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980E5F" w14:paraId="392BE26A" w14:textId="77777777">
        <w:trPr>
          <w:jc w:val="center"/>
        </w:trPr>
        <w:tc>
          <w:tcPr>
            <w:tcW w:w="50" w:type="pct"/>
            <w:shd w:val="clear" w:color="auto" w:fill="auto"/>
            <w:vAlign w:val="bottom"/>
          </w:tcPr>
          <w:p w14:paraId="392BE267" w14:textId="2128A25E" w:rsidR="00980E5F" w:rsidRDefault="00483613">
            <w:pPr>
              <w:rPr>
                <w:rFonts w:ascii="宋体"/>
              </w:rPr>
            </w:pPr>
            <w:r>
              <w:rPr>
                <w:rFonts w:ascii="宋体"/>
              </w:rPr>
              <w:t xml:space="preserve"> </w:t>
            </w:r>
          </w:p>
        </w:tc>
        <w:tc>
          <w:tcPr>
            <w:tcW w:w="4945" w:type="pct"/>
            <w:shd w:val="clear" w:color="auto" w:fill="auto"/>
            <w:vAlign w:val="bottom"/>
          </w:tcPr>
          <w:p w14:paraId="392BE268" w14:textId="77777777" w:rsidR="00980E5F" w:rsidRDefault="00980E5F">
            <w:pPr>
              <w:rPr>
                <w:rFonts w:ascii="宋体"/>
              </w:rPr>
            </w:pPr>
          </w:p>
        </w:tc>
        <w:tc>
          <w:tcPr>
            <w:tcW w:w="5" w:type="pct"/>
            <w:shd w:val="clear" w:color="auto" w:fill="auto"/>
            <w:vAlign w:val="bottom"/>
          </w:tcPr>
          <w:p w14:paraId="392BE269" w14:textId="77777777" w:rsidR="00980E5F" w:rsidRDefault="00980E5F">
            <w:pPr>
              <w:rPr>
                <w:rFonts w:ascii="宋体"/>
              </w:rPr>
            </w:pPr>
          </w:p>
        </w:tc>
      </w:tr>
      <w:tr w:rsidR="00980E5F" w14:paraId="392BE26C"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BE26B" w14:textId="77777777" w:rsidR="00980E5F" w:rsidRDefault="00980E5F">
            <w:pPr>
              <w:rPr>
                <w:rFonts w:ascii="宋体"/>
              </w:rPr>
            </w:pPr>
          </w:p>
        </w:tc>
      </w:tr>
    </w:tbl>
    <w:p w14:paraId="392BE26D" w14:textId="77777777" w:rsidR="00980E5F" w:rsidRDefault="00483613">
      <w:pPr>
        <w:ind w:firstLine="450"/>
        <w:jc w:val="center"/>
      </w:pPr>
      <w:r>
        <w:rPr>
          <w:rFonts w:ascii="Arial" w:eastAsia="宋体" w:hAnsi="Arial" w:cs="Arial"/>
          <w:b/>
          <w:bCs/>
          <w:color w:val="000000"/>
          <w:sz w:val="30"/>
          <w:szCs w:val="30"/>
        </w:rPr>
        <w:t>UNITED STATES</w:t>
      </w:r>
    </w:p>
    <w:p w14:paraId="392BE26E" w14:textId="77777777" w:rsidR="00980E5F" w:rsidRDefault="00483613">
      <w:pPr>
        <w:ind w:firstLine="450"/>
        <w:jc w:val="center"/>
      </w:pPr>
      <w:r>
        <w:rPr>
          <w:rFonts w:ascii="Arial" w:eastAsia="宋体" w:hAnsi="Arial" w:cs="Arial"/>
          <w:b/>
          <w:bCs/>
          <w:color w:val="000000"/>
          <w:sz w:val="30"/>
          <w:szCs w:val="30"/>
        </w:rPr>
        <w:t>SECURITIES AND EXCHANGE COMMISSION</w:t>
      </w:r>
    </w:p>
    <w:p w14:paraId="392BE26F" w14:textId="77777777" w:rsidR="00980E5F" w:rsidRDefault="00483613">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392BE270" w14:textId="77777777" w:rsidR="00980E5F" w:rsidRDefault="00483613">
      <w:pPr>
        <w:spacing w:before="100"/>
        <w:ind w:firstLine="36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980E5F" w14:paraId="392BE277" w14:textId="77777777">
        <w:trPr>
          <w:jc w:val="center"/>
        </w:trPr>
        <w:tc>
          <w:tcPr>
            <w:tcW w:w="50" w:type="pct"/>
            <w:shd w:val="clear" w:color="auto" w:fill="auto"/>
            <w:vAlign w:val="bottom"/>
          </w:tcPr>
          <w:p w14:paraId="392BE271" w14:textId="77777777" w:rsidR="00980E5F" w:rsidRDefault="00980E5F">
            <w:pPr>
              <w:rPr>
                <w:rFonts w:ascii="宋体"/>
              </w:rPr>
            </w:pPr>
          </w:p>
        </w:tc>
        <w:tc>
          <w:tcPr>
            <w:tcW w:w="222" w:type="pct"/>
            <w:shd w:val="clear" w:color="auto" w:fill="auto"/>
            <w:vAlign w:val="bottom"/>
          </w:tcPr>
          <w:p w14:paraId="392BE272" w14:textId="77777777" w:rsidR="00980E5F" w:rsidRDefault="00980E5F">
            <w:pPr>
              <w:rPr>
                <w:rFonts w:ascii="宋体"/>
              </w:rPr>
            </w:pPr>
          </w:p>
        </w:tc>
        <w:tc>
          <w:tcPr>
            <w:tcW w:w="5" w:type="pct"/>
            <w:shd w:val="clear" w:color="auto" w:fill="auto"/>
            <w:vAlign w:val="bottom"/>
          </w:tcPr>
          <w:p w14:paraId="392BE273" w14:textId="77777777" w:rsidR="00980E5F" w:rsidRDefault="00980E5F">
            <w:pPr>
              <w:rPr>
                <w:rFonts w:ascii="宋体"/>
              </w:rPr>
            </w:pPr>
          </w:p>
        </w:tc>
        <w:tc>
          <w:tcPr>
            <w:tcW w:w="50" w:type="pct"/>
            <w:shd w:val="clear" w:color="auto" w:fill="auto"/>
            <w:vAlign w:val="bottom"/>
          </w:tcPr>
          <w:p w14:paraId="392BE274" w14:textId="77777777" w:rsidR="00980E5F" w:rsidRDefault="00980E5F">
            <w:pPr>
              <w:rPr>
                <w:rFonts w:ascii="宋体"/>
              </w:rPr>
            </w:pPr>
          </w:p>
        </w:tc>
        <w:tc>
          <w:tcPr>
            <w:tcW w:w="4667" w:type="pct"/>
            <w:shd w:val="clear" w:color="auto" w:fill="auto"/>
            <w:vAlign w:val="bottom"/>
          </w:tcPr>
          <w:p w14:paraId="392BE275" w14:textId="77777777" w:rsidR="00980E5F" w:rsidRDefault="00980E5F">
            <w:pPr>
              <w:rPr>
                <w:rFonts w:ascii="宋体"/>
              </w:rPr>
            </w:pPr>
          </w:p>
        </w:tc>
        <w:tc>
          <w:tcPr>
            <w:tcW w:w="5" w:type="pct"/>
            <w:shd w:val="clear" w:color="auto" w:fill="auto"/>
            <w:vAlign w:val="bottom"/>
          </w:tcPr>
          <w:p w14:paraId="392BE276" w14:textId="77777777" w:rsidR="00980E5F" w:rsidRDefault="00980E5F">
            <w:pPr>
              <w:rPr>
                <w:rFonts w:ascii="宋体"/>
              </w:rPr>
            </w:pPr>
          </w:p>
        </w:tc>
      </w:tr>
      <w:tr w:rsidR="00980E5F" w14:paraId="392BE27A" w14:textId="77777777">
        <w:trPr>
          <w:jc w:val="center"/>
        </w:trPr>
        <w:tc>
          <w:tcPr>
            <w:tcW w:w="0" w:type="auto"/>
            <w:gridSpan w:val="3"/>
            <w:shd w:val="clear" w:color="auto" w:fill="auto"/>
            <w:tcMar>
              <w:top w:w="40" w:type="dxa"/>
              <w:left w:w="20" w:type="dxa"/>
              <w:bottom w:w="40" w:type="dxa"/>
              <w:right w:w="20" w:type="dxa"/>
            </w:tcMar>
          </w:tcPr>
          <w:p w14:paraId="392BE278" w14:textId="77777777" w:rsidR="00980E5F" w:rsidRDefault="0048361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92BE279" w14:textId="77777777" w:rsidR="00980E5F" w:rsidRDefault="00483613">
            <w:pPr>
              <w:textAlignment w:val="top"/>
            </w:pPr>
            <w:r>
              <w:rPr>
                <w:rFonts w:ascii="Arial" w:eastAsia="宋体" w:hAnsi="Arial" w:cs="Arial"/>
                <w:b/>
                <w:bCs/>
                <w:color w:val="000000"/>
                <w:sz w:val="20"/>
                <w:szCs w:val="20"/>
              </w:rPr>
              <w:t>QUARTERLY REPORT PURSUANT TO SECTION 13 OR 15(d) OF THE SECURITIES EXCHANGE ACT OF 1934</w:t>
            </w:r>
          </w:p>
        </w:tc>
      </w:tr>
    </w:tbl>
    <w:p w14:paraId="392BE27B" w14:textId="77777777" w:rsidR="00980E5F" w:rsidRDefault="00483613">
      <w:pPr>
        <w:ind w:firstLine="450"/>
        <w:jc w:val="center"/>
      </w:pPr>
      <w:r>
        <w:rPr>
          <w:rFonts w:ascii="Arial" w:eastAsia="宋体" w:hAnsi="Arial" w:cs="Arial"/>
          <w:b/>
          <w:bCs/>
          <w:color w:val="000000"/>
          <w:sz w:val="20"/>
          <w:szCs w:val="20"/>
        </w:rPr>
        <w:t xml:space="preserve">For the quarterly period ended June 30, 2022 </w:t>
      </w:r>
    </w:p>
    <w:p w14:paraId="392BE27C" w14:textId="77777777" w:rsidR="00980E5F" w:rsidRDefault="00483613">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980E5F" w14:paraId="392BE283" w14:textId="77777777">
        <w:trPr>
          <w:jc w:val="center"/>
        </w:trPr>
        <w:tc>
          <w:tcPr>
            <w:tcW w:w="50" w:type="pct"/>
            <w:shd w:val="clear" w:color="auto" w:fill="auto"/>
            <w:vAlign w:val="bottom"/>
          </w:tcPr>
          <w:p w14:paraId="392BE27D" w14:textId="77777777" w:rsidR="00980E5F" w:rsidRDefault="00980E5F">
            <w:pPr>
              <w:rPr>
                <w:rFonts w:ascii="宋体"/>
              </w:rPr>
            </w:pPr>
          </w:p>
        </w:tc>
        <w:tc>
          <w:tcPr>
            <w:tcW w:w="222" w:type="pct"/>
            <w:shd w:val="clear" w:color="auto" w:fill="auto"/>
            <w:vAlign w:val="bottom"/>
          </w:tcPr>
          <w:p w14:paraId="392BE27E" w14:textId="77777777" w:rsidR="00980E5F" w:rsidRDefault="00980E5F">
            <w:pPr>
              <w:rPr>
                <w:rFonts w:ascii="宋体"/>
              </w:rPr>
            </w:pPr>
          </w:p>
        </w:tc>
        <w:tc>
          <w:tcPr>
            <w:tcW w:w="5" w:type="pct"/>
            <w:shd w:val="clear" w:color="auto" w:fill="auto"/>
            <w:vAlign w:val="bottom"/>
          </w:tcPr>
          <w:p w14:paraId="392BE27F" w14:textId="77777777" w:rsidR="00980E5F" w:rsidRDefault="00980E5F">
            <w:pPr>
              <w:rPr>
                <w:rFonts w:ascii="宋体"/>
              </w:rPr>
            </w:pPr>
          </w:p>
        </w:tc>
        <w:tc>
          <w:tcPr>
            <w:tcW w:w="50" w:type="pct"/>
            <w:shd w:val="clear" w:color="auto" w:fill="auto"/>
            <w:vAlign w:val="bottom"/>
          </w:tcPr>
          <w:p w14:paraId="392BE280" w14:textId="77777777" w:rsidR="00980E5F" w:rsidRDefault="00980E5F">
            <w:pPr>
              <w:rPr>
                <w:rFonts w:ascii="宋体"/>
              </w:rPr>
            </w:pPr>
          </w:p>
        </w:tc>
        <w:tc>
          <w:tcPr>
            <w:tcW w:w="4667" w:type="pct"/>
            <w:shd w:val="clear" w:color="auto" w:fill="auto"/>
            <w:vAlign w:val="bottom"/>
          </w:tcPr>
          <w:p w14:paraId="392BE281" w14:textId="77777777" w:rsidR="00980E5F" w:rsidRDefault="00980E5F">
            <w:pPr>
              <w:rPr>
                <w:rFonts w:ascii="宋体"/>
              </w:rPr>
            </w:pPr>
          </w:p>
        </w:tc>
        <w:tc>
          <w:tcPr>
            <w:tcW w:w="5" w:type="pct"/>
            <w:shd w:val="clear" w:color="auto" w:fill="auto"/>
            <w:vAlign w:val="bottom"/>
          </w:tcPr>
          <w:p w14:paraId="392BE282" w14:textId="77777777" w:rsidR="00980E5F" w:rsidRDefault="00980E5F">
            <w:pPr>
              <w:rPr>
                <w:rFonts w:ascii="宋体"/>
              </w:rPr>
            </w:pPr>
          </w:p>
        </w:tc>
      </w:tr>
      <w:tr w:rsidR="00980E5F" w14:paraId="392BE286" w14:textId="77777777">
        <w:trPr>
          <w:jc w:val="center"/>
        </w:trPr>
        <w:tc>
          <w:tcPr>
            <w:tcW w:w="0" w:type="auto"/>
            <w:gridSpan w:val="3"/>
            <w:shd w:val="clear" w:color="auto" w:fill="auto"/>
            <w:tcMar>
              <w:top w:w="40" w:type="dxa"/>
              <w:left w:w="20" w:type="dxa"/>
              <w:bottom w:w="40" w:type="dxa"/>
              <w:right w:w="20" w:type="dxa"/>
            </w:tcMar>
          </w:tcPr>
          <w:p w14:paraId="392BE284" w14:textId="77777777" w:rsidR="00980E5F" w:rsidRDefault="0048361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92BE285" w14:textId="77777777" w:rsidR="00980E5F" w:rsidRDefault="00483613">
            <w:pPr>
              <w:textAlignment w:val="top"/>
            </w:pPr>
            <w:r>
              <w:rPr>
                <w:rFonts w:ascii="Arial" w:eastAsia="宋体" w:hAnsi="Arial" w:cs="Arial"/>
                <w:b/>
                <w:bCs/>
                <w:color w:val="000000"/>
                <w:sz w:val="20"/>
                <w:szCs w:val="20"/>
              </w:rPr>
              <w:t>TRANSITION REPORT PURSUANT TO SECTION 13 OR 15(d) OF THE SECURITIES EXCHANGE ACT OF 1934</w:t>
            </w:r>
          </w:p>
        </w:tc>
      </w:tr>
    </w:tbl>
    <w:p w14:paraId="392BE287" w14:textId="77777777" w:rsidR="00980E5F" w:rsidRDefault="00483613">
      <w:pPr>
        <w:ind w:firstLine="450"/>
        <w:jc w:val="center"/>
      </w:pPr>
      <w:r>
        <w:rPr>
          <w:rFonts w:ascii="Arial" w:eastAsia="宋体" w:hAnsi="Arial" w:cs="Arial"/>
          <w:b/>
          <w:bCs/>
          <w:color w:val="000000"/>
          <w:sz w:val="18"/>
          <w:szCs w:val="18"/>
        </w:rPr>
        <w:t>For the transition period from                      to                     </w:t>
      </w:r>
    </w:p>
    <w:p w14:paraId="392BE288" w14:textId="77777777" w:rsidR="00980E5F" w:rsidRDefault="00483613">
      <w:pPr>
        <w:spacing w:before="100"/>
        <w:ind w:firstLine="450"/>
        <w:jc w:val="center"/>
      </w:pPr>
      <w:r>
        <w:rPr>
          <w:rFonts w:ascii="Arial" w:eastAsia="宋体" w:hAnsi="Arial" w:cs="Arial"/>
          <w:b/>
          <w:bCs/>
          <w:color w:val="000000"/>
          <w:sz w:val="18"/>
          <w:szCs w:val="18"/>
        </w:rPr>
        <w:t xml:space="preserve">Commission File No. 001-07511 </w:t>
      </w:r>
    </w:p>
    <w:p w14:paraId="392BE289" w14:textId="77777777" w:rsidR="00980E5F" w:rsidRDefault="00483613">
      <w:pPr>
        <w:spacing w:before="100"/>
        <w:ind w:firstLine="450"/>
        <w:jc w:val="center"/>
      </w:pPr>
      <w:r>
        <w:rPr>
          <w:rFonts w:ascii="Arial" w:eastAsia="宋体" w:hAnsi="Arial" w:cs="Arial"/>
          <w:b/>
          <w:bCs/>
          <w:color w:val="000000"/>
          <w:sz w:val="36"/>
          <w:szCs w:val="36"/>
        </w:rPr>
        <w:t xml:space="preserve">STATE STREET CORPORATION </w:t>
      </w:r>
    </w:p>
    <w:p w14:paraId="392BE28A" w14:textId="77777777" w:rsidR="00980E5F" w:rsidRDefault="00483613">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980E5F" w14:paraId="392BE2A6" w14:textId="77777777">
        <w:trPr>
          <w:jc w:val="center"/>
        </w:trPr>
        <w:tc>
          <w:tcPr>
            <w:tcW w:w="50" w:type="pct"/>
            <w:shd w:val="clear" w:color="auto" w:fill="auto"/>
            <w:vAlign w:val="bottom"/>
          </w:tcPr>
          <w:p w14:paraId="392BE28B" w14:textId="77777777" w:rsidR="00980E5F" w:rsidRDefault="00980E5F">
            <w:pPr>
              <w:rPr>
                <w:rFonts w:ascii="宋体"/>
              </w:rPr>
            </w:pPr>
          </w:p>
        </w:tc>
        <w:tc>
          <w:tcPr>
            <w:tcW w:w="748" w:type="pct"/>
            <w:shd w:val="clear" w:color="auto" w:fill="auto"/>
            <w:vAlign w:val="bottom"/>
          </w:tcPr>
          <w:p w14:paraId="392BE28C" w14:textId="77777777" w:rsidR="00980E5F" w:rsidRDefault="00980E5F">
            <w:pPr>
              <w:rPr>
                <w:rFonts w:ascii="宋体"/>
              </w:rPr>
            </w:pPr>
          </w:p>
        </w:tc>
        <w:tc>
          <w:tcPr>
            <w:tcW w:w="5" w:type="pct"/>
            <w:shd w:val="clear" w:color="auto" w:fill="auto"/>
            <w:vAlign w:val="bottom"/>
          </w:tcPr>
          <w:p w14:paraId="392BE28D" w14:textId="77777777" w:rsidR="00980E5F" w:rsidRDefault="00980E5F">
            <w:pPr>
              <w:rPr>
                <w:rFonts w:ascii="宋体"/>
              </w:rPr>
            </w:pPr>
          </w:p>
        </w:tc>
        <w:tc>
          <w:tcPr>
            <w:tcW w:w="50" w:type="pct"/>
            <w:shd w:val="clear" w:color="auto" w:fill="auto"/>
            <w:vAlign w:val="bottom"/>
          </w:tcPr>
          <w:p w14:paraId="392BE28E" w14:textId="77777777" w:rsidR="00980E5F" w:rsidRDefault="00980E5F">
            <w:pPr>
              <w:rPr>
                <w:rFonts w:ascii="宋体"/>
              </w:rPr>
            </w:pPr>
          </w:p>
        </w:tc>
        <w:tc>
          <w:tcPr>
            <w:tcW w:w="837" w:type="pct"/>
            <w:shd w:val="clear" w:color="auto" w:fill="auto"/>
            <w:vAlign w:val="bottom"/>
          </w:tcPr>
          <w:p w14:paraId="392BE28F" w14:textId="77777777" w:rsidR="00980E5F" w:rsidRDefault="00980E5F">
            <w:pPr>
              <w:rPr>
                <w:rFonts w:ascii="宋体"/>
              </w:rPr>
            </w:pPr>
          </w:p>
        </w:tc>
        <w:tc>
          <w:tcPr>
            <w:tcW w:w="5" w:type="pct"/>
            <w:shd w:val="clear" w:color="auto" w:fill="auto"/>
            <w:vAlign w:val="bottom"/>
          </w:tcPr>
          <w:p w14:paraId="392BE290" w14:textId="77777777" w:rsidR="00980E5F" w:rsidRDefault="00980E5F">
            <w:pPr>
              <w:rPr>
                <w:rFonts w:ascii="宋体"/>
              </w:rPr>
            </w:pPr>
          </w:p>
        </w:tc>
        <w:tc>
          <w:tcPr>
            <w:tcW w:w="50" w:type="pct"/>
            <w:shd w:val="clear" w:color="auto" w:fill="auto"/>
            <w:vAlign w:val="bottom"/>
          </w:tcPr>
          <w:p w14:paraId="392BE291" w14:textId="77777777" w:rsidR="00980E5F" w:rsidRDefault="00980E5F">
            <w:pPr>
              <w:rPr>
                <w:rFonts w:ascii="宋体"/>
              </w:rPr>
            </w:pPr>
          </w:p>
        </w:tc>
        <w:tc>
          <w:tcPr>
            <w:tcW w:w="741" w:type="pct"/>
            <w:shd w:val="clear" w:color="auto" w:fill="auto"/>
            <w:vAlign w:val="bottom"/>
          </w:tcPr>
          <w:p w14:paraId="392BE292" w14:textId="77777777" w:rsidR="00980E5F" w:rsidRDefault="00980E5F">
            <w:pPr>
              <w:rPr>
                <w:rFonts w:ascii="宋体"/>
              </w:rPr>
            </w:pPr>
          </w:p>
        </w:tc>
        <w:tc>
          <w:tcPr>
            <w:tcW w:w="5" w:type="pct"/>
            <w:shd w:val="clear" w:color="auto" w:fill="auto"/>
            <w:vAlign w:val="bottom"/>
          </w:tcPr>
          <w:p w14:paraId="392BE293" w14:textId="77777777" w:rsidR="00980E5F" w:rsidRDefault="00980E5F">
            <w:pPr>
              <w:rPr>
                <w:rFonts w:ascii="宋体"/>
              </w:rPr>
            </w:pPr>
          </w:p>
        </w:tc>
        <w:tc>
          <w:tcPr>
            <w:tcW w:w="50" w:type="pct"/>
            <w:shd w:val="clear" w:color="auto" w:fill="auto"/>
            <w:vAlign w:val="bottom"/>
          </w:tcPr>
          <w:p w14:paraId="392BE294" w14:textId="77777777" w:rsidR="00980E5F" w:rsidRDefault="00980E5F">
            <w:pPr>
              <w:rPr>
                <w:rFonts w:ascii="宋体"/>
              </w:rPr>
            </w:pPr>
          </w:p>
        </w:tc>
        <w:tc>
          <w:tcPr>
            <w:tcW w:w="306" w:type="pct"/>
            <w:shd w:val="clear" w:color="auto" w:fill="auto"/>
            <w:vAlign w:val="bottom"/>
          </w:tcPr>
          <w:p w14:paraId="392BE295" w14:textId="77777777" w:rsidR="00980E5F" w:rsidRDefault="00980E5F">
            <w:pPr>
              <w:rPr>
                <w:rFonts w:ascii="宋体"/>
              </w:rPr>
            </w:pPr>
          </w:p>
        </w:tc>
        <w:tc>
          <w:tcPr>
            <w:tcW w:w="5" w:type="pct"/>
            <w:shd w:val="clear" w:color="auto" w:fill="auto"/>
            <w:vAlign w:val="bottom"/>
          </w:tcPr>
          <w:p w14:paraId="392BE296" w14:textId="77777777" w:rsidR="00980E5F" w:rsidRDefault="00980E5F">
            <w:pPr>
              <w:rPr>
                <w:rFonts w:ascii="宋体"/>
              </w:rPr>
            </w:pPr>
          </w:p>
        </w:tc>
        <w:tc>
          <w:tcPr>
            <w:tcW w:w="50" w:type="pct"/>
            <w:shd w:val="clear" w:color="auto" w:fill="auto"/>
            <w:vAlign w:val="bottom"/>
          </w:tcPr>
          <w:p w14:paraId="392BE297" w14:textId="77777777" w:rsidR="00980E5F" w:rsidRDefault="00980E5F">
            <w:pPr>
              <w:rPr>
                <w:rFonts w:ascii="宋体"/>
              </w:rPr>
            </w:pPr>
          </w:p>
        </w:tc>
        <w:tc>
          <w:tcPr>
            <w:tcW w:w="394" w:type="pct"/>
            <w:shd w:val="clear" w:color="auto" w:fill="auto"/>
            <w:vAlign w:val="bottom"/>
          </w:tcPr>
          <w:p w14:paraId="392BE298" w14:textId="77777777" w:rsidR="00980E5F" w:rsidRDefault="00980E5F">
            <w:pPr>
              <w:rPr>
                <w:rFonts w:ascii="宋体"/>
              </w:rPr>
            </w:pPr>
          </w:p>
        </w:tc>
        <w:tc>
          <w:tcPr>
            <w:tcW w:w="5" w:type="pct"/>
            <w:shd w:val="clear" w:color="auto" w:fill="auto"/>
            <w:vAlign w:val="bottom"/>
          </w:tcPr>
          <w:p w14:paraId="392BE299" w14:textId="77777777" w:rsidR="00980E5F" w:rsidRDefault="00980E5F">
            <w:pPr>
              <w:rPr>
                <w:rFonts w:ascii="宋体"/>
              </w:rPr>
            </w:pPr>
          </w:p>
        </w:tc>
        <w:tc>
          <w:tcPr>
            <w:tcW w:w="5" w:type="pct"/>
            <w:shd w:val="clear" w:color="auto" w:fill="auto"/>
            <w:vAlign w:val="bottom"/>
          </w:tcPr>
          <w:p w14:paraId="392BE29A" w14:textId="77777777" w:rsidR="00980E5F" w:rsidRDefault="00980E5F">
            <w:pPr>
              <w:rPr>
                <w:rFonts w:ascii="宋体"/>
              </w:rPr>
            </w:pPr>
          </w:p>
        </w:tc>
        <w:tc>
          <w:tcPr>
            <w:tcW w:w="85" w:type="pct"/>
            <w:shd w:val="clear" w:color="auto" w:fill="auto"/>
            <w:vAlign w:val="bottom"/>
          </w:tcPr>
          <w:p w14:paraId="392BE29B" w14:textId="77777777" w:rsidR="00980E5F" w:rsidRDefault="00980E5F">
            <w:pPr>
              <w:rPr>
                <w:rFonts w:ascii="宋体"/>
              </w:rPr>
            </w:pPr>
          </w:p>
        </w:tc>
        <w:tc>
          <w:tcPr>
            <w:tcW w:w="5" w:type="pct"/>
            <w:shd w:val="clear" w:color="auto" w:fill="auto"/>
            <w:vAlign w:val="bottom"/>
          </w:tcPr>
          <w:p w14:paraId="392BE29C" w14:textId="77777777" w:rsidR="00980E5F" w:rsidRDefault="00980E5F">
            <w:pPr>
              <w:rPr>
                <w:rFonts w:ascii="宋体"/>
              </w:rPr>
            </w:pPr>
          </w:p>
        </w:tc>
        <w:tc>
          <w:tcPr>
            <w:tcW w:w="50" w:type="pct"/>
            <w:shd w:val="clear" w:color="auto" w:fill="auto"/>
            <w:vAlign w:val="bottom"/>
          </w:tcPr>
          <w:p w14:paraId="392BE29D" w14:textId="77777777" w:rsidR="00980E5F" w:rsidRDefault="00980E5F">
            <w:pPr>
              <w:rPr>
                <w:rFonts w:ascii="宋体"/>
              </w:rPr>
            </w:pPr>
          </w:p>
        </w:tc>
        <w:tc>
          <w:tcPr>
            <w:tcW w:w="217" w:type="pct"/>
            <w:shd w:val="clear" w:color="auto" w:fill="auto"/>
            <w:vAlign w:val="bottom"/>
          </w:tcPr>
          <w:p w14:paraId="392BE29E" w14:textId="77777777" w:rsidR="00980E5F" w:rsidRDefault="00980E5F">
            <w:pPr>
              <w:rPr>
                <w:rFonts w:ascii="宋体"/>
              </w:rPr>
            </w:pPr>
          </w:p>
        </w:tc>
        <w:tc>
          <w:tcPr>
            <w:tcW w:w="5" w:type="pct"/>
            <w:shd w:val="clear" w:color="auto" w:fill="auto"/>
            <w:vAlign w:val="bottom"/>
          </w:tcPr>
          <w:p w14:paraId="392BE29F" w14:textId="77777777" w:rsidR="00980E5F" w:rsidRDefault="00980E5F">
            <w:pPr>
              <w:rPr>
                <w:rFonts w:ascii="宋体"/>
              </w:rPr>
            </w:pPr>
          </w:p>
        </w:tc>
        <w:tc>
          <w:tcPr>
            <w:tcW w:w="50" w:type="pct"/>
            <w:shd w:val="clear" w:color="auto" w:fill="auto"/>
            <w:vAlign w:val="bottom"/>
          </w:tcPr>
          <w:p w14:paraId="392BE2A0" w14:textId="77777777" w:rsidR="00980E5F" w:rsidRDefault="00980E5F">
            <w:pPr>
              <w:rPr>
                <w:rFonts w:ascii="宋体"/>
              </w:rPr>
            </w:pPr>
          </w:p>
        </w:tc>
        <w:tc>
          <w:tcPr>
            <w:tcW w:w="1124" w:type="pct"/>
            <w:shd w:val="clear" w:color="auto" w:fill="auto"/>
            <w:vAlign w:val="bottom"/>
          </w:tcPr>
          <w:p w14:paraId="392BE2A1" w14:textId="77777777" w:rsidR="00980E5F" w:rsidRDefault="00980E5F">
            <w:pPr>
              <w:rPr>
                <w:rFonts w:ascii="宋体"/>
              </w:rPr>
            </w:pPr>
          </w:p>
        </w:tc>
        <w:tc>
          <w:tcPr>
            <w:tcW w:w="5" w:type="pct"/>
            <w:shd w:val="clear" w:color="auto" w:fill="auto"/>
            <w:vAlign w:val="bottom"/>
          </w:tcPr>
          <w:p w14:paraId="392BE2A2" w14:textId="77777777" w:rsidR="00980E5F" w:rsidRDefault="00980E5F">
            <w:pPr>
              <w:rPr>
                <w:rFonts w:ascii="宋体"/>
              </w:rPr>
            </w:pPr>
          </w:p>
        </w:tc>
        <w:tc>
          <w:tcPr>
            <w:tcW w:w="5" w:type="pct"/>
            <w:shd w:val="clear" w:color="auto" w:fill="auto"/>
            <w:vAlign w:val="bottom"/>
          </w:tcPr>
          <w:p w14:paraId="392BE2A3" w14:textId="77777777" w:rsidR="00980E5F" w:rsidRDefault="00980E5F">
            <w:pPr>
              <w:rPr>
                <w:rFonts w:ascii="宋体"/>
              </w:rPr>
            </w:pPr>
          </w:p>
        </w:tc>
        <w:tc>
          <w:tcPr>
            <w:tcW w:w="137" w:type="pct"/>
            <w:shd w:val="clear" w:color="auto" w:fill="auto"/>
            <w:vAlign w:val="bottom"/>
          </w:tcPr>
          <w:p w14:paraId="392BE2A4" w14:textId="77777777" w:rsidR="00980E5F" w:rsidRDefault="00980E5F">
            <w:pPr>
              <w:rPr>
                <w:rFonts w:ascii="宋体"/>
              </w:rPr>
            </w:pPr>
          </w:p>
        </w:tc>
        <w:tc>
          <w:tcPr>
            <w:tcW w:w="5" w:type="pct"/>
            <w:shd w:val="clear" w:color="auto" w:fill="auto"/>
            <w:vAlign w:val="bottom"/>
          </w:tcPr>
          <w:p w14:paraId="392BE2A5" w14:textId="77777777" w:rsidR="00980E5F" w:rsidRDefault="00980E5F">
            <w:pPr>
              <w:rPr>
                <w:rFonts w:ascii="宋体"/>
              </w:rPr>
            </w:pPr>
          </w:p>
        </w:tc>
      </w:tr>
      <w:tr w:rsidR="00980E5F" w14:paraId="392BE2AF" w14:textId="77777777">
        <w:trPr>
          <w:jc w:val="center"/>
        </w:trPr>
        <w:tc>
          <w:tcPr>
            <w:tcW w:w="0" w:type="auto"/>
            <w:gridSpan w:val="6"/>
            <w:shd w:val="clear" w:color="auto" w:fill="auto"/>
            <w:tcMar>
              <w:top w:w="40" w:type="dxa"/>
              <w:left w:w="20" w:type="dxa"/>
              <w:bottom w:w="40" w:type="dxa"/>
              <w:right w:w="20" w:type="dxa"/>
            </w:tcMar>
            <w:vAlign w:val="bottom"/>
          </w:tcPr>
          <w:p w14:paraId="392BE2A7" w14:textId="77777777" w:rsidR="00980E5F" w:rsidRDefault="00483613">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392BE2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A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A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AD" w14:textId="77777777" w:rsidR="00980E5F" w:rsidRDefault="00483613">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392BE2AE" w14:textId="77777777" w:rsidR="00980E5F" w:rsidRDefault="00980E5F">
            <w:pPr>
              <w:rPr>
                <w:rFonts w:ascii="宋体"/>
              </w:rPr>
            </w:pPr>
          </w:p>
        </w:tc>
      </w:tr>
      <w:tr w:rsidR="00980E5F" w14:paraId="392BE2B8" w14:textId="77777777">
        <w:trPr>
          <w:jc w:val="center"/>
        </w:trPr>
        <w:tc>
          <w:tcPr>
            <w:tcW w:w="0" w:type="auto"/>
            <w:gridSpan w:val="6"/>
            <w:shd w:val="clear" w:color="auto" w:fill="auto"/>
            <w:tcMar>
              <w:top w:w="40" w:type="dxa"/>
              <w:left w:w="20" w:type="dxa"/>
              <w:bottom w:w="40" w:type="dxa"/>
              <w:right w:w="20" w:type="dxa"/>
            </w:tcMar>
            <w:vAlign w:val="bottom"/>
          </w:tcPr>
          <w:p w14:paraId="392BE2B0" w14:textId="77777777" w:rsidR="00980E5F" w:rsidRDefault="00483613">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392BE2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B6" w14:textId="77777777" w:rsidR="00980E5F" w:rsidRDefault="00483613">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392BE2B7" w14:textId="77777777" w:rsidR="00980E5F" w:rsidRDefault="00980E5F">
            <w:pPr>
              <w:rPr>
                <w:rFonts w:ascii="宋体"/>
              </w:rPr>
            </w:pPr>
          </w:p>
        </w:tc>
      </w:tr>
      <w:tr w:rsidR="00980E5F" w14:paraId="392BE2C1" w14:textId="77777777">
        <w:trPr>
          <w:jc w:val="center"/>
        </w:trPr>
        <w:tc>
          <w:tcPr>
            <w:tcW w:w="0" w:type="auto"/>
            <w:gridSpan w:val="6"/>
            <w:shd w:val="clear" w:color="auto" w:fill="auto"/>
            <w:tcMar>
              <w:top w:w="40" w:type="dxa"/>
              <w:left w:w="20" w:type="dxa"/>
              <w:bottom w:w="40" w:type="dxa"/>
              <w:right w:w="20" w:type="dxa"/>
            </w:tcMar>
            <w:vAlign w:val="bottom"/>
          </w:tcPr>
          <w:p w14:paraId="392BE2B9" w14:textId="77777777" w:rsidR="00980E5F" w:rsidRDefault="00483613">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392BE2B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0" w14:textId="77777777" w:rsidR="00980E5F" w:rsidRDefault="00980E5F">
            <w:pPr>
              <w:rPr>
                <w:rFonts w:ascii="宋体"/>
              </w:rPr>
            </w:pPr>
          </w:p>
        </w:tc>
      </w:tr>
      <w:tr w:rsidR="00980E5F" w14:paraId="392BE2CA" w14:textId="77777777">
        <w:trPr>
          <w:jc w:val="center"/>
        </w:trPr>
        <w:tc>
          <w:tcPr>
            <w:tcW w:w="0" w:type="auto"/>
            <w:gridSpan w:val="3"/>
            <w:shd w:val="clear" w:color="auto" w:fill="auto"/>
            <w:tcMar>
              <w:top w:w="40" w:type="dxa"/>
              <w:left w:w="20" w:type="dxa"/>
              <w:bottom w:w="40" w:type="dxa"/>
              <w:right w:w="20" w:type="dxa"/>
            </w:tcMar>
            <w:vAlign w:val="bottom"/>
          </w:tcPr>
          <w:p w14:paraId="392BE2C2" w14:textId="77777777" w:rsidR="00980E5F" w:rsidRDefault="00483613">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392BE2C3" w14:textId="77777777" w:rsidR="00980E5F" w:rsidRDefault="00483613">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392BE2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C8" w14:textId="77777777" w:rsidR="00980E5F" w:rsidRDefault="00483613">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392BE2C9" w14:textId="77777777" w:rsidR="00980E5F" w:rsidRDefault="00980E5F">
            <w:pPr>
              <w:rPr>
                <w:rFonts w:ascii="宋体"/>
              </w:rPr>
            </w:pPr>
          </w:p>
        </w:tc>
      </w:tr>
      <w:tr w:rsidR="00980E5F" w14:paraId="392BE2D2" w14:textId="77777777">
        <w:trPr>
          <w:jc w:val="center"/>
        </w:trPr>
        <w:tc>
          <w:tcPr>
            <w:tcW w:w="0" w:type="auto"/>
            <w:gridSpan w:val="6"/>
            <w:shd w:val="clear" w:color="auto" w:fill="auto"/>
            <w:tcMar>
              <w:top w:w="40" w:type="dxa"/>
              <w:left w:w="20" w:type="dxa"/>
              <w:bottom w:w="40" w:type="dxa"/>
              <w:right w:w="20" w:type="dxa"/>
            </w:tcMar>
            <w:vAlign w:val="bottom"/>
          </w:tcPr>
          <w:p w14:paraId="392BE2CB" w14:textId="77777777" w:rsidR="00980E5F" w:rsidRDefault="00483613">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392BE2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C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D0" w14:textId="77777777" w:rsidR="00980E5F" w:rsidRDefault="00483613">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392BE2D1" w14:textId="77777777" w:rsidR="00980E5F" w:rsidRDefault="00980E5F">
            <w:pPr>
              <w:rPr>
                <w:rFonts w:ascii="宋体"/>
              </w:rPr>
            </w:pPr>
          </w:p>
        </w:tc>
      </w:tr>
      <w:tr w:rsidR="00980E5F" w14:paraId="392BE2DB" w14:textId="77777777">
        <w:trPr>
          <w:jc w:val="center"/>
        </w:trPr>
        <w:tc>
          <w:tcPr>
            <w:tcW w:w="0" w:type="auto"/>
            <w:gridSpan w:val="3"/>
            <w:shd w:val="clear" w:color="auto" w:fill="auto"/>
            <w:tcMar>
              <w:top w:w="0" w:type="dxa"/>
              <w:left w:w="20" w:type="dxa"/>
              <w:bottom w:w="0" w:type="dxa"/>
              <w:right w:w="20" w:type="dxa"/>
            </w:tcMar>
            <w:vAlign w:val="bottom"/>
          </w:tcPr>
          <w:p w14:paraId="392BE2D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D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D5" w14:textId="77777777" w:rsidR="00980E5F" w:rsidRDefault="00483613">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392BE2D6" w14:textId="77777777" w:rsidR="00980E5F" w:rsidRDefault="00483613">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392BE2D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DA" w14:textId="77777777" w:rsidR="00980E5F" w:rsidRDefault="00980E5F">
            <w:pPr>
              <w:rPr>
                <w:rFonts w:ascii="宋体"/>
              </w:rPr>
            </w:pPr>
          </w:p>
        </w:tc>
      </w:tr>
      <w:tr w:rsidR="00980E5F" w14:paraId="392BE2E2" w14:textId="77777777">
        <w:trPr>
          <w:jc w:val="center"/>
        </w:trPr>
        <w:tc>
          <w:tcPr>
            <w:tcW w:w="0" w:type="auto"/>
            <w:gridSpan w:val="3"/>
            <w:shd w:val="clear" w:color="auto" w:fill="auto"/>
            <w:tcMar>
              <w:top w:w="0" w:type="dxa"/>
              <w:left w:w="20" w:type="dxa"/>
              <w:bottom w:w="0" w:type="dxa"/>
              <w:right w:w="20" w:type="dxa"/>
            </w:tcMar>
            <w:vAlign w:val="bottom"/>
          </w:tcPr>
          <w:p w14:paraId="392BE2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DD" w14:textId="77777777" w:rsidR="00980E5F" w:rsidRDefault="00980E5F">
            <w:pPr>
              <w:rPr>
                <w:rFonts w:ascii="宋体"/>
              </w:rPr>
            </w:pPr>
          </w:p>
        </w:tc>
        <w:tc>
          <w:tcPr>
            <w:tcW w:w="0" w:type="auto"/>
            <w:gridSpan w:val="12"/>
            <w:shd w:val="clear" w:color="auto" w:fill="auto"/>
            <w:tcMar>
              <w:top w:w="40" w:type="dxa"/>
              <w:left w:w="20" w:type="dxa"/>
              <w:bottom w:w="40" w:type="dxa"/>
              <w:right w:w="20" w:type="dxa"/>
            </w:tcMar>
            <w:vAlign w:val="bottom"/>
          </w:tcPr>
          <w:p w14:paraId="392BE2DE" w14:textId="77777777" w:rsidR="00980E5F" w:rsidRDefault="00483613">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392BE2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E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E1" w14:textId="77777777" w:rsidR="00980E5F" w:rsidRDefault="00980E5F">
            <w:pPr>
              <w:rPr>
                <w:rFonts w:ascii="宋体"/>
              </w:rPr>
            </w:pPr>
          </w:p>
        </w:tc>
      </w:tr>
      <w:tr w:rsidR="00980E5F" w14:paraId="392BE2E5" w14:textId="77777777">
        <w:trPr>
          <w:trHeight w:val="240"/>
          <w:jc w:val="center"/>
        </w:trPr>
        <w:tc>
          <w:tcPr>
            <w:tcW w:w="0" w:type="auto"/>
            <w:gridSpan w:val="24"/>
            <w:shd w:val="clear" w:color="auto" w:fill="auto"/>
            <w:tcMar>
              <w:top w:w="0" w:type="dxa"/>
              <w:left w:w="20" w:type="dxa"/>
              <w:bottom w:w="0" w:type="dxa"/>
              <w:right w:w="20" w:type="dxa"/>
            </w:tcMar>
            <w:vAlign w:val="bottom"/>
          </w:tcPr>
          <w:p w14:paraId="392BE2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E4" w14:textId="77777777" w:rsidR="00980E5F" w:rsidRDefault="00980E5F">
            <w:pPr>
              <w:rPr>
                <w:rFonts w:ascii="宋体"/>
              </w:rPr>
            </w:pPr>
          </w:p>
        </w:tc>
      </w:tr>
      <w:tr w:rsidR="00980E5F" w14:paraId="392BE2E8" w14:textId="77777777">
        <w:trPr>
          <w:jc w:val="center"/>
        </w:trPr>
        <w:tc>
          <w:tcPr>
            <w:tcW w:w="0" w:type="auto"/>
            <w:gridSpan w:val="24"/>
            <w:shd w:val="clear" w:color="auto" w:fill="auto"/>
            <w:tcMar>
              <w:top w:w="40" w:type="dxa"/>
              <w:left w:w="20" w:type="dxa"/>
              <w:bottom w:w="40" w:type="dxa"/>
              <w:right w:w="20" w:type="dxa"/>
            </w:tcMar>
            <w:vAlign w:val="bottom"/>
          </w:tcPr>
          <w:p w14:paraId="392BE2E6" w14:textId="77777777" w:rsidR="00980E5F" w:rsidRDefault="00483613">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392BE2E7" w14:textId="77777777" w:rsidR="00980E5F" w:rsidRDefault="00980E5F">
            <w:pPr>
              <w:rPr>
                <w:rFonts w:ascii="宋体"/>
              </w:rPr>
            </w:pPr>
          </w:p>
        </w:tc>
      </w:tr>
      <w:tr w:rsidR="00980E5F" w14:paraId="392BE2F0"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392BE2E9" w14:textId="77777777" w:rsidR="00980E5F" w:rsidRDefault="00483613">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392BE2E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EB" w14:textId="77777777" w:rsidR="00980E5F" w:rsidRDefault="00483613">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392BE2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E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2EE" w14:textId="77777777" w:rsidR="00980E5F" w:rsidRDefault="00483613">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392BE2EF" w14:textId="77777777" w:rsidR="00980E5F" w:rsidRDefault="00980E5F">
            <w:pPr>
              <w:rPr>
                <w:rFonts w:ascii="宋体"/>
              </w:rPr>
            </w:pPr>
          </w:p>
        </w:tc>
      </w:tr>
      <w:tr w:rsidR="00980E5F" w14:paraId="392BE2F8"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392BE2F1" w14:textId="77777777" w:rsidR="00980E5F" w:rsidRDefault="00483613">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392BE2F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2F3" w14:textId="77777777" w:rsidR="00980E5F" w:rsidRDefault="00483613">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392BE2F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92BE2F6" w14:textId="77777777" w:rsidR="00980E5F" w:rsidRDefault="00483613">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2F7" w14:textId="77777777" w:rsidR="00980E5F" w:rsidRDefault="00980E5F">
            <w:pPr>
              <w:rPr>
                <w:rFonts w:ascii="宋体"/>
              </w:rPr>
            </w:pPr>
          </w:p>
        </w:tc>
      </w:tr>
      <w:tr w:rsidR="00980E5F" w14:paraId="392BE300" w14:textId="77777777">
        <w:trPr>
          <w:trHeight w:val="100"/>
          <w:jc w:val="center"/>
        </w:trPr>
        <w:tc>
          <w:tcPr>
            <w:tcW w:w="0" w:type="auto"/>
            <w:gridSpan w:val="9"/>
            <w:shd w:val="clear" w:color="auto" w:fill="auto"/>
            <w:tcMar>
              <w:top w:w="0" w:type="dxa"/>
              <w:left w:w="20" w:type="dxa"/>
              <w:bottom w:w="0" w:type="dxa"/>
              <w:right w:w="20" w:type="dxa"/>
            </w:tcMar>
            <w:vAlign w:val="bottom"/>
          </w:tcPr>
          <w:p w14:paraId="392BE2F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2FF" w14:textId="77777777" w:rsidR="00980E5F" w:rsidRDefault="00980E5F">
            <w:pPr>
              <w:rPr>
                <w:rFonts w:ascii="宋体"/>
              </w:rPr>
            </w:pPr>
          </w:p>
        </w:tc>
      </w:tr>
      <w:tr w:rsidR="00980E5F" w14:paraId="392BE308" w14:textId="77777777">
        <w:trPr>
          <w:trHeight w:val="180"/>
          <w:jc w:val="center"/>
        </w:trPr>
        <w:tc>
          <w:tcPr>
            <w:tcW w:w="0" w:type="auto"/>
            <w:gridSpan w:val="9"/>
            <w:shd w:val="clear" w:color="auto" w:fill="auto"/>
            <w:tcMar>
              <w:top w:w="40" w:type="dxa"/>
              <w:left w:w="20" w:type="dxa"/>
              <w:bottom w:w="40" w:type="dxa"/>
              <w:right w:w="20" w:type="dxa"/>
            </w:tcMar>
          </w:tcPr>
          <w:p w14:paraId="392BE301" w14:textId="77777777" w:rsidR="00980E5F" w:rsidRDefault="00483613">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392BE302"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92BE303" w14:textId="77777777" w:rsidR="00980E5F" w:rsidRDefault="00483613">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392BE30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05"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92BE306" w14:textId="77777777" w:rsidR="00980E5F" w:rsidRDefault="00483613">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392BE307" w14:textId="77777777" w:rsidR="00980E5F" w:rsidRDefault="00980E5F">
            <w:pPr>
              <w:rPr>
                <w:rFonts w:ascii="宋体"/>
              </w:rPr>
            </w:pPr>
          </w:p>
        </w:tc>
      </w:tr>
      <w:tr w:rsidR="00980E5F" w14:paraId="392BE310" w14:textId="77777777">
        <w:trPr>
          <w:trHeight w:val="300"/>
          <w:jc w:val="center"/>
        </w:trPr>
        <w:tc>
          <w:tcPr>
            <w:tcW w:w="0" w:type="auto"/>
            <w:gridSpan w:val="9"/>
            <w:shd w:val="clear" w:color="auto" w:fill="auto"/>
            <w:tcMar>
              <w:top w:w="40" w:type="dxa"/>
              <w:left w:w="20" w:type="dxa"/>
              <w:bottom w:w="40" w:type="dxa"/>
              <w:right w:w="20" w:type="dxa"/>
            </w:tcMar>
            <w:vAlign w:val="bottom"/>
          </w:tcPr>
          <w:p w14:paraId="392BE309" w14:textId="77777777" w:rsidR="00980E5F" w:rsidRDefault="00483613">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392BE30A"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center"/>
          </w:tcPr>
          <w:p w14:paraId="392BE3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0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0D"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center"/>
          </w:tcPr>
          <w:p w14:paraId="392BE30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0F" w14:textId="77777777" w:rsidR="00980E5F" w:rsidRDefault="00980E5F">
            <w:pPr>
              <w:rPr>
                <w:rFonts w:ascii="宋体"/>
              </w:rPr>
            </w:pPr>
          </w:p>
        </w:tc>
      </w:tr>
      <w:tr w:rsidR="00980E5F" w14:paraId="392BE318" w14:textId="77777777">
        <w:trPr>
          <w:trHeight w:val="120"/>
          <w:jc w:val="center"/>
        </w:trPr>
        <w:tc>
          <w:tcPr>
            <w:tcW w:w="0" w:type="auto"/>
            <w:gridSpan w:val="9"/>
            <w:shd w:val="clear" w:color="auto" w:fill="auto"/>
            <w:tcMar>
              <w:top w:w="0" w:type="dxa"/>
              <w:left w:w="20" w:type="dxa"/>
              <w:bottom w:w="0" w:type="dxa"/>
              <w:right w:w="20" w:type="dxa"/>
            </w:tcMar>
            <w:vAlign w:val="bottom"/>
          </w:tcPr>
          <w:p w14:paraId="392BE31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7" w14:textId="77777777" w:rsidR="00980E5F" w:rsidRDefault="00980E5F">
            <w:pPr>
              <w:rPr>
                <w:rFonts w:ascii="宋体"/>
              </w:rPr>
            </w:pPr>
          </w:p>
        </w:tc>
      </w:tr>
      <w:tr w:rsidR="00980E5F" w14:paraId="392BE320" w14:textId="77777777">
        <w:trPr>
          <w:trHeight w:val="180"/>
          <w:jc w:val="center"/>
        </w:trPr>
        <w:tc>
          <w:tcPr>
            <w:tcW w:w="0" w:type="auto"/>
            <w:gridSpan w:val="9"/>
            <w:shd w:val="clear" w:color="auto" w:fill="auto"/>
            <w:tcMar>
              <w:top w:w="40" w:type="dxa"/>
              <w:left w:w="20" w:type="dxa"/>
              <w:bottom w:w="40" w:type="dxa"/>
              <w:right w:w="20" w:type="dxa"/>
            </w:tcMar>
          </w:tcPr>
          <w:p w14:paraId="392BE319" w14:textId="77777777" w:rsidR="00980E5F" w:rsidRDefault="00483613">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392BE31A"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92BE31B" w14:textId="77777777" w:rsidR="00980E5F" w:rsidRDefault="00483613">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392BE31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1D"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392BE31E" w14:textId="77777777" w:rsidR="00980E5F" w:rsidRDefault="00483613">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392BE31F" w14:textId="77777777" w:rsidR="00980E5F" w:rsidRDefault="00980E5F">
            <w:pPr>
              <w:rPr>
                <w:rFonts w:ascii="宋体"/>
              </w:rPr>
            </w:pPr>
          </w:p>
        </w:tc>
      </w:tr>
      <w:tr w:rsidR="00980E5F" w14:paraId="392BE328" w14:textId="77777777">
        <w:trPr>
          <w:trHeight w:val="300"/>
          <w:jc w:val="center"/>
        </w:trPr>
        <w:tc>
          <w:tcPr>
            <w:tcW w:w="0" w:type="auto"/>
            <w:gridSpan w:val="9"/>
            <w:shd w:val="clear" w:color="auto" w:fill="auto"/>
            <w:tcMar>
              <w:top w:w="40" w:type="dxa"/>
              <w:left w:w="20" w:type="dxa"/>
              <w:bottom w:w="40" w:type="dxa"/>
              <w:right w:w="20" w:type="dxa"/>
            </w:tcMar>
            <w:vAlign w:val="bottom"/>
          </w:tcPr>
          <w:p w14:paraId="392BE321" w14:textId="77777777" w:rsidR="00980E5F" w:rsidRDefault="00483613">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392BE322"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center"/>
          </w:tcPr>
          <w:p w14:paraId="392BE32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2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25"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center"/>
          </w:tcPr>
          <w:p w14:paraId="392BE32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27" w14:textId="77777777" w:rsidR="00980E5F" w:rsidRDefault="00980E5F">
            <w:pPr>
              <w:rPr>
                <w:rFonts w:ascii="宋体"/>
              </w:rPr>
            </w:pPr>
          </w:p>
        </w:tc>
      </w:tr>
    </w:tbl>
    <w:p w14:paraId="392BE329" w14:textId="77777777" w:rsidR="00980E5F" w:rsidRDefault="00980E5F">
      <w:pPr>
        <w:ind w:firstLine="450"/>
        <w:jc w:val="center"/>
      </w:pPr>
    </w:p>
    <w:p w14:paraId="392BE32A" w14:textId="77777777" w:rsidR="00980E5F" w:rsidRDefault="00980E5F">
      <w:pPr>
        <w:ind w:firstLine="450"/>
        <w:jc w:val="center"/>
      </w:pPr>
    </w:p>
    <w:p w14:paraId="392BE32B" w14:textId="77777777" w:rsidR="00980E5F" w:rsidRDefault="00483613">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392BE32C" w14:textId="77777777" w:rsidR="00980E5F" w:rsidRDefault="00483613">
      <w:pPr>
        <w:spacing w:before="50"/>
        <w:ind w:firstLine="450"/>
      </w:pPr>
      <w:r>
        <w:rPr>
          <w:rFonts w:ascii="Arial" w:eastAsia="宋体" w:hAnsi="Arial" w:cs="Arial"/>
          <w:color w:val="000000"/>
          <w:sz w:val="16"/>
          <w:szCs w:val="16"/>
        </w:rPr>
        <w:lastRenderedPageBreak/>
        <w:t xml:space="preserve">Indicate by check mark whether the registrant has submitted electronically every Interactive Data File required to be submitted pursuant to Rule 405 of </w:t>
      </w:r>
      <w:r>
        <w:rPr>
          <w:rFonts w:ascii="Arial" w:eastAsia="宋体" w:hAnsi="Arial" w:cs="Arial"/>
          <w:color w:val="000000"/>
          <w:sz w:val="16"/>
          <w:szCs w:val="16"/>
        </w:rPr>
        <w:t>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392BE32D" w14:textId="77777777" w:rsidR="00980E5F" w:rsidRDefault="00483613">
      <w:pPr>
        <w:spacing w:before="50"/>
        <w:ind w:firstLine="450"/>
      </w:pPr>
      <w:r>
        <w:rPr>
          <w:rFonts w:ascii="Arial" w:eastAsia="宋体" w:hAnsi="Arial" w:cs="Arial"/>
          <w:color w:val="000000"/>
          <w:sz w:val="16"/>
          <w:szCs w:val="16"/>
        </w:rPr>
        <w:t>Indicate by check mark whether the registrant is a large accelerated filer, an acce</w:t>
      </w:r>
      <w:r>
        <w:rPr>
          <w:rFonts w:ascii="Arial" w:eastAsia="宋体" w:hAnsi="Arial" w:cs="Arial"/>
          <w:color w:val="000000"/>
          <w:sz w:val="16"/>
          <w:szCs w:val="16"/>
        </w:rPr>
        <w:t>lerated filer, a non-accelerated filer, a smaller reporting company, or an emerging growth company. See the definitions of "large accelerated filer", "accelerated filer", "smaller reporting company", and "emerging growth company" in Rule 12b-2 of the Excha</w:t>
      </w:r>
      <w:r>
        <w:rPr>
          <w:rFonts w:ascii="Arial" w:eastAsia="宋体" w:hAnsi="Arial" w:cs="Arial"/>
          <w:color w:val="000000"/>
          <w:sz w:val="16"/>
          <w:szCs w:val="16"/>
        </w:rPr>
        <w:t xml:space="preserve">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980E5F" w14:paraId="392BE34F" w14:textId="77777777">
        <w:tc>
          <w:tcPr>
            <w:tcW w:w="50" w:type="pct"/>
            <w:shd w:val="clear" w:color="auto" w:fill="auto"/>
            <w:vAlign w:val="bottom"/>
          </w:tcPr>
          <w:p w14:paraId="392BE32E" w14:textId="77777777" w:rsidR="00980E5F" w:rsidRDefault="00980E5F">
            <w:pPr>
              <w:rPr>
                <w:rFonts w:ascii="宋体"/>
              </w:rPr>
            </w:pPr>
          </w:p>
        </w:tc>
        <w:tc>
          <w:tcPr>
            <w:tcW w:w="972" w:type="pct"/>
            <w:shd w:val="clear" w:color="auto" w:fill="auto"/>
            <w:vAlign w:val="bottom"/>
          </w:tcPr>
          <w:p w14:paraId="392BE32F" w14:textId="77777777" w:rsidR="00980E5F" w:rsidRDefault="00980E5F">
            <w:pPr>
              <w:rPr>
                <w:rFonts w:ascii="宋体"/>
              </w:rPr>
            </w:pPr>
          </w:p>
        </w:tc>
        <w:tc>
          <w:tcPr>
            <w:tcW w:w="5" w:type="pct"/>
            <w:shd w:val="clear" w:color="auto" w:fill="auto"/>
            <w:vAlign w:val="bottom"/>
          </w:tcPr>
          <w:p w14:paraId="392BE330" w14:textId="77777777" w:rsidR="00980E5F" w:rsidRDefault="00980E5F">
            <w:pPr>
              <w:rPr>
                <w:rFonts w:ascii="宋体"/>
              </w:rPr>
            </w:pPr>
          </w:p>
        </w:tc>
        <w:tc>
          <w:tcPr>
            <w:tcW w:w="5" w:type="pct"/>
            <w:shd w:val="clear" w:color="auto" w:fill="auto"/>
            <w:vAlign w:val="bottom"/>
          </w:tcPr>
          <w:p w14:paraId="392BE331" w14:textId="77777777" w:rsidR="00980E5F" w:rsidRDefault="00980E5F">
            <w:pPr>
              <w:rPr>
                <w:rFonts w:ascii="宋体"/>
              </w:rPr>
            </w:pPr>
          </w:p>
        </w:tc>
        <w:tc>
          <w:tcPr>
            <w:tcW w:w="119" w:type="pct"/>
            <w:shd w:val="clear" w:color="auto" w:fill="auto"/>
            <w:vAlign w:val="bottom"/>
          </w:tcPr>
          <w:p w14:paraId="392BE332" w14:textId="77777777" w:rsidR="00980E5F" w:rsidRDefault="00980E5F">
            <w:pPr>
              <w:rPr>
                <w:rFonts w:ascii="宋体"/>
              </w:rPr>
            </w:pPr>
          </w:p>
        </w:tc>
        <w:tc>
          <w:tcPr>
            <w:tcW w:w="5" w:type="pct"/>
            <w:shd w:val="clear" w:color="auto" w:fill="auto"/>
            <w:vAlign w:val="bottom"/>
          </w:tcPr>
          <w:p w14:paraId="392BE333" w14:textId="77777777" w:rsidR="00980E5F" w:rsidRDefault="00980E5F">
            <w:pPr>
              <w:rPr>
                <w:rFonts w:ascii="宋体"/>
              </w:rPr>
            </w:pPr>
          </w:p>
        </w:tc>
        <w:tc>
          <w:tcPr>
            <w:tcW w:w="5" w:type="pct"/>
            <w:shd w:val="clear" w:color="auto" w:fill="auto"/>
            <w:vAlign w:val="bottom"/>
          </w:tcPr>
          <w:p w14:paraId="392BE334" w14:textId="77777777" w:rsidR="00980E5F" w:rsidRDefault="00980E5F">
            <w:pPr>
              <w:rPr>
                <w:rFonts w:ascii="宋体"/>
              </w:rPr>
            </w:pPr>
          </w:p>
        </w:tc>
        <w:tc>
          <w:tcPr>
            <w:tcW w:w="119" w:type="pct"/>
            <w:shd w:val="clear" w:color="auto" w:fill="auto"/>
            <w:vAlign w:val="bottom"/>
          </w:tcPr>
          <w:p w14:paraId="392BE335" w14:textId="77777777" w:rsidR="00980E5F" w:rsidRDefault="00980E5F">
            <w:pPr>
              <w:rPr>
                <w:rFonts w:ascii="宋体"/>
              </w:rPr>
            </w:pPr>
          </w:p>
        </w:tc>
        <w:tc>
          <w:tcPr>
            <w:tcW w:w="5" w:type="pct"/>
            <w:shd w:val="clear" w:color="auto" w:fill="auto"/>
            <w:vAlign w:val="bottom"/>
          </w:tcPr>
          <w:p w14:paraId="392BE336" w14:textId="77777777" w:rsidR="00980E5F" w:rsidRDefault="00980E5F">
            <w:pPr>
              <w:rPr>
                <w:rFonts w:ascii="宋体"/>
              </w:rPr>
            </w:pPr>
          </w:p>
        </w:tc>
        <w:tc>
          <w:tcPr>
            <w:tcW w:w="50" w:type="pct"/>
            <w:shd w:val="clear" w:color="auto" w:fill="auto"/>
            <w:vAlign w:val="bottom"/>
          </w:tcPr>
          <w:p w14:paraId="392BE337" w14:textId="77777777" w:rsidR="00980E5F" w:rsidRDefault="00980E5F">
            <w:pPr>
              <w:rPr>
                <w:rFonts w:ascii="宋体"/>
              </w:rPr>
            </w:pPr>
          </w:p>
        </w:tc>
        <w:tc>
          <w:tcPr>
            <w:tcW w:w="827" w:type="pct"/>
            <w:shd w:val="clear" w:color="auto" w:fill="auto"/>
            <w:vAlign w:val="bottom"/>
          </w:tcPr>
          <w:p w14:paraId="392BE338" w14:textId="77777777" w:rsidR="00980E5F" w:rsidRDefault="00980E5F">
            <w:pPr>
              <w:rPr>
                <w:rFonts w:ascii="宋体"/>
              </w:rPr>
            </w:pPr>
          </w:p>
        </w:tc>
        <w:tc>
          <w:tcPr>
            <w:tcW w:w="5" w:type="pct"/>
            <w:shd w:val="clear" w:color="auto" w:fill="auto"/>
            <w:vAlign w:val="bottom"/>
          </w:tcPr>
          <w:p w14:paraId="392BE339" w14:textId="77777777" w:rsidR="00980E5F" w:rsidRDefault="00980E5F">
            <w:pPr>
              <w:rPr>
                <w:rFonts w:ascii="宋体"/>
              </w:rPr>
            </w:pPr>
          </w:p>
        </w:tc>
        <w:tc>
          <w:tcPr>
            <w:tcW w:w="5" w:type="pct"/>
            <w:shd w:val="clear" w:color="auto" w:fill="auto"/>
            <w:vAlign w:val="bottom"/>
          </w:tcPr>
          <w:p w14:paraId="392BE33A" w14:textId="77777777" w:rsidR="00980E5F" w:rsidRDefault="00980E5F">
            <w:pPr>
              <w:rPr>
                <w:rFonts w:ascii="宋体"/>
              </w:rPr>
            </w:pPr>
          </w:p>
        </w:tc>
        <w:tc>
          <w:tcPr>
            <w:tcW w:w="81" w:type="pct"/>
            <w:shd w:val="clear" w:color="auto" w:fill="auto"/>
            <w:vAlign w:val="bottom"/>
          </w:tcPr>
          <w:p w14:paraId="392BE33B" w14:textId="77777777" w:rsidR="00980E5F" w:rsidRDefault="00980E5F">
            <w:pPr>
              <w:rPr>
                <w:rFonts w:ascii="宋体"/>
              </w:rPr>
            </w:pPr>
          </w:p>
        </w:tc>
        <w:tc>
          <w:tcPr>
            <w:tcW w:w="5" w:type="pct"/>
            <w:shd w:val="clear" w:color="auto" w:fill="auto"/>
            <w:vAlign w:val="bottom"/>
          </w:tcPr>
          <w:p w14:paraId="392BE33C" w14:textId="77777777" w:rsidR="00980E5F" w:rsidRDefault="00980E5F">
            <w:pPr>
              <w:rPr>
                <w:rFonts w:ascii="宋体"/>
              </w:rPr>
            </w:pPr>
          </w:p>
        </w:tc>
        <w:tc>
          <w:tcPr>
            <w:tcW w:w="5" w:type="pct"/>
            <w:shd w:val="clear" w:color="auto" w:fill="auto"/>
            <w:vAlign w:val="bottom"/>
          </w:tcPr>
          <w:p w14:paraId="392BE33D" w14:textId="77777777" w:rsidR="00980E5F" w:rsidRDefault="00980E5F">
            <w:pPr>
              <w:rPr>
                <w:rFonts w:ascii="宋体"/>
              </w:rPr>
            </w:pPr>
          </w:p>
        </w:tc>
        <w:tc>
          <w:tcPr>
            <w:tcW w:w="104" w:type="pct"/>
            <w:shd w:val="clear" w:color="auto" w:fill="auto"/>
            <w:vAlign w:val="bottom"/>
          </w:tcPr>
          <w:p w14:paraId="392BE33E" w14:textId="77777777" w:rsidR="00980E5F" w:rsidRDefault="00980E5F">
            <w:pPr>
              <w:rPr>
                <w:rFonts w:ascii="宋体"/>
              </w:rPr>
            </w:pPr>
          </w:p>
        </w:tc>
        <w:tc>
          <w:tcPr>
            <w:tcW w:w="5" w:type="pct"/>
            <w:shd w:val="clear" w:color="auto" w:fill="auto"/>
            <w:vAlign w:val="bottom"/>
          </w:tcPr>
          <w:p w14:paraId="392BE33F" w14:textId="77777777" w:rsidR="00980E5F" w:rsidRDefault="00980E5F">
            <w:pPr>
              <w:rPr>
                <w:rFonts w:ascii="宋体"/>
              </w:rPr>
            </w:pPr>
          </w:p>
        </w:tc>
        <w:tc>
          <w:tcPr>
            <w:tcW w:w="50" w:type="pct"/>
            <w:shd w:val="clear" w:color="auto" w:fill="auto"/>
            <w:vAlign w:val="bottom"/>
          </w:tcPr>
          <w:p w14:paraId="392BE340" w14:textId="77777777" w:rsidR="00980E5F" w:rsidRDefault="00980E5F">
            <w:pPr>
              <w:rPr>
                <w:rFonts w:ascii="宋体"/>
              </w:rPr>
            </w:pPr>
          </w:p>
        </w:tc>
        <w:tc>
          <w:tcPr>
            <w:tcW w:w="1018" w:type="pct"/>
            <w:shd w:val="clear" w:color="auto" w:fill="auto"/>
            <w:vAlign w:val="bottom"/>
          </w:tcPr>
          <w:p w14:paraId="392BE341" w14:textId="77777777" w:rsidR="00980E5F" w:rsidRDefault="00980E5F">
            <w:pPr>
              <w:rPr>
                <w:rFonts w:ascii="宋体"/>
              </w:rPr>
            </w:pPr>
          </w:p>
        </w:tc>
        <w:tc>
          <w:tcPr>
            <w:tcW w:w="5" w:type="pct"/>
            <w:shd w:val="clear" w:color="auto" w:fill="auto"/>
            <w:vAlign w:val="bottom"/>
          </w:tcPr>
          <w:p w14:paraId="392BE342" w14:textId="77777777" w:rsidR="00980E5F" w:rsidRDefault="00980E5F">
            <w:pPr>
              <w:rPr>
                <w:rFonts w:ascii="宋体"/>
              </w:rPr>
            </w:pPr>
          </w:p>
        </w:tc>
        <w:tc>
          <w:tcPr>
            <w:tcW w:w="50" w:type="pct"/>
            <w:shd w:val="clear" w:color="auto" w:fill="auto"/>
            <w:vAlign w:val="bottom"/>
          </w:tcPr>
          <w:p w14:paraId="392BE343" w14:textId="77777777" w:rsidR="00980E5F" w:rsidRDefault="00980E5F">
            <w:pPr>
              <w:rPr>
                <w:rFonts w:ascii="宋体"/>
              </w:rPr>
            </w:pPr>
          </w:p>
        </w:tc>
        <w:tc>
          <w:tcPr>
            <w:tcW w:w="127" w:type="pct"/>
            <w:shd w:val="clear" w:color="auto" w:fill="auto"/>
            <w:vAlign w:val="bottom"/>
          </w:tcPr>
          <w:p w14:paraId="392BE344" w14:textId="77777777" w:rsidR="00980E5F" w:rsidRDefault="00980E5F">
            <w:pPr>
              <w:rPr>
                <w:rFonts w:ascii="宋体"/>
              </w:rPr>
            </w:pPr>
          </w:p>
        </w:tc>
        <w:tc>
          <w:tcPr>
            <w:tcW w:w="5" w:type="pct"/>
            <w:shd w:val="clear" w:color="auto" w:fill="auto"/>
            <w:vAlign w:val="bottom"/>
          </w:tcPr>
          <w:p w14:paraId="392BE345" w14:textId="77777777" w:rsidR="00980E5F" w:rsidRDefault="00980E5F">
            <w:pPr>
              <w:rPr>
                <w:rFonts w:ascii="宋体"/>
              </w:rPr>
            </w:pPr>
          </w:p>
        </w:tc>
        <w:tc>
          <w:tcPr>
            <w:tcW w:w="50" w:type="pct"/>
            <w:shd w:val="clear" w:color="auto" w:fill="auto"/>
            <w:vAlign w:val="bottom"/>
          </w:tcPr>
          <w:p w14:paraId="392BE346" w14:textId="77777777" w:rsidR="00980E5F" w:rsidRDefault="00980E5F">
            <w:pPr>
              <w:rPr>
                <w:rFonts w:ascii="宋体"/>
              </w:rPr>
            </w:pPr>
          </w:p>
        </w:tc>
        <w:tc>
          <w:tcPr>
            <w:tcW w:w="127" w:type="pct"/>
            <w:shd w:val="clear" w:color="auto" w:fill="auto"/>
            <w:vAlign w:val="bottom"/>
          </w:tcPr>
          <w:p w14:paraId="392BE347" w14:textId="77777777" w:rsidR="00980E5F" w:rsidRDefault="00980E5F">
            <w:pPr>
              <w:rPr>
                <w:rFonts w:ascii="宋体"/>
              </w:rPr>
            </w:pPr>
          </w:p>
        </w:tc>
        <w:tc>
          <w:tcPr>
            <w:tcW w:w="5" w:type="pct"/>
            <w:shd w:val="clear" w:color="auto" w:fill="auto"/>
            <w:vAlign w:val="bottom"/>
          </w:tcPr>
          <w:p w14:paraId="392BE348" w14:textId="77777777" w:rsidR="00980E5F" w:rsidRDefault="00980E5F">
            <w:pPr>
              <w:rPr>
                <w:rFonts w:ascii="宋体"/>
              </w:rPr>
            </w:pPr>
          </w:p>
        </w:tc>
        <w:tc>
          <w:tcPr>
            <w:tcW w:w="50" w:type="pct"/>
            <w:shd w:val="clear" w:color="auto" w:fill="auto"/>
            <w:vAlign w:val="bottom"/>
          </w:tcPr>
          <w:p w14:paraId="392BE349" w14:textId="77777777" w:rsidR="00980E5F" w:rsidRDefault="00980E5F">
            <w:pPr>
              <w:rPr>
                <w:rFonts w:ascii="宋体"/>
              </w:rPr>
            </w:pPr>
          </w:p>
        </w:tc>
        <w:tc>
          <w:tcPr>
            <w:tcW w:w="1002" w:type="pct"/>
            <w:shd w:val="clear" w:color="auto" w:fill="auto"/>
            <w:vAlign w:val="bottom"/>
          </w:tcPr>
          <w:p w14:paraId="392BE34A" w14:textId="77777777" w:rsidR="00980E5F" w:rsidRDefault="00980E5F">
            <w:pPr>
              <w:rPr>
                <w:rFonts w:ascii="宋体"/>
              </w:rPr>
            </w:pPr>
          </w:p>
        </w:tc>
        <w:tc>
          <w:tcPr>
            <w:tcW w:w="5" w:type="pct"/>
            <w:shd w:val="clear" w:color="auto" w:fill="auto"/>
            <w:vAlign w:val="bottom"/>
          </w:tcPr>
          <w:p w14:paraId="392BE34B" w14:textId="77777777" w:rsidR="00980E5F" w:rsidRDefault="00980E5F">
            <w:pPr>
              <w:rPr>
                <w:rFonts w:ascii="宋体"/>
              </w:rPr>
            </w:pPr>
          </w:p>
        </w:tc>
        <w:tc>
          <w:tcPr>
            <w:tcW w:w="5" w:type="pct"/>
            <w:shd w:val="clear" w:color="auto" w:fill="auto"/>
            <w:vAlign w:val="bottom"/>
          </w:tcPr>
          <w:p w14:paraId="392BE34C" w14:textId="77777777" w:rsidR="00980E5F" w:rsidRDefault="00980E5F">
            <w:pPr>
              <w:rPr>
                <w:rFonts w:ascii="宋体"/>
              </w:rPr>
            </w:pPr>
          </w:p>
        </w:tc>
        <w:tc>
          <w:tcPr>
            <w:tcW w:w="119" w:type="pct"/>
            <w:shd w:val="clear" w:color="auto" w:fill="auto"/>
            <w:vAlign w:val="bottom"/>
          </w:tcPr>
          <w:p w14:paraId="392BE34D" w14:textId="77777777" w:rsidR="00980E5F" w:rsidRDefault="00980E5F">
            <w:pPr>
              <w:rPr>
                <w:rFonts w:ascii="宋体"/>
              </w:rPr>
            </w:pPr>
          </w:p>
        </w:tc>
        <w:tc>
          <w:tcPr>
            <w:tcW w:w="5" w:type="pct"/>
            <w:shd w:val="clear" w:color="auto" w:fill="auto"/>
            <w:vAlign w:val="bottom"/>
          </w:tcPr>
          <w:p w14:paraId="392BE34E" w14:textId="77777777" w:rsidR="00980E5F" w:rsidRDefault="00980E5F">
            <w:pPr>
              <w:rPr>
                <w:rFonts w:ascii="宋体"/>
              </w:rPr>
            </w:pPr>
          </w:p>
        </w:tc>
      </w:tr>
      <w:tr w:rsidR="00980E5F" w14:paraId="392BE35B" w14:textId="77777777">
        <w:tc>
          <w:tcPr>
            <w:tcW w:w="0" w:type="auto"/>
            <w:gridSpan w:val="3"/>
            <w:shd w:val="clear" w:color="auto" w:fill="auto"/>
            <w:tcMar>
              <w:top w:w="40" w:type="dxa"/>
              <w:left w:w="155" w:type="dxa"/>
              <w:bottom w:w="40" w:type="dxa"/>
              <w:right w:w="20" w:type="dxa"/>
            </w:tcMar>
            <w:vAlign w:val="bottom"/>
          </w:tcPr>
          <w:p w14:paraId="392BE350" w14:textId="77777777" w:rsidR="00980E5F" w:rsidRDefault="00483613">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392BE351" w14:textId="77777777" w:rsidR="00980E5F" w:rsidRDefault="0048361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92BE35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353" w14:textId="77777777" w:rsidR="00980E5F" w:rsidRDefault="00483613">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392BE354" w14:textId="77777777" w:rsidR="00980E5F" w:rsidRDefault="0048361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92BE35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356" w14:textId="77777777" w:rsidR="00980E5F" w:rsidRDefault="00483613">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392BE357" w14:textId="77777777" w:rsidR="00980E5F" w:rsidRDefault="0048361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92BE35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359" w14:textId="77777777" w:rsidR="00980E5F" w:rsidRDefault="00483613">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392BE35A" w14:textId="77777777" w:rsidR="00980E5F" w:rsidRDefault="00483613">
            <w:pPr>
              <w:textAlignment w:val="bottom"/>
            </w:pPr>
            <w:r>
              <w:rPr>
                <w:rFonts w:ascii="Arial" w:eastAsia="宋体" w:hAnsi="Arial" w:cs="Arial"/>
                <w:color w:val="000000"/>
                <w:sz w:val="16"/>
                <w:szCs w:val="16"/>
              </w:rPr>
              <w:t>☐</w:t>
            </w:r>
          </w:p>
        </w:tc>
      </w:tr>
      <w:tr w:rsidR="00980E5F" w14:paraId="392BE364" w14:textId="77777777">
        <w:tc>
          <w:tcPr>
            <w:tcW w:w="0" w:type="auto"/>
            <w:gridSpan w:val="3"/>
            <w:shd w:val="clear" w:color="auto" w:fill="auto"/>
            <w:tcMar>
              <w:top w:w="40" w:type="dxa"/>
              <w:left w:w="155" w:type="dxa"/>
              <w:bottom w:w="40" w:type="dxa"/>
              <w:right w:w="20" w:type="dxa"/>
            </w:tcMar>
            <w:vAlign w:val="bottom"/>
          </w:tcPr>
          <w:p w14:paraId="392BE35C" w14:textId="77777777" w:rsidR="00980E5F" w:rsidRDefault="00483613">
            <w:pPr>
              <w:textAlignment w:val="bottom"/>
            </w:pPr>
            <w:r>
              <w:rPr>
                <w:rFonts w:ascii="Arial" w:eastAsia="宋体" w:hAnsi="Arial" w:cs="Arial"/>
                <w:color w:val="000000"/>
                <w:sz w:val="16"/>
                <w:szCs w:val="16"/>
              </w:rPr>
              <w:t>Emerging growth company </w:t>
            </w:r>
          </w:p>
        </w:tc>
        <w:tc>
          <w:tcPr>
            <w:tcW w:w="0" w:type="auto"/>
            <w:gridSpan w:val="3"/>
            <w:shd w:val="clear" w:color="auto" w:fill="auto"/>
            <w:tcMar>
              <w:top w:w="40" w:type="dxa"/>
              <w:left w:w="20" w:type="dxa"/>
              <w:bottom w:w="40" w:type="dxa"/>
              <w:right w:w="20" w:type="dxa"/>
            </w:tcMar>
            <w:vAlign w:val="bottom"/>
          </w:tcPr>
          <w:p w14:paraId="392BE35D" w14:textId="77777777" w:rsidR="00980E5F" w:rsidRDefault="0048361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92BE35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61" w14:textId="77777777" w:rsidR="00980E5F" w:rsidRDefault="00980E5F">
            <w:pPr>
              <w:rPr>
                <w:rFonts w:ascii="宋体"/>
              </w:rPr>
            </w:pPr>
          </w:p>
        </w:tc>
        <w:tc>
          <w:tcPr>
            <w:tcW w:w="0" w:type="auto"/>
            <w:gridSpan w:val="12"/>
            <w:shd w:val="clear" w:color="auto" w:fill="auto"/>
            <w:tcMar>
              <w:top w:w="0" w:type="dxa"/>
              <w:left w:w="20" w:type="dxa"/>
              <w:bottom w:w="0" w:type="dxa"/>
              <w:right w:w="20" w:type="dxa"/>
            </w:tcMar>
            <w:vAlign w:val="bottom"/>
          </w:tcPr>
          <w:p w14:paraId="392BE3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63" w14:textId="77777777" w:rsidR="00980E5F" w:rsidRDefault="00980E5F">
            <w:pPr>
              <w:rPr>
                <w:rFonts w:ascii="宋体"/>
              </w:rPr>
            </w:pPr>
          </w:p>
        </w:tc>
      </w:tr>
    </w:tbl>
    <w:p w14:paraId="392BE365" w14:textId="77777777" w:rsidR="00980E5F" w:rsidRDefault="00483613">
      <w:pPr>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392BE366" w14:textId="77777777" w:rsidR="00980E5F" w:rsidRDefault="00483613">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392BE367" w14:textId="77777777" w:rsidR="00980E5F" w:rsidRDefault="00483613">
      <w:pPr>
        <w:spacing w:before="50"/>
        <w:ind w:firstLine="450"/>
      </w:pPr>
      <w:r>
        <w:rPr>
          <w:rFonts w:ascii="Arial" w:eastAsia="宋体" w:hAnsi="Arial" w:cs="Arial"/>
          <w:color w:val="000000"/>
          <w:sz w:val="16"/>
          <w:szCs w:val="16"/>
        </w:rPr>
        <w:t>The number of shares of the registrant’s common stock outstanding as of July 26, 2022 was 367,619,359.</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80E5F" w14:paraId="392BE36B" w14:textId="77777777">
        <w:tc>
          <w:tcPr>
            <w:tcW w:w="50" w:type="pct"/>
            <w:shd w:val="clear" w:color="auto" w:fill="auto"/>
            <w:vAlign w:val="bottom"/>
          </w:tcPr>
          <w:p w14:paraId="392BE368" w14:textId="77777777" w:rsidR="00980E5F" w:rsidRDefault="00980E5F">
            <w:pPr>
              <w:rPr>
                <w:rFonts w:ascii="宋体"/>
              </w:rPr>
            </w:pPr>
          </w:p>
        </w:tc>
        <w:tc>
          <w:tcPr>
            <w:tcW w:w="4945" w:type="pct"/>
            <w:shd w:val="clear" w:color="auto" w:fill="auto"/>
            <w:vAlign w:val="bottom"/>
          </w:tcPr>
          <w:p w14:paraId="392BE369" w14:textId="77777777" w:rsidR="00980E5F" w:rsidRDefault="00980E5F">
            <w:pPr>
              <w:rPr>
                <w:rFonts w:ascii="宋体"/>
              </w:rPr>
            </w:pPr>
          </w:p>
        </w:tc>
        <w:tc>
          <w:tcPr>
            <w:tcW w:w="5" w:type="pct"/>
            <w:shd w:val="clear" w:color="auto" w:fill="auto"/>
            <w:vAlign w:val="bottom"/>
          </w:tcPr>
          <w:p w14:paraId="392BE36A" w14:textId="77777777" w:rsidR="00980E5F" w:rsidRDefault="00980E5F">
            <w:pPr>
              <w:rPr>
                <w:rFonts w:ascii="宋体"/>
              </w:rPr>
            </w:pPr>
          </w:p>
        </w:tc>
      </w:tr>
      <w:tr w:rsidR="00980E5F" w14:paraId="392BE36D"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BE36C" w14:textId="77777777" w:rsidR="00980E5F" w:rsidRDefault="00980E5F">
            <w:pPr>
              <w:rPr>
                <w:rFonts w:ascii="宋体"/>
              </w:rPr>
            </w:pPr>
          </w:p>
        </w:tc>
      </w:tr>
    </w:tbl>
    <w:p w14:paraId="392BE36E" w14:textId="77777777" w:rsidR="00980E5F" w:rsidRDefault="00980E5F">
      <w:pPr>
        <w:ind w:firstLine="450"/>
      </w:pPr>
    </w:p>
    <w:p w14:paraId="392BE36F" w14:textId="77777777" w:rsidR="00980E5F" w:rsidRDefault="00980E5F">
      <w:pPr>
        <w:ind w:firstLine="450"/>
      </w:pPr>
    </w:p>
    <w:p w14:paraId="392BE370" w14:textId="77777777" w:rsidR="00980E5F" w:rsidRDefault="00483613">
      <w:r>
        <w:pict w14:anchorId="392CBACF">
          <v:rect id="_x0000_i1025" style="width:415.3pt;height:1.5pt" o:hralign="center" o:hrstd="t" o:hr="t" fillcolor="#a0a0a0" stroked="f"/>
        </w:pict>
      </w:r>
    </w:p>
    <w:p w14:paraId="392BE371" w14:textId="77777777" w:rsidR="00980E5F" w:rsidRDefault="00980E5F">
      <w:pPr>
        <w:ind w:firstLine="450"/>
        <w:jc w:val="center"/>
      </w:pPr>
    </w:p>
    <w:p w14:paraId="392BE372" w14:textId="77777777" w:rsidR="00980E5F" w:rsidRDefault="00483613">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392BE373" w14:textId="77777777" w:rsidR="00980E5F" w:rsidRDefault="00483613">
      <w:pPr>
        <w:ind w:firstLine="450"/>
        <w:jc w:val="center"/>
      </w:pPr>
      <w:r>
        <w:rPr>
          <w:rFonts w:ascii="Arial" w:eastAsia="宋体" w:hAnsi="Arial" w:cs="Arial"/>
          <w:b/>
          <w:bCs/>
          <w:color w:val="000000"/>
          <w:sz w:val="20"/>
          <w:szCs w:val="20"/>
        </w:rPr>
        <w:t>QUARTERLY REPORT ON FORM 10-Q FOR THE QUARTERLY PERIOD ENDED</w:t>
      </w:r>
    </w:p>
    <w:p w14:paraId="392BE374" w14:textId="77777777" w:rsidR="00980E5F" w:rsidRDefault="00483613">
      <w:pPr>
        <w:ind w:firstLine="450"/>
        <w:jc w:val="center"/>
      </w:pPr>
      <w:r>
        <w:rPr>
          <w:rFonts w:ascii="Arial" w:eastAsia="宋体" w:hAnsi="Arial" w:cs="Arial"/>
          <w:b/>
          <w:bCs/>
          <w:color w:val="000000"/>
          <w:sz w:val="20"/>
          <w:szCs w:val="20"/>
        </w:rPr>
        <w:t>June 30, 2022</w:t>
      </w:r>
    </w:p>
    <w:p w14:paraId="392BE375" w14:textId="77777777" w:rsidR="00980E5F" w:rsidRDefault="00980E5F">
      <w:pPr>
        <w:ind w:firstLine="450"/>
        <w:jc w:val="center"/>
      </w:pPr>
    </w:p>
    <w:p w14:paraId="392BE376" w14:textId="77777777" w:rsidR="00980E5F" w:rsidRDefault="00483613">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980E5F" w14:paraId="392BE380" w14:textId="77777777">
        <w:tc>
          <w:tcPr>
            <w:tcW w:w="50" w:type="pct"/>
            <w:shd w:val="clear" w:color="auto" w:fill="auto"/>
            <w:vAlign w:val="bottom"/>
          </w:tcPr>
          <w:p w14:paraId="392BE377" w14:textId="77777777" w:rsidR="00980E5F" w:rsidRDefault="00980E5F">
            <w:pPr>
              <w:rPr>
                <w:rFonts w:ascii="宋体"/>
              </w:rPr>
            </w:pPr>
          </w:p>
        </w:tc>
        <w:tc>
          <w:tcPr>
            <w:tcW w:w="808" w:type="pct"/>
            <w:shd w:val="clear" w:color="auto" w:fill="auto"/>
            <w:vAlign w:val="bottom"/>
          </w:tcPr>
          <w:p w14:paraId="392BE378" w14:textId="77777777" w:rsidR="00980E5F" w:rsidRDefault="00980E5F">
            <w:pPr>
              <w:rPr>
                <w:rFonts w:ascii="宋体"/>
              </w:rPr>
            </w:pPr>
          </w:p>
        </w:tc>
        <w:tc>
          <w:tcPr>
            <w:tcW w:w="5" w:type="pct"/>
            <w:shd w:val="clear" w:color="auto" w:fill="auto"/>
            <w:vAlign w:val="bottom"/>
          </w:tcPr>
          <w:p w14:paraId="392BE379" w14:textId="77777777" w:rsidR="00980E5F" w:rsidRDefault="00980E5F">
            <w:pPr>
              <w:rPr>
                <w:rFonts w:ascii="宋体"/>
              </w:rPr>
            </w:pPr>
          </w:p>
        </w:tc>
        <w:tc>
          <w:tcPr>
            <w:tcW w:w="50" w:type="pct"/>
            <w:shd w:val="clear" w:color="auto" w:fill="auto"/>
            <w:vAlign w:val="bottom"/>
          </w:tcPr>
          <w:p w14:paraId="392BE37A" w14:textId="77777777" w:rsidR="00980E5F" w:rsidRDefault="00980E5F">
            <w:pPr>
              <w:rPr>
                <w:rFonts w:ascii="宋体"/>
              </w:rPr>
            </w:pPr>
          </w:p>
        </w:tc>
        <w:tc>
          <w:tcPr>
            <w:tcW w:w="3635" w:type="pct"/>
            <w:shd w:val="clear" w:color="auto" w:fill="auto"/>
            <w:vAlign w:val="bottom"/>
          </w:tcPr>
          <w:p w14:paraId="392BE37B" w14:textId="77777777" w:rsidR="00980E5F" w:rsidRDefault="00980E5F">
            <w:pPr>
              <w:rPr>
                <w:rFonts w:ascii="宋体"/>
              </w:rPr>
            </w:pPr>
          </w:p>
        </w:tc>
        <w:tc>
          <w:tcPr>
            <w:tcW w:w="5" w:type="pct"/>
            <w:shd w:val="clear" w:color="auto" w:fill="auto"/>
            <w:vAlign w:val="bottom"/>
          </w:tcPr>
          <w:p w14:paraId="392BE37C" w14:textId="77777777" w:rsidR="00980E5F" w:rsidRDefault="00980E5F">
            <w:pPr>
              <w:rPr>
                <w:rFonts w:ascii="宋体"/>
              </w:rPr>
            </w:pPr>
          </w:p>
        </w:tc>
        <w:tc>
          <w:tcPr>
            <w:tcW w:w="50" w:type="pct"/>
            <w:shd w:val="clear" w:color="auto" w:fill="auto"/>
            <w:vAlign w:val="bottom"/>
          </w:tcPr>
          <w:p w14:paraId="392BE37D" w14:textId="77777777" w:rsidR="00980E5F" w:rsidRDefault="00980E5F">
            <w:pPr>
              <w:rPr>
                <w:rFonts w:ascii="宋体"/>
              </w:rPr>
            </w:pPr>
          </w:p>
        </w:tc>
        <w:tc>
          <w:tcPr>
            <w:tcW w:w="391" w:type="pct"/>
            <w:shd w:val="clear" w:color="auto" w:fill="auto"/>
            <w:vAlign w:val="bottom"/>
          </w:tcPr>
          <w:p w14:paraId="392BE37E" w14:textId="77777777" w:rsidR="00980E5F" w:rsidRDefault="00980E5F">
            <w:pPr>
              <w:rPr>
                <w:rFonts w:ascii="宋体"/>
              </w:rPr>
            </w:pPr>
          </w:p>
        </w:tc>
        <w:tc>
          <w:tcPr>
            <w:tcW w:w="5" w:type="pct"/>
            <w:shd w:val="clear" w:color="auto" w:fill="auto"/>
            <w:vAlign w:val="bottom"/>
          </w:tcPr>
          <w:p w14:paraId="392BE37F" w14:textId="77777777" w:rsidR="00980E5F" w:rsidRDefault="00980E5F">
            <w:pPr>
              <w:rPr>
                <w:rFonts w:ascii="宋体"/>
              </w:rPr>
            </w:pPr>
          </w:p>
        </w:tc>
      </w:tr>
      <w:tr w:rsidR="00980E5F" w14:paraId="392BE384" w14:textId="77777777">
        <w:tc>
          <w:tcPr>
            <w:tcW w:w="0" w:type="auto"/>
            <w:gridSpan w:val="3"/>
            <w:shd w:val="clear" w:color="auto" w:fill="auto"/>
            <w:tcMar>
              <w:top w:w="0" w:type="dxa"/>
              <w:left w:w="20" w:type="dxa"/>
              <w:bottom w:w="0" w:type="dxa"/>
              <w:right w:w="20" w:type="dxa"/>
            </w:tcMar>
            <w:vAlign w:val="bottom"/>
          </w:tcPr>
          <w:p w14:paraId="392BE38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8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BE383" w14:textId="77777777" w:rsidR="00980E5F" w:rsidRDefault="00483613">
            <w:pPr>
              <w:jc w:val="right"/>
              <w:textAlignment w:val="center"/>
            </w:pPr>
            <w:r>
              <w:rPr>
                <w:rFonts w:ascii="Arial" w:eastAsia="宋体" w:hAnsi="Arial" w:cs="Arial"/>
                <w:color w:val="000000"/>
                <w:sz w:val="18"/>
                <w:szCs w:val="18"/>
                <w:u w:val="single"/>
              </w:rPr>
              <w:t>Page</w:t>
            </w:r>
          </w:p>
        </w:tc>
      </w:tr>
      <w:tr w:rsidR="00980E5F" w14:paraId="392BE388" w14:textId="77777777">
        <w:trPr>
          <w:trHeight w:val="280"/>
        </w:trPr>
        <w:tc>
          <w:tcPr>
            <w:tcW w:w="0" w:type="auto"/>
            <w:gridSpan w:val="3"/>
            <w:shd w:val="clear" w:color="auto" w:fill="auto"/>
            <w:tcMar>
              <w:top w:w="0" w:type="dxa"/>
              <w:left w:w="20" w:type="dxa"/>
              <w:bottom w:w="0" w:type="dxa"/>
              <w:right w:w="20" w:type="dxa"/>
            </w:tcMar>
            <w:vAlign w:val="bottom"/>
          </w:tcPr>
          <w:p w14:paraId="392BE3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8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387" w14:textId="77777777" w:rsidR="00980E5F" w:rsidRDefault="00980E5F">
            <w:pPr>
              <w:rPr>
                <w:rFonts w:ascii="宋体"/>
              </w:rPr>
            </w:pPr>
          </w:p>
        </w:tc>
      </w:tr>
      <w:tr w:rsidR="00980E5F" w14:paraId="392BE38C" w14:textId="77777777">
        <w:tc>
          <w:tcPr>
            <w:tcW w:w="0" w:type="auto"/>
            <w:gridSpan w:val="3"/>
            <w:shd w:val="clear" w:color="auto" w:fill="auto"/>
            <w:tcMar>
              <w:top w:w="40" w:type="dxa"/>
              <w:left w:w="155" w:type="dxa"/>
              <w:bottom w:w="40" w:type="dxa"/>
              <w:right w:w="20" w:type="dxa"/>
            </w:tcMar>
            <w:vAlign w:val="center"/>
          </w:tcPr>
          <w:p w14:paraId="392BE389" w14:textId="77777777" w:rsidR="00980E5F" w:rsidRDefault="00483613">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392BE38A" w14:textId="77777777" w:rsidR="00980E5F" w:rsidRDefault="00483613">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vAlign w:val="bottom"/>
          </w:tcPr>
          <w:p w14:paraId="392BE38B" w14:textId="77777777" w:rsidR="00980E5F" w:rsidRDefault="00980E5F">
            <w:pPr>
              <w:rPr>
                <w:rFonts w:ascii="宋体"/>
              </w:rPr>
            </w:pPr>
          </w:p>
        </w:tc>
      </w:tr>
      <w:tr w:rsidR="00980E5F" w14:paraId="392BE390" w14:textId="77777777">
        <w:tc>
          <w:tcPr>
            <w:tcW w:w="0" w:type="auto"/>
            <w:gridSpan w:val="3"/>
            <w:shd w:val="clear" w:color="auto" w:fill="auto"/>
            <w:tcMar>
              <w:top w:w="0" w:type="dxa"/>
              <w:left w:w="20" w:type="dxa"/>
              <w:bottom w:w="0" w:type="dxa"/>
              <w:right w:w="20" w:type="dxa"/>
            </w:tcMar>
            <w:vAlign w:val="bottom"/>
          </w:tcPr>
          <w:p w14:paraId="392BE38D"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vAlign w:val="center"/>
          </w:tcPr>
          <w:p w14:paraId="392BE38E" w14:textId="77777777" w:rsidR="00980E5F" w:rsidRDefault="00483613">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392BE38F" w14:textId="77777777" w:rsidR="00980E5F" w:rsidRDefault="00483613">
            <w:pPr>
              <w:jc w:val="right"/>
              <w:textAlignment w:val="center"/>
            </w:pPr>
            <w:hyperlink r:id="rId6" w:anchor="i390f1cb266204783a8e800858b39c562_13" w:history="1">
              <w:r>
                <w:rPr>
                  <w:rStyle w:val="a5"/>
                  <w:rFonts w:ascii="Arial" w:eastAsia="宋体" w:hAnsi="Arial" w:cs="Arial"/>
                  <w:color w:val="000000"/>
                  <w:sz w:val="18"/>
                  <w:szCs w:val="18"/>
                  <w:u w:val="none"/>
                </w:rPr>
                <w:t>4</w:t>
              </w:r>
            </w:hyperlink>
          </w:p>
        </w:tc>
      </w:tr>
      <w:tr w:rsidR="00980E5F" w14:paraId="392BE394" w14:textId="77777777">
        <w:tc>
          <w:tcPr>
            <w:tcW w:w="0" w:type="auto"/>
            <w:gridSpan w:val="3"/>
            <w:shd w:val="clear" w:color="auto" w:fill="auto"/>
            <w:tcMar>
              <w:top w:w="0" w:type="dxa"/>
              <w:left w:w="20" w:type="dxa"/>
              <w:bottom w:w="0" w:type="dxa"/>
              <w:right w:w="20" w:type="dxa"/>
            </w:tcMar>
            <w:vAlign w:val="bottom"/>
          </w:tcPr>
          <w:p w14:paraId="392BE391"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92" w14:textId="77777777" w:rsidR="00980E5F" w:rsidRDefault="00483613">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392BE393" w14:textId="77777777" w:rsidR="00980E5F" w:rsidRDefault="00483613">
            <w:pPr>
              <w:jc w:val="right"/>
              <w:textAlignment w:val="center"/>
            </w:pPr>
            <w:hyperlink r:id="rId7" w:anchor="i390f1cb266204783a8e800858b39c562_16" w:history="1">
              <w:r>
                <w:rPr>
                  <w:rStyle w:val="a5"/>
                  <w:rFonts w:ascii="Arial" w:eastAsia="宋体" w:hAnsi="Arial" w:cs="Arial"/>
                  <w:color w:val="000000"/>
                  <w:sz w:val="18"/>
                  <w:szCs w:val="18"/>
                  <w:u w:val="none"/>
                </w:rPr>
                <w:t>4</w:t>
              </w:r>
            </w:hyperlink>
          </w:p>
        </w:tc>
      </w:tr>
      <w:tr w:rsidR="00980E5F" w14:paraId="392BE398" w14:textId="77777777">
        <w:tc>
          <w:tcPr>
            <w:tcW w:w="0" w:type="auto"/>
            <w:gridSpan w:val="3"/>
            <w:shd w:val="clear" w:color="auto" w:fill="auto"/>
            <w:tcMar>
              <w:top w:w="0" w:type="dxa"/>
              <w:left w:w="20" w:type="dxa"/>
              <w:bottom w:w="0" w:type="dxa"/>
              <w:right w:w="20" w:type="dxa"/>
            </w:tcMar>
            <w:vAlign w:val="bottom"/>
          </w:tcPr>
          <w:p w14:paraId="392BE395"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96" w14:textId="77777777" w:rsidR="00980E5F" w:rsidRDefault="00483613">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392BE397" w14:textId="77777777" w:rsidR="00980E5F" w:rsidRDefault="00483613">
            <w:pPr>
              <w:jc w:val="right"/>
              <w:textAlignment w:val="center"/>
            </w:pPr>
            <w:hyperlink r:id="rId8" w:anchor="i390f1cb266204783a8e800858b39c562_25" w:history="1">
              <w:r>
                <w:rPr>
                  <w:rStyle w:val="a5"/>
                  <w:rFonts w:ascii="Arial" w:eastAsia="宋体" w:hAnsi="Arial" w:cs="Arial"/>
                  <w:color w:val="000000"/>
                  <w:sz w:val="18"/>
                  <w:szCs w:val="18"/>
                  <w:u w:val="none"/>
                </w:rPr>
                <w:t>8</w:t>
              </w:r>
            </w:hyperlink>
          </w:p>
        </w:tc>
      </w:tr>
      <w:tr w:rsidR="00980E5F" w14:paraId="392BE39C" w14:textId="77777777">
        <w:tc>
          <w:tcPr>
            <w:tcW w:w="0" w:type="auto"/>
            <w:gridSpan w:val="3"/>
            <w:shd w:val="clear" w:color="auto" w:fill="auto"/>
            <w:tcMar>
              <w:top w:w="0" w:type="dxa"/>
              <w:left w:w="20" w:type="dxa"/>
              <w:bottom w:w="0" w:type="dxa"/>
              <w:right w:w="20" w:type="dxa"/>
            </w:tcMar>
            <w:vAlign w:val="bottom"/>
          </w:tcPr>
          <w:p w14:paraId="392BE399"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9A" w14:textId="77777777" w:rsidR="00980E5F" w:rsidRDefault="00483613">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392BE39B" w14:textId="77777777" w:rsidR="00980E5F" w:rsidRDefault="00483613">
            <w:pPr>
              <w:jc w:val="right"/>
              <w:textAlignment w:val="center"/>
            </w:pPr>
            <w:hyperlink r:id="rId9" w:anchor="i390f1cb266204783a8e800858b39c562_34" w:history="1">
              <w:r>
                <w:rPr>
                  <w:rStyle w:val="a5"/>
                  <w:rFonts w:ascii="Arial" w:eastAsia="宋体" w:hAnsi="Arial" w:cs="Arial"/>
                  <w:color w:val="000000"/>
                  <w:sz w:val="18"/>
                  <w:szCs w:val="18"/>
                  <w:u w:val="none"/>
                </w:rPr>
                <w:t>10</w:t>
              </w:r>
            </w:hyperlink>
          </w:p>
        </w:tc>
      </w:tr>
      <w:tr w:rsidR="00980E5F" w14:paraId="392BE3A0" w14:textId="77777777">
        <w:tc>
          <w:tcPr>
            <w:tcW w:w="0" w:type="auto"/>
            <w:gridSpan w:val="3"/>
            <w:shd w:val="clear" w:color="auto" w:fill="auto"/>
            <w:tcMar>
              <w:top w:w="0" w:type="dxa"/>
              <w:left w:w="20" w:type="dxa"/>
              <w:bottom w:w="0" w:type="dxa"/>
              <w:right w:w="20" w:type="dxa"/>
            </w:tcMar>
            <w:vAlign w:val="bottom"/>
          </w:tcPr>
          <w:p w14:paraId="392BE39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9E" w14:textId="77777777" w:rsidR="00980E5F" w:rsidRDefault="00483613">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392BE39F" w14:textId="77777777" w:rsidR="00980E5F" w:rsidRDefault="00483613">
            <w:pPr>
              <w:jc w:val="right"/>
              <w:textAlignment w:val="center"/>
            </w:pPr>
            <w:hyperlink r:id="rId10" w:anchor="i390f1cb266204783a8e800858b39c562_37" w:history="1">
              <w:r>
                <w:rPr>
                  <w:rStyle w:val="a5"/>
                  <w:rFonts w:ascii="Arial" w:eastAsia="宋体" w:hAnsi="Arial" w:cs="Arial"/>
                  <w:color w:val="000000"/>
                  <w:sz w:val="18"/>
                  <w:szCs w:val="18"/>
                  <w:u w:val="none"/>
                </w:rPr>
                <w:t>11</w:t>
              </w:r>
            </w:hyperlink>
          </w:p>
        </w:tc>
      </w:tr>
      <w:tr w:rsidR="00980E5F" w14:paraId="392BE3A4" w14:textId="77777777">
        <w:tc>
          <w:tcPr>
            <w:tcW w:w="0" w:type="auto"/>
            <w:gridSpan w:val="3"/>
            <w:shd w:val="clear" w:color="auto" w:fill="auto"/>
            <w:tcMar>
              <w:top w:w="0" w:type="dxa"/>
              <w:left w:w="20" w:type="dxa"/>
              <w:bottom w:w="0" w:type="dxa"/>
              <w:right w:w="20" w:type="dxa"/>
            </w:tcMar>
            <w:vAlign w:val="bottom"/>
          </w:tcPr>
          <w:p w14:paraId="392BE3A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A2" w14:textId="77777777" w:rsidR="00980E5F" w:rsidRDefault="00483613">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392BE3A3" w14:textId="77777777" w:rsidR="00980E5F" w:rsidRDefault="00483613">
            <w:pPr>
              <w:jc w:val="right"/>
              <w:textAlignment w:val="center"/>
            </w:pPr>
            <w:hyperlink r:id="rId11" w:anchor="i390f1cb266204783a8e800858b39c562_61" w:history="1">
              <w:r>
                <w:rPr>
                  <w:rStyle w:val="a5"/>
                  <w:rFonts w:ascii="Arial" w:eastAsia="宋体" w:hAnsi="Arial" w:cs="Arial"/>
                  <w:color w:val="000000"/>
                  <w:sz w:val="18"/>
                  <w:szCs w:val="18"/>
                  <w:u w:val="none"/>
                </w:rPr>
                <w:t>20</w:t>
              </w:r>
            </w:hyperlink>
          </w:p>
        </w:tc>
      </w:tr>
      <w:tr w:rsidR="00980E5F" w14:paraId="392BE3A8" w14:textId="77777777">
        <w:tc>
          <w:tcPr>
            <w:tcW w:w="0" w:type="auto"/>
            <w:gridSpan w:val="3"/>
            <w:shd w:val="clear" w:color="auto" w:fill="auto"/>
            <w:tcMar>
              <w:top w:w="0" w:type="dxa"/>
              <w:left w:w="20" w:type="dxa"/>
              <w:bottom w:w="0" w:type="dxa"/>
              <w:right w:w="20" w:type="dxa"/>
            </w:tcMar>
            <w:vAlign w:val="bottom"/>
          </w:tcPr>
          <w:p w14:paraId="392BE3A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A6" w14:textId="77777777" w:rsidR="00980E5F" w:rsidRDefault="00483613">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392BE3A7" w14:textId="77777777" w:rsidR="00980E5F" w:rsidRDefault="00483613">
            <w:pPr>
              <w:jc w:val="right"/>
              <w:textAlignment w:val="center"/>
            </w:pPr>
            <w:hyperlink r:id="rId12" w:anchor="i390f1cb266204783a8e800858b39c562_73" w:history="1">
              <w:r>
                <w:rPr>
                  <w:rStyle w:val="a5"/>
                  <w:rFonts w:ascii="Arial" w:eastAsia="宋体" w:hAnsi="Arial" w:cs="Arial"/>
                  <w:color w:val="000000"/>
                  <w:sz w:val="18"/>
                  <w:szCs w:val="18"/>
                  <w:u w:val="none"/>
                </w:rPr>
                <w:t>23</w:t>
              </w:r>
            </w:hyperlink>
          </w:p>
        </w:tc>
      </w:tr>
      <w:tr w:rsidR="00980E5F" w14:paraId="392BE3AC" w14:textId="77777777">
        <w:tc>
          <w:tcPr>
            <w:tcW w:w="0" w:type="auto"/>
            <w:gridSpan w:val="3"/>
            <w:shd w:val="clear" w:color="auto" w:fill="auto"/>
            <w:tcMar>
              <w:top w:w="0" w:type="dxa"/>
              <w:left w:w="20" w:type="dxa"/>
              <w:bottom w:w="0" w:type="dxa"/>
              <w:right w:w="20" w:type="dxa"/>
            </w:tcMar>
            <w:vAlign w:val="bottom"/>
          </w:tcPr>
          <w:p w14:paraId="392BE3A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AA" w14:textId="77777777" w:rsidR="00980E5F" w:rsidRDefault="00483613">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392BE3AB" w14:textId="77777777" w:rsidR="00980E5F" w:rsidRDefault="00483613">
            <w:pPr>
              <w:jc w:val="right"/>
              <w:textAlignment w:val="center"/>
            </w:pPr>
            <w:hyperlink r:id="rId13" w:anchor="i390f1cb266204783a8e800858b39c562_76" w:history="1">
              <w:r>
                <w:rPr>
                  <w:rStyle w:val="a5"/>
                  <w:rFonts w:ascii="Arial" w:eastAsia="宋体" w:hAnsi="Arial" w:cs="Arial"/>
                  <w:color w:val="000000"/>
                  <w:sz w:val="18"/>
                  <w:szCs w:val="18"/>
                  <w:u w:val="none"/>
                </w:rPr>
                <w:t>23</w:t>
              </w:r>
            </w:hyperlink>
          </w:p>
        </w:tc>
      </w:tr>
      <w:tr w:rsidR="00980E5F" w14:paraId="392BE3B0" w14:textId="77777777">
        <w:tc>
          <w:tcPr>
            <w:tcW w:w="0" w:type="auto"/>
            <w:gridSpan w:val="3"/>
            <w:shd w:val="clear" w:color="auto" w:fill="auto"/>
            <w:tcMar>
              <w:top w:w="0" w:type="dxa"/>
              <w:left w:w="20" w:type="dxa"/>
              <w:bottom w:w="0" w:type="dxa"/>
              <w:right w:w="20" w:type="dxa"/>
            </w:tcMar>
            <w:vAlign w:val="bottom"/>
          </w:tcPr>
          <w:p w14:paraId="392BE3AD" w14:textId="77777777" w:rsidR="00980E5F" w:rsidRDefault="00980E5F">
            <w:pPr>
              <w:rPr>
                <w:rFonts w:ascii="宋体"/>
              </w:rPr>
            </w:pPr>
          </w:p>
        </w:tc>
        <w:tc>
          <w:tcPr>
            <w:tcW w:w="0" w:type="auto"/>
            <w:gridSpan w:val="3"/>
            <w:shd w:val="clear" w:color="auto" w:fill="auto"/>
            <w:tcMar>
              <w:top w:w="40" w:type="dxa"/>
              <w:left w:w="605" w:type="dxa"/>
              <w:bottom w:w="40" w:type="dxa"/>
              <w:right w:w="20" w:type="dxa"/>
            </w:tcMar>
            <w:vAlign w:val="center"/>
          </w:tcPr>
          <w:p w14:paraId="392BE3AE" w14:textId="77777777" w:rsidR="00980E5F" w:rsidRDefault="00483613">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392BE3AF" w14:textId="77777777" w:rsidR="00980E5F" w:rsidRDefault="00483613">
            <w:pPr>
              <w:jc w:val="right"/>
              <w:textAlignment w:val="center"/>
            </w:pPr>
            <w:r>
              <w:rPr>
                <w:rFonts w:ascii="Arial" w:eastAsia="宋体" w:hAnsi="Arial" w:cs="Arial"/>
                <w:color w:val="000000"/>
                <w:sz w:val="18"/>
                <w:szCs w:val="18"/>
              </w:rPr>
              <w:t>24</w:t>
            </w:r>
          </w:p>
        </w:tc>
      </w:tr>
      <w:tr w:rsidR="00980E5F" w14:paraId="392BE3B4" w14:textId="77777777">
        <w:tc>
          <w:tcPr>
            <w:tcW w:w="0" w:type="auto"/>
            <w:gridSpan w:val="3"/>
            <w:shd w:val="clear" w:color="auto" w:fill="auto"/>
            <w:tcMar>
              <w:top w:w="0" w:type="dxa"/>
              <w:left w:w="20" w:type="dxa"/>
              <w:bottom w:w="0" w:type="dxa"/>
              <w:right w:w="20" w:type="dxa"/>
            </w:tcMar>
            <w:vAlign w:val="bottom"/>
          </w:tcPr>
          <w:p w14:paraId="392BE3B1" w14:textId="77777777" w:rsidR="00980E5F" w:rsidRDefault="00980E5F">
            <w:pPr>
              <w:rPr>
                <w:rFonts w:ascii="宋体"/>
              </w:rPr>
            </w:pPr>
          </w:p>
        </w:tc>
        <w:tc>
          <w:tcPr>
            <w:tcW w:w="0" w:type="auto"/>
            <w:gridSpan w:val="3"/>
            <w:shd w:val="clear" w:color="auto" w:fill="auto"/>
            <w:tcMar>
              <w:top w:w="40" w:type="dxa"/>
              <w:left w:w="605" w:type="dxa"/>
              <w:bottom w:w="40" w:type="dxa"/>
              <w:right w:w="20" w:type="dxa"/>
            </w:tcMar>
            <w:vAlign w:val="center"/>
          </w:tcPr>
          <w:p w14:paraId="392BE3B2" w14:textId="77777777" w:rsidR="00980E5F" w:rsidRDefault="00483613">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392BE3B3" w14:textId="77777777" w:rsidR="00980E5F" w:rsidRDefault="00483613">
            <w:pPr>
              <w:jc w:val="right"/>
              <w:textAlignment w:val="center"/>
            </w:pPr>
            <w:r>
              <w:rPr>
                <w:rFonts w:ascii="Arial" w:eastAsia="宋体" w:hAnsi="Arial" w:cs="Arial"/>
                <w:color w:val="000000"/>
                <w:sz w:val="18"/>
                <w:szCs w:val="18"/>
              </w:rPr>
              <w:t>24</w:t>
            </w:r>
          </w:p>
        </w:tc>
      </w:tr>
      <w:tr w:rsidR="00980E5F" w14:paraId="392BE3B8" w14:textId="77777777">
        <w:tc>
          <w:tcPr>
            <w:tcW w:w="0" w:type="auto"/>
            <w:gridSpan w:val="3"/>
            <w:shd w:val="clear" w:color="auto" w:fill="auto"/>
            <w:tcMar>
              <w:top w:w="0" w:type="dxa"/>
              <w:left w:w="20" w:type="dxa"/>
              <w:bottom w:w="0" w:type="dxa"/>
              <w:right w:w="20" w:type="dxa"/>
            </w:tcMar>
            <w:vAlign w:val="bottom"/>
          </w:tcPr>
          <w:p w14:paraId="392BE3B5"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B6" w14:textId="77777777" w:rsidR="00980E5F" w:rsidRDefault="00483613">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392BE3B7" w14:textId="77777777" w:rsidR="00980E5F" w:rsidRDefault="00483613">
            <w:pPr>
              <w:jc w:val="right"/>
              <w:textAlignment w:val="center"/>
            </w:pPr>
            <w:hyperlink r:id="rId14" w:anchor="i390f1cb266204783a8e800858b39c562_79" w:history="1">
              <w:r>
                <w:rPr>
                  <w:rStyle w:val="a5"/>
                  <w:rFonts w:ascii="Arial" w:eastAsia="宋体" w:hAnsi="Arial" w:cs="Arial"/>
                  <w:color w:val="000000"/>
                  <w:sz w:val="18"/>
                  <w:szCs w:val="18"/>
                  <w:u w:val="none"/>
                </w:rPr>
                <w:t>24</w:t>
              </w:r>
            </w:hyperlink>
          </w:p>
        </w:tc>
      </w:tr>
      <w:tr w:rsidR="00980E5F" w14:paraId="392BE3BC" w14:textId="77777777">
        <w:tc>
          <w:tcPr>
            <w:tcW w:w="0" w:type="auto"/>
            <w:gridSpan w:val="3"/>
            <w:shd w:val="clear" w:color="auto" w:fill="auto"/>
            <w:tcMar>
              <w:top w:w="0" w:type="dxa"/>
              <w:left w:w="20" w:type="dxa"/>
              <w:bottom w:w="0" w:type="dxa"/>
              <w:right w:w="20" w:type="dxa"/>
            </w:tcMar>
            <w:vAlign w:val="bottom"/>
          </w:tcPr>
          <w:p w14:paraId="392BE3B9"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BA" w14:textId="77777777" w:rsidR="00980E5F" w:rsidRDefault="00483613">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392BE3BB" w14:textId="77777777" w:rsidR="00980E5F" w:rsidRDefault="00483613">
            <w:pPr>
              <w:jc w:val="right"/>
              <w:textAlignment w:val="center"/>
            </w:pPr>
            <w:hyperlink r:id="rId15" w:anchor="i390f1cb266204783a8e800858b39c562_82" w:history="1">
              <w:r>
                <w:rPr>
                  <w:rStyle w:val="a5"/>
                  <w:rFonts w:ascii="Arial" w:eastAsia="宋体" w:hAnsi="Arial" w:cs="Arial"/>
                  <w:color w:val="000000"/>
                  <w:sz w:val="18"/>
                  <w:szCs w:val="18"/>
                  <w:u w:val="none"/>
                </w:rPr>
                <w:t>24</w:t>
              </w:r>
            </w:hyperlink>
          </w:p>
        </w:tc>
      </w:tr>
      <w:tr w:rsidR="00980E5F" w14:paraId="392BE3C0" w14:textId="77777777">
        <w:tc>
          <w:tcPr>
            <w:tcW w:w="0" w:type="auto"/>
            <w:gridSpan w:val="3"/>
            <w:shd w:val="clear" w:color="auto" w:fill="auto"/>
            <w:tcMar>
              <w:top w:w="0" w:type="dxa"/>
              <w:left w:w="20" w:type="dxa"/>
              <w:bottom w:w="0" w:type="dxa"/>
              <w:right w:w="20" w:type="dxa"/>
            </w:tcMar>
            <w:vAlign w:val="bottom"/>
          </w:tcPr>
          <w:p w14:paraId="392BE3B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BE" w14:textId="77777777" w:rsidR="00980E5F" w:rsidRDefault="00483613">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392BE3BF" w14:textId="77777777" w:rsidR="00980E5F" w:rsidRDefault="00483613">
            <w:pPr>
              <w:jc w:val="right"/>
              <w:textAlignment w:val="center"/>
            </w:pPr>
            <w:hyperlink r:id="rId16" w:anchor="i390f1cb266204783a8e800858b39c562_85" w:history="1">
              <w:r>
                <w:rPr>
                  <w:rStyle w:val="a5"/>
                  <w:rFonts w:ascii="Arial" w:eastAsia="宋体" w:hAnsi="Arial" w:cs="Arial"/>
                  <w:color w:val="000000"/>
                  <w:sz w:val="18"/>
                  <w:szCs w:val="18"/>
                  <w:u w:val="none"/>
                </w:rPr>
                <w:t>26</w:t>
              </w:r>
            </w:hyperlink>
          </w:p>
        </w:tc>
      </w:tr>
      <w:tr w:rsidR="00980E5F" w14:paraId="392BE3C4" w14:textId="77777777">
        <w:tc>
          <w:tcPr>
            <w:tcW w:w="0" w:type="auto"/>
            <w:gridSpan w:val="3"/>
            <w:shd w:val="clear" w:color="auto" w:fill="auto"/>
            <w:tcMar>
              <w:top w:w="0" w:type="dxa"/>
              <w:left w:w="20" w:type="dxa"/>
              <w:bottom w:w="0" w:type="dxa"/>
              <w:right w:w="20" w:type="dxa"/>
            </w:tcMar>
            <w:vAlign w:val="bottom"/>
          </w:tcPr>
          <w:p w14:paraId="392BE3C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C2" w14:textId="77777777" w:rsidR="00980E5F" w:rsidRDefault="00483613">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392BE3C3" w14:textId="77777777" w:rsidR="00980E5F" w:rsidRDefault="00483613">
            <w:pPr>
              <w:jc w:val="right"/>
              <w:textAlignment w:val="center"/>
            </w:pPr>
            <w:hyperlink r:id="rId17" w:anchor="i390f1cb266204783a8e800858b39c562_97" w:history="1">
              <w:r>
                <w:rPr>
                  <w:rStyle w:val="a5"/>
                  <w:rFonts w:ascii="Arial" w:eastAsia="宋体" w:hAnsi="Arial" w:cs="Arial"/>
                  <w:color w:val="000000"/>
                  <w:sz w:val="18"/>
                  <w:szCs w:val="18"/>
                  <w:u w:val="none"/>
                </w:rPr>
                <w:t>27</w:t>
              </w:r>
            </w:hyperlink>
          </w:p>
        </w:tc>
      </w:tr>
      <w:tr w:rsidR="00980E5F" w14:paraId="392BE3C8" w14:textId="77777777">
        <w:tc>
          <w:tcPr>
            <w:tcW w:w="0" w:type="auto"/>
            <w:gridSpan w:val="3"/>
            <w:shd w:val="clear" w:color="auto" w:fill="auto"/>
            <w:tcMar>
              <w:top w:w="0" w:type="dxa"/>
              <w:left w:w="20" w:type="dxa"/>
              <w:bottom w:w="0" w:type="dxa"/>
              <w:right w:w="20" w:type="dxa"/>
            </w:tcMar>
            <w:vAlign w:val="bottom"/>
          </w:tcPr>
          <w:p w14:paraId="392BE3C5"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C6" w14:textId="77777777" w:rsidR="00980E5F" w:rsidRDefault="00483613">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392BE3C7" w14:textId="77777777" w:rsidR="00980E5F" w:rsidRDefault="00483613">
            <w:pPr>
              <w:jc w:val="right"/>
              <w:textAlignment w:val="center"/>
            </w:pPr>
            <w:hyperlink r:id="rId18" w:anchor="i390f1cb266204783a8e800858b39c562_106" w:history="1">
              <w:r>
                <w:rPr>
                  <w:rStyle w:val="a5"/>
                  <w:rFonts w:ascii="Arial" w:eastAsia="宋体" w:hAnsi="Arial" w:cs="Arial"/>
                  <w:color w:val="000000"/>
                  <w:sz w:val="18"/>
                  <w:szCs w:val="18"/>
                  <w:u w:val="none"/>
                </w:rPr>
                <w:t>27</w:t>
              </w:r>
            </w:hyperlink>
          </w:p>
        </w:tc>
      </w:tr>
      <w:tr w:rsidR="00980E5F" w14:paraId="392BE3CC" w14:textId="77777777">
        <w:tc>
          <w:tcPr>
            <w:tcW w:w="0" w:type="auto"/>
            <w:gridSpan w:val="3"/>
            <w:shd w:val="clear" w:color="auto" w:fill="auto"/>
            <w:tcMar>
              <w:top w:w="0" w:type="dxa"/>
              <w:left w:w="20" w:type="dxa"/>
              <w:bottom w:w="0" w:type="dxa"/>
              <w:right w:w="20" w:type="dxa"/>
            </w:tcMar>
            <w:vAlign w:val="bottom"/>
          </w:tcPr>
          <w:p w14:paraId="392BE3C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CA" w14:textId="77777777" w:rsidR="00980E5F" w:rsidRDefault="00483613">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392BE3CB" w14:textId="77777777" w:rsidR="00980E5F" w:rsidRDefault="00483613">
            <w:pPr>
              <w:jc w:val="right"/>
              <w:textAlignment w:val="center"/>
            </w:pPr>
            <w:hyperlink r:id="rId19" w:anchor="i390f1cb266204783a8e800858b39c562_109" w:history="1">
              <w:r>
                <w:rPr>
                  <w:rStyle w:val="a5"/>
                  <w:rFonts w:ascii="Arial" w:eastAsia="宋体" w:hAnsi="Arial" w:cs="Arial"/>
                  <w:color w:val="000000"/>
                  <w:sz w:val="18"/>
                  <w:szCs w:val="18"/>
                  <w:u w:val="none"/>
                </w:rPr>
                <w:t>28</w:t>
              </w:r>
            </w:hyperlink>
          </w:p>
        </w:tc>
      </w:tr>
      <w:tr w:rsidR="00980E5F" w14:paraId="392BE3D0" w14:textId="77777777">
        <w:tc>
          <w:tcPr>
            <w:tcW w:w="0" w:type="auto"/>
            <w:gridSpan w:val="3"/>
            <w:shd w:val="clear" w:color="auto" w:fill="auto"/>
            <w:tcMar>
              <w:top w:w="0" w:type="dxa"/>
              <w:left w:w="20" w:type="dxa"/>
              <w:bottom w:w="0" w:type="dxa"/>
              <w:right w:w="20" w:type="dxa"/>
            </w:tcMar>
            <w:vAlign w:val="bottom"/>
          </w:tcPr>
          <w:p w14:paraId="392BE3C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CE" w14:textId="77777777" w:rsidR="00980E5F" w:rsidRDefault="00483613">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392BE3CF" w14:textId="77777777" w:rsidR="00980E5F" w:rsidRDefault="00483613">
            <w:pPr>
              <w:jc w:val="right"/>
              <w:textAlignment w:val="center"/>
            </w:pPr>
            <w:hyperlink r:id="rId20" w:anchor="i390f1cb266204783a8e800858b39c562_121" w:history="1">
              <w:r>
                <w:rPr>
                  <w:rStyle w:val="a5"/>
                  <w:rFonts w:ascii="Arial" w:eastAsia="宋体" w:hAnsi="Arial" w:cs="Arial"/>
                  <w:color w:val="000000"/>
                  <w:sz w:val="18"/>
                  <w:szCs w:val="18"/>
                  <w:u w:val="none"/>
                </w:rPr>
                <w:t>31</w:t>
              </w:r>
            </w:hyperlink>
          </w:p>
        </w:tc>
      </w:tr>
      <w:tr w:rsidR="00980E5F" w14:paraId="392BE3D4" w14:textId="77777777">
        <w:tc>
          <w:tcPr>
            <w:tcW w:w="0" w:type="auto"/>
            <w:gridSpan w:val="3"/>
            <w:shd w:val="clear" w:color="auto" w:fill="auto"/>
            <w:tcMar>
              <w:top w:w="0" w:type="dxa"/>
              <w:left w:w="20" w:type="dxa"/>
              <w:bottom w:w="0" w:type="dxa"/>
              <w:right w:w="20" w:type="dxa"/>
            </w:tcMar>
            <w:vAlign w:val="bottom"/>
          </w:tcPr>
          <w:p w14:paraId="392BE3D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D2" w14:textId="77777777" w:rsidR="00980E5F" w:rsidRDefault="00483613">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392BE3D3" w14:textId="77777777" w:rsidR="00980E5F" w:rsidRDefault="00483613">
            <w:pPr>
              <w:jc w:val="right"/>
              <w:textAlignment w:val="center"/>
            </w:pPr>
            <w:hyperlink r:id="rId21" w:anchor="i390f1cb266204783a8e800858b39c562_124" w:history="1">
              <w:r>
                <w:rPr>
                  <w:rStyle w:val="a5"/>
                  <w:rFonts w:ascii="Arial" w:eastAsia="宋体" w:hAnsi="Arial" w:cs="Arial"/>
                  <w:color w:val="000000"/>
                  <w:sz w:val="18"/>
                  <w:szCs w:val="18"/>
                  <w:u w:val="none"/>
                </w:rPr>
                <w:t>32</w:t>
              </w:r>
            </w:hyperlink>
          </w:p>
        </w:tc>
      </w:tr>
      <w:tr w:rsidR="00980E5F" w14:paraId="392BE3D8" w14:textId="77777777">
        <w:tc>
          <w:tcPr>
            <w:tcW w:w="0" w:type="auto"/>
            <w:gridSpan w:val="3"/>
            <w:shd w:val="clear" w:color="auto" w:fill="auto"/>
            <w:tcMar>
              <w:top w:w="0" w:type="dxa"/>
              <w:left w:w="20" w:type="dxa"/>
              <w:bottom w:w="0" w:type="dxa"/>
              <w:right w:w="20" w:type="dxa"/>
            </w:tcMar>
            <w:vAlign w:val="bottom"/>
          </w:tcPr>
          <w:p w14:paraId="392BE3D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D6" w14:textId="77777777" w:rsidR="00980E5F" w:rsidRDefault="00483613">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392BE3D7" w14:textId="77777777" w:rsidR="00980E5F" w:rsidRDefault="00483613">
            <w:pPr>
              <w:jc w:val="right"/>
              <w:textAlignment w:val="center"/>
            </w:pPr>
            <w:hyperlink r:id="rId22" w:anchor="i390f1cb266204783a8e800858b39c562_127" w:history="1">
              <w:r>
                <w:rPr>
                  <w:rStyle w:val="a5"/>
                  <w:rFonts w:ascii="Arial" w:eastAsia="宋体" w:hAnsi="Arial" w:cs="Arial"/>
                  <w:color w:val="000000"/>
                  <w:sz w:val="18"/>
                  <w:szCs w:val="18"/>
                  <w:u w:val="none"/>
                </w:rPr>
                <w:t>32</w:t>
              </w:r>
            </w:hyperlink>
          </w:p>
        </w:tc>
      </w:tr>
      <w:tr w:rsidR="00980E5F" w14:paraId="392BE3DC" w14:textId="77777777">
        <w:tc>
          <w:tcPr>
            <w:tcW w:w="0" w:type="auto"/>
            <w:gridSpan w:val="3"/>
            <w:shd w:val="clear" w:color="auto" w:fill="auto"/>
            <w:tcMar>
              <w:top w:w="0" w:type="dxa"/>
              <w:left w:w="20" w:type="dxa"/>
              <w:bottom w:w="0" w:type="dxa"/>
              <w:right w:w="20" w:type="dxa"/>
            </w:tcMar>
            <w:vAlign w:val="bottom"/>
          </w:tcPr>
          <w:p w14:paraId="392BE3D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DA" w14:textId="77777777" w:rsidR="00980E5F" w:rsidRDefault="00483613">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392BE3DB" w14:textId="77777777" w:rsidR="00980E5F" w:rsidRDefault="00483613">
            <w:pPr>
              <w:jc w:val="right"/>
              <w:textAlignment w:val="center"/>
            </w:pPr>
            <w:hyperlink r:id="rId23" w:anchor="i390f1cb266204783a8e800858b39c562_130" w:history="1">
              <w:r>
                <w:rPr>
                  <w:rStyle w:val="a5"/>
                  <w:rFonts w:ascii="Arial" w:eastAsia="宋体" w:hAnsi="Arial" w:cs="Arial"/>
                  <w:color w:val="000000"/>
                  <w:sz w:val="18"/>
                  <w:szCs w:val="18"/>
                  <w:u w:val="none"/>
                </w:rPr>
                <w:t>33</w:t>
              </w:r>
            </w:hyperlink>
          </w:p>
        </w:tc>
      </w:tr>
      <w:tr w:rsidR="00980E5F" w14:paraId="392BE3E0" w14:textId="77777777">
        <w:tc>
          <w:tcPr>
            <w:tcW w:w="0" w:type="auto"/>
            <w:gridSpan w:val="3"/>
            <w:shd w:val="clear" w:color="auto" w:fill="auto"/>
            <w:tcMar>
              <w:top w:w="0" w:type="dxa"/>
              <w:left w:w="20" w:type="dxa"/>
              <w:bottom w:w="0" w:type="dxa"/>
              <w:right w:w="20" w:type="dxa"/>
            </w:tcMar>
            <w:vAlign w:val="bottom"/>
          </w:tcPr>
          <w:p w14:paraId="392BE3D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DE" w14:textId="77777777" w:rsidR="00980E5F" w:rsidRDefault="00483613">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392BE3DF" w14:textId="77777777" w:rsidR="00980E5F" w:rsidRDefault="00483613">
            <w:pPr>
              <w:jc w:val="right"/>
              <w:textAlignment w:val="center"/>
            </w:pPr>
            <w:hyperlink r:id="rId24" w:anchor="i390f1cb266204783a8e800858b39c562_151" w:history="1">
              <w:r>
                <w:rPr>
                  <w:rStyle w:val="a5"/>
                  <w:rFonts w:ascii="Arial" w:eastAsia="宋体" w:hAnsi="Arial" w:cs="Arial"/>
                  <w:color w:val="000000"/>
                  <w:sz w:val="18"/>
                  <w:szCs w:val="18"/>
                  <w:u w:val="none"/>
                </w:rPr>
                <w:t>33</w:t>
              </w:r>
            </w:hyperlink>
          </w:p>
        </w:tc>
      </w:tr>
      <w:tr w:rsidR="00980E5F" w14:paraId="392BE3E4" w14:textId="77777777">
        <w:tc>
          <w:tcPr>
            <w:tcW w:w="0" w:type="auto"/>
            <w:gridSpan w:val="3"/>
            <w:shd w:val="clear" w:color="auto" w:fill="auto"/>
            <w:tcMar>
              <w:top w:w="0" w:type="dxa"/>
              <w:left w:w="20" w:type="dxa"/>
              <w:bottom w:w="0" w:type="dxa"/>
              <w:right w:w="20" w:type="dxa"/>
            </w:tcMar>
            <w:vAlign w:val="bottom"/>
          </w:tcPr>
          <w:p w14:paraId="392BE3E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E2" w14:textId="77777777" w:rsidR="00980E5F" w:rsidRDefault="00483613">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392BE3E3" w14:textId="77777777" w:rsidR="00980E5F" w:rsidRDefault="00483613">
            <w:pPr>
              <w:jc w:val="right"/>
              <w:textAlignment w:val="center"/>
            </w:pPr>
            <w:hyperlink r:id="rId25" w:anchor="i390f1cb266204783a8e800858b39c562_172" w:history="1">
              <w:r>
                <w:rPr>
                  <w:rStyle w:val="a5"/>
                  <w:rFonts w:ascii="Arial" w:eastAsia="宋体" w:hAnsi="Arial" w:cs="Arial"/>
                  <w:color w:val="000000"/>
                  <w:sz w:val="18"/>
                  <w:szCs w:val="18"/>
                  <w:u w:val="none"/>
                </w:rPr>
                <w:t>37</w:t>
              </w:r>
            </w:hyperlink>
          </w:p>
        </w:tc>
      </w:tr>
      <w:tr w:rsidR="00980E5F" w14:paraId="392BE3E8" w14:textId="77777777">
        <w:tc>
          <w:tcPr>
            <w:tcW w:w="0" w:type="auto"/>
            <w:gridSpan w:val="3"/>
            <w:shd w:val="clear" w:color="auto" w:fill="auto"/>
            <w:tcMar>
              <w:top w:w="0" w:type="dxa"/>
              <w:left w:w="20" w:type="dxa"/>
              <w:bottom w:w="0" w:type="dxa"/>
              <w:right w:w="20" w:type="dxa"/>
            </w:tcMar>
            <w:vAlign w:val="bottom"/>
          </w:tcPr>
          <w:p w14:paraId="392BE3E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E6" w14:textId="77777777" w:rsidR="00980E5F" w:rsidRDefault="00483613">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392BE3E7" w14:textId="77777777" w:rsidR="00980E5F" w:rsidRDefault="00483613">
            <w:pPr>
              <w:jc w:val="right"/>
              <w:textAlignment w:val="center"/>
            </w:pPr>
            <w:hyperlink r:id="rId26" w:anchor="i390f1cb266204783a8e800858b39c562_178" w:history="1">
              <w:r>
                <w:rPr>
                  <w:rStyle w:val="a5"/>
                  <w:rFonts w:ascii="Arial" w:eastAsia="宋体" w:hAnsi="Arial" w:cs="Arial"/>
                  <w:color w:val="000000"/>
                  <w:sz w:val="18"/>
                  <w:szCs w:val="18"/>
                  <w:u w:val="none"/>
                </w:rPr>
                <w:t>37</w:t>
              </w:r>
            </w:hyperlink>
          </w:p>
        </w:tc>
      </w:tr>
      <w:tr w:rsidR="00980E5F" w14:paraId="392BE3EC" w14:textId="77777777">
        <w:tc>
          <w:tcPr>
            <w:tcW w:w="0" w:type="auto"/>
            <w:gridSpan w:val="3"/>
            <w:shd w:val="clear" w:color="auto" w:fill="auto"/>
            <w:tcMar>
              <w:top w:w="0" w:type="dxa"/>
              <w:left w:w="20" w:type="dxa"/>
              <w:bottom w:w="0" w:type="dxa"/>
              <w:right w:w="20" w:type="dxa"/>
            </w:tcMar>
            <w:vAlign w:val="bottom"/>
          </w:tcPr>
          <w:p w14:paraId="392BE3E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EA" w14:textId="77777777" w:rsidR="00980E5F" w:rsidRDefault="00483613">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392BE3EB" w14:textId="77777777" w:rsidR="00980E5F" w:rsidRDefault="00483613">
            <w:pPr>
              <w:jc w:val="right"/>
              <w:textAlignment w:val="center"/>
            </w:pPr>
            <w:hyperlink r:id="rId27" w:anchor="i390f1cb266204783a8e800858b39c562_184" w:history="1">
              <w:r>
                <w:rPr>
                  <w:rStyle w:val="a5"/>
                  <w:rFonts w:ascii="Arial" w:eastAsia="宋体" w:hAnsi="Arial" w:cs="Arial"/>
                  <w:color w:val="000000"/>
                  <w:sz w:val="18"/>
                  <w:szCs w:val="18"/>
                  <w:u w:val="none"/>
                </w:rPr>
                <w:t>38</w:t>
              </w:r>
            </w:hyperlink>
          </w:p>
        </w:tc>
      </w:tr>
      <w:tr w:rsidR="00980E5F" w14:paraId="392BE3F0" w14:textId="77777777">
        <w:tc>
          <w:tcPr>
            <w:tcW w:w="0" w:type="auto"/>
            <w:gridSpan w:val="3"/>
            <w:shd w:val="clear" w:color="auto" w:fill="auto"/>
            <w:tcMar>
              <w:top w:w="0" w:type="dxa"/>
              <w:left w:w="20" w:type="dxa"/>
              <w:bottom w:w="0" w:type="dxa"/>
              <w:right w:w="20" w:type="dxa"/>
            </w:tcMar>
            <w:vAlign w:val="bottom"/>
          </w:tcPr>
          <w:p w14:paraId="392BE3E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EE" w14:textId="77777777" w:rsidR="00980E5F" w:rsidRDefault="00483613">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392BE3EF" w14:textId="77777777" w:rsidR="00980E5F" w:rsidRDefault="00483613">
            <w:pPr>
              <w:jc w:val="right"/>
              <w:textAlignment w:val="center"/>
            </w:pPr>
            <w:hyperlink r:id="rId28" w:anchor="i390f1cb266204783a8e800858b39c562_199" w:history="1">
              <w:r>
                <w:rPr>
                  <w:rStyle w:val="a5"/>
                  <w:rFonts w:ascii="Arial" w:eastAsia="宋体" w:hAnsi="Arial" w:cs="Arial"/>
                  <w:color w:val="000000"/>
                  <w:sz w:val="18"/>
                  <w:szCs w:val="18"/>
                  <w:u w:val="none"/>
                </w:rPr>
                <w:t>42</w:t>
              </w:r>
            </w:hyperlink>
          </w:p>
        </w:tc>
      </w:tr>
      <w:tr w:rsidR="00980E5F" w14:paraId="392BE3F4" w14:textId="77777777">
        <w:tc>
          <w:tcPr>
            <w:tcW w:w="0" w:type="auto"/>
            <w:gridSpan w:val="3"/>
            <w:shd w:val="clear" w:color="auto" w:fill="auto"/>
            <w:tcMar>
              <w:top w:w="0" w:type="dxa"/>
              <w:left w:w="20" w:type="dxa"/>
              <w:bottom w:w="0" w:type="dxa"/>
              <w:right w:w="20" w:type="dxa"/>
            </w:tcMar>
            <w:vAlign w:val="bottom"/>
          </w:tcPr>
          <w:p w14:paraId="392BE3F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F2" w14:textId="77777777" w:rsidR="00980E5F" w:rsidRDefault="00483613">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392BE3F3" w14:textId="77777777" w:rsidR="00980E5F" w:rsidRDefault="00483613">
            <w:pPr>
              <w:jc w:val="right"/>
              <w:textAlignment w:val="center"/>
            </w:pPr>
            <w:hyperlink r:id="rId29" w:anchor="i390f1cb266204783a8e800858b39c562_202" w:history="1">
              <w:r>
                <w:rPr>
                  <w:rStyle w:val="a5"/>
                  <w:rFonts w:ascii="Arial" w:eastAsia="宋体" w:hAnsi="Arial" w:cs="Arial"/>
                  <w:color w:val="000000"/>
                  <w:sz w:val="18"/>
                  <w:szCs w:val="18"/>
                  <w:u w:val="none"/>
                </w:rPr>
                <w:t>42</w:t>
              </w:r>
            </w:hyperlink>
          </w:p>
        </w:tc>
      </w:tr>
      <w:tr w:rsidR="00980E5F" w14:paraId="392BE3F8" w14:textId="77777777">
        <w:tc>
          <w:tcPr>
            <w:tcW w:w="0" w:type="auto"/>
            <w:gridSpan w:val="3"/>
            <w:shd w:val="clear" w:color="auto" w:fill="auto"/>
            <w:tcMar>
              <w:top w:w="0" w:type="dxa"/>
              <w:left w:w="20" w:type="dxa"/>
              <w:bottom w:w="0" w:type="dxa"/>
              <w:right w:w="20" w:type="dxa"/>
            </w:tcMar>
            <w:vAlign w:val="bottom"/>
          </w:tcPr>
          <w:p w14:paraId="392BE3F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3F6" w14:textId="77777777" w:rsidR="00980E5F" w:rsidRDefault="00483613">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392BE3F7" w14:textId="77777777" w:rsidR="00980E5F" w:rsidRDefault="00483613">
            <w:pPr>
              <w:jc w:val="right"/>
              <w:textAlignment w:val="center"/>
            </w:pPr>
            <w:hyperlink r:id="rId30" w:anchor="i390f1cb266204783a8e800858b39c562_205" w:history="1">
              <w:r>
                <w:rPr>
                  <w:rStyle w:val="a5"/>
                  <w:rFonts w:ascii="Arial" w:eastAsia="宋体" w:hAnsi="Arial" w:cs="Arial"/>
                  <w:color w:val="000000"/>
                  <w:sz w:val="18"/>
                  <w:szCs w:val="18"/>
                  <w:u w:val="none"/>
                </w:rPr>
                <w:t>43</w:t>
              </w:r>
            </w:hyperlink>
          </w:p>
        </w:tc>
      </w:tr>
      <w:tr w:rsidR="00980E5F" w14:paraId="392BE3FC" w14:textId="77777777">
        <w:tc>
          <w:tcPr>
            <w:tcW w:w="0" w:type="auto"/>
            <w:gridSpan w:val="3"/>
            <w:shd w:val="clear" w:color="auto" w:fill="auto"/>
            <w:tcMar>
              <w:top w:w="0" w:type="dxa"/>
              <w:left w:w="20" w:type="dxa"/>
              <w:bottom w:w="0" w:type="dxa"/>
              <w:right w:w="20" w:type="dxa"/>
            </w:tcMar>
            <w:vAlign w:val="bottom"/>
          </w:tcPr>
          <w:p w14:paraId="392BE3F9"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3FA" w14:textId="77777777" w:rsidR="00980E5F" w:rsidRDefault="00483613">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392BE3FB" w14:textId="77777777" w:rsidR="00980E5F" w:rsidRDefault="00483613">
            <w:pPr>
              <w:jc w:val="right"/>
              <w:textAlignment w:val="center"/>
            </w:pPr>
            <w:hyperlink r:id="rId31" w:anchor="i390f1cb266204783a8e800858b39c562_226" w:history="1">
              <w:r>
                <w:rPr>
                  <w:rStyle w:val="a5"/>
                  <w:rFonts w:ascii="Arial" w:eastAsia="宋体" w:hAnsi="Arial" w:cs="Arial"/>
                  <w:color w:val="000000"/>
                  <w:sz w:val="18"/>
                  <w:szCs w:val="18"/>
                  <w:u w:val="none"/>
                </w:rPr>
                <w:t>52</w:t>
              </w:r>
            </w:hyperlink>
          </w:p>
        </w:tc>
      </w:tr>
      <w:tr w:rsidR="00980E5F" w14:paraId="392BE400" w14:textId="77777777">
        <w:trPr>
          <w:hidden/>
        </w:trPr>
        <w:tc>
          <w:tcPr>
            <w:tcW w:w="0" w:type="auto"/>
            <w:gridSpan w:val="3"/>
            <w:shd w:val="clear" w:color="auto" w:fill="auto"/>
            <w:vAlign w:val="bottom"/>
          </w:tcPr>
          <w:p w14:paraId="392BE3FD" w14:textId="77777777" w:rsidR="00980E5F" w:rsidRDefault="00980E5F">
            <w:pPr>
              <w:rPr>
                <w:rFonts w:ascii="宋体"/>
                <w:vanish/>
              </w:rPr>
            </w:pPr>
          </w:p>
        </w:tc>
        <w:tc>
          <w:tcPr>
            <w:tcW w:w="0" w:type="auto"/>
            <w:gridSpan w:val="3"/>
            <w:shd w:val="clear" w:color="auto" w:fill="auto"/>
            <w:vAlign w:val="bottom"/>
          </w:tcPr>
          <w:p w14:paraId="392BE3FE" w14:textId="77777777" w:rsidR="00980E5F" w:rsidRDefault="00980E5F">
            <w:pPr>
              <w:rPr>
                <w:rFonts w:ascii="宋体"/>
                <w:vanish/>
              </w:rPr>
            </w:pPr>
          </w:p>
        </w:tc>
        <w:tc>
          <w:tcPr>
            <w:tcW w:w="0" w:type="auto"/>
            <w:gridSpan w:val="3"/>
            <w:shd w:val="clear" w:color="auto" w:fill="auto"/>
            <w:vAlign w:val="bottom"/>
          </w:tcPr>
          <w:p w14:paraId="392BE3FF" w14:textId="77777777" w:rsidR="00980E5F" w:rsidRDefault="00980E5F">
            <w:pPr>
              <w:rPr>
                <w:rFonts w:ascii="宋体"/>
                <w:vanish/>
              </w:rPr>
            </w:pPr>
          </w:p>
        </w:tc>
      </w:tr>
      <w:tr w:rsidR="00980E5F" w14:paraId="392BE404" w14:textId="77777777">
        <w:tc>
          <w:tcPr>
            <w:tcW w:w="0" w:type="auto"/>
            <w:gridSpan w:val="3"/>
            <w:shd w:val="clear" w:color="auto" w:fill="auto"/>
            <w:tcMar>
              <w:top w:w="0" w:type="dxa"/>
              <w:left w:w="20" w:type="dxa"/>
              <w:bottom w:w="0" w:type="dxa"/>
              <w:right w:w="20" w:type="dxa"/>
            </w:tcMar>
            <w:vAlign w:val="bottom"/>
          </w:tcPr>
          <w:p w14:paraId="392BE401" w14:textId="77777777" w:rsidR="00980E5F" w:rsidRDefault="00980E5F">
            <w:pPr>
              <w:rPr>
                <w:rFonts w:ascii="宋体"/>
              </w:rPr>
            </w:pPr>
          </w:p>
        </w:tc>
        <w:tc>
          <w:tcPr>
            <w:tcW w:w="0" w:type="auto"/>
            <w:gridSpan w:val="3"/>
            <w:shd w:val="clear" w:color="auto" w:fill="auto"/>
            <w:tcMar>
              <w:top w:w="40" w:type="dxa"/>
              <w:left w:w="380" w:type="dxa"/>
              <w:bottom w:w="40" w:type="dxa"/>
              <w:right w:w="20" w:type="dxa"/>
            </w:tcMar>
            <w:vAlign w:val="center"/>
          </w:tcPr>
          <w:p w14:paraId="392BE402" w14:textId="77777777" w:rsidR="00980E5F" w:rsidRDefault="00483613">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392BE403" w14:textId="77777777" w:rsidR="00980E5F" w:rsidRDefault="00483613">
            <w:pPr>
              <w:jc w:val="right"/>
              <w:textAlignment w:val="center"/>
            </w:pPr>
            <w:hyperlink r:id="rId32" w:anchor="i390f1cb266204783a8e800858b39c562_232" w:history="1">
              <w:r>
                <w:rPr>
                  <w:rStyle w:val="a5"/>
                  <w:rFonts w:ascii="Arial" w:eastAsia="宋体" w:hAnsi="Arial" w:cs="Arial"/>
                  <w:color w:val="000000"/>
                  <w:sz w:val="18"/>
                  <w:szCs w:val="18"/>
                  <w:u w:val="none"/>
                </w:rPr>
                <w:t>52</w:t>
              </w:r>
            </w:hyperlink>
          </w:p>
        </w:tc>
      </w:tr>
      <w:tr w:rsidR="00980E5F" w14:paraId="392BE408" w14:textId="77777777">
        <w:tc>
          <w:tcPr>
            <w:tcW w:w="0" w:type="auto"/>
            <w:gridSpan w:val="3"/>
            <w:shd w:val="clear" w:color="auto" w:fill="auto"/>
            <w:tcMar>
              <w:top w:w="0" w:type="dxa"/>
              <w:left w:w="20" w:type="dxa"/>
              <w:bottom w:w="0" w:type="dxa"/>
              <w:right w:w="20" w:type="dxa"/>
            </w:tcMar>
            <w:vAlign w:val="bottom"/>
          </w:tcPr>
          <w:p w14:paraId="392BE405"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vAlign w:val="center"/>
          </w:tcPr>
          <w:p w14:paraId="392BE406" w14:textId="77777777" w:rsidR="00980E5F" w:rsidRDefault="00483613">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392BE407" w14:textId="77777777" w:rsidR="00980E5F" w:rsidRDefault="00483613">
            <w:pPr>
              <w:jc w:val="right"/>
              <w:textAlignment w:val="center"/>
            </w:pPr>
            <w:hyperlink r:id="rId33" w:anchor="i390f1cb266204783a8e800858b39c562_235" w:history="1">
              <w:r>
                <w:rPr>
                  <w:rStyle w:val="a5"/>
                  <w:rFonts w:ascii="Arial" w:eastAsia="宋体" w:hAnsi="Arial" w:cs="Arial"/>
                  <w:color w:val="000000"/>
                  <w:sz w:val="18"/>
                  <w:szCs w:val="18"/>
                  <w:u w:val="none"/>
                </w:rPr>
                <w:t>53</w:t>
              </w:r>
            </w:hyperlink>
          </w:p>
        </w:tc>
      </w:tr>
      <w:tr w:rsidR="00980E5F" w14:paraId="392BE40C" w14:textId="77777777">
        <w:tc>
          <w:tcPr>
            <w:tcW w:w="0" w:type="auto"/>
            <w:gridSpan w:val="3"/>
            <w:shd w:val="clear" w:color="auto" w:fill="auto"/>
            <w:tcMar>
              <w:top w:w="0" w:type="dxa"/>
              <w:left w:w="20" w:type="dxa"/>
              <w:bottom w:w="0" w:type="dxa"/>
              <w:right w:w="20" w:type="dxa"/>
            </w:tcMar>
            <w:vAlign w:val="bottom"/>
          </w:tcPr>
          <w:p w14:paraId="392BE409"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vAlign w:val="center"/>
          </w:tcPr>
          <w:p w14:paraId="392BE40A" w14:textId="77777777" w:rsidR="00980E5F" w:rsidRDefault="00483613">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392BE40B" w14:textId="77777777" w:rsidR="00980E5F" w:rsidRDefault="00483613">
            <w:pPr>
              <w:jc w:val="right"/>
              <w:textAlignment w:val="center"/>
            </w:pPr>
            <w:hyperlink r:id="rId34" w:anchor="i390f1cb266204783a8e800858b39c562_238" w:history="1">
              <w:r>
                <w:rPr>
                  <w:rStyle w:val="a5"/>
                  <w:rFonts w:ascii="Arial" w:eastAsia="宋体" w:hAnsi="Arial" w:cs="Arial"/>
                  <w:color w:val="000000"/>
                  <w:sz w:val="18"/>
                  <w:szCs w:val="18"/>
                  <w:u w:val="none"/>
                </w:rPr>
                <w:t>53</w:t>
              </w:r>
            </w:hyperlink>
          </w:p>
        </w:tc>
      </w:tr>
      <w:tr w:rsidR="00980E5F" w14:paraId="392BE410" w14:textId="77777777">
        <w:tc>
          <w:tcPr>
            <w:tcW w:w="0" w:type="auto"/>
            <w:gridSpan w:val="3"/>
            <w:shd w:val="clear" w:color="auto" w:fill="auto"/>
            <w:tcMar>
              <w:top w:w="0" w:type="dxa"/>
              <w:left w:w="20" w:type="dxa"/>
              <w:bottom w:w="0" w:type="dxa"/>
              <w:right w:w="20" w:type="dxa"/>
            </w:tcMar>
            <w:vAlign w:val="bottom"/>
          </w:tcPr>
          <w:p w14:paraId="392BE40D"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vAlign w:val="center"/>
          </w:tcPr>
          <w:p w14:paraId="392BE40E" w14:textId="77777777" w:rsidR="00980E5F" w:rsidRDefault="00483613">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392BE40F" w14:textId="77777777" w:rsidR="00980E5F" w:rsidRDefault="00483613">
            <w:pPr>
              <w:jc w:val="right"/>
              <w:textAlignment w:val="center"/>
            </w:pPr>
            <w:hyperlink r:id="rId35" w:anchor="i390f1cb266204783a8e800858b39c562_244" w:history="1">
              <w:r>
                <w:rPr>
                  <w:rStyle w:val="a5"/>
                  <w:rFonts w:ascii="Arial" w:eastAsia="宋体" w:hAnsi="Arial" w:cs="Arial"/>
                  <w:color w:val="000000"/>
                  <w:sz w:val="18"/>
                  <w:szCs w:val="18"/>
                  <w:u w:val="none"/>
                </w:rPr>
                <w:t>54</w:t>
              </w:r>
            </w:hyperlink>
          </w:p>
        </w:tc>
      </w:tr>
      <w:tr w:rsidR="00980E5F" w14:paraId="392BE414" w14:textId="77777777">
        <w:tc>
          <w:tcPr>
            <w:tcW w:w="0" w:type="auto"/>
            <w:gridSpan w:val="3"/>
            <w:shd w:val="clear" w:color="auto" w:fill="auto"/>
            <w:tcMar>
              <w:top w:w="0" w:type="dxa"/>
              <w:left w:w="20" w:type="dxa"/>
              <w:bottom w:w="0" w:type="dxa"/>
              <w:right w:w="20" w:type="dxa"/>
            </w:tcMar>
            <w:vAlign w:val="bottom"/>
          </w:tcPr>
          <w:p w14:paraId="392BE41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12" w14:textId="77777777" w:rsidR="00980E5F" w:rsidRDefault="00483613">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392BE413" w14:textId="77777777" w:rsidR="00980E5F" w:rsidRDefault="00483613">
            <w:pPr>
              <w:jc w:val="right"/>
              <w:textAlignment w:val="center"/>
            </w:pPr>
            <w:hyperlink r:id="rId36" w:anchor="i390f1cb266204783a8e800858b39c562_244" w:history="1">
              <w:r>
                <w:rPr>
                  <w:rStyle w:val="a5"/>
                  <w:rFonts w:ascii="Arial" w:eastAsia="宋体" w:hAnsi="Arial" w:cs="Arial"/>
                  <w:color w:val="000000"/>
                  <w:sz w:val="18"/>
                  <w:szCs w:val="18"/>
                  <w:u w:val="none"/>
                </w:rPr>
                <w:t>54</w:t>
              </w:r>
            </w:hyperlink>
          </w:p>
        </w:tc>
      </w:tr>
      <w:tr w:rsidR="00980E5F" w14:paraId="392BE418" w14:textId="77777777">
        <w:tc>
          <w:tcPr>
            <w:tcW w:w="0" w:type="auto"/>
            <w:gridSpan w:val="3"/>
            <w:shd w:val="clear" w:color="auto" w:fill="auto"/>
            <w:tcMar>
              <w:top w:w="0" w:type="dxa"/>
              <w:left w:w="20" w:type="dxa"/>
              <w:bottom w:w="0" w:type="dxa"/>
              <w:right w:w="20" w:type="dxa"/>
            </w:tcMar>
            <w:vAlign w:val="bottom"/>
          </w:tcPr>
          <w:p w14:paraId="392BE41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16" w14:textId="77777777" w:rsidR="00980E5F" w:rsidRDefault="00483613">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392BE417" w14:textId="77777777" w:rsidR="00980E5F" w:rsidRDefault="00483613">
            <w:pPr>
              <w:jc w:val="right"/>
              <w:textAlignment w:val="center"/>
            </w:pPr>
            <w:hyperlink r:id="rId37" w:anchor="i390f1cb266204783a8e800858b39c562_247" w:history="1">
              <w:r>
                <w:rPr>
                  <w:rStyle w:val="a5"/>
                  <w:rFonts w:ascii="Arial" w:eastAsia="宋体" w:hAnsi="Arial" w:cs="Arial"/>
                  <w:color w:val="000000"/>
                  <w:sz w:val="18"/>
                  <w:szCs w:val="18"/>
                  <w:u w:val="none"/>
                </w:rPr>
                <w:t>55</w:t>
              </w:r>
            </w:hyperlink>
          </w:p>
        </w:tc>
      </w:tr>
      <w:tr w:rsidR="00980E5F" w14:paraId="392BE41C" w14:textId="77777777">
        <w:tc>
          <w:tcPr>
            <w:tcW w:w="0" w:type="auto"/>
            <w:gridSpan w:val="3"/>
            <w:shd w:val="clear" w:color="auto" w:fill="auto"/>
            <w:tcMar>
              <w:top w:w="0" w:type="dxa"/>
              <w:left w:w="20" w:type="dxa"/>
              <w:bottom w:w="0" w:type="dxa"/>
              <w:right w:w="20" w:type="dxa"/>
            </w:tcMar>
            <w:vAlign w:val="bottom"/>
          </w:tcPr>
          <w:p w14:paraId="392BE41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1A" w14:textId="77777777" w:rsidR="00980E5F" w:rsidRDefault="00483613">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392BE41B" w14:textId="77777777" w:rsidR="00980E5F" w:rsidRDefault="00483613">
            <w:pPr>
              <w:jc w:val="right"/>
              <w:textAlignment w:val="center"/>
            </w:pPr>
            <w:hyperlink r:id="rId38" w:anchor="i390f1cb266204783a8e800858b39c562_250" w:history="1">
              <w:r>
                <w:rPr>
                  <w:rStyle w:val="a5"/>
                  <w:rFonts w:ascii="Arial" w:eastAsia="宋体" w:hAnsi="Arial" w:cs="Arial"/>
                  <w:color w:val="000000"/>
                  <w:sz w:val="18"/>
                  <w:szCs w:val="18"/>
                  <w:u w:val="none"/>
                </w:rPr>
                <w:t>56</w:t>
              </w:r>
            </w:hyperlink>
          </w:p>
        </w:tc>
      </w:tr>
      <w:tr w:rsidR="00980E5F" w14:paraId="392BE420" w14:textId="77777777">
        <w:tc>
          <w:tcPr>
            <w:tcW w:w="0" w:type="auto"/>
            <w:gridSpan w:val="3"/>
            <w:shd w:val="clear" w:color="auto" w:fill="auto"/>
            <w:tcMar>
              <w:top w:w="0" w:type="dxa"/>
              <w:left w:w="20" w:type="dxa"/>
              <w:bottom w:w="0" w:type="dxa"/>
              <w:right w:w="20" w:type="dxa"/>
            </w:tcMar>
            <w:vAlign w:val="bottom"/>
          </w:tcPr>
          <w:p w14:paraId="392BE41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1E" w14:textId="77777777" w:rsidR="00980E5F" w:rsidRDefault="00483613">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392BE41F" w14:textId="77777777" w:rsidR="00980E5F" w:rsidRDefault="00483613">
            <w:pPr>
              <w:jc w:val="right"/>
              <w:textAlignment w:val="center"/>
            </w:pPr>
            <w:hyperlink r:id="rId39" w:anchor="i390f1cb266204783a8e800858b39c562_253" w:history="1">
              <w:r>
                <w:rPr>
                  <w:rStyle w:val="a5"/>
                  <w:rFonts w:ascii="Arial" w:eastAsia="宋体" w:hAnsi="Arial" w:cs="Arial"/>
                  <w:color w:val="000000"/>
                  <w:sz w:val="18"/>
                  <w:szCs w:val="18"/>
                  <w:u w:val="none"/>
                </w:rPr>
                <w:t>57</w:t>
              </w:r>
            </w:hyperlink>
          </w:p>
        </w:tc>
      </w:tr>
      <w:tr w:rsidR="00980E5F" w14:paraId="392BE424" w14:textId="77777777">
        <w:tc>
          <w:tcPr>
            <w:tcW w:w="0" w:type="auto"/>
            <w:gridSpan w:val="3"/>
            <w:shd w:val="clear" w:color="auto" w:fill="auto"/>
            <w:tcMar>
              <w:top w:w="0" w:type="dxa"/>
              <w:left w:w="20" w:type="dxa"/>
              <w:bottom w:w="0" w:type="dxa"/>
              <w:right w:w="20" w:type="dxa"/>
            </w:tcMar>
            <w:vAlign w:val="bottom"/>
          </w:tcPr>
          <w:p w14:paraId="392BE42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22" w14:textId="77777777" w:rsidR="00980E5F" w:rsidRDefault="00483613">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392BE423" w14:textId="77777777" w:rsidR="00980E5F" w:rsidRDefault="00483613">
            <w:pPr>
              <w:jc w:val="right"/>
              <w:textAlignment w:val="center"/>
            </w:pPr>
            <w:hyperlink r:id="rId40" w:anchor="i390f1cb266204783a8e800858b39c562_256" w:history="1">
              <w:r>
                <w:rPr>
                  <w:rStyle w:val="a5"/>
                  <w:rFonts w:ascii="Arial" w:eastAsia="宋体" w:hAnsi="Arial" w:cs="Arial"/>
                  <w:color w:val="000000"/>
                  <w:sz w:val="18"/>
                  <w:szCs w:val="18"/>
                  <w:u w:val="none"/>
                </w:rPr>
                <w:t>58</w:t>
              </w:r>
            </w:hyperlink>
          </w:p>
        </w:tc>
      </w:tr>
      <w:tr w:rsidR="00980E5F" w14:paraId="392BE428" w14:textId="77777777">
        <w:tc>
          <w:tcPr>
            <w:tcW w:w="0" w:type="auto"/>
            <w:gridSpan w:val="3"/>
            <w:shd w:val="clear" w:color="auto" w:fill="auto"/>
            <w:tcMar>
              <w:top w:w="0" w:type="dxa"/>
              <w:left w:w="20" w:type="dxa"/>
              <w:bottom w:w="0" w:type="dxa"/>
              <w:right w:w="20" w:type="dxa"/>
            </w:tcMar>
            <w:vAlign w:val="bottom"/>
          </w:tcPr>
          <w:p w14:paraId="392BE42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26" w14:textId="77777777" w:rsidR="00980E5F" w:rsidRDefault="00483613">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392BE427" w14:textId="77777777" w:rsidR="00980E5F" w:rsidRDefault="00483613">
            <w:pPr>
              <w:jc w:val="right"/>
              <w:textAlignment w:val="center"/>
            </w:pPr>
            <w:hyperlink r:id="rId41" w:anchor="i390f1cb266204783a8e800858b39c562_259" w:history="1">
              <w:r>
                <w:rPr>
                  <w:rStyle w:val="a5"/>
                  <w:rFonts w:ascii="Arial" w:eastAsia="宋体" w:hAnsi="Arial" w:cs="Arial"/>
                  <w:color w:val="000000"/>
                  <w:sz w:val="18"/>
                  <w:szCs w:val="18"/>
                  <w:u w:val="none"/>
                </w:rPr>
                <w:t>59</w:t>
              </w:r>
            </w:hyperlink>
          </w:p>
        </w:tc>
      </w:tr>
      <w:tr w:rsidR="00980E5F" w14:paraId="392BE42C" w14:textId="77777777">
        <w:tc>
          <w:tcPr>
            <w:tcW w:w="0" w:type="auto"/>
            <w:gridSpan w:val="3"/>
            <w:shd w:val="clear" w:color="auto" w:fill="auto"/>
            <w:tcMar>
              <w:top w:w="0" w:type="dxa"/>
              <w:left w:w="20" w:type="dxa"/>
              <w:bottom w:w="0" w:type="dxa"/>
              <w:right w:w="20" w:type="dxa"/>
            </w:tcMar>
            <w:vAlign w:val="bottom"/>
          </w:tcPr>
          <w:p w14:paraId="392BE429"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2A" w14:textId="77777777" w:rsidR="00980E5F" w:rsidRDefault="00483613">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392BE42B" w14:textId="77777777" w:rsidR="00980E5F" w:rsidRDefault="00483613">
            <w:pPr>
              <w:jc w:val="right"/>
              <w:textAlignment w:val="center"/>
            </w:pPr>
            <w:hyperlink r:id="rId42" w:anchor="i390f1cb266204783a8e800858b39c562_262" w:history="1">
              <w:r>
                <w:rPr>
                  <w:rStyle w:val="a5"/>
                  <w:rFonts w:ascii="Arial" w:eastAsia="宋体" w:hAnsi="Arial" w:cs="Arial"/>
                  <w:color w:val="000000"/>
                  <w:sz w:val="18"/>
                  <w:szCs w:val="18"/>
                  <w:u w:val="none"/>
                </w:rPr>
                <w:t>60</w:t>
              </w:r>
            </w:hyperlink>
          </w:p>
        </w:tc>
      </w:tr>
      <w:tr w:rsidR="00980E5F" w14:paraId="392BE430" w14:textId="77777777">
        <w:tc>
          <w:tcPr>
            <w:tcW w:w="0" w:type="auto"/>
            <w:gridSpan w:val="3"/>
            <w:shd w:val="clear" w:color="auto" w:fill="auto"/>
            <w:tcMar>
              <w:top w:w="0" w:type="dxa"/>
              <w:left w:w="20" w:type="dxa"/>
              <w:bottom w:w="0" w:type="dxa"/>
              <w:right w:w="20" w:type="dxa"/>
            </w:tcMar>
            <w:vAlign w:val="bottom"/>
          </w:tcPr>
          <w:p w14:paraId="392BE42D"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2E" w14:textId="77777777" w:rsidR="00980E5F" w:rsidRDefault="00483613">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392BE42F" w14:textId="77777777" w:rsidR="00980E5F" w:rsidRDefault="00483613">
            <w:pPr>
              <w:jc w:val="right"/>
              <w:textAlignment w:val="center"/>
            </w:pPr>
            <w:hyperlink r:id="rId43" w:anchor="i390f1cb266204783a8e800858b39c562_265" w:history="1">
              <w:r>
                <w:rPr>
                  <w:rStyle w:val="a5"/>
                  <w:rFonts w:ascii="Arial" w:eastAsia="宋体" w:hAnsi="Arial" w:cs="Arial"/>
                  <w:color w:val="000000"/>
                  <w:sz w:val="18"/>
                  <w:szCs w:val="18"/>
                  <w:u w:val="none"/>
                </w:rPr>
                <w:t>66</w:t>
              </w:r>
            </w:hyperlink>
          </w:p>
        </w:tc>
      </w:tr>
      <w:tr w:rsidR="00980E5F" w14:paraId="392BE434" w14:textId="77777777">
        <w:tc>
          <w:tcPr>
            <w:tcW w:w="0" w:type="auto"/>
            <w:gridSpan w:val="3"/>
            <w:shd w:val="clear" w:color="auto" w:fill="auto"/>
            <w:tcMar>
              <w:top w:w="0" w:type="dxa"/>
              <w:left w:w="20" w:type="dxa"/>
              <w:bottom w:w="0" w:type="dxa"/>
              <w:right w:w="20" w:type="dxa"/>
            </w:tcMar>
            <w:vAlign w:val="bottom"/>
          </w:tcPr>
          <w:p w14:paraId="392BE431"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32" w14:textId="77777777" w:rsidR="00980E5F" w:rsidRDefault="00483613">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392BE433" w14:textId="77777777" w:rsidR="00980E5F" w:rsidRDefault="00483613">
            <w:pPr>
              <w:jc w:val="right"/>
              <w:textAlignment w:val="center"/>
            </w:pPr>
            <w:hyperlink r:id="rId44" w:anchor="i390f1cb266204783a8e800858b39c562_274" w:history="1">
              <w:r>
                <w:rPr>
                  <w:rStyle w:val="a5"/>
                  <w:rFonts w:ascii="Arial" w:eastAsia="宋体" w:hAnsi="Arial" w:cs="Arial"/>
                  <w:color w:val="000000"/>
                  <w:sz w:val="18"/>
                  <w:szCs w:val="18"/>
                  <w:u w:val="none"/>
                </w:rPr>
                <w:t>71</w:t>
              </w:r>
            </w:hyperlink>
          </w:p>
        </w:tc>
      </w:tr>
      <w:tr w:rsidR="00980E5F" w14:paraId="392BE438" w14:textId="77777777">
        <w:tc>
          <w:tcPr>
            <w:tcW w:w="0" w:type="auto"/>
            <w:gridSpan w:val="3"/>
            <w:shd w:val="clear" w:color="auto" w:fill="auto"/>
            <w:tcMar>
              <w:top w:w="0" w:type="dxa"/>
              <w:left w:w="20" w:type="dxa"/>
              <w:bottom w:w="0" w:type="dxa"/>
              <w:right w:w="20" w:type="dxa"/>
            </w:tcMar>
            <w:vAlign w:val="bottom"/>
          </w:tcPr>
          <w:p w14:paraId="392BE435"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36" w14:textId="77777777" w:rsidR="00980E5F" w:rsidRDefault="00483613">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392BE437" w14:textId="77777777" w:rsidR="00980E5F" w:rsidRDefault="00483613">
            <w:pPr>
              <w:jc w:val="right"/>
              <w:textAlignment w:val="center"/>
            </w:pPr>
            <w:hyperlink r:id="rId45" w:anchor="i390f1cb266204783a8e800858b39c562_277" w:history="1">
              <w:r>
                <w:rPr>
                  <w:rStyle w:val="a5"/>
                  <w:rFonts w:ascii="Arial" w:eastAsia="宋体" w:hAnsi="Arial" w:cs="Arial"/>
                  <w:color w:val="000000"/>
                  <w:sz w:val="18"/>
                  <w:szCs w:val="18"/>
                  <w:u w:val="none"/>
                </w:rPr>
                <w:t>76</w:t>
              </w:r>
            </w:hyperlink>
          </w:p>
        </w:tc>
      </w:tr>
    </w:tbl>
    <w:p w14:paraId="392BE439" w14:textId="77777777" w:rsidR="00980E5F" w:rsidRDefault="00483613">
      <w:pPr>
        <w:ind w:firstLine="450"/>
        <w:jc w:val="right"/>
      </w:pPr>
      <w:r>
        <w:rPr>
          <w:rFonts w:ascii="Arial" w:eastAsia="宋体" w:hAnsi="Arial" w:cs="Arial"/>
          <w:color w:val="000000"/>
          <w:sz w:val="18"/>
          <w:szCs w:val="18"/>
        </w:rPr>
        <w:t>State Street Corporation | 2</w:t>
      </w:r>
    </w:p>
    <w:p w14:paraId="392BE43A" w14:textId="77777777" w:rsidR="00980E5F" w:rsidRDefault="00980E5F">
      <w:pPr>
        <w:ind w:firstLine="450"/>
        <w:jc w:val="center"/>
      </w:pPr>
    </w:p>
    <w:p w14:paraId="392BE43B" w14:textId="77777777" w:rsidR="00980E5F" w:rsidRDefault="00483613">
      <w:r>
        <w:pict w14:anchorId="392CBAD0">
          <v:rect id="_x0000_i1026" style="width:415.3pt;height:1.5pt" o:hralign="center" o:hrstd="t" o:hr="t" fillcolor="#a0a0a0" stroked="f"/>
        </w:pict>
      </w:r>
    </w:p>
    <w:p w14:paraId="392BE43C" w14:textId="77777777" w:rsidR="00980E5F" w:rsidRDefault="00980E5F">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980E5F" w14:paraId="392BE446" w14:textId="77777777">
        <w:tc>
          <w:tcPr>
            <w:tcW w:w="50" w:type="pct"/>
            <w:shd w:val="clear" w:color="auto" w:fill="auto"/>
            <w:vAlign w:val="bottom"/>
          </w:tcPr>
          <w:p w14:paraId="392BE43D" w14:textId="77777777" w:rsidR="00980E5F" w:rsidRDefault="00980E5F">
            <w:pPr>
              <w:rPr>
                <w:rFonts w:ascii="宋体"/>
              </w:rPr>
            </w:pPr>
          </w:p>
        </w:tc>
        <w:tc>
          <w:tcPr>
            <w:tcW w:w="808" w:type="pct"/>
            <w:shd w:val="clear" w:color="auto" w:fill="auto"/>
            <w:vAlign w:val="bottom"/>
          </w:tcPr>
          <w:p w14:paraId="392BE43E" w14:textId="77777777" w:rsidR="00980E5F" w:rsidRDefault="00980E5F">
            <w:pPr>
              <w:rPr>
                <w:rFonts w:ascii="宋体"/>
              </w:rPr>
            </w:pPr>
          </w:p>
        </w:tc>
        <w:tc>
          <w:tcPr>
            <w:tcW w:w="5" w:type="pct"/>
            <w:shd w:val="clear" w:color="auto" w:fill="auto"/>
            <w:vAlign w:val="bottom"/>
          </w:tcPr>
          <w:p w14:paraId="392BE43F" w14:textId="77777777" w:rsidR="00980E5F" w:rsidRDefault="00980E5F">
            <w:pPr>
              <w:rPr>
                <w:rFonts w:ascii="宋体"/>
              </w:rPr>
            </w:pPr>
          </w:p>
        </w:tc>
        <w:tc>
          <w:tcPr>
            <w:tcW w:w="50" w:type="pct"/>
            <w:shd w:val="clear" w:color="auto" w:fill="auto"/>
            <w:vAlign w:val="bottom"/>
          </w:tcPr>
          <w:p w14:paraId="392BE440" w14:textId="77777777" w:rsidR="00980E5F" w:rsidRDefault="00980E5F">
            <w:pPr>
              <w:rPr>
                <w:rFonts w:ascii="宋体"/>
              </w:rPr>
            </w:pPr>
          </w:p>
        </w:tc>
        <w:tc>
          <w:tcPr>
            <w:tcW w:w="3635" w:type="pct"/>
            <w:shd w:val="clear" w:color="auto" w:fill="auto"/>
            <w:vAlign w:val="bottom"/>
          </w:tcPr>
          <w:p w14:paraId="392BE441" w14:textId="77777777" w:rsidR="00980E5F" w:rsidRDefault="00980E5F">
            <w:pPr>
              <w:rPr>
                <w:rFonts w:ascii="宋体"/>
              </w:rPr>
            </w:pPr>
          </w:p>
        </w:tc>
        <w:tc>
          <w:tcPr>
            <w:tcW w:w="5" w:type="pct"/>
            <w:shd w:val="clear" w:color="auto" w:fill="auto"/>
            <w:vAlign w:val="bottom"/>
          </w:tcPr>
          <w:p w14:paraId="392BE442" w14:textId="77777777" w:rsidR="00980E5F" w:rsidRDefault="00980E5F">
            <w:pPr>
              <w:rPr>
                <w:rFonts w:ascii="宋体"/>
              </w:rPr>
            </w:pPr>
          </w:p>
        </w:tc>
        <w:tc>
          <w:tcPr>
            <w:tcW w:w="50" w:type="pct"/>
            <w:shd w:val="clear" w:color="auto" w:fill="auto"/>
            <w:vAlign w:val="bottom"/>
          </w:tcPr>
          <w:p w14:paraId="392BE443" w14:textId="77777777" w:rsidR="00980E5F" w:rsidRDefault="00980E5F">
            <w:pPr>
              <w:rPr>
                <w:rFonts w:ascii="宋体"/>
              </w:rPr>
            </w:pPr>
          </w:p>
        </w:tc>
        <w:tc>
          <w:tcPr>
            <w:tcW w:w="391" w:type="pct"/>
            <w:shd w:val="clear" w:color="auto" w:fill="auto"/>
            <w:vAlign w:val="bottom"/>
          </w:tcPr>
          <w:p w14:paraId="392BE444" w14:textId="77777777" w:rsidR="00980E5F" w:rsidRDefault="00980E5F">
            <w:pPr>
              <w:rPr>
                <w:rFonts w:ascii="宋体"/>
              </w:rPr>
            </w:pPr>
          </w:p>
        </w:tc>
        <w:tc>
          <w:tcPr>
            <w:tcW w:w="5" w:type="pct"/>
            <w:shd w:val="clear" w:color="auto" w:fill="auto"/>
            <w:vAlign w:val="bottom"/>
          </w:tcPr>
          <w:p w14:paraId="392BE445" w14:textId="77777777" w:rsidR="00980E5F" w:rsidRDefault="00980E5F">
            <w:pPr>
              <w:rPr>
                <w:rFonts w:ascii="宋体"/>
              </w:rPr>
            </w:pPr>
          </w:p>
        </w:tc>
      </w:tr>
      <w:tr w:rsidR="00980E5F" w14:paraId="392BE44A" w14:textId="77777777">
        <w:tc>
          <w:tcPr>
            <w:tcW w:w="0" w:type="auto"/>
            <w:gridSpan w:val="3"/>
            <w:shd w:val="clear" w:color="auto" w:fill="auto"/>
            <w:tcMar>
              <w:top w:w="0" w:type="dxa"/>
              <w:left w:w="20" w:type="dxa"/>
              <w:bottom w:w="0" w:type="dxa"/>
              <w:right w:w="20" w:type="dxa"/>
            </w:tcMar>
            <w:vAlign w:val="bottom"/>
          </w:tcPr>
          <w:p w14:paraId="392BE447"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48" w14:textId="77777777" w:rsidR="00980E5F" w:rsidRDefault="00483613">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392BE449" w14:textId="77777777" w:rsidR="00980E5F" w:rsidRDefault="00483613">
            <w:pPr>
              <w:jc w:val="right"/>
              <w:textAlignment w:val="center"/>
            </w:pPr>
            <w:hyperlink r:id="rId46" w:anchor="i390f1cb266204783a8e800858b39c562_280" w:history="1">
              <w:r>
                <w:rPr>
                  <w:rStyle w:val="a5"/>
                  <w:rFonts w:ascii="Arial" w:eastAsia="宋体" w:hAnsi="Arial" w:cs="Arial"/>
                  <w:color w:val="000000"/>
                  <w:sz w:val="18"/>
                  <w:szCs w:val="18"/>
                  <w:u w:val="none"/>
                </w:rPr>
                <w:t>78</w:t>
              </w:r>
            </w:hyperlink>
          </w:p>
        </w:tc>
      </w:tr>
      <w:tr w:rsidR="00980E5F" w14:paraId="392BE44E" w14:textId="77777777">
        <w:tc>
          <w:tcPr>
            <w:tcW w:w="0" w:type="auto"/>
            <w:gridSpan w:val="3"/>
            <w:shd w:val="clear" w:color="auto" w:fill="auto"/>
            <w:tcMar>
              <w:top w:w="0" w:type="dxa"/>
              <w:left w:w="20" w:type="dxa"/>
              <w:bottom w:w="0" w:type="dxa"/>
              <w:right w:w="20" w:type="dxa"/>
            </w:tcMar>
            <w:vAlign w:val="bottom"/>
          </w:tcPr>
          <w:p w14:paraId="392BE44B"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4C" w14:textId="77777777" w:rsidR="00980E5F" w:rsidRDefault="00483613">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392BE44D" w14:textId="77777777" w:rsidR="00980E5F" w:rsidRDefault="00483613">
            <w:pPr>
              <w:jc w:val="right"/>
              <w:textAlignment w:val="center"/>
            </w:pPr>
            <w:hyperlink r:id="rId47" w:anchor="i390f1cb266204783a8e800858b39c562_283" w:history="1">
              <w:r>
                <w:rPr>
                  <w:rStyle w:val="a5"/>
                  <w:rFonts w:ascii="Arial" w:eastAsia="宋体" w:hAnsi="Arial" w:cs="Arial"/>
                  <w:color w:val="000000"/>
                  <w:sz w:val="18"/>
                  <w:szCs w:val="18"/>
                  <w:u w:val="none"/>
                </w:rPr>
                <w:t>79</w:t>
              </w:r>
            </w:hyperlink>
          </w:p>
        </w:tc>
      </w:tr>
      <w:tr w:rsidR="00980E5F" w14:paraId="392BE452" w14:textId="77777777">
        <w:tc>
          <w:tcPr>
            <w:tcW w:w="0" w:type="auto"/>
            <w:gridSpan w:val="3"/>
            <w:shd w:val="clear" w:color="auto" w:fill="auto"/>
            <w:tcMar>
              <w:top w:w="0" w:type="dxa"/>
              <w:left w:w="20" w:type="dxa"/>
              <w:bottom w:w="0" w:type="dxa"/>
              <w:right w:w="20" w:type="dxa"/>
            </w:tcMar>
            <w:vAlign w:val="bottom"/>
          </w:tcPr>
          <w:p w14:paraId="392BE44F"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50" w14:textId="77777777" w:rsidR="00980E5F" w:rsidRDefault="00483613">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392BE451" w14:textId="77777777" w:rsidR="00980E5F" w:rsidRDefault="00483613">
            <w:pPr>
              <w:jc w:val="right"/>
              <w:textAlignment w:val="center"/>
            </w:pPr>
            <w:hyperlink r:id="rId48" w:anchor="i390f1cb266204783a8e800858b39c562_286" w:history="1">
              <w:r>
                <w:rPr>
                  <w:rStyle w:val="a5"/>
                  <w:rFonts w:ascii="Arial" w:eastAsia="宋体" w:hAnsi="Arial" w:cs="Arial"/>
                  <w:color w:val="000000"/>
                  <w:sz w:val="18"/>
                  <w:szCs w:val="18"/>
                  <w:u w:val="none"/>
                </w:rPr>
                <w:t>84</w:t>
              </w:r>
            </w:hyperlink>
          </w:p>
        </w:tc>
      </w:tr>
      <w:tr w:rsidR="00980E5F" w14:paraId="392BE456" w14:textId="77777777">
        <w:tc>
          <w:tcPr>
            <w:tcW w:w="0" w:type="auto"/>
            <w:gridSpan w:val="3"/>
            <w:shd w:val="clear" w:color="auto" w:fill="auto"/>
            <w:tcMar>
              <w:top w:w="0" w:type="dxa"/>
              <w:left w:w="20" w:type="dxa"/>
              <w:bottom w:w="0" w:type="dxa"/>
              <w:right w:w="20" w:type="dxa"/>
            </w:tcMar>
            <w:vAlign w:val="bottom"/>
          </w:tcPr>
          <w:p w14:paraId="392BE453"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54" w14:textId="77777777" w:rsidR="00980E5F" w:rsidRDefault="00483613">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392BE455" w14:textId="77777777" w:rsidR="00980E5F" w:rsidRDefault="00483613">
            <w:pPr>
              <w:jc w:val="right"/>
              <w:textAlignment w:val="center"/>
            </w:pPr>
            <w:hyperlink r:id="rId49" w:anchor="i390f1cb266204783a8e800858b39c562_289" w:history="1">
              <w:r>
                <w:rPr>
                  <w:rStyle w:val="a5"/>
                  <w:rFonts w:ascii="Arial" w:eastAsia="宋体" w:hAnsi="Arial" w:cs="Arial"/>
                  <w:color w:val="000000"/>
                  <w:sz w:val="18"/>
                  <w:szCs w:val="18"/>
                  <w:u w:val="none"/>
                </w:rPr>
                <w:t>86</w:t>
              </w:r>
            </w:hyperlink>
          </w:p>
        </w:tc>
      </w:tr>
      <w:tr w:rsidR="00980E5F" w14:paraId="392BE45A" w14:textId="77777777">
        <w:tc>
          <w:tcPr>
            <w:tcW w:w="0" w:type="auto"/>
            <w:gridSpan w:val="3"/>
            <w:shd w:val="clear" w:color="auto" w:fill="auto"/>
            <w:tcMar>
              <w:top w:w="0" w:type="dxa"/>
              <w:left w:w="20" w:type="dxa"/>
              <w:bottom w:w="0" w:type="dxa"/>
              <w:right w:w="20" w:type="dxa"/>
            </w:tcMar>
            <w:vAlign w:val="bottom"/>
          </w:tcPr>
          <w:p w14:paraId="392BE457"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58" w14:textId="77777777" w:rsidR="00980E5F" w:rsidRDefault="00483613">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392BE459" w14:textId="77777777" w:rsidR="00980E5F" w:rsidRDefault="00483613">
            <w:pPr>
              <w:jc w:val="right"/>
              <w:textAlignment w:val="center"/>
            </w:pPr>
            <w:hyperlink r:id="rId50" w:anchor="i390f1cb266204783a8e800858b39c562_292" w:history="1">
              <w:r>
                <w:rPr>
                  <w:rStyle w:val="a5"/>
                  <w:rFonts w:ascii="Arial" w:eastAsia="宋体" w:hAnsi="Arial" w:cs="Arial"/>
                  <w:color w:val="000000"/>
                  <w:sz w:val="18"/>
                  <w:szCs w:val="18"/>
                  <w:u w:val="none"/>
                </w:rPr>
                <w:t>87</w:t>
              </w:r>
            </w:hyperlink>
          </w:p>
        </w:tc>
      </w:tr>
      <w:tr w:rsidR="00980E5F" w14:paraId="392BE45E" w14:textId="77777777">
        <w:tc>
          <w:tcPr>
            <w:tcW w:w="0" w:type="auto"/>
            <w:gridSpan w:val="3"/>
            <w:shd w:val="clear" w:color="auto" w:fill="auto"/>
            <w:tcMar>
              <w:top w:w="0" w:type="dxa"/>
              <w:left w:w="20" w:type="dxa"/>
              <w:bottom w:w="0" w:type="dxa"/>
              <w:right w:w="20" w:type="dxa"/>
            </w:tcMar>
            <w:vAlign w:val="bottom"/>
          </w:tcPr>
          <w:p w14:paraId="392BE45B"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5C" w14:textId="77777777" w:rsidR="00980E5F" w:rsidRDefault="00483613">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392BE45D" w14:textId="77777777" w:rsidR="00980E5F" w:rsidRDefault="00483613">
            <w:pPr>
              <w:jc w:val="right"/>
              <w:textAlignment w:val="center"/>
            </w:pPr>
            <w:hyperlink r:id="rId51" w:anchor="i390f1cb266204783a8e800858b39c562_301" w:history="1">
              <w:r>
                <w:rPr>
                  <w:rStyle w:val="a5"/>
                  <w:rFonts w:ascii="Arial" w:eastAsia="宋体" w:hAnsi="Arial" w:cs="Arial"/>
                  <w:color w:val="000000"/>
                  <w:sz w:val="18"/>
                  <w:szCs w:val="18"/>
                  <w:u w:val="none"/>
                </w:rPr>
                <w:t>89</w:t>
              </w:r>
            </w:hyperlink>
          </w:p>
        </w:tc>
      </w:tr>
      <w:tr w:rsidR="00980E5F" w14:paraId="392BE462" w14:textId="77777777">
        <w:tc>
          <w:tcPr>
            <w:tcW w:w="0" w:type="auto"/>
            <w:gridSpan w:val="3"/>
            <w:shd w:val="clear" w:color="auto" w:fill="auto"/>
            <w:tcMar>
              <w:top w:w="0" w:type="dxa"/>
              <w:left w:w="20" w:type="dxa"/>
              <w:bottom w:w="0" w:type="dxa"/>
              <w:right w:w="20" w:type="dxa"/>
            </w:tcMar>
            <w:vAlign w:val="bottom"/>
          </w:tcPr>
          <w:p w14:paraId="392BE45F"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60" w14:textId="77777777" w:rsidR="00980E5F" w:rsidRDefault="00483613">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392BE461" w14:textId="77777777" w:rsidR="00980E5F" w:rsidRDefault="00483613">
            <w:pPr>
              <w:jc w:val="right"/>
              <w:textAlignment w:val="center"/>
            </w:pPr>
            <w:hyperlink r:id="rId52" w:anchor="i390f1cb266204783a8e800858b39c562_307" w:history="1">
              <w:r>
                <w:rPr>
                  <w:rStyle w:val="a5"/>
                  <w:rFonts w:ascii="Arial" w:eastAsia="宋体" w:hAnsi="Arial" w:cs="Arial"/>
                  <w:color w:val="000000"/>
                  <w:sz w:val="18"/>
                  <w:szCs w:val="18"/>
                  <w:u w:val="none"/>
                </w:rPr>
                <w:t>89</w:t>
              </w:r>
            </w:hyperlink>
          </w:p>
        </w:tc>
      </w:tr>
      <w:tr w:rsidR="00980E5F" w14:paraId="392BE466" w14:textId="77777777">
        <w:tc>
          <w:tcPr>
            <w:tcW w:w="0" w:type="auto"/>
            <w:gridSpan w:val="3"/>
            <w:shd w:val="clear" w:color="auto" w:fill="auto"/>
            <w:tcMar>
              <w:top w:w="0" w:type="dxa"/>
              <w:left w:w="20" w:type="dxa"/>
              <w:bottom w:w="0" w:type="dxa"/>
              <w:right w:w="20" w:type="dxa"/>
            </w:tcMar>
            <w:vAlign w:val="bottom"/>
          </w:tcPr>
          <w:p w14:paraId="392BE463"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64" w14:textId="77777777" w:rsidR="00980E5F" w:rsidRDefault="00483613">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392BE465" w14:textId="77777777" w:rsidR="00980E5F" w:rsidRDefault="00483613">
            <w:pPr>
              <w:jc w:val="right"/>
              <w:textAlignment w:val="center"/>
            </w:pPr>
            <w:hyperlink r:id="rId53" w:anchor="i390f1cb266204783a8e800858b39c562_313" w:history="1">
              <w:r>
                <w:rPr>
                  <w:rStyle w:val="a5"/>
                  <w:rFonts w:ascii="Arial" w:eastAsia="宋体" w:hAnsi="Arial" w:cs="Arial"/>
                  <w:color w:val="000000"/>
                  <w:sz w:val="18"/>
                  <w:szCs w:val="18"/>
                  <w:u w:val="none"/>
                </w:rPr>
                <w:t>93</w:t>
              </w:r>
            </w:hyperlink>
          </w:p>
        </w:tc>
      </w:tr>
      <w:tr w:rsidR="00980E5F" w14:paraId="392BE46A" w14:textId="77777777">
        <w:tc>
          <w:tcPr>
            <w:tcW w:w="0" w:type="auto"/>
            <w:gridSpan w:val="3"/>
            <w:shd w:val="clear" w:color="auto" w:fill="auto"/>
            <w:tcMar>
              <w:top w:w="0" w:type="dxa"/>
              <w:left w:w="20" w:type="dxa"/>
              <w:bottom w:w="0" w:type="dxa"/>
              <w:right w:w="20" w:type="dxa"/>
            </w:tcMar>
            <w:vAlign w:val="bottom"/>
          </w:tcPr>
          <w:p w14:paraId="392BE467"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68" w14:textId="77777777" w:rsidR="00980E5F" w:rsidRDefault="00483613">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392BE469" w14:textId="77777777" w:rsidR="00980E5F" w:rsidRDefault="00483613">
            <w:pPr>
              <w:jc w:val="right"/>
              <w:textAlignment w:val="center"/>
            </w:pPr>
            <w:hyperlink r:id="rId54" w:anchor="i390f1cb266204783a8e800858b39c562_316" w:history="1">
              <w:r>
                <w:rPr>
                  <w:rStyle w:val="a5"/>
                  <w:rFonts w:ascii="Arial" w:eastAsia="宋体" w:hAnsi="Arial" w:cs="Arial"/>
                  <w:color w:val="000000"/>
                  <w:sz w:val="18"/>
                  <w:szCs w:val="18"/>
                  <w:u w:val="none"/>
                </w:rPr>
                <w:t>94</w:t>
              </w:r>
            </w:hyperlink>
          </w:p>
        </w:tc>
      </w:tr>
      <w:tr w:rsidR="00980E5F" w14:paraId="392BE46E" w14:textId="77777777">
        <w:tc>
          <w:tcPr>
            <w:tcW w:w="0" w:type="auto"/>
            <w:gridSpan w:val="3"/>
            <w:shd w:val="clear" w:color="auto" w:fill="auto"/>
            <w:tcMar>
              <w:top w:w="0" w:type="dxa"/>
              <w:left w:w="20" w:type="dxa"/>
              <w:bottom w:w="0" w:type="dxa"/>
              <w:right w:w="20" w:type="dxa"/>
            </w:tcMar>
            <w:vAlign w:val="bottom"/>
          </w:tcPr>
          <w:p w14:paraId="392BE46B"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6C" w14:textId="77777777" w:rsidR="00980E5F" w:rsidRDefault="00483613">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392BE46D" w14:textId="77777777" w:rsidR="00980E5F" w:rsidRDefault="00483613">
            <w:pPr>
              <w:jc w:val="right"/>
              <w:textAlignment w:val="center"/>
            </w:pPr>
            <w:hyperlink r:id="rId55" w:anchor="i390f1cb266204783a8e800858b39c562_319" w:history="1">
              <w:r>
                <w:rPr>
                  <w:rStyle w:val="a5"/>
                  <w:rFonts w:ascii="Arial" w:eastAsia="宋体" w:hAnsi="Arial" w:cs="Arial"/>
                  <w:color w:val="000000"/>
                  <w:sz w:val="18"/>
                  <w:szCs w:val="18"/>
                  <w:u w:val="none"/>
                </w:rPr>
                <w:t>94</w:t>
              </w:r>
            </w:hyperlink>
          </w:p>
        </w:tc>
      </w:tr>
      <w:tr w:rsidR="00980E5F" w14:paraId="392BE472" w14:textId="77777777">
        <w:tc>
          <w:tcPr>
            <w:tcW w:w="0" w:type="auto"/>
            <w:gridSpan w:val="3"/>
            <w:shd w:val="clear" w:color="auto" w:fill="auto"/>
            <w:tcMar>
              <w:top w:w="0" w:type="dxa"/>
              <w:left w:w="20" w:type="dxa"/>
              <w:bottom w:w="0" w:type="dxa"/>
              <w:right w:w="20" w:type="dxa"/>
            </w:tcMar>
            <w:vAlign w:val="bottom"/>
          </w:tcPr>
          <w:p w14:paraId="392BE46F"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70" w14:textId="77777777" w:rsidR="00980E5F" w:rsidRDefault="00483613">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392BE471" w14:textId="77777777" w:rsidR="00980E5F" w:rsidRDefault="00483613">
            <w:pPr>
              <w:jc w:val="right"/>
              <w:textAlignment w:val="center"/>
            </w:pPr>
            <w:hyperlink r:id="rId56" w:anchor="i390f1cb266204783a8e800858b39c562_322" w:history="1">
              <w:r>
                <w:rPr>
                  <w:rStyle w:val="a5"/>
                  <w:rFonts w:ascii="Arial" w:eastAsia="宋体" w:hAnsi="Arial" w:cs="Arial"/>
                  <w:color w:val="000000"/>
                  <w:sz w:val="18"/>
                  <w:szCs w:val="18"/>
                  <w:u w:val="none"/>
                </w:rPr>
                <w:t>95</w:t>
              </w:r>
            </w:hyperlink>
          </w:p>
        </w:tc>
      </w:tr>
      <w:tr w:rsidR="00980E5F" w14:paraId="392BE476" w14:textId="77777777">
        <w:tc>
          <w:tcPr>
            <w:tcW w:w="0" w:type="auto"/>
            <w:gridSpan w:val="3"/>
            <w:shd w:val="clear" w:color="auto" w:fill="auto"/>
            <w:tcMar>
              <w:top w:w="0" w:type="dxa"/>
              <w:left w:w="20" w:type="dxa"/>
              <w:bottom w:w="0" w:type="dxa"/>
              <w:right w:w="20" w:type="dxa"/>
            </w:tcMar>
            <w:vAlign w:val="bottom"/>
          </w:tcPr>
          <w:p w14:paraId="392BE473"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74" w14:textId="77777777" w:rsidR="00980E5F" w:rsidRDefault="00483613">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392BE475" w14:textId="77777777" w:rsidR="00980E5F" w:rsidRDefault="00483613">
            <w:pPr>
              <w:jc w:val="right"/>
              <w:textAlignment w:val="center"/>
            </w:pPr>
            <w:hyperlink r:id="rId57" w:anchor="i390f1cb266204783a8e800858b39c562_325" w:history="1">
              <w:r>
                <w:rPr>
                  <w:rStyle w:val="a5"/>
                  <w:rFonts w:ascii="Arial" w:eastAsia="宋体" w:hAnsi="Arial" w:cs="Arial"/>
                  <w:color w:val="000000"/>
                  <w:sz w:val="18"/>
                  <w:szCs w:val="18"/>
                  <w:u w:val="none"/>
                </w:rPr>
                <w:t>95</w:t>
              </w:r>
            </w:hyperlink>
          </w:p>
        </w:tc>
      </w:tr>
      <w:tr w:rsidR="00980E5F" w14:paraId="392BE47A" w14:textId="77777777">
        <w:tc>
          <w:tcPr>
            <w:tcW w:w="0" w:type="auto"/>
            <w:gridSpan w:val="3"/>
            <w:shd w:val="clear" w:color="auto" w:fill="auto"/>
            <w:tcMar>
              <w:top w:w="0" w:type="dxa"/>
              <w:left w:w="20" w:type="dxa"/>
              <w:bottom w:w="0" w:type="dxa"/>
              <w:right w:w="20" w:type="dxa"/>
            </w:tcMar>
            <w:vAlign w:val="bottom"/>
          </w:tcPr>
          <w:p w14:paraId="392BE477"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78" w14:textId="77777777" w:rsidR="00980E5F" w:rsidRDefault="00483613">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392BE479" w14:textId="77777777" w:rsidR="00980E5F" w:rsidRDefault="00483613">
            <w:pPr>
              <w:jc w:val="right"/>
              <w:textAlignment w:val="center"/>
            </w:pPr>
            <w:hyperlink r:id="rId58" w:anchor="i390f1cb266204783a8e800858b39c562_331" w:history="1">
              <w:r>
                <w:rPr>
                  <w:rStyle w:val="a5"/>
                  <w:rFonts w:ascii="Arial" w:eastAsia="宋体" w:hAnsi="Arial" w:cs="Arial"/>
                  <w:color w:val="000000"/>
                  <w:sz w:val="18"/>
                  <w:szCs w:val="18"/>
                  <w:u w:val="none"/>
                </w:rPr>
                <w:t>96</w:t>
              </w:r>
            </w:hyperlink>
          </w:p>
        </w:tc>
      </w:tr>
      <w:tr w:rsidR="00980E5F" w14:paraId="392BE47E" w14:textId="77777777">
        <w:tc>
          <w:tcPr>
            <w:tcW w:w="0" w:type="auto"/>
            <w:gridSpan w:val="3"/>
            <w:shd w:val="clear" w:color="auto" w:fill="auto"/>
            <w:tcMar>
              <w:top w:w="0" w:type="dxa"/>
              <w:left w:w="20" w:type="dxa"/>
              <w:bottom w:w="0" w:type="dxa"/>
              <w:right w:w="20" w:type="dxa"/>
            </w:tcMar>
            <w:vAlign w:val="bottom"/>
          </w:tcPr>
          <w:p w14:paraId="392BE47B" w14:textId="77777777" w:rsidR="00980E5F" w:rsidRDefault="00980E5F">
            <w:pPr>
              <w:rPr>
                <w:rFonts w:ascii="宋体"/>
              </w:rPr>
            </w:pPr>
          </w:p>
        </w:tc>
        <w:tc>
          <w:tcPr>
            <w:tcW w:w="0" w:type="auto"/>
            <w:gridSpan w:val="3"/>
            <w:shd w:val="clear" w:color="auto" w:fill="auto"/>
            <w:tcMar>
              <w:top w:w="40" w:type="dxa"/>
              <w:left w:w="515" w:type="dxa"/>
              <w:bottom w:w="40" w:type="dxa"/>
              <w:right w:w="20" w:type="dxa"/>
            </w:tcMar>
            <w:vAlign w:val="center"/>
          </w:tcPr>
          <w:p w14:paraId="392BE47C" w14:textId="77777777" w:rsidR="00980E5F" w:rsidRDefault="00483613">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392BE47D" w14:textId="77777777" w:rsidR="00980E5F" w:rsidRDefault="00483613">
            <w:pPr>
              <w:jc w:val="right"/>
              <w:textAlignment w:val="center"/>
            </w:pPr>
            <w:hyperlink r:id="rId59" w:anchor="i390f1cb266204783a8e800858b39c562_334" w:history="1">
              <w:r>
                <w:rPr>
                  <w:rStyle w:val="a5"/>
                  <w:rFonts w:ascii="Arial" w:eastAsia="宋体" w:hAnsi="Arial" w:cs="Arial"/>
                  <w:color w:val="000000"/>
                  <w:sz w:val="18"/>
                  <w:szCs w:val="18"/>
                  <w:u w:val="none"/>
                </w:rPr>
                <w:t>98</w:t>
              </w:r>
            </w:hyperlink>
          </w:p>
        </w:tc>
      </w:tr>
      <w:tr w:rsidR="00980E5F" w14:paraId="392BE482" w14:textId="77777777">
        <w:tc>
          <w:tcPr>
            <w:tcW w:w="0" w:type="auto"/>
            <w:gridSpan w:val="3"/>
            <w:shd w:val="clear" w:color="auto" w:fill="auto"/>
            <w:tcMar>
              <w:top w:w="0" w:type="dxa"/>
              <w:left w:w="20" w:type="dxa"/>
              <w:bottom w:w="0" w:type="dxa"/>
              <w:right w:w="20" w:type="dxa"/>
            </w:tcMar>
            <w:vAlign w:val="bottom"/>
          </w:tcPr>
          <w:p w14:paraId="392BE47F"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vAlign w:val="center"/>
          </w:tcPr>
          <w:p w14:paraId="392BE480" w14:textId="77777777" w:rsidR="00980E5F" w:rsidRDefault="00483613">
            <w:pPr>
              <w:textAlignment w:val="center"/>
            </w:pPr>
            <w:r>
              <w:rPr>
                <w:rFonts w:ascii="Arial" w:eastAsia="宋体" w:hAnsi="Arial" w:cs="Arial"/>
                <w:color w:val="000000"/>
                <w:sz w:val="18"/>
                <w:szCs w:val="18"/>
              </w:rPr>
              <w:t xml:space="preserve">Review Report of </w:t>
            </w:r>
            <w:r>
              <w:rPr>
                <w:rFonts w:ascii="Arial" w:eastAsia="宋体" w:hAnsi="Arial" w:cs="Arial"/>
                <w:color w:val="000000"/>
                <w:sz w:val="18"/>
                <w:szCs w:val="18"/>
              </w:rPr>
              <w:t>Independent Registered Public Accounting Firm</w:t>
            </w:r>
          </w:p>
        </w:tc>
        <w:tc>
          <w:tcPr>
            <w:tcW w:w="0" w:type="auto"/>
            <w:gridSpan w:val="3"/>
            <w:shd w:val="clear" w:color="auto" w:fill="auto"/>
            <w:tcMar>
              <w:top w:w="40" w:type="dxa"/>
              <w:left w:w="20" w:type="dxa"/>
              <w:bottom w:w="40" w:type="dxa"/>
              <w:right w:w="20" w:type="dxa"/>
            </w:tcMar>
            <w:vAlign w:val="center"/>
          </w:tcPr>
          <w:p w14:paraId="392BE481" w14:textId="77777777" w:rsidR="00980E5F" w:rsidRDefault="00483613">
            <w:pPr>
              <w:jc w:val="right"/>
              <w:textAlignment w:val="center"/>
            </w:pPr>
            <w:hyperlink r:id="rId60" w:anchor="i390f1cb266204783a8e800858b39c562_343" w:history="1">
              <w:r>
                <w:rPr>
                  <w:rStyle w:val="a5"/>
                  <w:rFonts w:ascii="Arial" w:eastAsia="宋体" w:hAnsi="Arial" w:cs="Arial"/>
                  <w:color w:val="000000"/>
                  <w:sz w:val="18"/>
                  <w:szCs w:val="18"/>
                  <w:u w:val="none"/>
                </w:rPr>
                <w:t>99</w:t>
              </w:r>
            </w:hyperlink>
          </w:p>
        </w:tc>
      </w:tr>
      <w:tr w:rsidR="00980E5F" w14:paraId="392BE486" w14:textId="77777777">
        <w:trPr>
          <w:trHeight w:val="280"/>
        </w:trPr>
        <w:tc>
          <w:tcPr>
            <w:tcW w:w="0" w:type="auto"/>
            <w:gridSpan w:val="3"/>
            <w:shd w:val="clear" w:color="auto" w:fill="auto"/>
            <w:tcMar>
              <w:top w:w="0" w:type="dxa"/>
              <w:left w:w="20" w:type="dxa"/>
              <w:bottom w:w="0" w:type="dxa"/>
              <w:right w:w="20" w:type="dxa"/>
            </w:tcMar>
            <w:vAlign w:val="bottom"/>
          </w:tcPr>
          <w:p w14:paraId="392BE4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48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485" w14:textId="77777777" w:rsidR="00980E5F" w:rsidRDefault="00980E5F">
            <w:pPr>
              <w:rPr>
                <w:rFonts w:ascii="宋体"/>
              </w:rPr>
            </w:pPr>
          </w:p>
        </w:tc>
      </w:tr>
      <w:tr w:rsidR="00980E5F" w14:paraId="392BE48A" w14:textId="77777777">
        <w:tc>
          <w:tcPr>
            <w:tcW w:w="0" w:type="auto"/>
            <w:gridSpan w:val="3"/>
            <w:shd w:val="clear" w:color="auto" w:fill="auto"/>
            <w:tcMar>
              <w:top w:w="40" w:type="dxa"/>
              <w:left w:w="155" w:type="dxa"/>
              <w:bottom w:w="40" w:type="dxa"/>
              <w:right w:w="20" w:type="dxa"/>
            </w:tcMar>
            <w:vAlign w:val="center"/>
          </w:tcPr>
          <w:p w14:paraId="392BE487" w14:textId="77777777" w:rsidR="00980E5F" w:rsidRDefault="00483613">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392BE488" w14:textId="77777777" w:rsidR="00980E5F" w:rsidRDefault="00483613">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vAlign w:val="bottom"/>
          </w:tcPr>
          <w:p w14:paraId="392BE489" w14:textId="77777777" w:rsidR="00980E5F" w:rsidRDefault="00980E5F">
            <w:pPr>
              <w:rPr>
                <w:rFonts w:ascii="宋体"/>
              </w:rPr>
            </w:pPr>
          </w:p>
        </w:tc>
      </w:tr>
      <w:tr w:rsidR="00980E5F" w14:paraId="392BE48E" w14:textId="77777777">
        <w:tc>
          <w:tcPr>
            <w:tcW w:w="0" w:type="auto"/>
            <w:gridSpan w:val="3"/>
            <w:shd w:val="clear" w:color="auto" w:fill="auto"/>
            <w:tcMar>
              <w:top w:w="40" w:type="dxa"/>
              <w:left w:w="155" w:type="dxa"/>
              <w:bottom w:w="40" w:type="dxa"/>
              <w:right w:w="20" w:type="dxa"/>
            </w:tcMar>
          </w:tcPr>
          <w:p w14:paraId="392BE48B" w14:textId="77777777" w:rsidR="00980E5F" w:rsidRDefault="00483613">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392BE48C" w14:textId="77777777" w:rsidR="00980E5F" w:rsidRDefault="00483613">
            <w:pPr>
              <w:textAlignment w:val="center"/>
            </w:pPr>
            <w:r>
              <w:rPr>
                <w:rFonts w:ascii="Arial" w:eastAsia="宋体" w:hAnsi="Arial" w:cs="Arial"/>
                <w:color w:val="000000"/>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392BE48D" w14:textId="77777777" w:rsidR="00980E5F" w:rsidRDefault="00483613">
            <w:pPr>
              <w:jc w:val="right"/>
              <w:textAlignment w:val="center"/>
            </w:pPr>
            <w:hyperlink r:id="rId61" w:anchor="i390f1cb266204783a8e800858b39c562_355" w:history="1">
              <w:r>
                <w:rPr>
                  <w:rStyle w:val="a5"/>
                  <w:rFonts w:ascii="Arial" w:eastAsia="宋体" w:hAnsi="Arial" w:cs="Arial"/>
                  <w:color w:val="000000"/>
                  <w:sz w:val="18"/>
                  <w:szCs w:val="18"/>
                  <w:u w:val="none"/>
                </w:rPr>
                <w:t>102</w:t>
              </w:r>
            </w:hyperlink>
          </w:p>
        </w:tc>
      </w:tr>
      <w:tr w:rsidR="00980E5F" w14:paraId="392BE492" w14:textId="77777777">
        <w:tc>
          <w:tcPr>
            <w:tcW w:w="0" w:type="auto"/>
            <w:gridSpan w:val="3"/>
            <w:shd w:val="clear" w:color="auto" w:fill="auto"/>
            <w:tcMar>
              <w:top w:w="40" w:type="dxa"/>
              <w:left w:w="155" w:type="dxa"/>
              <w:bottom w:w="40" w:type="dxa"/>
              <w:right w:w="20" w:type="dxa"/>
            </w:tcMar>
          </w:tcPr>
          <w:p w14:paraId="392BE48F" w14:textId="77777777" w:rsidR="00980E5F" w:rsidRDefault="00483613">
            <w:pPr>
              <w:textAlignment w:val="top"/>
            </w:pPr>
            <w:r>
              <w:rPr>
                <w:rFonts w:ascii="Arial" w:eastAsia="宋体" w:hAnsi="Arial" w:cs="Arial"/>
                <w:color w:val="000000"/>
                <w:sz w:val="18"/>
                <w:szCs w:val="18"/>
              </w:rPr>
              <w:t>Item 5</w:t>
            </w:r>
          </w:p>
        </w:tc>
        <w:tc>
          <w:tcPr>
            <w:tcW w:w="0" w:type="auto"/>
            <w:gridSpan w:val="3"/>
            <w:shd w:val="clear" w:color="auto" w:fill="auto"/>
            <w:tcMar>
              <w:top w:w="40" w:type="dxa"/>
              <w:left w:w="155" w:type="dxa"/>
              <w:bottom w:w="40" w:type="dxa"/>
              <w:right w:w="20" w:type="dxa"/>
            </w:tcMar>
            <w:vAlign w:val="center"/>
          </w:tcPr>
          <w:p w14:paraId="392BE490" w14:textId="77777777" w:rsidR="00980E5F" w:rsidRDefault="00483613">
            <w:pPr>
              <w:textAlignment w:val="center"/>
            </w:pPr>
            <w:r>
              <w:rPr>
                <w:rFonts w:ascii="Arial" w:eastAsia="宋体" w:hAnsi="Arial" w:cs="Arial"/>
                <w:color w:val="000000"/>
                <w:sz w:val="18"/>
                <w:szCs w:val="18"/>
              </w:rPr>
              <w:t>Other Information</w:t>
            </w:r>
          </w:p>
        </w:tc>
        <w:tc>
          <w:tcPr>
            <w:tcW w:w="0" w:type="auto"/>
            <w:gridSpan w:val="3"/>
            <w:shd w:val="clear" w:color="auto" w:fill="auto"/>
            <w:tcMar>
              <w:top w:w="40" w:type="dxa"/>
              <w:left w:w="20" w:type="dxa"/>
              <w:bottom w:w="40" w:type="dxa"/>
              <w:right w:w="20" w:type="dxa"/>
            </w:tcMar>
            <w:vAlign w:val="center"/>
          </w:tcPr>
          <w:p w14:paraId="392BE491" w14:textId="77777777" w:rsidR="00980E5F" w:rsidRDefault="00483613">
            <w:pPr>
              <w:jc w:val="right"/>
              <w:textAlignment w:val="center"/>
            </w:pPr>
            <w:hyperlink r:id="rId62" w:anchor="i390f1cb266204783a8e800858b39c562_5470" w:history="1">
              <w:r>
                <w:rPr>
                  <w:rStyle w:val="a5"/>
                  <w:rFonts w:ascii="Arial" w:eastAsia="宋体" w:hAnsi="Arial" w:cs="Arial"/>
                  <w:color w:val="000000"/>
                  <w:sz w:val="18"/>
                  <w:szCs w:val="18"/>
                  <w:u w:val="none"/>
                </w:rPr>
                <w:t>102</w:t>
              </w:r>
            </w:hyperlink>
          </w:p>
        </w:tc>
      </w:tr>
      <w:tr w:rsidR="00980E5F" w14:paraId="392BE496" w14:textId="77777777">
        <w:tc>
          <w:tcPr>
            <w:tcW w:w="0" w:type="auto"/>
            <w:gridSpan w:val="3"/>
            <w:shd w:val="clear" w:color="auto" w:fill="auto"/>
            <w:tcMar>
              <w:top w:w="40" w:type="dxa"/>
              <w:left w:w="155" w:type="dxa"/>
              <w:bottom w:w="40" w:type="dxa"/>
              <w:right w:w="20" w:type="dxa"/>
            </w:tcMar>
          </w:tcPr>
          <w:p w14:paraId="392BE493" w14:textId="77777777" w:rsidR="00980E5F" w:rsidRDefault="00483613">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392BE494" w14:textId="77777777" w:rsidR="00980E5F" w:rsidRDefault="00483613">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392BE495" w14:textId="77777777" w:rsidR="00980E5F" w:rsidRDefault="00483613">
            <w:pPr>
              <w:jc w:val="right"/>
              <w:textAlignment w:val="center"/>
            </w:pPr>
            <w:hyperlink r:id="rId63" w:anchor="i390f1cb266204783a8e800858b39c562_358" w:history="1">
              <w:r>
                <w:rPr>
                  <w:rStyle w:val="a5"/>
                  <w:rFonts w:ascii="Arial" w:eastAsia="宋体" w:hAnsi="Arial" w:cs="Arial"/>
                  <w:color w:val="000000"/>
                  <w:sz w:val="18"/>
                  <w:szCs w:val="18"/>
                  <w:u w:val="none"/>
                </w:rPr>
                <w:t>103</w:t>
              </w:r>
            </w:hyperlink>
          </w:p>
        </w:tc>
      </w:tr>
      <w:tr w:rsidR="00980E5F" w14:paraId="392BE49A" w14:textId="77777777">
        <w:tc>
          <w:tcPr>
            <w:tcW w:w="0" w:type="auto"/>
            <w:gridSpan w:val="3"/>
            <w:shd w:val="clear" w:color="auto" w:fill="auto"/>
            <w:tcMar>
              <w:top w:w="0" w:type="dxa"/>
              <w:left w:w="20" w:type="dxa"/>
              <w:bottom w:w="0" w:type="dxa"/>
              <w:right w:w="20" w:type="dxa"/>
            </w:tcMar>
            <w:vAlign w:val="bottom"/>
          </w:tcPr>
          <w:p w14:paraId="392BE497" w14:textId="77777777" w:rsidR="00980E5F" w:rsidRDefault="00980E5F">
            <w:pPr>
              <w:rPr>
                <w:rFonts w:ascii="宋体"/>
              </w:rPr>
            </w:pPr>
          </w:p>
        </w:tc>
        <w:tc>
          <w:tcPr>
            <w:tcW w:w="0" w:type="auto"/>
            <w:gridSpan w:val="3"/>
            <w:shd w:val="clear" w:color="auto" w:fill="auto"/>
            <w:tcMar>
              <w:top w:w="40" w:type="dxa"/>
              <w:left w:w="155" w:type="dxa"/>
              <w:bottom w:w="40" w:type="dxa"/>
              <w:right w:w="20" w:type="dxa"/>
            </w:tcMar>
          </w:tcPr>
          <w:p w14:paraId="392BE498" w14:textId="77777777" w:rsidR="00980E5F" w:rsidRDefault="00483613">
            <w:pPr>
              <w:textAlignment w:val="top"/>
            </w:pPr>
            <w:r>
              <w:rPr>
                <w:rFonts w:ascii="Arial" w:eastAsia="宋体" w:hAnsi="Arial" w:cs="Arial"/>
                <w:color w:val="000000"/>
                <w:sz w:val="18"/>
                <w:szCs w:val="18"/>
              </w:rPr>
              <w:t>Signatures</w:t>
            </w:r>
          </w:p>
        </w:tc>
        <w:tc>
          <w:tcPr>
            <w:tcW w:w="0" w:type="auto"/>
            <w:gridSpan w:val="3"/>
            <w:shd w:val="clear" w:color="auto" w:fill="auto"/>
            <w:tcMar>
              <w:top w:w="40" w:type="dxa"/>
              <w:left w:w="20" w:type="dxa"/>
              <w:bottom w:w="40" w:type="dxa"/>
              <w:right w:w="20" w:type="dxa"/>
            </w:tcMar>
            <w:vAlign w:val="center"/>
          </w:tcPr>
          <w:p w14:paraId="392BE499" w14:textId="77777777" w:rsidR="00980E5F" w:rsidRDefault="00483613">
            <w:pPr>
              <w:jc w:val="right"/>
              <w:textAlignment w:val="center"/>
            </w:pPr>
            <w:hyperlink r:id="rId64" w:anchor="i390f1cb266204783a8e800858b39c562_361" w:history="1">
              <w:r>
                <w:rPr>
                  <w:rStyle w:val="a5"/>
                  <w:rFonts w:ascii="Arial" w:eastAsia="宋体" w:hAnsi="Arial" w:cs="Arial"/>
                  <w:color w:val="000000"/>
                  <w:sz w:val="18"/>
                  <w:szCs w:val="18"/>
                  <w:u w:val="none"/>
                </w:rPr>
                <w:t>104</w:t>
              </w:r>
            </w:hyperlink>
          </w:p>
        </w:tc>
      </w:tr>
      <w:tr w:rsidR="00980E5F" w14:paraId="392BE49E" w14:textId="77777777">
        <w:trPr>
          <w:hidden/>
        </w:trPr>
        <w:tc>
          <w:tcPr>
            <w:tcW w:w="0" w:type="auto"/>
            <w:gridSpan w:val="3"/>
            <w:shd w:val="clear" w:color="auto" w:fill="auto"/>
            <w:vAlign w:val="bottom"/>
          </w:tcPr>
          <w:p w14:paraId="392BE49B" w14:textId="77777777" w:rsidR="00980E5F" w:rsidRDefault="00980E5F">
            <w:pPr>
              <w:rPr>
                <w:rFonts w:ascii="宋体"/>
                <w:vanish/>
              </w:rPr>
            </w:pPr>
          </w:p>
        </w:tc>
        <w:tc>
          <w:tcPr>
            <w:tcW w:w="0" w:type="auto"/>
            <w:gridSpan w:val="3"/>
            <w:shd w:val="clear" w:color="auto" w:fill="auto"/>
            <w:vAlign w:val="bottom"/>
          </w:tcPr>
          <w:p w14:paraId="392BE49C" w14:textId="77777777" w:rsidR="00980E5F" w:rsidRDefault="00980E5F">
            <w:pPr>
              <w:rPr>
                <w:rFonts w:ascii="宋体"/>
                <w:vanish/>
              </w:rPr>
            </w:pPr>
          </w:p>
        </w:tc>
        <w:tc>
          <w:tcPr>
            <w:tcW w:w="0" w:type="auto"/>
            <w:gridSpan w:val="3"/>
            <w:shd w:val="clear" w:color="auto" w:fill="auto"/>
            <w:vAlign w:val="bottom"/>
          </w:tcPr>
          <w:p w14:paraId="392BE49D" w14:textId="77777777" w:rsidR="00980E5F" w:rsidRDefault="00980E5F">
            <w:pPr>
              <w:rPr>
                <w:rFonts w:ascii="宋体"/>
                <w:vanish/>
              </w:rPr>
            </w:pPr>
          </w:p>
        </w:tc>
      </w:tr>
      <w:tr w:rsidR="00980E5F" w14:paraId="392BE4A2" w14:textId="77777777">
        <w:trPr>
          <w:hidden/>
        </w:trPr>
        <w:tc>
          <w:tcPr>
            <w:tcW w:w="0" w:type="auto"/>
            <w:gridSpan w:val="3"/>
            <w:shd w:val="clear" w:color="auto" w:fill="auto"/>
            <w:vAlign w:val="bottom"/>
          </w:tcPr>
          <w:p w14:paraId="392BE49F" w14:textId="77777777" w:rsidR="00980E5F" w:rsidRDefault="00980E5F">
            <w:pPr>
              <w:rPr>
                <w:rFonts w:ascii="宋体"/>
                <w:vanish/>
              </w:rPr>
            </w:pPr>
          </w:p>
        </w:tc>
        <w:tc>
          <w:tcPr>
            <w:tcW w:w="0" w:type="auto"/>
            <w:gridSpan w:val="3"/>
            <w:shd w:val="clear" w:color="auto" w:fill="auto"/>
            <w:vAlign w:val="bottom"/>
          </w:tcPr>
          <w:p w14:paraId="392BE4A0" w14:textId="77777777" w:rsidR="00980E5F" w:rsidRDefault="00980E5F">
            <w:pPr>
              <w:rPr>
                <w:rFonts w:ascii="宋体"/>
                <w:vanish/>
              </w:rPr>
            </w:pPr>
          </w:p>
        </w:tc>
        <w:tc>
          <w:tcPr>
            <w:tcW w:w="0" w:type="auto"/>
            <w:gridSpan w:val="3"/>
            <w:shd w:val="clear" w:color="auto" w:fill="auto"/>
            <w:vAlign w:val="bottom"/>
          </w:tcPr>
          <w:p w14:paraId="392BE4A1" w14:textId="77777777" w:rsidR="00980E5F" w:rsidRDefault="00980E5F">
            <w:pPr>
              <w:rPr>
                <w:rFonts w:ascii="宋体"/>
                <w:vanish/>
              </w:rPr>
            </w:pPr>
          </w:p>
        </w:tc>
      </w:tr>
      <w:tr w:rsidR="00980E5F" w14:paraId="392BE4A6" w14:textId="77777777">
        <w:trPr>
          <w:hidden/>
        </w:trPr>
        <w:tc>
          <w:tcPr>
            <w:tcW w:w="0" w:type="auto"/>
            <w:gridSpan w:val="3"/>
            <w:shd w:val="clear" w:color="auto" w:fill="auto"/>
            <w:vAlign w:val="bottom"/>
          </w:tcPr>
          <w:p w14:paraId="392BE4A3" w14:textId="77777777" w:rsidR="00980E5F" w:rsidRDefault="00980E5F">
            <w:pPr>
              <w:rPr>
                <w:rFonts w:ascii="宋体"/>
                <w:vanish/>
              </w:rPr>
            </w:pPr>
          </w:p>
        </w:tc>
        <w:tc>
          <w:tcPr>
            <w:tcW w:w="0" w:type="auto"/>
            <w:gridSpan w:val="3"/>
            <w:shd w:val="clear" w:color="auto" w:fill="auto"/>
            <w:vAlign w:val="bottom"/>
          </w:tcPr>
          <w:p w14:paraId="392BE4A4" w14:textId="77777777" w:rsidR="00980E5F" w:rsidRDefault="00980E5F">
            <w:pPr>
              <w:rPr>
                <w:rFonts w:ascii="宋体"/>
                <w:vanish/>
              </w:rPr>
            </w:pPr>
          </w:p>
        </w:tc>
        <w:tc>
          <w:tcPr>
            <w:tcW w:w="0" w:type="auto"/>
            <w:gridSpan w:val="3"/>
            <w:shd w:val="clear" w:color="auto" w:fill="auto"/>
            <w:vAlign w:val="bottom"/>
          </w:tcPr>
          <w:p w14:paraId="392BE4A5" w14:textId="77777777" w:rsidR="00980E5F" w:rsidRDefault="00980E5F">
            <w:pPr>
              <w:rPr>
                <w:rFonts w:ascii="宋体"/>
                <w:vanish/>
              </w:rPr>
            </w:pPr>
          </w:p>
        </w:tc>
      </w:tr>
      <w:tr w:rsidR="00980E5F" w14:paraId="392BE4AA" w14:textId="77777777">
        <w:trPr>
          <w:hidden/>
        </w:trPr>
        <w:tc>
          <w:tcPr>
            <w:tcW w:w="0" w:type="auto"/>
            <w:gridSpan w:val="3"/>
            <w:shd w:val="clear" w:color="auto" w:fill="auto"/>
            <w:vAlign w:val="bottom"/>
          </w:tcPr>
          <w:p w14:paraId="392BE4A7" w14:textId="77777777" w:rsidR="00980E5F" w:rsidRDefault="00980E5F">
            <w:pPr>
              <w:rPr>
                <w:rFonts w:ascii="宋体"/>
                <w:vanish/>
              </w:rPr>
            </w:pPr>
          </w:p>
        </w:tc>
        <w:tc>
          <w:tcPr>
            <w:tcW w:w="0" w:type="auto"/>
            <w:gridSpan w:val="3"/>
            <w:shd w:val="clear" w:color="auto" w:fill="auto"/>
            <w:vAlign w:val="bottom"/>
          </w:tcPr>
          <w:p w14:paraId="392BE4A8" w14:textId="77777777" w:rsidR="00980E5F" w:rsidRDefault="00980E5F">
            <w:pPr>
              <w:rPr>
                <w:rFonts w:ascii="宋体"/>
                <w:vanish/>
              </w:rPr>
            </w:pPr>
          </w:p>
        </w:tc>
        <w:tc>
          <w:tcPr>
            <w:tcW w:w="0" w:type="auto"/>
            <w:gridSpan w:val="3"/>
            <w:shd w:val="clear" w:color="auto" w:fill="auto"/>
            <w:vAlign w:val="bottom"/>
          </w:tcPr>
          <w:p w14:paraId="392BE4A9" w14:textId="77777777" w:rsidR="00980E5F" w:rsidRDefault="00980E5F">
            <w:pPr>
              <w:rPr>
                <w:rFonts w:ascii="宋体"/>
                <w:vanish/>
              </w:rPr>
            </w:pPr>
          </w:p>
        </w:tc>
      </w:tr>
      <w:tr w:rsidR="00980E5F" w14:paraId="392BE4AE" w14:textId="77777777">
        <w:trPr>
          <w:hidden/>
        </w:trPr>
        <w:tc>
          <w:tcPr>
            <w:tcW w:w="0" w:type="auto"/>
            <w:gridSpan w:val="3"/>
            <w:shd w:val="clear" w:color="auto" w:fill="auto"/>
            <w:vAlign w:val="bottom"/>
          </w:tcPr>
          <w:p w14:paraId="392BE4AB" w14:textId="77777777" w:rsidR="00980E5F" w:rsidRDefault="00980E5F">
            <w:pPr>
              <w:rPr>
                <w:rFonts w:ascii="宋体"/>
                <w:vanish/>
              </w:rPr>
            </w:pPr>
          </w:p>
        </w:tc>
        <w:tc>
          <w:tcPr>
            <w:tcW w:w="0" w:type="auto"/>
            <w:gridSpan w:val="3"/>
            <w:shd w:val="clear" w:color="auto" w:fill="auto"/>
            <w:vAlign w:val="bottom"/>
          </w:tcPr>
          <w:p w14:paraId="392BE4AC" w14:textId="77777777" w:rsidR="00980E5F" w:rsidRDefault="00980E5F">
            <w:pPr>
              <w:rPr>
                <w:rFonts w:ascii="宋体"/>
                <w:vanish/>
              </w:rPr>
            </w:pPr>
          </w:p>
        </w:tc>
        <w:tc>
          <w:tcPr>
            <w:tcW w:w="0" w:type="auto"/>
            <w:gridSpan w:val="3"/>
            <w:shd w:val="clear" w:color="auto" w:fill="auto"/>
            <w:vAlign w:val="bottom"/>
          </w:tcPr>
          <w:p w14:paraId="392BE4AD" w14:textId="77777777" w:rsidR="00980E5F" w:rsidRDefault="00980E5F">
            <w:pPr>
              <w:rPr>
                <w:rFonts w:ascii="宋体"/>
                <w:vanish/>
              </w:rPr>
            </w:pPr>
          </w:p>
        </w:tc>
      </w:tr>
      <w:tr w:rsidR="00980E5F" w14:paraId="392BE4B2" w14:textId="77777777">
        <w:trPr>
          <w:hidden/>
        </w:trPr>
        <w:tc>
          <w:tcPr>
            <w:tcW w:w="0" w:type="auto"/>
            <w:gridSpan w:val="3"/>
            <w:shd w:val="clear" w:color="auto" w:fill="auto"/>
            <w:vAlign w:val="bottom"/>
          </w:tcPr>
          <w:p w14:paraId="392BE4AF" w14:textId="77777777" w:rsidR="00980E5F" w:rsidRDefault="00980E5F">
            <w:pPr>
              <w:rPr>
                <w:rFonts w:ascii="宋体"/>
                <w:vanish/>
              </w:rPr>
            </w:pPr>
          </w:p>
        </w:tc>
        <w:tc>
          <w:tcPr>
            <w:tcW w:w="0" w:type="auto"/>
            <w:gridSpan w:val="3"/>
            <w:shd w:val="clear" w:color="auto" w:fill="auto"/>
            <w:vAlign w:val="bottom"/>
          </w:tcPr>
          <w:p w14:paraId="392BE4B0" w14:textId="77777777" w:rsidR="00980E5F" w:rsidRDefault="00980E5F">
            <w:pPr>
              <w:rPr>
                <w:rFonts w:ascii="宋体"/>
                <w:vanish/>
              </w:rPr>
            </w:pPr>
          </w:p>
        </w:tc>
        <w:tc>
          <w:tcPr>
            <w:tcW w:w="0" w:type="auto"/>
            <w:gridSpan w:val="3"/>
            <w:shd w:val="clear" w:color="auto" w:fill="auto"/>
            <w:vAlign w:val="bottom"/>
          </w:tcPr>
          <w:p w14:paraId="392BE4B1" w14:textId="77777777" w:rsidR="00980E5F" w:rsidRDefault="00980E5F">
            <w:pPr>
              <w:rPr>
                <w:rFonts w:ascii="宋体"/>
                <w:vanish/>
              </w:rPr>
            </w:pPr>
          </w:p>
        </w:tc>
      </w:tr>
      <w:tr w:rsidR="00980E5F" w14:paraId="392BE4B6" w14:textId="77777777">
        <w:trPr>
          <w:hidden/>
        </w:trPr>
        <w:tc>
          <w:tcPr>
            <w:tcW w:w="0" w:type="auto"/>
            <w:gridSpan w:val="3"/>
            <w:shd w:val="clear" w:color="auto" w:fill="auto"/>
            <w:vAlign w:val="bottom"/>
          </w:tcPr>
          <w:p w14:paraId="392BE4B3" w14:textId="77777777" w:rsidR="00980E5F" w:rsidRDefault="00980E5F">
            <w:pPr>
              <w:rPr>
                <w:rFonts w:ascii="宋体"/>
                <w:vanish/>
              </w:rPr>
            </w:pPr>
          </w:p>
        </w:tc>
        <w:tc>
          <w:tcPr>
            <w:tcW w:w="0" w:type="auto"/>
            <w:gridSpan w:val="3"/>
            <w:shd w:val="clear" w:color="auto" w:fill="auto"/>
            <w:vAlign w:val="bottom"/>
          </w:tcPr>
          <w:p w14:paraId="392BE4B4" w14:textId="77777777" w:rsidR="00980E5F" w:rsidRDefault="00980E5F">
            <w:pPr>
              <w:rPr>
                <w:rFonts w:ascii="宋体"/>
                <w:vanish/>
              </w:rPr>
            </w:pPr>
          </w:p>
        </w:tc>
        <w:tc>
          <w:tcPr>
            <w:tcW w:w="0" w:type="auto"/>
            <w:gridSpan w:val="3"/>
            <w:shd w:val="clear" w:color="auto" w:fill="auto"/>
            <w:vAlign w:val="bottom"/>
          </w:tcPr>
          <w:p w14:paraId="392BE4B5" w14:textId="77777777" w:rsidR="00980E5F" w:rsidRDefault="00980E5F">
            <w:pPr>
              <w:rPr>
                <w:rFonts w:ascii="宋体"/>
                <w:vanish/>
              </w:rPr>
            </w:pPr>
          </w:p>
        </w:tc>
      </w:tr>
      <w:tr w:rsidR="00980E5F" w14:paraId="392BE4BA" w14:textId="77777777">
        <w:trPr>
          <w:hidden/>
        </w:trPr>
        <w:tc>
          <w:tcPr>
            <w:tcW w:w="0" w:type="auto"/>
            <w:gridSpan w:val="3"/>
            <w:shd w:val="clear" w:color="auto" w:fill="auto"/>
            <w:vAlign w:val="bottom"/>
          </w:tcPr>
          <w:p w14:paraId="392BE4B7" w14:textId="77777777" w:rsidR="00980E5F" w:rsidRDefault="00980E5F">
            <w:pPr>
              <w:rPr>
                <w:rFonts w:ascii="宋体"/>
                <w:vanish/>
              </w:rPr>
            </w:pPr>
          </w:p>
        </w:tc>
        <w:tc>
          <w:tcPr>
            <w:tcW w:w="0" w:type="auto"/>
            <w:gridSpan w:val="3"/>
            <w:shd w:val="clear" w:color="auto" w:fill="auto"/>
            <w:vAlign w:val="bottom"/>
          </w:tcPr>
          <w:p w14:paraId="392BE4B8" w14:textId="77777777" w:rsidR="00980E5F" w:rsidRDefault="00980E5F">
            <w:pPr>
              <w:rPr>
                <w:rFonts w:ascii="宋体"/>
                <w:vanish/>
              </w:rPr>
            </w:pPr>
          </w:p>
        </w:tc>
        <w:tc>
          <w:tcPr>
            <w:tcW w:w="0" w:type="auto"/>
            <w:gridSpan w:val="3"/>
            <w:shd w:val="clear" w:color="auto" w:fill="auto"/>
            <w:vAlign w:val="bottom"/>
          </w:tcPr>
          <w:p w14:paraId="392BE4B9" w14:textId="77777777" w:rsidR="00980E5F" w:rsidRDefault="00980E5F">
            <w:pPr>
              <w:rPr>
                <w:rFonts w:ascii="宋体"/>
                <w:vanish/>
              </w:rPr>
            </w:pPr>
          </w:p>
        </w:tc>
      </w:tr>
    </w:tbl>
    <w:p w14:paraId="392BE4BB" w14:textId="77777777" w:rsidR="00980E5F" w:rsidRDefault="00980E5F">
      <w:pPr>
        <w:ind w:firstLine="450"/>
      </w:pPr>
    </w:p>
    <w:p w14:paraId="392BE4BC" w14:textId="77777777" w:rsidR="00980E5F" w:rsidRDefault="00980E5F">
      <w:pPr>
        <w:ind w:firstLine="450"/>
      </w:pPr>
    </w:p>
    <w:p w14:paraId="392BE4BD" w14:textId="77777777" w:rsidR="00980E5F" w:rsidRDefault="00980E5F">
      <w:pPr>
        <w:ind w:firstLine="450"/>
      </w:pPr>
    </w:p>
    <w:p w14:paraId="392BE4BE" w14:textId="77777777" w:rsidR="00980E5F" w:rsidRDefault="00980E5F">
      <w:pPr>
        <w:ind w:firstLine="450"/>
      </w:pPr>
    </w:p>
    <w:p w14:paraId="392BE4BF" w14:textId="77777777" w:rsidR="00980E5F" w:rsidRDefault="00980E5F">
      <w:pPr>
        <w:ind w:firstLine="450"/>
      </w:pPr>
    </w:p>
    <w:p w14:paraId="392BE4C0" w14:textId="77777777" w:rsidR="00980E5F" w:rsidRDefault="00980E5F">
      <w:pPr>
        <w:ind w:firstLine="450"/>
      </w:pPr>
    </w:p>
    <w:p w14:paraId="392BE4C1" w14:textId="77777777" w:rsidR="00980E5F" w:rsidRDefault="00980E5F">
      <w:pPr>
        <w:ind w:firstLine="450"/>
      </w:pPr>
    </w:p>
    <w:p w14:paraId="392BE4C2" w14:textId="77777777" w:rsidR="00980E5F" w:rsidRDefault="00980E5F">
      <w:pPr>
        <w:ind w:firstLine="450"/>
      </w:pPr>
    </w:p>
    <w:p w14:paraId="392BE4C3" w14:textId="77777777" w:rsidR="00980E5F" w:rsidRDefault="00980E5F">
      <w:pPr>
        <w:ind w:firstLine="450"/>
      </w:pPr>
    </w:p>
    <w:p w14:paraId="392BE4C4" w14:textId="77777777" w:rsidR="00980E5F" w:rsidRDefault="00980E5F">
      <w:pPr>
        <w:ind w:firstLine="450"/>
      </w:pPr>
    </w:p>
    <w:p w14:paraId="392BE4C5" w14:textId="77777777" w:rsidR="00980E5F" w:rsidRDefault="00980E5F">
      <w:pPr>
        <w:ind w:firstLine="450"/>
      </w:pPr>
    </w:p>
    <w:p w14:paraId="392BE4C6" w14:textId="77777777" w:rsidR="00980E5F" w:rsidRDefault="00980E5F">
      <w:pPr>
        <w:ind w:firstLine="450"/>
      </w:pPr>
    </w:p>
    <w:p w14:paraId="392BE4C7" w14:textId="77777777" w:rsidR="00980E5F" w:rsidRDefault="00980E5F">
      <w:pPr>
        <w:ind w:firstLine="450"/>
      </w:pPr>
    </w:p>
    <w:p w14:paraId="392BE4C8" w14:textId="77777777" w:rsidR="00980E5F" w:rsidRDefault="00980E5F">
      <w:pPr>
        <w:ind w:firstLine="450"/>
      </w:pPr>
    </w:p>
    <w:p w14:paraId="392BE4C9" w14:textId="77777777" w:rsidR="00980E5F" w:rsidRDefault="00980E5F">
      <w:pPr>
        <w:ind w:firstLine="450"/>
      </w:pPr>
    </w:p>
    <w:p w14:paraId="392BE4CA" w14:textId="77777777" w:rsidR="00980E5F" w:rsidRDefault="00980E5F">
      <w:pPr>
        <w:ind w:firstLine="450"/>
      </w:pPr>
    </w:p>
    <w:p w14:paraId="392BE4CB" w14:textId="77777777" w:rsidR="00980E5F" w:rsidRDefault="00980E5F">
      <w:pPr>
        <w:ind w:firstLine="450"/>
      </w:pPr>
    </w:p>
    <w:p w14:paraId="392BE4CC" w14:textId="77777777" w:rsidR="00980E5F" w:rsidRDefault="00980E5F">
      <w:pPr>
        <w:ind w:firstLine="450"/>
      </w:pPr>
    </w:p>
    <w:p w14:paraId="392BE4CD" w14:textId="77777777" w:rsidR="00980E5F" w:rsidRDefault="00980E5F">
      <w:pPr>
        <w:ind w:firstLine="450"/>
      </w:pPr>
    </w:p>
    <w:p w14:paraId="392BE4CE" w14:textId="77777777" w:rsidR="00980E5F" w:rsidRDefault="00980E5F">
      <w:pPr>
        <w:ind w:firstLine="450"/>
      </w:pPr>
    </w:p>
    <w:p w14:paraId="392BE4CF" w14:textId="77777777" w:rsidR="00980E5F" w:rsidRDefault="00980E5F">
      <w:pPr>
        <w:ind w:firstLine="450"/>
      </w:pPr>
    </w:p>
    <w:p w14:paraId="392BE4D0" w14:textId="77777777" w:rsidR="00980E5F" w:rsidRDefault="00980E5F">
      <w:pPr>
        <w:ind w:firstLine="450"/>
      </w:pPr>
    </w:p>
    <w:p w14:paraId="392BE4D1" w14:textId="77777777" w:rsidR="00980E5F" w:rsidRDefault="00980E5F">
      <w:pPr>
        <w:ind w:firstLine="450"/>
      </w:pPr>
    </w:p>
    <w:p w14:paraId="392BE4D2" w14:textId="77777777" w:rsidR="00980E5F" w:rsidRDefault="00980E5F">
      <w:pPr>
        <w:ind w:firstLine="450"/>
      </w:pPr>
    </w:p>
    <w:p w14:paraId="392BE4D3" w14:textId="77777777" w:rsidR="00980E5F" w:rsidRDefault="00980E5F">
      <w:pPr>
        <w:ind w:firstLine="450"/>
      </w:pPr>
    </w:p>
    <w:p w14:paraId="392BE4D4" w14:textId="77777777" w:rsidR="00980E5F" w:rsidRDefault="00980E5F">
      <w:pPr>
        <w:ind w:firstLine="450"/>
      </w:pPr>
    </w:p>
    <w:p w14:paraId="392BE4D5" w14:textId="77777777" w:rsidR="00980E5F" w:rsidRDefault="00980E5F">
      <w:pPr>
        <w:ind w:firstLine="450"/>
      </w:pPr>
    </w:p>
    <w:p w14:paraId="392BE4D6" w14:textId="77777777" w:rsidR="00980E5F" w:rsidRDefault="00980E5F">
      <w:pPr>
        <w:ind w:firstLine="450"/>
      </w:pPr>
    </w:p>
    <w:p w14:paraId="392BE4D7" w14:textId="77777777" w:rsidR="00980E5F" w:rsidRDefault="00980E5F">
      <w:pPr>
        <w:ind w:firstLine="450"/>
      </w:pPr>
    </w:p>
    <w:p w14:paraId="392BE4D8" w14:textId="77777777" w:rsidR="00980E5F" w:rsidRDefault="00980E5F">
      <w:pPr>
        <w:ind w:firstLine="450"/>
      </w:pPr>
    </w:p>
    <w:p w14:paraId="392BE4D9" w14:textId="77777777" w:rsidR="00980E5F" w:rsidRDefault="00980E5F">
      <w:pPr>
        <w:ind w:firstLine="720"/>
        <w:jc w:val="both"/>
      </w:pPr>
    </w:p>
    <w:p w14:paraId="392BE4DA" w14:textId="77777777" w:rsidR="00980E5F" w:rsidRDefault="00483613">
      <w:pPr>
        <w:ind w:firstLine="720"/>
        <w:jc w:val="both"/>
      </w:pPr>
      <w:r>
        <w:rPr>
          <w:rFonts w:ascii="Arial" w:eastAsia="宋体" w:hAnsi="Arial" w:cs="Arial"/>
          <w:color w:val="000000"/>
          <w:sz w:val="20"/>
          <w:szCs w:val="20"/>
        </w:rPr>
        <w:t>We use acronyms and other defined terms for certain business terms and abbreviations, as defined in the acronyms list and glossary following the consolidated financial statements in this Form 10-Q.</w:t>
      </w:r>
    </w:p>
    <w:p w14:paraId="392BE4DB" w14:textId="77777777" w:rsidR="00980E5F" w:rsidRDefault="00483613">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3</w:t>
      </w:r>
    </w:p>
    <w:p w14:paraId="392BE4DC" w14:textId="77777777" w:rsidR="00980E5F" w:rsidRDefault="00980E5F">
      <w:pPr>
        <w:ind w:firstLine="450"/>
        <w:jc w:val="center"/>
      </w:pPr>
    </w:p>
    <w:p w14:paraId="392BE4DD" w14:textId="77777777" w:rsidR="00980E5F" w:rsidRDefault="00483613">
      <w:r>
        <w:pict w14:anchorId="392CBAD1">
          <v:rect id="_x0000_i1027" style="width:415.3pt;height:1.5pt" o:hralign="center" o:hrstd="t" o:hr="t" fillcolor="#a0a0a0" stroked="f"/>
        </w:pict>
      </w:r>
    </w:p>
    <w:p w14:paraId="392BE4DE"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4DF" w14:textId="77777777" w:rsidR="00980E5F" w:rsidRDefault="00483613">
      <w:pPr>
        <w:ind w:firstLine="450"/>
        <w:jc w:val="center"/>
      </w:pPr>
      <w:r>
        <w:rPr>
          <w:rFonts w:ascii="Arial" w:eastAsia="宋体" w:hAnsi="Arial" w:cs="Arial"/>
          <w:b/>
          <w:bCs/>
          <w:color w:val="000000"/>
          <w:sz w:val="20"/>
          <w:szCs w:val="20"/>
        </w:rPr>
        <w:t>AND RESULTS OF OPERATIONS</w:t>
      </w:r>
    </w:p>
    <w:p w14:paraId="392BE4E0" w14:textId="77777777" w:rsidR="00980E5F" w:rsidRDefault="00483613">
      <w:pPr>
        <w:spacing w:before="90"/>
        <w:textAlignment w:val="top"/>
      </w:pPr>
      <w:r>
        <w:rPr>
          <w:rFonts w:ascii="Arial" w:eastAsia="宋体" w:hAnsi="Arial" w:cs="Arial"/>
          <w:b/>
          <w:bCs/>
          <w:color w:val="000000"/>
          <w:sz w:val="20"/>
          <w:szCs w:val="20"/>
        </w:rPr>
        <w:t>PART I. FINANCIAL INFORMATION</w:t>
      </w:r>
    </w:p>
    <w:p w14:paraId="392BE4E1" w14:textId="77777777" w:rsidR="00980E5F" w:rsidRDefault="00980E5F">
      <w:pPr>
        <w:textAlignment w:val="top"/>
      </w:pPr>
    </w:p>
    <w:p w14:paraId="392BE4E2" w14:textId="77777777" w:rsidR="00980E5F" w:rsidRDefault="00980E5F">
      <w:pPr>
        <w:spacing w:before="90"/>
        <w:jc w:val="both"/>
        <w:textAlignment w:val="top"/>
      </w:pPr>
    </w:p>
    <w:p w14:paraId="392BE4E3" w14:textId="77777777" w:rsidR="00980E5F" w:rsidRDefault="00483613">
      <w:pPr>
        <w:spacing w:before="90"/>
        <w:jc w:val="both"/>
      </w:pPr>
      <w:r>
        <w:rPr>
          <w:rFonts w:ascii="Arial" w:eastAsia="宋体" w:hAnsi="Arial" w:cs="Arial"/>
          <w:b/>
          <w:bCs/>
          <w:color w:val="000000"/>
          <w:sz w:val="20"/>
          <w:szCs w:val="20"/>
        </w:rPr>
        <w:t>GENERAL</w:t>
      </w:r>
    </w:p>
    <w:p w14:paraId="392BE4E4" w14:textId="77777777" w:rsidR="00980E5F" w:rsidRDefault="00483613">
      <w:pPr>
        <w:spacing w:before="60"/>
        <w:ind w:firstLine="450"/>
        <w:jc w:val="both"/>
        <w:textAlignment w:val="top"/>
      </w:pPr>
      <w:r>
        <w:rPr>
          <w:rFonts w:ascii="Arial" w:eastAsia="宋体" w:hAnsi="Arial" w:cs="Arial"/>
          <w:color w:val="000000"/>
          <w:sz w:val="20"/>
          <w:szCs w:val="20"/>
        </w:rPr>
        <w:t xml:space="preserve">State Street Corporation, referred to as the Parent Company, is a financial holding company </w:t>
      </w:r>
      <w:r>
        <w:rPr>
          <w:rFonts w:ascii="Arial" w:eastAsia="宋体" w:hAnsi="Arial" w:cs="Arial"/>
          <w:color w:val="000000"/>
          <w:sz w:val="20"/>
          <w:szCs w:val="20"/>
        </w:rPr>
        <w:t>organized in 1969 under the laws of the Commonwealth of Massachusetts. Our executive offices are located at One Lincoln Street, Boston, Massachusetts 02111 (telephone (617) 786-3000). For purposes of this Quarterly Report on Form 10-Q for the quarter ended</w:t>
      </w:r>
      <w:r>
        <w:rPr>
          <w:rFonts w:ascii="Arial" w:eastAsia="宋体" w:hAnsi="Arial" w:cs="Arial"/>
          <w:color w:val="000000"/>
          <w:sz w:val="20"/>
          <w:szCs w:val="20"/>
        </w:rPr>
        <w:t xml:space="preserve"> June 30, 2022 (Form 10-Q), unless the context requires otherwise, references to "State Street," "we," "us," "our" or similar terms mean State Street Corporation and its subsidiaries on a consolidated basis. The Parent Company is a source of financial and </w:t>
      </w:r>
      <w:r>
        <w:rPr>
          <w:rFonts w:ascii="Arial" w:eastAsia="宋体" w:hAnsi="Arial" w:cs="Arial"/>
          <w:color w:val="000000"/>
          <w:sz w:val="20"/>
          <w:szCs w:val="20"/>
        </w:rPr>
        <w:t>managerial strength to our subsidiaries. Through our subsidiaries, including our principal banking subsidiary, State Street Bank and Trust Company, referred to as State Street Bank, we provide a broad range of financial products and services to institution</w:t>
      </w:r>
      <w:r>
        <w:rPr>
          <w:rFonts w:ascii="Arial" w:eastAsia="宋体" w:hAnsi="Arial" w:cs="Arial"/>
          <w:color w:val="000000"/>
          <w:sz w:val="20"/>
          <w:szCs w:val="20"/>
        </w:rPr>
        <w:t>al investors worldwide, with $38.18 trillion of AUC/A and $3.48 trillion of AUM as of June 30, 2022.</w:t>
      </w:r>
    </w:p>
    <w:p w14:paraId="392BE4E5" w14:textId="77777777" w:rsidR="00980E5F" w:rsidRDefault="00483613">
      <w:pPr>
        <w:spacing w:before="60"/>
        <w:ind w:firstLine="450"/>
        <w:jc w:val="both"/>
        <w:textAlignment w:val="top"/>
      </w:pPr>
      <w:r>
        <w:rPr>
          <w:rFonts w:ascii="Arial" w:eastAsia="宋体" w:hAnsi="Arial" w:cs="Arial"/>
          <w:color w:val="000000"/>
          <w:sz w:val="20"/>
          <w:szCs w:val="20"/>
        </w:rPr>
        <w:t xml:space="preserve">As of June 30, 2022, we had consolidated total assets of $300.22 billion, consolidated total deposits of $241.91 billion, consolidated total shareholders' </w:t>
      </w:r>
      <w:r>
        <w:rPr>
          <w:rFonts w:ascii="Arial" w:eastAsia="宋体" w:hAnsi="Arial" w:cs="Arial"/>
          <w:color w:val="000000"/>
          <w:sz w:val="20"/>
          <w:szCs w:val="20"/>
        </w:rPr>
        <w:t xml:space="preserve">equity of $25.77 billion and </w:t>
      </w:r>
      <w:r>
        <w:rPr>
          <w:rFonts w:ascii="Arial" w:eastAsia="宋体" w:hAnsi="Arial" w:cs="Arial"/>
          <w:color w:val="000000"/>
          <w:sz w:val="20"/>
          <w:szCs w:val="20"/>
          <w:shd w:val="clear" w:color="auto" w:fill="FFFFFF"/>
        </w:rPr>
        <w:t xml:space="preserve">40,354 </w:t>
      </w:r>
      <w:r>
        <w:rPr>
          <w:rFonts w:ascii="Arial" w:eastAsia="宋体" w:hAnsi="Arial" w:cs="Arial"/>
          <w:color w:val="000000"/>
          <w:sz w:val="20"/>
          <w:szCs w:val="20"/>
        </w:rPr>
        <w:t>employees. We operate in more than 100 geographic markets worldwide, including in the U.S., Canada, Europe, the Middle East and Asia.</w:t>
      </w:r>
    </w:p>
    <w:p w14:paraId="392BE4E6" w14:textId="77777777" w:rsidR="00980E5F" w:rsidRDefault="00483613">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w:t>
      </w:r>
      <w:r>
        <w:rPr>
          <w:rFonts w:ascii="Arial" w:eastAsia="宋体" w:hAnsi="Arial" w:cs="Arial"/>
          <w:color w:val="000000"/>
          <w:sz w:val="20"/>
          <w:szCs w:val="20"/>
        </w:rPr>
        <w:t>stment Management, which are defined based on products and services provided.</w:t>
      </w:r>
    </w:p>
    <w:p w14:paraId="392BE4E7" w14:textId="77777777" w:rsidR="00980E5F" w:rsidRDefault="00483613">
      <w:pPr>
        <w:spacing w:before="60"/>
        <w:ind w:firstLine="450"/>
        <w:jc w:val="both"/>
        <w:textAlignment w:val="top"/>
      </w:pPr>
      <w:r>
        <w:rPr>
          <w:rFonts w:ascii="Arial" w:eastAsia="宋体" w:hAnsi="Arial" w:cs="Arial"/>
          <w:color w:val="000000"/>
          <w:sz w:val="20"/>
          <w:szCs w:val="20"/>
        </w:rPr>
        <w:t>Additional information about our lines of business is provided in Line of Business Information in this Management's Discussion and Analysis and Note 17 to the consolidated financ</w:t>
      </w:r>
      <w:r>
        <w:rPr>
          <w:rFonts w:ascii="Arial" w:eastAsia="宋体" w:hAnsi="Arial" w:cs="Arial"/>
          <w:color w:val="000000"/>
          <w:sz w:val="20"/>
          <w:szCs w:val="20"/>
        </w:rPr>
        <w:t>ial statements in this Form 10-Q.</w:t>
      </w:r>
    </w:p>
    <w:p w14:paraId="392BE4E8" w14:textId="77777777" w:rsidR="00980E5F" w:rsidRDefault="00483613">
      <w:pPr>
        <w:spacing w:before="60"/>
        <w:ind w:firstLine="450"/>
        <w:jc w:val="both"/>
        <w:textAlignment w:val="top"/>
      </w:pPr>
      <w:r>
        <w:rPr>
          <w:rFonts w:ascii="Arial" w:eastAsia="宋体" w:hAnsi="Arial" w:cs="Arial"/>
          <w:color w:val="000000"/>
          <w:sz w:val="20"/>
          <w:szCs w:val="20"/>
        </w:rPr>
        <w:t xml:space="preserve">This Management's Discussion and Analysis is part of the Form 10-Q and updates the Management's Discussion and Analysis in our 2021 Annual Report on Form 10-K for the year ended December 31, 2021 previously filed with the </w:t>
      </w:r>
      <w:r>
        <w:rPr>
          <w:rFonts w:ascii="Arial" w:eastAsia="宋体" w:hAnsi="Arial" w:cs="Arial"/>
          <w:color w:val="000000"/>
          <w:sz w:val="20"/>
          <w:szCs w:val="20"/>
        </w:rPr>
        <w:t>SEC (2021 Form 10-K). You should read the financial information contained in this Management's Discussion and Analysis and elsewhere in this Form 10-Q in conjunction with the financial and other information contained in our 2021 Form 10-K. Certain previous</w:t>
      </w:r>
      <w:r>
        <w:rPr>
          <w:rFonts w:ascii="Arial" w:eastAsia="宋体" w:hAnsi="Arial" w:cs="Arial"/>
          <w:color w:val="000000"/>
          <w:sz w:val="20"/>
          <w:szCs w:val="20"/>
        </w:rPr>
        <w:t>ly reported amounts presented in this Form 10-Q have been reclassified to conform to current-period presentation.</w:t>
      </w:r>
    </w:p>
    <w:p w14:paraId="392BE4E9" w14:textId="77777777" w:rsidR="00980E5F" w:rsidRDefault="00483613">
      <w:pPr>
        <w:spacing w:before="60"/>
        <w:ind w:firstLine="450"/>
        <w:jc w:val="both"/>
        <w:textAlignment w:val="top"/>
      </w:pPr>
      <w:r>
        <w:rPr>
          <w:rFonts w:ascii="Arial" w:eastAsia="宋体" w:hAnsi="Arial" w:cs="Arial"/>
          <w:color w:val="000000"/>
          <w:sz w:val="20"/>
          <w:szCs w:val="20"/>
        </w:rPr>
        <w:t>We prepare our consolidated financial statements in conformity with U.S. GAAP. The preparation of financial statements in conformity with U.S.</w:t>
      </w:r>
      <w:r>
        <w:rPr>
          <w:rFonts w:ascii="Arial" w:eastAsia="宋体" w:hAnsi="Arial" w:cs="Arial"/>
          <w:color w:val="000000"/>
          <w:sz w:val="20"/>
          <w:szCs w:val="20"/>
        </w:rPr>
        <w:t xml:space="preserve"> GAAP requires management to make estimates </w:t>
      </w:r>
    </w:p>
    <w:p w14:paraId="392BE4EA" w14:textId="77777777" w:rsidR="00980E5F" w:rsidRDefault="00483613">
      <w:pPr>
        <w:spacing w:before="60"/>
        <w:jc w:val="both"/>
        <w:textAlignment w:val="top"/>
      </w:pPr>
      <w:r>
        <w:rPr>
          <w:rFonts w:ascii="Arial" w:eastAsia="宋体" w:hAnsi="Arial" w:cs="Arial"/>
          <w:color w:val="000000"/>
          <w:sz w:val="20"/>
          <w:szCs w:val="20"/>
        </w:rPr>
        <w:t>and assumptions in its application of certain accounting policies that materially affect the reported amounts of assets, liabilities, equity, revenue and expenses.</w:t>
      </w:r>
    </w:p>
    <w:p w14:paraId="392BE4EB" w14:textId="77777777" w:rsidR="00980E5F" w:rsidRDefault="00483613">
      <w:pPr>
        <w:spacing w:before="60"/>
        <w:ind w:firstLine="450"/>
        <w:jc w:val="both"/>
        <w:textAlignment w:val="top"/>
      </w:pPr>
      <w:r>
        <w:rPr>
          <w:rFonts w:ascii="Arial" w:eastAsia="宋体" w:hAnsi="Arial" w:cs="Arial"/>
          <w:color w:val="000000"/>
          <w:sz w:val="20"/>
          <w:szCs w:val="20"/>
        </w:rPr>
        <w:t>The significant accounting policies that requir</w:t>
      </w:r>
      <w:r>
        <w:rPr>
          <w:rFonts w:ascii="Arial" w:eastAsia="宋体" w:hAnsi="Arial" w:cs="Arial"/>
          <w:color w:val="000000"/>
          <w:sz w:val="20"/>
          <w:szCs w:val="20"/>
        </w:rPr>
        <w:t>e us to make judgments, estimates and assumptions that are difficult, subjective or complex about matters that are uncertain and may change in subsequent periods include:</w:t>
      </w:r>
    </w:p>
    <w:p w14:paraId="392BE4EC" w14:textId="77777777" w:rsidR="00980E5F" w:rsidRDefault="00483613">
      <w:pPr>
        <w:spacing w:before="20"/>
        <w:ind w:hanging="360"/>
        <w:textAlignment w:val="top"/>
      </w:pPr>
      <w:r>
        <w:rPr>
          <w:rFonts w:ascii="Arial" w:eastAsia="宋体" w:hAnsi="Arial" w:cs="Arial"/>
          <w:color w:val="000000"/>
          <w:sz w:val="20"/>
          <w:szCs w:val="20"/>
        </w:rPr>
        <w:t>•accounting for fair value measurements;</w:t>
      </w:r>
    </w:p>
    <w:p w14:paraId="392BE4ED" w14:textId="77777777" w:rsidR="00980E5F" w:rsidRDefault="00483613">
      <w:pPr>
        <w:spacing w:before="20"/>
        <w:ind w:hanging="360"/>
        <w:textAlignment w:val="top"/>
      </w:pPr>
      <w:r>
        <w:rPr>
          <w:rFonts w:ascii="Arial" w:eastAsia="宋体" w:hAnsi="Arial" w:cs="Arial"/>
          <w:color w:val="000000"/>
          <w:sz w:val="20"/>
          <w:szCs w:val="20"/>
        </w:rPr>
        <w:t>•allowance for credit losses;</w:t>
      </w:r>
    </w:p>
    <w:p w14:paraId="392BE4EE" w14:textId="77777777" w:rsidR="00980E5F" w:rsidRDefault="00483613">
      <w:pPr>
        <w:spacing w:before="60"/>
        <w:ind w:hanging="360"/>
        <w:textAlignment w:val="top"/>
      </w:pPr>
      <w:r>
        <w:rPr>
          <w:rFonts w:ascii="Arial" w:eastAsia="宋体" w:hAnsi="Arial" w:cs="Arial"/>
          <w:color w:val="000000"/>
          <w:sz w:val="20"/>
          <w:szCs w:val="20"/>
        </w:rPr>
        <w:t>•impairment of</w:t>
      </w:r>
      <w:r>
        <w:rPr>
          <w:rFonts w:ascii="Arial" w:eastAsia="宋体" w:hAnsi="Arial" w:cs="Arial"/>
          <w:color w:val="000000"/>
          <w:sz w:val="20"/>
          <w:szCs w:val="20"/>
        </w:rPr>
        <w:t xml:space="preserve"> goodwill and other intangible assets; and</w:t>
      </w:r>
    </w:p>
    <w:p w14:paraId="392BE4EF" w14:textId="77777777" w:rsidR="00980E5F" w:rsidRDefault="00483613">
      <w:pPr>
        <w:spacing w:before="20"/>
        <w:ind w:hanging="360"/>
        <w:textAlignment w:val="top"/>
      </w:pPr>
      <w:r>
        <w:rPr>
          <w:rFonts w:ascii="Arial" w:eastAsia="宋体" w:hAnsi="Arial" w:cs="Arial"/>
          <w:color w:val="000000"/>
          <w:sz w:val="20"/>
          <w:szCs w:val="20"/>
        </w:rPr>
        <w:t>•contingencies.</w:t>
      </w:r>
    </w:p>
    <w:p w14:paraId="392BE4F0" w14:textId="77777777" w:rsidR="00980E5F" w:rsidRDefault="00483613">
      <w:pPr>
        <w:spacing w:before="60"/>
        <w:ind w:firstLine="450"/>
        <w:jc w:val="both"/>
        <w:textAlignment w:val="top"/>
      </w:pPr>
      <w:r>
        <w:rPr>
          <w:rFonts w:ascii="Arial" w:eastAsia="宋体" w:hAnsi="Arial" w:cs="Arial"/>
          <w:color w:val="000000"/>
          <w:sz w:val="20"/>
          <w:szCs w:val="20"/>
        </w:rPr>
        <w:t>These significant accounting policies require the most subjective or complex judgments, and underlying estimates and assumptions could be subject to revision as new information becomes available. F</w:t>
      </w:r>
      <w:r>
        <w:rPr>
          <w:rFonts w:ascii="Arial" w:eastAsia="宋体" w:hAnsi="Arial" w:cs="Arial"/>
          <w:color w:val="000000"/>
          <w:sz w:val="20"/>
          <w:szCs w:val="20"/>
        </w:rPr>
        <w:t>or additional information about these significant accounting policies refer to pages 124 to 126, “Significant Accounting Estimates” included under Item 7, Management's Discussion and Analysis of Financial Condition and Results of Operations, in our 2021 Fo</w:t>
      </w:r>
      <w:r>
        <w:rPr>
          <w:rFonts w:ascii="Arial" w:eastAsia="宋体" w:hAnsi="Arial" w:cs="Arial"/>
          <w:color w:val="000000"/>
          <w:sz w:val="20"/>
          <w:szCs w:val="20"/>
        </w:rPr>
        <w:t>rm 10-K. We did not change these significant accounting policies in the first six months of 2022.</w:t>
      </w:r>
    </w:p>
    <w:p w14:paraId="392BE4F1" w14:textId="77777777" w:rsidR="00980E5F" w:rsidRDefault="00483613">
      <w:pPr>
        <w:spacing w:before="60"/>
        <w:ind w:firstLine="450"/>
        <w:jc w:val="both"/>
        <w:textAlignment w:val="top"/>
      </w:pPr>
      <w:r>
        <w:rPr>
          <w:rFonts w:ascii="Arial" w:eastAsia="宋体" w:hAnsi="Arial" w:cs="Arial"/>
          <w:color w:val="000000"/>
          <w:sz w:val="20"/>
          <w:szCs w:val="20"/>
        </w:rPr>
        <w:t>Certain financial information provided in this Form 10-Q, including in this Management's Discussion and Analysis, is prepared on both a U.S. GAAP, or reported</w:t>
      </w:r>
      <w:r>
        <w:rPr>
          <w:rFonts w:ascii="Arial" w:eastAsia="宋体" w:hAnsi="Arial" w:cs="Arial"/>
          <w:color w:val="000000"/>
          <w:sz w:val="20"/>
          <w:szCs w:val="20"/>
        </w:rPr>
        <w:t xml:space="preserve"> basis, and a non-GAAP basis. We measure and compare certain financial information on a non-GAAP basis, including information that management uses in evaluating our business and activities. Non-GAAP financial information should be considered in addition to</w:t>
      </w:r>
      <w:r>
        <w:rPr>
          <w:rFonts w:ascii="Arial" w:eastAsia="宋体" w:hAnsi="Arial" w:cs="Arial"/>
          <w:color w:val="000000"/>
          <w:sz w:val="20"/>
          <w:szCs w:val="20"/>
        </w:rPr>
        <w:t>, and not as a substitute for or superior to, financial information prepared in conformity with U.S. GAAP. Any non-GAAP financial information presented in this Form 10-Q, including this Management’s Discussion and Analysis, is reconciled to its most direct</w:t>
      </w:r>
      <w:r>
        <w:rPr>
          <w:rFonts w:ascii="Arial" w:eastAsia="宋体" w:hAnsi="Arial" w:cs="Arial"/>
          <w:color w:val="000000"/>
          <w:sz w:val="20"/>
          <w:szCs w:val="20"/>
        </w:rPr>
        <w:t>ly comparable U.S. GAAP-basis measure.</w:t>
      </w:r>
    </w:p>
    <w:p w14:paraId="392BE4F2" w14:textId="77777777" w:rsidR="00980E5F" w:rsidRDefault="00483613">
      <w:pPr>
        <w:spacing w:before="60"/>
        <w:ind w:firstLine="450"/>
        <w:jc w:val="both"/>
        <w:textAlignment w:val="top"/>
      </w:pPr>
      <w:r>
        <w:rPr>
          <w:rFonts w:ascii="Arial" w:eastAsia="宋体" w:hAnsi="Arial" w:cs="Arial"/>
          <w:color w:val="000000"/>
          <w:sz w:val="20"/>
          <w:szCs w:val="20"/>
        </w:rPr>
        <w:t>We further believe that our presentation of FTE NII, a non-GAAP measure, which reports non-taxable revenue, such as interest income associated with tax-exempt investment securities, on a FTE basis, facilitates an inve</w:t>
      </w:r>
      <w:r>
        <w:rPr>
          <w:rFonts w:ascii="Arial" w:eastAsia="宋体" w:hAnsi="Arial" w:cs="Arial"/>
          <w:color w:val="000000"/>
          <w:sz w:val="20"/>
          <w:szCs w:val="20"/>
        </w:rPr>
        <w:t>stor's understanding and analysis of our underlying financial performance and trends.</w:t>
      </w:r>
    </w:p>
    <w:p w14:paraId="392BE4F3" w14:textId="77777777" w:rsidR="00980E5F" w:rsidRDefault="00483613">
      <w:pPr>
        <w:spacing w:before="60"/>
        <w:ind w:firstLine="450"/>
        <w:jc w:val="both"/>
        <w:textAlignment w:val="top"/>
      </w:pPr>
      <w:r>
        <w:rPr>
          <w:rFonts w:ascii="Arial" w:eastAsia="宋体" w:hAnsi="Arial" w:cs="Arial"/>
          <w:color w:val="000000"/>
          <w:sz w:val="20"/>
          <w:szCs w:val="20"/>
        </w:rPr>
        <w:t>We provide additional disclosures required by applicable bank regulatory standards, including supplemental qualitative and quantitative information with respect to regula</w:t>
      </w:r>
      <w:r>
        <w:rPr>
          <w:rFonts w:ascii="Arial" w:eastAsia="宋体" w:hAnsi="Arial" w:cs="Arial"/>
          <w:color w:val="000000"/>
          <w:sz w:val="20"/>
          <w:szCs w:val="20"/>
        </w:rPr>
        <w:t xml:space="preserve">tory capital (including market risk associated with our trading activities) and the </w:t>
      </w:r>
    </w:p>
    <w:p w14:paraId="392BE4F4" w14:textId="77777777" w:rsidR="00980E5F" w:rsidRDefault="00483613">
      <w:pPr>
        <w:ind w:firstLine="450"/>
        <w:jc w:val="right"/>
      </w:pPr>
      <w:r>
        <w:rPr>
          <w:rFonts w:ascii="Arial" w:eastAsia="宋体" w:hAnsi="Arial" w:cs="Arial"/>
          <w:color w:val="000000"/>
          <w:sz w:val="18"/>
          <w:szCs w:val="18"/>
        </w:rPr>
        <w:t>State Street Corporation | 4</w:t>
      </w:r>
    </w:p>
    <w:p w14:paraId="392BE4F5" w14:textId="77777777" w:rsidR="00980E5F" w:rsidRDefault="00980E5F">
      <w:pPr>
        <w:ind w:firstLine="450"/>
        <w:jc w:val="center"/>
      </w:pPr>
    </w:p>
    <w:p w14:paraId="392BE4F6" w14:textId="77777777" w:rsidR="00980E5F" w:rsidRDefault="00483613">
      <w:r>
        <w:pict w14:anchorId="392CBAD2">
          <v:rect id="_x0000_i1028" style="width:415.3pt;height:1.5pt" o:hralign="center" o:hrstd="t" o:hr="t" fillcolor="#a0a0a0" stroked="f"/>
        </w:pict>
      </w:r>
    </w:p>
    <w:p w14:paraId="392BE4F7"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4F8" w14:textId="77777777" w:rsidR="00980E5F" w:rsidRDefault="00483613">
      <w:pPr>
        <w:ind w:firstLine="450"/>
        <w:jc w:val="center"/>
      </w:pPr>
      <w:r>
        <w:rPr>
          <w:rFonts w:ascii="Arial" w:eastAsia="宋体" w:hAnsi="Arial" w:cs="Arial"/>
          <w:b/>
          <w:bCs/>
          <w:color w:val="000000"/>
          <w:sz w:val="20"/>
          <w:szCs w:val="20"/>
        </w:rPr>
        <w:t>AND RESULTS OF OPERATIONS</w:t>
      </w:r>
    </w:p>
    <w:p w14:paraId="392BE4F9" w14:textId="77777777" w:rsidR="00980E5F" w:rsidRDefault="00483613">
      <w:pPr>
        <w:spacing w:before="60"/>
        <w:jc w:val="both"/>
        <w:textAlignment w:val="top"/>
      </w:pPr>
      <w:r>
        <w:rPr>
          <w:rFonts w:ascii="Arial" w:eastAsia="宋体" w:hAnsi="Arial" w:cs="Arial"/>
          <w:color w:val="000000"/>
          <w:sz w:val="20"/>
          <w:szCs w:val="20"/>
        </w:rPr>
        <w:t xml:space="preserve">LCR, summary results of semi-annual State Street-run stress tests which we conduct under the Dodd-Frank Act, and resolution plan disclosures required under the Dodd-Frank Act. These additional disclosures are accessible on the “Investor Relations” section </w:t>
      </w:r>
      <w:r>
        <w:rPr>
          <w:rFonts w:ascii="Arial" w:eastAsia="宋体" w:hAnsi="Arial" w:cs="Arial"/>
          <w:color w:val="000000"/>
          <w:sz w:val="20"/>
          <w:szCs w:val="20"/>
        </w:rPr>
        <w:t xml:space="preserve">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392BE4FA" w14:textId="77777777" w:rsidR="00980E5F" w:rsidRDefault="00483613">
      <w:pPr>
        <w:spacing w:before="60"/>
        <w:ind w:firstLine="450"/>
        <w:jc w:val="both"/>
        <w:textAlignment w:val="top"/>
      </w:pPr>
      <w:r>
        <w:rPr>
          <w:rFonts w:ascii="Arial" w:eastAsia="宋体" w:hAnsi="Arial" w:cs="Arial"/>
          <w:color w:val="000000"/>
          <w:sz w:val="20"/>
          <w:szCs w:val="20"/>
        </w:rPr>
        <w:t>We have included our website address in this report as an inactive textual reference only. Information on our website is not incorporated by reference into this Form 10-Q.</w:t>
      </w:r>
    </w:p>
    <w:p w14:paraId="392BE4FB" w14:textId="77777777" w:rsidR="00980E5F" w:rsidRDefault="00483613">
      <w:pPr>
        <w:spacing w:before="60"/>
        <w:ind w:firstLine="450"/>
        <w:jc w:val="both"/>
        <w:textAlignment w:val="top"/>
      </w:pPr>
      <w:r>
        <w:rPr>
          <w:rFonts w:ascii="Arial" w:eastAsia="宋体" w:hAnsi="Arial" w:cs="Arial"/>
          <w:color w:val="000000"/>
          <w:sz w:val="20"/>
          <w:szCs w:val="20"/>
        </w:rPr>
        <w:t xml:space="preserve">We use acronyms and other </w:t>
      </w:r>
      <w:r>
        <w:rPr>
          <w:rFonts w:ascii="Arial" w:eastAsia="宋体" w:hAnsi="Arial" w:cs="Arial"/>
          <w:color w:val="000000"/>
          <w:sz w:val="20"/>
          <w:szCs w:val="20"/>
        </w:rPr>
        <w:t>defined terms for certain business terms and abbreviations, as defined in the acronyms list and glossary following the consolidated financial statements in this Form 10-Q.</w:t>
      </w:r>
    </w:p>
    <w:p w14:paraId="392BE4FC" w14:textId="77777777" w:rsidR="00980E5F" w:rsidRDefault="00483613">
      <w:pPr>
        <w:spacing w:before="90"/>
        <w:jc w:val="both"/>
        <w:textAlignment w:val="top"/>
      </w:pPr>
      <w:r>
        <w:rPr>
          <w:rFonts w:ascii="Arial" w:eastAsia="宋体" w:hAnsi="Arial" w:cs="Arial"/>
          <w:b/>
          <w:bCs/>
          <w:color w:val="000000"/>
          <w:sz w:val="20"/>
          <w:szCs w:val="20"/>
        </w:rPr>
        <w:t>Forward-Looking Statements</w:t>
      </w:r>
    </w:p>
    <w:p w14:paraId="392BE4FD" w14:textId="77777777" w:rsidR="00980E5F" w:rsidRDefault="00483613">
      <w:pPr>
        <w:spacing w:before="60"/>
        <w:ind w:firstLine="450"/>
        <w:jc w:val="both"/>
        <w:textAlignment w:val="top"/>
      </w:pPr>
      <w:r>
        <w:rPr>
          <w:rFonts w:ascii="Arial" w:eastAsia="宋体" w:hAnsi="Arial" w:cs="Arial"/>
          <w:color w:val="000000"/>
          <w:sz w:val="20"/>
          <w:szCs w:val="20"/>
        </w:rPr>
        <w:t>This Form 10-Q, as well as other reports and proxy materi</w:t>
      </w:r>
      <w:r>
        <w:rPr>
          <w:rFonts w:ascii="Arial" w:eastAsia="宋体" w:hAnsi="Arial" w:cs="Arial"/>
          <w:color w:val="000000"/>
          <w:sz w:val="20"/>
          <w:szCs w:val="20"/>
        </w:rPr>
        <w:t xml:space="preserve">als submitted by us under the Securities Exchange Act of 1934, registration statements filed by us under the Securities Act of 1933, our annual report to shareholders and other public statements we may make, may contain statements (including statements in </w:t>
      </w:r>
      <w:r>
        <w:rPr>
          <w:rFonts w:ascii="Arial" w:eastAsia="宋体" w:hAnsi="Arial" w:cs="Arial"/>
          <w:color w:val="000000"/>
          <w:sz w:val="20"/>
          <w:szCs w:val="20"/>
        </w:rPr>
        <w:t>our Management's Discussion and Analysis included in such reports, as applicable) that are considered “forward-looking statements” within the meaning of U.S. securities laws, including statements about our goals and expectations regarding our business, fin</w:t>
      </w:r>
      <w:r>
        <w:rPr>
          <w:rFonts w:ascii="Arial" w:eastAsia="宋体" w:hAnsi="Arial" w:cs="Arial"/>
          <w:color w:val="000000"/>
          <w:sz w:val="20"/>
          <w:szCs w:val="20"/>
        </w:rPr>
        <w:t>ancial and capital condition, results of operations, strategies, cost savings and transformation initiatives, investment portfolio performance, dividend and stock purchase programs, acquisitions (including, without limitation, our proposed acquisition of t</w:t>
      </w:r>
      <w:r>
        <w:rPr>
          <w:rFonts w:ascii="Arial" w:eastAsia="宋体" w:hAnsi="Arial" w:cs="Arial"/>
          <w:color w:val="000000"/>
          <w:sz w:val="20"/>
          <w:szCs w:val="20"/>
        </w:rPr>
        <w:t>he BBH Investor Services business), outcomes of legal proceedings, market growth, joint ventures and divestitures, client growth and new technologies, services and opportunities, as well as industry, governmental, regulatory, economic and market trends, in</w:t>
      </w:r>
      <w:r>
        <w:rPr>
          <w:rFonts w:ascii="Arial" w:eastAsia="宋体" w:hAnsi="Arial" w:cs="Arial"/>
          <w:color w:val="000000"/>
          <w:sz w:val="20"/>
          <w:szCs w:val="20"/>
        </w:rPr>
        <w:t>itiatives and developments, the business environment and other matters that do not relate strictly to historical facts.</w:t>
      </w:r>
    </w:p>
    <w:p w14:paraId="392BE4FE" w14:textId="77777777" w:rsidR="00980E5F" w:rsidRDefault="00483613">
      <w:pPr>
        <w:spacing w:before="60"/>
        <w:ind w:firstLine="450"/>
        <w:jc w:val="both"/>
        <w:textAlignment w:val="top"/>
      </w:pPr>
      <w:r>
        <w:rPr>
          <w:rFonts w:ascii="Arial" w:eastAsia="宋体" w:hAnsi="Arial" w:cs="Arial"/>
          <w:color w:val="000000"/>
          <w:sz w:val="20"/>
          <w:szCs w:val="20"/>
        </w:rPr>
        <w:t>Terminology such as “plan,” “expect,” “intend,” “objective,” “forecast,” “outlook,” “believe,” “priority,” “anticipate,” “estimate,” “se</w:t>
      </w:r>
      <w:r>
        <w:rPr>
          <w:rFonts w:ascii="Arial" w:eastAsia="宋体" w:hAnsi="Arial" w:cs="Arial"/>
          <w:color w:val="000000"/>
          <w:sz w:val="20"/>
          <w:szCs w:val="20"/>
        </w:rPr>
        <w:t>ek,” “may,” “will,” “trend,” “target,” “strategy” and “goal,” or similar statements or variations of such terms, are intended to identify forward-looking statements, although not all forward-looking statements contain such terms.</w:t>
      </w:r>
    </w:p>
    <w:p w14:paraId="392BE4FF" w14:textId="77777777" w:rsidR="00980E5F" w:rsidRDefault="00483613">
      <w:pPr>
        <w:spacing w:before="60"/>
        <w:ind w:firstLine="450"/>
        <w:jc w:val="both"/>
        <w:textAlignment w:val="top"/>
      </w:pPr>
      <w:r>
        <w:rPr>
          <w:rFonts w:ascii="Arial" w:eastAsia="宋体" w:hAnsi="Arial" w:cs="Arial"/>
          <w:color w:val="000000"/>
          <w:sz w:val="20"/>
          <w:szCs w:val="20"/>
        </w:rPr>
        <w:t>Forward-looking statements</w:t>
      </w:r>
      <w:r>
        <w:rPr>
          <w:rFonts w:ascii="Arial" w:eastAsia="宋体" w:hAnsi="Arial" w:cs="Arial"/>
          <w:color w:val="000000"/>
          <w:sz w:val="20"/>
          <w:szCs w:val="20"/>
        </w:rPr>
        <w:t xml:space="preserve"> are subject to various risks and uncertainties, which change over time, are based on management's expectations and assumptions at the time the statements are made and are not guarantees of future results. Management's expectations and assumptions, and the</w:t>
      </w:r>
      <w:r>
        <w:rPr>
          <w:rFonts w:ascii="Arial" w:eastAsia="宋体" w:hAnsi="Arial" w:cs="Arial"/>
          <w:color w:val="000000"/>
          <w:sz w:val="20"/>
          <w:szCs w:val="20"/>
        </w:rPr>
        <w:t xml:space="preserve"> continued validity of the forward-looking statements, are subject to change due to a broad range of factors affecting </w:t>
      </w:r>
    </w:p>
    <w:p w14:paraId="392BE500" w14:textId="77777777" w:rsidR="00980E5F" w:rsidRDefault="00483613">
      <w:pPr>
        <w:spacing w:before="60"/>
        <w:jc w:val="both"/>
        <w:textAlignment w:val="top"/>
      </w:pPr>
      <w:r>
        <w:rPr>
          <w:rFonts w:ascii="Arial" w:eastAsia="宋体" w:hAnsi="Arial" w:cs="Arial"/>
          <w:color w:val="000000"/>
          <w:sz w:val="20"/>
          <w:szCs w:val="20"/>
        </w:rPr>
        <w:t>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w:t>
      </w:r>
      <w:r>
        <w:rPr>
          <w:rFonts w:ascii="Arial" w:eastAsia="宋体" w:hAnsi="Arial" w:cs="Arial"/>
          <w:color w:val="000000"/>
          <w:sz w:val="20"/>
          <w:szCs w:val="20"/>
        </w:rPr>
        <w:t>cific to State Street and its subsidiaries, including State Street Bank. Factors that could cause changes in the expectations or assumptions on which forward-looking statements are based cannot be foreseen with certainty and include, but are not limited to</w:t>
      </w:r>
      <w:r>
        <w:rPr>
          <w:rFonts w:ascii="Arial" w:eastAsia="宋体" w:hAnsi="Arial" w:cs="Arial"/>
          <w:color w:val="000000"/>
          <w:sz w:val="20"/>
          <w:szCs w:val="20"/>
        </w:rPr>
        <w:t>:</w:t>
      </w:r>
    </w:p>
    <w:p w14:paraId="392BE501" w14:textId="77777777" w:rsidR="00980E5F" w:rsidRDefault="00483613">
      <w:pPr>
        <w:spacing w:before="90"/>
        <w:textAlignment w:val="top"/>
      </w:pPr>
      <w:r>
        <w:rPr>
          <w:rFonts w:ascii="Arial" w:eastAsia="宋体" w:hAnsi="Arial" w:cs="Arial"/>
          <w:b/>
          <w:bCs/>
          <w:color w:val="000000"/>
          <w:sz w:val="20"/>
          <w:szCs w:val="20"/>
        </w:rPr>
        <w:t>Strategic Risks</w:t>
      </w:r>
    </w:p>
    <w:p w14:paraId="392BE502" w14:textId="77777777" w:rsidR="00980E5F" w:rsidRDefault="00483613">
      <w:pPr>
        <w:spacing w:before="60"/>
        <w:ind w:hanging="360"/>
        <w:jc w:val="both"/>
        <w:textAlignment w:val="top"/>
      </w:pPr>
      <w:r>
        <w:rPr>
          <w:rFonts w:ascii="Arial" w:eastAsia="宋体" w:hAnsi="Arial" w:cs="Arial"/>
          <w:color w:val="000000"/>
          <w:sz w:val="20"/>
          <w:szCs w:val="20"/>
        </w:rPr>
        <w:t>•The consummation of our proposed acquisition of the BBH Investor Services business is subject to the receipt of regulatory approvals and the satisfaction of other closing conditions, the failure or delay of which may prevent or further d</w:t>
      </w:r>
      <w:r>
        <w:rPr>
          <w:rFonts w:ascii="Arial" w:eastAsia="宋体" w:hAnsi="Arial" w:cs="Arial"/>
          <w:color w:val="000000"/>
          <w:sz w:val="20"/>
          <w:szCs w:val="20"/>
        </w:rPr>
        <w:t>elay the consummation of the acquisition;</w:t>
      </w:r>
    </w:p>
    <w:p w14:paraId="392BE503" w14:textId="77777777" w:rsidR="00980E5F" w:rsidRDefault="00483613">
      <w:pPr>
        <w:spacing w:before="60"/>
        <w:ind w:hanging="360"/>
        <w:jc w:val="both"/>
        <w:textAlignment w:val="top"/>
      </w:pPr>
      <w:r>
        <w:rPr>
          <w:rFonts w:ascii="Arial" w:eastAsia="宋体" w:hAnsi="Arial" w:cs="Arial"/>
          <w:color w:val="000000"/>
          <w:sz w:val="20"/>
          <w:szCs w:val="20"/>
        </w:rPr>
        <w:t xml:space="preserve">•We have been engaged in discussions with banking regulators regarding our proposed acquisition of the BBH Investor Services business and have developed with BBH proposed modifications to the proposed acquisition, </w:t>
      </w:r>
      <w:r>
        <w:rPr>
          <w:rFonts w:ascii="Arial" w:eastAsia="宋体" w:hAnsi="Arial" w:cs="Arial"/>
          <w:color w:val="000000"/>
          <w:sz w:val="20"/>
          <w:szCs w:val="20"/>
        </w:rPr>
        <w:t>including changes to the operating model and legal entity structure and changes to regulatory approvals required to consummate the transaction. These proposed modifications may facilitate resolution of the regulatory review process and provide a path to co</w:t>
      </w:r>
      <w:r>
        <w:rPr>
          <w:rFonts w:ascii="Arial" w:eastAsia="宋体" w:hAnsi="Arial" w:cs="Arial"/>
          <w:color w:val="000000"/>
          <w:sz w:val="20"/>
          <w:szCs w:val="20"/>
        </w:rPr>
        <w:t>nsummating the transaction. As part of the discussions with BBH, State Street is seeking amendments to the transaction terms, including the purchase price. Any modification to the transaction terms would be subject to review and approval by both BBH and ou</w:t>
      </w:r>
      <w:r>
        <w:rPr>
          <w:rFonts w:ascii="Arial" w:eastAsia="宋体" w:hAnsi="Arial" w:cs="Arial"/>
          <w:color w:val="000000"/>
          <w:sz w:val="20"/>
          <w:szCs w:val="20"/>
        </w:rPr>
        <w:t>r Board of Directors, and there can be no assurance that a mutually acceptable modified transaction will be entered into or as to the timing or outcome of any regulatory approvals and other closing conditions for that modified transaction; and absent furth</w:t>
      </w:r>
      <w:r>
        <w:rPr>
          <w:rFonts w:ascii="Arial" w:eastAsia="宋体" w:hAnsi="Arial" w:cs="Arial"/>
          <w:color w:val="000000"/>
          <w:sz w:val="20"/>
          <w:szCs w:val="20"/>
        </w:rPr>
        <w:t>er agreement of the parties, after September 6, 2022 either party can terminate the transaction without penalty;</w:t>
      </w:r>
    </w:p>
    <w:p w14:paraId="392BE504" w14:textId="77777777" w:rsidR="00980E5F" w:rsidRDefault="00483613">
      <w:pPr>
        <w:spacing w:before="60"/>
        <w:ind w:hanging="360"/>
        <w:jc w:val="both"/>
        <w:textAlignment w:val="top"/>
      </w:pPr>
      <w:r>
        <w:rPr>
          <w:rFonts w:ascii="Arial" w:eastAsia="宋体" w:hAnsi="Arial" w:cs="Arial"/>
          <w:color w:val="000000"/>
          <w:sz w:val="20"/>
          <w:szCs w:val="20"/>
        </w:rPr>
        <w:t>•Assuming the financial and operational aspects of the proposed modifications to our proposed acquisition of the BBH Investor Services business</w:t>
      </w:r>
      <w:r>
        <w:rPr>
          <w:rFonts w:ascii="Arial" w:eastAsia="宋体" w:hAnsi="Arial" w:cs="Arial"/>
          <w:color w:val="000000"/>
          <w:sz w:val="20"/>
          <w:szCs w:val="20"/>
        </w:rPr>
        <w:t xml:space="preserve"> are timely finalized and contracted, subject to regulatory approval and other closing conditions, the parties are aiming to close the transaction at the end of the fourth quarter of 2022; however, there exists significant timing uncertainty and risk that </w:t>
      </w:r>
      <w:r>
        <w:rPr>
          <w:rFonts w:ascii="Arial" w:eastAsia="宋体" w:hAnsi="Arial" w:cs="Arial"/>
          <w:color w:val="000000"/>
          <w:sz w:val="20"/>
          <w:szCs w:val="20"/>
        </w:rPr>
        <w:t>closing will extend beyond that timeline; and even if we successfully consummate a modified transaction, we may fail to realize some or all of the anticipated benefits of the transaction or the benefits may take longer to realize than expected;</w:t>
      </w:r>
    </w:p>
    <w:p w14:paraId="392BE505" w14:textId="77777777" w:rsidR="00980E5F" w:rsidRDefault="00483613">
      <w:pPr>
        <w:ind w:firstLine="450"/>
        <w:jc w:val="right"/>
      </w:pPr>
      <w:r>
        <w:rPr>
          <w:rFonts w:ascii="Arial" w:eastAsia="宋体" w:hAnsi="Arial" w:cs="Arial"/>
          <w:color w:val="000000"/>
          <w:sz w:val="18"/>
          <w:szCs w:val="18"/>
        </w:rPr>
        <w:t>State Stree</w:t>
      </w:r>
      <w:r>
        <w:rPr>
          <w:rFonts w:ascii="Arial" w:eastAsia="宋体" w:hAnsi="Arial" w:cs="Arial"/>
          <w:color w:val="000000"/>
          <w:sz w:val="18"/>
          <w:szCs w:val="18"/>
        </w:rPr>
        <w:t>t Corporation | 5</w:t>
      </w:r>
    </w:p>
    <w:p w14:paraId="392BE506" w14:textId="77777777" w:rsidR="00980E5F" w:rsidRDefault="00980E5F">
      <w:pPr>
        <w:ind w:firstLine="450"/>
        <w:jc w:val="center"/>
      </w:pPr>
    </w:p>
    <w:p w14:paraId="392BE507" w14:textId="77777777" w:rsidR="00980E5F" w:rsidRDefault="00483613">
      <w:r>
        <w:pict w14:anchorId="392CBAD3">
          <v:rect id="_x0000_i1029" style="width:415.3pt;height:1.5pt" o:hralign="center" o:hrstd="t" o:hr="t" fillcolor="#a0a0a0" stroked="f"/>
        </w:pict>
      </w:r>
    </w:p>
    <w:p w14:paraId="392BE508"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509" w14:textId="77777777" w:rsidR="00980E5F" w:rsidRDefault="00483613">
      <w:pPr>
        <w:ind w:firstLine="450"/>
        <w:jc w:val="center"/>
      </w:pPr>
      <w:r>
        <w:rPr>
          <w:rFonts w:ascii="Arial" w:eastAsia="宋体" w:hAnsi="Arial" w:cs="Arial"/>
          <w:b/>
          <w:bCs/>
          <w:color w:val="000000"/>
          <w:sz w:val="20"/>
          <w:szCs w:val="20"/>
        </w:rPr>
        <w:t>AND RESULTS OF OPERATIONS</w:t>
      </w:r>
    </w:p>
    <w:p w14:paraId="392BE50A" w14:textId="77777777" w:rsidR="00980E5F" w:rsidRDefault="00483613">
      <w:pPr>
        <w:spacing w:before="60"/>
        <w:ind w:hanging="360"/>
        <w:jc w:val="both"/>
        <w:textAlignment w:val="top"/>
      </w:pPr>
      <w:r>
        <w:rPr>
          <w:rFonts w:ascii="Arial" w:eastAsia="宋体" w:hAnsi="Arial" w:cs="Arial"/>
          <w:color w:val="000000"/>
          <w:sz w:val="20"/>
          <w:szCs w:val="20"/>
        </w:rPr>
        <w:t>•We are subject to intense competition, which could negatively affect our profitability;</w:t>
      </w:r>
    </w:p>
    <w:p w14:paraId="392BE50B" w14:textId="77777777" w:rsidR="00980E5F" w:rsidRDefault="00483613">
      <w:pPr>
        <w:spacing w:before="60"/>
        <w:ind w:hanging="360"/>
        <w:jc w:val="both"/>
        <w:textAlignment w:val="top"/>
      </w:pPr>
      <w:r>
        <w:rPr>
          <w:rFonts w:ascii="Arial" w:eastAsia="宋体" w:hAnsi="Arial" w:cs="Arial"/>
          <w:color w:val="000000"/>
          <w:sz w:val="20"/>
          <w:szCs w:val="20"/>
        </w:rPr>
        <w:t>•We are subject to significant pricing pressure and variabil</w:t>
      </w:r>
      <w:r>
        <w:rPr>
          <w:rFonts w:ascii="Arial" w:eastAsia="宋体" w:hAnsi="Arial" w:cs="Arial"/>
          <w:color w:val="000000"/>
          <w:sz w:val="20"/>
          <w:szCs w:val="20"/>
        </w:rPr>
        <w:t>ity in our financial results and our AUC/A and AUM;</w:t>
      </w:r>
    </w:p>
    <w:p w14:paraId="392BE50C" w14:textId="77777777" w:rsidR="00980E5F" w:rsidRDefault="00483613">
      <w:pPr>
        <w:spacing w:before="60"/>
        <w:ind w:hanging="360"/>
        <w:jc w:val="both"/>
        <w:textAlignment w:val="top"/>
      </w:pPr>
      <w:r>
        <w:rPr>
          <w:rFonts w:ascii="Arial" w:eastAsia="宋体" w:hAnsi="Arial" w:cs="Arial"/>
          <w:color w:val="000000"/>
          <w:sz w:val="20"/>
          <w:szCs w:val="20"/>
        </w:rPr>
        <w:t>•Our development and completion of new products and services, including State Street Digital and State Street Alpha, and the enhancement of our infrastructure required to meet increased regulatory and cli</w:t>
      </w:r>
      <w:r>
        <w:rPr>
          <w:rFonts w:ascii="Arial" w:eastAsia="宋体" w:hAnsi="Arial" w:cs="Arial"/>
          <w:color w:val="000000"/>
          <w:sz w:val="20"/>
          <w:szCs w:val="20"/>
        </w:rPr>
        <w:t>ent expectations for resiliency and the systems and process re-engineering necessary to achieve improved productivity and reduced operating risk, may take an extended period to implement, involve costs and expose us to increased risk;</w:t>
      </w:r>
    </w:p>
    <w:p w14:paraId="392BE50D" w14:textId="77777777" w:rsidR="00980E5F" w:rsidRDefault="00483613">
      <w:pPr>
        <w:spacing w:before="60"/>
        <w:ind w:hanging="360"/>
        <w:jc w:val="both"/>
        <w:textAlignment w:val="top"/>
      </w:pPr>
      <w:r>
        <w:rPr>
          <w:rFonts w:ascii="Arial" w:eastAsia="宋体" w:hAnsi="Arial" w:cs="Arial"/>
          <w:color w:val="000000"/>
          <w:sz w:val="20"/>
          <w:szCs w:val="20"/>
        </w:rPr>
        <w:t xml:space="preserve">•Our business may </w:t>
      </w:r>
      <w:r>
        <w:rPr>
          <w:rFonts w:ascii="Arial" w:eastAsia="宋体" w:hAnsi="Arial" w:cs="Arial"/>
          <w:color w:val="000000"/>
          <w:sz w:val="20"/>
          <w:szCs w:val="20"/>
        </w:rPr>
        <w:t>be negatively affected by our failure to update and maintain our technology infrastructure;</w:t>
      </w:r>
    </w:p>
    <w:p w14:paraId="392BE50E" w14:textId="77777777" w:rsidR="00980E5F" w:rsidRDefault="00483613">
      <w:pPr>
        <w:spacing w:before="60"/>
        <w:ind w:hanging="360"/>
        <w:jc w:val="both"/>
        <w:textAlignment w:val="top"/>
      </w:pPr>
      <w:r>
        <w:rPr>
          <w:rFonts w:ascii="Arial" w:eastAsia="宋体" w:hAnsi="Arial" w:cs="Arial"/>
          <w:color w:val="000000"/>
          <w:sz w:val="20"/>
          <w:szCs w:val="20"/>
        </w:rPr>
        <w:t>•The COVID-19 pandemic continues to exacerbate certain risks and uncertainties for our business;</w:t>
      </w:r>
    </w:p>
    <w:p w14:paraId="392BE50F" w14:textId="77777777" w:rsidR="00980E5F" w:rsidRDefault="00483613">
      <w:pPr>
        <w:spacing w:before="60"/>
        <w:ind w:hanging="360"/>
        <w:jc w:val="both"/>
        <w:textAlignment w:val="top"/>
      </w:pPr>
      <w:r>
        <w:rPr>
          <w:rFonts w:ascii="Arial" w:eastAsia="宋体" w:hAnsi="Arial" w:cs="Arial"/>
          <w:color w:val="000000"/>
          <w:sz w:val="20"/>
          <w:szCs w:val="20"/>
        </w:rPr>
        <w:t>•Acquisitions, strategic alliances, joint ventures and divestitures</w:t>
      </w:r>
      <w:r>
        <w:rPr>
          <w:rFonts w:ascii="Arial" w:eastAsia="宋体" w:hAnsi="Arial" w:cs="Arial"/>
          <w:color w:val="000000"/>
          <w:sz w:val="20"/>
          <w:szCs w:val="20"/>
        </w:rPr>
        <w:t>, and the integration, retention and development of the benefits of our acquisitions, pose risks for our business; and</w:t>
      </w:r>
    </w:p>
    <w:p w14:paraId="392BE510" w14:textId="77777777" w:rsidR="00980E5F" w:rsidRDefault="00483613">
      <w:pPr>
        <w:spacing w:before="60"/>
        <w:ind w:hanging="360"/>
        <w:jc w:val="both"/>
        <w:textAlignment w:val="top"/>
      </w:pPr>
      <w:r>
        <w:rPr>
          <w:rFonts w:ascii="Arial" w:eastAsia="宋体" w:hAnsi="Arial" w:cs="Arial"/>
          <w:color w:val="000000"/>
          <w:sz w:val="20"/>
          <w:szCs w:val="20"/>
        </w:rPr>
        <w:t>•Competition for qualified members of our workforce is intense, and we may not be able to attract and retain the highly skilled people we</w:t>
      </w:r>
      <w:r>
        <w:rPr>
          <w:rFonts w:ascii="Arial" w:eastAsia="宋体" w:hAnsi="Arial" w:cs="Arial"/>
          <w:color w:val="000000"/>
          <w:sz w:val="20"/>
          <w:szCs w:val="20"/>
        </w:rPr>
        <w:t xml:space="preserve"> need to support our business.</w:t>
      </w:r>
    </w:p>
    <w:p w14:paraId="392BE511" w14:textId="77777777" w:rsidR="00980E5F" w:rsidRDefault="00483613">
      <w:pPr>
        <w:spacing w:before="90"/>
        <w:textAlignment w:val="top"/>
      </w:pPr>
      <w:r>
        <w:rPr>
          <w:rFonts w:ascii="Arial" w:eastAsia="宋体" w:hAnsi="Arial" w:cs="Arial"/>
          <w:b/>
          <w:bCs/>
          <w:color w:val="000000"/>
          <w:sz w:val="20"/>
          <w:szCs w:val="20"/>
        </w:rPr>
        <w:t>Financial Market Risks</w:t>
      </w:r>
    </w:p>
    <w:p w14:paraId="392BE512" w14:textId="77777777" w:rsidR="00980E5F" w:rsidRDefault="00483613">
      <w:pPr>
        <w:spacing w:before="60"/>
        <w:ind w:hanging="360"/>
        <w:jc w:val="both"/>
        <w:textAlignment w:val="top"/>
      </w:pPr>
      <w:r>
        <w:rPr>
          <w:rFonts w:ascii="Arial" w:eastAsia="宋体" w:hAnsi="Arial" w:cs="Arial"/>
          <w:color w:val="000000"/>
          <w:sz w:val="20"/>
          <w:szCs w:val="20"/>
        </w:rPr>
        <w:t>•We could be adversely affected by geopolitical, economic and market conditions; including, for example, as a result of the present war in Ukraine;</w:t>
      </w:r>
    </w:p>
    <w:p w14:paraId="392BE513" w14:textId="77777777" w:rsidR="00980E5F" w:rsidRDefault="00483613">
      <w:pPr>
        <w:spacing w:before="60"/>
        <w:ind w:hanging="360"/>
        <w:jc w:val="both"/>
        <w:textAlignment w:val="top"/>
      </w:pPr>
      <w:r>
        <w:rPr>
          <w:rFonts w:ascii="Arial" w:eastAsia="宋体" w:hAnsi="Arial" w:cs="Arial"/>
          <w:color w:val="000000"/>
          <w:sz w:val="20"/>
          <w:szCs w:val="20"/>
        </w:rPr>
        <w:t>•We have significant International operations, and dis</w:t>
      </w:r>
      <w:r>
        <w:rPr>
          <w:rFonts w:ascii="Arial" w:eastAsia="宋体" w:hAnsi="Arial" w:cs="Arial"/>
          <w:color w:val="000000"/>
          <w:sz w:val="20"/>
          <w:szCs w:val="20"/>
        </w:rPr>
        <w:t xml:space="preserve">ruptions in European and Asian economies could have an adverse effect on our consolidated results of operations or financial condition; </w:t>
      </w:r>
    </w:p>
    <w:p w14:paraId="392BE514" w14:textId="77777777" w:rsidR="00980E5F" w:rsidRDefault="00483613">
      <w:pPr>
        <w:spacing w:before="60"/>
        <w:ind w:hanging="360"/>
        <w:jc w:val="both"/>
        <w:textAlignment w:val="top"/>
      </w:pPr>
      <w:r>
        <w:rPr>
          <w:rFonts w:ascii="Arial" w:eastAsia="宋体" w:hAnsi="Arial" w:cs="Arial"/>
          <w:color w:val="000000"/>
          <w:sz w:val="20"/>
          <w:szCs w:val="20"/>
        </w:rPr>
        <w:t xml:space="preserve">•Our investment securities portfolio, consolidated financial condition and consolidated results of operations could be </w:t>
      </w:r>
      <w:r>
        <w:rPr>
          <w:rFonts w:ascii="Arial" w:eastAsia="宋体" w:hAnsi="Arial" w:cs="Arial"/>
          <w:color w:val="000000"/>
          <w:sz w:val="20"/>
          <w:szCs w:val="20"/>
        </w:rPr>
        <w:t>adversely affected by changes in the financial markets;</w:t>
      </w:r>
    </w:p>
    <w:p w14:paraId="392BE515" w14:textId="77777777" w:rsidR="00980E5F" w:rsidRDefault="00483613">
      <w:pPr>
        <w:spacing w:before="60"/>
        <w:ind w:hanging="360"/>
        <w:jc w:val="both"/>
        <w:textAlignment w:val="top"/>
      </w:pPr>
      <w:r>
        <w:rPr>
          <w:rFonts w:ascii="Arial" w:eastAsia="宋体" w:hAnsi="Arial" w:cs="Arial"/>
          <w:color w:val="000000"/>
          <w:sz w:val="20"/>
          <w:szCs w:val="20"/>
        </w:rPr>
        <w:t>•Our business activities expose us to interest rate risk;</w:t>
      </w:r>
    </w:p>
    <w:p w14:paraId="392BE516" w14:textId="77777777" w:rsidR="00980E5F" w:rsidRDefault="00483613">
      <w:pPr>
        <w:spacing w:before="60"/>
        <w:ind w:hanging="360"/>
        <w:jc w:val="both"/>
        <w:textAlignment w:val="top"/>
      </w:pPr>
      <w:r>
        <w:rPr>
          <w:rFonts w:ascii="Arial" w:eastAsia="宋体" w:hAnsi="Arial" w:cs="Arial"/>
          <w:color w:val="000000"/>
          <w:sz w:val="20"/>
          <w:szCs w:val="20"/>
        </w:rPr>
        <w:t xml:space="preserve">•We assume significant credit risk to counterparties, who may also have substantial financial dependencies with other financial institutions, </w:t>
      </w:r>
      <w:r>
        <w:rPr>
          <w:rFonts w:ascii="Arial" w:eastAsia="宋体" w:hAnsi="Arial" w:cs="Arial"/>
          <w:color w:val="000000"/>
          <w:sz w:val="20"/>
          <w:szCs w:val="20"/>
        </w:rPr>
        <w:t xml:space="preserve">and these credit exposures and concentrations could expose us to financial loss; </w:t>
      </w:r>
    </w:p>
    <w:p w14:paraId="392BE517" w14:textId="77777777" w:rsidR="00980E5F" w:rsidRDefault="00483613">
      <w:pPr>
        <w:spacing w:before="60"/>
        <w:ind w:hanging="360"/>
        <w:jc w:val="both"/>
        <w:textAlignment w:val="top"/>
      </w:pPr>
      <w:r>
        <w:rPr>
          <w:rFonts w:ascii="Arial" w:eastAsia="宋体" w:hAnsi="Arial" w:cs="Arial"/>
          <w:color w:val="000000"/>
          <w:sz w:val="20"/>
          <w:szCs w:val="20"/>
        </w:rPr>
        <w:t>•Our fee revenue represents a significant portion of our consolidated revenue and is subject to decline based on, among other factors, market conditions, competition, currenc</w:t>
      </w:r>
      <w:r>
        <w:rPr>
          <w:rFonts w:ascii="Arial" w:eastAsia="宋体" w:hAnsi="Arial" w:cs="Arial"/>
          <w:color w:val="000000"/>
          <w:sz w:val="20"/>
          <w:szCs w:val="20"/>
        </w:rPr>
        <w:t>y valuation and investment activities of our clients and their business mix;</w:t>
      </w:r>
    </w:p>
    <w:p w14:paraId="392BE518" w14:textId="77777777" w:rsidR="00980E5F" w:rsidRDefault="00483613">
      <w:pPr>
        <w:spacing w:before="6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could be adve</w:t>
      </w:r>
      <w:r>
        <w:rPr>
          <w:rFonts w:ascii="Arial" w:eastAsia="宋体" w:hAnsi="Arial" w:cs="Arial"/>
          <w:color w:val="000000"/>
          <w:sz w:val="20"/>
          <w:szCs w:val="20"/>
        </w:rPr>
        <w:t>rsely affected;</w:t>
      </w:r>
    </w:p>
    <w:p w14:paraId="392BE519" w14:textId="77777777" w:rsidR="00980E5F" w:rsidRDefault="00483613">
      <w:pPr>
        <w:spacing w:before="60"/>
        <w:ind w:hanging="360"/>
        <w:jc w:val="both"/>
        <w:textAlignment w:val="top"/>
      </w:pPr>
      <w:r>
        <w:rPr>
          <w:rFonts w:ascii="Arial" w:eastAsia="宋体" w:hAnsi="Arial" w:cs="Arial"/>
          <w:color w:val="000000"/>
          <w:sz w:val="20"/>
          <w:szCs w:val="20"/>
        </w:rPr>
        <w:t>•We may need to raise additional capital or debt in the future, which may not be available to us or may only be available on unfavorable terms; and</w:t>
      </w:r>
    </w:p>
    <w:p w14:paraId="392BE51A" w14:textId="77777777" w:rsidR="00980E5F" w:rsidRDefault="00483613">
      <w:pPr>
        <w:spacing w:before="60"/>
        <w:ind w:hanging="360"/>
        <w:jc w:val="both"/>
        <w:textAlignment w:val="top"/>
      </w:pPr>
      <w:r>
        <w:rPr>
          <w:rFonts w:ascii="Arial" w:eastAsia="宋体" w:hAnsi="Arial" w:cs="Arial"/>
          <w:color w:val="000000"/>
          <w:sz w:val="20"/>
          <w:szCs w:val="20"/>
        </w:rPr>
        <w:t xml:space="preserve">•If we experience a downgrade in our credit ratings, or an actual or perceived </w:t>
      </w:r>
      <w:r>
        <w:rPr>
          <w:rFonts w:ascii="Arial" w:eastAsia="宋体" w:hAnsi="Arial" w:cs="Arial"/>
          <w:color w:val="000000"/>
          <w:sz w:val="20"/>
          <w:szCs w:val="20"/>
        </w:rPr>
        <w:t>reduction in our financial strength, our borrowing and capital costs, liquidity and reputation could be adversely affected.</w:t>
      </w:r>
    </w:p>
    <w:p w14:paraId="392BE51B" w14:textId="77777777" w:rsidR="00980E5F" w:rsidRDefault="00483613">
      <w:pPr>
        <w:spacing w:before="90"/>
        <w:ind w:firstLine="720"/>
        <w:textAlignment w:val="top"/>
      </w:pPr>
      <w:r>
        <w:rPr>
          <w:rFonts w:ascii="Arial" w:eastAsia="宋体" w:hAnsi="Arial" w:cs="Arial"/>
          <w:b/>
          <w:bCs/>
          <w:color w:val="000000"/>
          <w:sz w:val="20"/>
          <w:szCs w:val="20"/>
        </w:rPr>
        <w:t>Compliance and Regulatory Risks</w:t>
      </w:r>
    </w:p>
    <w:p w14:paraId="392BE51C" w14:textId="77777777" w:rsidR="00980E5F" w:rsidRDefault="00483613">
      <w:pPr>
        <w:spacing w:before="60"/>
        <w:ind w:hanging="360"/>
        <w:jc w:val="both"/>
        <w:textAlignment w:val="top"/>
      </w:pPr>
      <w:r>
        <w:rPr>
          <w:rFonts w:ascii="Arial" w:eastAsia="宋体" w:hAnsi="Arial" w:cs="Arial"/>
          <w:color w:val="000000"/>
          <w:sz w:val="20"/>
          <w:szCs w:val="20"/>
        </w:rPr>
        <w:t>•Our business and capital-related activities, including common share repurchases, may be adversely a</w:t>
      </w:r>
      <w:r>
        <w:rPr>
          <w:rFonts w:ascii="Arial" w:eastAsia="宋体" w:hAnsi="Arial" w:cs="Arial"/>
          <w:color w:val="000000"/>
          <w:sz w:val="20"/>
          <w:szCs w:val="20"/>
        </w:rPr>
        <w:t>ffected by capital and liquidity standards required as a result of capital stress testing;</w:t>
      </w:r>
    </w:p>
    <w:p w14:paraId="392BE51D" w14:textId="77777777" w:rsidR="00980E5F" w:rsidRDefault="00483613">
      <w:pPr>
        <w:spacing w:before="6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392BE51E" w14:textId="77777777" w:rsidR="00980E5F" w:rsidRDefault="00483613">
      <w:pPr>
        <w:spacing w:before="60"/>
        <w:ind w:hanging="360"/>
        <w:jc w:val="both"/>
        <w:textAlignment w:val="top"/>
      </w:pPr>
      <w:r>
        <w:rPr>
          <w:rFonts w:ascii="Arial" w:eastAsia="宋体" w:hAnsi="Arial" w:cs="Arial"/>
          <w:color w:val="000000"/>
          <w:sz w:val="20"/>
          <w:szCs w:val="20"/>
        </w:rPr>
        <w:t>•We are subject to</w:t>
      </w:r>
      <w:r>
        <w:rPr>
          <w:rFonts w:ascii="Arial" w:eastAsia="宋体" w:hAnsi="Arial" w:cs="Arial"/>
          <w:color w:val="000000"/>
          <w:sz w:val="20"/>
          <w:szCs w:val="20"/>
        </w:rPr>
        <w:t xml:space="preserve"> enhanced external oversight as a result of the resolution of prior regulatory or governmental matters;</w:t>
      </w:r>
    </w:p>
    <w:p w14:paraId="392BE51F" w14:textId="77777777" w:rsidR="00980E5F" w:rsidRDefault="00483613">
      <w:pPr>
        <w:spacing w:before="60"/>
        <w:ind w:hanging="360"/>
        <w:jc w:val="both"/>
        <w:textAlignment w:val="top"/>
      </w:pPr>
      <w:r>
        <w:rPr>
          <w:rFonts w:ascii="Arial" w:eastAsia="宋体" w:hAnsi="Arial" w:cs="Arial"/>
          <w:color w:val="000000"/>
          <w:sz w:val="20"/>
          <w:szCs w:val="20"/>
        </w:rPr>
        <w:t>•Our businesses may be adversely affected by government enforcement and litigation;</w:t>
      </w:r>
    </w:p>
    <w:p w14:paraId="392BE520" w14:textId="77777777" w:rsidR="00980E5F" w:rsidRDefault="00483613">
      <w:pPr>
        <w:spacing w:before="60"/>
        <w:ind w:hanging="360"/>
        <w:jc w:val="both"/>
        <w:textAlignment w:val="top"/>
      </w:pPr>
      <w:r>
        <w:rPr>
          <w:rFonts w:ascii="Arial" w:eastAsia="宋体" w:hAnsi="Arial" w:cs="Arial"/>
          <w:color w:val="000000"/>
          <w:sz w:val="20"/>
          <w:szCs w:val="20"/>
        </w:rPr>
        <w:t>•Any misappropriation of the confidential information we possess cou</w:t>
      </w:r>
      <w:r>
        <w:rPr>
          <w:rFonts w:ascii="Arial" w:eastAsia="宋体" w:hAnsi="Arial" w:cs="Arial"/>
          <w:color w:val="000000"/>
          <w:sz w:val="20"/>
          <w:szCs w:val="20"/>
        </w:rPr>
        <w:t xml:space="preserve">ld have an adverse impact on our business and could subject us to regulatory actions, litigation and other adverse effects; </w:t>
      </w:r>
    </w:p>
    <w:p w14:paraId="392BE521" w14:textId="77777777" w:rsidR="00980E5F" w:rsidRDefault="00483613">
      <w:pPr>
        <w:spacing w:before="60"/>
        <w:ind w:hanging="360"/>
        <w:jc w:val="both"/>
        <w:textAlignment w:val="top"/>
      </w:pPr>
      <w:r>
        <w:rPr>
          <w:rFonts w:ascii="Arial" w:eastAsia="宋体" w:hAnsi="Arial" w:cs="Arial"/>
          <w:color w:val="000000"/>
          <w:sz w:val="20"/>
          <w:szCs w:val="20"/>
        </w:rPr>
        <w:t>•Our calculations of risk exposures, total RWA and capital ratios depend on data inputs, formulae, models, correlations and assumpt</w:t>
      </w:r>
      <w:r>
        <w:rPr>
          <w:rFonts w:ascii="Arial" w:eastAsia="宋体" w:hAnsi="Arial" w:cs="Arial"/>
          <w:color w:val="000000"/>
          <w:sz w:val="20"/>
          <w:szCs w:val="20"/>
        </w:rPr>
        <w:t>ions that are subject to change, which could materially impact our risk exposures, our total RWA and our capital ratios from period to period;</w:t>
      </w:r>
    </w:p>
    <w:p w14:paraId="392BE522" w14:textId="77777777" w:rsidR="00980E5F" w:rsidRDefault="00483613">
      <w:pPr>
        <w:spacing w:before="60"/>
        <w:ind w:hanging="36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392BE523" w14:textId="77777777" w:rsidR="00980E5F" w:rsidRDefault="00483613">
      <w:pPr>
        <w:spacing w:before="60"/>
        <w:ind w:hanging="360"/>
        <w:jc w:val="both"/>
        <w:textAlignment w:val="top"/>
      </w:pPr>
      <w:r>
        <w:rPr>
          <w:rFonts w:ascii="Arial" w:eastAsia="宋体" w:hAnsi="Arial" w:cs="Arial"/>
          <w:color w:val="000000"/>
          <w:sz w:val="20"/>
          <w:szCs w:val="20"/>
        </w:rPr>
        <w:t>•Changes in tax law</w:t>
      </w:r>
      <w:r>
        <w:rPr>
          <w:rFonts w:ascii="Arial" w:eastAsia="宋体" w:hAnsi="Arial" w:cs="Arial"/>
          <w:color w:val="000000"/>
          <w:sz w:val="20"/>
          <w:szCs w:val="20"/>
        </w:rPr>
        <w:t>s, rules or regulations, challenges to our tax positions and changes in the composition of our pre-tax earnings may increase our effective tax rate; and</w:t>
      </w:r>
    </w:p>
    <w:p w14:paraId="392BE524" w14:textId="77777777" w:rsidR="00980E5F" w:rsidRDefault="00483613">
      <w:pPr>
        <w:ind w:firstLine="450"/>
        <w:jc w:val="right"/>
      </w:pPr>
      <w:r>
        <w:rPr>
          <w:rFonts w:ascii="Arial" w:eastAsia="宋体" w:hAnsi="Arial" w:cs="Arial"/>
          <w:color w:val="000000"/>
          <w:sz w:val="18"/>
          <w:szCs w:val="18"/>
        </w:rPr>
        <w:t>State Street Corporation | 6</w:t>
      </w:r>
    </w:p>
    <w:p w14:paraId="392BE525" w14:textId="77777777" w:rsidR="00980E5F" w:rsidRDefault="00980E5F">
      <w:pPr>
        <w:ind w:firstLine="450"/>
        <w:jc w:val="center"/>
      </w:pPr>
    </w:p>
    <w:p w14:paraId="392BE526" w14:textId="77777777" w:rsidR="00980E5F" w:rsidRDefault="00483613">
      <w:r>
        <w:pict w14:anchorId="392CBAD4">
          <v:rect id="_x0000_i1030" style="width:415.3pt;height:1.5pt" o:hralign="center" o:hrstd="t" o:hr="t" fillcolor="#a0a0a0" stroked="f"/>
        </w:pict>
      </w:r>
    </w:p>
    <w:p w14:paraId="392BE527"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528" w14:textId="77777777" w:rsidR="00980E5F" w:rsidRDefault="00483613">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392BE529" w14:textId="77777777" w:rsidR="00980E5F" w:rsidRDefault="00483613">
      <w:pPr>
        <w:spacing w:before="60"/>
        <w:ind w:hanging="360"/>
        <w:jc w:val="both"/>
        <w:textAlignment w:val="top"/>
      </w:pPr>
      <w:r>
        <w:rPr>
          <w:rFonts w:ascii="Arial" w:eastAsia="宋体" w:hAnsi="Arial" w:cs="Arial"/>
          <w:color w:val="000000"/>
          <w:sz w:val="20"/>
          <w:szCs w:val="20"/>
        </w:rPr>
        <w:t>•The transition away from LIBOR may result in additional costs and increased risk exposure.</w:t>
      </w:r>
    </w:p>
    <w:p w14:paraId="392BE52A" w14:textId="77777777" w:rsidR="00980E5F" w:rsidRDefault="00483613">
      <w:pPr>
        <w:spacing w:before="90"/>
        <w:textAlignment w:val="top"/>
      </w:pPr>
      <w:r>
        <w:rPr>
          <w:rFonts w:ascii="Arial" w:eastAsia="宋体" w:hAnsi="Arial" w:cs="Arial"/>
          <w:b/>
          <w:bCs/>
          <w:color w:val="000000"/>
          <w:sz w:val="20"/>
          <w:szCs w:val="20"/>
        </w:rPr>
        <w:t>Operational Risks</w:t>
      </w:r>
    </w:p>
    <w:p w14:paraId="392BE52B" w14:textId="77777777" w:rsidR="00980E5F" w:rsidRDefault="00483613">
      <w:pPr>
        <w:spacing w:before="60"/>
        <w:ind w:hanging="360"/>
        <w:jc w:val="both"/>
        <w:textAlignment w:val="top"/>
      </w:pPr>
      <w:r>
        <w:rPr>
          <w:rFonts w:ascii="Arial" w:eastAsia="宋体" w:hAnsi="Arial" w:cs="Arial"/>
          <w:color w:val="000000"/>
          <w:sz w:val="20"/>
          <w:szCs w:val="20"/>
        </w:rPr>
        <w:t>•Our control environment may be inadequate, fail or be circumvented, and operational risks could adversely affect our consol</w:t>
      </w:r>
      <w:r>
        <w:rPr>
          <w:rFonts w:ascii="Arial" w:eastAsia="宋体" w:hAnsi="Arial" w:cs="Arial"/>
          <w:color w:val="000000"/>
          <w:sz w:val="20"/>
          <w:szCs w:val="20"/>
        </w:rPr>
        <w:t>idated results of operations;</w:t>
      </w:r>
    </w:p>
    <w:p w14:paraId="392BE52C" w14:textId="77777777" w:rsidR="00980E5F" w:rsidRDefault="00483613">
      <w:pPr>
        <w:spacing w:before="60"/>
        <w:ind w:hanging="360"/>
        <w:jc w:val="both"/>
        <w:textAlignment w:val="top"/>
      </w:pPr>
      <w:r>
        <w:rPr>
          <w:rFonts w:ascii="Arial" w:eastAsia="宋体" w:hAnsi="Arial" w:cs="Arial"/>
          <w:color w:val="000000"/>
          <w:sz w:val="20"/>
          <w:szCs w:val="20"/>
        </w:rPr>
        <w:t>•Cost shifting to non-U.S. jurisdictions and outsourcing may expose us to increased operational risk, geopolitical risk and reputational harm and may not result in expected cost savings;</w:t>
      </w:r>
    </w:p>
    <w:p w14:paraId="392BE52D" w14:textId="77777777" w:rsidR="00980E5F" w:rsidRDefault="00483613">
      <w:pPr>
        <w:spacing w:before="60"/>
        <w:ind w:hanging="360"/>
        <w:jc w:val="both"/>
        <w:textAlignment w:val="top"/>
      </w:pPr>
      <w:r>
        <w:rPr>
          <w:rFonts w:ascii="Arial" w:eastAsia="宋体" w:hAnsi="Arial" w:cs="Arial"/>
          <w:color w:val="000000"/>
          <w:sz w:val="20"/>
          <w:szCs w:val="20"/>
        </w:rPr>
        <w:t xml:space="preserve">•Attacks or unauthorized access to our </w:t>
      </w:r>
      <w:r>
        <w:rPr>
          <w:rFonts w:ascii="Arial" w:eastAsia="宋体" w:hAnsi="Arial" w:cs="Arial"/>
          <w:color w:val="000000"/>
          <w:sz w:val="20"/>
          <w:szCs w:val="20"/>
        </w:rPr>
        <w:t xml:space="preserve">information technology systems or facilities, or those of the third parties with which we do business, or disruptions to our or their continuous operations, could result in significant costs, reputational damage and impacts on our business activities; </w:t>
      </w:r>
    </w:p>
    <w:p w14:paraId="392BE52E" w14:textId="77777777" w:rsidR="00980E5F" w:rsidRDefault="00483613">
      <w:pPr>
        <w:spacing w:before="60"/>
        <w:ind w:hanging="360"/>
        <w:jc w:val="both"/>
        <w:textAlignment w:val="top"/>
      </w:pPr>
      <w:r>
        <w:rPr>
          <w:rFonts w:ascii="Arial" w:eastAsia="宋体" w:hAnsi="Arial" w:cs="Arial"/>
          <w:color w:val="000000"/>
          <w:sz w:val="20"/>
          <w:szCs w:val="20"/>
        </w:rPr>
        <w:t>•Lo</w:t>
      </w:r>
      <w:r>
        <w:rPr>
          <w:rFonts w:ascii="Arial" w:eastAsia="宋体" w:hAnsi="Arial" w:cs="Arial"/>
          <w:color w:val="000000"/>
          <w:sz w:val="20"/>
          <w:szCs w:val="20"/>
        </w:rPr>
        <w:t>ng-term contracts expose us to pricing and performance risk;</w:t>
      </w:r>
    </w:p>
    <w:p w14:paraId="392BE52F" w14:textId="77777777" w:rsidR="00980E5F" w:rsidRDefault="00483613">
      <w:pPr>
        <w:spacing w:before="6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392BE530" w14:textId="77777777" w:rsidR="00980E5F" w:rsidRDefault="00483613">
      <w:pPr>
        <w:spacing w:before="60"/>
        <w:ind w:hanging="360"/>
        <w:jc w:val="both"/>
        <w:textAlignment w:val="top"/>
      </w:pPr>
      <w:r>
        <w:rPr>
          <w:rFonts w:ascii="Arial" w:eastAsia="宋体" w:hAnsi="Arial" w:cs="Arial"/>
          <w:color w:val="000000"/>
          <w:sz w:val="20"/>
          <w:szCs w:val="20"/>
        </w:rPr>
        <w:t>•We may not be able to protect our intellectual property;</w:t>
      </w:r>
    </w:p>
    <w:p w14:paraId="392BE531" w14:textId="77777777" w:rsidR="00980E5F" w:rsidRDefault="00483613">
      <w:pPr>
        <w:spacing w:before="60"/>
        <w:ind w:hanging="360"/>
        <w:jc w:val="both"/>
        <w:textAlignment w:val="top"/>
      </w:pPr>
      <w:r>
        <w:rPr>
          <w:rFonts w:ascii="Arial" w:eastAsia="宋体" w:hAnsi="Arial" w:cs="Arial"/>
          <w:color w:val="000000"/>
          <w:sz w:val="20"/>
          <w:szCs w:val="20"/>
        </w:rPr>
        <w:t>•The quantitative models we use to manage our</w:t>
      </w:r>
      <w:r>
        <w:rPr>
          <w:rFonts w:ascii="Arial" w:eastAsia="宋体" w:hAnsi="Arial" w:cs="Arial"/>
          <w:color w:val="000000"/>
          <w:sz w:val="20"/>
          <w:szCs w:val="20"/>
        </w:rPr>
        <w:t xml:space="preserve"> business may contain errors that could result in material harm;</w:t>
      </w:r>
    </w:p>
    <w:p w14:paraId="392BE532" w14:textId="77777777" w:rsidR="00980E5F" w:rsidRDefault="00483613">
      <w:pP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their interests in investment pools that we sponsor or manage;</w:t>
      </w:r>
    </w:p>
    <w:p w14:paraId="392BE533" w14:textId="77777777" w:rsidR="00980E5F" w:rsidRDefault="00483613">
      <w:pPr>
        <w:spacing w:before="60"/>
        <w:ind w:hanging="360"/>
        <w:jc w:val="both"/>
        <w:textAlignment w:val="top"/>
      </w:pPr>
      <w:r>
        <w:rPr>
          <w:rFonts w:ascii="Arial" w:eastAsia="宋体" w:hAnsi="Arial" w:cs="Arial"/>
          <w:color w:val="000000"/>
          <w:sz w:val="20"/>
          <w:szCs w:val="20"/>
        </w:rPr>
        <w:t>•Th</w:t>
      </w:r>
      <w:r>
        <w:rPr>
          <w:rFonts w:ascii="Arial" w:eastAsia="宋体" w:hAnsi="Arial" w:cs="Arial"/>
          <w:color w:val="000000"/>
          <w:sz w:val="20"/>
          <w:szCs w:val="20"/>
        </w:rPr>
        <w:t>e impacts of climate change, and regulatory responses to such risks, could adversely affect us; and</w:t>
      </w:r>
    </w:p>
    <w:p w14:paraId="392BE534" w14:textId="77777777" w:rsidR="00980E5F" w:rsidRDefault="00483613">
      <w:pPr>
        <w:spacing w:before="6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emergence of a new pandemic or acts of embezzlemen</w:t>
      </w:r>
      <w:r>
        <w:rPr>
          <w:rFonts w:ascii="Arial" w:eastAsia="宋体" w:hAnsi="Arial" w:cs="Arial"/>
          <w:color w:val="000000"/>
          <w:sz w:val="20"/>
          <w:szCs w:val="20"/>
        </w:rPr>
        <w:t xml:space="preserve">t. </w:t>
      </w:r>
    </w:p>
    <w:p w14:paraId="392BE535" w14:textId="77777777" w:rsidR="00980E5F" w:rsidRDefault="00483613">
      <w:pPr>
        <w:spacing w:before="60"/>
        <w:ind w:firstLine="360"/>
        <w:jc w:val="both"/>
        <w:textAlignment w:val="top"/>
      </w:pPr>
      <w:r>
        <w:rPr>
          <w:rFonts w:ascii="Arial" w:eastAsia="宋体" w:hAnsi="Arial" w:cs="Arial"/>
          <w:color w:val="000000"/>
          <w:sz w:val="20"/>
          <w:szCs w:val="20"/>
        </w:rPr>
        <w:t xml:space="preserve">Actual outcomes and results may differ materially from what is expressed in our forward-looking statements and from our historical financial results due to the factors discussed in this section and elsewhere in this Form 10-Q or disclosed in our other </w:t>
      </w:r>
      <w:r>
        <w:rPr>
          <w:rFonts w:ascii="Arial" w:eastAsia="宋体" w:hAnsi="Arial" w:cs="Arial"/>
          <w:color w:val="000000"/>
          <w:sz w:val="20"/>
          <w:szCs w:val="20"/>
        </w:rPr>
        <w:t>SEC filings. Forward-looking statements in this Form 10-Q should not be relied on as representing our expectations or assumptions as of any time subsequent to the time this Form 10-Q is filed with the SEC. We undertake no obligation to revise our forward-l</w:t>
      </w:r>
      <w:r>
        <w:rPr>
          <w:rFonts w:ascii="Arial" w:eastAsia="宋体" w:hAnsi="Arial" w:cs="Arial"/>
          <w:color w:val="000000"/>
          <w:sz w:val="20"/>
          <w:szCs w:val="20"/>
        </w:rPr>
        <w:t xml:space="preserve">ooking statements after the time they are made. The factors discussed herein are not intended </w:t>
      </w:r>
    </w:p>
    <w:p w14:paraId="392BE536" w14:textId="77777777" w:rsidR="00980E5F" w:rsidRDefault="00483613">
      <w:pPr>
        <w:spacing w:before="60"/>
        <w:jc w:val="both"/>
        <w:textAlignment w:val="top"/>
      </w:pPr>
      <w:r>
        <w:rPr>
          <w:rFonts w:ascii="Arial" w:eastAsia="宋体" w:hAnsi="Arial" w:cs="Arial"/>
          <w:color w:val="000000"/>
          <w:sz w:val="20"/>
          <w:szCs w:val="20"/>
        </w:rPr>
        <w:t>to be a complete statement of all risks and uncertainties that may affect our businesses. We cannot anticipate all developments that may adversely affect our bus</w:t>
      </w:r>
      <w:r>
        <w:rPr>
          <w:rFonts w:ascii="Arial" w:eastAsia="宋体" w:hAnsi="Arial" w:cs="Arial"/>
          <w:color w:val="000000"/>
          <w:sz w:val="20"/>
          <w:szCs w:val="20"/>
        </w:rPr>
        <w:t>iness or operations or our consolidated results of operations, financial condition or cash flows.</w:t>
      </w:r>
    </w:p>
    <w:p w14:paraId="392BE537" w14:textId="77777777" w:rsidR="00980E5F" w:rsidRDefault="00483613">
      <w:pPr>
        <w:spacing w:before="60"/>
        <w:ind w:firstLine="450"/>
        <w:jc w:val="both"/>
        <w:textAlignment w:val="top"/>
      </w:pPr>
      <w:r>
        <w:rPr>
          <w:rFonts w:ascii="Arial" w:eastAsia="宋体" w:hAnsi="Arial" w:cs="Arial"/>
          <w:color w:val="000000"/>
          <w:sz w:val="20"/>
          <w:szCs w:val="20"/>
        </w:rPr>
        <w:t>Forward-looking statements should not be viewed as predictions and should not be the primary basis on which investors evaluate State Street. Any investor in S</w:t>
      </w:r>
      <w:r>
        <w:rPr>
          <w:rFonts w:ascii="Arial" w:eastAsia="宋体" w:hAnsi="Arial" w:cs="Arial"/>
          <w:color w:val="000000"/>
          <w:sz w:val="20"/>
          <w:szCs w:val="20"/>
        </w:rPr>
        <w:t>tate Street should consider all risks and uncertainties disclosed in our SEC filings, including our filings under the Securities Exchange Act of 1934, in particular our annual reports on Form 10-K, our quarterly reports on Form 10-Q and our current reports</w:t>
      </w:r>
      <w:r>
        <w:rPr>
          <w:rFonts w:ascii="Arial" w:eastAsia="宋体" w:hAnsi="Arial" w:cs="Arial"/>
          <w:color w:val="000000"/>
          <w:sz w:val="20"/>
          <w:szCs w:val="20"/>
        </w:rPr>
        <w:t xml:space="preserve"> on Form 8-K, and our registration statements filed under the Securities Act of 1933, all of which are accessible on the SEC's website at </w:t>
      </w:r>
      <w:r>
        <w:rPr>
          <w:rFonts w:ascii="Arial" w:eastAsia="宋体" w:hAnsi="Arial" w:cs="Arial"/>
          <w:i/>
          <w:iCs/>
          <w:color w:val="000000"/>
          <w:sz w:val="20"/>
          <w:szCs w:val="20"/>
        </w:rPr>
        <w:t>www.sec.gov</w:t>
      </w:r>
      <w:r>
        <w:rPr>
          <w:rFonts w:ascii="Arial" w:eastAsia="宋体" w:hAnsi="Arial" w:cs="Arial"/>
          <w:color w:val="000000"/>
          <w:sz w:val="20"/>
          <w:szCs w:val="20"/>
        </w:rPr>
        <w:t xml:space="preserve"> or on the “Investor Relations” section of our corporate website at </w:t>
      </w:r>
      <w:r>
        <w:rPr>
          <w:rFonts w:ascii="Arial" w:eastAsia="宋体" w:hAnsi="Arial" w:cs="Arial"/>
          <w:i/>
          <w:iCs/>
          <w:color w:val="000000"/>
          <w:sz w:val="20"/>
          <w:szCs w:val="20"/>
        </w:rPr>
        <w:t>investors.statestreet.com.</w:t>
      </w:r>
    </w:p>
    <w:p w14:paraId="392BE538" w14:textId="77777777" w:rsidR="00980E5F" w:rsidRDefault="00483613">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7</w:t>
      </w:r>
    </w:p>
    <w:p w14:paraId="392BE539" w14:textId="77777777" w:rsidR="00980E5F" w:rsidRDefault="00980E5F">
      <w:pPr>
        <w:ind w:firstLine="450"/>
        <w:jc w:val="center"/>
      </w:pPr>
    </w:p>
    <w:p w14:paraId="392BE53A" w14:textId="77777777" w:rsidR="00980E5F" w:rsidRDefault="00483613">
      <w:r>
        <w:pict w14:anchorId="392CBAD5">
          <v:rect id="_x0000_i1031" style="width:415.3pt;height:1.5pt" o:hralign="center" o:hrstd="t" o:hr="t" fillcolor="#a0a0a0" stroked="f"/>
        </w:pict>
      </w:r>
    </w:p>
    <w:p w14:paraId="392BE53B"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53C" w14:textId="77777777" w:rsidR="00980E5F" w:rsidRDefault="00483613">
      <w:pPr>
        <w:ind w:firstLine="450"/>
        <w:jc w:val="center"/>
      </w:pPr>
      <w:r>
        <w:rPr>
          <w:rFonts w:ascii="Arial" w:eastAsia="宋体" w:hAnsi="Arial" w:cs="Arial"/>
          <w:b/>
          <w:bCs/>
          <w:color w:val="000000"/>
          <w:sz w:val="20"/>
          <w:szCs w:val="20"/>
        </w:rPr>
        <w:t>AND RESULTS OF OPERATIONS</w:t>
      </w:r>
    </w:p>
    <w:p w14:paraId="392BE53D" w14:textId="77777777" w:rsidR="00980E5F" w:rsidRDefault="00483613">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4322"/>
        <w:gridCol w:w="37"/>
        <w:gridCol w:w="88"/>
        <w:gridCol w:w="907"/>
        <w:gridCol w:w="127"/>
        <w:gridCol w:w="37"/>
        <w:gridCol w:w="158"/>
        <w:gridCol w:w="36"/>
        <w:gridCol w:w="88"/>
        <w:gridCol w:w="907"/>
        <w:gridCol w:w="127"/>
        <w:gridCol w:w="36"/>
        <w:gridCol w:w="36"/>
        <w:gridCol w:w="36"/>
        <w:gridCol w:w="42"/>
        <w:gridCol w:w="647"/>
        <w:gridCol w:w="127"/>
        <w:gridCol w:w="36"/>
        <w:gridCol w:w="36"/>
        <w:gridCol w:w="36"/>
        <w:gridCol w:w="36"/>
        <w:gridCol w:w="36"/>
        <w:gridCol w:w="36"/>
        <w:gridCol w:w="36"/>
        <w:gridCol w:w="36"/>
        <w:gridCol w:w="36"/>
        <w:gridCol w:w="36"/>
        <w:gridCol w:w="36"/>
        <w:gridCol w:w="36"/>
        <w:gridCol w:w="36"/>
        <w:gridCol w:w="36"/>
        <w:gridCol w:w="36"/>
      </w:tblGrid>
      <w:tr w:rsidR="00980E5F" w14:paraId="392BE555" w14:textId="77777777">
        <w:tc>
          <w:tcPr>
            <w:tcW w:w="50" w:type="pct"/>
            <w:shd w:val="clear" w:color="auto" w:fill="auto"/>
            <w:vAlign w:val="bottom"/>
          </w:tcPr>
          <w:p w14:paraId="392BE53E" w14:textId="77777777" w:rsidR="00980E5F" w:rsidRDefault="00980E5F">
            <w:pPr>
              <w:rPr>
                <w:rFonts w:ascii="宋体"/>
              </w:rPr>
            </w:pPr>
          </w:p>
        </w:tc>
        <w:tc>
          <w:tcPr>
            <w:tcW w:w="2853" w:type="pct"/>
            <w:shd w:val="clear" w:color="auto" w:fill="auto"/>
            <w:vAlign w:val="bottom"/>
          </w:tcPr>
          <w:p w14:paraId="392BE53F" w14:textId="77777777" w:rsidR="00980E5F" w:rsidRDefault="00980E5F">
            <w:pPr>
              <w:rPr>
                <w:rFonts w:ascii="宋体"/>
              </w:rPr>
            </w:pPr>
          </w:p>
        </w:tc>
        <w:tc>
          <w:tcPr>
            <w:tcW w:w="5" w:type="pct"/>
            <w:shd w:val="clear" w:color="auto" w:fill="auto"/>
            <w:vAlign w:val="bottom"/>
          </w:tcPr>
          <w:p w14:paraId="392BE540" w14:textId="77777777" w:rsidR="00980E5F" w:rsidRDefault="00980E5F">
            <w:pPr>
              <w:rPr>
                <w:rFonts w:ascii="宋体"/>
              </w:rPr>
            </w:pPr>
          </w:p>
        </w:tc>
        <w:tc>
          <w:tcPr>
            <w:tcW w:w="50" w:type="pct"/>
            <w:shd w:val="clear" w:color="auto" w:fill="auto"/>
            <w:vAlign w:val="bottom"/>
          </w:tcPr>
          <w:p w14:paraId="392BE541" w14:textId="77777777" w:rsidR="00980E5F" w:rsidRDefault="00980E5F">
            <w:pPr>
              <w:rPr>
                <w:rFonts w:ascii="宋体"/>
              </w:rPr>
            </w:pPr>
          </w:p>
        </w:tc>
        <w:tc>
          <w:tcPr>
            <w:tcW w:w="636" w:type="pct"/>
            <w:shd w:val="clear" w:color="auto" w:fill="auto"/>
            <w:vAlign w:val="bottom"/>
          </w:tcPr>
          <w:p w14:paraId="392BE542" w14:textId="77777777" w:rsidR="00980E5F" w:rsidRDefault="00980E5F">
            <w:pPr>
              <w:rPr>
                <w:rFonts w:ascii="宋体"/>
              </w:rPr>
            </w:pPr>
          </w:p>
        </w:tc>
        <w:tc>
          <w:tcPr>
            <w:tcW w:w="5" w:type="pct"/>
            <w:shd w:val="clear" w:color="auto" w:fill="auto"/>
            <w:vAlign w:val="bottom"/>
          </w:tcPr>
          <w:p w14:paraId="392BE543" w14:textId="77777777" w:rsidR="00980E5F" w:rsidRDefault="00980E5F">
            <w:pPr>
              <w:rPr>
                <w:rFonts w:ascii="宋体"/>
              </w:rPr>
            </w:pPr>
          </w:p>
        </w:tc>
        <w:tc>
          <w:tcPr>
            <w:tcW w:w="5" w:type="pct"/>
            <w:shd w:val="clear" w:color="auto" w:fill="auto"/>
            <w:vAlign w:val="bottom"/>
          </w:tcPr>
          <w:p w14:paraId="392BE544" w14:textId="77777777" w:rsidR="00980E5F" w:rsidRDefault="00980E5F">
            <w:pPr>
              <w:rPr>
                <w:rFonts w:ascii="宋体"/>
              </w:rPr>
            </w:pPr>
          </w:p>
        </w:tc>
        <w:tc>
          <w:tcPr>
            <w:tcW w:w="52" w:type="pct"/>
            <w:shd w:val="clear" w:color="auto" w:fill="auto"/>
            <w:vAlign w:val="bottom"/>
          </w:tcPr>
          <w:p w14:paraId="392BE545" w14:textId="77777777" w:rsidR="00980E5F" w:rsidRDefault="00980E5F">
            <w:pPr>
              <w:rPr>
                <w:rFonts w:ascii="宋体"/>
              </w:rPr>
            </w:pPr>
          </w:p>
        </w:tc>
        <w:tc>
          <w:tcPr>
            <w:tcW w:w="5" w:type="pct"/>
            <w:shd w:val="clear" w:color="auto" w:fill="auto"/>
            <w:vAlign w:val="bottom"/>
          </w:tcPr>
          <w:p w14:paraId="392BE546" w14:textId="77777777" w:rsidR="00980E5F" w:rsidRDefault="00980E5F">
            <w:pPr>
              <w:rPr>
                <w:rFonts w:ascii="宋体"/>
              </w:rPr>
            </w:pPr>
          </w:p>
        </w:tc>
        <w:tc>
          <w:tcPr>
            <w:tcW w:w="50" w:type="pct"/>
            <w:shd w:val="clear" w:color="auto" w:fill="auto"/>
            <w:vAlign w:val="bottom"/>
          </w:tcPr>
          <w:p w14:paraId="392BE547" w14:textId="77777777" w:rsidR="00980E5F" w:rsidRDefault="00980E5F">
            <w:pPr>
              <w:rPr>
                <w:rFonts w:ascii="宋体"/>
              </w:rPr>
            </w:pPr>
          </w:p>
        </w:tc>
        <w:tc>
          <w:tcPr>
            <w:tcW w:w="636" w:type="pct"/>
            <w:shd w:val="clear" w:color="auto" w:fill="auto"/>
            <w:vAlign w:val="bottom"/>
          </w:tcPr>
          <w:p w14:paraId="392BE548" w14:textId="77777777" w:rsidR="00980E5F" w:rsidRDefault="00980E5F">
            <w:pPr>
              <w:rPr>
                <w:rFonts w:ascii="宋体"/>
              </w:rPr>
            </w:pPr>
          </w:p>
        </w:tc>
        <w:tc>
          <w:tcPr>
            <w:tcW w:w="5" w:type="pct"/>
            <w:shd w:val="clear" w:color="auto" w:fill="auto"/>
            <w:vAlign w:val="bottom"/>
          </w:tcPr>
          <w:p w14:paraId="392BE549" w14:textId="77777777" w:rsidR="00980E5F" w:rsidRDefault="00980E5F">
            <w:pPr>
              <w:rPr>
                <w:rFonts w:ascii="宋体"/>
              </w:rPr>
            </w:pPr>
          </w:p>
        </w:tc>
        <w:tc>
          <w:tcPr>
            <w:tcW w:w="5" w:type="pct"/>
            <w:shd w:val="clear" w:color="auto" w:fill="auto"/>
            <w:vAlign w:val="bottom"/>
          </w:tcPr>
          <w:p w14:paraId="392BE54A" w14:textId="77777777" w:rsidR="00980E5F" w:rsidRDefault="00980E5F">
            <w:pPr>
              <w:rPr>
                <w:rFonts w:ascii="宋体"/>
              </w:rPr>
            </w:pPr>
          </w:p>
        </w:tc>
        <w:tc>
          <w:tcPr>
            <w:tcW w:w="52" w:type="pct"/>
            <w:shd w:val="clear" w:color="auto" w:fill="auto"/>
            <w:vAlign w:val="bottom"/>
          </w:tcPr>
          <w:p w14:paraId="392BE54B" w14:textId="77777777" w:rsidR="00980E5F" w:rsidRDefault="00980E5F">
            <w:pPr>
              <w:rPr>
                <w:rFonts w:ascii="宋体"/>
              </w:rPr>
            </w:pPr>
          </w:p>
        </w:tc>
        <w:tc>
          <w:tcPr>
            <w:tcW w:w="5" w:type="pct"/>
            <w:shd w:val="clear" w:color="auto" w:fill="auto"/>
            <w:vAlign w:val="bottom"/>
          </w:tcPr>
          <w:p w14:paraId="392BE54C" w14:textId="77777777" w:rsidR="00980E5F" w:rsidRDefault="00980E5F">
            <w:pPr>
              <w:rPr>
                <w:rFonts w:ascii="宋体"/>
              </w:rPr>
            </w:pPr>
          </w:p>
        </w:tc>
        <w:tc>
          <w:tcPr>
            <w:tcW w:w="50" w:type="pct"/>
            <w:shd w:val="clear" w:color="auto" w:fill="auto"/>
            <w:vAlign w:val="bottom"/>
          </w:tcPr>
          <w:p w14:paraId="392BE54D" w14:textId="77777777" w:rsidR="00980E5F" w:rsidRDefault="00980E5F">
            <w:pPr>
              <w:rPr>
                <w:rFonts w:ascii="宋体"/>
              </w:rPr>
            </w:pPr>
          </w:p>
        </w:tc>
        <w:tc>
          <w:tcPr>
            <w:tcW w:w="526" w:type="pct"/>
            <w:shd w:val="clear" w:color="auto" w:fill="auto"/>
            <w:vAlign w:val="bottom"/>
          </w:tcPr>
          <w:p w14:paraId="392BE54E" w14:textId="77777777" w:rsidR="00980E5F" w:rsidRDefault="00980E5F">
            <w:pPr>
              <w:rPr>
                <w:rFonts w:ascii="宋体"/>
              </w:rPr>
            </w:pPr>
          </w:p>
        </w:tc>
        <w:tc>
          <w:tcPr>
            <w:tcW w:w="5" w:type="pct"/>
            <w:shd w:val="clear" w:color="auto" w:fill="auto"/>
            <w:vAlign w:val="bottom"/>
          </w:tcPr>
          <w:p w14:paraId="392BE54F" w14:textId="77777777" w:rsidR="00980E5F" w:rsidRDefault="00980E5F">
            <w:pPr>
              <w:rPr>
                <w:rFonts w:ascii="宋体"/>
              </w:rPr>
            </w:pPr>
          </w:p>
        </w:tc>
        <w:tc>
          <w:tcPr>
            <w:tcW w:w="0" w:type="auto"/>
            <w:gridSpan w:val="3"/>
            <w:shd w:val="clear" w:color="auto" w:fill="auto"/>
            <w:vAlign w:val="bottom"/>
          </w:tcPr>
          <w:p w14:paraId="392BE550" w14:textId="77777777" w:rsidR="00980E5F" w:rsidRDefault="00980E5F">
            <w:pPr>
              <w:rPr>
                <w:rFonts w:ascii="宋体"/>
                <w:vanish/>
              </w:rPr>
            </w:pPr>
          </w:p>
        </w:tc>
        <w:tc>
          <w:tcPr>
            <w:tcW w:w="0" w:type="auto"/>
            <w:gridSpan w:val="3"/>
            <w:shd w:val="clear" w:color="auto" w:fill="auto"/>
            <w:vAlign w:val="bottom"/>
          </w:tcPr>
          <w:p w14:paraId="392BE551" w14:textId="77777777" w:rsidR="00980E5F" w:rsidRDefault="00980E5F">
            <w:pPr>
              <w:rPr>
                <w:rFonts w:ascii="宋体"/>
                <w:vanish/>
              </w:rPr>
            </w:pPr>
          </w:p>
        </w:tc>
        <w:tc>
          <w:tcPr>
            <w:tcW w:w="0" w:type="auto"/>
            <w:gridSpan w:val="3"/>
            <w:shd w:val="clear" w:color="auto" w:fill="auto"/>
            <w:vAlign w:val="bottom"/>
          </w:tcPr>
          <w:p w14:paraId="392BE552" w14:textId="77777777" w:rsidR="00980E5F" w:rsidRDefault="00980E5F">
            <w:pPr>
              <w:rPr>
                <w:rFonts w:ascii="宋体"/>
                <w:vanish/>
              </w:rPr>
            </w:pPr>
          </w:p>
        </w:tc>
        <w:tc>
          <w:tcPr>
            <w:tcW w:w="0" w:type="auto"/>
            <w:gridSpan w:val="3"/>
            <w:shd w:val="clear" w:color="auto" w:fill="auto"/>
            <w:vAlign w:val="bottom"/>
          </w:tcPr>
          <w:p w14:paraId="392BE553" w14:textId="77777777" w:rsidR="00980E5F" w:rsidRDefault="00980E5F">
            <w:pPr>
              <w:rPr>
                <w:rFonts w:ascii="宋体"/>
                <w:vanish/>
              </w:rPr>
            </w:pPr>
          </w:p>
        </w:tc>
        <w:tc>
          <w:tcPr>
            <w:tcW w:w="0" w:type="auto"/>
            <w:gridSpan w:val="3"/>
            <w:shd w:val="clear" w:color="auto" w:fill="auto"/>
            <w:vAlign w:val="bottom"/>
          </w:tcPr>
          <w:p w14:paraId="392BE554" w14:textId="77777777" w:rsidR="00980E5F" w:rsidRDefault="00980E5F">
            <w:pPr>
              <w:rPr>
                <w:rFonts w:ascii="宋体"/>
                <w:vanish/>
              </w:rPr>
            </w:pPr>
          </w:p>
        </w:tc>
      </w:tr>
      <w:tr w:rsidR="00980E5F" w14:paraId="392BE566" w14:textId="77777777">
        <w:tc>
          <w:tcPr>
            <w:tcW w:w="0" w:type="auto"/>
            <w:gridSpan w:val="18"/>
            <w:shd w:val="clear" w:color="auto" w:fill="auto"/>
            <w:tcMar>
              <w:top w:w="40" w:type="dxa"/>
              <w:left w:w="20" w:type="dxa"/>
              <w:bottom w:w="40" w:type="dxa"/>
              <w:right w:w="20" w:type="dxa"/>
            </w:tcMar>
            <w:vAlign w:val="bottom"/>
          </w:tcPr>
          <w:p w14:paraId="392BE556" w14:textId="77777777" w:rsidR="00980E5F" w:rsidRDefault="00483613">
            <w:pPr>
              <w:textAlignment w:val="bottom"/>
            </w:pPr>
            <w:r>
              <w:rPr>
                <w:rFonts w:ascii="Arial" w:eastAsia="宋体" w:hAnsi="Arial" w:cs="Arial"/>
                <w:b/>
                <w:bCs/>
                <w:color w:val="000000"/>
                <w:sz w:val="16"/>
                <w:szCs w:val="16"/>
              </w:rPr>
              <w:t>TABLE 1: OVERVIEW OF FINANCIAL RESULTS</w:t>
            </w:r>
          </w:p>
        </w:tc>
        <w:tc>
          <w:tcPr>
            <w:tcW w:w="0" w:type="auto"/>
            <w:shd w:val="clear" w:color="auto" w:fill="auto"/>
            <w:vAlign w:val="bottom"/>
          </w:tcPr>
          <w:p w14:paraId="392BE557" w14:textId="77777777" w:rsidR="00980E5F" w:rsidRDefault="00980E5F">
            <w:pPr>
              <w:rPr>
                <w:rFonts w:ascii="宋体"/>
              </w:rPr>
            </w:pPr>
          </w:p>
        </w:tc>
        <w:tc>
          <w:tcPr>
            <w:tcW w:w="0" w:type="auto"/>
            <w:shd w:val="clear" w:color="auto" w:fill="auto"/>
            <w:vAlign w:val="bottom"/>
          </w:tcPr>
          <w:p w14:paraId="392BE558" w14:textId="77777777" w:rsidR="00980E5F" w:rsidRDefault="00980E5F">
            <w:pPr>
              <w:rPr>
                <w:rFonts w:ascii="宋体"/>
              </w:rPr>
            </w:pPr>
          </w:p>
        </w:tc>
        <w:tc>
          <w:tcPr>
            <w:tcW w:w="0" w:type="auto"/>
            <w:shd w:val="clear" w:color="auto" w:fill="auto"/>
            <w:vAlign w:val="bottom"/>
          </w:tcPr>
          <w:p w14:paraId="392BE559" w14:textId="77777777" w:rsidR="00980E5F" w:rsidRDefault="00980E5F">
            <w:pPr>
              <w:rPr>
                <w:rFonts w:ascii="宋体"/>
              </w:rPr>
            </w:pPr>
          </w:p>
        </w:tc>
        <w:tc>
          <w:tcPr>
            <w:tcW w:w="0" w:type="auto"/>
            <w:shd w:val="clear" w:color="auto" w:fill="auto"/>
            <w:vAlign w:val="bottom"/>
          </w:tcPr>
          <w:p w14:paraId="392BE55A" w14:textId="77777777" w:rsidR="00980E5F" w:rsidRDefault="00980E5F">
            <w:pPr>
              <w:rPr>
                <w:rFonts w:ascii="宋体"/>
              </w:rPr>
            </w:pPr>
          </w:p>
        </w:tc>
        <w:tc>
          <w:tcPr>
            <w:tcW w:w="0" w:type="auto"/>
            <w:shd w:val="clear" w:color="auto" w:fill="auto"/>
            <w:vAlign w:val="bottom"/>
          </w:tcPr>
          <w:p w14:paraId="392BE55B" w14:textId="77777777" w:rsidR="00980E5F" w:rsidRDefault="00980E5F">
            <w:pPr>
              <w:rPr>
                <w:rFonts w:ascii="宋体"/>
              </w:rPr>
            </w:pPr>
          </w:p>
        </w:tc>
        <w:tc>
          <w:tcPr>
            <w:tcW w:w="0" w:type="auto"/>
            <w:shd w:val="clear" w:color="auto" w:fill="auto"/>
            <w:vAlign w:val="bottom"/>
          </w:tcPr>
          <w:p w14:paraId="392BE55C" w14:textId="77777777" w:rsidR="00980E5F" w:rsidRDefault="00980E5F">
            <w:pPr>
              <w:rPr>
                <w:rFonts w:ascii="宋体"/>
              </w:rPr>
            </w:pPr>
          </w:p>
        </w:tc>
        <w:tc>
          <w:tcPr>
            <w:tcW w:w="0" w:type="auto"/>
            <w:shd w:val="clear" w:color="auto" w:fill="auto"/>
            <w:vAlign w:val="bottom"/>
          </w:tcPr>
          <w:p w14:paraId="392BE55D" w14:textId="77777777" w:rsidR="00980E5F" w:rsidRDefault="00980E5F">
            <w:pPr>
              <w:rPr>
                <w:rFonts w:ascii="宋体"/>
              </w:rPr>
            </w:pPr>
          </w:p>
        </w:tc>
        <w:tc>
          <w:tcPr>
            <w:tcW w:w="0" w:type="auto"/>
            <w:shd w:val="clear" w:color="auto" w:fill="auto"/>
            <w:vAlign w:val="bottom"/>
          </w:tcPr>
          <w:p w14:paraId="392BE55E" w14:textId="77777777" w:rsidR="00980E5F" w:rsidRDefault="00980E5F">
            <w:pPr>
              <w:rPr>
                <w:rFonts w:ascii="宋体"/>
              </w:rPr>
            </w:pPr>
          </w:p>
        </w:tc>
        <w:tc>
          <w:tcPr>
            <w:tcW w:w="0" w:type="auto"/>
            <w:shd w:val="clear" w:color="auto" w:fill="auto"/>
            <w:vAlign w:val="bottom"/>
          </w:tcPr>
          <w:p w14:paraId="392BE55F" w14:textId="77777777" w:rsidR="00980E5F" w:rsidRDefault="00980E5F">
            <w:pPr>
              <w:rPr>
                <w:rFonts w:ascii="宋体"/>
              </w:rPr>
            </w:pPr>
          </w:p>
        </w:tc>
        <w:tc>
          <w:tcPr>
            <w:tcW w:w="0" w:type="auto"/>
            <w:shd w:val="clear" w:color="auto" w:fill="auto"/>
            <w:vAlign w:val="bottom"/>
          </w:tcPr>
          <w:p w14:paraId="392BE560" w14:textId="77777777" w:rsidR="00980E5F" w:rsidRDefault="00980E5F">
            <w:pPr>
              <w:rPr>
                <w:rFonts w:ascii="宋体"/>
              </w:rPr>
            </w:pPr>
          </w:p>
        </w:tc>
        <w:tc>
          <w:tcPr>
            <w:tcW w:w="0" w:type="auto"/>
            <w:shd w:val="clear" w:color="auto" w:fill="auto"/>
            <w:vAlign w:val="bottom"/>
          </w:tcPr>
          <w:p w14:paraId="392BE561" w14:textId="77777777" w:rsidR="00980E5F" w:rsidRDefault="00980E5F">
            <w:pPr>
              <w:rPr>
                <w:rFonts w:ascii="宋体"/>
              </w:rPr>
            </w:pPr>
          </w:p>
        </w:tc>
        <w:tc>
          <w:tcPr>
            <w:tcW w:w="0" w:type="auto"/>
            <w:shd w:val="clear" w:color="auto" w:fill="auto"/>
            <w:vAlign w:val="bottom"/>
          </w:tcPr>
          <w:p w14:paraId="392BE562" w14:textId="77777777" w:rsidR="00980E5F" w:rsidRDefault="00980E5F">
            <w:pPr>
              <w:rPr>
                <w:rFonts w:ascii="宋体"/>
              </w:rPr>
            </w:pPr>
          </w:p>
        </w:tc>
        <w:tc>
          <w:tcPr>
            <w:tcW w:w="0" w:type="auto"/>
            <w:shd w:val="clear" w:color="auto" w:fill="auto"/>
            <w:vAlign w:val="bottom"/>
          </w:tcPr>
          <w:p w14:paraId="392BE563" w14:textId="77777777" w:rsidR="00980E5F" w:rsidRDefault="00980E5F">
            <w:pPr>
              <w:rPr>
                <w:rFonts w:ascii="宋体"/>
              </w:rPr>
            </w:pPr>
          </w:p>
        </w:tc>
        <w:tc>
          <w:tcPr>
            <w:tcW w:w="0" w:type="auto"/>
            <w:shd w:val="clear" w:color="auto" w:fill="auto"/>
            <w:vAlign w:val="bottom"/>
          </w:tcPr>
          <w:p w14:paraId="392BE564" w14:textId="77777777" w:rsidR="00980E5F" w:rsidRDefault="00980E5F">
            <w:pPr>
              <w:rPr>
                <w:rFonts w:ascii="宋体"/>
              </w:rPr>
            </w:pPr>
          </w:p>
        </w:tc>
        <w:tc>
          <w:tcPr>
            <w:tcW w:w="0" w:type="auto"/>
            <w:shd w:val="clear" w:color="auto" w:fill="auto"/>
            <w:vAlign w:val="bottom"/>
          </w:tcPr>
          <w:p w14:paraId="392BE565" w14:textId="77777777" w:rsidR="00980E5F" w:rsidRDefault="00980E5F">
            <w:pPr>
              <w:rPr>
                <w:rFonts w:ascii="宋体"/>
              </w:rPr>
            </w:pPr>
          </w:p>
        </w:tc>
      </w:tr>
      <w:tr w:rsidR="00980E5F" w14:paraId="392BE570" w14:textId="77777777">
        <w:trPr>
          <w:trHeight w:val="340"/>
        </w:trPr>
        <w:tc>
          <w:tcPr>
            <w:tcW w:w="0" w:type="auto"/>
            <w:gridSpan w:val="3"/>
            <w:shd w:val="clear" w:color="auto" w:fill="auto"/>
            <w:tcMar>
              <w:top w:w="0" w:type="dxa"/>
              <w:left w:w="20" w:type="dxa"/>
              <w:bottom w:w="0" w:type="dxa"/>
              <w:right w:w="20" w:type="dxa"/>
            </w:tcMar>
            <w:vAlign w:val="bottom"/>
          </w:tcPr>
          <w:p w14:paraId="392BE567"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BE568" w14:textId="77777777" w:rsidR="00980E5F" w:rsidRDefault="00483613">
            <w:pPr>
              <w:jc w:val="center"/>
              <w:textAlignment w:val="bottom"/>
            </w:pPr>
            <w:r>
              <w:rPr>
                <w:rFonts w:ascii="Arial" w:eastAsia="宋体" w:hAnsi="Arial" w:cs="Arial"/>
                <w:b/>
                <w:bCs/>
                <w:color w:val="000000"/>
                <w:sz w:val="12"/>
                <w:szCs w:val="12"/>
              </w:rPr>
              <w:t>Three Months Ended June 30,</w:t>
            </w:r>
          </w:p>
        </w:tc>
        <w:tc>
          <w:tcPr>
            <w:tcW w:w="0" w:type="auto"/>
            <w:gridSpan w:val="3"/>
            <w:shd w:val="clear" w:color="auto" w:fill="auto"/>
            <w:tcMar>
              <w:top w:w="0" w:type="dxa"/>
              <w:left w:w="20" w:type="dxa"/>
              <w:bottom w:w="0" w:type="dxa"/>
              <w:right w:w="20" w:type="dxa"/>
            </w:tcMar>
            <w:vAlign w:val="bottom"/>
          </w:tcPr>
          <w:p w14:paraId="392BE569"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BE56A" w14:textId="77777777" w:rsidR="00980E5F" w:rsidRDefault="00483613">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392BE56B" w14:textId="77777777" w:rsidR="00980E5F" w:rsidRDefault="00980E5F">
            <w:pPr>
              <w:rPr>
                <w:rFonts w:ascii="宋体"/>
                <w:vanish/>
              </w:rPr>
            </w:pPr>
          </w:p>
        </w:tc>
        <w:tc>
          <w:tcPr>
            <w:tcW w:w="0" w:type="auto"/>
            <w:gridSpan w:val="3"/>
            <w:shd w:val="clear" w:color="auto" w:fill="auto"/>
            <w:vAlign w:val="bottom"/>
          </w:tcPr>
          <w:p w14:paraId="392BE56C" w14:textId="77777777" w:rsidR="00980E5F" w:rsidRDefault="00980E5F">
            <w:pPr>
              <w:rPr>
                <w:rFonts w:ascii="宋体"/>
                <w:vanish/>
              </w:rPr>
            </w:pPr>
          </w:p>
        </w:tc>
        <w:tc>
          <w:tcPr>
            <w:tcW w:w="0" w:type="auto"/>
            <w:gridSpan w:val="3"/>
            <w:shd w:val="clear" w:color="auto" w:fill="auto"/>
            <w:vAlign w:val="bottom"/>
          </w:tcPr>
          <w:p w14:paraId="392BE56D" w14:textId="77777777" w:rsidR="00980E5F" w:rsidRDefault="00980E5F">
            <w:pPr>
              <w:rPr>
                <w:rFonts w:ascii="宋体"/>
                <w:vanish/>
              </w:rPr>
            </w:pPr>
          </w:p>
        </w:tc>
        <w:tc>
          <w:tcPr>
            <w:tcW w:w="0" w:type="auto"/>
            <w:gridSpan w:val="3"/>
            <w:shd w:val="clear" w:color="auto" w:fill="auto"/>
            <w:vAlign w:val="bottom"/>
          </w:tcPr>
          <w:p w14:paraId="392BE56E" w14:textId="77777777" w:rsidR="00980E5F" w:rsidRDefault="00980E5F">
            <w:pPr>
              <w:rPr>
                <w:rFonts w:ascii="宋体"/>
                <w:vanish/>
              </w:rPr>
            </w:pPr>
          </w:p>
        </w:tc>
        <w:tc>
          <w:tcPr>
            <w:tcW w:w="0" w:type="auto"/>
            <w:gridSpan w:val="3"/>
            <w:shd w:val="clear" w:color="auto" w:fill="auto"/>
            <w:vAlign w:val="bottom"/>
          </w:tcPr>
          <w:p w14:paraId="392BE56F" w14:textId="77777777" w:rsidR="00980E5F" w:rsidRDefault="00980E5F">
            <w:pPr>
              <w:rPr>
                <w:rFonts w:ascii="宋体"/>
                <w:vanish/>
              </w:rPr>
            </w:pPr>
          </w:p>
        </w:tc>
      </w:tr>
      <w:tr w:rsidR="00980E5F" w14:paraId="392BE57C" w14:textId="77777777">
        <w:trPr>
          <w:trHeight w:val="220"/>
        </w:trPr>
        <w:tc>
          <w:tcPr>
            <w:tcW w:w="0" w:type="auto"/>
            <w:gridSpan w:val="3"/>
            <w:shd w:val="clear" w:color="auto" w:fill="auto"/>
            <w:tcMar>
              <w:top w:w="40" w:type="dxa"/>
              <w:left w:w="20" w:type="dxa"/>
              <w:bottom w:w="40" w:type="dxa"/>
              <w:right w:w="20" w:type="dxa"/>
            </w:tcMar>
            <w:vAlign w:val="bottom"/>
          </w:tcPr>
          <w:p w14:paraId="392BE571" w14:textId="77777777" w:rsidR="00980E5F" w:rsidRDefault="00483613">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572" w14:textId="77777777" w:rsidR="00980E5F" w:rsidRDefault="00483613">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57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574" w14:textId="77777777" w:rsidR="00980E5F" w:rsidRDefault="00483613">
            <w:pPr>
              <w:jc w:val="center"/>
              <w:textAlignment w:val="bottom"/>
            </w:pPr>
            <w:r>
              <w:rPr>
                <w:rFonts w:ascii="Arial" w:eastAsia="宋体" w:hAnsi="Arial" w:cs="Arial"/>
                <w:b/>
                <w:bCs/>
                <w:color w:val="000000"/>
                <w:sz w:val="12"/>
                <w:szCs w:val="12"/>
              </w:rPr>
              <w:t>2021</w:t>
            </w:r>
          </w:p>
        </w:tc>
        <w:tc>
          <w:tcPr>
            <w:tcW w:w="0" w:type="auto"/>
            <w:gridSpan w:val="3"/>
            <w:shd w:val="clear" w:color="auto" w:fill="auto"/>
            <w:tcMar>
              <w:top w:w="0" w:type="dxa"/>
              <w:left w:w="20" w:type="dxa"/>
              <w:bottom w:w="0" w:type="dxa"/>
              <w:right w:w="20" w:type="dxa"/>
            </w:tcMar>
            <w:vAlign w:val="bottom"/>
          </w:tcPr>
          <w:p w14:paraId="392BE575"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BE576" w14:textId="77777777" w:rsidR="00980E5F" w:rsidRDefault="00980E5F">
            <w:pPr>
              <w:jc w:val="center"/>
              <w:rPr>
                <w:rFonts w:ascii="宋体"/>
              </w:rPr>
            </w:pPr>
          </w:p>
        </w:tc>
        <w:tc>
          <w:tcPr>
            <w:tcW w:w="0" w:type="auto"/>
            <w:gridSpan w:val="3"/>
            <w:shd w:val="clear" w:color="auto" w:fill="auto"/>
            <w:vAlign w:val="bottom"/>
          </w:tcPr>
          <w:p w14:paraId="392BE577" w14:textId="77777777" w:rsidR="00980E5F" w:rsidRDefault="00980E5F">
            <w:pPr>
              <w:rPr>
                <w:rFonts w:ascii="宋体"/>
                <w:vanish/>
              </w:rPr>
            </w:pPr>
          </w:p>
        </w:tc>
        <w:tc>
          <w:tcPr>
            <w:tcW w:w="0" w:type="auto"/>
            <w:gridSpan w:val="3"/>
            <w:shd w:val="clear" w:color="auto" w:fill="auto"/>
            <w:vAlign w:val="bottom"/>
          </w:tcPr>
          <w:p w14:paraId="392BE578" w14:textId="77777777" w:rsidR="00980E5F" w:rsidRDefault="00980E5F">
            <w:pPr>
              <w:rPr>
                <w:rFonts w:ascii="宋体"/>
                <w:vanish/>
              </w:rPr>
            </w:pPr>
          </w:p>
        </w:tc>
        <w:tc>
          <w:tcPr>
            <w:tcW w:w="0" w:type="auto"/>
            <w:gridSpan w:val="3"/>
            <w:shd w:val="clear" w:color="auto" w:fill="auto"/>
            <w:vAlign w:val="bottom"/>
          </w:tcPr>
          <w:p w14:paraId="392BE579" w14:textId="77777777" w:rsidR="00980E5F" w:rsidRDefault="00980E5F">
            <w:pPr>
              <w:rPr>
                <w:rFonts w:ascii="宋体"/>
                <w:vanish/>
              </w:rPr>
            </w:pPr>
          </w:p>
        </w:tc>
        <w:tc>
          <w:tcPr>
            <w:tcW w:w="0" w:type="auto"/>
            <w:gridSpan w:val="3"/>
            <w:shd w:val="clear" w:color="auto" w:fill="auto"/>
            <w:vAlign w:val="bottom"/>
          </w:tcPr>
          <w:p w14:paraId="392BE57A" w14:textId="77777777" w:rsidR="00980E5F" w:rsidRDefault="00980E5F">
            <w:pPr>
              <w:rPr>
                <w:rFonts w:ascii="宋体"/>
                <w:vanish/>
              </w:rPr>
            </w:pPr>
          </w:p>
        </w:tc>
        <w:tc>
          <w:tcPr>
            <w:tcW w:w="0" w:type="auto"/>
            <w:gridSpan w:val="3"/>
            <w:shd w:val="clear" w:color="auto" w:fill="auto"/>
            <w:vAlign w:val="bottom"/>
          </w:tcPr>
          <w:p w14:paraId="392BE57B" w14:textId="77777777" w:rsidR="00980E5F" w:rsidRDefault="00980E5F">
            <w:pPr>
              <w:rPr>
                <w:rFonts w:ascii="宋体"/>
                <w:vanish/>
              </w:rPr>
            </w:pPr>
          </w:p>
        </w:tc>
      </w:tr>
      <w:tr w:rsidR="00980E5F" w14:paraId="392BE58D" w14:textId="77777777">
        <w:tc>
          <w:tcPr>
            <w:tcW w:w="0" w:type="auto"/>
            <w:gridSpan w:val="3"/>
            <w:shd w:val="clear" w:color="auto" w:fill="CCEEFF"/>
            <w:tcMar>
              <w:top w:w="40" w:type="dxa"/>
              <w:left w:w="20" w:type="dxa"/>
              <w:bottom w:w="40" w:type="dxa"/>
              <w:right w:w="20" w:type="dxa"/>
            </w:tcMar>
            <w:vAlign w:val="bottom"/>
          </w:tcPr>
          <w:p w14:paraId="392BE57D" w14:textId="77777777" w:rsidR="00980E5F" w:rsidRDefault="00483613">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57E"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57F" w14:textId="77777777" w:rsidR="00980E5F" w:rsidRDefault="00483613">
            <w:pPr>
              <w:jc w:val="right"/>
              <w:textAlignment w:val="bottom"/>
            </w:pPr>
            <w:r>
              <w:rPr>
                <w:rFonts w:ascii="Arial" w:eastAsia="宋体" w:hAnsi="Arial" w:cs="Arial"/>
                <w:b/>
                <w:bCs/>
                <w:color w:val="000000"/>
                <w:sz w:val="12"/>
                <w:szCs w:val="12"/>
              </w:rPr>
              <w:t>2,370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5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8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582"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583" w14:textId="77777777" w:rsidR="00980E5F" w:rsidRDefault="00483613">
            <w:pPr>
              <w:jc w:val="right"/>
              <w:textAlignment w:val="bottom"/>
            </w:pPr>
            <w:r>
              <w:rPr>
                <w:rFonts w:ascii="Arial" w:eastAsia="宋体" w:hAnsi="Arial" w:cs="Arial"/>
                <w:color w:val="000000"/>
                <w:sz w:val="12"/>
                <w:szCs w:val="12"/>
              </w:rPr>
              <w:t>2,514 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5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8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586" w14:textId="77777777" w:rsidR="00980E5F" w:rsidRDefault="00483613">
            <w:pPr>
              <w:jc w:val="right"/>
              <w:textAlignment w:val="bottom"/>
            </w:pPr>
            <w:r>
              <w:rPr>
                <w:rFonts w:ascii="Arial" w:eastAsia="宋体" w:hAnsi="Arial" w:cs="Arial"/>
                <w:color w:val="000000"/>
                <w:sz w:val="12"/>
                <w:szCs w:val="12"/>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587"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392BE588" w14:textId="77777777" w:rsidR="00980E5F" w:rsidRDefault="00980E5F">
            <w:pPr>
              <w:rPr>
                <w:rFonts w:ascii="宋体"/>
                <w:vanish/>
              </w:rPr>
            </w:pPr>
          </w:p>
        </w:tc>
        <w:tc>
          <w:tcPr>
            <w:tcW w:w="0" w:type="auto"/>
            <w:gridSpan w:val="3"/>
            <w:shd w:val="clear" w:color="auto" w:fill="auto"/>
            <w:vAlign w:val="bottom"/>
          </w:tcPr>
          <w:p w14:paraId="392BE589" w14:textId="77777777" w:rsidR="00980E5F" w:rsidRDefault="00980E5F">
            <w:pPr>
              <w:rPr>
                <w:rFonts w:ascii="宋体"/>
                <w:vanish/>
              </w:rPr>
            </w:pPr>
          </w:p>
        </w:tc>
        <w:tc>
          <w:tcPr>
            <w:tcW w:w="0" w:type="auto"/>
            <w:gridSpan w:val="3"/>
            <w:shd w:val="clear" w:color="auto" w:fill="auto"/>
            <w:vAlign w:val="bottom"/>
          </w:tcPr>
          <w:p w14:paraId="392BE58A" w14:textId="77777777" w:rsidR="00980E5F" w:rsidRDefault="00980E5F">
            <w:pPr>
              <w:rPr>
                <w:rFonts w:ascii="宋体"/>
                <w:vanish/>
              </w:rPr>
            </w:pPr>
          </w:p>
        </w:tc>
        <w:tc>
          <w:tcPr>
            <w:tcW w:w="0" w:type="auto"/>
            <w:gridSpan w:val="3"/>
            <w:shd w:val="clear" w:color="auto" w:fill="auto"/>
            <w:vAlign w:val="bottom"/>
          </w:tcPr>
          <w:p w14:paraId="392BE58B" w14:textId="77777777" w:rsidR="00980E5F" w:rsidRDefault="00980E5F">
            <w:pPr>
              <w:rPr>
                <w:rFonts w:ascii="宋体"/>
                <w:vanish/>
              </w:rPr>
            </w:pPr>
          </w:p>
        </w:tc>
        <w:tc>
          <w:tcPr>
            <w:tcW w:w="0" w:type="auto"/>
            <w:gridSpan w:val="3"/>
            <w:shd w:val="clear" w:color="auto" w:fill="auto"/>
            <w:vAlign w:val="bottom"/>
          </w:tcPr>
          <w:p w14:paraId="392BE58C" w14:textId="77777777" w:rsidR="00980E5F" w:rsidRDefault="00980E5F">
            <w:pPr>
              <w:rPr>
                <w:rFonts w:ascii="宋体"/>
                <w:vanish/>
              </w:rPr>
            </w:pPr>
          </w:p>
        </w:tc>
      </w:tr>
      <w:tr w:rsidR="00980E5F" w14:paraId="392BE59C" w14:textId="77777777">
        <w:tc>
          <w:tcPr>
            <w:tcW w:w="0" w:type="auto"/>
            <w:gridSpan w:val="3"/>
            <w:shd w:val="clear" w:color="auto" w:fill="FFFFFF"/>
            <w:tcMar>
              <w:top w:w="40" w:type="dxa"/>
              <w:left w:w="20" w:type="dxa"/>
              <w:bottom w:w="40" w:type="dxa"/>
              <w:right w:w="20" w:type="dxa"/>
            </w:tcMar>
            <w:vAlign w:val="bottom"/>
          </w:tcPr>
          <w:p w14:paraId="392BE58E" w14:textId="77777777" w:rsidR="00980E5F" w:rsidRDefault="00483613">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392BE58F" w14:textId="77777777" w:rsidR="00980E5F" w:rsidRDefault="00483613">
            <w:pPr>
              <w:jc w:val="right"/>
              <w:textAlignment w:val="bottom"/>
            </w:pPr>
            <w:r>
              <w:rPr>
                <w:rFonts w:ascii="Arial" w:eastAsia="宋体" w:hAnsi="Arial" w:cs="Arial"/>
                <w:b/>
                <w:bCs/>
                <w:color w:val="000000"/>
                <w:sz w:val="12"/>
                <w:szCs w:val="12"/>
              </w:rPr>
              <w:t>584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5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9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92" w14:textId="77777777" w:rsidR="00980E5F" w:rsidRDefault="00483613">
            <w:pPr>
              <w:jc w:val="right"/>
              <w:textAlignment w:val="bottom"/>
            </w:pPr>
            <w:r>
              <w:rPr>
                <w:rFonts w:ascii="Arial" w:eastAsia="宋体" w:hAnsi="Arial" w:cs="Arial"/>
                <w:color w:val="000000"/>
                <w:sz w:val="12"/>
                <w:szCs w:val="12"/>
              </w:rPr>
              <w:t>467 </w:t>
            </w:r>
          </w:p>
        </w:tc>
        <w:tc>
          <w:tcPr>
            <w:tcW w:w="0" w:type="auto"/>
            <w:shd w:val="clear" w:color="auto" w:fill="FFFFFF"/>
            <w:tcMar>
              <w:top w:w="40" w:type="dxa"/>
              <w:left w:w="0" w:type="dxa"/>
              <w:bottom w:w="40" w:type="dxa"/>
              <w:right w:w="20" w:type="dxa"/>
            </w:tcMar>
            <w:vAlign w:val="bottom"/>
          </w:tcPr>
          <w:p w14:paraId="392BE5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95" w14:textId="77777777" w:rsidR="00980E5F" w:rsidRDefault="00483613">
            <w:pPr>
              <w:jc w:val="right"/>
              <w:textAlignment w:val="bottom"/>
            </w:pPr>
            <w:r>
              <w:rPr>
                <w:rFonts w:ascii="Arial" w:eastAsia="宋体" w:hAnsi="Arial" w:cs="Arial"/>
                <w:color w:val="000000"/>
                <w:sz w:val="12"/>
                <w:szCs w:val="12"/>
              </w:rPr>
              <w:t>25 </w:t>
            </w:r>
          </w:p>
        </w:tc>
        <w:tc>
          <w:tcPr>
            <w:tcW w:w="0" w:type="auto"/>
            <w:shd w:val="clear" w:color="auto" w:fill="FFFFFF"/>
            <w:tcMar>
              <w:top w:w="40" w:type="dxa"/>
              <w:left w:w="0" w:type="dxa"/>
              <w:bottom w:w="40" w:type="dxa"/>
              <w:right w:w="20" w:type="dxa"/>
            </w:tcMar>
            <w:vAlign w:val="bottom"/>
          </w:tcPr>
          <w:p w14:paraId="392BE596" w14:textId="77777777" w:rsidR="00980E5F" w:rsidRDefault="00980E5F">
            <w:pPr>
              <w:jc w:val="right"/>
              <w:rPr>
                <w:rFonts w:ascii="宋体"/>
              </w:rPr>
            </w:pPr>
          </w:p>
        </w:tc>
        <w:tc>
          <w:tcPr>
            <w:tcW w:w="0" w:type="auto"/>
            <w:gridSpan w:val="3"/>
            <w:shd w:val="clear" w:color="auto" w:fill="auto"/>
            <w:vAlign w:val="bottom"/>
          </w:tcPr>
          <w:p w14:paraId="392BE597" w14:textId="77777777" w:rsidR="00980E5F" w:rsidRDefault="00980E5F">
            <w:pPr>
              <w:rPr>
                <w:rFonts w:ascii="宋体"/>
                <w:vanish/>
              </w:rPr>
            </w:pPr>
          </w:p>
        </w:tc>
        <w:tc>
          <w:tcPr>
            <w:tcW w:w="0" w:type="auto"/>
            <w:gridSpan w:val="3"/>
            <w:shd w:val="clear" w:color="auto" w:fill="auto"/>
            <w:vAlign w:val="bottom"/>
          </w:tcPr>
          <w:p w14:paraId="392BE598" w14:textId="77777777" w:rsidR="00980E5F" w:rsidRDefault="00980E5F">
            <w:pPr>
              <w:rPr>
                <w:rFonts w:ascii="宋体"/>
                <w:vanish/>
              </w:rPr>
            </w:pPr>
          </w:p>
        </w:tc>
        <w:tc>
          <w:tcPr>
            <w:tcW w:w="0" w:type="auto"/>
            <w:gridSpan w:val="3"/>
            <w:shd w:val="clear" w:color="auto" w:fill="auto"/>
            <w:vAlign w:val="bottom"/>
          </w:tcPr>
          <w:p w14:paraId="392BE599" w14:textId="77777777" w:rsidR="00980E5F" w:rsidRDefault="00980E5F">
            <w:pPr>
              <w:rPr>
                <w:rFonts w:ascii="宋体"/>
                <w:vanish/>
              </w:rPr>
            </w:pPr>
          </w:p>
        </w:tc>
        <w:tc>
          <w:tcPr>
            <w:tcW w:w="0" w:type="auto"/>
            <w:gridSpan w:val="3"/>
            <w:shd w:val="clear" w:color="auto" w:fill="auto"/>
            <w:vAlign w:val="bottom"/>
          </w:tcPr>
          <w:p w14:paraId="392BE59A" w14:textId="77777777" w:rsidR="00980E5F" w:rsidRDefault="00980E5F">
            <w:pPr>
              <w:rPr>
                <w:rFonts w:ascii="宋体"/>
                <w:vanish/>
              </w:rPr>
            </w:pPr>
          </w:p>
        </w:tc>
        <w:tc>
          <w:tcPr>
            <w:tcW w:w="0" w:type="auto"/>
            <w:gridSpan w:val="3"/>
            <w:shd w:val="clear" w:color="auto" w:fill="auto"/>
            <w:vAlign w:val="bottom"/>
          </w:tcPr>
          <w:p w14:paraId="392BE59B" w14:textId="77777777" w:rsidR="00980E5F" w:rsidRDefault="00980E5F">
            <w:pPr>
              <w:rPr>
                <w:rFonts w:ascii="宋体"/>
                <w:vanish/>
              </w:rPr>
            </w:pPr>
          </w:p>
        </w:tc>
      </w:tr>
      <w:tr w:rsidR="00980E5F" w14:paraId="392BE5AA" w14:textId="77777777">
        <w:tc>
          <w:tcPr>
            <w:tcW w:w="0" w:type="auto"/>
            <w:gridSpan w:val="3"/>
            <w:shd w:val="clear" w:color="auto" w:fill="CCEEFF"/>
            <w:tcMar>
              <w:top w:w="40" w:type="dxa"/>
              <w:left w:w="20" w:type="dxa"/>
              <w:bottom w:w="40" w:type="dxa"/>
              <w:right w:w="20" w:type="dxa"/>
            </w:tcMar>
            <w:vAlign w:val="bottom"/>
          </w:tcPr>
          <w:p w14:paraId="392BE59D" w14:textId="77777777" w:rsidR="00980E5F" w:rsidRDefault="00483613">
            <w:pPr>
              <w:textAlignment w:val="bottom"/>
            </w:pPr>
            <w:r>
              <w:rPr>
                <w:rFonts w:ascii="Arial" w:eastAsia="宋体" w:hAnsi="Arial" w:cs="Arial"/>
                <w:color w:val="000000"/>
                <w:sz w:val="12"/>
                <w:szCs w:val="12"/>
              </w:rPr>
              <w:t>Total other</w:t>
            </w:r>
            <w:r>
              <w:rPr>
                <w:rFonts w:ascii="Arial" w:eastAsia="宋体" w:hAnsi="Arial" w:cs="Arial"/>
                <w:color w:val="000000"/>
                <w:sz w:val="12"/>
                <w:szCs w:val="12"/>
              </w:rPr>
              <w:t xml:space="preserve"> income</w:t>
            </w:r>
          </w:p>
        </w:tc>
        <w:tc>
          <w:tcPr>
            <w:tcW w:w="0" w:type="auto"/>
            <w:gridSpan w:val="2"/>
            <w:shd w:val="clear" w:color="auto" w:fill="CCEEFF"/>
            <w:tcMar>
              <w:top w:w="40" w:type="dxa"/>
              <w:left w:w="20" w:type="dxa"/>
              <w:bottom w:w="40" w:type="dxa"/>
              <w:right w:w="0" w:type="dxa"/>
            </w:tcMar>
            <w:vAlign w:val="bottom"/>
          </w:tcPr>
          <w:p w14:paraId="392BE59E" w14:textId="77777777" w:rsidR="00980E5F" w:rsidRDefault="00483613">
            <w:pPr>
              <w:jc w:val="right"/>
              <w:textAlignment w:val="bottom"/>
            </w:pPr>
            <w:r>
              <w:rPr>
                <w:rFonts w:ascii="Arial" w:eastAsia="宋体" w:hAnsi="Arial" w:cs="Arial"/>
                <w:b/>
                <w:bCs/>
                <w:color w:val="000000"/>
                <w:sz w:val="12"/>
                <w:szCs w:val="12"/>
              </w:rPr>
              <w:t>(1)</w:t>
            </w:r>
          </w:p>
        </w:tc>
        <w:tc>
          <w:tcPr>
            <w:tcW w:w="0" w:type="auto"/>
            <w:shd w:val="clear" w:color="auto" w:fill="CCEEFF"/>
            <w:tcMar>
              <w:top w:w="40" w:type="dxa"/>
              <w:left w:w="0" w:type="dxa"/>
              <w:bottom w:w="40" w:type="dxa"/>
              <w:right w:w="20" w:type="dxa"/>
            </w:tcMar>
            <w:vAlign w:val="bottom"/>
          </w:tcPr>
          <w:p w14:paraId="392BE5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5A1" w14:textId="77777777" w:rsidR="00980E5F" w:rsidRDefault="00483613">
            <w:pPr>
              <w:jc w:val="right"/>
              <w:textAlignment w:val="bottom"/>
            </w:pPr>
            <w:r>
              <w:rPr>
                <w:rFonts w:ascii="Arial" w:eastAsia="宋体" w:hAnsi="Arial" w:cs="Arial"/>
                <w:color w:val="000000"/>
                <w:sz w:val="12"/>
                <w:szCs w:val="12"/>
              </w:rPr>
              <w:t>53 </w:t>
            </w:r>
          </w:p>
        </w:tc>
        <w:tc>
          <w:tcPr>
            <w:tcW w:w="0" w:type="auto"/>
            <w:shd w:val="clear" w:color="auto" w:fill="CCEEFF"/>
            <w:tcMar>
              <w:top w:w="40" w:type="dxa"/>
              <w:left w:w="0" w:type="dxa"/>
              <w:bottom w:w="40" w:type="dxa"/>
              <w:right w:w="20" w:type="dxa"/>
            </w:tcMar>
            <w:vAlign w:val="bottom"/>
          </w:tcPr>
          <w:p w14:paraId="392BE5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A3"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5A4" w14:textId="77777777" w:rsidR="00980E5F" w:rsidRDefault="00483613">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392BE5A5" w14:textId="77777777" w:rsidR="00980E5F" w:rsidRDefault="00980E5F">
            <w:pPr>
              <w:rPr>
                <w:rFonts w:ascii="宋体"/>
                <w:vanish/>
              </w:rPr>
            </w:pPr>
          </w:p>
        </w:tc>
        <w:tc>
          <w:tcPr>
            <w:tcW w:w="0" w:type="auto"/>
            <w:gridSpan w:val="3"/>
            <w:shd w:val="clear" w:color="auto" w:fill="auto"/>
            <w:vAlign w:val="bottom"/>
          </w:tcPr>
          <w:p w14:paraId="392BE5A6" w14:textId="77777777" w:rsidR="00980E5F" w:rsidRDefault="00980E5F">
            <w:pPr>
              <w:rPr>
                <w:rFonts w:ascii="宋体"/>
                <w:vanish/>
              </w:rPr>
            </w:pPr>
          </w:p>
        </w:tc>
        <w:tc>
          <w:tcPr>
            <w:tcW w:w="0" w:type="auto"/>
            <w:gridSpan w:val="3"/>
            <w:shd w:val="clear" w:color="auto" w:fill="auto"/>
            <w:vAlign w:val="bottom"/>
          </w:tcPr>
          <w:p w14:paraId="392BE5A7" w14:textId="77777777" w:rsidR="00980E5F" w:rsidRDefault="00980E5F">
            <w:pPr>
              <w:rPr>
                <w:rFonts w:ascii="宋体"/>
                <w:vanish/>
              </w:rPr>
            </w:pPr>
          </w:p>
        </w:tc>
        <w:tc>
          <w:tcPr>
            <w:tcW w:w="0" w:type="auto"/>
            <w:gridSpan w:val="3"/>
            <w:shd w:val="clear" w:color="auto" w:fill="auto"/>
            <w:vAlign w:val="bottom"/>
          </w:tcPr>
          <w:p w14:paraId="392BE5A8" w14:textId="77777777" w:rsidR="00980E5F" w:rsidRDefault="00980E5F">
            <w:pPr>
              <w:rPr>
                <w:rFonts w:ascii="宋体"/>
                <w:vanish/>
              </w:rPr>
            </w:pPr>
          </w:p>
        </w:tc>
        <w:tc>
          <w:tcPr>
            <w:tcW w:w="0" w:type="auto"/>
            <w:gridSpan w:val="3"/>
            <w:shd w:val="clear" w:color="auto" w:fill="auto"/>
            <w:vAlign w:val="bottom"/>
          </w:tcPr>
          <w:p w14:paraId="392BE5A9" w14:textId="77777777" w:rsidR="00980E5F" w:rsidRDefault="00980E5F">
            <w:pPr>
              <w:rPr>
                <w:rFonts w:ascii="宋体"/>
                <w:vanish/>
              </w:rPr>
            </w:pPr>
          </w:p>
        </w:tc>
      </w:tr>
      <w:tr w:rsidR="00980E5F" w14:paraId="392BE5B9" w14:textId="77777777">
        <w:tc>
          <w:tcPr>
            <w:tcW w:w="0" w:type="auto"/>
            <w:gridSpan w:val="3"/>
            <w:shd w:val="clear" w:color="auto" w:fill="FFFFFF"/>
            <w:tcMar>
              <w:top w:w="40" w:type="dxa"/>
              <w:left w:w="20" w:type="dxa"/>
              <w:bottom w:w="40" w:type="dxa"/>
              <w:right w:w="20" w:type="dxa"/>
            </w:tcMar>
            <w:vAlign w:val="bottom"/>
          </w:tcPr>
          <w:p w14:paraId="392BE5AB" w14:textId="77777777" w:rsidR="00980E5F" w:rsidRDefault="00483613">
            <w:pPr>
              <w:textAlignment w:val="bottom"/>
            </w:pPr>
            <w:r>
              <w:rPr>
                <w:rFonts w:ascii="Arial" w:eastAsia="宋体" w:hAnsi="Arial" w:cs="Arial"/>
                <w:color w:val="000000"/>
                <w:sz w:val="12"/>
                <w:szCs w:val="12"/>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E5AC" w14:textId="77777777" w:rsidR="00980E5F" w:rsidRDefault="00483613">
            <w:pPr>
              <w:jc w:val="right"/>
              <w:textAlignment w:val="bottom"/>
            </w:pPr>
            <w:r>
              <w:rPr>
                <w:rFonts w:ascii="Arial" w:eastAsia="宋体" w:hAnsi="Arial" w:cs="Arial"/>
                <w:b/>
                <w:bCs/>
                <w:color w:val="000000"/>
                <w:sz w:val="12"/>
                <w:szCs w:val="12"/>
              </w:rPr>
              <w:t>2,953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5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A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E5AF" w14:textId="77777777" w:rsidR="00980E5F" w:rsidRDefault="00483613">
            <w:pPr>
              <w:jc w:val="right"/>
              <w:textAlignment w:val="bottom"/>
            </w:pPr>
            <w:r>
              <w:rPr>
                <w:rFonts w:ascii="Arial" w:eastAsia="宋体" w:hAnsi="Arial" w:cs="Arial"/>
                <w:color w:val="000000"/>
                <w:sz w:val="12"/>
                <w:szCs w:val="12"/>
              </w:rPr>
              <w:t>3,034 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5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B2" w14:textId="77777777" w:rsidR="00980E5F" w:rsidRDefault="00483613">
            <w:pPr>
              <w:jc w:val="right"/>
              <w:textAlignment w:val="bottom"/>
            </w:pPr>
            <w:r>
              <w:rPr>
                <w:rFonts w:ascii="Arial" w:eastAsia="宋体" w:hAnsi="Arial" w:cs="Arial"/>
                <w:color w:val="000000"/>
                <w:sz w:val="12"/>
                <w:szCs w:val="12"/>
              </w:rPr>
              <w:t>(3)</w:t>
            </w:r>
          </w:p>
        </w:tc>
        <w:tc>
          <w:tcPr>
            <w:tcW w:w="0" w:type="auto"/>
            <w:shd w:val="clear" w:color="auto" w:fill="FFFFFF"/>
            <w:tcMar>
              <w:top w:w="40" w:type="dxa"/>
              <w:left w:w="0" w:type="dxa"/>
              <w:bottom w:w="40" w:type="dxa"/>
              <w:right w:w="20" w:type="dxa"/>
            </w:tcMar>
            <w:vAlign w:val="bottom"/>
          </w:tcPr>
          <w:p w14:paraId="392BE5B3" w14:textId="77777777" w:rsidR="00980E5F" w:rsidRDefault="00980E5F">
            <w:pPr>
              <w:jc w:val="right"/>
              <w:rPr>
                <w:rFonts w:ascii="宋体"/>
              </w:rPr>
            </w:pPr>
          </w:p>
        </w:tc>
        <w:tc>
          <w:tcPr>
            <w:tcW w:w="0" w:type="auto"/>
            <w:gridSpan w:val="3"/>
            <w:shd w:val="clear" w:color="auto" w:fill="auto"/>
            <w:vAlign w:val="bottom"/>
          </w:tcPr>
          <w:p w14:paraId="392BE5B4" w14:textId="77777777" w:rsidR="00980E5F" w:rsidRDefault="00980E5F">
            <w:pPr>
              <w:rPr>
                <w:rFonts w:ascii="宋体"/>
                <w:vanish/>
              </w:rPr>
            </w:pPr>
          </w:p>
        </w:tc>
        <w:tc>
          <w:tcPr>
            <w:tcW w:w="0" w:type="auto"/>
            <w:gridSpan w:val="3"/>
            <w:shd w:val="clear" w:color="auto" w:fill="auto"/>
            <w:vAlign w:val="bottom"/>
          </w:tcPr>
          <w:p w14:paraId="392BE5B5" w14:textId="77777777" w:rsidR="00980E5F" w:rsidRDefault="00980E5F">
            <w:pPr>
              <w:rPr>
                <w:rFonts w:ascii="宋体"/>
                <w:vanish/>
              </w:rPr>
            </w:pPr>
          </w:p>
        </w:tc>
        <w:tc>
          <w:tcPr>
            <w:tcW w:w="0" w:type="auto"/>
            <w:gridSpan w:val="3"/>
            <w:shd w:val="clear" w:color="auto" w:fill="auto"/>
            <w:vAlign w:val="bottom"/>
          </w:tcPr>
          <w:p w14:paraId="392BE5B6" w14:textId="77777777" w:rsidR="00980E5F" w:rsidRDefault="00980E5F">
            <w:pPr>
              <w:rPr>
                <w:rFonts w:ascii="宋体"/>
                <w:vanish/>
              </w:rPr>
            </w:pPr>
          </w:p>
        </w:tc>
        <w:tc>
          <w:tcPr>
            <w:tcW w:w="0" w:type="auto"/>
            <w:gridSpan w:val="3"/>
            <w:shd w:val="clear" w:color="auto" w:fill="auto"/>
            <w:vAlign w:val="bottom"/>
          </w:tcPr>
          <w:p w14:paraId="392BE5B7" w14:textId="77777777" w:rsidR="00980E5F" w:rsidRDefault="00980E5F">
            <w:pPr>
              <w:rPr>
                <w:rFonts w:ascii="宋体"/>
                <w:vanish/>
              </w:rPr>
            </w:pPr>
          </w:p>
        </w:tc>
        <w:tc>
          <w:tcPr>
            <w:tcW w:w="0" w:type="auto"/>
            <w:gridSpan w:val="3"/>
            <w:shd w:val="clear" w:color="auto" w:fill="auto"/>
            <w:vAlign w:val="bottom"/>
          </w:tcPr>
          <w:p w14:paraId="392BE5B8" w14:textId="77777777" w:rsidR="00980E5F" w:rsidRDefault="00980E5F">
            <w:pPr>
              <w:rPr>
                <w:rFonts w:ascii="宋体"/>
                <w:vanish/>
              </w:rPr>
            </w:pPr>
          </w:p>
        </w:tc>
      </w:tr>
      <w:tr w:rsidR="00980E5F" w14:paraId="392BE5C7" w14:textId="77777777">
        <w:tc>
          <w:tcPr>
            <w:tcW w:w="0" w:type="auto"/>
            <w:gridSpan w:val="3"/>
            <w:shd w:val="clear" w:color="auto" w:fill="CCEEFF"/>
            <w:tcMar>
              <w:top w:w="40" w:type="dxa"/>
              <w:left w:w="20" w:type="dxa"/>
              <w:bottom w:w="40" w:type="dxa"/>
              <w:right w:w="20" w:type="dxa"/>
            </w:tcMar>
            <w:vAlign w:val="bottom"/>
          </w:tcPr>
          <w:p w14:paraId="392BE5BA" w14:textId="77777777" w:rsidR="00980E5F" w:rsidRDefault="00483613">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392BE5BB" w14:textId="77777777" w:rsidR="00980E5F" w:rsidRDefault="00483613">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5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5BE" w14:textId="77777777" w:rsidR="00980E5F" w:rsidRDefault="00483613">
            <w:pPr>
              <w:jc w:val="right"/>
              <w:textAlignment w:val="bottom"/>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bottom"/>
          </w:tcPr>
          <w:p w14:paraId="392BE5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C0"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5C1" w14:textId="77777777" w:rsidR="00980E5F" w:rsidRDefault="00483613">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392BE5C2" w14:textId="77777777" w:rsidR="00980E5F" w:rsidRDefault="00980E5F">
            <w:pPr>
              <w:rPr>
                <w:rFonts w:ascii="宋体"/>
                <w:vanish/>
              </w:rPr>
            </w:pPr>
          </w:p>
        </w:tc>
        <w:tc>
          <w:tcPr>
            <w:tcW w:w="0" w:type="auto"/>
            <w:gridSpan w:val="3"/>
            <w:shd w:val="clear" w:color="auto" w:fill="auto"/>
            <w:vAlign w:val="bottom"/>
          </w:tcPr>
          <w:p w14:paraId="392BE5C3" w14:textId="77777777" w:rsidR="00980E5F" w:rsidRDefault="00980E5F">
            <w:pPr>
              <w:rPr>
                <w:rFonts w:ascii="宋体"/>
                <w:vanish/>
              </w:rPr>
            </w:pPr>
          </w:p>
        </w:tc>
        <w:tc>
          <w:tcPr>
            <w:tcW w:w="0" w:type="auto"/>
            <w:gridSpan w:val="3"/>
            <w:shd w:val="clear" w:color="auto" w:fill="auto"/>
            <w:vAlign w:val="bottom"/>
          </w:tcPr>
          <w:p w14:paraId="392BE5C4" w14:textId="77777777" w:rsidR="00980E5F" w:rsidRDefault="00980E5F">
            <w:pPr>
              <w:rPr>
                <w:rFonts w:ascii="宋体"/>
                <w:vanish/>
              </w:rPr>
            </w:pPr>
          </w:p>
        </w:tc>
        <w:tc>
          <w:tcPr>
            <w:tcW w:w="0" w:type="auto"/>
            <w:gridSpan w:val="3"/>
            <w:shd w:val="clear" w:color="auto" w:fill="auto"/>
            <w:vAlign w:val="bottom"/>
          </w:tcPr>
          <w:p w14:paraId="392BE5C5" w14:textId="77777777" w:rsidR="00980E5F" w:rsidRDefault="00980E5F">
            <w:pPr>
              <w:rPr>
                <w:rFonts w:ascii="宋体"/>
                <w:vanish/>
              </w:rPr>
            </w:pPr>
          </w:p>
        </w:tc>
        <w:tc>
          <w:tcPr>
            <w:tcW w:w="0" w:type="auto"/>
            <w:gridSpan w:val="3"/>
            <w:shd w:val="clear" w:color="auto" w:fill="auto"/>
            <w:vAlign w:val="bottom"/>
          </w:tcPr>
          <w:p w14:paraId="392BE5C6" w14:textId="77777777" w:rsidR="00980E5F" w:rsidRDefault="00980E5F">
            <w:pPr>
              <w:rPr>
                <w:rFonts w:ascii="宋体"/>
                <w:vanish/>
              </w:rPr>
            </w:pPr>
          </w:p>
        </w:tc>
      </w:tr>
      <w:tr w:rsidR="00980E5F" w14:paraId="392BE5D6" w14:textId="77777777">
        <w:tc>
          <w:tcPr>
            <w:tcW w:w="0" w:type="auto"/>
            <w:gridSpan w:val="3"/>
            <w:shd w:val="clear" w:color="auto" w:fill="FFFFFF"/>
            <w:tcMar>
              <w:top w:w="40" w:type="dxa"/>
              <w:left w:w="20" w:type="dxa"/>
              <w:bottom w:w="40" w:type="dxa"/>
              <w:right w:w="20" w:type="dxa"/>
            </w:tcMar>
            <w:vAlign w:val="bottom"/>
          </w:tcPr>
          <w:p w14:paraId="392BE5C8" w14:textId="77777777" w:rsidR="00980E5F" w:rsidRDefault="00483613">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392BE5C9" w14:textId="77777777" w:rsidR="00980E5F" w:rsidRDefault="00483613">
            <w:pPr>
              <w:jc w:val="right"/>
              <w:textAlignment w:val="bottom"/>
            </w:pPr>
            <w:r>
              <w:rPr>
                <w:rFonts w:ascii="Arial" w:eastAsia="宋体" w:hAnsi="Arial" w:cs="Arial"/>
                <w:b/>
                <w:bCs/>
                <w:color w:val="000000"/>
                <w:sz w:val="12"/>
                <w:szCs w:val="12"/>
              </w:rPr>
              <w:t>2,108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5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CC" w14:textId="77777777" w:rsidR="00980E5F" w:rsidRDefault="00483613">
            <w:pPr>
              <w:jc w:val="right"/>
              <w:textAlignment w:val="bottom"/>
            </w:pPr>
            <w:r>
              <w:rPr>
                <w:rFonts w:ascii="Arial" w:eastAsia="宋体" w:hAnsi="Arial" w:cs="Arial"/>
                <w:color w:val="000000"/>
                <w:sz w:val="12"/>
                <w:szCs w:val="12"/>
              </w:rPr>
              <w:t>2,111 </w:t>
            </w:r>
          </w:p>
        </w:tc>
        <w:tc>
          <w:tcPr>
            <w:tcW w:w="0" w:type="auto"/>
            <w:shd w:val="clear" w:color="auto" w:fill="FFFFFF"/>
            <w:tcMar>
              <w:top w:w="40" w:type="dxa"/>
              <w:left w:w="0" w:type="dxa"/>
              <w:bottom w:w="40" w:type="dxa"/>
              <w:right w:w="20" w:type="dxa"/>
            </w:tcMar>
            <w:vAlign w:val="bottom"/>
          </w:tcPr>
          <w:p w14:paraId="392BE5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C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CF"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5D0" w14:textId="77777777" w:rsidR="00980E5F" w:rsidRDefault="00980E5F">
            <w:pPr>
              <w:jc w:val="right"/>
              <w:rPr>
                <w:rFonts w:ascii="宋体"/>
              </w:rPr>
            </w:pPr>
          </w:p>
        </w:tc>
        <w:tc>
          <w:tcPr>
            <w:tcW w:w="0" w:type="auto"/>
            <w:gridSpan w:val="3"/>
            <w:shd w:val="clear" w:color="auto" w:fill="auto"/>
            <w:vAlign w:val="bottom"/>
          </w:tcPr>
          <w:p w14:paraId="392BE5D1" w14:textId="77777777" w:rsidR="00980E5F" w:rsidRDefault="00980E5F">
            <w:pPr>
              <w:rPr>
                <w:rFonts w:ascii="宋体"/>
                <w:vanish/>
              </w:rPr>
            </w:pPr>
          </w:p>
        </w:tc>
        <w:tc>
          <w:tcPr>
            <w:tcW w:w="0" w:type="auto"/>
            <w:gridSpan w:val="3"/>
            <w:shd w:val="clear" w:color="auto" w:fill="auto"/>
            <w:vAlign w:val="bottom"/>
          </w:tcPr>
          <w:p w14:paraId="392BE5D2" w14:textId="77777777" w:rsidR="00980E5F" w:rsidRDefault="00980E5F">
            <w:pPr>
              <w:rPr>
                <w:rFonts w:ascii="宋体"/>
                <w:vanish/>
              </w:rPr>
            </w:pPr>
          </w:p>
        </w:tc>
        <w:tc>
          <w:tcPr>
            <w:tcW w:w="0" w:type="auto"/>
            <w:gridSpan w:val="3"/>
            <w:shd w:val="clear" w:color="auto" w:fill="auto"/>
            <w:vAlign w:val="bottom"/>
          </w:tcPr>
          <w:p w14:paraId="392BE5D3" w14:textId="77777777" w:rsidR="00980E5F" w:rsidRDefault="00980E5F">
            <w:pPr>
              <w:rPr>
                <w:rFonts w:ascii="宋体"/>
                <w:vanish/>
              </w:rPr>
            </w:pPr>
          </w:p>
        </w:tc>
        <w:tc>
          <w:tcPr>
            <w:tcW w:w="0" w:type="auto"/>
            <w:gridSpan w:val="3"/>
            <w:shd w:val="clear" w:color="auto" w:fill="auto"/>
            <w:vAlign w:val="bottom"/>
          </w:tcPr>
          <w:p w14:paraId="392BE5D4" w14:textId="77777777" w:rsidR="00980E5F" w:rsidRDefault="00980E5F">
            <w:pPr>
              <w:rPr>
                <w:rFonts w:ascii="宋体"/>
                <w:vanish/>
              </w:rPr>
            </w:pPr>
          </w:p>
        </w:tc>
        <w:tc>
          <w:tcPr>
            <w:tcW w:w="0" w:type="auto"/>
            <w:gridSpan w:val="3"/>
            <w:shd w:val="clear" w:color="auto" w:fill="auto"/>
            <w:vAlign w:val="bottom"/>
          </w:tcPr>
          <w:p w14:paraId="392BE5D5" w14:textId="77777777" w:rsidR="00980E5F" w:rsidRDefault="00980E5F">
            <w:pPr>
              <w:rPr>
                <w:rFonts w:ascii="宋体"/>
                <w:vanish/>
              </w:rPr>
            </w:pPr>
          </w:p>
        </w:tc>
      </w:tr>
      <w:tr w:rsidR="00980E5F" w14:paraId="392BE5E5" w14:textId="77777777">
        <w:tc>
          <w:tcPr>
            <w:tcW w:w="0" w:type="auto"/>
            <w:gridSpan w:val="3"/>
            <w:shd w:val="clear" w:color="auto" w:fill="CCEEFF"/>
            <w:tcMar>
              <w:top w:w="40" w:type="dxa"/>
              <w:left w:w="20" w:type="dxa"/>
              <w:bottom w:w="40" w:type="dxa"/>
              <w:right w:w="20" w:type="dxa"/>
            </w:tcMar>
            <w:vAlign w:val="bottom"/>
          </w:tcPr>
          <w:p w14:paraId="392BE5D7" w14:textId="77777777" w:rsidR="00980E5F" w:rsidRDefault="00483613">
            <w:pPr>
              <w:textAlignment w:val="bottom"/>
            </w:pPr>
            <w:r>
              <w:rPr>
                <w:rFonts w:ascii="Arial" w:eastAsia="宋体" w:hAnsi="Arial" w:cs="Arial"/>
                <w:color w:val="000000"/>
                <w:sz w:val="12"/>
                <w:szCs w:val="12"/>
              </w:rPr>
              <w:t>Income befo</w:t>
            </w:r>
            <w:r>
              <w:rPr>
                <w:rFonts w:ascii="Arial" w:eastAsia="宋体" w:hAnsi="Arial" w:cs="Arial"/>
                <w:color w:val="000000"/>
                <w:sz w:val="12"/>
                <w:szCs w:val="12"/>
              </w:rPr>
              <w:t>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5D8" w14:textId="77777777" w:rsidR="00980E5F" w:rsidRDefault="00483613">
            <w:pPr>
              <w:jc w:val="right"/>
              <w:textAlignment w:val="bottom"/>
            </w:pPr>
            <w:r>
              <w:rPr>
                <w:rFonts w:ascii="Arial" w:eastAsia="宋体" w:hAnsi="Arial" w:cs="Arial"/>
                <w:b/>
                <w:bCs/>
                <w:color w:val="000000"/>
                <w:sz w:val="12"/>
                <w:szCs w:val="12"/>
              </w:rPr>
              <w:t>835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5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D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5DB" w14:textId="77777777" w:rsidR="00980E5F" w:rsidRDefault="00483613">
            <w:pPr>
              <w:jc w:val="right"/>
              <w:textAlignment w:val="bottom"/>
            </w:pPr>
            <w:r>
              <w:rPr>
                <w:rFonts w:ascii="Arial" w:eastAsia="宋体" w:hAnsi="Arial" w:cs="Arial"/>
                <w:color w:val="000000"/>
                <w:sz w:val="12"/>
                <w:szCs w:val="12"/>
              </w:rPr>
              <w:t>938 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5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5D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5DE" w14:textId="77777777" w:rsidR="00980E5F" w:rsidRDefault="00483613">
            <w:pPr>
              <w:jc w:val="right"/>
              <w:textAlignment w:val="bottom"/>
            </w:pPr>
            <w:r>
              <w:rPr>
                <w:rFonts w:ascii="Arial" w:eastAsia="宋体" w:hAnsi="Arial" w:cs="Arial"/>
                <w:color w:val="000000"/>
                <w:sz w:val="12"/>
                <w:szCs w:val="12"/>
              </w:rPr>
              <w:t>(11)</w:t>
            </w:r>
          </w:p>
        </w:tc>
        <w:tc>
          <w:tcPr>
            <w:tcW w:w="0" w:type="auto"/>
            <w:shd w:val="clear" w:color="auto" w:fill="CCEEFF"/>
            <w:tcMar>
              <w:top w:w="40" w:type="dxa"/>
              <w:left w:w="0" w:type="dxa"/>
              <w:bottom w:w="40" w:type="dxa"/>
              <w:right w:w="20" w:type="dxa"/>
            </w:tcMar>
            <w:vAlign w:val="bottom"/>
          </w:tcPr>
          <w:p w14:paraId="392BE5DF" w14:textId="77777777" w:rsidR="00980E5F" w:rsidRDefault="00980E5F">
            <w:pPr>
              <w:jc w:val="right"/>
              <w:rPr>
                <w:rFonts w:ascii="宋体"/>
              </w:rPr>
            </w:pPr>
          </w:p>
        </w:tc>
        <w:tc>
          <w:tcPr>
            <w:tcW w:w="0" w:type="auto"/>
            <w:gridSpan w:val="3"/>
            <w:shd w:val="clear" w:color="auto" w:fill="auto"/>
            <w:vAlign w:val="bottom"/>
          </w:tcPr>
          <w:p w14:paraId="392BE5E0" w14:textId="77777777" w:rsidR="00980E5F" w:rsidRDefault="00980E5F">
            <w:pPr>
              <w:rPr>
                <w:rFonts w:ascii="宋体"/>
                <w:vanish/>
              </w:rPr>
            </w:pPr>
          </w:p>
        </w:tc>
        <w:tc>
          <w:tcPr>
            <w:tcW w:w="0" w:type="auto"/>
            <w:gridSpan w:val="3"/>
            <w:shd w:val="clear" w:color="auto" w:fill="auto"/>
            <w:vAlign w:val="bottom"/>
          </w:tcPr>
          <w:p w14:paraId="392BE5E1" w14:textId="77777777" w:rsidR="00980E5F" w:rsidRDefault="00980E5F">
            <w:pPr>
              <w:rPr>
                <w:rFonts w:ascii="宋体"/>
                <w:vanish/>
              </w:rPr>
            </w:pPr>
          </w:p>
        </w:tc>
        <w:tc>
          <w:tcPr>
            <w:tcW w:w="0" w:type="auto"/>
            <w:gridSpan w:val="3"/>
            <w:shd w:val="clear" w:color="auto" w:fill="auto"/>
            <w:vAlign w:val="bottom"/>
          </w:tcPr>
          <w:p w14:paraId="392BE5E2" w14:textId="77777777" w:rsidR="00980E5F" w:rsidRDefault="00980E5F">
            <w:pPr>
              <w:rPr>
                <w:rFonts w:ascii="宋体"/>
                <w:vanish/>
              </w:rPr>
            </w:pPr>
          </w:p>
        </w:tc>
        <w:tc>
          <w:tcPr>
            <w:tcW w:w="0" w:type="auto"/>
            <w:gridSpan w:val="3"/>
            <w:shd w:val="clear" w:color="auto" w:fill="auto"/>
            <w:vAlign w:val="bottom"/>
          </w:tcPr>
          <w:p w14:paraId="392BE5E3" w14:textId="77777777" w:rsidR="00980E5F" w:rsidRDefault="00980E5F">
            <w:pPr>
              <w:rPr>
                <w:rFonts w:ascii="宋体"/>
                <w:vanish/>
              </w:rPr>
            </w:pPr>
          </w:p>
        </w:tc>
        <w:tc>
          <w:tcPr>
            <w:tcW w:w="0" w:type="auto"/>
            <w:gridSpan w:val="3"/>
            <w:shd w:val="clear" w:color="auto" w:fill="auto"/>
            <w:vAlign w:val="bottom"/>
          </w:tcPr>
          <w:p w14:paraId="392BE5E4" w14:textId="77777777" w:rsidR="00980E5F" w:rsidRDefault="00980E5F">
            <w:pPr>
              <w:rPr>
                <w:rFonts w:ascii="宋体"/>
                <w:vanish/>
              </w:rPr>
            </w:pPr>
          </w:p>
        </w:tc>
      </w:tr>
      <w:tr w:rsidR="00980E5F" w14:paraId="392BE5F4" w14:textId="77777777">
        <w:tc>
          <w:tcPr>
            <w:tcW w:w="0" w:type="auto"/>
            <w:gridSpan w:val="3"/>
            <w:shd w:val="clear" w:color="auto" w:fill="FFFFFF"/>
            <w:tcMar>
              <w:top w:w="40" w:type="dxa"/>
              <w:left w:w="20" w:type="dxa"/>
              <w:bottom w:w="40" w:type="dxa"/>
              <w:right w:w="20" w:type="dxa"/>
            </w:tcMar>
            <w:vAlign w:val="bottom"/>
          </w:tcPr>
          <w:p w14:paraId="392BE5E6" w14:textId="77777777" w:rsidR="00980E5F" w:rsidRDefault="00483613">
            <w:pPr>
              <w:textAlignment w:val="bottom"/>
            </w:pPr>
            <w:r>
              <w:rPr>
                <w:rFonts w:ascii="Arial" w:eastAsia="宋体" w:hAnsi="Arial" w:cs="Arial"/>
                <w:color w:val="000000"/>
                <w:sz w:val="12"/>
                <w:szCs w:val="12"/>
              </w:rPr>
              <w:t xml:space="preserve">Income tax expense </w:t>
            </w:r>
          </w:p>
        </w:tc>
        <w:tc>
          <w:tcPr>
            <w:tcW w:w="0" w:type="auto"/>
            <w:gridSpan w:val="2"/>
            <w:shd w:val="clear" w:color="auto" w:fill="FFFFFF"/>
            <w:tcMar>
              <w:top w:w="40" w:type="dxa"/>
              <w:left w:w="20" w:type="dxa"/>
              <w:bottom w:w="40" w:type="dxa"/>
              <w:right w:w="0" w:type="dxa"/>
            </w:tcMar>
            <w:vAlign w:val="bottom"/>
          </w:tcPr>
          <w:p w14:paraId="392BE5E7" w14:textId="77777777" w:rsidR="00980E5F" w:rsidRDefault="00483613">
            <w:pPr>
              <w:jc w:val="right"/>
              <w:textAlignment w:val="bottom"/>
            </w:pPr>
            <w:r>
              <w:rPr>
                <w:rFonts w:ascii="Arial" w:eastAsia="宋体" w:hAnsi="Arial" w:cs="Arial"/>
                <w:b/>
                <w:bCs/>
                <w:color w:val="000000"/>
                <w:sz w:val="12"/>
                <w:szCs w:val="12"/>
              </w:rPr>
              <w:t>88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5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EA" w14:textId="77777777" w:rsidR="00980E5F" w:rsidRDefault="00483613">
            <w:pPr>
              <w:jc w:val="right"/>
              <w:textAlignment w:val="bottom"/>
            </w:pPr>
            <w:r>
              <w:rPr>
                <w:rFonts w:ascii="Arial" w:eastAsia="宋体" w:hAnsi="Arial" w:cs="Arial"/>
                <w:color w:val="000000"/>
                <w:sz w:val="12"/>
                <w:szCs w:val="12"/>
              </w:rPr>
              <w:t>175 </w:t>
            </w:r>
          </w:p>
        </w:tc>
        <w:tc>
          <w:tcPr>
            <w:tcW w:w="0" w:type="auto"/>
            <w:shd w:val="clear" w:color="auto" w:fill="FFFFFF"/>
            <w:tcMar>
              <w:top w:w="40" w:type="dxa"/>
              <w:left w:w="0" w:type="dxa"/>
              <w:bottom w:w="40" w:type="dxa"/>
              <w:right w:w="20" w:type="dxa"/>
            </w:tcMar>
            <w:vAlign w:val="bottom"/>
          </w:tcPr>
          <w:p w14:paraId="392BE5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5E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5ED" w14:textId="77777777" w:rsidR="00980E5F" w:rsidRDefault="00483613">
            <w:pPr>
              <w:jc w:val="right"/>
              <w:textAlignment w:val="bottom"/>
            </w:pPr>
            <w:r>
              <w:rPr>
                <w:rFonts w:ascii="Arial" w:eastAsia="宋体" w:hAnsi="Arial" w:cs="Arial"/>
                <w:color w:val="000000"/>
                <w:sz w:val="12"/>
                <w:szCs w:val="12"/>
              </w:rPr>
              <w:t>(50)</w:t>
            </w:r>
          </w:p>
        </w:tc>
        <w:tc>
          <w:tcPr>
            <w:tcW w:w="0" w:type="auto"/>
            <w:shd w:val="clear" w:color="auto" w:fill="FFFFFF"/>
            <w:tcMar>
              <w:top w:w="40" w:type="dxa"/>
              <w:left w:w="0" w:type="dxa"/>
              <w:bottom w:w="40" w:type="dxa"/>
              <w:right w:w="20" w:type="dxa"/>
            </w:tcMar>
            <w:vAlign w:val="bottom"/>
          </w:tcPr>
          <w:p w14:paraId="392BE5EE" w14:textId="77777777" w:rsidR="00980E5F" w:rsidRDefault="00980E5F">
            <w:pPr>
              <w:jc w:val="right"/>
              <w:rPr>
                <w:rFonts w:ascii="宋体"/>
              </w:rPr>
            </w:pPr>
          </w:p>
        </w:tc>
        <w:tc>
          <w:tcPr>
            <w:tcW w:w="0" w:type="auto"/>
            <w:gridSpan w:val="3"/>
            <w:shd w:val="clear" w:color="auto" w:fill="auto"/>
            <w:vAlign w:val="bottom"/>
          </w:tcPr>
          <w:p w14:paraId="392BE5EF" w14:textId="77777777" w:rsidR="00980E5F" w:rsidRDefault="00980E5F">
            <w:pPr>
              <w:rPr>
                <w:rFonts w:ascii="宋体"/>
                <w:vanish/>
              </w:rPr>
            </w:pPr>
          </w:p>
        </w:tc>
        <w:tc>
          <w:tcPr>
            <w:tcW w:w="0" w:type="auto"/>
            <w:gridSpan w:val="3"/>
            <w:shd w:val="clear" w:color="auto" w:fill="auto"/>
            <w:vAlign w:val="bottom"/>
          </w:tcPr>
          <w:p w14:paraId="392BE5F0" w14:textId="77777777" w:rsidR="00980E5F" w:rsidRDefault="00980E5F">
            <w:pPr>
              <w:rPr>
                <w:rFonts w:ascii="宋体"/>
                <w:vanish/>
              </w:rPr>
            </w:pPr>
          </w:p>
        </w:tc>
        <w:tc>
          <w:tcPr>
            <w:tcW w:w="0" w:type="auto"/>
            <w:gridSpan w:val="3"/>
            <w:shd w:val="clear" w:color="auto" w:fill="auto"/>
            <w:vAlign w:val="bottom"/>
          </w:tcPr>
          <w:p w14:paraId="392BE5F1" w14:textId="77777777" w:rsidR="00980E5F" w:rsidRDefault="00980E5F">
            <w:pPr>
              <w:rPr>
                <w:rFonts w:ascii="宋体"/>
                <w:vanish/>
              </w:rPr>
            </w:pPr>
          </w:p>
        </w:tc>
        <w:tc>
          <w:tcPr>
            <w:tcW w:w="0" w:type="auto"/>
            <w:gridSpan w:val="3"/>
            <w:shd w:val="clear" w:color="auto" w:fill="auto"/>
            <w:vAlign w:val="bottom"/>
          </w:tcPr>
          <w:p w14:paraId="392BE5F2" w14:textId="77777777" w:rsidR="00980E5F" w:rsidRDefault="00980E5F">
            <w:pPr>
              <w:rPr>
                <w:rFonts w:ascii="宋体"/>
                <w:vanish/>
              </w:rPr>
            </w:pPr>
          </w:p>
        </w:tc>
        <w:tc>
          <w:tcPr>
            <w:tcW w:w="0" w:type="auto"/>
            <w:gridSpan w:val="3"/>
            <w:shd w:val="clear" w:color="auto" w:fill="auto"/>
            <w:vAlign w:val="bottom"/>
          </w:tcPr>
          <w:p w14:paraId="392BE5F3" w14:textId="77777777" w:rsidR="00980E5F" w:rsidRDefault="00980E5F">
            <w:pPr>
              <w:rPr>
                <w:rFonts w:ascii="宋体"/>
                <w:vanish/>
              </w:rPr>
            </w:pPr>
          </w:p>
        </w:tc>
      </w:tr>
      <w:tr w:rsidR="00980E5F" w14:paraId="392BE600" w14:textId="77777777">
        <w:trPr>
          <w:hidden/>
        </w:trPr>
        <w:tc>
          <w:tcPr>
            <w:tcW w:w="0" w:type="auto"/>
            <w:gridSpan w:val="3"/>
            <w:shd w:val="clear" w:color="auto" w:fill="auto"/>
            <w:vAlign w:val="bottom"/>
          </w:tcPr>
          <w:p w14:paraId="392BE5F5" w14:textId="77777777" w:rsidR="00980E5F" w:rsidRDefault="00980E5F">
            <w:pPr>
              <w:rPr>
                <w:rFonts w:ascii="宋体"/>
                <w:vanish/>
              </w:rPr>
            </w:pPr>
          </w:p>
        </w:tc>
        <w:tc>
          <w:tcPr>
            <w:tcW w:w="0" w:type="auto"/>
            <w:gridSpan w:val="3"/>
            <w:shd w:val="clear" w:color="auto" w:fill="auto"/>
            <w:vAlign w:val="bottom"/>
          </w:tcPr>
          <w:p w14:paraId="392BE5F6" w14:textId="77777777" w:rsidR="00980E5F" w:rsidRDefault="00980E5F">
            <w:pPr>
              <w:rPr>
                <w:rFonts w:ascii="宋体"/>
                <w:vanish/>
              </w:rPr>
            </w:pPr>
          </w:p>
        </w:tc>
        <w:tc>
          <w:tcPr>
            <w:tcW w:w="0" w:type="auto"/>
            <w:gridSpan w:val="3"/>
            <w:shd w:val="clear" w:color="auto" w:fill="auto"/>
            <w:vAlign w:val="bottom"/>
          </w:tcPr>
          <w:p w14:paraId="392BE5F7" w14:textId="77777777" w:rsidR="00980E5F" w:rsidRDefault="00980E5F">
            <w:pPr>
              <w:rPr>
                <w:rFonts w:ascii="宋体"/>
                <w:vanish/>
              </w:rPr>
            </w:pPr>
          </w:p>
        </w:tc>
        <w:tc>
          <w:tcPr>
            <w:tcW w:w="0" w:type="auto"/>
            <w:gridSpan w:val="3"/>
            <w:shd w:val="clear" w:color="auto" w:fill="auto"/>
            <w:vAlign w:val="bottom"/>
          </w:tcPr>
          <w:p w14:paraId="392BE5F8" w14:textId="77777777" w:rsidR="00980E5F" w:rsidRDefault="00980E5F">
            <w:pPr>
              <w:rPr>
                <w:rFonts w:ascii="宋体"/>
                <w:vanish/>
              </w:rPr>
            </w:pPr>
          </w:p>
        </w:tc>
        <w:tc>
          <w:tcPr>
            <w:tcW w:w="0" w:type="auto"/>
            <w:gridSpan w:val="3"/>
            <w:shd w:val="clear" w:color="auto" w:fill="auto"/>
            <w:vAlign w:val="bottom"/>
          </w:tcPr>
          <w:p w14:paraId="392BE5F9" w14:textId="77777777" w:rsidR="00980E5F" w:rsidRDefault="00980E5F">
            <w:pPr>
              <w:rPr>
                <w:rFonts w:ascii="宋体"/>
                <w:vanish/>
              </w:rPr>
            </w:pPr>
          </w:p>
        </w:tc>
        <w:tc>
          <w:tcPr>
            <w:tcW w:w="0" w:type="auto"/>
            <w:gridSpan w:val="3"/>
            <w:shd w:val="clear" w:color="auto" w:fill="auto"/>
            <w:vAlign w:val="bottom"/>
          </w:tcPr>
          <w:p w14:paraId="392BE5FA" w14:textId="77777777" w:rsidR="00980E5F" w:rsidRDefault="00980E5F">
            <w:pPr>
              <w:rPr>
                <w:rFonts w:ascii="宋体"/>
                <w:vanish/>
              </w:rPr>
            </w:pPr>
          </w:p>
        </w:tc>
        <w:tc>
          <w:tcPr>
            <w:tcW w:w="0" w:type="auto"/>
            <w:gridSpan w:val="3"/>
            <w:shd w:val="clear" w:color="auto" w:fill="auto"/>
            <w:vAlign w:val="bottom"/>
          </w:tcPr>
          <w:p w14:paraId="392BE5FB" w14:textId="77777777" w:rsidR="00980E5F" w:rsidRDefault="00980E5F">
            <w:pPr>
              <w:rPr>
                <w:rFonts w:ascii="宋体"/>
                <w:vanish/>
              </w:rPr>
            </w:pPr>
          </w:p>
        </w:tc>
        <w:tc>
          <w:tcPr>
            <w:tcW w:w="0" w:type="auto"/>
            <w:gridSpan w:val="3"/>
            <w:shd w:val="clear" w:color="auto" w:fill="auto"/>
            <w:vAlign w:val="bottom"/>
          </w:tcPr>
          <w:p w14:paraId="392BE5FC" w14:textId="77777777" w:rsidR="00980E5F" w:rsidRDefault="00980E5F">
            <w:pPr>
              <w:rPr>
                <w:rFonts w:ascii="宋体"/>
                <w:vanish/>
              </w:rPr>
            </w:pPr>
          </w:p>
        </w:tc>
        <w:tc>
          <w:tcPr>
            <w:tcW w:w="0" w:type="auto"/>
            <w:gridSpan w:val="3"/>
            <w:shd w:val="clear" w:color="auto" w:fill="auto"/>
            <w:vAlign w:val="bottom"/>
          </w:tcPr>
          <w:p w14:paraId="392BE5FD" w14:textId="77777777" w:rsidR="00980E5F" w:rsidRDefault="00980E5F">
            <w:pPr>
              <w:rPr>
                <w:rFonts w:ascii="宋体"/>
                <w:vanish/>
              </w:rPr>
            </w:pPr>
          </w:p>
        </w:tc>
        <w:tc>
          <w:tcPr>
            <w:tcW w:w="0" w:type="auto"/>
            <w:gridSpan w:val="3"/>
            <w:shd w:val="clear" w:color="auto" w:fill="auto"/>
            <w:vAlign w:val="bottom"/>
          </w:tcPr>
          <w:p w14:paraId="392BE5FE" w14:textId="77777777" w:rsidR="00980E5F" w:rsidRDefault="00980E5F">
            <w:pPr>
              <w:rPr>
                <w:rFonts w:ascii="宋体"/>
                <w:vanish/>
              </w:rPr>
            </w:pPr>
          </w:p>
        </w:tc>
        <w:tc>
          <w:tcPr>
            <w:tcW w:w="0" w:type="auto"/>
            <w:gridSpan w:val="3"/>
            <w:shd w:val="clear" w:color="auto" w:fill="auto"/>
            <w:vAlign w:val="bottom"/>
          </w:tcPr>
          <w:p w14:paraId="392BE5FF" w14:textId="77777777" w:rsidR="00980E5F" w:rsidRDefault="00980E5F">
            <w:pPr>
              <w:rPr>
                <w:rFonts w:ascii="宋体"/>
                <w:vanish/>
              </w:rPr>
            </w:pPr>
          </w:p>
        </w:tc>
      </w:tr>
      <w:tr w:rsidR="00980E5F" w14:paraId="392BE611" w14:textId="77777777">
        <w:tc>
          <w:tcPr>
            <w:tcW w:w="0" w:type="auto"/>
            <w:gridSpan w:val="3"/>
            <w:shd w:val="clear" w:color="auto" w:fill="CCEEFF"/>
            <w:tcMar>
              <w:top w:w="40" w:type="dxa"/>
              <w:left w:w="20" w:type="dxa"/>
              <w:bottom w:w="40" w:type="dxa"/>
              <w:right w:w="20" w:type="dxa"/>
            </w:tcMar>
            <w:vAlign w:val="bottom"/>
          </w:tcPr>
          <w:p w14:paraId="392BE601" w14:textId="77777777" w:rsidR="00980E5F" w:rsidRDefault="00483613">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602"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03" w14:textId="77777777" w:rsidR="00980E5F" w:rsidRDefault="00483613">
            <w:pPr>
              <w:jc w:val="right"/>
              <w:textAlignment w:val="bottom"/>
            </w:pPr>
            <w:r>
              <w:rPr>
                <w:rFonts w:ascii="Arial" w:eastAsia="宋体" w:hAnsi="Arial" w:cs="Arial"/>
                <w:b/>
                <w:bCs/>
                <w:color w:val="000000"/>
                <w:sz w:val="12"/>
                <w:szCs w:val="12"/>
              </w:rPr>
              <w:t>747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0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606"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07" w14:textId="77777777" w:rsidR="00980E5F" w:rsidRDefault="00483613">
            <w:pPr>
              <w:jc w:val="right"/>
              <w:textAlignment w:val="bottom"/>
            </w:pPr>
            <w:r>
              <w:rPr>
                <w:rFonts w:ascii="Arial" w:eastAsia="宋体" w:hAnsi="Arial" w:cs="Arial"/>
                <w:color w:val="000000"/>
                <w:sz w:val="12"/>
                <w:szCs w:val="12"/>
              </w:rPr>
              <w:t>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0A" w14:textId="77777777" w:rsidR="00980E5F" w:rsidRDefault="00483613">
            <w:pPr>
              <w:jc w:val="right"/>
              <w:textAlignment w:val="bottom"/>
            </w:pPr>
            <w:r>
              <w:rPr>
                <w:rFonts w:ascii="Arial" w:eastAsia="宋体" w:hAnsi="Arial" w:cs="Arial"/>
                <w:color w:val="000000"/>
                <w:sz w:val="12"/>
                <w:szCs w:val="12"/>
              </w:rPr>
              <w:t>(2)</w:t>
            </w:r>
          </w:p>
        </w:tc>
        <w:tc>
          <w:tcPr>
            <w:tcW w:w="0" w:type="auto"/>
            <w:shd w:val="clear" w:color="auto" w:fill="CCEEFF"/>
            <w:tcMar>
              <w:top w:w="40" w:type="dxa"/>
              <w:left w:w="0" w:type="dxa"/>
              <w:bottom w:w="40" w:type="dxa"/>
              <w:right w:w="20" w:type="dxa"/>
            </w:tcMar>
            <w:vAlign w:val="bottom"/>
          </w:tcPr>
          <w:p w14:paraId="392BE60B" w14:textId="77777777" w:rsidR="00980E5F" w:rsidRDefault="00980E5F">
            <w:pPr>
              <w:jc w:val="right"/>
              <w:rPr>
                <w:rFonts w:ascii="宋体"/>
              </w:rPr>
            </w:pPr>
          </w:p>
        </w:tc>
        <w:tc>
          <w:tcPr>
            <w:tcW w:w="0" w:type="auto"/>
            <w:gridSpan w:val="3"/>
            <w:shd w:val="clear" w:color="auto" w:fill="auto"/>
            <w:vAlign w:val="bottom"/>
          </w:tcPr>
          <w:p w14:paraId="392BE60C" w14:textId="77777777" w:rsidR="00980E5F" w:rsidRDefault="00980E5F">
            <w:pPr>
              <w:rPr>
                <w:rFonts w:ascii="宋体"/>
                <w:vanish/>
              </w:rPr>
            </w:pPr>
          </w:p>
        </w:tc>
        <w:tc>
          <w:tcPr>
            <w:tcW w:w="0" w:type="auto"/>
            <w:gridSpan w:val="3"/>
            <w:shd w:val="clear" w:color="auto" w:fill="auto"/>
            <w:vAlign w:val="bottom"/>
          </w:tcPr>
          <w:p w14:paraId="392BE60D" w14:textId="77777777" w:rsidR="00980E5F" w:rsidRDefault="00980E5F">
            <w:pPr>
              <w:rPr>
                <w:rFonts w:ascii="宋体"/>
                <w:vanish/>
              </w:rPr>
            </w:pPr>
          </w:p>
        </w:tc>
        <w:tc>
          <w:tcPr>
            <w:tcW w:w="0" w:type="auto"/>
            <w:gridSpan w:val="3"/>
            <w:shd w:val="clear" w:color="auto" w:fill="auto"/>
            <w:vAlign w:val="bottom"/>
          </w:tcPr>
          <w:p w14:paraId="392BE60E" w14:textId="77777777" w:rsidR="00980E5F" w:rsidRDefault="00980E5F">
            <w:pPr>
              <w:rPr>
                <w:rFonts w:ascii="宋体"/>
                <w:vanish/>
              </w:rPr>
            </w:pPr>
          </w:p>
        </w:tc>
        <w:tc>
          <w:tcPr>
            <w:tcW w:w="0" w:type="auto"/>
            <w:gridSpan w:val="3"/>
            <w:shd w:val="clear" w:color="auto" w:fill="auto"/>
            <w:vAlign w:val="bottom"/>
          </w:tcPr>
          <w:p w14:paraId="392BE60F" w14:textId="77777777" w:rsidR="00980E5F" w:rsidRDefault="00980E5F">
            <w:pPr>
              <w:rPr>
                <w:rFonts w:ascii="宋体"/>
                <w:vanish/>
              </w:rPr>
            </w:pPr>
          </w:p>
        </w:tc>
        <w:tc>
          <w:tcPr>
            <w:tcW w:w="0" w:type="auto"/>
            <w:gridSpan w:val="3"/>
            <w:shd w:val="clear" w:color="auto" w:fill="auto"/>
            <w:vAlign w:val="bottom"/>
          </w:tcPr>
          <w:p w14:paraId="392BE610" w14:textId="77777777" w:rsidR="00980E5F" w:rsidRDefault="00980E5F">
            <w:pPr>
              <w:rPr>
                <w:rFonts w:ascii="宋体"/>
                <w:vanish/>
              </w:rPr>
            </w:pPr>
          </w:p>
        </w:tc>
      </w:tr>
      <w:tr w:rsidR="00980E5F" w14:paraId="392BE61D" w14:textId="77777777">
        <w:tc>
          <w:tcPr>
            <w:tcW w:w="0" w:type="auto"/>
            <w:gridSpan w:val="3"/>
            <w:shd w:val="clear" w:color="auto" w:fill="FFFFFF"/>
            <w:tcMar>
              <w:top w:w="40" w:type="dxa"/>
              <w:left w:w="20" w:type="dxa"/>
              <w:bottom w:w="40" w:type="dxa"/>
              <w:right w:w="20" w:type="dxa"/>
            </w:tcMar>
            <w:vAlign w:val="bottom"/>
          </w:tcPr>
          <w:p w14:paraId="392BE612" w14:textId="77777777" w:rsidR="00980E5F" w:rsidRDefault="00483613">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6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1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6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17" w14:textId="77777777" w:rsidR="00980E5F" w:rsidRDefault="00980E5F">
            <w:pPr>
              <w:rPr>
                <w:rFonts w:ascii="宋体"/>
              </w:rPr>
            </w:pPr>
          </w:p>
        </w:tc>
        <w:tc>
          <w:tcPr>
            <w:tcW w:w="0" w:type="auto"/>
            <w:gridSpan w:val="3"/>
            <w:shd w:val="clear" w:color="auto" w:fill="auto"/>
            <w:vAlign w:val="bottom"/>
          </w:tcPr>
          <w:p w14:paraId="392BE618" w14:textId="77777777" w:rsidR="00980E5F" w:rsidRDefault="00980E5F">
            <w:pPr>
              <w:rPr>
                <w:rFonts w:ascii="宋体"/>
                <w:vanish/>
              </w:rPr>
            </w:pPr>
          </w:p>
        </w:tc>
        <w:tc>
          <w:tcPr>
            <w:tcW w:w="0" w:type="auto"/>
            <w:gridSpan w:val="3"/>
            <w:shd w:val="clear" w:color="auto" w:fill="auto"/>
            <w:vAlign w:val="bottom"/>
          </w:tcPr>
          <w:p w14:paraId="392BE619" w14:textId="77777777" w:rsidR="00980E5F" w:rsidRDefault="00980E5F">
            <w:pPr>
              <w:rPr>
                <w:rFonts w:ascii="宋体"/>
                <w:vanish/>
              </w:rPr>
            </w:pPr>
          </w:p>
        </w:tc>
        <w:tc>
          <w:tcPr>
            <w:tcW w:w="0" w:type="auto"/>
            <w:gridSpan w:val="3"/>
            <w:shd w:val="clear" w:color="auto" w:fill="auto"/>
            <w:vAlign w:val="bottom"/>
          </w:tcPr>
          <w:p w14:paraId="392BE61A" w14:textId="77777777" w:rsidR="00980E5F" w:rsidRDefault="00980E5F">
            <w:pPr>
              <w:rPr>
                <w:rFonts w:ascii="宋体"/>
                <w:vanish/>
              </w:rPr>
            </w:pPr>
          </w:p>
        </w:tc>
        <w:tc>
          <w:tcPr>
            <w:tcW w:w="0" w:type="auto"/>
            <w:gridSpan w:val="3"/>
            <w:shd w:val="clear" w:color="auto" w:fill="auto"/>
            <w:vAlign w:val="bottom"/>
          </w:tcPr>
          <w:p w14:paraId="392BE61B" w14:textId="77777777" w:rsidR="00980E5F" w:rsidRDefault="00980E5F">
            <w:pPr>
              <w:rPr>
                <w:rFonts w:ascii="宋体"/>
                <w:vanish/>
              </w:rPr>
            </w:pPr>
          </w:p>
        </w:tc>
        <w:tc>
          <w:tcPr>
            <w:tcW w:w="0" w:type="auto"/>
            <w:gridSpan w:val="3"/>
            <w:shd w:val="clear" w:color="auto" w:fill="auto"/>
            <w:vAlign w:val="bottom"/>
          </w:tcPr>
          <w:p w14:paraId="392BE61C" w14:textId="77777777" w:rsidR="00980E5F" w:rsidRDefault="00980E5F">
            <w:pPr>
              <w:rPr>
                <w:rFonts w:ascii="宋体"/>
                <w:vanish/>
              </w:rPr>
            </w:pPr>
          </w:p>
        </w:tc>
      </w:tr>
      <w:tr w:rsidR="00980E5F" w14:paraId="392BE62E" w14:textId="77777777">
        <w:tc>
          <w:tcPr>
            <w:tcW w:w="0" w:type="auto"/>
            <w:gridSpan w:val="3"/>
            <w:shd w:val="clear" w:color="auto" w:fill="CCEEFF"/>
            <w:tcMar>
              <w:top w:w="40" w:type="dxa"/>
              <w:left w:w="20" w:type="dxa"/>
              <w:bottom w:w="40" w:type="dxa"/>
              <w:right w:w="20" w:type="dxa"/>
            </w:tcMar>
            <w:vAlign w:val="bottom"/>
          </w:tcPr>
          <w:p w14:paraId="392BE61E" w14:textId="77777777" w:rsidR="00980E5F" w:rsidRDefault="00483613">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392BE61F"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E620" w14:textId="77777777" w:rsidR="00980E5F" w:rsidRDefault="00483613">
            <w:pPr>
              <w:jc w:val="right"/>
              <w:textAlignment w:val="bottom"/>
            </w:pPr>
            <w:r>
              <w:rPr>
                <w:rFonts w:ascii="Arial" w:eastAsia="宋体" w:hAnsi="Arial" w:cs="Arial"/>
                <w:b/>
                <w:bCs/>
                <w:color w:val="000000"/>
                <w:sz w:val="12"/>
                <w:szCs w:val="12"/>
              </w:rPr>
              <w:t>(35)</w:t>
            </w:r>
          </w:p>
        </w:tc>
        <w:tc>
          <w:tcPr>
            <w:tcW w:w="0" w:type="auto"/>
            <w:shd w:val="clear" w:color="auto" w:fill="CCEEFF"/>
            <w:tcMar>
              <w:top w:w="40" w:type="dxa"/>
              <w:left w:w="0" w:type="dxa"/>
              <w:bottom w:w="40" w:type="dxa"/>
              <w:right w:w="20" w:type="dxa"/>
            </w:tcMar>
            <w:vAlign w:val="bottom"/>
          </w:tcPr>
          <w:p w14:paraId="392BE62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2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623"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E624" w14:textId="77777777" w:rsidR="00980E5F" w:rsidRDefault="00483613">
            <w:pPr>
              <w:jc w:val="right"/>
              <w:textAlignment w:val="bottom"/>
            </w:pPr>
            <w:r>
              <w:rPr>
                <w:rFonts w:ascii="Arial" w:eastAsia="宋体" w:hAnsi="Arial" w:cs="Arial"/>
                <w:color w:val="000000"/>
                <w:sz w:val="12"/>
                <w:szCs w:val="12"/>
              </w:rPr>
              <w:t>(34)</w:t>
            </w:r>
          </w:p>
        </w:tc>
        <w:tc>
          <w:tcPr>
            <w:tcW w:w="0" w:type="auto"/>
            <w:shd w:val="clear" w:color="auto" w:fill="CCEEFF"/>
            <w:tcMar>
              <w:top w:w="40" w:type="dxa"/>
              <w:left w:w="0" w:type="dxa"/>
              <w:bottom w:w="40" w:type="dxa"/>
              <w:right w:w="20" w:type="dxa"/>
            </w:tcMar>
            <w:vAlign w:val="bottom"/>
          </w:tcPr>
          <w:p w14:paraId="392BE6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27" w14:textId="77777777" w:rsidR="00980E5F" w:rsidRDefault="00483613">
            <w:pPr>
              <w:jc w:val="right"/>
              <w:textAlignment w:val="bottom"/>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bottom"/>
          </w:tcPr>
          <w:p w14:paraId="392BE628" w14:textId="77777777" w:rsidR="00980E5F" w:rsidRDefault="00980E5F">
            <w:pPr>
              <w:jc w:val="right"/>
              <w:rPr>
                <w:rFonts w:ascii="宋体"/>
              </w:rPr>
            </w:pPr>
          </w:p>
        </w:tc>
        <w:tc>
          <w:tcPr>
            <w:tcW w:w="0" w:type="auto"/>
            <w:gridSpan w:val="3"/>
            <w:shd w:val="clear" w:color="auto" w:fill="auto"/>
            <w:vAlign w:val="bottom"/>
          </w:tcPr>
          <w:p w14:paraId="392BE629" w14:textId="77777777" w:rsidR="00980E5F" w:rsidRDefault="00980E5F">
            <w:pPr>
              <w:rPr>
                <w:rFonts w:ascii="宋体"/>
                <w:vanish/>
              </w:rPr>
            </w:pPr>
          </w:p>
        </w:tc>
        <w:tc>
          <w:tcPr>
            <w:tcW w:w="0" w:type="auto"/>
            <w:gridSpan w:val="3"/>
            <w:shd w:val="clear" w:color="auto" w:fill="auto"/>
            <w:vAlign w:val="bottom"/>
          </w:tcPr>
          <w:p w14:paraId="392BE62A" w14:textId="77777777" w:rsidR="00980E5F" w:rsidRDefault="00980E5F">
            <w:pPr>
              <w:rPr>
                <w:rFonts w:ascii="宋体"/>
                <w:vanish/>
              </w:rPr>
            </w:pPr>
          </w:p>
        </w:tc>
        <w:tc>
          <w:tcPr>
            <w:tcW w:w="0" w:type="auto"/>
            <w:gridSpan w:val="3"/>
            <w:shd w:val="clear" w:color="auto" w:fill="auto"/>
            <w:vAlign w:val="bottom"/>
          </w:tcPr>
          <w:p w14:paraId="392BE62B" w14:textId="77777777" w:rsidR="00980E5F" w:rsidRDefault="00980E5F">
            <w:pPr>
              <w:rPr>
                <w:rFonts w:ascii="宋体"/>
                <w:vanish/>
              </w:rPr>
            </w:pPr>
          </w:p>
        </w:tc>
        <w:tc>
          <w:tcPr>
            <w:tcW w:w="0" w:type="auto"/>
            <w:gridSpan w:val="3"/>
            <w:shd w:val="clear" w:color="auto" w:fill="auto"/>
            <w:vAlign w:val="bottom"/>
          </w:tcPr>
          <w:p w14:paraId="392BE62C" w14:textId="77777777" w:rsidR="00980E5F" w:rsidRDefault="00980E5F">
            <w:pPr>
              <w:rPr>
                <w:rFonts w:ascii="宋体"/>
                <w:vanish/>
              </w:rPr>
            </w:pPr>
          </w:p>
        </w:tc>
        <w:tc>
          <w:tcPr>
            <w:tcW w:w="0" w:type="auto"/>
            <w:gridSpan w:val="3"/>
            <w:shd w:val="clear" w:color="auto" w:fill="auto"/>
            <w:vAlign w:val="bottom"/>
          </w:tcPr>
          <w:p w14:paraId="392BE62D" w14:textId="77777777" w:rsidR="00980E5F" w:rsidRDefault="00980E5F">
            <w:pPr>
              <w:rPr>
                <w:rFonts w:ascii="宋体"/>
                <w:vanish/>
              </w:rPr>
            </w:pPr>
          </w:p>
        </w:tc>
      </w:tr>
      <w:tr w:rsidR="00980E5F" w14:paraId="392BE63C" w14:textId="77777777">
        <w:tc>
          <w:tcPr>
            <w:tcW w:w="0" w:type="auto"/>
            <w:gridSpan w:val="3"/>
            <w:shd w:val="clear" w:color="auto" w:fill="FFFFFF"/>
            <w:tcMar>
              <w:top w:w="40" w:type="dxa"/>
              <w:left w:w="20" w:type="dxa"/>
              <w:bottom w:w="40" w:type="dxa"/>
              <w:right w:w="20" w:type="dxa"/>
            </w:tcMar>
            <w:vAlign w:val="bottom"/>
          </w:tcPr>
          <w:p w14:paraId="392BE62F" w14:textId="77777777" w:rsidR="00980E5F" w:rsidRDefault="00483613">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392BE630"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6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3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33" w14:textId="77777777" w:rsidR="00980E5F" w:rsidRDefault="00483613">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92BE6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35"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636" w14:textId="77777777" w:rsidR="00980E5F" w:rsidRDefault="00483613">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392BE637" w14:textId="77777777" w:rsidR="00980E5F" w:rsidRDefault="00980E5F">
            <w:pPr>
              <w:rPr>
                <w:rFonts w:ascii="宋体"/>
                <w:vanish/>
              </w:rPr>
            </w:pPr>
          </w:p>
        </w:tc>
        <w:tc>
          <w:tcPr>
            <w:tcW w:w="0" w:type="auto"/>
            <w:gridSpan w:val="3"/>
            <w:shd w:val="clear" w:color="auto" w:fill="auto"/>
            <w:vAlign w:val="bottom"/>
          </w:tcPr>
          <w:p w14:paraId="392BE638" w14:textId="77777777" w:rsidR="00980E5F" w:rsidRDefault="00980E5F">
            <w:pPr>
              <w:rPr>
                <w:rFonts w:ascii="宋体"/>
                <w:vanish/>
              </w:rPr>
            </w:pPr>
          </w:p>
        </w:tc>
        <w:tc>
          <w:tcPr>
            <w:tcW w:w="0" w:type="auto"/>
            <w:gridSpan w:val="3"/>
            <w:shd w:val="clear" w:color="auto" w:fill="auto"/>
            <w:vAlign w:val="bottom"/>
          </w:tcPr>
          <w:p w14:paraId="392BE639" w14:textId="77777777" w:rsidR="00980E5F" w:rsidRDefault="00980E5F">
            <w:pPr>
              <w:rPr>
                <w:rFonts w:ascii="宋体"/>
                <w:vanish/>
              </w:rPr>
            </w:pPr>
          </w:p>
        </w:tc>
        <w:tc>
          <w:tcPr>
            <w:tcW w:w="0" w:type="auto"/>
            <w:gridSpan w:val="3"/>
            <w:shd w:val="clear" w:color="auto" w:fill="auto"/>
            <w:vAlign w:val="bottom"/>
          </w:tcPr>
          <w:p w14:paraId="392BE63A" w14:textId="77777777" w:rsidR="00980E5F" w:rsidRDefault="00980E5F">
            <w:pPr>
              <w:rPr>
                <w:rFonts w:ascii="宋体"/>
                <w:vanish/>
              </w:rPr>
            </w:pPr>
          </w:p>
        </w:tc>
        <w:tc>
          <w:tcPr>
            <w:tcW w:w="0" w:type="auto"/>
            <w:gridSpan w:val="3"/>
            <w:shd w:val="clear" w:color="auto" w:fill="auto"/>
            <w:vAlign w:val="bottom"/>
          </w:tcPr>
          <w:p w14:paraId="392BE63B" w14:textId="77777777" w:rsidR="00980E5F" w:rsidRDefault="00980E5F">
            <w:pPr>
              <w:rPr>
                <w:rFonts w:ascii="宋体"/>
                <w:vanish/>
              </w:rPr>
            </w:pPr>
          </w:p>
        </w:tc>
      </w:tr>
      <w:tr w:rsidR="00980E5F" w14:paraId="392BE64D" w14:textId="77777777">
        <w:tc>
          <w:tcPr>
            <w:tcW w:w="0" w:type="auto"/>
            <w:gridSpan w:val="3"/>
            <w:shd w:val="clear" w:color="auto" w:fill="CCEEFF"/>
            <w:tcMar>
              <w:top w:w="40" w:type="dxa"/>
              <w:left w:w="20" w:type="dxa"/>
              <w:bottom w:w="40" w:type="dxa"/>
              <w:right w:w="20" w:type="dxa"/>
            </w:tcMar>
            <w:vAlign w:val="bottom"/>
          </w:tcPr>
          <w:p w14:paraId="392BE63D" w14:textId="77777777" w:rsidR="00980E5F" w:rsidRDefault="00483613">
            <w:pPr>
              <w:textAlignment w:val="bottom"/>
            </w:pPr>
            <w:r>
              <w:rPr>
                <w:rFonts w:ascii="Arial" w:eastAsia="宋体" w:hAnsi="Arial" w:cs="Arial"/>
                <w:color w:val="000000"/>
                <w:sz w:val="12"/>
                <w:szCs w:val="12"/>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63E"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3F" w14:textId="77777777" w:rsidR="00980E5F" w:rsidRDefault="00483613">
            <w:pPr>
              <w:jc w:val="right"/>
              <w:textAlignment w:val="bottom"/>
            </w:pPr>
            <w:r>
              <w:rPr>
                <w:rFonts w:ascii="Arial" w:eastAsia="宋体" w:hAnsi="Arial" w:cs="Arial"/>
                <w:b/>
                <w:bCs/>
                <w:color w:val="000000"/>
                <w:sz w:val="12"/>
                <w:szCs w:val="12"/>
              </w:rPr>
              <w:t>712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4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642"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43" w14:textId="77777777" w:rsidR="00980E5F" w:rsidRDefault="00483613">
            <w:pPr>
              <w:jc w:val="right"/>
              <w:textAlignment w:val="bottom"/>
            </w:pPr>
            <w:r>
              <w:rPr>
                <w:rFonts w:ascii="Arial" w:eastAsia="宋体" w:hAnsi="Arial" w:cs="Arial"/>
                <w:color w:val="000000"/>
                <w:sz w:val="12"/>
                <w:szCs w:val="12"/>
              </w:rPr>
              <w:t>728 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4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46" w14:textId="77777777" w:rsidR="00980E5F" w:rsidRDefault="00483613">
            <w:pPr>
              <w:jc w:val="right"/>
              <w:textAlignment w:val="bottom"/>
            </w:pPr>
            <w:r>
              <w:rPr>
                <w:rFonts w:ascii="Arial" w:eastAsia="宋体" w:hAnsi="Arial" w:cs="Arial"/>
                <w:color w:val="000000"/>
                <w:sz w:val="12"/>
                <w:szCs w:val="12"/>
              </w:rPr>
              <w:t>(2)</w:t>
            </w:r>
          </w:p>
        </w:tc>
        <w:tc>
          <w:tcPr>
            <w:tcW w:w="0" w:type="auto"/>
            <w:shd w:val="clear" w:color="auto" w:fill="CCEEFF"/>
            <w:tcMar>
              <w:top w:w="40" w:type="dxa"/>
              <w:left w:w="0" w:type="dxa"/>
              <w:bottom w:w="40" w:type="dxa"/>
              <w:right w:w="20" w:type="dxa"/>
            </w:tcMar>
            <w:vAlign w:val="bottom"/>
          </w:tcPr>
          <w:p w14:paraId="392BE647" w14:textId="77777777" w:rsidR="00980E5F" w:rsidRDefault="00980E5F">
            <w:pPr>
              <w:jc w:val="right"/>
              <w:rPr>
                <w:rFonts w:ascii="宋体"/>
              </w:rPr>
            </w:pPr>
          </w:p>
        </w:tc>
        <w:tc>
          <w:tcPr>
            <w:tcW w:w="0" w:type="auto"/>
            <w:gridSpan w:val="3"/>
            <w:shd w:val="clear" w:color="auto" w:fill="auto"/>
            <w:vAlign w:val="bottom"/>
          </w:tcPr>
          <w:p w14:paraId="392BE648" w14:textId="77777777" w:rsidR="00980E5F" w:rsidRDefault="00980E5F">
            <w:pPr>
              <w:rPr>
                <w:rFonts w:ascii="宋体"/>
                <w:vanish/>
              </w:rPr>
            </w:pPr>
          </w:p>
        </w:tc>
        <w:tc>
          <w:tcPr>
            <w:tcW w:w="0" w:type="auto"/>
            <w:gridSpan w:val="3"/>
            <w:shd w:val="clear" w:color="auto" w:fill="auto"/>
            <w:vAlign w:val="bottom"/>
          </w:tcPr>
          <w:p w14:paraId="392BE649" w14:textId="77777777" w:rsidR="00980E5F" w:rsidRDefault="00980E5F">
            <w:pPr>
              <w:rPr>
                <w:rFonts w:ascii="宋体"/>
                <w:vanish/>
              </w:rPr>
            </w:pPr>
          </w:p>
        </w:tc>
        <w:tc>
          <w:tcPr>
            <w:tcW w:w="0" w:type="auto"/>
            <w:gridSpan w:val="3"/>
            <w:shd w:val="clear" w:color="auto" w:fill="auto"/>
            <w:vAlign w:val="bottom"/>
          </w:tcPr>
          <w:p w14:paraId="392BE64A" w14:textId="77777777" w:rsidR="00980E5F" w:rsidRDefault="00980E5F">
            <w:pPr>
              <w:rPr>
                <w:rFonts w:ascii="宋体"/>
                <w:vanish/>
              </w:rPr>
            </w:pPr>
          </w:p>
        </w:tc>
        <w:tc>
          <w:tcPr>
            <w:tcW w:w="0" w:type="auto"/>
            <w:gridSpan w:val="3"/>
            <w:shd w:val="clear" w:color="auto" w:fill="auto"/>
            <w:vAlign w:val="bottom"/>
          </w:tcPr>
          <w:p w14:paraId="392BE64B" w14:textId="77777777" w:rsidR="00980E5F" w:rsidRDefault="00980E5F">
            <w:pPr>
              <w:rPr>
                <w:rFonts w:ascii="宋体"/>
                <w:vanish/>
              </w:rPr>
            </w:pPr>
          </w:p>
        </w:tc>
        <w:tc>
          <w:tcPr>
            <w:tcW w:w="0" w:type="auto"/>
            <w:gridSpan w:val="3"/>
            <w:shd w:val="clear" w:color="auto" w:fill="auto"/>
            <w:vAlign w:val="bottom"/>
          </w:tcPr>
          <w:p w14:paraId="392BE64C" w14:textId="77777777" w:rsidR="00980E5F" w:rsidRDefault="00980E5F">
            <w:pPr>
              <w:rPr>
                <w:rFonts w:ascii="宋体"/>
                <w:vanish/>
              </w:rPr>
            </w:pPr>
          </w:p>
        </w:tc>
      </w:tr>
      <w:tr w:rsidR="00980E5F" w14:paraId="392BE659" w14:textId="77777777">
        <w:tc>
          <w:tcPr>
            <w:tcW w:w="0" w:type="auto"/>
            <w:gridSpan w:val="3"/>
            <w:shd w:val="clear" w:color="auto" w:fill="FFFFFF"/>
            <w:tcMar>
              <w:top w:w="40" w:type="dxa"/>
              <w:left w:w="20" w:type="dxa"/>
              <w:bottom w:w="40" w:type="dxa"/>
              <w:right w:w="20" w:type="dxa"/>
            </w:tcMar>
            <w:vAlign w:val="bottom"/>
          </w:tcPr>
          <w:p w14:paraId="392BE64E" w14:textId="77777777" w:rsidR="00980E5F" w:rsidRDefault="00483613">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64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5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65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5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653" w14:textId="77777777" w:rsidR="00980E5F" w:rsidRDefault="00980E5F">
            <w:pPr>
              <w:rPr>
                <w:rFonts w:ascii="宋体"/>
              </w:rPr>
            </w:pPr>
          </w:p>
        </w:tc>
        <w:tc>
          <w:tcPr>
            <w:tcW w:w="0" w:type="auto"/>
            <w:gridSpan w:val="3"/>
            <w:shd w:val="clear" w:color="auto" w:fill="auto"/>
            <w:vAlign w:val="bottom"/>
          </w:tcPr>
          <w:p w14:paraId="392BE654" w14:textId="77777777" w:rsidR="00980E5F" w:rsidRDefault="00980E5F">
            <w:pPr>
              <w:rPr>
                <w:rFonts w:ascii="宋体"/>
                <w:vanish/>
              </w:rPr>
            </w:pPr>
          </w:p>
        </w:tc>
        <w:tc>
          <w:tcPr>
            <w:tcW w:w="0" w:type="auto"/>
            <w:gridSpan w:val="3"/>
            <w:shd w:val="clear" w:color="auto" w:fill="auto"/>
            <w:vAlign w:val="bottom"/>
          </w:tcPr>
          <w:p w14:paraId="392BE655" w14:textId="77777777" w:rsidR="00980E5F" w:rsidRDefault="00980E5F">
            <w:pPr>
              <w:rPr>
                <w:rFonts w:ascii="宋体"/>
                <w:vanish/>
              </w:rPr>
            </w:pPr>
          </w:p>
        </w:tc>
        <w:tc>
          <w:tcPr>
            <w:tcW w:w="0" w:type="auto"/>
            <w:gridSpan w:val="3"/>
            <w:shd w:val="clear" w:color="auto" w:fill="auto"/>
            <w:vAlign w:val="bottom"/>
          </w:tcPr>
          <w:p w14:paraId="392BE656" w14:textId="77777777" w:rsidR="00980E5F" w:rsidRDefault="00980E5F">
            <w:pPr>
              <w:rPr>
                <w:rFonts w:ascii="宋体"/>
                <w:vanish/>
              </w:rPr>
            </w:pPr>
          </w:p>
        </w:tc>
        <w:tc>
          <w:tcPr>
            <w:tcW w:w="0" w:type="auto"/>
            <w:gridSpan w:val="3"/>
            <w:shd w:val="clear" w:color="auto" w:fill="auto"/>
            <w:vAlign w:val="bottom"/>
          </w:tcPr>
          <w:p w14:paraId="392BE657" w14:textId="77777777" w:rsidR="00980E5F" w:rsidRDefault="00980E5F">
            <w:pPr>
              <w:rPr>
                <w:rFonts w:ascii="宋体"/>
                <w:vanish/>
              </w:rPr>
            </w:pPr>
          </w:p>
        </w:tc>
        <w:tc>
          <w:tcPr>
            <w:tcW w:w="0" w:type="auto"/>
            <w:gridSpan w:val="3"/>
            <w:shd w:val="clear" w:color="auto" w:fill="auto"/>
            <w:vAlign w:val="bottom"/>
          </w:tcPr>
          <w:p w14:paraId="392BE658" w14:textId="77777777" w:rsidR="00980E5F" w:rsidRDefault="00980E5F">
            <w:pPr>
              <w:rPr>
                <w:rFonts w:ascii="宋体"/>
                <w:vanish/>
              </w:rPr>
            </w:pPr>
          </w:p>
        </w:tc>
      </w:tr>
      <w:tr w:rsidR="00980E5F" w14:paraId="392BE66A" w14:textId="77777777">
        <w:tc>
          <w:tcPr>
            <w:tcW w:w="0" w:type="auto"/>
            <w:gridSpan w:val="3"/>
            <w:shd w:val="clear" w:color="auto" w:fill="CCEEFF"/>
            <w:tcMar>
              <w:top w:w="40" w:type="dxa"/>
              <w:left w:w="245" w:type="dxa"/>
              <w:bottom w:w="40" w:type="dxa"/>
              <w:right w:w="20" w:type="dxa"/>
            </w:tcMar>
            <w:vAlign w:val="bottom"/>
          </w:tcPr>
          <w:p w14:paraId="392BE65A" w14:textId="77777777" w:rsidR="00980E5F" w:rsidRDefault="00483613">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392BE65B"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E65C" w14:textId="77777777" w:rsidR="00980E5F" w:rsidRDefault="00483613">
            <w:pPr>
              <w:jc w:val="right"/>
              <w:textAlignment w:val="bottom"/>
            </w:pPr>
            <w:r>
              <w:rPr>
                <w:rFonts w:ascii="Arial" w:eastAsia="宋体" w:hAnsi="Arial" w:cs="Arial"/>
                <w:b/>
                <w:bCs/>
                <w:color w:val="000000"/>
                <w:sz w:val="12"/>
                <w:szCs w:val="12"/>
              </w:rPr>
              <w:t>1.94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6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5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65F"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E660" w14:textId="77777777" w:rsidR="00980E5F" w:rsidRDefault="00483613">
            <w:pPr>
              <w:jc w:val="right"/>
              <w:textAlignment w:val="bottom"/>
            </w:pPr>
            <w:r>
              <w:rPr>
                <w:rFonts w:ascii="Arial" w:eastAsia="宋体" w:hAnsi="Arial" w:cs="Arial"/>
                <w:color w:val="000000"/>
                <w:sz w:val="12"/>
                <w:szCs w:val="12"/>
              </w:rPr>
              <w:t>2.11 </w:t>
            </w:r>
          </w:p>
        </w:tc>
        <w:tc>
          <w:tcPr>
            <w:tcW w:w="0" w:type="auto"/>
            <w:shd w:val="clear" w:color="auto" w:fill="CCEEFF"/>
            <w:tcMar>
              <w:top w:w="40" w:type="dxa"/>
              <w:left w:w="0" w:type="dxa"/>
              <w:bottom w:w="40" w:type="dxa"/>
              <w:right w:w="20" w:type="dxa"/>
            </w:tcMar>
            <w:vAlign w:val="bottom"/>
          </w:tcPr>
          <w:p w14:paraId="392BE6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6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63" w14:textId="77777777" w:rsidR="00980E5F" w:rsidRDefault="00483613">
            <w:pPr>
              <w:jc w:val="right"/>
              <w:textAlignment w:val="bottom"/>
            </w:pPr>
            <w:r>
              <w:rPr>
                <w:rFonts w:ascii="Arial" w:eastAsia="宋体" w:hAnsi="Arial" w:cs="Arial"/>
                <w:color w:val="000000"/>
                <w:sz w:val="12"/>
                <w:szCs w:val="12"/>
              </w:rPr>
              <w:t>(8)</w:t>
            </w:r>
          </w:p>
        </w:tc>
        <w:tc>
          <w:tcPr>
            <w:tcW w:w="0" w:type="auto"/>
            <w:shd w:val="clear" w:color="auto" w:fill="CCEEFF"/>
            <w:tcMar>
              <w:top w:w="40" w:type="dxa"/>
              <w:left w:w="0" w:type="dxa"/>
              <w:bottom w:w="40" w:type="dxa"/>
              <w:right w:w="20" w:type="dxa"/>
            </w:tcMar>
            <w:vAlign w:val="bottom"/>
          </w:tcPr>
          <w:p w14:paraId="392BE664" w14:textId="77777777" w:rsidR="00980E5F" w:rsidRDefault="00980E5F">
            <w:pPr>
              <w:jc w:val="right"/>
              <w:rPr>
                <w:rFonts w:ascii="宋体"/>
              </w:rPr>
            </w:pPr>
          </w:p>
        </w:tc>
        <w:tc>
          <w:tcPr>
            <w:tcW w:w="0" w:type="auto"/>
            <w:gridSpan w:val="3"/>
            <w:shd w:val="clear" w:color="auto" w:fill="auto"/>
            <w:vAlign w:val="bottom"/>
          </w:tcPr>
          <w:p w14:paraId="392BE665" w14:textId="77777777" w:rsidR="00980E5F" w:rsidRDefault="00980E5F">
            <w:pPr>
              <w:rPr>
                <w:rFonts w:ascii="宋体"/>
                <w:vanish/>
              </w:rPr>
            </w:pPr>
          </w:p>
        </w:tc>
        <w:tc>
          <w:tcPr>
            <w:tcW w:w="0" w:type="auto"/>
            <w:gridSpan w:val="3"/>
            <w:shd w:val="clear" w:color="auto" w:fill="auto"/>
            <w:vAlign w:val="bottom"/>
          </w:tcPr>
          <w:p w14:paraId="392BE666" w14:textId="77777777" w:rsidR="00980E5F" w:rsidRDefault="00980E5F">
            <w:pPr>
              <w:rPr>
                <w:rFonts w:ascii="宋体"/>
                <w:vanish/>
              </w:rPr>
            </w:pPr>
          </w:p>
        </w:tc>
        <w:tc>
          <w:tcPr>
            <w:tcW w:w="0" w:type="auto"/>
            <w:gridSpan w:val="3"/>
            <w:shd w:val="clear" w:color="auto" w:fill="auto"/>
            <w:vAlign w:val="bottom"/>
          </w:tcPr>
          <w:p w14:paraId="392BE667" w14:textId="77777777" w:rsidR="00980E5F" w:rsidRDefault="00980E5F">
            <w:pPr>
              <w:rPr>
                <w:rFonts w:ascii="宋体"/>
                <w:vanish/>
              </w:rPr>
            </w:pPr>
          </w:p>
        </w:tc>
        <w:tc>
          <w:tcPr>
            <w:tcW w:w="0" w:type="auto"/>
            <w:gridSpan w:val="3"/>
            <w:shd w:val="clear" w:color="auto" w:fill="auto"/>
            <w:vAlign w:val="bottom"/>
          </w:tcPr>
          <w:p w14:paraId="392BE668" w14:textId="77777777" w:rsidR="00980E5F" w:rsidRDefault="00980E5F">
            <w:pPr>
              <w:rPr>
                <w:rFonts w:ascii="宋体"/>
                <w:vanish/>
              </w:rPr>
            </w:pPr>
          </w:p>
        </w:tc>
        <w:tc>
          <w:tcPr>
            <w:tcW w:w="0" w:type="auto"/>
            <w:gridSpan w:val="3"/>
            <w:shd w:val="clear" w:color="auto" w:fill="auto"/>
            <w:vAlign w:val="bottom"/>
          </w:tcPr>
          <w:p w14:paraId="392BE669" w14:textId="77777777" w:rsidR="00980E5F" w:rsidRDefault="00980E5F">
            <w:pPr>
              <w:rPr>
                <w:rFonts w:ascii="宋体"/>
                <w:vanish/>
              </w:rPr>
            </w:pPr>
          </w:p>
        </w:tc>
      </w:tr>
      <w:tr w:rsidR="00980E5F" w14:paraId="392BE679" w14:textId="77777777">
        <w:tc>
          <w:tcPr>
            <w:tcW w:w="0" w:type="auto"/>
            <w:gridSpan w:val="3"/>
            <w:shd w:val="clear" w:color="auto" w:fill="FFFFFF"/>
            <w:tcMar>
              <w:top w:w="40" w:type="dxa"/>
              <w:left w:w="245" w:type="dxa"/>
              <w:bottom w:w="40" w:type="dxa"/>
              <w:right w:w="20" w:type="dxa"/>
            </w:tcMar>
            <w:vAlign w:val="bottom"/>
          </w:tcPr>
          <w:p w14:paraId="392BE66B" w14:textId="77777777" w:rsidR="00980E5F" w:rsidRDefault="00483613">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392BE66C" w14:textId="77777777" w:rsidR="00980E5F" w:rsidRDefault="00483613">
            <w:pPr>
              <w:jc w:val="right"/>
              <w:textAlignment w:val="bottom"/>
            </w:pPr>
            <w:r>
              <w:rPr>
                <w:rFonts w:ascii="Arial" w:eastAsia="宋体" w:hAnsi="Arial" w:cs="Arial"/>
                <w:b/>
                <w:bCs/>
                <w:color w:val="000000"/>
                <w:sz w:val="12"/>
                <w:szCs w:val="12"/>
              </w:rPr>
              <w:t>1.91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6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6F" w14:textId="77777777" w:rsidR="00980E5F" w:rsidRDefault="00483613">
            <w:pPr>
              <w:jc w:val="right"/>
              <w:textAlignment w:val="bottom"/>
            </w:pPr>
            <w:r>
              <w:rPr>
                <w:rFonts w:ascii="Arial" w:eastAsia="宋体" w:hAnsi="Arial" w:cs="Arial"/>
                <w:color w:val="000000"/>
                <w:sz w:val="12"/>
                <w:szCs w:val="12"/>
              </w:rPr>
              <w:t>2.07 </w:t>
            </w:r>
          </w:p>
        </w:tc>
        <w:tc>
          <w:tcPr>
            <w:tcW w:w="0" w:type="auto"/>
            <w:shd w:val="clear" w:color="auto" w:fill="FFFFFF"/>
            <w:tcMar>
              <w:top w:w="40" w:type="dxa"/>
              <w:left w:w="0" w:type="dxa"/>
              <w:bottom w:w="40" w:type="dxa"/>
              <w:right w:w="20" w:type="dxa"/>
            </w:tcMar>
            <w:vAlign w:val="bottom"/>
          </w:tcPr>
          <w:p w14:paraId="392BE6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7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72" w14:textId="77777777" w:rsidR="00980E5F" w:rsidRDefault="00483613">
            <w:pPr>
              <w:jc w:val="right"/>
              <w:textAlignment w:val="bottom"/>
            </w:pPr>
            <w:r>
              <w:rPr>
                <w:rFonts w:ascii="Arial" w:eastAsia="宋体" w:hAnsi="Arial" w:cs="Arial"/>
                <w:color w:val="000000"/>
                <w:sz w:val="12"/>
                <w:szCs w:val="12"/>
              </w:rPr>
              <w:t>(8)</w:t>
            </w:r>
          </w:p>
        </w:tc>
        <w:tc>
          <w:tcPr>
            <w:tcW w:w="0" w:type="auto"/>
            <w:shd w:val="clear" w:color="auto" w:fill="FFFFFF"/>
            <w:tcMar>
              <w:top w:w="40" w:type="dxa"/>
              <w:left w:w="0" w:type="dxa"/>
              <w:bottom w:w="40" w:type="dxa"/>
              <w:right w:w="20" w:type="dxa"/>
            </w:tcMar>
            <w:vAlign w:val="bottom"/>
          </w:tcPr>
          <w:p w14:paraId="392BE673" w14:textId="77777777" w:rsidR="00980E5F" w:rsidRDefault="00980E5F">
            <w:pPr>
              <w:jc w:val="right"/>
              <w:rPr>
                <w:rFonts w:ascii="宋体"/>
              </w:rPr>
            </w:pPr>
          </w:p>
        </w:tc>
        <w:tc>
          <w:tcPr>
            <w:tcW w:w="0" w:type="auto"/>
            <w:gridSpan w:val="3"/>
            <w:shd w:val="clear" w:color="auto" w:fill="auto"/>
            <w:vAlign w:val="bottom"/>
          </w:tcPr>
          <w:p w14:paraId="392BE674" w14:textId="77777777" w:rsidR="00980E5F" w:rsidRDefault="00980E5F">
            <w:pPr>
              <w:rPr>
                <w:rFonts w:ascii="宋体"/>
                <w:vanish/>
              </w:rPr>
            </w:pPr>
          </w:p>
        </w:tc>
        <w:tc>
          <w:tcPr>
            <w:tcW w:w="0" w:type="auto"/>
            <w:gridSpan w:val="3"/>
            <w:shd w:val="clear" w:color="auto" w:fill="auto"/>
            <w:vAlign w:val="bottom"/>
          </w:tcPr>
          <w:p w14:paraId="392BE675" w14:textId="77777777" w:rsidR="00980E5F" w:rsidRDefault="00980E5F">
            <w:pPr>
              <w:rPr>
                <w:rFonts w:ascii="宋体"/>
                <w:vanish/>
              </w:rPr>
            </w:pPr>
          </w:p>
        </w:tc>
        <w:tc>
          <w:tcPr>
            <w:tcW w:w="0" w:type="auto"/>
            <w:gridSpan w:val="3"/>
            <w:shd w:val="clear" w:color="auto" w:fill="auto"/>
            <w:vAlign w:val="bottom"/>
          </w:tcPr>
          <w:p w14:paraId="392BE676" w14:textId="77777777" w:rsidR="00980E5F" w:rsidRDefault="00980E5F">
            <w:pPr>
              <w:rPr>
                <w:rFonts w:ascii="宋体"/>
                <w:vanish/>
              </w:rPr>
            </w:pPr>
          </w:p>
        </w:tc>
        <w:tc>
          <w:tcPr>
            <w:tcW w:w="0" w:type="auto"/>
            <w:gridSpan w:val="3"/>
            <w:shd w:val="clear" w:color="auto" w:fill="auto"/>
            <w:vAlign w:val="bottom"/>
          </w:tcPr>
          <w:p w14:paraId="392BE677" w14:textId="77777777" w:rsidR="00980E5F" w:rsidRDefault="00980E5F">
            <w:pPr>
              <w:rPr>
                <w:rFonts w:ascii="宋体"/>
                <w:vanish/>
              </w:rPr>
            </w:pPr>
          </w:p>
        </w:tc>
        <w:tc>
          <w:tcPr>
            <w:tcW w:w="0" w:type="auto"/>
            <w:gridSpan w:val="3"/>
            <w:shd w:val="clear" w:color="auto" w:fill="auto"/>
            <w:vAlign w:val="bottom"/>
          </w:tcPr>
          <w:p w14:paraId="392BE678" w14:textId="77777777" w:rsidR="00980E5F" w:rsidRDefault="00980E5F">
            <w:pPr>
              <w:rPr>
                <w:rFonts w:ascii="宋体"/>
                <w:vanish/>
              </w:rPr>
            </w:pPr>
          </w:p>
        </w:tc>
      </w:tr>
      <w:tr w:rsidR="00980E5F" w14:paraId="392BE685" w14:textId="77777777">
        <w:tc>
          <w:tcPr>
            <w:tcW w:w="0" w:type="auto"/>
            <w:gridSpan w:val="3"/>
            <w:shd w:val="clear" w:color="auto" w:fill="CCEEFF"/>
            <w:tcMar>
              <w:top w:w="40" w:type="dxa"/>
              <w:left w:w="20" w:type="dxa"/>
              <w:bottom w:w="40" w:type="dxa"/>
              <w:right w:w="20" w:type="dxa"/>
            </w:tcMar>
            <w:vAlign w:val="bottom"/>
          </w:tcPr>
          <w:p w14:paraId="392BE67A" w14:textId="77777777" w:rsidR="00980E5F" w:rsidRDefault="00483613">
            <w:pPr>
              <w:textAlignment w:val="bottom"/>
            </w:pPr>
            <w:r>
              <w:rPr>
                <w:rFonts w:ascii="Arial" w:eastAsia="宋体" w:hAnsi="Arial" w:cs="Arial"/>
                <w:color w:val="000000"/>
                <w:sz w:val="12"/>
                <w:szCs w:val="12"/>
              </w:rPr>
              <w:t>Averag</w:t>
            </w:r>
            <w:r>
              <w:rPr>
                <w:rFonts w:ascii="Arial" w:eastAsia="宋体" w:hAnsi="Arial" w:cs="Arial"/>
                <w:color w:val="000000"/>
                <w:sz w:val="12"/>
                <w:szCs w:val="12"/>
              </w:rPr>
              <w:t>e common shares outstanding (in thousands):</w:t>
            </w:r>
          </w:p>
        </w:tc>
        <w:tc>
          <w:tcPr>
            <w:tcW w:w="0" w:type="auto"/>
            <w:gridSpan w:val="3"/>
            <w:shd w:val="clear" w:color="auto" w:fill="CCEEFF"/>
            <w:tcMar>
              <w:top w:w="0" w:type="dxa"/>
              <w:left w:w="20" w:type="dxa"/>
              <w:bottom w:w="0" w:type="dxa"/>
              <w:right w:w="20" w:type="dxa"/>
            </w:tcMar>
            <w:vAlign w:val="bottom"/>
          </w:tcPr>
          <w:p w14:paraId="392BE67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67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67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67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67F" w14:textId="77777777" w:rsidR="00980E5F" w:rsidRDefault="00980E5F">
            <w:pPr>
              <w:rPr>
                <w:rFonts w:ascii="宋体"/>
              </w:rPr>
            </w:pPr>
          </w:p>
        </w:tc>
        <w:tc>
          <w:tcPr>
            <w:tcW w:w="0" w:type="auto"/>
            <w:gridSpan w:val="3"/>
            <w:shd w:val="clear" w:color="auto" w:fill="auto"/>
            <w:vAlign w:val="bottom"/>
          </w:tcPr>
          <w:p w14:paraId="392BE680" w14:textId="77777777" w:rsidR="00980E5F" w:rsidRDefault="00980E5F">
            <w:pPr>
              <w:rPr>
                <w:rFonts w:ascii="宋体"/>
                <w:vanish/>
              </w:rPr>
            </w:pPr>
          </w:p>
        </w:tc>
        <w:tc>
          <w:tcPr>
            <w:tcW w:w="0" w:type="auto"/>
            <w:gridSpan w:val="3"/>
            <w:shd w:val="clear" w:color="auto" w:fill="auto"/>
            <w:vAlign w:val="bottom"/>
          </w:tcPr>
          <w:p w14:paraId="392BE681" w14:textId="77777777" w:rsidR="00980E5F" w:rsidRDefault="00980E5F">
            <w:pPr>
              <w:rPr>
                <w:rFonts w:ascii="宋体"/>
                <w:vanish/>
              </w:rPr>
            </w:pPr>
          </w:p>
        </w:tc>
        <w:tc>
          <w:tcPr>
            <w:tcW w:w="0" w:type="auto"/>
            <w:gridSpan w:val="3"/>
            <w:shd w:val="clear" w:color="auto" w:fill="auto"/>
            <w:vAlign w:val="bottom"/>
          </w:tcPr>
          <w:p w14:paraId="392BE682" w14:textId="77777777" w:rsidR="00980E5F" w:rsidRDefault="00980E5F">
            <w:pPr>
              <w:rPr>
                <w:rFonts w:ascii="宋体"/>
                <w:vanish/>
              </w:rPr>
            </w:pPr>
          </w:p>
        </w:tc>
        <w:tc>
          <w:tcPr>
            <w:tcW w:w="0" w:type="auto"/>
            <w:gridSpan w:val="3"/>
            <w:shd w:val="clear" w:color="auto" w:fill="auto"/>
            <w:vAlign w:val="bottom"/>
          </w:tcPr>
          <w:p w14:paraId="392BE683" w14:textId="77777777" w:rsidR="00980E5F" w:rsidRDefault="00980E5F">
            <w:pPr>
              <w:rPr>
                <w:rFonts w:ascii="宋体"/>
                <w:vanish/>
              </w:rPr>
            </w:pPr>
          </w:p>
        </w:tc>
        <w:tc>
          <w:tcPr>
            <w:tcW w:w="0" w:type="auto"/>
            <w:gridSpan w:val="3"/>
            <w:shd w:val="clear" w:color="auto" w:fill="auto"/>
            <w:vAlign w:val="bottom"/>
          </w:tcPr>
          <w:p w14:paraId="392BE684" w14:textId="77777777" w:rsidR="00980E5F" w:rsidRDefault="00980E5F">
            <w:pPr>
              <w:rPr>
                <w:rFonts w:ascii="宋体"/>
                <w:vanish/>
              </w:rPr>
            </w:pPr>
          </w:p>
        </w:tc>
      </w:tr>
      <w:tr w:rsidR="00980E5F" w14:paraId="392BE694" w14:textId="77777777">
        <w:tc>
          <w:tcPr>
            <w:tcW w:w="0" w:type="auto"/>
            <w:gridSpan w:val="3"/>
            <w:shd w:val="clear" w:color="auto" w:fill="FFFFFF"/>
            <w:tcMar>
              <w:top w:w="40" w:type="dxa"/>
              <w:left w:w="245" w:type="dxa"/>
              <w:bottom w:w="40" w:type="dxa"/>
              <w:right w:w="20" w:type="dxa"/>
            </w:tcMar>
            <w:vAlign w:val="bottom"/>
          </w:tcPr>
          <w:p w14:paraId="392BE686" w14:textId="77777777" w:rsidR="00980E5F" w:rsidRDefault="00483613">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392BE687" w14:textId="77777777" w:rsidR="00980E5F" w:rsidRDefault="00483613">
            <w:pPr>
              <w:jc w:val="right"/>
              <w:textAlignment w:val="bottom"/>
            </w:pPr>
            <w:r>
              <w:rPr>
                <w:rFonts w:ascii="Arial" w:eastAsia="宋体" w:hAnsi="Arial" w:cs="Arial"/>
                <w:b/>
                <w:bCs/>
                <w:color w:val="000000"/>
                <w:sz w:val="12"/>
                <w:szCs w:val="12"/>
              </w:rPr>
              <w:t>367,375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68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8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8A" w14:textId="77777777" w:rsidR="00980E5F" w:rsidRDefault="00483613">
            <w:pPr>
              <w:jc w:val="right"/>
              <w:textAlignment w:val="bottom"/>
            </w:pPr>
            <w:r>
              <w:rPr>
                <w:rFonts w:ascii="Arial" w:eastAsia="宋体" w:hAnsi="Arial" w:cs="Arial"/>
                <w:color w:val="000000"/>
                <w:sz w:val="12"/>
                <w:szCs w:val="12"/>
              </w:rPr>
              <w:t>345,889 </w:t>
            </w:r>
          </w:p>
        </w:tc>
        <w:tc>
          <w:tcPr>
            <w:tcW w:w="0" w:type="auto"/>
            <w:shd w:val="clear" w:color="auto" w:fill="FFFFFF"/>
            <w:tcMar>
              <w:top w:w="40" w:type="dxa"/>
              <w:left w:w="0" w:type="dxa"/>
              <w:bottom w:w="40" w:type="dxa"/>
              <w:right w:w="20" w:type="dxa"/>
            </w:tcMar>
            <w:vAlign w:val="bottom"/>
          </w:tcPr>
          <w:p w14:paraId="392BE6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8D" w14:textId="77777777" w:rsidR="00980E5F" w:rsidRDefault="00483613">
            <w:pPr>
              <w:jc w:val="right"/>
              <w:textAlignment w:val="bottom"/>
            </w:pPr>
            <w:r>
              <w:rPr>
                <w:rFonts w:ascii="Arial" w:eastAsia="宋体" w:hAnsi="Arial" w:cs="Arial"/>
                <w:color w:val="000000"/>
                <w:sz w:val="12"/>
                <w:szCs w:val="12"/>
              </w:rPr>
              <w:t>6 </w:t>
            </w:r>
          </w:p>
        </w:tc>
        <w:tc>
          <w:tcPr>
            <w:tcW w:w="0" w:type="auto"/>
            <w:shd w:val="clear" w:color="auto" w:fill="FFFFFF"/>
            <w:tcMar>
              <w:top w:w="40" w:type="dxa"/>
              <w:left w:w="0" w:type="dxa"/>
              <w:bottom w:w="40" w:type="dxa"/>
              <w:right w:w="20" w:type="dxa"/>
            </w:tcMar>
            <w:vAlign w:val="bottom"/>
          </w:tcPr>
          <w:p w14:paraId="392BE68E" w14:textId="77777777" w:rsidR="00980E5F" w:rsidRDefault="00980E5F">
            <w:pPr>
              <w:jc w:val="right"/>
              <w:rPr>
                <w:rFonts w:ascii="宋体"/>
              </w:rPr>
            </w:pPr>
          </w:p>
        </w:tc>
        <w:tc>
          <w:tcPr>
            <w:tcW w:w="0" w:type="auto"/>
            <w:gridSpan w:val="3"/>
            <w:shd w:val="clear" w:color="auto" w:fill="auto"/>
            <w:vAlign w:val="bottom"/>
          </w:tcPr>
          <w:p w14:paraId="392BE68F" w14:textId="77777777" w:rsidR="00980E5F" w:rsidRDefault="00980E5F">
            <w:pPr>
              <w:rPr>
                <w:rFonts w:ascii="宋体"/>
                <w:vanish/>
              </w:rPr>
            </w:pPr>
          </w:p>
        </w:tc>
        <w:tc>
          <w:tcPr>
            <w:tcW w:w="0" w:type="auto"/>
            <w:gridSpan w:val="3"/>
            <w:shd w:val="clear" w:color="auto" w:fill="auto"/>
            <w:vAlign w:val="bottom"/>
          </w:tcPr>
          <w:p w14:paraId="392BE690" w14:textId="77777777" w:rsidR="00980E5F" w:rsidRDefault="00980E5F">
            <w:pPr>
              <w:rPr>
                <w:rFonts w:ascii="宋体"/>
                <w:vanish/>
              </w:rPr>
            </w:pPr>
          </w:p>
        </w:tc>
        <w:tc>
          <w:tcPr>
            <w:tcW w:w="0" w:type="auto"/>
            <w:gridSpan w:val="3"/>
            <w:shd w:val="clear" w:color="auto" w:fill="auto"/>
            <w:vAlign w:val="bottom"/>
          </w:tcPr>
          <w:p w14:paraId="392BE691" w14:textId="77777777" w:rsidR="00980E5F" w:rsidRDefault="00980E5F">
            <w:pPr>
              <w:rPr>
                <w:rFonts w:ascii="宋体"/>
                <w:vanish/>
              </w:rPr>
            </w:pPr>
          </w:p>
        </w:tc>
        <w:tc>
          <w:tcPr>
            <w:tcW w:w="0" w:type="auto"/>
            <w:gridSpan w:val="3"/>
            <w:shd w:val="clear" w:color="auto" w:fill="auto"/>
            <w:vAlign w:val="bottom"/>
          </w:tcPr>
          <w:p w14:paraId="392BE692" w14:textId="77777777" w:rsidR="00980E5F" w:rsidRDefault="00980E5F">
            <w:pPr>
              <w:rPr>
                <w:rFonts w:ascii="宋体"/>
                <w:vanish/>
              </w:rPr>
            </w:pPr>
          </w:p>
        </w:tc>
        <w:tc>
          <w:tcPr>
            <w:tcW w:w="0" w:type="auto"/>
            <w:gridSpan w:val="3"/>
            <w:shd w:val="clear" w:color="auto" w:fill="auto"/>
            <w:vAlign w:val="bottom"/>
          </w:tcPr>
          <w:p w14:paraId="392BE693" w14:textId="77777777" w:rsidR="00980E5F" w:rsidRDefault="00980E5F">
            <w:pPr>
              <w:rPr>
                <w:rFonts w:ascii="宋体"/>
                <w:vanish/>
              </w:rPr>
            </w:pPr>
          </w:p>
        </w:tc>
      </w:tr>
      <w:tr w:rsidR="00980E5F" w14:paraId="392BE6A3" w14:textId="77777777">
        <w:tc>
          <w:tcPr>
            <w:tcW w:w="0" w:type="auto"/>
            <w:gridSpan w:val="3"/>
            <w:shd w:val="clear" w:color="auto" w:fill="CCEEFF"/>
            <w:tcMar>
              <w:top w:w="40" w:type="dxa"/>
              <w:left w:w="245" w:type="dxa"/>
              <w:bottom w:w="40" w:type="dxa"/>
              <w:right w:w="20" w:type="dxa"/>
            </w:tcMar>
            <w:vAlign w:val="bottom"/>
          </w:tcPr>
          <w:p w14:paraId="392BE695" w14:textId="77777777" w:rsidR="00980E5F" w:rsidRDefault="00483613">
            <w:pPr>
              <w:textAlignment w:val="bottom"/>
            </w:pPr>
            <w:r>
              <w:rPr>
                <w:rFonts w:ascii="Arial" w:eastAsia="宋体" w:hAnsi="Arial" w:cs="Arial"/>
                <w:color w:val="000000"/>
                <w:sz w:val="12"/>
                <w:szCs w:val="12"/>
              </w:rPr>
              <w:t>Diluted</w:t>
            </w:r>
          </w:p>
        </w:tc>
        <w:tc>
          <w:tcPr>
            <w:tcW w:w="0" w:type="auto"/>
            <w:gridSpan w:val="2"/>
            <w:shd w:val="clear" w:color="auto" w:fill="CCEEFF"/>
            <w:tcMar>
              <w:top w:w="40" w:type="dxa"/>
              <w:left w:w="20" w:type="dxa"/>
              <w:bottom w:w="40" w:type="dxa"/>
              <w:right w:w="0" w:type="dxa"/>
            </w:tcMar>
            <w:vAlign w:val="bottom"/>
          </w:tcPr>
          <w:p w14:paraId="392BE696" w14:textId="77777777" w:rsidR="00980E5F" w:rsidRDefault="00483613">
            <w:pPr>
              <w:jc w:val="right"/>
              <w:textAlignment w:val="bottom"/>
            </w:pPr>
            <w:r>
              <w:rPr>
                <w:rFonts w:ascii="Arial" w:eastAsia="宋体" w:hAnsi="Arial" w:cs="Arial"/>
                <w:b/>
                <w:bCs/>
                <w:color w:val="000000"/>
                <w:sz w:val="12"/>
                <w:szCs w:val="12"/>
              </w:rPr>
              <w:t>372,123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6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9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99" w14:textId="77777777" w:rsidR="00980E5F" w:rsidRDefault="00483613">
            <w:pPr>
              <w:jc w:val="right"/>
              <w:textAlignment w:val="bottom"/>
            </w:pPr>
            <w:r>
              <w:rPr>
                <w:rFonts w:ascii="Arial" w:eastAsia="宋体" w:hAnsi="Arial" w:cs="Arial"/>
                <w:color w:val="000000"/>
                <w:sz w:val="12"/>
                <w:szCs w:val="12"/>
              </w:rPr>
              <w:t>351,582 </w:t>
            </w:r>
          </w:p>
        </w:tc>
        <w:tc>
          <w:tcPr>
            <w:tcW w:w="0" w:type="auto"/>
            <w:shd w:val="clear" w:color="auto" w:fill="CCEEFF"/>
            <w:tcMar>
              <w:top w:w="40" w:type="dxa"/>
              <w:left w:w="0" w:type="dxa"/>
              <w:bottom w:w="40" w:type="dxa"/>
              <w:right w:w="20" w:type="dxa"/>
            </w:tcMar>
            <w:vAlign w:val="bottom"/>
          </w:tcPr>
          <w:p w14:paraId="392BE69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9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9C" w14:textId="77777777" w:rsidR="00980E5F" w:rsidRDefault="00483613">
            <w:pPr>
              <w:jc w:val="right"/>
              <w:textAlignment w:val="bottom"/>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bottom"/>
          </w:tcPr>
          <w:p w14:paraId="392BE69D" w14:textId="77777777" w:rsidR="00980E5F" w:rsidRDefault="00980E5F">
            <w:pPr>
              <w:jc w:val="right"/>
              <w:rPr>
                <w:rFonts w:ascii="宋体"/>
              </w:rPr>
            </w:pPr>
          </w:p>
        </w:tc>
        <w:tc>
          <w:tcPr>
            <w:tcW w:w="0" w:type="auto"/>
            <w:gridSpan w:val="3"/>
            <w:shd w:val="clear" w:color="auto" w:fill="auto"/>
            <w:vAlign w:val="bottom"/>
          </w:tcPr>
          <w:p w14:paraId="392BE69E" w14:textId="77777777" w:rsidR="00980E5F" w:rsidRDefault="00980E5F">
            <w:pPr>
              <w:rPr>
                <w:rFonts w:ascii="宋体"/>
                <w:vanish/>
              </w:rPr>
            </w:pPr>
          </w:p>
        </w:tc>
        <w:tc>
          <w:tcPr>
            <w:tcW w:w="0" w:type="auto"/>
            <w:gridSpan w:val="3"/>
            <w:shd w:val="clear" w:color="auto" w:fill="auto"/>
            <w:vAlign w:val="bottom"/>
          </w:tcPr>
          <w:p w14:paraId="392BE69F" w14:textId="77777777" w:rsidR="00980E5F" w:rsidRDefault="00980E5F">
            <w:pPr>
              <w:rPr>
                <w:rFonts w:ascii="宋体"/>
                <w:vanish/>
              </w:rPr>
            </w:pPr>
          </w:p>
        </w:tc>
        <w:tc>
          <w:tcPr>
            <w:tcW w:w="0" w:type="auto"/>
            <w:gridSpan w:val="3"/>
            <w:shd w:val="clear" w:color="auto" w:fill="auto"/>
            <w:vAlign w:val="bottom"/>
          </w:tcPr>
          <w:p w14:paraId="392BE6A0" w14:textId="77777777" w:rsidR="00980E5F" w:rsidRDefault="00980E5F">
            <w:pPr>
              <w:rPr>
                <w:rFonts w:ascii="宋体"/>
                <w:vanish/>
              </w:rPr>
            </w:pPr>
          </w:p>
        </w:tc>
        <w:tc>
          <w:tcPr>
            <w:tcW w:w="0" w:type="auto"/>
            <w:gridSpan w:val="3"/>
            <w:shd w:val="clear" w:color="auto" w:fill="auto"/>
            <w:vAlign w:val="bottom"/>
          </w:tcPr>
          <w:p w14:paraId="392BE6A1" w14:textId="77777777" w:rsidR="00980E5F" w:rsidRDefault="00980E5F">
            <w:pPr>
              <w:rPr>
                <w:rFonts w:ascii="宋体"/>
                <w:vanish/>
              </w:rPr>
            </w:pPr>
          </w:p>
        </w:tc>
        <w:tc>
          <w:tcPr>
            <w:tcW w:w="0" w:type="auto"/>
            <w:gridSpan w:val="3"/>
            <w:shd w:val="clear" w:color="auto" w:fill="auto"/>
            <w:vAlign w:val="bottom"/>
          </w:tcPr>
          <w:p w14:paraId="392BE6A2" w14:textId="77777777" w:rsidR="00980E5F" w:rsidRDefault="00980E5F">
            <w:pPr>
              <w:rPr>
                <w:rFonts w:ascii="宋体"/>
                <w:vanish/>
              </w:rPr>
            </w:pPr>
          </w:p>
        </w:tc>
      </w:tr>
      <w:tr w:rsidR="00980E5F" w14:paraId="392BE6B4" w14:textId="77777777">
        <w:tc>
          <w:tcPr>
            <w:tcW w:w="0" w:type="auto"/>
            <w:gridSpan w:val="3"/>
            <w:shd w:val="clear" w:color="auto" w:fill="FFFFFF"/>
            <w:tcMar>
              <w:top w:w="40" w:type="dxa"/>
              <w:left w:w="20" w:type="dxa"/>
              <w:bottom w:w="40" w:type="dxa"/>
              <w:right w:w="20" w:type="dxa"/>
            </w:tcMar>
            <w:vAlign w:val="bottom"/>
          </w:tcPr>
          <w:p w14:paraId="392BE6A4" w14:textId="77777777" w:rsidR="00980E5F" w:rsidRDefault="00483613">
            <w:pPr>
              <w:textAlignment w:val="bottom"/>
            </w:pPr>
            <w:r>
              <w:rPr>
                <w:rFonts w:ascii="Arial" w:eastAsia="宋体" w:hAnsi="Arial" w:cs="Arial"/>
                <w:color w:val="000000"/>
                <w:sz w:val="12"/>
                <w:szCs w:val="12"/>
              </w:rPr>
              <w:t>Cash dividends declared per common share</w:t>
            </w:r>
          </w:p>
        </w:tc>
        <w:tc>
          <w:tcPr>
            <w:tcW w:w="0" w:type="auto"/>
            <w:shd w:val="clear" w:color="auto" w:fill="FFFFFF"/>
            <w:tcMar>
              <w:top w:w="40" w:type="dxa"/>
              <w:left w:w="20" w:type="dxa"/>
              <w:bottom w:w="40" w:type="dxa"/>
              <w:right w:w="0" w:type="dxa"/>
            </w:tcMar>
            <w:vAlign w:val="bottom"/>
          </w:tcPr>
          <w:p w14:paraId="392BE6A5"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BE6A6" w14:textId="77777777" w:rsidR="00980E5F" w:rsidRDefault="00483613">
            <w:pPr>
              <w:jc w:val="right"/>
              <w:textAlignment w:val="bottom"/>
            </w:pPr>
            <w:r>
              <w:rPr>
                <w:rFonts w:ascii="Arial" w:eastAsia="宋体" w:hAnsi="Arial" w:cs="Arial"/>
                <w:b/>
                <w:bCs/>
                <w:color w:val="000000"/>
                <w:sz w:val="12"/>
                <w:szCs w:val="12"/>
              </w:rPr>
              <w:t>.57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6A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A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BE6A9"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BE6AA" w14:textId="77777777" w:rsidR="00980E5F" w:rsidRDefault="00483613">
            <w:pPr>
              <w:jc w:val="right"/>
              <w:textAlignment w:val="bottom"/>
            </w:pPr>
            <w:r>
              <w:rPr>
                <w:rFonts w:ascii="Arial" w:eastAsia="宋体" w:hAnsi="Arial" w:cs="Arial"/>
                <w:color w:val="000000"/>
                <w:sz w:val="12"/>
                <w:szCs w:val="12"/>
              </w:rPr>
              <w:t>.52 </w:t>
            </w:r>
          </w:p>
        </w:tc>
        <w:tc>
          <w:tcPr>
            <w:tcW w:w="0" w:type="auto"/>
            <w:shd w:val="clear" w:color="auto" w:fill="FFFFFF"/>
            <w:tcMar>
              <w:top w:w="40" w:type="dxa"/>
              <w:left w:w="0" w:type="dxa"/>
              <w:bottom w:w="40" w:type="dxa"/>
              <w:right w:w="20" w:type="dxa"/>
            </w:tcMar>
            <w:vAlign w:val="bottom"/>
          </w:tcPr>
          <w:p w14:paraId="392BE6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AD" w14:textId="77777777" w:rsidR="00980E5F" w:rsidRDefault="00483613">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392BE6AE" w14:textId="77777777" w:rsidR="00980E5F" w:rsidRDefault="00980E5F">
            <w:pPr>
              <w:jc w:val="right"/>
              <w:rPr>
                <w:rFonts w:ascii="宋体"/>
              </w:rPr>
            </w:pPr>
          </w:p>
        </w:tc>
        <w:tc>
          <w:tcPr>
            <w:tcW w:w="0" w:type="auto"/>
            <w:gridSpan w:val="3"/>
            <w:shd w:val="clear" w:color="auto" w:fill="auto"/>
            <w:vAlign w:val="bottom"/>
          </w:tcPr>
          <w:p w14:paraId="392BE6AF" w14:textId="77777777" w:rsidR="00980E5F" w:rsidRDefault="00980E5F">
            <w:pPr>
              <w:rPr>
                <w:rFonts w:ascii="宋体"/>
                <w:vanish/>
              </w:rPr>
            </w:pPr>
          </w:p>
        </w:tc>
        <w:tc>
          <w:tcPr>
            <w:tcW w:w="0" w:type="auto"/>
            <w:gridSpan w:val="3"/>
            <w:shd w:val="clear" w:color="auto" w:fill="auto"/>
            <w:vAlign w:val="bottom"/>
          </w:tcPr>
          <w:p w14:paraId="392BE6B0" w14:textId="77777777" w:rsidR="00980E5F" w:rsidRDefault="00980E5F">
            <w:pPr>
              <w:rPr>
                <w:rFonts w:ascii="宋体"/>
                <w:vanish/>
              </w:rPr>
            </w:pPr>
          </w:p>
        </w:tc>
        <w:tc>
          <w:tcPr>
            <w:tcW w:w="0" w:type="auto"/>
            <w:gridSpan w:val="3"/>
            <w:shd w:val="clear" w:color="auto" w:fill="auto"/>
            <w:vAlign w:val="bottom"/>
          </w:tcPr>
          <w:p w14:paraId="392BE6B1" w14:textId="77777777" w:rsidR="00980E5F" w:rsidRDefault="00980E5F">
            <w:pPr>
              <w:rPr>
                <w:rFonts w:ascii="宋体"/>
                <w:vanish/>
              </w:rPr>
            </w:pPr>
          </w:p>
        </w:tc>
        <w:tc>
          <w:tcPr>
            <w:tcW w:w="0" w:type="auto"/>
            <w:gridSpan w:val="3"/>
            <w:shd w:val="clear" w:color="auto" w:fill="auto"/>
            <w:vAlign w:val="bottom"/>
          </w:tcPr>
          <w:p w14:paraId="392BE6B2" w14:textId="77777777" w:rsidR="00980E5F" w:rsidRDefault="00980E5F">
            <w:pPr>
              <w:rPr>
                <w:rFonts w:ascii="宋体"/>
                <w:vanish/>
              </w:rPr>
            </w:pPr>
          </w:p>
        </w:tc>
        <w:tc>
          <w:tcPr>
            <w:tcW w:w="0" w:type="auto"/>
            <w:gridSpan w:val="3"/>
            <w:shd w:val="clear" w:color="auto" w:fill="auto"/>
            <w:vAlign w:val="bottom"/>
          </w:tcPr>
          <w:p w14:paraId="392BE6B3" w14:textId="77777777" w:rsidR="00980E5F" w:rsidRDefault="00980E5F">
            <w:pPr>
              <w:rPr>
                <w:rFonts w:ascii="宋体"/>
                <w:vanish/>
              </w:rPr>
            </w:pPr>
          </w:p>
        </w:tc>
      </w:tr>
      <w:tr w:rsidR="00980E5F" w14:paraId="392BE6C2" w14:textId="77777777">
        <w:tc>
          <w:tcPr>
            <w:tcW w:w="0" w:type="auto"/>
            <w:gridSpan w:val="3"/>
            <w:shd w:val="clear" w:color="auto" w:fill="CCEEFF"/>
            <w:tcMar>
              <w:top w:w="40" w:type="dxa"/>
              <w:left w:w="20" w:type="dxa"/>
              <w:bottom w:w="40" w:type="dxa"/>
              <w:right w:w="20" w:type="dxa"/>
            </w:tcMar>
            <w:vAlign w:val="bottom"/>
          </w:tcPr>
          <w:p w14:paraId="392BE6B5" w14:textId="77777777" w:rsidR="00980E5F" w:rsidRDefault="00483613">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392BE6B6" w14:textId="77777777" w:rsidR="00980E5F" w:rsidRDefault="00483613">
            <w:pPr>
              <w:jc w:val="right"/>
              <w:textAlignment w:val="bottom"/>
            </w:pPr>
            <w:r>
              <w:rPr>
                <w:rFonts w:ascii="Arial" w:eastAsia="宋体" w:hAnsi="Arial" w:cs="Arial"/>
                <w:b/>
                <w:bCs/>
                <w:color w:val="000000"/>
                <w:sz w:val="12"/>
                <w:szCs w:val="12"/>
              </w:rPr>
              <w:t>12.1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6B7"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E6B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6B9" w14:textId="77777777" w:rsidR="00980E5F" w:rsidRDefault="00483613">
            <w:pPr>
              <w:jc w:val="right"/>
              <w:textAlignment w:val="bottom"/>
            </w:pPr>
            <w:r>
              <w:rPr>
                <w:rFonts w:ascii="Arial" w:eastAsia="宋体" w:hAnsi="Arial" w:cs="Arial"/>
                <w:color w:val="000000"/>
                <w:sz w:val="12"/>
                <w:szCs w:val="12"/>
              </w:rPr>
              <w:t>12.6 </w:t>
            </w:r>
          </w:p>
        </w:tc>
        <w:tc>
          <w:tcPr>
            <w:tcW w:w="0" w:type="auto"/>
            <w:shd w:val="clear" w:color="auto" w:fill="CCEEFF"/>
            <w:tcMar>
              <w:top w:w="40" w:type="dxa"/>
              <w:left w:w="0" w:type="dxa"/>
              <w:bottom w:w="40" w:type="dxa"/>
              <w:right w:w="20" w:type="dxa"/>
            </w:tcMar>
            <w:vAlign w:val="bottom"/>
          </w:tcPr>
          <w:p w14:paraId="392BE6BA"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E6BB"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BE6BC" w14:textId="77777777" w:rsidR="00980E5F" w:rsidRDefault="00483613">
            <w:pPr>
              <w:jc w:val="right"/>
              <w:textAlignment w:val="bottom"/>
            </w:pPr>
            <w:r>
              <w:rPr>
                <w:rFonts w:ascii="Arial" w:eastAsia="宋体" w:hAnsi="Arial" w:cs="Arial"/>
                <w:color w:val="000000"/>
                <w:sz w:val="12"/>
                <w:szCs w:val="12"/>
              </w:rPr>
              <w:t>(50) bps</w:t>
            </w:r>
          </w:p>
        </w:tc>
        <w:tc>
          <w:tcPr>
            <w:tcW w:w="0" w:type="auto"/>
            <w:gridSpan w:val="3"/>
            <w:shd w:val="clear" w:color="auto" w:fill="auto"/>
            <w:vAlign w:val="bottom"/>
          </w:tcPr>
          <w:p w14:paraId="392BE6BD" w14:textId="77777777" w:rsidR="00980E5F" w:rsidRDefault="00980E5F">
            <w:pPr>
              <w:rPr>
                <w:rFonts w:ascii="宋体"/>
                <w:vanish/>
              </w:rPr>
            </w:pPr>
          </w:p>
        </w:tc>
        <w:tc>
          <w:tcPr>
            <w:tcW w:w="0" w:type="auto"/>
            <w:gridSpan w:val="3"/>
            <w:shd w:val="clear" w:color="auto" w:fill="auto"/>
            <w:vAlign w:val="bottom"/>
          </w:tcPr>
          <w:p w14:paraId="392BE6BE" w14:textId="77777777" w:rsidR="00980E5F" w:rsidRDefault="00980E5F">
            <w:pPr>
              <w:rPr>
                <w:rFonts w:ascii="宋体"/>
                <w:vanish/>
              </w:rPr>
            </w:pPr>
          </w:p>
        </w:tc>
        <w:tc>
          <w:tcPr>
            <w:tcW w:w="0" w:type="auto"/>
            <w:gridSpan w:val="3"/>
            <w:shd w:val="clear" w:color="auto" w:fill="auto"/>
            <w:vAlign w:val="bottom"/>
          </w:tcPr>
          <w:p w14:paraId="392BE6BF" w14:textId="77777777" w:rsidR="00980E5F" w:rsidRDefault="00980E5F">
            <w:pPr>
              <w:rPr>
                <w:rFonts w:ascii="宋体"/>
                <w:vanish/>
              </w:rPr>
            </w:pPr>
          </w:p>
        </w:tc>
        <w:tc>
          <w:tcPr>
            <w:tcW w:w="0" w:type="auto"/>
            <w:gridSpan w:val="3"/>
            <w:shd w:val="clear" w:color="auto" w:fill="auto"/>
            <w:vAlign w:val="bottom"/>
          </w:tcPr>
          <w:p w14:paraId="392BE6C0" w14:textId="77777777" w:rsidR="00980E5F" w:rsidRDefault="00980E5F">
            <w:pPr>
              <w:rPr>
                <w:rFonts w:ascii="宋体"/>
                <w:vanish/>
              </w:rPr>
            </w:pPr>
          </w:p>
        </w:tc>
        <w:tc>
          <w:tcPr>
            <w:tcW w:w="0" w:type="auto"/>
            <w:gridSpan w:val="3"/>
            <w:shd w:val="clear" w:color="auto" w:fill="auto"/>
            <w:vAlign w:val="bottom"/>
          </w:tcPr>
          <w:p w14:paraId="392BE6C1" w14:textId="77777777" w:rsidR="00980E5F" w:rsidRDefault="00980E5F">
            <w:pPr>
              <w:rPr>
                <w:rFonts w:ascii="宋体"/>
                <w:vanish/>
              </w:rPr>
            </w:pPr>
          </w:p>
        </w:tc>
      </w:tr>
      <w:tr w:rsidR="00980E5F" w14:paraId="392BE6D1" w14:textId="77777777">
        <w:tc>
          <w:tcPr>
            <w:tcW w:w="0" w:type="auto"/>
            <w:gridSpan w:val="3"/>
            <w:shd w:val="clear" w:color="auto" w:fill="FFFFFF"/>
            <w:tcMar>
              <w:top w:w="40" w:type="dxa"/>
              <w:left w:w="20" w:type="dxa"/>
              <w:bottom w:w="40" w:type="dxa"/>
              <w:right w:w="20" w:type="dxa"/>
            </w:tcMar>
            <w:vAlign w:val="bottom"/>
          </w:tcPr>
          <w:p w14:paraId="392BE6C3" w14:textId="77777777" w:rsidR="00980E5F" w:rsidRDefault="00483613">
            <w:pPr>
              <w:textAlignment w:val="bottom"/>
            </w:pPr>
            <w:r>
              <w:rPr>
                <w:rFonts w:ascii="Arial" w:eastAsia="宋体" w:hAnsi="Arial" w:cs="Arial"/>
                <w:color w:val="000000"/>
                <w:sz w:val="12"/>
                <w:szCs w:val="12"/>
              </w:rPr>
              <w:t>Pre-tax margin</w:t>
            </w:r>
          </w:p>
        </w:tc>
        <w:tc>
          <w:tcPr>
            <w:tcW w:w="0" w:type="auto"/>
            <w:gridSpan w:val="2"/>
            <w:shd w:val="clear" w:color="auto" w:fill="FFFFFF"/>
            <w:tcMar>
              <w:top w:w="40" w:type="dxa"/>
              <w:left w:w="20" w:type="dxa"/>
              <w:bottom w:w="40" w:type="dxa"/>
              <w:right w:w="0" w:type="dxa"/>
            </w:tcMar>
            <w:vAlign w:val="bottom"/>
          </w:tcPr>
          <w:p w14:paraId="392BE6C4" w14:textId="77777777" w:rsidR="00980E5F" w:rsidRDefault="00483613">
            <w:pPr>
              <w:jc w:val="right"/>
              <w:textAlignment w:val="bottom"/>
            </w:pPr>
            <w:r>
              <w:rPr>
                <w:rFonts w:ascii="Arial" w:eastAsia="宋体" w:hAnsi="Arial" w:cs="Arial"/>
                <w:b/>
                <w:bCs/>
                <w:color w:val="000000"/>
                <w:sz w:val="12"/>
                <w:szCs w:val="12"/>
              </w:rPr>
              <w:t>28.3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6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C7" w14:textId="77777777" w:rsidR="00980E5F" w:rsidRDefault="00483613">
            <w:pPr>
              <w:jc w:val="right"/>
              <w:textAlignment w:val="bottom"/>
            </w:pPr>
            <w:r>
              <w:rPr>
                <w:rFonts w:ascii="Arial" w:eastAsia="宋体" w:hAnsi="Arial" w:cs="Arial"/>
                <w:color w:val="000000"/>
                <w:sz w:val="12"/>
                <w:szCs w:val="12"/>
              </w:rPr>
              <w:t>30.9 </w:t>
            </w:r>
          </w:p>
        </w:tc>
        <w:tc>
          <w:tcPr>
            <w:tcW w:w="0" w:type="auto"/>
            <w:shd w:val="clear" w:color="auto" w:fill="FFFFFF"/>
            <w:tcMar>
              <w:top w:w="40" w:type="dxa"/>
              <w:left w:w="0" w:type="dxa"/>
              <w:bottom w:w="40" w:type="dxa"/>
              <w:right w:w="20" w:type="dxa"/>
            </w:tcMar>
            <w:vAlign w:val="bottom"/>
          </w:tcPr>
          <w:p w14:paraId="392BE6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6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6CA" w14:textId="77777777" w:rsidR="00980E5F" w:rsidRDefault="00483613">
            <w:pPr>
              <w:jc w:val="right"/>
              <w:textAlignment w:val="bottom"/>
            </w:pPr>
            <w:r>
              <w:rPr>
                <w:rFonts w:ascii="Arial" w:eastAsia="宋体" w:hAnsi="Arial" w:cs="Arial"/>
                <w:color w:val="000000"/>
                <w:sz w:val="12"/>
                <w:szCs w:val="12"/>
              </w:rPr>
              <w:t>(260)</w:t>
            </w:r>
          </w:p>
        </w:tc>
        <w:tc>
          <w:tcPr>
            <w:tcW w:w="0" w:type="auto"/>
            <w:shd w:val="clear" w:color="auto" w:fill="FFFFFF"/>
            <w:tcMar>
              <w:top w:w="40" w:type="dxa"/>
              <w:left w:w="0" w:type="dxa"/>
              <w:bottom w:w="40" w:type="dxa"/>
              <w:right w:w="20" w:type="dxa"/>
            </w:tcMar>
            <w:vAlign w:val="bottom"/>
          </w:tcPr>
          <w:p w14:paraId="392BE6CB" w14:textId="77777777" w:rsidR="00980E5F" w:rsidRDefault="00980E5F">
            <w:pPr>
              <w:jc w:val="right"/>
              <w:rPr>
                <w:rFonts w:ascii="宋体"/>
              </w:rPr>
            </w:pPr>
          </w:p>
        </w:tc>
        <w:tc>
          <w:tcPr>
            <w:tcW w:w="0" w:type="auto"/>
            <w:gridSpan w:val="3"/>
            <w:shd w:val="clear" w:color="auto" w:fill="auto"/>
            <w:vAlign w:val="bottom"/>
          </w:tcPr>
          <w:p w14:paraId="392BE6CC" w14:textId="77777777" w:rsidR="00980E5F" w:rsidRDefault="00980E5F">
            <w:pPr>
              <w:rPr>
                <w:rFonts w:ascii="宋体"/>
                <w:vanish/>
              </w:rPr>
            </w:pPr>
          </w:p>
        </w:tc>
        <w:tc>
          <w:tcPr>
            <w:tcW w:w="0" w:type="auto"/>
            <w:gridSpan w:val="3"/>
            <w:shd w:val="clear" w:color="auto" w:fill="auto"/>
            <w:vAlign w:val="bottom"/>
          </w:tcPr>
          <w:p w14:paraId="392BE6CD" w14:textId="77777777" w:rsidR="00980E5F" w:rsidRDefault="00980E5F">
            <w:pPr>
              <w:rPr>
                <w:rFonts w:ascii="宋体"/>
                <w:vanish/>
              </w:rPr>
            </w:pPr>
          </w:p>
        </w:tc>
        <w:tc>
          <w:tcPr>
            <w:tcW w:w="0" w:type="auto"/>
            <w:gridSpan w:val="3"/>
            <w:shd w:val="clear" w:color="auto" w:fill="auto"/>
            <w:vAlign w:val="bottom"/>
          </w:tcPr>
          <w:p w14:paraId="392BE6CE" w14:textId="77777777" w:rsidR="00980E5F" w:rsidRDefault="00980E5F">
            <w:pPr>
              <w:rPr>
                <w:rFonts w:ascii="宋体"/>
                <w:vanish/>
              </w:rPr>
            </w:pPr>
          </w:p>
        </w:tc>
        <w:tc>
          <w:tcPr>
            <w:tcW w:w="0" w:type="auto"/>
            <w:gridSpan w:val="3"/>
            <w:shd w:val="clear" w:color="auto" w:fill="auto"/>
            <w:vAlign w:val="bottom"/>
          </w:tcPr>
          <w:p w14:paraId="392BE6CF" w14:textId="77777777" w:rsidR="00980E5F" w:rsidRDefault="00980E5F">
            <w:pPr>
              <w:rPr>
                <w:rFonts w:ascii="宋体"/>
                <w:vanish/>
              </w:rPr>
            </w:pPr>
          </w:p>
        </w:tc>
        <w:tc>
          <w:tcPr>
            <w:tcW w:w="0" w:type="auto"/>
            <w:gridSpan w:val="3"/>
            <w:shd w:val="clear" w:color="auto" w:fill="auto"/>
            <w:vAlign w:val="bottom"/>
          </w:tcPr>
          <w:p w14:paraId="392BE6D0" w14:textId="77777777" w:rsidR="00980E5F" w:rsidRDefault="00980E5F">
            <w:pPr>
              <w:rPr>
                <w:rFonts w:ascii="宋体"/>
                <w:vanish/>
              </w:rPr>
            </w:pPr>
          </w:p>
        </w:tc>
      </w:tr>
      <w:tr w:rsidR="00980E5F" w14:paraId="392BE6DD" w14:textId="77777777">
        <w:trPr>
          <w:trHeight w:val="100"/>
        </w:trPr>
        <w:tc>
          <w:tcPr>
            <w:tcW w:w="0" w:type="auto"/>
            <w:gridSpan w:val="3"/>
            <w:shd w:val="clear" w:color="auto" w:fill="auto"/>
            <w:tcMar>
              <w:top w:w="0" w:type="dxa"/>
              <w:left w:w="20" w:type="dxa"/>
              <w:bottom w:w="0" w:type="dxa"/>
              <w:right w:w="20" w:type="dxa"/>
            </w:tcMar>
            <w:vAlign w:val="bottom"/>
          </w:tcPr>
          <w:p w14:paraId="392BE6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6D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6D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6D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6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6D7" w14:textId="77777777" w:rsidR="00980E5F" w:rsidRDefault="00980E5F">
            <w:pPr>
              <w:rPr>
                <w:rFonts w:ascii="宋体"/>
              </w:rPr>
            </w:pPr>
          </w:p>
        </w:tc>
        <w:tc>
          <w:tcPr>
            <w:tcW w:w="0" w:type="auto"/>
            <w:gridSpan w:val="3"/>
            <w:shd w:val="clear" w:color="auto" w:fill="auto"/>
            <w:vAlign w:val="bottom"/>
          </w:tcPr>
          <w:p w14:paraId="392BE6D8" w14:textId="77777777" w:rsidR="00980E5F" w:rsidRDefault="00980E5F">
            <w:pPr>
              <w:rPr>
                <w:rFonts w:ascii="宋体"/>
                <w:vanish/>
              </w:rPr>
            </w:pPr>
          </w:p>
        </w:tc>
        <w:tc>
          <w:tcPr>
            <w:tcW w:w="0" w:type="auto"/>
            <w:gridSpan w:val="3"/>
            <w:shd w:val="clear" w:color="auto" w:fill="auto"/>
            <w:vAlign w:val="bottom"/>
          </w:tcPr>
          <w:p w14:paraId="392BE6D9" w14:textId="77777777" w:rsidR="00980E5F" w:rsidRDefault="00980E5F">
            <w:pPr>
              <w:rPr>
                <w:rFonts w:ascii="宋体"/>
                <w:vanish/>
              </w:rPr>
            </w:pPr>
          </w:p>
        </w:tc>
        <w:tc>
          <w:tcPr>
            <w:tcW w:w="0" w:type="auto"/>
            <w:gridSpan w:val="3"/>
            <w:shd w:val="clear" w:color="auto" w:fill="auto"/>
            <w:vAlign w:val="bottom"/>
          </w:tcPr>
          <w:p w14:paraId="392BE6DA" w14:textId="77777777" w:rsidR="00980E5F" w:rsidRDefault="00980E5F">
            <w:pPr>
              <w:rPr>
                <w:rFonts w:ascii="宋体"/>
                <w:vanish/>
              </w:rPr>
            </w:pPr>
          </w:p>
        </w:tc>
        <w:tc>
          <w:tcPr>
            <w:tcW w:w="0" w:type="auto"/>
            <w:gridSpan w:val="3"/>
            <w:shd w:val="clear" w:color="auto" w:fill="auto"/>
            <w:vAlign w:val="bottom"/>
          </w:tcPr>
          <w:p w14:paraId="392BE6DB" w14:textId="77777777" w:rsidR="00980E5F" w:rsidRDefault="00980E5F">
            <w:pPr>
              <w:rPr>
                <w:rFonts w:ascii="宋体"/>
                <w:vanish/>
              </w:rPr>
            </w:pPr>
          </w:p>
        </w:tc>
        <w:tc>
          <w:tcPr>
            <w:tcW w:w="0" w:type="auto"/>
            <w:gridSpan w:val="3"/>
            <w:shd w:val="clear" w:color="auto" w:fill="auto"/>
            <w:vAlign w:val="bottom"/>
          </w:tcPr>
          <w:p w14:paraId="392BE6DC" w14:textId="77777777" w:rsidR="00980E5F" w:rsidRDefault="00980E5F">
            <w:pPr>
              <w:rPr>
                <w:rFonts w:ascii="宋体"/>
                <w:vanish/>
              </w:rPr>
            </w:pPr>
          </w:p>
        </w:tc>
      </w:tr>
      <w:tr w:rsidR="00980E5F" w14:paraId="392BE6E7" w14:textId="77777777">
        <w:trPr>
          <w:trHeight w:val="340"/>
        </w:trPr>
        <w:tc>
          <w:tcPr>
            <w:tcW w:w="0" w:type="auto"/>
            <w:gridSpan w:val="3"/>
            <w:shd w:val="clear" w:color="auto" w:fill="auto"/>
            <w:tcMar>
              <w:top w:w="0" w:type="dxa"/>
              <w:left w:w="20" w:type="dxa"/>
              <w:bottom w:w="0" w:type="dxa"/>
              <w:right w:w="20" w:type="dxa"/>
            </w:tcMar>
            <w:vAlign w:val="bottom"/>
          </w:tcPr>
          <w:p w14:paraId="392BE6DE"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BE6DF" w14:textId="77777777" w:rsidR="00980E5F" w:rsidRDefault="00483613">
            <w:pPr>
              <w:jc w:val="center"/>
              <w:textAlignment w:val="bottom"/>
            </w:pPr>
            <w:r>
              <w:rPr>
                <w:rFonts w:ascii="Arial" w:eastAsia="宋体" w:hAnsi="Arial" w:cs="Arial"/>
                <w:b/>
                <w:bCs/>
                <w:color w:val="000000"/>
                <w:sz w:val="12"/>
                <w:szCs w:val="12"/>
              </w:rPr>
              <w:t>Six Months Ended June 30,</w:t>
            </w:r>
          </w:p>
        </w:tc>
        <w:tc>
          <w:tcPr>
            <w:tcW w:w="0" w:type="auto"/>
            <w:gridSpan w:val="3"/>
            <w:shd w:val="clear" w:color="auto" w:fill="auto"/>
            <w:tcMar>
              <w:top w:w="0" w:type="dxa"/>
              <w:left w:w="20" w:type="dxa"/>
              <w:bottom w:w="0" w:type="dxa"/>
              <w:right w:w="20" w:type="dxa"/>
            </w:tcMar>
            <w:vAlign w:val="bottom"/>
          </w:tcPr>
          <w:p w14:paraId="392BE6E0"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BE6E1" w14:textId="77777777" w:rsidR="00980E5F" w:rsidRDefault="00483613">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392BE6E2" w14:textId="77777777" w:rsidR="00980E5F" w:rsidRDefault="00980E5F">
            <w:pPr>
              <w:rPr>
                <w:rFonts w:ascii="宋体"/>
                <w:vanish/>
              </w:rPr>
            </w:pPr>
          </w:p>
        </w:tc>
        <w:tc>
          <w:tcPr>
            <w:tcW w:w="0" w:type="auto"/>
            <w:gridSpan w:val="3"/>
            <w:shd w:val="clear" w:color="auto" w:fill="auto"/>
            <w:vAlign w:val="bottom"/>
          </w:tcPr>
          <w:p w14:paraId="392BE6E3" w14:textId="77777777" w:rsidR="00980E5F" w:rsidRDefault="00980E5F">
            <w:pPr>
              <w:rPr>
                <w:rFonts w:ascii="宋体"/>
                <w:vanish/>
              </w:rPr>
            </w:pPr>
          </w:p>
        </w:tc>
        <w:tc>
          <w:tcPr>
            <w:tcW w:w="0" w:type="auto"/>
            <w:gridSpan w:val="3"/>
            <w:shd w:val="clear" w:color="auto" w:fill="auto"/>
            <w:vAlign w:val="bottom"/>
          </w:tcPr>
          <w:p w14:paraId="392BE6E4" w14:textId="77777777" w:rsidR="00980E5F" w:rsidRDefault="00980E5F">
            <w:pPr>
              <w:rPr>
                <w:rFonts w:ascii="宋体"/>
                <w:vanish/>
              </w:rPr>
            </w:pPr>
          </w:p>
        </w:tc>
        <w:tc>
          <w:tcPr>
            <w:tcW w:w="0" w:type="auto"/>
            <w:gridSpan w:val="3"/>
            <w:shd w:val="clear" w:color="auto" w:fill="auto"/>
            <w:vAlign w:val="bottom"/>
          </w:tcPr>
          <w:p w14:paraId="392BE6E5" w14:textId="77777777" w:rsidR="00980E5F" w:rsidRDefault="00980E5F">
            <w:pPr>
              <w:rPr>
                <w:rFonts w:ascii="宋体"/>
                <w:vanish/>
              </w:rPr>
            </w:pPr>
          </w:p>
        </w:tc>
        <w:tc>
          <w:tcPr>
            <w:tcW w:w="0" w:type="auto"/>
            <w:gridSpan w:val="3"/>
            <w:shd w:val="clear" w:color="auto" w:fill="auto"/>
            <w:vAlign w:val="bottom"/>
          </w:tcPr>
          <w:p w14:paraId="392BE6E6" w14:textId="77777777" w:rsidR="00980E5F" w:rsidRDefault="00980E5F">
            <w:pPr>
              <w:rPr>
                <w:rFonts w:ascii="宋体"/>
                <w:vanish/>
              </w:rPr>
            </w:pPr>
          </w:p>
        </w:tc>
      </w:tr>
      <w:tr w:rsidR="00980E5F" w14:paraId="392BE6F3" w14:textId="77777777">
        <w:trPr>
          <w:trHeight w:val="340"/>
        </w:trPr>
        <w:tc>
          <w:tcPr>
            <w:tcW w:w="0" w:type="auto"/>
            <w:gridSpan w:val="3"/>
            <w:shd w:val="clear" w:color="auto" w:fill="auto"/>
            <w:tcMar>
              <w:top w:w="40" w:type="dxa"/>
              <w:left w:w="20" w:type="dxa"/>
              <w:bottom w:w="40" w:type="dxa"/>
              <w:right w:w="20" w:type="dxa"/>
            </w:tcMar>
            <w:vAlign w:val="bottom"/>
          </w:tcPr>
          <w:p w14:paraId="392BE6E8" w14:textId="77777777" w:rsidR="00980E5F" w:rsidRDefault="00483613">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6E9" w14:textId="77777777" w:rsidR="00980E5F" w:rsidRDefault="00483613">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6E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6EB" w14:textId="77777777" w:rsidR="00980E5F" w:rsidRDefault="00483613">
            <w:pPr>
              <w:jc w:val="center"/>
              <w:textAlignment w:val="bottom"/>
            </w:pPr>
            <w:r>
              <w:rPr>
                <w:rFonts w:ascii="Arial" w:eastAsia="宋体" w:hAnsi="Arial" w:cs="Arial"/>
                <w:b/>
                <w:bCs/>
                <w:color w:val="000000"/>
                <w:sz w:val="12"/>
                <w:szCs w:val="12"/>
              </w:rPr>
              <w:t>2021</w:t>
            </w:r>
          </w:p>
        </w:tc>
        <w:tc>
          <w:tcPr>
            <w:tcW w:w="0" w:type="auto"/>
            <w:gridSpan w:val="3"/>
            <w:shd w:val="clear" w:color="auto" w:fill="auto"/>
            <w:tcMar>
              <w:top w:w="0" w:type="dxa"/>
              <w:left w:w="20" w:type="dxa"/>
              <w:bottom w:w="0" w:type="dxa"/>
              <w:right w:w="20" w:type="dxa"/>
            </w:tcMar>
            <w:vAlign w:val="bottom"/>
          </w:tcPr>
          <w:p w14:paraId="392BE6EC"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BE6ED" w14:textId="77777777" w:rsidR="00980E5F" w:rsidRDefault="00980E5F">
            <w:pPr>
              <w:jc w:val="center"/>
              <w:rPr>
                <w:rFonts w:ascii="宋体"/>
              </w:rPr>
            </w:pPr>
          </w:p>
        </w:tc>
        <w:tc>
          <w:tcPr>
            <w:tcW w:w="0" w:type="auto"/>
            <w:gridSpan w:val="3"/>
            <w:shd w:val="clear" w:color="auto" w:fill="auto"/>
            <w:vAlign w:val="bottom"/>
          </w:tcPr>
          <w:p w14:paraId="392BE6EE" w14:textId="77777777" w:rsidR="00980E5F" w:rsidRDefault="00980E5F">
            <w:pPr>
              <w:rPr>
                <w:rFonts w:ascii="宋体"/>
                <w:vanish/>
              </w:rPr>
            </w:pPr>
          </w:p>
        </w:tc>
        <w:tc>
          <w:tcPr>
            <w:tcW w:w="0" w:type="auto"/>
            <w:gridSpan w:val="3"/>
            <w:shd w:val="clear" w:color="auto" w:fill="auto"/>
            <w:vAlign w:val="bottom"/>
          </w:tcPr>
          <w:p w14:paraId="392BE6EF" w14:textId="77777777" w:rsidR="00980E5F" w:rsidRDefault="00980E5F">
            <w:pPr>
              <w:rPr>
                <w:rFonts w:ascii="宋体"/>
                <w:vanish/>
              </w:rPr>
            </w:pPr>
          </w:p>
        </w:tc>
        <w:tc>
          <w:tcPr>
            <w:tcW w:w="0" w:type="auto"/>
            <w:gridSpan w:val="3"/>
            <w:shd w:val="clear" w:color="auto" w:fill="auto"/>
            <w:vAlign w:val="bottom"/>
          </w:tcPr>
          <w:p w14:paraId="392BE6F0" w14:textId="77777777" w:rsidR="00980E5F" w:rsidRDefault="00980E5F">
            <w:pPr>
              <w:rPr>
                <w:rFonts w:ascii="宋体"/>
                <w:vanish/>
              </w:rPr>
            </w:pPr>
          </w:p>
        </w:tc>
        <w:tc>
          <w:tcPr>
            <w:tcW w:w="0" w:type="auto"/>
            <w:gridSpan w:val="3"/>
            <w:shd w:val="clear" w:color="auto" w:fill="auto"/>
            <w:vAlign w:val="bottom"/>
          </w:tcPr>
          <w:p w14:paraId="392BE6F1" w14:textId="77777777" w:rsidR="00980E5F" w:rsidRDefault="00980E5F">
            <w:pPr>
              <w:rPr>
                <w:rFonts w:ascii="宋体"/>
                <w:vanish/>
              </w:rPr>
            </w:pPr>
          </w:p>
        </w:tc>
        <w:tc>
          <w:tcPr>
            <w:tcW w:w="0" w:type="auto"/>
            <w:gridSpan w:val="3"/>
            <w:shd w:val="clear" w:color="auto" w:fill="auto"/>
            <w:vAlign w:val="bottom"/>
          </w:tcPr>
          <w:p w14:paraId="392BE6F2" w14:textId="77777777" w:rsidR="00980E5F" w:rsidRDefault="00980E5F">
            <w:pPr>
              <w:rPr>
                <w:rFonts w:ascii="宋体"/>
                <w:vanish/>
              </w:rPr>
            </w:pPr>
          </w:p>
        </w:tc>
      </w:tr>
      <w:tr w:rsidR="00980E5F" w14:paraId="392BE704" w14:textId="77777777">
        <w:tc>
          <w:tcPr>
            <w:tcW w:w="0" w:type="auto"/>
            <w:gridSpan w:val="3"/>
            <w:shd w:val="clear" w:color="auto" w:fill="CCEEFF"/>
            <w:tcMar>
              <w:top w:w="40" w:type="dxa"/>
              <w:left w:w="20" w:type="dxa"/>
              <w:bottom w:w="40" w:type="dxa"/>
              <w:right w:w="20" w:type="dxa"/>
            </w:tcMar>
            <w:vAlign w:val="bottom"/>
          </w:tcPr>
          <w:p w14:paraId="392BE6F4" w14:textId="77777777" w:rsidR="00980E5F" w:rsidRDefault="00483613">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6F5"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F6" w14:textId="77777777" w:rsidR="00980E5F" w:rsidRDefault="00483613">
            <w:pPr>
              <w:jc w:val="right"/>
              <w:textAlignment w:val="bottom"/>
            </w:pPr>
            <w:r>
              <w:rPr>
                <w:rFonts w:ascii="Arial" w:eastAsia="宋体" w:hAnsi="Arial" w:cs="Arial"/>
                <w:b/>
                <w:bCs/>
                <w:color w:val="000000"/>
                <w:sz w:val="12"/>
                <w:szCs w:val="12"/>
              </w:rPr>
              <w:t>4,943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F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6F9"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6FA" w14:textId="77777777" w:rsidR="00980E5F" w:rsidRDefault="00483613">
            <w:pPr>
              <w:jc w:val="right"/>
              <w:textAlignment w:val="bottom"/>
            </w:pPr>
            <w:r>
              <w:rPr>
                <w:rFonts w:ascii="Arial" w:eastAsia="宋体" w:hAnsi="Arial" w:cs="Arial"/>
                <w:color w:val="000000"/>
                <w:sz w:val="12"/>
                <w:szCs w:val="12"/>
              </w:rPr>
              <w:t>4,997 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6F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6FD" w14:textId="77777777" w:rsidR="00980E5F" w:rsidRDefault="00483613">
            <w:pPr>
              <w:jc w:val="right"/>
              <w:textAlignment w:val="bottom"/>
            </w:pPr>
            <w:r>
              <w:rPr>
                <w:rFonts w:ascii="Arial" w:eastAsia="宋体" w:hAnsi="Arial" w:cs="Arial"/>
                <w:color w:val="000000"/>
                <w:sz w:val="12"/>
                <w:szCs w:val="12"/>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6FE"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392BE6FF" w14:textId="77777777" w:rsidR="00980E5F" w:rsidRDefault="00980E5F">
            <w:pPr>
              <w:rPr>
                <w:rFonts w:ascii="宋体"/>
                <w:vanish/>
              </w:rPr>
            </w:pPr>
          </w:p>
        </w:tc>
        <w:tc>
          <w:tcPr>
            <w:tcW w:w="0" w:type="auto"/>
            <w:gridSpan w:val="3"/>
            <w:shd w:val="clear" w:color="auto" w:fill="auto"/>
            <w:vAlign w:val="bottom"/>
          </w:tcPr>
          <w:p w14:paraId="392BE700" w14:textId="77777777" w:rsidR="00980E5F" w:rsidRDefault="00980E5F">
            <w:pPr>
              <w:rPr>
                <w:rFonts w:ascii="宋体"/>
                <w:vanish/>
              </w:rPr>
            </w:pPr>
          </w:p>
        </w:tc>
        <w:tc>
          <w:tcPr>
            <w:tcW w:w="0" w:type="auto"/>
            <w:gridSpan w:val="3"/>
            <w:shd w:val="clear" w:color="auto" w:fill="auto"/>
            <w:vAlign w:val="bottom"/>
          </w:tcPr>
          <w:p w14:paraId="392BE701" w14:textId="77777777" w:rsidR="00980E5F" w:rsidRDefault="00980E5F">
            <w:pPr>
              <w:rPr>
                <w:rFonts w:ascii="宋体"/>
                <w:vanish/>
              </w:rPr>
            </w:pPr>
          </w:p>
        </w:tc>
        <w:tc>
          <w:tcPr>
            <w:tcW w:w="0" w:type="auto"/>
            <w:gridSpan w:val="3"/>
            <w:shd w:val="clear" w:color="auto" w:fill="auto"/>
            <w:vAlign w:val="bottom"/>
          </w:tcPr>
          <w:p w14:paraId="392BE702" w14:textId="77777777" w:rsidR="00980E5F" w:rsidRDefault="00980E5F">
            <w:pPr>
              <w:rPr>
                <w:rFonts w:ascii="宋体"/>
                <w:vanish/>
              </w:rPr>
            </w:pPr>
          </w:p>
        </w:tc>
        <w:tc>
          <w:tcPr>
            <w:tcW w:w="0" w:type="auto"/>
            <w:gridSpan w:val="3"/>
            <w:shd w:val="clear" w:color="auto" w:fill="auto"/>
            <w:vAlign w:val="bottom"/>
          </w:tcPr>
          <w:p w14:paraId="392BE703" w14:textId="77777777" w:rsidR="00980E5F" w:rsidRDefault="00980E5F">
            <w:pPr>
              <w:rPr>
                <w:rFonts w:ascii="宋体"/>
                <w:vanish/>
              </w:rPr>
            </w:pPr>
          </w:p>
        </w:tc>
      </w:tr>
      <w:tr w:rsidR="00980E5F" w14:paraId="392BE712" w14:textId="77777777">
        <w:tc>
          <w:tcPr>
            <w:tcW w:w="0" w:type="auto"/>
            <w:gridSpan w:val="3"/>
            <w:shd w:val="clear" w:color="auto" w:fill="FFFFFF"/>
            <w:tcMar>
              <w:top w:w="40" w:type="dxa"/>
              <w:left w:w="20" w:type="dxa"/>
              <w:bottom w:w="40" w:type="dxa"/>
              <w:right w:w="20" w:type="dxa"/>
            </w:tcMar>
            <w:vAlign w:val="bottom"/>
          </w:tcPr>
          <w:p w14:paraId="392BE705" w14:textId="77777777" w:rsidR="00980E5F" w:rsidRDefault="00483613">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392BE706" w14:textId="77777777" w:rsidR="00980E5F" w:rsidRDefault="00483613">
            <w:pPr>
              <w:jc w:val="right"/>
              <w:textAlignment w:val="bottom"/>
            </w:pPr>
            <w:r>
              <w:rPr>
                <w:rFonts w:ascii="Arial" w:eastAsia="宋体" w:hAnsi="Arial" w:cs="Arial"/>
                <w:b/>
                <w:bCs/>
                <w:color w:val="000000"/>
                <w:sz w:val="12"/>
                <w:szCs w:val="12"/>
              </w:rPr>
              <w:t>1,093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09" w14:textId="77777777" w:rsidR="00980E5F" w:rsidRDefault="00483613">
            <w:pPr>
              <w:jc w:val="right"/>
              <w:textAlignment w:val="bottom"/>
            </w:pPr>
            <w:r>
              <w:rPr>
                <w:rFonts w:ascii="Arial" w:eastAsia="宋体" w:hAnsi="Arial" w:cs="Arial"/>
                <w:color w:val="000000"/>
                <w:sz w:val="12"/>
                <w:szCs w:val="12"/>
              </w:rPr>
              <w:t>934 </w:t>
            </w:r>
          </w:p>
        </w:tc>
        <w:tc>
          <w:tcPr>
            <w:tcW w:w="0" w:type="auto"/>
            <w:shd w:val="clear" w:color="auto" w:fill="FFFFFF"/>
            <w:tcMar>
              <w:top w:w="40" w:type="dxa"/>
              <w:left w:w="0" w:type="dxa"/>
              <w:bottom w:w="40" w:type="dxa"/>
              <w:right w:w="20" w:type="dxa"/>
            </w:tcMar>
            <w:vAlign w:val="bottom"/>
          </w:tcPr>
          <w:p w14:paraId="392BE7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0B"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70C" w14:textId="77777777" w:rsidR="00980E5F" w:rsidRDefault="00483613">
            <w:pPr>
              <w:jc w:val="right"/>
              <w:textAlignment w:val="bottom"/>
            </w:pPr>
            <w:r>
              <w:rPr>
                <w:rFonts w:ascii="Arial" w:eastAsia="宋体" w:hAnsi="Arial" w:cs="Arial"/>
                <w:color w:val="000000"/>
                <w:sz w:val="12"/>
                <w:szCs w:val="12"/>
              </w:rPr>
              <w:t>17</w:t>
            </w:r>
          </w:p>
        </w:tc>
        <w:tc>
          <w:tcPr>
            <w:tcW w:w="0" w:type="auto"/>
            <w:gridSpan w:val="3"/>
            <w:shd w:val="clear" w:color="auto" w:fill="auto"/>
            <w:vAlign w:val="bottom"/>
          </w:tcPr>
          <w:p w14:paraId="392BE70D" w14:textId="77777777" w:rsidR="00980E5F" w:rsidRDefault="00980E5F">
            <w:pPr>
              <w:rPr>
                <w:rFonts w:ascii="宋体"/>
                <w:vanish/>
              </w:rPr>
            </w:pPr>
          </w:p>
        </w:tc>
        <w:tc>
          <w:tcPr>
            <w:tcW w:w="0" w:type="auto"/>
            <w:gridSpan w:val="3"/>
            <w:shd w:val="clear" w:color="auto" w:fill="auto"/>
            <w:vAlign w:val="bottom"/>
          </w:tcPr>
          <w:p w14:paraId="392BE70E" w14:textId="77777777" w:rsidR="00980E5F" w:rsidRDefault="00980E5F">
            <w:pPr>
              <w:rPr>
                <w:rFonts w:ascii="宋体"/>
                <w:vanish/>
              </w:rPr>
            </w:pPr>
          </w:p>
        </w:tc>
        <w:tc>
          <w:tcPr>
            <w:tcW w:w="0" w:type="auto"/>
            <w:gridSpan w:val="3"/>
            <w:shd w:val="clear" w:color="auto" w:fill="auto"/>
            <w:vAlign w:val="bottom"/>
          </w:tcPr>
          <w:p w14:paraId="392BE70F" w14:textId="77777777" w:rsidR="00980E5F" w:rsidRDefault="00980E5F">
            <w:pPr>
              <w:rPr>
                <w:rFonts w:ascii="宋体"/>
                <w:vanish/>
              </w:rPr>
            </w:pPr>
          </w:p>
        </w:tc>
        <w:tc>
          <w:tcPr>
            <w:tcW w:w="0" w:type="auto"/>
            <w:gridSpan w:val="3"/>
            <w:shd w:val="clear" w:color="auto" w:fill="auto"/>
            <w:vAlign w:val="bottom"/>
          </w:tcPr>
          <w:p w14:paraId="392BE710" w14:textId="77777777" w:rsidR="00980E5F" w:rsidRDefault="00980E5F">
            <w:pPr>
              <w:rPr>
                <w:rFonts w:ascii="宋体"/>
                <w:vanish/>
              </w:rPr>
            </w:pPr>
          </w:p>
        </w:tc>
        <w:tc>
          <w:tcPr>
            <w:tcW w:w="0" w:type="auto"/>
            <w:gridSpan w:val="3"/>
            <w:shd w:val="clear" w:color="auto" w:fill="auto"/>
            <w:vAlign w:val="bottom"/>
          </w:tcPr>
          <w:p w14:paraId="392BE711" w14:textId="77777777" w:rsidR="00980E5F" w:rsidRDefault="00980E5F">
            <w:pPr>
              <w:rPr>
                <w:rFonts w:ascii="宋体"/>
                <w:vanish/>
              </w:rPr>
            </w:pPr>
          </w:p>
        </w:tc>
      </w:tr>
      <w:tr w:rsidR="00980E5F" w14:paraId="392BE721" w14:textId="77777777">
        <w:tc>
          <w:tcPr>
            <w:tcW w:w="0" w:type="auto"/>
            <w:gridSpan w:val="3"/>
            <w:shd w:val="clear" w:color="auto" w:fill="CCEEFF"/>
            <w:tcMar>
              <w:top w:w="40" w:type="dxa"/>
              <w:left w:w="20" w:type="dxa"/>
              <w:bottom w:w="40" w:type="dxa"/>
              <w:right w:w="20" w:type="dxa"/>
            </w:tcMar>
            <w:vAlign w:val="bottom"/>
          </w:tcPr>
          <w:p w14:paraId="392BE713" w14:textId="77777777" w:rsidR="00980E5F" w:rsidRDefault="00483613">
            <w:pPr>
              <w:textAlignment w:val="bottom"/>
            </w:pPr>
            <w:r>
              <w:rPr>
                <w:rFonts w:ascii="Arial" w:eastAsia="宋体" w:hAnsi="Arial" w:cs="Arial"/>
                <w:color w:val="000000"/>
                <w:sz w:val="12"/>
                <w:szCs w:val="12"/>
              </w:rPr>
              <w:t>Total other income</w:t>
            </w:r>
          </w:p>
        </w:tc>
        <w:tc>
          <w:tcPr>
            <w:tcW w:w="0" w:type="auto"/>
            <w:gridSpan w:val="2"/>
            <w:shd w:val="clear" w:color="auto" w:fill="CCEEFF"/>
            <w:tcMar>
              <w:top w:w="40" w:type="dxa"/>
              <w:left w:w="20" w:type="dxa"/>
              <w:bottom w:w="40" w:type="dxa"/>
              <w:right w:w="0" w:type="dxa"/>
            </w:tcMar>
            <w:vAlign w:val="bottom"/>
          </w:tcPr>
          <w:p w14:paraId="392BE714" w14:textId="77777777" w:rsidR="00980E5F" w:rsidRDefault="00483613">
            <w:pPr>
              <w:jc w:val="right"/>
              <w:textAlignment w:val="bottom"/>
            </w:pPr>
            <w:r>
              <w:rPr>
                <w:rFonts w:ascii="Arial" w:eastAsia="宋体" w:hAnsi="Arial" w:cs="Arial"/>
                <w:b/>
                <w:bCs/>
                <w:color w:val="000000"/>
                <w:sz w:val="12"/>
                <w:szCs w:val="12"/>
              </w:rPr>
              <w:t>(2)</w:t>
            </w:r>
          </w:p>
        </w:tc>
        <w:tc>
          <w:tcPr>
            <w:tcW w:w="0" w:type="auto"/>
            <w:shd w:val="clear" w:color="auto" w:fill="CCEEFF"/>
            <w:tcMar>
              <w:top w:w="40" w:type="dxa"/>
              <w:left w:w="0" w:type="dxa"/>
              <w:bottom w:w="40" w:type="dxa"/>
              <w:right w:w="20" w:type="dxa"/>
            </w:tcMar>
            <w:vAlign w:val="bottom"/>
          </w:tcPr>
          <w:p w14:paraId="392BE715"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BE716"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717"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BE718" w14:textId="77777777" w:rsidR="00980E5F" w:rsidRDefault="00483613">
            <w:pPr>
              <w:jc w:val="right"/>
              <w:textAlignment w:val="bottom"/>
            </w:pPr>
            <w:r>
              <w:rPr>
                <w:rFonts w:ascii="Arial" w:eastAsia="宋体" w:hAnsi="Arial" w:cs="Arial"/>
                <w:color w:val="000000"/>
                <w:sz w:val="12"/>
                <w:szCs w:val="12"/>
              </w:rPr>
              <w:t>53 </w:t>
            </w:r>
          </w:p>
        </w:tc>
        <w:tc>
          <w:tcPr>
            <w:tcW w:w="0" w:type="auto"/>
            <w:shd w:val="clear" w:color="auto" w:fill="CCEEFF"/>
            <w:tcMar>
              <w:top w:w="40" w:type="dxa"/>
              <w:left w:w="0" w:type="dxa"/>
              <w:bottom w:w="40" w:type="dxa"/>
              <w:right w:w="20" w:type="dxa"/>
            </w:tcMar>
            <w:vAlign w:val="bottom"/>
          </w:tcPr>
          <w:p w14:paraId="392BE7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1A"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71B" w14:textId="77777777" w:rsidR="00980E5F" w:rsidRDefault="00483613">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392BE71C" w14:textId="77777777" w:rsidR="00980E5F" w:rsidRDefault="00980E5F">
            <w:pPr>
              <w:rPr>
                <w:rFonts w:ascii="宋体"/>
                <w:vanish/>
              </w:rPr>
            </w:pPr>
          </w:p>
        </w:tc>
        <w:tc>
          <w:tcPr>
            <w:tcW w:w="0" w:type="auto"/>
            <w:gridSpan w:val="3"/>
            <w:shd w:val="clear" w:color="auto" w:fill="auto"/>
            <w:vAlign w:val="bottom"/>
          </w:tcPr>
          <w:p w14:paraId="392BE71D" w14:textId="77777777" w:rsidR="00980E5F" w:rsidRDefault="00980E5F">
            <w:pPr>
              <w:rPr>
                <w:rFonts w:ascii="宋体"/>
                <w:vanish/>
              </w:rPr>
            </w:pPr>
          </w:p>
        </w:tc>
        <w:tc>
          <w:tcPr>
            <w:tcW w:w="0" w:type="auto"/>
            <w:gridSpan w:val="3"/>
            <w:shd w:val="clear" w:color="auto" w:fill="auto"/>
            <w:vAlign w:val="bottom"/>
          </w:tcPr>
          <w:p w14:paraId="392BE71E" w14:textId="77777777" w:rsidR="00980E5F" w:rsidRDefault="00980E5F">
            <w:pPr>
              <w:rPr>
                <w:rFonts w:ascii="宋体"/>
                <w:vanish/>
              </w:rPr>
            </w:pPr>
          </w:p>
        </w:tc>
        <w:tc>
          <w:tcPr>
            <w:tcW w:w="0" w:type="auto"/>
            <w:gridSpan w:val="3"/>
            <w:shd w:val="clear" w:color="auto" w:fill="auto"/>
            <w:vAlign w:val="bottom"/>
          </w:tcPr>
          <w:p w14:paraId="392BE71F" w14:textId="77777777" w:rsidR="00980E5F" w:rsidRDefault="00980E5F">
            <w:pPr>
              <w:rPr>
                <w:rFonts w:ascii="宋体"/>
                <w:vanish/>
              </w:rPr>
            </w:pPr>
          </w:p>
        </w:tc>
        <w:tc>
          <w:tcPr>
            <w:tcW w:w="0" w:type="auto"/>
            <w:gridSpan w:val="3"/>
            <w:shd w:val="clear" w:color="auto" w:fill="auto"/>
            <w:vAlign w:val="bottom"/>
          </w:tcPr>
          <w:p w14:paraId="392BE720" w14:textId="77777777" w:rsidR="00980E5F" w:rsidRDefault="00980E5F">
            <w:pPr>
              <w:rPr>
                <w:rFonts w:ascii="宋体"/>
                <w:vanish/>
              </w:rPr>
            </w:pPr>
          </w:p>
        </w:tc>
      </w:tr>
      <w:tr w:rsidR="00980E5F" w14:paraId="392BE730" w14:textId="77777777">
        <w:tc>
          <w:tcPr>
            <w:tcW w:w="0" w:type="auto"/>
            <w:gridSpan w:val="3"/>
            <w:shd w:val="clear" w:color="auto" w:fill="FFFFFF"/>
            <w:tcMar>
              <w:top w:w="40" w:type="dxa"/>
              <w:left w:w="20" w:type="dxa"/>
              <w:bottom w:w="40" w:type="dxa"/>
              <w:right w:w="20" w:type="dxa"/>
            </w:tcMar>
            <w:vAlign w:val="bottom"/>
          </w:tcPr>
          <w:p w14:paraId="392BE722" w14:textId="77777777" w:rsidR="00980E5F" w:rsidRDefault="00483613">
            <w:pPr>
              <w:textAlignment w:val="bottom"/>
            </w:pPr>
            <w:r>
              <w:rPr>
                <w:rFonts w:ascii="Arial" w:eastAsia="宋体" w:hAnsi="Arial" w:cs="Arial"/>
                <w:color w:val="000000"/>
                <w:sz w:val="12"/>
                <w:szCs w:val="12"/>
              </w:rPr>
              <w:t xml:space="preserve">Total </w:t>
            </w:r>
            <w:r>
              <w:rPr>
                <w:rFonts w:ascii="Arial" w:eastAsia="宋体" w:hAnsi="Arial" w:cs="Arial"/>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E723" w14:textId="77777777" w:rsidR="00980E5F" w:rsidRDefault="00483613">
            <w:pPr>
              <w:jc w:val="right"/>
              <w:textAlignment w:val="bottom"/>
            </w:pPr>
            <w:r>
              <w:rPr>
                <w:rFonts w:ascii="Arial" w:eastAsia="宋体" w:hAnsi="Arial" w:cs="Arial"/>
                <w:b/>
                <w:bCs/>
                <w:color w:val="000000"/>
                <w:sz w:val="12"/>
                <w:szCs w:val="12"/>
              </w:rPr>
              <w:t>6,034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7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2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E726" w14:textId="77777777" w:rsidR="00980E5F" w:rsidRDefault="00483613">
            <w:pPr>
              <w:jc w:val="right"/>
              <w:textAlignment w:val="bottom"/>
            </w:pPr>
            <w:r>
              <w:rPr>
                <w:rFonts w:ascii="Arial" w:eastAsia="宋体" w:hAnsi="Arial" w:cs="Arial"/>
                <w:color w:val="000000"/>
                <w:sz w:val="12"/>
                <w:szCs w:val="12"/>
              </w:rPr>
              <w:t>5,984 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7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29"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392BE72A" w14:textId="77777777" w:rsidR="00980E5F" w:rsidRDefault="00980E5F">
            <w:pPr>
              <w:jc w:val="right"/>
              <w:rPr>
                <w:rFonts w:ascii="宋体"/>
              </w:rPr>
            </w:pPr>
          </w:p>
        </w:tc>
        <w:tc>
          <w:tcPr>
            <w:tcW w:w="0" w:type="auto"/>
            <w:gridSpan w:val="3"/>
            <w:shd w:val="clear" w:color="auto" w:fill="auto"/>
            <w:vAlign w:val="bottom"/>
          </w:tcPr>
          <w:p w14:paraId="392BE72B" w14:textId="77777777" w:rsidR="00980E5F" w:rsidRDefault="00980E5F">
            <w:pPr>
              <w:rPr>
                <w:rFonts w:ascii="宋体"/>
                <w:vanish/>
              </w:rPr>
            </w:pPr>
          </w:p>
        </w:tc>
        <w:tc>
          <w:tcPr>
            <w:tcW w:w="0" w:type="auto"/>
            <w:gridSpan w:val="3"/>
            <w:shd w:val="clear" w:color="auto" w:fill="auto"/>
            <w:vAlign w:val="bottom"/>
          </w:tcPr>
          <w:p w14:paraId="392BE72C" w14:textId="77777777" w:rsidR="00980E5F" w:rsidRDefault="00980E5F">
            <w:pPr>
              <w:rPr>
                <w:rFonts w:ascii="宋体"/>
                <w:vanish/>
              </w:rPr>
            </w:pPr>
          </w:p>
        </w:tc>
        <w:tc>
          <w:tcPr>
            <w:tcW w:w="0" w:type="auto"/>
            <w:gridSpan w:val="3"/>
            <w:shd w:val="clear" w:color="auto" w:fill="auto"/>
            <w:vAlign w:val="bottom"/>
          </w:tcPr>
          <w:p w14:paraId="392BE72D" w14:textId="77777777" w:rsidR="00980E5F" w:rsidRDefault="00980E5F">
            <w:pPr>
              <w:rPr>
                <w:rFonts w:ascii="宋体"/>
                <w:vanish/>
              </w:rPr>
            </w:pPr>
          </w:p>
        </w:tc>
        <w:tc>
          <w:tcPr>
            <w:tcW w:w="0" w:type="auto"/>
            <w:gridSpan w:val="3"/>
            <w:shd w:val="clear" w:color="auto" w:fill="auto"/>
            <w:vAlign w:val="bottom"/>
          </w:tcPr>
          <w:p w14:paraId="392BE72E" w14:textId="77777777" w:rsidR="00980E5F" w:rsidRDefault="00980E5F">
            <w:pPr>
              <w:rPr>
                <w:rFonts w:ascii="宋体"/>
                <w:vanish/>
              </w:rPr>
            </w:pPr>
          </w:p>
        </w:tc>
        <w:tc>
          <w:tcPr>
            <w:tcW w:w="0" w:type="auto"/>
            <w:gridSpan w:val="3"/>
            <w:shd w:val="clear" w:color="auto" w:fill="auto"/>
            <w:vAlign w:val="bottom"/>
          </w:tcPr>
          <w:p w14:paraId="392BE72F" w14:textId="77777777" w:rsidR="00980E5F" w:rsidRDefault="00980E5F">
            <w:pPr>
              <w:rPr>
                <w:rFonts w:ascii="宋体"/>
                <w:vanish/>
              </w:rPr>
            </w:pPr>
          </w:p>
        </w:tc>
      </w:tr>
      <w:tr w:rsidR="00980E5F" w14:paraId="392BE73E" w14:textId="77777777">
        <w:tc>
          <w:tcPr>
            <w:tcW w:w="0" w:type="auto"/>
            <w:gridSpan w:val="3"/>
            <w:shd w:val="clear" w:color="auto" w:fill="CCEEFF"/>
            <w:tcMar>
              <w:top w:w="40" w:type="dxa"/>
              <w:left w:w="20" w:type="dxa"/>
              <w:bottom w:w="40" w:type="dxa"/>
              <w:right w:w="20" w:type="dxa"/>
            </w:tcMar>
            <w:vAlign w:val="bottom"/>
          </w:tcPr>
          <w:p w14:paraId="392BE731" w14:textId="77777777" w:rsidR="00980E5F" w:rsidRDefault="00483613">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392BE732" w14:textId="77777777" w:rsidR="00980E5F" w:rsidRDefault="00483613">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7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35" w14:textId="77777777" w:rsidR="00980E5F" w:rsidRDefault="00483613">
            <w:pPr>
              <w:jc w:val="right"/>
              <w:textAlignment w:val="bottom"/>
            </w:pPr>
            <w:r>
              <w:rPr>
                <w:rFonts w:ascii="Arial" w:eastAsia="宋体" w:hAnsi="Arial" w:cs="Arial"/>
                <w:color w:val="000000"/>
                <w:sz w:val="12"/>
                <w:szCs w:val="12"/>
              </w:rPr>
              <w:t>(24)</w:t>
            </w:r>
          </w:p>
        </w:tc>
        <w:tc>
          <w:tcPr>
            <w:tcW w:w="0" w:type="auto"/>
            <w:shd w:val="clear" w:color="auto" w:fill="CCEEFF"/>
            <w:tcMar>
              <w:top w:w="40" w:type="dxa"/>
              <w:left w:w="0" w:type="dxa"/>
              <w:bottom w:w="40" w:type="dxa"/>
              <w:right w:w="20" w:type="dxa"/>
            </w:tcMar>
            <w:vAlign w:val="bottom"/>
          </w:tcPr>
          <w:p w14:paraId="392BE7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37"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738" w14:textId="77777777" w:rsidR="00980E5F" w:rsidRDefault="00483613">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392BE739" w14:textId="77777777" w:rsidR="00980E5F" w:rsidRDefault="00980E5F">
            <w:pPr>
              <w:rPr>
                <w:rFonts w:ascii="宋体"/>
                <w:vanish/>
              </w:rPr>
            </w:pPr>
          </w:p>
        </w:tc>
        <w:tc>
          <w:tcPr>
            <w:tcW w:w="0" w:type="auto"/>
            <w:gridSpan w:val="3"/>
            <w:shd w:val="clear" w:color="auto" w:fill="auto"/>
            <w:vAlign w:val="bottom"/>
          </w:tcPr>
          <w:p w14:paraId="392BE73A" w14:textId="77777777" w:rsidR="00980E5F" w:rsidRDefault="00980E5F">
            <w:pPr>
              <w:rPr>
                <w:rFonts w:ascii="宋体"/>
                <w:vanish/>
              </w:rPr>
            </w:pPr>
          </w:p>
        </w:tc>
        <w:tc>
          <w:tcPr>
            <w:tcW w:w="0" w:type="auto"/>
            <w:gridSpan w:val="3"/>
            <w:shd w:val="clear" w:color="auto" w:fill="auto"/>
            <w:vAlign w:val="bottom"/>
          </w:tcPr>
          <w:p w14:paraId="392BE73B" w14:textId="77777777" w:rsidR="00980E5F" w:rsidRDefault="00980E5F">
            <w:pPr>
              <w:rPr>
                <w:rFonts w:ascii="宋体"/>
                <w:vanish/>
              </w:rPr>
            </w:pPr>
          </w:p>
        </w:tc>
        <w:tc>
          <w:tcPr>
            <w:tcW w:w="0" w:type="auto"/>
            <w:gridSpan w:val="3"/>
            <w:shd w:val="clear" w:color="auto" w:fill="auto"/>
            <w:vAlign w:val="bottom"/>
          </w:tcPr>
          <w:p w14:paraId="392BE73C" w14:textId="77777777" w:rsidR="00980E5F" w:rsidRDefault="00980E5F">
            <w:pPr>
              <w:rPr>
                <w:rFonts w:ascii="宋体"/>
                <w:vanish/>
              </w:rPr>
            </w:pPr>
          </w:p>
        </w:tc>
        <w:tc>
          <w:tcPr>
            <w:tcW w:w="0" w:type="auto"/>
            <w:gridSpan w:val="3"/>
            <w:shd w:val="clear" w:color="auto" w:fill="auto"/>
            <w:vAlign w:val="bottom"/>
          </w:tcPr>
          <w:p w14:paraId="392BE73D" w14:textId="77777777" w:rsidR="00980E5F" w:rsidRDefault="00980E5F">
            <w:pPr>
              <w:rPr>
                <w:rFonts w:ascii="宋体"/>
                <w:vanish/>
              </w:rPr>
            </w:pPr>
          </w:p>
        </w:tc>
      </w:tr>
      <w:tr w:rsidR="00980E5F" w14:paraId="392BE74D" w14:textId="77777777">
        <w:tc>
          <w:tcPr>
            <w:tcW w:w="0" w:type="auto"/>
            <w:gridSpan w:val="3"/>
            <w:shd w:val="clear" w:color="auto" w:fill="FFFFFF"/>
            <w:tcMar>
              <w:top w:w="40" w:type="dxa"/>
              <w:left w:w="20" w:type="dxa"/>
              <w:bottom w:w="40" w:type="dxa"/>
              <w:right w:w="20" w:type="dxa"/>
            </w:tcMar>
            <w:vAlign w:val="bottom"/>
          </w:tcPr>
          <w:p w14:paraId="392BE73F" w14:textId="77777777" w:rsidR="00980E5F" w:rsidRDefault="00483613">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392BE740" w14:textId="77777777" w:rsidR="00980E5F" w:rsidRDefault="00483613">
            <w:pPr>
              <w:jc w:val="right"/>
              <w:textAlignment w:val="bottom"/>
            </w:pPr>
            <w:r>
              <w:rPr>
                <w:rFonts w:ascii="Arial" w:eastAsia="宋体" w:hAnsi="Arial" w:cs="Arial"/>
                <w:b/>
                <w:bCs/>
                <w:color w:val="000000"/>
                <w:sz w:val="12"/>
                <w:szCs w:val="12"/>
              </w:rPr>
              <w:t>4,435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43" w14:textId="77777777" w:rsidR="00980E5F" w:rsidRDefault="00483613">
            <w:pPr>
              <w:jc w:val="right"/>
              <w:textAlignment w:val="bottom"/>
            </w:pPr>
            <w:r>
              <w:rPr>
                <w:rFonts w:ascii="Arial" w:eastAsia="宋体" w:hAnsi="Arial" w:cs="Arial"/>
                <w:color w:val="000000"/>
                <w:sz w:val="12"/>
                <w:szCs w:val="12"/>
              </w:rPr>
              <w:t>4,443 </w:t>
            </w:r>
          </w:p>
        </w:tc>
        <w:tc>
          <w:tcPr>
            <w:tcW w:w="0" w:type="auto"/>
            <w:shd w:val="clear" w:color="auto" w:fill="FFFFFF"/>
            <w:tcMar>
              <w:top w:w="40" w:type="dxa"/>
              <w:left w:w="0" w:type="dxa"/>
              <w:bottom w:w="40" w:type="dxa"/>
              <w:right w:w="20" w:type="dxa"/>
            </w:tcMar>
            <w:vAlign w:val="bottom"/>
          </w:tcPr>
          <w:p w14:paraId="392BE7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46"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47" w14:textId="77777777" w:rsidR="00980E5F" w:rsidRDefault="00980E5F">
            <w:pPr>
              <w:jc w:val="right"/>
              <w:rPr>
                <w:rFonts w:ascii="宋体"/>
              </w:rPr>
            </w:pPr>
          </w:p>
        </w:tc>
        <w:tc>
          <w:tcPr>
            <w:tcW w:w="0" w:type="auto"/>
            <w:gridSpan w:val="3"/>
            <w:shd w:val="clear" w:color="auto" w:fill="auto"/>
            <w:vAlign w:val="bottom"/>
          </w:tcPr>
          <w:p w14:paraId="392BE748" w14:textId="77777777" w:rsidR="00980E5F" w:rsidRDefault="00980E5F">
            <w:pPr>
              <w:rPr>
                <w:rFonts w:ascii="宋体"/>
                <w:vanish/>
              </w:rPr>
            </w:pPr>
          </w:p>
        </w:tc>
        <w:tc>
          <w:tcPr>
            <w:tcW w:w="0" w:type="auto"/>
            <w:gridSpan w:val="3"/>
            <w:shd w:val="clear" w:color="auto" w:fill="auto"/>
            <w:vAlign w:val="bottom"/>
          </w:tcPr>
          <w:p w14:paraId="392BE749" w14:textId="77777777" w:rsidR="00980E5F" w:rsidRDefault="00980E5F">
            <w:pPr>
              <w:rPr>
                <w:rFonts w:ascii="宋体"/>
                <w:vanish/>
              </w:rPr>
            </w:pPr>
          </w:p>
        </w:tc>
        <w:tc>
          <w:tcPr>
            <w:tcW w:w="0" w:type="auto"/>
            <w:gridSpan w:val="3"/>
            <w:shd w:val="clear" w:color="auto" w:fill="auto"/>
            <w:vAlign w:val="bottom"/>
          </w:tcPr>
          <w:p w14:paraId="392BE74A" w14:textId="77777777" w:rsidR="00980E5F" w:rsidRDefault="00980E5F">
            <w:pPr>
              <w:rPr>
                <w:rFonts w:ascii="宋体"/>
                <w:vanish/>
              </w:rPr>
            </w:pPr>
          </w:p>
        </w:tc>
        <w:tc>
          <w:tcPr>
            <w:tcW w:w="0" w:type="auto"/>
            <w:gridSpan w:val="3"/>
            <w:shd w:val="clear" w:color="auto" w:fill="auto"/>
            <w:vAlign w:val="bottom"/>
          </w:tcPr>
          <w:p w14:paraId="392BE74B" w14:textId="77777777" w:rsidR="00980E5F" w:rsidRDefault="00980E5F">
            <w:pPr>
              <w:rPr>
                <w:rFonts w:ascii="宋体"/>
                <w:vanish/>
              </w:rPr>
            </w:pPr>
          </w:p>
        </w:tc>
        <w:tc>
          <w:tcPr>
            <w:tcW w:w="0" w:type="auto"/>
            <w:gridSpan w:val="3"/>
            <w:shd w:val="clear" w:color="auto" w:fill="auto"/>
            <w:vAlign w:val="bottom"/>
          </w:tcPr>
          <w:p w14:paraId="392BE74C" w14:textId="77777777" w:rsidR="00980E5F" w:rsidRDefault="00980E5F">
            <w:pPr>
              <w:rPr>
                <w:rFonts w:ascii="宋体"/>
                <w:vanish/>
              </w:rPr>
            </w:pPr>
          </w:p>
        </w:tc>
      </w:tr>
      <w:tr w:rsidR="00980E5F" w14:paraId="392BE75C" w14:textId="77777777">
        <w:tc>
          <w:tcPr>
            <w:tcW w:w="0" w:type="auto"/>
            <w:gridSpan w:val="3"/>
            <w:shd w:val="clear" w:color="auto" w:fill="CCEEFF"/>
            <w:tcMar>
              <w:top w:w="40" w:type="dxa"/>
              <w:left w:w="20" w:type="dxa"/>
              <w:bottom w:w="40" w:type="dxa"/>
              <w:right w:w="20" w:type="dxa"/>
            </w:tcMar>
            <w:vAlign w:val="bottom"/>
          </w:tcPr>
          <w:p w14:paraId="392BE74E" w14:textId="77777777" w:rsidR="00980E5F" w:rsidRDefault="00483613">
            <w:pPr>
              <w:textAlignment w:val="bottom"/>
            </w:pPr>
            <w:r>
              <w:rPr>
                <w:rFonts w:ascii="Arial" w:eastAsia="宋体" w:hAnsi="Arial" w:cs="Arial"/>
                <w:color w:val="000000"/>
                <w:sz w:val="12"/>
                <w:szCs w:val="12"/>
              </w:rPr>
              <w:t>Income befo</w:t>
            </w:r>
            <w:r>
              <w:rPr>
                <w:rFonts w:ascii="Arial" w:eastAsia="宋体" w:hAnsi="Arial" w:cs="Arial"/>
                <w:color w:val="000000"/>
                <w:sz w:val="12"/>
                <w:szCs w:val="12"/>
              </w:rPr>
              <w:t>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74F" w14:textId="77777777" w:rsidR="00980E5F" w:rsidRDefault="00483613">
            <w:pPr>
              <w:jc w:val="right"/>
              <w:textAlignment w:val="bottom"/>
            </w:pPr>
            <w:r>
              <w:rPr>
                <w:rFonts w:ascii="Arial" w:eastAsia="宋体" w:hAnsi="Arial" w:cs="Arial"/>
                <w:b/>
                <w:bCs/>
                <w:color w:val="000000"/>
                <w:sz w:val="12"/>
                <w:szCs w:val="12"/>
              </w:rPr>
              <w:t>1,589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5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5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752" w14:textId="77777777" w:rsidR="00980E5F" w:rsidRDefault="00483613">
            <w:pPr>
              <w:jc w:val="right"/>
              <w:textAlignment w:val="bottom"/>
            </w:pPr>
            <w:r>
              <w:rPr>
                <w:rFonts w:ascii="Arial" w:eastAsia="宋体" w:hAnsi="Arial" w:cs="Arial"/>
                <w:color w:val="000000"/>
                <w:sz w:val="12"/>
                <w:szCs w:val="12"/>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5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5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55" w14:textId="77777777" w:rsidR="00980E5F" w:rsidRDefault="00483613">
            <w:pPr>
              <w:jc w:val="right"/>
              <w:textAlignment w:val="bottom"/>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bottom"/>
          </w:tcPr>
          <w:p w14:paraId="392BE756" w14:textId="77777777" w:rsidR="00980E5F" w:rsidRDefault="00980E5F">
            <w:pPr>
              <w:jc w:val="right"/>
              <w:rPr>
                <w:rFonts w:ascii="宋体"/>
              </w:rPr>
            </w:pPr>
          </w:p>
        </w:tc>
        <w:tc>
          <w:tcPr>
            <w:tcW w:w="0" w:type="auto"/>
            <w:gridSpan w:val="3"/>
            <w:shd w:val="clear" w:color="auto" w:fill="auto"/>
            <w:vAlign w:val="bottom"/>
          </w:tcPr>
          <w:p w14:paraId="392BE757" w14:textId="77777777" w:rsidR="00980E5F" w:rsidRDefault="00980E5F">
            <w:pPr>
              <w:rPr>
                <w:rFonts w:ascii="宋体"/>
                <w:vanish/>
              </w:rPr>
            </w:pPr>
          </w:p>
        </w:tc>
        <w:tc>
          <w:tcPr>
            <w:tcW w:w="0" w:type="auto"/>
            <w:gridSpan w:val="3"/>
            <w:shd w:val="clear" w:color="auto" w:fill="auto"/>
            <w:vAlign w:val="bottom"/>
          </w:tcPr>
          <w:p w14:paraId="392BE758" w14:textId="77777777" w:rsidR="00980E5F" w:rsidRDefault="00980E5F">
            <w:pPr>
              <w:rPr>
                <w:rFonts w:ascii="宋体"/>
                <w:vanish/>
              </w:rPr>
            </w:pPr>
          </w:p>
        </w:tc>
        <w:tc>
          <w:tcPr>
            <w:tcW w:w="0" w:type="auto"/>
            <w:gridSpan w:val="3"/>
            <w:shd w:val="clear" w:color="auto" w:fill="auto"/>
            <w:vAlign w:val="bottom"/>
          </w:tcPr>
          <w:p w14:paraId="392BE759" w14:textId="77777777" w:rsidR="00980E5F" w:rsidRDefault="00980E5F">
            <w:pPr>
              <w:rPr>
                <w:rFonts w:ascii="宋体"/>
                <w:vanish/>
              </w:rPr>
            </w:pPr>
          </w:p>
        </w:tc>
        <w:tc>
          <w:tcPr>
            <w:tcW w:w="0" w:type="auto"/>
            <w:gridSpan w:val="3"/>
            <w:shd w:val="clear" w:color="auto" w:fill="auto"/>
            <w:vAlign w:val="bottom"/>
          </w:tcPr>
          <w:p w14:paraId="392BE75A" w14:textId="77777777" w:rsidR="00980E5F" w:rsidRDefault="00980E5F">
            <w:pPr>
              <w:rPr>
                <w:rFonts w:ascii="宋体"/>
                <w:vanish/>
              </w:rPr>
            </w:pPr>
          </w:p>
        </w:tc>
        <w:tc>
          <w:tcPr>
            <w:tcW w:w="0" w:type="auto"/>
            <w:gridSpan w:val="3"/>
            <w:shd w:val="clear" w:color="auto" w:fill="auto"/>
            <w:vAlign w:val="bottom"/>
          </w:tcPr>
          <w:p w14:paraId="392BE75B" w14:textId="77777777" w:rsidR="00980E5F" w:rsidRDefault="00980E5F">
            <w:pPr>
              <w:rPr>
                <w:rFonts w:ascii="宋体"/>
                <w:vanish/>
              </w:rPr>
            </w:pPr>
          </w:p>
        </w:tc>
      </w:tr>
      <w:tr w:rsidR="00980E5F" w14:paraId="392BE76B" w14:textId="77777777">
        <w:tc>
          <w:tcPr>
            <w:tcW w:w="0" w:type="auto"/>
            <w:gridSpan w:val="3"/>
            <w:shd w:val="clear" w:color="auto" w:fill="FFFFFF"/>
            <w:tcMar>
              <w:top w:w="40" w:type="dxa"/>
              <w:left w:w="20" w:type="dxa"/>
              <w:bottom w:w="40" w:type="dxa"/>
              <w:right w:w="20" w:type="dxa"/>
            </w:tcMar>
            <w:vAlign w:val="bottom"/>
          </w:tcPr>
          <w:p w14:paraId="392BE75D" w14:textId="77777777" w:rsidR="00980E5F" w:rsidRDefault="00483613">
            <w:pPr>
              <w:textAlignment w:val="bottom"/>
            </w:pPr>
            <w:r>
              <w:rPr>
                <w:rFonts w:ascii="Arial" w:eastAsia="宋体" w:hAnsi="Arial" w:cs="Arial"/>
                <w:color w:val="000000"/>
                <w:sz w:val="12"/>
                <w:szCs w:val="12"/>
              </w:rPr>
              <w:t>Income tax expense</w:t>
            </w:r>
          </w:p>
        </w:tc>
        <w:tc>
          <w:tcPr>
            <w:tcW w:w="0" w:type="auto"/>
            <w:gridSpan w:val="2"/>
            <w:shd w:val="clear" w:color="auto" w:fill="FFFFFF"/>
            <w:tcMar>
              <w:top w:w="40" w:type="dxa"/>
              <w:left w:w="20" w:type="dxa"/>
              <w:bottom w:w="40" w:type="dxa"/>
              <w:right w:w="0" w:type="dxa"/>
            </w:tcMar>
            <w:vAlign w:val="bottom"/>
          </w:tcPr>
          <w:p w14:paraId="392BE75E" w14:textId="77777777" w:rsidR="00980E5F" w:rsidRDefault="00483613">
            <w:pPr>
              <w:jc w:val="right"/>
              <w:textAlignment w:val="bottom"/>
            </w:pPr>
            <w:r>
              <w:rPr>
                <w:rFonts w:ascii="Arial" w:eastAsia="宋体" w:hAnsi="Arial" w:cs="Arial"/>
                <w:b/>
                <w:bCs/>
                <w:color w:val="000000"/>
                <w:sz w:val="12"/>
                <w:szCs w:val="12"/>
              </w:rPr>
              <w:t>238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61" w14:textId="77777777" w:rsidR="00980E5F" w:rsidRDefault="00483613">
            <w:pPr>
              <w:jc w:val="right"/>
              <w:textAlignment w:val="bottom"/>
            </w:pPr>
            <w:r>
              <w:rPr>
                <w:rFonts w:ascii="Arial" w:eastAsia="宋体" w:hAnsi="Arial" w:cs="Arial"/>
                <w:color w:val="000000"/>
                <w:sz w:val="12"/>
                <w:szCs w:val="12"/>
              </w:rPr>
              <w:t>283 </w:t>
            </w:r>
          </w:p>
        </w:tc>
        <w:tc>
          <w:tcPr>
            <w:tcW w:w="0" w:type="auto"/>
            <w:shd w:val="clear" w:color="auto" w:fill="FFFFFF"/>
            <w:tcMar>
              <w:top w:w="40" w:type="dxa"/>
              <w:left w:w="0" w:type="dxa"/>
              <w:bottom w:w="40" w:type="dxa"/>
              <w:right w:w="20" w:type="dxa"/>
            </w:tcMar>
            <w:vAlign w:val="bottom"/>
          </w:tcPr>
          <w:p w14:paraId="392BE7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6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64" w14:textId="77777777" w:rsidR="00980E5F" w:rsidRDefault="00483613">
            <w:pPr>
              <w:jc w:val="right"/>
              <w:textAlignment w:val="bottom"/>
            </w:pPr>
            <w:r>
              <w:rPr>
                <w:rFonts w:ascii="Arial" w:eastAsia="宋体" w:hAnsi="Arial" w:cs="Arial"/>
                <w:color w:val="000000"/>
                <w:sz w:val="12"/>
                <w:szCs w:val="12"/>
              </w:rPr>
              <w:t>(16)</w:t>
            </w:r>
          </w:p>
        </w:tc>
        <w:tc>
          <w:tcPr>
            <w:tcW w:w="0" w:type="auto"/>
            <w:shd w:val="clear" w:color="auto" w:fill="FFFFFF"/>
            <w:tcMar>
              <w:top w:w="40" w:type="dxa"/>
              <w:left w:w="0" w:type="dxa"/>
              <w:bottom w:w="40" w:type="dxa"/>
              <w:right w:w="20" w:type="dxa"/>
            </w:tcMar>
            <w:vAlign w:val="bottom"/>
          </w:tcPr>
          <w:p w14:paraId="392BE765" w14:textId="77777777" w:rsidR="00980E5F" w:rsidRDefault="00980E5F">
            <w:pPr>
              <w:jc w:val="right"/>
              <w:rPr>
                <w:rFonts w:ascii="宋体"/>
              </w:rPr>
            </w:pPr>
          </w:p>
        </w:tc>
        <w:tc>
          <w:tcPr>
            <w:tcW w:w="0" w:type="auto"/>
            <w:gridSpan w:val="3"/>
            <w:shd w:val="clear" w:color="auto" w:fill="auto"/>
            <w:vAlign w:val="bottom"/>
          </w:tcPr>
          <w:p w14:paraId="392BE766" w14:textId="77777777" w:rsidR="00980E5F" w:rsidRDefault="00980E5F">
            <w:pPr>
              <w:rPr>
                <w:rFonts w:ascii="宋体"/>
                <w:vanish/>
              </w:rPr>
            </w:pPr>
          </w:p>
        </w:tc>
        <w:tc>
          <w:tcPr>
            <w:tcW w:w="0" w:type="auto"/>
            <w:gridSpan w:val="3"/>
            <w:shd w:val="clear" w:color="auto" w:fill="auto"/>
            <w:vAlign w:val="bottom"/>
          </w:tcPr>
          <w:p w14:paraId="392BE767" w14:textId="77777777" w:rsidR="00980E5F" w:rsidRDefault="00980E5F">
            <w:pPr>
              <w:rPr>
                <w:rFonts w:ascii="宋体"/>
                <w:vanish/>
              </w:rPr>
            </w:pPr>
          </w:p>
        </w:tc>
        <w:tc>
          <w:tcPr>
            <w:tcW w:w="0" w:type="auto"/>
            <w:gridSpan w:val="3"/>
            <w:shd w:val="clear" w:color="auto" w:fill="auto"/>
            <w:vAlign w:val="bottom"/>
          </w:tcPr>
          <w:p w14:paraId="392BE768" w14:textId="77777777" w:rsidR="00980E5F" w:rsidRDefault="00980E5F">
            <w:pPr>
              <w:rPr>
                <w:rFonts w:ascii="宋体"/>
                <w:vanish/>
              </w:rPr>
            </w:pPr>
          </w:p>
        </w:tc>
        <w:tc>
          <w:tcPr>
            <w:tcW w:w="0" w:type="auto"/>
            <w:gridSpan w:val="3"/>
            <w:shd w:val="clear" w:color="auto" w:fill="auto"/>
            <w:vAlign w:val="bottom"/>
          </w:tcPr>
          <w:p w14:paraId="392BE769" w14:textId="77777777" w:rsidR="00980E5F" w:rsidRDefault="00980E5F">
            <w:pPr>
              <w:rPr>
                <w:rFonts w:ascii="宋体"/>
                <w:vanish/>
              </w:rPr>
            </w:pPr>
          </w:p>
        </w:tc>
        <w:tc>
          <w:tcPr>
            <w:tcW w:w="0" w:type="auto"/>
            <w:gridSpan w:val="3"/>
            <w:shd w:val="clear" w:color="auto" w:fill="auto"/>
            <w:vAlign w:val="bottom"/>
          </w:tcPr>
          <w:p w14:paraId="392BE76A" w14:textId="77777777" w:rsidR="00980E5F" w:rsidRDefault="00980E5F">
            <w:pPr>
              <w:rPr>
                <w:rFonts w:ascii="宋体"/>
                <w:vanish/>
              </w:rPr>
            </w:pPr>
          </w:p>
        </w:tc>
      </w:tr>
      <w:tr w:rsidR="00980E5F" w14:paraId="392BE777" w14:textId="77777777">
        <w:trPr>
          <w:hidden/>
        </w:trPr>
        <w:tc>
          <w:tcPr>
            <w:tcW w:w="0" w:type="auto"/>
            <w:gridSpan w:val="3"/>
            <w:shd w:val="clear" w:color="auto" w:fill="auto"/>
            <w:vAlign w:val="bottom"/>
          </w:tcPr>
          <w:p w14:paraId="392BE76C" w14:textId="77777777" w:rsidR="00980E5F" w:rsidRDefault="00980E5F">
            <w:pPr>
              <w:rPr>
                <w:rFonts w:ascii="宋体"/>
                <w:vanish/>
              </w:rPr>
            </w:pPr>
          </w:p>
        </w:tc>
        <w:tc>
          <w:tcPr>
            <w:tcW w:w="0" w:type="auto"/>
            <w:gridSpan w:val="3"/>
            <w:shd w:val="clear" w:color="auto" w:fill="auto"/>
            <w:vAlign w:val="bottom"/>
          </w:tcPr>
          <w:p w14:paraId="392BE76D" w14:textId="77777777" w:rsidR="00980E5F" w:rsidRDefault="00980E5F">
            <w:pPr>
              <w:rPr>
                <w:rFonts w:ascii="宋体"/>
                <w:vanish/>
              </w:rPr>
            </w:pPr>
          </w:p>
        </w:tc>
        <w:tc>
          <w:tcPr>
            <w:tcW w:w="0" w:type="auto"/>
            <w:gridSpan w:val="3"/>
            <w:shd w:val="clear" w:color="auto" w:fill="auto"/>
            <w:vAlign w:val="bottom"/>
          </w:tcPr>
          <w:p w14:paraId="392BE76E" w14:textId="77777777" w:rsidR="00980E5F" w:rsidRDefault="00980E5F">
            <w:pPr>
              <w:rPr>
                <w:rFonts w:ascii="宋体"/>
                <w:vanish/>
              </w:rPr>
            </w:pPr>
          </w:p>
        </w:tc>
        <w:tc>
          <w:tcPr>
            <w:tcW w:w="0" w:type="auto"/>
            <w:gridSpan w:val="3"/>
            <w:shd w:val="clear" w:color="auto" w:fill="auto"/>
            <w:vAlign w:val="bottom"/>
          </w:tcPr>
          <w:p w14:paraId="392BE76F" w14:textId="77777777" w:rsidR="00980E5F" w:rsidRDefault="00980E5F">
            <w:pPr>
              <w:rPr>
                <w:rFonts w:ascii="宋体"/>
                <w:vanish/>
              </w:rPr>
            </w:pPr>
          </w:p>
        </w:tc>
        <w:tc>
          <w:tcPr>
            <w:tcW w:w="0" w:type="auto"/>
            <w:gridSpan w:val="3"/>
            <w:shd w:val="clear" w:color="auto" w:fill="auto"/>
            <w:vAlign w:val="bottom"/>
          </w:tcPr>
          <w:p w14:paraId="392BE770" w14:textId="77777777" w:rsidR="00980E5F" w:rsidRDefault="00980E5F">
            <w:pPr>
              <w:rPr>
                <w:rFonts w:ascii="宋体"/>
                <w:vanish/>
              </w:rPr>
            </w:pPr>
          </w:p>
        </w:tc>
        <w:tc>
          <w:tcPr>
            <w:tcW w:w="0" w:type="auto"/>
            <w:gridSpan w:val="3"/>
            <w:shd w:val="clear" w:color="auto" w:fill="auto"/>
            <w:vAlign w:val="bottom"/>
          </w:tcPr>
          <w:p w14:paraId="392BE771" w14:textId="77777777" w:rsidR="00980E5F" w:rsidRDefault="00980E5F">
            <w:pPr>
              <w:rPr>
                <w:rFonts w:ascii="宋体"/>
                <w:vanish/>
              </w:rPr>
            </w:pPr>
          </w:p>
        </w:tc>
        <w:tc>
          <w:tcPr>
            <w:tcW w:w="0" w:type="auto"/>
            <w:gridSpan w:val="3"/>
            <w:shd w:val="clear" w:color="auto" w:fill="auto"/>
            <w:vAlign w:val="bottom"/>
          </w:tcPr>
          <w:p w14:paraId="392BE772" w14:textId="77777777" w:rsidR="00980E5F" w:rsidRDefault="00980E5F">
            <w:pPr>
              <w:rPr>
                <w:rFonts w:ascii="宋体"/>
                <w:vanish/>
              </w:rPr>
            </w:pPr>
          </w:p>
        </w:tc>
        <w:tc>
          <w:tcPr>
            <w:tcW w:w="0" w:type="auto"/>
            <w:gridSpan w:val="3"/>
            <w:shd w:val="clear" w:color="auto" w:fill="auto"/>
            <w:vAlign w:val="bottom"/>
          </w:tcPr>
          <w:p w14:paraId="392BE773" w14:textId="77777777" w:rsidR="00980E5F" w:rsidRDefault="00980E5F">
            <w:pPr>
              <w:rPr>
                <w:rFonts w:ascii="宋体"/>
                <w:vanish/>
              </w:rPr>
            </w:pPr>
          </w:p>
        </w:tc>
        <w:tc>
          <w:tcPr>
            <w:tcW w:w="0" w:type="auto"/>
            <w:gridSpan w:val="3"/>
            <w:shd w:val="clear" w:color="auto" w:fill="auto"/>
            <w:vAlign w:val="bottom"/>
          </w:tcPr>
          <w:p w14:paraId="392BE774" w14:textId="77777777" w:rsidR="00980E5F" w:rsidRDefault="00980E5F">
            <w:pPr>
              <w:rPr>
                <w:rFonts w:ascii="宋体"/>
                <w:vanish/>
              </w:rPr>
            </w:pPr>
          </w:p>
        </w:tc>
        <w:tc>
          <w:tcPr>
            <w:tcW w:w="0" w:type="auto"/>
            <w:gridSpan w:val="3"/>
            <w:shd w:val="clear" w:color="auto" w:fill="auto"/>
            <w:vAlign w:val="bottom"/>
          </w:tcPr>
          <w:p w14:paraId="392BE775" w14:textId="77777777" w:rsidR="00980E5F" w:rsidRDefault="00980E5F">
            <w:pPr>
              <w:rPr>
                <w:rFonts w:ascii="宋体"/>
                <w:vanish/>
              </w:rPr>
            </w:pPr>
          </w:p>
        </w:tc>
        <w:tc>
          <w:tcPr>
            <w:tcW w:w="0" w:type="auto"/>
            <w:gridSpan w:val="3"/>
            <w:shd w:val="clear" w:color="auto" w:fill="auto"/>
            <w:vAlign w:val="bottom"/>
          </w:tcPr>
          <w:p w14:paraId="392BE776" w14:textId="77777777" w:rsidR="00980E5F" w:rsidRDefault="00980E5F">
            <w:pPr>
              <w:rPr>
                <w:rFonts w:ascii="宋体"/>
                <w:vanish/>
              </w:rPr>
            </w:pPr>
          </w:p>
        </w:tc>
      </w:tr>
      <w:tr w:rsidR="00980E5F" w14:paraId="392BE788" w14:textId="77777777">
        <w:tc>
          <w:tcPr>
            <w:tcW w:w="0" w:type="auto"/>
            <w:gridSpan w:val="3"/>
            <w:shd w:val="clear" w:color="auto" w:fill="CCEEFF"/>
            <w:tcMar>
              <w:top w:w="40" w:type="dxa"/>
              <w:left w:w="20" w:type="dxa"/>
              <w:bottom w:w="40" w:type="dxa"/>
              <w:right w:w="20" w:type="dxa"/>
            </w:tcMar>
            <w:vAlign w:val="bottom"/>
          </w:tcPr>
          <w:p w14:paraId="392BE778" w14:textId="77777777" w:rsidR="00980E5F" w:rsidRDefault="00483613">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779"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77A" w14:textId="77777777" w:rsidR="00980E5F" w:rsidRDefault="00483613">
            <w:pPr>
              <w:jc w:val="right"/>
              <w:textAlignment w:val="bottom"/>
            </w:pPr>
            <w:r>
              <w:rPr>
                <w:rFonts w:ascii="Arial" w:eastAsia="宋体" w:hAnsi="Arial" w:cs="Arial"/>
                <w:b/>
                <w:bCs/>
                <w:color w:val="000000"/>
                <w:sz w:val="12"/>
                <w:szCs w:val="12"/>
              </w:rPr>
              <w:t>1,351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7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77D"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77E" w14:textId="77777777" w:rsidR="00980E5F" w:rsidRDefault="00483613">
            <w:pPr>
              <w:jc w:val="right"/>
              <w:textAlignment w:val="bottom"/>
            </w:pPr>
            <w:r>
              <w:rPr>
                <w:rFonts w:ascii="Arial" w:eastAsia="宋体" w:hAnsi="Arial" w:cs="Arial"/>
                <w:color w:val="000000"/>
                <w:sz w:val="12"/>
                <w:szCs w:val="12"/>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81" w14:textId="77777777" w:rsidR="00980E5F" w:rsidRDefault="00483613">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392BE782" w14:textId="77777777" w:rsidR="00980E5F" w:rsidRDefault="00980E5F">
            <w:pPr>
              <w:jc w:val="right"/>
              <w:rPr>
                <w:rFonts w:ascii="宋体"/>
              </w:rPr>
            </w:pPr>
          </w:p>
        </w:tc>
        <w:tc>
          <w:tcPr>
            <w:tcW w:w="0" w:type="auto"/>
            <w:gridSpan w:val="3"/>
            <w:shd w:val="clear" w:color="auto" w:fill="auto"/>
            <w:vAlign w:val="bottom"/>
          </w:tcPr>
          <w:p w14:paraId="392BE783" w14:textId="77777777" w:rsidR="00980E5F" w:rsidRDefault="00980E5F">
            <w:pPr>
              <w:rPr>
                <w:rFonts w:ascii="宋体"/>
                <w:vanish/>
              </w:rPr>
            </w:pPr>
          </w:p>
        </w:tc>
        <w:tc>
          <w:tcPr>
            <w:tcW w:w="0" w:type="auto"/>
            <w:gridSpan w:val="3"/>
            <w:shd w:val="clear" w:color="auto" w:fill="auto"/>
            <w:vAlign w:val="bottom"/>
          </w:tcPr>
          <w:p w14:paraId="392BE784" w14:textId="77777777" w:rsidR="00980E5F" w:rsidRDefault="00980E5F">
            <w:pPr>
              <w:rPr>
                <w:rFonts w:ascii="宋体"/>
                <w:vanish/>
              </w:rPr>
            </w:pPr>
          </w:p>
        </w:tc>
        <w:tc>
          <w:tcPr>
            <w:tcW w:w="0" w:type="auto"/>
            <w:gridSpan w:val="3"/>
            <w:shd w:val="clear" w:color="auto" w:fill="auto"/>
            <w:vAlign w:val="bottom"/>
          </w:tcPr>
          <w:p w14:paraId="392BE785" w14:textId="77777777" w:rsidR="00980E5F" w:rsidRDefault="00980E5F">
            <w:pPr>
              <w:rPr>
                <w:rFonts w:ascii="宋体"/>
                <w:vanish/>
              </w:rPr>
            </w:pPr>
          </w:p>
        </w:tc>
        <w:tc>
          <w:tcPr>
            <w:tcW w:w="0" w:type="auto"/>
            <w:gridSpan w:val="3"/>
            <w:shd w:val="clear" w:color="auto" w:fill="auto"/>
            <w:vAlign w:val="bottom"/>
          </w:tcPr>
          <w:p w14:paraId="392BE786" w14:textId="77777777" w:rsidR="00980E5F" w:rsidRDefault="00980E5F">
            <w:pPr>
              <w:rPr>
                <w:rFonts w:ascii="宋体"/>
                <w:vanish/>
              </w:rPr>
            </w:pPr>
          </w:p>
        </w:tc>
        <w:tc>
          <w:tcPr>
            <w:tcW w:w="0" w:type="auto"/>
            <w:gridSpan w:val="3"/>
            <w:shd w:val="clear" w:color="auto" w:fill="auto"/>
            <w:vAlign w:val="bottom"/>
          </w:tcPr>
          <w:p w14:paraId="392BE787" w14:textId="77777777" w:rsidR="00980E5F" w:rsidRDefault="00980E5F">
            <w:pPr>
              <w:rPr>
                <w:rFonts w:ascii="宋体"/>
                <w:vanish/>
              </w:rPr>
            </w:pPr>
          </w:p>
        </w:tc>
      </w:tr>
      <w:tr w:rsidR="00980E5F" w14:paraId="392BE794" w14:textId="77777777">
        <w:tc>
          <w:tcPr>
            <w:tcW w:w="0" w:type="auto"/>
            <w:gridSpan w:val="3"/>
            <w:shd w:val="clear" w:color="auto" w:fill="FFFFFF"/>
            <w:tcMar>
              <w:top w:w="40" w:type="dxa"/>
              <w:left w:w="20" w:type="dxa"/>
              <w:bottom w:w="40" w:type="dxa"/>
              <w:right w:w="20" w:type="dxa"/>
            </w:tcMar>
            <w:vAlign w:val="bottom"/>
          </w:tcPr>
          <w:p w14:paraId="392BE789" w14:textId="77777777" w:rsidR="00980E5F" w:rsidRDefault="00483613">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78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8B"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78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8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8E" w14:textId="77777777" w:rsidR="00980E5F" w:rsidRDefault="00980E5F">
            <w:pPr>
              <w:rPr>
                <w:rFonts w:ascii="宋体"/>
              </w:rPr>
            </w:pPr>
          </w:p>
        </w:tc>
        <w:tc>
          <w:tcPr>
            <w:tcW w:w="0" w:type="auto"/>
            <w:gridSpan w:val="3"/>
            <w:shd w:val="clear" w:color="auto" w:fill="auto"/>
            <w:vAlign w:val="bottom"/>
          </w:tcPr>
          <w:p w14:paraId="392BE78F" w14:textId="77777777" w:rsidR="00980E5F" w:rsidRDefault="00980E5F">
            <w:pPr>
              <w:rPr>
                <w:rFonts w:ascii="宋体"/>
                <w:vanish/>
              </w:rPr>
            </w:pPr>
          </w:p>
        </w:tc>
        <w:tc>
          <w:tcPr>
            <w:tcW w:w="0" w:type="auto"/>
            <w:gridSpan w:val="3"/>
            <w:shd w:val="clear" w:color="auto" w:fill="auto"/>
            <w:vAlign w:val="bottom"/>
          </w:tcPr>
          <w:p w14:paraId="392BE790" w14:textId="77777777" w:rsidR="00980E5F" w:rsidRDefault="00980E5F">
            <w:pPr>
              <w:rPr>
                <w:rFonts w:ascii="宋体"/>
                <w:vanish/>
              </w:rPr>
            </w:pPr>
          </w:p>
        </w:tc>
        <w:tc>
          <w:tcPr>
            <w:tcW w:w="0" w:type="auto"/>
            <w:gridSpan w:val="3"/>
            <w:shd w:val="clear" w:color="auto" w:fill="auto"/>
            <w:vAlign w:val="bottom"/>
          </w:tcPr>
          <w:p w14:paraId="392BE791" w14:textId="77777777" w:rsidR="00980E5F" w:rsidRDefault="00980E5F">
            <w:pPr>
              <w:rPr>
                <w:rFonts w:ascii="宋体"/>
                <w:vanish/>
              </w:rPr>
            </w:pPr>
          </w:p>
        </w:tc>
        <w:tc>
          <w:tcPr>
            <w:tcW w:w="0" w:type="auto"/>
            <w:gridSpan w:val="3"/>
            <w:shd w:val="clear" w:color="auto" w:fill="auto"/>
            <w:vAlign w:val="bottom"/>
          </w:tcPr>
          <w:p w14:paraId="392BE792" w14:textId="77777777" w:rsidR="00980E5F" w:rsidRDefault="00980E5F">
            <w:pPr>
              <w:rPr>
                <w:rFonts w:ascii="宋体"/>
                <w:vanish/>
              </w:rPr>
            </w:pPr>
          </w:p>
        </w:tc>
        <w:tc>
          <w:tcPr>
            <w:tcW w:w="0" w:type="auto"/>
            <w:gridSpan w:val="3"/>
            <w:shd w:val="clear" w:color="auto" w:fill="auto"/>
            <w:vAlign w:val="bottom"/>
          </w:tcPr>
          <w:p w14:paraId="392BE793" w14:textId="77777777" w:rsidR="00980E5F" w:rsidRDefault="00980E5F">
            <w:pPr>
              <w:rPr>
                <w:rFonts w:ascii="宋体"/>
                <w:vanish/>
              </w:rPr>
            </w:pPr>
          </w:p>
        </w:tc>
      </w:tr>
      <w:tr w:rsidR="00980E5F" w14:paraId="392BE7A5" w14:textId="77777777">
        <w:tc>
          <w:tcPr>
            <w:tcW w:w="0" w:type="auto"/>
            <w:gridSpan w:val="3"/>
            <w:shd w:val="clear" w:color="auto" w:fill="CCEEFF"/>
            <w:tcMar>
              <w:top w:w="40" w:type="dxa"/>
              <w:left w:w="20" w:type="dxa"/>
              <w:bottom w:w="40" w:type="dxa"/>
              <w:right w:w="20" w:type="dxa"/>
            </w:tcMar>
            <w:vAlign w:val="bottom"/>
          </w:tcPr>
          <w:p w14:paraId="392BE795" w14:textId="77777777" w:rsidR="00980E5F" w:rsidRDefault="00483613">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392BE796"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E797" w14:textId="77777777" w:rsidR="00980E5F" w:rsidRDefault="00483613">
            <w:pPr>
              <w:jc w:val="right"/>
              <w:textAlignment w:val="bottom"/>
            </w:pPr>
            <w:r>
              <w:rPr>
                <w:rFonts w:ascii="Arial" w:eastAsia="宋体" w:hAnsi="Arial" w:cs="Arial"/>
                <w:b/>
                <w:bCs/>
                <w:color w:val="000000"/>
                <w:sz w:val="12"/>
                <w:szCs w:val="12"/>
              </w:rPr>
              <w:t>(55)</w:t>
            </w:r>
          </w:p>
        </w:tc>
        <w:tc>
          <w:tcPr>
            <w:tcW w:w="0" w:type="auto"/>
            <w:shd w:val="clear" w:color="auto" w:fill="CCEEFF"/>
            <w:tcMar>
              <w:top w:w="40" w:type="dxa"/>
              <w:left w:w="0" w:type="dxa"/>
              <w:bottom w:w="40" w:type="dxa"/>
              <w:right w:w="20" w:type="dxa"/>
            </w:tcMar>
            <w:vAlign w:val="bottom"/>
          </w:tcPr>
          <w:p w14:paraId="392BE7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9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79A"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E79B" w14:textId="77777777" w:rsidR="00980E5F" w:rsidRDefault="00483613">
            <w:pPr>
              <w:jc w:val="right"/>
              <w:textAlignment w:val="bottom"/>
            </w:pPr>
            <w:r>
              <w:rPr>
                <w:rFonts w:ascii="Arial" w:eastAsia="宋体" w:hAnsi="Arial" w:cs="Arial"/>
                <w:color w:val="000000"/>
                <w:sz w:val="12"/>
                <w:szCs w:val="12"/>
              </w:rPr>
              <w:t>(64)</w:t>
            </w:r>
          </w:p>
        </w:tc>
        <w:tc>
          <w:tcPr>
            <w:tcW w:w="0" w:type="auto"/>
            <w:shd w:val="clear" w:color="auto" w:fill="CCEEFF"/>
            <w:tcMar>
              <w:top w:w="40" w:type="dxa"/>
              <w:left w:w="0" w:type="dxa"/>
              <w:bottom w:w="40" w:type="dxa"/>
              <w:right w:w="20" w:type="dxa"/>
            </w:tcMar>
            <w:vAlign w:val="bottom"/>
          </w:tcPr>
          <w:p w14:paraId="392BE7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9E" w14:textId="77777777" w:rsidR="00980E5F" w:rsidRDefault="00483613">
            <w:pPr>
              <w:jc w:val="right"/>
              <w:textAlignment w:val="bottom"/>
            </w:pPr>
            <w:r>
              <w:rPr>
                <w:rFonts w:ascii="Arial" w:eastAsia="宋体" w:hAnsi="Arial" w:cs="Arial"/>
                <w:color w:val="000000"/>
                <w:sz w:val="12"/>
                <w:szCs w:val="12"/>
              </w:rPr>
              <w:t>(14)</w:t>
            </w:r>
          </w:p>
        </w:tc>
        <w:tc>
          <w:tcPr>
            <w:tcW w:w="0" w:type="auto"/>
            <w:shd w:val="clear" w:color="auto" w:fill="CCEEFF"/>
            <w:tcMar>
              <w:top w:w="40" w:type="dxa"/>
              <w:left w:w="0" w:type="dxa"/>
              <w:bottom w:w="40" w:type="dxa"/>
              <w:right w:w="20" w:type="dxa"/>
            </w:tcMar>
            <w:vAlign w:val="bottom"/>
          </w:tcPr>
          <w:p w14:paraId="392BE79F" w14:textId="77777777" w:rsidR="00980E5F" w:rsidRDefault="00980E5F">
            <w:pPr>
              <w:jc w:val="right"/>
              <w:rPr>
                <w:rFonts w:ascii="宋体"/>
              </w:rPr>
            </w:pPr>
          </w:p>
        </w:tc>
        <w:tc>
          <w:tcPr>
            <w:tcW w:w="0" w:type="auto"/>
            <w:gridSpan w:val="3"/>
            <w:shd w:val="clear" w:color="auto" w:fill="auto"/>
            <w:vAlign w:val="bottom"/>
          </w:tcPr>
          <w:p w14:paraId="392BE7A0" w14:textId="77777777" w:rsidR="00980E5F" w:rsidRDefault="00980E5F">
            <w:pPr>
              <w:rPr>
                <w:rFonts w:ascii="宋体"/>
                <w:vanish/>
              </w:rPr>
            </w:pPr>
          </w:p>
        </w:tc>
        <w:tc>
          <w:tcPr>
            <w:tcW w:w="0" w:type="auto"/>
            <w:gridSpan w:val="3"/>
            <w:shd w:val="clear" w:color="auto" w:fill="auto"/>
            <w:vAlign w:val="bottom"/>
          </w:tcPr>
          <w:p w14:paraId="392BE7A1" w14:textId="77777777" w:rsidR="00980E5F" w:rsidRDefault="00980E5F">
            <w:pPr>
              <w:rPr>
                <w:rFonts w:ascii="宋体"/>
                <w:vanish/>
              </w:rPr>
            </w:pPr>
          </w:p>
        </w:tc>
        <w:tc>
          <w:tcPr>
            <w:tcW w:w="0" w:type="auto"/>
            <w:gridSpan w:val="3"/>
            <w:shd w:val="clear" w:color="auto" w:fill="auto"/>
            <w:vAlign w:val="bottom"/>
          </w:tcPr>
          <w:p w14:paraId="392BE7A2" w14:textId="77777777" w:rsidR="00980E5F" w:rsidRDefault="00980E5F">
            <w:pPr>
              <w:rPr>
                <w:rFonts w:ascii="宋体"/>
                <w:vanish/>
              </w:rPr>
            </w:pPr>
          </w:p>
        </w:tc>
        <w:tc>
          <w:tcPr>
            <w:tcW w:w="0" w:type="auto"/>
            <w:gridSpan w:val="3"/>
            <w:shd w:val="clear" w:color="auto" w:fill="auto"/>
            <w:vAlign w:val="bottom"/>
          </w:tcPr>
          <w:p w14:paraId="392BE7A3" w14:textId="77777777" w:rsidR="00980E5F" w:rsidRDefault="00980E5F">
            <w:pPr>
              <w:rPr>
                <w:rFonts w:ascii="宋体"/>
                <w:vanish/>
              </w:rPr>
            </w:pPr>
          </w:p>
        </w:tc>
        <w:tc>
          <w:tcPr>
            <w:tcW w:w="0" w:type="auto"/>
            <w:gridSpan w:val="3"/>
            <w:shd w:val="clear" w:color="auto" w:fill="auto"/>
            <w:vAlign w:val="bottom"/>
          </w:tcPr>
          <w:p w14:paraId="392BE7A4" w14:textId="77777777" w:rsidR="00980E5F" w:rsidRDefault="00980E5F">
            <w:pPr>
              <w:rPr>
                <w:rFonts w:ascii="宋体"/>
                <w:vanish/>
              </w:rPr>
            </w:pPr>
          </w:p>
        </w:tc>
      </w:tr>
      <w:tr w:rsidR="00980E5F" w14:paraId="392BE7B4" w14:textId="77777777">
        <w:tc>
          <w:tcPr>
            <w:tcW w:w="0" w:type="auto"/>
            <w:gridSpan w:val="3"/>
            <w:shd w:val="clear" w:color="auto" w:fill="FFFFFF"/>
            <w:tcMar>
              <w:top w:w="40" w:type="dxa"/>
              <w:left w:w="20" w:type="dxa"/>
              <w:bottom w:w="40" w:type="dxa"/>
              <w:right w:w="20" w:type="dxa"/>
            </w:tcMar>
            <w:vAlign w:val="bottom"/>
          </w:tcPr>
          <w:p w14:paraId="392BE7A6" w14:textId="77777777" w:rsidR="00980E5F" w:rsidRDefault="00483613">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392BE7A7" w14:textId="77777777" w:rsidR="00980E5F" w:rsidRDefault="00483613">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392BE7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AA" w14:textId="77777777" w:rsidR="00980E5F" w:rsidRDefault="00483613">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392BE7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AD"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AE" w14:textId="77777777" w:rsidR="00980E5F" w:rsidRDefault="00980E5F">
            <w:pPr>
              <w:jc w:val="right"/>
              <w:rPr>
                <w:rFonts w:ascii="宋体"/>
              </w:rPr>
            </w:pPr>
          </w:p>
        </w:tc>
        <w:tc>
          <w:tcPr>
            <w:tcW w:w="0" w:type="auto"/>
            <w:gridSpan w:val="3"/>
            <w:shd w:val="clear" w:color="auto" w:fill="auto"/>
            <w:vAlign w:val="bottom"/>
          </w:tcPr>
          <w:p w14:paraId="392BE7AF" w14:textId="77777777" w:rsidR="00980E5F" w:rsidRDefault="00980E5F">
            <w:pPr>
              <w:rPr>
                <w:rFonts w:ascii="宋体"/>
                <w:vanish/>
              </w:rPr>
            </w:pPr>
          </w:p>
        </w:tc>
        <w:tc>
          <w:tcPr>
            <w:tcW w:w="0" w:type="auto"/>
            <w:gridSpan w:val="3"/>
            <w:shd w:val="clear" w:color="auto" w:fill="auto"/>
            <w:vAlign w:val="bottom"/>
          </w:tcPr>
          <w:p w14:paraId="392BE7B0" w14:textId="77777777" w:rsidR="00980E5F" w:rsidRDefault="00980E5F">
            <w:pPr>
              <w:rPr>
                <w:rFonts w:ascii="宋体"/>
                <w:vanish/>
              </w:rPr>
            </w:pPr>
          </w:p>
        </w:tc>
        <w:tc>
          <w:tcPr>
            <w:tcW w:w="0" w:type="auto"/>
            <w:gridSpan w:val="3"/>
            <w:shd w:val="clear" w:color="auto" w:fill="auto"/>
            <w:vAlign w:val="bottom"/>
          </w:tcPr>
          <w:p w14:paraId="392BE7B1" w14:textId="77777777" w:rsidR="00980E5F" w:rsidRDefault="00980E5F">
            <w:pPr>
              <w:rPr>
                <w:rFonts w:ascii="宋体"/>
                <w:vanish/>
              </w:rPr>
            </w:pPr>
          </w:p>
        </w:tc>
        <w:tc>
          <w:tcPr>
            <w:tcW w:w="0" w:type="auto"/>
            <w:gridSpan w:val="3"/>
            <w:shd w:val="clear" w:color="auto" w:fill="auto"/>
            <w:vAlign w:val="bottom"/>
          </w:tcPr>
          <w:p w14:paraId="392BE7B2" w14:textId="77777777" w:rsidR="00980E5F" w:rsidRDefault="00980E5F">
            <w:pPr>
              <w:rPr>
                <w:rFonts w:ascii="宋体"/>
                <w:vanish/>
              </w:rPr>
            </w:pPr>
          </w:p>
        </w:tc>
        <w:tc>
          <w:tcPr>
            <w:tcW w:w="0" w:type="auto"/>
            <w:gridSpan w:val="3"/>
            <w:shd w:val="clear" w:color="auto" w:fill="auto"/>
            <w:vAlign w:val="bottom"/>
          </w:tcPr>
          <w:p w14:paraId="392BE7B3" w14:textId="77777777" w:rsidR="00980E5F" w:rsidRDefault="00980E5F">
            <w:pPr>
              <w:rPr>
                <w:rFonts w:ascii="宋体"/>
                <w:vanish/>
              </w:rPr>
            </w:pPr>
          </w:p>
        </w:tc>
      </w:tr>
      <w:tr w:rsidR="00980E5F" w14:paraId="392BE7C5" w14:textId="77777777">
        <w:tc>
          <w:tcPr>
            <w:tcW w:w="0" w:type="auto"/>
            <w:gridSpan w:val="3"/>
            <w:shd w:val="clear" w:color="auto" w:fill="CCEEFF"/>
            <w:tcMar>
              <w:top w:w="40" w:type="dxa"/>
              <w:left w:w="20" w:type="dxa"/>
              <w:bottom w:w="40" w:type="dxa"/>
              <w:right w:w="20" w:type="dxa"/>
            </w:tcMar>
            <w:vAlign w:val="bottom"/>
          </w:tcPr>
          <w:p w14:paraId="392BE7B5" w14:textId="77777777" w:rsidR="00980E5F" w:rsidRDefault="00483613">
            <w:pPr>
              <w:textAlignment w:val="bottom"/>
            </w:pPr>
            <w:r>
              <w:rPr>
                <w:rFonts w:ascii="Arial" w:eastAsia="宋体" w:hAnsi="Arial" w:cs="Arial"/>
                <w:color w:val="000000"/>
                <w:sz w:val="12"/>
                <w:szCs w:val="12"/>
              </w:rPr>
              <w:t xml:space="preserve">Net income </w:t>
            </w:r>
            <w:r>
              <w:rPr>
                <w:rFonts w:ascii="Arial" w:eastAsia="宋体" w:hAnsi="Arial" w:cs="Arial"/>
                <w:color w:val="000000"/>
                <w:sz w:val="12"/>
                <w:szCs w:val="12"/>
              </w:rPr>
              <w:t>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7B6"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7B7" w14:textId="77777777" w:rsidR="00980E5F" w:rsidRDefault="00483613">
            <w:pPr>
              <w:jc w:val="right"/>
              <w:textAlignment w:val="bottom"/>
            </w:pPr>
            <w:r>
              <w:rPr>
                <w:rFonts w:ascii="Arial" w:eastAsia="宋体" w:hAnsi="Arial" w:cs="Arial"/>
                <w:b/>
                <w:bCs/>
                <w:color w:val="000000"/>
                <w:sz w:val="12"/>
                <w:szCs w:val="12"/>
              </w:rPr>
              <w:t>1,295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B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7BA"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7BB" w14:textId="77777777" w:rsidR="00980E5F" w:rsidRDefault="00483613">
            <w:pPr>
              <w:jc w:val="right"/>
              <w:textAlignment w:val="bottom"/>
            </w:pPr>
            <w:r>
              <w:rPr>
                <w:rFonts w:ascii="Arial" w:eastAsia="宋体" w:hAnsi="Arial" w:cs="Arial"/>
                <w:color w:val="000000"/>
                <w:sz w:val="12"/>
                <w:szCs w:val="12"/>
              </w:rPr>
              <w:t>1,217 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7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BE" w14:textId="77777777" w:rsidR="00980E5F" w:rsidRDefault="00483613">
            <w:pPr>
              <w:jc w:val="right"/>
              <w:textAlignment w:val="bottom"/>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bottom"/>
          </w:tcPr>
          <w:p w14:paraId="392BE7BF" w14:textId="77777777" w:rsidR="00980E5F" w:rsidRDefault="00980E5F">
            <w:pPr>
              <w:jc w:val="right"/>
              <w:rPr>
                <w:rFonts w:ascii="宋体"/>
              </w:rPr>
            </w:pPr>
          </w:p>
        </w:tc>
        <w:tc>
          <w:tcPr>
            <w:tcW w:w="0" w:type="auto"/>
            <w:gridSpan w:val="3"/>
            <w:shd w:val="clear" w:color="auto" w:fill="auto"/>
            <w:vAlign w:val="bottom"/>
          </w:tcPr>
          <w:p w14:paraId="392BE7C0" w14:textId="77777777" w:rsidR="00980E5F" w:rsidRDefault="00980E5F">
            <w:pPr>
              <w:rPr>
                <w:rFonts w:ascii="宋体"/>
                <w:vanish/>
              </w:rPr>
            </w:pPr>
          </w:p>
        </w:tc>
        <w:tc>
          <w:tcPr>
            <w:tcW w:w="0" w:type="auto"/>
            <w:gridSpan w:val="3"/>
            <w:shd w:val="clear" w:color="auto" w:fill="auto"/>
            <w:vAlign w:val="bottom"/>
          </w:tcPr>
          <w:p w14:paraId="392BE7C1" w14:textId="77777777" w:rsidR="00980E5F" w:rsidRDefault="00980E5F">
            <w:pPr>
              <w:rPr>
                <w:rFonts w:ascii="宋体"/>
                <w:vanish/>
              </w:rPr>
            </w:pPr>
          </w:p>
        </w:tc>
        <w:tc>
          <w:tcPr>
            <w:tcW w:w="0" w:type="auto"/>
            <w:gridSpan w:val="3"/>
            <w:shd w:val="clear" w:color="auto" w:fill="auto"/>
            <w:vAlign w:val="bottom"/>
          </w:tcPr>
          <w:p w14:paraId="392BE7C2" w14:textId="77777777" w:rsidR="00980E5F" w:rsidRDefault="00980E5F">
            <w:pPr>
              <w:rPr>
                <w:rFonts w:ascii="宋体"/>
                <w:vanish/>
              </w:rPr>
            </w:pPr>
          </w:p>
        </w:tc>
        <w:tc>
          <w:tcPr>
            <w:tcW w:w="0" w:type="auto"/>
            <w:gridSpan w:val="3"/>
            <w:shd w:val="clear" w:color="auto" w:fill="auto"/>
            <w:vAlign w:val="bottom"/>
          </w:tcPr>
          <w:p w14:paraId="392BE7C3" w14:textId="77777777" w:rsidR="00980E5F" w:rsidRDefault="00980E5F">
            <w:pPr>
              <w:rPr>
                <w:rFonts w:ascii="宋体"/>
                <w:vanish/>
              </w:rPr>
            </w:pPr>
          </w:p>
        </w:tc>
        <w:tc>
          <w:tcPr>
            <w:tcW w:w="0" w:type="auto"/>
            <w:gridSpan w:val="3"/>
            <w:shd w:val="clear" w:color="auto" w:fill="auto"/>
            <w:vAlign w:val="bottom"/>
          </w:tcPr>
          <w:p w14:paraId="392BE7C4" w14:textId="77777777" w:rsidR="00980E5F" w:rsidRDefault="00980E5F">
            <w:pPr>
              <w:rPr>
                <w:rFonts w:ascii="宋体"/>
                <w:vanish/>
              </w:rPr>
            </w:pPr>
          </w:p>
        </w:tc>
      </w:tr>
      <w:tr w:rsidR="00980E5F" w14:paraId="392BE7D1" w14:textId="77777777">
        <w:tc>
          <w:tcPr>
            <w:tcW w:w="0" w:type="auto"/>
            <w:gridSpan w:val="3"/>
            <w:shd w:val="clear" w:color="auto" w:fill="FFFFFF"/>
            <w:tcMar>
              <w:top w:w="40" w:type="dxa"/>
              <w:left w:w="20" w:type="dxa"/>
              <w:bottom w:w="40" w:type="dxa"/>
              <w:right w:w="20" w:type="dxa"/>
            </w:tcMar>
            <w:vAlign w:val="bottom"/>
          </w:tcPr>
          <w:p w14:paraId="392BE7C6" w14:textId="77777777" w:rsidR="00980E5F" w:rsidRDefault="00483613">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7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C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7C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C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7CB" w14:textId="77777777" w:rsidR="00980E5F" w:rsidRDefault="00980E5F">
            <w:pPr>
              <w:rPr>
                <w:rFonts w:ascii="宋体"/>
              </w:rPr>
            </w:pPr>
          </w:p>
        </w:tc>
        <w:tc>
          <w:tcPr>
            <w:tcW w:w="0" w:type="auto"/>
            <w:gridSpan w:val="3"/>
            <w:shd w:val="clear" w:color="auto" w:fill="auto"/>
            <w:vAlign w:val="bottom"/>
          </w:tcPr>
          <w:p w14:paraId="392BE7CC" w14:textId="77777777" w:rsidR="00980E5F" w:rsidRDefault="00980E5F">
            <w:pPr>
              <w:rPr>
                <w:rFonts w:ascii="宋体"/>
                <w:vanish/>
              </w:rPr>
            </w:pPr>
          </w:p>
        </w:tc>
        <w:tc>
          <w:tcPr>
            <w:tcW w:w="0" w:type="auto"/>
            <w:gridSpan w:val="3"/>
            <w:shd w:val="clear" w:color="auto" w:fill="auto"/>
            <w:vAlign w:val="bottom"/>
          </w:tcPr>
          <w:p w14:paraId="392BE7CD" w14:textId="77777777" w:rsidR="00980E5F" w:rsidRDefault="00980E5F">
            <w:pPr>
              <w:rPr>
                <w:rFonts w:ascii="宋体"/>
                <w:vanish/>
              </w:rPr>
            </w:pPr>
          </w:p>
        </w:tc>
        <w:tc>
          <w:tcPr>
            <w:tcW w:w="0" w:type="auto"/>
            <w:gridSpan w:val="3"/>
            <w:shd w:val="clear" w:color="auto" w:fill="auto"/>
            <w:vAlign w:val="bottom"/>
          </w:tcPr>
          <w:p w14:paraId="392BE7CE" w14:textId="77777777" w:rsidR="00980E5F" w:rsidRDefault="00980E5F">
            <w:pPr>
              <w:rPr>
                <w:rFonts w:ascii="宋体"/>
                <w:vanish/>
              </w:rPr>
            </w:pPr>
          </w:p>
        </w:tc>
        <w:tc>
          <w:tcPr>
            <w:tcW w:w="0" w:type="auto"/>
            <w:gridSpan w:val="3"/>
            <w:shd w:val="clear" w:color="auto" w:fill="auto"/>
            <w:vAlign w:val="bottom"/>
          </w:tcPr>
          <w:p w14:paraId="392BE7CF" w14:textId="77777777" w:rsidR="00980E5F" w:rsidRDefault="00980E5F">
            <w:pPr>
              <w:rPr>
                <w:rFonts w:ascii="宋体"/>
                <w:vanish/>
              </w:rPr>
            </w:pPr>
          </w:p>
        </w:tc>
        <w:tc>
          <w:tcPr>
            <w:tcW w:w="0" w:type="auto"/>
            <w:gridSpan w:val="3"/>
            <w:shd w:val="clear" w:color="auto" w:fill="auto"/>
            <w:vAlign w:val="bottom"/>
          </w:tcPr>
          <w:p w14:paraId="392BE7D0" w14:textId="77777777" w:rsidR="00980E5F" w:rsidRDefault="00980E5F">
            <w:pPr>
              <w:rPr>
                <w:rFonts w:ascii="宋体"/>
                <w:vanish/>
              </w:rPr>
            </w:pPr>
          </w:p>
        </w:tc>
      </w:tr>
      <w:tr w:rsidR="00980E5F" w14:paraId="392BE7E2" w14:textId="77777777">
        <w:tc>
          <w:tcPr>
            <w:tcW w:w="0" w:type="auto"/>
            <w:gridSpan w:val="3"/>
            <w:shd w:val="clear" w:color="auto" w:fill="CCEEFF"/>
            <w:tcMar>
              <w:top w:w="40" w:type="dxa"/>
              <w:left w:w="245" w:type="dxa"/>
              <w:bottom w:w="40" w:type="dxa"/>
              <w:right w:w="20" w:type="dxa"/>
            </w:tcMar>
            <w:vAlign w:val="bottom"/>
          </w:tcPr>
          <w:p w14:paraId="392BE7D2" w14:textId="77777777" w:rsidR="00980E5F" w:rsidRDefault="00483613">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392BE7D3"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E7D4" w14:textId="77777777" w:rsidR="00980E5F" w:rsidRDefault="00483613">
            <w:pPr>
              <w:jc w:val="right"/>
              <w:textAlignment w:val="bottom"/>
            </w:pPr>
            <w:r>
              <w:rPr>
                <w:rFonts w:ascii="Arial" w:eastAsia="宋体" w:hAnsi="Arial" w:cs="Arial"/>
                <w:b/>
                <w:bCs/>
                <w:color w:val="000000"/>
                <w:sz w:val="12"/>
                <w:szCs w:val="12"/>
              </w:rPr>
              <w:t>3.53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7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D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7D7"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E7D8" w14:textId="77777777" w:rsidR="00980E5F" w:rsidRDefault="00483613">
            <w:pPr>
              <w:jc w:val="right"/>
              <w:textAlignment w:val="bottom"/>
            </w:pPr>
            <w:r>
              <w:rPr>
                <w:rFonts w:ascii="Arial" w:eastAsia="宋体" w:hAnsi="Arial" w:cs="Arial"/>
                <w:color w:val="000000"/>
                <w:sz w:val="12"/>
                <w:szCs w:val="12"/>
              </w:rPr>
              <w:t>3.49 </w:t>
            </w:r>
          </w:p>
        </w:tc>
        <w:tc>
          <w:tcPr>
            <w:tcW w:w="0" w:type="auto"/>
            <w:shd w:val="clear" w:color="auto" w:fill="CCEEFF"/>
            <w:tcMar>
              <w:top w:w="40" w:type="dxa"/>
              <w:left w:w="0" w:type="dxa"/>
              <w:bottom w:w="40" w:type="dxa"/>
              <w:right w:w="20" w:type="dxa"/>
            </w:tcMar>
            <w:vAlign w:val="bottom"/>
          </w:tcPr>
          <w:p w14:paraId="392BE7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7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7DB"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392BE7DC" w14:textId="77777777" w:rsidR="00980E5F" w:rsidRDefault="00980E5F">
            <w:pPr>
              <w:jc w:val="right"/>
              <w:rPr>
                <w:rFonts w:ascii="宋体"/>
              </w:rPr>
            </w:pPr>
          </w:p>
        </w:tc>
        <w:tc>
          <w:tcPr>
            <w:tcW w:w="0" w:type="auto"/>
            <w:gridSpan w:val="3"/>
            <w:shd w:val="clear" w:color="auto" w:fill="auto"/>
            <w:vAlign w:val="bottom"/>
          </w:tcPr>
          <w:p w14:paraId="392BE7DD" w14:textId="77777777" w:rsidR="00980E5F" w:rsidRDefault="00980E5F">
            <w:pPr>
              <w:rPr>
                <w:rFonts w:ascii="宋体"/>
                <w:vanish/>
              </w:rPr>
            </w:pPr>
          </w:p>
        </w:tc>
        <w:tc>
          <w:tcPr>
            <w:tcW w:w="0" w:type="auto"/>
            <w:gridSpan w:val="3"/>
            <w:shd w:val="clear" w:color="auto" w:fill="auto"/>
            <w:vAlign w:val="bottom"/>
          </w:tcPr>
          <w:p w14:paraId="392BE7DE" w14:textId="77777777" w:rsidR="00980E5F" w:rsidRDefault="00980E5F">
            <w:pPr>
              <w:rPr>
                <w:rFonts w:ascii="宋体"/>
                <w:vanish/>
              </w:rPr>
            </w:pPr>
          </w:p>
        </w:tc>
        <w:tc>
          <w:tcPr>
            <w:tcW w:w="0" w:type="auto"/>
            <w:gridSpan w:val="3"/>
            <w:shd w:val="clear" w:color="auto" w:fill="auto"/>
            <w:vAlign w:val="bottom"/>
          </w:tcPr>
          <w:p w14:paraId="392BE7DF" w14:textId="77777777" w:rsidR="00980E5F" w:rsidRDefault="00980E5F">
            <w:pPr>
              <w:rPr>
                <w:rFonts w:ascii="宋体"/>
                <w:vanish/>
              </w:rPr>
            </w:pPr>
          </w:p>
        </w:tc>
        <w:tc>
          <w:tcPr>
            <w:tcW w:w="0" w:type="auto"/>
            <w:gridSpan w:val="3"/>
            <w:shd w:val="clear" w:color="auto" w:fill="auto"/>
            <w:vAlign w:val="bottom"/>
          </w:tcPr>
          <w:p w14:paraId="392BE7E0" w14:textId="77777777" w:rsidR="00980E5F" w:rsidRDefault="00980E5F">
            <w:pPr>
              <w:rPr>
                <w:rFonts w:ascii="宋体"/>
                <w:vanish/>
              </w:rPr>
            </w:pPr>
          </w:p>
        </w:tc>
        <w:tc>
          <w:tcPr>
            <w:tcW w:w="0" w:type="auto"/>
            <w:gridSpan w:val="3"/>
            <w:shd w:val="clear" w:color="auto" w:fill="auto"/>
            <w:vAlign w:val="bottom"/>
          </w:tcPr>
          <w:p w14:paraId="392BE7E1" w14:textId="77777777" w:rsidR="00980E5F" w:rsidRDefault="00980E5F">
            <w:pPr>
              <w:rPr>
                <w:rFonts w:ascii="宋体"/>
                <w:vanish/>
              </w:rPr>
            </w:pPr>
          </w:p>
        </w:tc>
      </w:tr>
      <w:tr w:rsidR="00980E5F" w14:paraId="392BE7F1" w14:textId="77777777">
        <w:tc>
          <w:tcPr>
            <w:tcW w:w="0" w:type="auto"/>
            <w:gridSpan w:val="3"/>
            <w:shd w:val="clear" w:color="auto" w:fill="FFFFFF"/>
            <w:tcMar>
              <w:top w:w="40" w:type="dxa"/>
              <w:left w:w="245" w:type="dxa"/>
              <w:bottom w:w="40" w:type="dxa"/>
              <w:right w:w="20" w:type="dxa"/>
            </w:tcMar>
            <w:vAlign w:val="bottom"/>
          </w:tcPr>
          <w:p w14:paraId="392BE7E3" w14:textId="77777777" w:rsidR="00980E5F" w:rsidRDefault="00483613">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392BE7E4" w14:textId="77777777" w:rsidR="00980E5F" w:rsidRDefault="00483613">
            <w:pPr>
              <w:jc w:val="right"/>
              <w:textAlignment w:val="bottom"/>
            </w:pPr>
            <w:r>
              <w:rPr>
                <w:rFonts w:ascii="Arial" w:eastAsia="宋体" w:hAnsi="Arial" w:cs="Arial"/>
                <w:b/>
                <w:bCs/>
                <w:color w:val="000000"/>
                <w:sz w:val="12"/>
                <w:szCs w:val="12"/>
              </w:rPr>
              <w:t>3.48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7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E7" w14:textId="77777777" w:rsidR="00980E5F" w:rsidRDefault="00483613">
            <w:pPr>
              <w:jc w:val="right"/>
              <w:textAlignment w:val="bottom"/>
            </w:pPr>
            <w:r>
              <w:rPr>
                <w:rFonts w:ascii="Arial" w:eastAsia="宋体" w:hAnsi="Arial" w:cs="Arial"/>
                <w:color w:val="000000"/>
                <w:sz w:val="12"/>
                <w:szCs w:val="12"/>
              </w:rPr>
              <w:t>3.44 </w:t>
            </w:r>
          </w:p>
        </w:tc>
        <w:tc>
          <w:tcPr>
            <w:tcW w:w="0" w:type="auto"/>
            <w:shd w:val="clear" w:color="auto" w:fill="FFFFFF"/>
            <w:tcMar>
              <w:top w:w="40" w:type="dxa"/>
              <w:left w:w="0" w:type="dxa"/>
              <w:bottom w:w="40" w:type="dxa"/>
              <w:right w:w="20" w:type="dxa"/>
            </w:tcMar>
            <w:vAlign w:val="bottom"/>
          </w:tcPr>
          <w:p w14:paraId="392BE7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7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7EA"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392BE7EB" w14:textId="77777777" w:rsidR="00980E5F" w:rsidRDefault="00980E5F">
            <w:pPr>
              <w:jc w:val="right"/>
              <w:rPr>
                <w:rFonts w:ascii="宋体"/>
              </w:rPr>
            </w:pPr>
          </w:p>
        </w:tc>
        <w:tc>
          <w:tcPr>
            <w:tcW w:w="0" w:type="auto"/>
            <w:gridSpan w:val="3"/>
            <w:shd w:val="clear" w:color="auto" w:fill="auto"/>
            <w:vAlign w:val="bottom"/>
          </w:tcPr>
          <w:p w14:paraId="392BE7EC" w14:textId="77777777" w:rsidR="00980E5F" w:rsidRDefault="00980E5F">
            <w:pPr>
              <w:rPr>
                <w:rFonts w:ascii="宋体"/>
                <w:vanish/>
              </w:rPr>
            </w:pPr>
          </w:p>
        </w:tc>
        <w:tc>
          <w:tcPr>
            <w:tcW w:w="0" w:type="auto"/>
            <w:gridSpan w:val="3"/>
            <w:shd w:val="clear" w:color="auto" w:fill="auto"/>
            <w:vAlign w:val="bottom"/>
          </w:tcPr>
          <w:p w14:paraId="392BE7ED" w14:textId="77777777" w:rsidR="00980E5F" w:rsidRDefault="00980E5F">
            <w:pPr>
              <w:rPr>
                <w:rFonts w:ascii="宋体"/>
                <w:vanish/>
              </w:rPr>
            </w:pPr>
          </w:p>
        </w:tc>
        <w:tc>
          <w:tcPr>
            <w:tcW w:w="0" w:type="auto"/>
            <w:gridSpan w:val="3"/>
            <w:shd w:val="clear" w:color="auto" w:fill="auto"/>
            <w:vAlign w:val="bottom"/>
          </w:tcPr>
          <w:p w14:paraId="392BE7EE" w14:textId="77777777" w:rsidR="00980E5F" w:rsidRDefault="00980E5F">
            <w:pPr>
              <w:rPr>
                <w:rFonts w:ascii="宋体"/>
                <w:vanish/>
              </w:rPr>
            </w:pPr>
          </w:p>
        </w:tc>
        <w:tc>
          <w:tcPr>
            <w:tcW w:w="0" w:type="auto"/>
            <w:gridSpan w:val="3"/>
            <w:shd w:val="clear" w:color="auto" w:fill="auto"/>
            <w:vAlign w:val="bottom"/>
          </w:tcPr>
          <w:p w14:paraId="392BE7EF" w14:textId="77777777" w:rsidR="00980E5F" w:rsidRDefault="00980E5F">
            <w:pPr>
              <w:rPr>
                <w:rFonts w:ascii="宋体"/>
                <w:vanish/>
              </w:rPr>
            </w:pPr>
          </w:p>
        </w:tc>
        <w:tc>
          <w:tcPr>
            <w:tcW w:w="0" w:type="auto"/>
            <w:gridSpan w:val="3"/>
            <w:shd w:val="clear" w:color="auto" w:fill="auto"/>
            <w:vAlign w:val="bottom"/>
          </w:tcPr>
          <w:p w14:paraId="392BE7F0" w14:textId="77777777" w:rsidR="00980E5F" w:rsidRDefault="00980E5F">
            <w:pPr>
              <w:rPr>
                <w:rFonts w:ascii="宋体"/>
                <w:vanish/>
              </w:rPr>
            </w:pPr>
          </w:p>
        </w:tc>
      </w:tr>
      <w:tr w:rsidR="00980E5F" w14:paraId="392BE7FD" w14:textId="77777777">
        <w:tc>
          <w:tcPr>
            <w:tcW w:w="0" w:type="auto"/>
            <w:gridSpan w:val="3"/>
            <w:shd w:val="clear" w:color="auto" w:fill="CCEEFF"/>
            <w:tcMar>
              <w:top w:w="40" w:type="dxa"/>
              <w:left w:w="20" w:type="dxa"/>
              <w:bottom w:w="40" w:type="dxa"/>
              <w:right w:w="20" w:type="dxa"/>
            </w:tcMar>
            <w:vAlign w:val="bottom"/>
          </w:tcPr>
          <w:p w14:paraId="392BE7F2" w14:textId="77777777" w:rsidR="00980E5F" w:rsidRDefault="00483613">
            <w:pPr>
              <w:textAlignment w:val="bottom"/>
            </w:pPr>
            <w:r>
              <w:rPr>
                <w:rFonts w:ascii="Arial" w:eastAsia="宋体" w:hAnsi="Arial" w:cs="Arial"/>
                <w:color w:val="000000"/>
                <w:sz w:val="12"/>
                <w:szCs w:val="12"/>
              </w:rPr>
              <w:t>Averag</w:t>
            </w:r>
            <w:r>
              <w:rPr>
                <w:rFonts w:ascii="Arial" w:eastAsia="宋体" w:hAnsi="Arial" w:cs="Arial"/>
                <w:color w:val="000000"/>
                <w:sz w:val="12"/>
                <w:szCs w:val="12"/>
              </w:rPr>
              <w:t>e common shares outstanding (in thousands):</w:t>
            </w:r>
          </w:p>
        </w:tc>
        <w:tc>
          <w:tcPr>
            <w:tcW w:w="0" w:type="auto"/>
            <w:gridSpan w:val="3"/>
            <w:shd w:val="clear" w:color="auto" w:fill="CCEEFF"/>
            <w:tcMar>
              <w:top w:w="0" w:type="dxa"/>
              <w:left w:w="20" w:type="dxa"/>
              <w:bottom w:w="0" w:type="dxa"/>
              <w:right w:w="20" w:type="dxa"/>
            </w:tcMar>
            <w:vAlign w:val="bottom"/>
          </w:tcPr>
          <w:p w14:paraId="392BE7F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7F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7F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7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E7F7" w14:textId="77777777" w:rsidR="00980E5F" w:rsidRDefault="00980E5F">
            <w:pPr>
              <w:rPr>
                <w:rFonts w:ascii="宋体"/>
              </w:rPr>
            </w:pPr>
          </w:p>
        </w:tc>
        <w:tc>
          <w:tcPr>
            <w:tcW w:w="0" w:type="auto"/>
            <w:gridSpan w:val="3"/>
            <w:shd w:val="clear" w:color="auto" w:fill="auto"/>
            <w:vAlign w:val="bottom"/>
          </w:tcPr>
          <w:p w14:paraId="392BE7F8" w14:textId="77777777" w:rsidR="00980E5F" w:rsidRDefault="00980E5F">
            <w:pPr>
              <w:rPr>
                <w:rFonts w:ascii="宋体"/>
                <w:vanish/>
              </w:rPr>
            </w:pPr>
          </w:p>
        </w:tc>
        <w:tc>
          <w:tcPr>
            <w:tcW w:w="0" w:type="auto"/>
            <w:gridSpan w:val="3"/>
            <w:shd w:val="clear" w:color="auto" w:fill="auto"/>
            <w:vAlign w:val="bottom"/>
          </w:tcPr>
          <w:p w14:paraId="392BE7F9" w14:textId="77777777" w:rsidR="00980E5F" w:rsidRDefault="00980E5F">
            <w:pPr>
              <w:rPr>
                <w:rFonts w:ascii="宋体"/>
                <w:vanish/>
              </w:rPr>
            </w:pPr>
          </w:p>
        </w:tc>
        <w:tc>
          <w:tcPr>
            <w:tcW w:w="0" w:type="auto"/>
            <w:gridSpan w:val="3"/>
            <w:shd w:val="clear" w:color="auto" w:fill="auto"/>
            <w:vAlign w:val="bottom"/>
          </w:tcPr>
          <w:p w14:paraId="392BE7FA" w14:textId="77777777" w:rsidR="00980E5F" w:rsidRDefault="00980E5F">
            <w:pPr>
              <w:rPr>
                <w:rFonts w:ascii="宋体"/>
                <w:vanish/>
              </w:rPr>
            </w:pPr>
          </w:p>
        </w:tc>
        <w:tc>
          <w:tcPr>
            <w:tcW w:w="0" w:type="auto"/>
            <w:gridSpan w:val="3"/>
            <w:shd w:val="clear" w:color="auto" w:fill="auto"/>
            <w:vAlign w:val="bottom"/>
          </w:tcPr>
          <w:p w14:paraId="392BE7FB" w14:textId="77777777" w:rsidR="00980E5F" w:rsidRDefault="00980E5F">
            <w:pPr>
              <w:rPr>
                <w:rFonts w:ascii="宋体"/>
                <w:vanish/>
              </w:rPr>
            </w:pPr>
          </w:p>
        </w:tc>
        <w:tc>
          <w:tcPr>
            <w:tcW w:w="0" w:type="auto"/>
            <w:gridSpan w:val="3"/>
            <w:shd w:val="clear" w:color="auto" w:fill="auto"/>
            <w:vAlign w:val="bottom"/>
          </w:tcPr>
          <w:p w14:paraId="392BE7FC" w14:textId="77777777" w:rsidR="00980E5F" w:rsidRDefault="00980E5F">
            <w:pPr>
              <w:rPr>
                <w:rFonts w:ascii="宋体"/>
                <w:vanish/>
              </w:rPr>
            </w:pPr>
          </w:p>
        </w:tc>
      </w:tr>
      <w:tr w:rsidR="00980E5F" w14:paraId="392BE80C" w14:textId="77777777">
        <w:tc>
          <w:tcPr>
            <w:tcW w:w="0" w:type="auto"/>
            <w:gridSpan w:val="3"/>
            <w:shd w:val="clear" w:color="auto" w:fill="FFFFFF"/>
            <w:tcMar>
              <w:top w:w="40" w:type="dxa"/>
              <w:left w:w="245" w:type="dxa"/>
              <w:bottom w:w="40" w:type="dxa"/>
              <w:right w:w="20" w:type="dxa"/>
            </w:tcMar>
            <w:vAlign w:val="bottom"/>
          </w:tcPr>
          <w:p w14:paraId="392BE7FE" w14:textId="77777777" w:rsidR="00980E5F" w:rsidRDefault="00483613">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392BE7FF" w14:textId="77777777" w:rsidR="00980E5F" w:rsidRDefault="00483613">
            <w:pPr>
              <w:jc w:val="right"/>
              <w:textAlignment w:val="bottom"/>
            </w:pPr>
            <w:r>
              <w:rPr>
                <w:rFonts w:ascii="Arial" w:eastAsia="宋体" w:hAnsi="Arial" w:cs="Arial"/>
                <w:b/>
                <w:bCs/>
                <w:color w:val="000000"/>
                <w:sz w:val="12"/>
                <w:szCs w:val="12"/>
              </w:rPr>
              <w:t>366,961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8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8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802" w14:textId="77777777" w:rsidR="00980E5F" w:rsidRDefault="00483613">
            <w:pPr>
              <w:jc w:val="right"/>
              <w:textAlignment w:val="bottom"/>
            </w:pPr>
            <w:r>
              <w:rPr>
                <w:rFonts w:ascii="Arial" w:eastAsia="宋体" w:hAnsi="Arial" w:cs="Arial"/>
                <w:color w:val="000000"/>
                <w:sz w:val="12"/>
                <w:szCs w:val="12"/>
              </w:rPr>
              <w:t>348,303 </w:t>
            </w:r>
          </w:p>
        </w:tc>
        <w:tc>
          <w:tcPr>
            <w:tcW w:w="0" w:type="auto"/>
            <w:shd w:val="clear" w:color="auto" w:fill="FFFFFF"/>
            <w:tcMar>
              <w:top w:w="40" w:type="dxa"/>
              <w:left w:w="0" w:type="dxa"/>
              <w:bottom w:w="40" w:type="dxa"/>
              <w:right w:w="20" w:type="dxa"/>
            </w:tcMar>
            <w:vAlign w:val="bottom"/>
          </w:tcPr>
          <w:p w14:paraId="392BE8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8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805" w14:textId="77777777" w:rsidR="00980E5F" w:rsidRDefault="00483613">
            <w:pPr>
              <w:jc w:val="right"/>
              <w:textAlignment w:val="bottom"/>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bottom"/>
          </w:tcPr>
          <w:p w14:paraId="392BE806" w14:textId="77777777" w:rsidR="00980E5F" w:rsidRDefault="00980E5F">
            <w:pPr>
              <w:jc w:val="right"/>
              <w:rPr>
                <w:rFonts w:ascii="宋体"/>
              </w:rPr>
            </w:pPr>
          </w:p>
        </w:tc>
        <w:tc>
          <w:tcPr>
            <w:tcW w:w="0" w:type="auto"/>
            <w:gridSpan w:val="3"/>
            <w:shd w:val="clear" w:color="auto" w:fill="auto"/>
            <w:vAlign w:val="bottom"/>
          </w:tcPr>
          <w:p w14:paraId="392BE807" w14:textId="77777777" w:rsidR="00980E5F" w:rsidRDefault="00980E5F">
            <w:pPr>
              <w:rPr>
                <w:rFonts w:ascii="宋体"/>
                <w:vanish/>
              </w:rPr>
            </w:pPr>
          </w:p>
        </w:tc>
        <w:tc>
          <w:tcPr>
            <w:tcW w:w="0" w:type="auto"/>
            <w:gridSpan w:val="3"/>
            <w:shd w:val="clear" w:color="auto" w:fill="auto"/>
            <w:vAlign w:val="bottom"/>
          </w:tcPr>
          <w:p w14:paraId="392BE808" w14:textId="77777777" w:rsidR="00980E5F" w:rsidRDefault="00980E5F">
            <w:pPr>
              <w:rPr>
                <w:rFonts w:ascii="宋体"/>
                <w:vanish/>
              </w:rPr>
            </w:pPr>
          </w:p>
        </w:tc>
        <w:tc>
          <w:tcPr>
            <w:tcW w:w="0" w:type="auto"/>
            <w:gridSpan w:val="3"/>
            <w:shd w:val="clear" w:color="auto" w:fill="auto"/>
            <w:vAlign w:val="bottom"/>
          </w:tcPr>
          <w:p w14:paraId="392BE809" w14:textId="77777777" w:rsidR="00980E5F" w:rsidRDefault="00980E5F">
            <w:pPr>
              <w:rPr>
                <w:rFonts w:ascii="宋体"/>
                <w:vanish/>
              </w:rPr>
            </w:pPr>
          </w:p>
        </w:tc>
        <w:tc>
          <w:tcPr>
            <w:tcW w:w="0" w:type="auto"/>
            <w:gridSpan w:val="3"/>
            <w:shd w:val="clear" w:color="auto" w:fill="auto"/>
            <w:vAlign w:val="bottom"/>
          </w:tcPr>
          <w:p w14:paraId="392BE80A" w14:textId="77777777" w:rsidR="00980E5F" w:rsidRDefault="00980E5F">
            <w:pPr>
              <w:rPr>
                <w:rFonts w:ascii="宋体"/>
                <w:vanish/>
              </w:rPr>
            </w:pPr>
          </w:p>
        </w:tc>
        <w:tc>
          <w:tcPr>
            <w:tcW w:w="0" w:type="auto"/>
            <w:gridSpan w:val="3"/>
            <w:shd w:val="clear" w:color="auto" w:fill="auto"/>
            <w:vAlign w:val="bottom"/>
          </w:tcPr>
          <w:p w14:paraId="392BE80B" w14:textId="77777777" w:rsidR="00980E5F" w:rsidRDefault="00980E5F">
            <w:pPr>
              <w:rPr>
                <w:rFonts w:ascii="宋体"/>
                <w:vanish/>
              </w:rPr>
            </w:pPr>
          </w:p>
        </w:tc>
      </w:tr>
      <w:tr w:rsidR="00980E5F" w14:paraId="392BE81B" w14:textId="77777777">
        <w:tc>
          <w:tcPr>
            <w:tcW w:w="0" w:type="auto"/>
            <w:gridSpan w:val="3"/>
            <w:shd w:val="clear" w:color="auto" w:fill="CCEEFF"/>
            <w:tcMar>
              <w:top w:w="40" w:type="dxa"/>
              <w:left w:w="245" w:type="dxa"/>
              <w:bottom w:w="40" w:type="dxa"/>
              <w:right w:w="20" w:type="dxa"/>
            </w:tcMar>
            <w:vAlign w:val="bottom"/>
          </w:tcPr>
          <w:p w14:paraId="392BE80D" w14:textId="77777777" w:rsidR="00980E5F" w:rsidRDefault="00483613">
            <w:pPr>
              <w:textAlignment w:val="bottom"/>
            </w:pPr>
            <w:r>
              <w:rPr>
                <w:rFonts w:ascii="Arial" w:eastAsia="宋体" w:hAnsi="Arial" w:cs="Arial"/>
                <w:color w:val="000000"/>
                <w:sz w:val="12"/>
                <w:szCs w:val="12"/>
              </w:rPr>
              <w:t>Dilute</w:t>
            </w:r>
            <w:r>
              <w:rPr>
                <w:rFonts w:ascii="Arial" w:eastAsia="宋体" w:hAnsi="Arial" w:cs="Arial"/>
                <w:color w:val="000000"/>
                <w:sz w:val="12"/>
                <w:szCs w:val="12"/>
              </w:rPr>
              <w:t>d</w:t>
            </w:r>
          </w:p>
        </w:tc>
        <w:tc>
          <w:tcPr>
            <w:tcW w:w="0" w:type="auto"/>
            <w:gridSpan w:val="2"/>
            <w:shd w:val="clear" w:color="auto" w:fill="CCEEFF"/>
            <w:tcMar>
              <w:top w:w="40" w:type="dxa"/>
              <w:left w:w="20" w:type="dxa"/>
              <w:bottom w:w="40" w:type="dxa"/>
              <w:right w:w="0" w:type="dxa"/>
            </w:tcMar>
            <w:vAlign w:val="bottom"/>
          </w:tcPr>
          <w:p w14:paraId="392BE80E" w14:textId="77777777" w:rsidR="00980E5F" w:rsidRDefault="00483613">
            <w:pPr>
              <w:jc w:val="right"/>
              <w:textAlignment w:val="bottom"/>
            </w:pPr>
            <w:r>
              <w:rPr>
                <w:rFonts w:ascii="Arial" w:eastAsia="宋体" w:hAnsi="Arial" w:cs="Arial"/>
                <w:b/>
                <w:bCs/>
                <w:color w:val="000000"/>
                <w:sz w:val="12"/>
                <w:szCs w:val="12"/>
              </w:rPr>
              <w:t>372,080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8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8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811" w14:textId="77777777" w:rsidR="00980E5F" w:rsidRDefault="00483613">
            <w:pPr>
              <w:jc w:val="right"/>
              <w:textAlignment w:val="bottom"/>
            </w:pPr>
            <w:r>
              <w:rPr>
                <w:rFonts w:ascii="Arial" w:eastAsia="宋体" w:hAnsi="Arial" w:cs="Arial"/>
                <w:color w:val="000000"/>
                <w:sz w:val="12"/>
                <w:szCs w:val="12"/>
              </w:rPr>
              <w:t>353,434 </w:t>
            </w:r>
          </w:p>
        </w:tc>
        <w:tc>
          <w:tcPr>
            <w:tcW w:w="0" w:type="auto"/>
            <w:shd w:val="clear" w:color="auto" w:fill="CCEEFF"/>
            <w:tcMar>
              <w:top w:w="40" w:type="dxa"/>
              <w:left w:w="0" w:type="dxa"/>
              <w:bottom w:w="40" w:type="dxa"/>
              <w:right w:w="20" w:type="dxa"/>
            </w:tcMar>
            <w:vAlign w:val="bottom"/>
          </w:tcPr>
          <w:p w14:paraId="392BE8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8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814" w14:textId="77777777" w:rsidR="00980E5F" w:rsidRDefault="00483613">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392BE815" w14:textId="77777777" w:rsidR="00980E5F" w:rsidRDefault="00980E5F">
            <w:pPr>
              <w:jc w:val="right"/>
              <w:rPr>
                <w:rFonts w:ascii="宋体"/>
              </w:rPr>
            </w:pPr>
          </w:p>
        </w:tc>
        <w:tc>
          <w:tcPr>
            <w:tcW w:w="0" w:type="auto"/>
            <w:gridSpan w:val="3"/>
            <w:shd w:val="clear" w:color="auto" w:fill="auto"/>
            <w:vAlign w:val="bottom"/>
          </w:tcPr>
          <w:p w14:paraId="392BE816" w14:textId="77777777" w:rsidR="00980E5F" w:rsidRDefault="00980E5F">
            <w:pPr>
              <w:rPr>
                <w:rFonts w:ascii="宋体"/>
                <w:vanish/>
              </w:rPr>
            </w:pPr>
          </w:p>
        </w:tc>
        <w:tc>
          <w:tcPr>
            <w:tcW w:w="0" w:type="auto"/>
            <w:gridSpan w:val="3"/>
            <w:shd w:val="clear" w:color="auto" w:fill="auto"/>
            <w:vAlign w:val="bottom"/>
          </w:tcPr>
          <w:p w14:paraId="392BE817" w14:textId="77777777" w:rsidR="00980E5F" w:rsidRDefault="00980E5F">
            <w:pPr>
              <w:rPr>
                <w:rFonts w:ascii="宋体"/>
                <w:vanish/>
              </w:rPr>
            </w:pPr>
          </w:p>
        </w:tc>
        <w:tc>
          <w:tcPr>
            <w:tcW w:w="0" w:type="auto"/>
            <w:gridSpan w:val="3"/>
            <w:shd w:val="clear" w:color="auto" w:fill="auto"/>
            <w:vAlign w:val="bottom"/>
          </w:tcPr>
          <w:p w14:paraId="392BE818" w14:textId="77777777" w:rsidR="00980E5F" w:rsidRDefault="00980E5F">
            <w:pPr>
              <w:rPr>
                <w:rFonts w:ascii="宋体"/>
                <w:vanish/>
              </w:rPr>
            </w:pPr>
          </w:p>
        </w:tc>
        <w:tc>
          <w:tcPr>
            <w:tcW w:w="0" w:type="auto"/>
            <w:gridSpan w:val="3"/>
            <w:shd w:val="clear" w:color="auto" w:fill="auto"/>
            <w:vAlign w:val="bottom"/>
          </w:tcPr>
          <w:p w14:paraId="392BE819" w14:textId="77777777" w:rsidR="00980E5F" w:rsidRDefault="00980E5F">
            <w:pPr>
              <w:rPr>
                <w:rFonts w:ascii="宋体"/>
                <w:vanish/>
              </w:rPr>
            </w:pPr>
          </w:p>
        </w:tc>
        <w:tc>
          <w:tcPr>
            <w:tcW w:w="0" w:type="auto"/>
            <w:gridSpan w:val="3"/>
            <w:shd w:val="clear" w:color="auto" w:fill="auto"/>
            <w:vAlign w:val="bottom"/>
          </w:tcPr>
          <w:p w14:paraId="392BE81A" w14:textId="77777777" w:rsidR="00980E5F" w:rsidRDefault="00980E5F">
            <w:pPr>
              <w:rPr>
                <w:rFonts w:ascii="宋体"/>
                <w:vanish/>
              </w:rPr>
            </w:pPr>
          </w:p>
        </w:tc>
      </w:tr>
      <w:tr w:rsidR="00980E5F" w14:paraId="392BE82C" w14:textId="77777777">
        <w:tc>
          <w:tcPr>
            <w:tcW w:w="0" w:type="auto"/>
            <w:gridSpan w:val="3"/>
            <w:shd w:val="clear" w:color="auto" w:fill="FFFFFF"/>
            <w:tcMar>
              <w:top w:w="40" w:type="dxa"/>
              <w:left w:w="20" w:type="dxa"/>
              <w:bottom w:w="40" w:type="dxa"/>
              <w:right w:w="20" w:type="dxa"/>
            </w:tcMar>
            <w:vAlign w:val="bottom"/>
          </w:tcPr>
          <w:p w14:paraId="392BE81C" w14:textId="77777777" w:rsidR="00980E5F" w:rsidRDefault="00483613">
            <w:pPr>
              <w:textAlignment w:val="bottom"/>
            </w:pPr>
            <w:r>
              <w:rPr>
                <w:rFonts w:ascii="Arial" w:eastAsia="宋体" w:hAnsi="Arial" w:cs="Arial"/>
                <w:color w:val="000000"/>
                <w:sz w:val="12"/>
                <w:szCs w:val="12"/>
              </w:rPr>
              <w:t>Cash dividends declared per common share</w:t>
            </w:r>
          </w:p>
        </w:tc>
        <w:tc>
          <w:tcPr>
            <w:tcW w:w="0" w:type="auto"/>
            <w:shd w:val="clear" w:color="auto" w:fill="FFFFFF"/>
            <w:tcMar>
              <w:top w:w="40" w:type="dxa"/>
              <w:left w:w="20" w:type="dxa"/>
              <w:bottom w:w="40" w:type="dxa"/>
              <w:right w:w="0" w:type="dxa"/>
            </w:tcMar>
            <w:vAlign w:val="bottom"/>
          </w:tcPr>
          <w:p w14:paraId="392BE81D"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BE81E" w14:textId="77777777" w:rsidR="00980E5F" w:rsidRDefault="00483613">
            <w:pPr>
              <w:jc w:val="right"/>
              <w:textAlignment w:val="bottom"/>
            </w:pPr>
            <w:r>
              <w:rPr>
                <w:rFonts w:ascii="Arial" w:eastAsia="宋体" w:hAnsi="Arial" w:cs="Arial"/>
                <w:b/>
                <w:bCs/>
                <w:color w:val="000000"/>
                <w:sz w:val="12"/>
                <w:szCs w:val="12"/>
              </w:rPr>
              <w:t>1.14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8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82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BE821"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BE822" w14:textId="77777777" w:rsidR="00980E5F" w:rsidRDefault="00483613">
            <w:pPr>
              <w:jc w:val="right"/>
              <w:textAlignment w:val="bottom"/>
            </w:pPr>
            <w:r>
              <w:rPr>
                <w:rFonts w:ascii="Arial" w:eastAsia="宋体" w:hAnsi="Arial" w:cs="Arial"/>
                <w:color w:val="000000"/>
                <w:sz w:val="12"/>
                <w:szCs w:val="12"/>
              </w:rPr>
              <w:t>1.04 </w:t>
            </w:r>
          </w:p>
        </w:tc>
        <w:tc>
          <w:tcPr>
            <w:tcW w:w="0" w:type="auto"/>
            <w:shd w:val="clear" w:color="auto" w:fill="FFFFFF"/>
            <w:tcMar>
              <w:top w:w="40" w:type="dxa"/>
              <w:left w:w="0" w:type="dxa"/>
              <w:bottom w:w="40" w:type="dxa"/>
              <w:right w:w="20" w:type="dxa"/>
            </w:tcMar>
            <w:vAlign w:val="bottom"/>
          </w:tcPr>
          <w:p w14:paraId="392BE8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8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825" w14:textId="77777777" w:rsidR="00980E5F" w:rsidRDefault="00483613">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392BE826" w14:textId="77777777" w:rsidR="00980E5F" w:rsidRDefault="00980E5F">
            <w:pPr>
              <w:jc w:val="right"/>
              <w:rPr>
                <w:rFonts w:ascii="宋体"/>
              </w:rPr>
            </w:pPr>
          </w:p>
        </w:tc>
        <w:tc>
          <w:tcPr>
            <w:tcW w:w="0" w:type="auto"/>
            <w:gridSpan w:val="3"/>
            <w:shd w:val="clear" w:color="auto" w:fill="auto"/>
            <w:vAlign w:val="bottom"/>
          </w:tcPr>
          <w:p w14:paraId="392BE827" w14:textId="77777777" w:rsidR="00980E5F" w:rsidRDefault="00980E5F">
            <w:pPr>
              <w:rPr>
                <w:rFonts w:ascii="宋体"/>
                <w:vanish/>
              </w:rPr>
            </w:pPr>
          </w:p>
        </w:tc>
        <w:tc>
          <w:tcPr>
            <w:tcW w:w="0" w:type="auto"/>
            <w:gridSpan w:val="3"/>
            <w:shd w:val="clear" w:color="auto" w:fill="auto"/>
            <w:vAlign w:val="bottom"/>
          </w:tcPr>
          <w:p w14:paraId="392BE828" w14:textId="77777777" w:rsidR="00980E5F" w:rsidRDefault="00980E5F">
            <w:pPr>
              <w:rPr>
                <w:rFonts w:ascii="宋体"/>
                <w:vanish/>
              </w:rPr>
            </w:pPr>
          </w:p>
        </w:tc>
        <w:tc>
          <w:tcPr>
            <w:tcW w:w="0" w:type="auto"/>
            <w:gridSpan w:val="3"/>
            <w:shd w:val="clear" w:color="auto" w:fill="auto"/>
            <w:vAlign w:val="bottom"/>
          </w:tcPr>
          <w:p w14:paraId="392BE829" w14:textId="77777777" w:rsidR="00980E5F" w:rsidRDefault="00980E5F">
            <w:pPr>
              <w:rPr>
                <w:rFonts w:ascii="宋体"/>
                <w:vanish/>
              </w:rPr>
            </w:pPr>
          </w:p>
        </w:tc>
        <w:tc>
          <w:tcPr>
            <w:tcW w:w="0" w:type="auto"/>
            <w:gridSpan w:val="3"/>
            <w:shd w:val="clear" w:color="auto" w:fill="auto"/>
            <w:vAlign w:val="bottom"/>
          </w:tcPr>
          <w:p w14:paraId="392BE82A" w14:textId="77777777" w:rsidR="00980E5F" w:rsidRDefault="00980E5F">
            <w:pPr>
              <w:rPr>
                <w:rFonts w:ascii="宋体"/>
                <w:vanish/>
              </w:rPr>
            </w:pPr>
          </w:p>
        </w:tc>
        <w:tc>
          <w:tcPr>
            <w:tcW w:w="0" w:type="auto"/>
            <w:gridSpan w:val="3"/>
            <w:shd w:val="clear" w:color="auto" w:fill="auto"/>
            <w:vAlign w:val="bottom"/>
          </w:tcPr>
          <w:p w14:paraId="392BE82B" w14:textId="77777777" w:rsidR="00980E5F" w:rsidRDefault="00980E5F">
            <w:pPr>
              <w:rPr>
                <w:rFonts w:ascii="宋体"/>
                <w:vanish/>
              </w:rPr>
            </w:pPr>
          </w:p>
        </w:tc>
      </w:tr>
      <w:tr w:rsidR="00980E5F" w14:paraId="392BE83A" w14:textId="77777777">
        <w:tc>
          <w:tcPr>
            <w:tcW w:w="0" w:type="auto"/>
            <w:gridSpan w:val="3"/>
            <w:shd w:val="clear" w:color="auto" w:fill="CCEEFF"/>
            <w:tcMar>
              <w:top w:w="40" w:type="dxa"/>
              <w:left w:w="20" w:type="dxa"/>
              <w:bottom w:w="40" w:type="dxa"/>
              <w:right w:w="20" w:type="dxa"/>
            </w:tcMar>
            <w:vAlign w:val="bottom"/>
          </w:tcPr>
          <w:p w14:paraId="392BE82D" w14:textId="77777777" w:rsidR="00980E5F" w:rsidRDefault="00483613">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392BE82E" w14:textId="77777777" w:rsidR="00980E5F" w:rsidRDefault="00483613">
            <w:pPr>
              <w:jc w:val="right"/>
              <w:textAlignment w:val="bottom"/>
            </w:pPr>
            <w:r>
              <w:rPr>
                <w:rFonts w:ascii="Arial" w:eastAsia="宋体" w:hAnsi="Arial" w:cs="Arial"/>
                <w:b/>
                <w:bCs/>
                <w:color w:val="000000"/>
                <w:sz w:val="12"/>
                <w:szCs w:val="12"/>
              </w:rPr>
              <w:t>10.8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E82F"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E8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831" w14:textId="77777777" w:rsidR="00980E5F" w:rsidRDefault="00483613">
            <w:pPr>
              <w:jc w:val="right"/>
              <w:textAlignment w:val="bottom"/>
            </w:pPr>
            <w:r>
              <w:rPr>
                <w:rFonts w:ascii="Arial" w:eastAsia="宋体" w:hAnsi="Arial" w:cs="Arial"/>
                <w:color w:val="000000"/>
                <w:sz w:val="12"/>
                <w:szCs w:val="12"/>
              </w:rPr>
              <w:t>10.5 </w:t>
            </w:r>
          </w:p>
        </w:tc>
        <w:tc>
          <w:tcPr>
            <w:tcW w:w="0" w:type="auto"/>
            <w:shd w:val="clear" w:color="auto" w:fill="CCEEFF"/>
            <w:tcMar>
              <w:top w:w="40" w:type="dxa"/>
              <w:left w:w="0" w:type="dxa"/>
              <w:bottom w:w="40" w:type="dxa"/>
              <w:right w:w="20" w:type="dxa"/>
            </w:tcMar>
            <w:vAlign w:val="bottom"/>
          </w:tcPr>
          <w:p w14:paraId="392BE832"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E833"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BE834" w14:textId="77777777" w:rsidR="00980E5F" w:rsidRDefault="00483613">
            <w:pPr>
              <w:jc w:val="right"/>
              <w:textAlignment w:val="bottom"/>
            </w:pPr>
            <w:r>
              <w:rPr>
                <w:rFonts w:ascii="Arial" w:eastAsia="宋体" w:hAnsi="Arial" w:cs="Arial"/>
                <w:color w:val="000000"/>
                <w:sz w:val="12"/>
                <w:szCs w:val="12"/>
              </w:rPr>
              <w:t>30 bps</w:t>
            </w:r>
          </w:p>
        </w:tc>
        <w:tc>
          <w:tcPr>
            <w:tcW w:w="0" w:type="auto"/>
            <w:gridSpan w:val="3"/>
            <w:shd w:val="clear" w:color="auto" w:fill="auto"/>
            <w:vAlign w:val="bottom"/>
          </w:tcPr>
          <w:p w14:paraId="392BE835" w14:textId="77777777" w:rsidR="00980E5F" w:rsidRDefault="00980E5F">
            <w:pPr>
              <w:rPr>
                <w:rFonts w:ascii="宋体"/>
                <w:vanish/>
              </w:rPr>
            </w:pPr>
          </w:p>
        </w:tc>
        <w:tc>
          <w:tcPr>
            <w:tcW w:w="0" w:type="auto"/>
            <w:gridSpan w:val="3"/>
            <w:shd w:val="clear" w:color="auto" w:fill="auto"/>
            <w:vAlign w:val="bottom"/>
          </w:tcPr>
          <w:p w14:paraId="392BE836" w14:textId="77777777" w:rsidR="00980E5F" w:rsidRDefault="00980E5F">
            <w:pPr>
              <w:rPr>
                <w:rFonts w:ascii="宋体"/>
                <w:vanish/>
              </w:rPr>
            </w:pPr>
          </w:p>
        </w:tc>
        <w:tc>
          <w:tcPr>
            <w:tcW w:w="0" w:type="auto"/>
            <w:gridSpan w:val="3"/>
            <w:shd w:val="clear" w:color="auto" w:fill="auto"/>
            <w:vAlign w:val="bottom"/>
          </w:tcPr>
          <w:p w14:paraId="392BE837" w14:textId="77777777" w:rsidR="00980E5F" w:rsidRDefault="00980E5F">
            <w:pPr>
              <w:rPr>
                <w:rFonts w:ascii="宋体"/>
                <w:vanish/>
              </w:rPr>
            </w:pPr>
          </w:p>
        </w:tc>
        <w:tc>
          <w:tcPr>
            <w:tcW w:w="0" w:type="auto"/>
            <w:gridSpan w:val="3"/>
            <w:shd w:val="clear" w:color="auto" w:fill="auto"/>
            <w:vAlign w:val="bottom"/>
          </w:tcPr>
          <w:p w14:paraId="392BE838" w14:textId="77777777" w:rsidR="00980E5F" w:rsidRDefault="00980E5F">
            <w:pPr>
              <w:rPr>
                <w:rFonts w:ascii="宋体"/>
                <w:vanish/>
              </w:rPr>
            </w:pPr>
          </w:p>
        </w:tc>
        <w:tc>
          <w:tcPr>
            <w:tcW w:w="0" w:type="auto"/>
            <w:gridSpan w:val="3"/>
            <w:shd w:val="clear" w:color="auto" w:fill="auto"/>
            <w:vAlign w:val="bottom"/>
          </w:tcPr>
          <w:p w14:paraId="392BE839" w14:textId="77777777" w:rsidR="00980E5F" w:rsidRDefault="00980E5F">
            <w:pPr>
              <w:rPr>
                <w:rFonts w:ascii="宋体"/>
                <w:vanish/>
              </w:rPr>
            </w:pPr>
          </w:p>
        </w:tc>
      </w:tr>
      <w:tr w:rsidR="00980E5F" w14:paraId="392BE849" w14:textId="77777777">
        <w:tc>
          <w:tcPr>
            <w:tcW w:w="0" w:type="auto"/>
            <w:gridSpan w:val="3"/>
            <w:shd w:val="clear" w:color="auto" w:fill="auto"/>
            <w:tcMar>
              <w:top w:w="40" w:type="dxa"/>
              <w:left w:w="20" w:type="dxa"/>
              <w:bottom w:w="40" w:type="dxa"/>
              <w:right w:w="20" w:type="dxa"/>
            </w:tcMar>
            <w:vAlign w:val="bottom"/>
          </w:tcPr>
          <w:p w14:paraId="392BE83B" w14:textId="77777777" w:rsidR="00980E5F" w:rsidRDefault="00483613">
            <w:pPr>
              <w:textAlignment w:val="bottom"/>
            </w:pPr>
            <w:r>
              <w:rPr>
                <w:rFonts w:ascii="Arial" w:eastAsia="宋体" w:hAnsi="Arial" w:cs="Arial"/>
                <w:color w:val="000000"/>
                <w:sz w:val="12"/>
                <w:szCs w:val="12"/>
              </w:rPr>
              <w:t>Pre-tax margin</w:t>
            </w:r>
          </w:p>
        </w:tc>
        <w:tc>
          <w:tcPr>
            <w:tcW w:w="0" w:type="auto"/>
            <w:gridSpan w:val="2"/>
            <w:shd w:val="clear" w:color="auto" w:fill="FFFFFF"/>
            <w:tcMar>
              <w:top w:w="40" w:type="dxa"/>
              <w:left w:w="20" w:type="dxa"/>
              <w:bottom w:w="40" w:type="dxa"/>
              <w:right w:w="0" w:type="dxa"/>
            </w:tcMar>
            <w:vAlign w:val="bottom"/>
          </w:tcPr>
          <w:p w14:paraId="392BE83C" w14:textId="77777777" w:rsidR="00980E5F" w:rsidRDefault="00483613">
            <w:pPr>
              <w:jc w:val="right"/>
              <w:textAlignment w:val="bottom"/>
            </w:pPr>
            <w:r>
              <w:rPr>
                <w:rFonts w:ascii="Arial" w:eastAsia="宋体" w:hAnsi="Arial" w:cs="Arial"/>
                <w:b/>
                <w:bCs/>
                <w:color w:val="000000"/>
                <w:sz w:val="12"/>
                <w:szCs w:val="12"/>
              </w:rPr>
              <w:t>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E83D"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BE83E"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BE83F" w14:textId="77777777" w:rsidR="00980E5F" w:rsidRDefault="00483613">
            <w:pPr>
              <w:jc w:val="right"/>
              <w:textAlignment w:val="bottom"/>
            </w:pPr>
            <w:r>
              <w:rPr>
                <w:rFonts w:ascii="Arial" w:eastAsia="宋体" w:hAnsi="Arial" w:cs="Arial"/>
                <w:color w:val="000000"/>
                <w:sz w:val="12"/>
                <w:szCs w:val="12"/>
              </w:rPr>
              <w:t>26.2 </w:t>
            </w:r>
          </w:p>
        </w:tc>
        <w:tc>
          <w:tcPr>
            <w:tcW w:w="0" w:type="auto"/>
            <w:shd w:val="clear" w:color="auto" w:fill="auto"/>
            <w:tcMar>
              <w:top w:w="40" w:type="dxa"/>
              <w:left w:w="0" w:type="dxa"/>
              <w:bottom w:w="40" w:type="dxa"/>
              <w:right w:w="20" w:type="dxa"/>
            </w:tcMar>
            <w:vAlign w:val="bottom"/>
          </w:tcPr>
          <w:p w14:paraId="392BE840"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BE84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842" w14:textId="77777777" w:rsidR="00980E5F" w:rsidRDefault="00483613">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392BE843" w14:textId="77777777" w:rsidR="00980E5F" w:rsidRDefault="00980E5F">
            <w:pPr>
              <w:jc w:val="right"/>
              <w:rPr>
                <w:rFonts w:ascii="宋体"/>
              </w:rPr>
            </w:pPr>
          </w:p>
        </w:tc>
        <w:tc>
          <w:tcPr>
            <w:tcW w:w="0" w:type="auto"/>
            <w:gridSpan w:val="3"/>
            <w:shd w:val="clear" w:color="auto" w:fill="auto"/>
            <w:vAlign w:val="bottom"/>
          </w:tcPr>
          <w:p w14:paraId="392BE844" w14:textId="77777777" w:rsidR="00980E5F" w:rsidRDefault="00980E5F">
            <w:pPr>
              <w:rPr>
                <w:rFonts w:ascii="宋体"/>
                <w:vanish/>
              </w:rPr>
            </w:pPr>
          </w:p>
        </w:tc>
        <w:tc>
          <w:tcPr>
            <w:tcW w:w="0" w:type="auto"/>
            <w:gridSpan w:val="3"/>
            <w:shd w:val="clear" w:color="auto" w:fill="auto"/>
            <w:vAlign w:val="bottom"/>
          </w:tcPr>
          <w:p w14:paraId="392BE845" w14:textId="77777777" w:rsidR="00980E5F" w:rsidRDefault="00980E5F">
            <w:pPr>
              <w:rPr>
                <w:rFonts w:ascii="宋体"/>
                <w:vanish/>
              </w:rPr>
            </w:pPr>
          </w:p>
        </w:tc>
        <w:tc>
          <w:tcPr>
            <w:tcW w:w="0" w:type="auto"/>
            <w:gridSpan w:val="3"/>
            <w:shd w:val="clear" w:color="auto" w:fill="auto"/>
            <w:vAlign w:val="bottom"/>
          </w:tcPr>
          <w:p w14:paraId="392BE846" w14:textId="77777777" w:rsidR="00980E5F" w:rsidRDefault="00980E5F">
            <w:pPr>
              <w:rPr>
                <w:rFonts w:ascii="宋体"/>
                <w:vanish/>
              </w:rPr>
            </w:pPr>
          </w:p>
        </w:tc>
        <w:tc>
          <w:tcPr>
            <w:tcW w:w="0" w:type="auto"/>
            <w:gridSpan w:val="3"/>
            <w:shd w:val="clear" w:color="auto" w:fill="auto"/>
            <w:vAlign w:val="bottom"/>
          </w:tcPr>
          <w:p w14:paraId="392BE847" w14:textId="77777777" w:rsidR="00980E5F" w:rsidRDefault="00980E5F">
            <w:pPr>
              <w:rPr>
                <w:rFonts w:ascii="宋体"/>
                <w:vanish/>
              </w:rPr>
            </w:pPr>
          </w:p>
        </w:tc>
        <w:tc>
          <w:tcPr>
            <w:tcW w:w="0" w:type="auto"/>
            <w:gridSpan w:val="3"/>
            <w:shd w:val="clear" w:color="auto" w:fill="auto"/>
            <w:vAlign w:val="bottom"/>
          </w:tcPr>
          <w:p w14:paraId="392BE848" w14:textId="77777777" w:rsidR="00980E5F" w:rsidRDefault="00980E5F">
            <w:pPr>
              <w:rPr>
                <w:rFonts w:ascii="宋体"/>
                <w:vanish/>
              </w:rPr>
            </w:pPr>
          </w:p>
        </w:tc>
      </w:tr>
      <w:tr w:rsidR="00980E5F" w14:paraId="392BE859" w14:textId="77777777">
        <w:trPr>
          <w:hidden/>
        </w:trPr>
        <w:tc>
          <w:tcPr>
            <w:tcW w:w="0" w:type="auto"/>
            <w:gridSpan w:val="3"/>
            <w:shd w:val="clear" w:color="auto" w:fill="auto"/>
            <w:vAlign w:val="bottom"/>
          </w:tcPr>
          <w:p w14:paraId="392BE84A" w14:textId="77777777" w:rsidR="00980E5F" w:rsidRDefault="00980E5F">
            <w:pPr>
              <w:rPr>
                <w:rFonts w:ascii="宋体"/>
                <w:vanish/>
              </w:rPr>
            </w:pPr>
          </w:p>
        </w:tc>
        <w:tc>
          <w:tcPr>
            <w:tcW w:w="0" w:type="auto"/>
            <w:gridSpan w:val="3"/>
            <w:shd w:val="clear" w:color="auto" w:fill="auto"/>
            <w:vAlign w:val="bottom"/>
          </w:tcPr>
          <w:p w14:paraId="392BE84B" w14:textId="77777777" w:rsidR="00980E5F" w:rsidRDefault="00980E5F">
            <w:pPr>
              <w:rPr>
                <w:rFonts w:ascii="宋体"/>
                <w:vanish/>
              </w:rPr>
            </w:pPr>
          </w:p>
        </w:tc>
        <w:tc>
          <w:tcPr>
            <w:tcW w:w="0" w:type="auto"/>
            <w:gridSpan w:val="3"/>
            <w:shd w:val="clear" w:color="auto" w:fill="auto"/>
            <w:vAlign w:val="bottom"/>
          </w:tcPr>
          <w:p w14:paraId="392BE84C" w14:textId="77777777" w:rsidR="00980E5F" w:rsidRDefault="00980E5F">
            <w:pPr>
              <w:rPr>
                <w:rFonts w:ascii="宋体"/>
                <w:vanish/>
              </w:rPr>
            </w:pPr>
          </w:p>
        </w:tc>
        <w:tc>
          <w:tcPr>
            <w:tcW w:w="0" w:type="auto"/>
            <w:gridSpan w:val="3"/>
            <w:shd w:val="clear" w:color="auto" w:fill="auto"/>
            <w:vAlign w:val="bottom"/>
          </w:tcPr>
          <w:p w14:paraId="392BE84D" w14:textId="77777777" w:rsidR="00980E5F" w:rsidRDefault="00980E5F">
            <w:pPr>
              <w:rPr>
                <w:rFonts w:ascii="宋体"/>
                <w:vanish/>
              </w:rPr>
            </w:pPr>
          </w:p>
        </w:tc>
        <w:tc>
          <w:tcPr>
            <w:tcW w:w="0" w:type="auto"/>
            <w:gridSpan w:val="3"/>
            <w:shd w:val="clear" w:color="auto" w:fill="auto"/>
            <w:vAlign w:val="bottom"/>
          </w:tcPr>
          <w:p w14:paraId="392BE84E" w14:textId="77777777" w:rsidR="00980E5F" w:rsidRDefault="00980E5F">
            <w:pPr>
              <w:rPr>
                <w:rFonts w:ascii="宋体"/>
                <w:vanish/>
              </w:rPr>
            </w:pPr>
          </w:p>
        </w:tc>
        <w:tc>
          <w:tcPr>
            <w:tcW w:w="0" w:type="auto"/>
            <w:gridSpan w:val="3"/>
            <w:shd w:val="clear" w:color="auto" w:fill="auto"/>
            <w:vAlign w:val="bottom"/>
          </w:tcPr>
          <w:p w14:paraId="392BE84F" w14:textId="77777777" w:rsidR="00980E5F" w:rsidRDefault="00980E5F">
            <w:pPr>
              <w:rPr>
                <w:rFonts w:ascii="宋体"/>
                <w:vanish/>
              </w:rPr>
            </w:pPr>
          </w:p>
        </w:tc>
        <w:tc>
          <w:tcPr>
            <w:tcW w:w="0" w:type="auto"/>
            <w:gridSpan w:val="3"/>
            <w:shd w:val="clear" w:color="auto" w:fill="auto"/>
            <w:vAlign w:val="bottom"/>
          </w:tcPr>
          <w:p w14:paraId="392BE850" w14:textId="77777777" w:rsidR="00980E5F" w:rsidRDefault="00980E5F">
            <w:pPr>
              <w:rPr>
                <w:rFonts w:ascii="宋体"/>
                <w:vanish/>
              </w:rPr>
            </w:pPr>
          </w:p>
        </w:tc>
        <w:tc>
          <w:tcPr>
            <w:tcW w:w="0" w:type="auto"/>
            <w:gridSpan w:val="3"/>
            <w:shd w:val="clear" w:color="auto" w:fill="auto"/>
            <w:vAlign w:val="bottom"/>
          </w:tcPr>
          <w:p w14:paraId="392BE851" w14:textId="77777777" w:rsidR="00980E5F" w:rsidRDefault="00980E5F">
            <w:pPr>
              <w:rPr>
                <w:rFonts w:ascii="宋体"/>
                <w:vanish/>
              </w:rPr>
            </w:pPr>
          </w:p>
        </w:tc>
        <w:tc>
          <w:tcPr>
            <w:tcW w:w="0" w:type="auto"/>
            <w:gridSpan w:val="3"/>
            <w:shd w:val="clear" w:color="auto" w:fill="auto"/>
            <w:vAlign w:val="bottom"/>
          </w:tcPr>
          <w:p w14:paraId="392BE852" w14:textId="77777777" w:rsidR="00980E5F" w:rsidRDefault="00980E5F">
            <w:pPr>
              <w:rPr>
                <w:rFonts w:ascii="宋体"/>
                <w:vanish/>
              </w:rPr>
            </w:pPr>
          </w:p>
        </w:tc>
        <w:tc>
          <w:tcPr>
            <w:tcW w:w="0" w:type="auto"/>
            <w:shd w:val="clear" w:color="auto" w:fill="auto"/>
            <w:vAlign w:val="bottom"/>
          </w:tcPr>
          <w:p w14:paraId="392BE853" w14:textId="77777777" w:rsidR="00980E5F" w:rsidRDefault="00980E5F">
            <w:pPr>
              <w:rPr>
                <w:rFonts w:ascii="宋体"/>
              </w:rPr>
            </w:pPr>
          </w:p>
        </w:tc>
        <w:tc>
          <w:tcPr>
            <w:tcW w:w="0" w:type="auto"/>
            <w:shd w:val="clear" w:color="auto" w:fill="auto"/>
            <w:vAlign w:val="bottom"/>
          </w:tcPr>
          <w:p w14:paraId="392BE854" w14:textId="77777777" w:rsidR="00980E5F" w:rsidRDefault="00980E5F">
            <w:pPr>
              <w:rPr>
                <w:rFonts w:ascii="宋体"/>
              </w:rPr>
            </w:pPr>
          </w:p>
        </w:tc>
        <w:tc>
          <w:tcPr>
            <w:tcW w:w="0" w:type="auto"/>
            <w:shd w:val="clear" w:color="auto" w:fill="auto"/>
            <w:vAlign w:val="bottom"/>
          </w:tcPr>
          <w:p w14:paraId="392BE855" w14:textId="77777777" w:rsidR="00980E5F" w:rsidRDefault="00980E5F">
            <w:pPr>
              <w:rPr>
                <w:rFonts w:ascii="宋体"/>
              </w:rPr>
            </w:pPr>
          </w:p>
        </w:tc>
        <w:tc>
          <w:tcPr>
            <w:tcW w:w="0" w:type="auto"/>
            <w:shd w:val="clear" w:color="auto" w:fill="auto"/>
            <w:vAlign w:val="bottom"/>
          </w:tcPr>
          <w:p w14:paraId="392BE856" w14:textId="77777777" w:rsidR="00980E5F" w:rsidRDefault="00980E5F">
            <w:pPr>
              <w:rPr>
                <w:rFonts w:ascii="宋体"/>
              </w:rPr>
            </w:pPr>
          </w:p>
        </w:tc>
        <w:tc>
          <w:tcPr>
            <w:tcW w:w="0" w:type="auto"/>
            <w:shd w:val="clear" w:color="auto" w:fill="auto"/>
            <w:vAlign w:val="bottom"/>
          </w:tcPr>
          <w:p w14:paraId="392BE857" w14:textId="77777777" w:rsidR="00980E5F" w:rsidRDefault="00980E5F">
            <w:pPr>
              <w:rPr>
                <w:rFonts w:ascii="宋体"/>
              </w:rPr>
            </w:pPr>
          </w:p>
        </w:tc>
        <w:tc>
          <w:tcPr>
            <w:tcW w:w="0" w:type="auto"/>
            <w:shd w:val="clear" w:color="auto" w:fill="auto"/>
            <w:vAlign w:val="bottom"/>
          </w:tcPr>
          <w:p w14:paraId="392BE858" w14:textId="77777777" w:rsidR="00980E5F" w:rsidRDefault="00980E5F">
            <w:pPr>
              <w:rPr>
                <w:rFonts w:ascii="宋体"/>
              </w:rPr>
            </w:pPr>
          </w:p>
        </w:tc>
      </w:tr>
      <w:tr w:rsidR="00980E5F" w14:paraId="392BE865" w14:textId="77777777">
        <w:trPr>
          <w:hidden/>
        </w:trPr>
        <w:tc>
          <w:tcPr>
            <w:tcW w:w="0" w:type="auto"/>
            <w:gridSpan w:val="3"/>
            <w:shd w:val="clear" w:color="auto" w:fill="auto"/>
            <w:vAlign w:val="bottom"/>
          </w:tcPr>
          <w:p w14:paraId="392BE85A" w14:textId="77777777" w:rsidR="00980E5F" w:rsidRDefault="00980E5F">
            <w:pPr>
              <w:rPr>
                <w:rFonts w:ascii="宋体"/>
                <w:vanish/>
              </w:rPr>
            </w:pPr>
          </w:p>
        </w:tc>
        <w:tc>
          <w:tcPr>
            <w:tcW w:w="0" w:type="auto"/>
            <w:gridSpan w:val="3"/>
            <w:shd w:val="clear" w:color="auto" w:fill="auto"/>
            <w:vAlign w:val="bottom"/>
          </w:tcPr>
          <w:p w14:paraId="392BE85B" w14:textId="77777777" w:rsidR="00980E5F" w:rsidRDefault="00980E5F">
            <w:pPr>
              <w:rPr>
                <w:rFonts w:ascii="宋体"/>
                <w:vanish/>
              </w:rPr>
            </w:pPr>
          </w:p>
        </w:tc>
        <w:tc>
          <w:tcPr>
            <w:tcW w:w="0" w:type="auto"/>
            <w:gridSpan w:val="3"/>
            <w:shd w:val="clear" w:color="auto" w:fill="auto"/>
            <w:vAlign w:val="bottom"/>
          </w:tcPr>
          <w:p w14:paraId="392BE85C" w14:textId="77777777" w:rsidR="00980E5F" w:rsidRDefault="00980E5F">
            <w:pPr>
              <w:rPr>
                <w:rFonts w:ascii="宋体"/>
                <w:vanish/>
              </w:rPr>
            </w:pPr>
          </w:p>
        </w:tc>
        <w:tc>
          <w:tcPr>
            <w:tcW w:w="0" w:type="auto"/>
            <w:gridSpan w:val="3"/>
            <w:shd w:val="clear" w:color="auto" w:fill="auto"/>
            <w:vAlign w:val="bottom"/>
          </w:tcPr>
          <w:p w14:paraId="392BE85D" w14:textId="77777777" w:rsidR="00980E5F" w:rsidRDefault="00980E5F">
            <w:pPr>
              <w:rPr>
                <w:rFonts w:ascii="宋体"/>
                <w:vanish/>
              </w:rPr>
            </w:pPr>
          </w:p>
        </w:tc>
        <w:tc>
          <w:tcPr>
            <w:tcW w:w="0" w:type="auto"/>
            <w:gridSpan w:val="3"/>
            <w:shd w:val="clear" w:color="auto" w:fill="auto"/>
            <w:vAlign w:val="bottom"/>
          </w:tcPr>
          <w:p w14:paraId="392BE85E" w14:textId="77777777" w:rsidR="00980E5F" w:rsidRDefault="00980E5F">
            <w:pPr>
              <w:rPr>
                <w:rFonts w:ascii="宋体"/>
                <w:vanish/>
              </w:rPr>
            </w:pPr>
          </w:p>
        </w:tc>
        <w:tc>
          <w:tcPr>
            <w:tcW w:w="0" w:type="auto"/>
            <w:gridSpan w:val="3"/>
            <w:shd w:val="clear" w:color="auto" w:fill="auto"/>
            <w:vAlign w:val="bottom"/>
          </w:tcPr>
          <w:p w14:paraId="392BE85F" w14:textId="77777777" w:rsidR="00980E5F" w:rsidRDefault="00980E5F">
            <w:pPr>
              <w:rPr>
                <w:rFonts w:ascii="宋体"/>
                <w:vanish/>
              </w:rPr>
            </w:pPr>
          </w:p>
        </w:tc>
        <w:tc>
          <w:tcPr>
            <w:tcW w:w="0" w:type="auto"/>
            <w:gridSpan w:val="3"/>
            <w:shd w:val="clear" w:color="auto" w:fill="auto"/>
            <w:vAlign w:val="bottom"/>
          </w:tcPr>
          <w:p w14:paraId="392BE860" w14:textId="77777777" w:rsidR="00980E5F" w:rsidRDefault="00980E5F">
            <w:pPr>
              <w:rPr>
                <w:rFonts w:ascii="宋体"/>
                <w:vanish/>
              </w:rPr>
            </w:pPr>
          </w:p>
        </w:tc>
        <w:tc>
          <w:tcPr>
            <w:tcW w:w="0" w:type="auto"/>
            <w:gridSpan w:val="3"/>
            <w:shd w:val="clear" w:color="auto" w:fill="auto"/>
            <w:vAlign w:val="bottom"/>
          </w:tcPr>
          <w:p w14:paraId="392BE861" w14:textId="77777777" w:rsidR="00980E5F" w:rsidRDefault="00980E5F">
            <w:pPr>
              <w:rPr>
                <w:rFonts w:ascii="宋体"/>
                <w:vanish/>
              </w:rPr>
            </w:pPr>
          </w:p>
        </w:tc>
        <w:tc>
          <w:tcPr>
            <w:tcW w:w="0" w:type="auto"/>
            <w:gridSpan w:val="3"/>
            <w:shd w:val="clear" w:color="auto" w:fill="auto"/>
            <w:vAlign w:val="bottom"/>
          </w:tcPr>
          <w:p w14:paraId="392BE862" w14:textId="77777777" w:rsidR="00980E5F" w:rsidRDefault="00980E5F">
            <w:pPr>
              <w:rPr>
                <w:rFonts w:ascii="宋体"/>
                <w:vanish/>
              </w:rPr>
            </w:pPr>
          </w:p>
        </w:tc>
        <w:tc>
          <w:tcPr>
            <w:tcW w:w="0" w:type="auto"/>
            <w:gridSpan w:val="3"/>
            <w:shd w:val="clear" w:color="auto" w:fill="auto"/>
            <w:vAlign w:val="bottom"/>
          </w:tcPr>
          <w:p w14:paraId="392BE863" w14:textId="77777777" w:rsidR="00980E5F" w:rsidRDefault="00980E5F">
            <w:pPr>
              <w:rPr>
                <w:rFonts w:ascii="宋体"/>
                <w:vanish/>
              </w:rPr>
            </w:pPr>
          </w:p>
        </w:tc>
        <w:tc>
          <w:tcPr>
            <w:tcW w:w="0" w:type="auto"/>
            <w:gridSpan w:val="3"/>
            <w:shd w:val="clear" w:color="auto" w:fill="auto"/>
            <w:vAlign w:val="bottom"/>
          </w:tcPr>
          <w:p w14:paraId="392BE864" w14:textId="77777777" w:rsidR="00980E5F" w:rsidRDefault="00980E5F">
            <w:pPr>
              <w:rPr>
                <w:rFonts w:ascii="宋体"/>
                <w:vanish/>
              </w:rPr>
            </w:pPr>
          </w:p>
        </w:tc>
      </w:tr>
      <w:tr w:rsidR="00980E5F" w14:paraId="392BE871" w14:textId="77777777">
        <w:trPr>
          <w:hidden/>
        </w:trPr>
        <w:tc>
          <w:tcPr>
            <w:tcW w:w="0" w:type="auto"/>
            <w:gridSpan w:val="3"/>
            <w:shd w:val="clear" w:color="auto" w:fill="auto"/>
            <w:vAlign w:val="bottom"/>
          </w:tcPr>
          <w:p w14:paraId="392BE866" w14:textId="77777777" w:rsidR="00980E5F" w:rsidRDefault="00980E5F">
            <w:pPr>
              <w:rPr>
                <w:rFonts w:ascii="宋体"/>
                <w:vanish/>
              </w:rPr>
            </w:pPr>
          </w:p>
        </w:tc>
        <w:tc>
          <w:tcPr>
            <w:tcW w:w="0" w:type="auto"/>
            <w:gridSpan w:val="3"/>
            <w:shd w:val="clear" w:color="auto" w:fill="auto"/>
            <w:vAlign w:val="bottom"/>
          </w:tcPr>
          <w:p w14:paraId="392BE867" w14:textId="77777777" w:rsidR="00980E5F" w:rsidRDefault="00980E5F">
            <w:pPr>
              <w:rPr>
                <w:rFonts w:ascii="宋体"/>
                <w:vanish/>
              </w:rPr>
            </w:pPr>
          </w:p>
        </w:tc>
        <w:tc>
          <w:tcPr>
            <w:tcW w:w="0" w:type="auto"/>
            <w:gridSpan w:val="3"/>
            <w:shd w:val="clear" w:color="auto" w:fill="auto"/>
            <w:vAlign w:val="bottom"/>
          </w:tcPr>
          <w:p w14:paraId="392BE868" w14:textId="77777777" w:rsidR="00980E5F" w:rsidRDefault="00980E5F">
            <w:pPr>
              <w:rPr>
                <w:rFonts w:ascii="宋体"/>
                <w:vanish/>
              </w:rPr>
            </w:pPr>
          </w:p>
        </w:tc>
        <w:tc>
          <w:tcPr>
            <w:tcW w:w="0" w:type="auto"/>
            <w:gridSpan w:val="3"/>
            <w:shd w:val="clear" w:color="auto" w:fill="auto"/>
            <w:vAlign w:val="bottom"/>
          </w:tcPr>
          <w:p w14:paraId="392BE869" w14:textId="77777777" w:rsidR="00980E5F" w:rsidRDefault="00980E5F">
            <w:pPr>
              <w:rPr>
                <w:rFonts w:ascii="宋体"/>
                <w:vanish/>
              </w:rPr>
            </w:pPr>
          </w:p>
        </w:tc>
        <w:tc>
          <w:tcPr>
            <w:tcW w:w="0" w:type="auto"/>
            <w:gridSpan w:val="3"/>
            <w:shd w:val="clear" w:color="auto" w:fill="auto"/>
            <w:vAlign w:val="bottom"/>
          </w:tcPr>
          <w:p w14:paraId="392BE86A" w14:textId="77777777" w:rsidR="00980E5F" w:rsidRDefault="00980E5F">
            <w:pPr>
              <w:rPr>
                <w:rFonts w:ascii="宋体"/>
                <w:vanish/>
              </w:rPr>
            </w:pPr>
          </w:p>
        </w:tc>
        <w:tc>
          <w:tcPr>
            <w:tcW w:w="0" w:type="auto"/>
            <w:gridSpan w:val="3"/>
            <w:shd w:val="clear" w:color="auto" w:fill="auto"/>
            <w:vAlign w:val="bottom"/>
          </w:tcPr>
          <w:p w14:paraId="392BE86B" w14:textId="77777777" w:rsidR="00980E5F" w:rsidRDefault="00980E5F">
            <w:pPr>
              <w:rPr>
                <w:rFonts w:ascii="宋体"/>
                <w:vanish/>
              </w:rPr>
            </w:pPr>
          </w:p>
        </w:tc>
        <w:tc>
          <w:tcPr>
            <w:tcW w:w="0" w:type="auto"/>
            <w:gridSpan w:val="3"/>
            <w:shd w:val="clear" w:color="auto" w:fill="auto"/>
            <w:vAlign w:val="bottom"/>
          </w:tcPr>
          <w:p w14:paraId="392BE86C" w14:textId="77777777" w:rsidR="00980E5F" w:rsidRDefault="00980E5F">
            <w:pPr>
              <w:rPr>
                <w:rFonts w:ascii="宋体"/>
                <w:vanish/>
              </w:rPr>
            </w:pPr>
          </w:p>
        </w:tc>
        <w:tc>
          <w:tcPr>
            <w:tcW w:w="0" w:type="auto"/>
            <w:gridSpan w:val="3"/>
            <w:shd w:val="clear" w:color="auto" w:fill="auto"/>
            <w:vAlign w:val="bottom"/>
          </w:tcPr>
          <w:p w14:paraId="392BE86D" w14:textId="77777777" w:rsidR="00980E5F" w:rsidRDefault="00980E5F">
            <w:pPr>
              <w:rPr>
                <w:rFonts w:ascii="宋体"/>
                <w:vanish/>
              </w:rPr>
            </w:pPr>
          </w:p>
        </w:tc>
        <w:tc>
          <w:tcPr>
            <w:tcW w:w="0" w:type="auto"/>
            <w:gridSpan w:val="3"/>
            <w:shd w:val="clear" w:color="auto" w:fill="auto"/>
            <w:vAlign w:val="bottom"/>
          </w:tcPr>
          <w:p w14:paraId="392BE86E" w14:textId="77777777" w:rsidR="00980E5F" w:rsidRDefault="00980E5F">
            <w:pPr>
              <w:rPr>
                <w:rFonts w:ascii="宋体"/>
                <w:vanish/>
              </w:rPr>
            </w:pPr>
          </w:p>
        </w:tc>
        <w:tc>
          <w:tcPr>
            <w:tcW w:w="0" w:type="auto"/>
            <w:gridSpan w:val="3"/>
            <w:shd w:val="clear" w:color="auto" w:fill="auto"/>
            <w:vAlign w:val="bottom"/>
          </w:tcPr>
          <w:p w14:paraId="392BE86F" w14:textId="77777777" w:rsidR="00980E5F" w:rsidRDefault="00980E5F">
            <w:pPr>
              <w:rPr>
                <w:rFonts w:ascii="宋体"/>
                <w:vanish/>
              </w:rPr>
            </w:pPr>
          </w:p>
        </w:tc>
        <w:tc>
          <w:tcPr>
            <w:tcW w:w="0" w:type="auto"/>
            <w:gridSpan w:val="3"/>
            <w:shd w:val="clear" w:color="auto" w:fill="auto"/>
            <w:vAlign w:val="bottom"/>
          </w:tcPr>
          <w:p w14:paraId="392BE870" w14:textId="77777777" w:rsidR="00980E5F" w:rsidRDefault="00980E5F">
            <w:pPr>
              <w:rPr>
                <w:rFonts w:ascii="宋体"/>
                <w:vanish/>
              </w:rPr>
            </w:pPr>
          </w:p>
        </w:tc>
      </w:tr>
      <w:tr w:rsidR="00980E5F" w14:paraId="392BE87D" w14:textId="77777777">
        <w:trPr>
          <w:hidden/>
        </w:trPr>
        <w:tc>
          <w:tcPr>
            <w:tcW w:w="0" w:type="auto"/>
            <w:gridSpan w:val="3"/>
            <w:shd w:val="clear" w:color="auto" w:fill="auto"/>
            <w:vAlign w:val="bottom"/>
          </w:tcPr>
          <w:p w14:paraId="392BE872" w14:textId="77777777" w:rsidR="00980E5F" w:rsidRDefault="00980E5F">
            <w:pPr>
              <w:rPr>
                <w:rFonts w:ascii="宋体"/>
                <w:vanish/>
              </w:rPr>
            </w:pPr>
          </w:p>
        </w:tc>
        <w:tc>
          <w:tcPr>
            <w:tcW w:w="0" w:type="auto"/>
            <w:gridSpan w:val="3"/>
            <w:shd w:val="clear" w:color="auto" w:fill="auto"/>
            <w:vAlign w:val="bottom"/>
          </w:tcPr>
          <w:p w14:paraId="392BE873" w14:textId="77777777" w:rsidR="00980E5F" w:rsidRDefault="00980E5F">
            <w:pPr>
              <w:rPr>
                <w:rFonts w:ascii="宋体"/>
                <w:vanish/>
              </w:rPr>
            </w:pPr>
          </w:p>
        </w:tc>
        <w:tc>
          <w:tcPr>
            <w:tcW w:w="0" w:type="auto"/>
            <w:gridSpan w:val="3"/>
            <w:shd w:val="clear" w:color="auto" w:fill="auto"/>
            <w:vAlign w:val="bottom"/>
          </w:tcPr>
          <w:p w14:paraId="392BE874" w14:textId="77777777" w:rsidR="00980E5F" w:rsidRDefault="00980E5F">
            <w:pPr>
              <w:rPr>
                <w:rFonts w:ascii="宋体"/>
                <w:vanish/>
              </w:rPr>
            </w:pPr>
          </w:p>
        </w:tc>
        <w:tc>
          <w:tcPr>
            <w:tcW w:w="0" w:type="auto"/>
            <w:gridSpan w:val="3"/>
            <w:shd w:val="clear" w:color="auto" w:fill="auto"/>
            <w:vAlign w:val="bottom"/>
          </w:tcPr>
          <w:p w14:paraId="392BE875" w14:textId="77777777" w:rsidR="00980E5F" w:rsidRDefault="00980E5F">
            <w:pPr>
              <w:rPr>
                <w:rFonts w:ascii="宋体"/>
                <w:vanish/>
              </w:rPr>
            </w:pPr>
          </w:p>
        </w:tc>
        <w:tc>
          <w:tcPr>
            <w:tcW w:w="0" w:type="auto"/>
            <w:gridSpan w:val="3"/>
            <w:shd w:val="clear" w:color="auto" w:fill="auto"/>
            <w:vAlign w:val="bottom"/>
          </w:tcPr>
          <w:p w14:paraId="392BE876" w14:textId="77777777" w:rsidR="00980E5F" w:rsidRDefault="00980E5F">
            <w:pPr>
              <w:rPr>
                <w:rFonts w:ascii="宋体"/>
                <w:vanish/>
              </w:rPr>
            </w:pPr>
          </w:p>
        </w:tc>
        <w:tc>
          <w:tcPr>
            <w:tcW w:w="0" w:type="auto"/>
            <w:gridSpan w:val="3"/>
            <w:shd w:val="clear" w:color="auto" w:fill="auto"/>
            <w:vAlign w:val="bottom"/>
          </w:tcPr>
          <w:p w14:paraId="392BE877" w14:textId="77777777" w:rsidR="00980E5F" w:rsidRDefault="00980E5F">
            <w:pPr>
              <w:rPr>
                <w:rFonts w:ascii="宋体"/>
                <w:vanish/>
              </w:rPr>
            </w:pPr>
          </w:p>
        </w:tc>
        <w:tc>
          <w:tcPr>
            <w:tcW w:w="0" w:type="auto"/>
            <w:gridSpan w:val="3"/>
            <w:shd w:val="clear" w:color="auto" w:fill="auto"/>
            <w:vAlign w:val="bottom"/>
          </w:tcPr>
          <w:p w14:paraId="392BE878" w14:textId="77777777" w:rsidR="00980E5F" w:rsidRDefault="00980E5F">
            <w:pPr>
              <w:rPr>
                <w:rFonts w:ascii="宋体"/>
                <w:vanish/>
              </w:rPr>
            </w:pPr>
          </w:p>
        </w:tc>
        <w:tc>
          <w:tcPr>
            <w:tcW w:w="0" w:type="auto"/>
            <w:gridSpan w:val="3"/>
            <w:shd w:val="clear" w:color="auto" w:fill="auto"/>
            <w:vAlign w:val="bottom"/>
          </w:tcPr>
          <w:p w14:paraId="392BE879" w14:textId="77777777" w:rsidR="00980E5F" w:rsidRDefault="00980E5F">
            <w:pPr>
              <w:rPr>
                <w:rFonts w:ascii="宋体"/>
                <w:vanish/>
              </w:rPr>
            </w:pPr>
          </w:p>
        </w:tc>
        <w:tc>
          <w:tcPr>
            <w:tcW w:w="0" w:type="auto"/>
            <w:gridSpan w:val="3"/>
            <w:shd w:val="clear" w:color="auto" w:fill="auto"/>
            <w:vAlign w:val="bottom"/>
          </w:tcPr>
          <w:p w14:paraId="392BE87A" w14:textId="77777777" w:rsidR="00980E5F" w:rsidRDefault="00980E5F">
            <w:pPr>
              <w:rPr>
                <w:rFonts w:ascii="宋体"/>
                <w:vanish/>
              </w:rPr>
            </w:pPr>
          </w:p>
        </w:tc>
        <w:tc>
          <w:tcPr>
            <w:tcW w:w="0" w:type="auto"/>
            <w:gridSpan w:val="3"/>
            <w:shd w:val="clear" w:color="auto" w:fill="auto"/>
            <w:vAlign w:val="bottom"/>
          </w:tcPr>
          <w:p w14:paraId="392BE87B" w14:textId="77777777" w:rsidR="00980E5F" w:rsidRDefault="00980E5F">
            <w:pPr>
              <w:rPr>
                <w:rFonts w:ascii="宋体"/>
                <w:vanish/>
              </w:rPr>
            </w:pPr>
          </w:p>
        </w:tc>
        <w:tc>
          <w:tcPr>
            <w:tcW w:w="0" w:type="auto"/>
            <w:gridSpan w:val="3"/>
            <w:shd w:val="clear" w:color="auto" w:fill="auto"/>
            <w:vAlign w:val="bottom"/>
          </w:tcPr>
          <w:p w14:paraId="392BE87C" w14:textId="77777777" w:rsidR="00980E5F" w:rsidRDefault="00980E5F">
            <w:pPr>
              <w:rPr>
                <w:rFonts w:ascii="宋体"/>
                <w:vanish/>
              </w:rPr>
            </w:pPr>
          </w:p>
        </w:tc>
      </w:tr>
      <w:tr w:rsidR="00980E5F" w14:paraId="392BE889" w14:textId="77777777">
        <w:trPr>
          <w:hidden/>
        </w:trPr>
        <w:tc>
          <w:tcPr>
            <w:tcW w:w="0" w:type="auto"/>
            <w:gridSpan w:val="3"/>
            <w:shd w:val="clear" w:color="auto" w:fill="auto"/>
            <w:vAlign w:val="bottom"/>
          </w:tcPr>
          <w:p w14:paraId="392BE87E" w14:textId="77777777" w:rsidR="00980E5F" w:rsidRDefault="00980E5F">
            <w:pPr>
              <w:rPr>
                <w:rFonts w:ascii="宋体"/>
                <w:vanish/>
              </w:rPr>
            </w:pPr>
          </w:p>
        </w:tc>
        <w:tc>
          <w:tcPr>
            <w:tcW w:w="0" w:type="auto"/>
            <w:gridSpan w:val="3"/>
            <w:shd w:val="clear" w:color="auto" w:fill="auto"/>
            <w:vAlign w:val="bottom"/>
          </w:tcPr>
          <w:p w14:paraId="392BE87F" w14:textId="77777777" w:rsidR="00980E5F" w:rsidRDefault="00980E5F">
            <w:pPr>
              <w:rPr>
                <w:rFonts w:ascii="宋体"/>
                <w:vanish/>
              </w:rPr>
            </w:pPr>
          </w:p>
        </w:tc>
        <w:tc>
          <w:tcPr>
            <w:tcW w:w="0" w:type="auto"/>
            <w:gridSpan w:val="3"/>
            <w:shd w:val="clear" w:color="auto" w:fill="auto"/>
            <w:vAlign w:val="bottom"/>
          </w:tcPr>
          <w:p w14:paraId="392BE880" w14:textId="77777777" w:rsidR="00980E5F" w:rsidRDefault="00980E5F">
            <w:pPr>
              <w:rPr>
                <w:rFonts w:ascii="宋体"/>
                <w:vanish/>
              </w:rPr>
            </w:pPr>
          </w:p>
        </w:tc>
        <w:tc>
          <w:tcPr>
            <w:tcW w:w="0" w:type="auto"/>
            <w:gridSpan w:val="3"/>
            <w:shd w:val="clear" w:color="auto" w:fill="auto"/>
            <w:vAlign w:val="bottom"/>
          </w:tcPr>
          <w:p w14:paraId="392BE881" w14:textId="77777777" w:rsidR="00980E5F" w:rsidRDefault="00980E5F">
            <w:pPr>
              <w:rPr>
                <w:rFonts w:ascii="宋体"/>
                <w:vanish/>
              </w:rPr>
            </w:pPr>
          </w:p>
        </w:tc>
        <w:tc>
          <w:tcPr>
            <w:tcW w:w="0" w:type="auto"/>
            <w:gridSpan w:val="3"/>
            <w:shd w:val="clear" w:color="auto" w:fill="auto"/>
            <w:vAlign w:val="bottom"/>
          </w:tcPr>
          <w:p w14:paraId="392BE882" w14:textId="77777777" w:rsidR="00980E5F" w:rsidRDefault="00980E5F">
            <w:pPr>
              <w:rPr>
                <w:rFonts w:ascii="宋体"/>
                <w:vanish/>
              </w:rPr>
            </w:pPr>
          </w:p>
        </w:tc>
        <w:tc>
          <w:tcPr>
            <w:tcW w:w="0" w:type="auto"/>
            <w:gridSpan w:val="3"/>
            <w:shd w:val="clear" w:color="auto" w:fill="auto"/>
            <w:vAlign w:val="bottom"/>
          </w:tcPr>
          <w:p w14:paraId="392BE883" w14:textId="77777777" w:rsidR="00980E5F" w:rsidRDefault="00980E5F">
            <w:pPr>
              <w:rPr>
                <w:rFonts w:ascii="宋体"/>
                <w:vanish/>
              </w:rPr>
            </w:pPr>
          </w:p>
        </w:tc>
        <w:tc>
          <w:tcPr>
            <w:tcW w:w="0" w:type="auto"/>
            <w:gridSpan w:val="3"/>
            <w:shd w:val="clear" w:color="auto" w:fill="auto"/>
            <w:vAlign w:val="bottom"/>
          </w:tcPr>
          <w:p w14:paraId="392BE884" w14:textId="77777777" w:rsidR="00980E5F" w:rsidRDefault="00980E5F">
            <w:pPr>
              <w:rPr>
                <w:rFonts w:ascii="宋体"/>
                <w:vanish/>
              </w:rPr>
            </w:pPr>
          </w:p>
        </w:tc>
        <w:tc>
          <w:tcPr>
            <w:tcW w:w="0" w:type="auto"/>
            <w:gridSpan w:val="3"/>
            <w:shd w:val="clear" w:color="auto" w:fill="auto"/>
            <w:vAlign w:val="bottom"/>
          </w:tcPr>
          <w:p w14:paraId="392BE885" w14:textId="77777777" w:rsidR="00980E5F" w:rsidRDefault="00980E5F">
            <w:pPr>
              <w:rPr>
                <w:rFonts w:ascii="宋体"/>
                <w:vanish/>
              </w:rPr>
            </w:pPr>
          </w:p>
        </w:tc>
        <w:tc>
          <w:tcPr>
            <w:tcW w:w="0" w:type="auto"/>
            <w:gridSpan w:val="3"/>
            <w:shd w:val="clear" w:color="auto" w:fill="auto"/>
            <w:vAlign w:val="bottom"/>
          </w:tcPr>
          <w:p w14:paraId="392BE886" w14:textId="77777777" w:rsidR="00980E5F" w:rsidRDefault="00980E5F">
            <w:pPr>
              <w:rPr>
                <w:rFonts w:ascii="宋体"/>
                <w:vanish/>
              </w:rPr>
            </w:pPr>
          </w:p>
        </w:tc>
        <w:tc>
          <w:tcPr>
            <w:tcW w:w="0" w:type="auto"/>
            <w:gridSpan w:val="3"/>
            <w:shd w:val="clear" w:color="auto" w:fill="auto"/>
            <w:vAlign w:val="bottom"/>
          </w:tcPr>
          <w:p w14:paraId="392BE887" w14:textId="77777777" w:rsidR="00980E5F" w:rsidRDefault="00980E5F">
            <w:pPr>
              <w:rPr>
                <w:rFonts w:ascii="宋体"/>
                <w:vanish/>
              </w:rPr>
            </w:pPr>
          </w:p>
        </w:tc>
        <w:tc>
          <w:tcPr>
            <w:tcW w:w="0" w:type="auto"/>
            <w:gridSpan w:val="3"/>
            <w:shd w:val="clear" w:color="auto" w:fill="auto"/>
            <w:vAlign w:val="bottom"/>
          </w:tcPr>
          <w:p w14:paraId="392BE888" w14:textId="77777777" w:rsidR="00980E5F" w:rsidRDefault="00980E5F">
            <w:pPr>
              <w:rPr>
                <w:rFonts w:ascii="宋体"/>
                <w:vanish/>
              </w:rPr>
            </w:pPr>
          </w:p>
        </w:tc>
      </w:tr>
      <w:tr w:rsidR="00980E5F" w14:paraId="392BE895" w14:textId="77777777">
        <w:trPr>
          <w:hidden/>
        </w:trPr>
        <w:tc>
          <w:tcPr>
            <w:tcW w:w="0" w:type="auto"/>
            <w:gridSpan w:val="3"/>
            <w:shd w:val="clear" w:color="auto" w:fill="auto"/>
            <w:vAlign w:val="bottom"/>
          </w:tcPr>
          <w:p w14:paraId="392BE88A" w14:textId="77777777" w:rsidR="00980E5F" w:rsidRDefault="00980E5F">
            <w:pPr>
              <w:rPr>
                <w:rFonts w:ascii="宋体"/>
                <w:vanish/>
              </w:rPr>
            </w:pPr>
          </w:p>
        </w:tc>
        <w:tc>
          <w:tcPr>
            <w:tcW w:w="0" w:type="auto"/>
            <w:gridSpan w:val="3"/>
            <w:shd w:val="clear" w:color="auto" w:fill="auto"/>
            <w:vAlign w:val="bottom"/>
          </w:tcPr>
          <w:p w14:paraId="392BE88B" w14:textId="77777777" w:rsidR="00980E5F" w:rsidRDefault="00980E5F">
            <w:pPr>
              <w:rPr>
                <w:rFonts w:ascii="宋体"/>
                <w:vanish/>
              </w:rPr>
            </w:pPr>
          </w:p>
        </w:tc>
        <w:tc>
          <w:tcPr>
            <w:tcW w:w="0" w:type="auto"/>
            <w:gridSpan w:val="3"/>
            <w:shd w:val="clear" w:color="auto" w:fill="auto"/>
            <w:vAlign w:val="bottom"/>
          </w:tcPr>
          <w:p w14:paraId="392BE88C" w14:textId="77777777" w:rsidR="00980E5F" w:rsidRDefault="00980E5F">
            <w:pPr>
              <w:rPr>
                <w:rFonts w:ascii="宋体"/>
                <w:vanish/>
              </w:rPr>
            </w:pPr>
          </w:p>
        </w:tc>
        <w:tc>
          <w:tcPr>
            <w:tcW w:w="0" w:type="auto"/>
            <w:gridSpan w:val="3"/>
            <w:shd w:val="clear" w:color="auto" w:fill="auto"/>
            <w:vAlign w:val="bottom"/>
          </w:tcPr>
          <w:p w14:paraId="392BE88D" w14:textId="77777777" w:rsidR="00980E5F" w:rsidRDefault="00980E5F">
            <w:pPr>
              <w:rPr>
                <w:rFonts w:ascii="宋体"/>
                <w:vanish/>
              </w:rPr>
            </w:pPr>
          </w:p>
        </w:tc>
        <w:tc>
          <w:tcPr>
            <w:tcW w:w="0" w:type="auto"/>
            <w:gridSpan w:val="3"/>
            <w:shd w:val="clear" w:color="auto" w:fill="auto"/>
            <w:vAlign w:val="bottom"/>
          </w:tcPr>
          <w:p w14:paraId="392BE88E" w14:textId="77777777" w:rsidR="00980E5F" w:rsidRDefault="00980E5F">
            <w:pPr>
              <w:rPr>
                <w:rFonts w:ascii="宋体"/>
                <w:vanish/>
              </w:rPr>
            </w:pPr>
          </w:p>
        </w:tc>
        <w:tc>
          <w:tcPr>
            <w:tcW w:w="0" w:type="auto"/>
            <w:gridSpan w:val="3"/>
            <w:shd w:val="clear" w:color="auto" w:fill="auto"/>
            <w:vAlign w:val="bottom"/>
          </w:tcPr>
          <w:p w14:paraId="392BE88F" w14:textId="77777777" w:rsidR="00980E5F" w:rsidRDefault="00980E5F">
            <w:pPr>
              <w:rPr>
                <w:rFonts w:ascii="宋体"/>
                <w:vanish/>
              </w:rPr>
            </w:pPr>
          </w:p>
        </w:tc>
        <w:tc>
          <w:tcPr>
            <w:tcW w:w="0" w:type="auto"/>
            <w:gridSpan w:val="3"/>
            <w:shd w:val="clear" w:color="auto" w:fill="auto"/>
            <w:vAlign w:val="bottom"/>
          </w:tcPr>
          <w:p w14:paraId="392BE890" w14:textId="77777777" w:rsidR="00980E5F" w:rsidRDefault="00980E5F">
            <w:pPr>
              <w:rPr>
                <w:rFonts w:ascii="宋体"/>
                <w:vanish/>
              </w:rPr>
            </w:pPr>
          </w:p>
        </w:tc>
        <w:tc>
          <w:tcPr>
            <w:tcW w:w="0" w:type="auto"/>
            <w:gridSpan w:val="3"/>
            <w:shd w:val="clear" w:color="auto" w:fill="auto"/>
            <w:vAlign w:val="bottom"/>
          </w:tcPr>
          <w:p w14:paraId="392BE891" w14:textId="77777777" w:rsidR="00980E5F" w:rsidRDefault="00980E5F">
            <w:pPr>
              <w:rPr>
                <w:rFonts w:ascii="宋体"/>
                <w:vanish/>
              </w:rPr>
            </w:pPr>
          </w:p>
        </w:tc>
        <w:tc>
          <w:tcPr>
            <w:tcW w:w="0" w:type="auto"/>
            <w:gridSpan w:val="3"/>
            <w:shd w:val="clear" w:color="auto" w:fill="auto"/>
            <w:vAlign w:val="bottom"/>
          </w:tcPr>
          <w:p w14:paraId="392BE892" w14:textId="77777777" w:rsidR="00980E5F" w:rsidRDefault="00980E5F">
            <w:pPr>
              <w:rPr>
                <w:rFonts w:ascii="宋体"/>
                <w:vanish/>
              </w:rPr>
            </w:pPr>
          </w:p>
        </w:tc>
        <w:tc>
          <w:tcPr>
            <w:tcW w:w="0" w:type="auto"/>
            <w:gridSpan w:val="3"/>
            <w:shd w:val="clear" w:color="auto" w:fill="auto"/>
            <w:vAlign w:val="bottom"/>
          </w:tcPr>
          <w:p w14:paraId="392BE893" w14:textId="77777777" w:rsidR="00980E5F" w:rsidRDefault="00980E5F">
            <w:pPr>
              <w:rPr>
                <w:rFonts w:ascii="宋体"/>
                <w:vanish/>
              </w:rPr>
            </w:pPr>
          </w:p>
        </w:tc>
        <w:tc>
          <w:tcPr>
            <w:tcW w:w="0" w:type="auto"/>
            <w:gridSpan w:val="3"/>
            <w:shd w:val="clear" w:color="auto" w:fill="auto"/>
            <w:vAlign w:val="bottom"/>
          </w:tcPr>
          <w:p w14:paraId="392BE894" w14:textId="77777777" w:rsidR="00980E5F" w:rsidRDefault="00980E5F">
            <w:pPr>
              <w:rPr>
                <w:rFonts w:ascii="宋体"/>
                <w:vanish/>
              </w:rPr>
            </w:pPr>
          </w:p>
        </w:tc>
      </w:tr>
      <w:tr w:rsidR="00980E5F" w14:paraId="392BE8A1" w14:textId="77777777">
        <w:trPr>
          <w:hidden/>
        </w:trPr>
        <w:tc>
          <w:tcPr>
            <w:tcW w:w="0" w:type="auto"/>
            <w:gridSpan w:val="3"/>
            <w:shd w:val="clear" w:color="auto" w:fill="auto"/>
            <w:vAlign w:val="bottom"/>
          </w:tcPr>
          <w:p w14:paraId="392BE896" w14:textId="77777777" w:rsidR="00980E5F" w:rsidRDefault="00980E5F">
            <w:pPr>
              <w:rPr>
                <w:rFonts w:ascii="宋体"/>
                <w:vanish/>
              </w:rPr>
            </w:pPr>
          </w:p>
        </w:tc>
        <w:tc>
          <w:tcPr>
            <w:tcW w:w="0" w:type="auto"/>
            <w:gridSpan w:val="3"/>
            <w:shd w:val="clear" w:color="auto" w:fill="auto"/>
            <w:vAlign w:val="bottom"/>
          </w:tcPr>
          <w:p w14:paraId="392BE897" w14:textId="77777777" w:rsidR="00980E5F" w:rsidRDefault="00980E5F">
            <w:pPr>
              <w:rPr>
                <w:rFonts w:ascii="宋体"/>
                <w:vanish/>
              </w:rPr>
            </w:pPr>
          </w:p>
        </w:tc>
        <w:tc>
          <w:tcPr>
            <w:tcW w:w="0" w:type="auto"/>
            <w:gridSpan w:val="3"/>
            <w:shd w:val="clear" w:color="auto" w:fill="auto"/>
            <w:vAlign w:val="bottom"/>
          </w:tcPr>
          <w:p w14:paraId="392BE898" w14:textId="77777777" w:rsidR="00980E5F" w:rsidRDefault="00980E5F">
            <w:pPr>
              <w:rPr>
                <w:rFonts w:ascii="宋体"/>
                <w:vanish/>
              </w:rPr>
            </w:pPr>
          </w:p>
        </w:tc>
        <w:tc>
          <w:tcPr>
            <w:tcW w:w="0" w:type="auto"/>
            <w:gridSpan w:val="3"/>
            <w:shd w:val="clear" w:color="auto" w:fill="auto"/>
            <w:vAlign w:val="bottom"/>
          </w:tcPr>
          <w:p w14:paraId="392BE899" w14:textId="77777777" w:rsidR="00980E5F" w:rsidRDefault="00980E5F">
            <w:pPr>
              <w:rPr>
                <w:rFonts w:ascii="宋体"/>
                <w:vanish/>
              </w:rPr>
            </w:pPr>
          </w:p>
        </w:tc>
        <w:tc>
          <w:tcPr>
            <w:tcW w:w="0" w:type="auto"/>
            <w:gridSpan w:val="3"/>
            <w:shd w:val="clear" w:color="auto" w:fill="auto"/>
            <w:vAlign w:val="bottom"/>
          </w:tcPr>
          <w:p w14:paraId="392BE89A" w14:textId="77777777" w:rsidR="00980E5F" w:rsidRDefault="00980E5F">
            <w:pPr>
              <w:rPr>
                <w:rFonts w:ascii="宋体"/>
                <w:vanish/>
              </w:rPr>
            </w:pPr>
          </w:p>
        </w:tc>
        <w:tc>
          <w:tcPr>
            <w:tcW w:w="0" w:type="auto"/>
            <w:gridSpan w:val="3"/>
            <w:shd w:val="clear" w:color="auto" w:fill="auto"/>
            <w:vAlign w:val="bottom"/>
          </w:tcPr>
          <w:p w14:paraId="392BE89B" w14:textId="77777777" w:rsidR="00980E5F" w:rsidRDefault="00980E5F">
            <w:pPr>
              <w:rPr>
                <w:rFonts w:ascii="宋体"/>
                <w:vanish/>
              </w:rPr>
            </w:pPr>
          </w:p>
        </w:tc>
        <w:tc>
          <w:tcPr>
            <w:tcW w:w="0" w:type="auto"/>
            <w:gridSpan w:val="3"/>
            <w:shd w:val="clear" w:color="auto" w:fill="auto"/>
            <w:vAlign w:val="bottom"/>
          </w:tcPr>
          <w:p w14:paraId="392BE89C" w14:textId="77777777" w:rsidR="00980E5F" w:rsidRDefault="00980E5F">
            <w:pPr>
              <w:rPr>
                <w:rFonts w:ascii="宋体"/>
                <w:vanish/>
              </w:rPr>
            </w:pPr>
          </w:p>
        </w:tc>
        <w:tc>
          <w:tcPr>
            <w:tcW w:w="0" w:type="auto"/>
            <w:gridSpan w:val="3"/>
            <w:shd w:val="clear" w:color="auto" w:fill="auto"/>
            <w:vAlign w:val="bottom"/>
          </w:tcPr>
          <w:p w14:paraId="392BE89D" w14:textId="77777777" w:rsidR="00980E5F" w:rsidRDefault="00980E5F">
            <w:pPr>
              <w:rPr>
                <w:rFonts w:ascii="宋体"/>
                <w:vanish/>
              </w:rPr>
            </w:pPr>
          </w:p>
        </w:tc>
        <w:tc>
          <w:tcPr>
            <w:tcW w:w="0" w:type="auto"/>
            <w:gridSpan w:val="3"/>
            <w:shd w:val="clear" w:color="auto" w:fill="auto"/>
            <w:vAlign w:val="bottom"/>
          </w:tcPr>
          <w:p w14:paraId="392BE89E" w14:textId="77777777" w:rsidR="00980E5F" w:rsidRDefault="00980E5F">
            <w:pPr>
              <w:rPr>
                <w:rFonts w:ascii="宋体"/>
                <w:vanish/>
              </w:rPr>
            </w:pPr>
          </w:p>
        </w:tc>
        <w:tc>
          <w:tcPr>
            <w:tcW w:w="0" w:type="auto"/>
            <w:gridSpan w:val="3"/>
            <w:shd w:val="clear" w:color="auto" w:fill="auto"/>
            <w:vAlign w:val="bottom"/>
          </w:tcPr>
          <w:p w14:paraId="392BE89F" w14:textId="77777777" w:rsidR="00980E5F" w:rsidRDefault="00980E5F">
            <w:pPr>
              <w:rPr>
                <w:rFonts w:ascii="宋体"/>
                <w:vanish/>
              </w:rPr>
            </w:pPr>
          </w:p>
        </w:tc>
        <w:tc>
          <w:tcPr>
            <w:tcW w:w="0" w:type="auto"/>
            <w:gridSpan w:val="3"/>
            <w:shd w:val="clear" w:color="auto" w:fill="auto"/>
            <w:vAlign w:val="bottom"/>
          </w:tcPr>
          <w:p w14:paraId="392BE8A0" w14:textId="77777777" w:rsidR="00980E5F" w:rsidRDefault="00980E5F">
            <w:pPr>
              <w:rPr>
                <w:rFonts w:ascii="宋体"/>
                <w:vanish/>
              </w:rPr>
            </w:pPr>
          </w:p>
        </w:tc>
      </w:tr>
      <w:tr w:rsidR="00980E5F" w14:paraId="392BE8AD" w14:textId="77777777">
        <w:trPr>
          <w:hidden/>
        </w:trPr>
        <w:tc>
          <w:tcPr>
            <w:tcW w:w="0" w:type="auto"/>
            <w:gridSpan w:val="3"/>
            <w:shd w:val="clear" w:color="auto" w:fill="auto"/>
            <w:vAlign w:val="bottom"/>
          </w:tcPr>
          <w:p w14:paraId="392BE8A2" w14:textId="77777777" w:rsidR="00980E5F" w:rsidRDefault="00980E5F">
            <w:pPr>
              <w:rPr>
                <w:rFonts w:ascii="宋体"/>
                <w:vanish/>
              </w:rPr>
            </w:pPr>
          </w:p>
        </w:tc>
        <w:tc>
          <w:tcPr>
            <w:tcW w:w="0" w:type="auto"/>
            <w:gridSpan w:val="3"/>
            <w:shd w:val="clear" w:color="auto" w:fill="auto"/>
            <w:vAlign w:val="bottom"/>
          </w:tcPr>
          <w:p w14:paraId="392BE8A3" w14:textId="77777777" w:rsidR="00980E5F" w:rsidRDefault="00980E5F">
            <w:pPr>
              <w:rPr>
                <w:rFonts w:ascii="宋体"/>
                <w:vanish/>
              </w:rPr>
            </w:pPr>
          </w:p>
        </w:tc>
        <w:tc>
          <w:tcPr>
            <w:tcW w:w="0" w:type="auto"/>
            <w:gridSpan w:val="3"/>
            <w:shd w:val="clear" w:color="auto" w:fill="auto"/>
            <w:vAlign w:val="bottom"/>
          </w:tcPr>
          <w:p w14:paraId="392BE8A4" w14:textId="77777777" w:rsidR="00980E5F" w:rsidRDefault="00980E5F">
            <w:pPr>
              <w:rPr>
                <w:rFonts w:ascii="宋体"/>
                <w:vanish/>
              </w:rPr>
            </w:pPr>
          </w:p>
        </w:tc>
        <w:tc>
          <w:tcPr>
            <w:tcW w:w="0" w:type="auto"/>
            <w:gridSpan w:val="3"/>
            <w:shd w:val="clear" w:color="auto" w:fill="auto"/>
            <w:vAlign w:val="bottom"/>
          </w:tcPr>
          <w:p w14:paraId="392BE8A5" w14:textId="77777777" w:rsidR="00980E5F" w:rsidRDefault="00980E5F">
            <w:pPr>
              <w:rPr>
                <w:rFonts w:ascii="宋体"/>
                <w:vanish/>
              </w:rPr>
            </w:pPr>
          </w:p>
        </w:tc>
        <w:tc>
          <w:tcPr>
            <w:tcW w:w="0" w:type="auto"/>
            <w:gridSpan w:val="3"/>
            <w:shd w:val="clear" w:color="auto" w:fill="auto"/>
            <w:vAlign w:val="bottom"/>
          </w:tcPr>
          <w:p w14:paraId="392BE8A6" w14:textId="77777777" w:rsidR="00980E5F" w:rsidRDefault="00980E5F">
            <w:pPr>
              <w:rPr>
                <w:rFonts w:ascii="宋体"/>
                <w:vanish/>
              </w:rPr>
            </w:pPr>
          </w:p>
        </w:tc>
        <w:tc>
          <w:tcPr>
            <w:tcW w:w="0" w:type="auto"/>
            <w:gridSpan w:val="3"/>
            <w:shd w:val="clear" w:color="auto" w:fill="auto"/>
            <w:vAlign w:val="bottom"/>
          </w:tcPr>
          <w:p w14:paraId="392BE8A7" w14:textId="77777777" w:rsidR="00980E5F" w:rsidRDefault="00980E5F">
            <w:pPr>
              <w:rPr>
                <w:rFonts w:ascii="宋体"/>
                <w:vanish/>
              </w:rPr>
            </w:pPr>
          </w:p>
        </w:tc>
        <w:tc>
          <w:tcPr>
            <w:tcW w:w="0" w:type="auto"/>
            <w:gridSpan w:val="3"/>
            <w:shd w:val="clear" w:color="auto" w:fill="auto"/>
            <w:vAlign w:val="bottom"/>
          </w:tcPr>
          <w:p w14:paraId="392BE8A8" w14:textId="77777777" w:rsidR="00980E5F" w:rsidRDefault="00980E5F">
            <w:pPr>
              <w:rPr>
                <w:rFonts w:ascii="宋体"/>
                <w:vanish/>
              </w:rPr>
            </w:pPr>
          </w:p>
        </w:tc>
        <w:tc>
          <w:tcPr>
            <w:tcW w:w="0" w:type="auto"/>
            <w:gridSpan w:val="3"/>
            <w:shd w:val="clear" w:color="auto" w:fill="auto"/>
            <w:vAlign w:val="bottom"/>
          </w:tcPr>
          <w:p w14:paraId="392BE8A9" w14:textId="77777777" w:rsidR="00980E5F" w:rsidRDefault="00980E5F">
            <w:pPr>
              <w:rPr>
                <w:rFonts w:ascii="宋体"/>
                <w:vanish/>
              </w:rPr>
            </w:pPr>
          </w:p>
        </w:tc>
        <w:tc>
          <w:tcPr>
            <w:tcW w:w="0" w:type="auto"/>
            <w:gridSpan w:val="3"/>
            <w:shd w:val="clear" w:color="auto" w:fill="auto"/>
            <w:vAlign w:val="bottom"/>
          </w:tcPr>
          <w:p w14:paraId="392BE8AA" w14:textId="77777777" w:rsidR="00980E5F" w:rsidRDefault="00980E5F">
            <w:pPr>
              <w:rPr>
                <w:rFonts w:ascii="宋体"/>
                <w:vanish/>
              </w:rPr>
            </w:pPr>
          </w:p>
        </w:tc>
        <w:tc>
          <w:tcPr>
            <w:tcW w:w="0" w:type="auto"/>
            <w:gridSpan w:val="3"/>
            <w:shd w:val="clear" w:color="auto" w:fill="auto"/>
            <w:vAlign w:val="bottom"/>
          </w:tcPr>
          <w:p w14:paraId="392BE8AB" w14:textId="77777777" w:rsidR="00980E5F" w:rsidRDefault="00980E5F">
            <w:pPr>
              <w:rPr>
                <w:rFonts w:ascii="宋体"/>
                <w:vanish/>
              </w:rPr>
            </w:pPr>
          </w:p>
        </w:tc>
        <w:tc>
          <w:tcPr>
            <w:tcW w:w="0" w:type="auto"/>
            <w:gridSpan w:val="3"/>
            <w:shd w:val="clear" w:color="auto" w:fill="auto"/>
            <w:vAlign w:val="bottom"/>
          </w:tcPr>
          <w:p w14:paraId="392BE8AC" w14:textId="77777777" w:rsidR="00980E5F" w:rsidRDefault="00980E5F">
            <w:pPr>
              <w:rPr>
                <w:rFonts w:ascii="宋体"/>
                <w:vanish/>
              </w:rPr>
            </w:pPr>
          </w:p>
        </w:tc>
      </w:tr>
      <w:tr w:rsidR="00980E5F" w14:paraId="392BE8B9" w14:textId="77777777">
        <w:trPr>
          <w:hidden/>
        </w:trPr>
        <w:tc>
          <w:tcPr>
            <w:tcW w:w="0" w:type="auto"/>
            <w:gridSpan w:val="3"/>
            <w:shd w:val="clear" w:color="auto" w:fill="auto"/>
            <w:vAlign w:val="bottom"/>
          </w:tcPr>
          <w:p w14:paraId="392BE8AE" w14:textId="77777777" w:rsidR="00980E5F" w:rsidRDefault="00980E5F">
            <w:pPr>
              <w:rPr>
                <w:rFonts w:ascii="宋体"/>
                <w:vanish/>
              </w:rPr>
            </w:pPr>
          </w:p>
        </w:tc>
        <w:tc>
          <w:tcPr>
            <w:tcW w:w="0" w:type="auto"/>
            <w:gridSpan w:val="3"/>
            <w:shd w:val="clear" w:color="auto" w:fill="auto"/>
            <w:vAlign w:val="bottom"/>
          </w:tcPr>
          <w:p w14:paraId="392BE8AF" w14:textId="77777777" w:rsidR="00980E5F" w:rsidRDefault="00980E5F">
            <w:pPr>
              <w:rPr>
                <w:rFonts w:ascii="宋体"/>
                <w:vanish/>
              </w:rPr>
            </w:pPr>
          </w:p>
        </w:tc>
        <w:tc>
          <w:tcPr>
            <w:tcW w:w="0" w:type="auto"/>
            <w:gridSpan w:val="3"/>
            <w:shd w:val="clear" w:color="auto" w:fill="auto"/>
            <w:vAlign w:val="bottom"/>
          </w:tcPr>
          <w:p w14:paraId="392BE8B0" w14:textId="77777777" w:rsidR="00980E5F" w:rsidRDefault="00980E5F">
            <w:pPr>
              <w:rPr>
                <w:rFonts w:ascii="宋体"/>
                <w:vanish/>
              </w:rPr>
            </w:pPr>
          </w:p>
        </w:tc>
        <w:tc>
          <w:tcPr>
            <w:tcW w:w="0" w:type="auto"/>
            <w:gridSpan w:val="3"/>
            <w:shd w:val="clear" w:color="auto" w:fill="auto"/>
            <w:vAlign w:val="bottom"/>
          </w:tcPr>
          <w:p w14:paraId="392BE8B1" w14:textId="77777777" w:rsidR="00980E5F" w:rsidRDefault="00980E5F">
            <w:pPr>
              <w:rPr>
                <w:rFonts w:ascii="宋体"/>
                <w:vanish/>
              </w:rPr>
            </w:pPr>
          </w:p>
        </w:tc>
        <w:tc>
          <w:tcPr>
            <w:tcW w:w="0" w:type="auto"/>
            <w:gridSpan w:val="3"/>
            <w:shd w:val="clear" w:color="auto" w:fill="auto"/>
            <w:vAlign w:val="bottom"/>
          </w:tcPr>
          <w:p w14:paraId="392BE8B2" w14:textId="77777777" w:rsidR="00980E5F" w:rsidRDefault="00980E5F">
            <w:pPr>
              <w:rPr>
                <w:rFonts w:ascii="宋体"/>
                <w:vanish/>
              </w:rPr>
            </w:pPr>
          </w:p>
        </w:tc>
        <w:tc>
          <w:tcPr>
            <w:tcW w:w="0" w:type="auto"/>
            <w:gridSpan w:val="3"/>
            <w:shd w:val="clear" w:color="auto" w:fill="auto"/>
            <w:vAlign w:val="bottom"/>
          </w:tcPr>
          <w:p w14:paraId="392BE8B3" w14:textId="77777777" w:rsidR="00980E5F" w:rsidRDefault="00980E5F">
            <w:pPr>
              <w:rPr>
                <w:rFonts w:ascii="宋体"/>
                <w:vanish/>
              </w:rPr>
            </w:pPr>
          </w:p>
        </w:tc>
        <w:tc>
          <w:tcPr>
            <w:tcW w:w="0" w:type="auto"/>
            <w:gridSpan w:val="3"/>
            <w:shd w:val="clear" w:color="auto" w:fill="auto"/>
            <w:vAlign w:val="bottom"/>
          </w:tcPr>
          <w:p w14:paraId="392BE8B4" w14:textId="77777777" w:rsidR="00980E5F" w:rsidRDefault="00980E5F">
            <w:pPr>
              <w:rPr>
                <w:rFonts w:ascii="宋体"/>
                <w:vanish/>
              </w:rPr>
            </w:pPr>
          </w:p>
        </w:tc>
        <w:tc>
          <w:tcPr>
            <w:tcW w:w="0" w:type="auto"/>
            <w:gridSpan w:val="3"/>
            <w:shd w:val="clear" w:color="auto" w:fill="auto"/>
            <w:vAlign w:val="bottom"/>
          </w:tcPr>
          <w:p w14:paraId="392BE8B5" w14:textId="77777777" w:rsidR="00980E5F" w:rsidRDefault="00980E5F">
            <w:pPr>
              <w:rPr>
                <w:rFonts w:ascii="宋体"/>
                <w:vanish/>
              </w:rPr>
            </w:pPr>
          </w:p>
        </w:tc>
        <w:tc>
          <w:tcPr>
            <w:tcW w:w="0" w:type="auto"/>
            <w:gridSpan w:val="3"/>
            <w:shd w:val="clear" w:color="auto" w:fill="auto"/>
            <w:vAlign w:val="bottom"/>
          </w:tcPr>
          <w:p w14:paraId="392BE8B6" w14:textId="77777777" w:rsidR="00980E5F" w:rsidRDefault="00980E5F">
            <w:pPr>
              <w:rPr>
                <w:rFonts w:ascii="宋体"/>
                <w:vanish/>
              </w:rPr>
            </w:pPr>
          </w:p>
        </w:tc>
        <w:tc>
          <w:tcPr>
            <w:tcW w:w="0" w:type="auto"/>
            <w:gridSpan w:val="3"/>
            <w:shd w:val="clear" w:color="auto" w:fill="auto"/>
            <w:vAlign w:val="bottom"/>
          </w:tcPr>
          <w:p w14:paraId="392BE8B7" w14:textId="77777777" w:rsidR="00980E5F" w:rsidRDefault="00980E5F">
            <w:pPr>
              <w:rPr>
                <w:rFonts w:ascii="宋体"/>
                <w:vanish/>
              </w:rPr>
            </w:pPr>
          </w:p>
        </w:tc>
        <w:tc>
          <w:tcPr>
            <w:tcW w:w="0" w:type="auto"/>
            <w:gridSpan w:val="3"/>
            <w:shd w:val="clear" w:color="auto" w:fill="auto"/>
            <w:vAlign w:val="bottom"/>
          </w:tcPr>
          <w:p w14:paraId="392BE8B8" w14:textId="77777777" w:rsidR="00980E5F" w:rsidRDefault="00980E5F">
            <w:pPr>
              <w:rPr>
                <w:rFonts w:ascii="宋体"/>
                <w:vanish/>
              </w:rPr>
            </w:pPr>
          </w:p>
        </w:tc>
      </w:tr>
      <w:tr w:rsidR="00980E5F" w14:paraId="392BE8C5" w14:textId="77777777">
        <w:trPr>
          <w:hidden/>
        </w:trPr>
        <w:tc>
          <w:tcPr>
            <w:tcW w:w="0" w:type="auto"/>
            <w:gridSpan w:val="3"/>
            <w:shd w:val="clear" w:color="auto" w:fill="auto"/>
            <w:vAlign w:val="bottom"/>
          </w:tcPr>
          <w:p w14:paraId="392BE8BA" w14:textId="77777777" w:rsidR="00980E5F" w:rsidRDefault="00980E5F">
            <w:pPr>
              <w:rPr>
                <w:rFonts w:ascii="宋体"/>
                <w:vanish/>
              </w:rPr>
            </w:pPr>
          </w:p>
        </w:tc>
        <w:tc>
          <w:tcPr>
            <w:tcW w:w="0" w:type="auto"/>
            <w:gridSpan w:val="3"/>
            <w:shd w:val="clear" w:color="auto" w:fill="auto"/>
            <w:vAlign w:val="bottom"/>
          </w:tcPr>
          <w:p w14:paraId="392BE8BB" w14:textId="77777777" w:rsidR="00980E5F" w:rsidRDefault="00980E5F">
            <w:pPr>
              <w:rPr>
                <w:rFonts w:ascii="宋体"/>
                <w:vanish/>
              </w:rPr>
            </w:pPr>
          </w:p>
        </w:tc>
        <w:tc>
          <w:tcPr>
            <w:tcW w:w="0" w:type="auto"/>
            <w:gridSpan w:val="3"/>
            <w:shd w:val="clear" w:color="auto" w:fill="auto"/>
            <w:vAlign w:val="bottom"/>
          </w:tcPr>
          <w:p w14:paraId="392BE8BC" w14:textId="77777777" w:rsidR="00980E5F" w:rsidRDefault="00980E5F">
            <w:pPr>
              <w:rPr>
                <w:rFonts w:ascii="宋体"/>
                <w:vanish/>
              </w:rPr>
            </w:pPr>
          </w:p>
        </w:tc>
        <w:tc>
          <w:tcPr>
            <w:tcW w:w="0" w:type="auto"/>
            <w:gridSpan w:val="3"/>
            <w:shd w:val="clear" w:color="auto" w:fill="auto"/>
            <w:vAlign w:val="bottom"/>
          </w:tcPr>
          <w:p w14:paraId="392BE8BD" w14:textId="77777777" w:rsidR="00980E5F" w:rsidRDefault="00980E5F">
            <w:pPr>
              <w:rPr>
                <w:rFonts w:ascii="宋体"/>
                <w:vanish/>
              </w:rPr>
            </w:pPr>
          </w:p>
        </w:tc>
        <w:tc>
          <w:tcPr>
            <w:tcW w:w="0" w:type="auto"/>
            <w:gridSpan w:val="3"/>
            <w:shd w:val="clear" w:color="auto" w:fill="auto"/>
            <w:vAlign w:val="bottom"/>
          </w:tcPr>
          <w:p w14:paraId="392BE8BE" w14:textId="77777777" w:rsidR="00980E5F" w:rsidRDefault="00980E5F">
            <w:pPr>
              <w:rPr>
                <w:rFonts w:ascii="宋体"/>
                <w:vanish/>
              </w:rPr>
            </w:pPr>
          </w:p>
        </w:tc>
        <w:tc>
          <w:tcPr>
            <w:tcW w:w="0" w:type="auto"/>
            <w:gridSpan w:val="3"/>
            <w:shd w:val="clear" w:color="auto" w:fill="auto"/>
            <w:vAlign w:val="bottom"/>
          </w:tcPr>
          <w:p w14:paraId="392BE8BF" w14:textId="77777777" w:rsidR="00980E5F" w:rsidRDefault="00980E5F">
            <w:pPr>
              <w:rPr>
                <w:rFonts w:ascii="宋体"/>
                <w:vanish/>
              </w:rPr>
            </w:pPr>
          </w:p>
        </w:tc>
        <w:tc>
          <w:tcPr>
            <w:tcW w:w="0" w:type="auto"/>
            <w:gridSpan w:val="3"/>
            <w:shd w:val="clear" w:color="auto" w:fill="auto"/>
            <w:vAlign w:val="bottom"/>
          </w:tcPr>
          <w:p w14:paraId="392BE8C0" w14:textId="77777777" w:rsidR="00980E5F" w:rsidRDefault="00980E5F">
            <w:pPr>
              <w:rPr>
                <w:rFonts w:ascii="宋体"/>
                <w:vanish/>
              </w:rPr>
            </w:pPr>
          </w:p>
        </w:tc>
        <w:tc>
          <w:tcPr>
            <w:tcW w:w="0" w:type="auto"/>
            <w:gridSpan w:val="3"/>
            <w:shd w:val="clear" w:color="auto" w:fill="auto"/>
            <w:vAlign w:val="bottom"/>
          </w:tcPr>
          <w:p w14:paraId="392BE8C1" w14:textId="77777777" w:rsidR="00980E5F" w:rsidRDefault="00980E5F">
            <w:pPr>
              <w:rPr>
                <w:rFonts w:ascii="宋体"/>
                <w:vanish/>
              </w:rPr>
            </w:pPr>
          </w:p>
        </w:tc>
        <w:tc>
          <w:tcPr>
            <w:tcW w:w="0" w:type="auto"/>
            <w:gridSpan w:val="3"/>
            <w:shd w:val="clear" w:color="auto" w:fill="auto"/>
            <w:vAlign w:val="bottom"/>
          </w:tcPr>
          <w:p w14:paraId="392BE8C2" w14:textId="77777777" w:rsidR="00980E5F" w:rsidRDefault="00980E5F">
            <w:pPr>
              <w:rPr>
                <w:rFonts w:ascii="宋体"/>
                <w:vanish/>
              </w:rPr>
            </w:pPr>
          </w:p>
        </w:tc>
        <w:tc>
          <w:tcPr>
            <w:tcW w:w="0" w:type="auto"/>
            <w:gridSpan w:val="3"/>
            <w:shd w:val="clear" w:color="auto" w:fill="auto"/>
            <w:vAlign w:val="bottom"/>
          </w:tcPr>
          <w:p w14:paraId="392BE8C3" w14:textId="77777777" w:rsidR="00980E5F" w:rsidRDefault="00980E5F">
            <w:pPr>
              <w:rPr>
                <w:rFonts w:ascii="宋体"/>
                <w:vanish/>
              </w:rPr>
            </w:pPr>
          </w:p>
        </w:tc>
        <w:tc>
          <w:tcPr>
            <w:tcW w:w="0" w:type="auto"/>
            <w:gridSpan w:val="3"/>
            <w:shd w:val="clear" w:color="auto" w:fill="auto"/>
            <w:vAlign w:val="bottom"/>
          </w:tcPr>
          <w:p w14:paraId="392BE8C4" w14:textId="77777777" w:rsidR="00980E5F" w:rsidRDefault="00980E5F">
            <w:pPr>
              <w:rPr>
                <w:rFonts w:ascii="宋体"/>
                <w:vanish/>
              </w:rPr>
            </w:pPr>
          </w:p>
        </w:tc>
      </w:tr>
      <w:tr w:rsidR="00980E5F" w14:paraId="392BE8D1" w14:textId="77777777">
        <w:trPr>
          <w:hidden/>
        </w:trPr>
        <w:tc>
          <w:tcPr>
            <w:tcW w:w="0" w:type="auto"/>
            <w:gridSpan w:val="3"/>
            <w:shd w:val="clear" w:color="auto" w:fill="auto"/>
            <w:vAlign w:val="bottom"/>
          </w:tcPr>
          <w:p w14:paraId="392BE8C6" w14:textId="77777777" w:rsidR="00980E5F" w:rsidRDefault="00980E5F">
            <w:pPr>
              <w:rPr>
                <w:rFonts w:ascii="宋体"/>
                <w:vanish/>
              </w:rPr>
            </w:pPr>
          </w:p>
        </w:tc>
        <w:tc>
          <w:tcPr>
            <w:tcW w:w="0" w:type="auto"/>
            <w:gridSpan w:val="3"/>
            <w:shd w:val="clear" w:color="auto" w:fill="auto"/>
            <w:vAlign w:val="bottom"/>
          </w:tcPr>
          <w:p w14:paraId="392BE8C7" w14:textId="77777777" w:rsidR="00980E5F" w:rsidRDefault="00980E5F">
            <w:pPr>
              <w:rPr>
                <w:rFonts w:ascii="宋体"/>
                <w:vanish/>
              </w:rPr>
            </w:pPr>
          </w:p>
        </w:tc>
        <w:tc>
          <w:tcPr>
            <w:tcW w:w="0" w:type="auto"/>
            <w:gridSpan w:val="3"/>
            <w:shd w:val="clear" w:color="auto" w:fill="auto"/>
            <w:vAlign w:val="bottom"/>
          </w:tcPr>
          <w:p w14:paraId="392BE8C8" w14:textId="77777777" w:rsidR="00980E5F" w:rsidRDefault="00980E5F">
            <w:pPr>
              <w:rPr>
                <w:rFonts w:ascii="宋体"/>
                <w:vanish/>
              </w:rPr>
            </w:pPr>
          </w:p>
        </w:tc>
        <w:tc>
          <w:tcPr>
            <w:tcW w:w="0" w:type="auto"/>
            <w:gridSpan w:val="3"/>
            <w:shd w:val="clear" w:color="auto" w:fill="auto"/>
            <w:vAlign w:val="bottom"/>
          </w:tcPr>
          <w:p w14:paraId="392BE8C9" w14:textId="77777777" w:rsidR="00980E5F" w:rsidRDefault="00980E5F">
            <w:pPr>
              <w:rPr>
                <w:rFonts w:ascii="宋体"/>
                <w:vanish/>
              </w:rPr>
            </w:pPr>
          </w:p>
        </w:tc>
        <w:tc>
          <w:tcPr>
            <w:tcW w:w="0" w:type="auto"/>
            <w:gridSpan w:val="3"/>
            <w:shd w:val="clear" w:color="auto" w:fill="auto"/>
            <w:vAlign w:val="bottom"/>
          </w:tcPr>
          <w:p w14:paraId="392BE8CA" w14:textId="77777777" w:rsidR="00980E5F" w:rsidRDefault="00980E5F">
            <w:pPr>
              <w:rPr>
                <w:rFonts w:ascii="宋体"/>
                <w:vanish/>
              </w:rPr>
            </w:pPr>
          </w:p>
        </w:tc>
        <w:tc>
          <w:tcPr>
            <w:tcW w:w="0" w:type="auto"/>
            <w:gridSpan w:val="3"/>
            <w:shd w:val="clear" w:color="auto" w:fill="auto"/>
            <w:vAlign w:val="bottom"/>
          </w:tcPr>
          <w:p w14:paraId="392BE8CB" w14:textId="77777777" w:rsidR="00980E5F" w:rsidRDefault="00980E5F">
            <w:pPr>
              <w:rPr>
                <w:rFonts w:ascii="宋体"/>
                <w:vanish/>
              </w:rPr>
            </w:pPr>
          </w:p>
        </w:tc>
        <w:tc>
          <w:tcPr>
            <w:tcW w:w="0" w:type="auto"/>
            <w:gridSpan w:val="3"/>
            <w:shd w:val="clear" w:color="auto" w:fill="auto"/>
            <w:vAlign w:val="bottom"/>
          </w:tcPr>
          <w:p w14:paraId="392BE8CC" w14:textId="77777777" w:rsidR="00980E5F" w:rsidRDefault="00980E5F">
            <w:pPr>
              <w:rPr>
                <w:rFonts w:ascii="宋体"/>
                <w:vanish/>
              </w:rPr>
            </w:pPr>
          </w:p>
        </w:tc>
        <w:tc>
          <w:tcPr>
            <w:tcW w:w="0" w:type="auto"/>
            <w:gridSpan w:val="3"/>
            <w:shd w:val="clear" w:color="auto" w:fill="auto"/>
            <w:vAlign w:val="bottom"/>
          </w:tcPr>
          <w:p w14:paraId="392BE8CD" w14:textId="77777777" w:rsidR="00980E5F" w:rsidRDefault="00980E5F">
            <w:pPr>
              <w:rPr>
                <w:rFonts w:ascii="宋体"/>
                <w:vanish/>
              </w:rPr>
            </w:pPr>
          </w:p>
        </w:tc>
        <w:tc>
          <w:tcPr>
            <w:tcW w:w="0" w:type="auto"/>
            <w:gridSpan w:val="3"/>
            <w:shd w:val="clear" w:color="auto" w:fill="auto"/>
            <w:vAlign w:val="bottom"/>
          </w:tcPr>
          <w:p w14:paraId="392BE8CE" w14:textId="77777777" w:rsidR="00980E5F" w:rsidRDefault="00980E5F">
            <w:pPr>
              <w:rPr>
                <w:rFonts w:ascii="宋体"/>
                <w:vanish/>
              </w:rPr>
            </w:pPr>
          </w:p>
        </w:tc>
        <w:tc>
          <w:tcPr>
            <w:tcW w:w="0" w:type="auto"/>
            <w:gridSpan w:val="3"/>
            <w:shd w:val="clear" w:color="auto" w:fill="auto"/>
            <w:vAlign w:val="bottom"/>
          </w:tcPr>
          <w:p w14:paraId="392BE8CF" w14:textId="77777777" w:rsidR="00980E5F" w:rsidRDefault="00980E5F">
            <w:pPr>
              <w:rPr>
                <w:rFonts w:ascii="宋体"/>
                <w:vanish/>
              </w:rPr>
            </w:pPr>
          </w:p>
        </w:tc>
        <w:tc>
          <w:tcPr>
            <w:tcW w:w="0" w:type="auto"/>
            <w:gridSpan w:val="3"/>
            <w:shd w:val="clear" w:color="auto" w:fill="auto"/>
            <w:vAlign w:val="bottom"/>
          </w:tcPr>
          <w:p w14:paraId="392BE8D0" w14:textId="77777777" w:rsidR="00980E5F" w:rsidRDefault="00980E5F">
            <w:pPr>
              <w:rPr>
                <w:rFonts w:ascii="宋体"/>
                <w:vanish/>
              </w:rPr>
            </w:pPr>
          </w:p>
        </w:tc>
      </w:tr>
      <w:tr w:rsidR="00980E5F" w14:paraId="392BE8DD" w14:textId="77777777">
        <w:trPr>
          <w:hidden/>
        </w:trPr>
        <w:tc>
          <w:tcPr>
            <w:tcW w:w="0" w:type="auto"/>
            <w:gridSpan w:val="3"/>
            <w:shd w:val="clear" w:color="auto" w:fill="auto"/>
            <w:vAlign w:val="bottom"/>
          </w:tcPr>
          <w:p w14:paraId="392BE8D2" w14:textId="77777777" w:rsidR="00980E5F" w:rsidRDefault="00980E5F">
            <w:pPr>
              <w:rPr>
                <w:rFonts w:ascii="宋体"/>
                <w:vanish/>
              </w:rPr>
            </w:pPr>
          </w:p>
        </w:tc>
        <w:tc>
          <w:tcPr>
            <w:tcW w:w="0" w:type="auto"/>
            <w:gridSpan w:val="3"/>
            <w:shd w:val="clear" w:color="auto" w:fill="auto"/>
            <w:vAlign w:val="bottom"/>
          </w:tcPr>
          <w:p w14:paraId="392BE8D3" w14:textId="77777777" w:rsidR="00980E5F" w:rsidRDefault="00980E5F">
            <w:pPr>
              <w:rPr>
                <w:rFonts w:ascii="宋体"/>
                <w:vanish/>
              </w:rPr>
            </w:pPr>
          </w:p>
        </w:tc>
        <w:tc>
          <w:tcPr>
            <w:tcW w:w="0" w:type="auto"/>
            <w:gridSpan w:val="3"/>
            <w:shd w:val="clear" w:color="auto" w:fill="auto"/>
            <w:vAlign w:val="bottom"/>
          </w:tcPr>
          <w:p w14:paraId="392BE8D4" w14:textId="77777777" w:rsidR="00980E5F" w:rsidRDefault="00980E5F">
            <w:pPr>
              <w:rPr>
                <w:rFonts w:ascii="宋体"/>
                <w:vanish/>
              </w:rPr>
            </w:pPr>
          </w:p>
        </w:tc>
        <w:tc>
          <w:tcPr>
            <w:tcW w:w="0" w:type="auto"/>
            <w:gridSpan w:val="3"/>
            <w:shd w:val="clear" w:color="auto" w:fill="auto"/>
            <w:vAlign w:val="bottom"/>
          </w:tcPr>
          <w:p w14:paraId="392BE8D5" w14:textId="77777777" w:rsidR="00980E5F" w:rsidRDefault="00980E5F">
            <w:pPr>
              <w:rPr>
                <w:rFonts w:ascii="宋体"/>
                <w:vanish/>
              </w:rPr>
            </w:pPr>
          </w:p>
        </w:tc>
        <w:tc>
          <w:tcPr>
            <w:tcW w:w="0" w:type="auto"/>
            <w:gridSpan w:val="3"/>
            <w:shd w:val="clear" w:color="auto" w:fill="auto"/>
            <w:vAlign w:val="bottom"/>
          </w:tcPr>
          <w:p w14:paraId="392BE8D6" w14:textId="77777777" w:rsidR="00980E5F" w:rsidRDefault="00980E5F">
            <w:pPr>
              <w:rPr>
                <w:rFonts w:ascii="宋体"/>
                <w:vanish/>
              </w:rPr>
            </w:pPr>
          </w:p>
        </w:tc>
        <w:tc>
          <w:tcPr>
            <w:tcW w:w="0" w:type="auto"/>
            <w:gridSpan w:val="3"/>
            <w:shd w:val="clear" w:color="auto" w:fill="auto"/>
            <w:vAlign w:val="bottom"/>
          </w:tcPr>
          <w:p w14:paraId="392BE8D7" w14:textId="77777777" w:rsidR="00980E5F" w:rsidRDefault="00980E5F">
            <w:pPr>
              <w:rPr>
                <w:rFonts w:ascii="宋体"/>
                <w:vanish/>
              </w:rPr>
            </w:pPr>
          </w:p>
        </w:tc>
        <w:tc>
          <w:tcPr>
            <w:tcW w:w="0" w:type="auto"/>
            <w:gridSpan w:val="3"/>
            <w:shd w:val="clear" w:color="auto" w:fill="auto"/>
            <w:vAlign w:val="bottom"/>
          </w:tcPr>
          <w:p w14:paraId="392BE8D8" w14:textId="77777777" w:rsidR="00980E5F" w:rsidRDefault="00980E5F">
            <w:pPr>
              <w:rPr>
                <w:rFonts w:ascii="宋体"/>
                <w:vanish/>
              </w:rPr>
            </w:pPr>
          </w:p>
        </w:tc>
        <w:tc>
          <w:tcPr>
            <w:tcW w:w="0" w:type="auto"/>
            <w:gridSpan w:val="3"/>
            <w:shd w:val="clear" w:color="auto" w:fill="auto"/>
            <w:vAlign w:val="bottom"/>
          </w:tcPr>
          <w:p w14:paraId="392BE8D9" w14:textId="77777777" w:rsidR="00980E5F" w:rsidRDefault="00980E5F">
            <w:pPr>
              <w:rPr>
                <w:rFonts w:ascii="宋体"/>
                <w:vanish/>
              </w:rPr>
            </w:pPr>
          </w:p>
        </w:tc>
        <w:tc>
          <w:tcPr>
            <w:tcW w:w="0" w:type="auto"/>
            <w:gridSpan w:val="3"/>
            <w:shd w:val="clear" w:color="auto" w:fill="auto"/>
            <w:vAlign w:val="bottom"/>
          </w:tcPr>
          <w:p w14:paraId="392BE8DA" w14:textId="77777777" w:rsidR="00980E5F" w:rsidRDefault="00980E5F">
            <w:pPr>
              <w:rPr>
                <w:rFonts w:ascii="宋体"/>
                <w:vanish/>
              </w:rPr>
            </w:pPr>
          </w:p>
        </w:tc>
        <w:tc>
          <w:tcPr>
            <w:tcW w:w="0" w:type="auto"/>
            <w:gridSpan w:val="3"/>
            <w:shd w:val="clear" w:color="auto" w:fill="auto"/>
            <w:vAlign w:val="bottom"/>
          </w:tcPr>
          <w:p w14:paraId="392BE8DB" w14:textId="77777777" w:rsidR="00980E5F" w:rsidRDefault="00980E5F">
            <w:pPr>
              <w:rPr>
                <w:rFonts w:ascii="宋体"/>
                <w:vanish/>
              </w:rPr>
            </w:pPr>
          </w:p>
        </w:tc>
        <w:tc>
          <w:tcPr>
            <w:tcW w:w="0" w:type="auto"/>
            <w:gridSpan w:val="3"/>
            <w:shd w:val="clear" w:color="auto" w:fill="auto"/>
            <w:vAlign w:val="bottom"/>
          </w:tcPr>
          <w:p w14:paraId="392BE8DC" w14:textId="77777777" w:rsidR="00980E5F" w:rsidRDefault="00980E5F">
            <w:pPr>
              <w:rPr>
                <w:rFonts w:ascii="宋体"/>
                <w:vanish/>
              </w:rPr>
            </w:pPr>
          </w:p>
        </w:tc>
      </w:tr>
      <w:tr w:rsidR="00980E5F" w14:paraId="392BE8E9" w14:textId="77777777">
        <w:trPr>
          <w:hidden/>
        </w:trPr>
        <w:tc>
          <w:tcPr>
            <w:tcW w:w="0" w:type="auto"/>
            <w:gridSpan w:val="3"/>
            <w:shd w:val="clear" w:color="auto" w:fill="auto"/>
            <w:vAlign w:val="bottom"/>
          </w:tcPr>
          <w:p w14:paraId="392BE8DE" w14:textId="77777777" w:rsidR="00980E5F" w:rsidRDefault="00980E5F">
            <w:pPr>
              <w:rPr>
                <w:rFonts w:ascii="宋体"/>
                <w:vanish/>
              </w:rPr>
            </w:pPr>
          </w:p>
        </w:tc>
        <w:tc>
          <w:tcPr>
            <w:tcW w:w="0" w:type="auto"/>
            <w:gridSpan w:val="3"/>
            <w:shd w:val="clear" w:color="auto" w:fill="auto"/>
            <w:vAlign w:val="bottom"/>
          </w:tcPr>
          <w:p w14:paraId="392BE8DF" w14:textId="77777777" w:rsidR="00980E5F" w:rsidRDefault="00980E5F">
            <w:pPr>
              <w:rPr>
                <w:rFonts w:ascii="宋体"/>
                <w:vanish/>
              </w:rPr>
            </w:pPr>
          </w:p>
        </w:tc>
        <w:tc>
          <w:tcPr>
            <w:tcW w:w="0" w:type="auto"/>
            <w:gridSpan w:val="3"/>
            <w:shd w:val="clear" w:color="auto" w:fill="auto"/>
            <w:vAlign w:val="bottom"/>
          </w:tcPr>
          <w:p w14:paraId="392BE8E0" w14:textId="77777777" w:rsidR="00980E5F" w:rsidRDefault="00980E5F">
            <w:pPr>
              <w:rPr>
                <w:rFonts w:ascii="宋体"/>
                <w:vanish/>
              </w:rPr>
            </w:pPr>
          </w:p>
        </w:tc>
        <w:tc>
          <w:tcPr>
            <w:tcW w:w="0" w:type="auto"/>
            <w:gridSpan w:val="3"/>
            <w:shd w:val="clear" w:color="auto" w:fill="auto"/>
            <w:vAlign w:val="bottom"/>
          </w:tcPr>
          <w:p w14:paraId="392BE8E1" w14:textId="77777777" w:rsidR="00980E5F" w:rsidRDefault="00980E5F">
            <w:pPr>
              <w:rPr>
                <w:rFonts w:ascii="宋体"/>
                <w:vanish/>
              </w:rPr>
            </w:pPr>
          </w:p>
        </w:tc>
        <w:tc>
          <w:tcPr>
            <w:tcW w:w="0" w:type="auto"/>
            <w:gridSpan w:val="3"/>
            <w:shd w:val="clear" w:color="auto" w:fill="auto"/>
            <w:vAlign w:val="bottom"/>
          </w:tcPr>
          <w:p w14:paraId="392BE8E2" w14:textId="77777777" w:rsidR="00980E5F" w:rsidRDefault="00980E5F">
            <w:pPr>
              <w:rPr>
                <w:rFonts w:ascii="宋体"/>
                <w:vanish/>
              </w:rPr>
            </w:pPr>
          </w:p>
        </w:tc>
        <w:tc>
          <w:tcPr>
            <w:tcW w:w="0" w:type="auto"/>
            <w:gridSpan w:val="3"/>
            <w:shd w:val="clear" w:color="auto" w:fill="auto"/>
            <w:vAlign w:val="bottom"/>
          </w:tcPr>
          <w:p w14:paraId="392BE8E3" w14:textId="77777777" w:rsidR="00980E5F" w:rsidRDefault="00980E5F">
            <w:pPr>
              <w:rPr>
                <w:rFonts w:ascii="宋体"/>
                <w:vanish/>
              </w:rPr>
            </w:pPr>
          </w:p>
        </w:tc>
        <w:tc>
          <w:tcPr>
            <w:tcW w:w="0" w:type="auto"/>
            <w:gridSpan w:val="3"/>
            <w:shd w:val="clear" w:color="auto" w:fill="auto"/>
            <w:vAlign w:val="bottom"/>
          </w:tcPr>
          <w:p w14:paraId="392BE8E4" w14:textId="77777777" w:rsidR="00980E5F" w:rsidRDefault="00980E5F">
            <w:pPr>
              <w:rPr>
                <w:rFonts w:ascii="宋体"/>
                <w:vanish/>
              </w:rPr>
            </w:pPr>
          </w:p>
        </w:tc>
        <w:tc>
          <w:tcPr>
            <w:tcW w:w="0" w:type="auto"/>
            <w:gridSpan w:val="3"/>
            <w:shd w:val="clear" w:color="auto" w:fill="auto"/>
            <w:vAlign w:val="bottom"/>
          </w:tcPr>
          <w:p w14:paraId="392BE8E5" w14:textId="77777777" w:rsidR="00980E5F" w:rsidRDefault="00980E5F">
            <w:pPr>
              <w:rPr>
                <w:rFonts w:ascii="宋体"/>
                <w:vanish/>
              </w:rPr>
            </w:pPr>
          </w:p>
        </w:tc>
        <w:tc>
          <w:tcPr>
            <w:tcW w:w="0" w:type="auto"/>
            <w:gridSpan w:val="3"/>
            <w:shd w:val="clear" w:color="auto" w:fill="auto"/>
            <w:vAlign w:val="bottom"/>
          </w:tcPr>
          <w:p w14:paraId="392BE8E6" w14:textId="77777777" w:rsidR="00980E5F" w:rsidRDefault="00980E5F">
            <w:pPr>
              <w:rPr>
                <w:rFonts w:ascii="宋体"/>
                <w:vanish/>
              </w:rPr>
            </w:pPr>
          </w:p>
        </w:tc>
        <w:tc>
          <w:tcPr>
            <w:tcW w:w="0" w:type="auto"/>
            <w:gridSpan w:val="3"/>
            <w:shd w:val="clear" w:color="auto" w:fill="auto"/>
            <w:vAlign w:val="bottom"/>
          </w:tcPr>
          <w:p w14:paraId="392BE8E7" w14:textId="77777777" w:rsidR="00980E5F" w:rsidRDefault="00980E5F">
            <w:pPr>
              <w:rPr>
                <w:rFonts w:ascii="宋体"/>
                <w:vanish/>
              </w:rPr>
            </w:pPr>
          </w:p>
        </w:tc>
        <w:tc>
          <w:tcPr>
            <w:tcW w:w="0" w:type="auto"/>
            <w:gridSpan w:val="3"/>
            <w:shd w:val="clear" w:color="auto" w:fill="auto"/>
            <w:vAlign w:val="bottom"/>
          </w:tcPr>
          <w:p w14:paraId="392BE8E8" w14:textId="77777777" w:rsidR="00980E5F" w:rsidRDefault="00980E5F">
            <w:pPr>
              <w:rPr>
                <w:rFonts w:ascii="宋体"/>
                <w:vanish/>
              </w:rPr>
            </w:pPr>
          </w:p>
        </w:tc>
      </w:tr>
      <w:tr w:rsidR="00980E5F" w14:paraId="392BE8F5" w14:textId="77777777">
        <w:trPr>
          <w:hidden/>
        </w:trPr>
        <w:tc>
          <w:tcPr>
            <w:tcW w:w="0" w:type="auto"/>
            <w:gridSpan w:val="3"/>
            <w:shd w:val="clear" w:color="auto" w:fill="auto"/>
            <w:vAlign w:val="bottom"/>
          </w:tcPr>
          <w:p w14:paraId="392BE8EA" w14:textId="77777777" w:rsidR="00980E5F" w:rsidRDefault="00980E5F">
            <w:pPr>
              <w:rPr>
                <w:rFonts w:ascii="宋体"/>
                <w:vanish/>
              </w:rPr>
            </w:pPr>
          </w:p>
        </w:tc>
        <w:tc>
          <w:tcPr>
            <w:tcW w:w="0" w:type="auto"/>
            <w:gridSpan w:val="3"/>
            <w:shd w:val="clear" w:color="auto" w:fill="auto"/>
            <w:vAlign w:val="bottom"/>
          </w:tcPr>
          <w:p w14:paraId="392BE8EB" w14:textId="77777777" w:rsidR="00980E5F" w:rsidRDefault="00980E5F">
            <w:pPr>
              <w:rPr>
                <w:rFonts w:ascii="宋体"/>
                <w:vanish/>
              </w:rPr>
            </w:pPr>
          </w:p>
        </w:tc>
        <w:tc>
          <w:tcPr>
            <w:tcW w:w="0" w:type="auto"/>
            <w:gridSpan w:val="3"/>
            <w:shd w:val="clear" w:color="auto" w:fill="auto"/>
            <w:vAlign w:val="bottom"/>
          </w:tcPr>
          <w:p w14:paraId="392BE8EC" w14:textId="77777777" w:rsidR="00980E5F" w:rsidRDefault="00980E5F">
            <w:pPr>
              <w:rPr>
                <w:rFonts w:ascii="宋体"/>
                <w:vanish/>
              </w:rPr>
            </w:pPr>
          </w:p>
        </w:tc>
        <w:tc>
          <w:tcPr>
            <w:tcW w:w="0" w:type="auto"/>
            <w:gridSpan w:val="3"/>
            <w:shd w:val="clear" w:color="auto" w:fill="auto"/>
            <w:vAlign w:val="bottom"/>
          </w:tcPr>
          <w:p w14:paraId="392BE8ED" w14:textId="77777777" w:rsidR="00980E5F" w:rsidRDefault="00980E5F">
            <w:pPr>
              <w:rPr>
                <w:rFonts w:ascii="宋体"/>
                <w:vanish/>
              </w:rPr>
            </w:pPr>
          </w:p>
        </w:tc>
        <w:tc>
          <w:tcPr>
            <w:tcW w:w="0" w:type="auto"/>
            <w:gridSpan w:val="3"/>
            <w:shd w:val="clear" w:color="auto" w:fill="auto"/>
            <w:vAlign w:val="bottom"/>
          </w:tcPr>
          <w:p w14:paraId="392BE8EE" w14:textId="77777777" w:rsidR="00980E5F" w:rsidRDefault="00980E5F">
            <w:pPr>
              <w:rPr>
                <w:rFonts w:ascii="宋体"/>
                <w:vanish/>
              </w:rPr>
            </w:pPr>
          </w:p>
        </w:tc>
        <w:tc>
          <w:tcPr>
            <w:tcW w:w="0" w:type="auto"/>
            <w:gridSpan w:val="3"/>
            <w:shd w:val="clear" w:color="auto" w:fill="auto"/>
            <w:vAlign w:val="bottom"/>
          </w:tcPr>
          <w:p w14:paraId="392BE8EF" w14:textId="77777777" w:rsidR="00980E5F" w:rsidRDefault="00980E5F">
            <w:pPr>
              <w:rPr>
                <w:rFonts w:ascii="宋体"/>
                <w:vanish/>
              </w:rPr>
            </w:pPr>
          </w:p>
        </w:tc>
        <w:tc>
          <w:tcPr>
            <w:tcW w:w="0" w:type="auto"/>
            <w:gridSpan w:val="3"/>
            <w:shd w:val="clear" w:color="auto" w:fill="auto"/>
            <w:vAlign w:val="bottom"/>
          </w:tcPr>
          <w:p w14:paraId="392BE8F0" w14:textId="77777777" w:rsidR="00980E5F" w:rsidRDefault="00980E5F">
            <w:pPr>
              <w:rPr>
                <w:rFonts w:ascii="宋体"/>
                <w:vanish/>
              </w:rPr>
            </w:pPr>
          </w:p>
        </w:tc>
        <w:tc>
          <w:tcPr>
            <w:tcW w:w="0" w:type="auto"/>
            <w:gridSpan w:val="3"/>
            <w:shd w:val="clear" w:color="auto" w:fill="auto"/>
            <w:vAlign w:val="bottom"/>
          </w:tcPr>
          <w:p w14:paraId="392BE8F1" w14:textId="77777777" w:rsidR="00980E5F" w:rsidRDefault="00980E5F">
            <w:pPr>
              <w:rPr>
                <w:rFonts w:ascii="宋体"/>
                <w:vanish/>
              </w:rPr>
            </w:pPr>
          </w:p>
        </w:tc>
        <w:tc>
          <w:tcPr>
            <w:tcW w:w="0" w:type="auto"/>
            <w:gridSpan w:val="3"/>
            <w:shd w:val="clear" w:color="auto" w:fill="auto"/>
            <w:vAlign w:val="bottom"/>
          </w:tcPr>
          <w:p w14:paraId="392BE8F2" w14:textId="77777777" w:rsidR="00980E5F" w:rsidRDefault="00980E5F">
            <w:pPr>
              <w:rPr>
                <w:rFonts w:ascii="宋体"/>
                <w:vanish/>
              </w:rPr>
            </w:pPr>
          </w:p>
        </w:tc>
        <w:tc>
          <w:tcPr>
            <w:tcW w:w="0" w:type="auto"/>
            <w:gridSpan w:val="3"/>
            <w:shd w:val="clear" w:color="auto" w:fill="auto"/>
            <w:vAlign w:val="bottom"/>
          </w:tcPr>
          <w:p w14:paraId="392BE8F3" w14:textId="77777777" w:rsidR="00980E5F" w:rsidRDefault="00980E5F">
            <w:pPr>
              <w:rPr>
                <w:rFonts w:ascii="宋体"/>
                <w:vanish/>
              </w:rPr>
            </w:pPr>
          </w:p>
        </w:tc>
        <w:tc>
          <w:tcPr>
            <w:tcW w:w="0" w:type="auto"/>
            <w:gridSpan w:val="3"/>
            <w:shd w:val="clear" w:color="auto" w:fill="auto"/>
            <w:vAlign w:val="bottom"/>
          </w:tcPr>
          <w:p w14:paraId="392BE8F4" w14:textId="77777777" w:rsidR="00980E5F" w:rsidRDefault="00980E5F">
            <w:pPr>
              <w:rPr>
                <w:rFonts w:ascii="宋体"/>
                <w:vanish/>
              </w:rPr>
            </w:pPr>
          </w:p>
        </w:tc>
      </w:tr>
      <w:tr w:rsidR="00980E5F" w14:paraId="392BE901" w14:textId="77777777">
        <w:trPr>
          <w:hidden/>
        </w:trPr>
        <w:tc>
          <w:tcPr>
            <w:tcW w:w="0" w:type="auto"/>
            <w:gridSpan w:val="3"/>
            <w:shd w:val="clear" w:color="auto" w:fill="auto"/>
            <w:vAlign w:val="bottom"/>
          </w:tcPr>
          <w:p w14:paraId="392BE8F6" w14:textId="77777777" w:rsidR="00980E5F" w:rsidRDefault="00980E5F">
            <w:pPr>
              <w:rPr>
                <w:rFonts w:ascii="宋体"/>
                <w:vanish/>
              </w:rPr>
            </w:pPr>
          </w:p>
        </w:tc>
        <w:tc>
          <w:tcPr>
            <w:tcW w:w="0" w:type="auto"/>
            <w:gridSpan w:val="3"/>
            <w:shd w:val="clear" w:color="auto" w:fill="auto"/>
            <w:vAlign w:val="bottom"/>
          </w:tcPr>
          <w:p w14:paraId="392BE8F7" w14:textId="77777777" w:rsidR="00980E5F" w:rsidRDefault="00980E5F">
            <w:pPr>
              <w:rPr>
                <w:rFonts w:ascii="宋体"/>
                <w:vanish/>
              </w:rPr>
            </w:pPr>
          </w:p>
        </w:tc>
        <w:tc>
          <w:tcPr>
            <w:tcW w:w="0" w:type="auto"/>
            <w:gridSpan w:val="3"/>
            <w:shd w:val="clear" w:color="auto" w:fill="auto"/>
            <w:vAlign w:val="bottom"/>
          </w:tcPr>
          <w:p w14:paraId="392BE8F8" w14:textId="77777777" w:rsidR="00980E5F" w:rsidRDefault="00980E5F">
            <w:pPr>
              <w:rPr>
                <w:rFonts w:ascii="宋体"/>
                <w:vanish/>
              </w:rPr>
            </w:pPr>
          </w:p>
        </w:tc>
        <w:tc>
          <w:tcPr>
            <w:tcW w:w="0" w:type="auto"/>
            <w:gridSpan w:val="3"/>
            <w:shd w:val="clear" w:color="auto" w:fill="auto"/>
            <w:vAlign w:val="bottom"/>
          </w:tcPr>
          <w:p w14:paraId="392BE8F9" w14:textId="77777777" w:rsidR="00980E5F" w:rsidRDefault="00980E5F">
            <w:pPr>
              <w:rPr>
                <w:rFonts w:ascii="宋体"/>
                <w:vanish/>
              </w:rPr>
            </w:pPr>
          </w:p>
        </w:tc>
        <w:tc>
          <w:tcPr>
            <w:tcW w:w="0" w:type="auto"/>
            <w:gridSpan w:val="3"/>
            <w:shd w:val="clear" w:color="auto" w:fill="auto"/>
            <w:vAlign w:val="bottom"/>
          </w:tcPr>
          <w:p w14:paraId="392BE8FA" w14:textId="77777777" w:rsidR="00980E5F" w:rsidRDefault="00980E5F">
            <w:pPr>
              <w:rPr>
                <w:rFonts w:ascii="宋体"/>
                <w:vanish/>
              </w:rPr>
            </w:pPr>
          </w:p>
        </w:tc>
        <w:tc>
          <w:tcPr>
            <w:tcW w:w="0" w:type="auto"/>
            <w:gridSpan w:val="3"/>
            <w:shd w:val="clear" w:color="auto" w:fill="auto"/>
            <w:vAlign w:val="bottom"/>
          </w:tcPr>
          <w:p w14:paraId="392BE8FB" w14:textId="77777777" w:rsidR="00980E5F" w:rsidRDefault="00980E5F">
            <w:pPr>
              <w:rPr>
                <w:rFonts w:ascii="宋体"/>
                <w:vanish/>
              </w:rPr>
            </w:pPr>
          </w:p>
        </w:tc>
        <w:tc>
          <w:tcPr>
            <w:tcW w:w="0" w:type="auto"/>
            <w:gridSpan w:val="3"/>
            <w:shd w:val="clear" w:color="auto" w:fill="auto"/>
            <w:vAlign w:val="bottom"/>
          </w:tcPr>
          <w:p w14:paraId="392BE8FC" w14:textId="77777777" w:rsidR="00980E5F" w:rsidRDefault="00980E5F">
            <w:pPr>
              <w:rPr>
                <w:rFonts w:ascii="宋体"/>
                <w:vanish/>
              </w:rPr>
            </w:pPr>
          </w:p>
        </w:tc>
        <w:tc>
          <w:tcPr>
            <w:tcW w:w="0" w:type="auto"/>
            <w:gridSpan w:val="3"/>
            <w:shd w:val="clear" w:color="auto" w:fill="auto"/>
            <w:vAlign w:val="bottom"/>
          </w:tcPr>
          <w:p w14:paraId="392BE8FD" w14:textId="77777777" w:rsidR="00980E5F" w:rsidRDefault="00980E5F">
            <w:pPr>
              <w:rPr>
                <w:rFonts w:ascii="宋体"/>
                <w:vanish/>
              </w:rPr>
            </w:pPr>
          </w:p>
        </w:tc>
        <w:tc>
          <w:tcPr>
            <w:tcW w:w="0" w:type="auto"/>
            <w:gridSpan w:val="3"/>
            <w:shd w:val="clear" w:color="auto" w:fill="auto"/>
            <w:vAlign w:val="bottom"/>
          </w:tcPr>
          <w:p w14:paraId="392BE8FE" w14:textId="77777777" w:rsidR="00980E5F" w:rsidRDefault="00980E5F">
            <w:pPr>
              <w:rPr>
                <w:rFonts w:ascii="宋体"/>
                <w:vanish/>
              </w:rPr>
            </w:pPr>
          </w:p>
        </w:tc>
        <w:tc>
          <w:tcPr>
            <w:tcW w:w="0" w:type="auto"/>
            <w:gridSpan w:val="3"/>
            <w:shd w:val="clear" w:color="auto" w:fill="auto"/>
            <w:vAlign w:val="bottom"/>
          </w:tcPr>
          <w:p w14:paraId="392BE8FF" w14:textId="77777777" w:rsidR="00980E5F" w:rsidRDefault="00980E5F">
            <w:pPr>
              <w:rPr>
                <w:rFonts w:ascii="宋体"/>
                <w:vanish/>
              </w:rPr>
            </w:pPr>
          </w:p>
        </w:tc>
        <w:tc>
          <w:tcPr>
            <w:tcW w:w="0" w:type="auto"/>
            <w:gridSpan w:val="3"/>
            <w:shd w:val="clear" w:color="auto" w:fill="auto"/>
            <w:vAlign w:val="bottom"/>
          </w:tcPr>
          <w:p w14:paraId="392BE900" w14:textId="77777777" w:rsidR="00980E5F" w:rsidRDefault="00980E5F">
            <w:pPr>
              <w:rPr>
                <w:rFonts w:ascii="宋体"/>
                <w:vanish/>
              </w:rPr>
            </w:pPr>
          </w:p>
        </w:tc>
      </w:tr>
      <w:tr w:rsidR="00980E5F" w14:paraId="392BE90D" w14:textId="77777777">
        <w:trPr>
          <w:hidden/>
        </w:trPr>
        <w:tc>
          <w:tcPr>
            <w:tcW w:w="0" w:type="auto"/>
            <w:gridSpan w:val="3"/>
            <w:shd w:val="clear" w:color="auto" w:fill="auto"/>
            <w:vAlign w:val="bottom"/>
          </w:tcPr>
          <w:p w14:paraId="392BE902" w14:textId="77777777" w:rsidR="00980E5F" w:rsidRDefault="00980E5F">
            <w:pPr>
              <w:rPr>
                <w:rFonts w:ascii="宋体"/>
                <w:vanish/>
              </w:rPr>
            </w:pPr>
          </w:p>
        </w:tc>
        <w:tc>
          <w:tcPr>
            <w:tcW w:w="0" w:type="auto"/>
            <w:gridSpan w:val="3"/>
            <w:shd w:val="clear" w:color="auto" w:fill="auto"/>
            <w:vAlign w:val="bottom"/>
          </w:tcPr>
          <w:p w14:paraId="392BE903" w14:textId="77777777" w:rsidR="00980E5F" w:rsidRDefault="00980E5F">
            <w:pPr>
              <w:rPr>
                <w:rFonts w:ascii="宋体"/>
                <w:vanish/>
              </w:rPr>
            </w:pPr>
          </w:p>
        </w:tc>
        <w:tc>
          <w:tcPr>
            <w:tcW w:w="0" w:type="auto"/>
            <w:gridSpan w:val="3"/>
            <w:shd w:val="clear" w:color="auto" w:fill="auto"/>
            <w:vAlign w:val="bottom"/>
          </w:tcPr>
          <w:p w14:paraId="392BE904" w14:textId="77777777" w:rsidR="00980E5F" w:rsidRDefault="00980E5F">
            <w:pPr>
              <w:rPr>
                <w:rFonts w:ascii="宋体"/>
                <w:vanish/>
              </w:rPr>
            </w:pPr>
          </w:p>
        </w:tc>
        <w:tc>
          <w:tcPr>
            <w:tcW w:w="0" w:type="auto"/>
            <w:gridSpan w:val="3"/>
            <w:shd w:val="clear" w:color="auto" w:fill="auto"/>
            <w:vAlign w:val="bottom"/>
          </w:tcPr>
          <w:p w14:paraId="392BE905" w14:textId="77777777" w:rsidR="00980E5F" w:rsidRDefault="00980E5F">
            <w:pPr>
              <w:rPr>
                <w:rFonts w:ascii="宋体"/>
                <w:vanish/>
              </w:rPr>
            </w:pPr>
          </w:p>
        </w:tc>
        <w:tc>
          <w:tcPr>
            <w:tcW w:w="0" w:type="auto"/>
            <w:gridSpan w:val="3"/>
            <w:shd w:val="clear" w:color="auto" w:fill="auto"/>
            <w:vAlign w:val="bottom"/>
          </w:tcPr>
          <w:p w14:paraId="392BE906" w14:textId="77777777" w:rsidR="00980E5F" w:rsidRDefault="00980E5F">
            <w:pPr>
              <w:rPr>
                <w:rFonts w:ascii="宋体"/>
                <w:vanish/>
              </w:rPr>
            </w:pPr>
          </w:p>
        </w:tc>
        <w:tc>
          <w:tcPr>
            <w:tcW w:w="0" w:type="auto"/>
            <w:gridSpan w:val="3"/>
            <w:shd w:val="clear" w:color="auto" w:fill="auto"/>
            <w:vAlign w:val="bottom"/>
          </w:tcPr>
          <w:p w14:paraId="392BE907" w14:textId="77777777" w:rsidR="00980E5F" w:rsidRDefault="00980E5F">
            <w:pPr>
              <w:rPr>
                <w:rFonts w:ascii="宋体"/>
                <w:vanish/>
              </w:rPr>
            </w:pPr>
          </w:p>
        </w:tc>
        <w:tc>
          <w:tcPr>
            <w:tcW w:w="0" w:type="auto"/>
            <w:gridSpan w:val="3"/>
            <w:shd w:val="clear" w:color="auto" w:fill="auto"/>
            <w:vAlign w:val="bottom"/>
          </w:tcPr>
          <w:p w14:paraId="392BE908" w14:textId="77777777" w:rsidR="00980E5F" w:rsidRDefault="00980E5F">
            <w:pPr>
              <w:rPr>
                <w:rFonts w:ascii="宋体"/>
                <w:vanish/>
              </w:rPr>
            </w:pPr>
          </w:p>
        </w:tc>
        <w:tc>
          <w:tcPr>
            <w:tcW w:w="0" w:type="auto"/>
            <w:gridSpan w:val="3"/>
            <w:shd w:val="clear" w:color="auto" w:fill="auto"/>
            <w:vAlign w:val="bottom"/>
          </w:tcPr>
          <w:p w14:paraId="392BE909" w14:textId="77777777" w:rsidR="00980E5F" w:rsidRDefault="00980E5F">
            <w:pPr>
              <w:rPr>
                <w:rFonts w:ascii="宋体"/>
                <w:vanish/>
              </w:rPr>
            </w:pPr>
          </w:p>
        </w:tc>
        <w:tc>
          <w:tcPr>
            <w:tcW w:w="0" w:type="auto"/>
            <w:gridSpan w:val="3"/>
            <w:shd w:val="clear" w:color="auto" w:fill="auto"/>
            <w:vAlign w:val="bottom"/>
          </w:tcPr>
          <w:p w14:paraId="392BE90A" w14:textId="77777777" w:rsidR="00980E5F" w:rsidRDefault="00980E5F">
            <w:pPr>
              <w:rPr>
                <w:rFonts w:ascii="宋体"/>
                <w:vanish/>
              </w:rPr>
            </w:pPr>
          </w:p>
        </w:tc>
        <w:tc>
          <w:tcPr>
            <w:tcW w:w="0" w:type="auto"/>
            <w:gridSpan w:val="3"/>
            <w:shd w:val="clear" w:color="auto" w:fill="auto"/>
            <w:vAlign w:val="bottom"/>
          </w:tcPr>
          <w:p w14:paraId="392BE90B" w14:textId="77777777" w:rsidR="00980E5F" w:rsidRDefault="00980E5F">
            <w:pPr>
              <w:rPr>
                <w:rFonts w:ascii="宋体"/>
                <w:vanish/>
              </w:rPr>
            </w:pPr>
          </w:p>
        </w:tc>
        <w:tc>
          <w:tcPr>
            <w:tcW w:w="0" w:type="auto"/>
            <w:gridSpan w:val="3"/>
            <w:shd w:val="clear" w:color="auto" w:fill="auto"/>
            <w:vAlign w:val="bottom"/>
          </w:tcPr>
          <w:p w14:paraId="392BE90C" w14:textId="77777777" w:rsidR="00980E5F" w:rsidRDefault="00980E5F">
            <w:pPr>
              <w:rPr>
                <w:rFonts w:ascii="宋体"/>
                <w:vanish/>
              </w:rPr>
            </w:pPr>
          </w:p>
        </w:tc>
      </w:tr>
      <w:tr w:rsidR="00980E5F" w14:paraId="392BE919" w14:textId="77777777">
        <w:trPr>
          <w:hidden/>
        </w:trPr>
        <w:tc>
          <w:tcPr>
            <w:tcW w:w="0" w:type="auto"/>
            <w:gridSpan w:val="3"/>
            <w:shd w:val="clear" w:color="auto" w:fill="auto"/>
            <w:vAlign w:val="bottom"/>
          </w:tcPr>
          <w:p w14:paraId="392BE90E" w14:textId="77777777" w:rsidR="00980E5F" w:rsidRDefault="00980E5F">
            <w:pPr>
              <w:rPr>
                <w:rFonts w:ascii="宋体"/>
                <w:vanish/>
              </w:rPr>
            </w:pPr>
          </w:p>
        </w:tc>
        <w:tc>
          <w:tcPr>
            <w:tcW w:w="0" w:type="auto"/>
            <w:gridSpan w:val="3"/>
            <w:shd w:val="clear" w:color="auto" w:fill="auto"/>
            <w:vAlign w:val="bottom"/>
          </w:tcPr>
          <w:p w14:paraId="392BE90F" w14:textId="77777777" w:rsidR="00980E5F" w:rsidRDefault="00980E5F">
            <w:pPr>
              <w:rPr>
                <w:rFonts w:ascii="宋体"/>
                <w:vanish/>
              </w:rPr>
            </w:pPr>
          </w:p>
        </w:tc>
        <w:tc>
          <w:tcPr>
            <w:tcW w:w="0" w:type="auto"/>
            <w:gridSpan w:val="3"/>
            <w:shd w:val="clear" w:color="auto" w:fill="auto"/>
            <w:vAlign w:val="bottom"/>
          </w:tcPr>
          <w:p w14:paraId="392BE910" w14:textId="77777777" w:rsidR="00980E5F" w:rsidRDefault="00980E5F">
            <w:pPr>
              <w:rPr>
                <w:rFonts w:ascii="宋体"/>
                <w:vanish/>
              </w:rPr>
            </w:pPr>
          </w:p>
        </w:tc>
        <w:tc>
          <w:tcPr>
            <w:tcW w:w="0" w:type="auto"/>
            <w:gridSpan w:val="3"/>
            <w:shd w:val="clear" w:color="auto" w:fill="auto"/>
            <w:vAlign w:val="bottom"/>
          </w:tcPr>
          <w:p w14:paraId="392BE911" w14:textId="77777777" w:rsidR="00980E5F" w:rsidRDefault="00980E5F">
            <w:pPr>
              <w:rPr>
                <w:rFonts w:ascii="宋体"/>
                <w:vanish/>
              </w:rPr>
            </w:pPr>
          </w:p>
        </w:tc>
        <w:tc>
          <w:tcPr>
            <w:tcW w:w="0" w:type="auto"/>
            <w:gridSpan w:val="3"/>
            <w:shd w:val="clear" w:color="auto" w:fill="auto"/>
            <w:vAlign w:val="bottom"/>
          </w:tcPr>
          <w:p w14:paraId="392BE912" w14:textId="77777777" w:rsidR="00980E5F" w:rsidRDefault="00980E5F">
            <w:pPr>
              <w:rPr>
                <w:rFonts w:ascii="宋体"/>
                <w:vanish/>
              </w:rPr>
            </w:pPr>
          </w:p>
        </w:tc>
        <w:tc>
          <w:tcPr>
            <w:tcW w:w="0" w:type="auto"/>
            <w:gridSpan w:val="3"/>
            <w:shd w:val="clear" w:color="auto" w:fill="auto"/>
            <w:vAlign w:val="bottom"/>
          </w:tcPr>
          <w:p w14:paraId="392BE913" w14:textId="77777777" w:rsidR="00980E5F" w:rsidRDefault="00980E5F">
            <w:pPr>
              <w:rPr>
                <w:rFonts w:ascii="宋体"/>
                <w:vanish/>
              </w:rPr>
            </w:pPr>
          </w:p>
        </w:tc>
        <w:tc>
          <w:tcPr>
            <w:tcW w:w="0" w:type="auto"/>
            <w:gridSpan w:val="3"/>
            <w:shd w:val="clear" w:color="auto" w:fill="auto"/>
            <w:vAlign w:val="bottom"/>
          </w:tcPr>
          <w:p w14:paraId="392BE914" w14:textId="77777777" w:rsidR="00980E5F" w:rsidRDefault="00980E5F">
            <w:pPr>
              <w:rPr>
                <w:rFonts w:ascii="宋体"/>
                <w:vanish/>
              </w:rPr>
            </w:pPr>
          </w:p>
        </w:tc>
        <w:tc>
          <w:tcPr>
            <w:tcW w:w="0" w:type="auto"/>
            <w:gridSpan w:val="3"/>
            <w:shd w:val="clear" w:color="auto" w:fill="auto"/>
            <w:vAlign w:val="bottom"/>
          </w:tcPr>
          <w:p w14:paraId="392BE915" w14:textId="77777777" w:rsidR="00980E5F" w:rsidRDefault="00980E5F">
            <w:pPr>
              <w:rPr>
                <w:rFonts w:ascii="宋体"/>
                <w:vanish/>
              </w:rPr>
            </w:pPr>
          </w:p>
        </w:tc>
        <w:tc>
          <w:tcPr>
            <w:tcW w:w="0" w:type="auto"/>
            <w:gridSpan w:val="3"/>
            <w:shd w:val="clear" w:color="auto" w:fill="auto"/>
            <w:vAlign w:val="bottom"/>
          </w:tcPr>
          <w:p w14:paraId="392BE916" w14:textId="77777777" w:rsidR="00980E5F" w:rsidRDefault="00980E5F">
            <w:pPr>
              <w:rPr>
                <w:rFonts w:ascii="宋体"/>
                <w:vanish/>
              </w:rPr>
            </w:pPr>
          </w:p>
        </w:tc>
        <w:tc>
          <w:tcPr>
            <w:tcW w:w="0" w:type="auto"/>
            <w:gridSpan w:val="3"/>
            <w:shd w:val="clear" w:color="auto" w:fill="auto"/>
            <w:vAlign w:val="bottom"/>
          </w:tcPr>
          <w:p w14:paraId="392BE917" w14:textId="77777777" w:rsidR="00980E5F" w:rsidRDefault="00980E5F">
            <w:pPr>
              <w:rPr>
                <w:rFonts w:ascii="宋体"/>
                <w:vanish/>
              </w:rPr>
            </w:pPr>
          </w:p>
        </w:tc>
        <w:tc>
          <w:tcPr>
            <w:tcW w:w="0" w:type="auto"/>
            <w:gridSpan w:val="3"/>
            <w:shd w:val="clear" w:color="auto" w:fill="auto"/>
            <w:vAlign w:val="bottom"/>
          </w:tcPr>
          <w:p w14:paraId="392BE918" w14:textId="77777777" w:rsidR="00980E5F" w:rsidRDefault="00980E5F">
            <w:pPr>
              <w:rPr>
                <w:rFonts w:ascii="宋体"/>
                <w:vanish/>
              </w:rPr>
            </w:pPr>
          </w:p>
        </w:tc>
      </w:tr>
      <w:tr w:rsidR="00980E5F" w14:paraId="392BE925" w14:textId="77777777">
        <w:trPr>
          <w:hidden/>
        </w:trPr>
        <w:tc>
          <w:tcPr>
            <w:tcW w:w="0" w:type="auto"/>
            <w:gridSpan w:val="3"/>
            <w:shd w:val="clear" w:color="auto" w:fill="auto"/>
            <w:vAlign w:val="bottom"/>
          </w:tcPr>
          <w:p w14:paraId="392BE91A" w14:textId="77777777" w:rsidR="00980E5F" w:rsidRDefault="00980E5F">
            <w:pPr>
              <w:rPr>
                <w:rFonts w:ascii="宋体"/>
                <w:vanish/>
              </w:rPr>
            </w:pPr>
          </w:p>
        </w:tc>
        <w:tc>
          <w:tcPr>
            <w:tcW w:w="0" w:type="auto"/>
            <w:gridSpan w:val="3"/>
            <w:shd w:val="clear" w:color="auto" w:fill="auto"/>
            <w:vAlign w:val="bottom"/>
          </w:tcPr>
          <w:p w14:paraId="392BE91B" w14:textId="77777777" w:rsidR="00980E5F" w:rsidRDefault="00980E5F">
            <w:pPr>
              <w:rPr>
                <w:rFonts w:ascii="宋体"/>
                <w:vanish/>
              </w:rPr>
            </w:pPr>
          </w:p>
        </w:tc>
        <w:tc>
          <w:tcPr>
            <w:tcW w:w="0" w:type="auto"/>
            <w:gridSpan w:val="3"/>
            <w:shd w:val="clear" w:color="auto" w:fill="auto"/>
            <w:vAlign w:val="bottom"/>
          </w:tcPr>
          <w:p w14:paraId="392BE91C" w14:textId="77777777" w:rsidR="00980E5F" w:rsidRDefault="00980E5F">
            <w:pPr>
              <w:rPr>
                <w:rFonts w:ascii="宋体"/>
                <w:vanish/>
              </w:rPr>
            </w:pPr>
          </w:p>
        </w:tc>
        <w:tc>
          <w:tcPr>
            <w:tcW w:w="0" w:type="auto"/>
            <w:gridSpan w:val="3"/>
            <w:shd w:val="clear" w:color="auto" w:fill="auto"/>
            <w:vAlign w:val="bottom"/>
          </w:tcPr>
          <w:p w14:paraId="392BE91D" w14:textId="77777777" w:rsidR="00980E5F" w:rsidRDefault="00980E5F">
            <w:pPr>
              <w:rPr>
                <w:rFonts w:ascii="宋体"/>
                <w:vanish/>
              </w:rPr>
            </w:pPr>
          </w:p>
        </w:tc>
        <w:tc>
          <w:tcPr>
            <w:tcW w:w="0" w:type="auto"/>
            <w:gridSpan w:val="3"/>
            <w:shd w:val="clear" w:color="auto" w:fill="auto"/>
            <w:vAlign w:val="bottom"/>
          </w:tcPr>
          <w:p w14:paraId="392BE91E" w14:textId="77777777" w:rsidR="00980E5F" w:rsidRDefault="00980E5F">
            <w:pPr>
              <w:rPr>
                <w:rFonts w:ascii="宋体"/>
                <w:vanish/>
              </w:rPr>
            </w:pPr>
          </w:p>
        </w:tc>
        <w:tc>
          <w:tcPr>
            <w:tcW w:w="0" w:type="auto"/>
            <w:gridSpan w:val="3"/>
            <w:shd w:val="clear" w:color="auto" w:fill="auto"/>
            <w:vAlign w:val="bottom"/>
          </w:tcPr>
          <w:p w14:paraId="392BE91F" w14:textId="77777777" w:rsidR="00980E5F" w:rsidRDefault="00980E5F">
            <w:pPr>
              <w:rPr>
                <w:rFonts w:ascii="宋体"/>
                <w:vanish/>
              </w:rPr>
            </w:pPr>
          </w:p>
        </w:tc>
        <w:tc>
          <w:tcPr>
            <w:tcW w:w="0" w:type="auto"/>
            <w:gridSpan w:val="3"/>
            <w:shd w:val="clear" w:color="auto" w:fill="auto"/>
            <w:vAlign w:val="bottom"/>
          </w:tcPr>
          <w:p w14:paraId="392BE920" w14:textId="77777777" w:rsidR="00980E5F" w:rsidRDefault="00980E5F">
            <w:pPr>
              <w:rPr>
                <w:rFonts w:ascii="宋体"/>
                <w:vanish/>
              </w:rPr>
            </w:pPr>
          </w:p>
        </w:tc>
        <w:tc>
          <w:tcPr>
            <w:tcW w:w="0" w:type="auto"/>
            <w:gridSpan w:val="3"/>
            <w:shd w:val="clear" w:color="auto" w:fill="auto"/>
            <w:vAlign w:val="bottom"/>
          </w:tcPr>
          <w:p w14:paraId="392BE921" w14:textId="77777777" w:rsidR="00980E5F" w:rsidRDefault="00980E5F">
            <w:pPr>
              <w:rPr>
                <w:rFonts w:ascii="宋体"/>
                <w:vanish/>
              </w:rPr>
            </w:pPr>
          </w:p>
        </w:tc>
        <w:tc>
          <w:tcPr>
            <w:tcW w:w="0" w:type="auto"/>
            <w:gridSpan w:val="3"/>
            <w:shd w:val="clear" w:color="auto" w:fill="auto"/>
            <w:vAlign w:val="bottom"/>
          </w:tcPr>
          <w:p w14:paraId="392BE922" w14:textId="77777777" w:rsidR="00980E5F" w:rsidRDefault="00980E5F">
            <w:pPr>
              <w:rPr>
                <w:rFonts w:ascii="宋体"/>
                <w:vanish/>
              </w:rPr>
            </w:pPr>
          </w:p>
        </w:tc>
        <w:tc>
          <w:tcPr>
            <w:tcW w:w="0" w:type="auto"/>
            <w:gridSpan w:val="3"/>
            <w:shd w:val="clear" w:color="auto" w:fill="auto"/>
            <w:vAlign w:val="bottom"/>
          </w:tcPr>
          <w:p w14:paraId="392BE923" w14:textId="77777777" w:rsidR="00980E5F" w:rsidRDefault="00980E5F">
            <w:pPr>
              <w:rPr>
                <w:rFonts w:ascii="宋体"/>
                <w:vanish/>
              </w:rPr>
            </w:pPr>
          </w:p>
        </w:tc>
        <w:tc>
          <w:tcPr>
            <w:tcW w:w="0" w:type="auto"/>
            <w:gridSpan w:val="3"/>
            <w:shd w:val="clear" w:color="auto" w:fill="auto"/>
            <w:vAlign w:val="bottom"/>
          </w:tcPr>
          <w:p w14:paraId="392BE924" w14:textId="77777777" w:rsidR="00980E5F" w:rsidRDefault="00980E5F">
            <w:pPr>
              <w:rPr>
                <w:rFonts w:ascii="宋体"/>
                <w:vanish/>
              </w:rPr>
            </w:pPr>
          </w:p>
        </w:tc>
      </w:tr>
      <w:tr w:rsidR="00980E5F" w14:paraId="392BE931" w14:textId="77777777">
        <w:trPr>
          <w:hidden/>
        </w:trPr>
        <w:tc>
          <w:tcPr>
            <w:tcW w:w="0" w:type="auto"/>
            <w:gridSpan w:val="3"/>
            <w:shd w:val="clear" w:color="auto" w:fill="auto"/>
            <w:vAlign w:val="bottom"/>
          </w:tcPr>
          <w:p w14:paraId="392BE926" w14:textId="77777777" w:rsidR="00980E5F" w:rsidRDefault="00980E5F">
            <w:pPr>
              <w:rPr>
                <w:rFonts w:ascii="宋体"/>
                <w:vanish/>
              </w:rPr>
            </w:pPr>
          </w:p>
        </w:tc>
        <w:tc>
          <w:tcPr>
            <w:tcW w:w="0" w:type="auto"/>
            <w:gridSpan w:val="3"/>
            <w:shd w:val="clear" w:color="auto" w:fill="auto"/>
            <w:vAlign w:val="bottom"/>
          </w:tcPr>
          <w:p w14:paraId="392BE927" w14:textId="77777777" w:rsidR="00980E5F" w:rsidRDefault="00980E5F">
            <w:pPr>
              <w:rPr>
                <w:rFonts w:ascii="宋体"/>
                <w:vanish/>
              </w:rPr>
            </w:pPr>
          </w:p>
        </w:tc>
        <w:tc>
          <w:tcPr>
            <w:tcW w:w="0" w:type="auto"/>
            <w:gridSpan w:val="3"/>
            <w:shd w:val="clear" w:color="auto" w:fill="auto"/>
            <w:vAlign w:val="bottom"/>
          </w:tcPr>
          <w:p w14:paraId="392BE928" w14:textId="77777777" w:rsidR="00980E5F" w:rsidRDefault="00980E5F">
            <w:pPr>
              <w:rPr>
                <w:rFonts w:ascii="宋体"/>
                <w:vanish/>
              </w:rPr>
            </w:pPr>
          </w:p>
        </w:tc>
        <w:tc>
          <w:tcPr>
            <w:tcW w:w="0" w:type="auto"/>
            <w:gridSpan w:val="3"/>
            <w:shd w:val="clear" w:color="auto" w:fill="auto"/>
            <w:vAlign w:val="bottom"/>
          </w:tcPr>
          <w:p w14:paraId="392BE929" w14:textId="77777777" w:rsidR="00980E5F" w:rsidRDefault="00980E5F">
            <w:pPr>
              <w:rPr>
                <w:rFonts w:ascii="宋体"/>
                <w:vanish/>
              </w:rPr>
            </w:pPr>
          </w:p>
        </w:tc>
        <w:tc>
          <w:tcPr>
            <w:tcW w:w="0" w:type="auto"/>
            <w:gridSpan w:val="3"/>
            <w:shd w:val="clear" w:color="auto" w:fill="auto"/>
            <w:vAlign w:val="bottom"/>
          </w:tcPr>
          <w:p w14:paraId="392BE92A" w14:textId="77777777" w:rsidR="00980E5F" w:rsidRDefault="00980E5F">
            <w:pPr>
              <w:rPr>
                <w:rFonts w:ascii="宋体"/>
                <w:vanish/>
              </w:rPr>
            </w:pPr>
          </w:p>
        </w:tc>
        <w:tc>
          <w:tcPr>
            <w:tcW w:w="0" w:type="auto"/>
            <w:gridSpan w:val="3"/>
            <w:shd w:val="clear" w:color="auto" w:fill="auto"/>
            <w:vAlign w:val="bottom"/>
          </w:tcPr>
          <w:p w14:paraId="392BE92B" w14:textId="77777777" w:rsidR="00980E5F" w:rsidRDefault="00980E5F">
            <w:pPr>
              <w:rPr>
                <w:rFonts w:ascii="宋体"/>
                <w:vanish/>
              </w:rPr>
            </w:pPr>
          </w:p>
        </w:tc>
        <w:tc>
          <w:tcPr>
            <w:tcW w:w="0" w:type="auto"/>
            <w:gridSpan w:val="3"/>
            <w:shd w:val="clear" w:color="auto" w:fill="auto"/>
            <w:vAlign w:val="bottom"/>
          </w:tcPr>
          <w:p w14:paraId="392BE92C" w14:textId="77777777" w:rsidR="00980E5F" w:rsidRDefault="00980E5F">
            <w:pPr>
              <w:rPr>
                <w:rFonts w:ascii="宋体"/>
                <w:vanish/>
              </w:rPr>
            </w:pPr>
          </w:p>
        </w:tc>
        <w:tc>
          <w:tcPr>
            <w:tcW w:w="0" w:type="auto"/>
            <w:gridSpan w:val="3"/>
            <w:shd w:val="clear" w:color="auto" w:fill="auto"/>
            <w:vAlign w:val="bottom"/>
          </w:tcPr>
          <w:p w14:paraId="392BE92D" w14:textId="77777777" w:rsidR="00980E5F" w:rsidRDefault="00980E5F">
            <w:pPr>
              <w:rPr>
                <w:rFonts w:ascii="宋体"/>
                <w:vanish/>
              </w:rPr>
            </w:pPr>
          </w:p>
        </w:tc>
        <w:tc>
          <w:tcPr>
            <w:tcW w:w="0" w:type="auto"/>
            <w:gridSpan w:val="3"/>
            <w:shd w:val="clear" w:color="auto" w:fill="auto"/>
            <w:vAlign w:val="bottom"/>
          </w:tcPr>
          <w:p w14:paraId="392BE92E" w14:textId="77777777" w:rsidR="00980E5F" w:rsidRDefault="00980E5F">
            <w:pPr>
              <w:rPr>
                <w:rFonts w:ascii="宋体"/>
                <w:vanish/>
              </w:rPr>
            </w:pPr>
          </w:p>
        </w:tc>
        <w:tc>
          <w:tcPr>
            <w:tcW w:w="0" w:type="auto"/>
            <w:gridSpan w:val="3"/>
            <w:shd w:val="clear" w:color="auto" w:fill="auto"/>
            <w:vAlign w:val="bottom"/>
          </w:tcPr>
          <w:p w14:paraId="392BE92F" w14:textId="77777777" w:rsidR="00980E5F" w:rsidRDefault="00980E5F">
            <w:pPr>
              <w:rPr>
                <w:rFonts w:ascii="宋体"/>
                <w:vanish/>
              </w:rPr>
            </w:pPr>
          </w:p>
        </w:tc>
        <w:tc>
          <w:tcPr>
            <w:tcW w:w="0" w:type="auto"/>
            <w:gridSpan w:val="3"/>
            <w:shd w:val="clear" w:color="auto" w:fill="auto"/>
            <w:vAlign w:val="bottom"/>
          </w:tcPr>
          <w:p w14:paraId="392BE930" w14:textId="77777777" w:rsidR="00980E5F" w:rsidRDefault="00980E5F">
            <w:pPr>
              <w:rPr>
                <w:rFonts w:ascii="宋体"/>
                <w:vanish/>
              </w:rPr>
            </w:pPr>
          </w:p>
        </w:tc>
      </w:tr>
      <w:tr w:rsidR="00980E5F" w14:paraId="392BE93D" w14:textId="77777777">
        <w:trPr>
          <w:hidden/>
        </w:trPr>
        <w:tc>
          <w:tcPr>
            <w:tcW w:w="0" w:type="auto"/>
            <w:gridSpan w:val="3"/>
            <w:shd w:val="clear" w:color="auto" w:fill="auto"/>
            <w:vAlign w:val="bottom"/>
          </w:tcPr>
          <w:p w14:paraId="392BE932" w14:textId="77777777" w:rsidR="00980E5F" w:rsidRDefault="00980E5F">
            <w:pPr>
              <w:rPr>
                <w:rFonts w:ascii="宋体"/>
                <w:vanish/>
              </w:rPr>
            </w:pPr>
          </w:p>
        </w:tc>
        <w:tc>
          <w:tcPr>
            <w:tcW w:w="0" w:type="auto"/>
            <w:gridSpan w:val="3"/>
            <w:shd w:val="clear" w:color="auto" w:fill="auto"/>
            <w:vAlign w:val="bottom"/>
          </w:tcPr>
          <w:p w14:paraId="392BE933" w14:textId="77777777" w:rsidR="00980E5F" w:rsidRDefault="00980E5F">
            <w:pPr>
              <w:rPr>
                <w:rFonts w:ascii="宋体"/>
                <w:vanish/>
              </w:rPr>
            </w:pPr>
          </w:p>
        </w:tc>
        <w:tc>
          <w:tcPr>
            <w:tcW w:w="0" w:type="auto"/>
            <w:gridSpan w:val="3"/>
            <w:shd w:val="clear" w:color="auto" w:fill="auto"/>
            <w:vAlign w:val="bottom"/>
          </w:tcPr>
          <w:p w14:paraId="392BE934" w14:textId="77777777" w:rsidR="00980E5F" w:rsidRDefault="00980E5F">
            <w:pPr>
              <w:rPr>
                <w:rFonts w:ascii="宋体"/>
                <w:vanish/>
              </w:rPr>
            </w:pPr>
          </w:p>
        </w:tc>
        <w:tc>
          <w:tcPr>
            <w:tcW w:w="0" w:type="auto"/>
            <w:gridSpan w:val="3"/>
            <w:shd w:val="clear" w:color="auto" w:fill="auto"/>
            <w:vAlign w:val="bottom"/>
          </w:tcPr>
          <w:p w14:paraId="392BE935" w14:textId="77777777" w:rsidR="00980E5F" w:rsidRDefault="00980E5F">
            <w:pPr>
              <w:rPr>
                <w:rFonts w:ascii="宋体"/>
                <w:vanish/>
              </w:rPr>
            </w:pPr>
          </w:p>
        </w:tc>
        <w:tc>
          <w:tcPr>
            <w:tcW w:w="0" w:type="auto"/>
            <w:gridSpan w:val="3"/>
            <w:shd w:val="clear" w:color="auto" w:fill="auto"/>
            <w:vAlign w:val="bottom"/>
          </w:tcPr>
          <w:p w14:paraId="392BE936" w14:textId="77777777" w:rsidR="00980E5F" w:rsidRDefault="00980E5F">
            <w:pPr>
              <w:rPr>
                <w:rFonts w:ascii="宋体"/>
                <w:vanish/>
              </w:rPr>
            </w:pPr>
          </w:p>
        </w:tc>
        <w:tc>
          <w:tcPr>
            <w:tcW w:w="0" w:type="auto"/>
            <w:gridSpan w:val="3"/>
            <w:shd w:val="clear" w:color="auto" w:fill="auto"/>
            <w:vAlign w:val="bottom"/>
          </w:tcPr>
          <w:p w14:paraId="392BE937" w14:textId="77777777" w:rsidR="00980E5F" w:rsidRDefault="00980E5F">
            <w:pPr>
              <w:rPr>
                <w:rFonts w:ascii="宋体"/>
                <w:vanish/>
              </w:rPr>
            </w:pPr>
          </w:p>
        </w:tc>
        <w:tc>
          <w:tcPr>
            <w:tcW w:w="0" w:type="auto"/>
            <w:gridSpan w:val="3"/>
            <w:shd w:val="clear" w:color="auto" w:fill="auto"/>
            <w:vAlign w:val="bottom"/>
          </w:tcPr>
          <w:p w14:paraId="392BE938" w14:textId="77777777" w:rsidR="00980E5F" w:rsidRDefault="00980E5F">
            <w:pPr>
              <w:rPr>
                <w:rFonts w:ascii="宋体"/>
                <w:vanish/>
              </w:rPr>
            </w:pPr>
          </w:p>
        </w:tc>
        <w:tc>
          <w:tcPr>
            <w:tcW w:w="0" w:type="auto"/>
            <w:gridSpan w:val="3"/>
            <w:shd w:val="clear" w:color="auto" w:fill="auto"/>
            <w:vAlign w:val="bottom"/>
          </w:tcPr>
          <w:p w14:paraId="392BE939" w14:textId="77777777" w:rsidR="00980E5F" w:rsidRDefault="00980E5F">
            <w:pPr>
              <w:rPr>
                <w:rFonts w:ascii="宋体"/>
                <w:vanish/>
              </w:rPr>
            </w:pPr>
          </w:p>
        </w:tc>
        <w:tc>
          <w:tcPr>
            <w:tcW w:w="0" w:type="auto"/>
            <w:gridSpan w:val="3"/>
            <w:shd w:val="clear" w:color="auto" w:fill="auto"/>
            <w:vAlign w:val="bottom"/>
          </w:tcPr>
          <w:p w14:paraId="392BE93A" w14:textId="77777777" w:rsidR="00980E5F" w:rsidRDefault="00980E5F">
            <w:pPr>
              <w:rPr>
                <w:rFonts w:ascii="宋体"/>
                <w:vanish/>
              </w:rPr>
            </w:pPr>
          </w:p>
        </w:tc>
        <w:tc>
          <w:tcPr>
            <w:tcW w:w="0" w:type="auto"/>
            <w:gridSpan w:val="3"/>
            <w:shd w:val="clear" w:color="auto" w:fill="auto"/>
            <w:vAlign w:val="bottom"/>
          </w:tcPr>
          <w:p w14:paraId="392BE93B" w14:textId="77777777" w:rsidR="00980E5F" w:rsidRDefault="00980E5F">
            <w:pPr>
              <w:rPr>
                <w:rFonts w:ascii="宋体"/>
                <w:vanish/>
              </w:rPr>
            </w:pPr>
          </w:p>
        </w:tc>
        <w:tc>
          <w:tcPr>
            <w:tcW w:w="0" w:type="auto"/>
            <w:gridSpan w:val="3"/>
            <w:shd w:val="clear" w:color="auto" w:fill="auto"/>
            <w:vAlign w:val="bottom"/>
          </w:tcPr>
          <w:p w14:paraId="392BE93C" w14:textId="77777777" w:rsidR="00980E5F" w:rsidRDefault="00980E5F">
            <w:pPr>
              <w:rPr>
                <w:rFonts w:ascii="宋体"/>
                <w:vanish/>
              </w:rPr>
            </w:pPr>
          </w:p>
        </w:tc>
      </w:tr>
      <w:tr w:rsidR="00980E5F" w14:paraId="392BE949" w14:textId="77777777">
        <w:trPr>
          <w:hidden/>
        </w:trPr>
        <w:tc>
          <w:tcPr>
            <w:tcW w:w="0" w:type="auto"/>
            <w:gridSpan w:val="3"/>
            <w:shd w:val="clear" w:color="auto" w:fill="auto"/>
            <w:vAlign w:val="bottom"/>
          </w:tcPr>
          <w:p w14:paraId="392BE93E" w14:textId="77777777" w:rsidR="00980E5F" w:rsidRDefault="00980E5F">
            <w:pPr>
              <w:rPr>
                <w:rFonts w:ascii="宋体"/>
                <w:vanish/>
              </w:rPr>
            </w:pPr>
          </w:p>
        </w:tc>
        <w:tc>
          <w:tcPr>
            <w:tcW w:w="0" w:type="auto"/>
            <w:gridSpan w:val="3"/>
            <w:shd w:val="clear" w:color="auto" w:fill="auto"/>
            <w:vAlign w:val="bottom"/>
          </w:tcPr>
          <w:p w14:paraId="392BE93F" w14:textId="77777777" w:rsidR="00980E5F" w:rsidRDefault="00980E5F">
            <w:pPr>
              <w:rPr>
                <w:rFonts w:ascii="宋体"/>
                <w:vanish/>
              </w:rPr>
            </w:pPr>
          </w:p>
        </w:tc>
        <w:tc>
          <w:tcPr>
            <w:tcW w:w="0" w:type="auto"/>
            <w:gridSpan w:val="3"/>
            <w:shd w:val="clear" w:color="auto" w:fill="auto"/>
            <w:vAlign w:val="bottom"/>
          </w:tcPr>
          <w:p w14:paraId="392BE940" w14:textId="77777777" w:rsidR="00980E5F" w:rsidRDefault="00980E5F">
            <w:pPr>
              <w:rPr>
                <w:rFonts w:ascii="宋体"/>
                <w:vanish/>
              </w:rPr>
            </w:pPr>
          </w:p>
        </w:tc>
        <w:tc>
          <w:tcPr>
            <w:tcW w:w="0" w:type="auto"/>
            <w:gridSpan w:val="3"/>
            <w:shd w:val="clear" w:color="auto" w:fill="auto"/>
            <w:vAlign w:val="bottom"/>
          </w:tcPr>
          <w:p w14:paraId="392BE941" w14:textId="77777777" w:rsidR="00980E5F" w:rsidRDefault="00980E5F">
            <w:pPr>
              <w:rPr>
                <w:rFonts w:ascii="宋体"/>
                <w:vanish/>
              </w:rPr>
            </w:pPr>
          </w:p>
        </w:tc>
        <w:tc>
          <w:tcPr>
            <w:tcW w:w="0" w:type="auto"/>
            <w:gridSpan w:val="3"/>
            <w:shd w:val="clear" w:color="auto" w:fill="auto"/>
            <w:vAlign w:val="bottom"/>
          </w:tcPr>
          <w:p w14:paraId="392BE942" w14:textId="77777777" w:rsidR="00980E5F" w:rsidRDefault="00980E5F">
            <w:pPr>
              <w:rPr>
                <w:rFonts w:ascii="宋体"/>
                <w:vanish/>
              </w:rPr>
            </w:pPr>
          </w:p>
        </w:tc>
        <w:tc>
          <w:tcPr>
            <w:tcW w:w="0" w:type="auto"/>
            <w:gridSpan w:val="3"/>
            <w:shd w:val="clear" w:color="auto" w:fill="auto"/>
            <w:vAlign w:val="bottom"/>
          </w:tcPr>
          <w:p w14:paraId="392BE943" w14:textId="77777777" w:rsidR="00980E5F" w:rsidRDefault="00980E5F">
            <w:pPr>
              <w:rPr>
                <w:rFonts w:ascii="宋体"/>
                <w:vanish/>
              </w:rPr>
            </w:pPr>
          </w:p>
        </w:tc>
        <w:tc>
          <w:tcPr>
            <w:tcW w:w="0" w:type="auto"/>
            <w:gridSpan w:val="3"/>
            <w:shd w:val="clear" w:color="auto" w:fill="auto"/>
            <w:vAlign w:val="bottom"/>
          </w:tcPr>
          <w:p w14:paraId="392BE944" w14:textId="77777777" w:rsidR="00980E5F" w:rsidRDefault="00980E5F">
            <w:pPr>
              <w:rPr>
                <w:rFonts w:ascii="宋体"/>
                <w:vanish/>
              </w:rPr>
            </w:pPr>
          </w:p>
        </w:tc>
        <w:tc>
          <w:tcPr>
            <w:tcW w:w="0" w:type="auto"/>
            <w:gridSpan w:val="3"/>
            <w:shd w:val="clear" w:color="auto" w:fill="auto"/>
            <w:vAlign w:val="bottom"/>
          </w:tcPr>
          <w:p w14:paraId="392BE945" w14:textId="77777777" w:rsidR="00980E5F" w:rsidRDefault="00980E5F">
            <w:pPr>
              <w:rPr>
                <w:rFonts w:ascii="宋体"/>
                <w:vanish/>
              </w:rPr>
            </w:pPr>
          </w:p>
        </w:tc>
        <w:tc>
          <w:tcPr>
            <w:tcW w:w="0" w:type="auto"/>
            <w:gridSpan w:val="3"/>
            <w:shd w:val="clear" w:color="auto" w:fill="auto"/>
            <w:vAlign w:val="bottom"/>
          </w:tcPr>
          <w:p w14:paraId="392BE946" w14:textId="77777777" w:rsidR="00980E5F" w:rsidRDefault="00980E5F">
            <w:pPr>
              <w:rPr>
                <w:rFonts w:ascii="宋体"/>
                <w:vanish/>
              </w:rPr>
            </w:pPr>
          </w:p>
        </w:tc>
        <w:tc>
          <w:tcPr>
            <w:tcW w:w="0" w:type="auto"/>
            <w:gridSpan w:val="3"/>
            <w:shd w:val="clear" w:color="auto" w:fill="auto"/>
            <w:vAlign w:val="bottom"/>
          </w:tcPr>
          <w:p w14:paraId="392BE947" w14:textId="77777777" w:rsidR="00980E5F" w:rsidRDefault="00980E5F">
            <w:pPr>
              <w:rPr>
                <w:rFonts w:ascii="宋体"/>
                <w:vanish/>
              </w:rPr>
            </w:pPr>
          </w:p>
        </w:tc>
        <w:tc>
          <w:tcPr>
            <w:tcW w:w="0" w:type="auto"/>
            <w:gridSpan w:val="3"/>
            <w:shd w:val="clear" w:color="auto" w:fill="auto"/>
            <w:vAlign w:val="bottom"/>
          </w:tcPr>
          <w:p w14:paraId="392BE948" w14:textId="77777777" w:rsidR="00980E5F" w:rsidRDefault="00980E5F">
            <w:pPr>
              <w:rPr>
                <w:rFonts w:ascii="宋体"/>
                <w:vanish/>
              </w:rPr>
            </w:pPr>
          </w:p>
        </w:tc>
      </w:tr>
      <w:tr w:rsidR="00980E5F" w14:paraId="392BE955" w14:textId="77777777">
        <w:trPr>
          <w:hidden/>
        </w:trPr>
        <w:tc>
          <w:tcPr>
            <w:tcW w:w="0" w:type="auto"/>
            <w:gridSpan w:val="3"/>
            <w:shd w:val="clear" w:color="auto" w:fill="auto"/>
            <w:vAlign w:val="bottom"/>
          </w:tcPr>
          <w:p w14:paraId="392BE94A" w14:textId="77777777" w:rsidR="00980E5F" w:rsidRDefault="00980E5F">
            <w:pPr>
              <w:rPr>
                <w:rFonts w:ascii="宋体"/>
                <w:vanish/>
              </w:rPr>
            </w:pPr>
          </w:p>
        </w:tc>
        <w:tc>
          <w:tcPr>
            <w:tcW w:w="0" w:type="auto"/>
            <w:gridSpan w:val="3"/>
            <w:shd w:val="clear" w:color="auto" w:fill="auto"/>
            <w:vAlign w:val="bottom"/>
          </w:tcPr>
          <w:p w14:paraId="392BE94B" w14:textId="77777777" w:rsidR="00980E5F" w:rsidRDefault="00980E5F">
            <w:pPr>
              <w:rPr>
                <w:rFonts w:ascii="宋体"/>
                <w:vanish/>
              </w:rPr>
            </w:pPr>
          </w:p>
        </w:tc>
        <w:tc>
          <w:tcPr>
            <w:tcW w:w="0" w:type="auto"/>
            <w:gridSpan w:val="3"/>
            <w:shd w:val="clear" w:color="auto" w:fill="auto"/>
            <w:vAlign w:val="bottom"/>
          </w:tcPr>
          <w:p w14:paraId="392BE94C" w14:textId="77777777" w:rsidR="00980E5F" w:rsidRDefault="00980E5F">
            <w:pPr>
              <w:rPr>
                <w:rFonts w:ascii="宋体"/>
                <w:vanish/>
              </w:rPr>
            </w:pPr>
          </w:p>
        </w:tc>
        <w:tc>
          <w:tcPr>
            <w:tcW w:w="0" w:type="auto"/>
            <w:gridSpan w:val="3"/>
            <w:shd w:val="clear" w:color="auto" w:fill="auto"/>
            <w:vAlign w:val="bottom"/>
          </w:tcPr>
          <w:p w14:paraId="392BE94D" w14:textId="77777777" w:rsidR="00980E5F" w:rsidRDefault="00980E5F">
            <w:pPr>
              <w:rPr>
                <w:rFonts w:ascii="宋体"/>
                <w:vanish/>
              </w:rPr>
            </w:pPr>
          </w:p>
        </w:tc>
        <w:tc>
          <w:tcPr>
            <w:tcW w:w="0" w:type="auto"/>
            <w:gridSpan w:val="3"/>
            <w:shd w:val="clear" w:color="auto" w:fill="auto"/>
            <w:vAlign w:val="bottom"/>
          </w:tcPr>
          <w:p w14:paraId="392BE94E" w14:textId="77777777" w:rsidR="00980E5F" w:rsidRDefault="00980E5F">
            <w:pPr>
              <w:rPr>
                <w:rFonts w:ascii="宋体"/>
                <w:vanish/>
              </w:rPr>
            </w:pPr>
          </w:p>
        </w:tc>
        <w:tc>
          <w:tcPr>
            <w:tcW w:w="0" w:type="auto"/>
            <w:gridSpan w:val="3"/>
            <w:shd w:val="clear" w:color="auto" w:fill="auto"/>
            <w:vAlign w:val="bottom"/>
          </w:tcPr>
          <w:p w14:paraId="392BE94F" w14:textId="77777777" w:rsidR="00980E5F" w:rsidRDefault="00980E5F">
            <w:pPr>
              <w:rPr>
                <w:rFonts w:ascii="宋体"/>
                <w:vanish/>
              </w:rPr>
            </w:pPr>
          </w:p>
        </w:tc>
        <w:tc>
          <w:tcPr>
            <w:tcW w:w="0" w:type="auto"/>
            <w:gridSpan w:val="3"/>
            <w:shd w:val="clear" w:color="auto" w:fill="auto"/>
            <w:vAlign w:val="bottom"/>
          </w:tcPr>
          <w:p w14:paraId="392BE950" w14:textId="77777777" w:rsidR="00980E5F" w:rsidRDefault="00980E5F">
            <w:pPr>
              <w:rPr>
                <w:rFonts w:ascii="宋体"/>
                <w:vanish/>
              </w:rPr>
            </w:pPr>
          </w:p>
        </w:tc>
        <w:tc>
          <w:tcPr>
            <w:tcW w:w="0" w:type="auto"/>
            <w:gridSpan w:val="3"/>
            <w:shd w:val="clear" w:color="auto" w:fill="auto"/>
            <w:vAlign w:val="bottom"/>
          </w:tcPr>
          <w:p w14:paraId="392BE951" w14:textId="77777777" w:rsidR="00980E5F" w:rsidRDefault="00980E5F">
            <w:pPr>
              <w:rPr>
                <w:rFonts w:ascii="宋体"/>
                <w:vanish/>
              </w:rPr>
            </w:pPr>
          </w:p>
        </w:tc>
        <w:tc>
          <w:tcPr>
            <w:tcW w:w="0" w:type="auto"/>
            <w:gridSpan w:val="3"/>
            <w:shd w:val="clear" w:color="auto" w:fill="auto"/>
            <w:vAlign w:val="bottom"/>
          </w:tcPr>
          <w:p w14:paraId="392BE952" w14:textId="77777777" w:rsidR="00980E5F" w:rsidRDefault="00980E5F">
            <w:pPr>
              <w:rPr>
                <w:rFonts w:ascii="宋体"/>
                <w:vanish/>
              </w:rPr>
            </w:pPr>
          </w:p>
        </w:tc>
        <w:tc>
          <w:tcPr>
            <w:tcW w:w="0" w:type="auto"/>
            <w:gridSpan w:val="3"/>
            <w:shd w:val="clear" w:color="auto" w:fill="auto"/>
            <w:vAlign w:val="bottom"/>
          </w:tcPr>
          <w:p w14:paraId="392BE953" w14:textId="77777777" w:rsidR="00980E5F" w:rsidRDefault="00980E5F">
            <w:pPr>
              <w:rPr>
                <w:rFonts w:ascii="宋体"/>
                <w:vanish/>
              </w:rPr>
            </w:pPr>
          </w:p>
        </w:tc>
        <w:tc>
          <w:tcPr>
            <w:tcW w:w="0" w:type="auto"/>
            <w:gridSpan w:val="3"/>
            <w:shd w:val="clear" w:color="auto" w:fill="auto"/>
            <w:vAlign w:val="bottom"/>
          </w:tcPr>
          <w:p w14:paraId="392BE954" w14:textId="77777777" w:rsidR="00980E5F" w:rsidRDefault="00980E5F">
            <w:pPr>
              <w:rPr>
                <w:rFonts w:ascii="宋体"/>
                <w:vanish/>
              </w:rPr>
            </w:pPr>
          </w:p>
        </w:tc>
      </w:tr>
      <w:tr w:rsidR="00980E5F" w14:paraId="392BE961" w14:textId="77777777">
        <w:trPr>
          <w:hidden/>
        </w:trPr>
        <w:tc>
          <w:tcPr>
            <w:tcW w:w="0" w:type="auto"/>
            <w:gridSpan w:val="3"/>
            <w:shd w:val="clear" w:color="auto" w:fill="auto"/>
            <w:vAlign w:val="bottom"/>
          </w:tcPr>
          <w:p w14:paraId="392BE956" w14:textId="77777777" w:rsidR="00980E5F" w:rsidRDefault="00980E5F">
            <w:pPr>
              <w:rPr>
                <w:rFonts w:ascii="宋体"/>
                <w:vanish/>
              </w:rPr>
            </w:pPr>
          </w:p>
        </w:tc>
        <w:tc>
          <w:tcPr>
            <w:tcW w:w="0" w:type="auto"/>
            <w:gridSpan w:val="3"/>
            <w:shd w:val="clear" w:color="auto" w:fill="auto"/>
            <w:vAlign w:val="bottom"/>
          </w:tcPr>
          <w:p w14:paraId="392BE957" w14:textId="77777777" w:rsidR="00980E5F" w:rsidRDefault="00980E5F">
            <w:pPr>
              <w:rPr>
                <w:rFonts w:ascii="宋体"/>
                <w:vanish/>
              </w:rPr>
            </w:pPr>
          </w:p>
        </w:tc>
        <w:tc>
          <w:tcPr>
            <w:tcW w:w="0" w:type="auto"/>
            <w:gridSpan w:val="3"/>
            <w:shd w:val="clear" w:color="auto" w:fill="auto"/>
            <w:vAlign w:val="bottom"/>
          </w:tcPr>
          <w:p w14:paraId="392BE958" w14:textId="77777777" w:rsidR="00980E5F" w:rsidRDefault="00980E5F">
            <w:pPr>
              <w:rPr>
                <w:rFonts w:ascii="宋体"/>
                <w:vanish/>
              </w:rPr>
            </w:pPr>
          </w:p>
        </w:tc>
        <w:tc>
          <w:tcPr>
            <w:tcW w:w="0" w:type="auto"/>
            <w:gridSpan w:val="3"/>
            <w:shd w:val="clear" w:color="auto" w:fill="auto"/>
            <w:vAlign w:val="bottom"/>
          </w:tcPr>
          <w:p w14:paraId="392BE959" w14:textId="77777777" w:rsidR="00980E5F" w:rsidRDefault="00980E5F">
            <w:pPr>
              <w:rPr>
                <w:rFonts w:ascii="宋体"/>
                <w:vanish/>
              </w:rPr>
            </w:pPr>
          </w:p>
        </w:tc>
        <w:tc>
          <w:tcPr>
            <w:tcW w:w="0" w:type="auto"/>
            <w:gridSpan w:val="3"/>
            <w:shd w:val="clear" w:color="auto" w:fill="auto"/>
            <w:vAlign w:val="bottom"/>
          </w:tcPr>
          <w:p w14:paraId="392BE95A" w14:textId="77777777" w:rsidR="00980E5F" w:rsidRDefault="00980E5F">
            <w:pPr>
              <w:rPr>
                <w:rFonts w:ascii="宋体"/>
                <w:vanish/>
              </w:rPr>
            </w:pPr>
          </w:p>
        </w:tc>
        <w:tc>
          <w:tcPr>
            <w:tcW w:w="0" w:type="auto"/>
            <w:gridSpan w:val="3"/>
            <w:shd w:val="clear" w:color="auto" w:fill="auto"/>
            <w:vAlign w:val="bottom"/>
          </w:tcPr>
          <w:p w14:paraId="392BE95B" w14:textId="77777777" w:rsidR="00980E5F" w:rsidRDefault="00980E5F">
            <w:pPr>
              <w:rPr>
                <w:rFonts w:ascii="宋体"/>
                <w:vanish/>
              </w:rPr>
            </w:pPr>
          </w:p>
        </w:tc>
        <w:tc>
          <w:tcPr>
            <w:tcW w:w="0" w:type="auto"/>
            <w:gridSpan w:val="3"/>
            <w:shd w:val="clear" w:color="auto" w:fill="auto"/>
            <w:vAlign w:val="bottom"/>
          </w:tcPr>
          <w:p w14:paraId="392BE95C" w14:textId="77777777" w:rsidR="00980E5F" w:rsidRDefault="00980E5F">
            <w:pPr>
              <w:rPr>
                <w:rFonts w:ascii="宋体"/>
                <w:vanish/>
              </w:rPr>
            </w:pPr>
          </w:p>
        </w:tc>
        <w:tc>
          <w:tcPr>
            <w:tcW w:w="0" w:type="auto"/>
            <w:gridSpan w:val="3"/>
            <w:shd w:val="clear" w:color="auto" w:fill="auto"/>
            <w:vAlign w:val="bottom"/>
          </w:tcPr>
          <w:p w14:paraId="392BE95D" w14:textId="77777777" w:rsidR="00980E5F" w:rsidRDefault="00980E5F">
            <w:pPr>
              <w:rPr>
                <w:rFonts w:ascii="宋体"/>
                <w:vanish/>
              </w:rPr>
            </w:pPr>
          </w:p>
        </w:tc>
        <w:tc>
          <w:tcPr>
            <w:tcW w:w="0" w:type="auto"/>
            <w:gridSpan w:val="3"/>
            <w:shd w:val="clear" w:color="auto" w:fill="auto"/>
            <w:vAlign w:val="bottom"/>
          </w:tcPr>
          <w:p w14:paraId="392BE95E" w14:textId="77777777" w:rsidR="00980E5F" w:rsidRDefault="00980E5F">
            <w:pPr>
              <w:rPr>
                <w:rFonts w:ascii="宋体"/>
                <w:vanish/>
              </w:rPr>
            </w:pPr>
          </w:p>
        </w:tc>
        <w:tc>
          <w:tcPr>
            <w:tcW w:w="0" w:type="auto"/>
            <w:gridSpan w:val="3"/>
            <w:shd w:val="clear" w:color="auto" w:fill="auto"/>
            <w:vAlign w:val="bottom"/>
          </w:tcPr>
          <w:p w14:paraId="392BE95F" w14:textId="77777777" w:rsidR="00980E5F" w:rsidRDefault="00980E5F">
            <w:pPr>
              <w:rPr>
                <w:rFonts w:ascii="宋体"/>
                <w:vanish/>
              </w:rPr>
            </w:pPr>
          </w:p>
        </w:tc>
        <w:tc>
          <w:tcPr>
            <w:tcW w:w="0" w:type="auto"/>
            <w:gridSpan w:val="3"/>
            <w:shd w:val="clear" w:color="auto" w:fill="auto"/>
            <w:vAlign w:val="bottom"/>
          </w:tcPr>
          <w:p w14:paraId="392BE960" w14:textId="77777777" w:rsidR="00980E5F" w:rsidRDefault="00980E5F">
            <w:pPr>
              <w:rPr>
                <w:rFonts w:ascii="宋体"/>
                <w:vanish/>
              </w:rPr>
            </w:pPr>
          </w:p>
        </w:tc>
      </w:tr>
      <w:tr w:rsidR="00980E5F" w14:paraId="392BE96D" w14:textId="77777777">
        <w:trPr>
          <w:hidden/>
        </w:trPr>
        <w:tc>
          <w:tcPr>
            <w:tcW w:w="0" w:type="auto"/>
            <w:gridSpan w:val="3"/>
            <w:shd w:val="clear" w:color="auto" w:fill="auto"/>
            <w:vAlign w:val="bottom"/>
          </w:tcPr>
          <w:p w14:paraId="392BE962" w14:textId="77777777" w:rsidR="00980E5F" w:rsidRDefault="00980E5F">
            <w:pPr>
              <w:rPr>
                <w:rFonts w:ascii="宋体"/>
                <w:vanish/>
              </w:rPr>
            </w:pPr>
          </w:p>
        </w:tc>
        <w:tc>
          <w:tcPr>
            <w:tcW w:w="0" w:type="auto"/>
            <w:gridSpan w:val="3"/>
            <w:shd w:val="clear" w:color="auto" w:fill="auto"/>
            <w:vAlign w:val="bottom"/>
          </w:tcPr>
          <w:p w14:paraId="392BE963" w14:textId="77777777" w:rsidR="00980E5F" w:rsidRDefault="00980E5F">
            <w:pPr>
              <w:rPr>
                <w:rFonts w:ascii="宋体"/>
                <w:vanish/>
              </w:rPr>
            </w:pPr>
          </w:p>
        </w:tc>
        <w:tc>
          <w:tcPr>
            <w:tcW w:w="0" w:type="auto"/>
            <w:gridSpan w:val="3"/>
            <w:shd w:val="clear" w:color="auto" w:fill="auto"/>
            <w:vAlign w:val="bottom"/>
          </w:tcPr>
          <w:p w14:paraId="392BE964" w14:textId="77777777" w:rsidR="00980E5F" w:rsidRDefault="00980E5F">
            <w:pPr>
              <w:rPr>
                <w:rFonts w:ascii="宋体"/>
                <w:vanish/>
              </w:rPr>
            </w:pPr>
          </w:p>
        </w:tc>
        <w:tc>
          <w:tcPr>
            <w:tcW w:w="0" w:type="auto"/>
            <w:gridSpan w:val="3"/>
            <w:shd w:val="clear" w:color="auto" w:fill="auto"/>
            <w:vAlign w:val="bottom"/>
          </w:tcPr>
          <w:p w14:paraId="392BE965" w14:textId="77777777" w:rsidR="00980E5F" w:rsidRDefault="00980E5F">
            <w:pPr>
              <w:rPr>
                <w:rFonts w:ascii="宋体"/>
                <w:vanish/>
              </w:rPr>
            </w:pPr>
          </w:p>
        </w:tc>
        <w:tc>
          <w:tcPr>
            <w:tcW w:w="0" w:type="auto"/>
            <w:gridSpan w:val="3"/>
            <w:shd w:val="clear" w:color="auto" w:fill="auto"/>
            <w:vAlign w:val="bottom"/>
          </w:tcPr>
          <w:p w14:paraId="392BE966" w14:textId="77777777" w:rsidR="00980E5F" w:rsidRDefault="00980E5F">
            <w:pPr>
              <w:rPr>
                <w:rFonts w:ascii="宋体"/>
                <w:vanish/>
              </w:rPr>
            </w:pPr>
          </w:p>
        </w:tc>
        <w:tc>
          <w:tcPr>
            <w:tcW w:w="0" w:type="auto"/>
            <w:gridSpan w:val="3"/>
            <w:shd w:val="clear" w:color="auto" w:fill="auto"/>
            <w:vAlign w:val="bottom"/>
          </w:tcPr>
          <w:p w14:paraId="392BE967" w14:textId="77777777" w:rsidR="00980E5F" w:rsidRDefault="00980E5F">
            <w:pPr>
              <w:rPr>
                <w:rFonts w:ascii="宋体"/>
                <w:vanish/>
              </w:rPr>
            </w:pPr>
          </w:p>
        </w:tc>
        <w:tc>
          <w:tcPr>
            <w:tcW w:w="0" w:type="auto"/>
            <w:gridSpan w:val="3"/>
            <w:shd w:val="clear" w:color="auto" w:fill="auto"/>
            <w:vAlign w:val="bottom"/>
          </w:tcPr>
          <w:p w14:paraId="392BE968" w14:textId="77777777" w:rsidR="00980E5F" w:rsidRDefault="00980E5F">
            <w:pPr>
              <w:rPr>
                <w:rFonts w:ascii="宋体"/>
                <w:vanish/>
              </w:rPr>
            </w:pPr>
          </w:p>
        </w:tc>
        <w:tc>
          <w:tcPr>
            <w:tcW w:w="0" w:type="auto"/>
            <w:gridSpan w:val="3"/>
            <w:shd w:val="clear" w:color="auto" w:fill="auto"/>
            <w:vAlign w:val="bottom"/>
          </w:tcPr>
          <w:p w14:paraId="392BE969" w14:textId="77777777" w:rsidR="00980E5F" w:rsidRDefault="00980E5F">
            <w:pPr>
              <w:rPr>
                <w:rFonts w:ascii="宋体"/>
                <w:vanish/>
              </w:rPr>
            </w:pPr>
          </w:p>
        </w:tc>
        <w:tc>
          <w:tcPr>
            <w:tcW w:w="0" w:type="auto"/>
            <w:gridSpan w:val="3"/>
            <w:shd w:val="clear" w:color="auto" w:fill="auto"/>
            <w:vAlign w:val="bottom"/>
          </w:tcPr>
          <w:p w14:paraId="392BE96A" w14:textId="77777777" w:rsidR="00980E5F" w:rsidRDefault="00980E5F">
            <w:pPr>
              <w:rPr>
                <w:rFonts w:ascii="宋体"/>
                <w:vanish/>
              </w:rPr>
            </w:pPr>
          </w:p>
        </w:tc>
        <w:tc>
          <w:tcPr>
            <w:tcW w:w="0" w:type="auto"/>
            <w:gridSpan w:val="3"/>
            <w:shd w:val="clear" w:color="auto" w:fill="auto"/>
            <w:vAlign w:val="bottom"/>
          </w:tcPr>
          <w:p w14:paraId="392BE96B" w14:textId="77777777" w:rsidR="00980E5F" w:rsidRDefault="00980E5F">
            <w:pPr>
              <w:rPr>
                <w:rFonts w:ascii="宋体"/>
                <w:vanish/>
              </w:rPr>
            </w:pPr>
          </w:p>
        </w:tc>
        <w:tc>
          <w:tcPr>
            <w:tcW w:w="0" w:type="auto"/>
            <w:gridSpan w:val="3"/>
            <w:shd w:val="clear" w:color="auto" w:fill="auto"/>
            <w:vAlign w:val="bottom"/>
          </w:tcPr>
          <w:p w14:paraId="392BE96C" w14:textId="77777777" w:rsidR="00980E5F" w:rsidRDefault="00980E5F">
            <w:pPr>
              <w:rPr>
                <w:rFonts w:ascii="宋体"/>
                <w:vanish/>
              </w:rPr>
            </w:pPr>
          </w:p>
        </w:tc>
      </w:tr>
      <w:tr w:rsidR="00980E5F" w14:paraId="392BE979" w14:textId="77777777">
        <w:trPr>
          <w:hidden/>
        </w:trPr>
        <w:tc>
          <w:tcPr>
            <w:tcW w:w="0" w:type="auto"/>
            <w:gridSpan w:val="3"/>
            <w:shd w:val="clear" w:color="auto" w:fill="auto"/>
            <w:vAlign w:val="bottom"/>
          </w:tcPr>
          <w:p w14:paraId="392BE96E" w14:textId="77777777" w:rsidR="00980E5F" w:rsidRDefault="00980E5F">
            <w:pPr>
              <w:rPr>
                <w:rFonts w:ascii="宋体"/>
                <w:vanish/>
              </w:rPr>
            </w:pPr>
          </w:p>
        </w:tc>
        <w:tc>
          <w:tcPr>
            <w:tcW w:w="0" w:type="auto"/>
            <w:gridSpan w:val="3"/>
            <w:shd w:val="clear" w:color="auto" w:fill="auto"/>
            <w:vAlign w:val="bottom"/>
          </w:tcPr>
          <w:p w14:paraId="392BE96F" w14:textId="77777777" w:rsidR="00980E5F" w:rsidRDefault="00980E5F">
            <w:pPr>
              <w:rPr>
                <w:rFonts w:ascii="宋体"/>
                <w:vanish/>
              </w:rPr>
            </w:pPr>
          </w:p>
        </w:tc>
        <w:tc>
          <w:tcPr>
            <w:tcW w:w="0" w:type="auto"/>
            <w:gridSpan w:val="3"/>
            <w:shd w:val="clear" w:color="auto" w:fill="auto"/>
            <w:vAlign w:val="bottom"/>
          </w:tcPr>
          <w:p w14:paraId="392BE970" w14:textId="77777777" w:rsidR="00980E5F" w:rsidRDefault="00980E5F">
            <w:pPr>
              <w:rPr>
                <w:rFonts w:ascii="宋体"/>
                <w:vanish/>
              </w:rPr>
            </w:pPr>
          </w:p>
        </w:tc>
        <w:tc>
          <w:tcPr>
            <w:tcW w:w="0" w:type="auto"/>
            <w:gridSpan w:val="3"/>
            <w:shd w:val="clear" w:color="auto" w:fill="auto"/>
            <w:vAlign w:val="bottom"/>
          </w:tcPr>
          <w:p w14:paraId="392BE971" w14:textId="77777777" w:rsidR="00980E5F" w:rsidRDefault="00980E5F">
            <w:pPr>
              <w:rPr>
                <w:rFonts w:ascii="宋体"/>
                <w:vanish/>
              </w:rPr>
            </w:pPr>
          </w:p>
        </w:tc>
        <w:tc>
          <w:tcPr>
            <w:tcW w:w="0" w:type="auto"/>
            <w:gridSpan w:val="3"/>
            <w:shd w:val="clear" w:color="auto" w:fill="auto"/>
            <w:vAlign w:val="bottom"/>
          </w:tcPr>
          <w:p w14:paraId="392BE972" w14:textId="77777777" w:rsidR="00980E5F" w:rsidRDefault="00980E5F">
            <w:pPr>
              <w:rPr>
                <w:rFonts w:ascii="宋体"/>
                <w:vanish/>
              </w:rPr>
            </w:pPr>
          </w:p>
        </w:tc>
        <w:tc>
          <w:tcPr>
            <w:tcW w:w="0" w:type="auto"/>
            <w:gridSpan w:val="3"/>
            <w:shd w:val="clear" w:color="auto" w:fill="auto"/>
            <w:vAlign w:val="bottom"/>
          </w:tcPr>
          <w:p w14:paraId="392BE973" w14:textId="77777777" w:rsidR="00980E5F" w:rsidRDefault="00980E5F">
            <w:pPr>
              <w:rPr>
                <w:rFonts w:ascii="宋体"/>
                <w:vanish/>
              </w:rPr>
            </w:pPr>
          </w:p>
        </w:tc>
        <w:tc>
          <w:tcPr>
            <w:tcW w:w="0" w:type="auto"/>
            <w:gridSpan w:val="3"/>
            <w:shd w:val="clear" w:color="auto" w:fill="auto"/>
            <w:vAlign w:val="bottom"/>
          </w:tcPr>
          <w:p w14:paraId="392BE974" w14:textId="77777777" w:rsidR="00980E5F" w:rsidRDefault="00980E5F">
            <w:pPr>
              <w:rPr>
                <w:rFonts w:ascii="宋体"/>
                <w:vanish/>
              </w:rPr>
            </w:pPr>
          </w:p>
        </w:tc>
        <w:tc>
          <w:tcPr>
            <w:tcW w:w="0" w:type="auto"/>
            <w:gridSpan w:val="3"/>
            <w:shd w:val="clear" w:color="auto" w:fill="auto"/>
            <w:vAlign w:val="bottom"/>
          </w:tcPr>
          <w:p w14:paraId="392BE975" w14:textId="77777777" w:rsidR="00980E5F" w:rsidRDefault="00980E5F">
            <w:pPr>
              <w:rPr>
                <w:rFonts w:ascii="宋体"/>
                <w:vanish/>
              </w:rPr>
            </w:pPr>
          </w:p>
        </w:tc>
        <w:tc>
          <w:tcPr>
            <w:tcW w:w="0" w:type="auto"/>
            <w:gridSpan w:val="3"/>
            <w:shd w:val="clear" w:color="auto" w:fill="auto"/>
            <w:vAlign w:val="bottom"/>
          </w:tcPr>
          <w:p w14:paraId="392BE976" w14:textId="77777777" w:rsidR="00980E5F" w:rsidRDefault="00980E5F">
            <w:pPr>
              <w:rPr>
                <w:rFonts w:ascii="宋体"/>
                <w:vanish/>
              </w:rPr>
            </w:pPr>
          </w:p>
        </w:tc>
        <w:tc>
          <w:tcPr>
            <w:tcW w:w="0" w:type="auto"/>
            <w:gridSpan w:val="3"/>
            <w:shd w:val="clear" w:color="auto" w:fill="auto"/>
            <w:vAlign w:val="bottom"/>
          </w:tcPr>
          <w:p w14:paraId="392BE977" w14:textId="77777777" w:rsidR="00980E5F" w:rsidRDefault="00980E5F">
            <w:pPr>
              <w:rPr>
                <w:rFonts w:ascii="宋体"/>
                <w:vanish/>
              </w:rPr>
            </w:pPr>
          </w:p>
        </w:tc>
        <w:tc>
          <w:tcPr>
            <w:tcW w:w="0" w:type="auto"/>
            <w:gridSpan w:val="3"/>
            <w:shd w:val="clear" w:color="auto" w:fill="auto"/>
            <w:vAlign w:val="bottom"/>
          </w:tcPr>
          <w:p w14:paraId="392BE978" w14:textId="77777777" w:rsidR="00980E5F" w:rsidRDefault="00980E5F">
            <w:pPr>
              <w:rPr>
                <w:rFonts w:ascii="宋体"/>
                <w:vanish/>
              </w:rPr>
            </w:pPr>
          </w:p>
        </w:tc>
      </w:tr>
    </w:tbl>
    <w:p w14:paraId="392BE97A" w14:textId="77777777" w:rsidR="00980E5F" w:rsidRDefault="00980E5F">
      <w:pPr>
        <w:rPr>
          <w:vanish/>
        </w:rPr>
      </w:pPr>
    </w:p>
    <w:tbl>
      <w:tblPr>
        <w:tblW w:w="4009" w:type="pct"/>
        <w:tblCellMar>
          <w:top w:w="15" w:type="dxa"/>
          <w:left w:w="15" w:type="dxa"/>
          <w:bottom w:w="15" w:type="dxa"/>
          <w:right w:w="15" w:type="dxa"/>
        </w:tblCellMar>
        <w:tblLook w:val="04A0" w:firstRow="1" w:lastRow="0" w:firstColumn="1" w:lastColumn="0" w:noHBand="0" w:noVBand="1"/>
      </w:tblPr>
      <w:tblGrid>
        <w:gridCol w:w="52"/>
        <w:gridCol w:w="3975"/>
        <w:gridCol w:w="36"/>
        <w:gridCol w:w="52"/>
        <w:gridCol w:w="2533"/>
        <w:gridCol w:w="36"/>
      </w:tblGrid>
      <w:tr w:rsidR="00980E5F" w14:paraId="392BE981" w14:textId="77777777">
        <w:tc>
          <w:tcPr>
            <w:tcW w:w="50" w:type="pct"/>
            <w:shd w:val="clear" w:color="auto" w:fill="auto"/>
            <w:vAlign w:val="bottom"/>
          </w:tcPr>
          <w:p w14:paraId="392BE97B" w14:textId="77777777" w:rsidR="00980E5F" w:rsidRDefault="00980E5F">
            <w:pPr>
              <w:rPr>
                <w:rFonts w:ascii="宋体"/>
              </w:rPr>
            </w:pPr>
          </w:p>
        </w:tc>
        <w:tc>
          <w:tcPr>
            <w:tcW w:w="2984" w:type="pct"/>
            <w:shd w:val="clear" w:color="auto" w:fill="auto"/>
            <w:vAlign w:val="bottom"/>
          </w:tcPr>
          <w:p w14:paraId="392BE97C" w14:textId="77777777" w:rsidR="00980E5F" w:rsidRDefault="00980E5F">
            <w:pPr>
              <w:rPr>
                <w:rFonts w:ascii="宋体"/>
              </w:rPr>
            </w:pPr>
          </w:p>
        </w:tc>
        <w:tc>
          <w:tcPr>
            <w:tcW w:w="5" w:type="pct"/>
            <w:shd w:val="clear" w:color="auto" w:fill="auto"/>
            <w:vAlign w:val="bottom"/>
          </w:tcPr>
          <w:p w14:paraId="392BE97D" w14:textId="77777777" w:rsidR="00980E5F" w:rsidRDefault="00980E5F">
            <w:pPr>
              <w:rPr>
                <w:rFonts w:ascii="宋体"/>
              </w:rPr>
            </w:pPr>
          </w:p>
        </w:tc>
        <w:tc>
          <w:tcPr>
            <w:tcW w:w="50" w:type="pct"/>
            <w:shd w:val="clear" w:color="auto" w:fill="auto"/>
            <w:vAlign w:val="bottom"/>
          </w:tcPr>
          <w:p w14:paraId="392BE97E" w14:textId="77777777" w:rsidR="00980E5F" w:rsidRDefault="00980E5F">
            <w:pPr>
              <w:rPr>
                <w:rFonts w:ascii="宋体"/>
              </w:rPr>
            </w:pPr>
          </w:p>
        </w:tc>
        <w:tc>
          <w:tcPr>
            <w:tcW w:w="1905" w:type="pct"/>
            <w:shd w:val="clear" w:color="auto" w:fill="auto"/>
            <w:vAlign w:val="bottom"/>
          </w:tcPr>
          <w:p w14:paraId="392BE97F" w14:textId="77777777" w:rsidR="00980E5F" w:rsidRDefault="00980E5F">
            <w:pPr>
              <w:rPr>
                <w:rFonts w:ascii="宋体"/>
              </w:rPr>
            </w:pPr>
          </w:p>
        </w:tc>
        <w:tc>
          <w:tcPr>
            <w:tcW w:w="5" w:type="pct"/>
            <w:shd w:val="clear" w:color="auto" w:fill="auto"/>
            <w:vAlign w:val="bottom"/>
          </w:tcPr>
          <w:p w14:paraId="392BE980" w14:textId="77777777" w:rsidR="00980E5F" w:rsidRDefault="00980E5F">
            <w:pPr>
              <w:rPr>
                <w:rFonts w:ascii="宋体"/>
              </w:rPr>
            </w:pPr>
          </w:p>
        </w:tc>
      </w:tr>
      <w:tr w:rsidR="00980E5F" w14:paraId="392BE98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E98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983" w14:textId="77777777" w:rsidR="00980E5F" w:rsidRDefault="00980E5F">
            <w:pPr>
              <w:rPr>
                <w:rFonts w:ascii="宋体"/>
              </w:rPr>
            </w:pPr>
          </w:p>
        </w:tc>
      </w:tr>
      <w:tr w:rsidR="00980E5F" w14:paraId="392BE987" w14:textId="77777777">
        <w:trPr>
          <w:hidden/>
        </w:trPr>
        <w:tc>
          <w:tcPr>
            <w:tcW w:w="0" w:type="auto"/>
            <w:gridSpan w:val="3"/>
            <w:shd w:val="clear" w:color="auto" w:fill="auto"/>
            <w:vAlign w:val="bottom"/>
          </w:tcPr>
          <w:p w14:paraId="392BE985" w14:textId="77777777" w:rsidR="00980E5F" w:rsidRDefault="00980E5F">
            <w:pPr>
              <w:rPr>
                <w:rFonts w:ascii="宋体"/>
                <w:vanish/>
              </w:rPr>
            </w:pPr>
          </w:p>
        </w:tc>
        <w:tc>
          <w:tcPr>
            <w:tcW w:w="0" w:type="auto"/>
            <w:gridSpan w:val="3"/>
            <w:shd w:val="clear" w:color="auto" w:fill="auto"/>
            <w:vAlign w:val="bottom"/>
          </w:tcPr>
          <w:p w14:paraId="392BE986" w14:textId="77777777" w:rsidR="00980E5F" w:rsidRDefault="00980E5F">
            <w:pPr>
              <w:rPr>
                <w:rFonts w:ascii="宋体"/>
                <w:vanish/>
              </w:rPr>
            </w:pPr>
          </w:p>
        </w:tc>
      </w:tr>
    </w:tbl>
    <w:p w14:paraId="392BE988" w14:textId="77777777" w:rsidR="00980E5F" w:rsidRDefault="00483613">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392BE989" w14:textId="77777777" w:rsidR="00980E5F" w:rsidRDefault="00483613">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the portion of net income </w:t>
      </w:r>
      <w:r>
        <w:rPr>
          <w:rFonts w:ascii="Arial" w:eastAsia="宋体" w:hAnsi="Arial" w:cs="Arial"/>
          <w:color w:val="000000"/>
          <w:sz w:val="12"/>
          <w:szCs w:val="12"/>
        </w:rPr>
        <w:t>available to common equity allocated to participating securities, composed of unvested and fully vested SERP (Supplemental executive retirement plans) shares and fully vested deferred director stock awards, which are equity-based awards that contain non-fo</w:t>
      </w:r>
      <w:r>
        <w:rPr>
          <w:rFonts w:ascii="Arial" w:eastAsia="宋体" w:hAnsi="Arial" w:cs="Arial"/>
          <w:color w:val="000000"/>
          <w:sz w:val="12"/>
          <w:szCs w:val="12"/>
        </w:rPr>
        <w:t>rfeitable rights to dividends, and are considered to participate with the common stock in undistributed earnings.</w:t>
      </w:r>
    </w:p>
    <w:p w14:paraId="392BE98A" w14:textId="77777777" w:rsidR="00980E5F" w:rsidRDefault="00483613">
      <w:pPr>
        <w:spacing w:before="60"/>
        <w:jc w:val="both"/>
        <w:textAlignment w:val="top"/>
      </w:pPr>
      <w:r>
        <w:rPr>
          <w:rFonts w:ascii="Arial" w:eastAsia="宋体" w:hAnsi="Arial" w:cs="Arial"/>
          <w:color w:val="000000"/>
          <w:sz w:val="7"/>
          <w:szCs w:val="7"/>
        </w:rPr>
        <w:t>n</w:t>
      </w:r>
      <w:r>
        <w:rPr>
          <w:rFonts w:ascii="Arial" w:eastAsia="宋体" w:hAnsi="Arial" w:cs="Arial"/>
          <w:color w:val="000000"/>
          <w:sz w:val="7"/>
          <w:szCs w:val="7"/>
          <w:shd w:val="clear" w:color="auto" w:fill="FFFFFF"/>
        </w:rPr>
        <w:t>m</w:t>
      </w:r>
      <w:r>
        <w:rPr>
          <w:rFonts w:ascii="Arial" w:eastAsia="宋体" w:hAnsi="Arial" w:cs="Arial"/>
          <w:color w:val="000000"/>
          <w:sz w:val="12"/>
          <w:szCs w:val="12"/>
          <w:shd w:val="clear" w:color="auto" w:fill="FFFFFF"/>
        </w:rPr>
        <w:t xml:space="preserve"> Not meaningful</w:t>
      </w:r>
    </w:p>
    <w:p w14:paraId="392BE98B" w14:textId="77777777" w:rsidR="00980E5F" w:rsidRDefault="00483613">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related to significant events, as well as high</w:t>
      </w:r>
      <w:r>
        <w:rPr>
          <w:rFonts w:ascii="Arial" w:eastAsia="宋体" w:hAnsi="Arial" w:cs="Arial"/>
          <w:color w:val="000000"/>
          <w:sz w:val="20"/>
          <w:szCs w:val="20"/>
        </w:rPr>
        <w:t>lights of our consolidated financial results for the second quarter of 2022 presented in Table 1: Overview of Financial Results. More detailed information about our consolidated financial results, including the comparison of our financial results for the t</w:t>
      </w:r>
      <w:r>
        <w:rPr>
          <w:rFonts w:ascii="Arial" w:eastAsia="宋体" w:hAnsi="Arial" w:cs="Arial"/>
          <w:color w:val="000000"/>
          <w:sz w:val="20"/>
          <w:szCs w:val="20"/>
        </w:rPr>
        <w:t>hree and six months ended June 30, 2022, compared to the same periods in 2021, is provided under “Consolidated Results of Operations”, "Line of Business Information" and "Capital" which follows these sections, as well as in our consolidated financial state</w:t>
      </w:r>
      <w:r>
        <w:rPr>
          <w:rFonts w:ascii="Arial" w:eastAsia="宋体" w:hAnsi="Arial" w:cs="Arial"/>
          <w:color w:val="000000"/>
          <w:sz w:val="20"/>
          <w:szCs w:val="20"/>
        </w:rPr>
        <w:t xml:space="preserve">ments in this Form 10-Q. In this Management’s Discussion and Analysis, where we describe the effects of changes in foreign currency translation, those effects are determined by applying applicable weighted average FX rates from the relevant 2021 period to </w:t>
      </w:r>
      <w:r>
        <w:rPr>
          <w:rFonts w:ascii="Arial" w:eastAsia="宋体" w:hAnsi="Arial" w:cs="Arial"/>
          <w:color w:val="000000"/>
          <w:sz w:val="20"/>
          <w:szCs w:val="20"/>
        </w:rPr>
        <w:t>the relevant 2022 period results.</w:t>
      </w:r>
    </w:p>
    <w:p w14:paraId="392BE98C" w14:textId="77777777" w:rsidR="00980E5F" w:rsidRDefault="00483613">
      <w:pPr>
        <w:spacing w:before="90"/>
        <w:jc w:val="both"/>
        <w:textAlignment w:val="top"/>
      </w:pPr>
      <w:r>
        <w:rPr>
          <w:rFonts w:ascii="Arial" w:eastAsia="宋体" w:hAnsi="Arial" w:cs="Arial"/>
          <w:b/>
          <w:bCs/>
          <w:color w:val="000000"/>
          <w:sz w:val="20"/>
          <w:szCs w:val="20"/>
        </w:rPr>
        <w:t>Financial Results and Highlights</w:t>
      </w:r>
    </w:p>
    <w:p w14:paraId="392BE98D" w14:textId="77777777" w:rsidR="00980E5F" w:rsidRDefault="00483613">
      <w:pPr>
        <w:spacing w:before="60"/>
        <w:ind w:hanging="360"/>
        <w:jc w:val="both"/>
        <w:textAlignment w:val="top"/>
      </w:pPr>
      <w:r>
        <w:rPr>
          <w:rFonts w:ascii="Arial" w:eastAsia="宋体" w:hAnsi="Arial" w:cs="Arial"/>
          <w:color w:val="000000"/>
          <w:sz w:val="20"/>
          <w:szCs w:val="20"/>
        </w:rPr>
        <w:t>•Second quarter of 2022 financial performance:</w:t>
      </w:r>
    </w:p>
    <w:p w14:paraId="392BE98E"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Earnings per share of </w:t>
      </w:r>
      <w:r>
        <w:rPr>
          <w:rFonts w:ascii="Arial" w:eastAsia="宋体" w:hAnsi="Arial" w:cs="Arial"/>
          <w:color w:val="000000"/>
          <w:sz w:val="20"/>
          <w:szCs w:val="20"/>
          <w:shd w:val="clear" w:color="auto" w:fill="FFFFFF"/>
        </w:rPr>
        <w:t xml:space="preserve">$1.91 </w:t>
      </w:r>
      <w:r>
        <w:rPr>
          <w:rFonts w:ascii="Arial" w:eastAsia="宋体" w:hAnsi="Arial" w:cs="Arial"/>
          <w:color w:val="000000"/>
          <w:sz w:val="20"/>
          <w:szCs w:val="20"/>
        </w:rPr>
        <w:t>in the second quarter of 2022, de</w:t>
      </w:r>
      <w:r>
        <w:rPr>
          <w:rFonts w:ascii="Arial" w:eastAsia="宋体" w:hAnsi="Arial" w:cs="Arial"/>
          <w:color w:val="000000"/>
          <w:sz w:val="20"/>
          <w:szCs w:val="20"/>
          <w:shd w:val="clear" w:color="auto" w:fill="FFFFFF"/>
        </w:rPr>
        <w:t>creased</w:t>
      </w:r>
      <w:r>
        <w:rPr>
          <w:rFonts w:ascii="Arial" w:eastAsia="宋体" w:hAnsi="Arial" w:cs="Arial"/>
          <w:color w:val="000000"/>
          <w:sz w:val="20"/>
          <w:szCs w:val="20"/>
        </w:rPr>
        <w:t xml:space="preserve"> </w:t>
      </w:r>
      <w:r>
        <w:rPr>
          <w:rFonts w:ascii="Arial" w:eastAsia="宋体" w:hAnsi="Arial" w:cs="Arial"/>
          <w:color w:val="000000"/>
          <w:sz w:val="20"/>
          <w:szCs w:val="20"/>
          <w:shd w:val="clear" w:color="auto" w:fill="FFFFFF"/>
        </w:rPr>
        <w:t xml:space="preserve">8% </w:t>
      </w:r>
      <w:r>
        <w:rPr>
          <w:rFonts w:ascii="Arial" w:eastAsia="宋体" w:hAnsi="Arial" w:cs="Arial"/>
          <w:color w:val="000000"/>
          <w:sz w:val="20"/>
          <w:szCs w:val="20"/>
        </w:rPr>
        <w:t>compared to $2.07 in the same period in 2021.</w:t>
      </w:r>
    </w:p>
    <w:p w14:paraId="392BE98F"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w:t>
      </w:r>
      <w:r>
        <w:rPr>
          <w:rFonts w:ascii="Arial" w:eastAsia="宋体" w:hAnsi="Arial" w:cs="Arial"/>
          <w:color w:val="000000"/>
          <w:sz w:val="20"/>
          <w:szCs w:val="20"/>
        </w:rPr>
        <w:t>revenue and total revenue decreased</w:t>
      </w:r>
      <w:r>
        <w:rPr>
          <w:rFonts w:ascii="Arial" w:eastAsia="宋体" w:hAnsi="Arial" w:cs="Arial"/>
          <w:color w:val="000000"/>
          <w:sz w:val="20"/>
          <w:szCs w:val="20"/>
          <w:shd w:val="clear" w:color="auto" w:fill="FFFFFF"/>
        </w:rPr>
        <w:t xml:space="preserve"> 6% and 3%, respectively, i</w:t>
      </w:r>
      <w:r>
        <w:rPr>
          <w:rFonts w:ascii="Arial" w:eastAsia="宋体" w:hAnsi="Arial" w:cs="Arial"/>
          <w:color w:val="000000"/>
          <w:sz w:val="20"/>
          <w:szCs w:val="20"/>
        </w:rPr>
        <w:t xml:space="preserve">n the second quarter of 2022, compared to the same period in 2021. Currency translation decreased both fee revenue and total revenue by 2% in the second quarter of 2022, relative to the same </w:t>
      </w:r>
      <w:r>
        <w:rPr>
          <w:rFonts w:ascii="Arial" w:eastAsia="宋体" w:hAnsi="Arial" w:cs="Arial"/>
          <w:color w:val="000000"/>
          <w:sz w:val="20"/>
          <w:szCs w:val="20"/>
        </w:rPr>
        <w:t>period in 2021.</w:t>
      </w:r>
    </w:p>
    <w:p w14:paraId="392BE990"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NII increased </w:t>
      </w:r>
      <w:r>
        <w:rPr>
          <w:rFonts w:ascii="Arial" w:eastAsia="宋体" w:hAnsi="Arial" w:cs="Arial"/>
          <w:color w:val="000000"/>
          <w:sz w:val="20"/>
          <w:szCs w:val="20"/>
          <w:shd w:val="clear" w:color="auto" w:fill="FFFFFF"/>
        </w:rPr>
        <w:t>25%</w:t>
      </w:r>
      <w:r>
        <w:rPr>
          <w:rFonts w:ascii="Arial" w:eastAsia="宋体" w:hAnsi="Arial" w:cs="Arial"/>
          <w:color w:val="000000"/>
          <w:sz w:val="20"/>
          <w:szCs w:val="20"/>
        </w:rPr>
        <w:t xml:space="preserve"> in the second quarter of 2022, compared to the same period in 2021.</w:t>
      </w:r>
    </w:p>
    <w:p w14:paraId="392BE991"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the second quarter of 2022, return on equity of </w:t>
      </w:r>
      <w:r>
        <w:rPr>
          <w:rFonts w:ascii="Arial" w:eastAsia="宋体" w:hAnsi="Arial" w:cs="Arial"/>
          <w:color w:val="000000"/>
          <w:sz w:val="20"/>
          <w:szCs w:val="20"/>
          <w:shd w:val="clear" w:color="auto" w:fill="FFFFFF"/>
        </w:rPr>
        <w:t>12.1% decreased from 12.6% in the same period in 2021, primarily due to a decrease in net income avai</w:t>
      </w:r>
      <w:r>
        <w:rPr>
          <w:rFonts w:ascii="Arial" w:eastAsia="宋体" w:hAnsi="Arial" w:cs="Arial"/>
          <w:color w:val="000000"/>
          <w:sz w:val="20"/>
          <w:szCs w:val="20"/>
          <w:shd w:val="clear" w:color="auto" w:fill="FFFFFF"/>
        </w:rPr>
        <w:t>lable to common shareholders. Pre-tax margin of 28.3% in the second quarter of 2022, decreased from 30.9% in the same period in 2021, primarily due to a decrease in total revenue.</w:t>
      </w:r>
    </w:p>
    <w:p w14:paraId="392BE992"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Negative operating leverage of 2.5% </w:t>
      </w:r>
      <w:r>
        <w:rPr>
          <w:rFonts w:ascii="Arial" w:eastAsia="宋体" w:hAnsi="Arial" w:cs="Arial"/>
          <w:color w:val="000000"/>
          <w:sz w:val="20"/>
          <w:szCs w:val="20"/>
        </w:rPr>
        <w:t>points in the second quarter of 2022. O</w:t>
      </w:r>
      <w:r>
        <w:rPr>
          <w:rFonts w:ascii="Arial" w:eastAsia="宋体" w:hAnsi="Arial" w:cs="Arial"/>
          <w:color w:val="000000"/>
          <w:sz w:val="20"/>
          <w:szCs w:val="20"/>
        </w:rPr>
        <w:t>perating leverage represents the difference between the percentage change in total revenue and the percentage change in total expenses, in each case relative to the prior year period.</w:t>
      </w:r>
    </w:p>
    <w:p w14:paraId="392BE993" w14:textId="77777777" w:rsidR="00980E5F" w:rsidRDefault="00483613">
      <w:pPr>
        <w:ind w:firstLine="450"/>
        <w:jc w:val="right"/>
      </w:pPr>
      <w:r>
        <w:rPr>
          <w:rFonts w:ascii="Arial" w:eastAsia="宋体" w:hAnsi="Arial" w:cs="Arial"/>
          <w:color w:val="000000"/>
          <w:sz w:val="18"/>
          <w:szCs w:val="18"/>
        </w:rPr>
        <w:t>State Street Corporation | 8</w:t>
      </w:r>
    </w:p>
    <w:p w14:paraId="392BE994" w14:textId="77777777" w:rsidR="00980E5F" w:rsidRDefault="00980E5F">
      <w:pPr>
        <w:ind w:firstLine="450"/>
        <w:jc w:val="center"/>
      </w:pPr>
    </w:p>
    <w:p w14:paraId="392BE995" w14:textId="77777777" w:rsidR="00980E5F" w:rsidRDefault="00483613">
      <w:r>
        <w:pict w14:anchorId="392CBAD6">
          <v:rect id="_x0000_i1032" style="width:415.3pt;height:1.5pt" o:hralign="center" o:hrstd="t" o:hr="t" fillcolor="#a0a0a0" stroked="f"/>
        </w:pict>
      </w:r>
    </w:p>
    <w:p w14:paraId="392BE996" w14:textId="77777777" w:rsidR="00980E5F" w:rsidRDefault="00483613">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392BE997" w14:textId="77777777" w:rsidR="00980E5F" w:rsidRDefault="00483613">
      <w:pPr>
        <w:ind w:firstLine="450"/>
        <w:jc w:val="center"/>
      </w:pPr>
      <w:r>
        <w:rPr>
          <w:rFonts w:ascii="Arial" w:eastAsia="宋体" w:hAnsi="Arial" w:cs="Arial"/>
          <w:b/>
          <w:bCs/>
          <w:color w:val="000000"/>
          <w:sz w:val="20"/>
          <w:szCs w:val="20"/>
        </w:rPr>
        <w:t>AND RESULTS OF OPERATIONS</w:t>
      </w:r>
    </w:p>
    <w:p w14:paraId="392BE998"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Negative fee operating leverage of </w:t>
      </w:r>
      <w:r>
        <w:rPr>
          <w:rFonts w:ascii="Arial" w:eastAsia="宋体" w:hAnsi="Arial" w:cs="Arial"/>
          <w:color w:val="000000"/>
          <w:sz w:val="20"/>
          <w:szCs w:val="20"/>
          <w:shd w:val="clear" w:color="auto" w:fill="FFFFFF"/>
        </w:rPr>
        <w:t>5.6%</w:t>
      </w:r>
      <w:r>
        <w:rPr>
          <w:rFonts w:ascii="Arial" w:eastAsia="宋体" w:hAnsi="Arial" w:cs="Arial"/>
          <w:color w:val="000000"/>
          <w:sz w:val="20"/>
          <w:szCs w:val="20"/>
        </w:rPr>
        <w:t xml:space="preserve"> points in the second quarter of 2022. Fee operating leverage represents the difference between the percentage change in total fee revenue and the percentage change in to</w:t>
      </w:r>
      <w:r>
        <w:rPr>
          <w:rFonts w:ascii="Arial" w:eastAsia="宋体" w:hAnsi="Arial" w:cs="Arial"/>
          <w:color w:val="000000"/>
          <w:sz w:val="20"/>
          <w:szCs w:val="20"/>
        </w:rPr>
        <w:t>tal expenses, in each case relative to the prior year period.</w:t>
      </w:r>
    </w:p>
    <w:p w14:paraId="392BE999" w14:textId="77777777" w:rsidR="00980E5F" w:rsidRDefault="00483613">
      <w:pPr>
        <w:spacing w:before="60"/>
        <w:ind w:hanging="360"/>
        <w:jc w:val="both"/>
        <w:textAlignment w:val="top"/>
      </w:pPr>
      <w:r>
        <w:rPr>
          <w:rFonts w:ascii="Arial" w:eastAsia="宋体" w:hAnsi="Arial" w:cs="Arial"/>
          <w:color w:val="000000"/>
          <w:sz w:val="20"/>
          <w:szCs w:val="20"/>
        </w:rPr>
        <w:t>•While the ongoing war in Ukraine continued to cause considerable challenges for global markets in the second quarter of 2022, our direct financial exposure to Russia remains very low. As of Jun</w:t>
      </w:r>
      <w:r>
        <w:rPr>
          <w:rFonts w:ascii="Arial" w:eastAsia="宋体" w:hAnsi="Arial" w:cs="Arial"/>
          <w:color w:val="000000"/>
          <w:sz w:val="20"/>
          <w:szCs w:val="20"/>
        </w:rPr>
        <w:t>e 30, 2022, we had no direct credit exposures to Russian-domiciled entities, including the Russian central bank, other than our subcustodian in Russia, which is an affiliate of a large multinational bank.</w:t>
      </w:r>
    </w:p>
    <w:p w14:paraId="392BE99A" w14:textId="77777777" w:rsidR="00980E5F" w:rsidRDefault="00483613">
      <w:pPr>
        <w:spacing w:before="60"/>
        <w:jc w:val="both"/>
        <w:textAlignment w:val="top"/>
      </w:pPr>
      <w:r>
        <w:rPr>
          <w:rFonts w:ascii="Arial" w:eastAsia="宋体" w:hAnsi="Arial" w:cs="Arial"/>
          <w:b/>
          <w:bCs/>
          <w:i/>
          <w:iCs/>
          <w:color w:val="000000"/>
          <w:sz w:val="20"/>
          <w:szCs w:val="20"/>
        </w:rPr>
        <w:t>Revenue</w:t>
      </w:r>
    </w:p>
    <w:p w14:paraId="392BE99B" w14:textId="77777777" w:rsidR="00980E5F" w:rsidRDefault="00483613">
      <w:pPr>
        <w:spacing w:before="60"/>
        <w:ind w:hanging="360"/>
        <w:jc w:val="both"/>
        <w:textAlignment w:val="top"/>
      </w:pPr>
      <w:r>
        <w:rPr>
          <w:rFonts w:ascii="Arial" w:eastAsia="宋体" w:hAnsi="Arial" w:cs="Arial"/>
          <w:color w:val="000000"/>
          <w:sz w:val="20"/>
          <w:szCs w:val="20"/>
        </w:rPr>
        <w:t>•Total revenue decreased 3%</w:t>
      </w:r>
      <w:r>
        <w:rPr>
          <w:rFonts w:ascii="Arial" w:eastAsia="宋体" w:hAnsi="Arial" w:cs="Arial"/>
          <w:color w:val="000000"/>
          <w:sz w:val="20"/>
          <w:szCs w:val="20"/>
          <w:shd w:val="clear" w:color="auto" w:fill="FFFFFF"/>
        </w:rPr>
        <w:t xml:space="preserve"> in the second q</w:t>
      </w:r>
      <w:r>
        <w:rPr>
          <w:rFonts w:ascii="Arial" w:eastAsia="宋体" w:hAnsi="Arial" w:cs="Arial"/>
          <w:color w:val="000000"/>
          <w:sz w:val="20"/>
          <w:szCs w:val="20"/>
          <w:shd w:val="clear" w:color="auto" w:fill="FFFFFF"/>
        </w:rPr>
        <w:t xml:space="preserve">uarter of 2022, compared </w:t>
      </w:r>
      <w:r>
        <w:rPr>
          <w:rFonts w:ascii="Arial" w:eastAsia="宋体" w:hAnsi="Arial" w:cs="Arial"/>
          <w:color w:val="000000"/>
          <w:sz w:val="20"/>
          <w:szCs w:val="20"/>
        </w:rPr>
        <w:t>to the same period in 2021, as the decrease in total fee revenue was partially offset by higher NII. Total fee revenue decreased 6% in the second quarter of 2022, compared to the same period in 2021, primarily driven by lower servi</w:t>
      </w:r>
      <w:r>
        <w:rPr>
          <w:rFonts w:ascii="Arial" w:eastAsia="宋体" w:hAnsi="Arial" w:cs="Arial"/>
          <w:color w:val="000000"/>
          <w:sz w:val="20"/>
          <w:szCs w:val="20"/>
        </w:rPr>
        <w:t>cing fees, management fees, software and processing fees and other fee revenue, partially offset by higher foreign exchange trading services revenue. Currency translation decreased both total revenue and total fee revenue by 2% in the second quarter of 202</w:t>
      </w:r>
      <w:r>
        <w:rPr>
          <w:rFonts w:ascii="Arial" w:eastAsia="宋体" w:hAnsi="Arial" w:cs="Arial"/>
          <w:color w:val="000000"/>
          <w:sz w:val="20"/>
          <w:szCs w:val="20"/>
        </w:rPr>
        <w:t>2, relative to the same period in 2021</w:t>
      </w:r>
    </w:p>
    <w:p w14:paraId="392BE99C" w14:textId="77777777" w:rsidR="00980E5F" w:rsidRDefault="00483613">
      <w:pPr>
        <w:spacing w:before="60"/>
        <w:ind w:hanging="360"/>
        <w:jc w:val="both"/>
        <w:textAlignment w:val="top"/>
      </w:pPr>
      <w:r>
        <w:rPr>
          <w:rFonts w:ascii="Arial" w:eastAsia="宋体" w:hAnsi="Arial" w:cs="Arial"/>
          <w:color w:val="000000"/>
          <w:sz w:val="20"/>
          <w:szCs w:val="20"/>
        </w:rPr>
        <w:t>•Servicing fee revenue decreased 7% in the second quarter of 2022, compared to the same period in 2021, primarily due to lower average equity and fixed income market levels, normal pricing headwinds, lower client acti</w:t>
      </w:r>
      <w:r>
        <w:rPr>
          <w:rFonts w:ascii="Arial" w:eastAsia="宋体" w:hAnsi="Arial" w:cs="Arial"/>
          <w:color w:val="000000"/>
          <w:sz w:val="20"/>
          <w:szCs w:val="20"/>
        </w:rPr>
        <w:t xml:space="preserve">vity and adjustments and the impact of currency translation, partially offset by net new business. Currency translation decreased servicing fee revenue by 3% in the second quarter of 2022, relative to the same period in 2021. </w:t>
      </w:r>
    </w:p>
    <w:p w14:paraId="392BE99D" w14:textId="77777777" w:rsidR="00980E5F" w:rsidRDefault="00483613">
      <w:pPr>
        <w:spacing w:before="60"/>
        <w:ind w:hanging="360"/>
        <w:jc w:val="both"/>
        <w:textAlignment w:val="top"/>
      </w:pPr>
      <w:r>
        <w:rPr>
          <w:rFonts w:ascii="Arial" w:eastAsia="宋体" w:hAnsi="Arial" w:cs="Arial"/>
          <w:color w:val="000000"/>
          <w:sz w:val="20"/>
          <w:szCs w:val="20"/>
        </w:rPr>
        <w:t>•Management fee revenue decre</w:t>
      </w:r>
      <w:r>
        <w:rPr>
          <w:rFonts w:ascii="Arial" w:eastAsia="宋体" w:hAnsi="Arial" w:cs="Arial"/>
          <w:color w:val="000000"/>
          <w:sz w:val="20"/>
          <w:szCs w:val="20"/>
        </w:rPr>
        <w:t xml:space="preserve">ased </w:t>
      </w:r>
      <w:r>
        <w:rPr>
          <w:rFonts w:ascii="Arial" w:eastAsia="宋体" w:hAnsi="Arial" w:cs="Arial"/>
          <w:color w:val="000000"/>
          <w:sz w:val="20"/>
          <w:szCs w:val="20"/>
          <w:shd w:val="clear" w:color="auto" w:fill="FFFFFF"/>
        </w:rPr>
        <w:t>3%</w:t>
      </w:r>
      <w:r>
        <w:rPr>
          <w:rFonts w:ascii="Arial" w:eastAsia="宋体" w:hAnsi="Arial" w:cs="Arial"/>
          <w:color w:val="000000"/>
          <w:sz w:val="20"/>
          <w:szCs w:val="20"/>
        </w:rPr>
        <w:t xml:space="preserve"> in the second quarter of 2022, compared to the same period in 2021, primarily due to lower average equity and fixed income market levels, a client-specific pricing adjustment, and the impact of currency translation, partially offset by the absence </w:t>
      </w:r>
      <w:r>
        <w:rPr>
          <w:rFonts w:ascii="Arial" w:eastAsia="宋体" w:hAnsi="Arial" w:cs="Arial"/>
          <w:color w:val="000000"/>
          <w:sz w:val="20"/>
          <w:szCs w:val="20"/>
        </w:rPr>
        <w:t xml:space="preserve">of the impact of money market fee waivers and net inflows from ETFs. Currency translation decreased management fees by 2% in the second quarter of 2022, relative to the same period in 2021. </w:t>
      </w:r>
    </w:p>
    <w:p w14:paraId="392BE99E" w14:textId="77777777" w:rsidR="00980E5F" w:rsidRDefault="00483613">
      <w:pPr>
        <w:spacing w:before="60"/>
        <w:ind w:hanging="360"/>
        <w:jc w:val="both"/>
        <w:textAlignment w:val="top"/>
      </w:pPr>
      <w:r>
        <w:rPr>
          <w:rFonts w:ascii="Arial" w:eastAsia="宋体" w:hAnsi="Arial" w:cs="Arial"/>
          <w:color w:val="000000"/>
          <w:sz w:val="20"/>
          <w:szCs w:val="20"/>
        </w:rPr>
        <w:t xml:space="preserve">•Foreign exchange trading services revenue increased </w:t>
      </w:r>
      <w:r>
        <w:rPr>
          <w:rFonts w:ascii="Arial" w:eastAsia="宋体" w:hAnsi="Arial" w:cs="Arial"/>
          <w:color w:val="000000"/>
          <w:sz w:val="20"/>
          <w:szCs w:val="20"/>
          <w:shd w:val="clear" w:color="auto" w:fill="FFFFFF"/>
        </w:rPr>
        <w:t>16%</w:t>
      </w:r>
      <w:r>
        <w:rPr>
          <w:rFonts w:ascii="Arial" w:eastAsia="宋体" w:hAnsi="Arial" w:cs="Arial"/>
          <w:color w:val="000000"/>
          <w:sz w:val="20"/>
          <w:szCs w:val="20"/>
        </w:rPr>
        <w:t xml:space="preserve"> in the s</w:t>
      </w:r>
      <w:r>
        <w:rPr>
          <w:rFonts w:ascii="Arial" w:eastAsia="宋体" w:hAnsi="Arial" w:cs="Arial"/>
          <w:color w:val="000000"/>
          <w:sz w:val="20"/>
          <w:szCs w:val="20"/>
        </w:rPr>
        <w:t>econd quarter of 2022, compared to the same period in 2021, primarily reflecting higher FX spreads, partially offset by lower client FX volumes.</w:t>
      </w:r>
    </w:p>
    <w:p w14:paraId="392BE99F" w14:textId="77777777" w:rsidR="00980E5F" w:rsidRDefault="00483613">
      <w:pPr>
        <w:spacing w:before="60"/>
        <w:ind w:hanging="360"/>
        <w:jc w:val="both"/>
        <w:textAlignment w:val="top"/>
      </w:pPr>
      <w:r>
        <w:rPr>
          <w:rFonts w:ascii="Arial" w:eastAsia="宋体" w:hAnsi="Arial" w:cs="Arial"/>
          <w:color w:val="000000"/>
          <w:sz w:val="20"/>
          <w:szCs w:val="20"/>
        </w:rPr>
        <w:t xml:space="preserve">•Securities finance revenue decreased </w:t>
      </w:r>
      <w:r>
        <w:rPr>
          <w:rFonts w:ascii="Arial" w:eastAsia="宋体" w:hAnsi="Arial" w:cs="Arial"/>
          <w:color w:val="000000"/>
          <w:sz w:val="20"/>
          <w:szCs w:val="20"/>
          <w:shd w:val="clear" w:color="auto" w:fill="FFFFFF"/>
        </w:rPr>
        <w:t>2</w:t>
      </w:r>
      <w:r>
        <w:rPr>
          <w:rFonts w:ascii="Arial" w:eastAsia="宋体" w:hAnsi="Arial" w:cs="Arial"/>
          <w:color w:val="000000"/>
          <w:sz w:val="20"/>
          <w:szCs w:val="20"/>
        </w:rPr>
        <w:t>% in the second quarter of 2022, compared to the same period in 2021, re</w:t>
      </w:r>
      <w:r>
        <w:rPr>
          <w:rFonts w:ascii="Arial" w:eastAsia="宋体" w:hAnsi="Arial" w:cs="Arial"/>
          <w:color w:val="000000"/>
          <w:sz w:val="20"/>
          <w:szCs w:val="20"/>
        </w:rPr>
        <w:t>flecting lower agency and enhanced custody balances, partially offset by higher spreads.</w:t>
      </w:r>
    </w:p>
    <w:p w14:paraId="392BE9A0" w14:textId="77777777" w:rsidR="00980E5F" w:rsidRDefault="00483613">
      <w:pPr>
        <w:spacing w:before="60"/>
        <w:ind w:hanging="360"/>
        <w:jc w:val="both"/>
        <w:textAlignment w:val="top"/>
      </w:pPr>
      <w:r>
        <w:rPr>
          <w:rFonts w:ascii="Arial" w:eastAsia="宋体" w:hAnsi="Arial" w:cs="Arial"/>
          <w:color w:val="000000"/>
          <w:sz w:val="20"/>
          <w:szCs w:val="20"/>
        </w:rPr>
        <w:t xml:space="preserve">•Software and processing fees revenue decreased </w:t>
      </w:r>
      <w:r>
        <w:rPr>
          <w:rFonts w:ascii="Arial" w:eastAsia="宋体" w:hAnsi="Arial" w:cs="Arial"/>
          <w:color w:val="000000"/>
          <w:sz w:val="20"/>
          <w:szCs w:val="20"/>
          <w:shd w:val="clear" w:color="auto" w:fill="FFFFFF"/>
        </w:rPr>
        <w:t>11%</w:t>
      </w:r>
      <w:r>
        <w:rPr>
          <w:rFonts w:ascii="Arial" w:eastAsia="宋体" w:hAnsi="Arial" w:cs="Arial"/>
          <w:color w:val="000000"/>
          <w:sz w:val="20"/>
          <w:szCs w:val="20"/>
        </w:rPr>
        <w:t xml:space="preserve"> in the second quarter of 2022, compared to the same period in 2021, primarily due to lower front office software an</w:t>
      </w:r>
      <w:r>
        <w:rPr>
          <w:rFonts w:ascii="Arial" w:eastAsia="宋体" w:hAnsi="Arial" w:cs="Arial"/>
          <w:color w:val="000000"/>
          <w:sz w:val="20"/>
          <w:szCs w:val="20"/>
        </w:rPr>
        <w:t>d data revenue associated with CRD.</w:t>
      </w:r>
    </w:p>
    <w:p w14:paraId="392BE9A1" w14:textId="77777777" w:rsidR="00980E5F" w:rsidRDefault="00483613">
      <w:pPr>
        <w:spacing w:before="60"/>
        <w:ind w:hanging="360"/>
        <w:jc w:val="both"/>
        <w:textAlignment w:val="top"/>
      </w:pPr>
      <w:r>
        <w:rPr>
          <w:rFonts w:ascii="Arial" w:eastAsia="宋体" w:hAnsi="Arial" w:cs="Arial"/>
          <w:color w:val="000000"/>
          <w:sz w:val="20"/>
          <w:szCs w:val="20"/>
        </w:rPr>
        <w:t>•Other fee revenue decreased $53 million in the second quarter of 2022, compared to the same period in 2021, primarily due to negative market-related adjustments.</w:t>
      </w:r>
    </w:p>
    <w:p w14:paraId="392BE9A2" w14:textId="77777777" w:rsidR="00980E5F" w:rsidRDefault="00483613">
      <w:pPr>
        <w:spacing w:before="60"/>
        <w:ind w:hanging="360"/>
        <w:jc w:val="both"/>
        <w:textAlignment w:val="top"/>
      </w:pPr>
      <w:r>
        <w:rPr>
          <w:rFonts w:ascii="Arial" w:eastAsia="宋体" w:hAnsi="Arial" w:cs="Arial"/>
          <w:color w:val="000000"/>
          <w:sz w:val="20"/>
          <w:szCs w:val="20"/>
        </w:rPr>
        <w:t xml:space="preserve">•NII increased </w:t>
      </w:r>
      <w:r>
        <w:rPr>
          <w:rFonts w:ascii="Arial" w:eastAsia="宋体" w:hAnsi="Arial" w:cs="Arial"/>
          <w:color w:val="000000"/>
          <w:sz w:val="20"/>
          <w:szCs w:val="20"/>
          <w:shd w:val="clear" w:color="auto" w:fill="FFFFFF"/>
        </w:rPr>
        <w:t>25%</w:t>
      </w:r>
      <w:r>
        <w:rPr>
          <w:rFonts w:ascii="Arial" w:eastAsia="宋体" w:hAnsi="Arial" w:cs="Arial"/>
          <w:color w:val="000000"/>
          <w:sz w:val="20"/>
          <w:szCs w:val="20"/>
        </w:rPr>
        <w:t xml:space="preserve"> in the second quarter of 2022, compared to the same period in 2021, primarily due to higher market interest rates and growth in loan balances.</w:t>
      </w:r>
    </w:p>
    <w:p w14:paraId="392BE9A3" w14:textId="77777777" w:rsidR="00980E5F" w:rsidRDefault="00483613">
      <w:pPr>
        <w:spacing w:before="60"/>
        <w:jc w:val="both"/>
        <w:textAlignment w:val="top"/>
      </w:pPr>
      <w:r>
        <w:rPr>
          <w:rFonts w:ascii="Arial" w:eastAsia="宋体" w:hAnsi="Arial" w:cs="Arial"/>
          <w:b/>
          <w:bCs/>
          <w:i/>
          <w:iCs/>
          <w:color w:val="000000"/>
          <w:sz w:val="20"/>
          <w:szCs w:val="20"/>
        </w:rPr>
        <w:t>Provision for Credit Losses</w:t>
      </w:r>
    </w:p>
    <w:p w14:paraId="392BE9A4" w14:textId="77777777" w:rsidR="00980E5F" w:rsidRDefault="00483613">
      <w:pPr>
        <w:spacing w:before="60"/>
        <w:ind w:hanging="360"/>
        <w:jc w:val="both"/>
        <w:textAlignment w:val="top"/>
      </w:pPr>
      <w:r>
        <w:rPr>
          <w:rFonts w:ascii="Arial" w:eastAsia="宋体" w:hAnsi="Arial" w:cs="Arial"/>
          <w:color w:val="000000"/>
          <w:sz w:val="20"/>
          <w:szCs w:val="20"/>
        </w:rPr>
        <w:t>•We recorded</w:t>
      </w:r>
      <w:r>
        <w:rPr>
          <w:rFonts w:ascii="Arial" w:eastAsia="宋体" w:hAnsi="Arial" w:cs="Arial"/>
          <w:color w:val="000000"/>
          <w:sz w:val="20"/>
          <w:szCs w:val="20"/>
          <w:shd w:val="clear" w:color="auto" w:fill="FFFFFF"/>
        </w:rPr>
        <w:t xml:space="preserve"> a $10 million</w:t>
      </w:r>
      <w:r>
        <w:rPr>
          <w:rFonts w:ascii="Arial" w:eastAsia="宋体" w:hAnsi="Arial" w:cs="Arial"/>
          <w:color w:val="000000"/>
          <w:sz w:val="20"/>
          <w:szCs w:val="20"/>
        </w:rPr>
        <w:t xml:space="preserve"> provision for credit losses in the second quarter of 2022</w:t>
      </w:r>
      <w:r>
        <w:rPr>
          <w:rFonts w:ascii="Arial" w:eastAsia="宋体" w:hAnsi="Arial" w:cs="Arial"/>
          <w:color w:val="000000"/>
          <w:sz w:val="20"/>
          <w:szCs w:val="20"/>
        </w:rPr>
        <w:t>, compared to a $15 million reserve release in the same period in 2021, reflecting a downward shift in management's economic outlook, partially offset by a decrease in expected losses related to leveraged loans within our portfolio.</w:t>
      </w:r>
    </w:p>
    <w:p w14:paraId="392BE9A5" w14:textId="77777777" w:rsidR="00980E5F" w:rsidRDefault="00483613">
      <w:pPr>
        <w:spacing w:before="60"/>
        <w:jc w:val="both"/>
        <w:textAlignment w:val="top"/>
      </w:pPr>
      <w:r>
        <w:rPr>
          <w:rFonts w:ascii="Arial" w:eastAsia="宋体" w:hAnsi="Arial" w:cs="Arial"/>
          <w:b/>
          <w:bCs/>
          <w:i/>
          <w:iCs/>
          <w:color w:val="000000"/>
          <w:sz w:val="20"/>
          <w:szCs w:val="20"/>
        </w:rPr>
        <w:t>Expenses</w:t>
      </w:r>
    </w:p>
    <w:p w14:paraId="392BE9A6" w14:textId="77777777" w:rsidR="00980E5F" w:rsidRDefault="00483613">
      <w:pPr>
        <w:spacing w:before="60"/>
        <w:ind w:hanging="360"/>
        <w:jc w:val="both"/>
        <w:textAlignment w:val="top"/>
      </w:pPr>
      <w:r>
        <w:rPr>
          <w:rFonts w:ascii="Arial" w:eastAsia="宋体" w:hAnsi="Arial" w:cs="Arial"/>
          <w:color w:val="000000"/>
          <w:sz w:val="20"/>
          <w:szCs w:val="20"/>
        </w:rPr>
        <w:t xml:space="preserve">•Total expenses were </w:t>
      </w:r>
      <w:r>
        <w:rPr>
          <w:rFonts w:ascii="Arial" w:eastAsia="宋体" w:hAnsi="Arial" w:cs="Arial"/>
          <w:color w:val="000000"/>
          <w:sz w:val="20"/>
          <w:szCs w:val="20"/>
          <w:shd w:val="clear" w:color="auto" w:fill="FFFFFF"/>
        </w:rPr>
        <w:t>flat</w:t>
      </w:r>
      <w:r>
        <w:rPr>
          <w:rFonts w:ascii="Arial" w:eastAsia="宋体" w:hAnsi="Arial" w:cs="Arial"/>
          <w:color w:val="000000"/>
          <w:sz w:val="20"/>
          <w:szCs w:val="20"/>
        </w:rPr>
        <w:t xml:space="preserve"> in the second quarter of 2022, compared to the same period in 2021, as higher targeted business investments and wage growth were offset by productivity savings and ongoing disciplined expense management, and the positive impact of</w:t>
      </w:r>
      <w:r>
        <w:rPr>
          <w:rFonts w:ascii="Arial" w:eastAsia="宋体" w:hAnsi="Arial" w:cs="Arial"/>
          <w:color w:val="000000"/>
          <w:sz w:val="20"/>
          <w:szCs w:val="20"/>
        </w:rPr>
        <w:t xml:space="preserve"> currency translation. Currency translation decreased expenses by 3% in the second quarter of 2022, relative to the same period in 2021.</w:t>
      </w:r>
    </w:p>
    <w:p w14:paraId="392BE9A7" w14:textId="77777777" w:rsidR="00980E5F" w:rsidRDefault="00483613">
      <w:pPr>
        <w:spacing w:before="60"/>
        <w:jc w:val="both"/>
        <w:textAlignment w:val="top"/>
      </w:pPr>
      <w:r>
        <w:rPr>
          <w:rFonts w:ascii="Arial" w:eastAsia="宋体" w:hAnsi="Arial" w:cs="Arial"/>
          <w:b/>
          <w:bCs/>
          <w:i/>
          <w:iCs/>
          <w:color w:val="000000"/>
          <w:sz w:val="20"/>
          <w:szCs w:val="20"/>
        </w:rPr>
        <w:t>Notable items</w:t>
      </w:r>
    </w:p>
    <w:p w14:paraId="392BE9A8" w14:textId="77777777" w:rsidR="00980E5F" w:rsidRDefault="00483613">
      <w:pPr>
        <w:spacing w:before="60"/>
        <w:ind w:hanging="360"/>
        <w:jc w:val="both"/>
        <w:textAlignment w:val="top"/>
      </w:pPr>
      <w:r>
        <w:rPr>
          <w:rFonts w:ascii="Arial" w:eastAsia="宋体" w:hAnsi="Arial" w:cs="Arial"/>
          <w:color w:val="000000"/>
          <w:sz w:val="20"/>
          <w:szCs w:val="20"/>
        </w:rPr>
        <w:t>•The impact of notable items in the second quarter of 2022 includes acquisition and restructuring costs o</w:t>
      </w:r>
      <w:r>
        <w:rPr>
          <w:rFonts w:ascii="Arial" w:eastAsia="宋体" w:hAnsi="Arial" w:cs="Arial"/>
          <w:color w:val="000000"/>
          <w:sz w:val="20"/>
          <w:szCs w:val="20"/>
        </w:rPr>
        <w:t xml:space="preserve">f approximately </w:t>
      </w:r>
      <w:r>
        <w:rPr>
          <w:rFonts w:ascii="Arial" w:eastAsia="宋体" w:hAnsi="Arial" w:cs="Arial"/>
          <w:color w:val="000000"/>
          <w:sz w:val="20"/>
          <w:szCs w:val="20"/>
          <w:shd w:val="clear" w:color="auto" w:fill="FFFFFF"/>
        </w:rPr>
        <w:t>$12 million</w:t>
      </w:r>
      <w:r>
        <w:rPr>
          <w:rFonts w:ascii="Arial" w:eastAsia="宋体" w:hAnsi="Arial" w:cs="Arial"/>
          <w:color w:val="000000"/>
          <w:sz w:val="20"/>
          <w:szCs w:val="20"/>
        </w:rPr>
        <w:t xml:space="preserve"> related to our proposed acquisition of the BBH Investor Services business, which is subject to regulatory review and other closing conditions.</w:t>
      </w:r>
    </w:p>
    <w:p w14:paraId="392BE9A9" w14:textId="77777777" w:rsidR="00980E5F" w:rsidRDefault="00483613">
      <w:pPr>
        <w:spacing w:before="60"/>
        <w:ind w:hanging="360"/>
        <w:jc w:val="both"/>
        <w:textAlignment w:val="top"/>
      </w:pPr>
      <w:r>
        <w:rPr>
          <w:rFonts w:ascii="Arial" w:eastAsia="宋体" w:hAnsi="Arial" w:cs="Arial"/>
          <w:color w:val="000000"/>
          <w:sz w:val="20"/>
          <w:szCs w:val="20"/>
        </w:rPr>
        <w:t>•The impact of notable items in the second quarter of 2021 includes:</w:t>
      </w:r>
    </w:p>
    <w:p w14:paraId="392BE9AA" w14:textId="77777777" w:rsidR="00980E5F" w:rsidRDefault="00483613">
      <w:pPr>
        <w:ind w:firstLine="450"/>
        <w:jc w:val="right"/>
      </w:pPr>
      <w:r>
        <w:rPr>
          <w:rFonts w:ascii="Arial" w:eastAsia="宋体" w:hAnsi="Arial" w:cs="Arial"/>
          <w:color w:val="000000"/>
          <w:sz w:val="18"/>
          <w:szCs w:val="18"/>
        </w:rPr>
        <w:t>State Street Cor</w:t>
      </w:r>
      <w:r>
        <w:rPr>
          <w:rFonts w:ascii="Arial" w:eastAsia="宋体" w:hAnsi="Arial" w:cs="Arial"/>
          <w:color w:val="000000"/>
          <w:sz w:val="18"/>
          <w:szCs w:val="18"/>
        </w:rPr>
        <w:t>poration | 9</w:t>
      </w:r>
    </w:p>
    <w:p w14:paraId="392BE9AB" w14:textId="77777777" w:rsidR="00980E5F" w:rsidRDefault="00980E5F">
      <w:pPr>
        <w:ind w:firstLine="450"/>
        <w:jc w:val="center"/>
      </w:pPr>
    </w:p>
    <w:p w14:paraId="392BE9AC" w14:textId="77777777" w:rsidR="00980E5F" w:rsidRDefault="00483613">
      <w:r>
        <w:pict w14:anchorId="392CBAD7">
          <v:rect id="_x0000_i1033" style="width:415.3pt;height:1.5pt" o:hralign="center" o:hrstd="t" o:hr="t" fillcolor="#a0a0a0" stroked="f"/>
        </w:pict>
      </w:r>
    </w:p>
    <w:p w14:paraId="392BE9AD"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9AE" w14:textId="77777777" w:rsidR="00980E5F" w:rsidRDefault="00483613">
      <w:pPr>
        <w:ind w:firstLine="450"/>
        <w:jc w:val="center"/>
      </w:pPr>
      <w:r>
        <w:rPr>
          <w:rFonts w:ascii="Arial" w:eastAsia="宋体" w:hAnsi="Arial" w:cs="Arial"/>
          <w:b/>
          <w:bCs/>
          <w:color w:val="000000"/>
          <w:sz w:val="20"/>
          <w:szCs w:val="20"/>
        </w:rPr>
        <w:t>AND RESULTS OF OPERATIONS</w:t>
      </w:r>
    </w:p>
    <w:p w14:paraId="392BE9AF"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$53 million gain on the sale of a majority share of our Wealth Management Services (WMS) business, recorded in other income;</w:t>
      </w:r>
    </w:p>
    <w:p w14:paraId="392BE9B0"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legal accrual release of ap</w:t>
      </w:r>
      <w:r>
        <w:rPr>
          <w:rFonts w:ascii="Arial" w:eastAsia="宋体" w:hAnsi="Arial" w:cs="Arial"/>
          <w:color w:val="000000"/>
          <w:sz w:val="20"/>
          <w:szCs w:val="20"/>
        </w:rPr>
        <w:t>proximately $11 million; and</w:t>
      </w:r>
    </w:p>
    <w:p w14:paraId="392BE9B1" w14:textId="77777777" w:rsidR="00980E5F" w:rsidRDefault="00483613">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$11 million, primarily related to our 2018 acquisition of CRD.</w:t>
      </w:r>
    </w:p>
    <w:p w14:paraId="392BE9B2" w14:textId="77777777" w:rsidR="00980E5F" w:rsidRDefault="00483613">
      <w:pPr>
        <w:spacing w:before="60"/>
        <w:ind w:firstLine="360"/>
        <w:jc w:val="both"/>
        <w:textAlignment w:val="top"/>
      </w:pPr>
      <w:r>
        <w:rPr>
          <w:rFonts w:ascii="Arial" w:eastAsia="宋体" w:hAnsi="Arial" w:cs="Arial"/>
          <w:b/>
          <w:bCs/>
          <w:i/>
          <w:iCs/>
          <w:color w:val="000000"/>
          <w:sz w:val="20"/>
          <w:szCs w:val="20"/>
        </w:rPr>
        <w:t>AUC/A and AUM</w:t>
      </w:r>
    </w:p>
    <w:p w14:paraId="392BE9B3" w14:textId="77777777" w:rsidR="00980E5F" w:rsidRDefault="00483613">
      <w:pPr>
        <w:spacing w:before="60"/>
        <w:ind w:hanging="360"/>
        <w:jc w:val="both"/>
        <w:textAlignment w:val="top"/>
      </w:pPr>
      <w:r>
        <w:rPr>
          <w:rFonts w:ascii="Arial" w:eastAsia="宋体" w:hAnsi="Arial" w:cs="Arial"/>
          <w:color w:val="000000"/>
          <w:sz w:val="20"/>
          <w:szCs w:val="20"/>
        </w:rPr>
        <w:t>•AUC/A of $38.18 trillion decreased 10% as of June 30, 2022, compared to June 30, 2021, primaril</w:t>
      </w:r>
      <w:r>
        <w:rPr>
          <w:rFonts w:ascii="Arial" w:eastAsia="宋体" w:hAnsi="Arial" w:cs="Arial"/>
          <w:color w:val="000000"/>
          <w:sz w:val="20"/>
          <w:szCs w:val="20"/>
        </w:rPr>
        <w:t>y due to lower market levels, partially offset by net new business and client flows. In the second quarter of 2022, newly announced asset servicing mandates totaled approximately $972 billion. Servicing assets remaining to be installed in future periods to</w:t>
      </w:r>
      <w:r>
        <w:rPr>
          <w:rFonts w:ascii="Arial" w:eastAsia="宋体" w:hAnsi="Arial" w:cs="Arial"/>
          <w:color w:val="000000"/>
          <w:sz w:val="20"/>
          <w:szCs w:val="20"/>
        </w:rPr>
        <w:t>taled approximately $3.63 trillion as of June 30, 2022.</w:t>
      </w:r>
    </w:p>
    <w:p w14:paraId="392BE9B4" w14:textId="77777777" w:rsidR="00980E5F" w:rsidRDefault="00483613">
      <w:pPr>
        <w:spacing w:before="60"/>
        <w:ind w:hanging="360"/>
        <w:jc w:val="both"/>
        <w:textAlignment w:val="top"/>
      </w:pPr>
      <w:r>
        <w:rPr>
          <w:rFonts w:ascii="Arial" w:eastAsia="宋体" w:hAnsi="Arial" w:cs="Arial"/>
          <w:color w:val="000000"/>
          <w:sz w:val="20"/>
          <w:szCs w:val="20"/>
        </w:rPr>
        <w:t>•AUM of $3.48 trillion decreased 11% as of June 30, 2022, compared to June 30, 2021, primarily due to lower market levels and net outflows from our Institutional business, partially offset by net infl</w:t>
      </w:r>
      <w:r>
        <w:rPr>
          <w:rFonts w:ascii="Arial" w:eastAsia="宋体" w:hAnsi="Arial" w:cs="Arial"/>
          <w:color w:val="000000"/>
          <w:sz w:val="20"/>
          <w:szCs w:val="20"/>
        </w:rPr>
        <w:t>ows from our ETF and Cash businesses.</w:t>
      </w:r>
    </w:p>
    <w:p w14:paraId="392BE9B5" w14:textId="77777777" w:rsidR="00980E5F" w:rsidRDefault="00483613">
      <w:pPr>
        <w:spacing w:before="60"/>
        <w:jc w:val="both"/>
        <w:textAlignment w:val="top"/>
      </w:pPr>
      <w:r>
        <w:rPr>
          <w:rFonts w:ascii="Arial" w:eastAsia="宋体" w:hAnsi="Arial" w:cs="Arial"/>
          <w:b/>
          <w:bCs/>
          <w:i/>
          <w:iCs/>
          <w:color w:val="000000"/>
          <w:sz w:val="20"/>
          <w:szCs w:val="20"/>
        </w:rPr>
        <w:t xml:space="preserve">Capital </w:t>
      </w:r>
    </w:p>
    <w:p w14:paraId="392BE9B6" w14:textId="77777777" w:rsidR="00980E5F" w:rsidRDefault="00483613">
      <w:pPr>
        <w:spacing w:before="60"/>
        <w:ind w:hanging="360"/>
        <w:jc w:val="both"/>
        <w:textAlignment w:val="top"/>
      </w:pPr>
      <w:r>
        <w:rPr>
          <w:rFonts w:ascii="Arial" w:eastAsia="宋体" w:hAnsi="Arial" w:cs="Arial"/>
          <w:color w:val="000000"/>
          <w:sz w:val="20"/>
          <w:szCs w:val="20"/>
        </w:rPr>
        <w:t>•We declared common stock dividends of $0.57 per share, totaling $210 million in the second quarter of 2022, compared to $0.52 per share, totaling $179 million in the same period in 2021.</w:t>
      </w:r>
    </w:p>
    <w:p w14:paraId="392BE9B7" w14:textId="77777777" w:rsidR="00980E5F" w:rsidRDefault="00483613">
      <w:pPr>
        <w:spacing w:before="60"/>
        <w:ind w:hanging="360"/>
        <w:jc w:val="both"/>
        <w:textAlignment w:val="top"/>
      </w:pPr>
      <w:r>
        <w:rPr>
          <w:rFonts w:ascii="Arial" w:eastAsia="宋体" w:hAnsi="Arial" w:cs="Arial"/>
          <w:color w:val="000000"/>
          <w:sz w:val="20"/>
          <w:szCs w:val="20"/>
        </w:rPr>
        <w:t>•In July 2022, we dec</w:t>
      </w:r>
      <w:r>
        <w:rPr>
          <w:rFonts w:ascii="Arial" w:eastAsia="宋体" w:hAnsi="Arial" w:cs="Arial"/>
          <w:color w:val="000000"/>
          <w:sz w:val="20"/>
          <w:szCs w:val="20"/>
        </w:rPr>
        <w:t>lared third quarter common stock dividends of $0.63 per share, representing a 10% increase on a per share basis from both the third quarter of 2021 and second quarter of 2022.</w:t>
      </w:r>
    </w:p>
    <w:p w14:paraId="392BE9B8" w14:textId="77777777" w:rsidR="00980E5F" w:rsidRDefault="00483613">
      <w:pPr>
        <w:spacing w:before="60"/>
        <w:ind w:hanging="360"/>
        <w:jc w:val="both"/>
        <w:textAlignment w:val="top"/>
      </w:pPr>
      <w:r>
        <w:rPr>
          <w:rFonts w:ascii="Arial" w:eastAsia="宋体" w:hAnsi="Arial" w:cs="Arial"/>
          <w:color w:val="000000"/>
          <w:sz w:val="20"/>
          <w:szCs w:val="20"/>
        </w:rPr>
        <w:t>•In July 2021, our Board authorized a common share repurchase plan of up to $3.0 billion of our common stock through the end of 2022; however, in connection with our proposed acquisition of the BBH Investor Services business, we did not repurchase any comm</w:t>
      </w:r>
      <w:r>
        <w:rPr>
          <w:rFonts w:ascii="Arial" w:eastAsia="宋体" w:hAnsi="Arial" w:cs="Arial"/>
          <w:color w:val="000000"/>
          <w:sz w:val="20"/>
          <w:szCs w:val="20"/>
        </w:rPr>
        <w:t>on stock during the last half of 2021, as well as during the first half of 2022. In June 2022, we announced our intention to resume our common share repurchases during the fourth quarter of 2022 in an amount reflecting interest rate levels and market condi</w:t>
      </w:r>
      <w:r>
        <w:rPr>
          <w:rFonts w:ascii="Arial" w:eastAsia="宋体" w:hAnsi="Arial" w:cs="Arial"/>
          <w:color w:val="000000"/>
          <w:sz w:val="20"/>
          <w:szCs w:val="20"/>
        </w:rPr>
        <w:t xml:space="preserve">tions at that time. </w:t>
      </w:r>
    </w:p>
    <w:p w14:paraId="392BE9B9" w14:textId="77777777" w:rsidR="00980E5F" w:rsidRDefault="00483613">
      <w:pPr>
        <w:ind w:hanging="360"/>
        <w:jc w:val="both"/>
        <w:textAlignment w:val="top"/>
      </w:pPr>
      <w:r>
        <w:rPr>
          <w:rFonts w:ascii="Arial" w:eastAsia="宋体" w:hAnsi="Arial" w:cs="Arial"/>
          <w:color w:val="000000"/>
          <w:sz w:val="22"/>
          <w:szCs w:val="22"/>
        </w:rPr>
        <w:t>•</w:t>
      </w:r>
      <w:r>
        <w:rPr>
          <w:rFonts w:ascii="Arial" w:eastAsia="宋体" w:hAnsi="Arial" w:cs="Arial"/>
          <w:color w:val="000000"/>
          <w:sz w:val="20"/>
          <w:szCs w:val="20"/>
        </w:rPr>
        <w:t xml:space="preserve">Our standardized CET1 capital ratio decreased to 12.9% as of June 30, 2022, compared to 14.3% as of December 31, 2021, primarily reflecting lower AOCI related </w:t>
      </w:r>
    </w:p>
    <w:p w14:paraId="392BE9BA" w14:textId="77777777" w:rsidR="00980E5F" w:rsidRDefault="00483613">
      <w:pPr>
        <w:jc w:val="both"/>
        <w:textAlignment w:val="top"/>
      </w:pPr>
      <w:r>
        <w:rPr>
          <w:rFonts w:ascii="Arial" w:eastAsia="宋体" w:hAnsi="Arial" w:cs="Arial"/>
          <w:color w:val="000000"/>
          <w:sz w:val="20"/>
          <w:szCs w:val="20"/>
        </w:rPr>
        <w:t>to AFS securities driven by the significant increase in rates across the yield curve and the implementation of the standardized approach for counterparty credit risk (SA-CCR), partially offset by planned RWA reductions and optimization. Our Tier 1 leverage</w:t>
      </w:r>
      <w:r>
        <w:rPr>
          <w:rFonts w:ascii="Arial" w:eastAsia="宋体" w:hAnsi="Arial" w:cs="Arial"/>
          <w:color w:val="000000"/>
          <w:sz w:val="20"/>
          <w:szCs w:val="20"/>
        </w:rPr>
        <w:t xml:space="preserve"> ratio decreased to 6.0% as of June 30, 2022 compared to 6.1% as of December 31, 2021, primarily driven by lower AOCI, partially offset by lower consolidated average assets. During the second quarter of 2022, we completed a number of our previously announc</w:t>
      </w:r>
      <w:r>
        <w:rPr>
          <w:rFonts w:ascii="Arial" w:eastAsia="宋体" w:hAnsi="Arial" w:cs="Arial"/>
          <w:color w:val="000000"/>
          <w:sz w:val="20"/>
          <w:szCs w:val="20"/>
        </w:rPr>
        <w:t>ed actions to mitigate additional AOCI risk in the current environment including a $21.23 billion transfer of securities from AFS to HTM. Given the reduction in AOCI risk, we have the ability to operate with CET1 and Tier 1 leverage capital ratios at or so</w:t>
      </w:r>
      <w:r>
        <w:rPr>
          <w:rFonts w:ascii="Arial" w:eastAsia="宋体" w:hAnsi="Arial" w:cs="Arial"/>
          <w:color w:val="000000"/>
          <w:sz w:val="20"/>
          <w:szCs w:val="20"/>
        </w:rPr>
        <w:t xml:space="preserve">mewhat below the lower end of our target ranges of 10-11% and 5.25-5.75%, respectively, after the close of the proposed acquisition of the BBH Investor Services business. </w:t>
      </w:r>
    </w:p>
    <w:p w14:paraId="392BE9BB" w14:textId="77777777" w:rsidR="00980E5F" w:rsidRDefault="00483613">
      <w:pPr>
        <w:spacing w:before="60"/>
        <w:ind w:firstLine="720"/>
        <w:jc w:val="both"/>
        <w:textAlignment w:val="top"/>
      </w:pPr>
      <w:r>
        <w:rPr>
          <w:rFonts w:ascii="Arial" w:eastAsia="宋体" w:hAnsi="Arial" w:cs="Arial"/>
          <w:b/>
          <w:bCs/>
          <w:i/>
          <w:iCs/>
          <w:color w:val="000000"/>
          <w:sz w:val="20"/>
          <w:szCs w:val="20"/>
        </w:rPr>
        <w:t>Debt Issuances and Redemptions</w:t>
      </w:r>
    </w:p>
    <w:p w14:paraId="392BE9BC" w14:textId="77777777" w:rsidR="00980E5F" w:rsidRDefault="00483613">
      <w:pPr>
        <w:spacing w:before="60"/>
        <w:ind w:hanging="360"/>
        <w:jc w:val="both"/>
        <w:textAlignment w:val="top"/>
      </w:pPr>
      <w:r>
        <w:rPr>
          <w:rFonts w:ascii="Arial" w:eastAsia="宋体" w:hAnsi="Arial" w:cs="Arial"/>
          <w:color w:val="000000"/>
          <w:sz w:val="20"/>
          <w:szCs w:val="20"/>
        </w:rPr>
        <w:t>•On May 13, 2022, we issued $500 million aggregate pr</w:t>
      </w:r>
      <w:r>
        <w:rPr>
          <w:rFonts w:ascii="Arial" w:eastAsia="宋体" w:hAnsi="Arial" w:cs="Arial"/>
          <w:color w:val="000000"/>
          <w:sz w:val="20"/>
          <w:szCs w:val="20"/>
        </w:rPr>
        <w:t>incipal amount of 4.421% fixed-to-floating rate senior notes due 2033.</w:t>
      </w:r>
    </w:p>
    <w:p w14:paraId="392BE9BD" w14:textId="77777777" w:rsidR="00980E5F" w:rsidRDefault="00483613">
      <w:pPr>
        <w:spacing w:before="60"/>
        <w:ind w:hanging="360"/>
        <w:jc w:val="both"/>
        <w:textAlignment w:val="top"/>
      </w:pPr>
      <w:r>
        <w:rPr>
          <w:rFonts w:ascii="Arial" w:eastAsia="宋体" w:hAnsi="Arial" w:cs="Arial"/>
          <w:color w:val="000000"/>
          <w:sz w:val="20"/>
          <w:szCs w:val="20"/>
        </w:rPr>
        <w:t>•On May 15, 2022, we redeemed $750 million aggregate principal amount of 2.653% fixed-to-floating rate senior notes due 2023.</w:t>
      </w:r>
    </w:p>
    <w:p w14:paraId="392BE9BE" w14:textId="77777777" w:rsidR="00980E5F" w:rsidRDefault="00483613">
      <w:pPr>
        <w:spacing w:before="90"/>
        <w:jc w:val="both"/>
        <w:textAlignment w:val="top"/>
      </w:pPr>
      <w:r>
        <w:rPr>
          <w:rFonts w:ascii="Arial" w:eastAsia="宋体" w:hAnsi="Arial" w:cs="Arial"/>
          <w:b/>
          <w:bCs/>
          <w:color w:val="000000"/>
          <w:sz w:val="20"/>
          <w:szCs w:val="20"/>
        </w:rPr>
        <w:t>CONSOLIDATED RESULTS OF OPERATIONS</w:t>
      </w:r>
    </w:p>
    <w:p w14:paraId="392BE9BF" w14:textId="77777777" w:rsidR="00980E5F" w:rsidRDefault="00483613">
      <w:pPr>
        <w:spacing w:before="60"/>
        <w:ind w:firstLine="450"/>
        <w:jc w:val="both"/>
        <w:textAlignment w:val="top"/>
      </w:pPr>
      <w:r>
        <w:rPr>
          <w:rFonts w:ascii="Arial" w:eastAsia="宋体" w:hAnsi="Arial" w:cs="Arial"/>
          <w:color w:val="000000"/>
          <w:sz w:val="20"/>
          <w:szCs w:val="20"/>
        </w:rPr>
        <w:t>This section discusses o</w:t>
      </w:r>
      <w:r>
        <w:rPr>
          <w:rFonts w:ascii="Arial" w:eastAsia="宋体" w:hAnsi="Arial" w:cs="Arial"/>
          <w:color w:val="000000"/>
          <w:sz w:val="20"/>
          <w:szCs w:val="20"/>
        </w:rPr>
        <w:t xml:space="preserve">ur consolidated results of operations for the three and six months ended June 30, 2022, compared to the same periods in 2021, and should be read in conjunction with the consolidated financial statements and accompanying notes to the consolidated financial </w:t>
      </w:r>
      <w:r>
        <w:rPr>
          <w:rFonts w:ascii="Arial" w:eastAsia="宋体" w:hAnsi="Arial" w:cs="Arial"/>
          <w:color w:val="000000"/>
          <w:sz w:val="20"/>
          <w:szCs w:val="20"/>
        </w:rPr>
        <w:t>statements in this Form 10-Q.</w:t>
      </w:r>
    </w:p>
    <w:p w14:paraId="392BE9C0" w14:textId="77777777" w:rsidR="00980E5F" w:rsidRDefault="00483613">
      <w:pPr>
        <w:ind w:firstLine="450"/>
        <w:jc w:val="right"/>
      </w:pPr>
      <w:r>
        <w:rPr>
          <w:rFonts w:ascii="Arial" w:eastAsia="宋体" w:hAnsi="Arial" w:cs="Arial"/>
          <w:color w:val="000000"/>
          <w:sz w:val="18"/>
          <w:szCs w:val="18"/>
        </w:rPr>
        <w:t>State Street Corporation | 10</w:t>
      </w:r>
    </w:p>
    <w:p w14:paraId="392BE9C1" w14:textId="77777777" w:rsidR="00980E5F" w:rsidRDefault="00980E5F">
      <w:pPr>
        <w:ind w:firstLine="450"/>
        <w:jc w:val="center"/>
      </w:pPr>
    </w:p>
    <w:p w14:paraId="392BE9C2" w14:textId="77777777" w:rsidR="00980E5F" w:rsidRDefault="00483613">
      <w:r>
        <w:pict w14:anchorId="392CBAD8">
          <v:rect id="_x0000_i1034" style="width:415.3pt;height:1.5pt" o:hralign="center" o:hrstd="t" o:hr="t" fillcolor="#a0a0a0" stroked="f"/>
        </w:pict>
      </w:r>
    </w:p>
    <w:p w14:paraId="392BE9C3"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9C4" w14:textId="77777777" w:rsidR="00980E5F" w:rsidRDefault="00483613">
      <w:pPr>
        <w:ind w:firstLine="450"/>
        <w:jc w:val="center"/>
      </w:pPr>
      <w:r>
        <w:rPr>
          <w:rFonts w:ascii="Arial" w:eastAsia="宋体" w:hAnsi="Arial" w:cs="Arial"/>
          <w:b/>
          <w:bCs/>
          <w:color w:val="000000"/>
          <w:sz w:val="20"/>
          <w:szCs w:val="20"/>
        </w:rPr>
        <w:t>AND RESULTS OF OPERATIONS</w:t>
      </w:r>
    </w:p>
    <w:p w14:paraId="392BE9C5" w14:textId="77777777" w:rsidR="00980E5F" w:rsidRDefault="00483613">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3186"/>
        <w:gridCol w:w="38"/>
        <w:gridCol w:w="104"/>
        <w:gridCol w:w="1153"/>
        <w:gridCol w:w="36"/>
        <w:gridCol w:w="36"/>
        <w:gridCol w:w="36"/>
        <w:gridCol w:w="36"/>
        <w:gridCol w:w="104"/>
        <w:gridCol w:w="1153"/>
        <w:gridCol w:w="36"/>
        <w:gridCol w:w="46"/>
        <w:gridCol w:w="591"/>
        <w:gridCol w:w="36"/>
        <w:gridCol w:w="36"/>
        <w:gridCol w:w="36"/>
        <w:gridCol w:w="39"/>
        <w:gridCol w:w="1117"/>
        <w:gridCol w:w="154"/>
        <w:gridCol w:w="36"/>
        <w:gridCol w:w="36"/>
        <w:gridCol w:w="36"/>
        <w:gridCol w:w="36"/>
        <w:gridCol w:w="36"/>
        <w:gridCol w:w="36"/>
        <w:gridCol w:w="36"/>
        <w:gridCol w:w="36"/>
        <w:gridCol w:w="36"/>
      </w:tblGrid>
      <w:tr w:rsidR="00980E5F" w14:paraId="392BE9DD" w14:textId="77777777">
        <w:tc>
          <w:tcPr>
            <w:tcW w:w="50" w:type="pct"/>
            <w:shd w:val="clear" w:color="auto" w:fill="auto"/>
            <w:vAlign w:val="bottom"/>
          </w:tcPr>
          <w:p w14:paraId="392BE9C6" w14:textId="77777777" w:rsidR="00980E5F" w:rsidRDefault="00980E5F">
            <w:pPr>
              <w:rPr>
                <w:rFonts w:ascii="宋体"/>
              </w:rPr>
            </w:pPr>
          </w:p>
        </w:tc>
        <w:tc>
          <w:tcPr>
            <w:tcW w:w="2232" w:type="pct"/>
            <w:shd w:val="clear" w:color="auto" w:fill="auto"/>
            <w:vAlign w:val="bottom"/>
          </w:tcPr>
          <w:p w14:paraId="392BE9C7" w14:textId="77777777" w:rsidR="00980E5F" w:rsidRDefault="00980E5F">
            <w:pPr>
              <w:rPr>
                <w:rFonts w:ascii="宋体"/>
              </w:rPr>
            </w:pPr>
          </w:p>
        </w:tc>
        <w:tc>
          <w:tcPr>
            <w:tcW w:w="5" w:type="pct"/>
            <w:shd w:val="clear" w:color="auto" w:fill="auto"/>
            <w:vAlign w:val="bottom"/>
          </w:tcPr>
          <w:p w14:paraId="392BE9C8" w14:textId="77777777" w:rsidR="00980E5F" w:rsidRDefault="00980E5F">
            <w:pPr>
              <w:rPr>
                <w:rFonts w:ascii="宋体"/>
              </w:rPr>
            </w:pPr>
          </w:p>
        </w:tc>
        <w:tc>
          <w:tcPr>
            <w:tcW w:w="50" w:type="pct"/>
            <w:shd w:val="clear" w:color="auto" w:fill="auto"/>
            <w:vAlign w:val="bottom"/>
          </w:tcPr>
          <w:p w14:paraId="392BE9C9" w14:textId="77777777" w:rsidR="00980E5F" w:rsidRDefault="00980E5F">
            <w:pPr>
              <w:rPr>
                <w:rFonts w:ascii="宋体"/>
              </w:rPr>
            </w:pPr>
          </w:p>
        </w:tc>
        <w:tc>
          <w:tcPr>
            <w:tcW w:w="829" w:type="pct"/>
            <w:shd w:val="clear" w:color="auto" w:fill="auto"/>
            <w:vAlign w:val="bottom"/>
          </w:tcPr>
          <w:p w14:paraId="392BE9CA" w14:textId="77777777" w:rsidR="00980E5F" w:rsidRDefault="00980E5F">
            <w:pPr>
              <w:rPr>
                <w:rFonts w:ascii="宋体"/>
              </w:rPr>
            </w:pPr>
          </w:p>
        </w:tc>
        <w:tc>
          <w:tcPr>
            <w:tcW w:w="5" w:type="pct"/>
            <w:shd w:val="clear" w:color="auto" w:fill="auto"/>
            <w:vAlign w:val="bottom"/>
          </w:tcPr>
          <w:p w14:paraId="392BE9CB" w14:textId="77777777" w:rsidR="00980E5F" w:rsidRDefault="00980E5F">
            <w:pPr>
              <w:rPr>
                <w:rFonts w:ascii="宋体"/>
              </w:rPr>
            </w:pPr>
          </w:p>
        </w:tc>
        <w:tc>
          <w:tcPr>
            <w:tcW w:w="5" w:type="pct"/>
            <w:shd w:val="clear" w:color="auto" w:fill="auto"/>
            <w:vAlign w:val="bottom"/>
          </w:tcPr>
          <w:p w14:paraId="392BE9CC" w14:textId="77777777" w:rsidR="00980E5F" w:rsidRDefault="00980E5F">
            <w:pPr>
              <w:rPr>
                <w:rFonts w:ascii="宋体"/>
              </w:rPr>
            </w:pPr>
          </w:p>
        </w:tc>
        <w:tc>
          <w:tcPr>
            <w:tcW w:w="19" w:type="pct"/>
            <w:shd w:val="clear" w:color="auto" w:fill="auto"/>
            <w:vAlign w:val="bottom"/>
          </w:tcPr>
          <w:p w14:paraId="392BE9CD" w14:textId="77777777" w:rsidR="00980E5F" w:rsidRDefault="00980E5F">
            <w:pPr>
              <w:rPr>
                <w:rFonts w:ascii="宋体"/>
              </w:rPr>
            </w:pPr>
          </w:p>
        </w:tc>
        <w:tc>
          <w:tcPr>
            <w:tcW w:w="5" w:type="pct"/>
            <w:shd w:val="clear" w:color="auto" w:fill="auto"/>
            <w:vAlign w:val="bottom"/>
          </w:tcPr>
          <w:p w14:paraId="392BE9CE" w14:textId="77777777" w:rsidR="00980E5F" w:rsidRDefault="00980E5F">
            <w:pPr>
              <w:rPr>
                <w:rFonts w:ascii="宋体"/>
              </w:rPr>
            </w:pPr>
          </w:p>
        </w:tc>
        <w:tc>
          <w:tcPr>
            <w:tcW w:w="50" w:type="pct"/>
            <w:shd w:val="clear" w:color="auto" w:fill="auto"/>
            <w:vAlign w:val="bottom"/>
          </w:tcPr>
          <w:p w14:paraId="392BE9CF" w14:textId="77777777" w:rsidR="00980E5F" w:rsidRDefault="00980E5F">
            <w:pPr>
              <w:rPr>
                <w:rFonts w:ascii="宋体"/>
              </w:rPr>
            </w:pPr>
          </w:p>
        </w:tc>
        <w:tc>
          <w:tcPr>
            <w:tcW w:w="829" w:type="pct"/>
            <w:shd w:val="clear" w:color="auto" w:fill="auto"/>
            <w:vAlign w:val="bottom"/>
          </w:tcPr>
          <w:p w14:paraId="392BE9D0" w14:textId="77777777" w:rsidR="00980E5F" w:rsidRDefault="00980E5F">
            <w:pPr>
              <w:rPr>
                <w:rFonts w:ascii="宋体"/>
              </w:rPr>
            </w:pPr>
          </w:p>
        </w:tc>
        <w:tc>
          <w:tcPr>
            <w:tcW w:w="5" w:type="pct"/>
            <w:shd w:val="clear" w:color="auto" w:fill="auto"/>
            <w:vAlign w:val="bottom"/>
          </w:tcPr>
          <w:p w14:paraId="392BE9D1" w14:textId="77777777" w:rsidR="00980E5F" w:rsidRDefault="00980E5F">
            <w:pPr>
              <w:rPr>
                <w:rFonts w:ascii="宋体"/>
              </w:rPr>
            </w:pPr>
          </w:p>
        </w:tc>
        <w:tc>
          <w:tcPr>
            <w:tcW w:w="0" w:type="auto"/>
            <w:shd w:val="clear" w:color="auto" w:fill="auto"/>
            <w:vAlign w:val="bottom"/>
          </w:tcPr>
          <w:p w14:paraId="392BE9D2" w14:textId="77777777" w:rsidR="00980E5F" w:rsidRDefault="00980E5F">
            <w:pPr>
              <w:rPr>
                <w:rFonts w:ascii="宋体"/>
                <w:vanish/>
              </w:rPr>
            </w:pPr>
          </w:p>
        </w:tc>
        <w:tc>
          <w:tcPr>
            <w:tcW w:w="0" w:type="auto"/>
            <w:shd w:val="clear" w:color="auto" w:fill="auto"/>
            <w:vAlign w:val="bottom"/>
          </w:tcPr>
          <w:p w14:paraId="392BE9D3" w14:textId="77777777" w:rsidR="00980E5F" w:rsidRDefault="00980E5F">
            <w:pPr>
              <w:rPr>
                <w:rFonts w:ascii="宋体"/>
                <w:vanish/>
              </w:rPr>
            </w:pPr>
          </w:p>
        </w:tc>
        <w:tc>
          <w:tcPr>
            <w:tcW w:w="5" w:type="pct"/>
            <w:shd w:val="clear" w:color="auto" w:fill="auto"/>
            <w:vAlign w:val="bottom"/>
          </w:tcPr>
          <w:p w14:paraId="392BE9D4" w14:textId="77777777" w:rsidR="00980E5F" w:rsidRDefault="00980E5F">
            <w:pPr>
              <w:rPr>
                <w:rFonts w:ascii="宋体"/>
              </w:rPr>
            </w:pPr>
          </w:p>
        </w:tc>
        <w:tc>
          <w:tcPr>
            <w:tcW w:w="19" w:type="pct"/>
            <w:shd w:val="clear" w:color="auto" w:fill="auto"/>
            <w:vAlign w:val="bottom"/>
          </w:tcPr>
          <w:p w14:paraId="392BE9D5" w14:textId="77777777" w:rsidR="00980E5F" w:rsidRDefault="00980E5F">
            <w:pPr>
              <w:rPr>
                <w:rFonts w:ascii="宋体"/>
              </w:rPr>
            </w:pPr>
          </w:p>
        </w:tc>
        <w:tc>
          <w:tcPr>
            <w:tcW w:w="5" w:type="pct"/>
            <w:shd w:val="clear" w:color="auto" w:fill="auto"/>
            <w:vAlign w:val="bottom"/>
          </w:tcPr>
          <w:p w14:paraId="392BE9D6" w14:textId="77777777" w:rsidR="00980E5F" w:rsidRDefault="00980E5F">
            <w:pPr>
              <w:rPr>
                <w:rFonts w:ascii="宋体"/>
              </w:rPr>
            </w:pPr>
          </w:p>
        </w:tc>
        <w:tc>
          <w:tcPr>
            <w:tcW w:w="50" w:type="pct"/>
            <w:shd w:val="clear" w:color="auto" w:fill="auto"/>
            <w:vAlign w:val="bottom"/>
          </w:tcPr>
          <w:p w14:paraId="392BE9D7" w14:textId="77777777" w:rsidR="00980E5F" w:rsidRDefault="00980E5F">
            <w:pPr>
              <w:rPr>
                <w:rFonts w:ascii="宋体"/>
              </w:rPr>
            </w:pPr>
          </w:p>
        </w:tc>
        <w:tc>
          <w:tcPr>
            <w:tcW w:w="829" w:type="pct"/>
            <w:shd w:val="clear" w:color="auto" w:fill="auto"/>
            <w:vAlign w:val="bottom"/>
          </w:tcPr>
          <w:p w14:paraId="392BE9D8" w14:textId="77777777" w:rsidR="00980E5F" w:rsidRDefault="00980E5F">
            <w:pPr>
              <w:rPr>
                <w:rFonts w:ascii="宋体"/>
              </w:rPr>
            </w:pPr>
          </w:p>
        </w:tc>
        <w:tc>
          <w:tcPr>
            <w:tcW w:w="5" w:type="pct"/>
            <w:shd w:val="clear" w:color="auto" w:fill="auto"/>
            <w:vAlign w:val="bottom"/>
          </w:tcPr>
          <w:p w14:paraId="392BE9D9" w14:textId="77777777" w:rsidR="00980E5F" w:rsidRDefault="00980E5F">
            <w:pPr>
              <w:rPr>
                <w:rFonts w:ascii="宋体"/>
              </w:rPr>
            </w:pPr>
          </w:p>
        </w:tc>
        <w:tc>
          <w:tcPr>
            <w:tcW w:w="0" w:type="auto"/>
            <w:gridSpan w:val="3"/>
            <w:shd w:val="clear" w:color="auto" w:fill="auto"/>
            <w:vAlign w:val="bottom"/>
          </w:tcPr>
          <w:p w14:paraId="392BE9DA" w14:textId="77777777" w:rsidR="00980E5F" w:rsidRDefault="00980E5F">
            <w:pPr>
              <w:rPr>
                <w:rFonts w:ascii="宋体"/>
                <w:vanish/>
              </w:rPr>
            </w:pPr>
          </w:p>
        </w:tc>
        <w:tc>
          <w:tcPr>
            <w:tcW w:w="0" w:type="auto"/>
            <w:gridSpan w:val="3"/>
            <w:shd w:val="clear" w:color="auto" w:fill="auto"/>
            <w:vAlign w:val="bottom"/>
          </w:tcPr>
          <w:p w14:paraId="392BE9DB" w14:textId="77777777" w:rsidR="00980E5F" w:rsidRDefault="00980E5F">
            <w:pPr>
              <w:rPr>
                <w:rFonts w:ascii="宋体"/>
                <w:vanish/>
              </w:rPr>
            </w:pPr>
          </w:p>
        </w:tc>
        <w:tc>
          <w:tcPr>
            <w:tcW w:w="0" w:type="auto"/>
            <w:gridSpan w:val="3"/>
            <w:shd w:val="clear" w:color="auto" w:fill="auto"/>
            <w:vAlign w:val="bottom"/>
          </w:tcPr>
          <w:p w14:paraId="392BE9DC" w14:textId="77777777" w:rsidR="00980E5F" w:rsidRDefault="00980E5F">
            <w:pPr>
              <w:rPr>
                <w:rFonts w:ascii="宋体"/>
                <w:vanish/>
              </w:rPr>
            </w:pPr>
          </w:p>
        </w:tc>
      </w:tr>
      <w:tr w:rsidR="00980E5F" w14:paraId="392BE9EE" w14:textId="77777777">
        <w:tc>
          <w:tcPr>
            <w:tcW w:w="0" w:type="auto"/>
            <w:gridSpan w:val="14"/>
            <w:shd w:val="clear" w:color="auto" w:fill="auto"/>
            <w:tcMar>
              <w:top w:w="40" w:type="dxa"/>
              <w:left w:w="20" w:type="dxa"/>
              <w:bottom w:w="40" w:type="dxa"/>
              <w:right w:w="20" w:type="dxa"/>
            </w:tcMar>
            <w:vAlign w:val="bottom"/>
          </w:tcPr>
          <w:p w14:paraId="392BE9DE" w14:textId="77777777" w:rsidR="00980E5F" w:rsidRDefault="00483613">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392BE9DF" w14:textId="77777777" w:rsidR="00980E5F" w:rsidRDefault="00980E5F">
            <w:pPr>
              <w:rPr>
                <w:rFonts w:ascii="宋体"/>
              </w:rPr>
            </w:pPr>
          </w:p>
        </w:tc>
        <w:tc>
          <w:tcPr>
            <w:tcW w:w="0" w:type="auto"/>
            <w:shd w:val="clear" w:color="auto" w:fill="auto"/>
            <w:vAlign w:val="bottom"/>
          </w:tcPr>
          <w:p w14:paraId="392BE9E0" w14:textId="77777777" w:rsidR="00980E5F" w:rsidRDefault="00980E5F">
            <w:pPr>
              <w:rPr>
                <w:rFonts w:ascii="宋体"/>
              </w:rPr>
            </w:pPr>
          </w:p>
        </w:tc>
        <w:tc>
          <w:tcPr>
            <w:tcW w:w="0" w:type="auto"/>
            <w:shd w:val="clear" w:color="auto" w:fill="auto"/>
            <w:vAlign w:val="bottom"/>
          </w:tcPr>
          <w:p w14:paraId="392BE9E1" w14:textId="77777777" w:rsidR="00980E5F" w:rsidRDefault="00980E5F">
            <w:pPr>
              <w:rPr>
                <w:rFonts w:ascii="宋体"/>
              </w:rPr>
            </w:pPr>
          </w:p>
        </w:tc>
        <w:tc>
          <w:tcPr>
            <w:tcW w:w="0" w:type="auto"/>
            <w:shd w:val="clear" w:color="auto" w:fill="auto"/>
            <w:vAlign w:val="bottom"/>
          </w:tcPr>
          <w:p w14:paraId="392BE9E2" w14:textId="77777777" w:rsidR="00980E5F" w:rsidRDefault="00980E5F">
            <w:pPr>
              <w:rPr>
                <w:rFonts w:ascii="宋体"/>
              </w:rPr>
            </w:pPr>
          </w:p>
        </w:tc>
        <w:tc>
          <w:tcPr>
            <w:tcW w:w="0" w:type="auto"/>
            <w:shd w:val="clear" w:color="auto" w:fill="auto"/>
            <w:vAlign w:val="bottom"/>
          </w:tcPr>
          <w:p w14:paraId="392BE9E3" w14:textId="77777777" w:rsidR="00980E5F" w:rsidRDefault="00980E5F">
            <w:pPr>
              <w:rPr>
                <w:rFonts w:ascii="宋体"/>
              </w:rPr>
            </w:pPr>
          </w:p>
        </w:tc>
        <w:tc>
          <w:tcPr>
            <w:tcW w:w="0" w:type="auto"/>
            <w:shd w:val="clear" w:color="auto" w:fill="auto"/>
            <w:vAlign w:val="bottom"/>
          </w:tcPr>
          <w:p w14:paraId="392BE9E4" w14:textId="77777777" w:rsidR="00980E5F" w:rsidRDefault="00980E5F">
            <w:pPr>
              <w:rPr>
                <w:rFonts w:ascii="宋体"/>
              </w:rPr>
            </w:pPr>
          </w:p>
        </w:tc>
        <w:tc>
          <w:tcPr>
            <w:tcW w:w="0" w:type="auto"/>
            <w:shd w:val="clear" w:color="auto" w:fill="auto"/>
            <w:vAlign w:val="bottom"/>
          </w:tcPr>
          <w:p w14:paraId="392BE9E5" w14:textId="77777777" w:rsidR="00980E5F" w:rsidRDefault="00980E5F">
            <w:pPr>
              <w:rPr>
                <w:rFonts w:ascii="宋体"/>
              </w:rPr>
            </w:pPr>
          </w:p>
        </w:tc>
        <w:tc>
          <w:tcPr>
            <w:tcW w:w="0" w:type="auto"/>
            <w:shd w:val="clear" w:color="auto" w:fill="auto"/>
            <w:vAlign w:val="bottom"/>
          </w:tcPr>
          <w:p w14:paraId="392BE9E6" w14:textId="77777777" w:rsidR="00980E5F" w:rsidRDefault="00980E5F">
            <w:pPr>
              <w:rPr>
                <w:rFonts w:ascii="宋体"/>
              </w:rPr>
            </w:pPr>
          </w:p>
        </w:tc>
        <w:tc>
          <w:tcPr>
            <w:tcW w:w="0" w:type="auto"/>
            <w:shd w:val="clear" w:color="auto" w:fill="auto"/>
            <w:vAlign w:val="bottom"/>
          </w:tcPr>
          <w:p w14:paraId="392BE9E7" w14:textId="77777777" w:rsidR="00980E5F" w:rsidRDefault="00980E5F">
            <w:pPr>
              <w:rPr>
                <w:rFonts w:ascii="宋体"/>
              </w:rPr>
            </w:pPr>
          </w:p>
        </w:tc>
        <w:tc>
          <w:tcPr>
            <w:tcW w:w="0" w:type="auto"/>
            <w:shd w:val="clear" w:color="auto" w:fill="auto"/>
            <w:vAlign w:val="bottom"/>
          </w:tcPr>
          <w:p w14:paraId="392BE9E8" w14:textId="77777777" w:rsidR="00980E5F" w:rsidRDefault="00980E5F">
            <w:pPr>
              <w:rPr>
                <w:rFonts w:ascii="宋体"/>
              </w:rPr>
            </w:pPr>
          </w:p>
        </w:tc>
        <w:tc>
          <w:tcPr>
            <w:tcW w:w="0" w:type="auto"/>
            <w:shd w:val="clear" w:color="auto" w:fill="auto"/>
            <w:vAlign w:val="bottom"/>
          </w:tcPr>
          <w:p w14:paraId="392BE9E9" w14:textId="77777777" w:rsidR="00980E5F" w:rsidRDefault="00980E5F">
            <w:pPr>
              <w:rPr>
                <w:rFonts w:ascii="宋体"/>
              </w:rPr>
            </w:pPr>
          </w:p>
        </w:tc>
        <w:tc>
          <w:tcPr>
            <w:tcW w:w="0" w:type="auto"/>
            <w:shd w:val="clear" w:color="auto" w:fill="auto"/>
            <w:vAlign w:val="bottom"/>
          </w:tcPr>
          <w:p w14:paraId="392BE9EA" w14:textId="77777777" w:rsidR="00980E5F" w:rsidRDefault="00980E5F">
            <w:pPr>
              <w:rPr>
                <w:rFonts w:ascii="宋体"/>
              </w:rPr>
            </w:pPr>
          </w:p>
        </w:tc>
        <w:tc>
          <w:tcPr>
            <w:tcW w:w="0" w:type="auto"/>
            <w:shd w:val="clear" w:color="auto" w:fill="auto"/>
            <w:vAlign w:val="bottom"/>
          </w:tcPr>
          <w:p w14:paraId="392BE9EB" w14:textId="77777777" w:rsidR="00980E5F" w:rsidRDefault="00980E5F">
            <w:pPr>
              <w:rPr>
                <w:rFonts w:ascii="宋体"/>
              </w:rPr>
            </w:pPr>
          </w:p>
        </w:tc>
        <w:tc>
          <w:tcPr>
            <w:tcW w:w="0" w:type="auto"/>
            <w:shd w:val="clear" w:color="auto" w:fill="auto"/>
            <w:vAlign w:val="bottom"/>
          </w:tcPr>
          <w:p w14:paraId="392BE9EC" w14:textId="77777777" w:rsidR="00980E5F" w:rsidRDefault="00980E5F">
            <w:pPr>
              <w:rPr>
                <w:rFonts w:ascii="宋体"/>
              </w:rPr>
            </w:pPr>
          </w:p>
        </w:tc>
        <w:tc>
          <w:tcPr>
            <w:tcW w:w="0" w:type="auto"/>
            <w:shd w:val="clear" w:color="auto" w:fill="auto"/>
            <w:vAlign w:val="bottom"/>
          </w:tcPr>
          <w:p w14:paraId="392BE9ED" w14:textId="77777777" w:rsidR="00980E5F" w:rsidRDefault="00980E5F">
            <w:pPr>
              <w:rPr>
                <w:rFonts w:ascii="宋体"/>
              </w:rPr>
            </w:pPr>
          </w:p>
        </w:tc>
      </w:tr>
      <w:tr w:rsidR="00980E5F" w14:paraId="392BE9FC" w14:textId="77777777">
        <w:trPr>
          <w:trHeight w:val="220"/>
        </w:trPr>
        <w:tc>
          <w:tcPr>
            <w:tcW w:w="0" w:type="auto"/>
            <w:gridSpan w:val="3"/>
            <w:shd w:val="clear" w:color="auto" w:fill="auto"/>
            <w:tcMar>
              <w:top w:w="0" w:type="dxa"/>
              <w:left w:w="20" w:type="dxa"/>
              <w:bottom w:w="0" w:type="dxa"/>
              <w:right w:w="20" w:type="dxa"/>
            </w:tcMar>
            <w:vAlign w:val="bottom"/>
          </w:tcPr>
          <w:p w14:paraId="392BE9EF"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BE9F0" w14:textId="77777777" w:rsidR="00980E5F" w:rsidRDefault="00483613">
            <w:pPr>
              <w:jc w:val="center"/>
              <w:textAlignment w:val="bottom"/>
            </w:pPr>
            <w:r>
              <w:rPr>
                <w:rFonts w:ascii="Arial" w:eastAsia="宋体" w:hAnsi="Arial" w:cs="Arial"/>
                <w:b/>
                <w:bCs/>
                <w:color w:val="000000"/>
                <w:sz w:val="15"/>
                <w:szCs w:val="15"/>
              </w:rPr>
              <w:t>Three Months Ended June 30,</w:t>
            </w:r>
          </w:p>
        </w:tc>
        <w:tc>
          <w:tcPr>
            <w:tcW w:w="0" w:type="auto"/>
            <w:shd w:val="clear" w:color="auto" w:fill="auto"/>
            <w:tcMar>
              <w:top w:w="0" w:type="dxa"/>
              <w:left w:w="20" w:type="dxa"/>
              <w:bottom w:w="0" w:type="dxa"/>
              <w:right w:w="20" w:type="dxa"/>
            </w:tcMar>
            <w:vAlign w:val="bottom"/>
          </w:tcPr>
          <w:p w14:paraId="392BE9F1" w14:textId="77777777" w:rsidR="00980E5F" w:rsidRDefault="00980E5F">
            <w:pPr>
              <w:rPr>
                <w:rFonts w:ascii="宋体"/>
              </w:rPr>
            </w:pPr>
          </w:p>
        </w:tc>
        <w:tc>
          <w:tcPr>
            <w:tcW w:w="0" w:type="auto"/>
            <w:vMerge w:val="restart"/>
            <w:shd w:val="clear" w:color="auto" w:fill="auto"/>
            <w:tcMar>
              <w:top w:w="40" w:type="dxa"/>
              <w:left w:w="20" w:type="dxa"/>
              <w:bottom w:w="40" w:type="dxa"/>
              <w:right w:w="20" w:type="dxa"/>
            </w:tcMar>
            <w:vAlign w:val="bottom"/>
          </w:tcPr>
          <w:p w14:paraId="392BE9F2" w14:textId="77777777" w:rsidR="00980E5F" w:rsidRDefault="00483613">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392BE9F3" w14:textId="77777777" w:rsidR="00980E5F" w:rsidRDefault="00980E5F">
            <w:pPr>
              <w:rPr>
                <w:rFonts w:ascii="宋体"/>
                <w:vanish/>
              </w:rPr>
            </w:pPr>
          </w:p>
        </w:tc>
        <w:tc>
          <w:tcPr>
            <w:tcW w:w="0" w:type="auto"/>
            <w:gridSpan w:val="3"/>
            <w:shd w:val="clear" w:color="auto" w:fill="auto"/>
            <w:vAlign w:val="bottom"/>
          </w:tcPr>
          <w:p w14:paraId="392BE9F4" w14:textId="77777777" w:rsidR="00980E5F" w:rsidRDefault="00980E5F">
            <w:pPr>
              <w:rPr>
                <w:rFonts w:ascii="宋体"/>
                <w:vanish/>
              </w:rPr>
            </w:pPr>
          </w:p>
        </w:tc>
        <w:tc>
          <w:tcPr>
            <w:tcW w:w="0" w:type="auto"/>
            <w:gridSpan w:val="3"/>
            <w:shd w:val="clear" w:color="auto" w:fill="auto"/>
            <w:vAlign w:val="bottom"/>
          </w:tcPr>
          <w:p w14:paraId="392BE9F5" w14:textId="77777777" w:rsidR="00980E5F" w:rsidRDefault="00980E5F">
            <w:pPr>
              <w:rPr>
                <w:rFonts w:ascii="宋体"/>
                <w:vanish/>
              </w:rPr>
            </w:pPr>
          </w:p>
        </w:tc>
        <w:tc>
          <w:tcPr>
            <w:tcW w:w="0" w:type="auto"/>
            <w:shd w:val="clear" w:color="auto" w:fill="auto"/>
            <w:vAlign w:val="bottom"/>
          </w:tcPr>
          <w:p w14:paraId="392BE9F6" w14:textId="77777777" w:rsidR="00980E5F" w:rsidRDefault="00980E5F">
            <w:pPr>
              <w:rPr>
                <w:rFonts w:ascii="宋体"/>
              </w:rPr>
            </w:pPr>
          </w:p>
        </w:tc>
        <w:tc>
          <w:tcPr>
            <w:tcW w:w="0" w:type="auto"/>
            <w:shd w:val="clear" w:color="auto" w:fill="auto"/>
            <w:vAlign w:val="bottom"/>
          </w:tcPr>
          <w:p w14:paraId="392BE9F7" w14:textId="77777777" w:rsidR="00980E5F" w:rsidRDefault="00980E5F">
            <w:pPr>
              <w:rPr>
                <w:rFonts w:ascii="宋体"/>
              </w:rPr>
            </w:pPr>
          </w:p>
        </w:tc>
        <w:tc>
          <w:tcPr>
            <w:tcW w:w="0" w:type="auto"/>
            <w:shd w:val="clear" w:color="auto" w:fill="auto"/>
            <w:vAlign w:val="bottom"/>
          </w:tcPr>
          <w:p w14:paraId="392BE9F8" w14:textId="77777777" w:rsidR="00980E5F" w:rsidRDefault="00980E5F">
            <w:pPr>
              <w:rPr>
                <w:rFonts w:ascii="宋体"/>
              </w:rPr>
            </w:pPr>
          </w:p>
        </w:tc>
        <w:tc>
          <w:tcPr>
            <w:tcW w:w="0" w:type="auto"/>
            <w:shd w:val="clear" w:color="auto" w:fill="auto"/>
            <w:vAlign w:val="bottom"/>
          </w:tcPr>
          <w:p w14:paraId="392BE9F9" w14:textId="77777777" w:rsidR="00980E5F" w:rsidRDefault="00980E5F">
            <w:pPr>
              <w:rPr>
                <w:rFonts w:ascii="宋体"/>
              </w:rPr>
            </w:pPr>
          </w:p>
        </w:tc>
        <w:tc>
          <w:tcPr>
            <w:tcW w:w="0" w:type="auto"/>
            <w:shd w:val="clear" w:color="auto" w:fill="auto"/>
            <w:vAlign w:val="bottom"/>
          </w:tcPr>
          <w:p w14:paraId="392BE9FA" w14:textId="77777777" w:rsidR="00980E5F" w:rsidRDefault="00980E5F">
            <w:pPr>
              <w:rPr>
                <w:rFonts w:ascii="宋体"/>
              </w:rPr>
            </w:pPr>
          </w:p>
        </w:tc>
        <w:tc>
          <w:tcPr>
            <w:tcW w:w="0" w:type="auto"/>
            <w:shd w:val="clear" w:color="auto" w:fill="auto"/>
            <w:vAlign w:val="bottom"/>
          </w:tcPr>
          <w:p w14:paraId="392BE9FB" w14:textId="77777777" w:rsidR="00980E5F" w:rsidRDefault="00980E5F">
            <w:pPr>
              <w:rPr>
                <w:rFonts w:ascii="宋体"/>
              </w:rPr>
            </w:pPr>
          </w:p>
        </w:tc>
      </w:tr>
      <w:tr w:rsidR="00980E5F" w14:paraId="392BEA08" w14:textId="77777777">
        <w:trPr>
          <w:trHeight w:val="220"/>
        </w:trPr>
        <w:tc>
          <w:tcPr>
            <w:tcW w:w="0" w:type="auto"/>
            <w:gridSpan w:val="3"/>
            <w:shd w:val="clear" w:color="auto" w:fill="auto"/>
            <w:tcMar>
              <w:top w:w="40" w:type="dxa"/>
              <w:left w:w="20" w:type="dxa"/>
              <w:bottom w:w="40" w:type="dxa"/>
              <w:right w:w="20" w:type="dxa"/>
            </w:tcMar>
            <w:vAlign w:val="bottom"/>
          </w:tcPr>
          <w:p w14:paraId="392BE9FD" w14:textId="77777777" w:rsidR="00980E5F" w:rsidRDefault="00483613">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9FE"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9F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A00" w14:textId="77777777" w:rsidR="00980E5F" w:rsidRDefault="00483613">
            <w:pPr>
              <w:jc w:val="center"/>
              <w:textAlignment w:val="bottom"/>
            </w:pPr>
            <w:r>
              <w:rPr>
                <w:rFonts w:ascii="Arial" w:eastAsia="宋体" w:hAnsi="Arial" w:cs="Arial"/>
                <w:b/>
                <w:bCs/>
                <w:color w:val="000000"/>
                <w:sz w:val="15"/>
                <w:szCs w:val="15"/>
              </w:rPr>
              <w:t>2021</w:t>
            </w:r>
          </w:p>
        </w:tc>
        <w:tc>
          <w:tcPr>
            <w:tcW w:w="0" w:type="auto"/>
            <w:shd w:val="clear" w:color="auto" w:fill="auto"/>
            <w:vAlign w:val="bottom"/>
          </w:tcPr>
          <w:p w14:paraId="392BEA01" w14:textId="77777777" w:rsidR="00980E5F" w:rsidRDefault="00980E5F">
            <w:pPr>
              <w:rPr>
                <w:rFonts w:ascii="宋体"/>
                <w:vanish/>
              </w:rPr>
            </w:pPr>
          </w:p>
        </w:tc>
        <w:tc>
          <w:tcPr>
            <w:tcW w:w="0" w:type="auto"/>
            <w:vMerge/>
            <w:shd w:val="clear" w:color="auto" w:fill="auto"/>
            <w:tcMar>
              <w:top w:w="40" w:type="dxa"/>
              <w:left w:w="20" w:type="dxa"/>
              <w:bottom w:w="40" w:type="dxa"/>
              <w:right w:w="20" w:type="dxa"/>
            </w:tcMar>
            <w:vAlign w:val="bottom"/>
          </w:tcPr>
          <w:p w14:paraId="392BEA02" w14:textId="77777777" w:rsidR="00980E5F" w:rsidRDefault="00980E5F">
            <w:pPr>
              <w:jc w:val="center"/>
              <w:rPr>
                <w:rFonts w:ascii="宋体"/>
              </w:rPr>
            </w:pPr>
          </w:p>
        </w:tc>
        <w:tc>
          <w:tcPr>
            <w:tcW w:w="0" w:type="auto"/>
            <w:gridSpan w:val="3"/>
            <w:shd w:val="clear" w:color="auto" w:fill="auto"/>
            <w:vAlign w:val="bottom"/>
          </w:tcPr>
          <w:p w14:paraId="392BEA03"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A04" w14:textId="77777777" w:rsidR="00980E5F" w:rsidRDefault="00980E5F">
            <w:pPr>
              <w:rPr>
                <w:rFonts w:ascii="宋体"/>
              </w:rPr>
            </w:pPr>
          </w:p>
        </w:tc>
        <w:tc>
          <w:tcPr>
            <w:tcW w:w="0" w:type="auto"/>
            <w:gridSpan w:val="3"/>
            <w:shd w:val="clear" w:color="auto" w:fill="auto"/>
            <w:vAlign w:val="bottom"/>
          </w:tcPr>
          <w:p w14:paraId="392BEA05" w14:textId="77777777" w:rsidR="00980E5F" w:rsidRDefault="00980E5F">
            <w:pPr>
              <w:rPr>
                <w:rFonts w:ascii="宋体"/>
                <w:vanish/>
              </w:rPr>
            </w:pPr>
          </w:p>
        </w:tc>
        <w:tc>
          <w:tcPr>
            <w:tcW w:w="0" w:type="auto"/>
            <w:gridSpan w:val="3"/>
            <w:shd w:val="clear" w:color="auto" w:fill="auto"/>
            <w:vAlign w:val="bottom"/>
          </w:tcPr>
          <w:p w14:paraId="392BEA06" w14:textId="77777777" w:rsidR="00980E5F" w:rsidRDefault="00980E5F">
            <w:pPr>
              <w:rPr>
                <w:rFonts w:ascii="宋体"/>
                <w:vanish/>
              </w:rPr>
            </w:pPr>
          </w:p>
        </w:tc>
        <w:tc>
          <w:tcPr>
            <w:tcW w:w="0" w:type="auto"/>
            <w:gridSpan w:val="3"/>
            <w:shd w:val="clear" w:color="auto" w:fill="auto"/>
            <w:vAlign w:val="bottom"/>
          </w:tcPr>
          <w:p w14:paraId="392BEA07" w14:textId="77777777" w:rsidR="00980E5F" w:rsidRDefault="00980E5F">
            <w:pPr>
              <w:rPr>
                <w:rFonts w:ascii="宋体"/>
                <w:vanish/>
              </w:rPr>
            </w:pPr>
          </w:p>
        </w:tc>
      </w:tr>
      <w:tr w:rsidR="00980E5F" w14:paraId="392BEA14" w14:textId="77777777">
        <w:tc>
          <w:tcPr>
            <w:tcW w:w="0" w:type="auto"/>
            <w:gridSpan w:val="3"/>
            <w:shd w:val="clear" w:color="auto" w:fill="auto"/>
            <w:tcMar>
              <w:top w:w="40" w:type="dxa"/>
              <w:left w:w="20" w:type="dxa"/>
              <w:bottom w:w="40" w:type="dxa"/>
              <w:right w:w="20" w:type="dxa"/>
            </w:tcMar>
            <w:vAlign w:val="bottom"/>
          </w:tcPr>
          <w:p w14:paraId="392BEA09" w14:textId="77777777" w:rsidR="00980E5F" w:rsidRDefault="00483613">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A0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A0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A0C" w14:textId="77777777" w:rsidR="00980E5F" w:rsidRDefault="00980E5F">
            <w:pPr>
              <w:rPr>
                <w:rFonts w:ascii="宋体"/>
              </w:rPr>
            </w:pPr>
          </w:p>
        </w:tc>
        <w:tc>
          <w:tcPr>
            <w:tcW w:w="0" w:type="auto"/>
            <w:shd w:val="clear" w:color="auto" w:fill="auto"/>
            <w:vAlign w:val="bottom"/>
          </w:tcPr>
          <w:p w14:paraId="392BEA0D" w14:textId="77777777" w:rsidR="00980E5F" w:rsidRDefault="00980E5F">
            <w:pPr>
              <w:rPr>
                <w:rFonts w:ascii="宋体"/>
                <w:vanish/>
              </w:rPr>
            </w:pPr>
          </w:p>
        </w:tc>
        <w:tc>
          <w:tcPr>
            <w:tcW w:w="0" w:type="auto"/>
            <w:shd w:val="clear" w:color="auto" w:fill="auto"/>
            <w:vAlign w:val="bottom"/>
          </w:tcPr>
          <w:p w14:paraId="392BEA0E"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A0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A10" w14:textId="77777777" w:rsidR="00980E5F" w:rsidRDefault="00980E5F">
            <w:pPr>
              <w:rPr>
                <w:rFonts w:ascii="宋体"/>
              </w:rPr>
            </w:pPr>
          </w:p>
        </w:tc>
        <w:tc>
          <w:tcPr>
            <w:tcW w:w="0" w:type="auto"/>
            <w:gridSpan w:val="3"/>
            <w:shd w:val="clear" w:color="auto" w:fill="auto"/>
            <w:vAlign w:val="bottom"/>
          </w:tcPr>
          <w:p w14:paraId="392BEA11" w14:textId="77777777" w:rsidR="00980E5F" w:rsidRDefault="00980E5F">
            <w:pPr>
              <w:rPr>
                <w:rFonts w:ascii="宋体"/>
                <w:vanish/>
              </w:rPr>
            </w:pPr>
          </w:p>
        </w:tc>
        <w:tc>
          <w:tcPr>
            <w:tcW w:w="0" w:type="auto"/>
            <w:gridSpan w:val="3"/>
            <w:shd w:val="clear" w:color="auto" w:fill="auto"/>
            <w:vAlign w:val="bottom"/>
          </w:tcPr>
          <w:p w14:paraId="392BEA12" w14:textId="77777777" w:rsidR="00980E5F" w:rsidRDefault="00980E5F">
            <w:pPr>
              <w:rPr>
                <w:rFonts w:ascii="宋体"/>
                <w:vanish/>
              </w:rPr>
            </w:pPr>
          </w:p>
        </w:tc>
        <w:tc>
          <w:tcPr>
            <w:tcW w:w="0" w:type="auto"/>
            <w:gridSpan w:val="3"/>
            <w:shd w:val="clear" w:color="auto" w:fill="auto"/>
            <w:vAlign w:val="bottom"/>
          </w:tcPr>
          <w:p w14:paraId="392BEA13" w14:textId="77777777" w:rsidR="00980E5F" w:rsidRDefault="00980E5F">
            <w:pPr>
              <w:rPr>
                <w:rFonts w:ascii="宋体"/>
                <w:vanish/>
              </w:rPr>
            </w:pPr>
          </w:p>
        </w:tc>
      </w:tr>
      <w:tr w:rsidR="00980E5F" w14:paraId="392BEA25" w14:textId="77777777">
        <w:tc>
          <w:tcPr>
            <w:tcW w:w="0" w:type="auto"/>
            <w:gridSpan w:val="3"/>
            <w:shd w:val="clear" w:color="auto" w:fill="CCEEFF"/>
            <w:tcMar>
              <w:top w:w="40" w:type="dxa"/>
              <w:left w:w="20" w:type="dxa"/>
              <w:bottom w:w="40" w:type="dxa"/>
              <w:right w:w="20" w:type="dxa"/>
            </w:tcMar>
          </w:tcPr>
          <w:p w14:paraId="392BEA15" w14:textId="77777777" w:rsidR="00980E5F" w:rsidRDefault="00483613">
            <w:pPr>
              <w:textAlignment w:val="top"/>
            </w:pPr>
            <w:r>
              <w:rPr>
                <w:rFonts w:ascii="Arial" w:eastAsia="宋体" w:hAnsi="Arial" w:cs="Arial"/>
                <w:color w:val="000000"/>
                <w:sz w:val="15"/>
                <w:szCs w:val="15"/>
              </w:rPr>
              <w:t>      Back office services</w:t>
            </w:r>
          </w:p>
        </w:tc>
        <w:tc>
          <w:tcPr>
            <w:tcW w:w="0" w:type="auto"/>
            <w:shd w:val="clear" w:color="auto" w:fill="CCEEFF"/>
            <w:tcMar>
              <w:top w:w="40" w:type="dxa"/>
              <w:left w:w="20" w:type="dxa"/>
              <w:bottom w:w="40" w:type="dxa"/>
              <w:right w:w="0" w:type="dxa"/>
            </w:tcMar>
            <w:vAlign w:val="bottom"/>
          </w:tcPr>
          <w:p w14:paraId="392BEA16"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BEA17" w14:textId="77777777" w:rsidR="00980E5F" w:rsidRDefault="00483613">
            <w:pPr>
              <w:jc w:val="right"/>
              <w:textAlignment w:val="bottom"/>
            </w:pPr>
            <w:r>
              <w:rPr>
                <w:rFonts w:ascii="Arial" w:eastAsia="宋体" w:hAnsi="Arial" w:cs="Arial"/>
                <w:b/>
                <w:bCs/>
                <w:color w:val="000000"/>
                <w:sz w:val="15"/>
                <w:szCs w:val="15"/>
              </w:rPr>
              <w:t>1,205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A1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1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A1A"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EA1B" w14:textId="77777777" w:rsidR="00980E5F" w:rsidRDefault="00483613">
            <w:pPr>
              <w:jc w:val="right"/>
              <w:textAlignment w:val="bottom"/>
            </w:pPr>
            <w:r>
              <w:rPr>
                <w:rFonts w:ascii="Arial" w:eastAsia="宋体" w:hAnsi="Arial" w:cs="Arial"/>
                <w:color w:val="000000"/>
                <w:sz w:val="15"/>
                <w:szCs w:val="15"/>
              </w:rPr>
              <w:t>1,290 </w:t>
            </w:r>
          </w:p>
        </w:tc>
        <w:tc>
          <w:tcPr>
            <w:tcW w:w="0" w:type="auto"/>
            <w:shd w:val="clear" w:color="auto" w:fill="CCEEFF"/>
            <w:tcMar>
              <w:top w:w="40" w:type="dxa"/>
              <w:left w:w="0" w:type="dxa"/>
              <w:bottom w:w="40" w:type="dxa"/>
              <w:right w:w="20" w:type="dxa"/>
            </w:tcMar>
            <w:vAlign w:val="bottom"/>
          </w:tcPr>
          <w:p w14:paraId="392BEA1C" w14:textId="77777777" w:rsidR="00980E5F" w:rsidRDefault="00980E5F">
            <w:pPr>
              <w:jc w:val="right"/>
              <w:rPr>
                <w:rFonts w:ascii="宋体"/>
              </w:rPr>
            </w:pPr>
          </w:p>
        </w:tc>
        <w:tc>
          <w:tcPr>
            <w:tcW w:w="0" w:type="auto"/>
            <w:shd w:val="clear" w:color="auto" w:fill="auto"/>
            <w:vAlign w:val="bottom"/>
          </w:tcPr>
          <w:p w14:paraId="392BEA1D" w14:textId="77777777" w:rsidR="00980E5F" w:rsidRDefault="00980E5F">
            <w:pPr>
              <w:rPr>
                <w:rFonts w:ascii="宋体"/>
                <w:vanish/>
              </w:rPr>
            </w:pPr>
          </w:p>
        </w:tc>
        <w:tc>
          <w:tcPr>
            <w:tcW w:w="0" w:type="auto"/>
            <w:shd w:val="clear" w:color="auto" w:fill="auto"/>
            <w:vAlign w:val="bottom"/>
          </w:tcPr>
          <w:p w14:paraId="392BEA1E"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1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20" w14:textId="77777777" w:rsidR="00980E5F" w:rsidRDefault="00483613">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392BEA21" w14:textId="77777777" w:rsidR="00980E5F" w:rsidRDefault="00483613">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392BEA22" w14:textId="77777777" w:rsidR="00980E5F" w:rsidRDefault="00980E5F">
            <w:pPr>
              <w:rPr>
                <w:rFonts w:ascii="宋体"/>
                <w:vanish/>
              </w:rPr>
            </w:pPr>
          </w:p>
        </w:tc>
        <w:tc>
          <w:tcPr>
            <w:tcW w:w="0" w:type="auto"/>
            <w:gridSpan w:val="3"/>
            <w:shd w:val="clear" w:color="auto" w:fill="auto"/>
            <w:vAlign w:val="bottom"/>
          </w:tcPr>
          <w:p w14:paraId="392BEA23" w14:textId="77777777" w:rsidR="00980E5F" w:rsidRDefault="00980E5F">
            <w:pPr>
              <w:rPr>
                <w:rFonts w:ascii="宋体"/>
                <w:vanish/>
              </w:rPr>
            </w:pPr>
          </w:p>
        </w:tc>
        <w:tc>
          <w:tcPr>
            <w:tcW w:w="0" w:type="auto"/>
            <w:gridSpan w:val="3"/>
            <w:shd w:val="clear" w:color="auto" w:fill="auto"/>
            <w:vAlign w:val="bottom"/>
          </w:tcPr>
          <w:p w14:paraId="392BEA24" w14:textId="77777777" w:rsidR="00980E5F" w:rsidRDefault="00980E5F">
            <w:pPr>
              <w:rPr>
                <w:rFonts w:ascii="宋体"/>
                <w:vanish/>
              </w:rPr>
            </w:pPr>
          </w:p>
        </w:tc>
      </w:tr>
      <w:tr w:rsidR="00980E5F" w14:paraId="392BEA34" w14:textId="77777777">
        <w:tc>
          <w:tcPr>
            <w:tcW w:w="0" w:type="auto"/>
            <w:gridSpan w:val="3"/>
            <w:shd w:val="clear" w:color="auto" w:fill="FFFFFF"/>
            <w:tcMar>
              <w:top w:w="40" w:type="dxa"/>
              <w:left w:w="20" w:type="dxa"/>
              <w:bottom w:w="40" w:type="dxa"/>
              <w:right w:w="20" w:type="dxa"/>
            </w:tcMar>
          </w:tcPr>
          <w:p w14:paraId="392BEA26" w14:textId="77777777" w:rsidR="00980E5F" w:rsidRDefault="00483613">
            <w:pPr>
              <w:textAlignment w:val="top"/>
            </w:pPr>
            <w:r>
              <w:rPr>
                <w:rFonts w:ascii="Arial" w:eastAsia="宋体" w:hAnsi="Arial" w:cs="Arial"/>
                <w:color w:val="000000"/>
                <w:sz w:val="15"/>
                <w:szCs w:val="15"/>
              </w:rPr>
              <w:t>      Middle office services</w:t>
            </w:r>
          </w:p>
        </w:tc>
        <w:tc>
          <w:tcPr>
            <w:tcW w:w="0" w:type="auto"/>
            <w:gridSpan w:val="2"/>
            <w:shd w:val="clear" w:color="auto" w:fill="FFFFFF"/>
            <w:tcMar>
              <w:top w:w="40" w:type="dxa"/>
              <w:left w:w="20" w:type="dxa"/>
              <w:bottom w:w="40" w:type="dxa"/>
              <w:right w:w="0" w:type="dxa"/>
            </w:tcMar>
            <w:vAlign w:val="bottom"/>
          </w:tcPr>
          <w:p w14:paraId="392BEA27" w14:textId="77777777" w:rsidR="00980E5F" w:rsidRDefault="00483613">
            <w:pPr>
              <w:jc w:val="right"/>
              <w:textAlignment w:val="bottom"/>
            </w:pPr>
            <w:r>
              <w:rPr>
                <w:rFonts w:ascii="Arial" w:eastAsia="宋体" w:hAnsi="Arial" w:cs="Arial"/>
                <w:b/>
                <w:bCs/>
                <w:color w:val="000000"/>
                <w:sz w:val="15"/>
                <w:szCs w:val="15"/>
              </w:rPr>
              <w:t>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2A" w14:textId="77777777" w:rsidR="00980E5F" w:rsidRDefault="00483613">
            <w:pPr>
              <w:jc w:val="right"/>
              <w:textAlignment w:val="bottom"/>
            </w:pPr>
            <w:r>
              <w:rPr>
                <w:rFonts w:ascii="Arial" w:eastAsia="宋体" w:hAnsi="Arial" w:cs="Arial"/>
                <w:color w:val="000000"/>
                <w:sz w:val="15"/>
                <w:szCs w:val="15"/>
              </w:rPr>
              <w:t>104 </w:t>
            </w:r>
          </w:p>
        </w:tc>
        <w:tc>
          <w:tcPr>
            <w:tcW w:w="0" w:type="auto"/>
            <w:shd w:val="clear" w:color="auto" w:fill="FFFFFF"/>
            <w:tcMar>
              <w:top w:w="40" w:type="dxa"/>
              <w:left w:w="0" w:type="dxa"/>
              <w:bottom w:w="40" w:type="dxa"/>
              <w:right w:w="20" w:type="dxa"/>
            </w:tcMar>
            <w:vAlign w:val="bottom"/>
          </w:tcPr>
          <w:p w14:paraId="392BEA2B" w14:textId="77777777" w:rsidR="00980E5F" w:rsidRDefault="00980E5F">
            <w:pPr>
              <w:jc w:val="right"/>
              <w:rPr>
                <w:rFonts w:ascii="宋体"/>
              </w:rPr>
            </w:pPr>
          </w:p>
        </w:tc>
        <w:tc>
          <w:tcPr>
            <w:tcW w:w="0" w:type="auto"/>
            <w:shd w:val="clear" w:color="auto" w:fill="auto"/>
            <w:vAlign w:val="bottom"/>
          </w:tcPr>
          <w:p w14:paraId="392BEA2C" w14:textId="77777777" w:rsidR="00980E5F" w:rsidRDefault="00980E5F">
            <w:pPr>
              <w:rPr>
                <w:rFonts w:ascii="宋体"/>
                <w:vanish/>
              </w:rPr>
            </w:pPr>
          </w:p>
        </w:tc>
        <w:tc>
          <w:tcPr>
            <w:tcW w:w="0" w:type="auto"/>
            <w:shd w:val="clear" w:color="auto" w:fill="auto"/>
            <w:vAlign w:val="bottom"/>
          </w:tcPr>
          <w:p w14:paraId="392BEA2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2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2F" w14:textId="77777777" w:rsidR="00980E5F" w:rsidRDefault="00483613">
            <w:pPr>
              <w:jc w:val="right"/>
              <w:textAlignment w:val="bottom"/>
            </w:pPr>
            <w:r>
              <w:rPr>
                <w:rFonts w:ascii="Arial" w:eastAsia="宋体" w:hAnsi="Arial" w:cs="Arial"/>
                <w:color w:val="000000"/>
                <w:sz w:val="15"/>
                <w:szCs w:val="15"/>
              </w:rPr>
              <w:t>(12)</w:t>
            </w:r>
          </w:p>
        </w:tc>
        <w:tc>
          <w:tcPr>
            <w:tcW w:w="0" w:type="auto"/>
            <w:shd w:val="clear" w:color="auto" w:fill="FFFFFF"/>
            <w:tcMar>
              <w:top w:w="40" w:type="dxa"/>
              <w:left w:w="0" w:type="dxa"/>
              <w:bottom w:w="40" w:type="dxa"/>
              <w:right w:w="20" w:type="dxa"/>
            </w:tcMar>
            <w:vAlign w:val="bottom"/>
          </w:tcPr>
          <w:p w14:paraId="392BEA30" w14:textId="77777777" w:rsidR="00980E5F" w:rsidRDefault="00980E5F">
            <w:pPr>
              <w:jc w:val="right"/>
              <w:rPr>
                <w:rFonts w:ascii="宋体"/>
              </w:rPr>
            </w:pPr>
          </w:p>
        </w:tc>
        <w:tc>
          <w:tcPr>
            <w:tcW w:w="0" w:type="auto"/>
            <w:gridSpan w:val="3"/>
            <w:shd w:val="clear" w:color="auto" w:fill="auto"/>
            <w:vAlign w:val="bottom"/>
          </w:tcPr>
          <w:p w14:paraId="392BEA31" w14:textId="77777777" w:rsidR="00980E5F" w:rsidRDefault="00980E5F">
            <w:pPr>
              <w:rPr>
                <w:rFonts w:ascii="宋体"/>
                <w:vanish/>
              </w:rPr>
            </w:pPr>
          </w:p>
        </w:tc>
        <w:tc>
          <w:tcPr>
            <w:tcW w:w="0" w:type="auto"/>
            <w:gridSpan w:val="3"/>
            <w:shd w:val="clear" w:color="auto" w:fill="auto"/>
            <w:vAlign w:val="bottom"/>
          </w:tcPr>
          <w:p w14:paraId="392BEA32" w14:textId="77777777" w:rsidR="00980E5F" w:rsidRDefault="00980E5F">
            <w:pPr>
              <w:rPr>
                <w:rFonts w:ascii="宋体"/>
                <w:vanish/>
              </w:rPr>
            </w:pPr>
          </w:p>
        </w:tc>
        <w:tc>
          <w:tcPr>
            <w:tcW w:w="0" w:type="auto"/>
            <w:gridSpan w:val="3"/>
            <w:shd w:val="clear" w:color="auto" w:fill="auto"/>
            <w:vAlign w:val="bottom"/>
          </w:tcPr>
          <w:p w14:paraId="392BEA33" w14:textId="77777777" w:rsidR="00980E5F" w:rsidRDefault="00980E5F">
            <w:pPr>
              <w:rPr>
                <w:rFonts w:ascii="宋体"/>
                <w:vanish/>
              </w:rPr>
            </w:pPr>
          </w:p>
        </w:tc>
      </w:tr>
      <w:tr w:rsidR="00980E5F" w14:paraId="392BEA43" w14:textId="77777777">
        <w:tc>
          <w:tcPr>
            <w:tcW w:w="0" w:type="auto"/>
            <w:gridSpan w:val="3"/>
            <w:shd w:val="clear" w:color="auto" w:fill="CCEEFF"/>
            <w:tcMar>
              <w:top w:w="40" w:type="dxa"/>
              <w:left w:w="20" w:type="dxa"/>
              <w:bottom w:w="40" w:type="dxa"/>
              <w:right w:w="20" w:type="dxa"/>
            </w:tcMar>
            <w:vAlign w:val="bottom"/>
          </w:tcPr>
          <w:p w14:paraId="392BEA35" w14:textId="77777777" w:rsidR="00980E5F" w:rsidRDefault="00483613">
            <w:pPr>
              <w:textAlignment w:val="bottom"/>
            </w:pPr>
            <w:r>
              <w:rPr>
                <w:rFonts w:ascii="Arial" w:eastAsia="宋体" w:hAnsi="Arial" w:cs="Arial"/>
                <w:color w:val="000000"/>
                <w:sz w:val="15"/>
                <w:szCs w:val="15"/>
              </w:rPr>
              <w:t>Servicing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36" w14:textId="77777777" w:rsidR="00980E5F" w:rsidRDefault="00483613">
            <w:pPr>
              <w:jc w:val="right"/>
              <w:textAlignment w:val="bottom"/>
            </w:pPr>
            <w:r>
              <w:rPr>
                <w:rFonts w:ascii="Arial" w:eastAsia="宋体" w:hAnsi="Arial" w:cs="Arial"/>
                <w:b/>
                <w:bCs/>
                <w:color w:val="000000"/>
                <w:sz w:val="15"/>
                <w:szCs w:val="15"/>
              </w:rPr>
              <w:t>1,297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3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3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39" w14:textId="77777777" w:rsidR="00980E5F" w:rsidRDefault="00483613">
            <w:pPr>
              <w:jc w:val="right"/>
              <w:textAlignment w:val="bottom"/>
            </w:pPr>
            <w:r>
              <w:rPr>
                <w:rFonts w:ascii="Arial" w:eastAsia="宋体" w:hAnsi="Arial" w:cs="Arial"/>
                <w:color w:val="000000"/>
                <w:sz w:val="15"/>
                <w:szCs w:val="15"/>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3A" w14:textId="77777777" w:rsidR="00980E5F" w:rsidRDefault="00980E5F">
            <w:pPr>
              <w:jc w:val="right"/>
              <w:rPr>
                <w:rFonts w:ascii="宋体"/>
              </w:rPr>
            </w:pPr>
          </w:p>
        </w:tc>
        <w:tc>
          <w:tcPr>
            <w:tcW w:w="0" w:type="auto"/>
            <w:shd w:val="clear" w:color="auto" w:fill="auto"/>
            <w:vAlign w:val="bottom"/>
          </w:tcPr>
          <w:p w14:paraId="392BEA3B" w14:textId="77777777" w:rsidR="00980E5F" w:rsidRDefault="00980E5F">
            <w:pPr>
              <w:rPr>
                <w:rFonts w:ascii="宋体"/>
                <w:vanish/>
              </w:rPr>
            </w:pPr>
          </w:p>
        </w:tc>
        <w:tc>
          <w:tcPr>
            <w:tcW w:w="0" w:type="auto"/>
            <w:shd w:val="clear" w:color="auto" w:fill="auto"/>
            <w:vAlign w:val="bottom"/>
          </w:tcPr>
          <w:p w14:paraId="392BEA3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3E" w14:textId="77777777" w:rsidR="00980E5F" w:rsidRDefault="00483613">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392BEA3F" w14:textId="77777777" w:rsidR="00980E5F" w:rsidRDefault="00980E5F">
            <w:pPr>
              <w:jc w:val="right"/>
              <w:rPr>
                <w:rFonts w:ascii="宋体"/>
              </w:rPr>
            </w:pPr>
          </w:p>
        </w:tc>
        <w:tc>
          <w:tcPr>
            <w:tcW w:w="0" w:type="auto"/>
            <w:gridSpan w:val="3"/>
            <w:shd w:val="clear" w:color="auto" w:fill="auto"/>
            <w:vAlign w:val="bottom"/>
          </w:tcPr>
          <w:p w14:paraId="392BEA40" w14:textId="77777777" w:rsidR="00980E5F" w:rsidRDefault="00980E5F">
            <w:pPr>
              <w:rPr>
                <w:rFonts w:ascii="宋体"/>
                <w:vanish/>
              </w:rPr>
            </w:pPr>
          </w:p>
        </w:tc>
        <w:tc>
          <w:tcPr>
            <w:tcW w:w="0" w:type="auto"/>
            <w:gridSpan w:val="3"/>
            <w:shd w:val="clear" w:color="auto" w:fill="auto"/>
            <w:vAlign w:val="bottom"/>
          </w:tcPr>
          <w:p w14:paraId="392BEA41" w14:textId="77777777" w:rsidR="00980E5F" w:rsidRDefault="00980E5F">
            <w:pPr>
              <w:rPr>
                <w:rFonts w:ascii="宋体"/>
                <w:vanish/>
              </w:rPr>
            </w:pPr>
          </w:p>
        </w:tc>
        <w:tc>
          <w:tcPr>
            <w:tcW w:w="0" w:type="auto"/>
            <w:gridSpan w:val="3"/>
            <w:shd w:val="clear" w:color="auto" w:fill="auto"/>
            <w:vAlign w:val="bottom"/>
          </w:tcPr>
          <w:p w14:paraId="392BEA42" w14:textId="77777777" w:rsidR="00980E5F" w:rsidRDefault="00980E5F">
            <w:pPr>
              <w:rPr>
                <w:rFonts w:ascii="宋体"/>
                <w:vanish/>
              </w:rPr>
            </w:pPr>
          </w:p>
        </w:tc>
      </w:tr>
      <w:tr w:rsidR="00980E5F" w14:paraId="392BEA52" w14:textId="77777777">
        <w:tc>
          <w:tcPr>
            <w:tcW w:w="0" w:type="auto"/>
            <w:gridSpan w:val="3"/>
            <w:shd w:val="clear" w:color="auto" w:fill="FFFFFF"/>
            <w:tcMar>
              <w:top w:w="40" w:type="dxa"/>
              <w:left w:w="140" w:type="dxa"/>
              <w:bottom w:w="40" w:type="dxa"/>
              <w:right w:w="20" w:type="dxa"/>
            </w:tcMar>
            <w:vAlign w:val="bottom"/>
          </w:tcPr>
          <w:p w14:paraId="392BEA44" w14:textId="77777777" w:rsidR="00980E5F" w:rsidRDefault="00483613">
            <w:pPr>
              <w:textAlignment w:val="bottom"/>
            </w:pPr>
            <w:r>
              <w:rPr>
                <w:rFonts w:ascii="Arial" w:eastAsia="宋体" w:hAnsi="Arial" w:cs="Arial"/>
                <w:color w:val="000000"/>
                <w:sz w:val="15"/>
                <w:szCs w:val="15"/>
              </w:rPr>
              <w:t>Management fees</w:t>
            </w:r>
          </w:p>
        </w:tc>
        <w:tc>
          <w:tcPr>
            <w:tcW w:w="0" w:type="auto"/>
            <w:gridSpan w:val="2"/>
            <w:shd w:val="clear" w:color="auto" w:fill="FFFFFF"/>
            <w:tcMar>
              <w:top w:w="40" w:type="dxa"/>
              <w:left w:w="20" w:type="dxa"/>
              <w:bottom w:w="40" w:type="dxa"/>
              <w:right w:w="0" w:type="dxa"/>
            </w:tcMar>
            <w:vAlign w:val="bottom"/>
          </w:tcPr>
          <w:p w14:paraId="392BEA45" w14:textId="77777777" w:rsidR="00980E5F" w:rsidRDefault="00483613">
            <w:pPr>
              <w:jc w:val="right"/>
              <w:textAlignment w:val="bottom"/>
            </w:pPr>
            <w:r>
              <w:rPr>
                <w:rFonts w:ascii="Arial" w:eastAsia="宋体" w:hAnsi="Arial" w:cs="Arial"/>
                <w:b/>
                <w:bCs/>
                <w:color w:val="000000"/>
                <w:sz w:val="15"/>
                <w:szCs w:val="15"/>
              </w:rPr>
              <w:t>490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4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48" w14:textId="77777777" w:rsidR="00980E5F" w:rsidRDefault="00483613">
            <w:pPr>
              <w:jc w:val="right"/>
              <w:textAlignment w:val="bottom"/>
            </w:pPr>
            <w:r>
              <w:rPr>
                <w:rFonts w:ascii="Arial" w:eastAsia="宋体" w:hAnsi="Arial" w:cs="Arial"/>
                <w:color w:val="000000"/>
                <w:sz w:val="15"/>
                <w:szCs w:val="15"/>
              </w:rPr>
              <w:t>504 </w:t>
            </w:r>
          </w:p>
        </w:tc>
        <w:tc>
          <w:tcPr>
            <w:tcW w:w="0" w:type="auto"/>
            <w:shd w:val="clear" w:color="auto" w:fill="FFFFFF"/>
            <w:tcMar>
              <w:top w:w="40" w:type="dxa"/>
              <w:left w:w="0" w:type="dxa"/>
              <w:bottom w:w="40" w:type="dxa"/>
              <w:right w:w="20" w:type="dxa"/>
            </w:tcMar>
            <w:vAlign w:val="bottom"/>
          </w:tcPr>
          <w:p w14:paraId="392BEA49" w14:textId="77777777" w:rsidR="00980E5F" w:rsidRDefault="00980E5F">
            <w:pPr>
              <w:jc w:val="right"/>
              <w:rPr>
                <w:rFonts w:ascii="宋体"/>
              </w:rPr>
            </w:pPr>
          </w:p>
        </w:tc>
        <w:tc>
          <w:tcPr>
            <w:tcW w:w="0" w:type="auto"/>
            <w:shd w:val="clear" w:color="auto" w:fill="auto"/>
            <w:vAlign w:val="bottom"/>
          </w:tcPr>
          <w:p w14:paraId="392BEA4A" w14:textId="77777777" w:rsidR="00980E5F" w:rsidRDefault="00980E5F">
            <w:pPr>
              <w:rPr>
                <w:rFonts w:ascii="宋体"/>
                <w:vanish/>
              </w:rPr>
            </w:pPr>
          </w:p>
        </w:tc>
        <w:tc>
          <w:tcPr>
            <w:tcW w:w="0" w:type="auto"/>
            <w:shd w:val="clear" w:color="auto" w:fill="auto"/>
            <w:vAlign w:val="bottom"/>
          </w:tcPr>
          <w:p w14:paraId="392BEA4B"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4D" w14:textId="77777777" w:rsidR="00980E5F" w:rsidRDefault="00483613">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92BEA4E" w14:textId="77777777" w:rsidR="00980E5F" w:rsidRDefault="00980E5F">
            <w:pPr>
              <w:jc w:val="right"/>
              <w:rPr>
                <w:rFonts w:ascii="宋体"/>
              </w:rPr>
            </w:pPr>
          </w:p>
        </w:tc>
        <w:tc>
          <w:tcPr>
            <w:tcW w:w="0" w:type="auto"/>
            <w:gridSpan w:val="3"/>
            <w:shd w:val="clear" w:color="auto" w:fill="auto"/>
            <w:vAlign w:val="bottom"/>
          </w:tcPr>
          <w:p w14:paraId="392BEA4F" w14:textId="77777777" w:rsidR="00980E5F" w:rsidRDefault="00980E5F">
            <w:pPr>
              <w:rPr>
                <w:rFonts w:ascii="宋体"/>
                <w:vanish/>
              </w:rPr>
            </w:pPr>
          </w:p>
        </w:tc>
        <w:tc>
          <w:tcPr>
            <w:tcW w:w="0" w:type="auto"/>
            <w:gridSpan w:val="3"/>
            <w:shd w:val="clear" w:color="auto" w:fill="auto"/>
            <w:vAlign w:val="bottom"/>
          </w:tcPr>
          <w:p w14:paraId="392BEA50" w14:textId="77777777" w:rsidR="00980E5F" w:rsidRDefault="00980E5F">
            <w:pPr>
              <w:rPr>
                <w:rFonts w:ascii="宋体"/>
                <w:vanish/>
              </w:rPr>
            </w:pPr>
          </w:p>
        </w:tc>
        <w:tc>
          <w:tcPr>
            <w:tcW w:w="0" w:type="auto"/>
            <w:gridSpan w:val="3"/>
            <w:shd w:val="clear" w:color="auto" w:fill="auto"/>
            <w:vAlign w:val="bottom"/>
          </w:tcPr>
          <w:p w14:paraId="392BEA51" w14:textId="77777777" w:rsidR="00980E5F" w:rsidRDefault="00980E5F">
            <w:pPr>
              <w:rPr>
                <w:rFonts w:ascii="宋体"/>
                <w:vanish/>
              </w:rPr>
            </w:pPr>
          </w:p>
        </w:tc>
      </w:tr>
      <w:tr w:rsidR="00980E5F" w14:paraId="392BEA61" w14:textId="77777777">
        <w:tc>
          <w:tcPr>
            <w:tcW w:w="0" w:type="auto"/>
            <w:gridSpan w:val="3"/>
            <w:shd w:val="clear" w:color="auto" w:fill="CCEEFF"/>
            <w:tcMar>
              <w:top w:w="40" w:type="dxa"/>
              <w:left w:w="140" w:type="dxa"/>
              <w:bottom w:w="40" w:type="dxa"/>
              <w:right w:w="20" w:type="dxa"/>
            </w:tcMar>
            <w:vAlign w:val="bottom"/>
          </w:tcPr>
          <w:p w14:paraId="392BEA53" w14:textId="77777777" w:rsidR="00980E5F" w:rsidRDefault="00483613">
            <w:pPr>
              <w:textAlignment w:val="bottom"/>
            </w:pPr>
            <w:r>
              <w:rPr>
                <w:rFonts w:ascii="Arial" w:eastAsia="宋体" w:hAnsi="Arial" w:cs="Arial"/>
                <w:color w:val="000000"/>
                <w:sz w:val="15"/>
                <w:szCs w:val="15"/>
              </w:rPr>
              <w:t>Foreign exchange trading services</w:t>
            </w:r>
          </w:p>
        </w:tc>
        <w:tc>
          <w:tcPr>
            <w:tcW w:w="0" w:type="auto"/>
            <w:gridSpan w:val="2"/>
            <w:shd w:val="clear" w:color="auto" w:fill="CCEEFF"/>
            <w:tcMar>
              <w:top w:w="40" w:type="dxa"/>
              <w:left w:w="20" w:type="dxa"/>
              <w:bottom w:w="40" w:type="dxa"/>
              <w:right w:w="0" w:type="dxa"/>
            </w:tcMar>
            <w:vAlign w:val="bottom"/>
          </w:tcPr>
          <w:p w14:paraId="392BEA54" w14:textId="77777777" w:rsidR="00980E5F" w:rsidRDefault="00483613">
            <w:pPr>
              <w:jc w:val="right"/>
              <w:textAlignment w:val="bottom"/>
            </w:pPr>
            <w:r>
              <w:rPr>
                <w:rFonts w:ascii="Arial" w:eastAsia="宋体" w:hAnsi="Arial" w:cs="Arial"/>
                <w:b/>
                <w:bCs/>
                <w:color w:val="000000"/>
                <w:sz w:val="15"/>
                <w:szCs w:val="15"/>
              </w:rPr>
              <w:t>331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A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5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57" w14:textId="77777777" w:rsidR="00980E5F" w:rsidRDefault="00483613">
            <w:pPr>
              <w:jc w:val="right"/>
              <w:textAlignment w:val="bottom"/>
            </w:pPr>
            <w:r>
              <w:rPr>
                <w:rFonts w:ascii="Arial" w:eastAsia="宋体" w:hAnsi="Arial" w:cs="Arial"/>
                <w:color w:val="000000"/>
                <w:sz w:val="15"/>
                <w:szCs w:val="15"/>
              </w:rPr>
              <w:t>286 </w:t>
            </w:r>
          </w:p>
        </w:tc>
        <w:tc>
          <w:tcPr>
            <w:tcW w:w="0" w:type="auto"/>
            <w:shd w:val="clear" w:color="auto" w:fill="CCEEFF"/>
            <w:tcMar>
              <w:top w:w="40" w:type="dxa"/>
              <w:left w:w="0" w:type="dxa"/>
              <w:bottom w:w="40" w:type="dxa"/>
              <w:right w:w="20" w:type="dxa"/>
            </w:tcMar>
            <w:vAlign w:val="bottom"/>
          </w:tcPr>
          <w:p w14:paraId="392BEA58" w14:textId="77777777" w:rsidR="00980E5F" w:rsidRDefault="00980E5F">
            <w:pPr>
              <w:jc w:val="right"/>
              <w:rPr>
                <w:rFonts w:ascii="宋体"/>
              </w:rPr>
            </w:pPr>
          </w:p>
        </w:tc>
        <w:tc>
          <w:tcPr>
            <w:tcW w:w="0" w:type="auto"/>
            <w:shd w:val="clear" w:color="auto" w:fill="auto"/>
            <w:vAlign w:val="bottom"/>
          </w:tcPr>
          <w:p w14:paraId="392BEA59" w14:textId="77777777" w:rsidR="00980E5F" w:rsidRDefault="00980E5F">
            <w:pPr>
              <w:rPr>
                <w:rFonts w:ascii="宋体"/>
                <w:vanish/>
              </w:rPr>
            </w:pPr>
          </w:p>
        </w:tc>
        <w:tc>
          <w:tcPr>
            <w:tcW w:w="0" w:type="auto"/>
            <w:shd w:val="clear" w:color="auto" w:fill="auto"/>
            <w:vAlign w:val="bottom"/>
          </w:tcPr>
          <w:p w14:paraId="392BEA5A"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5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5C" w14:textId="77777777" w:rsidR="00980E5F" w:rsidRDefault="00483613">
            <w:pPr>
              <w:jc w:val="right"/>
              <w:textAlignment w:val="bottom"/>
            </w:pPr>
            <w:r>
              <w:rPr>
                <w:rFonts w:ascii="Arial" w:eastAsia="宋体" w:hAnsi="Arial" w:cs="Arial"/>
                <w:color w:val="000000"/>
                <w:sz w:val="15"/>
                <w:szCs w:val="15"/>
              </w:rPr>
              <w:t>16 </w:t>
            </w:r>
          </w:p>
        </w:tc>
        <w:tc>
          <w:tcPr>
            <w:tcW w:w="0" w:type="auto"/>
            <w:shd w:val="clear" w:color="auto" w:fill="CCEEFF"/>
            <w:tcMar>
              <w:top w:w="40" w:type="dxa"/>
              <w:left w:w="0" w:type="dxa"/>
              <w:bottom w:w="40" w:type="dxa"/>
              <w:right w:w="20" w:type="dxa"/>
            </w:tcMar>
            <w:vAlign w:val="bottom"/>
          </w:tcPr>
          <w:p w14:paraId="392BEA5D" w14:textId="77777777" w:rsidR="00980E5F" w:rsidRDefault="00980E5F">
            <w:pPr>
              <w:jc w:val="right"/>
              <w:rPr>
                <w:rFonts w:ascii="宋体"/>
              </w:rPr>
            </w:pPr>
          </w:p>
        </w:tc>
        <w:tc>
          <w:tcPr>
            <w:tcW w:w="0" w:type="auto"/>
            <w:gridSpan w:val="3"/>
            <w:shd w:val="clear" w:color="auto" w:fill="auto"/>
            <w:vAlign w:val="bottom"/>
          </w:tcPr>
          <w:p w14:paraId="392BEA5E" w14:textId="77777777" w:rsidR="00980E5F" w:rsidRDefault="00980E5F">
            <w:pPr>
              <w:rPr>
                <w:rFonts w:ascii="宋体"/>
                <w:vanish/>
              </w:rPr>
            </w:pPr>
          </w:p>
        </w:tc>
        <w:tc>
          <w:tcPr>
            <w:tcW w:w="0" w:type="auto"/>
            <w:gridSpan w:val="3"/>
            <w:shd w:val="clear" w:color="auto" w:fill="auto"/>
            <w:vAlign w:val="bottom"/>
          </w:tcPr>
          <w:p w14:paraId="392BEA5F" w14:textId="77777777" w:rsidR="00980E5F" w:rsidRDefault="00980E5F">
            <w:pPr>
              <w:rPr>
                <w:rFonts w:ascii="宋体"/>
                <w:vanish/>
              </w:rPr>
            </w:pPr>
          </w:p>
        </w:tc>
        <w:tc>
          <w:tcPr>
            <w:tcW w:w="0" w:type="auto"/>
            <w:gridSpan w:val="3"/>
            <w:shd w:val="clear" w:color="auto" w:fill="auto"/>
            <w:vAlign w:val="bottom"/>
          </w:tcPr>
          <w:p w14:paraId="392BEA60" w14:textId="77777777" w:rsidR="00980E5F" w:rsidRDefault="00980E5F">
            <w:pPr>
              <w:rPr>
                <w:rFonts w:ascii="宋体"/>
                <w:vanish/>
              </w:rPr>
            </w:pPr>
          </w:p>
        </w:tc>
      </w:tr>
      <w:tr w:rsidR="00980E5F" w14:paraId="392BEA70" w14:textId="77777777">
        <w:tc>
          <w:tcPr>
            <w:tcW w:w="0" w:type="auto"/>
            <w:gridSpan w:val="3"/>
            <w:shd w:val="clear" w:color="auto" w:fill="FFFFFF"/>
            <w:tcMar>
              <w:top w:w="40" w:type="dxa"/>
              <w:left w:w="140" w:type="dxa"/>
              <w:bottom w:w="40" w:type="dxa"/>
              <w:right w:w="20" w:type="dxa"/>
            </w:tcMar>
            <w:vAlign w:val="bottom"/>
          </w:tcPr>
          <w:p w14:paraId="392BEA62" w14:textId="77777777" w:rsidR="00980E5F" w:rsidRDefault="00483613">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392BEA63" w14:textId="77777777" w:rsidR="00980E5F" w:rsidRDefault="00483613">
            <w:pPr>
              <w:jc w:val="right"/>
              <w:textAlignment w:val="bottom"/>
            </w:pPr>
            <w:r>
              <w:rPr>
                <w:rFonts w:ascii="Arial" w:eastAsia="宋体" w:hAnsi="Arial" w:cs="Arial"/>
                <w:b/>
                <w:bCs/>
                <w:color w:val="000000"/>
                <w:sz w:val="15"/>
                <w:szCs w:val="15"/>
              </w:rPr>
              <w:t>107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66" w14:textId="77777777" w:rsidR="00980E5F" w:rsidRDefault="00483613">
            <w:pPr>
              <w:jc w:val="right"/>
              <w:textAlignment w:val="bottom"/>
            </w:pPr>
            <w:r>
              <w:rPr>
                <w:rFonts w:ascii="Arial" w:eastAsia="宋体" w:hAnsi="Arial" w:cs="Arial"/>
                <w:color w:val="000000"/>
                <w:sz w:val="15"/>
                <w:szCs w:val="15"/>
              </w:rPr>
              <w:t>109 </w:t>
            </w:r>
          </w:p>
        </w:tc>
        <w:tc>
          <w:tcPr>
            <w:tcW w:w="0" w:type="auto"/>
            <w:shd w:val="clear" w:color="auto" w:fill="FFFFFF"/>
            <w:tcMar>
              <w:top w:w="40" w:type="dxa"/>
              <w:left w:w="0" w:type="dxa"/>
              <w:bottom w:w="40" w:type="dxa"/>
              <w:right w:w="20" w:type="dxa"/>
            </w:tcMar>
            <w:vAlign w:val="bottom"/>
          </w:tcPr>
          <w:p w14:paraId="392BEA67" w14:textId="77777777" w:rsidR="00980E5F" w:rsidRDefault="00980E5F">
            <w:pPr>
              <w:jc w:val="right"/>
              <w:rPr>
                <w:rFonts w:ascii="宋体"/>
              </w:rPr>
            </w:pPr>
          </w:p>
        </w:tc>
        <w:tc>
          <w:tcPr>
            <w:tcW w:w="0" w:type="auto"/>
            <w:shd w:val="clear" w:color="auto" w:fill="auto"/>
            <w:vAlign w:val="bottom"/>
          </w:tcPr>
          <w:p w14:paraId="392BEA68" w14:textId="77777777" w:rsidR="00980E5F" w:rsidRDefault="00980E5F">
            <w:pPr>
              <w:rPr>
                <w:rFonts w:ascii="宋体"/>
                <w:vanish/>
              </w:rPr>
            </w:pPr>
          </w:p>
        </w:tc>
        <w:tc>
          <w:tcPr>
            <w:tcW w:w="0" w:type="auto"/>
            <w:shd w:val="clear" w:color="auto" w:fill="auto"/>
            <w:vAlign w:val="bottom"/>
          </w:tcPr>
          <w:p w14:paraId="392BEA69"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6B"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BEA6C" w14:textId="77777777" w:rsidR="00980E5F" w:rsidRDefault="00980E5F">
            <w:pPr>
              <w:jc w:val="right"/>
              <w:rPr>
                <w:rFonts w:ascii="宋体"/>
              </w:rPr>
            </w:pPr>
          </w:p>
        </w:tc>
        <w:tc>
          <w:tcPr>
            <w:tcW w:w="0" w:type="auto"/>
            <w:gridSpan w:val="3"/>
            <w:shd w:val="clear" w:color="auto" w:fill="auto"/>
            <w:vAlign w:val="bottom"/>
          </w:tcPr>
          <w:p w14:paraId="392BEA6D" w14:textId="77777777" w:rsidR="00980E5F" w:rsidRDefault="00980E5F">
            <w:pPr>
              <w:rPr>
                <w:rFonts w:ascii="宋体"/>
                <w:vanish/>
              </w:rPr>
            </w:pPr>
          </w:p>
        </w:tc>
        <w:tc>
          <w:tcPr>
            <w:tcW w:w="0" w:type="auto"/>
            <w:gridSpan w:val="3"/>
            <w:shd w:val="clear" w:color="auto" w:fill="auto"/>
            <w:vAlign w:val="bottom"/>
          </w:tcPr>
          <w:p w14:paraId="392BEA6E" w14:textId="77777777" w:rsidR="00980E5F" w:rsidRDefault="00980E5F">
            <w:pPr>
              <w:rPr>
                <w:rFonts w:ascii="宋体"/>
                <w:vanish/>
              </w:rPr>
            </w:pPr>
          </w:p>
        </w:tc>
        <w:tc>
          <w:tcPr>
            <w:tcW w:w="0" w:type="auto"/>
            <w:gridSpan w:val="3"/>
            <w:shd w:val="clear" w:color="auto" w:fill="auto"/>
            <w:vAlign w:val="bottom"/>
          </w:tcPr>
          <w:p w14:paraId="392BEA6F" w14:textId="77777777" w:rsidR="00980E5F" w:rsidRDefault="00980E5F">
            <w:pPr>
              <w:rPr>
                <w:rFonts w:ascii="宋体"/>
                <w:vanish/>
              </w:rPr>
            </w:pPr>
          </w:p>
        </w:tc>
      </w:tr>
      <w:tr w:rsidR="00980E5F" w14:paraId="392BEA7F" w14:textId="77777777">
        <w:tc>
          <w:tcPr>
            <w:tcW w:w="0" w:type="auto"/>
            <w:gridSpan w:val="3"/>
            <w:shd w:val="clear" w:color="auto" w:fill="CCEEFF"/>
            <w:tcMar>
              <w:top w:w="40" w:type="dxa"/>
              <w:left w:w="20" w:type="dxa"/>
              <w:bottom w:w="40" w:type="dxa"/>
              <w:right w:w="20" w:type="dxa"/>
            </w:tcMar>
          </w:tcPr>
          <w:p w14:paraId="392BEA71" w14:textId="77777777" w:rsidR="00980E5F" w:rsidRDefault="00483613">
            <w:pPr>
              <w:textAlignment w:val="top"/>
            </w:pPr>
            <w:r>
              <w:rPr>
                <w:rFonts w:ascii="Arial" w:eastAsia="宋体" w:hAnsi="Arial" w:cs="Arial"/>
                <w:color w:val="000000"/>
                <w:sz w:val="15"/>
                <w:szCs w:val="15"/>
              </w:rPr>
              <w:t>      Front office software and data</w:t>
            </w:r>
          </w:p>
        </w:tc>
        <w:tc>
          <w:tcPr>
            <w:tcW w:w="0" w:type="auto"/>
            <w:gridSpan w:val="2"/>
            <w:shd w:val="clear" w:color="auto" w:fill="CCEEFF"/>
            <w:tcMar>
              <w:top w:w="40" w:type="dxa"/>
              <w:left w:w="20" w:type="dxa"/>
              <w:bottom w:w="40" w:type="dxa"/>
              <w:right w:w="0" w:type="dxa"/>
            </w:tcMar>
            <w:vAlign w:val="bottom"/>
          </w:tcPr>
          <w:p w14:paraId="392BEA72" w14:textId="77777777" w:rsidR="00980E5F" w:rsidRDefault="00483613">
            <w:pPr>
              <w:jc w:val="right"/>
              <w:textAlignment w:val="bottom"/>
            </w:pPr>
            <w:r>
              <w:rPr>
                <w:rFonts w:ascii="Arial" w:eastAsia="宋体" w:hAnsi="Arial" w:cs="Arial"/>
                <w:b/>
                <w:bCs/>
                <w:color w:val="000000"/>
                <w:sz w:val="15"/>
                <w:szCs w:val="15"/>
              </w:rPr>
              <w:t>126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A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75" w14:textId="77777777" w:rsidR="00980E5F" w:rsidRDefault="00483613">
            <w:pPr>
              <w:jc w:val="right"/>
              <w:textAlignment w:val="bottom"/>
            </w:pPr>
            <w:r>
              <w:rPr>
                <w:rFonts w:ascii="Arial" w:eastAsia="宋体" w:hAnsi="Arial" w:cs="Arial"/>
                <w:color w:val="000000"/>
                <w:sz w:val="15"/>
                <w:szCs w:val="15"/>
              </w:rPr>
              <w:t>148 </w:t>
            </w:r>
          </w:p>
        </w:tc>
        <w:tc>
          <w:tcPr>
            <w:tcW w:w="0" w:type="auto"/>
            <w:shd w:val="clear" w:color="auto" w:fill="CCEEFF"/>
            <w:tcMar>
              <w:top w:w="40" w:type="dxa"/>
              <w:left w:w="0" w:type="dxa"/>
              <w:bottom w:w="40" w:type="dxa"/>
              <w:right w:w="20" w:type="dxa"/>
            </w:tcMar>
            <w:vAlign w:val="bottom"/>
          </w:tcPr>
          <w:p w14:paraId="392BEA76" w14:textId="77777777" w:rsidR="00980E5F" w:rsidRDefault="00980E5F">
            <w:pPr>
              <w:jc w:val="right"/>
              <w:rPr>
                <w:rFonts w:ascii="宋体"/>
              </w:rPr>
            </w:pPr>
          </w:p>
        </w:tc>
        <w:tc>
          <w:tcPr>
            <w:tcW w:w="0" w:type="auto"/>
            <w:shd w:val="clear" w:color="auto" w:fill="auto"/>
            <w:vAlign w:val="bottom"/>
          </w:tcPr>
          <w:p w14:paraId="392BEA77" w14:textId="77777777" w:rsidR="00980E5F" w:rsidRDefault="00980E5F">
            <w:pPr>
              <w:rPr>
                <w:rFonts w:ascii="宋体"/>
                <w:vanish/>
              </w:rPr>
            </w:pPr>
          </w:p>
        </w:tc>
        <w:tc>
          <w:tcPr>
            <w:tcW w:w="0" w:type="auto"/>
            <w:shd w:val="clear" w:color="auto" w:fill="auto"/>
            <w:vAlign w:val="bottom"/>
          </w:tcPr>
          <w:p w14:paraId="392BEA7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7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7A" w14:textId="77777777" w:rsidR="00980E5F" w:rsidRDefault="00483613">
            <w:pPr>
              <w:jc w:val="right"/>
              <w:textAlignment w:val="bottom"/>
            </w:pPr>
            <w:r>
              <w:rPr>
                <w:rFonts w:ascii="Arial" w:eastAsia="宋体" w:hAnsi="Arial" w:cs="Arial"/>
                <w:color w:val="000000"/>
                <w:sz w:val="15"/>
                <w:szCs w:val="15"/>
              </w:rPr>
              <w:t>(15)</w:t>
            </w:r>
          </w:p>
        </w:tc>
        <w:tc>
          <w:tcPr>
            <w:tcW w:w="0" w:type="auto"/>
            <w:shd w:val="clear" w:color="auto" w:fill="CCEEFF"/>
            <w:tcMar>
              <w:top w:w="40" w:type="dxa"/>
              <w:left w:w="0" w:type="dxa"/>
              <w:bottom w:w="40" w:type="dxa"/>
              <w:right w:w="20" w:type="dxa"/>
            </w:tcMar>
            <w:vAlign w:val="bottom"/>
          </w:tcPr>
          <w:p w14:paraId="392BEA7B" w14:textId="77777777" w:rsidR="00980E5F" w:rsidRDefault="00980E5F">
            <w:pPr>
              <w:jc w:val="right"/>
              <w:rPr>
                <w:rFonts w:ascii="宋体"/>
              </w:rPr>
            </w:pPr>
          </w:p>
        </w:tc>
        <w:tc>
          <w:tcPr>
            <w:tcW w:w="0" w:type="auto"/>
            <w:gridSpan w:val="3"/>
            <w:shd w:val="clear" w:color="auto" w:fill="auto"/>
            <w:vAlign w:val="bottom"/>
          </w:tcPr>
          <w:p w14:paraId="392BEA7C" w14:textId="77777777" w:rsidR="00980E5F" w:rsidRDefault="00980E5F">
            <w:pPr>
              <w:rPr>
                <w:rFonts w:ascii="宋体"/>
                <w:vanish/>
              </w:rPr>
            </w:pPr>
          </w:p>
        </w:tc>
        <w:tc>
          <w:tcPr>
            <w:tcW w:w="0" w:type="auto"/>
            <w:gridSpan w:val="3"/>
            <w:shd w:val="clear" w:color="auto" w:fill="auto"/>
            <w:vAlign w:val="bottom"/>
          </w:tcPr>
          <w:p w14:paraId="392BEA7D" w14:textId="77777777" w:rsidR="00980E5F" w:rsidRDefault="00980E5F">
            <w:pPr>
              <w:rPr>
                <w:rFonts w:ascii="宋体"/>
                <w:vanish/>
              </w:rPr>
            </w:pPr>
          </w:p>
        </w:tc>
        <w:tc>
          <w:tcPr>
            <w:tcW w:w="0" w:type="auto"/>
            <w:gridSpan w:val="3"/>
            <w:shd w:val="clear" w:color="auto" w:fill="auto"/>
            <w:vAlign w:val="bottom"/>
          </w:tcPr>
          <w:p w14:paraId="392BEA7E" w14:textId="77777777" w:rsidR="00980E5F" w:rsidRDefault="00980E5F">
            <w:pPr>
              <w:rPr>
                <w:rFonts w:ascii="宋体"/>
                <w:vanish/>
              </w:rPr>
            </w:pPr>
          </w:p>
        </w:tc>
      </w:tr>
      <w:tr w:rsidR="00980E5F" w14:paraId="392BEA8E" w14:textId="77777777">
        <w:tc>
          <w:tcPr>
            <w:tcW w:w="0" w:type="auto"/>
            <w:gridSpan w:val="3"/>
            <w:shd w:val="clear" w:color="auto" w:fill="FFFFFF"/>
            <w:tcMar>
              <w:top w:w="40" w:type="dxa"/>
              <w:left w:w="20" w:type="dxa"/>
              <w:bottom w:w="40" w:type="dxa"/>
              <w:right w:w="20" w:type="dxa"/>
            </w:tcMar>
          </w:tcPr>
          <w:p w14:paraId="392BEA80" w14:textId="77777777" w:rsidR="00980E5F" w:rsidRDefault="00483613">
            <w:pPr>
              <w:textAlignment w:val="top"/>
            </w:pPr>
            <w:r>
              <w:rPr>
                <w:rFonts w:ascii="Arial" w:eastAsia="宋体" w:hAnsi="Arial" w:cs="Arial"/>
                <w:color w:val="000000"/>
                <w:sz w:val="15"/>
                <w:szCs w:val="15"/>
              </w:rPr>
              <w:t>      Lending related and other fees</w:t>
            </w:r>
          </w:p>
        </w:tc>
        <w:tc>
          <w:tcPr>
            <w:tcW w:w="0" w:type="auto"/>
            <w:gridSpan w:val="2"/>
            <w:shd w:val="clear" w:color="auto" w:fill="FFFFFF"/>
            <w:tcMar>
              <w:top w:w="40" w:type="dxa"/>
              <w:left w:w="20" w:type="dxa"/>
              <w:bottom w:w="40" w:type="dxa"/>
              <w:right w:w="0" w:type="dxa"/>
            </w:tcMar>
            <w:vAlign w:val="bottom"/>
          </w:tcPr>
          <w:p w14:paraId="392BEA81" w14:textId="77777777" w:rsidR="00980E5F" w:rsidRDefault="00483613">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8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84" w14:textId="77777777" w:rsidR="00980E5F" w:rsidRDefault="00483613">
            <w:pPr>
              <w:jc w:val="right"/>
              <w:textAlignment w:val="bottom"/>
            </w:pPr>
            <w:r>
              <w:rPr>
                <w:rFonts w:ascii="Arial" w:eastAsia="宋体" w:hAnsi="Arial" w:cs="Arial"/>
                <w:color w:val="000000"/>
                <w:sz w:val="15"/>
                <w:szCs w:val="15"/>
              </w:rPr>
              <w:t>63 </w:t>
            </w:r>
          </w:p>
        </w:tc>
        <w:tc>
          <w:tcPr>
            <w:tcW w:w="0" w:type="auto"/>
            <w:shd w:val="clear" w:color="auto" w:fill="FFFFFF"/>
            <w:tcMar>
              <w:top w:w="40" w:type="dxa"/>
              <w:left w:w="0" w:type="dxa"/>
              <w:bottom w:w="40" w:type="dxa"/>
              <w:right w:w="20" w:type="dxa"/>
            </w:tcMar>
            <w:vAlign w:val="bottom"/>
          </w:tcPr>
          <w:p w14:paraId="392BEA85" w14:textId="77777777" w:rsidR="00980E5F" w:rsidRDefault="00980E5F">
            <w:pPr>
              <w:jc w:val="right"/>
              <w:rPr>
                <w:rFonts w:ascii="宋体"/>
              </w:rPr>
            </w:pPr>
          </w:p>
        </w:tc>
        <w:tc>
          <w:tcPr>
            <w:tcW w:w="0" w:type="auto"/>
            <w:shd w:val="clear" w:color="auto" w:fill="auto"/>
            <w:vAlign w:val="bottom"/>
          </w:tcPr>
          <w:p w14:paraId="392BEA86" w14:textId="77777777" w:rsidR="00980E5F" w:rsidRDefault="00980E5F">
            <w:pPr>
              <w:rPr>
                <w:rFonts w:ascii="宋体"/>
                <w:vanish/>
              </w:rPr>
            </w:pPr>
          </w:p>
        </w:tc>
        <w:tc>
          <w:tcPr>
            <w:tcW w:w="0" w:type="auto"/>
            <w:shd w:val="clear" w:color="auto" w:fill="auto"/>
            <w:vAlign w:val="bottom"/>
          </w:tcPr>
          <w:p w14:paraId="392BEA87"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89"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BEA8A" w14:textId="77777777" w:rsidR="00980E5F" w:rsidRDefault="00980E5F">
            <w:pPr>
              <w:jc w:val="right"/>
              <w:rPr>
                <w:rFonts w:ascii="宋体"/>
              </w:rPr>
            </w:pPr>
          </w:p>
        </w:tc>
        <w:tc>
          <w:tcPr>
            <w:tcW w:w="0" w:type="auto"/>
            <w:gridSpan w:val="3"/>
            <w:shd w:val="clear" w:color="auto" w:fill="auto"/>
            <w:vAlign w:val="bottom"/>
          </w:tcPr>
          <w:p w14:paraId="392BEA8B" w14:textId="77777777" w:rsidR="00980E5F" w:rsidRDefault="00980E5F">
            <w:pPr>
              <w:rPr>
                <w:rFonts w:ascii="宋体"/>
                <w:vanish/>
              </w:rPr>
            </w:pPr>
          </w:p>
        </w:tc>
        <w:tc>
          <w:tcPr>
            <w:tcW w:w="0" w:type="auto"/>
            <w:gridSpan w:val="3"/>
            <w:shd w:val="clear" w:color="auto" w:fill="auto"/>
            <w:vAlign w:val="bottom"/>
          </w:tcPr>
          <w:p w14:paraId="392BEA8C" w14:textId="77777777" w:rsidR="00980E5F" w:rsidRDefault="00980E5F">
            <w:pPr>
              <w:rPr>
                <w:rFonts w:ascii="宋体"/>
                <w:vanish/>
              </w:rPr>
            </w:pPr>
          </w:p>
        </w:tc>
        <w:tc>
          <w:tcPr>
            <w:tcW w:w="0" w:type="auto"/>
            <w:gridSpan w:val="3"/>
            <w:shd w:val="clear" w:color="auto" w:fill="auto"/>
            <w:vAlign w:val="bottom"/>
          </w:tcPr>
          <w:p w14:paraId="392BEA8D" w14:textId="77777777" w:rsidR="00980E5F" w:rsidRDefault="00980E5F">
            <w:pPr>
              <w:rPr>
                <w:rFonts w:ascii="宋体"/>
                <w:vanish/>
              </w:rPr>
            </w:pPr>
          </w:p>
        </w:tc>
      </w:tr>
      <w:tr w:rsidR="00980E5F" w14:paraId="392BEA9D" w14:textId="77777777">
        <w:tc>
          <w:tcPr>
            <w:tcW w:w="0" w:type="auto"/>
            <w:gridSpan w:val="3"/>
            <w:shd w:val="clear" w:color="auto" w:fill="CCEEFF"/>
            <w:tcMar>
              <w:top w:w="40" w:type="dxa"/>
              <w:left w:w="20" w:type="dxa"/>
              <w:bottom w:w="40" w:type="dxa"/>
              <w:right w:w="20" w:type="dxa"/>
            </w:tcMar>
            <w:vAlign w:val="bottom"/>
          </w:tcPr>
          <w:p w14:paraId="392BEA8F" w14:textId="77777777" w:rsidR="00980E5F" w:rsidRDefault="00483613">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90" w14:textId="77777777" w:rsidR="00980E5F" w:rsidRDefault="00483613">
            <w:pPr>
              <w:jc w:val="right"/>
              <w:textAlignment w:val="bottom"/>
            </w:pPr>
            <w:r>
              <w:rPr>
                <w:rFonts w:ascii="Arial" w:eastAsia="宋体" w:hAnsi="Arial" w:cs="Arial"/>
                <w:b/>
                <w:bCs/>
                <w:color w:val="000000"/>
                <w:sz w:val="15"/>
                <w:szCs w:val="15"/>
              </w:rPr>
              <w:t>188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9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93" w14:textId="77777777" w:rsidR="00980E5F" w:rsidRDefault="00483613">
            <w:pPr>
              <w:jc w:val="right"/>
              <w:textAlignment w:val="bottom"/>
            </w:pPr>
            <w:r>
              <w:rPr>
                <w:rFonts w:ascii="Arial" w:eastAsia="宋体" w:hAnsi="Arial" w:cs="Arial"/>
                <w:color w:val="000000"/>
                <w:sz w:val="15"/>
                <w:szCs w:val="15"/>
              </w:rPr>
              <w:t>211 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94" w14:textId="77777777" w:rsidR="00980E5F" w:rsidRDefault="00980E5F">
            <w:pPr>
              <w:jc w:val="right"/>
              <w:rPr>
                <w:rFonts w:ascii="宋体"/>
              </w:rPr>
            </w:pPr>
          </w:p>
        </w:tc>
        <w:tc>
          <w:tcPr>
            <w:tcW w:w="0" w:type="auto"/>
            <w:shd w:val="clear" w:color="auto" w:fill="auto"/>
            <w:vAlign w:val="bottom"/>
          </w:tcPr>
          <w:p w14:paraId="392BEA95" w14:textId="77777777" w:rsidR="00980E5F" w:rsidRDefault="00980E5F">
            <w:pPr>
              <w:rPr>
                <w:rFonts w:ascii="宋体"/>
                <w:vanish/>
              </w:rPr>
            </w:pPr>
          </w:p>
        </w:tc>
        <w:tc>
          <w:tcPr>
            <w:tcW w:w="0" w:type="auto"/>
            <w:shd w:val="clear" w:color="auto" w:fill="auto"/>
            <w:vAlign w:val="bottom"/>
          </w:tcPr>
          <w:p w14:paraId="392BEA9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98" w14:textId="77777777" w:rsidR="00980E5F" w:rsidRDefault="00483613">
            <w:pPr>
              <w:jc w:val="right"/>
              <w:textAlignment w:val="bottom"/>
            </w:pPr>
            <w:r>
              <w:rPr>
                <w:rFonts w:ascii="Arial" w:eastAsia="宋体" w:hAnsi="Arial" w:cs="Arial"/>
                <w:color w:val="000000"/>
                <w:sz w:val="15"/>
                <w:szCs w:val="15"/>
              </w:rPr>
              <w:t>(11)</w:t>
            </w:r>
          </w:p>
        </w:tc>
        <w:tc>
          <w:tcPr>
            <w:tcW w:w="0" w:type="auto"/>
            <w:shd w:val="clear" w:color="auto" w:fill="CCEEFF"/>
            <w:tcMar>
              <w:top w:w="40" w:type="dxa"/>
              <w:left w:w="0" w:type="dxa"/>
              <w:bottom w:w="40" w:type="dxa"/>
              <w:right w:w="20" w:type="dxa"/>
            </w:tcMar>
            <w:vAlign w:val="bottom"/>
          </w:tcPr>
          <w:p w14:paraId="392BEA99" w14:textId="77777777" w:rsidR="00980E5F" w:rsidRDefault="00980E5F">
            <w:pPr>
              <w:jc w:val="right"/>
              <w:rPr>
                <w:rFonts w:ascii="宋体"/>
              </w:rPr>
            </w:pPr>
          </w:p>
        </w:tc>
        <w:tc>
          <w:tcPr>
            <w:tcW w:w="0" w:type="auto"/>
            <w:gridSpan w:val="3"/>
            <w:shd w:val="clear" w:color="auto" w:fill="auto"/>
            <w:vAlign w:val="bottom"/>
          </w:tcPr>
          <w:p w14:paraId="392BEA9A" w14:textId="77777777" w:rsidR="00980E5F" w:rsidRDefault="00980E5F">
            <w:pPr>
              <w:rPr>
                <w:rFonts w:ascii="宋体"/>
                <w:vanish/>
              </w:rPr>
            </w:pPr>
          </w:p>
        </w:tc>
        <w:tc>
          <w:tcPr>
            <w:tcW w:w="0" w:type="auto"/>
            <w:gridSpan w:val="3"/>
            <w:shd w:val="clear" w:color="auto" w:fill="auto"/>
            <w:vAlign w:val="bottom"/>
          </w:tcPr>
          <w:p w14:paraId="392BEA9B" w14:textId="77777777" w:rsidR="00980E5F" w:rsidRDefault="00980E5F">
            <w:pPr>
              <w:rPr>
                <w:rFonts w:ascii="宋体"/>
                <w:vanish/>
              </w:rPr>
            </w:pPr>
          </w:p>
        </w:tc>
        <w:tc>
          <w:tcPr>
            <w:tcW w:w="0" w:type="auto"/>
            <w:gridSpan w:val="3"/>
            <w:shd w:val="clear" w:color="auto" w:fill="auto"/>
            <w:vAlign w:val="bottom"/>
          </w:tcPr>
          <w:p w14:paraId="392BEA9C" w14:textId="77777777" w:rsidR="00980E5F" w:rsidRDefault="00980E5F">
            <w:pPr>
              <w:rPr>
                <w:rFonts w:ascii="宋体"/>
                <w:vanish/>
              </w:rPr>
            </w:pPr>
          </w:p>
        </w:tc>
      </w:tr>
      <w:tr w:rsidR="00980E5F" w14:paraId="392BEAAB" w14:textId="77777777">
        <w:tc>
          <w:tcPr>
            <w:tcW w:w="0" w:type="auto"/>
            <w:gridSpan w:val="3"/>
            <w:shd w:val="clear" w:color="auto" w:fill="FFFFFF"/>
            <w:tcMar>
              <w:top w:w="40" w:type="dxa"/>
              <w:left w:w="20" w:type="dxa"/>
              <w:bottom w:w="40" w:type="dxa"/>
              <w:right w:w="20" w:type="dxa"/>
            </w:tcMar>
          </w:tcPr>
          <w:p w14:paraId="392BEA9E" w14:textId="77777777" w:rsidR="00980E5F" w:rsidRDefault="00483613">
            <w:pPr>
              <w:textAlignment w:val="top"/>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BEA9F" w14:textId="77777777" w:rsidR="00980E5F" w:rsidRDefault="00483613">
            <w:pPr>
              <w:jc w:val="right"/>
              <w:textAlignment w:val="bottom"/>
            </w:pPr>
            <w:r>
              <w:rPr>
                <w:rFonts w:ascii="Arial" w:eastAsia="宋体" w:hAnsi="Arial" w:cs="Arial"/>
                <w:b/>
                <w:bCs/>
                <w:color w:val="000000"/>
                <w:sz w:val="15"/>
                <w:szCs w:val="15"/>
              </w:rPr>
              <w:t>(43)</w:t>
            </w:r>
          </w:p>
        </w:tc>
        <w:tc>
          <w:tcPr>
            <w:tcW w:w="0" w:type="auto"/>
            <w:shd w:val="clear" w:color="auto" w:fill="FFFFFF"/>
            <w:tcMar>
              <w:top w:w="40" w:type="dxa"/>
              <w:left w:w="0" w:type="dxa"/>
              <w:bottom w:w="40" w:type="dxa"/>
              <w:right w:w="20" w:type="dxa"/>
            </w:tcMar>
            <w:vAlign w:val="bottom"/>
          </w:tcPr>
          <w:p w14:paraId="392BEA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A2" w14:textId="77777777" w:rsidR="00980E5F" w:rsidRDefault="00483613">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392BEAA3" w14:textId="77777777" w:rsidR="00980E5F" w:rsidRDefault="00980E5F">
            <w:pPr>
              <w:jc w:val="right"/>
              <w:rPr>
                <w:rFonts w:ascii="宋体"/>
              </w:rPr>
            </w:pPr>
          </w:p>
        </w:tc>
        <w:tc>
          <w:tcPr>
            <w:tcW w:w="0" w:type="auto"/>
            <w:shd w:val="clear" w:color="auto" w:fill="auto"/>
            <w:vAlign w:val="bottom"/>
          </w:tcPr>
          <w:p w14:paraId="392BEAA4" w14:textId="77777777" w:rsidR="00980E5F" w:rsidRDefault="00980E5F">
            <w:pPr>
              <w:rPr>
                <w:rFonts w:ascii="宋体"/>
                <w:vanish/>
              </w:rPr>
            </w:pPr>
          </w:p>
        </w:tc>
        <w:tc>
          <w:tcPr>
            <w:tcW w:w="0" w:type="auto"/>
            <w:shd w:val="clear" w:color="auto" w:fill="auto"/>
            <w:vAlign w:val="bottom"/>
          </w:tcPr>
          <w:p w14:paraId="392BEAA5"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A6"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AA7"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AA8" w14:textId="77777777" w:rsidR="00980E5F" w:rsidRDefault="00980E5F">
            <w:pPr>
              <w:rPr>
                <w:rFonts w:ascii="宋体"/>
                <w:vanish/>
              </w:rPr>
            </w:pPr>
          </w:p>
        </w:tc>
        <w:tc>
          <w:tcPr>
            <w:tcW w:w="0" w:type="auto"/>
            <w:gridSpan w:val="3"/>
            <w:shd w:val="clear" w:color="auto" w:fill="auto"/>
            <w:vAlign w:val="bottom"/>
          </w:tcPr>
          <w:p w14:paraId="392BEAA9" w14:textId="77777777" w:rsidR="00980E5F" w:rsidRDefault="00980E5F">
            <w:pPr>
              <w:rPr>
                <w:rFonts w:ascii="宋体"/>
                <w:vanish/>
              </w:rPr>
            </w:pPr>
          </w:p>
        </w:tc>
        <w:tc>
          <w:tcPr>
            <w:tcW w:w="0" w:type="auto"/>
            <w:gridSpan w:val="3"/>
            <w:shd w:val="clear" w:color="auto" w:fill="auto"/>
            <w:vAlign w:val="bottom"/>
          </w:tcPr>
          <w:p w14:paraId="392BEAAA" w14:textId="77777777" w:rsidR="00980E5F" w:rsidRDefault="00980E5F">
            <w:pPr>
              <w:rPr>
                <w:rFonts w:ascii="宋体"/>
                <w:vanish/>
              </w:rPr>
            </w:pPr>
          </w:p>
        </w:tc>
      </w:tr>
      <w:tr w:rsidR="00980E5F" w14:paraId="392BEABA" w14:textId="77777777">
        <w:tc>
          <w:tcPr>
            <w:tcW w:w="0" w:type="auto"/>
            <w:gridSpan w:val="3"/>
            <w:shd w:val="clear" w:color="auto" w:fill="CCEEFF"/>
            <w:tcMar>
              <w:top w:w="40" w:type="dxa"/>
              <w:left w:w="20" w:type="dxa"/>
              <w:bottom w:w="40" w:type="dxa"/>
              <w:right w:w="20" w:type="dxa"/>
            </w:tcMar>
            <w:vAlign w:val="bottom"/>
          </w:tcPr>
          <w:p w14:paraId="392BEAAC" w14:textId="77777777" w:rsidR="00980E5F" w:rsidRDefault="00483613">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AD" w14:textId="77777777" w:rsidR="00980E5F" w:rsidRDefault="00483613">
            <w:pPr>
              <w:jc w:val="right"/>
              <w:textAlignment w:val="bottom"/>
            </w:pPr>
            <w:r>
              <w:rPr>
                <w:rFonts w:ascii="Arial" w:eastAsia="宋体" w:hAnsi="Arial" w:cs="Arial"/>
                <w:b/>
                <w:bCs/>
                <w:color w:val="000000"/>
                <w:sz w:val="15"/>
                <w:szCs w:val="15"/>
              </w:rPr>
              <w:t>2,370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A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B0" w14:textId="77777777" w:rsidR="00980E5F" w:rsidRDefault="00483613">
            <w:pPr>
              <w:jc w:val="right"/>
              <w:textAlignment w:val="bottom"/>
            </w:pPr>
            <w:r>
              <w:rPr>
                <w:rFonts w:ascii="Arial" w:eastAsia="宋体" w:hAnsi="Arial" w:cs="Arial"/>
                <w:color w:val="000000"/>
                <w:sz w:val="15"/>
                <w:szCs w:val="15"/>
              </w:rPr>
              <w:t>2,514 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B1" w14:textId="77777777" w:rsidR="00980E5F" w:rsidRDefault="00980E5F">
            <w:pPr>
              <w:jc w:val="right"/>
              <w:rPr>
                <w:rFonts w:ascii="宋体"/>
              </w:rPr>
            </w:pPr>
          </w:p>
        </w:tc>
        <w:tc>
          <w:tcPr>
            <w:tcW w:w="0" w:type="auto"/>
            <w:shd w:val="clear" w:color="auto" w:fill="auto"/>
            <w:vAlign w:val="bottom"/>
          </w:tcPr>
          <w:p w14:paraId="392BEAB2" w14:textId="77777777" w:rsidR="00980E5F" w:rsidRDefault="00980E5F">
            <w:pPr>
              <w:rPr>
                <w:rFonts w:ascii="宋体"/>
                <w:vanish/>
              </w:rPr>
            </w:pPr>
          </w:p>
        </w:tc>
        <w:tc>
          <w:tcPr>
            <w:tcW w:w="0" w:type="auto"/>
            <w:shd w:val="clear" w:color="auto" w:fill="auto"/>
            <w:vAlign w:val="bottom"/>
          </w:tcPr>
          <w:p w14:paraId="392BEAB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B5" w14:textId="77777777" w:rsidR="00980E5F" w:rsidRDefault="00483613">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92BEAB6" w14:textId="77777777" w:rsidR="00980E5F" w:rsidRDefault="00980E5F">
            <w:pPr>
              <w:jc w:val="right"/>
              <w:rPr>
                <w:rFonts w:ascii="宋体"/>
              </w:rPr>
            </w:pPr>
          </w:p>
        </w:tc>
        <w:tc>
          <w:tcPr>
            <w:tcW w:w="0" w:type="auto"/>
            <w:gridSpan w:val="3"/>
            <w:shd w:val="clear" w:color="auto" w:fill="auto"/>
            <w:vAlign w:val="bottom"/>
          </w:tcPr>
          <w:p w14:paraId="392BEAB7" w14:textId="77777777" w:rsidR="00980E5F" w:rsidRDefault="00980E5F">
            <w:pPr>
              <w:rPr>
                <w:rFonts w:ascii="宋体"/>
                <w:vanish/>
              </w:rPr>
            </w:pPr>
          </w:p>
        </w:tc>
        <w:tc>
          <w:tcPr>
            <w:tcW w:w="0" w:type="auto"/>
            <w:gridSpan w:val="3"/>
            <w:shd w:val="clear" w:color="auto" w:fill="auto"/>
            <w:vAlign w:val="bottom"/>
          </w:tcPr>
          <w:p w14:paraId="392BEAB8" w14:textId="77777777" w:rsidR="00980E5F" w:rsidRDefault="00980E5F">
            <w:pPr>
              <w:rPr>
                <w:rFonts w:ascii="宋体"/>
                <w:vanish/>
              </w:rPr>
            </w:pPr>
          </w:p>
        </w:tc>
        <w:tc>
          <w:tcPr>
            <w:tcW w:w="0" w:type="auto"/>
            <w:gridSpan w:val="3"/>
            <w:shd w:val="clear" w:color="auto" w:fill="auto"/>
            <w:vAlign w:val="bottom"/>
          </w:tcPr>
          <w:p w14:paraId="392BEAB9" w14:textId="77777777" w:rsidR="00980E5F" w:rsidRDefault="00980E5F">
            <w:pPr>
              <w:rPr>
                <w:rFonts w:ascii="宋体"/>
                <w:vanish/>
              </w:rPr>
            </w:pPr>
          </w:p>
        </w:tc>
      </w:tr>
      <w:tr w:rsidR="00980E5F" w14:paraId="392BEAC6" w14:textId="77777777">
        <w:tc>
          <w:tcPr>
            <w:tcW w:w="0" w:type="auto"/>
            <w:gridSpan w:val="3"/>
            <w:shd w:val="clear" w:color="auto" w:fill="FFFFFF"/>
            <w:tcMar>
              <w:top w:w="40" w:type="dxa"/>
              <w:left w:w="20" w:type="dxa"/>
              <w:bottom w:w="40" w:type="dxa"/>
              <w:right w:w="20" w:type="dxa"/>
            </w:tcMar>
            <w:vAlign w:val="bottom"/>
          </w:tcPr>
          <w:p w14:paraId="392BEABB" w14:textId="77777777" w:rsidR="00980E5F" w:rsidRDefault="00483613">
            <w:pPr>
              <w:textAlignment w:val="bottom"/>
            </w:pPr>
            <w:r>
              <w:rPr>
                <w:rFonts w:ascii="Arial" w:eastAsia="宋体" w:hAnsi="Arial" w:cs="Arial"/>
                <w:color w:val="000000"/>
                <w:sz w:val="15"/>
                <w:szCs w:val="15"/>
              </w:rPr>
              <w:t>Net interest income:</w:t>
            </w:r>
          </w:p>
        </w:tc>
        <w:tc>
          <w:tcPr>
            <w:tcW w:w="0" w:type="auto"/>
            <w:gridSpan w:val="3"/>
            <w:shd w:val="clear" w:color="auto" w:fill="FFFFFF"/>
            <w:tcMar>
              <w:top w:w="0" w:type="dxa"/>
              <w:left w:w="20" w:type="dxa"/>
              <w:bottom w:w="0" w:type="dxa"/>
              <w:right w:w="20" w:type="dxa"/>
            </w:tcMar>
            <w:vAlign w:val="bottom"/>
          </w:tcPr>
          <w:p w14:paraId="392BEAB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B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BE" w14:textId="77777777" w:rsidR="00980E5F" w:rsidRDefault="00980E5F">
            <w:pPr>
              <w:rPr>
                <w:rFonts w:ascii="宋体"/>
              </w:rPr>
            </w:pPr>
          </w:p>
        </w:tc>
        <w:tc>
          <w:tcPr>
            <w:tcW w:w="0" w:type="auto"/>
            <w:shd w:val="clear" w:color="auto" w:fill="auto"/>
            <w:vAlign w:val="bottom"/>
          </w:tcPr>
          <w:p w14:paraId="392BEABF" w14:textId="77777777" w:rsidR="00980E5F" w:rsidRDefault="00980E5F">
            <w:pPr>
              <w:rPr>
                <w:rFonts w:ascii="宋体"/>
                <w:vanish/>
              </w:rPr>
            </w:pPr>
          </w:p>
        </w:tc>
        <w:tc>
          <w:tcPr>
            <w:tcW w:w="0" w:type="auto"/>
            <w:shd w:val="clear" w:color="auto" w:fill="auto"/>
            <w:vAlign w:val="bottom"/>
          </w:tcPr>
          <w:p w14:paraId="392BEAC0"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C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C2" w14:textId="77777777" w:rsidR="00980E5F" w:rsidRDefault="00980E5F">
            <w:pPr>
              <w:rPr>
                <w:rFonts w:ascii="宋体"/>
              </w:rPr>
            </w:pPr>
          </w:p>
        </w:tc>
        <w:tc>
          <w:tcPr>
            <w:tcW w:w="0" w:type="auto"/>
            <w:gridSpan w:val="3"/>
            <w:shd w:val="clear" w:color="auto" w:fill="auto"/>
            <w:vAlign w:val="bottom"/>
          </w:tcPr>
          <w:p w14:paraId="392BEAC3" w14:textId="77777777" w:rsidR="00980E5F" w:rsidRDefault="00980E5F">
            <w:pPr>
              <w:rPr>
                <w:rFonts w:ascii="宋体"/>
                <w:vanish/>
              </w:rPr>
            </w:pPr>
          </w:p>
        </w:tc>
        <w:tc>
          <w:tcPr>
            <w:tcW w:w="0" w:type="auto"/>
            <w:gridSpan w:val="3"/>
            <w:shd w:val="clear" w:color="auto" w:fill="auto"/>
            <w:vAlign w:val="bottom"/>
          </w:tcPr>
          <w:p w14:paraId="392BEAC4" w14:textId="77777777" w:rsidR="00980E5F" w:rsidRDefault="00980E5F">
            <w:pPr>
              <w:rPr>
                <w:rFonts w:ascii="宋体"/>
                <w:vanish/>
              </w:rPr>
            </w:pPr>
          </w:p>
        </w:tc>
        <w:tc>
          <w:tcPr>
            <w:tcW w:w="0" w:type="auto"/>
            <w:gridSpan w:val="3"/>
            <w:shd w:val="clear" w:color="auto" w:fill="auto"/>
            <w:vAlign w:val="bottom"/>
          </w:tcPr>
          <w:p w14:paraId="392BEAC5" w14:textId="77777777" w:rsidR="00980E5F" w:rsidRDefault="00980E5F">
            <w:pPr>
              <w:rPr>
                <w:rFonts w:ascii="宋体"/>
                <w:vanish/>
              </w:rPr>
            </w:pPr>
          </w:p>
        </w:tc>
      </w:tr>
      <w:tr w:rsidR="00980E5F" w14:paraId="392BEAD5" w14:textId="77777777">
        <w:tc>
          <w:tcPr>
            <w:tcW w:w="0" w:type="auto"/>
            <w:gridSpan w:val="3"/>
            <w:shd w:val="clear" w:color="auto" w:fill="CCEEFF"/>
            <w:tcMar>
              <w:top w:w="40" w:type="dxa"/>
              <w:left w:w="20" w:type="dxa"/>
              <w:bottom w:w="40" w:type="dxa"/>
              <w:right w:w="20" w:type="dxa"/>
            </w:tcMar>
            <w:vAlign w:val="bottom"/>
          </w:tcPr>
          <w:p w14:paraId="392BEAC7" w14:textId="77777777" w:rsidR="00980E5F" w:rsidRDefault="00483613">
            <w:pPr>
              <w:textAlignment w:val="bottom"/>
            </w:pPr>
            <w:r>
              <w:rPr>
                <w:rFonts w:ascii="Arial" w:eastAsia="宋体" w:hAnsi="Arial" w:cs="Arial"/>
                <w:color w:val="000000"/>
                <w:sz w:val="15"/>
                <w:szCs w:val="15"/>
              </w:rPr>
              <w:t>   Interest income</w:t>
            </w:r>
          </w:p>
        </w:tc>
        <w:tc>
          <w:tcPr>
            <w:tcW w:w="0" w:type="auto"/>
            <w:gridSpan w:val="2"/>
            <w:shd w:val="clear" w:color="auto" w:fill="CCEEFF"/>
            <w:tcMar>
              <w:top w:w="40" w:type="dxa"/>
              <w:left w:w="20" w:type="dxa"/>
              <w:bottom w:w="40" w:type="dxa"/>
              <w:right w:w="0" w:type="dxa"/>
            </w:tcMar>
            <w:vAlign w:val="bottom"/>
          </w:tcPr>
          <w:p w14:paraId="392BEAC8" w14:textId="77777777" w:rsidR="00980E5F" w:rsidRDefault="00483613">
            <w:pPr>
              <w:jc w:val="right"/>
              <w:textAlignment w:val="bottom"/>
            </w:pPr>
            <w:r>
              <w:rPr>
                <w:rFonts w:ascii="Arial" w:eastAsia="宋体" w:hAnsi="Arial" w:cs="Arial"/>
                <w:b/>
                <w:bCs/>
                <w:color w:val="000000"/>
                <w:sz w:val="15"/>
                <w:szCs w:val="15"/>
              </w:rPr>
              <w:t>704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A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CB" w14:textId="77777777" w:rsidR="00980E5F" w:rsidRDefault="00483613">
            <w:pPr>
              <w:jc w:val="right"/>
              <w:textAlignment w:val="bottom"/>
            </w:pPr>
            <w:r>
              <w:rPr>
                <w:rFonts w:ascii="Arial" w:eastAsia="宋体" w:hAnsi="Arial" w:cs="Arial"/>
                <w:color w:val="000000"/>
                <w:sz w:val="15"/>
                <w:szCs w:val="15"/>
              </w:rPr>
              <w:t>467 </w:t>
            </w:r>
          </w:p>
        </w:tc>
        <w:tc>
          <w:tcPr>
            <w:tcW w:w="0" w:type="auto"/>
            <w:shd w:val="clear" w:color="auto" w:fill="CCEEFF"/>
            <w:tcMar>
              <w:top w:w="40" w:type="dxa"/>
              <w:left w:w="0" w:type="dxa"/>
              <w:bottom w:w="40" w:type="dxa"/>
              <w:right w:w="20" w:type="dxa"/>
            </w:tcMar>
            <w:vAlign w:val="bottom"/>
          </w:tcPr>
          <w:p w14:paraId="392BEACC" w14:textId="77777777" w:rsidR="00980E5F" w:rsidRDefault="00980E5F">
            <w:pPr>
              <w:jc w:val="right"/>
              <w:rPr>
                <w:rFonts w:ascii="宋体"/>
              </w:rPr>
            </w:pPr>
          </w:p>
        </w:tc>
        <w:tc>
          <w:tcPr>
            <w:tcW w:w="0" w:type="auto"/>
            <w:shd w:val="clear" w:color="auto" w:fill="auto"/>
            <w:vAlign w:val="bottom"/>
          </w:tcPr>
          <w:p w14:paraId="392BEACD" w14:textId="77777777" w:rsidR="00980E5F" w:rsidRDefault="00980E5F">
            <w:pPr>
              <w:rPr>
                <w:rFonts w:ascii="宋体"/>
                <w:vanish/>
              </w:rPr>
            </w:pPr>
          </w:p>
        </w:tc>
        <w:tc>
          <w:tcPr>
            <w:tcW w:w="0" w:type="auto"/>
            <w:shd w:val="clear" w:color="auto" w:fill="auto"/>
            <w:vAlign w:val="bottom"/>
          </w:tcPr>
          <w:p w14:paraId="392BEACE"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C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D0" w14:textId="77777777" w:rsidR="00980E5F" w:rsidRDefault="00483613">
            <w:pPr>
              <w:jc w:val="right"/>
              <w:textAlignment w:val="bottom"/>
            </w:pPr>
            <w:r>
              <w:rPr>
                <w:rFonts w:ascii="Arial" w:eastAsia="宋体" w:hAnsi="Arial" w:cs="Arial"/>
                <w:color w:val="000000"/>
                <w:sz w:val="15"/>
                <w:szCs w:val="15"/>
              </w:rPr>
              <w:t>51 </w:t>
            </w:r>
          </w:p>
        </w:tc>
        <w:tc>
          <w:tcPr>
            <w:tcW w:w="0" w:type="auto"/>
            <w:shd w:val="clear" w:color="auto" w:fill="CCEEFF"/>
            <w:tcMar>
              <w:top w:w="40" w:type="dxa"/>
              <w:left w:w="0" w:type="dxa"/>
              <w:bottom w:w="40" w:type="dxa"/>
              <w:right w:w="20" w:type="dxa"/>
            </w:tcMar>
            <w:vAlign w:val="bottom"/>
          </w:tcPr>
          <w:p w14:paraId="392BEAD1" w14:textId="77777777" w:rsidR="00980E5F" w:rsidRDefault="00980E5F">
            <w:pPr>
              <w:jc w:val="right"/>
              <w:rPr>
                <w:rFonts w:ascii="宋体"/>
              </w:rPr>
            </w:pPr>
          </w:p>
        </w:tc>
        <w:tc>
          <w:tcPr>
            <w:tcW w:w="0" w:type="auto"/>
            <w:gridSpan w:val="3"/>
            <w:shd w:val="clear" w:color="auto" w:fill="auto"/>
            <w:vAlign w:val="bottom"/>
          </w:tcPr>
          <w:p w14:paraId="392BEAD2" w14:textId="77777777" w:rsidR="00980E5F" w:rsidRDefault="00980E5F">
            <w:pPr>
              <w:rPr>
                <w:rFonts w:ascii="宋体"/>
                <w:vanish/>
              </w:rPr>
            </w:pPr>
          </w:p>
        </w:tc>
        <w:tc>
          <w:tcPr>
            <w:tcW w:w="0" w:type="auto"/>
            <w:gridSpan w:val="3"/>
            <w:shd w:val="clear" w:color="auto" w:fill="auto"/>
            <w:vAlign w:val="bottom"/>
          </w:tcPr>
          <w:p w14:paraId="392BEAD3" w14:textId="77777777" w:rsidR="00980E5F" w:rsidRDefault="00980E5F">
            <w:pPr>
              <w:rPr>
                <w:rFonts w:ascii="宋体"/>
                <w:vanish/>
              </w:rPr>
            </w:pPr>
          </w:p>
        </w:tc>
        <w:tc>
          <w:tcPr>
            <w:tcW w:w="0" w:type="auto"/>
            <w:gridSpan w:val="3"/>
            <w:shd w:val="clear" w:color="auto" w:fill="auto"/>
            <w:vAlign w:val="bottom"/>
          </w:tcPr>
          <w:p w14:paraId="392BEAD4" w14:textId="77777777" w:rsidR="00980E5F" w:rsidRDefault="00980E5F">
            <w:pPr>
              <w:rPr>
                <w:rFonts w:ascii="宋体"/>
                <w:vanish/>
              </w:rPr>
            </w:pPr>
          </w:p>
        </w:tc>
      </w:tr>
      <w:tr w:rsidR="00980E5F" w14:paraId="392BEAE3" w14:textId="77777777">
        <w:tc>
          <w:tcPr>
            <w:tcW w:w="0" w:type="auto"/>
            <w:gridSpan w:val="3"/>
            <w:shd w:val="clear" w:color="auto" w:fill="FFFFFF"/>
            <w:tcMar>
              <w:top w:w="40" w:type="dxa"/>
              <w:left w:w="20" w:type="dxa"/>
              <w:bottom w:w="40" w:type="dxa"/>
              <w:right w:w="20" w:type="dxa"/>
            </w:tcMar>
            <w:vAlign w:val="bottom"/>
          </w:tcPr>
          <w:p w14:paraId="392BEAD6" w14:textId="77777777" w:rsidR="00980E5F" w:rsidRDefault="00483613">
            <w:pPr>
              <w:textAlignment w:val="bottom"/>
            </w:pPr>
            <w:r>
              <w:rPr>
                <w:rFonts w:ascii="Arial" w:eastAsia="宋体" w:hAnsi="Arial" w:cs="Arial"/>
                <w:color w:val="000000"/>
                <w:sz w:val="15"/>
                <w:szCs w:val="15"/>
              </w:rPr>
              <w:t>   Interest expense</w:t>
            </w:r>
          </w:p>
        </w:tc>
        <w:tc>
          <w:tcPr>
            <w:tcW w:w="0" w:type="auto"/>
            <w:gridSpan w:val="2"/>
            <w:shd w:val="clear" w:color="auto" w:fill="FFFFFF"/>
            <w:tcMar>
              <w:top w:w="40" w:type="dxa"/>
              <w:left w:w="20" w:type="dxa"/>
              <w:bottom w:w="40" w:type="dxa"/>
              <w:right w:w="0" w:type="dxa"/>
            </w:tcMar>
            <w:vAlign w:val="bottom"/>
          </w:tcPr>
          <w:p w14:paraId="392BEAD7" w14:textId="77777777" w:rsidR="00980E5F" w:rsidRDefault="00483613">
            <w:pPr>
              <w:jc w:val="right"/>
              <w:textAlignment w:val="bottom"/>
            </w:pPr>
            <w:r>
              <w:rPr>
                <w:rFonts w:ascii="Arial" w:eastAsia="宋体" w:hAnsi="Arial" w:cs="Arial"/>
                <w:b/>
                <w:bCs/>
                <w:color w:val="000000"/>
                <w:sz w:val="15"/>
                <w:szCs w:val="15"/>
              </w:rPr>
              <w:t>120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AD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ADA"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ADB" w14:textId="77777777" w:rsidR="00980E5F" w:rsidRDefault="00980E5F">
            <w:pPr>
              <w:jc w:val="right"/>
              <w:rPr>
                <w:rFonts w:ascii="宋体"/>
              </w:rPr>
            </w:pPr>
          </w:p>
        </w:tc>
        <w:tc>
          <w:tcPr>
            <w:tcW w:w="0" w:type="auto"/>
            <w:shd w:val="clear" w:color="auto" w:fill="auto"/>
            <w:vAlign w:val="bottom"/>
          </w:tcPr>
          <w:p w14:paraId="392BEADC" w14:textId="77777777" w:rsidR="00980E5F" w:rsidRDefault="00980E5F">
            <w:pPr>
              <w:rPr>
                <w:rFonts w:ascii="宋体"/>
                <w:vanish/>
              </w:rPr>
            </w:pPr>
          </w:p>
        </w:tc>
        <w:tc>
          <w:tcPr>
            <w:tcW w:w="0" w:type="auto"/>
            <w:shd w:val="clear" w:color="auto" w:fill="auto"/>
            <w:vAlign w:val="bottom"/>
          </w:tcPr>
          <w:p w14:paraId="392BEAD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DE"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ADF"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AE0" w14:textId="77777777" w:rsidR="00980E5F" w:rsidRDefault="00980E5F">
            <w:pPr>
              <w:rPr>
                <w:rFonts w:ascii="宋体"/>
                <w:vanish/>
              </w:rPr>
            </w:pPr>
          </w:p>
        </w:tc>
        <w:tc>
          <w:tcPr>
            <w:tcW w:w="0" w:type="auto"/>
            <w:gridSpan w:val="3"/>
            <w:shd w:val="clear" w:color="auto" w:fill="auto"/>
            <w:vAlign w:val="bottom"/>
          </w:tcPr>
          <w:p w14:paraId="392BEAE1" w14:textId="77777777" w:rsidR="00980E5F" w:rsidRDefault="00980E5F">
            <w:pPr>
              <w:rPr>
                <w:rFonts w:ascii="宋体"/>
                <w:vanish/>
              </w:rPr>
            </w:pPr>
          </w:p>
        </w:tc>
        <w:tc>
          <w:tcPr>
            <w:tcW w:w="0" w:type="auto"/>
            <w:gridSpan w:val="3"/>
            <w:shd w:val="clear" w:color="auto" w:fill="auto"/>
            <w:vAlign w:val="bottom"/>
          </w:tcPr>
          <w:p w14:paraId="392BEAE2" w14:textId="77777777" w:rsidR="00980E5F" w:rsidRDefault="00980E5F">
            <w:pPr>
              <w:rPr>
                <w:rFonts w:ascii="宋体"/>
                <w:vanish/>
              </w:rPr>
            </w:pPr>
          </w:p>
        </w:tc>
      </w:tr>
      <w:tr w:rsidR="00980E5F" w14:paraId="392BEAF2" w14:textId="77777777">
        <w:tc>
          <w:tcPr>
            <w:tcW w:w="0" w:type="auto"/>
            <w:gridSpan w:val="3"/>
            <w:shd w:val="clear" w:color="auto" w:fill="CCEEFF"/>
            <w:tcMar>
              <w:top w:w="40" w:type="dxa"/>
              <w:left w:w="20" w:type="dxa"/>
              <w:bottom w:w="40" w:type="dxa"/>
              <w:right w:w="20" w:type="dxa"/>
            </w:tcMar>
            <w:vAlign w:val="bottom"/>
          </w:tcPr>
          <w:p w14:paraId="392BEAE4" w14:textId="77777777" w:rsidR="00980E5F" w:rsidRDefault="00483613">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E5" w14:textId="77777777" w:rsidR="00980E5F" w:rsidRDefault="00483613">
            <w:pPr>
              <w:jc w:val="right"/>
              <w:textAlignment w:val="bottom"/>
            </w:pPr>
            <w:r>
              <w:rPr>
                <w:rFonts w:ascii="Arial" w:eastAsia="宋体" w:hAnsi="Arial" w:cs="Arial"/>
                <w:b/>
                <w:bCs/>
                <w:color w:val="000000"/>
                <w:sz w:val="15"/>
                <w:szCs w:val="15"/>
              </w:rPr>
              <w:t>584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AE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AE8" w14:textId="77777777" w:rsidR="00980E5F" w:rsidRDefault="00483613">
            <w:pPr>
              <w:jc w:val="right"/>
              <w:textAlignment w:val="bottom"/>
            </w:pPr>
            <w:r>
              <w:rPr>
                <w:rFonts w:ascii="Arial" w:eastAsia="宋体" w:hAnsi="Arial" w:cs="Arial"/>
                <w:color w:val="000000"/>
                <w:sz w:val="15"/>
                <w:szCs w:val="15"/>
              </w:rPr>
              <w:t>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AE9" w14:textId="77777777" w:rsidR="00980E5F" w:rsidRDefault="00980E5F">
            <w:pPr>
              <w:jc w:val="right"/>
              <w:rPr>
                <w:rFonts w:ascii="宋体"/>
              </w:rPr>
            </w:pPr>
          </w:p>
        </w:tc>
        <w:tc>
          <w:tcPr>
            <w:tcW w:w="0" w:type="auto"/>
            <w:shd w:val="clear" w:color="auto" w:fill="auto"/>
            <w:vAlign w:val="bottom"/>
          </w:tcPr>
          <w:p w14:paraId="392BEAEA" w14:textId="77777777" w:rsidR="00980E5F" w:rsidRDefault="00980E5F">
            <w:pPr>
              <w:rPr>
                <w:rFonts w:ascii="宋体"/>
                <w:vanish/>
              </w:rPr>
            </w:pPr>
          </w:p>
        </w:tc>
        <w:tc>
          <w:tcPr>
            <w:tcW w:w="0" w:type="auto"/>
            <w:shd w:val="clear" w:color="auto" w:fill="auto"/>
            <w:vAlign w:val="bottom"/>
          </w:tcPr>
          <w:p w14:paraId="392BEAE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AE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AED" w14:textId="77777777" w:rsidR="00980E5F" w:rsidRDefault="00483613">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392BEAEE" w14:textId="77777777" w:rsidR="00980E5F" w:rsidRDefault="00980E5F">
            <w:pPr>
              <w:jc w:val="right"/>
              <w:rPr>
                <w:rFonts w:ascii="宋体"/>
              </w:rPr>
            </w:pPr>
          </w:p>
        </w:tc>
        <w:tc>
          <w:tcPr>
            <w:tcW w:w="0" w:type="auto"/>
            <w:gridSpan w:val="3"/>
            <w:shd w:val="clear" w:color="auto" w:fill="auto"/>
            <w:vAlign w:val="bottom"/>
          </w:tcPr>
          <w:p w14:paraId="392BEAEF" w14:textId="77777777" w:rsidR="00980E5F" w:rsidRDefault="00980E5F">
            <w:pPr>
              <w:rPr>
                <w:rFonts w:ascii="宋体"/>
                <w:vanish/>
              </w:rPr>
            </w:pPr>
          </w:p>
        </w:tc>
        <w:tc>
          <w:tcPr>
            <w:tcW w:w="0" w:type="auto"/>
            <w:gridSpan w:val="3"/>
            <w:shd w:val="clear" w:color="auto" w:fill="auto"/>
            <w:vAlign w:val="bottom"/>
          </w:tcPr>
          <w:p w14:paraId="392BEAF0" w14:textId="77777777" w:rsidR="00980E5F" w:rsidRDefault="00980E5F">
            <w:pPr>
              <w:rPr>
                <w:rFonts w:ascii="宋体"/>
                <w:vanish/>
              </w:rPr>
            </w:pPr>
          </w:p>
        </w:tc>
        <w:tc>
          <w:tcPr>
            <w:tcW w:w="0" w:type="auto"/>
            <w:gridSpan w:val="3"/>
            <w:shd w:val="clear" w:color="auto" w:fill="auto"/>
            <w:vAlign w:val="bottom"/>
          </w:tcPr>
          <w:p w14:paraId="392BEAF1" w14:textId="77777777" w:rsidR="00980E5F" w:rsidRDefault="00980E5F">
            <w:pPr>
              <w:rPr>
                <w:rFonts w:ascii="宋体"/>
                <w:vanish/>
              </w:rPr>
            </w:pPr>
          </w:p>
        </w:tc>
      </w:tr>
      <w:tr w:rsidR="00980E5F" w14:paraId="392BEAFE" w14:textId="77777777">
        <w:tc>
          <w:tcPr>
            <w:tcW w:w="0" w:type="auto"/>
            <w:gridSpan w:val="3"/>
            <w:shd w:val="clear" w:color="auto" w:fill="FFFFFF"/>
            <w:tcMar>
              <w:top w:w="40" w:type="dxa"/>
              <w:left w:w="20" w:type="dxa"/>
              <w:bottom w:w="40" w:type="dxa"/>
              <w:right w:w="20" w:type="dxa"/>
            </w:tcMar>
            <w:vAlign w:val="bottom"/>
          </w:tcPr>
          <w:p w14:paraId="392BEAF3" w14:textId="77777777" w:rsidR="00980E5F" w:rsidRDefault="00483613">
            <w:pPr>
              <w:textAlignment w:val="bottom"/>
            </w:pPr>
            <w:r>
              <w:rPr>
                <w:rFonts w:ascii="Arial" w:eastAsia="宋体" w:hAnsi="Arial" w:cs="Arial"/>
                <w:color w:val="000000"/>
                <w:sz w:val="15"/>
                <w:szCs w:val="15"/>
              </w:rPr>
              <w:t>Other income:</w:t>
            </w:r>
          </w:p>
        </w:tc>
        <w:tc>
          <w:tcPr>
            <w:tcW w:w="0" w:type="auto"/>
            <w:gridSpan w:val="3"/>
            <w:shd w:val="clear" w:color="auto" w:fill="FFFFFF"/>
            <w:tcMar>
              <w:top w:w="0" w:type="dxa"/>
              <w:left w:w="20" w:type="dxa"/>
              <w:bottom w:w="0" w:type="dxa"/>
              <w:right w:w="20" w:type="dxa"/>
            </w:tcMar>
            <w:vAlign w:val="bottom"/>
          </w:tcPr>
          <w:p w14:paraId="392BEAF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F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F6" w14:textId="77777777" w:rsidR="00980E5F" w:rsidRDefault="00980E5F">
            <w:pPr>
              <w:rPr>
                <w:rFonts w:ascii="宋体"/>
              </w:rPr>
            </w:pPr>
          </w:p>
        </w:tc>
        <w:tc>
          <w:tcPr>
            <w:tcW w:w="0" w:type="auto"/>
            <w:shd w:val="clear" w:color="auto" w:fill="auto"/>
            <w:vAlign w:val="bottom"/>
          </w:tcPr>
          <w:p w14:paraId="392BEAF7" w14:textId="77777777" w:rsidR="00980E5F" w:rsidRDefault="00980E5F">
            <w:pPr>
              <w:rPr>
                <w:rFonts w:ascii="宋体"/>
                <w:vanish/>
              </w:rPr>
            </w:pPr>
          </w:p>
        </w:tc>
        <w:tc>
          <w:tcPr>
            <w:tcW w:w="0" w:type="auto"/>
            <w:shd w:val="clear" w:color="auto" w:fill="auto"/>
            <w:vAlign w:val="bottom"/>
          </w:tcPr>
          <w:p w14:paraId="392BEAF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AF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AFA" w14:textId="77777777" w:rsidR="00980E5F" w:rsidRDefault="00980E5F">
            <w:pPr>
              <w:rPr>
                <w:rFonts w:ascii="宋体"/>
              </w:rPr>
            </w:pPr>
          </w:p>
        </w:tc>
        <w:tc>
          <w:tcPr>
            <w:tcW w:w="0" w:type="auto"/>
            <w:gridSpan w:val="3"/>
            <w:shd w:val="clear" w:color="auto" w:fill="auto"/>
            <w:vAlign w:val="bottom"/>
          </w:tcPr>
          <w:p w14:paraId="392BEAFB" w14:textId="77777777" w:rsidR="00980E5F" w:rsidRDefault="00980E5F">
            <w:pPr>
              <w:rPr>
                <w:rFonts w:ascii="宋体"/>
                <w:vanish/>
              </w:rPr>
            </w:pPr>
          </w:p>
        </w:tc>
        <w:tc>
          <w:tcPr>
            <w:tcW w:w="0" w:type="auto"/>
            <w:gridSpan w:val="3"/>
            <w:shd w:val="clear" w:color="auto" w:fill="auto"/>
            <w:vAlign w:val="bottom"/>
          </w:tcPr>
          <w:p w14:paraId="392BEAFC" w14:textId="77777777" w:rsidR="00980E5F" w:rsidRDefault="00980E5F">
            <w:pPr>
              <w:rPr>
                <w:rFonts w:ascii="宋体"/>
                <w:vanish/>
              </w:rPr>
            </w:pPr>
          </w:p>
        </w:tc>
        <w:tc>
          <w:tcPr>
            <w:tcW w:w="0" w:type="auto"/>
            <w:gridSpan w:val="3"/>
            <w:shd w:val="clear" w:color="auto" w:fill="auto"/>
            <w:vAlign w:val="bottom"/>
          </w:tcPr>
          <w:p w14:paraId="392BEAFD" w14:textId="77777777" w:rsidR="00980E5F" w:rsidRDefault="00980E5F">
            <w:pPr>
              <w:rPr>
                <w:rFonts w:ascii="宋体"/>
                <w:vanish/>
              </w:rPr>
            </w:pPr>
          </w:p>
        </w:tc>
      </w:tr>
      <w:tr w:rsidR="00980E5F" w14:paraId="392BEB0C" w14:textId="77777777">
        <w:tc>
          <w:tcPr>
            <w:tcW w:w="0" w:type="auto"/>
            <w:gridSpan w:val="3"/>
            <w:shd w:val="clear" w:color="auto" w:fill="CCEEFF"/>
            <w:tcMar>
              <w:top w:w="40" w:type="dxa"/>
              <w:left w:w="140" w:type="dxa"/>
              <w:bottom w:w="40" w:type="dxa"/>
              <w:right w:w="20" w:type="dxa"/>
            </w:tcMar>
            <w:vAlign w:val="bottom"/>
          </w:tcPr>
          <w:p w14:paraId="392BEAFF" w14:textId="77777777" w:rsidR="00980E5F" w:rsidRDefault="00483613">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392BEB00" w14:textId="77777777" w:rsidR="00980E5F" w:rsidRDefault="00483613">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392BEB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0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03"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B04" w14:textId="77777777" w:rsidR="00980E5F" w:rsidRDefault="00980E5F">
            <w:pPr>
              <w:jc w:val="right"/>
              <w:rPr>
                <w:rFonts w:ascii="宋体"/>
              </w:rPr>
            </w:pPr>
          </w:p>
        </w:tc>
        <w:tc>
          <w:tcPr>
            <w:tcW w:w="0" w:type="auto"/>
            <w:shd w:val="clear" w:color="auto" w:fill="auto"/>
            <w:vAlign w:val="bottom"/>
          </w:tcPr>
          <w:p w14:paraId="392BEB05" w14:textId="77777777" w:rsidR="00980E5F" w:rsidRDefault="00980E5F">
            <w:pPr>
              <w:rPr>
                <w:rFonts w:ascii="宋体"/>
                <w:vanish/>
              </w:rPr>
            </w:pPr>
          </w:p>
        </w:tc>
        <w:tc>
          <w:tcPr>
            <w:tcW w:w="0" w:type="auto"/>
            <w:shd w:val="clear" w:color="auto" w:fill="auto"/>
            <w:vAlign w:val="bottom"/>
          </w:tcPr>
          <w:p w14:paraId="392BEB0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07"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B08"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B09" w14:textId="77777777" w:rsidR="00980E5F" w:rsidRDefault="00980E5F">
            <w:pPr>
              <w:rPr>
                <w:rFonts w:ascii="宋体"/>
                <w:vanish/>
              </w:rPr>
            </w:pPr>
          </w:p>
        </w:tc>
        <w:tc>
          <w:tcPr>
            <w:tcW w:w="0" w:type="auto"/>
            <w:gridSpan w:val="3"/>
            <w:shd w:val="clear" w:color="auto" w:fill="auto"/>
            <w:vAlign w:val="bottom"/>
          </w:tcPr>
          <w:p w14:paraId="392BEB0A" w14:textId="77777777" w:rsidR="00980E5F" w:rsidRDefault="00980E5F">
            <w:pPr>
              <w:rPr>
                <w:rFonts w:ascii="宋体"/>
                <w:vanish/>
              </w:rPr>
            </w:pPr>
          </w:p>
        </w:tc>
        <w:tc>
          <w:tcPr>
            <w:tcW w:w="0" w:type="auto"/>
            <w:gridSpan w:val="3"/>
            <w:shd w:val="clear" w:color="auto" w:fill="auto"/>
            <w:vAlign w:val="bottom"/>
          </w:tcPr>
          <w:p w14:paraId="392BEB0B" w14:textId="77777777" w:rsidR="00980E5F" w:rsidRDefault="00980E5F">
            <w:pPr>
              <w:rPr>
                <w:rFonts w:ascii="宋体"/>
                <w:vanish/>
              </w:rPr>
            </w:pPr>
          </w:p>
        </w:tc>
      </w:tr>
      <w:tr w:rsidR="00980E5F" w14:paraId="392BEB1A" w14:textId="77777777">
        <w:tc>
          <w:tcPr>
            <w:tcW w:w="0" w:type="auto"/>
            <w:gridSpan w:val="3"/>
            <w:shd w:val="clear" w:color="auto" w:fill="FFFFFF"/>
            <w:tcMar>
              <w:top w:w="40" w:type="dxa"/>
              <w:left w:w="140" w:type="dxa"/>
              <w:bottom w:w="40" w:type="dxa"/>
              <w:right w:w="20" w:type="dxa"/>
            </w:tcMar>
            <w:vAlign w:val="bottom"/>
          </w:tcPr>
          <w:p w14:paraId="392BEB0D" w14:textId="77777777" w:rsidR="00980E5F" w:rsidRDefault="00483613">
            <w:pPr>
              <w:textAlignment w:val="bottom"/>
            </w:pPr>
            <w:r>
              <w:rPr>
                <w:rFonts w:ascii="Arial" w:eastAsia="宋体" w:hAnsi="Arial" w:cs="Arial"/>
                <w:color w:val="000000"/>
                <w:sz w:val="15"/>
                <w:szCs w:val="15"/>
              </w:rPr>
              <w:t>Other income</w:t>
            </w:r>
          </w:p>
        </w:tc>
        <w:tc>
          <w:tcPr>
            <w:tcW w:w="0" w:type="auto"/>
            <w:gridSpan w:val="2"/>
            <w:shd w:val="clear" w:color="auto" w:fill="FFFFFF"/>
            <w:tcMar>
              <w:top w:w="40" w:type="dxa"/>
              <w:left w:w="20" w:type="dxa"/>
              <w:bottom w:w="40" w:type="dxa"/>
              <w:right w:w="0" w:type="dxa"/>
            </w:tcMar>
            <w:vAlign w:val="bottom"/>
          </w:tcPr>
          <w:p w14:paraId="392BEB0E"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B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11" w14:textId="77777777" w:rsidR="00980E5F" w:rsidRDefault="00483613">
            <w:pPr>
              <w:jc w:val="right"/>
              <w:textAlignment w:val="bottom"/>
            </w:pPr>
            <w:r>
              <w:rPr>
                <w:rFonts w:ascii="Arial" w:eastAsia="宋体" w:hAnsi="Arial" w:cs="Arial"/>
                <w:color w:val="000000"/>
                <w:sz w:val="15"/>
                <w:szCs w:val="15"/>
              </w:rPr>
              <w:t>53 </w:t>
            </w:r>
          </w:p>
        </w:tc>
        <w:tc>
          <w:tcPr>
            <w:tcW w:w="0" w:type="auto"/>
            <w:shd w:val="clear" w:color="auto" w:fill="FFFFFF"/>
            <w:tcMar>
              <w:top w:w="40" w:type="dxa"/>
              <w:left w:w="0" w:type="dxa"/>
              <w:bottom w:w="40" w:type="dxa"/>
              <w:right w:w="20" w:type="dxa"/>
            </w:tcMar>
            <w:vAlign w:val="bottom"/>
          </w:tcPr>
          <w:p w14:paraId="392BEB12" w14:textId="77777777" w:rsidR="00980E5F" w:rsidRDefault="00980E5F">
            <w:pPr>
              <w:jc w:val="right"/>
              <w:rPr>
                <w:rFonts w:ascii="宋体"/>
              </w:rPr>
            </w:pPr>
          </w:p>
        </w:tc>
        <w:tc>
          <w:tcPr>
            <w:tcW w:w="0" w:type="auto"/>
            <w:shd w:val="clear" w:color="auto" w:fill="auto"/>
            <w:vAlign w:val="bottom"/>
          </w:tcPr>
          <w:p w14:paraId="392BEB13" w14:textId="77777777" w:rsidR="00980E5F" w:rsidRDefault="00980E5F">
            <w:pPr>
              <w:rPr>
                <w:rFonts w:ascii="宋体"/>
                <w:vanish/>
              </w:rPr>
            </w:pPr>
          </w:p>
        </w:tc>
        <w:tc>
          <w:tcPr>
            <w:tcW w:w="0" w:type="auto"/>
            <w:shd w:val="clear" w:color="auto" w:fill="auto"/>
            <w:vAlign w:val="bottom"/>
          </w:tcPr>
          <w:p w14:paraId="392BEB14"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15"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B16"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B17" w14:textId="77777777" w:rsidR="00980E5F" w:rsidRDefault="00980E5F">
            <w:pPr>
              <w:rPr>
                <w:rFonts w:ascii="宋体"/>
                <w:vanish/>
              </w:rPr>
            </w:pPr>
          </w:p>
        </w:tc>
        <w:tc>
          <w:tcPr>
            <w:tcW w:w="0" w:type="auto"/>
            <w:gridSpan w:val="3"/>
            <w:shd w:val="clear" w:color="auto" w:fill="auto"/>
            <w:vAlign w:val="bottom"/>
          </w:tcPr>
          <w:p w14:paraId="392BEB18" w14:textId="77777777" w:rsidR="00980E5F" w:rsidRDefault="00980E5F">
            <w:pPr>
              <w:rPr>
                <w:rFonts w:ascii="宋体"/>
                <w:vanish/>
              </w:rPr>
            </w:pPr>
          </w:p>
        </w:tc>
        <w:tc>
          <w:tcPr>
            <w:tcW w:w="0" w:type="auto"/>
            <w:gridSpan w:val="3"/>
            <w:shd w:val="clear" w:color="auto" w:fill="auto"/>
            <w:vAlign w:val="bottom"/>
          </w:tcPr>
          <w:p w14:paraId="392BEB19" w14:textId="77777777" w:rsidR="00980E5F" w:rsidRDefault="00980E5F">
            <w:pPr>
              <w:rPr>
                <w:rFonts w:ascii="宋体"/>
                <w:vanish/>
              </w:rPr>
            </w:pPr>
          </w:p>
        </w:tc>
      </w:tr>
      <w:tr w:rsidR="00980E5F" w14:paraId="392BEB28" w14:textId="77777777">
        <w:tc>
          <w:tcPr>
            <w:tcW w:w="0" w:type="auto"/>
            <w:gridSpan w:val="3"/>
            <w:shd w:val="clear" w:color="auto" w:fill="CCEEFF"/>
            <w:tcMar>
              <w:top w:w="40" w:type="dxa"/>
              <w:left w:w="20" w:type="dxa"/>
              <w:bottom w:w="40" w:type="dxa"/>
              <w:right w:w="20" w:type="dxa"/>
            </w:tcMar>
            <w:vAlign w:val="bottom"/>
          </w:tcPr>
          <w:p w14:paraId="392BEB1B" w14:textId="77777777" w:rsidR="00980E5F" w:rsidRDefault="00483613">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1C" w14:textId="77777777" w:rsidR="00980E5F" w:rsidRDefault="00483613">
            <w:pPr>
              <w:jc w:val="right"/>
              <w:textAlignment w:val="bottom"/>
            </w:pPr>
            <w:r>
              <w:rPr>
                <w:rFonts w:ascii="Arial" w:eastAsia="宋体" w:hAnsi="Arial" w:cs="Arial"/>
                <w:b/>
                <w:bCs/>
                <w:color w:val="000000"/>
                <w:sz w:val="15"/>
                <w:szCs w:val="15"/>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1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1F" w14:textId="77777777" w:rsidR="00980E5F" w:rsidRDefault="00483613">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20" w14:textId="77777777" w:rsidR="00980E5F" w:rsidRDefault="00980E5F">
            <w:pPr>
              <w:jc w:val="right"/>
              <w:rPr>
                <w:rFonts w:ascii="宋体"/>
              </w:rPr>
            </w:pPr>
          </w:p>
        </w:tc>
        <w:tc>
          <w:tcPr>
            <w:tcW w:w="0" w:type="auto"/>
            <w:shd w:val="clear" w:color="auto" w:fill="auto"/>
            <w:vAlign w:val="bottom"/>
          </w:tcPr>
          <w:p w14:paraId="392BEB21" w14:textId="77777777" w:rsidR="00980E5F" w:rsidRDefault="00980E5F">
            <w:pPr>
              <w:rPr>
                <w:rFonts w:ascii="宋体"/>
                <w:vanish/>
              </w:rPr>
            </w:pPr>
          </w:p>
        </w:tc>
        <w:tc>
          <w:tcPr>
            <w:tcW w:w="0" w:type="auto"/>
            <w:shd w:val="clear" w:color="auto" w:fill="auto"/>
            <w:vAlign w:val="bottom"/>
          </w:tcPr>
          <w:p w14:paraId="392BEB22"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23"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B24"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B25" w14:textId="77777777" w:rsidR="00980E5F" w:rsidRDefault="00980E5F">
            <w:pPr>
              <w:rPr>
                <w:rFonts w:ascii="宋体"/>
                <w:vanish/>
              </w:rPr>
            </w:pPr>
          </w:p>
        </w:tc>
        <w:tc>
          <w:tcPr>
            <w:tcW w:w="0" w:type="auto"/>
            <w:gridSpan w:val="3"/>
            <w:shd w:val="clear" w:color="auto" w:fill="auto"/>
            <w:vAlign w:val="bottom"/>
          </w:tcPr>
          <w:p w14:paraId="392BEB26" w14:textId="77777777" w:rsidR="00980E5F" w:rsidRDefault="00980E5F">
            <w:pPr>
              <w:rPr>
                <w:rFonts w:ascii="宋体"/>
                <w:vanish/>
              </w:rPr>
            </w:pPr>
          </w:p>
        </w:tc>
        <w:tc>
          <w:tcPr>
            <w:tcW w:w="0" w:type="auto"/>
            <w:gridSpan w:val="3"/>
            <w:shd w:val="clear" w:color="auto" w:fill="auto"/>
            <w:vAlign w:val="bottom"/>
          </w:tcPr>
          <w:p w14:paraId="392BEB27" w14:textId="77777777" w:rsidR="00980E5F" w:rsidRDefault="00980E5F">
            <w:pPr>
              <w:rPr>
                <w:rFonts w:ascii="宋体"/>
                <w:vanish/>
              </w:rPr>
            </w:pPr>
          </w:p>
        </w:tc>
      </w:tr>
      <w:tr w:rsidR="00980E5F" w14:paraId="392BEB39" w14:textId="77777777">
        <w:tc>
          <w:tcPr>
            <w:tcW w:w="0" w:type="auto"/>
            <w:gridSpan w:val="3"/>
            <w:shd w:val="clear" w:color="auto" w:fill="FFFFFF"/>
            <w:tcMar>
              <w:top w:w="40" w:type="dxa"/>
              <w:left w:w="20" w:type="dxa"/>
              <w:bottom w:w="40" w:type="dxa"/>
              <w:right w:w="20" w:type="dxa"/>
            </w:tcMar>
            <w:vAlign w:val="bottom"/>
          </w:tcPr>
          <w:p w14:paraId="392BEB29" w14:textId="77777777" w:rsidR="00980E5F" w:rsidRDefault="00483613">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392BEB2A"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BEB2B" w14:textId="77777777" w:rsidR="00980E5F" w:rsidRDefault="00483613">
            <w:pPr>
              <w:jc w:val="right"/>
              <w:textAlignment w:val="bottom"/>
            </w:pPr>
            <w:r>
              <w:rPr>
                <w:rFonts w:ascii="Arial" w:eastAsia="宋体" w:hAnsi="Arial" w:cs="Arial"/>
                <w:b/>
                <w:bCs/>
                <w:color w:val="000000"/>
                <w:sz w:val="15"/>
                <w:szCs w:val="15"/>
              </w:rPr>
              <w:t>2,953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B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2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BEB2E"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BEB2F" w14:textId="77777777" w:rsidR="00980E5F" w:rsidRDefault="00483613">
            <w:pPr>
              <w:jc w:val="right"/>
              <w:textAlignment w:val="bottom"/>
            </w:pPr>
            <w:r>
              <w:rPr>
                <w:rFonts w:ascii="Arial" w:eastAsia="宋体" w:hAnsi="Arial" w:cs="Arial"/>
                <w:color w:val="000000"/>
                <w:sz w:val="15"/>
                <w:szCs w:val="15"/>
              </w:rPr>
              <w:t>3,034 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B30" w14:textId="77777777" w:rsidR="00980E5F" w:rsidRDefault="00980E5F">
            <w:pPr>
              <w:jc w:val="right"/>
              <w:rPr>
                <w:rFonts w:ascii="宋体"/>
              </w:rPr>
            </w:pPr>
          </w:p>
        </w:tc>
        <w:tc>
          <w:tcPr>
            <w:tcW w:w="0" w:type="auto"/>
            <w:shd w:val="clear" w:color="auto" w:fill="auto"/>
            <w:vAlign w:val="bottom"/>
          </w:tcPr>
          <w:p w14:paraId="392BEB31" w14:textId="77777777" w:rsidR="00980E5F" w:rsidRDefault="00980E5F">
            <w:pPr>
              <w:rPr>
                <w:rFonts w:ascii="宋体"/>
                <w:vanish/>
              </w:rPr>
            </w:pPr>
          </w:p>
        </w:tc>
        <w:tc>
          <w:tcPr>
            <w:tcW w:w="0" w:type="auto"/>
            <w:shd w:val="clear" w:color="auto" w:fill="auto"/>
            <w:vAlign w:val="bottom"/>
          </w:tcPr>
          <w:p w14:paraId="392BEB3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34" w14:textId="77777777" w:rsidR="00980E5F" w:rsidRDefault="00483613">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92BEB35" w14:textId="77777777" w:rsidR="00980E5F" w:rsidRDefault="00980E5F">
            <w:pPr>
              <w:jc w:val="right"/>
              <w:rPr>
                <w:rFonts w:ascii="宋体"/>
              </w:rPr>
            </w:pPr>
          </w:p>
        </w:tc>
        <w:tc>
          <w:tcPr>
            <w:tcW w:w="0" w:type="auto"/>
            <w:gridSpan w:val="3"/>
            <w:shd w:val="clear" w:color="auto" w:fill="auto"/>
            <w:vAlign w:val="bottom"/>
          </w:tcPr>
          <w:p w14:paraId="392BEB36" w14:textId="77777777" w:rsidR="00980E5F" w:rsidRDefault="00980E5F">
            <w:pPr>
              <w:rPr>
                <w:rFonts w:ascii="宋体"/>
                <w:vanish/>
              </w:rPr>
            </w:pPr>
          </w:p>
        </w:tc>
        <w:tc>
          <w:tcPr>
            <w:tcW w:w="0" w:type="auto"/>
            <w:gridSpan w:val="3"/>
            <w:shd w:val="clear" w:color="auto" w:fill="auto"/>
            <w:vAlign w:val="bottom"/>
          </w:tcPr>
          <w:p w14:paraId="392BEB37" w14:textId="77777777" w:rsidR="00980E5F" w:rsidRDefault="00980E5F">
            <w:pPr>
              <w:rPr>
                <w:rFonts w:ascii="宋体"/>
                <w:vanish/>
              </w:rPr>
            </w:pPr>
          </w:p>
        </w:tc>
        <w:tc>
          <w:tcPr>
            <w:tcW w:w="0" w:type="auto"/>
            <w:gridSpan w:val="3"/>
            <w:shd w:val="clear" w:color="auto" w:fill="auto"/>
            <w:vAlign w:val="bottom"/>
          </w:tcPr>
          <w:p w14:paraId="392BEB38" w14:textId="77777777" w:rsidR="00980E5F" w:rsidRDefault="00980E5F">
            <w:pPr>
              <w:rPr>
                <w:rFonts w:ascii="宋体"/>
                <w:vanish/>
              </w:rPr>
            </w:pPr>
          </w:p>
        </w:tc>
      </w:tr>
      <w:tr w:rsidR="00980E5F" w14:paraId="392BEB45" w14:textId="77777777">
        <w:trPr>
          <w:trHeight w:val="180"/>
        </w:trPr>
        <w:tc>
          <w:tcPr>
            <w:tcW w:w="0" w:type="auto"/>
            <w:gridSpan w:val="3"/>
            <w:shd w:val="clear" w:color="auto" w:fill="auto"/>
            <w:tcMar>
              <w:top w:w="0" w:type="dxa"/>
              <w:left w:w="20" w:type="dxa"/>
              <w:bottom w:w="0" w:type="dxa"/>
              <w:right w:w="20" w:type="dxa"/>
            </w:tcMar>
            <w:vAlign w:val="bottom"/>
          </w:tcPr>
          <w:p w14:paraId="392BEB3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BEB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B3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BEB3D" w14:textId="77777777" w:rsidR="00980E5F" w:rsidRDefault="00980E5F">
            <w:pPr>
              <w:rPr>
                <w:rFonts w:ascii="宋体"/>
              </w:rPr>
            </w:pPr>
          </w:p>
        </w:tc>
        <w:tc>
          <w:tcPr>
            <w:tcW w:w="0" w:type="auto"/>
            <w:shd w:val="clear" w:color="auto" w:fill="auto"/>
            <w:vAlign w:val="bottom"/>
          </w:tcPr>
          <w:p w14:paraId="392BEB3E" w14:textId="77777777" w:rsidR="00980E5F" w:rsidRDefault="00980E5F">
            <w:pPr>
              <w:rPr>
                <w:rFonts w:ascii="宋体"/>
                <w:vanish/>
              </w:rPr>
            </w:pPr>
          </w:p>
        </w:tc>
        <w:tc>
          <w:tcPr>
            <w:tcW w:w="0" w:type="auto"/>
            <w:shd w:val="clear" w:color="auto" w:fill="auto"/>
            <w:vAlign w:val="bottom"/>
          </w:tcPr>
          <w:p w14:paraId="392BEB3F"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B4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B41" w14:textId="77777777" w:rsidR="00980E5F" w:rsidRDefault="00980E5F">
            <w:pPr>
              <w:rPr>
                <w:rFonts w:ascii="宋体"/>
              </w:rPr>
            </w:pPr>
          </w:p>
        </w:tc>
        <w:tc>
          <w:tcPr>
            <w:tcW w:w="0" w:type="auto"/>
            <w:gridSpan w:val="3"/>
            <w:shd w:val="clear" w:color="auto" w:fill="auto"/>
            <w:vAlign w:val="bottom"/>
          </w:tcPr>
          <w:p w14:paraId="392BEB42" w14:textId="77777777" w:rsidR="00980E5F" w:rsidRDefault="00980E5F">
            <w:pPr>
              <w:rPr>
                <w:rFonts w:ascii="宋体"/>
                <w:vanish/>
              </w:rPr>
            </w:pPr>
          </w:p>
        </w:tc>
        <w:tc>
          <w:tcPr>
            <w:tcW w:w="0" w:type="auto"/>
            <w:gridSpan w:val="3"/>
            <w:shd w:val="clear" w:color="auto" w:fill="auto"/>
            <w:vAlign w:val="bottom"/>
          </w:tcPr>
          <w:p w14:paraId="392BEB43" w14:textId="77777777" w:rsidR="00980E5F" w:rsidRDefault="00980E5F">
            <w:pPr>
              <w:rPr>
                <w:rFonts w:ascii="宋体"/>
                <w:vanish/>
              </w:rPr>
            </w:pPr>
          </w:p>
        </w:tc>
        <w:tc>
          <w:tcPr>
            <w:tcW w:w="0" w:type="auto"/>
            <w:gridSpan w:val="3"/>
            <w:shd w:val="clear" w:color="auto" w:fill="auto"/>
            <w:vAlign w:val="bottom"/>
          </w:tcPr>
          <w:p w14:paraId="392BEB44" w14:textId="77777777" w:rsidR="00980E5F" w:rsidRDefault="00980E5F">
            <w:pPr>
              <w:rPr>
                <w:rFonts w:ascii="宋体"/>
                <w:vanish/>
              </w:rPr>
            </w:pPr>
          </w:p>
        </w:tc>
      </w:tr>
      <w:tr w:rsidR="00980E5F" w14:paraId="392BEB4F" w14:textId="77777777">
        <w:trPr>
          <w:trHeight w:val="220"/>
        </w:trPr>
        <w:tc>
          <w:tcPr>
            <w:tcW w:w="0" w:type="auto"/>
            <w:gridSpan w:val="3"/>
            <w:shd w:val="clear" w:color="auto" w:fill="auto"/>
            <w:tcMar>
              <w:top w:w="0" w:type="dxa"/>
              <w:left w:w="20" w:type="dxa"/>
              <w:bottom w:w="0" w:type="dxa"/>
              <w:right w:w="20" w:type="dxa"/>
            </w:tcMar>
            <w:vAlign w:val="bottom"/>
          </w:tcPr>
          <w:p w14:paraId="392BEB4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center"/>
          </w:tcPr>
          <w:p w14:paraId="392BEB47" w14:textId="77777777" w:rsidR="00980E5F" w:rsidRDefault="00483613">
            <w:pPr>
              <w:jc w:val="center"/>
              <w:textAlignment w:val="center"/>
            </w:pPr>
            <w:r>
              <w:rPr>
                <w:rFonts w:ascii="Arial" w:eastAsia="宋体" w:hAnsi="Arial" w:cs="Arial"/>
                <w:b/>
                <w:bCs/>
                <w:color w:val="000000"/>
                <w:sz w:val="15"/>
                <w:szCs w:val="15"/>
              </w:rPr>
              <w:t>Six Months Ended June 30,</w:t>
            </w:r>
          </w:p>
        </w:tc>
        <w:tc>
          <w:tcPr>
            <w:tcW w:w="0" w:type="auto"/>
            <w:shd w:val="clear" w:color="auto" w:fill="auto"/>
            <w:vAlign w:val="bottom"/>
          </w:tcPr>
          <w:p w14:paraId="392BEB48" w14:textId="77777777" w:rsidR="00980E5F" w:rsidRDefault="00980E5F">
            <w:pPr>
              <w:rPr>
                <w:rFonts w:ascii="宋体"/>
                <w:vanish/>
              </w:rPr>
            </w:pPr>
          </w:p>
        </w:tc>
        <w:tc>
          <w:tcPr>
            <w:tcW w:w="0" w:type="auto"/>
            <w:shd w:val="clear" w:color="auto" w:fill="auto"/>
            <w:vAlign w:val="bottom"/>
          </w:tcPr>
          <w:p w14:paraId="392BEB49"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B4A"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BEB4B" w14:textId="77777777" w:rsidR="00980E5F" w:rsidRDefault="00483613">
            <w:pPr>
              <w:jc w:val="center"/>
              <w:textAlignment w:val="bottom"/>
            </w:pPr>
            <w:r>
              <w:rPr>
                <w:rFonts w:ascii="Arial" w:eastAsia="宋体" w:hAnsi="Arial" w:cs="Arial"/>
                <w:b/>
                <w:bCs/>
                <w:color w:val="000000"/>
                <w:sz w:val="15"/>
                <w:szCs w:val="15"/>
              </w:rPr>
              <w:t xml:space="preserve">% Change </w:t>
            </w:r>
          </w:p>
        </w:tc>
        <w:tc>
          <w:tcPr>
            <w:tcW w:w="0" w:type="auto"/>
            <w:gridSpan w:val="3"/>
            <w:shd w:val="clear" w:color="auto" w:fill="auto"/>
            <w:vAlign w:val="bottom"/>
          </w:tcPr>
          <w:p w14:paraId="392BEB4C" w14:textId="77777777" w:rsidR="00980E5F" w:rsidRDefault="00980E5F">
            <w:pPr>
              <w:rPr>
                <w:rFonts w:ascii="宋体"/>
                <w:vanish/>
              </w:rPr>
            </w:pPr>
          </w:p>
        </w:tc>
        <w:tc>
          <w:tcPr>
            <w:tcW w:w="0" w:type="auto"/>
            <w:gridSpan w:val="3"/>
            <w:shd w:val="clear" w:color="auto" w:fill="auto"/>
            <w:vAlign w:val="bottom"/>
          </w:tcPr>
          <w:p w14:paraId="392BEB4D" w14:textId="77777777" w:rsidR="00980E5F" w:rsidRDefault="00980E5F">
            <w:pPr>
              <w:rPr>
                <w:rFonts w:ascii="宋体"/>
                <w:vanish/>
              </w:rPr>
            </w:pPr>
          </w:p>
        </w:tc>
        <w:tc>
          <w:tcPr>
            <w:tcW w:w="0" w:type="auto"/>
            <w:gridSpan w:val="3"/>
            <w:shd w:val="clear" w:color="auto" w:fill="auto"/>
            <w:vAlign w:val="bottom"/>
          </w:tcPr>
          <w:p w14:paraId="392BEB4E" w14:textId="77777777" w:rsidR="00980E5F" w:rsidRDefault="00980E5F">
            <w:pPr>
              <w:rPr>
                <w:rFonts w:ascii="宋体"/>
                <w:vanish/>
              </w:rPr>
            </w:pPr>
          </w:p>
        </w:tc>
      </w:tr>
      <w:tr w:rsidR="00980E5F" w14:paraId="392BEB5D" w14:textId="77777777">
        <w:trPr>
          <w:trHeight w:val="220"/>
        </w:trPr>
        <w:tc>
          <w:tcPr>
            <w:tcW w:w="0" w:type="auto"/>
            <w:gridSpan w:val="3"/>
            <w:shd w:val="clear" w:color="auto" w:fill="auto"/>
            <w:tcMar>
              <w:top w:w="40" w:type="dxa"/>
              <w:left w:w="20" w:type="dxa"/>
              <w:bottom w:w="40" w:type="dxa"/>
              <w:right w:w="20" w:type="dxa"/>
            </w:tcMar>
            <w:vAlign w:val="bottom"/>
          </w:tcPr>
          <w:p w14:paraId="392BEB50" w14:textId="77777777" w:rsidR="00980E5F" w:rsidRDefault="00483613">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B51"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B5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B53" w14:textId="77777777" w:rsidR="00980E5F" w:rsidRDefault="00483613">
            <w:pPr>
              <w:jc w:val="center"/>
              <w:textAlignment w:val="bottom"/>
            </w:pPr>
            <w:r>
              <w:rPr>
                <w:rFonts w:ascii="Arial" w:eastAsia="宋体" w:hAnsi="Arial" w:cs="Arial"/>
                <w:b/>
                <w:bCs/>
                <w:color w:val="000000"/>
                <w:sz w:val="15"/>
                <w:szCs w:val="15"/>
              </w:rPr>
              <w:t>2021</w:t>
            </w:r>
          </w:p>
        </w:tc>
        <w:tc>
          <w:tcPr>
            <w:tcW w:w="0" w:type="auto"/>
            <w:shd w:val="clear" w:color="auto" w:fill="auto"/>
            <w:vAlign w:val="bottom"/>
          </w:tcPr>
          <w:p w14:paraId="392BEB54" w14:textId="77777777" w:rsidR="00980E5F" w:rsidRDefault="00980E5F">
            <w:pPr>
              <w:rPr>
                <w:rFonts w:ascii="宋体"/>
                <w:vanish/>
              </w:rPr>
            </w:pPr>
          </w:p>
        </w:tc>
        <w:tc>
          <w:tcPr>
            <w:tcW w:w="0" w:type="auto"/>
            <w:shd w:val="clear" w:color="auto" w:fill="auto"/>
            <w:vAlign w:val="bottom"/>
          </w:tcPr>
          <w:p w14:paraId="392BEB5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B56"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BEB57" w14:textId="77777777" w:rsidR="00980E5F" w:rsidRDefault="00980E5F">
            <w:pPr>
              <w:jc w:val="center"/>
              <w:rPr>
                <w:rFonts w:ascii="宋体"/>
              </w:rPr>
            </w:pPr>
          </w:p>
        </w:tc>
        <w:tc>
          <w:tcPr>
            <w:tcW w:w="0" w:type="auto"/>
            <w:gridSpan w:val="3"/>
            <w:shd w:val="clear" w:color="auto" w:fill="auto"/>
            <w:vAlign w:val="bottom"/>
          </w:tcPr>
          <w:p w14:paraId="392BEB58" w14:textId="77777777" w:rsidR="00980E5F" w:rsidRDefault="00980E5F">
            <w:pPr>
              <w:rPr>
                <w:rFonts w:ascii="宋体"/>
                <w:vanish/>
              </w:rPr>
            </w:pPr>
          </w:p>
        </w:tc>
        <w:tc>
          <w:tcPr>
            <w:tcW w:w="0" w:type="auto"/>
            <w:gridSpan w:val="3"/>
            <w:shd w:val="clear" w:color="auto" w:fill="auto"/>
            <w:vAlign w:val="bottom"/>
          </w:tcPr>
          <w:p w14:paraId="392BEB59" w14:textId="77777777" w:rsidR="00980E5F" w:rsidRDefault="00980E5F">
            <w:pPr>
              <w:rPr>
                <w:rFonts w:ascii="宋体"/>
                <w:vanish/>
              </w:rPr>
            </w:pPr>
          </w:p>
        </w:tc>
        <w:tc>
          <w:tcPr>
            <w:tcW w:w="0" w:type="auto"/>
            <w:shd w:val="clear" w:color="auto" w:fill="auto"/>
            <w:vAlign w:val="bottom"/>
          </w:tcPr>
          <w:p w14:paraId="392BEB5A" w14:textId="77777777" w:rsidR="00980E5F" w:rsidRDefault="00980E5F">
            <w:pPr>
              <w:rPr>
                <w:rFonts w:ascii="宋体"/>
              </w:rPr>
            </w:pPr>
          </w:p>
        </w:tc>
        <w:tc>
          <w:tcPr>
            <w:tcW w:w="0" w:type="auto"/>
            <w:shd w:val="clear" w:color="auto" w:fill="auto"/>
            <w:vAlign w:val="bottom"/>
          </w:tcPr>
          <w:p w14:paraId="392BEB5B" w14:textId="77777777" w:rsidR="00980E5F" w:rsidRDefault="00980E5F">
            <w:pPr>
              <w:rPr>
                <w:rFonts w:ascii="宋体"/>
              </w:rPr>
            </w:pPr>
          </w:p>
        </w:tc>
        <w:tc>
          <w:tcPr>
            <w:tcW w:w="0" w:type="auto"/>
            <w:shd w:val="clear" w:color="auto" w:fill="auto"/>
            <w:vAlign w:val="bottom"/>
          </w:tcPr>
          <w:p w14:paraId="392BEB5C" w14:textId="77777777" w:rsidR="00980E5F" w:rsidRDefault="00980E5F">
            <w:pPr>
              <w:rPr>
                <w:rFonts w:ascii="宋体"/>
              </w:rPr>
            </w:pPr>
          </w:p>
        </w:tc>
      </w:tr>
      <w:tr w:rsidR="00980E5F" w14:paraId="392BEB69" w14:textId="77777777">
        <w:tc>
          <w:tcPr>
            <w:tcW w:w="0" w:type="auto"/>
            <w:gridSpan w:val="3"/>
            <w:shd w:val="clear" w:color="auto" w:fill="auto"/>
            <w:tcMar>
              <w:top w:w="40" w:type="dxa"/>
              <w:left w:w="20" w:type="dxa"/>
              <w:bottom w:w="40" w:type="dxa"/>
              <w:right w:w="20" w:type="dxa"/>
            </w:tcMar>
            <w:vAlign w:val="bottom"/>
          </w:tcPr>
          <w:p w14:paraId="392BEB5E" w14:textId="77777777" w:rsidR="00980E5F" w:rsidRDefault="00483613">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B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B6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B61" w14:textId="77777777" w:rsidR="00980E5F" w:rsidRDefault="00980E5F">
            <w:pPr>
              <w:rPr>
                <w:rFonts w:ascii="宋体"/>
              </w:rPr>
            </w:pPr>
          </w:p>
        </w:tc>
        <w:tc>
          <w:tcPr>
            <w:tcW w:w="0" w:type="auto"/>
            <w:shd w:val="clear" w:color="auto" w:fill="auto"/>
            <w:vAlign w:val="bottom"/>
          </w:tcPr>
          <w:p w14:paraId="392BEB62" w14:textId="77777777" w:rsidR="00980E5F" w:rsidRDefault="00980E5F">
            <w:pPr>
              <w:rPr>
                <w:rFonts w:ascii="宋体"/>
                <w:vanish/>
              </w:rPr>
            </w:pPr>
          </w:p>
        </w:tc>
        <w:tc>
          <w:tcPr>
            <w:tcW w:w="0" w:type="auto"/>
            <w:shd w:val="clear" w:color="auto" w:fill="auto"/>
            <w:vAlign w:val="bottom"/>
          </w:tcPr>
          <w:p w14:paraId="392BEB63"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BEB6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B65" w14:textId="77777777" w:rsidR="00980E5F" w:rsidRDefault="00980E5F">
            <w:pPr>
              <w:rPr>
                <w:rFonts w:ascii="宋体"/>
              </w:rPr>
            </w:pPr>
          </w:p>
        </w:tc>
        <w:tc>
          <w:tcPr>
            <w:tcW w:w="0" w:type="auto"/>
            <w:gridSpan w:val="3"/>
            <w:shd w:val="clear" w:color="auto" w:fill="auto"/>
            <w:vAlign w:val="bottom"/>
          </w:tcPr>
          <w:p w14:paraId="392BEB66" w14:textId="77777777" w:rsidR="00980E5F" w:rsidRDefault="00980E5F">
            <w:pPr>
              <w:rPr>
                <w:rFonts w:ascii="宋体"/>
                <w:vanish/>
              </w:rPr>
            </w:pPr>
          </w:p>
        </w:tc>
        <w:tc>
          <w:tcPr>
            <w:tcW w:w="0" w:type="auto"/>
            <w:gridSpan w:val="3"/>
            <w:shd w:val="clear" w:color="auto" w:fill="auto"/>
            <w:vAlign w:val="bottom"/>
          </w:tcPr>
          <w:p w14:paraId="392BEB67" w14:textId="77777777" w:rsidR="00980E5F" w:rsidRDefault="00980E5F">
            <w:pPr>
              <w:rPr>
                <w:rFonts w:ascii="宋体"/>
                <w:vanish/>
              </w:rPr>
            </w:pPr>
          </w:p>
        </w:tc>
        <w:tc>
          <w:tcPr>
            <w:tcW w:w="0" w:type="auto"/>
            <w:gridSpan w:val="3"/>
            <w:shd w:val="clear" w:color="auto" w:fill="auto"/>
            <w:vAlign w:val="bottom"/>
          </w:tcPr>
          <w:p w14:paraId="392BEB68" w14:textId="77777777" w:rsidR="00980E5F" w:rsidRDefault="00980E5F">
            <w:pPr>
              <w:rPr>
                <w:rFonts w:ascii="宋体"/>
                <w:vanish/>
              </w:rPr>
            </w:pPr>
          </w:p>
        </w:tc>
      </w:tr>
      <w:tr w:rsidR="00980E5F" w14:paraId="392BEB7A" w14:textId="77777777">
        <w:tc>
          <w:tcPr>
            <w:tcW w:w="0" w:type="auto"/>
            <w:gridSpan w:val="3"/>
            <w:shd w:val="clear" w:color="auto" w:fill="CCEEFF"/>
            <w:tcMar>
              <w:top w:w="40" w:type="dxa"/>
              <w:left w:w="20" w:type="dxa"/>
              <w:bottom w:w="40" w:type="dxa"/>
              <w:right w:w="20" w:type="dxa"/>
            </w:tcMar>
          </w:tcPr>
          <w:p w14:paraId="392BEB6A" w14:textId="77777777" w:rsidR="00980E5F" w:rsidRDefault="00483613">
            <w:pPr>
              <w:textAlignment w:val="top"/>
            </w:pPr>
            <w:r>
              <w:rPr>
                <w:rFonts w:ascii="Arial" w:eastAsia="宋体" w:hAnsi="Arial" w:cs="Arial"/>
                <w:color w:val="000000"/>
                <w:sz w:val="15"/>
                <w:szCs w:val="15"/>
              </w:rPr>
              <w:t>      Back office services</w:t>
            </w:r>
          </w:p>
        </w:tc>
        <w:tc>
          <w:tcPr>
            <w:tcW w:w="0" w:type="auto"/>
            <w:shd w:val="clear" w:color="auto" w:fill="CCEEFF"/>
            <w:tcMar>
              <w:top w:w="40" w:type="dxa"/>
              <w:left w:w="20" w:type="dxa"/>
              <w:bottom w:w="40" w:type="dxa"/>
              <w:right w:w="0" w:type="dxa"/>
            </w:tcMar>
            <w:vAlign w:val="bottom"/>
          </w:tcPr>
          <w:p w14:paraId="392BEB6B"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BEB6C" w14:textId="77777777" w:rsidR="00980E5F" w:rsidRDefault="00483613">
            <w:pPr>
              <w:jc w:val="right"/>
              <w:textAlignment w:val="bottom"/>
            </w:pPr>
            <w:r>
              <w:rPr>
                <w:rFonts w:ascii="Arial" w:eastAsia="宋体" w:hAnsi="Arial" w:cs="Arial"/>
                <w:b/>
                <w:bCs/>
                <w:color w:val="000000"/>
                <w:sz w:val="15"/>
                <w:szCs w:val="15"/>
              </w:rPr>
              <w:t>2,473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B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6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B6F"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EB70" w14:textId="77777777" w:rsidR="00980E5F" w:rsidRDefault="00483613">
            <w:pPr>
              <w:jc w:val="right"/>
              <w:textAlignment w:val="bottom"/>
            </w:pPr>
            <w:r>
              <w:rPr>
                <w:rFonts w:ascii="Arial" w:eastAsia="宋体" w:hAnsi="Arial" w:cs="Arial"/>
                <w:color w:val="000000"/>
                <w:sz w:val="15"/>
                <w:szCs w:val="15"/>
              </w:rPr>
              <w:t>2,556 </w:t>
            </w:r>
          </w:p>
        </w:tc>
        <w:tc>
          <w:tcPr>
            <w:tcW w:w="0" w:type="auto"/>
            <w:shd w:val="clear" w:color="auto" w:fill="CCEEFF"/>
            <w:tcMar>
              <w:top w:w="40" w:type="dxa"/>
              <w:left w:w="0" w:type="dxa"/>
              <w:bottom w:w="40" w:type="dxa"/>
              <w:right w:w="20" w:type="dxa"/>
            </w:tcMar>
            <w:vAlign w:val="bottom"/>
          </w:tcPr>
          <w:p w14:paraId="392BEB71" w14:textId="77777777" w:rsidR="00980E5F" w:rsidRDefault="00980E5F">
            <w:pPr>
              <w:jc w:val="right"/>
              <w:rPr>
                <w:rFonts w:ascii="宋体"/>
              </w:rPr>
            </w:pPr>
          </w:p>
        </w:tc>
        <w:tc>
          <w:tcPr>
            <w:tcW w:w="0" w:type="auto"/>
            <w:shd w:val="clear" w:color="auto" w:fill="auto"/>
            <w:vAlign w:val="bottom"/>
          </w:tcPr>
          <w:p w14:paraId="392BEB72" w14:textId="77777777" w:rsidR="00980E5F" w:rsidRDefault="00980E5F">
            <w:pPr>
              <w:rPr>
                <w:rFonts w:ascii="宋体"/>
                <w:vanish/>
              </w:rPr>
            </w:pPr>
          </w:p>
        </w:tc>
        <w:tc>
          <w:tcPr>
            <w:tcW w:w="0" w:type="auto"/>
            <w:shd w:val="clear" w:color="auto" w:fill="auto"/>
            <w:vAlign w:val="bottom"/>
          </w:tcPr>
          <w:p w14:paraId="392BEB7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75" w14:textId="77777777" w:rsidR="00980E5F" w:rsidRDefault="00483613">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392BEB76" w14:textId="77777777" w:rsidR="00980E5F" w:rsidRDefault="00483613">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392BEB77" w14:textId="77777777" w:rsidR="00980E5F" w:rsidRDefault="00980E5F">
            <w:pPr>
              <w:rPr>
                <w:rFonts w:ascii="宋体"/>
                <w:vanish/>
              </w:rPr>
            </w:pPr>
          </w:p>
        </w:tc>
        <w:tc>
          <w:tcPr>
            <w:tcW w:w="0" w:type="auto"/>
            <w:gridSpan w:val="3"/>
            <w:shd w:val="clear" w:color="auto" w:fill="auto"/>
            <w:vAlign w:val="bottom"/>
          </w:tcPr>
          <w:p w14:paraId="392BEB78" w14:textId="77777777" w:rsidR="00980E5F" w:rsidRDefault="00980E5F">
            <w:pPr>
              <w:rPr>
                <w:rFonts w:ascii="宋体"/>
                <w:vanish/>
              </w:rPr>
            </w:pPr>
          </w:p>
        </w:tc>
        <w:tc>
          <w:tcPr>
            <w:tcW w:w="0" w:type="auto"/>
            <w:gridSpan w:val="3"/>
            <w:shd w:val="clear" w:color="auto" w:fill="auto"/>
            <w:vAlign w:val="bottom"/>
          </w:tcPr>
          <w:p w14:paraId="392BEB79" w14:textId="77777777" w:rsidR="00980E5F" w:rsidRDefault="00980E5F">
            <w:pPr>
              <w:rPr>
                <w:rFonts w:ascii="宋体"/>
                <w:vanish/>
              </w:rPr>
            </w:pPr>
          </w:p>
        </w:tc>
      </w:tr>
      <w:tr w:rsidR="00980E5F" w14:paraId="392BEB89" w14:textId="77777777">
        <w:tc>
          <w:tcPr>
            <w:tcW w:w="0" w:type="auto"/>
            <w:gridSpan w:val="3"/>
            <w:shd w:val="clear" w:color="auto" w:fill="FFFFFF"/>
            <w:tcMar>
              <w:top w:w="40" w:type="dxa"/>
              <w:left w:w="20" w:type="dxa"/>
              <w:bottom w:w="40" w:type="dxa"/>
              <w:right w:w="20" w:type="dxa"/>
            </w:tcMar>
          </w:tcPr>
          <w:p w14:paraId="392BEB7B" w14:textId="77777777" w:rsidR="00980E5F" w:rsidRDefault="00483613">
            <w:pPr>
              <w:textAlignment w:val="top"/>
            </w:pPr>
            <w:r>
              <w:rPr>
                <w:rFonts w:ascii="Arial" w:eastAsia="宋体" w:hAnsi="Arial" w:cs="Arial"/>
                <w:color w:val="000000"/>
                <w:sz w:val="15"/>
                <w:szCs w:val="15"/>
              </w:rPr>
              <w:t>      Middle office services</w:t>
            </w:r>
          </w:p>
        </w:tc>
        <w:tc>
          <w:tcPr>
            <w:tcW w:w="0" w:type="auto"/>
            <w:gridSpan w:val="2"/>
            <w:shd w:val="clear" w:color="auto" w:fill="FFFFFF"/>
            <w:tcMar>
              <w:top w:w="40" w:type="dxa"/>
              <w:left w:w="20" w:type="dxa"/>
              <w:bottom w:w="40" w:type="dxa"/>
              <w:right w:w="0" w:type="dxa"/>
            </w:tcMar>
            <w:vAlign w:val="bottom"/>
          </w:tcPr>
          <w:p w14:paraId="392BEB7C" w14:textId="77777777" w:rsidR="00980E5F" w:rsidRDefault="00483613">
            <w:pPr>
              <w:jc w:val="right"/>
              <w:textAlignment w:val="bottom"/>
            </w:pPr>
            <w:r>
              <w:rPr>
                <w:rFonts w:ascii="Arial" w:eastAsia="宋体" w:hAnsi="Arial" w:cs="Arial"/>
                <w:b/>
                <w:bCs/>
                <w:color w:val="000000"/>
                <w:sz w:val="15"/>
                <w:szCs w:val="15"/>
              </w:rPr>
              <w:t>192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B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7F" w14:textId="77777777" w:rsidR="00980E5F" w:rsidRDefault="00483613">
            <w:pPr>
              <w:jc w:val="right"/>
              <w:textAlignment w:val="bottom"/>
            </w:pPr>
            <w:r>
              <w:rPr>
                <w:rFonts w:ascii="Arial" w:eastAsia="宋体" w:hAnsi="Arial" w:cs="Arial"/>
                <w:color w:val="000000"/>
                <w:sz w:val="15"/>
                <w:szCs w:val="15"/>
              </w:rPr>
              <w:t>207 </w:t>
            </w:r>
          </w:p>
        </w:tc>
        <w:tc>
          <w:tcPr>
            <w:tcW w:w="0" w:type="auto"/>
            <w:shd w:val="clear" w:color="auto" w:fill="FFFFFF"/>
            <w:tcMar>
              <w:top w:w="40" w:type="dxa"/>
              <w:left w:w="0" w:type="dxa"/>
              <w:bottom w:w="40" w:type="dxa"/>
              <w:right w:w="20" w:type="dxa"/>
            </w:tcMar>
            <w:vAlign w:val="bottom"/>
          </w:tcPr>
          <w:p w14:paraId="392BEB80" w14:textId="77777777" w:rsidR="00980E5F" w:rsidRDefault="00980E5F">
            <w:pPr>
              <w:jc w:val="right"/>
              <w:rPr>
                <w:rFonts w:ascii="宋体"/>
              </w:rPr>
            </w:pPr>
          </w:p>
        </w:tc>
        <w:tc>
          <w:tcPr>
            <w:tcW w:w="0" w:type="auto"/>
            <w:shd w:val="clear" w:color="auto" w:fill="auto"/>
            <w:vAlign w:val="bottom"/>
          </w:tcPr>
          <w:p w14:paraId="392BEB81" w14:textId="77777777" w:rsidR="00980E5F" w:rsidRDefault="00980E5F">
            <w:pPr>
              <w:rPr>
                <w:rFonts w:ascii="宋体"/>
                <w:vanish/>
              </w:rPr>
            </w:pPr>
          </w:p>
        </w:tc>
        <w:tc>
          <w:tcPr>
            <w:tcW w:w="0" w:type="auto"/>
            <w:shd w:val="clear" w:color="auto" w:fill="auto"/>
            <w:vAlign w:val="bottom"/>
          </w:tcPr>
          <w:p w14:paraId="392BEB8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8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84" w14:textId="77777777" w:rsidR="00980E5F" w:rsidRDefault="00483613">
            <w:pPr>
              <w:jc w:val="right"/>
              <w:textAlignment w:val="bottom"/>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bottom"/>
          </w:tcPr>
          <w:p w14:paraId="392BEB85" w14:textId="77777777" w:rsidR="00980E5F" w:rsidRDefault="00980E5F">
            <w:pPr>
              <w:jc w:val="right"/>
              <w:rPr>
                <w:rFonts w:ascii="宋体"/>
              </w:rPr>
            </w:pPr>
          </w:p>
        </w:tc>
        <w:tc>
          <w:tcPr>
            <w:tcW w:w="0" w:type="auto"/>
            <w:gridSpan w:val="3"/>
            <w:shd w:val="clear" w:color="auto" w:fill="auto"/>
            <w:vAlign w:val="bottom"/>
          </w:tcPr>
          <w:p w14:paraId="392BEB86" w14:textId="77777777" w:rsidR="00980E5F" w:rsidRDefault="00980E5F">
            <w:pPr>
              <w:rPr>
                <w:rFonts w:ascii="宋体"/>
                <w:vanish/>
              </w:rPr>
            </w:pPr>
          </w:p>
        </w:tc>
        <w:tc>
          <w:tcPr>
            <w:tcW w:w="0" w:type="auto"/>
            <w:gridSpan w:val="3"/>
            <w:shd w:val="clear" w:color="auto" w:fill="auto"/>
            <w:vAlign w:val="bottom"/>
          </w:tcPr>
          <w:p w14:paraId="392BEB87" w14:textId="77777777" w:rsidR="00980E5F" w:rsidRDefault="00980E5F">
            <w:pPr>
              <w:rPr>
                <w:rFonts w:ascii="宋体"/>
                <w:vanish/>
              </w:rPr>
            </w:pPr>
          </w:p>
        </w:tc>
        <w:tc>
          <w:tcPr>
            <w:tcW w:w="0" w:type="auto"/>
            <w:gridSpan w:val="3"/>
            <w:shd w:val="clear" w:color="auto" w:fill="auto"/>
            <w:vAlign w:val="bottom"/>
          </w:tcPr>
          <w:p w14:paraId="392BEB88" w14:textId="77777777" w:rsidR="00980E5F" w:rsidRDefault="00980E5F">
            <w:pPr>
              <w:rPr>
                <w:rFonts w:ascii="宋体"/>
                <w:vanish/>
              </w:rPr>
            </w:pPr>
          </w:p>
        </w:tc>
      </w:tr>
      <w:tr w:rsidR="00980E5F" w14:paraId="392BEB98" w14:textId="77777777">
        <w:tc>
          <w:tcPr>
            <w:tcW w:w="0" w:type="auto"/>
            <w:gridSpan w:val="3"/>
            <w:shd w:val="clear" w:color="auto" w:fill="CCEEFF"/>
            <w:tcMar>
              <w:top w:w="40" w:type="dxa"/>
              <w:left w:w="20" w:type="dxa"/>
              <w:bottom w:w="40" w:type="dxa"/>
              <w:right w:w="20" w:type="dxa"/>
            </w:tcMar>
            <w:vAlign w:val="bottom"/>
          </w:tcPr>
          <w:p w14:paraId="392BEB8A" w14:textId="77777777" w:rsidR="00980E5F" w:rsidRDefault="00483613">
            <w:pPr>
              <w:textAlignment w:val="bottom"/>
            </w:pPr>
            <w:r>
              <w:rPr>
                <w:rFonts w:ascii="Arial" w:eastAsia="宋体" w:hAnsi="Arial" w:cs="Arial"/>
                <w:color w:val="000000"/>
                <w:sz w:val="15"/>
                <w:szCs w:val="15"/>
              </w:rPr>
              <w:t>Servicing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8B" w14:textId="77777777" w:rsidR="00980E5F" w:rsidRDefault="00483613">
            <w:pPr>
              <w:jc w:val="right"/>
              <w:textAlignment w:val="bottom"/>
            </w:pPr>
            <w:r>
              <w:rPr>
                <w:rFonts w:ascii="Arial" w:eastAsia="宋体" w:hAnsi="Arial" w:cs="Arial"/>
                <w:b/>
                <w:bCs/>
                <w:color w:val="000000"/>
                <w:sz w:val="15"/>
                <w:szCs w:val="15"/>
              </w:rPr>
              <w:t>2,665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8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8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8E" w14:textId="77777777" w:rsidR="00980E5F" w:rsidRDefault="00483613">
            <w:pPr>
              <w:jc w:val="right"/>
              <w:textAlignment w:val="bottom"/>
            </w:pPr>
            <w:r>
              <w:rPr>
                <w:rFonts w:ascii="Arial" w:eastAsia="宋体" w:hAnsi="Arial" w:cs="Arial"/>
                <w:color w:val="000000"/>
                <w:sz w:val="15"/>
                <w:szCs w:val="15"/>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8F" w14:textId="77777777" w:rsidR="00980E5F" w:rsidRDefault="00980E5F">
            <w:pPr>
              <w:jc w:val="right"/>
              <w:rPr>
                <w:rFonts w:ascii="宋体"/>
              </w:rPr>
            </w:pPr>
          </w:p>
        </w:tc>
        <w:tc>
          <w:tcPr>
            <w:tcW w:w="0" w:type="auto"/>
            <w:shd w:val="clear" w:color="auto" w:fill="auto"/>
            <w:vAlign w:val="bottom"/>
          </w:tcPr>
          <w:p w14:paraId="392BEB90" w14:textId="77777777" w:rsidR="00980E5F" w:rsidRDefault="00980E5F">
            <w:pPr>
              <w:rPr>
                <w:rFonts w:ascii="宋体"/>
                <w:vanish/>
              </w:rPr>
            </w:pPr>
          </w:p>
        </w:tc>
        <w:tc>
          <w:tcPr>
            <w:tcW w:w="0" w:type="auto"/>
            <w:shd w:val="clear" w:color="auto" w:fill="auto"/>
            <w:vAlign w:val="bottom"/>
          </w:tcPr>
          <w:p w14:paraId="392BEB91"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93" w14:textId="77777777" w:rsidR="00980E5F" w:rsidRDefault="00483613">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392BEB94" w14:textId="77777777" w:rsidR="00980E5F" w:rsidRDefault="00980E5F">
            <w:pPr>
              <w:jc w:val="right"/>
              <w:rPr>
                <w:rFonts w:ascii="宋体"/>
              </w:rPr>
            </w:pPr>
          </w:p>
        </w:tc>
        <w:tc>
          <w:tcPr>
            <w:tcW w:w="0" w:type="auto"/>
            <w:gridSpan w:val="3"/>
            <w:shd w:val="clear" w:color="auto" w:fill="auto"/>
            <w:vAlign w:val="bottom"/>
          </w:tcPr>
          <w:p w14:paraId="392BEB95" w14:textId="77777777" w:rsidR="00980E5F" w:rsidRDefault="00980E5F">
            <w:pPr>
              <w:rPr>
                <w:rFonts w:ascii="宋体"/>
                <w:vanish/>
              </w:rPr>
            </w:pPr>
          </w:p>
        </w:tc>
        <w:tc>
          <w:tcPr>
            <w:tcW w:w="0" w:type="auto"/>
            <w:gridSpan w:val="3"/>
            <w:shd w:val="clear" w:color="auto" w:fill="auto"/>
            <w:vAlign w:val="bottom"/>
          </w:tcPr>
          <w:p w14:paraId="392BEB96" w14:textId="77777777" w:rsidR="00980E5F" w:rsidRDefault="00980E5F">
            <w:pPr>
              <w:rPr>
                <w:rFonts w:ascii="宋体"/>
                <w:vanish/>
              </w:rPr>
            </w:pPr>
          </w:p>
        </w:tc>
        <w:tc>
          <w:tcPr>
            <w:tcW w:w="0" w:type="auto"/>
            <w:gridSpan w:val="3"/>
            <w:shd w:val="clear" w:color="auto" w:fill="auto"/>
            <w:vAlign w:val="bottom"/>
          </w:tcPr>
          <w:p w14:paraId="392BEB97" w14:textId="77777777" w:rsidR="00980E5F" w:rsidRDefault="00980E5F">
            <w:pPr>
              <w:rPr>
                <w:rFonts w:ascii="宋体"/>
                <w:vanish/>
              </w:rPr>
            </w:pPr>
          </w:p>
        </w:tc>
      </w:tr>
      <w:tr w:rsidR="00980E5F" w14:paraId="392BEBA7" w14:textId="77777777">
        <w:tc>
          <w:tcPr>
            <w:tcW w:w="0" w:type="auto"/>
            <w:gridSpan w:val="3"/>
            <w:shd w:val="clear" w:color="auto" w:fill="FFFFFF"/>
            <w:tcMar>
              <w:top w:w="40" w:type="dxa"/>
              <w:left w:w="140" w:type="dxa"/>
              <w:bottom w:w="40" w:type="dxa"/>
              <w:right w:w="20" w:type="dxa"/>
            </w:tcMar>
            <w:vAlign w:val="bottom"/>
          </w:tcPr>
          <w:p w14:paraId="392BEB99" w14:textId="77777777" w:rsidR="00980E5F" w:rsidRDefault="00483613">
            <w:pPr>
              <w:textAlignment w:val="bottom"/>
            </w:pPr>
            <w:r>
              <w:rPr>
                <w:rFonts w:ascii="Arial" w:eastAsia="宋体" w:hAnsi="Arial" w:cs="Arial"/>
                <w:color w:val="000000"/>
                <w:sz w:val="15"/>
                <w:szCs w:val="15"/>
              </w:rPr>
              <w:t>Management fees</w:t>
            </w:r>
          </w:p>
        </w:tc>
        <w:tc>
          <w:tcPr>
            <w:tcW w:w="0" w:type="auto"/>
            <w:gridSpan w:val="2"/>
            <w:shd w:val="clear" w:color="auto" w:fill="FFFFFF"/>
            <w:tcMar>
              <w:top w:w="40" w:type="dxa"/>
              <w:left w:w="20" w:type="dxa"/>
              <w:bottom w:w="40" w:type="dxa"/>
              <w:right w:w="0" w:type="dxa"/>
            </w:tcMar>
            <w:vAlign w:val="bottom"/>
          </w:tcPr>
          <w:p w14:paraId="392BEB9A" w14:textId="77777777" w:rsidR="00980E5F" w:rsidRDefault="00483613">
            <w:pPr>
              <w:jc w:val="right"/>
              <w:textAlignment w:val="bottom"/>
            </w:pPr>
            <w:r>
              <w:rPr>
                <w:rFonts w:ascii="Arial" w:eastAsia="宋体" w:hAnsi="Arial" w:cs="Arial"/>
                <w:b/>
                <w:bCs/>
                <w:color w:val="000000"/>
                <w:sz w:val="15"/>
                <w:szCs w:val="15"/>
              </w:rPr>
              <w:t>1,010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B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9D" w14:textId="77777777" w:rsidR="00980E5F" w:rsidRDefault="00483613">
            <w:pPr>
              <w:jc w:val="right"/>
              <w:textAlignment w:val="bottom"/>
            </w:pPr>
            <w:r>
              <w:rPr>
                <w:rFonts w:ascii="Arial" w:eastAsia="宋体" w:hAnsi="Arial" w:cs="Arial"/>
                <w:color w:val="000000"/>
                <w:sz w:val="15"/>
                <w:szCs w:val="15"/>
              </w:rPr>
              <w:t>997 </w:t>
            </w:r>
          </w:p>
        </w:tc>
        <w:tc>
          <w:tcPr>
            <w:tcW w:w="0" w:type="auto"/>
            <w:shd w:val="clear" w:color="auto" w:fill="FFFFFF"/>
            <w:tcMar>
              <w:top w:w="40" w:type="dxa"/>
              <w:left w:w="0" w:type="dxa"/>
              <w:bottom w:w="40" w:type="dxa"/>
              <w:right w:w="20" w:type="dxa"/>
            </w:tcMar>
            <w:vAlign w:val="bottom"/>
          </w:tcPr>
          <w:p w14:paraId="392BEB9E" w14:textId="77777777" w:rsidR="00980E5F" w:rsidRDefault="00980E5F">
            <w:pPr>
              <w:jc w:val="right"/>
              <w:rPr>
                <w:rFonts w:ascii="宋体"/>
              </w:rPr>
            </w:pPr>
          </w:p>
        </w:tc>
        <w:tc>
          <w:tcPr>
            <w:tcW w:w="0" w:type="auto"/>
            <w:shd w:val="clear" w:color="auto" w:fill="auto"/>
            <w:vAlign w:val="bottom"/>
          </w:tcPr>
          <w:p w14:paraId="392BEB9F" w14:textId="77777777" w:rsidR="00980E5F" w:rsidRDefault="00980E5F">
            <w:pPr>
              <w:rPr>
                <w:rFonts w:ascii="宋体"/>
                <w:vanish/>
              </w:rPr>
            </w:pPr>
          </w:p>
        </w:tc>
        <w:tc>
          <w:tcPr>
            <w:tcW w:w="0" w:type="auto"/>
            <w:shd w:val="clear" w:color="auto" w:fill="auto"/>
            <w:vAlign w:val="bottom"/>
          </w:tcPr>
          <w:p w14:paraId="392BEBA0"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A2"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BEBA3" w14:textId="77777777" w:rsidR="00980E5F" w:rsidRDefault="00980E5F">
            <w:pPr>
              <w:jc w:val="right"/>
              <w:rPr>
                <w:rFonts w:ascii="宋体"/>
              </w:rPr>
            </w:pPr>
          </w:p>
        </w:tc>
        <w:tc>
          <w:tcPr>
            <w:tcW w:w="0" w:type="auto"/>
            <w:gridSpan w:val="3"/>
            <w:shd w:val="clear" w:color="auto" w:fill="auto"/>
            <w:vAlign w:val="bottom"/>
          </w:tcPr>
          <w:p w14:paraId="392BEBA4" w14:textId="77777777" w:rsidR="00980E5F" w:rsidRDefault="00980E5F">
            <w:pPr>
              <w:rPr>
                <w:rFonts w:ascii="宋体"/>
                <w:vanish/>
              </w:rPr>
            </w:pPr>
          </w:p>
        </w:tc>
        <w:tc>
          <w:tcPr>
            <w:tcW w:w="0" w:type="auto"/>
            <w:gridSpan w:val="3"/>
            <w:shd w:val="clear" w:color="auto" w:fill="auto"/>
            <w:vAlign w:val="bottom"/>
          </w:tcPr>
          <w:p w14:paraId="392BEBA5" w14:textId="77777777" w:rsidR="00980E5F" w:rsidRDefault="00980E5F">
            <w:pPr>
              <w:rPr>
                <w:rFonts w:ascii="宋体"/>
                <w:vanish/>
              </w:rPr>
            </w:pPr>
          </w:p>
        </w:tc>
        <w:tc>
          <w:tcPr>
            <w:tcW w:w="0" w:type="auto"/>
            <w:gridSpan w:val="3"/>
            <w:shd w:val="clear" w:color="auto" w:fill="auto"/>
            <w:vAlign w:val="bottom"/>
          </w:tcPr>
          <w:p w14:paraId="392BEBA6" w14:textId="77777777" w:rsidR="00980E5F" w:rsidRDefault="00980E5F">
            <w:pPr>
              <w:rPr>
                <w:rFonts w:ascii="宋体"/>
                <w:vanish/>
              </w:rPr>
            </w:pPr>
          </w:p>
        </w:tc>
      </w:tr>
      <w:tr w:rsidR="00980E5F" w14:paraId="392BEBB6" w14:textId="77777777">
        <w:tc>
          <w:tcPr>
            <w:tcW w:w="0" w:type="auto"/>
            <w:gridSpan w:val="3"/>
            <w:shd w:val="clear" w:color="auto" w:fill="CCEEFF"/>
            <w:tcMar>
              <w:top w:w="40" w:type="dxa"/>
              <w:left w:w="140" w:type="dxa"/>
              <w:bottom w:w="40" w:type="dxa"/>
              <w:right w:w="20" w:type="dxa"/>
            </w:tcMar>
            <w:vAlign w:val="bottom"/>
          </w:tcPr>
          <w:p w14:paraId="392BEBA8" w14:textId="77777777" w:rsidR="00980E5F" w:rsidRDefault="00483613">
            <w:pPr>
              <w:textAlignment w:val="bottom"/>
            </w:pPr>
            <w:r>
              <w:rPr>
                <w:rFonts w:ascii="Arial" w:eastAsia="宋体" w:hAnsi="Arial" w:cs="Arial"/>
                <w:color w:val="000000"/>
                <w:sz w:val="15"/>
                <w:szCs w:val="15"/>
              </w:rPr>
              <w:t>Foreign exchange trading services</w:t>
            </w:r>
          </w:p>
        </w:tc>
        <w:tc>
          <w:tcPr>
            <w:tcW w:w="0" w:type="auto"/>
            <w:gridSpan w:val="2"/>
            <w:shd w:val="clear" w:color="auto" w:fill="CCEEFF"/>
            <w:tcMar>
              <w:top w:w="40" w:type="dxa"/>
              <w:left w:w="20" w:type="dxa"/>
              <w:bottom w:w="40" w:type="dxa"/>
              <w:right w:w="0" w:type="dxa"/>
            </w:tcMar>
            <w:vAlign w:val="bottom"/>
          </w:tcPr>
          <w:p w14:paraId="392BEBA9" w14:textId="77777777" w:rsidR="00980E5F" w:rsidRDefault="00483613">
            <w:pPr>
              <w:jc w:val="right"/>
              <w:textAlignment w:val="bottom"/>
            </w:pPr>
            <w:r>
              <w:rPr>
                <w:rFonts w:ascii="Arial" w:eastAsia="宋体" w:hAnsi="Arial" w:cs="Arial"/>
                <w:b/>
                <w:bCs/>
                <w:color w:val="000000"/>
                <w:sz w:val="15"/>
                <w:szCs w:val="15"/>
              </w:rPr>
              <w:t>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B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AC" w14:textId="77777777" w:rsidR="00980E5F" w:rsidRDefault="00483613">
            <w:pPr>
              <w:jc w:val="right"/>
              <w:textAlignment w:val="bottom"/>
            </w:pPr>
            <w:r>
              <w:rPr>
                <w:rFonts w:ascii="Arial" w:eastAsia="宋体" w:hAnsi="Arial" w:cs="Arial"/>
                <w:color w:val="000000"/>
                <w:sz w:val="15"/>
                <w:szCs w:val="15"/>
              </w:rPr>
              <w:t>632 </w:t>
            </w:r>
          </w:p>
        </w:tc>
        <w:tc>
          <w:tcPr>
            <w:tcW w:w="0" w:type="auto"/>
            <w:shd w:val="clear" w:color="auto" w:fill="CCEEFF"/>
            <w:tcMar>
              <w:top w:w="40" w:type="dxa"/>
              <w:left w:w="0" w:type="dxa"/>
              <w:bottom w:w="40" w:type="dxa"/>
              <w:right w:w="20" w:type="dxa"/>
            </w:tcMar>
            <w:vAlign w:val="bottom"/>
          </w:tcPr>
          <w:p w14:paraId="392BEBAD" w14:textId="77777777" w:rsidR="00980E5F" w:rsidRDefault="00980E5F">
            <w:pPr>
              <w:jc w:val="right"/>
              <w:rPr>
                <w:rFonts w:ascii="宋体"/>
              </w:rPr>
            </w:pPr>
          </w:p>
        </w:tc>
        <w:tc>
          <w:tcPr>
            <w:tcW w:w="0" w:type="auto"/>
            <w:shd w:val="clear" w:color="auto" w:fill="auto"/>
            <w:vAlign w:val="bottom"/>
          </w:tcPr>
          <w:p w14:paraId="392BEBAE" w14:textId="77777777" w:rsidR="00980E5F" w:rsidRDefault="00980E5F">
            <w:pPr>
              <w:rPr>
                <w:rFonts w:ascii="宋体"/>
                <w:vanish/>
              </w:rPr>
            </w:pPr>
          </w:p>
        </w:tc>
        <w:tc>
          <w:tcPr>
            <w:tcW w:w="0" w:type="auto"/>
            <w:shd w:val="clear" w:color="auto" w:fill="auto"/>
            <w:vAlign w:val="bottom"/>
          </w:tcPr>
          <w:p w14:paraId="392BEBAF"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B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B1" w14:textId="77777777" w:rsidR="00980E5F" w:rsidRDefault="00483613">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92BEBB2" w14:textId="77777777" w:rsidR="00980E5F" w:rsidRDefault="00980E5F">
            <w:pPr>
              <w:jc w:val="right"/>
              <w:rPr>
                <w:rFonts w:ascii="宋体"/>
              </w:rPr>
            </w:pPr>
          </w:p>
        </w:tc>
        <w:tc>
          <w:tcPr>
            <w:tcW w:w="0" w:type="auto"/>
            <w:gridSpan w:val="3"/>
            <w:shd w:val="clear" w:color="auto" w:fill="auto"/>
            <w:vAlign w:val="bottom"/>
          </w:tcPr>
          <w:p w14:paraId="392BEBB3" w14:textId="77777777" w:rsidR="00980E5F" w:rsidRDefault="00980E5F">
            <w:pPr>
              <w:rPr>
                <w:rFonts w:ascii="宋体"/>
                <w:vanish/>
              </w:rPr>
            </w:pPr>
          </w:p>
        </w:tc>
        <w:tc>
          <w:tcPr>
            <w:tcW w:w="0" w:type="auto"/>
            <w:gridSpan w:val="3"/>
            <w:shd w:val="clear" w:color="auto" w:fill="auto"/>
            <w:vAlign w:val="bottom"/>
          </w:tcPr>
          <w:p w14:paraId="392BEBB4" w14:textId="77777777" w:rsidR="00980E5F" w:rsidRDefault="00980E5F">
            <w:pPr>
              <w:rPr>
                <w:rFonts w:ascii="宋体"/>
                <w:vanish/>
              </w:rPr>
            </w:pPr>
          </w:p>
        </w:tc>
        <w:tc>
          <w:tcPr>
            <w:tcW w:w="0" w:type="auto"/>
            <w:gridSpan w:val="3"/>
            <w:shd w:val="clear" w:color="auto" w:fill="auto"/>
            <w:vAlign w:val="bottom"/>
          </w:tcPr>
          <w:p w14:paraId="392BEBB5" w14:textId="77777777" w:rsidR="00980E5F" w:rsidRDefault="00980E5F">
            <w:pPr>
              <w:rPr>
                <w:rFonts w:ascii="宋体"/>
                <w:vanish/>
              </w:rPr>
            </w:pPr>
          </w:p>
        </w:tc>
      </w:tr>
      <w:tr w:rsidR="00980E5F" w14:paraId="392BEBC5" w14:textId="77777777">
        <w:tc>
          <w:tcPr>
            <w:tcW w:w="0" w:type="auto"/>
            <w:gridSpan w:val="3"/>
            <w:shd w:val="clear" w:color="auto" w:fill="FFFFFF"/>
            <w:tcMar>
              <w:top w:w="40" w:type="dxa"/>
              <w:left w:w="140" w:type="dxa"/>
              <w:bottom w:w="40" w:type="dxa"/>
              <w:right w:w="20" w:type="dxa"/>
            </w:tcMar>
            <w:vAlign w:val="bottom"/>
          </w:tcPr>
          <w:p w14:paraId="392BEBB7" w14:textId="77777777" w:rsidR="00980E5F" w:rsidRDefault="00483613">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392BEBB8" w14:textId="77777777" w:rsidR="00980E5F" w:rsidRDefault="00483613">
            <w:pPr>
              <w:jc w:val="right"/>
              <w:textAlignment w:val="bottom"/>
            </w:pPr>
            <w:r>
              <w:rPr>
                <w:rFonts w:ascii="Arial" w:eastAsia="宋体" w:hAnsi="Arial" w:cs="Arial"/>
                <w:b/>
                <w:bCs/>
                <w:color w:val="000000"/>
                <w:sz w:val="15"/>
                <w:szCs w:val="15"/>
              </w:rPr>
              <w:t>203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B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BB" w14:textId="77777777" w:rsidR="00980E5F" w:rsidRDefault="00483613">
            <w:pPr>
              <w:jc w:val="right"/>
              <w:textAlignment w:val="bottom"/>
            </w:pPr>
            <w:r>
              <w:rPr>
                <w:rFonts w:ascii="Arial" w:eastAsia="宋体" w:hAnsi="Arial" w:cs="Arial"/>
                <w:color w:val="000000"/>
                <w:sz w:val="15"/>
                <w:szCs w:val="15"/>
              </w:rPr>
              <w:t>208 </w:t>
            </w:r>
          </w:p>
        </w:tc>
        <w:tc>
          <w:tcPr>
            <w:tcW w:w="0" w:type="auto"/>
            <w:shd w:val="clear" w:color="auto" w:fill="FFFFFF"/>
            <w:tcMar>
              <w:top w:w="40" w:type="dxa"/>
              <w:left w:w="0" w:type="dxa"/>
              <w:bottom w:w="40" w:type="dxa"/>
              <w:right w:w="20" w:type="dxa"/>
            </w:tcMar>
            <w:vAlign w:val="bottom"/>
          </w:tcPr>
          <w:p w14:paraId="392BEBBC" w14:textId="77777777" w:rsidR="00980E5F" w:rsidRDefault="00980E5F">
            <w:pPr>
              <w:jc w:val="right"/>
              <w:rPr>
                <w:rFonts w:ascii="宋体"/>
              </w:rPr>
            </w:pPr>
          </w:p>
        </w:tc>
        <w:tc>
          <w:tcPr>
            <w:tcW w:w="0" w:type="auto"/>
            <w:shd w:val="clear" w:color="auto" w:fill="auto"/>
            <w:vAlign w:val="bottom"/>
          </w:tcPr>
          <w:p w14:paraId="392BEBBD" w14:textId="77777777" w:rsidR="00980E5F" w:rsidRDefault="00980E5F">
            <w:pPr>
              <w:rPr>
                <w:rFonts w:ascii="宋体"/>
                <w:vanish/>
              </w:rPr>
            </w:pPr>
          </w:p>
        </w:tc>
        <w:tc>
          <w:tcPr>
            <w:tcW w:w="0" w:type="auto"/>
            <w:shd w:val="clear" w:color="auto" w:fill="auto"/>
            <w:vAlign w:val="bottom"/>
          </w:tcPr>
          <w:p w14:paraId="392BEBBE"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C0"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BEBC1" w14:textId="77777777" w:rsidR="00980E5F" w:rsidRDefault="00980E5F">
            <w:pPr>
              <w:jc w:val="right"/>
              <w:rPr>
                <w:rFonts w:ascii="宋体"/>
              </w:rPr>
            </w:pPr>
          </w:p>
        </w:tc>
        <w:tc>
          <w:tcPr>
            <w:tcW w:w="0" w:type="auto"/>
            <w:gridSpan w:val="3"/>
            <w:shd w:val="clear" w:color="auto" w:fill="auto"/>
            <w:vAlign w:val="bottom"/>
          </w:tcPr>
          <w:p w14:paraId="392BEBC2" w14:textId="77777777" w:rsidR="00980E5F" w:rsidRDefault="00980E5F">
            <w:pPr>
              <w:rPr>
                <w:rFonts w:ascii="宋体"/>
                <w:vanish/>
              </w:rPr>
            </w:pPr>
          </w:p>
        </w:tc>
        <w:tc>
          <w:tcPr>
            <w:tcW w:w="0" w:type="auto"/>
            <w:gridSpan w:val="3"/>
            <w:shd w:val="clear" w:color="auto" w:fill="auto"/>
            <w:vAlign w:val="bottom"/>
          </w:tcPr>
          <w:p w14:paraId="392BEBC3" w14:textId="77777777" w:rsidR="00980E5F" w:rsidRDefault="00980E5F">
            <w:pPr>
              <w:rPr>
                <w:rFonts w:ascii="宋体"/>
                <w:vanish/>
              </w:rPr>
            </w:pPr>
          </w:p>
        </w:tc>
        <w:tc>
          <w:tcPr>
            <w:tcW w:w="0" w:type="auto"/>
            <w:gridSpan w:val="3"/>
            <w:shd w:val="clear" w:color="auto" w:fill="auto"/>
            <w:vAlign w:val="bottom"/>
          </w:tcPr>
          <w:p w14:paraId="392BEBC4" w14:textId="77777777" w:rsidR="00980E5F" w:rsidRDefault="00980E5F">
            <w:pPr>
              <w:rPr>
                <w:rFonts w:ascii="宋体"/>
                <w:vanish/>
              </w:rPr>
            </w:pPr>
          </w:p>
        </w:tc>
      </w:tr>
      <w:tr w:rsidR="00980E5F" w14:paraId="392BEBD4" w14:textId="77777777">
        <w:tc>
          <w:tcPr>
            <w:tcW w:w="0" w:type="auto"/>
            <w:gridSpan w:val="3"/>
            <w:shd w:val="clear" w:color="auto" w:fill="CCEEFF"/>
            <w:tcMar>
              <w:top w:w="40" w:type="dxa"/>
              <w:left w:w="140" w:type="dxa"/>
              <w:bottom w:w="40" w:type="dxa"/>
              <w:right w:w="20" w:type="dxa"/>
            </w:tcMar>
            <w:vAlign w:val="bottom"/>
          </w:tcPr>
          <w:p w14:paraId="392BEBC6" w14:textId="77777777" w:rsidR="00980E5F" w:rsidRDefault="00483613">
            <w:pPr>
              <w:textAlignment w:val="bottom"/>
            </w:pPr>
            <w:r>
              <w:rPr>
                <w:rFonts w:ascii="Arial" w:eastAsia="宋体" w:hAnsi="Arial" w:cs="Arial"/>
                <w:color w:val="000000"/>
                <w:sz w:val="15"/>
                <w:szCs w:val="15"/>
              </w:rPr>
              <w:t>      Front office software and data</w:t>
            </w:r>
          </w:p>
        </w:tc>
        <w:tc>
          <w:tcPr>
            <w:tcW w:w="0" w:type="auto"/>
            <w:gridSpan w:val="2"/>
            <w:shd w:val="clear" w:color="auto" w:fill="CCEEFF"/>
            <w:tcMar>
              <w:top w:w="40" w:type="dxa"/>
              <w:left w:w="20" w:type="dxa"/>
              <w:bottom w:w="40" w:type="dxa"/>
              <w:right w:w="0" w:type="dxa"/>
            </w:tcMar>
            <w:vAlign w:val="bottom"/>
          </w:tcPr>
          <w:p w14:paraId="392BEBC7" w14:textId="77777777" w:rsidR="00980E5F" w:rsidRDefault="00483613">
            <w:pPr>
              <w:jc w:val="right"/>
              <w:textAlignment w:val="bottom"/>
            </w:pPr>
            <w:r>
              <w:rPr>
                <w:rFonts w:ascii="Arial" w:eastAsia="宋体" w:hAnsi="Arial" w:cs="Arial"/>
                <w:b/>
                <w:bCs/>
                <w:color w:val="000000"/>
                <w:sz w:val="15"/>
                <w:szCs w:val="15"/>
              </w:rPr>
              <w:t>264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B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CA" w14:textId="77777777" w:rsidR="00980E5F" w:rsidRDefault="00483613">
            <w:pPr>
              <w:jc w:val="right"/>
              <w:textAlignment w:val="bottom"/>
            </w:pPr>
            <w:r>
              <w:rPr>
                <w:rFonts w:ascii="Arial" w:eastAsia="宋体" w:hAnsi="Arial" w:cs="Arial"/>
                <w:color w:val="000000"/>
                <w:sz w:val="15"/>
                <w:szCs w:val="15"/>
              </w:rPr>
              <w:t>244 </w:t>
            </w:r>
          </w:p>
        </w:tc>
        <w:tc>
          <w:tcPr>
            <w:tcW w:w="0" w:type="auto"/>
            <w:shd w:val="clear" w:color="auto" w:fill="CCEEFF"/>
            <w:tcMar>
              <w:top w:w="40" w:type="dxa"/>
              <w:left w:w="0" w:type="dxa"/>
              <w:bottom w:w="40" w:type="dxa"/>
              <w:right w:w="20" w:type="dxa"/>
            </w:tcMar>
            <w:vAlign w:val="bottom"/>
          </w:tcPr>
          <w:p w14:paraId="392BEBCB" w14:textId="77777777" w:rsidR="00980E5F" w:rsidRDefault="00980E5F">
            <w:pPr>
              <w:jc w:val="right"/>
              <w:rPr>
                <w:rFonts w:ascii="宋体"/>
              </w:rPr>
            </w:pPr>
          </w:p>
        </w:tc>
        <w:tc>
          <w:tcPr>
            <w:tcW w:w="0" w:type="auto"/>
            <w:shd w:val="clear" w:color="auto" w:fill="auto"/>
            <w:vAlign w:val="bottom"/>
          </w:tcPr>
          <w:p w14:paraId="392BEBCC" w14:textId="77777777" w:rsidR="00980E5F" w:rsidRDefault="00980E5F">
            <w:pPr>
              <w:rPr>
                <w:rFonts w:ascii="宋体"/>
                <w:vanish/>
              </w:rPr>
            </w:pPr>
          </w:p>
        </w:tc>
        <w:tc>
          <w:tcPr>
            <w:tcW w:w="0" w:type="auto"/>
            <w:shd w:val="clear" w:color="auto" w:fill="auto"/>
            <w:vAlign w:val="bottom"/>
          </w:tcPr>
          <w:p w14:paraId="392BEBCD"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CF" w14:textId="77777777" w:rsidR="00980E5F" w:rsidRDefault="00483613">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392BEBD0" w14:textId="77777777" w:rsidR="00980E5F" w:rsidRDefault="00980E5F">
            <w:pPr>
              <w:jc w:val="right"/>
              <w:rPr>
                <w:rFonts w:ascii="宋体"/>
              </w:rPr>
            </w:pPr>
          </w:p>
        </w:tc>
        <w:tc>
          <w:tcPr>
            <w:tcW w:w="0" w:type="auto"/>
            <w:gridSpan w:val="3"/>
            <w:shd w:val="clear" w:color="auto" w:fill="auto"/>
            <w:vAlign w:val="bottom"/>
          </w:tcPr>
          <w:p w14:paraId="392BEBD1" w14:textId="77777777" w:rsidR="00980E5F" w:rsidRDefault="00980E5F">
            <w:pPr>
              <w:rPr>
                <w:rFonts w:ascii="宋体"/>
                <w:vanish/>
              </w:rPr>
            </w:pPr>
          </w:p>
        </w:tc>
        <w:tc>
          <w:tcPr>
            <w:tcW w:w="0" w:type="auto"/>
            <w:gridSpan w:val="3"/>
            <w:shd w:val="clear" w:color="auto" w:fill="auto"/>
            <w:vAlign w:val="bottom"/>
          </w:tcPr>
          <w:p w14:paraId="392BEBD2" w14:textId="77777777" w:rsidR="00980E5F" w:rsidRDefault="00980E5F">
            <w:pPr>
              <w:rPr>
                <w:rFonts w:ascii="宋体"/>
                <w:vanish/>
              </w:rPr>
            </w:pPr>
          </w:p>
        </w:tc>
        <w:tc>
          <w:tcPr>
            <w:tcW w:w="0" w:type="auto"/>
            <w:gridSpan w:val="3"/>
            <w:shd w:val="clear" w:color="auto" w:fill="auto"/>
            <w:vAlign w:val="bottom"/>
          </w:tcPr>
          <w:p w14:paraId="392BEBD3" w14:textId="77777777" w:rsidR="00980E5F" w:rsidRDefault="00980E5F">
            <w:pPr>
              <w:rPr>
                <w:rFonts w:ascii="宋体"/>
                <w:vanish/>
              </w:rPr>
            </w:pPr>
          </w:p>
        </w:tc>
      </w:tr>
      <w:tr w:rsidR="00980E5F" w14:paraId="392BEBE3" w14:textId="77777777">
        <w:tc>
          <w:tcPr>
            <w:tcW w:w="0" w:type="auto"/>
            <w:gridSpan w:val="3"/>
            <w:shd w:val="clear" w:color="auto" w:fill="FFFFFF"/>
            <w:tcMar>
              <w:top w:w="40" w:type="dxa"/>
              <w:left w:w="140" w:type="dxa"/>
              <w:bottom w:w="40" w:type="dxa"/>
              <w:right w:w="20" w:type="dxa"/>
            </w:tcMar>
            <w:vAlign w:val="bottom"/>
          </w:tcPr>
          <w:p w14:paraId="392BEBD5" w14:textId="77777777" w:rsidR="00980E5F" w:rsidRDefault="00483613">
            <w:pPr>
              <w:textAlignment w:val="bottom"/>
            </w:pPr>
            <w:r>
              <w:rPr>
                <w:rFonts w:ascii="Arial" w:eastAsia="宋体" w:hAnsi="Arial" w:cs="Arial"/>
                <w:color w:val="000000"/>
                <w:sz w:val="15"/>
                <w:szCs w:val="15"/>
              </w:rPr>
              <w:t>      Lending related and other fees</w:t>
            </w:r>
          </w:p>
        </w:tc>
        <w:tc>
          <w:tcPr>
            <w:tcW w:w="0" w:type="auto"/>
            <w:gridSpan w:val="2"/>
            <w:shd w:val="clear" w:color="auto" w:fill="FFFFFF"/>
            <w:tcMar>
              <w:top w:w="40" w:type="dxa"/>
              <w:left w:w="20" w:type="dxa"/>
              <w:bottom w:w="40" w:type="dxa"/>
              <w:right w:w="0" w:type="dxa"/>
            </w:tcMar>
            <w:vAlign w:val="bottom"/>
          </w:tcPr>
          <w:p w14:paraId="392BEBD6" w14:textId="77777777" w:rsidR="00980E5F" w:rsidRDefault="00483613">
            <w:pPr>
              <w:jc w:val="right"/>
              <w:textAlignment w:val="bottom"/>
            </w:pPr>
            <w:r>
              <w:rPr>
                <w:rFonts w:ascii="Arial" w:eastAsia="宋体" w:hAnsi="Arial" w:cs="Arial"/>
                <w:b/>
                <w:bCs/>
                <w:color w:val="000000"/>
                <w:sz w:val="15"/>
                <w:szCs w:val="15"/>
              </w:rPr>
              <w:t>125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BD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D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D9" w14:textId="77777777" w:rsidR="00980E5F" w:rsidRDefault="00483613">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392BEBDA" w14:textId="77777777" w:rsidR="00980E5F" w:rsidRDefault="00980E5F">
            <w:pPr>
              <w:jc w:val="right"/>
              <w:rPr>
                <w:rFonts w:ascii="宋体"/>
              </w:rPr>
            </w:pPr>
          </w:p>
        </w:tc>
        <w:tc>
          <w:tcPr>
            <w:tcW w:w="0" w:type="auto"/>
            <w:shd w:val="clear" w:color="auto" w:fill="auto"/>
            <w:vAlign w:val="bottom"/>
          </w:tcPr>
          <w:p w14:paraId="392BEBDB" w14:textId="77777777" w:rsidR="00980E5F" w:rsidRDefault="00980E5F">
            <w:pPr>
              <w:rPr>
                <w:rFonts w:ascii="宋体"/>
                <w:vanish/>
              </w:rPr>
            </w:pPr>
          </w:p>
        </w:tc>
        <w:tc>
          <w:tcPr>
            <w:tcW w:w="0" w:type="auto"/>
            <w:shd w:val="clear" w:color="auto" w:fill="auto"/>
            <w:vAlign w:val="bottom"/>
          </w:tcPr>
          <w:p w14:paraId="392BEBDC"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DE"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BEBDF" w14:textId="77777777" w:rsidR="00980E5F" w:rsidRDefault="00980E5F">
            <w:pPr>
              <w:jc w:val="right"/>
              <w:rPr>
                <w:rFonts w:ascii="宋体"/>
              </w:rPr>
            </w:pPr>
          </w:p>
        </w:tc>
        <w:tc>
          <w:tcPr>
            <w:tcW w:w="0" w:type="auto"/>
            <w:gridSpan w:val="3"/>
            <w:shd w:val="clear" w:color="auto" w:fill="auto"/>
            <w:vAlign w:val="bottom"/>
          </w:tcPr>
          <w:p w14:paraId="392BEBE0" w14:textId="77777777" w:rsidR="00980E5F" w:rsidRDefault="00980E5F">
            <w:pPr>
              <w:rPr>
                <w:rFonts w:ascii="宋体"/>
                <w:vanish/>
              </w:rPr>
            </w:pPr>
          </w:p>
        </w:tc>
        <w:tc>
          <w:tcPr>
            <w:tcW w:w="0" w:type="auto"/>
            <w:gridSpan w:val="3"/>
            <w:shd w:val="clear" w:color="auto" w:fill="auto"/>
            <w:vAlign w:val="bottom"/>
          </w:tcPr>
          <w:p w14:paraId="392BEBE1" w14:textId="77777777" w:rsidR="00980E5F" w:rsidRDefault="00980E5F">
            <w:pPr>
              <w:rPr>
                <w:rFonts w:ascii="宋体"/>
                <w:vanish/>
              </w:rPr>
            </w:pPr>
          </w:p>
        </w:tc>
        <w:tc>
          <w:tcPr>
            <w:tcW w:w="0" w:type="auto"/>
            <w:gridSpan w:val="3"/>
            <w:shd w:val="clear" w:color="auto" w:fill="auto"/>
            <w:vAlign w:val="bottom"/>
          </w:tcPr>
          <w:p w14:paraId="392BEBE2" w14:textId="77777777" w:rsidR="00980E5F" w:rsidRDefault="00980E5F">
            <w:pPr>
              <w:rPr>
                <w:rFonts w:ascii="宋体"/>
                <w:vanish/>
              </w:rPr>
            </w:pPr>
          </w:p>
        </w:tc>
      </w:tr>
      <w:tr w:rsidR="00980E5F" w14:paraId="392BEBF2" w14:textId="77777777">
        <w:tc>
          <w:tcPr>
            <w:tcW w:w="0" w:type="auto"/>
            <w:gridSpan w:val="3"/>
            <w:shd w:val="clear" w:color="auto" w:fill="CCEEFF"/>
            <w:tcMar>
              <w:top w:w="40" w:type="dxa"/>
              <w:left w:w="20" w:type="dxa"/>
              <w:bottom w:w="40" w:type="dxa"/>
              <w:right w:w="20" w:type="dxa"/>
            </w:tcMar>
            <w:vAlign w:val="bottom"/>
          </w:tcPr>
          <w:p w14:paraId="392BEBE4" w14:textId="77777777" w:rsidR="00980E5F" w:rsidRDefault="00483613">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E5" w14:textId="77777777" w:rsidR="00980E5F" w:rsidRDefault="00483613">
            <w:pPr>
              <w:jc w:val="right"/>
              <w:textAlignment w:val="bottom"/>
            </w:pPr>
            <w:r>
              <w:rPr>
                <w:rFonts w:ascii="Arial" w:eastAsia="宋体" w:hAnsi="Arial" w:cs="Arial"/>
                <w:b/>
                <w:bCs/>
                <w:color w:val="000000"/>
                <w:sz w:val="15"/>
                <w:szCs w:val="15"/>
              </w:rPr>
              <w:t>389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BE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BE8" w14:textId="77777777" w:rsidR="00980E5F" w:rsidRDefault="00483613">
            <w:pPr>
              <w:jc w:val="right"/>
              <w:textAlignment w:val="bottom"/>
            </w:pPr>
            <w:r>
              <w:rPr>
                <w:rFonts w:ascii="Arial" w:eastAsia="宋体" w:hAnsi="Arial" w:cs="Arial"/>
                <w:color w:val="000000"/>
                <w:sz w:val="15"/>
                <w:szCs w:val="15"/>
              </w:rPr>
              <w:t>371 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BE9" w14:textId="77777777" w:rsidR="00980E5F" w:rsidRDefault="00980E5F">
            <w:pPr>
              <w:jc w:val="right"/>
              <w:rPr>
                <w:rFonts w:ascii="宋体"/>
              </w:rPr>
            </w:pPr>
          </w:p>
        </w:tc>
        <w:tc>
          <w:tcPr>
            <w:tcW w:w="0" w:type="auto"/>
            <w:shd w:val="clear" w:color="auto" w:fill="auto"/>
            <w:vAlign w:val="bottom"/>
          </w:tcPr>
          <w:p w14:paraId="392BEBEA" w14:textId="77777777" w:rsidR="00980E5F" w:rsidRDefault="00980E5F">
            <w:pPr>
              <w:rPr>
                <w:rFonts w:ascii="宋体"/>
                <w:vanish/>
              </w:rPr>
            </w:pPr>
          </w:p>
        </w:tc>
        <w:tc>
          <w:tcPr>
            <w:tcW w:w="0" w:type="auto"/>
            <w:shd w:val="clear" w:color="auto" w:fill="auto"/>
            <w:vAlign w:val="bottom"/>
          </w:tcPr>
          <w:p w14:paraId="392BEBE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BE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BED" w14:textId="77777777" w:rsidR="00980E5F" w:rsidRDefault="00483613">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92BEBEE" w14:textId="77777777" w:rsidR="00980E5F" w:rsidRDefault="00980E5F">
            <w:pPr>
              <w:jc w:val="right"/>
              <w:rPr>
                <w:rFonts w:ascii="宋体"/>
              </w:rPr>
            </w:pPr>
          </w:p>
        </w:tc>
        <w:tc>
          <w:tcPr>
            <w:tcW w:w="0" w:type="auto"/>
            <w:gridSpan w:val="3"/>
            <w:shd w:val="clear" w:color="auto" w:fill="auto"/>
            <w:vAlign w:val="bottom"/>
          </w:tcPr>
          <w:p w14:paraId="392BEBEF" w14:textId="77777777" w:rsidR="00980E5F" w:rsidRDefault="00980E5F">
            <w:pPr>
              <w:rPr>
                <w:rFonts w:ascii="宋体"/>
                <w:vanish/>
              </w:rPr>
            </w:pPr>
          </w:p>
        </w:tc>
        <w:tc>
          <w:tcPr>
            <w:tcW w:w="0" w:type="auto"/>
            <w:gridSpan w:val="3"/>
            <w:shd w:val="clear" w:color="auto" w:fill="auto"/>
            <w:vAlign w:val="bottom"/>
          </w:tcPr>
          <w:p w14:paraId="392BEBF0" w14:textId="77777777" w:rsidR="00980E5F" w:rsidRDefault="00980E5F">
            <w:pPr>
              <w:rPr>
                <w:rFonts w:ascii="宋体"/>
                <w:vanish/>
              </w:rPr>
            </w:pPr>
          </w:p>
        </w:tc>
        <w:tc>
          <w:tcPr>
            <w:tcW w:w="0" w:type="auto"/>
            <w:gridSpan w:val="3"/>
            <w:shd w:val="clear" w:color="auto" w:fill="auto"/>
            <w:vAlign w:val="bottom"/>
          </w:tcPr>
          <w:p w14:paraId="392BEBF1" w14:textId="77777777" w:rsidR="00980E5F" w:rsidRDefault="00980E5F">
            <w:pPr>
              <w:rPr>
                <w:rFonts w:ascii="宋体"/>
                <w:vanish/>
              </w:rPr>
            </w:pPr>
          </w:p>
        </w:tc>
      </w:tr>
      <w:tr w:rsidR="00980E5F" w14:paraId="392BEC00" w14:textId="77777777">
        <w:tc>
          <w:tcPr>
            <w:tcW w:w="0" w:type="auto"/>
            <w:gridSpan w:val="3"/>
            <w:shd w:val="clear" w:color="auto" w:fill="FFFFFF"/>
            <w:tcMar>
              <w:top w:w="40" w:type="dxa"/>
              <w:left w:w="20" w:type="dxa"/>
              <w:bottom w:w="40" w:type="dxa"/>
              <w:right w:w="20" w:type="dxa"/>
            </w:tcMar>
          </w:tcPr>
          <w:p w14:paraId="392BEBF3" w14:textId="77777777" w:rsidR="00980E5F" w:rsidRDefault="00483613">
            <w:pPr>
              <w:textAlignment w:val="top"/>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BEBF4" w14:textId="77777777" w:rsidR="00980E5F" w:rsidRDefault="00483613">
            <w:pPr>
              <w:jc w:val="right"/>
              <w:textAlignment w:val="bottom"/>
            </w:pPr>
            <w:r>
              <w:rPr>
                <w:rFonts w:ascii="Arial" w:eastAsia="宋体" w:hAnsi="Arial" w:cs="Arial"/>
                <w:b/>
                <w:bCs/>
                <w:color w:val="000000"/>
                <w:sz w:val="15"/>
                <w:szCs w:val="15"/>
              </w:rPr>
              <w:t>(14)</w:t>
            </w:r>
          </w:p>
        </w:tc>
        <w:tc>
          <w:tcPr>
            <w:tcW w:w="0" w:type="auto"/>
            <w:shd w:val="clear" w:color="auto" w:fill="FFFFFF"/>
            <w:tcMar>
              <w:top w:w="40" w:type="dxa"/>
              <w:left w:w="0" w:type="dxa"/>
              <w:bottom w:w="40" w:type="dxa"/>
              <w:right w:w="20" w:type="dxa"/>
            </w:tcMar>
            <w:vAlign w:val="bottom"/>
          </w:tcPr>
          <w:p w14:paraId="392BEBF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BF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BF7" w14:textId="77777777" w:rsidR="00980E5F" w:rsidRDefault="00483613">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392BEBF8" w14:textId="77777777" w:rsidR="00980E5F" w:rsidRDefault="00980E5F">
            <w:pPr>
              <w:jc w:val="right"/>
              <w:rPr>
                <w:rFonts w:ascii="宋体"/>
              </w:rPr>
            </w:pPr>
          </w:p>
        </w:tc>
        <w:tc>
          <w:tcPr>
            <w:tcW w:w="0" w:type="auto"/>
            <w:shd w:val="clear" w:color="auto" w:fill="auto"/>
            <w:vAlign w:val="bottom"/>
          </w:tcPr>
          <w:p w14:paraId="392BEBF9" w14:textId="77777777" w:rsidR="00980E5F" w:rsidRDefault="00980E5F">
            <w:pPr>
              <w:rPr>
                <w:rFonts w:ascii="宋体"/>
                <w:vanish/>
              </w:rPr>
            </w:pPr>
          </w:p>
        </w:tc>
        <w:tc>
          <w:tcPr>
            <w:tcW w:w="0" w:type="auto"/>
            <w:shd w:val="clear" w:color="auto" w:fill="auto"/>
            <w:vAlign w:val="bottom"/>
          </w:tcPr>
          <w:p w14:paraId="392BEBFA"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BFB"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BFC"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BFD" w14:textId="77777777" w:rsidR="00980E5F" w:rsidRDefault="00980E5F">
            <w:pPr>
              <w:rPr>
                <w:rFonts w:ascii="宋体"/>
                <w:vanish/>
              </w:rPr>
            </w:pPr>
          </w:p>
        </w:tc>
        <w:tc>
          <w:tcPr>
            <w:tcW w:w="0" w:type="auto"/>
            <w:gridSpan w:val="3"/>
            <w:shd w:val="clear" w:color="auto" w:fill="auto"/>
            <w:vAlign w:val="bottom"/>
          </w:tcPr>
          <w:p w14:paraId="392BEBFE" w14:textId="77777777" w:rsidR="00980E5F" w:rsidRDefault="00980E5F">
            <w:pPr>
              <w:rPr>
                <w:rFonts w:ascii="宋体"/>
                <w:vanish/>
              </w:rPr>
            </w:pPr>
          </w:p>
        </w:tc>
        <w:tc>
          <w:tcPr>
            <w:tcW w:w="0" w:type="auto"/>
            <w:gridSpan w:val="3"/>
            <w:shd w:val="clear" w:color="auto" w:fill="auto"/>
            <w:vAlign w:val="bottom"/>
          </w:tcPr>
          <w:p w14:paraId="392BEBFF" w14:textId="77777777" w:rsidR="00980E5F" w:rsidRDefault="00980E5F">
            <w:pPr>
              <w:rPr>
                <w:rFonts w:ascii="宋体"/>
                <w:vanish/>
              </w:rPr>
            </w:pPr>
          </w:p>
        </w:tc>
      </w:tr>
      <w:tr w:rsidR="00980E5F" w14:paraId="392BEC0F" w14:textId="77777777">
        <w:tc>
          <w:tcPr>
            <w:tcW w:w="0" w:type="auto"/>
            <w:gridSpan w:val="3"/>
            <w:shd w:val="clear" w:color="auto" w:fill="CCEEFF"/>
            <w:tcMar>
              <w:top w:w="40" w:type="dxa"/>
              <w:left w:w="20" w:type="dxa"/>
              <w:bottom w:w="40" w:type="dxa"/>
              <w:right w:w="20" w:type="dxa"/>
            </w:tcMar>
            <w:vAlign w:val="bottom"/>
          </w:tcPr>
          <w:p w14:paraId="392BEC01" w14:textId="77777777" w:rsidR="00980E5F" w:rsidRDefault="00483613">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02" w14:textId="77777777" w:rsidR="00980E5F" w:rsidRDefault="00483613">
            <w:pPr>
              <w:jc w:val="right"/>
              <w:textAlignment w:val="bottom"/>
            </w:pPr>
            <w:r>
              <w:rPr>
                <w:rFonts w:ascii="Arial" w:eastAsia="宋体" w:hAnsi="Arial" w:cs="Arial"/>
                <w:b/>
                <w:bCs/>
                <w:color w:val="000000"/>
                <w:sz w:val="15"/>
                <w:szCs w:val="15"/>
              </w:rPr>
              <w:t>4,943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C0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05" w14:textId="77777777" w:rsidR="00980E5F" w:rsidRDefault="00483613">
            <w:pPr>
              <w:jc w:val="right"/>
              <w:textAlignment w:val="bottom"/>
            </w:pPr>
            <w:r>
              <w:rPr>
                <w:rFonts w:ascii="Arial" w:eastAsia="宋体" w:hAnsi="Arial" w:cs="Arial"/>
                <w:color w:val="000000"/>
                <w:sz w:val="15"/>
                <w:szCs w:val="15"/>
              </w:rPr>
              <w:t>4,997 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06" w14:textId="77777777" w:rsidR="00980E5F" w:rsidRDefault="00980E5F">
            <w:pPr>
              <w:jc w:val="right"/>
              <w:rPr>
                <w:rFonts w:ascii="宋体"/>
              </w:rPr>
            </w:pPr>
          </w:p>
        </w:tc>
        <w:tc>
          <w:tcPr>
            <w:tcW w:w="0" w:type="auto"/>
            <w:shd w:val="clear" w:color="auto" w:fill="auto"/>
            <w:vAlign w:val="bottom"/>
          </w:tcPr>
          <w:p w14:paraId="392BEC07" w14:textId="77777777" w:rsidR="00980E5F" w:rsidRDefault="00980E5F">
            <w:pPr>
              <w:rPr>
                <w:rFonts w:ascii="宋体"/>
                <w:vanish/>
              </w:rPr>
            </w:pPr>
          </w:p>
        </w:tc>
        <w:tc>
          <w:tcPr>
            <w:tcW w:w="0" w:type="auto"/>
            <w:shd w:val="clear" w:color="auto" w:fill="auto"/>
            <w:vAlign w:val="bottom"/>
          </w:tcPr>
          <w:p w14:paraId="392BEC0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C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C0A"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EC0B" w14:textId="77777777" w:rsidR="00980E5F" w:rsidRDefault="00980E5F">
            <w:pPr>
              <w:jc w:val="right"/>
              <w:rPr>
                <w:rFonts w:ascii="宋体"/>
              </w:rPr>
            </w:pPr>
          </w:p>
        </w:tc>
        <w:tc>
          <w:tcPr>
            <w:tcW w:w="0" w:type="auto"/>
            <w:gridSpan w:val="3"/>
            <w:shd w:val="clear" w:color="auto" w:fill="auto"/>
            <w:vAlign w:val="bottom"/>
          </w:tcPr>
          <w:p w14:paraId="392BEC0C" w14:textId="77777777" w:rsidR="00980E5F" w:rsidRDefault="00980E5F">
            <w:pPr>
              <w:rPr>
                <w:rFonts w:ascii="宋体"/>
                <w:vanish/>
              </w:rPr>
            </w:pPr>
          </w:p>
        </w:tc>
        <w:tc>
          <w:tcPr>
            <w:tcW w:w="0" w:type="auto"/>
            <w:gridSpan w:val="3"/>
            <w:shd w:val="clear" w:color="auto" w:fill="auto"/>
            <w:vAlign w:val="bottom"/>
          </w:tcPr>
          <w:p w14:paraId="392BEC0D" w14:textId="77777777" w:rsidR="00980E5F" w:rsidRDefault="00980E5F">
            <w:pPr>
              <w:rPr>
                <w:rFonts w:ascii="宋体"/>
                <w:vanish/>
              </w:rPr>
            </w:pPr>
          </w:p>
        </w:tc>
        <w:tc>
          <w:tcPr>
            <w:tcW w:w="0" w:type="auto"/>
            <w:gridSpan w:val="3"/>
            <w:shd w:val="clear" w:color="auto" w:fill="auto"/>
            <w:vAlign w:val="bottom"/>
          </w:tcPr>
          <w:p w14:paraId="392BEC0E" w14:textId="77777777" w:rsidR="00980E5F" w:rsidRDefault="00980E5F">
            <w:pPr>
              <w:rPr>
                <w:rFonts w:ascii="宋体"/>
                <w:vanish/>
              </w:rPr>
            </w:pPr>
          </w:p>
        </w:tc>
      </w:tr>
      <w:tr w:rsidR="00980E5F" w14:paraId="392BEC1B" w14:textId="77777777">
        <w:tc>
          <w:tcPr>
            <w:tcW w:w="0" w:type="auto"/>
            <w:gridSpan w:val="3"/>
            <w:shd w:val="clear" w:color="auto" w:fill="FFFFFF"/>
            <w:tcMar>
              <w:top w:w="40" w:type="dxa"/>
              <w:left w:w="20" w:type="dxa"/>
              <w:bottom w:w="40" w:type="dxa"/>
              <w:right w:w="20" w:type="dxa"/>
            </w:tcMar>
            <w:vAlign w:val="bottom"/>
          </w:tcPr>
          <w:p w14:paraId="392BEC10" w14:textId="77777777" w:rsidR="00980E5F" w:rsidRDefault="00483613">
            <w:pPr>
              <w:textAlignment w:val="bottom"/>
            </w:pPr>
            <w:r>
              <w:rPr>
                <w:rFonts w:ascii="Arial" w:eastAsia="宋体" w:hAnsi="Arial" w:cs="Arial"/>
                <w:color w:val="000000"/>
                <w:sz w:val="15"/>
                <w:szCs w:val="15"/>
              </w:rPr>
              <w:t>Net interest income:</w:t>
            </w:r>
          </w:p>
        </w:tc>
        <w:tc>
          <w:tcPr>
            <w:tcW w:w="0" w:type="auto"/>
            <w:gridSpan w:val="3"/>
            <w:shd w:val="clear" w:color="auto" w:fill="FFFFFF"/>
            <w:tcMar>
              <w:top w:w="0" w:type="dxa"/>
              <w:left w:w="20" w:type="dxa"/>
              <w:bottom w:w="0" w:type="dxa"/>
              <w:right w:w="20" w:type="dxa"/>
            </w:tcMar>
            <w:vAlign w:val="bottom"/>
          </w:tcPr>
          <w:p w14:paraId="392BEC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13" w14:textId="77777777" w:rsidR="00980E5F" w:rsidRDefault="00980E5F">
            <w:pPr>
              <w:rPr>
                <w:rFonts w:ascii="宋体"/>
              </w:rPr>
            </w:pPr>
          </w:p>
        </w:tc>
        <w:tc>
          <w:tcPr>
            <w:tcW w:w="0" w:type="auto"/>
            <w:shd w:val="clear" w:color="auto" w:fill="auto"/>
            <w:vAlign w:val="bottom"/>
          </w:tcPr>
          <w:p w14:paraId="392BEC14" w14:textId="77777777" w:rsidR="00980E5F" w:rsidRDefault="00980E5F">
            <w:pPr>
              <w:rPr>
                <w:rFonts w:ascii="宋体"/>
                <w:vanish/>
              </w:rPr>
            </w:pPr>
          </w:p>
        </w:tc>
        <w:tc>
          <w:tcPr>
            <w:tcW w:w="0" w:type="auto"/>
            <w:shd w:val="clear" w:color="auto" w:fill="auto"/>
            <w:vAlign w:val="bottom"/>
          </w:tcPr>
          <w:p w14:paraId="392BEC15"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C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17" w14:textId="77777777" w:rsidR="00980E5F" w:rsidRDefault="00980E5F">
            <w:pPr>
              <w:rPr>
                <w:rFonts w:ascii="宋体"/>
              </w:rPr>
            </w:pPr>
          </w:p>
        </w:tc>
        <w:tc>
          <w:tcPr>
            <w:tcW w:w="0" w:type="auto"/>
            <w:gridSpan w:val="3"/>
            <w:shd w:val="clear" w:color="auto" w:fill="auto"/>
            <w:vAlign w:val="bottom"/>
          </w:tcPr>
          <w:p w14:paraId="392BEC18" w14:textId="77777777" w:rsidR="00980E5F" w:rsidRDefault="00980E5F">
            <w:pPr>
              <w:rPr>
                <w:rFonts w:ascii="宋体"/>
                <w:vanish/>
              </w:rPr>
            </w:pPr>
          </w:p>
        </w:tc>
        <w:tc>
          <w:tcPr>
            <w:tcW w:w="0" w:type="auto"/>
            <w:gridSpan w:val="3"/>
            <w:shd w:val="clear" w:color="auto" w:fill="auto"/>
            <w:vAlign w:val="bottom"/>
          </w:tcPr>
          <w:p w14:paraId="392BEC19" w14:textId="77777777" w:rsidR="00980E5F" w:rsidRDefault="00980E5F">
            <w:pPr>
              <w:rPr>
                <w:rFonts w:ascii="宋体"/>
                <w:vanish/>
              </w:rPr>
            </w:pPr>
          </w:p>
        </w:tc>
        <w:tc>
          <w:tcPr>
            <w:tcW w:w="0" w:type="auto"/>
            <w:gridSpan w:val="3"/>
            <w:shd w:val="clear" w:color="auto" w:fill="auto"/>
            <w:vAlign w:val="bottom"/>
          </w:tcPr>
          <w:p w14:paraId="392BEC1A" w14:textId="77777777" w:rsidR="00980E5F" w:rsidRDefault="00980E5F">
            <w:pPr>
              <w:rPr>
                <w:rFonts w:ascii="宋体"/>
                <w:vanish/>
              </w:rPr>
            </w:pPr>
          </w:p>
        </w:tc>
      </w:tr>
      <w:tr w:rsidR="00980E5F" w14:paraId="392BEC2A" w14:textId="77777777">
        <w:tc>
          <w:tcPr>
            <w:tcW w:w="0" w:type="auto"/>
            <w:gridSpan w:val="3"/>
            <w:shd w:val="clear" w:color="auto" w:fill="CCEEFF"/>
            <w:tcMar>
              <w:top w:w="40" w:type="dxa"/>
              <w:left w:w="140" w:type="dxa"/>
              <w:bottom w:w="40" w:type="dxa"/>
              <w:right w:w="20" w:type="dxa"/>
            </w:tcMar>
            <w:vAlign w:val="bottom"/>
          </w:tcPr>
          <w:p w14:paraId="392BEC1C" w14:textId="77777777" w:rsidR="00980E5F" w:rsidRDefault="00483613">
            <w:pPr>
              <w:textAlignment w:val="bottom"/>
            </w:pPr>
            <w:r>
              <w:rPr>
                <w:rFonts w:ascii="Arial" w:eastAsia="宋体" w:hAnsi="Arial" w:cs="Arial"/>
                <w:color w:val="000000"/>
                <w:sz w:val="15"/>
                <w:szCs w:val="15"/>
              </w:rPr>
              <w:t>Interest income</w:t>
            </w:r>
          </w:p>
        </w:tc>
        <w:tc>
          <w:tcPr>
            <w:tcW w:w="0" w:type="auto"/>
            <w:gridSpan w:val="2"/>
            <w:shd w:val="clear" w:color="auto" w:fill="CCEEFF"/>
            <w:tcMar>
              <w:top w:w="40" w:type="dxa"/>
              <w:left w:w="20" w:type="dxa"/>
              <w:bottom w:w="40" w:type="dxa"/>
              <w:right w:w="0" w:type="dxa"/>
            </w:tcMar>
            <w:vAlign w:val="bottom"/>
          </w:tcPr>
          <w:p w14:paraId="392BEC1D" w14:textId="77777777" w:rsidR="00980E5F" w:rsidRDefault="00483613">
            <w:pPr>
              <w:jc w:val="right"/>
              <w:textAlignment w:val="bottom"/>
            </w:pPr>
            <w:r>
              <w:rPr>
                <w:rFonts w:ascii="Arial" w:eastAsia="宋体" w:hAnsi="Arial" w:cs="Arial"/>
                <w:b/>
                <w:bCs/>
                <w:color w:val="000000"/>
                <w:sz w:val="15"/>
                <w:szCs w:val="15"/>
              </w:rPr>
              <w:t>1,225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C1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C1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C20" w14:textId="77777777" w:rsidR="00980E5F" w:rsidRDefault="00483613">
            <w:pPr>
              <w:jc w:val="right"/>
              <w:textAlignment w:val="bottom"/>
            </w:pPr>
            <w:r>
              <w:rPr>
                <w:rFonts w:ascii="Arial" w:eastAsia="宋体" w:hAnsi="Arial" w:cs="Arial"/>
                <w:color w:val="000000"/>
                <w:sz w:val="15"/>
                <w:szCs w:val="15"/>
              </w:rPr>
              <w:t>938 </w:t>
            </w:r>
          </w:p>
        </w:tc>
        <w:tc>
          <w:tcPr>
            <w:tcW w:w="0" w:type="auto"/>
            <w:shd w:val="clear" w:color="auto" w:fill="CCEEFF"/>
            <w:tcMar>
              <w:top w:w="40" w:type="dxa"/>
              <w:left w:w="0" w:type="dxa"/>
              <w:bottom w:w="40" w:type="dxa"/>
              <w:right w:w="20" w:type="dxa"/>
            </w:tcMar>
            <w:vAlign w:val="bottom"/>
          </w:tcPr>
          <w:p w14:paraId="392BEC21" w14:textId="77777777" w:rsidR="00980E5F" w:rsidRDefault="00980E5F">
            <w:pPr>
              <w:jc w:val="right"/>
              <w:rPr>
                <w:rFonts w:ascii="宋体"/>
              </w:rPr>
            </w:pPr>
          </w:p>
        </w:tc>
        <w:tc>
          <w:tcPr>
            <w:tcW w:w="0" w:type="auto"/>
            <w:shd w:val="clear" w:color="auto" w:fill="auto"/>
            <w:vAlign w:val="bottom"/>
          </w:tcPr>
          <w:p w14:paraId="392BEC22" w14:textId="77777777" w:rsidR="00980E5F" w:rsidRDefault="00980E5F">
            <w:pPr>
              <w:rPr>
                <w:rFonts w:ascii="宋体"/>
                <w:vanish/>
              </w:rPr>
            </w:pPr>
          </w:p>
        </w:tc>
        <w:tc>
          <w:tcPr>
            <w:tcW w:w="0" w:type="auto"/>
            <w:shd w:val="clear" w:color="auto" w:fill="auto"/>
            <w:vAlign w:val="bottom"/>
          </w:tcPr>
          <w:p w14:paraId="392BEC2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C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C25" w14:textId="77777777" w:rsidR="00980E5F" w:rsidRDefault="00483613">
            <w:pPr>
              <w:jc w:val="right"/>
              <w:textAlignment w:val="bottom"/>
            </w:pPr>
            <w:r>
              <w:rPr>
                <w:rFonts w:ascii="Arial" w:eastAsia="宋体" w:hAnsi="Arial" w:cs="Arial"/>
                <w:color w:val="000000"/>
                <w:sz w:val="15"/>
                <w:szCs w:val="15"/>
              </w:rPr>
              <w:t>31 </w:t>
            </w:r>
          </w:p>
        </w:tc>
        <w:tc>
          <w:tcPr>
            <w:tcW w:w="0" w:type="auto"/>
            <w:shd w:val="clear" w:color="auto" w:fill="CCEEFF"/>
            <w:tcMar>
              <w:top w:w="40" w:type="dxa"/>
              <w:left w:w="0" w:type="dxa"/>
              <w:bottom w:w="40" w:type="dxa"/>
              <w:right w:w="20" w:type="dxa"/>
            </w:tcMar>
            <w:vAlign w:val="bottom"/>
          </w:tcPr>
          <w:p w14:paraId="392BEC26" w14:textId="77777777" w:rsidR="00980E5F" w:rsidRDefault="00980E5F">
            <w:pPr>
              <w:jc w:val="right"/>
              <w:rPr>
                <w:rFonts w:ascii="宋体"/>
              </w:rPr>
            </w:pPr>
          </w:p>
        </w:tc>
        <w:tc>
          <w:tcPr>
            <w:tcW w:w="0" w:type="auto"/>
            <w:gridSpan w:val="3"/>
            <w:shd w:val="clear" w:color="auto" w:fill="auto"/>
            <w:vAlign w:val="bottom"/>
          </w:tcPr>
          <w:p w14:paraId="392BEC27" w14:textId="77777777" w:rsidR="00980E5F" w:rsidRDefault="00980E5F">
            <w:pPr>
              <w:rPr>
                <w:rFonts w:ascii="宋体"/>
                <w:vanish/>
              </w:rPr>
            </w:pPr>
          </w:p>
        </w:tc>
        <w:tc>
          <w:tcPr>
            <w:tcW w:w="0" w:type="auto"/>
            <w:gridSpan w:val="3"/>
            <w:shd w:val="clear" w:color="auto" w:fill="auto"/>
            <w:vAlign w:val="bottom"/>
          </w:tcPr>
          <w:p w14:paraId="392BEC28" w14:textId="77777777" w:rsidR="00980E5F" w:rsidRDefault="00980E5F">
            <w:pPr>
              <w:rPr>
                <w:rFonts w:ascii="宋体"/>
                <w:vanish/>
              </w:rPr>
            </w:pPr>
          </w:p>
        </w:tc>
        <w:tc>
          <w:tcPr>
            <w:tcW w:w="0" w:type="auto"/>
            <w:gridSpan w:val="3"/>
            <w:shd w:val="clear" w:color="auto" w:fill="auto"/>
            <w:vAlign w:val="bottom"/>
          </w:tcPr>
          <w:p w14:paraId="392BEC29" w14:textId="77777777" w:rsidR="00980E5F" w:rsidRDefault="00980E5F">
            <w:pPr>
              <w:rPr>
                <w:rFonts w:ascii="宋体"/>
                <w:vanish/>
              </w:rPr>
            </w:pPr>
          </w:p>
        </w:tc>
      </w:tr>
      <w:tr w:rsidR="00980E5F" w14:paraId="392BEC38" w14:textId="77777777">
        <w:tc>
          <w:tcPr>
            <w:tcW w:w="0" w:type="auto"/>
            <w:gridSpan w:val="3"/>
            <w:shd w:val="clear" w:color="auto" w:fill="FFFFFF"/>
            <w:tcMar>
              <w:top w:w="40" w:type="dxa"/>
              <w:left w:w="140" w:type="dxa"/>
              <w:bottom w:w="40" w:type="dxa"/>
              <w:right w:w="20" w:type="dxa"/>
            </w:tcMar>
            <w:vAlign w:val="bottom"/>
          </w:tcPr>
          <w:p w14:paraId="392BEC2B" w14:textId="77777777" w:rsidR="00980E5F" w:rsidRDefault="00483613">
            <w:pPr>
              <w:textAlignment w:val="bottom"/>
            </w:pPr>
            <w:r>
              <w:rPr>
                <w:rFonts w:ascii="Arial" w:eastAsia="宋体" w:hAnsi="Arial" w:cs="Arial"/>
                <w:color w:val="000000"/>
                <w:sz w:val="15"/>
                <w:szCs w:val="15"/>
              </w:rPr>
              <w:t>Interest expense</w:t>
            </w:r>
          </w:p>
        </w:tc>
        <w:tc>
          <w:tcPr>
            <w:tcW w:w="0" w:type="auto"/>
            <w:gridSpan w:val="2"/>
            <w:shd w:val="clear" w:color="auto" w:fill="FFFFFF"/>
            <w:tcMar>
              <w:top w:w="40" w:type="dxa"/>
              <w:left w:w="20" w:type="dxa"/>
              <w:bottom w:w="40" w:type="dxa"/>
              <w:right w:w="0" w:type="dxa"/>
            </w:tcMar>
            <w:vAlign w:val="bottom"/>
          </w:tcPr>
          <w:p w14:paraId="392BEC2C" w14:textId="77777777" w:rsidR="00980E5F" w:rsidRDefault="00483613">
            <w:pPr>
              <w:jc w:val="right"/>
              <w:textAlignment w:val="bottom"/>
            </w:pPr>
            <w:r>
              <w:rPr>
                <w:rFonts w:ascii="Arial" w:eastAsia="宋体" w:hAnsi="Arial" w:cs="Arial"/>
                <w:b/>
                <w:bCs/>
                <w:color w:val="000000"/>
                <w:sz w:val="15"/>
                <w:szCs w:val="15"/>
              </w:rPr>
              <w:t>132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C2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C2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C2F" w14:textId="77777777" w:rsidR="00980E5F" w:rsidRDefault="00483613">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92BEC30" w14:textId="77777777" w:rsidR="00980E5F" w:rsidRDefault="00980E5F">
            <w:pPr>
              <w:jc w:val="right"/>
              <w:rPr>
                <w:rFonts w:ascii="宋体"/>
              </w:rPr>
            </w:pPr>
          </w:p>
        </w:tc>
        <w:tc>
          <w:tcPr>
            <w:tcW w:w="0" w:type="auto"/>
            <w:shd w:val="clear" w:color="auto" w:fill="auto"/>
            <w:vAlign w:val="bottom"/>
          </w:tcPr>
          <w:p w14:paraId="392BEC31" w14:textId="77777777" w:rsidR="00980E5F" w:rsidRDefault="00980E5F">
            <w:pPr>
              <w:rPr>
                <w:rFonts w:ascii="宋体"/>
                <w:vanish/>
              </w:rPr>
            </w:pPr>
          </w:p>
        </w:tc>
        <w:tc>
          <w:tcPr>
            <w:tcW w:w="0" w:type="auto"/>
            <w:shd w:val="clear" w:color="auto" w:fill="auto"/>
            <w:vAlign w:val="bottom"/>
          </w:tcPr>
          <w:p w14:paraId="392BEC3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C33"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C34"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C35" w14:textId="77777777" w:rsidR="00980E5F" w:rsidRDefault="00980E5F">
            <w:pPr>
              <w:rPr>
                <w:rFonts w:ascii="宋体"/>
                <w:vanish/>
              </w:rPr>
            </w:pPr>
          </w:p>
        </w:tc>
        <w:tc>
          <w:tcPr>
            <w:tcW w:w="0" w:type="auto"/>
            <w:gridSpan w:val="3"/>
            <w:shd w:val="clear" w:color="auto" w:fill="auto"/>
            <w:vAlign w:val="bottom"/>
          </w:tcPr>
          <w:p w14:paraId="392BEC36" w14:textId="77777777" w:rsidR="00980E5F" w:rsidRDefault="00980E5F">
            <w:pPr>
              <w:rPr>
                <w:rFonts w:ascii="宋体"/>
                <w:vanish/>
              </w:rPr>
            </w:pPr>
          </w:p>
        </w:tc>
        <w:tc>
          <w:tcPr>
            <w:tcW w:w="0" w:type="auto"/>
            <w:gridSpan w:val="3"/>
            <w:shd w:val="clear" w:color="auto" w:fill="auto"/>
            <w:vAlign w:val="bottom"/>
          </w:tcPr>
          <w:p w14:paraId="392BEC37" w14:textId="77777777" w:rsidR="00980E5F" w:rsidRDefault="00980E5F">
            <w:pPr>
              <w:rPr>
                <w:rFonts w:ascii="宋体"/>
                <w:vanish/>
              </w:rPr>
            </w:pPr>
          </w:p>
        </w:tc>
      </w:tr>
      <w:tr w:rsidR="00980E5F" w14:paraId="392BEC47" w14:textId="77777777">
        <w:tc>
          <w:tcPr>
            <w:tcW w:w="0" w:type="auto"/>
            <w:gridSpan w:val="3"/>
            <w:shd w:val="clear" w:color="auto" w:fill="CCEEFF"/>
            <w:tcMar>
              <w:top w:w="40" w:type="dxa"/>
              <w:left w:w="20" w:type="dxa"/>
              <w:bottom w:w="40" w:type="dxa"/>
              <w:right w:w="20" w:type="dxa"/>
            </w:tcMar>
            <w:vAlign w:val="bottom"/>
          </w:tcPr>
          <w:p w14:paraId="392BEC39" w14:textId="77777777" w:rsidR="00980E5F" w:rsidRDefault="00483613">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3A" w14:textId="77777777" w:rsidR="00980E5F" w:rsidRDefault="00483613">
            <w:pPr>
              <w:jc w:val="right"/>
              <w:textAlignment w:val="bottom"/>
            </w:pPr>
            <w:r>
              <w:rPr>
                <w:rFonts w:ascii="Arial" w:eastAsia="宋体" w:hAnsi="Arial" w:cs="Arial"/>
                <w:b/>
                <w:bCs/>
                <w:color w:val="000000"/>
                <w:sz w:val="15"/>
                <w:szCs w:val="15"/>
              </w:rPr>
              <w:t>1,093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C3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3D" w14:textId="77777777" w:rsidR="00980E5F" w:rsidRDefault="00483613">
            <w:pPr>
              <w:jc w:val="right"/>
              <w:textAlignment w:val="bottom"/>
            </w:pPr>
            <w:r>
              <w:rPr>
                <w:rFonts w:ascii="Arial" w:eastAsia="宋体" w:hAnsi="Arial" w:cs="Arial"/>
                <w:color w:val="000000"/>
                <w:sz w:val="15"/>
                <w:szCs w:val="15"/>
              </w:rPr>
              <w:t>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3E" w14:textId="77777777" w:rsidR="00980E5F" w:rsidRDefault="00980E5F">
            <w:pPr>
              <w:jc w:val="right"/>
              <w:rPr>
                <w:rFonts w:ascii="宋体"/>
              </w:rPr>
            </w:pPr>
          </w:p>
        </w:tc>
        <w:tc>
          <w:tcPr>
            <w:tcW w:w="0" w:type="auto"/>
            <w:shd w:val="clear" w:color="auto" w:fill="auto"/>
            <w:vAlign w:val="bottom"/>
          </w:tcPr>
          <w:p w14:paraId="392BEC3F" w14:textId="77777777" w:rsidR="00980E5F" w:rsidRDefault="00980E5F">
            <w:pPr>
              <w:rPr>
                <w:rFonts w:ascii="宋体"/>
                <w:vanish/>
              </w:rPr>
            </w:pPr>
          </w:p>
        </w:tc>
        <w:tc>
          <w:tcPr>
            <w:tcW w:w="0" w:type="auto"/>
            <w:shd w:val="clear" w:color="auto" w:fill="auto"/>
            <w:vAlign w:val="bottom"/>
          </w:tcPr>
          <w:p w14:paraId="392BEC40"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C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C42" w14:textId="77777777" w:rsidR="00980E5F" w:rsidRDefault="00483613">
            <w:pPr>
              <w:jc w:val="right"/>
              <w:textAlignment w:val="bottom"/>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bottom"/>
          </w:tcPr>
          <w:p w14:paraId="392BEC43" w14:textId="77777777" w:rsidR="00980E5F" w:rsidRDefault="00980E5F">
            <w:pPr>
              <w:jc w:val="right"/>
              <w:rPr>
                <w:rFonts w:ascii="宋体"/>
              </w:rPr>
            </w:pPr>
          </w:p>
        </w:tc>
        <w:tc>
          <w:tcPr>
            <w:tcW w:w="0" w:type="auto"/>
            <w:gridSpan w:val="3"/>
            <w:shd w:val="clear" w:color="auto" w:fill="auto"/>
            <w:vAlign w:val="bottom"/>
          </w:tcPr>
          <w:p w14:paraId="392BEC44" w14:textId="77777777" w:rsidR="00980E5F" w:rsidRDefault="00980E5F">
            <w:pPr>
              <w:rPr>
                <w:rFonts w:ascii="宋体"/>
                <w:vanish/>
              </w:rPr>
            </w:pPr>
          </w:p>
        </w:tc>
        <w:tc>
          <w:tcPr>
            <w:tcW w:w="0" w:type="auto"/>
            <w:gridSpan w:val="3"/>
            <w:shd w:val="clear" w:color="auto" w:fill="auto"/>
            <w:vAlign w:val="bottom"/>
          </w:tcPr>
          <w:p w14:paraId="392BEC45" w14:textId="77777777" w:rsidR="00980E5F" w:rsidRDefault="00980E5F">
            <w:pPr>
              <w:rPr>
                <w:rFonts w:ascii="宋体"/>
                <w:vanish/>
              </w:rPr>
            </w:pPr>
          </w:p>
        </w:tc>
        <w:tc>
          <w:tcPr>
            <w:tcW w:w="0" w:type="auto"/>
            <w:gridSpan w:val="3"/>
            <w:shd w:val="clear" w:color="auto" w:fill="auto"/>
            <w:vAlign w:val="bottom"/>
          </w:tcPr>
          <w:p w14:paraId="392BEC46" w14:textId="77777777" w:rsidR="00980E5F" w:rsidRDefault="00980E5F">
            <w:pPr>
              <w:rPr>
                <w:rFonts w:ascii="宋体"/>
                <w:vanish/>
              </w:rPr>
            </w:pPr>
          </w:p>
        </w:tc>
      </w:tr>
      <w:tr w:rsidR="00980E5F" w14:paraId="392BEC53" w14:textId="77777777">
        <w:tc>
          <w:tcPr>
            <w:tcW w:w="0" w:type="auto"/>
            <w:gridSpan w:val="3"/>
            <w:shd w:val="clear" w:color="auto" w:fill="FFFFFF"/>
            <w:tcMar>
              <w:top w:w="40" w:type="dxa"/>
              <w:left w:w="20" w:type="dxa"/>
              <w:bottom w:w="40" w:type="dxa"/>
              <w:right w:w="20" w:type="dxa"/>
            </w:tcMar>
            <w:vAlign w:val="bottom"/>
          </w:tcPr>
          <w:p w14:paraId="392BEC48" w14:textId="77777777" w:rsidR="00980E5F" w:rsidRDefault="00483613">
            <w:pPr>
              <w:textAlignment w:val="bottom"/>
            </w:pPr>
            <w:r>
              <w:rPr>
                <w:rFonts w:ascii="Arial" w:eastAsia="宋体" w:hAnsi="Arial" w:cs="Arial"/>
                <w:color w:val="000000"/>
                <w:sz w:val="15"/>
                <w:szCs w:val="15"/>
              </w:rPr>
              <w:t>Other income:</w:t>
            </w:r>
          </w:p>
        </w:tc>
        <w:tc>
          <w:tcPr>
            <w:tcW w:w="0" w:type="auto"/>
            <w:gridSpan w:val="3"/>
            <w:shd w:val="clear" w:color="auto" w:fill="FFFFFF"/>
            <w:tcMar>
              <w:top w:w="0" w:type="dxa"/>
              <w:left w:w="20" w:type="dxa"/>
              <w:bottom w:w="0" w:type="dxa"/>
              <w:right w:w="20" w:type="dxa"/>
            </w:tcMar>
            <w:vAlign w:val="bottom"/>
          </w:tcPr>
          <w:p w14:paraId="392BEC4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4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4B" w14:textId="77777777" w:rsidR="00980E5F" w:rsidRDefault="00980E5F">
            <w:pPr>
              <w:rPr>
                <w:rFonts w:ascii="宋体"/>
              </w:rPr>
            </w:pPr>
          </w:p>
        </w:tc>
        <w:tc>
          <w:tcPr>
            <w:tcW w:w="0" w:type="auto"/>
            <w:shd w:val="clear" w:color="auto" w:fill="auto"/>
            <w:vAlign w:val="bottom"/>
          </w:tcPr>
          <w:p w14:paraId="392BEC4C" w14:textId="77777777" w:rsidR="00980E5F" w:rsidRDefault="00980E5F">
            <w:pPr>
              <w:rPr>
                <w:rFonts w:ascii="宋体"/>
                <w:vanish/>
              </w:rPr>
            </w:pPr>
          </w:p>
        </w:tc>
        <w:tc>
          <w:tcPr>
            <w:tcW w:w="0" w:type="auto"/>
            <w:shd w:val="clear" w:color="auto" w:fill="auto"/>
            <w:vAlign w:val="bottom"/>
          </w:tcPr>
          <w:p w14:paraId="392BEC4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C4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C4F" w14:textId="77777777" w:rsidR="00980E5F" w:rsidRDefault="00980E5F">
            <w:pPr>
              <w:rPr>
                <w:rFonts w:ascii="宋体"/>
              </w:rPr>
            </w:pPr>
          </w:p>
        </w:tc>
        <w:tc>
          <w:tcPr>
            <w:tcW w:w="0" w:type="auto"/>
            <w:gridSpan w:val="3"/>
            <w:shd w:val="clear" w:color="auto" w:fill="auto"/>
            <w:vAlign w:val="bottom"/>
          </w:tcPr>
          <w:p w14:paraId="392BEC50" w14:textId="77777777" w:rsidR="00980E5F" w:rsidRDefault="00980E5F">
            <w:pPr>
              <w:rPr>
                <w:rFonts w:ascii="宋体"/>
                <w:vanish/>
              </w:rPr>
            </w:pPr>
          </w:p>
        </w:tc>
        <w:tc>
          <w:tcPr>
            <w:tcW w:w="0" w:type="auto"/>
            <w:gridSpan w:val="3"/>
            <w:shd w:val="clear" w:color="auto" w:fill="auto"/>
            <w:vAlign w:val="bottom"/>
          </w:tcPr>
          <w:p w14:paraId="392BEC51" w14:textId="77777777" w:rsidR="00980E5F" w:rsidRDefault="00980E5F">
            <w:pPr>
              <w:rPr>
                <w:rFonts w:ascii="宋体"/>
                <w:vanish/>
              </w:rPr>
            </w:pPr>
          </w:p>
        </w:tc>
        <w:tc>
          <w:tcPr>
            <w:tcW w:w="0" w:type="auto"/>
            <w:gridSpan w:val="3"/>
            <w:shd w:val="clear" w:color="auto" w:fill="auto"/>
            <w:vAlign w:val="bottom"/>
          </w:tcPr>
          <w:p w14:paraId="392BEC52" w14:textId="77777777" w:rsidR="00980E5F" w:rsidRDefault="00980E5F">
            <w:pPr>
              <w:rPr>
                <w:rFonts w:ascii="宋体"/>
                <w:vanish/>
              </w:rPr>
            </w:pPr>
          </w:p>
        </w:tc>
      </w:tr>
      <w:tr w:rsidR="00980E5F" w14:paraId="392BEC61" w14:textId="77777777">
        <w:tc>
          <w:tcPr>
            <w:tcW w:w="0" w:type="auto"/>
            <w:gridSpan w:val="3"/>
            <w:shd w:val="clear" w:color="auto" w:fill="CCEEFF"/>
            <w:tcMar>
              <w:top w:w="40" w:type="dxa"/>
              <w:left w:w="140" w:type="dxa"/>
              <w:bottom w:w="40" w:type="dxa"/>
              <w:right w:w="20" w:type="dxa"/>
            </w:tcMar>
            <w:vAlign w:val="bottom"/>
          </w:tcPr>
          <w:p w14:paraId="392BEC54" w14:textId="77777777" w:rsidR="00980E5F" w:rsidRDefault="00483613">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392BEC55" w14:textId="77777777" w:rsidR="00980E5F" w:rsidRDefault="00483613">
            <w:pPr>
              <w:jc w:val="right"/>
              <w:textAlignment w:val="bottom"/>
            </w:pPr>
            <w:r>
              <w:rPr>
                <w:rFonts w:ascii="Arial" w:eastAsia="宋体" w:hAnsi="Arial" w:cs="Arial"/>
                <w:b/>
                <w:bCs/>
                <w:color w:val="000000"/>
                <w:sz w:val="15"/>
                <w:szCs w:val="15"/>
              </w:rPr>
              <w:t>(2)</w:t>
            </w:r>
          </w:p>
        </w:tc>
        <w:tc>
          <w:tcPr>
            <w:tcW w:w="0" w:type="auto"/>
            <w:shd w:val="clear" w:color="auto" w:fill="CCEEFF"/>
            <w:tcMar>
              <w:top w:w="40" w:type="dxa"/>
              <w:left w:w="0" w:type="dxa"/>
              <w:bottom w:w="40" w:type="dxa"/>
              <w:right w:w="20" w:type="dxa"/>
            </w:tcMar>
            <w:vAlign w:val="bottom"/>
          </w:tcPr>
          <w:p w14:paraId="392BEC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C5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C58"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C59" w14:textId="77777777" w:rsidR="00980E5F" w:rsidRDefault="00980E5F">
            <w:pPr>
              <w:jc w:val="right"/>
              <w:rPr>
                <w:rFonts w:ascii="宋体"/>
              </w:rPr>
            </w:pPr>
          </w:p>
        </w:tc>
        <w:tc>
          <w:tcPr>
            <w:tcW w:w="0" w:type="auto"/>
            <w:shd w:val="clear" w:color="auto" w:fill="auto"/>
            <w:vAlign w:val="bottom"/>
          </w:tcPr>
          <w:p w14:paraId="392BEC5A" w14:textId="77777777" w:rsidR="00980E5F" w:rsidRDefault="00980E5F">
            <w:pPr>
              <w:rPr>
                <w:rFonts w:ascii="宋体"/>
                <w:vanish/>
              </w:rPr>
            </w:pPr>
          </w:p>
        </w:tc>
        <w:tc>
          <w:tcPr>
            <w:tcW w:w="0" w:type="auto"/>
            <w:shd w:val="clear" w:color="auto" w:fill="auto"/>
            <w:vAlign w:val="bottom"/>
          </w:tcPr>
          <w:p w14:paraId="392BEC5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C5C"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C5D"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C5E" w14:textId="77777777" w:rsidR="00980E5F" w:rsidRDefault="00980E5F">
            <w:pPr>
              <w:rPr>
                <w:rFonts w:ascii="宋体"/>
                <w:vanish/>
              </w:rPr>
            </w:pPr>
          </w:p>
        </w:tc>
        <w:tc>
          <w:tcPr>
            <w:tcW w:w="0" w:type="auto"/>
            <w:gridSpan w:val="3"/>
            <w:shd w:val="clear" w:color="auto" w:fill="auto"/>
            <w:vAlign w:val="bottom"/>
          </w:tcPr>
          <w:p w14:paraId="392BEC5F" w14:textId="77777777" w:rsidR="00980E5F" w:rsidRDefault="00980E5F">
            <w:pPr>
              <w:rPr>
                <w:rFonts w:ascii="宋体"/>
                <w:vanish/>
              </w:rPr>
            </w:pPr>
          </w:p>
        </w:tc>
        <w:tc>
          <w:tcPr>
            <w:tcW w:w="0" w:type="auto"/>
            <w:gridSpan w:val="3"/>
            <w:shd w:val="clear" w:color="auto" w:fill="auto"/>
            <w:vAlign w:val="bottom"/>
          </w:tcPr>
          <w:p w14:paraId="392BEC60" w14:textId="77777777" w:rsidR="00980E5F" w:rsidRDefault="00980E5F">
            <w:pPr>
              <w:rPr>
                <w:rFonts w:ascii="宋体"/>
                <w:vanish/>
              </w:rPr>
            </w:pPr>
          </w:p>
        </w:tc>
      </w:tr>
      <w:tr w:rsidR="00980E5F" w14:paraId="392BEC6F" w14:textId="77777777">
        <w:tc>
          <w:tcPr>
            <w:tcW w:w="0" w:type="auto"/>
            <w:gridSpan w:val="3"/>
            <w:shd w:val="clear" w:color="auto" w:fill="FFFFFF"/>
            <w:tcMar>
              <w:top w:w="40" w:type="dxa"/>
              <w:left w:w="140" w:type="dxa"/>
              <w:bottom w:w="40" w:type="dxa"/>
              <w:right w:w="20" w:type="dxa"/>
            </w:tcMar>
            <w:vAlign w:val="bottom"/>
          </w:tcPr>
          <w:p w14:paraId="392BEC62" w14:textId="77777777" w:rsidR="00980E5F" w:rsidRDefault="00483613">
            <w:pPr>
              <w:textAlignment w:val="bottom"/>
            </w:pPr>
            <w:r>
              <w:rPr>
                <w:rFonts w:ascii="Arial" w:eastAsia="宋体" w:hAnsi="Arial" w:cs="Arial"/>
                <w:color w:val="000000"/>
                <w:sz w:val="15"/>
                <w:szCs w:val="15"/>
              </w:rPr>
              <w:t>Other income</w:t>
            </w:r>
          </w:p>
        </w:tc>
        <w:tc>
          <w:tcPr>
            <w:tcW w:w="0" w:type="auto"/>
            <w:gridSpan w:val="2"/>
            <w:shd w:val="clear" w:color="auto" w:fill="FFFFFF"/>
            <w:tcMar>
              <w:top w:w="40" w:type="dxa"/>
              <w:left w:w="20" w:type="dxa"/>
              <w:bottom w:w="40" w:type="dxa"/>
              <w:right w:w="0" w:type="dxa"/>
            </w:tcMar>
            <w:vAlign w:val="bottom"/>
          </w:tcPr>
          <w:p w14:paraId="392BEC63"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EC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C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C66" w14:textId="77777777" w:rsidR="00980E5F" w:rsidRDefault="00483613">
            <w:pPr>
              <w:jc w:val="right"/>
              <w:textAlignment w:val="bottom"/>
            </w:pPr>
            <w:r>
              <w:rPr>
                <w:rFonts w:ascii="Arial" w:eastAsia="宋体" w:hAnsi="Arial" w:cs="Arial"/>
                <w:color w:val="000000"/>
                <w:sz w:val="15"/>
                <w:szCs w:val="15"/>
              </w:rPr>
              <w:t>53 </w:t>
            </w:r>
          </w:p>
        </w:tc>
        <w:tc>
          <w:tcPr>
            <w:tcW w:w="0" w:type="auto"/>
            <w:shd w:val="clear" w:color="auto" w:fill="FFFFFF"/>
            <w:tcMar>
              <w:top w:w="40" w:type="dxa"/>
              <w:left w:w="0" w:type="dxa"/>
              <w:bottom w:w="40" w:type="dxa"/>
              <w:right w:w="20" w:type="dxa"/>
            </w:tcMar>
            <w:vAlign w:val="bottom"/>
          </w:tcPr>
          <w:p w14:paraId="392BEC67" w14:textId="77777777" w:rsidR="00980E5F" w:rsidRDefault="00980E5F">
            <w:pPr>
              <w:jc w:val="right"/>
              <w:rPr>
                <w:rFonts w:ascii="宋体"/>
              </w:rPr>
            </w:pPr>
          </w:p>
        </w:tc>
        <w:tc>
          <w:tcPr>
            <w:tcW w:w="0" w:type="auto"/>
            <w:shd w:val="clear" w:color="auto" w:fill="auto"/>
            <w:vAlign w:val="bottom"/>
          </w:tcPr>
          <w:p w14:paraId="392BEC68" w14:textId="77777777" w:rsidR="00980E5F" w:rsidRDefault="00980E5F">
            <w:pPr>
              <w:rPr>
                <w:rFonts w:ascii="宋体"/>
                <w:vanish/>
              </w:rPr>
            </w:pPr>
          </w:p>
        </w:tc>
        <w:tc>
          <w:tcPr>
            <w:tcW w:w="0" w:type="auto"/>
            <w:shd w:val="clear" w:color="auto" w:fill="auto"/>
            <w:vAlign w:val="bottom"/>
          </w:tcPr>
          <w:p w14:paraId="392BEC69"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C6A"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EC6B"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C6C" w14:textId="77777777" w:rsidR="00980E5F" w:rsidRDefault="00980E5F">
            <w:pPr>
              <w:rPr>
                <w:rFonts w:ascii="宋体"/>
                <w:vanish/>
              </w:rPr>
            </w:pPr>
          </w:p>
        </w:tc>
        <w:tc>
          <w:tcPr>
            <w:tcW w:w="0" w:type="auto"/>
            <w:gridSpan w:val="3"/>
            <w:shd w:val="clear" w:color="auto" w:fill="auto"/>
            <w:vAlign w:val="bottom"/>
          </w:tcPr>
          <w:p w14:paraId="392BEC6D" w14:textId="77777777" w:rsidR="00980E5F" w:rsidRDefault="00980E5F">
            <w:pPr>
              <w:rPr>
                <w:rFonts w:ascii="宋体"/>
                <w:vanish/>
              </w:rPr>
            </w:pPr>
          </w:p>
        </w:tc>
        <w:tc>
          <w:tcPr>
            <w:tcW w:w="0" w:type="auto"/>
            <w:gridSpan w:val="3"/>
            <w:shd w:val="clear" w:color="auto" w:fill="auto"/>
            <w:vAlign w:val="bottom"/>
          </w:tcPr>
          <w:p w14:paraId="392BEC6E" w14:textId="77777777" w:rsidR="00980E5F" w:rsidRDefault="00980E5F">
            <w:pPr>
              <w:rPr>
                <w:rFonts w:ascii="宋体"/>
                <w:vanish/>
              </w:rPr>
            </w:pPr>
          </w:p>
        </w:tc>
      </w:tr>
      <w:tr w:rsidR="00980E5F" w14:paraId="392BEC7D" w14:textId="77777777">
        <w:tc>
          <w:tcPr>
            <w:tcW w:w="0" w:type="auto"/>
            <w:gridSpan w:val="3"/>
            <w:shd w:val="clear" w:color="auto" w:fill="CCEEFF"/>
            <w:tcMar>
              <w:top w:w="40" w:type="dxa"/>
              <w:left w:w="20" w:type="dxa"/>
              <w:bottom w:w="40" w:type="dxa"/>
              <w:right w:w="20" w:type="dxa"/>
            </w:tcMar>
            <w:vAlign w:val="bottom"/>
          </w:tcPr>
          <w:p w14:paraId="392BEC70" w14:textId="77777777" w:rsidR="00980E5F" w:rsidRDefault="00483613">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71" w14:textId="77777777" w:rsidR="00980E5F" w:rsidRDefault="00483613">
            <w:pPr>
              <w:jc w:val="right"/>
              <w:textAlignment w:val="bottom"/>
            </w:pPr>
            <w:r>
              <w:rPr>
                <w:rFonts w:ascii="Arial" w:eastAsia="宋体" w:hAnsi="Arial" w:cs="Arial"/>
                <w:b/>
                <w:bCs/>
                <w:color w:val="000000"/>
                <w:sz w:val="15"/>
                <w:szCs w:val="15"/>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C7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EC74" w14:textId="77777777" w:rsidR="00980E5F" w:rsidRDefault="00483613">
            <w:pPr>
              <w:jc w:val="right"/>
              <w:textAlignment w:val="bottom"/>
            </w:pPr>
            <w:r>
              <w:rPr>
                <w:rFonts w:ascii="Arial" w:eastAsia="宋体" w:hAnsi="Arial" w:cs="Arial"/>
                <w:color w:val="000000"/>
                <w:sz w:val="15"/>
                <w:szCs w:val="15"/>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C75" w14:textId="77777777" w:rsidR="00980E5F" w:rsidRDefault="00980E5F">
            <w:pPr>
              <w:jc w:val="right"/>
              <w:rPr>
                <w:rFonts w:ascii="宋体"/>
              </w:rPr>
            </w:pPr>
          </w:p>
        </w:tc>
        <w:tc>
          <w:tcPr>
            <w:tcW w:w="0" w:type="auto"/>
            <w:shd w:val="clear" w:color="auto" w:fill="auto"/>
            <w:vAlign w:val="bottom"/>
          </w:tcPr>
          <w:p w14:paraId="392BEC76" w14:textId="77777777" w:rsidR="00980E5F" w:rsidRDefault="00980E5F">
            <w:pPr>
              <w:rPr>
                <w:rFonts w:ascii="宋体"/>
                <w:vanish/>
              </w:rPr>
            </w:pPr>
          </w:p>
        </w:tc>
        <w:tc>
          <w:tcPr>
            <w:tcW w:w="0" w:type="auto"/>
            <w:shd w:val="clear" w:color="auto" w:fill="auto"/>
            <w:vAlign w:val="bottom"/>
          </w:tcPr>
          <w:p w14:paraId="392BEC77"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BEC78"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EC79" w14:textId="77777777" w:rsidR="00980E5F" w:rsidRDefault="00483613">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392BEC7A" w14:textId="77777777" w:rsidR="00980E5F" w:rsidRDefault="00980E5F">
            <w:pPr>
              <w:rPr>
                <w:rFonts w:ascii="宋体"/>
                <w:vanish/>
              </w:rPr>
            </w:pPr>
          </w:p>
        </w:tc>
        <w:tc>
          <w:tcPr>
            <w:tcW w:w="0" w:type="auto"/>
            <w:gridSpan w:val="3"/>
            <w:shd w:val="clear" w:color="auto" w:fill="auto"/>
            <w:vAlign w:val="bottom"/>
          </w:tcPr>
          <w:p w14:paraId="392BEC7B" w14:textId="77777777" w:rsidR="00980E5F" w:rsidRDefault="00980E5F">
            <w:pPr>
              <w:rPr>
                <w:rFonts w:ascii="宋体"/>
                <w:vanish/>
              </w:rPr>
            </w:pPr>
          </w:p>
        </w:tc>
        <w:tc>
          <w:tcPr>
            <w:tcW w:w="0" w:type="auto"/>
            <w:gridSpan w:val="3"/>
            <w:shd w:val="clear" w:color="auto" w:fill="auto"/>
            <w:vAlign w:val="bottom"/>
          </w:tcPr>
          <w:p w14:paraId="392BEC7C" w14:textId="77777777" w:rsidR="00980E5F" w:rsidRDefault="00980E5F">
            <w:pPr>
              <w:rPr>
                <w:rFonts w:ascii="宋体"/>
                <w:vanish/>
              </w:rPr>
            </w:pPr>
          </w:p>
        </w:tc>
      </w:tr>
      <w:tr w:rsidR="00980E5F" w14:paraId="392BEC8E" w14:textId="77777777">
        <w:tc>
          <w:tcPr>
            <w:tcW w:w="0" w:type="auto"/>
            <w:gridSpan w:val="3"/>
            <w:shd w:val="clear" w:color="auto" w:fill="FFFFFF"/>
            <w:tcMar>
              <w:top w:w="40" w:type="dxa"/>
              <w:left w:w="20" w:type="dxa"/>
              <w:bottom w:w="40" w:type="dxa"/>
              <w:right w:w="20" w:type="dxa"/>
            </w:tcMar>
            <w:vAlign w:val="bottom"/>
          </w:tcPr>
          <w:p w14:paraId="392BEC7E" w14:textId="77777777" w:rsidR="00980E5F" w:rsidRDefault="00483613">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EC7F"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EC80" w14:textId="77777777" w:rsidR="00980E5F" w:rsidRDefault="00483613">
            <w:pPr>
              <w:jc w:val="right"/>
              <w:textAlignment w:val="bottom"/>
            </w:pPr>
            <w:r>
              <w:rPr>
                <w:rFonts w:ascii="Arial" w:eastAsia="宋体" w:hAnsi="Arial" w:cs="Arial"/>
                <w:b/>
                <w:bCs/>
                <w:color w:val="000000"/>
                <w:sz w:val="15"/>
                <w:szCs w:val="15"/>
              </w:rPr>
              <w:t>6,034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EC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C82"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EC83"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EC84" w14:textId="77777777" w:rsidR="00980E5F" w:rsidRDefault="00483613">
            <w:pPr>
              <w:jc w:val="right"/>
              <w:textAlignment w:val="bottom"/>
            </w:pPr>
            <w:r>
              <w:rPr>
                <w:rFonts w:ascii="Arial" w:eastAsia="宋体" w:hAnsi="Arial" w:cs="Arial"/>
                <w:color w:val="000000"/>
                <w:sz w:val="15"/>
                <w:szCs w:val="15"/>
              </w:rPr>
              <w:t>5,984 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EC85" w14:textId="77777777" w:rsidR="00980E5F" w:rsidRDefault="00980E5F">
            <w:pPr>
              <w:jc w:val="right"/>
              <w:rPr>
                <w:rFonts w:ascii="宋体"/>
              </w:rPr>
            </w:pPr>
          </w:p>
        </w:tc>
        <w:tc>
          <w:tcPr>
            <w:tcW w:w="0" w:type="auto"/>
            <w:shd w:val="clear" w:color="auto" w:fill="auto"/>
            <w:vAlign w:val="bottom"/>
          </w:tcPr>
          <w:p w14:paraId="392BEC86" w14:textId="77777777" w:rsidR="00980E5F" w:rsidRDefault="00980E5F">
            <w:pPr>
              <w:rPr>
                <w:rFonts w:ascii="宋体"/>
                <w:vanish/>
              </w:rPr>
            </w:pPr>
          </w:p>
        </w:tc>
        <w:tc>
          <w:tcPr>
            <w:tcW w:w="0" w:type="auto"/>
            <w:shd w:val="clear" w:color="auto" w:fill="auto"/>
            <w:vAlign w:val="bottom"/>
          </w:tcPr>
          <w:p w14:paraId="392BEC87"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BEC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C89"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BEC8A" w14:textId="77777777" w:rsidR="00980E5F" w:rsidRDefault="00980E5F">
            <w:pPr>
              <w:jc w:val="right"/>
              <w:rPr>
                <w:rFonts w:ascii="宋体"/>
              </w:rPr>
            </w:pPr>
          </w:p>
        </w:tc>
        <w:tc>
          <w:tcPr>
            <w:tcW w:w="0" w:type="auto"/>
            <w:gridSpan w:val="3"/>
            <w:shd w:val="clear" w:color="auto" w:fill="auto"/>
            <w:vAlign w:val="bottom"/>
          </w:tcPr>
          <w:p w14:paraId="392BEC8B" w14:textId="77777777" w:rsidR="00980E5F" w:rsidRDefault="00980E5F">
            <w:pPr>
              <w:rPr>
                <w:rFonts w:ascii="宋体"/>
                <w:vanish/>
              </w:rPr>
            </w:pPr>
          </w:p>
        </w:tc>
        <w:tc>
          <w:tcPr>
            <w:tcW w:w="0" w:type="auto"/>
            <w:gridSpan w:val="3"/>
            <w:shd w:val="clear" w:color="auto" w:fill="auto"/>
            <w:vAlign w:val="bottom"/>
          </w:tcPr>
          <w:p w14:paraId="392BEC8C" w14:textId="77777777" w:rsidR="00980E5F" w:rsidRDefault="00980E5F">
            <w:pPr>
              <w:rPr>
                <w:rFonts w:ascii="宋体"/>
                <w:vanish/>
              </w:rPr>
            </w:pPr>
          </w:p>
        </w:tc>
        <w:tc>
          <w:tcPr>
            <w:tcW w:w="0" w:type="auto"/>
            <w:gridSpan w:val="3"/>
            <w:shd w:val="clear" w:color="auto" w:fill="auto"/>
            <w:vAlign w:val="bottom"/>
          </w:tcPr>
          <w:p w14:paraId="392BEC8D" w14:textId="77777777" w:rsidR="00980E5F" w:rsidRDefault="00980E5F">
            <w:pPr>
              <w:rPr>
                <w:rFonts w:ascii="宋体"/>
                <w:vanish/>
              </w:rPr>
            </w:pPr>
          </w:p>
        </w:tc>
      </w:tr>
    </w:tbl>
    <w:p w14:paraId="392BEC8F" w14:textId="77777777" w:rsidR="00980E5F" w:rsidRDefault="00980E5F">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1464"/>
        <w:gridCol w:w="36"/>
      </w:tblGrid>
      <w:tr w:rsidR="00980E5F" w14:paraId="392BEC96" w14:textId="77777777">
        <w:tc>
          <w:tcPr>
            <w:tcW w:w="50" w:type="pct"/>
            <w:shd w:val="clear" w:color="auto" w:fill="auto"/>
            <w:vAlign w:val="bottom"/>
          </w:tcPr>
          <w:p w14:paraId="392BEC90" w14:textId="77777777" w:rsidR="00980E5F" w:rsidRDefault="00980E5F">
            <w:pPr>
              <w:rPr>
                <w:rFonts w:ascii="宋体"/>
              </w:rPr>
            </w:pPr>
          </w:p>
        </w:tc>
        <w:tc>
          <w:tcPr>
            <w:tcW w:w="2963" w:type="pct"/>
            <w:shd w:val="clear" w:color="auto" w:fill="auto"/>
            <w:vAlign w:val="bottom"/>
          </w:tcPr>
          <w:p w14:paraId="392BEC91" w14:textId="77777777" w:rsidR="00980E5F" w:rsidRDefault="00980E5F">
            <w:pPr>
              <w:rPr>
                <w:rFonts w:ascii="宋体"/>
              </w:rPr>
            </w:pPr>
          </w:p>
        </w:tc>
        <w:tc>
          <w:tcPr>
            <w:tcW w:w="5" w:type="pct"/>
            <w:shd w:val="clear" w:color="auto" w:fill="auto"/>
            <w:vAlign w:val="bottom"/>
          </w:tcPr>
          <w:p w14:paraId="392BEC92" w14:textId="77777777" w:rsidR="00980E5F" w:rsidRDefault="00980E5F">
            <w:pPr>
              <w:rPr>
                <w:rFonts w:ascii="宋体"/>
              </w:rPr>
            </w:pPr>
          </w:p>
        </w:tc>
        <w:tc>
          <w:tcPr>
            <w:tcW w:w="50" w:type="pct"/>
            <w:shd w:val="clear" w:color="auto" w:fill="auto"/>
            <w:vAlign w:val="bottom"/>
          </w:tcPr>
          <w:p w14:paraId="392BEC93" w14:textId="77777777" w:rsidR="00980E5F" w:rsidRDefault="00980E5F">
            <w:pPr>
              <w:rPr>
                <w:rFonts w:ascii="宋体"/>
              </w:rPr>
            </w:pPr>
          </w:p>
        </w:tc>
        <w:tc>
          <w:tcPr>
            <w:tcW w:w="1926" w:type="pct"/>
            <w:shd w:val="clear" w:color="auto" w:fill="auto"/>
            <w:vAlign w:val="bottom"/>
          </w:tcPr>
          <w:p w14:paraId="392BEC94" w14:textId="77777777" w:rsidR="00980E5F" w:rsidRDefault="00980E5F">
            <w:pPr>
              <w:rPr>
                <w:rFonts w:ascii="宋体"/>
              </w:rPr>
            </w:pPr>
          </w:p>
        </w:tc>
        <w:tc>
          <w:tcPr>
            <w:tcW w:w="5" w:type="pct"/>
            <w:shd w:val="clear" w:color="auto" w:fill="auto"/>
            <w:vAlign w:val="bottom"/>
          </w:tcPr>
          <w:p w14:paraId="392BEC95" w14:textId="77777777" w:rsidR="00980E5F" w:rsidRDefault="00980E5F">
            <w:pPr>
              <w:rPr>
                <w:rFonts w:ascii="宋体"/>
              </w:rPr>
            </w:pPr>
          </w:p>
        </w:tc>
      </w:tr>
      <w:tr w:rsidR="00980E5F" w14:paraId="392BEC9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EC9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C98" w14:textId="77777777" w:rsidR="00980E5F" w:rsidRDefault="00980E5F">
            <w:pPr>
              <w:rPr>
                <w:rFonts w:ascii="宋体"/>
              </w:rPr>
            </w:pPr>
          </w:p>
        </w:tc>
      </w:tr>
    </w:tbl>
    <w:p w14:paraId="392BEC9A" w14:textId="77777777" w:rsidR="00980E5F" w:rsidRDefault="00483613">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In the first quarter of 2022, we reclassified certain fee revenue in our Consolidated Statement of Operations, primarily moving revenues that are not directly associated with software and processing fees to a new Other fee revenue line item. In addition, </w:t>
      </w:r>
      <w:r>
        <w:rPr>
          <w:rFonts w:ascii="Arial" w:eastAsia="宋体" w:hAnsi="Arial" w:cs="Arial"/>
          <w:color w:val="000000"/>
          <w:sz w:val="14"/>
          <w:szCs w:val="14"/>
        </w:rPr>
        <w:t>we provided a disaggregation of servicing fees into Back office services and Middle office services and of software and processing fees into Front office software and data and Lending related and other fees. Prior periods were revised to reflect these chan</w:t>
      </w:r>
      <w:r>
        <w:rPr>
          <w:rFonts w:ascii="Arial" w:eastAsia="宋体" w:hAnsi="Arial" w:cs="Arial"/>
          <w:color w:val="000000"/>
          <w:sz w:val="14"/>
          <w:szCs w:val="14"/>
        </w:rPr>
        <w:t>ges.</w:t>
      </w:r>
    </w:p>
    <w:p w14:paraId="392BEC9B" w14:textId="77777777" w:rsidR="00980E5F" w:rsidRDefault="00483613">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w:t>
      </w:r>
      <w:r>
        <w:rPr>
          <w:rFonts w:ascii="Arial" w:eastAsia="宋体" w:hAnsi="Arial" w:cs="Arial"/>
          <w:color w:val="000000"/>
          <w:sz w:val="14"/>
          <w:szCs w:val="14"/>
          <w:shd w:val="clear" w:color="auto" w:fill="FFFFFF"/>
        </w:rPr>
        <w:t>Not meaningful</w:t>
      </w:r>
    </w:p>
    <w:p w14:paraId="392BEC9C" w14:textId="77777777" w:rsidR="00980E5F" w:rsidRDefault="00483613">
      <w:pPr>
        <w:spacing w:before="60"/>
      </w:pPr>
      <w:r>
        <w:rPr>
          <w:rFonts w:ascii="Arial" w:eastAsia="宋体" w:hAnsi="Arial" w:cs="Arial"/>
          <w:b/>
          <w:bCs/>
          <w:i/>
          <w:iCs/>
          <w:color w:val="000000"/>
          <w:sz w:val="20"/>
          <w:szCs w:val="20"/>
        </w:rPr>
        <w:t>Fee Revenue</w:t>
      </w:r>
    </w:p>
    <w:p w14:paraId="392BEC9D" w14:textId="77777777" w:rsidR="00980E5F" w:rsidRDefault="00483613">
      <w:pPr>
        <w:spacing w:before="60"/>
        <w:ind w:firstLine="450"/>
        <w:jc w:val="both"/>
      </w:pPr>
      <w:r>
        <w:rPr>
          <w:rFonts w:ascii="Arial" w:eastAsia="宋体" w:hAnsi="Arial" w:cs="Arial"/>
          <w:color w:val="000000"/>
          <w:sz w:val="20"/>
          <w:szCs w:val="20"/>
        </w:rPr>
        <w:t xml:space="preserve">Table 2: Total Revenue, provides the breakout of fee revenue for the three and six months ended June 30, 2022 and 2021. Servicing and management fees collectively made up approximately </w:t>
      </w:r>
      <w:r>
        <w:rPr>
          <w:rFonts w:ascii="Arial" w:eastAsia="宋体" w:hAnsi="Arial" w:cs="Arial"/>
          <w:color w:val="000000"/>
          <w:sz w:val="20"/>
          <w:szCs w:val="20"/>
          <w:shd w:val="clear" w:color="auto" w:fill="FFFFFF"/>
        </w:rPr>
        <w:t>75% and 74%</w:t>
      </w:r>
      <w:r>
        <w:rPr>
          <w:rFonts w:ascii="Arial" w:eastAsia="宋体" w:hAnsi="Arial" w:cs="Arial"/>
          <w:color w:val="000000"/>
          <w:sz w:val="20"/>
          <w:szCs w:val="20"/>
        </w:rPr>
        <w:t xml:space="preserve"> of the total fee revenue in the three and six months ended </w:t>
      </w:r>
      <w:r>
        <w:rPr>
          <w:rFonts w:ascii="Arial" w:eastAsia="宋体" w:hAnsi="Arial" w:cs="Arial"/>
          <w:color w:val="000000"/>
          <w:sz w:val="20"/>
          <w:szCs w:val="20"/>
        </w:rPr>
        <w:t>June 30, 2022, respectively, compared to 75% in both the same periods in 2021.</w:t>
      </w:r>
    </w:p>
    <w:p w14:paraId="392BEC9E" w14:textId="77777777" w:rsidR="00980E5F" w:rsidRDefault="00483613">
      <w:pPr>
        <w:ind w:firstLine="450"/>
        <w:jc w:val="right"/>
      </w:pPr>
      <w:r>
        <w:rPr>
          <w:rFonts w:ascii="Arial" w:eastAsia="宋体" w:hAnsi="Arial" w:cs="Arial"/>
          <w:color w:val="000000"/>
          <w:sz w:val="18"/>
          <w:szCs w:val="18"/>
        </w:rPr>
        <w:t>State Street Corporation | 11</w:t>
      </w:r>
    </w:p>
    <w:p w14:paraId="392BEC9F" w14:textId="77777777" w:rsidR="00980E5F" w:rsidRDefault="00980E5F">
      <w:pPr>
        <w:ind w:firstLine="450"/>
        <w:jc w:val="center"/>
      </w:pPr>
    </w:p>
    <w:p w14:paraId="392BECA0" w14:textId="77777777" w:rsidR="00980E5F" w:rsidRDefault="00483613">
      <w:r>
        <w:pict w14:anchorId="392CBAD9">
          <v:rect id="_x0000_i1035" style="width:415.3pt;height:1.5pt" o:hralign="center" o:hrstd="t" o:hr="t" fillcolor="#a0a0a0" stroked="f"/>
        </w:pict>
      </w:r>
    </w:p>
    <w:p w14:paraId="392BECA1"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CA2" w14:textId="77777777" w:rsidR="00980E5F" w:rsidRDefault="00483613">
      <w:pPr>
        <w:ind w:firstLine="450"/>
        <w:jc w:val="center"/>
      </w:pPr>
      <w:r>
        <w:rPr>
          <w:rFonts w:ascii="Arial" w:eastAsia="宋体" w:hAnsi="Arial" w:cs="Arial"/>
          <w:b/>
          <w:bCs/>
          <w:color w:val="000000"/>
          <w:sz w:val="20"/>
          <w:szCs w:val="20"/>
        </w:rPr>
        <w:t>AND RESULTS OF OPERATIONS</w:t>
      </w:r>
    </w:p>
    <w:p w14:paraId="392BECA3" w14:textId="77777777" w:rsidR="00980E5F" w:rsidRDefault="00483613">
      <w:pPr>
        <w:spacing w:before="60"/>
      </w:pPr>
      <w:r>
        <w:rPr>
          <w:rFonts w:ascii="Arial" w:eastAsia="宋体" w:hAnsi="Arial" w:cs="Arial"/>
          <w:b/>
          <w:bCs/>
          <w:i/>
          <w:iCs/>
          <w:color w:val="000000"/>
          <w:sz w:val="20"/>
          <w:szCs w:val="20"/>
        </w:rPr>
        <w:t>Servicing Fee Revenue</w:t>
      </w:r>
    </w:p>
    <w:p w14:paraId="392BECA4" w14:textId="77777777" w:rsidR="00980E5F" w:rsidRDefault="00483613">
      <w:pPr>
        <w:spacing w:before="60"/>
        <w:ind w:firstLine="450"/>
        <w:jc w:val="both"/>
      </w:pPr>
      <w:r>
        <w:rPr>
          <w:rFonts w:ascii="Arial" w:eastAsia="宋体" w:hAnsi="Arial" w:cs="Arial"/>
          <w:color w:val="000000"/>
          <w:sz w:val="20"/>
          <w:szCs w:val="20"/>
        </w:rPr>
        <w:t>Servicing fee revenue comprises reve</w:t>
      </w:r>
      <w:r>
        <w:rPr>
          <w:rFonts w:ascii="Arial" w:eastAsia="宋体" w:hAnsi="Arial" w:cs="Arial"/>
          <w:color w:val="000000"/>
          <w:sz w:val="20"/>
          <w:szCs w:val="20"/>
        </w:rPr>
        <w:t>nue from both back office and middle office services. Generally, our servicing fee revenues are affected by several factors including changes in market valuations, client activity and asset flows, net new business and the manner in which we price our servi</w:t>
      </w:r>
      <w:r>
        <w:rPr>
          <w:rFonts w:ascii="Arial" w:eastAsia="宋体" w:hAnsi="Arial" w:cs="Arial"/>
          <w:color w:val="000000"/>
          <w:sz w:val="20"/>
          <w:szCs w:val="20"/>
        </w:rPr>
        <w:t>ces. We provide a range of services to our clients, including core custody services, accounting, reporting and administration, which we refer to collectively as back office services, and middle office services. The nature and mix of services provided affec</w:t>
      </w:r>
      <w:r>
        <w:rPr>
          <w:rFonts w:ascii="Arial" w:eastAsia="宋体" w:hAnsi="Arial" w:cs="Arial"/>
          <w:color w:val="000000"/>
          <w:sz w:val="20"/>
          <w:szCs w:val="20"/>
        </w:rPr>
        <w:t xml:space="preserve">ts our servicing fees. The basis for fees will differ across regions and clients. </w:t>
      </w:r>
    </w:p>
    <w:p w14:paraId="392BECA5" w14:textId="77777777" w:rsidR="00980E5F" w:rsidRDefault="00483613">
      <w:pPr>
        <w:spacing w:before="60"/>
      </w:pPr>
      <w:r>
        <w:rPr>
          <w:rFonts w:ascii="Arial" w:eastAsia="宋体" w:hAnsi="Arial" w:cs="Arial"/>
          <w:i/>
          <w:iCs/>
          <w:color w:val="000000"/>
          <w:sz w:val="20"/>
          <w:szCs w:val="20"/>
        </w:rPr>
        <w:t>Changes in Market Valuations</w:t>
      </w:r>
    </w:p>
    <w:p w14:paraId="392BECA6" w14:textId="77777777" w:rsidR="00980E5F" w:rsidRDefault="00483613">
      <w:pPr>
        <w:spacing w:before="60"/>
        <w:ind w:firstLine="450"/>
        <w:jc w:val="both"/>
      </w:pPr>
      <w:r>
        <w:rPr>
          <w:rFonts w:ascii="Arial" w:eastAsia="宋体" w:hAnsi="Arial" w:cs="Arial"/>
          <w:color w:val="000000"/>
          <w:sz w:val="20"/>
          <w:szCs w:val="20"/>
        </w:rPr>
        <w:t>Our servicing fee revenue is impacted by both our levels and the geographic and product mix of our AUC/A. Increases or decreases in market valua</w:t>
      </w:r>
      <w:r>
        <w:rPr>
          <w:rFonts w:ascii="Arial" w:eastAsia="宋体" w:hAnsi="Arial" w:cs="Arial"/>
          <w:color w:val="000000"/>
          <w:sz w:val="20"/>
          <w:szCs w:val="20"/>
        </w:rPr>
        <w:t xml:space="preserve">tions have a corresponding impact on the level of our AUC/A and servicing fee revenues, though the degree of impact will vary depending on asset types and classes and geography of assets held within our clients’ portfolios. For certain asset classes where </w:t>
      </w:r>
      <w:r>
        <w:rPr>
          <w:rFonts w:ascii="Arial" w:eastAsia="宋体" w:hAnsi="Arial" w:cs="Arial"/>
          <w:color w:val="000000"/>
          <w:sz w:val="20"/>
          <w:szCs w:val="20"/>
        </w:rPr>
        <w:t xml:space="preserve">the valuation process is more complex, including alternative investments, or where our valuation is dependent on third party information, AUC/A is reported on a lag, typically one-month. For those asset classes, the impact of market levels on our reported </w:t>
      </w:r>
      <w:r>
        <w:rPr>
          <w:rFonts w:ascii="Arial" w:eastAsia="宋体" w:hAnsi="Arial" w:cs="Arial"/>
          <w:color w:val="000000"/>
          <w:sz w:val="20"/>
          <w:szCs w:val="20"/>
        </w:rPr>
        <w:t>AUC/A does not reflect current period-end market levels.</w:t>
      </w:r>
    </w:p>
    <w:p w14:paraId="392BECA7" w14:textId="77777777" w:rsidR="00980E5F" w:rsidRDefault="00483613">
      <w:pPr>
        <w:spacing w:before="60"/>
        <w:ind w:firstLine="450"/>
        <w:jc w:val="both"/>
      </w:pPr>
      <w:r>
        <w:rPr>
          <w:rFonts w:ascii="Arial" w:eastAsia="宋体" w:hAnsi="Arial" w:cs="Arial"/>
          <w:color w:val="000000"/>
          <w:sz w:val="20"/>
          <w:szCs w:val="20"/>
        </w:rPr>
        <w:t>Over the five years ended December 31, 2021, we estimate that worldwide market valuations impacted our servicing fee revenues by approximately 3% on average with a range of 0% to 7% annually and appr</w:t>
      </w:r>
      <w:r>
        <w:rPr>
          <w:rFonts w:ascii="Arial" w:eastAsia="宋体" w:hAnsi="Arial" w:cs="Arial"/>
          <w:color w:val="000000"/>
          <w:sz w:val="20"/>
          <w:szCs w:val="20"/>
        </w:rPr>
        <w:t>oximately 7% and 2% in 2021 and 2020, respectively. See Table 3: Daily Averages, Month-End Averages and Quarter-End Equity Indices for selected indices. While the specific indices presented are indicative of general market trends, the asset types and class</w:t>
      </w:r>
      <w:r>
        <w:rPr>
          <w:rFonts w:ascii="Arial" w:eastAsia="宋体" w:hAnsi="Arial" w:cs="Arial"/>
          <w:color w:val="000000"/>
          <w:sz w:val="20"/>
          <w:szCs w:val="20"/>
        </w:rPr>
        <w:t>es relevant to individual client portfolios can and do differ, and the performance of associated relevant indices and of client portfolios can therefore differ from the performance of the indices presented. In addition, our asset classifications may differ</w:t>
      </w:r>
      <w:r>
        <w:rPr>
          <w:rFonts w:ascii="Arial" w:eastAsia="宋体" w:hAnsi="Arial" w:cs="Arial"/>
          <w:color w:val="000000"/>
          <w:sz w:val="20"/>
          <w:szCs w:val="20"/>
        </w:rPr>
        <w:t xml:space="preserve"> from those industry classifications presented.</w:t>
      </w:r>
    </w:p>
    <w:p w14:paraId="392BECA8" w14:textId="77777777" w:rsidR="00980E5F" w:rsidRDefault="00483613">
      <w:pPr>
        <w:spacing w:before="60"/>
        <w:ind w:firstLine="450"/>
        <w:jc w:val="both"/>
      </w:pPr>
      <w:r>
        <w:rPr>
          <w:rFonts w:ascii="Arial" w:eastAsia="宋体" w:hAnsi="Arial" w:cs="Arial"/>
          <w:color w:val="000000"/>
          <w:sz w:val="20"/>
          <w:szCs w:val="20"/>
        </w:rPr>
        <w:t>Assuming that all other factors remain constant, including client activity, asset flows and pricing, we estimate, using relevant information as of June 30, 2022 that a 10% increase or decrease in worldwide eq</w:t>
      </w:r>
      <w:r>
        <w:rPr>
          <w:rFonts w:ascii="Arial" w:eastAsia="宋体" w:hAnsi="Arial" w:cs="Arial"/>
          <w:color w:val="000000"/>
          <w:sz w:val="20"/>
          <w:szCs w:val="20"/>
        </w:rPr>
        <w:t xml:space="preserve">uity valuations, on a weighted average basis, over the relevant periods for which our servicing fees are calculated, would result in a corresponding change in our total servicing fee revenues, on average and over multiple quarters, of approximately 3%. We </w:t>
      </w:r>
      <w:r>
        <w:rPr>
          <w:rFonts w:ascii="Arial" w:eastAsia="宋体" w:hAnsi="Arial" w:cs="Arial"/>
          <w:color w:val="000000"/>
          <w:sz w:val="20"/>
          <w:szCs w:val="20"/>
        </w:rPr>
        <w:t>estimate, similarly assuming all other factors remain constant and using relevant information as of June 30, 2022, that changes in worldwide fixed income markets, which on a weighted average basis and over time are typically less volatile than worldwide eq</w:t>
      </w:r>
      <w:r>
        <w:rPr>
          <w:rFonts w:ascii="Arial" w:eastAsia="宋体" w:hAnsi="Arial" w:cs="Arial"/>
          <w:color w:val="000000"/>
          <w:sz w:val="20"/>
          <w:szCs w:val="20"/>
        </w:rPr>
        <w:t>uity markets, have a significantly smaller impact on our servicing fee revenues on average and over time.</w:t>
      </w:r>
    </w:p>
    <w:tbl>
      <w:tblPr>
        <w:tblW w:w="4956" w:type="pct"/>
        <w:tblCellMar>
          <w:top w:w="15" w:type="dxa"/>
          <w:left w:w="15" w:type="dxa"/>
          <w:bottom w:w="15" w:type="dxa"/>
          <w:right w:w="15" w:type="dxa"/>
        </w:tblCellMar>
        <w:tblLook w:val="04A0" w:firstRow="1" w:lastRow="0" w:firstColumn="1" w:lastColumn="0" w:noHBand="0" w:noVBand="1"/>
      </w:tblPr>
      <w:tblGrid>
        <w:gridCol w:w="37"/>
        <w:gridCol w:w="1380"/>
        <w:gridCol w:w="36"/>
        <w:gridCol w:w="53"/>
        <w:gridCol w:w="439"/>
        <w:gridCol w:w="38"/>
        <w:gridCol w:w="37"/>
        <w:gridCol w:w="37"/>
        <w:gridCol w:w="37"/>
        <w:gridCol w:w="53"/>
        <w:gridCol w:w="440"/>
        <w:gridCol w:w="38"/>
        <w:gridCol w:w="37"/>
        <w:gridCol w:w="37"/>
        <w:gridCol w:w="37"/>
        <w:gridCol w:w="92"/>
        <w:gridCol w:w="665"/>
        <w:gridCol w:w="156"/>
        <w:gridCol w:w="36"/>
        <w:gridCol w:w="36"/>
        <w:gridCol w:w="36"/>
        <w:gridCol w:w="53"/>
        <w:gridCol w:w="441"/>
        <w:gridCol w:w="38"/>
        <w:gridCol w:w="37"/>
        <w:gridCol w:w="37"/>
        <w:gridCol w:w="37"/>
        <w:gridCol w:w="53"/>
        <w:gridCol w:w="441"/>
        <w:gridCol w:w="38"/>
        <w:gridCol w:w="37"/>
        <w:gridCol w:w="37"/>
        <w:gridCol w:w="37"/>
        <w:gridCol w:w="92"/>
        <w:gridCol w:w="665"/>
        <w:gridCol w:w="156"/>
        <w:gridCol w:w="36"/>
        <w:gridCol w:w="36"/>
        <w:gridCol w:w="36"/>
        <w:gridCol w:w="53"/>
        <w:gridCol w:w="441"/>
        <w:gridCol w:w="38"/>
        <w:gridCol w:w="37"/>
        <w:gridCol w:w="37"/>
        <w:gridCol w:w="37"/>
        <w:gridCol w:w="53"/>
        <w:gridCol w:w="441"/>
        <w:gridCol w:w="38"/>
        <w:gridCol w:w="37"/>
        <w:gridCol w:w="37"/>
        <w:gridCol w:w="37"/>
        <w:gridCol w:w="92"/>
        <w:gridCol w:w="665"/>
        <w:gridCol w:w="156"/>
      </w:tblGrid>
      <w:tr w:rsidR="00980E5F" w14:paraId="392BECDF" w14:textId="77777777">
        <w:tc>
          <w:tcPr>
            <w:tcW w:w="50" w:type="pct"/>
            <w:shd w:val="clear" w:color="auto" w:fill="auto"/>
            <w:vAlign w:val="bottom"/>
          </w:tcPr>
          <w:p w14:paraId="392BECA9" w14:textId="77777777" w:rsidR="00980E5F" w:rsidRDefault="00980E5F">
            <w:pPr>
              <w:rPr>
                <w:rFonts w:ascii="宋体"/>
              </w:rPr>
            </w:pPr>
          </w:p>
        </w:tc>
        <w:tc>
          <w:tcPr>
            <w:tcW w:w="925" w:type="pct"/>
            <w:shd w:val="clear" w:color="auto" w:fill="auto"/>
            <w:vAlign w:val="bottom"/>
          </w:tcPr>
          <w:p w14:paraId="392BECAA" w14:textId="77777777" w:rsidR="00980E5F" w:rsidRDefault="00980E5F">
            <w:pPr>
              <w:rPr>
                <w:rFonts w:ascii="宋体"/>
              </w:rPr>
            </w:pPr>
          </w:p>
        </w:tc>
        <w:tc>
          <w:tcPr>
            <w:tcW w:w="5" w:type="pct"/>
            <w:shd w:val="clear" w:color="auto" w:fill="auto"/>
            <w:vAlign w:val="bottom"/>
          </w:tcPr>
          <w:p w14:paraId="392BECAB" w14:textId="77777777" w:rsidR="00980E5F" w:rsidRDefault="00980E5F">
            <w:pPr>
              <w:rPr>
                <w:rFonts w:ascii="宋体"/>
              </w:rPr>
            </w:pPr>
          </w:p>
        </w:tc>
        <w:tc>
          <w:tcPr>
            <w:tcW w:w="50" w:type="pct"/>
            <w:shd w:val="clear" w:color="auto" w:fill="auto"/>
            <w:vAlign w:val="bottom"/>
          </w:tcPr>
          <w:p w14:paraId="392BECAC" w14:textId="77777777" w:rsidR="00980E5F" w:rsidRDefault="00980E5F">
            <w:pPr>
              <w:rPr>
                <w:rFonts w:ascii="宋体"/>
              </w:rPr>
            </w:pPr>
          </w:p>
        </w:tc>
        <w:tc>
          <w:tcPr>
            <w:tcW w:w="365" w:type="pct"/>
            <w:shd w:val="clear" w:color="auto" w:fill="auto"/>
            <w:vAlign w:val="bottom"/>
          </w:tcPr>
          <w:p w14:paraId="392BECAD" w14:textId="77777777" w:rsidR="00980E5F" w:rsidRDefault="00980E5F">
            <w:pPr>
              <w:rPr>
                <w:rFonts w:ascii="宋体"/>
              </w:rPr>
            </w:pPr>
          </w:p>
        </w:tc>
        <w:tc>
          <w:tcPr>
            <w:tcW w:w="5" w:type="pct"/>
            <w:shd w:val="clear" w:color="auto" w:fill="auto"/>
            <w:vAlign w:val="bottom"/>
          </w:tcPr>
          <w:p w14:paraId="392BECAE" w14:textId="77777777" w:rsidR="00980E5F" w:rsidRDefault="00980E5F">
            <w:pPr>
              <w:rPr>
                <w:rFonts w:ascii="宋体"/>
              </w:rPr>
            </w:pPr>
          </w:p>
        </w:tc>
        <w:tc>
          <w:tcPr>
            <w:tcW w:w="5" w:type="pct"/>
            <w:shd w:val="clear" w:color="auto" w:fill="auto"/>
            <w:vAlign w:val="bottom"/>
          </w:tcPr>
          <w:p w14:paraId="392BECAF" w14:textId="77777777" w:rsidR="00980E5F" w:rsidRDefault="00980E5F">
            <w:pPr>
              <w:rPr>
                <w:rFonts w:ascii="宋体"/>
              </w:rPr>
            </w:pPr>
          </w:p>
        </w:tc>
        <w:tc>
          <w:tcPr>
            <w:tcW w:w="19" w:type="pct"/>
            <w:shd w:val="clear" w:color="auto" w:fill="auto"/>
            <w:vAlign w:val="bottom"/>
          </w:tcPr>
          <w:p w14:paraId="392BECB0" w14:textId="77777777" w:rsidR="00980E5F" w:rsidRDefault="00980E5F">
            <w:pPr>
              <w:rPr>
                <w:rFonts w:ascii="宋体"/>
              </w:rPr>
            </w:pPr>
          </w:p>
        </w:tc>
        <w:tc>
          <w:tcPr>
            <w:tcW w:w="5" w:type="pct"/>
            <w:shd w:val="clear" w:color="auto" w:fill="auto"/>
            <w:vAlign w:val="bottom"/>
          </w:tcPr>
          <w:p w14:paraId="392BECB1" w14:textId="77777777" w:rsidR="00980E5F" w:rsidRDefault="00980E5F">
            <w:pPr>
              <w:rPr>
                <w:rFonts w:ascii="宋体"/>
              </w:rPr>
            </w:pPr>
          </w:p>
        </w:tc>
        <w:tc>
          <w:tcPr>
            <w:tcW w:w="50" w:type="pct"/>
            <w:shd w:val="clear" w:color="auto" w:fill="auto"/>
            <w:vAlign w:val="bottom"/>
          </w:tcPr>
          <w:p w14:paraId="392BECB2" w14:textId="77777777" w:rsidR="00980E5F" w:rsidRDefault="00980E5F">
            <w:pPr>
              <w:rPr>
                <w:rFonts w:ascii="宋体"/>
              </w:rPr>
            </w:pPr>
          </w:p>
        </w:tc>
        <w:tc>
          <w:tcPr>
            <w:tcW w:w="365" w:type="pct"/>
            <w:shd w:val="clear" w:color="auto" w:fill="auto"/>
            <w:vAlign w:val="bottom"/>
          </w:tcPr>
          <w:p w14:paraId="392BECB3" w14:textId="77777777" w:rsidR="00980E5F" w:rsidRDefault="00980E5F">
            <w:pPr>
              <w:rPr>
                <w:rFonts w:ascii="宋体"/>
              </w:rPr>
            </w:pPr>
          </w:p>
        </w:tc>
        <w:tc>
          <w:tcPr>
            <w:tcW w:w="5" w:type="pct"/>
            <w:shd w:val="clear" w:color="auto" w:fill="auto"/>
            <w:vAlign w:val="bottom"/>
          </w:tcPr>
          <w:p w14:paraId="392BECB4" w14:textId="77777777" w:rsidR="00980E5F" w:rsidRDefault="00980E5F">
            <w:pPr>
              <w:rPr>
                <w:rFonts w:ascii="宋体"/>
              </w:rPr>
            </w:pPr>
          </w:p>
        </w:tc>
        <w:tc>
          <w:tcPr>
            <w:tcW w:w="5" w:type="pct"/>
            <w:shd w:val="clear" w:color="auto" w:fill="auto"/>
            <w:vAlign w:val="bottom"/>
          </w:tcPr>
          <w:p w14:paraId="392BECB5" w14:textId="77777777" w:rsidR="00980E5F" w:rsidRDefault="00980E5F">
            <w:pPr>
              <w:rPr>
                <w:rFonts w:ascii="宋体"/>
              </w:rPr>
            </w:pPr>
          </w:p>
        </w:tc>
        <w:tc>
          <w:tcPr>
            <w:tcW w:w="19" w:type="pct"/>
            <w:shd w:val="clear" w:color="auto" w:fill="auto"/>
            <w:vAlign w:val="bottom"/>
          </w:tcPr>
          <w:p w14:paraId="392BECB6" w14:textId="77777777" w:rsidR="00980E5F" w:rsidRDefault="00980E5F">
            <w:pPr>
              <w:rPr>
                <w:rFonts w:ascii="宋体"/>
              </w:rPr>
            </w:pPr>
          </w:p>
        </w:tc>
        <w:tc>
          <w:tcPr>
            <w:tcW w:w="5" w:type="pct"/>
            <w:shd w:val="clear" w:color="auto" w:fill="auto"/>
            <w:vAlign w:val="bottom"/>
          </w:tcPr>
          <w:p w14:paraId="392BECB7" w14:textId="77777777" w:rsidR="00980E5F" w:rsidRDefault="00980E5F">
            <w:pPr>
              <w:rPr>
                <w:rFonts w:ascii="宋体"/>
              </w:rPr>
            </w:pPr>
          </w:p>
        </w:tc>
        <w:tc>
          <w:tcPr>
            <w:tcW w:w="50" w:type="pct"/>
            <w:shd w:val="clear" w:color="auto" w:fill="auto"/>
            <w:vAlign w:val="bottom"/>
          </w:tcPr>
          <w:p w14:paraId="392BECB8" w14:textId="77777777" w:rsidR="00980E5F" w:rsidRDefault="00980E5F">
            <w:pPr>
              <w:rPr>
                <w:rFonts w:ascii="宋体"/>
              </w:rPr>
            </w:pPr>
          </w:p>
        </w:tc>
        <w:tc>
          <w:tcPr>
            <w:tcW w:w="365" w:type="pct"/>
            <w:shd w:val="clear" w:color="auto" w:fill="auto"/>
            <w:vAlign w:val="bottom"/>
          </w:tcPr>
          <w:p w14:paraId="392BECB9" w14:textId="77777777" w:rsidR="00980E5F" w:rsidRDefault="00980E5F">
            <w:pPr>
              <w:rPr>
                <w:rFonts w:ascii="宋体"/>
              </w:rPr>
            </w:pPr>
          </w:p>
        </w:tc>
        <w:tc>
          <w:tcPr>
            <w:tcW w:w="5" w:type="pct"/>
            <w:shd w:val="clear" w:color="auto" w:fill="auto"/>
            <w:vAlign w:val="bottom"/>
          </w:tcPr>
          <w:p w14:paraId="392BECBA" w14:textId="77777777" w:rsidR="00980E5F" w:rsidRDefault="00980E5F">
            <w:pPr>
              <w:rPr>
                <w:rFonts w:ascii="宋体"/>
              </w:rPr>
            </w:pPr>
          </w:p>
        </w:tc>
        <w:tc>
          <w:tcPr>
            <w:tcW w:w="5" w:type="pct"/>
            <w:shd w:val="clear" w:color="auto" w:fill="auto"/>
            <w:vAlign w:val="bottom"/>
          </w:tcPr>
          <w:p w14:paraId="392BECBB" w14:textId="77777777" w:rsidR="00980E5F" w:rsidRDefault="00980E5F">
            <w:pPr>
              <w:rPr>
                <w:rFonts w:ascii="宋体"/>
              </w:rPr>
            </w:pPr>
          </w:p>
        </w:tc>
        <w:tc>
          <w:tcPr>
            <w:tcW w:w="19" w:type="pct"/>
            <w:shd w:val="clear" w:color="auto" w:fill="auto"/>
            <w:vAlign w:val="bottom"/>
          </w:tcPr>
          <w:p w14:paraId="392BECBC" w14:textId="77777777" w:rsidR="00980E5F" w:rsidRDefault="00980E5F">
            <w:pPr>
              <w:rPr>
                <w:rFonts w:ascii="宋体"/>
              </w:rPr>
            </w:pPr>
          </w:p>
        </w:tc>
        <w:tc>
          <w:tcPr>
            <w:tcW w:w="5" w:type="pct"/>
            <w:shd w:val="clear" w:color="auto" w:fill="auto"/>
            <w:vAlign w:val="bottom"/>
          </w:tcPr>
          <w:p w14:paraId="392BECBD" w14:textId="77777777" w:rsidR="00980E5F" w:rsidRDefault="00980E5F">
            <w:pPr>
              <w:rPr>
                <w:rFonts w:ascii="宋体"/>
              </w:rPr>
            </w:pPr>
          </w:p>
        </w:tc>
        <w:tc>
          <w:tcPr>
            <w:tcW w:w="50" w:type="pct"/>
            <w:shd w:val="clear" w:color="auto" w:fill="auto"/>
            <w:vAlign w:val="bottom"/>
          </w:tcPr>
          <w:p w14:paraId="392BECBE" w14:textId="77777777" w:rsidR="00980E5F" w:rsidRDefault="00980E5F">
            <w:pPr>
              <w:rPr>
                <w:rFonts w:ascii="宋体"/>
              </w:rPr>
            </w:pPr>
          </w:p>
        </w:tc>
        <w:tc>
          <w:tcPr>
            <w:tcW w:w="365" w:type="pct"/>
            <w:shd w:val="clear" w:color="auto" w:fill="auto"/>
            <w:vAlign w:val="bottom"/>
          </w:tcPr>
          <w:p w14:paraId="392BECBF" w14:textId="77777777" w:rsidR="00980E5F" w:rsidRDefault="00980E5F">
            <w:pPr>
              <w:rPr>
                <w:rFonts w:ascii="宋体"/>
              </w:rPr>
            </w:pPr>
          </w:p>
        </w:tc>
        <w:tc>
          <w:tcPr>
            <w:tcW w:w="5" w:type="pct"/>
            <w:shd w:val="clear" w:color="auto" w:fill="auto"/>
            <w:vAlign w:val="bottom"/>
          </w:tcPr>
          <w:p w14:paraId="392BECC0" w14:textId="77777777" w:rsidR="00980E5F" w:rsidRDefault="00980E5F">
            <w:pPr>
              <w:rPr>
                <w:rFonts w:ascii="宋体"/>
              </w:rPr>
            </w:pPr>
          </w:p>
        </w:tc>
        <w:tc>
          <w:tcPr>
            <w:tcW w:w="5" w:type="pct"/>
            <w:shd w:val="clear" w:color="auto" w:fill="auto"/>
            <w:vAlign w:val="bottom"/>
          </w:tcPr>
          <w:p w14:paraId="392BECC1" w14:textId="77777777" w:rsidR="00980E5F" w:rsidRDefault="00980E5F">
            <w:pPr>
              <w:rPr>
                <w:rFonts w:ascii="宋体"/>
              </w:rPr>
            </w:pPr>
          </w:p>
        </w:tc>
        <w:tc>
          <w:tcPr>
            <w:tcW w:w="19" w:type="pct"/>
            <w:shd w:val="clear" w:color="auto" w:fill="auto"/>
            <w:vAlign w:val="bottom"/>
          </w:tcPr>
          <w:p w14:paraId="392BECC2" w14:textId="77777777" w:rsidR="00980E5F" w:rsidRDefault="00980E5F">
            <w:pPr>
              <w:rPr>
                <w:rFonts w:ascii="宋体"/>
              </w:rPr>
            </w:pPr>
          </w:p>
        </w:tc>
        <w:tc>
          <w:tcPr>
            <w:tcW w:w="5" w:type="pct"/>
            <w:shd w:val="clear" w:color="auto" w:fill="auto"/>
            <w:vAlign w:val="bottom"/>
          </w:tcPr>
          <w:p w14:paraId="392BECC3" w14:textId="77777777" w:rsidR="00980E5F" w:rsidRDefault="00980E5F">
            <w:pPr>
              <w:rPr>
                <w:rFonts w:ascii="宋体"/>
              </w:rPr>
            </w:pPr>
          </w:p>
        </w:tc>
        <w:tc>
          <w:tcPr>
            <w:tcW w:w="50" w:type="pct"/>
            <w:shd w:val="clear" w:color="auto" w:fill="auto"/>
            <w:vAlign w:val="bottom"/>
          </w:tcPr>
          <w:p w14:paraId="392BECC4" w14:textId="77777777" w:rsidR="00980E5F" w:rsidRDefault="00980E5F">
            <w:pPr>
              <w:rPr>
                <w:rFonts w:ascii="宋体"/>
              </w:rPr>
            </w:pPr>
          </w:p>
        </w:tc>
        <w:tc>
          <w:tcPr>
            <w:tcW w:w="365" w:type="pct"/>
            <w:shd w:val="clear" w:color="auto" w:fill="auto"/>
            <w:vAlign w:val="bottom"/>
          </w:tcPr>
          <w:p w14:paraId="392BECC5" w14:textId="77777777" w:rsidR="00980E5F" w:rsidRDefault="00980E5F">
            <w:pPr>
              <w:rPr>
                <w:rFonts w:ascii="宋体"/>
              </w:rPr>
            </w:pPr>
          </w:p>
        </w:tc>
        <w:tc>
          <w:tcPr>
            <w:tcW w:w="5" w:type="pct"/>
            <w:shd w:val="clear" w:color="auto" w:fill="auto"/>
            <w:vAlign w:val="bottom"/>
          </w:tcPr>
          <w:p w14:paraId="392BECC6" w14:textId="77777777" w:rsidR="00980E5F" w:rsidRDefault="00980E5F">
            <w:pPr>
              <w:rPr>
                <w:rFonts w:ascii="宋体"/>
              </w:rPr>
            </w:pPr>
          </w:p>
        </w:tc>
        <w:tc>
          <w:tcPr>
            <w:tcW w:w="5" w:type="pct"/>
            <w:shd w:val="clear" w:color="auto" w:fill="auto"/>
            <w:vAlign w:val="bottom"/>
          </w:tcPr>
          <w:p w14:paraId="392BECC7" w14:textId="77777777" w:rsidR="00980E5F" w:rsidRDefault="00980E5F">
            <w:pPr>
              <w:rPr>
                <w:rFonts w:ascii="宋体"/>
              </w:rPr>
            </w:pPr>
          </w:p>
        </w:tc>
        <w:tc>
          <w:tcPr>
            <w:tcW w:w="19" w:type="pct"/>
            <w:shd w:val="clear" w:color="auto" w:fill="auto"/>
            <w:vAlign w:val="bottom"/>
          </w:tcPr>
          <w:p w14:paraId="392BECC8" w14:textId="77777777" w:rsidR="00980E5F" w:rsidRDefault="00980E5F">
            <w:pPr>
              <w:rPr>
                <w:rFonts w:ascii="宋体"/>
              </w:rPr>
            </w:pPr>
          </w:p>
        </w:tc>
        <w:tc>
          <w:tcPr>
            <w:tcW w:w="5" w:type="pct"/>
            <w:shd w:val="clear" w:color="auto" w:fill="auto"/>
            <w:vAlign w:val="bottom"/>
          </w:tcPr>
          <w:p w14:paraId="392BECC9" w14:textId="77777777" w:rsidR="00980E5F" w:rsidRDefault="00980E5F">
            <w:pPr>
              <w:rPr>
                <w:rFonts w:ascii="宋体"/>
              </w:rPr>
            </w:pPr>
          </w:p>
        </w:tc>
        <w:tc>
          <w:tcPr>
            <w:tcW w:w="50" w:type="pct"/>
            <w:shd w:val="clear" w:color="auto" w:fill="auto"/>
            <w:vAlign w:val="bottom"/>
          </w:tcPr>
          <w:p w14:paraId="392BECCA" w14:textId="77777777" w:rsidR="00980E5F" w:rsidRDefault="00980E5F">
            <w:pPr>
              <w:rPr>
                <w:rFonts w:ascii="宋体"/>
              </w:rPr>
            </w:pPr>
          </w:p>
        </w:tc>
        <w:tc>
          <w:tcPr>
            <w:tcW w:w="365" w:type="pct"/>
            <w:shd w:val="clear" w:color="auto" w:fill="auto"/>
            <w:vAlign w:val="bottom"/>
          </w:tcPr>
          <w:p w14:paraId="392BECCB" w14:textId="77777777" w:rsidR="00980E5F" w:rsidRDefault="00980E5F">
            <w:pPr>
              <w:rPr>
                <w:rFonts w:ascii="宋体"/>
              </w:rPr>
            </w:pPr>
          </w:p>
        </w:tc>
        <w:tc>
          <w:tcPr>
            <w:tcW w:w="5" w:type="pct"/>
            <w:shd w:val="clear" w:color="auto" w:fill="auto"/>
            <w:vAlign w:val="bottom"/>
          </w:tcPr>
          <w:p w14:paraId="392BECCC" w14:textId="77777777" w:rsidR="00980E5F" w:rsidRDefault="00980E5F">
            <w:pPr>
              <w:rPr>
                <w:rFonts w:ascii="宋体"/>
              </w:rPr>
            </w:pPr>
          </w:p>
        </w:tc>
        <w:tc>
          <w:tcPr>
            <w:tcW w:w="5" w:type="pct"/>
            <w:shd w:val="clear" w:color="auto" w:fill="auto"/>
            <w:vAlign w:val="bottom"/>
          </w:tcPr>
          <w:p w14:paraId="392BECCD" w14:textId="77777777" w:rsidR="00980E5F" w:rsidRDefault="00980E5F">
            <w:pPr>
              <w:rPr>
                <w:rFonts w:ascii="宋体"/>
              </w:rPr>
            </w:pPr>
          </w:p>
        </w:tc>
        <w:tc>
          <w:tcPr>
            <w:tcW w:w="19" w:type="pct"/>
            <w:shd w:val="clear" w:color="auto" w:fill="auto"/>
            <w:vAlign w:val="bottom"/>
          </w:tcPr>
          <w:p w14:paraId="392BECCE" w14:textId="77777777" w:rsidR="00980E5F" w:rsidRDefault="00980E5F">
            <w:pPr>
              <w:rPr>
                <w:rFonts w:ascii="宋体"/>
              </w:rPr>
            </w:pPr>
          </w:p>
        </w:tc>
        <w:tc>
          <w:tcPr>
            <w:tcW w:w="5" w:type="pct"/>
            <w:shd w:val="clear" w:color="auto" w:fill="auto"/>
            <w:vAlign w:val="bottom"/>
          </w:tcPr>
          <w:p w14:paraId="392BECCF" w14:textId="77777777" w:rsidR="00980E5F" w:rsidRDefault="00980E5F">
            <w:pPr>
              <w:rPr>
                <w:rFonts w:ascii="宋体"/>
              </w:rPr>
            </w:pPr>
          </w:p>
        </w:tc>
        <w:tc>
          <w:tcPr>
            <w:tcW w:w="50" w:type="pct"/>
            <w:shd w:val="clear" w:color="auto" w:fill="auto"/>
            <w:vAlign w:val="bottom"/>
          </w:tcPr>
          <w:p w14:paraId="392BECD0" w14:textId="77777777" w:rsidR="00980E5F" w:rsidRDefault="00980E5F">
            <w:pPr>
              <w:rPr>
                <w:rFonts w:ascii="宋体"/>
              </w:rPr>
            </w:pPr>
          </w:p>
        </w:tc>
        <w:tc>
          <w:tcPr>
            <w:tcW w:w="365" w:type="pct"/>
            <w:shd w:val="clear" w:color="auto" w:fill="auto"/>
            <w:vAlign w:val="bottom"/>
          </w:tcPr>
          <w:p w14:paraId="392BECD1" w14:textId="77777777" w:rsidR="00980E5F" w:rsidRDefault="00980E5F">
            <w:pPr>
              <w:rPr>
                <w:rFonts w:ascii="宋体"/>
              </w:rPr>
            </w:pPr>
          </w:p>
        </w:tc>
        <w:tc>
          <w:tcPr>
            <w:tcW w:w="5" w:type="pct"/>
            <w:shd w:val="clear" w:color="auto" w:fill="auto"/>
            <w:vAlign w:val="bottom"/>
          </w:tcPr>
          <w:p w14:paraId="392BECD2" w14:textId="77777777" w:rsidR="00980E5F" w:rsidRDefault="00980E5F">
            <w:pPr>
              <w:rPr>
                <w:rFonts w:ascii="宋体"/>
              </w:rPr>
            </w:pPr>
          </w:p>
        </w:tc>
        <w:tc>
          <w:tcPr>
            <w:tcW w:w="5" w:type="pct"/>
            <w:shd w:val="clear" w:color="auto" w:fill="auto"/>
            <w:vAlign w:val="bottom"/>
          </w:tcPr>
          <w:p w14:paraId="392BECD3" w14:textId="77777777" w:rsidR="00980E5F" w:rsidRDefault="00980E5F">
            <w:pPr>
              <w:rPr>
                <w:rFonts w:ascii="宋体"/>
              </w:rPr>
            </w:pPr>
          </w:p>
        </w:tc>
        <w:tc>
          <w:tcPr>
            <w:tcW w:w="19" w:type="pct"/>
            <w:shd w:val="clear" w:color="auto" w:fill="auto"/>
            <w:vAlign w:val="bottom"/>
          </w:tcPr>
          <w:p w14:paraId="392BECD4" w14:textId="77777777" w:rsidR="00980E5F" w:rsidRDefault="00980E5F">
            <w:pPr>
              <w:rPr>
                <w:rFonts w:ascii="宋体"/>
              </w:rPr>
            </w:pPr>
          </w:p>
        </w:tc>
        <w:tc>
          <w:tcPr>
            <w:tcW w:w="5" w:type="pct"/>
            <w:shd w:val="clear" w:color="auto" w:fill="auto"/>
            <w:vAlign w:val="bottom"/>
          </w:tcPr>
          <w:p w14:paraId="392BECD5" w14:textId="77777777" w:rsidR="00980E5F" w:rsidRDefault="00980E5F">
            <w:pPr>
              <w:rPr>
                <w:rFonts w:ascii="宋体"/>
              </w:rPr>
            </w:pPr>
          </w:p>
        </w:tc>
        <w:tc>
          <w:tcPr>
            <w:tcW w:w="50" w:type="pct"/>
            <w:shd w:val="clear" w:color="auto" w:fill="auto"/>
            <w:vAlign w:val="bottom"/>
          </w:tcPr>
          <w:p w14:paraId="392BECD6" w14:textId="77777777" w:rsidR="00980E5F" w:rsidRDefault="00980E5F">
            <w:pPr>
              <w:rPr>
                <w:rFonts w:ascii="宋体"/>
              </w:rPr>
            </w:pPr>
          </w:p>
        </w:tc>
        <w:tc>
          <w:tcPr>
            <w:tcW w:w="365" w:type="pct"/>
            <w:shd w:val="clear" w:color="auto" w:fill="auto"/>
            <w:vAlign w:val="bottom"/>
          </w:tcPr>
          <w:p w14:paraId="392BECD7" w14:textId="77777777" w:rsidR="00980E5F" w:rsidRDefault="00980E5F">
            <w:pPr>
              <w:rPr>
                <w:rFonts w:ascii="宋体"/>
              </w:rPr>
            </w:pPr>
          </w:p>
        </w:tc>
        <w:tc>
          <w:tcPr>
            <w:tcW w:w="5" w:type="pct"/>
            <w:shd w:val="clear" w:color="auto" w:fill="auto"/>
            <w:vAlign w:val="bottom"/>
          </w:tcPr>
          <w:p w14:paraId="392BECD8" w14:textId="77777777" w:rsidR="00980E5F" w:rsidRDefault="00980E5F">
            <w:pPr>
              <w:rPr>
                <w:rFonts w:ascii="宋体"/>
              </w:rPr>
            </w:pPr>
          </w:p>
        </w:tc>
        <w:tc>
          <w:tcPr>
            <w:tcW w:w="5" w:type="pct"/>
            <w:shd w:val="clear" w:color="auto" w:fill="auto"/>
            <w:vAlign w:val="bottom"/>
          </w:tcPr>
          <w:p w14:paraId="392BECD9" w14:textId="77777777" w:rsidR="00980E5F" w:rsidRDefault="00980E5F">
            <w:pPr>
              <w:rPr>
                <w:rFonts w:ascii="宋体"/>
              </w:rPr>
            </w:pPr>
          </w:p>
        </w:tc>
        <w:tc>
          <w:tcPr>
            <w:tcW w:w="19" w:type="pct"/>
            <w:shd w:val="clear" w:color="auto" w:fill="auto"/>
            <w:vAlign w:val="bottom"/>
          </w:tcPr>
          <w:p w14:paraId="392BECDA" w14:textId="77777777" w:rsidR="00980E5F" w:rsidRDefault="00980E5F">
            <w:pPr>
              <w:rPr>
                <w:rFonts w:ascii="宋体"/>
              </w:rPr>
            </w:pPr>
          </w:p>
        </w:tc>
        <w:tc>
          <w:tcPr>
            <w:tcW w:w="5" w:type="pct"/>
            <w:shd w:val="clear" w:color="auto" w:fill="auto"/>
            <w:vAlign w:val="bottom"/>
          </w:tcPr>
          <w:p w14:paraId="392BECDB" w14:textId="77777777" w:rsidR="00980E5F" w:rsidRDefault="00980E5F">
            <w:pPr>
              <w:rPr>
                <w:rFonts w:ascii="宋体"/>
              </w:rPr>
            </w:pPr>
          </w:p>
        </w:tc>
        <w:tc>
          <w:tcPr>
            <w:tcW w:w="50" w:type="pct"/>
            <w:shd w:val="clear" w:color="auto" w:fill="auto"/>
            <w:vAlign w:val="bottom"/>
          </w:tcPr>
          <w:p w14:paraId="392BECDC" w14:textId="77777777" w:rsidR="00980E5F" w:rsidRDefault="00980E5F">
            <w:pPr>
              <w:rPr>
                <w:rFonts w:ascii="宋体"/>
              </w:rPr>
            </w:pPr>
          </w:p>
        </w:tc>
        <w:tc>
          <w:tcPr>
            <w:tcW w:w="365" w:type="pct"/>
            <w:shd w:val="clear" w:color="auto" w:fill="auto"/>
            <w:vAlign w:val="bottom"/>
          </w:tcPr>
          <w:p w14:paraId="392BECDD" w14:textId="77777777" w:rsidR="00980E5F" w:rsidRDefault="00980E5F">
            <w:pPr>
              <w:rPr>
                <w:rFonts w:ascii="宋体"/>
              </w:rPr>
            </w:pPr>
          </w:p>
        </w:tc>
        <w:tc>
          <w:tcPr>
            <w:tcW w:w="5" w:type="pct"/>
            <w:shd w:val="clear" w:color="auto" w:fill="auto"/>
            <w:vAlign w:val="bottom"/>
          </w:tcPr>
          <w:p w14:paraId="392BECDE" w14:textId="77777777" w:rsidR="00980E5F" w:rsidRDefault="00980E5F">
            <w:pPr>
              <w:rPr>
                <w:rFonts w:ascii="宋体"/>
              </w:rPr>
            </w:pPr>
          </w:p>
        </w:tc>
      </w:tr>
      <w:tr w:rsidR="00980E5F" w14:paraId="392BECE1" w14:textId="77777777">
        <w:tc>
          <w:tcPr>
            <w:tcW w:w="0" w:type="auto"/>
            <w:gridSpan w:val="54"/>
            <w:shd w:val="clear" w:color="auto" w:fill="auto"/>
            <w:tcMar>
              <w:top w:w="40" w:type="dxa"/>
              <w:left w:w="20" w:type="dxa"/>
              <w:bottom w:w="40" w:type="dxa"/>
              <w:right w:w="20" w:type="dxa"/>
            </w:tcMar>
            <w:vAlign w:val="bottom"/>
          </w:tcPr>
          <w:p w14:paraId="392BECE0" w14:textId="77777777" w:rsidR="00980E5F" w:rsidRDefault="00483613">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980E5F" w14:paraId="392BECE8" w14:textId="77777777">
        <w:tc>
          <w:tcPr>
            <w:tcW w:w="0" w:type="auto"/>
            <w:gridSpan w:val="3"/>
            <w:shd w:val="clear" w:color="auto" w:fill="auto"/>
            <w:tcMar>
              <w:top w:w="0" w:type="dxa"/>
              <w:left w:w="20" w:type="dxa"/>
              <w:bottom w:w="0" w:type="dxa"/>
              <w:right w:w="20" w:type="dxa"/>
            </w:tcMar>
            <w:vAlign w:val="bottom"/>
          </w:tcPr>
          <w:p w14:paraId="392BECE2"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BECE3" w14:textId="77777777" w:rsidR="00980E5F" w:rsidRDefault="00483613">
            <w:pPr>
              <w:jc w:val="center"/>
              <w:textAlignment w:val="bottom"/>
            </w:pPr>
            <w:r>
              <w:rPr>
                <w:rFonts w:ascii="Arial" w:eastAsia="宋体" w:hAnsi="Arial" w:cs="Arial"/>
                <w:b/>
                <w:bCs/>
                <w:color w:val="000000"/>
                <w:sz w:val="15"/>
                <w:szCs w:val="15"/>
              </w:rPr>
              <w:t>Daily Averages of Indices</w:t>
            </w:r>
          </w:p>
        </w:tc>
        <w:tc>
          <w:tcPr>
            <w:tcW w:w="0" w:type="auto"/>
            <w:gridSpan w:val="3"/>
            <w:shd w:val="clear" w:color="auto" w:fill="auto"/>
            <w:tcMar>
              <w:top w:w="0" w:type="dxa"/>
              <w:left w:w="20" w:type="dxa"/>
              <w:bottom w:w="0" w:type="dxa"/>
              <w:right w:w="20" w:type="dxa"/>
            </w:tcMar>
            <w:vAlign w:val="bottom"/>
          </w:tcPr>
          <w:p w14:paraId="392BECE4"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BECE5" w14:textId="77777777" w:rsidR="00980E5F" w:rsidRDefault="00483613">
            <w:pPr>
              <w:jc w:val="center"/>
              <w:textAlignment w:val="bottom"/>
            </w:pPr>
            <w:r>
              <w:rPr>
                <w:rFonts w:ascii="Arial" w:eastAsia="宋体" w:hAnsi="Arial" w:cs="Arial"/>
                <w:b/>
                <w:bCs/>
                <w:color w:val="000000"/>
                <w:sz w:val="15"/>
                <w:szCs w:val="15"/>
              </w:rPr>
              <w:t>Month-End Averages of Indices</w:t>
            </w:r>
          </w:p>
        </w:tc>
        <w:tc>
          <w:tcPr>
            <w:tcW w:w="0" w:type="auto"/>
            <w:gridSpan w:val="3"/>
            <w:shd w:val="clear" w:color="auto" w:fill="auto"/>
            <w:tcMar>
              <w:top w:w="0" w:type="dxa"/>
              <w:left w:w="20" w:type="dxa"/>
              <w:bottom w:w="0" w:type="dxa"/>
              <w:right w:w="20" w:type="dxa"/>
            </w:tcMar>
            <w:vAlign w:val="bottom"/>
          </w:tcPr>
          <w:p w14:paraId="392BECE6"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BECE7" w14:textId="77777777" w:rsidR="00980E5F" w:rsidRDefault="00483613">
            <w:pPr>
              <w:jc w:val="center"/>
              <w:textAlignment w:val="bottom"/>
            </w:pPr>
            <w:r>
              <w:rPr>
                <w:rFonts w:ascii="Arial" w:eastAsia="宋体" w:hAnsi="Arial" w:cs="Arial"/>
                <w:b/>
                <w:bCs/>
                <w:color w:val="000000"/>
                <w:sz w:val="15"/>
                <w:szCs w:val="15"/>
              </w:rPr>
              <w:t>Quarter-End Indices</w:t>
            </w:r>
          </w:p>
        </w:tc>
      </w:tr>
      <w:tr w:rsidR="00980E5F" w14:paraId="392BECEF" w14:textId="77777777">
        <w:tc>
          <w:tcPr>
            <w:tcW w:w="0" w:type="auto"/>
            <w:gridSpan w:val="3"/>
            <w:shd w:val="clear" w:color="auto" w:fill="auto"/>
            <w:tcMar>
              <w:top w:w="0" w:type="dxa"/>
              <w:left w:w="20" w:type="dxa"/>
              <w:bottom w:w="0" w:type="dxa"/>
              <w:right w:w="20" w:type="dxa"/>
            </w:tcMar>
            <w:vAlign w:val="bottom"/>
          </w:tcPr>
          <w:p w14:paraId="392BECE9"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ECEA" w14:textId="77777777" w:rsidR="00980E5F" w:rsidRDefault="00483613">
            <w:pPr>
              <w:jc w:val="center"/>
              <w:textAlignment w:val="bottom"/>
            </w:pPr>
            <w:r>
              <w:rPr>
                <w:rFonts w:ascii="Arial" w:eastAsia="宋体" w:hAnsi="Arial" w:cs="Arial"/>
                <w:b/>
                <w:bCs/>
                <w:color w:val="000000"/>
                <w:sz w:val="15"/>
                <w:szCs w:val="15"/>
              </w:rPr>
              <w:t xml:space="preserve">Three Months </w:t>
            </w:r>
            <w:r>
              <w:rPr>
                <w:rFonts w:ascii="Arial" w:eastAsia="宋体" w:hAnsi="Arial" w:cs="Arial"/>
                <w:b/>
                <w:bCs/>
                <w:color w:val="000000"/>
                <w:sz w:val="15"/>
                <w:szCs w:val="15"/>
              </w:rPr>
              <w:t>Ended June 30,</w:t>
            </w:r>
          </w:p>
        </w:tc>
        <w:tc>
          <w:tcPr>
            <w:tcW w:w="0" w:type="auto"/>
            <w:gridSpan w:val="3"/>
            <w:shd w:val="clear" w:color="auto" w:fill="auto"/>
            <w:tcMar>
              <w:top w:w="0" w:type="dxa"/>
              <w:left w:w="20" w:type="dxa"/>
              <w:bottom w:w="0" w:type="dxa"/>
              <w:right w:w="20" w:type="dxa"/>
            </w:tcMar>
            <w:vAlign w:val="bottom"/>
          </w:tcPr>
          <w:p w14:paraId="392BECEB"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ECEC" w14:textId="77777777" w:rsidR="00980E5F" w:rsidRDefault="00483613">
            <w:pPr>
              <w:jc w:val="center"/>
              <w:textAlignment w:val="bottom"/>
            </w:pPr>
            <w:r>
              <w:rPr>
                <w:rFonts w:ascii="Arial" w:eastAsia="宋体" w:hAnsi="Arial" w:cs="Arial"/>
                <w:b/>
                <w:bCs/>
                <w:color w:val="000000"/>
                <w:sz w:val="15"/>
                <w:szCs w:val="15"/>
              </w:rPr>
              <w:t>Three Months Ended June 30,</w:t>
            </w:r>
          </w:p>
        </w:tc>
        <w:tc>
          <w:tcPr>
            <w:tcW w:w="0" w:type="auto"/>
            <w:gridSpan w:val="3"/>
            <w:shd w:val="clear" w:color="auto" w:fill="auto"/>
            <w:tcMar>
              <w:top w:w="0" w:type="dxa"/>
              <w:left w:w="20" w:type="dxa"/>
              <w:bottom w:w="0" w:type="dxa"/>
              <w:right w:w="20" w:type="dxa"/>
            </w:tcMar>
            <w:vAlign w:val="bottom"/>
          </w:tcPr>
          <w:p w14:paraId="392BECED"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ECEE" w14:textId="77777777" w:rsidR="00980E5F" w:rsidRDefault="00483613">
            <w:pPr>
              <w:jc w:val="center"/>
              <w:textAlignment w:val="bottom"/>
            </w:pPr>
            <w:r>
              <w:rPr>
                <w:rFonts w:ascii="Arial" w:eastAsia="宋体" w:hAnsi="Arial" w:cs="Arial"/>
                <w:b/>
                <w:bCs/>
                <w:color w:val="000000"/>
                <w:sz w:val="15"/>
                <w:szCs w:val="15"/>
              </w:rPr>
              <w:t>As of June 30,</w:t>
            </w:r>
          </w:p>
        </w:tc>
      </w:tr>
      <w:tr w:rsidR="00980E5F" w14:paraId="392BED02" w14:textId="77777777">
        <w:tc>
          <w:tcPr>
            <w:tcW w:w="0" w:type="auto"/>
            <w:gridSpan w:val="3"/>
            <w:shd w:val="clear" w:color="auto" w:fill="auto"/>
            <w:tcMar>
              <w:top w:w="0" w:type="dxa"/>
              <w:left w:w="20" w:type="dxa"/>
              <w:bottom w:w="0" w:type="dxa"/>
              <w:right w:w="20" w:type="dxa"/>
            </w:tcMar>
            <w:vAlign w:val="bottom"/>
          </w:tcPr>
          <w:p w14:paraId="392BECF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1"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CF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3"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CF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5" w14:textId="77777777" w:rsidR="00980E5F" w:rsidRDefault="00483613">
            <w:pPr>
              <w:jc w:val="center"/>
              <w:textAlignment w:val="bottom"/>
            </w:pPr>
            <w:r>
              <w:rPr>
                <w:rFonts w:ascii="Arial" w:eastAsia="宋体" w:hAnsi="Arial" w:cs="Arial"/>
                <w:b/>
                <w:bCs/>
                <w:color w:val="000000"/>
                <w:sz w:val="15"/>
                <w:szCs w:val="15"/>
              </w:rPr>
              <w:t>% Change</w:t>
            </w:r>
          </w:p>
        </w:tc>
        <w:tc>
          <w:tcPr>
            <w:tcW w:w="0" w:type="auto"/>
            <w:gridSpan w:val="3"/>
            <w:shd w:val="clear" w:color="auto" w:fill="auto"/>
            <w:tcMar>
              <w:top w:w="0" w:type="dxa"/>
              <w:left w:w="20" w:type="dxa"/>
              <w:bottom w:w="0" w:type="dxa"/>
              <w:right w:w="20" w:type="dxa"/>
            </w:tcMar>
            <w:vAlign w:val="bottom"/>
          </w:tcPr>
          <w:p w14:paraId="392BECF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7"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CF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9"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CF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B" w14:textId="77777777" w:rsidR="00980E5F" w:rsidRDefault="00483613">
            <w:pPr>
              <w:jc w:val="center"/>
              <w:textAlignment w:val="bottom"/>
            </w:pPr>
            <w:r>
              <w:rPr>
                <w:rFonts w:ascii="Arial" w:eastAsia="宋体" w:hAnsi="Arial" w:cs="Arial"/>
                <w:b/>
                <w:bCs/>
                <w:color w:val="000000"/>
                <w:sz w:val="15"/>
                <w:szCs w:val="15"/>
              </w:rPr>
              <w:t>% Change</w:t>
            </w:r>
          </w:p>
        </w:tc>
        <w:tc>
          <w:tcPr>
            <w:tcW w:w="0" w:type="auto"/>
            <w:gridSpan w:val="3"/>
            <w:shd w:val="clear" w:color="auto" w:fill="auto"/>
            <w:tcMar>
              <w:top w:w="0" w:type="dxa"/>
              <w:left w:w="20" w:type="dxa"/>
              <w:bottom w:w="0" w:type="dxa"/>
              <w:right w:w="20" w:type="dxa"/>
            </w:tcMar>
            <w:vAlign w:val="bottom"/>
          </w:tcPr>
          <w:p w14:paraId="392BECF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D"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CF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CFF"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D0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D01" w14:textId="77777777" w:rsidR="00980E5F" w:rsidRDefault="00483613">
            <w:pPr>
              <w:jc w:val="center"/>
              <w:textAlignment w:val="bottom"/>
            </w:pPr>
            <w:r>
              <w:rPr>
                <w:rFonts w:ascii="Arial" w:eastAsia="宋体" w:hAnsi="Arial" w:cs="Arial"/>
                <w:b/>
                <w:bCs/>
                <w:color w:val="000000"/>
                <w:sz w:val="15"/>
                <w:szCs w:val="15"/>
              </w:rPr>
              <w:t>% Change</w:t>
            </w:r>
          </w:p>
        </w:tc>
      </w:tr>
      <w:tr w:rsidR="00980E5F" w14:paraId="392BED1E" w14:textId="77777777">
        <w:tc>
          <w:tcPr>
            <w:tcW w:w="0" w:type="auto"/>
            <w:gridSpan w:val="3"/>
            <w:shd w:val="clear" w:color="auto" w:fill="CCEEFF"/>
            <w:tcMar>
              <w:top w:w="40" w:type="dxa"/>
              <w:left w:w="20" w:type="dxa"/>
              <w:bottom w:w="40" w:type="dxa"/>
              <w:right w:w="20" w:type="dxa"/>
            </w:tcMar>
            <w:vAlign w:val="center"/>
          </w:tcPr>
          <w:p w14:paraId="392BED03" w14:textId="77777777" w:rsidR="00980E5F" w:rsidRDefault="00483613">
            <w:pPr>
              <w:textAlignment w:val="center"/>
            </w:pPr>
            <w:r>
              <w:rPr>
                <w:rFonts w:ascii="Arial" w:eastAsia="宋体" w:hAnsi="Arial" w:cs="Arial"/>
                <w:color w:val="000000"/>
                <w:sz w:val="15"/>
                <w:szCs w:val="15"/>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04" w14:textId="77777777" w:rsidR="00980E5F" w:rsidRDefault="00483613">
            <w:pPr>
              <w:jc w:val="right"/>
              <w:textAlignment w:val="center"/>
            </w:pPr>
            <w:r>
              <w:rPr>
                <w:rFonts w:ascii="Arial" w:eastAsia="宋体" w:hAnsi="Arial" w:cs="Arial"/>
                <w:b/>
                <w:bCs/>
                <w:color w:val="000000"/>
                <w:sz w:val="15"/>
                <w:szCs w:val="15"/>
              </w:rPr>
              <w:t>4,106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0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07" w14:textId="77777777" w:rsidR="00980E5F" w:rsidRDefault="00483613">
            <w:pPr>
              <w:jc w:val="right"/>
              <w:textAlignment w:val="center"/>
            </w:pPr>
            <w:r>
              <w:rPr>
                <w:rFonts w:ascii="Arial" w:eastAsia="宋体" w:hAnsi="Arial" w:cs="Arial"/>
                <w:color w:val="000000"/>
                <w:sz w:val="15"/>
                <w:szCs w:val="15"/>
              </w:rPr>
              <w:t>4,184 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0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0A" w14:textId="77777777" w:rsidR="00980E5F" w:rsidRDefault="00483613">
            <w:pPr>
              <w:jc w:val="right"/>
              <w:textAlignment w:val="center"/>
            </w:pPr>
            <w:r>
              <w:rPr>
                <w:rFonts w:ascii="Arial" w:eastAsia="宋体" w:hAnsi="Arial" w:cs="Arial"/>
                <w:color w:val="000000"/>
                <w:sz w:val="15"/>
                <w:szCs w:val="15"/>
              </w:rPr>
              <w:t>(2)</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0B" w14:textId="77777777" w:rsidR="00980E5F" w:rsidRDefault="00483613">
            <w:pPr>
              <w:jc w:val="right"/>
              <w:textAlignment w:val="center"/>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BED0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0D" w14:textId="77777777" w:rsidR="00980E5F" w:rsidRDefault="00483613">
            <w:pPr>
              <w:jc w:val="right"/>
              <w:textAlignment w:val="center"/>
            </w:pPr>
            <w:r>
              <w:rPr>
                <w:rFonts w:ascii="Arial" w:eastAsia="宋体" w:hAnsi="Arial" w:cs="Arial"/>
                <w:b/>
                <w:bCs/>
                <w:color w:val="000000"/>
                <w:sz w:val="15"/>
                <w:szCs w:val="15"/>
              </w:rPr>
              <w:t>4,016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0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10" w14:textId="77777777" w:rsidR="00980E5F" w:rsidRDefault="00483613">
            <w:pPr>
              <w:jc w:val="right"/>
              <w:textAlignment w:val="center"/>
            </w:pPr>
            <w:r>
              <w:rPr>
                <w:rFonts w:ascii="Arial" w:eastAsia="宋体" w:hAnsi="Arial" w:cs="Arial"/>
                <w:color w:val="000000"/>
                <w:sz w:val="15"/>
                <w:szCs w:val="15"/>
              </w:rPr>
              <w:t>4,228 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1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13" w14:textId="77777777" w:rsidR="00980E5F" w:rsidRDefault="00483613">
            <w:pPr>
              <w:jc w:val="right"/>
              <w:textAlignment w:val="center"/>
            </w:pPr>
            <w:r>
              <w:rPr>
                <w:rFonts w:ascii="Arial" w:eastAsia="宋体" w:hAnsi="Arial" w:cs="Arial"/>
                <w:color w:val="000000"/>
                <w:sz w:val="15"/>
                <w:szCs w:val="15"/>
              </w:rPr>
              <w:t>(5)</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14" w14:textId="77777777" w:rsidR="00980E5F" w:rsidRDefault="00483613">
            <w:pPr>
              <w:jc w:val="right"/>
              <w:textAlignment w:val="center"/>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BED1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16" w14:textId="77777777" w:rsidR="00980E5F" w:rsidRDefault="00483613">
            <w:pPr>
              <w:jc w:val="right"/>
              <w:textAlignment w:val="center"/>
            </w:pPr>
            <w:r>
              <w:rPr>
                <w:rFonts w:ascii="Arial" w:eastAsia="宋体" w:hAnsi="Arial" w:cs="Arial"/>
                <w:b/>
                <w:bCs/>
                <w:color w:val="000000"/>
                <w:sz w:val="15"/>
                <w:szCs w:val="15"/>
              </w:rPr>
              <w:t>3,785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1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19" w14:textId="77777777" w:rsidR="00980E5F" w:rsidRDefault="00483613">
            <w:pPr>
              <w:jc w:val="right"/>
              <w:textAlignment w:val="center"/>
            </w:pPr>
            <w:r>
              <w:rPr>
                <w:rFonts w:ascii="Arial" w:eastAsia="宋体" w:hAnsi="Arial" w:cs="Arial"/>
                <w:color w:val="000000"/>
                <w:sz w:val="15"/>
                <w:szCs w:val="15"/>
              </w:rPr>
              <w:t>4,298 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1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1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D1C" w14:textId="77777777" w:rsidR="00980E5F" w:rsidRDefault="00483613">
            <w:pPr>
              <w:jc w:val="right"/>
              <w:textAlignment w:val="center"/>
            </w:pPr>
            <w:r>
              <w:rPr>
                <w:rFonts w:ascii="Arial" w:eastAsia="宋体" w:hAnsi="Arial" w:cs="Arial"/>
                <w:color w:val="000000"/>
                <w:sz w:val="15"/>
                <w:szCs w:val="15"/>
              </w:rPr>
              <w:t>(12)</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D1D" w14:textId="77777777" w:rsidR="00980E5F" w:rsidRDefault="00483613">
            <w:pPr>
              <w:jc w:val="right"/>
              <w:textAlignment w:val="center"/>
            </w:pPr>
            <w:r>
              <w:rPr>
                <w:rFonts w:ascii="Arial" w:eastAsia="宋体" w:hAnsi="Arial" w:cs="Arial"/>
                <w:color w:val="000000"/>
                <w:sz w:val="15"/>
                <w:szCs w:val="15"/>
              </w:rPr>
              <w:t>%</w:t>
            </w:r>
          </w:p>
        </w:tc>
      </w:tr>
      <w:tr w:rsidR="00980E5F" w14:paraId="392BED3A" w14:textId="77777777">
        <w:tc>
          <w:tcPr>
            <w:tcW w:w="0" w:type="auto"/>
            <w:gridSpan w:val="3"/>
            <w:shd w:val="clear" w:color="auto" w:fill="FFFFFF"/>
            <w:tcMar>
              <w:top w:w="40" w:type="dxa"/>
              <w:left w:w="20" w:type="dxa"/>
              <w:bottom w:w="40" w:type="dxa"/>
              <w:right w:w="20" w:type="dxa"/>
            </w:tcMar>
            <w:vAlign w:val="center"/>
          </w:tcPr>
          <w:p w14:paraId="392BED1F" w14:textId="77777777" w:rsidR="00980E5F" w:rsidRDefault="00483613">
            <w:pPr>
              <w:textAlignment w:val="center"/>
            </w:pPr>
            <w:r>
              <w:rPr>
                <w:rFonts w:ascii="Arial" w:eastAsia="宋体" w:hAnsi="Arial" w:cs="Arial"/>
                <w:color w:val="000000"/>
                <w:sz w:val="15"/>
                <w:szCs w:val="15"/>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392BED20" w14:textId="77777777" w:rsidR="00980E5F" w:rsidRDefault="00483613">
            <w:pPr>
              <w:jc w:val="right"/>
              <w:textAlignment w:val="center"/>
            </w:pPr>
            <w:r>
              <w:rPr>
                <w:rFonts w:ascii="Arial" w:eastAsia="宋体" w:hAnsi="Arial" w:cs="Arial"/>
                <w:b/>
                <w:bCs/>
                <w:color w:val="000000"/>
                <w:sz w:val="15"/>
                <w:szCs w:val="15"/>
              </w:rPr>
              <w:t>1,998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D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23" w14:textId="77777777" w:rsidR="00980E5F" w:rsidRDefault="00483613">
            <w:pPr>
              <w:jc w:val="right"/>
              <w:textAlignment w:val="center"/>
            </w:pPr>
            <w:r>
              <w:rPr>
                <w:rFonts w:ascii="Arial" w:eastAsia="宋体" w:hAnsi="Arial" w:cs="Arial"/>
                <w:color w:val="000000"/>
                <w:sz w:val="15"/>
                <w:szCs w:val="15"/>
              </w:rPr>
              <w:t>2,307 </w:t>
            </w:r>
          </w:p>
        </w:tc>
        <w:tc>
          <w:tcPr>
            <w:tcW w:w="0" w:type="auto"/>
            <w:shd w:val="clear" w:color="auto" w:fill="FFFFFF"/>
            <w:tcMar>
              <w:top w:w="40" w:type="dxa"/>
              <w:left w:w="0" w:type="dxa"/>
              <w:bottom w:w="40" w:type="dxa"/>
              <w:right w:w="20" w:type="dxa"/>
            </w:tcMar>
            <w:vAlign w:val="center"/>
          </w:tcPr>
          <w:p w14:paraId="392BED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26" w14:textId="77777777" w:rsidR="00980E5F" w:rsidRDefault="00483613">
            <w:pPr>
              <w:jc w:val="right"/>
              <w:textAlignment w:val="center"/>
            </w:pPr>
            <w:r>
              <w:rPr>
                <w:rFonts w:ascii="Arial" w:eastAsia="宋体" w:hAnsi="Arial" w:cs="Arial"/>
                <w:color w:val="000000"/>
                <w:sz w:val="15"/>
                <w:szCs w:val="15"/>
              </w:rPr>
              <w:t>(13)</w:t>
            </w:r>
          </w:p>
        </w:tc>
        <w:tc>
          <w:tcPr>
            <w:tcW w:w="0" w:type="auto"/>
            <w:shd w:val="clear" w:color="auto" w:fill="FFFFFF"/>
            <w:tcMar>
              <w:top w:w="40" w:type="dxa"/>
              <w:left w:w="0" w:type="dxa"/>
              <w:bottom w:w="40" w:type="dxa"/>
              <w:right w:w="20" w:type="dxa"/>
            </w:tcMar>
            <w:vAlign w:val="center"/>
          </w:tcPr>
          <w:p w14:paraId="392BED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29" w14:textId="77777777" w:rsidR="00980E5F" w:rsidRDefault="00483613">
            <w:pPr>
              <w:jc w:val="right"/>
              <w:textAlignment w:val="center"/>
            </w:pPr>
            <w:r>
              <w:rPr>
                <w:rFonts w:ascii="Arial" w:eastAsia="宋体" w:hAnsi="Arial" w:cs="Arial"/>
                <w:b/>
                <w:bCs/>
                <w:color w:val="000000"/>
                <w:sz w:val="15"/>
                <w:szCs w:val="15"/>
              </w:rPr>
              <w:t>1,973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D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2C" w14:textId="77777777" w:rsidR="00980E5F" w:rsidRDefault="00483613">
            <w:pPr>
              <w:jc w:val="right"/>
              <w:textAlignment w:val="center"/>
            </w:pPr>
            <w:r>
              <w:rPr>
                <w:rFonts w:ascii="Arial" w:eastAsia="宋体" w:hAnsi="Arial" w:cs="Arial"/>
                <w:color w:val="000000"/>
                <w:sz w:val="15"/>
                <w:szCs w:val="15"/>
              </w:rPr>
              <w:t>2,302 </w:t>
            </w:r>
          </w:p>
        </w:tc>
        <w:tc>
          <w:tcPr>
            <w:tcW w:w="0" w:type="auto"/>
            <w:shd w:val="clear" w:color="auto" w:fill="FFFFFF"/>
            <w:tcMar>
              <w:top w:w="40" w:type="dxa"/>
              <w:left w:w="0" w:type="dxa"/>
              <w:bottom w:w="40" w:type="dxa"/>
              <w:right w:w="20" w:type="dxa"/>
            </w:tcMar>
            <w:vAlign w:val="center"/>
          </w:tcPr>
          <w:p w14:paraId="392BED2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2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2F" w14:textId="77777777" w:rsidR="00980E5F" w:rsidRDefault="00483613">
            <w:pPr>
              <w:jc w:val="right"/>
              <w:textAlignment w:val="center"/>
            </w:pPr>
            <w:r>
              <w:rPr>
                <w:rFonts w:ascii="Arial" w:eastAsia="宋体" w:hAnsi="Arial" w:cs="Arial"/>
                <w:color w:val="000000"/>
                <w:sz w:val="15"/>
                <w:szCs w:val="15"/>
              </w:rPr>
              <w:t>(14)</w:t>
            </w:r>
          </w:p>
        </w:tc>
        <w:tc>
          <w:tcPr>
            <w:tcW w:w="0" w:type="auto"/>
            <w:shd w:val="clear" w:color="auto" w:fill="FFFFFF"/>
            <w:tcMar>
              <w:top w:w="40" w:type="dxa"/>
              <w:left w:w="0" w:type="dxa"/>
              <w:bottom w:w="40" w:type="dxa"/>
              <w:right w:w="20" w:type="dxa"/>
            </w:tcMar>
            <w:vAlign w:val="center"/>
          </w:tcPr>
          <w:p w14:paraId="392BED3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3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32" w14:textId="77777777" w:rsidR="00980E5F" w:rsidRDefault="00483613">
            <w:pPr>
              <w:jc w:val="right"/>
              <w:textAlignment w:val="center"/>
            </w:pPr>
            <w:r>
              <w:rPr>
                <w:rFonts w:ascii="Arial" w:eastAsia="宋体" w:hAnsi="Arial" w:cs="Arial"/>
                <w:b/>
                <w:bCs/>
                <w:color w:val="000000"/>
                <w:sz w:val="15"/>
                <w:szCs w:val="15"/>
              </w:rPr>
              <w:t>1,846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D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3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35" w14:textId="77777777" w:rsidR="00980E5F" w:rsidRDefault="00483613">
            <w:pPr>
              <w:jc w:val="right"/>
              <w:textAlignment w:val="center"/>
            </w:pPr>
            <w:r>
              <w:rPr>
                <w:rFonts w:ascii="Arial" w:eastAsia="宋体" w:hAnsi="Arial" w:cs="Arial"/>
                <w:color w:val="000000"/>
                <w:sz w:val="15"/>
                <w:szCs w:val="15"/>
              </w:rPr>
              <w:t>2,305 </w:t>
            </w:r>
          </w:p>
        </w:tc>
        <w:tc>
          <w:tcPr>
            <w:tcW w:w="0" w:type="auto"/>
            <w:shd w:val="clear" w:color="auto" w:fill="FFFFFF"/>
            <w:tcMar>
              <w:top w:w="40" w:type="dxa"/>
              <w:left w:w="0" w:type="dxa"/>
              <w:bottom w:w="40" w:type="dxa"/>
              <w:right w:w="20" w:type="dxa"/>
            </w:tcMar>
            <w:vAlign w:val="center"/>
          </w:tcPr>
          <w:p w14:paraId="392BED3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D3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D38" w14:textId="77777777" w:rsidR="00980E5F" w:rsidRDefault="00483613">
            <w:pPr>
              <w:jc w:val="right"/>
              <w:textAlignment w:val="center"/>
            </w:pPr>
            <w:r>
              <w:rPr>
                <w:rFonts w:ascii="Arial" w:eastAsia="宋体" w:hAnsi="Arial" w:cs="Arial"/>
                <w:color w:val="000000"/>
                <w:sz w:val="15"/>
                <w:szCs w:val="15"/>
              </w:rPr>
              <w:t>(20)</w:t>
            </w:r>
          </w:p>
        </w:tc>
        <w:tc>
          <w:tcPr>
            <w:tcW w:w="0" w:type="auto"/>
            <w:shd w:val="clear" w:color="auto" w:fill="FFFFFF"/>
            <w:tcMar>
              <w:top w:w="40" w:type="dxa"/>
              <w:left w:w="0" w:type="dxa"/>
              <w:bottom w:w="40" w:type="dxa"/>
              <w:right w:w="20" w:type="dxa"/>
            </w:tcMar>
            <w:vAlign w:val="center"/>
          </w:tcPr>
          <w:p w14:paraId="392BED39" w14:textId="77777777" w:rsidR="00980E5F" w:rsidRDefault="00980E5F">
            <w:pPr>
              <w:jc w:val="right"/>
              <w:rPr>
                <w:rFonts w:ascii="宋体"/>
              </w:rPr>
            </w:pPr>
          </w:p>
        </w:tc>
      </w:tr>
      <w:tr w:rsidR="00980E5F" w14:paraId="392BED56" w14:textId="77777777">
        <w:tc>
          <w:tcPr>
            <w:tcW w:w="0" w:type="auto"/>
            <w:gridSpan w:val="3"/>
            <w:shd w:val="clear" w:color="auto" w:fill="CCEEFF"/>
            <w:tcMar>
              <w:top w:w="40" w:type="dxa"/>
              <w:left w:w="20" w:type="dxa"/>
              <w:bottom w:w="40" w:type="dxa"/>
              <w:right w:w="20" w:type="dxa"/>
            </w:tcMar>
            <w:vAlign w:val="center"/>
          </w:tcPr>
          <w:p w14:paraId="392BED3B" w14:textId="77777777" w:rsidR="00980E5F" w:rsidRDefault="00483613">
            <w:pPr>
              <w:textAlignment w:val="center"/>
            </w:pPr>
            <w:r>
              <w:rPr>
                <w:rFonts w:ascii="Arial" w:eastAsia="宋体" w:hAnsi="Arial" w:cs="Arial"/>
                <w:color w:val="000000"/>
                <w:sz w:val="15"/>
                <w:szCs w:val="15"/>
              </w:rPr>
              <w:t>MSCI</w:t>
            </w:r>
            <w:r>
              <w:rPr>
                <w:rFonts w:ascii="Arial" w:eastAsia="宋体" w:hAnsi="Arial" w:cs="Arial"/>
                <w:color w:val="000000"/>
                <w:sz w:val="9"/>
                <w:szCs w:val="9"/>
              </w:rPr>
              <w:t>®</w:t>
            </w:r>
            <w:r>
              <w:rPr>
                <w:rFonts w:ascii="Arial" w:eastAsia="宋体" w:hAnsi="Arial" w:cs="Arial"/>
                <w:color w:val="000000"/>
                <w:sz w:val="15"/>
                <w:szCs w:val="15"/>
              </w:rPr>
              <w:t xml:space="preserve"> Emerging Markets</w:t>
            </w:r>
          </w:p>
        </w:tc>
        <w:tc>
          <w:tcPr>
            <w:tcW w:w="0" w:type="auto"/>
            <w:gridSpan w:val="2"/>
            <w:shd w:val="clear" w:color="auto" w:fill="CCEEFF"/>
            <w:tcMar>
              <w:top w:w="40" w:type="dxa"/>
              <w:left w:w="20" w:type="dxa"/>
              <w:bottom w:w="40" w:type="dxa"/>
              <w:right w:w="0" w:type="dxa"/>
            </w:tcMar>
            <w:vAlign w:val="center"/>
          </w:tcPr>
          <w:p w14:paraId="392BED3C" w14:textId="77777777" w:rsidR="00980E5F" w:rsidRDefault="00483613">
            <w:pPr>
              <w:jc w:val="right"/>
              <w:textAlignment w:val="center"/>
            </w:pPr>
            <w:r>
              <w:rPr>
                <w:rFonts w:ascii="Arial" w:eastAsia="宋体" w:hAnsi="Arial" w:cs="Arial"/>
                <w:b/>
                <w:bCs/>
                <w:color w:val="000000"/>
                <w:sz w:val="15"/>
                <w:szCs w:val="15"/>
              </w:rPr>
              <w:t>1,055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BED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3F" w14:textId="77777777" w:rsidR="00980E5F" w:rsidRDefault="00483613">
            <w:pPr>
              <w:jc w:val="right"/>
              <w:textAlignment w:val="center"/>
            </w:pPr>
            <w:r>
              <w:rPr>
                <w:rFonts w:ascii="Arial" w:eastAsia="宋体" w:hAnsi="Arial" w:cs="Arial"/>
                <w:color w:val="000000"/>
                <w:sz w:val="15"/>
                <w:szCs w:val="15"/>
              </w:rPr>
              <w:t>1,351 </w:t>
            </w:r>
          </w:p>
        </w:tc>
        <w:tc>
          <w:tcPr>
            <w:tcW w:w="0" w:type="auto"/>
            <w:shd w:val="clear" w:color="auto" w:fill="CCEEFF"/>
            <w:tcMar>
              <w:top w:w="40" w:type="dxa"/>
              <w:left w:w="0" w:type="dxa"/>
              <w:bottom w:w="40" w:type="dxa"/>
              <w:right w:w="20" w:type="dxa"/>
            </w:tcMar>
            <w:vAlign w:val="center"/>
          </w:tcPr>
          <w:p w14:paraId="392BED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42" w14:textId="77777777" w:rsidR="00980E5F" w:rsidRDefault="00483613">
            <w:pPr>
              <w:jc w:val="right"/>
              <w:textAlignment w:val="center"/>
            </w:pPr>
            <w:r>
              <w:rPr>
                <w:rFonts w:ascii="Arial" w:eastAsia="宋体" w:hAnsi="Arial" w:cs="Arial"/>
                <w:color w:val="000000"/>
                <w:sz w:val="15"/>
                <w:szCs w:val="15"/>
              </w:rPr>
              <w:t>(22)</w:t>
            </w:r>
          </w:p>
        </w:tc>
        <w:tc>
          <w:tcPr>
            <w:tcW w:w="0" w:type="auto"/>
            <w:shd w:val="clear" w:color="auto" w:fill="CCEEFF"/>
            <w:tcMar>
              <w:top w:w="40" w:type="dxa"/>
              <w:left w:w="0" w:type="dxa"/>
              <w:bottom w:w="40" w:type="dxa"/>
              <w:right w:w="20" w:type="dxa"/>
            </w:tcMar>
            <w:vAlign w:val="center"/>
          </w:tcPr>
          <w:p w14:paraId="392BED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45" w14:textId="77777777" w:rsidR="00980E5F" w:rsidRDefault="00483613">
            <w:pPr>
              <w:jc w:val="right"/>
              <w:textAlignment w:val="center"/>
            </w:pPr>
            <w:r>
              <w:rPr>
                <w:rFonts w:ascii="Arial" w:eastAsia="宋体" w:hAnsi="Arial" w:cs="Arial"/>
                <w:b/>
                <w:bCs/>
                <w:color w:val="000000"/>
                <w:sz w:val="15"/>
                <w:szCs w:val="15"/>
              </w:rPr>
              <w:t>1,052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BED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48" w14:textId="77777777" w:rsidR="00980E5F" w:rsidRDefault="00483613">
            <w:pPr>
              <w:jc w:val="right"/>
              <w:textAlignment w:val="center"/>
            </w:pPr>
            <w:r>
              <w:rPr>
                <w:rFonts w:ascii="Arial" w:eastAsia="宋体" w:hAnsi="Arial" w:cs="Arial"/>
                <w:color w:val="000000"/>
                <w:sz w:val="15"/>
                <w:szCs w:val="15"/>
              </w:rPr>
              <w:t>1,366 </w:t>
            </w:r>
          </w:p>
        </w:tc>
        <w:tc>
          <w:tcPr>
            <w:tcW w:w="0" w:type="auto"/>
            <w:shd w:val="clear" w:color="auto" w:fill="CCEEFF"/>
            <w:tcMar>
              <w:top w:w="40" w:type="dxa"/>
              <w:left w:w="0" w:type="dxa"/>
              <w:bottom w:w="40" w:type="dxa"/>
              <w:right w:w="20" w:type="dxa"/>
            </w:tcMar>
            <w:vAlign w:val="center"/>
          </w:tcPr>
          <w:p w14:paraId="392BED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4B" w14:textId="77777777" w:rsidR="00980E5F" w:rsidRDefault="00483613">
            <w:pPr>
              <w:jc w:val="right"/>
              <w:textAlignment w:val="center"/>
            </w:pPr>
            <w:r>
              <w:rPr>
                <w:rFonts w:ascii="Arial" w:eastAsia="宋体" w:hAnsi="Arial" w:cs="Arial"/>
                <w:color w:val="000000"/>
                <w:sz w:val="15"/>
                <w:szCs w:val="15"/>
              </w:rPr>
              <w:t>(23)</w:t>
            </w:r>
          </w:p>
        </w:tc>
        <w:tc>
          <w:tcPr>
            <w:tcW w:w="0" w:type="auto"/>
            <w:shd w:val="clear" w:color="auto" w:fill="CCEEFF"/>
            <w:tcMar>
              <w:top w:w="40" w:type="dxa"/>
              <w:left w:w="0" w:type="dxa"/>
              <w:bottom w:w="40" w:type="dxa"/>
              <w:right w:w="20" w:type="dxa"/>
            </w:tcMar>
            <w:vAlign w:val="center"/>
          </w:tcPr>
          <w:p w14:paraId="392BED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4E" w14:textId="77777777" w:rsidR="00980E5F" w:rsidRDefault="00483613">
            <w:pPr>
              <w:jc w:val="right"/>
              <w:textAlignment w:val="center"/>
            </w:pPr>
            <w:r>
              <w:rPr>
                <w:rFonts w:ascii="Arial" w:eastAsia="宋体" w:hAnsi="Arial" w:cs="Arial"/>
                <w:b/>
                <w:bCs/>
                <w:color w:val="000000"/>
                <w:sz w:val="15"/>
                <w:szCs w:val="15"/>
              </w:rPr>
              <w:t>1,001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BED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5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51" w14:textId="77777777" w:rsidR="00980E5F" w:rsidRDefault="00483613">
            <w:pPr>
              <w:jc w:val="right"/>
              <w:textAlignment w:val="center"/>
            </w:pPr>
            <w:r>
              <w:rPr>
                <w:rFonts w:ascii="Arial" w:eastAsia="宋体" w:hAnsi="Arial" w:cs="Arial"/>
                <w:color w:val="000000"/>
                <w:sz w:val="15"/>
                <w:szCs w:val="15"/>
              </w:rPr>
              <w:t>1,375 </w:t>
            </w:r>
          </w:p>
        </w:tc>
        <w:tc>
          <w:tcPr>
            <w:tcW w:w="0" w:type="auto"/>
            <w:shd w:val="clear" w:color="auto" w:fill="CCEEFF"/>
            <w:tcMar>
              <w:top w:w="40" w:type="dxa"/>
              <w:left w:w="0" w:type="dxa"/>
              <w:bottom w:w="40" w:type="dxa"/>
              <w:right w:w="20" w:type="dxa"/>
            </w:tcMar>
            <w:vAlign w:val="center"/>
          </w:tcPr>
          <w:p w14:paraId="392BED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D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D54" w14:textId="77777777" w:rsidR="00980E5F" w:rsidRDefault="00483613">
            <w:pPr>
              <w:jc w:val="right"/>
              <w:textAlignment w:val="center"/>
            </w:pPr>
            <w:r>
              <w:rPr>
                <w:rFonts w:ascii="Arial" w:eastAsia="宋体" w:hAnsi="Arial" w:cs="Arial"/>
                <w:color w:val="000000"/>
                <w:sz w:val="15"/>
                <w:szCs w:val="15"/>
              </w:rPr>
              <w:t>(27)</w:t>
            </w:r>
          </w:p>
        </w:tc>
        <w:tc>
          <w:tcPr>
            <w:tcW w:w="0" w:type="auto"/>
            <w:shd w:val="clear" w:color="auto" w:fill="CCEEFF"/>
            <w:tcMar>
              <w:top w:w="40" w:type="dxa"/>
              <w:left w:w="0" w:type="dxa"/>
              <w:bottom w:w="40" w:type="dxa"/>
              <w:right w:w="20" w:type="dxa"/>
            </w:tcMar>
            <w:vAlign w:val="center"/>
          </w:tcPr>
          <w:p w14:paraId="392BED55" w14:textId="77777777" w:rsidR="00980E5F" w:rsidRDefault="00980E5F">
            <w:pPr>
              <w:jc w:val="right"/>
              <w:rPr>
                <w:rFonts w:ascii="宋体"/>
              </w:rPr>
            </w:pPr>
          </w:p>
        </w:tc>
      </w:tr>
      <w:tr w:rsidR="00980E5F" w14:paraId="392BED69" w14:textId="77777777">
        <w:trPr>
          <w:trHeight w:val="60"/>
        </w:trPr>
        <w:tc>
          <w:tcPr>
            <w:tcW w:w="0" w:type="auto"/>
            <w:gridSpan w:val="3"/>
            <w:shd w:val="clear" w:color="auto" w:fill="FFFFFF"/>
            <w:tcMar>
              <w:top w:w="0" w:type="dxa"/>
              <w:left w:w="20" w:type="dxa"/>
              <w:bottom w:w="0" w:type="dxa"/>
              <w:right w:w="20" w:type="dxa"/>
            </w:tcMar>
            <w:vAlign w:val="bottom"/>
          </w:tcPr>
          <w:p w14:paraId="392BED5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5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D68" w14:textId="77777777" w:rsidR="00980E5F" w:rsidRDefault="00980E5F">
            <w:pPr>
              <w:rPr>
                <w:rFonts w:ascii="宋体"/>
              </w:rPr>
            </w:pPr>
          </w:p>
        </w:tc>
      </w:tr>
      <w:tr w:rsidR="00980E5F" w14:paraId="392BED94" w14:textId="77777777">
        <w:trPr>
          <w:hidden/>
        </w:trPr>
        <w:tc>
          <w:tcPr>
            <w:tcW w:w="0" w:type="auto"/>
            <w:gridSpan w:val="3"/>
            <w:shd w:val="clear" w:color="auto" w:fill="auto"/>
            <w:vAlign w:val="bottom"/>
          </w:tcPr>
          <w:p w14:paraId="392BED6A" w14:textId="77777777" w:rsidR="00980E5F" w:rsidRDefault="00980E5F">
            <w:pPr>
              <w:rPr>
                <w:rFonts w:ascii="宋体"/>
                <w:vanish/>
              </w:rPr>
            </w:pPr>
          </w:p>
        </w:tc>
        <w:tc>
          <w:tcPr>
            <w:tcW w:w="0" w:type="auto"/>
            <w:gridSpan w:val="3"/>
            <w:shd w:val="clear" w:color="auto" w:fill="auto"/>
            <w:vAlign w:val="bottom"/>
          </w:tcPr>
          <w:p w14:paraId="392BED6B" w14:textId="77777777" w:rsidR="00980E5F" w:rsidRDefault="00980E5F">
            <w:pPr>
              <w:rPr>
                <w:rFonts w:ascii="宋体"/>
                <w:vanish/>
              </w:rPr>
            </w:pPr>
          </w:p>
        </w:tc>
        <w:tc>
          <w:tcPr>
            <w:tcW w:w="0" w:type="auto"/>
            <w:gridSpan w:val="3"/>
            <w:shd w:val="clear" w:color="auto" w:fill="auto"/>
            <w:vAlign w:val="bottom"/>
          </w:tcPr>
          <w:p w14:paraId="392BED6C" w14:textId="77777777" w:rsidR="00980E5F" w:rsidRDefault="00980E5F">
            <w:pPr>
              <w:rPr>
                <w:rFonts w:ascii="宋体"/>
                <w:vanish/>
              </w:rPr>
            </w:pPr>
          </w:p>
        </w:tc>
        <w:tc>
          <w:tcPr>
            <w:tcW w:w="0" w:type="auto"/>
            <w:gridSpan w:val="3"/>
            <w:shd w:val="clear" w:color="auto" w:fill="auto"/>
            <w:vAlign w:val="bottom"/>
          </w:tcPr>
          <w:p w14:paraId="392BED6D" w14:textId="77777777" w:rsidR="00980E5F" w:rsidRDefault="00980E5F">
            <w:pPr>
              <w:rPr>
                <w:rFonts w:ascii="宋体"/>
                <w:vanish/>
              </w:rPr>
            </w:pPr>
          </w:p>
        </w:tc>
        <w:tc>
          <w:tcPr>
            <w:tcW w:w="0" w:type="auto"/>
            <w:gridSpan w:val="3"/>
            <w:shd w:val="clear" w:color="auto" w:fill="auto"/>
            <w:vAlign w:val="bottom"/>
          </w:tcPr>
          <w:p w14:paraId="392BED6E" w14:textId="77777777" w:rsidR="00980E5F" w:rsidRDefault="00980E5F">
            <w:pPr>
              <w:rPr>
                <w:rFonts w:ascii="宋体"/>
                <w:vanish/>
              </w:rPr>
            </w:pPr>
          </w:p>
        </w:tc>
        <w:tc>
          <w:tcPr>
            <w:tcW w:w="0" w:type="auto"/>
            <w:gridSpan w:val="3"/>
            <w:shd w:val="clear" w:color="auto" w:fill="auto"/>
            <w:vAlign w:val="bottom"/>
          </w:tcPr>
          <w:p w14:paraId="392BED6F" w14:textId="77777777" w:rsidR="00980E5F" w:rsidRDefault="00980E5F">
            <w:pPr>
              <w:rPr>
                <w:rFonts w:ascii="宋体"/>
                <w:vanish/>
              </w:rPr>
            </w:pPr>
          </w:p>
        </w:tc>
        <w:tc>
          <w:tcPr>
            <w:tcW w:w="0" w:type="auto"/>
            <w:shd w:val="clear" w:color="auto" w:fill="auto"/>
            <w:vAlign w:val="bottom"/>
          </w:tcPr>
          <w:p w14:paraId="392BED70" w14:textId="77777777" w:rsidR="00980E5F" w:rsidRDefault="00980E5F">
            <w:pPr>
              <w:rPr>
                <w:rFonts w:ascii="宋体"/>
              </w:rPr>
            </w:pPr>
          </w:p>
        </w:tc>
        <w:tc>
          <w:tcPr>
            <w:tcW w:w="0" w:type="auto"/>
            <w:shd w:val="clear" w:color="auto" w:fill="auto"/>
            <w:vAlign w:val="bottom"/>
          </w:tcPr>
          <w:p w14:paraId="392BED71" w14:textId="77777777" w:rsidR="00980E5F" w:rsidRDefault="00980E5F">
            <w:pPr>
              <w:rPr>
                <w:rFonts w:ascii="宋体"/>
              </w:rPr>
            </w:pPr>
          </w:p>
        </w:tc>
        <w:tc>
          <w:tcPr>
            <w:tcW w:w="0" w:type="auto"/>
            <w:shd w:val="clear" w:color="auto" w:fill="auto"/>
            <w:vAlign w:val="bottom"/>
          </w:tcPr>
          <w:p w14:paraId="392BED72" w14:textId="77777777" w:rsidR="00980E5F" w:rsidRDefault="00980E5F">
            <w:pPr>
              <w:rPr>
                <w:rFonts w:ascii="宋体"/>
              </w:rPr>
            </w:pPr>
          </w:p>
        </w:tc>
        <w:tc>
          <w:tcPr>
            <w:tcW w:w="0" w:type="auto"/>
            <w:shd w:val="clear" w:color="auto" w:fill="auto"/>
            <w:vAlign w:val="bottom"/>
          </w:tcPr>
          <w:p w14:paraId="392BED73" w14:textId="77777777" w:rsidR="00980E5F" w:rsidRDefault="00980E5F">
            <w:pPr>
              <w:rPr>
                <w:rFonts w:ascii="宋体"/>
              </w:rPr>
            </w:pPr>
          </w:p>
        </w:tc>
        <w:tc>
          <w:tcPr>
            <w:tcW w:w="0" w:type="auto"/>
            <w:shd w:val="clear" w:color="auto" w:fill="auto"/>
            <w:vAlign w:val="bottom"/>
          </w:tcPr>
          <w:p w14:paraId="392BED74" w14:textId="77777777" w:rsidR="00980E5F" w:rsidRDefault="00980E5F">
            <w:pPr>
              <w:rPr>
                <w:rFonts w:ascii="宋体"/>
              </w:rPr>
            </w:pPr>
          </w:p>
        </w:tc>
        <w:tc>
          <w:tcPr>
            <w:tcW w:w="0" w:type="auto"/>
            <w:shd w:val="clear" w:color="auto" w:fill="auto"/>
            <w:vAlign w:val="bottom"/>
          </w:tcPr>
          <w:p w14:paraId="392BED75" w14:textId="77777777" w:rsidR="00980E5F" w:rsidRDefault="00980E5F">
            <w:pPr>
              <w:rPr>
                <w:rFonts w:ascii="宋体"/>
              </w:rPr>
            </w:pPr>
          </w:p>
        </w:tc>
        <w:tc>
          <w:tcPr>
            <w:tcW w:w="0" w:type="auto"/>
            <w:shd w:val="clear" w:color="auto" w:fill="auto"/>
            <w:vAlign w:val="bottom"/>
          </w:tcPr>
          <w:p w14:paraId="392BED76" w14:textId="77777777" w:rsidR="00980E5F" w:rsidRDefault="00980E5F">
            <w:pPr>
              <w:rPr>
                <w:rFonts w:ascii="宋体"/>
              </w:rPr>
            </w:pPr>
          </w:p>
        </w:tc>
        <w:tc>
          <w:tcPr>
            <w:tcW w:w="0" w:type="auto"/>
            <w:shd w:val="clear" w:color="auto" w:fill="auto"/>
            <w:vAlign w:val="bottom"/>
          </w:tcPr>
          <w:p w14:paraId="392BED77" w14:textId="77777777" w:rsidR="00980E5F" w:rsidRDefault="00980E5F">
            <w:pPr>
              <w:rPr>
                <w:rFonts w:ascii="宋体"/>
              </w:rPr>
            </w:pPr>
          </w:p>
        </w:tc>
        <w:tc>
          <w:tcPr>
            <w:tcW w:w="0" w:type="auto"/>
            <w:shd w:val="clear" w:color="auto" w:fill="auto"/>
            <w:vAlign w:val="bottom"/>
          </w:tcPr>
          <w:p w14:paraId="392BED78" w14:textId="77777777" w:rsidR="00980E5F" w:rsidRDefault="00980E5F">
            <w:pPr>
              <w:rPr>
                <w:rFonts w:ascii="宋体"/>
              </w:rPr>
            </w:pPr>
          </w:p>
        </w:tc>
        <w:tc>
          <w:tcPr>
            <w:tcW w:w="0" w:type="auto"/>
            <w:shd w:val="clear" w:color="auto" w:fill="auto"/>
            <w:vAlign w:val="bottom"/>
          </w:tcPr>
          <w:p w14:paraId="392BED79" w14:textId="77777777" w:rsidR="00980E5F" w:rsidRDefault="00980E5F">
            <w:pPr>
              <w:rPr>
                <w:rFonts w:ascii="宋体"/>
              </w:rPr>
            </w:pPr>
          </w:p>
        </w:tc>
        <w:tc>
          <w:tcPr>
            <w:tcW w:w="0" w:type="auto"/>
            <w:shd w:val="clear" w:color="auto" w:fill="auto"/>
            <w:vAlign w:val="bottom"/>
          </w:tcPr>
          <w:p w14:paraId="392BED7A" w14:textId="77777777" w:rsidR="00980E5F" w:rsidRDefault="00980E5F">
            <w:pPr>
              <w:rPr>
                <w:rFonts w:ascii="宋体"/>
              </w:rPr>
            </w:pPr>
          </w:p>
        </w:tc>
        <w:tc>
          <w:tcPr>
            <w:tcW w:w="0" w:type="auto"/>
            <w:shd w:val="clear" w:color="auto" w:fill="auto"/>
            <w:vAlign w:val="bottom"/>
          </w:tcPr>
          <w:p w14:paraId="392BED7B" w14:textId="77777777" w:rsidR="00980E5F" w:rsidRDefault="00980E5F">
            <w:pPr>
              <w:rPr>
                <w:rFonts w:ascii="宋体"/>
              </w:rPr>
            </w:pPr>
          </w:p>
        </w:tc>
        <w:tc>
          <w:tcPr>
            <w:tcW w:w="0" w:type="auto"/>
            <w:shd w:val="clear" w:color="auto" w:fill="auto"/>
            <w:vAlign w:val="bottom"/>
          </w:tcPr>
          <w:p w14:paraId="392BED7C" w14:textId="77777777" w:rsidR="00980E5F" w:rsidRDefault="00980E5F">
            <w:pPr>
              <w:rPr>
                <w:rFonts w:ascii="宋体"/>
              </w:rPr>
            </w:pPr>
          </w:p>
        </w:tc>
        <w:tc>
          <w:tcPr>
            <w:tcW w:w="0" w:type="auto"/>
            <w:shd w:val="clear" w:color="auto" w:fill="auto"/>
            <w:vAlign w:val="bottom"/>
          </w:tcPr>
          <w:p w14:paraId="392BED7D" w14:textId="77777777" w:rsidR="00980E5F" w:rsidRDefault="00980E5F">
            <w:pPr>
              <w:rPr>
                <w:rFonts w:ascii="宋体"/>
              </w:rPr>
            </w:pPr>
          </w:p>
        </w:tc>
        <w:tc>
          <w:tcPr>
            <w:tcW w:w="0" w:type="auto"/>
            <w:shd w:val="clear" w:color="auto" w:fill="auto"/>
            <w:vAlign w:val="bottom"/>
          </w:tcPr>
          <w:p w14:paraId="392BED7E" w14:textId="77777777" w:rsidR="00980E5F" w:rsidRDefault="00980E5F">
            <w:pPr>
              <w:rPr>
                <w:rFonts w:ascii="宋体"/>
              </w:rPr>
            </w:pPr>
          </w:p>
        </w:tc>
        <w:tc>
          <w:tcPr>
            <w:tcW w:w="0" w:type="auto"/>
            <w:shd w:val="clear" w:color="auto" w:fill="auto"/>
            <w:vAlign w:val="bottom"/>
          </w:tcPr>
          <w:p w14:paraId="392BED7F" w14:textId="77777777" w:rsidR="00980E5F" w:rsidRDefault="00980E5F">
            <w:pPr>
              <w:rPr>
                <w:rFonts w:ascii="宋体"/>
              </w:rPr>
            </w:pPr>
          </w:p>
        </w:tc>
        <w:tc>
          <w:tcPr>
            <w:tcW w:w="0" w:type="auto"/>
            <w:shd w:val="clear" w:color="auto" w:fill="auto"/>
            <w:vAlign w:val="bottom"/>
          </w:tcPr>
          <w:p w14:paraId="392BED80" w14:textId="77777777" w:rsidR="00980E5F" w:rsidRDefault="00980E5F">
            <w:pPr>
              <w:rPr>
                <w:rFonts w:ascii="宋体"/>
              </w:rPr>
            </w:pPr>
          </w:p>
        </w:tc>
        <w:tc>
          <w:tcPr>
            <w:tcW w:w="0" w:type="auto"/>
            <w:shd w:val="clear" w:color="auto" w:fill="auto"/>
            <w:vAlign w:val="bottom"/>
          </w:tcPr>
          <w:p w14:paraId="392BED81" w14:textId="77777777" w:rsidR="00980E5F" w:rsidRDefault="00980E5F">
            <w:pPr>
              <w:rPr>
                <w:rFonts w:ascii="宋体"/>
              </w:rPr>
            </w:pPr>
          </w:p>
        </w:tc>
        <w:tc>
          <w:tcPr>
            <w:tcW w:w="0" w:type="auto"/>
            <w:shd w:val="clear" w:color="auto" w:fill="auto"/>
            <w:vAlign w:val="bottom"/>
          </w:tcPr>
          <w:p w14:paraId="392BED82" w14:textId="77777777" w:rsidR="00980E5F" w:rsidRDefault="00980E5F">
            <w:pPr>
              <w:rPr>
                <w:rFonts w:ascii="宋体"/>
              </w:rPr>
            </w:pPr>
          </w:p>
        </w:tc>
        <w:tc>
          <w:tcPr>
            <w:tcW w:w="0" w:type="auto"/>
            <w:shd w:val="clear" w:color="auto" w:fill="auto"/>
            <w:vAlign w:val="bottom"/>
          </w:tcPr>
          <w:p w14:paraId="392BED83" w14:textId="77777777" w:rsidR="00980E5F" w:rsidRDefault="00980E5F">
            <w:pPr>
              <w:rPr>
                <w:rFonts w:ascii="宋体"/>
              </w:rPr>
            </w:pPr>
          </w:p>
        </w:tc>
        <w:tc>
          <w:tcPr>
            <w:tcW w:w="0" w:type="auto"/>
            <w:shd w:val="clear" w:color="auto" w:fill="auto"/>
            <w:vAlign w:val="bottom"/>
          </w:tcPr>
          <w:p w14:paraId="392BED84" w14:textId="77777777" w:rsidR="00980E5F" w:rsidRDefault="00980E5F">
            <w:pPr>
              <w:rPr>
                <w:rFonts w:ascii="宋体"/>
              </w:rPr>
            </w:pPr>
          </w:p>
        </w:tc>
        <w:tc>
          <w:tcPr>
            <w:tcW w:w="0" w:type="auto"/>
            <w:shd w:val="clear" w:color="auto" w:fill="auto"/>
            <w:vAlign w:val="bottom"/>
          </w:tcPr>
          <w:p w14:paraId="392BED85" w14:textId="77777777" w:rsidR="00980E5F" w:rsidRDefault="00980E5F">
            <w:pPr>
              <w:rPr>
                <w:rFonts w:ascii="宋体"/>
              </w:rPr>
            </w:pPr>
          </w:p>
        </w:tc>
        <w:tc>
          <w:tcPr>
            <w:tcW w:w="0" w:type="auto"/>
            <w:shd w:val="clear" w:color="auto" w:fill="auto"/>
            <w:vAlign w:val="bottom"/>
          </w:tcPr>
          <w:p w14:paraId="392BED86" w14:textId="77777777" w:rsidR="00980E5F" w:rsidRDefault="00980E5F">
            <w:pPr>
              <w:rPr>
                <w:rFonts w:ascii="宋体"/>
              </w:rPr>
            </w:pPr>
          </w:p>
        </w:tc>
        <w:tc>
          <w:tcPr>
            <w:tcW w:w="0" w:type="auto"/>
            <w:shd w:val="clear" w:color="auto" w:fill="auto"/>
            <w:vAlign w:val="bottom"/>
          </w:tcPr>
          <w:p w14:paraId="392BED87" w14:textId="77777777" w:rsidR="00980E5F" w:rsidRDefault="00980E5F">
            <w:pPr>
              <w:rPr>
                <w:rFonts w:ascii="宋体"/>
              </w:rPr>
            </w:pPr>
          </w:p>
        </w:tc>
        <w:tc>
          <w:tcPr>
            <w:tcW w:w="0" w:type="auto"/>
            <w:shd w:val="clear" w:color="auto" w:fill="auto"/>
            <w:vAlign w:val="bottom"/>
          </w:tcPr>
          <w:p w14:paraId="392BED88" w14:textId="77777777" w:rsidR="00980E5F" w:rsidRDefault="00980E5F">
            <w:pPr>
              <w:rPr>
                <w:rFonts w:ascii="宋体"/>
              </w:rPr>
            </w:pPr>
          </w:p>
        </w:tc>
        <w:tc>
          <w:tcPr>
            <w:tcW w:w="0" w:type="auto"/>
            <w:shd w:val="clear" w:color="auto" w:fill="auto"/>
            <w:vAlign w:val="bottom"/>
          </w:tcPr>
          <w:p w14:paraId="392BED89" w14:textId="77777777" w:rsidR="00980E5F" w:rsidRDefault="00980E5F">
            <w:pPr>
              <w:rPr>
                <w:rFonts w:ascii="宋体"/>
              </w:rPr>
            </w:pPr>
          </w:p>
        </w:tc>
        <w:tc>
          <w:tcPr>
            <w:tcW w:w="0" w:type="auto"/>
            <w:shd w:val="clear" w:color="auto" w:fill="auto"/>
            <w:vAlign w:val="bottom"/>
          </w:tcPr>
          <w:p w14:paraId="392BED8A" w14:textId="77777777" w:rsidR="00980E5F" w:rsidRDefault="00980E5F">
            <w:pPr>
              <w:rPr>
                <w:rFonts w:ascii="宋体"/>
              </w:rPr>
            </w:pPr>
          </w:p>
        </w:tc>
        <w:tc>
          <w:tcPr>
            <w:tcW w:w="0" w:type="auto"/>
            <w:shd w:val="clear" w:color="auto" w:fill="auto"/>
            <w:vAlign w:val="bottom"/>
          </w:tcPr>
          <w:p w14:paraId="392BED8B" w14:textId="77777777" w:rsidR="00980E5F" w:rsidRDefault="00980E5F">
            <w:pPr>
              <w:rPr>
                <w:rFonts w:ascii="宋体"/>
              </w:rPr>
            </w:pPr>
          </w:p>
        </w:tc>
        <w:tc>
          <w:tcPr>
            <w:tcW w:w="0" w:type="auto"/>
            <w:shd w:val="clear" w:color="auto" w:fill="auto"/>
            <w:vAlign w:val="bottom"/>
          </w:tcPr>
          <w:p w14:paraId="392BED8C" w14:textId="77777777" w:rsidR="00980E5F" w:rsidRDefault="00980E5F">
            <w:pPr>
              <w:rPr>
                <w:rFonts w:ascii="宋体"/>
              </w:rPr>
            </w:pPr>
          </w:p>
        </w:tc>
        <w:tc>
          <w:tcPr>
            <w:tcW w:w="0" w:type="auto"/>
            <w:shd w:val="clear" w:color="auto" w:fill="auto"/>
            <w:vAlign w:val="bottom"/>
          </w:tcPr>
          <w:p w14:paraId="392BED8D" w14:textId="77777777" w:rsidR="00980E5F" w:rsidRDefault="00980E5F">
            <w:pPr>
              <w:rPr>
                <w:rFonts w:ascii="宋体"/>
              </w:rPr>
            </w:pPr>
          </w:p>
        </w:tc>
        <w:tc>
          <w:tcPr>
            <w:tcW w:w="0" w:type="auto"/>
            <w:shd w:val="clear" w:color="auto" w:fill="auto"/>
            <w:vAlign w:val="bottom"/>
          </w:tcPr>
          <w:p w14:paraId="392BED8E" w14:textId="77777777" w:rsidR="00980E5F" w:rsidRDefault="00980E5F">
            <w:pPr>
              <w:rPr>
                <w:rFonts w:ascii="宋体"/>
              </w:rPr>
            </w:pPr>
          </w:p>
        </w:tc>
        <w:tc>
          <w:tcPr>
            <w:tcW w:w="0" w:type="auto"/>
            <w:shd w:val="clear" w:color="auto" w:fill="auto"/>
            <w:vAlign w:val="bottom"/>
          </w:tcPr>
          <w:p w14:paraId="392BED8F" w14:textId="77777777" w:rsidR="00980E5F" w:rsidRDefault="00980E5F">
            <w:pPr>
              <w:rPr>
                <w:rFonts w:ascii="宋体"/>
              </w:rPr>
            </w:pPr>
          </w:p>
        </w:tc>
        <w:tc>
          <w:tcPr>
            <w:tcW w:w="0" w:type="auto"/>
            <w:shd w:val="clear" w:color="auto" w:fill="auto"/>
            <w:vAlign w:val="bottom"/>
          </w:tcPr>
          <w:p w14:paraId="392BED90" w14:textId="77777777" w:rsidR="00980E5F" w:rsidRDefault="00980E5F">
            <w:pPr>
              <w:rPr>
                <w:rFonts w:ascii="宋体"/>
              </w:rPr>
            </w:pPr>
          </w:p>
        </w:tc>
        <w:tc>
          <w:tcPr>
            <w:tcW w:w="0" w:type="auto"/>
            <w:shd w:val="clear" w:color="auto" w:fill="auto"/>
            <w:vAlign w:val="bottom"/>
          </w:tcPr>
          <w:p w14:paraId="392BED91" w14:textId="77777777" w:rsidR="00980E5F" w:rsidRDefault="00980E5F">
            <w:pPr>
              <w:rPr>
                <w:rFonts w:ascii="宋体"/>
              </w:rPr>
            </w:pPr>
          </w:p>
        </w:tc>
        <w:tc>
          <w:tcPr>
            <w:tcW w:w="0" w:type="auto"/>
            <w:shd w:val="clear" w:color="auto" w:fill="auto"/>
            <w:vAlign w:val="bottom"/>
          </w:tcPr>
          <w:p w14:paraId="392BED92" w14:textId="77777777" w:rsidR="00980E5F" w:rsidRDefault="00980E5F">
            <w:pPr>
              <w:rPr>
                <w:rFonts w:ascii="宋体"/>
              </w:rPr>
            </w:pPr>
          </w:p>
        </w:tc>
        <w:tc>
          <w:tcPr>
            <w:tcW w:w="0" w:type="auto"/>
            <w:shd w:val="clear" w:color="auto" w:fill="auto"/>
            <w:vAlign w:val="bottom"/>
          </w:tcPr>
          <w:p w14:paraId="392BED93" w14:textId="77777777" w:rsidR="00980E5F" w:rsidRDefault="00980E5F">
            <w:pPr>
              <w:rPr>
                <w:rFonts w:ascii="宋体"/>
              </w:rPr>
            </w:pPr>
          </w:p>
        </w:tc>
      </w:tr>
      <w:tr w:rsidR="00980E5F" w14:paraId="392BEDBF" w14:textId="77777777">
        <w:trPr>
          <w:hidden/>
        </w:trPr>
        <w:tc>
          <w:tcPr>
            <w:tcW w:w="0" w:type="auto"/>
            <w:gridSpan w:val="3"/>
            <w:shd w:val="clear" w:color="auto" w:fill="auto"/>
            <w:vAlign w:val="bottom"/>
          </w:tcPr>
          <w:p w14:paraId="392BED95" w14:textId="77777777" w:rsidR="00980E5F" w:rsidRDefault="00980E5F">
            <w:pPr>
              <w:rPr>
                <w:rFonts w:ascii="宋体"/>
                <w:vanish/>
              </w:rPr>
            </w:pPr>
          </w:p>
        </w:tc>
        <w:tc>
          <w:tcPr>
            <w:tcW w:w="0" w:type="auto"/>
            <w:gridSpan w:val="3"/>
            <w:shd w:val="clear" w:color="auto" w:fill="auto"/>
            <w:vAlign w:val="bottom"/>
          </w:tcPr>
          <w:p w14:paraId="392BED96" w14:textId="77777777" w:rsidR="00980E5F" w:rsidRDefault="00980E5F">
            <w:pPr>
              <w:rPr>
                <w:rFonts w:ascii="宋体"/>
                <w:vanish/>
              </w:rPr>
            </w:pPr>
          </w:p>
        </w:tc>
        <w:tc>
          <w:tcPr>
            <w:tcW w:w="0" w:type="auto"/>
            <w:gridSpan w:val="3"/>
            <w:shd w:val="clear" w:color="auto" w:fill="auto"/>
            <w:vAlign w:val="bottom"/>
          </w:tcPr>
          <w:p w14:paraId="392BED97" w14:textId="77777777" w:rsidR="00980E5F" w:rsidRDefault="00980E5F">
            <w:pPr>
              <w:rPr>
                <w:rFonts w:ascii="宋体"/>
                <w:vanish/>
              </w:rPr>
            </w:pPr>
          </w:p>
        </w:tc>
        <w:tc>
          <w:tcPr>
            <w:tcW w:w="0" w:type="auto"/>
            <w:gridSpan w:val="3"/>
            <w:shd w:val="clear" w:color="auto" w:fill="auto"/>
            <w:vAlign w:val="bottom"/>
          </w:tcPr>
          <w:p w14:paraId="392BED98" w14:textId="77777777" w:rsidR="00980E5F" w:rsidRDefault="00980E5F">
            <w:pPr>
              <w:rPr>
                <w:rFonts w:ascii="宋体"/>
                <w:vanish/>
              </w:rPr>
            </w:pPr>
          </w:p>
        </w:tc>
        <w:tc>
          <w:tcPr>
            <w:tcW w:w="0" w:type="auto"/>
            <w:gridSpan w:val="3"/>
            <w:shd w:val="clear" w:color="auto" w:fill="auto"/>
            <w:vAlign w:val="bottom"/>
          </w:tcPr>
          <w:p w14:paraId="392BED99" w14:textId="77777777" w:rsidR="00980E5F" w:rsidRDefault="00980E5F">
            <w:pPr>
              <w:rPr>
                <w:rFonts w:ascii="宋体"/>
                <w:vanish/>
              </w:rPr>
            </w:pPr>
          </w:p>
        </w:tc>
        <w:tc>
          <w:tcPr>
            <w:tcW w:w="0" w:type="auto"/>
            <w:gridSpan w:val="3"/>
            <w:shd w:val="clear" w:color="auto" w:fill="auto"/>
            <w:vAlign w:val="bottom"/>
          </w:tcPr>
          <w:p w14:paraId="392BED9A" w14:textId="77777777" w:rsidR="00980E5F" w:rsidRDefault="00980E5F">
            <w:pPr>
              <w:rPr>
                <w:rFonts w:ascii="宋体"/>
                <w:vanish/>
              </w:rPr>
            </w:pPr>
          </w:p>
        </w:tc>
        <w:tc>
          <w:tcPr>
            <w:tcW w:w="0" w:type="auto"/>
            <w:shd w:val="clear" w:color="auto" w:fill="auto"/>
            <w:vAlign w:val="bottom"/>
          </w:tcPr>
          <w:p w14:paraId="392BED9B" w14:textId="77777777" w:rsidR="00980E5F" w:rsidRDefault="00980E5F">
            <w:pPr>
              <w:rPr>
                <w:rFonts w:ascii="宋体"/>
              </w:rPr>
            </w:pPr>
          </w:p>
        </w:tc>
        <w:tc>
          <w:tcPr>
            <w:tcW w:w="0" w:type="auto"/>
            <w:shd w:val="clear" w:color="auto" w:fill="auto"/>
            <w:vAlign w:val="bottom"/>
          </w:tcPr>
          <w:p w14:paraId="392BED9C" w14:textId="77777777" w:rsidR="00980E5F" w:rsidRDefault="00980E5F">
            <w:pPr>
              <w:rPr>
                <w:rFonts w:ascii="宋体"/>
              </w:rPr>
            </w:pPr>
          </w:p>
        </w:tc>
        <w:tc>
          <w:tcPr>
            <w:tcW w:w="0" w:type="auto"/>
            <w:shd w:val="clear" w:color="auto" w:fill="auto"/>
            <w:vAlign w:val="bottom"/>
          </w:tcPr>
          <w:p w14:paraId="392BED9D" w14:textId="77777777" w:rsidR="00980E5F" w:rsidRDefault="00980E5F">
            <w:pPr>
              <w:rPr>
                <w:rFonts w:ascii="宋体"/>
              </w:rPr>
            </w:pPr>
          </w:p>
        </w:tc>
        <w:tc>
          <w:tcPr>
            <w:tcW w:w="0" w:type="auto"/>
            <w:shd w:val="clear" w:color="auto" w:fill="auto"/>
            <w:vAlign w:val="bottom"/>
          </w:tcPr>
          <w:p w14:paraId="392BED9E" w14:textId="77777777" w:rsidR="00980E5F" w:rsidRDefault="00980E5F">
            <w:pPr>
              <w:rPr>
                <w:rFonts w:ascii="宋体"/>
              </w:rPr>
            </w:pPr>
          </w:p>
        </w:tc>
        <w:tc>
          <w:tcPr>
            <w:tcW w:w="0" w:type="auto"/>
            <w:shd w:val="clear" w:color="auto" w:fill="auto"/>
            <w:vAlign w:val="bottom"/>
          </w:tcPr>
          <w:p w14:paraId="392BED9F" w14:textId="77777777" w:rsidR="00980E5F" w:rsidRDefault="00980E5F">
            <w:pPr>
              <w:rPr>
                <w:rFonts w:ascii="宋体"/>
              </w:rPr>
            </w:pPr>
          </w:p>
        </w:tc>
        <w:tc>
          <w:tcPr>
            <w:tcW w:w="0" w:type="auto"/>
            <w:shd w:val="clear" w:color="auto" w:fill="auto"/>
            <w:vAlign w:val="bottom"/>
          </w:tcPr>
          <w:p w14:paraId="392BEDA0" w14:textId="77777777" w:rsidR="00980E5F" w:rsidRDefault="00980E5F">
            <w:pPr>
              <w:rPr>
                <w:rFonts w:ascii="宋体"/>
              </w:rPr>
            </w:pPr>
          </w:p>
        </w:tc>
        <w:tc>
          <w:tcPr>
            <w:tcW w:w="0" w:type="auto"/>
            <w:shd w:val="clear" w:color="auto" w:fill="auto"/>
            <w:vAlign w:val="bottom"/>
          </w:tcPr>
          <w:p w14:paraId="392BEDA1" w14:textId="77777777" w:rsidR="00980E5F" w:rsidRDefault="00980E5F">
            <w:pPr>
              <w:rPr>
                <w:rFonts w:ascii="宋体"/>
              </w:rPr>
            </w:pPr>
          </w:p>
        </w:tc>
        <w:tc>
          <w:tcPr>
            <w:tcW w:w="0" w:type="auto"/>
            <w:shd w:val="clear" w:color="auto" w:fill="auto"/>
            <w:vAlign w:val="bottom"/>
          </w:tcPr>
          <w:p w14:paraId="392BEDA2" w14:textId="77777777" w:rsidR="00980E5F" w:rsidRDefault="00980E5F">
            <w:pPr>
              <w:rPr>
                <w:rFonts w:ascii="宋体"/>
              </w:rPr>
            </w:pPr>
          </w:p>
        </w:tc>
        <w:tc>
          <w:tcPr>
            <w:tcW w:w="0" w:type="auto"/>
            <w:shd w:val="clear" w:color="auto" w:fill="auto"/>
            <w:vAlign w:val="bottom"/>
          </w:tcPr>
          <w:p w14:paraId="392BEDA3" w14:textId="77777777" w:rsidR="00980E5F" w:rsidRDefault="00980E5F">
            <w:pPr>
              <w:rPr>
                <w:rFonts w:ascii="宋体"/>
              </w:rPr>
            </w:pPr>
          </w:p>
        </w:tc>
        <w:tc>
          <w:tcPr>
            <w:tcW w:w="0" w:type="auto"/>
            <w:shd w:val="clear" w:color="auto" w:fill="auto"/>
            <w:vAlign w:val="bottom"/>
          </w:tcPr>
          <w:p w14:paraId="392BEDA4" w14:textId="77777777" w:rsidR="00980E5F" w:rsidRDefault="00980E5F">
            <w:pPr>
              <w:rPr>
                <w:rFonts w:ascii="宋体"/>
              </w:rPr>
            </w:pPr>
          </w:p>
        </w:tc>
        <w:tc>
          <w:tcPr>
            <w:tcW w:w="0" w:type="auto"/>
            <w:shd w:val="clear" w:color="auto" w:fill="auto"/>
            <w:vAlign w:val="bottom"/>
          </w:tcPr>
          <w:p w14:paraId="392BEDA5" w14:textId="77777777" w:rsidR="00980E5F" w:rsidRDefault="00980E5F">
            <w:pPr>
              <w:rPr>
                <w:rFonts w:ascii="宋体"/>
              </w:rPr>
            </w:pPr>
          </w:p>
        </w:tc>
        <w:tc>
          <w:tcPr>
            <w:tcW w:w="0" w:type="auto"/>
            <w:shd w:val="clear" w:color="auto" w:fill="auto"/>
            <w:vAlign w:val="bottom"/>
          </w:tcPr>
          <w:p w14:paraId="392BEDA6" w14:textId="77777777" w:rsidR="00980E5F" w:rsidRDefault="00980E5F">
            <w:pPr>
              <w:rPr>
                <w:rFonts w:ascii="宋体"/>
              </w:rPr>
            </w:pPr>
          </w:p>
        </w:tc>
        <w:tc>
          <w:tcPr>
            <w:tcW w:w="0" w:type="auto"/>
            <w:shd w:val="clear" w:color="auto" w:fill="auto"/>
            <w:vAlign w:val="bottom"/>
          </w:tcPr>
          <w:p w14:paraId="392BEDA7" w14:textId="77777777" w:rsidR="00980E5F" w:rsidRDefault="00980E5F">
            <w:pPr>
              <w:rPr>
                <w:rFonts w:ascii="宋体"/>
              </w:rPr>
            </w:pPr>
          </w:p>
        </w:tc>
        <w:tc>
          <w:tcPr>
            <w:tcW w:w="0" w:type="auto"/>
            <w:shd w:val="clear" w:color="auto" w:fill="auto"/>
            <w:vAlign w:val="bottom"/>
          </w:tcPr>
          <w:p w14:paraId="392BEDA8" w14:textId="77777777" w:rsidR="00980E5F" w:rsidRDefault="00980E5F">
            <w:pPr>
              <w:rPr>
                <w:rFonts w:ascii="宋体"/>
              </w:rPr>
            </w:pPr>
          </w:p>
        </w:tc>
        <w:tc>
          <w:tcPr>
            <w:tcW w:w="0" w:type="auto"/>
            <w:shd w:val="clear" w:color="auto" w:fill="auto"/>
            <w:vAlign w:val="bottom"/>
          </w:tcPr>
          <w:p w14:paraId="392BEDA9" w14:textId="77777777" w:rsidR="00980E5F" w:rsidRDefault="00980E5F">
            <w:pPr>
              <w:rPr>
                <w:rFonts w:ascii="宋体"/>
              </w:rPr>
            </w:pPr>
          </w:p>
        </w:tc>
        <w:tc>
          <w:tcPr>
            <w:tcW w:w="0" w:type="auto"/>
            <w:shd w:val="clear" w:color="auto" w:fill="auto"/>
            <w:vAlign w:val="bottom"/>
          </w:tcPr>
          <w:p w14:paraId="392BEDAA" w14:textId="77777777" w:rsidR="00980E5F" w:rsidRDefault="00980E5F">
            <w:pPr>
              <w:rPr>
                <w:rFonts w:ascii="宋体"/>
              </w:rPr>
            </w:pPr>
          </w:p>
        </w:tc>
        <w:tc>
          <w:tcPr>
            <w:tcW w:w="0" w:type="auto"/>
            <w:shd w:val="clear" w:color="auto" w:fill="auto"/>
            <w:vAlign w:val="bottom"/>
          </w:tcPr>
          <w:p w14:paraId="392BEDAB" w14:textId="77777777" w:rsidR="00980E5F" w:rsidRDefault="00980E5F">
            <w:pPr>
              <w:rPr>
                <w:rFonts w:ascii="宋体"/>
              </w:rPr>
            </w:pPr>
          </w:p>
        </w:tc>
        <w:tc>
          <w:tcPr>
            <w:tcW w:w="0" w:type="auto"/>
            <w:shd w:val="clear" w:color="auto" w:fill="auto"/>
            <w:vAlign w:val="bottom"/>
          </w:tcPr>
          <w:p w14:paraId="392BEDAC" w14:textId="77777777" w:rsidR="00980E5F" w:rsidRDefault="00980E5F">
            <w:pPr>
              <w:rPr>
                <w:rFonts w:ascii="宋体"/>
              </w:rPr>
            </w:pPr>
          </w:p>
        </w:tc>
        <w:tc>
          <w:tcPr>
            <w:tcW w:w="0" w:type="auto"/>
            <w:shd w:val="clear" w:color="auto" w:fill="auto"/>
            <w:vAlign w:val="bottom"/>
          </w:tcPr>
          <w:p w14:paraId="392BEDAD" w14:textId="77777777" w:rsidR="00980E5F" w:rsidRDefault="00980E5F">
            <w:pPr>
              <w:rPr>
                <w:rFonts w:ascii="宋体"/>
              </w:rPr>
            </w:pPr>
          </w:p>
        </w:tc>
        <w:tc>
          <w:tcPr>
            <w:tcW w:w="0" w:type="auto"/>
            <w:shd w:val="clear" w:color="auto" w:fill="auto"/>
            <w:vAlign w:val="bottom"/>
          </w:tcPr>
          <w:p w14:paraId="392BEDAE" w14:textId="77777777" w:rsidR="00980E5F" w:rsidRDefault="00980E5F">
            <w:pPr>
              <w:rPr>
                <w:rFonts w:ascii="宋体"/>
              </w:rPr>
            </w:pPr>
          </w:p>
        </w:tc>
        <w:tc>
          <w:tcPr>
            <w:tcW w:w="0" w:type="auto"/>
            <w:shd w:val="clear" w:color="auto" w:fill="auto"/>
            <w:vAlign w:val="bottom"/>
          </w:tcPr>
          <w:p w14:paraId="392BEDAF" w14:textId="77777777" w:rsidR="00980E5F" w:rsidRDefault="00980E5F">
            <w:pPr>
              <w:rPr>
                <w:rFonts w:ascii="宋体"/>
              </w:rPr>
            </w:pPr>
          </w:p>
        </w:tc>
        <w:tc>
          <w:tcPr>
            <w:tcW w:w="0" w:type="auto"/>
            <w:shd w:val="clear" w:color="auto" w:fill="auto"/>
            <w:vAlign w:val="bottom"/>
          </w:tcPr>
          <w:p w14:paraId="392BEDB0" w14:textId="77777777" w:rsidR="00980E5F" w:rsidRDefault="00980E5F">
            <w:pPr>
              <w:rPr>
                <w:rFonts w:ascii="宋体"/>
              </w:rPr>
            </w:pPr>
          </w:p>
        </w:tc>
        <w:tc>
          <w:tcPr>
            <w:tcW w:w="0" w:type="auto"/>
            <w:shd w:val="clear" w:color="auto" w:fill="auto"/>
            <w:vAlign w:val="bottom"/>
          </w:tcPr>
          <w:p w14:paraId="392BEDB1" w14:textId="77777777" w:rsidR="00980E5F" w:rsidRDefault="00980E5F">
            <w:pPr>
              <w:rPr>
                <w:rFonts w:ascii="宋体"/>
              </w:rPr>
            </w:pPr>
          </w:p>
        </w:tc>
        <w:tc>
          <w:tcPr>
            <w:tcW w:w="0" w:type="auto"/>
            <w:shd w:val="clear" w:color="auto" w:fill="auto"/>
            <w:vAlign w:val="bottom"/>
          </w:tcPr>
          <w:p w14:paraId="392BEDB2" w14:textId="77777777" w:rsidR="00980E5F" w:rsidRDefault="00980E5F">
            <w:pPr>
              <w:rPr>
                <w:rFonts w:ascii="宋体"/>
              </w:rPr>
            </w:pPr>
          </w:p>
        </w:tc>
        <w:tc>
          <w:tcPr>
            <w:tcW w:w="0" w:type="auto"/>
            <w:shd w:val="clear" w:color="auto" w:fill="auto"/>
            <w:vAlign w:val="bottom"/>
          </w:tcPr>
          <w:p w14:paraId="392BEDB3" w14:textId="77777777" w:rsidR="00980E5F" w:rsidRDefault="00980E5F">
            <w:pPr>
              <w:rPr>
                <w:rFonts w:ascii="宋体"/>
              </w:rPr>
            </w:pPr>
          </w:p>
        </w:tc>
        <w:tc>
          <w:tcPr>
            <w:tcW w:w="0" w:type="auto"/>
            <w:shd w:val="clear" w:color="auto" w:fill="auto"/>
            <w:vAlign w:val="bottom"/>
          </w:tcPr>
          <w:p w14:paraId="392BEDB4" w14:textId="77777777" w:rsidR="00980E5F" w:rsidRDefault="00980E5F">
            <w:pPr>
              <w:rPr>
                <w:rFonts w:ascii="宋体"/>
              </w:rPr>
            </w:pPr>
          </w:p>
        </w:tc>
        <w:tc>
          <w:tcPr>
            <w:tcW w:w="0" w:type="auto"/>
            <w:shd w:val="clear" w:color="auto" w:fill="auto"/>
            <w:vAlign w:val="bottom"/>
          </w:tcPr>
          <w:p w14:paraId="392BEDB5" w14:textId="77777777" w:rsidR="00980E5F" w:rsidRDefault="00980E5F">
            <w:pPr>
              <w:rPr>
                <w:rFonts w:ascii="宋体"/>
              </w:rPr>
            </w:pPr>
          </w:p>
        </w:tc>
        <w:tc>
          <w:tcPr>
            <w:tcW w:w="0" w:type="auto"/>
            <w:shd w:val="clear" w:color="auto" w:fill="auto"/>
            <w:vAlign w:val="bottom"/>
          </w:tcPr>
          <w:p w14:paraId="392BEDB6" w14:textId="77777777" w:rsidR="00980E5F" w:rsidRDefault="00980E5F">
            <w:pPr>
              <w:rPr>
                <w:rFonts w:ascii="宋体"/>
              </w:rPr>
            </w:pPr>
          </w:p>
        </w:tc>
        <w:tc>
          <w:tcPr>
            <w:tcW w:w="0" w:type="auto"/>
            <w:shd w:val="clear" w:color="auto" w:fill="auto"/>
            <w:vAlign w:val="bottom"/>
          </w:tcPr>
          <w:p w14:paraId="392BEDB7" w14:textId="77777777" w:rsidR="00980E5F" w:rsidRDefault="00980E5F">
            <w:pPr>
              <w:rPr>
                <w:rFonts w:ascii="宋体"/>
              </w:rPr>
            </w:pPr>
          </w:p>
        </w:tc>
        <w:tc>
          <w:tcPr>
            <w:tcW w:w="0" w:type="auto"/>
            <w:shd w:val="clear" w:color="auto" w:fill="auto"/>
            <w:vAlign w:val="bottom"/>
          </w:tcPr>
          <w:p w14:paraId="392BEDB8" w14:textId="77777777" w:rsidR="00980E5F" w:rsidRDefault="00980E5F">
            <w:pPr>
              <w:rPr>
                <w:rFonts w:ascii="宋体"/>
              </w:rPr>
            </w:pPr>
          </w:p>
        </w:tc>
        <w:tc>
          <w:tcPr>
            <w:tcW w:w="0" w:type="auto"/>
            <w:shd w:val="clear" w:color="auto" w:fill="auto"/>
            <w:vAlign w:val="bottom"/>
          </w:tcPr>
          <w:p w14:paraId="392BEDB9" w14:textId="77777777" w:rsidR="00980E5F" w:rsidRDefault="00980E5F">
            <w:pPr>
              <w:rPr>
                <w:rFonts w:ascii="宋体"/>
              </w:rPr>
            </w:pPr>
          </w:p>
        </w:tc>
        <w:tc>
          <w:tcPr>
            <w:tcW w:w="0" w:type="auto"/>
            <w:shd w:val="clear" w:color="auto" w:fill="auto"/>
            <w:vAlign w:val="bottom"/>
          </w:tcPr>
          <w:p w14:paraId="392BEDBA" w14:textId="77777777" w:rsidR="00980E5F" w:rsidRDefault="00980E5F">
            <w:pPr>
              <w:rPr>
                <w:rFonts w:ascii="宋体"/>
              </w:rPr>
            </w:pPr>
          </w:p>
        </w:tc>
        <w:tc>
          <w:tcPr>
            <w:tcW w:w="0" w:type="auto"/>
            <w:shd w:val="clear" w:color="auto" w:fill="auto"/>
            <w:vAlign w:val="bottom"/>
          </w:tcPr>
          <w:p w14:paraId="392BEDBB" w14:textId="77777777" w:rsidR="00980E5F" w:rsidRDefault="00980E5F">
            <w:pPr>
              <w:rPr>
                <w:rFonts w:ascii="宋体"/>
              </w:rPr>
            </w:pPr>
          </w:p>
        </w:tc>
        <w:tc>
          <w:tcPr>
            <w:tcW w:w="0" w:type="auto"/>
            <w:shd w:val="clear" w:color="auto" w:fill="auto"/>
            <w:vAlign w:val="bottom"/>
          </w:tcPr>
          <w:p w14:paraId="392BEDBC" w14:textId="77777777" w:rsidR="00980E5F" w:rsidRDefault="00980E5F">
            <w:pPr>
              <w:rPr>
                <w:rFonts w:ascii="宋体"/>
              </w:rPr>
            </w:pPr>
          </w:p>
        </w:tc>
        <w:tc>
          <w:tcPr>
            <w:tcW w:w="0" w:type="auto"/>
            <w:shd w:val="clear" w:color="auto" w:fill="auto"/>
            <w:vAlign w:val="bottom"/>
          </w:tcPr>
          <w:p w14:paraId="392BEDBD" w14:textId="77777777" w:rsidR="00980E5F" w:rsidRDefault="00980E5F">
            <w:pPr>
              <w:rPr>
                <w:rFonts w:ascii="宋体"/>
              </w:rPr>
            </w:pPr>
          </w:p>
        </w:tc>
        <w:tc>
          <w:tcPr>
            <w:tcW w:w="0" w:type="auto"/>
            <w:shd w:val="clear" w:color="auto" w:fill="auto"/>
            <w:vAlign w:val="bottom"/>
          </w:tcPr>
          <w:p w14:paraId="392BEDBE" w14:textId="77777777" w:rsidR="00980E5F" w:rsidRDefault="00980E5F">
            <w:pPr>
              <w:rPr>
                <w:rFonts w:ascii="宋体"/>
              </w:rPr>
            </w:pPr>
          </w:p>
        </w:tc>
      </w:tr>
      <w:tr w:rsidR="00980E5F" w14:paraId="392BEDD2" w14:textId="77777777">
        <w:trPr>
          <w:hidden/>
        </w:trPr>
        <w:tc>
          <w:tcPr>
            <w:tcW w:w="0" w:type="auto"/>
            <w:gridSpan w:val="3"/>
            <w:shd w:val="clear" w:color="auto" w:fill="auto"/>
            <w:vAlign w:val="bottom"/>
          </w:tcPr>
          <w:p w14:paraId="392BEDC0" w14:textId="77777777" w:rsidR="00980E5F" w:rsidRDefault="00980E5F">
            <w:pPr>
              <w:rPr>
                <w:rFonts w:ascii="宋体"/>
                <w:vanish/>
              </w:rPr>
            </w:pPr>
          </w:p>
        </w:tc>
        <w:tc>
          <w:tcPr>
            <w:tcW w:w="0" w:type="auto"/>
            <w:gridSpan w:val="3"/>
            <w:shd w:val="clear" w:color="auto" w:fill="auto"/>
            <w:vAlign w:val="bottom"/>
          </w:tcPr>
          <w:p w14:paraId="392BEDC1" w14:textId="77777777" w:rsidR="00980E5F" w:rsidRDefault="00980E5F">
            <w:pPr>
              <w:rPr>
                <w:rFonts w:ascii="宋体"/>
                <w:vanish/>
              </w:rPr>
            </w:pPr>
          </w:p>
        </w:tc>
        <w:tc>
          <w:tcPr>
            <w:tcW w:w="0" w:type="auto"/>
            <w:gridSpan w:val="3"/>
            <w:shd w:val="clear" w:color="auto" w:fill="auto"/>
            <w:vAlign w:val="bottom"/>
          </w:tcPr>
          <w:p w14:paraId="392BEDC2" w14:textId="77777777" w:rsidR="00980E5F" w:rsidRDefault="00980E5F">
            <w:pPr>
              <w:rPr>
                <w:rFonts w:ascii="宋体"/>
                <w:vanish/>
              </w:rPr>
            </w:pPr>
          </w:p>
        </w:tc>
        <w:tc>
          <w:tcPr>
            <w:tcW w:w="0" w:type="auto"/>
            <w:gridSpan w:val="3"/>
            <w:shd w:val="clear" w:color="auto" w:fill="auto"/>
            <w:vAlign w:val="bottom"/>
          </w:tcPr>
          <w:p w14:paraId="392BEDC3" w14:textId="77777777" w:rsidR="00980E5F" w:rsidRDefault="00980E5F">
            <w:pPr>
              <w:rPr>
                <w:rFonts w:ascii="宋体"/>
                <w:vanish/>
              </w:rPr>
            </w:pPr>
          </w:p>
        </w:tc>
        <w:tc>
          <w:tcPr>
            <w:tcW w:w="0" w:type="auto"/>
            <w:gridSpan w:val="3"/>
            <w:shd w:val="clear" w:color="auto" w:fill="auto"/>
            <w:vAlign w:val="bottom"/>
          </w:tcPr>
          <w:p w14:paraId="392BEDC4" w14:textId="77777777" w:rsidR="00980E5F" w:rsidRDefault="00980E5F">
            <w:pPr>
              <w:rPr>
                <w:rFonts w:ascii="宋体"/>
                <w:vanish/>
              </w:rPr>
            </w:pPr>
          </w:p>
        </w:tc>
        <w:tc>
          <w:tcPr>
            <w:tcW w:w="0" w:type="auto"/>
            <w:gridSpan w:val="3"/>
            <w:shd w:val="clear" w:color="auto" w:fill="auto"/>
            <w:vAlign w:val="bottom"/>
          </w:tcPr>
          <w:p w14:paraId="392BEDC5" w14:textId="77777777" w:rsidR="00980E5F" w:rsidRDefault="00980E5F">
            <w:pPr>
              <w:rPr>
                <w:rFonts w:ascii="宋体"/>
                <w:vanish/>
              </w:rPr>
            </w:pPr>
          </w:p>
        </w:tc>
        <w:tc>
          <w:tcPr>
            <w:tcW w:w="0" w:type="auto"/>
            <w:gridSpan w:val="3"/>
            <w:shd w:val="clear" w:color="auto" w:fill="auto"/>
            <w:vAlign w:val="bottom"/>
          </w:tcPr>
          <w:p w14:paraId="392BEDC6" w14:textId="77777777" w:rsidR="00980E5F" w:rsidRDefault="00980E5F">
            <w:pPr>
              <w:rPr>
                <w:rFonts w:ascii="宋体"/>
                <w:vanish/>
              </w:rPr>
            </w:pPr>
          </w:p>
        </w:tc>
        <w:tc>
          <w:tcPr>
            <w:tcW w:w="0" w:type="auto"/>
            <w:gridSpan w:val="3"/>
            <w:shd w:val="clear" w:color="auto" w:fill="auto"/>
            <w:vAlign w:val="bottom"/>
          </w:tcPr>
          <w:p w14:paraId="392BEDC7" w14:textId="77777777" w:rsidR="00980E5F" w:rsidRDefault="00980E5F">
            <w:pPr>
              <w:rPr>
                <w:rFonts w:ascii="宋体"/>
                <w:vanish/>
              </w:rPr>
            </w:pPr>
          </w:p>
        </w:tc>
        <w:tc>
          <w:tcPr>
            <w:tcW w:w="0" w:type="auto"/>
            <w:gridSpan w:val="3"/>
            <w:shd w:val="clear" w:color="auto" w:fill="auto"/>
            <w:vAlign w:val="bottom"/>
          </w:tcPr>
          <w:p w14:paraId="392BEDC8" w14:textId="77777777" w:rsidR="00980E5F" w:rsidRDefault="00980E5F">
            <w:pPr>
              <w:rPr>
                <w:rFonts w:ascii="宋体"/>
                <w:vanish/>
              </w:rPr>
            </w:pPr>
          </w:p>
        </w:tc>
        <w:tc>
          <w:tcPr>
            <w:tcW w:w="0" w:type="auto"/>
            <w:gridSpan w:val="3"/>
            <w:shd w:val="clear" w:color="auto" w:fill="auto"/>
            <w:vAlign w:val="bottom"/>
          </w:tcPr>
          <w:p w14:paraId="392BEDC9" w14:textId="77777777" w:rsidR="00980E5F" w:rsidRDefault="00980E5F">
            <w:pPr>
              <w:rPr>
                <w:rFonts w:ascii="宋体"/>
                <w:vanish/>
              </w:rPr>
            </w:pPr>
          </w:p>
        </w:tc>
        <w:tc>
          <w:tcPr>
            <w:tcW w:w="0" w:type="auto"/>
            <w:gridSpan w:val="3"/>
            <w:shd w:val="clear" w:color="auto" w:fill="auto"/>
            <w:vAlign w:val="bottom"/>
          </w:tcPr>
          <w:p w14:paraId="392BEDCA" w14:textId="77777777" w:rsidR="00980E5F" w:rsidRDefault="00980E5F">
            <w:pPr>
              <w:rPr>
                <w:rFonts w:ascii="宋体"/>
                <w:vanish/>
              </w:rPr>
            </w:pPr>
          </w:p>
        </w:tc>
        <w:tc>
          <w:tcPr>
            <w:tcW w:w="0" w:type="auto"/>
            <w:gridSpan w:val="3"/>
            <w:shd w:val="clear" w:color="auto" w:fill="auto"/>
            <w:vAlign w:val="bottom"/>
          </w:tcPr>
          <w:p w14:paraId="392BEDCB" w14:textId="77777777" w:rsidR="00980E5F" w:rsidRDefault="00980E5F">
            <w:pPr>
              <w:rPr>
                <w:rFonts w:ascii="宋体"/>
                <w:vanish/>
              </w:rPr>
            </w:pPr>
          </w:p>
        </w:tc>
        <w:tc>
          <w:tcPr>
            <w:tcW w:w="0" w:type="auto"/>
            <w:gridSpan w:val="3"/>
            <w:shd w:val="clear" w:color="auto" w:fill="auto"/>
            <w:vAlign w:val="bottom"/>
          </w:tcPr>
          <w:p w14:paraId="392BEDCC" w14:textId="77777777" w:rsidR="00980E5F" w:rsidRDefault="00980E5F">
            <w:pPr>
              <w:rPr>
                <w:rFonts w:ascii="宋体"/>
                <w:vanish/>
              </w:rPr>
            </w:pPr>
          </w:p>
        </w:tc>
        <w:tc>
          <w:tcPr>
            <w:tcW w:w="0" w:type="auto"/>
            <w:gridSpan w:val="3"/>
            <w:shd w:val="clear" w:color="auto" w:fill="auto"/>
            <w:vAlign w:val="bottom"/>
          </w:tcPr>
          <w:p w14:paraId="392BEDCD" w14:textId="77777777" w:rsidR="00980E5F" w:rsidRDefault="00980E5F">
            <w:pPr>
              <w:rPr>
                <w:rFonts w:ascii="宋体"/>
                <w:vanish/>
              </w:rPr>
            </w:pPr>
          </w:p>
        </w:tc>
        <w:tc>
          <w:tcPr>
            <w:tcW w:w="0" w:type="auto"/>
            <w:gridSpan w:val="3"/>
            <w:shd w:val="clear" w:color="auto" w:fill="auto"/>
            <w:vAlign w:val="bottom"/>
          </w:tcPr>
          <w:p w14:paraId="392BEDCE" w14:textId="77777777" w:rsidR="00980E5F" w:rsidRDefault="00980E5F">
            <w:pPr>
              <w:rPr>
                <w:rFonts w:ascii="宋体"/>
                <w:vanish/>
              </w:rPr>
            </w:pPr>
          </w:p>
        </w:tc>
        <w:tc>
          <w:tcPr>
            <w:tcW w:w="0" w:type="auto"/>
            <w:gridSpan w:val="3"/>
            <w:shd w:val="clear" w:color="auto" w:fill="auto"/>
            <w:vAlign w:val="bottom"/>
          </w:tcPr>
          <w:p w14:paraId="392BEDCF" w14:textId="77777777" w:rsidR="00980E5F" w:rsidRDefault="00980E5F">
            <w:pPr>
              <w:rPr>
                <w:rFonts w:ascii="宋体"/>
                <w:vanish/>
              </w:rPr>
            </w:pPr>
          </w:p>
        </w:tc>
        <w:tc>
          <w:tcPr>
            <w:tcW w:w="0" w:type="auto"/>
            <w:gridSpan w:val="3"/>
            <w:shd w:val="clear" w:color="auto" w:fill="auto"/>
            <w:vAlign w:val="bottom"/>
          </w:tcPr>
          <w:p w14:paraId="392BEDD0" w14:textId="77777777" w:rsidR="00980E5F" w:rsidRDefault="00980E5F">
            <w:pPr>
              <w:rPr>
                <w:rFonts w:ascii="宋体"/>
                <w:vanish/>
              </w:rPr>
            </w:pPr>
          </w:p>
        </w:tc>
        <w:tc>
          <w:tcPr>
            <w:tcW w:w="0" w:type="auto"/>
            <w:gridSpan w:val="3"/>
            <w:shd w:val="clear" w:color="auto" w:fill="auto"/>
            <w:vAlign w:val="bottom"/>
          </w:tcPr>
          <w:p w14:paraId="392BEDD1" w14:textId="77777777" w:rsidR="00980E5F" w:rsidRDefault="00980E5F">
            <w:pPr>
              <w:rPr>
                <w:rFonts w:ascii="宋体"/>
                <w:vanish/>
              </w:rPr>
            </w:pPr>
          </w:p>
        </w:tc>
      </w:tr>
      <w:tr w:rsidR="00980E5F" w14:paraId="392BEDE7" w14:textId="77777777">
        <w:trPr>
          <w:hidden/>
        </w:trPr>
        <w:tc>
          <w:tcPr>
            <w:tcW w:w="0" w:type="auto"/>
            <w:gridSpan w:val="3"/>
            <w:shd w:val="clear" w:color="auto" w:fill="auto"/>
            <w:vAlign w:val="bottom"/>
          </w:tcPr>
          <w:p w14:paraId="392BEDD3" w14:textId="77777777" w:rsidR="00980E5F" w:rsidRDefault="00980E5F">
            <w:pPr>
              <w:rPr>
                <w:rFonts w:ascii="宋体"/>
                <w:vanish/>
              </w:rPr>
            </w:pPr>
          </w:p>
        </w:tc>
        <w:tc>
          <w:tcPr>
            <w:tcW w:w="0" w:type="auto"/>
            <w:gridSpan w:val="3"/>
            <w:shd w:val="clear" w:color="auto" w:fill="auto"/>
            <w:vAlign w:val="bottom"/>
          </w:tcPr>
          <w:p w14:paraId="392BEDD4" w14:textId="77777777" w:rsidR="00980E5F" w:rsidRDefault="00980E5F">
            <w:pPr>
              <w:rPr>
                <w:rFonts w:ascii="宋体"/>
                <w:vanish/>
              </w:rPr>
            </w:pPr>
          </w:p>
        </w:tc>
        <w:tc>
          <w:tcPr>
            <w:tcW w:w="0" w:type="auto"/>
            <w:gridSpan w:val="3"/>
            <w:shd w:val="clear" w:color="auto" w:fill="auto"/>
            <w:vAlign w:val="bottom"/>
          </w:tcPr>
          <w:p w14:paraId="392BEDD5" w14:textId="77777777" w:rsidR="00980E5F" w:rsidRDefault="00980E5F">
            <w:pPr>
              <w:rPr>
                <w:rFonts w:ascii="宋体"/>
                <w:vanish/>
              </w:rPr>
            </w:pPr>
          </w:p>
        </w:tc>
        <w:tc>
          <w:tcPr>
            <w:tcW w:w="0" w:type="auto"/>
            <w:gridSpan w:val="3"/>
            <w:shd w:val="clear" w:color="auto" w:fill="auto"/>
            <w:vAlign w:val="bottom"/>
          </w:tcPr>
          <w:p w14:paraId="392BEDD6" w14:textId="77777777" w:rsidR="00980E5F" w:rsidRDefault="00980E5F">
            <w:pPr>
              <w:rPr>
                <w:rFonts w:ascii="宋体"/>
                <w:vanish/>
              </w:rPr>
            </w:pPr>
          </w:p>
        </w:tc>
        <w:tc>
          <w:tcPr>
            <w:tcW w:w="0" w:type="auto"/>
            <w:gridSpan w:val="3"/>
            <w:shd w:val="clear" w:color="auto" w:fill="auto"/>
            <w:vAlign w:val="bottom"/>
          </w:tcPr>
          <w:p w14:paraId="392BEDD7" w14:textId="77777777" w:rsidR="00980E5F" w:rsidRDefault="00980E5F">
            <w:pPr>
              <w:rPr>
                <w:rFonts w:ascii="宋体"/>
                <w:vanish/>
              </w:rPr>
            </w:pPr>
          </w:p>
        </w:tc>
        <w:tc>
          <w:tcPr>
            <w:tcW w:w="0" w:type="auto"/>
            <w:gridSpan w:val="3"/>
            <w:shd w:val="clear" w:color="auto" w:fill="auto"/>
            <w:vAlign w:val="bottom"/>
          </w:tcPr>
          <w:p w14:paraId="392BEDD8" w14:textId="77777777" w:rsidR="00980E5F" w:rsidRDefault="00980E5F">
            <w:pPr>
              <w:rPr>
                <w:rFonts w:ascii="宋体"/>
                <w:vanish/>
              </w:rPr>
            </w:pPr>
          </w:p>
        </w:tc>
        <w:tc>
          <w:tcPr>
            <w:tcW w:w="0" w:type="auto"/>
            <w:gridSpan w:val="3"/>
            <w:shd w:val="clear" w:color="auto" w:fill="auto"/>
            <w:vAlign w:val="bottom"/>
          </w:tcPr>
          <w:p w14:paraId="392BEDD9" w14:textId="77777777" w:rsidR="00980E5F" w:rsidRDefault="00980E5F">
            <w:pPr>
              <w:rPr>
                <w:rFonts w:ascii="宋体"/>
                <w:vanish/>
              </w:rPr>
            </w:pPr>
          </w:p>
        </w:tc>
        <w:tc>
          <w:tcPr>
            <w:tcW w:w="0" w:type="auto"/>
            <w:gridSpan w:val="3"/>
            <w:shd w:val="clear" w:color="auto" w:fill="auto"/>
            <w:vAlign w:val="bottom"/>
          </w:tcPr>
          <w:p w14:paraId="392BEDDA" w14:textId="77777777" w:rsidR="00980E5F" w:rsidRDefault="00980E5F">
            <w:pPr>
              <w:rPr>
                <w:rFonts w:ascii="宋体"/>
                <w:vanish/>
              </w:rPr>
            </w:pPr>
          </w:p>
        </w:tc>
        <w:tc>
          <w:tcPr>
            <w:tcW w:w="0" w:type="auto"/>
            <w:gridSpan w:val="3"/>
            <w:shd w:val="clear" w:color="auto" w:fill="auto"/>
            <w:vAlign w:val="bottom"/>
          </w:tcPr>
          <w:p w14:paraId="392BEDDB" w14:textId="77777777" w:rsidR="00980E5F" w:rsidRDefault="00980E5F">
            <w:pPr>
              <w:rPr>
                <w:rFonts w:ascii="宋体"/>
                <w:vanish/>
              </w:rPr>
            </w:pPr>
          </w:p>
        </w:tc>
        <w:tc>
          <w:tcPr>
            <w:tcW w:w="0" w:type="auto"/>
            <w:gridSpan w:val="3"/>
            <w:shd w:val="clear" w:color="auto" w:fill="auto"/>
            <w:vAlign w:val="bottom"/>
          </w:tcPr>
          <w:p w14:paraId="392BEDDC" w14:textId="77777777" w:rsidR="00980E5F" w:rsidRDefault="00980E5F">
            <w:pPr>
              <w:rPr>
                <w:rFonts w:ascii="宋体"/>
                <w:vanish/>
              </w:rPr>
            </w:pPr>
          </w:p>
        </w:tc>
        <w:tc>
          <w:tcPr>
            <w:tcW w:w="0" w:type="auto"/>
            <w:gridSpan w:val="3"/>
            <w:shd w:val="clear" w:color="auto" w:fill="auto"/>
            <w:vAlign w:val="bottom"/>
          </w:tcPr>
          <w:p w14:paraId="392BEDDD" w14:textId="77777777" w:rsidR="00980E5F" w:rsidRDefault="00980E5F">
            <w:pPr>
              <w:rPr>
                <w:rFonts w:ascii="宋体"/>
                <w:vanish/>
              </w:rPr>
            </w:pPr>
          </w:p>
        </w:tc>
        <w:tc>
          <w:tcPr>
            <w:tcW w:w="0" w:type="auto"/>
            <w:gridSpan w:val="3"/>
            <w:shd w:val="clear" w:color="auto" w:fill="auto"/>
            <w:vAlign w:val="bottom"/>
          </w:tcPr>
          <w:p w14:paraId="392BEDDE" w14:textId="77777777" w:rsidR="00980E5F" w:rsidRDefault="00980E5F">
            <w:pPr>
              <w:rPr>
                <w:rFonts w:ascii="宋体"/>
                <w:vanish/>
              </w:rPr>
            </w:pPr>
          </w:p>
        </w:tc>
        <w:tc>
          <w:tcPr>
            <w:tcW w:w="0" w:type="auto"/>
            <w:gridSpan w:val="3"/>
            <w:shd w:val="clear" w:color="auto" w:fill="auto"/>
            <w:vAlign w:val="bottom"/>
          </w:tcPr>
          <w:p w14:paraId="392BEDDF" w14:textId="77777777" w:rsidR="00980E5F" w:rsidRDefault="00980E5F">
            <w:pPr>
              <w:rPr>
                <w:rFonts w:ascii="宋体"/>
                <w:vanish/>
              </w:rPr>
            </w:pPr>
          </w:p>
        </w:tc>
        <w:tc>
          <w:tcPr>
            <w:tcW w:w="0" w:type="auto"/>
            <w:gridSpan w:val="3"/>
            <w:shd w:val="clear" w:color="auto" w:fill="auto"/>
            <w:vAlign w:val="bottom"/>
          </w:tcPr>
          <w:p w14:paraId="392BEDE0" w14:textId="77777777" w:rsidR="00980E5F" w:rsidRDefault="00980E5F">
            <w:pPr>
              <w:rPr>
                <w:rFonts w:ascii="宋体"/>
                <w:vanish/>
              </w:rPr>
            </w:pPr>
          </w:p>
        </w:tc>
        <w:tc>
          <w:tcPr>
            <w:tcW w:w="0" w:type="auto"/>
            <w:gridSpan w:val="3"/>
            <w:shd w:val="clear" w:color="auto" w:fill="auto"/>
            <w:vAlign w:val="bottom"/>
          </w:tcPr>
          <w:p w14:paraId="392BEDE1" w14:textId="77777777" w:rsidR="00980E5F" w:rsidRDefault="00980E5F">
            <w:pPr>
              <w:rPr>
                <w:rFonts w:ascii="宋体"/>
                <w:vanish/>
              </w:rPr>
            </w:pPr>
          </w:p>
        </w:tc>
        <w:tc>
          <w:tcPr>
            <w:tcW w:w="0" w:type="auto"/>
            <w:gridSpan w:val="3"/>
            <w:shd w:val="clear" w:color="auto" w:fill="auto"/>
            <w:vAlign w:val="bottom"/>
          </w:tcPr>
          <w:p w14:paraId="392BEDE2" w14:textId="77777777" w:rsidR="00980E5F" w:rsidRDefault="00980E5F">
            <w:pPr>
              <w:rPr>
                <w:rFonts w:ascii="宋体"/>
                <w:vanish/>
              </w:rPr>
            </w:pPr>
          </w:p>
        </w:tc>
        <w:tc>
          <w:tcPr>
            <w:tcW w:w="0" w:type="auto"/>
            <w:gridSpan w:val="3"/>
            <w:shd w:val="clear" w:color="auto" w:fill="auto"/>
            <w:vAlign w:val="bottom"/>
          </w:tcPr>
          <w:p w14:paraId="392BEDE3" w14:textId="77777777" w:rsidR="00980E5F" w:rsidRDefault="00980E5F">
            <w:pPr>
              <w:rPr>
                <w:rFonts w:ascii="宋体"/>
                <w:vanish/>
              </w:rPr>
            </w:pPr>
          </w:p>
        </w:tc>
        <w:tc>
          <w:tcPr>
            <w:tcW w:w="0" w:type="auto"/>
            <w:shd w:val="clear" w:color="auto" w:fill="auto"/>
            <w:vAlign w:val="bottom"/>
          </w:tcPr>
          <w:p w14:paraId="392BEDE4" w14:textId="77777777" w:rsidR="00980E5F" w:rsidRDefault="00980E5F">
            <w:pPr>
              <w:rPr>
                <w:rFonts w:ascii="宋体"/>
              </w:rPr>
            </w:pPr>
          </w:p>
        </w:tc>
        <w:tc>
          <w:tcPr>
            <w:tcW w:w="0" w:type="auto"/>
            <w:shd w:val="clear" w:color="auto" w:fill="auto"/>
            <w:vAlign w:val="bottom"/>
          </w:tcPr>
          <w:p w14:paraId="392BEDE5" w14:textId="77777777" w:rsidR="00980E5F" w:rsidRDefault="00980E5F">
            <w:pPr>
              <w:rPr>
                <w:rFonts w:ascii="宋体"/>
              </w:rPr>
            </w:pPr>
          </w:p>
        </w:tc>
        <w:tc>
          <w:tcPr>
            <w:tcW w:w="0" w:type="auto"/>
            <w:shd w:val="clear" w:color="auto" w:fill="auto"/>
            <w:vAlign w:val="bottom"/>
          </w:tcPr>
          <w:p w14:paraId="392BEDE6" w14:textId="77777777" w:rsidR="00980E5F" w:rsidRDefault="00980E5F">
            <w:pPr>
              <w:rPr>
                <w:rFonts w:ascii="宋体"/>
              </w:rPr>
            </w:pPr>
          </w:p>
        </w:tc>
      </w:tr>
      <w:tr w:rsidR="00980E5F" w14:paraId="392BEDFC" w14:textId="77777777">
        <w:trPr>
          <w:hidden/>
        </w:trPr>
        <w:tc>
          <w:tcPr>
            <w:tcW w:w="0" w:type="auto"/>
            <w:gridSpan w:val="3"/>
            <w:shd w:val="clear" w:color="auto" w:fill="auto"/>
            <w:vAlign w:val="bottom"/>
          </w:tcPr>
          <w:p w14:paraId="392BEDE8" w14:textId="77777777" w:rsidR="00980E5F" w:rsidRDefault="00980E5F">
            <w:pPr>
              <w:rPr>
                <w:rFonts w:ascii="宋体"/>
                <w:vanish/>
              </w:rPr>
            </w:pPr>
          </w:p>
        </w:tc>
        <w:tc>
          <w:tcPr>
            <w:tcW w:w="0" w:type="auto"/>
            <w:gridSpan w:val="3"/>
            <w:shd w:val="clear" w:color="auto" w:fill="auto"/>
            <w:vAlign w:val="bottom"/>
          </w:tcPr>
          <w:p w14:paraId="392BEDE9" w14:textId="77777777" w:rsidR="00980E5F" w:rsidRDefault="00980E5F">
            <w:pPr>
              <w:rPr>
                <w:rFonts w:ascii="宋体"/>
                <w:vanish/>
              </w:rPr>
            </w:pPr>
          </w:p>
        </w:tc>
        <w:tc>
          <w:tcPr>
            <w:tcW w:w="0" w:type="auto"/>
            <w:gridSpan w:val="3"/>
            <w:shd w:val="clear" w:color="auto" w:fill="auto"/>
            <w:vAlign w:val="bottom"/>
          </w:tcPr>
          <w:p w14:paraId="392BEDEA" w14:textId="77777777" w:rsidR="00980E5F" w:rsidRDefault="00980E5F">
            <w:pPr>
              <w:rPr>
                <w:rFonts w:ascii="宋体"/>
                <w:vanish/>
              </w:rPr>
            </w:pPr>
          </w:p>
        </w:tc>
        <w:tc>
          <w:tcPr>
            <w:tcW w:w="0" w:type="auto"/>
            <w:gridSpan w:val="3"/>
            <w:shd w:val="clear" w:color="auto" w:fill="auto"/>
            <w:vAlign w:val="bottom"/>
          </w:tcPr>
          <w:p w14:paraId="392BEDEB" w14:textId="77777777" w:rsidR="00980E5F" w:rsidRDefault="00980E5F">
            <w:pPr>
              <w:rPr>
                <w:rFonts w:ascii="宋体"/>
                <w:vanish/>
              </w:rPr>
            </w:pPr>
          </w:p>
        </w:tc>
        <w:tc>
          <w:tcPr>
            <w:tcW w:w="0" w:type="auto"/>
            <w:gridSpan w:val="3"/>
            <w:shd w:val="clear" w:color="auto" w:fill="auto"/>
            <w:vAlign w:val="bottom"/>
          </w:tcPr>
          <w:p w14:paraId="392BEDEC" w14:textId="77777777" w:rsidR="00980E5F" w:rsidRDefault="00980E5F">
            <w:pPr>
              <w:rPr>
                <w:rFonts w:ascii="宋体"/>
                <w:vanish/>
              </w:rPr>
            </w:pPr>
          </w:p>
        </w:tc>
        <w:tc>
          <w:tcPr>
            <w:tcW w:w="0" w:type="auto"/>
            <w:gridSpan w:val="3"/>
            <w:shd w:val="clear" w:color="auto" w:fill="auto"/>
            <w:vAlign w:val="bottom"/>
          </w:tcPr>
          <w:p w14:paraId="392BEDED" w14:textId="77777777" w:rsidR="00980E5F" w:rsidRDefault="00980E5F">
            <w:pPr>
              <w:rPr>
                <w:rFonts w:ascii="宋体"/>
                <w:vanish/>
              </w:rPr>
            </w:pPr>
          </w:p>
        </w:tc>
        <w:tc>
          <w:tcPr>
            <w:tcW w:w="0" w:type="auto"/>
            <w:gridSpan w:val="3"/>
            <w:shd w:val="clear" w:color="auto" w:fill="auto"/>
            <w:vAlign w:val="bottom"/>
          </w:tcPr>
          <w:p w14:paraId="392BEDEE" w14:textId="77777777" w:rsidR="00980E5F" w:rsidRDefault="00980E5F">
            <w:pPr>
              <w:rPr>
                <w:rFonts w:ascii="宋体"/>
                <w:vanish/>
              </w:rPr>
            </w:pPr>
          </w:p>
        </w:tc>
        <w:tc>
          <w:tcPr>
            <w:tcW w:w="0" w:type="auto"/>
            <w:gridSpan w:val="3"/>
            <w:shd w:val="clear" w:color="auto" w:fill="auto"/>
            <w:vAlign w:val="bottom"/>
          </w:tcPr>
          <w:p w14:paraId="392BEDEF" w14:textId="77777777" w:rsidR="00980E5F" w:rsidRDefault="00980E5F">
            <w:pPr>
              <w:rPr>
                <w:rFonts w:ascii="宋体"/>
                <w:vanish/>
              </w:rPr>
            </w:pPr>
          </w:p>
        </w:tc>
        <w:tc>
          <w:tcPr>
            <w:tcW w:w="0" w:type="auto"/>
            <w:gridSpan w:val="3"/>
            <w:shd w:val="clear" w:color="auto" w:fill="auto"/>
            <w:vAlign w:val="bottom"/>
          </w:tcPr>
          <w:p w14:paraId="392BEDF0" w14:textId="77777777" w:rsidR="00980E5F" w:rsidRDefault="00980E5F">
            <w:pPr>
              <w:rPr>
                <w:rFonts w:ascii="宋体"/>
                <w:vanish/>
              </w:rPr>
            </w:pPr>
          </w:p>
        </w:tc>
        <w:tc>
          <w:tcPr>
            <w:tcW w:w="0" w:type="auto"/>
            <w:gridSpan w:val="3"/>
            <w:shd w:val="clear" w:color="auto" w:fill="auto"/>
            <w:vAlign w:val="bottom"/>
          </w:tcPr>
          <w:p w14:paraId="392BEDF1" w14:textId="77777777" w:rsidR="00980E5F" w:rsidRDefault="00980E5F">
            <w:pPr>
              <w:rPr>
                <w:rFonts w:ascii="宋体"/>
                <w:vanish/>
              </w:rPr>
            </w:pPr>
          </w:p>
        </w:tc>
        <w:tc>
          <w:tcPr>
            <w:tcW w:w="0" w:type="auto"/>
            <w:gridSpan w:val="3"/>
            <w:shd w:val="clear" w:color="auto" w:fill="auto"/>
            <w:vAlign w:val="bottom"/>
          </w:tcPr>
          <w:p w14:paraId="392BEDF2" w14:textId="77777777" w:rsidR="00980E5F" w:rsidRDefault="00980E5F">
            <w:pPr>
              <w:rPr>
                <w:rFonts w:ascii="宋体"/>
                <w:vanish/>
              </w:rPr>
            </w:pPr>
          </w:p>
        </w:tc>
        <w:tc>
          <w:tcPr>
            <w:tcW w:w="0" w:type="auto"/>
            <w:gridSpan w:val="3"/>
            <w:shd w:val="clear" w:color="auto" w:fill="auto"/>
            <w:vAlign w:val="bottom"/>
          </w:tcPr>
          <w:p w14:paraId="392BEDF3" w14:textId="77777777" w:rsidR="00980E5F" w:rsidRDefault="00980E5F">
            <w:pPr>
              <w:rPr>
                <w:rFonts w:ascii="宋体"/>
                <w:vanish/>
              </w:rPr>
            </w:pPr>
          </w:p>
        </w:tc>
        <w:tc>
          <w:tcPr>
            <w:tcW w:w="0" w:type="auto"/>
            <w:gridSpan w:val="3"/>
            <w:shd w:val="clear" w:color="auto" w:fill="auto"/>
            <w:vAlign w:val="bottom"/>
          </w:tcPr>
          <w:p w14:paraId="392BEDF4" w14:textId="77777777" w:rsidR="00980E5F" w:rsidRDefault="00980E5F">
            <w:pPr>
              <w:rPr>
                <w:rFonts w:ascii="宋体"/>
                <w:vanish/>
              </w:rPr>
            </w:pPr>
          </w:p>
        </w:tc>
        <w:tc>
          <w:tcPr>
            <w:tcW w:w="0" w:type="auto"/>
            <w:gridSpan w:val="3"/>
            <w:shd w:val="clear" w:color="auto" w:fill="auto"/>
            <w:vAlign w:val="bottom"/>
          </w:tcPr>
          <w:p w14:paraId="392BEDF5" w14:textId="77777777" w:rsidR="00980E5F" w:rsidRDefault="00980E5F">
            <w:pPr>
              <w:rPr>
                <w:rFonts w:ascii="宋体"/>
                <w:vanish/>
              </w:rPr>
            </w:pPr>
          </w:p>
        </w:tc>
        <w:tc>
          <w:tcPr>
            <w:tcW w:w="0" w:type="auto"/>
            <w:gridSpan w:val="3"/>
            <w:shd w:val="clear" w:color="auto" w:fill="auto"/>
            <w:vAlign w:val="bottom"/>
          </w:tcPr>
          <w:p w14:paraId="392BEDF6" w14:textId="77777777" w:rsidR="00980E5F" w:rsidRDefault="00980E5F">
            <w:pPr>
              <w:rPr>
                <w:rFonts w:ascii="宋体"/>
                <w:vanish/>
              </w:rPr>
            </w:pPr>
          </w:p>
        </w:tc>
        <w:tc>
          <w:tcPr>
            <w:tcW w:w="0" w:type="auto"/>
            <w:gridSpan w:val="3"/>
            <w:shd w:val="clear" w:color="auto" w:fill="auto"/>
            <w:vAlign w:val="bottom"/>
          </w:tcPr>
          <w:p w14:paraId="392BEDF7" w14:textId="77777777" w:rsidR="00980E5F" w:rsidRDefault="00980E5F">
            <w:pPr>
              <w:rPr>
                <w:rFonts w:ascii="宋体"/>
                <w:vanish/>
              </w:rPr>
            </w:pPr>
          </w:p>
        </w:tc>
        <w:tc>
          <w:tcPr>
            <w:tcW w:w="0" w:type="auto"/>
            <w:gridSpan w:val="3"/>
            <w:shd w:val="clear" w:color="auto" w:fill="auto"/>
            <w:vAlign w:val="bottom"/>
          </w:tcPr>
          <w:p w14:paraId="392BEDF8" w14:textId="77777777" w:rsidR="00980E5F" w:rsidRDefault="00980E5F">
            <w:pPr>
              <w:rPr>
                <w:rFonts w:ascii="宋体"/>
                <w:vanish/>
              </w:rPr>
            </w:pPr>
          </w:p>
        </w:tc>
        <w:tc>
          <w:tcPr>
            <w:tcW w:w="0" w:type="auto"/>
            <w:shd w:val="clear" w:color="auto" w:fill="auto"/>
            <w:vAlign w:val="bottom"/>
          </w:tcPr>
          <w:p w14:paraId="392BEDF9" w14:textId="77777777" w:rsidR="00980E5F" w:rsidRDefault="00980E5F">
            <w:pPr>
              <w:rPr>
                <w:rFonts w:ascii="宋体"/>
              </w:rPr>
            </w:pPr>
          </w:p>
        </w:tc>
        <w:tc>
          <w:tcPr>
            <w:tcW w:w="0" w:type="auto"/>
            <w:shd w:val="clear" w:color="auto" w:fill="auto"/>
            <w:vAlign w:val="bottom"/>
          </w:tcPr>
          <w:p w14:paraId="392BEDFA" w14:textId="77777777" w:rsidR="00980E5F" w:rsidRDefault="00980E5F">
            <w:pPr>
              <w:rPr>
                <w:rFonts w:ascii="宋体"/>
              </w:rPr>
            </w:pPr>
          </w:p>
        </w:tc>
        <w:tc>
          <w:tcPr>
            <w:tcW w:w="0" w:type="auto"/>
            <w:shd w:val="clear" w:color="auto" w:fill="auto"/>
            <w:vAlign w:val="bottom"/>
          </w:tcPr>
          <w:p w14:paraId="392BEDFB" w14:textId="77777777" w:rsidR="00980E5F" w:rsidRDefault="00980E5F">
            <w:pPr>
              <w:rPr>
                <w:rFonts w:ascii="宋体"/>
              </w:rPr>
            </w:pPr>
          </w:p>
        </w:tc>
      </w:tr>
      <w:tr w:rsidR="00980E5F" w14:paraId="392BEE11" w14:textId="77777777">
        <w:trPr>
          <w:hidden/>
        </w:trPr>
        <w:tc>
          <w:tcPr>
            <w:tcW w:w="0" w:type="auto"/>
            <w:gridSpan w:val="3"/>
            <w:shd w:val="clear" w:color="auto" w:fill="auto"/>
            <w:vAlign w:val="bottom"/>
          </w:tcPr>
          <w:p w14:paraId="392BEDFD" w14:textId="77777777" w:rsidR="00980E5F" w:rsidRDefault="00980E5F">
            <w:pPr>
              <w:rPr>
                <w:rFonts w:ascii="宋体"/>
                <w:vanish/>
              </w:rPr>
            </w:pPr>
          </w:p>
        </w:tc>
        <w:tc>
          <w:tcPr>
            <w:tcW w:w="0" w:type="auto"/>
            <w:gridSpan w:val="3"/>
            <w:shd w:val="clear" w:color="auto" w:fill="auto"/>
            <w:vAlign w:val="bottom"/>
          </w:tcPr>
          <w:p w14:paraId="392BEDFE" w14:textId="77777777" w:rsidR="00980E5F" w:rsidRDefault="00980E5F">
            <w:pPr>
              <w:rPr>
                <w:rFonts w:ascii="宋体"/>
                <w:vanish/>
              </w:rPr>
            </w:pPr>
          </w:p>
        </w:tc>
        <w:tc>
          <w:tcPr>
            <w:tcW w:w="0" w:type="auto"/>
            <w:gridSpan w:val="3"/>
            <w:shd w:val="clear" w:color="auto" w:fill="auto"/>
            <w:vAlign w:val="bottom"/>
          </w:tcPr>
          <w:p w14:paraId="392BEDFF" w14:textId="77777777" w:rsidR="00980E5F" w:rsidRDefault="00980E5F">
            <w:pPr>
              <w:rPr>
                <w:rFonts w:ascii="宋体"/>
                <w:vanish/>
              </w:rPr>
            </w:pPr>
          </w:p>
        </w:tc>
        <w:tc>
          <w:tcPr>
            <w:tcW w:w="0" w:type="auto"/>
            <w:gridSpan w:val="3"/>
            <w:shd w:val="clear" w:color="auto" w:fill="auto"/>
            <w:vAlign w:val="bottom"/>
          </w:tcPr>
          <w:p w14:paraId="392BEE00" w14:textId="77777777" w:rsidR="00980E5F" w:rsidRDefault="00980E5F">
            <w:pPr>
              <w:rPr>
                <w:rFonts w:ascii="宋体"/>
                <w:vanish/>
              </w:rPr>
            </w:pPr>
          </w:p>
        </w:tc>
        <w:tc>
          <w:tcPr>
            <w:tcW w:w="0" w:type="auto"/>
            <w:gridSpan w:val="3"/>
            <w:shd w:val="clear" w:color="auto" w:fill="auto"/>
            <w:vAlign w:val="bottom"/>
          </w:tcPr>
          <w:p w14:paraId="392BEE01" w14:textId="77777777" w:rsidR="00980E5F" w:rsidRDefault="00980E5F">
            <w:pPr>
              <w:rPr>
                <w:rFonts w:ascii="宋体"/>
                <w:vanish/>
              </w:rPr>
            </w:pPr>
          </w:p>
        </w:tc>
        <w:tc>
          <w:tcPr>
            <w:tcW w:w="0" w:type="auto"/>
            <w:gridSpan w:val="3"/>
            <w:shd w:val="clear" w:color="auto" w:fill="auto"/>
            <w:vAlign w:val="bottom"/>
          </w:tcPr>
          <w:p w14:paraId="392BEE02" w14:textId="77777777" w:rsidR="00980E5F" w:rsidRDefault="00980E5F">
            <w:pPr>
              <w:rPr>
                <w:rFonts w:ascii="宋体"/>
                <w:vanish/>
              </w:rPr>
            </w:pPr>
          </w:p>
        </w:tc>
        <w:tc>
          <w:tcPr>
            <w:tcW w:w="0" w:type="auto"/>
            <w:gridSpan w:val="3"/>
            <w:shd w:val="clear" w:color="auto" w:fill="auto"/>
            <w:vAlign w:val="bottom"/>
          </w:tcPr>
          <w:p w14:paraId="392BEE03" w14:textId="77777777" w:rsidR="00980E5F" w:rsidRDefault="00980E5F">
            <w:pPr>
              <w:rPr>
                <w:rFonts w:ascii="宋体"/>
                <w:vanish/>
              </w:rPr>
            </w:pPr>
          </w:p>
        </w:tc>
        <w:tc>
          <w:tcPr>
            <w:tcW w:w="0" w:type="auto"/>
            <w:gridSpan w:val="3"/>
            <w:shd w:val="clear" w:color="auto" w:fill="auto"/>
            <w:vAlign w:val="bottom"/>
          </w:tcPr>
          <w:p w14:paraId="392BEE04" w14:textId="77777777" w:rsidR="00980E5F" w:rsidRDefault="00980E5F">
            <w:pPr>
              <w:rPr>
                <w:rFonts w:ascii="宋体"/>
                <w:vanish/>
              </w:rPr>
            </w:pPr>
          </w:p>
        </w:tc>
        <w:tc>
          <w:tcPr>
            <w:tcW w:w="0" w:type="auto"/>
            <w:gridSpan w:val="3"/>
            <w:shd w:val="clear" w:color="auto" w:fill="auto"/>
            <w:vAlign w:val="bottom"/>
          </w:tcPr>
          <w:p w14:paraId="392BEE05" w14:textId="77777777" w:rsidR="00980E5F" w:rsidRDefault="00980E5F">
            <w:pPr>
              <w:rPr>
                <w:rFonts w:ascii="宋体"/>
                <w:vanish/>
              </w:rPr>
            </w:pPr>
          </w:p>
        </w:tc>
        <w:tc>
          <w:tcPr>
            <w:tcW w:w="0" w:type="auto"/>
            <w:gridSpan w:val="3"/>
            <w:shd w:val="clear" w:color="auto" w:fill="auto"/>
            <w:vAlign w:val="bottom"/>
          </w:tcPr>
          <w:p w14:paraId="392BEE06" w14:textId="77777777" w:rsidR="00980E5F" w:rsidRDefault="00980E5F">
            <w:pPr>
              <w:rPr>
                <w:rFonts w:ascii="宋体"/>
                <w:vanish/>
              </w:rPr>
            </w:pPr>
          </w:p>
        </w:tc>
        <w:tc>
          <w:tcPr>
            <w:tcW w:w="0" w:type="auto"/>
            <w:gridSpan w:val="3"/>
            <w:shd w:val="clear" w:color="auto" w:fill="auto"/>
            <w:vAlign w:val="bottom"/>
          </w:tcPr>
          <w:p w14:paraId="392BEE07" w14:textId="77777777" w:rsidR="00980E5F" w:rsidRDefault="00980E5F">
            <w:pPr>
              <w:rPr>
                <w:rFonts w:ascii="宋体"/>
                <w:vanish/>
              </w:rPr>
            </w:pPr>
          </w:p>
        </w:tc>
        <w:tc>
          <w:tcPr>
            <w:tcW w:w="0" w:type="auto"/>
            <w:gridSpan w:val="3"/>
            <w:shd w:val="clear" w:color="auto" w:fill="auto"/>
            <w:vAlign w:val="bottom"/>
          </w:tcPr>
          <w:p w14:paraId="392BEE08" w14:textId="77777777" w:rsidR="00980E5F" w:rsidRDefault="00980E5F">
            <w:pPr>
              <w:rPr>
                <w:rFonts w:ascii="宋体"/>
                <w:vanish/>
              </w:rPr>
            </w:pPr>
          </w:p>
        </w:tc>
        <w:tc>
          <w:tcPr>
            <w:tcW w:w="0" w:type="auto"/>
            <w:gridSpan w:val="3"/>
            <w:shd w:val="clear" w:color="auto" w:fill="auto"/>
            <w:vAlign w:val="bottom"/>
          </w:tcPr>
          <w:p w14:paraId="392BEE09" w14:textId="77777777" w:rsidR="00980E5F" w:rsidRDefault="00980E5F">
            <w:pPr>
              <w:rPr>
                <w:rFonts w:ascii="宋体"/>
                <w:vanish/>
              </w:rPr>
            </w:pPr>
          </w:p>
        </w:tc>
        <w:tc>
          <w:tcPr>
            <w:tcW w:w="0" w:type="auto"/>
            <w:gridSpan w:val="3"/>
            <w:shd w:val="clear" w:color="auto" w:fill="auto"/>
            <w:vAlign w:val="bottom"/>
          </w:tcPr>
          <w:p w14:paraId="392BEE0A" w14:textId="77777777" w:rsidR="00980E5F" w:rsidRDefault="00980E5F">
            <w:pPr>
              <w:rPr>
                <w:rFonts w:ascii="宋体"/>
                <w:vanish/>
              </w:rPr>
            </w:pPr>
          </w:p>
        </w:tc>
        <w:tc>
          <w:tcPr>
            <w:tcW w:w="0" w:type="auto"/>
            <w:gridSpan w:val="3"/>
            <w:shd w:val="clear" w:color="auto" w:fill="auto"/>
            <w:vAlign w:val="bottom"/>
          </w:tcPr>
          <w:p w14:paraId="392BEE0B" w14:textId="77777777" w:rsidR="00980E5F" w:rsidRDefault="00980E5F">
            <w:pPr>
              <w:rPr>
                <w:rFonts w:ascii="宋体"/>
                <w:vanish/>
              </w:rPr>
            </w:pPr>
          </w:p>
        </w:tc>
        <w:tc>
          <w:tcPr>
            <w:tcW w:w="0" w:type="auto"/>
            <w:gridSpan w:val="3"/>
            <w:shd w:val="clear" w:color="auto" w:fill="auto"/>
            <w:vAlign w:val="bottom"/>
          </w:tcPr>
          <w:p w14:paraId="392BEE0C" w14:textId="77777777" w:rsidR="00980E5F" w:rsidRDefault="00980E5F">
            <w:pPr>
              <w:rPr>
                <w:rFonts w:ascii="宋体"/>
                <w:vanish/>
              </w:rPr>
            </w:pPr>
          </w:p>
        </w:tc>
        <w:tc>
          <w:tcPr>
            <w:tcW w:w="0" w:type="auto"/>
            <w:gridSpan w:val="3"/>
            <w:shd w:val="clear" w:color="auto" w:fill="auto"/>
            <w:vAlign w:val="bottom"/>
          </w:tcPr>
          <w:p w14:paraId="392BEE0D" w14:textId="77777777" w:rsidR="00980E5F" w:rsidRDefault="00980E5F">
            <w:pPr>
              <w:rPr>
                <w:rFonts w:ascii="宋体"/>
                <w:vanish/>
              </w:rPr>
            </w:pPr>
          </w:p>
        </w:tc>
        <w:tc>
          <w:tcPr>
            <w:tcW w:w="0" w:type="auto"/>
            <w:shd w:val="clear" w:color="auto" w:fill="auto"/>
            <w:vAlign w:val="bottom"/>
          </w:tcPr>
          <w:p w14:paraId="392BEE0E" w14:textId="77777777" w:rsidR="00980E5F" w:rsidRDefault="00980E5F">
            <w:pPr>
              <w:rPr>
                <w:rFonts w:ascii="宋体"/>
              </w:rPr>
            </w:pPr>
          </w:p>
        </w:tc>
        <w:tc>
          <w:tcPr>
            <w:tcW w:w="0" w:type="auto"/>
            <w:shd w:val="clear" w:color="auto" w:fill="auto"/>
            <w:vAlign w:val="bottom"/>
          </w:tcPr>
          <w:p w14:paraId="392BEE0F" w14:textId="77777777" w:rsidR="00980E5F" w:rsidRDefault="00980E5F">
            <w:pPr>
              <w:rPr>
                <w:rFonts w:ascii="宋体"/>
              </w:rPr>
            </w:pPr>
          </w:p>
        </w:tc>
        <w:tc>
          <w:tcPr>
            <w:tcW w:w="0" w:type="auto"/>
            <w:shd w:val="clear" w:color="auto" w:fill="auto"/>
            <w:vAlign w:val="bottom"/>
          </w:tcPr>
          <w:p w14:paraId="392BEE10" w14:textId="77777777" w:rsidR="00980E5F" w:rsidRDefault="00980E5F">
            <w:pPr>
              <w:rPr>
                <w:rFonts w:ascii="宋体"/>
              </w:rPr>
            </w:pPr>
          </w:p>
        </w:tc>
      </w:tr>
    </w:tbl>
    <w:p w14:paraId="392BEE12" w14:textId="77777777" w:rsidR="00980E5F" w:rsidRDefault="00980E5F">
      <w:pPr>
        <w:rPr>
          <w:vanish/>
        </w:rPr>
      </w:pPr>
    </w:p>
    <w:tbl>
      <w:tblPr>
        <w:tblW w:w="3618" w:type="pct"/>
        <w:tblCellMar>
          <w:top w:w="15" w:type="dxa"/>
          <w:left w:w="15" w:type="dxa"/>
          <w:bottom w:w="15" w:type="dxa"/>
          <w:right w:w="15" w:type="dxa"/>
        </w:tblCellMar>
        <w:tblLook w:val="04A0" w:firstRow="1" w:lastRow="0" w:firstColumn="1" w:lastColumn="0" w:noHBand="0" w:noVBand="1"/>
      </w:tblPr>
      <w:tblGrid>
        <w:gridCol w:w="37"/>
        <w:gridCol w:w="1397"/>
        <w:gridCol w:w="36"/>
        <w:gridCol w:w="39"/>
        <w:gridCol w:w="468"/>
        <w:gridCol w:w="38"/>
        <w:gridCol w:w="37"/>
        <w:gridCol w:w="37"/>
        <w:gridCol w:w="37"/>
        <w:gridCol w:w="39"/>
        <w:gridCol w:w="470"/>
        <w:gridCol w:w="38"/>
        <w:gridCol w:w="37"/>
        <w:gridCol w:w="37"/>
        <w:gridCol w:w="37"/>
        <w:gridCol w:w="67"/>
        <w:gridCol w:w="693"/>
        <w:gridCol w:w="154"/>
        <w:gridCol w:w="36"/>
        <w:gridCol w:w="36"/>
        <w:gridCol w:w="36"/>
        <w:gridCol w:w="39"/>
        <w:gridCol w:w="470"/>
        <w:gridCol w:w="38"/>
        <w:gridCol w:w="37"/>
        <w:gridCol w:w="37"/>
        <w:gridCol w:w="37"/>
        <w:gridCol w:w="39"/>
        <w:gridCol w:w="470"/>
        <w:gridCol w:w="37"/>
        <w:gridCol w:w="36"/>
        <w:gridCol w:w="36"/>
        <w:gridCol w:w="36"/>
        <w:gridCol w:w="66"/>
        <w:gridCol w:w="692"/>
        <w:gridCol w:w="156"/>
      </w:tblGrid>
      <w:tr w:rsidR="00980E5F" w14:paraId="392BEE37" w14:textId="77777777">
        <w:tc>
          <w:tcPr>
            <w:tcW w:w="50" w:type="pct"/>
            <w:shd w:val="clear" w:color="auto" w:fill="auto"/>
            <w:vAlign w:val="bottom"/>
          </w:tcPr>
          <w:p w14:paraId="392BEE13" w14:textId="77777777" w:rsidR="00980E5F" w:rsidRDefault="00980E5F">
            <w:pPr>
              <w:rPr>
                <w:rFonts w:ascii="宋体"/>
              </w:rPr>
            </w:pPr>
          </w:p>
        </w:tc>
        <w:tc>
          <w:tcPr>
            <w:tcW w:w="1288" w:type="pct"/>
            <w:shd w:val="clear" w:color="auto" w:fill="auto"/>
            <w:vAlign w:val="bottom"/>
          </w:tcPr>
          <w:p w14:paraId="392BEE14" w14:textId="77777777" w:rsidR="00980E5F" w:rsidRDefault="00980E5F">
            <w:pPr>
              <w:rPr>
                <w:rFonts w:ascii="宋体"/>
              </w:rPr>
            </w:pPr>
          </w:p>
        </w:tc>
        <w:tc>
          <w:tcPr>
            <w:tcW w:w="5" w:type="pct"/>
            <w:shd w:val="clear" w:color="auto" w:fill="auto"/>
            <w:vAlign w:val="bottom"/>
          </w:tcPr>
          <w:p w14:paraId="392BEE15" w14:textId="77777777" w:rsidR="00980E5F" w:rsidRDefault="00980E5F">
            <w:pPr>
              <w:rPr>
                <w:rFonts w:ascii="宋体"/>
              </w:rPr>
            </w:pPr>
          </w:p>
        </w:tc>
        <w:tc>
          <w:tcPr>
            <w:tcW w:w="50" w:type="pct"/>
            <w:shd w:val="clear" w:color="auto" w:fill="auto"/>
            <w:vAlign w:val="bottom"/>
          </w:tcPr>
          <w:p w14:paraId="392BEE16" w14:textId="77777777" w:rsidR="00980E5F" w:rsidRDefault="00980E5F">
            <w:pPr>
              <w:rPr>
                <w:rFonts w:ascii="宋体"/>
              </w:rPr>
            </w:pPr>
          </w:p>
        </w:tc>
        <w:tc>
          <w:tcPr>
            <w:tcW w:w="520" w:type="pct"/>
            <w:shd w:val="clear" w:color="auto" w:fill="auto"/>
            <w:vAlign w:val="bottom"/>
          </w:tcPr>
          <w:p w14:paraId="392BEE17" w14:textId="77777777" w:rsidR="00980E5F" w:rsidRDefault="00980E5F">
            <w:pPr>
              <w:rPr>
                <w:rFonts w:ascii="宋体"/>
              </w:rPr>
            </w:pPr>
          </w:p>
        </w:tc>
        <w:tc>
          <w:tcPr>
            <w:tcW w:w="5" w:type="pct"/>
            <w:shd w:val="clear" w:color="auto" w:fill="auto"/>
            <w:vAlign w:val="bottom"/>
          </w:tcPr>
          <w:p w14:paraId="392BEE18" w14:textId="77777777" w:rsidR="00980E5F" w:rsidRDefault="00980E5F">
            <w:pPr>
              <w:rPr>
                <w:rFonts w:ascii="宋体"/>
              </w:rPr>
            </w:pPr>
          </w:p>
        </w:tc>
        <w:tc>
          <w:tcPr>
            <w:tcW w:w="5" w:type="pct"/>
            <w:shd w:val="clear" w:color="auto" w:fill="auto"/>
            <w:vAlign w:val="bottom"/>
          </w:tcPr>
          <w:p w14:paraId="392BEE19" w14:textId="77777777" w:rsidR="00980E5F" w:rsidRDefault="00980E5F">
            <w:pPr>
              <w:rPr>
                <w:rFonts w:ascii="宋体"/>
              </w:rPr>
            </w:pPr>
          </w:p>
        </w:tc>
        <w:tc>
          <w:tcPr>
            <w:tcW w:w="30" w:type="pct"/>
            <w:shd w:val="clear" w:color="auto" w:fill="auto"/>
            <w:vAlign w:val="bottom"/>
          </w:tcPr>
          <w:p w14:paraId="392BEE1A" w14:textId="77777777" w:rsidR="00980E5F" w:rsidRDefault="00980E5F">
            <w:pPr>
              <w:rPr>
                <w:rFonts w:ascii="宋体"/>
              </w:rPr>
            </w:pPr>
          </w:p>
        </w:tc>
        <w:tc>
          <w:tcPr>
            <w:tcW w:w="5" w:type="pct"/>
            <w:shd w:val="clear" w:color="auto" w:fill="auto"/>
            <w:vAlign w:val="bottom"/>
          </w:tcPr>
          <w:p w14:paraId="392BEE1B" w14:textId="77777777" w:rsidR="00980E5F" w:rsidRDefault="00980E5F">
            <w:pPr>
              <w:rPr>
                <w:rFonts w:ascii="宋体"/>
              </w:rPr>
            </w:pPr>
          </w:p>
        </w:tc>
        <w:tc>
          <w:tcPr>
            <w:tcW w:w="50" w:type="pct"/>
            <w:shd w:val="clear" w:color="auto" w:fill="auto"/>
            <w:vAlign w:val="bottom"/>
          </w:tcPr>
          <w:p w14:paraId="392BEE1C" w14:textId="77777777" w:rsidR="00980E5F" w:rsidRDefault="00980E5F">
            <w:pPr>
              <w:rPr>
                <w:rFonts w:ascii="宋体"/>
              </w:rPr>
            </w:pPr>
          </w:p>
        </w:tc>
        <w:tc>
          <w:tcPr>
            <w:tcW w:w="520" w:type="pct"/>
            <w:shd w:val="clear" w:color="auto" w:fill="auto"/>
            <w:vAlign w:val="bottom"/>
          </w:tcPr>
          <w:p w14:paraId="392BEE1D" w14:textId="77777777" w:rsidR="00980E5F" w:rsidRDefault="00980E5F">
            <w:pPr>
              <w:rPr>
                <w:rFonts w:ascii="宋体"/>
              </w:rPr>
            </w:pPr>
          </w:p>
        </w:tc>
        <w:tc>
          <w:tcPr>
            <w:tcW w:w="5" w:type="pct"/>
            <w:shd w:val="clear" w:color="auto" w:fill="auto"/>
            <w:vAlign w:val="bottom"/>
          </w:tcPr>
          <w:p w14:paraId="392BEE1E" w14:textId="77777777" w:rsidR="00980E5F" w:rsidRDefault="00980E5F">
            <w:pPr>
              <w:rPr>
                <w:rFonts w:ascii="宋体"/>
              </w:rPr>
            </w:pPr>
          </w:p>
        </w:tc>
        <w:tc>
          <w:tcPr>
            <w:tcW w:w="5" w:type="pct"/>
            <w:shd w:val="clear" w:color="auto" w:fill="auto"/>
            <w:vAlign w:val="bottom"/>
          </w:tcPr>
          <w:p w14:paraId="392BEE1F" w14:textId="77777777" w:rsidR="00980E5F" w:rsidRDefault="00980E5F">
            <w:pPr>
              <w:rPr>
                <w:rFonts w:ascii="宋体"/>
              </w:rPr>
            </w:pPr>
          </w:p>
        </w:tc>
        <w:tc>
          <w:tcPr>
            <w:tcW w:w="30" w:type="pct"/>
            <w:shd w:val="clear" w:color="auto" w:fill="auto"/>
            <w:vAlign w:val="bottom"/>
          </w:tcPr>
          <w:p w14:paraId="392BEE20" w14:textId="77777777" w:rsidR="00980E5F" w:rsidRDefault="00980E5F">
            <w:pPr>
              <w:rPr>
                <w:rFonts w:ascii="宋体"/>
              </w:rPr>
            </w:pPr>
          </w:p>
        </w:tc>
        <w:tc>
          <w:tcPr>
            <w:tcW w:w="5" w:type="pct"/>
            <w:shd w:val="clear" w:color="auto" w:fill="auto"/>
            <w:vAlign w:val="bottom"/>
          </w:tcPr>
          <w:p w14:paraId="392BEE21" w14:textId="77777777" w:rsidR="00980E5F" w:rsidRDefault="00980E5F">
            <w:pPr>
              <w:rPr>
                <w:rFonts w:ascii="宋体"/>
              </w:rPr>
            </w:pPr>
          </w:p>
        </w:tc>
        <w:tc>
          <w:tcPr>
            <w:tcW w:w="50" w:type="pct"/>
            <w:shd w:val="clear" w:color="auto" w:fill="auto"/>
            <w:vAlign w:val="bottom"/>
          </w:tcPr>
          <w:p w14:paraId="392BEE22" w14:textId="77777777" w:rsidR="00980E5F" w:rsidRDefault="00980E5F">
            <w:pPr>
              <w:rPr>
                <w:rFonts w:ascii="宋体"/>
              </w:rPr>
            </w:pPr>
          </w:p>
        </w:tc>
        <w:tc>
          <w:tcPr>
            <w:tcW w:w="520" w:type="pct"/>
            <w:shd w:val="clear" w:color="auto" w:fill="auto"/>
            <w:vAlign w:val="bottom"/>
          </w:tcPr>
          <w:p w14:paraId="392BEE23" w14:textId="77777777" w:rsidR="00980E5F" w:rsidRDefault="00980E5F">
            <w:pPr>
              <w:rPr>
                <w:rFonts w:ascii="宋体"/>
              </w:rPr>
            </w:pPr>
          </w:p>
        </w:tc>
        <w:tc>
          <w:tcPr>
            <w:tcW w:w="5" w:type="pct"/>
            <w:shd w:val="clear" w:color="auto" w:fill="auto"/>
            <w:vAlign w:val="bottom"/>
          </w:tcPr>
          <w:p w14:paraId="392BEE24" w14:textId="77777777" w:rsidR="00980E5F" w:rsidRDefault="00980E5F">
            <w:pPr>
              <w:rPr>
                <w:rFonts w:ascii="宋体"/>
              </w:rPr>
            </w:pPr>
          </w:p>
        </w:tc>
        <w:tc>
          <w:tcPr>
            <w:tcW w:w="5" w:type="pct"/>
            <w:shd w:val="clear" w:color="auto" w:fill="auto"/>
            <w:vAlign w:val="bottom"/>
          </w:tcPr>
          <w:p w14:paraId="392BEE25" w14:textId="77777777" w:rsidR="00980E5F" w:rsidRDefault="00980E5F">
            <w:pPr>
              <w:rPr>
                <w:rFonts w:ascii="宋体"/>
              </w:rPr>
            </w:pPr>
          </w:p>
        </w:tc>
        <w:tc>
          <w:tcPr>
            <w:tcW w:w="30" w:type="pct"/>
            <w:shd w:val="clear" w:color="auto" w:fill="auto"/>
            <w:vAlign w:val="bottom"/>
          </w:tcPr>
          <w:p w14:paraId="392BEE26" w14:textId="77777777" w:rsidR="00980E5F" w:rsidRDefault="00980E5F">
            <w:pPr>
              <w:rPr>
                <w:rFonts w:ascii="宋体"/>
              </w:rPr>
            </w:pPr>
          </w:p>
        </w:tc>
        <w:tc>
          <w:tcPr>
            <w:tcW w:w="5" w:type="pct"/>
            <w:shd w:val="clear" w:color="auto" w:fill="auto"/>
            <w:vAlign w:val="bottom"/>
          </w:tcPr>
          <w:p w14:paraId="392BEE27" w14:textId="77777777" w:rsidR="00980E5F" w:rsidRDefault="00980E5F">
            <w:pPr>
              <w:rPr>
                <w:rFonts w:ascii="宋体"/>
              </w:rPr>
            </w:pPr>
          </w:p>
        </w:tc>
        <w:tc>
          <w:tcPr>
            <w:tcW w:w="50" w:type="pct"/>
            <w:shd w:val="clear" w:color="auto" w:fill="auto"/>
            <w:vAlign w:val="bottom"/>
          </w:tcPr>
          <w:p w14:paraId="392BEE28" w14:textId="77777777" w:rsidR="00980E5F" w:rsidRDefault="00980E5F">
            <w:pPr>
              <w:rPr>
                <w:rFonts w:ascii="宋体"/>
              </w:rPr>
            </w:pPr>
          </w:p>
        </w:tc>
        <w:tc>
          <w:tcPr>
            <w:tcW w:w="520" w:type="pct"/>
            <w:shd w:val="clear" w:color="auto" w:fill="auto"/>
            <w:vAlign w:val="bottom"/>
          </w:tcPr>
          <w:p w14:paraId="392BEE29" w14:textId="77777777" w:rsidR="00980E5F" w:rsidRDefault="00980E5F">
            <w:pPr>
              <w:rPr>
                <w:rFonts w:ascii="宋体"/>
              </w:rPr>
            </w:pPr>
          </w:p>
        </w:tc>
        <w:tc>
          <w:tcPr>
            <w:tcW w:w="5" w:type="pct"/>
            <w:shd w:val="clear" w:color="auto" w:fill="auto"/>
            <w:vAlign w:val="bottom"/>
          </w:tcPr>
          <w:p w14:paraId="392BEE2A" w14:textId="77777777" w:rsidR="00980E5F" w:rsidRDefault="00980E5F">
            <w:pPr>
              <w:rPr>
                <w:rFonts w:ascii="宋体"/>
              </w:rPr>
            </w:pPr>
          </w:p>
        </w:tc>
        <w:tc>
          <w:tcPr>
            <w:tcW w:w="5" w:type="pct"/>
            <w:shd w:val="clear" w:color="auto" w:fill="auto"/>
            <w:vAlign w:val="bottom"/>
          </w:tcPr>
          <w:p w14:paraId="392BEE2B" w14:textId="77777777" w:rsidR="00980E5F" w:rsidRDefault="00980E5F">
            <w:pPr>
              <w:rPr>
                <w:rFonts w:ascii="宋体"/>
              </w:rPr>
            </w:pPr>
          </w:p>
        </w:tc>
        <w:tc>
          <w:tcPr>
            <w:tcW w:w="30" w:type="pct"/>
            <w:shd w:val="clear" w:color="auto" w:fill="auto"/>
            <w:vAlign w:val="bottom"/>
          </w:tcPr>
          <w:p w14:paraId="392BEE2C" w14:textId="77777777" w:rsidR="00980E5F" w:rsidRDefault="00980E5F">
            <w:pPr>
              <w:rPr>
                <w:rFonts w:ascii="宋体"/>
              </w:rPr>
            </w:pPr>
          </w:p>
        </w:tc>
        <w:tc>
          <w:tcPr>
            <w:tcW w:w="5" w:type="pct"/>
            <w:shd w:val="clear" w:color="auto" w:fill="auto"/>
            <w:vAlign w:val="bottom"/>
          </w:tcPr>
          <w:p w14:paraId="392BEE2D" w14:textId="77777777" w:rsidR="00980E5F" w:rsidRDefault="00980E5F">
            <w:pPr>
              <w:rPr>
                <w:rFonts w:ascii="宋体"/>
              </w:rPr>
            </w:pPr>
          </w:p>
        </w:tc>
        <w:tc>
          <w:tcPr>
            <w:tcW w:w="50" w:type="pct"/>
            <w:shd w:val="clear" w:color="auto" w:fill="auto"/>
            <w:vAlign w:val="bottom"/>
          </w:tcPr>
          <w:p w14:paraId="392BEE2E" w14:textId="77777777" w:rsidR="00980E5F" w:rsidRDefault="00980E5F">
            <w:pPr>
              <w:rPr>
                <w:rFonts w:ascii="宋体"/>
              </w:rPr>
            </w:pPr>
          </w:p>
        </w:tc>
        <w:tc>
          <w:tcPr>
            <w:tcW w:w="520" w:type="pct"/>
            <w:shd w:val="clear" w:color="auto" w:fill="auto"/>
            <w:vAlign w:val="bottom"/>
          </w:tcPr>
          <w:p w14:paraId="392BEE2F" w14:textId="77777777" w:rsidR="00980E5F" w:rsidRDefault="00980E5F">
            <w:pPr>
              <w:rPr>
                <w:rFonts w:ascii="宋体"/>
              </w:rPr>
            </w:pPr>
          </w:p>
        </w:tc>
        <w:tc>
          <w:tcPr>
            <w:tcW w:w="5" w:type="pct"/>
            <w:shd w:val="clear" w:color="auto" w:fill="auto"/>
            <w:vAlign w:val="bottom"/>
          </w:tcPr>
          <w:p w14:paraId="392BEE30" w14:textId="77777777" w:rsidR="00980E5F" w:rsidRDefault="00980E5F">
            <w:pPr>
              <w:rPr>
                <w:rFonts w:ascii="宋体"/>
              </w:rPr>
            </w:pPr>
          </w:p>
        </w:tc>
        <w:tc>
          <w:tcPr>
            <w:tcW w:w="5" w:type="pct"/>
            <w:shd w:val="clear" w:color="auto" w:fill="auto"/>
            <w:vAlign w:val="bottom"/>
          </w:tcPr>
          <w:p w14:paraId="392BEE31" w14:textId="77777777" w:rsidR="00980E5F" w:rsidRDefault="00980E5F">
            <w:pPr>
              <w:rPr>
                <w:rFonts w:ascii="宋体"/>
              </w:rPr>
            </w:pPr>
          </w:p>
        </w:tc>
        <w:tc>
          <w:tcPr>
            <w:tcW w:w="30" w:type="pct"/>
            <w:shd w:val="clear" w:color="auto" w:fill="auto"/>
            <w:vAlign w:val="bottom"/>
          </w:tcPr>
          <w:p w14:paraId="392BEE32" w14:textId="77777777" w:rsidR="00980E5F" w:rsidRDefault="00980E5F">
            <w:pPr>
              <w:rPr>
                <w:rFonts w:ascii="宋体"/>
              </w:rPr>
            </w:pPr>
          </w:p>
        </w:tc>
        <w:tc>
          <w:tcPr>
            <w:tcW w:w="5" w:type="pct"/>
            <w:shd w:val="clear" w:color="auto" w:fill="auto"/>
            <w:vAlign w:val="bottom"/>
          </w:tcPr>
          <w:p w14:paraId="392BEE33" w14:textId="77777777" w:rsidR="00980E5F" w:rsidRDefault="00980E5F">
            <w:pPr>
              <w:rPr>
                <w:rFonts w:ascii="宋体"/>
              </w:rPr>
            </w:pPr>
          </w:p>
        </w:tc>
        <w:tc>
          <w:tcPr>
            <w:tcW w:w="50" w:type="pct"/>
            <w:shd w:val="clear" w:color="auto" w:fill="auto"/>
            <w:vAlign w:val="bottom"/>
          </w:tcPr>
          <w:p w14:paraId="392BEE34" w14:textId="77777777" w:rsidR="00980E5F" w:rsidRDefault="00980E5F">
            <w:pPr>
              <w:rPr>
                <w:rFonts w:ascii="宋体"/>
              </w:rPr>
            </w:pPr>
          </w:p>
        </w:tc>
        <w:tc>
          <w:tcPr>
            <w:tcW w:w="520" w:type="pct"/>
            <w:shd w:val="clear" w:color="auto" w:fill="auto"/>
            <w:vAlign w:val="bottom"/>
          </w:tcPr>
          <w:p w14:paraId="392BEE35" w14:textId="77777777" w:rsidR="00980E5F" w:rsidRDefault="00980E5F">
            <w:pPr>
              <w:rPr>
                <w:rFonts w:ascii="宋体"/>
              </w:rPr>
            </w:pPr>
          </w:p>
        </w:tc>
        <w:tc>
          <w:tcPr>
            <w:tcW w:w="5" w:type="pct"/>
            <w:shd w:val="clear" w:color="auto" w:fill="auto"/>
            <w:vAlign w:val="bottom"/>
          </w:tcPr>
          <w:p w14:paraId="392BEE36" w14:textId="77777777" w:rsidR="00980E5F" w:rsidRDefault="00980E5F">
            <w:pPr>
              <w:rPr>
                <w:rFonts w:ascii="宋体"/>
              </w:rPr>
            </w:pPr>
          </w:p>
        </w:tc>
      </w:tr>
      <w:tr w:rsidR="00980E5F" w14:paraId="392BEE3C" w14:textId="77777777">
        <w:tc>
          <w:tcPr>
            <w:tcW w:w="0" w:type="auto"/>
            <w:gridSpan w:val="3"/>
            <w:shd w:val="clear" w:color="auto" w:fill="auto"/>
            <w:tcMar>
              <w:top w:w="0" w:type="dxa"/>
              <w:left w:w="20" w:type="dxa"/>
              <w:bottom w:w="0" w:type="dxa"/>
              <w:right w:w="20" w:type="dxa"/>
            </w:tcMar>
            <w:vAlign w:val="bottom"/>
          </w:tcPr>
          <w:p w14:paraId="392BEE38"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BEE39" w14:textId="77777777" w:rsidR="00980E5F" w:rsidRDefault="00483613">
            <w:pPr>
              <w:jc w:val="center"/>
              <w:textAlignment w:val="bottom"/>
            </w:pPr>
            <w:r>
              <w:rPr>
                <w:rFonts w:ascii="Arial" w:eastAsia="宋体" w:hAnsi="Arial" w:cs="Arial"/>
                <w:b/>
                <w:bCs/>
                <w:color w:val="000000"/>
                <w:sz w:val="15"/>
                <w:szCs w:val="15"/>
              </w:rPr>
              <w:t>Daily Averages of Indices</w:t>
            </w:r>
          </w:p>
        </w:tc>
        <w:tc>
          <w:tcPr>
            <w:tcW w:w="0" w:type="auto"/>
            <w:gridSpan w:val="3"/>
            <w:shd w:val="clear" w:color="auto" w:fill="auto"/>
            <w:tcMar>
              <w:top w:w="0" w:type="dxa"/>
              <w:left w:w="20" w:type="dxa"/>
              <w:bottom w:w="0" w:type="dxa"/>
              <w:right w:w="20" w:type="dxa"/>
            </w:tcMar>
            <w:vAlign w:val="bottom"/>
          </w:tcPr>
          <w:p w14:paraId="392BEE3A"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BEE3B" w14:textId="77777777" w:rsidR="00980E5F" w:rsidRDefault="00483613">
            <w:pPr>
              <w:jc w:val="center"/>
              <w:textAlignment w:val="bottom"/>
            </w:pPr>
            <w:r>
              <w:rPr>
                <w:rFonts w:ascii="Arial" w:eastAsia="宋体" w:hAnsi="Arial" w:cs="Arial"/>
                <w:b/>
                <w:bCs/>
                <w:color w:val="000000"/>
                <w:sz w:val="15"/>
                <w:szCs w:val="15"/>
              </w:rPr>
              <w:t>Month-End Averages of Indices</w:t>
            </w:r>
          </w:p>
        </w:tc>
      </w:tr>
      <w:tr w:rsidR="00980E5F" w14:paraId="392BEE41" w14:textId="77777777">
        <w:tc>
          <w:tcPr>
            <w:tcW w:w="0" w:type="auto"/>
            <w:gridSpan w:val="3"/>
            <w:shd w:val="clear" w:color="auto" w:fill="auto"/>
            <w:tcMar>
              <w:top w:w="0" w:type="dxa"/>
              <w:left w:w="20" w:type="dxa"/>
              <w:bottom w:w="0" w:type="dxa"/>
              <w:right w:w="20" w:type="dxa"/>
            </w:tcMar>
            <w:vAlign w:val="bottom"/>
          </w:tcPr>
          <w:p w14:paraId="392BEE3D"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EE3E" w14:textId="77777777" w:rsidR="00980E5F" w:rsidRDefault="00483613">
            <w:pPr>
              <w:jc w:val="center"/>
              <w:textAlignment w:val="bottom"/>
            </w:pPr>
            <w:r>
              <w:rPr>
                <w:rFonts w:ascii="Arial" w:eastAsia="宋体" w:hAnsi="Arial" w:cs="Arial"/>
                <w:b/>
                <w:bCs/>
                <w:color w:val="000000"/>
                <w:sz w:val="15"/>
                <w:szCs w:val="15"/>
              </w:rPr>
              <w:t>Six Months Ended June 30,</w:t>
            </w:r>
          </w:p>
        </w:tc>
        <w:tc>
          <w:tcPr>
            <w:tcW w:w="0" w:type="auto"/>
            <w:gridSpan w:val="3"/>
            <w:shd w:val="clear" w:color="auto" w:fill="auto"/>
            <w:tcMar>
              <w:top w:w="0" w:type="dxa"/>
              <w:left w:w="20" w:type="dxa"/>
              <w:bottom w:w="0" w:type="dxa"/>
              <w:right w:w="20" w:type="dxa"/>
            </w:tcMar>
            <w:vAlign w:val="bottom"/>
          </w:tcPr>
          <w:p w14:paraId="392BEE3F"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EE40" w14:textId="77777777" w:rsidR="00980E5F" w:rsidRDefault="00483613">
            <w:pPr>
              <w:jc w:val="center"/>
              <w:textAlignment w:val="bottom"/>
            </w:pPr>
            <w:r>
              <w:rPr>
                <w:rFonts w:ascii="Arial" w:eastAsia="宋体" w:hAnsi="Arial" w:cs="Arial"/>
                <w:b/>
                <w:bCs/>
                <w:color w:val="000000"/>
                <w:sz w:val="15"/>
                <w:szCs w:val="15"/>
              </w:rPr>
              <w:t xml:space="preserve">Six Months </w:t>
            </w:r>
            <w:r>
              <w:rPr>
                <w:rFonts w:ascii="Arial" w:eastAsia="宋体" w:hAnsi="Arial" w:cs="Arial"/>
                <w:b/>
                <w:bCs/>
                <w:color w:val="000000"/>
                <w:sz w:val="15"/>
                <w:szCs w:val="15"/>
              </w:rPr>
              <w:t>Ended June 30,</w:t>
            </w:r>
          </w:p>
        </w:tc>
      </w:tr>
      <w:tr w:rsidR="00980E5F" w14:paraId="392BEE4E" w14:textId="77777777">
        <w:tc>
          <w:tcPr>
            <w:tcW w:w="0" w:type="auto"/>
            <w:gridSpan w:val="3"/>
            <w:shd w:val="clear" w:color="auto" w:fill="auto"/>
            <w:tcMar>
              <w:top w:w="0" w:type="dxa"/>
              <w:left w:w="20" w:type="dxa"/>
              <w:bottom w:w="0" w:type="dxa"/>
              <w:right w:w="20" w:type="dxa"/>
            </w:tcMar>
            <w:vAlign w:val="bottom"/>
          </w:tcPr>
          <w:p w14:paraId="392BEE4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3"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4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5"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4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7" w14:textId="77777777" w:rsidR="00980E5F" w:rsidRDefault="00483613">
            <w:pPr>
              <w:jc w:val="center"/>
              <w:textAlignment w:val="bottom"/>
            </w:pPr>
            <w:r>
              <w:rPr>
                <w:rFonts w:ascii="Arial" w:eastAsia="宋体" w:hAnsi="Arial" w:cs="Arial"/>
                <w:b/>
                <w:bCs/>
                <w:color w:val="000000"/>
                <w:sz w:val="15"/>
                <w:szCs w:val="15"/>
              </w:rPr>
              <w:t>% Change</w:t>
            </w:r>
          </w:p>
        </w:tc>
        <w:tc>
          <w:tcPr>
            <w:tcW w:w="0" w:type="auto"/>
            <w:gridSpan w:val="3"/>
            <w:shd w:val="clear" w:color="auto" w:fill="auto"/>
            <w:tcMar>
              <w:top w:w="0" w:type="dxa"/>
              <w:left w:w="20" w:type="dxa"/>
              <w:bottom w:w="0" w:type="dxa"/>
              <w:right w:w="20" w:type="dxa"/>
            </w:tcMar>
            <w:vAlign w:val="bottom"/>
          </w:tcPr>
          <w:p w14:paraId="392BEE4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9"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4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B"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4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4D" w14:textId="77777777" w:rsidR="00980E5F" w:rsidRDefault="00483613">
            <w:pPr>
              <w:jc w:val="center"/>
              <w:textAlignment w:val="bottom"/>
            </w:pPr>
            <w:r>
              <w:rPr>
                <w:rFonts w:ascii="Arial" w:eastAsia="宋体" w:hAnsi="Arial" w:cs="Arial"/>
                <w:b/>
                <w:bCs/>
                <w:color w:val="000000"/>
                <w:sz w:val="15"/>
                <w:szCs w:val="15"/>
              </w:rPr>
              <w:t>% Change</w:t>
            </w:r>
          </w:p>
        </w:tc>
      </w:tr>
      <w:tr w:rsidR="00980E5F" w14:paraId="392BEE61" w14:textId="77777777">
        <w:tc>
          <w:tcPr>
            <w:tcW w:w="0" w:type="auto"/>
            <w:gridSpan w:val="3"/>
            <w:shd w:val="clear" w:color="auto" w:fill="CCEEFF"/>
            <w:tcMar>
              <w:top w:w="40" w:type="dxa"/>
              <w:left w:w="20" w:type="dxa"/>
              <w:bottom w:w="40" w:type="dxa"/>
              <w:right w:w="20" w:type="dxa"/>
            </w:tcMar>
            <w:vAlign w:val="center"/>
          </w:tcPr>
          <w:p w14:paraId="392BEE4F" w14:textId="77777777" w:rsidR="00980E5F" w:rsidRDefault="00483613">
            <w:pPr>
              <w:textAlignment w:val="center"/>
            </w:pPr>
            <w:r>
              <w:rPr>
                <w:rFonts w:ascii="Arial" w:eastAsia="宋体" w:hAnsi="Arial" w:cs="Arial"/>
                <w:color w:val="000000"/>
                <w:sz w:val="15"/>
                <w:szCs w:val="15"/>
              </w:rPr>
              <w:t>S</w:t>
            </w:r>
            <w:r>
              <w:rPr>
                <w:rFonts w:ascii="Arial" w:eastAsia="宋体" w:hAnsi="Arial" w:cs="Arial"/>
                <w:color w:val="000000"/>
                <w:sz w:val="15"/>
                <w:szCs w:val="15"/>
              </w:rPr>
              <w:t>&amp;P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0" w14:textId="77777777" w:rsidR="00980E5F" w:rsidRDefault="00483613">
            <w:pPr>
              <w:jc w:val="right"/>
              <w:textAlignment w:val="center"/>
            </w:pPr>
            <w:r>
              <w:rPr>
                <w:rFonts w:ascii="Arial" w:eastAsia="宋体" w:hAnsi="Arial" w:cs="Arial"/>
                <w:b/>
                <w:bCs/>
                <w:color w:val="000000"/>
                <w:sz w:val="15"/>
                <w:szCs w:val="15"/>
              </w:rPr>
              <w:t>4,285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5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3" w14:textId="77777777" w:rsidR="00980E5F" w:rsidRDefault="00483613">
            <w:pPr>
              <w:jc w:val="right"/>
              <w:textAlignment w:val="center"/>
            </w:pPr>
            <w:r>
              <w:rPr>
                <w:rFonts w:ascii="Arial" w:eastAsia="宋体" w:hAnsi="Arial" w:cs="Arial"/>
                <w:color w:val="000000"/>
                <w:sz w:val="15"/>
                <w:szCs w:val="15"/>
              </w:rPr>
              <w:t>4,027 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6" w14:textId="77777777" w:rsidR="00980E5F" w:rsidRDefault="00483613">
            <w:pPr>
              <w:jc w:val="right"/>
              <w:textAlignment w:val="center"/>
            </w:pPr>
            <w:r>
              <w:rPr>
                <w:rFonts w:ascii="Arial" w:eastAsia="宋体" w:hAnsi="Arial" w:cs="Arial"/>
                <w:color w:val="000000"/>
                <w:sz w:val="15"/>
                <w:szCs w:val="15"/>
              </w:rPr>
              <w:t>6 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57" w14:textId="77777777" w:rsidR="00980E5F" w:rsidRDefault="00483613">
            <w:pPr>
              <w:jc w:val="right"/>
              <w:textAlignment w:val="center"/>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BEE5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9" w14:textId="77777777" w:rsidR="00980E5F" w:rsidRDefault="00483613">
            <w:pPr>
              <w:jc w:val="right"/>
              <w:textAlignment w:val="center"/>
            </w:pPr>
            <w:r>
              <w:rPr>
                <w:rFonts w:ascii="Arial" w:eastAsia="宋体" w:hAnsi="Arial" w:cs="Arial"/>
                <w:b/>
                <w:bCs/>
                <w:color w:val="000000"/>
                <w:sz w:val="15"/>
                <w:szCs w:val="15"/>
              </w:rPr>
              <w:t>4,245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5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C" w14:textId="77777777" w:rsidR="00980E5F" w:rsidRDefault="00483613">
            <w:pPr>
              <w:jc w:val="right"/>
              <w:textAlignment w:val="center"/>
            </w:pPr>
            <w:r>
              <w:rPr>
                <w:rFonts w:ascii="Arial" w:eastAsia="宋体" w:hAnsi="Arial" w:cs="Arial"/>
                <w:color w:val="000000"/>
                <w:sz w:val="15"/>
                <w:szCs w:val="15"/>
              </w:rPr>
              <w:t>4,030 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5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5F" w14:textId="77777777" w:rsidR="00980E5F" w:rsidRDefault="00483613">
            <w:pPr>
              <w:jc w:val="right"/>
              <w:textAlignment w:val="center"/>
            </w:pPr>
            <w:r>
              <w:rPr>
                <w:rFonts w:ascii="Arial" w:eastAsia="宋体" w:hAnsi="Arial" w:cs="Arial"/>
                <w:color w:val="000000"/>
                <w:sz w:val="15"/>
                <w:szCs w:val="15"/>
              </w:rPr>
              <w:t>5 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60" w14:textId="77777777" w:rsidR="00980E5F" w:rsidRDefault="00483613">
            <w:pPr>
              <w:jc w:val="right"/>
              <w:textAlignment w:val="center"/>
            </w:pPr>
            <w:r>
              <w:rPr>
                <w:rFonts w:ascii="Arial" w:eastAsia="宋体" w:hAnsi="Arial" w:cs="Arial"/>
                <w:color w:val="000000"/>
                <w:sz w:val="15"/>
                <w:szCs w:val="15"/>
              </w:rPr>
              <w:t>%</w:t>
            </w:r>
          </w:p>
        </w:tc>
      </w:tr>
      <w:tr w:rsidR="00980E5F" w14:paraId="392BEE74" w14:textId="77777777">
        <w:tc>
          <w:tcPr>
            <w:tcW w:w="0" w:type="auto"/>
            <w:gridSpan w:val="3"/>
            <w:shd w:val="clear" w:color="auto" w:fill="FFFFFF"/>
            <w:tcMar>
              <w:top w:w="40" w:type="dxa"/>
              <w:left w:w="20" w:type="dxa"/>
              <w:bottom w:w="40" w:type="dxa"/>
              <w:right w:w="20" w:type="dxa"/>
            </w:tcMar>
            <w:vAlign w:val="center"/>
          </w:tcPr>
          <w:p w14:paraId="392BEE62" w14:textId="77777777" w:rsidR="00980E5F" w:rsidRDefault="00483613">
            <w:pPr>
              <w:textAlignment w:val="center"/>
            </w:pPr>
            <w:r>
              <w:rPr>
                <w:rFonts w:ascii="Arial" w:eastAsia="宋体" w:hAnsi="Arial" w:cs="Arial"/>
                <w:color w:val="000000"/>
                <w:sz w:val="15"/>
                <w:szCs w:val="15"/>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392BEE63" w14:textId="77777777" w:rsidR="00980E5F" w:rsidRDefault="00483613">
            <w:pPr>
              <w:jc w:val="right"/>
              <w:textAlignment w:val="center"/>
            </w:pPr>
            <w:r>
              <w:rPr>
                <w:rFonts w:ascii="Arial" w:eastAsia="宋体" w:hAnsi="Arial" w:cs="Arial"/>
                <w:b/>
                <w:bCs/>
                <w:color w:val="000000"/>
                <w:sz w:val="15"/>
                <w:szCs w:val="15"/>
              </w:rPr>
              <w:t>2,105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E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66" w14:textId="77777777" w:rsidR="00980E5F" w:rsidRDefault="00483613">
            <w:pPr>
              <w:jc w:val="right"/>
              <w:textAlignment w:val="center"/>
            </w:pPr>
            <w:r>
              <w:rPr>
                <w:rFonts w:ascii="Arial" w:eastAsia="宋体" w:hAnsi="Arial" w:cs="Arial"/>
                <w:color w:val="000000"/>
                <w:sz w:val="15"/>
                <w:szCs w:val="15"/>
              </w:rPr>
              <w:t>2,254 </w:t>
            </w:r>
          </w:p>
        </w:tc>
        <w:tc>
          <w:tcPr>
            <w:tcW w:w="0" w:type="auto"/>
            <w:shd w:val="clear" w:color="auto" w:fill="FFFFFF"/>
            <w:tcMar>
              <w:top w:w="40" w:type="dxa"/>
              <w:left w:w="0" w:type="dxa"/>
              <w:bottom w:w="40" w:type="dxa"/>
              <w:right w:w="20" w:type="dxa"/>
            </w:tcMar>
            <w:vAlign w:val="center"/>
          </w:tcPr>
          <w:p w14:paraId="392BEE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69" w14:textId="77777777" w:rsidR="00980E5F" w:rsidRDefault="00483613">
            <w:pPr>
              <w:jc w:val="right"/>
              <w:textAlignment w:val="center"/>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center"/>
          </w:tcPr>
          <w:p w14:paraId="392BEE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6C" w14:textId="77777777" w:rsidR="00980E5F" w:rsidRDefault="00483613">
            <w:pPr>
              <w:jc w:val="right"/>
              <w:textAlignment w:val="center"/>
            </w:pPr>
            <w:r>
              <w:rPr>
                <w:rFonts w:ascii="Arial" w:eastAsia="宋体" w:hAnsi="Arial" w:cs="Arial"/>
                <w:b/>
                <w:bCs/>
                <w:color w:val="000000"/>
                <w:sz w:val="15"/>
                <w:szCs w:val="15"/>
              </w:rPr>
              <w:t>2,084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E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6F" w14:textId="77777777" w:rsidR="00980E5F" w:rsidRDefault="00483613">
            <w:pPr>
              <w:jc w:val="right"/>
              <w:textAlignment w:val="center"/>
            </w:pPr>
            <w:r>
              <w:rPr>
                <w:rFonts w:ascii="Arial" w:eastAsia="宋体" w:hAnsi="Arial" w:cs="Arial"/>
                <w:color w:val="000000"/>
                <w:sz w:val="15"/>
                <w:szCs w:val="15"/>
              </w:rPr>
              <w:t>2,235 </w:t>
            </w:r>
          </w:p>
        </w:tc>
        <w:tc>
          <w:tcPr>
            <w:tcW w:w="0" w:type="auto"/>
            <w:shd w:val="clear" w:color="auto" w:fill="FFFFFF"/>
            <w:tcMar>
              <w:top w:w="40" w:type="dxa"/>
              <w:left w:w="0" w:type="dxa"/>
              <w:bottom w:w="40" w:type="dxa"/>
              <w:right w:w="20" w:type="dxa"/>
            </w:tcMar>
            <w:vAlign w:val="center"/>
          </w:tcPr>
          <w:p w14:paraId="392BEE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7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72" w14:textId="77777777" w:rsidR="00980E5F" w:rsidRDefault="00483613">
            <w:pPr>
              <w:jc w:val="right"/>
              <w:textAlignment w:val="center"/>
            </w:pPr>
            <w:r>
              <w:rPr>
                <w:rFonts w:ascii="Arial" w:eastAsia="宋体" w:hAnsi="Arial" w:cs="Arial"/>
                <w:color w:val="000000"/>
                <w:sz w:val="15"/>
                <w:szCs w:val="15"/>
              </w:rPr>
              <w:t>(7)</w:t>
            </w:r>
          </w:p>
        </w:tc>
        <w:tc>
          <w:tcPr>
            <w:tcW w:w="0" w:type="auto"/>
            <w:shd w:val="clear" w:color="auto" w:fill="FFFFFF"/>
            <w:tcMar>
              <w:top w:w="40" w:type="dxa"/>
              <w:left w:w="0" w:type="dxa"/>
              <w:bottom w:w="40" w:type="dxa"/>
              <w:right w:w="20" w:type="dxa"/>
            </w:tcMar>
            <w:vAlign w:val="center"/>
          </w:tcPr>
          <w:p w14:paraId="392BEE73" w14:textId="77777777" w:rsidR="00980E5F" w:rsidRDefault="00980E5F">
            <w:pPr>
              <w:jc w:val="right"/>
              <w:rPr>
                <w:rFonts w:ascii="宋体"/>
              </w:rPr>
            </w:pPr>
          </w:p>
        </w:tc>
      </w:tr>
      <w:tr w:rsidR="00980E5F" w14:paraId="392BEE87" w14:textId="77777777">
        <w:tc>
          <w:tcPr>
            <w:tcW w:w="0" w:type="auto"/>
            <w:gridSpan w:val="3"/>
            <w:shd w:val="clear" w:color="auto" w:fill="CCEEFF"/>
            <w:tcMar>
              <w:top w:w="40" w:type="dxa"/>
              <w:left w:w="20" w:type="dxa"/>
              <w:bottom w:w="40" w:type="dxa"/>
              <w:right w:w="20" w:type="dxa"/>
            </w:tcMar>
            <w:vAlign w:val="center"/>
          </w:tcPr>
          <w:p w14:paraId="392BEE75" w14:textId="77777777" w:rsidR="00980E5F" w:rsidRDefault="00483613">
            <w:pPr>
              <w:textAlignment w:val="center"/>
            </w:pPr>
            <w:r>
              <w:rPr>
                <w:rFonts w:ascii="Arial" w:eastAsia="宋体" w:hAnsi="Arial" w:cs="Arial"/>
                <w:color w:val="000000"/>
                <w:sz w:val="15"/>
                <w:szCs w:val="15"/>
              </w:rPr>
              <w:t>MSCI</w:t>
            </w:r>
            <w:r>
              <w:rPr>
                <w:rFonts w:ascii="Arial" w:eastAsia="宋体" w:hAnsi="Arial" w:cs="Arial"/>
                <w:color w:val="000000"/>
                <w:sz w:val="9"/>
                <w:szCs w:val="9"/>
              </w:rPr>
              <w:t>®</w:t>
            </w:r>
            <w:r>
              <w:rPr>
                <w:rFonts w:ascii="Arial" w:eastAsia="宋体" w:hAnsi="Arial" w:cs="Arial"/>
                <w:color w:val="000000"/>
                <w:sz w:val="15"/>
                <w:szCs w:val="15"/>
              </w:rPr>
              <w:t xml:space="preserve"> Emerging Markets</w:t>
            </w:r>
          </w:p>
        </w:tc>
        <w:tc>
          <w:tcPr>
            <w:tcW w:w="0" w:type="auto"/>
            <w:gridSpan w:val="2"/>
            <w:shd w:val="clear" w:color="auto" w:fill="CCEEFF"/>
            <w:tcMar>
              <w:top w:w="40" w:type="dxa"/>
              <w:left w:w="20" w:type="dxa"/>
              <w:bottom w:w="40" w:type="dxa"/>
              <w:right w:w="0" w:type="dxa"/>
            </w:tcMar>
            <w:vAlign w:val="center"/>
          </w:tcPr>
          <w:p w14:paraId="392BEE76" w14:textId="77777777" w:rsidR="00980E5F" w:rsidRDefault="00483613">
            <w:pPr>
              <w:jc w:val="right"/>
              <w:textAlignment w:val="center"/>
            </w:pPr>
            <w:r>
              <w:rPr>
                <w:rFonts w:ascii="Arial" w:eastAsia="宋体" w:hAnsi="Arial" w:cs="Arial"/>
                <w:b/>
                <w:bCs/>
                <w:color w:val="000000"/>
                <w:sz w:val="15"/>
                <w:szCs w:val="15"/>
              </w:rPr>
              <w:t>1,120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BEE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E79" w14:textId="77777777" w:rsidR="00980E5F" w:rsidRDefault="00483613">
            <w:pPr>
              <w:jc w:val="right"/>
              <w:textAlignment w:val="center"/>
            </w:pPr>
            <w:r>
              <w:rPr>
                <w:rFonts w:ascii="Arial" w:eastAsia="宋体" w:hAnsi="Arial" w:cs="Arial"/>
                <w:color w:val="000000"/>
                <w:sz w:val="15"/>
                <w:szCs w:val="15"/>
              </w:rPr>
              <w:t>1,357 </w:t>
            </w:r>
          </w:p>
        </w:tc>
        <w:tc>
          <w:tcPr>
            <w:tcW w:w="0" w:type="auto"/>
            <w:shd w:val="clear" w:color="auto" w:fill="CCEEFF"/>
            <w:tcMar>
              <w:top w:w="40" w:type="dxa"/>
              <w:left w:w="0" w:type="dxa"/>
              <w:bottom w:w="40" w:type="dxa"/>
              <w:right w:w="20" w:type="dxa"/>
            </w:tcMar>
            <w:vAlign w:val="center"/>
          </w:tcPr>
          <w:p w14:paraId="392BEE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7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E7C" w14:textId="77777777" w:rsidR="00980E5F" w:rsidRDefault="00483613">
            <w:pPr>
              <w:jc w:val="right"/>
              <w:textAlignment w:val="center"/>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center"/>
          </w:tcPr>
          <w:p w14:paraId="392BEE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E7F" w14:textId="77777777" w:rsidR="00980E5F" w:rsidRDefault="00483613">
            <w:pPr>
              <w:jc w:val="right"/>
              <w:textAlignment w:val="center"/>
            </w:pPr>
            <w:r>
              <w:rPr>
                <w:rFonts w:ascii="Arial" w:eastAsia="宋体" w:hAnsi="Arial" w:cs="Arial"/>
                <w:b/>
                <w:bCs/>
                <w:color w:val="000000"/>
                <w:sz w:val="15"/>
                <w:szCs w:val="15"/>
              </w:rPr>
              <w:t>1,113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BEE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8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E82" w14:textId="77777777" w:rsidR="00980E5F" w:rsidRDefault="00483613">
            <w:pPr>
              <w:jc w:val="right"/>
              <w:textAlignment w:val="center"/>
            </w:pPr>
            <w:r>
              <w:rPr>
                <w:rFonts w:ascii="Arial" w:eastAsia="宋体" w:hAnsi="Arial" w:cs="Arial"/>
                <w:color w:val="000000"/>
                <w:sz w:val="15"/>
                <w:szCs w:val="15"/>
              </w:rPr>
              <w:t>1,347 </w:t>
            </w:r>
          </w:p>
        </w:tc>
        <w:tc>
          <w:tcPr>
            <w:tcW w:w="0" w:type="auto"/>
            <w:shd w:val="clear" w:color="auto" w:fill="CCEEFF"/>
            <w:tcMar>
              <w:top w:w="40" w:type="dxa"/>
              <w:left w:w="0" w:type="dxa"/>
              <w:bottom w:w="40" w:type="dxa"/>
              <w:right w:w="20" w:type="dxa"/>
            </w:tcMar>
            <w:vAlign w:val="center"/>
          </w:tcPr>
          <w:p w14:paraId="392BEE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8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BEE85" w14:textId="77777777" w:rsidR="00980E5F" w:rsidRDefault="00483613">
            <w:pPr>
              <w:jc w:val="right"/>
              <w:textAlignment w:val="center"/>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center"/>
          </w:tcPr>
          <w:p w14:paraId="392BEE86" w14:textId="77777777" w:rsidR="00980E5F" w:rsidRDefault="00980E5F">
            <w:pPr>
              <w:jc w:val="right"/>
              <w:rPr>
                <w:rFonts w:ascii="宋体"/>
              </w:rPr>
            </w:pPr>
          </w:p>
        </w:tc>
      </w:tr>
      <w:tr w:rsidR="00980E5F" w14:paraId="392BEE94" w14:textId="77777777">
        <w:trPr>
          <w:trHeight w:val="60"/>
        </w:trPr>
        <w:tc>
          <w:tcPr>
            <w:tcW w:w="0" w:type="auto"/>
            <w:gridSpan w:val="3"/>
            <w:shd w:val="clear" w:color="auto" w:fill="FFFFFF"/>
            <w:tcMar>
              <w:top w:w="0" w:type="dxa"/>
              <w:left w:w="20" w:type="dxa"/>
              <w:bottom w:w="0" w:type="dxa"/>
              <w:right w:w="20" w:type="dxa"/>
            </w:tcMar>
            <w:vAlign w:val="bottom"/>
          </w:tcPr>
          <w:p w14:paraId="392BEE8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8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9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9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E93" w14:textId="77777777" w:rsidR="00980E5F" w:rsidRDefault="00980E5F">
            <w:pPr>
              <w:rPr>
                <w:rFonts w:ascii="宋体"/>
              </w:rPr>
            </w:pPr>
          </w:p>
        </w:tc>
      </w:tr>
    </w:tbl>
    <w:p w14:paraId="392BEE95"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EE9C" w14:textId="77777777">
        <w:tc>
          <w:tcPr>
            <w:tcW w:w="50" w:type="pct"/>
            <w:shd w:val="clear" w:color="auto" w:fill="auto"/>
            <w:vAlign w:val="bottom"/>
          </w:tcPr>
          <w:p w14:paraId="392BEE96" w14:textId="77777777" w:rsidR="00980E5F" w:rsidRDefault="00980E5F">
            <w:pPr>
              <w:rPr>
                <w:rFonts w:ascii="宋体"/>
              </w:rPr>
            </w:pPr>
          </w:p>
        </w:tc>
        <w:tc>
          <w:tcPr>
            <w:tcW w:w="1348" w:type="pct"/>
            <w:shd w:val="clear" w:color="auto" w:fill="auto"/>
            <w:vAlign w:val="bottom"/>
          </w:tcPr>
          <w:p w14:paraId="392BEE97" w14:textId="77777777" w:rsidR="00980E5F" w:rsidRDefault="00980E5F">
            <w:pPr>
              <w:rPr>
                <w:rFonts w:ascii="宋体"/>
              </w:rPr>
            </w:pPr>
          </w:p>
        </w:tc>
        <w:tc>
          <w:tcPr>
            <w:tcW w:w="5" w:type="pct"/>
            <w:shd w:val="clear" w:color="auto" w:fill="auto"/>
            <w:vAlign w:val="bottom"/>
          </w:tcPr>
          <w:p w14:paraId="392BEE98" w14:textId="77777777" w:rsidR="00980E5F" w:rsidRDefault="00980E5F">
            <w:pPr>
              <w:rPr>
                <w:rFonts w:ascii="宋体"/>
              </w:rPr>
            </w:pPr>
          </w:p>
        </w:tc>
        <w:tc>
          <w:tcPr>
            <w:tcW w:w="50" w:type="pct"/>
            <w:shd w:val="clear" w:color="auto" w:fill="auto"/>
            <w:vAlign w:val="bottom"/>
          </w:tcPr>
          <w:p w14:paraId="392BEE99" w14:textId="77777777" w:rsidR="00980E5F" w:rsidRDefault="00980E5F">
            <w:pPr>
              <w:rPr>
                <w:rFonts w:ascii="宋体"/>
              </w:rPr>
            </w:pPr>
          </w:p>
        </w:tc>
        <w:tc>
          <w:tcPr>
            <w:tcW w:w="3541" w:type="pct"/>
            <w:shd w:val="clear" w:color="auto" w:fill="auto"/>
            <w:vAlign w:val="bottom"/>
          </w:tcPr>
          <w:p w14:paraId="392BEE9A" w14:textId="77777777" w:rsidR="00980E5F" w:rsidRDefault="00980E5F">
            <w:pPr>
              <w:rPr>
                <w:rFonts w:ascii="宋体"/>
              </w:rPr>
            </w:pPr>
          </w:p>
        </w:tc>
        <w:tc>
          <w:tcPr>
            <w:tcW w:w="5" w:type="pct"/>
            <w:shd w:val="clear" w:color="auto" w:fill="auto"/>
            <w:vAlign w:val="bottom"/>
          </w:tcPr>
          <w:p w14:paraId="392BEE9B" w14:textId="77777777" w:rsidR="00980E5F" w:rsidRDefault="00980E5F">
            <w:pPr>
              <w:rPr>
                <w:rFonts w:ascii="宋体"/>
              </w:rPr>
            </w:pPr>
          </w:p>
        </w:tc>
      </w:tr>
      <w:tr w:rsidR="00980E5F" w14:paraId="392BEE9F" w14:textId="77777777">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92BEE9D" w14:textId="77777777" w:rsidR="00980E5F" w:rsidRDefault="00483613">
            <w:pPr>
              <w:textAlignment w:val="bottom"/>
            </w:pPr>
            <w:r>
              <w:rPr>
                <w:rFonts w:ascii="Arial" w:eastAsia="宋体" w:hAnsi="Arial" w:cs="Arial"/>
                <w:color w:val="000000"/>
                <w:sz w:val="14"/>
                <w:szCs w:val="14"/>
              </w:rPr>
              <w:t>c</w:t>
            </w:r>
          </w:p>
        </w:tc>
        <w:tc>
          <w:tcPr>
            <w:tcW w:w="0" w:type="auto"/>
            <w:gridSpan w:val="3"/>
            <w:shd w:val="clear" w:color="auto" w:fill="auto"/>
            <w:tcMar>
              <w:top w:w="0" w:type="dxa"/>
              <w:left w:w="20" w:type="dxa"/>
              <w:bottom w:w="0" w:type="dxa"/>
              <w:right w:w="20" w:type="dxa"/>
            </w:tcMar>
            <w:vAlign w:val="bottom"/>
          </w:tcPr>
          <w:p w14:paraId="392BEE9E" w14:textId="77777777" w:rsidR="00980E5F" w:rsidRDefault="00980E5F">
            <w:pPr>
              <w:rPr>
                <w:rFonts w:ascii="宋体"/>
              </w:rPr>
            </w:pPr>
          </w:p>
        </w:tc>
      </w:tr>
      <w:tr w:rsidR="00980E5F" w14:paraId="392BEEA2" w14:textId="77777777">
        <w:trPr>
          <w:hidden/>
        </w:trPr>
        <w:tc>
          <w:tcPr>
            <w:tcW w:w="0" w:type="auto"/>
            <w:gridSpan w:val="3"/>
            <w:shd w:val="clear" w:color="auto" w:fill="auto"/>
            <w:vAlign w:val="bottom"/>
          </w:tcPr>
          <w:p w14:paraId="392BEEA0" w14:textId="77777777" w:rsidR="00980E5F" w:rsidRDefault="00980E5F">
            <w:pPr>
              <w:rPr>
                <w:rFonts w:ascii="宋体"/>
                <w:vanish/>
              </w:rPr>
            </w:pPr>
          </w:p>
        </w:tc>
        <w:tc>
          <w:tcPr>
            <w:tcW w:w="0" w:type="auto"/>
            <w:gridSpan w:val="3"/>
            <w:shd w:val="clear" w:color="auto" w:fill="auto"/>
            <w:vAlign w:val="bottom"/>
          </w:tcPr>
          <w:p w14:paraId="392BEEA1" w14:textId="77777777" w:rsidR="00980E5F" w:rsidRDefault="00980E5F">
            <w:pPr>
              <w:rPr>
                <w:rFonts w:ascii="宋体"/>
                <w:vanish/>
              </w:rPr>
            </w:pPr>
          </w:p>
        </w:tc>
      </w:tr>
    </w:tbl>
    <w:p w14:paraId="392BEEA3" w14:textId="77777777" w:rsidR="00980E5F" w:rsidRDefault="00483613">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 xml:space="preserve">The index names listed in the table are </w:t>
      </w:r>
      <w:r>
        <w:rPr>
          <w:rFonts w:ascii="Arial" w:eastAsia="宋体" w:hAnsi="Arial" w:cs="Arial"/>
          <w:color w:val="000000"/>
          <w:sz w:val="14"/>
          <w:szCs w:val="14"/>
        </w:rPr>
        <w:t>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8"/>
        <w:gridCol w:w="4177"/>
        <w:gridCol w:w="38"/>
        <w:gridCol w:w="49"/>
        <w:gridCol w:w="1178"/>
        <w:gridCol w:w="38"/>
        <w:gridCol w:w="37"/>
        <w:gridCol w:w="36"/>
        <w:gridCol w:w="36"/>
        <w:gridCol w:w="38"/>
        <w:gridCol w:w="1162"/>
        <w:gridCol w:w="37"/>
        <w:gridCol w:w="36"/>
        <w:gridCol w:w="36"/>
        <w:gridCol w:w="36"/>
        <w:gridCol w:w="49"/>
        <w:gridCol w:w="1151"/>
        <w:gridCol w:w="154"/>
      </w:tblGrid>
      <w:tr w:rsidR="00980E5F" w14:paraId="392BEEB6" w14:textId="77777777">
        <w:tc>
          <w:tcPr>
            <w:tcW w:w="50" w:type="pct"/>
            <w:shd w:val="clear" w:color="auto" w:fill="auto"/>
            <w:vAlign w:val="bottom"/>
          </w:tcPr>
          <w:p w14:paraId="392BEEA4" w14:textId="77777777" w:rsidR="00980E5F" w:rsidRDefault="00980E5F">
            <w:pPr>
              <w:rPr>
                <w:rFonts w:ascii="宋体"/>
              </w:rPr>
            </w:pPr>
          </w:p>
        </w:tc>
        <w:tc>
          <w:tcPr>
            <w:tcW w:w="2525" w:type="pct"/>
            <w:shd w:val="clear" w:color="auto" w:fill="auto"/>
            <w:vAlign w:val="bottom"/>
          </w:tcPr>
          <w:p w14:paraId="392BEEA5" w14:textId="77777777" w:rsidR="00980E5F" w:rsidRDefault="00980E5F">
            <w:pPr>
              <w:rPr>
                <w:rFonts w:ascii="宋体"/>
              </w:rPr>
            </w:pPr>
          </w:p>
        </w:tc>
        <w:tc>
          <w:tcPr>
            <w:tcW w:w="5" w:type="pct"/>
            <w:shd w:val="clear" w:color="auto" w:fill="auto"/>
            <w:vAlign w:val="bottom"/>
          </w:tcPr>
          <w:p w14:paraId="392BEEA6" w14:textId="77777777" w:rsidR="00980E5F" w:rsidRDefault="00980E5F">
            <w:pPr>
              <w:rPr>
                <w:rFonts w:ascii="宋体"/>
              </w:rPr>
            </w:pPr>
          </w:p>
        </w:tc>
        <w:tc>
          <w:tcPr>
            <w:tcW w:w="50" w:type="pct"/>
            <w:shd w:val="clear" w:color="auto" w:fill="auto"/>
            <w:vAlign w:val="bottom"/>
          </w:tcPr>
          <w:p w14:paraId="392BEEA7" w14:textId="77777777" w:rsidR="00980E5F" w:rsidRDefault="00980E5F">
            <w:pPr>
              <w:rPr>
                <w:rFonts w:ascii="宋体"/>
              </w:rPr>
            </w:pPr>
          </w:p>
        </w:tc>
        <w:tc>
          <w:tcPr>
            <w:tcW w:w="727" w:type="pct"/>
            <w:shd w:val="clear" w:color="auto" w:fill="auto"/>
            <w:vAlign w:val="bottom"/>
          </w:tcPr>
          <w:p w14:paraId="392BEEA8" w14:textId="77777777" w:rsidR="00980E5F" w:rsidRDefault="00980E5F">
            <w:pPr>
              <w:rPr>
                <w:rFonts w:ascii="宋体"/>
              </w:rPr>
            </w:pPr>
          </w:p>
        </w:tc>
        <w:tc>
          <w:tcPr>
            <w:tcW w:w="5" w:type="pct"/>
            <w:shd w:val="clear" w:color="auto" w:fill="auto"/>
            <w:vAlign w:val="bottom"/>
          </w:tcPr>
          <w:p w14:paraId="392BEEA9" w14:textId="77777777" w:rsidR="00980E5F" w:rsidRDefault="00980E5F">
            <w:pPr>
              <w:rPr>
                <w:rFonts w:ascii="宋体"/>
              </w:rPr>
            </w:pPr>
          </w:p>
        </w:tc>
        <w:tc>
          <w:tcPr>
            <w:tcW w:w="5" w:type="pct"/>
            <w:shd w:val="clear" w:color="auto" w:fill="auto"/>
            <w:vAlign w:val="bottom"/>
          </w:tcPr>
          <w:p w14:paraId="392BEEAA" w14:textId="77777777" w:rsidR="00980E5F" w:rsidRDefault="00980E5F">
            <w:pPr>
              <w:rPr>
                <w:rFonts w:ascii="宋体"/>
              </w:rPr>
            </w:pPr>
          </w:p>
        </w:tc>
        <w:tc>
          <w:tcPr>
            <w:tcW w:w="26" w:type="pct"/>
            <w:shd w:val="clear" w:color="auto" w:fill="auto"/>
            <w:vAlign w:val="bottom"/>
          </w:tcPr>
          <w:p w14:paraId="392BEEAB" w14:textId="77777777" w:rsidR="00980E5F" w:rsidRDefault="00980E5F">
            <w:pPr>
              <w:rPr>
                <w:rFonts w:ascii="宋体"/>
              </w:rPr>
            </w:pPr>
          </w:p>
        </w:tc>
        <w:tc>
          <w:tcPr>
            <w:tcW w:w="5" w:type="pct"/>
            <w:shd w:val="clear" w:color="auto" w:fill="auto"/>
            <w:vAlign w:val="bottom"/>
          </w:tcPr>
          <w:p w14:paraId="392BEEAC" w14:textId="77777777" w:rsidR="00980E5F" w:rsidRDefault="00980E5F">
            <w:pPr>
              <w:rPr>
                <w:rFonts w:ascii="宋体"/>
              </w:rPr>
            </w:pPr>
          </w:p>
        </w:tc>
        <w:tc>
          <w:tcPr>
            <w:tcW w:w="50" w:type="pct"/>
            <w:shd w:val="clear" w:color="auto" w:fill="auto"/>
            <w:vAlign w:val="bottom"/>
          </w:tcPr>
          <w:p w14:paraId="392BEEAD" w14:textId="77777777" w:rsidR="00980E5F" w:rsidRDefault="00980E5F">
            <w:pPr>
              <w:rPr>
                <w:rFonts w:ascii="宋体"/>
              </w:rPr>
            </w:pPr>
          </w:p>
        </w:tc>
        <w:tc>
          <w:tcPr>
            <w:tcW w:w="727" w:type="pct"/>
            <w:shd w:val="clear" w:color="auto" w:fill="auto"/>
            <w:vAlign w:val="bottom"/>
          </w:tcPr>
          <w:p w14:paraId="392BEEAE" w14:textId="77777777" w:rsidR="00980E5F" w:rsidRDefault="00980E5F">
            <w:pPr>
              <w:rPr>
                <w:rFonts w:ascii="宋体"/>
              </w:rPr>
            </w:pPr>
          </w:p>
        </w:tc>
        <w:tc>
          <w:tcPr>
            <w:tcW w:w="5" w:type="pct"/>
            <w:shd w:val="clear" w:color="auto" w:fill="auto"/>
            <w:vAlign w:val="bottom"/>
          </w:tcPr>
          <w:p w14:paraId="392BEEAF" w14:textId="77777777" w:rsidR="00980E5F" w:rsidRDefault="00980E5F">
            <w:pPr>
              <w:rPr>
                <w:rFonts w:ascii="宋体"/>
              </w:rPr>
            </w:pPr>
          </w:p>
        </w:tc>
        <w:tc>
          <w:tcPr>
            <w:tcW w:w="5" w:type="pct"/>
            <w:shd w:val="clear" w:color="auto" w:fill="auto"/>
            <w:vAlign w:val="bottom"/>
          </w:tcPr>
          <w:p w14:paraId="392BEEB0" w14:textId="77777777" w:rsidR="00980E5F" w:rsidRDefault="00980E5F">
            <w:pPr>
              <w:rPr>
                <w:rFonts w:ascii="宋体"/>
              </w:rPr>
            </w:pPr>
          </w:p>
        </w:tc>
        <w:tc>
          <w:tcPr>
            <w:tcW w:w="26" w:type="pct"/>
            <w:shd w:val="clear" w:color="auto" w:fill="auto"/>
            <w:vAlign w:val="bottom"/>
          </w:tcPr>
          <w:p w14:paraId="392BEEB1" w14:textId="77777777" w:rsidR="00980E5F" w:rsidRDefault="00980E5F">
            <w:pPr>
              <w:rPr>
                <w:rFonts w:ascii="宋体"/>
              </w:rPr>
            </w:pPr>
          </w:p>
        </w:tc>
        <w:tc>
          <w:tcPr>
            <w:tcW w:w="5" w:type="pct"/>
            <w:shd w:val="clear" w:color="auto" w:fill="auto"/>
            <w:vAlign w:val="bottom"/>
          </w:tcPr>
          <w:p w14:paraId="392BEEB2" w14:textId="77777777" w:rsidR="00980E5F" w:rsidRDefault="00980E5F">
            <w:pPr>
              <w:rPr>
                <w:rFonts w:ascii="宋体"/>
              </w:rPr>
            </w:pPr>
          </w:p>
        </w:tc>
        <w:tc>
          <w:tcPr>
            <w:tcW w:w="50" w:type="pct"/>
            <w:shd w:val="clear" w:color="auto" w:fill="auto"/>
            <w:vAlign w:val="bottom"/>
          </w:tcPr>
          <w:p w14:paraId="392BEEB3" w14:textId="77777777" w:rsidR="00980E5F" w:rsidRDefault="00980E5F">
            <w:pPr>
              <w:rPr>
                <w:rFonts w:ascii="宋体"/>
              </w:rPr>
            </w:pPr>
          </w:p>
        </w:tc>
        <w:tc>
          <w:tcPr>
            <w:tcW w:w="727" w:type="pct"/>
            <w:shd w:val="clear" w:color="auto" w:fill="auto"/>
            <w:vAlign w:val="bottom"/>
          </w:tcPr>
          <w:p w14:paraId="392BEEB4" w14:textId="77777777" w:rsidR="00980E5F" w:rsidRDefault="00980E5F">
            <w:pPr>
              <w:rPr>
                <w:rFonts w:ascii="宋体"/>
              </w:rPr>
            </w:pPr>
          </w:p>
        </w:tc>
        <w:tc>
          <w:tcPr>
            <w:tcW w:w="5" w:type="pct"/>
            <w:shd w:val="clear" w:color="auto" w:fill="auto"/>
            <w:vAlign w:val="bottom"/>
          </w:tcPr>
          <w:p w14:paraId="392BEEB5" w14:textId="77777777" w:rsidR="00980E5F" w:rsidRDefault="00980E5F">
            <w:pPr>
              <w:rPr>
                <w:rFonts w:ascii="宋体"/>
              </w:rPr>
            </w:pPr>
          </w:p>
        </w:tc>
      </w:tr>
      <w:tr w:rsidR="00980E5F" w14:paraId="392BEEB8" w14:textId="77777777">
        <w:tc>
          <w:tcPr>
            <w:tcW w:w="0" w:type="auto"/>
            <w:gridSpan w:val="18"/>
            <w:shd w:val="clear" w:color="auto" w:fill="auto"/>
            <w:tcMar>
              <w:top w:w="40" w:type="dxa"/>
              <w:left w:w="20" w:type="dxa"/>
              <w:bottom w:w="40" w:type="dxa"/>
              <w:right w:w="20" w:type="dxa"/>
            </w:tcMar>
            <w:vAlign w:val="bottom"/>
          </w:tcPr>
          <w:p w14:paraId="392BEEB7" w14:textId="77777777" w:rsidR="00980E5F" w:rsidRDefault="00483613">
            <w:pP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r>
      <w:tr w:rsidR="00980E5F" w14:paraId="392BEEBB" w14:textId="77777777">
        <w:tc>
          <w:tcPr>
            <w:tcW w:w="0" w:type="auto"/>
            <w:gridSpan w:val="3"/>
            <w:shd w:val="clear" w:color="auto" w:fill="auto"/>
            <w:tcMar>
              <w:top w:w="0" w:type="dxa"/>
              <w:left w:w="20" w:type="dxa"/>
              <w:bottom w:w="0" w:type="dxa"/>
              <w:right w:w="20" w:type="dxa"/>
            </w:tcMar>
            <w:vAlign w:val="bottom"/>
          </w:tcPr>
          <w:p w14:paraId="392BEEB9"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BEEBA" w14:textId="77777777" w:rsidR="00980E5F" w:rsidRDefault="00483613">
            <w:pPr>
              <w:jc w:val="center"/>
              <w:textAlignment w:val="bottom"/>
            </w:pPr>
            <w:r>
              <w:rPr>
                <w:rFonts w:ascii="Arial" w:eastAsia="宋体" w:hAnsi="Arial" w:cs="Arial"/>
                <w:b/>
                <w:bCs/>
                <w:color w:val="000000"/>
                <w:sz w:val="15"/>
                <w:szCs w:val="15"/>
              </w:rPr>
              <w:t>As of June 30,</w:t>
            </w:r>
          </w:p>
        </w:tc>
      </w:tr>
      <w:tr w:rsidR="00980E5F" w14:paraId="392BEEC2" w14:textId="77777777">
        <w:tc>
          <w:tcPr>
            <w:tcW w:w="0" w:type="auto"/>
            <w:gridSpan w:val="3"/>
            <w:shd w:val="clear" w:color="auto" w:fill="auto"/>
            <w:tcMar>
              <w:top w:w="0" w:type="dxa"/>
              <w:left w:w="20" w:type="dxa"/>
              <w:bottom w:w="0" w:type="dxa"/>
              <w:right w:w="20" w:type="dxa"/>
            </w:tcMar>
            <w:vAlign w:val="bottom"/>
          </w:tcPr>
          <w:p w14:paraId="392BEEB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BD"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B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BF"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C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C1" w14:textId="77777777" w:rsidR="00980E5F" w:rsidRDefault="00483613">
            <w:pPr>
              <w:jc w:val="center"/>
              <w:textAlignment w:val="bottom"/>
            </w:pPr>
            <w:r>
              <w:rPr>
                <w:rFonts w:ascii="Arial" w:eastAsia="宋体" w:hAnsi="Arial" w:cs="Arial"/>
                <w:b/>
                <w:bCs/>
                <w:color w:val="000000"/>
                <w:sz w:val="15"/>
                <w:szCs w:val="15"/>
              </w:rPr>
              <w:t>% Change</w:t>
            </w:r>
          </w:p>
        </w:tc>
      </w:tr>
      <w:tr w:rsidR="00980E5F" w14:paraId="392BEECC" w14:textId="77777777">
        <w:tc>
          <w:tcPr>
            <w:tcW w:w="0" w:type="auto"/>
            <w:gridSpan w:val="3"/>
            <w:shd w:val="clear" w:color="auto" w:fill="CCEEFF"/>
            <w:tcMar>
              <w:top w:w="40" w:type="dxa"/>
              <w:left w:w="20" w:type="dxa"/>
              <w:bottom w:w="40" w:type="dxa"/>
              <w:right w:w="20" w:type="dxa"/>
            </w:tcMar>
            <w:vAlign w:val="center"/>
          </w:tcPr>
          <w:p w14:paraId="392BEEC3" w14:textId="77777777" w:rsidR="00980E5F" w:rsidRDefault="00483613">
            <w:pPr>
              <w:textAlignment w:val="center"/>
            </w:pPr>
            <w:r>
              <w:rPr>
                <w:rFonts w:ascii="Arial" w:eastAsia="宋体" w:hAnsi="Arial" w:cs="Arial"/>
                <w:color w:val="000000"/>
                <w:sz w:val="15"/>
                <w:szCs w:val="15"/>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C4" w14:textId="77777777" w:rsidR="00980E5F" w:rsidRDefault="00483613">
            <w:pPr>
              <w:jc w:val="right"/>
              <w:textAlignment w:val="center"/>
            </w:pPr>
            <w:r>
              <w:rPr>
                <w:rFonts w:ascii="Arial" w:eastAsia="宋体" w:hAnsi="Arial" w:cs="Arial"/>
                <w:b/>
                <w:bCs/>
                <w:color w:val="000000"/>
                <w:sz w:val="15"/>
                <w:szCs w:val="15"/>
              </w:rPr>
              <w:t>2,111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C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C7" w14:textId="77777777" w:rsidR="00980E5F" w:rsidRDefault="00483613">
            <w:pPr>
              <w:jc w:val="right"/>
              <w:textAlignment w:val="center"/>
            </w:pPr>
            <w:r>
              <w:rPr>
                <w:rFonts w:ascii="Arial" w:eastAsia="宋体" w:hAnsi="Arial" w:cs="Arial"/>
                <w:color w:val="000000"/>
                <w:sz w:val="15"/>
                <w:szCs w:val="15"/>
              </w:rPr>
              <w:t>2,354 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EC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BEECA" w14:textId="77777777" w:rsidR="00980E5F" w:rsidRDefault="00483613">
            <w:pPr>
              <w:jc w:val="right"/>
              <w:textAlignment w:val="center"/>
            </w:pPr>
            <w:r>
              <w:rPr>
                <w:rFonts w:ascii="Arial" w:eastAsia="宋体" w:hAnsi="Arial" w:cs="Arial"/>
                <w:color w:val="000000"/>
                <w:sz w:val="15"/>
                <w:szCs w:val="15"/>
              </w:rPr>
              <w:t>(10)</w:t>
            </w:r>
          </w:p>
        </w:tc>
        <w:tc>
          <w:tcPr>
            <w:tcW w:w="0" w:type="auto"/>
            <w:tcBorders>
              <w:top w:val="single" w:sz="8" w:space="0" w:color="000000"/>
            </w:tcBorders>
            <w:shd w:val="clear" w:color="auto" w:fill="CCEEFF"/>
            <w:tcMar>
              <w:top w:w="40" w:type="dxa"/>
              <w:left w:w="0" w:type="dxa"/>
              <w:bottom w:w="40" w:type="dxa"/>
              <w:right w:w="20" w:type="dxa"/>
            </w:tcMar>
            <w:vAlign w:val="center"/>
          </w:tcPr>
          <w:p w14:paraId="392BEECB" w14:textId="77777777" w:rsidR="00980E5F" w:rsidRDefault="00483613">
            <w:pPr>
              <w:jc w:val="right"/>
              <w:textAlignment w:val="center"/>
            </w:pPr>
            <w:r>
              <w:rPr>
                <w:rFonts w:ascii="Arial" w:eastAsia="宋体" w:hAnsi="Arial" w:cs="Arial"/>
                <w:color w:val="000000"/>
                <w:sz w:val="15"/>
                <w:szCs w:val="15"/>
              </w:rPr>
              <w:t>%</w:t>
            </w:r>
          </w:p>
        </w:tc>
      </w:tr>
      <w:tr w:rsidR="00980E5F" w14:paraId="392BEED6" w14:textId="77777777">
        <w:tc>
          <w:tcPr>
            <w:tcW w:w="0" w:type="auto"/>
            <w:gridSpan w:val="3"/>
            <w:shd w:val="clear" w:color="auto" w:fill="FFFFFF"/>
            <w:tcMar>
              <w:top w:w="40" w:type="dxa"/>
              <w:left w:w="20" w:type="dxa"/>
              <w:bottom w:w="40" w:type="dxa"/>
              <w:right w:w="20" w:type="dxa"/>
            </w:tcMar>
            <w:vAlign w:val="center"/>
          </w:tcPr>
          <w:p w14:paraId="392BEECD" w14:textId="77777777" w:rsidR="00980E5F" w:rsidRDefault="00483613">
            <w:pPr>
              <w:textAlignment w:val="center"/>
            </w:pPr>
            <w:r>
              <w:rPr>
                <w:rFonts w:ascii="Arial" w:eastAsia="宋体" w:hAnsi="Arial" w:cs="Arial"/>
                <w:color w:val="000000"/>
                <w:sz w:val="15"/>
                <w:szCs w:val="15"/>
              </w:rPr>
              <w:t>Barcla</w:t>
            </w:r>
            <w:r>
              <w:rPr>
                <w:rFonts w:ascii="Arial" w:eastAsia="宋体" w:hAnsi="Arial" w:cs="Arial"/>
                <w:color w:val="000000"/>
                <w:sz w:val="15"/>
                <w:szCs w:val="15"/>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392BEECE" w14:textId="77777777" w:rsidR="00980E5F" w:rsidRDefault="00483613">
            <w:pPr>
              <w:jc w:val="right"/>
              <w:textAlignment w:val="center"/>
            </w:pPr>
            <w:r>
              <w:rPr>
                <w:rFonts w:ascii="Arial" w:eastAsia="宋体" w:hAnsi="Arial" w:cs="Arial"/>
                <w:b/>
                <w:bCs/>
                <w:color w:val="000000"/>
                <w:sz w:val="15"/>
                <w:szCs w:val="15"/>
              </w:rPr>
              <w:t>458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BEE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BEED1" w14:textId="77777777" w:rsidR="00980E5F" w:rsidRDefault="00483613">
            <w:pPr>
              <w:jc w:val="right"/>
              <w:textAlignment w:val="center"/>
            </w:pPr>
            <w:r>
              <w:rPr>
                <w:rFonts w:ascii="Arial" w:eastAsia="宋体" w:hAnsi="Arial" w:cs="Arial"/>
                <w:color w:val="000000"/>
                <w:sz w:val="15"/>
                <w:szCs w:val="15"/>
              </w:rPr>
              <w:t>541 </w:t>
            </w:r>
          </w:p>
        </w:tc>
        <w:tc>
          <w:tcPr>
            <w:tcW w:w="0" w:type="auto"/>
            <w:shd w:val="clear" w:color="auto" w:fill="FFFFFF"/>
            <w:tcMar>
              <w:top w:w="40" w:type="dxa"/>
              <w:left w:w="0" w:type="dxa"/>
              <w:bottom w:w="40" w:type="dxa"/>
              <w:right w:w="20" w:type="dxa"/>
            </w:tcMar>
            <w:vAlign w:val="center"/>
          </w:tcPr>
          <w:p w14:paraId="392BEE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ED3"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center"/>
          </w:tcPr>
          <w:p w14:paraId="392BEED4" w14:textId="77777777" w:rsidR="00980E5F" w:rsidRDefault="00483613">
            <w:pPr>
              <w:jc w:val="right"/>
              <w:textAlignment w:val="center"/>
            </w:pPr>
            <w:r>
              <w:rPr>
                <w:rFonts w:ascii="Arial" w:eastAsia="宋体" w:hAnsi="Arial" w:cs="Arial"/>
                <w:color w:val="000000"/>
                <w:sz w:val="15"/>
                <w:szCs w:val="15"/>
              </w:rPr>
              <w:t>(15)</w:t>
            </w:r>
          </w:p>
        </w:tc>
        <w:tc>
          <w:tcPr>
            <w:tcW w:w="0" w:type="auto"/>
            <w:shd w:val="clear" w:color="auto" w:fill="auto"/>
            <w:tcMar>
              <w:top w:w="40" w:type="dxa"/>
              <w:left w:w="0" w:type="dxa"/>
              <w:bottom w:w="40" w:type="dxa"/>
              <w:right w:w="20" w:type="dxa"/>
            </w:tcMar>
            <w:vAlign w:val="center"/>
          </w:tcPr>
          <w:p w14:paraId="392BEED5" w14:textId="77777777" w:rsidR="00980E5F" w:rsidRDefault="00980E5F">
            <w:pPr>
              <w:jc w:val="right"/>
              <w:rPr>
                <w:rFonts w:ascii="宋体"/>
              </w:rPr>
            </w:pPr>
          </w:p>
        </w:tc>
      </w:tr>
    </w:tbl>
    <w:p w14:paraId="392BEED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EEDE" w14:textId="77777777">
        <w:tc>
          <w:tcPr>
            <w:tcW w:w="50" w:type="pct"/>
            <w:shd w:val="clear" w:color="auto" w:fill="auto"/>
            <w:vAlign w:val="bottom"/>
          </w:tcPr>
          <w:p w14:paraId="392BEED8" w14:textId="77777777" w:rsidR="00980E5F" w:rsidRDefault="00980E5F">
            <w:pPr>
              <w:rPr>
                <w:rFonts w:ascii="宋体"/>
              </w:rPr>
            </w:pPr>
          </w:p>
        </w:tc>
        <w:tc>
          <w:tcPr>
            <w:tcW w:w="1348" w:type="pct"/>
            <w:shd w:val="clear" w:color="auto" w:fill="auto"/>
            <w:vAlign w:val="bottom"/>
          </w:tcPr>
          <w:p w14:paraId="392BEED9" w14:textId="77777777" w:rsidR="00980E5F" w:rsidRDefault="00980E5F">
            <w:pPr>
              <w:rPr>
                <w:rFonts w:ascii="宋体"/>
              </w:rPr>
            </w:pPr>
          </w:p>
        </w:tc>
        <w:tc>
          <w:tcPr>
            <w:tcW w:w="5" w:type="pct"/>
            <w:shd w:val="clear" w:color="auto" w:fill="auto"/>
            <w:vAlign w:val="bottom"/>
          </w:tcPr>
          <w:p w14:paraId="392BEEDA" w14:textId="77777777" w:rsidR="00980E5F" w:rsidRDefault="00980E5F">
            <w:pPr>
              <w:rPr>
                <w:rFonts w:ascii="宋体"/>
              </w:rPr>
            </w:pPr>
          </w:p>
        </w:tc>
        <w:tc>
          <w:tcPr>
            <w:tcW w:w="50" w:type="pct"/>
            <w:shd w:val="clear" w:color="auto" w:fill="auto"/>
            <w:vAlign w:val="bottom"/>
          </w:tcPr>
          <w:p w14:paraId="392BEEDB" w14:textId="77777777" w:rsidR="00980E5F" w:rsidRDefault="00980E5F">
            <w:pPr>
              <w:rPr>
                <w:rFonts w:ascii="宋体"/>
              </w:rPr>
            </w:pPr>
          </w:p>
        </w:tc>
        <w:tc>
          <w:tcPr>
            <w:tcW w:w="3541" w:type="pct"/>
            <w:shd w:val="clear" w:color="auto" w:fill="auto"/>
            <w:vAlign w:val="bottom"/>
          </w:tcPr>
          <w:p w14:paraId="392BEEDC" w14:textId="77777777" w:rsidR="00980E5F" w:rsidRDefault="00980E5F">
            <w:pPr>
              <w:rPr>
                <w:rFonts w:ascii="宋体"/>
              </w:rPr>
            </w:pPr>
          </w:p>
        </w:tc>
        <w:tc>
          <w:tcPr>
            <w:tcW w:w="5" w:type="pct"/>
            <w:shd w:val="clear" w:color="auto" w:fill="auto"/>
            <w:vAlign w:val="bottom"/>
          </w:tcPr>
          <w:p w14:paraId="392BEEDD" w14:textId="77777777" w:rsidR="00980E5F" w:rsidRDefault="00980E5F">
            <w:pPr>
              <w:rPr>
                <w:rFonts w:ascii="宋体"/>
              </w:rPr>
            </w:pPr>
          </w:p>
        </w:tc>
      </w:tr>
      <w:tr w:rsidR="00980E5F" w14:paraId="392BEEE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EE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EE0" w14:textId="77777777" w:rsidR="00980E5F" w:rsidRDefault="00980E5F">
            <w:pPr>
              <w:rPr>
                <w:rFonts w:ascii="宋体"/>
              </w:rPr>
            </w:pPr>
          </w:p>
        </w:tc>
      </w:tr>
    </w:tbl>
    <w:p w14:paraId="392BEEE2" w14:textId="77777777" w:rsidR="00980E5F" w:rsidRDefault="00483613">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p w14:paraId="392BEEE3" w14:textId="77777777" w:rsidR="00980E5F" w:rsidRDefault="00483613">
      <w:pPr>
        <w:ind w:firstLine="450"/>
        <w:jc w:val="right"/>
      </w:pPr>
      <w:r>
        <w:rPr>
          <w:rFonts w:ascii="Arial" w:eastAsia="宋体" w:hAnsi="Arial" w:cs="Arial"/>
          <w:color w:val="000000"/>
          <w:sz w:val="18"/>
          <w:szCs w:val="18"/>
        </w:rPr>
        <w:t>State Street Corporation | 12</w:t>
      </w:r>
    </w:p>
    <w:p w14:paraId="392BEEE4" w14:textId="77777777" w:rsidR="00980E5F" w:rsidRDefault="00980E5F">
      <w:pPr>
        <w:ind w:firstLine="450"/>
        <w:jc w:val="center"/>
      </w:pPr>
    </w:p>
    <w:p w14:paraId="392BEEE5" w14:textId="77777777" w:rsidR="00980E5F" w:rsidRDefault="00483613">
      <w:r>
        <w:pict w14:anchorId="392CBADA">
          <v:rect id="_x0000_i1036" style="width:415.3pt;height:1.5pt" o:hralign="center" o:hrstd="t" o:hr="t" fillcolor="#a0a0a0" stroked="f"/>
        </w:pict>
      </w:r>
    </w:p>
    <w:p w14:paraId="392BEEE6" w14:textId="77777777" w:rsidR="00980E5F" w:rsidRDefault="00483613">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392BEEE7" w14:textId="77777777" w:rsidR="00980E5F" w:rsidRDefault="00483613">
      <w:pPr>
        <w:ind w:firstLine="450"/>
        <w:jc w:val="center"/>
      </w:pPr>
      <w:r>
        <w:rPr>
          <w:rFonts w:ascii="Arial" w:eastAsia="宋体" w:hAnsi="Arial" w:cs="Arial"/>
          <w:b/>
          <w:bCs/>
          <w:color w:val="000000"/>
          <w:sz w:val="20"/>
          <w:szCs w:val="20"/>
        </w:rPr>
        <w:t>AND RESULTS OF OPERATIONS</w:t>
      </w:r>
    </w:p>
    <w:p w14:paraId="392BEEE8" w14:textId="77777777" w:rsidR="00980E5F" w:rsidRDefault="00483613">
      <w:pPr>
        <w:spacing w:before="60"/>
      </w:pPr>
      <w:r>
        <w:rPr>
          <w:rFonts w:ascii="Arial" w:eastAsia="宋体" w:hAnsi="Arial" w:cs="Arial"/>
          <w:i/>
          <w:iCs/>
          <w:color w:val="000000"/>
          <w:sz w:val="20"/>
          <w:szCs w:val="20"/>
        </w:rPr>
        <w:t>Client Activity and Asset Flows</w:t>
      </w:r>
    </w:p>
    <w:p w14:paraId="392BEEE9" w14:textId="77777777" w:rsidR="00980E5F" w:rsidRDefault="00483613">
      <w:pPr>
        <w:spacing w:before="60"/>
        <w:ind w:firstLine="450"/>
        <w:jc w:val="both"/>
      </w:pPr>
      <w:r>
        <w:rPr>
          <w:rFonts w:ascii="Arial" w:eastAsia="宋体" w:hAnsi="Arial" w:cs="Arial"/>
          <w:color w:val="000000"/>
          <w:sz w:val="20"/>
          <w:szCs w:val="20"/>
        </w:rPr>
        <w:t xml:space="preserve">Client activity and asset flows are impacted by the number of transactions we execute on behalf of our clients, including FX settlements, equity and derivative trades, and wire </w:t>
      </w:r>
      <w:r>
        <w:rPr>
          <w:rFonts w:ascii="Arial" w:eastAsia="宋体" w:hAnsi="Arial" w:cs="Arial"/>
          <w:color w:val="000000"/>
          <w:sz w:val="20"/>
          <w:szCs w:val="20"/>
        </w:rPr>
        <w:t xml:space="preserve">transfer activity, as well as actions by our clients to change the asset class in which their assets are invested. Our servicing fee revenues are impacted by a number of factors, including transaction volumes, asset levels and asset classes in which funds </w:t>
      </w:r>
      <w:r>
        <w:rPr>
          <w:rFonts w:ascii="Arial" w:eastAsia="宋体" w:hAnsi="Arial" w:cs="Arial"/>
          <w:color w:val="000000"/>
          <w:sz w:val="20"/>
          <w:szCs w:val="20"/>
        </w:rPr>
        <w:t>are invested, as well as industry trends associated with these client-related activities.</w:t>
      </w:r>
    </w:p>
    <w:p w14:paraId="392BEEEA" w14:textId="77777777" w:rsidR="00980E5F" w:rsidRDefault="00483613">
      <w:pPr>
        <w:spacing w:before="60"/>
        <w:ind w:firstLine="450"/>
        <w:jc w:val="both"/>
      </w:pPr>
      <w:r>
        <w:rPr>
          <w:rFonts w:ascii="Arial" w:eastAsia="宋体" w:hAnsi="Arial" w:cs="Arial"/>
          <w:color w:val="000000"/>
          <w:sz w:val="20"/>
          <w:szCs w:val="20"/>
        </w:rPr>
        <w:t>Our clients may change the asset classes in which their assets are invested, based on their market outlook, risk acceptance tolerance or other considerations. Over th</w:t>
      </w:r>
      <w:r>
        <w:rPr>
          <w:rFonts w:ascii="Arial" w:eastAsia="宋体" w:hAnsi="Arial" w:cs="Arial"/>
          <w:color w:val="000000"/>
          <w:sz w:val="20"/>
          <w:szCs w:val="20"/>
        </w:rPr>
        <w:t>e five years ended December 31, 2021, we estimate that client activity and asset flows, together, impacted our servicing fee revenues by approximately 0% on average with a range of (1)% to 2% annually and approximately 0% and 2% in 2021 and 2020, respectiv</w:t>
      </w:r>
      <w:r>
        <w:rPr>
          <w:rFonts w:ascii="Arial" w:eastAsia="宋体" w:hAnsi="Arial" w:cs="Arial"/>
          <w:color w:val="000000"/>
          <w:sz w:val="20"/>
          <w:szCs w:val="20"/>
        </w:rPr>
        <w:t>ely. See Table 5: Industry Asset Flows for selected asset flow information. While the asset flows presented are indicative of general market trends, the asset types and classes relevant to individual client portfolios can and do differ, and our flows may d</w:t>
      </w:r>
      <w:r>
        <w:rPr>
          <w:rFonts w:ascii="Arial" w:eastAsia="宋体" w:hAnsi="Arial" w:cs="Arial"/>
          <w:color w:val="000000"/>
          <w:sz w:val="20"/>
          <w:szCs w:val="20"/>
        </w:rPr>
        <w:t>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47"/>
        <w:gridCol w:w="4175"/>
        <w:gridCol w:w="37"/>
        <w:gridCol w:w="104"/>
        <w:gridCol w:w="1858"/>
        <w:gridCol w:w="36"/>
        <w:gridCol w:w="36"/>
        <w:gridCol w:w="36"/>
        <w:gridCol w:w="36"/>
        <w:gridCol w:w="104"/>
        <w:gridCol w:w="1831"/>
        <w:gridCol w:w="36"/>
      </w:tblGrid>
      <w:tr w:rsidR="00980E5F" w14:paraId="392BEEF7" w14:textId="77777777">
        <w:tc>
          <w:tcPr>
            <w:tcW w:w="50" w:type="pct"/>
            <w:shd w:val="clear" w:color="auto" w:fill="auto"/>
            <w:vAlign w:val="bottom"/>
          </w:tcPr>
          <w:p w14:paraId="392BEEEB" w14:textId="77777777" w:rsidR="00980E5F" w:rsidRDefault="00980E5F">
            <w:pPr>
              <w:rPr>
                <w:rFonts w:ascii="宋体"/>
              </w:rPr>
            </w:pPr>
          </w:p>
        </w:tc>
        <w:tc>
          <w:tcPr>
            <w:tcW w:w="2525" w:type="pct"/>
            <w:shd w:val="clear" w:color="auto" w:fill="auto"/>
            <w:vAlign w:val="bottom"/>
          </w:tcPr>
          <w:p w14:paraId="392BEEEC" w14:textId="77777777" w:rsidR="00980E5F" w:rsidRDefault="00980E5F">
            <w:pPr>
              <w:rPr>
                <w:rFonts w:ascii="宋体"/>
              </w:rPr>
            </w:pPr>
          </w:p>
        </w:tc>
        <w:tc>
          <w:tcPr>
            <w:tcW w:w="5" w:type="pct"/>
            <w:shd w:val="clear" w:color="auto" w:fill="auto"/>
            <w:vAlign w:val="bottom"/>
          </w:tcPr>
          <w:p w14:paraId="392BEEED" w14:textId="77777777" w:rsidR="00980E5F" w:rsidRDefault="00980E5F">
            <w:pPr>
              <w:rPr>
                <w:rFonts w:ascii="宋体"/>
              </w:rPr>
            </w:pPr>
          </w:p>
        </w:tc>
        <w:tc>
          <w:tcPr>
            <w:tcW w:w="50" w:type="pct"/>
            <w:shd w:val="clear" w:color="auto" w:fill="auto"/>
            <w:vAlign w:val="bottom"/>
          </w:tcPr>
          <w:p w14:paraId="392BEEEE" w14:textId="77777777" w:rsidR="00980E5F" w:rsidRDefault="00980E5F">
            <w:pPr>
              <w:rPr>
                <w:rFonts w:ascii="宋体"/>
              </w:rPr>
            </w:pPr>
          </w:p>
        </w:tc>
        <w:tc>
          <w:tcPr>
            <w:tcW w:w="1136" w:type="pct"/>
            <w:shd w:val="clear" w:color="auto" w:fill="auto"/>
            <w:vAlign w:val="bottom"/>
          </w:tcPr>
          <w:p w14:paraId="392BEEEF" w14:textId="77777777" w:rsidR="00980E5F" w:rsidRDefault="00980E5F">
            <w:pPr>
              <w:rPr>
                <w:rFonts w:ascii="宋体"/>
              </w:rPr>
            </w:pPr>
          </w:p>
        </w:tc>
        <w:tc>
          <w:tcPr>
            <w:tcW w:w="5" w:type="pct"/>
            <w:shd w:val="clear" w:color="auto" w:fill="auto"/>
            <w:vAlign w:val="bottom"/>
          </w:tcPr>
          <w:p w14:paraId="392BEEF0" w14:textId="77777777" w:rsidR="00980E5F" w:rsidRDefault="00980E5F">
            <w:pPr>
              <w:rPr>
                <w:rFonts w:ascii="宋体"/>
              </w:rPr>
            </w:pPr>
          </w:p>
        </w:tc>
        <w:tc>
          <w:tcPr>
            <w:tcW w:w="5" w:type="pct"/>
            <w:shd w:val="clear" w:color="auto" w:fill="auto"/>
            <w:vAlign w:val="bottom"/>
          </w:tcPr>
          <w:p w14:paraId="392BEEF1" w14:textId="77777777" w:rsidR="00980E5F" w:rsidRDefault="00980E5F">
            <w:pPr>
              <w:rPr>
                <w:rFonts w:ascii="宋体"/>
              </w:rPr>
            </w:pPr>
          </w:p>
        </w:tc>
        <w:tc>
          <w:tcPr>
            <w:tcW w:w="26" w:type="pct"/>
            <w:shd w:val="clear" w:color="auto" w:fill="auto"/>
            <w:vAlign w:val="bottom"/>
          </w:tcPr>
          <w:p w14:paraId="392BEEF2" w14:textId="77777777" w:rsidR="00980E5F" w:rsidRDefault="00980E5F">
            <w:pPr>
              <w:rPr>
                <w:rFonts w:ascii="宋体"/>
              </w:rPr>
            </w:pPr>
          </w:p>
        </w:tc>
        <w:tc>
          <w:tcPr>
            <w:tcW w:w="5" w:type="pct"/>
            <w:shd w:val="clear" w:color="auto" w:fill="auto"/>
            <w:vAlign w:val="bottom"/>
          </w:tcPr>
          <w:p w14:paraId="392BEEF3" w14:textId="77777777" w:rsidR="00980E5F" w:rsidRDefault="00980E5F">
            <w:pPr>
              <w:rPr>
                <w:rFonts w:ascii="宋体"/>
              </w:rPr>
            </w:pPr>
          </w:p>
        </w:tc>
        <w:tc>
          <w:tcPr>
            <w:tcW w:w="50" w:type="pct"/>
            <w:shd w:val="clear" w:color="auto" w:fill="auto"/>
            <w:vAlign w:val="bottom"/>
          </w:tcPr>
          <w:p w14:paraId="392BEEF4" w14:textId="77777777" w:rsidR="00980E5F" w:rsidRDefault="00980E5F">
            <w:pPr>
              <w:rPr>
                <w:rFonts w:ascii="宋体"/>
              </w:rPr>
            </w:pPr>
          </w:p>
        </w:tc>
        <w:tc>
          <w:tcPr>
            <w:tcW w:w="1136" w:type="pct"/>
            <w:shd w:val="clear" w:color="auto" w:fill="auto"/>
            <w:vAlign w:val="bottom"/>
          </w:tcPr>
          <w:p w14:paraId="392BEEF5" w14:textId="77777777" w:rsidR="00980E5F" w:rsidRDefault="00980E5F">
            <w:pPr>
              <w:rPr>
                <w:rFonts w:ascii="宋体"/>
              </w:rPr>
            </w:pPr>
          </w:p>
        </w:tc>
        <w:tc>
          <w:tcPr>
            <w:tcW w:w="5" w:type="pct"/>
            <w:shd w:val="clear" w:color="auto" w:fill="auto"/>
            <w:vAlign w:val="bottom"/>
          </w:tcPr>
          <w:p w14:paraId="392BEEF6" w14:textId="77777777" w:rsidR="00980E5F" w:rsidRDefault="00980E5F">
            <w:pPr>
              <w:rPr>
                <w:rFonts w:ascii="宋体"/>
              </w:rPr>
            </w:pPr>
          </w:p>
        </w:tc>
      </w:tr>
      <w:tr w:rsidR="00980E5F" w14:paraId="392BEEF9" w14:textId="77777777">
        <w:tc>
          <w:tcPr>
            <w:tcW w:w="0" w:type="auto"/>
            <w:gridSpan w:val="12"/>
            <w:shd w:val="clear" w:color="auto" w:fill="auto"/>
            <w:tcMar>
              <w:top w:w="40" w:type="dxa"/>
              <w:left w:w="20" w:type="dxa"/>
              <w:bottom w:w="40" w:type="dxa"/>
              <w:right w:w="20" w:type="dxa"/>
            </w:tcMar>
            <w:vAlign w:val="bottom"/>
          </w:tcPr>
          <w:p w14:paraId="392BEEF8" w14:textId="77777777" w:rsidR="00980E5F" w:rsidRDefault="00483613">
            <w:pPr>
              <w:textAlignment w:val="bottom"/>
            </w:pPr>
            <w:r>
              <w:rPr>
                <w:rFonts w:ascii="Arial" w:eastAsia="宋体" w:hAnsi="Arial" w:cs="Arial"/>
                <w:b/>
                <w:bCs/>
                <w:color w:val="000000"/>
                <w:sz w:val="16"/>
                <w:szCs w:val="16"/>
              </w:rPr>
              <w:t>TABLE 5: INDUSTRY ASSET FLOWS</w:t>
            </w:r>
          </w:p>
        </w:tc>
      </w:tr>
      <w:tr w:rsidR="00980E5F" w14:paraId="392BEEFC" w14:textId="77777777">
        <w:tc>
          <w:tcPr>
            <w:tcW w:w="0" w:type="auto"/>
            <w:gridSpan w:val="3"/>
            <w:shd w:val="clear" w:color="auto" w:fill="auto"/>
            <w:tcMar>
              <w:top w:w="0" w:type="dxa"/>
              <w:left w:w="20" w:type="dxa"/>
              <w:bottom w:w="0" w:type="dxa"/>
              <w:right w:w="20" w:type="dxa"/>
            </w:tcMar>
            <w:vAlign w:val="bottom"/>
          </w:tcPr>
          <w:p w14:paraId="392BEEFA"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BEEFB" w14:textId="77777777" w:rsidR="00980E5F" w:rsidRDefault="00483613">
            <w:pPr>
              <w:jc w:val="center"/>
              <w:textAlignment w:val="bottom"/>
            </w:pPr>
            <w:r>
              <w:rPr>
                <w:rFonts w:ascii="Arial" w:eastAsia="宋体" w:hAnsi="Arial" w:cs="Arial"/>
                <w:b/>
                <w:bCs/>
                <w:color w:val="000000"/>
                <w:sz w:val="15"/>
                <w:szCs w:val="15"/>
              </w:rPr>
              <w:t>Three Months Ended June 30,</w:t>
            </w:r>
          </w:p>
        </w:tc>
      </w:tr>
      <w:tr w:rsidR="00980E5F" w14:paraId="392BEF01" w14:textId="77777777">
        <w:tc>
          <w:tcPr>
            <w:tcW w:w="0" w:type="auto"/>
            <w:gridSpan w:val="3"/>
            <w:shd w:val="clear" w:color="auto" w:fill="auto"/>
            <w:tcMar>
              <w:top w:w="40" w:type="dxa"/>
              <w:left w:w="20" w:type="dxa"/>
              <w:bottom w:w="40" w:type="dxa"/>
              <w:right w:w="20" w:type="dxa"/>
            </w:tcMar>
            <w:vAlign w:val="bottom"/>
          </w:tcPr>
          <w:p w14:paraId="392BEEFD" w14:textId="77777777" w:rsidR="00980E5F" w:rsidRDefault="00483613">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EFE"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EF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EF00" w14:textId="77777777" w:rsidR="00980E5F" w:rsidRDefault="00483613">
            <w:pPr>
              <w:jc w:val="center"/>
              <w:textAlignment w:val="bottom"/>
            </w:pPr>
            <w:r>
              <w:rPr>
                <w:rFonts w:ascii="Arial" w:eastAsia="宋体" w:hAnsi="Arial" w:cs="Arial"/>
                <w:b/>
                <w:bCs/>
                <w:color w:val="000000"/>
                <w:sz w:val="15"/>
                <w:szCs w:val="15"/>
              </w:rPr>
              <w:t>2021</w:t>
            </w:r>
          </w:p>
        </w:tc>
      </w:tr>
      <w:tr w:rsidR="00980E5F" w14:paraId="392BEF06" w14:textId="77777777">
        <w:tc>
          <w:tcPr>
            <w:tcW w:w="0" w:type="auto"/>
            <w:gridSpan w:val="3"/>
            <w:shd w:val="clear" w:color="auto" w:fill="auto"/>
            <w:tcMar>
              <w:top w:w="40" w:type="dxa"/>
              <w:left w:w="20" w:type="dxa"/>
              <w:bottom w:w="40" w:type="dxa"/>
              <w:right w:w="20" w:type="dxa"/>
            </w:tcMar>
            <w:vAlign w:val="bottom"/>
          </w:tcPr>
          <w:p w14:paraId="392BEF02" w14:textId="77777777" w:rsidR="00980E5F" w:rsidRDefault="00483613">
            <w:pPr>
              <w:textAlignment w:val="bottom"/>
            </w:pPr>
            <w:r>
              <w:rPr>
                <w:rFonts w:ascii="Arial" w:eastAsia="宋体" w:hAnsi="Arial" w:cs="Arial"/>
                <w:b/>
                <w:bCs/>
                <w:color w:val="000000"/>
                <w:sz w:val="15"/>
                <w:szCs w:val="15"/>
              </w:rPr>
              <w:t xml:space="preserve">North America - (US </w:t>
            </w:r>
            <w:r>
              <w:rPr>
                <w:rFonts w:ascii="Arial" w:eastAsia="宋体" w:hAnsi="Arial" w:cs="Arial"/>
                <w:b/>
                <w:bCs/>
                <w:color w:val="000000"/>
                <w:sz w:val="15"/>
                <w:szCs w:val="15"/>
              </w:rPr>
              <w:t>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F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F0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EF05" w14:textId="77777777" w:rsidR="00980E5F" w:rsidRDefault="00980E5F">
            <w:pPr>
              <w:rPr>
                <w:rFonts w:ascii="宋体"/>
              </w:rPr>
            </w:pPr>
          </w:p>
        </w:tc>
      </w:tr>
      <w:tr w:rsidR="00980E5F" w14:paraId="392BEF0F" w14:textId="77777777">
        <w:tc>
          <w:tcPr>
            <w:tcW w:w="0" w:type="auto"/>
            <w:gridSpan w:val="3"/>
            <w:shd w:val="clear" w:color="auto" w:fill="CCEEFF"/>
            <w:tcMar>
              <w:top w:w="40" w:type="dxa"/>
              <w:left w:w="20" w:type="dxa"/>
              <w:bottom w:w="40" w:type="dxa"/>
              <w:right w:w="20" w:type="dxa"/>
            </w:tcMar>
            <w:vAlign w:val="bottom"/>
          </w:tcPr>
          <w:p w14:paraId="392BEF07" w14:textId="77777777" w:rsidR="00980E5F" w:rsidRDefault="00483613">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392BEF08"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BEF09" w14:textId="77777777" w:rsidR="00980E5F" w:rsidRDefault="00483613">
            <w:pPr>
              <w:jc w:val="right"/>
              <w:textAlignment w:val="bottom"/>
            </w:pPr>
            <w:r>
              <w:rPr>
                <w:rFonts w:ascii="Arial" w:eastAsia="宋体" w:hAnsi="Arial" w:cs="Arial"/>
                <w:b/>
                <w:bCs/>
                <w:color w:val="000000"/>
                <w:sz w:val="15"/>
                <w:szCs w:val="15"/>
              </w:rPr>
              <w:t>(275.6)</w:t>
            </w:r>
          </w:p>
        </w:tc>
        <w:tc>
          <w:tcPr>
            <w:tcW w:w="0" w:type="auto"/>
            <w:shd w:val="clear" w:color="auto" w:fill="CCEEFF"/>
            <w:tcMar>
              <w:top w:w="40" w:type="dxa"/>
              <w:left w:w="0" w:type="dxa"/>
              <w:bottom w:w="40" w:type="dxa"/>
              <w:right w:w="20" w:type="dxa"/>
            </w:tcMar>
            <w:vAlign w:val="bottom"/>
          </w:tcPr>
          <w:p w14:paraId="392BEF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0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F0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EF0D" w14:textId="77777777" w:rsidR="00980E5F" w:rsidRDefault="00483613">
            <w:pPr>
              <w:jc w:val="right"/>
              <w:textAlignment w:val="bottom"/>
            </w:pPr>
            <w:r>
              <w:rPr>
                <w:rFonts w:ascii="Arial" w:eastAsia="宋体" w:hAnsi="Arial" w:cs="Arial"/>
                <w:color w:val="000000"/>
                <w:sz w:val="15"/>
                <w:szCs w:val="15"/>
              </w:rPr>
              <w:t>195.7 </w:t>
            </w:r>
          </w:p>
        </w:tc>
        <w:tc>
          <w:tcPr>
            <w:tcW w:w="0" w:type="auto"/>
            <w:shd w:val="clear" w:color="auto" w:fill="CCEEFF"/>
            <w:tcMar>
              <w:top w:w="40" w:type="dxa"/>
              <w:left w:w="0" w:type="dxa"/>
              <w:bottom w:w="40" w:type="dxa"/>
              <w:right w:w="20" w:type="dxa"/>
            </w:tcMar>
            <w:vAlign w:val="bottom"/>
          </w:tcPr>
          <w:p w14:paraId="392BEF0E" w14:textId="77777777" w:rsidR="00980E5F" w:rsidRDefault="00980E5F">
            <w:pPr>
              <w:jc w:val="right"/>
              <w:rPr>
                <w:rFonts w:ascii="宋体"/>
              </w:rPr>
            </w:pPr>
          </w:p>
        </w:tc>
      </w:tr>
      <w:tr w:rsidR="00980E5F" w14:paraId="392BEF16" w14:textId="77777777">
        <w:tc>
          <w:tcPr>
            <w:tcW w:w="0" w:type="auto"/>
            <w:gridSpan w:val="3"/>
            <w:shd w:val="clear" w:color="auto" w:fill="FFFFFF"/>
            <w:tcMar>
              <w:top w:w="40" w:type="dxa"/>
              <w:left w:w="155" w:type="dxa"/>
              <w:bottom w:w="40" w:type="dxa"/>
              <w:right w:w="20" w:type="dxa"/>
            </w:tcMar>
            <w:vAlign w:val="bottom"/>
          </w:tcPr>
          <w:p w14:paraId="392BEF10" w14:textId="77777777" w:rsidR="00980E5F" w:rsidRDefault="00483613">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392BEF11" w14:textId="77777777" w:rsidR="00980E5F" w:rsidRDefault="00483613">
            <w:pPr>
              <w:jc w:val="right"/>
              <w:textAlignment w:val="bottom"/>
            </w:pPr>
            <w:r>
              <w:rPr>
                <w:rFonts w:ascii="Arial" w:eastAsia="宋体" w:hAnsi="Arial" w:cs="Arial"/>
                <w:b/>
                <w:bCs/>
                <w:color w:val="000000"/>
                <w:sz w:val="15"/>
                <w:szCs w:val="15"/>
              </w:rPr>
              <w:t>(54.2)</w:t>
            </w:r>
          </w:p>
        </w:tc>
        <w:tc>
          <w:tcPr>
            <w:tcW w:w="0" w:type="auto"/>
            <w:shd w:val="clear" w:color="auto" w:fill="FFFFFF"/>
            <w:tcMar>
              <w:top w:w="40" w:type="dxa"/>
              <w:left w:w="0" w:type="dxa"/>
              <w:bottom w:w="40" w:type="dxa"/>
              <w:right w:w="20" w:type="dxa"/>
            </w:tcMar>
            <w:vAlign w:val="bottom"/>
          </w:tcPr>
          <w:p w14:paraId="392BEF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F14" w14:textId="77777777" w:rsidR="00980E5F" w:rsidRDefault="00483613">
            <w:pPr>
              <w:jc w:val="right"/>
              <w:textAlignment w:val="bottom"/>
            </w:pPr>
            <w:r>
              <w:rPr>
                <w:rFonts w:ascii="Arial" w:eastAsia="宋体" w:hAnsi="Arial" w:cs="Arial"/>
                <w:color w:val="000000"/>
                <w:sz w:val="15"/>
                <w:szCs w:val="15"/>
              </w:rPr>
              <w:t>33.1 </w:t>
            </w:r>
          </w:p>
        </w:tc>
        <w:tc>
          <w:tcPr>
            <w:tcW w:w="0" w:type="auto"/>
            <w:shd w:val="clear" w:color="auto" w:fill="FFFFFF"/>
            <w:tcMar>
              <w:top w:w="40" w:type="dxa"/>
              <w:left w:w="0" w:type="dxa"/>
              <w:bottom w:w="40" w:type="dxa"/>
              <w:right w:w="20" w:type="dxa"/>
            </w:tcMar>
            <w:vAlign w:val="bottom"/>
          </w:tcPr>
          <w:p w14:paraId="392BEF15" w14:textId="77777777" w:rsidR="00980E5F" w:rsidRDefault="00980E5F">
            <w:pPr>
              <w:jc w:val="right"/>
              <w:rPr>
                <w:rFonts w:ascii="宋体"/>
              </w:rPr>
            </w:pPr>
          </w:p>
        </w:tc>
      </w:tr>
      <w:tr w:rsidR="00980E5F" w14:paraId="392BEF1D" w14:textId="77777777">
        <w:tc>
          <w:tcPr>
            <w:tcW w:w="0" w:type="auto"/>
            <w:gridSpan w:val="3"/>
            <w:shd w:val="clear" w:color="auto" w:fill="CCEEFF"/>
            <w:tcMar>
              <w:top w:w="40" w:type="dxa"/>
              <w:left w:w="155" w:type="dxa"/>
              <w:bottom w:w="40" w:type="dxa"/>
              <w:right w:w="20" w:type="dxa"/>
            </w:tcMar>
            <w:vAlign w:val="bottom"/>
          </w:tcPr>
          <w:p w14:paraId="392BEF17" w14:textId="77777777" w:rsidR="00980E5F" w:rsidRDefault="00483613">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392BEF18" w14:textId="77777777" w:rsidR="00980E5F" w:rsidRDefault="00483613">
            <w:pPr>
              <w:jc w:val="right"/>
              <w:textAlignment w:val="bottom"/>
            </w:pPr>
            <w:r>
              <w:rPr>
                <w:rFonts w:ascii="Arial" w:eastAsia="宋体" w:hAnsi="Arial" w:cs="Arial"/>
                <w:b/>
                <w:bCs/>
                <w:color w:val="000000"/>
                <w:sz w:val="15"/>
                <w:szCs w:val="15"/>
              </w:rPr>
              <w:t>93.2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F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1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F1B" w14:textId="77777777" w:rsidR="00980E5F" w:rsidRDefault="00483613">
            <w:pPr>
              <w:jc w:val="right"/>
              <w:textAlignment w:val="bottom"/>
            </w:pPr>
            <w:r>
              <w:rPr>
                <w:rFonts w:ascii="Arial" w:eastAsia="宋体" w:hAnsi="Arial" w:cs="Arial"/>
                <w:color w:val="000000"/>
                <w:sz w:val="15"/>
                <w:szCs w:val="15"/>
              </w:rPr>
              <w:t>122.6 </w:t>
            </w:r>
          </w:p>
        </w:tc>
        <w:tc>
          <w:tcPr>
            <w:tcW w:w="0" w:type="auto"/>
            <w:shd w:val="clear" w:color="auto" w:fill="CCEEFF"/>
            <w:tcMar>
              <w:top w:w="40" w:type="dxa"/>
              <w:left w:w="0" w:type="dxa"/>
              <w:bottom w:w="40" w:type="dxa"/>
              <w:right w:w="20" w:type="dxa"/>
            </w:tcMar>
            <w:vAlign w:val="bottom"/>
          </w:tcPr>
          <w:p w14:paraId="392BEF1C" w14:textId="77777777" w:rsidR="00980E5F" w:rsidRDefault="00980E5F">
            <w:pPr>
              <w:jc w:val="right"/>
              <w:rPr>
                <w:rFonts w:ascii="宋体"/>
              </w:rPr>
            </w:pPr>
          </w:p>
        </w:tc>
      </w:tr>
      <w:tr w:rsidR="00980E5F" w14:paraId="392BEF26" w14:textId="77777777">
        <w:tc>
          <w:tcPr>
            <w:tcW w:w="0" w:type="auto"/>
            <w:gridSpan w:val="3"/>
            <w:shd w:val="clear" w:color="auto" w:fill="FFFFFF"/>
            <w:tcMar>
              <w:top w:w="40" w:type="dxa"/>
              <w:left w:w="20" w:type="dxa"/>
              <w:bottom w:w="40" w:type="dxa"/>
              <w:right w:w="20" w:type="dxa"/>
            </w:tcMar>
            <w:vAlign w:val="bottom"/>
          </w:tcPr>
          <w:p w14:paraId="392BEF1E" w14:textId="77777777" w:rsidR="00980E5F" w:rsidRDefault="00483613">
            <w:pPr>
              <w:textAlignment w:val="bottom"/>
            </w:pPr>
            <w:r>
              <w:rPr>
                <w:rFonts w:ascii="Arial" w:eastAsia="宋体" w:hAnsi="Arial" w:cs="Arial"/>
                <w:b/>
                <w:bCs/>
                <w:color w:val="000000"/>
                <w:sz w:val="15"/>
                <w:szCs w:val="15"/>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392BEF1F"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BEF20" w14:textId="77777777" w:rsidR="00980E5F" w:rsidRDefault="00483613">
            <w:pPr>
              <w:jc w:val="right"/>
              <w:textAlignment w:val="bottom"/>
            </w:pPr>
            <w:r>
              <w:rPr>
                <w:rFonts w:ascii="Arial" w:eastAsia="宋体" w:hAnsi="Arial" w:cs="Arial"/>
                <w:b/>
                <w:bCs/>
                <w:color w:val="000000"/>
                <w:sz w:val="15"/>
                <w:szCs w:val="15"/>
              </w:rPr>
              <w:t>(236.6)</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F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2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BEF23"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BEF24" w14:textId="77777777" w:rsidR="00980E5F" w:rsidRDefault="00483613">
            <w:pPr>
              <w:jc w:val="right"/>
              <w:textAlignment w:val="bottom"/>
            </w:pPr>
            <w:r>
              <w:rPr>
                <w:rFonts w:ascii="Arial" w:eastAsia="宋体" w:hAnsi="Arial" w:cs="Arial"/>
                <w:color w:val="000000"/>
                <w:sz w:val="15"/>
                <w:szCs w:val="15"/>
              </w:rPr>
              <w:t>351.4 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EF25" w14:textId="77777777" w:rsidR="00980E5F" w:rsidRDefault="00980E5F">
            <w:pPr>
              <w:jc w:val="right"/>
              <w:rPr>
                <w:rFonts w:ascii="宋体"/>
              </w:rPr>
            </w:pPr>
          </w:p>
        </w:tc>
      </w:tr>
      <w:tr w:rsidR="00980E5F" w14:paraId="392BEF2B" w14:textId="77777777">
        <w:trPr>
          <w:trHeight w:val="60"/>
        </w:trPr>
        <w:tc>
          <w:tcPr>
            <w:tcW w:w="0" w:type="auto"/>
            <w:gridSpan w:val="3"/>
            <w:shd w:val="clear" w:color="auto" w:fill="auto"/>
            <w:tcMar>
              <w:top w:w="0" w:type="dxa"/>
              <w:left w:w="20" w:type="dxa"/>
              <w:bottom w:w="0" w:type="dxa"/>
              <w:right w:w="20" w:type="dxa"/>
            </w:tcMar>
            <w:vAlign w:val="bottom"/>
          </w:tcPr>
          <w:p w14:paraId="392BEF2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EF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F2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BEF2A" w14:textId="77777777" w:rsidR="00980E5F" w:rsidRDefault="00980E5F">
            <w:pPr>
              <w:rPr>
                <w:rFonts w:ascii="宋体"/>
              </w:rPr>
            </w:pPr>
          </w:p>
        </w:tc>
      </w:tr>
      <w:tr w:rsidR="00980E5F" w14:paraId="392BEF30" w14:textId="77777777">
        <w:tc>
          <w:tcPr>
            <w:tcW w:w="0" w:type="auto"/>
            <w:gridSpan w:val="3"/>
            <w:shd w:val="clear" w:color="auto" w:fill="FFFFFF"/>
            <w:tcMar>
              <w:top w:w="40" w:type="dxa"/>
              <w:left w:w="20" w:type="dxa"/>
              <w:bottom w:w="40" w:type="dxa"/>
              <w:right w:w="20" w:type="dxa"/>
            </w:tcMar>
            <w:vAlign w:val="bottom"/>
          </w:tcPr>
          <w:p w14:paraId="392BEF2C" w14:textId="77777777" w:rsidR="00980E5F" w:rsidRDefault="00483613">
            <w:pPr>
              <w:textAlignment w:val="bottom"/>
            </w:pPr>
            <w:r>
              <w:rPr>
                <w:rFonts w:ascii="Arial" w:eastAsia="宋体" w:hAnsi="Arial" w:cs="Arial"/>
                <w:b/>
                <w:bCs/>
                <w:color w:val="000000"/>
                <w:sz w:val="15"/>
                <w:szCs w:val="15"/>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392BEF2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EF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F2F" w14:textId="77777777" w:rsidR="00980E5F" w:rsidRDefault="00980E5F">
            <w:pPr>
              <w:rPr>
                <w:rFonts w:ascii="宋体"/>
              </w:rPr>
            </w:pPr>
          </w:p>
        </w:tc>
      </w:tr>
      <w:tr w:rsidR="00980E5F" w14:paraId="392BEF39" w14:textId="77777777">
        <w:tc>
          <w:tcPr>
            <w:tcW w:w="0" w:type="auto"/>
            <w:gridSpan w:val="3"/>
            <w:shd w:val="clear" w:color="auto" w:fill="CCEEFF"/>
            <w:tcMar>
              <w:top w:w="40" w:type="dxa"/>
              <w:left w:w="20" w:type="dxa"/>
              <w:bottom w:w="40" w:type="dxa"/>
              <w:right w:w="20" w:type="dxa"/>
            </w:tcMar>
            <w:vAlign w:val="bottom"/>
          </w:tcPr>
          <w:p w14:paraId="392BEF31" w14:textId="77777777" w:rsidR="00980E5F" w:rsidRDefault="00483613">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392BEF32"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BEF33" w14:textId="77777777" w:rsidR="00980E5F" w:rsidRDefault="00483613">
            <w:pPr>
              <w:jc w:val="right"/>
              <w:textAlignment w:val="bottom"/>
            </w:pPr>
            <w:r>
              <w:rPr>
                <w:rFonts w:ascii="Arial" w:eastAsia="宋体" w:hAnsi="Arial" w:cs="Arial"/>
                <w:b/>
                <w:bCs/>
                <w:color w:val="000000"/>
                <w:sz w:val="15"/>
                <w:szCs w:val="15"/>
              </w:rPr>
              <w:t>(32.2)</w:t>
            </w:r>
          </w:p>
        </w:tc>
        <w:tc>
          <w:tcPr>
            <w:tcW w:w="0" w:type="auto"/>
            <w:shd w:val="clear" w:color="auto" w:fill="CCEEFF"/>
            <w:tcMar>
              <w:top w:w="40" w:type="dxa"/>
              <w:left w:w="0" w:type="dxa"/>
              <w:bottom w:w="40" w:type="dxa"/>
              <w:right w:w="20" w:type="dxa"/>
            </w:tcMar>
            <w:vAlign w:val="bottom"/>
          </w:tcPr>
          <w:p w14:paraId="392BEF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3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EF36"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EF37" w14:textId="77777777" w:rsidR="00980E5F" w:rsidRDefault="00483613">
            <w:pPr>
              <w:jc w:val="right"/>
              <w:textAlignment w:val="bottom"/>
            </w:pPr>
            <w:r>
              <w:rPr>
                <w:rFonts w:ascii="Arial" w:eastAsia="宋体" w:hAnsi="Arial" w:cs="Arial"/>
                <w:color w:val="000000"/>
                <w:sz w:val="15"/>
                <w:szCs w:val="15"/>
              </w:rPr>
              <w:t>225.8 </w:t>
            </w:r>
          </w:p>
        </w:tc>
        <w:tc>
          <w:tcPr>
            <w:tcW w:w="0" w:type="auto"/>
            <w:shd w:val="clear" w:color="auto" w:fill="CCEEFF"/>
            <w:tcMar>
              <w:top w:w="40" w:type="dxa"/>
              <w:left w:w="0" w:type="dxa"/>
              <w:bottom w:w="40" w:type="dxa"/>
              <w:right w:w="20" w:type="dxa"/>
            </w:tcMar>
            <w:vAlign w:val="bottom"/>
          </w:tcPr>
          <w:p w14:paraId="392BEF38" w14:textId="77777777" w:rsidR="00980E5F" w:rsidRDefault="00980E5F">
            <w:pPr>
              <w:jc w:val="right"/>
              <w:rPr>
                <w:rFonts w:ascii="宋体"/>
              </w:rPr>
            </w:pPr>
          </w:p>
        </w:tc>
      </w:tr>
      <w:tr w:rsidR="00980E5F" w14:paraId="392BEF40" w14:textId="77777777">
        <w:tc>
          <w:tcPr>
            <w:tcW w:w="0" w:type="auto"/>
            <w:gridSpan w:val="3"/>
            <w:shd w:val="clear" w:color="auto" w:fill="FFFFFF"/>
            <w:tcMar>
              <w:top w:w="40" w:type="dxa"/>
              <w:left w:w="155" w:type="dxa"/>
              <w:bottom w:w="40" w:type="dxa"/>
              <w:right w:w="20" w:type="dxa"/>
            </w:tcMar>
            <w:vAlign w:val="bottom"/>
          </w:tcPr>
          <w:p w14:paraId="392BEF3A" w14:textId="77777777" w:rsidR="00980E5F" w:rsidRDefault="00483613">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392BEF3B" w14:textId="77777777" w:rsidR="00980E5F" w:rsidRDefault="00483613">
            <w:pPr>
              <w:jc w:val="right"/>
              <w:textAlignment w:val="bottom"/>
            </w:pPr>
            <w:r>
              <w:rPr>
                <w:rFonts w:ascii="Arial" w:eastAsia="宋体" w:hAnsi="Arial" w:cs="Arial"/>
                <w:b/>
                <w:bCs/>
                <w:color w:val="000000"/>
                <w:sz w:val="15"/>
                <w:szCs w:val="15"/>
              </w:rPr>
              <w:t>(4.8)</w:t>
            </w:r>
          </w:p>
        </w:tc>
        <w:tc>
          <w:tcPr>
            <w:tcW w:w="0" w:type="auto"/>
            <w:shd w:val="clear" w:color="auto" w:fill="FFFFFF"/>
            <w:tcMar>
              <w:top w:w="40" w:type="dxa"/>
              <w:left w:w="0" w:type="dxa"/>
              <w:bottom w:w="40" w:type="dxa"/>
              <w:right w:w="20" w:type="dxa"/>
            </w:tcMar>
            <w:vAlign w:val="bottom"/>
          </w:tcPr>
          <w:p w14:paraId="392BEF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F3E" w14:textId="77777777" w:rsidR="00980E5F" w:rsidRDefault="00483613">
            <w:pPr>
              <w:jc w:val="right"/>
              <w:textAlignment w:val="bottom"/>
            </w:pPr>
            <w:r>
              <w:rPr>
                <w:rFonts w:ascii="Arial" w:eastAsia="宋体" w:hAnsi="Arial" w:cs="Arial"/>
                <w:color w:val="000000"/>
                <w:sz w:val="15"/>
                <w:szCs w:val="15"/>
              </w:rPr>
              <w:t>(9.8)</w:t>
            </w:r>
          </w:p>
        </w:tc>
        <w:tc>
          <w:tcPr>
            <w:tcW w:w="0" w:type="auto"/>
            <w:shd w:val="clear" w:color="auto" w:fill="FFFFFF"/>
            <w:tcMar>
              <w:top w:w="40" w:type="dxa"/>
              <w:left w:w="0" w:type="dxa"/>
              <w:bottom w:w="40" w:type="dxa"/>
              <w:right w:w="20" w:type="dxa"/>
            </w:tcMar>
            <w:vAlign w:val="bottom"/>
          </w:tcPr>
          <w:p w14:paraId="392BEF3F" w14:textId="77777777" w:rsidR="00980E5F" w:rsidRDefault="00980E5F">
            <w:pPr>
              <w:jc w:val="right"/>
              <w:rPr>
                <w:rFonts w:ascii="宋体"/>
              </w:rPr>
            </w:pPr>
          </w:p>
        </w:tc>
      </w:tr>
      <w:tr w:rsidR="00980E5F" w14:paraId="392BEF47" w14:textId="77777777">
        <w:tc>
          <w:tcPr>
            <w:tcW w:w="0" w:type="auto"/>
            <w:gridSpan w:val="3"/>
            <w:shd w:val="clear" w:color="auto" w:fill="CCEEFF"/>
            <w:tcMar>
              <w:top w:w="40" w:type="dxa"/>
              <w:left w:w="155" w:type="dxa"/>
              <w:bottom w:w="40" w:type="dxa"/>
              <w:right w:w="20" w:type="dxa"/>
            </w:tcMar>
            <w:vAlign w:val="bottom"/>
          </w:tcPr>
          <w:p w14:paraId="392BEF41" w14:textId="77777777" w:rsidR="00980E5F" w:rsidRDefault="00483613">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392BEF42" w14:textId="77777777" w:rsidR="00980E5F" w:rsidRDefault="00483613">
            <w:pPr>
              <w:jc w:val="right"/>
              <w:textAlignment w:val="bottom"/>
            </w:pPr>
            <w:r>
              <w:rPr>
                <w:rFonts w:ascii="Arial" w:eastAsia="宋体" w:hAnsi="Arial" w:cs="Arial"/>
                <w:b/>
                <w:bCs/>
                <w:color w:val="000000"/>
                <w:sz w:val="15"/>
                <w:szCs w:val="15"/>
              </w:rPr>
              <w:t>24.0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EF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F45" w14:textId="77777777" w:rsidR="00980E5F" w:rsidRDefault="00483613">
            <w:pPr>
              <w:jc w:val="right"/>
              <w:textAlignment w:val="bottom"/>
            </w:pPr>
            <w:r>
              <w:rPr>
                <w:rFonts w:ascii="Arial" w:eastAsia="宋体" w:hAnsi="Arial" w:cs="Arial"/>
                <w:color w:val="000000"/>
                <w:sz w:val="15"/>
                <w:szCs w:val="15"/>
              </w:rPr>
              <w:t>51.1 </w:t>
            </w:r>
          </w:p>
        </w:tc>
        <w:tc>
          <w:tcPr>
            <w:tcW w:w="0" w:type="auto"/>
            <w:shd w:val="clear" w:color="auto" w:fill="CCEEFF"/>
            <w:tcMar>
              <w:top w:w="40" w:type="dxa"/>
              <w:left w:w="0" w:type="dxa"/>
              <w:bottom w:w="40" w:type="dxa"/>
              <w:right w:w="20" w:type="dxa"/>
            </w:tcMar>
            <w:vAlign w:val="bottom"/>
          </w:tcPr>
          <w:p w14:paraId="392BEF46" w14:textId="77777777" w:rsidR="00980E5F" w:rsidRDefault="00980E5F">
            <w:pPr>
              <w:jc w:val="right"/>
              <w:rPr>
                <w:rFonts w:ascii="宋体"/>
              </w:rPr>
            </w:pPr>
          </w:p>
        </w:tc>
      </w:tr>
      <w:tr w:rsidR="00980E5F" w14:paraId="392BEF4C" w14:textId="77777777">
        <w:trPr>
          <w:hidden/>
        </w:trPr>
        <w:tc>
          <w:tcPr>
            <w:tcW w:w="0" w:type="auto"/>
            <w:gridSpan w:val="3"/>
            <w:shd w:val="clear" w:color="auto" w:fill="auto"/>
            <w:vAlign w:val="bottom"/>
          </w:tcPr>
          <w:p w14:paraId="392BEF48" w14:textId="77777777" w:rsidR="00980E5F" w:rsidRDefault="00980E5F">
            <w:pPr>
              <w:rPr>
                <w:rFonts w:ascii="宋体"/>
                <w:vanish/>
              </w:rPr>
            </w:pPr>
          </w:p>
        </w:tc>
        <w:tc>
          <w:tcPr>
            <w:tcW w:w="0" w:type="auto"/>
            <w:gridSpan w:val="3"/>
            <w:shd w:val="clear" w:color="auto" w:fill="auto"/>
            <w:vAlign w:val="bottom"/>
          </w:tcPr>
          <w:p w14:paraId="392BEF49" w14:textId="77777777" w:rsidR="00980E5F" w:rsidRDefault="00980E5F">
            <w:pPr>
              <w:rPr>
                <w:rFonts w:ascii="宋体"/>
                <w:vanish/>
              </w:rPr>
            </w:pPr>
          </w:p>
        </w:tc>
        <w:tc>
          <w:tcPr>
            <w:tcW w:w="0" w:type="auto"/>
            <w:gridSpan w:val="3"/>
            <w:shd w:val="clear" w:color="auto" w:fill="auto"/>
            <w:vAlign w:val="bottom"/>
          </w:tcPr>
          <w:p w14:paraId="392BEF4A" w14:textId="77777777" w:rsidR="00980E5F" w:rsidRDefault="00980E5F">
            <w:pPr>
              <w:rPr>
                <w:rFonts w:ascii="宋体"/>
                <w:vanish/>
              </w:rPr>
            </w:pPr>
          </w:p>
        </w:tc>
        <w:tc>
          <w:tcPr>
            <w:tcW w:w="0" w:type="auto"/>
            <w:gridSpan w:val="3"/>
            <w:shd w:val="clear" w:color="auto" w:fill="auto"/>
            <w:vAlign w:val="bottom"/>
          </w:tcPr>
          <w:p w14:paraId="392BEF4B" w14:textId="77777777" w:rsidR="00980E5F" w:rsidRDefault="00980E5F">
            <w:pPr>
              <w:rPr>
                <w:rFonts w:ascii="宋体"/>
                <w:vanish/>
              </w:rPr>
            </w:pPr>
          </w:p>
        </w:tc>
      </w:tr>
      <w:tr w:rsidR="00980E5F" w14:paraId="392BEF51" w14:textId="77777777">
        <w:trPr>
          <w:hidden/>
        </w:trPr>
        <w:tc>
          <w:tcPr>
            <w:tcW w:w="0" w:type="auto"/>
            <w:gridSpan w:val="3"/>
            <w:shd w:val="clear" w:color="auto" w:fill="auto"/>
            <w:vAlign w:val="bottom"/>
          </w:tcPr>
          <w:p w14:paraId="392BEF4D" w14:textId="77777777" w:rsidR="00980E5F" w:rsidRDefault="00980E5F">
            <w:pPr>
              <w:rPr>
                <w:rFonts w:ascii="宋体"/>
                <w:vanish/>
              </w:rPr>
            </w:pPr>
          </w:p>
        </w:tc>
        <w:tc>
          <w:tcPr>
            <w:tcW w:w="0" w:type="auto"/>
            <w:gridSpan w:val="3"/>
            <w:shd w:val="clear" w:color="auto" w:fill="auto"/>
            <w:vAlign w:val="bottom"/>
          </w:tcPr>
          <w:p w14:paraId="392BEF4E" w14:textId="77777777" w:rsidR="00980E5F" w:rsidRDefault="00980E5F">
            <w:pPr>
              <w:rPr>
                <w:rFonts w:ascii="宋体"/>
                <w:vanish/>
              </w:rPr>
            </w:pPr>
          </w:p>
        </w:tc>
        <w:tc>
          <w:tcPr>
            <w:tcW w:w="0" w:type="auto"/>
            <w:gridSpan w:val="3"/>
            <w:shd w:val="clear" w:color="auto" w:fill="auto"/>
            <w:vAlign w:val="bottom"/>
          </w:tcPr>
          <w:p w14:paraId="392BEF4F" w14:textId="77777777" w:rsidR="00980E5F" w:rsidRDefault="00980E5F">
            <w:pPr>
              <w:rPr>
                <w:rFonts w:ascii="宋体"/>
                <w:vanish/>
              </w:rPr>
            </w:pPr>
          </w:p>
        </w:tc>
        <w:tc>
          <w:tcPr>
            <w:tcW w:w="0" w:type="auto"/>
            <w:gridSpan w:val="3"/>
            <w:shd w:val="clear" w:color="auto" w:fill="auto"/>
            <w:vAlign w:val="bottom"/>
          </w:tcPr>
          <w:p w14:paraId="392BEF50" w14:textId="77777777" w:rsidR="00980E5F" w:rsidRDefault="00980E5F">
            <w:pPr>
              <w:rPr>
                <w:rFonts w:ascii="宋体"/>
                <w:vanish/>
              </w:rPr>
            </w:pPr>
          </w:p>
        </w:tc>
      </w:tr>
      <w:tr w:rsidR="00980E5F" w14:paraId="392BEF5A" w14:textId="77777777">
        <w:tc>
          <w:tcPr>
            <w:tcW w:w="0" w:type="auto"/>
            <w:gridSpan w:val="3"/>
            <w:shd w:val="clear" w:color="auto" w:fill="FFFFFF"/>
            <w:tcMar>
              <w:top w:w="40" w:type="dxa"/>
              <w:left w:w="20" w:type="dxa"/>
              <w:bottom w:w="40" w:type="dxa"/>
              <w:right w:w="20" w:type="dxa"/>
            </w:tcMar>
            <w:vAlign w:val="bottom"/>
          </w:tcPr>
          <w:p w14:paraId="392BEF52" w14:textId="77777777" w:rsidR="00980E5F" w:rsidRDefault="00483613">
            <w:pPr>
              <w:textAlignment w:val="bottom"/>
            </w:pPr>
            <w:r>
              <w:rPr>
                <w:rFonts w:ascii="Arial" w:eastAsia="宋体" w:hAnsi="Arial" w:cs="Arial"/>
                <w:b/>
                <w:bCs/>
                <w:color w:val="000000"/>
                <w:sz w:val="15"/>
                <w:szCs w:val="15"/>
              </w:rPr>
              <w:t>Total Flows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EF53"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EF54" w14:textId="77777777" w:rsidR="00980E5F" w:rsidRDefault="00483613">
            <w:pPr>
              <w:jc w:val="right"/>
              <w:textAlignment w:val="bottom"/>
            </w:pPr>
            <w:r>
              <w:rPr>
                <w:rFonts w:ascii="Arial" w:eastAsia="宋体" w:hAnsi="Arial" w:cs="Arial"/>
                <w:b/>
                <w:bCs/>
                <w:color w:val="000000"/>
                <w:sz w:val="15"/>
                <w:szCs w:val="15"/>
              </w:rPr>
              <w:t>(13.0)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EF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56"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EF57"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EF58" w14:textId="77777777" w:rsidR="00980E5F" w:rsidRDefault="00483613">
            <w:pPr>
              <w:jc w:val="right"/>
              <w:textAlignment w:val="bottom"/>
            </w:pPr>
            <w:r>
              <w:rPr>
                <w:rFonts w:ascii="Arial" w:eastAsia="宋体" w:hAnsi="Arial" w:cs="Arial"/>
                <w:color w:val="000000"/>
                <w:sz w:val="15"/>
                <w:szCs w:val="15"/>
              </w:rPr>
              <w:t>267.1 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EF59" w14:textId="77777777" w:rsidR="00980E5F" w:rsidRDefault="00980E5F">
            <w:pPr>
              <w:jc w:val="right"/>
              <w:rPr>
                <w:rFonts w:ascii="宋体"/>
              </w:rPr>
            </w:pPr>
          </w:p>
        </w:tc>
      </w:tr>
    </w:tbl>
    <w:p w14:paraId="392BEF5B"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225"/>
        <w:gridCol w:w="36"/>
        <w:gridCol w:w="36"/>
        <w:gridCol w:w="36"/>
        <w:gridCol w:w="36"/>
        <w:gridCol w:w="46"/>
        <w:gridCol w:w="5824"/>
        <w:gridCol w:w="36"/>
      </w:tblGrid>
      <w:tr w:rsidR="00980E5F" w14:paraId="392BEF65" w14:textId="77777777">
        <w:tc>
          <w:tcPr>
            <w:tcW w:w="50" w:type="pct"/>
            <w:shd w:val="clear" w:color="auto" w:fill="auto"/>
            <w:vAlign w:val="bottom"/>
          </w:tcPr>
          <w:p w14:paraId="392BEF5C" w14:textId="77777777" w:rsidR="00980E5F" w:rsidRDefault="00980E5F">
            <w:pPr>
              <w:rPr>
                <w:rFonts w:ascii="宋体"/>
              </w:rPr>
            </w:pPr>
          </w:p>
        </w:tc>
        <w:tc>
          <w:tcPr>
            <w:tcW w:w="1348" w:type="pct"/>
            <w:shd w:val="clear" w:color="auto" w:fill="auto"/>
            <w:vAlign w:val="bottom"/>
          </w:tcPr>
          <w:p w14:paraId="392BEF5D" w14:textId="77777777" w:rsidR="00980E5F" w:rsidRDefault="00980E5F">
            <w:pPr>
              <w:rPr>
                <w:rFonts w:ascii="宋体"/>
              </w:rPr>
            </w:pPr>
          </w:p>
        </w:tc>
        <w:tc>
          <w:tcPr>
            <w:tcW w:w="5" w:type="pct"/>
            <w:shd w:val="clear" w:color="auto" w:fill="auto"/>
            <w:vAlign w:val="bottom"/>
          </w:tcPr>
          <w:p w14:paraId="392BEF5E" w14:textId="77777777" w:rsidR="00980E5F" w:rsidRDefault="00980E5F">
            <w:pPr>
              <w:rPr>
                <w:rFonts w:ascii="宋体"/>
              </w:rPr>
            </w:pPr>
          </w:p>
        </w:tc>
        <w:tc>
          <w:tcPr>
            <w:tcW w:w="5" w:type="pct"/>
            <w:shd w:val="clear" w:color="auto" w:fill="auto"/>
            <w:vAlign w:val="bottom"/>
          </w:tcPr>
          <w:p w14:paraId="392BEF5F" w14:textId="77777777" w:rsidR="00980E5F" w:rsidRDefault="00980E5F">
            <w:pPr>
              <w:rPr>
                <w:rFonts w:ascii="宋体"/>
              </w:rPr>
            </w:pPr>
          </w:p>
        </w:tc>
        <w:tc>
          <w:tcPr>
            <w:tcW w:w="26" w:type="pct"/>
            <w:shd w:val="clear" w:color="auto" w:fill="auto"/>
            <w:vAlign w:val="bottom"/>
          </w:tcPr>
          <w:p w14:paraId="392BEF60" w14:textId="77777777" w:rsidR="00980E5F" w:rsidRDefault="00980E5F">
            <w:pPr>
              <w:rPr>
                <w:rFonts w:ascii="宋体"/>
              </w:rPr>
            </w:pPr>
          </w:p>
        </w:tc>
        <w:tc>
          <w:tcPr>
            <w:tcW w:w="5" w:type="pct"/>
            <w:shd w:val="clear" w:color="auto" w:fill="auto"/>
            <w:vAlign w:val="bottom"/>
          </w:tcPr>
          <w:p w14:paraId="392BEF61" w14:textId="77777777" w:rsidR="00980E5F" w:rsidRDefault="00980E5F">
            <w:pPr>
              <w:rPr>
                <w:rFonts w:ascii="宋体"/>
              </w:rPr>
            </w:pPr>
          </w:p>
        </w:tc>
        <w:tc>
          <w:tcPr>
            <w:tcW w:w="50" w:type="pct"/>
            <w:shd w:val="clear" w:color="auto" w:fill="auto"/>
            <w:vAlign w:val="bottom"/>
          </w:tcPr>
          <w:p w14:paraId="392BEF62" w14:textId="77777777" w:rsidR="00980E5F" w:rsidRDefault="00980E5F">
            <w:pPr>
              <w:rPr>
                <w:rFonts w:ascii="宋体"/>
              </w:rPr>
            </w:pPr>
          </w:p>
        </w:tc>
        <w:tc>
          <w:tcPr>
            <w:tcW w:w="3505" w:type="pct"/>
            <w:shd w:val="clear" w:color="auto" w:fill="auto"/>
            <w:vAlign w:val="bottom"/>
          </w:tcPr>
          <w:p w14:paraId="392BEF63" w14:textId="77777777" w:rsidR="00980E5F" w:rsidRDefault="00980E5F">
            <w:pPr>
              <w:rPr>
                <w:rFonts w:ascii="宋体"/>
              </w:rPr>
            </w:pPr>
          </w:p>
        </w:tc>
        <w:tc>
          <w:tcPr>
            <w:tcW w:w="5" w:type="pct"/>
            <w:shd w:val="clear" w:color="auto" w:fill="auto"/>
            <w:vAlign w:val="bottom"/>
          </w:tcPr>
          <w:p w14:paraId="392BEF64" w14:textId="77777777" w:rsidR="00980E5F" w:rsidRDefault="00980E5F">
            <w:pPr>
              <w:rPr>
                <w:rFonts w:ascii="宋体"/>
              </w:rPr>
            </w:pPr>
          </w:p>
        </w:tc>
      </w:tr>
      <w:tr w:rsidR="00980E5F" w14:paraId="392BEF6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EF6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F6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EF68" w14:textId="77777777" w:rsidR="00980E5F" w:rsidRDefault="00980E5F">
            <w:pPr>
              <w:rPr>
                <w:rFonts w:ascii="宋体"/>
              </w:rPr>
            </w:pPr>
          </w:p>
        </w:tc>
      </w:tr>
    </w:tbl>
    <w:p w14:paraId="392BEF6A" w14:textId="77777777" w:rsidR="00980E5F" w:rsidRDefault="00483613">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Industry data is provided for illustrative purposes only. It is not </w:t>
      </w:r>
      <w:r>
        <w:rPr>
          <w:rFonts w:ascii="Arial" w:eastAsia="宋体" w:hAnsi="Arial" w:cs="Arial"/>
          <w:color w:val="000000"/>
          <w:sz w:val="14"/>
          <w:szCs w:val="14"/>
        </w:rPr>
        <w:t>intended to reflect our activity or our clients' activity and is indicative of only segments of the entire industry.</w:t>
      </w:r>
    </w:p>
    <w:p w14:paraId="392BEF6B"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Source: Morningstar. The data includes long-term mutual funds, ETFs and money market funds. Mutual fund data represents estimates of ne</w:t>
      </w:r>
      <w:r>
        <w:rPr>
          <w:rFonts w:ascii="Arial" w:eastAsia="宋体" w:hAnsi="Arial" w:cs="Arial"/>
          <w:color w:val="000000"/>
          <w:sz w:val="14"/>
          <w:szCs w:val="14"/>
        </w:rPr>
        <w:t>t new cash flow, which is new sales minus redemptions combined with net exchanges, while ETF data represents net issuance, which is gross issuance less gross redemptions. Data for Fund of Funds, Feeder funds and Obsolete funds were excluded from the series</w:t>
      </w:r>
      <w:r>
        <w:rPr>
          <w:rFonts w:ascii="Arial" w:eastAsia="宋体" w:hAnsi="Arial" w:cs="Arial"/>
          <w:color w:val="000000"/>
          <w:sz w:val="14"/>
          <w:szCs w:val="14"/>
        </w:rPr>
        <w:t xml:space="preserve"> to prevent double counting. Data is from the Morningstar Direct Asset Flows database.</w:t>
      </w:r>
    </w:p>
    <w:p w14:paraId="392BEF6C" w14:textId="77777777" w:rsidR="00980E5F" w:rsidRDefault="00483613">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The second quarter of 2022 data for North America (U.S. domiciled) includes Morningstar direct actuals for April and May 2022 and Morningstar direct estimates for Ju</w:t>
      </w:r>
      <w:r>
        <w:rPr>
          <w:rFonts w:ascii="Arial" w:eastAsia="宋体" w:hAnsi="Arial" w:cs="Arial"/>
          <w:color w:val="000000"/>
          <w:sz w:val="14"/>
          <w:szCs w:val="14"/>
        </w:rPr>
        <w:t xml:space="preserve">ne 2022. </w:t>
      </w:r>
    </w:p>
    <w:p w14:paraId="392BEF6D" w14:textId="77777777" w:rsidR="00980E5F" w:rsidRDefault="00483613">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The long-term fund flows reported by Morningstar direct in North America are composed of U.S. domiciled market flows mainly in Equities, Allocation and Fixed-Income asset classes. The long-term fund flows reported by Morningstar direct in Eur</w:t>
      </w:r>
      <w:r>
        <w:rPr>
          <w:rFonts w:ascii="Arial" w:eastAsia="宋体" w:hAnsi="Arial" w:cs="Arial"/>
          <w:color w:val="000000"/>
          <w:sz w:val="14"/>
          <w:szCs w:val="14"/>
        </w:rPr>
        <w:t>ope, Middle East, and Africa are composed of the European market flows mainly in Equities, Allocation and Fixed-Income asset classes.</w:t>
      </w:r>
    </w:p>
    <w:p w14:paraId="392BEF6E" w14:textId="77777777" w:rsidR="00980E5F" w:rsidRDefault="00483613">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 xml:space="preserve">The second quarter of 2022 data for Europe is on a rolling three month basis for March 2022 through May 2022, sourced </w:t>
      </w:r>
      <w:r>
        <w:rPr>
          <w:rFonts w:ascii="Arial" w:eastAsia="宋体" w:hAnsi="Arial" w:cs="Arial"/>
          <w:color w:val="000000"/>
          <w:sz w:val="14"/>
          <w:szCs w:val="14"/>
        </w:rPr>
        <w:t>by Morningstar.</w:t>
      </w:r>
    </w:p>
    <w:p w14:paraId="392BEF6F" w14:textId="77777777" w:rsidR="00980E5F" w:rsidRDefault="00483613">
      <w:pPr>
        <w:spacing w:before="60"/>
        <w:jc w:val="both"/>
      </w:pPr>
      <w:r>
        <w:rPr>
          <w:rFonts w:ascii="Arial" w:eastAsia="宋体" w:hAnsi="Arial" w:cs="Arial"/>
          <w:i/>
          <w:iCs/>
          <w:color w:val="000000"/>
          <w:sz w:val="20"/>
          <w:szCs w:val="20"/>
        </w:rPr>
        <w:t>Net New Business</w:t>
      </w:r>
    </w:p>
    <w:p w14:paraId="392BEF70" w14:textId="77777777" w:rsidR="00980E5F" w:rsidRDefault="00483613">
      <w:pPr>
        <w:spacing w:before="60"/>
        <w:ind w:firstLine="450"/>
        <w:jc w:val="both"/>
      </w:pPr>
      <w:r>
        <w:rPr>
          <w:rFonts w:ascii="Arial" w:eastAsia="宋体" w:hAnsi="Arial" w:cs="Arial"/>
          <w:color w:val="000000"/>
          <w:sz w:val="20"/>
          <w:szCs w:val="20"/>
        </w:rPr>
        <w:t>Over the five years ended December 31, 2021, net new business, which includes business both won and lost, has affected our servicing fee revenues by approximately 1% on average with a range of 0% to 3% annually and approxim</w:t>
      </w:r>
      <w:r>
        <w:rPr>
          <w:rFonts w:ascii="Arial" w:eastAsia="宋体" w:hAnsi="Arial" w:cs="Arial"/>
          <w:color w:val="000000"/>
          <w:sz w:val="20"/>
          <w:szCs w:val="20"/>
        </w:rPr>
        <w:t>ately 1% and 0% in 2021 and 2020, respectively. Gross new investment servicing mandates were $972 billion in the second quarter of 2022 and $1.8 trillion per year on average over the past five years. Over the five years ended December 31, 2021, gross new a</w:t>
      </w:r>
      <w:r>
        <w:rPr>
          <w:rFonts w:ascii="Arial" w:eastAsia="宋体" w:hAnsi="Arial" w:cs="Arial"/>
          <w:color w:val="000000"/>
          <w:sz w:val="20"/>
          <w:szCs w:val="20"/>
        </w:rPr>
        <w:t xml:space="preserve">nnual investment servicing mandates ranged from $750 billion to $3.5 trillion. </w:t>
      </w:r>
    </w:p>
    <w:p w14:paraId="392BEF71" w14:textId="77777777" w:rsidR="00980E5F" w:rsidRDefault="00483613">
      <w:pPr>
        <w:spacing w:before="60"/>
        <w:ind w:firstLine="450"/>
        <w:jc w:val="both"/>
      </w:pPr>
      <w:r>
        <w:rPr>
          <w:rFonts w:ascii="Arial" w:eastAsia="宋体" w:hAnsi="Arial" w:cs="Arial"/>
          <w:color w:val="000000"/>
          <w:sz w:val="20"/>
          <w:szCs w:val="20"/>
        </w:rPr>
        <w:t>Servicing fee revenue associated with new servicing mandates may vary based on the breadth of services provided, the time required to install the assets, and the types of asset</w:t>
      </w:r>
      <w:r>
        <w:rPr>
          <w:rFonts w:ascii="Arial" w:eastAsia="宋体" w:hAnsi="Arial" w:cs="Arial"/>
          <w:color w:val="000000"/>
          <w:sz w:val="20"/>
          <w:szCs w:val="20"/>
        </w:rPr>
        <w:t>s installed.</w:t>
      </w:r>
    </w:p>
    <w:p w14:paraId="392BEF72" w14:textId="77777777" w:rsidR="00980E5F" w:rsidRDefault="00483613">
      <w:pPr>
        <w:spacing w:before="60"/>
        <w:ind w:firstLine="450"/>
        <w:jc w:val="both"/>
      </w:pPr>
      <w:r>
        <w:rPr>
          <w:rFonts w:ascii="Arial" w:eastAsia="宋体" w:hAnsi="Arial" w:cs="Arial"/>
          <w:color w:val="000000"/>
          <w:sz w:val="20"/>
          <w:szCs w:val="20"/>
        </w:rPr>
        <w:t>Revenues associated with new mandates are not reflected in our servicing fee revenue until the assets have been installed. Our installation timeline, in general, can range from 6 to 36 months, with the average installation timeline being appro</w:t>
      </w:r>
      <w:r>
        <w:rPr>
          <w:rFonts w:ascii="Arial" w:eastAsia="宋体" w:hAnsi="Arial" w:cs="Arial"/>
          <w:color w:val="000000"/>
          <w:sz w:val="20"/>
          <w:szCs w:val="20"/>
        </w:rPr>
        <w:t>ximately 9 to 12 months over the past 2 years. Our more complex installations, including new State Street Alpha mandates, will generally be on the longer end of that range. With respect to the current asset mandates of approximately $3.63 trillion that are</w:t>
      </w:r>
      <w:r>
        <w:rPr>
          <w:rFonts w:ascii="Arial" w:eastAsia="宋体" w:hAnsi="Arial" w:cs="Arial"/>
          <w:color w:val="000000"/>
          <w:sz w:val="20"/>
          <w:szCs w:val="20"/>
        </w:rPr>
        <w:t xml:space="preserve"> yet to be installed as of June 30, 2022, we expect the conversion will occur over the coming 36 months.</w:t>
      </w:r>
    </w:p>
    <w:p w14:paraId="392BEF73" w14:textId="77777777" w:rsidR="00980E5F" w:rsidRDefault="00483613">
      <w:pPr>
        <w:ind w:firstLine="450"/>
        <w:jc w:val="right"/>
      </w:pPr>
      <w:r>
        <w:rPr>
          <w:rFonts w:ascii="Arial" w:eastAsia="宋体" w:hAnsi="Arial" w:cs="Arial"/>
          <w:color w:val="000000"/>
          <w:sz w:val="18"/>
          <w:szCs w:val="18"/>
        </w:rPr>
        <w:t>State Street Corporation | 13</w:t>
      </w:r>
    </w:p>
    <w:p w14:paraId="392BEF74" w14:textId="77777777" w:rsidR="00980E5F" w:rsidRDefault="00980E5F">
      <w:pPr>
        <w:ind w:firstLine="450"/>
        <w:jc w:val="center"/>
      </w:pPr>
    </w:p>
    <w:p w14:paraId="392BEF75" w14:textId="77777777" w:rsidR="00980E5F" w:rsidRDefault="00483613">
      <w:r>
        <w:pict w14:anchorId="392CBADB">
          <v:rect id="_x0000_i1037" style="width:415.3pt;height:1.5pt" o:hralign="center" o:hrstd="t" o:hr="t" fillcolor="#a0a0a0" stroked="f"/>
        </w:pict>
      </w:r>
    </w:p>
    <w:p w14:paraId="392BEF76"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EF77" w14:textId="77777777" w:rsidR="00980E5F" w:rsidRDefault="00483613">
      <w:pPr>
        <w:ind w:firstLine="450"/>
        <w:jc w:val="center"/>
      </w:pPr>
      <w:r>
        <w:rPr>
          <w:rFonts w:ascii="Arial" w:eastAsia="宋体" w:hAnsi="Arial" w:cs="Arial"/>
          <w:b/>
          <w:bCs/>
          <w:color w:val="000000"/>
          <w:sz w:val="20"/>
          <w:szCs w:val="20"/>
        </w:rPr>
        <w:t>AND RESULTS OF OPERATIONS</w:t>
      </w:r>
    </w:p>
    <w:p w14:paraId="392BEF78" w14:textId="77777777" w:rsidR="00980E5F" w:rsidRDefault="00483613">
      <w:pPr>
        <w:spacing w:before="60"/>
        <w:textAlignment w:val="top"/>
      </w:pPr>
      <w:r>
        <w:rPr>
          <w:rFonts w:ascii="Arial" w:eastAsia="宋体" w:hAnsi="Arial" w:cs="Arial"/>
          <w:i/>
          <w:iCs/>
          <w:color w:val="000000"/>
          <w:sz w:val="20"/>
          <w:szCs w:val="20"/>
        </w:rPr>
        <w:t>Pricing</w:t>
      </w:r>
    </w:p>
    <w:p w14:paraId="392BEF79" w14:textId="77777777" w:rsidR="00980E5F" w:rsidRDefault="00483613">
      <w:pPr>
        <w:spacing w:before="60"/>
        <w:ind w:firstLine="450"/>
        <w:jc w:val="both"/>
        <w:textAlignment w:val="top"/>
      </w:pPr>
      <w:r>
        <w:rPr>
          <w:rFonts w:ascii="Arial" w:eastAsia="宋体" w:hAnsi="Arial" w:cs="Arial"/>
          <w:color w:val="000000"/>
          <w:sz w:val="20"/>
          <w:szCs w:val="20"/>
        </w:rPr>
        <w:t xml:space="preserve">The industry in </w:t>
      </w:r>
      <w:r>
        <w:rPr>
          <w:rFonts w:ascii="Arial" w:eastAsia="宋体" w:hAnsi="Arial" w:cs="Arial"/>
          <w:color w:val="000000"/>
          <w:sz w:val="20"/>
          <w:szCs w:val="20"/>
        </w:rPr>
        <w:t>which we operate has historically faced pricing pressure, and our servicing fee revenues are also affected by such pressures today. Consequently, no assumption should be drawn as to future revenue run rate from announced servicing wins, as the amount of re</w:t>
      </w:r>
      <w:r>
        <w:rPr>
          <w:rFonts w:ascii="Arial" w:eastAsia="宋体" w:hAnsi="Arial" w:cs="Arial"/>
          <w:color w:val="000000"/>
          <w:sz w:val="20"/>
          <w:szCs w:val="20"/>
        </w:rPr>
        <w:t>venue associated with AUC/A can vary materially. On average, over the five years ended December 31, 2021, we estimate that pricing pressure with respect to existing clients has impacted our servicing fees by approximately (2)% annually, with the impact ran</w:t>
      </w:r>
      <w:r>
        <w:rPr>
          <w:rFonts w:ascii="Arial" w:eastAsia="宋体" w:hAnsi="Arial" w:cs="Arial"/>
          <w:color w:val="000000"/>
          <w:sz w:val="20"/>
          <w:szCs w:val="20"/>
        </w:rPr>
        <w:t>ging from (1)% to (4)% in any given year, and approximately (2)% in both 2021 and 2020. Pricing concessions can be a part of a contract renegotiation with a client including terms that may benefit us, such as extending the term of our relationship with the</w:t>
      </w:r>
      <w:r>
        <w:rPr>
          <w:rFonts w:ascii="Arial" w:eastAsia="宋体" w:hAnsi="Arial" w:cs="Arial"/>
          <w:color w:val="000000"/>
          <w:sz w:val="20"/>
          <w:szCs w:val="20"/>
        </w:rPr>
        <w:t xml:space="preserve"> client, expanding the scope of services that we provide or reducing our dependency on manual processes through the standardization of the services we provide. The timing of the impact of additional revenue generated by anticipated additional services, and</w:t>
      </w:r>
      <w:r>
        <w:rPr>
          <w:rFonts w:ascii="Arial" w:eastAsia="宋体" w:hAnsi="Arial" w:cs="Arial"/>
          <w:color w:val="000000"/>
          <w:sz w:val="20"/>
          <w:szCs w:val="20"/>
        </w:rPr>
        <w:t xml:space="preserve"> the amount of revenue generated, may differ from expectations due to the impact of pricing concessions on existing services due to the necessary time required to onboard those new services, the nature of those services and client investment practices and </w:t>
      </w:r>
      <w:r>
        <w:rPr>
          <w:rFonts w:ascii="Arial" w:eastAsia="宋体" w:hAnsi="Arial" w:cs="Arial"/>
          <w:color w:val="000000"/>
          <w:sz w:val="20"/>
          <w:szCs w:val="20"/>
        </w:rPr>
        <w:t>other factors. These same market pressures also impact the fees we negotiate when we win business from new clients.</w:t>
      </w:r>
    </w:p>
    <w:p w14:paraId="392BEF7A" w14:textId="77777777" w:rsidR="00980E5F" w:rsidRDefault="00483613">
      <w:pPr>
        <w:spacing w:before="60"/>
        <w:ind w:firstLine="450"/>
        <w:jc w:val="both"/>
        <w:textAlignment w:val="top"/>
      </w:pPr>
      <w:r>
        <w:rPr>
          <w:rFonts w:ascii="Arial" w:eastAsia="宋体" w:hAnsi="Arial" w:cs="Arial"/>
          <w:color w:val="000000"/>
          <w:sz w:val="20"/>
          <w:szCs w:val="20"/>
        </w:rPr>
        <w:t>In order to offset the typical client attrition and normal pricing headwinds, we estimate that we need at least $1.5 trillion of new AUC/A p</w:t>
      </w:r>
      <w:r>
        <w:rPr>
          <w:rFonts w:ascii="Arial" w:eastAsia="宋体" w:hAnsi="Arial" w:cs="Arial"/>
          <w:color w:val="000000"/>
          <w:sz w:val="20"/>
          <w:szCs w:val="20"/>
        </w:rPr>
        <w:t>er year; although, notwithstanding increases in AUC/A, servicing fees remain subject to several factors, including changes in market valuations, client activity and asset flows, the manner in which we price our services, the nature of the assets being serv</w:t>
      </w:r>
      <w:r>
        <w:rPr>
          <w:rFonts w:ascii="Arial" w:eastAsia="宋体" w:hAnsi="Arial" w:cs="Arial"/>
          <w:color w:val="000000"/>
          <w:sz w:val="20"/>
          <w:szCs w:val="20"/>
        </w:rPr>
        <w:t>iced and the type of services and the other factors described in this Form 10-Q.</w:t>
      </w:r>
    </w:p>
    <w:p w14:paraId="392BEF7B" w14:textId="77777777" w:rsidR="00980E5F" w:rsidRDefault="00483613">
      <w:pPr>
        <w:spacing w:before="60"/>
        <w:ind w:firstLine="450"/>
        <w:jc w:val="both"/>
        <w:textAlignment w:val="top"/>
      </w:pPr>
      <w:r>
        <w:rPr>
          <w:rFonts w:ascii="Arial" w:eastAsia="宋体" w:hAnsi="Arial" w:cs="Arial"/>
          <w:color w:val="000000"/>
          <w:sz w:val="20"/>
          <w:szCs w:val="20"/>
        </w:rPr>
        <w:t xml:space="preserve">Historically, and based on an indicative sample of revenue, we estimate that approximately 55%, on average, of our servicing fee revenues have been variable due to changes in </w:t>
      </w:r>
      <w:r>
        <w:rPr>
          <w:rFonts w:ascii="Arial" w:eastAsia="宋体" w:hAnsi="Arial" w:cs="Arial"/>
          <w:color w:val="000000"/>
          <w:sz w:val="20"/>
          <w:szCs w:val="20"/>
        </w:rPr>
        <w:t>asset valuations including changes in daily average valuations of AUC/A; another 15%, on average, of our servicing fees are impacted by the volume of activity in the funds we serve; and the remaining approximately 30% of our servicing fees tend not to be v</w:t>
      </w:r>
      <w:r>
        <w:rPr>
          <w:rFonts w:ascii="Arial" w:eastAsia="宋体" w:hAnsi="Arial" w:cs="Arial"/>
          <w:color w:val="000000"/>
          <w:sz w:val="20"/>
          <w:szCs w:val="20"/>
        </w:rPr>
        <w:t xml:space="preserve">ariable in nature nor impacted by market fluctuations or values. </w:t>
      </w:r>
    </w:p>
    <w:p w14:paraId="392BEF7C" w14:textId="77777777" w:rsidR="00980E5F" w:rsidRDefault="00483613">
      <w:pPr>
        <w:spacing w:before="60"/>
        <w:ind w:firstLine="450"/>
        <w:jc w:val="both"/>
        <w:textAlignment w:val="top"/>
      </w:pPr>
      <w:r>
        <w:rPr>
          <w:rFonts w:ascii="Arial" w:eastAsia="宋体" w:hAnsi="Arial" w:cs="Arial"/>
          <w:color w:val="000000"/>
          <w:sz w:val="20"/>
          <w:szCs w:val="20"/>
        </w:rPr>
        <w:t>Based on the impact of the above, client activity and asset flows, net new business and pricing, noted drivers of our servicing fee revenue will vary depending on the mix of products and ser</w:t>
      </w:r>
      <w:r>
        <w:rPr>
          <w:rFonts w:ascii="Arial" w:eastAsia="宋体" w:hAnsi="Arial" w:cs="Arial"/>
          <w:color w:val="000000"/>
          <w:sz w:val="20"/>
          <w:szCs w:val="20"/>
        </w:rPr>
        <w:t>vices we provide to our clients. The full impact of changes in market valuations and the volume of activity in the funds may not be fully reflected in our servicing fee revenues in the periods in which the changes occur, particularly in periods of higher v</w:t>
      </w:r>
      <w:r>
        <w:rPr>
          <w:rFonts w:ascii="Arial" w:eastAsia="宋体" w:hAnsi="Arial" w:cs="Arial"/>
          <w:color w:val="000000"/>
          <w:sz w:val="20"/>
          <w:szCs w:val="20"/>
        </w:rPr>
        <w:t>olatility.</w:t>
      </w:r>
    </w:p>
    <w:p w14:paraId="392BEF7D" w14:textId="77777777" w:rsidR="00980E5F" w:rsidRDefault="00483613">
      <w:pPr>
        <w:spacing w:before="60"/>
        <w:ind w:firstLine="450"/>
        <w:jc w:val="both"/>
        <w:textAlignment w:val="top"/>
      </w:pPr>
      <w:r>
        <w:rPr>
          <w:rFonts w:ascii="Arial" w:eastAsia="宋体" w:hAnsi="Arial" w:cs="Arial"/>
          <w:color w:val="000000"/>
          <w:sz w:val="20"/>
          <w:szCs w:val="20"/>
        </w:rPr>
        <w:t>Servicing f</w:t>
      </w:r>
      <w:r>
        <w:rPr>
          <w:rFonts w:ascii="Arial" w:eastAsia="宋体" w:hAnsi="Arial" w:cs="Arial"/>
          <w:color w:val="000000"/>
          <w:sz w:val="20"/>
          <w:szCs w:val="20"/>
          <w:shd w:val="clear" w:color="auto" w:fill="FFFFFF"/>
        </w:rPr>
        <w:t>ees, as pres</w:t>
      </w:r>
      <w:r>
        <w:rPr>
          <w:rFonts w:ascii="Arial" w:eastAsia="宋体" w:hAnsi="Arial" w:cs="Arial"/>
          <w:color w:val="000000"/>
          <w:sz w:val="20"/>
          <w:szCs w:val="20"/>
        </w:rPr>
        <w:t>ented in Table 2: Total Revenue, decreased 7% in the three months ended June 30, 2022 compared to the same period in 2021, primarily due to lower average equity and fixed income market levels, normal pricing headwinds, low</w:t>
      </w:r>
      <w:r>
        <w:rPr>
          <w:rFonts w:ascii="Arial" w:eastAsia="宋体" w:hAnsi="Arial" w:cs="Arial"/>
          <w:color w:val="000000"/>
          <w:sz w:val="20"/>
          <w:szCs w:val="20"/>
        </w:rPr>
        <w:t>er client activity and adjustments and the impact of currency translation, partially offset by net new business. Currency translation decreased servicing fee revenue by 3% in the second quarter of 2022, relative to the same period in 2021. Servicing fees d</w:t>
      </w:r>
      <w:r>
        <w:rPr>
          <w:rFonts w:ascii="Arial" w:eastAsia="宋体" w:hAnsi="Arial" w:cs="Arial"/>
          <w:color w:val="000000"/>
          <w:sz w:val="20"/>
          <w:szCs w:val="20"/>
        </w:rPr>
        <w:t xml:space="preserve">ecreased 4% in the six months ended June 30, 2022, compared to the same period in 2021, primarily due to normal pricing headwinds, lower client activity and adjustments and the impact of currency translation, partially offset by net new business. Currency </w:t>
      </w:r>
      <w:r>
        <w:rPr>
          <w:rFonts w:ascii="Arial" w:eastAsia="宋体" w:hAnsi="Arial" w:cs="Arial"/>
          <w:color w:val="000000"/>
          <w:sz w:val="20"/>
          <w:szCs w:val="20"/>
        </w:rPr>
        <w:t xml:space="preserve">translation decreased servicing fee revenue by 2% in the six months ended June 30, 2022, relative to the same period in 2021. </w:t>
      </w:r>
    </w:p>
    <w:p w14:paraId="392BEF7E" w14:textId="77777777" w:rsidR="00980E5F" w:rsidRDefault="00483613">
      <w:pPr>
        <w:spacing w:before="60"/>
        <w:ind w:firstLine="450"/>
        <w:jc w:val="both"/>
        <w:textAlignment w:val="top"/>
      </w:pPr>
      <w:r>
        <w:rPr>
          <w:rFonts w:ascii="Arial" w:eastAsia="宋体" w:hAnsi="Arial" w:cs="Arial"/>
          <w:color w:val="000000"/>
          <w:sz w:val="20"/>
          <w:szCs w:val="20"/>
        </w:rPr>
        <w:t>Servicing fees generated outside the U.S. were approximately 47% of total servicing fees in both the three and six months ended J</w:t>
      </w:r>
      <w:r>
        <w:rPr>
          <w:rFonts w:ascii="Arial" w:eastAsia="宋体" w:hAnsi="Arial" w:cs="Arial"/>
          <w:color w:val="000000"/>
          <w:sz w:val="20"/>
          <w:szCs w:val="20"/>
        </w:rPr>
        <w:t>une 30, 2022, compared to approximately 49% and 48% in the same periods in 2021, respectively.</w:t>
      </w:r>
    </w:p>
    <w:tbl>
      <w:tblPr>
        <w:tblW w:w="4921" w:type="pct"/>
        <w:tblCellMar>
          <w:top w:w="15" w:type="dxa"/>
          <w:left w:w="15" w:type="dxa"/>
          <w:bottom w:w="15" w:type="dxa"/>
          <w:right w:w="15" w:type="dxa"/>
        </w:tblCellMar>
        <w:tblLook w:val="04A0" w:firstRow="1" w:lastRow="0" w:firstColumn="1" w:lastColumn="0" w:noHBand="0" w:noVBand="1"/>
      </w:tblPr>
      <w:tblGrid>
        <w:gridCol w:w="38"/>
        <w:gridCol w:w="2164"/>
        <w:gridCol w:w="37"/>
        <w:gridCol w:w="98"/>
        <w:gridCol w:w="1433"/>
        <w:gridCol w:w="36"/>
        <w:gridCol w:w="36"/>
        <w:gridCol w:w="36"/>
        <w:gridCol w:w="36"/>
        <w:gridCol w:w="99"/>
        <w:gridCol w:w="1546"/>
        <w:gridCol w:w="37"/>
        <w:gridCol w:w="36"/>
        <w:gridCol w:w="36"/>
        <w:gridCol w:w="36"/>
        <w:gridCol w:w="98"/>
        <w:gridCol w:w="143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EF9B" w14:textId="77777777">
        <w:tc>
          <w:tcPr>
            <w:tcW w:w="50" w:type="pct"/>
            <w:shd w:val="clear" w:color="auto" w:fill="auto"/>
            <w:vAlign w:val="bottom"/>
          </w:tcPr>
          <w:p w14:paraId="392BEF7F" w14:textId="77777777" w:rsidR="00980E5F" w:rsidRDefault="00980E5F">
            <w:pPr>
              <w:rPr>
                <w:rFonts w:ascii="宋体"/>
              </w:rPr>
            </w:pPr>
          </w:p>
        </w:tc>
        <w:tc>
          <w:tcPr>
            <w:tcW w:w="1526" w:type="pct"/>
            <w:shd w:val="clear" w:color="auto" w:fill="auto"/>
            <w:vAlign w:val="bottom"/>
          </w:tcPr>
          <w:p w14:paraId="392BEF80" w14:textId="77777777" w:rsidR="00980E5F" w:rsidRDefault="00980E5F">
            <w:pPr>
              <w:rPr>
                <w:rFonts w:ascii="宋体"/>
              </w:rPr>
            </w:pPr>
          </w:p>
        </w:tc>
        <w:tc>
          <w:tcPr>
            <w:tcW w:w="5" w:type="pct"/>
            <w:shd w:val="clear" w:color="auto" w:fill="auto"/>
            <w:vAlign w:val="bottom"/>
          </w:tcPr>
          <w:p w14:paraId="392BEF81" w14:textId="77777777" w:rsidR="00980E5F" w:rsidRDefault="00980E5F">
            <w:pPr>
              <w:rPr>
                <w:rFonts w:ascii="宋体"/>
              </w:rPr>
            </w:pPr>
          </w:p>
        </w:tc>
        <w:tc>
          <w:tcPr>
            <w:tcW w:w="50" w:type="pct"/>
            <w:shd w:val="clear" w:color="auto" w:fill="auto"/>
            <w:vAlign w:val="bottom"/>
          </w:tcPr>
          <w:p w14:paraId="392BEF82" w14:textId="77777777" w:rsidR="00980E5F" w:rsidRDefault="00980E5F">
            <w:pPr>
              <w:rPr>
                <w:rFonts w:ascii="宋体"/>
              </w:rPr>
            </w:pPr>
          </w:p>
        </w:tc>
        <w:tc>
          <w:tcPr>
            <w:tcW w:w="1015" w:type="pct"/>
            <w:shd w:val="clear" w:color="auto" w:fill="auto"/>
            <w:vAlign w:val="bottom"/>
          </w:tcPr>
          <w:p w14:paraId="392BEF83" w14:textId="77777777" w:rsidR="00980E5F" w:rsidRDefault="00980E5F">
            <w:pPr>
              <w:rPr>
                <w:rFonts w:ascii="宋体"/>
              </w:rPr>
            </w:pPr>
          </w:p>
        </w:tc>
        <w:tc>
          <w:tcPr>
            <w:tcW w:w="5" w:type="pct"/>
            <w:shd w:val="clear" w:color="auto" w:fill="auto"/>
            <w:vAlign w:val="bottom"/>
          </w:tcPr>
          <w:p w14:paraId="392BEF84" w14:textId="77777777" w:rsidR="00980E5F" w:rsidRDefault="00980E5F">
            <w:pPr>
              <w:rPr>
                <w:rFonts w:ascii="宋体"/>
              </w:rPr>
            </w:pPr>
          </w:p>
        </w:tc>
        <w:tc>
          <w:tcPr>
            <w:tcW w:w="5" w:type="pct"/>
            <w:shd w:val="clear" w:color="auto" w:fill="auto"/>
            <w:vAlign w:val="bottom"/>
          </w:tcPr>
          <w:p w14:paraId="392BEF85" w14:textId="77777777" w:rsidR="00980E5F" w:rsidRDefault="00980E5F">
            <w:pPr>
              <w:rPr>
                <w:rFonts w:ascii="宋体"/>
              </w:rPr>
            </w:pPr>
          </w:p>
        </w:tc>
        <w:tc>
          <w:tcPr>
            <w:tcW w:w="53" w:type="pct"/>
            <w:shd w:val="clear" w:color="auto" w:fill="auto"/>
            <w:vAlign w:val="bottom"/>
          </w:tcPr>
          <w:p w14:paraId="392BEF86" w14:textId="77777777" w:rsidR="00980E5F" w:rsidRDefault="00980E5F">
            <w:pPr>
              <w:rPr>
                <w:rFonts w:ascii="宋体"/>
              </w:rPr>
            </w:pPr>
          </w:p>
        </w:tc>
        <w:tc>
          <w:tcPr>
            <w:tcW w:w="5" w:type="pct"/>
            <w:shd w:val="clear" w:color="auto" w:fill="auto"/>
            <w:vAlign w:val="bottom"/>
          </w:tcPr>
          <w:p w14:paraId="392BEF87" w14:textId="77777777" w:rsidR="00980E5F" w:rsidRDefault="00980E5F">
            <w:pPr>
              <w:rPr>
                <w:rFonts w:ascii="宋体"/>
              </w:rPr>
            </w:pPr>
          </w:p>
        </w:tc>
        <w:tc>
          <w:tcPr>
            <w:tcW w:w="50" w:type="pct"/>
            <w:shd w:val="clear" w:color="auto" w:fill="auto"/>
            <w:vAlign w:val="bottom"/>
          </w:tcPr>
          <w:p w14:paraId="392BEF88" w14:textId="77777777" w:rsidR="00980E5F" w:rsidRDefault="00980E5F">
            <w:pPr>
              <w:rPr>
                <w:rFonts w:ascii="宋体"/>
              </w:rPr>
            </w:pPr>
          </w:p>
        </w:tc>
        <w:tc>
          <w:tcPr>
            <w:tcW w:w="1095" w:type="pct"/>
            <w:shd w:val="clear" w:color="auto" w:fill="auto"/>
            <w:vAlign w:val="bottom"/>
          </w:tcPr>
          <w:p w14:paraId="392BEF89" w14:textId="77777777" w:rsidR="00980E5F" w:rsidRDefault="00980E5F">
            <w:pPr>
              <w:rPr>
                <w:rFonts w:ascii="宋体"/>
              </w:rPr>
            </w:pPr>
          </w:p>
        </w:tc>
        <w:tc>
          <w:tcPr>
            <w:tcW w:w="5" w:type="pct"/>
            <w:shd w:val="clear" w:color="auto" w:fill="auto"/>
            <w:vAlign w:val="bottom"/>
          </w:tcPr>
          <w:p w14:paraId="392BEF8A" w14:textId="77777777" w:rsidR="00980E5F" w:rsidRDefault="00980E5F">
            <w:pPr>
              <w:rPr>
                <w:rFonts w:ascii="宋体"/>
              </w:rPr>
            </w:pPr>
          </w:p>
        </w:tc>
        <w:tc>
          <w:tcPr>
            <w:tcW w:w="5" w:type="pct"/>
            <w:shd w:val="clear" w:color="auto" w:fill="auto"/>
            <w:vAlign w:val="bottom"/>
          </w:tcPr>
          <w:p w14:paraId="392BEF8B" w14:textId="77777777" w:rsidR="00980E5F" w:rsidRDefault="00980E5F">
            <w:pPr>
              <w:rPr>
                <w:rFonts w:ascii="宋体"/>
              </w:rPr>
            </w:pPr>
          </w:p>
        </w:tc>
        <w:tc>
          <w:tcPr>
            <w:tcW w:w="53" w:type="pct"/>
            <w:shd w:val="clear" w:color="auto" w:fill="auto"/>
            <w:vAlign w:val="bottom"/>
          </w:tcPr>
          <w:p w14:paraId="392BEF8C" w14:textId="77777777" w:rsidR="00980E5F" w:rsidRDefault="00980E5F">
            <w:pPr>
              <w:rPr>
                <w:rFonts w:ascii="宋体"/>
              </w:rPr>
            </w:pPr>
          </w:p>
        </w:tc>
        <w:tc>
          <w:tcPr>
            <w:tcW w:w="5" w:type="pct"/>
            <w:shd w:val="clear" w:color="auto" w:fill="auto"/>
            <w:vAlign w:val="bottom"/>
          </w:tcPr>
          <w:p w14:paraId="392BEF8D" w14:textId="77777777" w:rsidR="00980E5F" w:rsidRDefault="00980E5F">
            <w:pPr>
              <w:rPr>
                <w:rFonts w:ascii="宋体"/>
              </w:rPr>
            </w:pPr>
          </w:p>
        </w:tc>
        <w:tc>
          <w:tcPr>
            <w:tcW w:w="50" w:type="pct"/>
            <w:shd w:val="clear" w:color="auto" w:fill="auto"/>
            <w:vAlign w:val="bottom"/>
          </w:tcPr>
          <w:p w14:paraId="392BEF8E" w14:textId="77777777" w:rsidR="00980E5F" w:rsidRDefault="00980E5F">
            <w:pPr>
              <w:rPr>
                <w:rFonts w:ascii="宋体"/>
              </w:rPr>
            </w:pPr>
          </w:p>
        </w:tc>
        <w:tc>
          <w:tcPr>
            <w:tcW w:w="1015" w:type="pct"/>
            <w:shd w:val="clear" w:color="auto" w:fill="auto"/>
            <w:vAlign w:val="bottom"/>
          </w:tcPr>
          <w:p w14:paraId="392BEF8F" w14:textId="77777777" w:rsidR="00980E5F" w:rsidRDefault="00980E5F">
            <w:pPr>
              <w:rPr>
                <w:rFonts w:ascii="宋体"/>
              </w:rPr>
            </w:pPr>
          </w:p>
        </w:tc>
        <w:tc>
          <w:tcPr>
            <w:tcW w:w="5" w:type="pct"/>
            <w:shd w:val="clear" w:color="auto" w:fill="auto"/>
            <w:vAlign w:val="bottom"/>
          </w:tcPr>
          <w:p w14:paraId="392BEF90" w14:textId="77777777" w:rsidR="00980E5F" w:rsidRDefault="00980E5F">
            <w:pPr>
              <w:rPr>
                <w:rFonts w:ascii="宋体"/>
              </w:rPr>
            </w:pPr>
          </w:p>
        </w:tc>
        <w:tc>
          <w:tcPr>
            <w:tcW w:w="0" w:type="auto"/>
            <w:shd w:val="clear" w:color="auto" w:fill="auto"/>
            <w:vAlign w:val="bottom"/>
          </w:tcPr>
          <w:p w14:paraId="392BEF91" w14:textId="77777777" w:rsidR="00980E5F" w:rsidRDefault="00980E5F">
            <w:pPr>
              <w:rPr>
                <w:rFonts w:ascii="宋体"/>
                <w:vanish/>
              </w:rPr>
            </w:pPr>
          </w:p>
        </w:tc>
        <w:tc>
          <w:tcPr>
            <w:tcW w:w="0" w:type="auto"/>
            <w:shd w:val="clear" w:color="auto" w:fill="auto"/>
            <w:vAlign w:val="bottom"/>
          </w:tcPr>
          <w:p w14:paraId="392BEF92" w14:textId="77777777" w:rsidR="00980E5F" w:rsidRDefault="00980E5F">
            <w:pPr>
              <w:rPr>
                <w:rFonts w:ascii="宋体"/>
                <w:vanish/>
              </w:rPr>
            </w:pPr>
          </w:p>
        </w:tc>
        <w:tc>
          <w:tcPr>
            <w:tcW w:w="0" w:type="auto"/>
            <w:gridSpan w:val="3"/>
            <w:shd w:val="clear" w:color="auto" w:fill="auto"/>
            <w:vAlign w:val="bottom"/>
          </w:tcPr>
          <w:p w14:paraId="392BEF93" w14:textId="77777777" w:rsidR="00980E5F" w:rsidRDefault="00980E5F">
            <w:pPr>
              <w:rPr>
                <w:rFonts w:ascii="宋体"/>
                <w:vanish/>
              </w:rPr>
            </w:pPr>
          </w:p>
        </w:tc>
        <w:tc>
          <w:tcPr>
            <w:tcW w:w="0" w:type="auto"/>
            <w:gridSpan w:val="3"/>
            <w:shd w:val="clear" w:color="auto" w:fill="auto"/>
            <w:vAlign w:val="bottom"/>
          </w:tcPr>
          <w:p w14:paraId="392BEF94" w14:textId="77777777" w:rsidR="00980E5F" w:rsidRDefault="00980E5F">
            <w:pPr>
              <w:rPr>
                <w:rFonts w:ascii="宋体"/>
                <w:vanish/>
              </w:rPr>
            </w:pPr>
          </w:p>
        </w:tc>
        <w:tc>
          <w:tcPr>
            <w:tcW w:w="0" w:type="auto"/>
            <w:gridSpan w:val="3"/>
            <w:shd w:val="clear" w:color="auto" w:fill="auto"/>
            <w:vAlign w:val="bottom"/>
          </w:tcPr>
          <w:p w14:paraId="392BEF95" w14:textId="77777777" w:rsidR="00980E5F" w:rsidRDefault="00980E5F">
            <w:pPr>
              <w:rPr>
                <w:rFonts w:ascii="宋体"/>
                <w:vanish/>
              </w:rPr>
            </w:pPr>
          </w:p>
        </w:tc>
        <w:tc>
          <w:tcPr>
            <w:tcW w:w="0" w:type="auto"/>
            <w:gridSpan w:val="3"/>
            <w:shd w:val="clear" w:color="auto" w:fill="auto"/>
            <w:vAlign w:val="bottom"/>
          </w:tcPr>
          <w:p w14:paraId="392BEF96" w14:textId="77777777" w:rsidR="00980E5F" w:rsidRDefault="00980E5F">
            <w:pPr>
              <w:rPr>
                <w:rFonts w:ascii="宋体"/>
                <w:vanish/>
              </w:rPr>
            </w:pPr>
          </w:p>
        </w:tc>
        <w:tc>
          <w:tcPr>
            <w:tcW w:w="0" w:type="auto"/>
            <w:gridSpan w:val="3"/>
            <w:shd w:val="clear" w:color="auto" w:fill="auto"/>
            <w:vAlign w:val="bottom"/>
          </w:tcPr>
          <w:p w14:paraId="392BEF97" w14:textId="77777777" w:rsidR="00980E5F" w:rsidRDefault="00980E5F">
            <w:pPr>
              <w:rPr>
                <w:rFonts w:ascii="宋体"/>
                <w:vanish/>
              </w:rPr>
            </w:pPr>
          </w:p>
        </w:tc>
        <w:tc>
          <w:tcPr>
            <w:tcW w:w="0" w:type="auto"/>
            <w:gridSpan w:val="3"/>
            <w:shd w:val="clear" w:color="auto" w:fill="auto"/>
            <w:vAlign w:val="bottom"/>
          </w:tcPr>
          <w:p w14:paraId="392BEF98" w14:textId="77777777" w:rsidR="00980E5F" w:rsidRDefault="00980E5F">
            <w:pPr>
              <w:rPr>
                <w:rFonts w:ascii="宋体"/>
                <w:vanish/>
              </w:rPr>
            </w:pPr>
          </w:p>
        </w:tc>
        <w:tc>
          <w:tcPr>
            <w:tcW w:w="0" w:type="auto"/>
            <w:gridSpan w:val="3"/>
            <w:shd w:val="clear" w:color="auto" w:fill="auto"/>
            <w:vAlign w:val="bottom"/>
          </w:tcPr>
          <w:p w14:paraId="392BEF99" w14:textId="77777777" w:rsidR="00980E5F" w:rsidRDefault="00980E5F">
            <w:pPr>
              <w:rPr>
                <w:rFonts w:ascii="宋体"/>
                <w:vanish/>
              </w:rPr>
            </w:pPr>
          </w:p>
        </w:tc>
        <w:tc>
          <w:tcPr>
            <w:tcW w:w="0" w:type="auto"/>
            <w:gridSpan w:val="3"/>
            <w:shd w:val="clear" w:color="auto" w:fill="auto"/>
            <w:vAlign w:val="bottom"/>
          </w:tcPr>
          <w:p w14:paraId="392BEF9A" w14:textId="77777777" w:rsidR="00980E5F" w:rsidRDefault="00980E5F">
            <w:pPr>
              <w:rPr>
                <w:rFonts w:ascii="宋体"/>
                <w:vanish/>
              </w:rPr>
            </w:pPr>
          </w:p>
        </w:tc>
      </w:tr>
      <w:tr w:rsidR="00980E5F" w14:paraId="392BEFB7" w14:textId="77777777">
        <w:tc>
          <w:tcPr>
            <w:tcW w:w="0" w:type="auto"/>
            <w:gridSpan w:val="18"/>
            <w:shd w:val="clear" w:color="auto" w:fill="auto"/>
            <w:tcMar>
              <w:top w:w="40" w:type="dxa"/>
              <w:left w:w="20" w:type="dxa"/>
              <w:bottom w:w="40" w:type="dxa"/>
              <w:right w:w="20" w:type="dxa"/>
            </w:tcMar>
            <w:vAlign w:val="bottom"/>
          </w:tcPr>
          <w:p w14:paraId="392BEF9C" w14:textId="77777777" w:rsidR="00980E5F" w:rsidRDefault="00483613">
            <w:pPr>
              <w:textAlignment w:val="bottom"/>
            </w:pPr>
            <w:r>
              <w:rPr>
                <w:rFonts w:ascii="Arial" w:eastAsia="宋体" w:hAnsi="Arial" w:cs="Arial"/>
                <w:b/>
                <w:bCs/>
                <w:color w:val="000000"/>
                <w:sz w:val="16"/>
                <w:szCs w:val="16"/>
              </w:rPr>
              <w:t>TABLE 6: ASSETS UNDER CUSTODY AND/OR ADMINISTRATION BY PRODUCT</w:t>
            </w:r>
            <w:r>
              <w:rPr>
                <w:rFonts w:ascii="Arial" w:eastAsia="宋体" w:hAnsi="Arial" w:cs="Arial"/>
                <w:b/>
                <w:bCs/>
                <w:color w:val="000000"/>
                <w:sz w:val="10"/>
                <w:szCs w:val="10"/>
              </w:rPr>
              <w:t>(1)</w:t>
            </w:r>
          </w:p>
        </w:tc>
        <w:tc>
          <w:tcPr>
            <w:tcW w:w="0" w:type="auto"/>
            <w:shd w:val="clear" w:color="auto" w:fill="auto"/>
            <w:vAlign w:val="bottom"/>
          </w:tcPr>
          <w:p w14:paraId="392BEF9D" w14:textId="77777777" w:rsidR="00980E5F" w:rsidRDefault="00980E5F">
            <w:pPr>
              <w:rPr>
                <w:rFonts w:ascii="宋体"/>
                <w:vanish/>
              </w:rPr>
            </w:pPr>
          </w:p>
        </w:tc>
        <w:tc>
          <w:tcPr>
            <w:tcW w:w="0" w:type="auto"/>
            <w:shd w:val="clear" w:color="auto" w:fill="auto"/>
            <w:vAlign w:val="bottom"/>
          </w:tcPr>
          <w:p w14:paraId="392BEF9E" w14:textId="77777777" w:rsidR="00980E5F" w:rsidRDefault="00980E5F">
            <w:pPr>
              <w:rPr>
                <w:rFonts w:ascii="宋体"/>
                <w:vanish/>
              </w:rPr>
            </w:pPr>
          </w:p>
        </w:tc>
        <w:tc>
          <w:tcPr>
            <w:tcW w:w="0" w:type="auto"/>
            <w:shd w:val="clear" w:color="auto" w:fill="auto"/>
            <w:vAlign w:val="bottom"/>
          </w:tcPr>
          <w:p w14:paraId="392BEF9F" w14:textId="77777777" w:rsidR="00980E5F" w:rsidRDefault="00980E5F">
            <w:pPr>
              <w:rPr>
                <w:rFonts w:ascii="宋体"/>
              </w:rPr>
            </w:pPr>
          </w:p>
        </w:tc>
        <w:tc>
          <w:tcPr>
            <w:tcW w:w="0" w:type="auto"/>
            <w:shd w:val="clear" w:color="auto" w:fill="auto"/>
            <w:vAlign w:val="bottom"/>
          </w:tcPr>
          <w:p w14:paraId="392BEFA0" w14:textId="77777777" w:rsidR="00980E5F" w:rsidRDefault="00980E5F">
            <w:pPr>
              <w:rPr>
                <w:rFonts w:ascii="宋体"/>
              </w:rPr>
            </w:pPr>
          </w:p>
        </w:tc>
        <w:tc>
          <w:tcPr>
            <w:tcW w:w="0" w:type="auto"/>
            <w:shd w:val="clear" w:color="auto" w:fill="auto"/>
            <w:vAlign w:val="bottom"/>
          </w:tcPr>
          <w:p w14:paraId="392BEFA1" w14:textId="77777777" w:rsidR="00980E5F" w:rsidRDefault="00980E5F">
            <w:pPr>
              <w:rPr>
                <w:rFonts w:ascii="宋体"/>
              </w:rPr>
            </w:pPr>
          </w:p>
        </w:tc>
        <w:tc>
          <w:tcPr>
            <w:tcW w:w="0" w:type="auto"/>
            <w:shd w:val="clear" w:color="auto" w:fill="auto"/>
            <w:vAlign w:val="bottom"/>
          </w:tcPr>
          <w:p w14:paraId="392BEFA2" w14:textId="77777777" w:rsidR="00980E5F" w:rsidRDefault="00980E5F">
            <w:pPr>
              <w:rPr>
                <w:rFonts w:ascii="宋体"/>
              </w:rPr>
            </w:pPr>
          </w:p>
        </w:tc>
        <w:tc>
          <w:tcPr>
            <w:tcW w:w="0" w:type="auto"/>
            <w:shd w:val="clear" w:color="auto" w:fill="auto"/>
            <w:vAlign w:val="bottom"/>
          </w:tcPr>
          <w:p w14:paraId="392BEFA3" w14:textId="77777777" w:rsidR="00980E5F" w:rsidRDefault="00980E5F">
            <w:pPr>
              <w:rPr>
                <w:rFonts w:ascii="宋体"/>
              </w:rPr>
            </w:pPr>
          </w:p>
        </w:tc>
        <w:tc>
          <w:tcPr>
            <w:tcW w:w="0" w:type="auto"/>
            <w:shd w:val="clear" w:color="auto" w:fill="auto"/>
            <w:vAlign w:val="bottom"/>
          </w:tcPr>
          <w:p w14:paraId="392BEFA4" w14:textId="77777777" w:rsidR="00980E5F" w:rsidRDefault="00980E5F">
            <w:pPr>
              <w:rPr>
                <w:rFonts w:ascii="宋体"/>
              </w:rPr>
            </w:pPr>
          </w:p>
        </w:tc>
        <w:tc>
          <w:tcPr>
            <w:tcW w:w="0" w:type="auto"/>
            <w:shd w:val="clear" w:color="auto" w:fill="auto"/>
            <w:vAlign w:val="bottom"/>
          </w:tcPr>
          <w:p w14:paraId="392BEFA5" w14:textId="77777777" w:rsidR="00980E5F" w:rsidRDefault="00980E5F">
            <w:pPr>
              <w:rPr>
                <w:rFonts w:ascii="宋体"/>
              </w:rPr>
            </w:pPr>
          </w:p>
        </w:tc>
        <w:tc>
          <w:tcPr>
            <w:tcW w:w="0" w:type="auto"/>
            <w:shd w:val="clear" w:color="auto" w:fill="auto"/>
            <w:vAlign w:val="bottom"/>
          </w:tcPr>
          <w:p w14:paraId="392BEFA6" w14:textId="77777777" w:rsidR="00980E5F" w:rsidRDefault="00980E5F">
            <w:pPr>
              <w:rPr>
                <w:rFonts w:ascii="宋体"/>
              </w:rPr>
            </w:pPr>
          </w:p>
        </w:tc>
        <w:tc>
          <w:tcPr>
            <w:tcW w:w="0" w:type="auto"/>
            <w:shd w:val="clear" w:color="auto" w:fill="auto"/>
            <w:vAlign w:val="bottom"/>
          </w:tcPr>
          <w:p w14:paraId="392BEFA7" w14:textId="77777777" w:rsidR="00980E5F" w:rsidRDefault="00980E5F">
            <w:pPr>
              <w:rPr>
                <w:rFonts w:ascii="宋体"/>
              </w:rPr>
            </w:pPr>
          </w:p>
        </w:tc>
        <w:tc>
          <w:tcPr>
            <w:tcW w:w="0" w:type="auto"/>
            <w:shd w:val="clear" w:color="auto" w:fill="auto"/>
            <w:vAlign w:val="bottom"/>
          </w:tcPr>
          <w:p w14:paraId="392BEFA8" w14:textId="77777777" w:rsidR="00980E5F" w:rsidRDefault="00980E5F">
            <w:pPr>
              <w:rPr>
                <w:rFonts w:ascii="宋体"/>
              </w:rPr>
            </w:pPr>
          </w:p>
        </w:tc>
        <w:tc>
          <w:tcPr>
            <w:tcW w:w="0" w:type="auto"/>
            <w:shd w:val="clear" w:color="auto" w:fill="auto"/>
            <w:vAlign w:val="bottom"/>
          </w:tcPr>
          <w:p w14:paraId="392BEFA9" w14:textId="77777777" w:rsidR="00980E5F" w:rsidRDefault="00980E5F">
            <w:pPr>
              <w:rPr>
                <w:rFonts w:ascii="宋体"/>
              </w:rPr>
            </w:pPr>
          </w:p>
        </w:tc>
        <w:tc>
          <w:tcPr>
            <w:tcW w:w="0" w:type="auto"/>
            <w:shd w:val="clear" w:color="auto" w:fill="auto"/>
            <w:vAlign w:val="bottom"/>
          </w:tcPr>
          <w:p w14:paraId="392BEFAA" w14:textId="77777777" w:rsidR="00980E5F" w:rsidRDefault="00980E5F">
            <w:pPr>
              <w:rPr>
                <w:rFonts w:ascii="宋体"/>
              </w:rPr>
            </w:pPr>
          </w:p>
        </w:tc>
        <w:tc>
          <w:tcPr>
            <w:tcW w:w="0" w:type="auto"/>
            <w:shd w:val="clear" w:color="auto" w:fill="auto"/>
            <w:vAlign w:val="bottom"/>
          </w:tcPr>
          <w:p w14:paraId="392BEFAB" w14:textId="77777777" w:rsidR="00980E5F" w:rsidRDefault="00980E5F">
            <w:pPr>
              <w:rPr>
                <w:rFonts w:ascii="宋体"/>
              </w:rPr>
            </w:pPr>
          </w:p>
        </w:tc>
        <w:tc>
          <w:tcPr>
            <w:tcW w:w="0" w:type="auto"/>
            <w:shd w:val="clear" w:color="auto" w:fill="auto"/>
            <w:vAlign w:val="bottom"/>
          </w:tcPr>
          <w:p w14:paraId="392BEFAC" w14:textId="77777777" w:rsidR="00980E5F" w:rsidRDefault="00980E5F">
            <w:pPr>
              <w:rPr>
                <w:rFonts w:ascii="宋体"/>
              </w:rPr>
            </w:pPr>
          </w:p>
        </w:tc>
        <w:tc>
          <w:tcPr>
            <w:tcW w:w="0" w:type="auto"/>
            <w:shd w:val="clear" w:color="auto" w:fill="auto"/>
            <w:vAlign w:val="bottom"/>
          </w:tcPr>
          <w:p w14:paraId="392BEFAD" w14:textId="77777777" w:rsidR="00980E5F" w:rsidRDefault="00980E5F">
            <w:pPr>
              <w:rPr>
                <w:rFonts w:ascii="宋体"/>
              </w:rPr>
            </w:pPr>
          </w:p>
        </w:tc>
        <w:tc>
          <w:tcPr>
            <w:tcW w:w="0" w:type="auto"/>
            <w:shd w:val="clear" w:color="auto" w:fill="auto"/>
            <w:vAlign w:val="bottom"/>
          </w:tcPr>
          <w:p w14:paraId="392BEFAE" w14:textId="77777777" w:rsidR="00980E5F" w:rsidRDefault="00980E5F">
            <w:pPr>
              <w:rPr>
                <w:rFonts w:ascii="宋体"/>
              </w:rPr>
            </w:pPr>
          </w:p>
        </w:tc>
        <w:tc>
          <w:tcPr>
            <w:tcW w:w="0" w:type="auto"/>
            <w:shd w:val="clear" w:color="auto" w:fill="auto"/>
            <w:vAlign w:val="bottom"/>
          </w:tcPr>
          <w:p w14:paraId="392BEFAF" w14:textId="77777777" w:rsidR="00980E5F" w:rsidRDefault="00980E5F">
            <w:pPr>
              <w:rPr>
                <w:rFonts w:ascii="宋体"/>
              </w:rPr>
            </w:pPr>
          </w:p>
        </w:tc>
        <w:tc>
          <w:tcPr>
            <w:tcW w:w="0" w:type="auto"/>
            <w:shd w:val="clear" w:color="auto" w:fill="auto"/>
            <w:vAlign w:val="bottom"/>
          </w:tcPr>
          <w:p w14:paraId="392BEFB0" w14:textId="77777777" w:rsidR="00980E5F" w:rsidRDefault="00980E5F">
            <w:pPr>
              <w:rPr>
                <w:rFonts w:ascii="宋体"/>
              </w:rPr>
            </w:pPr>
          </w:p>
        </w:tc>
        <w:tc>
          <w:tcPr>
            <w:tcW w:w="0" w:type="auto"/>
            <w:shd w:val="clear" w:color="auto" w:fill="auto"/>
            <w:vAlign w:val="bottom"/>
          </w:tcPr>
          <w:p w14:paraId="392BEFB1" w14:textId="77777777" w:rsidR="00980E5F" w:rsidRDefault="00980E5F">
            <w:pPr>
              <w:rPr>
                <w:rFonts w:ascii="宋体"/>
              </w:rPr>
            </w:pPr>
          </w:p>
        </w:tc>
        <w:tc>
          <w:tcPr>
            <w:tcW w:w="0" w:type="auto"/>
            <w:shd w:val="clear" w:color="auto" w:fill="auto"/>
            <w:vAlign w:val="bottom"/>
          </w:tcPr>
          <w:p w14:paraId="392BEFB2" w14:textId="77777777" w:rsidR="00980E5F" w:rsidRDefault="00980E5F">
            <w:pPr>
              <w:rPr>
                <w:rFonts w:ascii="宋体"/>
              </w:rPr>
            </w:pPr>
          </w:p>
        </w:tc>
        <w:tc>
          <w:tcPr>
            <w:tcW w:w="0" w:type="auto"/>
            <w:shd w:val="clear" w:color="auto" w:fill="auto"/>
            <w:vAlign w:val="bottom"/>
          </w:tcPr>
          <w:p w14:paraId="392BEFB3" w14:textId="77777777" w:rsidR="00980E5F" w:rsidRDefault="00980E5F">
            <w:pPr>
              <w:rPr>
                <w:rFonts w:ascii="宋体"/>
              </w:rPr>
            </w:pPr>
          </w:p>
        </w:tc>
        <w:tc>
          <w:tcPr>
            <w:tcW w:w="0" w:type="auto"/>
            <w:shd w:val="clear" w:color="auto" w:fill="auto"/>
            <w:vAlign w:val="bottom"/>
          </w:tcPr>
          <w:p w14:paraId="392BEFB4" w14:textId="77777777" w:rsidR="00980E5F" w:rsidRDefault="00980E5F">
            <w:pPr>
              <w:rPr>
                <w:rFonts w:ascii="宋体"/>
              </w:rPr>
            </w:pPr>
          </w:p>
        </w:tc>
        <w:tc>
          <w:tcPr>
            <w:tcW w:w="0" w:type="auto"/>
            <w:shd w:val="clear" w:color="auto" w:fill="auto"/>
            <w:vAlign w:val="bottom"/>
          </w:tcPr>
          <w:p w14:paraId="392BEFB5" w14:textId="77777777" w:rsidR="00980E5F" w:rsidRDefault="00980E5F">
            <w:pPr>
              <w:rPr>
                <w:rFonts w:ascii="宋体"/>
              </w:rPr>
            </w:pPr>
          </w:p>
        </w:tc>
        <w:tc>
          <w:tcPr>
            <w:tcW w:w="0" w:type="auto"/>
            <w:shd w:val="clear" w:color="auto" w:fill="auto"/>
            <w:vAlign w:val="bottom"/>
          </w:tcPr>
          <w:p w14:paraId="392BEFB6" w14:textId="77777777" w:rsidR="00980E5F" w:rsidRDefault="00980E5F">
            <w:pPr>
              <w:rPr>
                <w:rFonts w:ascii="宋体"/>
              </w:rPr>
            </w:pPr>
          </w:p>
        </w:tc>
      </w:tr>
      <w:tr w:rsidR="00980E5F" w14:paraId="392BEFC8" w14:textId="77777777">
        <w:tc>
          <w:tcPr>
            <w:tcW w:w="0" w:type="auto"/>
            <w:gridSpan w:val="3"/>
            <w:shd w:val="clear" w:color="auto" w:fill="auto"/>
            <w:tcMar>
              <w:top w:w="40" w:type="dxa"/>
              <w:left w:w="20" w:type="dxa"/>
              <w:bottom w:w="40" w:type="dxa"/>
              <w:right w:w="20" w:type="dxa"/>
            </w:tcMar>
            <w:vAlign w:val="bottom"/>
          </w:tcPr>
          <w:p w14:paraId="392BEFB8" w14:textId="77777777" w:rsidR="00980E5F" w:rsidRDefault="00483613">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92BEFB9"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BEFB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FBB" w14:textId="77777777" w:rsidR="00980E5F" w:rsidRDefault="00483613">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392BEFB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EFBD" w14:textId="77777777" w:rsidR="00980E5F" w:rsidRDefault="00483613">
            <w:pPr>
              <w:jc w:val="center"/>
              <w:textAlignment w:val="bottom"/>
            </w:pPr>
            <w:r>
              <w:rPr>
                <w:rFonts w:ascii="Arial" w:eastAsia="宋体" w:hAnsi="Arial" w:cs="Arial"/>
                <w:b/>
                <w:bCs/>
                <w:color w:val="000000"/>
                <w:sz w:val="14"/>
                <w:szCs w:val="14"/>
              </w:rPr>
              <w:t>June 30, 2021</w:t>
            </w:r>
          </w:p>
        </w:tc>
        <w:tc>
          <w:tcPr>
            <w:tcW w:w="0" w:type="auto"/>
            <w:shd w:val="clear" w:color="auto" w:fill="auto"/>
            <w:vAlign w:val="bottom"/>
          </w:tcPr>
          <w:p w14:paraId="392BEFBE" w14:textId="77777777" w:rsidR="00980E5F" w:rsidRDefault="00980E5F">
            <w:pPr>
              <w:rPr>
                <w:rFonts w:ascii="宋体"/>
                <w:vanish/>
              </w:rPr>
            </w:pPr>
          </w:p>
        </w:tc>
        <w:tc>
          <w:tcPr>
            <w:tcW w:w="0" w:type="auto"/>
            <w:shd w:val="clear" w:color="auto" w:fill="auto"/>
            <w:vAlign w:val="bottom"/>
          </w:tcPr>
          <w:p w14:paraId="392BEFBF" w14:textId="77777777" w:rsidR="00980E5F" w:rsidRDefault="00980E5F">
            <w:pPr>
              <w:rPr>
                <w:rFonts w:ascii="宋体"/>
                <w:vanish/>
              </w:rPr>
            </w:pPr>
          </w:p>
        </w:tc>
        <w:tc>
          <w:tcPr>
            <w:tcW w:w="0" w:type="auto"/>
            <w:gridSpan w:val="3"/>
            <w:shd w:val="clear" w:color="auto" w:fill="auto"/>
            <w:vAlign w:val="bottom"/>
          </w:tcPr>
          <w:p w14:paraId="392BEFC0" w14:textId="77777777" w:rsidR="00980E5F" w:rsidRDefault="00980E5F">
            <w:pPr>
              <w:rPr>
                <w:rFonts w:ascii="宋体"/>
                <w:vanish/>
              </w:rPr>
            </w:pPr>
          </w:p>
        </w:tc>
        <w:tc>
          <w:tcPr>
            <w:tcW w:w="0" w:type="auto"/>
            <w:gridSpan w:val="3"/>
            <w:shd w:val="clear" w:color="auto" w:fill="auto"/>
            <w:vAlign w:val="bottom"/>
          </w:tcPr>
          <w:p w14:paraId="392BEFC1" w14:textId="77777777" w:rsidR="00980E5F" w:rsidRDefault="00980E5F">
            <w:pPr>
              <w:rPr>
                <w:rFonts w:ascii="宋体"/>
                <w:vanish/>
              </w:rPr>
            </w:pPr>
          </w:p>
        </w:tc>
        <w:tc>
          <w:tcPr>
            <w:tcW w:w="0" w:type="auto"/>
            <w:gridSpan w:val="3"/>
            <w:shd w:val="clear" w:color="auto" w:fill="auto"/>
            <w:vAlign w:val="bottom"/>
          </w:tcPr>
          <w:p w14:paraId="392BEFC2" w14:textId="77777777" w:rsidR="00980E5F" w:rsidRDefault="00980E5F">
            <w:pPr>
              <w:rPr>
                <w:rFonts w:ascii="宋体"/>
                <w:vanish/>
              </w:rPr>
            </w:pPr>
          </w:p>
        </w:tc>
        <w:tc>
          <w:tcPr>
            <w:tcW w:w="0" w:type="auto"/>
            <w:gridSpan w:val="3"/>
            <w:shd w:val="clear" w:color="auto" w:fill="auto"/>
            <w:vAlign w:val="bottom"/>
          </w:tcPr>
          <w:p w14:paraId="392BEFC3" w14:textId="77777777" w:rsidR="00980E5F" w:rsidRDefault="00980E5F">
            <w:pPr>
              <w:rPr>
                <w:rFonts w:ascii="宋体"/>
                <w:vanish/>
              </w:rPr>
            </w:pPr>
          </w:p>
        </w:tc>
        <w:tc>
          <w:tcPr>
            <w:tcW w:w="0" w:type="auto"/>
            <w:gridSpan w:val="3"/>
            <w:shd w:val="clear" w:color="auto" w:fill="auto"/>
            <w:vAlign w:val="bottom"/>
          </w:tcPr>
          <w:p w14:paraId="392BEFC4" w14:textId="77777777" w:rsidR="00980E5F" w:rsidRDefault="00980E5F">
            <w:pPr>
              <w:rPr>
                <w:rFonts w:ascii="宋体"/>
                <w:vanish/>
              </w:rPr>
            </w:pPr>
          </w:p>
        </w:tc>
        <w:tc>
          <w:tcPr>
            <w:tcW w:w="0" w:type="auto"/>
            <w:gridSpan w:val="3"/>
            <w:shd w:val="clear" w:color="auto" w:fill="auto"/>
            <w:vAlign w:val="bottom"/>
          </w:tcPr>
          <w:p w14:paraId="392BEFC5" w14:textId="77777777" w:rsidR="00980E5F" w:rsidRDefault="00980E5F">
            <w:pPr>
              <w:rPr>
                <w:rFonts w:ascii="宋体"/>
                <w:vanish/>
              </w:rPr>
            </w:pPr>
          </w:p>
        </w:tc>
        <w:tc>
          <w:tcPr>
            <w:tcW w:w="0" w:type="auto"/>
            <w:gridSpan w:val="3"/>
            <w:shd w:val="clear" w:color="auto" w:fill="auto"/>
            <w:vAlign w:val="bottom"/>
          </w:tcPr>
          <w:p w14:paraId="392BEFC6" w14:textId="77777777" w:rsidR="00980E5F" w:rsidRDefault="00980E5F">
            <w:pPr>
              <w:rPr>
                <w:rFonts w:ascii="宋体"/>
                <w:vanish/>
              </w:rPr>
            </w:pPr>
          </w:p>
        </w:tc>
        <w:tc>
          <w:tcPr>
            <w:tcW w:w="0" w:type="auto"/>
            <w:gridSpan w:val="3"/>
            <w:shd w:val="clear" w:color="auto" w:fill="auto"/>
            <w:vAlign w:val="bottom"/>
          </w:tcPr>
          <w:p w14:paraId="392BEFC7" w14:textId="77777777" w:rsidR="00980E5F" w:rsidRDefault="00980E5F">
            <w:pPr>
              <w:rPr>
                <w:rFonts w:ascii="宋体"/>
                <w:vanish/>
              </w:rPr>
            </w:pPr>
          </w:p>
        </w:tc>
      </w:tr>
      <w:tr w:rsidR="00980E5F" w14:paraId="392BEFDF" w14:textId="77777777">
        <w:tc>
          <w:tcPr>
            <w:tcW w:w="0" w:type="auto"/>
            <w:gridSpan w:val="3"/>
            <w:shd w:val="clear" w:color="auto" w:fill="CCEEFF"/>
            <w:tcMar>
              <w:top w:w="40" w:type="dxa"/>
              <w:left w:w="20" w:type="dxa"/>
              <w:bottom w:w="40" w:type="dxa"/>
              <w:right w:w="20" w:type="dxa"/>
            </w:tcMar>
            <w:vAlign w:val="bottom"/>
          </w:tcPr>
          <w:p w14:paraId="392BEFC9" w14:textId="77777777" w:rsidR="00980E5F" w:rsidRDefault="00483613">
            <w:pPr>
              <w:textAlignment w:val="bottom"/>
            </w:pPr>
            <w:r>
              <w:rPr>
                <w:rFonts w:ascii="Arial" w:eastAsia="宋体" w:hAnsi="Arial" w:cs="Arial"/>
                <w:color w:val="000000"/>
                <w:sz w:val="14"/>
                <w:szCs w:val="14"/>
              </w:rPr>
              <w:t>Collective funds, including ETFs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EFC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FCB" w14:textId="77777777" w:rsidR="00980E5F" w:rsidRDefault="00483613">
            <w:pPr>
              <w:jc w:val="right"/>
              <w:textAlignment w:val="bottom"/>
            </w:pPr>
            <w:r>
              <w:rPr>
                <w:rFonts w:ascii="Arial" w:eastAsia="宋体" w:hAnsi="Arial" w:cs="Arial"/>
                <w:b/>
                <w:bCs/>
                <w:color w:val="000000"/>
                <w:sz w:val="14"/>
                <w:szCs w:val="14"/>
              </w:rPr>
              <w:t>13,609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F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C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FC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FCF" w14:textId="77777777" w:rsidR="00980E5F" w:rsidRDefault="00483613">
            <w:pPr>
              <w:jc w:val="right"/>
              <w:textAlignment w:val="bottom"/>
            </w:pPr>
            <w:r>
              <w:rPr>
                <w:rFonts w:ascii="Arial" w:eastAsia="宋体" w:hAnsi="Arial" w:cs="Arial"/>
                <w:color w:val="000000"/>
                <w:sz w:val="14"/>
                <w:szCs w:val="14"/>
              </w:rPr>
              <w:t>15,722 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F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D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EFD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EFD3" w14:textId="77777777" w:rsidR="00980E5F" w:rsidRDefault="00483613">
            <w:pPr>
              <w:jc w:val="right"/>
              <w:textAlignment w:val="bottom"/>
            </w:pPr>
            <w:r>
              <w:rPr>
                <w:rFonts w:ascii="Arial" w:eastAsia="宋体" w:hAnsi="Arial" w:cs="Arial"/>
                <w:color w:val="000000"/>
                <w:sz w:val="14"/>
                <w:szCs w:val="14"/>
              </w:rPr>
              <w:t>15,048 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EFD4" w14:textId="77777777" w:rsidR="00980E5F" w:rsidRDefault="00980E5F">
            <w:pPr>
              <w:jc w:val="right"/>
              <w:rPr>
                <w:rFonts w:ascii="宋体"/>
              </w:rPr>
            </w:pPr>
          </w:p>
        </w:tc>
        <w:tc>
          <w:tcPr>
            <w:tcW w:w="0" w:type="auto"/>
            <w:shd w:val="clear" w:color="auto" w:fill="auto"/>
            <w:vAlign w:val="bottom"/>
          </w:tcPr>
          <w:p w14:paraId="392BEFD5" w14:textId="77777777" w:rsidR="00980E5F" w:rsidRDefault="00980E5F">
            <w:pPr>
              <w:rPr>
                <w:rFonts w:ascii="宋体"/>
                <w:vanish/>
              </w:rPr>
            </w:pPr>
          </w:p>
        </w:tc>
        <w:tc>
          <w:tcPr>
            <w:tcW w:w="0" w:type="auto"/>
            <w:shd w:val="clear" w:color="auto" w:fill="auto"/>
            <w:vAlign w:val="bottom"/>
          </w:tcPr>
          <w:p w14:paraId="392BEFD6" w14:textId="77777777" w:rsidR="00980E5F" w:rsidRDefault="00980E5F">
            <w:pPr>
              <w:rPr>
                <w:rFonts w:ascii="宋体"/>
                <w:vanish/>
              </w:rPr>
            </w:pPr>
          </w:p>
        </w:tc>
        <w:tc>
          <w:tcPr>
            <w:tcW w:w="0" w:type="auto"/>
            <w:gridSpan w:val="3"/>
            <w:shd w:val="clear" w:color="auto" w:fill="auto"/>
            <w:vAlign w:val="bottom"/>
          </w:tcPr>
          <w:p w14:paraId="392BEFD7" w14:textId="77777777" w:rsidR="00980E5F" w:rsidRDefault="00980E5F">
            <w:pPr>
              <w:rPr>
                <w:rFonts w:ascii="宋体"/>
                <w:vanish/>
              </w:rPr>
            </w:pPr>
          </w:p>
        </w:tc>
        <w:tc>
          <w:tcPr>
            <w:tcW w:w="0" w:type="auto"/>
            <w:gridSpan w:val="3"/>
            <w:shd w:val="clear" w:color="auto" w:fill="auto"/>
            <w:vAlign w:val="bottom"/>
          </w:tcPr>
          <w:p w14:paraId="392BEFD8" w14:textId="77777777" w:rsidR="00980E5F" w:rsidRDefault="00980E5F">
            <w:pPr>
              <w:rPr>
                <w:rFonts w:ascii="宋体"/>
                <w:vanish/>
              </w:rPr>
            </w:pPr>
          </w:p>
        </w:tc>
        <w:tc>
          <w:tcPr>
            <w:tcW w:w="0" w:type="auto"/>
            <w:gridSpan w:val="3"/>
            <w:shd w:val="clear" w:color="auto" w:fill="auto"/>
            <w:vAlign w:val="bottom"/>
          </w:tcPr>
          <w:p w14:paraId="392BEFD9" w14:textId="77777777" w:rsidR="00980E5F" w:rsidRDefault="00980E5F">
            <w:pPr>
              <w:rPr>
                <w:rFonts w:ascii="宋体"/>
                <w:vanish/>
              </w:rPr>
            </w:pPr>
          </w:p>
        </w:tc>
        <w:tc>
          <w:tcPr>
            <w:tcW w:w="0" w:type="auto"/>
            <w:gridSpan w:val="3"/>
            <w:shd w:val="clear" w:color="auto" w:fill="auto"/>
            <w:vAlign w:val="bottom"/>
          </w:tcPr>
          <w:p w14:paraId="392BEFDA" w14:textId="77777777" w:rsidR="00980E5F" w:rsidRDefault="00980E5F">
            <w:pPr>
              <w:rPr>
                <w:rFonts w:ascii="宋体"/>
                <w:vanish/>
              </w:rPr>
            </w:pPr>
          </w:p>
        </w:tc>
        <w:tc>
          <w:tcPr>
            <w:tcW w:w="0" w:type="auto"/>
            <w:gridSpan w:val="3"/>
            <w:shd w:val="clear" w:color="auto" w:fill="auto"/>
            <w:vAlign w:val="bottom"/>
          </w:tcPr>
          <w:p w14:paraId="392BEFDB" w14:textId="77777777" w:rsidR="00980E5F" w:rsidRDefault="00980E5F">
            <w:pPr>
              <w:rPr>
                <w:rFonts w:ascii="宋体"/>
                <w:vanish/>
              </w:rPr>
            </w:pPr>
          </w:p>
        </w:tc>
        <w:tc>
          <w:tcPr>
            <w:tcW w:w="0" w:type="auto"/>
            <w:gridSpan w:val="3"/>
            <w:shd w:val="clear" w:color="auto" w:fill="auto"/>
            <w:vAlign w:val="bottom"/>
          </w:tcPr>
          <w:p w14:paraId="392BEFDC" w14:textId="77777777" w:rsidR="00980E5F" w:rsidRDefault="00980E5F">
            <w:pPr>
              <w:rPr>
                <w:rFonts w:ascii="宋体"/>
                <w:vanish/>
              </w:rPr>
            </w:pPr>
          </w:p>
        </w:tc>
        <w:tc>
          <w:tcPr>
            <w:tcW w:w="0" w:type="auto"/>
            <w:gridSpan w:val="3"/>
            <w:shd w:val="clear" w:color="auto" w:fill="auto"/>
            <w:vAlign w:val="bottom"/>
          </w:tcPr>
          <w:p w14:paraId="392BEFDD" w14:textId="77777777" w:rsidR="00980E5F" w:rsidRDefault="00980E5F">
            <w:pPr>
              <w:rPr>
                <w:rFonts w:ascii="宋体"/>
                <w:vanish/>
              </w:rPr>
            </w:pPr>
          </w:p>
        </w:tc>
        <w:tc>
          <w:tcPr>
            <w:tcW w:w="0" w:type="auto"/>
            <w:gridSpan w:val="3"/>
            <w:shd w:val="clear" w:color="auto" w:fill="auto"/>
            <w:vAlign w:val="bottom"/>
          </w:tcPr>
          <w:p w14:paraId="392BEFDE" w14:textId="77777777" w:rsidR="00980E5F" w:rsidRDefault="00980E5F">
            <w:pPr>
              <w:rPr>
                <w:rFonts w:ascii="宋体"/>
                <w:vanish/>
              </w:rPr>
            </w:pPr>
          </w:p>
        </w:tc>
      </w:tr>
      <w:tr w:rsidR="00980E5F" w14:paraId="392BEFF3" w14:textId="77777777">
        <w:tc>
          <w:tcPr>
            <w:tcW w:w="0" w:type="auto"/>
            <w:gridSpan w:val="3"/>
            <w:shd w:val="clear" w:color="auto" w:fill="FFFFFF"/>
            <w:tcMar>
              <w:top w:w="40" w:type="dxa"/>
              <w:left w:w="20" w:type="dxa"/>
              <w:bottom w:w="40" w:type="dxa"/>
              <w:right w:w="20" w:type="dxa"/>
            </w:tcMar>
            <w:vAlign w:val="bottom"/>
          </w:tcPr>
          <w:p w14:paraId="392BEFE0" w14:textId="77777777" w:rsidR="00980E5F" w:rsidRDefault="00483613">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392BEFE1" w14:textId="77777777" w:rsidR="00980E5F" w:rsidRDefault="00483613">
            <w:pPr>
              <w:jc w:val="right"/>
              <w:textAlignment w:val="bottom"/>
            </w:pPr>
            <w:r>
              <w:rPr>
                <w:rFonts w:ascii="Arial" w:eastAsia="宋体" w:hAnsi="Arial" w:cs="Arial"/>
                <w:b/>
                <w:bCs/>
                <w:color w:val="000000"/>
                <w:sz w:val="14"/>
                <w:szCs w:val="14"/>
              </w:rPr>
              <w:t>9,642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BEF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FE4" w14:textId="77777777" w:rsidR="00980E5F" w:rsidRDefault="00483613">
            <w:pPr>
              <w:jc w:val="right"/>
              <w:textAlignment w:val="bottom"/>
            </w:pPr>
            <w:r>
              <w:rPr>
                <w:rFonts w:ascii="Arial" w:eastAsia="宋体" w:hAnsi="Arial" w:cs="Arial"/>
                <w:color w:val="000000"/>
                <w:sz w:val="14"/>
                <w:szCs w:val="14"/>
              </w:rPr>
              <w:t>11,575 </w:t>
            </w:r>
          </w:p>
        </w:tc>
        <w:tc>
          <w:tcPr>
            <w:tcW w:w="0" w:type="auto"/>
            <w:shd w:val="clear" w:color="auto" w:fill="FFFFFF"/>
            <w:tcMar>
              <w:top w:w="40" w:type="dxa"/>
              <w:left w:w="0" w:type="dxa"/>
              <w:bottom w:w="40" w:type="dxa"/>
              <w:right w:w="20" w:type="dxa"/>
            </w:tcMar>
            <w:vAlign w:val="bottom"/>
          </w:tcPr>
          <w:p w14:paraId="392BEF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EF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EFE7" w14:textId="77777777" w:rsidR="00980E5F" w:rsidRDefault="00483613">
            <w:pPr>
              <w:jc w:val="right"/>
              <w:textAlignment w:val="bottom"/>
            </w:pPr>
            <w:r>
              <w:rPr>
                <w:rFonts w:ascii="Arial" w:eastAsia="宋体" w:hAnsi="Arial" w:cs="Arial"/>
                <w:color w:val="000000"/>
                <w:sz w:val="14"/>
                <w:szCs w:val="14"/>
              </w:rPr>
              <w:t>10,873 </w:t>
            </w:r>
          </w:p>
        </w:tc>
        <w:tc>
          <w:tcPr>
            <w:tcW w:w="0" w:type="auto"/>
            <w:shd w:val="clear" w:color="auto" w:fill="FFFFFF"/>
            <w:tcMar>
              <w:top w:w="40" w:type="dxa"/>
              <w:left w:w="0" w:type="dxa"/>
              <w:bottom w:w="40" w:type="dxa"/>
              <w:right w:w="20" w:type="dxa"/>
            </w:tcMar>
            <w:vAlign w:val="bottom"/>
          </w:tcPr>
          <w:p w14:paraId="392BEFE8" w14:textId="77777777" w:rsidR="00980E5F" w:rsidRDefault="00980E5F">
            <w:pPr>
              <w:jc w:val="right"/>
              <w:rPr>
                <w:rFonts w:ascii="宋体"/>
              </w:rPr>
            </w:pPr>
          </w:p>
        </w:tc>
        <w:tc>
          <w:tcPr>
            <w:tcW w:w="0" w:type="auto"/>
            <w:shd w:val="clear" w:color="auto" w:fill="auto"/>
            <w:vAlign w:val="bottom"/>
          </w:tcPr>
          <w:p w14:paraId="392BEFE9" w14:textId="77777777" w:rsidR="00980E5F" w:rsidRDefault="00980E5F">
            <w:pPr>
              <w:rPr>
                <w:rFonts w:ascii="宋体"/>
                <w:vanish/>
              </w:rPr>
            </w:pPr>
          </w:p>
        </w:tc>
        <w:tc>
          <w:tcPr>
            <w:tcW w:w="0" w:type="auto"/>
            <w:shd w:val="clear" w:color="auto" w:fill="auto"/>
            <w:vAlign w:val="bottom"/>
          </w:tcPr>
          <w:p w14:paraId="392BEFEA" w14:textId="77777777" w:rsidR="00980E5F" w:rsidRDefault="00980E5F">
            <w:pPr>
              <w:rPr>
                <w:rFonts w:ascii="宋体"/>
                <w:vanish/>
              </w:rPr>
            </w:pPr>
          </w:p>
        </w:tc>
        <w:tc>
          <w:tcPr>
            <w:tcW w:w="0" w:type="auto"/>
            <w:gridSpan w:val="3"/>
            <w:shd w:val="clear" w:color="auto" w:fill="auto"/>
            <w:vAlign w:val="bottom"/>
          </w:tcPr>
          <w:p w14:paraId="392BEFEB" w14:textId="77777777" w:rsidR="00980E5F" w:rsidRDefault="00980E5F">
            <w:pPr>
              <w:rPr>
                <w:rFonts w:ascii="宋体"/>
                <w:vanish/>
              </w:rPr>
            </w:pPr>
          </w:p>
        </w:tc>
        <w:tc>
          <w:tcPr>
            <w:tcW w:w="0" w:type="auto"/>
            <w:gridSpan w:val="3"/>
            <w:shd w:val="clear" w:color="auto" w:fill="auto"/>
            <w:vAlign w:val="bottom"/>
          </w:tcPr>
          <w:p w14:paraId="392BEFEC" w14:textId="77777777" w:rsidR="00980E5F" w:rsidRDefault="00980E5F">
            <w:pPr>
              <w:rPr>
                <w:rFonts w:ascii="宋体"/>
                <w:vanish/>
              </w:rPr>
            </w:pPr>
          </w:p>
        </w:tc>
        <w:tc>
          <w:tcPr>
            <w:tcW w:w="0" w:type="auto"/>
            <w:gridSpan w:val="3"/>
            <w:shd w:val="clear" w:color="auto" w:fill="auto"/>
            <w:vAlign w:val="bottom"/>
          </w:tcPr>
          <w:p w14:paraId="392BEFED" w14:textId="77777777" w:rsidR="00980E5F" w:rsidRDefault="00980E5F">
            <w:pPr>
              <w:rPr>
                <w:rFonts w:ascii="宋体"/>
                <w:vanish/>
              </w:rPr>
            </w:pPr>
          </w:p>
        </w:tc>
        <w:tc>
          <w:tcPr>
            <w:tcW w:w="0" w:type="auto"/>
            <w:gridSpan w:val="3"/>
            <w:shd w:val="clear" w:color="auto" w:fill="auto"/>
            <w:vAlign w:val="bottom"/>
          </w:tcPr>
          <w:p w14:paraId="392BEFEE" w14:textId="77777777" w:rsidR="00980E5F" w:rsidRDefault="00980E5F">
            <w:pPr>
              <w:rPr>
                <w:rFonts w:ascii="宋体"/>
                <w:vanish/>
              </w:rPr>
            </w:pPr>
          </w:p>
        </w:tc>
        <w:tc>
          <w:tcPr>
            <w:tcW w:w="0" w:type="auto"/>
            <w:gridSpan w:val="3"/>
            <w:shd w:val="clear" w:color="auto" w:fill="auto"/>
            <w:vAlign w:val="bottom"/>
          </w:tcPr>
          <w:p w14:paraId="392BEFEF" w14:textId="77777777" w:rsidR="00980E5F" w:rsidRDefault="00980E5F">
            <w:pPr>
              <w:rPr>
                <w:rFonts w:ascii="宋体"/>
                <w:vanish/>
              </w:rPr>
            </w:pPr>
          </w:p>
        </w:tc>
        <w:tc>
          <w:tcPr>
            <w:tcW w:w="0" w:type="auto"/>
            <w:gridSpan w:val="3"/>
            <w:shd w:val="clear" w:color="auto" w:fill="auto"/>
            <w:vAlign w:val="bottom"/>
          </w:tcPr>
          <w:p w14:paraId="392BEFF0" w14:textId="77777777" w:rsidR="00980E5F" w:rsidRDefault="00980E5F">
            <w:pPr>
              <w:rPr>
                <w:rFonts w:ascii="宋体"/>
                <w:vanish/>
              </w:rPr>
            </w:pPr>
          </w:p>
        </w:tc>
        <w:tc>
          <w:tcPr>
            <w:tcW w:w="0" w:type="auto"/>
            <w:gridSpan w:val="3"/>
            <w:shd w:val="clear" w:color="auto" w:fill="auto"/>
            <w:vAlign w:val="bottom"/>
          </w:tcPr>
          <w:p w14:paraId="392BEFF1" w14:textId="77777777" w:rsidR="00980E5F" w:rsidRDefault="00980E5F">
            <w:pPr>
              <w:rPr>
                <w:rFonts w:ascii="宋体"/>
                <w:vanish/>
              </w:rPr>
            </w:pPr>
          </w:p>
        </w:tc>
        <w:tc>
          <w:tcPr>
            <w:tcW w:w="0" w:type="auto"/>
            <w:gridSpan w:val="3"/>
            <w:shd w:val="clear" w:color="auto" w:fill="auto"/>
            <w:vAlign w:val="bottom"/>
          </w:tcPr>
          <w:p w14:paraId="392BEFF2" w14:textId="77777777" w:rsidR="00980E5F" w:rsidRDefault="00980E5F">
            <w:pPr>
              <w:rPr>
                <w:rFonts w:ascii="宋体"/>
                <w:vanish/>
              </w:rPr>
            </w:pPr>
          </w:p>
        </w:tc>
      </w:tr>
      <w:tr w:rsidR="00980E5F" w14:paraId="392BF007" w14:textId="77777777">
        <w:tc>
          <w:tcPr>
            <w:tcW w:w="0" w:type="auto"/>
            <w:gridSpan w:val="3"/>
            <w:shd w:val="clear" w:color="auto" w:fill="CCEEFF"/>
            <w:tcMar>
              <w:top w:w="40" w:type="dxa"/>
              <w:left w:w="20" w:type="dxa"/>
              <w:bottom w:w="40" w:type="dxa"/>
              <w:right w:w="20" w:type="dxa"/>
            </w:tcMar>
            <w:vAlign w:val="bottom"/>
          </w:tcPr>
          <w:p w14:paraId="392BEFF4" w14:textId="77777777" w:rsidR="00980E5F" w:rsidRDefault="00483613">
            <w:pPr>
              <w:textAlignment w:val="bottom"/>
            </w:pPr>
            <w:r>
              <w:rPr>
                <w:rFonts w:ascii="Arial" w:eastAsia="宋体" w:hAnsi="Arial" w:cs="Arial"/>
                <w:color w:val="000000"/>
                <w:sz w:val="14"/>
                <w:szCs w:val="14"/>
              </w:rPr>
              <w:t>Pension products</w:t>
            </w:r>
          </w:p>
        </w:tc>
        <w:tc>
          <w:tcPr>
            <w:tcW w:w="0" w:type="auto"/>
            <w:gridSpan w:val="2"/>
            <w:shd w:val="clear" w:color="auto" w:fill="CCEEFF"/>
            <w:tcMar>
              <w:top w:w="40" w:type="dxa"/>
              <w:left w:w="20" w:type="dxa"/>
              <w:bottom w:w="40" w:type="dxa"/>
              <w:right w:w="0" w:type="dxa"/>
            </w:tcMar>
            <w:vAlign w:val="bottom"/>
          </w:tcPr>
          <w:p w14:paraId="392BEFF5" w14:textId="77777777" w:rsidR="00980E5F" w:rsidRDefault="00483613">
            <w:pPr>
              <w:jc w:val="right"/>
              <w:textAlignment w:val="bottom"/>
            </w:pPr>
            <w:r>
              <w:rPr>
                <w:rFonts w:ascii="Arial" w:eastAsia="宋体" w:hAnsi="Arial" w:cs="Arial"/>
                <w:b/>
                <w:bCs/>
                <w:color w:val="000000"/>
                <w:sz w:val="14"/>
                <w:szCs w:val="14"/>
              </w:rPr>
              <w:t>7,764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BEF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FF8" w14:textId="77777777" w:rsidR="00980E5F" w:rsidRDefault="00483613">
            <w:pPr>
              <w:jc w:val="right"/>
              <w:textAlignment w:val="bottom"/>
            </w:pPr>
            <w:r>
              <w:rPr>
                <w:rFonts w:ascii="Arial" w:eastAsia="宋体" w:hAnsi="Arial" w:cs="Arial"/>
                <w:color w:val="000000"/>
                <w:sz w:val="14"/>
                <w:szCs w:val="14"/>
              </w:rPr>
              <w:t>8,443 </w:t>
            </w:r>
          </w:p>
        </w:tc>
        <w:tc>
          <w:tcPr>
            <w:tcW w:w="0" w:type="auto"/>
            <w:shd w:val="clear" w:color="auto" w:fill="CCEEFF"/>
            <w:tcMar>
              <w:top w:w="40" w:type="dxa"/>
              <w:left w:w="0" w:type="dxa"/>
              <w:bottom w:w="40" w:type="dxa"/>
              <w:right w:w="20" w:type="dxa"/>
            </w:tcMar>
            <w:vAlign w:val="bottom"/>
          </w:tcPr>
          <w:p w14:paraId="392BEF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EFF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EFFB" w14:textId="77777777" w:rsidR="00980E5F" w:rsidRDefault="00483613">
            <w:pPr>
              <w:jc w:val="right"/>
              <w:textAlignment w:val="bottom"/>
            </w:pPr>
            <w:r>
              <w:rPr>
                <w:rFonts w:ascii="Arial" w:eastAsia="宋体" w:hAnsi="Arial" w:cs="Arial"/>
                <w:color w:val="000000"/>
                <w:sz w:val="14"/>
                <w:szCs w:val="14"/>
              </w:rPr>
              <w:t>8,291 </w:t>
            </w:r>
          </w:p>
        </w:tc>
        <w:tc>
          <w:tcPr>
            <w:tcW w:w="0" w:type="auto"/>
            <w:shd w:val="clear" w:color="auto" w:fill="CCEEFF"/>
            <w:tcMar>
              <w:top w:w="40" w:type="dxa"/>
              <w:left w:w="0" w:type="dxa"/>
              <w:bottom w:w="40" w:type="dxa"/>
              <w:right w:w="20" w:type="dxa"/>
            </w:tcMar>
            <w:vAlign w:val="bottom"/>
          </w:tcPr>
          <w:p w14:paraId="392BEFFC" w14:textId="77777777" w:rsidR="00980E5F" w:rsidRDefault="00980E5F">
            <w:pPr>
              <w:jc w:val="right"/>
              <w:rPr>
                <w:rFonts w:ascii="宋体"/>
              </w:rPr>
            </w:pPr>
          </w:p>
        </w:tc>
        <w:tc>
          <w:tcPr>
            <w:tcW w:w="0" w:type="auto"/>
            <w:shd w:val="clear" w:color="auto" w:fill="auto"/>
            <w:vAlign w:val="bottom"/>
          </w:tcPr>
          <w:p w14:paraId="392BEFFD" w14:textId="77777777" w:rsidR="00980E5F" w:rsidRDefault="00980E5F">
            <w:pPr>
              <w:rPr>
                <w:rFonts w:ascii="宋体"/>
                <w:vanish/>
              </w:rPr>
            </w:pPr>
          </w:p>
        </w:tc>
        <w:tc>
          <w:tcPr>
            <w:tcW w:w="0" w:type="auto"/>
            <w:shd w:val="clear" w:color="auto" w:fill="auto"/>
            <w:vAlign w:val="bottom"/>
          </w:tcPr>
          <w:p w14:paraId="392BEFFE" w14:textId="77777777" w:rsidR="00980E5F" w:rsidRDefault="00980E5F">
            <w:pPr>
              <w:rPr>
                <w:rFonts w:ascii="宋体"/>
                <w:vanish/>
              </w:rPr>
            </w:pPr>
          </w:p>
        </w:tc>
        <w:tc>
          <w:tcPr>
            <w:tcW w:w="0" w:type="auto"/>
            <w:gridSpan w:val="3"/>
            <w:shd w:val="clear" w:color="auto" w:fill="auto"/>
            <w:vAlign w:val="bottom"/>
          </w:tcPr>
          <w:p w14:paraId="392BEFFF" w14:textId="77777777" w:rsidR="00980E5F" w:rsidRDefault="00980E5F">
            <w:pPr>
              <w:rPr>
                <w:rFonts w:ascii="宋体"/>
                <w:vanish/>
              </w:rPr>
            </w:pPr>
          </w:p>
        </w:tc>
        <w:tc>
          <w:tcPr>
            <w:tcW w:w="0" w:type="auto"/>
            <w:gridSpan w:val="3"/>
            <w:shd w:val="clear" w:color="auto" w:fill="auto"/>
            <w:vAlign w:val="bottom"/>
          </w:tcPr>
          <w:p w14:paraId="392BF000" w14:textId="77777777" w:rsidR="00980E5F" w:rsidRDefault="00980E5F">
            <w:pPr>
              <w:rPr>
                <w:rFonts w:ascii="宋体"/>
                <w:vanish/>
              </w:rPr>
            </w:pPr>
          </w:p>
        </w:tc>
        <w:tc>
          <w:tcPr>
            <w:tcW w:w="0" w:type="auto"/>
            <w:gridSpan w:val="3"/>
            <w:shd w:val="clear" w:color="auto" w:fill="auto"/>
            <w:vAlign w:val="bottom"/>
          </w:tcPr>
          <w:p w14:paraId="392BF001" w14:textId="77777777" w:rsidR="00980E5F" w:rsidRDefault="00980E5F">
            <w:pPr>
              <w:rPr>
                <w:rFonts w:ascii="宋体"/>
                <w:vanish/>
              </w:rPr>
            </w:pPr>
          </w:p>
        </w:tc>
        <w:tc>
          <w:tcPr>
            <w:tcW w:w="0" w:type="auto"/>
            <w:gridSpan w:val="3"/>
            <w:shd w:val="clear" w:color="auto" w:fill="auto"/>
            <w:vAlign w:val="bottom"/>
          </w:tcPr>
          <w:p w14:paraId="392BF002" w14:textId="77777777" w:rsidR="00980E5F" w:rsidRDefault="00980E5F">
            <w:pPr>
              <w:rPr>
                <w:rFonts w:ascii="宋体"/>
                <w:vanish/>
              </w:rPr>
            </w:pPr>
          </w:p>
        </w:tc>
        <w:tc>
          <w:tcPr>
            <w:tcW w:w="0" w:type="auto"/>
            <w:gridSpan w:val="3"/>
            <w:shd w:val="clear" w:color="auto" w:fill="auto"/>
            <w:vAlign w:val="bottom"/>
          </w:tcPr>
          <w:p w14:paraId="392BF003" w14:textId="77777777" w:rsidR="00980E5F" w:rsidRDefault="00980E5F">
            <w:pPr>
              <w:rPr>
                <w:rFonts w:ascii="宋体"/>
                <w:vanish/>
              </w:rPr>
            </w:pPr>
          </w:p>
        </w:tc>
        <w:tc>
          <w:tcPr>
            <w:tcW w:w="0" w:type="auto"/>
            <w:gridSpan w:val="3"/>
            <w:shd w:val="clear" w:color="auto" w:fill="auto"/>
            <w:vAlign w:val="bottom"/>
          </w:tcPr>
          <w:p w14:paraId="392BF004" w14:textId="77777777" w:rsidR="00980E5F" w:rsidRDefault="00980E5F">
            <w:pPr>
              <w:rPr>
                <w:rFonts w:ascii="宋体"/>
                <w:vanish/>
              </w:rPr>
            </w:pPr>
          </w:p>
        </w:tc>
        <w:tc>
          <w:tcPr>
            <w:tcW w:w="0" w:type="auto"/>
            <w:gridSpan w:val="3"/>
            <w:shd w:val="clear" w:color="auto" w:fill="auto"/>
            <w:vAlign w:val="bottom"/>
          </w:tcPr>
          <w:p w14:paraId="392BF005" w14:textId="77777777" w:rsidR="00980E5F" w:rsidRDefault="00980E5F">
            <w:pPr>
              <w:rPr>
                <w:rFonts w:ascii="宋体"/>
                <w:vanish/>
              </w:rPr>
            </w:pPr>
          </w:p>
        </w:tc>
        <w:tc>
          <w:tcPr>
            <w:tcW w:w="0" w:type="auto"/>
            <w:gridSpan w:val="3"/>
            <w:shd w:val="clear" w:color="auto" w:fill="auto"/>
            <w:vAlign w:val="bottom"/>
          </w:tcPr>
          <w:p w14:paraId="392BF006" w14:textId="77777777" w:rsidR="00980E5F" w:rsidRDefault="00980E5F">
            <w:pPr>
              <w:rPr>
                <w:rFonts w:ascii="宋体"/>
                <w:vanish/>
              </w:rPr>
            </w:pPr>
          </w:p>
        </w:tc>
      </w:tr>
      <w:tr w:rsidR="00980E5F" w14:paraId="392BF01B" w14:textId="77777777">
        <w:tc>
          <w:tcPr>
            <w:tcW w:w="0" w:type="auto"/>
            <w:gridSpan w:val="3"/>
            <w:shd w:val="clear" w:color="auto" w:fill="FFFFFF"/>
            <w:tcMar>
              <w:top w:w="40" w:type="dxa"/>
              <w:left w:w="20" w:type="dxa"/>
              <w:bottom w:w="40" w:type="dxa"/>
              <w:right w:w="20" w:type="dxa"/>
            </w:tcMar>
            <w:vAlign w:val="bottom"/>
          </w:tcPr>
          <w:p w14:paraId="392BF008" w14:textId="77777777" w:rsidR="00980E5F" w:rsidRDefault="00483613">
            <w:pPr>
              <w:textAlignment w:val="bottom"/>
            </w:pPr>
            <w:r>
              <w:rPr>
                <w:rFonts w:ascii="Arial" w:eastAsia="宋体" w:hAnsi="Arial" w:cs="Arial"/>
                <w:color w:val="000000"/>
                <w:sz w:val="14"/>
                <w:szCs w:val="14"/>
              </w:rPr>
              <w:t>Insurance and other products</w:t>
            </w:r>
          </w:p>
        </w:tc>
        <w:tc>
          <w:tcPr>
            <w:tcW w:w="0" w:type="auto"/>
            <w:gridSpan w:val="2"/>
            <w:shd w:val="clear" w:color="auto" w:fill="FFFFFF"/>
            <w:tcMar>
              <w:top w:w="40" w:type="dxa"/>
              <w:left w:w="20" w:type="dxa"/>
              <w:bottom w:w="40" w:type="dxa"/>
              <w:right w:w="0" w:type="dxa"/>
            </w:tcMar>
            <w:vAlign w:val="bottom"/>
          </w:tcPr>
          <w:p w14:paraId="392BF009" w14:textId="77777777" w:rsidR="00980E5F" w:rsidRDefault="00483613">
            <w:pPr>
              <w:jc w:val="right"/>
              <w:textAlignment w:val="bottom"/>
            </w:pPr>
            <w:r>
              <w:rPr>
                <w:rFonts w:ascii="Arial" w:eastAsia="宋体" w:hAnsi="Arial" w:cs="Arial"/>
                <w:b/>
                <w:bCs/>
                <w:color w:val="000000"/>
                <w:sz w:val="14"/>
                <w:szCs w:val="14"/>
              </w:rPr>
              <w:t>7,165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BF0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00C" w14:textId="77777777" w:rsidR="00980E5F" w:rsidRDefault="00483613">
            <w:pPr>
              <w:jc w:val="right"/>
              <w:textAlignment w:val="bottom"/>
            </w:pPr>
            <w:r>
              <w:rPr>
                <w:rFonts w:ascii="Arial" w:eastAsia="宋体" w:hAnsi="Arial" w:cs="Arial"/>
                <w:color w:val="000000"/>
                <w:sz w:val="14"/>
                <w:szCs w:val="14"/>
              </w:rPr>
              <w:t>7,938 </w:t>
            </w:r>
          </w:p>
        </w:tc>
        <w:tc>
          <w:tcPr>
            <w:tcW w:w="0" w:type="auto"/>
            <w:shd w:val="clear" w:color="auto" w:fill="FFFFFF"/>
            <w:tcMar>
              <w:top w:w="40" w:type="dxa"/>
              <w:left w:w="0" w:type="dxa"/>
              <w:bottom w:w="40" w:type="dxa"/>
              <w:right w:w="20" w:type="dxa"/>
            </w:tcMar>
            <w:vAlign w:val="bottom"/>
          </w:tcPr>
          <w:p w14:paraId="392BF0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0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00F" w14:textId="77777777" w:rsidR="00980E5F" w:rsidRDefault="00483613">
            <w:pPr>
              <w:jc w:val="right"/>
              <w:textAlignment w:val="bottom"/>
            </w:pPr>
            <w:r>
              <w:rPr>
                <w:rFonts w:ascii="Arial" w:eastAsia="宋体" w:hAnsi="Arial" w:cs="Arial"/>
                <w:color w:val="000000"/>
                <w:sz w:val="14"/>
                <w:szCs w:val="14"/>
              </w:rPr>
              <w:t>8,385 </w:t>
            </w:r>
          </w:p>
        </w:tc>
        <w:tc>
          <w:tcPr>
            <w:tcW w:w="0" w:type="auto"/>
            <w:shd w:val="clear" w:color="auto" w:fill="FFFFFF"/>
            <w:tcMar>
              <w:top w:w="40" w:type="dxa"/>
              <w:left w:w="0" w:type="dxa"/>
              <w:bottom w:w="40" w:type="dxa"/>
              <w:right w:w="20" w:type="dxa"/>
            </w:tcMar>
            <w:vAlign w:val="bottom"/>
          </w:tcPr>
          <w:p w14:paraId="392BF010" w14:textId="77777777" w:rsidR="00980E5F" w:rsidRDefault="00980E5F">
            <w:pPr>
              <w:jc w:val="right"/>
              <w:rPr>
                <w:rFonts w:ascii="宋体"/>
              </w:rPr>
            </w:pPr>
          </w:p>
        </w:tc>
        <w:tc>
          <w:tcPr>
            <w:tcW w:w="0" w:type="auto"/>
            <w:shd w:val="clear" w:color="auto" w:fill="auto"/>
            <w:vAlign w:val="bottom"/>
          </w:tcPr>
          <w:p w14:paraId="392BF011" w14:textId="77777777" w:rsidR="00980E5F" w:rsidRDefault="00980E5F">
            <w:pPr>
              <w:rPr>
                <w:rFonts w:ascii="宋体"/>
                <w:vanish/>
              </w:rPr>
            </w:pPr>
          </w:p>
        </w:tc>
        <w:tc>
          <w:tcPr>
            <w:tcW w:w="0" w:type="auto"/>
            <w:shd w:val="clear" w:color="auto" w:fill="auto"/>
            <w:vAlign w:val="bottom"/>
          </w:tcPr>
          <w:p w14:paraId="392BF012" w14:textId="77777777" w:rsidR="00980E5F" w:rsidRDefault="00980E5F">
            <w:pPr>
              <w:rPr>
                <w:rFonts w:ascii="宋体"/>
                <w:vanish/>
              </w:rPr>
            </w:pPr>
          </w:p>
        </w:tc>
        <w:tc>
          <w:tcPr>
            <w:tcW w:w="0" w:type="auto"/>
            <w:gridSpan w:val="3"/>
            <w:shd w:val="clear" w:color="auto" w:fill="auto"/>
            <w:vAlign w:val="bottom"/>
          </w:tcPr>
          <w:p w14:paraId="392BF013" w14:textId="77777777" w:rsidR="00980E5F" w:rsidRDefault="00980E5F">
            <w:pPr>
              <w:rPr>
                <w:rFonts w:ascii="宋体"/>
                <w:vanish/>
              </w:rPr>
            </w:pPr>
          </w:p>
        </w:tc>
        <w:tc>
          <w:tcPr>
            <w:tcW w:w="0" w:type="auto"/>
            <w:gridSpan w:val="3"/>
            <w:shd w:val="clear" w:color="auto" w:fill="auto"/>
            <w:vAlign w:val="bottom"/>
          </w:tcPr>
          <w:p w14:paraId="392BF014" w14:textId="77777777" w:rsidR="00980E5F" w:rsidRDefault="00980E5F">
            <w:pPr>
              <w:rPr>
                <w:rFonts w:ascii="宋体"/>
                <w:vanish/>
              </w:rPr>
            </w:pPr>
          </w:p>
        </w:tc>
        <w:tc>
          <w:tcPr>
            <w:tcW w:w="0" w:type="auto"/>
            <w:gridSpan w:val="3"/>
            <w:shd w:val="clear" w:color="auto" w:fill="auto"/>
            <w:vAlign w:val="bottom"/>
          </w:tcPr>
          <w:p w14:paraId="392BF015" w14:textId="77777777" w:rsidR="00980E5F" w:rsidRDefault="00980E5F">
            <w:pPr>
              <w:rPr>
                <w:rFonts w:ascii="宋体"/>
                <w:vanish/>
              </w:rPr>
            </w:pPr>
          </w:p>
        </w:tc>
        <w:tc>
          <w:tcPr>
            <w:tcW w:w="0" w:type="auto"/>
            <w:gridSpan w:val="3"/>
            <w:shd w:val="clear" w:color="auto" w:fill="auto"/>
            <w:vAlign w:val="bottom"/>
          </w:tcPr>
          <w:p w14:paraId="392BF016" w14:textId="77777777" w:rsidR="00980E5F" w:rsidRDefault="00980E5F">
            <w:pPr>
              <w:rPr>
                <w:rFonts w:ascii="宋体"/>
                <w:vanish/>
              </w:rPr>
            </w:pPr>
          </w:p>
        </w:tc>
        <w:tc>
          <w:tcPr>
            <w:tcW w:w="0" w:type="auto"/>
            <w:gridSpan w:val="3"/>
            <w:shd w:val="clear" w:color="auto" w:fill="auto"/>
            <w:vAlign w:val="bottom"/>
          </w:tcPr>
          <w:p w14:paraId="392BF017" w14:textId="77777777" w:rsidR="00980E5F" w:rsidRDefault="00980E5F">
            <w:pPr>
              <w:rPr>
                <w:rFonts w:ascii="宋体"/>
                <w:vanish/>
              </w:rPr>
            </w:pPr>
          </w:p>
        </w:tc>
        <w:tc>
          <w:tcPr>
            <w:tcW w:w="0" w:type="auto"/>
            <w:gridSpan w:val="3"/>
            <w:shd w:val="clear" w:color="auto" w:fill="auto"/>
            <w:vAlign w:val="bottom"/>
          </w:tcPr>
          <w:p w14:paraId="392BF018" w14:textId="77777777" w:rsidR="00980E5F" w:rsidRDefault="00980E5F">
            <w:pPr>
              <w:rPr>
                <w:rFonts w:ascii="宋体"/>
                <w:vanish/>
              </w:rPr>
            </w:pPr>
          </w:p>
        </w:tc>
        <w:tc>
          <w:tcPr>
            <w:tcW w:w="0" w:type="auto"/>
            <w:gridSpan w:val="3"/>
            <w:shd w:val="clear" w:color="auto" w:fill="auto"/>
            <w:vAlign w:val="bottom"/>
          </w:tcPr>
          <w:p w14:paraId="392BF019" w14:textId="77777777" w:rsidR="00980E5F" w:rsidRDefault="00980E5F">
            <w:pPr>
              <w:rPr>
                <w:rFonts w:ascii="宋体"/>
                <w:vanish/>
              </w:rPr>
            </w:pPr>
          </w:p>
        </w:tc>
        <w:tc>
          <w:tcPr>
            <w:tcW w:w="0" w:type="auto"/>
            <w:gridSpan w:val="3"/>
            <w:shd w:val="clear" w:color="auto" w:fill="auto"/>
            <w:vAlign w:val="bottom"/>
          </w:tcPr>
          <w:p w14:paraId="392BF01A" w14:textId="77777777" w:rsidR="00980E5F" w:rsidRDefault="00980E5F">
            <w:pPr>
              <w:rPr>
                <w:rFonts w:ascii="宋体"/>
                <w:vanish/>
              </w:rPr>
            </w:pPr>
          </w:p>
        </w:tc>
      </w:tr>
      <w:tr w:rsidR="00980E5F" w14:paraId="392BF032" w14:textId="77777777">
        <w:tc>
          <w:tcPr>
            <w:tcW w:w="0" w:type="auto"/>
            <w:gridSpan w:val="3"/>
            <w:shd w:val="clear" w:color="auto" w:fill="CCEEFF"/>
            <w:tcMar>
              <w:top w:w="40" w:type="dxa"/>
              <w:left w:w="20" w:type="dxa"/>
              <w:bottom w:w="40" w:type="dxa"/>
              <w:right w:w="20" w:type="dxa"/>
            </w:tcMar>
            <w:vAlign w:val="bottom"/>
          </w:tcPr>
          <w:p w14:paraId="392BF01C" w14:textId="77777777" w:rsidR="00980E5F" w:rsidRDefault="00483613">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01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01E" w14:textId="77777777" w:rsidR="00980E5F" w:rsidRDefault="00483613">
            <w:pPr>
              <w:jc w:val="right"/>
              <w:textAlignment w:val="bottom"/>
            </w:pPr>
            <w:r>
              <w:rPr>
                <w:rFonts w:ascii="Arial" w:eastAsia="宋体" w:hAnsi="Arial" w:cs="Arial"/>
                <w:b/>
                <w:bCs/>
                <w:color w:val="000000"/>
                <w:sz w:val="14"/>
                <w:szCs w:val="14"/>
              </w:rPr>
              <w:t>38,180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0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2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02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022" w14:textId="77777777" w:rsidR="00980E5F" w:rsidRDefault="00483613">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0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2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02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026" w14:textId="77777777" w:rsidR="00980E5F" w:rsidRDefault="00483613">
            <w:pPr>
              <w:jc w:val="right"/>
              <w:textAlignment w:val="bottom"/>
            </w:pPr>
            <w:r>
              <w:rPr>
                <w:rFonts w:ascii="Arial" w:eastAsia="宋体" w:hAnsi="Arial" w:cs="Arial"/>
                <w:color w:val="000000"/>
                <w:sz w:val="14"/>
                <w:szCs w:val="14"/>
              </w:rPr>
              <w:t>42,597 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027" w14:textId="77777777" w:rsidR="00980E5F" w:rsidRDefault="00980E5F">
            <w:pPr>
              <w:jc w:val="right"/>
              <w:rPr>
                <w:rFonts w:ascii="宋体"/>
              </w:rPr>
            </w:pPr>
          </w:p>
        </w:tc>
        <w:tc>
          <w:tcPr>
            <w:tcW w:w="0" w:type="auto"/>
            <w:shd w:val="clear" w:color="auto" w:fill="auto"/>
            <w:vAlign w:val="bottom"/>
          </w:tcPr>
          <w:p w14:paraId="392BF028" w14:textId="77777777" w:rsidR="00980E5F" w:rsidRDefault="00980E5F">
            <w:pPr>
              <w:rPr>
                <w:rFonts w:ascii="宋体"/>
                <w:vanish/>
              </w:rPr>
            </w:pPr>
          </w:p>
        </w:tc>
        <w:tc>
          <w:tcPr>
            <w:tcW w:w="0" w:type="auto"/>
            <w:shd w:val="clear" w:color="auto" w:fill="auto"/>
            <w:vAlign w:val="bottom"/>
          </w:tcPr>
          <w:p w14:paraId="392BF029" w14:textId="77777777" w:rsidR="00980E5F" w:rsidRDefault="00980E5F">
            <w:pPr>
              <w:rPr>
                <w:rFonts w:ascii="宋体"/>
                <w:vanish/>
              </w:rPr>
            </w:pPr>
          </w:p>
        </w:tc>
        <w:tc>
          <w:tcPr>
            <w:tcW w:w="0" w:type="auto"/>
            <w:gridSpan w:val="3"/>
            <w:shd w:val="clear" w:color="auto" w:fill="auto"/>
            <w:vAlign w:val="bottom"/>
          </w:tcPr>
          <w:p w14:paraId="392BF02A" w14:textId="77777777" w:rsidR="00980E5F" w:rsidRDefault="00980E5F">
            <w:pPr>
              <w:rPr>
                <w:rFonts w:ascii="宋体"/>
                <w:vanish/>
              </w:rPr>
            </w:pPr>
          </w:p>
        </w:tc>
        <w:tc>
          <w:tcPr>
            <w:tcW w:w="0" w:type="auto"/>
            <w:gridSpan w:val="3"/>
            <w:shd w:val="clear" w:color="auto" w:fill="auto"/>
            <w:vAlign w:val="bottom"/>
          </w:tcPr>
          <w:p w14:paraId="392BF02B" w14:textId="77777777" w:rsidR="00980E5F" w:rsidRDefault="00980E5F">
            <w:pPr>
              <w:rPr>
                <w:rFonts w:ascii="宋体"/>
                <w:vanish/>
              </w:rPr>
            </w:pPr>
          </w:p>
        </w:tc>
        <w:tc>
          <w:tcPr>
            <w:tcW w:w="0" w:type="auto"/>
            <w:gridSpan w:val="3"/>
            <w:shd w:val="clear" w:color="auto" w:fill="auto"/>
            <w:vAlign w:val="bottom"/>
          </w:tcPr>
          <w:p w14:paraId="392BF02C" w14:textId="77777777" w:rsidR="00980E5F" w:rsidRDefault="00980E5F">
            <w:pPr>
              <w:rPr>
                <w:rFonts w:ascii="宋体"/>
                <w:vanish/>
              </w:rPr>
            </w:pPr>
          </w:p>
        </w:tc>
        <w:tc>
          <w:tcPr>
            <w:tcW w:w="0" w:type="auto"/>
            <w:gridSpan w:val="3"/>
            <w:shd w:val="clear" w:color="auto" w:fill="auto"/>
            <w:vAlign w:val="bottom"/>
          </w:tcPr>
          <w:p w14:paraId="392BF02D" w14:textId="77777777" w:rsidR="00980E5F" w:rsidRDefault="00980E5F">
            <w:pPr>
              <w:rPr>
                <w:rFonts w:ascii="宋体"/>
                <w:vanish/>
              </w:rPr>
            </w:pPr>
          </w:p>
        </w:tc>
        <w:tc>
          <w:tcPr>
            <w:tcW w:w="0" w:type="auto"/>
            <w:gridSpan w:val="3"/>
            <w:shd w:val="clear" w:color="auto" w:fill="auto"/>
            <w:vAlign w:val="bottom"/>
          </w:tcPr>
          <w:p w14:paraId="392BF02E" w14:textId="77777777" w:rsidR="00980E5F" w:rsidRDefault="00980E5F">
            <w:pPr>
              <w:rPr>
                <w:rFonts w:ascii="宋体"/>
                <w:vanish/>
              </w:rPr>
            </w:pPr>
          </w:p>
        </w:tc>
        <w:tc>
          <w:tcPr>
            <w:tcW w:w="0" w:type="auto"/>
            <w:gridSpan w:val="3"/>
            <w:shd w:val="clear" w:color="auto" w:fill="auto"/>
            <w:vAlign w:val="bottom"/>
          </w:tcPr>
          <w:p w14:paraId="392BF02F" w14:textId="77777777" w:rsidR="00980E5F" w:rsidRDefault="00980E5F">
            <w:pPr>
              <w:rPr>
                <w:rFonts w:ascii="宋体"/>
                <w:vanish/>
              </w:rPr>
            </w:pPr>
          </w:p>
        </w:tc>
        <w:tc>
          <w:tcPr>
            <w:tcW w:w="0" w:type="auto"/>
            <w:gridSpan w:val="3"/>
            <w:shd w:val="clear" w:color="auto" w:fill="auto"/>
            <w:vAlign w:val="bottom"/>
          </w:tcPr>
          <w:p w14:paraId="392BF030" w14:textId="77777777" w:rsidR="00980E5F" w:rsidRDefault="00980E5F">
            <w:pPr>
              <w:rPr>
                <w:rFonts w:ascii="宋体"/>
                <w:vanish/>
              </w:rPr>
            </w:pPr>
          </w:p>
        </w:tc>
        <w:tc>
          <w:tcPr>
            <w:tcW w:w="0" w:type="auto"/>
            <w:gridSpan w:val="3"/>
            <w:shd w:val="clear" w:color="auto" w:fill="auto"/>
            <w:vAlign w:val="bottom"/>
          </w:tcPr>
          <w:p w14:paraId="392BF031" w14:textId="77777777" w:rsidR="00980E5F" w:rsidRDefault="00980E5F">
            <w:pPr>
              <w:rPr>
                <w:rFonts w:ascii="宋体"/>
                <w:vanish/>
              </w:rPr>
            </w:pPr>
          </w:p>
        </w:tc>
      </w:tr>
    </w:tbl>
    <w:p w14:paraId="392BF033" w14:textId="77777777" w:rsidR="00980E5F" w:rsidRDefault="00980E5F">
      <w:pPr>
        <w:rPr>
          <w:vanish/>
        </w:rPr>
      </w:pPr>
    </w:p>
    <w:tbl>
      <w:tblPr>
        <w:tblW w:w="4874" w:type="pct"/>
        <w:tblCellMar>
          <w:top w:w="15" w:type="dxa"/>
          <w:left w:w="15" w:type="dxa"/>
          <w:bottom w:w="15" w:type="dxa"/>
          <w:right w:w="15" w:type="dxa"/>
        </w:tblCellMar>
        <w:tblLook w:val="04A0" w:firstRow="1" w:lastRow="0" w:firstColumn="1" w:lastColumn="0" w:noHBand="0" w:noVBand="1"/>
      </w:tblPr>
      <w:tblGrid>
        <w:gridCol w:w="38"/>
        <w:gridCol w:w="2046"/>
        <w:gridCol w:w="36"/>
        <w:gridCol w:w="98"/>
        <w:gridCol w:w="1384"/>
        <w:gridCol w:w="36"/>
        <w:gridCol w:w="36"/>
        <w:gridCol w:w="36"/>
        <w:gridCol w:w="36"/>
        <w:gridCol w:w="99"/>
        <w:gridCol w:w="1628"/>
        <w:gridCol w:w="37"/>
        <w:gridCol w:w="36"/>
        <w:gridCol w:w="36"/>
        <w:gridCol w:w="36"/>
        <w:gridCol w:w="98"/>
        <w:gridCol w:w="122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F052" w14:textId="77777777">
        <w:tc>
          <w:tcPr>
            <w:tcW w:w="50" w:type="pct"/>
            <w:shd w:val="clear" w:color="auto" w:fill="auto"/>
            <w:vAlign w:val="bottom"/>
          </w:tcPr>
          <w:p w14:paraId="392BF034" w14:textId="77777777" w:rsidR="00980E5F" w:rsidRDefault="00980E5F">
            <w:pPr>
              <w:rPr>
                <w:rFonts w:ascii="宋体"/>
              </w:rPr>
            </w:pPr>
          </w:p>
        </w:tc>
        <w:tc>
          <w:tcPr>
            <w:tcW w:w="1509" w:type="pct"/>
            <w:shd w:val="clear" w:color="auto" w:fill="auto"/>
            <w:vAlign w:val="bottom"/>
          </w:tcPr>
          <w:p w14:paraId="392BF035" w14:textId="77777777" w:rsidR="00980E5F" w:rsidRDefault="00980E5F">
            <w:pPr>
              <w:rPr>
                <w:rFonts w:ascii="宋体"/>
              </w:rPr>
            </w:pPr>
          </w:p>
        </w:tc>
        <w:tc>
          <w:tcPr>
            <w:tcW w:w="5" w:type="pct"/>
            <w:shd w:val="clear" w:color="auto" w:fill="auto"/>
            <w:vAlign w:val="bottom"/>
          </w:tcPr>
          <w:p w14:paraId="392BF036" w14:textId="77777777" w:rsidR="00980E5F" w:rsidRDefault="00980E5F">
            <w:pPr>
              <w:rPr>
                <w:rFonts w:ascii="宋体"/>
              </w:rPr>
            </w:pPr>
          </w:p>
        </w:tc>
        <w:tc>
          <w:tcPr>
            <w:tcW w:w="50" w:type="pct"/>
            <w:shd w:val="clear" w:color="auto" w:fill="auto"/>
            <w:vAlign w:val="bottom"/>
          </w:tcPr>
          <w:p w14:paraId="392BF037" w14:textId="77777777" w:rsidR="00980E5F" w:rsidRDefault="00980E5F">
            <w:pPr>
              <w:rPr>
                <w:rFonts w:ascii="宋体"/>
              </w:rPr>
            </w:pPr>
          </w:p>
        </w:tc>
        <w:tc>
          <w:tcPr>
            <w:tcW w:w="1025" w:type="pct"/>
            <w:shd w:val="clear" w:color="auto" w:fill="auto"/>
            <w:vAlign w:val="bottom"/>
          </w:tcPr>
          <w:p w14:paraId="392BF038" w14:textId="77777777" w:rsidR="00980E5F" w:rsidRDefault="00980E5F">
            <w:pPr>
              <w:rPr>
                <w:rFonts w:ascii="宋体"/>
              </w:rPr>
            </w:pPr>
          </w:p>
        </w:tc>
        <w:tc>
          <w:tcPr>
            <w:tcW w:w="5" w:type="pct"/>
            <w:shd w:val="clear" w:color="auto" w:fill="auto"/>
            <w:vAlign w:val="bottom"/>
          </w:tcPr>
          <w:p w14:paraId="392BF039" w14:textId="77777777" w:rsidR="00980E5F" w:rsidRDefault="00980E5F">
            <w:pPr>
              <w:rPr>
                <w:rFonts w:ascii="宋体"/>
              </w:rPr>
            </w:pPr>
          </w:p>
        </w:tc>
        <w:tc>
          <w:tcPr>
            <w:tcW w:w="5" w:type="pct"/>
            <w:shd w:val="clear" w:color="auto" w:fill="auto"/>
            <w:vAlign w:val="bottom"/>
          </w:tcPr>
          <w:p w14:paraId="392BF03A" w14:textId="77777777" w:rsidR="00980E5F" w:rsidRDefault="00980E5F">
            <w:pPr>
              <w:rPr>
                <w:rFonts w:ascii="宋体"/>
              </w:rPr>
            </w:pPr>
          </w:p>
        </w:tc>
        <w:tc>
          <w:tcPr>
            <w:tcW w:w="54" w:type="pct"/>
            <w:shd w:val="clear" w:color="auto" w:fill="auto"/>
            <w:vAlign w:val="bottom"/>
          </w:tcPr>
          <w:p w14:paraId="392BF03B" w14:textId="77777777" w:rsidR="00980E5F" w:rsidRDefault="00980E5F">
            <w:pPr>
              <w:rPr>
                <w:rFonts w:ascii="宋体"/>
              </w:rPr>
            </w:pPr>
          </w:p>
        </w:tc>
        <w:tc>
          <w:tcPr>
            <w:tcW w:w="5" w:type="pct"/>
            <w:shd w:val="clear" w:color="auto" w:fill="auto"/>
            <w:vAlign w:val="bottom"/>
          </w:tcPr>
          <w:p w14:paraId="392BF03C" w14:textId="77777777" w:rsidR="00980E5F" w:rsidRDefault="00980E5F">
            <w:pPr>
              <w:rPr>
                <w:rFonts w:ascii="宋体"/>
              </w:rPr>
            </w:pPr>
          </w:p>
        </w:tc>
        <w:tc>
          <w:tcPr>
            <w:tcW w:w="50" w:type="pct"/>
            <w:shd w:val="clear" w:color="auto" w:fill="auto"/>
            <w:vAlign w:val="bottom"/>
          </w:tcPr>
          <w:p w14:paraId="392BF03D" w14:textId="77777777" w:rsidR="00980E5F" w:rsidRDefault="00980E5F">
            <w:pPr>
              <w:rPr>
                <w:rFonts w:ascii="宋体"/>
              </w:rPr>
            </w:pPr>
          </w:p>
        </w:tc>
        <w:tc>
          <w:tcPr>
            <w:tcW w:w="1203" w:type="pct"/>
            <w:shd w:val="clear" w:color="auto" w:fill="auto"/>
            <w:vAlign w:val="bottom"/>
          </w:tcPr>
          <w:p w14:paraId="392BF03E" w14:textId="77777777" w:rsidR="00980E5F" w:rsidRDefault="00980E5F">
            <w:pPr>
              <w:rPr>
                <w:rFonts w:ascii="宋体"/>
              </w:rPr>
            </w:pPr>
          </w:p>
        </w:tc>
        <w:tc>
          <w:tcPr>
            <w:tcW w:w="5" w:type="pct"/>
            <w:shd w:val="clear" w:color="auto" w:fill="auto"/>
            <w:vAlign w:val="bottom"/>
          </w:tcPr>
          <w:p w14:paraId="392BF03F" w14:textId="77777777" w:rsidR="00980E5F" w:rsidRDefault="00980E5F">
            <w:pPr>
              <w:rPr>
                <w:rFonts w:ascii="宋体"/>
              </w:rPr>
            </w:pPr>
          </w:p>
        </w:tc>
        <w:tc>
          <w:tcPr>
            <w:tcW w:w="5" w:type="pct"/>
            <w:shd w:val="clear" w:color="auto" w:fill="auto"/>
            <w:vAlign w:val="bottom"/>
          </w:tcPr>
          <w:p w14:paraId="392BF040" w14:textId="77777777" w:rsidR="00980E5F" w:rsidRDefault="00980E5F">
            <w:pPr>
              <w:rPr>
                <w:rFonts w:ascii="宋体"/>
              </w:rPr>
            </w:pPr>
          </w:p>
        </w:tc>
        <w:tc>
          <w:tcPr>
            <w:tcW w:w="54" w:type="pct"/>
            <w:shd w:val="clear" w:color="auto" w:fill="auto"/>
            <w:vAlign w:val="bottom"/>
          </w:tcPr>
          <w:p w14:paraId="392BF041" w14:textId="77777777" w:rsidR="00980E5F" w:rsidRDefault="00980E5F">
            <w:pPr>
              <w:rPr>
                <w:rFonts w:ascii="宋体"/>
              </w:rPr>
            </w:pPr>
          </w:p>
        </w:tc>
        <w:tc>
          <w:tcPr>
            <w:tcW w:w="5" w:type="pct"/>
            <w:shd w:val="clear" w:color="auto" w:fill="auto"/>
            <w:vAlign w:val="bottom"/>
          </w:tcPr>
          <w:p w14:paraId="392BF042" w14:textId="77777777" w:rsidR="00980E5F" w:rsidRDefault="00980E5F">
            <w:pPr>
              <w:rPr>
                <w:rFonts w:ascii="宋体"/>
              </w:rPr>
            </w:pPr>
          </w:p>
        </w:tc>
        <w:tc>
          <w:tcPr>
            <w:tcW w:w="50" w:type="pct"/>
            <w:shd w:val="clear" w:color="auto" w:fill="auto"/>
            <w:vAlign w:val="bottom"/>
          </w:tcPr>
          <w:p w14:paraId="392BF043" w14:textId="77777777" w:rsidR="00980E5F" w:rsidRDefault="00980E5F">
            <w:pPr>
              <w:rPr>
                <w:rFonts w:ascii="宋体"/>
              </w:rPr>
            </w:pPr>
          </w:p>
        </w:tc>
        <w:tc>
          <w:tcPr>
            <w:tcW w:w="912" w:type="pct"/>
            <w:shd w:val="clear" w:color="auto" w:fill="auto"/>
            <w:vAlign w:val="bottom"/>
          </w:tcPr>
          <w:p w14:paraId="392BF044" w14:textId="77777777" w:rsidR="00980E5F" w:rsidRDefault="00980E5F">
            <w:pPr>
              <w:rPr>
                <w:rFonts w:ascii="宋体"/>
              </w:rPr>
            </w:pPr>
          </w:p>
        </w:tc>
        <w:tc>
          <w:tcPr>
            <w:tcW w:w="5" w:type="pct"/>
            <w:shd w:val="clear" w:color="auto" w:fill="auto"/>
            <w:vAlign w:val="bottom"/>
          </w:tcPr>
          <w:p w14:paraId="392BF045" w14:textId="77777777" w:rsidR="00980E5F" w:rsidRDefault="00980E5F">
            <w:pPr>
              <w:rPr>
                <w:rFonts w:ascii="宋体"/>
              </w:rPr>
            </w:pPr>
          </w:p>
        </w:tc>
        <w:tc>
          <w:tcPr>
            <w:tcW w:w="0" w:type="auto"/>
            <w:shd w:val="clear" w:color="auto" w:fill="auto"/>
            <w:vAlign w:val="bottom"/>
          </w:tcPr>
          <w:p w14:paraId="392BF046" w14:textId="77777777" w:rsidR="00980E5F" w:rsidRDefault="00980E5F">
            <w:pPr>
              <w:rPr>
                <w:rFonts w:ascii="宋体"/>
                <w:vanish/>
              </w:rPr>
            </w:pPr>
          </w:p>
        </w:tc>
        <w:tc>
          <w:tcPr>
            <w:tcW w:w="0" w:type="auto"/>
            <w:shd w:val="clear" w:color="auto" w:fill="auto"/>
            <w:vAlign w:val="bottom"/>
          </w:tcPr>
          <w:p w14:paraId="392BF047" w14:textId="77777777" w:rsidR="00980E5F" w:rsidRDefault="00980E5F">
            <w:pPr>
              <w:rPr>
                <w:rFonts w:ascii="宋体"/>
                <w:vanish/>
              </w:rPr>
            </w:pPr>
          </w:p>
        </w:tc>
        <w:tc>
          <w:tcPr>
            <w:tcW w:w="0" w:type="auto"/>
            <w:gridSpan w:val="3"/>
            <w:shd w:val="clear" w:color="auto" w:fill="auto"/>
            <w:vAlign w:val="bottom"/>
          </w:tcPr>
          <w:p w14:paraId="392BF048" w14:textId="77777777" w:rsidR="00980E5F" w:rsidRDefault="00980E5F">
            <w:pPr>
              <w:rPr>
                <w:rFonts w:ascii="宋体"/>
                <w:vanish/>
              </w:rPr>
            </w:pPr>
          </w:p>
        </w:tc>
        <w:tc>
          <w:tcPr>
            <w:tcW w:w="0" w:type="auto"/>
            <w:gridSpan w:val="3"/>
            <w:shd w:val="clear" w:color="auto" w:fill="auto"/>
            <w:vAlign w:val="bottom"/>
          </w:tcPr>
          <w:p w14:paraId="392BF049" w14:textId="77777777" w:rsidR="00980E5F" w:rsidRDefault="00980E5F">
            <w:pPr>
              <w:rPr>
                <w:rFonts w:ascii="宋体"/>
                <w:vanish/>
              </w:rPr>
            </w:pPr>
          </w:p>
        </w:tc>
        <w:tc>
          <w:tcPr>
            <w:tcW w:w="0" w:type="auto"/>
            <w:gridSpan w:val="3"/>
            <w:shd w:val="clear" w:color="auto" w:fill="auto"/>
            <w:vAlign w:val="bottom"/>
          </w:tcPr>
          <w:p w14:paraId="392BF04A" w14:textId="77777777" w:rsidR="00980E5F" w:rsidRDefault="00980E5F">
            <w:pPr>
              <w:rPr>
                <w:rFonts w:ascii="宋体"/>
                <w:vanish/>
              </w:rPr>
            </w:pPr>
          </w:p>
        </w:tc>
        <w:tc>
          <w:tcPr>
            <w:tcW w:w="0" w:type="auto"/>
            <w:gridSpan w:val="3"/>
            <w:shd w:val="clear" w:color="auto" w:fill="auto"/>
            <w:vAlign w:val="bottom"/>
          </w:tcPr>
          <w:p w14:paraId="392BF04B" w14:textId="77777777" w:rsidR="00980E5F" w:rsidRDefault="00980E5F">
            <w:pPr>
              <w:rPr>
                <w:rFonts w:ascii="宋体"/>
                <w:vanish/>
              </w:rPr>
            </w:pPr>
          </w:p>
        </w:tc>
        <w:tc>
          <w:tcPr>
            <w:tcW w:w="0" w:type="auto"/>
            <w:gridSpan w:val="3"/>
            <w:shd w:val="clear" w:color="auto" w:fill="auto"/>
            <w:vAlign w:val="bottom"/>
          </w:tcPr>
          <w:p w14:paraId="392BF04C" w14:textId="77777777" w:rsidR="00980E5F" w:rsidRDefault="00980E5F">
            <w:pPr>
              <w:rPr>
                <w:rFonts w:ascii="宋体"/>
                <w:vanish/>
              </w:rPr>
            </w:pPr>
          </w:p>
        </w:tc>
        <w:tc>
          <w:tcPr>
            <w:tcW w:w="0" w:type="auto"/>
            <w:gridSpan w:val="3"/>
            <w:shd w:val="clear" w:color="auto" w:fill="auto"/>
            <w:vAlign w:val="bottom"/>
          </w:tcPr>
          <w:p w14:paraId="392BF04D" w14:textId="77777777" w:rsidR="00980E5F" w:rsidRDefault="00980E5F">
            <w:pPr>
              <w:rPr>
                <w:rFonts w:ascii="宋体"/>
                <w:vanish/>
              </w:rPr>
            </w:pPr>
          </w:p>
        </w:tc>
        <w:tc>
          <w:tcPr>
            <w:tcW w:w="0" w:type="auto"/>
            <w:gridSpan w:val="3"/>
            <w:shd w:val="clear" w:color="auto" w:fill="auto"/>
            <w:vAlign w:val="bottom"/>
          </w:tcPr>
          <w:p w14:paraId="392BF04E" w14:textId="77777777" w:rsidR="00980E5F" w:rsidRDefault="00980E5F">
            <w:pPr>
              <w:rPr>
                <w:rFonts w:ascii="宋体"/>
                <w:vanish/>
              </w:rPr>
            </w:pPr>
          </w:p>
        </w:tc>
        <w:tc>
          <w:tcPr>
            <w:tcW w:w="0" w:type="auto"/>
            <w:gridSpan w:val="3"/>
            <w:shd w:val="clear" w:color="auto" w:fill="auto"/>
            <w:vAlign w:val="bottom"/>
          </w:tcPr>
          <w:p w14:paraId="392BF04F" w14:textId="77777777" w:rsidR="00980E5F" w:rsidRDefault="00980E5F">
            <w:pPr>
              <w:rPr>
                <w:rFonts w:ascii="宋体"/>
                <w:vanish/>
              </w:rPr>
            </w:pPr>
          </w:p>
        </w:tc>
        <w:tc>
          <w:tcPr>
            <w:tcW w:w="0" w:type="auto"/>
            <w:gridSpan w:val="3"/>
            <w:shd w:val="clear" w:color="auto" w:fill="auto"/>
            <w:vAlign w:val="bottom"/>
          </w:tcPr>
          <w:p w14:paraId="392BF050" w14:textId="77777777" w:rsidR="00980E5F" w:rsidRDefault="00980E5F">
            <w:pPr>
              <w:rPr>
                <w:rFonts w:ascii="宋体"/>
                <w:vanish/>
              </w:rPr>
            </w:pPr>
          </w:p>
        </w:tc>
        <w:tc>
          <w:tcPr>
            <w:tcW w:w="0" w:type="auto"/>
            <w:gridSpan w:val="3"/>
            <w:shd w:val="clear" w:color="auto" w:fill="auto"/>
            <w:vAlign w:val="bottom"/>
          </w:tcPr>
          <w:p w14:paraId="392BF051" w14:textId="77777777" w:rsidR="00980E5F" w:rsidRDefault="00980E5F">
            <w:pPr>
              <w:rPr>
                <w:rFonts w:ascii="宋体"/>
                <w:vanish/>
              </w:rPr>
            </w:pPr>
          </w:p>
        </w:tc>
      </w:tr>
      <w:tr w:rsidR="00980E5F" w14:paraId="392BF074" w14:textId="77777777">
        <w:tc>
          <w:tcPr>
            <w:tcW w:w="0" w:type="auto"/>
            <w:gridSpan w:val="18"/>
            <w:shd w:val="clear" w:color="auto" w:fill="auto"/>
            <w:tcMar>
              <w:top w:w="40" w:type="dxa"/>
              <w:left w:w="20" w:type="dxa"/>
              <w:bottom w:w="40" w:type="dxa"/>
              <w:right w:w="20" w:type="dxa"/>
            </w:tcMar>
            <w:vAlign w:val="bottom"/>
          </w:tcPr>
          <w:p w14:paraId="392BF053" w14:textId="77777777" w:rsidR="00980E5F" w:rsidRDefault="00483613">
            <w:pPr>
              <w:textAlignment w:val="bottom"/>
            </w:pPr>
            <w:r>
              <w:rPr>
                <w:rFonts w:ascii="Arial" w:eastAsia="宋体" w:hAnsi="Arial" w:cs="Arial"/>
                <w:b/>
                <w:bCs/>
                <w:color w:val="000000"/>
                <w:sz w:val="16"/>
                <w:szCs w:val="16"/>
              </w:rPr>
              <w:t>TABLE 7: ASSETS UNDER CUSTODY AND/OR ADMINISTRATION BY ASSET CLASS</w:t>
            </w:r>
            <w:r>
              <w:rPr>
                <w:rFonts w:ascii="Arial" w:eastAsia="宋体" w:hAnsi="Arial" w:cs="Arial"/>
                <w:b/>
                <w:bCs/>
                <w:color w:val="000000"/>
                <w:sz w:val="10"/>
                <w:szCs w:val="10"/>
              </w:rPr>
              <w:t>(1)</w:t>
            </w:r>
          </w:p>
        </w:tc>
        <w:tc>
          <w:tcPr>
            <w:tcW w:w="0" w:type="auto"/>
            <w:shd w:val="clear" w:color="auto" w:fill="auto"/>
            <w:vAlign w:val="bottom"/>
          </w:tcPr>
          <w:p w14:paraId="392BF054" w14:textId="77777777" w:rsidR="00980E5F" w:rsidRDefault="00980E5F">
            <w:pPr>
              <w:rPr>
                <w:rFonts w:ascii="宋体"/>
                <w:vanish/>
              </w:rPr>
            </w:pPr>
          </w:p>
        </w:tc>
        <w:tc>
          <w:tcPr>
            <w:tcW w:w="0" w:type="auto"/>
            <w:shd w:val="clear" w:color="auto" w:fill="auto"/>
            <w:vAlign w:val="bottom"/>
          </w:tcPr>
          <w:p w14:paraId="392BF055" w14:textId="77777777" w:rsidR="00980E5F" w:rsidRDefault="00980E5F">
            <w:pPr>
              <w:rPr>
                <w:rFonts w:ascii="宋体"/>
                <w:vanish/>
              </w:rPr>
            </w:pPr>
          </w:p>
        </w:tc>
        <w:tc>
          <w:tcPr>
            <w:tcW w:w="0" w:type="auto"/>
            <w:shd w:val="clear" w:color="auto" w:fill="auto"/>
            <w:vAlign w:val="bottom"/>
          </w:tcPr>
          <w:p w14:paraId="392BF056" w14:textId="77777777" w:rsidR="00980E5F" w:rsidRDefault="00980E5F">
            <w:pPr>
              <w:rPr>
                <w:rFonts w:ascii="宋体"/>
              </w:rPr>
            </w:pPr>
          </w:p>
        </w:tc>
        <w:tc>
          <w:tcPr>
            <w:tcW w:w="0" w:type="auto"/>
            <w:shd w:val="clear" w:color="auto" w:fill="auto"/>
            <w:vAlign w:val="bottom"/>
          </w:tcPr>
          <w:p w14:paraId="392BF057" w14:textId="77777777" w:rsidR="00980E5F" w:rsidRDefault="00980E5F">
            <w:pPr>
              <w:rPr>
                <w:rFonts w:ascii="宋体"/>
              </w:rPr>
            </w:pPr>
          </w:p>
        </w:tc>
        <w:tc>
          <w:tcPr>
            <w:tcW w:w="0" w:type="auto"/>
            <w:shd w:val="clear" w:color="auto" w:fill="auto"/>
            <w:vAlign w:val="bottom"/>
          </w:tcPr>
          <w:p w14:paraId="392BF058" w14:textId="77777777" w:rsidR="00980E5F" w:rsidRDefault="00980E5F">
            <w:pPr>
              <w:rPr>
                <w:rFonts w:ascii="宋体"/>
              </w:rPr>
            </w:pPr>
          </w:p>
        </w:tc>
        <w:tc>
          <w:tcPr>
            <w:tcW w:w="0" w:type="auto"/>
            <w:shd w:val="clear" w:color="auto" w:fill="auto"/>
            <w:vAlign w:val="bottom"/>
          </w:tcPr>
          <w:p w14:paraId="392BF059" w14:textId="77777777" w:rsidR="00980E5F" w:rsidRDefault="00980E5F">
            <w:pPr>
              <w:rPr>
                <w:rFonts w:ascii="宋体"/>
              </w:rPr>
            </w:pPr>
          </w:p>
        </w:tc>
        <w:tc>
          <w:tcPr>
            <w:tcW w:w="0" w:type="auto"/>
            <w:shd w:val="clear" w:color="auto" w:fill="auto"/>
            <w:vAlign w:val="bottom"/>
          </w:tcPr>
          <w:p w14:paraId="392BF05A" w14:textId="77777777" w:rsidR="00980E5F" w:rsidRDefault="00980E5F">
            <w:pPr>
              <w:rPr>
                <w:rFonts w:ascii="宋体"/>
              </w:rPr>
            </w:pPr>
          </w:p>
        </w:tc>
        <w:tc>
          <w:tcPr>
            <w:tcW w:w="0" w:type="auto"/>
            <w:shd w:val="clear" w:color="auto" w:fill="auto"/>
            <w:vAlign w:val="bottom"/>
          </w:tcPr>
          <w:p w14:paraId="392BF05B" w14:textId="77777777" w:rsidR="00980E5F" w:rsidRDefault="00980E5F">
            <w:pPr>
              <w:rPr>
                <w:rFonts w:ascii="宋体"/>
              </w:rPr>
            </w:pPr>
          </w:p>
        </w:tc>
        <w:tc>
          <w:tcPr>
            <w:tcW w:w="0" w:type="auto"/>
            <w:shd w:val="clear" w:color="auto" w:fill="auto"/>
            <w:vAlign w:val="bottom"/>
          </w:tcPr>
          <w:p w14:paraId="392BF05C" w14:textId="77777777" w:rsidR="00980E5F" w:rsidRDefault="00980E5F">
            <w:pPr>
              <w:rPr>
                <w:rFonts w:ascii="宋体"/>
              </w:rPr>
            </w:pPr>
          </w:p>
        </w:tc>
        <w:tc>
          <w:tcPr>
            <w:tcW w:w="0" w:type="auto"/>
            <w:shd w:val="clear" w:color="auto" w:fill="auto"/>
            <w:vAlign w:val="bottom"/>
          </w:tcPr>
          <w:p w14:paraId="392BF05D" w14:textId="77777777" w:rsidR="00980E5F" w:rsidRDefault="00980E5F">
            <w:pPr>
              <w:rPr>
                <w:rFonts w:ascii="宋体"/>
              </w:rPr>
            </w:pPr>
          </w:p>
        </w:tc>
        <w:tc>
          <w:tcPr>
            <w:tcW w:w="0" w:type="auto"/>
            <w:shd w:val="clear" w:color="auto" w:fill="auto"/>
            <w:vAlign w:val="bottom"/>
          </w:tcPr>
          <w:p w14:paraId="392BF05E" w14:textId="77777777" w:rsidR="00980E5F" w:rsidRDefault="00980E5F">
            <w:pPr>
              <w:rPr>
                <w:rFonts w:ascii="宋体"/>
              </w:rPr>
            </w:pPr>
          </w:p>
        </w:tc>
        <w:tc>
          <w:tcPr>
            <w:tcW w:w="0" w:type="auto"/>
            <w:shd w:val="clear" w:color="auto" w:fill="auto"/>
            <w:vAlign w:val="bottom"/>
          </w:tcPr>
          <w:p w14:paraId="392BF05F" w14:textId="77777777" w:rsidR="00980E5F" w:rsidRDefault="00980E5F">
            <w:pPr>
              <w:rPr>
                <w:rFonts w:ascii="宋体"/>
              </w:rPr>
            </w:pPr>
          </w:p>
        </w:tc>
        <w:tc>
          <w:tcPr>
            <w:tcW w:w="0" w:type="auto"/>
            <w:shd w:val="clear" w:color="auto" w:fill="auto"/>
            <w:vAlign w:val="bottom"/>
          </w:tcPr>
          <w:p w14:paraId="392BF060" w14:textId="77777777" w:rsidR="00980E5F" w:rsidRDefault="00980E5F">
            <w:pPr>
              <w:rPr>
                <w:rFonts w:ascii="宋体"/>
              </w:rPr>
            </w:pPr>
          </w:p>
        </w:tc>
        <w:tc>
          <w:tcPr>
            <w:tcW w:w="0" w:type="auto"/>
            <w:shd w:val="clear" w:color="auto" w:fill="auto"/>
            <w:vAlign w:val="bottom"/>
          </w:tcPr>
          <w:p w14:paraId="392BF061" w14:textId="77777777" w:rsidR="00980E5F" w:rsidRDefault="00980E5F">
            <w:pPr>
              <w:rPr>
                <w:rFonts w:ascii="宋体"/>
              </w:rPr>
            </w:pPr>
          </w:p>
        </w:tc>
        <w:tc>
          <w:tcPr>
            <w:tcW w:w="0" w:type="auto"/>
            <w:shd w:val="clear" w:color="auto" w:fill="auto"/>
            <w:vAlign w:val="bottom"/>
          </w:tcPr>
          <w:p w14:paraId="392BF062" w14:textId="77777777" w:rsidR="00980E5F" w:rsidRDefault="00980E5F">
            <w:pPr>
              <w:rPr>
                <w:rFonts w:ascii="宋体"/>
              </w:rPr>
            </w:pPr>
          </w:p>
        </w:tc>
        <w:tc>
          <w:tcPr>
            <w:tcW w:w="0" w:type="auto"/>
            <w:shd w:val="clear" w:color="auto" w:fill="auto"/>
            <w:vAlign w:val="bottom"/>
          </w:tcPr>
          <w:p w14:paraId="392BF063" w14:textId="77777777" w:rsidR="00980E5F" w:rsidRDefault="00980E5F">
            <w:pPr>
              <w:rPr>
                <w:rFonts w:ascii="宋体"/>
              </w:rPr>
            </w:pPr>
          </w:p>
        </w:tc>
        <w:tc>
          <w:tcPr>
            <w:tcW w:w="0" w:type="auto"/>
            <w:shd w:val="clear" w:color="auto" w:fill="auto"/>
            <w:vAlign w:val="bottom"/>
          </w:tcPr>
          <w:p w14:paraId="392BF064" w14:textId="77777777" w:rsidR="00980E5F" w:rsidRDefault="00980E5F">
            <w:pPr>
              <w:rPr>
                <w:rFonts w:ascii="宋体"/>
              </w:rPr>
            </w:pPr>
          </w:p>
        </w:tc>
        <w:tc>
          <w:tcPr>
            <w:tcW w:w="0" w:type="auto"/>
            <w:shd w:val="clear" w:color="auto" w:fill="auto"/>
            <w:vAlign w:val="bottom"/>
          </w:tcPr>
          <w:p w14:paraId="392BF065" w14:textId="77777777" w:rsidR="00980E5F" w:rsidRDefault="00980E5F">
            <w:pPr>
              <w:rPr>
                <w:rFonts w:ascii="宋体"/>
              </w:rPr>
            </w:pPr>
          </w:p>
        </w:tc>
        <w:tc>
          <w:tcPr>
            <w:tcW w:w="0" w:type="auto"/>
            <w:shd w:val="clear" w:color="auto" w:fill="auto"/>
            <w:vAlign w:val="bottom"/>
          </w:tcPr>
          <w:p w14:paraId="392BF066" w14:textId="77777777" w:rsidR="00980E5F" w:rsidRDefault="00980E5F">
            <w:pPr>
              <w:rPr>
                <w:rFonts w:ascii="宋体"/>
              </w:rPr>
            </w:pPr>
          </w:p>
        </w:tc>
        <w:tc>
          <w:tcPr>
            <w:tcW w:w="0" w:type="auto"/>
            <w:shd w:val="clear" w:color="auto" w:fill="auto"/>
            <w:vAlign w:val="bottom"/>
          </w:tcPr>
          <w:p w14:paraId="392BF067" w14:textId="77777777" w:rsidR="00980E5F" w:rsidRDefault="00980E5F">
            <w:pPr>
              <w:rPr>
                <w:rFonts w:ascii="宋体"/>
              </w:rPr>
            </w:pPr>
          </w:p>
        </w:tc>
        <w:tc>
          <w:tcPr>
            <w:tcW w:w="0" w:type="auto"/>
            <w:shd w:val="clear" w:color="auto" w:fill="auto"/>
            <w:vAlign w:val="bottom"/>
          </w:tcPr>
          <w:p w14:paraId="392BF068" w14:textId="77777777" w:rsidR="00980E5F" w:rsidRDefault="00980E5F">
            <w:pPr>
              <w:rPr>
                <w:rFonts w:ascii="宋体"/>
              </w:rPr>
            </w:pPr>
          </w:p>
        </w:tc>
        <w:tc>
          <w:tcPr>
            <w:tcW w:w="0" w:type="auto"/>
            <w:shd w:val="clear" w:color="auto" w:fill="auto"/>
            <w:vAlign w:val="bottom"/>
          </w:tcPr>
          <w:p w14:paraId="392BF069" w14:textId="77777777" w:rsidR="00980E5F" w:rsidRDefault="00980E5F">
            <w:pPr>
              <w:rPr>
                <w:rFonts w:ascii="宋体"/>
              </w:rPr>
            </w:pPr>
          </w:p>
        </w:tc>
        <w:tc>
          <w:tcPr>
            <w:tcW w:w="0" w:type="auto"/>
            <w:shd w:val="clear" w:color="auto" w:fill="auto"/>
            <w:vAlign w:val="bottom"/>
          </w:tcPr>
          <w:p w14:paraId="392BF06A" w14:textId="77777777" w:rsidR="00980E5F" w:rsidRDefault="00980E5F">
            <w:pPr>
              <w:rPr>
                <w:rFonts w:ascii="宋体"/>
              </w:rPr>
            </w:pPr>
          </w:p>
        </w:tc>
        <w:tc>
          <w:tcPr>
            <w:tcW w:w="0" w:type="auto"/>
            <w:shd w:val="clear" w:color="auto" w:fill="auto"/>
            <w:vAlign w:val="bottom"/>
          </w:tcPr>
          <w:p w14:paraId="392BF06B" w14:textId="77777777" w:rsidR="00980E5F" w:rsidRDefault="00980E5F">
            <w:pPr>
              <w:rPr>
                <w:rFonts w:ascii="宋体"/>
              </w:rPr>
            </w:pPr>
          </w:p>
        </w:tc>
        <w:tc>
          <w:tcPr>
            <w:tcW w:w="0" w:type="auto"/>
            <w:shd w:val="clear" w:color="auto" w:fill="auto"/>
            <w:vAlign w:val="bottom"/>
          </w:tcPr>
          <w:p w14:paraId="392BF06C" w14:textId="77777777" w:rsidR="00980E5F" w:rsidRDefault="00980E5F">
            <w:pPr>
              <w:rPr>
                <w:rFonts w:ascii="宋体"/>
              </w:rPr>
            </w:pPr>
          </w:p>
        </w:tc>
        <w:tc>
          <w:tcPr>
            <w:tcW w:w="0" w:type="auto"/>
            <w:shd w:val="clear" w:color="auto" w:fill="auto"/>
            <w:vAlign w:val="bottom"/>
          </w:tcPr>
          <w:p w14:paraId="392BF06D" w14:textId="77777777" w:rsidR="00980E5F" w:rsidRDefault="00980E5F">
            <w:pPr>
              <w:rPr>
                <w:rFonts w:ascii="宋体"/>
              </w:rPr>
            </w:pPr>
          </w:p>
        </w:tc>
        <w:tc>
          <w:tcPr>
            <w:tcW w:w="0" w:type="auto"/>
            <w:shd w:val="clear" w:color="auto" w:fill="auto"/>
            <w:vAlign w:val="bottom"/>
          </w:tcPr>
          <w:p w14:paraId="392BF06E" w14:textId="77777777" w:rsidR="00980E5F" w:rsidRDefault="00980E5F">
            <w:pPr>
              <w:rPr>
                <w:rFonts w:ascii="宋体"/>
              </w:rPr>
            </w:pPr>
          </w:p>
        </w:tc>
        <w:tc>
          <w:tcPr>
            <w:tcW w:w="0" w:type="auto"/>
            <w:shd w:val="clear" w:color="auto" w:fill="auto"/>
            <w:vAlign w:val="bottom"/>
          </w:tcPr>
          <w:p w14:paraId="392BF06F" w14:textId="77777777" w:rsidR="00980E5F" w:rsidRDefault="00980E5F">
            <w:pPr>
              <w:rPr>
                <w:rFonts w:ascii="宋体"/>
              </w:rPr>
            </w:pPr>
          </w:p>
        </w:tc>
        <w:tc>
          <w:tcPr>
            <w:tcW w:w="0" w:type="auto"/>
            <w:shd w:val="clear" w:color="auto" w:fill="auto"/>
            <w:vAlign w:val="bottom"/>
          </w:tcPr>
          <w:p w14:paraId="392BF070" w14:textId="77777777" w:rsidR="00980E5F" w:rsidRDefault="00980E5F">
            <w:pPr>
              <w:rPr>
                <w:rFonts w:ascii="宋体"/>
              </w:rPr>
            </w:pPr>
          </w:p>
        </w:tc>
        <w:tc>
          <w:tcPr>
            <w:tcW w:w="0" w:type="auto"/>
            <w:shd w:val="clear" w:color="auto" w:fill="auto"/>
            <w:vAlign w:val="bottom"/>
          </w:tcPr>
          <w:p w14:paraId="392BF071" w14:textId="77777777" w:rsidR="00980E5F" w:rsidRDefault="00980E5F">
            <w:pPr>
              <w:rPr>
                <w:rFonts w:ascii="宋体"/>
              </w:rPr>
            </w:pPr>
          </w:p>
        </w:tc>
        <w:tc>
          <w:tcPr>
            <w:tcW w:w="0" w:type="auto"/>
            <w:shd w:val="clear" w:color="auto" w:fill="auto"/>
            <w:vAlign w:val="bottom"/>
          </w:tcPr>
          <w:p w14:paraId="392BF072" w14:textId="77777777" w:rsidR="00980E5F" w:rsidRDefault="00980E5F">
            <w:pPr>
              <w:rPr>
                <w:rFonts w:ascii="宋体"/>
              </w:rPr>
            </w:pPr>
          </w:p>
        </w:tc>
        <w:tc>
          <w:tcPr>
            <w:tcW w:w="0" w:type="auto"/>
            <w:shd w:val="clear" w:color="auto" w:fill="auto"/>
            <w:vAlign w:val="bottom"/>
          </w:tcPr>
          <w:p w14:paraId="392BF073" w14:textId="77777777" w:rsidR="00980E5F" w:rsidRDefault="00980E5F">
            <w:pPr>
              <w:rPr>
                <w:rFonts w:ascii="宋体"/>
              </w:rPr>
            </w:pPr>
          </w:p>
        </w:tc>
      </w:tr>
      <w:tr w:rsidR="00980E5F" w14:paraId="392BF087" w14:textId="77777777">
        <w:tc>
          <w:tcPr>
            <w:tcW w:w="0" w:type="auto"/>
            <w:gridSpan w:val="3"/>
            <w:shd w:val="clear" w:color="auto" w:fill="auto"/>
            <w:tcMar>
              <w:top w:w="40" w:type="dxa"/>
              <w:left w:w="20" w:type="dxa"/>
              <w:bottom w:w="40" w:type="dxa"/>
              <w:right w:w="20" w:type="dxa"/>
            </w:tcMar>
            <w:vAlign w:val="bottom"/>
          </w:tcPr>
          <w:p w14:paraId="392BF075" w14:textId="77777777" w:rsidR="00980E5F" w:rsidRDefault="00483613">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92BF076"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BF07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078" w14:textId="77777777" w:rsidR="00980E5F" w:rsidRDefault="00483613">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392BF07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07A" w14:textId="77777777" w:rsidR="00980E5F" w:rsidRDefault="00483613">
            <w:pPr>
              <w:jc w:val="center"/>
              <w:textAlignment w:val="bottom"/>
            </w:pPr>
            <w:r>
              <w:rPr>
                <w:rFonts w:ascii="Arial" w:eastAsia="宋体" w:hAnsi="Arial" w:cs="Arial"/>
                <w:b/>
                <w:bCs/>
                <w:color w:val="000000"/>
                <w:sz w:val="14"/>
                <w:szCs w:val="14"/>
              </w:rPr>
              <w:t>June 30, 2021</w:t>
            </w:r>
          </w:p>
        </w:tc>
        <w:tc>
          <w:tcPr>
            <w:tcW w:w="0" w:type="auto"/>
            <w:shd w:val="clear" w:color="auto" w:fill="auto"/>
            <w:vAlign w:val="bottom"/>
          </w:tcPr>
          <w:p w14:paraId="392BF07B" w14:textId="77777777" w:rsidR="00980E5F" w:rsidRDefault="00980E5F">
            <w:pPr>
              <w:rPr>
                <w:rFonts w:ascii="宋体"/>
                <w:vanish/>
              </w:rPr>
            </w:pPr>
          </w:p>
        </w:tc>
        <w:tc>
          <w:tcPr>
            <w:tcW w:w="0" w:type="auto"/>
            <w:shd w:val="clear" w:color="auto" w:fill="auto"/>
            <w:vAlign w:val="bottom"/>
          </w:tcPr>
          <w:p w14:paraId="392BF07C" w14:textId="77777777" w:rsidR="00980E5F" w:rsidRDefault="00980E5F">
            <w:pPr>
              <w:rPr>
                <w:rFonts w:ascii="宋体"/>
                <w:vanish/>
              </w:rPr>
            </w:pPr>
          </w:p>
        </w:tc>
        <w:tc>
          <w:tcPr>
            <w:tcW w:w="0" w:type="auto"/>
            <w:gridSpan w:val="3"/>
            <w:shd w:val="clear" w:color="auto" w:fill="auto"/>
            <w:vAlign w:val="bottom"/>
          </w:tcPr>
          <w:p w14:paraId="392BF07D" w14:textId="77777777" w:rsidR="00980E5F" w:rsidRDefault="00980E5F">
            <w:pPr>
              <w:rPr>
                <w:rFonts w:ascii="宋体"/>
                <w:vanish/>
              </w:rPr>
            </w:pPr>
          </w:p>
        </w:tc>
        <w:tc>
          <w:tcPr>
            <w:tcW w:w="0" w:type="auto"/>
            <w:gridSpan w:val="3"/>
            <w:shd w:val="clear" w:color="auto" w:fill="auto"/>
            <w:vAlign w:val="bottom"/>
          </w:tcPr>
          <w:p w14:paraId="392BF07E" w14:textId="77777777" w:rsidR="00980E5F" w:rsidRDefault="00980E5F">
            <w:pPr>
              <w:rPr>
                <w:rFonts w:ascii="宋体"/>
                <w:vanish/>
              </w:rPr>
            </w:pPr>
          </w:p>
        </w:tc>
        <w:tc>
          <w:tcPr>
            <w:tcW w:w="0" w:type="auto"/>
            <w:gridSpan w:val="3"/>
            <w:shd w:val="clear" w:color="auto" w:fill="auto"/>
            <w:vAlign w:val="bottom"/>
          </w:tcPr>
          <w:p w14:paraId="392BF07F" w14:textId="77777777" w:rsidR="00980E5F" w:rsidRDefault="00980E5F">
            <w:pPr>
              <w:rPr>
                <w:rFonts w:ascii="宋体"/>
                <w:vanish/>
              </w:rPr>
            </w:pPr>
          </w:p>
        </w:tc>
        <w:tc>
          <w:tcPr>
            <w:tcW w:w="0" w:type="auto"/>
            <w:gridSpan w:val="3"/>
            <w:shd w:val="clear" w:color="auto" w:fill="auto"/>
            <w:vAlign w:val="bottom"/>
          </w:tcPr>
          <w:p w14:paraId="392BF080" w14:textId="77777777" w:rsidR="00980E5F" w:rsidRDefault="00980E5F">
            <w:pPr>
              <w:rPr>
                <w:rFonts w:ascii="宋体"/>
                <w:vanish/>
              </w:rPr>
            </w:pPr>
          </w:p>
        </w:tc>
        <w:tc>
          <w:tcPr>
            <w:tcW w:w="0" w:type="auto"/>
            <w:gridSpan w:val="3"/>
            <w:shd w:val="clear" w:color="auto" w:fill="auto"/>
            <w:vAlign w:val="bottom"/>
          </w:tcPr>
          <w:p w14:paraId="392BF081" w14:textId="77777777" w:rsidR="00980E5F" w:rsidRDefault="00980E5F">
            <w:pPr>
              <w:rPr>
                <w:rFonts w:ascii="宋体"/>
                <w:vanish/>
              </w:rPr>
            </w:pPr>
          </w:p>
        </w:tc>
        <w:tc>
          <w:tcPr>
            <w:tcW w:w="0" w:type="auto"/>
            <w:gridSpan w:val="3"/>
            <w:shd w:val="clear" w:color="auto" w:fill="auto"/>
            <w:vAlign w:val="bottom"/>
          </w:tcPr>
          <w:p w14:paraId="392BF082" w14:textId="77777777" w:rsidR="00980E5F" w:rsidRDefault="00980E5F">
            <w:pPr>
              <w:rPr>
                <w:rFonts w:ascii="宋体"/>
                <w:vanish/>
              </w:rPr>
            </w:pPr>
          </w:p>
        </w:tc>
        <w:tc>
          <w:tcPr>
            <w:tcW w:w="0" w:type="auto"/>
            <w:gridSpan w:val="3"/>
            <w:shd w:val="clear" w:color="auto" w:fill="auto"/>
            <w:vAlign w:val="bottom"/>
          </w:tcPr>
          <w:p w14:paraId="392BF083" w14:textId="77777777" w:rsidR="00980E5F" w:rsidRDefault="00980E5F">
            <w:pPr>
              <w:rPr>
                <w:rFonts w:ascii="宋体"/>
                <w:vanish/>
              </w:rPr>
            </w:pPr>
          </w:p>
        </w:tc>
        <w:tc>
          <w:tcPr>
            <w:tcW w:w="0" w:type="auto"/>
            <w:gridSpan w:val="3"/>
            <w:shd w:val="clear" w:color="auto" w:fill="auto"/>
            <w:vAlign w:val="bottom"/>
          </w:tcPr>
          <w:p w14:paraId="392BF084" w14:textId="77777777" w:rsidR="00980E5F" w:rsidRDefault="00980E5F">
            <w:pPr>
              <w:rPr>
                <w:rFonts w:ascii="宋体"/>
                <w:vanish/>
              </w:rPr>
            </w:pPr>
          </w:p>
        </w:tc>
        <w:tc>
          <w:tcPr>
            <w:tcW w:w="0" w:type="auto"/>
            <w:gridSpan w:val="3"/>
            <w:shd w:val="clear" w:color="auto" w:fill="auto"/>
            <w:vAlign w:val="bottom"/>
          </w:tcPr>
          <w:p w14:paraId="392BF085" w14:textId="77777777" w:rsidR="00980E5F" w:rsidRDefault="00980E5F">
            <w:pPr>
              <w:rPr>
                <w:rFonts w:ascii="宋体"/>
                <w:vanish/>
              </w:rPr>
            </w:pPr>
          </w:p>
        </w:tc>
        <w:tc>
          <w:tcPr>
            <w:tcW w:w="0" w:type="auto"/>
            <w:gridSpan w:val="3"/>
            <w:shd w:val="clear" w:color="auto" w:fill="auto"/>
            <w:vAlign w:val="bottom"/>
          </w:tcPr>
          <w:p w14:paraId="392BF086" w14:textId="77777777" w:rsidR="00980E5F" w:rsidRDefault="00980E5F">
            <w:pPr>
              <w:rPr>
                <w:rFonts w:ascii="宋体"/>
                <w:vanish/>
              </w:rPr>
            </w:pPr>
          </w:p>
        </w:tc>
      </w:tr>
      <w:tr w:rsidR="00980E5F" w14:paraId="392BF0A0" w14:textId="77777777">
        <w:tc>
          <w:tcPr>
            <w:tcW w:w="0" w:type="auto"/>
            <w:gridSpan w:val="3"/>
            <w:shd w:val="clear" w:color="auto" w:fill="CCEEFF"/>
            <w:tcMar>
              <w:top w:w="40" w:type="dxa"/>
              <w:left w:w="20" w:type="dxa"/>
              <w:bottom w:w="40" w:type="dxa"/>
              <w:right w:w="20" w:type="dxa"/>
            </w:tcMar>
            <w:vAlign w:val="bottom"/>
          </w:tcPr>
          <w:p w14:paraId="392BF088" w14:textId="77777777" w:rsidR="00980E5F" w:rsidRDefault="00483613">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08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08A" w14:textId="77777777" w:rsidR="00980E5F" w:rsidRDefault="00483613">
            <w:pPr>
              <w:jc w:val="right"/>
              <w:textAlignment w:val="bottom"/>
            </w:pPr>
            <w:r>
              <w:rPr>
                <w:rFonts w:ascii="Arial" w:eastAsia="宋体" w:hAnsi="Arial" w:cs="Arial"/>
                <w:b/>
                <w:bCs/>
                <w:color w:val="000000"/>
                <w:sz w:val="14"/>
                <w:szCs w:val="14"/>
              </w:rPr>
              <w:t>21,953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0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8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08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08E" w14:textId="77777777" w:rsidR="00980E5F" w:rsidRDefault="00483613">
            <w:pPr>
              <w:jc w:val="right"/>
              <w:textAlignment w:val="bottom"/>
            </w:pPr>
            <w:r>
              <w:rPr>
                <w:rFonts w:ascii="Arial" w:eastAsia="宋体" w:hAnsi="Arial" w:cs="Arial"/>
                <w:color w:val="000000"/>
                <w:sz w:val="14"/>
                <w:szCs w:val="14"/>
              </w:rPr>
              <w:t>25,974 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0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9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09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092" w14:textId="77777777" w:rsidR="00980E5F" w:rsidRDefault="00483613">
            <w:pPr>
              <w:jc w:val="right"/>
              <w:textAlignment w:val="bottom"/>
            </w:pPr>
            <w:r>
              <w:rPr>
                <w:rFonts w:ascii="Arial" w:eastAsia="宋体" w:hAnsi="Arial" w:cs="Arial"/>
                <w:color w:val="000000"/>
                <w:sz w:val="14"/>
                <w:szCs w:val="14"/>
              </w:rPr>
              <w:t>24,792 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093" w14:textId="77777777" w:rsidR="00980E5F" w:rsidRDefault="00980E5F">
            <w:pPr>
              <w:jc w:val="right"/>
              <w:rPr>
                <w:rFonts w:ascii="宋体"/>
              </w:rPr>
            </w:pPr>
          </w:p>
        </w:tc>
        <w:tc>
          <w:tcPr>
            <w:tcW w:w="0" w:type="auto"/>
            <w:shd w:val="clear" w:color="auto" w:fill="auto"/>
            <w:vAlign w:val="bottom"/>
          </w:tcPr>
          <w:p w14:paraId="392BF094" w14:textId="77777777" w:rsidR="00980E5F" w:rsidRDefault="00980E5F">
            <w:pPr>
              <w:rPr>
                <w:rFonts w:ascii="宋体"/>
                <w:vanish/>
              </w:rPr>
            </w:pPr>
          </w:p>
        </w:tc>
        <w:tc>
          <w:tcPr>
            <w:tcW w:w="0" w:type="auto"/>
            <w:shd w:val="clear" w:color="auto" w:fill="auto"/>
            <w:vAlign w:val="bottom"/>
          </w:tcPr>
          <w:p w14:paraId="392BF095" w14:textId="77777777" w:rsidR="00980E5F" w:rsidRDefault="00980E5F">
            <w:pPr>
              <w:rPr>
                <w:rFonts w:ascii="宋体"/>
                <w:vanish/>
              </w:rPr>
            </w:pPr>
          </w:p>
        </w:tc>
        <w:tc>
          <w:tcPr>
            <w:tcW w:w="0" w:type="auto"/>
            <w:gridSpan w:val="3"/>
            <w:shd w:val="clear" w:color="auto" w:fill="auto"/>
            <w:vAlign w:val="bottom"/>
          </w:tcPr>
          <w:p w14:paraId="392BF096" w14:textId="77777777" w:rsidR="00980E5F" w:rsidRDefault="00980E5F">
            <w:pPr>
              <w:rPr>
                <w:rFonts w:ascii="宋体"/>
                <w:vanish/>
              </w:rPr>
            </w:pPr>
          </w:p>
        </w:tc>
        <w:tc>
          <w:tcPr>
            <w:tcW w:w="0" w:type="auto"/>
            <w:gridSpan w:val="3"/>
            <w:shd w:val="clear" w:color="auto" w:fill="auto"/>
            <w:vAlign w:val="bottom"/>
          </w:tcPr>
          <w:p w14:paraId="392BF097" w14:textId="77777777" w:rsidR="00980E5F" w:rsidRDefault="00980E5F">
            <w:pPr>
              <w:rPr>
                <w:rFonts w:ascii="宋体"/>
                <w:vanish/>
              </w:rPr>
            </w:pPr>
          </w:p>
        </w:tc>
        <w:tc>
          <w:tcPr>
            <w:tcW w:w="0" w:type="auto"/>
            <w:gridSpan w:val="3"/>
            <w:shd w:val="clear" w:color="auto" w:fill="auto"/>
            <w:vAlign w:val="bottom"/>
          </w:tcPr>
          <w:p w14:paraId="392BF098" w14:textId="77777777" w:rsidR="00980E5F" w:rsidRDefault="00980E5F">
            <w:pPr>
              <w:rPr>
                <w:rFonts w:ascii="宋体"/>
                <w:vanish/>
              </w:rPr>
            </w:pPr>
          </w:p>
        </w:tc>
        <w:tc>
          <w:tcPr>
            <w:tcW w:w="0" w:type="auto"/>
            <w:gridSpan w:val="3"/>
            <w:shd w:val="clear" w:color="auto" w:fill="auto"/>
            <w:vAlign w:val="bottom"/>
          </w:tcPr>
          <w:p w14:paraId="392BF099" w14:textId="77777777" w:rsidR="00980E5F" w:rsidRDefault="00980E5F">
            <w:pPr>
              <w:rPr>
                <w:rFonts w:ascii="宋体"/>
                <w:vanish/>
              </w:rPr>
            </w:pPr>
          </w:p>
        </w:tc>
        <w:tc>
          <w:tcPr>
            <w:tcW w:w="0" w:type="auto"/>
            <w:gridSpan w:val="3"/>
            <w:shd w:val="clear" w:color="auto" w:fill="auto"/>
            <w:vAlign w:val="bottom"/>
          </w:tcPr>
          <w:p w14:paraId="392BF09A" w14:textId="77777777" w:rsidR="00980E5F" w:rsidRDefault="00980E5F">
            <w:pPr>
              <w:rPr>
                <w:rFonts w:ascii="宋体"/>
                <w:vanish/>
              </w:rPr>
            </w:pPr>
          </w:p>
        </w:tc>
        <w:tc>
          <w:tcPr>
            <w:tcW w:w="0" w:type="auto"/>
            <w:gridSpan w:val="3"/>
            <w:shd w:val="clear" w:color="auto" w:fill="auto"/>
            <w:vAlign w:val="bottom"/>
          </w:tcPr>
          <w:p w14:paraId="392BF09B" w14:textId="77777777" w:rsidR="00980E5F" w:rsidRDefault="00980E5F">
            <w:pPr>
              <w:rPr>
                <w:rFonts w:ascii="宋体"/>
                <w:vanish/>
              </w:rPr>
            </w:pPr>
          </w:p>
        </w:tc>
        <w:tc>
          <w:tcPr>
            <w:tcW w:w="0" w:type="auto"/>
            <w:gridSpan w:val="3"/>
            <w:shd w:val="clear" w:color="auto" w:fill="auto"/>
            <w:vAlign w:val="bottom"/>
          </w:tcPr>
          <w:p w14:paraId="392BF09C" w14:textId="77777777" w:rsidR="00980E5F" w:rsidRDefault="00980E5F">
            <w:pPr>
              <w:rPr>
                <w:rFonts w:ascii="宋体"/>
                <w:vanish/>
              </w:rPr>
            </w:pPr>
          </w:p>
        </w:tc>
        <w:tc>
          <w:tcPr>
            <w:tcW w:w="0" w:type="auto"/>
            <w:gridSpan w:val="3"/>
            <w:shd w:val="clear" w:color="auto" w:fill="auto"/>
            <w:vAlign w:val="bottom"/>
          </w:tcPr>
          <w:p w14:paraId="392BF09D" w14:textId="77777777" w:rsidR="00980E5F" w:rsidRDefault="00980E5F">
            <w:pPr>
              <w:rPr>
                <w:rFonts w:ascii="宋体"/>
                <w:vanish/>
              </w:rPr>
            </w:pPr>
          </w:p>
        </w:tc>
        <w:tc>
          <w:tcPr>
            <w:tcW w:w="0" w:type="auto"/>
            <w:gridSpan w:val="3"/>
            <w:shd w:val="clear" w:color="auto" w:fill="auto"/>
            <w:vAlign w:val="bottom"/>
          </w:tcPr>
          <w:p w14:paraId="392BF09E" w14:textId="77777777" w:rsidR="00980E5F" w:rsidRDefault="00980E5F">
            <w:pPr>
              <w:rPr>
                <w:rFonts w:ascii="宋体"/>
                <w:vanish/>
              </w:rPr>
            </w:pPr>
          </w:p>
        </w:tc>
        <w:tc>
          <w:tcPr>
            <w:tcW w:w="0" w:type="auto"/>
            <w:gridSpan w:val="3"/>
            <w:shd w:val="clear" w:color="auto" w:fill="auto"/>
            <w:vAlign w:val="bottom"/>
          </w:tcPr>
          <w:p w14:paraId="392BF09F" w14:textId="77777777" w:rsidR="00980E5F" w:rsidRDefault="00980E5F">
            <w:pPr>
              <w:rPr>
                <w:rFonts w:ascii="宋体"/>
                <w:vanish/>
              </w:rPr>
            </w:pPr>
          </w:p>
        </w:tc>
      </w:tr>
      <w:tr w:rsidR="00980E5F" w14:paraId="392BF0B6" w14:textId="77777777">
        <w:tc>
          <w:tcPr>
            <w:tcW w:w="0" w:type="auto"/>
            <w:gridSpan w:val="3"/>
            <w:shd w:val="clear" w:color="auto" w:fill="FFFFFF"/>
            <w:tcMar>
              <w:top w:w="40" w:type="dxa"/>
              <w:left w:w="20" w:type="dxa"/>
              <w:bottom w:w="40" w:type="dxa"/>
              <w:right w:w="20" w:type="dxa"/>
            </w:tcMar>
            <w:vAlign w:val="bottom"/>
          </w:tcPr>
          <w:p w14:paraId="392BF0A1" w14:textId="77777777" w:rsidR="00980E5F" w:rsidRDefault="00483613">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392BF0A2" w14:textId="77777777" w:rsidR="00980E5F" w:rsidRDefault="00483613">
            <w:pPr>
              <w:jc w:val="right"/>
              <w:textAlignment w:val="bottom"/>
            </w:pPr>
            <w:r>
              <w:rPr>
                <w:rFonts w:ascii="Arial" w:eastAsia="宋体" w:hAnsi="Arial" w:cs="Arial"/>
                <w:b/>
                <w:bCs/>
                <w:color w:val="000000"/>
                <w:sz w:val="14"/>
                <w:szCs w:val="14"/>
              </w:rPr>
              <w:t>10,716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BF0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0A5" w14:textId="77777777" w:rsidR="00980E5F" w:rsidRDefault="00483613">
            <w:pPr>
              <w:jc w:val="right"/>
              <w:textAlignment w:val="bottom"/>
            </w:pPr>
            <w:r>
              <w:rPr>
                <w:rFonts w:ascii="Arial" w:eastAsia="宋体" w:hAnsi="Arial" w:cs="Arial"/>
                <w:color w:val="000000"/>
                <w:sz w:val="14"/>
                <w:szCs w:val="14"/>
              </w:rPr>
              <w:t>12,587 </w:t>
            </w:r>
          </w:p>
        </w:tc>
        <w:tc>
          <w:tcPr>
            <w:tcW w:w="0" w:type="auto"/>
            <w:shd w:val="clear" w:color="auto" w:fill="FFFFFF"/>
            <w:tcMar>
              <w:top w:w="40" w:type="dxa"/>
              <w:left w:w="0" w:type="dxa"/>
              <w:bottom w:w="40" w:type="dxa"/>
              <w:right w:w="20" w:type="dxa"/>
            </w:tcMar>
            <w:vAlign w:val="bottom"/>
          </w:tcPr>
          <w:p w14:paraId="392BF0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0A8" w14:textId="77777777" w:rsidR="00980E5F" w:rsidRDefault="00483613">
            <w:pPr>
              <w:jc w:val="right"/>
              <w:textAlignment w:val="bottom"/>
            </w:pPr>
            <w:r>
              <w:rPr>
                <w:rFonts w:ascii="Arial" w:eastAsia="宋体" w:hAnsi="Arial" w:cs="Arial"/>
                <w:color w:val="000000"/>
                <w:sz w:val="14"/>
                <w:szCs w:val="14"/>
              </w:rPr>
              <w:t>13,079 </w:t>
            </w:r>
          </w:p>
        </w:tc>
        <w:tc>
          <w:tcPr>
            <w:tcW w:w="0" w:type="auto"/>
            <w:shd w:val="clear" w:color="auto" w:fill="FFFFFF"/>
            <w:tcMar>
              <w:top w:w="40" w:type="dxa"/>
              <w:left w:w="0" w:type="dxa"/>
              <w:bottom w:w="40" w:type="dxa"/>
              <w:right w:w="20" w:type="dxa"/>
            </w:tcMar>
            <w:vAlign w:val="bottom"/>
          </w:tcPr>
          <w:p w14:paraId="392BF0A9" w14:textId="77777777" w:rsidR="00980E5F" w:rsidRDefault="00980E5F">
            <w:pPr>
              <w:jc w:val="right"/>
              <w:rPr>
                <w:rFonts w:ascii="宋体"/>
              </w:rPr>
            </w:pPr>
          </w:p>
        </w:tc>
        <w:tc>
          <w:tcPr>
            <w:tcW w:w="0" w:type="auto"/>
            <w:shd w:val="clear" w:color="auto" w:fill="auto"/>
            <w:vAlign w:val="bottom"/>
          </w:tcPr>
          <w:p w14:paraId="392BF0AA" w14:textId="77777777" w:rsidR="00980E5F" w:rsidRDefault="00980E5F">
            <w:pPr>
              <w:rPr>
                <w:rFonts w:ascii="宋体"/>
                <w:vanish/>
              </w:rPr>
            </w:pPr>
          </w:p>
        </w:tc>
        <w:tc>
          <w:tcPr>
            <w:tcW w:w="0" w:type="auto"/>
            <w:shd w:val="clear" w:color="auto" w:fill="auto"/>
            <w:vAlign w:val="bottom"/>
          </w:tcPr>
          <w:p w14:paraId="392BF0AB" w14:textId="77777777" w:rsidR="00980E5F" w:rsidRDefault="00980E5F">
            <w:pPr>
              <w:rPr>
                <w:rFonts w:ascii="宋体"/>
                <w:vanish/>
              </w:rPr>
            </w:pPr>
          </w:p>
        </w:tc>
        <w:tc>
          <w:tcPr>
            <w:tcW w:w="0" w:type="auto"/>
            <w:gridSpan w:val="3"/>
            <w:shd w:val="clear" w:color="auto" w:fill="auto"/>
            <w:vAlign w:val="bottom"/>
          </w:tcPr>
          <w:p w14:paraId="392BF0AC" w14:textId="77777777" w:rsidR="00980E5F" w:rsidRDefault="00980E5F">
            <w:pPr>
              <w:rPr>
                <w:rFonts w:ascii="宋体"/>
                <w:vanish/>
              </w:rPr>
            </w:pPr>
          </w:p>
        </w:tc>
        <w:tc>
          <w:tcPr>
            <w:tcW w:w="0" w:type="auto"/>
            <w:gridSpan w:val="3"/>
            <w:shd w:val="clear" w:color="auto" w:fill="auto"/>
            <w:vAlign w:val="bottom"/>
          </w:tcPr>
          <w:p w14:paraId="392BF0AD" w14:textId="77777777" w:rsidR="00980E5F" w:rsidRDefault="00980E5F">
            <w:pPr>
              <w:rPr>
                <w:rFonts w:ascii="宋体"/>
                <w:vanish/>
              </w:rPr>
            </w:pPr>
          </w:p>
        </w:tc>
        <w:tc>
          <w:tcPr>
            <w:tcW w:w="0" w:type="auto"/>
            <w:gridSpan w:val="3"/>
            <w:shd w:val="clear" w:color="auto" w:fill="auto"/>
            <w:vAlign w:val="bottom"/>
          </w:tcPr>
          <w:p w14:paraId="392BF0AE" w14:textId="77777777" w:rsidR="00980E5F" w:rsidRDefault="00980E5F">
            <w:pPr>
              <w:rPr>
                <w:rFonts w:ascii="宋体"/>
                <w:vanish/>
              </w:rPr>
            </w:pPr>
          </w:p>
        </w:tc>
        <w:tc>
          <w:tcPr>
            <w:tcW w:w="0" w:type="auto"/>
            <w:gridSpan w:val="3"/>
            <w:shd w:val="clear" w:color="auto" w:fill="auto"/>
            <w:vAlign w:val="bottom"/>
          </w:tcPr>
          <w:p w14:paraId="392BF0AF" w14:textId="77777777" w:rsidR="00980E5F" w:rsidRDefault="00980E5F">
            <w:pPr>
              <w:rPr>
                <w:rFonts w:ascii="宋体"/>
                <w:vanish/>
              </w:rPr>
            </w:pPr>
          </w:p>
        </w:tc>
        <w:tc>
          <w:tcPr>
            <w:tcW w:w="0" w:type="auto"/>
            <w:gridSpan w:val="3"/>
            <w:shd w:val="clear" w:color="auto" w:fill="auto"/>
            <w:vAlign w:val="bottom"/>
          </w:tcPr>
          <w:p w14:paraId="392BF0B0" w14:textId="77777777" w:rsidR="00980E5F" w:rsidRDefault="00980E5F">
            <w:pPr>
              <w:rPr>
                <w:rFonts w:ascii="宋体"/>
                <w:vanish/>
              </w:rPr>
            </w:pPr>
          </w:p>
        </w:tc>
        <w:tc>
          <w:tcPr>
            <w:tcW w:w="0" w:type="auto"/>
            <w:gridSpan w:val="3"/>
            <w:shd w:val="clear" w:color="auto" w:fill="auto"/>
            <w:vAlign w:val="bottom"/>
          </w:tcPr>
          <w:p w14:paraId="392BF0B1" w14:textId="77777777" w:rsidR="00980E5F" w:rsidRDefault="00980E5F">
            <w:pPr>
              <w:rPr>
                <w:rFonts w:ascii="宋体"/>
                <w:vanish/>
              </w:rPr>
            </w:pPr>
          </w:p>
        </w:tc>
        <w:tc>
          <w:tcPr>
            <w:tcW w:w="0" w:type="auto"/>
            <w:gridSpan w:val="3"/>
            <w:shd w:val="clear" w:color="auto" w:fill="auto"/>
            <w:vAlign w:val="bottom"/>
          </w:tcPr>
          <w:p w14:paraId="392BF0B2" w14:textId="77777777" w:rsidR="00980E5F" w:rsidRDefault="00980E5F">
            <w:pPr>
              <w:rPr>
                <w:rFonts w:ascii="宋体"/>
                <w:vanish/>
              </w:rPr>
            </w:pPr>
          </w:p>
        </w:tc>
        <w:tc>
          <w:tcPr>
            <w:tcW w:w="0" w:type="auto"/>
            <w:gridSpan w:val="3"/>
            <w:shd w:val="clear" w:color="auto" w:fill="auto"/>
            <w:vAlign w:val="bottom"/>
          </w:tcPr>
          <w:p w14:paraId="392BF0B3" w14:textId="77777777" w:rsidR="00980E5F" w:rsidRDefault="00980E5F">
            <w:pPr>
              <w:rPr>
                <w:rFonts w:ascii="宋体"/>
                <w:vanish/>
              </w:rPr>
            </w:pPr>
          </w:p>
        </w:tc>
        <w:tc>
          <w:tcPr>
            <w:tcW w:w="0" w:type="auto"/>
            <w:gridSpan w:val="3"/>
            <w:shd w:val="clear" w:color="auto" w:fill="auto"/>
            <w:vAlign w:val="bottom"/>
          </w:tcPr>
          <w:p w14:paraId="392BF0B4" w14:textId="77777777" w:rsidR="00980E5F" w:rsidRDefault="00980E5F">
            <w:pPr>
              <w:rPr>
                <w:rFonts w:ascii="宋体"/>
                <w:vanish/>
              </w:rPr>
            </w:pPr>
          </w:p>
        </w:tc>
        <w:tc>
          <w:tcPr>
            <w:tcW w:w="0" w:type="auto"/>
            <w:gridSpan w:val="3"/>
            <w:shd w:val="clear" w:color="auto" w:fill="auto"/>
            <w:vAlign w:val="bottom"/>
          </w:tcPr>
          <w:p w14:paraId="392BF0B5" w14:textId="77777777" w:rsidR="00980E5F" w:rsidRDefault="00980E5F">
            <w:pPr>
              <w:rPr>
                <w:rFonts w:ascii="宋体"/>
                <w:vanish/>
              </w:rPr>
            </w:pPr>
          </w:p>
        </w:tc>
      </w:tr>
      <w:tr w:rsidR="00980E5F" w14:paraId="392BF0CC" w14:textId="77777777">
        <w:tc>
          <w:tcPr>
            <w:tcW w:w="0" w:type="auto"/>
            <w:gridSpan w:val="3"/>
            <w:shd w:val="clear" w:color="auto" w:fill="CCEEFF"/>
            <w:tcMar>
              <w:top w:w="40" w:type="dxa"/>
              <w:left w:w="20" w:type="dxa"/>
              <w:bottom w:w="40" w:type="dxa"/>
              <w:right w:w="20" w:type="dxa"/>
            </w:tcMar>
            <w:vAlign w:val="bottom"/>
          </w:tcPr>
          <w:p w14:paraId="392BF0B7" w14:textId="77777777" w:rsidR="00980E5F" w:rsidRDefault="00483613">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392BF0B8" w14:textId="77777777" w:rsidR="00980E5F" w:rsidRDefault="00483613">
            <w:pPr>
              <w:jc w:val="right"/>
              <w:textAlignment w:val="bottom"/>
            </w:pPr>
            <w:r>
              <w:rPr>
                <w:rFonts w:ascii="Arial" w:eastAsia="宋体" w:hAnsi="Arial" w:cs="Arial"/>
                <w:b/>
                <w:bCs/>
                <w:color w:val="000000"/>
                <w:sz w:val="14"/>
                <w:szCs w:val="14"/>
              </w:rPr>
              <w:t>5,511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BF0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0BB" w14:textId="77777777" w:rsidR="00980E5F" w:rsidRDefault="00483613">
            <w:pPr>
              <w:jc w:val="right"/>
              <w:textAlignment w:val="bottom"/>
            </w:pPr>
            <w:r>
              <w:rPr>
                <w:rFonts w:ascii="Arial" w:eastAsia="宋体" w:hAnsi="Arial" w:cs="Arial"/>
                <w:color w:val="000000"/>
                <w:sz w:val="14"/>
                <w:szCs w:val="14"/>
              </w:rPr>
              <w:t>5,117 </w:t>
            </w:r>
          </w:p>
        </w:tc>
        <w:tc>
          <w:tcPr>
            <w:tcW w:w="0" w:type="auto"/>
            <w:shd w:val="clear" w:color="auto" w:fill="CCEEFF"/>
            <w:tcMar>
              <w:top w:w="40" w:type="dxa"/>
              <w:left w:w="0" w:type="dxa"/>
              <w:bottom w:w="40" w:type="dxa"/>
              <w:right w:w="20" w:type="dxa"/>
            </w:tcMar>
            <w:vAlign w:val="bottom"/>
          </w:tcPr>
          <w:p w14:paraId="392BF0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0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0BE" w14:textId="77777777" w:rsidR="00980E5F" w:rsidRDefault="00483613">
            <w:pPr>
              <w:jc w:val="right"/>
              <w:textAlignment w:val="bottom"/>
            </w:pPr>
            <w:r>
              <w:rPr>
                <w:rFonts w:ascii="Arial" w:eastAsia="宋体" w:hAnsi="Arial" w:cs="Arial"/>
                <w:color w:val="000000"/>
                <w:sz w:val="14"/>
                <w:szCs w:val="14"/>
              </w:rPr>
              <w:t>4,726 </w:t>
            </w:r>
          </w:p>
        </w:tc>
        <w:tc>
          <w:tcPr>
            <w:tcW w:w="0" w:type="auto"/>
            <w:shd w:val="clear" w:color="auto" w:fill="CCEEFF"/>
            <w:tcMar>
              <w:top w:w="40" w:type="dxa"/>
              <w:left w:w="0" w:type="dxa"/>
              <w:bottom w:w="40" w:type="dxa"/>
              <w:right w:w="20" w:type="dxa"/>
            </w:tcMar>
            <w:vAlign w:val="bottom"/>
          </w:tcPr>
          <w:p w14:paraId="392BF0BF" w14:textId="77777777" w:rsidR="00980E5F" w:rsidRDefault="00980E5F">
            <w:pPr>
              <w:jc w:val="right"/>
              <w:rPr>
                <w:rFonts w:ascii="宋体"/>
              </w:rPr>
            </w:pPr>
          </w:p>
        </w:tc>
        <w:tc>
          <w:tcPr>
            <w:tcW w:w="0" w:type="auto"/>
            <w:shd w:val="clear" w:color="auto" w:fill="auto"/>
            <w:vAlign w:val="bottom"/>
          </w:tcPr>
          <w:p w14:paraId="392BF0C0" w14:textId="77777777" w:rsidR="00980E5F" w:rsidRDefault="00980E5F">
            <w:pPr>
              <w:rPr>
                <w:rFonts w:ascii="宋体"/>
                <w:vanish/>
              </w:rPr>
            </w:pPr>
          </w:p>
        </w:tc>
        <w:tc>
          <w:tcPr>
            <w:tcW w:w="0" w:type="auto"/>
            <w:shd w:val="clear" w:color="auto" w:fill="auto"/>
            <w:vAlign w:val="bottom"/>
          </w:tcPr>
          <w:p w14:paraId="392BF0C1" w14:textId="77777777" w:rsidR="00980E5F" w:rsidRDefault="00980E5F">
            <w:pPr>
              <w:rPr>
                <w:rFonts w:ascii="宋体"/>
                <w:vanish/>
              </w:rPr>
            </w:pPr>
          </w:p>
        </w:tc>
        <w:tc>
          <w:tcPr>
            <w:tcW w:w="0" w:type="auto"/>
            <w:gridSpan w:val="3"/>
            <w:shd w:val="clear" w:color="auto" w:fill="auto"/>
            <w:vAlign w:val="bottom"/>
          </w:tcPr>
          <w:p w14:paraId="392BF0C2" w14:textId="77777777" w:rsidR="00980E5F" w:rsidRDefault="00980E5F">
            <w:pPr>
              <w:rPr>
                <w:rFonts w:ascii="宋体"/>
                <w:vanish/>
              </w:rPr>
            </w:pPr>
          </w:p>
        </w:tc>
        <w:tc>
          <w:tcPr>
            <w:tcW w:w="0" w:type="auto"/>
            <w:gridSpan w:val="3"/>
            <w:shd w:val="clear" w:color="auto" w:fill="auto"/>
            <w:vAlign w:val="bottom"/>
          </w:tcPr>
          <w:p w14:paraId="392BF0C3" w14:textId="77777777" w:rsidR="00980E5F" w:rsidRDefault="00980E5F">
            <w:pPr>
              <w:rPr>
                <w:rFonts w:ascii="宋体"/>
                <w:vanish/>
              </w:rPr>
            </w:pPr>
          </w:p>
        </w:tc>
        <w:tc>
          <w:tcPr>
            <w:tcW w:w="0" w:type="auto"/>
            <w:gridSpan w:val="3"/>
            <w:shd w:val="clear" w:color="auto" w:fill="auto"/>
            <w:vAlign w:val="bottom"/>
          </w:tcPr>
          <w:p w14:paraId="392BF0C4" w14:textId="77777777" w:rsidR="00980E5F" w:rsidRDefault="00980E5F">
            <w:pPr>
              <w:rPr>
                <w:rFonts w:ascii="宋体"/>
                <w:vanish/>
              </w:rPr>
            </w:pPr>
          </w:p>
        </w:tc>
        <w:tc>
          <w:tcPr>
            <w:tcW w:w="0" w:type="auto"/>
            <w:gridSpan w:val="3"/>
            <w:shd w:val="clear" w:color="auto" w:fill="auto"/>
            <w:vAlign w:val="bottom"/>
          </w:tcPr>
          <w:p w14:paraId="392BF0C5" w14:textId="77777777" w:rsidR="00980E5F" w:rsidRDefault="00980E5F">
            <w:pPr>
              <w:rPr>
                <w:rFonts w:ascii="宋体"/>
                <w:vanish/>
              </w:rPr>
            </w:pPr>
          </w:p>
        </w:tc>
        <w:tc>
          <w:tcPr>
            <w:tcW w:w="0" w:type="auto"/>
            <w:gridSpan w:val="3"/>
            <w:shd w:val="clear" w:color="auto" w:fill="auto"/>
            <w:vAlign w:val="bottom"/>
          </w:tcPr>
          <w:p w14:paraId="392BF0C6" w14:textId="77777777" w:rsidR="00980E5F" w:rsidRDefault="00980E5F">
            <w:pPr>
              <w:rPr>
                <w:rFonts w:ascii="宋体"/>
                <w:vanish/>
              </w:rPr>
            </w:pPr>
          </w:p>
        </w:tc>
        <w:tc>
          <w:tcPr>
            <w:tcW w:w="0" w:type="auto"/>
            <w:gridSpan w:val="3"/>
            <w:shd w:val="clear" w:color="auto" w:fill="auto"/>
            <w:vAlign w:val="bottom"/>
          </w:tcPr>
          <w:p w14:paraId="392BF0C7" w14:textId="77777777" w:rsidR="00980E5F" w:rsidRDefault="00980E5F">
            <w:pPr>
              <w:rPr>
                <w:rFonts w:ascii="宋体"/>
                <w:vanish/>
              </w:rPr>
            </w:pPr>
          </w:p>
        </w:tc>
        <w:tc>
          <w:tcPr>
            <w:tcW w:w="0" w:type="auto"/>
            <w:gridSpan w:val="3"/>
            <w:shd w:val="clear" w:color="auto" w:fill="auto"/>
            <w:vAlign w:val="bottom"/>
          </w:tcPr>
          <w:p w14:paraId="392BF0C8" w14:textId="77777777" w:rsidR="00980E5F" w:rsidRDefault="00980E5F">
            <w:pPr>
              <w:rPr>
                <w:rFonts w:ascii="宋体"/>
                <w:vanish/>
              </w:rPr>
            </w:pPr>
          </w:p>
        </w:tc>
        <w:tc>
          <w:tcPr>
            <w:tcW w:w="0" w:type="auto"/>
            <w:gridSpan w:val="3"/>
            <w:shd w:val="clear" w:color="auto" w:fill="auto"/>
            <w:vAlign w:val="bottom"/>
          </w:tcPr>
          <w:p w14:paraId="392BF0C9" w14:textId="77777777" w:rsidR="00980E5F" w:rsidRDefault="00980E5F">
            <w:pPr>
              <w:rPr>
                <w:rFonts w:ascii="宋体"/>
                <w:vanish/>
              </w:rPr>
            </w:pPr>
          </w:p>
        </w:tc>
        <w:tc>
          <w:tcPr>
            <w:tcW w:w="0" w:type="auto"/>
            <w:gridSpan w:val="3"/>
            <w:shd w:val="clear" w:color="auto" w:fill="auto"/>
            <w:vAlign w:val="bottom"/>
          </w:tcPr>
          <w:p w14:paraId="392BF0CA" w14:textId="77777777" w:rsidR="00980E5F" w:rsidRDefault="00980E5F">
            <w:pPr>
              <w:rPr>
                <w:rFonts w:ascii="宋体"/>
                <w:vanish/>
              </w:rPr>
            </w:pPr>
          </w:p>
        </w:tc>
        <w:tc>
          <w:tcPr>
            <w:tcW w:w="0" w:type="auto"/>
            <w:gridSpan w:val="3"/>
            <w:shd w:val="clear" w:color="auto" w:fill="auto"/>
            <w:vAlign w:val="bottom"/>
          </w:tcPr>
          <w:p w14:paraId="392BF0CB" w14:textId="77777777" w:rsidR="00980E5F" w:rsidRDefault="00980E5F">
            <w:pPr>
              <w:rPr>
                <w:rFonts w:ascii="宋体"/>
                <w:vanish/>
              </w:rPr>
            </w:pPr>
          </w:p>
        </w:tc>
      </w:tr>
      <w:tr w:rsidR="00980E5F" w14:paraId="392BF0E5" w14:textId="77777777">
        <w:tc>
          <w:tcPr>
            <w:tcW w:w="0" w:type="auto"/>
            <w:gridSpan w:val="3"/>
            <w:shd w:val="clear" w:color="auto" w:fill="FFFFFF"/>
            <w:tcMar>
              <w:top w:w="40" w:type="dxa"/>
              <w:left w:w="20" w:type="dxa"/>
              <w:bottom w:w="40" w:type="dxa"/>
              <w:right w:w="20" w:type="dxa"/>
            </w:tcMar>
            <w:vAlign w:val="bottom"/>
          </w:tcPr>
          <w:p w14:paraId="392BF0CD" w14:textId="77777777" w:rsidR="00980E5F" w:rsidRDefault="00483613">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0C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0CF" w14:textId="77777777" w:rsidR="00980E5F" w:rsidRDefault="00483613">
            <w:pPr>
              <w:jc w:val="right"/>
              <w:textAlignment w:val="bottom"/>
            </w:pPr>
            <w:r>
              <w:rPr>
                <w:rFonts w:ascii="Arial" w:eastAsia="宋体" w:hAnsi="Arial" w:cs="Arial"/>
                <w:b/>
                <w:bCs/>
                <w:color w:val="000000"/>
                <w:sz w:val="14"/>
                <w:szCs w:val="14"/>
              </w:rPr>
              <w:t>38,180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0D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D1"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0D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0D3" w14:textId="77777777" w:rsidR="00980E5F" w:rsidRDefault="00483613">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0D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0D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0D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0D7" w14:textId="77777777" w:rsidR="00980E5F" w:rsidRDefault="00483613">
            <w:pPr>
              <w:jc w:val="right"/>
              <w:textAlignment w:val="bottom"/>
            </w:pPr>
            <w:r>
              <w:rPr>
                <w:rFonts w:ascii="Arial" w:eastAsia="宋体" w:hAnsi="Arial" w:cs="Arial"/>
                <w:color w:val="000000"/>
                <w:sz w:val="14"/>
                <w:szCs w:val="14"/>
              </w:rPr>
              <w:t>42,597 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0D8" w14:textId="77777777" w:rsidR="00980E5F" w:rsidRDefault="00980E5F">
            <w:pPr>
              <w:jc w:val="right"/>
              <w:rPr>
                <w:rFonts w:ascii="宋体"/>
              </w:rPr>
            </w:pPr>
          </w:p>
        </w:tc>
        <w:tc>
          <w:tcPr>
            <w:tcW w:w="0" w:type="auto"/>
            <w:shd w:val="clear" w:color="auto" w:fill="auto"/>
            <w:vAlign w:val="bottom"/>
          </w:tcPr>
          <w:p w14:paraId="392BF0D9" w14:textId="77777777" w:rsidR="00980E5F" w:rsidRDefault="00980E5F">
            <w:pPr>
              <w:rPr>
                <w:rFonts w:ascii="宋体"/>
                <w:vanish/>
              </w:rPr>
            </w:pPr>
          </w:p>
        </w:tc>
        <w:tc>
          <w:tcPr>
            <w:tcW w:w="0" w:type="auto"/>
            <w:shd w:val="clear" w:color="auto" w:fill="auto"/>
            <w:vAlign w:val="bottom"/>
          </w:tcPr>
          <w:p w14:paraId="392BF0DA" w14:textId="77777777" w:rsidR="00980E5F" w:rsidRDefault="00980E5F">
            <w:pPr>
              <w:rPr>
                <w:rFonts w:ascii="宋体"/>
                <w:vanish/>
              </w:rPr>
            </w:pPr>
          </w:p>
        </w:tc>
        <w:tc>
          <w:tcPr>
            <w:tcW w:w="0" w:type="auto"/>
            <w:gridSpan w:val="3"/>
            <w:shd w:val="clear" w:color="auto" w:fill="auto"/>
            <w:vAlign w:val="bottom"/>
          </w:tcPr>
          <w:p w14:paraId="392BF0DB" w14:textId="77777777" w:rsidR="00980E5F" w:rsidRDefault="00980E5F">
            <w:pPr>
              <w:rPr>
                <w:rFonts w:ascii="宋体"/>
                <w:vanish/>
              </w:rPr>
            </w:pPr>
          </w:p>
        </w:tc>
        <w:tc>
          <w:tcPr>
            <w:tcW w:w="0" w:type="auto"/>
            <w:gridSpan w:val="3"/>
            <w:shd w:val="clear" w:color="auto" w:fill="auto"/>
            <w:vAlign w:val="bottom"/>
          </w:tcPr>
          <w:p w14:paraId="392BF0DC" w14:textId="77777777" w:rsidR="00980E5F" w:rsidRDefault="00980E5F">
            <w:pPr>
              <w:rPr>
                <w:rFonts w:ascii="宋体"/>
                <w:vanish/>
              </w:rPr>
            </w:pPr>
          </w:p>
        </w:tc>
        <w:tc>
          <w:tcPr>
            <w:tcW w:w="0" w:type="auto"/>
            <w:gridSpan w:val="3"/>
            <w:shd w:val="clear" w:color="auto" w:fill="auto"/>
            <w:vAlign w:val="bottom"/>
          </w:tcPr>
          <w:p w14:paraId="392BF0DD" w14:textId="77777777" w:rsidR="00980E5F" w:rsidRDefault="00980E5F">
            <w:pPr>
              <w:rPr>
                <w:rFonts w:ascii="宋体"/>
                <w:vanish/>
              </w:rPr>
            </w:pPr>
          </w:p>
        </w:tc>
        <w:tc>
          <w:tcPr>
            <w:tcW w:w="0" w:type="auto"/>
            <w:gridSpan w:val="3"/>
            <w:shd w:val="clear" w:color="auto" w:fill="auto"/>
            <w:vAlign w:val="bottom"/>
          </w:tcPr>
          <w:p w14:paraId="392BF0DE" w14:textId="77777777" w:rsidR="00980E5F" w:rsidRDefault="00980E5F">
            <w:pPr>
              <w:rPr>
                <w:rFonts w:ascii="宋体"/>
                <w:vanish/>
              </w:rPr>
            </w:pPr>
          </w:p>
        </w:tc>
        <w:tc>
          <w:tcPr>
            <w:tcW w:w="0" w:type="auto"/>
            <w:gridSpan w:val="3"/>
            <w:shd w:val="clear" w:color="auto" w:fill="auto"/>
            <w:vAlign w:val="bottom"/>
          </w:tcPr>
          <w:p w14:paraId="392BF0DF" w14:textId="77777777" w:rsidR="00980E5F" w:rsidRDefault="00980E5F">
            <w:pPr>
              <w:rPr>
                <w:rFonts w:ascii="宋体"/>
                <w:vanish/>
              </w:rPr>
            </w:pPr>
          </w:p>
        </w:tc>
        <w:tc>
          <w:tcPr>
            <w:tcW w:w="0" w:type="auto"/>
            <w:gridSpan w:val="3"/>
            <w:shd w:val="clear" w:color="auto" w:fill="auto"/>
            <w:vAlign w:val="bottom"/>
          </w:tcPr>
          <w:p w14:paraId="392BF0E0" w14:textId="77777777" w:rsidR="00980E5F" w:rsidRDefault="00980E5F">
            <w:pPr>
              <w:rPr>
                <w:rFonts w:ascii="宋体"/>
                <w:vanish/>
              </w:rPr>
            </w:pPr>
          </w:p>
        </w:tc>
        <w:tc>
          <w:tcPr>
            <w:tcW w:w="0" w:type="auto"/>
            <w:gridSpan w:val="3"/>
            <w:shd w:val="clear" w:color="auto" w:fill="auto"/>
            <w:vAlign w:val="bottom"/>
          </w:tcPr>
          <w:p w14:paraId="392BF0E1" w14:textId="77777777" w:rsidR="00980E5F" w:rsidRDefault="00980E5F">
            <w:pPr>
              <w:rPr>
                <w:rFonts w:ascii="宋体"/>
                <w:vanish/>
              </w:rPr>
            </w:pPr>
          </w:p>
        </w:tc>
        <w:tc>
          <w:tcPr>
            <w:tcW w:w="0" w:type="auto"/>
            <w:gridSpan w:val="3"/>
            <w:shd w:val="clear" w:color="auto" w:fill="auto"/>
            <w:vAlign w:val="bottom"/>
          </w:tcPr>
          <w:p w14:paraId="392BF0E2" w14:textId="77777777" w:rsidR="00980E5F" w:rsidRDefault="00980E5F">
            <w:pPr>
              <w:rPr>
                <w:rFonts w:ascii="宋体"/>
                <w:vanish/>
              </w:rPr>
            </w:pPr>
          </w:p>
        </w:tc>
        <w:tc>
          <w:tcPr>
            <w:tcW w:w="0" w:type="auto"/>
            <w:gridSpan w:val="3"/>
            <w:shd w:val="clear" w:color="auto" w:fill="auto"/>
            <w:vAlign w:val="bottom"/>
          </w:tcPr>
          <w:p w14:paraId="392BF0E3" w14:textId="77777777" w:rsidR="00980E5F" w:rsidRDefault="00980E5F">
            <w:pPr>
              <w:rPr>
                <w:rFonts w:ascii="宋体"/>
                <w:vanish/>
              </w:rPr>
            </w:pPr>
          </w:p>
        </w:tc>
        <w:tc>
          <w:tcPr>
            <w:tcW w:w="0" w:type="auto"/>
            <w:gridSpan w:val="3"/>
            <w:shd w:val="clear" w:color="auto" w:fill="auto"/>
            <w:vAlign w:val="bottom"/>
          </w:tcPr>
          <w:p w14:paraId="392BF0E4" w14:textId="77777777" w:rsidR="00980E5F" w:rsidRDefault="00980E5F">
            <w:pPr>
              <w:rPr>
                <w:rFonts w:ascii="宋体"/>
                <w:vanish/>
              </w:rPr>
            </w:pPr>
          </w:p>
        </w:tc>
      </w:tr>
      <w:tr w:rsidR="00980E5F" w14:paraId="392BF0F8" w14:textId="77777777">
        <w:trPr>
          <w:hidden/>
        </w:trPr>
        <w:tc>
          <w:tcPr>
            <w:tcW w:w="0" w:type="auto"/>
            <w:gridSpan w:val="3"/>
            <w:shd w:val="clear" w:color="auto" w:fill="auto"/>
            <w:vAlign w:val="bottom"/>
          </w:tcPr>
          <w:p w14:paraId="392BF0E6" w14:textId="77777777" w:rsidR="00980E5F" w:rsidRDefault="00980E5F">
            <w:pPr>
              <w:rPr>
                <w:rFonts w:ascii="宋体"/>
                <w:vanish/>
              </w:rPr>
            </w:pPr>
          </w:p>
        </w:tc>
        <w:tc>
          <w:tcPr>
            <w:tcW w:w="0" w:type="auto"/>
            <w:gridSpan w:val="3"/>
            <w:shd w:val="clear" w:color="auto" w:fill="auto"/>
            <w:vAlign w:val="bottom"/>
          </w:tcPr>
          <w:p w14:paraId="392BF0E7" w14:textId="77777777" w:rsidR="00980E5F" w:rsidRDefault="00980E5F">
            <w:pPr>
              <w:rPr>
                <w:rFonts w:ascii="宋体"/>
                <w:vanish/>
              </w:rPr>
            </w:pPr>
          </w:p>
        </w:tc>
        <w:tc>
          <w:tcPr>
            <w:tcW w:w="0" w:type="auto"/>
            <w:gridSpan w:val="3"/>
            <w:shd w:val="clear" w:color="auto" w:fill="auto"/>
            <w:vAlign w:val="bottom"/>
          </w:tcPr>
          <w:p w14:paraId="392BF0E8" w14:textId="77777777" w:rsidR="00980E5F" w:rsidRDefault="00980E5F">
            <w:pPr>
              <w:rPr>
                <w:rFonts w:ascii="宋体"/>
                <w:vanish/>
              </w:rPr>
            </w:pPr>
          </w:p>
        </w:tc>
        <w:tc>
          <w:tcPr>
            <w:tcW w:w="0" w:type="auto"/>
            <w:gridSpan w:val="3"/>
            <w:shd w:val="clear" w:color="auto" w:fill="auto"/>
            <w:vAlign w:val="bottom"/>
          </w:tcPr>
          <w:p w14:paraId="392BF0E9" w14:textId="77777777" w:rsidR="00980E5F" w:rsidRDefault="00980E5F">
            <w:pPr>
              <w:rPr>
                <w:rFonts w:ascii="宋体"/>
                <w:vanish/>
              </w:rPr>
            </w:pPr>
          </w:p>
        </w:tc>
        <w:tc>
          <w:tcPr>
            <w:tcW w:w="0" w:type="auto"/>
            <w:gridSpan w:val="3"/>
            <w:shd w:val="clear" w:color="auto" w:fill="auto"/>
            <w:vAlign w:val="bottom"/>
          </w:tcPr>
          <w:p w14:paraId="392BF0EA" w14:textId="77777777" w:rsidR="00980E5F" w:rsidRDefault="00980E5F">
            <w:pPr>
              <w:rPr>
                <w:rFonts w:ascii="宋体"/>
                <w:vanish/>
              </w:rPr>
            </w:pPr>
          </w:p>
        </w:tc>
        <w:tc>
          <w:tcPr>
            <w:tcW w:w="0" w:type="auto"/>
            <w:gridSpan w:val="3"/>
            <w:shd w:val="clear" w:color="auto" w:fill="auto"/>
            <w:vAlign w:val="bottom"/>
          </w:tcPr>
          <w:p w14:paraId="392BF0EB" w14:textId="77777777" w:rsidR="00980E5F" w:rsidRDefault="00980E5F">
            <w:pPr>
              <w:rPr>
                <w:rFonts w:ascii="宋体"/>
                <w:vanish/>
              </w:rPr>
            </w:pPr>
          </w:p>
        </w:tc>
        <w:tc>
          <w:tcPr>
            <w:tcW w:w="0" w:type="auto"/>
            <w:shd w:val="clear" w:color="auto" w:fill="auto"/>
            <w:vAlign w:val="bottom"/>
          </w:tcPr>
          <w:p w14:paraId="392BF0EC" w14:textId="77777777" w:rsidR="00980E5F" w:rsidRDefault="00980E5F">
            <w:pPr>
              <w:rPr>
                <w:rFonts w:ascii="宋体"/>
                <w:vanish/>
              </w:rPr>
            </w:pPr>
          </w:p>
        </w:tc>
        <w:tc>
          <w:tcPr>
            <w:tcW w:w="0" w:type="auto"/>
            <w:shd w:val="clear" w:color="auto" w:fill="auto"/>
            <w:vAlign w:val="bottom"/>
          </w:tcPr>
          <w:p w14:paraId="392BF0ED" w14:textId="77777777" w:rsidR="00980E5F" w:rsidRDefault="00980E5F">
            <w:pPr>
              <w:rPr>
                <w:rFonts w:ascii="宋体"/>
                <w:vanish/>
              </w:rPr>
            </w:pPr>
          </w:p>
        </w:tc>
        <w:tc>
          <w:tcPr>
            <w:tcW w:w="0" w:type="auto"/>
            <w:gridSpan w:val="3"/>
            <w:shd w:val="clear" w:color="auto" w:fill="auto"/>
            <w:vAlign w:val="bottom"/>
          </w:tcPr>
          <w:p w14:paraId="392BF0EE" w14:textId="77777777" w:rsidR="00980E5F" w:rsidRDefault="00980E5F">
            <w:pPr>
              <w:rPr>
                <w:rFonts w:ascii="宋体"/>
                <w:vanish/>
              </w:rPr>
            </w:pPr>
          </w:p>
        </w:tc>
        <w:tc>
          <w:tcPr>
            <w:tcW w:w="0" w:type="auto"/>
            <w:gridSpan w:val="3"/>
            <w:shd w:val="clear" w:color="auto" w:fill="auto"/>
            <w:vAlign w:val="bottom"/>
          </w:tcPr>
          <w:p w14:paraId="392BF0EF" w14:textId="77777777" w:rsidR="00980E5F" w:rsidRDefault="00980E5F">
            <w:pPr>
              <w:rPr>
                <w:rFonts w:ascii="宋体"/>
                <w:vanish/>
              </w:rPr>
            </w:pPr>
          </w:p>
        </w:tc>
        <w:tc>
          <w:tcPr>
            <w:tcW w:w="0" w:type="auto"/>
            <w:gridSpan w:val="3"/>
            <w:shd w:val="clear" w:color="auto" w:fill="auto"/>
            <w:vAlign w:val="bottom"/>
          </w:tcPr>
          <w:p w14:paraId="392BF0F0" w14:textId="77777777" w:rsidR="00980E5F" w:rsidRDefault="00980E5F">
            <w:pPr>
              <w:rPr>
                <w:rFonts w:ascii="宋体"/>
                <w:vanish/>
              </w:rPr>
            </w:pPr>
          </w:p>
        </w:tc>
        <w:tc>
          <w:tcPr>
            <w:tcW w:w="0" w:type="auto"/>
            <w:gridSpan w:val="3"/>
            <w:shd w:val="clear" w:color="auto" w:fill="auto"/>
            <w:vAlign w:val="bottom"/>
          </w:tcPr>
          <w:p w14:paraId="392BF0F1" w14:textId="77777777" w:rsidR="00980E5F" w:rsidRDefault="00980E5F">
            <w:pPr>
              <w:rPr>
                <w:rFonts w:ascii="宋体"/>
                <w:vanish/>
              </w:rPr>
            </w:pPr>
          </w:p>
        </w:tc>
        <w:tc>
          <w:tcPr>
            <w:tcW w:w="0" w:type="auto"/>
            <w:gridSpan w:val="3"/>
            <w:shd w:val="clear" w:color="auto" w:fill="auto"/>
            <w:vAlign w:val="bottom"/>
          </w:tcPr>
          <w:p w14:paraId="392BF0F2" w14:textId="77777777" w:rsidR="00980E5F" w:rsidRDefault="00980E5F">
            <w:pPr>
              <w:rPr>
                <w:rFonts w:ascii="宋体"/>
                <w:vanish/>
              </w:rPr>
            </w:pPr>
          </w:p>
        </w:tc>
        <w:tc>
          <w:tcPr>
            <w:tcW w:w="0" w:type="auto"/>
            <w:gridSpan w:val="3"/>
            <w:shd w:val="clear" w:color="auto" w:fill="auto"/>
            <w:vAlign w:val="bottom"/>
          </w:tcPr>
          <w:p w14:paraId="392BF0F3" w14:textId="77777777" w:rsidR="00980E5F" w:rsidRDefault="00980E5F">
            <w:pPr>
              <w:rPr>
                <w:rFonts w:ascii="宋体"/>
                <w:vanish/>
              </w:rPr>
            </w:pPr>
          </w:p>
        </w:tc>
        <w:tc>
          <w:tcPr>
            <w:tcW w:w="0" w:type="auto"/>
            <w:gridSpan w:val="3"/>
            <w:shd w:val="clear" w:color="auto" w:fill="auto"/>
            <w:vAlign w:val="bottom"/>
          </w:tcPr>
          <w:p w14:paraId="392BF0F4" w14:textId="77777777" w:rsidR="00980E5F" w:rsidRDefault="00980E5F">
            <w:pPr>
              <w:rPr>
                <w:rFonts w:ascii="宋体"/>
                <w:vanish/>
              </w:rPr>
            </w:pPr>
          </w:p>
        </w:tc>
        <w:tc>
          <w:tcPr>
            <w:tcW w:w="0" w:type="auto"/>
            <w:gridSpan w:val="3"/>
            <w:shd w:val="clear" w:color="auto" w:fill="auto"/>
            <w:vAlign w:val="bottom"/>
          </w:tcPr>
          <w:p w14:paraId="392BF0F5" w14:textId="77777777" w:rsidR="00980E5F" w:rsidRDefault="00980E5F">
            <w:pPr>
              <w:rPr>
                <w:rFonts w:ascii="宋体"/>
                <w:vanish/>
              </w:rPr>
            </w:pPr>
          </w:p>
        </w:tc>
        <w:tc>
          <w:tcPr>
            <w:tcW w:w="0" w:type="auto"/>
            <w:gridSpan w:val="3"/>
            <w:shd w:val="clear" w:color="auto" w:fill="auto"/>
            <w:vAlign w:val="bottom"/>
          </w:tcPr>
          <w:p w14:paraId="392BF0F6" w14:textId="77777777" w:rsidR="00980E5F" w:rsidRDefault="00980E5F">
            <w:pPr>
              <w:rPr>
                <w:rFonts w:ascii="宋体"/>
                <w:vanish/>
              </w:rPr>
            </w:pPr>
          </w:p>
        </w:tc>
        <w:tc>
          <w:tcPr>
            <w:tcW w:w="0" w:type="auto"/>
            <w:gridSpan w:val="3"/>
            <w:shd w:val="clear" w:color="auto" w:fill="auto"/>
            <w:vAlign w:val="bottom"/>
          </w:tcPr>
          <w:p w14:paraId="392BF0F7" w14:textId="77777777" w:rsidR="00980E5F" w:rsidRDefault="00980E5F">
            <w:pPr>
              <w:rPr>
                <w:rFonts w:ascii="宋体"/>
                <w:vanish/>
              </w:rPr>
            </w:pPr>
          </w:p>
        </w:tc>
      </w:tr>
    </w:tbl>
    <w:p w14:paraId="392BF0F9" w14:textId="77777777" w:rsidR="00980E5F" w:rsidRDefault="00980E5F">
      <w:pPr>
        <w:rPr>
          <w:vanish/>
        </w:rPr>
      </w:pPr>
    </w:p>
    <w:tbl>
      <w:tblPr>
        <w:tblW w:w="4921" w:type="pct"/>
        <w:tblCellMar>
          <w:top w:w="15" w:type="dxa"/>
          <w:left w:w="15" w:type="dxa"/>
          <w:bottom w:w="15" w:type="dxa"/>
          <w:right w:w="15" w:type="dxa"/>
        </w:tblCellMar>
        <w:tblLook w:val="04A0" w:firstRow="1" w:lastRow="0" w:firstColumn="1" w:lastColumn="0" w:noHBand="0" w:noVBand="1"/>
      </w:tblPr>
      <w:tblGrid>
        <w:gridCol w:w="38"/>
        <w:gridCol w:w="2285"/>
        <w:gridCol w:w="36"/>
        <w:gridCol w:w="98"/>
        <w:gridCol w:w="1507"/>
        <w:gridCol w:w="36"/>
        <w:gridCol w:w="36"/>
        <w:gridCol w:w="38"/>
        <w:gridCol w:w="36"/>
        <w:gridCol w:w="99"/>
        <w:gridCol w:w="1630"/>
        <w:gridCol w:w="37"/>
        <w:gridCol w:w="36"/>
        <w:gridCol w:w="38"/>
        <w:gridCol w:w="36"/>
        <w:gridCol w:w="98"/>
        <w:gridCol w:w="1508"/>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F114" w14:textId="77777777">
        <w:tc>
          <w:tcPr>
            <w:tcW w:w="50" w:type="pct"/>
            <w:shd w:val="clear" w:color="auto" w:fill="auto"/>
            <w:vAlign w:val="bottom"/>
          </w:tcPr>
          <w:p w14:paraId="392BF0FA" w14:textId="77777777" w:rsidR="00980E5F" w:rsidRDefault="00980E5F">
            <w:pPr>
              <w:rPr>
                <w:rFonts w:ascii="宋体"/>
              </w:rPr>
            </w:pPr>
          </w:p>
        </w:tc>
        <w:tc>
          <w:tcPr>
            <w:tcW w:w="1526" w:type="pct"/>
            <w:shd w:val="clear" w:color="auto" w:fill="auto"/>
            <w:vAlign w:val="bottom"/>
          </w:tcPr>
          <w:p w14:paraId="392BF0FB" w14:textId="77777777" w:rsidR="00980E5F" w:rsidRDefault="00980E5F">
            <w:pPr>
              <w:rPr>
                <w:rFonts w:ascii="宋体"/>
              </w:rPr>
            </w:pPr>
          </w:p>
        </w:tc>
        <w:tc>
          <w:tcPr>
            <w:tcW w:w="5" w:type="pct"/>
            <w:shd w:val="clear" w:color="auto" w:fill="auto"/>
            <w:vAlign w:val="bottom"/>
          </w:tcPr>
          <w:p w14:paraId="392BF0FC" w14:textId="77777777" w:rsidR="00980E5F" w:rsidRDefault="00980E5F">
            <w:pPr>
              <w:rPr>
                <w:rFonts w:ascii="宋体"/>
              </w:rPr>
            </w:pPr>
          </w:p>
        </w:tc>
        <w:tc>
          <w:tcPr>
            <w:tcW w:w="50" w:type="pct"/>
            <w:shd w:val="clear" w:color="auto" w:fill="auto"/>
            <w:vAlign w:val="bottom"/>
          </w:tcPr>
          <w:p w14:paraId="392BF0FD" w14:textId="77777777" w:rsidR="00980E5F" w:rsidRDefault="00980E5F">
            <w:pPr>
              <w:rPr>
                <w:rFonts w:ascii="宋体"/>
              </w:rPr>
            </w:pPr>
          </w:p>
        </w:tc>
        <w:tc>
          <w:tcPr>
            <w:tcW w:w="1015" w:type="pct"/>
            <w:shd w:val="clear" w:color="auto" w:fill="auto"/>
            <w:vAlign w:val="bottom"/>
          </w:tcPr>
          <w:p w14:paraId="392BF0FE" w14:textId="77777777" w:rsidR="00980E5F" w:rsidRDefault="00980E5F">
            <w:pPr>
              <w:rPr>
                <w:rFonts w:ascii="宋体"/>
              </w:rPr>
            </w:pPr>
          </w:p>
        </w:tc>
        <w:tc>
          <w:tcPr>
            <w:tcW w:w="5" w:type="pct"/>
            <w:shd w:val="clear" w:color="auto" w:fill="auto"/>
            <w:vAlign w:val="bottom"/>
          </w:tcPr>
          <w:p w14:paraId="392BF0FF" w14:textId="77777777" w:rsidR="00980E5F" w:rsidRDefault="00980E5F">
            <w:pPr>
              <w:rPr>
                <w:rFonts w:ascii="宋体"/>
              </w:rPr>
            </w:pPr>
          </w:p>
        </w:tc>
        <w:tc>
          <w:tcPr>
            <w:tcW w:w="5" w:type="pct"/>
            <w:shd w:val="clear" w:color="auto" w:fill="auto"/>
            <w:vAlign w:val="bottom"/>
          </w:tcPr>
          <w:p w14:paraId="392BF100" w14:textId="77777777" w:rsidR="00980E5F" w:rsidRDefault="00980E5F">
            <w:pPr>
              <w:rPr>
                <w:rFonts w:ascii="宋体"/>
              </w:rPr>
            </w:pPr>
          </w:p>
        </w:tc>
        <w:tc>
          <w:tcPr>
            <w:tcW w:w="53" w:type="pct"/>
            <w:shd w:val="clear" w:color="auto" w:fill="auto"/>
            <w:vAlign w:val="bottom"/>
          </w:tcPr>
          <w:p w14:paraId="392BF101" w14:textId="77777777" w:rsidR="00980E5F" w:rsidRDefault="00980E5F">
            <w:pPr>
              <w:rPr>
                <w:rFonts w:ascii="宋体"/>
              </w:rPr>
            </w:pPr>
          </w:p>
        </w:tc>
        <w:tc>
          <w:tcPr>
            <w:tcW w:w="5" w:type="pct"/>
            <w:shd w:val="clear" w:color="auto" w:fill="auto"/>
            <w:vAlign w:val="bottom"/>
          </w:tcPr>
          <w:p w14:paraId="392BF102" w14:textId="77777777" w:rsidR="00980E5F" w:rsidRDefault="00980E5F">
            <w:pPr>
              <w:rPr>
                <w:rFonts w:ascii="宋体"/>
              </w:rPr>
            </w:pPr>
          </w:p>
        </w:tc>
        <w:tc>
          <w:tcPr>
            <w:tcW w:w="50" w:type="pct"/>
            <w:shd w:val="clear" w:color="auto" w:fill="auto"/>
            <w:vAlign w:val="bottom"/>
          </w:tcPr>
          <w:p w14:paraId="392BF103" w14:textId="77777777" w:rsidR="00980E5F" w:rsidRDefault="00980E5F">
            <w:pPr>
              <w:rPr>
                <w:rFonts w:ascii="宋体"/>
              </w:rPr>
            </w:pPr>
          </w:p>
        </w:tc>
        <w:tc>
          <w:tcPr>
            <w:tcW w:w="1095" w:type="pct"/>
            <w:shd w:val="clear" w:color="auto" w:fill="auto"/>
            <w:vAlign w:val="bottom"/>
          </w:tcPr>
          <w:p w14:paraId="392BF104" w14:textId="77777777" w:rsidR="00980E5F" w:rsidRDefault="00980E5F">
            <w:pPr>
              <w:rPr>
                <w:rFonts w:ascii="宋体"/>
              </w:rPr>
            </w:pPr>
          </w:p>
        </w:tc>
        <w:tc>
          <w:tcPr>
            <w:tcW w:w="5" w:type="pct"/>
            <w:shd w:val="clear" w:color="auto" w:fill="auto"/>
            <w:vAlign w:val="bottom"/>
          </w:tcPr>
          <w:p w14:paraId="392BF105" w14:textId="77777777" w:rsidR="00980E5F" w:rsidRDefault="00980E5F">
            <w:pPr>
              <w:rPr>
                <w:rFonts w:ascii="宋体"/>
              </w:rPr>
            </w:pPr>
          </w:p>
        </w:tc>
        <w:tc>
          <w:tcPr>
            <w:tcW w:w="5" w:type="pct"/>
            <w:shd w:val="clear" w:color="auto" w:fill="auto"/>
            <w:vAlign w:val="bottom"/>
          </w:tcPr>
          <w:p w14:paraId="392BF106" w14:textId="77777777" w:rsidR="00980E5F" w:rsidRDefault="00980E5F">
            <w:pPr>
              <w:rPr>
                <w:rFonts w:ascii="宋体"/>
              </w:rPr>
            </w:pPr>
          </w:p>
        </w:tc>
        <w:tc>
          <w:tcPr>
            <w:tcW w:w="53" w:type="pct"/>
            <w:shd w:val="clear" w:color="auto" w:fill="auto"/>
            <w:vAlign w:val="bottom"/>
          </w:tcPr>
          <w:p w14:paraId="392BF107" w14:textId="77777777" w:rsidR="00980E5F" w:rsidRDefault="00980E5F">
            <w:pPr>
              <w:rPr>
                <w:rFonts w:ascii="宋体"/>
              </w:rPr>
            </w:pPr>
          </w:p>
        </w:tc>
        <w:tc>
          <w:tcPr>
            <w:tcW w:w="5" w:type="pct"/>
            <w:shd w:val="clear" w:color="auto" w:fill="auto"/>
            <w:vAlign w:val="bottom"/>
          </w:tcPr>
          <w:p w14:paraId="392BF108" w14:textId="77777777" w:rsidR="00980E5F" w:rsidRDefault="00980E5F">
            <w:pPr>
              <w:rPr>
                <w:rFonts w:ascii="宋体"/>
              </w:rPr>
            </w:pPr>
          </w:p>
        </w:tc>
        <w:tc>
          <w:tcPr>
            <w:tcW w:w="50" w:type="pct"/>
            <w:shd w:val="clear" w:color="auto" w:fill="auto"/>
            <w:vAlign w:val="bottom"/>
          </w:tcPr>
          <w:p w14:paraId="392BF109" w14:textId="77777777" w:rsidR="00980E5F" w:rsidRDefault="00980E5F">
            <w:pPr>
              <w:rPr>
                <w:rFonts w:ascii="宋体"/>
              </w:rPr>
            </w:pPr>
          </w:p>
        </w:tc>
        <w:tc>
          <w:tcPr>
            <w:tcW w:w="1015" w:type="pct"/>
            <w:shd w:val="clear" w:color="auto" w:fill="auto"/>
            <w:vAlign w:val="bottom"/>
          </w:tcPr>
          <w:p w14:paraId="392BF10A" w14:textId="77777777" w:rsidR="00980E5F" w:rsidRDefault="00980E5F">
            <w:pPr>
              <w:rPr>
                <w:rFonts w:ascii="宋体"/>
              </w:rPr>
            </w:pPr>
          </w:p>
        </w:tc>
        <w:tc>
          <w:tcPr>
            <w:tcW w:w="5" w:type="pct"/>
            <w:shd w:val="clear" w:color="auto" w:fill="auto"/>
            <w:vAlign w:val="bottom"/>
          </w:tcPr>
          <w:p w14:paraId="392BF10B" w14:textId="77777777" w:rsidR="00980E5F" w:rsidRDefault="00980E5F">
            <w:pPr>
              <w:rPr>
                <w:rFonts w:ascii="宋体"/>
              </w:rPr>
            </w:pPr>
          </w:p>
        </w:tc>
        <w:tc>
          <w:tcPr>
            <w:tcW w:w="0" w:type="auto"/>
            <w:shd w:val="clear" w:color="auto" w:fill="auto"/>
            <w:vAlign w:val="bottom"/>
          </w:tcPr>
          <w:p w14:paraId="392BF10C" w14:textId="77777777" w:rsidR="00980E5F" w:rsidRDefault="00980E5F">
            <w:pPr>
              <w:rPr>
                <w:rFonts w:ascii="宋体"/>
                <w:vanish/>
              </w:rPr>
            </w:pPr>
          </w:p>
        </w:tc>
        <w:tc>
          <w:tcPr>
            <w:tcW w:w="0" w:type="auto"/>
            <w:shd w:val="clear" w:color="auto" w:fill="auto"/>
            <w:vAlign w:val="bottom"/>
          </w:tcPr>
          <w:p w14:paraId="392BF10D" w14:textId="77777777" w:rsidR="00980E5F" w:rsidRDefault="00980E5F">
            <w:pPr>
              <w:rPr>
                <w:rFonts w:ascii="宋体"/>
                <w:vanish/>
              </w:rPr>
            </w:pPr>
          </w:p>
        </w:tc>
        <w:tc>
          <w:tcPr>
            <w:tcW w:w="0" w:type="auto"/>
            <w:shd w:val="clear" w:color="auto" w:fill="auto"/>
            <w:vAlign w:val="bottom"/>
          </w:tcPr>
          <w:p w14:paraId="392BF10E" w14:textId="77777777" w:rsidR="00980E5F" w:rsidRDefault="00980E5F">
            <w:pPr>
              <w:rPr>
                <w:rFonts w:ascii="宋体"/>
                <w:vanish/>
              </w:rPr>
            </w:pPr>
          </w:p>
        </w:tc>
        <w:tc>
          <w:tcPr>
            <w:tcW w:w="0" w:type="auto"/>
            <w:shd w:val="clear" w:color="auto" w:fill="auto"/>
            <w:vAlign w:val="bottom"/>
          </w:tcPr>
          <w:p w14:paraId="392BF10F" w14:textId="77777777" w:rsidR="00980E5F" w:rsidRDefault="00980E5F">
            <w:pPr>
              <w:rPr>
                <w:rFonts w:ascii="宋体"/>
                <w:vanish/>
              </w:rPr>
            </w:pPr>
          </w:p>
        </w:tc>
        <w:tc>
          <w:tcPr>
            <w:tcW w:w="0" w:type="auto"/>
            <w:gridSpan w:val="3"/>
            <w:shd w:val="clear" w:color="auto" w:fill="auto"/>
            <w:vAlign w:val="bottom"/>
          </w:tcPr>
          <w:p w14:paraId="392BF110" w14:textId="77777777" w:rsidR="00980E5F" w:rsidRDefault="00980E5F">
            <w:pPr>
              <w:rPr>
                <w:rFonts w:ascii="宋体"/>
                <w:vanish/>
              </w:rPr>
            </w:pPr>
          </w:p>
        </w:tc>
        <w:tc>
          <w:tcPr>
            <w:tcW w:w="0" w:type="auto"/>
            <w:gridSpan w:val="3"/>
            <w:shd w:val="clear" w:color="auto" w:fill="auto"/>
            <w:vAlign w:val="bottom"/>
          </w:tcPr>
          <w:p w14:paraId="392BF111" w14:textId="77777777" w:rsidR="00980E5F" w:rsidRDefault="00980E5F">
            <w:pPr>
              <w:rPr>
                <w:rFonts w:ascii="宋体"/>
                <w:vanish/>
              </w:rPr>
            </w:pPr>
          </w:p>
        </w:tc>
        <w:tc>
          <w:tcPr>
            <w:tcW w:w="0" w:type="auto"/>
            <w:gridSpan w:val="3"/>
            <w:shd w:val="clear" w:color="auto" w:fill="auto"/>
            <w:vAlign w:val="bottom"/>
          </w:tcPr>
          <w:p w14:paraId="392BF112" w14:textId="77777777" w:rsidR="00980E5F" w:rsidRDefault="00980E5F">
            <w:pPr>
              <w:rPr>
                <w:rFonts w:ascii="宋体"/>
                <w:vanish/>
              </w:rPr>
            </w:pPr>
          </w:p>
        </w:tc>
        <w:tc>
          <w:tcPr>
            <w:tcW w:w="0" w:type="auto"/>
            <w:gridSpan w:val="3"/>
            <w:shd w:val="clear" w:color="auto" w:fill="auto"/>
            <w:vAlign w:val="bottom"/>
          </w:tcPr>
          <w:p w14:paraId="392BF113" w14:textId="77777777" w:rsidR="00980E5F" w:rsidRDefault="00980E5F">
            <w:pPr>
              <w:rPr>
                <w:rFonts w:ascii="宋体"/>
                <w:vanish/>
              </w:rPr>
            </w:pPr>
          </w:p>
        </w:tc>
      </w:tr>
      <w:tr w:rsidR="00980E5F" w14:paraId="392BF126" w14:textId="77777777">
        <w:tc>
          <w:tcPr>
            <w:tcW w:w="0" w:type="auto"/>
            <w:gridSpan w:val="18"/>
            <w:shd w:val="clear" w:color="auto" w:fill="auto"/>
            <w:tcMar>
              <w:top w:w="40" w:type="dxa"/>
              <w:left w:w="20" w:type="dxa"/>
              <w:bottom w:w="40" w:type="dxa"/>
              <w:right w:w="20" w:type="dxa"/>
            </w:tcMar>
            <w:vAlign w:val="bottom"/>
          </w:tcPr>
          <w:p w14:paraId="392BF115" w14:textId="77777777" w:rsidR="00980E5F" w:rsidRDefault="00483613">
            <w:pPr>
              <w:textAlignment w:val="bottom"/>
            </w:pPr>
            <w:r>
              <w:rPr>
                <w:rFonts w:ascii="Arial" w:eastAsia="宋体" w:hAnsi="Arial" w:cs="Arial"/>
                <w:b/>
                <w:bCs/>
                <w:color w:val="000000"/>
                <w:sz w:val="16"/>
                <w:szCs w:val="16"/>
              </w:rPr>
              <w:t>TABLE 8: ASSETS UNDER CUSTODY AND/OR ADMINISTRATION BY GEOGRAPHY</w:t>
            </w:r>
            <w:r>
              <w:rPr>
                <w:rFonts w:ascii="Arial" w:eastAsia="宋体" w:hAnsi="Arial" w:cs="Arial"/>
                <w:b/>
                <w:bCs/>
                <w:color w:val="000000"/>
                <w:sz w:val="10"/>
                <w:szCs w:val="10"/>
              </w:rPr>
              <w:t>(1)(2)</w:t>
            </w:r>
          </w:p>
        </w:tc>
        <w:tc>
          <w:tcPr>
            <w:tcW w:w="0" w:type="auto"/>
            <w:shd w:val="clear" w:color="auto" w:fill="auto"/>
            <w:vAlign w:val="bottom"/>
          </w:tcPr>
          <w:p w14:paraId="392BF116" w14:textId="77777777" w:rsidR="00980E5F" w:rsidRDefault="00980E5F">
            <w:pPr>
              <w:rPr>
                <w:rFonts w:ascii="宋体"/>
                <w:vanish/>
              </w:rPr>
            </w:pPr>
          </w:p>
        </w:tc>
        <w:tc>
          <w:tcPr>
            <w:tcW w:w="0" w:type="auto"/>
            <w:shd w:val="clear" w:color="auto" w:fill="auto"/>
            <w:vAlign w:val="bottom"/>
          </w:tcPr>
          <w:p w14:paraId="392BF117" w14:textId="77777777" w:rsidR="00980E5F" w:rsidRDefault="00980E5F">
            <w:pPr>
              <w:rPr>
                <w:rFonts w:ascii="宋体"/>
                <w:vanish/>
              </w:rPr>
            </w:pPr>
          </w:p>
        </w:tc>
        <w:tc>
          <w:tcPr>
            <w:tcW w:w="0" w:type="auto"/>
            <w:shd w:val="clear" w:color="auto" w:fill="auto"/>
            <w:vAlign w:val="bottom"/>
          </w:tcPr>
          <w:p w14:paraId="392BF118" w14:textId="77777777" w:rsidR="00980E5F" w:rsidRDefault="00980E5F">
            <w:pPr>
              <w:rPr>
                <w:rFonts w:ascii="宋体"/>
                <w:vanish/>
              </w:rPr>
            </w:pPr>
          </w:p>
        </w:tc>
        <w:tc>
          <w:tcPr>
            <w:tcW w:w="0" w:type="auto"/>
            <w:shd w:val="clear" w:color="auto" w:fill="auto"/>
            <w:vAlign w:val="bottom"/>
          </w:tcPr>
          <w:p w14:paraId="392BF119" w14:textId="77777777" w:rsidR="00980E5F" w:rsidRDefault="00980E5F">
            <w:pPr>
              <w:rPr>
                <w:rFonts w:ascii="宋体"/>
                <w:vanish/>
              </w:rPr>
            </w:pPr>
          </w:p>
        </w:tc>
        <w:tc>
          <w:tcPr>
            <w:tcW w:w="0" w:type="auto"/>
            <w:shd w:val="clear" w:color="auto" w:fill="auto"/>
            <w:vAlign w:val="bottom"/>
          </w:tcPr>
          <w:p w14:paraId="392BF11A" w14:textId="77777777" w:rsidR="00980E5F" w:rsidRDefault="00980E5F">
            <w:pPr>
              <w:rPr>
                <w:rFonts w:ascii="宋体"/>
              </w:rPr>
            </w:pPr>
          </w:p>
        </w:tc>
        <w:tc>
          <w:tcPr>
            <w:tcW w:w="0" w:type="auto"/>
            <w:shd w:val="clear" w:color="auto" w:fill="auto"/>
            <w:vAlign w:val="bottom"/>
          </w:tcPr>
          <w:p w14:paraId="392BF11B" w14:textId="77777777" w:rsidR="00980E5F" w:rsidRDefault="00980E5F">
            <w:pPr>
              <w:rPr>
                <w:rFonts w:ascii="宋体"/>
              </w:rPr>
            </w:pPr>
          </w:p>
        </w:tc>
        <w:tc>
          <w:tcPr>
            <w:tcW w:w="0" w:type="auto"/>
            <w:shd w:val="clear" w:color="auto" w:fill="auto"/>
            <w:vAlign w:val="bottom"/>
          </w:tcPr>
          <w:p w14:paraId="392BF11C" w14:textId="77777777" w:rsidR="00980E5F" w:rsidRDefault="00980E5F">
            <w:pPr>
              <w:rPr>
                <w:rFonts w:ascii="宋体"/>
              </w:rPr>
            </w:pPr>
          </w:p>
        </w:tc>
        <w:tc>
          <w:tcPr>
            <w:tcW w:w="0" w:type="auto"/>
            <w:shd w:val="clear" w:color="auto" w:fill="auto"/>
            <w:vAlign w:val="bottom"/>
          </w:tcPr>
          <w:p w14:paraId="392BF11D" w14:textId="77777777" w:rsidR="00980E5F" w:rsidRDefault="00980E5F">
            <w:pPr>
              <w:rPr>
                <w:rFonts w:ascii="宋体"/>
              </w:rPr>
            </w:pPr>
          </w:p>
        </w:tc>
        <w:tc>
          <w:tcPr>
            <w:tcW w:w="0" w:type="auto"/>
            <w:shd w:val="clear" w:color="auto" w:fill="auto"/>
            <w:vAlign w:val="bottom"/>
          </w:tcPr>
          <w:p w14:paraId="392BF11E" w14:textId="77777777" w:rsidR="00980E5F" w:rsidRDefault="00980E5F">
            <w:pPr>
              <w:rPr>
                <w:rFonts w:ascii="宋体"/>
              </w:rPr>
            </w:pPr>
          </w:p>
        </w:tc>
        <w:tc>
          <w:tcPr>
            <w:tcW w:w="0" w:type="auto"/>
            <w:shd w:val="clear" w:color="auto" w:fill="auto"/>
            <w:vAlign w:val="bottom"/>
          </w:tcPr>
          <w:p w14:paraId="392BF11F" w14:textId="77777777" w:rsidR="00980E5F" w:rsidRDefault="00980E5F">
            <w:pPr>
              <w:rPr>
                <w:rFonts w:ascii="宋体"/>
              </w:rPr>
            </w:pPr>
          </w:p>
        </w:tc>
        <w:tc>
          <w:tcPr>
            <w:tcW w:w="0" w:type="auto"/>
            <w:shd w:val="clear" w:color="auto" w:fill="auto"/>
            <w:vAlign w:val="bottom"/>
          </w:tcPr>
          <w:p w14:paraId="392BF120" w14:textId="77777777" w:rsidR="00980E5F" w:rsidRDefault="00980E5F">
            <w:pPr>
              <w:rPr>
                <w:rFonts w:ascii="宋体"/>
              </w:rPr>
            </w:pPr>
          </w:p>
        </w:tc>
        <w:tc>
          <w:tcPr>
            <w:tcW w:w="0" w:type="auto"/>
            <w:shd w:val="clear" w:color="auto" w:fill="auto"/>
            <w:vAlign w:val="bottom"/>
          </w:tcPr>
          <w:p w14:paraId="392BF121" w14:textId="77777777" w:rsidR="00980E5F" w:rsidRDefault="00980E5F">
            <w:pPr>
              <w:rPr>
                <w:rFonts w:ascii="宋体"/>
              </w:rPr>
            </w:pPr>
          </w:p>
        </w:tc>
        <w:tc>
          <w:tcPr>
            <w:tcW w:w="0" w:type="auto"/>
            <w:shd w:val="clear" w:color="auto" w:fill="auto"/>
            <w:vAlign w:val="bottom"/>
          </w:tcPr>
          <w:p w14:paraId="392BF122" w14:textId="77777777" w:rsidR="00980E5F" w:rsidRDefault="00980E5F">
            <w:pPr>
              <w:rPr>
                <w:rFonts w:ascii="宋体"/>
              </w:rPr>
            </w:pPr>
          </w:p>
        </w:tc>
        <w:tc>
          <w:tcPr>
            <w:tcW w:w="0" w:type="auto"/>
            <w:shd w:val="clear" w:color="auto" w:fill="auto"/>
            <w:vAlign w:val="bottom"/>
          </w:tcPr>
          <w:p w14:paraId="392BF123" w14:textId="77777777" w:rsidR="00980E5F" w:rsidRDefault="00980E5F">
            <w:pPr>
              <w:rPr>
                <w:rFonts w:ascii="宋体"/>
              </w:rPr>
            </w:pPr>
          </w:p>
        </w:tc>
        <w:tc>
          <w:tcPr>
            <w:tcW w:w="0" w:type="auto"/>
            <w:shd w:val="clear" w:color="auto" w:fill="auto"/>
            <w:vAlign w:val="bottom"/>
          </w:tcPr>
          <w:p w14:paraId="392BF124" w14:textId="77777777" w:rsidR="00980E5F" w:rsidRDefault="00980E5F">
            <w:pPr>
              <w:rPr>
                <w:rFonts w:ascii="宋体"/>
              </w:rPr>
            </w:pPr>
          </w:p>
        </w:tc>
        <w:tc>
          <w:tcPr>
            <w:tcW w:w="0" w:type="auto"/>
            <w:shd w:val="clear" w:color="auto" w:fill="auto"/>
            <w:vAlign w:val="bottom"/>
          </w:tcPr>
          <w:p w14:paraId="392BF125" w14:textId="77777777" w:rsidR="00980E5F" w:rsidRDefault="00980E5F">
            <w:pPr>
              <w:rPr>
                <w:rFonts w:ascii="宋体"/>
              </w:rPr>
            </w:pPr>
          </w:p>
        </w:tc>
      </w:tr>
      <w:tr w:rsidR="00980E5F" w14:paraId="392BF135" w14:textId="77777777">
        <w:tc>
          <w:tcPr>
            <w:tcW w:w="0" w:type="auto"/>
            <w:gridSpan w:val="3"/>
            <w:shd w:val="clear" w:color="auto" w:fill="auto"/>
            <w:tcMar>
              <w:top w:w="40" w:type="dxa"/>
              <w:left w:w="20" w:type="dxa"/>
              <w:bottom w:w="40" w:type="dxa"/>
              <w:right w:w="20" w:type="dxa"/>
            </w:tcMar>
            <w:vAlign w:val="bottom"/>
          </w:tcPr>
          <w:p w14:paraId="392BF127" w14:textId="77777777" w:rsidR="00980E5F" w:rsidRDefault="00483613">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392BF128"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BF12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12A" w14:textId="77777777" w:rsidR="00980E5F" w:rsidRDefault="00483613">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392BF12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12C" w14:textId="77777777" w:rsidR="00980E5F" w:rsidRDefault="00483613">
            <w:pPr>
              <w:jc w:val="center"/>
              <w:textAlignment w:val="bottom"/>
            </w:pPr>
            <w:r>
              <w:rPr>
                <w:rFonts w:ascii="Arial" w:eastAsia="宋体" w:hAnsi="Arial" w:cs="Arial"/>
                <w:b/>
                <w:bCs/>
                <w:color w:val="000000"/>
                <w:sz w:val="14"/>
                <w:szCs w:val="14"/>
              </w:rPr>
              <w:t>June 30, 2021</w:t>
            </w:r>
          </w:p>
        </w:tc>
        <w:tc>
          <w:tcPr>
            <w:tcW w:w="0" w:type="auto"/>
            <w:shd w:val="clear" w:color="auto" w:fill="auto"/>
            <w:vAlign w:val="bottom"/>
          </w:tcPr>
          <w:p w14:paraId="392BF12D" w14:textId="77777777" w:rsidR="00980E5F" w:rsidRDefault="00980E5F">
            <w:pPr>
              <w:rPr>
                <w:rFonts w:ascii="宋体"/>
                <w:vanish/>
              </w:rPr>
            </w:pPr>
          </w:p>
        </w:tc>
        <w:tc>
          <w:tcPr>
            <w:tcW w:w="0" w:type="auto"/>
            <w:shd w:val="clear" w:color="auto" w:fill="auto"/>
            <w:vAlign w:val="bottom"/>
          </w:tcPr>
          <w:p w14:paraId="392BF12E" w14:textId="77777777" w:rsidR="00980E5F" w:rsidRDefault="00980E5F">
            <w:pPr>
              <w:rPr>
                <w:rFonts w:ascii="宋体"/>
                <w:vanish/>
              </w:rPr>
            </w:pPr>
          </w:p>
        </w:tc>
        <w:tc>
          <w:tcPr>
            <w:tcW w:w="0" w:type="auto"/>
            <w:shd w:val="clear" w:color="auto" w:fill="auto"/>
            <w:vAlign w:val="bottom"/>
          </w:tcPr>
          <w:p w14:paraId="392BF12F" w14:textId="77777777" w:rsidR="00980E5F" w:rsidRDefault="00980E5F">
            <w:pPr>
              <w:rPr>
                <w:rFonts w:ascii="宋体"/>
                <w:vanish/>
              </w:rPr>
            </w:pPr>
          </w:p>
        </w:tc>
        <w:tc>
          <w:tcPr>
            <w:tcW w:w="0" w:type="auto"/>
            <w:shd w:val="clear" w:color="auto" w:fill="auto"/>
            <w:vAlign w:val="bottom"/>
          </w:tcPr>
          <w:p w14:paraId="392BF130" w14:textId="77777777" w:rsidR="00980E5F" w:rsidRDefault="00980E5F">
            <w:pPr>
              <w:rPr>
                <w:rFonts w:ascii="宋体"/>
                <w:vanish/>
              </w:rPr>
            </w:pPr>
          </w:p>
        </w:tc>
        <w:tc>
          <w:tcPr>
            <w:tcW w:w="0" w:type="auto"/>
            <w:gridSpan w:val="3"/>
            <w:shd w:val="clear" w:color="auto" w:fill="auto"/>
            <w:vAlign w:val="bottom"/>
          </w:tcPr>
          <w:p w14:paraId="392BF131" w14:textId="77777777" w:rsidR="00980E5F" w:rsidRDefault="00980E5F">
            <w:pPr>
              <w:rPr>
                <w:rFonts w:ascii="宋体"/>
                <w:vanish/>
              </w:rPr>
            </w:pPr>
          </w:p>
        </w:tc>
        <w:tc>
          <w:tcPr>
            <w:tcW w:w="0" w:type="auto"/>
            <w:gridSpan w:val="3"/>
            <w:shd w:val="clear" w:color="auto" w:fill="auto"/>
            <w:vAlign w:val="bottom"/>
          </w:tcPr>
          <w:p w14:paraId="392BF132" w14:textId="77777777" w:rsidR="00980E5F" w:rsidRDefault="00980E5F">
            <w:pPr>
              <w:rPr>
                <w:rFonts w:ascii="宋体"/>
                <w:vanish/>
              </w:rPr>
            </w:pPr>
          </w:p>
        </w:tc>
        <w:tc>
          <w:tcPr>
            <w:tcW w:w="0" w:type="auto"/>
            <w:gridSpan w:val="3"/>
            <w:shd w:val="clear" w:color="auto" w:fill="auto"/>
            <w:vAlign w:val="bottom"/>
          </w:tcPr>
          <w:p w14:paraId="392BF133" w14:textId="77777777" w:rsidR="00980E5F" w:rsidRDefault="00980E5F">
            <w:pPr>
              <w:rPr>
                <w:rFonts w:ascii="宋体"/>
                <w:vanish/>
              </w:rPr>
            </w:pPr>
          </w:p>
        </w:tc>
        <w:tc>
          <w:tcPr>
            <w:tcW w:w="0" w:type="auto"/>
            <w:gridSpan w:val="3"/>
            <w:shd w:val="clear" w:color="auto" w:fill="auto"/>
            <w:vAlign w:val="bottom"/>
          </w:tcPr>
          <w:p w14:paraId="392BF134" w14:textId="77777777" w:rsidR="00980E5F" w:rsidRDefault="00980E5F">
            <w:pPr>
              <w:rPr>
                <w:rFonts w:ascii="宋体"/>
                <w:vanish/>
              </w:rPr>
            </w:pPr>
          </w:p>
        </w:tc>
      </w:tr>
      <w:tr w:rsidR="00980E5F" w14:paraId="392BF14A" w14:textId="77777777">
        <w:tc>
          <w:tcPr>
            <w:tcW w:w="0" w:type="auto"/>
            <w:gridSpan w:val="3"/>
            <w:shd w:val="clear" w:color="auto" w:fill="CCEEFF"/>
            <w:tcMar>
              <w:top w:w="40" w:type="dxa"/>
              <w:left w:w="20" w:type="dxa"/>
              <w:bottom w:w="40" w:type="dxa"/>
              <w:right w:w="20" w:type="dxa"/>
            </w:tcMar>
            <w:vAlign w:val="bottom"/>
          </w:tcPr>
          <w:p w14:paraId="392BF136" w14:textId="77777777" w:rsidR="00980E5F" w:rsidRDefault="00483613">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13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138" w14:textId="77777777" w:rsidR="00980E5F" w:rsidRDefault="00483613">
            <w:pPr>
              <w:jc w:val="right"/>
              <w:textAlignment w:val="bottom"/>
            </w:pPr>
            <w:r>
              <w:rPr>
                <w:rFonts w:ascii="Arial" w:eastAsia="宋体" w:hAnsi="Arial" w:cs="Arial"/>
                <w:b/>
                <w:bCs/>
                <w:color w:val="000000"/>
                <w:sz w:val="14"/>
                <w:szCs w:val="14"/>
              </w:rPr>
              <w:t>28,207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1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13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13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13C" w14:textId="77777777" w:rsidR="00980E5F" w:rsidRDefault="00483613">
            <w:pPr>
              <w:jc w:val="right"/>
              <w:textAlignment w:val="bottom"/>
            </w:pPr>
            <w:r>
              <w:rPr>
                <w:rFonts w:ascii="Arial" w:eastAsia="宋体" w:hAnsi="Arial" w:cs="Arial"/>
                <w:color w:val="000000"/>
                <w:sz w:val="14"/>
                <w:szCs w:val="14"/>
              </w:rPr>
              <w:t>32,427 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1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13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13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140" w14:textId="77777777" w:rsidR="00980E5F" w:rsidRDefault="00483613">
            <w:pPr>
              <w:jc w:val="right"/>
              <w:textAlignment w:val="bottom"/>
            </w:pPr>
            <w:r>
              <w:rPr>
                <w:rFonts w:ascii="Arial" w:eastAsia="宋体" w:hAnsi="Arial" w:cs="Arial"/>
                <w:color w:val="000000"/>
                <w:sz w:val="14"/>
                <w:szCs w:val="14"/>
              </w:rPr>
              <w:t>31,280 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141" w14:textId="77777777" w:rsidR="00980E5F" w:rsidRDefault="00980E5F">
            <w:pPr>
              <w:jc w:val="right"/>
              <w:rPr>
                <w:rFonts w:ascii="宋体"/>
              </w:rPr>
            </w:pPr>
          </w:p>
        </w:tc>
        <w:tc>
          <w:tcPr>
            <w:tcW w:w="0" w:type="auto"/>
            <w:shd w:val="clear" w:color="auto" w:fill="auto"/>
            <w:vAlign w:val="bottom"/>
          </w:tcPr>
          <w:p w14:paraId="392BF142" w14:textId="77777777" w:rsidR="00980E5F" w:rsidRDefault="00980E5F">
            <w:pPr>
              <w:rPr>
                <w:rFonts w:ascii="宋体"/>
                <w:vanish/>
              </w:rPr>
            </w:pPr>
          </w:p>
        </w:tc>
        <w:tc>
          <w:tcPr>
            <w:tcW w:w="0" w:type="auto"/>
            <w:shd w:val="clear" w:color="auto" w:fill="auto"/>
            <w:vAlign w:val="bottom"/>
          </w:tcPr>
          <w:p w14:paraId="392BF143" w14:textId="77777777" w:rsidR="00980E5F" w:rsidRDefault="00980E5F">
            <w:pPr>
              <w:rPr>
                <w:rFonts w:ascii="宋体"/>
                <w:vanish/>
              </w:rPr>
            </w:pPr>
          </w:p>
        </w:tc>
        <w:tc>
          <w:tcPr>
            <w:tcW w:w="0" w:type="auto"/>
            <w:shd w:val="clear" w:color="auto" w:fill="auto"/>
            <w:vAlign w:val="bottom"/>
          </w:tcPr>
          <w:p w14:paraId="392BF144" w14:textId="77777777" w:rsidR="00980E5F" w:rsidRDefault="00980E5F">
            <w:pPr>
              <w:rPr>
                <w:rFonts w:ascii="宋体"/>
                <w:vanish/>
              </w:rPr>
            </w:pPr>
          </w:p>
        </w:tc>
        <w:tc>
          <w:tcPr>
            <w:tcW w:w="0" w:type="auto"/>
            <w:shd w:val="clear" w:color="auto" w:fill="auto"/>
            <w:vAlign w:val="bottom"/>
          </w:tcPr>
          <w:p w14:paraId="392BF145" w14:textId="77777777" w:rsidR="00980E5F" w:rsidRDefault="00980E5F">
            <w:pPr>
              <w:rPr>
                <w:rFonts w:ascii="宋体"/>
                <w:vanish/>
              </w:rPr>
            </w:pPr>
          </w:p>
        </w:tc>
        <w:tc>
          <w:tcPr>
            <w:tcW w:w="0" w:type="auto"/>
            <w:gridSpan w:val="3"/>
            <w:shd w:val="clear" w:color="auto" w:fill="auto"/>
            <w:vAlign w:val="bottom"/>
          </w:tcPr>
          <w:p w14:paraId="392BF146" w14:textId="77777777" w:rsidR="00980E5F" w:rsidRDefault="00980E5F">
            <w:pPr>
              <w:rPr>
                <w:rFonts w:ascii="宋体"/>
                <w:vanish/>
              </w:rPr>
            </w:pPr>
          </w:p>
        </w:tc>
        <w:tc>
          <w:tcPr>
            <w:tcW w:w="0" w:type="auto"/>
            <w:gridSpan w:val="3"/>
            <w:shd w:val="clear" w:color="auto" w:fill="auto"/>
            <w:vAlign w:val="bottom"/>
          </w:tcPr>
          <w:p w14:paraId="392BF147" w14:textId="77777777" w:rsidR="00980E5F" w:rsidRDefault="00980E5F">
            <w:pPr>
              <w:rPr>
                <w:rFonts w:ascii="宋体"/>
                <w:vanish/>
              </w:rPr>
            </w:pPr>
          </w:p>
        </w:tc>
        <w:tc>
          <w:tcPr>
            <w:tcW w:w="0" w:type="auto"/>
            <w:gridSpan w:val="3"/>
            <w:shd w:val="clear" w:color="auto" w:fill="auto"/>
            <w:vAlign w:val="bottom"/>
          </w:tcPr>
          <w:p w14:paraId="392BF148" w14:textId="77777777" w:rsidR="00980E5F" w:rsidRDefault="00980E5F">
            <w:pPr>
              <w:rPr>
                <w:rFonts w:ascii="宋体"/>
                <w:vanish/>
              </w:rPr>
            </w:pPr>
          </w:p>
        </w:tc>
        <w:tc>
          <w:tcPr>
            <w:tcW w:w="0" w:type="auto"/>
            <w:gridSpan w:val="3"/>
            <w:shd w:val="clear" w:color="auto" w:fill="auto"/>
            <w:vAlign w:val="bottom"/>
          </w:tcPr>
          <w:p w14:paraId="392BF149" w14:textId="77777777" w:rsidR="00980E5F" w:rsidRDefault="00980E5F">
            <w:pPr>
              <w:rPr>
                <w:rFonts w:ascii="宋体"/>
                <w:vanish/>
              </w:rPr>
            </w:pPr>
          </w:p>
        </w:tc>
      </w:tr>
      <w:tr w:rsidR="00980E5F" w14:paraId="392BF15C" w14:textId="77777777">
        <w:tc>
          <w:tcPr>
            <w:tcW w:w="0" w:type="auto"/>
            <w:gridSpan w:val="3"/>
            <w:shd w:val="clear" w:color="auto" w:fill="FFFFFF"/>
            <w:tcMar>
              <w:top w:w="40" w:type="dxa"/>
              <w:left w:w="20" w:type="dxa"/>
              <w:bottom w:w="40" w:type="dxa"/>
              <w:right w:w="20" w:type="dxa"/>
            </w:tcMar>
            <w:vAlign w:val="bottom"/>
          </w:tcPr>
          <w:p w14:paraId="392BF14B" w14:textId="77777777" w:rsidR="00980E5F" w:rsidRDefault="00483613">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392BF14C" w14:textId="77777777" w:rsidR="00980E5F" w:rsidRDefault="00483613">
            <w:pPr>
              <w:jc w:val="right"/>
              <w:textAlignment w:val="bottom"/>
            </w:pPr>
            <w:r>
              <w:rPr>
                <w:rFonts w:ascii="Arial" w:eastAsia="宋体" w:hAnsi="Arial" w:cs="Arial"/>
                <w:b/>
                <w:bCs/>
                <w:color w:val="000000"/>
                <w:sz w:val="14"/>
                <w:szCs w:val="14"/>
              </w:rPr>
              <w:t>7,498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BF1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1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14F" w14:textId="77777777" w:rsidR="00980E5F" w:rsidRDefault="00483613">
            <w:pPr>
              <w:jc w:val="right"/>
              <w:textAlignment w:val="bottom"/>
            </w:pPr>
            <w:r>
              <w:rPr>
                <w:rFonts w:ascii="Arial" w:eastAsia="宋体" w:hAnsi="Arial" w:cs="Arial"/>
                <w:color w:val="000000"/>
                <w:sz w:val="14"/>
                <w:szCs w:val="14"/>
              </w:rPr>
              <w:t>8,599 </w:t>
            </w:r>
          </w:p>
        </w:tc>
        <w:tc>
          <w:tcPr>
            <w:tcW w:w="0" w:type="auto"/>
            <w:shd w:val="clear" w:color="auto" w:fill="FFFFFF"/>
            <w:tcMar>
              <w:top w:w="40" w:type="dxa"/>
              <w:left w:w="0" w:type="dxa"/>
              <w:bottom w:w="40" w:type="dxa"/>
              <w:right w:w="20" w:type="dxa"/>
            </w:tcMar>
            <w:vAlign w:val="bottom"/>
          </w:tcPr>
          <w:p w14:paraId="392BF1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1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152" w14:textId="77777777" w:rsidR="00980E5F" w:rsidRDefault="00483613">
            <w:pPr>
              <w:jc w:val="right"/>
              <w:textAlignment w:val="bottom"/>
            </w:pPr>
            <w:r>
              <w:rPr>
                <w:rFonts w:ascii="Arial" w:eastAsia="宋体" w:hAnsi="Arial" w:cs="Arial"/>
                <w:color w:val="000000"/>
                <w:sz w:val="14"/>
                <w:szCs w:val="14"/>
              </w:rPr>
              <w:t>8,716 </w:t>
            </w:r>
          </w:p>
        </w:tc>
        <w:tc>
          <w:tcPr>
            <w:tcW w:w="0" w:type="auto"/>
            <w:shd w:val="clear" w:color="auto" w:fill="FFFFFF"/>
            <w:tcMar>
              <w:top w:w="40" w:type="dxa"/>
              <w:left w:w="0" w:type="dxa"/>
              <w:bottom w:w="40" w:type="dxa"/>
              <w:right w:w="20" w:type="dxa"/>
            </w:tcMar>
            <w:vAlign w:val="bottom"/>
          </w:tcPr>
          <w:p w14:paraId="392BF153" w14:textId="77777777" w:rsidR="00980E5F" w:rsidRDefault="00980E5F">
            <w:pPr>
              <w:jc w:val="right"/>
              <w:rPr>
                <w:rFonts w:ascii="宋体"/>
              </w:rPr>
            </w:pPr>
          </w:p>
        </w:tc>
        <w:tc>
          <w:tcPr>
            <w:tcW w:w="0" w:type="auto"/>
            <w:shd w:val="clear" w:color="auto" w:fill="auto"/>
            <w:vAlign w:val="bottom"/>
          </w:tcPr>
          <w:p w14:paraId="392BF154" w14:textId="77777777" w:rsidR="00980E5F" w:rsidRDefault="00980E5F">
            <w:pPr>
              <w:rPr>
                <w:rFonts w:ascii="宋体"/>
                <w:vanish/>
              </w:rPr>
            </w:pPr>
          </w:p>
        </w:tc>
        <w:tc>
          <w:tcPr>
            <w:tcW w:w="0" w:type="auto"/>
            <w:shd w:val="clear" w:color="auto" w:fill="auto"/>
            <w:vAlign w:val="bottom"/>
          </w:tcPr>
          <w:p w14:paraId="392BF155" w14:textId="77777777" w:rsidR="00980E5F" w:rsidRDefault="00980E5F">
            <w:pPr>
              <w:rPr>
                <w:rFonts w:ascii="宋体"/>
                <w:vanish/>
              </w:rPr>
            </w:pPr>
          </w:p>
        </w:tc>
        <w:tc>
          <w:tcPr>
            <w:tcW w:w="0" w:type="auto"/>
            <w:shd w:val="clear" w:color="auto" w:fill="auto"/>
            <w:vAlign w:val="bottom"/>
          </w:tcPr>
          <w:p w14:paraId="392BF156" w14:textId="77777777" w:rsidR="00980E5F" w:rsidRDefault="00980E5F">
            <w:pPr>
              <w:rPr>
                <w:rFonts w:ascii="宋体"/>
                <w:vanish/>
              </w:rPr>
            </w:pPr>
          </w:p>
        </w:tc>
        <w:tc>
          <w:tcPr>
            <w:tcW w:w="0" w:type="auto"/>
            <w:shd w:val="clear" w:color="auto" w:fill="auto"/>
            <w:vAlign w:val="bottom"/>
          </w:tcPr>
          <w:p w14:paraId="392BF157" w14:textId="77777777" w:rsidR="00980E5F" w:rsidRDefault="00980E5F">
            <w:pPr>
              <w:rPr>
                <w:rFonts w:ascii="宋体"/>
                <w:vanish/>
              </w:rPr>
            </w:pPr>
          </w:p>
        </w:tc>
        <w:tc>
          <w:tcPr>
            <w:tcW w:w="0" w:type="auto"/>
            <w:gridSpan w:val="3"/>
            <w:shd w:val="clear" w:color="auto" w:fill="auto"/>
            <w:vAlign w:val="bottom"/>
          </w:tcPr>
          <w:p w14:paraId="392BF158" w14:textId="77777777" w:rsidR="00980E5F" w:rsidRDefault="00980E5F">
            <w:pPr>
              <w:rPr>
                <w:rFonts w:ascii="宋体"/>
                <w:vanish/>
              </w:rPr>
            </w:pPr>
          </w:p>
        </w:tc>
        <w:tc>
          <w:tcPr>
            <w:tcW w:w="0" w:type="auto"/>
            <w:gridSpan w:val="3"/>
            <w:shd w:val="clear" w:color="auto" w:fill="auto"/>
            <w:vAlign w:val="bottom"/>
          </w:tcPr>
          <w:p w14:paraId="392BF159" w14:textId="77777777" w:rsidR="00980E5F" w:rsidRDefault="00980E5F">
            <w:pPr>
              <w:rPr>
                <w:rFonts w:ascii="宋体"/>
                <w:vanish/>
              </w:rPr>
            </w:pPr>
          </w:p>
        </w:tc>
        <w:tc>
          <w:tcPr>
            <w:tcW w:w="0" w:type="auto"/>
            <w:gridSpan w:val="3"/>
            <w:shd w:val="clear" w:color="auto" w:fill="auto"/>
            <w:vAlign w:val="bottom"/>
          </w:tcPr>
          <w:p w14:paraId="392BF15A" w14:textId="77777777" w:rsidR="00980E5F" w:rsidRDefault="00980E5F">
            <w:pPr>
              <w:rPr>
                <w:rFonts w:ascii="宋体"/>
                <w:vanish/>
              </w:rPr>
            </w:pPr>
          </w:p>
        </w:tc>
        <w:tc>
          <w:tcPr>
            <w:tcW w:w="0" w:type="auto"/>
            <w:gridSpan w:val="3"/>
            <w:shd w:val="clear" w:color="auto" w:fill="auto"/>
            <w:vAlign w:val="bottom"/>
          </w:tcPr>
          <w:p w14:paraId="392BF15B" w14:textId="77777777" w:rsidR="00980E5F" w:rsidRDefault="00980E5F">
            <w:pPr>
              <w:rPr>
                <w:rFonts w:ascii="宋体"/>
                <w:vanish/>
              </w:rPr>
            </w:pPr>
          </w:p>
        </w:tc>
      </w:tr>
      <w:tr w:rsidR="00980E5F" w14:paraId="392BF16E" w14:textId="77777777">
        <w:tc>
          <w:tcPr>
            <w:tcW w:w="0" w:type="auto"/>
            <w:gridSpan w:val="3"/>
            <w:shd w:val="clear" w:color="auto" w:fill="CCEEFF"/>
            <w:tcMar>
              <w:top w:w="40" w:type="dxa"/>
              <w:left w:w="20" w:type="dxa"/>
              <w:bottom w:w="40" w:type="dxa"/>
              <w:right w:w="20" w:type="dxa"/>
            </w:tcMar>
            <w:vAlign w:val="bottom"/>
          </w:tcPr>
          <w:p w14:paraId="392BF15D" w14:textId="77777777" w:rsidR="00980E5F" w:rsidRDefault="00483613">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392BF15E" w14:textId="77777777" w:rsidR="00980E5F" w:rsidRDefault="00483613">
            <w:pPr>
              <w:jc w:val="right"/>
              <w:textAlignment w:val="bottom"/>
            </w:pPr>
            <w:r>
              <w:rPr>
                <w:rFonts w:ascii="Arial" w:eastAsia="宋体" w:hAnsi="Arial" w:cs="Arial"/>
                <w:b/>
                <w:bCs/>
                <w:color w:val="000000"/>
                <w:sz w:val="14"/>
                <w:szCs w:val="14"/>
              </w:rPr>
              <w:t>2,475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BF1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16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161" w14:textId="77777777" w:rsidR="00980E5F" w:rsidRDefault="00483613">
            <w:pPr>
              <w:jc w:val="right"/>
              <w:textAlignment w:val="bottom"/>
            </w:pPr>
            <w:r>
              <w:rPr>
                <w:rFonts w:ascii="Arial" w:eastAsia="宋体" w:hAnsi="Arial" w:cs="Arial"/>
                <w:color w:val="000000"/>
                <w:sz w:val="14"/>
                <w:szCs w:val="14"/>
              </w:rPr>
              <w:t>2,652 </w:t>
            </w:r>
          </w:p>
        </w:tc>
        <w:tc>
          <w:tcPr>
            <w:tcW w:w="0" w:type="auto"/>
            <w:shd w:val="clear" w:color="auto" w:fill="CCEEFF"/>
            <w:tcMar>
              <w:top w:w="40" w:type="dxa"/>
              <w:left w:w="0" w:type="dxa"/>
              <w:bottom w:w="40" w:type="dxa"/>
              <w:right w:w="20" w:type="dxa"/>
            </w:tcMar>
            <w:vAlign w:val="bottom"/>
          </w:tcPr>
          <w:p w14:paraId="392BF1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16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164" w14:textId="77777777" w:rsidR="00980E5F" w:rsidRDefault="00483613">
            <w:pPr>
              <w:jc w:val="right"/>
              <w:textAlignment w:val="bottom"/>
            </w:pPr>
            <w:r>
              <w:rPr>
                <w:rFonts w:ascii="Arial" w:eastAsia="宋体" w:hAnsi="Arial" w:cs="Arial"/>
                <w:color w:val="000000"/>
                <w:sz w:val="14"/>
                <w:szCs w:val="14"/>
              </w:rPr>
              <w:t>2,601 </w:t>
            </w:r>
          </w:p>
        </w:tc>
        <w:tc>
          <w:tcPr>
            <w:tcW w:w="0" w:type="auto"/>
            <w:shd w:val="clear" w:color="auto" w:fill="CCEEFF"/>
            <w:tcMar>
              <w:top w:w="40" w:type="dxa"/>
              <w:left w:w="0" w:type="dxa"/>
              <w:bottom w:w="40" w:type="dxa"/>
              <w:right w:w="20" w:type="dxa"/>
            </w:tcMar>
            <w:vAlign w:val="bottom"/>
          </w:tcPr>
          <w:p w14:paraId="392BF165" w14:textId="77777777" w:rsidR="00980E5F" w:rsidRDefault="00980E5F">
            <w:pPr>
              <w:jc w:val="right"/>
              <w:rPr>
                <w:rFonts w:ascii="宋体"/>
              </w:rPr>
            </w:pPr>
          </w:p>
        </w:tc>
        <w:tc>
          <w:tcPr>
            <w:tcW w:w="0" w:type="auto"/>
            <w:shd w:val="clear" w:color="auto" w:fill="auto"/>
            <w:vAlign w:val="bottom"/>
          </w:tcPr>
          <w:p w14:paraId="392BF166" w14:textId="77777777" w:rsidR="00980E5F" w:rsidRDefault="00980E5F">
            <w:pPr>
              <w:rPr>
                <w:rFonts w:ascii="宋体"/>
                <w:vanish/>
              </w:rPr>
            </w:pPr>
          </w:p>
        </w:tc>
        <w:tc>
          <w:tcPr>
            <w:tcW w:w="0" w:type="auto"/>
            <w:shd w:val="clear" w:color="auto" w:fill="auto"/>
            <w:vAlign w:val="bottom"/>
          </w:tcPr>
          <w:p w14:paraId="392BF167" w14:textId="77777777" w:rsidR="00980E5F" w:rsidRDefault="00980E5F">
            <w:pPr>
              <w:rPr>
                <w:rFonts w:ascii="宋体"/>
                <w:vanish/>
              </w:rPr>
            </w:pPr>
          </w:p>
        </w:tc>
        <w:tc>
          <w:tcPr>
            <w:tcW w:w="0" w:type="auto"/>
            <w:shd w:val="clear" w:color="auto" w:fill="auto"/>
            <w:vAlign w:val="bottom"/>
          </w:tcPr>
          <w:p w14:paraId="392BF168" w14:textId="77777777" w:rsidR="00980E5F" w:rsidRDefault="00980E5F">
            <w:pPr>
              <w:rPr>
                <w:rFonts w:ascii="宋体"/>
                <w:vanish/>
              </w:rPr>
            </w:pPr>
          </w:p>
        </w:tc>
        <w:tc>
          <w:tcPr>
            <w:tcW w:w="0" w:type="auto"/>
            <w:shd w:val="clear" w:color="auto" w:fill="auto"/>
            <w:vAlign w:val="bottom"/>
          </w:tcPr>
          <w:p w14:paraId="392BF169" w14:textId="77777777" w:rsidR="00980E5F" w:rsidRDefault="00980E5F">
            <w:pPr>
              <w:rPr>
                <w:rFonts w:ascii="宋体"/>
                <w:vanish/>
              </w:rPr>
            </w:pPr>
          </w:p>
        </w:tc>
        <w:tc>
          <w:tcPr>
            <w:tcW w:w="0" w:type="auto"/>
            <w:gridSpan w:val="3"/>
            <w:shd w:val="clear" w:color="auto" w:fill="auto"/>
            <w:vAlign w:val="bottom"/>
          </w:tcPr>
          <w:p w14:paraId="392BF16A" w14:textId="77777777" w:rsidR="00980E5F" w:rsidRDefault="00980E5F">
            <w:pPr>
              <w:rPr>
                <w:rFonts w:ascii="宋体"/>
                <w:vanish/>
              </w:rPr>
            </w:pPr>
          </w:p>
        </w:tc>
        <w:tc>
          <w:tcPr>
            <w:tcW w:w="0" w:type="auto"/>
            <w:gridSpan w:val="3"/>
            <w:shd w:val="clear" w:color="auto" w:fill="auto"/>
            <w:vAlign w:val="bottom"/>
          </w:tcPr>
          <w:p w14:paraId="392BF16B" w14:textId="77777777" w:rsidR="00980E5F" w:rsidRDefault="00980E5F">
            <w:pPr>
              <w:rPr>
                <w:rFonts w:ascii="宋体"/>
                <w:vanish/>
              </w:rPr>
            </w:pPr>
          </w:p>
        </w:tc>
        <w:tc>
          <w:tcPr>
            <w:tcW w:w="0" w:type="auto"/>
            <w:gridSpan w:val="3"/>
            <w:shd w:val="clear" w:color="auto" w:fill="auto"/>
            <w:vAlign w:val="bottom"/>
          </w:tcPr>
          <w:p w14:paraId="392BF16C" w14:textId="77777777" w:rsidR="00980E5F" w:rsidRDefault="00980E5F">
            <w:pPr>
              <w:rPr>
                <w:rFonts w:ascii="宋体"/>
                <w:vanish/>
              </w:rPr>
            </w:pPr>
          </w:p>
        </w:tc>
        <w:tc>
          <w:tcPr>
            <w:tcW w:w="0" w:type="auto"/>
            <w:gridSpan w:val="3"/>
            <w:shd w:val="clear" w:color="auto" w:fill="auto"/>
            <w:vAlign w:val="bottom"/>
          </w:tcPr>
          <w:p w14:paraId="392BF16D" w14:textId="77777777" w:rsidR="00980E5F" w:rsidRDefault="00980E5F">
            <w:pPr>
              <w:rPr>
                <w:rFonts w:ascii="宋体"/>
                <w:vanish/>
              </w:rPr>
            </w:pPr>
          </w:p>
        </w:tc>
      </w:tr>
      <w:tr w:rsidR="00980E5F" w14:paraId="392BF183" w14:textId="77777777">
        <w:tc>
          <w:tcPr>
            <w:tcW w:w="0" w:type="auto"/>
            <w:gridSpan w:val="3"/>
            <w:shd w:val="clear" w:color="auto" w:fill="FFFFFF"/>
            <w:tcMar>
              <w:top w:w="40" w:type="dxa"/>
              <w:left w:w="20" w:type="dxa"/>
              <w:bottom w:w="40" w:type="dxa"/>
              <w:right w:w="20" w:type="dxa"/>
            </w:tcMar>
            <w:vAlign w:val="bottom"/>
          </w:tcPr>
          <w:p w14:paraId="392BF16F" w14:textId="77777777" w:rsidR="00980E5F" w:rsidRDefault="00483613">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17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171" w14:textId="77777777" w:rsidR="00980E5F" w:rsidRDefault="00483613">
            <w:pPr>
              <w:jc w:val="right"/>
              <w:textAlignment w:val="bottom"/>
            </w:pPr>
            <w:r>
              <w:rPr>
                <w:rFonts w:ascii="Arial" w:eastAsia="宋体" w:hAnsi="Arial" w:cs="Arial"/>
                <w:b/>
                <w:bCs/>
                <w:color w:val="000000"/>
                <w:sz w:val="14"/>
                <w:szCs w:val="14"/>
              </w:rPr>
              <w:t>38,180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1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17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17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175" w14:textId="77777777" w:rsidR="00980E5F" w:rsidRDefault="00483613">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1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17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17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179" w14:textId="77777777" w:rsidR="00980E5F" w:rsidRDefault="00483613">
            <w:pPr>
              <w:jc w:val="right"/>
              <w:textAlignment w:val="bottom"/>
            </w:pPr>
            <w:r>
              <w:rPr>
                <w:rFonts w:ascii="Arial" w:eastAsia="宋体" w:hAnsi="Arial" w:cs="Arial"/>
                <w:color w:val="000000"/>
                <w:sz w:val="14"/>
                <w:szCs w:val="14"/>
              </w:rPr>
              <w:t>42,597 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17A" w14:textId="77777777" w:rsidR="00980E5F" w:rsidRDefault="00980E5F">
            <w:pPr>
              <w:jc w:val="right"/>
              <w:rPr>
                <w:rFonts w:ascii="宋体"/>
              </w:rPr>
            </w:pPr>
          </w:p>
        </w:tc>
        <w:tc>
          <w:tcPr>
            <w:tcW w:w="0" w:type="auto"/>
            <w:shd w:val="clear" w:color="auto" w:fill="auto"/>
            <w:vAlign w:val="bottom"/>
          </w:tcPr>
          <w:p w14:paraId="392BF17B" w14:textId="77777777" w:rsidR="00980E5F" w:rsidRDefault="00980E5F">
            <w:pPr>
              <w:rPr>
                <w:rFonts w:ascii="宋体"/>
                <w:vanish/>
              </w:rPr>
            </w:pPr>
          </w:p>
        </w:tc>
        <w:tc>
          <w:tcPr>
            <w:tcW w:w="0" w:type="auto"/>
            <w:shd w:val="clear" w:color="auto" w:fill="auto"/>
            <w:vAlign w:val="bottom"/>
          </w:tcPr>
          <w:p w14:paraId="392BF17C" w14:textId="77777777" w:rsidR="00980E5F" w:rsidRDefault="00980E5F">
            <w:pPr>
              <w:rPr>
                <w:rFonts w:ascii="宋体"/>
                <w:vanish/>
              </w:rPr>
            </w:pPr>
          </w:p>
        </w:tc>
        <w:tc>
          <w:tcPr>
            <w:tcW w:w="0" w:type="auto"/>
            <w:shd w:val="clear" w:color="auto" w:fill="auto"/>
            <w:vAlign w:val="bottom"/>
          </w:tcPr>
          <w:p w14:paraId="392BF17D" w14:textId="77777777" w:rsidR="00980E5F" w:rsidRDefault="00980E5F">
            <w:pPr>
              <w:rPr>
                <w:rFonts w:ascii="宋体"/>
                <w:vanish/>
              </w:rPr>
            </w:pPr>
          </w:p>
        </w:tc>
        <w:tc>
          <w:tcPr>
            <w:tcW w:w="0" w:type="auto"/>
            <w:shd w:val="clear" w:color="auto" w:fill="auto"/>
            <w:vAlign w:val="bottom"/>
          </w:tcPr>
          <w:p w14:paraId="392BF17E" w14:textId="77777777" w:rsidR="00980E5F" w:rsidRDefault="00980E5F">
            <w:pPr>
              <w:rPr>
                <w:rFonts w:ascii="宋体"/>
                <w:vanish/>
              </w:rPr>
            </w:pPr>
          </w:p>
        </w:tc>
        <w:tc>
          <w:tcPr>
            <w:tcW w:w="0" w:type="auto"/>
            <w:gridSpan w:val="3"/>
            <w:shd w:val="clear" w:color="auto" w:fill="auto"/>
            <w:vAlign w:val="bottom"/>
          </w:tcPr>
          <w:p w14:paraId="392BF17F" w14:textId="77777777" w:rsidR="00980E5F" w:rsidRDefault="00980E5F">
            <w:pPr>
              <w:rPr>
                <w:rFonts w:ascii="宋体"/>
                <w:vanish/>
              </w:rPr>
            </w:pPr>
          </w:p>
        </w:tc>
        <w:tc>
          <w:tcPr>
            <w:tcW w:w="0" w:type="auto"/>
            <w:gridSpan w:val="3"/>
            <w:shd w:val="clear" w:color="auto" w:fill="auto"/>
            <w:vAlign w:val="bottom"/>
          </w:tcPr>
          <w:p w14:paraId="392BF180" w14:textId="77777777" w:rsidR="00980E5F" w:rsidRDefault="00980E5F">
            <w:pPr>
              <w:rPr>
                <w:rFonts w:ascii="宋体"/>
                <w:vanish/>
              </w:rPr>
            </w:pPr>
          </w:p>
        </w:tc>
        <w:tc>
          <w:tcPr>
            <w:tcW w:w="0" w:type="auto"/>
            <w:gridSpan w:val="3"/>
            <w:shd w:val="clear" w:color="auto" w:fill="auto"/>
            <w:vAlign w:val="bottom"/>
          </w:tcPr>
          <w:p w14:paraId="392BF181" w14:textId="77777777" w:rsidR="00980E5F" w:rsidRDefault="00980E5F">
            <w:pPr>
              <w:rPr>
                <w:rFonts w:ascii="宋体"/>
                <w:vanish/>
              </w:rPr>
            </w:pPr>
          </w:p>
        </w:tc>
        <w:tc>
          <w:tcPr>
            <w:tcW w:w="0" w:type="auto"/>
            <w:gridSpan w:val="3"/>
            <w:shd w:val="clear" w:color="auto" w:fill="auto"/>
            <w:vAlign w:val="bottom"/>
          </w:tcPr>
          <w:p w14:paraId="392BF182" w14:textId="77777777" w:rsidR="00980E5F" w:rsidRDefault="00980E5F">
            <w:pPr>
              <w:rPr>
                <w:rFonts w:ascii="宋体"/>
                <w:vanish/>
              </w:rPr>
            </w:pPr>
          </w:p>
        </w:tc>
      </w:tr>
    </w:tbl>
    <w:p w14:paraId="392BF18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F18B" w14:textId="77777777">
        <w:tc>
          <w:tcPr>
            <w:tcW w:w="50" w:type="pct"/>
            <w:shd w:val="clear" w:color="auto" w:fill="auto"/>
            <w:vAlign w:val="bottom"/>
          </w:tcPr>
          <w:p w14:paraId="392BF185" w14:textId="77777777" w:rsidR="00980E5F" w:rsidRDefault="00980E5F">
            <w:pPr>
              <w:rPr>
                <w:rFonts w:ascii="宋体"/>
              </w:rPr>
            </w:pPr>
          </w:p>
        </w:tc>
        <w:tc>
          <w:tcPr>
            <w:tcW w:w="1348" w:type="pct"/>
            <w:shd w:val="clear" w:color="auto" w:fill="auto"/>
            <w:vAlign w:val="bottom"/>
          </w:tcPr>
          <w:p w14:paraId="392BF186" w14:textId="77777777" w:rsidR="00980E5F" w:rsidRDefault="00980E5F">
            <w:pPr>
              <w:rPr>
                <w:rFonts w:ascii="宋体"/>
              </w:rPr>
            </w:pPr>
          </w:p>
        </w:tc>
        <w:tc>
          <w:tcPr>
            <w:tcW w:w="5" w:type="pct"/>
            <w:shd w:val="clear" w:color="auto" w:fill="auto"/>
            <w:vAlign w:val="bottom"/>
          </w:tcPr>
          <w:p w14:paraId="392BF187" w14:textId="77777777" w:rsidR="00980E5F" w:rsidRDefault="00980E5F">
            <w:pPr>
              <w:rPr>
                <w:rFonts w:ascii="宋体"/>
              </w:rPr>
            </w:pPr>
          </w:p>
        </w:tc>
        <w:tc>
          <w:tcPr>
            <w:tcW w:w="50" w:type="pct"/>
            <w:shd w:val="clear" w:color="auto" w:fill="auto"/>
            <w:vAlign w:val="bottom"/>
          </w:tcPr>
          <w:p w14:paraId="392BF188" w14:textId="77777777" w:rsidR="00980E5F" w:rsidRDefault="00980E5F">
            <w:pPr>
              <w:rPr>
                <w:rFonts w:ascii="宋体"/>
              </w:rPr>
            </w:pPr>
          </w:p>
        </w:tc>
        <w:tc>
          <w:tcPr>
            <w:tcW w:w="3541" w:type="pct"/>
            <w:shd w:val="clear" w:color="auto" w:fill="auto"/>
            <w:vAlign w:val="bottom"/>
          </w:tcPr>
          <w:p w14:paraId="392BF189" w14:textId="77777777" w:rsidR="00980E5F" w:rsidRDefault="00980E5F">
            <w:pPr>
              <w:rPr>
                <w:rFonts w:ascii="宋体"/>
              </w:rPr>
            </w:pPr>
          </w:p>
        </w:tc>
        <w:tc>
          <w:tcPr>
            <w:tcW w:w="5" w:type="pct"/>
            <w:shd w:val="clear" w:color="auto" w:fill="auto"/>
            <w:vAlign w:val="bottom"/>
          </w:tcPr>
          <w:p w14:paraId="392BF18A" w14:textId="77777777" w:rsidR="00980E5F" w:rsidRDefault="00980E5F">
            <w:pPr>
              <w:rPr>
                <w:rFonts w:ascii="宋体"/>
              </w:rPr>
            </w:pPr>
          </w:p>
        </w:tc>
      </w:tr>
      <w:tr w:rsidR="00980E5F" w14:paraId="392BF18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18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18D" w14:textId="77777777" w:rsidR="00980E5F" w:rsidRDefault="00980E5F">
            <w:pPr>
              <w:rPr>
                <w:rFonts w:ascii="宋体"/>
              </w:rPr>
            </w:pPr>
          </w:p>
        </w:tc>
      </w:tr>
    </w:tbl>
    <w:p w14:paraId="392BF18F" w14:textId="77777777" w:rsidR="00980E5F" w:rsidRDefault="00483613">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Consistent with past practice, AUC/A values for certain asset classes are based on a lag, typically one-month.</w:t>
      </w:r>
    </w:p>
    <w:p w14:paraId="392BF190" w14:textId="77777777" w:rsidR="00980E5F" w:rsidRDefault="00483613">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Geographic mix is generally based on the domicile of the entity servicing the funds and is not necessarily representative of the underlying </w:t>
      </w:r>
      <w:r>
        <w:rPr>
          <w:rFonts w:ascii="Arial" w:eastAsia="宋体" w:hAnsi="Arial" w:cs="Arial"/>
          <w:color w:val="000000"/>
          <w:sz w:val="13"/>
          <w:szCs w:val="13"/>
        </w:rPr>
        <w:t>asset mix.</w:t>
      </w:r>
    </w:p>
    <w:p w14:paraId="392BF191" w14:textId="77777777" w:rsidR="00980E5F" w:rsidRDefault="00483613">
      <w:pPr>
        <w:ind w:firstLine="450"/>
        <w:jc w:val="right"/>
      </w:pPr>
      <w:r>
        <w:rPr>
          <w:rFonts w:ascii="Arial" w:eastAsia="宋体" w:hAnsi="Arial" w:cs="Arial"/>
          <w:color w:val="000000"/>
          <w:sz w:val="18"/>
          <w:szCs w:val="18"/>
        </w:rPr>
        <w:t>State Street Corporation | 14</w:t>
      </w:r>
    </w:p>
    <w:p w14:paraId="392BF192" w14:textId="77777777" w:rsidR="00980E5F" w:rsidRDefault="00980E5F">
      <w:pPr>
        <w:ind w:firstLine="450"/>
        <w:jc w:val="center"/>
      </w:pPr>
    </w:p>
    <w:p w14:paraId="392BF193" w14:textId="77777777" w:rsidR="00980E5F" w:rsidRDefault="00483613">
      <w:r>
        <w:pict w14:anchorId="392CBADC">
          <v:rect id="_x0000_i1038" style="width:415.3pt;height:1.5pt" o:hralign="center" o:hrstd="t" o:hr="t" fillcolor="#a0a0a0" stroked="f"/>
        </w:pict>
      </w:r>
    </w:p>
    <w:p w14:paraId="392BF19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195" w14:textId="77777777" w:rsidR="00980E5F" w:rsidRDefault="00483613">
      <w:pPr>
        <w:ind w:firstLine="450"/>
        <w:jc w:val="center"/>
      </w:pPr>
      <w:r>
        <w:rPr>
          <w:rFonts w:ascii="Arial" w:eastAsia="宋体" w:hAnsi="Arial" w:cs="Arial"/>
          <w:b/>
          <w:bCs/>
          <w:color w:val="000000"/>
          <w:sz w:val="20"/>
          <w:szCs w:val="20"/>
        </w:rPr>
        <w:t>AND RESULTS OF OPERATIONS</w:t>
      </w:r>
    </w:p>
    <w:p w14:paraId="392BF196" w14:textId="77777777" w:rsidR="00980E5F" w:rsidRDefault="00483613">
      <w:pPr>
        <w:spacing w:before="60"/>
        <w:ind w:firstLine="450"/>
        <w:jc w:val="both"/>
        <w:textAlignment w:val="top"/>
      </w:pPr>
      <w:r>
        <w:rPr>
          <w:rFonts w:ascii="Arial" w:eastAsia="宋体" w:hAnsi="Arial" w:cs="Arial"/>
          <w:color w:val="000000"/>
          <w:sz w:val="20"/>
          <w:szCs w:val="20"/>
        </w:rPr>
        <w:t>Asset servicing mandates newly announced in the second quarter of 2022 totaled approximately $972 billion. Servicing assets remaining to be installed in future periods totaled approximately $3.63 trillion as of June 30, 2022, which will be reflected in AUC</w:t>
      </w:r>
      <w:r>
        <w:rPr>
          <w:rFonts w:ascii="Arial" w:eastAsia="宋体" w:hAnsi="Arial" w:cs="Arial"/>
          <w:color w:val="000000"/>
          <w:sz w:val="20"/>
          <w:szCs w:val="20"/>
        </w:rPr>
        <w:t xml:space="preserve">/A in future periods after installation and will generate servicing fee revenue in subsequent periods. The full revenue impact of such mandates will be realized as the assets are installed and additional services are added over that period. </w:t>
      </w:r>
    </w:p>
    <w:p w14:paraId="392BF197" w14:textId="77777777" w:rsidR="00980E5F" w:rsidRDefault="00483613">
      <w:pPr>
        <w:spacing w:before="60"/>
        <w:ind w:firstLine="450"/>
        <w:jc w:val="both"/>
        <w:textAlignment w:val="top"/>
      </w:pPr>
      <w:r>
        <w:rPr>
          <w:rFonts w:ascii="Arial" w:eastAsia="宋体" w:hAnsi="Arial" w:cs="Arial"/>
          <w:color w:val="000000"/>
          <w:sz w:val="20"/>
          <w:szCs w:val="20"/>
        </w:rPr>
        <w:t>New asset serv</w:t>
      </w:r>
      <w:r>
        <w:rPr>
          <w:rFonts w:ascii="Arial" w:eastAsia="宋体" w:hAnsi="Arial" w:cs="Arial"/>
          <w:color w:val="000000"/>
          <w:sz w:val="20"/>
          <w:szCs w:val="20"/>
        </w:rPr>
        <w:t>icing mandates may be subject to completion of definitive agreements, approval of applicable boards and shareholders and customary regulatory approvals. New asset servicing mandates and servicing assets remaining to be installed in future periods exclude c</w:t>
      </w:r>
      <w:r>
        <w:rPr>
          <w:rFonts w:ascii="Arial" w:eastAsia="宋体" w:hAnsi="Arial" w:cs="Arial"/>
          <w:color w:val="000000"/>
          <w:sz w:val="20"/>
          <w:szCs w:val="20"/>
        </w:rPr>
        <w:t>ertain new business which has been contracted, but for which the client has not yet provided permission to publicly disclose and the expected installation date extends beyond one quarter. These excluded assets, which from time to time may be significant, w</w:t>
      </w:r>
      <w:r>
        <w:rPr>
          <w:rFonts w:ascii="Arial" w:eastAsia="宋体" w:hAnsi="Arial" w:cs="Arial"/>
          <w:color w:val="000000"/>
          <w:sz w:val="20"/>
          <w:szCs w:val="20"/>
        </w:rPr>
        <w:t>ill be included in new asset servicing mandates and reflected in servicing assets remaining to be installed in the period in which the client provides its permission. Servicing mandates and servicing assets remaining to be installed in future periods are p</w:t>
      </w:r>
      <w:r>
        <w:rPr>
          <w:rFonts w:ascii="Arial" w:eastAsia="宋体" w:hAnsi="Arial" w:cs="Arial"/>
          <w:color w:val="000000"/>
          <w:sz w:val="20"/>
          <w:szCs w:val="20"/>
        </w:rPr>
        <w:t xml:space="preserve">resented on a gross basis and therefore also do not include the impact of clients who have notified us during the period of their intent to terminate or reduce their relationship with us, which may from time to time be significant. </w:t>
      </w:r>
    </w:p>
    <w:p w14:paraId="392BF198" w14:textId="77777777" w:rsidR="00980E5F" w:rsidRDefault="00483613">
      <w:pPr>
        <w:spacing w:before="60"/>
        <w:ind w:firstLine="450"/>
        <w:jc w:val="both"/>
        <w:textAlignment w:val="top"/>
      </w:pPr>
      <w:r>
        <w:rPr>
          <w:rFonts w:ascii="Arial" w:eastAsia="宋体" w:hAnsi="Arial" w:cs="Arial"/>
          <w:color w:val="000000"/>
          <w:sz w:val="20"/>
          <w:szCs w:val="20"/>
        </w:rPr>
        <w:t>With respect to these n</w:t>
      </w:r>
      <w:r>
        <w:rPr>
          <w:rFonts w:ascii="Arial" w:eastAsia="宋体" w:hAnsi="Arial" w:cs="Arial"/>
          <w:color w:val="000000"/>
          <w:sz w:val="20"/>
          <w:szCs w:val="20"/>
        </w:rPr>
        <w:t xml:space="preserve">ew servicing mandates, once installed we may provide various services, including back office services such as custody and safekeeping, transaction processing and trade settlement, fund administration, reporting and record keeping, security servicing, fund </w:t>
      </w:r>
      <w:r>
        <w:rPr>
          <w:rFonts w:ascii="Arial" w:eastAsia="宋体" w:hAnsi="Arial" w:cs="Arial"/>
          <w:color w:val="000000"/>
          <w:sz w:val="20"/>
          <w:szCs w:val="20"/>
        </w:rPr>
        <w:t xml:space="preserve">accounting, middle office services such as investment book of records (IBOR), transaction management, loans, cash, derivatives and collateral services, recordkeeping, client reporting and investment analytics, markets services such as FX trading services, </w:t>
      </w:r>
      <w:r>
        <w:rPr>
          <w:rFonts w:ascii="Arial" w:eastAsia="宋体" w:hAnsi="Arial" w:cs="Arial"/>
          <w:color w:val="000000"/>
          <w:sz w:val="20"/>
          <w:szCs w:val="20"/>
        </w:rPr>
        <w:t>liquidity solutions, currency and collateral management, securities finance, and front office services such as portfolio management solutions, risk analytics, scenario analysis, performance and attribution, trade order and execution management, pre-trade c</w:t>
      </w:r>
      <w:r>
        <w:rPr>
          <w:rFonts w:ascii="Arial" w:eastAsia="宋体" w:hAnsi="Arial" w:cs="Arial"/>
          <w:color w:val="000000"/>
          <w:sz w:val="20"/>
          <w:szCs w:val="20"/>
        </w:rPr>
        <w:t>ompliance and environmental, social and governance (ESG) investment tools. Revenues associated with new servicing mandates may vary based on the breadth of services provided and the timing of installation, and the types of assets.</w:t>
      </w:r>
    </w:p>
    <w:p w14:paraId="392BF199" w14:textId="77777777" w:rsidR="00980E5F" w:rsidRDefault="00483613">
      <w:pPr>
        <w:spacing w:before="60"/>
        <w:ind w:firstLine="450"/>
        <w:jc w:val="both"/>
        <w:textAlignment w:val="top"/>
      </w:pPr>
      <w:r>
        <w:rPr>
          <w:rFonts w:ascii="Arial" w:eastAsia="宋体" w:hAnsi="Arial" w:cs="Arial"/>
          <w:color w:val="000000"/>
          <w:sz w:val="20"/>
          <w:szCs w:val="20"/>
        </w:rPr>
        <w:t>As a result of a decision</w:t>
      </w:r>
      <w:r>
        <w:rPr>
          <w:rFonts w:ascii="Arial" w:eastAsia="宋体" w:hAnsi="Arial" w:cs="Arial"/>
          <w:color w:val="000000"/>
          <w:sz w:val="20"/>
          <w:szCs w:val="20"/>
        </w:rPr>
        <w:t xml:space="preserve"> to diversify providers, one of our large asset servicing clients has advised us it expects to move a significant portion of its ETF assets currently with State Street to one or more other providers, pending necessary approvals. We expect to continue as a </w:t>
      </w:r>
      <w:r>
        <w:rPr>
          <w:rFonts w:ascii="Arial" w:eastAsia="宋体" w:hAnsi="Arial" w:cs="Arial"/>
          <w:color w:val="000000"/>
          <w:sz w:val="20"/>
          <w:szCs w:val="20"/>
        </w:rPr>
        <w:t xml:space="preserve">significant service provider for </w:t>
      </w:r>
    </w:p>
    <w:p w14:paraId="392BF19A" w14:textId="77777777" w:rsidR="00980E5F" w:rsidRDefault="00483613">
      <w:pPr>
        <w:spacing w:before="60"/>
        <w:jc w:val="both"/>
        <w:textAlignment w:val="top"/>
      </w:pPr>
      <w:r>
        <w:rPr>
          <w:rFonts w:ascii="Arial" w:eastAsia="宋体" w:hAnsi="Arial" w:cs="Arial"/>
          <w:color w:val="000000"/>
          <w:sz w:val="20"/>
          <w:szCs w:val="20"/>
        </w:rPr>
        <w:t>this client after this transition and for the client to continue to be meaningful to our business. The transition is expected to begin in 2022, but will principally occur in 2023 and 2024. For the year ended December 31, 2</w:t>
      </w:r>
      <w:r>
        <w:rPr>
          <w:rFonts w:ascii="Arial" w:eastAsia="宋体" w:hAnsi="Arial" w:cs="Arial"/>
          <w:color w:val="000000"/>
          <w:sz w:val="20"/>
          <w:szCs w:val="20"/>
        </w:rPr>
        <w:t>021, the fee revenue associated with the transitioning assets represented approximately 1.9% of our total 2021 fee revenue. The actual total revenue and income impact of this transition will reflect a range of factors, including potential growth in our con</w:t>
      </w:r>
      <w:r>
        <w:rPr>
          <w:rFonts w:ascii="Arial" w:eastAsia="宋体" w:hAnsi="Arial" w:cs="Arial"/>
          <w:color w:val="000000"/>
          <w:sz w:val="20"/>
          <w:szCs w:val="20"/>
        </w:rPr>
        <w:t>tinuing business with the client and expense reductions associated with the transition.</w:t>
      </w:r>
    </w:p>
    <w:p w14:paraId="392BF19B" w14:textId="77777777" w:rsidR="00980E5F" w:rsidRDefault="00483613">
      <w:pPr>
        <w:spacing w:before="60"/>
        <w:textAlignment w:val="top"/>
      </w:pPr>
      <w:r>
        <w:rPr>
          <w:rFonts w:ascii="Arial" w:eastAsia="宋体" w:hAnsi="Arial" w:cs="Arial"/>
          <w:b/>
          <w:bCs/>
          <w:i/>
          <w:iCs/>
          <w:color w:val="000000"/>
          <w:sz w:val="20"/>
          <w:szCs w:val="20"/>
        </w:rPr>
        <w:t>Management Fee Revenue</w:t>
      </w:r>
    </w:p>
    <w:p w14:paraId="392BF19C" w14:textId="77777777" w:rsidR="00980E5F" w:rsidRDefault="00483613">
      <w:pPr>
        <w:spacing w:before="60"/>
        <w:ind w:firstLine="450"/>
        <w:jc w:val="both"/>
        <w:textAlignment w:val="top"/>
      </w:pPr>
      <w:r>
        <w:rPr>
          <w:rFonts w:ascii="Arial" w:eastAsia="宋体" w:hAnsi="Arial" w:cs="Arial"/>
          <w:color w:val="000000"/>
          <w:sz w:val="20"/>
          <w:szCs w:val="20"/>
        </w:rPr>
        <w:t>Management fees generally are affected by our level of AUM, which we report based on month-end valuations. Management fees for certain components</w:t>
      </w:r>
      <w:r>
        <w:rPr>
          <w:rFonts w:ascii="Arial" w:eastAsia="宋体" w:hAnsi="Arial" w:cs="Arial"/>
          <w:color w:val="000000"/>
          <w:sz w:val="20"/>
          <w:szCs w:val="20"/>
        </w:rPr>
        <w:t xml:space="preserve"> of managed assets, such as ETFs, mutual funds and Undertakings for Collective Investments in Transferable Securities, are affected by daily average valuations of AUM. Management fee revenue is more sensitive to market valuations than servicing fee revenue</w:t>
      </w:r>
      <w:r>
        <w:rPr>
          <w:rFonts w:ascii="Arial" w:eastAsia="宋体" w:hAnsi="Arial" w:cs="Arial"/>
          <w:color w:val="000000"/>
          <w:sz w:val="20"/>
          <w:szCs w:val="20"/>
        </w:rPr>
        <w:t>, as a higher proportion of the underlying services provided, and the associated management fees earned, are dependent on equity and fixed-income security valuations. Additional factors, such as the relative mix of assets managed, may have a significant ef</w:t>
      </w:r>
      <w:r>
        <w:rPr>
          <w:rFonts w:ascii="Arial" w:eastAsia="宋体" w:hAnsi="Arial" w:cs="Arial"/>
          <w:color w:val="000000"/>
          <w:sz w:val="20"/>
          <w:szCs w:val="20"/>
        </w:rPr>
        <w:t>fect on our management fee revenue. While certain management fees are directly determined by the values of AUM and the investment strategies employed, management fees may reflect other factors, including performance fee arrangements, as well as our relatio</w:t>
      </w:r>
      <w:r>
        <w:rPr>
          <w:rFonts w:ascii="Arial" w:eastAsia="宋体" w:hAnsi="Arial" w:cs="Arial"/>
          <w:color w:val="000000"/>
          <w:sz w:val="20"/>
          <w:szCs w:val="20"/>
        </w:rPr>
        <w:t xml:space="preserve">nship pricing for clients. From the second half of 2020 through the first quarter of 2022, we were in a prolonged low-interest rate environment, and waived certain fees for our clients for money market products. Following the Federal Reserve rate hikes in </w:t>
      </w:r>
      <w:r>
        <w:rPr>
          <w:rFonts w:ascii="Arial" w:eastAsia="宋体" w:hAnsi="Arial" w:cs="Arial"/>
          <w:color w:val="000000"/>
          <w:sz w:val="20"/>
          <w:szCs w:val="20"/>
        </w:rPr>
        <w:t>March 2022, money market fee waivers did not have a significant impact on our management fee revenue in the second quarter of 2022, and we do not expect them to materially impact subsequent quarters in 2022.</w:t>
      </w:r>
    </w:p>
    <w:p w14:paraId="392BF19D" w14:textId="77777777" w:rsidR="00980E5F" w:rsidRDefault="00483613">
      <w:pPr>
        <w:spacing w:before="60"/>
        <w:ind w:firstLine="450"/>
        <w:jc w:val="both"/>
        <w:textAlignment w:val="top"/>
      </w:pPr>
      <w:r>
        <w:rPr>
          <w:rFonts w:ascii="Arial" w:eastAsia="宋体" w:hAnsi="Arial" w:cs="Arial"/>
          <w:color w:val="000000"/>
          <w:sz w:val="20"/>
          <w:szCs w:val="20"/>
        </w:rPr>
        <w:t>Asset-based management fees for passively manage</w:t>
      </w:r>
      <w:r>
        <w:rPr>
          <w:rFonts w:ascii="Arial" w:eastAsia="宋体" w:hAnsi="Arial" w:cs="Arial"/>
          <w:color w:val="000000"/>
          <w:sz w:val="20"/>
          <w:szCs w:val="20"/>
        </w:rPr>
        <w:t>d products, to which our AUM is currently primarily weighted, are generally charged at a lower fee on AUM than for actively managed products. Actively managed products may also include performance fee arrangements which are recorded when the fee is earned,</w:t>
      </w:r>
      <w:r>
        <w:rPr>
          <w:rFonts w:ascii="Arial" w:eastAsia="宋体" w:hAnsi="Arial" w:cs="Arial"/>
          <w:color w:val="000000"/>
          <w:sz w:val="20"/>
          <w:szCs w:val="20"/>
        </w:rPr>
        <w:t xml:space="preserve"> based on predetermined benchmarks associated with the applicable account's performance. </w:t>
      </w:r>
    </w:p>
    <w:p w14:paraId="392BF19E" w14:textId="77777777" w:rsidR="00980E5F" w:rsidRDefault="00980E5F">
      <w:pPr>
        <w:spacing w:before="60"/>
        <w:ind w:firstLine="450"/>
        <w:jc w:val="both"/>
        <w:textAlignment w:val="top"/>
      </w:pPr>
    </w:p>
    <w:p w14:paraId="392BF19F" w14:textId="77777777" w:rsidR="00980E5F" w:rsidRDefault="00483613">
      <w:pPr>
        <w:ind w:firstLine="450"/>
        <w:jc w:val="right"/>
      </w:pPr>
      <w:r>
        <w:rPr>
          <w:rFonts w:ascii="Arial" w:eastAsia="宋体" w:hAnsi="Arial" w:cs="Arial"/>
          <w:color w:val="000000"/>
          <w:sz w:val="18"/>
          <w:szCs w:val="18"/>
        </w:rPr>
        <w:t>State Street Corporation | 15</w:t>
      </w:r>
    </w:p>
    <w:p w14:paraId="392BF1A0" w14:textId="77777777" w:rsidR="00980E5F" w:rsidRDefault="00980E5F">
      <w:pPr>
        <w:ind w:firstLine="450"/>
        <w:jc w:val="center"/>
      </w:pPr>
    </w:p>
    <w:p w14:paraId="392BF1A1" w14:textId="77777777" w:rsidR="00980E5F" w:rsidRDefault="00483613">
      <w:r>
        <w:pict w14:anchorId="392CBADD">
          <v:rect id="_x0000_i1039" style="width:415.3pt;height:1.5pt" o:hralign="center" o:hrstd="t" o:hr="t" fillcolor="#a0a0a0" stroked="f"/>
        </w:pict>
      </w:r>
    </w:p>
    <w:p w14:paraId="392BF1A2"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1A3" w14:textId="77777777" w:rsidR="00980E5F" w:rsidRDefault="00483613">
      <w:pPr>
        <w:ind w:firstLine="450"/>
        <w:jc w:val="center"/>
      </w:pPr>
      <w:r>
        <w:rPr>
          <w:rFonts w:ascii="Arial" w:eastAsia="宋体" w:hAnsi="Arial" w:cs="Arial"/>
          <w:b/>
          <w:bCs/>
          <w:color w:val="000000"/>
          <w:sz w:val="20"/>
          <w:szCs w:val="20"/>
        </w:rPr>
        <w:t>AND RESULTS OF OPERATIONS</w:t>
      </w:r>
    </w:p>
    <w:p w14:paraId="392BF1A4" w14:textId="77777777" w:rsidR="00980E5F" w:rsidRDefault="00483613">
      <w:pPr>
        <w:spacing w:before="60"/>
        <w:ind w:firstLine="450"/>
        <w:jc w:val="both"/>
      </w:pPr>
      <w:r>
        <w:rPr>
          <w:rFonts w:ascii="Arial" w:eastAsia="宋体" w:hAnsi="Arial" w:cs="Arial"/>
          <w:color w:val="000000"/>
          <w:sz w:val="20"/>
          <w:szCs w:val="20"/>
        </w:rPr>
        <w:t>In light of the above, we estimate, using rele</w:t>
      </w:r>
      <w:r>
        <w:rPr>
          <w:rFonts w:ascii="Arial" w:eastAsia="宋体" w:hAnsi="Arial" w:cs="Arial"/>
          <w:color w:val="000000"/>
          <w:sz w:val="20"/>
          <w:szCs w:val="20"/>
        </w:rPr>
        <w:t>vant information as of June 30, 2022, and assuming that all other factors remain constant, including the impact of business won and lost and client flows, that:</w:t>
      </w:r>
    </w:p>
    <w:p w14:paraId="392BF1A5" w14:textId="77777777" w:rsidR="00980E5F" w:rsidRDefault="00483613">
      <w:pPr>
        <w:spacing w:before="60"/>
        <w:ind w:hanging="360"/>
        <w:jc w:val="both"/>
      </w:pPr>
      <w:r>
        <w:rPr>
          <w:rFonts w:ascii="Arial" w:eastAsia="宋体" w:hAnsi="Arial" w:cs="Arial"/>
          <w:color w:val="000000"/>
          <w:sz w:val="20"/>
          <w:szCs w:val="20"/>
        </w:rPr>
        <w:t>•A 10% increase or decrease in worldwide equity valuations, on a weighted average basis, over t</w:t>
      </w:r>
      <w:r>
        <w:rPr>
          <w:rFonts w:ascii="Arial" w:eastAsia="宋体" w:hAnsi="Arial" w:cs="Arial"/>
          <w:color w:val="000000"/>
          <w:sz w:val="20"/>
          <w:szCs w:val="20"/>
        </w:rPr>
        <w:t>he relevant periods for which our management fees are calculated, would result in a corresponding change in our total management fee revenues, on average and over multiple quarters, of approximately 5%; and</w:t>
      </w:r>
    </w:p>
    <w:p w14:paraId="392BF1A6" w14:textId="77777777" w:rsidR="00980E5F" w:rsidRDefault="00483613">
      <w:pPr>
        <w:spacing w:before="60"/>
        <w:ind w:hanging="360"/>
        <w:jc w:val="both"/>
      </w:pPr>
      <w:r>
        <w:rPr>
          <w:rFonts w:ascii="Arial" w:eastAsia="宋体" w:hAnsi="Arial" w:cs="Arial"/>
          <w:color w:val="000000"/>
          <w:sz w:val="20"/>
          <w:szCs w:val="20"/>
        </w:rPr>
        <w:t xml:space="preserve">•changes in worldwide fixed income </w:t>
      </w:r>
      <w:r>
        <w:rPr>
          <w:rFonts w:ascii="Arial" w:eastAsia="宋体" w:hAnsi="Arial" w:cs="Arial"/>
          <w:color w:val="000000"/>
          <w:sz w:val="20"/>
          <w:szCs w:val="20"/>
        </w:rPr>
        <w:t>markets, which on a weighted average basis and over time are typically less volatile than worldwide equity markets, will have a significantly smaller impact on our management fee revenues on average and over time.</w:t>
      </w:r>
    </w:p>
    <w:p w14:paraId="392BF1A7" w14:textId="77777777" w:rsidR="00980E5F" w:rsidRDefault="00483613">
      <w:pPr>
        <w:spacing w:before="60"/>
        <w:ind w:firstLine="450"/>
        <w:jc w:val="both"/>
      </w:pPr>
      <w:r>
        <w:rPr>
          <w:rFonts w:ascii="Arial" w:eastAsia="宋体" w:hAnsi="Arial" w:cs="Arial"/>
          <w:color w:val="000000"/>
          <w:sz w:val="20"/>
          <w:szCs w:val="20"/>
        </w:rPr>
        <w:t>Daily averages, month-end averages and yea</w:t>
      </w:r>
      <w:r>
        <w:rPr>
          <w:rFonts w:ascii="Arial" w:eastAsia="宋体" w:hAnsi="Arial" w:cs="Arial"/>
          <w:color w:val="000000"/>
          <w:sz w:val="20"/>
          <w:szCs w:val="20"/>
        </w:rPr>
        <w:t>r-end indices demonstrate worldwide changes in equity and debt markets that affect our management fee revenue. Year-end indices affect the values of AUM as of those dates. See Table 3: Daily Averages, Month-End Averages and Quarter-End Equity Indices for s</w:t>
      </w:r>
      <w:r>
        <w:rPr>
          <w:rFonts w:ascii="Arial" w:eastAsia="宋体" w:hAnsi="Arial" w:cs="Arial"/>
          <w:color w:val="000000"/>
          <w:sz w:val="20"/>
          <w:szCs w:val="20"/>
        </w:rPr>
        <w:t>elected indices. While the specific indices presented are indicative of general market trends, the asset types and classes relevant to individual client portfolios can and do differ, and the performance of associated relevant indices and of client portfoli</w:t>
      </w:r>
      <w:r>
        <w:rPr>
          <w:rFonts w:ascii="Arial" w:eastAsia="宋体" w:hAnsi="Arial" w:cs="Arial"/>
          <w:color w:val="000000"/>
          <w:sz w:val="20"/>
          <w:szCs w:val="20"/>
        </w:rPr>
        <w:t>os can therefore differ from the performance of the indices presented. In addition, our asset classifications may differ from those industry classifications presented.</w:t>
      </w:r>
    </w:p>
    <w:p w14:paraId="392BF1A8" w14:textId="77777777" w:rsidR="00980E5F" w:rsidRDefault="00483613">
      <w:pPr>
        <w:spacing w:before="60"/>
        <w:ind w:firstLine="450"/>
        <w:jc w:val="both"/>
      </w:pPr>
      <w:r>
        <w:rPr>
          <w:rFonts w:ascii="Arial" w:eastAsia="宋体" w:hAnsi="Arial" w:cs="Arial"/>
          <w:color w:val="000000"/>
          <w:sz w:val="20"/>
          <w:szCs w:val="20"/>
        </w:rPr>
        <w:t xml:space="preserve">Management fees decreased </w:t>
      </w:r>
      <w:r>
        <w:rPr>
          <w:rFonts w:ascii="Arial" w:eastAsia="宋体" w:hAnsi="Arial" w:cs="Arial"/>
          <w:color w:val="000000"/>
          <w:sz w:val="20"/>
          <w:szCs w:val="20"/>
          <w:shd w:val="clear" w:color="auto" w:fill="FFFFFF"/>
        </w:rPr>
        <w:t>3%</w:t>
      </w:r>
      <w:r>
        <w:rPr>
          <w:rFonts w:ascii="Arial" w:eastAsia="宋体" w:hAnsi="Arial" w:cs="Arial"/>
          <w:color w:val="000000"/>
          <w:sz w:val="20"/>
          <w:szCs w:val="20"/>
        </w:rPr>
        <w:t xml:space="preserve"> in the three months ended June 30, 2022 compared to same period in 2021, primarily due to lower average equity and fixed income market levels, a client-specific pricing adjustment, and the impact of currency translation, partially offset by the absence of</w:t>
      </w:r>
      <w:r>
        <w:rPr>
          <w:rFonts w:ascii="Arial" w:eastAsia="宋体" w:hAnsi="Arial" w:cs="Arial"/>
          <w:color w:val="000000"/>
          <w:sz w:val="20"/>
          <w:szCs w:val="20"/>
        </w:rPr>
        <w:t xml:space="preserve"> the impact of money market fee waivers and net inflows from ETFs. Currency translation decreased management fees by 2% in the second quarter of 2022, relative to the same period in 2021. Management fees increased </w:t>
      </w:r>
      <w:r>
        <w:rPr>
          <w:rFonts w:ascii="Arial" w:eastAsia="宋体" w:hAnsi="Arial" w:cs="Arial"/>
          <w:color w:val="000000"/>
          <w:sz w:val="20"/>
          <w:szCs w:val="20"/>
          <w:shd w:val="clear" w:color="auto" w:fill="FFFFFF"/>
        </w:rPr>
        <w:t>1%</w:t>
      </w:r>
      <w:r>
        <w:rPr>
          <w:rFonts w:ascii="Arial" w:eastAsia="宋体" w:hAnsi="Arial" w:cs="Arial"/>
          <w:color w:val="000000"/>
          <w:sz w:val="20"/>
          <w:szCs w:val="20"/>
        </w:rPr>
        <w:t xml:space="preserve"> in the six months ended June 30, 2022 c</w:t>
      </w:r>
      <w:r>
        <w:rPr>
          <w:rFonts w:ascii="Arial" w:eastAsia="宋体" w:hAnsi="Arial" w:cs="Arial"/>
          <w:color w:val="000000"/>
          <w:sz w:val="20"/>
          <w:szCs w:val="20"/>
        </w:rPr>
        <w:t>ompared to the same period in 2021, primarily due to higher average equity market levels and the absence of the impact of money market fee waivers, partially offset by a client-specific pricing adjustment and the impact of currency translation. Currency tr</w:t>
      </w:r>
      <w:r>
        <w:rPr>
          <w:rFonts w:ascii="Arial" w:eastAsia="宋体" w:hAnsi="Arial" w:cs="Arial"/>
          <w:color w:val="000000"/>
          <w:sz w:val="20"/>
          <w:szCs w:val="20"/>
        </w:rPr>
        <w:t xml:space="preserve">anslation decreased management fees by 1% in the six months ended June 30, 2022 compared to the same period in 2021. </w:t>
      </w:r>
    </w:p>
    <w:p w14:paraId="392BF1A9" w14:textId="77777777" w:rsidR="00980E5F" w:rsidRDefault="00483613">
      <w:pPr>
        <w:spacing w:before="60"/>
        <w:ind w:firstLine="450"/>
        <w:jc w:val="both"/>
      </w:pPr>
      <w:r>
        <w:rPr>
          <w:rFonts w:ascii="Arial" w:eastAsia="宋体" w:hAnsi="Arial" w:cs="Arial"/>
          <w:color w:val="000000"/>
          <w:sz w:val="20"/>
          <w:szCs w:val="20"/>
        </w:rPr>
        <w:t xml:space="preserve">Management fees generated outside the U.S. were approximately 25% and 26% of total management fees in the three and six months ended June </w:t>
      </w:r>
      <w:r>
        <w:rPr>
          <w:rFonts w:ascii="Arial" w:eastAsia="宋体" w:hAnsi="Arial" w:cs="Arial"/>
          <w:color w:val="000000"/>
          <w:sz w:val="20"/>
          <w:szCs w:val="20"/>
        </w:rPr>
        <w:t>30, 2022, respectively, compared to approximately 26% in both the three and six months ended June 30, 2021.</w:t>
      </w:r>
    </w:p>
    <w:tbl>
      <w:tblPr>
        <w:tblW w:w="4985" w:type="pct"/>
        <w:tblCellMar>
          <w:top w:w="15" w:type="dxa"/>
          <w:left w:w="15" w:type="dxa"/>
          <w:bottom w:w="15" w:type="dxa"/>
          <w:right w:w="15" w:type="dxa"/>
        </w:tblCellMar>
        <w:tblLook w:val="04A0" w:firstRow="1" w:lastRow="0" w:firstColumn="1" w:lastColumn="0" w:noHBand="0" w:noVBand="1"/>
      </w:tblPr>
      <w:tblGrid>
        <w:gridCol w:w="39"/>
        <w:gridCol w:w="2791"/>
        <w:gridCol w:w="37"/>
        <w:gridCol w:w="104"/>
        <w:gridCol w:w="1290"/>
        <w:gridCol w:w="36"/>
        <w:gridCol w:w="36"/>
        <w:gridCol w:w="36"/>
        <w:gridCol w:w="36"/>
        <w:gridCol w:w="105"/>
        <w:gridCol w:w="1290"/>
        <w:gridCol w:w="37"/>
        <w:gridCol w:w="36"/>
        <w:gridCol w:w="36"/>
        <w:gridCol w:w="36"/>
        <w:gridCol w:w="104"/>
        <w:gridCol w:w="12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F1C6" w14:textId="77777777">
        <w:tc>
          <w:tcPr>
            <w:tcW w:w="50" w:type="pct"/>
            <w:shd w:val="clear" w:color="auto" w:fill="auto"/>
            <w:vAlign w:val="bottom"/>
          </w:tcPr>
          <w:p w14:paraId="392BF1AA" w14:textId="77777777" w:rsidR="00980E5F" w:rsidRDefault="00980E5F">
            <w:pPr>
              <w:rPr>
                <w:rFonts w:ascii="宋体"/>
              </w:rPr>
            </w:pPr>
          </w:p>
        </w:tc>
        <w:tc>
          <w:tcPr>
            <w:tcW w:w="1961" w:type="pct"/>
            <w:shd w:val="clear" w:color="auto" w:fill="auto"/>
            <w:vAlign w:val="bottom"/>
          </w:tcPr>
          <w:p w14:paraId="392BF1AB" w14:textId="77777777" w:rsidR="00980E5F" w:rsidRDefault="00980E5F">
            <w:pPr>
              <w:rPr>
                <w:rFonts w:ascii="宋体"/>
              </w:rPr>
            </w:pPr>
          </w:p>
        </w:tc>
        <w:tc>
          <w:tcPr>
            <w:tcW w:w="5" w:type="pct"/>
            <w:shd w:val="clear" w:color="auto" w:fill="auto"/>
            <w:vAlign w:val="bottom"/>
          </w:tcPr>
          <w:p w14:paraId="392BF1AC" w14:textId="77777777" w:rsidR="00980E5F" w:rsidRDefault="00980E5F">
            <w:pPr>
              <w:rPr>
                <w:rFonts w:ascii="宋体"/>
              </w:rPr>
            </w:pPr>
          </w:p>
        </w:tc>
        <w:tc>
          <w:tcPr>
            <w:tcW w:w="50" w:type="pct"/>
            <w:shd w:val="clear" w:color="auto" w:fill="auto"/>
            <w:vAlign w:val="bottom"/>
          </w:tcPr>
          <w:p w14:paraId="392BF1AD" w14:textId="77777777" w:rsidR="00980E5F" w:rsidRDefault="00980E5F">
            <w:pPr>
              <w:rPr>
                <w:rFonts w:ascii="宋体"/>
              </w:rPr>
            </w:pPr>
          </w:p>
        </w:tc>
        <w:tc>
          <w:tcPr>
            <w:tcW w:w="920" w:type="pct"/>
            <w:shd w:val="clear" w:color="auto" w:fill="auto"/>
            <w:vAlign w:val="bottom"/>
          </w:tcPr>
          <w:p w14:paraId="392BF1AE" w14:textId="77777777" w:rsidR="00980E5F" w:rsidRDefault="00980E5F">
            <w:pPr>
              <w:rPr>
                <w:rFonts w:ascii="宋体"/>
              </w:rPr>
            </w:pPr>
          </w:p>
        </w:tc>
        <w:tc>
          <w:tcPr>
            <w:tcW w:w="5" w:type="pct"/>
            <w:shd w:val="clear" w:color="auto" w:fill="auto"/>
            <w:vAlign w:val="bottom"/>
          </w:tcPr>
          <w:p w14:paraId="392BF1AF" w14:textId="77777777" w:rsidR="00980E5F" w:rsidRDefault="00980E5F">
            <w:pPr>
              <w:rPr>
                <w:rFonts w:ascii="宋体"/>
              </w:rPr>
            </w:pPr>
          </w:p>
        </w:tc>
        <w:tc>
          <w:tcPr>
            <w:tcW w:w="5" w:type="pct"/>
            <w:shd w:val="clear" w:color="auto" w:fill="auto"/>
            <w:vAlign w:val="bottom"/>
          </w:tcPr>
          <w:p w14:paraId="392BF1B0" w14:textId="77777777" w:rsidR="00980E5F" w:rsidRDefault="00980E5F">
            <w:pPr>
              <w:rPr>
                <w:rFonts w:ascii="宋体"/>
              </w:rPr>
            </w:pPr>
          </w:p>
        </w:tc>
        <w:tc>
          <w:tcPr>
            <w:tcW w:w="19" w:type="pct"/>
            <w:shd w:val="clear" w:color="auto" w:fill="auto"/>
            <w:vAlign w:val="bottom"/>
          </w:tcPr>
          <w:p w14:paraId="392BF1B1" w14:textId="77777777" w:rsidR="00980E5F" w:rsidRDefault="00980E5F">
            <w:pPr>
              <w:rPr>
                <w:rFonts w:ascii="宋体"/>
              </w:rPr>
            </w:pPr>
          </w:p>
        </w:tc>
        <w:tc>
          <w:tcPr>
            <w:tcW w:w="5" w:type="pct"/>
            <w:shd w:val="clear" w:color="auto" w:fill="auto"/>
            <w:vAlign w:val="bottom"/>
          </w:tcPr>
          <w:p w14:paraId="392BF1B2" w14:textId="77777777" w:rsidR="00980E5F" w:rsidRDefault="00980E5F">
            <w:pPr>
              <w:rPr>
                <w:rFonts w:ascii="宋体"/>
              </w:rPr>
            </w:pPr>
          </w:p>
        </w:tc>
        <w:tc>
          <w:tcPr>
            <w:tcW w:w="50" w:type="pct"/>
            <w:shd w:val="clear" w:color="auto" w:fill="auto"/>
            <w:vAlign w:val="bottom"/>
          </w:tcPr>
          <w:p w14:paraId="392BF1B3" w14:textId="77777777" w:rsidR="00980E5F" w:rsidRDefault="00980E5F">
            <w:pPr>
              <w:rPr>
                <w:rFonts w:ascii="宋体"/>
              </w:rPr>
            </w:pPr>
          </w:p>
        </w:tc>
        <w:tc>
          <w:tcPr>
            <w:tcW w:w="920" w:type="pct"/>
            <w:shd w:val="clear" w:color="auto" w:fill="auto"/>
            <w:vAlign w:val="bottom"/>
          </w:tcPr>
          <w:p w14:paraId="392BF1B4" w14:textId="77777777" w:rsidR="00980E5F" w:rsidRDefault="00980E5F">
            <w:pPr>
              <w:rPr>
                <w:rFonts w:ascii="宋体"/>
              </w:rPr>
            </w:pPr>
          </w:p>
        </w:tc>
        <w:tc>
          <w:tcPr>
            <w:tcW w:w="5" w:type="pct"/>
            <w:shd w:val="clear" w:color="auto" w:fill="auto"/>
            <w:vAlign w:val="bottom"/>
          </w:tcPr>
          <w:p w14:paraId="392BF1B5" w14:textId="77777777" w:rsidR="00980E5F" w:rsidRDefault="00980E5F">
            <w:pPr>
              <w:rPr>
                <w:rFonts w:ascii="宋体"/>
              </w:rPr>
            </w:pPr>
          </w:p>
        </w:tc>
        <w:tc>
          <w:tcPr>
            <w:tcW w:w="5" w:type="pct"/>
            <w:shd w:val="clear" w:color="auto" w:fill="auto"/>
            <w:vAlign w:val="bottom"/>
          </w:tcPr>
          <w:p w14:paraId="392BF1B6" w14:textId="77777777" w:rsidR="00980E5F" w:rsidRDefault="00980E5F">
            <w:pPr>
              <w:rPr>
                <w:rFonts w:ascii="宋体"/>
              </w:rPr>
            </w:pPr>
          </w:p>
        </w:tc>
        <w:tc>
          <w:tcPr>
            <w:tcW w:w="19" w:type="pct"/>
            <w:shd w:val="clear" w:color="auto" w:fill="auto"/>
            <w:vAlign w:val="bottom"/>
          </w:tcPr>
          <w:p w14:paraId="392BF1B7" w14:textId="77777777" w:rsidR="00980E5F" w:rsidRDefault="00980E5F">
            <w:pPr>
              <w:rPr>
                <w:rFonts w:ascii="宋体"/>
              </w:rPr>
            </w:pPr>
          </w:p>
        </w:tc>
        <w:tc>
          <w:tcPr>
            <w:tcW w:w="5" w:type="pct"/>
            <w:shd w:val="clear" w:color="auto" w:fill="auto"/>
            <w:vAlign w:val="bottom"/>
          </w:tcPr>
          <w:p w14:paraId="392BF1B8" w14:textId="77777777" w:rsidR="00980E5F" w:rsidRDefault="00980E5F">
            <w:pPr>
              <w:rPr>
                <w:rFonts w:ascii="宋体"/>
              </w:rPr>
            </w:pPr>
          </w:p>
        </w:tc>
        <w:tc>
          <w:tcPr>
            <w:tcW w:w="50" w:type="pct"/>
            <w:shd w:val="clear" w:color="auto" w:fill="auto"/>
            <w:vAlign w:val="bottom"/>
          </w:tcPr>
          <w:p w14:paraId="392BF1B9" w14:textId="77777777" w:rsidR="00980E5F" w:rsidRDefault="00980E5F">
            <w:pPr>
              <w:rPr>
                <w:rFonts w:ascii="宋体"/>
              </w:rPr>
            </w:pPr>
          </w:p>
        </w:tc>
        <w:tc>
          <w:tcPr>
            <w:tcW w:w="920" w:type="pct"/>
            <w:shd w:val="clear" w:color="auto" w:fill="auto"/>
            <w:vAlign w:val="bottom"/>
          </w:tcPr>
          <w:p w14:paraId="392BF1BA" w14:textId="77777777" w:rsidR="00980E5F" w:rsidRDefault="00980E5F">
            <w:pPr>
              <w:rPr>
                <w:rFonts w:ascii="宋体"/>
              </w:rPr>
            </w:pPr>
          </w:p>
        </w:tc>
        <w:tc>
          <w:tcPr>
            <w:tcW w:w="5" w:type="pct"/>
            <w:shd w:val="clear" w:color="auto" w:fill="auto"/>
            <w:vAlign w:val="bottom"/>
          </w:tcPr>
          <w:p w14:paraId="392BF1BB" w14:textId="77777777" w:rsidR="00980E5F" w:rsidRDefault="00980E5F">
            <w:pPr>
              <w:rPr>
                <w:rFonts w:ascii="宋体"/>
              </w:rPr>
            </w:pPr>
          </w:p>
        </w:tc>
        <w:tc>
          <w:tcPr>
            <w:tcW w:w="0" w:type="auto"/>
            <w:shd w:val="clear" w:color="auto" w:fill="auto"/>
            <w:vAlign w:val="bottom"/>
          </w:tcPr>
          <w:p w14:paraId="392BF1BC" w14:textId="77777777" w:rsidR="00980E5F" w:rsidRDefault="00980E5F">
            <w:pPr>
              <w:rPr>
                <w:rFonts w:ascii="宋体"/>
                <w:vanish/>
              </w:rPr>
            </w:pPr>
          </w:p>
        </w:tc>
        <w:tc>
          <w:tcPr>
            <w:tcW w:w="0" w:type="auto"/>
            <w:shd w:val="clear" w:color="auto" w:fill="auto"/>
            <w:vAlign w:val="bottom"/>
          </w:tcPr>
          <w:p w14:paraId="392BF1BD" w14:textId="77777777" w:rsidR="00980E5F" w:rsidRDefault="00980E5F">
            <w:pPr>
              <w:rPr>
                <w:rFonts w:ascii="宋体"/>
                <w:vanish/>
              </w:rPr>
            </w:pPr>
          </w:p>
        </w:tc>
        <w:tc>
          <w:tcPr>
            <w:tcW w:w="0" w:type="auto"/>
            <w:gridSpan w:val="3"/>
            <w:shd w:val="clear" w:color="auto" w:fill="auto"/>
            <w:vAlign w:val="bottom"/>
          </w:tcPr>
          <w:p w14:paraId="392BF1BE" w14:textId="77777777" w:rsidR="00980E5F" w:rsidRDefault="00980E5F">
            <w:pPr>
              <w:rPr>
                <w:rFonts w:ascii="宋体"/>
                <w:vanish/>
              </w:rPr>
            </w:pPr>
          </w:p>
        </w:tc>
        <w:tc>
          <w:tcPr>
            <w:tcW w:w="0" w:type="auto"/>
            <w:gridSpan w:val="3"/>
            <w:shd w:val="clear" w:color="auto" w:fill="auto"/>
            <w:vAlign w:val="bottom"/>
          </w:tcPr>
          <w:p w14:paraId="392BF1BF" w14:textId="77777777" w:rsidR="00980E5F" w:rsidRDefault="00980E5F">
            <w:pPr>
              <w:rPr>
                <w:rFonts w:ascii="宋体"/>
                <w:vanish/>
              </w:rPr>
            </w:pPr>
          </w:p>
        </w:tc>
        <w:tc>
          <w:tcPr>
            <w:tcW w:w="0" w:type="auto"/>
            <w:gridSpan w:val="3"/>
            <w:shd w:val="clear" w:color="auto" w:fill="auto"/>
            <w:vAlign w:val="bottom"/>
          </w:tcPr>
          <w:p w14:paraId="392BF1C0" w14:textId="77777777" w:rsidR="00980E5F" w:rsidRDefault="00980E5F">
            <w:pPr>
              <w:rPr>
                <w:rFonts w:ascii="宋体"/>
                <w:vanish/>
              </w:rPr>
            </w:pPr>
          </w:p>
        </w:tc>
        <w:tc>
          <w:tcPr>
            <w:tcW w:w="0" w:type="auto"/>
            <w:gridSpan w:val="3"/>
            <w:shd w:val="clear" w:color="auto" w:fill="auto"/>
            <w:vAlign w:val="bottom"/>
          </w:tcPr>
          <w:p w14:paraId="392BF1C1" w14:textId="77777777" w:rsidR="00980E5F" w:rsidRDefault="00980E5F">
            <w:pPr>
              <w:rPr>
                <w:rFonts w:ascii="宋体"/>
                <w:vanish/>
              </w:rPr>
            </w:pPr>
          </w:p>
        </w:tc>
        <w:tc>
          <w:tcPr>
            <w:tcW w:w="0" w:type="auto"/>
            <w:gridSpan w:val="3"/>
            <w:shd w:val="clear" w:color="auto" w:fill="auto"/>
            <w:vAlign w:val="bottom"/>
          </w:tcPr>
          <w:p w14:paraId="392BF1C2" w14:textId="77777777" w:rsidR="00980E5F" w:rsidRDefault="00980E5F">
            <w:pPr>
              <w:rPr>
                <w:rFonts w:ascii="宋体"/>
                <w:vanish/>
              </w:rPr>
            </w:pPr>
          </w:p>
        </w:tc>
        <w:tc>
          <w:tcPr>
            <w:tcW w:w="0" w:type="auto"/>
            <w:gridSpan w:val="3"/>
            <w:shd w:val="clear" w:color="auto" w:fill="auto"/>
            <w:vAlign w:val="bottom"/>
          </w:tcPr>
          <w:p w14:paraId="392BF1C3" w14:textId="77777777" w:rsidR="00980E5F" w:rsidRDefault="00980E5F">
            <w:pPr>
              <w:rPr>
                <w:rFonts w:ascii="宋体"/>
                <w:vanish/>
              </w:rPr>
            </w:pPr>
          </w:p>
        </w:tc>
        <w:tc>
          <w:tcPr>
            <w:tcW w:w="0" w:type="auto"/>
            <w:gridSpan w:val="3"/>
            <w:shd w:val="clear" w:color="auto" w:fill="auto"/>
            <w:vAlign w:val="bottom"/>
          </w:tcPr>
          <w:p w14:paraId="392BF1C4" w14:textId="77777777" w:rsidR="00980E5F" w:rsidRDefault="00980E5F">
            <w:pPr>
              <w:rPr>
                <w:rFonts w:ascii="宋体"/>
                <w:vanish/>
              </w:rPr>
            </w:pPr>
          </w:p>
        </w:tc>
        <w:tc>
          <w:tcPr>
            <w:tcW w:w="0" w:type="auto"/>
            <w:gridSpan w:val="3"/>
            <w:shd w:val="clear" w:color="auto" w:fill="auto"/>
            <w:vAlign w:val="bottom"/>
          </w:tcPr>
          <w:p w14:paraId="392BF1C5" w14:textId="77777777" w:rsidR="00980E5F" w:rsidRDefault="00980E5F">
            <w:pPr>
              <w:rPr>
                <w:rFonts w:ascii="宋体"/>
                <w:vanish/>
              </w:rPr>
            </w:pPr>
          </w:p>
        </w:tc>
      </w:tr>
      <w:tr w:rsidR="00980E5F" w14:paraId="392BF1D2" w14:textId="77777777">
        <w:tc>
          <w:tcPr>
            <w:tcW w:w="0" w:type="auto"/>
            <w:gridSpan w:val="18"/>
            <w:shd w:val="clear" w:color="auto" w:fill="auto"/>
            <w:tcMar>
              <w:top w:w="40" w:type="dxa"/>
              <w:left w:w="20" w:type="dxa"/>
              <w:bottom w:w="40" w:type="dxa"/>
              <w:right w:w="20" w:type="dxa"/>
            </w:tcMar>
            <w:vAlign w:val="bottom"/>
          </w:tcPr>
          <w:p w14:paraId="392BF1C7" w14:textId="77777777" w:rsidR="00980E5F" w:rsidRDefault="00483613">
            <w:pPr>
              <w:textAlignment w:val="bottom"/>
            </w:pPr>
            <w:r>
              <w:rPr>
                <w:rFonts w:ascii="Arial" w:eastAsia="宋体" w:hAnsi="Arial" w:cs="Arial"/>
                <w:b/>
                <w:bCs/>
                <w:color w:val="000000"/>
                <w:sz w:val="16"/>
                <w:szCs w:val="16"/>
              </w:rPr>
              <w:t>TABLE 9: ASSETS UNDER MANAGEMENT BY ASSET CLASS AND INVESTMENT APPROACH</w:t>
            </w:r>
          </w:p>
        </w:tc>
        <w:tc>
          <w:tcPr>
            <w:tcW w:w="0" w:type="auto"/>
            <w:shd w:val="clear" w:color="auto" w:fill="auto"/>
            <w:vAlign w:val="bottom"/>
          </w:tcPr>
          <w:p w14:paraId="392BF1C8" w14:textId="77777777" w:rsidR="00980E5F" w:rsidRDefault="00980E5F">
            <w:pPr>
              <w:rPr>
                <w:rFonts w:ascii="宋体"/>
                <w:vanish/>
              </w:rPr>
            </w:pPr>
          </w:p>
        </w:tc>
        <w:tc>
          <w:tcPr>
            <w:tcW w:w="0" w:type="auto"/>
            <w:shd w:val="clear" w:color="auto" w:fill="auto"/>
            <w:vAlign w:val="bottom"/>
          </w:tcPr>
          <w:p w14:paraId="392BF1C9" w14:textId="77777777" w:rsidR="00980E5F" w:rsidRDefault="00980E5F">
            <w:pPr>
              <w:rPr>
                <w:rFonts w:ascii="宋体"/>
                <w:vanish/>
              </w:rPr>
            </w:pPr>
          </w:p>
        </w:tc>
        <w:tc>
          <w:tcPr>
            <w:tcW w:w="0" w:type="auto"/>
            <w:gridSpan w:val="3"/>
            <w:shd w:val="clear" w:color="auto" w:fill="auto"/>
            <w:vAlign w:val="bottom"/>
          </w:tcPr>
          <w:p w14:paraId="392BF1CA" w14:textId="77777777" w:rsidR="00980E5F" w:rsidRDefault="00980E5F">
            <w:pPr>
              <w:rPr>
                <w:rFonts w:ascii="宋体"/>
                <w:vanish/>
              </w:rPr>
            </w:pPr>
          </w:p>
        </w:tc>
        <w:tc>
          <w:tcPr>
            <w:tcW w:w="0" w:type="auto"/>
            <w:gridSpan w:val="3"/>
            <w:shd w:val="clear" w:color="auto" w:fill="auto"/>
            <w:vAlign w:val="bottom"/>
          </w:tcPr>
          <w:p w14:paraId="392BF1CB" w14:textId="77777777" w:rsidR="00980E5F" w:rsidRDefault="00980E5F">
            <w:pPr>
              <w:rPr>
                <w:rFonts w:ascii="宋体"/>
                <w:vanish/>
              </w:rPr>
            </w:pPr>
          </w:p>
        </w:tc>
        <w:tc>
          <w:tcPr>
            <w:tcW w:w="0" w:type="auto"/>
            <w:gridSpan w:val="3"/>
            <w:shd w:val="clear" w:color="auto" w:fill="auto"/>
            <w:vAlign w:val="bottom"/>
          </w:tcPr>
          <w:p w14:paraId="392BF1CC" w14:textId="77777777" w:rsidR="00980E5F" w:rsidRDefault="00980E5F">
            <w:pPr>
              <w:rPr>
                <w:rFonts w:ascii="宋体"/>
                <w:vanish/>
              </w:rPr>
            </w:pPr>
          </w:p>
        </w:tc>
        <w:tc>
          <w:tcPr>
            <w:tcW w:w="0" w:type="auto"/>
            <w:gridSpan w:val="3"/>
            <w:shd w:val="clear" w:color="auto" w:fill="auto"/>
            <w:vAlign w:val="bottom"/>
          </w:tcPr>
          <w:p w14:paraId="392BF1CD" w14:textId="77777777" w:rsidR="00980E5F" w:rsidRDefault="00980E5F">
            <w:pPr>
              <w:rPr>
                <w:rFonts w:ascii="宋体"/>
                <w:vanish/>
              </w:rPr>
            </w:pPr>
          </w:p>
        </w:tc>
        <w:tc>
          <w:tcPr>
            <w:tcW w:w="0" w:type="auto"/>
            <w:gridSpan w:val="3"/>
            <w:shd w:val="clear" w:color="auto" w:fill="auto"/>
            <w:vAlign w:val="bottom"/>
          </w:tcPr>
          <w:p w14:paraId="392BF1CE" w14:textId="77777777" w:rsidR="00980E5F" w:rsidRDefault="00980E5F">
            <w:pPr>
              <w:rPr>
                <w:rFonts w:ascii="宋体"/>
                <w:vanish/>
              </w:rPr>
            </w:pPr>
          </w:p>
        </w:tc>
        <w:tc>
          <w:tcPr>
            <w:tcW w:w="0" w:type="auto"/>
            <w:gridSpan w:val="3"/>
            <w:shd w:val="clear" w:color="auto" w:fill="auto"/>
            <w:vAlign w:val="bottom"/>
          </w:tcPr>
          <w:p w14:paraId="392BF1CF" w14:textId="77777777" w:rsidR="00980E5F" w:rsidRDefault="00980E5F">
            <w:pPr>
              <w:rPr>
                <w:rFonts w:ascii="宋体"/>
                <w:vanish/>
              </w:rPr>
            </w:pPr>
          </w:p>
        </w:tc>
        <w:tc>
          <w:tcPr>
            <w:tcW w:w="0" w:type="auto"/>
            <w:gridSpan w:val="3"/>
            <w:shd w:val="clear" w:color="auto" w:fill="auto"/>
            <w:vAlign w:val="bottom"/>
          </w:tcPr>
          <w:p w14:paraId="392BF1D0" w14:textId="77777777" w:rsidR="00980E5F" w:rsidRDefault="00980E5F">
            <w:pPr>
              <w:rPr>
                <w:rFonts w:ascii="宋体"/>
                <w:vanish/>
              </w:rPr>
            </w:pPr>
          </w:p>
        </w:tc>
        <w:tc>
          <w:tcPr>
            <w:tcW w:w="0" w:type="auto"/>
            <w:gridSpan w:val="3"/>
            <w:shd w:val="clear" w:color="auto" w:fill="auto"/>
            <w:vAlign w:val="bottom"/>
          </w:tcPr>
          <w:p w14:paraId="392BF1D1" w14:textId="77777777" w:rsidR="00980E5F" w:rsidRDefault="00980E5F">
            <w:pPr>
              <w:rPr>
                <w:rFonts w:ascii="宋体"/>
                <w:vanish/>
              </w:rPr>
            </w:pPr>
          </w:p>
        </w:tc>
      </w:tr>
      <w:tr w:rsidR="00980E5F" w14:paraId="392BF1E3" w14:textId="77777777">
        <w:tc>
          <w:tcPr>
            <w:tcW w:w="0" w:type="auto"/>
            <w:gridSpan w:val="3"/>
            <w:shd w:val="clear" w:color="auto" w:fill="auto"/>
            <w:tcMar>
              <w:top w:w="40" w:type="dxa"/>
              <w:left w:w="20" w:type="dxa"/>
              <w:bottom w:w="40" w:type="dxa"/>
              <w:right w:w="20" w:type="dxa"/>
            </w:tcMar>
            <w:vAlign w:val="bottom"/>
          </w:tcPr>
          <w:p w14:paraId="392BF1D3" w14:textId="77777777" w:rsidR="00980E5F" w:rsidRDefault="00483613">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92BF1D4"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BF1D5" w14:textId="77777777" w:rsidR="00980E5F" w:rsidRDefault="00980E5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92BF1D6"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392BF1D7" w14:textId="77777777" w:rsidR="00980E5F" w:rsidRDefault="00980E5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92BF1D8" w14:textId="77777777" w:rsidR="00980E5F" w:rsidRDefault="00483613">
            <w:pPr>
              <w:jc w:val="center"/>
              <w:textAlignment w:val="bottom"/>
            </w:pPr>
            <w:r>
              <w:rPr>
                <w:rFonts w:ascii="Arial" w:eastAsia="宋体" w:hAnsi="Arial" w:cs="Arial"/>
                <w:b/>
                <w:bCs/>
                <w:color w:val="000000"/>
                <w:sz w:val="15"/>
                <w:szCs w:val="15"/>
              </w:rPr>
              <w:t>June 30, 2021</w:t>
            </w:r>
          </w:p>
        </w:tc>
        <w:tc>
          <w:tcPr>
            <w:tcW w:w="0" w:type="auto"/>
            <w:shd w:val="clear" w:color="auto" w:fill="auto"/>
            <w:vAlign w:val="bottom"/>
          </w:tcPr>
          <w:p w14:paraId="392BF1D9" w14:textId="77777777" w:rsidR="00980E5F" w:rsidRDefault="00980E5F">
            <w:pPr>
              <w:rPr>
                <w:rFonts w:ascii="宋体"/>
                <w:vanish/>
              </w:rPr>
            </w:pPr>
          </w:p>
        </w:tc>
        <w:tc>
          <w:tcPr>
            <w:tcW w:w="0" w:type="auto"/>
            <w:shd w:val="clear" w:color="auto" w:fill="auto"/>
            <w:vAlign w:val="bottom"/>
          </w:tcPr>
          <w:p w14:paraId="392BF1DA" w14:textId="77777777" w:rsidR="00980E5F" w:rsidRDefault="00980E5F">
            <w:pPr>
              <w:rPr>
                <w:rFonts w:ascii="宋体"/>
                <w:vanish/>
              </w:rPr>
            </w:pPr>
          </w:p>
        </w:tc>
        <w:tc>
          <w:tcPr>
            <w:tcW w:w="0" w:type="auto"/>
            <w:gridSpan w:val="3"/>
            <w:shd w:val="clear" w:color="auto" w:fill="auto"/>
            <w:vAlign w:val="bottom"/>
          </w:tcPr>
          <w:p w14:paraId="392BF1DB" w14:textId="77777777" w:rsidR="00980E5F" w:rsidRDefault="00980E5F">
            <w:pPr>
              <w:rPr>
                <w:rFonts w:ascii="宋体"/>
                <w:vanish/>
              </w:rPr>
            </w:pPr>
          </w:p>
        </w:tc>
        <w:tc>
          <w:tcPr>
            <w:tcW w:w="0" w:type="auto"/>
            <w:gridSpan w:val="3"/>
            <w:shd w:val="clear" w:color="auto" w:fill="auto"/>
            <w:vAlign w:val="bottom"/>
          </w:tcPr>
          <w:p w14:paraId="392BF1DC" w14:textId="77777777" w:rsidR="00980E5F" w:rsidRDefault="00980E5F">
            <w:pPr>
              <w:rPr>
                <w:rFonts w:ascii="宋体"/>
                <w:vanish/>
              </w:rPr>
            </w:pPr>
          </w:p>
        </w:tc>
        <w:tc>
          <w:tcPr>
            <w:tcW w:w="0" w:type="auto"/>
            <w:gridSpan w:val="3"/>
            <w:shd w:val="clear" w:color="auto" w:fill="auto"/>
            <w:vAlign w:val="bottom"/>
          </w:tcPr>
          <w:p w14:paraId="392BF1DD" w14:textId="77777777" w:rsidR="00980E5F" w:rsidRDefault="00980E5F">
            <w:pPr>
              <w:rPr>
                <w:rFonts w:ascii="宋体"/>
                <w:vanish/>
              </w:rPr>
            </w:pPr>
          </w:p>
        </w:tc>
        <w:tc>
          <w:tcPr>
            <w:tcW w:w="0" w:type="auto"/>
            <w:gridSpan w:val="3"/>
            <w:shd w:val="clear" w:color="auto" w:fill="auto"/>
            <w:vAlign w:val="bottom"/>
          </w:tcPr>
          <w:p w14:paraId="392BF1DE" w14:textId="77777777" w:rsidR="00980E5F" w:rsidRDefault="00980E5F">
            <w:pPr>
              <w:rPr>
                <w:rFonts w:ascii="宋体"/>
                <w:vanish/>
              </w:rPr>
            </w:pPr>
          </w:p>
        </w:tc>
        <w:tc>
          <w:tcPr>
            <w:tcW w:w="0" w:type="auto"/>
            <w:gridSpan w:val="3"/>
            <w:shd w:val="clear" w:color="auto" w:fill="auto"/>
            <w:vAlign w:val="bottom"/>
          </w:tcPr>
          <w:p w14:paraId="392BF1DF" w14:textId="77777777" w:rsidR="00980E5F" w:rsidRDefault="00980E5F">
            <w:pPr>
              <w:rPr>
                <w:rFonts w:ascii="宋体"/>
                <w:vanish/>
              </w:rPr>
            </w:pPr>
          </w:p>
        </w:tc>
        <w:tc>
          <w:tcPr>
            <w:tcW w:w="0" w:type="auto"/>
            <w:gridSpan w:val="3"/>
            <w:shd w:val="clear" w:color="auto" w:fill="auto"/>
            <w:vAlign w:val="bottom"/>
          </w:tcPr>
          <w:p w14:paraId="392BF1E0" w14:textId="77777777" w:rsidR="00980E5F" w:rsidRDefault="00980E5F">
            <w:pPr>
              <w:rPr>
                <w:rFonts w:ascii="宋体"/>
                <w:vanish/>
              </w:rPr>
            </w:pPr>
          </w:p>
        </w:tc>
        <w:tc>
          <w:tcPr>
            <w:tcW w:w="0" w:type="auto"/>
            <w:gridSpan w:val="3"/>
            <w:shd w:val="clear" w:color="auto" w:fill="auto"/>
            <w:vAlign w:val="bottom"/>
          </w:tcPr>
          <w:p w14:paraId="392BF1E1" w14:textId="77777777" w:rsidR="00980E5F" w:rsidRDefault="00980E5F">
            <w:pPr>
              <w:rPr>
                <w:rFonts w:ascii="宋体"/>
                <w:vanish/>
              </w:rPr>
            </w:pPr>
          </w:p>
        </w:tc>
        <w:tc>
          <w:tcPr>
            <w:tcW w:w="0" w:type="auto"/>
            <w:gridSpan w:val="3"/>
            <w:shd w:val="clear" w:color="auto" w:fill="auto"/>
            <w:vAlign w:val="bottom"/>
          </w:tcPr>
          <w:p w14:paraId="392BF1E2" w14:textId="77777777" w:rsidR="00980E5F" w:rsidRDefault="00980E5F">
            <w:pPr>
              <w:rPr>
                <w:rFonts w:ascii="宋体"/>
                <w:vanish/>
              </w:rPr>
            </w:pPr>
          </w:p>
        </w:tc>
      </w:tr>
      <w:tr w:rsidR="00980E5F" w14:paraId="392BF1FF" w14:textId="77777777">
        <w:tc>
          <w:tcPr>
            <w:tcW w:w="0" w:type="auto"/>
            <w:gridSpan w:val="18"/>
            <w:shd w:val="clear" w:color="auto" w:fill="auto"/>
            <w:tcMar>
              <w:top w:w="40" w:type="dxa"/>
              <w:left w:w="20" w:type="dxa"/>
              <w:bottom w:w="40" w:type="dxa"/>
              <w:right w:w="20" w:type="dxa"/>
            </w:tcMar>
            <w:vAlign w:val="bottom"/>
          </w:tcPr>
          <w:p w14:paraId="392BF1E4" w14:textId="77777777" w:rsidR="00980E5F" w:rsidRDefault="00483613">
            <w:pPr>
              <w:textAlignment w:val="bottom"/>
            </w:pPr>
            <w:r>
              <w:rPr>
                <w:rFonts w:ascii="Arial" w:eastAsia="宋体" w:hAnsi="Arial" w:cs="Arial"/>
                <w:color w:val="000000"/>
                <w:sz w:val="15"/>
                <w:szCs w:val="15"/>
              </w:rPr>
              <w:t>Equity:</w:t>
            </w:r>
          </w:p>
        </w:tc>
        <w:tc>
          <w:tcPr>
            <w:tcW w:w="0" w:type="auto"/>
            <w:shd w:val="clear" w:color="auto" w:fill="auto"/>
            <w:vAlign w:val="bottom"/>
          </w:tcPr>
          <w:p w14:paraId="392BF1E5" w14:textId="77777777" w:rsidR="00980E5F" w:rsidRDefault="00980E5F">
            <w:pPr>
              <w:rPr>
                <w:rFonts w:ascii="宋体"/>
                <w:vanish/>
              </w:rPr>
            </w:pPr>
          </w:p>
        </w:tc>
        <w:tc>
          <w:tcPr>
            <w:tcW w:w="0" w:type="auto"/>
            <w:shd w:val="clear" w:color="auto" w:fill="auto"/>
            <w:vAlign w:val="bottom"/>
          </w:tcPr>
          <w:p w14:paraId="392BF1E6" w14:textId="77777777" w:rsidR="00980E5F" w:rsidRDefault="00980E5F">
            <w:pPr>
              <w:rPr>
                <w:rFonts w:ascii="宋体"/>
                <w:vanish/>
              </w:rPr>
            </w:pPr>
          </w:p>
        </w:tc>
        <w:tc>
          <w:tcPr>
            <w:tcW w:w="0" w:type="auto"/>
            <w:shd w:val="clear" w:color="auto" w:fill="auto"/>
            <w:vAlign w:val="bottom"/>
          </w:tcPr>
          <w:p w14:paraId="392BF1E7" w14:textId="77777777" w:rsidR="00980E5F" w:rsidRDefault="00980E5F">
            <w:pPr>
              <w:rPr>
                <w:rFonts w:ascii="宋体"/>
              </w:rPr>
            </w:pPr>
          </w:p>
        </w:tc>
        <w:tc>
          <w:tcPr>
            <w:tcW w:w="0" w:type="auto"/>
            <w:shd w:val="clear" w:color="auto" w:fill="auto"/>
            <w:vAlign w:val="bottom"/>
          </w:tcPr>
          <w:p w14:paraId="392BF1E8" w14:textId="77777777" w:rsidR="00980E5F" w:rsidRDefault="00980E5F">
            <w:pPr>
              <w:rPr>
                <w:rFonts w:ascii="宋体"/>
              </w:rPr>
            </w:pPr>
          </w:p>
        </w:tc>
        <w:tc>
          <w:tcPr>
            <w:tcW w:w="0" w:type="auto"/>
            <w:shd w:val="clear" w:color="auto" w:fill="auto"/>
            <w:vAlign w:val="bottom"/>
          </w:tcPr>
          <w:p w14:paraId="392BF1E9" w14:textId="77777777" w:rsidR="00980E5F" w:rsidRDefault="00980E5F">
            <w:pPr>
              <w:rPr>
                <w:rFonts w:ascii="宋体"/>
              </w:rPr>
            </w:pPr>
          </w:p>
        </w:tc>
        <w:tc>
          <w:tcPr>
            <w:tcW w:w="0" w:type="auto"/>
            <w:shd w:val="clear" w:color="auto" w:fill="auto"/>
            <w:vAlign w:val="bottom"/>
          </w:tcPr>
          <w:p w14:paraId="392BF1EA" w14:textId="77777777" w:rsidR="00980E5F" w:rsidRDefault="00980E5F">
            <w:pPr>
              <w:rPr>
                <w:rFonts w:ascii="宋体"/>
              </w:rPr>
            </w:pPr>
          </w:p>
        </w:tc>
        <w:tc>
          <w:tcPr>
            <w:tcW w:w="0" w:type="auto"/>
            <w:shd w:val="clear" w:color="auto" w:fill="auto"/>
            <w:vAlign w:val="bottom"/>
          </w:tcPr>
          <w:p w14:paraId="392BF1EB" w14:textId="77777777" w:rsidR="00980E5F" w:rsidRDefault="00980E5F">
            <w:pPr>
              <w:rPr>
                <w:rFonts w:ascii="宋体"/>
              </w:rPr>
            </w:pPr>
          </w:p>
        </w:tc>
        <w:tc>
          <w:tcPr>
            <w:tcW w:w="0" w:type="auto"/>
            <w:shd w:val="clear" w:color="auto" w:fill="auto"/>
            <w:vAlign w:val="bottom"/>
          </w:tcPr>
          <w:p w14:paraId="392BF1EC" w14:textId="77777777" w:rsidR="00980E5F" w:rsidRDefault="00980E5F">
            <w:pPr>
              <w:rPr>
                <w:rFonts w:ascii="宋体"/>
              </w:rPr>
            </w:pPr>
          </w:p>
        </w:tc>
        <w:tc>
          <w:tcPr>
            <w:tcW w:w="0" w:type="auto"/>
            <w:shd w:val="clear" w:color="auto" w:fill="auto"/>
            <w:vAlign w:val="bottom"/>
          </w:tcPr>
          <w:p w14:paraId="392BF1ED" w14:textId="77777777" w:rsidR="00980E5F" w:rsidRDefault="00980E5F">
            <w:pPr>
              <w:rPr>
                <w:rFonts w:ascii="宋体"/>
              </w:rPr>
            </w:pPr>
          </w:p>
        </w:tc>
        <w:tc>
          <w:tcPr>
            <w:tcW w:w="0" w:type="auto"/>
            <w:shd w:val="clear" w:color="auto" w:fill="auto"/>
            <w:vAlign w:val="bottom"/>
          </w:tcPr>
          <w:p w14:paraId="392BF1EE" w14:textId="77777777" w:rsidR="00980E5F" w:rsidRDefault="00980E5F">
            <w:pPr>
              <w:rPr>
                <w:rFonts w:ascii="宋体"/>
              </w:rPr>
            </w:pPr>
          </w:p>
        </w:tc>
        <w:tc>
          <w:tcPr>
            <w:tcW w:w="0" w:type="auto"/>
            <w:shd w:val="clear" w:color="auto" w:fill="auto"/>
            <w:vAlign w:val="bottom"/>
          </w:tcPr>
          <w:p w14:paraId="392BF1EF" w14:textId="77777777" w:rsidR="00980E5F" w:rsidRDefault="00980E5F">
            <w:pPr>
              <w:rPr>
                <w:rFonts w:ascii="宋体"/>
              </w:rPr>
            </w:pPr>
          </w:p>
        </w:tc>
        <w:tc>
          <w:tcPr>
            <w:tcW w:w="0" w:type="auto"/>
            <w:shd w:val="clear" w:color="auto" w:fill="auto"/>
            <w:vAlign w:val="bottom"/>
          </w:tcPr>
          <w:p w14:paraId="392BF1F0" w14:textId="77777777" w:rsidR="00980E5F" w:rsidRDefault="00980E5F">
            <w:pPr>
              <w:rPr>
                <w:rFonts w:ascii="宋体"/>
              </w:rPr>
            </w:pPr>
          </w:p>
        </w:tc>
        <w:tc>
          <w:tcPr>
            <w:tcW w:w="0" w:type="auto"/>
            <w:shd w:val="clear" w:color="auto" w:fill="auto"/>
            <w:vAlign w:val="bottom"/>
          </w:tcPr>
          <w:p w14:paraId="392BF1F1" w14:textId="77777777" w:rsidR="00980E5F" w:rsidRDefault="00980E5F">
            <w:pPr>
              <w:rPr>
                <w:rFonts w:ascii="宋体"/>
              </w:rPr>
            </w:pPr>
          </w:p>
        </w:tc>
        <w:tc>
          <w:tcPr>
            <w:tcW w:w="0" w:type="auto"/>
            <w:shd w:val="clear" w:color="auto" w:fill="auto"/>
            <w:vAlign w:val="bottom"/>
          </w:tcPr>
          <w:p w14:paraId="392BF1F2" w14:textId="77777777" w:rsidR="00980E5F" w:rsidRDefault="00980E5F">
            <w:pPr>
              <w:rPr>
                <w:rFonts w:ascii="宋体"/>
              </w:rPr>
            </w:pPr>
          </w:p>
        </w:tc>
        <w:tc>
          <w:tcPr>
            <w:tcW w:w="0" w:type="auto"/>
            <w:shd w:val="clear" w:color="auto" w:fill="auto"/>
            <w:vAlign w:val="bottom"/>
          </w:tcPr>
          <w:p w14:paraId="392BF1F3" w14:textId="77777777" w:rsidR="00980E5F" w:rsidRDefault="00980E5F">
            <w:pPr>
              <w:rPr>
                <w:rFonts w:ascii="宋体"/>
              </w:rPr>
            </w:pPr>
          </w:p>
        </w:tc>
        <w:tc>
          <w:tcPr>
            <w:tcW w:w="0" w:type="auto"/>
            <w:shd w:val="clear" w:color="auto" w:fill="auto"/>
            <w:vAlign w:val="bottom"/>
          </w:tcPr>
          <w:p w14:paraId="392BF1F4" w14:textId="77777777" w:rsidR="00980E5F" w:rsidRDefault="00980E5F">
            <w:pPr>
              <w:rPr>
                <w:rFonts w:ascii="宋体"/>
              </w:rPr>
            </w:pPr>
          </w:p>
        </w:tc>
        <w:tc>
          <w:tcPr>
            <w:tcW w:w="0" w:type="auto"/>
            <w:shd w:val="clear" w:color="auto" w:fill="auto"/>
            <w:vAlign w:val="bottom"/>
          </w:tcPr>
          <w:p w14:paraId="392BF1F5" w14:textId="77777777" w:rsidR="00980E5F" w:rsidRDefault="00980E5F">
            <w:pPr>
              <w:rPr>
                <w:rFonts w:ascii="宋体"/>
              </w:rPr>
            </w:pPr>
          </w:p>
        </w:tc>
        <w:tc>
          <w:tcPr>
            <w:tcW w:w="0" w:type="auto"/>
            <w:shd w:val="clear" w:color="auto" w:fill="auto"/>
            <w:vAlign w:val="bottom"/>
          </w:tcPr>
          <w:p w14:paraId="392BF1F6" w14:textId="77777777" w:rsidR="00980E5F" w:rsidRDefault="00980E5F">
            <w:pPr>
              <w:rPr>
                <w:rFonts w:ascii="宋体"/>
              </w:rPr>
            </w:pPr>
          </w:p>
        </w:tc>
        <w:tc>
          <w:tcPr>
            <w:tcW w:w="0" w:type="auto"/>
            <w:shd w:val="clear" w:color="auto" w:fill="auto"/>
            <w:vAlign w:val="bottom"/>
          </w:tcPr>
          <w:p w14:paraId="392BF1F7" w14:textId="77777777" w:rsidR="00980E5F" w:rsidRDefault="00980E5F">
            <w:pPr>
              <w:rPr>
                <w:rFonts w:ascii="宋体"/>
              </w:rPr>
            </w:pPr>
          </w:p>
        </w:tc>
        <w:tc>
          <w:tcPr>
            <w:tcW w:w="0" w:type="auto"/>
            <w:shd w:val="clear" w:color="auto" w:fill="auto"/>
            <w:vAlign w:val="bottom"/>
          </w:tcPr>
          <w:p w14:paraId="392BF1F8" w14:textId="77777777" w:rsidR="00980E5F" w:rsidRDefault="00980E5F">
            <w:pPr>
              <w:rPr>
                <w:rFonts w:ascii="宋体"/>
              </w:rPr>
            </w:pPr>
          </w:p>
        </w:tc>
        <w:tc>
          <w:tcPr>
            <w:tcW w:w="0" w:type="auto"/>
            <w:shd w:val="clear" w:color="auto" w:fill="auto"/>
            <w:vAlign w:val="bottom"/>
          </w:tcPr>
          <w:p w14:paraId="392BF1F9" w14:textId="77777777" w:rsidR="00980E5F" w:rsidRDefault="00980E5F">
            <w:pPr>
              <w:rPr>
                <w:rFonts w:ascii="宋体"/>
              </w:rPr>
            </w:pPr>
          </w:p>
        </w:tc>
        <w:tc>
          <w:tcPr>
            <w:tcW w:w="0" w:type="auto"/>
            <w:shd w:val="clear" w:color="auto" w:fill="auto"/>
            <w:vAlign w:val="bottom"/>
          </w:tcPr>
          <w:p w14:paraId="392BF1FA" w14:textId="77777777" w:rsidR="00980E5F" w:rsidRDefault="00980E5F">
            <w:pPr>
              <w:rPr>
                <w:rFonts w:ascii="宋体"/>
              </w:rPr>
            </w:pPr>
          </w:p>
        </w:tc>
        <w:tc>
          <w:tcPr>
            <w:tcW w:w="0" w:type="auto"/>
            <w:shd w:val="clear" w:color="auto" w:fill="auto"/>
            <w:vAlign w:val="bottom"/>
          </w:tcPr>
          <w:p w14:paraId="392BF1FB" w14:textId="77777777" w:rsidR="00980E5F" w:rsidRDefault="00980E5F">
            <w:pPr>
              <w:rPr>
                <w:rFonts w:ascii="宋体"/>
              </w:rPr>
            </w:pPr>
          </w:p>
        </w:tc>
        <w:tc>
          <w:tcPr>
            <w:tcW w:w="0" w:type="auto"/>
            <w:shd w:val="clear" w:color="auto" w:fill="auto"/>
            <w:vAlign w:val="bottom"/>
          </w:tcPr>
          <w:p w14:paraId="392BF1FC" w14:textId="77777777" w:rsidR="00980E5F" w:rsidRDefault="00980E5F">
            <w:pPr>
              <w:rPr>
                <w:rFonts w:ascii="宋体"/>
              </w:rPr>
            </w:pPr>
          </w:p>
        </w:tc>
        <w:tc>
          <w:tcPr>
            <w:tcW w:w="0" w:type="auto"/>
            <w:shd w:val="clear" w:color="auto" w:fill="auto"/>
            <w:vAlign w:val="bottom"/>
          </w:tcPr>
          <w:p w14:paraId="392BF1FD" w14:textId="77777777" w:rsidR="00980E5F" w:rsidRDefault="00980E5F">
            <w:pPr>
              <w:rPr>
                <w:rFonts w:ascii="宋体"/>
              </w:rPr>
            </w:pPr>
          </w:p>
        </w:tc>
        <w:tc>
          <w:tcPr>
            <w:tcW w:w="0" w:type="auto"/>
            <w:shd w:val="clear" w:color="auto" w:fill="auto"/>
            <w:vAlign w:val="bottom"/>
          </w:tcPr>
          <w:p w14:paraId="392BF1FE" w14:textId="77777777" w:rsidR="00980E5F" w:rsidRDefault="00980E5F">
            <w:pPr>
              <w:rPr>
                <w:rFonts w:ascii="宋体"/>
              </w:rPr>
            </w:pPr>
          </w:p>
        </w:tc>
      </w:tr>
      <w:tr w:rsidR="00980E5F" w14:paraId="392BF216" w14:textId="77777777">
        <w:tc>
          <w:tcPr>
            <w:tcW w:w="0" w:type="auto"/>
            <w:gridSpan w:val="3"/>
            <w:shd w:val="clear" w:color="auto" w:fill="CCEEFF"/>
            <w:tcMar>
              <w:top w:w="40" w:type="dxa"/>
              <w:left w:w="20" w:type="dxa"/>
              <w:bottom w:w="40" w:type="dxa"/>
              <w:right w:w="20" w:type="dxa"/>
            </w:tcMar>
            <w:vAlign w:val="bottom"/>
          </w:tcPr>
          <w:p w14:paraId="392BF200" w14:textId="77777777" w:rsidR="00980E5F" w:rsidRDefault="00483613">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392BF201"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BF202" w14:textId="77777777" w:rsidR="00980E5F" w:rsidRDefault="00483613">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2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0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205"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206" w14:textId="77777777" w:rsidR="00980E5F" w:rsidRDefault="00483613">
            <w:pPr>
              <w:jc w:val="right"/>
              <w:textAlignment w:val="bottom"/>
            </w:pPr>
            <w:r>
              <w:rPr>
                <w:rFonts w:ascii="Arial" w:eastAsia="宋体" w:hAnsi="Arial" w:cs="Arial"/>
                <w:color w:val="000000"/>
                <w:sz w:val="15"/>
                <w:szCs w:val="15"/>
              </w:rPr>
              <w:t>80 </w:t>
            </w:r>
          </w:p>
        </w:tc>
        <w:tc>
          <w:tcPr>
            <w:tcW w:w="0" w:type="auto"/>
            <w:shd w:val="clear" w:color="auto" w:fill="CCEEFF"/>
            <w:tcMar>
              <w:top w:w="40" w:type="dxa"/>
              <w:left w:w="0" w:type="dxa"/>
              <w:bottom w:w="40" w:type="dxa"/>
              <w:right w:w="20" w:type="dxa"/>
            </w:tcMar>
            <w:vAlign w:val="bottom"/>
          </w:tcPr>
          <w:p w14:paraId="392BF2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0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20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20A" w14:textId="77777777" w:rsidR="00980E5F" w:rsidRDefault="00483613">
            <w:pPr>
              <w:jc w:val="right"/>
              <w:textAlignment w:val="bottom"/>
            </w:pPr>
            <w:r>
              <w:rPr>
                <w:rFonts w:ascii="Arial" w:eastAsia="宋体" w:hAnsi="Arial" w:cs="Arial"/>
                <w:color w:val="000000"/>
                <w:sz w:val="15"/>
                <w:szCs w:val="15"/>
              </w:rPr>
              <w:t>83 </w:t>
            </w:r>
          </w:p>
        </w:tc>
        <w:tc>
          <w:tcPr>
            <w:tcW w:w="0" w:type="auto"/>
            <w:shd w:val="clear" w:color="auto" w:fill="CCEEFF"/>
            <w:tcMar>
              <w:top w:w="40" w:type="dxa"/>
              <w:left w:w="0" w:type="dxa"/>
              <w:bottom w:w="40" w:type="dxa"/>
              <w:right w:w="20" w:type="dxa"/>
            </w:tcMar>
            <w:vAlign w:val="bottom"/>
          </w:tcPr>
          <w:p w14:paraId="392BF20B" w14:textId="77777777" w:rsidR="00980E5F" w:rsidRDefault="00980E5F">
            <w:pPr>
              <w:jc w:val="right"/>
              <w:rPr>
                <w:rFonts w:ascii="宋体"/>
              </w:rPr>
            </w:pPr>
          </w:p>
        </w:tc>
        <w:tc>
          <w:tcPr>
            <w:tcW w:w="0" w:type="auto"/>
            <w:shd w:val="clear" w:color="auto" w:fill="auto"/>
            <w:vAlign w:val="bottom"/>
          </w:tcPr>
          <w:p w14:paraId="392BF20C" w14:textId="77777777" w:rsidR="00980E5F" w:rsidRDefault="00980E5F">
            <w:pPr>
              <w:rPr>
                <w:rFonts w:ascii="宋体"/>
                <w:vanish/>
              </w:rPr>
            </w:pPr>
          </w:p>
        </w:tc>
        <w:tc>
          <w:tcPr>
            <w:tcW w:w="0" w:type="auto"/>
            <w:shd w:val="clear" w:color="auto" w:fill="auto"/>
            <w:vAlign w:val="bottom"/>
          </w:tcPr>
          <w:p w14:paraId="392BF20D" w14:textId="77777777" w:rsidR="00980E5F" w:rsidRDefault="00980E5F">
            <w:pPr>
              <w:rPr>
                <w:rFonts w:ascii="宋体"/>
                <w:vanish/>
              </w:rPr>
            </w:pPr>
          </w:p>
        </w:tc>
        <w:tc>
          <w:tcPr>
            <w:tcW w:w="0" w:type="auto"/>
            <w:gridSpan w:val="3"/>
            <w:shd w:val="clear" w:color="auto" w:fill="auto"/>
            <w:vAlign w:val="bottom"/>
          </w:tcPr>
          <w:p w14:paraId="392BF20E" w14:textId="77777777" w:rsidR="00980E5F" w:rsidRDefault="00980E5F">
            <w:pPr>
              <w:rPr>
                <w:rFonts w:ascii="宋体"/>
                <w:vanish/>
              </w:rPr>
            </w:pPr>
          </w:p>
        </w:tc>
        <w:tc>
          <w:tcPr>
            <w:tcW w:w="0" w:type="auto"/>
            <w:gridSpan w:val="3"/>
            <w:shd w:val="clear" w:color="auto" w:fill="auto"/>
            <w:vAlign w:val="bottom"/>
          </w:tcPr>
          <w:p w14:paraId="392BF20F" w14:textId="77777777" w:rsidR="00980E5F" w:rsidRDefault="00980E5F">
            <w:pPr>
              <w:rPr>
                <w:rFonts w:ascii="宋体"/>
                <w:vanish/>
              </w:rPr>
            </w:pPr>
          </w:p>
        </w:tc>
        <w:tc>
          <w:tcPr>
            <w:tcW w:w="0" w:type="auto"/>
            <w:gridSpan w:val="3"/>
            <w:shd w:val="clear" w:color="auto" w:fill="auto"/>
            <w:vAlign w:val="bottom"/>
          </w:tcPr>
          <w:p w14:paraId="392BF210" w14:textId="77777777" w:rsidR="00980E5F" w:rsidRDefault="00980E5F">
            <w:pPr>
              <w:rPr>
                <w:rFonts w:ascii="宋体"/>
                <w:vanish/>
              </w:rPr>
            </w:pPr>
          </w:p>
        </w:tc>
        <w:tc>
          <w:tcPr>
            <w:tcW w:w="0" w:type="auto"/>
            <w:gridSpan w:val="3"/>
            <w:shd w:val="clear" w:color="auto" w:fill="auto"/>
            <w:vAlign w:val="bottom"/>
          </w:tcPr>
          <w:p w14:paraId="392BF211" w14:textId="77777777" w:rsidR="00980E5F" w:rsidRDefault="00980E5F">
            <w:pPr>
              <w:rPr>
                <w:rFonts w:ascii="宋体"/>
                <w:vanish/>
              </w:rPr>
            </w:pPr>
          </w:p>
        </w:tc>
        <w:tc>
          <w:tcPr>
            <w:tcW w:w="0" w:type="auto"/>
            <w:gridSpan w:val="3"/>
            <w:shd w:val="clear" w:color="auto" w:fill="auto"/>
            <w:vAlign w:val="bottom"/>
          </w:tcPr>
          <w:p w14:paraId="392BF212" w14:textId="77777777" w:rsidR="00980E5F" w:rsidRDefault="00980E5F">
            <w:pPr>
              <w:rPr>
                <w:rFonts w:ascii="宋体"/>
                <w:vanish/>
              </w:rPr>
            </w:pPr>
          </w:p>
        </w:tc>
        <w:tc>
          <w:tcPr>
            <w:tcW w:w="0" w:type="auto"/>
            <w:gridSpan w:val="3"/>
            <w:shd w:val="clear" w:color="auto" w:fill="auto"/>
            <w:vAlign w:val="bottom"/>
          </w:tcPr>
          <w:p w14:paraId="392BF213" w14:textId="77777777" w:rsidR="00980E5F" w:rsidRDefault="00980E5F">
            <w:pPr>
              <w:rPr>
                <w:rFonts w:ascii="宋体"/>
                <w:vanish/>
              </w:rPr>
            </w:pPr>
          </w:p>
        </w:tc>
        <w:tc>
          <w:tcPr>
            <w:tcW w:w="0" w:type="auto"/>
            <w:gridSpan w:val="3"/>
            <w:shd w:val="clear" w:color="auto" w:fill="auto"/>
            <w:vAlign w:val="bottom"/>
          </w:tcPr>
          <w:p w14:paraId="392BF214" w14:textId="77777777" w:rsidR="00980E5F" w:rsidRDefault="00980E5F">
            <w:pPr>
              <w:rPr>
                <w:rFonts w:ascii="宋体"/>
                <w:vanish/>
              </w:rPr>
            </w:pPr>
          </w:p>
        </w:tc>
        <w:tc>
          <w:tcPr>
            <w:tcW w:w="0" w:type="auto"/>
            <w:gridSpan w:val="3"/>
            <w:shd w:val="clear" w:color="auto" w:fill="auto"/>
            <w:vAlign w:val="bottom"/>
          </w:tcPr>
          <w:p w14:paraId="392BF215" w14:textId="77777777" w:rsidR="00980E5F" w:rsidRDefault="00980E5F">
            <w:pPr>
              <w:rPr>
                <w:rFonts w:ascii="宋体"/>
                <w:vanish/>
              </w:rPr>
            </w:pPr>
          </w:p>
        </w:tc>
      </w:tr>
      <w:tr w:rsidR="00980E5F" w14:paraId="392BF22A" w14:textId="77777777">
        <w:tc>
          <w:tcPr>
            <w:tcW w:w="0" w:type="auto"/>
            <w:gridSpan w:val="3"/>
            <w:shd w:val="clear" w:color="auto" w:fill="FFFFFF"/>
            <w:tcMar>
              <w:top w:w="40" w:type="dxa"/>
              <w:left w:w="20" w:type="dxa"/>
              <w:bottom w:w="40" w:type="dxa"/>
              <w:right w:w="20" w:type="dxa"/>
            </w:tcMar>
            <w:vAlign w:val="bottom"/>
          </w:tcPr>
          <w:p w14:paraId="392BF217" w14:textId="77777777" w:rsidR="00980E5F" w:rsidRDefault="00483613">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392BF218" w14:textId="77777777" w:rsidR="00980E5F" w:rsidRDefault="00483613">
            <w:pPr>
              <w:jc w:val="right"/>
              <w:textAlignment w:val="bottom"/>
            </w:pPr>
            <w:r>
              <w:rPr>
                <w:rFonts w:ascii="Arial" w:eastAsia="宋体" w:hAnsi="Arial" w:cs="Arial"/>
                <w:b/>
                <w:bCs/>
                <w:color w:val="000000"/>
                <w:sz w:val="15"/>
                <w:szCs w:val="15"/>
              </w:rPr>
              <w:t>2,024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2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1B" w14:textId="77777777" w:rsidR="00980E5F" w:rsidRDefault="00483613">
            <w:pPr>
              <w:jc w:val="right"/>
              <w:textAlignment w:val="bottom"/>
            </w:pPr>
            <w:r>
              <w:rPr>
                <w:rFonts w:ascii="Arial" w:eastAsia="宋体" w:hAnsi="Arial" w:cs="Arial"/>
                <w:color w:val="000000"/>
                <w:sz w:val="15"/>
                <w:szCs w:val="15"/>
              </w:rPr>
              <w:t>2,594 </w:t>
            </w:r>
          </w:p>
        </w:tc>
        <w:tc>
          <w:tcPr>
            <w:tcW w:w="0" w:type="auto"/>
            <w:shd w:val="clear" w:color="auto" w:fill="FFFFFF"/>
            <w:tcMar>
              <w:top w:w="40" w:type="dxa"/>
              <w:left w:w="0" w:type="dxa"/>
              <w:bottom w:w="40" w:type="dxa"/>
              <w:right w:w="20" w:type="dxa"/>
            </w:tcMar>
            <w:vAlign w:val="bottom"/>
          </w:tcPr>
          <w:p w14:paraId="392BF2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1E" w14:textId="77777777" w:rsidR="00980E5F" w:rsidRDefault="00483613">
            <w:pPr>
              <w:jc w:val="right"/>
              <w:textAlignment w:val="bottom"/>
            </w:pPr>
            <w:r>
              <w:rPr>
                <w:rFonts w:ascii="Arial" w:eastAsia="宋体" w:hAnsi="Arial" w:cs="Arial"/>
                <w:color w:val="000000"/>
                <w:sz w:val="15"/>
                <w:szCs w:val="15"/>
              </w:rPr>
              <w:t>2,378 </w:t>
            </w:r>
          </w:p>
        </w:tc>
        <w:tc>
          <w:tcPr>
            <w:tcW w:w="0" w:type="auto"/>
            <w:shd w:val="clear" w:color="auto" w:fill="FFFFFF"/>
            <w:tcMar>
              <w:top w:w="40" w:type="dxa"/>
              <w:left w:w="0" w:type="dxa"/>
              <w:bottom w:w="40" w:type="dxa"/>
              <w:right w:w="20" w:type="dxa"/>
            </w:tcMar>
            <w:vAlign w:val="bottom"/>
          </w:tcPr>
          <w:p w14:paraId="392BF21F" w14:textId="77777777" w:rsidR="00980E5F" w:rsidRDefault="00980E5F">
            <w:pPr>
              <w:jc w:val="right"/>
              <w:rPr>
                <w:rFonts w:ascii="宋体"/>
              </w:rPr>
            </w:pPr>
          </w:p>
        </w:tc>
        <w:tc>
          <w:tcPr>
            <w:tcW w:w="0" w:type="auto"/>
            <w:shd w:val="clear" w:color="auto" w:fill="auto"/>
            <w:vAlign w:val="bottom"/>
          </w:tcPr>
          <w:p w14:paraId="392BF220" w14:textId="77777777" w:rsidR="00980E5F" w:rsidRDefault="00980E5F">
            <w:pPr>
              <w:rPr>
                <w:rFonts w:ascii="宋体"/>
                <w:vanish/>
              </w:rPr>
            </w:pPr>
          </w:p>
        </w:tc>
        <w:tc>
          <w:tcPr>
            <w:tcW w:w="0" w:type="auto"/>
            <w:shd w:val="clear" w:color="auto" w:fill="auto"/>
            <w:vAlign w:val="bottom"/>
          </w:tcPr>
          <w:p w14:paraId="392BF221" w14:textId="77777777" w:rsidR="00980E5F" w:rsidRDefault="00980E5F">
            <w:pPr>
              <w:rPr>
                <w:rFonts w:ascii="宋体"/>
                <w:vanish/>
              </w:rPr>
            </w:pPr>
          </w:p>
        </w:tc>
        <w:tc>
          <w:tcPr>
            <w:tcW w:w="0" w:type="auto"/>
            <w:gridSpan w:val="3"/>
            <w:shd w:val="clear" w:color="auto" w:fill="auto"/>
            <w:vAlign w:val="bottom"/>
          </w:tcPr>
          <w:p w14:paraId="392BF222" w14:textId="77777777" w:rsidR="00980E5F" w:rsidRDefault="00980E5F">
            <w:pPr>
              <w:rPr>
                <w:rFonts w:ascii="宋体"/>
                <w:vanish/>
              </w:rPr>
            </w:pPr>
          </w:p>
        </w:tc>
        <w:tc>
          <w:tcPr>
            <w:tcW w:w="0" w:type="auto"/>
            <w:gridSpan w:val="3"/>
            <w:shd w:val="clear" w:color="auto" w:fill="auto"/>
            <w:vAlign w:val="bottom"/>
          </w:tcPr>
          <w:p w14:paraId="392BF223" w14:textId="77777777" w:rsidR="00980E5F" w:rsidRDefault="00980E5F">
            <w:pPr>
              <w:rPr>
                <w:rFonts w:ascii="宋体"/>
                <w:vanish/>
              </w:rPr>
            </w:pPr>
          </w:p>
        </w:tc>
        <w:tc>
          <w:tcPr>
            <w:tcW w:w="0" w:type="auto"/>
            <w:gridSpan w:val="3"/>
            <w:shd w:val="clear" w:color="auto" w:fill="auto"/>
            <w:vAlign w:val="bottom"/>
          </w:tcPr>
          <w:p w14:paraId="392BF224" w14:textId="77777777" w:rsidR="00980E5F" w:rsidRDefault="00980E5F">
            <w:pPr>
              <w:rPr>
                <w:rFonts w:ascii="宋体"/>
                <w:vanish/>
              </w:rPr>
            </w:pPr>
          </w:p>
        </w:tc>
        <w:tc>
          <w:tcPr>
            <w:tcW w:w="0" w:type="auto"/>
            <w:gridSpan w:val="3"/>
            <w:shd w:val="clear" w:color="auto" w:fill="auto"/>
            <w:vAlign w:val="bottom"/>
          </w:tcPr>
          <w:p w14:paraId="392BF225" w14:textId="77777777" w:rsidR="00980E5F" w:rsidRDefault="00980E5F">
            <w:pPr>
              <w:rPr>
                <w:rFonts w:ascii="宋体"/>
                <w:vanish/>
              </w:rPr>
            </w:pPr>
          </w:p>
        </w:tc>
        <w:tc>
          <w:tcPr>
            <w:tcW w:w="0" w:type="auto"/>
            <w:gridSpan w:val="3"/>
            <w:shd w:val="clear" w:color="auto" w:fill="auto"/>
            <w:vAlign w:val="bottom"/>
          </w:tcPr>
          <w:p w14:paraId="392BF226" w14:textId="77777777" w:rsidR="00980E5F" w:rsidRDefault="00980E5F">
            <w:pPr>
              <w:rPr>
                <w:rFonts w:ascii="宋体"/>
                <w:vanish/>
              </w:rPr>
            </w:pPr>
          </w:p>
        </w:tc>
        <w:tc>
          <w:tcPr>
            <w:tcW w:w="0" w:type="auto"/>
            <w:gridSpan w:val="3"/>
            <w:shd w:val="clear" w:color="auto" w:fill="auto"/>
            <w:vAlign w:val="bottom"/>
          </w:tcPr>
          <w:p w14:paraId="392BF227" w14:textId="77777777" w:rsidR="00980E5F" w:rsidRDefault="00980E5F">
            <w:pPr>
              <w:rPr>
                <w:rFonts w:ascii="宋体"/>
                <w:vanish/>
              </w:rPr>
            </w:pPr>
          </w:p>
        </w:tc>
        <w:tc>
          <w:tcPr>
            <w:tcW w:w="0" w:type="auto"/>
            <w:gridSpan w:val="3"/>
            <w:shd w:val="clear" w:color="auto" w:fill="auto"/>
            <w:vAlign w:val="bottom"/>
          </w:tcPr>
          <w:p w14:paraId="392BF228" w14:textId="77777777" w:rsidR="00980E5F" w:rsidRDefault="00980E5F">
            <w:pPr>
              <w:rPr>
                <w:rFonts w:ascii="宋体"/>
                <w:vanish/>
              </w:rPr>
            </w:pPr>
          </w:p>
        </w:tc>
        <w:tc>
          <w:tcPr>
            <w:tcW w:w="0" w:type="auto"/>
            <w:gridSpan w:val="3"/>
            <w:shd w:val="clear" w:color="auto" w:fill="auto"/>
            <w:vAlign w:val="bottom"/>
          </w:tcPr>
          <w:p w14:paraId="392BF229" w14:textId="77777777" w:rsidR="00980E5F" w:rsidRDefault="00980E5F">
            <w:pPr>
              <w:rPr>
                <w:rFonts w:ascii="宋体"/>
                <w:vanish/>
              </w:rPr>
            </w:pPr>
          </w:p>
        </w:tc>
      </w:tr>
      <w:tr w:rsidR="00980E5F" w14:paraId="392BF23E" w14:textId="77777777">
        <w:tc>
          <w:tcPr>
            <w:tcW w:w="0" w:type="auto"/>
            <w:gridSpan w:val="3"/>
            <w:shd w:val="clear" w:color="auto" w:fill="CCEEFF"/>
            <w:tcMar>
              <w:top w:w="40" w:type="dxa"/>
              <w:left w:w="20" w:type="dxa"/>
              <w:bottom w:w="40" w:type="dxa"/>
              <w:right w:w="20" w:type="dxa"/>
            </w:tcMar>
            <w:vAlign w:val="bottom"/>
          </w:tcPr>
          <w:p w14:paraId="392BF22B" w14:textId="77777777" w:rsidR="00980E5F" w:rsidRDefault="00483613">
            <w:pPr>
              <w:textAlignment w:val="bottom"/>
            </w:pPr>
            <w:r>
              <w:rPr>
                <w:rFonts w:ascii="Arial" w:eastAsia="宋体" w:hAnsi="Arial" w:cs="Arial"/>
                <w:color w:val="000000"/>
                <w:sz w:val="15"/>
                <w:szCs w:val="15"/>
              </w:rPr>
              <w:t>Total equity</w:t>
            </w:r>
            <w:r>
              <w:rPr>
                <w:rFonts w:ascii="Arial" w:eastAsia="宋体" w:hAnsi="Arial" w:cs="Arial"/>
                <w:color w:val="000000"/>
                <w:sz w:val="9"/>
                <w:szCs w:val="9"/>
              </w:rPr>
              <w:t xml:space="preserv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2C" w14:textId="77777777" w:rsidR="00980E5F" w:rsidRDefault="00483613">
            <w:pPr>
              <w:jc w:val="right"/>
              <w:textAlignment w:val="bottom"/>
            </w:pPr>
            <w:r>
              <w:rPr>
                <w:rFonts w:ascii="Arial" w:eastAsia="宋体" w:hAnsi="Arial" w:cs="Arial"/>
                <w:b/>
                <w:bCs/>
                <w:color w:val="000000"/>
                <w:sz w:val="15"/>
                <w:szCs w:val="15"/>
              </w:rPr>
              <w:t>2,086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2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2F" w14:textId="77777777" w:rsidR="00980E5F" w:rsidRDefault="00483613">
            <w:pPr>
              <w:jc w:val="right"/>
              <w:textAlignment w:val="bottom"/>
            </w:pPr>
            <w:r>
              <w:rPr>
                <w:rFonts w:ascii="Arial" w:eastAsia="宋体" w:hAnsi="Arial" w:cs="Arial"/>
                <w:color w:val="000000"/>
                <w:sz w:val="15"/>
                <w:szCs w:val="15"/>
              </w:rPr>
              <w:t>2,674 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3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32" w14:textId="77777777" w:rsidR="00980E5F" w:rsidRDefault="00483613">
            <w:pPr>
              <w:jc w:val="right"/>
              <w:textAlignment w:val="bottom"/>
            </w:pPr>
            <w:r>
              <w:rPr>
                <w:rFonts w:ascii="Arial" w:eastAsia="宋体" w:hAnsi="Arial" w:cs="Arial"/>
                <w:color w:val="000000"/>
                <w:sz w:val="15"/>
                <w:szCs w:val="15"/>
              </w:rPr>
              <w:t>2,461 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33" w14:textId="77777777" w:rsidR="00980E5F" w:rsidRDefault="00980E5F">
            <w:pPr>
              <w:jc w:val="right"/>
              <w:rPr>
                <w:rFonts w:ascii="宋体"/>
              </w:rPr>
            </w:pPr>
          </w:p>
        </w:tc>
        <w:tc>
          <w:tcPr>
            <w:tcW w:w="0" w:type="auto"/>
            <w:shd w:val="clear" w:color="auto" w:fill="auto"/>
            <w:vAlign w:val="bottom"/>
          </w:tcPr>
          <w:p w14:paraId="392BF234" w14:textId="77777777" w:rsidR="00980E5F" w:rsidRDefault="00980E5F">
            <w:pPr>
              <w:rPr>
                <w:rFonts w:ascii="宋体"/>
                <w:vanish/>
              </w:rPr>
            </w:pPr>
          </w:p>
        </w:tc>
        <w:tc>
          <w:tcPr>
            <w:tcW w:w="0" w:type="auto"/>
            <w:shd w:val="clear" w:color="auto" w:fill="auto"/>
            <w:vAlign w:val="bottom"/>
          </w:tcPr>
          <w:p w14:paraId="392BF235" w14:textId="77777777" w:rsidR="00980E5F" w:rsidRDefault="00980E5F">
            <w:pPr>
              <w:rPr>
                <w:rFonts w:ascii="宋体"/>
                <w:vanish/>
              </w:rPr>
            </w:pPr>
          </w:p>
        </w:tc>
        <w:tc>
          <w:tcPr>
            <w:tcW w:w="0" w:type="auto"/>
            <w:gridSpan w:val="3"/>
            <w:shd w:val="clear" w:color="auto" w:fill="auto"/>
            <w:vAlign w:val="bottom"/>
          </w:tcPr>
          <w:p w14:paraId="392BF236" w14:textId="77777777" w:rsidR="00980E5F" w:rsidRDefault="00980E5F">
            <w:pPr>
              <w:rPr>
                <w:rFonts w:ascii="宋体"/>
                <w:vanish/>
              </w:rPr>
            </w:pPr>
          </w:p>
        </w:tc>
        <w:tc>
          <w:tcPr>
            <w:tcW w:w="0" w:type="auto"/>
            <w:gridSpan w:val="3"/>
            <w:shd w:val="clear" w:color="auto" w:fill="auto"/>
            <w:vAlign w:val="bottom"/>
          </w:tcPr>
          <w:p w14:paraId="392BF237" w14:textId="77777777" w:rsidR="00980E5F" w:rsidRDefault="00980E5F">
            <w:pPr>
              <w:rPr>
                <w:rFonts w:ascii="宋体"/>
                <w:vanish/>
              </w:rPr>
            </w:pPr>
          </w:p>
        </w:tc>
        <w:tc>
          <w:tcPr>
            <w:tcW w:w="0" w:type="auto"/>
            <w:gridSpan w:val="3"/>
            <w:shd w:val="clear" w:color="auto" w:fill="auto"/>
            <w:vAlign w:val="bottom"/>
          </w:tcPr>
          <w:p w14:paraId="392BF238" w14:textId="77777777" w:rsidR="00980E5F" w:rsidRDefault="00980E5F">
            <w:pPr>
              <w:rPr>
                <w:rFonts w:ascii="宋体"/>
                <w:vanish/>
              </w:rPr>
            </w:pPr>
          </w:p>
        </w:tc>
        <w:tc>
          <w:tcPr>
            <w:tcW w:w="0" w:type="auto"/>
            <w:gridSpan w:val="3"/>
            <w:shd w:val="clear" w:color="auto" w:fill="auto"/>
            <w:vAlign w:val="bottom"/>
          </w:tcPr>
          <w:p w14:paraId="392BF239" w14:textId="77777777" w:rsidR="00980E5F" w:rsidRDefault="00980E5F">
            <w:pPr>
              <w:rPr>
                <w:rFonts w:ascii="宋体"/>
                <w:vanish/>
              </w:rPr>
            </w:pPr>
          </w:p>
        </w:tc>
        <w:tc>
          <w:tcPr>
            <w:tcW w:w="0" w:type="auto"/>
            <w:gridSpan w:val="3"/>
            <w:shd w:val="clear" w:color="auto" w:fill="auto"/>
            <w:vAlign w:val="bottom"/>
          </w:tcPr>
          <w:p w14:paraId="392BF23A" w14:textId="77777777" w:rsidR="00980E5F" w:rsidRDefault="00980E5F">
            <w:pPr>
              <w:rPr>
                <w:rFonts w:ascii="宋体"/>
                <w:vanish/>
              </w:rPr>
            </w:pPr>
          </w:p>
        </w:tc>
        <w:tc>
          <w:tcPr>
            <w:tcW w:w="0" w:type="auto"/>
            <w:gridSpan w:val="3"/>
            <w:shd w:val="clear" w:color="auto" w:fill="auto"/>
            <w:vAlign w:val="bottom"/>
          </w:tcPr>
          <w:p w14:paraId="392BF23B" w14:textId="77777777" w:rsidR="00980E5F" w:rsidRDefault="00980E5F">
            <w:pPr>
              <w:rPr>
                <w:rFonts w:ascii="宋体"/>
                <w:vanish/>
              </w:rPr>
            </w:pPr>
          </w:p>
        </w:tc>
        <w:tc>
          <w:tcPr>
            <w:tcW w:w="0" w:type="auto"/>
            <w:gridSpan w:val="3"/>
            <w:shd w:val="clear" w:color="auto" w:fill="auto"/>
            <w:vAlign w:val="bottom"/>
          </w:tcPr>
          <w:p w14:paraId="392BF23C" w14:textId="77777777" w:rsidR="00980E5F" w:rsidRDefault="00980E5F">
            <w:pPr>
              <w:rPr>
                <w:rFonts w:ascii="宋体"/>
                <w:vanish/>
              </w:rPr>
            </w:pPr>
          </w:p>
        </w:tc>
        <w:tc>
          <w:tcPr>
            <w:tcW w:w="0" w:type="auto"/>
            <w:gridSpan w:val="3"/>
            <w:shd w:val="clear" w:color="auto" w:fill="auto"/>
            <w:vAlign w:val="bottom"/>
          </w:tcPr>
          <w:p w14:paraId="392BF23D" w14:textId="77777777" w:rsidR="00980E5F" w:rsidRDefault="00980E5F">
            <w:pPr>
              <w:rPr>
                <w:rFonts w:ascii="宋体"/>
                <w:vanish/>
              </w:rPr>
            </w:pPr>
          </w:p>
        </w:tc>
      </w:tr>
      <w:tr w:rsidR="00980E5F" w14:paraId="392BF25A" w14:textId="77777777">
        <w:tc>
          <w:tcPr>
            <w:tcW w:w="0" w:type="auto"/>
            <w:gridSpan w:val="18"/>
            <w:shd w:val="clear" w:color="auto" w:fill="FFFFFF"/>
            <w:tcMar>
              <w:top w:w="40" w:type="dxa"/>
              <w:left w:w="20" w:type="dxa"/>
              <w:bottom w:w="40" w:type="dxa"/>
              <w:right w:w="20" w:type="dxa"/>
            </w:tcMar>
            <w:vAlign w:val="bottom"/>
          </w:tcPr>
          <w:p w14:paraId="392BF23F" w14:textId="77777777" w:rsidR="00980E5F" w:rsidRDefault="00483613">
            <w:pPr>
              <w:textAlignment w:val="bottom"/>
            </w:pPr>
            <w:r>
              <w:rPr>
                <w:rFonts w:ascii="Arial" w:eastAsia="宋体" w:hAnsi="Arial" w:cs="Arial"/>
                <w:color w:val="000000"/>
                <w:sz w:val="15"/>
                <w:szCs w:val="15"/>
              </w:rPr>
              <w:t>Fixed-income:</w:t>
            </w:r>
          </w:p>
        </w:tc>
        <w:tc>
          <w:tcPr>
            <w:tcW w:w="0" w:type="auto"/>
            <w:shd w:val="clear" w:color="auto" w:fill="auto"/>
            <w:vAlign w:val="bottom"/>
          </w:tcPr>
          <w:p w14:paraId="392BF240" w14:textId="77777777" w:rsidR="00980E5F" w:rsidRDefault="00980E5F">
            <w:pPr>
              <w:rPr>
                <w:rFonts w:ascii="宋体"/>
                <w:vanish/>
              </w:rPr>
            </w:pPr>
          </w:p>
        </w:tc>
        <w:tc>
          <w:tcPr>
            <w:tcW w:w="0" w:type="auto"/>
            <w:shd w:val="clear" w:color="auto" w:fill="auto"/>
            <w:vAlign w:val="bottom"/>
          </w:tcPr>
          <w:p w14:paraId="392BF241" w14:textId="77777777" w:rsidR="00980E5F" w:rsidRDefault="00980E5F">
            <w:pPr>
              <w:rPr>
                <w:rFonts w:ascii="宋体"/>
                <w:vanish/>
              </w:rPr>
            </w:pPr>
          </w:p>
        </w:tc>
        <w:tc>
          <w:tcPr>
            <w:tcW w:w="0" w:type="auto"/>
            <w:shd w:val="clear" w:color="auto" w:fill="auto"/>
            <w:vAlign w:val="bottom"/>
          </w:tcPr>
          <w:p w14:paraId="392BF242" w14:textId="77777777" w:rsidR="00980E5F" w:rsidRDefault="00980E5F">
            <w:pPr>
              <w:rPr>
                <w:rFonts w:ascii="宋体"/>
              </w:rPr>
            </w:pPr>
          </w:p>
        </w:tc>
        <w:tc>
          <w:tcPr>
            <w:tcW w:w="0" w:type="auto"/>
            <w:shd w:val="clear" w:color="auto" w:fill="auto"/>
            <w:vAlign w:val="bottom"/>
          </w:tcPr>
          <w:p w14:paraId="392BF243" w14:textId="77777777" w:rsidR="00980E5F" w:rsidRDefault="00980E5F">
            <w:pPr>
              <w:rPr>
                <w:rFonts w:ascii="宋体"/>
              </w:rPr>
            </w:pPr>
          </w:p>
        </w:tc>
        <w:tc>
          <w:tcPr>
            <w:tcW w:w="0" w:type="auto"/>
            <w:shd w:val="clear" w:color="auto" w:fill="auto"/>
            <w:vAlign w:val="bottom"/>
          </w:tcPr>
          <w:p w14:paraId="392BF244" w14:textId="77777777" w:rsidR="00980E5F" w:rsidRDefault="00980E5F">
            <w:pPr>
              <w:rPr>
                <w:rFonts w:ascii="宋体"/>
              </w:rPr>
            </w:pPr>
          </w:p>
        </w:tc>
        <w:tc>
          <w:tcPr>
            <w:tcW w:w="0" w:type="auto"/>
            <w:shd w:val="clear" w:color="auto" w:fill="auto"/>
            <w:vAlign w:val="bottom"/>
          </w:tcPr>
          <w:p w14:paraId="392BF245" w14:textId="77777777" w:rsidR="00980E5F" w:rsidRDefault="00980E5F">
            <w:pPr>
              <w:rPr>
                <w:rFonts w:ascii="宋体"/>
              </w:rPr>
            </w:pPr>
          </w:p>
        </w:tc>
        <w:tc>
          <w:tcPr>
            <w:tcW w:w="0" w:type="auto"/>
            <w:shd w:val="clear" w:color="auto" w:fill="auto"/>
            <w:vAlign w:val="bottom"/>
          </w:tcPr>
          <w:p w14:paraId="392BF246" w14:textId="77777777" w:rsidR="00980E5F" w:rsidRDefault="00980E5F">
            <w:pPr>
              <w:rPr>
                <w:rFonts w:ascii="宋体"/>
              </w:rPr>
            </w:pPr>
          </w:p>
        </w:tc>
        <w:tc>
          <w:tcPr>
            <w:tcW w:w="0" w:type="auto"/>
            <w:shd w:val="clear" w:color="auto" w:fill="auto"/>
            <w:vAlign w:val="bottom"/>
          </w:tcPr>
          <w:p w14:paraId="392BF247" w14:textId="77777777" w:rsidR="00980E5F" w:rsidRDefault="00980E5F">
            <w:pPr>
              <w:rPr>
                <w:rFonts w:ascii="宋体"/>
              </w:rPr>
            </w:pPr>
          </w:p>
        </w:tc>
        <w:tc>
          <w:tcPr>
            <w:tcW w:w="0" w:type="auto"/>
            <w:shd w:val="clear" w:color="auto" w:fill="auto"/>
            <w:vAlign w:val="bottom"/>
          </w:tcPr>
          <w:p w14:paraId="392BF248" w14:textId="77777777" w:rsidR="00980E5F" w:rsidRDefault="00980E5F">
            <w:pPr>
              <w:rPr>
                <w:rFonts w:ascii="宋体"/>
              </w:rPr>
            </w:pPr>
          </w:p>
        </w:tc>
        <w:tc>
          <w:tcPr>
            <w:tcW w:w="0" w:type="auto"/>
            <w:shd w:val="clear" w:color="auto" w:fill="auto"/>
            <w:vAlign w:val="bottom"/>
          </w:tcPr>
          <w:p w14:paraId="392BF249" w14:textId="77777777" w:rsidR="00980E5F" w:rsidRDefault="00980E5F">
            <w:pPr>
              <w:rPr>
                <w:rFonts w:ascii="宋体"/>
              </w:rPr>
            </w:pPr>
          </w:p>
        </w:tc>
        <w:tc>
          <w:tcPr>
            <w:tcW w:w="0" w:type="auto"/>
            <w:shd w:val="clear" w:color="auto" w:fill="auto"/>
            <w:vAlign w:val="bottom"/>
          </w:tcPr>
          <w:p w14:paraId="392BF24A" w14:textId="77777777" w:rsidR="00980E5F" w:rsidRDefault="00980E5F">
            <w:pPr>
              <w:rPr>
                <w:rFonts w:ascii="宋体"/>
              </w:rPr>
            </w:pPr>
          </w:p>
        </w:tc>
        <w:tc>
          <w:tcPr>
            <w:tcW w:w="0" w:type="auto"/>
            <w:shd w:val="clear" w:color="auto" w:fill="auto"/>
            <w:vAlign w:val="bottom"/>
          </w:tcPr>
          <w:p w14:paraId="392BF24B" w14:textId="77777777" w:rsidR="00980E5F" w:rsidRDefault="00980E5F">
            <w:pPr>
              <w:rPr>
                <w:rFonts w:ascii="宋体"/>
              </w:rPr>
            </w:pPr>
          </w:p>
        </w:tc>
        <w:tc>
          <w:tcPr>
            <w:tcW w:w="0" w:type="auto"/>
            <w:shd w:val="clear" w:color="auto" w:fill="auto"/>
            <w:vAlign w:val="bottom"/>
          </w:tcPr>
          <w:p w14:paraId="392BF24C" w14:textId="77777777" w:rsidR="00980E5F" w:rsidRDefault="00980E5F">
            <w:pPr>
              <w:rPr>
                <w:rFonts w:ascii="宋体"/>
              </w:rPr>
            </w:pPr>
          </w:p>
        </w:tc>
        <w:tc>
          <w:tcPr>
            <w:tcW w:w="0" w:type="auto"/>
            <w:shd w:val="clear" w:color="auto" w:fill="auto"/>
            <w:vAlign w:val="bottom"/>
          </w:tcPr>
          <w:p w14:paraId="392BF24D" w14:textId="77777777" w:rsidR="00980E5F" w:rsidRDefault="00980E5F">
            <w:pPr>
              <w:rPr>
                <w:rFonts w:ascii="宋体"/>
              </w:rPr>
            </w:pPr>
          </w:p>
        </w:tc>
        <w:tc>
          <w:tcPr>
            <w:tcW w:w="0" w:type="auto"/>
            <w:shd w:val="clear" w:color="auto" w:fill="auto"/>
            <w:vAlign w:val="bottom"/>
          </w:tcPr>
          <w:p w14:paraId="392BF24E" w14:textId="77777777" w:rsidR="00980E5F" w:rsidRDefault="00980E5F">
            <w:pPr>
              <w:rPr>
                <w:rFonts w:ascii="宋体"/>
              </w:rPr>
            </w:pPr>
          </w:p>
        </w:tc>
        <w:tc>
          <w:tcPr>
            <w:tcW w:w="0" w:type="auto"/>
            <w:shd w:val="clear" w:color="auto" w:fill="auto"/>
            <w:vAlign w:val="bottom"/>
          </w:tcPr>
          <w:p w14:paraId="392BF24F" w14:textId="77777777" w:rsidR="00980E5F" w:rsidRDefault="00980E5F">
            <w:pPr>
              <w:rPr>
                <w:rFonts w:ascii="宋体"/>
              </w:rPr>
            </w:pPr>
          </w:p>
        </w:tc>
        <w:tc>
          <w:tcPr>
            <w:tcW w:w="0" w:type="auto"/>
            <w:shd w:val="clear" w:color="auto" w:fill="auto"/>
            <w:vAlign w:val="bottom"/>
          </w:tcPr>
          <w:p w14:paraId="392BF250" w14:textId="77777777" w:rsidR="00980E5F" w:rsidRDefault="00980E5F">
            <w:pPr>
              <w:rPr>
                <w:rFonts w:ascii="宋体"/>
              </w:rPr>
            </w:pPr>
          </w:p>
        </w:tc>
        <w:tc>
          <w:tcPr>
            <w:tcW w:w="0" w:type="auto"/>
            <w:shd w:val="clear" w:color="auto" w:fill="auto"/>
            <w:vAlign w:val="bottom"/>
          </w:tcPr>
          <w:p w14:paraId="392BF251" w14:textId="77777777" w:rsidR="00980E5F" w:rsidRDefault="00980E5F">
            <w:pPr>
              <w:rPr>
                <w:rFonts w:ascii="宋体"/>
              </w:rPr>
            </w:pPr>
          </w:p>
        </w:tc>
        <w:tc>
          <w:tcPr>
            <w:tcW w:w="0" w:type="auto"/>
            <w:shd w:val="clear" w:color="auto" w:fill="auto"/>
            <w:vAlign w:val="bottom"/>
          </w:tcPr>
          <w:p w14:paraId="392BF252" w14:textId="77777777" w:rsidR="00980E5F" w:rsidRDefault="00980E5F">
            <w:pPr>
              <w:rPr>
                <w:rFonts w:ascii="宋体"/>
              </w:rPr>
            </w:pPr>
          </w:p>
        </w:tc>
        <w:tc>
          <w:tcPr>
            <w:tcW w:w="0" w:type="auto"/>
            <w:shd w:val="clear" w:color="auto" w:fill="auto"/>
            <w:vAlign w:val="bottom"/>
          </w:tcPr>
          <w:p w14:paraId="392BF253" w14:textId="77777777" w:rsidR="00980E5F" w:rsidRDefault="00980E5F">
            <w:pPr>
              <w:rPr>
                <w:rFonts w:ascii="宋体"/>
              </w:rPr>
            </w:pPr>
          </w:p>
        </w:tc>
        <w:tc>
          <w:tcPr>
            <w:tcW w:w="0" w:type="auto"/>
            <w:shd w:val="clear" w:color="auto" w:fill="auto"/>
            <w:vAlign w:val="bottom"/>
          </w:tcPr>
          <w:p w14:paraId="392BF254" w14:textId="77777777" w:rsidR="00980E5F" w:rsidRDefault="00980E5F">
            <w:pPr>
              <w:rPr>
                <w:rFonts w:ascii="宋体"/>
              </w:rPr>
            </w:pPr>
          </w:p>
        </w:tc>
        <w:tc>
          <w:tcPr>
            <w:tcW w:w="0" w:type="auto"/>
            <w:shd w:val="clear" w:color="auto" w:fill="auto"/>
            <w:vAlign w:val="bottom"/>
          </w:tcPr>
          <w:p w14:paraId="392BF255" w14:textId="77777777" w:rsidR="00980E5F" w:rsidRDefault="00980E5F">
            <w:pPr>
              <w:rPr>
                <w:rFonts w:ascii="宋体"/>
              </w:rPr>
            </w:pPr>
          </w:p>
        </w:tc>
        <w:tc>
          <w:tcPr>
            <w:tcW w:w="0" w:type="auto"/>
            <w:shd w:val="clear" w:color="auto" w:fill="auto"/>
            <w:vAlign w:val="bottom"/>
          </w:tcPr>
          <w:p w14:paraId="392BF256" w14:textId="77777777" w:rsidR="00980E5F" w:rsidRDefault="00980E5F">
            <w:pPr>
              <w:rPr>
                <w:rFonts w:ascii="宋体"/>
              </w:rPr>
            </w:pPr>
          </w:p>
        </w:tc>
        <w:tc>
          <w:tcPr>
            <w:tcW w:w="0" w:type="auto"/>
            <w:shd w:val="clear" w:color="auto" w:fill="auto"/>
            <w:vAlign w:val="bottom"/>
          </w:tcPr>
          <w:p w14:paraId="392BF257" w14:textId="77777777" w:rsidR="00980E5F" w:rsidRDefault="00980E5F">
            <w:pPr>
              <w:rPr>
                <w:rFonts w:ascii="宋体"/>
              </w:rPr>
            </w:pPr>
          </w:p>
        </w:tc>
        <w:tc>
          <w:tcPr>
            <w:tcW w:w="0" w:type="auto"/>
            <w:shd w:val="clear" w:color="auto" w:fill="auto"/>
            <w:vAlign w:val="bottom"/>
          </w:tcPr>
          <w:p w14:paraId="392BF258" w14:textId="77777777" w:rsidR="00980E5F" w:rsidRDefault="00980E5F">
            <w:pPr>
              <w:rPr>
                <w:rFonts w:ascii="宋体"/>
              </w:rPr>
            </w:pPr>
          </w:p>
        </w:tc>
        <w:tc>
          <w:tcPr>
            <w:tcW w:w="0" w:type="auto"/>
            <w:shd w:val="clear" w:color="auto" w:fill="auto"/>
            <w:vAlign w:val="bottom"/>
          </w:tcPr>
          <w:p w14:paraId="392BF259" w14:textId="77777777" w:rsidR="00980E5F" w:rsidRDefault="00980E5F">
            <w:pPr>
              <w:rPr>
                <w:rFonts w:ascii="宋体"/>
              </w:rPr>
            </w:pPr>
          </w:p>
        </w:tc>
      </w:tr>
      <w:tr w:rsidR="00980E5F" w14:paraId="392BF26E" w14:textId="77777777">
        <w:tc>
          <w:tcPr>
            <w:tcW w:w="0" w:type="auto"/>
            <w:gridSpan w:val="3"/>
            <w:shd w:val="clear" w:color="auto" w:fill="CCEEFF"/>
            <w:tcMar>
              <w:top w:w="40" w:type="dxa"/>
              <w:left w:w="20" w:type="dxa"/>
              <w:bottom w:w="40" w:type="dxa"/>
              <w:right w:w="20" w:type="dxa"/>
            </w:tcMar>
            <w:vAlign w:val="bottom"/>
          </w:tcPr>
          <w:p w14:paraId="392BF25B" w14:textId="77777777" w:rsidR="00980E5F" w:rsidRDefault="00483613">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392BF25C" w14:textId="77777777" w:rsidR="00980E5F" w:rsidRDefault="00483613">
            <w:pPr>
              <w:jc w:val="right"/>
              <w:textAlignment w:val="bottom"/>
            </w:pPr>
            <w:r>
              <w:rPr>
                <w:rFonts w:ascii="Arial" w:eastAsia="宋体" w:hAnsi="Arial" w:cs="Arial"/>
                <w:b/>
                <w:bCs/>
                <w:color w:val="000000"/>
                <w:sz w:val="15"/>
                <w:szCs w:val="15"/>
              </w:rPr>
              <w:t>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2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5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25F" w14:textId="77777777" w:rsidR="00980E5F" w:rsidRDefault="00483613">
            <w:pPr>
              <w:jc w:val="right"/>
              <w:textAlignment w:val="bottom"/>
            </w:pPr>
            <w:r>
              <w:rPr>
                <w:rFonts w:ascii="Arial" w:eastAsia="宋体" w:hAnsi="Arial" w:cs="Arial"/>
                <w:color w:val="000000"/>
                <w:sz w:val="15"/>
                <w:szCs w:val="15"/>
              </w:rPr>
              <w:t>103 </w:t>
            </w:r>
          </w:p>
        </w:tc>
        <w:tc>
          <w:tcPr>
            <w:tcW w:w="0" w:type="auto"/>
            <w:shd w:val="clear" w:color="auto" w:fill="CCEEFF"/>
            <w:tcMar>
              <w:top w:w="40" w:type="dxa"/>
              <w:left w:w="0" w:type="dxa"/>
              <w:bottom w:w="40" w:type="dxa"/>
              <w:right w:w="20" w:type="dxa"/>
            </w:tcMar>
            <w:vAlign w:val="bottom"/>
          </w:tcPr>
          <w:p w14:paraId="392BF2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262" w14:textId="77777777" w:rsidR="00980E5F" w:rsidRDefault="00483613">
            <w:pPr>
              <w:jc w:val="right"/>
              <w:textAlignment w:val="bottom"/>
            </w:pPr>
            <w:r>
              <w:rPr>
                <w:rFonts w:ascii="Arial" w:eastAsia="宋体" w:hAnsi="Arial" w:cs="Arial"/>
                <w:color w:val="000000"/>
                <w:sz w:val="15"/>
                <w:szCs w:val="15"/>
              </w:rPr>
              <w:t>100 </w:t>
            </w:r>
          </w:p>
        </w:tc>
        <w:tc>
          <w:tcPr>
            <w:tcW w:w="0" w:type="auto"/>
            <w:shd w:val="clear" w:color="auto" w:fill="CCEEFF"/>
            <w:tcMar>
              <w:top w:w="40" w:type="dxa"/>
              <w:left w:w="0" w:type="dxa"/>
              <w:bottom w:w="40" w:type="dxa"/>
              <w:right w:w="20" w:type="dxa"/>
            </w:tcMar>
            <w:vAlign w:val="bottom"/>
          </w:tcPr>
          <w:p w14:paraId="392BF263" w14:textId="77777777" w:rsidR="00980E5F" w:rsidRDefault="00980E5F">
            <w:pPr>
              <w:jc w:val="right"/>
              <w:rPr>
                <w:rFonts w:ascii="宋体"/>
              </w:rPr>
            </w:pPr>
          </w:p>
        </w:tc>
        <w:tc>
          <w:tcPr>
            <w:tcW w:w="0" w:type="auto"/>
            <w:shd w:val="clear" w:color="auto" w:fill="auto"/>
            <w:vAlign w:val="bottom"/>
          </w:tcPr>
          <w:p w14:paraId="392BF264" w14:textId="77777777" w:rsidR="00980E5F" w:rsidRDefault="00980E5F">
            <w:pPr>
              <w:rPr>
                <w:rFonts w:ascii="宋体"/>
                <w:vanish/>
              </w:rPr>
            </w:pPr>
          </w:p>
        </w:tc>
        <w:tc>
          <w:tcPr>
            <w:tcW w:w="0" w:type="auto"/>
            <w:shd w:val="clear" w:color="auto" w:fill="auto"/>
            <w:vAlign w:val="bottom"/>
          </w:tcPr>
          <w:p w14:paraId="392BF265" w14:textId="77777777" w:rsidR="00980E5F" w:rsidRDefault="00980E5F">
            <w:pPr>
              <w:rPr>
                <w:rFonts w:ascii="宋体"/>
                <w:vanish/>
              </w:rPr>
            </w:pPr>
          </w:p>
        </w:tc>
        <w:tc>
          <w:tcPr>
            <w:tcW w:w="0" w:type="auto"/>
            <w:gridSpan w:val="3"/>
            <w:shd w:val="clear" w:color="auto" w:fill="auto"/>
            <w:vAlign w:val="bottom"/>
          </w:tcPr>
          <w:p w14:paraId="392BF266" w14:textId="77777777" w:rsidR="00980E5F" w:rsidRDefault="00980E5F">
            <w:pPr>
              <w:rPr>
                <w:rFonts w:ascii="宋体"/>
                <w:vanish/>
              </w:rPr>
            </w:pPr>
          </w:p>
        </w:tc>
        <w:tc>
          <w:tcPr>
            <w:tcW w:w="0" w:type="auto"/>
            <w:gridSpan w:val="3"/>
            <w:shd w:val="clear" w:color="auto" w:fill="auto"/>
            <w:vAlign w:val="bottom"/>
          </w:tcPr>
          <w:p w14:paraId="392BF267" w14:textId="77777777" w:rsidR="00980E5F" w:rsidRDefault="00980E5F">
            <w:pPr>
              <w:rPr>
                <w:rFonts w:ascii="宋体"/>
                <w:vanish/>
              </w:rPr>
            </w:pPr>
          </w:p>
        </w:tc>
        <w:tc>
          <w:tcPr>
            <w:tcW w:w="0" w:type="auto"/>
            <w:gridSpan w:val="3"/>
            <w:shd w:val="clear" w:color="auto" w:fill="auto"/>
            <w:vAlign w:val="bottom"/>
          </w:tcPr>
          <w:p w14:paraId="392BF268" w14:textId="77777777" w:rsidR="00980E5F" w:rsidRDefault="00980E5F">
            <w:pPr>
              <w:rPr>
                <w:rFonts w:ascii="宋体"/>
                <w:vanish/>
              </w:rPr>
            </w:pPr>
          </w:p>
        </w:tc>
        <w:tc>
          <w:tcPr>
            <w:tcW w:w="0" w:type="auto"/>
            <w:gridSpan w:val="3"/>
            <w:shd w:val="clear" w:color="auto" w:fill="auto"/>
            <w:vAlign w:val="bottom"/>
          </w:tcPr>
          <w:p w14:paraId="392BF269" w14:textId="77777777" w:rsidR="00980E5F" w:rsidRDefault="00980E5F">
            <w:pPr>
              <w:rPr>
                <w:rFonts w:ascii="宋体"/>
                <w:vanish/>
              </w:rPr>
            </w:pPr>
          </w:p>
        </w:tc>
        <w:tc>
          <w:tcPr>
            <w:tcW w:w="0" w:type="auto"/>
            <w:gridSpan w:val="3"/>
            <w:shd w:val="clear" w:color="auto" w:fill="auto"/>
            <w:vAlign w:val="bottom"/>
          </w:tcPr>
          <w:p w14:paraId="392BF26A" w14:textId="77777777" w:rsidR="00980E5F" w:rsidRDefault="00980E5F">
            <w:pPr>
              <w:rPr>
                <w:rFonts w:ascii="宋体"/>
                <w:vanish/>
              </w:rPr>
            </w:pPr>
          </w:p>
        </w:tc>
        <w:tc>
          <w:tcPr>
            <w:tcW w:w="0" w:type="auto"/>
            <w:gridSpan w:val="3"/>
            <w:shd w:val="clear" w:color="auto" w:fill="auto"/>
            <w:vAlign w:val="bottom"/>
          </w:tcPr>
          <w:p w14:paraId="392BF26B" w14:textId="77777777" w:rsidR="00980E5F" w:rsidRDefault="00980E5F">
            <w:pPr>
              <w:rPr>
                <w:rFonts w:ascii="宋体"/>
                <w:vanish/>
              </w:rPr>
            </w:pPr>
          </w:p>
        </w:tc>
        <w:tc>
          <w:tcPr>
            <w:tcW w:w="0" w:type="auto"/>
            <w:gridSpan w:val="3"/>
            <w:shd w:val="clear" w:color="auto" w:fill="auto"/>
            <w:vAlign w:val="bottom"/>
          </w:tcPr>
          <w:p w14:paraId="392BF26C" w14:textId="77777777" w:rsidR="00980E5F" w:rsidRDefault="00980E5F">
            <w:pPr>
              <w:rPr>
                <w:rFonts w:ascii="宋体"/>
                <w:vanish/>
              </w:rPr>
            </w:pPr>
          </w:p>
        </w:tc>
        <w:tc>
          <w:tcPr>
            <w:tcW w:w="0" w:type="auto"/>
            <w:gridSpan w:val="3"/>
            <w:shd w:val="clear" w:color="auto" w:fill="auto"/>
            <w:vAlign w:val="bottom"/>
          </w:tcPr>
          <w:p w14:paraId="392BF26D" w14:textId="77777777" w:rsidR="00980E5F" w:rsidRDefault="00980E5F">
            <w:pPr>
              <w:rPr>
                <w:rFonts w:ascii="宋体"/>
                <w:vanish/>
              </w:rPr>
            </w:pPr>
          </w:p>
        </w:tc>
      </w:tr>
      <w:tr w:rsidR="00980E5F" w14:paraId="392BF282" w14:textId="77777777">
        <w:tc>
          <w:tcPr>
            <w:tcW w:w="0" w:type="auto"/>
            <w:gridSpan w:val="3"/>
            <w:shd w:val="clear" w:color="auto" w:fill="FFFFFF"/>
            <w:tcMar>
              <w:top w:w="40" w:type="dxa"/>
              <w:left w:w="20" w:type="dxa"/>
              <w:bottom w:w="40" w:type="dxa"/>
              <w:right w:w="20" w:type="dxa"/>
            </w:tcMar>
            <w:vAlign w:val="bottom"/>
          </w:tcPr>
          <w:p w14:paraId="392BF26F" w14:textId="77777777" w:rsidR="00980E5F" w:rsidRDefault="00483613">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392BF270" w14:textId="77777777" w:rsidR="00980E5F" w:rsidRDefault="00483613">
            <w:pPr>
              <w:jc w:val="right"/>
              <w:textAlignment w:val="bottom"/>
            </w:pPr>
            <w:r>
              <w:rPr>
                <w:rFonts w:ascii="Arial" w:eastAsia="宋体" w:hAnsi="Arial" w:cs="Arial"/>
                <w:b/>
                <w:bCs/>
                <w:color w:val="000000"/>
                <w:sz w:val="15"/>
                <w:szCs w:val="15"/>
              </w:rPr>
              <w:t>461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2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73" w14:textId="77777777" w:rsidR="00980E5F" w:rsidRDefault="00483613">
            <w:pPr>
              <w:jc w:val="right"/>
              <w:textAlignment w:val="bottom"/>
            </w:pPr>
            <w:r>
              <w:rPr>
                <w:rFonts w:ascii="Arial" w:eastAsia="宋体" w:hAnsi="Arial" w:cs="Arial"/>
                <w:color w:val="000000"/>
                <w:sz w:val="15"/>
                <w:szCs w:val="15"/>
              </w:rPr>
              <w:t>520 </w:t>
            </w:r>
          </w:p>
        </w:tc>
        <w:tc>
          <w:tcPr>
            <w:tcW w:w="0" w:type="auto"/>
            <w:shd w:val="clear" w:color="auto" w:fill="FFFFFF"/>
            <w:tcMar>
              <w:top w:w="40" w:type="dxa"/>
              <w:left w:w="0" w:type="dxa"/>
              <w:bottom w:w="40" w:type="dxa"/>
              <w:right w:w="20" w:type="dxa"/>
            </w:tcMar>
            <w:vAlign w:val="bottom"/>
          </w:tcPr>
          <w:p w14:paraId="392BF2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76" w14:textId="77777777" w:rsidR="00980E5F" w:rsidRDefault="00483613">
            <w:pPr>
              <w:jc w:val="right"/>
              <w:textAlignment w:val="bottom"/>
            </w:pPr>
            <w:r>
              <w:rPr>
                <w:rFonts w:ascii="Arial" w:eastAsia="宋体" w:hAnsi="Arial" w:cs="Arial"/>
                <w:color w:val="000000"/>
                <w:sz w:val="15"/>
                <w:szCs w:val="15"/>
              </w:rPr>
              <w:t>510 </w:t>
            </w:r>
          </w:p>
        </w:tc>
        <w:tc>
          <w:tcPr>
            <w:tcW w:w="0" w:type="auto"/>
            <w:shd w:val="clear" w:color="auto" w:fill="FFFFFF"/>
            <w:tcMar>
              <w:top w:w="40" w:type="dxa"/>
              <w:left w:w="0" w:type="dxa"/>
              <w:bottom w:w="40" w:type="dxa"/>
              <w:right w:w="20" w:type="dxa"/>
            </w:tcMar>
            <w:vAlign w:val="bottom"/>
          </w:tcPr>
          <w:p w14:paraId="392BF277" w14:textId="77777777" w:rsidR="00980E5F" w:rsidRDefault="00980E5F">
            <w:pPr>
              <w:jc w:val="right"/>
              <w:rPr>
                <w:rFonts w:ascii="宋体"/>
              </w:rPr>
            </w:pPr>
          </w:p>
        </w:tc>
        <w:tc>
          <w:tcPr>
            <w:tcW w:w="0" w:type="auto"/>
            <w:shd w:val="clear" w:color="auto" w:fill="auto"/>
            <w:vAlign w:val="bottom"/>
          </w:tcPr>
          <w:p w14:paraId="392BF278" w14:textId="77777777" w:rsidR="00980E5F" w:rsidRDefault="00980E5F">
            <w:pPr>
              <w:rPr>
                <w:rFonts w:ascii="宋体"/>
                <w:vanish/>
              </w:rPr>
            </w:pPr>
          </w:p>
        </w:tc>
        <w:tc>
          <w:tcPr>
            <w:tcW w:w="0" w:type="auto"/>
            <w:shd w:val="clear" w:color="auto" w:fill="auto"/>
            <w:vAlign w:val="bottom"/>
          </w:tcPr>
          <w:p w14:paraId="392BF279" w14:textId="77777777" w:rsidR="00980E5F" w:rsidRDefault="00980E5F">
            <w:pPr>
              <w:rPr>
                <w:rFonts w:ascii="宋体"/>
                <w:vanish/>
              </w:rPr>
            </w:pPr>
          </w:p>
        </w:tc>
        <w:tc>
          <w:tcPr>
            <w:tcW w:w="0" w:type="auto"/>
            <w:gridSpan w:val="3"/>
            <w:shd w:val="clear" w:color="auto" w:fill="auto"/>
            <w:vAlign w:val="bottom"/>
          </w:tcPr>
          <w:p w14:paraId="392BF27A" w14:textId="77777777" w:rsidR="00980E5F" w:rsidRDefault="00980E5F">
            <w:pPr>
              <w:rPr>
                <w:rFonts w:ascii="宋体"/>
                <w:vanish/>
              </w:rPr>
            </w:pPr>
          </w:p>
        </w:tc>
        <w:tc>
          <w:tcPr>
            <w:tcW w:w="0" w:type="auto"/>
            <w:gridSpan w:val="3"/>
            <w:shd w:val="clear" w:color="auto" w:fill="auto"/>
            <w:vAlign w:val="bottom"/>
          </w:tcPr>
          <w:p w14:paraId="392BF27B" w14:textId="77777777" w:rsidR="00980E5F" w:rsidRDefault="00980E5F">
            <w:pPr>
              <w:rPr>
                <w:rFonts w:ascii="宋体"/>
                <w:vanish/>
              </w:rPr>
            </w:pPr>
          </w:p>
        </w:tc>
        <w:tc>
          <w:tcPr>
            <w:tcW w:w="0" w:type="auto"/>
            <w:gridSpan w:val="3"/>
            <w:shd w:val="clear" w:color="auto" w:fill="auto"/>
            <w:vAlign w:val="bottom"/>
          </w:tcPr>
          <w:p w14:paraId="392BF27C" w14:textId="77777777" w:rsidR="00980E5F" w:rsidRDefault="00980E5F">
            <w:pPr>
              <w:rPr>
                <w:rFonts w:ascii="宋体"/>
                <w:vanish/>
              </w:rPr>
            </w:pPr>
          </w:p>
        </w:tc>
        <w:tc>
          <w:tcPr>
            <w:tcW w:w="0" w:type="auto"/>
            <w:gridSpan w:val="3"/>
            <w:shd w:val="clear" w:color="auto" w:fill="auto"/>
            <w:vAlign w:val="bottom"/>
          </w:tcPr>
          <w:p w14:paraId="392BF27D" w14:textId="77777777" w:rsidR="00980E5F" w:rsidRDefault="00980E5F">
            <w:pPr>
              <w:rPr>
                <w:rFonts w:ascii="宋体"/>
                <w:vanish/>
              </w:rPr>
            </w:pPr>
          </w:p>
        </w:tc>
        <w:tc>
          <w:tcPr>
            <w:tcW w:w="0" w:type="auto"/>
            <w:gridSpan w:val="3"/>
            <w:shd w:val="clear" w:color="auto" w:fill="auto"/>
            <w:vAlign w:val="bottom"/>
          </w:tcPr>
          <w:p w14:paraId="392BF27E" w14:textId="77777777" w:rsidR="00980E5F" w:rsidRDefault="00980E5F">
            <w:pPr>
              <w:rPr>
                <w:rFonts w:ascii="宋体"/>
                <w:vanish/>
              </w:rPr>
            </w:pPr>
          </w:p>
        </w:tc>
        <w:tc>
          <w:tcPr>
            <w:tcW w:w="0" w:type="auto"/>
            <w:gridSpan w:val="3"/>
            <w:shd w:val="clear" w:color="auto" w:fill="auto"/>
            <w:vAlign w:val="bottom"/>
          </w:tcPr>
          <w:p w14:paraId="392BF27F" w14:textId="77777777" w:rsidR="00980E5F" w:rsidRDefault="00980E5F">
            <w:pPr>
              <w:rPr>
                <w:rFonts w:ascii="宋体"/>
                <w:vanish/>
              </w:rPr>
            </w:pPr>
          </w:p>
        </w:tc>
        <w:tc>
          <w:tcPr>
            <w:tcW w:w="0" w:type="auto"/>
            <w:gridSpan w:val="3"/>
            <w:shd w:val="clear" w:color="auto" w:fill="auto"/>
            <w:vAlign w:val="bottom"/>
          </w:tcPr>
          <w:p w14:paraId="392BF280" w14:textId="77777777" w:rsidR="00980E5F" w:rsidRDefault="00980E5F">
            <w:pPr>
              <w:rPr>
                <w:rFonts w:ascii="宋体"/>
                <w:vanish/>
              </w:rPr>
            </w:pPr>
          </w:p>
        </w:tc>
        <w:tc>
          <w:tcPr>
            <w:tcW w:w="0" w:type="auto"/>
            <w:gridSpan w:val="3"/>
            <w:shd w:val="clear" w:color="auto" w:fill="auto"/>
            <w:vAlign w:val="bottom"/>
          </w:tcPr>
          <w:p w14:paraId="392BF281" w14:textId="77777777" w:rsidR="00980E5F" w:rsidRDefault="00980E5F">
            <w:pPr>
              <w:rPr>
                <w:rFonts w:ascii="宋体"/>
                <w:vanish/>
              </w:rPr>
            </w:pPr>
          </w:p>
        </w:tc>
      </w:tr>
      <w:tr w:rsidR="00980E5F" w14:paraId="392BF296" w14:textId="77777777">
        <w:tc>
          <w:tcPr>
            <w:tcW w:w="0" w:type="auto"/>
            <w:gridSpan w:val="3"/>
            <w:shd w:val="clear" w:color="auto" w:fill="CCEEFF"/>
            <w:tcMar>
              <w:top w:w="40" w:type="dxa"/>
              <w:left w:w="20" w:type="dxa"/>
              <w:bottom w:w="40" w:type="dxa"/>
              <w:right w:w="20" w:type="dxa"/>
            </w:tcMar>
            <w:vAlign w:val="bottom"/>
          </w:tcPr>
          <w:p w14:paraId="392BF283" w14:textId="77777777" w:rsidR="00980E5F" w:rsidRDefault="00483613">
            <w:pPr>
              <w:textAlignment w:val="bottom"/>
            </w:pPr>
            <w:r>
              <w:rPr>
                <w:rFonts w:ascii="Arial" w:eastAsia="宋体" w:hAnsi="Arial" w:cs="Arial"/>
                <w:color w:val="000000"/>
                <w:sz w:val="15"/>
                <w:szCs w:val="15"/>
              </w:rPr>
              <w:t>Total fixed-income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84" w14:textId="77777777" w:rsidR="00980E5F" w:rsidRDefault="00483613">
            <w:pPr>
              <w:jc w:val="right"/>
              <w:textAlignment w:val="bottom"/>
            </w:pPr>
            <w:r>
              <w:rPr>
                <w:rFonts w:ascii="Arial" w:eastAsia="宋体" w:hAnsi="Arial" w:cs="Arial"/>
                <w:b/>
                <w:bCs/>
                <w:color w:val="000000"/>
                <w:sz w:val="15"/>
                <w:szCs w:val="15"/>
              </w:rPr>
              <w:t>550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8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87" w14:textId="77777777" w:rsidR="00980E5F" w:rsidRDefault="00483613">
            <w:pPr>
              <w:jc w:val="right"/>
              <w:textAlignment w:val="bottom"/>
            </w:pPr>
            <w:r>
              <w:rPr>
                <w:rFonts w:ascii="Arial" w:eastAsia="宋体" w:hAnsi="Arial" w:cs="Arial"/>
                <w:color w:val="000000"/>
                <w:sz w:val="15"/>
                <w:szCs w:val="15"/>
              </w:rPr>
              <w:t>623 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8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28A" w14:textId="77777777" w:rsidR="00980E5F" w:rsidRDefault="00483613">
            <w:pPr>
              <w:jc w:val="right"/>
              <w:textAlignment w:val="bottom"/>
            </w:pPr>
            <w:r>
              <w:rPr>
                <w:rFonts w:ascii="Arial" w:eastAsia="宋体" w:hAnsi="Arial" w:cs="Arial"/>
                <w:color w:val="000000"/>
                <w:sz w:val="15"/>
                <w:szCs w:val="15"/>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28B" w14:textId="77777777" w:rsidR="00980E5F" w:rsidRDefault="00980E5F">
            <w:pPr>
              <w:jc w:val="right"/>
              <w:rPr>
                <w:rFonts w:ascii="宋体"/>
              </w:rPr>
            </w:pPr>
          </w:p>
        </w:tc>
        <w:tc>
          <w:tcPr>
            <w:tcW w:w="0" w:type="auto"/>
            <w:shd w:val="clear" w:color="auto" w:fill="auto"/>
            <w:vAlign w:val="bottom"/>
          </w:tcPr>
          <w:p w14:paraId="392BF28C" w14:textId="77777777" w:rsidR="00980E5F" w:rsidRDefault="00980E5F">
            <w:pPr>
              <w:rPr>
                <w:rFonts w:ascii="宋体"/>
                <w:vanish/>
              </w:rPr>
            </w:pPr>
          </w:p>
        </w:tc>
        <w:tc>
          <w:tcPr>
            <w:tcW w:w="0" w:type="auto"/>
            <w:shd w:val="clear" w:color="auto" w:fill="auto"/>
            <w:vAlign w:val="bottom"/>
          </w:tcPr>
          <w:p w14:paraId="392BF28D" w14:textId="77777777" w:rsidR="00980E5F" w:rsidRDefault="00980E5F">
            <w:pPr>
              <w:rPr>
                <w:rFonts w:ascii="宋体"/>
                <w:vanish/>
              </w:rPr>
            </w:pPr>
          </w:p>
        </w:tc>
        <w:tc>
          <w:tcPr>
            <w:tcW w:w="0" w:type="auto"/>
            <w:gridSpan w:val="3"/>
            <w:shd w:val="clear" w:color="auto" w:fill="auto"/>
            <w:vAlign w:val="bottom"/>
          </w:tcPr>
          <w:p w14:paraId="392BF28E" w14:textId="77777777" w:rsidR="00980E5F" w:rsidRDefault="00980E5F">
            <w:pPr>
              <w:rPr>
                <w:rFonts w:ascii="宋体"/>
                <w:vanish/>
              </w:rPr>
            </w:pPr>
          </w:p>
        </w:tc>
        <w:tc>
          <w:tcPr>
            <w:tcW w:w="0" w:type="auto"/>
            <w:gridSpan w:val="3"/>
            <w:shd w:val="clear" w:color="auto" w:fill="auto"/>
            <w:vAlign w:val="bottom"/>
          </w:tcPr>
          <w:p w14:paraId="392BF28F" w14:textId="77777777" w:rsidR="00980E5F" w:rsidRDefault="00980E5F">
            <w:pPr>
              <w:rPr>
                <w:rFonts w:ascii="宋体"/>
                <w:vanish/>
              </w:rPr>
            </w:pPr>
          </w:p>
        </w:tc>
        <w:tc>
          <w:tcPr>
            <w:tcW w:w="0" w:type="auto"/>
            <w:gridSpan w:val="3"/>
            <w:shd w:val="clear" w:color="auto" w:fill="auto"/>
            <w:vAlign w:val="bottom"/>
          </w:tcPr>
          <w:p w14:paraId="392BF290" w14:textId="77777777" w:rsidR="00980E5F" w:rsidRDefault="00980E5F">
            <w:pPr>
              <w:rPr>
                <w:rFonts w:ascii="宋体"/>
                <w:vanish/>
              </w:rPr>
            </w:pPr>
          </w:p>
        </w:tc>
        <w:tc>
          <w:tcPr>
            <w:tcW w:w="0" w:type="auto"/>
            <w:gridSpan w:val="3"/>
            <w:shd w:val="clear" w:color="auto" w:fill="auto"/>
            <w:vAlign w:val="bottom"/>
          </w:tcPr>
          <w:p w14:paraId="392BF291" w14:textId="77777777" w:rsidR="00980E5F" w:rsidRDefault="00980E5F">
            <w:pPr>
              <w:rPr>
                <w:rFonts w:ascii="宋体"/>
                <w:vanish/>
              </w:rPr>
            </w:pPr>
          </w:p>
        </w:tc>
        <w:tc>
          <w:tcPr>
            <w:tcW w:w="0" w:type="auto"/>
            <w:gridSpan w:val="3"/>
            <w:shd w:val="clear" w:color="auto" w:fill="auto"/>
            <w:vAlign w:val="bottom"/>
          </w:tcPr>
          <w:p w14:paraId="392BF292" w14:textId="77777777" w:rsidR="00980E5F" w:rsidRDefault="00980E5F">
            <w:pPr>
              <w:rPr>
                <w:rFonts w:ascii="宋体"/>
                <w:vanish/>
              </w:rPr>
            </w:pPr>
          </w:p>
        </w:tc>
        <w:tc>
          <w:tcPr>
            <w:tcW w:w="0" w:type="auto"/>
            <w:gridSpan w:val="3"/>
            <w:shd w:val="clear" w:color="auto" w:fill="auto"/>
            <w:vAlign w:val="bottom"/>
          </w:tcPr>
          <w:p w14:paraId="392BF293" w14:textId="77777777" w:rsidR="00980E5F" w:rsidRDefault="00980E5F">
            <w:pPr>
              <w:rPr>
                <w:rFonts w:ascii="宋体"/>
                <w:vanish/>
              </w:rPr>
            </w:pPr>
          </w:p>
        </w:tc>
        <w:tc>
          <w:tcPr>
            <w:tcW w:w="0" w:type="auto"/>
            <w:gridSpan w:val="3"/>
            <w:shd w:val="clear" w:color="auto" w:fill="auto"/>
            <w:vAlign w:val="bottom"/>
          </w:tcPr>
          <w:p w14:paraId="392BF294" w14:textId="77777777" w:rsidR="00980E5F" w:rsidRDefault="00980E5F">
            <w:pPr>
              <w:rPr>
                <w:rFonts w:ascii="宋体"/>
                <w:vanish/>
              </w:rPr>
            </w:pPr>
          </w:p>
        </w:tc>
        <w:tc>
          <w:tcPr>
            <w:tcW w:w="0" w:type="auto"/>
            <w:gridSpan w:val="3"/>
            <w:shd w:val="clear" w:color="auto" w:fill="auto"/>
            <w:vAlign w:val="bottom"/>
          </w:tcPr>
          <w:p w14:paraId="392BF295" w14:textId="77777777" w:rsidR="00980E5F" w:rsidRDefault="00980E5F">
            <w:pPr>
              <w:rPr>
                <w:rFonts w:ascii="宋体"/>
                <w:vanish/>
              </w:rPr>
            </w:pPr>
          </w:p>
        </w:tc>
      </w:tr>
      <w:tr w:rsidR="00980E5F" w14:paraId="392BF2AA" w14:textId="77777777">
        <w:tc>
          <w:tcPr>
            <w:tcW w:w="0" w:type="auto"/>
            <w:gridSpan w:val="3"/>
            <w:shd w:val="clear" w:color="auto" w:fill="FFFFFF"/>
            <w:tcMar>
              <w:top w:w="40" w:type="dxa"/>
              <w:left w:w="20" w:type="dxa"/>
              <w:bottom w:w="40" w:type="dxa"/>
              <w:right w:w="20" w:type="dxa"/>
            </w:tcMar>
            <w:vAlign w:val="bottom"/>
          </w:tcPr>
          <w:p w14:paraId="392BF297" w14:textId="77777777" w:rsidR="00980E5F" w:rsidRDefault="00483613">
            <w:pPr>
              <w:textAlignment w:val="bottom"/>
            </w:pPr>
            <w:r>
              <w:rPr>
                <w:rFonts w:ascii="Arial" w:eastAsia="宋体" w:hAnsi="Arial" w:cs="Arial"/>
                <w:color w:val="000000"/>
                <w:sz w:val="15"/>
                <w:szCs w:val="15"/>
              </w:rPr>
              <w:t>Cash</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BF298" w14:textId="77777777" w:rsidR="00980E5F" w:rsidRDefault="00483613">
            <w:pPr>
              <w:jc w:val="right"/>
              <w:textAlignment w:val="bottom"/>
            </w:pPr>
            <w:r>
              <w:rPr>
                <w:rFonts w:ascii="Arial" w:eastAsia="宋体" w:hAnsi="Arial" w:cs="Arial"/>
                <w:b/>
                <w:bCs/>
                <w:color w:val="000000"/>
                <w:sz w:val="15"/>
                <w:szCs w:val="15"/>
              </w:rPr>
              <w:t>403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29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9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9B" w14:textId="77777777" w:rsidR="00980E5F" w:rsidRDefault="00483613">
            <w:pPr>
              <w:jc w:val="right"/>
              <w:textAlignment w:val="bottom"/>
            </w:pPr>
            <w:r>
              <w:rPr>
                <w:rFonts w:ascii="Arial" w:eastAsia="宋体" w:hAnsi="Arial" w:cs="Arial"/>
                <w:color w:val="000000"/>
                <w:sz w:val="15"/>
                <w:szCs w:val="15"/>
              </w:rPr>
              <w:t>368 </w:t>
            </w:r>
          </w:p>
        </w:tc>
        <w:tc>
          <w:tcPr>
            <w:tcW w:w="0" w:type="auto"/>
            <w:shd w:val="clear" w:color="auto" w:fill="FFFFFF"/>
            <w:tcMar>
              <w:top w:w="40" w:type="dxa"/>
              <w:left w:w="0" w:type="dxa"/>
              <w:bottom w:w="40" w:type="dxa"/>
              <w:right w:w="20" w:type="dxa"/>
            </w:tcMar>
            <w:vAlign w:val="bottom"/>
          </w:tcPr>
          <w:p w14:paraId="392BF2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9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9E" w14:textId="77777777" w:rsidR="00980E5F" w:rsidRDefault="00483613">
            <w:pPr>
              <w:jc w:val="right"/>
              <w:textAlignment w:val="bottom"/>
            </w:pPr>
            <w:r>
              <w:rPr>
                <w:rFonts w:ascii="Arial" w:eastAsia="宋体" w:hAnsi="Arial" w:cs="Arial"/>
                <w:color w:val="000000"/>
                <w:sz w:val="15"/>
                <w:szCs w:val="15"/>
              </w:rPr>
              <w:t>381 </w:t>
            </w:r>
          </w:p>
        </w:tc>
        <w:tc>
          <w:tcPr>
            <w:tcW w:w="0" w:type="auto"/>
            <w:shd w:val="clear" w:color="auto" w:fill="FFFFFF"/>
            <w:tcMar>
              <w:top w:w="40" w:type="dxa"/>
              <w:left w:w="0" w:type="dxa"/>
              <w:bottom w:w="40" w:type="dxa"/>
              <w:right w:w="20" w:type="dxa"/>
            </w:tcMar>
            <w:vAlign w:val="bottom"/>
          </w:tcPr>
          <w:p w14:paraId="392BF29F" w14:textId="77777777" w:rsidR="00980E5F" w:rsidRDefault="00980E5F">
            <w:pPr>
              <w:jc w:val="right"/>
              <w:rPr>
                <w:rFonts w:ascii="宋体"/>
              </w:rPr>
            </w:pPr>
          </w:p>
        </w:tc>
        <w:tc>
          <w:tcPr>
            <w:tcW w:w="0" w:type="auto"/>
            <w:shd w:val="clear" w:color="auto" w:fill="auto"/>
            <w:vAlign w:val="bottom"/>
          </w:tcPr>
          <w:p w14:paraId="392BF2A0" w14:textId="77777777" w:rsidR="00980E5F" w:rsidRDefault="00980E5F">
            <w:pPr>
              <w:rPr>
                <w:rFonts w:ascii="宋体"/>
                <w:vanish/>
              </w:rPr>
            </w:pPr>
          </w:p>
        </w:tc>
        <w:tc>
          <w:tcPr>
            <w:tcW w:w="0" w:type="auto"/>
            <w:shd w:val="clear" w:color="auto" w:fill="auto"/>
            <w:vAlign w:val="bottom"/>
          </w:tcPr>
          <w:p w14:paraId="392BF2A1" w14:textId="77777777" w:rsidR="00980E5F" w:rsidRDefault="00980E5F">
            <w:pPr>
              <w:rPr>
                <w:rFonts w:ascii="宋体"/>
                <w:vanish/>
              </w:rPr>
            </w:pPr>
          </w:p>
        </w:tc>
        <w:tc>
          <w:tcPr>
            <w:tcW w:w="0" w:type="auto"/>
            <w:gridSpan w:val="3"/>
            <w:shd w:val="clear" w:color="auto" w:fill="auto"/>
            <w:vAlign w:val="bottom"/>
          </w:tcPr>
          <w:p w14:paraId="392BF2A2" w14:textId="77777777" w:rsidR="00980E5F" w:rsidRDefault="00980E5F">
            <w:pPr>
              <w:rPr>
                <w:rFonts w:ascii="宋体"/>
                <w:vanish/>
              </w:rPr>
            </w:pPr>
          </w:p>
        </w:tc>
        <w:tc>
          <w:tcPr>
            <w:tcW w:w="0" w:type="auto"/>
            <w:gridSpan w:val="3"/>
            <w:shd w:val="clear" w:color="auto" w:fill="auto"/>
            <w:vAlign w:val="bottom"/>
          </w:tcPr>
          <w:p w14:paraId="392BF2A3" w14:textId="77777777" w:rsidR="00980E5F" w:rsidRDefault="00980E5F">
            <w:pPr>
              <w:rPr>
                <w:rFonts w:ascii="宋体"/>
                <w:vanish/>
              </w:rPr>
            </w:pPr>
          </w:p>
        </w:tc>
        <w:tc>
          <w:tcPr>
            <w:tcW w:w="0" w:type="auto"/>
            <w:gridSpan w:val="3"/>
            <w:shd w:val="clear" w:color="auto" w:fill="auto"/>
            <w:vAlign w:val="bottom"/>
          </w:tcPr>
          <w:p w14:paraId="392BF2A4" w14:textId="77777777" w:rsidR="00980E5F" w:rsidRDefault="00980E5F">
            <w:pPr>
              <w:rPr>
                <w:rFonts w:ascii="宋体"/>
                <w:vanish/>
              </w:rPr>
            </w:pPr>
          </w:p>
        </w:tc>
        <w:tc>
          <w:tcPr>
            <w:tcW w:w="0" w:type="auto"/>
            <w:gridSpan w:val="3"/>
            <w:shd w:val="clear" w:color="auto" w:fill="auto"/>
            <w:vAlign w:val="bottom"/>
          </w:tcPr>
          <w:p w14:paraId="392BF2A5" w14:textId="77777777" w:rsidR="00980E5F" w:rsidRDefault="00980E5F">
            <w:pPr>
              <w:rPr>
                <w:rFonts w:ascii="宋体"/>
                <w:vanish/>
              </w:rPr>
            </w:pPr>
          </w:p>
        </w:tc>
        <w:tc>
          <w:tcPr>
            <w:tcW w:w="0" w:type="auto"/>
            <w:gridSpan w:val="3"/>
            <w:shd w:val="clear" w:color="auto" w:fill="auto"/>
            <w:vAlign w:val="bottom"/>
          </w:tcPr>
          <w:p w14:paraId="392BF2A6" w14:textId="77777777" w:rsidR="00980E5F" w:rsidRDefault="00980E5F">
            <w:pPr>
              <w:rPr>
                <w:rFonts w:ascii="宋体"/>
                <w:vanish/>
              </w:rPr>
            </w:pPr>
          </w:p>
        </w:tc>
        <w:tc>
          <w:tcPr>
            <w:tcW w:w="0" w:type="auto"/>
            <w:gridSpan w:val="3"/>
            <w:shd w:val="clear" w:color="auto" w:fill="auto"/>
            <w:vAlign w:val="bottom"/>
          </w:tcPr>
          <w:p w14:paraId="392BF2A7" w14:textId="77777777" w:rsidR="00980E5F" w:rsidRDefault="00980E5F">
            <w:pPr>
              <w:rPr>
                <w:rFonts w:ascii="宋体"/>
                <w:vanish/>
              </w:rPr>
            </w:pPr>
          </w:p>
        </w:tc>
        <w:tc>
          <w:tcPr>
            <w:tcW w:w="0" w:type="auto"/>
            <w:gridSpan w:val="3"/>
            <w:shd w:val="clear" w:color="auto" w:fill="auto"/>
            <w:vAlign w:val="bottom"/>
          </w:tcPr>
          <w:p w14:paraId="392BF2A8" w14:textId="77777777" w:rsidR="00980E5F" w:rsidRDefault="00980E5F">
            <w:pPr>
              <w:rPr>
                <w:rFonts w:ascii="宋体"/>
                <w:vanish/>
              </w:rPr>
            </w:pPr>
          </w:p>
        </w:tc>
        <w:tc>
          <w:tcPr>
            <w:tcW w:w="0" w:type="auto"/>
            <w:gridSpan w:val="3"/>
            <w:shd w:val="clear" w:color="auto" w:fill="auto"/>
            <w:vAlign w:val="bottom"/>
          </w:tcPr>
          <w:p w14:paraId="392BF2A9" w14:textId="77777777" w:rsidR="00980E5F" w:rsidRDefault="00980E5F">
            <w:pPr>
              <w:rPr>
                <w:rFonts w:ascii="宋体"/>
                <w:vanish/>
              </w:rPr>
            </w:pPr>
          </w:p>
        </w:tc>
      </w:tr>
      <w:tr w:rsidR="00980E5F" w14:paraId="392BF2C6" w14:textId="77777777">
        <w:tc>
          <w:tcPr>
            <w:tcW w:w="0" w:type="auto"/>
            <w:gridSpan w:val="18"/>
            <w:shd w:val="clear" w:color="auto" w:fill="CCEEFF"/>
            <w:tcMar>
              <w:top w:w="40" w:type="dxa"/>
              <w:left w:w="20" w:type="dxa"/>
              <w:bottom w:w="40" w:type="dxa"/>
              <w:right w:w="20" w:type="dxa"/>
            </w:tcMar>
            <w:vAlign w:val="bottom"/>
          </w:tcPr>
          <w:p w14:paraId="392BF2AB" w14:textId="77777777" w:rsidR="00980E5F" w:rsidRDefault="00483613">
            <w:pPr>
              <w:textAlignment w:val="bottom"/>
            </w:pPr>
            <w:r>
              <w:rPr>
                <w:rFonts w:ascii="Arial" w:eastAsia="宋体" w:hAnsi="Arial" w:cs="Arial"/>
                <w:color w:val="000000"/>
                <w:sz w:val="15"/>
                <w:szCs w:val="15"/>
              </w:rPr>
              <w:t>Multi-asset-class solutions:</w:t>
            </w:r>
          </w:p>
        </w:tc>
        <w:tc>
          <w:tcPr>
            <w:tcW w:w="0" w:type="auto"/>
            <w:shd w:val="clear" w:color="auto" w:fill="auto"/>
            <w:vAlign w:val="bottom"/>
          </w:tcPr>
          <w:p w14:paraId="392BF2AC" w14:textId="77777777" w:rsidR="00980E5F" w:rsidRDefault="00980E5F">
            <w:pPr>
              <w:rPr>
                <w:rFonts w:ascii="宋体"/>
                <w:vanish/>
              </w:rPr>
            </w:pPr>
          </w:p>
        </w:tc>
        <w:tc>
          <w:tcPr>
            <w:tcW w:w="0" w:type="auto"/>
            <w:shd w:val="clear" w:color="auto" w:fill="auto"/>
            <w:vAlign w:val="bottom"/>
          </w:tcPr>
          <w:p w14:paraId="392BF2AD" w14:textId="77777777" w:rsidR="00980E5F" w:rsidRDefault="00980E5F">
            <w:pPr>
              <w:rPr>
                <w:rFonts w:ascii="宋体"/>
                <w:vanish/>
              </w:rPr>
            </w:pPr>
          </w:p>
        </w:tc>
        <w:tc>
          <w:tcPr>
            <w:tcW w:w="0" w:type="auto"/>
            <w:shd w:val="clear" w:color="auto" w:fill="auto"/>
            <w:vAlign w:val="bottom"/>
          </w:tcPr>
          <w:p w14:paraId="392BF2AE" w14:textId="77777777" w:rsidR="00980E5F" w:rsidRDefault="00980E5F">
            <w:pPr>
              <w:rPr>
                <w:rFonts w:ascii="宋体"/>
              </w:rPr>
            </w:pPr>
          </w:p>
        </w:tc>
        <w:tc>
          <w:tcPr>
            <w:tcW w:w="0" w:type="auto"/>
            <w:shd w:val="clear" w:color="auto" w:fill="auto"/>
            <w:vAlign w:val="bottom"/>
          </w:tcPr>
          <w:p w14:paraId="392BF2AF" w14:textId="77777777" w:rsidR="00980E5F" w:rsidRDefault="00980E5F">
            <w:pPr>
              <w:rPr>
                <w:rFonts w:ascii="宋体"/>
              </w:rPr>
            </w:pPr>
          </w:p>
        </w:tc>
        <w:tc>
          <w:tcPr>
            <w:tcW w:w="0" w:type="auto"/>
            <w:shd w:val="clear" w:color="auto" w:fill="auto"/>
            <w:vAlign w:val="bottom"/>
          </w:tcPr>
          <w:p w14:paraId="392BF2B0" w14:textId="77777777" w:rsidR="00980E5F" w:rsidRDefault="00980E5F">
            <w:pPr>
              <w:rPr>
                <w:rFonts w:ascii="宋体"/>
              </w:rPr>
            </w:pPr>
          </w:p>
        </w:tc>
        <w:tc>
          <w:tcPr>
            <w:tcW w:w="0" w:type="auto"/>
            <w:shd w:val="clear" w:color="auto" w:fill="auto"/>
            <w:vAlign w:val="bottom"/>
          </w:tcPr>
          <w:p w14:paraId="392BF2B1" w14:textId="77777777" w:rsidR="00980E5F" w:rsidRDefault="00980E5F">
            <w:pPr>
              <w:rPr>
                <w:rFonts w:ascii="宋体"/>
              </w:rPr>
            </w:pPr>
          </w:p>
        </w:tc>
        <w:tc>
          <w:tcPr>
            <w:tcW w:w="0" w:type="auto"/>
            <w:shd w:val="clear" w:color="auto" w:fill="auto"/>
            <w:vAlign w:val="bottom"/>
          </w:tcPr>
          <w:p w14:paraId="392BF2B2" w14:textId="77777777" w:rsidR="00980E5F" w:rsidRDefault="00980E5F">
            <w:pPr>
              <w:rPr>
                <w:rFonts w:ascii="宋体"/>
              </w:rPr>
            </w:pPr>
          </w:p>
        </w:tc>
        <w:tc>
          <w:tcPr>
            <w:tcW w:w="0" w:type="auto"/>
            <w:shd w:val="clear" w:color="auto" w:fill="auto"/>
            <w:vAlign w:val="bottom"/>
          </w:tcPr>
          <w:p w14:paraId="392BF2B3" w14:textId="77777777" w:rsidR="00980E5F" w:rsidRDefault="00980E5F">
            <w:pPr>
              <w:rPr>
                <w:rFonts w:ascii="宋体"/>
              </w:rPr>
            </w:pPr>
          </w:p>
        </w:tc>
        <w:tc>
          <w:tcPr>
            <w:tcW w:w="0" w:type="auto"/>
            <w:shd w:val="clear" w:color="auto" w:fill="auto"/>
            <w:vAlign w:val="bottom"/>
          </w:tcPr>
          <w:p w14:paraId="392BF2B4" w14:textId="77777777" w:rsidR="00980E5F" w:rsidRDefault="00980E5F">
            <w:pPr>
              <w:rPr>
                <w:rFonts w:ascii="宋体"/>
              </w:rPr>
            </w:pPr>
          </w:p>
        </w:tc>
        <w:tc>
          <w:tcPr>
            <w:tcW w:w="0" w:type="auto"/>
            <w:shd w:val="clear" w:color="auto" w:fill="auto"/>
            <w:vAlign w:val="bottom"/>
          </w:tcPr>
          <w:p w14:paraId="392BF2B5" w14:textId="77777777" w:rsidR="00980E5F" w:rsidRDefault="00980E5F">
            <w:pPr>
              <w:rPr>
                <w:rFonts w:ascii="宋体"/>
              </w:rPr>
            </w:pPr>
          </w:p>
        </w:tc>
        <w:tc>
          <w:tcPr>
            <w:tcW w:w="0" w:type="auto"/>
            <w:shd w:val="clear" w:color="auto" w:fill="auto"/>
            <w:vAlign w:val="bottom"/>
          </w:tcPr>
          <w:p w14:paraId="392BF2B6" w14:textId="77777777" w:rsidR="00980E5F" w:rsidRDefault="00980E5F">
            <w:pPr>
              <w:rPr>
                <w:rFonts w:ascii="宋体"/>
              </w:rPr>
            </w:pPr>
          </w:p>
        </w:tc>
        <w:tc>
          <w:tcPr>
            <w:tcW w:w="0" w:type="auto"/>
            <w:shd w:val="clear" w:color="auto" w:fill="auto"/>
            <w:vAlign w:val="bottom"/>
          </w:tcPr>
          <w:p w14:paraId="392BF2B7" w14:textId="77777777" w:rsidR="00980E5F" w:rsidRDefault="00980E5F">
            <w:pPr>
              <w:rPr>
                <w:rFonts w:ascii="宋体"/>
              </w:rPr>
            </w:pPr>
          </w:p>
        </w:tc>
        <w:tc>
          <w:tcPr>
            <w:tcW w:w="0" w:type="auto"/>
            <w:shd w:val="clear" w:color="auto" w:fill="auto"/>
            <w:vAlign w:val="bottom"/>
          </w:tcPr>
          <w:p w14:paraId="392BF2B8" w14:textId="77777777" w:rsidR="00980E5F" w:rsidRDefault="00980E5F">
            <w:pPr>
              <w:rPr>
                <w:rFonts w:ascii="宋体"/>
              </w:rPr>
            </w:pPr>
          </w:p>
        </w:tc>
        <w:tc>
          <w:tcPr>
            <w:tcW w:w="0" w:type="auto"/>
            <w:shd w:val="clear" w:color="auto" w:fill="auto"/>
            <w:vAlign w:val="bottom"/>
          </w:tcPr>
          <w:p w14:paraId="392BF2B9" w14:textId="77777777" w:rsidR="00980E5F" w:rsidRDefault="00980E5F">
            <w:pPr>
              <w:rPr>
                <w:rFonts w:ascii="宋体"/>
              </w:rPr>
            </w:pPr>
          </w:p>
        </w:tc>
        <w:tc>
          <w:tcPr>
            <w:tcW w:w="0" w:type="auto"/>
            <w:shd w:val="clear" w:color="auto" w:fill="auto"/>
            <w:vAlign w:val="bottom"/>
          </w:tcPr>
          <w:p w14:paraId="392BF2BA" w14:textId="77777777" w:rsidR="00980E5F" w:rsidRDefault="00980E5F">
            <w:pPr>
              <w:rPr>
                <w:rFonts w:ascii="宋体"/>
              </w:rPr>
            </w:pPr>
          </w:p>
        </w:tc>
        <w:tc>
          <w:tcPr>
            <w:tcW w:w="0" w:type="auto"/>
            <w:shd w:val="clear" w:color="auto" w:fill="auto"/>
            <w:vAlign w:val="bottom"/>
          </w:tcPr>
          <w:p w14:paraId="392BF2BB" w14:textId="77777777" w:rsidR="00980E5F" w:rsidRDefault="00980E5F">
            <w:pPr>
              <w:rPr>
                <w:rFonts w:ascii="宋体"/>
              </w:rPr>
            </w:pPr>
          </w:p>
        </w:tc>
        <w:tc>
          <w:tcPr>
            <w:tcW w:w="0" w:type="auto"/>
            <w:shd w:val="clear" w:color="auto" w:fill="auto"/>
            <w:vAlign w:val="bottom"/>
          </w:tcPr>
          <w:p w14:paraId="392BF2BC" w14:textId="77777777" w:rsidR="00980E5F" w:rsidRDefault="00980E5F">
            <w:pPr>
              <w:rPr>
                <w:rFonts w:ascii="宋体"/>
              </w:rPr>
            </w:pPr>
          </w:p>
        </w:tc>
        <w:tc>
          <w:tcPr>
            <w:tcW w:w="0" w:type="auto"/>
            <w:shd w:val="clear" w:color="auto" w:fill="auto"/>
            <w:vAlign w:val="bottom"/>
          </w:tcPr>
          <w:p w14:paraId="392BF2BD" w14:textId="77777777" w:rsidR="00980E5F" w:rsidRDefault="00980E5F">
            <w:pPr>
              <w:rPr>
                <w:rFonts w:ascii="宋体"/>
              </w:rPr>
            </w:pPr>
          </w:p>
        </w:tc>
        <w:tc>
          <w:tcPr>
            <w:tcW w:w="0" w:type="auto"/>
            <w:shd w:val="clear" w:color="auto" w:fill="auto"/>
            <w:vAlign w:val="bottom"/>
          </w:tcPr>
          <w:p w14:paraId="392BF2BE" w14:textId="77777777" w:rsidR="00980E5F" w:rsidRDefault="00980E5F">
            <w:pPr>
              <w:rPr>
                <w:rFonts w:ascii="宋体"/>
              </w:rPr>
            </w:pPr>
          </w:p>
        </w:tc>
        <w:tc>
          <w:tcPr>
            <w:tcW w:w="0" w:type="auto"/>
            <w:shd w:val="clear" w:color="auto" w:fill="auto"/>
            <w:vAlign w:val="bottom"/>
          </w:tcPr>
          <w:p w14:paraId="392BF2BF" w14:textId="77777777" w:rsidR="00980E5F" w:rsidRDefault="00980E5F">
            <w:pPr>
              <w:rPr>
                <w:rFonts w:ascii="宋体"/>
              </w:rPr>
            </w:pPr>
          </w:p>
        </w:tc>
        <w:tc>
          <w:tcPr>
            <w:tcW w:w="0" w:type="auto"/>
            <w:shd w:val="clear" w:color="auto" w:fill="auto"/>
            <w:vAlign w:val="bottom"/>
          </w:tcPr>
          <w:p w14:paraId="392BF2C0" w14:textId="77777777" w:rsidR="00980E5F" w:rsidRDefault="00980E5F">
            <w:pPr>
              <w:rPr>
                <w:rFonts w:ascii="宋体"/>
              </w:rPr>
            </w:pPr>
          </w:p>
        </w:tc>
        <w:tc>
          <w:tcPr>
            <w:tcW w:w="0" w:type="auto"/>
            <w:shd w:val="clear" w:color="auto" w:fill="auto"/>
            <w:vAlign w:val="bottom"/>
          </w:tcPr>
          <w:p w14:paraId="392BF2C1" w14:textId="77777777" w:rsidR="00980E5F" w:rsidRDefault="00980E5F">
            <w:pPr>
              <w:rPr>
                <w:rFonts w:ascii="宋体"/>
              </w:rPr>
            </w:pPr>
          </w:p>
        </w:tc>
        <w:tc>
          <w:tcPr>
            <w:tcW w:w="0" w:type="auto"/>
            <w:shd w:val="clear" w:color="auto" w:fill="auto"/>
            <w:vAlign w:val="bottom"/>
          </w:tcPr>
          <w:p w14:paraId="392BF2C2" w14:textId="77777777" w:rsidR="00980E5F" w:rsidRDefault="00980E5F">
            <w:pPr>
              <w:rPr>
                <w:rFonts w:ascii="宋体"/>
              </w:rPr>
            </w:pPr>
          </w:p>
        </w:tc>
        <w:tc>
          <w:tcPr>
            <w:tcW w:w="0" w:type="auto"/>
            <w:shd w:val="clear" w:color="auto" w:fill="auto"/>
            <w:vAlign w:val="bottom"/>
          </w:tcPr>
          <w:p w14:paraId="392BF2C3" w14:textId="77777777" w:rsidR="00980E5F" w:rsidRDefault="00980E5F">
            <w:pPr>
              <w:rPr>
                <w:rFonts w:ascii="宋体"/>
              </w:rPr>
            </w:pPr>
          </w:p>
        </w:tc>
        <w:tc>
          <w:tcPr>
            <w:tcW w:w="0" w:type="auto"/>
            <w:shd w:val="clear" w:color="auto" w:fill="auto"/>
            <w:vAlign w:val="bottom"/>
          </w:tcPr>
          <w:p w14:paraId="392BF2C4" w14:textId="77777777" w:rsidR="00980E5F" w:rsidRDefault="00980E5F">
            <w:pPr>
              <w:rPr>
                <w:rFonts w:ascii="宋体"/>
              </w:rPr>
            </w:pPr>
          </w:p>
        </w:tc>
        <w:tc>
          <w:tcPr>
            <w:tcW w:w="0" w:type="auto"/>
            <w:shd w:val="clear" w:color="auto" w:fill="auto"/>
            <w:vAlign w:val="bottom"/>
          </w:tcPr>
          <w:p w14:paraId="392BF2C5" w14:textId="77777777" w:rsidR="00980E5F" w:rsidRDefault="00980E5F">
            <w:pPr>
              <w:rPr>
                <w:rFonts w:ascii="宋体"/>
              </w:rPr>
            </w:pPr>
          </w:p>
        </w:tc>
      </w:tr>
      <w:tr w:rsidR="00980E5F" w14:paraId="392BF2DA" w14:textId="77777777">
        <w:tc>
          <w:tcPr>
            <w:tcW w:w="0" w:type="auto"/>
            <w:gridSpan w:val="3"/>
            <w:shd w:val="clear" w:color="auto" w:fill="FFFFFF"/>
            <w:tcMar>
              <w:top w:w="40" w:type="dxa"/>
              <w:left w:w="20" w:type="dxa"/>
              <w:bottom w:w="40" w:type="dxa"/>
              <w:right w:w="20" w:type="dxa"/>
            </w:tcMar>
            <w:vAlign w:val="bottom"/>
          </w:tcPr>
          <w:p w14:paraId="392BF2C7" w14:textId="77777777" w:rsidR="00980E5F" w:rsidRDefault="00483613">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392BF2C8" w14:textId="77777777" w:rsidR="00980E5F" w:rsidRDefault="00483613">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2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CB" w14:textId="77777777" w:rsidR="00980E5F" w:rsidRDefault="00483613">
            <w:pPr>
              <w:jc w:val="right"/>
              <w:textAlignment w:val="bottom"/>
            </w:pPr>
            <w:r>
              <w:rPr>
                <w:rFonts w:ascii="Arial" w:eastAsia="宋体" w:hAnsi="Arial" w:cs="Arial"/>
                <w:color w:val="000000"/>
                <w:sz w:val="15"/>
                <w:szCs w:val="15"/>
              </w:rPr>
              <w:t>34 </w:t>
            </w:r>
          </w:p>
        </w:tc>
        <w:tc>
          <w:tcPr>
            <w:tcW w:w="0" w:type="auto"/>
            <w:shd w:val="clear" w:color="auto" w:fill="FFFFFF"/>
            <w:tcMar>
              <w:top w:w="40" w:type="dxa"/>
              <w:left w:w="0" w:type="dxa"/>
              <w:bottom w:w="40" w:type="dxa"/>
              <w:right w:w="20" w:type="dxa"/>
            </w:tcMar>
            <w:vAlign w:val="bottom"/>
          </w:tcPr>
          <w:p w14:paraId="392BF2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2CE" w14:textId="77777777" w:rsidR="00980E5F" w:rsidRDefault="00483613">
            <w:pPr>
              <w:jc w:val="right"/>
              <w:textAlignment w:val="bottom"/>
            </w:pPr>
            <w:r>
              <w:rPr>
                <w:rFonts w:ascii="Arial" w:eastAsia="宋体" w:hAnsi="Arial" w:cs="Arial"/>
                <w:color w:val="000000"/>
                <w:sz w:val="15"/>
                <w:szCs w:val="15"/>
              </w:rPr>
              <w:t>35 </w:t>
            </w:r>
          </w:p>
        </w:tc>
        <w:tc>
          <w:tcPr>
            <w:tcW w:w="0" w:type="auto"/>
            <w:shd w:val="clear" w:color="auto" w:fill="FFFFFF"/>
            <w:tcMar>
              <w:top w:w="40" w:type="dxa"/>
              <w:left w:w="0" w:type="dxa"/>
              <w:bottom w:w="40" w:type="dxa"/>
              <w:right w:w="20" w:type="dxa"/>
            </w:tcMar>
            <w:vAlign w:val="bottom"/>
          </w:tcPr>
          <w:p w14:paraId="392BF2CF" w14:textId="77777777" w:rsidR="00980E5F" w:rsidRDefault="00980E5F">
            <w:pPr>
              <w:jc w:val="right"/>
              <w:rPr>
                <w:rFonts w:ascii="宋体"/>
              </w:rPr>
            </w:pPr>
          </w:p>
        </w:tc>
        <w:tc>
          <w:tcPr>
            <w:tcW w:w="0" w:type="auto"/>
            <w:shd w:val="clear" w:color="auto" w:fill="auto"/>
            <w:vAlign w:val="bottom"/>
          </w:tcPr>
          <w:p w14:paraId="392BF2D0" w14:textId="77777777" w:rsidR="00980E5F" w:rsidRDefault="00980E5F">
            <w:pPr>
              <w:rPr>
                <w:rFonts w:ascii="宋体"/>
                <w:vanish/>
              </w:rPr>
            </w:pPr>
          </w:p>
        </w:tc>
        <w:tc>
          <w:tcPr>
            <w:tcW w:w="0" w:type="auto"/>
            <w:shd w:val="clear" w:color="auto" w:fill="auto"/>
            <w:vAlign w:val="bottom"/>
          </w:tcPr>
          <w:p w14:paraId="392BF2D1" w14:textId="77777777" w:rsidR="00980E5F" w:rsidRDefault="00980E5F">
            <w:pPr>
              <w:rPr>
                <w:rFonts w:ascii="宋体"/>
                <w:vanish/>
              </w:rPr>
            </w:pPr>
          </w:p>
        </w:tc>
        <w:tc>
          <w:tcPr>
            <w:tcW w:w="0" w:type="auto"/>
            <w:gridSpan w:val="3"/>
            <w:shd w:val="clear" w:color="auto" w:fill="auto"/>
            <w:vAlign w:val="bottom"/>
          </w:tcPr>
          <w:p w14:paraId="392BF2D2" w14:textId="77777777" w:rsidR="00980E5F" w:rsidRDefault="00980E5F">
            <w:pPr>
              <w:rPr>
                <w:rFonts w:ascii="宋体"/>
                <w:vanish/>
              </w:rPr>
            </w:pPr>
          </w:p>
        </w:tc>
        <w:tc>
          <w:tcPr>
            <w:tcW w:w="0" w:type="auto"/>
            <w:gridSpan w:val="3"/>
            <w:shd w:val="clear" w:color="auto" w:fill="auto"/>
            <w:vAlign w:val="bottom"/>
          </w:tcPr>
          <w:p w14:paraId="392BF2D3" w14:textId="77777777" w:rsidR="00980E5F" w:rsidRDefault="00980E5F">
            <w:pPr>
              <w:rPr>
                <w:rFonts w:ascii="宋体"/>
                <w:vanish/>
              </w:rPr>
            </w:pPr>
          </w:p>
        </w:tc>
        <w:tc>
          <w:tcPr>
            <w:tcW w:w="0" w:type="auto"/>
            <w:gridSpan w:val="3"/>
            <w:shd w:val="clear" w:color="auto" w:fill="auto"/>
            <w:vAlign w:val="bottom"/>
          </w:tcPr>
          <w:p w14:paraId="392BF2D4" w14:textId="77777777" w:rsidR="00980E5F" w:rsidRDefault="00980E5F">
            <w:pPr>
              <w:rPr>
                <w:rFonts w:ascii="宋体"/>
                <w:vanish/>
              </w:rPr>
            </w:pPr>
          </w:p>
        </w:tc>
        <w:tc>
          <w:tcPr>
            <w:tcW w:w="0" w:type="auto"/>
            <w:gridSpan w:val="3"/>
            <w:shd w:val="clear" w:color="auto" w:fill="auto"/>
            <w:vAlign w:val="bottom"/>
          </w:tcPr>
          <w:p w14:paraId="392BF2D5" w14:textId="77777777" w:rsidR="00980E5F" w:rsidRDefault="00980E5F">
            <w:pPr>
              <w:rPr>
                <w:rFonts w:ascii="宋体"/>
                <w:vanish/>
              </w:rPr>
            </w:pPr>
          </w:p>
        </w:tc>
        <w:tc>
          <w:tcPr>
            <w:tcW w:w="0" w:type="auto"/>
            <w:gridSpan w:val="3"/>
            <w:shd w:val="clear" w:color="auto" w:fill="auto"/>
            <w:vAlign w:val="bottom"/>
          </w:tcPr>
          <w:p w14:paraId="392BF2D6" w14:textId="77777777" w:rsidR="00980E5F" w:rsidRDefault="00980E5F">
            <w:pPr>
              <w:rPr>
                <w:rFonts w:ascii="宋体"/>
                <w:vanish/>
              </w:rPr>
            </w:pPr>
          </w:p>
        </w:tc>
        <w:tc>
          <w:tcPr>
            <w:tcW w:w="0" w:type="auto"/>
            <w:gridSpan w:val="3"/>
            <w:shd w:val="clear" w:color="auto" w:fill="auto"/>
            <w:vAlign w:val="bottom"/>
          </w:tcPr>
          <w:p w14:paraId="392BF2D7" w14:textId="77777777" w:rsidR="00980E5F" w:rsidRDefault="00980E5F">
            <w:pPr>
              <w:rPr>
                <w:rFonts w:ascii="宋体"/>
                <w:vanish/>
              </w:rPr>
            </w:pPr>
          </w:p>
        </w:tc>
        <w:tc>
          <w:tcPr>
            <w:tcW w:w="0" w:type="auto"/>
            <w:gridSpan w:val="3"/>
            <w:shd w:val="clear" w:color="auto" w:fill="auto"/>
            <w:vAlign w:val="bottom"/>
          </w:tcPr>
          <w:p w14:paraId="392BF2D8" w14:textId="77777777" w:rsidR="00980E5F" w:rsidRDefault="00980E5F">
            <w:pPr>
              <w:rPr>
                <w:rFonts w:ascii="宋体"/>
                <w:vanish/>
              </w:rPr>
            </w:pPr>
          </w:p>
        </w:tc>
        <w:tc>
          <w:tcPr>
            <w:tcW w:w="0" w:type="auto"/>
            <w:gridSpan w:val="3"/>
            <w:shd w:val="clear" w:color="auto" w:fill="auto"/>
            <w:vAlign w:val="bottom"/>
          </w:tcPr>
          <w:p w14:paraId="392BF2D9" w14:textId="77777777" w:rsidR="00980E5F" w:rsidRDefault="00980E5F">
            <w:pPr>
              <w:rPr>
                <w:rFonts w:ascii="宋体"/>
                <w:vanish/>
              </w:rPr>
            </w:pPr>
          </w:p>
        </w:tc>
      </w:tr>
      <w:tr w:rsidR="00980E5F" w14:paraId="392BF2EE" w14:textId="77777777">
        <w:tc>
          <w:tcPr>
            <w:tcW w:w="0" w:type="auto"/>
            <w:gridSpan w:val="3"/>
            <w:shd w:val="clear" w:color="auto" w:fill="CCEEFF"/>
            <w:tcMar>
              <w:top w:w="40" w:type="dxa"/>
              <w:left w:w="20" w:type="dxa"/>
              <w:bottom w:w="40" w:type="dxa"/>
              <w:right w:w="20" w:type="dxa"/>
            </w:tcMar>
            <w:vAlign w:val="bottom"/>
          </w:tcPr>
          <w:p w14:paraId="392BF2DB" w14:textId="77777777" w:rsidR="00980E5F" w:rsidRDefault="00483613">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392BF2DC" w14:textId="77777777" w:rsidR="00980E5F" w:rsidRDefault="00483613">
            <w:pPr>
              <w:jc w:val="right"/>
              <w:textAlignment w:val="bottom"/>
            </w:pPr>
            <w:r>
              <w:rPr>
                <w:rFonts w:ascii="Arial" w:eastAsia="宋体" w:hAnsi="Arial" w:cs="Arial"/>
                <w:b/>
                <w:bCs/>
                <w:color w:val="000000"/>
                <w:sz w:val="15"/>
                <w:szCs w:val="15"/>
              </w:rPr>
              <w:t>173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2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D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2DF" w14:textId="77777777" w:rsidR="00980E5F" w:rsidRDefault="00483613">
            <w:pPr>
              <w:jc w:val="right"/>
              <w:textAlignment w:val="bottom"/>
            </w:pPr>
            <w:r>
              <w:rPr>
                <w:rFonts w:ascii="Arial" w:eastAsia="宋体" w:hAnsi="Arial" w:cs="Arial"/>
                <w:color w:val="000000"/>
                <w:sz w:val="15"/>
                <w:szCs w:val="15"/>
              </w:rPr>
              <w:t>188 </w:t>
            </w:r>
          </w:p>
        </w:tc>
        <w:tc>
          <w:tcPr>
            <w:tcW w:w="0" w:type="auto"/>
            <w:shd w:val="clear" w:color="auto" w:fill="CCEEFF"/>
            <w:tcMar>
              <w:top w:w="40" w:type="dxa"/>
              <w:left w:w="0" w:type="dxa"/>
              <w:bottom w:w="40" w:type="dxa"/>
              <w:right w:w="20" w:type="dxa"/>
            </w:tcMar>
            <w:vAlign w:val="bottom"/>
          </w:tcPr>
          <w:p w14:paraId="392BF2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2E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2E2" w14:textId="77777777" w:rsidR="00980E5F" w:rsidRDefault="00483613">
            <w:pPr>
              <w:jc w:val="right"/>
              <w:textAlignment w:val="bottom"/>
            </w:pPr>
            <w:r>
              <w:rPr>
                <w:rFonts w:ascii="Arial" w:eastAsia="宋体" w:hAnsi="Arial" w:cs="Arial"/>
                <w:color w:val="000000"/>
                <w:sz w:val="15"/>
                <w:szCs w:val="15"/>
              </w:rPr>
              <w:t>172 </w:t>
            </w:r>
          </w:p>
        </w:tc>
        <w:tc>
          <w:tcPr>
            <w:tcW w:w="0" w:type="auto"/>
            <w:shd w:val="clear" w:color="auto" w:fill="CCEEFF"/>
            <w:tcMar>
              <w:top w:w="40" w:type="dxa"/>
              <w:left w:w="0" w:type="dxa"/>
              <w:bottom w:w="40" w:type="dxa"/>
              <w:right w:w="20" w:type="dxa"/>
            </w:tcMar>
            <w:vAlign w:val="bottom"/>
          </w:tcPr>
          <w:p w14:paraId="392BF2E3" w14:textId="77777777" w:rsidR="00980E5F" w:rsidRDefault="00980E5F">
            <w:pPr>
              <w:jc w:val="right"/>
              <w:rPr>
                <w:rFonts w:ascii="宋体"/>
              </w:rPr>
            </w:pPr>
          </w:p>
        </w:tc>
        <w:tc>
          <w:tcPr>
            <w:tcW w:w="0" w:type="auto"/>
            <w:shd w:val="clear" w:color="auto" w:fill="auto"/>
            <w:vAlign w:val="bottom"/>
          </w:tcPr>
          <w:p w14:paraId="392BF2E4" w14:textId="77777777" w:rsidR="00980E5F" w:rsidRDefault="00980E5F">
            <w:pPr>
              <w:rPr>
                <w:rFonts w:ascii="宋体"/>
                <w:vanish/>
              </w:rPr>
            </w:pPr>
          </w:p>
        </w:tc>
        <w:tc>
          <w:tcPr>
            <w:tcW w:w="0" w:type="auto"/>
            <w:shd w:val="clear" w:color="auto" w:fill="auto"/>
            <w:vAlign w:val="bottom"/>
          </w:tcPr>
          <w:p w14:paraId="392BF2E5" w14:textId="77777777" w:rsidR="00980E5F" w:rsidRDefault="00980E5F">
            <w:pPr>
              <w:rPr>
                <w:rFonts w:ascii="宋体"/>
                <w:vanish/>
              </w:rPr>
            </w:pPr>
          </w:p>
        </w:tc>
        <w:tc>
          <w:tcPr>
            <w:tcW w:w="0" w:type="auto"/>
            <w:gridSpan w:val="3"/>
            <w:shd w:val="clear" w:color="auto" w:fill="auto"/>
            <w:vAlign w:val="bottom"/>
          </w:tcPr>
          <w:p w14:paraId="392BF2E6" w14:textId="77777777" w:rsidR="00980E5F" w:rsidRDefault="00980E5F">
            <w:pPr>
              <w:rPr>
                <w:rFonts w:ascii="宋体"/>
                <w:vanish/>
              </w:rPr>
            </w:pPr>
          </w:p>
        </w:tc>
        <w:tc>
          <w:tcPr>
            <w:tcW w:w="0" w:type="auto"/>
            <w:gridSpan w:val="3"/>
            <w:shd w:val="clear" w:color="auto" w:fill="auto"/>
            <w:vAlign w:val="bottom"/>
          </w:tcPr>
          <w:p w14:paraId="392BF2E7" w14:textId="77777777" w:rsidR="00980E5F" w:rsidRDefault="00980E5F">
            <w:pPr>
              <w:rPr>
                <w:rFonts w:ascii="宋体"/>
                <w:vanish/>
              </w:rPr>
            </w:pPr>
          </w:p>
        </w:tc>
        <w:tc>
          <w:tcPr>
            <w:tcW w:w="0" w:type="auto"/>
            <w:gridSpan w:val="3"/>
            <w:shd w:val="clear" w:color="auto" w:fill="auto"/>
            <w:vAlign w:val="bottom"/>
          </w:tcPr>
          <w:p w14:paraId="392BF2E8" w14:textId="77777777" w:rsidR="00980E5F" w:rsidRDefault="00980E5F">
            <w:pPr>
              <w:rPr>
                <w:rFonts w:ascii="宋体"/>
                <w:vanish/>
              </w:rPr>
            </w:pPr>
          </w:p>
        </w:tc>
        <w:tc>
          <w:tcPr>
            <w:tcW w:w="0" w:type="auto"/>
            <w:gridSpan w:val="3"/>
            <w:shd w:val="clear" w:color="auto" w:fill="auto"/>
            <w:vAlign w:val="bottom"/>
          </w:tcPr>
          <w:p w14:paraId="392BF2E9" w14:textId="77777777" w:rsidR="00980E5F" w:rsidRDefault="00980E5F">
            <w:pPr>
              <w:rPr>
                <w:rFonts w:ascii="宋体"/>
                <w:vanish/>
              </w:rPr>
            </w:pPr>
          </w:p>
        </w:tc>
        <w:tc>
          <w:tcPr>
            <w:tcW w:w="0" w:type="auto"/>
            <w:gridSpan w:val="3"/>
            <w:shd w:val="clear" w:color="auto" w:fill="auto"/>
            <w:vAlign w:val="bottom"/>
          </w:tcPr>
          <w:p w14:paraId="392BF2EA" w14:textId="77777777" w:rsidR="00980E5F" w:rsidRDefault="00980E5F">
            <w:pPr>
              <w:rPr>
                <w:rFonts w:ascii="宋体"/>
                <w:vanish/>
              </w:rPr>
            </w:pPr>
          </w:p>
        </w:tc>
        <w:tc>
          <w:tcPr>
            <w:tcW w:w="0" w:type="auto"/>
            <w:gridSpan w:val="3"/>
            <w:shd w:val="clear" w:color="auto" w:fill="auto"/>
            <w:vAlign w:val="bottom"/>
          </w:tcPr>
          <w:p w14:paraId="392BF2EB" w14:textId="77777777" w:rsidR="00980E5F" w:rsidRDefault="00980E5F">
            <w:pPr>
              <w:rPr>
                <w:rFonts w:ascii="宋体"/>
                <w:vanish/>
              </w:rPr>
            </w:pPr>
          </w:p>
        </w:tc>
        <w:tc>
          <w:tcPr>
            <w:tcW w:w="0" w:type="auto"/>
            <w:gridSpan w:val="3"/>
            <w:shd w:val="clear" w:color="auto" w:fill="auto"/>
            <w:vAlign w:val="bottom"/>
          </w:tcPr>
          <w:p w14:paraId="392BF2EC" w14:textId="77777777" w:rsidR="00980E5F" w:rsidRDefault="00980E5F">
            <w:pPr>
              <w:rPr>
                <w:rFonts w:ascii="宋体"/>
                <w:vanish/>
              </w:rPr>
            </w:pPr>
          </w:p>
        </w:tc>
        <w:tc>
          <w:tcPr>
            <w:tcW w:w="0" w:type="auto"/>
            <w:gridSpan w:val="3"/>
            <w:shd w:val="clear" w:color="auto" w:fill="auto"/>
            <w:vAlign w:val="bottom"/>
          </w:tcPr>
          <w:p w14:paraId="392BF2ED" w14:textId="77777777" w:rsidR="00980E5F" w:rsidRDefault="00980E5F">
            <w:pPr>
              <w:rPr>
                <w:rFonts w:ascii="宋体"/>
                <w:vanish/>
              </w:rPr>
            </w:pPr>
          </w:p>
        </w:tc>
      </w:tr>
      <w:tr w:rsidR="00980E5F" w14:paraId="392BF302" w14:textId="77777777">
        <w:tc>
          <w:tcPr>
            <w:tcW w:w="0" w:type="auto"/>
            <w:gridSpan w:val="3"/>
            <w:shd w:val="clear" w:color="auto" w:fill="FFFFFF"/>
            <w:tcMar>
              <w:top w:w="40" w:type="dxa"/>
              <w:left w:w="20" w:type="dxa"/>
              <w:bottom w:w="40" w:type="dxa"/>
              <w:right w:w="20" w:type="dxa"/>
            </w:tcMar>
            <w:vAlign w:val="bottom"/>
          </w:tcPr>
          <w:p w14:paraId="392BF2EF" w14:textId="77777777" w:rsidR="00980E5F" w:rsidRDefault="00483613">
            <w:pPr>
              <w:textAlignment w:val="bottom"/>
            </w:pPr>
            <w:r>
              <w:rPr>
                <w:rFonts w:ascii="Arial" w:eastAsia="宋体" w:hAnsi="Arial" w:cs="Arial"/>
                <w:color w:val="000000"/>
                <w:sz w:val="15"/>
                <w:szCs w:val="15"/>
              </w:rPr>
              <w:t>Total multi-asset-class solutions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2F0" w14:textId="77777777" w:rsidR="00980E5F" w:rsidRDefault="00483613">
            <w:pPr>
              <w:jc w:val="right"/>
              <w:textAlignment w:val="bottom"/>
            </w:pPr>
            <w:r>
              <w:rPr>
                <w:rFonts w:ascii="Arial" w:eastAsia="宋体" w:hAnsi="Arial" w:cs="Arial"/>
                <w:b/>
                <w:bCs/>
                <w:color w:val="000000"/>
                <w:sz w:val="15"/>
                <w:szCs w:val="15"/>
              </w:rPr>
              <w:t>202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2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F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2F3" w14:textId="77777777" w:rsidR="00980E5F" w:rsidRDefault="00483613">
            <w:pPr>
              <w:jc w:val="right"/>
              <w:textAlignment w:val="bottom"/>
            </w:pPr>
            <w:r>
              <w:rPr>
                <w:rFonts w:ascii="Arial" w:eastAsia="宋体" w:hAnsi="Arial" w:cs="Arial"/>
                <w:color w:val="000000"/>
                <w:sz w:val="15"/>
                <w:szCs w:val="15"/>
              </w:rPr>
              <w:t>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2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2F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2F6" w14:textId="77777777" w:rsidR="00980E5F" w:rsidRDefault="00483613">
            <w:pPr>
              <w:jc w:val="right"/>
              <w:textAlignment w:val="bottom"/>
            </w:pPr>
            <w:r>
              <w:rPr>
                <w:rFonts w:ascii="Arial" w:eastAsia="宋体" w:hAnsi="Arial" w:cs="Arial"/>
                <w:color w:val="000000"/>
                <w:sz w:val="15"/>
                <w:szCs w:val="15"/>
              </w:rPr>
              <w:t>207 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2F7" w14:textId="77777777" w:rsidR="00980E5F" w:rsidRDefault="00980E5F">
            <w:pPr>
              <w:jc w:val="right"/>
              <w:rPr>
                <w:rFonts w:ascii="宋体"/>
              </w:rPr>
            </w:pPr>
          </w:p>
        </w:tc>
        <w:tc>
          <w:tcPr>
            <w:tcW w:w="0" w:type="auto"/>
            <w:shd w:val="clear" w:color="auto" w:fill="auto"/>
            <w:vAlign w:val="bottom"/>
          </w:tcPr>
          <w:p w14:paraId="392BF2F8" w14:textId="77777777" w:rsidR="00980E5F" w:rsidRDefault="00980E5F">
            <w:pPr>
              <w:rPr>
                <w:rFonts w:ascii="宋体"/>
                <w:vanish/>
              </w:rPr>
            </w:pPr>
          </w:p>
        </w:tc>
        <w:tc>
          <w:tcPr>
            <w:tcW w:w="0" w:type="auto"/>
            <w:shd w:val="clear" w:color="auto" w:fill="auto"/>
            <w:vAlign w:val="bottom"/>
          </w:tcPr>
          <w:p w14:paraId="392BF2F9" w14:textId="77777777" w:rsidR="00980E5F" w:rsidRDefault="00980E5F">
            <w:pPr>
              <w:rPr>
                <w:rFonts w:ascii="宋体"/>
                <w:vanish/>
              </w:rPr>
            </w:pPr>
          </w:p>
        </w:tc>
        <w:tc>
          <w:tcPr>
            <w:tcW w:w="0" w:type="auto"/>
            <w:gridSpan w:val="3"/>
            <w:shd w:val="clear" w:color="auto" w:fill="auto"/>
            <w:vAlign w:val="bottom"/>
          </w:tcPr>
          <w:p w14:paraId="392BF2FA" w14:textId="77777777" w:rsidR="00980E5F" w:rsidRDefault="00980E5F">
            <w:pPr>
              <w:rPr>
                <w:rFonts w:ascii="宋体"/>
                <w:vanish/>
              </w:rPr>
            </w:pPr>
          </w:p>
        </w:tc>
        <w:tc>
          <w:tcPr>
            <w:tcW w:w="0" w:type="auto"/>
            <w:gridSpan w:val="3"/>
            <w:shd w:val="clear" w:color="auto" w:fill="auto"/>
            <w:vAlign w:val="bottom"/>
          </w:tcPr>
          <w:p w14:paraId="392BF2FB" w14:textId="77777777" w:rsidR="00980E5F" w:rsidRDefault="00980E5F">
            <w:pPr>
              <w:rPr>
                <w:rFonts w:ascii="宋体"/>
                <w:vanish/>
              </w:rPr>
            </w:pPr>
          </w:p>
        </w:tc>
        <w:tc>
          <w:tcPr>
            <w:tcW w:w="0" w:type="auto"/>
            <w:gridSpan w:val="3"/>
            <w:shd w:val="clear" w:color="auto" w:fill="auto"/>
            <w:vAlign w:val="bottom"/>
          </w:tcPr>
          <w:p w14:paraId="392BF2FC" w14:textId="77777777" w:rsidR="00980E5F" w:rsidRDefault="00980E5F">
            <w:pPr>
              <w:rPr>
                <w:rFonts w:ascii="宋体"/>
                <w:vanish/>
              </w:rPr>
            </w:pPr>
          </w:p>
        </w:tc>
        <w:tc>
          <w:tcPr>
            <w:tcW w:w="0" w:type="auto"/>
            <w:gridSpan w:val="3"/>
            <w:shd w:val="clear" w:color="auto" w:fill="auto"/>
            <w:vAlign w:val="bottom"/>
          </w:tcPr>
          <w:p w14:paraId="392BF2FD" w14:textId="77777777" w:rsidR="00980E5F" w:rsidRDefault="00980E5F">
            <w:pPr>
              <w:rPr>
                <w:rFonts w:ascii="宋体"/>
                <w:vanish/>
              </w:rPr>
            </w:pPr>
          </w:p>
        </w:tc>
        <w:tc>
          <w:tcPr>
            <w:tcW w:w="0" w:type="auto"/>
            <w:gridSpan w:val="3"/>
            <w:shd w:val="clear" w:color="auto" w:fill="auto"/>
            <w:vAlign w:val="bottom"/>
          </w:tcPr>
          <w:p w14:paraId="392BF2FE" w14:textId="77777777" w:rsidR="00980E5F" w:rsidRDefault="00980E5F">
            <w:pPr>
              <w:rPr>
                <w:rFonts w:ascii="宋体"/>
                <w:vanish/>
              </w:rPr>
            </w:pPr>
          </w:p>
        </w:tc>
        <w:tc>
          <w:tcPr>
            <w:tcW w:w="0" w:type="auto"/>
            <w:gridSpan w:val="3"/>
            <w:shd w:val="clear" w:color="auto" w:fill="auto"/>
            <w:vAlign w:val="bottom"/>
          </w:tcPr>
          <w:p w14:paraId="392BF2FF" w14:textId="77777777" w:rsidR="00980E5F" w:rsidRDefault="00980E5F">
            <w:pPr>
              <w:rPr>
                <w:rFonts w:ascii="宋体"/>
                <w:vanish/>
              </w:rPr>
            </w:pPr>
          </w:p>
        </w:tc>
        <w:tc>
          <w:tcPr>
            <w:tcW w:w="0" w:type="auto"/>
            <w:gridSpan w:val="3"/>
            <w:shd w:val="clear" w:color="auto" w:fill="auto"/>
            <w:vAlign w:val="bottom"/>
          </w:tcPr>
          <w:p w14:paraId="392BF300" w14:textId="77777777" w:rsidR="00980E5F" w:rsidRDefault="00980E5F">
            <w:pPr>
              <w:rPr>
                <w:rFonts w:ascii="宋体"/>
                <w:vanish/>
              </w:rPr>
            </w:pPr>
          </w:p>
        </w:tc>
        <w:tc>
          <w:tcPr>
            <w:tcW w:w="0" w:type="auto"/>
            <w:gridSpan w:val="3"/>
            <w:shd w:val="clear" w:color="auto" w:fill="auto"/>
            <w:vAlign w:val="bottom"/>
          </w:tcPr>
          <w:p w14:paraId="392BF301" w14:textId="77777777" w:rsidR="00980E5F" w:rsidRDefault="00980E5F">
            <w:pPr>
              <w:rPr>
                <w:rFonts w:ascii="宋体"/>
                <w:vanish/>
              </w:rPr>
            </w:pPr>
          </w:p>
        </w:tc>
      </w:tr>
      <w:tr w:rsidR="00980E5F" w14:paraId="392BF31E" w14:textId="77777777">
        <w:tc>
          <w:tcPr>
            <w:tcW w:w="0" w:type="auto"/>
            <w:gridSpan w:val="18"/>
            <w:shd w:val="clear" w:color="auto" w:fill="CCEEFF"/>
            <w:tcMar>
              <w:top w:w="40" w:type="dxa"/>
              <w:left w:w="20" w:type="dxa"/>
              <w:bottom w:w="40" w:type="dxa"/>
              <w:right w:w="20" w:type="dxa"/>
            </w:tcMar>
            <w:vAlign w:val="bottom"/>
          </w:tcPr>
          <w:p w14:paraId="392BF303" w14:textId="77777777" w:rsidR="00980E5F" w:rsidRDefault="00483613">
            <w:pP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r>
              <w:rPr>
                <w:rFonts w:ascii="Arial" w:eastAsia="宋体" w:hAnsi="Arial" w:cs="Arial"/>
                <w:color w:val="000000"/>
                <w:sz w:val="15"/>
                <w:szCs w:val="15"/>
              </w:rPr>
              <w:t>:</w:t>
            </w:r>
          </w:p>
        </w:tc>
        <w:tc>
          <w:tcPr>
            <w:tcW w:w="0" w:type="auto"/>
            <w:shd w:val="clear" w:color="auto" w:fill="auto"/>
            <w:vAlign w:val="bottom"/>
          </w:tcPr>
          <w:p w14:paraId="392BF304" w14:textId="77777777" w:rsidR="00980E5F" w:rsidRDefault="00980E5F">
            <w:pPr>
              <w:rPr>
                <w:rFonts w:ascii="宋体"/>
                <w:vanish/>
              </w:rPr>
            </w:pPr>
          </w:p>
        </w:tc>
        <w:tc>
          <w:tcPr>
            <w:tcW w:w="0" w:type="auto"/>
            <w:shd w:val="clear" w:color="auto" w:fill="auto"/>
            <w:vAlign w:val="bottom"/>
          </w:tcPr>
          <w:p w14:paraId="392BF305" w14:textId="77777777" w:rsidR="00980E5F" w:rsidRDefault="00980E5F">
            <w:pPr>
              <w:rPr>
                <w:rFonts w:ascii="宋体"/>
                <w:vanish/>
              </w:rPr>
            </w:pPr>
          </w:p>
        </w:tc>
        <w:tc>
          <w:tcPr>
            <w:tcW w:w="0" w:type="auto"/>
            <w:shd w:val="clear" w:color="auto" w:fill="auto"/>
            <w:vAlign w:val="bottom"/>
          </w:tcPr>
          <w:p w14:paraId="392BF306" w14:textId="77777777" w:rsidR="00980E5F" w:rsidRDefault="00980E5F">
            <w:pPr>
              <w:rPr>
                <w:rFonts w:ascii="宋体"/>
              </w:rPr>
            </w:pPr>
          </w:p>
        </w:tc>
        <w:tc>
          <w:tcPr>
            <w:tcW w:w="0" w:type="auto"/>
            <w:shd w:val="clear" w:color="auto" w:fill="auto"/>
            <w:vAlign w:val="bottom"/>
          </w:tcPr>
          <w:p w14:paraId="392BF307" w14:textId="77777777" w:rsidR="00980E5F" w:rsidRDefault="00980E5F">
            <w:pPr>
              <w:rPr>
                <w:rFonts w:ascii="宋体"/>
              </w:rPr>
            </w:pPr>
          </w:p>
        </w:tc>
        <w:tc>
          <w:tcPr>
            <w:tcW w:w="0" w:type="auto"/>
            <w:shd w:val="clear" w:color="auto" w:fill="auto"/>
            <w:vAlign w:val="bottom"/>
          </w:tcPr>
          <w:p w14:paraId="392BF308" w14:textId="77777777" w:rsidR="00980E5F" w:rsidRDefault="00980E5F">
            <w:pPr>
              <w:rPr>
                <w:rFonts w:ascii="宋体"/>
              </w:rPr>
            </w:pPr>
          </w:p>
        </w:tc>
        <w:tc>
          <w:tcPr>
            <w:tcW w:w="0" w:type="auto"/>
            <w:shd w:val="clear" w:color="auto" w:fill="auto"/>
            <w:vAlign w:val="bottom"/>
          </w:tcPr>
          <w:p w14:paraId="392BF309" w14:textId="77777777" w:rsidR="00980E5F" w:rsidRDefault="00980E5F">
            <w:pPr>
              <w:rPr>
                <w:rFonts w:ascii="宋体"/>
              </w:rPr>
            </w:pPr>
          </w:p>
        </w:tc>
        <w:tc>
          <w:tcPr>
            <w:tcW w:w="0" w:type="auto"/>
            <w:shd w:val="clear" w:color="auto" w:fill="auto"/>
            <w:vAlign w:val="bottom"/>
          </w:tcPr>
          <w:p w14:paraId="392BF30A" w14:textId="77777777" w:rsidR="00980E5F" w:rsidRDefault="00980E5F">
            <w:pPr>
              <w:rPr>
                <w:rFonts w:ascii="宋体"/>
              </w:rPr>
            </w:pPr>
          </w:p>
        </w:tc>
        <w:tc>
          <w:tcPr>
            <w:tcW w:w="0" w:type="auto"/>
            <w:shd w:val="clear" w:color="auto" w:fill="auto"/>
            <w:vAlign w:val="bottom"/>
          </w:tcPr>
          <w:p w14:paraId="392BF30B" w14:textId="77777777" w:rsidR="00980E5F" w:rsidRDefault="00980E5F">
            <w:pPr>
              <w:rPr>
                <w:rFonts w:ascii="宋体"/>
              </w:rPr>
            </w:pPr>
          </w:p>
        </w:tc>
        <w:tc>
          <w:tcPr>
            <w:tcW w:w="0" w:type="auto"/>
            <w:shd w:val="clear" w:color="auto" w:fill="auto"/>
            <w:vAlign w:val="bottom"/>
          </w:tcPr>
          <w:p w14:paraId="392BF30C" w14:textId="77777777" w:rsidR="00980E5F" w:rsidRDefault="00980E5F">
            <w:pPr>
              <w:rPr>
                <w:rFonts w:ascii="宋体"/>
              </w:rPr>
            </w:pPr>
          </w:p>
        </w:tc>
        <w:tc>
          <w:tcPr>
            <w:tcW w:w="0" w:type="auto"/>
            <w:shd w:val="clear" w:color="auto" w:fill="auto"/>
            <w:vAlign w:val="bottom"/>
          </w:tcPr>
          <w:p w14:paraId="392BF30D" w14:textId="77777777" w:rsidR="00980E5F" w:rsidRDefault="00980E5F">
            <w:pPr>
              <w:rPr>
                <w:rFonts w:ascii="宋体"/>
              </w:rPr>
            </w:pPr>
          </w:p>
        </w:tc>
        <w:tc>
          <w:tcPr>
            <w:tcW w:w="0" w:type="auto"/>
            <w:shd w:val="clear" w:color="auto" w:fill="auto"/>
            <w:vAlign w:val="bottom"/>
          </w:tcPr>
          <w:p w14:paraId="392BF30E" w14:textId="77777777" w:rsidR="00980E5F" w:rsidRDefault="00980E5F">
            <w:pPr>
              <w:rPr>
                <w:rFonts w:ascii="宋体"/>
              </w:rPr>
            </w:pPr>
          </w:p>
        </w:tc>
        <w:tc>
          <w:tcPr>
            <w:tcW w:w="0" w:type="auto"/>
            <w:shd w:val="clear" w:color="auto" w:fill="auto"/>
            <w:vAlign w:val="bottom"/>
          </w:tcPr>
          <w:p w14:paraId="392BF30F" w14:textId="77777777" w:rsidR="00980E5F" w:rsidRDefault="00980E5F">
            <w:pPr>
              <w:rPr>
                <w:rFonts w:ascii="宋体"/>
              </w:rPr>
            </w:pPr>
          </w:p>
        </w:tc>
        <w:tc>
          <w:tcPr>
            <w:tcW w:w="0" w:type="auto"/>
            <w:shd w:val="clear" w:color="auto" w:fill="auto"/>
            <w:vAlign w:val="bottom"/>
          </w:tcPr>
          <w:p w14:paraId="392BF310" w14:textId="77777777" w:rsidR="00980E5F" w:rsidRDefault="00980E5F">
            <w:pPr>
              <w:rPr>
                <w:rFonts w:ascii="宋体"/>
              </w:rPr>
            </w:pPr>
          </w:p>
        </w:tc>
        <w:tc>
          <w:tcPr>
            <w:tcW w:w="0" w:type="auto"/>
            <w:shd w:val="clear" w:color="auto" w:fill="auto"/>
            <w:vAlign w:val="bottom"/>
          </w:tcPr>
          <w:p w14:paraId="392BF311" w14:textId="77777777" w:rsidR="00980E5F" w:rsidRDefault="00980E5F">
            <w:pPr>
              <w:rPr>
                <w:rFonts w:ascii="宋体"/>
              </w:rPr>
            </w:pPr>
          </w:p>
        </w:tc>
        <w:tc>
          <w:tcPr>
            <w:tcW w:w="0" w:type="auto"/>
            <w:shd w:val="clear" w:color="auto" w:fill="auto"/>
            <w:vAlign w:val="bottom"/>
          </w:tcPr>
          <w:p w14:paraId="392BF312" w14:textId="77777777" w:rsidR="00980E5F" w:rsidRDefault="00980E5F">
            <w:pPr>
              <w:rPr>
                <w:rFonts w:ascii="宋体"/>
              </w:rPr>
            </w:pPr>
          </w:p>
        </w:tc>
        <w:tc>
          <w:tcPr>
            <w:tcW w:w="0" w:type="auto"/>
            <w:shd w:val="clear" w:color="auto" w:fill="auto"/>
            <w:vAlign w:val="bottom"/>
          </w:tcPr>
          <w:p w14:paraId="392BF313" w14:textId="77777777" w:rsidR="00980E5F" w:rsidRDefault="00980E5F">
            <w:pPr>
              <w:rPr>
                <w:rFonts w:ascii="宋体"/>
              </w:rPr>
            </w:pPr>
          </w:p>
        </w:tc>
        <w:tc>
          <w:tcPr>
            <w:tcW w:w="0" w:type="auto"/>
            <w:shd w:val="clear" w:color="auto" w:fill="auto"/>
            <w:vAlign w:val="bottom"/>
          </w:tcPr>
          <w:p w14:paraId="392BF314" w14:textId="77777777" w:rsidR="00980E5F" w:rsidRDefault="00980E5F">
            <w:pPr>
              <w:rPr>
                <w:rFonts w:ascii="宋体"/>
              </w:rPr>
            </w:pPr>
          </w:p>
        </w:tc>
        <w:tc>
          <w:tcPr>
            <w:tcW w:w="0" w:type="auto"/>
            <w:shd w:val="clear" w:color="auto" w:fill="auto"/>
            <w:vAlign w:val="bottom"/>
          </w:tcPr>
          <w:p w14:paraId="392BF315" w14:textId="77777777" w:rsidR="00980E5F" w:rsidRDefault="00980E5F">
            <w:pPr>
              <w:rPr>
                <w:rFonts w:ascii="宋体"/>
              </w:rPr>
            </w:pPr>
          </w:p>
        </w:tc>
        <w:tc>
          <w:tcPr>
            <w:tcW w:w="0" w:type="auto"/>
            <w:shd w:val="clear" w:color="auto" w:fill="auto"/>
            <w:vAlign w:val="bottom"/>
          </w:tcPr>
          <w:p w14:paraId="392BF316" w14:textId="77777777" w:rsidR="00980E5F" w:rsidRDefault="00980E5F">
            <w:pPr>
              <w:rPr>
                <w:rFonts w:ascii="宋体"/>
              </w:rPr>
            </w:pPr>
          </w:p>
        </w:tc>
        <w:tc>
          <w:tcPr>
            <w:tcW w:w="0" w:type="auto"/>
            <w:shd w:val="clear" w:color="auto" w:fill="auto"/>
            <w:vAlign w:val="bottom"/>
          </w:tcPr>
          <w:p w14:paraId="392BF317" w14:textId="77777777" w:rsidR="00980E5F" w:rsidRDefault="00980E5F">
            <w:pPr>
              <w:rPr>
                <w:rFonts w:ascii="宋体"/>
              </w:rPr>
            </w:pPr>
          </w:p>
        </w:tc>
        <w:tc>
          <w:tcPr>
            <w:tcW w:w="0" w:type="auto"/>
            <w:shd w:val="clear" w:color="auto" w:fill="auto"/>
            <w:vAlign w:val="bottom"/>
          </w:tcPr>
          <w:p w14:paraId="392BF318" w14:textId="77777777" w:rsidR="00980E5F" w:rsidRDefault="00980E5F">
            <w:pPr>
              <w:rPr>
                <w:rFonts w:ascii="宋体"/>
              </w:rPr>
            </w:pPr>
          </w:p>
        </w:tc>
        <w:tc>
          <w:tcPr>
            <w:tcW w:w="0" w:type="auto"/>
            <w:shd w:val="clear" w:color="auto" w:fill="auto"/>
            <w:vAlign w:val="bottom"/>
          </w:tcPr>
          <w:p w14:paraId="392BF319" w14:textId="77777777" w:rsidR="00980E5F" w:rsidRDefault="00980E5F">
            <w:pPr>
              <w:rPr>
                <w:rFonts w:ascii="宋体"/>
              </w:rPr>
            </w:pPr>
          </w:p>
        </w:tc>
        <w:tc>
          <w:tcPr>
            <w:tcW w:w="0" w:type="auto"/>
            <w:shd w:val="clear" w:color="auto" w:fill="auto"/>
            <w:vAlign w:val="bottom"/>
          </w:tcPr>
          <w:p w14:paraId="392BF31A" w14:textId="77777777" w:rsidR="00980E5F" w:rsidRDefault="00980E5F">
            <w:pPr>
              <w:rPr>
                <w:rFonts w:ascii="宋体"/>
              </w:rPr>
            </w:pPr>
          </w:p>
        </w:tc>
        <w:tc>
          <w:tcPr>
            <w:tcW w:w="0" w:type="auto"/>
            <w:shd w:val="clear" w:color="auto" w:fill="auto"/>
            <w:vAlign w:val="bottom"/>
          </w:tcPr>
          <w:p w14:paraId="392BF31B" w14:textId="77777777" w:rsidR="00980E5F" w:rsidRDefault="00980E5F">
            <w:pPr>
              <w:rPr>
                <w:rFonts w:ascii="宋体"/>
              </w:rPr>
            </w:pPr>
          </w:p>
        </w:tc>
        <w:tc>
          <w:tcPr>
            <w:tcW w:w="0" w:type="auto"/>
            <w:shd w:val="clear" w:color="auto" w:fill="auto"/>
            <w:vAlign w:val="bottom"/>
          </w:tcPr>
          <w:p w14:paraId="392BF31C" w14:textId="77777777" w:rsidR="00980E5F" w:rsidRDefault="00980E5F">
            <w:pPr>
              <w:rPr>
                <w:rFonts w:ascii="宋体"/>
              </w:rPr>
            </w:pPr>
          </w:p>
        </w:tc>
        <w:tc>
          <w:tcPr>
            <w:tcW w:w="0" w:type="auto"/>
            <w:shd w:val="clear" w:color="auto" w:fill="auto"/>
            <w:vAlign w:val="bottom"/>
          </w:tcPr>
          <w:p w14:paraId="392BF31D" w14:textId="77777777" w:rsidR="00980E5F" w:rsidRDefault="00980E5F">
            <w:pPr>
              <w:rPr>
                <w:rFonts w:ascii="宋体"/>
              </w:rPr>
            </w:pPr>
          </w:p>
        </w:tc>
      </w:tr>
      <w:tr w:rsidR="00980E5F" w14:paraId="392BF332" w14:textId="77777777">
        <w:tc>
          <w:tcPr>
            <w:tcW w:w="0" w:type="auto"/>
            <w:gridSpan w:val="3"/>
            <w:shd w:val="clear" w:color="auto" w:fill="FFFFFF"/>
            <w:tcMar>
              <w:top w:w="40" w:type="dxa"/>
              <w:left w:w="20" w:type="dxa"/>
              <w:bottom w:w="40" w:type="dxa"/>
              <w:right w:w="20" w:type="dxa"/>
            </w:tcMar>
            <w:vAlign w:val="bottom"/>
          </w:tcPr>
          <w:p w14:paraId="392BF31F" w14:textId="77777777" w:rsidR="00980E5F" w:rsidRDefault="00483613">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392BF320" w14:textId="77777777" w:rsidR="00980E5F" w:rsidRDefault="00483613">
            <w:pPr>
              <w:jc w:val="right"/>
              <w:textAlignment w:val="bottom"/>
            </w:pPr>
            <w:r>
              <w:rPr>
                <w:rFonts w:ascii="Arial" w:eastAsia="宋体" w:hAnsi="Arial" w:cs="Arial"/>
                <w:b/>
                <w:bCs/>
                <w:color w:val="000000"/>
                <w:sz w:val="15"/>
                <w:szCs w:val="15"/>
              </w:rPr>
              <w:t>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3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3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323" w14:textId="77777777" w:rsidR="00980E5F" w:rsidRDefault="00483613">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392BF3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3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326" w14:textId="77777777" w:rsidR="00980E5F" w:rsidRDefault="00483613">
            <w:pPr>
              <w:jc w:val="right"/>
              <w:textAlignment w:val="bottom"/>
            </w:pPr>
            <w:r>
              <w:rPr>
                <w:rFonts w:ascii="Arial" w:eastAsia="宋体" w:hAnsi="Arial" w:cs="Arial"/>
                <w:color w:val="000000"/>
                <w:sz w:val="15"/>
                <w:szCs w:val="15"/>
              </w:rPr>
              <w:t>63 </w:t>
            </w:r>
          </w:p>
        </w:tc>
        <w:tc>
          <w:tcPr>
            <w:tcW w:w="0" w:type="auto"/>
            <w:shd w:val="clear" w:color="auto" w:fill="FFFFFF"/>
            <w:tcMar>
              <w:top w:w="40" w:type="dxa"/>
              <w:left w:w="0" w:type="dxa"/>
              <w:bottom w:w="40" w:type="dxa"/>
              <w:right w:w="20" w:type="dxa"/>
            </w:tcMar>
            <w:vAlign w:val="bottom"/>
          </w:tcPr>
          <w:p w14:paraId="392BF327" w14:textId="77777777" w:rsidR="00980E5F" w:rsidRDefault="00980E5F">
            <w:pPr>
              <w:jc w:val="right"/>
              <w:rPr>
                <w:rFonts w:ascii="宋体"/>
              </w:rPr>
            </w:pPr>
          </w:p>
        </w:tc>
        <w:tc>
          <w:tcPr>
            <w:tcW w:w="0" w:type="auto"/>
            <w:shd w:val="clear" w:color="auto" w:fill="auto"/>
            <w:vAlign w:val="bottom"/>
          </w:tcPr>
          <w:p w14:paraId="392BF328" w14:textId="77777777" w:rsidR="00980E5F" w:rsidRDefault="00980E5F">
            <w:pPr>
              <w:rPr>
                <w:rFonts w:ascii="宋体"/>
                <w:vanish/>
              </w:rPr>
            </w:pPr>
          </w:p>
        </w:tc>
        <w:tc>
          <w:tcPr>
            <w:tcW w:w="0" w:type="auto"/>
            <w:shd w:val="clear" w:color="auto" w:fill="auto"/>
            <w:vAlign w:val="bottom"/>
          </w:tcPr>
          <w:p w14:paraId="392BF329" w14:textId="77777777" w:rsidR="00980E5F" w:rsidRDefault="00980E5F">
            <w:pPr>
              <w:rPr>
                <w:rFonts w:ascii="宋体"/>
                <w:vanish/>
              </w:rPr>
            </w:pPr>
          </w:p>
        </w:tc>
        <w:tc>
          <w:tcPr>
            <w:tcW w:w="0" w:type="auto"/>
            <w:gridSpan w:val="3"/>
            <w:shd w:val="clear" w:color="auto" w:fill="auto"/>
            <w:vAlign w:val="bottom"/>
          </w:tcPr>
          <w:p w14:paraId="392BF32A" w14:textId="77777777" w:rsidR="00980E5F" w:rsidRDefault="00980E5F">
            <w:pPr>
              <w:rPr>
                <w:rFonts w:ascii="宋体"/>
                <w:vanish/>
              </w:rPr>
            </w:pPr>
          </w:p>
        </w:tc>
        <w:tc>
          <w:tcPr>
            <w:tcW w:w="0" w:type="auto"/>
            <w:gridSpan w:val="3"/>
            <w:shd w:val="clear" w:color="auto" w:fill="auto"/>
            <w:vAlign w:val="bottom"/>
          </w:tcPr>
          <w:p w14:paraId="392BF32B" w14:textId="77777777" w:rsidR="00980E5F" w:rsidRDefault="00980E5F">
            <w:pPr>
              <w:rPr>
                <w:rFonts w:ascii="宋体"/>
                <w:vanish/>
              </w:rPr>
            </w:pPr>
          </w:p>
        </w:tc>
        <w:tc>
          <w:tcPr>
            <w:tcW w:w="0" w:type="auto"/>
            <w:gridSpan w:val="3"/>
            <w:shd w:val="clear" w:color="auto" w:fill="auto"/>
            <w:vAlign w:val="bottom"/>
          </w:tcPr>
          <w:p w14:paraId="392BF32C" w14:textId="77777777" w:rsidR="00980E5F" w:rsidRDefault="00980E5F">
            <w:pPr>
              <w:rPr>
                <w:rFonts w:ascii="宋体"/>
                <w:vanish/>
              </w:rPr>
            </w:pPr>
          </w:p>
        </w:tc>
        <w:tc>
          <w:tcPr>
            <w:tcW w:w="0" w:type="auto"/>
            <w:gridSpan w:val="3"/>
            <w:shd w:val="clear" w:color="auto" w:fill="auto"/>
            <w:vAlign w:val="bottom"/>
          </w:tcPr>
          <w:p w14:paraId="392BF32D" w14:textId="77777777" w:rsidR="00980E5F" w:rsidRDefault="00980E5F">
            <w:pPr>
              <w:rPr>
                <w:rFonts w:ascii="宋体"/>
                <w:vanish/>
              </w:rPr>
            </w:pPr>
          </w:p>
        </w:tc>
        <w:tc>
          <w:tcPr>
            <w:tcW w:w="0" w:type="auto"/>
            <w:gridSpan w:val="3"/>
            <w:shd w:val="clear" w:color="auto" w:fill="auto"/>
            <w:vAlign w:val="bottom"/>
          </w:tcPr>
          <w:p w14:paraId="392BF32E" w14:textId="77777777" w:rsidR="00980E5F" w:rsidRDefault="00980E5F">
            <w:pPr>
              <w:rPr>
                <w:rFonts w:ascii="宋体"/>
                <w:vanish/>
              </w:rPr>
            </w:pPr>
          </w:p>
        </w:tc>
        <w:tc>
          <w:tcPr>
            <w:tcW w:w="0" w:type="auto"/>
            <w:gridSpan w:val="3"/>
            <w:shd w:val="clear" w:color="auto" w:fill="auto"/>
            <w:vAlign w:val="bottom"/>
          </w:tcPr>
          <w:p w14:paraId="392BF32F" w14:textId="77777777" w:rsidR="00980E5F" w:rsidRDefault="00980E5F">
            <w:pPr>
              <w:rPr>
                <w:rFonts w:ascii="宋体"/>
                <w:vanish/>
              </w:rPr>
            </w:pPr>
          </w:p>
        </w:tc>
        <w:tc>
          <w:tcPr>
            <w:tcW w:w="0" w:type="auto"/>
            <w:gridSpan w:val="3"/>
            <w:shd w:val="clear" w:color="auto" w:fill="auto"/>
            <w:vAlign w:val="bottom"/>
          </w:tcPr>
          <w:p w14:paraId="392BF330" w14:textId="77777777" w:rsidR="00980E5F" w:rsidRDefault="00980E5F">
            <w:pPr>
              <w:rPr>
                <w:rFonts w:ascii="宋体"/>
                <w:vanish/>
              </w:rPr>
            </w:pPr>
          </w:p>
        </w:tc>
        <w:tc>
          <w:tcPr>
            <w:tcW w:w="0" w:type="auto"/>
            <w:gridSpan w:val="3"/>
            <w:shd w:val="clear" w:color="auto" w:fill="auto"/>
            <w:vAlign w:val="bottom"/>
          </w:tcPr>
          <w:p w14:paraId="392BF331" w14:textId="77777777" w:rsidR="00980E5F" w:rsidRDefault="00980E5F">
            <w:pPr>
              <w:rPr>
                <w:rFonts w:ascii="宋体"/>
                <w:vanish/>
              </w:rPr>
            </w:pPr>
          </w:p>
        </w:tc>
      </w:tr>
      <w:tr w:rsidR="00980E5F" w14:paraId="392BF346" w14:textId="77777777">
        <w:tc>
          <w:tcPr>
            <w:tcW w:w="0" w:type="auto"/>
            <w:gridSpan w:val="3"/>
            <w:shd w:val="clear" w:color="auto" w:fill="CCEEFF"/>
            <w:tcMar>
              <w:top w:w="40" w:type="dxa"/>
              <w:left w:w="20" w:type="dxa"/>
              <w:bottom w:w="40" w:type="dxa"/>
              <w:right w:w="20" w:type="dxa"/>
            </w:tcMar>
            <w:vAlign w:val="bottom"/>
          </w:tcPr>
          <w:p w14:paraId="392BF333" w14:textId="77777777" w:rsidR="00980E5F" w:rsidRDefault="00483613">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392BF334" w14:textId="77777777" w:rsidR="00980E5F" w:rsidRDefault="00483613">
            <w:pPr>
              <w:jc w:val="right"/>
              <w:textAlignment w:val="bottom"/>
            </w:pPr>
            <w:r>
              <w:rPr>
                <w:rFonts w:ascii="Arial" w:eastAsia="宋体" w:hAnsi="Arial" w:cs="Arial"/>
                <w:b/>
                <w:bCs/>
                <w:color w:val="000000"/>
                <w:sz w:val="15"/>
                <w:szCs w:val="15"/>
              </w:rPr>
              <w:t>192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3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33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337" w14:textId="77777777" w:rsidR="00980E5F" w:rsidRDefault="00483613">
            <w:pPr>
              <w:jc w:val="right"/>
              <w:textAlignment w:val="bottom"/>
            </w:pPr>
            <w:r>
              <w:rPr>
                <w:rFonts w:ascii="Arial" w:eastAsia="宋体" w:hAnsi="Arial" w:cs="Arial"/>
                <w:color w:val="000000"/>
                <w:sz w:val="15"/>
                <w:szCs w:val="15"/>
              </w:rPr>
              <w:t>195 </w:t>
            </w:r>
          </w:p>
        </w:tc>
        <w:tc>
          <w:tcPr>
            <w:tcW w:w="0" w:type="auto"/>
            <w:shd w:val="clear" w:color="auto" w:fill="CCEEFF"/>
            <w:tcMar>
              <w:top w:w="40" w:type="dxa"/>
              <w:left w:w="0" w:type="dxa"/>
              <w:bottom w:w="40" w:type="dxa"/>
              <w:right w:w="20" w:type="dxa"/>
            </w:tcMar>
            <w:vAlign w:val="bottom"/>
          </w:tcPr>
          <w:p w14:paraId="392BF3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33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33A" w14:textId="77777777" w:rsidR="00980E5F" w:rsidRDefault="00483613">
            <w:pPr>
              <w:jc w:val="right"/>
              <w:textAlignment w:val="bottom"/>
            </w:pPr>
            <w:r>
              <w:rPr>
                <w:rFonts w:ascii="Arial" w:eastAsia="宋体" w:hAnsi="Arial" w:cs="Arial"/>
                <w:color w:val="000000"/>
                <w:sz w:val="15"/>
                <w:szCs w:val="15"/>
              </w:rPr>
              <w:t>175 </w:t>
            </w:r>
          </w:p>
        </w:tc>
        <w:tc>
          <w:tcPr>
            <w:tcW w:w="0" w:type="auto"/>
            <w:shd w:val="clear" w:color="auto" w:fill="CCEEFF"/>
            <w:tcMar>
              <w:top w:w="40" w:type="dxa"/>
              <w:left w:w="0" w:type="dxa"/>
              <w:bottom w:w="40" w:type="dxa"/>
              <w:right w:w="20" w:type="dxa"/>
            </w:tcMar>
            <w:vAlign w:val="bottom"/>
          </w:tcPr>
          <w:p w14:paraId="392BF33B" w14:textId="77777777" w:rsidR="00980E5F" w:rsidRDefault="00980E5F">
            <w:pPr>
              <w:jc w:val="right"/>
              <w:rPr>
                <w:rFonts w:ascii="宋体"/>
              </w:rPr>
            </w:pPr>
          </w:p>
        </w:tc>
        <w:tc>
          <w:tcPr>
            <w:tcW w:w="0" w:type="auto"/>
            <w:shd w:val="clear" w:color="auto" w:fill="auto"/>
            <w:vAlign w:val="bottom"/>
          </w:tcPr>
          <w:p w14:paraId="392BF33C" w14:textId="77777777" w:rsidR="00980E5F" w:rsidRDefault="00980E5F">
            <w:pPr>
              <w:rPr>
                <w:rFonts w:ascii="宋体"/>
                <w:vanish/>
              </w:rPr>
            </w:pPr>
          </w:p>
        </w:tc>
        <w:tc>
          <w:tcPr>
            <w:tcW w:w="0" w:type="auto"/>
            <w:shd w:val="clear" w:color="auto" w:fill="auto"/>
            <w:vAlign w:val="bottom"/>
          </w:tcPr>
          <w:p w14:paraId="392BF33D" w14:textId="77777777" w:rsidR="00980E5F" w:rsidRDefault="00980E5F">
            <w:pPr>
              <w:rPr>
                <w:rFonts w:ascii="宋体"/>
                <w:vanish/>
              </w:rPr>
            </w:pPr>
          </w:p>
        </w:tc>
        <w:tc>
          <w:tcPr>
            <w:tcW w:w="0" w:type="auto"/>
            <w:gridSpan w:val="3"/>
            <w:shd w:val="clear" w:color="auto" w:fill="auto"/>
            <w:vAlign w:val="bottom"/>
          </w:tcPr>
          <w:p w14:paraId="392BF33E" w14:textId="77777777" w:rsidR="00980E5F" w:rsidRDefault="00980E5F">
            <w:pPr>
              <w:rPr>
                <w:rFonts w:ascii="宋体"/>
                <w:vanish/>
              </w:rPr>
            </w:pPr>
          </w:p>
        </w:tc>
        <w:tc>
          <w:tcPr>
            <w:tcW w:w="0" w:type="auto"/>
            <w:gridSpan w:val="3"/>
            <w:shd w:val="clear" w:color="auto" w:fill="auto"/>
            <w:vAlign w:val="bottom"/>
          </w:tcPr>
          <w:p w14:paraId="392BF33F" w14:textId="77777777" w:rsidR="00980E5F" w:rsidRDefault="00980E5F">
            <w:pPr>
              <w:rPr>
                <w:rFonts w:ascii="宋体"/>
                <w:vanish/>
              </w:rPr>
            </w:pPr>
          </w:p>
        </w:tc>
        <w:tc>
          <w:tcPr>
            <w:tcW w:w="0" w:type="auto"/>
            <w:gridSpan w:val="3"/>
            <w:shd w:val="clear" w:color="auto" w:fill="auto"/>
            <w:vAlign w:val="bottom"/>
          </w:tcPr>
          <w:p w14:paraId="392BF340" w14:textId="77777777" w:rsidR="00980E5F" w:rsidRDefault="00980E5F">
            <w:pPr>
              <w:rPr>
                <w:rFonts w:ascii="宋体"/>
                <w:vanish/>
              </w:rPr>
            </w:pPr>
          </w:p>
        </w:tc>
        <w:tc>
          <w:tcPr>
            <w:tcW w:w="0" w:type="auto"/>
            <w:gridSpan w:val="3"/>
            <w:shd w:val="clear" w:color="auto" w:fill="auto"/>
            <w:vAlign w:val="bottom"/>
          </w:tcPr>
          <w:p w14:paraId="392BF341" w14:textId="77777777" w:rsidR="00980E5F" w:rsidRDefault="00980E5F">
            <w:pPr>
              <w:rPr>
                <w:rFonts w:ascii="宋体"/>
                <w:vanish/>
              </w:rPr>
            </w:pPr>
          </w:p>
        </w:tc>
        <w:tc>
          <w:tcPr>
            <w:tcW w:w="0" w:type="auto"/>
            <w:gridSpan w:val="3"/>
            <w:shd w:val="clear" w:color="auto" w:fill="auto"/>
            <w:vAlign w:val="bottom"/>
          </w:tcPr>
          <w:p w14:paraId="392BF342" w14:textId="77777777" w:rsidR="00980E5F" w:rsidRDefault="00980E5F">
            <w:pPr>
              <w:rPr>
                <w:rFonts w:ascii="宋体"/>
                <w:vanish/>
              </w:rPr>
            </w:pPr>
          </w:p>
        </w:tc>
        <w:tc>
          <w:tcPr>
            <w:tcW w:w="0" w:type="auto"/>
            <w:gridSpan w:val="3"/>
            <w:shd w:val="clear" w:color="auto" w:fill="auto"/>
            <w:vAlign w:val="bottom"/>
          </w:tcPr>
          <w:p w14:paraId="392BF343" w14:textId="77777777" w:rsidR="00980E5F" w:rsidRDefault="00980E5F">
            <w:pPr>
              <w:rPr>
                <w:rFonts w:ascii="宋体"/>
                <w:vanish/>
              </w:rPr>
            </w:pPr>
          </w:p>
        </w:tc>
        <w:tc>
          <w:tcPr>
            <w:tcW w:w="0" w:type="auto"/>
            <w:gridSpan w:val="3"/>
            <w:shd w:val="clear" w:color="auto" w:fill="auto"/>
            <w:vAlign w:val="bottom"/>
          </w:tcPr>
          <w:p w14:paraId="392BF344" w14:textId="77777777" w:rsidR="00980E5F" w:rsidRDefault="00980E5F">
            <w:pPr>
              <w:rPr>
                <w:rFonts w:ascii="宋体"/>
                <w:vanish/>
              </w:rPr>
            </w:pPr>
          </w:p>
        </w:tc>
        <w:tc>
          <w:tcPr>
            <w:tcW w:w="0" w:type="auto"/>
            <w:gridSpan w:val="3"/>
            <w:shd w:val="clear" w:color="auto" w:fill="auto"/>
            <w:vAlign w:val="bottom"/>
          </w:tcPr>
          <w:p w14:paraId="392BF345" w14:textId="77777777" w:rsidR="00980E5F" w:rsidRDefault="00980E5F">
            <w:pPr>
              <w:rPr>
                <w:rFonts w:ascii="宋体"/>
                <w:vanish/>
              </w:rPr>
            </w:pPr>
          </w:p>
        </w:tc>
      </w:tr>
      <w:tr w:rsidR="00980E5F" w14:paraId="392BF35A" w14:textId="77777777">
        <w:tc>
          <w:tcPr>
            <w:tcW w:w="0" w:type="auto"/>
            <w:gridSpan w:val="3"/>
            <w:shd w:val="clear" w:color="auto" w:fill="FFFFFF"/>
            <w:tcMar>
              <w:top w:w="40" w:type="dxa"/>
              <w:left w:w="20" w:type="dxa"/>
              <w:bottom w:w="40" w:type="dxa"/>
              <w:right w:w="20" w:type="dxa"/>
            </w:tcMar>
            <w:vAlign w:val="bottom"/>
          </w:tcPr>
          <w:p w14:paraId="392BF347" w14:textId="77777777" w:rsidR="00980E5F" w:rsidRDefault="00483613">
            <w:pPr>
              <w:textAlignment w:val="bottom"/>
            </w:pPr>
            <w:r>
              <w:rPr>
                <w:rFonts w:ascii="Arial" w:eastAsia="宋体" w:hAnsi="Arial" w:cs="Arial"/>
                <w:color w:val="000000"/>
                <w:sz w:val="15"/>
                <w:szCs w:val="15"/>
              </w:rPr>
              <w:t>Total alternative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348" w14:textId="77777777" w:rsidR="00980E5F" w:rsidRDefault="00483613">
            <w:pPr>
              <w:jc w:val="right"/>
              <w:textAlignment w:val="bottom"/>
            </w:pPr>
            <w:r>
              <w:rPr>
                <w:rFonts w:ascii="Arial" w:eastAsia="宋体" w:hAnsi="Arial" w:cs="Arial"/>
                <w:b/>
                <w:bCs/>
                <w:color w:val="000000"/>
                <w:sz w:val="15"/>
                <w:szCs w:val="15"/>
              </w:rPr>
              <w:t>234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3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34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34B" w14:textId="77777777" w:rsidR="00980E5F" w:rsidRDefault="00483613">
            <w:pPr>
              <w:jc w:val="right"/>
              <w:textAlignment w:val="bottom"/>
            </w:pPr>
            <w:r>
              <w:rPr>
                <w:rFonts w:ascii="Arial" w:eastAsia="宋体" w:hAnsi="Arial" w:cs="Arial"/>
                <w:color w:val="000000"/>
                <w:sz w:val="15"/>
                <w:szCs w:val="15"/>
              </w:rPr>
              <w:t>251 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34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34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34E" w14:textId="77777777" w:rsidR="00980E5F" w:rsidRDefault="00483613">
            <w:pPr>
              <w:jc w:val="right"/>
              <w:textAlignment w:val="bottom"/>
            </w:pPr>
            <w:r>
              <w:rPr>
                <w:rFonts w:ascii="Arial" w:eastAsia="宋体" w:hAnsi="Arial" w:cs="Arial"/>
                <w:color w:val="000000"/>
                <w:sz w:val="15"/>
                <w:szCs w:val="15"/>
              </w:rPr>
              <w:t>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34F" w14:textId="77777777" w:rsidR="00980E5F" w:rsidRDefault="00980E5F">
            <w:pPr>
              <w:jc w:val="right"/>
              <w:rPr>
                <w:rFonts w:ascii="宋体"/>
              </w:rPr>
            </w:pPr>
          </w:p>
        </w:tc>
        <w:tc>
          <w:tcPr>
            <w:tcW w:w="0" w:type="auto"/>
            <w:shd w:val="clear" w:color="auto" w:fill="auto"/>
            <w:vAlign w:val="bottom"/>
          </w:tcPr>
          <w:p w14:paraId="392BF350" w14:textId="77777777" w:rsidR="00980E5F" w:rsidRDefault="00980E5F">
            <w:pPr>
              <w:rPr>
                <w:rFonts w:ascii="宋体"/>
                <w:vanish/>
              </w:rPr>
            </w:pPr>
          </w:p>
        </w:tc>
        <w:tc>
          <w:tcPr>
            <w:tcW w:w="0" w:type="auto"/>
            <w:shd w:val="clear" w:color="auto" w:fill="auto"/>
            <w:vAlign w:val="bottom"/>
          </w:tcPr>
          <w:p w14:paraId="392BF351" w14:textId="77777777" w:rsidR="00980E5F" w:rsidRDefault="00980E5F">
            <w:pPr>
              <w:rPr>
                <w:rFonts w:ascii="宋体"/>
                <w:vanish/>
              </w:rPr>
            </w:pPr>
          </w:p>
        </w:tc>
        <w:tc>
          <w:tcPr>
            <w:tcW w:w="0" w:type="auto"/>
            <w:gridSpan w:val="3"/>
            <w:shd w:val="clear" w:color="auto" w:fill="auto"/>
            <w:vAlign w:val="bottom"/>
          </w:tcPr>
          <w:p w14:paraId="392BF352" w14:textId="77777777" w:rsidR="00980E5F" w:rsidRDefault="00980E5F">
            <w:pPr>
              <w:rPr>
                <w:rFonts w:ascii="宋体"/>
                <w:vanish/>
              </w:rPr>
            </w:pPr>
          </w:p>
        </w:tc>
        <w:tc>
          <w:tcPr>
            <w:tcW w:w="0" w:type="auto"/>
            <w:gridSpan w:val="3"/>
            <w:shd w:val="clear" w:color="auto" w:fill="auto"/>
            <w:vAlign w:val="bottom"/>
          </w:tcPr>
          <w:p w14:paraId="392BF353" w14:textId="77777777" w:rsidR="00980E5F" w:rsidRDefault="00980E5F">
            <w:pPr>
              <w:rPr>
                <w:rFonts w:ascii="宋体"/>
                <w:vanish/>
              </w:rPr>
            </w:pPr>
          </w:p>
        </w:tc>
        <w:tc>
          <w:tcPr>
            <w:tcW w:w="0" w:type="auto"/>
            <w:gridSpan w:val="3"/>
            <w:shd w:val="clear" w:color="auto" w:fill="auto"/>
            <w:vAlign w:val="bottom"/>
          </w:tcPr>
          <w:p w14:paraId="392BF354" w14:textId="77777777" w:rsidR="00980E5F" w:rsidRDefault="00980E5F">
            <w:pPr>
              <w:rPr>
                <w:rFonts w:ascii="宋体"/>
                <w:vanish/>
              </w:rPr>
            </w:pPr>
          </w:p>
        </w:tc>
        <w:tc>
          <w:tcPr>
            <w:tcW w:w="0" w:type="auto"/>
            <w:gridSpan w:val="3"/>
            <w:shd w:val="clear" w:color="auto" w:fill="auto"/>
            <w:vAlign w:val="bottom"/>
          </w:tcPr>
          <w:p w14:paraId="392BF355" w14:textId="77777777" w:rsidR="00980E5F" w:rsidRDefault="00980E5F">
            <w:pPr>
              <w:rPr>
                <w:rFonts w:ascii="宋体"/>
                <w:vanish/>
              </w:rPr>
            </w:pPr>
          </w:p>
        </w:tc>
        <w:tc>
          <w:tcPr>
            <w:tcW w:w="0" w:type="auto"/>
            <w:gridSpan w:val="3"/>
            <w:shd w:val="clear" w:color="auto" w:fill="auto"/>
            <w:vAlign w:val="bottom"/>
          </w:tcPr>
          <w:p w14:paraId="392BF356" w14:textId="77777777" w:rsidR="00980E5F" w:rsidRDefault="00980E5F">
            <w:pPr>
              <w:rPr>
                <w:rFonts w:ascii="宋体"/>
                <w:vanish/>
              </w:rPr>
            </w:pPr>
          </w:p>
        </w:tc>
        <w:tc>
          <w:tcPr>
            <w:tcW w:w="0" w:type="auto"/>
            <w:gridSpan w:val="3"/>
            <w:shd w:val="clear" w:color="auto" w:fill="auto"/>
            <w:vAlign w:val="bottom"/>
          </w:tcPr>
          <w:p w14:paraId="392BF357" w14:textId="77777777" w:rsidR="00980E5F" w:rsidRDefault="00980E5F">
            <w:pPr>
              <w:rPr>
                <w:rFonts w:ascii="宋体"/>
                <w:vanish/>
              </w:rPr>
            </w:pPr>
          </w:p>
        </w:tc>
        <w:tc>
          <w:tcPr>
            <w:tcW w:w="0" w:type="auto"/>
            <w:gridSpan w:val="3"/>
            <w:shd w:val="clear" w:color="auto" w:fill="auto"/>
            <w:vAlign w:val="bottom"/>
          </w:tcPr>
          <w:p w14:paraId="392BF358" w14:textId="77777777" w:rsidR="00980E5F" w:rsidRDefault="00980E5F">
            <w:pPr>
              <w:rPr>
                <w:rFonts w:ascii="宋体"/>
                <w:vanish/>
              </w:rPr>
            </w:pPr>
          </w:p>
        </w:tc>
        <w:tc>
          <w:tcPr>
            <w:tcW w:w="0" w:type="auto"/>
            <w:gridSpan w:val="3"/>
            <w:shd w:val="clear" w:color="auto" w:fill="auto"/>
            <w:vAlign w:val="bottom"/>
          </w:tcPr>
          <w:p w14:paraId="392BF359" w14:textId="77777777" w:rsidR="00980E5F" w:rsidRDefault="00980E5F">
            <w:pPr>
              <w:rPr>
                <w:rFonts w:ascii="宋体"/>
                <w:vanish/>
              </w:rPr>
            </w:pPr>
          </w:p>
        </w:tc>
      </w:tr>
      <w:tr w:rsidR="00980E5F" w14:paraId="392BF371" w14:textId="77777777">
        <w:tc>
          <w:tcPr>
            <w:tcW w:w="0" w:type="auto"/>
            <w:gridSpan w:val="3"/>
            <w:shd w:val="clear" w:color="auto" w:fill="CCEEFF"/>
            <w:tcMar>
              <w:top w:w="40" w:type="dxa"/>
              <w:left w:w="20" w:type="dxa"/>
              <w:bottom w:w="40" w:type="dxa"/>
              <w:right w:w="20" w:type="dxa"/>
            </w:tcMar>
            <w:vAlign w:val="bottom"/>
          </w:tcPr>
          <w:p w14:paraId="392BF35B" w14:textId="77777777" w:rsidR="00980E5F" w:rsidRDefault="00483613">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35C"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35D" w14:textId="77777777" w:rsidR="00980E5F" w:rsidRDefault="00483613">
            <w:pPr>
              <w:jc w:val="right"/>
              <w:textAlignment w:val="bottom"/>
            </w:pPr>
            <w:r>
              <w:rPr>
                <w:rFonts w:ascii="Arial" w:eastAsia="宋体" w:hAnsi="Arial" w:cs="Arial"/>
                <w:b/>
                <w:bCs/>
                <w:color w:val="000000"/>
                <w:sz w:val="15"/>
                <w:szCs w:val="15"/>
              </w:rPr>
              <w:t>3,475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3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35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36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361" w14:textId="77777777" w:rsidR="00980E5F" w:rsidRDefault="00483613">
            <w:pPr>
              <w:jc w:val="right"/>
              <w:textAlignment w:val="bottom"/>
            </w:pPr>
            <w:r>
              <w:rPr>
                <w:rFonts w:ascii="Arial" w:eastAsia="宋体" w:hAnsi="Arial" w:cs="Arial"/>
                <w:color w:val="000000"/>
                <w:sz w:val="15"/>
                <w:szCs w:val="15"/>
              </w:rPr>
              <w:t>4,138 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3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36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36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365" w14:textId="77777777" w:rsidR="00980E5F" w:rsidRDefault="00483613">
            <w:pPr>
              <w:jc w:val="right"/>
              <w:textAlignment w:val="bottom"/>
            </w:pPr>
            <w:r>
              <w:rPr>
                <w:rFonts w:ascii="Arial" w:eastAsia="宋体" w:hAnsi="Arial" w:cs="Arial"/>
                <w:color w:val="000000"/>
                <w:sz w:val="15"/>
                <w:szCs w:val="15"/>
              </w:rPr>
              <w:t>3,897 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366" w14:textId="77777777" w:rsidR="00980E5F" w:rsidRDefault="00980E5F">
            <w:pPr>
              <w:jc w:val="right"/>
              <w:rPr>
                <w:rFonts w:ascii="宋体"/>
              </w:rPr>
            </w:pPr>
          </w:p>
        </w:tc>
        <w:tc>
          <w:tcPr>
            <w:tcW w:w="0" w:type="auto"/>
            <w:shd w:val="clear" w:color="auto" w:fill="auto"/>
            <w:vAlign w:val="bottom"/>
          </w:tcPr>
          <w:p w14:paraId="392BF367" w14:textId="77777777" w:rsidR="00980E5F" w:rsidRDefault="00980E5F">
            <w:pPr>
              <w:rPr>
                <w:rFonts w:ascii="宋体"/>
                <w:vanish/>
              </w:rPr>
            </w:pPr>
          </w:p>
        </w:tc>
        <w:tc>
          <w:tcPr>
            <w:tcW w:w="0" w:type="auto"/>
            <w:shd w:val="clear" w:color="auto" w:fill="auto"/>
            <w:vAlign w:val="bottom"/>
          </w:tcPr>
          <w:p w14:paraId="392BF368" w14:textId="77777777" w:rsidR="00980E5F" w:rsidRDefault="00980E5F">
            <w:pPr>
              <w:rPr>
                <w:rFonts w:ascii="宋体"/>
                <w:vanish/>
              </w:rPr>
            </w:pPr>
          </w:p>
        </w:tc>
        <w:tc>
          <w:tcPr>
            <w:tcW w:w="0" w:type="auto"/>
            <w:gridSpan w:val="3"/>
            <w:shd w:val="clear" w:color="auto" w:fill="auto"/>
            <w:vAlign w:val="bottom"/>
          </w:tcPr>
          <w:p w14:paraId="392BF369" w14:textId="77777777" w:rsidR="00980E5F" w:rsidRDefault="00980E5F">
            <w:pPr>
              <w:rPr>
                <w:rFonts w:ascii="宋体"/>
                <w:vanish/>
              </w:rPr>
            </w:pPr>
          </w:p>
        </w:tc>
        <w:tc>
          <w:tcPr>
            <w:tcW w:w="0" w:type="auto"/>
            <w:gridSpan w:val="3"/>
            <w:shd w:val="clear" w:color="auto" w:fill="auto"/>
            <w:vAlign w:val="bottom"/>
          </w:tcPr>
          <w:p w14:paraId="392BF36A" w14:textId="77777777" w:rsidR="00980E5F" w:rsidRDefault="00980E5F">
            <w:pPr>
              <w:rPr>
                <w:rFonts w:ascii="宋体"/>
                <w:vanish/>
              </w:rPr>
            </w:pPr>
          </w:p>
        </w:tc>
        <w:tc>
          <w:tcPr>
            <w:tcW w:w="0" w:type="auto"/>
            <w:gridSpan w:val="3"/>
            <w:shd w:val="clear" w:color="auto" w:fill="auto"/>
            <w:vAlign w:val="bottom"/>
          </w:tcPr>
          <w:p w14:paraId="392BF36B" w14:textId="77777777" w:rsidR="00980E5F" w:rsidRDefault="00980E5F">
            <w:pPr>
              <w:rPr>
                <w:rFonts w:ascii="宋体"/>
                <w:vanish/>
              </w:rPr>
            </w:pPr>
          </w:p>
        </w:tc>
        <w:tc>
          <w:tcPr>
            <w:tcW w:w="0" w:type="auto"/>
            <w:gridSpan w:val="3"/>
            <w:shd w:val="clear" w:color="auto" w:fill="auto"/>
            <w:vAlign w:val="bottom"/>
          </w:tcPr>
          <w:p w14:paraId="392BF36C" w14:textId="77777777" w:rsidR="00980E5F" w:rsidRDefault="00980E5F">
            <w:pPr>
              <w:rPr>
                <w:rFonts w:ascii="宋体"/>
                <w:vanish/>
              </w:rPr>
            </w:pPr>
          </w:p>
        </w:tc>
        <w:tc>
          <w:tcPr>
            <w:tcW w:w="0" w:type="auto"/>
            <w:gridSpan w:val="3"/>
            <w:shd w:val="clear" w:color="auto" w:fill="auto"/>
            <w:vAlign w:val="bottom"/>
          </w:tcPr>
          <w:p w14:paraId="392BF36D" w14:textId="77777777" w:rsidR="00980E5F" w:rsidRDefault="00980E5F">
            <w:pPr>
              <w:rPr>
                <w:rFonts w:ascii="宋体"/>
                <w:vanish/>
              </w:rPr>
            </w:pPr>
          </w:p>
        </w:tc>
        <w:tc>
          <w:tcPr>
            <w:tcW w:w="0" w:type="auto"/>
            <w:gridSpan w:val="3"/>
            <w:shd w:val="clear" w:color="auto" w:fill="auto"/>
            <w:vAlign w:val="bottom"/>
          </w:tcPr>
          <w:p w14:paraId="392BF36E" w14:textId="77777777" w:rsidR="00980E5F" w:rsidRDefault="00980E5F">
            <w:pPr>
              <w:rPr>
                <w:rFonts w:ascii="宋体"/>
                <w:vanish/>
              </w:rPr>
            </w:pPr>
          </w:p>
        </w:tc>
        <w:tc>
          <w:tcPr>
            <w:tcW w:w="0" w:type="auto"/>
            <w:gridSpan w:val="3"/>
            <w:shd w:val="clear" w:color="auto" w:fill="auto"/>
            <w:vAlign w:val="bottom"/>
          </w:tcPr>
          <w:p w14:paraId="392BF36F" w14:textId="77777777" w:rsidR="00980E5F" w:rsidRDefault="00980E5F">
            <w:pPr>
              <w:rPr>
                <w:rFonts w:ascii="宋体"/>
                <w:vanish/>
              </w:rPr>
            </w:pPr>
          </w:p>
        </w:tc>
        <w:tc>
          <w:tcPr>
            <w:tcW w:w="0" w:type="auto"/>
            <w:gridSpan w:val="3"/>
            <w:shd w:val="clear" w:color="auto" w:fill="auto"/>
            <w:vAlign w:val="bottom"/>
          </w:tcPr>
          <w:p w14:paraId="392BF370" w14:textId="77777777" w:rsidR="00980E5F" w:rsidRDefault="00980E5F">
            <w:pPr>
              <w:rPr>
                <w:rFonts w:ascii="宋体"/>
                <w:vanish/>
              </w:rPr>
            </w:pPr>
          </w:p>
        </w:tc>
      </w:tr>
    </w:tbl>
    <w:p w14:paraId="392BF372" w14:textId="77777777" w:rsidR="00980E5F" w:rsidRDefault="00980E5F">
      <w:pPr>
        <w:rPr>
          <w:vanish/>
        </w:rPr>
      </w:pPr>
    </w:p>
    <w:tbl>
      <w:tblPr>
        <w:tblW w:w="5000" w:type="pct"/>
        <w:tblInd w:w="-75" w:type="dxa"/>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F379" w14:textId="77777777">
        <w:tc>
          <w:tcPr>
            <w:tcW w:w="50" w:type="pct"/>
            <w:shd w:val="clear" w:color="auto" w:fill="auto"/>
            <w:vAlign w:val="bottom"/>
          </w:tcPr>
          <w:p w14:paraId="392BF373" w14:textId="77777777" w:rsidR="00980E5F" w:rsidRDefault="00980E5F">
            <w:pPr>
              <w:rPr>
                <w:rFonts w:ascii="宋体"/>
              </w:rPr>
            </w:pPr>
          </w:p>
        </w:tc>
        <w:tc>
          <w:tcPr>
            <w:tcW w:w="1348" w:type="pct"/>
            <w:shd w:val="clear" w:color="auto" w:fill="auto"/>
            <w:vAlign w:val="bottom"/>
          </w:tcPr>
          <w:p w14:paraId="392BF374" w14:textId="77777777" w:rsidR="00980E5F" w:rsidRDefault="00980E5F">
            <w:pPr>
              <w:rPr>
                <w:rFonts w:ascii="宋体"/>
              </w:rPr>
            </w:pPr>
          </w:p>
        </w:tc>
        <w:tc>
          <w:tcPr>
            <w:tcW w:w="5" w:type="pct"/>
            <w:shd w:val="clear" w:color="auto" w:fill="auto"/>
            <w:vAlign w:val="bottom"/>
          </w:tcPr>
          <w:p w14:paraId="392BF375" w14:textId="77777777" w:rsidR="00980E5F" w:rsidRDefault="00980E5F">
            <w:pPr>
              <w:rPr>
                <w:rFonts w:ascii="宋体"/>
              </w:rPr>
            </w:pPr>
          </w:p>
        </w:tc>
        <w:tc>
          <w:tcPr>
            <w:tcW w:w="50" w:type="pct"/>
            <w:shd w:val="clear" w:color="auto" w:fill="auto"/>
            <w:vAlign w:val="bottom"/>
          </w:tcPr>
          <w:p w14:paraId="392BF376" w14:textId="77777777" w:rsidR="00980E5F" w:rsidRDefault="00980E5F">
            <w:pPr>
              <w:rPr>
                <w:rFonts w:ascii="宋体"/>
              </w:rPr>
            </w:pPr>
          </w:p>
        </w:tc>
        <w:tc>
          <w:tcPr>
            <w:tcW w:w="3541" w:type="pct"/>
            <w:shd w:val="clear" w:color="auto" w:fill="auto"/>
            <w:vAlign w:val="bottom"/>
          </w:tcPr>
          <w:p w14:paraId="392BF377" w14:textId="77777777" w:rsidR="00980E5F" w:rsidRDefault="00980E5F">
            <w:pPr>
              <w:rPr>
                <w:rFonts w:ascii="宋体"/>
              </w:rPr>
            </w:pPr>
          </w:p>
        </w:tc>
        <w:tc>
          <w:tcPr>
            <w:tcW w:w="5" w:type="pct"/>
            <w:shd w:val="clear" w:color="auto" w:fill="auto"/>
            <w:vAlign w:val="bottom"/>
          </w:tcPr>
          <w:p w14:paraId="392BF378" w14:textId="77777777" w:rsidR="00980E5F" w:rsidRDefault="00980E5F">
            <w:pPr>
              <w:rPr>
                <w:rFonts w:ascii="宋体"/>
              </w:rPr>
            </w:pPr>
          </w:p>
        </w:tc>
      </w:tr>
      <w:tr w:rsidR="00980E5F" w14:paraId="392BF37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37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37B" w14:textId="77777777" w:rsidR="00980E5F" w:rsidRDefault="00980E5F">
            <w:pPr>
              <w:rPr>
                <w:rFonts w:ascii="宋体"/>
              </w:rPr>
            </w:pPr>
          </w:p>
        </w:tc>
      </w:tr>
    </w:tbl>
    <w:p w14:paraId="392BF37D" w14:textId="77777777" w:rsidR="00980E5F" w:rsidRDefault="00483613">
      <w:pPr>
        <w:jc w:val="both"/>
      </w:pPr>
      <w:r>
        <w:rPr>
          <w:rFonts w:ascii="Arial" w:eastAsia="宋体" w:hAnsi="Arial" w:cs="Arial"/>
          <w:color w:val="000000"/>
          <w:sz w:val="8"/>
          <w:szCs w:val="8"/>
        </w:rPr>
        <w:t xml:space="preserve">(1) </w:t>
      </w:r>
      <w:r>
        <w:rPr>
          <w:rFonts w:ascii="Arial" w:eastAsia="宋体" w:hAnsi="Arial" w:cs="Arial"/>
          <w:color w:val="000000"/>
          <w:sz w:val="13"/>
          <w:szCs w:val="13"/>
        </w:rPr>
        <w:t>Includes both floating- and constant-net-asset-value portfolios held in commingled structures or separate accounts.</w:t>
      </w:r>
    </w:p>
    <w:p w14:paraId="392BF37E" w14:textId="77777777" w:rsidR="00980E5F" w:rsidRDefault="00483613">
      <w:pPr>
        <w:jc w:val="both"/>
      </w:pPr>
      <w:r>
        <w:rPr>
          <w:rFonts w:ascii="Arial" w:eastAsia="宋体" w:hAnsi="Arial" w:cs="Arial"/>
          <w:color w:val="000000"/>
          <w:sz w:val="8"/>
          <w:szCs w:val="8"/>
        </w:rPr>
        <w:t>(2)</w:t>
      </w:r>
      <w:r>
        <w:rPr>
          <w:rFonts w:ascii="Arial" w:eastAsia="宋体" w:hAnsi="Arial" w:cs="Arial"/>
          <w:color w:val="000000"/>
          <w:sz w:val="20"/>
          <w:szCs w:val="20"/>
        </w:rPr>
        <w:t xml:space="preserve">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392BF37F" w14:textId="77777777" w:rsidR="00980E5F" w:rsidRDefault="00483613">
      <w:pPr>
        <w:ind w:firstLine="450"/>
        <w:jc w:val="right"/>
      </w:pPr>
      <w:r>
        <w:rPr>
          <w:rFonts w:ascii="Arial" w:eastAsia="宋体" w:hAnsi="Arial" w:cs="Arial"/>
          <w:color w:val="000000"/>
          <w:sz w:val="18"/>
          <w:szCs w:val="18"/>
        </w:rPr>
        <w:t>State Street Corporation | 16</w:t>
      </w:r>
    </w:p>
    <w:p w14:paraId="392BF380" w14:textId="77777777" w:rsidR="00980E5F" w:rsidRDefault="00980E5F">
      <w:pPr>
        <w:ind w:firstLine="450"/>
        <w:jc w:val="center"/>
      </w:pPr>
    </w:p>
    <w:p w14:paraId="392BF381" w14:textId="77777777" w:rsidR="00980E5F" w:rsidRDefault="00483613">
      <w:r>
        <w:pict w14:anchorId="392CBADE">
          <v:rect id="_x0000_i1040" style="width:415.3pt;height:1.5pt" o:hralign="center" o:hrstd="t" o:hr="t" fillcolor="#a0a0a0" stroked="f"/>
        </w:pict>
      </w:r>
    </w:p>
    <w:p w14:paraId="392BF382"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383" w14:textId="77777777" w:rsidR="00980E5F" w:rsidRDefault="00483613">
      <w:pPr>
        <w:ind w:firstLine="450"/>
        <w:jc w:val="center"/>
      </w:pPr>
      <w:r>
        <w:rPr>
          <w:rFonts w:ascii="Arial" w:eastAsia="宋体" w:hAnsi="Arial" w:cs="Arial"/>
          <w:b/>
          <w:bCs/>
          <w:color w:val="000000"/>
          <w:sz w:val="20"/>
          <w:szCs w:val="20"/>
        </w:rPr>
        <w:t>AND RESULTS OF OPERATIONS</w:t>
      </w:r>
    </w:p>
    <w:p w14:paraId="392BF384" w14:textId="77777777" w:rsidR="00980E5F" w:rsidRDefault="00980E5F">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3070"/>
        <w:gridCol w:w="39"/>
        <w:gridCol w:w="105"/>
        <w:gridCol w:w="1419"/>
        <w:gridCol w:w="38"/>
        <w:gridCol w:w="37"/>
        <w:gridCol w:w="37"/>
        <w:gridCol w:w="37"/>
        <w:gridCol w:w="106"/>
        <w:gridCol w:w="1380"/>
        <w:gridCol w:w="38"/>
        <w:gridCol w:w="36"/>
        <w:gridCol w:w="36"/>
        <w:gridCol w:w="36"/>
        <w:gridCol w:w="104"/>
        <w:gridCol w:w="1382"/>
        <w:gridCol w:w="37"/>
        <w:gridCol w:w="36"/>
        <w:gridCol w:w="36"/>
        <w:gridCol w:w="36"/>
        <w:gridCol w:w="36"/>
        <w:gridCol w:w="36"/>
        <w:gridCol w:w="36"/>
        <w:gridCol w:w="36"/>
        <w:gridCol w:w="36"/>
        <w:gridCol w:w="36"/>
        <w:gridCol w:w="36"/>
      </w:tblGrid>
      <w:tr w:rsidR="00980E5F" w14:paraId="392BF3A1" w14:textId="77777777">
        <w:tc>
          <w:tcPr>
            <w:tcW w:w="50" w:type="pct"/>
            <w:shd w:val="clear" w:color="auto" w:fill="auto"/>
            <w:vAlign w:val="bottom"/>
          </w:tcPr>
          <w:p w14:paraId="392BF385" w14:textId="77777777" w:rsidR="00980E5F" w:rsidRDefault="00980E5F">
            <w:pPr>
              <w:rPr>
                <w:rFonts w:ascii="宋体"/>
              </w:rPr>
            </w:pPr>
          </w:p>
        </w:tc>
        <w:tc>
          <w:tcPr>
            <w:tcW w:w="1955" w:type="pct"/>
            <w:shd w:val="clear" w:color="auto" w:fill="auto"/>
            <w:vAlign w:val="bottom"/>
          </w:tcPr>
          <w:p w14:paraId="392BF386" w14:textId="77777777" w:rsidR="00980E5F" w:rsidRDefault="00980E5F">
            <w:pPr>
              <w:rPr>
                <w:rFonts w:ascii="宋体"/>
              </w:rPr>
            </w:pPr>
          </w:p>
        </w:tc>
        <w:tc>
          <w:tcPr>
            <w:tcW w:w="5" w:type="pct"/>
            <w:shd w:val="clear" w:color="auto" w:fill="auto"/>
            <w:vAlign w:val="bottom"/>
          </w:tcPr>
          <w:p w14:paraId="392BF387" w14:textId="77777777" w:rsidR="00980E5F" w:rsidRDefault="00980E5F">
            <w:pPr>
              <w:rPr>
                <w:rFonts w:ascii="宋体"/>
              </w:rPr>
            </w:pPr>
          </w:p>
        </w:tc>
        <w:tc>
          <w:tcPr>
            <w:tcW w:w="50" w:type="pct"/>
            <w:shd w:val="clear" w:color="auto" w:fill="auto"/>
            <w:vAlign w:val="bottom"/>
          </w:tcPr>
          <w:p w14:paraId="392BF388" w14:textId="77777777" w:rsidR="00980E5F" w:rsidRDefault="00980E5F">
            <w:pPr>
              <w:rPr>
                <w:rFonts w:ascii="宋体"/>
              </w:rPr>
            </w:pPr>
          </w:p>
        </w:tc>
        <w:tc>
          <w:tcPr>
            <w:tcW w:w="917" w:type="pct"/>
            <w:shd w:val="clear" w:color="auto" w:fill="auto"/>
            <w:vAlign w:val="bottom"/>
          </w:tcPr>
          <w:p w14:paraId="392BF389" w14:textId="77777777" w:rsidR="00980E5F" w:rsidRDefault="00980E5F">
            <w:pPr>
              <w:rPr>
                <w:rFonts w:ascii="宋体"/>
              </w:rPr>
            </w:pPr>
          </w:p>
        </w:tc>
        <w:tc>
          <w:tcPr>
            <w:tcW w:w="5" w:type="pct"/>
            <w:shd w:val="clear" w:color="auto" w:fill="auto"/>
            <w:vAlign w:val="bottom"/>
          </w:tcPr>
          <w:p w14:paraId="392BF38A" w14:textId="77777777" w:rsidR="00980E5F" w:rsidRDefault="00980E5F">
            <w:pPr>
              <w:rPr>
                <w:rFonts w:ascii="宋体"/>
              </w:rPr>
            </w:pPr>
          </w:p>
        </w:tc>
        <w:tc>
          <w:tcPr>
            <w:tcW w:w="5" w:type="pct"/>
            <w:shd w:val="clear" w:color="auto" w:fill="auto"/>
            <w:vAlign w:val="bottom"/>
          </w:tcPr>
          <w:p w14:paraId="392BF38B" w14:textId="77777777" w:rsidR="00980E5F" w:rsidRDefault="00980E5F">
            <w:pPr>
              <w:rPr>
                <w:rFonts w:ascii="宋体"/>
              </w:rPr>
            </w:pPr>
          </w:p>
        </w:tc>
        <w:tc>
          <w:tcPr>
            <w:tcW w:w="26" w:type="pct"/>
            <w:shd w:val="clear" w:color="auto" w:fill="auto"/>
            <w:vAlign w:val="bottom"/>
          </w:tcPr>
          <w:p w14:paraId="392BF38C" w14:textId="77777777" w:rsidR="00980E5F" w:rsidRDefault="00980E5F">
            <w:pPr>
              <w:rPr>
                <w:rFonts w:ascii="宋体"/>
              </w:rPr>
            </w:pPr>
          </w:p>
        </w:tc>
        <w:tc>
          <w:tcPr>
            <w:tcW w:w="5" w:type="pct"/>
            <w:shd w:val="clear" w:color="auto" w:fill="auto"/>
            <w:vAlign w:val="bottom"/>
          </w:tcPr>
          <w:p w14:paraId="392BF38D" w14:textId="77777777" w:rsidR="00980E5F" w:rsidRDefault="00980E5F">
            <w:pPr>
              <w:rPr>
                <w:rFonts w:ascii="宋体"/>
              </w:rPr>
            </w:pPr>
          </w:p>
        </w:tc>
        <w:tc>
          <w:tcPr>
            <w:tcW w:w="50" w:type="pct"/>
            <w:shd w:val="clear" w:color="auto" w:fill="auto"/>
            <w:vAlign w:val="bottom"/>
          </w:tcPr>
          <w:p w14:paraId="392BF38E" w14:textId="77777777" w:rsidR="00980E5F" w:rsidRDefault="00980E5F">
            <w:pPr>
              <w:rPr>
                <w:rFonts w:ascii="宋体"/>
              </w:rPr>
            </w:pPr>
          </w:p>
        </w:tc>
        <w:tc>
          <w:tcPr>
            <w:tcW w:w="917" w:type="pct"/>
            <w:shd w:val="clear" w:color="auto" w:fill="auto"/>
            <w:vAlign w:val="bottom"/>
          </w:tcPr>
          <w:p w14:paraId="392BF38F" w14:textId="77777777" w:rsidR="00980E5F" w:rsidRDefault="00980E5F">
            <w:pPr>
              <w:rPr>
                <w:rFonts w:ascii="宋体"/>
              </w:rPr>
            </w:pPr>
          </w:p>
        </w:tc>
        <w:tc>
          <w:tcPr>
            <w:tcW w:w="5" w:type="pct"/>
            <w:shd w:val="clear" w:color="auto" w:fill="auto"/>
            <w:vAlign w:val="bottom"/>
          </w:tcPr>
          <w:p w14:paraId="392BF390" w14:textId="77777777" w:rsidR="00980E5F" w:rsidRDefault="00980E5F">
            <w:pPr>
              <w:rPr>
                <w:rFonts w:ascii="宋体"/>
              </w:rPr>
            </w:pPr>
          </w:p>
        </w:tc>
        <w:tc>
          <w:tcPr>
            <w:tcW w:w="5" w:type="pct"/>
            <w:shd w:val="clear" w:color="auto" w:fill="auto"/>
            <w:vAlign w:val="bottom"/>
          </w:tcPr>
          <w:p w14:paraId="392BF391" w14:textId="77777777" w:rsidR="00980E5F" w:rsidRDefault="00980E5F">
            <w:pPr>
              <w:rPr>
                <w:rFonts w:ascii="宋体"/>
              </w:rPr>
            </w:pPr>
          </w:p>
        </w:tc>
        <w:tc>
          <w:tcPr>
            <w:tcW w:w="26" w:type="pct"/>
            <w:shd w:val="clear" w:color="auto" w:fill="auto"/>
            <w:vAlign w:val="bottom"/>
          </w:tcPr>
          <w:p w14:paraId="392BF392" w14:textId="77777777" w:rsidR="00980E5F" w:rsidRDefault="00980E5F">
            <w:pPr>
              <w:rPr>
                <w:rFonts w:ascii="宋体"/>
              </w:rPr>
            </w:pPr>
          </w:p>
        </w:tc>
        <w:tc>
          <w:tcPr>
            <w:tcW w:w="5" w:type="pct"/>
            <w:shd w:val="clear" w:color="auto" w:fill="auto"/>
            <w:vAlign w:val="bottom"/>
          </w:tcPr>
          <w:p w14:paraId="392BF393" w14:textId="77777777" w:rsidR="00980E5F" w:rsidRDefault="00980E5F">
            <w:pPr>
              <w:rPr>
                <w:rFonts w:ascii="宋体"/>
              </w:rPr>
            </w:pPr>
          </w:p>
        </w:tc>
        <w:tc>
          <w:tcPr>
            <w:tcW w:w="50" w:type="pct"/>
            <w:shd w:val="clear" w:color="auto" w:fill="auto"/>
            <w:vAlign w:val="bottom"/>
          </w:tcPr>
          <w:p w14:paraId="392BF394" w14:textId="77777777" w:rsidR="00980E5F" w:rsidRDefault="00980E5F">
            <w:pPr>
              <w:rPr>
                <w:rFonts w:ascii="宋体"/>
              </w:rPr>
            </w:pPr>
          </w:p>
        </w:tc>
        <w:tc>
          <w:tcPr>
            <w:tcW w:w="917" w:type="pct"/>
            <w:shd w:val="clear" w:color="auto" w:fill="auto"/>
            <w:vAlign w:val="bottom"/>
          </w:tcPr>
          <w:p w14:paraId="392BF395" w14:textId="77777777" w:rsidR="00980E5F" w:rsidRDefault="00980E5F">
            <w:pPr>
              <w:rPr>
                <w:rFonts w:ascii="宋体"/>
              </w:rPr>
            </w:pPr>
          </w:p>
        </w:tc>
        <w:tc>
          <w:tcPr>
            <w:tcW w:w="5" w:type="pct"/>
            <w:shd w:val="clear" w:color="auto" w:fill="auto"/>
            <w:vAlign w:val="bottom"/>
          </w:tcPr>
          <w:p w14:paraId="392BF396" w14:textId="77777777" w:rsidR="00980E5F" w:rsidRDefault="00980E5F">
            <w:pPr>
              <w:rPr>
                <w:rFonts w:ascii="宋体"/>
              </w:rPr>
            </w:pPr>
          </w:p>
        </w:tc>
        <w:tc>
          <w:tcPr>
            <w:tcW w:w="0" w:type="auto"/>
            <w:shd w:val="clear" w:color="auto" w:fill="auto"/>
            <w:vAlign w:val="bottom"/>
          </w:tcPr>
          <w:p w14:paraId="392BF397" w14:textId="77777777" w:rsidR="00980E5F" w:rsidRDefault="00980E5F">
            <w:pPr>
              <w:rPr>
                <w:rFonts w:ascii="宋体"/>
                <w:vanish/>
              </w:rPr>
            </w:pPr>
          </w:p>
        </w:tc>
        <w:tc>
          <w:tcPr>
            <w:tcW w:w="0" w:type="auto"/>
            <w:shd w:val="clear" w:color="auto" w:fill="auto"/>
            <w:vAlign w:val="bottom"/>
          </w:tcPr>
          <w:p w14:paraId="392BF398" w14:textId="77777777" w:rsidR="00980E5F" w:rsidRDefault="00980E5F">
            <w:pPr>
              <w:rPr>
                <w:rFonts w:ascii="宋体"/>
                <w:vanish/>
              </w:rPr>
            </w:pPr>
          </w:p>
        </w:tc>
        <w:tc>
          <w:tcPr>
            <w:tcW w:w="0" w:type="auto"/>
            <w:shd w:val="clear" w:color="auto" w:fill="auto"/>
            <w:vAlign w:val="bottom"/>
          </w:tcPr>
          <w:p w14:paraId="392BF399" w14:textId="77777777" w:rsidR="00980E5F" w:rsidRDefault="00980E5F">
            <w:pPr>
              <w:rPr>
                <w:rFonts w:ascii="宋体"/>
                <w:vanish/>
              </w:rPr>
            </w:pPr>
          </w:p>
        </w:tc>
        <w:tc>
          <w:tcPr>
            <w:tcW w:w="0" w:type="auto"/>
            <w:shd w:val="clear" w:color="auto" w:fill="auto"/>
            <w:vAlign w:val="bottom"/>
          </w:tcPr>
          <w:p w14:paraId="392BF39A" w14:textId="77777777" w:rsidR="00980E5F" w:rsidRDefault="00980E5F">
            <w:pPr>
              <w:rPr>
                <w:rFonts w:ascii="宋体"/>
                <w:vanish/>
              </w:rPr>
            </w:pPr>
          </w:p>
        </w:tc>
        <w:tc>
          <w:tcPr>
            <w:tcW w:w="0" w:type="auto"/>
            <w:shd w:val="clear" w:color="auto" w:fill="auto"/>
            <w:vAlign w:val="bottom"/>
          </w:tcPr>
          <w:p w14:paraId="392BF39B" w14:textId="77777777" w:rsidR="00980E5F" w:rsidRDefault="00980E5F">
            <w:pPr>
              <w:rPr>
                <w:rFonts w:ascii="宋体"/>
                <w:vanish/>
              </w:rPr>
            </w:pPr>
          </w:p>
        </w:tc>
        <w:tc>
          <w:tcPr>
            <w:tcW w:w="0" w:type="auto"/>
            <w:shd w:val="clear" w:color="auto" w:fill="auto"/>
            <w:vAlign w:val="bottom"/>
          </w:tcPr>
          <w:p w14:paraId="392BF39C" w14:textId="77777777" w:rsidR="00980E5F" w:rsidRDefault="00980E5F">
            <w:pPr>
              <w:rPr>
                <w:rFonts w:ascii="宋体"/>
                <w:vanish/>
              </w:rPr>
            </w:pPr>
          </w:p>
        </w:tc>
        <w:tc>
          <w:tcPr>
            <w:tcW w:w="0" w:type="auto"/>
            <w:shd w:val="clear" w:color="auto" w:fill="auto"/>
            <w:vAlign w:val="bottom"/>
          </w:tcPr>
          <w:p w14:paraId="392BF39D" w14:textId="77777777" w:rsidR="00980E5F" w:rsidRDefault="00980E5F">
            <w:pPr>
              <w:rPr>
                <w:rFonts w:ascii="宋体"/>
                <w:vanish/>
              </w:rPr>
            </w:pPr>
          </w:p>
        </w:tc>
        <w:tc>
          <w:tcPr>
            <w:tcW w:w="0" w:type="auto"/>
            <w:shd w:val="clear" w:color="auto" w:fill="auto"/>
            <w:vAlign w:val="bottom"/>
          </w:tcPr>
          <w:p w14:paraId="392BF39E" w14:textId="77777777" w:rsidR="00980E5F" w:rsidRDefault="00980E5F">
            <w:pPr>
              <w:rPr>
                <w:rFonts w:ascii="宋体"/>
                <w:vanish/>
              </w:rPr>
            </w:pPr>
          </w:p>
        </w:tc>
        <w:tc>
          <w:tcPr>
            <w:tcW w:w="0" w:type="auto"/>
            <w:shd w:val="clear" w:color="auto" w:fill="auto"/>
            <w:vAlign w:val="bottom"/>
          </w:tcPr>
          <w:p w14:paraId="392BF39F" w14:textId="77777777" w:rsidR="00980E5F" w:rsidRDefault="00980E5F">
            <w:pPr>
              <w:rPr>
                <w:rFonts w:ascii="宋体"/>
                <w:vanish/>
              </w:rPr>
            </w:pPr>
          </w:p>
        </w:tc>
        <w:tc>
          <w:tcPr>
            <w:tcW w:w="0" w:type="auto"/>
            <w:shd w:val="clear" w:color="auto" w:fill="auto"/>
            <w:vAlign w:val="bottom"/>
          </w:tcPr>
          <w:p w14:paraId="392BF3A0" w14:textId="77777777" w:rsidR="00980E5F" w:rsidRDefault="00980E5F">
            <w:pPr>
              <w:rPr>
                <w:rFonts w:ascii="宋体"/>
                <w:vanish/>
              </w:rPr>
            </w:pPr>
          </w:p>
        </w:tc>
      </w:tr>
      <w:tr w:rsidR="00980E5F" w14:paraId="392BF3AD" w14:textId="77777777">
        <w:tc>
          <w:tcPr>
            <w:tcW w:w="0" w:type="auto"/>
            <w:gridSpan w:val="18"/>
            <w:shd w:val="clear" w:color="auto" w:fill="auto"/>
            <w:tcMar>
              <w:top w:w="40" w:type="dxa"/>
              <w:left w:w="20" w:type="dxa"/>
              <w:bottom w:w="40" w:type="dxa"/>
              <w:right w:w="20" w:type="dxa"/>
            </w:tcMar>
            <w:vAlign w:val="center"/>
          </w:tcPr>
          <w:p w14:paraId="392BF3A2" w14:textId="77777777" w:rsidR="00980E5F" w:rsidRDefault="00483613">
            <w:pPr>
              <w:textAlignment w:val="center"/>
            </w:pPr>
            <w:r>
              <w:rPr>
                <w:rFonts w:ascii="Arial" w:eastAsia="宋体" w:hAnsi="Arial" w:cs="Arial"/>
                <w:b/>
                <w:bCs/>
                <w:color w:val="000000"/>
                <w:sz w:val="16"/>
                <w:szCs w:val="16"/>
              </w:rPr>
              <w:t>TABLE 10: EXCHANGE-TRADED FUNDS BY ASSET CLASS</w:t>
            </w:r>
            <w:r>
              <w:rPr>
                <w:rFonts w:ascii="Arial" w:eastAsia="宋体" w:hAnsi="Arial" w:cs="Arial"/>
                <w:b/>
                <w:bCs/>
                <w:color w:val="000000"/>
                <w:sz w:val="10"/>
                <w:szCs w:val="10"/>
              </w:rPr>
              <w:t>(1)</w:t>
            </w:r>
          </w:p>
        </w:tc>
        <w:tc>
          <w:tcPr>
            <w:tcW w:w="0" w:type="auto"/>
            <w:shd w:val="clear" w:color="auto" w:fill="auto"/>
            <w:vAlign w:val="bottom"/>
          </w:tcPr>
          <w:p w14:paraId="392BF3A3" w14:textId="77777777" w:rsidR="00980E5F" w:rsidRDefault="00980E5F">
            <w:pPr>
              <w:rPr>
                <w:rFonts w:ascii="宋体"/>
                <w:vanish/>
              </w:rPr>
            </w:pPr>
          </w:p>
        </w:tc>
        <w:tc>
          <w:tcPr>
            <w:tcW w:w="0" w:type="auto"/>
            <w:shd w:val="clear" w:color="auto" w:fill="auto"/>
            <w:vAlign w:val="bottom"/>
          </w:tcPr>
          <w:p w14:paraId="392BF3A4" w14:textId="77777777" w:rsidR="00980E5F" w:rsidRDefault="00980E5F">
            <w:pPr>
              <w:rPr>
                <w:rFonts w:ascii="宋体"/>
                <w:vanish/>
              </w:rPr>
            </w:pPr>
          </w:p>
        </w:tc>
        <w:tc>
          <w:tcPr>
            <w:tcW w:w="0" w:type="auto"/>
            <w:shd w:val="clear" w:color="auto" w:fill="auto"/>
            <w:vAlign w:val="bottom"/>
          </w:tcPr>
          <w:p w14:paraId="392BF3A5" w14:textId="77777777" w:rsidR="00980E5F" w:rsidRDefault="00980E5F">
            <w:pPr>
              <w:rPr>
                <w:rFonts w:ascii="宋体"/>
                <w:vanish/>
              </w:rPr>
            </w:pPr>
          </w:p>
        </w:tc>
        <w:tc>
          <w:tcPr>
            <w:tcW w:w="0" w:type="auto"/>
            <w:shd w:val="clear" w:color="auto" w:fill="auto"/>
            <w:vAlign w:val="bottom"/>
          </w:tcPr>
          <w:p w14:paraId="392BF3A6" w14:textId="77777777" w:rsidR="00980E5F" w:rsidRDefault="00980E5F">
            <w:pPr>
              <w:rPr>
                <w:rFonts w:ascii="宋体"/>
                <w:vanish/>
              </w:rPr>
            </w:pPr>
          </w:p>
        </w:tc>
        <w:tc>
          <w:tcPr>
            <w:tcW w:w="0" w:type="auto"/>
            <w:shd w:val="clear" w:color="auto" w:fill="auto"/>
            <w:vAlign w:val="bottom"/>
          </w:tcPr>
          <w:p w14:paraId="392BF3A7" w14:textId="77777777" w:rsidR="00980E5F" w:rsidRDefault="00980E5F">
            <w:pPr>
              <w:rPr>
                <w:rFonts w:ascii="宋体"/>
                <w:vanish/>
              </w:rPr>
            </w:pPr>
          </w:p>
        </w:tc>
        <w:tc>
          <w:tcPr>
            <w:tcW w:w="0" w:type="auto"/>
            <w:shd w:val="clear" w:color="auto" w:fill="auto"/>
            <w:vAlign w:val="bottom"/>
          </w:tcPr>
          <w:p w14:paraId="392BF3A8" w14:textId="77777777" w:rsidR="00980E5F" w:rsidRDefault="00980E5F">
            <w:pPr>
              <w:rPr>
                <w:rFonts w:ascii="宋体"/>
                <w:vanish/>
              </w:rPr>
            </w:pPr>
          </w:p>
        </w:tc>
        <w:tc>
          <w:tcPr>
            <w:tcW w:w="0" w:type="auto"/>
            <w:shd w:val="clear" w:color="auto" w:fill="auto"/>
            <w:vAlign w:val="bottom"/>
          </w:tcPr>
          <w:p w14:paraId="392BF3A9" w14:textId="77777777" w:rsidR="00980E5F" w:rsidRDefault="00980E5F">
            <w:pPr>
              <w:rPr>
                <w:rFonts w:ascii="宋体"/>
                <w:vanish/>
              </w:rPr>
            </w:pPr>
          </w:p>
        </w:tc>
        <w:tc>
          <w:tcPr>
            <w:tcW w:w="0" w:type="auto"/>
            <w:shd w:val="clear" w:color="auto" w:fill="auto"/>
            <w:vAlign w:val="bottom"/>
          </w:tcPr>
          <w:p w14:paraId="392BF3AA" w14:textId="77777777" w:rsidR="00980E5F" w:rsidRDefault="00980E5F">
            <w:pPr>
              <w:rPr>
                <w:rFonts w:ascii="宋体"/>
                <w:vanish/>
              </w:rPr>
            </w:pPr>
          </w:p>
        </w:tc>
        <w:tc>
          <w:tcPr>
            <w:tcW w:w="0" w:type="auto"/>
            <w:shd w:val="clear" w:color="auto" w:fill="auto"/>
            <w:vAlign w:val="bottom"/>
          </w:tcPr>
          <w:p w14:paraId="392BF3AB" w14:textId="77777777" w:rsidR="00980E5F" w:rsidRDefault="00980E5F">
            <w:pPr>
              <w:rPr>
                <w:rFonts w:ascii="宋体"/>
                <w:vanish/>
              </w:rPr>
            </w:pPr>
          </w:p>
        </w:tc>
        <w:tc>
          <w:tcPr>
            <w:tcW w:w="0" w:type="auto"/>
            <w:shd w:val="clear" w:color="auto" w:fill="auto"/>
            <w:vAlign w:val="bottom"/>
          </w:tcPr>
          <w:p w14:paraId="392BF3AC" w14:textId="77777777" w:rsidR="00980E5F" w:rsidRDefault="00980E5F">
            <w:pPr>
              <w:rPr>
                <w:rFonts w:ascii="宋体"/>
                <w:vanish/>
              </w:rPr>
            </w:pPr>
          </w:p>
        </w:tc>
      </w:tr>
      <w:tr w:rsidR="00980E5F" w14:paraId="392BF3BE" w14:textId="77777777">
        <w:tc>
          <w:tcPr>
            <w:tcW w:w="0" w:type="auto"/>
            <w:gridSpan w:val="3"/>
            <w:shd w:val="clear" w:color="auto" w:fill="auto"/>
            <w:tcMar>
              <w:top w:w="40" w:type="dxa"/>
              <w:left w:w="380" w:type="dxa"/>
              <w:bottom w:w="40" w:type="dxa"/>
              <w:right w:w="20" w:type="dxa"/>
            </w:tcMar>
            <w:vAlign w:val="bottom"/>
          </w:tcPr>
          <w:p w14:paraId="392BF3AE" w14:textId="77777777" w:rsidR="00980E5F" w:rsidRDefault="00483613">
            <w:pPr>
              <w:ind w:hanging="360"/>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392BF3AF"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BF3B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3B1"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392BF3B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3B3" w14:textId="77777777" w:rsidR="00980E5F" w:rsidRDefault="00483613">
            <w:pPr>
              <w:jc w:val="center"/>
              <w:textAlignment w:val="bottom"/>
            </w:pPr>
            <w:r>
              <w:rPr>
                <w:rFonts w:ascii="Arial" w:eastAsia="宋体" w:hAnsi="Arial" w:cs="Arial"/>
                <w:b/>
                <w:bCs/>
                <w:color w:val="000000"/>
                <w:sz w:val="15"/>
                <w:szCs w:val="15"/>
              </w:rPr>
              <w:t>June 30, 2021</w:t>
            </w:r>
          </w:p>
        </w:tc>
        <w:tc>
          <w:tcPr>
            <w:tcW w:w="0" w:type="auto"/>
            <w:shd w:val="clear" w:color="auto" w:fill="auto"/>
            <w:vAlign w:val="bottom"/>
          </w:tcPr>
          <w:p w14:paraId="392BF3B4" w14:textId="77777777" w:rsidR="00980E5F" w:rsidRDefault="00980E5F">
            <w:pPr>
              <w:rPr>
                <w:rFonts w:ascii="宋体"/>
                <w:vanish/>
              </w:rPr>
            </w:pPr>
          </w:p>
        </w:tc>
        <w:tc>
          <w:tcPr>
            <w:tcW w:w="0" w:type="auto"/>
            <w:shd w:val="clear" w:color="auto" w:fill="auto"/>
            <w:vAlign w:val="bottom"/>
          </w:tcPr>
          <w:p w14:paraId="392BF3B5" w14:textId="77777777" w:rsidR="00980E5F" w:rsidRDefault="00980E5F">
            <w:pPr>
              <w:rPr>
                <w:rFonts w:ascii="宋体"/>
                <w:vanish/>
              </w:rPr>
            </w:pPr>
          </w:p>
        </w:tc>
        <w:tc>
          <w:tcPr>
            <w:tcW w:w="0" w:type="auto"/>
            <w:shd w:val="clear" w:color="auto" w:fill="auto"/>
            <w:vAlign w:val="bottom"/>
          </w:tcPr>
          <w:p w14:paraId="392BF3B6" w14:textId="77777777" w:rsidR="00980E5F" w:rsidRDefault="00980E5F">
            <w:pPr>
              <w:rPr>
                <w:rFonts w:ascii="宋体"/>
                <w:vanish/>
              </w:rPr>
            </w:pPr>
          </w:p>
        </w:tc>
        <w:tc>
          <w:tcPr>
            <w:tcW w:w="0" w:type="auto"/>
            <w:shd w:val="clear" w:color="auto" w:fill="auto"/>
            <w:vAlign w:val="bottom"/>
          </w:tcPr>
          <w:p w14:paraId="392BF3B7" w14:textId="77777777" w:rsidR="00980E5F" w:rsidRDefault="00980E5F">
            <w:pPr>
              <w:rPr>
                <w:rFonts w:ascii="宋体"/>
                <w:vanish/>
              </w:rPr>
            </w:pPr>
          </w:p>
        </w:tc>
        <w:tc>
          <w:tcPr>
            <w:tcW w:w="0" w:type="auto"/>
            <w:shd w:val="clear" w:color="auto" w:fill="auto"/>
            <w:vAlign w:val="bottom"/>
          </w:tcPr>
          <w:p w14:paraId="392BF3B8" w14:textId="77777777" w:rsidR="00980E5F" w:rsidRDefault="00980E5F">
            <w:pPr>
              <w:rPr>
                <w:rFonts w:ascii="宋体"/>
                <w:vanish/>
              </w:rPr>
            </w:pPr>
          </w:p>
        </w:tc>
        <w:tc>
          <w:tcPr>
            <w:tcW w:w="0" w:type="auto"/>
            <w:shd w:val="clear" w:color="auto" w:fill="auto"/>
            <w:vAlign w:val="bottom"/>
          </w:tcPr>
          <w:p w14:paraId="392BF3B9" w14:textId="77777777" w:rsidR="00980E5F" w:rsidRDefault="00980E5F">
            <w:pPr>
              <w:rPr>
                <w:rFonts w:ascii="宋体"/>
                <w:vanish/>
              </w:rPr>
            </w:pPr>
          </w:p>
        </w:tc>
        <w:tc>
          <w:tcPr>
            <w:tcW w:w="0" w:type="auto"/>
            <w:shd w:val="clear" w:color="auto" w:fill="auto"/>
            <w:vAlign w:val="bottom"/>
          </w:tcPr>
          <w:p w14:paraId="392BF3BA" w14:textId="77777777" w:rsidR="00980E5F" w:rsidRDefault="00980E5F">
            <w:pPr>
              <w:rPr>
                <w:rFonts w:ascii="宋体"/>
                <w:vanish/>
              </w:rPr>
            </w:pPr>
          </w:p>
        </w:tc>
        <w:tc>
          <w:tcPr>
            <w:tcW w:w="0" w:type="auto"/>
            <w:shd w:val="clear" w:color="auto" w:fill="auto"/>
            <w:vAlign w:val="bottom"/>
          </w:tcPr>
          <w:p w14:paraId="392BF3BB" w14:textId="77777777" w:rsidR="00980E5F" w:rsidRDefault="00980E5F">
            <w:pPr>
              <w:rPr>
                <w:rFonts w:ascii="宋体"/>
                <w:vanish/>
              </w:rPr>
            </w:pPr>
          </w:p>
        </w:tc>
        <w:tc>
          <w:tcPr>
            <w:tcW w:w="0" w:type="auto"/>
            <w:shd w:val="clear" w:color="auto" w:fill="auto"/>
            <w:vAlign w:val="bottom"/>
          </w:tcPr>
          <w:p w14:paraId="392BF3BC" w14:textId="77777777" w:rsidR="00980E5F" w:rsidRDefault="00980E5F">
            <w:pPr>
              <w:rPr>
                <w:rFonts w:ascii="宋体"/>
                <w:vanish/>
              </w:rPr>
            </w:pPr>
          </w:p>
        </w:tc>
        <w:tc>
          <w:tcPr>
            <w:tcW w:w="0" w:type="auto"/>
            <w:shd w:val="clear" w:color="auto" w:fill="auto"/>
            <w:vAlign w:val="bottom"/>
          </w:tcPr>
          <w:p w14:paraId="392BF3BD" w14:textId="77777777" w:rsidR="00980E5F" w:rsidRDefault="00980E5F">
            <w:pPr>
              <w:rPr>
                <w:rFonts w:ascii="宋体"/>
                <w:vanish/>
              </w:rPr>
            </w:pPr>
          </w:p>
        </w:tc>
      </w:tr>
      <w:tr w:rsidR="00980E5F" w14:paraId="392BF3D2" w14:textId="77777777">
        <w:tc>
          <w:tcPr>
            <w:tcW w:w="0" w:type="auto"/>
            <w:gridSpan w:val="3"/>
            <w:shd w:val="clear" w:color="auto" w:fill="CCEEFF"/>
            <w:tcMar>
              <w:top w:w="40" w:type="dxa"/>
              <w:left w:w="20" w:type="dxa"/>
              <w:bottom w:w="40" w:type="dxa"/>
              <w:right w:w="20" w:type="dxa"/>
            </w:tcMar>
            <w:vAlign w:val="bottom"/>
          </w:tcPr>
          <w:p w14:paraId="392BF3BF" w14:textId="77777777" w:rsidR="00980E5F" w:rsidRDefault="00483613">
            <w:pPr>
              <w:ind w:hanging="360"/>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3C0" w14:textId="77777777" w:rsidR="00980E5F" w:rsidRDefault="00483613">
            <w:pPr>
              <w:textAlignment w:val="bottom"/>
            </w:pPr>
            <w:r>
              <w:rPr>
                <w:rFonts w:ascii="Arial" w:eastAsia="宋体" w:hAnsi="Arial" w:cs="Arial"/>
                <w:b/>
                <w:bCs/>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392BF3C1" w14:textId="77777777" w:rsidR="00980E5F" w:rsidRDefault="00483613">
            <w:pPr>
              <w:jc w:val="right"/>
              <w:textAlignment w:val="bottom"/>
            </w:pPr>
            <w:r>
              <w:rPr>
                <w:rFonts w:ascii="Arial" w:eastAsia="宋体" w:hAnsi="Arial" w:cs="Arial"/>
                <w:b/>
                <w:bCs/>
                <w:color w:val="000000"/>
                <w:sz w:val="15"/>
                <w:szCs w:val="15"/>
              </w:rPr>
              <w:t>77</w:t>
            </w:r>
          </w:p>
        </w:tc>
        <w:tc>
          <w:tcPr>
            <w:tcW w:w="0" w:type="auto"/>
            <w:gridSpan w:val="3"/>
            <w:shd w:val="clear" w:color="auto" w:fill="CCEEFF"/>
            <w:tcMar>
              <w:top w:w="0" w:type="dxa"/>
              <w:left w:w="20" w:type="dxa"/>
              <w:bottom w:w="0" w:type="dxa"/>
              <w:right w:w="20" w:type="dxa"/>
            </w:tcMar>
            <w:vAlign w:val="bottom"/>
          </w:tcPr>
          <w:p w14:paraId="392BF3C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3C3" w14:textId="77777777" w:rsidR="00980E5F" w:rsidRDefault="00483613">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392BF3C4" w14:textId="77777777" w:rsidR="00980E5F" w:rsidRDefault="00483613">
            <w:pPr>
              <w:jc w:val="right"/>
              <w:textAlignment w:val="bottom"/>
            </w:pPr>
            <w:r>
              <w:rPr>
                <w:rFonts w:ascii="Arial" w:eastAsia="宋体" w:hAnsi="Arial" w:cs="Arial"/>
                <w:color w:val="000000"/>
                <w:sz w:val="15"/>
                <w:szCs w:val="15"/>
              </w:rPr>
              <w:t>72</w:t>
            </w:r>
          </w:p>
        </w:tc>
        <w:tc>
          <w:tcPr>
            <w:tcW w:w="0" w:type="auto"/>
            <w:gridSpan w:val="3"/>
            <w:shd w:val="clear" w:color="auto" w:fill="CCEEFF"/>
            <w:tcMar>
              <w:top w:w="0" w:type="dxa"/>
              <w:left w:w="20" w:type="dxa"/>
              <w:bottom w:w="0" w:type="dxa"/>
              <w:right w:w="20" w:type="dxa"/>
            </w:tcMar>
            <w:vAlign w:val="bottom"/>
          </w:tcPr>
          <w:p w14:paraId="392BF3C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3C6" w14:textId="77777777" w:rsidR="00980E5F" w:rsidRDefault="00483613">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392BF3C7" w14:textId="77777777" w:rsidR="00980E5F" w:rsidRDefault="00483613">
            <w:pPr>
              <w:jc w:val="right"/>
              <w:textAlignment w:val="bottom"/>
            </w:pPr>
            <w:r>
              <w:rPr>
                <w:rFonts w:ascii="Arial" w:eastAsia="宋体" w:hAnsi="Arial" w:cs="Arial"/>
                <w:color w:val="000000"/>
                <w:sz w:val="15"/>
                <w:szCs w:val="15"/>
              </w:rPr>
              <w:t>73</w:t>
            </w:r>
          </w:p>
        </w:tc>
        <w:tc>
          <w:tcPr>
            <w:tcW w:w="0" w:type="auto"/>
            <w:shd w:val="clear" w:color="auto" w:fill="auto"/>
            <w:vAlign w:val="bottom"/>
          </w:tcPr>
          <w:p w14:paraId="392BF3C8" w14:textId="77777777" w:rsidR="00980E5F" w:rsidRDefault="00980E5F">
            <w:pPr>
              <w:rPr>
                <w:rFonts w:ascii="宋体"/>
                <w:vanish/>
              </w:rPr>
            </w:pPr>
          </w:p>
        </w:tc>
        <w:tc>
          <w:tcPr>
            <w:tcW w:w="0" w:type="auto"/>
            <w:shd w:val="clear" w:color="auto" w:fill="auto"/>
            <w:vAlign w:val="bottom"/>
          </w:tcPr>
          <w:p w14:paraId="392BF3C9" w14:textId="77777777" w:rsidR="00980E5F" w:rsidRDefault="00980E5F">
            <w:pPr>
              <w:rPr>
                <w:rFonts w:ascii="宋体"/>
                <w:vanish/>
              </w:rPr>
            </w:pPr>
          </w:p>
        </w:tc>
        <w:tc>
          <w:tcPr>
            <w:tcW w:w="0" w:type="auto"/>
            <w:shd w:val="clear" w:color="auto" w:fill="auto"/>
            <w:vAlign w:val="bottom"/>
          </w:tcPr>
          <w:p w14:paraId="392BF3CA" w14:textId="77777777" w:rsidR="00980E5F" w:rsidRDefault="00980E5F">
            <w:pPr>
              <w:rPr>
                <w:rFonts w:ascii="宋体"/>
                <w:vanish/>
              </w:rPr>
            </w:pPr>
          </w:p>
        </w:tc>
        <w:tc>
          <w:tcPr>
            <w:tcW w:w="0" w:type="auto"/>
            <w:shd w:val="clear" w:color="auto" w:fill="auto"/>
            <w:vAlign w:val="bottom"/>
          </w:tcPr>
          <w:p w14:paraId="392BF3CB" w14:textId="77777777" w:rsidR="00980E5F" w:rsidRDefault="00980E5F">
            <w:pPr>
              <w:rPr>
                <w:rFonts w:ascii="宋体"/>
                <w:vanish/>
              </w:rPr>
            </w:pPr>
          </w:p>
        </w:tc>
        <w:tc>
          <w:tcPr>
            <w:tcW w:w="0" w:type="auto"/>
            <w:shd w:val="clear" w:color="auto" w:fill="auto"/>
            <w:vAlign w:val="bottom"/>
          </w:tcPr>
          <w:p w14:paraId="392BF3CC" w14:textId="77777777" w:rsidR="00980E5F" w:rsidRDefault="00980E5F">
            <w:pPr>
              <w:rPr>
                <w:rFonts w:ascii="宋体"/>
                <w:vanish/>
              </w:rPr>
            </w:pPr>
          </w:p>
        </w:tc>
        <w:tc>
          <w:tcPr>
            <w:tcW w:w="0" w:type="auto"/>
            <w:shd w:val="clear" w:color="auto" w:fill="auto"/>
            <w:vAlign w:val="bottom"/>
          </w:tcPr>
          <w:p w14:paraId="392BF3CD" w14:textId="77777777" w:rsidR="00980E5F" w:rsidRDefault="00980E5F">
            <w:pPr>
              <w:rPr>
                <w:rFonts w:ascii="宋体"/>
                <w:vanish/>
              </w:rPr>
            </w:pPr>
          </w:p>
        </w:tc>
        <w:tc>
          <w:tcPr>
            <w:tcW w:w="0" w:type="auto"/>
            <w:shd w:val="clear" w:color="auto" w:fill="auto"/>
            <w:vAlign w:val="bottom"/>
          </w:tcPr>
          <w:p w14:paraId="392BF3CE" w14:textId="77777777" w:rsidR="00980E5F" w:rsidRDefault="00980E5F">
            <w:pPr>
              <w:rPr>
                <w:rFonts w:ascii="宋体"/>
                <w:vanish/>
              </w:rPr>
            </w:pPr>
          </w:p>
        </w:tc>
        <w:tc>
          <w:tcPr>
            <w:tcW w:w="0" w:type="auto"/>
            <w:shd w:val="clear" w:color="auto" w:fill="auto"/>
            <w:vAlign w:val="bottom"/>
          </w:tcPr>
          <w:p w14:paraId="392BF3CF" w14:textId="77777777" w:rsidR="00980E5F" w:rsidRDefault="00980E5F">
            <w:pPr>
              <w:rPr>
                <w:rFonts w:ascii="宋体"/>
                <w:vanish/>
              </w:rPr>
            </w:pPr>
          </w:p>
        </w:tc>
        <w:tc>
          <w:tcPr>
            <w:tcW w:w="0" w:type="auto"/>
            <w:shd w:val="clear" w:color="auto" w:fill="auto"/>
            <w:vAlign w:val="bottom"/>
          </w:tcPr>
          <w:p w14:paraId="392BF3D0" w14:textId="77777777" w:rsidR="00980E5F" w:rsidRDefault="00980E5F">
            <w:pPr>
              <w:rPr>
                <w:rFonts w:ascii="宋体"/>
                <w:vanish/>
              </w:rPr>
            </w:pPr>
          </w:p>
        </w:tc>
        <w:tc>
          <w:tcPr>
            <w:tcW w:w="0" w:type="auto"/>
            <w:shd w:val="clear" w:color="auto" w:fill="auto"/>
            <w:vAlign w:val="bottom"/>
          </w:tcPr>
          <w:p w14:paraId="392BF3D1" w14:textId="77777777" w:rsidR="00980E5F" w:rsidRDefault="00980E5F">
            <w:pPr>
              <w:rPr>
                <w:rFonts w:ascii="宋体"/>
                <w:vanish/>
              </w:rPr>
            </w:pPr>
          </w:p>
        </w:tc>
      </w:tr>
      <w:tr w:rsidR="00980E5F" w14:paraId="392BF3E3" w14:textId="77777777">
        <w:trPr>
          <w:hidden/>
        </w:trPr>
        <w:tc>
          <w:tcPr>
            <w:tcW w:w="0" w:type="auto"/>
            <w:gridSpan w:val="3"/>
            <w:shd w:val="clear" w:color="auto" w:fill="auto"/>
            <w:vAlign w:val="bottom"/>
          </w:tcPr>
          <w:p w14:paraId="392BF3D3" w14:textId="77777777" w:rsidR="00980E5F" w:rsidRDefault="00980E5F">
            <w:pPr>
              <w:rPr>
                <w:rFonts w:ascii="宋体"/>
                <w:vanish/>
              </w:rPr>
            </w:pPr>
          </w:p>
        </w:tc>
        <w:tc>
          <w:tcPr>
            <w:tcW w:w="0" w:type="auto"/>
            <w:gridSpan w:val="3"/>
            <w:shd w:val="clear" w:color="auto" w:fill="auto"/>
            <w:vAlign w:val="bottom"/>
          </w:tcPr>
          <w:p w14:paraId="392BF3D4" w14:textId="77777777" w:rsidR="00980E5F" w:rsidRDefault="00980E5F">
            <w:pPr>
              <w:rPr>
                <w:rFonts w:ascii="宋体"/>
                <w:vanish/>
              </w:rPr>
            </w:pPr>
          </w:p>
        </w:tc>
        <w:tc>
          <w:tcPr>
            <w:tcW w:w="0" w:type="auto"/>
            <w:gridSpan w:val="3"/>
            <w:shd w:val="clear" w:color="auto" w:fill="auto"/>
            <w:vAlign w:val="bottom"/>
          </w:tcPr>
          <w:p w14:paraId="392BF3D5" w14:textId="77777777" w:rsidR="00980E5F" w:rsidRDefault="00980E5F">
            <w:pPr>
              <w:rPr>
                <w:rFonts w:ascii="宋体"/>
                <w:vanish/>
              </w:rPr>
            </w:pPr>
          </w:p>
        </w:tc>
        <w:tc>
          <w:tcPr>
            <w:tcW w:w="0" w:type="auto"/>
            <w:gridSpan w:val="3"/>
            <w:shd w:val="clear" w:color="auto" w:fill="auto"/>
            <w:vAlign w:val="bottom"/>
          </w:tcPr>
          <w:p w14:paraId="392BF3D6" w14:textId="77777777" w:rsidR="00980E5F" w:rsidRDefault="00980E5F">
            <w:pPr>
              <w:rPr>
                <w:rFonts w:ascii="宋体"/>
                <w:vanish/>
              </w:rPr>
            </w:pPr>
          </w:p>
        </w:tc>
        <w:tc>
          <w:tcPr>
            <w:tcW w:w="0" w:type="auto"/>
            <w:gridSpan w:val="3"/>
            <w:shd w:val="clear" w:color="auto" w:fill="auto"/>
            <w:vAlign w:val="bottom"/>
          </w:tcPr>
          <w:p w14:paraId="392BF3D7" w14:textId="77777777" w:rsidR="00980E5F" w:rsidRDefault="00980E5F">
            <w:pPr>
              <w:rPr>
                <w:rFonts w:ascii="宋体"/>
                <w:vanish/>
              </w:rPr>
            </w:pPr>
          </w:p>
        </w:tc>
        <w:tc>
          <w:tcPr>
            <w:tcW w:w="0" w:type="auto"/>
            <w:gridSpan w:val="3"/>
            <w:shd w:val="clear" w:color="auto" w:fill="auto"/>
            <w:vAlign w:val="bottom"/>
          </w:tcPr>
          <w:p w14:paraId="392BF3D8" w14:textId="77777777" w:rsidR="00980E5F" w:rsidRDefault="00980E5F">
            <w:pPr>
              <w:rPr>
                <w:rFonts w:ascii="宋体"/>
                <w:vanish/>
              </w:rPr>
            </w:pPr>
          </w:p>
        </w:tc>
        <w:tc>
          <w:tcPr>
            <w:tcW w:w="0" w:type="auto"/>
            <w:shd w:val="clear" w:color="auto" w:fill="auto"/>
            <w:vAlign w:val="bottom"/>
          </w:tcPr>
          <w:p w14:paraId="392BF3D9" w14:textId="77777777" w:rsidR="00980E5F" w:rsidRDefault="00980E5F">
            <w:pPr>
              <w:rPr>
                <w:rFonts w:ascii="宋体"/>
                <w:vanish/>
              </w:rPr>
            </w:pPr>
          </w:p>
        </w:tc>
        <w:tc>
          <w:tcPr>
            <w:tcW w:w="0" w:type="auto"/>
            <w:shd w:val="clear" w:color="auto" w:fill="auto"/>
            <w:vAlign w:val="bottom"/>
          </w:tcPr>
          <w:p w14:paraId="392BF3DA" w14:textId="77777777" w:rsidR="00980E5F" w:rsidRDefault="00980E5F">
            <w:pPr>
              <w:rPr>
                <w:rFonts w:ascii="宋体"/>
                <w:vanish/>
              </w:rPr>
            </w:pPr>
          </w:p>
        </w:tc>
        <w:tc>
          <w:tcPr>
            <w:tcW w:w="0" w:type="auto"/>
            <w:shd w:val="clear" w:color="auto" w:fill="auto"/>
            <w:vAlign w:val="bottom"/>
          </w:tcPr>
          <w:p w14:paraId="392BF3DB" w14:textId="77777777" w:rsidR="00980E5F" w:rsidRDefault="00980E5F">
            <w:pPr>
              <w:rPr>
                <w:rFonts w:ascii="宋体"/>
                <w:vanish/>
              </w:rPr>
            </w:pPr>
          </w:p>
        </w:tc>
        <w:tc>
          <w:tcPr>
            <w:tcW w:w="0" w:type="auto"/>
            <w:shd w:val="clear" w:color="auto" w:fill="auto"/>
            <w:vAlign w:val="bottom"/>
          </w:tcPr>
          <w:p w14:paraId="392BF3DC" w14:textId="77777777" w:rsidR="00980E5F" w:rsidRDefault="00980E5F">
            <w:pPr>
              <w:rPr>
                <w:rFonts w:ascii="宋体"/>
                <w:vanish/>
              </w:rPr>
            </w:pPr>
          </w:p>
        </w:tc>
        <w:tc>
          <w:tcPr>
            <w:tcW w:w="0" w:type="auto"/>
            <w:shd w:val="clear" w:color="auto" w:fill="auto"/>
            <w:vAlign w:val="bottom"/>
          </w:tcPr>
          <w:p w14:paraId="392BF3DD" w14:textId="77777777" w:rsidR="00980E5F" w:rsidRDefault="00980E5F">
            <w:pPr>
              <w:rPr>
                <w:rFonts w:ascii="宋体"/>
                <w:vanish/>
              </w:rPr>
            </w:pPr>
          </w:p>
        </w:tc>
        <w:tc>
          <w:tcPr>
            <w:tcW w:w="0" w:type="auto"/>
            <w:shd w:val="clear" w:color="auto" w:fill="auto"/>
            <w:vAlign w:val="bottom"/>
          </w:tcPr>
          <w:p w14:paraId="392BF3DE" w14:textId="77777777" w:rsidR="00980E5F" w:rsidRDefault="00980E5F">
            <w:pPr>
              <w:rPr>
                <w:rFonts w:ascii="宋体"/>
                <w:vanish/>
              </w:rPr>
            </w:pPr>
          </w:p>
        </w:tc>
        <w:tc>
          <w:tcPr>
            <w:tcW w:w="0" w:type="auto"/>
            <w:shd w:val="clear" w:color="auto" w:fill="auto"/>
            <w:vAlign w:val="bottom"/>
          </w:tcPr>
          <w:p w14:paraId="392BF3DF" w14:textId="77777777" w:rsidR="00980E5F" w:rsidRDefault="00980E5F">
            <w:pPr>
              <w:rPr>
                <w:rFonts w:ascii="宋体"/>
                <w:vanish/>
              </w:rPr>
            </w:pPr>
          </w:p>
        </w:tc>
        <w:tc>
          <w:tcPr>
            <w:tcW w:w="0" w:type="auto"/>
            <w:shd w:val="clear" w:color="auto" w:fill="auto"/>
            <w:vAlign w:val="bottom"/>
          </w:tcPr>
          <w:p w14:paraId="392BF3E0" w14:textId="77777777" w:rsidR="00980E5F" w:rsidRDefault="00980E5F">
            <w:pPr>
              <w:rPr>
                <w:rFonts w:ascii="宋体"/>
                <w:vanish/>
              </w:rPr>
            </w:pPr>
          </w:p>
        </w:tc>
        <w:tc>
          <w:tcPr>
            <w:tcW w:w="0" w:type="auto"/>
            <w:shd w:val="clear" w:color="auto" w:fill="auto"/>
            <w:vAlign w:val="bottom"/>
          </w:tcPr>
          <w:p w14:paraId="392BF3E1" w14:textId="77777777" w:rsidR="00980E5F" w:rsidRDefault="00980E5F">
            <w:pPr>
              <w:rPr>
                <w:rFonts w:ascii="宋体"/>
                <w:vanish/>
              </w:rPr>
            </w:pPr>
          </w:p>
        </w:tc>
        <w:tc>
          <w:tcPr>
            <w:tcW w:w="0" w:type="auto"/>
            <w:shd w:val="clear" w:color="auto" w:fill="auto"/>
            <w:vAlign w:val="bottom"/>
          </w:tcPr>
          <w:p w14:paraId="392BF3E2" w14:textId="77777777" w:rsidR="00980E5F" w:rsidRDefault="00980E5F">
            <w:pPr>
              <w:rPr>
                <w:rFonts w:ascii="宋体"/>
                <w:vanish/>
              </w:rPr>
            </w:pPr>
          </w:p>
        </w:tc>
      </w:tr>
      <w:tr w:rsidR="00980E5F" w14:paraId="392BF3F4" w14:textId="77777777">
        <w:tc>
          <w:tcPr>
            <w:tcW w:w="0" w:type="auto"/>
            <w:gridSpan w:val="3"/>
            <w:shd w:val="clear" w:color="auto" w:fill="FFFFFF"/>
            <w:tcMar>
              <w:top w:w="40" w:type="dxa"/>
              <w:left w:w="380" w:type="dxa"/>
              <w:bottom w:w="40" w:type="dxa"/>
              <w:right w:w="20" w:type="dxa"/>
            </w:tcMar>
            <w:vAlign w:val="bottom"/>
          </w:tcPr>
          <w:p w14:paraId="392BF3E4" w14:textId="77777777" w:rsidR="00980E5F" w:rsidRDefault="00483613">
            <w:pPr>
              <w:ind w:hanging="360"/>
              <w:textAlignment w:val="bottom"/>
            </w:pPr>
            <w:r>
              <w:rPr>
                <w:rFonts w:ascii="Arial" w:eastAsia="宋体" w:hAnsi="Arial" w:cs="Arial"/>
                <w:color w:val="000000"/>
                <w:sz w:val="15"/>
                <w:szCs w:val="15"/>
              </w:rPr>
              <w:t>Equity</w:t>
            </w:r>
          </w:p>
        </w:tc>
        <w:tc>
          <w:tcPr>
            <w:tcW w:w="0" w:type="auto"/>
            <w:gridSpan w:val="3"/>
            <w:shd w:val="clear" w:color="auto" w:fill="FFFFFF"/>
            <w:tcMar>
              <w:top w:w="40" w:type="dxa"/>
              <w:left w:w="20" w:type="dxa"/>
              <w:bottom w:w="40" w:type="dxa"/>
              <w:right w:w="140" w:type="dxa"/>
            </w:tcMar>
            <w:vAlign w:val="bottom"/>
          </w:tcPr>
          <w:p w14:paraId="392BF3E5" w14:textId="77777777" w:rsidR="00980E5F" w:rsidRDefault="00483613">
            <w:pPr>
              <w:jc w:val="right"/>
              <w:textAlignment w:val="bottom"/>
            </w:pPr>
            <w:r>
              <w:rPr>
                <w:rFonts w:ascii="Arial" w:eastAsia="宋体" w:hAnsi="Arial" w:cs="Arial"/>
                <w:b/>
                <w:bCs/>
                <w:color w:val="000000"/>
                <w:sz w:val="15"/>
                <w:szCs w:val="15"/>
              </w:rPr>
              <w:t>791</w:t>
            </w:r>
          </w:p>
        </w:tc>
        <w:tc>
          <w:tcPr>
            <w:tcW w:w="0" w:type="auto"/>
            <w:gridSpan w:val="3"/>
            <w:shd w:val="clear" w:color="auto" w:fill="FFFFFF"/>
            <w:tcMar>
              <w:top w:w="0" w:type="dxa"/>
              <w:left w:w="20" w:type="dxa"/>
              <w:bottom w:w="0" w:type="dxa"/>
              <w:right w:w="20" w:type="dxa"/>
            </w:tcMar>
            <w:vAlign w:val="bottom"/>
          </w:tcPr>
          <w:p w14:paraId="392BF3E6"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F3E7" w14:textId="77777777" w:rsidR="00980E5F" w:rsidRDefault="00483613">
            <w:pPr>
              <w:jc w:val="right"/>
              <w:textAlignment w:val="bottom"/>
            </w:pPr>
            <w:r>
              <w:rPr>
                <w:rFonts w:ascii="Arial" w:eastAsia="宋体" w:hAnsi="Arial" w:cs="Arial"/>
                <w:color w:val="000000"/>
                <w:sz w:val="15"/>
                <w:szCs w:val="15"/>
              </w:rPr>
              <w:t>970</w:t>
            </w:r>
          </w:p>
        </w:tc>
        <w:tc>
          <w:tcPr>
            <w:tcW w:w="0" w:type="auto"/>
            <w:gridSpan w:val="3"/>
            <w:shd w:val="clear" w:color="auto" w:fill="FFFFFF"/>
            <w:tcMar>
              <w:top w:w="0" w:type="dxa"/>
              <w:left w:w="20" w:type="dxa"/>
              <w:bottom w:w="0" w:type="dxa"/>
              <w:right w:w="20" w:type="dxa"/>
            </w:tcMar>
            <w:vAlign w:val="bottom"/>
          </w:tcPr>
          <w:p w14:paraId="392BF3E8"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F3E9" w14:textId="77777777" w:rsidR="00980E5F" w:rsidRDefault="00483613">
            <w:pPr>
              <w:jc w:val="right"/>
              <w:textAlignment w:val="bottom"/>
            </w:pPr>
            <w:r>
              <w:rPr>
                <w:rFonts w:ascii="Arial" w:eastAsia="宋体" w:hAnsi="Arial" w:cs="Arial"/>
                <w:color w:val="000000"/>
                <w:sz w:val="15"/>
                <w:szCs w:val="15"/>
              </w:rPr>
              <w:t>844</w:t>
            </w:r>
          </w:p>
        </w:tc>
        <w:tc>
          <w:tcPr>
            <w:tcW w:w="0" w:type="auto"/>
            <w:shd w:val="clear" w:color="auto" w:fill="auto"/>
            <w:vAlign w:val="bottom"/>
          </w:tcPr>
          <w:p w14:paraId="392BF3EA" w14:textId="77777777" w:rsidR="00980E5F" w:rsidRDefault="00980E5F">
            <w:pPr>
              <w:rPr>
                <w:rFonts w:ascii="宋体"/>
                <w:vanish/>
              </w:rPr>
            </w:pPr>
          </w:p>
        </w:tc>
        <w:tc>
          <w:tcPr>
            <w:tcW w:w="0" w:type="auto"/>
            <w:shd w:val="clear" w:color="auto" w:fill="auto"/>
            <w:vAlign w:val="bottom"/>
          </w:tcPr>
          <w:p w14:paraId="392BF3EB" w14:textId="77777777" w:rsidR="00980E5F" w:rsidRDefault="00980E5F">
            <w:pPr>
              <w:rPr>
                <w:rFonts w:ascii="宋体"/>
                <w:vanish/>
              </w:rPr>
            </w:pPr>
          </w:p>
        </w:tc>
        <w:tc>
          <w:tcPr>
            <w:tcW w:w="0" w:type="auto"/>
            <w:shd w:val="clear" w:color="auto" w:fill="auto"/>
            <w:vAlign w:val="bottom"/>
          </w:tcPr>
          <w:p w14:paraId="392BF3EC" w14:textId="77777777" w:rsidR="00980E5F" w:rsidRDefault="00980E5F">
            <w:pPr>
              <w:rPr>
                <w:rFonts w:ascii="宋体"/>
                <w:vanish/>
              </w:rPr>
            </w:pPr>
          </w:p>
        </w:tc>
        <w:tc>
          <w:tcPr>
            <w:tcW w:w="0" w:type="auto"/>
            <w:shd w:val="clear" w:color="auto" w:fill="auto"/>
            <w:vAlign w:val="bottom"/>
          </w:tcPr>
          <w:p w14:paraId="392BF3ED" w14:textId="77777777" w:rsidR="00980E5F" w:rsidRDefault="00980E5F">
            <w:pPr>
              <w:rPr>
                <w:rFonts w:ascii="宋体"/>
                <w:vanish/>
              </w:rPr>
            </w:pPr>
          </w:p>
        </w:tc>
        <w:tc>
          <w:tcPr>
            <w:tcW w:w="0" w:type="auto"/>
            <w:shd w:val="clear" w:color="auto" w:fill="auto"/>
            <w:vAlign w:val="bottom"/>
          </w:tcPr>
          <w:p w14:paraId="392BF3EE" w14:textId="77777777" w:rsidR="00980E5F" w:rsidRDefault="00980E5F">
            <w:pPr>
              <w:rPr>
                <w:rFonts w:ascii="宋体"/>
                <w:vanish/>
              </w:rPr>
            </w:pPr>
          </w:p>
        </w:tc>
        <w:tc>
          <w:tcPr>
            <w:tcW w:w="0" w:type="auto"/>
            <w:shd w:val="clear" w:color="auto" w:fill="auto"/>
            <w:vAlign w:val="bottom"/>
          </w:tcPr>
          <w:p w14:paraId="392BF3EF" w14:textId="77777777" w:rsidR="00980E5F" w:rsidRDefault="00980E5F">
            <w:pPr>
              <w:rPr>
                <w:rFonts w:ascii="宋体"/>
                <w:vanish/>
              </w:rPr>
            </w:pPr>
          </w:p>
        </w:tc>
        <w:tc>
          <w:tcPr>
            <w:tcW w:w="0" w:type="auto"/>
            <w:shd w:val="clear" w:color="auto" w:fill="auto"/>
            <w:vAlign w:val="bottom"/>
          </w:tcPr>
          <w:p w14:paraId="392BF3F0" w14:textId="77777777" w:rsidR="00980E5F" w:rsidRDefault="00980E5F">
            <w:pPr>
              <w:rPr>
                <w:rFonts w:ascii="宋体"/>
                <w:vanish/>
              </w:rPr>
            </w:pPr>
          </w:p>
        </w:tc>
        <w:tc>
          <w:tcPr>
            <w:tcW w:w="0" w:type="auto"/>
            <w:shd w:val="clear" w:color="auto" w:fill="auto"/>
            <w:vAlign w:val="bottom"/>
          </w:tcPr>
          <w:p w14:paraId="392BF3F1" w14:textId="77777777" w:rsidR="00980E5F" w:rsidRDefault="00980E5F">
            <w:pPr>
              <w:rPr>
                <w:rFonts w:ascii="宋体"/>
                <w:vanish/>
              </w:rPr>
            </w:pPr>
          </w:p>
        </w:tc>
        <w:tc>
          <w:tcPr>
            <w:tcW w:w="0" w:type="auto"/>
            <w:shd w:val="clear" w:color="auto" w:fill="auto"/>
            <w:vAlign w:val="bottom"/>
          </w:tcPr>
          <w:p w14:paraId="392BF3F2" w14:textId="77777777" w:rsidR="00980E5F" w:rsidRDefault="00980E5F">
            <w:pPr>
              <w:rPr>
                <w:rFonts w:ascii="宋体"/>
                <w:vanish/>
              </w:rPr>
            </w:pPr>
          </w:p>
        </w:tc>
        <w:tc>
          <w:tcPr>
            <w:tcW w:w="0" w:type="auto"/>
            <w:shd w:val="clear" w:color="auto" w:fill="auto"/>
            <w:vAlign w:val="bottom"/>
          </w:tcPr>
          <w:p w14:paraId="392BF3F3" w14:textId="77777777" w:rsidR="00980E5F" w:rsidRDefault="00980E5F">
            <w:pPr>
              <w:rPr>
                <w:rFonts w:ascii="宋体"/>
                <w:vanish/>
              </w:rPr>
            </w:pPr>
          </w:p>
        </w:tc>
      </w:tr>
      <w:tr w:rsidR="00980E5F" w14:paraId="392BF405" w14:textId="77777777">
        <w:tc>
          <w:tcPr>
            <w:tcW w:w="0" w:type="auto"/>
            <w:gridSpan w:val="3"/>
            <w:shd w:val="clear" w:color="auto" w:fill="CCEEFF"/>
            <w:tcMar>
              <w:top w:w="40" w:type="dxa"/>
              <w:left w:w="380" w:type="dxa"/>
              <w:bottom w:w="40" w:type="dxa"/>
              <w:right w:w="20" w:type="dxa"/>
            </w:tcMar>
            <w:vAlign w:val="bottom"/>
          </w:tcPr>
          <w:p w14:paraId="392BF3F5" w14:textId="77777777" w:rsidR="00980E5F" w:rsidRDefault="00483613">
            <w:pPr>
              <w:ind w:hanging="360"/>
              <w:textAlignment w:val="bottom"/>
            </w:pPr>
            <w:r>
              <w:rPr>
                <w:rFonts w:ascii="Arial" w:eastAsia="宋体" w:hAnsi="Arial" w:cs="Arial"/>
                <w:color w:val="000000"/>
                <w:sz w:val="15"/>
                <w:szCs w:val="15"/>
              </w:rPr>
              <w:t>Multi Asset</w:t>
            </w:r>
          </w:p>
        </w:tc>
        <w:tc>
          <w:tcPr>
            <w:tcW w:w="0" w:type="auto"/>
            <w:gridSpan w:val="3"/>
            <w:shd w:val="clear" w:color="auto" w:fill="CCEEFF"/>
            <w:tcMar>
              <w:top w:w="40" w:type="dxa"/>
              <w:left w:w="20" w:type="dxa"/>
              <w:bottom w:w="40" w:type="dxa"/>
              <w:right w:w="140" w:type="dxa"/>
            </w:tcMar>
            <w:vAlign w:val="bottom"/>
          </w:tcPr>
          <w:p w14:paraId="392BF3F6" w14:textId="77777777" w:rsidR="00980E5F" w:rsidRDefault="00483613">
            <w:pPr>
              <w:jc w:val="right"/>
              <w:textAlignment w:val="bottom"/>
            </w:pPr>
            <w:r>
              <w:rPr>
                <w:rFonts w:ascii="Arial" w:eastAsia="宋体" w:hAnsi="Arial" w:cs="Arial"/>
                <w:b/>
                <w:bCs/>
                <w:color w:val="000000"/>
                <w:sz w:val="15"/>
                <w:szCs w:val="15"/>
              </w:rPr>
              <w:t>1</w:t>
            </w:r>
          </w:p>
        </w:tc>
        <w:tc>
          <w:tcPr>
            <w:tcW w:w="0" w:type="auto"/>
            <w:gridSpan w:val="3"/>
            <w:shd w:val="clear" w:color="auto" w:fill="CCEEFF"/>
            <w:tcMar>
              <w:top w:w="0" w:type="dxa"/>
              <w:left w:w="20" w:type="dxa"/>
              <w:bottom w:w="0" w:type="dxa"/>
              <w:right w:w="20" w:type="dxa"/>
            </w:tcMar>
            <w:vAlign w:val="bottom"/>
          </w:tcPr>
          <w:p w14:paraId="392BF3F7"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F3F8" w14:textId="77777777" w:rsidR="00980E5F" w:rsidRDefault="00483613">
            <w:pPr>
              <w:jc w:val="right"/>
              <w:textAlignment w:val="bottom"/>
            </w:pPr>
            <w:r>
              <w:rPr>
                <w:rFonts w:ascii="Arial" w:eastAsia="宋体" w:hAnsi="Arial" w:cs="Arial"/>
                <w:color w:val="000000"/>
                <w:sz w:val="15"/>
                <w:szCs w:val="15"/>
              </w:rPr>
              <w:t>1</w:t>
            </w:r>
          </w:p>
        </w:tc>
        <w:tc>
          <w:tcPr>
            <w:tcW w:w="0" w:type="auto"/>
            <w:gridSpan w:val="3"/>
            <w:shd w:val="clear" w:color="auto" w:fill="CCEEFF"/>
            <w:tcMar>
              <w:top w:w="0" w:type="dxa"/>
              <w:left w:w="20" w:type="dxa"/>
              <w:bottom w:w="0" w:type="dxa"/>
              <w:right w:w="20" w:type="dxa"/>
            </w:tcMar>
            <w:vAlign w:val="bottom"/>
          </w:tcPr>
          <w:p w14:paraId="392BF3F9"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BF3FA"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auto"/>
            <w:vAlign w:val="bottom"/>
          </w:tcPr>
          <w:p w14:paraId="392BF3FB" w14:textId="77777777" w:rsidR="00980E5F" w:rsidRDefault="00980E5F">
            <w:pPr>
              <w:rPr>
                <w:rFonts w:ascii="宋体"/>
                <w:vanish/>
              </w:rPr>
            </w:pPr>
          </w:p>
        </w:tc>
        <w:tc>
          <w:tcPr>
            <w:tcW w:w="0" w:type="auto"/>
            <w:shd w:val="clear" w:color="auto" w:fill="auto"/>
            <w:vAlign w:val="bottom"/>
          </w:tcPr>
          <w:p w14:paraId="392BF3FC" w14:textId="77777777" w:rsidR="00980E5F" w:rsidRDefault="00980E5F">
            <w:pPr>
              <w:rPr>
                <w:rFonts w:ascii="宋体"/>
                <w:vanish/>
              </w:rPr>
            </w:pPr>
          </w:p>
        </w:tc>
        <w:tc>
          <w:tcPr>
            <w:tcW w:w="0" w:type="auto"/>
            <w:shd w:val="clear" w:color="auto" w:fill="auto"/>
            <w:vAlign w:val="bottom"/>
          </w:tcPr>
          <w:p w14:paraId="392BF3FD" w14:textId="77777777" w:rsidR="00980E5F" w:rsidRDefault="00980E5F">
            <w:pPr>
              <w:rPr>
                <w:rFonts w:ascii="宋体"/>
                <w:vanish/>
              </w:rPr>
            </w:pPr>
          </w:p>
        </w:tc>
        <w:tc>
          <w:tcPr>
            <w:tcW w:w="0" w:type="auto"/>
            <w:shd w:val="clear" w:color="auto" w:fill="auto"/>
            <w:vAlign w:val="bottom"/>
          </w:tcPr>
          <w:p w14:paraId="392BF3FE" w14:textId="77777777" w:rsidR="00980E5F" w:rsidRDefault="00980E5F">
            <w:pPr>
              <w:rPr>
                <w:rFonts w:ascii="宋体"/>
                <w:vanish/>
              </w:rPr>
            </w:pPr>
          </w:p>
        </w:tc>
        <w:tc>
          <w:tcPr>
            <w:tcW w:w="0" w:type="auto"/>
            <w:shd w:val="clear" w:color="auto" w:fill="auto"/>
            <w:vAlign w:val="bottom"/>
          </w:tcPr>
          <w:p w14:paraId="392BF3FF" w14:textId="77777777" w:rsidR="00980E5F" w:rsidRDefault="00980E5F">
            <w:pPr>
              <w:rPr>
                <w:rFonts w:ascii="宋体"/>
                <w:vanish/>
              </w:rPr>
            </w:pPr>
          </w:p>
        </w:tc>
        <w:tc>
          <w:tcPr>
            <w:tcW w:w="0" w:type="auto"/>
            <w:shd w:val="clear" w:color="auto" w:fill="auto"/>
            <w:vAlign w:val="bottom"/>
          </w:tcPr>
          <w:p w14:paraId="392BF400" w14:textId="77777777" w:rsidR="00980E5F" w:rsidRDefault="00980E5F">
            <w:pPr>
              <w:rPr>
                <w:rFonts w:ascii="宋体"/>
                <w:vanish/>
              </w:rPr>
            </w:pPr>
          </w:p>
        </w:tc>
        <w:tc>
          <w:tcPr>
            <w:tcW w:w="0" w:type="auto"/>
            <w:shd w:val="clear" w:color="auto" w:fill="auto"/>
            <w:vAlign w:val="bottom"/>
          </w:tcPr>
          <w:p w14:paraId="392BF401" w14:textId="77777777" w:rsidR="00980E5F" w:rsidRDefault="00980E5F">
            <w:pPr>
              <w:rPr>
                <w:rFonts w:ascii="宋体"/>
                <w:vanish/>
              </w:rPr>
            </w:pPr>
          </w:p>
        </w:tc>
        <w:tc>
          <w:tcPr>
            <w:tcW w:w="0" w:type="auto"/>
            <w:shd w:val="clear" w:color="auto" w:fill="auto"/>
            <w:vAlign w:val="bottom"/>
          </w:tcPr>
          <w:p w14:paraId="392BF402" w14:textId="77777777" w:rsidR="00980E5F" w:rsidRDefault="00980E5F">
            <w:pPr>
              <w:rPr>
                <w:rFonts w:ascii="宋体"/>
                <w:vanish/>
              </w:rPr>
            </w:pPr>
          </w:p>
        </w:tc>
        <w:tc>
          <w:tcPr>
            <w:tcW w:w="0" w:type="auto"/>
            <w:shd w:val="clear" w:color="auto" w:fill="auto"/>
            <w:vAlign w:val="bottom"/>
          </w:tcPr>
          <w:p w14:paraId="392BF403" w14:textId="77777777" w:rsidR="00980E5F" w:rsidRDefault="00980E5F">
            <w:pPr>
              <w:rPr>
                <w:rFonts w:ascii="宋体"/>
                <w:vanish/>
              </w:rPr>
            </w:pPr>
          </w:p>
        </w:tc>
        <w:tc>
          <w:tcPr>
            <w:tcW w:w="0" w:type="auto"/>
            <w:shd w:val="clear" w:color="auto" w:fill="auto"/>
            <w:vAlign w:val="bottom"/>
          </w:tcPr>
          <w:p w14:paraId="392BF404" w14:textId="77777777" w:rsidR="00980E5F" w:rsidRDefault="00980E5F">
            <w:pPr>
              <w:rPr>
                <w:rFonts w:ascii="宋体"/>
                <w:vanish/>
              </w:rPr>
            </w:pPr>
          </w:p>
        </w:tc>
      </w:tr>
      <w:tr w:rsidR="00980E5F" w14:paraId="392BF416" w14:textId="77777777">
        <w:tc>
          <w:tcPr>
            <w:tcW w:w="0" w:type="auto"/>
            <w:gridSpan w:val="3"/>
            <w:shd w:val="clear" w:color="auto" w:fill="FFFFFF"/>
            <w:tcMar>
              <w:top w:w="40" w:type="dxa"/>
              <w:left w:w="380" w:type="dxa"/>
              <w:bottom w:w="40" w:type="dxa"/>
              <w:right w:w="20" w:type="dxa"/>
            </w:tcMar>
            <w:vAlign w:val="bottom"/>
          </w:tcPr>
          <w:p w14:paraId="392BF406" w14:textId="77777777" w:rsidR="00980E5F" w:rsidRDefault="00483613">
            <w:pPr>
              <w:ind w:hanging="360"/>
              <w:textAlignment w:val="bottom"/>
            </w:pPr>
            <w:r>
              <w:rPr>
                <w:rFonts w:ascii="Arial" w:eastAsia="宋体" w:hAnsi="Arial" w:cs="Arial"/>
                <w:color w:val="000000"/>
                <w:sz w:val="15"/>
                <w:szCs w:val="15"/>
              </w:rPr>
              <w:t>Fixed-Income</w:t>
            </w:r>
          </w:p>
        </w:tc>
        <w:tc>
          <w:tcPr>
            <w:tcW w:w="0" w:type="auto"/>
            <w:gridSpan w:val="3"/>
            <w:shd w:val="clear" w:color="auto" w:fill="FFFFFF"/>
            <w:tcMar>
              <w:top w:w="40" w:type="dxa"/>
              <w:left w:w="20" w:type="dxa"/>
              <w:bottom w:w="40" w:type="dxa"/>
              <w:right w:w="140" w:type="dxa"/>
            </w:tcMar>
            <w:vAlign w:val="bottom"/>
          </w:tcPr>
          <w:p w14:paraId="392BF407" w14:textId="77777777" w:rsidR="00980E5F" w:rsidRDefault="00483613">
            <w:pPr>
              <w:jc w:val="right"/>
              <w:textAlignment w:val="bottom"/>
            </w:pPr>
            <w:r>
              <w:rPr>
                <w:rFonts w:ascii="Arial" w:eastAsia="宋体" w:hAnsi="Arial" w:cs="Arial"/>
                <w:b/>
                <w:bCs/>
                <w:color w:val="000000"/>
                <w:sz w:val="15"/>
                <w:szCs w:val="15"/>
              </w:rPr>
              <w:t>130</w:t>
            </w:r>
          </w:p>
        </w:tc>
        <w:tc>
          <w:tcPr>
            <w:tcW w:w="0" w:type="auto"/>
            <w:gridSpan w:val="3"/>
            <w:shd w:val="clear" w:color="auto" w:fill="FFFFFF"/>
            <w:tcMar>
              <w:top w:w="0" w:type="dxa"/>
              <w:left w:w="20" w:type="dxa"/>
              <w:bottom w:w="0" w:type="dxa"/>
              <w:right w:w="20" w:type="dxa"/>
            </w:tcMar>
            <w:vAlign w:val="bottom"/>
          </w:tcPr>
          <w:p w14:paraId="392BF408"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F409" w14:textId="77777777" w:rsidR="00980E5F" w:rsidRDefault="00483613">
            <w:pPr>
              <w:jc w:val="right"/>
              <w:textAlignment w:val="bottom"/>
            </w:pPr>
            <w:r>
              <w:rPr>
                <w:rFonts w:ascii="Arial" w:eastAsia="宋体" w:hAnsi="Arial" w:cs="Arial"/>
                <w:color w:val="000000"/>
                <w:sz w:val="15"/>
                <w:szCs w:val="15"/>
              </w:rPr>
              <w:t>135</w:t>
            </w:r>
          </w:p>
        </w:tc>
        <w:tc>
          <w:tcPr>
            <w:tcW w:w="0" w:type="auto"/>
            <w:gridSpan w:val="3"/>
            <w:shd w:val="clear" w:color="auto" w:fill="FFFFFF"/>
            <w:tcMar>
              <w:top w:w="0" w:type="dxa"/>
              <w:left w:w="20" w:type="dxa"/>
              <w:bottom w:w="0" w:type="dxa"/>
              <w:right w:w="20" w:type="dxa"/>
            </w:tcMar>
            <w:vAlign w:val="bottom"/>
          </w:tcPr>
          <w:p w14:paraId="392BF40A" w14:textId="77777777" w:rsidR="00980E5F" w:rsidRDefault="00980E5F">
            <w:pPr>
              <w:rPr>
                <w:rFonts w:ascii="宋体"/>
              </w:rPr>
            </w:pPr>
          </w:p>
        </w:tc>
        <w:tc>
          <w:tcPr>
            <w:tcW w:w="0" w:type="auto"/>
            <w:gridSpan w:val="3"/>
            <w:shd w:val="clear" w:color="auto" w:fill="FFFFFF"/>
            <w:tcMar>
              <w:top w:w="40" w:type="dxa"/>
              <w:left w:w="20" w:type="dxa"/>
              <w:bottom w:w="40" w:type="dxa"/>
              <w:right w:w="140" w:type="dxa"/>
            </w:tcMar>
            <w:vAlign w:val="bottom"/>
          </w:tcPr>
          <w:p w14:paraId="392BF40B" w14:textId="77777777" w:rsidR="00980E5F" w:rsidRDefault="00483613">
            <w:pPr>
              <w:jc w:val="right"/>
              <w:textAlignment w:val="bottom"/>
            </w:pPr>
            <w:r>
              <w:rPr>
                <w:rFonts w:ascii="Arial" w:eastAsia="宋体" w:hAnsi="Arial" w:cs="Arial"/>
                <w:color w:val="000000"/>
                <w:sz w:val="15"/>
                <w:szCs w:val="15"/>
              </w:rPr>
              <w:t>128</w:t>
            </w:r>
          </w:p>
        </w:tc>
        <w:tc>
          <w:tcPr>
            <w:tcW w:w="0" w:type="auto"/>
            <w:shd w:val="clear" w:color="auto" w:fill="auto"/>
            <w:vAlign w:val="bottom"/>
          </w:tcPr>
          <w:p w14:paraId="392BF40C" w14:textId="77777777" w:rsidR="00980E5F" w:rsidRDefault="00980E5F">
            <w:pPr>
              <w:rPr>
                <w:rFonts w:ascii="宋体"/>
                <w:vanish/>
              </w:rPr>
            </w:pPr>
          </w:p>
        </w:tc>
        <w:tc>
          <w:tcPr>
            <w:tcW w:w="0" w:type="auto"/>
            <w:shd w:val="clear" w:color="auto" w:fill="auto"/>
            <w:vAlign w:val="bottom"/>
          </w:tcPr>
          <w:p w14:paraId="392BF40D" w14:textId="77777777" w:rsidR="00980E5F" w:rsidRDefault="00980E5F">
            <w:pPr>
              <w:rPr>
                <w:rFonts w:ascii="宋体"/>
                <w:vanish/>
              </w:rPr>
            </w:pPr>
          </w:p>
        </w:tc>
        <w:tc>
          <w:tcPr>
            <w:tcW w:w="0" w:type="auto"/>
            <w:shd w:val="clear" w:color="auto" w:fill="auto"/>
            <w:vAlign w:val="bottom"/>
          </w:tcPr>
          <w:p w14:paraId="392BF40E" w14:textId="77777777" w:rsidR="00980E5F" w:rsidRDefault="00980E5F">
            <w:pPr>
              <w:rPr>
                <w:rFonts w:ascii="宋体"/>
                <w:vanish/>
              </w:rPr>
            </w:pPr>
          </w:p>
        </w:tc>
        <w:tc>
          <w:tcPr>
            <w:tcW w:w="0" w:type="auto"/>
            <w:shd w:val="clear" w:color="auto" w:fill="auto"/>
            <w:vAlign w:val="bottom"/>
          </w:tcPr>
          <w:p w14:paraId="392BF40F" w14:textId="77777777" w:rsidR="00980E5F" w:rsidRDefault="00980E5F">
            <w:pPr>
              <w:rPr>
                <w:rFonts w:ascii="宋体"/>
                <w:vanish/>
              </w:rPr>
            </w:pPr>
          </w:p>
        </w:tc>
        <w:tc>
          <w:tcPr>
            <w:tcW w:w="0" w:type="auto"/>
            <w:shd w:val="clear" w:color="auto" w:fill="auto"/>
            <w:vAlign w:val="bottom"/>
          </w:tcPr>
          <w:p w14:paraId="392BF410" w14:textId="77777777" w:rsidR="00980E5F" w:rsidRDefault="00980E5F">
            <w:pPr>
              <w:rPr>
                <w:rFonts w:ascii="宋体"/>
                <w:vanish/>
              </w:rPr>
            </w:pPr>
          </w:p>
        </w:tc>
        <w:tc>
          <w:tcPr>
            <w:tcW w:w="0" w:type="auto"/>
            <w:shd w:val="clear" w:color="auto" w:fill="auto"/>
            <w:vAlign w:val="bottom"/>
          </w:tcPr>
          <w:p w14:paraId="392BF411" w14:textId="77777777" w:rsidR="00980E5F" w:rsidRDefault="00980E5F">
            <w:pPr>
              <w:rPr>
                <w:rFonts w:ascii="宋体"/>
                <w:vanish/>
              </w:rPr>
            </w:pPr>
          </w:p>
        </w:tc>
        <w:tc>
          <w:tcPr>
            <w:tcW w:w="0" w:type="auto"/>
            <w:shd w:val="clear" w:color="auto" w:fill="auto"/>
            <w:vAlign w:val="bottom"/>
          </w:tcPr>
          <w:p w14:paraId="392BF412" w14:textId="77777777" w:rsidR="00980E5F" w:rsidRDefault="00980E5F">
            <w:pPr>
              <w:rPr>
                <w:rFonts w:ascii="宋体"/>
                <w:vanish/>
              </w:rPr>
            </w:pPr>
          </w:p>
        </w:tc>
        <w:tc>
          <w:tcPr>
            <w:tcW w:w="0" w:type="auto"/>
            <w:shd w:val="clear" w:color="auto" w:fill="auto"/>
            <w:vAlign w:val="bottom"/>
          </w:tcPr>
          <w:p w14:paraId="392BF413" w14:textId="77777777" w:rsidR="00980E5F" w:rsidRDefault="00980E5F">
            <w:pPr>
              <w:rPr>
                <w:rFonts w:ascii="宋体"/>
                <w:vanish/>
              </w:rPr>
            </w:pPr>
          </w:p>
        </w:tc>
        <w:tc>
          <w:tcPr>
            <w:tcW w:w="0" w:type="auto"/>
            <w:shd w:val="clear" w:color="auto" w:fill="auto"/>
            <w:vAlign w:val="bottom"/>
          </w:tcPr>
          <w:p w14:paraId="392BF414" w14:textId="77777777" w:rsidR="00980E5F" w:rsidRDefault="00980E5F">
            <w:pPr>
              <w:rPr>
                <w:rFonts w:ascii="宋体"/>
                <w:vanish/>
              </w:rPr>
            </w:pPr>
          </w:p>
        </w:tc>
        <w:tc>
          <w:tcPr>
            <w:tcW w:w="0" w:type="auto"/>
            <w:shd w:val="clear" w:color="auto" w:fill="auto"/>
            <w:vAlign w:val="bottom"/>
          </w:tcPr>
          <w:p w14:paraId="392BF415" w14:textId="77777777" w:rsidR="00980E5F" w:rsidRDefault="00980E5F">
            <w:pPr>
              <w:rPr>
                <w:rFonts w:ascii="宋体"/>
                <w:vanish/>
              </w:rPr>
            </w:pPr>
          </w:p>
        </w:tc>
      </w:tr>
      <w:tr w:rsidR="00980E5F" w14:paraId="392BF42A" w14:textId="77777777">
        <w:tc>
          <w:tcPr>
            <w:tcW w:w="0" w:type="auto"/>
            <w:gridSpan w:val="3"/>
            <w:shd w:val="clear" w:color="auto" w:fill="CCEEFF"/>
            <w:tcMar>
              <w:top w:w="40" w:type="dxa"/>
              <w:left w:w="380" w:type="dxa"/>
              <w:bottom w:w="40" w:type="dxa"/>
              <w:right w:w="20" w:type="dxa"/>
            </w:tcMar>
            <w:vAlign w:val="bottom"/>
          </w:tcPr>
          <w:p w14:paraId="392BF417" w14:textId="77777777" w:rsidR="00980E5F" w:rsidRDefault="00483613">
            <w:pPr>
              <w:ind w:hanging="360"/>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418" w14:textId="77777777" w:rsidR="00980E5F" w:rsidRDefault="00483613">
            <w:pPr>
              <w:textAlignment w:val="bottom"/>
            </w:pPr>
            <w:r>
              <w:rPr>
                <w:rFonts w:ascii="Arial" w:eastAsia="宋体" w:hAnsi="Arial" w:cs="Arial"/>
                <w:b/>
                <w:bCs/>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392BF419" w14:textId="77777777" w:rsidR="00980E5F" w:rsidRDefault="00483613">
            <w:pPr>
              <w:jc w:val="right"/>
              <w:textAlignment w:val="bottom"/>
            </w:pPr>
            <w:r>
              <w:rPr>
                <w:rFonts w:ascii="Arial" w:eastAsia="宋体" w:hAnsi="Arial" w:cs="Arial"/>
                <w:b/>
                <w:bCs/>
                <w:color w:val="000000"/>
                <w:sz w:val="15"/>
                <w:szCs w:val="15"/>
              </w:rPr>
              <w:t>999</w:t>
            </w:r>
          </w:p>
        </w:tc>
        <w:tc>
          <w:tcPr>
            <w:tcW w:w="0" w:type="auto"/>
            <w:gridSpan w:val="3"/>
            <w:shd w:val="clear" w:color="auto" w:fill="CCEEFF"/>
            <w:tcMar>
              <w:top w:w="0" w:type="dxa"/>
              <w:left w:w="20" w:type="dxa"/>
              <w:bottom w:w="0" w:type="dxa"/>
              <w:right w:w="20" w:type="dxa"/>
            </w:tcMar>
            <w:vAlign w:val="bottom"/>
          </w:tcPr>
          <w:p w14:paraId="392BF41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41B" w14:textId="77777777" w:rsidR="00980E5F" w:rsidRDefault="00483613">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392BF41C" w14:textId="77777777" w:rsidR="00980E5F" w:rsidRDefault="00483613">
            <w:pPr>
              <w:jc w:val="right"/>
              <w:textAlignment w:val="bottom"/>
            </w:pPr>
            <w:r>
              <w:rPr>
                <w:rFonts w:ascii="Arial" w:eastAsia="宋体" w:hAnsi="Arial" w:cs="Arial"/>
                <w:color w:val="000000"/>
                <w:sz w:val="15"/>
                <w:szCs w:val="15"/>
              </w:rPr>
              <w:t>1,178</w:t>
            </w:r>
          </w:p>
        </w:tc>
        <w:tc>
          <w:tcPr>
            <w:tcW w:w="0" w:type="auto"/>
            <w:gridSpan w:val="3"/>
            <w:shd w:val="clear" w:color="auto" w:fill="CCEEFF"/>
            <w:tcMar>
              <w:top w:w="0" w:type="dxa"/>
              <w:left w:w="20" w:type="dxa"/>
              <w:bottom w:w="0" w:type="dxa"/>
              <w:right w:w="20" w:type="dxa"/>
            </w:tcMar>
            <w:vAlign w:val="bottom"/>
          </w:tcPr>
          <w:p w14:paraId="392BF41D"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41E" w14:textId="77777777" w:rsidR="00980E5F" w:rsidRDefault="00483613">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392BF41F" w14:textId="77777777" w:rsidR="00980E5F" w:rsidRDefault="00483613">
            <w:pPr>
              <w:jc w:val="right"/>
              <w:textAlignment w:val="bottom"/>
            </w:pPr>
            <w:r>
              <w:rPr>
                <w:rFonts w:ascii="Arial" w:eastAsia="宋体" w:hAnsi="Arial" w:cs="Arial"/>
                <w:color w:val="000000"/>
                <w:sz w:val="15"/>
                <w:szCs w:val="15"/>
              </w:rPr>
              <w:t>1,046</w:t>
            </w:r>
          </w:p>
        </w:tc>
        <w:tc>
          <w:tcPr>
            <w:tcW w:w="0" w:type="auto"/>
            <w:shd w:val="clear" w:color="auto" w:fill="auto"/>
            <w:vAlign w:val="bottom"/>
          </w:tcPr>
          <w:p w14:paraId="392BF420" w14:textId="77777777" w:rsidR="00980E5F" w:rsidRDefault="00980E5F">
            <w:pPr>
              <w:rPr>
                <w:rFonts w:ascii="宋体"/>
                <w:vanish/>
              </w:rPr>
            </w:pPr>
          </w:p>
        </w:tc>
        <w:tc>
          <w:tcPr>
            <w:tcW w:w="0" w:type="auto"/>
            <w:shd w:val="clear" w:color="auto" w:fill="auto"/>
            <w:vAlign w:val="bottom"/>
          </w:tcPr>
          <w:p w14:paraId="392BF421" w14:textId="77777777" w:rsidR="00980E5F" w:rsidRDefault="00980E5F">
            <w:pPr>
              <w:rPr>
                <w:rFonts w:ascii="宋体"/>
                <w:vanish/>
              </w:rPr>
            </w:pPr>
          </w:p>
        </w:tc>
        <w:tc>
          <w:tcPr>
            <w:tcW w:w="0" w:type="auto"/>
            <w:shd w:val="clear" w:color="auto" w:fill="auto"/>
            <w:vAlign w:val="bottom"/>
          </w:tcPr>
          <w:p w14:paraId="392BF422" w14:textId="77777777" w:rsidR="00980E5F" w:rsidRDefault="00980E5F">
            <w:pPr>
              <w:rPr>
                <w:rFonts w:ascii="宋体"/>
                <w:vanish/>
              </w:rPr>
            </w:pPr>
          </w:p>
        </w:tc>
        <w:tc>
          <w:tcPr>
            <w:tcW w:w="0" w:type="auto"/>
            <w:shd w:val="clear" w:color="auto" w:fill="auto"/>
            <w:vAlign w:val="bottom"/>
          </w:tcPr>
          <w:p w14:paraId="392BF423" w14:textId="77777777" w:rsidR="00980E5F" w:rsidRDefault="00980E5F">
            <w:pPr>
              <w:rPr>
                <w:rFonts w:ascii="宋体"/>
                <w:vanish/>
              </w:rPr>
            </w:pPr>
          </w:p>
        </w:tc>
        <w:tc>
          <w:tcPr>
            <w:tcW w:w="0" w:type="auto"/>
            <w:shd w:val="clear" w:color="auto" w:fill="auto"/>
            <w:vAlign w:val="bottom"/>
          </w:tcPr>
          <w:p w14:paraId="392BF424" w14:textId="77777777" w:rsidR="00980E5F" w:rsidRDefault="00980E5F">
            <w:pPr>
              <w:rPr>
                <w:rFonts w:ascii="宋体"/>
                <w:vanish/>
              </w:rPr>
            </w:pPr>
          </w:p>
        </w:tc>
        <w:tc>
          <w:tcPr>
            <w:tcW w:w="0" w:type="auto"/>
            <w:shd w:val="clear" w:color="auto" w:fill="auto"/>
            <w:vAlign w:val="bottom"/>
          </w:tcPr>
          <w:p w14:paraId="392BF425" w14:textId="77777777" w:rsidR="00980E5F" w:rsidRDefault="00980E5F">
            <w:pPr>
              <w:rPr>
                <w:rFonts w:ascii="宋体"/>
                <w:vanish/>
              </w:rPr>
            </w:pPr>
          </w:p>
        </w:tc>
        <w:tc>
          <w:tcPr>
            <w:tcW w:w="0" w:type="auto"/>
            <w:shd w:val="clear" w:color="auto" w:fill="auto"/>
            <w:vAlign w:val="bottom"/>
          </w:tcPr>
          <w:p w14:paraId="392BF426" w14:textId="77777777" w:rsidR="00980E5F" w:rsidRDefault="00980E5F">
            <w:pPr>
              <w:rPr>
                <w:rFonts w:ascii="宋体"/>
                <w:vanish/>
              </w:rPr>
            </w:pPr>
          </w:p>
        </w:tc>
        <w:tc>
          <w:tcPr>
            <w:tcW w:w="0" w:type="auto"/>
            <w:shd w:val="clear" w:color="auto" w:fill="auto"/>
            <w:vAlign w:val="bottom"/>
          </w:tcPr>
          <w:p w14:paraId="392BF427" w14:textId="77777777" w:rsidR="00980E5F" w:rsidRDefault="00980E5F">
            <w:pPr>
              <w:rPr>
                <w:rFonts w:ascii="宋体"/>
                <w:vanish/>
              </w:rPr>
            </w:pPr>
          </w:p>
        </w:tc>
        <w:tc>
          <w:tcPr>
            <w:tcW w:w="0" w:type="auto"/>
            <w:shd w:val="clear" w:color="auto" w:fill="auto"/>
            <w:vAlign w:val="bottom"/>
          </w:tcPr>
          <w:p w14:paraId="392BF428" w14:textId="77777777" w:rsidR="00980E5F" w:rsidRDefault="00980E5F">
            <w:pPr>
              <w:rPr>
                <w:rFonts w:ascii="宋体"/>
                <w:vanish/>
              </w:rPr>
            </w:pPr>
          </w:p>
        </w:tc>
        <w:tc>
          <w:tcPr>
            <w:tcW w:w="0" w:type="auto"/>
            <w:shd w:val="clear" w:color="auto" w:fill="auto"/>
            <w:vAlign w:val="bottom"/>
          </w:tcPr>
          <w:p w14:paraId="392BF429" w14:textId="77777777" w:rsidR="00980E5F" w:rsidRDefault="00980E5F">
            <w:pPr>
              <w:rPr>
                <w:rFonts w:ascii="宋体"/>
                <w:vanish/>
              </w:rPr>
            </w:pPr>
          </w:p>
        </w:tc>
      </w:tr>
    </w:tbl>
    <w:p w14:paraId="392BF42B"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F432" w14:textId="77777777">
        <w:tc>
          <w:tcPr>
            <w:tcW w:w="50" w:type="pct"/>
            <w:shd w:val="clear" w:color="auto" w:fill="auto"/>
            <w:vAlign w:val="bottom"/>
          </w:tcPr>
          <w:p w14:paraId="392BF42C" w14:textId="77777777" w:rsidR="00980E5F" w:rsidRDefault="00980E5F">
            <w:pPr>
              <w:rPr>
                <w:rFonts w:ascii="宋体"/>
              </w:rPr>
            </w:pPr>
          </w:p>
        </w:tc>
        <w:tc>
          <w:tcPr>
            <w:tcW w:w="1348" w:type="pct"/>
            <w:shd w:val="clear" w:color="auto" w:fill="auto"/>
            <w:vAlign w:val="bottom"/>
          </w:tcPr>
          <w:p w14:paraId="392BF42D" w14:textId="77777777" w:rsidR="00980E5F" w:rsidRDefault="00980E5F">
            <w:pPr>
              <w:rPr>
                <w:rFonts w:ascii="宋体"/>
              </w:rPr>
            </w:pPr>
          </w:p>
        </w:tc>
        <w:tc>
          <w:tcPr>
            <w:tcW w:w="5" w:type="pct"/>
            <w:shd w:val="clear" w:color="auto" w:fill="auto"/>
            <w:vAlign w:val="bottom"/>
          </w:tcPr>
          <w:p w14:paraId="392BF42E" w14:textId="77777777" w:rsidR="00980E5F" w:rsidRDefault="00980E5F">
            <w:pPr>
              <w:rPr>
                <w:rFonts w:ascii="宋体"/>
              </w:rPr>
            </w:pPr>
          </w:p>
        </w:tc>
        <w:tc>
          <w:tcPr>
            <w:tcW w:w="50" w:type="pct"/>
            <w:shd w:val="clear" w:color="auto" w:fill="auto"/>
            <w:vAlign w:val="bottom"/>
          </w:tcPr>
          <w:p w14:paraId="392BF42F" w14:textId="77777777" w:rsidR="00980E5F" w:rsidRDefault="00980E5F">
            <w:pPr>
              <w:rPr>
                <w:rFonts w:ascii="宋体"/>
              </w:rPr>
            </w:pPr>
          </w:p>
        </w:tc>
        <w:tc>
          <w:tcPr>
            <w:tcW w:w="3541" w:type="pct"/>
            <w:shd w:val="clear" w:color="auto" w:fill="auto"/>
            <w:vAlign w:val="bottom"/>
          </w:tcPr>
          <w:p w14:paraId="392BF430" w14:textId="77777777" w:rsidR="00980E5F" w:rsidRDefault="00980E5F">
            <w:pPr>
              <w:rPr>
                <w:rFonts w:ascii="宋体"/>
              </w:rPr>
            </w:pPr>
          </w:p>
        </w:tc>
        <w:tc>
          <w:tcPr>
            <w:tcW w:w="5" w:type="pct"/>
            <w:shd w:val="clear" w:color="auto" w:fill="auto"/>
            <w:vAlign w:val="bottom"/>
          </w:tcPr>
          <w:p w14:paraId="392BF431" w14:textId="77777777" w:rsidR="00980E5F" w:rsidRDefault="00980E5F">
            <w:pPr>
              <w:rPr>
                <w:rFonts w:ascii="宋体"/>
              </w:rPr>
            </w:pPr>
          </w:p>
        </w:tc>
      </w:tr>
      <w:tr w:rsidR="00980E5F" w14:paraId="392BF43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43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434" w14:textId="77777777" w:rsidR="00980E5F" w:rsidRDefault="00980E5F">
            <w:pPr>
              <w:rPr>
                <w:rFonts w:ascii="宋体"/>
              </w:rPr>
            </w:pPr>
          </w:p>
        </w:tc>
      </w:tr>
    </w:tbl>
    <w:p w14:paraId="392BF436" w14:textId="77777777" w:rsidR="00980E5F" w:rsidRDefault="00483613">
      <w:pPr>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392BF437" w14:textId="77777777" w:rsidR="00980E5F" w:rsidRDefault="00483613">
      <w:pPr>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5000" w:type="pct"/>
        <w:tblCellMar>
          <w:top w:w="15" w:type="dxa"/>
          <w:left w:w="15" w:type="dxa"/>
          <w:bottom w:w="15" w:type="dxa"/>
          <w:right w:w="15" w:type="dxa"/>
        </w:tblCellMar>
        <w:tblLook w:val="04A0" w:firstRow="1" w:lastRow="0" w:firstColumn="1" w:lastColumn="0" w:noHBand="0" w:noVBand="1"/>
      </w:tblPr>
      <w:tblGrid>
        <w:gridCol w:w="38"/>
        <w:gridCol w:w="3104"/>
        <w:gridCol w:w="36"/>
        <w:gridCol w:w="104"/>
        <w:gridCol w:w="1434"/>
        <w:gridCol w:w="36"/>
        <w:gridCol w:w="36"/>
        <w:gridCol w:w="36"/>
        <w:gridCol w:w="36"/>
        <w:gridCol w:w="105"/>
        <w:gridCol w:w="1399"/>
        <w:gridCol w:w="37"/>
        <w:gridCol w:w="36"/>
        <w:gridCol w:w="36"/>
        <w:gridCol w:w="36"/>
        <w:gridCol w:w="104"/>
        <w:gridCol w:w="1399"/>
        <w:gridCol w:w="36"/>
        <w:gridCol w:w="36"/>
        <w:gridCol w:w="36"/>
        <w:gridCol w:w="36"/>
        <w:gridCol w:w="36"/>
        <w:gridCol w:w="36"/>
        <w:gridCol w:w="36"/>
        <w:gridCol w:w="36"/>
        <w:gridCol w:w="36"/>
      </w:tblGrid>
      <w:tr w:rsidR="00980E5F" w14:paraId="392BF452" w14:textId="77777777">
        <w:tc>
          <w:tcPr>
            <w:tcW w:w="50" w:type="pct"/>
            <w:shd w:val="clear" w:color="auto" w:fill="auto"/>
            <w:vAlign w:val="bottom"/>
          </w:tcPr>
          <w:p w14:paraId="392BF438" w14:textId="77777777" w:rsidR="00980E5F" w:rsidRDefault="00980E5F">
            <w:pPr>
              <w:rPr>
                <w:rFonts w:ascii="宋体"/>
              </w:rPr>
            </w:pPr>
          </w:p>
        </w:tc>
        <w:tc>
          <w:tcPr>
            <w:tcW w:w="1955" w:type="pct"/>
            <w:shd w:val="clear" w:color="auto" w:fill="auto"/>
            <w:vAlign w:val="bottom"/>
          </w:tcPr>
          <w:p w14:paraId="392BF439" w14:textId="77777777" w:rsidR="00980E5F" w:rsidRDefault="00980E5F">
            <w:pPr>
              <w:rPr>
                <w:rFonts w:ascii="宋体"/>
              </w:rPr>
            </w:pPr>
          </w:p>
        </w:tc>
        <w:tc>
          <w:tcPr>
            <w:tcW w:w="5" w:type="pct"/>
            <w:shd w:val="clear" w:color="auto" w:fill="auto"/>
            <w:vAlign w:val="bottom"/>
          </w:tcPr>
          <w:p w14:paraId="392BF43A" w14:textId="77777777" w:rsidR="00980E5F" w:rsidRDefault="00980E5F">
            <w:pPr>
              <w:rPr>
                <w:rFonts w:ascii="宋体"/>
              </w:rPr>
            </w:pPr>
          </w:p>
        </w:tc>
        <w:tc>
          <w:tcPr>
            <w:tcW w:w="50" w:type="pct"/>
            <w:shd w:val="clear" w:color="auto" w:fill="auto"/>
            <w:vAlign w:val="bottom"/>
          </w:tcPr>
          <w:p w14:paraId="392BF43B" w14:textId="77777777" w:rsidR="00980E5F" w:rsidRDefault="00980E5F">
            <w:pPr>
              <w:rPr>
                <w:rFonts w:ascii="宋体"/>
              </w:rPr>
            </w:pPr>
          </w:p>
        </w:tc>
        <w:tc>
          <w:tcPr>
            <w:tcW w:w="917" w:type="pct"/>
            <w:shd w:val="clear" w:color="auto" w:fill="auto"/>
            <w:vAlign w:val="bottom"/>
          </w:tcPr>
          <w:p w14:paraId="392BF43C" w14:textId="77777777" w:rsidR="00980E5F" w:rsidRDefault="00980E5F">
            <w:pPr>
              <w:rPr>
                <w:rFonts w:ascii="宋体"/>
              </w:rPr>
            </w:pPr>
          </w:p>
        </w:tc>
        <w:tc>
          <w:tcPr>
            <w:tcW w:w="5" w:type="pct"/>
            <w:shd w:val="clear" w:color="auto" w:fill="auto"/>
            <w:vAlign w:val="bottom"/>
          </w:tcPr>
          <w:p w14:paraId="392BF43D" w14:textId="77777777" w:rsidR="00980E5F" w:rsidRDefault="00980E5F">
            <w:pPr>
              <w:rPr>
                <w:rFonts w:ascii="宋体"/>
              </w:rPr>
            </w:pPr>
          </w:p>
        </w:tc>
        <w:tc>
          <w:tcPr>
            <w:tcW w:w="5" w:type="pct"/>
            <w:shd w:val="clear" w:color="auto" w:fill="auto"/>
            <w:vAlign w:val="bottom"/>
          </w:tcPr>
          <w:p w14:paraId="392BF43E" w14:textId="77777777" w:rsidR="00980E5F" w:rsidRDefault="00980E5F">
            <w:pPr>
              <w:rPr>
                <w:rFonts w:ascii="宋体"/>
              </w:rPr>
            </w:pPr>
          </w:p>
        </w:tc>
        <w:tc>
          <w:tcPr>
            <w:tcW w:w="26" w:type="pct"/>
            <w:shd w:val="clear" w:color="auto" w:fill="auto"/>
            <w:vAlign w:val="bottom"/>
          </w:tcPr>
          <w:p w14:paraId="392BF43F" w14:textId="77777777" w:rsidR="00980E5F" w:rsidRDefault="00980E5F">
            <w:pPr>
              <w:rPr>
                <w:rFonts w:ascii="宋体"/>
              </w:rPr>
            </w:pPr>
          </w:p>
        </w:tc>
        <w:tc>
          <w:tcPr>
            <w:tcW w:w="5" w:type="pct"/>
            <w:shd w:val="clear" w:color="auto" w:fill="auto"/>
            <w:vAlign w:val="bottom"/>
          </w:tcPr>
          <w:p w14:paraId="392BF440" w14:textId="77777777" w:rsidR="00980E5F" w:rsidRDefault="00980E5F">
            <w:pPr>
              <w:rPr>
                <w:rFonts w:ascii="宋体"/>
              </w:rPr>
            </w:pPr>
          </w:p>
        </w:tc>
        <w:tc>
          <w:tcPr>
            <w:tcW w:w="50" w:type="pct"/>
            <w:shd w:val="clear" w:color="auto" w:fill="auto"/>
            <w:vAlign w:val="bottom"/>
          </w:tcPr>
          <w:p w14:paraId="392BF441" w14:textId="77777777" w:rsidR="00980E5F" w:rsidRDefault="00980E5F">
            <w:pPr>
              <w:rPr>
                <w:rFonts w:ascii="宋体"/>
              </w:rPr>
            </w:pPr>
          </w:p>
        </w:tc>
        <w:tc>
          <w:tcPr>
            <w:tcW w:w="917" w:type="pct"/>
            <w:shd w:val="clear" w:color="auto" w:fill="auto"/>
            <w:vAlign w:val="bottom"/>
          </w:tcPr>
          <w:p w14:paraId="392BF442" w14:textId="77777777" w:rsidR="00980E5F" w:rsidRDefault="00980E5F">
            <w:pPr>
              <w:rPr>
                <w:rFonts w:ascii="宋体"/>
              </w:rPr>
            </w:pPr>
          </w:p>
        </w:tc>
        <w:tc>
          <w:tcPr>
            <w:tcW w:w="5" w:type="pct"/>
            <w:shd w:val="clear" w:color="auto" w:fill="auto"/>
            <w:vAlign w:val="bottom"/>
          </w:tcPr>
          <w:p w14:paraId="392BF443" w14:textId="77777777" w:rsidR="00980E5F" w:rsidRDefault="00980E5F">
            <w:pPr>
              <w:rPr>
                <w:rFonts w:ascii="宋体"/>
              </w:rPr>
            </w:pPr>
          </w:p>
        </w:tc>
        <w:tc>
          <w:tcPr>
            <w:tcW w:w="5" w:type="pct"/>
            <w:shd w:val="clear" w:color="auto" w:fill="auto"/>
            <w:vAlign w:val="bottom"/>
          </w:tcPr>
          <w:p w14:paraId="392BF444" w14:textId="77777777" w:rsidR="00980E5F" w:rsidRDefault="00980E5F">
            <w:pPr>
              <w:rPr>
                <w:rFonts w:ascii="宋体"/>
              </w:rPr>
            </w:pPr>
          </w:p>
        </w:tc>
        <w:tc>
          <w:tcPr>
            <w:tcW w:w="26" w:type="pct"/>
            <w:shd w:val="clear" w:color="auto" w:fill="auto"/>
            <w:vAlign w:val="bottom"/>
          </w:tcPr>
          <w:p w14:paraId="392BF445" w14:textId="77777777" w:rsidR="00980E5F" w:rsidRDefault="00980E5F">
            <w:pPr>
              <w:rPr>
                <w:rFonts w:ascii="宋体"/>
              </w:rPr>
            </w:pPr>
          </w:p>
        </w:tc>
        <w:tc>
          <w:tcPr>
            <w:tcW w:w="5" w:type="pct"/>
            <w:shd w:val="clear" w:color="auto" w:fill="auto"/>
            <w:vAlign w:val="bottom"/>
          </w:tcPr>
          <w:p w14:paraId="392BF446" w14:textId="77777777" w:rsidR="00980E5F" w:rsidRDefault="00980E5F">
            <w:pPr>
              <w:rPr>
                <w:rFonts w:ascii="宋体"/>
              </w:rPr>
            </w:pPr>
          </w:p>
        </w:tc>
        <w:tc>
          <w:tcPr>
            <w:tcW w:w="50" w:type="pct"/>
            <w:shd w:val="clear" w:color="auto" w:fill="auto"/>
            <w:vAlign w:val="bottom"/>
          </w:tcPr>
          <w:p w14:paraId="392BF447" w14:textId="77777777" w:rsidR="00980E5F" w:rsidRDefault="00980E5F">
            <w:pPr>
              <w:rPr>
                <w:rFonts w:ascii="宋体"/>
              </w:rPr>
            </w:pPr>
          </w:p>
        </w:tc>
        <w:tc>
          <w:tcPr>
            <w:tcW w:w="917" w:type="pct"/>
            <w:shd w:val="clear" w:color="auto" w:fill="auto"/>
            <w:vAlign w:val="bottom"/>
          </w:tcPr>
          <w:p w14:paraId="392BF448" w14:textId="77777777" w:rsidR="00980E5F" w:rsidRDefault="00980E5F">
            <w:pPr>
              <w:rPr>
                <w:rFonts w:ascii="宋体"/>
              </w:rPr>
            </w:pPr>
          </w:p>
        </w:tc>
        <w:tc>
          <w:tcPr>
            <w:tcW w:w="5" w:type="pct"/>
            <w:shd w:val="clear" w:color="auto" w:fill="auto"/>
            <w:vAlign w:val="bottom"/>
          </w:tcPr>
          <w:p w14:paraId="392BF449" w14:textId="77777777" w:rsidR="00980E5F" w:rsidRDefault="00980E5F">
            <w:pPr>
              <w:rPr>
                <w:rFonts w:ascii="宋体"/>
              </w:rPr>
            </w:pPr>
          </w:p>
        </w:tc>
        <w:tc>
          <w:tcPr>
            <w:tcW w:w="0" w:type="auto"/>
            <w:shd w:val="clear" w:color="auto" w:fill="auto"/>
            <w:vAlign w:val="bottom"/>
          </w:tcPr>
          <w:p w14:paraId="392BF44A" w14:textId="77777777" w:rsidR="00980E5F" w:rsidRDefault="00980E5F">
            <w:pPr>
              <w:rPr>
                <w:rFonts w:ascii="宋体"/>
                <w:vanish/>
              </w:rPr>
            </w:pPr>
          </w:p>
        </w:tc>
        <w:tc>
          <w:tcPr>
            <w:tcW w:w="0" w:type="auto"/>
            <w:shd w:val="clear" w:color="auto" w:fill="auto"/>
            <w:vAlign w:val="bottom"/>
          </w:tcPr>
          <w:p w14:paraId="392BF44B" w14:textId="77777777" w:rsidR="00980E5F" w:rsidRDefault="00980E5F">
            <w:pPr>
              <w:rPr>
                <w:rFonts w:ascii="宋体"/>
                <w:vanish/>
              </w:rPr>
            </w:pPr>
          </w:p>
        </w:tc>
        <w:tc>
          <w:tcPr>
            <w:tcW w:w="0" w:type="auto"/>
            <w:shd w:val="clear" w:color="auto" w:fill="auto"/>
            <w:vAlign w:val="bottom"/>
          </w:tcPr>
          <w:p w14:paraId="392BF44C" w14:textId="77777777" w:rsidR="00980E5F" w:rsidRDefault="00980E5F">
            <w:pPr>
              <w:rPr>
                <w:rFonts w:ascii="宋体"/>
                <w:vanish/>
              </w:rPr>
            </w:pPr>
          </w:p>
        </w:tc>
        <w:tc>
          <w:tcPr>
            <w:tcW w:w="0" w:type="auto"/>
            <w:shd w:val="clear" w:color="auto" w:fill="auto"/>
            <w:vAlign w:val="bottom"/>
          </w:tcPr>
          <w:p w14:paraId="392BF44D" w14:textId="77777777" w:rsidR="00980E5F" w:rsidRDefault="00980E5F">
            <w:pPr>
              <w:rPr>
                <w:rFonts w:ascii="宋体"/>
                <w:vanish/>
              </w:rPr>
            </w:pPr>
          </w:p>
        </w:tc>
        <w:tc>
          <w:tcPr>
            <w:tcW w:w="0" w:type="auto"/>
            <w:shd w:val="clear" w:color="auto" w:fill="auto"/>
            <w:vAlign w:val="bottom"/>
          </w:tcPr>
          <w:p w14:paraId="392BF44E" w14:textId="77777777" w:rsidR="00980E5F" w:rsidRDefault="00980E5F">
            <w:pPr>
              <w:rPr>
                <w:rFonts w:ascii="宋体"/>
                <w:vanish/>
              </w:rPr>
            </w:pPr>
          </w:p>
        </w:tc>
        <w:tc>
          <w:tcPr>
            <w:tcW w:w="0" w:type="auto"/>
            <w:shd w:val="clear" w:color="auto" w:fill="auto"/>
            <w:vAlign w:val="bottom"/>
          </w:tcPr>
          <w:p w14:paraId="392BF44F" w14:textId="77777777" w:rsidR="00980E5F" w:rsidRDefault="00980E5F">
            <w:pPr>
              <w:rPr>
                <w:rFonts w:ascii="宋体"/>
                <w:vanish/>
              </w:rPr>
            </w:pPr>
          </w:p>
        </w:tc>
        <w:tc>
          <w:tcPr>
            <w:tcW w:w="0" w:type="auto"/>
            <w:shd w:val="clear" w:color="auto" w:fill="auto"/>
            <w:vAlign w:val="bottom"/>
          </w:tcPr>
          <w:p w14:paraId="392BF450" w14:textId="77777777" w:rsidR="00980E5F" w:rsidRDefault="00980E5F">
            <w:pPr>
              <w:rPr>
                <w:rFonts w:ascii="宋体"/>
                <w:vanish/>
              </w:rPr>
            </w:pPr>
          </w:p>
        </w:tc>
        <w:tc>
          <w:tcPr>
            <w:tcW w:w="0" w:type="auto"/>
            <w:shd w:val="clear" w:color="auto" w:fill="auto"/>
            <w:vAlign w:val="bottom"/>
          </w:tcPr>
          <w:p w14:paraId="392BF451" w14:textId="77777777" w:rsidR="00980E5F" w:rsidRDefault="00980E5F">
            <w:pPr>
              <w:rPr>
                <w:rFonts w:ascii="宋体"/>
                <w:vanish/>
              </w:rPr>
            </w:pPr>
          </w:p>
        </w:tc>
      </w:tr>
      <w:tr w:rsidR="00980E5F" w14:paraId="392BF45C" w14:textId="77777777">
        <w:tc>
          <w:tcPr>
            <w:tcW w:w="0" w:type="auto"/>
            <w:gridSpan w:val="18"/>
            <w:shd w:val="clear" w:color="auto" w:fill="auto"/>
            <w:tcMar>
              <w:top w:w="40" w:type="dxa"/>
              <w:left w:w="20" w:type="dxa"/>
              <w:bottom w:w="40" w:type="dxa"/>
              <w:right w:w="20" w:type="dxa"/>
            </w:tcMar>
            <w:vAlign w:val="center"/>
          </w:tcPr>
          <w:p w14:paraId="392BF453" w14:textId="77777777" w:rsidR="00980E5F" w:rsidRDefault="00483613">
            <w:pPr>
              <w:textAlignment w:val="center"/>
            </w:pPr>
            <w:r>
              <w:rPr>
                <w:rFonts w:ascii="Arial" w:eastAsia="宋体" w:hAnsi="Arial" w:cs="Arial"/>
                <w:b/>
                <w:bCs/>
                <w:color w:val="000000"/>
                <w:sz w:val="16"/>
                <w:szCs w:val="16"/>
              </w:rPr>
              <w:t>TABLE 11: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392BF454" w14:textId="77777777" w:rsidR="00980E5F" w:rsidRDefault="00980E5F">
            <w:pPr>
              <w:rPr>
                <w:rFonts w:ascii="宋体"/>
                <w:vanish/>
              </w:rPr>
            </w:pPr>
          </w:p>
        </w:tc>
        <w:tc>
          <w:tcPr>
            <w:tcW w:w="0" w:type="auto"/>
            <w:shd w:val="clear" w:color="auto" w:fill="auto"/>
            <w:vAlign w:val="bottom"/>
          </w:tcPr>
          <w:p w14:paraId="392BF455" w14:textId="77777777" w:rsidR="00980E5F" w:rsidRDefault="00980E5F">
            <w:pPr>
              <w:rPr>
                <w:rFonts w:ascii="宋体"/>
                <w:vanish/>
              </w:rPr>
            </w:pPr>
          </w:p>
        </w:tc>
        <w:tc>
          <w:tcPr>
            <w:tcW w:w="0" w:type="auto"/>
            <w:shd w:val="clear" w:color="auto" w:fill="auto"/>
            <w:vAlign w:val="bottom"/>
          </w:tcPr>
          <w:p w14:paraId="392BF456" w14:textId="77777777" w:rsidR="00980E5F" w:rsidRDefault="00980E5F">
            <w:pPr>
              <w:rPr>
                <w:rFonts w:ascii="宋体"/>
                <w:vanish/>
              </w:rPr>
            </w:pPr>
          </w:p>
        </w:tc>
        <w:tc>
          <w:tcPr>
            <w:tcW w:w="0" w:type="auto"/>
            <w:shd w:val="clear" w:color="auto" w:fill="auto"/>
            <w:vAlign w:val="bottom"/>
          </w:tcPr>
          <w:p w14:paraId="392BF457" w14:textId="77777777" w:rsidR="00980E5F" w:rsidRDefault="00980E5F">
            <w:pPr>
              <w:rPr>
                <w:rFonts w:ascii="宋体"/>
                <w:vanish/>
              </w:rPr>
            </w:pPr>
          </w:p>
        </w:tc>
        <w:tc>
          <w:tcPr>
            <w:tcW w:w="0" w:type="auto"/>
            <w:shd w:val="clear" w:color="auto" w:fill="auto"/>
            <w:vAlign w:val="bottom"/>
          </w:tcPr>
          <w:p w14:paraId="392BF458" w14:textId="77777777" w:rsidR="00980E5F" w:rsidRDefault="00980E5F">
            <w:pPr>
              <w:rPr>
                <w:rFonts w:ascii="宋体"/>
                <w:vanish/>
              </w:rPr>
            </w:pPr>
          </w:p>
        </w:tc>
        <w:tc>
          <w:tcPr>
            <w:tcW w:w="0" w:type="auto"/>
            <w:shd w:val="clear" w:color="auto" w:fill="auto"/>
            <w:vAlign w:val="bottom"/>
          </w:tcPr>
          <w:p w14:paraId="392BF459" w14:textId="77777777" w:rsidR="00980E5F" w:rsidRDefault="00980E5F">
            <w:pPr>
              <w:rPr>
                <w:rFonts w:ascii="宋体"/>
                <w:vanish/>
              </w:rPr>
            </w:pPr>
          </w:p>
        </w:tc>
        <w:tc>
          <w:tcPr>
            <w:tcW w:w="0" w:type="auto"/>
            <w:shd w:val="clear" w:color="auto" w:fill="auto"/>
            <w:vAlign w:val="bottom"/>
          </w:tcPr>
          <w:p w14:paraId="392BF45A" w14:textId="77777777" w:rsidR="00980E5F" w:rsidRDefault="00980E5F">
            <w:pPr>
              <w:rPr>
                <w:rFonts w:ascii="宋体"/>
                <w:vanish/>
              </w:rPr>
            </w:pPr>
          </w:p>
        </w:tc>
        <w:tc>
          <w:tcPr>
            <w:tcW w:w="0" w:type="auto"/>
            <w:shd w:val="clear" w:color="auto" w:fill="auto"/>
            <w:vAlign w:val="bottom"/>
          </w:tcPr>
          <w:p w14:paraId="392BF45B" w14:textId="77777777" w:rsidR="00980E5F" w:rsidRDefault="00980E5F">
            <w:pPr>
              <w:rPr>
                <w:rFonts w:ascii="宋体"/>
                <w:vanish/>
              </w:rPr>
            </w:pPr>
          </w:p>
        </w:tc>
      </w:tr>
      <w:tr w:rsidR="00980E5F" w14:paraId="392BF46B" w14:textId="77777777">
        <w:tc>
          <w:tcPr>
            <w:tcW w:w="0" w:type="auto"/>
            <w:gridSpan w:val="3"/>
            <w:shd w:val="clear" w:color="auto" w:fill="auto"/>
            <w:tcMar>
              <w:top w:w="40" w:type="dxa"/>
              <w:left w:w="20" w:type="dxa"/>
              <w:bottom w:w="40" w:type="dxa"/>
              <w:right w:w="20" w:type="dxa"/>
            </w:tcMar>
            <w:vAlign w:val="bottom"/>
          </w:tcPr>
          <w:p w14:paraId="392BF45D" w14:textId="77777777" w:rsidR="00980E5F" w:rsidRDefault="00483613">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392BF45E"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BF45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60"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392BF46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62" w14:textId="77777777" w:rsidR="00980E5F" w:rsidRDefault="00483613">
            <w:pPr>
              <w:jc w:val="center"/>
              <w:textAlignment w:val="bottom"/>
            </w:pPr>
            <w:r>
              <w:rPr>
                <w:rFonts w:ascii="Arial" w:eastAsia="宋体" w:hAnsi="Arial" w:cs="Arial"/>
                <w:b/>
                <w:bCs/>
                <w:color w:val="000000"/>
                <w:sz w:val="15"/>
                <w:szCs w:val="15"/>
              </w:rPr>
              <w:t>June 30, 2021</w:t>
            </w:r>
          </w:p>
        </w:tc>
        <w:tc>
          <w:tcPr>
            <w:tcW w:w="0" w:type="auto"/>
            <w:shd w:val="clear" w:color="auto" w:fill="auto"/>
            <w:vAlign w:val="bottom"/>
          </w:tcPr>
          <w:p w14:paraId="392BF463" w14:textId="77777777" w:rsidR="00980E5F" w:rsidRDefault="00980E5F">
            <w:pPr>
              <w:rPr>
                <w:rFonts w:ascii="宋体"/>
                <w:vanish/>
              </w:rPr>
            </w:pPr>
          </w:p>
        </w:tc>
        <w:tc>
          <w:tcPr>
            <w:tcW w:w="0" w:type="auto"/>
            <w:shd w:val="clear" w:color="auto" w:fill="auto"/>
            <w:vAlign w:val="bottom"/>
          </w:tcPr>
          <w:p w14:paraId="392BF464" w14:textId="77777777" w:rsidR="00980E5F" w:rsidRDefault="00980E5F">
            <w:pPr>
              <w:rPr>
                <w:rFonts w:ascii="宋体"/>
                <w:vanish/>
              </w:rPr>
            </w:pPr>
          </w:p>
        </w:tc>
        <w:tc>
          <w:tcPr>
            <w:tcW w:w="0" w:type="auto"/>
            <w:shd w:val="clear" w:color="auto" w:fill="auto"/>
            <w:vAlign w:val="bottom"/>
          </w:tcPr>
          <w:p w14:paraId="392BF465" w14:textId="77777777" w:rsidR="00980E5F" w:rsidRDefault="00980E5F">
            <w:pPr>
              <w:rPr>
                <w:rFonts w:ascii="宋体"/>
                <w:vanish/>
              </w:rPr>
            </w:pPr>
          </w:p>
        </w:tc>
        <w:tc>
          <w:tcPr>
            <w:tcW w:w="0" w:type="auto"/>
            <w:shd w:val="clear" w:color="auto" w:fill="auto"/>
            <w:vAlign w:val="bottom"/>
          </w:tcPr>
          <w:p w14:paraId="392BF466" w14:textId="77777777" w:rsidR="00980E5F" w:rsidRDefault="00980E5F">
            <w:pPr>
              <w:rPr>
                <w:rFonts w:ascii="宋体"/>
                <w:vanish/>
              </w:rPr>
            </w:pPr>
          </w:p>
        </w:tc>
        <w:tc>
          <w:tcPr>
            <w:tcW w:w="0" w:type="auto"/>
            <w:shd w:val="clear" w:color="auto" w:fill="auto"/>
            <w:vAlign w:val="bottom"/>
          </w:tcPr>
          <w:p w14:paraId="392BF467" w14:textId="77777777" w:rsidR="00980E5F" w:rsidRDefault="00980E5F">
            <w:pPr>
              <w:rPr>
                <w:rFonts w:ascii="宋体"/>
                <w:vanish/>
              </w:rPr>
            </w:pPr>
          </w:p>
        </w:tc>
        <w:tc>
          <w:tcPr>
            <w:tcW w:w="0" w:type="auto"/>
            <w:shd w:val="clear" w:color="auto" w:fill="auto"/>
            <w:vAlign w:val="bottom"/>
          </w:tcPr>
          <w:p w14:paraId="392BF468" w14:textId="77777777" w:rsidR="00980E5F" w:rsidRDefault="00980E5F">
            <w:pPr>
              <w:rPr>
                <w:rFonts w:ascii="宋体"/>
                <w:vanish/>
              </w:rPr>
            </w:pPr>
          </w:p>
        </w:tc>
        <w:tc>
          <w:tcPr>
            <w:tcW w:w="0" w:type="auto"/>
            <w:shd w:val="clear" w:color="auto" w:fill="auto"/>
            <w:vAlign w:val="bottom"/>
          </w:tcPr>
          <w:p w14:paraId="392BF469" w14:textId="77777777" w:rsidR="00980E5F" w:rsidRDefault="00980E5F">
            <w:pPr>
              <w:rPr>
                <w:rFonts w:ascii="宋体"/>
                <w:vanish/>
              </w:rPr>
            </w:pPr>
          </w:p>
        </w:tc>
        <w:tc>
          <w:tcPr>
            <w:tcW w:w="0" w:type="auto"/>
            <w:shd w:val="clear" w:color="auto" w:fill="auto"/>
            <w:vAlign w:val="bottom"/>
          </w:tcPr>
          <w:p w14:paraId="392BF46A" w14:textId="77777777" w:rsidR="00980E5F" w:rsidRDefault="00980E5F">
            <w:pPr>
              <w:rPr>
                <w:rFonts w:ascii="宋体"/>
                <w:vanish/>
              </w:rPr>
            </w:pPr>
          </w:p>
        </w:tc>
      </w:tr>
      <w:tr w:rsidR="00980E5F" w14:paraId="392BF480" w14:textId="77777777">
        <w:tc>
          <w:tcPr>
            <w:tcW w:w="0" w:type="auto"/>
            <w:gridSpan w:val="3"/>
            <w:shd w:val="clear" w:color="auto" w:fill="CCEEFF"/>
            <w:tcMar>
              <w:top w:w="40" w:type="dxa"/>
              <w:left w:w="20" w:type="dxa"/>
              <w:bottom w:w="40" w:type="dxa"/>
              <w:right w:w="20" w:type="dxa"/>
            </w:tcMar>
            <w:vAlign w:val="bottom"/>
          </w:tcPr>
          <w:p w14:paraId="392BF46C" w14:textId="77777777" w:rsidR="00980E5F" w:rsidRDefault="00483613">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46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46E" w14:textId="77777777" w:rsidR="00980E5F" w:rsidRDefault="00483613">
            <w:pPr>
              <w:jc w:val="right"/>
              <w:textAlignment w:val="bottom"/>
            </w:pPr>
            <w:r>
              <w:rPr>
                <w:rFonts w:ascii="Arial" w:eastAsia="宋体" w:hAnsi="Arial" w:cs="Arial"/>
                <w:b/>
                <w:bCs/>
                <w:color w:val="000000"/>
                <w:sz w:val="15"/>
                <w:szCs w:val="15"/>
              </w:rPr>
              <w:t>2,525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4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47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47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472" w14:textId="77777777" w:rsidR="00980E5F" w:rsidRDefault="00483613">
            <w:pPr>
              <w:jc w:val="right"/>
              <w:textAlignment w:val="bottom"/>
            </w:pPr>
            <w:r>
              <w:rPr>
                <w:rFonts w:ascii="Arial" w:eastAsia="宋体" w:hAnsi="Arial" w:cs="Arial"/>
                <w:color w:val="000000"/>
                <w:sz w:val="15"/>
                <w:szCs w:val="15"/>
              </w:rPr>
              <w:t>2,931 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4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47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475"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476" w14:textId="77777777" w:rsidR="00980E5F" w:rsidRDefault="00483613">
            <w:pPr>
              <w:jc w:val="right"/>
              <w:textAlignment w:val="bottom"/>
            </w:pPr>
            <w:r>
              <w:rPr>
                <w:rFonts w:ascii="Arial" w:eastAsia="宋体" w:hAnsi="Arial" w:cs="Arial"/>
                <w:color w:val="000000"/>
                <w:sz w:val="15"/>
                <w:szCs w:val="15"/>
              </w:rPr>
              <w:t>2,749 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477" w14:textId="77777777" w:rsidR="00980E5F" w:rsidRDefault="00980E5F">
            <w:pPr>
              <w:jc w:val="right"/>
              <w:rPr>
                <w:rFonts w:ascii="宋体"/>
              </w:rPr>
            </w:pPr>
          </w:p>
        </w:tc>
        <w:tc>
          <w:tcPr>
            <w:tcW w:w="0" w:type="auto"/>
            <w:shd w:val="clear" w:color="auto" w:fill="auto"/>
            <w:vAlign w:val="bottom"/>
          </w:tcPr>
          <w:p w14:paraId="392BF478" w14:textId="77777777" w:rsidR="00980E5F" w:rsidRDefault="00980E5F">
            <w:pPr>
              <w:rPr>
                <w:rFonts w:ascii="宋体"/>
                <w:vanish/>
              </w:rPr>
            </w:pPr>
          </w:p>
        </w:tc>
        <w:tc>
          <w:tcPr>
            <w:tcW w:w="0" w:type="auto"/>
            <w:shd w:val="clear" w:color="auto" w:fill="auto"/>
            <w:vAlign w:val="bottom"/>
          </w:tcPr>
          <w:p w14:paraId="392BF479" w14:textId="77777777" w:rsidR="00980E5F" w:rsidRDefault="00980E5F">
            <w:pPr>
              <w:rPr>
                <w:rFonts w:ascii="宋体"/>
                <w:vanish/>
              </w:rPr>
            </w:pPr>
          </w:p>
        </w:tc>
        <w:tc>
          <w:tcPr>
            <w:tcW w:w="0" w:type="auto"/>
            <w:shd w:val="clear" w:color="auto" w:fill="auto"/>
            <w:vAlign w:val="bottom"/>
          </w:tcPr>
          <w:p w14:paraId="392BF47A" w14:textId="77777777" w:rsidR="00980E5F" w:rsidRDefault="00980E5F">
            <w:pPr>
              <w:rPr>
                <w:rFonts w:ascii="宋体"/>
                <w:vanish/>
              </w:rPr>
            </w:pPr>
          </w:p>
        </w:tc>
        <w:tc>
          <w:tcPr>
            <w:tcW w:w="0" w:type="auto"/>
            <w:shd w:val="clear" w:color="auto" w:fill="auto"/>
            <w:vAlign w:val="bottom"/>
          </w:tcPr>
          <w:p w14:paraId="392BF47B" w14:textId="77777777" w:rsidR="00980E5F" w:rsidRDefault="00980E5F">
            <w:pPr>
              <w:rPr>
                <w:rFonts w:ascii="宋体"/>
                <w:vanish/>
              </w:rPr>
            </w:pPr>
          </w:p>
        </w:tc>
        <w:tc>
          <w:tcPr>
            <w:tcW w:w="0" w:type="auto"/>
            <w:shd w:val="clear" w:color="auto" w:fill="auto"/>
            <w:vAlign w:val="bottom"/>
          </w:tcPr>
          <w:p w14:paraId="392BF47C" w14:textId="77777777" w:rsidR="00980E5F" w:rsidRDefault="00980E5F">
            <w:pPr>
              <w:rPr>
                <w:rFonts w:ascii="宋体"/>
                <w:vanish/>
              </w:rPr>
            </w:pPr>
          </w:p>
        </w:tc>
        <w:tc>
          <w:tcPr>
            <w:tcW w:w="0" w:type="auto"/>
            <w:shd w:val="clear" w:color="auto" w:fill="auto"/>
            <w:vAlign w:val="bottom"/>
          </w:tcPr>
          <w:p w14:paraId="392BF47D" w14:textId="77777777" w:rsidR="00980E5F" w:rsidRDefault="00980E5F">
            <w:pPr>
              <w:rPr>
                <w:rFonts w:ascii="宋体"/>
                <w:vanish/>
              </w:rPr>
            </w:pPr>
          </w:p>
        </w:tc>
        <w:tc>
          <w:tcPr>
            <w:tcW w:w="0" w:type="auto"/>
            <w:shd w:val="clear" w:color="auto" w:fill="auto"/>
            <w:vAlign w:val="bottom"/>
          </w:tcPr>
          <w:p w14:paraId="392BF47E" w14:textId="77777777" w:rsidR="00980E5F" w:rsidRDefault="00980E5F">
            <w:pPr>
              <w:rPr>
                <w:rFonts w:ascii="宋体"/>
                <w:vanish/>
              </w:rPr>
            </w:pPr>
          </w:p>
        </w:tc>
        <w:tc>
          <w:tcPr>
            <w:tcW w:w="0" w:type="auto"/>
            <w:shd w:val="clear" w:color="auto" w:fill="auto"/>
            <w:vAlign w:val="bottom"/>
          </w:tcPr>
          <w:p w14:paraId="392BF47F" w14:textId="77777777" w:rsidR="00980E5F" w:rsidRDefault="00980E5F">
            <w:pPr>
              <w:rPr>
                <w:rFonts w:ascii="宋体"/>
                <w:vanish/>
              </w:rPr>
            </w:pPr>
          </w:p>
        </w:tc>
      </w:tr>
      <w:tr w:rsidR="00980E5F" w14:paraId="392BF492" w14:textId="77777777">
        <w:tc>
          <w:tcPr>
            <w:tcW w:w="0" w:type="auto"/>
            <w:gridSpan w:val="3"/>
            <w:shd w:val="clear" w:color="auto" w:fill="FFFFFF"/>
            <w:tcMar>
              <w:top w:w="40" w:type="dxa"/>
              <w:left w:w="20" w:type="dxa"/>
              <w:bottom w:w="40" w:type="dxa"/>
              <w:right w:w="20" w:type="dxa"/>
            </w:tcMar>
            <w:vAlign w:val="bottom"/>
          </w:tcPr>
          <w:p w14:paraId="392BF481" w14:textId="77777777" w:rsidR="00980E5F" w:rsidRDefault="00483613">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392BF482" w14:textId="77777777" w:rsidR="00980E5F" w:rsidRDefault="00483613">
            <w:pPr>
              <w:jc w:val="right"/>
              <w:textAlignment w:val="bottom"/>
            </w:pPr>
            <w:r>
              <w:rPr>
                <w:rFonts w:ascii="Arial" w:eastAsia="宋体" w:hAnsi="Arial" w:cs="Arial"/>
                <w:b/>
                <w:bCs/>
                <w:color w:val="000000"/>
                <w:sz w:val="15"/>
                <w:szCs w:val="15"/>
              </w:rPr>
              <w:t>521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4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4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485" w14:textId="77777777" w:rsidR="00980E5F" w:rsidRDefault="00483613">
            <w:pPr>
              <w:jc w:val="right"/>
              <w:textAlignment w:val="bottom"/>
            </w:pPr>
            <w:r>
              <w:rPr>
                <w:rFonts w:ascii="Arial" w:eastAsia="宋体" w:hAnsi="Arial" w:cs="Arial"/>
                <w:color w:val="000000"/>
                <w:sz w:val="15"/>
                <w:szCs w:val="15"/>
              </w:rPr>
              <w:t>592 </w:t>
            </w:r>
          </w:p>
        </w:tc>
        <w:tc>
          <w:tcPr>
            <w:tcW w:w="0" w:type="auto"/>
            <w:shd w:val="clear" w:color="auto" w:fill="FFFFFF"/>
            <w:tcMar>
              <w:top w:w="40" w:type="dxa"/>
              <w:left w:w="0" w:type="dxa"/>
              <w:bottom w:w="40" w:type="dxa"/>
              <w:right w:w="20" w:type="dxa"/>
            </w:tcMar>
            <w:vAlign w:val="bottom"/>
          </w:tcPr>
          <w:p w14:paraId="392BF48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4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488" w14:textId="77777777" w:rsidR="00980E5F" w:rsidRDefault="00483613">
            <w:pPr>
              <w:jc w:val="right"/>
              <w:textAlignment w:val="bottom"/>
            </w:pPr>
            <w:r>
              <w:rPr>
                <w:rFonts w:ascii="Arial" w:eastAsia="宋体" w:hAnsi="Arial" w:cs="Arial"/>
                <w:color w:val="000000"/>
                <w:sz w:val="15"/>
                <w:szCs w:val="15"/>
              </w:rPr>
              <w:t>570 </w:t>
            </w:r>
          </w:p>
        </w:tc>
        <w:tc>
          <w:tcPr>
            <w:tcW w:w="0" w:type="auto"/>
            <w:shd w:val="clear" w:color="auto" w:fill="FFFFFF"/>
            <w:tcMar>
              <w:top w:w="40" w:type="dxa"/>
              <w:left w:w="0" w:type="dxa"/>
              <w:bottom w:w="40" w:type="dxa"/>
              <w:right w:w="20" w:type="dxa"/>
            </w:tcMar>
            <w:vAlign w:val="bottom"/>
          </w:tcPr>
          <w:p w14:paraId="392BF489" w14:textId="77777777" w:rsidR="00980E5F" w:rsidRDefault="00980E5F">
            <w:pPr>
              <w:jc w:val="right"/>
              <w:rPr>
                <w:rFonts w:ascii="宋体"/>
              </w:rPr>
            </w:pPr>
          </w:p>
        </w:tc>
        <w:tc>
          <w:tcPr>
            <w:tcW w:w="0" w:type="auto"/>
            <w:shd w:val="clear" w:color="auto" w:fill="auto"/>
            <w:vAlign w:val="bottom"/>
          </w:tcPr>
          <w:p w14:paraId="392BF48A" w14:textId="77777777" w:rsidR="00980E5F" w:rsidRDefault="00980E5F">
            <w:pPr>
              <w:rPr>
                <w:rFonts w:ascii="宋体"/>
                <w:vanish/>
              </w:rPr>
            </w:pPr>
          </w:p>
        </w:tc>
        <w:tc>
          <w:tcPr>
            <w:tcW w:w="0" w:type="auto"/>
            <w:shd w:val="clear" w:color="auto" w:fill="auto"/>
            <w:vAlign w:val="bottom"/>
          </w:tcPr>
          <w:p w14:paraId="392BF48B" w14:textId="77777777" w:rsidR="00980E5F" w:rsidRDefault="00980E5F">
            <w:pPr>
              <w:rPr>
                <w:rFonts w:ascii="宋体"/>
                <w:vanish/>
              </w:rPr>
            </w:pPr>
          </w:p>
        </w:tc>
        <w:tc>
          <w:tcPr>
            <w:tcW w:w="0" w:type="auto"/>
            <w:shd w:val="clear" w:color="auto" w:fill="auto"/>
            <w:vAlign w:val="bottom"/>
          </w:tcPr>
          <w:p w14:paraId="392BF48C" w14:textId="77777777" w:rsidR="00980E5F" w:rsidRDefault="00980E5F">
            <w:pPr>
              <w:rPr>
                <w:rFonts w:ascii="宋体"/>
                <w:vanish/>
              </w:rPr>
            </w:pPr>
          </w:p>
        </w:tc>
        <w:tc>
          <w:tcPr>
            <w:tcW w:w="0" w:type="auto"/>
            <w:shd w:val="clear" w:color="auto" w:fill="auto"/>
            <w:vAlign w:val="bottom"/>
          </w:tcPr>
          <w:p w14:paraId="392BF48D" w14:textId="77777777" w:rsidR="00980E5F" w:rsidRDefault="00980E5F">
            <w:pPr>
              <w:rPr>
                <w:rFonts w:ascii="宋体"/>
                <w:vanish/>
              </w:rPr>
            </w:pPr>
          </w:p>
        </w:tc>
        <w:tc>
          <w:tcPr>
            <w:tcW w:w="0" w:type="auto"/>
            <w:shd w:val="clear" w:color="auto" w:fill="auto"/>
            <w:vAlign w:val="bottom"/>
          </w:tcPr>
          <w:p w14:paraId="392BF48E" w14:textId="77777777" w:rsidR="00980E5F" w:rsidRDefault="00980E5F">
            <w:pPr>
              <w:rPr>
                <w:rFonts w:ascii="宋体"/>
                <w:vanish/>
              </w:rPr>
            </w:pPr>
          </w:p>
        </w:tc>
        <w:tc>
          <w:tcPr>
            <w:tcW w:w="0" w:type="auto"/>
            <w:shd w:val="clear" w:color="auto" w:fill="auto"/>
            <w:vAlign w:val="bottom"/>
          </w:tcPr>
          <w:p w14:paraId="392BF48F" w14:textId="77777777" w:rsidR="00980E5F" w:rsidRDefault="00980E5F">
            <w:pPr>
              <w:rPr>
                <w:rFonts w:ascii="宋体"/>
                <w:vanish/>
              </w:rPr>
            </w:pPr>
          </w:p>
        </w:tc>
        <w:tc>
          <w:tcPr>
            <w:tcW w:w="0" w:type="auto"/>
            <w:shd w:val="clear" w:color="auto" w:fill="auto"/>
            <w:vAlign w:val="bottom"/>
          </w:tcPr>
          <w:p w14:paraId="392BF490" w14:textId="77777777" w:rsidR="00980E5F" w:rsidRDefault="00980E5F">
            <w:pPr>
              <w:rPr>
                <w:rFonts w:ascii="宋体"/>
                <w:vanish/>
              </w:rPr>
            </w:pPr>
          </w:p>
        </w:tc>
        <w:tc>
          <w:tcPr>
            <w:tcW w:w="0" w:type="auto"/>
            <w:shd w:val="clear" w:color="auto" w:fill="auto"/>
            <w:vAlign w:val="bottom"/>
          </w:tcPr>
          <w:p w14:paraId="392BF491" w14:textId="77777777" w:rsidR="00980E5F" w:rsidRDefault="00980E5F">
            <w:pPr>
              <w:rPr>
                <w:rFonts w:ascii="宋体"/>
                <w:vanish/>
              </w:rPr>
            </w:pPr>
          </w:p>
        </w:tc>
      </w:tr>
      <w:tr w:rsidR="00980E5F" w14:paraId="392BF4A4" w14:textId="77777777">
        <w:tc>
          <w:tcPr>
            <w:tcW w:w="0" w:type="auto"/>
            <w:gridSpan w:val="3"/>
            <w:shd w:val="clear" w:color="auto" w:fill="CCEEFF"/>
            <w:tcMar>
              <w:top w:w="40" w:type="dxa"/>
              <w:left w:w="20" w:type="dxa"/>
              <w:bottom w:w="40" w:type="dxa"/>
              <w:right w:w="20" w:type="dxa"/>
            </w:tcMar>
            <w:vAlign w:val="bottom"/>
          </w:tcPr>
          <w:p w14:paraId="392BF493" w14:textId="77777777" w:rsidR="00980E5F" w:rsidRDefault="00483613">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392BF494" w14:textId="77777777" w:rsidR="00980E5F" w:rsidRDefault="00483613">
            <w:pPr>
              <w:jc w:val="right"/>
              <w:textAlignment w:val="bottom"/>
            </w:pPr>
            <w:r>
              <w:rPr>
                <w:rFonts w:ascii="Arial" w:eastAsia="宋体" w:hAnsi="Arial" w:cs="Arial"/>
                <w:b/>
                <w:bCs/>
                <w:color w:val="000000"/>
                <w:sz w:val="15"/>
                <w:szCs w:val="15"/>
              </w:rPr>
              <w:t>429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4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4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497" w14:textId="77777777" w:rsidR="00980E5F" w:rsidRDefault="00483613">
            <w:pPr>
              <w:jc w:val="right"/>
              <w:textAlignment w:val="bottom"/>
            </w:pPr>
            <w:r>
              <w:rPr>
                <w:rFonts w:ascii="Arial" w:eastAsia="宋体" w:hAnsi="Arial" w:cs="Arial"/>
                <w:color w:val="000000"/>
                <w:sz w:val="15"/>
                <w:szCs w:val="15"/>
              </w:rPr>
              <w:t>615 </w:t>
            </w:r>
          </w:p>
        </w:tc>
        <w:tc>
          <w:tcPr>
            <w:tcW w:w="0" w:type="auto"/>
            <w:shd w:val="clear" w:color="auto" w:fill="CCEEFF"/>
            <w:tcMar>
              <w:top w:w="40" w:type="dxa"/>
              <w:left w:w="0" w:type="dxa"/>
              <w:bottom w:w="40" w:type="dxa"/>
              <w:right w:w="20" w:type="dxa"/>
            </w:tcMar>
            <w:vAlign w:val="bottom"/>
          </w:tcPr>
          <w:p w14:paraId="392BF4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49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49A" w14:textId="77777777" w:rsidR="00980E5F" w:rsidRDefault="00483613">
            <w:pPr>
              <w:jc w:val="right"/>
              <w:textAlignment w:val="bottom"/>
            </w:pPr>
            <w:r>
              <w:rPr>
                <w:rFonts w:ascii="Arial" w:eastAsia="宋体" w:hAnsi="Arial" w:cs="Arial"/>
                <w:color w:val="000000"/>
                <w:sz w:val="15"/>
                <w:szCs w:val="15"/>
              </w:rPr>
              <w:t>578 </w:t>
            </w:r>
          </w:p>
        </w:tc>
        <w:tc>
          <w:tcPr>
            <w:tcW w:w="0" w:type="auto"/>
            <w:shd w:val="clear" w:color="auto" w:fill="CCEEFF"/>
            <w:tcMar>
              <w:top w:w="40" w:type="dxa"/>
              <w:left w:w="0" w:type="dxa"/>
              <w:bottom w:w="40" w:type="dxa"/>
              <w:right w:w="20" w:type="dxa"/>
            </w:tcMar>
            <w:vAlign w:val="bottom"/>
          </w:tcPr>
          <w:p w14:paraId="392BF49B" w14:textId="77777777" w:rsidR="00980E5F" w:rsidRDefault="00980E5F">
            <w:pPr>
              <w:jc w:val="right"/>
              <w:rPr>
                <w:rFonts w:ascii="宋体"/>
              </w:rPr>
            </w:pPr>
          </w:p>
        </w:tc>
        <w:tc>
          <w:tcPr>
            <w:tcW w:w="0" w:type="auto"/>
            <w:shd w:val="clear" w:color="auto" w:fill="auto"/>
            <w:vAlign w:val="bottom"/>
          </w:tcPr>
          <w:p w14:paraId="392BF49C" w14:textId="77777777" w:rsidR="00980E5F" w:rsidRDefault="00980E5F">
            <w:pPr>
              <w:rPr>
                <w:rFonts w:ascii="宋体"/>
                <w:vanish/>
              </w:rPr>
            </w:pPr>
          </w:p>
        </w:tc>
        <w:tc>
          <w:tcPr>
            <w:tcW w:w="0" w:type="auto"/>
            <w:shd w:val="clear" w:color="auto" w:fill="auto"/>
            <w:vAlign w:val="bottom"/>
          </w:tcPr>
          <w:p w14:paraId="392BF49D" w14:textId="77777777" w:rsidR="00980E5F" w:rsidRDefault="00980E5F">
            <w:pPr>
              <w:rPr>
                <w:rFonts w:ascii="宋体"/>
                <w:vanish/>
              </w:rPr>
            </w:pPr>
          </w:p>
        </w:tc>
        <w:tc>
          <w:tcPr>
            <w:tcW w:w="0" w:type="auto"/>
            <w:shd w:val="clear" w:color="auto" w:fill="auto"/>
            <w:vAlign w:val="bottom"/>
          </w:tcPr>
          <w:p w14:paraId="392BF49E" w14:textId="77777777" w:rsidR="00980E5F" w:rsidRDefault="00980E5F">
            <w:pPr>
              <w:rPr>
                <w:rFonts w:ascii="宋体"/>
                <w:vanish/>
              </w:rPr>
            </w:pPr>
          </w:p>
        </w:tc>
        <w:tc>
          <w:tcPr>
            <w:tcW w:w="0" w:type="auto"/>
            <w:shd w:val="clear" w:color="auto" w:fill="auto"/>
            <w:vAlign w:val="bottom"/>
          </w:tcPr>
          <w:p w14:paraId="392BF49F" w14:textId="77777777" w:rsidR="00980E5F" w:rsidRDefault="00980E5F">
            <w:pPr>
              <w:rPr>
                <w:rFonts w:ascii="宋体"/>
                <w:vanish/>
              </w:rPr>
            </w:pPr>
          </w:p>
        </w:tc>
        <w:tc>
          <w:tcPr>
            <w:tcW w:w="0" w:type="auto"/>
            <w:shd w:val="clear" w:color="auto" w:fill="auto"/>
            <w:vAlign w:val="bottom"/>
          </w:tcPr>
          <w:p w14:paraId="392BF4A0" w14:textId="77777777" w:rsidR="00980E5F" w:rsidRDefault="00980E5F">
            <w:pPr>
              <w:rPr>
                <w:rFonts w:ascii="宋体"/>
                <w:vanish/>
              </w:rPr>
            </w:pPr>
          </w:p>
        </w:tc>
        <w:tc>
          <w:tcPr>
            <w:tcW w:w="0" w:type="auto"/>
            <w:shd w:val="clear" w:color="auto" w:fill="auto"/>
            <w:vAlign w:val="bottom"/>
          </w:tcPr>
          <w:p w14:paraId="392BF4A1" w14:textId="77777777" w:rsidR="00980E5F" w:rsidRDefault="00980E5F">
            <w:pPr>
              <w:rPr>
                <w:rFonts w:ascii="宋体"/>
                <w:vanish/>
              </w:rPr>
            </w:pPr>
          </w:p>
        </w:tc>
        <w:tc>
          <w:tcPr>
            <w:tcW w:w="0" w:type="auto"/>
            <w:shd w:val="clear" w:color="auto" w:fill="auto"/>
            <w:vAlign w:val="bottom"/>
          </w:tcPr>
          <w:p w14:paraId="392BF4A2" w14:textId="77777777" w:rsidR="00980E5F" w:rsidRDefault="00980E5F">
            <w:pPr>
              <w:rPr>
                <w:rFonts w:ascii="宋体"/>
                <w:vanish/>
              </w:rPr>
            </w:pPr>
          </w:p>
        </w:tc>
        <w:tc>
          <w:tcPr>
            <w:tcW w:w="0" w:type="auto"/>
            <w:shd w:val="clear" w:color="auto" w:fill="auto"/>
            <w:vAlign w:val="bottom"/>
          </w:tcPr>
          <w:p w14:paraId="392BF4A3" w14:textId="77777777" w:rsidR="00980E5F" w:rsidRDefault="00980E5F">
            <w:pPr>
              <w:rPr>
                <w:rFonts w:ascii="宋体"/>
                <w:vanish/>
              </w:rPr>
            </w:pPr>
          </w:p>
        </w:tc>
      </w:tr>
      <w:tr w:rsidR="00980E5F" w14:paraId="392BF4B9" w14:textId="77777777">
        <w:tc>
          <w:tcPr>
            <w:tcW w:w="0" w:type="auto"/>
            <w:gridSpan w:val="3"/>
            <w:shd w:val="clear" w:color="auto" w:fill="FFFFFF"/>
            <w:tcMar>
              <w:top w:w="40" w:type="dxa"/>
              <w:left w:w="20" w:type="dxa"/>
              <w:bottom w:w="40" w:type="dxa"/>
              <w:right w:w="20" w:type="dxa"/>
            </w:tcMar>
            <w:vAlign w:val="bottom"/>
          </w:tcPr>
          <w:p w14:paraId="392BF4A5" w14:textId="77777777" w:rsidR="00980E5F" w:rsidRDefault="00483613">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4A6"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4A7" w14:textId="77777777" w:rsidR="00980E5F" w:rsidRDefault="00483613">
            <w:pPr>
              <w:jc w:val="right"/>
              <w:textAlignment w:val="bottom"/>
            </w:pPr>
            <w:r>
              <w:rPr>
                <w:rFonts w:ascii="Arial" w:eastAsia="宋体" w:hAnsi="Arial" w:cs="Arial"/>
                <w:b/>
                <w:bCs/>
                <w:color w:val="000000"/>
                <w:sz w:val="15"/>
                <w:szCs w:val="15"/>
              </w:rPr>
              <w:t>3,475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4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4A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4AA"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4AB" w14:textId="77777777" w:rsidR="00980E5F" w:rsidRDefault="00483613">
            <w:pPr>
              <w:jc w:val="right"/>
              <w:textAlignment w:val="bottom"/>
            </w:pPr>
            <w:r>
              <w:rPr>
                <w:rFonts w:ascii="Arial" w:eastAsia="宋体" w:hAnsi="Arial" w:cs="Arial"/>
                <w:color w:val="000000"/>
                <w:sz w:val="15"/>
                <w:szCs w:val="15"/>
              </w:rPr>
              <w:t>4,138 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4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4AD"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4AE"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4AF" w14:textId="77777777" w:rsidR="00980E5F" w:rsidRDefault="00483613">
            <w:pPr>
              <w:jc w:val="right"/>
              <w:textAlignment w:val="bottom"/>
            </w:pPr>
            <w:r>
              <w:rPr>
                <w:rFonts w:ascii="Arial" w:eastAsia="宋体" w:hAnsi="Arial" w:cs="Arial"/>
                <w:color w:val="000000"/>
                <w:sz w:val="15"/>
                <w:szCs w:val="15"/>
              </w:rPr>
              <w:t>3,897 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4B0" w14:textId="77777777" w:rsidR="00980E5F" w:rsidRDefault="00980E5F">
            <w:pPr>
              <w:jc w:val="right"/>
              <w:rPr>
                <w:rFonts w:ascii="宋体"/>
              </w:rPr>
            </w:pPr>
          </w:p>
        </w:tc>
        <w:tc>
          <w:tcPr>
            <w:tcW w:w="0" w:type="auto"/>
            <w:shd w:val="clear" w:color="auto" w:fill="auto"/>
            <w:vAlign w:val="bottom"/>
          </w:tcPr>
          <w:p w14:paraId="392BF4B1" w14:textId="77777777" w:rsidR="00980E5F" w:rsidRDefault="00980E5F">
            <w:pPr>
              <w:rPr>
                <w:rFonts w:ascii="宋体"/>
                <w:vanish/>
              </w:rPr>
            </w:pPr>
          </w:p>
        </w:tc>
        <w:tc>
          <w:tcPr>
            <w:tcW w:w="0" w:type="auto"/>
            <w:shd w:val="clear" w:color="auto" w:fill="auto"/>
            <w:vAlign w:val="bottom"/>
          </w:tcPr>
          <w:p w14:paraId="392BF4B2" w14:textId="77777777" w:rsidR="00980E5F" w:rsidRDefault="00980E5F">
            <w:pPr>
              <w:rPr>
                <w:rFonts w:ascii="宋体"/>
                <w:vanish/>
              </w:rPr>
            </w:pPr>
          </w:p>
        </w:tc>
        <w:tc>
          <w:tcPr>
            <w:tcW w:w="0" w:type="auto"/>
            <w:shd w:val="clear" w:color="auto" w:fill="auto"/>
            <w:vAlign w:val="bottom"/>
          </w:tcPr>
          <w:p w14:paraId="392BF4B3" w14:textId="77777777" w:rsidR="00980E5F" w:rsidRDefault="00980E5F">
            <w:pPr>
              <w:rPr>
                <w:rFonts w:ascii="宋体"/>
                <w:vanish/>
              </w:rPr>
            </w:pPr>
          </w:p>
        </w:tc>
        <w:tc>
          <w:tcPr>
            <w:tcW w:w="0" w:type="auto"/>
            <w:shd w:val="clear" w:color="auto" w:fill="auto"/>
            <w:vAlign w:val="bottom"/>
          </w:tcPr>
          <w:p w14:paraId="392BF4B4" w14:textId="77777777" w:rsidR="00980E5F" w:rsidRDefault="00980E5F">
            <w:pPr>
              <w:rPr>
                <w:rFonts w:ascii="宋体"/>
                <w:vanish/>
              </w:rPr>
            </w:pPr>
          </w:p>
        </w:tc>
        <w:tc>
          <w:tcPr>
            <w:tcW w:w="0" w:type="auto"/>
            <w:shd w:val="clear" w:color="auto" w:fill="auto"/>
            <w:vAlign w:val="bottom"/>
          </w:tcPr>
          <w:p w14:paraId="392BF4B5" w14:textId="77777777" w:rsidR="00980E5F" w:rsidRDefault="00980E5F">
            <w:pPr>
              <w:rPr>
                <w:rFonts w:ascii="宋体"/>
                <w:vanish/>
              </w:rPr>
            </w:pPr>
          </w:p>
        </w:tc>
        <w:tc>
          <w:tcPr>
            <w:tcW w:w="0" w:type="auto"/>
            <w:shd w:val="clear" w:color="auto" w:fill="auto"/>
            <w:vAlign w:val="bottom"/>
          </w:tcPr>
          <w:p w14:paraId="392BF4B6" w14:textId="77777777" w:rsidR="00980E5F" w:rsidRDefault="00980E5F">
            <w:pPr>
              <w:rPr>
                <w:rFonts w:ascii="宋体"/>
                <w:vanish/>
              </w:rPr>
            </w:pPr>
          </w:p>
        </w:tc>
        <w:tc>
          <w:tcPr>
            <w:tcW w:w="0" w:type="auto"/>
            <w:shd w:val="clear" w:color="auto" w:fill="auto"/>
            <w:vAlign w:val="bottom"/>
          </w:tcPr>
          <w:p w14:paraId="392BF4B7" w14:textId="77777777" w:rsidR="00980E5F" w:rsidRDefault="00980E5F">
            <w:pPr>
              <w:rPr>
                <w:rFonts w:ascii="宋体"/>
                <w:vanish/>
              </w:rPr>
            </w:pPr>
          </w:p>
        </w:tc>
        <w:tc>
          <w:tcPr>
            <w:tcW w:w="0" w:type="auto"/>
            <w:shd w:val="clear" w:color="auto" w:fill="auto"/>
            <w:vAlign w:val="bottom"/>
          </w:tcPr>
          <w:p w14:paraId="392BF4B8" w14:textId="77777777" w:rsidR="00980E5F" w:rsidRDefault="00980E5F">
            <w:pPr>
              <w:rPr>
                <w:rFonts w:ascii="宋体"/>
                <w:vanish/>
              </w:rPr>
            </w:pPr>
          </w:p>
        </w:tc>
      </w:tr>
    </w:tbl>
    <w:p w14:paraId="392BF4BA"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BF4C1" w14:textId="77777777">
        <w:tc>
          <w:tcPr>
            <w:tcW w:w="50" w:type="pct"/>
            <w:shd w:val="clear" w:color="auto" w:fill="auto"/>
            <w:vAlign w:val="bottom"/>
          </w:tcPr>
          <w:p w14:paraId="392BF4BB" w14:textId="77777777" w:rsidR="00980E5F" w:rsidRDefault="00980E5F">
            <w:pPr>
              <w:rPr>
                <w:rFonts w:ascii="宋体"/>
              </w:rPr>
            </w:pPr>
          </w:p>
        </w:tc>
        <w:tc>
          <w:tcPr>
            <w:tcW w:w="1348" w:type="pct"/>
            <w:shd w:val="clear" w:color="auto" w:fill="auto"/>
            <w:vAlign w:val="bottom"/>
          </w:tcPr>
          <w:p w14:paraId="392BF4BC" w14:textId="77777777" w:rsidR="00980E5F" w:rsidRDefault="00980E5F">
            <w:pPr>
              <w:rPr>
                <w:rFonts w:ascii="宋体"/>
              </w:rPr>
            </w:pPr>
          </w:p>
        </w:tc>
        <w:tc>
          <w:tcPr>
            <w:tcW w:w="5" w:type="pct"/>
            <w:shd w:val="clear" w:color="auto" w:fill="auto"/>
            <w:vAlign w:val="bottom"/>
          </w:tcPr>
          <w:p w14:paraId="392BF4BD" w14:textId="77777777" w:rsidR="00980E5F" w:rsidRDefault="00980E5F">
            <w:pPr>
              <w:rPr>
                <w:rFonts w:ascii="宋体"/>
              </w:rPr>
            </w:pPr>
          </w:p>
        </w:tc>
        <w:tc>
          <w:tcPr>
            <w:tcW w:w="50" w:type="pct"/>
            <w:shd w:val="clear" w:color="auto" w:fill="auto"/>
            <w:vAlign w:val="bottom"/>
          </w:tcPr>
          <w:p w14:paraId="392BF4BE" w14:textId="77777777" w:rsidR="00980E5F" w:rsidRDefault="00980E5F">
            <w:pPr>
              <w:rPr>
                <w:rFonts w:ascii="宋体"/>
              </w:rPr>
            </w:pPr>
          </w:p>
        </w:tc>
        <w:tc>
          <w:tcPr>
            <w:tcW w:w="3541" w:type="pct"/>
            <w:shd w:val="clear" w:color="auto" w:fill="auto"/>
            <w:vAlign w:val="bottom"/>
          </w:tcPr>
          <w:p w14:paraId="392BF4BF" w14:textId="77777777" w:rsidR="00980E5F" w:rsidRDefault="00980E5F">
            <w:pPr>
              <w:rPr>
                <w:rFonts w:ascii="宋体"/>
              </w:rPr>
            </w:pPr>
          </w:p>
        </w:tc>
        <w:tc>
          <w:tcPr>
            <w:tcW w:w="5" w:type="pct"/>
            <w:shd w:val="clear" w:color="auto" w:fill="auto"/>
            <w:vAlign w:val="bottom"/>
          </w:tcPr>
          <w:p w14:paraId="392BF4C0" w14:textId="77777777" w:rsidR="00980E5F" w:rsidRDefault="00980E5F">
            <w:pPr>
              <w:rPr>
                <w:rFonts w:ascii="宋体"/>
              </w:rPr>
            </w:pPr>
          </w:p>
        </w:tc>
      </w:tr>
      <w:tr w:rsidR="00980E5F" w14:paraId="392BF4C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4C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4C3" w14:textId="77777777" w:rsidR="00980E5F" w:rsidRDefault="00980E5F">
            <w:pPr>
              <w:rPr>
                <w:rFonts w:ascii="宋体"/>
              </w:rPr>
            </w:pPr>
          </w:p>
        </w:tc>
      </w:tr>
    </w:tbl>
    <w:p w14:paraId="392BF4C5" w14:textId="77777777" w:rsidR="00980E5F" w:rsidRDefault="00483613">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2081"/>
        <w:gridCol w:w="38"/>
        <w:gridCol w:w="105"/>
        <w:gridCol w:w="534"/>
        <w:gridCol w:w="37"/>
        <w:gridCol w:w="36"/>
        <w:gridCol w:w="36"/>
        <w:gridCol w:w="36"/>
        <w:gridCol w:w="105"/>
        <w:gridCol w:w="1015"/>
        <w:gridCol w:w="36"/>
        <w:gridCol w:w="36"/>
        <w:gridCol w:w="36"/>
        <w:gridCol w:w="36"/>
        <w:gridCol w:w="105"/>
        <w:gridCol w:w="549"/>
        <w:gridCol w:w="37"/>
        <w:gridCol w:w="36"/>
        <w:gridCol w:w="36"/>
        <w:gridCol w:w="36"/>
        <w:gridCol w:w="105"/>
        <w:gridCol w:w="1194"/>
        <w:gridCol w:w="36"/>
        <w:gridCol w:w="36"/>
        <w:gridCol w:w="36"/>
        <w:gridCol w:w="36"/>
        <w:gridCol w:w="105"/>
        <w:gridCol w:w="1044"/>
        <w:gridCol w:w="36"/>
        <w:gridCol w:w="36"/>
        <w:gridCol w:w="36"/>
        <w:gridCol w:w="36"/>
        <w:gridCol w:w="104"/>
        <w:gridCol w:w="418"/>
        <w:gridCol w:w="36"/>
        <w:gridCol w:w="36"/>
      </w:tblGrid>
      <w:tr w:rsidR="00980E5F" w14:paraId="392BF4EB" w14:textId="77777777">
        <w:tc>
          <w:tcPr>
            <w:tcW w:w="50" w:type="pct"/>
            <w:shd w:val="clear" w:color="auto" w:fill="auto"/>
            <w:vAlign w:val="bottom"/>
          </w:tcPr>
          <w:p w14:paraId="392BF4C6" w14:textId="77777777" w:rsidR="00980E5F" w:rsidRDefault="00980E5F">
            <w:pPr>
              <w:rPr>
                <w:rFonts w:ascii="宋体"/>
              </w:rPr>
            </w:pPr>
          </w:p>
        </w:tc>
        <w:tc>
          <w:tcPr>
            <w:tcW w:w="1458" w:type="pct"/>
            <w:shd w:val="clear" w:color="auto" w:fill="auto"/>
            <w:vAlign w:val="bottom"/>
          </w:tcPr>
          <w:p w14:paraId="392BF4C7" w14:textId="77777777" w:rsidR="00980E5F" w:rsidRDefault="00980E5F">
            <w:pPr>
              <w:rPr>
                <w:rFonts w:ascii="宋体"/>
              </w:rPr>
            </w:pPr>
          </w:p>
        </w:tc>
        <w:tc>
          <w:tcPr>
            <w:tcW w:w="5" w:type="pct"/>
            <w:shd w:val="clear" w:color="auto" w:fill="auto"/>
            <w:vAlign w:val="bottom"/>
          </w:tcPr>
          <w:p w14:paraId="392BF4C8" w14:textId="77777777" w:rsidR="00980E5F" w:rsidRDefault="00980E5F">
            <w:pPr>
              <w:rPr>
                <w:rFonts w:ascii="宋体"/>
              </w:rPr>
            </w:pPr>
          </w:p>
        </w:tc>
        <w:tc>
          <w:tcPr>
            <w:tcW w:w="50" w:type="pct"/>
            <w:shd w:val="clear" w:color="auto" w:fill="auto"/>
            <w:vAlign w:val="bottom"/>
          </w:tcPr>
          <w:p w14:paraId="392BF4C9" w14:textId="77777777" w:rsidR="00980E5F" w:rsidRDefault="00980E5F">
            <w:pPr>
              <w:rPr>
                <w:rFonts w:ascii="宋体"/>
              </w:rPr>
            </w:pPr>
          </w:p>
        </w:tc>
        <w:tc>
          <w:tcPr>
            <w:tcW w:w="390" w:type="pct"/>
            <w:shd w:val="clear" w:color="auto" w:fill="auto"/>
            <w:vAlign w:val="bottom"/>
          </w:tcPr>
          <w:p w14:paraId="392BF4CA" w14:textId="77777777" w:rsidR="00980E5F" w:rsidRDefault="00980E5F">
            <w:pPr>
              <w:rPr>
                <w:rFonts w:ascii="宋体"/>
              </w:rPr>
            </w:pPr>
          </w:p>
        </w:tc>
        <w:tc>
          <w:tcPr>
            <w:tcW w:w="5" w:type="pct"/>
            <w:shd w:val="clear" w:color="auto" w:fill="auto"/>
            <w:vAlign w:val="bottom"/>
          </w:tcPr>
          <w:p w14:paraId="392BF4CB" w14:textId="77777777" w:rsidR="00980E5F" w:rsidRDefault="00980E5F">
            <w:pPr>
              <w:rPr>
                <w:rFonts w:ascii="宋体"/>
              </w:rPr>
            </w:pPr>
          </w:p>
        </w:tc>
        <w:tc>
          <w:tcPr>
            <w:tcW w:w="5" w:type="pct"/>
            <w:shd w:val="clear" w:color="auto" w:fill="auto"/>
            <w:vAlign w:val="bottom"/>
          </w:tcPr>
          <w:p w14:paraId="392BF4CC" w14:textId="77777777" w:rsidR="00980E5F" w:rsidRDefault="00980E5F">
            <w:pPr>
              <w:rPr>
                <w:rFonts w:ascii="宋体"/>
              </w:rPr>
            </w:pPr>
          </w:p>
        </w:tc>
        <w:tc>
          <w:tcPr>
            <w:tcW w:w="26" w:type="pct"/>
            <w:shd w:val="clear" w:color="auto" w:fill="auto"/>
            <w:vAlign w:val="bottom"/>
          </w:tcPr>
          <w:p w14:paraId="392BF4CD" w14:textId="77777777" w:rsidR="00980E5F" w:rsidRDefault="00980E5F">
            <w:pPr>
              <w:rPr>
                <w:rFonts w:ascii="宋体"/>
              </w:rPr>
            </w:pPr>
          </w:p>
        </w:tc>
        <w:tc>
          <w:tcPr>
            <w:tcW w:w="5" w:type="pct"/>
            <w:shd w:val="clear" w:color="auto" w:fill="auto"/>
            <w:vAlign w:val="bottom"/>
          </w:tcPr>
          <w:p w14:paraId="392BF4CE" w14:textId="77777777" w:rsidR="00980E5F" w:rsidRDefault="00980E5F">
            <w:pPr>
              <w:rPr>
                <w:rFonts w:ascii="宋体"/>
              </w:rPr>
            </w:pPr>
          </w:p>
        </w:tc>
        <w:tc>
          <w:tcPr>
            <w:tcW w:w="50" w:type="pct"/>
            <w:shd w:val="clear" w:color="auto" w:fill="auto"/>
            <w:vAlign w:val="bottom"/>
          </w:tcPr>
          <w:p w14:paraId="392BF4CF" w14:textId="77777777" w:rsidR="00980E5F" w:rsidRDefault="00980E5F">
            <w:pPr>
              <w:rPr>
                <w:rFonts w:ascii="宋体"/>
              </w:rPr>
            </w:pPr>
          </w:p>
        </w:tc>
        <w:tc>
          <w:tcPr>
            <w:tcW w:w="551" w:type="pct"/>
            <w:shd w:val="clear" w:color="auto" w:fill="auto"/>
            <w:vAlign w:val="bottom"/>
          </w:tcPr>
          <w:p w14:paraId="392BF4D0" w14:textId="77777777" w:rsidR="00980E5F" w:rsidRDefault="00980E5F">
            <w:pPr>
              <w:rPr>
                <w:rFonts w:ascii="宋体"/>
              </w:rPr>
            </w:pPr>
          </w:p>
        </w:tc>
        <w:tc>
          <w:tcPr>
            <w:tcW w:w="5" w:type="pct"/>
            <w:shd w:val="clear" w:color="auto" w:fill="auto"/>
            <w:vAlign w:val="bottom"/>
          </w:tcPr>
          <w:p w14:paraId="392BF4D1" w14:textId="77777777" w:rsidR="00980E5F" w:rsidRDefault="00980E5F">
            <w:pPr>
              <w:rPr>
                <w:rFonts w:ascii="宋体"/>
              </w:rPr>
            </w:pPr>
          </w:p>
        </w:tc>
        <w:tc>
          <w:tcPr>
            <w:tcW w:w="5" w:type="pct"/>
            <w:shd w:val="clear" w:color="auto" w:fill="auto"/>
            <w:vAlign w:val="bottom"/>
          </w:tcPr>
          <w:p w14:paraId="392BF4D2" w14:textId="77777777" w:rsidR="00980E5F" w:rsidRDefault="00980E5F">
            <w:pPr>
              <w:rPr>
                <w:rFonts w:ascii="宋体"/>
              </w:rPr>
            </w:pPr>
          </w:p>
        </w:tc>
        <w:tc>
          <w:tcPr>
            <w:tcW w:w="26" w:type="pct"/>
            <w:shd w:val="clear" w:color="auto" w:fill="auto"/>
            <w:vAlign w:val="bottom"/>
          </w:tcPr>
          <w:p w14:paraId="392BF4D3" w14:textId="77777777" w:rsidR="00980E5F" w:rsidRDefault="00980E5F">
            <w:pPr>
              <w:rPr>
                <w:rFonts w:ascii="宋体"/>
              </w:rPr>
            </w:pPr>
          </w:p>
        </w:tc>
        <w:tc>
          <w:tcPr>
            <w:tcW w:w="5" w:type="pct"/>
            <w:shd w:val="clear" w:color="auto" w:fill="auto"/>
            <w:vAlign w:val="bottom"/>
          </w:tcPr>
          <w:p w14:paraId="392BF4D4" w14:textId="77777777" w:rsidR="00980E5F" w:rsidRDefault="00980E5F">
            <w:pPr>
              <w:rPr>
                <w:rFonts w:ascii="宋体"/>
              </w:rPr>
            </w:pPr>
          </w:p>
        </w:tc>
        <w:tc>
          <w:tcPr>
            <w:tcW w:w="50" w:type="pct"/>
            <w:shd w:val="clear" w:color="auto" w:fill="auto"/>
            <w:vAlign w:val="bottom"/>
          </w:tcPr>
          <w:p w14:paraId="392BF4D5" w14:textId="77777777" w:rsidR="00980E5F" w:rsidRDefault="00980E5F">
            <w:pPr>
              <w:rPr>
                <w:rFonts w:ascii="宋体"/>
              </w:rPr>
            </w:pPr>
          </w:p>
        </w:tc>
        <w:tc>
          <w:tcPr>
            <w:tcW w:w="390" w:type="pct"/>
            <w:shd w:val="clear" w:color="auto" w:fill="auto"/>
            <w:vAlign w:val="bottom"/>
          </w:tcPr>
          <w:p w14:paraId="392BF4D6" w14:textId="77777777" w:rsidR="00980E5F" w:rsidRDefault="00980E5F">
            <w:pPr>
              <w:rPr>
                <w:rFonts w:ascii="宋体"/>
              </w:rPr>
            </w:pPr>
          </w:p>
        </w:tc>
        <w:tc>
          <w:tcPr>
            <w:tcW w:w="5" w:type="pct"/>
            <w:shd w:val="clear" w:color="auto" w:fill="auto"/>
            <w:vAlign w:val="bottom"/>
          </w:tcPr>
          <w:p w14:paraId="392BF4D7" w14:textId="77777777" w:rsidR="00980E5F" w:rsidRDefault="00980E5F">
            <w:pPr>
              <w:rPr>
                <w:rFonts w:ascii="宋体"/>
              </w:rPr>
            </w:pPr>
          </w:p>
        </w:tc>
        <w:tc>
          <w:tcPr>
            <w:tcW w:w="5" w:type="pct"/>
            <w:shd w:val="clear" w:color="auto" w:fill="auto"/>
            <w:vAlign w:val="bottom"/>
          </w:tcPr>
          <w:p w14:paraId="392BF4D8" w14:textId="77777777" w:rsidR="00980E5F" w:rsidRDefault="00980E5F">
            <w:pPr>
              <w:rPr>
                <w:rFonts w:ascii="宋体"/>
              </w:rPr>
            </w:pPr>
          </w:p>
        </w:tc>
        <w:tc>
          <w:tcPr>
            <w:tcW w:w="26" w:type="pct"/>
            <w:shd w:val="clear" w:color="auto" w:fill="auto"/>
            <w:vAlign w:val="bottom"/>
          </w:tcPr>
          <w:p w14:paraId="392BF4D9" w14:textId="77777777" w:rsidR="00980E5F" w:rsidRDefault="00980E5F">
            <w:pPr>
              <w:rPr>
                <w:rFonts w:ascii="宋体"/>
              </w:rPr>
            </w:pPr>
          </w:p>
        </w:tc>
        <w:tc>
          <w:tcPr>
            <w:tcW w:w="5" w:type="pct"/>
            <w:shd w:val="clear" w:color="auto" w:fill="auto"/>
            <w:vAlign w:val="bottom"/>
          </w:tcPr>
          <w:p w14:paraId="392BF4DA" w14:textId="77777777" w:rsidR="00980E5F" w:rsidRDefault="00980E5F">
            <w:pPr>
              <w:rPr>
                <w:rFonts w:ascii="宋体"/>
              </w:rPr>
            </w:pPr>
          </w:p>
        </w:tc>
        <w:tc>
          <w:tcPr>
            <w:tcW w:w="50" w:type="pct"/>
            <w:shd w:val="clear" w:color="auto" w:fill="auto"/>
            <w:vAlign w:val="bottom"/>
          </w:tcPr>
          <w:p w14:paraId="392BF4DB" w14:textId="77777777" w:rsidR="00980E5F" w:rsidRDefault="00980E5F">
            <w:pPr>
              <w:rPr>
                <w:rFonts w:ascii="宋体"/>
              </w:rPr>
            </w:pPr>
          </w:p>
        </w:tc>
        <w:tc>
          <w:tcPr>
            <w:tcW w:w="624" w:type="pct"/>
            <w:shd w:val="clear" w:color="auto" w:fill="auto"/>
            <w:vAlign w:val="bottom"/>
          </w:tcPr>
          <w:p w14:paraId="392BF4DC" w14:textId="77777777" w:rsidR="00980E5F" w:rsidRDefault="00980E5F">
            <w:pPr>
              <w:rPr>
                <w:rFonts w:ascii="宋体"/>
              </w:rPr>
            </w:pPr>
          </w:p>
        </w:tc>
        <w:tc>
          <w:tcPr>
            <w:tcW w:w="5" w:type="pct"/>
            <w:shd w:val="clear" w:color="auto" w:fill="auto"/>
            <w:vAlign w:val="bottom"/>
          </w:tcPr>
          <w:p w14:paraId="392BF4DD" w14:textId="77777777" w:rsidR="00980E5F" w:rsidRDefault="00980E5F">
            <w:pPr>
              <w:rPr>
                <w:rFonts w:ascii="宋体"/>
              </w:rPr>
            </w:pPr>
          </w:p>
        </w:tc>
        <w:tc>
          <w:tcPr>
            <w:tcW w:w="5" w:type="pct"/>
            <w:shd w:val="clear" w:color="auto" w:fill="auto"/>
            <w:vAlign w:val="bottom"/>
          </w:tcPr>
          <w:p w14:paraId="392BF4DE" w14:textId="77777777" w:rsidR="00980E5F" w:rsidRDefault="00980E5F">
            <w:pPr>
              <w:rPr>
                <w:rFonts w:ascii="宋体"/>
              </w:rPr>
            </w:pPr>
          </w:p>
        </w:tc>
        <w:tc>
          <w:tcPr>
            <w:tcW w:w="26" w:type="pct"/>
            <w:shd w:val="clear" w:color="auto" w:fill="auto"/>
            <w:vAlign w:val="bottom"/>
          </w:tcPr>
          <w:p w14:paraId="392BF4DF" w14:textId="77777777" w:rsidR="00980E5F" w:rsidRDefault="00980E5F">
            <w:pPr>
              <w:rPr>
                <w:rFonts w:ascii="宋体"/>
              </w:rPr>
            </w:pPr>
          </w:p>
        </w:tc>
        <w:tc>
          <w:tcPr>
            <w:tcW w:w="5" w:type="pct"/>
            <w:shd w:val="clear" w:color="auto" w:fill="auto"/>
            <w:vAlign w:val="bottom"/>
          </w:tcPr>
          <w:p w14:paraId="392BF4E0" w14:textId="77777777" w:rsidR="00980E5F" w:rsidRDefault="00980E5F">
            <w:pPr>
              <w:rPr>
                <w:rFonts w:ascii="宋体"/>
              </w:rPr>
            </w:pPr>
          </w:p>
        </w:tc>
        <w:tc>
          <w:tcPr>
            <w:tcW w:w="50" w:type="pct"/>
            <w:shd w:val="clear" w:color="auto" w:fill="auto"/>
            <w:vAlign w:val="bottom"/>
          </w:tcPr>
          <w:p w14:paraId="392BF4E1" w14:textId="77777777" w:rsidR="00980E5F" w:rsidRDefault="00980E5F">
            <w:pPr>
              <w:rPr>
                <w:rFonts w:ascii="宋体"/>
              </w:rPr>
            </w:pPr>
          </w:p>
        </w:tc>
        <w:tc>
          <w:tcPr>
            <w:tcW w:w="624" w:type="pct"/>
            <w:shd w:val="clear" w:color="auto" w:fill="auto"/>
            <w:vAlign w:val="bottom"/>
          </w:tcPr>
          <w:p w14:paraId="392BF4E2" w14:textId="77777777" w:rsidR="00980E5F" w:rsidRDefault="00980E5F">
            <w:pPr>
              <w:rPr>
                <w:rFonts w:ascii="宋体"/>
              </w:rPr>
            </w:pPr>
          </w:p>
        </w:tc>
        <w:tc>
          <w:tcPr>
            <w:tcW w:w="5" w:type="pct"/>
            <w:shd w:val="clear" w:color="auto" w:fill="auto"/>
            <w:vAlign w:val="bottom"/>
          </w:tcPr>
          <w:p w14:paraId="392BF4E3" w14:textId="77777777" w:rsidR="00980E5F" w:rsidRDefault="00980E5F">
            <w:pPr>
              <w:rPr>
                <w:rFonts w:ascii="宋体"/>
              </w:rPr>
            </w:pPr>
          </w:p>
        </w:tc>
        <w:tc>
          <w:tcPr>
            <w:tcW w:w="5" w:type="pct"/>
            <w:shd w:val="clear" w:color="auto" w:fill="auto"/>
            <w:vAlign w:val="bottom"/>
          </w:tcPr>
          <w:p w14:paraId="392BF4E4" w14:textId="77777777" w:rsidR="00980E5F" w:rsidRDefault="00980E5F">
            <w:pPr>
              <w:rPr>
                <w:rFonts w:ascii="宋体"/>
              </w:rPr>
            </w:pPr>
          </w:p>
        </w:tc>
        <w:tc>
          <w:tcPr>
            <w:tcW w:w="26" w:type="pct"/>
            <w:shd w:val="clear" w:color="auto" w:fill="auto"/>
            <w:vAlign w:val="bottom"/>
          </w:tcPr>
          <w:p w14:paraId="392BF4E5" w14:textId="77777777" w:rsidR="00980E5F" w:rsidRDefault="00980E5F">
            <w:pPr>
              <w:rPr>
                <w:rFonts w:ascii="宋体"/>
              </w:rPr>
            </w:pPr>
          </w:p>
        </w:tc>
        <w:tc>
          <w:tcPr>
            <w:tcW w:w="5" w:type="pct"/>
            <w:shd w:val="clear" w:color="auto" w:fill="auto"/>
            <w:vAlign w:val="bottom"/>
          </w:tcPr>
          <w:p w14:paraId="392BF4E6" w14:textId="77777777" w:rsidR="00980E5F" w:rsidRDefault="00980E5F">
            <w:pPr>
              <w:rPr>
                <w:rFonts w:ascii="宋体"/>
              </w:rPr>
            </w:pPr>
          </w:p>
        </w:tc>
        <w:tc>
          <w:tcPr>
            <w:tcW w:w="50" w:type="pct"/>
            <w:shd w:val="clear" w:color="auto" w:fill="auto"/>
            <w:vAlign w:val="bottom"/>
          </w:tcPr>
          <w:p w14:paraId="392BF4E7" w14:textId="77777777" w:rsidR="00980E5F" w:rsidRDefault="00980E5F">
            <w:pPr>
              <w:rPr>
                <w:rFonts w:ascii="宋体"/>
              </w:rPr>
            </w:pPr>
          </w:p>
        </w:tc>
        <w:tc>
          <w:tcPr>
            <w:tcW w:w="391" w:type="pct"/>
            <w:shd w:val="clear" w:color="auto" w:fill="auto"/>
            <w:vAlign w:val="bottom"/>
          </w:tcPr>
          <w:p w14:paraId="392BF4E8" w14:textId="77777777" w:rsidR="00980E5F" w:rsidRDefault="00980E5F">
            <w:pPr>
              <w:rPr>
                <w:rFonts w:ascii="宋体"/>
              </w:rPr>
            </w:pPr>
          </w:p>
        </w:tc>
        <w:tc>
          <w:tcPr>
            <w:tcW w:w="5" w:type="pct"/>
            <w:shd w:val="clear" w:color="auto" w:fill="auto"/>
            <w:vAlign w:val="bottom"/>
          </w:tcPr>
          <w:p w14:paraId="392BF4E9" w14:textId="77777777" w:rsidR="00980E5F" w:rsidRDefault="00980E5F">
            <w:pPr>
              <w:rPr>
                <w:rFonts w:ascii="宋体"/>
              </w:rPr>
            </w:pPr>
          </w:p>
        </w:tc>
        <w:tc>
          <w:tcPr>
            <w:tcW w:w="0" w:type="auto"/>
            <w:shd w:val="clear" w:color="auto" w:fill="auto"/>
            <w:vAlign w:val="bottom"/>
          </w:tcPr>
          <w:p w14:paraId="392BF4EA" w14:textId="77777777" w:rsidR="00980E5F" w:rsidRDefault="00980E5F">
            <w:pPr>
              <w:rPr>
                <w:rFonts w:ascii="宋体"/>
                <w:vanish/>
              </w:rPr>
            </w:pPr>
          </w:p>
        </w:tc>
      </w:tr>
      <w:tr w:rsidR="00980E5F" w14:paraId="392BF4EE" w14:textId="77777777">
        <w:tc>
          <w:tcPr>
            <w:tcW w:w="0" w:type="auto"/>
            <w:gridSpan w:val="36"/>
            <w:shd w:val="clear" w:color="auto" w:fill="auto"/>
            <w:tcMar>
              <w:top w:w="40" w:type="dxa"/>
              <w:left w:w="20" w:type="dxa"/>
              <w:bottom w:w="40" w:type="dxa"/>
              <w:right w:w="20" w:type="dxa"/>
            </w:tcMar>
            <w:vAlign w:val="bottom"/>
          </w:tcPr>
          <w:p w14:paraId="392BF4EC" w14:textId="77777777" w:rsidR="00980E5F" w:rsidRDefault="00483613">
            <w:pPr>
              <w:textAlignment w:val="bottom"/>
            </w:pPr>
            <w:r>
              <w:rPr>
                <w:rFonts w:ascii="Arial" w:eastAsia="宋体" w:hAnsi="Arial" w:cs="Arial"/>
                <w:b/>
                <w:bCs/>
                <w:color w:val="000000"/>
                <w:sz w:val="16"/>
                <w:szCs w:val="16"/>
              </w:rPr>
              <w:t>TABLE 12: ACTIVITY IN ASSETS UNDER MANAGEMENT BY PRODUCT CATEGORY</w:t>
            </w:r>
          </w:p>
        </w:tc>
        <w:tc>
          <w:tcPr>
            <w:tcW w:w="0" w:type="auto"/>
            <w:shd w:val="clear" w:color="auto" w:fill="auto"/>
            <w:vAlign w:val="bottom"/>
          </w:tcPr>
          <w:p w14:paraId="392BF4ED" w14:textId="77777777" w:rsidR="00980E5F" w:rsidRDefault="00980E5F">
            <w:pPr>
              <w:rPr>
                <w:rFonts w:ascii="宋体"/>
                <w:vanish/>
              </w:rPr>
            </w:pPr>
          </w:p>
        </w:tc>
      </w:tr>
      <w:tr w:rsidR="00980E5F" w14:paraId="392BF4FC" w14:textId="77777777">
        <w:tc>
          <w:tcPr>
            <w:tcW w:w="0" w:type="auto"/>
            <w:gridSpan w:val="3"/>
            <w:shd w:val="clear" w:color="auto" w:fill="auto"/>
            <w:tcMar>
              <w:top w:w="40" w:type="dxa"/>
              <w:left w:w="20" w:type="dxa"/>
              <w:bottom w:w="40" w:type="dxa"/>
              <w:right w:w="20" w:type="dxa"/>
            </w:tcMar>
            <w:vAlign w:val="bottom"/>
          </w:tcPr>
          <w:p w14:paraId="392BF4EF" w14:textId="77777777" w:rsidR="00980E5F" w:rsidRDefault="00483613">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392BF4F0" w14:textId="77777777" w:rsidR="00980E5F" w:rsidRDefault="00483613">
            <w:pPr>
              <w:jc w:val="center"/>
              <w:textAlignment w:val="bottom"/>
            </w:pPr>
            <w:r>
              <w:rPr>
                <w:rFonts w:ascii="Arial" w:eastAsia="宋体" w:hAnsi="Arial" w:cs="Arial"/>
                <w:b/>
                <w:bCs/>
                <w:color w:val="000000"/>
                <w:sz w:val="15"/>
                <w:szCs w:val="15"/>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BF4F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F2" w14:textId="77777777" w:rsidR="00980E5F" w:rsidRDefault="00483613">
            <w:pPr>
              <w:jc w:val="center"/>
              <w:textAlignment w:val="bottom"/>
            </w:pPr>
            <w:r>
              <w:rPr>
                <w:rFonts w:ascii="Arial" w:eastAsia="宋体" w:hAnsi="Arial" w:cs="Arial"/>
                <w:b/>
                <w:bCs/>
                <w:color w:val="000000"/>
                <w:sz w:val="15"/>
                <w:szCs w:val="15"/>
              </w:rPr>
              <w:t>Fixed</w:t>
            </w:r>
            <w:r>
              <w:rPr>
                <w:rFonts w:ascii="Arial" w:eastAsia="宋体" w:hAnsi="Arial" w:cs="Arial"/>
                <w:b/>
                <w:bCs/>
                <w:color w:val="000000"/>
                <w:sz w:val="15"/>
                <w:szCs w:val="15"/>
              </w:rPr>
              <w:t>-Income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BF4F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F4" w14:textId="77777777" w:rsidR="00980E5F" w:rsidRDefault="00483613">
            <w:pP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392BF4F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F6" w14:textId="77777777" w:rsidR="00980E5F" w:rsidRDefault="00483613">
            <w:pPr>
              <w:jc w:val="center"/>
              <w:textAlignment w:val="bottom"/>
            </w:pPr>
            <w:r>
              <w:rPr>
                <w:rFonts w:ascii="Arial" w:eastAsia="宋体" w:hAnsi="Arial" w:cs="Arial"/>
                <w:b/>
                <w:bCs/>
                <w:color w:val="000000"/>
                <w:sz w:val="15"/>
                <w:szCs w:val="15"/>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BF4F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F8" w14:textId="77777777" w:rsidR="00980E5F" w:rsidRDefault="00483613">
            <w:pP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392BF4F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BF4FA" w14:textId="77777777" w:rsidR="00980E5F" w:rsidRDefault="00483613">
            <w:pPr>
              <w:jc w:val="center"/>
              <w:textAlignment w:val="bottom"/>
            </w:pPr>
            <w:r>
              <w:rPr>
                <w:rFonts w:ascii="Arial" w:eastAsia="宋体" w:hAnsi="Arial" w:cs="Arial"/>
                <w:b/>
                <w:bCs/>
                <w:color w:val="000000"/>
                <w:sz w:val="15"/>
                <w:szCs w:val="15"/>
              </w:rPr>
              <w:t>Total</w:t>
            </w:r>
          </w:p>
        </w:tc>
        <w:tc>
          <w:tcPr>
            <w:tcW w:w="0" w:type="auto"/>
            <w:shd w:val="clear" w:color="auto" w:fill="auto"/>
            <w:vAlign w:val="bottom"/>
          </w:tcPr>
          <w:p w14:paraId="392BF4FB" w14:textId="77777777" w:rsidR="00980E5F" w:rsidRDefault="00980E5F">
            <w:pPr>
              <w:rPr>
                <w:rFonts w:ascii="宋体"/>
                <w:vanish/>
              </w:rPr>
            </w:pPr>
          </w:p>
        </w:tc>
      </w:tr>
      <w:tr w:rsidR="00980E5F" w14:paraId="392BF516" w14:textId="77777777">
        <w:tc>
          <w:tcPr>
            <w:tcW w:w="0" w:type="auto"/>
            <w:gridSpan w:val="3"/>
            <w:shd w:val="clear" w:color="auto" w:fill="CCEEFF"/>
            <w:tcMar>
              <w:top w:w="40" w:type="dxa"/>
              <w:left w:w="20" w:type="dxa"/>
              <w:bottom w:w="40" w:type="dxa"/>
              <w:right w:w="20" w:type="dxa"/>
            </w:tcMar>
            <w:vAlign w:val="bottom"/>
          </w:tcPr>
          <w:p w14:paraId="392BF4FD" w14:textId="77777777" w:rsidR="00980E5F" w:rsidRDefault="00483613">
            <w:pPr>
              <w:textAlignment w:val="bottom"/>
            </w:pPr>
            <w:r>
              <w:rPr>
                <w:rFonts w:ascii="Arial" w:eastAsia="宋体" w:hAnsi="Arial" w:cs="Arial"/>
                <w:b/>
                <w:bCs/>
                <w:color w:val="000000"/>
                <w:sz w:val="15"/>
                <w:szCs w:val="15"/>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4FE"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4FF" w14:textId="77777777" w:rsidR="00980E5F" w:rsidRDefault="00483613">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0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502"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503" w14:textId="77777777" w:rsidR="00980E5F" w:rsidRDefault="00483613">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0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506"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507" w14:textId="77777777" w:rsidR="00980E5F" w:rsidRDefault="00483613">
            <w:pPr>
              <w:jc w:val="right"/>
              <w:textAlignment w:val="bottom"/>
            </w:pPr>
            <w:r>
              <w:rPr>
                <w:rFonts w:ascii="Arial" w:eastAsia="宋体" w:hAnsi="Arial" w:cs="Arial"/>
                <w:color w:val="000000"/>
                <w:sz w:val="15"/>
                <w:szCs w:val="15"/>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0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50A"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50B" w14:textId="77777777" w:rsidR="00980E5F" w:rsidRDefault="00483613">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0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50E"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50F" w14:textId="77777777" w:rsidR="00980E5F" w:rsidRDefault="00483613">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1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512"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513" w14:textId="77777777" w:rsidR="00980E5F" w:rsidRDefault="00483613">
            <w:pPr>
              <w:jc w:val="right"/>
              <w:textAlignment w:val="bottom"/>
            </w:pPr>
            <w:r>
              <w:rPr>
                <w:rFonts w:ascii="Arial" w:eastAsia="宋体" w:hAnsi="Arial" w:cs="Arial"/>
                <w:color w:val="000000"/>
                <w:sz w:val="15"/>
                <w:szCs w:val="15"/>
              </w:rPr>
              <w:t>3,467 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14" w14:textId="77777777" w:rsidR="00980E5F" w:rsidRDefault="00980E5F">
            <w:pPr>
              <w:jc w:val="right"/>
              <w:rPr>
                <w:rFonts w:ascii="宋体"/>
              </w:rPr>
            </w:pPr>
          </w:p>
        </w:tc>
        <w:tc>
          <w:tcPr>
            <w:tcW w:w="0" w:type="auto"/>
            <w:shd w:val="clear" w:color="auto" w:fill="auto"/>
            <w:vAlign w:val="bottom"/>
          </w:tcPr>
          <w:p w14:paraId="392BF515" w14:textId="77777777" w:rsidR="00980E5F" w:rsidRDefault="00980E5F">
            <w:pPr>
              <w:rPr>
                <w:rFonts w:ascii="宋体"/>
                <w:vanish/>
              </w:rPr>
            </w:pPr>
          </w:p>
        </w:tc>
      </w:tr>
      <w:tr w:rsidR="00980E5F" w14:paraId="392BF52A" w14:textId="77777777">
        <w:tc>
          <w:tcPr>
            <w:tcW w:w="0" w:type="auto"/>
            <w:gridSpan w:val="3"/>
            <w:shd w:val="clear" w:color="auto" w:fill="FFFFFF"/>
            <w:tcMar>
              <w:top w:w="40" w:type="dxa"/>
              <w:left w:w="20" w:type="dxa"/>
              <w:bottom w:w="40" w:type="dxa"/>
              <w:right w:w="20" w:type="dxa"/>
            </w:tcMar>
            <w:vAlign w:val="bottom"/>
          </w:tcPr>
          <w:p w14:paraId="392BF517" w14:textId="77777777" w:rsidR="00980E5F" w:rsidRDefault="00483613">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392BF518" w14:textId="77777777" w:rsidR="00980E5F" w:rsidRDefault="00483613">
            <w:pPr>
              <w:jc w:val="right"/>
              <w:textAlignment w:val="bottom"/>
            </w:pPr>
            <w:r>
              <w:rPr>
                <w:rFonts w:ascii="Arial" w:eastAsia="宋体" w:hAnsi="Arial" w:cs="Arial"/>
                <w:color w:val="000000"/>
                <w:sz w:val="15"/>
                <w:szCs w:val="15"/>
              </w:rPr>
              <w:t>(35)</w:t>
            </w:r>
          </w:p>
        </w:tc>
        <w:tc>
          <w:tcPr>
            <w:tcW w:w="0" w:type="auto"/>
            <w:shd w:val="clear" w:color="auto" w:fill="FFFFFF"/>
            <w:tcMar>
              <w:top w:w="40" w:type="dxa"/>
              <w:left w:w="0" w:type="dxa"/>
              <w:bottom w:w="40" w:type="dxa"/>
              <w:right w:w="20" w:type="dxa"/>
            </w:tcMar>
            <w:vAlign w:val="bottom"/>
          </w:tcPr>
          <w:p w14:paraId="392BF5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1B" w14:textId="77777777" w:rsidR="00980E5F" w:rsidRDefault="00483613">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392BF5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1E"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392BF5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21"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BF5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24"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BF5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27" w14:textId="77777777" w:rsidR="00980E5F" w:rsidRDefault="00483613">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392BF528" w14:textId="77777777" w:rsidR="00980E5F" w:rsidRDefault="00980E5F">
            <w:pPr>
              <w:jc w:val="right"/>
              <w:rPr>
                <w:rFonts w:ascii="宋体"/>
              </w:rPr>
            </w:pPr>
          </w:p>
        </w:tc>
        <w:tc>
          <w:tcPr>
            <w:tcW w:w="0" w:type="auto"/>
            <w:shd w:val="clear" w:color="auto" w:fill="auto"/>
            <w:vAlign w:val="bottom"/>
          </w:tcPr>
          <w:p w14:paraId="392BF529" w14:textId="77777777" w:rsidR="00980E5F" w:rsidRDefault="00980E5F">
            <w:pPr>
              <w:rPr>
                <w:rFonts w:ascii="宋体"/>
                <w:vanish/>
              </w:rPr>
            </w:pPr>
          </w:p>
        </w:tc>
      </w:tr>
      <w:tr w:rsidR="00980E5F" w14:paraId="392BF53E" w14:textId="77777777">
        <w:tc>
          <w:tcPr>
            <w:tcW w:w="0" w:type="auto"/>
            <w:gridSpan w:val="3"/>
            <w:shd w:val="clear" w:color="auto" w:fill="CCEEFF"/>
            <w:tcMar>
              <w:top w:w="40" w:type="dxa"/>
              <w:left w:w="20" w:type="dxa"/>
              <w:bottom w:w="40" w:type="dxa"/>
              <w:right w:w="20" w:type="dxa"/>
            </w:tcMar>
            <w:vAlign w:val="bottom"/>
          </w:tcPr>
          <w:p w14:paraId="392BF52B" w14:textId="77777777" w:rsidR="00980E5F" w:rsidRDefault="00483613">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92BF52C" w14:textId="77777777" w:rsidR="00980E5F" w:rsidRDefault="00483613">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392BF5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2F" w14:textId="77777777" w:rsidR="00980E5F" w:rsidRDefault="00483613">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92BF5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3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5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35"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5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3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38" w14:textId="77777777" w:rsidR="00980E5F" w:rsidRDefault="00483613">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392BF5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3B" w14:textId="77777777" w:rsidR="00980E5F" w:rsidRDefault="00483613">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392BF53C" w14:textId="77777777" w:rsidR="00980E5F" w:rsidRDefault="00980E5F">
            <w:pPr>
              <w:jc w:val="right"/>
              <w:rPr>
                <w:rFonts w:ascii="宋体"/>
              </w:rPr>
            </w:pPr>
          </w:p>
        </w:tc>
        <w:tc>
          <w:tcPr>
            <w:tcW w:w="0" w:type="auto"/>
            <w:shd w:val="clear" w:color="auto" w:fill="auto"/>
            <w:vAlign w:val="bottom"/>
          </w:tcPr>
          <w:p w14:paraId="392BF53D" w14:textId="77777777" w:rsidR="00980E5F" w:rsidRDefault="00980E5F">
            <w:pPr>
              <w:rPr>
                <w:rFonts w:ascii="宋体"/>
                <w:vanish/>
              </w:rPr>
            </w:pPr>
          </w:p>
        </w:tc>
      </w:tr>
      <w:tr w:rsidR="00980E5F" w14:paraId="392BF552" w14:textId="77777777">
        <w:tc>
          <w:tcPr>
            <w:tcW w:w="0" w:type="auto"/>
            <w:gridSpan w:val="3"/>
            <w:shd w:val="clear" w:color="auto" w:fill="FFFFFF"/>
            <w:tcMar>
              <w:top w:w="40" w:type="dxa"/>
              <w:left w:w="20" w:type="dxa"/>
              <w:bottom w:w="40" w:type="dxa"/>
              <w:right w:w="20" w:type="dxa"/>
            </w:tcMar>
            <w:vAlign w:val="bottom"/>
          </w:tcPr>
          <w:p w14:paraId="392BF53F" w14:textId="77777777" w:rsidR="00980E5F" w:rsidRDefault="00483613">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92BF540"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43"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46" w14:textId="77777777" w:rsidR="00980E5F" w:rsidRDefault="00483613">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392BF5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49"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4C"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4F" w14:textId="77777777" w:rsidR="00980E5F" w:rsidRDefault="00483613">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392BF550" w14:textId="77777777" w:rsidR="00980E5F" w:rsidRDefault="00980E5F">
            <w:pPr>
              <w:jc w:val="right"/>
              <w:rPr>
                <w:rFonts w:ascii="宋体"/>
              </w:rPr>
            </w:pPr>
          </w:p>
        </w:tc>
        <w:tc>
          <w:tcPr>
            <w:tcW w:w="0" w:type="auto"/>
            <w:shd w:val="clear" w:color="auto" w:fill="auto"/>
            <w:vAlign w:val="bottom"/>
          </w:tcPr>
          <w:p w14:paraId="392BF551" w14:textId="77777777" w:rsidR="00980E5F" w:rsidRDefault="00980E5F">
            <w:pPr>
              <w:rPr>
                <w:rFonts w:ascii="宋体"/>
                <w:vanish/>
              </w:rPr>
            </w:pPr>
          </w:p>
        </w:tc>
      </w:tr>
      <w:tr w:rsidR="00980E5F" w14:paraId="392BF566" w14:textId="77777777">
        <w:tc>
          <w:tcPr>
            <w:tcW w:w="0" w:type="auto"/>
            <w:gridSpan w:val="3"/>
            <w:shd w:val="clear" w:color="auto" w:fill="CCEEFF"/>
            <w:tcMar>
              <w:top w:w="40" w:type="dxa"/>
              <w:left w:w="20" w:type="dxa"/>
              <w:bottom w:w="40" w:type="dxa"/>
              <w:right w:w="20" w:type="dxa"/>
            </w:tcMar>
            <w:vAlign w:val="bottom"/>
          </w:tcPr>
          <w:p w14:paraId="392BF553" w14:textId="77777777" w:rsidR="00980E5F" w:rsidRDefault="00483613">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54" w14:textId="77777777" w:rsidR="00980E5F" w:rsidRDefault="00483613">
            <w:pPr>
              <w:jc w:val="right"/>
              <w:textAlignment w:val="bottom"/>
            </w:pPr>
            <w:r>
              <w:rPr>
                <w:rFonts w:ascii="Arial" w:eastAsia="宋体" w:hAnsi="Arial" w:cs="Arial"/>
                <w:color w:val="000000"/>
                <w:sz w:val="15"/>
                <w:szCs w:val="15"/>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5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57" w14:textId="77777777" w:rsidR="00980E5F" w:rsidRDefault="00483613">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5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5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5A" w14:textId="77777777" w:rsidR="00980E5F" w:rsidRDefault="00483613">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5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5D" w14:textId="77777777" w:rsidR="00980E5F" w:rsidRDefault="00483613">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5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60" w14:textId="77777777" w:rsidR="00980E5F" w:rsidRDefault="00483613">
            <w:pPr>
              <w:jc w:val="right"/>
              <w:textAlignment w:val="bottom"/>
            </w:pPr>
            <w:r>
              <w:rPr>
                <w:rFonts w:ascii="Arial" w:eastAsia="宋体" w:hAnsi="Arial" w:cs="Arial"/>
                <w:color w:val="000000"/>
                <w:sz w:val="15"/>
                <w:szCs w:val="15"/>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6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63" w14:textId="77777777" w:rsidR="00980E5F" w:rsidRDefault="00483613">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64" w14:textId="77777777" w:rsidR="00980E5F" w:rsidRDefault="00980E5F">
            <w:pPr>
              <w:jc w:val="right"/>
              <w:rPr>
                <w:rFonts w:ascii="宋体"/>
              </w:rPr>
            </w:pPr>
          </w:p>
        </w:tc>
        <w:tc>
          <w:tcPr>
            <w:tcW w:w="0" w:type="auto"/>
            <w:shd w:val="clear" w:color="auto" w:fill="auto"/>
            <w:vAlign w:val="bottom"/>
          </w:tcPr>
          <w:p w14:paraId="392BF565" w14:textId="77777777" w:rsidR="00980E5F" w:rsidRDefault="00980E5F">
            <w:pPr>
              <w:rPr>
                <w:rFonts w:ascii="宋体"/>
                <w:vanish/>
              </w:rPr>
            </w:pPr>
          </w:p>
        </w:tc>
      </w:tr>
      <w:tr w:rsidR="00980E5F" w14:paraId="392BF57A" w14:textId="77777777">
        <w:tc>
          <w:tcPr>
            <w:tcW w:w="0" w:type="auto"/>
            <w:gridSpan w:val="3"/>
            <w:shd w:val="clear" w:color="auto" w:fill="FFFFFF"/>
            <w:tcMar>
              <w:top w:w="40" w:type="dxa"/>
              <w:left w:w="155" w:type="dxa"/>
              <w:bottom w:w="40" w:type="dxa"/>
              <w:right w:w="20" w:type="dxa"/>
            </w:tcMar>
            <w:vAlign w:val="bottom"/>
          </w:tcPr>
          <w:p w14:paraId="392BF567" w14:textId="77777777" w:rsidR="00980E5F" w:rsidRDefault="00483613">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92BF568" w14:textId="77777777" w:rsidR="00980E5F" w:rsidRDefault="00483613">
            <w:pPr>
              <w:jc w:val="right"/>
              <w:textAlignment w:val="bottom"/>
            </w:pPr>
            <w:r>
              <w:rPr>
                <w:rFonts w:ascii="Arial" w:eastAsia="宋体" w:hAnsi="Arial" w:cs="Arial"/>
                <w:color w:val="000000"/>
                <w:sz w:val="15"/>
                <w:szCs w:val="15"/>
              </w:rPr>
              <w:t>148 </w:t>
            </w:r>
          </w:p>
        </w:tc>
        <w:tc>
          <w:tcPr>
            <w:tcW w:w="0" w:type="auto"/>
            <w:shd w:val="clear" w:color="auto" w:fill="FFFFFF"/>
            <w:tcMar>
              <w:top w:w="40" w:type="dxa"/>
              <w:left w:w="0" w:type="dxa"/>
              <w:bottom w:w="40" w:type="dxa"/>
              <w:right w:w="20" w:type="dxa"/>
            </w:tcMar>
            <w:vAlign w:val="bottom"/>
          </w:tcPr>
          <w:p w14:paraId="392BF56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6B" w14:textId="77777777" w:rsidR="00980E5F" w:rsidRDefault="00483613">
            <w:pPr>
              <w:jc w:val="right"/>
              <w:textAlignment w:val="bottom"/>
            </w:pPr>
            <w:r>
              <w:rPr>
                <w:rFonts w:ascii="Arial" w:eastAsia="宋体" w:hAnsi="Arial" w:cs="Arial"/>
                <w:color w:val="000000"/>
                <w:sz w:val="15"/>
                <w:szCs w:val="15"/>
              </w:rPr>
              <w:t>(24)</w:t>
            </w:r>
          </w:p>
        </w:tc>
        <w:tc>
          <w:tcPr>
            <w:tcW w:w="0" w:type="auto"/>
            <w:shd w:val="clear" w:color="auto" w:fill="FFFFFF"/>
            <w:tcMar>
              <w:top w:w="40" w:type="dxa"/>
              <w:left w:w="0" w:type="dxa"/>
              <w:bottom w:w="40" w:type="dxa"/>
              <w:right w:w="20" w:type="dxa"/>
            </w:tcMar>
            <w:vAlign w:val="bottom"/>
          </w:tcPr>
          <w:p w14:paraId="392BF56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6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6E"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7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71" w14:textId="77777777" w:rsidR="00980E5F" w:rsidRDefault="00483613">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92BF5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74" w14:textId="77777777" w:rsidR="00980E5F" w:rsidRDefault="00483613">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392BF5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77" w14:textId="77777777" w:rsidR="00980E5F" w:rsidRDefault="00483613">
            <w:pPr>
              <w:jc w:val="right"/>
              <w:textAlignment w:val="bottom"/>
            </w:pPr>
            <w:r>
              <w:rPr>
                <w:rFonts w:ascii="Arial" w:eastAsia="宋体" w:hAnsi="Arial" w:cs="Arial"/>
                <w:color w:val="000000"/>
                <w:sz w:val="15"/>
                <w:szCs w:val="15"/>
              </w:rPr>
              <w:t>116 </w:t>
            </w:r>
          </w:p>
        </w:tc>
        <w:tc>
          <w:tcPr>
            <w:tcW w:w="0" w:type="auto"/>
            <w:shd w:val="clear" w:color="auto" w:fill="FFFFFF"/>
            <w:tcMar>
              <w:top w:w="40" w:type="dxa"/>
              <w:left w:w="0" w:type="dxa"/>
              <w:bottom w:w="40" w:type="dxa"/>
              <w:right w:w="20" w:type="dxa"/>
            </w:tcMar>
            <w:vAlign w:val="bottom"/>
          </w:tcPr>
          <w:p w14:paraId="392BF578" w14:textId="77777777" w:rsidR="00980E5F" w:rsidRDefault="00980E5F">
            <w:pPr>
              <w:jc w:val="right"/>
              <w:rPr>
                <w:rFonts w:ascii="宋体"/>
              </w:rPr>
            </w:pPr>
          </w:p>
        </w:tc>
        <w:tc>
          <w:tcPr>
            <w:tcW w:w="0" w:type="auto"/>
            <w:shd w:val="clear" w:color="auto" w:fill="auto"/>
            <w:vAlign w:val="bottom"/>
          </w:tcPr>
          <w:p w14:paraId="392BF579" w14:textId="77777777" w:rsidR="00980E5F" w:rsidRDefault="00980E5F">
            <w:pPr>
              <w:rPr>
                <w:rFonts w:ascii="宋体"/>
                <w:vanish/>
              </w:rPr>
            </w:pPr>
          </w:p>
        </w:tc>
      </w:tr>
      <w:tr w:rsidR="00980E5F" w14:paraId="392BF58E" w14:textId="77777777">
        <w:tc>
          <w:tcPr>
            <w:tcW w:w="0" w:type="auto"/>
            <w:gridSpan w:val="3"/>
            <w:shd w:val="clear" w:color="auto" w:fill="CCEEFF"/>
            <w:tcMar>
              <w:top w:w="40" w:type="dxa"/>
              <w:left w:w="155" w:type="dxa"/>
              <w:bottom w:w="40" w:type="dxa"/>
              <w:right w:w="20" w:type="dxa"/>
            </w:tcMar>
            <w:vAlign w:val="bottom"/>
          </w:tcPr>
          <w:p w14:paraId="392BF57B" w14:textId="77777777" w:rsidR="00980E5F" w:rsidRDefault="00483613">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92BF57C" w14:textId="77777777" w:rsidR="00980E5F" w:rsidRDefault="00483613">
            <w:pPr>
              <w:jc w:val="right"/>
              <w:textAlignment w:val="bottom"/>
            </w:pPr>
            <w:r>
              <w:rPr>
                <w:rFonts w:ascii="Arial" w:eastAsia="宋体" w:hAnsi="Arial" w:cs="Arial"/>
                <w:color w:val="000000"/>
                <w:sz w:val="15"/>
                <w:szCs w:val="15"/>
              </w:rPr>
              <w:t>(23)</w:t>
            </w:r>
          </w:p>
        </w:tc>
        <w:tc>
          <w:tcPr>
            <w:tcW w:w="0" w:type="auto"/>
            <w:shd w:val="clear" w:color="auto" w:fill="CCEEFF"/>
            <w:tcMar>
              <w:top w:w="40" w:type="dxa"/>
              <w:left w:w="0" w:type="dxa"/>
              <w:bottom w:w="40" w:type="dxa"/>
              <w:right w:w="20" w:type="dxa"/>
            </w:tcMar>
            <w:vAlign w:val="bottom"/>
          </w:tcPr>
          <w:p w14:paraId="392BF5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7F" w14:textId="77777777" w:rsidR="00980E5F" w:rsidRDefault="00483613">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92BF5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8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8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5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8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85"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F58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8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88"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F5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8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8B" w14:textId="77777777" w:rsidR="00980E5F" w:rsidRDefault="00483613">
            <w:pPr>
              <w:jc w:val="right"/>
              <w:textAlignment w:val="bottom"/>
            </w:pPr>
            <w:r>
              <w:rPr>
                <w:rFonts w:ascii="Arial" w:eastAsia="宋体" w:hAnsi="Arial" w:cs="Arial"/>
                <w:color w:val="000000"/>
                <w:sz w:val="15"/>
                <w:szCs w:val="15"/>
              </w:rPr>
              <w:t>(31)</w:t>
            </w:r>
          </w:p>
        </w:tc>
        <w:tc>
          <w:tcPr>
            <w:tcW w:w="0" w:type="auto"/>
            <w:shd w:val="clear" w:color="auto" w:fill="CCEEFF"/>
            <w:tcMar>
              <w:top w:w="40" w:type="dxa"/>
              <w:left w:w="0" w:type="dxa"/>
              <w:bottom w:w="40" w:type="dxa"/>
              <w:right w:w="20" w:type="dxa"/>
            </w:tcMar>
            <w:vAlign w:val="bottom"/>
          </w:tcPr>
          <w:p w14:paraId="392BF58C" w14:textId="77777777" w:rsidR="00980E5F" w:rsidRDefault="00980E5F">
            <w:pPr>
              <w:jc w:val="right"/>
              <w:rPr>
                <w:rFonts w:ascii="宋体"/>
              </w:rPr>
            </w:pPr>
          </w:p>
        </w:tc>
        <w:tc>
          <w:tcPr>
            <w:tcW w:w="0" w:type="auto"/>
            <w:shd w:val="clear" w:color="auto" w:fill="auto"/>
            <w:vAlign w:val="bottom"/>
          </w:tcPr>
          <w:p w14:paraId="392BF58D" w14:textId="77777777" w:rsidR="00980E5F" w:rsidRDefault="00980E5F">
            <w:pPr>
              <w:rPr>
                <w:rFonts w:ascii="宋体"/>
                <w:vanish/>
              </w:rPr>
            </w:pPr>
          </w:p>
        </w:tc>
      </w:tr>
      <w:tr w:rsidR="00980E5F" w14:paraId="392BF5A2" w14:textId="77777777">
        <w:tc>
          <w:tcPr>
            <w:tcW w:w="0" w:type="auto"/>
            <w:gridSpan w:val="3"/>
            <w:shd w:val="clear" w:color="auto" w:fill="FFFFFF"/>
            <w:tcMar>
              <w:top w:w="40" w:type="dxa"/>
              <w:left w:w="20" w:type="dxa"/>
              <w:bottom w:w="40" w:type="dxa"/>
              <w:right w:w="20" w:type="dxa"/>
            </w:tcMar>
            <w:vAlign w:val="bottom"/>
          </w:tcPr>
          <w:p w14:paraId="392BF58F" w14:textId="77777777" w:rsidR="00980E5F" w:rsidRDefault="00483613">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0" w14:textId="77777777" w:rsidR="00980E5F" w:rsidRDefault="00483613">
            <w:pPr>
              <w:jc w:val="right"/>
              <w:textAlignment w:val="bottom"/>
            </w:pPr>
            <w:r>
              <w:rPr>
                <w:rFonts w:ascii="Arial" w:eastAsia="宋体" w:hAnsi="Arial" w:cs="Arial"/>
                <w:color w:val="000000"/>
                <w:sz w:val="15"/>
                <w:szCs w:val="15"/>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9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3" w14:textId="77777777" w:rsidR="00980E5F" w:rsidRDefault="00483613">
            <w:pPr>
              <w:jc w:val="right"/>
              <w:textAlignment w:val="bottom"/>
            </w:pPr>
            <w:r>
              <w:rPr>
                <w:rFonts w:ascii="Arial" w:eastAsia="宋体" w:hAnsi="Arial" w:cs="Arial"/>
                <w:color w:val="000000"/>
                <w:sz w:val="15"/>
                <w:szCs w:val="15"/>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9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6" w14:textId="77777777" w:rsidR="00980E5F" w:rsidRDefault="00483613">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9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9" w14:textId="77777777" w:rsidR="00980E5F" w:rsidRDefault="00483613">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9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C" w14:textId="77777777" w:rsidR="00980E5F" w:rsidRDefault="00483613">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9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59F" w14:textId="77777777" w:rsidR="00980E5F" w:rsidRDefault="00483613">
            <w:pPr>
              <w:jc w:val="right"/>
              <w:textAlignment w:val="bottom"/>
            </w:pPr>
            <w:r>
              <w:rPr>
                <w:rFonts w:ascii="Arial" w:eastAsia="宋体" w:hAnsi="Arial" w:cs="Arial"/>
                <w:color w:val="000000"/>
                <w:sz w:val="15"/>
                <w:szCs w:val="15"/>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5A0" w14:textId="77777777" w:rsidR="00980E5F" w:rsidRDefault="00980E5F">
            <w:pPr>
              <w:jc w:val="right"/>
              <w:rPr>
                <w:rFonts w:ascii="宋体"/>
              </w:rPr>
            </w:pPr>
          </w:p>
        </w:tc>
        <w:tc>
          <w:tcPr>
            <w:tcW w:w="0" w:type="auto"/>
            <w:shd w:val="clear" w:color="auto" w:fill="auto"/>
            <w:vAlign w:val="bottom"/>
          </w:tcPr>
          <w:p w14:paraId="392BF5A1" w14:textId="77777777" w:rsidR="00980E5F" w:rsidRDefault="00980E5F">
            <w:pPr>
              <w:rPr>
                <w:rFonts w:ascii="宋体"/>
                <w:vanish/>
              </w:rPr>
            </w:pPr>
          </w:p>
        </w:tc>
      </w:tr>
      <w:tr w:rsidR="00980E5F" w14:paraId="392BF5B6" w14:textId="77777777">
        <w:tc>
          <w:tcPr>
            <w:tcW w:w="0" w:type="auto"/>
            <w:gridSpan w:val="3"/>
            <w:shd w:val="clear" w:color="auto" w:fill="CCEEFF"/>
            <w:tcMar>
              <w:top w:w="40" w:type="dxa"/>
              <w:left w:w="20" w:type="dxa"/>
              <w:bottom w:w="40" w:type="dxa"/>
              <w:right w:w="20" w:type="dxa"/>
            </w:tcMar>
            <w:vAlign w:val="bottom"/>
          </w:tcPr>
          <w:p w14:paraId="392BF5A3" w14:textId="77777777" w:rsidR="00980E5F" w:rsidRDefault="00483613">
            <w:pPr>
              <w:textAlignment w:val="bottom"/>
            </w:pPr>
            <w:r>
              <w:rPr>
                <w:rFonts w:ascii="Arial" w:eastAsia="宋体" w:hAnsi="Arial" w:cs="Arial"/>
                <w:b/>
                <w:bCs/>
                <w:color w:val="000000"/>
                <w:sz w:val="15"/>
                <w:szCs w:val="15"/>
              </w:rPr>
              <w:t>Balance as of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A4" w14:textId="77777777" w:rsidR="00980E5F" w:rsidRDefault="00483613">
            <w:pPr>
              <w:jc w:val="right"/>
              <w:textAlignment w:val="bottom"/>
            </w:pPr>
            <w:r>
              <w:rPr>
                <w:rFonts w:ascii="Arial" w:eastAsia="宋体" w:hAnsi="Arial" w:cs="Arial"/>
                <w:color w:val="000000"/>
                <w:sz w:val="15"/>
                <w:szCs w:val="15"/>
              </w:rPr>
              <w:t>2,282 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A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A7" w14:textId="77777777" w:rsidR="00980E5F" w:rsidRDefault="00483613">
            <w:pPr>
              <w:jc w:val="right"/>
              <w:textAlignment w:val="bottom"/>
            </w:pPr>
            <w:r>
              <w:rPr>
                <w:rFonts w:ascii="Arial" w:eastAsia="宋体" w:hAnsi="Arial" w:cs="Arial"/>
                <w:color w:val="000000"/>
                <w:sz w:val="15"/>
                <w:szCs w:val="15"/>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A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AA" w14:textId="77777777" w:rsidR="00980E5F" w:rsidRDefault="00483613">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A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A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AD" w14:textId="77777777" w:rsidR="00980E5F" w:rsidRDefault="00483613">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A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B0" w14:textId="77777777" w:rsidR="00980E5F" w:rsidRDefault="00483613">
            <w:pPr>
              <w:jc w:val="right"/>
              <w:textAlignment w:val="bottom"/>
            </w:pPr>
            <w:r>
              <w:rPr>
                <w:rFonts w:ascii="Arial" w:eastAsia="宋体" w:hAnsi="Arial" w:cs="Arial"/>
                <w:color w:val="000000"/>
                <w:sz w:val="15"/>
                <w:szCs w:val="15"/>
              </w:rPr>
              <w:t>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B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B3" w14:textId="77777777" w:rsidR="00980E5F" w:rsidRDefault="00483613">
            <w:pPr>
              <w:jc w:val="right"/>
              <w:textAlignment w:val="bottom"/>
            </w:pPr>
            <w:r>
              <w:rPr>
                <w:rFonts w:ascii="Arial" w:eastAsia="宋体" w:hAnsi="Arial" w:cs="Arial"/>
                <w:color w:val="000000"/>
                <w:sz w:val="15"/>
                <w:szCs w:val="15"/>
              </w:rPr>
              <w:t>3,591 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B4" w14:textId="77777777" w:rsidR="00980E5F" w:rsidRDefault="00980E5F">
            <w:pPr>
              <w:jc w:val="right"/>
              <w:rPr>
                <w:rFonts w:ascii="宋体"/>
              </w:rPr>
            </w:pPr>
          </w:p>
        </w:tc>
        <w:tc>
          <w:tcPr>
            <w:tcW w:w="0" w:type="auto"/>
            <w:shd w:val="clear" w:color="auto" w:fill="auto"/>
            <w:vAlign w:val="bottom"/>
          </w:tcPr>
          <w:p w14:paraId="392BF5B5" w14:textId="77777777" w:rsidR="00980E5F" w:rsidRDefault="00980E5F">
            <w:pPr>
              <w:rPr>
                <w:rFonts w:ascii="宋体"/>
                <w:vanish/>
              </w:rPr>
            </w:pPr>
          </w:p>
        </w:tc>
      </w:tr>
      <w:tr w:rsidR="00980E5F" w14:paraId="392BF5CA" w14:textId="77777777">
        <w:tc>
          <w:tcPr>
            <w:tcW w:w="0" w:type="auto"/>
            <w:gridSpan w:val="3"/>
            <w:shd w:val="clear" w:color="auto" w:fill="FFFFFF"/>
            <w:tcMar>
              <w:top w:w="40" w:type="dxa"/>
              <w:left w:w="20" w:type="dxa"/>
              <w:bottom w:w="40" w:type="dxa"/>
              <w:right w:w="20" w:type="dxa"/>
            </w:tcMar>
            <w:vAlign w:val="bottom"/>
          </w:tcPr>
          <w:p w14:paraId="392BF5B7" w14:textId="77777777" w:rsidR="00980E5F" w:rsidRDefault="00483613">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392BF5B8" w14:textId="77777777" w:rsidR="00980E5F" w:rsidRDefault="00483613">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92BF5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BB" w14:textId="77777777" w:rsidR="00980E5F" w:rsidRDefault="00483613">
            <w:pPr>
              <w:jc w:val="right"/>
              <w:textAlignment w:val="bottom"/>
            </w:pPr>
            <w:r>
              <w:rPr>
                <w:rFonts w:ascii="Arial" w:eastAsia="宋体" w:hAnsi="Arial" w:cs="Arial"/>
                <w:color w:val="000000"/>
                <w:sz w:val="15"/>
                <w:szCs w:val="15"/>
              </w:rPr>
              <w:t>37 </w:t>
            </w:r>
          </w:p>
        </w:tc>
        <w:tc>
          <w:tcPr>
            <w:tcW w:w="0" w:type="auto"/>
            <w:shd w:val="clear" w:color="auto" w:fill="FFFFFF"/>
            <w:tcMar>
              <w:top w:w="40" w:type="dxa"/>
              <w:left w:w="0" w:type="dxa"/>
              <w:bottom w:w="40" w:type="dxa"/>
              <w:right w:w="20" w:type="dxa"/>
            </w:tcMar>
            <w:vAlign w:val="bottom"/>
          </w:tcPr>
          <w:p w14:paraId="392BF5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B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BE"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B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C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C1" w14:textId="77777777" w:rsidR="00980E5F" w:rsidRDefault="00483613">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392BF5C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C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C4"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BF5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C7" w14:textId="77777777" w:rsidR="00980E5F" w:rsidRDefault="00483613">
            <w:pPr>
              <w:jc w:val="right"/>
              <w:textAlignment w:val="bottom"/>
            </w:pPr>
            <w:r>
              <w:rPr>
                <w:rFonts w:ascii="Arial" w:eastAsia="宋体" w:hAnsi="Arial" w:cs="Arial"/>
                <w:color w:val="000000"/>
                <w:sz w:val="15"/>
                <w:szCs w:val="15"/>
              </w:rPr>
              <w:t>55 </w:t>
            </w:r>
          </w:p>
        </w:tc>
        <w:tc>
          <w:tcPr>
            <w:tcW w:w="0" w:type="auto"/>
            <w:shd w:val="clear" w:color="auto" w:fill="FFFFFF"/>
            <w:tcMar>
              <w:top w:w="40" w:type="dxa"/>
              <w:left w:w="0" w:type="dxa"/>
              <w:bottom w:w="40" w:type="dxa"/>
              <w:right w:w="20" w:type="dxa"/>
            </w:tcMar>
            <w:vAlign w:val="bottom"/>
          </w:tcPr>
          <w:p w14:paraId="392BF5C8" w14:textId="77777777" w:rsidR="00980E5F" w:rsidRDefault="00980E5F">
            <w:pPr>
              <w:jc w:val="right"/>
              <w:rPr>
                <w:rFonts w:ascii="宋体"/>
              </w:rPr>
            </w:pPr>
          </w:p>
        </w:tc>
        <w:tc>
          <w:tcPr>
            <w:tcW w:w="0" w:type="auto"/>
            <w:shd w:val="clear" w:color="auto" w:fill="auto"/>
            <w:vAlign w:val="bottom"/>
          </w:tcPr>
          <w:p w14:paraId="392BF5C9" w14:textId="77777777" w:rsidR="00980E5F" w:rsidRDefault="00980E5F">
            <w:pPr>
              <w:rPr>
                <w:rFonts w:ascii="宋体"/>
                <w:vanish/>
              </w:rPr>
            </w:pPr>
          </w:p>
        </w:tc>
      </w:tr>
      <w:tr w:rsidR="00980E5F" w14:paraId="392BF5DE" w14:textId="77777777">
        <w:tc>
          <w:tcPr>
            <w:tcW w:w="0" w:type="auto"/>
            <w:gridSpan w:val="3"/>
            <w:shd w:val="clear" w:color="auto" w:fill="CCEEFF"/>
            <w:tcMar>
              <w:top w:w="40" w:type="dxa"/>
              <w:left w:w="20" w:type="dxa"/>
              <w:bottom w:w="40" w:type="dxa"/>
              <w:right w:w="20" w:type="dxa"/>
            </w:tcMar>
            <w:vAlign w:val="bottom"/>
          </w:tcPr>
          <w:p w14:paraId="392BF5CB" w14:textId="77777777" w:rsidR="00980E5F" w:rsidRDefault="00483613">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92BF5CC" w14:textId="77777777" w:rsidR="00980E5F" w:rsidRDefault="00483613">
            <w:pPr>
              <w:jc w:val="right"/>
              <w:textAlignment w:val="bottom"/>
            </w:pPr>
            <w:r>
              <w:rPr>
                <w:rFonts w:ascii="Arial" w:eastAsia="宋体" w:hAnsi="Arial" w:cs="Arial"/>
                <w:color w:val="000000"/>
                <w:sz w:val="15"/>
                <w:szCs w:val="15"/>
              </w:rPr>
              <w:t>15 </w:t>
            </w:r>
          </w:p>
        </w:tc>
        <w:tc>
          <w:tcPr>
            <w:tcW w:w="0" w:type="auto"/>
            <w:shd w:val="clear" w:color="auto" w:fill="CCEEFF"/>
            <w:tcMar>
              <w:top w:w="40" w:type="dxa"/>
              <w:left w:w="0" w:type="dxa"/>
              <w:bottom w:w="40" w:type="dxa"/>
              <w:right w:w="20" w:type="dxa"/>
            </w:tcMar>
            <w:vAlign w:val="bottom"/>
          </w:tcPr>
          <w:p w14:paraId="392BF5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CF" w14:textId="77777777" w:rsidR="00980E5F" w:rsidRDefault="00483613">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92BF5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D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D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5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D5"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5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D8"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92BF5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5DB" w14:textId="77777777" w:rsidR="00980E5F" w:rsidRDefault="00483613">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392BF5DC" w14:textId="77777777" w:rsidR="00980E5F" w:rsidRDefault="00980E5F">
            <w:pPr>
              <w:jc w:val="right"/>
              <w:rPr>
                <w:rFonts w:ascii="宋体"/>
              </w:rPr>
            </w:pPr>
          </w:p>
        </w:tc>
        <w:tc>
          <w:tcPr>
            <w:tcW w:w="0" w:type="auto"/>
            <w:shd w:val="clear" w:color="auto" w:fill="auto"/>
            <w:vAlign w:val="bottom"/>
          </w:tcPr>
          <w:p w14:paraId="392BF5DD" w14:textId="77777777" w:rsidR="00980E5F" w:rsidRDefault="00980E5F">
            <w:pPr>
              <w:rPr>
                <w:rFonts w:ascii="宋体"/>
                <w:vanish/>
              </w:rPr>
            </w:pPr>
          </w:p>
        </w:tc>
      </w:tr>
      <w:tr w:rsidR="00980E5F" w14:paraId="392BF5F2" w14:textId="77777777">
        <w:tc>
          <w:tcPr>
            <w:tcW w:w="0" w:type="auto"/>
            <w:gridSpan w:val="3"/>
            <w:shd w:val="clear" w:color="auto" w:fill="FFFFFF"/>
            <w:tcMar>
              <w:top w:w="40" w:type="dxa"/>
              <w:left w:w="20" w:type="dxa"/>
              <w:bottom w:w="40" w:type="dxa"/>
              <w:right w:w="20" w:type="dxa"/>
            </w:tcMar>
            <w:vAlign w:val="bottom"/>
          </w:tcPr>
          <w:p w14:paraId="392BF5DF" w14:textId="77777777" w:rsidR="00980E5F" w:rsidRDefault="00483613">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92BF5E0"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E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E3"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E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E6" w14:textId="77777777" w:rsidR="00980E5F" w:rsidRDefault="00483613">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392BF5E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E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E9"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E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EC"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5E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5E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5EF" w14:textId="77777777" w:rsidR="00980E5F" w:rsidRDefault="00483613">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392BF5F0" w14:textId="77777777" w:rsidR="00980E5F" w:rsidRDefault="00980E5F">
            <w:pPr>
              <w:jc w:val="right"/>
              <w:rPr>
                <w:rFonts w:ascii="宋体"/>
              </w:rPr>
            </w:pPr>
          </w:p>
        </w:tc>
        <w:tc>
          <w:tcPr>
            <w:tcW w:w="0" w:type="auto"/>
            <w:shd w:val="clear" w:color="auto" w:fill="auto"/>
            <w:vAlign w:val="bottom"/>
          </w:tcPr>
          <w:p w14:paraId="392BF5F1" w14:textId="77777777" w:rsidR="00980E5F" w:rsidRDefault="00980E5F">
            <w:pPr>
              <w:rPr>
                <w:rFonts w:ascii="宋体"/>
                <w:vanish/>
              </w:rPr>
            </w:pPr>
          </w:p>
        </w:tc>
      </w:tr>
      <w:tr w:rsidR="00980E5F" w14:paraId="392BF606" w14:textId="77777777">
        <w:tc>
          <w:tcPr>
            <w:tcW w:w="0" w:type="auto"/>
            <w:gridSpan w:val="3"/>
            <w:shd w:val="clear" w:color="auto" w:fill="CCEEFF"/>
            <w:tcMar>
              <w:top w:w="40" w:type="dxa"/>
              <w:left w:w="20" w:type="dxa"/>
              <w:bottom w:w="40" w:type="dxa"/>
              <w:right w:w="20" w:type="dxa"/>
            </w:tcMar>
            <w:vAlign w:val="bottom"/>
          </w:tcPr>
          <w:p w14:paraId="392BF5F3" w14:textId="77777777" w:rsidR="00980E5F" w:rsidRDefault="00483613">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F4" w14:textId="77777777" w:rsidR="00980E5F" w:rsidRDefault="00483613">
            <w:pPr>
              <w:jc w:val="right"/>
              <w:textAlignment w:val="bottom"/>
            </w:pPr>
            <w:r>
              <w:rPr>
                <w:rFonts w:ascii="Arial" w:eastAsia="宋体" w:hAnsi="Arial" w:cs="Arial"/>
                <w:color w:val="000000"/>
                <w:sz w:val="15"/>
                <w:szCs w:val="15"/>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F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F7" w14:textId="77777777" w:rsidR="00980E5F" w:rsidRDefault="00483613">
            <w:pPr>
              <w:jc w:val="right"/>
              <w:textAlignment w:val="bottom"/>
            </w:pPr>
            <w:r>
              <w:rPr>
                <w:rFonts w:ascii="Arial" w:eastAsia="宋体" w:hAnsi="Arial" w:cs="Arial"/>
                <w:color w:val="000000"/>
                <w:sz w:val="15"/>
                <w:szCs w:val="15"/>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F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FA" w14:textId="77777777" w:rsidR="00980E5F" w:rsidRDefault="00483613">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F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5FD" w14:textId="77777777" w:rsidR="00980E5F" w:rsidRDefault="00483613">
            <w:pPr>
              <w:jc w:val="right"/>
              <w:textAlignment w:val="bottom"/>
            </w:pPr>
            <w:r>
              <w:rPr>
                <w:rFonts w:ascii="Arial" w:eastAsia="宋体" w:hAnsi="Arial" w:cs="Arial"/>
                <w:color w:val="000000"/>
                <w:sz w:val="15"/>
                <w:szCs w:val="15"/>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5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5F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600" w14:textId="77777777" w:rsidR="00980E5F" w:rsidRDefault="00483613">
            <w:pPr>
              <w:jc w:val="right"/>
              <w:textAlignment w:val="bottom"/>
            </w:pPr>
            <w:r>
              <w:rPr>
                <w:rFonts w:ascii="Arial" w:eastAsia="宋体" w:hAnsi="Arial" w:cs="Arial"/>
                <w:color w:val="000000"/>
                <w:sz w:val="15"/>
                <w:szCs w:val="15"/>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0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603" w14:textId="77777777" w:rsidR="00980E5F" w:rsidRDefault="00483613">
            <w:pPr>
              <w:jc w:val="right"/>
              <w:textAlignment w:val="bottom"/>
            </w:pPr>
            <w:r>
              <w:rPr>
                <w:rFonts w:ascii="Arial" w:eastAsia="宋体" w:hAnsi="Arial" w:cs="Arial"/>
                <w:color w:val="000000"/>
                <w:sz w:val="15"/>
                <w:szCs w:val="15"/>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04" w14:textId="77777777" w:rsidR="00980E5F" w:rsidRDefault="00980E5F">
            <w:pPr>
              <w:jc w:val="right"/>
              <w:rPr>
                <w:rFonts w:ascii="宋体"/>
              </w:rPr>
            </w:pPr>
          </w:p>
        </w:tc>
        <w:tc>
          <w:tcPr>
            <w:tcW w:w="0" w:type="auto"/>
            <w:shd w:val="clear" w:color="auto" w:fill="auto"/>
            <w:vAlign w:val="bottom"/>
          </w:tcPr>
          <w:p w14:paraId="392BF605" w14:textId="77777777" w:rsidR="00980E5F" w:rsidRDefault="00980E5F">
            <w:pPr>
              <w:rPr>
                <w:rFonts w:ascii="宋体"/>
                <w:vanish/>
              </w:rPr>
            </w:pPr>
          </w:p>
        </w:tc>
      </w:tr>
      <w:tr w:rsidR="00980E5F" w14:paraId="392BF61A" w14:textId="77777777">
        <w:tc>
          <w:tcPr>
            <w:tcW w:w="0" w:type="auto"/>
            <w:gridSpan w:val="3"/>
            <w:shd w:val="clear" w:color="auto" w:fill="FFFFFF"/>
            <w:tcMar>
              <w:top w:w="40" w:type="dxa"/>
              <w:left w:w="155" w:type="dxa"/>
              <w:bottom w:w="40" w:type="dxa"/>
              <w:right w:w="20" w:type="dxa"/>
            </w:tcMar>
            <w:vAlign w:val="bottom"/>
          </w:tcPr>
          <w:p w14:paraId="392BF607" w14:textId="77777777" w:rsidR="00980E5F" w:rsidRDefault="00483613">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92BF608" w14:textId="77777777" w:rsidR="00980E5F" w:rsidRDefault="00483613">
            <w:pPr>
              <w:jc w:val="right"/>
              <w:textAlignment w:val="bottom"/>
            </w:pPr>
            <w:r>
              <w:rPr>
                <w:rFonts w:ascii="Arial" w:eastAsia="宋体" w:hAnsi="Arial" w:cs="Arial"/>
                <w:color w:val="000000"/>
                <w:sz w:val="15"/>
                <w:szCs w:val="15"/>
              </w:rPr>
              <w:t>152 </w:t>
            </w:r>
          </w:p>
        </w:tc>
        <w:tc>
          <w:tcPr>
            <w:tcW w:w="0" w:type="auto"/>
            <w:shd w:val="clear" w:color="auto" w:fill="FFFFFF"/>
            <w:tcMar>
              <w:top w:w="40" w:type="dxa"/>
              <w:left w:w="0" w:type="dxa"/>
              <w:bottom w:w="40" w:type="dxa"/>
              <w:right w:w="20" w:type="dxa"/>
            </w:tcMar>
            <w:vAlign w:val="bottom"/>
          </w:tcPr>
          <w:p w14:paraId="392BF6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0B"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392BF6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0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0E"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BF6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11" w14:textId="77777777" w:rsidR="00980E5F" w:rsidRDefault="00483613">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92BF6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14" w14:textId="77777777" w:rsidR="00980E5F" w:rsidRDefault="00483613">
            <w:pPr>
              <w:jc w:val="right"/>
              <w:textAlignment w:val="bottom"/>
            </w:pPr>
            <w:r>
              <w:rPr>
                <w:rFonts w:ascii="Arial" w:eastAsia="宋体" w:hAnsi="Arial" w:cs="Arial"/>
                <w:color w:val="000000"/>
                <w:sz w:val="15"/>
                <w:szCs w:val="15"/>
              </w:rPr>
              <w:t>45 </w:t>
            </w:r>
          </w:p>
        </w:tc>
        <w:tc>
          <w:tcPr>
            <w:tcW w:w="0" w:type="auto"/>
            <w:shd w:val="clear" w:color="auto" w:fill="FFFFFF"/>
            <w:tcMar>
              <w:top w:w="40" w:type="dxa"/>
              <w:left w:w="0" w:type="dxa"/>
              <w:bottom w:w="40" w:type="dxa"/>
              <w:right w:w="20" w:type="dxa"/>
            </w:tcMar>
            <w:vAlign w:val="bottom"/>
          </w:tcPr>
          <w:p w14:paraId="392BF6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1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17" w14:textId="77777777" w:rsidR="00980E5F" w:rsidRDefault="00483613">
            <w:pPr>
              <w:jc w:val="right"/>
              <w:textAlignment w:val="bottom"/>
            </w:pPr>
            <w:r>
              <w:rPr>
                <w:rFonts w:ascii="Arial" w:eastAsia="宋体" w:hAnsi="Arial" w:cs="Arial"/>
                <w:color w:val="000000"/>
                <w:sz w:val="15"/>
                <w:szCs w:val="15"/>
              </w:rPr>
              <w:t>224 </w:t>
            </w:r>
          </w:p>
        </w:tc>
        <w:tc>
          <w:tcPr>
            <w:tcW w:w="0" w:type="auto"/>
            <w:shd w:val="clear" w:color="auto" w:fill="FFFFFF"/>
            <w:tcMar>
              <w:top w:w="40" w:type="dxa"/>
              <w:left w:w="0" w:type="dxa"/>
              <w:bottom w:w="40" w:type="dxa"/>
              <w:right w:w="20" w:type="dxa"/>
            </w:tcMar>
            <w:vAlign w:val="bottom"/>
          </w:tcPr>
          <w:p w14:paraId="392BF618" w14:textId="77777777" w:rsidR="00980E5F" w:rsidRDefault="00980E5F">
            <w:pPr>
              <w:jc w:val="right"/>
              <w:rPr>
                <w:rFonts w:ascii="宋体"/>
              </w:rPr>
            </w:pPr>
          </w:p>
        </w:tc>
        <w:tc>
          <w:tcPr>
            <w:tcW w:w="0" w:type="auto"/>
            <w:shd w:val="clear" w:color="auto" w:fill="auto"/>
            <w:vAlign w:val="bottom"/>
          </w:tcPr>
          <w:p w14:paraId="392BF619" w14:textId="77777777" w:rsidR="00980E5F" w:rsidRDefault="00980E5F">
            <w:pPr>
              <w:rPr>
                <w:rFonts w:ascii="宋体"/>
                <w:vanish/>
              </w:rPr>
            </w:pPr>
          </w:p>
        </w:tc>
      </w:tr>
      <w:tr w:rsidR="00980E5F" w14:paraId="392BF62E" w14:textId="77777777">
        <w:tc>
          <w:tcPr>
            <w:tcW w:w="0" w:type="auto"/>
            <w:gridSpan w:val="3"/>
            <w:shd w:val="clear" w:color="auto" w:fill="CCEEFF"/>
            <w:tcMar>
              <w:top w:w="40" w:type="dxa"/>
              <w:left w:w="155" w:type="dxa"/>
              <w:bottom w:w="40" w:type="dxa"/>
              <w:right w:w="20" w:type="dxa"/>
            </w:tcMar>
            <w:vAlign w:val="bottom"/>
          </w:tcPr>
          <w:p w14:paraId="392BF61B" w14:textId="77777777" w:rsidR="00980E5F" w:rsidRDefault="00483613">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92BF61C"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F6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61F"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6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2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62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6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625"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6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2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628"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6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62B"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F62C" w14:textId="77777777" w:rsidR="00980E5F" w:rsidRDefault="00980E5F">
            <w:pPr>
              <w:jc w:val="right"/>
              <w:rPr>
                <w:rFonts w:ascii="宋体"/>
              </w:rPr>
            </w:pPr>
          </w:p>
        </w:tc>
        <w:tc>
          <w:tcPr>
            <w:tcW w:w="0" w:type="auto"/>
            <w:shd w:val="clear" w:color="auto" w:fill="auto"/>
            <w:vAlign w:val="bottom"/>
          </w:tcPr>
          <w:p w14:paraId="392BF62D" w14:textId="77777777" w:rsidR="00980E5F" w:rsidRDefault="00980E5F">
            <w:pPr>
              <w:rPr>
                <w:rFonts w:ascii="宋体"/>
                <w:vanish/>
              </w:rPr>
            </w:pPr>
          </w:p>
        </w:tc>
      </w:tr>
      <w:tr w:rsidR="00980E5F" w14:paraId="392BF642" w14:textId="77777777">
        <w:tc>
          <w:tcPr>
            <w:tcW w:w="0" w:type="auto"/>
            <w:gridSpan w:val="3"/>
            <w:shd w:val="clear" w:color="auto" w:fill="FFFFFF"/>
            <w:tcMar>
              <w:top w:w="40" w:type="dxa"/>
              <w:left w:w="20" w:type="dxa"/>
              <w:bottom w:w="40" w:type="dxa"/>
              <w:right w:w="20" w:type="dxa"/>
            </w:tcMar>
            <w:vAlign w:val="bottom"/>
          </w:tcPr>
          <w:p w14:paraId="392BF62F" w14:textId="77777777" w:rsidR="00980E5F" w:rsidRDefault="00483613">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0" w14:textId="77777777" w:rsidR="00980E5F" w:rsidRDefault="00483613">
            <w:pPr>
              <w:jc w:val="right"/>
              <w:textAlignment w:val="bottom"/>
            </w:pPr>
            <w:r>
              <w:rPr>
                <w:rFonts w:ascii="Arial" w:eastAsia="宋体" w:hAnsi="Arial" w:cs="Arial"/>
                <w:color w:val="000000"/>
                <w:sz w:val="15"/>
                <w:szCs w:val="15"/>
              </w:rPr>
              <w:t>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3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3" w14:textId="77777777" w:rsidR="00980E5F" w:rsidRDefault="00483613">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3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6" w14:textId="77777777" w:rsidR="00980E5F" w:rsidRDefault="00483613">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3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9" w14:textId="77777777" w:rsidR="00980E5F" w:rsidRDefault="00483613">
            <w:pPr>
              <w:jc w:val="right"/>
              <w:textAlignment w:val="bottom"/>
            </w:pPr>
            <w:r>
              <w:rPr>
                <w:rFonts w:ascii="Arial" w:eastAsia="宋体" w:hAnsi="Arial" w:cs="Arial"/>
                <w:color w:val="000000"/>
                <w:sz w:val="15"/>
                <w:szCs w:val="15"/>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3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C" w14:textId="77777777" w:rsidR="00980E5F" w:rsidRDefault="00483613">
            <w:pPr>
              <w:jc w:val="right"/>
              <w:textAlignment w:val="bottom"/>
            </w:pPr>
            <w:r>
              <w:rPr>
                <w:rFonts w:ascii="Arial" w:eastAsia="宋体" w:hAnsi="Arial" w:cs="Arial"/>
                <w:color w:val="000000"/>
                <w:sz w:val="15"/>
                <w:szCs w:val="15"/>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3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63F" w14:textId="77777777" w:rsidR="00980E5F" w:rsidRDefault="00483613">
            <w:pPr>
              <w:jc w:val="right"/>
              <w:textAlignment w:val="bottom"/>
            </w:pPr>
            <w:r>
              <w:rPr>
                <w:rFonts w:ascii="Arial" w:eastAsia="宋体" w:hAnsi="Arial" w:cs="Arial"/>
                <w:color w:val="000000"/>
                <w:sz w:val="15"/>
                <w:szCs w:val="15"/>
              </w:rPr>
              <w:t>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640" w14:textId="77777777" w:rsidR="00980E5F" w:rsidRDefault="00980E5F">
            <w:pPr>
              <w:jc w:val="right"/>
              <w:rPr>
                <w:rFonts w:ascii="宋体"/>
              </w:rPr>
            </w:pPr>
          </w:p>
        </w:tc>
        <w:tc>
          <w:tcPr>
            <w:tcW w:w="0" w:type="auto"/>
            <w:shd w:val="clear" w:color="auto" w:fill="auto"/>
            <w:vAlign w:val="bottom"/>
          </w:tcPr>
          <w:p w14:paraId="392BF641" w14:textId="77777777" w:rsidR="00980E5F" w:rsidRDefault="00980E5F">
            <w:pPr>
              <w:rPr>
                <w:rFonts w:ascii="宋体"/>
                <w:vanish/>
              </w:rPr>
            </w:pPr>
          </w:p>
        </w:tc>
      </w:tr>
      <w:tr w:rsidR="00980E5F" w14:paraId="392BF65C" w14:textId="77777777">
        <w:tc>
          <w:tcPr>
            <w:tcW w:w="0" w:type="auto"/>
            <w:gridSpan w:val="3"/>
            <w:shd w:val="clear" w:color="auto" w:fill="CCEEFF"/>
            <w:tcMar>
              <w:top w:w="40" w:type="dxa"/>
              <w:left w:w="20" w:type="dxa"/>
              <w:bottom w:w="40" w:type="dxa"/>
              <w:right w:w="20" w:type="dxa"/>
            </w:tcMar>
            <w:vAlign w:val="bottom"/>
          </w:tcPr>
          <w:p w14:paraId="392BF643" w14:textId="77777777" w:rsidR="00980E5F" w:rsidRDefault="00483613">
            <w:pPr>
              <w:textAlignment w:val="bottom"/>
            </w:pPr>
            <w:r>
              <w:rPr>
                <w:rFonts w:ascii="Arial" w:eastAsia="宋体" w:hAnsi="Arial" w:cs="Arial"/>
                <w:b/>
                <w:bCs/>
                <w:color w:val="000000"/>
                <w:sz w:val="15"/>
                <w:szCs w:val="15"/>
              </w:rPr>
              <w:t>Balance as of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64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45" w14:textId="77777777" w:rsidR="00980E5F" w:rsidRDefault="00483613">
            <w:pPr>
              <w:jc w:val="right"/>
              <w:textAlignment w:val="bottom"/>
            </w:pPr>
            <w:r>
              <w:rPr>
                <w:rFonts w:ascii="Arial" w:eastAsia="宋体" w:hAnsi="Arial" w:cs="Arial"/>
                <w:color w:val="000000"/>
                <w:sz w:val="15"/>
                <w:szCs w:val="15"/>
              </w:rPr>
              <w:t>2,461 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4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64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49" w14:textId="77777777" w:rsidR="00980E5F" w:rsidRDefault="00483613">
            <w:pPr>
              <w:jc w:val="right"/>
              <w:textAlignment w:val="bottom"/>
            </w:pPr>
            <w:r>
              <w:rPr>
                <w:rFonts w:ascii="Arial" w:eastAsia="宋体" w:hAnsi="Arial" w:cs="Arial"/>
                <w:color w:val="000000"/>
                <w:sz w:val="15"/>
                <w:szCs w:val="15"/>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4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64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4D" w14:textId="77777777" w:rsidR="00980E5F" w:rsidRDefault="00483613">
            <w:pPr>
              <w:jc w:val="right"/>
              <w:textAlignment w:val="bottom"/>
            </w:pPr>
            <w:r>
              <w:rPr>
                <w:rFonts w:ascii="Arial" w:eastAsia="宋体" w:hAnsi="Arial" w:cs="Arial"/>
                <w:color w:val="000000"/>
                <w:sz w:val="15"/>
                <w:szCs w:val="15"/>
              </w:rPr>
              <w:t>381 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4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65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51" w14:textId="77777777" w:rsidR="00980E5F" w:rsidRDefault="00483613">
            <w:pPr>
              <w:jc w:val="right"/>
              <w:textAlignment w:val="bottom"/>
            </w:pPr>
            <w:r>
              <w:rPr>
                <w:rFonts w:ascii="Arial" w:eastAsia="宋体" w:hAnsi="Arial" w:cs="Arial"/>
                <w:color w:val="000000"/>
                <w:sz w:val="15"/>
                <w:szCs w:val="15"/>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5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65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55" w14:textId="77777777" w:rsidR="00980E5F" w:rsidRDefault="00483613">
            <w:pPr>
              <w:jc w:val="right"/>
              <w:textAlignment w:val="bottom"/>
            </w:pPr>
            <w:r>
              <w:rPr>
                <w:rFonts w:ascii="Arial" w:eastAsia="宋体" w:hAnsi="Arial" w:cs="Arial"/>
                <w:color w:val="000000"/>
                <w:sz w:val="15"/>
                <w:szCs w:val="15"/>
              </w:rPr>
              <w:t>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5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65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659" w14:textId="77777777" w:rsidR="00980E5F" w:rsidRDefault="00483613">
            <w:pPr>
              <w:jc w:val="right"/>
              <w:textAlignment w:val="bottom"/>
            </w:pPr>
            <w:r>
              <w:rPr>
                <w:rFonts w:ascii="Arial" w:eastAsia="宋体" w:hAnsi="Arial" w:cs="Arial"/>
                <w:color w:val="000000"/>
                <w:sz w:val="15"/>
                <w:szCs w:val="15"/>
              </w:rPr>
              <w:t>3,897 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65A" w14:textId="77777777" w:rsidR="00980E5F" w:rsidRDefault="00980E5F">
            <w:pPr>
              <w:jc w:val="right"/>
              <w:rPr>
                <w:rFonts w:ascii="宋体"/>
              </w:rPr>
            </w:pPr>
          </w:p>
        </w:tc>
        <w:tc>
          <w:tcPr>
            <w:tcW w:w="0" w:type="auto"/>
            <w:shd w:val="clear" w:color="auto" w:fill="auto"/>
            <w:vAlign w:val="bottom"/>
          </w:tcPr>
          <w:p w14:paraId="392BF65B" w14:textId="77777777" w:rsidR="00980E5F" w:rsidRDefault="00980E5F">
            <w:pPr>
              <w:rPr>
                <w:rFonts w:ascii="宋体"/>
                <w:vanish/>
              </w:rPr>
            </w:pPr>
          </w:p>
        </w:tc>
      </w:tr>
      <w:tr w:rsidR="00980E5F" w14:paraId="392BF66A" w14:textId="77777777">
        <w:trPr>
          <w:hidden/>
        </w:trPr>
        <w:tc>
          <w:tcPr>
            <w:tcW w:w="0" w:type="auto"/>
            <w:gridSpan w:val="3"/>
            <w:shd w:val="clear" w:color="auto" w:fill="auto"/>
            <w:vAlign w:val="bottom"/>
          </w:tcPr>
          <w:p w14:paraId="392BF65D" w14:textId="77777777" w:rsidR="00980E5F" w:rsidRDefault="00980E5F">
            <w:pPr>
              <w:rPr>
                <w:rFonts w:ascii="宋体"/>
                <w:vanish/>
              </w:rPr>
            </w:pPr>
          </w:p>
        </w:tc>
        <w:tc>
          <w:tcPr>
            <w:tcW w:w="0" w:type="auto"/>
            <w:gridSpan w:val="3"/>
            <w:shd w:val="clear" w:color="auto" w:fill="auto"/>
            <w:vAlign w:val="bottom"/>
          </w:tcPr>
          <w:p w14:paraId="392BF65E" w14:textId="77777777" w:rsidR="00980E5F" w:rsidRDefault="00980E5F">
            <w:pPr>
              <w:rPr>
                <w:rFonts w:ascii="宋体"/>
                <w:vanish/>
              </w:rPr>
            </w:pPr>
          </w:p>
        </w:tc>
        <w:tc>
          <w:tcPr>
            <w:tcW w:w="0" w:type="auto"/>
            <w:gridSpan w:val="3"/>
            <w:shd w:val="clear" w:color="auto" w:fill="auto"/>
            <w:vAlign w:val="bottom"/>
          </w:tcPr>
          <w:p w14:paraId="392BF65F" w14:textId="77777777" w:rsidR="00980E5F" w:rsidRDefault="00980E5F">
            <w:pPr>
              <w:rPr>
                <w:rFonts w:ascii="宋体"/>
                <w:vanish/>
              </w:rPr>
            </w:pPr>
          </w:p>
        </w:tc>
        <w:tc>
          <w:tcPr>
            <w:tcW w:w="0" w:type="auto"/>
            <w:gridSpan w:val="3"/>
            <w:shd w:val="clear" w:color="auto" w:fill="auto"/>
            <w:vAlign w:val="bottom"/>
          </w:tcPr>
          <w:p w14:paraId="392BF660" w14:textId="77777777" w:rsidR="00980E5F" w:rsidRDefault="00980E5F">
            <w:pPr>
              <w:rPr>
                <w:rFonts w:ascii="宋体"/>
                <w:vanish/>
              </w:rPr>
            </w:pPr>
          </w:p>
        </w:tc>
        <w:tc>
          <w:tcPr>
            <w:tcW w:w="0" w:type="auto"/>
            <w:gridSpan w:val="3"/>
            <w:shd w:val="clear" w:color="auto" w:fill="auto"/>
            <w:vAlign w:val="bottom"/>
          </w:tcPr>
          <w:p w14:paraId="392BF661" w14:textId="77777777" w:rsidR="00980E5F" w:rsidRDefault="00980E5F">
            <w:pPr>
              <w:rPr>
                <w:rFonts w:ascii="宋体"/>
                <w:vanish/>
              </w:rPr>
            </w:pPr>
          </w:p>
        </w:tc>
        <w:tc>
          <w:tcPr>
            <w:tcW w:w="0" w:type="auto"/>
            <w:gridSpan w:val="3"/>
            <w:shd w:val="clear" w:color="auto" w:fill="auto"/>
            <w:vAlign w:val="bottom"/>
          </w:tcPr>
          <w:p w14:paraId="392BF662" w14:textId="77777777" w:rsidR="00980E5F" w:rsidRDefault="00980E5F">
            <w:pPr>
              <w:rPr>
                <w:rFonts w:ascii="宋体"/>
                <w:vanish/>
              </w:rPr>
            </w:pPr>
          </w:p>
        </w:tc>
        <w:tc>
          <w:tcPr>
            <w:tcW w:w="0" w:type="auto"/>
            <w:gridSpan w:val="3"/>
            <w:shd w:val="clear" w:color="auto" w:fill="auto"/>
            <w:vAlign w:val="bottom"/>
          </w:tcPr>
          <w:p w14:paraId="392BF663" w14:textId="77777777" w:rsidR="00980E5F" w:rsidRDefault="00980E5F">
            <w:pPr>
              <w:rPr>
                <w:rFonts w:ascii="宋体"/>
                <w:vanish/>
              </w:rPr>
            </w:pPr>
          </w:p>
        </w:tc>
        <w:tc>
          <w:tcPr>
            <w:tcW w:w="0" w:type="auto"/>
            <w:gridSpan w:val="3"/>
            <w:shd w:val="clear" w:color="auto" w:fill="auto"/>
            <w:vAlign w:val="bottom"/>
          </w:tcPr>
          <w:p w14:paraId="392BF664" w14:textId="77777777" w:rsidR="00980E5F" w:rsidRDefault="00980E5F">
            <w:pPr>
              <w:rPr>
                <w:rFonts w:ascii="宋体"/>
                <w:vanish/>
              </w:rPr>
            </w:pPr>
          </w:p>
        </w:tc>
        <w:tc>
          <w:tcPr>
            <w:tcW w:w="0" w:type="auto"/>
            <w:gridSpan w:val="3"/>
            <w:shd w:val="clear" w:color="auto" w:fill="auto"/>
            <w:vAlign w:val="bottom"/>
          </w:tcPr>
          <w:p w14:paraId="392BF665" w14:textId="77777777" w:rsidR="00980E5F" w:rsidRDefault="00980E5F">
            <w:pPr>
              <w:rPr>
                <w:rFonts w:ascii="宋体"/>
                <w:vanish/>
              </w:rPr>
            </w:pPr>
          </w:p>
        </w:tc>
        <w:tc>
          <w:tcPr>
            <w:tcW w:w="0" w:type="auto"/>
            <w:gridSpan w:val="3"/>
            <w:shd w:val="clear" w:color="auto" w:fill="auto"/>
            <w:vAlign w:val="bottom"/>
          </w:tcPr>
          <w:p w14:paraId="392BF666" w14:textId="77777777" w:rsidR="00980E5F" w:rsidRDefault="00980E5F">
            <w:pPr>
              <w:rPr>
                <w:rFonts w:ascii="宋体"/>
                <w:vanish/>
              </w:rPr>
            </w:pPr>
          </w:p>
        </w:tc>
        <w:tc>
          <w:tcPr>
            <w:tcW w:w="0" w:type="auto"/>
            <w:gridSpan w:val="3"/>
            <w:shd w:val="clear" w:color="auto" w:fill="auto"/>
            <w:vAlign w:val="bottom"/>
          </w:tcPr>
          <w:p w14:paraId="392BF667" w14:textId="77777777" w:rsidR="00980E5F" w:rsidRDefault="00980E5F">
            <w:pPr>
              <w:rPr>
                <w:rFonts w:ascii="宋体"/>
                <w:vanish/>
              </w:rPr>
            </w:pPr>
          </w:p>
        </w:tc>
        <w:tc>
          <w:tcPr>
            <w:tcW w:w="0" w:type="auto"/>
            <w:gridSpan w:val="3"/>
            <w:shd w:val="clear" w:color="auto" w:fill="auto"/>
            <w:vAlign w:val="bottom"/>
          </w:tcPr>
          <w:p w14:paraId="392BF668" w14:textId="77777777" w:rsidR="00980E5F" w:rsidRDefault="00980E5F">
            <w:pPr>
              <w:rPr>
                <w:rFonts w:ascii="宋体"/>
                <w:vanish/>
              </w:rPr>
            </w:pPr>
          </w:p>
        </w:tc>
        <w:tc>
          <w:tcPr>
            <w:tcW w:w="0" w:type="auto"/>
            <w:shd w:val="clear" w:color="auto" w:fill="auto"/>
            <w:vAlign w:val="bottom"/>
          </w:tcPr>
          <w:p w14:paraId="392BF669" w14:textId="77777777" w:rsidR="00980E5F" w:rsidRDefault="00980E5F">
            <w:pPr>
              <w:rPr>
                <w:rFonts w:ascii="宋体"/>
                <w:vanish/>
              </w:rPr>
            </w:pPr>
          </w:p>
        </w:tc>
      </w:tr>
      <w:tr w:rsidR="00980E5F" w14:paraId="392BF678" w14:textId="77777777">
        <w:trPr>
          <w:hidden/>
        </w:trPr>
        <w:tc>
          <w:tcPr>
            <w:tcW w:w="0" w:type="auto"/>
            <w:gridSpan w:val="3"/>
            <w:shd w:val="clear" w:color="auto" w:fill="auto"/>
            <w:vAlign w:val="bottom"/>
          </w:tcPr>
          <w:p w14:paraId="392BF66B" w14:textId="77777777" w:rsidR="00980E5F" w:rsidRDefault="00980E5F">
            <w:pPr>
              <w:rPr>
                <w:rFonts w:ascii="宋体"/>
                <w:vanish/>
              </w:rPr>
            </w:pPr>
          </w:p>
        </w:tc>
        <w:tc>
          <w:tcPr>
            <w:tcW w:w="0" w:type="auto"/>
            <w:gridSpan w:val="3"/>
            <w:shd w:val="clear" w:color="auto" w:fill="auto"/>
            <w:vAlign w:val="bottom"/>
          </w:tcPr>
          <w:p w14:paraId="392BF66C" w14:textId="77777777" w:rsidR="00980E5F" w:rsidRDefault="00980E5F">
            <w:pPr>
              <w:rPr>
                <w:rFonts w:ascii="宋体"/>
                <w:vanish/>
              </w:rPr>
            </w:pPr>
          </w:p>
        </w:tc>
        <w:tc>
          <w:tcPr>
            <w:tcW w:w="0" w:type="auto"/>
            <w:gridSpan w:val="3"/>
            <w:shd w:val="clear" w:color="auto" w:fill="auto"/>
            <w:vAlign w:val="bottom"/>
          </w:tcPr>
          <w:p w14:paraId="392BF66D" w14:textId="77777777" w:rsidR="00980E5F" w:rsidRDefault="00980E5F">
            <w:pPr>
              <w:rPr>
                <w:rFonts w:ascii="宋体"/>
                <w:vanish/>
              </w:rPr>
            </w:pPr>
          </w:p>
        </w:tc>
        <w:tc>
          <w:tcPr>
            <w:tcW w:w="0" w:type="auto"/>
            <w:gridSpan w:val="3"/>
            <w:shd w:val="clear" w:color="auto" w:fill="auto"/>
            <w:vAlign w:val="bottom"/>
          </w:tcPr>
          <w:p w14:paraId="392BF66E" w14:textId="77777777" w:rsidR="00980E5F" w:rsidRDefault="00980E5F">
            <w:pPr>
              <w:rPr>
                <w:rFonts w:ascii="宋体"/>
                <w:vanish/>
              </w:rPr>
            </w:pPr>
          </w:p>
        </w:tc>
        <w:tc>
          <w:tcPr>
            <w:tcW w:w="0" w:type="auto"/>
            <w:gridSpan w:val="3"/>
            <w:shd w:val="clear" w:color="auto" w:fill="auto"/>
            <w:vAlign w:val="bottom"/>
          </w:tcPr>
          <w:p w14:paraId="392BF66F" w14:textId="77777777" w:rsidR="00980E5F" w:rsidRDefault="00980E5F">
            <w:pPr>
              <w:rPr>
                <w:rFonts w:ascii="宋体"/>
                <w:vanish/>
              </w:rPr>
            </w:pPr>
          </w:p>
        </w:tc>
        <w:tc>
          <w:tcPr>
            <w:tcW w:w="0" w:type="auto"/>
            <w:gridSpan w:val="3"/>
            <w:shd w:val="clear" w:color="auto" w:fill="auto"/>
            <w:vAlign w:val="bottom"/>
          </w:tcPr>
          <w:p w14:paraId="392BF670" w14:textId="77777777" w:rsidR="00980E5F" w:rsidRDefault="00980E5F">
            <w:pPr>
              <w:rPr>
                <w:rFonts w:ascii="宋体"/>
                <w:vanish/>
              </w:rPr>
            </w:pPr>
          </w:p>
        </w:tc>
        <w:tc>
          <w:tcPr>
            <w:tcW w:w="0" w:type="auto"/>
            <w:gridSpan w:val="3"/>
            <w:shd w:val="clear" w:color="auto" w:fill="auto"/>
            <w:vAlign w:val="bottom"/>
          </w:tcPr>
          <w:p w14:paraId="392BF671" w14:textId="77777777" w:rsidR="00980E5F" w:rsidRDefault="00980E5F">
            <w:pPr>
              <w:rPr>
                <w:rFonts w:ascii="宋体"/>
                <w:vanish/>
              </w:rPr>
            </w:pPr>
          </w:p>
        </w:tc>
        <w:tc>
          <w:tcPr>
            <w:tcW w:w="0" w:type="auto"/>
            <w:gridSpan w:val="3"/>
            <w:shd w:val="clear" w:color="auto" w:fill="auto"/>
            <w:vAlign w:val="bottom"/>
          </w:tcPr>
          <w:p w14:paraId="392BF672" w14:textId="77777777" w:rsidR="00980E5F" w:rsidRDefault="00980E5F">
            <w:pPr>
              <w:rPr>
                <w:rFonts w:ascii="宋体"/>
                <w:vanish/>
              </w:rPr>
            </w:pPr>
          </w:p>
        </w:tc>
        <w:tc>
          <w:tcPr>
            <w:tcW w:w="0" w:type="auto"/>
            <w:gridSpan w:val="3"/>
            <w:shd w:val="clear" w:color="auto" w:fill="auto"/>
            <w:vAlign w:val="bottom"/>
          </w:tcPr>
          <w:p w14:paraId="392BF673" w14:textId="77777777" w:rsidR="00980E5F" w:rsidRDefault="00980E5F">
            <w:pPr>
              <w:rPr>
                <w:rFonts w:ascii="宋体"/>
                <w:vanish/>
              </w:rPr>
            </w:pPr>
          </w:p>
        </w:tc>
        <w:tc>
          <w:tcPr>
            <w:tcW w:w="0" w:type="auto"/>
            <w:gridSpan w:val="3"/>
            <w:shd w:val="clear" w:color="auto" w:fill="auto"/>
            <w:vAlign w:val="bottom"/>
          </w:tcPr>
          <w:p w14:paraId="392BF674" w14:textId="77777777" w:rsidR="00980E5F" w:rsidRDefault="00980E5F">
            <w:pPr>
              <w:rPr>
                <w:rFonts w:ascii="宋体"/>
                <w:vanish/>
              </w:rPr>
            </w:pPr>
          </w:p>
        </w:tc>
        <w:tc>
          <w:tcPr>
            <w:tcW w:w="0" w:type="auto"/>
            <w:gridSpan w:val="3"/>
            <w:shd w:val="clear" w:color="auto" w:fill="auto"/>
            <w:vAlign w:val="bottom"/>
          </w:tcPr>
          <w:p w14:paraId="392BF675" w14:textId="77777777" w:rsidR="00980E5F" w:rsidRDefault="00980E5F">
            <w:pPr>
              <w:rPr>
                <w:rFonts w:ascii="宋体"/>
                <w:vanish/>
              </w:rPr>
            </w:pPr>
          </w:p>
        </w:tc>
        <w:tc>
          <w:tcPr>
            <w:tcW w:w="0" w:type="auto"/>
            <w:gridSpan w:val="3"/>
            <w:shd w:val="clear" w:color="auto" w:fill="auto"/>
            <w:vAlign w:val="bottom"/>
          </w:tcPr>
          <w:p w14:paraId="392BF676" w14:textId="77777777" w:rsidR="00980E5F" w:rsidRDefault="00980E5F">
            <w:pPr>
              <w:rPr>
                <w:rFonts w:ascii="宋体"/>
                <w:vanish/>
              </w:rPr>
            </w:pPr>
          </w:p>
        </w:tc>
        <w:tc>
          <w:tcPr>
            <w:tcW w:w="0" w:type="auto"/>
            <w:shd w:val="clear" w:color="auto" w:fill="auto"/>
            <w:vAlign w:val="bottom"/>
          </w:tcPr>
          <w:p w14:paraId="392BF677" w14:textId="77777777" w:rsidR="00980E5F" w:rsidRDefault="00980E5F">
            <w:pPr>
              <w:rPr>
                <w:rFonts w:ascii="宋体"/>
                <w:vanish/>
              </w:rPr>
            </w:pPr>
          </w:p>
        </w:tc>
      </w:tr>
      <w:tr w:rsidR="00980E5F" w14:paraId="392BF686" w14:textId="77777777">
        <w:trPr>
          <w:hidden/>
        </w:trPr>
        <w:tc>
          <w:tcPr>
            <w:tcW w:w="0" w:type="auto"/>
            <w:gridSpan w:val="3"/>
            <w:shd w:val="clear" w:color="auto" w:fill="auto"/>
            <w:vAlign w:val="bottom"/>
          </w:tcPr>
          <w:p w14:paraId="392BF679" w14:textId="77777777" w:rsidR="00980E5F" w:rsidRDefault="00980E5F">
            <w:pPr>
              <w:rPr>
                <w:rFonts w:ascii="宋体"/>
                <w:vanish/>
              </w:rPr>
            </w:pPr>
          </w:p>
        </w:tc>
        <w:tc>
          <w:tcPr>
            <w:tcW w:w="0" w:type="auto"/>
            <w:gridSpan w:val="3"/>
            <w:shd w:val="clear" w:color="auto" w:fill="auto"/>
            <w:vAlign w:val="bottom"/>
          </w:tcPr>
          <w:p w14:paraId="392BF67A" w14:textId="77777777" w:rsidR="00980E5F" w:rsidRDefault="00980E5F">
            <w:pPr>
              <w:rPr>
                <w:rFonts w:ascii="宋体"/>
                <w:vanish/>
              </w:rPr>
            </w:pPr>
          </w:p>
        </w:tc>
        <w:tc>
          <w:tcPr>
            <w:tcW w:w="0" w:type="auto"/>
            <w:gridSpan w:val="3"/>
            <w:shd w:val="clear" w:color="auto" w:fill="auto"/>
            <w:vAlign w:val="bottom"/>
          </w:tcPr>
          <w:p w14:paraId="392BF67B" w14:textId="77777777" w:rsidR="00980E5F" w:rsidRDefault="00980E5F">
            <w:pPr>
              <w:rPr>
                <w:rFonts w:ascii="宋体"/>
                <w:vanish/>
              </w:rPr>
            </w:pPr>
          </w:p>
        </w:tc>
        <w:tc>
          <w:tcPr>
            <w:tcW w:w="0" w:type="auto"/>
            <w:gridSpan w:val="3"/>
            <w:shd w:val="clear" w:color="auto" w:fill="auto"/>
            <w:vAlign w:val="bottom"/>
          </w:tcPr>
          <w:p w14:paraId="392BF67C" w14:textId="77777777" w:rsidR="00980E5F" w:rsidRDefault="00980E5F">
            <w:pPr>
              <w:rPr>
                <w:rFonts w:ascii="宋体"/>
                <w:vanish/>
              </w:rPr>
            </w:pPr>
          </w:p>
        </w:tc>
        <w:tc>
          <w:tcPr>
            <w:tcW w:w="0" w:type="auto"/>
            <w:gridSpan w:val="3"/>
            <w:shd w:val="clear" w:color="auto" w:fill="auto"/>
            <w:vAlign w:val="bottom"/>
          </w:tcPr>
          <w:p w14:paraId="392BF67D" w14:textId="77777777" w:rsidR="00980E5F" w:rsidRDefault="00980E5F">
            <w:pPr>
              <w:rPr>
                <w:rFonts w:ascii="宋体"/>
                <w:vanish/>
              </w:rPr>
            </w:pPr>
          </w:p>
        </w:tc>
        <w:tc>
          <w:tcPr>
            <w:tcW w:w="0" w:type="auto"/>
            <w:gridSpan w:val="3"/>
            <w:shd w:val="clear" w:color="auto" w:fill="auto"/>
            <w:vAlign w:val="bottom"/>
          </w:tcPr>
          <w:p w14:paraId="392BF67E" w14:textId="77777777" w:rsidR="00980E5F" w:rsidRDefault="00980E5F">
            <w:pPr>
              <w:rPr>
                <w:rFonts w:ascii="宋体"/>
                <w:vanish/>
              </w:rPr>
            </w:pPr>
          </w:p>
        </w:tc>
        <w:tc>
          <w:tcPr>
            <w:tcW w:w="0" w:type="auto"/>
            <w:gridSpan w:val="3"/>
            <w:shd w:val="clear" w:color="auto" w:fill="auto"/>
            <w:vAlign w:val="bottom"/>
          </w:tcPr>
          <w:p w14:paraId="392BF67F" w14:textId="77777777" w:rsidR="00980E5F" w:rsidRDefault="00980E5F">
            <w:pPr>
              <w:rPr>
                <w:rFonts w:ascii="宋体"/>
                <w:vanish/>
              </w:rPr>
            </w:pPr>
          </w:p>
        </w:tc>
        <w:tc>
          <w:tcPr>
            <w:tcW w:w="0" w:type="auto"/>
            <w:gridSpan w:val="3"/>
            <w:shd w:val="clear" w:color="auto" w:fill="auto"/>
            <w:vAlign w:val="bottom"/>
          </w:tcPr>
          <w:p w14:paraId="392BF680" w14:textId="77777777" w:rsidR="00980E5F" w:rsidRDefault="00980E5F">
            <w:pPr>
              <w:rPr>
                <w:rFonts w:ascii="宋体"/>
                <w:vanish/>
              </w:rPr>
            </w:pPr>
          </w:p>
        </w:tc>
        <w:tc>
          <w:tcPr>
            <w:tcW w:w="0" w:type="auto"/>
            <w:gridSpan w:val="3"/>
            <w:shd w:val="clear" w:color="auto" w:fill="auto"/>
            <w:vAlign w:val="bottom"/>
          </w:tcPr>
          <w:p w14:paraId="392BF681" w14:textId="77777777" w:rsidR="00980E5F" w:rsidRDefault="00980E5F">
            <w:pPr>
              <w:rPr>
                <w:rFonts w:ascii="宋体"/>
                <w:vanish/>
              </w:rPr>
            </w:pPr>
          </w:p>
        </w:tc>
        <w:tc>
          <w:tcPr>
            <w:tcW w:w="0" w:type="auto"/>
            <w:gridSpan w:val="3"/>
            <w:shd w:val="clear" w:color="auto" w:fill="auto"/>
            <w:vAlign w:val="bottom"/>
          </w:tcPr>
          <w:p w14:paraId="392BF682" w14:textId="77777777" w:rsidR="00980E5F" w:rsidRDefault="00980E5F">
            <w:pPr>
              <w:rPr>
                <w:rFonts w:ascii="宋体"/>
                <w:vanish/>
              </w:rPr>
            </w:pPr>
          </w:p>
        </w:tc>
        <w:tc>
          <w:tcPr>
            <w:tcW w:w="0" w:type="auto"/>
            <w:gridSpan w:val="3"/>
            <w:shd w:val="clear" w:color="auto" w:fill="auto"/>
            <w:vAlign w:val="bottom"/>
          </w:tcPr>
          <w:p w14:paraId="392BF683" w14:textId="77777777" w:rsidR="00980E5F" w:rsidRDefault="00980E5F">
            <w:pPr>
              <w:rPr>
                <w:rFonts w:ascii="宋体"/>
                <w:vanish/>
              </w:rPr>
            </w:pPr>
          </w:p>
        </w:tc>
        <w:tc>
          <w:tcPr>
            <w:tcW w:w="0" w:type="auto"/>
            <w:gridSpan w:val="3"/>
            <w:shd w:val="clear" w:color="auto" w:fill="auto"/>
            <w:vAlign w:val="bottom"/>
          </w:tcPr>
          <w:p w14:paraId="392BF684" w14:textId="77777777" w:rsidR="00980E5F" w:rsidRDefault="00980E5F">
            <w:pPr>
              <w:rPr>
                <w:rFonts w:ascii="宋体"/>
                <w:vanish/>
              </w:rPr>
            </w:pPr>
          </w:p>
        </w:tc>
        <w:tc>
          <w:tcPr>
            <w:tcW w:w="0" w:type="auto"/>
            <w:shd w:val="clear" w:color="auto" w:fill="auto"/>
            <w:vAlign w:val="bottom"/>
          </w:tcPr>
          <w:p w14:paraId="392BF685" w14:textId="77777777" w:rsidR="00980E5F" w:rsidRDefault="00980E5F">
            <w:pPr>
              <w:rPr>
                <w:rFonts w:ascii="宋体"/>
                <w:vanish/>
              </w:rPr>
            </w:pPr>
          </w:p>
        </w:tc>
      </w:tr>
      <w:tr w:rsidR="00980E5F" w14:paraId="392BF694" w14:textId="77777777">
        <w:trPr>
          <w:hidden/>
        </w:trPr>
        <w:tc>
          <w:tcPr>
            <w:tcW w:w="0" w:type="auto"/>
            <w:gridSpan w:val="3"/>
            <w:shd w:val="clear" w:color="auto" w:fill="auto"/>
            <w:vAlign w:val="bottom"/>
          </w:tcPr>
          <w:p w14:paraId="392BF687" w14:textId="77777777" w:rsidR="00980E5F" w:rsidRDefault="00980E5F">
            <w:pPr>
              <w:rPr>
                <w:rFonts w:ascii="宋体"/>
                <w:vanish/>
              </w:rPr>
            </w:pPr>
          </w:p>
        </w:tc>
        <w:tc>
          <w:tcPr>
            <w:tcW w:w="0" w:type="auto"/>
            <w:gridSpan w:val="3"/>
            <w:shd w:val="clear" w:color="auto" w:fill="auto"/>
            <w:vAlign w:val="bottom"/>
          </w:tcPr>
          <w:p w14:paraId="392BF688" w14:textId="77777777" w:rsidR="00980E5F" w:rsidRDefault="00980E5F">
            <w:pPr>
              <w:rPr>
                <w:rFonts w:ascii="宋体"/>
                <w:vanish/>
              </w:rPr>
            </w:pPr>
          </w:p>
        </w:tc>
        <w:tc>
          <w:tcPr>
            <w:tcW w:w="0" w:type="auto"/>
            <w:gridSpan w:val="3"/>
            <w:shd w:val="clear" w:color="auto" w:fill="auto"/>
            <w:vAlign w:val="bottom"/>
          </w:tcPr>
          <w:p w14:paraId="392BF689" w14:textId="77777777" w:rsidR="00980E5F" w:rsidRDefault="00980E5F">
            <w:pPr>
              <w:rPr>
                <w:rFonts w:ascii="宋体"/>
                <w:vanish/>
              </w:rPr>
            </w:pPr>
          </w:p>
        </w:tc>
        <w:tc>
          <w:tcPr>
            <w:tcW w:w="0" w:type="auto"/>
            <w:gridSpan w:val="3"/>
            <w:shd w:val="clear" w:color="auto" w:fill="auto"/>
            <w:vAlign w:val="bottom"/>
          </w:tcPr>
          <w:p w14:paraId="392BF68A" w14:textId="77777777" w:rsidR="00980E5F" w:rsidRDefault="00980E5F">
            <w:pPr>
              <w:rPr>
                <w:rFonts w:ascii="宋体"/>
                <w:vanish/>
              </w:rPr>
            </w:pPr>
          </w:p>
        </w:tc>
        <w:tc>
          <w:tcPr>
            <w:tcW w:w="0" w:type="auto"/>
            <w:gridSpan w:val="3"/>
            <w:shd w:val="clear" w:color="auto" w:fill="auto"/>
            <w:vAlign w:val="bottom"/>
          </w:tcPr>
          <w:p w14:paraId="392BF68B" w14:textId="77777777" w:rsidR="00980E5F" w:rsidRDefault="00980E5F">
            <w:pPr>
              <w:rPr>
                <w:rFonts w:ascii="宋体"/>
                <w:vanish/>
              </w:rPr>
            </w:pPr>
          </w:p>
        </w:tc>
        <w:tc>
          <w:tcPr>
            <w:tcW w:w="0" w:type="auto"/>
            <w:gridSpan w:val="3"/>
            <w:shd w:val="clear" w:color="auto" w:fill="auto"/>
            <w:vAlign w:val="bottom"/>
          </w:tcPr>
          <w:p w14:paraId="392BF68C" w14:textId="77777777" w:rsidR="00980E5F" w:rsidRDefault="00980E5F">
            <w:pPr>
              <w:rPr>
                <w:rFonts w:ascii="宋体"/>
                <w:vanish/>
              </w:rPr>
            </w:pPr>
          </w:p>
        </w:tc>
        <w:tc>
          <w:tcPr>
            <w:tcW w:w="0" w:type="auto"/>
            <w:gridSpan w:val="3"/>
            <w:shd w:val="clear" w:color="auto" w:fill="auto"/>
            <w:vAlign w:val="bottom"/>
          </w:tcPr>
          <w:p w14:paraId="392BF68D" w14:textId="77777777" w:rsidR="00980E5F" w:rsidRDefault="00980E5F">
            <w:pPr>
              <w:rPr>
                <w:rFonts w:ascii="宋体"/>
                <w:vanish/>
              </w:rPr>
            </w:pPr>
          </w:p>
        </w:tc>
        <w:tc>
          <w:tcPr>
            <w:tcW w:w="0" w:type="auto"/>
            <w:gridSpan w:val="3"/>
            <w:shd w:val="clear" w:color="auto" w:fill="auto"/>
            <w:vAlign w:val="bottom"/>
          </w:tcPr>
          <w:p w14:paraId="392BF68E" w14:textId="77777777" w:rsidR="00980E5F" w:rsidRDefault="00980E5F">
            <w:pPr>
              <w:rPr>
                <w:rFonts w:ascii="宋体"/>
                <w:vanish/>
              </w:rPr>
            </w:pPr>
          </w:p>
        </w:tc>
        <w:tc>
          <w:tcPr>
            <w:tcW w:w="0" w:type="auto"/>
            <w:gridSpan w:val="3"/>
            <w:shd w:val="clear" w:color="auto" w:fill="auto"/>
            <w:vAlign w:val="bottom"/>
          </w:tcPr>
          <w:p w14:paraId="392BF68F" w14:textId="77777777" w:rsidR="00980E5F" w:rsidRDefault="00980E5F">
            <w:pPr>
              <w:rPr>
                <w:rFonts w:ascii="宋体"/>
                <w:vanish/>
              </w:rPr>
            </w:pPr>
          </w:p>
        </w:tc>
        <w:tc>
          <w:tcPr>
            <w:tcW w:w="0" w:type="auto"/>
            <w:gridSpan w:val="3"/>
            <w:shd w:val="clear" w:color="auto" w:fill="auto"/>
            <w:vAlign w:val="bottom"/>
          </w:tcPr>
          <w:p w14:paraId="392BF690" w14:textId="77777777" w:rsidR="00980E5F" w:rsidRDefault="00980E5F">
            <w:pPr>
              <w:rPr>
                <w:rFonts w:ascii="宋体"/>
                <w:vanish/>
              </w:rPr>
            </w:pPr>
          </w:p>
        </w:tc>
        <w:tc>
          <w:tcPr>
            <w:tcW w:w="0" w:type="auto"/>
            <w:gridSpan w:val="3"/>
            <w:shd w:val="clear" w:color="auto" w:fill="auto"/>
            <w:vAlign w:val="bottom"/>
          </w:tcPr>
          <w:p w14:paraId="392BF691" w14:textId="77777777" w:rsidR="00980E5F" w:rsidRDefault="00980E5F">
            <w:pPr>
              <w:rPr>
                <w:rFonts w:ascii="宋体"/>
                <w:vanish/>
              </w:rPr>
            </w:pPr>
          </w:p>
        </w:tc>
        <w:tc>
          <w:tcPr>
            <w:tcW w:w="0" w:type="auto"/>
            <w:gridSpan w:val="3"/>
            <w:shd w:val="clear" w:color="auto" w:fill="auto"/>
            <w:vAlign w:val="bottom"/>
          </w:tcPr>
          <w:p w14:paraId="392BF692" w14:textId="77777777" w:rsidR="00980E5F" w:rsidRDefault="00980E5F">
            <w:pPr>
              <w:rPr>
                <w:rFonts w:ascii="宋体"/>
                <w:vanish/>
              </w:rPr>
            </w:pPr>
          </w:p>
        </w:tc>
        <w:tc>
          <w:tcPr>
            <w:tcW w:w="0" w:type="auto"/>
            <w:shd w:val="clear" w:color="auto" w:fill="auto"/>
            <w:vAlign w:val="bottom"/>
          </w:tcPr>
          <w:p w14:paraId="392BF693" w14:textId="77777777" w:rsidR="00980E5F" w:rsidRDefault="00980E5F">
            <w:pPr>
              <w:rPr>
                <w:rFonts w:ascii="宋体"/>
                <w:vanish/>
              </w:rPr>
            </w:pPr>
          </w:p>
        </w:tc>
      </w:tr>
      <w:tr w:rsidR="00980E5F" w14:paraId="392BF6A2" w14:textId="77777777">
        <w:trPr>
          <w:hidden/>
        </w:trPr>
        <w:tc>
          <w:tcPr>
            <w:tcW w:w="0" w:type="auto"/>
            <w:gridSpan w:val="3"/>
            <w:shd w:val="clear" w:color="auto" w:fill="auto"/>
            <w:vAlign w:val="bottom"/>
          </w:tcPr>
          <w:p w14:paraId="392BF695" w14:textId="77777777" w:rsidR="00980E5F" w:rsidRDefault="00980E5F">
            <w:pPr>
              <w:rPr>
                <w:rFonts w:ascii="宋体"/>
                <w:vanish/>
              </w:rPr>
            </w:pPr>
          </w:p>
        </w:tc>
        <w:tc>
          <w:tcPr>
            <w:tcW w:w="0" w:type="auto"/>
            <w:gridSpan w:val="3"/>
            <w:shd w:val="clear" w:color="auto" w:fill="auto"/>
            <w:vAlign w:val="bottom"/>
          </w:tcPr>
          <w:p w14:paraId="392BF696" w14:textId="77777777" w:rsidR="00980E5F" w:rsidRDefault="00980E5F">
            <w:pPr>
              <w:rPr>
                <w:rFonts w:ascii="宋体"/>
                <w:vanish/>
              </w:rPr>
            </w:pPr>
          </w:p>
        </w:tc>
        <w:tc>
          <w:tcPr>
            <w:tcW w:w="0" w:type="auto"/>
            <w:gridSpan w:val="3"/>
            <w:shd w:val="clear" w:color="auto" w:fill="auto"/>
            <w:vAlign w:val="bottom"/>
          </w:tcPr>
          <w:p w14:paraId="392BF697" w14:textId="77777777" w:rsidR="00980E5F" w:rsidRDefault="00980E5F">
            <w:pPr>
              <w:rPr>
                <w:rFonts w:ascii="宋体"/>
                <w:vanish/>
              </w:rPr>
            </w:pPr>
          </w:p>
        </w:tc>
        <w:tc>
          <w:tcPr>
            <w:tcW w:w="0" w:type="auto"/>
            <w:gridSpan w:val="3"/>
            <w:shd w:val="clear" w:color="auto" w:fill="auto"/>
            <w:vAlign w:val="bottom"/>
          </w:tcPr>
          <w:p w14:paraId="392BF698" w14:textId="77777777" w:rsidR="00980E5F" w:rsidRDefault="00980E5F">
            <w:pPr>
              <w:rPr>
                <w:rFonts w:ascii="宋体"/>
                <w:vanish/>
              </w:rPr>
            </w:pPr>
          </w:p>
        </w:tc>
        <w:tc>
          <w:tcPr>
            <w:tcW w:w="0" w:type="auto"/>
            <w:gridSpan w:val="3"/>
            <w:shd w:val="clear" w:color="auto" w:fill="auto"/>
            <w:vAlign w:val="bottom"/>
          </w:tcPr>
          <w:p w14:paraId="392BF699" w14:textId="77777777" w:rsidR="00980E5F" w:rsidRDefault="00980E5F">
            <w:pPr>
              <w:rPr>
                <w:rFonts w:ascii="宋体"/>
                <w:vanish/>
              </w:rPr>
            </w:pPr>
          </w:p>
        </w:tc>
        <w:tc>
          <w:tcPr>
            <w:tcW w:w="0" w:type="auto"/>
            <w:gridSpan w:val="3"/>
            <w:shd w:val="clear" w:color="auto" w:fill="auto"/>
            <w:vAlign w:val="bottom"/>
          </w:tcPr>
          <w:p w14:paraId="392BF69A" w14:textId="77777777" w:rsidR="00980E5F" w:rsidRDefault="00980E5F">
            <w:pPr>
              <w:rPr>
                <w:rFonts w:ascii="宋体"/>
                <w:vanish/>
              </w:rPr>
            </w:pPr>
          </w:p>
        </w:tc>
        <w:tc>
          <w:tcPr>
            <w:tcW w:w="0" w:type="auto"/>
            <w:gridSpan w:val="3"/>
            <w:shd w:val="clear" w:color="auto" w:fill="auto"/>
            <w:vAlign w:val="bottom"/>
          </w:tcPr>
          <w:p w14:paraId="392BF69B" w14:textId="77777777" w:rsidR="00980E5F" w:rsidRDefault="00980E5F">
            <w:pPr>
              <w:rPr>
                <w:rFonts w:ascii="宋体"/>
                <w:vanish/>
              </w:rPr>
            </w:pPr>
          </w:p>
        </w:tc>
        <w:tc>
          <w:tcPr>
            <w:tcW w:w="0" w:type="auto"/>
            <w:gridSpan w:val="3"/>
            <w:shd w:val="clear" w:color="auto" w:fill="auto"/>
            <w:vAlign w:val="bottom"/>
          </w:tcPr>
          <w:p w14:paraId="392BF69C" w14:textId="77777777" w:rsidR="00980E5F" w:rsidRDefault="00980E5F">
            <w:pPr>
              <w:rPr>
                <w:rFonts w:ascii="宋体"/>
                <w:vanish/>
              </w:rPr>
            </w:pPr>
          </w:p>
        </w:tc>
        <w:tc>
          <w:tcPr>
            <w:tcW w:w="0" w:type="auto"/>
            <w:gridSpan w:val="3"/>
            <w:shd w:val="clear" w:color="auto" w:fill="auto"/>
            <w:vAlign w:val="bottom"/>
          </w:tcPr>
          <w:p w14:paraId="392BF69D" w14:textId="77777777" w:rsidR="00980E5F" w:rsidRDefault="00980E5F">
            <w:pPr>
              <w:rPr>
                <w:rFonts w:ascii="宋体"/>
                <w:vanish/>
              </w:rPr>
            </w:pPr>
          </w:p>
        </w:tc>
        <w:tc>
          <w:tcPr>
            <w:tcW w:w="0" w:type="auto"/>
            <w:gridSpan w:val="3"/>
            <w:shd w:val="clear" w:color="auto" w:fill="auto"/>
            <w:vAlign w:val="bottom"/>
          </w:tcPr>
          <w:p w14:paraId="392BF69E" w14:textId="77777777" w:rsidR="00980E5F" w:rsidRDefault="00980E5F">
            <w:pPr>
              <w:rPr>
                <w:rFonts w:ascii="宋体"/>
                <w:vanish/>
              </w:rPr>
            </w:pPr>
          </w:p>
        </w:tc>
        <w:tc>
          <w:tcPr>
            <w:tcW w:w="0" w:type="auto"/>
            <w:gridSpan w:val="3"/>
            <w:shd w:val="clear" w:color="auto" w:fill="auto"/>
            <w:vAlign w:val="bottom"/>
          </w:tcPr>
          <w:p w14:paraId="392BF69F" w14:textId="77777777" w:rsidR="00980E5F" w:rsidRDefault="00980E5F">
            <w:pPr>
              <w:rPr>
                <w:rFonts w:ascii="宋体"/>
                <w:vanish/>
              </w:rPr>
            </w:pPr>
          </w:p>
        </w:tc>
        <w:tc>
          <w:tcPr>
            <w:tcW w:w="0" w:type="auto"/>
            <w:gridSpan w:val="3"/>
            <w:shd w:val="clear" w:color="auto" w:fill="auto"/>
            <w:vAlign w:val="bottom"/>
          </w:tcPr>
          <w:p w14:paraId="392BF6A0" w14:textId="77777777" w:rsidR="00980E5F" w:rsidRDefault="00980E5F">
            <w:pPr>
              <w:rPr>
                <w:rFonts w:ascii="宋体"/>
                <w:vanish/>
              </w:rPr>
            </w:pPr>
          </w:p>
        </w:tc>
        <w:tc>
          <w:tcPr>
            <w:tcW w:w="0" w:type="auto"/>
            <w:shd w:val="clear" w:color="auto" w:fill="auto"/>
            <w:vAlign w:val="bottom"/>
          </w:tcPr>
          <w:p w14:paraId="392BF6A1" w14:textId="77777777" w:rsidR="00980E5F" w:rsidRDefault="00980E5F">
            <w:pPr>
              <w:rPr>
                <w:rFonts w:ascii="宋体"/>
                <w:vanish/>
              </w:rPr>
            </w:pPr>
          </w:p>
        </w:tc>
      </w:tr>
      <w:tr w:rsidR="00980E5F" w14:paraId="392BF6B0" w14:textId="77777777">
        <w:trPr>
          <w:hidden/>
        </w:trPr>
        <w:tc>
          <w:tcPr>
            <w:tcW w:w="0" w:type="auto"/>
            <w:gridSpan w:val="3"/>
            <w:shd w:val="clear" w:color="auto" w:fill="auto"/>
            <w:vAlign w:val="bottom"/>
          </w:tcPr>
          <w:p w14:paraId="392BF6A3" w14:textId="77777777" w:rsidR="00980E5F" w:rsidRDefault="00980E5F">
            <w:pPr>
              <w:rPr>
                <w:rFonts w:ascii="宋体"/>
                <w:vanish/>
              </w:rPr>
            </w:pPr>
          </w:p>
        </w:tc>
        <w:tc>
          <w:tcPr>
            <w:tcW w:w="0" w:type="auto"/>
            <w:gridSpan w:val="3"/>
            <w:shd w:val="clear" w:color="auto" w:fill="auto"/>
            <w:vAlign w:val="bottom"/>
          </w:tcPr>
          <w:p w14:paraId="392BF6A4" w14:textId="77777777" w:rsidR="00980E5F" w:rsidRDefault="00980E5F">
            <w:pPr>
              <w:rPr>
                <w:rFonts w:ascii="宋体"/>
                <w:vanish/>
              </w:rPr>
            </w:pPr>
          </w:p>
        </w:tc>
        <w:tc>
          <w:tcPr>
            <w:tcW w:w="0" w:type="auto"/>
            <w:gridSpan w:val="3"/>
            <w:shd w:val="clear" w:color="auto" w:fill="auto"/>
            <w:vAlign w:val="bottom"/>
          </w:tcPr>
          <w:p w14:paraId="392BF6A5" w14:textId="77777777" w:rsidR="00980E5F" w:rsidRDefault="00980E5F">
            <w:pPr>
              <w:rPr>
                <w:rFonts w:ascii="宋体"/>
                <w:vanish/>
              </w:rPr>
            </w:pPr>
          </w:p>
        </w:tc>
        <w:tc>
          <w:tcPr>
            <w:tcW w:w="0" w:type="auto"/>
            <w:gridSpan w:val="3"/>
            <w:shd w:val="clear" w:color="auto" w:fill="auto"/>
            <w:vAlign w:val="bottom"/>
          </w:tcPr>
          <w:p w14:paraId="392BF6A6" w14:textId="77777777" w:rsidR="00980E5F" w:rsidRDefault="00980E5F">
            <w:pPr>
              <w:rPr>
                <w:rFonts w:ascii="宋体"/>
                <w:vanish/>
              </w:rPr>
            </w:pPr>
          </w:p>
        </w:tc>
        <w:tc>
          <w:tcPr>
            <w:tcW w:w="0" w:type="auto"/>
            <w:gridSpan w:val="3"/>
            <w:shd w:val="clear" w:color="auto" w:fill="auto"/>
            <w:vAlign w:val="bottom"/>
          </w:tcPr>
          <w:p w14:paraId="392BF6A7" w14:textId="77777777" w:rsidR="00980E5F" w:rsidRDefault="00980E5F">
            <w:pPr>
              <w:rPr>
                <w:rFonts w:ascii="宋体"/>
                <w:vanish/>
              </w:rPr>
            </w:pPr>
          </w:p>
        </w:tc>
        <w:tc>
          <w:tcPr>
            <w:tcW w:w="0" w:type="auto"/>
            <w:gridSpan w:val="3"/>
            <w:shd w:val="clear" w:color="auto" w:fill="auto"/>
            <w:vAlign w:val="bottom"/>
          </w:tcPr>
          <w:p w14:paraId="392BF6A8" w14:textId="77777777" w:rsidR="00980E5F" w:rsidRDefault="00980E5F">
            <w:pPr>
              <w:rPr>
                <w:rFonts w:ascii="宋体"/>
                <w:vanish/>
              </w:rPr>
            </w:pPr>
          </w:p>
        </w:tc>
        <w:tc>
          <w:tcPr>
            <w:tcW w:w="0" w:type="auto"/>
            <w:gridSpan w:val="3"/>
            <w:shd w:val="clear" w:color="auto" w:fill="auto"/>
            <w:vAlign w:val="bottom"/>
          </w:tcPr>
          <w:p w14:paraId="392BF6A9" w14:textId="77777777" w:rsidR="00980E5F" w:rsidRDefault="00980E5F">
            <w:pPr>
              <w:rPr>
                <w:rFonts w:ascii="宋体"/>
                <w:vanish/>
              </w:rPr>
            </w:pPr>
          </w:p>
        </w:tc>
        <w:tc>
          <w:tcPr>
            <w:tcW w:w="0" w:type="auto"/>
            <w:gridSpan w:val="3"/>
            <w:shd w:val="clear" w:color="auto" w:fill="auto"/>
            <w:vAlign w:val="bottom"/>
          </w:tcPr>
          <w:p w14:paraId="392BF6AA" w14:textId="77777777" w:rsidR="00980E5F" w:rsidRDefault="00980E5F">
            <w:pPr>
              <w:rPr>
                <w:rFonts w:ascii="宋体"/>
                <w:vanish/>
              </w:rPr>
            </w:pPr>
          </w:p>
        </w:tc>
        <w:tc>
          <w:tcPr>
            <w:tcW w:w="0" w:type="auto"/>
            <w:gridSpan w:val="3"/>
            <w:shd w:val="clear" w:color="auto" w:fill="auto"/>
            <w:vAlign w:val="bottom"/>
          </w:tcPr>
          <w:p w14:paraId="392BF6AB" w14:textId="77777777" w:rsidR="00980E5F" w:rsidRDefault="00980E5F">
            <w:pPr>
              <w:rPr>
                <w:rFonts w:ascii="宋体"/>
                <w:vanish/>
              </w:rPr>
            </w:pPr>
          </w:p>
        </w:tc>
        <w:tc>
          <w:tcPr>
            <w:tcW w:w="0" w:type="auto"/>
            <w:gridSpan w:val="3"/>
            <w:shd w:val="clear" w:color="auto" w:fill="auto"/>
            <w:vAlign w:val="bottom"/>
          </w:tcPr>
          <w:p w14:paraId="392BF6AC" w14:textId="77777777" w:rsidR="00980E5F" w:rsidRDefault="00980E5F">
            <w:pPr>
              <w:rPr>
                <w:rFonts w:ascii="宋体"/>
                <w:vanish/>
              </w:rPr>
            </w:pPr>
          </w:p>
        </w:tc>
        <w:tc>
          <w:tcPr>
            <w:tcW w:w="0" w:type="auto"/>
            <w:gridSpan w:val="3"/>
            <w:shd w:val="clear" w:color="auto" w:fill="auto"/>
            <w:vAlign w:val="bottom"/>
          </w:tcPr>
          <w:p w14:paraId="392BF6AD" w14:textId="77777777" w:rsidR="00980E5F" w:rsidRDefault="00980E5F">
            <w:pPr>
              <w:rPr>
                <w:rFonts w:ascii="宋体"/>
                <w:vanish/>
              </w:rPr>
            </w:pPr>
          </w:p>
        </w:tc>
        <w:tc>
          <w:tcPr>
            <w:tcW w:w="0" w:type="auto"/>
            <w:gridSpan w:val="3"/>
            <w:shd w:val="clear" w:color="auto" w:fill="auto"/>
            <w:vAlign w:val="bottom"/>
          </w:tcPr>
          <w:p w14:paraId="392BF6AE" w14:textId="77777777" w:rsidR="00980E5F" w:rsidRDefault="00980E5F">
            <w:pPr>
              <w:rPr>
                <w:rFonts w:ascii="宋体"/>
                <w:vanish/>
              </w:rPr>
            </w:pPr>
          </w:p>
        </w:tc>
        <w:tc>
          <w:tcPr>
            <w:tcW w:w="0" w:type="auto"/>
            <w:shd w:val="clear" w:color="auto" w:fill="auto"/>
            <w:vAlign w:val="bottom"/>
          </w:tcPr>
          <w:p w14:paraId="392BF6AF" w14:textId="77777777" w:rsidR="00980E5F" w:rsidRDefault="00980E5F">
            <w:pPr>
              <w:rPr>
                <w:rFonts w:ascii="宋体"/>
                <w:vanish/>
              </w:rPr>
            </w:pPr>
          </w:p>
        </w:tc>
      </w:tr>
      <w:tr w:rsidR="00980E5F" w14:paraId="392BF6BE" w14:textId="77777777">
        <w:trPr>
          <w:hidden/>
        </w:trPr>
        <w:tc>
          <w:tcPr>
            <w:tcW w:w="0" w:type="auto"/>
            <w:gridSpan w:val="3"/>
            <w:shd w:val="clear" w:color="auto" w:fill="auto"/>
            <w:vAlign w:val="bottom"/>
          </w:tcPr>
          <w:p w14:paraId="392BF6B1" w14:textId="77777777" w:rsidR="00980E5F" w:rsidRDefault="00980E5F">
            <w:pPr>
              <w:rPr>
                <w:rFonts w:ascii="宋体"/>
                <w:vanish/>
              </w:rPr>
            </w:pPr>
          </w:p>
        </w:tc>
        <w:tc>
          <w:tcPr>
            <w:tcW w:w="0" w:type="auto"/>
            <w:gridSpan w:val="3"/>
            <w:shd w:val="clear" w:color="auto" w:fill="auto"/>
            <w:vAlign w:val="bottom"/>
          </w:tcPr>
          <w:p w14:paraId="392BF6B2" w14:textId="77777777" w:rsidR="00980E5F" w:rsidRDefault="00980E5F">
            <w:pPr>
              <w:rPr>
                <w:rFonts w:ascii="宋体"/>
                <w:vanish/>
              </w:rPr>
            </w:pPr>
          </w:p>
        </w:tc>
        <w:tc>
          <w:tcPr>
            <w:tcW w:w="0" w:type="auto"/>
            <w:gridSpan w:val="3"/>
            <w:shd w:val="clear" w:color="auto" w:fill="auto"/>
            <w:vAlign w:val="bottom"/>
          </w:tcPr>
          <w:p w14:paraId="392BF6B3" w14:textId="77777777" w:rsidR="00980E5F" w:rsidRDefault="00980E5F">
            <w:pPr>
              <w:rPr>
                <w:rFonts w:ascii="宋体"/>
                <w:vanish/>
              </w:rPr>
            </w:pPr>
          </w:p>
        </w:tc>
        <w:tc>
          <w:tcPr>
            <w:tcW w:w="0" w:type="auto"/>
            <w:gridSpan w:val="3"/>
            <w:shd w:val="clear" w:color="auto" w:fill="auto"/>
            <w:vAlign w:val="bottom"/>
          </w:tcPr>
          <w:p w14:paraId="392BF6B4" w14:textId="77777777" w:rsidR="00980E5F" w:rsidRDefault="00980E5F">
            <w:pPr>
              <w:rPr>
                <w:rFonts w:ascii="宋体"/>
                <w:vanish/>
              </w:rPr>
            </w:pPr>
          </w:p>
        </w:tc>
        <w:tc>
          <w:tcPr>
            <w:tcW w:w="0" w:type="auto"/>
            <w:gridSpan w:val="3"/>
            <w:shd w:val="clear" w:color="auto" w:fill="auto"/>
            <w:vAlign w:val="bottom"/>
          </w:tcPr>
          <w:p w14:paraId="392BF6B5" w14:textId="77777777" w:rsidR="00980E5F" w:rsidRDefault="00980E5F">
            <w:pPr>
              <w:rPr>
                <w:rFonts w:ascii="宋体"/>
                <w:vanish/>
              </w:rPr>
            </w:pPr>
          </w:p>
        </w:tc>
        <w:tc>
          <w:tcPr>
            <w:tcW w:w="0" w:type="auto"/>
            <w:gridSpan w:val="3"/>
            <w:shd w:val="clear" w:color="auto" w:fill="auto"/>
            <w:vAlign w:val="bottom"/>
          </w:tcPr>
          <w:p w14:paraId="392BF6B6" w14:textId="77777777" w:rsidR="00980E5F" w:rsidRDefault="00980E5F">
            <w:pPr>
              <w:rPr>
                <w:rFonts w:ascii="宋体"/>
                <w:vanish/>
              </w:rPr>
            </w:pPr>
          </w:p>
        </w:tc>
        <w:tc>
          <w:tcPr>
            <w:tcW w:w="0" w:type="auto"/>
            <w:gridSpan w:val="3"/>
            <w:shd w:val="clear" w:color="auto" w:fill="auto"/>
            <w:vAlign w:val="bottom"/>
          </w:tcPr>
          <w:p w14:paraId="392BF6B7" w14:textId="77777777" w:rsidR="00980E5F" w:rsidRDefault="00980E5F">
            <w:pPr>
              <w:rPr>
                <w:rFonts w:ascii="宋体"/>
                <w:vanish/>
              </w:rPr>
            </w:pPr>
          </w:p>
        </w:tc>
        <w:tc>
          <w:tcPr>
            <w:tcW w:w="0" w:type="auto"/>
            <w:gridSpan w:val="3"/>
            <w:shd w:val="clear" w:color="auto" w:fill="auto"/>
            <w:vAlign w:val="bottom"/>
          </w:tcPr>
          <w:p w14:paraId="392BF6B8" w14:textId="77777777" w:rsidR="00980E5F" w:rsidRDefault="00980E5F">
            <w:pPr>
              <w:rPr>
                <w:rFonts w:ascii="宋体"/>
                <w:vanish/>
              </w:rPr>
            </w:pPr>
          </w:p>
        </w:tc>
        <w:tc>
          <w:tcPr>
            <w:tcW w:w="0" w:type="auto"/>
            <w:gridSpan w:val="3"/>
            <w:shd w:val="clear" w:color="auto" w:fill="auto"/>
            <w:vAlign w:val="bottom"/>
          </w:tcPr>
          <w:p w14:paraId="392BF6B9" w14:textId="77777777" w:rsidR="00980E5F" w:rsidRDefault="00980E5F">
            <w:pPr>
              <w:rPr>
                <w:rFonts w:ascii="宋体"/>
                <w:vanish/>
              </w:rPr>
            </w:pPr>
          </w:p>
        </w:tc>
        <w:tc>
          <w:tcPr>
            <w:tcW w:w="0" w:type="auto"/>
            <w:gridSpan w:val="3"/>
            <w:shd w:val="clear" w:color="auto" w:fill="auto"/>
            <w:vAlign w:val="bottom"/>
          </w:tcPr>
          <w:p w14:paraId="392BF6BA" w14:textId="77777777" w:rsidR="00980E5F" w:rsidRDefault="00980E5F">
            <w:pPr>
              <w:rPr>
                <w:rFonts w:ascii="宋体"/>
                <w:vanish/>
              </w:rPr>
            </w:pPr>
          </w:p>
        </w:tc>
        <w:tc>
          <w:tcPr>
            <w:tcW w:w="0" w:type="auto"/>
            <w:gridSpan w:val="3"/>
            <w:shd w:val="clear" w:color="auto" w:fill="auto"/>
            <w:vAlign w:val="bottom"/>
          </w:tcPr>
          <w:p w14:paraId="392BF6BB" w14:textId="77777777" w:rsidR="00980E5F" w:rsidRDefault="00980E5F">
            <w:pPr>
              <w:rPr>
                <w:rFonts w:ascii="宋体"/>
                <w:vanish/>
              </w:rPr>
            </w:pPr>
          </w:p>
        </w:tc>
        <w:tc>
          <w:tcPr>
            <w:tcW w:w="0" w:type="auto"/>
            <w:gridSpan w:val="3"/>
            <w:shd w:val="clear" w:color="auto" w:fill="auto"/>
            <w:vAlign w:val="bottom"/>
          </w:tcPr>
          <w:p w14:paraId="392BF6BC" w14:textId="77777777" w:rsidR="00980E5F" w:rsidRDefault="00980E5F">
            <w:pPr>
              <w:rPr>
                <w:rFonts w:ascii="宋体"/>
                <w:vanish/>
              </w:rPr>
            </w:pPr>
          </w:p>
        </w:tc>
        <w:tc>
          <w:tcPr>
            <w:tcW w:w="0" w:type="auto"/>
            <w:shd w:val="clear" w:color="auto" w:fill="auto"/>
            <w:vAlign w:val="bottom"/>
          </w:tcPr>
          <w:p w14:paraId="392BF6BD" w14:textId="77777777" w:rsidR="00980E5F" w:rsidRDefault="00980E5F">
            <w:pPr>
              <w:rPr>
                <w:rFonts w:ascii="宋体"/>
                <w:vanish/>
              </w:rPr>
            </w:pPr>
          </w:p>
        </w:tc>
      </w:tr>
      <w:tr w:rsidR="00980E5F" w14:paraId="392BF6CC" w14:textId="77777777">
        <w:trPr>
          <w:hidden/>
        </w:trPr>
        <w:tc>
          <w:tcPr>
            <w:tcW w:w="0" w:type="auto"/>
            <w:gridSpan w:val="3"/>
            <w:shd w:val="clear" w:color="auto" w:fill="auto"/>
            <w:vAlign w:val="bottom"/>
          </w:tcPr>
          <w:p w14:paraId="392BF6BF" w14:textId="77777777" w:rsidR="00980E5F" w:rsidRDefault="00980E5F">
            <w:pPr>
              <w:rPr>
                <w:rFonts w:ascii="宋体"/>
                <w:vanish/>
              </w:rPr>
            </w:pPr>
          </w:p>
        </w:tc>
        <w:tc>
          <w:tcPr>
            <w:tcW w:w="0" w:type="auto"/>
            <w:gridSpan w:val="3"/>
            <w:shd w:val="clear" w:color="auto" w:fill="auto"/>
            <w:vAlign w:val="bottom"/>
          </w:tcPr>
          <w:p w14:paraId="392BF6C0" w14:textId="77777777" w:rsidR="00980E5F" w:rsidRDefault="00980E5F">
            <w:pPr>
              <w:rPr>
                <w:rFonts w:ascii="宋体"/>
                <w:vanish/>
              </w:rPr>
            </w:pPr>
          </w:p>
        </w:tc>
        <w:tc>
          <w:tcPr>
            <w:tcW w:w="0" w:type="auto"/>
            <w:gridSpan w:val="3"/>
            <w:shd w:val="clear" w:color="auto" w:fill="auto"/>
            <w:vAlign w:val="bottom"/>
          </w:tcPr>
          <w:p w14:paraId="392BF6C1" w14:textId="77777777" w:rsidR="00980E5F" w:rsidRDefault="00980E5F">
            <w:pPr>
              <w:rPr>
                <w:rFonts w:ascii="宋体"/>
                <w:vanish/>
              </w:rPr>
            </w:pPr>
          </w:p>
        </w:tc>
        <w:tc>
          <w:tcPr>
            <w:tcW w:w="0" w:type="auto"/>
            <w:gridSpan w:val="3"/>
            <w:shd w:val="clear" w:color="auto" w:fill="auto"/>
            <w:vAlign w:val="bottom"/>
          </w:tcPr>
          <w:p w14:paraId="392BF6C2" w14:textId="77777777" w:rsidR="00980E5F" w:rsidRDefault="00980E5F">
            <w:pPr>
              <w:rPr>
                <w:rFonts w:ascii="宋体"/>
                <w:vanish/>
              </w:rPr>
            </w:pPr>
          </w:p>
        </w:tc>
        <w:tc>
          <w:tcPr>
            <w:tcW w:w="0" w:type="auto"/>
            <w:gridSpan w:val="3"/>
            <w:shd w:val="clear" w:color="auto" w:fill="auto"/>
            <w:vAlign w:val="bottom"/>
          </w:tcPr>
          <w:p w14:paraId="392BF6C3" w14:textId="77777777" w:rsidR="00980E5F" w:rsidRDefault="00980E5F">
            <w:pPr>
              <w:rPr>
                <w:rFonts w:ascii="宋体"/>
                <w:vanish/>
              </w:rPr>
            </w:pPr>
          </w:p>
        </w:tc>
        <w:tc>
          <w:tcPr>
            <w:tcW w:w="0" w:type="auto"/>
            <w:gridSpan w:val="3"/>
            <w:shd w:val="clear" w:color="auto" w:fill="auto"/>
            <w:vAlign w:val="bottom"/>
          </w:tcPr>
          <w:p w14:paraId="392BF6C4" w14:textId="77777777" w:rsidR="00980E5F" w:rsidRDefault="00980E5F">
            <w:pPr>
              <w:rPr>
                <w:rFonts w:ascii="宋体"/>
                <w:vanish/>
              </w:rPr>
            </w:pPr>
          </w:p>
        </w:tc>
        <w:tc>
          <w:tcPr>
            <w:tcW w:w="0" w:type="auto"/>
            <w:gridSpan w:val="3"/>
            <w:shd w:val="clear" w:color="auto" w:fill="auto"/>
            <w:vAlign w:val="bottom"/>
          </w:tcPr>
          <w:p w14:paraId="392BF6C5" w14:textId="77777777" w:rsidR="00980E5F" w:rsidRDefault="00980E5F">
            <w:pPr>
              <w:rPr>
                <w:rFonts w:ascii="宋体"/>
                <w:vanish/>
              </w:rPr>
            </w:pPr>
          </w:p>
        </w:tc>
        <w:tc>
          <w:tcPr>
            <w:tcW w:w="0" w:type="auto"/>
            <w:gridSpan w:val="3"/>
            <w:shd w:val="clear" w:color="auto" w:fill="auto"/>
            <w:vAlign w:val="bottom"/>
          </w:tcPr>
          <w:p w14:paraId="392BF6C6" w14:textId="77777777" w:rsidR="00980E5F" w:rsidRDefault="00980E5F">
            <w:pPr>
              <w:rPr>
                <w:rFonts w:ascii="宋体"/>
                <w:vanish/>
              </w:rPr>
            </w:pPr>
          </w:p>
        </w:tc>
        <w:tc>
          <w:tcPr>
            <w:tcW w:w="0" w:type="auto"/>
            <w:gridSpan w:val="3"/>
            <w:shd w:val="clear" w:color="auto" w:fill="auto"/>
            <w:vAlign w:val="bottom"/>
          </w:tcPr>
          <w:p w14:paraId="392BF6C7" w14:textId="77777777" w:rsidR="00980E5F" w:rsidRDefault="00980E5F">
            <w:pPr>
              <w:rPr>
                <w:rFonts w:ascii="宋体"/>
                <w:vanish/>
              </w:rPr>
            </w:pPr>
          </w:p>
        </w:tc>
        <w:tc>
          <w:tcPr>
            <w:tcW w:w="0" w:type="auto"/>
            <w:gridSpan w:val="3"/>
            <w:shd w:val="clear" w:color="auto" w:fill="auto"/>
            <w:vAlign w:val="bottom"/>
          </w:tcPr>
          <w:p w14:paraId="392BF6C8" w14:textId="77777777" w:rsidR="00980E5F" w:rsidRDefault="00980E5F">
            <w:pPr>
              <w:rPr>
                <w:rFonts w:ascii="宋体"/>
                <w:vanish/>
              </w:rPr>
            </w:pPr>
          </w:p>
        </w:tc>
        <w:tc>
          <w:tcPr>
            <w:tcW w:w="0" w:type="auto"/>
            <w:gridSpan w:val="3"/>
            <w:shd w:val="clear" w:color="auto" w:fill="auto"/>
            <w:vAlign w:val="bottom"/>
          </w:tcPr>
          <w:p w14:paraId="392BF6C9" w14:textId="77777777" w:rsidR="00980E5F" w:rsidRDefault="00980E5F">
            <w:pPr>
              <w:rPr>
                <w:rFonts w:ascii="宋体"/>
                <w:vanish/>
              </w:rPr>
            </w:pPr>
          </w:p>
        </w:tc>
        <w:tc>
          <w:tcPr>
            <w:tcW w:w="0" w:type="auto"/>
            <w:gridSpan w:val="3"/>
            <w:shd w:val="clear" w:color="auto" w:fill="auto"/>
            <w:vAlign w:val="bottom"/>
          </w:tcPr>
          <w:p w14:paraId="392BF6CA" w14:textId="77777777" w:rsidR="00980E5F" w:rsidRDefault="00980E5F">
            <w:pPr>
              <w:rPr>
                <w:rFonts w:ascii="宋体"/>
                <w:vanish/>
              </w:rPr>
            </w:pPr>
          </w:p>
        </w:tc>
        <w:tc>
          <w:tcPr>
            <w:tcW w:w="0" w:type="auto"/>
            <w:shd w:val="clear" w:color="auto" w:fill="auto"/>
            <w:vAlign w:val="bottom"/>
          </w:tcPr>
          <w:p w14:paraId="392BF6CB" w14:textId="77777777" w:rsidR="00980E5F" w:rsidRDefault="00980E5F">
            <w:pPr>
              <w:rPr>
                <w:rFonts w:ascii="宋体"/>
                <w:vanish/>
              </w:rPr>
            </w:pPr>
          </w:p>
        </w:tc>
      </w:tr>
      <w:tr w:rsidR="00980E5F" w14:paraId="392BF6DA" w14:textId="77777777">
        <w:trPr>
          <w:trHeight w:val="220"/>
        </w:trPr>
        <w:tc>
          <w:tcPr>
            <w:tcW w:w="0" w:type="auto"/>
            <w:gridSpan w:val="3"/>
            <w:shd w:val="clear" w:color="auto" w:fill="FFFFFF"/>
            <w:tcMar>
              <w:top w:w="0" w:type="dxa"/>
              <w:left w:w="20" w:type="dxa"/>
              <w:bottom w:w="0" w:type="dxa"/>
              <w:right w:w="20" w:type="dxa"/>
            </w:tcMar>
            <w:vAlign w:val="bottom"/>
          </w:tcPr>
          <w:p w14:paraId="392BF6CD"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6C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6D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D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6D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D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6D5"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D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6D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6D8" w14:textId="77777777" w:rsidR="00980E5F" w:rsidRDefault="00980E5F">
            <w:pPr>
              <w:rPr>
                <w:rFonts w:ascii="宋体"/>
              </w:rPr>
            </w:pPr>
          </w:p>
        </w:tc>
        <w:tc>
          <w:tcPr>
            <w:tcW w:w="0" w:type="auto"/>
            <w:shd w:val="clear" w:color="auto" w:fill="auto"/>
            <w:vAlign w:val="bottom"/>
          </w:tcPr>
          <w:p w14:paraId="392BF6D9" w14:textId="77777777" w:rsidR="00980E5F" w:rsidRDefault="00980E5F">
            <w:pPr>
              <w:rPr>
                <w:rFonts w:ascii="宋体"/>
                <w:vanish/>
              </w:rPr>
            </w:pPr>
          </w:p>
        </w:tc>
      </w:tr>
      <w:tr w:rsidR="00980E5F" w14:paraId="392BF6F4" w14:textId="77777777">
        <w:tc>
          <w:tcPr>
            <w:tcW w:w="0" w:type="auto"/>
            <w:gridSpan w:val="3"/>
            <w:shd w:val="clear" w:color="auto" w:fill="CCEEFF"/>
            <w:tcMar>
              <w:top w:w="40" w:type="dxa"/>
              <w:left w:w="20" w:type="dxa"/>
              <w:bottom w:w="40" w:type="dxa"/>
              <w:right w:w="20" w:type="dxa"/>
            </w:tcMar>
            <w:vAlign w:val="bottom"/>
          </w:tcPr>
          <w:p w14:paraId="392BF6DB" w14:textId="77777777" w:rsidR="00980E5F" w:rsidRDefault="00483613">
            <w:pPr>
              <w:textAlignment w:val="bottom"/>
            </w:pPr>
            <w:r>
              <w:rPr>
                <w:rFonts w:ascii="Arial" w:eastAsia="宋体" w:hAnsi="Arial" w:cs="Arial"/>
                <w:b/>
                <w:bCs/>
                <w:color w:val="000000"/>
                <w:sz w:val="15"/>
                <w:szCs w:val="15"/>
              </w:rPr>
              <w:t>Balance as of December 31, 2021</w:t>
            </w:r>
          </w:p>
        </w:tc>
        <w:tc>
          <w:tcPr>
            <w:tcW w:w="0" w:type="auto"/>
            <w:shd w:val="clear" w:color="auto" w:fill="CCEEFF"/>
            <w:tcMar>
              <w:top w:w="40" w:type="dxa"/>
              <w:left w:w="20" w:type="dxa"/>
              <w:bottom w:w="40" w:type="dxa"/>
              <w:right w:w="0" w:type="dxa"/>
            </w:tcMar>
            <w:vAlign w:val="bottom"/>
          </w:tcPr>
          <w:p w14:paraId="392BF6D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DD" w14:textId="77777777" w:rsidR="00980E5F" w:rsidRDefault="00483613">
            <w:pPr>
              <w:jc w:val="right"/>
              <w:textAlignment w:val="bottom"/>
            </w:pPr>
            <w:r>
              <w:rPr>
                <w:rFonts w:ascii="Arial" w:eastAsia="宋体" w:hAnsi="Arial" w:cs="Arial"/>
                <w:color w:val="000000"/>
                <w:sz w:val="15"/>
                <w:szCs w:val="15"/>
              </w:rPr>
              <w:t>2,674 </w:t>
            </w:r>
          </w:p>
        </w:tc>
        <w:tc>
          <w:tcPr>
            <w:tcW w:w="0" w:type="auto"/>
            <w:shd w:val="clear" w:color="auto" w:fill="CCEEFF"/>
            <w:tcMar>
              <w:top w:w="40" w:type="dxa"/>
              <w:left w:w="0" w:type="dxa"/>
              <w:bottom w:w="40" w:type="dxa"/>
              <w:right w:w="20" w:type="dxa"/>
            </w:tcMar>
            <w:vAlign w:val="bottom"/>
          </w:tcPr>
          <w:p w14:paraId="392BF6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D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6E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E1" w14:textId="77777777" w:rsidR="00980E5F" w:rsidRDefault="00483613">
            <w:pPr>
              <w:jc w:val="right"/>
              <w:textAlignment w:val="bottom"/>
            </w:pPr>
            <w:r>
              <w:rPr>
                <w:rFonts w:ascii="Arial" w:eastAsia="宋体" w:hAnsi="Arial" w:cs="Arial"/>
                <w:color w:val="000000"/>
                <w:sz w:val="15"/>
                <w:szCs w:val="15"/>
              </w:rPr>
              <w:t>623 </w:t>
            </w:r>
          </w:p>
        </w:tc>
        <w:tc>
          <w:tcPr>
            <w:tcW w:w="0" w:type="auto"/>
            <w:shd w:val="clear" w:color="auto" w:fill="CCEEFF"/>
            <w:tcMar>
              <w:top w:w="40" w:type="dxa"/>
              <w:left w:w="0" w:type="dxa"/>
              <w:bottom w:w="40" w:type="dxa"/>
              <w:right w:w="20" w:type="dxa"/>
            </w:tcMar>
            <w:vAlign w:val="bottom"/>
          </w:tcPr>
          <w:p w14:paraId="392BF6E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E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6E4"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E5" w14:textId="77777777" w:rsidR="00980E5F" w:rsidRDefault="00483613">
            <w:pPr>
              <w:jc w:val="right"/>
              <w:textAlignment w:val="bottom"/>
            </w:pPr>
            <w:r>
              <w:rPr>
                <w:rFonts w:ascii="Arial" w:eastAsia="宋体" w:hAnsi="Arial" w:cs="Arial"/>
                <w:color w:val="000000"/>
                <w:sz w:val="15"/>
                <w:szCs w:val="15"/>
              </w:rPr>
              <w:t>368 </w:t>
            </w:r>
          </w:p>
        </w:tc>
        <w:tc>
          <w:tcPr>
            <w:tcW w:w="0" w:type="auto"/>
            <w:shd w:val="clear" w:color="auto" w:fill="CCEEFF"/>
            <w:tcMar>
              <w:top w:w="40" w:type="dxa"/>
              <w:left w:w="0" w:type="dxa"/>
              <w:bottom w:w="40" w:type="dxa"/>
              <w:right w:w="20" w:type="dxa"/>
            </w:tcMar>
            <w:vAlign w:val="bottom"/>
          </w:tcPr>
          <w:p w14:paraId="392BF6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E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6E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E9" w14:textId="77777777" w:rsidR="00980E5F" w:rsidRDefault="00483613">
            <w:pPr>
              <w:jc w:val="right"/>
              <w:textAlignment w:val="bottom"/>
            </w:pPr>
            <w:r>
              <w:rPr>
                <w:rFonts w:ascii="Arial" w:eastAsia="宋体" w:hAnsi="Arial" w:cs="Arial"/>
                <w:color w:val="000000"/>
                <w:sz w:val="15"/>
                <w:szCs w:val="15"/>
              </w:rPr>
              <w:t>222 </w:t>
            </w:r>
          </w:p>
        </w:tc>
        <w:tc>
          <w:tcPr>
            <w:tcW w:w="0" w:type="auto"/>
            <w:shd w:val="clear" w:color="auto" w:fill="CCEEFF"/>
            <w:tcMar>
              <w:top w:w="40" w:type="dxa"/>
              <w:left w:w="0" w:type="dxa"/>
              <w:bottom w:w="40" w:type="dxa"/>
              <w:right w:w="20" w:type="dxa"/>
            </w:tcMar>
            <w:vAlign w:val="bottom"/>
          </w:tcPr>
          <w:p w14:paraId="392BF6E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E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6E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ED" w14:textId="77777777" w:rsidR="00980E5F" w:rsidRDefault="00483613">
            <w:pPr>
              <w:jc w:val="right"/>
              <w:textAlignment w:val="bottom"/>
            </w:pPr>
            <w:r>
              <w:rPr>
                <w:rFonts w:ascii="Arial" w:eastAsia="宋体" w:hAnsi="Arial" w:cs="Arial"/>
                <w:color w:val="000000"/>
                <w:sz w:val="15"/>
                <w:szCs w:val="15"/>
              </w:rPr>
              <w:t>251 </w:t>
            </w:r>
          </w:p>
        </w:tc>
        <w:tc>
          <w:tcPr>
            <w:tcW w:w="0" w:type="auto"/>
            <w:shd w:val="clear" w:color="auto" w:fill="CCEEFF"/>
            <w:tcMar>
              <w:top w:w="40" w:type="dxa"/>
              <w:left w:w="0" w:type="dxa"/>
              <w:bottom w:w="40" w:type="dxa"/>
              <w:right w:w="20" w:type="dxa"/>
            </w:tcMar>
            <w:vAlign w:val="bottom"/>
          </w:tcPr>
          <w:p w14:paraId="392BF6E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6E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6F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BF6F1" w14:textId="77777777" w:rsidR="00980E5F" w:rsidRDefault="00483613">
            <w:pPr>
              <w:jc w:val="right"/>
              <w:textAlignment w:val="bottom"/>
            </w:pPr>
            <w:r>
              <w:rPr>
                <w:rFonts w:ascii="Arial" w:eastAsia="宋体" w:hAnsi="Arial" w:cs="Arial"/>
                <w:color w:val="000000"/>
                <w:sz w:val="15"/>
                <w:szCs w:val="15"/>
              </w:rPr>
              <w:t>4,138 </w:t>
            </w:r>
          </w:p>
        </w:tc>
        <w:tc>
          <w:tcPr>
            <w:tcW w:w="0" w:type="auto"/>
            <w:shd w:val="clear" w:color="auto" w:fill="CCEEFF"/>
            <w:tcMar>
              <w:top w:w="40" w:type="dxa"/>
              <w:left w:w="0" w:type="dxa"/>
              <w:bottom w:w="40" w:type="dxa"/>
              <w:right w:w="20" w:type="dxa"/>
            </w:tcMar>
            <w:vAlign w:val="bottom"/>
          </w:tcPr>
          <w:p w14:paraId="392BF6F2" w14:textId="77777777" w:rsidR="00980E5F" w:rsidRDefault="00980E5F">
            <w:pPr>
              <w:jc w:val="right"/>
              <w:rPr>
                <w:rFonts w:ascii="宋体"/>
              </w:rPr>
            </w:pPr>
          </w:p>
        </w:tc>
        <w:tc>
          <w:tcPr>
            <w:tcW w:w="0" w:type="auto"/>
            <w:shd w:val="clear" w:color="auto" w:fill="auto"/>
            <w:vAlign w:val="bottom"/>
          </w:tcPr>
          <w:p w14:paraId="392BF6F3" w14:textId="77777777" w:rsidR="00980E5F" w:rsidRDefault="00980E5F">
            <w:pPr>
              <w:rPr>
                <w:rFonts w:ascii="宋体"/>
                <w:vanish/>
              </w:rPr>
            </w:pPr>
          </w:p>
        </w:tc>
      </w:tr>
      <w:tr w:rsidR="00980E5F" w14:paraId="392BF708" w14:textId="77777777">
        <w:tc>
          <w:tcPr>
            <w:tcW w:w="0" w:type="auto"/>
            <w:gridSpan w:val="3"/>
            <w:shd w:val="clear" w:color="auto" w:fill="FFFFFF"/>
            <w:tcMar>
              <w:top w:w="40" w:type="dxa"/>
              <w:left w:w="20" w:type="dxa"/>
              <w:bottom w:w="40" w:type="dxa"/>
              <w:right w:w="20" w:type="dxa"/>
            </w:tcMar>
            <w:vAlign w:val="bottom"/>
          </w:tcPr>
          <w:p w14:paraId="392BF6F5" w14:textId="77777777" w:rsidR="00980E5F" w:rsidRDefault="00483613">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392BF6F6" w14:textId="77777777" w:rsidR="00980E5F" w:rsidRDefault="00483613">
            <w:pPr>
              <w:jc w:val="right"/>
              <w:textAlignment w:val="bottom"/>
            </w:pPr>
            <w:r>
              <w:rPr>
                <w:rFonts w:ascii="Arial" w:eastAsia="宋体" w:hAnsi="Arial" w:cs="Arial"/>
                <w:color w:val="000000"/>
                <w:sz w:val="15"/>
                <w:szCs w:val="15"/>
              </w:rPr>
              <w:t>(25)</w:t>
            </w:r>
          </w:p>
        </w:tc>
        <w:tc>
          <w:tcPr>
            <w:tcW w:w="0" w:type="auto"/>
            <w:shd w:val="clear" w:color="auto" w:fill="FFFFFF"/>
            <w:tcMar>
              <w:top w:w="40" w:type="dxa"/>
              <w:left w:w="0" w:type="dxa"/>
              <w:bottom w:w="40" w:type="dxa"/>
              <w:right w:w="20" w:type="dxa"/>
            </w:tcMar>
            <w:vAlign w:val="bottom"/>
          </w:tcPr>
          <w:p w14:paraId="392BF6F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F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F9" w14:textId="77777777" w:rsidR="00980E5F" w:rsidRDefault="00483613">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92BF6F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F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FC" w14:textId="77777777" w:rsidR="00980E5F" w:rsidRDefault="00483613">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92BF6F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6F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6FF" w14:textId="77777777" w:rsidR="00980E5F" w:rsidRDefault="00483613">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392BF7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02" w14:textId="77777777" w:rsidR="00980E5F" w:rsidRDefault="00483613">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92BF7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05"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392BF706" w14:textId="77777777" w:rsidR="00980E5F" w:rsidRDefault="00980E5F">
            <w:pPr>
              <w:jc w:val="right"/>
              <w:rPr>
                <w:rFonts w:ascii="宋体"/>
              </w:rPr>
            </w:pPr>
          </w:p>
        </w:tc>
        <w:tc>
          <w:tcPr>
            <w:tcW w:w="0" w:type="auto"/>
            <w:shd w:val="clear" w:color="auto" w:fill="auto"/>
            <w:vAlign w:val="bottom"/>
          </w:tcPr>
          <w:p w14:paraId="392BF707" w14:textId="77777777" w:rsidR="00980E5F" w:rsidRDefault="00980E5F">
            <w:pPr>
              <w:rPr>
                <w:rFonts w:ascii="宋体"/>
                <w:vanish/>
              </w:rPr>
            </w:pPr>
          </w:p>
        </w:tc>
      </w:tr>
      <w:tr w:rsidR="00980E5F" w14:paraId="392BF71C" w14:textId="77777777">
        <w:tc>
          <w:tcPr>
            <w:tcW w:w="0" w:type="auto"/>
            <w:gridSpan w:val="3"/>
            <w:shd w:val="clear" w:color="auto" w:fill="CCEEFF"/>
            <w:tcMar>
              <w:top w:w="40" w:type="dxa"/>
              <w:left w:w="20" w:type="dxa"/>
              <w:bottom w:w="40" w:type="dxa"/>
              <w:right w:w="20" w:type="dxa"/>
            </w:tcMar>
            <w:vAlign w:val="bottom"/>
          </w:tcPr>
          <w:p w14:paraId="392BF709" w14:textId="77777777" w:rsidR="00980E5F" w:rsidRDefault="00483613">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92BF70A" w14:textId="77777777" w:rsidR="00980E5F" w:rsidRDefault="00483613">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92BF7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0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0D" w14:textId="77777777" w:rsidR="00980E5F" w:rsidRDefault="00483613">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392BF7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0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10"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1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13"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1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1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16" w14:textId="77777777" w:rsidR="00980E5F" w:rsidRDefault="00483613">
            <w:pPr>
              <w:jc w:val="right"/>
              <w:textAlignment w:val="bottom"/>
            </w:pPr>
            <w:r>
              <w:rPr>
                <w:rFonts w:ascii="Arial" w:eastAsia="宋体" w:hAnsi="Arial" w:cs="Arial"/>
                <w:color w:val="000000"/>
                <w:sz w:val="15"/>
                <w:szCs w:val="15"/>
              </w:rPr>
              <w:t>8 </w:t>
            </w:r>
          </w:p>
        </w:tc>
        <w:tc>
          <w:tcPr>
            <w:tcW w:w="0" w:type="auto"/>
            <w:shd w:val="clear" w:color="auto" w:fill="CCEEFF"/>
            <w:tcMar>
              <w:top w:w="40" w:type="dxa"/>
              <w:left w:w="0" w:type="dxa"/>
              <w:bottom w:w="40" w:type="dxa"/>
              <w:right w:w="20" w:type="dxa"/>
            </w:tcMar>
            <w:vAlign w:val="bottom"/>
          </w:tcPr>
          <w:p w14:paraId="392BF7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1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19" w14:textId="77777777" w:rsidR="00980E5F" w:rsidRDefault="00483613">
            <w:pPr>
              <w:jc w:val="right"/>
              <w:textAlignment w:val="bottom"/>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bottom"/>
          </w:tcPr>
          <w:p w14:paraId="392BF71A" w14:textId="77777777" w:rsidR="00980E5F" w:rsidRDefault="00980E5F">
            <w:pPr>
              <w:jc w:val="right"/>
              <w:rPr>
                <w:rFonts w:ascii="宋体"/>
              </w:rPr>
            </w:pPr>
          </w:p>
        </w:tc>
        <w:tc>
          <w:tcPr>
            <w:tcW w:w="0" w:type="auto"/>
            <w:shd w:val="clear" w:color="auto" w:fill="auto"/>
            <w:vAlign w:val="bottom"/>
          </w:tcPr>
          <w:p w14:paraId="392BF71B" w14:textId="77777777" w:rsidR="00980E5F" w:rsidRDefault="00980E5F">
            <w:pPr>
              <w:rPr>
                <w:rFonts w:ascii="宋体"/>
                <w:vanish/>
              </w:rPr>
            </w:pPr>
          </w:p>
        </w:tc>
      </w:tr>
      <w:tr w:rsidR="00980E5F" w14:paraId="392BF730" w14:textId="77777777">
        <w:tc>
          <w:tcPr>
            <w:tcW w:w="0" w:type="auto"/>
            <w:gridSpan w:val="3"/>
            <w:shd w:val="clear" w:color="auto" w:fill="FFFFFF"/>
            <w:tcMar>
              <w:top w:w="40" w:type="dxa"/>
              <w:left w:w="20" w:type="dxa"/>
              <w:bottom w:w="40" w:type="dxa"/>
              <w:right w:w="20" w:type="dxa"/>
            </w:tcMar>
            <w:vAlign w:val="bottom"/>
          </w:tcPr>
          <w:p w14:paraId="392BF71D" w14:textId="77777777" w:rsidR="00980E5F" w:rsidRDefault="00483613">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92BF71E"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21"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24" w14:textId="77777777" w:rsidR="00980E5F" w:rsidRDefault="00483613">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392BF7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27"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2A"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2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2D" w14:textId="77777777" w:rsidR="00980E5F" w:rsidRDefault="00483613">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392BF72E" w14:textId="77777777" w:rsidR="00980E5F" w:rsidRDefault="00980E5F">
            <w:pPr>
              <w:jc w:val="right"/>
              <w:rPr>
                <w:rFonts w:ascii="宋体"/>
              </w:rPr>
            </w:pPr>
          </w:p>
        </w:tc>
        <w:tc>
          <w:tcPr>
            <w:tcW w:w="0" w:type="auto"/>
            <w:shd w:val="clear" w:color="auto" w:fill="auto"/>
            <w:vAlign w:val="bottom"/>
          </w:tcPr>
          <w:p w14:paraId="392BF72F" w14:textId="77777777" w:rsidR="00980E5F" w:rsidRDefault="00980E5F">
            <w:pPr>
              <w:rPr>
                <w:rFonts w:ascii="宋体"/>
                <w:vanish/>
              </w:rPr>
            </w:pPr>
          </w:p>
        </w:tc>
      </w:tr>
      <w:tr w:rsidR="00980E5F" w14:paraId="392BF744" w14:textId="77777777">
        <w:tc>
          <w:tcPr>
            <w:tcW w:w="0" w:type="auto"/>
            <w:gridSpan w:val="3"/>
            <w:shd w:val="clear" w:color="auto" w:fill="CCEEFF"/>
            <w:tcMar>
              <w:top w:w="40" w:type="dxa"/>
              <w:left w:w="20" w:type="dxa"/>
              <w:bottom w:w="40" w:type="dxa"/>
              <w:right w:w="20" w:type="dxa"/>
            </w:tcMar>
            <w:vAlign w:val="bottom"/>
          </w:tcPr>
          <w:p w14:paraId="392BF731" w14:textId="77777777" w:rsidR="00980E5F" w:rsidRDefault="00483613">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32" w14:textId="77777777" w:rsidR="00980E5F" w:rsidRDefault="00483613">
            <w:pPr>
              <w:jc w:val="right"/>
              <w:textAlignment w:val="bottom"/>
            </w:pPr>
            <w:r>
              <w:rPr>
                <w:rFonts w:ascii="Arial" w:eastAsia="宋体" w:hAnsi="Arial" w:cs="Arial"/>
                <w:color w:val="000000"/>
                <w:sz w:val="15"/>
                <w:szCs w:val="15"/>
              </w:rPr>
              <w:t>(21)</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3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35" w14:textId="77777777" w:rsidR="00980E5F" w:rsidRDefault="00483613">
            <w:pPr>
              <w:jc w:val="right"/>
              <w:textAlignment w:val="bottom"/>
            </w:pPr>
            <w:r>
              <w:rPr>
                <w:rFonts w:ascii="Arial" w:eastAsia="宋体" w:hAnsi="Arial" w:cs="Arial"/>
                <w:color w:val="000000"/>
                <w:sz w:val="15"/>
                <w:szCs w:val="15"/>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3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38" w14:textId="77777777" w:rsidR="00980E5F" w:rsidRDefault="00483613">
            <w:pPr>
              <w:jc w:val="right"/>
              <w:textAlignment w:val="bottom"/>
            </w:pPr>
            <w:r>
              <w:rPr>
                <w:rFonts w:ascii="Arial" w:eastAsia="宋体" w:hAnsi="Arial" w:cs="Arial"/>
                <w:color w:val="000000"/>
                <w:sz w:val="15"/>
                <w:szCs w:val="15"/>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3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3B" w14:textId="77777777" w:rsidR="00980E5F" w:rsidRDefault="00483613">
            <w:pPr>
              <w:jc w:val="right"/>
              <w:textAlignment w:val="bottom"/>
            </w:pPr>
            <w:r>
              <w:rPr>
                <w:rFonts w:ascii="Arial" w:eastAsia="宋体" w:hAnsi="Arial" w:cs="Arial"/>
                <w:color w:val="000000"/>
                <w:sz w:val="15"/>
                <w:szCs w:val="15"/>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3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3E" w14:textId="77777777" w:rsidR="00980E5F" w:rsidRDefault="00483613">
            <w:pPr>
              <w:jc w:val="right"/>
              <w:textAlignment w:val="bottom"/>
            </w:pPr>
            <w:r>
              <w:rPr>
                <w:rFonts w:ascii="Arial" w:eastAsia="宋体" w:hAnsi="Arial" w:cs="Arial"/>
                <w:color w:val="000000"/>
                <w:sz w:val="15"/>
                <w:szCs w:val="15"/>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4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41" w14:textId="77777777" w:rsidR="00980E5F" w:rsidRDefault="00483613">
            <w:pPr>
              <w:jc w:val="right"/>
              <w:textAlignment w:val="bottom"/>
            </w:pPr>
            <w:r>
              <w:rPr>
                <w:rFonts w:ascii="Arial" w:eastAsia="宋体" w:hAnsi="Arial" w:cs="Arial"/>
                <w:color w:val="000000"/>
                <w:sz w:val="15"/>
                <w:szCs w:val="15"/>
              </w:rPr>
              <w:t>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42" w14:textId="77777777" w:rsidR="00980E5F" w:rsidRDefault="00980E5F">
            <w:pPr>
              <w:jc w:val="right"/>
              <w:rPr>
                <w:rFonts w:ascii="宋体"/>
              </w:rPr>
            </w:pPr>
          </w:p>
        </w:tc>
        <w:tc>
          <w:tcPr>
            <w:tcW w:w="0" w:type="auto"/>
            <w:shd w:val="clear" w:color="auto" w:fill="auto"/>
            <w:vAlign w:val="bottom"/>
          </w:tcPr>
          <w:p w14:paraId="392BF743" w14:textId="77777777" w:rsidR="00980E5F" w:rsidRDefault="00980E5F">
            <w:pPr>
              <w:rPr>
                <w:rFonts w:ascii="宋体"/>
                <w:vanish/>
              </w:rPr>
            </w:pPr>
          </w:p>
        </w:tc>
      </w:tr>
      <w:tr w:rsidR="00980E5F" w14:paraId="392BF758" w14:textId="77777777">
        <w:tc>
          <w:tcPr>
            <w:tcW w:w="0" w:type="auto"/>
            <w:gridSpan w:val="3"/>
            <w:shd w:val="clear" w:color="auto" w:fill="FFFFFF"/>
            <w:tcMar>
              <w:top w:w="40" w:type="dxa"/>
              <w:left w:w="155" w:type="dxa"/>
              <w:bottom w:w="40" w:type="dxa"/>
              <w:right w:w="20" w:type="dxa"/>
            </w:tcMar>
            <w:vAlign w:val="bottom"/>
          </w:tcPr>
          <w:p w14:paraId="392BF745" w14:textId="77777777" w:rsidR="00980E5F" w:rsidRDefault="00483613">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92BF746" w14:textId="77777777" w:rsidR="00980E5F" w:rsidRDefault="00483613">
            <w:pPr>
              <w:jc w:val="right"/>
              <w:textAlignment w:val="bottom"/>
            </w:pPr>
            <w:r>
              <w:rPr>
                <w:rFonts w:ascii="Arial" w:eastAsia="宋体" w:hAnsi="Arial" w:cs="Arial"/>
                <w:color w:val="000000"/>
                <w:sz w:val="15"/>
                <w:szCs w:val="15"/>
              </w:rPr>
              <w:t>(113)</w:t>
            </w:r>
          </w:p>
        </w:tc>
        <w:tc>
          <w:tcPr>
            <w:tcW w:w="0" w:type="auto"/>
            <w:shd w:val="clear" w:color="auto" w:fill="FFFFFF"/>
            <w:tcMar>
              <w:top w:w="40" w:type="dxa"/>
              <w:left w:w="0" w:type="dxa"/>
              <w:bottom w:w="40" w:type="dxa"/>
              <w:right w:w="20" w:type="dxa"/>
            </w:tcMar>
            <w:vAlign w:val="bottom"/>
          </w:tcPr>
          <w:p w14:paraId="392BF7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49" w14:textId="77777777" w:rsidR="00980E5F" w:rsidRDefault="00483613">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392BF7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4C"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BF7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4F" w14:textId="77777777" w:rsidR="00980E5F" w:rsidRDefault="00483613">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92BF7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52" w14:textId="77777777" w:rsidR="00980E5F" w:rsidRDefault="00483613">
            <w:pPr>
              <w:jc w:val="right"/>
              <w:textAlignment w:val="bottom"/>
            </w:pPr>
            <w:r>
              <w:rPr>
                <w:rFonts w:ascii="Arial" w:eastAsia="宋体" w:hAnsi="Arial" w:cs="Arial"/>
                <w:color w:val="000000"/>
                <w:sz w:val="15"/>
                <w:szCs w:val="15"/>
              </w:rPr>
              <w:t>(4)</w:t>
            </w:r>
          </w:p>
        </w:tc>
        <w:tc>
          <w:tcPr>
            <w:tcW w:w="0" w:type="auto"/>
            <w:shd w:val="clear" w:color="auto" w:fill="FFFFFF"/>
            <w:tcMar>
              <w:top w:w="40" w:type="dxa"/>
              <w:left w:w="0" w:type="dxa"/>
              <w:bottom w:w="40" w:type="dxa"/>
              <w:right w:w="20" w:type="dxa"/>
            </w:tcMar>
            <w:vAlign w:val="bottom"/>
          </w:tcPr>
          <w:p w14:paraId="392BF7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55" w14:textId="77777777" w:rsidR="00980E5F" w:rsidRDefault="00483613">
            <w:pPr>
              <w:jc w:val="right"/>
              <w:textAlignment w:val="bottom"/>
            </w:pPr>
            <w:r>
              <w:rPr>
                <w:rFonts w:ascii="Arial" w:eastAsia="宋体" w:hAnsi="Arial" w:cs="Arial"/>
                <w:color w:val="000000"/>
                <w:sz w:val="15"/>
                <w:szCs w:val="15"/>
              </w:rPr>
              <w:t>(153)</w:t>
            </w:r>
          </w:p>
        </w:tc>
        <w:tc>
          <w:tcPr>
            <w:tcW w:w="0" w:type="auto"/>
            <w:shd w:val="clear" w:color="auto" w:fill="FFFFFF"/>
            <w:tcMar>
              <w:top w:w="40" w:type="dxa"/>
              <w:left w:w="0" w:type="dxa"/>
              <w:bottom w:w="40" w:type="dxa"/>
              <w:right w:w="20" w:type="dxa"/>
            </w:tcMar>
            <w:vAlign w:val="bottom"/>
          </w:tcPr>
          <w:p w14:paraId="392BF756" w14:textId="77777777" w:rsidR="00980E5F" w:rsidRDefault="00980E5F">
            <w:pPr>
              <w:jc w:val="right"/>
              <w:rPr>
                <w:rFonts w:ascii="宋体"/>
              </w:rPr>
            </w:pPr>
          </w:p>
        </w:tc>
        <w:tc>
          <w:tcPr>
            <w:tcW w:w="0" w:type="auto"/>
            <w:shd w:val="clear" w:color="auto" w:fill="auto"/>
            <w:vAlign w:val="bottom"/>
          </w:tcPr>
          <w:p w14:paraId="392BF757" w14:textId="77777777" w:rsidR="00980E5F" w:rsidRDefault="00980E5F">
            <w:pPr>
              <w:rPr>
                <w:rFonts w:ascii="宋体"/>
                <w:vanish/>
              </w:rPr>
            </w:pPr>
          </w:p>
        </w:tc>
      </w:tr>
      <w:tr w:rsidR="00980E5F" w14:paraId="392BF76C" w14:textId="77777777">
        <w:tc>
          <w:tcPr>
            <w:tcW w:w="0" w:type="auto"/>
            <w:gridSpan w:val="3"/>
            <w:shd w:val="clear" w:color="auto" w:fill="CCEEFF"/>
            <w:tcMar>
              <w:top w:w="40" w:type="dxa"/>
              <w:left w:w="155" w:type="dxa"/>
              <w:bottom w:w="40" w:type="dxa"/>
              <w:right w:w="20" w:type="dxa"/>
            </w:tcMar>
            <w:vAlign w:val="bottom"/>
          </w:tcPr>
          <w:p w14:paraId="392BF759" w14:textId="77777777" w:rsidR="00980E5F" w:rsidRDefault="00483613">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92BF75A" w14:textId="77777777" w:rsidR="00980E5F" w:rsidRDefault="00483613">
            <w:pPr>
              <w:jc w:val="right"/>
              <w:textAlignment w:val="bottom"/>
            </w:pPr>
            <w:r>
              <w:rPr>
                <w:rFonts w:ascii="Arial" w:eastAsia="宋体" w:hAnsi="Arial" w:cs="Arial"/>
                <w:color w:val="000000"/>
                <w:sz w:val="15"/>
                <w:szCs w:val="15"/>
              </w:rPr>
              <w:t>(10)</w:t>
            </w:r>
          </w:p>
        </w:tc>
        <w:tc>
          <w:tcPr>
            <w:tcW w:w="0" w:type="auto"/>
            <w:shd w:val="clear" w:color="auto" w:fill="CCEEFF"/>
            <w:tcMar>
              <w:top w:w="40" w:type="dxa"/>
              <w:left w:w="0" w:type="dxa"/>
              <w:bottom w:w="40" w:type="dxa"/>
              <w:right w:w="20" w:type="dxa"/>
            </w:tcMar>
            <w:vAlign w:val="bottom"/>
          </w:tcPr>
          <w:p w14:paraId="392BF7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5D" w14:textId="77777777" w:rsidR="00980E5F" w:rsidRDefault="00483613">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392BF7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5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60"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6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63"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BF7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66"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392BF7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69" w14:textId="77777777" w:rsidR="00980E5F" w:rsidRDefault="00483613">
            <w:pPr>
              <w:jc w:val="right"/>
              <w:textAlignment w:val="bottom"/>
            </w:pPr>
            <w:r>
              <w:rPr>
                <w:rFonts w:ascii="Arial" w:eastAsia="宋体" w:hAnsi="Arial" w:cs="Arial"/>
                <w:color w:val="000000"/>
                <w:sz w:val="15"/>
                <w:szCs w:val="15"/>
              </w:rPr>
              <w:t>(14)</w:t>
            </w:r>
          </w:p>
        </w:tc>
        <w:tc>
          <w:tcPr>
            <w:tcW w:w="0" w:type="auto"/>
            <w:shd w:val="clear" w:color="auto" w:fill="CCEEFF"/>
            <w:tcMar>
              <w:top w:w="40" w:type="dxa"/>
              <w:left w:w="0" w:type="dxa"/>
              <w:bottom w:w="40" w:type="dxa"/>
              <w:right w:w="20" w:type="dxa"/>
            </w:tcMar>
            <w:vAlign w:val="bottom"/>
          </w:tcPr>
          <w:p w14:paraId="392BF76A" w14:textId="77777777" w:rsidR="00980E5F" w:rsidRDefault="00980E5F">
            <w:pPr>
              <w:jc w:val="right"/>
              <w:rPr>
                <w:rFonts w:ascii="宋体"/>
              </w:rPr>
            </w:pPr>
          </w:p>
        </w:tc>
        <w:tc>
          <w:tcPr>
            <w:tcW w:w="0" w:type="auto"/>
            <w:shd w:val="clear" w:color="auto" w:fill="auto"/>
            <w:vAlign w:val="bottom"/>
          </w:tcPr>
          <w:p w14:paraId="392BF76B" w14:textId="77777777" w:rsidR="00980E5F" w:rsidRDefault="00980E5F">
            <w:pPr>
              <w:rPr>
                <w:rFonts w:ascii="宋体"/>
                <w:vanish/>
              </w:rPr>
            </w:pPr>
          </w:p>
        </w:tc>
      </w:tr>
      <w:tr w:rsidR="00980E5F" w14:paraId="392BF780" w14:textId="77777777">
        <w:tc>
          <w:tcPr>
            <w:tcW w:w="0" w:type="auto"/>
            <w:gridSpan w:val="3"/>
            <w:shd w:val="clear" w:color="auto" w:fill="FFFFFF"/>
            <w:tcMar>
              <w:top w:w="40" w:type="dxa"/>
              <w:left w:w="20" w:type="dxa"/>
              <w:bottom w:w="40" w:type="dxa"/>
              <w:right w:w="20" w:type="dxa"/>
            </w:tcMar>
            <w:vAlign w:val="bottom"/>
          </w:tcPr>
          <w:p w14:paraId="392BF76D" w14:textId="77777777" w:rsidR="00980E5F" w:rsidRDefault="00483613">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6E" w14:textId="77777777" w:rsidR="00980E5F" w:rsidRDefault="00483613">
            <w:pPr>
              <w:jc w:val="right"/>
              <w:textAlignment w:val="bottom"/>
            </w:pPr>
            <w:r>
              <w:rPr>
                <w:rFonts w:ascii="Arial" w:eastAsia="宋体" w:hAnsi="Arial" w:cs="Arial"/>
                <w:color w:val="000000"/>
                <w:sz w:val="15"/>
                <w:szCs w:val="15"/>
              </w:rPr>
              <w:t>(123)</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7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71" w14:textId="77777777" w:rsidR="00980E5F" w:rsidRDefault="00483613">
            <w:pPr>
              <w:jc w:val="right"/>
              <w:textAlignment w:val="bottom"/>
            </w:pPr>
            <w:r>
              <w:rPr>
                <w:rFonts w:ascii="Arial" w:eastAsia="宋体" w:hAnsi="Arial" w:cs="Arial"/>
                <w:color w:val="000000"/>
                <w:sz w:val="15"/>
                <w:szCs w:val="15"/>
              </w:rPr>
              <w:t>(38)</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7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74" w14:textId="77777777" w:rsidR="00980E5F" w:rsidRDefault="00483613">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7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77" w14:textId="77777777" w:rsidR="00980E5F" w:rsidRDefault="00483613">
            <w:pPr>
              <w:jc w:val="right"/>
              <w:textAlignment w:val="bottom"/>
            </w:pPr>
            <w:r>
              <w:rPr>
                <w:rFonts w:ascii="Arial" w:eastAsia="宋体" w:hAnsi="Arial" w:cs="Arial"/>
                <w:color w:val="000000"/>
                <w:sz w:val="15"/>
                <w:szCs w:val="15"/>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7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7A" w14:textId="77777777" w:rsidR="00980E5F" w:rsidRDefault="00483613">
            <w:pPr>
              <w:jc w:val="right"/>
              <w:textAlignment w:val="bottom"/>
            </w:pPr>
            <w:r>
              <w:rPr>
                <w:rFonts w:ascii="Arial" w:eastAsia="宋体" w:hAnsi="Arial" w:cs="Arial"/>
                <w:color w:val="000000"/>
                <w:sz w:val="15"/>
                <w:szCs w:val="15"/>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7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77D" w14:textId="77777777" w:rsidR="00980E5F" w:rsidRDefault="00483613">
            <w:pPr>
              <w:jc w:val="right"/>
              <w:textAlignment w:val="bottom"/>
            </w:pPr>
            <w:r>
              <w:rPr>
                <w:rFonts w:ascii="Arial" w:eastAsia="宋体" w:hAnsi="Arial" w:cs="Arial"/>
                <w:color w:val="000000"/>
                <w:sz w:val="15"/>
                <w:szCs w:val="15"/>
              </w:rPr>
              <w:t>(167)</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77E" w14:textId="77777777" w:rsidR="00980E5F" w:rsidRDefault="00980E5F">
            <w:pPr>
              <w:jc w:val="right"/>
              <w:rPr>
                <w:rFonts w:ascii="宋体"/>
              </w:rPr>
            </w:pPr>
          </w:p>
        </w:tc>
        <w:tc>
          <w:tcPr>
            <w:tcW w:w="0" w:type="auto"/>
            <w:shd w:val="clear" w:color="auto" w:fill="auto"/>
            <w:vAlign w:val="bottom"/>
          </w:tcPr>
          <w:p w14:paraId="392BF77F" w14:textId="77777777" w:rsidR="00980E5F" w:rsidRDefault="00980E5F">
            <w:pPr>
              <w:rPr>
                <w:rFonts w:ascii="宋体"/>
                <w:vanish/>
              </w:rPr>
            </w:pPr>
          </w:p>
        </w:tc>
      </w:tr>
      <w:tr w:rsidR="00980E5F" w14:paraId="392BF794" w14:textId="77777777">
        <w:tc>
          <w:tcPr>
            <w:tcW w:w="0" w:type="auto"/>
            <w:gridSpan w:val="3"/>
            <w:shd w:val="clear" w:color="auto" w:fill="CCEEFF"/>
            <w:tcMar>
              <w:top w:w="40" w:type="dxa"/>
              <w:left w:w="20" w:type="dxa"/>
              <w:bottom w:w="40" w:type="dxa"/>
              <w:right w:w="20" w:type="dxa"/>
            </w:tcMar>
            <w:vAlign w:val="bottom"/>
          </w:tcPr>
          <w:p w14:paraId="392BF781" w14:textId="77777777" w:rsidR="00980E5F" w:rsidRDefault="00483613">
            <w:pPr>
              <w:textAlignment w:val="bottom"/>
            </w:pPr>
            <w:r>
              <w:rPr>
                <w:rFonts w:ascii="Arial" w:eastAsia="宋体" w:hAnsi="Arial" w:cs="Arial"/>
                <w:b/>
                <w:bCs/>
                <w:color w:val="000000"/>
                <w:sz w:val="15"/>
                <w:szCs w:val="15"/>
              </w:rPr>
              <w:t>Balance as of March 31,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82" w14:textId="77777777" w:rsidR="00980E5F" w:rsidRDefault="00483613">
            <w:pPr>
              <w:jc w:val="right"/>
              <w:textAlignment w:val="bottom"/>
            </w:pPr>
            <w:r>
              <w:rPr>
                <w:rFonts w:ascii="Arial" w:eastAsia="宋体" w:hAnsi="Arial" w:cs="Arial"/>
                <w:color w:val="000000"/>
                <w:sz w:val="15"/>
                <w:szCs w:val="15"/>
              </w:rPr>
              <w:t>2,530 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8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85" w14:textId="77777777" w:rsidR="00980E5F" w:rsidRDefault="00483613">
            <w:pPr>
              <w:jc w:val="right"/>
              <w:textAlignment w:val="bottom"/>
            </w:pPr>
            <w:r>
              <w:rPr>
                <w:rFonts w:ascii="Arial" w:eastAsia="宋体" w:hAnsi="Arial" w:cs="Arial"/>
                <w:color w:val="000000"/>
                <w:sz w:val="15"/>
                <w:szCs w:val="15"/>
              </w:rPr>
              <w:t>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8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8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88" w14:textId="77777777" w:rsidR="00980E5F" w:rsidRDefault="00483613">
            <w:pPr>
              <w:jc w:val="right"/>
              <w:textAlignment w:val="bottom"/>
            </w:pPr>
            <w:r>
              <w:rPr>
                <w:rFonts w:ascii="Arial" w:eastAsia="宋体" w:hAnsi="Arial" w:cs="Arial"/>
                <w:color w:val="000000"/>
                <w:sz w:val="15"/>
                <w:szCs w:val="15"/>
              </w:rPr>
              <w:t>393 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8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8B" w14:textId="77777777" w:rsidR="00980E5F" w:rsidRDefault="00483613">
            <w:pPr>
              <w:jc w:val="right"/>
              <w:textAlignment w:val="bottom"/>
            </w:pPr>
            <w:r>
              <w:rPr>
                <w:rFonts w:ascii="Arial" w:eastAsia="宋体" w:hAnsi="Arial" w:cs="Arial"/>
                <w:color w:val="000000"/>
                <w:sz w:val="15"/>
                <w:szCs w:val="15"/>
              </w:rPr>
              <w:t>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8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8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8E" w14:textId="77777777" w:rsidR="00980E5F" w:rsidRDefault="00483613">
            <w:pPr>
              <w:jc w:val="right"/>
              <w:textAlignment w:val="bottom"/>
            </w:pPr>
            <w:r>
              <w:rPr>
                <w:rFonts w:ascii="Arial" w:eastAsia="宋体" w:hAnsi="Arial" w:cs="Arial"/>
                <w:color w:val="000000"/>
                <w:sz w:val="15"/>
                <w:szCs w:val="15"/>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9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91" w14:textId="77777777" w:rsidR="00980E5F" w:rsidRDefault="00483613">
            <w:pPr>
              <w:jc w:val="right"/>
              <w:textAlignment w:val="bottom"/>
            </w:pPr>
            <w:r>
              <w:rPr>
                <w:rFonts w:ascii="Arial" w:eastAsia="宋体" w:hAnsi="Arial" w:cs="Arial"/>
                <w:color w:val="000000"/>
                <w:sz w:val="15"/>
                <w:szCs w:val="15"/>
              </w:rPr>
              <w:t>4,022 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92" w14:textId="77777777" w:rsidR="00980E5F" w:rsidRDefault="00980E5F">
            <w:pPr>
              <w:jc w:val="right"/>
              <w:rPr>
                <w:rFonts w:ascii="宋体"/>
              </w:rPr>
            </w:pPr>
          </w:p>
        </w:tc>
        <w:tc>
          <w:tcPr>
            <w:tcW w:w="0" w:type="auto"/>
            <w:shd w:val="clear" w:color="auto" w:fill="auto"/>
            <w:vAlign w:val="bottom"/>
          </w:tcPr>
          <w:p w14:paraId="392BF793" w14:textId="77777777" w:rsidR="00980E5F" w:rsidRDefault="00980E5F">
            <w:pPr>
              <w:rPr>
                <w:rFonts w:ascii="宋体"/>
                <w:vanish/>
              </w:rPr>
            </w:pPr>
          </w:p>
        </w:tc>
      </w:tr>
      <w:tr w:rsidR="00980E5F" w14:paraId="392BF7A8" w14:textId="77777777">
        <w:tc>
          <w:tcPr>
            <w:tcW w:w="0" w:type="auto"/>
            <w:gridSpan w:val="3"/>
            <w:shd w:val="clear" w:color="auto" w:fill="FFFFFF"/>
            <w:tcMar>
              <w:top w:w="40" w:type="dxa"/>
              <w:left w:w="20" w:type="dxa"/>
              <w:bottom w:w="40" w:type="dxa"/>
              <w:right w:w="20" w:type="dxa"/>
            </w:tcMar>
            <w:vAlign w:val="bottom"/>
          </w:tcPr>
          <w:p w14:paraId="392BF795" w14:textId="77777777" w:rsidR="00980E5F" w:rsidRDefault="00483613">
            <w:pP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392BF796" w14:textId="77777777" w:rsidR="00980E5F" w:rsidRDefault="00483613">
            <w:pPr>
              <w:jc w:val="right"/>
              <w:textAlignment w:val="bottom"/>
            </w:pPr>
            <w:r>
              <w:rPr>
                <w:rFonts w:ascii="Arial" w:eastAsia="宋体" w:hAnsi="Arial" w:cs="Arial"/>
                <w:b/>
                <w:bCs/>
                <w:color w:val="000000"/>
                <w:sz w:val="15"/>
                <w:szCs w:val="15"/>
              </w:rPr>
              <w:t>(52)</w:t>
            </w:r>
          </w:p>
        </w:tc>
        <w:tc>
          <w:tcPr>
            <w:tcW w:w="0" w:type="auto"/>
            <w:shd w:val="clear" w:color="auto" w:fill="FFFFFF"/>
            <w:tcMar>
              <w:top w:w="40" w:type="dxa"/>
              <w:left w:w="0" w:type="dxa"/>
              <w:bottom w:w="40" w:type="dxa"/>
              <w:right w:w="20" w:type="dxa"/>
            </w:tcMar>
            <w:vAlign w:val="bottom"/>
          </w:tcPr>
          <w:p w14:paraId="392BF7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99" w14:textId="77777777" w:rsidR="00980E5F" w:rsidRDefault="00483613">
            <w:pPr>
              <w:jc w:val="right"/>
              <w:textAlignment w:val="bottom"/>
            </w:pPr>
            <w:r>
              <w:rPr>
                <w:rFonts w:ascii="Arial" w:eastAsia="宋体" w:hAnsi="Arial" w:cs="Arial"/>
                <w:b/>
                <w:bCs/>
                <w:color w:val="000000"/>
                <w:sz w:val="15"/>
                <w:szCs w:val="15"/>
              </w:rPr>
              <w:t>(10)</w:t>
            </w:r>
          </w:p>
        </w:tc>
        <w:tc>
          <w:tcPr>
            <w:tcW w:w="0" w:type="auto"/>
            <w:shd w:val="clear" w:color="auto" w:fill="FFFFFF"/>
            <w:tcMar>
              <w:top w:w="40" w:type="dxa"/>
              <w:left w:w="0" w:type="dxa"/>
              <w:bottom w:w="40" w:type="dxa"/>
              <w:right w:w="20" w:type="dxa"/>
            </w:tcMar>
            <w:vAlign w:val="bottom"/>
          </w:tcPr>
          <w:p w14:paraId="392BF7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9C" w14:textId="77777777" w:rsidR="00980E5F" w:rsidRDefault="00483613">
            <w:pPr>
              <w:jc w:val="right"/>
              <w:textAlignment w:val="bottom"/>
            </w:pPr>
            <w:r>
              <w:rPr>
                <w:rFonts w:ascii="Arial" w:eastAsia="宋体" w:hAnsi="Arial" w:cs="Arial"/>
                <w:b/>
                <w:bCs/>
                <w:color w:val="000000"/>
                <w:sz w:val="15"/>
                <w:szCs w:val="15"/>
              </w:rPr>
              <w:t>(3)</w:t>
            </w:r>
          </w:p>
        </w:tc>
        <w:tc>
          <w:tcPr>
            <w:tcW w:w="0" w:type="auto"/>
            <w:shd w:val="clear" w:color="auto" w:fill="FFFFFF"/>
            <w:tcMar>
              <w:top w:w="40" w:type="dxa"/>
              <w:left w:w="0" w:type="dxa"/>
              <w:bottom w:w="40" w:type="dxa"/>
              <w:right w:w="20" w:type="dxa"/>
            </w:tcMar>
            <w:vAlign w:val="bottom"/>
          </w:tcPr>
          <w:p w14:paraId="392BF7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9F"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A2" w14:textId="77777777" w:rsidR="00980E5F" w:rsidRDefault="00483613">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392BF7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A5" w14:textId="77777777" w:rsidR="00980E5F" w:rsidRDefault="00483613">
            <w:pPr>
              <w:jc w:val="right"/>
              <w:textAlignment w:val="bottom"/>
            </w:pPr>
            <w:r>
              <w:rPr>
                <w:rFonts w:ascii="Arial" w:eastAsia="宋体" w:hAnsi="Arial" w:cs="Arial"/>
                <w:b/>
                <w:bCs/>
                <w:color w:val="000000"/>
                <w:sz w:val="15"/>
                <w:szCs w:val="15"/>
              </w:rPr>
              <w:t>(69)</w:t>
            </w:r>
          </w:p>
        </w:tc>
        <w:tc>
          <w:tcPr>
            <w:tcW w:w="0" w:type="auto"/>
            <w:shd w:val="clear" w:color="auto" w:fill="FFFFFF"/>
            <w:tcMar>
              <w:top w:w="40" w:type="dxa"/>
              <w:left w:w="0" w:type="dxa"/>
              <w:bottom w:w="40" w:type="dxa"/>
              <w:right w:w="20" w:type="dxa"/>
            </w:tcMar>
            <w:vAlign w:val="bottom"/>
          </w:tcPr>
          <w:p w14:paraId="392BF7A6" w14:textId="77777777" w:rsidR="00980E5F" w:rsidRDefault="00980E5F">
            <w:pPr>
              <w:jc w:val="right"/>
              <w:rPr>
                <w:rFonts w:ascii="宋体"/>
              </w:rPr>
            </w:pPr>
          </w:p>
        </w:tc>
        <w:tc>
          <w:tcPr>
            <w:tcW w:w="0" w:type="auto"/>
            <w:shd w:val="clear" w:color="auto" w:fill="auto"/>
            <w:vAlign w:val="bottom"/>
          </w:tcPr>
          <w:p w14:paraId="392BF7A7" w14:textId="77777777" w:rsidR="00980E5F" w:rsidRDefault="00980E5F">
            <w:pPr>
              <w:rPr>
                <w:rFonts w:ascii="宋体"/>
                <w:vanish/>
              </w:rPr>
            </w:pPr>
          </w:p>
        </w:tc>
      </w:tr>
      <w:tr w:rsidR="00980E5F" w14:paraId="392BF7BC" w14:textId="77777777">
        <w:tc>
          <w:tcPr>
            <w:tcW w:w="0" w:type="auto"/>
            <w:gridSpan w:val="3"/>
            <w:shd w:val="clear" w:color="auto" w:fill="CCEEFF"/>
            <w:tcMar>
              <w:top w:w="40" w:type="dxa"/>
              <w:left w:w="20" w:type="dxa"/>
              <w:bottom w:w="40" w:type="dxa"/>
              <w:right w:w="20" w:type="dxa"/>
            </w:tcMar>
            <w:vAlign w:val="bottom"/>
          </w:tcPr>
          <w:p w14:paraId="392BF7A9" w14:textId="77777777" w:rsidR="00980E5F" w:rsidRDefault="00483613">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392BF7AA" w14:textId="77777777" w:rsidR="00980E5F" w:rsidRDefault="00483613">
            <w:pPr>
              <w:jc w:val="right"/>
              <w:textAlignment w:val="bottom"/>
            </w:pPr>
            <w:r>
              <w:rPr>
                <w:rFonts w:ascii="Arial" w:eastAsia="宋体" w:hAnsi="Arial" w:cs="Arial"/>
                <w:b/>
                <w:bCs/>
                <w:color w:val="000000"/>
                <w:sz w:val="15"/>
                <w:szCs w:val="15"/>
              </w:rPr>
              <w:t>(12)</w:t>
            </w:r>
          </w:p>
        </w:tc>
        <w:tc>
          <w:tcPr>
            <w:tcW w:w="0" w:type="auto"/>
            <w:shd w:val="clear" w:color="auto" w:fill="CCEEFF"/>
            <w:tcMar>
              <w:top w:w="40" w:type="dxa"/>
              <w:left w:w="0" w:type="dxa"/>
              <w:bottom w:w="40" w:type="dxa"/>
              <w:right w:w="20" w:type="dxa"/>
            </w:tcMar>
            <w:vAlign w:val="bottom"/>
          </w:tcPr>
          <w:p w14:paraId="392BF7A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A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AD"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A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B0"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B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B3"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BF7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B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B6" w14:textId="77777777" w:rsidR="00980E5F" w:rsidRDefault="00483613">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392BF7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B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B9" w14:textId="77777777" w:rsidR="00980E5F" w:rsidRDefault="00483613">
            <w:pPr>
              <w:jc w:val="right"/>
              <w:textAlignment w:val="bottom"/>
            </w:pPr>
            <w:r>
              <w:rPr>
                <w:rFonts w:ascii="Arial" w:eastAsia="宋体" w:hAnsi="Arial" w:cs="Arial"/>
                <w:b/>
                <w:bCs/>
                <w:color w:val="000000"/>
                <w:sz w:val="15"/>
                <w:szCs w:val="15"/>
              </w:rPr>
              <w:t>(8)</w:t>
            </w:r>
          </w:p>
        </w:tc>
        <w:tc>
          <w:tcPr>
            <w:tcW w:w="0" w:type="auto"/>
            <w:shd w:val="clear" w:color="auto" w:fill="CCEEFF"/>
            <w:tcMar>
              <w:top w:w="40" w:type="dxa"/>
              <w:left w:w="0" w:type="dxa"/>
              <w:bottom w:w="40" w:type="dxa"/>
              <w:right w:w="20" w:type="dxa"/>
            </w:tcMar>
            <w:vAlign w:val="bottom"/>
          </w:tcPr>
          <w:p w14:paraId="392BF7BA" w14:textId="77777777" w:rsidR="00980E5F" w:rsidRDefault="00980E5F">
            <w:pPr>
              <w:jc w:val="right"/>
              <w:rPr>
                <w:rFonts w:ascii="宋体"/>
              </w:rPr>
            </w:pPr>
          </w:p>
        </w:tc>
        <w:tc>
          <w:tcPr>
            <w:tcW w:w="0" w:type="auto"/>
            <w:shd w:val="clear" w:color="auto" w:fill="auto"/>
            <w:vAlign w:val="bottom"/>
          </w:tcPr>
          <w:p w14:paraId="392BF7BB" w14:textId="77777777" w:rsidR="00980E5F" w:rsidRDefault="00980E5F">
            <w:pPr>
              <w:rPr>
                <w:rFonts w:ascii="宋体"/>
                <w:vanish/>
              </w:rPr>
            </w:pPr>
          </w:p>
        </w:tc>
      </w:tr>
      <w:tr w:rsidR="00980E5F" w14:paraId="392BF7D0" w14:textId="77777777">
        <w:tc>
          <w:tcPr>
            <w:tcW w:w="0" w:type="auto"/>
            <w:gridSpan w:val="3"/>
            <w:shd w:val="clear" w:color="auto" w:fill="FFFFFF"/>
            <w:tcMar>
              <w:top w:w="40" w:type="dxa"/>
              <w:left w:w="20" w:type="dxa"/>
              <w:bottom w:w="40" w:type="dxa"/>
              <w:right w:w="20" w:type="dxa"/>
            </w:tcMar>
            <w:vAlign w:val="bottom"/>
          </w:tcPr>
          <w:p w14:paraId="392BF7BD" w14:textId="77777777" w:rsidR="00980E5F" w:rsidRDefault="00483613">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392BF7BE"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B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C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C1"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C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C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C4" w14:textId="77777777" w:rsidR="00980E5F" w:rsidRDefault="00483613">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C7"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CA"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CD" w14:textId="77777777" w:rsidR="00980E5F" w:rsidRDefault="00483613">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CE" w14:textId="77777777" w:rsidR="00980E5F" w:rsidRDefault="00980E5F">
            <w:pPr>
              <w:jc w:val="right"/>
              <w:rPr>
                <w:rFonts w:ascii="宋体"/>
              </w:rPr>
            </w:pPr>
          </w:p>
        </w:tc>
        <w:tc>
          <w:tcPr>
            <w:tcW w:w="0" w:type="auto"/>
            <w:shd w:val="clear" w:color="auto" w:fill="auto"/>
            <w:vAlign w:val="bottom"/>
          </w:tcPr>
          <w:p w14:paraId="392BF7CF" w14:textId="77777777" w:rsidR="00980E5F" w:rsidRDefault="00980E5F">
            <w:pPr>
              <w:rPr>
                <w:rFonts w:ascii="宋体"/>
                <w:vanish/>
              </w:rPr>
            </w:pPr>
          </w:p>
        </w:tc>
      </w:tr>
      <w:tr w:rsidR="00980E5F" w14:paraId="392BF7E4" w14:textId="77777777">
        <w:tc>
          <w:tcPr>
            <w:tcW w:w="0" w:type="auto"/>
            <w:gridSpan w:val="3"/>
            <w:shd w:val="clear" w:color="auto" w:fill="CCEEFF"/>
            <w:tcMar>
              <w:top w:w="40" w:type="dxa"/>
              <w:left w:w="20" w:type="dxa"/>
              <w:bottom w:w="40" w:type="dxa"/>
              <w:right w:w="20" w:type="dxa"/>
            </w:tcMar>
            <w:vAlign w:val="bottom"/>
          </w:tcPr>
          <w:p w14:paraId="392BF7D1" w14:textId="77777777" w:rsidR="00980E5F" w:rsidRDefault="00483613">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D2" w14:textId="77777777" w:rsidR="00980E5F" w:rsidRDefault="00483613">
            <w:pPr>
              <w:jc w:val="right"/>
              <w:textAlignment w:val="bottom"/>
            </w:pPr>
            <w:r>
              <w:rPr>
                <w:rFonts w:ascii="Arial" w:eastAsia="宋体" w:hAnsi="Arial" w:cs="Arial"/>
                <w:b/>
                <w:bCs/>
                <w:color w:val="000000"/>
                <w:sz w:val="15"/>
                <w:szCs w:val="15"/>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D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D5" w14:textId="77777777" w:rsidR="00980E5F" w:rsidRDefault="00483613">
            <w:pPr>
              <w:jc w:val="right"/>
              <w:textAlignment w:val="bottom"/>
            </w:pPr>
            <w:r>
              <w:rPr>
                <w:rFonts w:ascii="Arial" w:eastAsia="宋体" w:hAnsi="Arial" w:cs="Arial"/>
                <w:b/>
                <w:bCs/>
                <w:color w:val="000000"/>
                <w:sz w:val="15"/>
                <w:szCs w:val="15"/>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D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D8" w14:textId="77777777" w:rsidR="00980E5F" w:rsidRDefault="00483613">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D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DB"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D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DE" w14:textId="77777777" w:rsidR="00980E5F" w:rsidRDefault="00483613">
            <w:pPr>
              <w:jc w:val="right"/>
              <w:textAlignment w:val="bottom"/>
            </w:pPr>
            <w:r>
              <w:rPr>
                <w:rFonts w:ascii="Arial" w:eastAsia="宋体" w:hAnsi="Arial" w:cs="Arial"/>
                <w:b/>
                <w:bCs/>
                <w:color w:val="000000"/>
                <w:sz w:val="15"/>
                <w:szCs w:val="15"/>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D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E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7E1" w14:textId="77777777" w:rsidR="00980E5F" w:rsidRDefault="00483613">
            <w:pPr>
              <w:jc w:val="right"/>
              <w:textAlignment w:val="bottom"/>
            </w:pPr>
            <w:r>
              <w:rPr>
                <w:rFonts w:ascii="Arial" w:eastAsia="宋体" w:hAnsi="Arial" w:cs="Arial"/>
                <w:b/>
                <w:bCs/>
                <w:color w:val="000000"/>
                <w:sz w:val="15"/>
                <w:szCs w:val="15"/>
              </w:rPr>
              <w:t>(62)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7E2" w14:textId="77777777" w:rsidR="00980E5F" w:rsidRDefault="00980E5F">
            <w:pPr>
              <w:jc w:val="right"/>
              <w:rPr>
                <w:rFonts w:ascii="宋体"/>
              </w:rPr>
            </w:pPr>
          </w:p>
        </w:tc>
        <w:tc>
          <w:tcPr>
            <w:tcW w:w="0" w:type="auto"/>
            <w:shd w:val="clear" w:color="auto" w:fill="auto"/>
            <w:vAlign w:val="bottom"/>
          </w:tcPr>
          <w:p w14:paraId="392BF7E3" w14:textId="77777777" w:rsidR="00980E5F" w:rsidRDefault="00980E5F">
            <w:pPr>
              <w:rPr>
                <w:rFonts w:ascii="宋体"/>
                <w:vanish/>
              </w:rPr>
            </w:pPr>
          </w:p>
        </w:tc>
      </w:tr>
      <w:tr w:rsidR="00980E5F" w14:paraId="392BF7F8" w14:textId="77777777">
        <w:tc>
          <w:tcPr>
            <w:tcW w:w="0" w:type="auto"/>
            <w:gridSpan w:val="3"/>
            <w:shd w:val="clear" w:color="auto" w:fill="FFFFFF"/>
            <w:tcMar>
              <w:top w:w="40" w:type="dxa"/>
              <w:left w:w="155" w:type="dxa"/>
              <w:bottom w:w="40" w:type="dxa"/>
              <w:right w:w="20" w:type="dxa"/>
            </w:tcMar>
            <w:vAlign w:val="bottom"/>
          </w:tcPr>
          <w:p w14:paraId="392BF7E5" w14:textId="77777777" w:rsidR="00980E5F" w:rsidRDefault="00483613">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392BF7E6" w14:textId="77777777" w:rsidR="00980E5F" w:rsidRDefault="00483613">
            <w:pPr>
              <w:jc w:val="right"/>
              <w:textAlignment w:val="bottom"/>
            </w:pPr>
            <w:r>
              <w:rPr>
                <w:rFonts w:ascii="Arial" w:eastAsia="宋体" w:hAnsi="Arial" w:cs="Arial"/>
                <w:b/>
                <w:bCs/>
                <w:color w:val="000000"/>
                <w:sz w:val="15"/>
                <w:szCs w:val="15"/>
              </w:rPr>
              <w:t>(337)</w:t>
            </w:r>
          </w:p>
        </w:tc>
        <w:tc>
          <w:tcPr>
            <w:tcW w:w="0" w:type="auto"/>
            <w:shd w:val="clear" w:color="auto" w:fill="FFFFFF"/>
            <w:tcMar>
              <w:top w:w="40" w:type="dxa"/>
              <w:left w:w="0" w:type="dxa"/>
              <w:bottom w:w="40" w:type="dxa"/>
              <w:right w:w="20" w:type="dxa"/>
            </w:tcMar>
            <w:vAlign w:val="bottom"/>
          </w:tcPr>
          <w:p w14:paraId="392BF7E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E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E9" w14:textId="77777777" w:rsidR="00980E5F" w:rsidRDefault="00483613">
            <w:pPr>
              <w:jc w:val="right"/>
              <w:textAlignment w:val="bottom"/>
            </w:pPr>
            <w:r>
              <w:rPr>
                <w:rFonts w:ascii="Arial" w:eastAsia="宋体" w:hAnsi="Arial" w:cs="Arial"/>
                <w:b/>
                <w:bCs/>
                <w:color w:val="000000"/>
                <w:sz w:val="15"/>
                <w:szCs w:val="15"/>
              </w:rPr>
              <w:t>(33)</w:t>
            </w:r>
          </w:p>
        </w:tc>
        <w:tc>
          <w:tcPr>
            <w:tcW w:w="0" w:type="auto"/>
            <w:shd w:val="clear" w:color="auto" w:fill="FFFFFF"/>
            <w:tcMar>
              <w:top w:w="40" w:type="dxa"/>
              <w:left w:w="0" w:type="dxa"/>
              <w:bottom w:w="40" w:type="dxa"/>
              <w:right w:w="20" w:type="dxa"/>
            </w:tcMar>
            <w:vAlign w:val="bottom"/>
          </w:tcPr>
          <w:p w14:paraId="392BF7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E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EC"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BF7E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E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EF" w14:textId="77777777" w:rsidR="00980E5F" w:rsidRDefault="00483613">
            <w:pPr>
              <w:jc w:val="right"/>
              <w:textAlignment w:val="bottom"/>
            </w:pPr>
            <w:r>
              <w:rPr>
                <w:rFonts w:ascii="Arial" w:eastAsia="宋体" w:hAnsi="Arial" w:cs="Arial"/>
                <w:b/>
                <w:bCs/>
                <w:color w:val="000000"/>
                <w:sz w:val="15"/>
                <w:szCs w:val="15"/>
              </w:rPr>
              <w:t>(26)</w:t>
            </w:r>
          </w:p>
        </w:tc>
        <w:tc>
          <w:tcPr>
            <w:tcW w:w="0" w:type="auto"/>
            <w:shd w:val="clear" w:color="auto" w:fill="FFFFFF"/>
            <w:tcMar>
              <w:top w:w="40" w:type="dxa"/>
              <w:left w:w="0" w:type="dxa"/>
              <w:bottom w:w="40" w:type="dxa"/>
              <w:right w:w="20" w:type="dxa"/>
            </w:tcMar>
            <w:vAlign w:val="bottom"/>
          </w:tcPr>
          <w:p w14:paraId="392BF7F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F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F2" w14:textId="77777777" w:rsidR="00980E5F" w:rsidRDefault="00483613">
            <w:pPr>
              <w:jc w:val="right"/>
              <w:textAlignment w:val="bottom"/>
            </w:pPr>
            <w:r>
              <w:rPr>
                <w:rFonts w:ascii="Arial" w:eastAsia="宋体" w:hAnsi="Arial" w:cs="Arial"/>
                <w:b/>
                <w:bCs/>
                <w:color w:val="000000"/>
                <w:sz w:val="15"/>
                <w:szCs w:val="15"/>
              </w:rPr>
              <w:t>(21)</w:t>
            </w:r>
          </w:p>
        </w:tc>
        <w:tc>
          <w:tcPr>
            <w:tcW w:w="0" w:type="auto"/>
            <w:shd w:val="clear" w:color="auto" w:fill="FFFFFF"/>
            <w:tcMar>
              <w:top w:w="40" w:type="dxa"/>
              <w:left w:w="0" w:type="dxa"/>
              <w:bottom w:w="40" w:type="dxa"/>
              <w:right w:w="20" w:type="dxa"/>
            </w:tcMar>
            <w:vAlign w:val="bottom"/>
          </w:tcPr>
          <w:p w14:paraId="392BF7F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7F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7F5" w14:textId="77777777" w:rsidR="00980E5F" w:rsidRDefault="00483613">
            <w:pPr>
              <w:jc w:val="right"/>
              <w:textAlignment w:val="bottom"/>
            </w:pPr>
            <w:r>
              <w:rPr>
                <w:rFonts w:ascii="Arial" w:eastAsia="宋体" w:hAnsi="Arial" w:cs="Arial"/>
                <w:b/>
                <w:bCs/>
                <w:color w:val="000000"/>
                <w:sz w:val="15"/>
                <w:szCs w:val="15"/>
              </w:rPr>
              <w:t>(417)</w:t>
            </w:r>
          </w:p>
        </w:tc>
        <w:tc>
          <w:tcPr>
            <w:tcW w:w="0" w:type="auto"/>
            <w:shd w:val="clear" w:color="auto" w:fill="FFFFFF"/>
            <w:tcMar>
              <w:top w:w="40" w:type="dxa"/>
              <w:left w:w="0" w:type="dxa"/>
              <w:bottom w:w="40" w:type="dxa"/>
              <w:right w:w="20" w:type="dxa"/>
            </w:tcMar>
            <w:vAlign w:val="bottom"/>
          </w:tcPr>
          <w:p w14:paraId="392BF7F6" w14:textId="77777777" w:rsidR="00980E5F" w:rsidRDefault="00980E5F">
            <w:pPr>
              <w:jc w:val="right"/>
              <w:rPr>
                <w:rFonts w:ascii="宋体"/>
              </w:rPr>
            </w:pPr>
          </w:p>
        </w:tc>
        <w:tc>
          <w:tcPr>
            <w:tcW w:w="0" w:type="auto"/>
            <w:shd w:val="clear" w:color="auto" w:fill="auto"/>
            <w:vAlign w:val="bottom"/>
          </w:tcPr>
          <w:p w14:paraId="392BF7F7" w14:textId="77777777" w:rsidR="00980E5F" w:rsidRDefault="00980E5F">
            <w:pPr>
              <w:rPr>
                <w:rFonts w:ascii="宋体"/>
                <w:vanish/>
              </w:rPr>
            </w:pPr>
          </w:p>
        </w:tc>
      </w:tr>
      <w:tr w:rsidR="00980E5F" w14:paraId="392BF80C" w14:textId="77777777">
        <w:tc>
          <w:tcPr>
            <w:tcW w:w="0" w:type="auto"/>
            <w:gridSpan w:val="3"/>
            <w:shd w:val="clear" w:color="auto" w:fill="CCEEFF"/>
            <w:tcMar>
              <w:top w:w="40" w:type="dxa"/>
              <w:left w:w="155" w:type="dxa"/>
              <w:bottom w:w="40" w:type="dxa"/>
              <w:right w:w="20" w:type="dxa"/>
            </w:tcMar>
            <w:vAlign w:val="bottom"/>
          </w:tcPr>
          <w:p w14:paraId="392BF7F9" w14:textId="77777777" w:rsidR="00980E5F" w:rsidRDefault="00483613">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392BF7FA" w14:textId="77777777" w:rsidR="00980E5F" w:rsidRDefault="00483613">
            <w:pPr>
              <w:jc w:val="right"/>
              <w:textAlignment w:val="bottom"/>
            </w:pPr>
            <w:r>
              <w:rPr>
                <w:rFonts w:ascii="Arial" w:eastAsia="宋体" w:hAnsi="Arial" w:cs="Arial"/>
                <w:b/>
                <w:bCs/>
                <w:color w:val="000000"/>
                <w:sz w:val="15"/>
                <w:szCs w:val="15"/>
              </w:rPr>
              <w:t>(43)</w:t>
            </w:r>
          </w:p>
        </w:tc>
        <w:tc>
          <w:tcPr>
            <w:tcW w:w="0" w:type="auto"/>
            <w:shd w:val="clear" w:color="auto" w:fill="CCEEFF"/>
            <w:tcMar>
              <w:top w:w="40" w:type="dxa"/>
              <w:left w:w="0" w:type="dxa"/>
              <w:bottom w:w="40" w:type="dxa"/>
              <w:right w:w="20" w:type="dxa"/>
            </w:tcMar>
            <w:vAlign w:val="bottom"/>
          </w:tcPr>
          <w:p w14:paraId="392BF7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7FD" w14:textId="77777777" w:rsidR="00980E5F" w:rsidRDefault="00483613">
            <w:pPr>
              <w:jc w:val="right"/>
              <w:textAlignment w:val="bottom"/>
            </w:pPr>
            <w:r>
              <w:rPr>
                <w:rFonts w:ascii="Arial" w:eastAsia="宋体" w:hAnsi="Arial" w:cs="Arial"/>
                <w:b/>
                <w:bCs/>
                <w:color w:val="000000"/>
                <w:sz w:val="15"/>
                <w:szCs w:val="15"/>
              </w:rPr>
              <w:t>(13)</w:t>
            </w:r>
          </w:p>
        </w:tc>
        <w:tc>
          <w:tcPr>
            <w:tcW w:w="0" w:type="auto"/>
            <w:shd w:val="clear" w:color="auto" w:fill="CCEEFF"/>
            <w:tcMar>
              <w:top w:w="40" w:type="dxa"/>
              <w:left w:w="0" w:type="dxa"/>
              <w:bottom w:w="40" w:type="dxa"/>
              <w:right w:w="20" w:type="dxa"/>
            </w:tcMar>
            <w:vAlign w:val="bottom"/>
          </w:tcPr>
          <w:p w14:paraId="392BF7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7F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800" w14:textId="77777777" w:rsidR="00980E5F" w:rsidRDefault="00483613">
            <w:pPr>
              <w:jc w:val="right"/>
              <w:textAlignment w:val="bottom"/>
            </w:pPr>
            <w:r>
              <w:rPr>
                <w:rFonts w:ascii="Arial" w:eastAsia="宋体" w:hAnsi="Arial" w:cs="Arial"/>
                <w:b/>
                <w:bCs/>
                <w:color w:val="000000"/>
                <w:sz w:val="15"/>
                <w:szCs w:val="15"/>
              </w:rPr>
              <w:t>(2)</w:t>
            </w:r>
          </w:p>
        </w:tc>
        <w:tc>
          <w:tcPr>
            <w:tcW w:w="0" w:type="auto"/>
            <w:shd w:val="clear" w:color="auto" w:fill="CCEEFF"/>
            <w:tcMar>
              <w:top w:w="40" w:type="dxa"/>
              <w:left w:w="0" w:type="dxa"/>
              <w:bottom w:w="40" w:type="dxa"/>
              <w:right w:w="20" w:type="dxa"/>
            </w:tcMar>
            <w:vAlign w:val="bottom"/>
          </w:tcPr>
          <w:p w14:paraId="392BF8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0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803" w14:textId="77777777" w:rsidR="00980E5F" w:rsidRDefault="00483613">
            <w:pPr>
              <w:jc w:val="right"/>
              <w:textAlignment w:val="bottom"/>
            </w:pPr>
            <w:r>
              <w:rPr>
                <w:rFonts w:ascii="Arial" w:eastAsia="宋体" w:hAnsi="Arial" w:cs="Arial"/>
                <w:b/>
                <w:bCs/>
                <w:color w:val="000000"/>
                <w:sz w:val="15"/>
                <w:szCs w:val="15"/>
              </w:rPr>
              <w:t>(3)</w:t>
            </w:r>
          </w:p>
        </w:tc>
        <w:tc>
          <w:tcPr>
            <w:tcW w:w="0" w:type="auto"/>
            <w:shd w:val="clear" w:color="auto" w:fill="CCEEFF"/>
            <w:tcMar>
              <w:top w:w="40" w:type="dxa"/>
              <w:left w:w="0" w:type="dxa"/>
              <w:bottom w:w="40" w:type="dxa"/>
              <w:right w:w="20" w:type="dxa"/>
            </w:tcMar>
            <w:vAlign w:val="bottom"/>
          </w:tcPr>
          <w:p w14:paraId="392BF8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0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806" w14:textId="77777777" w:rsidR="00980E5F" w:rsidRDefault="00483613">
            <w:pPr>
              <w:jc w:val="right"/>
              <w:textAlignment w:val="bottom"/>
            </w:pPr>
            <w:r>
              <w:rPr>
                <w:rFonts w:ascii="Arial" w:eastAsia="宋体" w:hAnsi="Arial" w:cs="Arial"/>
                <w:b/>
                <w:bCs/>
                <w:color w:val="000000"/>
                <w:sz w:val="15"/>
                <w:szCs w:val="15"/>
              </w:rPr>
              <w:t>(7)</w:t>
            </w:r>
          </w:p>
        </w:tc>
        <w:tc>
          <w:tcPr>
            <w:tcW w:w="0" w:type="auto"/>
            <w:shd w:val="clear" w:color="auto" w:fill="CCEEFF"/>
            <w:tcMar>
              <w:top w:w="40" w:type="dxa"/>
              <w:left w:w="0" w:type="dxa"/>
              <w:bottom w:w="40" w:type="dxa"/>
              <w:right w:w="20" w:type="dxa"/>
            </w:tcMar>
            <w:vAlign w:val="bottom"/>
          </w:tcPr>
          <w:p w14:paraId="392BF8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0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809" w14:textId="77777777" w:rsidR="00980E5F" w:rsidRDefault="00483613">
            <w:pPr>
              <w:jc w:val="right"/>
              <w:textAlignment w:val="bottom"/>
            </w:pPr>
            <w:r>
              <w:rPr>
                <w:rFonts w:ascii="Arial" w:eastAsia="宋体" w:hAnsi="Arial" w:cs="Arial"/>
                <w:b/>
                <w:bCs/>
                <w:color w:val="000000"/>
                <w:sz w:val="15"/>
                <w:szCs w:val="15"/>
              </w:rPr>
              <w:t>(68)</w:t>
            </w:r>
          </w:p>
        </w:tc>
        <w:tc>
          <w:tcPr>
            <w:tcW w:w="0" w:type="auto"/>
            <w:shd w:val="clear" w:color="auto" w:fill="CCEEFF"/>
            <w:tcMar>
              <w:top w:w="40" w:type="dxa"/>
              <w:left w:w="0" w:type="dxa"/>
              <w:bottom w:w="40" w:type="dxa"/>
              <w:right w:w="20" w:type="dxa"/>
            </w:tcMar>
            <w:vAlign w:val="bottom"/>
          </w:tcPr>
          <w:p w14:paraId="392BF80A" w14:textId="77777777" w:rsidR="00980E5F" w:rsidRDefault="00980E5F">
            <w:pPr>
              <w:jc w:val="right"/>
              <w:rPr>
                <w:rFonts w:ascii="宋体"/>
              </w:rPr>
            </w:pPr>
          </w:p>
        </w:tc>
        <w:tc>
          <w:tcPr>
            <w:tcW w:w="0" w:type="auto"/>
            <w:shd w:val="clear" w:color="auto" w:fill="auto"/>
            <w:vAlign w:val="bottom"/>
          </w:tcPr>
          <w:p w14:paraId="392BF80B" w14:textId="77777777" w:rsidR="00980E5F" w:rsidRDefault="00980E5F">
            <w:pPr>
              <w:rPr>
                <w:rFonts w:ascii="宋体"/>
                <w:vanish/>
              </w:rPr>
            </w:pPr>
          </w:p>
        </w:tc>
      </w:tr>
      <w:tr w:rsidR="00980E5F" w14:paraId="392BF820" w14:textId="77777777">
        <w:tc>
          <w:tcPr>
            <w:tcW w:w="0" w:type="auto"/>
            <w:gridSpan w:val="3"/>
            <w:shd w:val="clear" w:color="auto" w:fill="FFFFFF"/>
            <w:tcMar>
              <w:top w:w="40" w:type="dxa"/>
              <w:left w:w="20" w:type="dxa"/>
              <w:bottom w:w="40" w:type="dxa"/>
              <w:right w:w="20" w:type="dxa"/>
            </w:tcMar>
            <w:vAlign w:val="bottom"/>
          </w:tcPr>
          <w:p w14:paraId="392BF80D" w14:textId="77777777" w:rsidR="00980E5F" w:rsidRDefault="00483613">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0E" w14:textId="77777777" w:rsidR="00980E5F" w:rsidRDefault="00483613">
            <w:pPr>
              <w:jc w:val="right"/>
              <w:textAlignment w:val="bottom"/>
            </w:pPr>
            <w:r>
              <w:rPr>
                <w:rFonts w:ascii="Arial" w:eastAsia="宋体" w:hAnsi="Arial" w:cs="Arial"/>
                <w:b/>
                <w:bCs/>
                <w:color w:val="000000"/>
                <w:sz w:val="15"/>
                <w:szCs w:val="15"/>
              </w:rPr>
              <w:t>(380)</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81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11" w14:textId="77777777" w:rsidR="00980E5F" w:rsidRDefault="00483613">
            <w:pPr>
              <w:jc w:val="right"/>
              <w:textAlignment w:val="bottom"/>
            </w:pPr>
            <w:r>
              <w:rPr>
                <w:rFonts w:ascii="Arial" w:eastAsia="宋体" w:hAnsi="Arial" w:cs="Arial"/>
                <w:b/>
                <w:bCs/>
                <w:color w:val="000000"/>
                <w:sz w:val="15"/>
                <w:szCs w:val="15"/>
              </w:rPr>
              <w:t>(46)</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81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14" w14:textId="77777777" w:rsidR="00980E5F" w:rsidRDefault="00483613">
            <w:pPr>
              <w:jc w:val="right"/>
              <w:textAlignment w:val="bottom"/>
            </w:pPr>
            <w:r>
              <w:rPr>
                <w:rFonts w:ascii="Arial" w:eastAsia="宋体" w:hAnsi="Arial" w:cs="Arial"/>
                <w:b/>
                <w:bCs/>
                <w:color w:val="000000"/>
                <w:sz w:val="15"/>
                <w:szCs w:val="15"/>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81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17" w14:textId="77777777" w:rsidR="00980E5F" w:rsidRDefault="00483613">
            <w:pPr>
              <w:jc w:val="right"/>
              <w:textAlignment w:val="bottom"/>
            </w:pPr>
            <w:r>
              <w:rPr>
                <w:rFonts w:ascii="Arial" w:eastAsia="宋体" w:hAnsi="Arial" w:cs="Arial"/>
                <w:b/>
                <w:bCs/>
                <w:color w:val="000000"/>
                <w:sz w:val="15"/>
                <w:szCs w:val="15"/>
              </w:rPr>
              <w:t>(29)</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81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1A" w14:textId="77777777" w:rsidR="00980E5F" w:rsidRDefault="00483613">
            <w:pPr>
              <w:jc w:val="right"/>
              <w:textAlignment w:val="bottom"/>
            </w:pPr>
            <w:r>
              <w:rPr>
                <w:rFonts w:ascii="Arial" w:eastAsia="宋体" w:hAnsi="Arial" w:cs="Arial"/>
                <w:b/>
                <w:bCs/>
                <w:color w:val="000000"/>
                <w:sz w:val="15"/>
                <w:szCs w:val="15"/>
              </w:rPr>
              <w:t>(28)</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81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81D" w14:textId="77777777" w:rsidR="00980E5F" w:rsidRDefault="00483613">
            <w:pPr>
              <w:jc w:val="right"/>
              <w:textAlignment w:val="bottom"/>
            </w:pPr>
            <w:r>
              <w:rPr>
                <w:rFonts w:ascii="Arial" w:eastAsia="宋体" w:hAnsi="Arial" w:cs="Arial"/>
                <w:b/>
                <w:bCs/>
                <w:color w:val="000000"/>
                <w:sz w:val="15"/>
                <w:szCs w:val="15"/>
              </w:rPr>
              <w:t>(485)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81E" w14:textId="77777777" w:rsidR="00980E5F" w:rsidRDefault="00980E5F">
            <w:pPr>
              <w:jc w:val="right"/>
              <w:rPr>
                <w:rFonts w:ascii="宋体"/>
              </w:rPr>
            </w:pPr>
          </w:p>
        </w:tc>
        <w:tc>
          <w:tcPr>
            <w:tcW w:w="0" w:type="auto"/>
            <w:shd w:val="clear" w:color="auto" w:fill="auto"/>
            <w:vAlign w:val="bottom"/>
          </w:tcPr>
          <w:p w14:paraId="392BF81F" w14:textId="77777777" w:rsidR="00980E5F" w:rsidRDefault="00980E5F">
            <w:pPr>
              <w:rPr>
                <w:rFonts w:ascii="宋体"/>
                <w:vanish/>
              </w:rPr>
            </w:pPr>
          </w:p>
        </w:tc>
      </w:tr>
      <w:tr w:rsidR="00980E5F" w14:paraId="392BF83A" w14:textId="77777777">
        <w:tc>
          <w:tcPr>
            <w:tcW w:w="0" w:type="auto"/>
            <w:gridSpan w:val="3"/>
            <w:shd w:val="clear" w:color="auto" w:fill="CCEEFF"/>
            <w:tcMar>
              <w:top w:w="40" w:type="dxa"/>
              <w:left w:w="20" w:type="dxa"/>
              <w:bottom w:w="40" w:type="dxa"/>
              <w:right w:w="20" w:type="dxa"/>
            </w:tcMar>
            <w:vAlign w:val="bottom"/>
          </w:tcPr>
          <w:p w14:paraId="392BF821" w14:textId="77777777" w:rsidR="00980E5F" w:rsidRDefault="00483613">
            <w:pPr>
              <w:textAlignment w:val="bottom"/>
            </w:pPr>
            <w:r>
              <w:rPr>
                <w:rFonts w:ascii="Arial" w:eastAsia="宋体" w:hAnsi="Arial" w:cs="Arial"/>
                <w:b/>
                <w:bCs/>
                <w:color w:val="000000"/>
                <w:sz w:val="15"/>
                <w:szCs w:val="15"/>
              </w:rPr>
              <w:t>Balance as of June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22"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23" w14:textId="77777777" w:rsidR="00980E5F" w:rsidRDefault="00483613">
            <w:pPr>
              <w:jc w:val="right"/>
              <w:textAlignment w:val="bottom"/>
            </w:pPr>
            <w:r>
              <w:rPr>
                <w:rFonts w:ascii="Arial" w:eastAsia="宋体" w:hAnsi="Arial" w:cs="Arial"/>
                <w:b/>
                <w:bCs/>
                <w:color w:val="000000"/>
                <w:sz w:val="15"/>
                <w:szCs w:val="15"/>
              </w:rPr>
              <w:t>2,086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25"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26"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27" w14:textId="77777777" w:rsidR="00980E5F" w:rsidRDefault="00483613">
            <w:pPr>
              <w:jc w:val="right"/>
              <w:textAlignment w:val="bottom"/>
            </w:pPr>
            <w:r>
              <w:rPr>
                <w:rFonts w:ascii="Arial" w:eastAsia="宋体" w:hAnsi="Arial" w:cs="Arial"/>
                <w:b/>
                <w:bCs/>
                <w:color w:val="000000"/>
                <w:sz w:val="15"/>
                <w:szCs w:val="15"/>
              </w:rPr>
              <w:t>550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29"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2A"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2B" w14:textId="77777777" w:rsidR="00980E5F" w:rsidRDefault="00483613">
            <w:pPr>
              <w:jc w:val="right"/>
              <w:textAlignment w:val="bottom"/>
            </w:pPr>
            <w:r>
              <w:rPr>
                <w:rFonts w:ascii="Arial" w:eastAsia="宋体" w:hAnsi="Arial" w:cs="Arial"/>
                <w:b/>
                <w:bCs/>
                <w:color w:val="000000"/>
                <w:sz w:val="15"/>
                <w:szCs w:val="15"/>
              </w:rPr>
              <w:t>403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2D"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2E"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2F" w14:textId="77777777" w:rsidR="00980E5F" w:rsidRDefault="00483613">
            <w:pPr>
              <w:jc w:val="right"/>
              <w:textAlignment w:val="bottom"/>
            </w:pPr>
            <w:r>
              <w:rPr>
                <w:rFonts w:ascii="Arial" w:eastAsia="宋体" w:hAnsi="Arial" w:cs="Arial"/>
                <w:b/>
                <w:bCs/>
                <w:color w:val="000000"/>
                <w:sz w:val="15"/>
                <w:szCs w:val="15"/>
              </w:rPr>
              <w:t>202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31"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32"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33" w14:textId="77777777" w:rsidR="00980E5F" w:rsidRDefault="00483613">
            <w:pPr>
              <w:jc w:val="right"/>
              <w:textAlignment w:val="bottom"/>
            </w:pPr>
            <w:r>
              <w:rPr>
                <w:rFonts w:ascii="Arial" w:eastAsia="宋体" w:hAnsi="Arial" w:cs="Arial"/>
                <w:b/>
                <w:bCs/>
                <w:color w:val="000000"/>
                <w:sz w:val="15"/>
                <w:szCs w:val="15"/>
              </w:rPr>
              <w:t>234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835"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BF836"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BF837" w14:textId="77777777" w:rsidR="00980E5F" w:rsidRDefault="00483613">
            <w:pPr>
              <w:jc w:val="right"/>
              <w:textAlignment w:val="bottom"/>
            </w:pPr>
            <w:r>
              <w:rPr>
                <w:rFonts w:ascii="Arial" w:eastAsia="宋体" w:hAnsi="Arial" w:cs="Arial"/>
                <w:b/>
                <w:bCs/>
                <w:color w:val="000000"/>
                <w:sz w:val="15"/>
                <w:szCs w:val="15"/>
              </w:rPr>
              <w:t>3,475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BF838" w14:textId="77777777" w:rsidR="00980E5F" w:rsidRDefault="00980E5F">
            <w:pPr>
              <w:jc w:val="right"/>
              <w:rPr>
                <w:rFonts w:ascii="宋体"/>
              </w:rPr>
            </w:pPr>
          </w:p>
        </w:tc>
        <w:tc>
          <w:tcPr>
            <w:tcW w:w="0" w:type="auto"/>
            <w:shd w:val="clear" w:color="auto" w:fill="auto"/>
            <w:vAlign w:val="bottom"/>
          </w:tcPr>
          <w:p w14:paraId="392BF839" w14:textId="77777777" w:rsidR="00980E5F" w:rsidRDefault="00980E5F">
            <w:pPr>
              <w:rPr>
                <w:rFonts w:ascii="宋体"/>
                <w:vanish/>
              </w:rPr>
            </w:pPr>
          </w:p>
        </w:tc>
      </w:tr>
      <w:tr w:rsidR="00980E5F" w14:paraId="392BF848" w14:textId="77777777">
        <w:trPr>
          <w:hidden/>
        </w:trPr>
        <w:tc>
          <w:tcPr>
            <w:tcW w:w="0" w:type="auto"/>
            <w:gridSpan w:val="3"/>
            <w:shd w:val="clear" w:color="auto" w:fill="auto"/>
            <w:vAlign w:val="bottom"/>
          </w:tcPr>
          <w:p w14:paraId="392BF83B" w14:textId="77777777" w:rsidR="00980E5F" w:rsidRDefault="00980E5F">
            <w:pPr>
              <w:rPr>
                <w:rFonts w:ascii="宋体"/>
                <w:vanish/>
              </w:rPr>
            </w:pPr>
          </w:p>
        </w:tc>
        <w:tc>
          <w:tcPr>
            <w:tcW w:w="0" w:type="auto"/>
            <w:gridSpan w:val="3"/>
            <w:shd w:val="clear" w:color="auto" w:fill="auto"/>
            <w:vAlign w:val="bottom"/>
          </w:tcPr>
          <w:p w14:paraId="392BF83C" w14:textId="77777777" w:rsidR="00980E5F" w:rsidRDefault="00980E5F">
            <w:pPr>
              <w:rPr>
                <w:rFonts w:ascii="宋体"/>
                <w:vanish/>
              </w:rPr>
            </w:pPr>
          </w:p>
        </w:tc>
        <w:tc>
          <w:tcPr>
            <w:tcW w:w="0" w:type="auto"/>
            <w:gridSpan w:val="3"/>
            <w:shd w:val="clear" w:color="auto" w:fill="auto"/>
            <w:vAlign w:val="bottom"/>
          </w:tcPr>
          <w:p w14:paraId="392BF83D" w14:textId="77777777" w:rsidR="00980E5F" w:rsidRDefault="00980E5F">
            <w:pPr>
              <w:rPr>
                <w:rFonts w:ascii="宋体"/>
                <w:vanish/>
              </w:rPr>
            </w:pPr>
          </w:p>
        </w:tc>
        <w:tc>
          <w:tcPr>
            <w:tcW w:w="0" w:type="auto"/>
            <w:gridSpan w:val="3"/>
            <w:shd w:val="clear" w:color="auto" w:fill="auto"/>
            <w:vAlign w:val="bottom"/>
          </w:tcPr>
          <w:p w14:paraId="392BF83E" w14:textId="77777777" w:rsidR="00980E5F" w:rsidRDefault="00980E5F">
            <w:pPr>
              <w:rPr>
                <w:rFonts w:ascii="宋体"/>
                <w:vanish/>
              </w:rPr>
            </w:pPr>
          </w:p>
        </w:tc>
        <w:tc>
          <w:tcPr>
            <w:tcW w:w="0" w:type="auto"/>
            <w:gridSpan w:val="3"/>
            <w:shd w:val="clear" w:color="auto" w:fill="auto"/>
            <w:vAlign w:val="bottom"/>
          </w:tcPr>
          <w:p w14:paraId="392BF83F" w14:textId="77777777" w:rsidR="00980E5F" w:rsidRDefault="00980E5F">
            <w:pPr>
              <w:rPr>
                <w:rFonts w:ascii="宋体"/>
                <w:vanish/>
              </w:rPr>
            </w:pPr>
          </w:p>
        </w:tc>
        <w:tc>
          <w:tcPr>
            <w:tcW w:w="0" w:type="auto"/>
            <w:gridSpan w:val="3"/>
            <w:shd w:val="clear" w:color="auto" w:fill="auto"/>
            <w:vAlign w:val="bottom"/>
          </w:tcPr>
          <w:p w14:paraId="392BF840" w14:textId="77777777" w:rsidR="00980E5F" w:rsidRDefault="00980E5F">
            <w:pPr>
              <w:rPr>
                <w:rFonts w:ascii="宋体"/>
                <w:vanish/>
              </w:rPr>
            </w:pPr>
          </w:p>
        </w:tc>
        <w:tc>
          <w:tcPr>
            <w:tcW w:w="0" w:type="auto"/>
            <w:gridSpan w:val="3"/>
            <w:shd w:val="clear" w:color="auto" w:fill="auto"/>
            <w:vAlign w:val="bottom"/>
          </w:tcPr>
          <w:p w14:paraId="392BF841" w14:textId="77777777" w:rsidR="00980E5F" w:rsidRDefault="00980E5F">
            <w:pPr>
              <w:rPr>
                <w:rFonts w:ascii="宋体"/>
                <w:vanish/>
              </w:rPr>
            </w:pPr>
          </w:p>
        </w:tc>
        <w:tc>
          <w:tcPr>
            <w:tcW w:w="0" w:type="auto"/>
            <w:gridSpan w:val="3"/>
            <w:shd w:val="clear" w:color="auto" w:fill="auto"/>
            <w:vAlign w:val="bottom"/>
          </w:tcPr>
          <w:p w14:paraId="392BF842" w14:textId="77777777" w:rsidR="00980E5F" w:rsidRDefault="00980E5F">
            <w:pPr>
              <w:rPr>
                <w:rFonts w:ascii="宋体"/>
                <w:vanish/>
              </w:rPr>
            </w:pPr>
          </w:p>
        </w:tc>
        <w:tc>
          <w:tcPr>
            <w:tcW w:w="0" w:type="auto"/>
            <w:gridSpan w:val="3"/>
            <w:shd w:val="clear" w:color="auto" w:fill="auto"/>
            <w:vAlign w:val="bottom"/>
          </w:tcPr>
          <w:p w14:paraId="392BF843" w14:textId="77777777" w:rsidR="00980E5F" w:rsidRDefault="00980E5F">
            <w:pPr>
              <w:rPr>
                <w:rFonts w:ascii="宋体"/>
                <w:vanish/>
              </w:rPr>
            </w:pPr>
          </w:p>
        </w:tc>
        <w:tc>
          <w:tcPr>
            <w:tcW w:w="0" w:type="auto"/>
            <w:gridSpan w:val="3"/>
            <w:shd w:val="clear" w:color="auto" w:fill="auto"/>
            <w:vAlign w:val="bottom"/>
          </w:tcPr>
          <w:p w14:paraId="392BF844" w14:textId="77777777" w:rsidR="00980E5F" w:rsidRDefault="00980E5F">
            <w:pPr>
              <w:rPr>
                <w:rFonts w:ascii="宋体"/>
                <w:vanish/>
              </w:rPr>
            </w:pPr>
          </w:p>
        </w:tc>
        <w:tc>
          <w:tcPr>
            <w:tcW w:w="0" w:type="auto"/>
            <w:gridSpan w:val="3"/>
            <w:shd w:val="clear" w:color="auto" w:fill="auto"/>
            <w:vAlign w:val="bottom"/>
          </w:tcPr>
          <w:p w14:paraId="392BF845" w14:textId="77777777" w:rsidR="00980E5F" w:rsidRDefault="00980E5F">
            <w:pPr>
              <w:rPr>
                <w:rFonts w:ascii="宋体"/>
                <w:vanish/>
              </w:rPr>
            </w:pPr>
          </w:p>
        </w:tc>
        <w:tc>
          <w:tcPr>
            <w:tcW w:w="0" w:type="auto"/>
            <w:gridSpan w:val="3"/>
            <w:shd w:val="clear" w:color="auto" w:fill="auto"/>
            <w:vAlign w:val="bottom"/>
          </w:tcPr>
          <w:p w14:paraId="392BF846" w14:textId="77777777" w:rsidR="00980E5F" w:rsidRDefault="00980E5F">
            <w:pPr>
              <w:rPr>
                <w:rFonts w:ascii="宋体"/>
                <w:vanish/>
              </w:rPr>
            </w:pPr>
          </w:p>
        </w:tc>
        <w:tc>
          <w:tcPr>
            <w:tcW w:w="0" w:type="auto"/>
            <w:shd w:val="clear" w:color="auto" w:fill="auto"/>
            <w:vAlign w:val="bottom"/>
          </w:tcPr>
          <w:p w14:paraId="392BF847" w14:textId="77777777" w:rsidR="00980E5F" w:rsidRDefault="00980E5F">
            <w:pPr>
              <w:rPr>
                <w:rFonts w:ascii="宋体"/>
                <w:vanish/>
              </w:rPr>
            </w:pPr>
          </w:p>
        </w:tc>
      </w:tr>
      <w:tr w:rsidR="00980E5F" w14:paraId="392BF856" w14:textId="77777777">
        <w:trPr>
          <w:hidden/>
        </w:trPr>
        <w:tc>
          <w:tcPr>
            <w:tcW w:w="0" w:type="auto"/>
            <w:gridSpan w:val="3"/>
            <w:shd w:val="clear" w:color="auto" w:fill="auto"/>
            <w:vAlign w:val="bottom"/>
          </w:tcPr>
          <w:p w14:paraId="392BF849" w14:textId="77777777" w:rsidR="00980E5F" w:rsidRDefault="00980E5F">
            <w:pPr>
              <w:rPr>
                <w:rFonts w:ascii="宋体"/>
                <w:vanish/>
              </w:rPr>
            </w:pPr>
          </w:p>
        </w:tc>
        <w:tc>
          <w:tcPr>
            <w:tcW w:w="0" w:type="auto"/>
            <w:gridSpan w:val="3"/>
            <w:shd w:val="clear" w:color="auto" w:fill="auto"/>
            <w:vAlign w:val="bottom"/>
          </w:tcPr>
          <w:p w14:paraId="392BF84A" w14:textId="77777777" w:rsidR="00980E5F" w:rsidRDefault="00980E5F">
            <w:pPr>
              <w:rPr>
                <w:rFonts w:ascii="宋体"/>
                <w:vanish/>
              </w:rPr>
            </w:pPr>
          </w:p>
        </w:tc>
        <w:tc>
          <w:tcPr>
            <w:tcW w:w="0" w:type="auto"/>
            <w:gridSpan w:val="3"/>
            <w:shd w:val="clear" w:color="auto" w:fill="auto"/>
            <w:vAlign w:val="bottom"/>
          </w:tcPr>
          <w:p w14:paraId="392BF84B" w14:textId="77777777" w:rsidR="00980E5F" w:rsidRDefault="00980E5F">
            <w:pPr>
              <w:rPr>
                <w:rFonts w:ascii="宋体"/>
                <w:vanish/>
              </w:rPr>
            </w:pPr>
          </w:p>
        </w:tc>
        <w:tc>
          <w:tcPr>
            <w:tcW w:w="0" w:type="auto"/>
            <w:gridSpan w:val="3"/>
            <w:shd w:val="clear" w:color="auto" w:fill="auto"/>
            <w:vAlign w:val="bottom"/>
          </w:tcPr>
          <w:p w14:paraId="392BF84C" w14:textId="77777777" w:rsidR="00980E5F" w:rsidRDefault="00980E5F">
            <w:pPr>
              <w:rPr>
                <w:rFonts w:ascii="宋体"/>
                <w:vanish/>
              </w:rPr>
            </w:pPr>
          </w:p>
        </w:tc>
        <w:tc>
          <w:tcPr>
            <w:tcW w:w="0" w:type="auto"/>
            <w:gridSpan w:val="3"/>
            <w:shd w:val="clear" w:color="auto" w:fill="auto"/>
            <w:vAlign w:val="bottom"/>
          </w:tcPr>
          <w:p w14:paraId="392BF84D" w14:textId="77777777" w:rsidR="00980E5F" w:rsidRDefault="00980E5F">
            <w:pPr>
              <w:rPr>
                <w:rFonts w:ascii="宋体"/>
                <w:vanish/>
              </w:rPr>
            </w:pPr>
          </w:p>
        </w:tc>
        <w:tc>
          <w:tcPr>
            <w:tcW w:w="0" w:type="auto"/>
            <w:gridSpan w:val="3"/>
            <w:shd w:val="clear" w:color="auto" w:fill="auto"/>
            <w:vAlign w:val="bottom"/>
          </w:tcPr>
          <w:p w14:paraId="392BF84E" w14:textId="77777777" w:rsidR="00980E5F" w:rsidRDefault="00980E5F">
            <w:pPr>
              <w:rPr>
                <w:rFonts w:ascii="宋体"/>
                <w:vanish/>
              </w:rPr>
            </w:pPr>
          </w:p>
        </w:tc>
        <w:tc>
          <w:tcPr>
            <w:tcW w:w="0" w:type="auto"/>
            <w:gridSpan w:val="3"/>
            <w:shd w:val="clear" w:color="auto" w:fill="auto"/>
            <w:vAlign w:val="bottom"/>
          </w:tcPr>
          <w:p w14:paraId="392BF84F" w14:textId="77777777" w:rsidR="00980E5F" w:rsidRDefault="00980E5F">
            <w:pPr>
              <w:rPr>
                <w:rFonts w:ascii="宋体"/>
                <w:vanish/>
              </w:rPr>
            </w:pPr>
          </w:p>
        </w:tc>
        <w:tc>
          <w:tcPr>
            <w:tcW w:w="0" w:type="auto"/>
            <w:gridSpan w:val="3"/>
            <w:shd w:val="clear" w:color="auto" w:fill="auto"/>
            <w:vAlign w:val="bottom"/>
          </w:tcPr>
          <w:p w14:paraId="392BF850" w14:textId="77777777" w:rsidR="00980E5F" w:rsidRDefault="00980E5F">
            <w:pPr>
              <w:rPr>
                <w:rFonts w:ascii="宋体"/>
                <w:vanish/>
              </w:rPr>
            </w:pPr>
          </w:p>
        </w:tc>
        <w:tc>
          <w:tcPr>
            <w:tcW w:w="0" w:type="auto"/>
            <w:gridSpan w:val="3"/>
            <w:shd w:val="clear" w:color="auto" w:fill="auto"/>
            <w:vAlign w:val="bottom"/>
          </w:tcPr>
          <w:p w14:paraId="392BF851" w14:textId="77777777" w:rsidR="00980E5F" w:rsidRDefault="00980E5F">
            <w:pPr>
              <w:rPr>
                <w:rFonts w:ascii="宋体"/>
                <w:vanish/>
              </w:rPr>
            </w:pPr>
          </w:p>
        </w:tc>
        <w:tc>
          <w:tcPr>
            <w:tcW w:w="0" w:type="auto"/>
            <w:gridSpan w:val="3"/>
            <w:shd w:val="clear" w:color="auto" w:fill="auto"/>
            <w:vAlign w:val="bottom"/>
          </w:tcPr>
          <w:p w14:paraId="392BF852" w14:textId="77777777" w:rsidR="00980E5F" w:rsidRDefault="00980E5F">
            <w:pPr>
              <w:rPr>
                <w:rFonts w:ascii="宋体"/>
                <w:vanish/>
              </w:rPr>
            </w:pPr>
          </w:p>
        </w:tc>
        <w:tc>
          <w:tcPr>
            <w:tcW w:w="0" w:type="auto"/>
            <w:gridSpan w:val="3"/>
            <w:shd w:val="clear" w:color="auto" w:fill="auto"/>
            <w:vAlign w:val="bottom"/>
          </w:tcPr>
          <w:p w14:paraId="392BF853" w14:textId="77777777" w:rsidR="00980E5F" w:rsidRDefault="00980E5F">
            <w:pPr>
              <w:rPr>
                <w:rFonts w:ascii="宋体"/>
                <w:vanish/>
              </w:rPr>
            </w:pPr>
          </w:p>
        </w:tc>
        <w:tc>
          <w:tcPr>
            <w:tcW w:w="0" w:type="auto"/>
            <w:gridSpan w:val="3"/>
            <w:shd w:val="clear" w:color="auto" w:fill="auto"/>
            <w:vAlign w:val="bottom"/>
          </w:tcPr>
          <w:p w14:paraId="392BF854" w14:textId="77777777" w:rsidR="00980E5F" w:rsidRDefault="00980E5F">
            <w:pPr>
              <w:rPr>
                <w:rFonts w:ascii="宋体"/>
                <w:vanish/>
              </w:rPr>
            </w:pPr>
          </w:p>
        </w:tc>
        <w:tc>
          <w:tcPr>
            <w:tcW w:w="0" w:type="auto"/>
            <w:shd w:val="clear" w:color="auto" w:fill="auto"/>
            <w:vAlign w:val="bottom"/>
          </w:tcPr>
          <w:p w14:paraId="392BF855" w14:textId="77777777" w:rsidR="00980E5F" w:rsidRDefault="00980E5F">
            <w:pPr>
              <w:rPr>
                <w:rFonts w:ascii="宋体"/>
                <w:vanish/>
              </w:rPr>
            </w:pPr>
          </w:p>
        </w:tc>
      </w:tr>
      <w:tr w:rsidR="00980E5F" w14:paraId="392BF864" w14:textId="77777777">
        <w:trPr>
          <w:hidden/>
        </w:trPr>
        <w:tc>
          <w:tcPr>
            <w:tcW w:w="0" w:type="auto"/>
            <w:gridSpan w:val="3"/>
            <w:shd w:val="clear" w:color="auto" w:fill="auto"/>
            <w:vAlign w:val="bottom"/>
          </w:tcPr>
          <w:p w14:paraId="392BF857" w14:textId="77777777" w:rsidR="00980E5F" w:rsidRDefault="00980E5F">
            <w:pPr>
              <w:rPr>
                <w:rFonts w:ascii="宋体"/>
                <w:vanish/>
              </w:rPr>
            </w:pPr>
          </w:p>
        </w:tc>
        <w:tc>
          <w:tcPr>
            <w:tcW w:w="0" w:type="auto"/>
            <w:gridSpan w:val="3"/>
            <w:shd w:val="clear" w:color="auto" w:fill="auto"/>
            <w:vAlign w:val="bottom"/>
          </w:tcPr>
          <w:p w14:paraId="392BF858" w14:textId="77777777" w:rsidR="00980E5F" w:rsidRDefault="00980E5F">
            <w:pPr>
              <w:rPr>
                <w:rFonts w:ascii="宋体"/>
                <w:vanish/>
              </w:rPr>
            </w:pPr>
          </w:p>
        </w:tc>
        <w:tc>
          <w:tcPr>
            <w:tcW w:w="0" w:type="auto"/>
            <w:gridSpan w:val="3"/>
            <w:shd w:val="clear" w:color="auto" w:fill="auto"/>
            <w:vAlign w:val="bottom"/>
          </w:tcPr>
          <w:p w14:paraId="392BF859" w14:textId="77777777" w:rsidR="00980E5F" w:rsidRDefault="00980E5F">
            <w:pPr>
              <w:rPr>
                <w:rFonts w:ascii="宋体"/>
                <w:vanish/>
              </w:rPr>
            </w:pPr>
          </w:p>
        </w:tc>
        <w:tc>
          <w:tcPr>
            <w:tcW w:w="0" w:type="auto"/>
            <w:gridSpan w:val="3"/>
            <w:shd w:val="clear" w:color="auto" w:fill="auto"/>
            <w:vAlign w:val="bottom"/>
          </w:tcPr>
          <w:p w14:paraId="392BF85A" w14:textId="77777777" w:rsidR="00980E5F" w:rsidRDefault="00980E5F">
            <w:pPr>
              <w:rPr>
                <w:rFonts w:ascii="宋体"/>
                <w:vanish/>
              </w:rPr>
            </w:pPr>
          </w:p>
        </w:tc>
        <w:tc>
          <w:tcPr>
            <w:tcW w:w="0" w:type="auto"/>
            <w:gridSpan w:val="3"/>
            <w:shd w:val="clear" w:color="auto" w:fill="auto"/>
            <w:vAlign w:val="bottom"/>
          </w:tcPr>
          <w:p w14:paraId="392BF85B" w14:textId="77777777" w:rsidR="00980E5F" w:rsidRDefault="00980E5F">
            <w:pPr>
              <w:rPr>
                <w:rFonts w:ascii="宋体"/>
                <w:vanish/>
              </w:rPr>
            </w:pPr>
          </w:p>
        </w:tc>
        <w:tc>
          <w:tcPr>
            <w:tcW w:w="0" w:type="auto"/>
            <w:gridSpan w:val="3"/>
            <w:shd w:val="clear" w:color="auto" w:fill="auto"/>
            <w:vAlign w:val="bottom"/>
          </w:tcPr>
          <w:p w14:paraId="392BF85C" w14:textId="77777777" w:rsidR="00980E5F" w:rsidRDefault="00980E5F">
            <w:pPr>
              <w:rPr>
                <w:rFonts w:ascii="宋体"/>
                <w:vanish/>
              </w:rPr>
            </w:pPr>
          </w:p>
        </w:tc>
        <w:tc>
          <w:tcPr>
            <w:tcW w:w="0" w:type="auto"/>
            <w:gridSpan w:val="3"/>
            <w:shd w:val="clear" w:color="auto" w:fill="auto"/>
            <w:vAlign w:val="bottom"/>
          </w:tcPr>
          <w:p w14:paraId="392BF85D" w14:textId="77777777" w:rsidR="00980E5F" w:rsidRDefault="00980E5F">
            <w:pPr>
              <w:rPr>
                <w:rFonts w:ascii="宋体"/>
                <w:vanish/>
              </w:rPr>
            </w:pPr>
          </w:p>
        </w:tc>
        <w:tc>
          <w:tcPr>
            <w:tcW w:w="0" w:type="auto"/>
            <w:gridSpan w:val="3"/>
            <w:shd w:val="clear" w:color="auto" w:fill="auto"/>
            <w:vAlign w:val="bottom"/>
          </w:tcPr>
          <w:p w14:paraId="392BF85E" w14:textId="77777777" w:rsidR="00980E5F" w:rsidRDefault="00980E5F">
            <w:pPr>
              <w:rPr>
                <w:rFonts w:ascii="宋体"/>
                <w:vanish/>
              </w:rPr>
            </w:pPr>
          </w:p>
        </w:tc>
        <w:tc>
          <w:tcPr>
            <w:tcW w:w="0" w:type="auto"/>
            <w:gridSpan w:val="3"/>
            <w:shd w:val="clear" w:color="auto" w:fill="auto"/>
            <w:vAlign w:val="bottom"/>
          </w:tcPr>
          <w:p w14:paraId="392BF85F" w14:textId="77777777" w:rsidR="00980E5F" w:rsidRDefault="00980E5F">
            <w:pPr>
              <w:rPr>
                <w:rFonts w:ascii="宋体"/>
                <w:vanish/>
              </w:rPr>
            </w:pPr>
          </w:p>
        </w:tc>
        <w:tc>
          <w:tcPr>
            <w:tcW w:w="0" w:type="auto"/>
            <w:gridSpan w:val="3"/>
            <w:shd w:val="clear" w:color="auto" w:fill="auto"/>
            <w:vAlign w:val="bottom"/>
          </w:tcPr>
          <w:p w14:paraId="392BF860" w14:textId="77777777" w:rsidR="00980E5F" w:rsidRDefault="00980E5F">
            <w:pPr>
              <w:rPr>
                <w:rFonts w:ascii="宋体"/>
                <w:vanish/>
              </w:rPr>
            </w:pPr>
          </w:p>
        </w:tc>
        <w:tc>
          <w:tcPr>
            <w:tcW w:w="0" w:type="auto"/>
            <w:gridSpan w:val="3"/>
            <w:shd w:val="clear" w:color="auto" w:fill="auto"/>
            <w:vAlign w:val="bottom"/>
          </w:tcPr>
          <w:p w14:paraId="392BF861" w14:textId="77777777" w:rsidR="00980E5F" w:rsidRDefault="00980E5F">
            <w:pPr>
              <w:rPr>
                <w:rFonts w:ascii="宋体"/>
                <w:vanish/>
              </w:rPr>
            </w:pPr>
          </w:p>
        </w:tc>
        <w:tc>
          <w:tcPr>
            <w:tcW w:w="0" w:type="auto"/>
            <w:gridSpan w:val="3"/>
            <w:shd w:val="clear" w:color="auto" w:fill="auto"/>
            <w:vAlign w:val="bottom"/>
          </w:tcPr>
          <w:p w14:paraId="392BF862" w14:textId="77777777" w:rsidR="00980E5F" w:rsidRDefault="00980E5F">
            <w:pPr>
              <w:rPr>
                <w:rFonts w:ascii="宋体"/>
                <w:vanish/>
              </w:rPr>
            </w:pPr>
          </w:p>
        </w:tc>
        <w:tc>
          <w:tcPr>
            <w:tcW w:w="0" w:type="auto"/>
            <w:shd w:val="clear" w:color="auto" w:fill="auto"/>
            <w:vAlign w:val="bottom"/>
          </w:tcPr>
          <w:p w14:paraId="392BF863" w14:textId="77777777" w:rsidR="00980E5F" w:rsidRDefault="00980E5F">
            <w:pPr>
              <w:rPr>
                <w:rFonts w:ascii="宋体"/>
                <w:vanish/>
              </w:rPr>
            </w:pPr>
          </w:p>
        </w:tc>
      </w:tr>
      <w:tr w:rsidR="00980E5F" w14:paraId="392BF872" w14:textId="77777777">
        <w:trPr>
          <w:hidden/>
        </w:trPr>
        <w:tc>
          <w:tcPr>
            <w:tcW w:w="0" w:type="auto"/>
            <w:gridSpan w:val="3"/>
            <w:shd w:val="clear" w:color="auto" w:fill="auto"/>
            <w:vAlign w:val="bottom"/>
          </w:tcPr>
          <w:p w14:paraId="392BF865" w14:textId="77777777" w:rsidR="00980E5F" w:rsidRDefault="00980E5F">
            <w:pPr>
              <w:rPr>
                <w:rFonts w:ascii="宋体"/>
                <w:vanish/>
              </w:rPr>
            </w:pPr>
          </w:p>
        </w:tc>
        <w:tc>
          <w:tcPr>
            <w:tcW w:w="0" w:type="auto"/>
            <w:gridSpan w:val="3"/>
            <w:shd w:val="clear" w:color="auto" w:fill="auto"/>
            <w:vAlign w:val="bottom"/>
          </w:tcPr>
          <w:p w14:paraId="392BF866" w14:textId="77777777" w:rsidR="00980E5F" w:rsidRDefault="00980E5F">
            <w:pPr>
              <w:rPr>
                <w:rFonts w:ascii="宋体"/>
                <w:vanish/>
              </w:rPr>
            </w:pPr>
          </w:p>
        </w:tc>
        <w:tc>
          <w:tcPr>
            <w:tcW w:w="0" w:type="auto"/>
            <w:gridSpan w:val="3"/>
            <w:shd w:val="clear" w:color="auto" w:fill="auto"/>
            <w:vAlign w:val="bottom"/>
          </w:tcPr>
          <w:p w14:paraId="392BF867" w14:textId="77777777" w:rsidR="00980E5F" w:rsidRDefault="00980E5F">
            <w:pPr>
              <w:rPr>
                <w:rFonts w:ascii="宋体"/>
                <w:vanish/>
              </w:rPr>
            </w:pPr>
          </w:p>
        </w:tc>
        <w:tc>
          <w:tcPr>
            <w:tcW w:w="0" w:type="auto"/>
            <w:gridSpan w:val="3"/>
            <w:shd w:val="clear" w:color="auto" w:fill="auto"/>
            <w:vAlign w:val="bottom"/>
          </w:tcPr>
          <w:p w14:paraId="392BF868" w14:textId="77777777" w:rsidR="00980E5F" w:rsidRDefault="00980E5F">
            <w:pPr>
              <w:rPr>
                <w:rFonts w:ascii="宋体"/>
                <w:vanish/>
              </w:rPr>
            </w:pPr>
          </w:p>
        </w:tc>
        <w:tc>
          <w:tcPr>
            <w:tcW w:w="0" w:type="auto"/>
            <w:gridSpan w:val="3"/>
            <w:shd w:val="clear" w:color="auto" w:fill="auto"/>
            <w:vAlign w:val="bottom"/>
          </w:tcPr>
          <w:p w14:paraId="392BF869" w14:textId="77777777" w:rsidR="00980E5F" w:rsidRDefault="00980E5F">
            <w:pPr>
              <w:rPr>
                <w:rFonts w:ascii="宋体"/>
                <w:vanish/>
              </w:rPr>
            </w:pPr>
          </w:p>
        </w:tc>
        <w:tc>
          <w:tcPr>
            <w:tcW w:w="0" w:type="auto"/>
            <w:gridSpan w:val="3"/>
            <w:shd w:val="clear" w:color="auto" w:fill="auto"/>
            <w:vAlign w:val="bottom"/>
          </w:tcPr>
          <w:p w14:paraId="392BF86A" w14:textId="77777777" w:rsidR="00980E5F" w:rsidRDefault="00980E5F">
            <w:pPr>
              <w:rPr>
                <w:rFonts w:ascii="宋体"/>
                <w:vanish/>
              </w:rPr>
            </w:pPr>
          </w:p>
        </w:tc>
        <w:tc>
          <w:tcPr>
            <w:tcW w:w="0" w:type="auto"/>
            <w:gridSpan w:val="3"/>
            <w:shd w:val="clear" w:color="auto" w:fill="auto"/>
            <w:vAlign w:val="bottom"/>
          </w:tcPr>
          <w:p w14:paraId="392BF86B" w14:textId="77777777" w:rsidR="00980E5F" w:rsidRDefault="00980E5F">
            <w:pPr>
              <w:rPr>
                <w:rFonts w:ascii="宋体"/>
                <w:vanish/>
              </w:rPr>
            </w:pPr>
          </w:p>
        </w:tc>
        <w:tc>
          <w:tcPr>
            <w:tcW w:w="0" w:type="auto"/>
            <w:gridSpan w:val="3"/>
            <w:shd w:val="clear" w:color="auto" w:fill="auto"/>
            <w:vAlign w:val="bottom"/>
          </w:tcPr>
          <w:p w14:paraId="392BF86C" w14:textId="77777777" w:rsidR="00980E5F" w:rsidRDefault="00980E5F">
            <w:pPr>
              <w:rPr>
                <w:rFonts w:ascii="宋体"/>
                <w:vanish/>
              </w:rPr>
            </w:pPr>
          </w:p>
        </w:tc>
        <w:tc>
          <w:tcPr>
            <w:tcW w:w="0" w:type="auto"/>
            <w:gridSpan w:val="3"/>
            <w:shd w:val="clear" w:color="auto" w:fill="auto"/>
            <w:vAlign w:val="bottom"/>
          </w:tcPr>
          <w:p w14:paraId="392BF86D" w14:textId="77777777" w:rsidR="00980E5F" w:rsidRDefault="00980E5F">
            <w:pPr>
              <w:rPr>
                <w:rFonts w:ascii="宋体"/>
                <w:vanish/>
              </w:rPr>
            </w:pPr>
          </w:p>
        </w:tc>
        <w:tc>
          <w:tcPr>
            <w:tcW w:w="0" w:type="auto"/>
            <w:gridSpan w:val="3"/>
            <w:shd w:val="clear" w:color="auto" w:fill="auto"/>
            <w:vAlign w:val="bottom"/>
          </w:tcPr>
          <w:p w14:paraId="392BF86E" w14:textId="77777777" w:rsidR="00980E5F" w:rsidRDefault="00980E5F">
            <w:pPr>
              <w:rPr>
                <w:rFonts w:ascii="宋体"/>
                <w:vanish/>
              </w:rPr>
            </w:pPr>
          </w:p>
        </w:tc>
        <w:tc>
          <w:tcPr>
            <w:tcW w:w="0" w:type="auto"/>
            <w:gridSpan w:val="3"/>
            <w:shd w:val="clear" w:color="auto" w:fill="auto"/>
            <w:vAlign w:val="bottom"/>
          </w:tcPr>
          <w:p w14:paraId="392BF86F" w14:textId="77777777" w:rsidR="00980E5F" w:rsidRDefault="00980E5F">
            <w:pPr>
              <w:rPr>
                <w:rFonts w:ascii="宋体"/>
                <w:vanish/>
              </w:rPr>
            </w:pPr>
          </w:p>
        </w:tc>
        <w:tc>
          <w:tcPr>
            <w:tcW w:w="0" w:type="auto"/>
            <w:gridSpan w:val="3"/>
            <w:shd w:val="clear" w:color="auto" w:fill="auto"/>
            <w:vAlign w:val="bottom"/>
          </w:tcPr>
          <w:p w14:paraId="392BF870" w14:textId="77777777" w:rsidR="00980E5F" w:rsidRDefault="00980E5F">
            <w:pPr>
              <w:rPr>
                <w:rFonts w:ascii="宋体"/>
                <w:vanish/>
              </w:rPr>
            </w:pPr>
          </w:p>
        </w:tc>
        <w:tc>
          <w:tcPr>
            <w:tcW w:w="0" w:type="auto"/>
            <w:shd w:val="clear" w:color="auto" w:fill="auto"/>
            <w:vAlign w:val="bottom"/>
          </w:tcPr>
          <w:p w14:paraId="392BF871" w14:textId="77777777" w:rsidR="00980E5F" w:rsidRDefault="00980E5F">
            <w:pPr>
              <w:rPr>
                <w:rFonts w:ascii="宋体"/>
                <w:vanish/>
              </w:rPr>
            </w:pPr>
          </w:p>
        </w:tc>
      </w:tr>
      <w:tr w:rsidR="00980E5F" w14:paraId="392BF880" w14:textId="77777777">
        <w:trPr>
          <w:hidden/>
        </w:trPr>
        <w:tc>
          <w:tcPr>
            <w:tcW w:w="0" w:type="auto"/>
            <w:gridSpan w:val="3"/>
            <w:shd w:val="clear" w:color="auto" w:fill="auto"/>
            <w:vAlign w:val="bottom"/>
          </w:tcPr>
          <w:p w14:paraId="392BF873" w14:textId="77777777" w:rsidR="00980E5F" w:rsidRDefault="00980E5F">
            <w:pPr>
              <w:rPr>
                <w:rFonts w:ascii="宋体"/>
                <w:vanish/>
              </w:rPr>
            </w:pPr>
          </w:p>
        </w:tc>
        <w:tc>
          <w:tcPr>
            <w:tcW w:w="0" w:type="auto"/>
            <w:gridSpan w:val="3"/>
            <w:shd w:val="clear" w:color="auto" w:fill="auto"/>
            <w:vAlign w:val="bottom"/>
          </w:tcPr>
          <w:p w14:paraId="392BF874" w14:textId="77777777" w:rsidR="00980E5F" w:rsidRDefault="00980E5F">
            <w:pPr>
              <w:rPr>
                <w:rFonts w:ascii="宋体"/>
                <w:vanish/>
              </w:rPr>
            </w:pPr>
          </w:p>
        </w:tc>
        <w:tc>
          <w:tcPr>
            <w:tcW w:w="0" w:type="auto"/>
            <w:gridSpan w:val="3"/>
            <w:shd w:val="clear" w:color="auto" w:fill="auto"/>
            <w:vAlign w:val="bottom"/>
          </w:tcPr>
          <w:p w14:paraId="392BF875" w14:textId="77777777" w:rsidR="00980E5F" w:rsidRDefault="00980E5F">
            <w:pPr>
              <w:rPr>
                <w:rFonts w:ascii="宋体"/>
                <w:vanish/>
              </w:rPr>
            </w:pPr>
          </w:p>
        </w:tc>
        <w:tc>
          <w:tcPr>
            <w:tcW w:w="0" w:type="auto"/>
            <w:gridSpan w:val="3"/>
            <w:shd w:val="clear" w:color="auto" w:fill="auto"/>
            <w:vAlign w:val="bottom"/>
          </w:tcPr>
          <w:p w14:paraId="392BF876" w14:textId="77777777" w:rsidR="00980E5F" w:rsidRDefault="00980E5F">
            <w:pPr>
              <w:rPr>
                <w:rFonts w:ascii="宋体"/>
                <w:vanish/>
              </w:rPr>
            </w:pPr>
          </w:p>
        </w:tc>
        <w:tc>
          <w:tcPr>
            <w:tcW w:w="0" w:type="auto"/>
            <w:gridSpan w:val="3"/>
            <w:shd w:val="clear" w:color="auto" w:fill="auto"/>
            <w:vAlign w:val="bottom"/>
          </w:tcPr>
          <w:p w14:paraId="392BF877" w14:textId="77777777" w:rsidR="00980E5F" w:rsidRDefault="00980E5F">
            <w:pPr>
              <w:rPr>
                <w:rFonts w:ascii="宋体"/>
                <w:vanish/>
              </w:rPr>
            </w:pPr>
          </w:p>
        </w:tc>
        <w:tc>
          <w:tcPr>
            <w:tcW w:w="0" w:type="auto"/>
            <w:gridSpan w:val="3"/>
            <w:shd w:val="clear" w:color="auto" w:fill="auto"/>
            <w:vAlign w:val="bottom"/>
          </w:tcPr>
          <w:p w14:paraId="392BF878" w14:textId="77777777" w:rsidR="00980E5F" w:rsidRDefault="00980E5F">
            <w:pPr>
              <w:rPr>
                <w:rFonts w:ascii="宋体"/>
                <w:vanish/>
              </w:rPr>
            </w:pPr>
          </w:p>
        </w:tc>
        <w:tc>
          <w:tcPr>
            <w:tcW w:w="0" w:type="auto"/>
            <w:gridSpan w:val="3"/>
            <w:shd w:val="clear" w:color="auto" w:fill="auto"/>
            <w:vAlign w:val="bottom"/>
          </w:tcPr>
          <w:p w14:paraId="392BF879" w14:textId="77777777" w:rsidR="00980E5F" w:rsidRDefault="00980E5F">
            <w:pPr>
              <w:rPr>
                <w:rFonts w:ascii="宋体"/>
                <w:vanish/>
              </w:rPr>
            </w:pPr>
          </w:p>
        </w:tc>
        <w:tc>
          <w:tcPr>
            <w:tcW w:w="0" w:type="auto"/>
            <w:gridSpan w:val="3"/>
            <w:shd w:val="clear" w:color="auto" w:fill="auto"/>
            <w:vAlign w:val="bottom"/>
          </w:tcPr>
          <w:p w14:paraId="392BF87A" w14:textId="77777777" w:rsidR="00980E5F" w:rsidRDefault="00980E5F">
            <w:pPr>
              <w:rPr>
                <w:rFonts w:ascii="宋体"/>
                <w:vanish/>
              </w:rPr>
            </w:pPr>
          </w:p>
        </w:tc>
        <w:tc>
          <w:tcPr>
            <w:tcW w:w="0" w:type="auto"/>
            <w:gridSpan w:val="3"/>
            <w:shd w:val="clear" w:color="auto" w:fill="auto"/>
            <w:vAlign w:val="bottom"/>
          </w:tcPr>
          <w:p w14:paraId="392BF87B" w14:textId="77777777" w:rsidR="00980E5F" w:rsidRDefault="00980E5F">
            <w:pPr>
              <w:rPr>
                <w:rFonts w:ascii="宋体"/>
                <w:vanish/>
              </w:rPr>
            </w:pPr>
          </w:p>
        </w:tc>
        <w:tc>
          <w:tcPr>
            <w:tcW w:w="0" w:type="auto"/>
            <w:gridSpan w:val="3"/>
            <w:shd w:val="clear" w:color="auto" w:fill="auto"/>
            <w:vAlign w:val="bottom"/>
          </w:tcPr>
          <w:p w14:paraId="392BF87C" w14:textId="77777777" w:rsidR="00980E5F" w:rsidRDefault="00980E5F">
            <w:pPr>
              <w:rPr>
                <w:rFonts w:ascii="宋体"/>
                <w:vanish/>
              </w:rPr>
            </w:pPr>
          </w:p>
        </w:tc>
        <w:tc>
          <w:tcPr>
            <w:tcW w:w="0" w:type="auto"/>
            <w:gridSpan w:val="3"/>
            <w:shd w:val="clear" w:color="auto" w:fill="auto"/>
            <w:vAlign w:val="bottom"/>
          </w:tcPr>
          <w:p w14:paraId="392BF87D" w14:textId="77777777" w:rsidR="00980E5F" w:rsidRDefault="00980E5F">
            <w:pPr>
              <w:rPr>
                <w:rFonts w:ascii="宋体"/>
                <w:vanish/>
              </w:rPr>
            </w:pPr>
          </w:p>
        </w:tc>
        <w:tc>
          <w:tcPr>
            <w:tcW w:w="0" w:type="auto"/>
            <w:gridSpan w:val="3"/>
            <w:shd w:val="clear" w:color="auto" w:fill="auto"/>
            <w:vAlign w:val="bottom"/>
          </w:tcPr>
          <w:p w14:paraId="392BF87E" w14:textId="77777777" w:rsidR="00980E5F" w:rsidRDefault="00980E5F">
            <w:pPr>
              <w:rPr>
                <w:rFonts w:ascii="宋体"/>
                <w:vanish/>
              </w:rPr>
            </w:pPr>
          </w:p>
        </w:tc>
        <w:tc>
          <w:tcPr>
            <w:tcW w:w="0" w:type="auto"/>
            <w:shd w:val="clear" w:color="auto" w:fill="auto"/>
            <w:vAlign w:val="bottom"/>
          </w:tcPr>
          <w:p w14:paraId="392BF87F" w14:textId="77777777" w:rsidR="00980E5F" w:rsidRDefault="00980E5F">
            <w:pPr>
              <w:rPr>
                <w:rFonts w:ascii="宋体"/>
                <w:vanish/>
              </w:rPr>
            </w:pPr>
          </w:p>
        </w:tc>
      </w:tr>
      <w:tr w:rsidR="00980E5F" w14:paraId="392BF88E" w14:textId="77777777">
        <w:trPr>
          <w:hidden/>
        </w:trPr>
        <w:tc>
          <w:tcPr>
            <w:tcW w:w="0" w:type="auto"/>
            <w:gridSpan w:val="3"/>
            <w:shd w:val="clear" w:color="auto" w:fill="auto"/>
            <w:vAlign w:val="bottom"/>
          </w:tcPr>
          <w:p w14:paraId="392BF881" w14:textId="77777777" w:rsidR="00980E5F" w:rsidRDefault="00980E5F">
            <w:pPr>
              <w:rPr>
                <w:rFonts w:ascii="宋体"/>
                <w:vanish/>
              </w:rPr>
            </w:pPr>
          </w:p>
        </w:tc>
        <w:tc>
          <w:tcPr>
            <w:tcW w:w="0" w:type="auto"/>
            <w:gridSpan w:val="3"/>
            <w:shd w:val="clear" w:color="auto" w:fill="auto"/>
            <w:vAlign w:val="bottom"/>
          </w:tcPr>
          <w:p w14:paraId="392BF882" w14:textId="77777777" w:rsidR="00980E5F" w:rsidRDefault="00980E5F">
            <w:pPr>
              <w:rPr>
                <w:rFonts w:ascii="宋体"/>
                <w:vanish/>
              </w:rPr>
            </w:pPr>
          </w:p>
        </w:tc>
        <w:tc>
          <w:tcPr>
            <w:tcW w:w="0" w:type="auto"/>
            <w:gridSpan w:val="3"/>
            <w:shd w:val="clear" w:color="auto" w:fill="auto"/>
            <w:vAlign w:val="bottom"/>
          </w:tcPr>
          <w:p w14:paraId="392BF883" w14:textId="77777777" w:rsidR="00980E5F" w:rsidRDefault="00980E5F">
            <w:pPr>
              <w:rPr>
                <w:rFonts w:ascii="宋体"/>
                <w:vanish/>
              </w:rPr>
            </w:pPr>
          </w:p>
        </w:tc>
        <w:tc>
          <w:tcPr>
            <w:tcW w:w="0" w:type="auto"/>
            <w:gridSpan w:val="3"/>
            <w:shd w:val="clear" w:color="auto" w:fill="auto"/>
            <w:vAlign w:val="bottom"/>
          </w:tcPr>
          <w:p w14:paraId="392BF884" w14:textId="77777777" w:rsidR="00980E5F" w:rsidRDefault="00980E5F">
            <w:pPr>
              <w:rPr>
                <w:rFonts w:ascii="宋体"/>
                <w:vanish/>
              </w:rPr>
            </w:pPr>
          </w:p>
        </w:tc>
        <w:tc>
          <w:tcPr>
            <w:tcW w:w="0" w:type="auto"/>
            <w:gridSpan w:val="3"/>
            <w:shd w:val="clear" w:color="auto" w:fill="auto"/>
            <w:vAlign w:val="bottom"/>
          </w:tcPr>
          <w:p w14:paraId="392BF885" w14:textId="77777777" w:rsidR="00980E5F" w:rsidRDefault="00980E5F">
            <w:pPr>
              <w:rPr>
                <w:rFonts w:ascii="宋体"/>
                <w:vanish/>
              </w:rPr>
            </w:pPr>
          </w:p>
        </w:tc>
        <w:tc>
          <w:tcPr>
            <w:tcW w:w="0" w:type="auto"/>
            <w:gridSpan w:val="3"/>
            <w:shd w:val="clear" w:color="auto" w:fill="auto"/>
            <w:vAlign w:val="bottom"/>
          </w:tcPr>
          <w:p w14:paraId="392BF886" w14:textId="77777777" w:rsidR="00980E5F" w:rsidRDefault="00980E5F">
            <w:pPr>
              <w:rPr>
                <w:rFonts w:ascii="宋体"/>
                <w:vanish/>
              </w:rPr>
            </w:pPr>
          </w:p>
        </w:tc>
        <w:tc>
          <w:tcPr>
            <w:tcW w:w="0" w:type="auto"/>
            <w:gridSpan w:val="3"/>
            <w:shd w:val="clear" w:color="auto" w:fill="auto"/>
            <w:vAlign w:val="bottom"/>
          </w:tcPr>
          <w:p w14:paraId="392BF887" w14:textId="77777777" w:rsidR="00980E5F" w:rsidRDefault="00980E5F">
            <w:pPr>
              <w:rPr>
                <w:rFonts w:ascii="宋体"/>
                <w:vanish/>
              </w:rPr>
            </w:pPr>
          </w:p>
        </w:tc>
        <w:tc>
          <w:tcPr>
            <w:tcW w:w="0" w:type="auto"/>
            <w:gridSpan w:val="3"/>
            <w:shd w:val="clear" w:color="auto" w:fill="auto"/>
            <w:vAlign w:val="bottom"/>
          </w:tcPr>
          <w:p w14:paraId="392BF888" w14:textId="77777777" w:rsidR="00980E5F" w:rsidRDefault="00980E5F">
            <w:pPr>
              <w:rPr>
                <w:rFonts w:ascii="宋体"/>
                <w:vanish/>
              </w:rPr>
            </w:pPr>
          </w:p>
        </w:tc>
        <w:tc>
          <w:tcPr>
            <w:tcW w:w="0" w:type="auto"/>
            <w:gridSpan w:val="3"/>
            <w:shd w:val="clear" w:color="auto" w:fill="auto"/>
            <w:vAlign w:val="bottom"/>
          </w:tcPr>
          <w:p w14:paraId="392BF889" w14:textId="77777777" w:rsidR="00980E5F" w:rsidRDefault="00980E5F">
            <w:pPr>
              <w:rPr>
                <w:rFonts w:ascii="宋体"/>
                <w:vanish/>
              </w:rPr>
            </w:pPr>
          </w:p>
        </w:tc>
        <w:tc>
          <w:tcPr>
            <w:tcW w:w="0" w:type="auto"/>
            <w:gridSpan w:val="3"/>
            <w:shd w:val="clear" w:color="auto" w:fill="auto"/>
            <w:vAlign w:val="bottom"/>
          </w:tcPr>
          <w:p w14:paraId="392BF88A" w14:textId="77777777" w:rsidR="00980E5F" w:rsidRDefault="00980E5F">
            <w:pPr>
              <w:rPr>
                <w:rFonts w:ascii="宋体"/>
                <w:vanish/>
              </w:rPr>
            </w:pPr>
          </w:p>
        </w:tc>
        <w:tc>
          <w:tcPr>
            <w:tcW w:w="0" w:type="auto"/>
            <w:gridSpan w:val="3"/>
            <w:shd w:val="clear" w:color="auto" w:fill="auto"/>
            <w:vAlign w:val="bottom"/>
          </w:tcPr>
          <w:p w14:paraId="392BF88B" w14:textId="77777777" w:rsidR="00980E5F" w:rsidRDefault="00980E5F">
            <w:pPr>
              <w:rPr>
                <w:rFonts w:ascii="宋体"/>
                <w:vanish/>
              </w:rPr>
            </w:pPr>
          </w:p>
        </w:tc>
        <w:tc>
          <w:tcPr>
            <w:tcW w:w="0" w:type="auto"/>
            <w:gridSpan w:val="3"/>
            <w:shd w:val="clear" w:color="auto" w:fill="auto"/>
            <w:vAlign w:val="bottom"/>
          </w:tcPr>
          <w:p w14:paraId="392BF88C" w14:textId="77777777" w:rsidR="00980E5F" w:rsidRDefault="00980E5F">
            <w:pPr>
              <w:rPr>
                <w:rFonts w:ascii="宋体"/>
                <w:vanish/>
              </w:rPr>
            </w:pPr>
          </w:p>
        </w:tc>
        <w:tc>
          <w:tcPr>
            <w:tcW w:w="0" w:type="auto"/>
            <w:shd w:val="clear" w:color="auto" w:fill="auto"/>
            <w:vAlign w:val="bottom"/>
          </w:tcPr>
          <w:p w14:paraId="392BF88D" w14:textId="77777777" w:rsidR="00980E5F" w:rsidRDefault="00980E5F">
            <w:pPr>
              <w:rPr>
                <w:rFonts w:ascii="宋体"/>
                <w:vanish/>
              </w:rPr>
            </w:pPr>
          </w:p>
        </w:tc>
      </w:tr>
      <w:tr w:rsidR="00980E5F" w14:paraId="392BF89C" w14:textId="77777777">
        <w:trPr>
          <w:hidden/>
        </w:trPr>
        <w:tc>
          <w:tcPr>
            <w:tcW w:w="0" w:type="auto"/>
            <w:gridSpan w:val="3"/>
            <w:shd w:val="clear" w:color="auto" w:fill="auto"/>
            <w:vAlign w:val="bottom"/>
          </w:tcPr>
          <w:p w14:paraId="392BF88F" w14:textId="77777777" w:rsidR="00980E5F" w:rsidRDefault="00980E5F">
            <w:pPr>
              <w:rPr>
                <w:rFonts w:ascii="宋体"/>
                <w:vanish/>
              </w:rPr>
            </w:pPr>
          </w:p>
        </w:tc>
        <w:tc>
          <w:tcPr>
            <w:tcW w:w="0" w:type="auto"/>
            <w:gridSpan w:val="3"/>
            <w:shd w:val="clear" w:color="auto" w:fill="auto"/>
            <w:vAlign w:val="bottom"/>
          </w:tcPr>
          <w:p w14:paraId="392BF890" w14:textId="77777777" w:rsidR="00980E5F" w:rsidRDefault="00980E5F">
            <w:pPr>
              <w:rPr>
                <w:rFonts w:ascii="宋体"/>
                <w:vanish/>
              </w:rPr>
            </w:pPr>
          </w:p>
        </w:tc>
        <w:tc>
          <w:tcPr>
            <w:tcW w:w="0" w:type="auto"/>
            <w:gridSpan w:val="3"/>
            <w:shd w:val="clear" w:color="auto" w:fill="auto"/>
            <w:vAlign w:val="bottom"/>
          </w:tcPr>
          <w:p w14:paraId="392BF891" w14:textId="77777777" w:rsidR="00980E5F" w:rsidRDefault="00980E5F">
            <w:pPr>
              <w:rPr>
                <w:rFonts w:ascii="宋体"/>
                <w:vanish/>
              </w:rPr>
            </w:pPr>
          </w:p>
        </w:tc>
        <w:tc>
          <w:tcPr>
            <w:tcW w:w="0" w:type="auto"/>
            <w:gridSpan w:val="3"/>
            <w:shd w:val="clear" w:color="auto" w:fill="auto"/>
            <w:vAlign w:val="bottom"/>
          </w:tcPr>
          <w:p w14:paraId="392BF892" w14:textId="77777777" w:rsidR="00980E5F" w:rsidRDefault="00980E5F">
            <w:pPr>
              <w:rPr>
                <w:rFonts w:ascii="宋体"/>
                <w:vanish/>
              </w:rPr>
            </w:pPr>
          </w:p>
        </w:tc>
        <w:tc>
          <w:tcPr>
            <w:tcW w:w="0" w:type="auto"/>
            <w:gridSpan w:val="3"/>
            <w:shd w:val="clear" w:color="auto" w:fill="auto"/>
            <w:vAlign w:val="bottom"/>
          </w:tcPr>
          <w:p w14:paraId="392BF893" w14:textId="77777777" w:rsidR="00980E5F" w:rsidRDefault="00980E5F">
            <w:pPr>
              <w:rPr>
                <w:rFonts w:ascii="宋体"/>
                <w:vanish/>
              </w:rPr>
            </w:pPr>
          </w:p>
        </w:tc>
        <w:tc>
          <w:tcPr>
            <w:tcW w:w="0" w:type="auto"/>
            <w:gridSpan w:val="3"/>
            <w:shd w:val="clear" w:color="auto" w:fill="auto"/>
            <w:vAlign w:val="bottom"/>
          </w:tcPr>
          <w:p w14:paraId="392BF894" w14:textId="77777777" w:rsidR="00980E5F" w:rsidRDefault="00980E5F">
            <w:pPr>
              <w:rPr>
                <w:rFonts w:ascii="宋体"/>
                <w:vanish/>
              </w:rPr>
            </w:pPr>
          </w:p>
        </w:tc>
        <w:tc>
          <w:tcPr>
            <w:tcW w:w="0" w:type="auto"/>
            <w:gridSpan w:val="3"/>
            <w:shd w:val="clear" w:color="auto" w:fill="auto"/>
            <w:vAlign w:val="bottom"/>
          </w:tcPr>
          <w:p w14:paraId="392BF895" w14:textId="77777777" w:rsidR="00980E5F" w:rsidRDefault="00980E5F">
            <w:pPr>
              <w:rPr>
                <w:rFonts w:ascii="宋体"/>
                <w:vanish/>
              </w:rPr>
            </w:pPr>
          </w:p>
        </w:tc>
        <w:tc>
          <w:tcPr>
            <w:tcW w:w="0" w:type="auto"/>
            <w:gridSpan w:val="3"/>
            <w:shd w:val="clear" w:color="auto" w:fill="auto"/>
            <w:vAlign w:val="bottom"/>
          </w:tcPr>
          <w:p w14:paraId="392BF896" w14:textId="77777777" w:rsidR="00980E5F" w:rsidRDefault="00980E5F">
            <w:pPr>
              <w:rPr>
                <w:rFonts w:ascii="宋体"/>
                <w:vanish/>
              </w:rPr>
            </w:pPr>
          </w:p>
        </w:tc>
        <w:tc>
          <w:tcPr>
            <w:tcW w:w="0" w:type="auto"/>
            <w:gridSpan w:val="3"/>
            <w:shd w:val="clear" w:color="auto" w:fill="auto"/>
            <w:vAlign w:val="bottom"/>
          </w:tcPr>
          <w:p w14:paraId="392BF897" w14:textId="77777777" w:rsidR="00980E5F" w:rsidRDefault="00980E5F">
            <w:pPr>
              <w:rPr>
                <w:rFonts w:ascii="宋体"/>
                <w:vanish/>
              </w:rPr>
            </w:pPr>
          </w:p>
        </w:tc>
        <w:tc>
          <w:tcPr>
            <w:tcW w:w="0" w:type="auto"/>
            <w:gridSpan w:val="3"/>
            <w:shd w:val="clear" w:color="auto" w:fill="auto"/>
            <w:vAlign w:val="bottom"/>
          </w:tcPr>
          <w:p w14:paraId="392BF898" w14:textId="77777777" w:rsidR="00980E5F" w:rsidRDefault="00980E5F">
            <w:pPr>
              <w:rPr>
                <w:rFonts w:ascii="宋体"/>
                <w:vanish/>
              </w:rPr>
            </w:pPr>
          </w:p>
        </w:tc>
        <w:tc>
          <w:tcPr>
            <w:tcW w:w="0" w:type="auto"/>
            <w:gridSpan w:val="3"/>
            <w:shd w:val="clear" w:color="auto" w:fill="auto"/>
            <w:vAlign w:val="bottom"/>
          </w:tcPr>
          <w:p w14:paraId="392BF899" w14:textId="77777777" w:rsidR="00980E5F" w:rsidRDefault="00980E5F">
            <w:pPr>
              <w:rPr>
                <w:rFonts w:ascii="宋体"/>
                <w:vanish/>
              </w:rPr>
            </w:pPr>
          </w:p>
        </w:tc>
        <w:tc>
          <w:tcPr>
            <w:tcW w:w="0" w:type="auto"/>
            <w:gridSpan w:val="3"/>
            <w:shd w:val="clear" w:color="auto" w:fill="auto"/>
            <w:vAlign w:val="bottom"/>
          </w:tcPr>
          <w:p w14:paraId="392BF89A" w14:textId="77777777" w:rsidR="00980E5F" w:rsidRDefault="00980E5F">
            <w:pPr>
              <w:rPr>
                <w:rFonts w:ascii="宋体"/>
                <w:vanish/>
              </w:rPr>
            </w:pPr>
          </w:p>
        </w:tc>
        <w:tc>
          <w:tcPr>
            <w:tcW w:w="0" w:type="auto"/>
            <w:shd w:val="clear" w:color="auto" w:fill="auto"/>
            <w:vAlign w:val="bottom"/>
          </w:tcPr>
          <w:p w14:paraId="392BF89B" w14:textId="77777777" w:rsidR="00980E5F" w:rsidRDefault="00980E5F">
            <w:pPr>
              <w:rPr>
                <w:rFonts w:ascii="宋体"/>
                <w:vanish/>
              </w:rPr>
            </w:pPr>
          </w:p>
        </w:tc>
      </w:tr>
      <w:tr w:rsidR="00980E5F" w14:paraId="392BF8AA" w14:textId="77777777">
        <w:trPr>
          <w:hidden/>
        </w:trPr>
        <w:tc>
          <w:tcPr>
            <w:tcW w:w="0" w:type="auto"/>
            <w:gridSpan w:val="3"/>
            <w:shd w:val="clear" w:color="auto" w:fill="auto"/>
            <w:vAlign w:val="bottom"/>
          </w:tcPr>
          <w:p w14:paraId="392BF89D" w14:textId="77777777" w:rsidR="00980E5F" w:rsidRDefault="00980E5F">
            <w:pPr>
              <w:rPr>
                <w:rFonts w:ascii="宋体"/>
                <w:vanish/>
              </w:rPr>
            </w:pPr>
          </w:p>
        </w:tc>
        <w:tc>
          <w:tcPr>
            <w:tcW w:w="0" w:type="auto"/>
            <w:gridSpan w:val="3"/>
            <w:shd w:val="clear" w:color="auto" w:fill="auto"/>
            <w:vAlign w:val="bottom"/>
          </w:tcPr>
          <w:p w14:paraId="392BF89E" w14:textId="77777777" w:rsidR="00980E5F" w:rsidRDefault="00980E5F">
            <w:pPr>
              <w:rPr>
                <w:rFonts w:ascii="宋体"/>
                <w:vanish/>
              </w:rPr>
            </w:pPr>
          </w:p>
        </w:tc>
        <w:tc>
          <w:tcPr>
            <w:tcW w:w="0" w:type="auto"/>
            <w:gridSpan w:val="3"/>
            <w:shd w:val="clear" w:color="auto" w:fill="auto"/>
            <w:vAlign w:val="bottom"/>
          </w:tcPr>
          <w:p w14:paraId="392BF89F" w14:textId="77777777" w:rsidR="00980E5F" w:rsidRDefault="00980E5F">
            <w:pPr>
              <w:rPr>
                <w:rFonts w:ascii="宋体"/>
                <w:vanish/>
              </w:rPr>
            </w:pPr>
          </w:p>
        </w:tc>
        <w:tc>
          <w:tcPr>
            <w:tcW w:w="0" w:type="auto"/>
            <w:gridSpan w:val="3"/>
            <w:shd w:val="clear" w:color="auto" w:fill="auto"/>
            <w:vAlign w:val="bottom"/>
          </w:tcPr>
          <w:p w14:paraId="392BF8A0" w14:textId="77777777" w:rsidR="00980E5F" w:rsidRDefault="00980E5F">
            <w:pPr>
              <w:rPr>
                <w:rFonts w:ascii="宋体"/>
                <w:vanish/>
              </w:rPr>
            </w:pPr>
          </w:p>
        </w:tc>
        <w:tc>
          <w:tcPr>
            <w:tcW w:w="0" w:type="auto"/>
            <w:gridSpan w:val="3"/>
            <w:shd w:val="clear" w:color="auto" w:fill="auto"/>
            <w:vAlign w:val="bottom"/>
          </w:tcPr>
          <w:p w14:paraId="392BF8A1" w14:textId="77777777" w:rsidR="00980E5F" w:rsidRDefault="00980E5F">
            <w:pPr>
              <w:rPr>
                <w:rFonts w:ascii="宋体"/>
                <w:vanish/>
              </w:rPr>
            </w:pPr>
          </w:p>
        </w:tc>
        <w:tc>
          <w:tcPr>
            <w:tcW w:w="0" w:type="auto"/>
            <w:gridSpan w:val="3"/>
            <w:shd w:val="clear" w:color="auto" w:fill="auto"/>
            <w:vAlign w:val="bottom"/>
          </w:tcPr>
          <w:p w14:paraId="392BF8A2" w14:textId="77777777" w:rsidR="00980E5F" w:rsidRDefault="00980E5F">
            <w:pPr>
              <w:rPr>
                <w:rFonts w:ascii="宋体"/>
                <w:vanish/>
              </w:rPr>
            </w:pPr>
          </w:p>
        </w:tc>
        <w:tc>
          <w:tcPr>
            <w:tcW w:w="0" w:type="auto"/>
            <w:gridSpan w:val="3"/>
            <w:shd w:val="clear" w:color="auto" w:fill="auto"/>
            <w:vAlign w:val="bottom"/>
          </w:tcPr>
          <w:p w14:paraId="392BF8A3" w14:textId="77777777" w:rsidR="00980E5F" w:rsidRDefault="00980E5F">
            <w:pPr>
              <w:rPr>
                <w:rFonts w:ascii="宋体"/>
                <w:vanish/>
              </w:rPr>
            </w:pPr>
          </w:p>
        </w:tc>
        <w:tc>
          <w:tcPr>
            <w:tcW w:w="0" w:type="auto"/>
            <w:gridSpan w:val="3"/>
            <w:shd w:val="clear" w:color="auto" w:fill="auto"/>
            <w:vAlign w:val="bottom"/>
          </w:tcPr>
          <w:p w14:paraId="392BF8A4" w14:textId="77777777" w:rsidR="00980E5F" w:rsidRDefault="00980E5F">
            <w:pPr>
              <w:rPr>
                <w:rFonts w:ascii="宋体"/>
                <w:vanish/>
              </w:rPr>
            </w:pPr>
          </w:p>
        </w:tc>
        <w:tc>
          <w:tcPr>
            <w:tcW w:w="0" w:type="auto"/>
            <w:gridSpan w:val="3"/>
            <w:shd w:val="clear" w:color="auto" w:fill="auto"/>
            <w:vAlign w:val="bottom"/>
          </w:tcPr>
          <w:p w14:paraId="392BF8A5" w14:textId="77777777" w:rsidR="00980E5F" w:rsidRDefault="00980E5F">
            <w:pPr>
              <w:rPr>
                <w:rFonts w:ascii="宋体"/>
                <w:vanish/>
              </w:rPr>
            </w:pPr>
          </w:p>
        </w:tc>
        <w:tc>
          <w:tcPr>
            <w:tcW w:w="0" w:type="auto"/>
            <w:gridSpan w:val="3"/>
            <w:shd w:val="clear" w:color="auto" w:fill="auto"/>
            <w:vAlign w:val="bottom"/>
          </w:tcPr>
          <w:p w14:paraId="392BF8A6" w14:textId="77777777" w:rsidR="00980E5F" w:rsidRDefault="00980E5F">
            <w:pPr>
              <w:rPr>
                <w:rFonts w:ascii="宋体"/>
                <w:vanish/>
              </w:rPr>
            </w:pPr>
          </w:p>
        </w:tc>
        <w:tc>
          <w:tcPr>
            <w:tcW w:w="0" w:type="auto"/>
            <w:gridSpan w:val="3"/>
            <w:shd w:val="clear" w:color="auto" w:fill="auto"/>
            <w:vAlign w:val="bottom"/>
          </w:tcPr>
          <w:p w14:paraId="392BF8A7" w14:textId="77777777" w:rsidR="00980E5F" w:rsidRDefault="00980E5F">
            <w:pPr>
              <w:rPr>
                <w:rFonts w:ascii="宋体"/>
                <w:vanish/>
              </w:rPr>
            </w:pPr>
          </w:p>
        </w:tc>
        <w:tc>
          <w:tcPr>
            <w:tcW w:w="0" w:type="auto"/>
            <w:gridSpan w:val="3"/>
            <w:shd w:val="clear" w:color="auto" w:fill="auto"/>
            <w:vAlign w:val="bottom"/>
          </w:tcPr>
          <w:p w14:paraId="392BF8A8" w14:textId="77777777" w:rsidR="00980E5F" w:rsidRDefault="00980E5F">
            <w:pPr>
              <w:rPr>
                <w:rFonts w:ascii="宋体"/>
                <w:vanish/>
              </w:rPr>
            </w:pPr>
          </w:p>
        </w:tc>
        <w:tc>
          <w:tcPr>
            <w:tcW w:w="0" w:type="auto"/>
            <w:shd w:val="clear" w:color="auto" w:fill="auto"/>
            <w:vAlign w:val="bottom"/>
          </w:tcPr>
          <w:p w14:paraId="392BF8A9" w14:textId="77777777" w:rsidR="00980E5F" w:rsidRDefault="00980E5F">
            <w:pPr>
              <w:rPr>
                <w:rFonts w:ascii="宋体"/>
                <w:vanish/>
              </w:rPr>
            </w:pPr>
          </w:p>
        </w:tc>
      </w:tr>
      <w:tr w:rsidR="00980E5F" w14:paraId="392BF8B8" w14:textId="77777777">
        <w:trPr>
          <w:hidden/>
        </w:trPr>
        <w:tc>
          <w:tcPr>
            <w:tcW w:w="0" w:type="auto"/>
            <w:gridSpan w:val="3"/>
            <w:shd w:val="clear" w:color="auto" w:fill="auto"/>
            <w:vAlign w:val="bottom"/>
          </w:tcPr>
          <w:p w14:paraId="392BF8AB" w14:textId="77777777" w:rsidR="00980E5F" w:rsidRDefault="00980E5F">
            <w:pPr>
              <w:rPr>
                <w:rFonts w:ascii="宋体"/>
                <w:vanish/>
              </w:rPr>
            </w:pPr>
          </w:p>
        </w:tc>
        <w:tc>
          <w:tcPr>
            <w:tcW w:w="0" w:type="auto"/>
            <w:gridSpan w:val="3"/>
            <w:shd w:val="clear" w:color="auto" w:fill="auto"/>
            <w:vAlign w:val="bottom"/>
          </w:tcPr>
          <w:p w14:paraId="392BF8AC" w14:textId="77777777" w:rsidR="00980E5F" w:rsidRDefault="00980E5F">
            <w:pPr>
              <w:rPr>
                <w:rFonts w:ascii="宋体"/>
                <w:vanish/>
              </w:rPr>
            </w:pPr>
          </w:p>
        </w:tc>
        <w:tc>
          <w:tcPr>
            <w:tcW w:w="0" w:type="auto"/>
            <w:gridSpan w:val="3"/>
            <w:shd w:val="clear" w:color="auto" w:fill="auto"/>
            <w:vAlign w:val="bottom"/>
          </w:tcPr>
          <w:p w14:paraId="392BF8AD" w14:textId="77777777" w:rsidR="00980E5F" w:rsidRDefault="00980E5F">
            <w:pPr>
              <w:rPr>
                <w:rFonts w:ascii="宋体"/>
                <w:vanish/>
              </w:rPr>
            </w:pPr>
          </w:p>
        </w:tc>
        <w:tc>
          <w:tcPr>
            <w:tcW w:w="0" w:type="auto"/>
            <w:gridSpan w:val="3"/>
            <w:shd w:val="clear" w:color="auto" w:fill="auto"/>
            <w:vAlign w:val="bottom"/>
          </w:tcPr>
          <w:p w14:paraId="392BF8AE" w14:textId="77777777" w:rsidR="00980E5F" w:rsidRDefault="00980E5F">
            <w:pPr>
              <w:rPr>
                <w:rFonts w:ascii="宋体"/>
                <w:vanish/>
              </w:rPr>
            </w:pPr>
          </w:p>
        </w:tc>
        <w:tc>
          <w:tcPr>
            <w:tcW w:w="0" w:type="auto"/>
            <w:gridSpan w:val="3"/>
            <w:shd w:val="clear" w:color="auto" w:fill="auto"/>
            <w:vAlign w:val="bottom"/>
          </w:tcPr>
          <w:p w14:paraId="392BF8AF" w14:textId="77777777" w:rsidR="00980E5F" w:rsidRDefault="00980E5F">
            <w:pPr>
              <w:rPr>
                <w:rFonts w:ascii="宋体"/>
                <w:vanish/>
              </w:rPr>
            </w:pPr>
          </w:p>
        </w:tc>
        <w:tc>
          <w:tcPr>
            <w:tcW w:w="0" w:type="auto"/>
            <w:gridSpan w:val="3"/>
            <w:shd w:val="clear" w:color="auto" w:fill="auto"/>
            <w:vAlign w:val="bottom"/>
          </w:tcPr>
          <w:p w14:paraId="392BF8B0" w14:textId="77777777" w:rsidR="00980E5F" w:rsidRDefault="00980E5F">
            <w:pPr>
              <w:rPr>
                <w:rFonts w:ascii="宋体"/>
                <w:vanish/>
              </w:rPr>
            </w:pPr>
          </w:p>
        </w:tc>
        <w:tc>
          <w:tcPr>
            <w:tcW w:w="0" w:type="auto"/>
            <w:gridSpan w:val="3"/>
            <w:shd w:val="clear" w:color="auto" w:fill="auto"/>
            <w:vAlign w:val="bottom"/>
          </w:tcPr>
          <w:p w14:paraId="392BF8B1" w14:textId="77777777" w:rsidR="00980E5F" w:rsidRDefault="00980E5F">
            <w:pPr>
              <w:rPr>
                <w:rFonts w:ascii="宋体"/>
                <w:vanish/>
              </w:rPr>
            </w:pPr>
          </w:p>
        </w:tc>
        <w:tc>
          <w:tcPr>
            <w:tcW w:w="0" w:type="auto"/>
            <w:gridSpan w:val="3"/>
            <w:shd w:val="clear" w:color="auto" w:fill="auto"/>
            <w:vAlign w:val="bottom"/>
          </w:tcPr>
          <w:p w14:paraId="392BF8B2" w14:textId="77777777" w:rsidR="00980E5F" w:rsidRDefault="00980E5F">
            <w:pPr>
              <w:rPr>
                <w:rFonts w:ascii="宋体"/>
                <w:vanish/>
              </w:rPr>
            </w:pPr>
          </w:p>
        </w:tc>
        <w:tc>
          <w:tcPr>
            <w:tcW w:w="0" w:type="auto"/>
            <w:gridSpan w:val="3"/>
            <w:shd w:val="clear" w:color="auto" w:fill="auto"/>
            <w:vAlign w:val="bottom"/>
          </w:tcPr>
          <w:p w14:paraId="392BF8B3" w14:textId="77777777" w:rsidR="00980E5F" w:rsidRDefault="00980E5F">
            <w:pPr>
              <w:rPr>
                <w:rFonts w:ascii="宋体"/>
                <w:vanish/>
              </w:rPr>
            </w:pPr>
          </w:p>
        </w:tc>
        <w:tc>
          <w:tcPr>
            <w:tcW w:w="0" w:type="auto"/>
            <w:gridSpan w:val="3"/>
            <w:shd w:val="clear" w:color="auto" w:fill="auto"/>
            <w:vAlign w:val="bottom"/>
          </w:tcPr>
          <w:p w14:paraId="392BF8B4" w14:textId="77777777" w:rsidR="00980E5F" w:rsidRDefault="00980E5F">
            <w:pPr>
              <w:rPr>
                <w:rFonts w:ascii="宋体"/>
                <w:vanish/>
              </w:rPr>
            </w:pPr>
          </w:p>
        </w:tc>
        <w:tc>
          <w:tcPr>
            <w:tcW w:w="0" w:type="auto"/>
            <w:gridSpan w:val="3"/>
            <w:shd w:val="clear" w:color="auto" w:fill="auto"/>
            <w:vAlign w:val="bottom"/>
          </w:tcPr>
          <w:p w14:paraId="392BF8B5" w14:textId="77777777" w:rsidR="00980E5F" w:rsidRDefault="00980E5F">
            <w:pPr>
              <w:rPr>
                <w:rFonts w:ascii="宋体"/>
                <w:vanish/>
              </w:rPr>
            </w:pPr>
          </w:p>
        </w:tc>
        <w:tc>
          <w:tcPr>
            <w:tcW w:w="0" w:type="auto"/>
            <w:gridSpan w:val="3"/>
            <w:shd w:val="clear" w:color="auto" w:fill="auto"/>
            <w:vAlign w:val="bottom"/>
          </w:tcPr>
          <w:p w14:paraId="392BF8B6" w14:textId="77777777" w:rsidR="00980E5F" w:rsidRDefault="00980E5F">
            <w:pPr>
              <w:rPr>
                <w:rFonts w:ascii="宋体"/>
                <w:vanish/>
              </w:rPr>
            </w:pPr>
          </w:p>
        </w:tc>
        <w:tc>
          <w:tcPr>
            <w:tcW w:w="0" w:type="auto"/>
            <w:shd w:val="clear" w:color="auto" w:fill="auto"/>
            <w:vAlign w:val="bottom"/>
          </w:tcPr>
          <w:p w14:paraId="392BF8B7" w14:textId="77777777" w:rsidR="00980E5F" w:rsidRDefault="00980E5F">
            <w:pPr>
              <w:rPr>
                <w:rFonts w:ascii="宋体"/>
                <w:vanish/>
              </w:rPr>
            </w:pPr>
          </w:p>
        </w:tc>
      </w:tr>
      <w:tr w:rsidR="00980E5F" w14:paraId="392BF8C6" w14:textId="77777777">
        <w:trPr>
          <w:hidden/>
        </w:trPr>
        <w:tc>
          <w:tcPr>
            <w:tcW w:w="0" w:type="auto"/>
            <w:gridSpan w:val="3"/>
            <w:shd w:val="clear" w:color="auto" w:fill="auto"/>
            <w:vAlign w:val="bottom"/>
          </w:tcPr>
          <w:p w14:paraId="392BF8B9" w14:textId="77777777" w:rsidR="00980E5F" w:rsidRDefault="00980E5F">
            <w:pPr>
              <w:rPr>
                <w:rFonts w:ascii="宋体"/>
                <w:vanish/>
              </w:rPr>
            </w:pPr>
          </w:p>
        </w:tc>
        <w:tc>
          <w:tcPr>
            <w:tcW w:w="0" w:type="auto"/>
            <w:gridSpan w:val="3"/>
            <w:shd w:val="clear" w:color="auto" w:fill="auto"/>
            <w:vAlign w:val="bottom"/>
          </w:tcPr>
          <w:p w14:paraId="392BF8BA" w14:textId="77777777" w:rsidR="00980E5F" w:rsidRDefault="00980E5F">
            <w:pPr>
              <w:rPr>
                <w:rFonts w:ascii="宋体"/>
                <w:vanish/>
              </w:rPr>
            </w:pPr>
          </w:p>
        </w:tc>
        <w:tc>
          <w:tcPr>
            <w:tcW w:w="0" w:type="auto"/>
            <w:gridSpan w:val="3"/>
            <w:shd w:val="clear" w:color="auto" w:fill="auto"/>
            <w:vAlign w:val="bottom"/>
          </w:tcPr>
          <w:p w14:paraId="392BF8BB" w14:textId="77777777" w:rsidR="00980E5F" w:rsidRDefault="00980E5F">
            <w:pPr>
              <w:rPr>
                <w:rFonts w:ascii="宋体"/>
                <w:vanish/>
              </w:rPr>
            </w:pPr>
          </w:p>
        </w:tc>
        <w:tc>
          <w:tcPr>
            <w:tcW w:w="0" w:type="auto"/>
            <w:gridSpan w:val="3"/>
            <w:shd w:val="clear" w:color="auto" w:fill="auto"/>
            <w:vAlign w:val="bottom"/>
          </w:tcPr>
          <w:p w14:paraId="392BF8BC" w14:textId="77777777" w:rsidR="00980E5F" w:rsidRDefault="00980E5F">
            <w:pPr>
              <w:rPr>
                <w:rFonts w:ascii="宋体"/>
                <w:vanish/>
              </w:rPr>
            </w:pPr>
          </w:p>
        </w:tc>
        <w:tc>
          <w:tcPr>
            <w:tcW w:w="0" w:type="auto"/>
            <w:gridSpan w:val="3"/>
            <w:shd w:val="clear" w:color="auto" w:fill="auto"/>
            <w:vAlign w:val="bottom"/>
          </w:tcPr>
          <w:p w14:paraId="392BF8BD" w14:textId="77777777" w:rsidR="00980E5F" w:rsidRDefault="00980E5F">
            <w:pPr>
              <w:rPr>
                <w:rFonts w:ascii="宋体"/>
                <w:vanish/>
              </w:rPr>
            </w:pPr>
          </w:p>
        </w:tc>
        <w:tc>
          <w:tcPr>
            <w:tcW w:w="0" w:type="auto"/>
            <w:gridSpan w:val="3"/>
            <w:shd w:val="clear" w:color="auto" w:fill="auto"/>
            <w:vAlign w:val="bottom"/>
          </w:tcPr>
          <w:p w14:paraId="392BF8BE" w14:textId="77777777" w:rsidR="00980E5F" w:rsidRDefault="00980E5F">
            <w:pPr>
              <w:rPr>
                <w:rFonts w:ascii="宋体"/>
                <w:vanish/>
              </w:rPr>
            </w:pPr>
          </w:p>
        </w:tc>
        <w:tc>
          <w:tcPr>
            <w:tcW w:w="0" w:type="auto"/>
            <w:gridSpan w:val="3"/>
            <w:shd w:val="clear" w:color="auto" w:fill="auto"/>
            <w:vAlign w:val="bottom"/>
          </w:tcPr>
          <w:p w14:paraId="392BF8BF" w14:textId="77777777" w:rsidR="00980E5F" w:rsidRDefault="00980E5F">
            <w:pPr>
              <w:rPr>
                <w:rFonts w:ascii="宋体"/>
                <w:vanish/>
              </w:rPr>
            </w:pPr>
          </w:p>
        </w:tc>
        <w:tc>
          <w:tcPr>
            <w:tcW w:w="0" w:type="auto"/>
            <w:gridSpan w:val="3"/>
            <w:shd w:val="clear" w:color="auto" w:fill="auto"/>
            <w:vAlign w:val="bottom"/>
          </w:tcPr>
          <w:p w14:paraId="392BF8C0" w14:textId="77777777" w:rsidR="00980E5F" w:rsidRDefault="00980E5F">
            <w:pPr>
              <w:rPr>
                <w:rFonts w:ascii="宋体"/>
                <w:vanish/>
              </w:rPr>
            </w:pPr>
          </w:p>
        </w:tc>
        <w:tc>
          <w:tcPr>
            <w:tcW w:w="0" w:type="auto"/>
            <w:gridSpan w:val="3"/>
            <w:shd w:val="clear" w:color="auto" w:fill="auto"/>
            <w:vAlign w:val="bottom"/>
          </w:tcPr>
          <w:p w14:paraId="392BF8C1" w14:textId="77777777" w:rsidR="00980E5F" w:rsidRDefault="00980E5F">
            <w:pPr>
              <w:rPr>
                <w:rFonts w:ascii="宋体"/>
                <w:vanish/>
              </w:rPr>
            </w:pPr>
          </w:p>
        </w:tc>
        <w:tc>
          <w:tcPr>
            <w:tcW w:w="0" w:type="auto"/>
            <w:gridSpan w:val="3"/>
            <w:shd w:val="clear" w:color="auto" w:fill="auto"/>
            <w:vAlign w:val="bottom"/>
          </w:tcPr>
          <w:p w14:paraId="392BF8C2" w14:textId="77777777" w:rsidR="00980E5F" w:rsidRDefault="00980E5F">
            <w:pPr>
              <w:rPr>
                <w:rFonts w:ascii="宋体"/>
                <w:vanish/>
              </w:rPr>
            </w:pPr>
          </w:p>
        </w:tc>
        <w:tc>
          <w:tcPr>
            <w:tcW w:w="0" w:type="auto"/>
            <w:gridSpan w:val="3"/>
            <w:shd w:val="clear" w:color="auto" w:fill="auto"/>
            <w:vAlign w:val="bottom"/>
          </w:tcPr>
          <w:p w14:paraId="392BF8C3" w14:textId="77777777" w:rsidR="00980E5F" w:rsidRDefault="00980E5F">
            <w:pPr>
              <w:rPr>
                <w:rFonts w:ascii="宋体"/>
                <w:vanish/>
              </w:rPr>
            </w:pPr>
          </w:p>
        </w:tc>
        <w:tc>
          <w:tcPr>
            <w:tcW w:w="0" w:type="auto"/>
            <w:gridSpan w:val="3"/>
            <w:shd w:val="clear" w:color="auto" w:fill="auto"/>
            <w:vAlign w:val="bottom"/>
          </w:tcPr>
          <w:p w14:paraId="392BF8C4" w14:textId="77777777" w:rsidR="00980E5F" w:rsidRDefault="00980E5F">
            <w:pPr>
              <w:rPr>
                <w:rFonts w:ascii="宋体"/>
                <w:vanish/>
              </w:rPr>
            </w:pPr>
          </w:p>
        </w:tc>
        <w:tc>
          <w:tcPr>
            <w:tcW w:w="0" w:type="auto"/>
            <w:shd w:val="clear" w:color="auto" w:fill="auto"/>
            <w:vAlign w:val="bottom"/>
          </w:tcPr>
          <w:p w14:paraId="392BF8C5" w14:textId="77777777" w:rsidR="00980E5F" w:rsidRDefault="00980E5F">
            <w:pPr>
              <w:rPr>
                <w:rFonts w:ascii="宋体"/>
                <w:vanish/>
              </w:rPr>
            </w:pPr>
          </w:p>
        </w:tc>
      </w:tr>
      <w:tr w:rsidR="00980E5F" w14:paraId="392BF8D4" w14:textId="77777777">
        <w:trPr>
          <w:hidden/>
        </w:trPr>
        <w:tc>
          <w:tcPr>
            <w:tcW w:w="0" w:type="auto"/>
            <w:gridSpan w:val="3"/>
            <w:shd w:val="clear" w:color="auto" w:fill="auto"/>
            <w:vAlign w:val="bottom"/>
          </w:tcPr>
          <w:p w14:paraId="392BF8C7" w14:textId="77777777" w:rsidR="00980E5F" w:rsidRDefault="00980E5F">
            <w:pPr>
              <w:rPr>
                <w:rFonts w:ascii="宋体"/>
                <w:vanish/>
              </w:rPr>
            </w:pPr>
          </w:p>
        </w:tc>
        <w:tc>
          <w:tcPr>
            <w:tcW w:w="0" w:type="auto"/>
            <w:gridSpan w:val="3"/>
            <w:shd w:val="clear" w:color="auto" w:fill="auto"/>
            <w:vAlign w:val="bottom"/>
          </w:tcPr>
          <w:p w14:paraId="392BF8C8" w14:textId="77777777" w:rsidR="00980E5F" w:rsidRDefault="00980E5F">
            <w:pPr>
              <w:rPr>
                <w:rFonts w:ascii="宋体"/>
                <w:vanish/>
              </w:rPr>
            </w:pPr>
          </w:p>
        </w:tc>
        <w:tc>
          <w:tcPr>
            <w:tcW w:w="0" w:type="auto"/>
            <w:gridSpan w:val="3"/>
            <w:shd w:val="clear" w:color="auto" w:fill="auto"/>
            <w:vAlign w:val="bottom"/>
          </w:tcPr>
          <w:p w14:paraId="392BF8C9" w14:textId="77777777" w:rsidR="00980E5F" w:rsidRDefault="00980E5F">
            <w:pPr>
              <w:rPr>
                <w:rFonts w:ascii="宋体"/>
                <w:vanish/>
              </w:rPr>
            </w:pPr>
          </w:p>
        </w:tc>
        <w:tc>
          <w:tcPr>
            <w:tcW w:w="0" w:type="auto"/>
            <w:gridSpan w:val="3"/>
            <w:shd w:val="clear" w:color="auto" w:fill="auto"/>
            <w:vAlign w:val="bottom"/>
          </w:tcPr>
          <w:p w14:paraId="392BF8CA" w14:textId="77777777" w:rsidR="00980E5F" w:rsidRDefault="00980E5F">
            <w:pPr>
              <w:rPr>
                <w:rFonts w:ascii="宋体"/>
                <w:vanish/>
              </w:rPr>
            </w:pPr>
          </w:p>
        </w:tc>
        <w:tc>
          <w:tcPr>
            <w:tcW w:w="0" w:type="auto"/>
            <w:gridSpan w:val="3"/>
            <w:shd w:val="clear" w:color="auto" w:fill="auto"/>
            <w:vAlign w:val="bottom"/>
          </w:tcPr>
          <w:p w14:paraId="392BF8CB" w14:textId="77777777" w:rsidR="00980E5F" w:rsidRDefault="00980E5F">
            <w:pPr>
              <w:rPr>
                <w:rFonts w:ascii="宋体"/>
                <w:vanish/>
              </w:rPr>
            </w:pPr>
          </w:p>
        </w:tc>
        <w:tc>
          <w:tcPr>
            <w:tcW w:w="0" w:type="auto"/>
            <w:gridSpan w:val="3"/>
            <w:shd w:val="clear" w:color="auto" w:fill="auto"/>
            <w:vAlign w:val="bottom"/>
          </w:tcPr>
          <w:p w14:paraId="392BF8CC" w14:textId="77777777" w:rsidR="00980E5F" w:rsidRDefault="00980E5F">
            <w:pPr>
              <w:rPr>
                <w:rFonts w:ascii="宋体"/>
                <w:vanish/>
              </w:rPr>
            </w:pPr>
          </w:p>
        </w:tc>
        <w:tc>
          <w:tcPr>
            <w:tcW w:w="0" w:type="auto"/>
            <w:gridSpan w:val="3"/>
            <w:shd w:val="clear" w:color="auto" w:fill="auto"/>
            <w:vAlign w:val="bottom"/>
          </w:tcPr>
          <w:p w14:paraId="392BF8CD" w14:textId="77777777" w:rsidR="00980E5F" w:rsidRDefault="00980E5F">
            <w:pPr>
              <w:rPr>
                <w:rFonts w:ascii="宋体"/>
                <w:vanish/>
              </w:rPr>
            </w:pPr>
          </w:p>
        </w:tc>
        <w:tc>
          <w:tcPr>
            <w:tcW w:w="0" w:type="auto"/>
            <w:gridSpan w:val="3"/>
            <w:shd w:val="clear" w:color="auto" w:fill="auto"/>
            <w:vAlign w:val="bottom"/>
          </w:tcPr>
          <w:p w14:paraId="392BF8CE" w14:textId="77777777" w:rsidR="00980E5F" w:rsidRDefault="00980E5F">
            <w:pPr>
              <w:rPr>
                <w:rFonts w:ascii="宋体"/>
                <w:vanish/>
              </w:rPr>
            </w:pPr>
          </w:p>
        </w:tc>
        <w:tc>
          <w:tcPr>
            <w:tcW w:w="0" w:type="auto"/>
            <w:gridSpan w:val="3"/>
            <w:shd w:val="clear" w:color="auto" w:fill="auto"/>
            <w:vAlign w:val="bottom"/>
          </w:tcPr>
          <w:p w14:paraId="392BF8CF" w14:textId="77777777" w:rsidR="00980E5F" w:rsidRDefault="00980E5F">
            <w:pPr>
              <w:rPr>
                <w:rFonts w:ascii="宋体"/>
                <w:vanish/>
              </w:rPr>
            </w:pPr>
          </w:p>
        </w:tc>
        <w:tc>
          <w:tcPr>
            <w:tcW w:w="0" w:type="auto"/>
            <w:gridSpan w:val="3"/>
            <w:shd w:val="clear" w:color="auto" w:fill="auto"/>
            <w:vAlign w:val="bottom"/>
          </w:tcPr>
          <w:p w14:paraId="392BF8D0" w14:textId="77777777" w:rsidR="00980E5F" w:rsidRDefault="00980E5F">
            <w:pPr>
              <w:rPr>
                <w:rFonts w:ascii="宋体"/>
                <w:vanish/>
              </w:rPr>
            </w:pPr>
          </w:p>
        </w:tc>
        <w:tc>
          <w:tcPr>
            <w:tcW w:w="0" w:type="auto"/>
            <w:gridSpan w:val="3"/>
            <w:shd w:val="clear" w:color="auto" w:fill="auto"/>
            <w:vAlign w:val="bottom"/>
          </w:tcPr>
          <w:p w14:paraId="392BF8D1" w14:textId="77777777" w:rsidR="00980E5F" w:rsidRDefault="00980E5F">
            <w:pPr>
              <w:rPr>
                <w:rFonts w:ascii="宋体"/>
                <w:vanish/>
              </w:rPr>
            </w:pPr>
          </w:p>
        </w:tc>
        <w:tc>
          <w:tcPr>
            <w:tcW w:w="0" w:type="auto"/>
            <w:gridSpan w:val="3"/>
            <w:shd w:val="clear" w:color="auto" w:fill="auto"/>
            <w:vAlign w:val="bottom"/>
          </w:tcPr>
          <w:p w14:paraId="392BF8D2" w14:textId="77777777" w:rsidR="00980E5F" w:rsidRDefault="00980E5F">
            <w:pPr>
              <w:rPr>
                <w:rFonts w:ascii="宋体"/>
                <w:vanish/>
              </w:rPr>
            </w:pPr>
          </w:p>
        </w:tc>
        <w:tc>
          <w:tcPr>
            <w:tcW w:w="0" w:type="auto"/>
            <w:shd w:val="clear" w:color="auto" w:fill="auto"/>
            <w:vAlign w:val="bottom"/>
          </w:tcPr>
          <w:p w14:paraId="392BF8D3" w14:textId="77777777" w:rsidR="00980E5F" w:rsidRDefault="00980E5F">
            <w:pPr>
              <w:rPr>
                <w:rFonts w:ascii="宋体"/>
                <w:vanish/>
              </w:rPr>
            </w:pPr>
          </w:p>
        </w:tc>
      </w:tr>
      <w:tr w:rsidR="00980E5F" w14:paraId="392BF8E2" w14:textId="77777777">
        <w:trPr>
          <w:hidden/>
        </w:trPr>
        <w:tc>
          <w:tcPr>
            <w:tcW w:w="0" w:type="auto"/>
            <w:gridSpan w:val="3"/>
            <w:shd w:val="clear" w:color="auto" w:fill="auto"/>
            <w:vAlign w:val="bottom"/>
          </w:tcPr>
          <w:p w14:paraId="392BF8D5" w14:textId="77777777" w:rsidR="00980E5F" w:rsidRDefault="00980E5F">
            <w:pPr>
              <w:rPr>
                <w:rFonts w:ascii="宋体"/>
                <w:vanish/>
              </w:rPr>
            </w:pPr>
          </w:p>
        </w:tc>
        <w:tc>
          <w:tcPr>
            <w:tcW w:w="0" w:type="auto"/>
            <w:gridSpan w:val="3"/>
            <w:shd w:val="clear" w:color="auto" w:fill="auto"/>
            <w:vAlign w:val="bottom"/>
          </w:tcPr>
          <w:p w14:paraId="392BF8D6" w14:textId="77777777" w:rsidR="00980E5F" w:rsidRDefault="00980E5F">
            <w:pPr>
              <w:rPr>
                <w:rFonts w:ascii="宋体"/>
                <w:vanish/>
              </w:rPr>
            </w:pPr>
          </w:p>
        </w:tc>
        <w:tc>
          <w:tcPr>
            <w:tcW w:w="0" w:type="auto"/>
            <w:gridSpan w:val="3"/>
            <w:shd w:val="clear" w:color="auto" w:fill="auto"/>
            <w:vAlign w:val="bottom"/>
          </w:tcPr>
          <w:p w14:paraId="392BF8D7" w14:textId="77777777" w:rsidR="00980E5F" w:rsidRDefault="00980E5F">
            <w:pPr>
              <w:rPr>
                <w:rFonts w:ascii="宋体"/>
                <w:vanish/>
              </w:rPr>
            </w:pPr>
          </w:p>
        </w:tc>
        <w:tc>
          <w:tcPr>
            <w:tcW w:w="0" w:type="auto"/>
            <w:gridSpan w:val="3"/>
            <w:shd w:val="clear" w:color="auto" w:fill="auto"/>
            <w:vAlign w:val="bottom"/>
          </w:tcPr>
          <w:p w14:paraId="392BF8D8" w14:textId="77777777" w:rsidR="00980E5F" w:rsidRDefault="00980E5F">
            <w:pPr>
              <w:rPr>
                <w:rFonts w:ascii="宋体"/>
                <w:vanish/>
              </w:rPr>
            </w:pPr>
          </w:p>
        </w:tc>
        <w:tc>
          <w:tcPr>
            <w:tcW w:w="0" w:type="auto"/>
            <w:gridSpan w:val="3"/>
            <w:shd w:val="clear" w:color="auto" w:fill="auto"/>
            <w:vAlign w:val="bottom"/>
          </w:tcPr>
          <w:p w14:paraId="392BF8D9" w14:textId="77777777" w:rsidR="00980E5F" w:rsidRDefault="00980E5F">
            <w:pPr>
              <w:rPr>
                <w:rFonts w:ascii="宋体"/>
                <w:vanish/>
              </w:rPr>
            </w:pPr>
          </w:p>
        </w:tc>
        <w:tc>
          <w:tcPr>
            <w:tcW w:w="0" w:type="auto"/>
            <w:gridSpan w:val="3"/>
            <w:shd w:val="clear" w:color="auto" w:fill="auto"/>
            <w:vAlign w:val="bottom"/>
          </w:tcPr>
          <w:p w14:paraId="392BF8DA" w14:textId="77777777" w:rsidR="00980E5F" w:rsidRDefault="00980E5F">
            <w:pPr>
              <w:rPr>
                <w:rFonts w:ascii="宋体"/>
                <w:vanish/>
              </w:rPr>
            </w:pPr>
          </w:p>
        </w:tc>
        <w:tc>
          <w:tcPr>
            <w:tcW w:w="0" w:type="auto"/>
            <w:gridSpan w:val="3"/>
            <w:shd w:val="clear" w:color="auto" w:fill="auto"/>
            <w:vAlign w:val="bottom"/>
          </w:tcPr>
          <w:p w14:paraId="392BF8DB" w14:textId="77777777" w:rsidR="00980E5F" w:rsidRDefault="00980E5F">
            <w:pPr>
              <w:rPr>
                <w:rFonts w:ascii="宋体"/>
                <w:vanish/>
              </w:rPr>
            </w:pPr>
          </w:p>
        </w:tc>
        <w:tc>
          <w:tcPr>
            <w:tcW w:w="0" w:type="auto"/>
            <w:gridSpan w:val="3"/>
            <w:shd w:val="clear" w:color="auto" w:fill="auto"/>
            <w:vAlign w:val="bottom"/>
          </w:tcPr>
          <w:p w14:paraId="392BF8DC" w14:textId="77777777" w:rsidR="00980E5F" w:rsidRDefault="00980E5F">
            <w:pPr>
              <w:rPr>
                <w:rFonts w:ascii="宋体"/>
                <w:vanish/>
              </w:rPr>
            </w:pPr>
          </w:p>
        </w:tc>
        <w:tc>
          <w:tcPr>
            <w:tcW w:w="0" w:type="auto"/>
            <w:gridSpan w:val="3"/>
            <w:shd w:val="clear" w:color="auto" w:fill="auto"/>
            <w:vAlign w:val="bottom"/>
          </w:tcPr>
          <w:p w14:paraId="392BF8DD" w14:textId="77777777" w:rsidR="00980E5F" w:rsidRDefault="00980E5F">
            <w:pPr>
              <w:rPr>
                <w:rFonts w:ascii="宋体"/>
                <w:vanish/>
              </w:rPr>
            </w:pPr>
          </w:p>
        </w:tc>
        <w:tc>
          <w:tcPr>
            <w:tcW w:w="0" w:type="auto"/>
            <w:gridSpan w:val="3"/>
            <w:shd w:val="clear" w:color="auto" w:fill="auto"/>
            <w:vAlign w:val="bottom"/>
          </w:tcPr>
          <w:p w14:paraId="392BF8DE" w14:textId="77777777" w:rsidR="00980E5F" w:rsidRDefault="00980E5F">
            <w:pPr>
              <w:rPr>
                <w:rFonts w:ascii="宋体"/>
                <w:vanish/>
              </w:rPr>
            </w:pPr>
          </w:p>
        </w:tc>
        <w:tc>
          <w:tcPr>
            <w:tcW w:w="0" w:type="auto"/>
            <w:gridSpan w:val="3"/>
            <w:shd w:val="clear" w:color="auto" w:fill="auto"/>
            <w:vAlign w:val="bottom"/>
          </w:tcPr>
          <w:p w14:paraId="392BF8DF" w14:textId="77777777" w:rsidR="00980E5F" w:rsidRDefault="00980E5F">
            <w:pPr>
              <w:rPr>
                <w:rFonts w:ascii="宋体"/>
                <w:vanish/>
              </w:rPr>
            </w:pPr>
          </w:p>
        </w:tc>
        <w:tc>
          <w:tcPr>
            <w:tcW w:w="0" w:type="auto"/>
            <w:gridSpan w:val="3"/>
            <w:shd w:val="clear" w:color="auto" w:fill="auto"/>
            <w:vAlign w:val="bottom"/>
          </w:tcPr>
          <w:p w14:paraId="392BF8E0" w14:textId="77777777" w:rsidR="00980E5F" w:rsidRDefault="00980E5F">
            <w:pPr>
              <w:rPr>
                <w:rFonts w:ascii="宋体"/>
                <w:vanish/>
              </w:rPr>
            </w:pPr>
          </w:p>
        </w:tc>
        <w:tc>
          <w:tcPr>
            <w:tcW w:w="0" w:type="auto"/>
            <w:shd w:val="clear" w:color="auto" w:fill="auto"/>
            <w:vAlign w:val="bottom"/>
          </w:tcPr>
          <w:p w14:paraId="392BF8E1" w14:textId="77777777" w:rsidR="00980E5F" w:rsidRDefault="00980E5F">
            <w:pPr>
              <w:rPr>
                <w:rFonts w:ascii="宋体"/>
                <w:vanish/>
              </w:rPr>
            </w:pPr>
          </w:p>
        </w:tc>
      </w:tr>
      <w:tr w:rsidR="00980E5F" w14:paraId="392BF8F0" w14:textId="77777777">
        <w:trPr>
          <w:hidden/>
        </w:trPr>
        <w:tc>
          <w:tcPr>
            <w:tcW w:w="0" w:type="auto"/>
            <w:gridSpan w:val="3"/>
            <w:shd w:val="clear" w:color="auto" w:fill="auto"/>
            <w:vAlign w:val="bottom"/>
          </w:tcPr>
          <w:p w14:paraId="392BF8E3" w14:textId="77777777" w:rsidR="00980E5F" w:rsidRDefault="00980E5F">
            <w:pPr>
              <w:rPr>
                <w:rFonts w:ascii="宋体"/>
                <w:vanish/>
              </w:rPr>
            </w:pPr>
          </w:p>
        </w:tc>
        <w:tc>
          <w:tcPr>
            <w:tcW w:w="0" w:type="auto"/>
            <w:gridSpan w:val="3"/>
            <w:shd w:val="clear" w:color="auto" w:fill="auto"/>
            <w:vAlign w:val="bottom"/>
          </w:tcPr>
          <w:p w14:paraId="392BF8E4" w14:textId="77777777" w:rsidR="00980E5F" w:rsidRDefault="00980E5F">
            <w:pPr>
              <w:rPr>
                <w:rFonts w:ascii="宋体"/>
                <w:vanish/>
              </w:rPr>
            </w:pPr>
          </w:p>
        </w:tc>
        <w:tc>
          <w:tcPr>
            <w:tcW w:w="0" w:type="auto"/>
            <w:gridSpan w:val="3"/>
            <w:shd w:val="clear" w:color="auto" w:fill="auto"/>
            <w:vAlign w:val="bottom"/>
          </w:tcPr>
          <w:p w14:paraId="392BF8E5" w14:textId="77777777" w:rsidR="00980E5F" w:rsidRDefault="00980E5F">
            <w:pPr>
              <w:rPr>
                <w:rFonts w:ascii="宋体"/>
                <w:vanish/>
              </w:rPr>
            </w:pPr>
          </w:p>
        </w:tc>
        <w:tc>
          <w:tcPr>
            <w:tcW w:w="0" w:type="auto"/>
            <w:gridSpan w:val="3"/>
            <w:shd w:val="clear" w:color="auto" w:fill="auto"/>
            <w:vAlign w:val="bottom"/>
          </w:tcPr>
          <w:p w14:paraId="392BF8E6" w14:textId="77777777" w:rsidR="00980E5F" w:rsidRDefault="00980E5F">
            <w:pPr>
              <w:rPr>
                <w:rFonts w:ascii="宋体"/>
                <w:vanish/>
              </w:rPr>
            </w:pPr>
          </w:p>
        </w:tc>
        <w:tc>
          <w:tcPr>
            <w:tcW w:w="0" w:type="auto"/>
            <w:gridSpan w:val="3"/>
            <w:shd w:val="clear" w:color="auto" w:fill="auto"/>
            <w:vAlign w:val="bottom"/>
          </w:tcPr>
          <w:p w14:paraId="392BF8E7" w14:textId="77777777" w:rsidR="00980E5F" w:rsidRDefault="00980E5F">
            <w:pPr>
              <w:rPr>
                <w:rFonts w:ascii="宋体"/>
                <w:vanish/>
              </w:rPr>
            </w:pPr>
          </w:p>
        </w:tc>
        <w:tc>
          <w:tcPr>
            <w:tcW w:w="0" w:type="auto"/>
            <w:gridSpan w:val="3"/>
            <w:shd w:val="clear" w:color="auto" w:fill="auto"/>
            <w:vAlign w:val="bottom"/>
          </w:tcPr>
          <w:p w14:paraId="392BF8E8" w14:textId="77777777" w:rsidR="00980E5F" w:rsidRDefault="00980E5F">
            <w:pPr>
              <w:rPr>
                <w:rFonts w:ascii="宋体"/>
                <w:vanish/>
              </w:rPr>
            </w:pPr>
          </w:p>
        </w:tc>
        <w:tc>
          <w:tcPr>
            <w:tcW w:w="0" w:type="auto"/>
            <w:gridSpan w:val="3"/>
            <w:shd w:val="clear" w:color="auto" w:fill="auto"/>
            <w:vAlign w:val="bottom"/>
          </w:tcPr>
          <w:p w14:paraId="392BF8E9" w14:textId="77777777" w:rsidR="00980E5F" w:rsidRDefault="00980E5F">
            <w:pPr>
              <w:rPr>
                <w:rFonts w:ascii="宋体"/>
                <w:vanish/>
              </w:rPr>
            </w:pPr>
          </w:p>
        </w:tc>
        <w:tc>
          <w:tcPr>
            <w:tcW w:w="0" w:type="auto"/>
            <w:gridSpan w:val="3"/>
            <w:shd w:val="clear" w:color="auto" w:fill="auto"/>
            <w:vAlign w:val="bottom"/>
          </w:tcPr>
          <w:p w14:paraId="392BF8EA" w14:textId="77777777" w:rsidR="00980E5F" w:rsidRDefault="00980E5F">
            <w:pPr>
              <w:rPr>
                <w:rFonts w:ascii="宋体"/>
                <w:vanish/>
              </w:rPr>
            </w:pPr>
          </w:p>
        </w:tc>
        <w:tc>
          <w:tcPr>
            <w:tcW w:w="0" w:type="auto"/>
            <w:gridSpan w:val="3"/>
            <w:shd w:val="clear" w:color="auto" w:fill="auto"/>
            <w:vAlign w:val="bottom"/>
          </w:tcPr>
          <w:p w14:paraId="392BF8EB" w14:textId="77777777" w:rsidR="00980E5F" w:rsidRDefault="00980E5F">
            <w:pPr>
              <w:rPr>
                <w:rFonts w:ascii="宋体"/>
                <w:vanish/>
              </w:rPr>
            </w:pPr>
          </w:p>
        </w:tc>
        <w:tc>
          <w:tcPr>
            <w:tcW w:w="0" w:type="auto"/>
            <w:gridSpan w:val="3"/>
            <w:shd w:val="clear" w:color="auto" w:fill="auto"/>
            <w:vAlign w:val="bottom"/>
          </w:tcPr>
          <w:p w14:paraId="392BF8EC" w14:textId="77777777" w:rsidR="00980E5F" w:rsidRDefault="00980E5F">
            <w:pPr>
              <w:rPr>
                <w:rFonts w:ascii="宋体"/>
                <w:vanish/>
              </w:rPr>
            </w:pPr>
          </w:p>
        </w:tc>
        <w:tc>
          <w:tcPr>
            <w:tcW w:w="0" w:type="auto"/>
            <w:gridSpan w:val="3"/>
            <w:shd w:val="clear" w:color="auto" w:fill="auto"/>
            <w:vAlign w:val="bottom"/>
          </w:tcPr>
          <w:p w14:paraId="392BF8ED" w14:textId="77777777" w:rsidR="00980E5F" w:rsidRDefault="00980E5F">
            <w:pPr>
              <w:rPr>
                <w:rFonts w:ascii="宋体"/>
                <w:vanish/>
              </w:rPr>
            </w:pPr>
          </w:p>
        </w:tc>
        <w:tc>
          <w:tcPr>
            <w:tcW w:w="0" w:type="auto"/>
            <w:gridSpan w:val="3"/>
            <w:shd w:val="clear" w:color="auto" w:fill="auto"/>
            <w:vAlign w:val="bottom"/>
          </w:tcPr>
          <w:p w14:paraId="392BF8EE" w14:textId="77777777" w:rsidR="00980E5F" w:rsidRDefault="00980E5F">
            <w:pPr>
              <w:rPr>
                <w:rFonts w:ascii="宋体"/>
                <w:vanish/>
              </w:rPr>
            </w:pPr>
          </w:p>
        </w:tc>
        <w:tc>
          <w:tcPr>
            <w:tcW w:w="0" w:type="auto"/>
            <w:shd w:val="clear" w:color="auto" w:fill="auto"/>
            <w:vAlign w:val="bottom"/>
          </w:tcPr>
          <w:p w14:paraId="392BF8EF" w14:textId="77777777" w:rsidR="00980E5F" w:rsidRDefault="00980E5F">
            <w:pPr>
              <w:rPr>
                <w:rFonts w:ascii="宋体"/>
                <w:vanish/>
              </w:rPr>
            </w:pPr>
          </w:p>
        </w:tc>
      </w:tr>
      <w:tr w:rsidR="00980E5F" w14:paraId="392BF8FE" w14:textId="77777777">
        <w:trPr>
          <w:hidden/>
        </w:trPr>
        <w:tc>
          <w:tcPr>
            <w:tcW w:w="0" w:type="auto"/>
            <w:gridSpan w:val="3"/>
            <w:shd w:val="clear" w:color="auto" w:fill="auto"/>
            <w:vAlign w:val="bottom"/>
          </w:tcPr>
          <w:p w14:paraId="392BF8F1" w14:textId="77777777" w:rsidR="00980E5F" w:rsidRDefault="00980E5F">
            <w:pPr>
              <w:rPr>
                <w:rFonts w:ascii="宋体"/>
                <w:vanish/>
              </w:rPr>
            </w:pPr>
          </w:p>
        </w:tc>
        <w:tc>
          <w:tcPr>
            <w:tcW w:w="0" w:type="auto"/>
            <w:gridSpan w:val="3"/>
            <w:shd w:val="clear" w:color="auto" w:fill="auto"/>
            <w:vAlign w:val="bottom"/>
          </w:tcPr>
          <w:p w14:paraId="392BF8F2" w14:textId="77777777" w:rsidR="00980E5F" w:rsidRDefault="00980E5F">
            <w:pPr>
              <w:rPr>
                <w:rFonts w:ascii="宋体"/>
                <w:vanish/>
              </w:rPr>
            </w:pPr>
          </w:p>
        </w:tc>
        <w:tc>
          <w:tcPr>
            <w:tcW w:w="0" w:type="auto"/>
            <w:gridSpan w:val="3"/>
            <w:shd w:val="clear" w:color="auto" w:fill="auto"/>
            <w:vAlign w:val="bottom"/>
          </w:tcPr>
          <w:p w14:paraId="392BF8F3" w14:textId="77777777" w:rsidR="00980E5F" w:rsidRDefault="00980E5F">
            <w:pPr>
              <w:rPr>
                <w:rFonts w:ascii="宋体"/>
                <w:vanish/>
              </w:rPr>
            </w:pPr>
          </w:p>
        </w:tc>
        <w:tc>
          <w:tcPr>
            <w:tcW w:w="0" w:type="auto"/>
            <w:gridSpan w:val="3"/>
            <w:shd w:val="clear" w:color="auto" w:fill="auto"/>
            <w:vAlign w:val="bottom"/>
          </w:tcPr>
          <w:p w14:paraId="392BF8F4" w14:textId="77777777" w:rsidR="00980E5F" w:rsidRDefault="00980E5F">
            <w:pPr>
              <w:rPr>
                <w:rFonts w:ascii="宋体"/>
                <w:vanish/>
              </w:rPr>
            </w:pPr>
          </w:p>
        </w:tc>
        <w:tc>
          <w:tcPr>
            <w:tcW w:w="0" w:type="auto"/>
            <w:gridSpan w:val="3"/>
            <w:shd w:val="clear" w:color="auto" w:fill="auto"/>
            <w:vAlign w:val="bottom"/>
          </w:tcPr>
          <w:p w14:paraId="392BF8F5" w14:textId="77777777" w:rsidR="00980E5F" w:rsidRDefault="00980E5F">
            <w:pPr>
              <w:rPr>
                <w:rFonts w:ascii="宋体"/>
                <w:vanish/>
              </w:rPr>
            </w:pPr>
          </w:p>
        </w:tc>
        <w:tc>
          <w:tcPr>
            <w:tcW w:w="0" w:type="auto"/>
            <w:gridSpan w:val="3"/>
            <w:shd w:val="clear" w:color="auto" w:fill="auto"/>
            <w:vAlign w:val="bottom"/>
          </w:tcPr>
          <w:p w14:paraId="392BF8F6" w14:textId="77777777" w:rsidR="00980E5F" w:rsidRDefault="00980E5F">
            <w:pPr>
              <w:rPr>
                <w:rFonts w:ascii="宋体"/>
                <w:vanish/>
              </w:rPr>
            </w:pPr>
          </w:p>
        </w:tc>
        <w:tc>
          <w:tcPr>
            <w:tcW w:w="0" w:type="auto"/>
            <w:gridSpan w:val="3"/>
            <w:shd w:val="clear" w:color="auto" w:fill="auto"/>
            <w:vAlign w:val="bottom"/>
          </w:tcPr>
          <w:p w14:paraId="392BF8F7" w14:textId="77777777" w:rsidR="00980E5F" w:rsidRDefault="00980E5F">
            <w:pPr>
              <w:rPr>
                <w:rFonts w:ascii="宋体"/>
                <w:vanish/>
              </w:rPr>
            </w:pPr>
          </w:p>
        </w:tc>
        <w:tc>
          <w:tcPr>
            <w:tcW w:w="0" w:type="auto"/>
            <w:gridSpan w:val="3"/>
            <w:shd w:val="clear" w:color="auto" w:fill="auto"/>
            <w:vAlign w:val="bottom"/>
          </w:tcPr>
          <w:p w14:paraId="392BF8F8" w14:textId="77777777" w:rsidR="00980E5F" w:rsidRDefault="00980E5F">
            <w:pPr>
              <w:rPr>
                <w:rFonts w:ascii="宋体"/>
                <w:vanish/>
              </w:rPr>
            </w:pPr>
          </w:p>
        </w:tc>
        <w:tc>
          <w:tcPr>
            <w:tcW w:w="0" w:type="auto"/>
            <w:gridSpan w:val="3"/>
            <w:shd w:val="clear" w:color="auto" w:fill="auto"/>
            <w:vAlign w:val="bottom"/>
          </w:tcPr>
          <w:p w14:paraId="392BF8F9" w14:textId="77777777" w:rsidR="00980E5F" w:rsidRDefault="00980E5F">
            <w:pPr>
              <w:rPr>
                <w:rFonts w:ascii="宋体"/>
                <w:vanish/>
              </w:rPr>
            </w:pPr>
          </w:p>
        </w:tc>
        <w:tc>
          <w:tcPr>
            <w:tcW w:w="0" w:type="auto"/>
            <w:gridSpan w:val="3"/>
            <w:shd w:val="clear" w:color="auto" w:fill="auto"/>
            <w:vAlign w:val="bottom"/>
          </w:tcPr>
          <w:p w14:paraId="392BF8FA" w14:textId="77777777" w:rsidR="00980E5F" w:rsidRDefault="00980E5F">
            <w:pPr>
              <w:rPr>
                <w:rFonts w:ascii="宋体"/>
                <w:vanish/>
              </w:rPr>
            </w:pPr>
          </w:p>
        </w:tc>
        <w:tc>
          <w:tcPr>
            <w:tcW w:w="0" w:type="auto"/>
            <w:gridSpan w:val="3"/>
            <w:shd w:val="clear" w:color="auto" w:fill="auto"/>
            <w:vAlign w:val="bottom"/>
          </w:tcPr>
          <w:p w14:paraId="392BF8FB" w14:textId="77777777" w:rsidR="00980E5F" w:rsidRDefault="00980E5F">
            <w:pPr>
              <w:rPr>
                <w:rFonts w:ascii="宋体"/>
                <w:vanish/>
              </w:rPr>
            </w:pPr>
          </w:p>
        </w:tc>
        <w:tc>
          <w:tcPr>
            <w:tcW w:w="0" w:type="auto"/>
            <w:gridSpan w:val="3"/>
            <w:shd w:val="clear" w:color="auto" w:fill="auto"/>
            <w:vAlign w:val="bottom"/>
          </w:tcPr>
          <w:p w14:paraId="392BF8FC" w14:textId="77777777" w:rsidR="00980E5F" w:rsidRDefault="00980E5F">
            <w:pPr>
              <w:rPr>
                <w:rFonts w:ascii="宋体"/>
                <w:vanish/>
              </w:rPr>
            </w:pPr>
          </w:p>
        </w:tc>
        <w:tc>
          <w:tcPr>
            <w:tcW w:w="0" w:type="auto"/>
            <w:shd w:val="clear" w:color="auto" w:fill="auto"/>
            <w:vAlign w:val="bottom"/>
          </w:tcPr>
          <w:p w14:paraId="392BF8FD" w14:textId="77777777" w:rsidR="00980E5F" w:rsidRDefault="00980E5F">
            <w:pPr>
              <w:rPr>
                <w:rFonts w:ascii="宋体"/>
                <w:vanish/>
              </w:rPr>
            </w:pPr>
          </w:p>
        </w:tc>
      </w:tr>
      <w:tr w:rsidR="00980E5F" w14:paraId="392BF90C" w14:textId="77777777">
        <w:trPr>
          <w:hidden/>
        </w:trPr>
        <w:tc>
          <w:tcPr>
            <w:tcW w:w="0" w:type="auto"/>
            <w:gridSpan w:val="3"/>
            <w:shd w:val="clear" w:color="auto" w:fill="auto"/>
            <w:vAlign w:val="bottom"/>
          </w:tcPr>
          <w:p w14:paraId="392BF8FF" w14:textId="77777777" w:rsidR="00980E5F" w:rsidRDefault="00980E5F">
            <w:pPr>
              <w:rPr>
                <w:rFonts w:ascii="宋体"/>
                <w:vanish/>
              </w:rPr>
            </w:pPr>
          </w:p>
        </w:tc>
        <w:tc>
          <w:tcPr>
            <w:tcW w:w="0" w:type="auto"/>
            <w:gridSpan w:val="3"/>
            <w:shd w:val="clear" w:color="auto" w:fill="auto"/>
            <w:vAlign w:val="bottom"/>
          </w:tcPr>
          <w:p w14:paraId="392BF900" w14:textId="77777777" w:rsidR="00980E5F" w:rsidRDefault="00980E5F">
            <w:pPr>
              <w:rPr>
                <w:rFonts w:ascii="宋体"/>
                <w:vanish/>
              </w:rPr>
            </w:pPr>
          </w:p>
        </w:tc>
        <w:tc>
          <w:tcPr>
            <w:tcW w:w="0" w:type="auto"/>
            <w:gridSpan w:val="3"/>
            <w:shd w:val="clear" w:color="auto" w:fill="auto"/>
            <w:vAlign w:val="bottom"/>
          </w:tcPr>
          <w:p w14:paraId="392BF901" w14:textId="77777777" w:rsidR="00980E5F" w:rsidRDefault="00980E5F">
            <w:pPr>
              <w:rPr>
                <w:rFonts w:ascii="宋体"/>
                <w:vanish/>
              </w:rPr>
            </w:pPr>
          </w:p>
        </w:tc>
        <w:tc>
          <w:tcPr>
            <w:tcW w:w="0" w:type="auto"/>
            <w:gridSpan w:val="3"/>
            <w:shd w:val="clear" w:color="auto" w:fill="auto"/>
            <w:vAlign w:val="bottom"/>
          </w:tcPr>
          <w:p w14:paraId="392BF902" w14:textId="77777777" w:rsidR="00980E5F" w:rsidRDefault="00980E5F">
            <w:pPr>
              <w:rPr>
                <w:rFonts w:ascii="宋体"/>
                <w:vanish/>
              </w:rPr>
            </w:pPr>
          </w:p>
        </w:tc>
        <w:tc>
          <w:tcPr>
            <w:tcW w:w="0" w:type="auto"/>
            <w:gridSpan w:val="3"/>
            <w:shd w:val="clear" w:color="auto" w:fill="auto"/>
            <w:vAlign w:val="bottom"/>
          </w:tcPr>
          <w:p w14:paraId="392BF903" w14:textId="77777777" w:rsidR="00980E5F" w:rsidRDefault="00980E5F">
            <w:pPr>
              <w:rPr>
                <w:rFonts w:ascii="宋体"/>
                <w:vanish/>
              </w:rPr>
            </w:pPr>
          </w:p>
        </w:tc>
        <w:tc>
          <w:tcPr>
            <w:tcW w:w="0" w:type="auto"/>
            <w:gridSpan w:val="3"/>
            <w:shd w:val="clear" w:color="auto" w:fill="auto"/>
            <w:vAlign w:val="bottom"/>
          </w:tcPr>
          <w:p w14:paraId="392BF904" w14:textId="77777777" w:rsidR="00980E5F" w:rsidRDefault="00980E5F">
            <w:pPr>
              <w:rPr>
                <w:rFonts w:ascii="宋体"/>
                <w:vanish/>
              </w:rPr>
            </w:pPr>
          </w:p>
        </w:tc>
        <w:tc>
          <w:tcPr>
            <w:tcW w:w="0" w:type="auto"/>
            <w:gridSpan w:val="3"/>
            <w:shd w:val="clear" w:color="auto" w:fill="auto"/>
            <w:vAlign w:val="bottom"/>
          </w:tcPr>
          <w:p w14:paraId="392BF905" w14:textId="77777777" w:rsidR="00980E5F" w:rsidRDefault="00980E5F">
            <w:pPr>
              <w:rPr>
                <w:rFonts w:ascii="宋体"/>
                <w:vanish/>
              </w:rPr>
            </w:pPr>
          </w:p>
        </w:tc>
        <w:tc>
          <w:tcPr>
            <w:tcW w:w="0" w:type="auto"/>
            <w:gridSpan w:val="3"/>
            <w:shd w:val="clear" w:color="auto" w:fill="auto"/>
            <w:vAlign w:val="bottom"/>
          </w:tcPr>
          <w:p w14:paraId="392BF906" w14:textId="77777777" w:rsidR="00980E5F" w:rsidRDefault="00980E5F">
            <w:pPr>
              <w:rPr>
                <w:rFonts w:ascii="宋体"/>
                <w:vanish/>
              </w:rPr>
            </w:pPr>
          </w:p>
        </w:tc>
        <w:tc>
          <w:tcPr>
            <w:tcW w:w="0" w:type="auto"/>
            <w:gridSpan w:val="3"/>
            <w:shd w:val="clear" w:color="auto" w:fill="auto"/>
            <w:vAlign w:val="bottom"/>
          </w:tcPr>
          <w:p w14:paraId="392BF907" w14:textId="77777777" w:rsidR="00980E5F" w:rsidRDefault="00980E5F">
            <w:pPr>
              <w:rPr>
                <w:rFonts w:ascii="宋体"/>
                <w:vanish/>
              </w:rPr>
            </w:pPr>
          </w:p>
        </w:tc>
        <w:tc>
          <w:tcPr>
            <w:tcW w:w="0" w:type="auto"/>
            <w:gridSpan w:val="3"/>
            <w:shd w:val="clear" w:color="auto" w:fill="auto"/>
            <w:vAlign w:val="bottom"/>
          </w:tcPr>
          <w:p w14:paraId="392BF908" w14:textId="77777777" w:rsidR="00980E5F" w:rsidRDefault="00980E5F">
            <w:pPr>
              <w:rPr>
                <w:rFonts w:ascii="宋体"/>
                <w:vanish/>
              </w:rPr>
            </w:pPr>
          </w:p>
        </w:tc>
        <w:tc>
          <w:tcPr>
            <w:tcW w:w="0" w:type="auto"/>
            <w:gridSpan w:val="3"/>
            <w:shd w:val="clear" w:color="auto" w:fill="auto"/>
            <w:vAlign w:val="bottom"/>
          </w:tcPr>
          <w:p w14:paraId="392BF909" w14:textId="77777777" w:rsidR="00980E5F" w:rsidRDefault="00980E5F">
            <w:pPr>
              <w:rPr>
                <w:rFonts w:ascii="宋体"/>
                <w:vanish/>
              </w:rPr>
            </w:pPr>
          </w:p>
        </w:tc>
        <w:tc>
          <w:tcPr>
            <w:tcW w:w="0" w:type="auto"/>
            <w:gridSpan w:val="3"/>
            <w:shd w:val="clear" w:color="auto" w:fill="auto"/>
            <w:vAlign w:val="bottom"/>
          </w:tcPr>
          <w:p w14:paraId="392BF90A" w14:textId="77777777" w:rsidR="00980E5F" w:rsidRDefault="00980E5F">
            <w:pPr>
              <w:rPr>
                <w:rFonts w:ascii="宋体"/>
                <w:vanish/>
              </w:rPr>
            </w:pPr>
          </w:p>
        </w:tc>
        <w:tc>
          <w:tcPr>
            <w:tcW w:w="0" w:type="auto"/>
            <w:shd w:val="clear" w:color="auto" w:fill="auto"/>
            <w:vAlign w:val="bottom"/>
          </w:tcPr>
          <w:p w14:paraId="392BF90B" w14:textId="77777777" w:rsidR="00980E5F" w:rsidRDefault="00980E5F">
            <w:pPr>
              <w:rPr>
                <w:rFonts w:ascii="宋体"/>
                <w:vanish/>
              </w:rPr>
            </w:pPr>
          </w:p>
        </w:tc>
      </w:tr>
      <w:tr w:rsidR="00980E5F" w14:paraId="392BF91A" w14:textId="77777777">
        <w:trPr>
          <w:hidden/>
        </w:trPr>
        <w:tc>
          <w:tcPr>
            <w:tcW w:w="0" w:type="auto"/>
            <w:gridSpan w:val="3"/>
            <w:shd w:val="clear" w:color="auto" w:fill="auto"/>
            <w:vAlign w:val="bottom"/>
          </w:tcPr>
          <w:p w14:paraId="392BF90D" w14:textId="77777777" w:rsidR="00980E5F" w:rsidRDefault="00980E5F">
            <w:pPr>
              <w:rPr>
                <w:rFonts w:ascii="宋体"/>
                <w:vanish/>
              </w:rPr>
            </w:pPr>
          </w:p>
        </w:tc>
        <w:tc>
          <w:tcPr>
            <w:tcW w:w="0" w:type="auto"/>
            <w:gridSpan w:val="3"/>
            <w:shd w:val="clear" w:color="auto" w:fill="auto"/>
            <w:vAlign w:val="bottom"/>
          </w:tcPr>
          <w:p w14:paraId="392BF90E" w14:textId="77777777" w:rsidR="00980E5F" w:rsidRDefault="00980E5F">
            <w:pPr>
              <w:rPr>
                <w:rFonts w:ascii="宋体"/>
                <w:vanish/>
              </w:rPr>
            </w:pPr>
          </w:p>
        </w:tc>
        <w:tc>
          <w:tcPr>
            <w:tcW w:w="0" w:type="auto"/>
            <w:gridSpan w:val="3"/>
            <w:shd w:val="clear" w:color="auto" w:fill="auto"/>
            <w:vAlign w:val="bottom"/>
          </w:tcPr>
          <w:p w14:paraId="392BF90F" w14:textId="77777777" w:rsidR="00980E5F" w:rsidRDefault="00980E5F">
            <w:pPr>
              <w:rPr>
                <w:rFonts w:ascii="宋体"/>
                <w:vanish/>
              </w:rPr>
            </w:pPr>
          </w:p>
        </w:tc>
        <w:tc>
          <w:tcPr>
            <w:tcW w:w="0" w:type="auto"/>
            <w:gridSpan w:val="3"/>
            <w:shd w:val="clear" w:color="auto" w:fill="auto"/>
            <w:vAlign w:val="bottom"/>
          </w:tcPr>
          <w:p w14:paraId="392BF910" w14:textId="77777777" w:rsidR="00980E5F" w:rsidRDefault="00980E5F">
            <w:pPr>
              <w:rPr>
                <w:rFonts w:ascii="宋体"/>
                <w:vanish/>
              </w:rPr>
            </w:pPr>
          </w:p>
        </w:tc>
        <w:tc>
          <w:tcPr>
            <w:tcW w:w="0" w:type="auto"/>
            <w:gridSpan w:val="3"/>
            <w:shd w:val="clear" w:color="auto" w:fill="auto"/>
            <w:vAlign w:val="bottom"/>
          </w:tcPr>
          <w:p w14:paraId="392BF911" w14:textId="77777777" w:rsidR="00980E5F" w:rsidRDefault="00980E5F">
            <w:pPr>
              <w:rPr>
                <w:rFonts w:ascii="宋体"/>
                <w:vanish/>
              </w:rPr>
            </w:pPr>
          </w:p>
        </w:tc>
        <w:tc>
          <w:tcPr>
            <w:tcW w:w="0" w:type="auto"/>
            <w:gridSpan w:val="3"/>
            <w:shd w:val="clear" w:color="auto" w:fill="auto"/>
            <w:vAlign w:val="bottom"/>
          </w:tcPr>
          <w:p w14:paraId="392BF912" w14:textId="77777777" w:rsidR="00980E5F" w:rsidRDefault="00980E5F">
            <w:pPr>
              <w:rPr>
                <w:rFonts w:ascii="宋体"/>
                <w:vanish/>
              </w:rPr>
            </w:pPr>
          </w:p>
        </w:tc>
        <w:tc>
          <w:tcPr>
            <w:tcW w:w="0" w:type="auto"/>
            <w:gridSpan w:val="3"/>
            <w:shd w:val="clear" w:color="auto" w:fill="auto"/>
            <w:vAlign w:val="bottom"/>
          </w:tcPr>
          <w:p w14:paraId="392BF913" w14:textId="77777777" w:rsidR="00980E5F" w:rsidRDefault="00980E5F">
            <w:pPr>
              <w:rPr>
                <w:rFonts w:ascii="宋体"/>
                <w:vanish/>
              </w:rPr>
            </w:pPr>
          </w:p>
        </w:tc>
        <w:tc>
          <w:tcPr>
            <w:tcW w:w="0" w:type="auto"/>
            <w:gridSpan w:val="3"/>
            <w:shd w:val="clear" w:color="auto" w:fill="auto"/>
            <w:vAlign w:val="bottom"/>
          </w:tcPr>
          <w:p w14:paraId="392BF914" w14:textId="77777777" w:rsidR="00980E5F" w:rsidRDefault="00980E5F">
            <w:pPr>
              <w:rPr>
                <w:rFonts w:ascii="宋体"/>
                <w:vanish/>
              </w:rPr>
            </w:pPr>
          </w:p>
        </w:tc>
        <w:tc>
          <w:tcPr>
            <w:tcW w:w="0" w:type="auto"/>
            <w:gridSpan w:val="3"/>
            <w:shd w:val="clear" w:color="auto" w:fill="auto"/>
            <w:vAlign w:val="bottom"/>
          </w:tcPr>
          <w:p w14:paraId="392BF915" w14:textId="77777777" w:rsidR="00980E5F" w:rsidRDefault="00980E5F">
            <w:pPr>
              <w:rPr>
                <w:rFonts w:ascii="宋体"/>
                <w:vanish/>
              </w:rPr>
            </w:pPr>
          </w:p>
        </w:tc>
        <w:tc>
          <w:tcPr>
            <w:tcW w:w="0" w:type="auto"/>
            <w:gridSpan w:val="3"/>
            <w:shd w:val="clear" w:color="auto" w:fill="auto"/>
            <w:vAlign w:val="bottom"/>
          </w:tcPr>
          <w:p w14:paraId="392BF916" w14:textId="77777777" w:rsidR="00980E5F" w:rsidRDefault="00980E5F">
            <w:pPr>
              <w:rPr>
                <w:rFonts w:ascii="宋体"/>
                <w:vanish/>
              </w:rPr>
            </w:pPr>
          </w:p>
        </w:tc>
        <w:tc>
          <w:tcPr>
            <w:tcW w:w="0" w:type="auto"/>
            <w:gridSpan w:val="3"/>
            <w:shd w:val="clear" w:color="auto" w:fill="auto"/>
            <w:vAlign w:val="bottom"/>
          </w:tcPr>
          <w:p w14:paraId="392BF917" w14:textId="77777777" w:rsidR="00980E5F" w:rsidRDefault="00980E5F">
            <w:pPr>
              <w:rPr>
                <w:rFonts w:ascii="宋体"/>
                <w:vanish/>
              </w:rPr>
            </w:pPr>
          </w:p>
        </w:tc>
        <w:tc>
          <w:tcPr>
            <w:tcW w:w="0" w:type="auto"/>
            <w:gridSpan w:val="3"/>
            <w:shd w:val="clear" w:color="auto" w:fill="auto"/>
            <w:vAlign w:val="bottom"/>
          </w:tcPr>
          <w:p w14:paraId="392BF918" w14:textId="77777777" w:rsidR="00980E5F" w:rsidRDefault="00980E5F">
            <w:pPr>
              <w:rPr>
                <w:rFonts w:ascii="宋体"/>
                <w:vanish/>
              </w:rPr>
            </w:pPr>
          </w:p>
        </w:tc>
        <w:tc>
          <w:tcPr>
            <w:tcW w:w="0" w:type="auto"/>
            <w:shd w:val="clear" w:color="auto" w:fill="auto"/>
            <w:vAlign w:val="bottom"/>
          </w:tcPr>
          <w:p w14:paraId="392BF919" w14:textId="77777777" w:rsidR="00980E5F" w:rsidRDefault="00980E5F">
            <w:pPr>
              <w:rPr>
                <w:rFonts w:ascii="宋体"/>
                <w:vanish/>
              </w:rPr>
            </w:pPr>
          </w:p>
        </w:tc>
      </w:tr>
      <w:tr w:rsidR="00980E5F" w14:paraId="392BF928" w14:textId="77777777">
        <w:trPr>
          <w:hidden/>
        </w:trPr>
        <w:tc>
          <w:tcPr>
            <w:tcW w:w="0" w:type="auto"/>
            <w:gridSpan w:val="3"/>
            <w:shd w:val="clear" w:color="auto" w:fill="auto"/>
            <w:vAlign w:val="bottom"/>
          </w:tcPr>
          <w:p w14:paraId="392BF91B" w14:textId="77777777" w:rsidR="00980E5F" w:rsidRDefault="00980E5F">
            <w:pPr>
              <w:rPr>
                <w:rFonts w:ascii="宋体"/>
                <w:vanish/>
              </w:rPr>
            </w:pPr>
          </w:p>
        </w:tc>
        <w:tc>
          <w:tcPr>
            <w:tcW w:w="0" w:type="auto"/>
            <w:gridSpan w:val="3"/>
            <w:shd w:val="clear" w:color="auto" w:fill="auto"/>
            <w:vAlign w:val="bottom"/>
          </w:tcPr>
          <w:p w14:paraId="392BF91C" w14:textId="77777777" w:rsidR="00980E5F" w:rsidRDefault="00980E5F">
            <w:pPr>
              <w:rPr>
                <w:rFonts w:ascii="宋体"/>
                <w:vanish/>
              </w:rPr>
            </w:pPr>
          </w:p>
        </w:tc>
        <w:tc>
          <w:tcPr>
            <w:tcW w:w="0" w:type="auto"/>
            <w:gridSpan w:val="3"/>
            <w:shd w:val="clear" w:color="auto" w:fill="auto"/>
            <w:vAlign w:val="bottom"/>
          </w:tcPr>
          <w:p w14:paraId="392BF91D" w14:textId="77777777" w:rsidR="00980E5F" w:rsidRDefault="00980E5F">
            <w:pPr>
              <w:rPr>
                <w:rFonts w:ascii="宋体"/>
                <w:vanish/>
              </w:rPr>
            </w:pPr>
          </w:p>
        </w:tc>
        <w:tc>
          <w:tcPr>
            <w:tcW w:w="0" w:type="auto"/>
            <w:gridSpan w:val="3"/>
            <w:shd w:val="clear" w:color="auto" w:fill="auto"/>
            <w:vAlign w:val="bottom"/>
          </w:tcPr>
          <w:p w14:paraId="392BF91E" w14:textId="77777777" w:rsidR="00980E5F" w:rsidRDefault="00980E5F">
            <w:pPr>
              <w:rPr>
                <w:rFonts w:ascii="宋体"/>
                <w:vanish/>
              </w:rPr>
            </w:pPr>
          </w:p>
        </w:tc>
        <w:tc>
          <w:tcPr>
            <w:tcW w:w="0" w:type="auto"/>
            <w:gridSpan w:val="3"/>
            <w:shd w:val="clear" w:color="auto" w:fill="auto"/>
            <w:vAlign w:val="bottom"/>
          </w:tcPr>
          <w:p w14:paraId="392BF91F" w14:textId="77777777" w:rsidR="00980E5F" w:rsidRDefault="00980E5F">
            <w:pPr>
              <w:rPr>
                <w:rFonts w:ascii="宋体"/>
                <w:vanish/>
              </w:rPr>
            </w:pPr>
          </w:p>
        </w:tc>
        <w:tc>
          <w:tcPr>
            <w:tcW w:w="0" w:type="auto"/>
            <w:gridSpan w:val="3"/>
            <w:shd w:val="clear" w:color="auto" w:fill="auto"/>
            <w:vAlign w:val="bottom"/>
          </w:tcPr>
          <w:p w14:paraId="392BF920" w14:textId="77777777" w:rsidR="00980E5F" w:rsidRDefault="00980E5F">
            <w:pPr>
              <w:rPr>
                <w:rFonts w:ascii="宋体"/>
                <w:vanish/>
              </w:rPr>
            </w:pPr>
          </w:p>
        </w:tc>
        <w:tc>
          <w:tcPr>
            <w:tcW w:w="0" w:type="auto"/>
            <w:gridSpan w:val="3"/>
            <w:shd w:val="clear" w:color="auto" w:fill="auto"/>
            <w:vAlign w:val="bottom"/>
          </w:tcPr>
          <w:p w14:paraId="392BF921" w14:textId="77777777" w:rsidR="00980E5F" w:rsidRDefault="00980E5F">
            <w:pPr>
              <w:rPr>
                <w:rFonts w:ascii="宋体"/>
                <w:vanish/>
              </w:rPr>
            </w:pPr>
          </w:p>
        </w:tc>
        <w:tc>
          <w:tcPr>
            <w:tcW w:w="0" w:type="auto"/>
            <w:gridSpan w:val="3"/>
            <w:shd w:val="clear" w:color="auto" w:fill="auto"/>
            <w:vAlign w:val="bottom"/>
          </w:tcPr>
          <w:p w14:paraId="392BF922" w14:textId="77777777" w:rsidR="00980E5F" w:rsidRDefault="00980E5F">
            <w:pPr>
              <w:rPr>
                <w:rFonts w:ascii="宋体"/>
                <w:vanish/>
              </w:rPr>
            </w:pPr>
          </w:p>
        </w:tc>
        <w:tc>
          <w:tcPr>
            <w:tcW w:w="0" w:type="auto"/>
            <w:gridSpan w:val="3"/>
            <w:shd w:val="clear" w:color="auto" w:fill="auto"/>
            <w:vAlign w:val="bottom"/>
          </w:tcPr>
          <w:p w14:paraId="392BF923" w14:textId="77777777" w:rsidR="00980E5F" w:rsidRDefault="00980E5F">
            <w:pPr>
              <w:rPr>
                <w:rFonts w:ascii="宋体"/>
                <w:vanish/>
              </w:rPr>
            </w:pPr>
          </w:p>
        </w:tc>
        <w:tc>
          <w:tcPr>
            <w:tcW w:w="0" w:type="auto"/>
            <w:gridSpan w:val="3"/>
            <w:shd w:val="clear" w:color="auto" w:fill="auto"/>
            <w:vAlign w:val="bottom"/>
          </w:tcPr>
          <w:p w14:paraId="392BF924" w14:textId="77777777" w:rsidR="00980E5F" w:rsidRDefault="00980E5F">
            <w:pPr>
              <w:rPr>
                <w:rFonts w:ascii="宋体"/>
                <w:vanish/>
              </w:rPr>
            </w:pPr>
          </w:p>
        </w:tc>
        <w:tc>
          <w:tcPr>
            <w:tcW w:w="0" w:type="auto"/>
            <w:gridSpan w:val="3"/>
            <w:shd w:val="clear" w:color="auto" w:fill="auto"/>
            <w:vAlign w:val="bottom"/>
          </w:tcPr>
          <w:p w14:paraId="392BF925" w14:textId="77777777" w:rsidR="00980E5F" w:rsidRDefault="00980E5F">
            <w:pPr>
              <w:rPr>
                <w:rFonts w:ascii="宋体"/>
                <w:vanish/>
              </w:rPr>
            </w:pPr>
          </w:p>
        </w:tc>
        <w:tc>
          <w:tcPr>
            <w:tcW w:w="0" w:type="auto"/>
            <w:gridSpan w:val="3"/>
            <w:shd w:val="clear" w:color="auto" w:fill="auto"/>
            <w:vAlign w:val="bottom"/>
          </w:tcPr>
          <w:p w14:paraId="392BF926" w14:textId="77777777" w:rsidR="00980E5F" w:rsidRDefault="00980E5F">
            <w:pPr>
              <w:rPr>
                <w:rFonts w:ascii="宋体"/>
                <w:vanish/>
              </w:rPr>
            </w:pPr>
          </w:p>
        </w:tc>
        <w:tc>
          <w:tcPr>
            <w:tcW w:w="0" w:type="auto"/>
            <w:shd w:val="clear" w:color="auto" w:fill="auto"/>
            <w:vAlign w:val="bottom"/>
          </w:tcPr>
          <w:p w14:paraId="392BF927" w14:textId="77777777" w:rsidR="00980E5F" w:rsidRDefault="00980E5F">
            <w:pPr>
              <w:rPr>
                <w:rFonts w:ascii="宋体"/>
                <w:vanish/>
              </w:rPr>
            </w:pPr>
          </w:p>
        </w:tc>
      </w:tr>
      <w:tr w:rsidR="00980E5F" w14:paraId="392BF936" w14:textId="77777777">
        <w:trPr>
          <w:hidden/>
        </w:trPr>
        <w:tc>
          <w:tcPr>
            <w:tcW w:w="0" w:type="auto"/>
            <w:gridSpan w:val="3"/>
            <w:shd w:val="clear" w:color="auto" w:fill="auto"/>
            <w:vAlign w:val="bottom"/>
          </w:tcPr>
          <w:p w14:paraId="392BF929" w14:textId="77777777" w:rsidR="00980E5F" w:rsidRDefault="00980E5F">
            <w:pPr>
              <w:rPr>
                <w:rFonts w:ascii="宋体"/>
                <w:vanish/>
              </w:rPr>
            </w:pPr>
          </w:p>
        </w:tc>
        <w:tc>
          <w:tcPr>
            <w:tcW w:w="0" w:type="auto"/>
            <w:gridSpan w:val="3"/>
            <w:shd w:val="clear" w:color="auto" w:fill="auto"/>
            <w:vAlign w:val="bottom"/>
          </w:tcPr>
          <w:p w14:paraId="392BF92A" w14:textId="77777777" w:rsidR="00980E5F" w:rsidRDefault="00980E5F">
            <w:pPr>
              <w:rPr>
                <w:rFonts w:ascii="宋体"/>
                <w:vanish/>
              </w:rPr>
            </w:pPr>
          </w:p>
        </w:tc>
        <w:tc>
          <w:tcPr>
            <w:tcW w:w="0" w:type="auto"/>
            <w:gridSpan w:val="3"/>
            <w:shd w:val="clear" w:color="auto" w:fill="auto"/>
            <w:vAlign w:val="bottom"/>
          </w:tcPr>
          <w:p w14:paraId="392BF92B" w14:textId="77777777" w:rsidR="00980E5F" w:rsidRDefault="00980E5F">
            <w:pPr>
              <w:rPr>
                <w:rFonts w:ascii="宋体"/>
                <w:vanish/>
              </w:rPr>
            </w:pPr>
          </w:p>
        </w:tc>
        <w:tc>
          <w:tcPr>
            <w:tcW w:w="0" w:type="auto"/>
            <w:gridSpan w:val="3"/>
            <w:shd w:val="clear" w:color="auto" w:fill="auto"/>
            <w:vAlign w:val="bottom"/>
          </w:tcPr>
          <w:p w14:paraId="392BF92C" w14:textId="77777777" w:rsidR="00980E5F" w:rsidRDefault="00980E5F">
            <w:pPr>
              <w:rPr>
                <w:rFonts w:ascii="宋体"/>
                <w:vanish/>
              </w:rPr>
            </w:pPr>
          </w:p>
        </w:tc>
        <w:tc>
          <w:tcPr>
            <w:tcW w:w="0" w:type="auto"/>
            <w:gridSpan w:val="3"/>
            <w:shd w:val="clear" w:color="auto" w:fill="auto"/>
            <w:vAlign w:val="bottom"/>
          </w:tcPr>
          <w:p w14:paraId="392BF92D" w14:textId="77777777" w:rsidR="00980E5F" w:rsidRDefault="00980E5F">
            <w:pPr>
              <w:rPr>
                <w:rFonts w:ascii="宋体"/>
                <w:vanish/>
              </w:rPr>
            </w:pPr>
          </w:p>
        </w:tc>
        <w:tc>
          <w:tcPr>
            <w:tcW w:w="0" w:type="auto"/>
            <w:gridSpan w:val="3"/>
            <w:shd w:val="clear" w:color="auto" w:fill="auto"/>
            <w:vAlign w:val="bottom"/>
          </w:tcPr>
          <w:p w14:paraId="392BF92E" w14:textId="77777777" w:rsidR="00980E5F" w:rsidRDefault="00980E5F">
            <w:pPr>
              <w:rPr>
                <w:rFonts w:ascii="宋体"/>
                <w:vanish/>
              </w:rPr>
            </w:pPr>
          </w:p>
        </w:tc>
        <w:tc>
          <w:tcPr>
            <w:tcW w:w="0" w:type="auto"/>
            <w:gridSpan w:val="3"/>
            <w:shd w:val="clear" w:color="auto" w:fill="auto"/>
            <w:vAlign w:val="bottom"/>
          </w:tcPr>
          <w:p w14:paraId="392BF92F" w14:textId="77777777" w:rsidR="00980E5F" w:rsidRDefault="00980E5F">
            <w:pPr>
              <w:rPr>
                <w:rFonts w:ascii="宋体"/>
                <w:vanish/>
              </w:rPr>
            </w:pPr>
          </w:p>
        </w:tc>
        <w:tc>
          <w:tcPr>
            <w:tcW w:w="0" w:type="auto"/>
            <w:gridSpan w:val="3"/>
            <w:shd w:val="clear" w:color="auto" w:fill="auto"/>
            <w:vAlign w:val="bottom"/>
          </w:tcPr>
          <w:p w14:paraId="392BF930" w14:textId="77777777" w:rsidR="00980E5F" w:rsidRDefault="00980E5F">
            <w:pPr>
              <w:rPr>
                <w:rFonts w:ascii="宋体"/>
                <w:vanish/>
              </w:rPr>
            </w:pPr>
          </w:p>
        </w:tc>
        <w:tc>
          <w:tcPr>
            <w:tcW w:w="0" w:type="auto"/>
            <w:gridSpan w:val="3"/>
            <w:shd w:val="clear" w:color="auto" w:fill="auto"/>
            <w:vAlign w:val="bottom"/>
          </w:tcPr>
          <w:p w14:paraId="392BF931" w14:textId="77777777" w:rsidR="00980E5F" w:rsidRDefault="00980E5F">
            <w:pPr>
              <w:rPr>
                <w:rFonts w:ascii="宋体"/>
                <w:vanish/>
              </w:rPr>
            </w:pPr>
          </w:p>
        </w:tc>
        <w:tc>
          <w:tcPr>
            <w:tcW w:w="0" w:type="auto"/>
            <w:gridSpan w:val="3"/>
            <w:shd w:val="clear" w:color="auto" w:fill="auto"/>
            <w:vAlign w:val="bottom"/>
          </w:tcPr>
          <w:p w14:paraId="392BF932" w14:textId="77777777" w:rsidR="00980E5F" w:rsidRDefault="00980E5F">
            <w:pPr>
              <w:rPr>
                <w:rFonts w:ascii="宋体"/>
                <w:vanish/>
              </w:rPr>
            </w:pPr>
          </w:p>
        </w:tc>
        <w:tc>
          <w:tcPr>
            <w:tcW w:w="0" w:type="auto"/>
            <w:gridSpan w:val="3"/>
            <w:shd w:val="clear" w:color="auto" w:fill="auto"/>
            <w:vAlign w:val="bottom"/>
          </w:tcPr>
          <w:p w14:paraId="392BF933" w14:textId="77777777" w:rsidR="00980E5F" w:rsidRDefault="00980E5F">
            <w:pPr>
              <w:rPr>
                <w:rFonts w:ascii="宋体"/>
                <w:vanish/>
              </w:rPr>
            </w:pPr>
          </w:p>
        </w:tc>
        <w:tc>
          <w:tcPr>
            <w:tcW w:w="0" w:type="auto"/>
            <w:gridSpan w:val="3"/>
            <w:shd w:val="clear" w:color="auto" w:fill="auto"/>
            <w:vAlign w:val="bottom"/>
          </w:tcPr>
          <w:p w14:paraId="392BF934" w14:textId="77777777" w:rsidR="00980E5F" w:rsidRDefault="00980E5F">
            <w:pPr>
              <w:rPr>
                <w:rFonts w:ascii="宋体"/>
                <w:vanish/>
              </w:rPr>
            </w:pPr>
          </w:p>
        </w:tc>
        <w:tc>
          <w:tcPr>
            <w:tcW w:w="0" w:type="auto"/>
            <w:shd w:val="clear" w:color="auto" w:fill="auto"/>
            <w:vAlign w:val="bottom"/>
          </w:tcPr>
          <w:p w14:paraId="392BF935" w14:textId="77777777" w:rsidR="00980E5F" w:rsidRDefault="00980E5F">
            <w:pPr>
              <w:rPr>
                <w:rFonts w:ascii="宋体"/>
                <w:vanish/>
              </w:rPr>
            </w:pPr>
          </w:p>
        </w:tc>
      </w:tr>
      <w:tr w:rsidR="00980E5F" w14:paraId="392BF944" w14:textId="77777777">
        <w:trPr>
          <w:hidden/>
        </w:trPr>
        <w:tc>
          <w:tcPr>
            <w:tcW w:w="0" w:type="auto"/>
            <w:gridSpan w:val="3"/>
            <w:shd w:val="clear" w:color="auto" w:fill="auto"/>
            <w:vAlign w:val="bottom"/>
          </w:tcPr>
          <w:p w14:paraId="392BF937" w14:textId="77777777" w:rsidR="00980E5F" w:rsidRDefault="00980E5F">
            <w:pPr>
              <w:rPr>
                <w:rFonts w:ascii="宋体"/>
                <w:vanish/>
              </w:rPr>
            </w:pPr>
          </w:p>
        </w:tc>
        <w:tc>
          <w:tcPr>
            <w:tcW w:w="0" w:type="auto"/>
            <w:gridSpan w:val="3"/>
            <w:shd w:val="clear" w:color="auto" w:fill="auto"/>
            <w:vAlign w:val="bottom"/>
          </w:tcPr>
          <w:p w14:paraId="392BF938" w14:textId="77777777" w:rsidR="00980E5F" w:rsidRDefault="00980E5F">
            <w:pPr>
              <w:rPr>
                <w:rFonts w:ascii="宋体"/>
                <w:vanish/>
              </w:rPr>
            </w:pPr>
          </w:p>
        </w:tc>
        <w:tc>
          <w:tcPr>
            <w:tcW w:w="0" w:type="auto"/>
            <w:gridSpan w:val="3"/>
            <w:shd w:val="clear" w:color="auto" w:fill="auto"/>
            <w:vAlign w:val="bottom"/>
          </w:tcPr>
          <w:p w14:paraId="392BF939" w14:textId="77777777" w:rsidR="00980E5F" w:rsidRDefault="00980E5F">
            <w:pPr>
              <w:rPr>
                <w:rFonts w:ascii="宋体"/>
                <w:vanish/>
              </w:rPr>
            </w:pPr>
          </w:p>
        </w:tc>
        <w:tc>
          <w:tcPr>
            <w:tcW w:w="0" w:type="auto"/>
            <w:gridSpan w:val="3"/>
            <w:shd w:val="clear" w:color="auto" w:fill="auto"/>
            <w:vAlign w:val="bottom"/>
          </w:tcPr>
          <w:p w14:paraId="392BF93A" w14:textId="77777777" w:rsidR="00980E5F" w:rsidRDefault="00980E5F">
            <w:pPr>
              <w:rPr>
                <w:rFonts w:ascii="宋体"/>
                <w:vanish/>
              </w:rPr>
            </w:pPr>
          </w:p>
        </w:tc>
        <w:tc>
          <w:tcPr>
            <w:tcW w:w="0" w:type="auto"/>
            <w:gridSpan w:val="3"/>
            <w:shd w:val="clear" w:color="auto" w:fill="auto"/>
            <w:vAlign w:val="bottom"/>
          </w:tcPr>
          <w:p w14:paraId="392BF93B" w14:textId="77777777" w:rsidR="00980E5F" w:rsidRDefault="00980E5F">
            <w:pPr>
              <w:rPr>
                <w:rFonts w:ascii="宋体"/>
                <w:vanish/>
              </w:rPr>
            </w:pPr>
          </w:p>
        </w:tc>
        <w:tc>
          <w:tcPr>
            <w:tcW w:w="0" w:type="auto"/>
            <w:gridSpan w:val="3"/>
            <w:shd w:val="clear" w:color="auto" w:fill="auto"/>
            <w:vAlign w:val="bottom"/>
          </w:tcPr>
          <w:p w14:paraId="392BF93C" w14:textId="77777777" w:rsidR="00980E5F" w:rsidRDefault="00980E5F">
            <w:pPr>
              <w:rPr>
                <w:rFonts w:ascii="宋体"/>
                <w:vanish/>
              </w:rPr>
            </w:pPr>
          </w:p>
        </w:tc>
        <w:tc>
          <w:tcPr>
            <w:tcW w:w="0" w:type="auto"/>
            <w:gridSpan w:val="3"/>
            <w:shd w:val="clear" w:color="auto" w:fill="auto"/>
            <w:vAlign w:val="bottom"/>
          </w:tcPr>
          <w:p w14:paraId="392BF93D" w14:textId="77777777" w:rsidR="00980E5F" w:rsidRDefault="00980E5F">
            <w:pPr>
              <w:rPr>
                <w:rFonts w:ascii="宋体"/>
                <w:vanish/>
              </w:rPr>
            </w:pPr>
          </w:p>
        </w:tc>
        <w:tc>
          <w:tcPr>
            <w:tcW w:w="0" w:type="auto"/>
            <w:gridSpan w:val="3"/>
            <w:shd w:val="clear" w:color="auto" w:fill="auto"/>
            <w:vAlign w:val="bottom"/>
          </w:tcPr>
          <w:p w14:paraId="392BF93E" w14:textId="77777777" w:rsidR="00980E5F" w:rsidRDefault="00980E5F">
            <w:pPr>
              <w:rPr>
                <w:rFonts w:ascii="宋体"/>
                <w:vanish/>
              </w:rPr>
            </w:pPr>
          </w:p>
        </w:tc>
        <w:tc>
          <w:tcPr>
            <w:tcW w:w="0" w:type="auto"/>
            <w:gridSpan w:val="3"/>
            <w:shd w:val="clear" w:color="auto" w:fill="auto"/>
            <w:vAlign w:val="bottom"/>
          </w:tcPr>
          <w:p w14:paraId="392BF93F" w14:textId="77777777" w:rsidR="00980E5F" w:rsidRDefault="00980E5F">
            <w:pPr>
              <w:rPr>
                <w:rFonts w:ascii="宋体"/>
                <w:vanish/>
              </w:rPr>
            </w:pPr>
          </w:p>
        </w:tc>
        <w:tc>
          <w:tcPr>
            <w:tcW w:w="0" w:type="auto"/>
            <w:gridSpan w:val="3"/>
            <w:shd w:val="clear" w:color="auto" w:fill="auto"/>
            <w:vAlign w:val="bottom"/>
          </w:tcPr>
          <w:p w14:paraId="392BF940" w14:textId="77777777" w:rsidR="00980E5F" w:rsidRDefault="00980E5F">
            <w:pPr>
              <w:rPr>
                <w:rFonts w:ascii="宋体"/>
                <w:vanish/>
              </w:rPr>
            </w:pPr>
          </w:p>
        </w:tc>
        <w:tc>
          <w:tcPr>
            <w:tcW w:w="0" w:type="auto"/>
            <w:gridSpan w:val="3"/>
            <w:shd w:val="clear" w:color="auto" w:fill="auto"/>
            <w:vAlign w:val="bottom"/>
          </w:tcPr>
          <w:p w14:paraId="392BF941" w14:textId="77777777" w:rsidR="00980E5F" w:rsidRDefault="00980E5F">
            <w:pPr>
              <w:rPr>
                <w:rFonts w:ascii="宋体"/>
                <w:vanish/>
              </w:rPr>
            </w:pPr>
          </w:p>
        </w:tc>
        <w:tc>
          <w:tcPr>
            <w:tcW w:w="0" w:type="auto"/>
            <w:gridSpan w:val="3"/>
            <w:shd w:val="clear" w:color="auto" w:fill="auto"/>
            <w:vAlign w:val="bottom"/>
          </w:tcPr>
          <w:p w14:paraId="392BF942" w14:textId="77777777" w:rsidR="00980E5F" w:rsidRDefault="00980E5F">
            <w:pPr>
              <w:rPr>
                <w:rFonts w:ascii="宋体"/>
                <w:vanish/>
              </w:rPr>
            </w:pPr>
          </w:p>
        </w:tc>
        <w:tc>
          <w:tcPr>
            <w:tcW w:w="0" w:type="auto"/>
            <w:shd w:val="clear" w:color="auto" w:fill="auto"/>
            <w:vAlign w:val="bottom"/>
          </w:tcPr>
          <w:p w14:paraId="392BF943" w14:textId="77777777" w:rsidR="00980E5F" w:rsidRDefault="00980E5F">
            <w:pPr>
              <w:rPr>
                <w:rFonts w:ascii="宋体"/>
                <w:vanish/>
              </w:rPr>
            </w:pPr>
          </w:p>
        </w:tc>
      </w:tr>
      <w:tr w:rsidR="00980E5F" w14:paraId="392BF952" w14:textId="77777777">
        <w:trPr>
          <w:hidden/>
        </w:trPr>
        <w:tc>
          <w:tcPr>
            <w:tcW w:w="0" w:type="auto"/>
            <w:gridSpan w:val="3"/>
            <w:shd w:val="clear" w:color="auto" w:fill="auto"/>
            <w:vAlign w:val="bottom"/>
          </w:tcPr>
          <w:p w14:paraId="392BF945" w14:textId="77777777" w:rsidR="00980E5F" w:rsidRDefault="00980E5F">
            <w:pPr>
              <w:rPr>
                <w:rFonts w:ascii="宋体"/>
                <w:vanish/>
              </w:rPr>
            </w:pPr>
          </w:p>
        </w:tc>
        <w:tc>
          <w:tcPr>
            <w:tcW w:w="0" w:type="auto"/>
            <w:gridSpan w:val="3"/>
            <w:shd w:val="clear" w:color="auto" w:fill="auto"/>
            <w:vAlign w:val="bottom"/>
          </w:tcPr>
          <w:p w14:paraId="392BF946" w14:textId="77777777" w:rsidR="00980E5F" w:rsidRDefault="00980E5F">
            <w:pPr>
              <w:rPr>
                <w:rFonts w:ascii="宋体"/>
                <w:vanish/>
              </w:rPr>
            </w:pPr>
          </w:p>
        </w:tc>
        <w:tc>
          <w:tcPr>
            <w:tcW w:w="0" w:type="auto"/>
            <w:gridSpan w:val="3"/>
            <w:shd w:val="clear" w:color="auto" w:fill="auto"/>
            <w:vAlign w:val="bottom"/>
          </w:tcPr>
          <w:p w14:paraId="392BF947" w14:textId="77777777" w:rsidR="00980E5F" w:rsidRDefault="00980E5F">
            <w:pPr>
              <w:rPr>
                <w:rFonts w:ascii="宋体"/>
                <w:vanish/>
              </w:rPr>
            </w:pPr>
          </w:p>
        </w:tc>
        <w:tc>
          <w:tcPr>
            <w:tcW w:w="0" w:type="auto"/>
            <w:gridSpan w:val="3"/>
            <w:shd w:val="clear" w:color="auto" w:fill="auto"/>
            <w:vAlign w:val="bottom"/>
          </w:tcPr>
          <w:p w14:paraId="392BF948" w14:textId="77777777" w:rsidR="00980E5F" w:rsidRDefault="00980E5F">
            <w:pPr>
              <w:rPr>
                <w:rFonts w:ascii="宋体"/>
                <w:vanish/>
              </w:rPr>
            </w:pPr>
          </w:p>
        </w:tc>
        <w:tc>
          <w:tcPr>
            <w:tcW w:w="0" w:type="auto"/>
            <w:gridSpan w:val="3"/>
            <w:shd w:val="clear" w:color="auto" w:fill="auto"/>
            <w:vAlign w:val="bottom"/>
          </w:tcPr>
          <w:p w14:paraId="392BF949" w14:textId="77777777" w:rsidR="00980E5F" w:rsidRDefault="00980E5F">
            <w:pPr>
              <w:rPr>
                <w:rFonts w:ascii="宋体"/>
                <w:vanish/>
              </w:rPr>
            </w:pPr>
          </w:p>
        </w:tc>
        <w:tc>
          <w:tcPr>
            <w:tcW w:w="0" w:type="auto"/>
            <w:gridSpan w:val="3"/>
            <w:shd w:val="clear" w:color="auto" w:fill="auto"/>
            <w:vAlign w:val="bottom"/>
          </w:tcPr>
          <w:p w14:paraId="392BF94A" w14:textId="77777777" w:rsidR="00980E5F" w:rsidRDefault="00980E5F">
            <w:pPr>
              <w:rPr>
                <w:rFonts w:ascii="宋体"/>
                <w:vanish/>
              </w:rPr>
            </w:pPr>
          </w:p>
        </w:tc>
        <w:tc>
          <w:tcPr>
            <w:tcW w:w="0" w:type="auto"/>
            <w:gridSpan w:val="3"/>
            <w:shd w:val="clear" w:color="auto" w:fill="auto"/>
            <w:vAlign w:val="bottom"/>
          </w:tcPr>
          <w:p w14:paraId="392BF94B" w14:textId="77777777" w:rsidR="00980E5F" w:rsidRDefault="00980E5F">
            <w:pPr>
              <w:rPr>
                <w:rFonts w:ascii="宋体"/>
                <w:vanish/>
              </w:rPr>
            </w:pPr>
          </w:p>
        </w:tc>
        <w:tc>
          <w:tcPr>
            <w:tcW w:w="0" w:type="auto"/>
            <w:gridSpan w:val="3"/>
            <w:shd w:val="clear" w:color="auto" w:fill="auto"/>
            <w:vAlign w:val="bottom"/>
          </w:tcPr>
          <w:p w14:paraId="392BF94C" w14:textId="77777777" w:rsidR="00980E5F" w:rsidRDefault="00980E5F">
            <w:pPr>
              <w:rPr>
                <w:rFonts w:ascii="宋体"/>
                <w:vanish/>
              </w:rPr>
            </w:pPr>
          </w:p>
        </w:tc>
        <w:tc>
          <w:tcPr>
            <w:tcW w:w="0" w:type="auto"/>
            <w:gridSpan w:val="3"/>
            <w:shd w:val="clear" w:color="auto" w:fill="auto"/>
            <w:vAlign w:val="bottom"/>
          </w:tcPr>
          <w:p w14:paraId="392BF94D" w14:textId="77777777" w:rsidR="00980E5F" w:rsidRDefault="00980E5F">
            <w:pPr>
              <w:rPr>
                <w:rFonts w:ascii="宋体"/>
                <w:vanish/>
              </w:rPr>
            </w:pPr>
          </w:p>
        </w:tc>
        <w:tc>
          <w:tcPr>
            <w:tcW w:w="0" w:type="auto"/>
            <w:gridSpan w:val="3"/>
            <w:shd w:val="clear" w:color="auto" w:fill="auto"/>
            <w:vAlign w:val="bottom"/>
          </w:tcPr>
          <w:p w14:paraId="392BF94E" w14:textId="77777777" w:rsidR="00980E5F" w:rsidRDefault="00980E5F">
            <w:pPr>
              <w:rPr>
                <w:rFonts w:ascii="宋体"/>
                <w:vanish/>
              </w:rPr>
            </w:pPr>
          </w:p>
        </w:tc>
        <w:tc>
          <w:tcPr>
            <w:tcW w:w="0" w:type="auto"/>
            <w:gridSpan w:val="3"/>
            <w:shd w:val="clear" w:color="auto" w:fill="auto"/>
            <w:vAlign w:val="bottom"/>
          </w:tcPr>
          <w:p w14:paraId="392BF94F" w14:textId="77777777" w:rsidR="00980E5F" w:rsidRDefault="00980E5F">
            <w:pPr>
              <w:rPr>
                <w:rFonts w:ascii="宋体"/>
                <w:vanish/>
              </w:rPr>
            </w:pPr>
          </w:p>
        </w:tc>
        <w:tc>
          <w:tcPr>
            <w:tcW w:w="0" w:type="auto"/>
            <w:gridSpan w:val="3"/>
            <w:shd w:val="clear" w:color="auto" w:fill="auto"/>
            <w:vAlign w:val="bottom"/>
          </w:tcPr>
          <w:p w14:paraId="392BF950" w14:textId="77777777" w:rsidR="00980E5F" w:rsidRDefault="00980E5F">
            <w:pPr>
              <w:rPr>
                <w:rFonts w:ascii="宋体"/>
                <w:vanish/>
              </w:rPr>
            </w:pPr>
          </w:p>
        </w:tc>
        <w:tc>
          <w:tcPr>
            <w:tcW w:w="0" w:type="auto"/>
            <w:shd w:val="clear" w:color="auto" w:fill="auto"/>
            <w:vAlign w:val="bottom"/>
          </w:tcPr>
          <w:p w14:paraId="392BF951" w14:textId="77777777" w:rsidR="00980E5F" w:rsidRDefault="00980E5F">
            <w:pPr>
              <w:rPr>
                <w:rFonts w:ascii="宋体"/>
                <w:vanish/>
              </w:rPr>
            </w:pPr>
          </w:p>
        </w:tc>
      </w:tr>
      <w:tr w:rsidR="00980E5F" w14:paraId="392BF960" w14:textId="77777777">
        <w:trPr>
          <w:hidden/>
        </w:trPr>
        <w:tc>
          <w:tcPr>
            <w:tcW w:w="0" w:type="auto"/>
            <w:gridSpan w:val="3"/>
            <w:shd w:val="clear" w:color="auto" w:fill="auto"/>
            <w:vAlign w:val="bottom"/>
          </w:tcPr>
          <w:p w14:paraId="392BF953" w14:textId="77777777" w:rsidR="00980E5F" w:rsidRDefault="00980E5F">
            <w:pPr>
              <w:rPr>
                <w:rFonts w:ascii="宋体"/>
                <w:vanish/>
              </w:rPr>
            </w:pPr>
          </w:p>
        </w:tc>
        <w:tc>
          <w:tcPr>
            <w:tcW w:w="0" w:type="auto"/>
            <w:gridSpan w:val="3"/>
            <w:shd w:val="clear" w:color="auto" w:fill="auto"/>
            <w:vAlign w:val="bottom"/>
          </w:tcPr>
          <w:p w14:paraId="392BF954" w14:textId="77777777" w:rsidR="00980E5F" w:rsidRDefault="00980E5F">
            <w:pPr>
              <w:rPr>
                <w:rFonts w:ascii="宋体"/>
                <w:vanish/>
              </w:rPr>
            </w:pPr>
          </w:p>
        </w:tc>
        <w:tc>
          <w:tcPr>
            <w:tcW w:w="0" w:type="auto"/>
            <w:gridSpan w:val="3"/>
            <w:shd w:val="clear" w:color="auto" w:fill="auto"/>
            <w:vAlign w:val="bottom"/>
          </w:tcPr>
          <w:p w14:paraId="392BF955" w14:textId="77777777" w:rsidR="00980E5F" w:rsidRDefault="00980E5F">
            <w:pPr>
              <w:rPr>
                <w:rFonts w:ascii="宋体"/>
                <w:vanish/>
              </w:rPr>
            </w:pPr>
          </w:p>
        </w:tc>
        <w:tc>
          <w:tcPr>
            <w:tcW w:w="0" w:type="auto"/>
            <w:gridSpan w:val="3"/>
            <w:shd w:val="clear" w:color="auto" w:fill="auto"/>
            <w:vAlign w:val="bottom"/>
          </w:tcPr>
          <w:p w14:paraId="392BF956" w14:textId="77777777" w:rsidR="00980E5F" w:rsidRDefault="00980E5F">
            <w:pPr>
              <w:rPr>
                <w:rFonts w:ascii="宋体"/>
                <w:vanish/>
              </w:rPr>
            </w:pPr>
          </w:p>
        </w:tc>
        <w:tc>
          <w:tcPr>
            <w:tcW w:w="0" w:type="auto"/>
            <w:gridSpan w:val="3"/>
            <w:shd w:val="clear" w:color="auto" w:fill="auto"/>
            <w:vAlign w:val="bottom"/>
          </w:tcPr>
          <w:p w14:paraId="392BF957" w14:textId="77777777" w:rsidR="00980E5F" w:rsidRDefault="00980E5F">
            <w:pPr>
              <w:rPr>
                <w:rFonts w:ascii="宋体"/>
                <w:vanish/>
              </w:rPr>
            </w:pPr>
          </w:p>
        </w:tc>
        <w:tc>
          <w:tcPr>
            <w:tcW w:w="0" w:type="auto"/>
            <w:gridSpan w:val="3"/>
            <w:shd w:val="clear" w:color="auto" w:fill="auto"/>
            <w:vAlign w:val="bottom"/>
          </w:tcPr>
          <w:p w14:paraId="392BF958" w14:textId="77777777" w:rsidR="00980E5F" w:rsidRDefault="00980E5F">
            <w:pPr>
              <w:rPr>
                <w:rFonts w:ascii="宋体"/>
                <w:vanish/>
              </w:rPr>
            </w:pPr>
          </w:p>
        </w:tc>
        <w:tc>
          <w:tcPr>
            <w:tcW w:w="0" w:type="auto"/>
            <w:gridSpan w:val="3"/>
            <w:shd w:val="clear" w:color="auto" w:fill="auto"/>
            <w:vAlign w:val="bottom"/>
          </w:tcPr>
          <w:p w14:paraId="392BF959" w14:textId="77777777" w:rsidR="00980E5F" w:rsidRDefault="00980E5F">
            <w:pPr>
              <w:rPr>
                <w:rFonts w:ascii="宋体"/>
                <w:vanish/>
              </w:rPr>
            </w:pPr>
          </w:p>
        </w:tc>
        <w:tc>
          <w:tcPr>
            <w:tcW w:w="0" w:type="auto"/>
            <w:gridSpan w:val="3"/>
            <w:shd w:val="clear" w:color="auto" w:fill="auto"/>
            <w:vAlign w:val="bottom"/>
          </w:tcPr>
          <w:p w14:paraId="392BF95A" w14:textId="77777777" w:rsidR="00980E5F" w:rsidRDefault="00980E5F">
            <w:pPr>
              <w:rPr>
                <w:rFonts w:ascii="宋体"/>
                <w:vanish/>
              </w:rPr>
            </w:pPr>
          </w:p>
        </w:tc>
        <w:tc>
          <w:tcPr>
            <w:tcW w:w="0" w:type="auto"/>
            <w:gridSpan w:val="3"/>
            <w:shd w:val="clear" w:color="auto" w:fill="auto"/>
            <w:vAlign w:val="bottom"/>
          </w:tcPr>
          <w:p w14:paraId="392BF95B" w14:textId="77777777" w:rsidR="00980E5F" w:rsidRDefault="00980E5F">
            <w:pPr>
              <w:rPr>
                <w:rFonts w:ascii="宋体"/>
                <w:vanish/>
              </w:rPr>
            </w:pPr>
          </w:p>
        </w:tc>
        <w:tc>
          <w:tcPr>
            <w:tcW w:w="0" w:type="auto"/>
            <w:gridSpan w:val="3"/>
            <w:shd w:val="clear" w:color="auto" w:fill="auto"/>
            <w:vAlign w:val="bottom"/>
          </w:tcPr>
          <w:p w14:paraId="392BF95C" w14:textId="77777777" w:rsidR="00980E5F" w:rsidRDefault="00980E5F">
            <w:pPr>
              <w:rPr>
                <w:rFonts w:ascii="宋体"/>
                <w:vanish/>
              </w:rPr>
            </w:pPr>
          </w:p>
        </w:tc>
        <w:tc>
          <w:tcPr>
            <w:tcW w:w="0" w:type="auto"/>
            <w:gridSpan w:val="3"/>
            <w:shd w:val="clear" w:color="auto" w:fill="auto"/>
            <w:vAlign w:val="bottom"/>
          </w:tcPr>
          <w:p w14:paraId="392BF95D" w14:textId="77777777" w:rsidR="00980E5F" w:rsidRDefault="00980E5F">
            <w:pPr>
              <w:rPr>
                <w:rFonts w:ascii="宋体"/>
                <w:vanish/>
              </w:rPr>
            </w:pPr>
          </w:p>
        </w:tc>
        <w:tc>
          <w:tcPr>
            <w:tcW w:w="0" w:type="auto"/>
            <w:gridSpan w:val="3"/>
            <w:shd w:val="clear" w:color="auto" w:fill="auto"/>
            <w:vAlign w:val="bottom"/>
          </w:tcPr>
          <w:p w14:paraId="392BF95E" w14:textId="77777777" w:rsidR="00980E5F" w:rsidRDefault="00980E5F">
            <w:pPr>
              <w:rPr>
                <w:rFonts w:ascii="宋体"/>
                <w:vanish/>
              </w:rPr>
            </w:pPr>
          </w:p>
        </w:tc>
        <w:tc>
          <w:tcPr>
            <w:tcW w:w="0" w:type="auto"/>
            <w:shd w:val="clear" w:color="auto" w:fill="auto"/>
            <w:vAlign w:val="bottom"/>
          </w:tcPr>
          <w:p w14:paraId="392BF95F" w14:textId="77777777" w:rsidR="00980E5F" w:rsidRDefault="00980E5F">
            <w:pPr>
              <w:rPr>
                <w:rFonts w:ascii="宋体"/>
                <w:vanish/>
              </w:rPr>
            </w:pPr>
          </w:p>
        </w:tc>
      </w:tr>
      <w:tr w:rsidR="00980E5F" w14:paraId="392BF96E" w14:textId="77777777">
        <w:trPr>
          <w:hidden/>
        </w:trPr>
        <w:tc>
          <w:tcPr>
            <w:tcW w:w="0" w:type="auto"/>
            <w:gridSpan w:val="3"/>
            <w:shd w:val="clear" w:color="auto" w:fill="auto"/>
            <w:vAlign w:val="bottom"/>
          </w:tcPr>
          <w:p w14:paraId="392BF961" w14:textId="77777777" w:rsidR="00980E5F" w:rsidRDefault="00980E5F">
            <w:pPr>
              <w:rPr>
                <w:rFonts w:ascii="宋体"/>
                <w:vanish/>
              </w:rPr>
            </w:pPr>
          </w:p>
        </w:tc>
        <w:tc>
          <w:tcPr>
            <w:tcW w:w="0" w:type="auto"/>
            <w:gridSpan w:val="3"/>
            <w:shd w:val="clear" w:color="auto" w:fill="auto"/>
            <w:vAlign w:val="bottom"/>
          </w:tcPr>
          <w:p w14:paraId="392BF962" w14:textId="77777777" w:rsidR="00980E5F" w:rsidRDefault="00980E5F">
            <w:pPr>
              <w:rPr>
                <w:rFonts w:ascii="宋体"/>
                <w:vanish/>
              </w:rPr>
            </w:pPr>
          </w:p>
        </w:tc>
        <w:tc>
          <w:tcPr>
            <w:tcW w:w="0" w:type="auto"/>
            <w:gridSpan w:val="3"/>
            <w:shd w:val="clear" w:color="auto" w:fill="auto"/>
            <w:vAlign w:val="bottom"/>
          </w:tcPr>
          <w:p w14:paraId="392BF963" w14:textId="77777777" w:rsidR="00980E5F" w:rsidRDefault="00980E5F">
            <w:pPr>
              <w:rPr>
                <w:rFonts w:ascii="宋体"/>
                <w:vanish/>
              </w:rPr>
            </w:pPr>
          </w:p>
        </w:tc>
        <w:tc>
          <w:tcPr>
            <w:tcW w:w="0" w:type="auto"/>
            <w:gridSpan w:val="3"/>
            <w:shd w:val="clear" w:color="auto" w:fill="auto"/>
            <w:vAlign w:val="bottom"/>
          </w:tcPr>
          <w:p w14:paraId="392BF964" w14:textId="77777777" w:rsidR="00980E5F" w:rsidRDefault="00980E5F">
            <w:pPr>
              <w:rPr>
                <w:rFonts w:ascii="宋体"/>
                <w:vanish/>
              </w:rPr>
            </w:pPr>
          </w:p>
        </w:tc>
        <w:tc>
          <w:tcPr>
            <w:tcW w:w="0" w:type="auto"/>
            <w:gridSpan w:val="3"/>
            <w:shd w:val="clear" w:color="auto" w:fill="auto"/>
            <w:vAlign w:val="bottom"/>
          </w:tcPr>
          <w:p w14:paraId="392BF965" w14:textId="77777777" w:rsidR="00980E5F" w:rsidRDefault="00980E5F">
            <w:pPr>
              <w:rPr>
                <w:rFonts w:ascii="宋体"/>
                <w:vanish/>
              </w:rPr>
            </w:pPr>
          </w:p>
        </w:tc>
        <w:tc>
          <w:tcPr>
            <w:tcW w:w="0" w:type="auto"/>
            <w:gridSpan w:val="3"/>
            <w:shd w:val="clear" w:color="auto" w:fill="auto"/>
            <w:vAlign w:val="bottom"/>
          </w:tcPr>
          <w:p w14:paraId="392BF966" w14:textId="77777777" w:rsidR="00980E5F" w:rsidRDefault="00980E5F">
            <w:pPr>
              <w:rPr>
                <w:rFonts w:ascii="宋体"/>
                <w:vanish/>
              </w:rPr>
            </w:pPr>
          </w:p>
        </w:tc>
        <w:tc>
          <w:tcPr>
            <w:tcW w:w="0" w:type="auto"/>
            <w:gridSpan w:val="3"/>
            <w:shd w:val="clear" w:color="auto" w:fill="auto"/>
            <w:vAlign w:val="bottom"/>
          </w:tcPr>
          <w:p w14:paraId="392BF967" w14:textId="77777777" w:rsidR="00980E5F" w:rsidRDefault="00980E5F">
            <w:pPr>
              <w:rPr>
                <w:rFonts w:ascii="宋体"/>
                <w:vanish/>
              </w:rPr>
            </w:pPr>
          </w:p>
        </w:tc>
        <w:tc>
          <w:tcPr>
            <w:tcW w:w="0" w:type="auto"/>
            <w:gridSpan w:val="3"/>
            <w:shd w:val="clear" w:color="auto" w:fill="auto"/>
            <w:vAlign w:val="bottom"/>
          </w:tcPr>
          <w:p w14:paraId="392BF968" w14:textId="77777777" w:rsidR="00980E5F" w:rsidRDefault="00980E5F">
            <w:pPr>
              <w:rPr>
                <w:rFonts w:ascii="宋体"/>
                <w:vanish/>
              </w:rPr>
            </w:pPr>
          </w:p>
        </w:tc>
        <w:tc>
          <w:tcPr>
            <w:tcW w:w="0" w:type="auto"/>
            <w:gridSpan w:val="3"/>
            <w:shd w:val="clear" w:color="auto" w:fill="auto"/>
            <w:vAlign w:val="bottom"/>
          </w:tcPr>
          <w:p w14:paraId="392BF969" w14:textId="77777777" w:rsidR="00980E5F" w:rsidRDefault="00980E5F">
            <w:pPr>
              <w:rPr>
                <w:rFonts w:ascii="宋体"/>
                <w:vanish/>
              </w:rPr>
            </w:pPr>
          </w:p>
        </w:tc>
        <w:tc>
          <w:tcPr>
            <w:tcW w:w="0" w:type="auto"/>
            <w:gridSpan w:val="3"/>
            <w:shd w:val="clear" w:color="auto" w:fill="auto"/>
            <w:vAlign w:val="bottom"/>
          </w:tcPr>
          <w:p w14:paraId="392BF96A" w14:textId="77777777" w:rsidR="00980E5F" w:rsidRDefault="00980E5F">
            <w:pPr>
              <w:rPr>
                <w:rFonts w:ascii="宋体"/>
                <w:vanish/>
              </w:rPr>
            </w:pPr>
          </w:p>
        </w:tc>
        <w:tc>
          <w:tcPr>
            <w:tcW w:w="0" w:type="auto"/>
            <w:gridSpan w:val="3"/>
            <w:shd w:val="clear" w:color="auto" w:fill="auto"/>
            <w:vAlign w:val="bottom"/>
          </w:tcPr>
          <w:p w14:paraId="392BF96B" w14:textId="77777777" w:rsidR="00980E5F" w:rsidRDefault="00980E5F">
            <w:pPr>
              <w:rPr>
                <w:rFonts w:ascii="宋体"/>
                <w:vanish/>
              </w:rPr>
            </w:pPr>
          </w:p>
        </w:tc>
        <w:tc>
          <w:tcPr>
            <w:tcW w:w="0" w:type="auto"/>
            <w:gridSpan w:val="3"/>
            <w:shd w:val="clear" w:color="auto" w:fill="auto"/>
            <w:vAlign w:val="bottom"/>
          </w:tcPr>
          <w:p w14:paraId="392BF96C" w14:textId="77777777" w:rsidR="00980E5F" w:rsidRDefault="00980E5F">
            <w:pPr>
              <w:rPr>
                <w:rFonts w:ascii="宋体"/>
                <w:vanish/>
              </w:rPr>
            </w:pPr>
          </w:p>
        </w:tc>
        <w:tc>
          <w:tcPr>
            <w:tcW w:w="0" w:type="auto"/>
            <w:shd w:val="clear" w:color="auto" w:fill="auto"/>
            <w:vAlign w:val="bottom"/>
          </w:tcPr>
          <w:p w14:paraId="392BF96D" w14:textId="77777777" w:rsidR="00980E5F" w:rsidRDefault="00980E5F">
            <w:pPr>
              <w:rPr>
                <w:rFonts w:ascii="宋体"/>
                <w:vanish/>
              </w:rPr>
            </w:pPr>
          </w:p>
        </w:tc>
      </w:tr>
      <w:tr w:rsidR="00980E5F" w14:paraId="392BF97C" w14:textId="77777777">
        <w:trPr>
          <w:hidden/>
        </w:trPr>
        <w:tc>
          <w:tcPr>
            <w:tcW w:w="0" w:type="auto"/>
            <w:gridSpan w:val="3"/>
            <w:shd w:val="clear" w:color="auto" w:fill="auto"/>
            <w:vAlign w:val="bottom"/>
          </w:tcPr>
          <w:p w14:paraId="392BF96F" w14:textId="77777777" w:rsidR="00980E5F" w:rsidRDefault="00980E5F">
            <w:pPr>
              <w:rPr>
                <w:rFonts w:ascii="宋体"/>
                <w:vanish/>
              </w:rPr>
            </w:pPr>
          </w:p>
        </w:tc>
        <w:tc>
          <w:tcPr>
            <w:tcW w:w="0" w:type="auto"/>
            <w:gridSpan w:val="3"/>
            <w:shd w:val="clear" w:color="auto" w:fill="auto"/>
            <w:vAlign w:val="bottom"/>
          </w:tcPr>
          <w:p w14:paraId="392BF970" w14:textId="77777777" w:rsidR="00980E5F" w:rsidRDefault="00980E5F">
            <w:pPr>
              <w:rPr>
                <w:rFonts w:ascii="宋体"/>
                <w:vanish/>
              </w:rPr>
            </w:pPr>
          </w:p>
        </w:tc>
        <w:tc>
          <w:tcPr>
            <w:tcW w:w="0" w:type="auto"/>
            <w:gridSpan w:val="3"/>
            <w:shd w:val="clear" w:color="auto" w:fill="auto"/>
            <w:vAlign w:val="bottom"/>
          </w:tcPr>
          <w:p w14:paraId="392BF971" w14:textId="77777777" w:rsidR="00980E5F" w:rsidRDefault="00980E5F">
            <w:pPr>
              <w:rPr>
                <w:rFonts w:ascii="宋体"/>
                <w:vanish/>
              </w:rPr>
            </w:pPr>
          </w:p>
        </w:tc>
        <w:tc>
          <w:tcPr>
            <w:tcW w:w="0" w:type="auto"/>
            <w:gridSpan w:val="3"/>
            <w:shd w:val="clear" w:color="auto" w:fill="auto"/>
            <w:vAlign w:val="bottom"/>
          </w:tcPr>
          <w:p w14:paraId="392BF972" w14:textId="77777777" w:rsidR="00980E5F" w:rsidRDefault="00980E5F">
            <w:pPr>
              <w:rPr>
                <w:rFonts w:ascii="宋体"/>
                <w:vanish/>
              </w:rPr>
            </w:pPr>
          </w:p>
        </w:tc>
        <w:tc>
          <w:tcPr>
            <w:tcW w:w="0" w:type="auto"/>
            <w:gridSpan w:val="3"/>
            <w:shd w:val="clear" w:color="auto" w:fill="auto"/>
            <w:vAlign w:val="bottom"/>
          </w:tcPr>
          <w:p w14:paraId="392BF973" w14:textId="77777777" w:rsidR="00980E5F" w:rsidRDefault="00980E5F">
            <w:pPr>
              <w:rPr>
                <w:rFonts w:ascii="宋体"/>
                <w:vanish/>
              </w:rPr>
            </w:pPr>
          </w:p>
        </w:tc>
        <w:tc>
          <w:tcPr>
            <w:tcW w:w="0" w:type="auto"/>
            <w:gridSpan w:val="3"/>
            <w:shd w:val="clear" w:color="auto" w:fill="auto"/>
            <w:vAlign w:val="bottom"/>
          </w:tcPr>
          <w:p w14:paraId="392BF974" w14:textId="77777777" w:rsidR="00980E5F" w:rsidRDefault="00980E5F">
            <w:pPr>
              <w:rPr>
                <w:rFonts w:ascii="宋体"/>
                <w:vanish/>
              </w:rPr>
            </w:pPr>
          </w:p>
        </w:tc>
        <w:tc>
          <w:tcPr>
            <w:tcW w:w="0" w:type="auto"/>
            <w:gridSpan w:val="3"/>
            <w:shd w:val="clear" w:color="auto" w:fill="auto"/>
            <w:vAlign w:val="bottom"/>
          </w:tcPr>
          <w:p w14:paraId="392BF975" w14:textId="77777777" w:rsidR="00980E5F" w:rsidRDefault="00980E5F">
            <w:pPr>
              <w:rPr>
                <w:rFonts w:ascii="宋体"/>
                <w:vanish/>
              </w:rPr>
            </w:pPr>
          </w:p>
        </w:tc>
        <w:tc>
          <w:tcPr>
            <w:tcW w:w="0" w:type="auto"/>
            <w:gridSpan w:val="3"/>
            <w:shd w:val="clear" w:color="auto" w:fill="auto"/>
            <w:vAlign w:val="bottom"/>
          </w:tcPr>
          <w:p w14:paraId="392BF976" w14:textId="77777777" w:rsidR="00980E5F" w:rsidRDefault="00980E5F">
            <w:pPr>
              <w:rPr>
                <w:rFonts w:ascii="宋体"/>
                <w:vanish/>
              </w:rPr>
            </w:pPr>
          </w:p>
        </w:tc>
        <w:tc>
          <w:tcPr>
            <w:tcW w:w="0" w:type="auto"/>
            <w:gridSpan w:val="3"/>
            <w:shd w:val="clear" w:color="auto" w:fill="auto"/>
            <w:vAlign w:val="bottom"/>
          </w:tcPr>
          <w:p w14:paraId="392BF977" w14:textId="77777777" w:rsidR="00980E5F" w:rsidRDefault="00980E5F">
            <w:pPr>
              <w:rPr>
                <w:rFonts w:ascii="宋体"/>
                <w:vanish/>
              </w:rPr>
            </w:pPr>
          </w:p>
        </w:tc>
        <w:tc>
          <w:tcPr>
            <w:tcW w:w="0" w:type="auto"/>
            <w:gridSpan w:val="3"/>
            <w:shd w:val="clear" w:color="auto" w:fill="auto"/>
            <w:vAlign w:val="bottom"/>
          </w:tcPr>
          <w:p w14:paraId="392BF978" w14:textId="77777777" w:rsidR="00980E5F" w:rsidRDefault="00980E5F">
            <w:pPr>
              <w:rPr>
                <w:rFonts w:ascii="宋体"/>
                <w:vanish/>
              </w:rPr>
            </w:pPr>
          </w:p>
        </w:tc>
        <w:tc>
          <w:tcPr>
            <w:tcW w:w="0" w:type="auto"/>
            <w:gridSpan w:val="3"/>
            <w:shd w:val="clear" w:color="auto" w:fill="auto"/>
            <w:vAlign w:val="bottom"/>
          </w:tcPr>
          <w:p w14:paraId="392BF979" w14:textId="77777777" w:rsidR="00980E5F" w:rsidRDefault="00980E5F">
            <w:pPr>
              <w:rPr>
                <w:rFonts w:ascii="宋体"/>
                <w:vanish/>
              </w:rPr>
            </w:pPr>
          </w:p>
        </w:tc>
        <w:tc>
          <w:tcPr>
            <w:tcW w:w="0" w:type="auto"/>
            <w:gridSpan w:val="3"/>
            <w:shd w:val="clear" w:color="auto" w:fill="auto"/>
            <w:vAlign w:val="bottom"/>
          </w:tcPr>
          <w:p w14:paraId="392BF97A" w14:textId="77777777" w:rsidR="00980E5F" w:rsidRDefault="00980E5F">
            <w:pPr>
              <w:rPr>
                <w:rFonts w:ascii="宋体"/>
                <w:vanish/>
              </w:rPr>
            </w:pPr>
          </w:p>
        </w:tc>
        <w:tc>
          <w:tcPr>
            <w:tcW w:w="0" w:type="auto"/>
            <w:shd w:val="clear" w:color="auto" w:fill="auto"/>
            <w:vAlign w:val="bottom"/>
          </w:tcPr>
          <w:p w14:paraId="392BF97B" w14:textId="77777777" w:rsidR="00980E5F" w:rsidRDefault="00980E5F">
            <w:pPr>
              <w:rPr>
                <w:rFonts w:ascii="宋体"/>
                <w:vanish/>
              </w:rPr>
            </w:pPr>
          </w:p>
        </w:tc>
      </w:tr>
      <w:tr w:rsidR="00980E5F" w14:paraId="392BF98A" w14:textId="77777777">
        <w:trPr>
          <w:hidden/>
        </w:trPr>
        <w:tc>
          <w:tcPr>
            <w:tcW w:w="0" w:type="auto"/>
            <w:gridSpan w:val="3"/>
            <w:shd w:val="clear" w:color="auto" w:fill="auto"/>
            <w:vAlign w:val="bottom"/>
          </w:tcPr>
          <w:p w14:paraId="392BF97D" w14:textId="77777777" w:rsidR="00980E5F" w:rsidRDefault="00980E5F">
            <w:pPr>
              <w:rPr>
                <w:rFonts w:ascii="宋体"/>
                <w:vanish/>
              </w:rPr>
            </w:pPr>
          </w:p>
        </w:tc>
        <w:tc>
          <w:tcPr>
            <w:tcW w:w="0" w:type="auto"/>
            <w:gridSpan w:val="3"/>
            <w:shd w:val="clear" w:color="auto" w:fill="auto"/>
            <w:vAlign w:val="bottom"/>
          </w:tcPr>
          <w:p w14:paraId="392BF97E" w14:textId="77777777" w:rsidR="00980E5F" w:rsidRDefault="00980E5F">
            <w:pPr>
              <w:rPr>
                <w:rFonts w:ascii="宋体"/>
                <w:vanish/>
              </w:rPr>
            </w:pPr>
          </w:p>
        </w:tc>
        <w:tc>
          <w:tcPr>
            <w:tcW w:w="0" w:type="auto"/>
            <w:gridSpan w:val="3"/>
            <w:shd w:val="clear" w:color="auto" w:fill="auto"/>
            <w:vAlign w:val="bottom"/>
          </w:tcPr>
          <w:p w14:paraId="392BF97F" w14:textId="77777777" w:rsidR="00980E5F" w:rsidRDefault="00980E5F">
            <w:pPr>
              <w:rPr>
                <w:rFonts w:ascii="宋体"/>
                <w:vanish/>
              </w:rPr>
            </w:pPr>
          </w:p>
        </w:tc>
        <w:tc>
          <w:tcPr>
            <w:tcW w:w="0" w:type="auto"/>
            <w:gridSpan w:val="3"/>
            <w:shd w:val="clear" w:color="auto" w:fill="auto"/>
            <w:vAlign w:val="bottom"/>
          </w:tcPr>
          <w:p w14:paraId="392BF980" w14:textId="77777777" w:rsidR="00980E5F" w:rsidRDefault="00980E5F">
            <w:pPr>
              <w:rPr>
                <w:rFonts w:ascii="宋体"/>
                <w:vanish/>
              </w:rPr>
            </w:pPr>
          </w:p>
        </w:tc>
        <w:tc>
          <w:tcPr>
            <w:tcW w:w="0" w:type="auto"/>
            <w:gridSpan w:val="3"/>
            <w:shd w:val="clear" w:color="auto" w:fill="auto"/>
            <w:vAlign w:val="bottom"/>
          </w:tcPr>
          <w:p w14:paraId="392BF981" w14:textId="77777777" w:rsidR="00980E5F" w:rsidRDefault="00980E5F">
            <w:pPr>
              <w:rPr>
                <w:rFonts w:ascii="宋体"/>
                <w:vanish/>
              </w:rPr>
            </w:pPr>
          </w:p>
        </w:tc>
        <w:tc>
          <w:tcPr>
            <w:tcW w:w="0" w:type="auto"/>
            <w:gridSpan w:val="3"/>
            <w:shd w:val="clear" w:color="auto" w:fill="auto"/>
            <w:vAlign w:val="bottom"/>
          </w:tcPr>
          <w:p w14:paraId="392BF982" w14:textId="77777777" w:rsidR="00980E5F" w:rsidRDefault="00980E5F">
            <w:pPr>
              <w:rPr>
                <w:rFonts w:ascii="宋体"/>
                <w:vanish/>
              </w:rPr>
            </w:pPr>
          </w:p>
        </w:tc>
        <w:tc>
          <w:tcPr>
            <w:tcW w:w="0" w:type="auto"/>
            <w:gridSpan w:val="3"/>
            <w:shd w:val="clear" w:color="auto" w:fill="auto"/>
            <w:vAlign w:val="bottom"/>
          </w:tcPr>
          <w:p w14:paraId="392BF983" w14:textId="77777777" w:rsidR="00980E5F" w:rsidRDefault="00980E5F">
            <w:pPr>
              <w:rPr>
                <w:rFonts w:ascii="宋体"/>
                <w:vanish/>
              </w:rPr>
            </w:pPr>
          </w:p>
        </w:tc>
        <w:tc>
          <w:tcPr>
            <w:tcW w:w="0" w:type="auto"/>
            <w:gridSpan w:val="3"/>
            <w:shd w:val="clear" w:color="auto" w:fill="auto"/>
            <w:vAlign w:val="bottom"/>
          </w:tcPr>
          <w:p w14:paraId="392BF984" w14:textId="77777777" w:rsidR="00980E5F" w:rsidRDefault="00980E5F">
            <w:pPr>
              <w:rPr>
                <w:rFonts w:ascii="宋体"/>
                <w:vanish/>
              </w:rPr>
            </w:pPr>
          </w:p>
        </w:tc>
        <w:tc>
          <w:tcPr>
            <w:tcW w:w="0" w:type="auto"/>
            <w:gridSpan w:val="3"/>
            <w:shd w:val="clear" w:color="auto" w:fill="auto"/>
            <w:vAlign w:val="bottom"/>
          </w:tcPr>
          <w:p w14:paraId="392BF985" w14:textId="77777777" w:rsidR="00980E5F" w:rsidRDefault="00980E5F">
            <w:pPr>
              <w:rPr>
                <w:rFonts w:ascii="宋体"/>
                <w:vanish/>
              </w:rPr>
            </w:pPr>
          </w:p>
        </w:tc>
        <w:tc>
          <w:tcPr>
            <w:tcW w:w="0" w:type="auto"/>
            <w:gridSpan w:val="3"/>
            <w:shd w:val="clear" w:color="auto" w:fill="auto"/>
            <w:vAlign w:val="bottom"/>
          </w:tcPr>
          <w:p w14:paraId="392BF986" w14:textId="77777777" w:rsidR="00980E5F" w:rsidRDefault="00980E5F">
            <w:pPr>
              <w:rPr>
                <w:rFonts w:ascii="宋体"/>
                <w:vanish/>
              </w:rPr>
            </w:pPr>
          </w:p>
        </w:tc>
        <w:tc>
          <w:tcPr>
            <w:tcW w:w="0" w:type="auto"/>
            <w:gridSpan w:val="3"/>
            <w:shd w:val="clear" w:color="auto" w:fill="auto"/>
            <w:vAlign w:val="bottom"/>
          </w:tcPr>
          <w:p w14:paraId="392BF987" w14:textId="77777777" w:rsidR="00980E5F" w:rsidRDefault="00980E5F">
            <w:pPr>
              <w:rPr>
                <w:rFonts w:ascii="宋体"/>
                <w:vanish/>
              </w:rPr>
            </w:pPr>
          </w:p>
        </w:tc>
        <w:tc>
          <w:tcPr>
            <w:tcW w:w="0" w:type="auto"/>
            <w:gridSpan w:val="3"/>
            <w:shd w:val="clear" w:color="auto" w:fill="auto"/>
            <w:vAlign w:val="bottom"/>
          </w:tcPr>
          <w:p w14:paraId="392BF988" w14:textId="77777777" w:rsidR="00980E5F" w:rsidRDefault="00980E5F">
            <w:pPr>
              <w:rPr>
                <w:rFonts w:ascii="宋体"/>
                <w:vanish/>
              </w:rPr>
            </w:pPr>
          </w:p>
        </w:tc>
        <w:tc>
          <w:tcPr>
            <w:tcW w:w="0" w:type="auto"/>
            <w:shd w:val="clear" w:color="auto" w:fill="auto"/>
            <w:vAlign w:val="bottom"/>
          </w:tcPr>
          <w:p w14:paraId="392BF989" w14:textId="77777777" w:rsidR="00980E5F" w:rsidRDefault="00980E5F">
            <w:pPr>
              <w:rPr>
                <w:rFonts w:ascii="宋体"/>
                <w:vanish/>
              </w:rPr>
            </w:pPr>
          </w:p>
        </w:tc>
      </w:tr>
      <w:tr w:rsidR="00980E5F" w14:paraId="392BF998" w14:textId="77777777">
        <w:trPr>
          <w:hidden/>
        </w:trPr>
        <w:tc>
          <w:tcPr>
            <w:tcW w:w="0" w:type="auto"/>
            <w:gridSpan w:val="3"/>
            <w:shd w:val="clear" w:color="auto" w:fill="auto"/>
            <w:vAlign w:val="bottom"/>
          </w:tcPr>
          <w:p w14:paraId="392BF98B" w14:textId="77777777" w:rsidR="00980E5F" w:rsidRDefault="00980E5F">
            <w:pPr>
              <w:rPr>
                <w:rFonts w:ascii="宋体"/>
                <w:vanish/>
              </w:rPr>
            </w:pPr>
          </w:p>
        </w:tc>
        <w:tc>
          <w:tcPr>
            <w:tcW w:w="0" w:type="auto"/>
            <w:gridSpan w:val="3"/>
            <w:shd w:val="clear" w:color="auto" w:fill="auto"/>
            <w:vAlign w:val="bottom"/>
          </w:tcPr>
          <w:p w14:paraId="392BF98C" w14:textId="77777777" w:rsidR="00980E5F" w:rsidRDefault="00980E5F">
            <w:pPr>
              <w:rPr>
                <w:rFonts w:ascii="宋体"/>
                <w:vanish/>
              </w:rPr>
            </w:pPr>
          </w:p>
        </w:tc>
        <w:tc>
          <w:tcPr>
            <w:tcW w:w="0" w:type="auto"/>
            <w:gridSpan w:val="3"/>
            <w:shd w:val="clear" w:color="auto" w:fill="auto"/>
            <w:vAlign w:val="bottom"/>
          </w:tcPr>
          <w:p w14:paraId="392BF98D" w14:textId="77777777" w:rsidR="00980E5F" w:rsidRDefault="00980E5F">
            <w:pPr>
              <w:rPr>
                <w:rFonts w:ascii="宋体"/>
                <w:vanish/>
              </w:rPr>
            </w:pPr>
          </w:p>
        </w:tc>
        <w:tc>
          <w:tcPr>
            <w:tcW w:w="0" w:type="auto"/>
            <w:gridSpan w:val="3"/>
            <w:shd w:val="clear" w:color="auto" w:fill="auto"/>
            <w:vAlign w:val="bottom"/>
          </w:tcPr>
          <w:p w14:paraId="392BF98E" w14:textId="77777777" w:rsidR="00980E5F" w:rsidRDefault="00980E5F">
            <w:pPr>
              <w:rPr>
                <w:rFonts w:ascii="宋体"/>
                <w:vanish/>
              </w:rPr>
            </w:pPr>
          </w:p>
        </w:tc>
        <w:tc>
          <w:tcPr>
            <w:tcW w:w="0" w:type="auto"/>
            <w:gridSpan w:val="3"/>
            <w:shd w:val="clear" w:color="auto" w:fill="auto"/>
            <w:vAlign w:val="bottom"/>
          </w:tcPr>
          <w:p w14:paraId="392BF98F" w14:textId="77777777" w:rsidR="00980E5F" w:rsidRDefault="00980E5F">
            <w:pPr>
              <w:rPr>
                <w:rFonts w:ascii="宋体"/>
                <w:vanish/>
              </w:rPr>
            </w:pPr>
          </w:p>
        </w:tc>
        <w:tc>
          <w:tcPr>
            <w:tcW w:w="0" w:type="auto"/>
            <w:gridSpan w:val="3"/>
            <w:shd w:val="clear" w:color="auto" w:fill="auto"/>
            <w:vAlign w:val="bottom"/>
          </w:tcPr>
          <w:p w14:paraId="392BF990" w14:textId="77777777" w:rsidR="00980E5F" w:rsidRDefault="00980E5F">
            <w:pPr>
              <w:rPr>
                <w:rFonts w:ascii="宋体"/>
                <w:vanish/>
              </w:rPr>
            </w:pPr>
          </w:p>
        </w:tc>
        <w:tc>
          <w:tcPr>
            <w:tcW w:w="0" w:type="auto"/>
            <w:gridSpan w:val="3"/>
            <w:shd w:val="clear" w:color="auto" w:fill="auto"/>
            <w:vAlign w:val="bottom"/>
          </w:tcPr>
          <w:p w14:paraId="392BF991" w14:textId="77777777" w:rsidR="00980E5F" w:rsidRDefault="00980E5F">
            <w:pPr>
              <w:rPr>
                <w:rFonts w:ascii="宋体"/>
                <w:vanish/>
              </w:rPr>
            </w:pPr>
          </w:p>
        </w:tc>
        <w:tc>
          <w:tcPr>
            <w:tcW w:w="0" w:type="auto"/>
            <w:gridSpan w:val="3"/>
            <w:shd w:val="clear" w:color="auto" w:fill="auto"/>
            <w:vAlign w:val="bottom"/>
          </w:tcPr>
          <w:p w14:paraId="392BF992" w14:textId="77777777" w:rsidR="00980E5F" w:rsidRDefault="00980E5F">
            <w:pPr>
              <w:rPr>
                <w:rFonts w:ascii="宋体"/>
                <w:vanish/>
              </w:rPr>
            </w:pPr>
          </w:p>
        </w:tc>
        <w:tc>
          <w:tcPr>
            <w:tcW w:w="0" w:type="auto"/>
            <w:gridSpan w:val="3"/>
            <w:shd w:val="clear" w:color="auto" w:fill="auto"/>
            <w:vAlign w:val="bottom"/>
          </w:tcPr>
          <w:p w14:paraId="392BF993" w14:textId="77777777" w:rsidR="00980E5F" w:rsidRDefault="00980E5F">
            <w:pPr>
              <w:rPr>
                <w:rFonts w:ascii="宋体"/>
                <w:vanish/>
              </w:rPr>
            </w:pPr>
          </w:p>
        </w:tc>
        <w:tc>
          <w:tcPr>
            <w:tcW w:w="0" w:type="auto"/>
            <w:gridSpan w:val="3"/>
            <w:shd w:val="clear" w:color="auto" w:fill="auto"/>
            <w:vAlign w:val="bottom"/>
          </w:tcPr>
          <w:p w14:paraId="392BF994" w14:textId="77777777" w:rsidR="00980E5F" w:rsidRDefault="00980E5F">
            <w:pPr>
              <w:rPr>
                <w:rFonts w:ascii="宋体"/>
                <w:vanish/>
              </w:rPr>
            </w:pPr>
          </w:p>
        </w:tc>
        <w:tc>
          <w:tcPr>
            <w:tcW w:w="0" w:type="auto"/>
            <w:gridSpan w:val="3"/>
            <w:shd w:val="clear" w:color="auto" w:fill="auto"/>
            <w:vAlign w:val="bottom"/>
          </w:tcPr>
          <w:p w14:paraId="392BF995" w14:textId="77777777" w:rsidR="00980E5F" w:rsidRDefault="00980E5F">
            <w:pPr>
              <w:rPr>
                <w:rFonts w:ascii="宋体"/>
                <w:vanish/>
              </w:rPr>
            </w:pPr>
          </w:p>
        </w:tc>
        <w:tc>
          <w:tcPr>
            <w:tcW w:w="0" w:type="auto"/>
            <w:gridSpan w:val="3"/>
            <w:shd w:val="clear" w:color="auto" w:fill="auto"/>
            <w:vAlign w:val="bottom"/>
          </w:tcPr>
          <w:p w14:paraId="392BF996" w14:textId="77777777" w:rsidR="00980E5F" w:rsidRDefault="00980E5F">
            <w:pPr>
              <w:rPr>
                <w:rFonts w:ascii="宋体"/>
                <w:vanish/>
              </w:rPr>
            </w:pPr>
          </w:p>
        </w:tc>
        <w:tc>
          <w:tcPr>
            <w:tcW w:w="0" w:type="auto"/>
            <w:shd w:val="clear" w:color="auto" w:fill="auto"/>
            <w:vAlign w:val="bottom"/>
          </w:tcPr>
          <w:p w14:paraId="392BF997" w14:textId="77777777" w:rsidR="00980E5F" w:rsidRDefault="00980E5F">
            <w:pPr>
              <w:rPr>
                <w:rFonts w:ascii="宋体"/>
                <w:vanish/>
              </w:rPr>
            </w:pPr>
          </w:p>
        </w:tc>
      </w:tr>
      <w:tr w:rsidR="00980E5F" w14:paraId="392BF9A6" w14:textId="77777777">
        <w:trPr>
          <w:hidden/>
        </w:trPr>
        <w:tc>
          <w:tcPr>
            <w:tcW w:w="0" w:type="auto"/>
            <w:gridSpan w:val="3"/>
            <w:shd w:val="clear" w:color="auto" w:fill="auto"/>
            <w:vAlign w:val="bottom"/>
          </w:tcPr>
          <w:p w14:paraId="392BF999" w14:textId="77777777" w:rsidR="00980E5F" w:rsidRDefault="00980E5F">
            <w:pPr>
              <w:rPr>
                <w:rFonts w:ascii="宋体"/>
                <w:vanish/>
              </w:rPr>
            </w:pPr>
          </w:p>
        </w:tc>
        <w:tc>
          <w:tcPr>
            <w:tcW w:w="0" w:type="auto"/>
            <w:gridSpan w:val="3"/>
            <w:shd w:val="clear" w:color="auto" w:fill="auto"/>
            <w:vAlign w:val="bottom"/>
          </w:tcPr>
          <w:p w14:paraId="392BF99A" w14:textId="77777777" w:rsidR="00980E5F" w:rsidRDefault="00980E5F">
            <w:pPr>
              <w:rPr>
                <w:rFonts w:ascii="宋体"/>
                <w:vanish/>
              </w:rPr>
            </w:pPr>
          </w:p>
        </w:tc>
        <w:tc>
          <w:tcPr>
            <w:tcW w:w="0" w:type="auto"/>
            <w:gridSpan w:val="3"/>
            <w:shd w:val="clear" w:color="auto" w:fill="auto"/>
            <w:vAlign w:val="bottom"/>
          </w:tcPr>
          <w:p w14:paraId="392BF99B" w14:textId="77777777" w:rsidR="00980E5F" w:rsidRDefault="00980E5F">
            <w:pPr>
              <w:rPr>
                <w:rFonts w:ascii="宋体"/>
                <w:vanish/>
              </w:rPr>
            </w:pPr>
          </w:p>
        </w:tc>
        <w:tc>
          <w:tcPr>
            <w:tcW w:w="0" w:type="auto"/>
            <w:gridSpan w:val="3"/>
            <w:shd w:val="clear" w:color="auto" w:fill="auto"/>
            <w:vAlign w:val="bottom"/>
          </w:tcPr>
          <w:p w14:paraId="392BF99C" w14:textId="77777777" w:rsidR="00980E5F" w:rsidRDefault="00980E5F">
            <w:pPr>
              <w:rPr>
                <w:rFonts w:ascii="宋体"/>
                <w:vanish/>
              </w:rPr>
            </w:pPr>
          </w:p>
        </w:tc>
        <w:tc>
          <w:tcPr>
            <w:tcW w:w="0" w:type="auto"/>
            <w:gridSpan w:val="3"/>
            <w:shd w:val="clear" w:color="auto" w:fill="auto"/>
            <w:vAlign w:val="bottom"/>
          </w:tcPr>
          <w:p w14:paraId="392BF99D" w14:textId="77777777" w:rsidR="00980E5F" w:rsidRDefault="00980E5F">
            <w:pPr>
              <w:rPr>
                <w:rFonts w:ascii="宋体"/>
                <w:vanish/>
              </w:rPr>
            </w:pPr>
          </w:p>
        </w:tc>
        <w:tc>
          <w:tcPr>
            <w:tcW w:w="0" w:type="auto"/>
            <w:gridSpan w:val="3"/>
            <w:shd w:val="clear" w:color="auto" w:fill="auto"/>
            <w:vAlign w:val="bottom"/>
          </w:tcPr>
          <w:p w14:paraId="392BF99E" w14:textId="77777777" w:rsidR="00980E5F" w:rsidRDefault="00980E5F">
            <w:pPr>
              <w:rPr>
                <w:rFonts w:ascii="宋体"/>
                <w:vanish/>
              </w:rPr>
            </w:pPr>
          </w:p>
        </w:tc>
        <w:tc>
          <w:tcPr>
            <w:tcW w:w="0" w:type="auto"/>
            <w:gridSpan w:val="3"/>
            <w:shd w:val="clear" w:color="auto" w:fill="auto"/>
            <w:vAlign w:val="bottom"/>
          </w:tcPr>
          <w:p w14:paraId="392BF99F" w14:textId="77777777" w:rsidR="00980E5F" w:rsidRDefault="00980E5F">
            <w:pPr>
              <w:rPr>
                <w:rFonts w:ascii="宋体"/>
                <w:vanish/>
              </w:rPr>
            </w:pPr>
          </w:p>
        </w:tc>
        <w:tc>
          <w:tcPr>
            <w:tcW w:w="0" w:type="auto"/>
            <w:gridSpan w:val="3"/>
            <w:shd w:val="clear" w:color="auto" w:fill="auto"/>
            <w:vAlign w:val="bottom"/>
          </w:tcPr>
          <w:p w14:paraId="392BF9A0" w14:textId="77777777" w:rsidR="00980E5F" w:rsidRDefault="00980E5F">
            <w:pPr>
              <w:rPr>
                <w:rFonts w:ascii="宋体"/>
                <w:vanish/>
              </w:rPr>
            </w:pPr>
          </w:p>
        </w:tc>
        <w:tc>
          <w:tcPr>
            <w:tcW w:w="0" w:type="auto"/>
            <w:gridSpan w:val="3"/>
            <w:shd w:val="clear" w:color="auto" w:fill="auto"/>
            <w:vAlign w:val="bottom"/>
          </w:tcPr>
          <w:p w14:paraId="392BF9A1" w14:textId="77777777" w:rsidR="00980E5F" w:rsidRDefault="00980E5F">
            <w:pPr>
              <w:rPr>
                <w:rFonts w:ascii="宋体"/>
                <w:vanish/>
              </w:rPr>
            </w:pPr>
          </w:p>
        </w:tc>
        <w:tc>
          <w:tcPr>
            <w:tcW w:w="0" w:type="auto"/>
            <w:gridSpan w:val="3"/>
            <w:shd w:val="clear" w:color="auto" w:fill="auto"/>
            <w:vAlign w:val="bottom"/>
          </w:tcPr>
          <w:p w14:paraId="392BF9A2" w14:textId="77777777" w:rsidR="00980E5F" w:rsidRDefault="00980E5F">
            <w:pPr>
              <w:rPr>
                <w:rFonts w:ascii="宋体"/>
                <w:vanish/>
              </w:rPr>
            </w:pPr>
          </w:p>
        </w:tc>
        <w:tc>
          <w:tcPr>
            <w:tcW w:w="0" w:type="auto"/>
            <w:gridSpan w:val="3"/>
            <w:shd w:val="clear" w:color="auto" w:fill="auto"/>
            <w:vAlign w:val="bottom"/>
          </w:tcPr>
          <w:p w14:paraId="392BF9A3" w14:textId="77777777" w:rsidR="00980E5F" w:rsidRDefault="00980E5F">
            <w:pPr>
              <w:rPr>
                <w:rFonts w:ascii="宋体"/>
                <w:vanish/>
              </w:rPr>
            </w:pPr>
          </w:p>
        </w:tc>
        <w:tc>
          <w:tcPr>
            <w:tcW w:w="0" w:type="auto"/>
            <w:gridSpan w:val="3"/>
            <w:shd w:val="clear" w:color="auto" w:fill="auto"/>
            <w:vAlign w:val="bottom"/>
          </w:tcPr>
          <w:p w14:paraId="392BF9A4" w14:textId="77777777" w:rsidR="00980E5F" w:rsidRDefault="00980E5F">
            <w:pPr>
              <w:rPr>
                <w:rFonts w:ascii="宋体"/>
                <w:vanish/>
              </w:rPr>
            </w:pPr>
          </w:p>
        </w:tc>
        <w:tc>
          <w:tcPr>
            <w:tcW w:w="0" w:type="auto"/>
            <w:shd w:val="clear" w:color="auto" w:fill="auto"/>
            <w:vAlign w:val="bottom"/>
          </w:tcPr>
          <w:p w14:paraId="392BF9A5" w14:textId="77777777" w:rsidR="00980E5F" w:rsidRDefault="00980E5F">
            <w:pPr>
              <w:rPr>
                <w:rFonts w:ascii="宋体"/>
                <w:vanish/>
              </w:rPr>
            </w:pPr>
          </w:p>
        </w:tc>
      </w:tr>
      <w:tr w:rsidR="00980E5F" w14:paraId="392BF9B4" w14:textId="77777777">
        <w:trPr>
          <w:hidden/>
        </w:trPr>
        <w:tc>
          <w:tcPr>
            <w:tcW w:w="0" w:type="auto"/>
            <w:gridSpan w:val="3"/>
            <w:shd w:val="clear" w:color="auto" w:fill="auto"/>
            <w:vAlign w:val="bottom"/>
          </w:tcPr>
          <w:p w14:paraId="392BF9A7" w14:textId="77777777" w:rsidR="00980E5F" w:rsidRDefault="00980E5F">
            <w:pPr>
              <w:rPr>
                <w:rFonts w:ascii="宋体"/>
                <w:vanish/>
              </w:rPr>
            </w:pPr>
          </w:p>
        </w:tc>
        <w:tc>
          <w:tcPr>
            <w:tcW w:w="0" w:type="auto"/>
            <w:gridSpan w:val="3"/>
            <w:shd w:val="clear" w:color="auto" w:fill="auto"/>
            <w:vAlign w:val="bottom"/>
          </w:tcPr>
          <w:p w14:paraId="392BF9A8" w14:textId="77777777" w:rsidR="00980E5F" w:rsidRDefault="00980E5F">
            <w:pPr>
              <w:rPr>
                <w:rFonts w:ascii="宋体"/>
                <w:vanish/>
              </w:rPr>
            </w:pPr>
          </w:p>
        </w:tc>
        <w:tc>
          <w:tcPr>
            <w:tcW w:w="0" w:type="auto"/>
            <w:gridSpan w:val="3"/>
            <w:shd w:val="clear" w:color="auto" w:fill="auto"/>
            <w:vAlign w:val="bottom"/>
          </w:tcPr>
          <w:p w14:paraId="392BF9A9" w14:textId="77777777" w:rsidR="00980E5F" w:rsidRDefault="00980E5F">
            <w:pPr>
              <w:rPr>
                <w:rFonts w:ascii="宋体"/>
                <w:vanish/>
              </w:rPr>
            </w:pPr>
          </w:p>
        </w:tc>
        <w:tc>
          <w:tcPr>
            <w:tcW w:w="0" w:type="auto"/>
            <w:gridSpan w:val="3"/>
            <w:shd w:val="clear" w:color="auto" w:fill="auto"/>
            <w:vAlign w:val="bottom"/>
          </w:tcPr>
          <w:p w14:paraId="392BF9AA" w14:textId="77777777" w:rsidR="00980E5F" w:rsidRDefault="00980E5F">
            <w:pPr>
              <w:rPr>
                <w:rFonts w:ascii="宋体"/>
                <w:vanish/>
              </w:rPr>
            </w:pPr>
          </w:p>
        </w:tc>
        <w:tc>
          <w:tcPr>
            <w:tcW w:w="0" w:type="auto"/>
            <w:gridSpan w:val="3"/>
            <w:shd w:val="clear" w:color="auto" w:fill="auto"/>
            <w:vAlign w:val="bottom"/>
          </w:tcPr>
          <w:p w14:paraId="392BF9AB" w14:textId="77777777" w:rsidR="00980E5F" w:rsidRDefault="00980E5F">
            <w:pPr>
              <w:rPr>
                <w:rFonts w:ascii="宋体"/>
                <w:vanish/>
              </w:rPr>
            </w:pPr>
          </w:p>
        </w:tc>
        <w:tc>
          <w:tcPr>
            <w:tcW w:w="0" w:type="auto"/>
            <w:gridSpan w:val="3"/>
            <w:shd w:val="clear" w:color="auto" w:fill="auto"/>
            <w:vAlign w:val="bottom"/>
          </w:tcPr>
          <w:p w14:paraId="392BF9AC" w14:textId="77777777" w:rsidR="00980E5F" w:rsidRDefault="00980E5F">
            <w:pPr>
              <w:rPr>
                <w:rFonts w:ascii="宋体"/>
                <w:vanish/>
              </w:rPr>
            </w:pPr>
          </w:p>
        </w:tc>
        <w:tc>
          <w:tcPr>
            <w:tcW w:w="0" w:type="auto"/>
            <w:gridSpan w:val="3"/>
            <w:shd w:val="clear" w:color="auto" w:fill="auto"/>
            <w:vAlign w:val="bottom"/>
          </w:tcPr>
          <w:p w14:paraId="392BF9AD" w14:textId="77777777" w:rsidR="00980E5F" w:rsidRDefault="00980E5F">
            <w:pPr>
              <w:rPr>
                <w:rFonts w:ascii="宋体"/>
                <w:vanish/>
              </w:rPr>
            </w:pPr>
          </w:p>
        </w:tc>
        <w:tc>
          <w:tcPr>
            <w:tcW w:w="0" w:type="auto"/>
            <w:gridSpan w:val="3"/>
            <w:shd w:val="clear" w:color="auto" w:fill="auto"/>
            <w:vAlign w:val="bottom"/>
          </w:tcPr>
          <w:p w14:paraId="392BF9AE" w14:textId="77777777" w:rsidR="00980E5F" w:rsidRDefault="00980E5F">
            <w:pPr>
              <w:rPr>
                <w:rFonts w:ascii="宋体"/>
                <w:vanish/>
              </w:rPr>
            </w:pPr>
          </w:p>
        </w:tc>
        <w:tc>
          <w:tcPr>
            <w:tcW w:w="0" w:type="auto"/>
            <w:gridSpan w:val="3"/>
            <w:shd w:val="clear" w:color="auto" w:fill="auto"/>
            <w:vAlign w:val="bottom"/>
          </w:tcPr>
          <w:p w14:paraId="392BF9AF" w14:textId="77777777" w:rsidR="00980E5F" w:rsidRDefault="00980E5F">
            <w:pPr>
              <w:rPr>
                <w:rFonts w:ascii="宋体"/>
                <w:vanish/>
              </w:rPr>
            </w:pPr>
          </w:p>
        </w:tc>
        <w:tc>
          <w:tcPr>
            <w:tcW w:w="0" w:type="auto"/>
            <w:gridSpan w:val="3"/>
            <w:shd w:val="clear" w:color="auto" w:fill="auto"/>
            <w:vAlign w:val="bottom"/>
          </w:tcPr>
          <w:p w14:paraId="392BF9B0" w14:textId="77777777" w:rsidR="00980E5F" w:rsidRDefault="00980E5F">
            <w:pPr>
              <w:rPr>
                <w:rFonts w:ascii="宋体"/>
                <w:vanish/>
              </w:rPr>
            </w:pPr>
          </w:p>
        </w:tc>
        <w:tc>
          <w:tcPr>
            <w:tcW w:w="0" w:type="auto"/>
            <w:gridSpan w:val="3"/>
            <w:shd w:val="clear" w:color="auto" w:fill="auto"/>
            <w:vAlign w:val="bottom"/>
          </w:tcPr>
          <w:p w14:paraId="392BF9B1" w14:textId="77777777" w:rsidR="00980E5F" w:rsidRDefault="00980E5F">
            <w:pPr>
              <w:rPr>
                <w:rFonts w:ascii="宋体"/>
                <w:vanish/>
              </w:rPr>
            </w:pPr>
          </w:p>
        </w:tc>
        <w:tc>
          <w:tcPr>
            <w:tcW w:w="0" w:type="auto"/>
            <w:gridSpan w:val="3"/>
            <w:shd w:val="clear" w:color="auto" w:fill="auto"/>
            <w:vAlign w:val="bottom"/>
          </w:tcPr>
          <w:p w14:paraId="392BF9B2" w14:textId="77777777" w:rsidR="00980E5F" w:rsidRDefault="00980E5F">
            <w:pPr>
              <w:rPr>
                <w:rFonts w:ascii="宋体"/>
                <w:vanish/>
              </w:rPr>
            </w:pPr>
          </w:p>
        </w:tc>
        <w:tc>
          <w:tcPr>
            <w:tcW w:w="0" w:type="auto"/>
            <w:shd w:val="clear" w:color="auto" w:fill="auto"/>
            <w:vAlign w:val="bottom"/>
          </w:tcPr>
          <w:p w14:paraId="392BF9B3" w14:textId="77777777" w:rsidR="00980E5F" w:rsidRDefault="00980E5F">
            <w:pPr>
              <w:rPr>
                <w:rFonts w:ascii="宋体"/>
                <w:vanish/>
              </w:rPr>
            </w:pPr>
          </w:p>
        </w:tc>
      </w:tr>
      <w:tr w:rsidR="00980E5F" w14:paraId="392BF9C2" w14:textId="77777777">
        <w:trPr>
          <w:hidden/>
        </w:trPr>
        <w:tc>
          <w:tcPr>
            <w:tcW w:w="0" w:type="auto"/>
            <w:gridSpan w:val="3"/>
            <w:shd w:val="clear" w:color="auto" w:fill="auto"/>
            <w:vAlign w:val="bottom"/>
          </w:tcPr>
          <w:p w14:paraId="392BF9B5" w14:textId="77777777" w:rsidR="00980E5F" w:rsidRDefault="00980E5F">
            <w:pPr>
              <w:rPr>
                <w:rFonts w:ascii="宋体"/>
                <w:vanish/>
              </w:rPr>
            </w:pPr>
          </w:p>
        </w:tc>
        <w:tc>
          <w:tcPr>
            <w:tcW w:w="0" w:type="auto"/>
            <w:gridSpan w:val="3"/>
            <w:shd w:val="clear" w:color="auto" w:fill="auto"/>
            <w:vAlign w:val="bottom"/>
          </w:tcPr>
          <w:p w14:paraId="392BF9B6" w14:textId="77777777" w:rsidR="00980E5F" w:rsidRDefault="00980E5F">
            <w:pPr>
              <w:rPr>
                <w:rFonts w:ascii="宋体"/>
                <w:vanish/>
              </w:rPr>
            </w:pPr>
          </w:p>
        </w:tc>
        <w:tc>
          <w:tcPr>
            <w:tcW w:w="0" w:type="auto"/>
            <w:gridSpan w:val="3"/>
            <w:shd w:val="clear" w:color="auto" w:fill="auto"/>
            <w:vAlign w:val="bottom"/>
          </w:tcPr>
          <w:p w14:paraId="392BF9B7" w14:textId="77777777" w:rsidR="00980E5F" w:rsidRDefault="00980E5F">
            <w:pPr>
              <w:rPr>
                <w:rFonts w:ascii="宋体"/>
                <w:vanish/>
              </w:rPr>
            </w:pPr>
          </w:p>
        </w:tc>
        <w:tc>
          <w:tcPr>
            <w:tcW w:w="0" w:type="auto"/>
            <w:gridSpan w:val="3"/>
            <w:shd w:val="clear" w:color="auto" w:fill="auto"/>
            <w:vAlign w:val="bottom"/>
          </w:tcPr>
          <w:p w14:paraId="392BF9B8" w14:textId="77777777" w:rsidR="00980E5F" w:rsidRDefault="00980E5F">
            <w:pPr>
              <w:rPr>
                <w:rFonts w:ascii="宋体"/>
                <w:vanish/>
              </w:rPr>
            </w:pPr>
          </w:p>
        </w:tc>
        <w:tc>
          <w:tcPr>
            <w:tcW w:w="0" w:type="auto"/>
            <w:gridSpan w:val="3"/>
            <w:shd w:val="clear" w:color="auto" w:fill="auto"/>
            <w:vAlign w:val="bottom"/>
          </w:tcPr>
          <w:p w14:paraId="392BF9B9" w14:textId="77777777" w:rsidR="00980E5F" w:rsidRDefault="00980E5F">
            <w:pPr>
              <w:rPr>
                <w:rFonts w:ascii="宋体"/>
                <w:vanish/>
              </w:rPr>
            </w:pPr>
          </w:p>
        </w:tc>
        <w:tc>
          <w:tcPr>
            <w:tcW w:w="0" w:type="auto"/>
            <w:gridSpan w:val="3"/>
            <w:shd w:val="clear" w:color="auto" w:fill="auto"/>
            <w:vAlign w:val="bottom"/>
          </w:tcPr>
          <w:p w14:paraId="392BF9BA" w14:textId="77777777" w:rsidR="00980E5F" w:rsidRDefault="00980E5F">
            <w:pPr>
              <w:rPr>
                <w:rFonts w:ascii="宋体"/>
                <w:vanish/>
              </w:rPr>
            </w:pPr>
          </w:p>
        </w:tc>
        <w:tc>
          <w:tcPr>
            <w:tcW w:w="0" w:type="auto"/>
            <w:gridSpan w:val="3"/>
            <w:shd w:val="clear" w:color="auto" w:fill="auto"/>
            <w:vAlign w:val="bottom"/>
          </w:tcPr>
          <w:p w14:paraId="392BF9BB" w14:textId="77777777" w:rsidR="00980E5F" w:rsidRDefault="00980E5F">
            <w:pPr>
              <w:rPr>
                <w:rFonts w:ascii="宋体"/>
                <w:vanish/>
              </w:rPr>
            </w:pPr>
          </w:p>
        </w:tc>
        <w:tc>
          <w:tcPr>
            <w:tcW w:w="0" w:type="auto"/>
            <w:gridSpan w:val="3"/>
            <w:shd w:val="clear" w:color="auto" w:fill="auto"/>
            <w:vAlign w:val="bottom"/>
          </w:tcPr>
          <w:p w14:paraId="392BF9BC" w14:textId="77777777" w:rsidR="00980E5F" w:rsidRDefault="00980E5F">
            <w:pPr>
              <w:rPr>
                <w:rFonts w:ascii="宋体"/>
                <w:vanish/>
              </w:rPr>
            </w:pPr>
          </w:p>
        </w:tc>
        <w:tc>
          <w:tcPr>
            <w:tcW w:w="0" w:type="auto"/>
            <w:gridSpan w:val="3"/>
            <w:shd w:val="clear" w:color="auto" w:fill="auto"/>
            <w:vAlign w:val="bottom"/>
          </w:tcPr>
          <w:p w14:paraId="392BF9BD" w14:textId="77777777" w:rsidR="00980E5F" w:rsidRDefault="00980E5F">
            <w:pPr>
              <w:rPr>
                <w:rFonts w:ascii="宋体"/>
                <w:vanish/>
              </w:rPr>
            </w:pPr>
          </w:p>
        </w:tc>
        <w:tc>
          <w:tcPr>
            <w:tcW w:w="0" w:type="auto"/>
            <w:gridSpan w:val="3"/>
            <w:shd w:val="clear" w:color="auto" w:fill="auto"/>
            <w:vAlign w:val="bottom"/>
          </w:tcPr>
          <w:p w14:paraId="392BF9BE" w14:textId="77777777" w:rsidR="00980E5F" w:rsidRDefault="00980E5F">
            <w:pPr>
              <w:rPr>
                <w:rFonts w:ascii="宋体"/>
                <w:vanish/>
              </w:rPr>
            </w:pPr>
          </w:p>
        </w:tc>
        <w:tc>
          <w:tcPr>
            <w:tcW w:w="0" w:type="auto"/>
            <w:gridSpan w:val="3"/>
            <w:shd w:val="clear" w:color="auto" w:fill="auto"/>
            <w:vAlign w:val="bottom"/>
          </w:tcPr>
          <w:p w14:paraId="392BF9BF" w14:textId="77777777" w:rsidR="00980E5F" w:rsidRDefault="00980E5F">
            <w:pPr>
              <w:rPr>
                <w:rFonts w:ascii="宋体"/>
                <w:vanish/>
              </w:rPr>
            </w:pPr>
          </w:p>
        </w:tc>
        <w:tc>
          <w:tcPr>
            <w:tcW w:w="0" w:type="auto"/>
            <w:gridSpan w:val="3"/>
            <w:shd w:val="clear" w:color="auto" w:fill="auto"/>
            <w:vAlign w:val="bottom"/>
          </w:tcPr>
          <w:p w14:paraId="392BF9C0" w14:textId="77777777" w:rsidR="00980E5F" w:rsidRDefault="00980E5F">
            <w:pPr>
              <w:rPr>
                <w:rFonts w:ascii="宋体"/>
                <w:vanish/>
              </w:rPr>
            </w:pPr>
          </w:p>
        </w:tc>
        <w:tc>
          <w:tcPr>
            <w:tcW w:w="0" w:type="auto"/>
            <w:shd w:val="clear" w:color="auto" w:fill="auto"/>
            <w:vAlign w:val="bottom"/>
          </w:tcPr>
          <w:p w14:paraId="392BF9C1" w14:textId="77777777" w:rsidR="00980E5F" w:rsidRDefault="00980E5F">
            <w:pPr>
              <w:rPr>
                <w:rFonts w:ascii="宋体"/>
                <w:vanish/>
              </w:rPr>
            </w:pPr>
          </w:p>
        </w:tc>
      </w:tr>
      <w:tr w:rsidR="00980E5F" w14:paraId="392BF9D0" w14:textId="77777777">
        <w:trPr>
          <w:hidden/>
        </w:trPr>
        <w:tc>
          <w:tcPr>
            <w:tcW w:w="0" w:type="auto"/>
            <w:gridSpan w:val="3"/>
            <w:shd w:val="clear" w:color="auto" w:fill="auto"/>
            <w:vAlign w:val="bottom"/>
          </w:tcPr>
          <w:p w14:paraId="392BF9C3" w14:textId="77777777" w:rsidR="00980E5F" w:rsidRDefault="00980E5F">
            <w:pPr>
              <w:rPr>
                <w:rFonts w:ascii="宋体"/>
                <w:vanish/>
              </w:rPr>
            </w:pPr>
          </w:p>
        </w:tc>
        <w:tc>
          <w:tcPr>
            <w:tcW w:w="0" w:type="auto"/>
            <w:gridSpan w:val="3"/>
            <w:shd w:val="clear" w:color="auto" w:fill="auto"/>
            <w:vAlign w:val="bottom"/>
          </w:tcPr>
          <w:p w14:paraId="392BF9C4" w14:textId="77777777" w:rsidR="00980E5F" w:rsidRDefault="00980E5F">
            <w:pPr>
              <w:rPr>
                <w:rFonts w:ascii="宋体"/>
                <w:vanish/>
              </w:rPr>
            </w:pPr>
          </w:p>
        </w:tc>
        <w:tc>
          <w:tcPr>
            <w:tcW w:w="0" w:type="auto"/>
            <w:gridSpan w:val="3"/>
            <w:shd w:val="clear" w:color="auto" w:fill="auto"/>
            <w:vAlign w:val="bottom"/>
          </w:tcPr>
          <w:p w14:paraId="392BF9C5" w14:textId="77777777" w:rsidR="00980E5F" w:rsidRDefault="00980E5F">
            <w:pPr>
              <w:rPr>
                <w:rFonts w:ascii="宋体"/>
                <w:vanish/>
              </w:rPr>
            </w:pPr>
          </w:p>
        </w:tc>
        <w:tc>
          <w:tcPr>
            <w:tcW w:w="0" w:type="auto"/>
            <w:gridSpan w:val="3"/>
            <w:shd w:val="clear" w:color="auto" w:fill="auto"/>
            <w:vAlign w:val="bottom"/>
          </w:tcPr>
          <w:p w14:paraId="392BF9C6" w14:textId="77777777" w:rsidR="00980E5F" w:rsidRDefault="00980E5F">
            <w:pPr>
              <w:rPr>
                <w:rFonts w:ascii="宋体"/>
                <w:vanish/>
              </w:rPr>
            </w:pPr>
          </w:p>
        </w:tc>
        <w:tc>
          <w:tcPr>
            <w:tcW w:w="0" w:type="auto"/>
            <w:gridSpan w:val="3"/>
            <w:shd w:val="clear" w:color="auto" w:fill="auto"/>
            <w:vAlign w:val="bottom"/>
          </w:tcPr>
          <w:p w14:paraId="392BF9C7" w14:textId="77777777" w:rsidR="00980E5F" w:rsidRDefault="00980E5F">
            <w:pPr>
              <w:rPr>
                <w:rFonts w:ascii="宋体"/>
                <w:vanish/>
              </w:rPr>
            </w:pPr>
          </w:p>
        </w:tc>
        <w:tc>
          <w:tcPr>
            <w:tcW w:w="0" w:type="auto"/>
            <w:gridSpan w:val="3"/>
            <w:shd w:val="clear" w:color="auto" w:fill="auto"/>
            <w:vAlign w:val="bottom"/>
          </w:tcPr>
          <w:p w14:paraId="392BF9C8" w14:textId="77777777" w:rsidR="00980E5F" w:rsidRDefault="00980E5F">
            <w:pPr>
              <w:rPr>
                <w:rFonts w:ascii="宋体"/>
                <w:vanish/>
              </w:rPr>
            </w:pPr>
          </w:p>
        </w:tc>
        <w:tc>
          <w:tcPr>
            <w:tcW w:w="0" w:type="auto"/>
            <w:gridSpan w:val="3"/>
            <w:shd w:val="clear" w:color="auto" w:fill="auto"/>
            <w:vAlign w:val="bottom"/>
          </w:tcPr>
          <w:p w14:paraId="392BF9C9" w14:textId="77777777" w:rsidR="00980E5F" w:rsidRDefault="00980E5F">
            <w:pPr>
              <w:rPr>
                <w:rFonts w:ascii="宋体"/>
                <w:vanish/>
              </w:rPr>
            </w:pPr>
          </w:p>
        </w:tc>
        <w:tc>
          <w:tcPr>
            <w:tcW w:w="0" w:type="auto"/>
            <w:gridSpan w:val="3"/>
            <w:shd w:val="clear" w:color="auto" w:fill="auto"/>
            <w:vAlign w:val="bottom"/>
          </w:tcPr>
          <w:p w14:paraId="392BF9CA" w14:textId="77777777" w:rsidR="00980E5F" w:rsidRDefault="00980E5F">
            <w:pPr>
              <w:rPr>
                <w:rFonts w:ascii="宋体"/>
                <w:vanish/>
              </w:rPr>
            </w:pPr>
          </w:p>
        </w:tc>
        <w:tc>
          <w:tcPr>
            <w:tcW w:w="0" w:type="auto"/>
            <w:gridSpan w:val="3"/>
            <w:shd w:val="clear" w:color="auto" w:fill="auto"/>
            <w:vAlign w:val="bottom"/>
          </w:tcPr>
          <w:p w14:paraId="392BF9CB" w14:textId="77777777" w:rsidR="00980E5F" w:rsidRDefault="00980E5F">
            <w:pPr>
              <w:rPr>
                <w:rFonts w:ascii="宋体"/>
                <w:vanish/>
              </w:rPr>
            </w:pPr>
          </w:p>
        </w:tc>
        <w:tc>
          <w:tcPr>
            <w:tcW w:w="0" w:type="auto"/>
            <w:gridSpan w:val="3"/>
            <w:shd w:val="clear" w:color="auto" w:fill="auto"/>
            <w:vAlign w:val="bottom"/>
          </w:tcPr>
          <w:p w14:paraId="392BF9CC" w14:textId="77777777" w:rsidR="00980E5F" w:rsidRDefault="00980E5F">
            <w:pPr>
              <w:rPr>
                <w:rFonts w:ascii="宋体"/>
                <w:vanish/>
              </w:rPr>
            </w:pPr>
          </w:p>
        </w:tc>
        <w:tc>
          <w:tcPr>
            <w:tcW w:w="0" w:type="auto"/>
            <w:gridSpan w:val="3"/>
            <w:shd w:val="clear" w:color="auto" w:fill="auto"/>
            <w:vAlign w:val="bottom"/>
          </w:tcPr>
          <w:p w14:paraId="392BF9CD" w14:textId="77777777" w:rsidR="00980E5F" w:rsidRDefault="00980E5F">
            <w:pPr>
              <w:rPr>
                <w:rFonts w:ascii="宋体"/>
                <w:vanish/>
              </w:rPr>
            </w:pPr>
          </w:p>
        </w:tc>
        <w:tc>
          <w:tcPr>
            <w:tcW w:w="0" w:type="auto"/>
            <w:gridSpan w:val="3"/>
            <w:shd w:val="clear" w:color="auto" w:fill="auto"/>
            <w:vAlign w:val="bottom"/>
          </w:tcPr>
          <w:p w14:paraId="392BF9CE" w14:textId="77777777" w:rsidR="00980E5F" w:rsidRDefault="00980E5F">
            <w:pPr>
              <w:rPr>
                <w:rFonts w:ascii="宋体"/>
                <w:vanish/>
              </w:rPr>
            </w:pPr>
          </w:p>
        </w:tc>
        <w:tc>
          <w:tcPr>
            <w:tcW w:w="0" w:type="auto"/>
            <w:shd w:val="clear" w:color="auto" w:fill="auto"/>
            <w:vAlign w:val="bottom"/>
          </w:tcPr>
          <w:p w14:paraId="392BF9CF" w14:textId="77777777" w:rsidR="00980E5F" w:rsidRDefault="00980E5F">
            <w:pPr>
              <w:rPr>
                <w:rFonts w:ascii="宋体"/>
                <w:vanish/>
              </w:rPr>
            </w:pPr>
          </w:p>
        </w:tc>
      </w:tr>
      <w:tr w:rsidR="00980E5F" w14:paraId="392BF9DE" w14:textId="77777777">
        <w:trPr>
          <w:hidden/>
        </w:trPr>
        <w:tc>
          <w:tcPr>
            <w:tcW w:w="0" w:type="auto"/>
            <w:gridSpan w:val="3"/>
            <w:shd w:val="clear" w:color="auto" w:fill="auto"/>
            <w:vAlign w:val="bottom"/>
          </w:tcPr>
          <w:p w14:paraId="392BF9D1" w14:textId="77777777" w:rsidR="00980E5F" w:rsidRDefault="00980E5F">
            <w:pPr>
              <w:rPr>
                <w:rFonts w:ascii="宋体"/>
                <w:vanish/>
              </w:rPr>
            </w:pPr>
          </w:p>
        </w:tc>
        <w:tc>
          <w:tcPr>
            <w:tcW w:w="0" w:type="auto"/>
            <w:gridSpan w:val="3"/>
            <w:shd w:val="clear" w:color="auto" w:fill="auto"/>
            <w:vAlign w:val="bottom"/>
          </w:tcPr>
          <w:p w14:paraId="392BF9D2" w14:textId="77777777" w:rsidR="00980E5F" w:rsidRDefault="00980E5F">
            <w:pPr>
              <w:rPr>
                <w:rFonts w:ascii="宋体"/>
                <w:vanish/>
              </w:rPr>
            </w:pPr>
          </w:p>
        </w:tc>
        <w:tc>
          <w:tcPr>
            <w:tcW w:w="0" w:type="auto"/>
            <w:gridSpan w:val="3"/>
            <w:shd w:val="clear" w:color="auto" w:fill="auto"/>
            <w:vAlign w:val="bottom"/>
          </w:tcPr>
          <w:p w14:paraId="392BF9D3" w14:textId="77777777" w:rsidR="00980E5F" w:rsidRDefault="00980E5F">
            <w:pPr>
              <w:rPr>
                <w:rFonts w:ascii="宋体"/>
                <w:vanish/>
              </w:rPr>
            </w:pPr>
          </w:p>
        </w:tc>
        <w:tc>
          <w:tcPr>
            <w:tcW w:w="0" w:type="auto"/>
            <w:gridSpan w:val="3"/>
            <w:shd w:val="clear" w:color="auto" w:fill="auto"/>
            <w:vAlign w:val="bottom"/>
          </w:tcPr>
          <w:p w14:paraId="392BF9D4" w14:textId="77777777" w:rsidR="00980E5F" w:rsidRDefault="00980E5F">
            <w:pPr>
              <w:rPr>
                <w:rFonts w:ascii="宋体"/>
                <w:vanish/>
              </w:rPr>
            </w:pPr>
          </w:p>
        </w:tc>
        <w:tc>
          <w:tcPr>
            <w:tcW w:w="0" w:type="auto"/>
            <w:gridSpan w:val="3"/>
            <w:shd w:val="clear" w:color="auto" w:fill="auto"/>
            <w:vAlign w:val="bottom"/>
          </w:tcPr>
          <w:p w14:paraId="392BF9D5" w14:textId="77777777" w:rsidR="00980E5F" w:rsidRDefault="00980E5F">
            <w:pPr>
              <w:rPr>
                <w:rFonts w:ascii="宋体"/>
                <w:vanish/>
              </w:rPr>
            </w:pPr>
          </w:p>
        </w:tc>
        <w:tc>
          <w:tcPr>
            <w:tcW w:w="0" w:type="auto"/>
            <w:gridSpan w:val="3"/>
            <w:shd w:val="clear" w:color="auto" w:fill="auto"/>
            <w:vAlign w:val="bottom"/>
          </w:tcPr>
          <w:p w14:paraId="392BF9D6" w14:textId="77777777" w:rsidR="00980E5F" w:rsidRDefault="00980E5F">
            <w:pPr>
              <w:rPr>
                <w:rFonts w:ascii="宋体"/>
                <w:vanish/>
              </w:rPr>
            </w:pPr>
          </w:p>
        </w:tc>
        <w:tc>
          <w:tcPr>
            <w:tcW w:w="0" w:type="auto"/>
            <w:gridSpan w:val="3"/>
            <w:shd w:val="clear" w:color="auto" w:fill="auto"/>
            <w:vAlign w:val="bottom"/>
          </w:tcPr>
          <w:p w14:paraId="392BF9D7" w14:textId="77777777" w:rsidR="00980E5F" w:rsidRDefault="00980E5F">
            <w:pPr>
              <w:rPr>
                <w:rFonts w:ascii="宋体"/>
                <w:vanish/>
              </w:rPr>
            </w:pPr>
          </w:p>
        </w:tc>
        <w:tc>
          <w:tcPr>
            <w:tcW w:w="0" w:type="auto"/>
            <w:gridSpan w:val="3"/>
            <w:shd w:val="clear" w:color="auto" w:fill="auto"/>
            <w:vAlign w:val="bottom"/>
          </w:tcPr>
          <w:p w14:paraId="392BF9D8" w14:textId="77777777" w:rsidR="00980E5F" w:rsidRDefault="00980E5F">
            <w:pPr>
              <w:rPr>
                <w:rFonts w:ascii="宋体"/>
                <w:vanish/>
              </w:rPr>
            </w:pPr>
          </w:p>
        </w:tc>
        <w:tc>
          <w:tcPr>
            <w:tcW w:w="0" w:type="auto"/>
            <w:gridSpan w:val="3"/>
            <w:shd w:val="clear" w:color="auto" w:fill="auto"/>
            <w:vAlign w:val="bottom"/>
          </w:tcPr>
          <w:p w14:paraId="392BF9D9" w14:textId="77777777" w:rsidR="00980E5F" w:rsidRDefault="00980E5F">
            <w:pPr>
              <w:rPr>
                <w:rFonts w:ascii="宋体"/>
                <w:vanish/>
              </w:rPr>
            </w:pPr>
          </w:p>
        </w:tc>
        <w:tc>
          <w:tcPr>
            <w:tcW w:w="0" w:type="auto"/>
            <w:gridSpan w:val="3"/>
            <w:shd w:val="clear" w:color="auto" w:fill="auto"/>
            <w:vAlign w:val="bottom"/>
          </w:tcPr>
          <w:p w14:paraId="392BF9DA" w14:textId="77777777" w:rsidR="00980E5F" w:rsidRDefault="00980E5F">
            <w:pPr>
              <w:rPr>
                <w:rFonts w:ascii="宋体"/>
                <w:vanish/>
              </w:rPr>
            </w:pPr>
          </w:p>
        </w:tc>
        <w:tc>
          <w:tcPr>
            <w:tcW w:w="0" w:type="auto"/>
            <w:gridSpan w:val="3"/>
            <w:shd w:val="clear" w:color="auto" w:fill="auto"/>
            <w:vAlign w:val="bottom"/>
          </w:tcPr>
          <w:p w14:paraId="392BF9DB" w14:textId="77777777" w:rsidR="00980E5F" w:rsidRDefault="00980E5F">
            <w:pPr>
              <w:rPr>
                <w:rFonts w:ascii="宋体"/>
                <w:vanish/>
              </w:rPr>
            </w:pPr>
          </w:p>
        </w:tc>
        <w:tc>
          <w:tcPr>
            <w:tcW w:w="0" w:type="auto"/>
            <w:gridSpan w:val="3"/>
            <w:shd w:val="clear" w:color="auto" w:fill="auto"/>
            <w:vAlign w:val="bottom"/>
          </w:tcPr>
          <w:p w14:paraId="392BF9DC" w14:textId="77777777" w:rsidR="00980E5F" w:rsidRDefault="00980E5F">
            <w:pPr>
              <w:rPr>
                <w:rFonts w:ascii="宋体"/>
                <w:vanish/>
              </w:rPr>
            </w:pPr>
          </w:p>
        </w:tc>
        <w:tc>
          <w:tcPr>
            <w:tcW w:w="0" w:type="auto"/>
            <w:shd w:val="clear" w:color="auto" w:fill="auto"/>
            <w:vAlign w:val="bottom"/>
          </w:tcPr>
          <w:p w14:paraId="392BF9DD" w14:textId="77777777" w:rsidR="00980E5F" w:rsidRDefault="00980E5F">
            <w:pPr>
              <w:rPr>
                <w:rFonts w:ascii="宋体"/>
                <w:vanish/>
              </w:rPr>
            </w:pPr>
          </w:p>
        </w:tc>
      </w:tr>
      <w:tr w:rsidR="00980E5F" w14:paraId="392BF9EC" w14:textId="77777777">
        <w:trPr>
          <w:hidden/>
        </w:trPr>
        <w:tc>
          <w:tcPr>
            <w:tcW w:w="0" w:type="auto"/>
            <w:gridSpan w:val="3"/>
            <w:shd w:val="clear" w:color="auto" w:fill="auto"/>
            <w:vAlign w:val="bottom"/>
          </w:tcPr>
          <w:p w14:paraId="392BF9DF" w14:textId="77777777" w:rsidR="00980E5F" w:rsidRDefault="00980E5F">
            <w:pPr>
              <w:rPr>
                <w:rFonts w:ascii="宋体"/>
                <w:vanish/>
              </w:rPr>
            </w:pPr>
          </w:p>
        </w:tc>
        <w:tc>
          <w:tcPr>
            <w:tcW w:w="0" w:type="auto"/>
            <w:gridSpan w:val="3"/>
            <w:shd w:val="clear" w:color="auto" w:fill="auto"/>
            <w:vAlign w:val="bottom"/>
          </w:tcPr>
          <w:p w14:paraId="392BF9E0" w14:textId="77777777" w:rsidR="00980E5F" w:rsidRDefault="00980E5F">
            <w:pPr>
              <w:rPr>
                <w:rFonts w:ascii="宋体"/>
                <w:vanish/>
              </w:rPr>
            </w:pPr>
          </w:p>
        </w:tc>
        <w:tc>
          <w:tcPr>
            <w:tcW w:w="0" w:type="auto"/>
            <w:gridSpan w:val="3"/>
            <w:shd w:val="clear" w:color="auto" w:fill="auto"/>
            <w:vAlign w:val="bottom"/>
          </w:tcPr>
          <w:p w14:paraId="392BF9E1" w14:textId="77777777" w:rsidR="00980E5F" w:rsidRDefault="00980E5F">
            <w:pPr>
              <w:rPr>
                <w:rFonts w:ascii="宋体"/>
                <w:vanish/>
              </w:rPr>
            </w:pPr>
          </w:p>
        </w:tc>
        <w:tc>
          <w:tcPr>
            <w:tcW w:w="0" w:type="auto"/>
            <w:gridSpan w:val="3"/>
            <w:shd w:val="clear" w:color="auto" w:fill="auto"/>
            <w:vAlign w:val="bottom"/>
          </w:tcPr>
          <w:p w14:paraId="392BF9E2" w14:textId="77777777" w:rsidR="00980E5F" w:rsidRDefault="00980E5F">
            <w:pPr>
              <w:rPr>
                <w:rFonts w:ascii="宋体"/>
                <w:vanish/>
              </w:rPr>
            </w:pPr>
          </w:p>
        </w:tc>
        <w:tc>
          <w:tcPr>
            <w:tcW w:w="0" w:type="auto"/>
            <w:gridSpan w:val="3"/>
            <w:shd w:val="clear" w:color="auto" w:fill="auto"/>
            <w:vAlign w:val="bottom"/>
          </w:tcPr>
          <w:p w14:paraId="392BF9E3" w14:textId="77777777" w:rsidR="00980E5F" w:rsidRDefault="00980E5F">
            <w:pPr>
              <w:rPr>
                <w:rFonts w:ascii="宋体"/>
                <w:vanish/>
              </w:rPr>
            </w:pPr>
          </w:p>
        </w:tc>
        <w:tc>
          <w:tcPr>
            <w:tcW w:w="0" w:type="auto"/>
            <w:gridSpan w:val="3"/>
            <w:shd w:val="clear" w:color="auto" w:fill="auto"/>
            <w:vAlign w:val="bottom"/>
          </w:tcPr>
          <w:p w14:paraId="392BF9E4" w14:textId="77777777" w:rsidR="00980E5F" w:rsidRDefault="00980E5F">
            <w:pPr>
              <w:rPr>
                <w:rFonts w:ascii="宋体"/>
                <w:vanish/>
              </w:rPr>
            </w:pPr>
          </w:p>
        </w:tc>
        <w:tc>
          <w:tcPr>
            <w:tcW w:w="0" w:type="auto"/>
            <w:gridSpan w:val="3"/>
            <w:shd w:val="clear" w:color="auto" w:fill="auto"/>
            <w:vAlign w:val="bottom"/>
          </w:tcPr>
          <w:p w14:paraId="392BF9E5" w14:textId="77777777" w:rsidR="00980E5F" w:rsidRDefault="00980E5F">
            <w:pPr>
              <w:rPr>
                <w:rFonts w:ascii="宋体"/>
                <w:vanish/>
              </w:rPr>
            </w:pPr>
          </w:p>
        </w:tc>
        <w:tc>
          <w:tcPr>
            <w:tcW w:w="0" w:type="auto"/>
            <w:gridSpan w:val="3"/>
            <w:shd w:val="clear" w:color="auto" w:fill="auto"/>
            <w:vAlign w:val="bottom"/>
          </w:tcPr>
          <w:p w14:paraId="392BF9E6" w14:textId="77777777" w:rsidR="00980E5F" w:rsidRDefault="00980E5F">
            <w:pPr>
              <w:rPr>
                <w:rFonts w:ascii="宋体"/>
                <w:vanish/>
              </w:rPr>
            </w:pPr>
          </w:p>
        </w:tc>
        <w:tc>
          <w:tcPr>
            <w:tcW w:w="0" w:type="auto"/>
            <w:gridSpan w:val="3"/>
            <w:shd w:val="clear" w:color="auto" w:fill="auto"/>
            <w:vAlign w:val="bottom"/>
          </w:tcPr>
          <w:p w14:paraId="392BF9E7" w14:textId="77777777" w:rsidR="00980E5F" w:rsidRDefault="00980E5F">
            <w:pPr>
              <w:rPr>
                <w:rFonts w:ascii="宋体"/>
                <w:vanish/>
              </w:rPr>
            </w:pPr>
          </w:p>
        </w:tc>
        <w:tc>
          <w:tcPr>
            <w:tcW w:w="0" w:type="auto"/>
            <w:gridSpan w:val="3"/>
            <w:shd w:val="clear" w:color="auto" w:fill="auto"/>
            <w:vAlign w:val="bottom"/>
          </w:tcPr>
          <w:p w14:paraId="392BF9E8" w14:textId="77777777" w:rsidR="00980E5F" w:rsidRDefault="00980E5F">
            <w:pPr>
              <w:rPr>
                <w:rFonts w:ascii="宋体"/>
                <w:vanish/>
              </w:rPr>
            </w:pPr>
          </w:p>
        </w:tc>
        <w:tc>
          <w:tcPr>
            <w:tcW w:w="0" w:type="auto"/>
            <w:gridSpan w:val="3"/>
            <w:shd w:val="clear" w:color="auto" w:fill="auto"/>
            <w:vAlign w:val="bottom"/>
          </w:tcPr>
          <w:p w14:paraId="392BF9E9" w14:textId="77777777" w:rsidR="00980E5F" w:rsidRDefault="00980E5F">
            <w:pPr>
              <w:rPr>
                <w:rFonts w:ascii="宋体"/>
                <w:vanish/>
              </w:rPr>
            </w:pPr>
          </w:p>
        </w:tc>
        <w:tc>
          <w:tcPr>
            <w:tcW w:w="0" w:type="auto"/>
            <w:gridSpan w:val="3"/>
            <w:shd w:val="clear" w:color="auto" w:fill="auto"/>
            <w:vAlign w:val="bottom"/>
          </w:tcPr>
          <w:p w14:paraId="392BF9EA" w14:textId="77777777" w:rsidR="00980E5F" w:rsidRDefault="00980E5F">
            <w:pPr>
              <w:rPr>
                <w:rFonts w:ascii="宋体"/>
                <w:vanish/>
              </w:rPr>
            </w:pPr>
          </w:p>
        </w:tc>
        <w:tc>
          <w:tcPr>
            <w:tcW w:w="0" w:type="auto"/>
            <w:shd w:val="clear" w:color="auto" w:fill="auto"/>
            <w:vAlign w:val="bottom"/>
          </w:tcPr>
          <w:p w14:paraId="392BF9EB" w14:textId="77777777" w:rsidR="00980E5F" w:rsidRDefault="00980E5F">
            <w:pPr>
              <w:rPr>
                <w:rFonts w:ascii="宋体"/>
                <w:vanish/>
              </w:rPr>
            </w:pPr>
          </w:p>
        </w:tc>
      </w:tr>
      <w:tr w:rsidR="00980E5F" w14:paraId="392BF9FA" w14:textId="77777777">
        <w:trPr>
          <w:hidden/>
        </w:trPr>
        <w:tc>
          <w:tcPr>
            <w:tcW w:w="0" w:type="auto"/>
            <w:gridSpan w:val="3"/>
            <w:shd w:val="clear" w:color="auto" w:fill="auto"/>
            <w:vAlign w:val="bottom"/>
          </w:tcPr>
          <w:p w14:paraId="392BF9ED" w14:textId="77777777" w:rsidR="00980E5F" w:rsidRDefault="00980E5F">
            <w:pPr>
              <w:rPr>
                <w:rFonts w:ascii="宋体"/>
                <w:vanish/>
              </w:rPr>
            </w:pPr>
          </w:p>
        </w:tc>
        <w:tc>
          <w:tcPr>
            <w:tcW w:w="0" w:type="auto"/>
            <w:gridSpan w:val="3"/>
            <w:shd w:val="clear" w:color="auto" w:fill="auto"/>
            <w:vAlign w:val="bottom"/>
          </w:tcPr>
          <w:p w14:paraId="392BF9EE" w14:textId="77777777" w:rsidR="00980E5F" w:rsidRDefault="00980E5F">
            <w:pPr>
              <w:rPr>
                <w:rFonts w:ascii="宋体"/>
                <w:vanish/>
              </w:rPr>
            </w:pPr>
          </w:p>
        </w:tc>
        <w:tc>
          <w:tcPr>
            <w:tcW w:w="0" w:type="auto"/>
            <w:gridSpan w:val="3"/>
            <w:shd w:val="clear" w:color="auto" w:fill="auto"/>
            <w:vAlign w:val="bottom"/>
          </w:tcPr>
          <w:p w14:paraId="392BF9EF" w14:textId="77777777" w:rsidR="00980E5F" w:rsidRDefault="00980E5F">
            <w:pPr>
              <w:rPr>
                <w:rFonts w:ascii="宋体"/>
                <w:vanish/>
              </w:rPr>
            </w:pPr>
          </w:p>
        </w:tc>
        <w:tc>
          <w:tcPr>
            <w:tcW w:w="0" w:type="auto"/>
            <w:gridSpan w:val="3"/>
            <w:shd w:val="clear" w:color="auto" w:fill="auto"/>
            <w:vAlign w:val="bottom"/>
          </w:tcPr>
          <w:p w14:paraId="392BF9F0" w14:textId="77777777" w:rsidR="00980E5F" w:rsidRDefault="00980E5F">
            <w:pPr>
              <w:rPr>
                <w:rFonts w:ascii="宋体"/>
                <w:vanish/>
              </w:rPr>
            </w:pPr>
          </w:p>
        </w:tc>
        <w:tc>
          <w:tcPr>
            <w:tcW w:w="0" w:type="auto"/>
            <w:gridSpan w:val="3"/>
            <w:shd w:val="clear" w:color="auto" w:fill="auto"/>
            <w:vAlign w:val="bottom"/>
          </w:tcPr>
          <w:p w14:paraId="392BF9F1" w14:textId="77777777" w:rsidR="00980E5F" w:rsidRDefault="00980E5F">
            <w:pPr>
              <w:rPr>
                <w:rFonts w:ascii="宋体"/>
                <w:vanish/>
              </w:rPr>
            </w:pPr>
          </w:p>
        </w:tc>
        <w:tc>
          <w:tcPr>
            <w:tcW w:w="0" w:type="auto"/>
            <w:gridSpan w:val="3"/>
            <w:shd w:val="clear" w:color="auto" w:fill="auto"/>
            <w:vAlign w:val="bottom"/>
          </w:tcPr>
          <w:p w14:paraId="392BF9F2" w14:textId="77777777" w:rsidR="00980E5F" w:rsidRDefault="00980E5F">
            <w:pPr>
              <w:rPr>
                <w:rFonts w:ascii="宋体"/>
                <w:vanish/>
              </w:rPr>
            </w:pPr>
          </w:p>
        </w:tc>
        <w:tc>
          <w:tcPr>
            <w:tcW w:w="0" w:type="auto"/>
            <w:gridSpan w:val="3"/>
            <w:shd w:val="clear" w:color="auto" w:fill="auto"/>
            <w:vAlign w:val="bottom"/>
          </w:tcPr>
          <w:p w14:paraId="392BF9F3" w14:textId="77777777" w:rsidR="00980E5F" w:rsidRDefault="00980E5F">
            <w:pPr>
              <w:rPr>
                <w:rFonts w:ascii="宋体"/>
                <w:vanish/>
              </w:rPr>
            </w:pPr>
          </w:p>
        </w:tc>
        <w:tc>
          <w:tcPr>
            <w:tcW w:w="0" w:type="auto"/>
            <w:gridSpan w:val="3"/>
            <w:shd w:val="clear" w:color="auto" w:fill="auto"/>
            <w:vAlign w:val="bottom"/>
          </w:tcPr>
          <w:p w14:paraId="392BF9F4" w14:textId="77777777" w:rsidR="00980E5F" w:rsidRDefault="00980E5F">
            <w:pPr>
              <w:rPr>
                <w:rFonts w:ascii="宋体"/>
                <w:vanish/>
              </w:rPr>
            </w:pPr>
          </w:p>
        </w:tc>
        <w:tc>
          <w:tcPr>
            <w:tcW w:w="0" w:type="auto"/>
            <w:gridSpan w:val="3"/>
            <w:shd w:val="clear" w:color="auto" w:fill="auto"/>
            <w:vAlign w:val="bottom"/>
          </w:tcPr>
          <w:p w14:paraId="392BF9F5" w14:textId="77777777" w:rsidR="00980E5F" w:rsidRDefault="00980E5F">
            <w:pPr>
              <w:rPr>
                <w:rFonts w:ascii="宋体"/>
                <w:vanish/>
              </w:rPr>
            </w:pPr>
          </w:p>
        </w:tc>
        <w:tc>
          <w:tcPr>
            <w:tcW w:w="0" w:type="auto"/>
            <w:gridSpan w:val="3"/>
            <w:shd w:val="clear" w:color="auto" w:fill="auto"/>
            <w:vAlign w:val="bottom"/>
          </w:tcPr>
          <w:p w14:paraId="392BF9F6" w14:textId="77777777" w:rsidR="00980E5F" w:rsidRDefault="00980E5F">
            <w:pPr>
              <w:rPr>
                <w:rFonts w:ascii="宋体"/>
                <w:vanish/>
              </w:rPr>
            </w:pPr>
          </w:p>
        </w:tc>
        <w:tc>
          <w:tcPr>
            <w:tcW w:w="0" w:type="auto"/>
            <w:gridSpan w:val="3"/>
            <w:shd w:val="clear" w:color="auto" w:fill="auto"/>
            <w:vAlign w:val="bottom"/>
          </w:tcPr>
          <w:p w14:paraId="392BF9F7" w14:textId="77777777" w:rsidR="00980E5F" w:rsidRDefault="00980E5F">
            <w:pPr>
              <w:rPr>
                <w:rFonts w:ascii="宋体"/>
                <w:vanish/>
              </w:rPr>
            </w:pPr>
          </w:p>
        </w:tc>
        <w:tc>
          <w:tcPr>
            <w:tcW w:w="0" w:type="auto"/>
            <w:gridSpan w:val="3"/>
            <w:shd w:val="clear" w:color="auto" w:fill="auto"/>
            <w:vAlign w:val="bottom"/>
          </w:tcPr>
          <w:p w14:paraId="392BF9F8" w14:textId="77777777" w:rsidR="00980E5F" w:rsidRDefault="00980E5F">
            <w:pPr>
              <w:rPr>
                <w:rFonts w:ascii="宋体"/>
                <w:vanish/>
              </w:rPr>
            </w:pPr>
          </w:p>
        </w:tc>
        <w:tc>
          <w:tcPr>
            <w:tcW w:w="0" w:type="auto"/>
            <w:shd w:val="clear" w:color="auto" w:fill="auto"/>
            <w:vAlign w:val="bottom"/>
          </w:tcPr>
          <w:p w14:paraId="392BF9F9" w14:textId="77777777" w:rsidR="00980E5F" w:rsidRDefault="00980E5F">
            <w:pPr>
              <w:rPr>
                <w:rFonts w:ascii="宋体"/>
                <w:vanish/>
              </w:rPr>
            </w:pPr>
          </w:p>
        </w:tc>
      </w:tr>
      <w:tr w:rsidR="00980E5F" w14:paraId="392BFA08" w14:textId="77777777">
        <w:trPr>
          <w:hidden/>
        </w:trPr>
        <w:tc>
          <w:tcPr>
            <w:tcW w:w="0" w:type="auto"/>
            <w:gridSpan w:val="3"/>
            <w:shd w:val="clear" w:color="auto" w:fill="auto"/>
            <w:vAlign w:val="bottom"/>
          </w:tcPr>
          <w:p w14:paraId="392BF9FB" w14:textId="77777777" w:rsidR="00980E5F" w:rsidRDefault="00980E5F">
            <w:pPr>
              <w:rPr>
                <w:rFonts w:ascii="宋体"/>
                <w:vanish/>
              </w:rPr>
            </w:pPr>
          </w:p>
        </w:tc>
        <w:tc>
          <w:tcPr>
            <w:tcW w:w="0" w:type="auto"/>
            <w:gridSpan w:val="3"/>
            <w:shd w:val="clear" w:color="auto" w:fill="auto"/>
            <w:vAlign w:val="bottom"/>
          </w:tcPr>
          <w:p w14:paraId="392BF9FC" w14:textId="77777777" w:rsidR="00980E5F" w:rsidRDefault="00980E5F">
            <w:pPr>
              <w:rPr>
                <w:rFonts w:ascii="宋体"/>
                <w:vanish/>
              </w:rPr>
            </w:pPr>
          </w:p>
        </w:tc>
        <w:tc>
          <w:tcPr>
            <w:tcW w:w="0" w:type="auto"/>
            <w:gridSpan w:val="3"/>
            <w:shd w:val="clear" w:color="auto" w:fill="auto"/>
            <w:vAlign w:val="bottom"/>
          </w:tcPr>
          <w:p w14:paraId="392BF9FD" w14:textId="77777777" w:rsidR="00980E5F" w:rsidRDefault="00980E5F">
            <w:pPr>
              <w:rPr>
                <w:rFonts w:ascii="宋体"/>
                <w:vanish/>
              </w:rPr>
            </w:pPr>
          </w:p>
        </w:tc>
        <w:tc>
          <w:tcPr>
            <w:tcW w:w="0" w:type="auto"/>
            <w:gridSpan w:val="3"/>
            <w:shd w:val="clear" w:color="auto" w:fill="auto"/>
            <w:vAlign w:val="bottom"/>
          </w:tcPr>
          <w:p w14:paraId="392BF9FE" w14:textId="77777777" w:rsidR="00980E5F" w:rsidRDefault="00980E5F">
            <w:pPr>
              <w:rPr>
                <w:rFonts w:ascii="宋体"/>
                <w:vanish/>
              </w:rPr>
            </w:pPr>
          </w:p>
        </w:tc>
        <w:tc>
          <w:tcPr>
            <w:tcW w:w="0" w:type="auto"/>
            <w:gridSpan w:val="3"/>
            <w:shd w:val="clear" w:color="auto" w:fill="auto"/>
            <w:vAlign w:val="bottom"/>
          </w:tcPr>
          <w:p w14:paraId="392BF9FF" w14:textId="77777777" w:rsidR="00980E5F" w:rsidRDefault="00980E5F">
            <w:pPr>
              <w:rPr>
                <w:rFonts w:ascii="宋体"/>
                <w:vanish/>
              </w:rPr>
            </w:pPr>
          </w:p>
        </w:tc>
        <w:tc>
          <w:tcPr>
            <w:tcW w:w="0" w:type="auto"/>
            <w:gridSpan w:val="3"/>
            <w:shd w:val="clear" w:color="auto" w:fill="auto"/>
            <w:vAlign w:val="bottom"/>
          </w:tcPr>
          <w:p w14:paraId="392BFA00" w14:textId="77777777" w:rsidR="00980E5F" w:rsidRDefault="00980E5F">
            <w:pPr>
              <w:rPr>
                <w:rFonts w:ascii="宋体"/>
                <w:vanish/>
              </w:rPr>
            </w:pPr>
          </w:p>
        </w:tc>
        <w:tc>
          <w:tcPr>
            <w:tcW w:w="0" w:type="auto"/>
            <w:gridSpan w:val="3"/>
            <w:shd w:val="clear" w:color="auto" w:fill="auto"/>
            <w:vAlign w:val="bottom"/>
          </w:tcPr>
          <w:p w14:paraId="392BFA01" w14:textId="77777777" w:rsidR="00980E5F" w:rsidRDefault="00980E5F">
            <w:pPr>
              <w:rPr>
                <w:rFonts w:ascii="宋体"/>
                <w:vanish/>
              </w:rPr>
            </w:pPr>
          </w:p>
        </w:tc>
        <w:tc>
          <w:tcPr>
            <w:tcW w:w="0" w:type="auto"/>
            <w:gridSpan w:val="3"/>
            <w:shd w:val="clear" w:color="auto" w:fill="auto"/>
            <w:vAlign w:val="bottom"/>
          </w:tcPr>
          <w:p w14:paraId="392BFA02" w14:textId="77777777" w:rsidR="00980E5F" w:rsidRDefault="00980E5F">
            <w:pPr>
              <w:rPr>
                <w:rFonts w:ascii="宋体"/>
                <w:vanish/>
              </w:rPr>
            </w:pPr>
          </w:p>
        </w:tc>
        <w:tc>
          <w:tcPr>
            <w:tcW w:w="0" w:type="auto"/>
            <w:gridSpan w:val="3"/>
            <w:shd w:val="clear" w:color="auto" w:fill="auto"/>
            <w:vAlign w:val="bottom"/>
          </w:tcPr>
          <w:p w14:paraId="392BFA03" w14:textId="77777777" w:rsidR="00980E5F" w:rsidRDefault="00980E5F">
            <w:pPr>
              <w:rPr>
                <w:rFonts w:ascii="宋体"/>
                <w:vanish/>
              </w:rPr>
            </w:pPr>
          </w:p>
        </w:tc>
        <w:tc>
          <w:tcPr>
            <w:tcW w:w="0" w:type="auto"/>
            <w:gridSpan w:val="3"/>
            <w:shd w:val="clear" w:color="auto" w:fill="auto"/>
            <w:vAlign w:val="bottom"/>
          </w:tcPr>
          <w:p w14:paraId="392BFA04" w14:textId="77777777" w:rsidR="00980E5F" w:rsidRDefault="00980E5F">
            <w:pPr>
              <w:rPr>
                <w:rFonts w:ascii="宋体"/>
                <w:vanish/>
              </w:rPr>
            </w:pPr>
          </w:p>
        </w:tc>
        <w:tc>
          <w:tcPr>
            <w:tcW w:w="0" w:type="auto"/>
            <w:gridSpan w:val="3"/>
            <w:shd w:val="clear" w:color="auto" w:fill="auto"/>
            <w:vAlign w:val="bottom"/>
          </w:tcPr>
          <w:p w14:paraId="392BFA05" w14:textId="77777777" w:rsidR="00980E5F" w:rsidRDefault="00980E5F">
            <w:pPr>
              <w:rPr>
                <w:rFonts w:ascii="宋体"/>
                <w:vanish/>
              </w:rPr>
            </w:pPr>
          </w:p>
        </w:tc>
        <w:tc>
          <w:tcPr>
            <w:tcW w:w="0" w:type="auto"/>
            <w:gridSpan w:val="3"/>
            <w:shd w:val="clear" w:color="auto" w:fill="auto"/>
            <w:vAlign w:val="bottom"/>
          </w:tcPr>
          <w:p w14:paraId="392BFA06" w14:textId="77777777" w:rsidR="00980E5F" w:rsidRDefault="00980E5F">
            <w:pPr>
              <w:rPr>
                <w:rFonts w:ascii="宋体"/>
                <w:vanish/>
              </w:rPr>
            </w:pPr>
          </w:p>
        </w:tc>
        <w:tc>
          <w:tcPr>
            <w:tcW w:w="0" w:type="auto"/>
            <w:shd w:val="clear" w:color="auto" w:fill="auto"/>
            <w:vAlign w:val="bottom"/>
          </w:tcPr>
          <w:p w14:paraId="392BFA07" w14:textId="77777777" w:rsidR="00980E5F" w:rsidRDefault="00980E5F">
            <w:pPr>
              <w:rPr>
                <w:rFonts w:ascii="宋体"/>
                <w:vanish/>
              </w:rPr>
            </w:pPr>
          </w:p>
        </w:tc>
      </w:tr>
      <w:tr w:rsidR="00980E5F" w14:paraId="392BFA16" w14:textId="77777777">
        <w:trPr>
          <w:hidden/>
        </w:trPr>
        <w:tc>
          <w:tcPr>
            <w:tcW w:w="0" w:type="auto"/>
            <w:gridSpan w:val="3"/>
            <w:shd w:val="clear" w:color="auto" w:fill="auto"/>
            <w:vAlign w:val="bottom"/>
          </w:tcPr>
          <w:p w14:paraId="392BFA09" w14:textId="77777777" w:rsidR="00980E5F" w:rsidRDefault="00980E5F">
            <w:pPr>
              <w:rPr>
                <w:rFonts w:ascii="宋体"/>
                <w:vanish/>
              </w:rPr>
            </w:pPr>
          </w:p>
        </w:tc>
        <w:tc>
          <w:tcPr>
            <w:tcW w:w="0" w:type="auto"/>
            <w:gridSpan w:val="3"/>
            <w:shd w:val="clear" w:color="auto" w:fill="auto"/>
            <w:vAlign w:val="bottom"/>
          </w:tcPr>
          <w:p w14:paraId="392BFA0A" w14:textId="77777777" w:rsidR="00980E5F" w:rsidRDefault="00980E5F">
            <w:pPr>
              <w:rPr>
                <w:rFonts w:ascii="宋体"/>
                <w:vanish/>
              </w:rPr>
            </w:pPr>
          </w:p>
        </w:tc>
        <w:tc>
          <w:tcPr>
            <w:tcW w:w="0" w:type="auto"/>
            <w:gridSpan w:val="3"/>
            <w:shd w:val="clear" w:color="auto" w:fill="auto"/>
            <w:vAlign w:val="bottom"/>
          </w:tcPr>
          <w:p w14:paraId="392BFA0B" w14:textId="77777777" w:rsidR="00980E5F" w:rsidRDefault="00980E5F">
            <w:pPr>
              <w:rPr>
                <w:rFonts w:ascii="宋体"/>
                <w:vanish/>
              </w:rPr>
            </w:pPr>
          </w:p>
        </w:tc>
        <w:tc>
          <w:tcPr>
            <w:tcW w:w="0" w:type="auto"/>
            <w:gridSpan w:val="3"/>
            <w:shd w:val="clear" w:color="auto" w:fill="auto"/>
            <w:vAlign w:val="bottom"/>
          </w:tcPr>
          <w:p w14:paraId="392BFA0C" w14:textId="77777777" w:rsidR="00980E5F" w:rsidRDefault="00980E5F">
            <w:pPr>
              <w:rPr>
                <w:rFonts w:ascii="宋体"/>
                <w:vanish/>
              </w:rPr>
            </w:pPr>
          </w:p>
        </w:tc>
        <w:tc>
          <w:tcPr>
            <w:tcW w:w="0" w:type="auto"/>
            <w:gridSpan w:val="3"/>
            <w:shd w:val="clear" w:color="auto" w:fill="auto"/>
            <w:vAlign w:val="bottom"/>
          </w:tcPr>
          <w:p w14:paraId="392BFA0D" w14:textId="77777777" w:rsidR="00980E5F" w:rsidRDefault="00980E5F">
            <w:pPr>
              <w:rPr>
                <w:rFonts w:ascii="宋体"/>
                <w:vanish/>
              </w:rPr>
            </w:pPr>
          </w:p>
        </w:tc>
        <w:tc>
          <w:tcPr>
            <w:tcW w:w="0" w:type="auto"/>
            <w:gridSpan w:val="3"/>
            <w:shd w:val="clear" w:color="auto" w:fill="auto"/>
            <w:vAlign w:val="bottom"/>
          </w:tcPr>
          <w:p w14:paraId="392BFA0E" w14:textId="77777777" w:rsidR="00980E5F" w:rsidRDefault="00980E5F">
            <w:pPr>
              <w:rPr>
                <w:rFonts w:ascii="宋体"/>
                <w:vanish/>
              </w:rPr>
            </w:pPr>
          </w:p>
        </w:tc>
        <w:tc>
          <w:tcPr>
            <w:tcW w:w="0" w:type="auto"/>
            <w:gridSpan w:val="3"/>
            <w:shd w:val="clear" w:color="auto" w:fill="auto"/>
            <w:vAlign w:val="bottom"/>
          </w:tcPr>
          <w:p w14:paraId="392BFA0F" w14:textId="77777777" w:rsidR="00980E5F" w:rsidRDefault="00980E5F">
            <w:pPr>
              <w:rPr>
                <w:rFonts w:ascii="宋体"/>
                <w:vanish/>
              </w:rPr>
            </w:pPr>
          </w:p>
        </w:tc>
        <w:tc>
          <w:tcPr>
            <w:tcW w:w="0" w:type="auto"/>
            <w:gridSpan w:val="3"/>
            <w:shd w:val="clear" w:color="auto" w:fill="auto"/>
            <w:vAlign w:val="bottom"/>
          </w:tcPr>
          <w:p w14:paraId="392BFA10" w14:textId="77777777" w:rsidR="00980E5F" w:rsidRDefault="00980E5F">
            <w:pPr>
              <w:rPr>
                <w:rFonts w:ascii="宋体"/>
                <w:vanish/>
              </w:rPr>
            </w:pPr>
          </w:p>
        </w:tc>
        <w:tc>
          <w:tcPr>
            <w:tcW w:w="0" w:type="auto"/>
            <w:gridSpan w:val="3"/>
            <w:shd w:val="clear" w:color="auto" w:fill="auto"/>
            <w:vAlign w:val="bottom"/>
          </w:tcPr>
          <w:p w14:paraId="392BFA11" w14:textId="77777777" w:rsidR="00980E5F" w:rsidRDefault="00980E5F">
            <w:pPr>
              <w:rPr>
                <w:rFonts w:ascii="宋体"/>
                <w:vanish/>
              </w:rPr>
            </w:pPr>
          </w:p>
        </w:tc>
        <w:tc>
          <w:tcPr>
            <w:tcW w:w="0" w:type="auto"/>
            <w:gridSpan w:val="3"/>
            <w:shd w:val="clear" w:color="auto" w:fill="auto"/>
            <w:vAlign w:val="bottom"/>
          </w:tcPr>
          <w:p w14:paraId="392BFA12" w14:textId="77777777" w:rsidR="00980E5F" w:rsidRDefault="00980E5F">
            <w:pPr>
              <w:rPr>
                <w:rFonts w:ascii="宋体"/>
                <w:vanish/>
              </w:rPr>
            </w:pPr>
          </w:p>
        </w:tc>
        <w:tc>
          <w:tcPr>
            <w:tcW w:w="0" w:type="auto"/>
            <w:gridSpan w:val="3"/>
            <w:shd w:val="clear" w:color="auto" w:fill="auto"/>
            <w:vAlign w:val="bottom"/>
          </w:tcPr>
          <w:p w14:paraId="392BFA13" w14:textId="77777777" w:rsidR="00980E5F" w:rsidRDefault="00980E5F">
            <w:pPr>
              <w:rPr>
                <w:rFonts w:ascii="宋体"/>
                <w:vanish/>
              </w:rPr>
            </w:pPr>
          </w:p>
        </w:tc>
        <w:tc>
          <w:tcPr>
            <w:tcW w:w="0" w:type="auto"/>
            <w:gridSpan w:val="3"/>
            <w:shd w:val="clear" w:color="auto" w:fill="auto"/>
            <w:vAlign w:val="bottom"/>
          </w:tcPr>
          <w:p w14:paraId="392BFA14" w14:textId="77777777" w:rsidR="00980E5F" w:rsidRDefault="00980E5F">
            <w:pPr>
              <w:rPr>
                <w:rFonts w:ascii="宋体"/>
                <w:vanish/>
              </w:rPr>
            </w:pPr>
          </w:p>
        </w:tc>
        <w:tc>
          <w:tcPr>
            <w:tcW w:w="0" w:type="auto"/>
            <w:shd w:val="clear" w:color="auto" w:fill="auto"/>
            <w:vAlign w:val="bottom"/>
          </w:tcPr>
          <w:p w14:paraId="392BFA15" w14:textId="77777777" w:rsidR="00980E5F" w:rsidRDefault="00980E5F">
            <w:pPr>
              <w:rPr>
                <w:rFonts w:ascii="宋体"/>
                <w:vanish/>
              </w:rPr>
            </w:pPr>
          </w:p>
        </w:tc>
      </w:tr>
      <w:tr w:rsidR="00980E5F" w14:paraId="392BFA24" w14:textId="77777777">
        <w:trPr>
          <w:hidden/>
        </w:trPr>
        <w:tc>
          <w:tcPr>
            <w:tcW w:w="0" w:type="auto"/>
            <w:gridSpan w:val="3"/>
            <w:shd w:val="clear" w:color="auto" w:fill="auto"/>
            <w:vAlign w:val="bottom"/>
          </w:tcPr>
          <w:p w14:paraId="392BFA17" w14:textId="77777777" w:rsidR="00980E5F" w:rsidRDefault="00980E5F">
            <w:pPr>
              <w:rPr>
                <w:rFonts w:ascii="宋体"/>
                <w:vanish/>
              </w:rPr>
            </w:pPr>
          </w:p>
        </w:tc>
        <w:tc>
          <w:tcPr>
            <w:tcW w:w="0" w:type="auto"/>
            <w:gridSpan w:val="3"/>
            <w:shd w:val="clear" w:color="auto" w:fill="auto"/>
            <w:vAlign w:val="bottom"/>
          </w:tcPr>
          <w:p w14:paraId="392BFA18" w14:textId="77777777" w:rsidR="00980E5F" w:rsidRDefault="00980E5F">
            <w:pPr>
              <w:rPr>
                <w:rFonts w:ascii="宋体"/>
                <w:vanish/>
              </w:rPr>
            </w:pPr>
          </w:p>
        </w:tc>
        <w:tc>
          <w:tcPr>
            <w:tcW w:w="0" w:type="auto"/>
            <w:gridSpan w:val="3"/>
            <w:shd w:val="clear" w:color="auto" w:fill="auto"/>
            <w:vAlign w:val="bottom"/>
          </w:tcPr>
          <w:p w14:paraId="392BFA19" w14:textId="77777777" w:rsidR="00980E5F" w:rsidRDefault="00980E5F">
            <w:pPr>
              <w:rPr>
                <w:rFonts w:ascii="宋体"/>
                <w:vanish/>
              </w:rPr>
            </w:pPr>
          </w:p>
        </w:tc>
        <w:tc>
          <w:tcPr>
            <w:tcW w:w="0" w:type="auto"/>
            <w:gridSpan w:val="3"/>
            <w:shd w:val="clear" w:color="auto" w:fill="auto"/>
            <w:vAlign w:val="bottom"/>
          </w:tcPr>
          <w:p w14:paraId="392BFA1A" w14:textId="77777777" w:rsidR="00980E5F" w:rsidRDefault="00980E5F">
            <w:pPr>
              <w:rPr>
                <w:rFonts w:ascii="宋体"/>
                <w:vanish/>
              </w:rPr>
            </w:pPr>
          </w:p>
        </w:tc>
        <w:tc>
          <w:tcPr>
            <w:tcW w:w="0" w:type="auto"/>
            <w:gridSpan w:val="3"/>
            <w:shd w:val="clear" w:color="auto" w:fill="auto"/>
            <w:vAlign w:val="bottom"/>
          </w:tcPr>
          <w:p w14:paraId="392BFA1B" w14:textId="77777777" w:rsidR="00980E5F" w:rsidRDefault="00980E5F">
            <w:pPr>
              <w:rPr>
                <w:rFonts w:ascii="宋体"/>
                <w:vanish/>
              </w:rPr>
            </w:pPr>
          </w:p>
        </w:tc>
        <w:tc>
          <w:tcPr>
            <w:tcW w:w="0" w:type="auto"/>
            <w:gridSpan w:val="3"/>
            <w:shd w:val="clear" w:color="auto" w:fill="auto"/>
            <w:vAlign w:val="bottom"/>
          </w:tcPr>
          <w:p w14:paraId="392BFA1C" w14:textId="77777777" w:rsidR="00980E5F" w:rsidRDefault="00980E5F">
            <w:pPr>
              <w:rPr>
                <w:rFonts w:ascii="宋体"/>
                <w:vanish/>
              </w:rPr>
            </w:pPr>
          </w:p>
        </w:tc>
        <w:tc>
          <w:tcPr>
            <w:tcW w:w="0" w:type="auto"/>
            <w:gridSpan w:val="3"/>
            <w:shd w:val="clear" w:color="auto" w:fill="auto"/>
            <w:vAlign w:val="bottom"/>
          </w:tcPr>
          <w:p w14:paraId="392BFA1D" w14:textId="77777777" w:rsidR="00980E5F" w:rsidRDefault="00980E5F">
            <w:pPr>
              <w:rPr>
                <w:rFonts w:ascii="宋体"/>
                <w:vanish/>
              </w:rPr>
            </w:pPr>
          </w:p>
        </w:tc>
        <w:tc>
          <w:tcPr>
            <w:tcW w:w="0" w:type="auto"/>
            <w:gridSpan w:val="3"/>
            <w:shd w:val="clear" w:color="auto" w:fill="auto"/>
            <w:vAlign w:val="bottom"/>
          </w:tcPr>
          <w:p w14:paraId="392BFA1E" w14:textId="77777777" w:rsidR="00980E5F" w:rsidRDefault="00980E5F">
            <w:pPr>
              <w:rPr>
                <w:rFonts w:ascii="宋体"/>
                <w:vanish/>
              </w:rPr>
            </w:pPr>
          </w:p>
        </w:tc>
        <w:tc>
          <w:tcPr>
            <w:tcW w:w="0" w:type="auto"/>
            <w:gridSpan w:val="3"/>
            <w:shd w:val="clear" w:color="auto" w:fill="auto"/>
            <w:vAlign w:val="bottom"/>
          </w:tcPr>
          <w:p w14:paraId="392BFA1F" w14:textId="77777777" w:rsidR="00980E5F" w:rsidRDefault="00980E5F">
            <w:pPr>
              <w:rPr>
                <w:rFonts w:ascii="宋体"/>
                <w:vanish/>
              </w:rPr>
            </w:pPr>
          </w:p>
        </w:tc>
        <w:tc>
          <w:tcPr>
            <w:tcW w:w="0" w:type="auto"/>
            <w:gridSpan w:val="3"/>
            <w:shd w:val="clear" w:color="auto" w:fill="auto"/>
            <w:vAlign w:val="bottom"/>
          </w:tcPr>
          <w:p w14:paraId="392BFA20" w14:textId="77777777" w:rsidR="00980E5F" w:rsidRDefault="00980E5F">
            <w:pPr>
              <w:rPr>
                <w:rFonts w:ascii="宋体"/>
                <w:vanish/>
              </w:rPr>
            </w:pPr>
          </w:p>
        </w:tc>
        <w:tc>
          <w:tcPr>
            <w:tcW w:w="0" w:type="auto"/>
            <w:gridSpan w:val="3"/>
            <w:shd w:val="clear" w:color="auto" w:fill="auto"/>
            <w:vAlign w:val="bottom"/>
          </w:tcPr>
          <w:p w14:paraId="392BFA21" w14:textId="77777777" w:rsidR="00980E5F" w:rsidRDefault="00980E5F">
            <w:pPr>
              <w:rPr>
                <w:rFonts w:ascii="宋体"/>
                <w:vanish/>
              </w:rPr>
            </w:pPr>
          </w:p>
        </w:tc>
        <w:tc>
          <w:tcPr>
            <w:tcW w:w="0" w:type="auto"/>
            <w:gridSpan w:val="3"/>
            <w:shd w:val="clear" w:color="auto" w:fill="auto"/>
            <w:vAlign w:val="bottom"/>
          </w:tcPr>
          <w:p w14:paraId="392BFA22" w14:textId="77777777" w:rsidR="00980E5F" w:rsidRDefault="00980E5F">
            <w:pPr>
              <w:rPr>
                <w:rFonts w:ascii="宋体"/>
                <w:vanish/>
              </w:rPr>
            </w:pPr>
          </w:p>
        </w:tc>
        <w:tc>
          <w:tcPr>
            <w:tcW w:w="0" w:type="auto"/>
            <w:shd w:val="clear" w:color="auto" w:fill="auto"/>
            <w:vAlign w:val="bottom"/>
          </w:tcPr>
          <w:p w14:paraId="392BFA23" w14:textId="77777777" w:rsidR="00980E5F" w:rsidRDefault="00980E5F">
            <w:pPr>
              <w:rPr>
                <w:rFonts w:ascii="宋体"/>
                <w:vanish/>
              </w:rPr>
            </w:pPr>
          </w:p>
        </w:tc>
      </w:tr>
    </w:tbl>
    <w:p w14:paraId="392BFA25"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980E5F" w14:paraId="392BFA2C" w14:textId="77777777">
        <w:tc>
          <w:tcPr>
            <w:tcW w:w="50" w:type="pct"/>
            <w:shd w:val="clear" w:color="auto" w:fill="auto"/>
            <w:vAlign w:val="bottom"/>
          </w:tcPr>
          <w:p w14:paraId="392BFA26" w14:textId="77777777" w:rsidR="00980E5F" w:rsidRDefault="00980E5F">
            <w:pPr>
              <w:rPr>
                <w:rFonts w:ascii="宋体"/>
              </w:rPr>
            </w:pPr>
          </w:p>
        </w:tc>
        <w:tc>
          <w:tcPr>
            <w:tcW w:w="1209" w:type="pct"/>
            <w:shd w:val="clear" w:color="auto" w:fill="auto"/>
            <w:vAlign w:val="bottom"/>
          </w:tcPr>
          <w:p w14:paraId="392BFA27" w14:textId="77777777" w:rsidR="00980E5F" w:rsidRDefault="00980E5F">
            <w:pPr>
              <w:rPr>
                <w:rFonts w:ascii="宋体"/>
              </w:rPr>
            </w:pPr>
          </w:p>
        </w:tc>
        <w:tc>
          <w:tcPr>
            <w:tcW w:w="5" w:type="pct"/>
            <w:shd w:val="clear" w:color="auto" w:fill="auto"/>
            <w:vAlign w:val="bottom"/>
          </w:tcPr>
          <w:p w14:paraId="392BFA28" w14:textId="77777777" w:rsidR="00980E5F" w:rsidRDefault="00980E5F">
            <w:pPr>
              <w:rPr>
                <w:rFonts w:ascii="宋体"/>
              </w:rPr>
            </w:pPr>
          </w:p>
        </w:tc>
        <w:tc>
          <w:tcPr>
            <w:tcW w:w="50" w:type="pct"/>
            <w:shd w:val="clear" w:color="auto" w:fill="auto"/>
            <w:vAlign w:val="bottom"/>
          </w:tcPr>
          <w:p w14:paraId="392BFA29" w14:textId="77777777" w:rsidR="00980E5F" w:rsidRDefault="00980E5F">
            <w:pPr>
              <w:rPr>
                <w:rFonts w:ascii="宋体"/>
              </w:rPr>
            </w:pPr>
          </w:p>
        </w:tc>
        <w:tc>
          <w:tcPr>
            <w:tcW w:w="3680" w:type="pct"/>
            <w:shd w:val="clear" w:color="auto" w:fill="auto"/>
            <w:vAlign w:val="bottom"/>
          </w:tcPr>
          <w:p w14:paraId="392BFA2A" w14:textId="77777777" w:rsidR="00980E5F" w:rsidRDefault="00980E5F">
            <w:pPr>
              <w:rPr>
                <w:rFonts w:ascii="宋体"/>
              </w:rPr>
            </w:pPr>
          </w:p>
        </w:tc>
        <w:tc>
          <w:tcPr>
            <w:tcW w:w="5" w:type="pct"/>
            <w:shd w:val="clear" w:color="auto" w:fill="auto"/>
            <w:vAlign w:val="bottom"/>
          </w:tcPr>
          <w:p w14:paraId="392BFA2B" w14:textId="77777777" w:rsidR="00980E5F" w:rsidRDefault="00980E5F">
            <w:pPr>
              <w:rPr>
                <w:rFonts w:ascii="宋体"/>
              </w:rPr>
            </w:pPr>
          </w:p>
        </w:tc>
      </w:tr>
      <w:tr w:rsidR="00980E5F" w14:paraId="392BFA2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A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A2E" w14:textId="77777777" w:rsidR="00980E5F" w:rsidRDefault="00980E5F">
            <w:pPr>
              <w:rPr>
                <w:rFonts w:ascii="宋体"/>
              </w:rPr>
            </w:pPr>
          </w:p>
        </w:tc>
      </w:tr>
    </w:tbl>
    <w:p w14:paraId="392BFA30" w14:textId="77777777" w:rsidR="00980E5F" w:rsidRDefault="00483613">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4"/>
          <w:szCs w:val="14"/>
        </w:rPr>
        <w:t xml:space="preserve">as no impact to the total level of reported AUM. </w:t>
      </w:r>
    </w:p>
    <w:p w14:paraId="392BFA31"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Includes both floating- and constant-net-asset-value portfolios held in commingled structures or separate accounts.</w:t>
      </w:r>
    </w:p>
    <w:p w14:paraId="392BFA32" w14:textId="77777777" w:rsidR="00980E5F" w:rsidRDefault="00483613">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real estate investment trusts, currency and commodities, </w:t>
      </w:r>
      <w:r>
        <w:rPr>
          <w:rFonts w:ascii="Arial" w:eastAsia="宋体" w:hAnsi="Arial" w:cs="Arial"/>
          <w:color w:val="000000"/>
          <w:sz w:val="14"/>
          <w:szCs w:val="14"/>
        </w:rPr>
        <w:t>including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 xml:space="preserve"> Gold MiniSharesSM Trust. We are not the investment manager for the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Gold</w:t>
      </w:r>
      <w:r>
        <w:rPr>
          <w:rFonts w:ascii="Arial" w:eastAsia="宋体" w:hAnsi="Arial" w:cs="Arial"/>
          <w:color w:val="000000"/>
          <w:sz w:val="9"/>
          <w:szCs w:val="9"/>
        </w:rPr>
        <w:t xml:space="preserve"> </w:t>
      </w:r>
      <w:r>
        <w:rPr>
          <w:rFonts w:ascii="Arial" w:eastAsia="宋体" w:hAnsi="Arial" w:cs="Arial"/>
          <w:color w:val="000000"/>
          <w:sz w:val="14"/>
          <w:szCs w:val="14"/>
        </w:rPr>
        <w:t>MiniSharesSM Trust, but act as the marketing agent.</w:t>
      </w:r>
    </w:p>
    <w:p w14:paraId="392BFA33" w14:textId="77777777" w:rsidR="00980E5F" w:rsidRDefault="00483613">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Amounts represent long-term portfolios, excluding ETFs.</w:t>
      </w:r>
    </w:p>
    <w:p w14:paraId="392BFA34" w14:textId="77777777" w:rsidR="00980E5F" w:rsidRDefault="00483613">
      <w:pPr>
        <w:ind w:firstLine="450"/>
        <w:jc w:val="right"/>
      </w:pPr>
      <w:r>
        <w:rPr>
          <w:rFonts w:ascii="Arial" w:eastAsia="宋体" w:hAnsi="Arial" w:cs="Arial"/>
          <w:color w:val="000000"/>
          <w:sz w:val="18"/>
          <w:szCs w:val="18"/>
        </w:rPr>
        <w:t>State S</w:t>
      </w:r>
      <w:r>
        <w:rPr>
          <w:rFonts w:ascii="Arial" w:eastAsia="宋体" w:hAnsi="Arial" w:cs="Arial"/>
          <w:color w:val="000000"/>
          <w:sz w:val="18"/>
          <w:szCs w:val="18"/>
        </w:rPr>
        <w:t>treet Corporation | 17</w:t>
      </w:r>
    </w:p>
    <w:p w14:paraId="392BFA35" w14:textId="77777777" w:rsidR="00980E5F" w:rsidRDefault="00980E5F">
      <w:pPr>
        <w:ind w:firstLine="450"/>
        <w:jc w:val="center"/>
      </w:pPr>
    </w:p>
    <w:p w14:paraId="392BFA36" w14:textId="77777777" w:rsidR="00980E5F" w:rsidRDefault="00483613">
      <w:r>
        <w:pict w14:anchorId="392CBADF">
          <v:rect id="_x0000_i1041" style="width:415.3pt;height:1.5pt" o:hralign="center" o:hrstd="t" o:hr="t" fillcolor="#a0a0a0" stroked="f"/>
        </w:pict>
      </w:r>
    </w:p>
    <w:p w14:paraId="392BFA37"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A38" w14:textId="77777777" w:rsidR="00980E5F" w:rsidRDefault="00483613">
      <w:pPr>
        <w:ind w:firstLine="450"/>
        <w:jc w:val="center"/>
      </w:pPr>
      <w:r>
        <w:rPr>
          <w:rFonts w:ascii="Arial" w:eastAsia="宋体" w:hAnsi="Arial" w:cs="Arial"/>
          <w:b/>
          <w:bCs/>
          <w:color w:val="000000"/>
          <w:sz w:val="20"/>
          <w:szCs w:val="20"/>
        </w:rPr>
        <w:t>AND RESULTS OF OPERATIONS</w:t>
      </w:r>
    </w:p>
    <w:p w14:paraId="392BFA39" w14:textId="77777777" w:rsidR="00980E5F" w:rsidRDefault="00483613">
      <w:pPr>
        <w:spacing w:before="60"/>
        <w:jc w:val="both"/>
        <w:textAlignment w:val="top"/>
      </w:pPr>
      <w:r>
        <w:rPr>
          <w:rFonts w:ascii="Arial" w:eastAsia="宋体" w:hAnsi="Arial" w:cs="Arial"/>
          <w:b/>
          <w:bCs/>
          <w:i/>
          <w:iCs/>
          <w:color w:val="000000"/>
          <w:sz w:val="20"/>
          <w:szCs w:val="20"/>
        </w:rPr>
        <w:t>Foreign Exchange Trading Services</w:t>
      </w:r>
    </w:p>
    <w:p w14:paraId="392BFA3A" w14:textId="77777777" w:rsidR="00980E5F" w:rsidRDefault="00483613">
      <w:pPr>
        <w:spacing w:before="60"/>
        <w:ind w:firstLine="450"/>
        <w:jc w:val="both"/>
        <w:textAlignment w:val="top"/>
      </w:pPr>
      <w:r>
        <w:rPr>
          <w:rFonts w:ascii="Arial" w:eastAsia="宋体" w:hAnsi="Arial" w:cs="Arial"/>
          <w:color w:val="000000"/>
          <w:sz w:val="20"/>
          <w:szCs w:val="20"/>
        </w:rPr>
        <w:t xml:space="preserve">Foreign exchange trading services revenue, as presented in Table 2: Total Revenue, </w:t>
      </w:r>
      <w:r>
        <w:rPr>
          <w:rFonts w:ascii="Arial" w:eastAsia="宋体" w:hAnsi="Arial" w:cs="Arial"/>
          <w:color w:val="000000"/>
          <w:sz w:val="20"/>
          <w:szCs w:val="20"/>
          <w:shd w:val="clear" w:color="auto" w:fill="FFFFFF"/>
        </w:rPr>
        <w:t>increased 16% and 9%</w:t>
      </w:r>
      <w:r>
        <w:rPr>
          <w:rFonts w:ascii="Arial" w:eastAsia="宋体" w:hAnsi="Arial" w:cs="Arial"/>
          <w:color w:val="000000"/>
          <w:sz w:val="20"/>
          <w:szCs w:val="20"/>
        </w:rPr>
        <w:t xml:space="preserve"> in the three and six months ended June 30, 2022, respectively, compared to the same periods in 2021, primarily due to higher FX spreads, partially offse</w:t>
      </w:r>
      <w:r>
        <w:rPr>
          <w:rFonts w:ascii="Arial" w:eastAsia="宋体" w:hAnsi="Arial" w:cs="Arial"/>
          <w:color w:val="000000"/>
          <w:sz w:val="20"/>
          <w:szCs w:val="20"/>
        </w:rPr>
        <w:t>t by lower client FX volumes. Foreign exchange trading services revenue comprises revenue generated by FX trading and revenue generated by brokerage and other trading services, which made up 67% and 33%, respectively, of foreign exchange trading services r</w:t>
      </w:r>
      <w:r>
        <w:rPr>
          <w:rFonts w:ascii="Arial" w:eastAsia="宋体" w:hAnsi="Arial" w:cs="Arial"/>
          <w:color w:val="000000"/>
          <w:sz w:val="20"/>
          <w:szCs w:val="20"/>
        </w:rPr>
        <w:t>evenue in the second quarter of 2022, compared to and 66% and 34%, respectively, in the same period in 2021. The impact of gross money market fund fee waivers on foreign exchange trading services was $1 million and $11 million in the three and six months e</w:t>
      </w:r>
      <w:r>
        <w:rPr>
          <w:rFonts w:ascii="Arial" w:eastAsia="宋体" w:hAnsi="Arial" w:cs="Arial"/>
          <w:color w:val="000000"/>
          <w:sz w:val="20"/>
          <w:szCs w:val="20"/>
        </w:rPr>
        <w:t>nded June 30, 2022, respectively, compared to $15 million and $23 million in the same periods in 2021, respectively. This represents a reduction in revenue on the Fund Connect platform due to the impact of fee waivers by participating money market funds, i</w:t>
      </w:r>
      <w:r>
        <w:rPr>
          <w:rFonts w:ascii="Arial" w:eastAsia="宋体" w:hAnsi="Arial" w:cs="Arial"/>
          <w:color w:val="000000"/>
          <w:sz w:val="20"/>
          <w:szCs w:val="20"/>
        </w:rPr>
        <w:t xml:space="preserve">ncluding State Street Global Advisors funds. </w:t>
      </w:r>
    </w:p>
    <w:p w14:paraId="392BFA3B" w14:textId="77777777" w:rsidR="00980E5F" w:rsidRDefault="00483613">
      <w:pPr>
        <w:spacing w:before="60"/>
        <w:ind w:firstLine="450"/>
        <w:jc w:val="both"/>
        <w:textAlignment w:val="top"/>
      </w:pPr>
      <w:r>
        <w:rPr>
          <w:rFonts w:ascii="Arial" w:eastAsia="宋体" w:hAnsi="Arial" w:cs="Arial"/>
          <w:color w:val="000000"/>
          <w:sz w:val="20"/>
          <w:szCs w:val="20"/>
        </w:rPr>
        <w:t>We primarily earn FX trading revenue by acting as a principal market-maker through both "direct sales and trading” and “indirect FX trading.”</w:t>
      </w:r>
    </w:p>
    <w:p w14:paraId="392BFA3C" w14:textId="77777777" w:rsidR="00980E5F" w:rsidRDefault="00483613">
      <w:pPr>
        <w:spacing w:before="60"/>
        <w:ind w:hanging="360"/>
        <w:jc w:val="both"/>
        <w:textAlignment w:val="top"/>
      </w:pPr>
      <w:r>
        <w:rPr>
          <w:rFonts w:ascii="Arial" w:eastAsia="宋体" w:hAnsi="Arial" w:cs="Arial"/>
          <w:color w:val="000000"/>
          <w:sz w:val="20"/>
          <w:szCs w:val="20"/>
        </w:rPr>
        <w:t>•Direct sales and trading: Represent FX transactions at negotiated r</w:t>
      </w:r>
      <w:r>
        <w:rPr>
          <w:rFonts w:ascii="Arial" w:eastAsia="宋体" w:hAnsi="Arial" w:cs="Arial"/>
          <w:color w:val="000000"/>
          <w:sz w:val="20"/>
          <w:szCs w:val="20"/>
        </w:rPr>
        <w:t>ates with clients and investment managers that contact our trading desk directly. These principal market-making activities include transactions for funds serviced by third party custodians or prime brokers, as well as those funds under custody with us.</w:t>
      </w:r>
    </w:p>
    <w:p w14:paraId="392BFA3D" w14:textId="77777777" w:rsidR="00980E5F" w:rsidRDefault="00483613">
      <w:pPr>
        <w:spacing w:before="60"/>
        <w:ind w:hanging="360"/>
        <w:jc w:val="both"/>
        <w:textAlignment w:val="top"/>
      </w:pPr>
      <w:r>
        <w:rPr>
          <w:rFonts w:ascii="Arial" w:eastAsia="宋体" w:hAnsi="Arial" w:cs="Arial"/>
          <w:color w:val="000000"/>
          <w:sz w:val="20"/>
          <w:szCs w:val="20"/>
        </w:rPr>
        <w:t>•In</w:t>
      </w:r>
      <w:r>
        <w:rPr>
          <w:rFonts w:ascii="Arial" w:eastAsia="宋体" w:hAnsi="Arial" w:cs="Arial"/>
          <w:color w:val="000000"/>
          <w:sz w:val="20"/>
          <w:szCs w:val="20"/>
        </w:rPr>
        <w:t>direct FX trading: Represents FX transactions with clients, for which we are the funds' custodian, or their investment managers, routed to our FX desk through our asset-servicing operation. We execute indirect FX trades as a principal at rates disclosed to</w:t>
      </w:r>
      <w:r>
        <w:rPr>
          <w:rFonts w:ascii="Arial" w:eastAsia="宋体" w:hAnsi="Arial" w:cs="Arial"/>
          <w:color w:val="000000"/>
          <w:sz w:val="20"/>
          <w:szCs w:val="20"/>
        </w:rPr>
        <w:t xml:space="preserve"> our clients.</w:t>
      </w:r>
    </w:p>
    <w:p w14:paraId="392BFA3E" w14:textId="77777777" w:rsidR="00980E5F" w:rsidRDefault="00483613">
      <w:pPr>
        <w:spacing w:before="60"/>
        <w:ind w:firstLine="450"/>
        <w:jc w:val="both"/>
        <w:textAlignment w:val="top"/>
      </w:pPr>
      <w:r>
        <w:rPr>
          <w:rFonts w:ascii="Arial" w:eastAsia="宋体" w:hAnsi="Arial" w:cs="Arial"/>
          <w:color w:val="000000"/>
          <w:sz w:val="20"/>
          <w:szCs w:val="20"/>
        </w:rPr>
        <w:t xml:space="preserve">Our FX trading revenue is influenced by multiple factors, including: the volume and type of client FX transactions and related spreads; currency volatility, reflecting market conditions; and our management of exchange rate, interest rate and </w:t>
      </w:r>
      <w:r>
        <w:rPr>
          <w:rFonts w:ascii="Arial" w:eastAsia="宋体" w:hAnsi="Arial" w:cs="Arial"/>
          <w:color w:val="000000"/>
          <w:sz w:val="20"/>
          <w:szCs w:val="20"/>
        </w:rPr>
        <w:t>other market risks associated with our FX activities. The relative impact of these factors on our total FX trading revenues often differs from period to period. For example, assuming all other factors remain constant, increases or decreases in volumes or b</w:t>
      </w:r>
      <w:r>
        <w:rPr>
          <w:rFonts w:ascii="Arial" w:eastAsia="宋体" w:hAnsi="Arial" w:cs="Arial"/>
          <w:color w:val="000000"/>
          <w:sz w:val="20"/>
          <w:szCs w:val="20"/>
        </w:rPr>
        <w:t xml:space="preserve">id-offer spreads across product mix tend to result in increases or decreases, as the case may be, in client-related FX revenue. </w:t>
      </w:r>
    </w:p>
    <w:p w14:paraId="392BFA3F" w14:textId="77777777" w:rsidR="00980E5F" w:rsidRDefault="00483613">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affiliated</w:t>
      </w:r>
      <w:r>
        <w:rPr>
          <w:rFonts w:ascii="Arial" w:eastAsia="宋体" w:hAnsi="Arial" w:cs="Arial"/>
          <w:color w:val="000000"/>
          <w:sz w:val="20"/>
          <w:szCs w:val="20"/>
        </w:rPr>
        <w:t xml:space="preserve"> with us, transition from indirect </w:t>
      </w:r>
    </w:p>
    <w:p w14:paraId="392BFA40" w14:textId="77777777" w:rsidR="00980E5F" w:rsidRDefault="00483613">
      <w:pPr>
        <w:spacing w:before="60"/>
        <w:jc w:val="both"/>
        <w:textAlignment w:val="top"/>
      </w:pPr>
      <w:r>
        <w:rPr>
          <w:rFonts w:ascii="Arial" w:eastAsia="宋体" w:hAnsi="Arial" w:cs="Arial"/>
          <w:color w:val="000000"/>
          <w:sz w:val="20"/>
          <w:szCs w:val="20"/>
        </w:rPr>
        <w:t>FX trading to either direct sales and trading execution, including our “Street FX” service, or to one of our electronic trading platforms. Street FX, in which we continue to act as a principal market-maker, enables our c</w:t>
      </w:r>
      <w:r>
        <w:rPr>
          <w:rFonts w:ascii="Arial" w:eastAsia="宋体" w:hAnsi="Arial" w:cs="Arial"/>
          <w:color w:val="000000"/>
          <w:sz w:val="20"/>
          <w:szCs w:val="20"/>
        </w:rPr>
        <w:t xml:space="preserve">lients to define their FX execution strategy and automate the FX trade execution process, both for funds under custody with us as well as those under custody at another bank. </w:t>
      </w:r>
    </w:p>
    <w:p w14:paraId="392BFA41" w14:textId="77777777" w:rsidR="00980E5F" w:rsidRDefault="00483613">
      <w:pPr>
        <w:spacing w:before="60"/>
        <w:ind w:firstLine="450"/>
        <w:jc w:val="both"/>
        <w:textAlignment w:val="top"/>
      </w:pPr>
      <w:r>
        <w:rPr>
          <w:rFonts w:ascii="Arial" w:eastAsia="宋体" w:hAnsi="Arial" w:cs="Arial"/>
          <w:color w:val="000000"/>
          <w:sz w:val="20"/>
          <w:szCs w:val="20"/>
        </w:rPr>
        <w:t>We also earn foreign exchange trading services revenue through "electronic FX se</w:t>
      </w:r>
      <w:r>
        <w:rPr>
          <w:rFonts w:ascii="Arial" w:eastAsia="宋体" w:hAnsi="Arial" w:cs="Arial"/>
          <w:color w:val="000000"/>
          <w:sz w:val="20"/>
          <w:szCs w:val="20"/>
        </w:rPr>
        <w:t xml:space="preserve">rvices" and "other trading, transition management and brokerage revenue." </w:t>
      </w:r>
    </w:p>
    <w:p w14:paraId="392BFA42" w14:textId="77777777" w:rsidR="00980E5F" w:rsidRDefault="00483613">
      <w:pPr>
        <w:spacing w:before="60"/>
        <w:ind w:hanging="360"/>
        <w:jc w:val="both"/>
        <w:textAlignment w:val="top"/>
      </w:pPr>
      <w:r>
        <w:rPr>
          <w:rFonts w:ascii="Arial" w:eastAsia="宋体" w:hAnsi="Arial" w:cs="Arial"/>
          <w:color w:val="000000"/>
          <w:sz w:val="20"/>
          <w:szCs w:val="20"/>
        </w:rPr>
        <w:t>•Electronic FX services: Our clients may choose to execute FX transactions through one of our electronic trading platforms. These transactions generate revenue through a “click” fee</w:t>
      </w:r>
      <w:r>
        <w:rPr>
          <w:rFonts w:ascii="Arial" w:eastAsia="宋体" w:hAnsi="Arial" w:cs="Arial"/>
          <w:color w:val="000000"/>
          <w:sz w:val="20"/>
          <w:szCs w:val="20"/>
        </w:rPr>
        <w:t>.</w:t>
      </w:r>
    </w:p>
    <w:p w14:paraId="392BFA43" w14:textId="77777777" w:rsidR="00980E5F" w:rsidRDefault="00483613">
      <w:pPr>
        <w:spacing w:before="60"/>
        <w:ind w:hanging="360"/>
        <w:jc w:val="both"/>
        <w:textAlignment w:val="top"/>
      </w:pPr>
      <w:r>
        <w:rPr>
          <w:rFonts w:ascii="Arial" w:eastAsia="宋体" w:hAnsi="Arial" w:cs="Arial"/>
          <w:color w:val="000000"/>
          <w:sz w:val="20"/>
          <w:szCs w:val="20"/>
        </w:rPr>
        <w:t>•Other trading, transition management and brokerage revenue: As our clients look to us to enhance and preserve portfolio values, they may choose to utilize our Transition or Currency Management capabilities or transact with our Equity Trade execution gro</w:t>
      </w:r>
      <w:r>
        <w:rPr>
          <w:rFonts w:ascii="Arial" w:eastAsia="宋体" w:hAnsi="Arial" w:cs="Arial"/>
          <w:color w:val="000000"/>
          <w:sz w:val="20"/>
          <w:szCs w:val="20"/>
        </w:rPr>
        <w:t xml:space="preserve">up. These transactions, which are not limited to foreign exchange, generate revenue via commissions charged for trades transacted during the management of these portfolios. </w:t>
      </w:r>
    </w:p>
    <w:p w14:paraId="392BFA44" w14:textId="77777777" w:rsidR="00980E5F" w:rsidRDefault="00483613">
      <w:pPr>
        <w:spacing w:before="60"/>
        <w:ind w:firstLine="450"/>
        <w:jc w:val="both"/>
        <w:textAlignment w:val="top"/>
      </w:pPr>
      <w:r>
        <w:rPr>
          <w:rFonts w:ascii="Arial" w:eastAsia="宋体" w:hAnsi="Arial" w:cs="Arial"/>
          <w:color w:val="000000"/>
          <w:sz w:val="20"/>
          <w:szCs w:val="20"/>
        </w:rPr>
        <w:t>Fund Connect is another one of our electronic trading platforms: it is a global tr</w:t>
      </w:r>
      <w:r>
        <w:rPr>
          <w:rFonts w:ascii="Arial" w:eastAsia="宋体" w:hAnsi="Arial" w:cs="Arial"/>
          <w:color w:val="000000"/>
          <w:sz w:val="20"/>
          <w:szCs w:val="20"/>
        </w:rPr>
        <w:t>ading, analytics and cash management tool with access to more than 400 money market funds from leading providers.</w:t>
      </w:r>
    </w:p>
    <w:p w14:paraId="392BFA45" w14:textId="77777777" w:rsidR="00980E5F" w:rsidRDefault="00483613">
      <w:pPr>
        <w:spacing w:before="60"/>
        <w:jc w:val="both"/>
        <w:textAlignment w:val="top"/>
      </w:pPr>
      <w:r>
        <w:rPr>
          <w:rFonts w:ascii="Arial" w:eastAsia="宋体" w:hAnsi="Arial" w:cs="Arial"/>
          <w:b/>
          <w:bCs/>
          <w:i/>
          <w:iCs/>
          <w:color w:val="000000"/>
          <w:sz w:val="20"/>
          <w:szCs w:val="20"/>
        </w:rPr>
        <w:t>Securities Finance</w:t>
      </w:r>
    </w:p>
    <w:p w14:paraId="392BFA46" w14:textId="77777777" w:rsidR="00980E5F" w:rsidRDefault="00483613">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392BFA47" w14:textId="77777777" w:rsidR="00980E5F" w:rsidRDefault="00483613">
      <w:pPr>
        <w:spacing w:before="60"/>
        <w:ind w:hanging="360"/>
        <w:jc w:val="both"/>
        <w:textAlignment w:val="top"/>
      </w:pPr>
      <w:r>
        <w:rPr>
          <w:rFonts w:ascii="Arial" w:eastAsia="宋体" w:hAnsi="Arial" w:cs="Arial"/>
          <w:color w:val="000000"/>
          <w:sz w:val="20"/>
          <w:szCs w:val="20"/>
        </w:rPr>
        <w:t>(1) an agency lending program for State Street Global Adviso</w:t>
      </w:r>
      <w:r>
        <w:rPr>
          <w:rFonts w:ascii="Arial" w:eastAsia="宋体" w:hAnsi="Arial" w:cs="Arial"/>
          <w:color w:val="000000"/>
          <w:sz w:val="20"/>
          <w:szCs w:val="20"/>
        </w:rPr>
        <w:t xml:space="preserve">rs managed investment funds with a broad range of investment objectives, which we refer to as the State Street Global Advisors lending funds; </w:t>
      </w:r>
    </w:p>
    <w:p w14:paraId="392BFA48" w14:textId="77777777" w:rsidR="00980E5F" w:rsidRDefault="00483613">
      <w:pPr>
        <w:spacing w:before="60"/>
        <w:ind w:hanging="360"/>
        <w:jc w:val="both"/>
        <w:textAlignment w:val="top"/>
      </w:pPr>
      <w:r>
        <w:rPr>
          <w:rFonts w:ascii="Arial" w:eastAsia="宋体" w:hAnsi="Arial" w:cs="Arial"/>
          <w:color w:val="000000"/>
          <w:sz w:val="20"/>
          <w:szCs w:val="20"/>
        </w:rPr>
        <w:t xml:space="preserve">(2) an agency lending program for third-party investment managers and asset owners, which we refer to as the agency lending funds; and </w:t>
      </w:r>
    </w:p>
    <w:p w14:paraId="392BFA49" w14:textId="77777777" w:rsidR="00980E5F" w:rsidRDefault="00483613">
      <w:pPr>
        <w:spacing w:before="60"/>
        <w:ind w:hanging="360"/>
        <w:jc w:val="both"/>
        <w:textAlignment w:val="top"/>
      </w:pPr>
      <w:r>
        <w:rPr>
          <w:rFonts w:ascii="Arial" w:eastAsia="宋体" w:hAnsi="Arial" w:cs="Arial"/>
          <w:color w:val="000000"/>
          <w:sz w:val="20"/>
          <w:szCs w:val="20"/>
        </w:rPr>
        <w:t>(3) security lending transactions which we enter into as principal, which we refer to as our enhanced custody business.</w:t>
      </w:r>
    </w:p>
    <w:p w14:paraId="392BFA4A" w14:textId="77777777" w:rsidR="00980E5F" w:rsidRDefault="00483613">
      <w:pPr>
        <w:spacing w:before="60"/>
        <w:ind w:firstLine="450"/>
        <w:jc w:val="both"/>
        <w:textAlignment w:val="top"/>
      </w:pPr>
      <w:r>
        <w:rPr>
          <w:rFonts w:ascii="Arial" w:eastAsia="宋体" w:hAnsi="Arial" w:cs="Arial"/>
          <w:color w:val="000000"/>
          <w:sz w:val="20"/>
          <w:szCs w:val="20"/>
        </w:rPr>
        <w:t xml:space="preserve">Securities finance revenue earned from our agency lending activities, which is composed of our split of both the spreads related to cash collateral and the fees related to non-cash collateral, is principally a function of the volume of securities on loan, </w:t>
      </w:r>
      <w:r>
        <w:rPr>
          <w:rFonts w:ascii="Arial" w:eastAsia="宋体" w:hAnsi="Arial" w:cs="Arial"/>
          <w:color w:val="000000"/>
          <w:sz w:val="20"/>
          <w:szCs w:val="20"/>
        </w:rPr>
        <w:t>the interest rate spreads and fees earned on the underlying collateral and our share of the fee split.</w:t>
      </w:r>
    </w:p>
    <w:p w14:paraId="392BFA4B" w14:textId="77777777" w:rsidR="00980E5F" w:rsidRDefault="00483613">
      <w:pPr>
        <w:ind w:firstLine="450"/>
        <w:jc w:val="right"/>
      </w:pPr>
      <w:r>
        <w:rPr>
          <w:rFonts w:ascii="Arial" w:eastAsia="宋体" w:hAnsi="Arial" w:cs="Arial"/>
          <w:color w:val="000000"/>
          <w:sz w:val="18"/>
          <w:szCs w:val="18"/>
        </w:rPr>
        <w:t>State Street Corporation | 18</w:t>
      </w:r>
    </w:p>
    <w:p w14:paraId="392BFA4C" w14:textId="77777777" w:rsidR="00980E5F" w:rsidRDefault="00980E5F">
      <w:pPr>
        <w:ind w:firstLine="450"/>
        <w:jc w:val="center"/>
      </w:pPr>
    </w:p>
    <w:p w14:paraId="392BFA4D" w14:textId="77777777" w:rsidR="00980E5F" w:rsidRDefault="00483613">
      <w:r>
        <w:pict w14:anchorId="392CBAE0">
          <v:rect id="_x0000_i1042" style="width:415.3pt;height:1.5pt" o:hralign="center" o:hrstd="t" o:hr="t" fillcolor="#a0a0a0" stroked="f"/>
        </w:pict>
      </w:r>
    </w:p>
    <w:p w14:paraId="392BFA4E"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A4F" w14:textId="77777777" w:rsidR="00980E5F" w:rsidRDefault="00483613">
      <w:pPr>
        <w:ind w:firstLine="450"/>
        <w:jc w:val="center"/>
      </w:pPr>
      <w:r>
        <w:rPr>
          <w:rFonts w:ascii="Arial" w:eastAsia="宋体" w:hAnsi="Arial" w:cs="Arial"/>
          <w:b/>
          <w:bCs/>
          <w:color w:val="000000"/>
          <w:sz w:val="20"/>
          <w:szCs w:val="20"/>
        </w:rPr>
        <w:t>AND RESULTS OF OPERATIONS</w:t>
      </w:r>
    </w:p>
    <w:p w14:paraId="392BFA50" w14:textId="77777777" w:rsidR="00980E5F" w:rsidRDefault="00483613">
      <w:pPr>
        <w:spacing w:before="60"/>
        <w:ind w:firstLine="450"/>
        <w:jc w:val="both"/>
        <w:textAlignment w:val="top"/>
      </w:pPr>
      <w:r>
        <w:rPr>
          <w:rFonts w:ascii="Arial" w:eastAsia="宋体" w:hAnsi="Arial" w:cs="Arial"/>
          <w:color w:val="000000"/>
          <w:sz w:val="20"/>
          <w:szCs w:val="20"/>
        </w:rPr>
        <w:t xml:space="preserve">As principal, our enhanced </w:t>
      </w:r>
      <w:r>
        <w:rPr>
          <w:rFonts w:ascii="Arial" w:eastAsia="宋体" w:hAnsi="Arial" w:cs="Arial"/>
          <w:color w:val="000000"/>
          <w:sz w:val="20"/>
          <w:szCs w:val="20"/>
        </w:rPr>
        <w:t>custody business borrows securities from the lending client or other market participants and then lends such securities to the subsequent borrower, either our client or a broker/dealer. We act as principal when the lending client is unable to, or elects no</w:t>
      </w:r>
      <w:r>
        <w:rPr>
          <w:rFonts w:ascii="Arial" w:eastAsia="宋体" w:hAnsi="Arial" w:cs="Arial"/>
          <w:color w:val="000000"/>
          <w:sz w:val="20"/>
          <w:szCs w:val="20"/>
        </w:rPr>
        <w:t xml:space="preserve">t to, transact directly with the market and execute the transaction and furnish the securities. In our role as principal, we provide support to the transaction through our credit rating. While we source a significant proportion of the securities furnished </w:t>
      </w:r>
      <w:r>
        <w:rPr>
          <w:rFonts w:ascii="Arial" w:eastAsia="宋体" w:hAnsi="Arial" w:cs="Arial"/>
          <w:color w:val="000000"/>
          <w:sz w:val="20"/>
          <w:szCs w:val="20"/>
        </w:rPr>
        <w:t>by us in our role as principal from third parties, we have the ability to source securities through assets under custody from clients who have designated us as an eligible borrower.</w:t>
      </w:r>
    </w:p>
    <w:p w14:paraId="392BFA51" w14:textId="77777777" w:rsidR="00980E5F" w:rsidRDefault="00483613">
      <w:pPr>
        <w:spacing w:before="60"/>
        <w:ind w:firstLine="450"/>
        <w:jc w:val="both"/>
        <w:textAlignment w:val="top"/>
      </w:pPr>
      <w:r>
        <w:rPr>
          <w:rFonts w:ascii="Arial" w:eastAsia="宋体" w:hAnsi="Arial" w:cs="Arial"/>
          <w:color w:val="000000"/>
          <w:sz w:val="20"/>
          <w:szCs w:val="20"/>
        </w:rPr>
        <w:t>Securities finance revenue, as presented in Table 2: Total Revenue, decrea</w:t>
      </w:r>
      <w:r>
        <w:rPr>
          <w:rFonts w:ascii="Arial" w:eastAsia="宋体" w:hAnsi="Arial" w:cs="Arial"/>
          <w:color w:val="000000"/>
          <w:sz w:val="20"/>
          <w:szCs w:val="20"/>
        </w:rPr>
        <w:t>sed 2% in both the three and six months ended June 30, 2022, compared to the same periods in 2021, primarily driven by lower agency and enhanced custody balances, partially offset by higher spreads.</w:t>
      </w:r>
    </w:p>
    <w:p w14:paraId="392BFA52" w14:textId="77777777" w:rsidR="00980E5F" w:rsidRDefault="00483613">
      <w:pPr>
        <w:spacing w:before="60"/>
        <w:ind w:firstLine="450"/>
        <w:jc w:val="both"/>
        <w:textAlignment w:val="top"/>
      </w:pPr>
      <w:r>
        <w:rPr>
          <w:rFonts w:ascii="Arial" w:eastAsia="宋体" w:hAnsi="Arial" w:cs="Arial"/>
          <w:color w:val="000000"/>
          <w:sz w:val="20"/>
          <w:szCs w:val="20"/>
        </w:rPr>
        <w:t>Market influences may continue to affect client demand fo</w:t>
      </w:r>
      <w:r>
        <w:rPr>
          <w:rFonts w:ascii="Arial" w:eastAsia="宋体" w:hAnsi="Arial" w:cs="Arial"/>
          <w:color w:val="000000"/>
          <w:sz w:val="20"/>
          <w:szCs w:val="20"/>
        </w:rPr>
        <w:t>r securities finance, and as a result our revenue from, and the profitability of, our securities lending activities in future periods. In addition, the constantly evolving regulatory environment, including revised or proposed capital and liquidity standard</w:t>
      </w:r>
      <w:r>
        <w:rPr>
          <w:rFonts w:ascii="Arial" w:eastAsia="宋体" w:hAnsi="Arial" w:cs="Arial"/>
          <w:color w:val="000000"/>
          <w:sz w:val="20"/>
          <w:szCs w:val="20"/>
        </w:rPr>
        <w:t xml:space="preserve">s, interpretations of those standards, and our own balance sheet management activities, may influence modifications to the way in which we deliver our agency lending or enhanced custody businesses, the volume of our securities lending activity and related </w:t>
      </w:r>
      <w:r>
        <w:rPr>
          <w:rFonts w:ascii="Arial" w:eastAsia="宋体" w:hAnsi="Arial" w:cs="Arial"/>
          <w:color w:val="000000"/>
          <w:sz w:val="20"/>
          <w:szCs w:val="20"/>
        </w:rPr>
        <w:t>revenue and profitability in future periods.</w:t>
      </w:r>
    </w:p>
    <w:p w14:paraId="392BFA53" w14:textId="77777777" w:rsidR="00980E5F" w:rsidRDefault="00483613">
      <w:pPr>
        <w:spacing w:before="60"/>
        <w:jc w:val="both"/>
        <w:textAlignment w:val="top"/>
      </w:pPr>
      <w:r>
        <w:rPr>
          <w:rFonts w:ascii="Arial" w:eastAsia="宋体" w:hAnsi="Arial" w:cs="Arial"/>
          <w:b/>
          <w:bCs/>
          <w:i/>
          <w:iCs/>
          <w:color w:val="000000"/>
          <w:sz w:val="20"/>
          <w:szCs w:val="20"/>
        </w:rPr>
        <w:t>Software and Processing Fees</w:t>
      </w:r>
    </w:p>
    <w:p w14:paraId="392BFA54" w14:textId="77777777" w:rsidR="00980E5F" w:rsidRDefault="00483613">
      <w:pPr>
        <w:spacing w:before="60"/>
        <w:ind w:firstLine="450"/>
        <w:jc w:val="both"/>
        <w:textAlignment w:val="top"/>
      </w:pPr>
      <w:r>
        <w:rPr>
          <w:rFonts w:ascii="Arial" w:eastAsia="宋体" w:hAnsi="Arial" w:cs="Arial"/>
          <w:color w:val="000000"/>
          <w:sz w:val="20"/>
          <w:szCs w:val="20"/>
        </w:rPr>
        <w:t>Software and processing fees revenue includes diverse types of fees and revenue, including fees from software licensing and maintenance and fees from our structured products business</w:t>
      </w:r>
      <w:r>
        <w:rPr>
          <w:rFonts w:ascii="Arial" w:eastAsia="宋体" w:hAnsi="Arial" w:cs="Arial"/>
          <w:color w:val="000000"/>
          <w:sz w:val="20"/>
          <w:szCs w:val="20"/>
        </w:rPr>
        <w:t>.</w:t>
      </w:r>
    </w:p>
    <w:p w14:paraId="392BFA55" w14:textId="77777777" w:rsidR="00980E5F" w:rsidRDefault="00483613">
      <w:pPr>
        <w:spacing w:before="60"/>
        <w:ind w:firstLine="450"/>
        <w:jc w:val="both"/>
        <w:textAlignment w:val="top"/>
      </w:pPr>
      <w:r>
        <w:rPr>
          <w:rFonts w:ascii="Arial" w:eastAsia="宋体" w:hAnsi="Arial" w:cs="Arial"/>
          <w:color w:val="000000"/>
          <w:sz w:val="20"/>
          <w:szCs w:val="20"/>
        </w:rPr>
        <w:t>Software and processing fees revenue, presented in Table 2: Total Revenue, de</w:t>
      </w:r>
      <w:r>
        <w:rPr>
          <w:rFonts w:ascii="Arial" w:eastAsia="宋体" w:hAnsi="Arial" w:cs="Arial"/>
          <w:color w:val="000000"/>
          <w:sz w:val="20"/>
          <w:szCs w:val="20"/>
          <w:shd w:val="clear" w:color="auto" w:fill="FFFFFF"/>
        </w:rPr>
        <w:t xml:space="preserve">creased 11% in the three months ended June 30, 2022, compared to the same period in </w:t>
      </w:r>
      <w:r>
        <w:rPr>
          <w:rFonts w:ascii="Arial" w:eastAsia="宋体" w:hAnsi="Arial" w:cs="Arial"/>
          <w:color w:val="000000"/>
          <w:sz w:val="20"/>
          <w:szCs w:val="20"/>
        </w:rPr>
        <w:t>2021</w:t>
      </w:r>
      <w:r>
        <w:rPr>
          <w:rFonts w:ascii="Arial" w:eastAsia="宋体" w:hAnsi="Arial" w:cs="Arial"/>
          <w:color w:val="000000"/>
          <w:sz w:val="20"/>
          <w:szCs w:val="20"/>
          <w:shd w:val="clear" w:color="auto" w:fill="FFFFFF"/>
        </w:rPr>
        <w:t xml:space="preserve">, primarily driven by lower front office software and data revenue associated with CRD. </w:t>
      </w:r>
      <w:r>
        <w:rPr>
          <w:rFonts w:ascii="Arial" w:eastAsia="宋体" w:hAnsi="Arial" w:cs="Arial"/>
          <w:color w:val="000000"/>
          <w:sz w:val="20"/>
          <w:szCs w:val="20"/>
        </w:rPr>
        <w:t>S</w:t>
      </w:r>
      <w:r>
        <w:rPr>
          <w:rFonts w:ascii="Arial" w:eastAsia="宋体" w:hAnsi="Arial" w:cs="Arial"/>
          <w:color w:val="000000"/>
          <w:sz w:val="20"/>
          <w:szCs w:val="20"/>
        </w:rPr>
        <w:t>oftware and processing fees revenue</w:t>
      </w:r>
      <w:r>
        <w:rPr>
          <w:rFonts w:ascii="Arial" w:eastAsia="宋体" w:hAnsi="Arial" w:cs="Arial"/>
          <w:color w:val="000000"/>
          <w:sz w:val="20"/>
          <w:szCs w:val="20"/>
          <w:shd w:val="clear" w:color="auto" w:fill="FFFFFF"/>
        </w:rPr>
        <w:t xml:space="preserve"> increased 5% </w:t>
      </w:r>
      <w:r>
        <w:rPr>
          <w:rFonts w:ascii="Arial" w:eastAsia="宋体" w:hAnsi="Arial" w:cs="Arial"/>
          <w:color w:val="000000"/>
          <w:sz w:val="20"/>
          <w:szCs w:val="20"/>
        </w:rPr>
        <w:t xml:space="preserve">in the six months ended June 30, 2022, compared to the same period in 2021, primarily driven by higher front office software and data revenue associated with CRD. </w:t>
      </w:r>
    </w:p>
    <w:p w14:paraId="392BFA56" w14:textId="77777777" w:rsidR="00980E5F" w:rsidRDefault="00483613">
      <w:pPr>
        <w:spacing w:before="60"/>
        <w:ind w:firstLine="450"/>
        <w:jc w:val="both"/>
        <w:textAlignment w:val="top"/>
      </w:pPr>
      <w:r>
        <w:rPr>
          <w:rFonts w:ascii="Arial" w:eastAsia="宋体" w:hAnsi="Arial" w:cs="Arial"/>
          <w:color w:val="000000"/>
          <w:sz w:val="20"/>
          <w:szCs w:val="20"/>
        </w:rPr>
        <w:t>Front office software and data revenue, whi</w:t>
      </w:r>
      <w:r>
        <w:rPr>
          <w:rFonts w:ascii="Arial" w:eastAsia="宋体" w:hAnsi="Arial" w:cs="Arial"/>
          <w:color w:val="000000"/>
          <w:sz w:val="20"/>
          <w:szCs w:val="20"/>
        </w:rPr>
        <w:t>ch includes primarily revenue from CRD, Alpha Data Platform and Alpha Data Services</w:t>
      </w:r>
      <w:r>
        <w:rPr>
          <w:rFonts w:ascii="Arial" w:eastAsia="宋体" w:hAnsi="Arial" w:cs="Arial"/>
          <w:color w:val="000000"/>
          <w:sz w:val="20"/>
          <w:szCs w:val="20"/>
          <w:shd w:val="clear" w:color="auto" w:fill="FFFFFF"/>
        </w:rPr>
        <w:t>, decreased 15%</w:t>
      </w:r>
      <w:r>
        <w:rPr>
          <w:rFonts w:ascii="Arial" w:eastAsia="宋体" w:hAnsi="Arial" w:cs="Arial"/>
          <w:color w:val="000000"/>
          <w:sz w:val="20"/>
          <w:szCs w:val="20"/>
        </w:rPr>
        <w:t xml:space="preserve"> in the three months ended June 30, 2022, compared to the same period in 2021, primarily driven by lower on-premises renewals and the absence of episodic fees</w:t>
      </w:r>
      <w:r>
        <w:rPr>
          <w:rFonts w:ascii="Arial" w:eastAsia="宋体" w:hAnsi="Arial" w:cs="Arial"/>
          <w:color w:val="000000"/>
          <w:sz w:val="20"/>
          <w:szCs w:val="20"/>
        </w:rPr>
        <w:t xml:space="preserve">, partially offset by higher software-enabled revenues. Front office software and data revenue increased </w:t>
      </w:r>
      <w:r>
        <w:rPr>
          <w:rFonts w:ascii="Arial" w:eastAsia="宋体" w:hAnsi="Arial" w:cs="Arial"/>
          <w:color w:val="000000"/>
          <w:sz w:val="20"/>
          <w:szCs w:val="20"/>
          <w:shd w:val="clear" w:color="auto" w:fill="FFFFFF"/>
        </w:rPr>
        <w:t xml:space="preserve">8% in the six months ended June 30, 2022, compared to </w:t>
      </w:r>
    </w:p>
    <w:p w14:paraId="392BFA57" w14:textId="77777777" w:rsidR="00980E5F" w:rsidRDefault="00483613">
      <w:pPr>
        <w:spacing w:before="60"/>
        <w:jc w:val="both"/>
        <w:textAlignment w:val="top"/>
      </w:pPr>
      <w:r>
        <w:rPr>
          <w:rFonts w:ascii="Arial" w:eastAsia="宋体" w:hAnsi="Arial" w:cs="Arial"/>
          <w:color w:val="000000"/>
          <w:sz w:val="20"/>
          <w:szCs w:val="20"/>
          <w:shd w:val="clear" w:color="auto" w:fill="FFFFFF"/>
        </w:rPr>
        <w:t>the same period in 2021, primarily driven by higher software-enabled and professional services r</w:t>
      </w:r>
      <w:r>
        <w:rPr>
          <w:rFonts w:ascii="Arial" w:eastAsia="宋体" w:hAnsi="Arial" w:cs="Arial"/>
          <w:color w:val="000000"/>
          <w:sz w:val="20"/>
          <w:szCs w:val="20"/>
          <w:shd w:val="clear" w:color="auto" w:fill="FFFFFF"/>
        </w:rPr>
        <w:t xml:space="preserve">evenue, partially offset by lower on-premises renewals and absence of </w:t>
      </w:r>
      <w:r>
        <w:rPr>
          <w:rFonts w:ascii="Arial" w:eastAsia="宋体" w:hAnsi="Arial" w:cs="Arial"/>
          <w:color w:val="000000"/>
          <w:sz w:val="20"/>
          <w:szCs w:val="20"/>
        </w:rPr>
        <w:t xml:space="preserve">episodic fees. </w:t>
      </w:r>
      <w:r>
        <w:rPr>
          <w:rFonts w:ascii="Arial" w:eastAsia="宋体" w:hAnsi="Arial" w:cs="Arial"/>
          <w:color w:val="000000"/>
          <w:sz w:val="20"/>
          <w:szCs w:val="20"/>
          <w:shd w:val="clear" w:color="auto" w:fill="FFFFFF"/>
        </w:rPr>
        <w:t>Revenue rel</w:t>
      </w:r>
      <w:r>
        <w:rPr>
          <w:rFonts w:ascii="Arial" w:eastAsia="宋体" w:hAnsi="Arial" w:cs="Arial"/>
          <w:color w:val="000000"/>
          <w:sz w:val="20"/>
          <w:szCs w:val="20"/>
        </w:rPr>
        <w:t>ated to the front office solutions provided by CRD is primarily driven by the sale of term software licenses and SaaS, including professional services such as c</w:t>
      </w:r>
      <w:r>
        <w:rPr>
          <w:rFonts w:ascii="Arial" w:eastAsia="宋体" w:hAnsi="Arial" w:cs="Arial"/>
          <w:color w:val="000000"/>
          <w:sz w:val="20"/>
          <w:szCs w:val="20"/>
        </w:rPr>
        <w:t>onsulting and implementation services, software support and maintenance. Approximately 50%-70% of revenue associated with a sale of software to be installed on-premises is recognized at a point in time when the customer benefits from obtaining access to an</w:t>
      </w:r>
      <w:r>
        <w:rPr>
          <w:rFonts w:ascii="Arial" w:eastAsia="宋体" w:hAnsi="Arial" w:cs="Arial"/>
          <w:color w:val="000000"/>
          <w:sz w:val="20"/>
          <w:szCs w:val="20"/>
        </w:rPr>
        <w:t>d use of the software license, with the percentage varying based on the length of the contract and other contractual terms. The remainder of revenue for on-premise installations is recognized over the length of the contract as maintenance and other service</w:t>
      </w:r>
      <w:r>
        <w:rPr>
          <w:rFonts w:ascii="Arial" w:eastAsia="宋体" w:hAnsi="Arial" w:cs="Arial"/>
          <w:color w:val="000000"/>
          <w:sz w:val="20"/>
          <w:szCs w:val="20"/>
        </w:rPr>
        <w:t>s are provided. Upon renewal of an on-premises software contract, the same pattern of revenue recognition is followed with 50%-70% recognized upon renewal and the remaining balance recognized over the term of the contract. Revenue for a SaaS related arrang</w:t>
      </w:r>
      <w:r>
        <w:rPr>
          <w:rFonts w:ascii="Arial" w:eastAsia="宋体" w:hAnsi="Arial" w:cs="Arial"/>
          <w:color w:val="000000"/>
          <w:sz w:val="20"/>
          <w:szCs w:val="20"/>
        </w:rPr>
        <w:t>ement, where the customer does not take possession of the software, is recognized over the term of the contract as services are provided. Upon renewal of a SaaS arrangement, revenue continues to be recognized as services are provided under the new contract</w:t>
      </w:r>
      <w:r>
        <w:rPr>
          <w:rFonts w:ascii="Arial" w:eastAsia="宋体" w:hAnsi="Arial" w:cs="Arial"/>
          <w:color w:val="000000"/>
          <w:sz w:val="20"/>
          <w:szCs w:val="20"/>
        </w:rPr>
        <w:t>. As a result of these differences in how portions of CRD revenue are accounted for, CRD revenue may vary more than other business units quarter to quarter.</w:t>
      </w:r>
    </w:p>
    <w:p w14:paraId="392BFA58" w14:textId="77777777" w:rsidR="00980E5F" w:rsidRDefault="00483613">
      <w:pPr>
        <w:spacing w:before="60"/>
        <w:ind w:firstLine="450"/>
        <w:jc w:val="both"/>
        <w:textAlignment w:val="top"/>
      </w:pPr>
      <w:r>
        <w:rPr>
          <w:rFonts w:ascii="Arial" w:eastAsia="宋体" w:hAnsi="Arial" w:cs="Arial"/>
          <w:color w:val="000000"/>
          <w:sz w:val="20"/>
          <w:szCs w:val="20"/>
        </w:rPr>
        <w:t xml:space="preserve">Lending related and other fees, which </w:t>
      </w:r>
      <w:r>
        <w:rPr>
          <w:rFonts w:ascii="Arial" w:eastAsia="宋体" w:hAnsi="Arial" w:cs="Arial"/>
          <w:color w:val="000000"/>
          <w:sz w:val="20"/>
          <w:szCs w:val="20"/>
          <w:shd w:val="clear" w:color="auto" w:fill="FFFFFF"/>
        </w:rPr>
        <w:t>decreased by 2%</w:t>
      </w:r>
      <w:r>
        <w:rPr>
          <w:rFonts w:ascii="Arial" w:eastAsia="宋体" w:hAnsi="Arial" w:cs="Arial"/>
          <w:color w:val="000000"/>
          <w:sz w:val="20"/>
          <w:szCs w:val="20"/>
        </w:rPr>
        <w:t xml:space="preserve"> in both the three and six months ended June 3</w:t>
      </w:r>
      <w:r>
        <w:rPr>
          <w:rFonts w:ascii="Arial" w:eastAsia="宋体" w:hAnsi="Arial" w:cs="Arial"/>
          <w:color w:val="000000"/>
          <w:sz w:val="20"/>
          <w:szCs w:val="20"/>
        </w:rPr>
        <w:t>0, 2022, compared to the same periods in 2021, primarily consists of fee revenue associated with our fund finance, leverage loans, municipal finance, insurance and stable value wrap businesses.</w:t>
      </w:r>
    </w:p>
    <w:p w14:paraId="392BFA59" w14:textId="77777777" w:rsidR="00980E5F" w:rsidRDefault="00483613">
      <w:pPr>
        <w:spacing w:before="60"/>
        <w:jc w:val="both"/>
        <w:textAlignment w:val="top"/>
      </w:pPr>
      <w:r>
        <w:rPr>
          <w:rFonts w:ascii="Arial" w:eastAsia="宋体" w:hAnsi="Arial" w:cs="Arial"/>
          <w:b/>
          <w:bCs/>
          <w:i/>
          <w:iCs/>
          <w:color w:val="000000"/>
          <w:sz w:val="20"/>
          <w:szCs w:val="20"/>
        </w:rPr>
        <w:t>Other Fee Revenue</w:t>
      </w:r>
    </w:p>
    <w:p w14:paraId="392BFA5A" w14:textId="77777777" w:rsidR="00980E5F" w:rsidRDefault="00483613">
      <w:pPr>
        <w:spacing w:before="60"/>
        <w:ind w:firstLine="450"/>
        <w:jc w:val="both"/>
        <w:textAlignment w:val="top"/>
      </w:pPr>
      <w:r>
        <w:rPr>
          <w:rFonts w:ascii="Arial" w:eastAsia="宋体" w:hAnsi="Arial" w:cs="Arial"/>
          <w:color w:val="000000"/>
          <w:sz w:val="20"/>
          <w:szCs w:val="20"/>
        </w:rPr>
        <w:t>Other fee revenue includes market-related ad</w:t>
      </w:r>
      <w:r>
        <w:rPr>
          <w:rFonts w:ascii="Arial" w:eastAsia="宋体" w:hAnsi="Arial" w:cs="Arial"/>
          <w:color w:val="000000"/>
          <w:sz w:val="20"/>
          <w:szCs w:val="20"/>
        </w:rPr>
        <w:t>justments and income associated with certain tax-advantaged investments and other equity method investments.</w:t>
      </w:r>
    </w:p>
    <w:p w14:paraId="392BFA5B" w14:textId="77777777" w:rsidR="00980E5F" w:rsidRDefault="00483613">
      <w:pPr>
        <w:spacing w:before="60"/>
        <w:ind w:firstLine="450"/>
        <w:jc w:val="both"/>
        <w:textAlignment w:val="top"/>
      </w:pPr>
      <w:r>
        <w:rPr>
          <w:rFonts w:ascii="Arial" w:eastAsia="宋体" w:hAnsi="Arial" w:cs="Arial"/>
          <w:color w:val="000000"/>
          <w:sz w:val="20"/>
          <w:szCs w:val="20"/>
        </w:rPr>
        <w:t>Other fee revenue decreased $53 million and $40 million in the three and six months ended June 30, 2022, respectively, compared to the same periods</w:t>
      </w:r>
      <w:r>
        <w:rPr>
          <w:rFonts w:ascii="Arial" w:eastAsia="宋体" w:hAnsi="Arial" w:cs="Arial"/>
          <w:color w:val="000000"/>
          <w:sz w:val="20"/>
          <w:szCs w:val="20"/>
        </w:rPr>
        <w:t xml:space="preserve"> in 2021, primarily driven by m</w:t>
      </w:r>
      <w:r>
        <w:rPr>
          <w:rFonts w:ascii="Arial" w:eastAsia="宋体" w:hAnsi="Arial" w:cs="Arial"/>
          <w:color w:val="000000"/>
          <w:sz w:val="20"/>
          <w:szCs w:val="20"/>
          <w:shd w:val="clear" w:color="auto" w:fill="FFFFFF"/>
        </w:rPr>
        <w:t xml:space="preserve">arket-related adjustments which negatively impacted other fee revenue by approximately $39 million and $54 million in the three and six months ended June 30, 2022, respectively, compared to the same periods in 2021. </w:t>
      </w:r>
    </w:p>
    <w:p w14:paraId="392BFA5C"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Addition</w:t>
      </w:r>
      <w:r>
        <w:rPr>
          <w:rFonts w:ascii="Arial" w:eastAsia="宋体" w:hAnsi="Arial" w:cs="Arial"/>
          <w:color w:val="000000"/>
          <w:sz w:val="20"/>
          <w:szCs w:val="20"/>
          <w:shd w:val="clear" w:color="auto" w:fill="FFFFFF"/>
        </w:rPr>
        <w:t>al information about fee revenue is provided under "Line of Business Information" included in this Management's Discussion and Analysis.</w:t>
      </w:r>
    </w:p>
    <w:p w14:paraId="392BFA5D" w14:textId="77777777" w:rsidR="00980E5F" w:rsidRDefault="00483613">
      <w:pPr>
        <w:ind w:firstLine="450"/>
        <w:jc w:val="right"/>
      </w:pPr>
      <w:r>
        <w:rPr>
          <w:rFonts w:ascii="Arial" w:eastAsia="宋体" w:hAnsi="Arial" w:cs="Arial"/>
          <w:color w:val="000000"/>
          <w:sz w:val="18"/>
          <w:szCs w:val="18"/>
        </w:rPr>
        <w:t>State Street Corporation | 19</w:t>
      </w:r>
    </w:p>
    <w:p w14:paraId="392BFA5E" w14:textId="77777777" w:rsidR="00980E5F" w:rsidRDefault="00980E5F">
      <w:pPr>
        <w:ind w:firstLine="450"/>
        <w:jc w:val="center"/>
      </w:pPr>
    </w:p>
    <w:p w14:paraId="392BFA5F" w14:textId="77777777" w:rsidR="00980E5F" w:rsidRDefault="00483613">
      <w:r>
        <w:pict w14:anchorId="392CBAE1">
          <v:rect id="_x0000_i1043" style="width:415.3pt;height:1.5pt" o:hralign="center" o:hrstd="t" o:hr="t" fillcolor="#a0a0a0" stroked="f"/>
        </w:pict>
      </w:r>
    </w:p>
    <w:p w14:paraId="392BFA60"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A61" w14:textId="77777777" w:rsidR="00980E5F" w:rsidRDefault="00483613">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392BFA62" w14:textId="77777777" w:rsidR="00980E5F" w:rsidRDefault="00483613">
      <w:pPr>
        <w:spacing w:before="60"/>
        <w:jc w:val="both"/>
        <w:textAlignment w:val="top"/>
      </w:pPr>
      <w:r>
        <w:rPr>
          <w:rFonts w:ascii="Arial" w:eastAsia="宋体" w:hAnsi="Arial" w:cs="Arial"/>
          <w:b/>
          <w:bCs/>
          <w:i/>
          <w:iCs/>
          <w:color w:val="000000"/>
          <w:sz w:val="20"/>
          <w:szCs w:val="20"/>
        </w:rPr>
        <w:t>Net Interest Income</w:t>
      </w:r>
    </w:p>
    <w:p w14:paraId="392BFA63" w14:textId="77777777" w:rsidR="00980E5F" w:rsidRDefault="00483613">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three and six months ended June 30, 2022, compared to the same periods in 2021. </w:t>
      </w:r>
    </w:p>
    <w:p w14:paraId="392BFA64" w14:textId="77777777" w:rsidR="00980E5F" w:rsidRDefault="00483613">
      <w:pPr>
        <w:spacing w:before="60"/>
        <w:ind w:firstLine="450"/>
        <w:jc w:val="both"/>
        <w:textAlignment w:val="top"/>
      </w:pPr>
      <w:r>
        <w:rPr>
          <w:rFonts w:ascii="Arial" w:eastAsia="宋体" w:hAnsi="Arial" w:cs="Arial"/>
          <w:color w:val="000000"/>
          <w:sz w:val="20"/>
          <w:szCs w:val="20"/>
        </w:rPr>
        <w:t xml:space="preserve">NII is defined as interest income earned on </w:t>
      </w:r>
      <w:r>
        <w:rPr>
          <w:rFonts w:ascii="Arial" w:eastAsia="宋体" w:hAnsi="Arial" w:cs="Arial"/>
          <w:color w:val="000000"/>
          <w:sz w:val="20"/>
          <w:szCs w:val="20"/>
        </w:rPr>
        <w:t>interest-earning assets less interest expense incurred on interest-bearing liabilities. Interest-earning assets, which principally consist of investment securities, interest-bearing deposits with banks, loans, resale agreements and other liquid assets, are</w:t>
      </w:r>
      <w:r>
        <w:rPr>
          <w:rFonts w:ascii="Arial" w:eastAsia="宋体" w:hAnsi="Arial" w:cs="Arial"/>
          <w:color w:val="000000"/>
          <w:sz w:val="20"/>
          <w:szCs w:val="20"/>
        </w:rPr>
        <w:t xml:space="preserve"> financed primarily by client deposits, short-term borrowings and long-term debt.</w:t>
      </w:r>
    </w:p>
    <w:p w14:paraId="392BFA65" w14:textId="77777777" w:rsidR="00980E5F" w:rsidRDefault="00483613">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w:t>
      </w:r>
      <w:r>
        <w:rPr>
          <w:rFonts w:ascii="Arial" w:eastAsia="宋体" w:hAnsi="Arial" w:cs="Arial"/>
          <w:color w:val="000000"/>
          <w:sz w:val="20"/>
          <w:szCs w:val="20"/>
        </w:rPr>
        <w:t>earning assets. Revenue that is exempt from income taxes, mainly earned from certain investment securities (state and political subdivisions), is adjusted to a FTE basis using the U.S. federal and state statutory income tax rates.</w:t>
      </w:r>
    </w:p>
    <w:p w14:paraId="392BFA66"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NII on an FTE basis</w:t>
      </w:r>
      <w:r>
        <w:rPr>
          <w:rFonts w:ascii="Arial" w:eastAsia="宋体" w:hAnsi="Arial" w:cs="Arial"/>
          <w:color w:val="000000"/>
          <w:sz w:val="20"/>
          <w:szCs w:val="20"/>
        </w:rPr>
        <w:t xml:space="preserve"> incre</w:t>
      </w:r>
      <w:r>
        <w:rPr>
          <w:rFonts w:ascii="Arial" w:eastAsia="宋体" w:hAnsi="Arial" w:cs="Arial"/>
          <w:color w:val="000000"/>
          <w:sz w:val="20"/>
          <w:szCs w:val="20"/>
        </w:rPr>
        <w:t>ased i</w:t>
      </w:r>
      <w:r>
        <w:rPr>
          <w:rFonts w:ascii="Arial" w:eastAsia="宋体" w:hAnsi="Arial" w:cs="Arial"/>
          <w:color w:val="000000"/>
          <w:sz w:val="20"/>
          <w:szCs w:val="20"/>
          <w:shd w:val="clear" w:color="auto" w:fill="FFFFFF"/>
        </w:rPr>
        <w:t>n the three and six months ended June 30, 2022, compared to the same periods in 2021</w:t>
      </w:r>
      <w:r>
        <w:rPr>
          <w:rFonts w:ascii="Arial" w:eastAsia="宋体" w:hAnsi="Arial" w:cs="Arial"/>
          <w:color w:val="000000"/>
          <w:sz w:val="20"/>
          <w:szCs w:val="20"/>
        </w:rPr>
        <w:t>, primarily due to higher market interest rates and higher loan balances.</w:t>
      </w:r>
    </w:p>
    <w:p w14:paraId="392BFA67" w14:textId="77777777" w:rsidR="00980E5F" w:rsidRDefault="00483613">
      <w:pPr>
        <w:spacing w:before="60"/>
        <w:ind w:firstLine="450"/>
        <w:jc w:val="both"/>
        <w:textAlignment w:val="top"/>
      </w:pPr>
      <w:r>
        <w:rPr>
          <w:rFonts w:ascii="Arial" w:eastAsia="宋体" w:hAnsi="Arial" w:cs="Arial"/>
          <w:color w:val="000000"/>
          <w:sz w:val="20"/>
          <w:szCs w:val="20"/>
        </w:rPr>
        <w:t>Investment securities net purchase premium amortization, which is included in interest incom</w:t>
      </w:r>
      <w:r>
        <w:rPr>
          <w:rFonts w:ascii="Arial" w:eastAsia="宋体" w:hAnsi="Arial" w:cs="Arial"/>
          <w:color w:val="000000"/>
          <w:sz w:val="20"/>
          <w:szCs w:val="20"/>
        </w:rPr>
        <w:t>e, was $66 million and $153 million for the three and six months ended June 30, 2022, compared to $157 million and $326 million in the same periods in 2021, respectively, primarily driven by lower prepayments from higher long-end interest rates.</w:t>
      </w:r>
    </w:p>
    <w:p w14:paraId="392BFA68" w14:textId="77777777" w:rsidR="00980E5F" w:rsidRDefault="00483613">
      <w:pPr>
        <w:spacing w:before="60"/>
        <w:ind w:firstLine="450"/>
        <w:jc w:val="both"/>
        <w:textAlignment w:val="top"/>
      </w:pPr>
      <w:r>
        <w:rPr>
          <w:rFonts w:ascii="Arial" w:eastAsia="宋体" w:hAnsi="Arial" w:cs="Arial"/>
          <w:color w:val="000000"/>
          <w:sz w:val="20"/>
          <w:szCs w:val="20"/>
        </w:rPr>
        <w:t>Interest i</w:t>
      </w:r>
      <w:r>
        <w:rPr>
          <w:rFonts w:ascii="Arial" w:eastAsia="宋体" w:hAnsi="Arial" w:cs="Arial"/>
          <w:color w:val="000000"/>
          <w:sz w:val="20"/>
          <w:szCs w:val="20"/>
        </w:rPr>
        <w:t>ncome related to debt securities is recognized in our consolidated statement of income using the effective interest method, or on a basis approximating a level rate of return over the contractual or estimated life of the security. The rate of return consid</w:t>
      </w:r>
      <w:r>
        <w:rPr>
          <w:rFonts w:ascii="Arial" w:eastAsia="宋体" w:hAnsi="Arial" w:cs="Arial"/>
          <w:color w:val="000000"/>
          <w:sz w:val="20"/>
          <w:szCs w:val="20"/>
        </w:rPr>
        <w:t>ers any non-refundable fees or costs, as well as purchase premiums or discounts, resulting in amortization or accretion, accordingly. The amortization of premiums and accretion of discounts are adjusted for prepayments when they occur, which primarily impa</w:t>
      </w:r>
      <w:r>
        <w:rPr>
          <w:rFonts w:ascii="Arial" w:eastAsia="宋体" w:hAnsi="Arial" w:cs="Arial"/>
          <w:color w:val="000000"/>
          <w:sz w:val="20"/>
          <w:szCs w:val="20"/>
        </w:rPr>
        <w:t>ct mortgage-backed securities.</w:t>
      </w:r>
    </w:p>
    <w:p w14:paraId="392BFA69" w14:textId="77777777" w:rsidR="00980E5F" w:rsidRDefault="00483613">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621"/>
        <w:gridCol w:w="38"/>
        <w:gridCol w:w="93"/>
        <w:gridCol w:w="730"/>
        <w:gridCol w:w="36"/>
        <w:gridCol w:w="36"/>
        <w:gridCol w:w="36"/>
        <w:gridCol w:w="36"/>
        <w:gridCol w:w="93"/>
        <w:gridCol w:w="724"/>
        <w:gridCol w:w="36"/>
        <w:gridCol w:w="36"/>
        <w:gridCol w:w="36"/>
        <w:gridCol w:w="36"/>
        <w:gridCol w:w="94"/>
        <w:gridCol w:w="724"/>
        <w:gridCol w:w="37"/>
        <w:gridCol w:w="36"/>
        <w:gridCol w:w="36"/>
        <w:gridCol w:w="36"/>
        <w:gridCol w:w="93"/>
        <w:gridCol w:w="724"/>
        <w:gridCol w:w="36"/>
        <w:gridCol w:w="36"/>
        <w:gridCol w:w="36"/>
        <w:gridCol w:w="36"/>
        <w:gridCol w:w="93"/>
        <w:gridCol w:w="724"/>
        <w:gridCol w:w="36"/>
        <w:gridCol w:w="36"/>
        <w:gridCol w:w="36"/>
        <w:gridCol w:w="36"/>
        <w:gridCol w:w="93"/>
        <w:gridCol w:w="72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FA98" w14:textId="77777777">
        <w:tc>
          <w:tcPr>
            <w:tcW w:w="50" w:type="pct"/>
            <w:shd w:val="clear" w:color="auto" w:fill="auto"/>
            <w:vAlign w:val="bottom"/>
          </w:tcPr>
          <w:p w14:paraId="392BFA6A" w14:textId="77777777" w:rsidR="00980E5F" w:rsidRDefault="00980E5F">
            <w:pPr>
              <w:rPr>
                <w:rFonts w:ascii="宋体"/>
              </w:rPr>
            </w:pPr>
          </w:p>
        </w:tc>
        <w:tc>
          <w:tcPr>
            <w:tcW w:w="1139" w:type="pct"/>
            <w:shd w:val="clear" w:color="auto" w:fill="auto"/>
            <w:vAlign w:val="bottom"/>
          </w:tcPr>
          <w:p w14:paraId="392BFA6B" w14:textId="77777777" w:rsidR="00980E5F" w:rsidRDefault="00980E5F">
            <w:pPr>
              <w:rPr>
                <w:rFonts w:ascii="宋体"/>
              </w:rPr>
            </w:pPr>
          </w:p>
        </w:tc>
        <w:tc>
          <w:tcPr>
            <w:tcW w:w="5" w:type="pct"/>
            <w:shd w:val="clear" w:color="auto" w:fill="auto"/>
            <w:vAlign w:val="bottom"/>
          </w:tcPr>
          <w:p w14:paraId="392BFA6C" w14:textId="77777777" w:rsidR="00980E5F" w:rsidRDefault="00980E5F">
            <w:pPr>
              <w:rPr>
                <w:rFonts w:ascii="宋体"/>
              </w:rPr>
            </w:pPr>
          </w:p>
        </w:tc>
        <w:tc>
          <w:tcPr>
            <w:tcW w:w="50" w:type="pct"/>
            <w:shd w:val="clear" w:color="auto" w:fill="auto"/>
            <w:vAlign w:val="bottom"/>
          </w:tcPr>
          <w:p w14:paraId="392BFA6D" w14:textId="77777777" w:rsidR="00980E5F" w:rsidRDefault="00980E5F">
            <w:pPr>
              <w:rPr>
                <w:rFonts w:ascii="宋体"/>
              </w:rPr>
            </w:pPr>
          </w:p>
        </w:tc>
        <w:tc>
          <w:tcPr>
            <w:tcW w:w="526" w:type="pct"/>
            <w:shd w:val="clear" w:color="auto" w:fill="auto"/>
            <w:vAlign w:val="bottom"/>
          </w:tcPr>
          <w:p w14:paraId="392BFA6E" w14:textId="77777777" w:rsidR="00980E5F" w:rsidRDefault="00980E5F">
            <w:pPr>
              <w:rPr>
                <w:rFonts w:ascii="宋体"/>
              </w:rPr>
            </w:pPr>
          </w:p>
        </w:tc>
        <w:tc>
          <w:tcPr>
            <w:tcW w:w="5" w:type="pct"/>
            <w:shd w:val="clear" w:color="auto" w:fill="auto"/>
            <w:vAlign w:val="bottom"/>
          </w:tcPr>
          <w:p w14:paraId="392BFA6F" w14:textId="77777777" w:rsidR="00980E5F" w:rsidRDefault="00980E5F">
            <w:pPr>
              <w:rPr>
                <w:rFonts w:ascii="宋体"/>
              </w:rPr>
            </w:pPr>
          </w:p>
        </w:tc>
        <w:tc>
          <w:tcPr>
            <w:tcW w:w="5" w:type="pct"/>
            <w:shd w:val="clear" w:color="auto" w:fill="auto"/>
            <w:vAlign w:val="bottom"/>
          </w:tcPr>
          <w:p w14:paraId="392BFA70" w14:textId="77777777" w:rsidR="00980E5F" w:rsidRDefault="00980E5F">
            <w:pPr>
              <w:rPr>
                <w:rFonts w:ascii="宋体"/>
              </w:rPr>
            </w:pPr>
          </w:p>
        </w:tc>
        <w:tc>
          <w:tcPr>
            <w:tcW w:w="52" w:type="pct"/>
            <w:shd w:val="clear" w:color="auto" w:fill="auto"/>
            <w:vAlign w:val="bottom"/>
          </w:tcPr>
          <w:p w14:paraId="392BFA71" w14:textId="77777777" w:rsidR="00980E5F" w:rsidRDefault="00980E5F">
            <w:pPr>
              <w:rPr>
                <w:rFonts w:ascii="宋体"/>
              </w:rPr>
            </w:pPr>
          </w:p>
        </w:tc>
        <w:tc>
          <w:tcPr>
            <w:tcW w:w="5" w:type="pct"/>
            <w:shd w:val="clear" w:color="auto" w:fill="auto"/>
            <w:vAlign w:val="bottom"/>
          </w:tcPr>
          <w:p w14:paraId="392BFA72" w14:textId="77777777" w:rsidR="00980E5F" w:rsidRDefault="00980E5F">
            <w:pPr>
              <w:rPr>
                <w:rFonts w:ascii="宋体"/>
              </w:rPr>
            </w:pPr>
          </w:p>
        </w:tc>
        <w:tc>
          <w:tcPr>
            <w:tcW w:w="50" w:type="pct"/>
            <w:shd w:val="clear" w:color="auto" w:fill="auto"/>
            <w:vAlign w:val="bottom"/>
          </w:tcPr>
          <w:p w14:paraId="392BFA73" w14:textId="77777777" w:rsidR="00980E5F" w:rsidRDefault="00980E5F">
            <w:pPr>
              <w:rPr>
                <w:rFonts w:ascii="宋体"/>
              </w:rPr>
            </w:pPr>
          </w:p>
        </w:tc>
        <w:tc>
          <w:tcPr>
            <w:tcW w:w="526" w:type="pct"/>
            <w:shd w:val="clear" w:color="auto" w:fill="auto"/>
            <w:vAlign w:val="bottom"/>
          </w:tcPr>
          <w:p w14:paraId="392BFA74" w14:textId="77777777" w:rsidR="00980E5F" w:rsidRDefault="00980E5F">
            <w:pPr>
              <w:rPr>
                <w:rFonts w:ascii="宋体"/>
              </w:rPr>
            </w:pPr>
          </w:p>
        </w:tc>
        <w:tc>
          <w:tcPr>
            <w:tcW w:w="5" w:type="pct"/>
            <w:shd w:val="clear" w:color="auto" w:fill="auto"/>
            <w:vAlign w:val="bottom"/>
          </w:tcPr>
          <w:p w14:paraId="392BFA75" w14:textId="77777777" w:rsidR="00980E5F" w:rsidRDefault="00980E5F">
            <w:pPr>
              <w:rPr>
                <w:rFonts w:ascii="宋体"/>
              </w:rPr>
            </w:pPr>
          </w:p>
        </w:tc>
        <w:tc>
          <w:tcPr>
            <w:tcW w:w="5" w:type="pct"/>
            <w:shd w:val="clear" w:color="auto" w:fill="auto"/>
            <w:vAlign w:val="bottom"/>
          </w:tcPr>
          <w:p w14:paraId="392BFA76" w14:textId="77777777" w:rsidR="00980E5F" w:rsidRDefault="00980E5F">
            <w:pPr>
              <w:rPr>
                <w:rFonts w:ascii="宋体"/>
              </w:rPr>
            </w:pPr>
          </w:p>
        </w:tc>
        <w:tc>
          <w:tcPr>
            <w:tcW w:w="52" w:type="pct"/>
            <w:shd w:val="clear" w:color="auto" w:fill="auto"/>
            <w:vAlign w:val="bottom"/>
          </w:tcPr>
          <w:p w14:paraId="392BFA77" w14:textId="77777777" w:rsidR="00980E5F" w:rsidRDefault="00980E5F">
            <w:pPr>
              <w:rPr>
                <w:rFonts w:ascii="宋体"/>
              </w:rPr>
            </w:pPr>
          </w:p>
        </w:tc>
        <w:tc>
          <w:tcPr>
            <w:tcW w:w="5" w:type="pct"/>
            <w:shd w:val="clear" w:color="auto" w:fill="auto"/>
            <w:vAlign w:val="bottom"/>
          </w:tcPr>
          <w:p w14:paraId="392BFA78" w14:textId="77777777" w:rsidR="00980E5F" w:rsidRDefault="00980E5F">
            <w:pPr>
              <w:rPr>
                <w:rFonts w:ascii="宋体"/>
              </w:rPr>
            </w:pPr>
          </w:p>
        </w:tc>
        <w:tc>
          <w:tcPr>
            <w:tcW w:w="50" w:type="pct"/>
            <w:shd w:val="clear" w:color="auto" w:fill="auto"/>
            <w:vAlign w:val="bottom"/>
          </w:tcPr>
          <w:p w14:paraId="392BFA79" w14:textId="77777777" w:rsidR="00980E5F" w:rsidRDefault="00980E5F">
            <w:pPr>
              <w:rPr>
                <w:rFonts w:ascii="宋体"/>
              </w:rPr>
            </w:pPr>
          </w:p>
        </w:tc>
        <w:tc>
          <w:tcPr>
            <w:tcW w:w="526" w:type="pct"/>
            <w:shd w:val="clear" w:color="auto" w:fill="auto"/>
            <w:vAlign w:val="bottom"/>
          </w:tcPr>
          <w:p w14:paraId="392BFA7A" w14:textId="77777777" w:rsidR="00980E5F" w:rsidRDefault="00980E5F">
            <w:pPr>
              <w:rPr>
                <w:rFonts w:ascii="宋体"/>
              </w:rPr>
            </w:pPr>
          </w:p>
        </w:tc>
        <w:tc>
          <w:tcPr>
            <w:tcW w:w="5" w:type="pct"/>
            <w:shd w:val="clear" w:color="auto" w:fill="auto"/>
            <w:vAlign w:val="bottom"/>
          </w:tcPr>
          <w:p w14:paraId="392BFA7B" w14:textId="77777777" w:rsidR="00980E5F" w:rsidRDefault="00980E5F">
            <w:pPr>
              <w:rPr>
                <w:rFonts w:ascii="宋体"/>
              </w:rPr>
            </w:pPr>
          </w:p>
        </w:tc>
        <w:tc>
          <w:tcPr>
            <w:tcW w:w="5" w:type="pct"/>
            <w:shd w:val="clear" w:color="auto" w:fill="auto"/>
            <w:vAlign w:val="bottom"/>
          </w:tcPr>
          <w:p w14:paraId="392BFA7C" w14:textId="77777777" w:rsidR="00980E5F" w:rsidRDefault="00980E5F">
            <w:pPr>
              <w:rPr>
                <w:rFonts w:ascii="宋体"/>
              </w:rPr>
            </w:pPr>
          </w:p>
        </w:tc>
        <w:tc>
          <w:tcPr>
            <w:tcW w:w="52" w:type="pct"/>
            <w:shd w:val="clear" w:color="auto" w:fill="auto"/>
            <w:vAlign w:val="bottom"/>
          </w:tcPr>
          <w:p w14:paraId="392BFA7D" w14:textId="77777777" w:rsidR="00980E5F" w:rsidRDefault="00980E5F">
            <w:pPr>
              <w:rPr>
                <w:rFonts w:ascii="宋体"/>
              </w:rPr>
            </w:pPr>
          </w:p>
        </w:tc>
        <w:tc>
          <w:tcPr>
            <w:tcW w:w="5" w:type="pct"/>
            <w:shd w:val="clear" w:color="auto" w:fill="auto"/>
            <w:vAlign w:val="bottom"/>
          </w:tcPr>
          <w:p w14:paraId="392BFA7E" w14:textId="77777777" w:rsidR="00980E5F" w:rsidRDefault="00980E5F">
            <w:pPr>
              <w:rPr>
                <w:rFonts w:ascii="宋体"/>
              </w:rPr>
            </w:pPr>
          </w:p>
        </w:tc>
        <w:tc>
          <w:tcPr>
            <w:tcW w:w="50" w:type="pct"/>
            <w:shd w:val="clear" w:color="auto" w:fill="auto"/>
            <w:vAlign w:val="bottom"/>
          </w:tcPr>
          <w:p w14:paraId="392BFA7F" w14:textId="77777777" w:rsidR="00980E5F" w:rsidRDefault="00980E5F">
            <w:pPr>
              <w:rPr>
                <w:rFonts w:ascii="宋体"/>
              </w:rPr>
            </w:pPr>
          </w:p>
        </w:tc>
        <w:tc>
          <w:tcPr>
            <w:tcW w:w="526" w:type="pct"/>
            <w:shd w:val="clear" w:color="auto" w:fill="auto"/>
            <w:vAlign w:val="bottom"/>
          </w:tcPr>
          <w:p w14:paraId="392BFA80" w14:textId="77777777" w:rsidR="00980E5F" w:rsidRDefault="00980E5F">
            <w:pPr>
              <w:rPr>
                <w:rFonts w:ascii="宋体"/>
              </w:rPr>
            </w:pPr>
          </w:p>
        </w:tc>
        <w:tc>
          <w:tcPr>
            <w:tcW w:w="5" w:type="pct"/>
            <w:shd w:val="clear" w:color="auto" w:fill="auto"/>
            <w:vAlign w:val="bottom"/>
          </w:tcPr>
          <w:p w14:paraId="392BFA81" w14:textId="77777777" w:rsidR="00980E5F" w:rsidRDefault="00980E5F">
            <w:pPr>
              <w:rPr>
                <w:rFonts w:ascii="宋体"/>
              </w:rPr>
            </w:pPr>
          </w:p>
        </w:tc>
        <w:tc>
          <w:tcPr>
            <w:tcW w:w="5" w:type="pct"/>
            <w:shd w:val="clear" w:color="auto" w:fill="auto"/>
            <w:vAlign w:val="bottom"/>
          </w:tcPr>
          <w:p w14:paraId="392BFA82" w14:textId="77777777" w:rsidR="00980E5F" w:rsidRDefault="00980E5F">
            <w:pPr>
              <w:rPr>
                <w:rFonts w:ascii="宋体"/>
              </w:rPr>
            </w:pPr>
          </w:p>
        </w:tc>
        <w:tc>
          <w:tcPr>
            <w:tcW w:w="52" w:type="pct"/>
            <w:shd w:val="clear" w:color="auto" w:fill="auto"/>
            <w:vAlign w:val="bottom"/>
          </w:tcPr>
          <w:p w14:paraId="392BFA83" w14:textId="77777777" w:rsidR="00980E5F" w:rsidRDefault="00980E5F">
            <w:pPr>
              <w:rPr>
                <w:rFonts w:ascii="宋体"/>
              </w:rPr>
            </w:pPr>
          </w:p>
        </w:tc>
        <w:tc>
          <w:tcPr>
            <w:tcW w:w="5" w:type="pct"/>
            <w:shd w:val="clear" w:color="auto" w:fill="auto"/>
            <w:vAlign w:val="bottom"/>
          </w:tcPr>
          <w:p w14:paraId="392BFA84" w14:textId="77777777" w:rsidR="00980E5F" w:rsidRDefault="00980E5F">
            <w:pPr>
              <w:rPr>
                <w:rFonts w:ascii="宋体"/>
              </w:rPr>
            </w:pPr>
          </w:p>
        </w:tc>
        <w:tc>
          <w:tcPr>
            <w:tcW w:w="50" w:type="pct"/>
            <w:shd w:val="clear" w:color="auto" w:fill="auto"/>
            <w:vAlign w:val="bottom"/>
          </w:tcPr>
          <w:p w14:paraId="392BFA85" w14:textId="77777777" w:rsidR="00980E5F" w:rsidRDefault="00980E5F">
            <w:pPr>
              <w:rPr>
                <w:rFonts w:ascii="宋体"/>
              </w:rPr>
            </w:pPr>
          </w:p>
        </w:tc>
        <w:tc>
          <w:tcPr>
            <w:tcW w:w="526" w:type="pct"/>
            <w:shd w:val="clear" w:color="auto" w:fill="auto"/>
            <w:vAlign w:val="bottom"/>
          </w:tcPr>
          <w:p w14:paraId="392BFA86" w14:textId="77777777" w:rsidR="00980E5F" w:rsidRDefault="00980E5F">
            <w:pPr>
              <w:rPr>
                <w:rFonts w:ascii="宋体"/>
              </w:rPr>
            </w:pPr>
          </w:p>
        </w:tc>
        <w:tc>
          <w:tcPr>
            <w:tcW w:w="5" w:type="pct"/>
            <w:shd w:val="clear" w:color="auto" w:fill="auto"/>
            <w:vAlign w:val="bottom"/>
          </w:tcPr>
          <w:p w14:paraId="392BFA87" w14:textId="77777777" w:rsidR="00980E5F" w:rsidRDefault="00980E5F">
            <w:pPr>
              <w:rPr>
                <w:rFonts w:ascii="宋体"/>
              </w:rPr>
            </w:pPr>
          </w:p>
        </w:tc>
        <w:tc>
          <w:tcPr>
            <w:tcW w:w="5" w:type="pct"/>
            <w:shd w:val="clear" w:color="auto" w:fill="auto"/>
            <w:vAlign w:val="bottom"/>
          </w:tcPr>
          <w:p w14:paraId="392BFA88" w14:textId="77777777" w:rsidR="00980E5F" w:rsidRDefault="00980E5F">
            <w:pPr>
              <w:rPr>
                <w:rFonts w:ascii="宋体"/>
              </w:rPr>
            </w:pPr>
          </w:p>
        </w:tc>
        <w:tc>
          <w:tcPr>
            <w:tcW w:w="52" w:type="pct"/>
            <w:shd w:val="clear" w:color="auto" w:fill="auto"/>
            <w:vAlign w:val="bottom"/>
          </w:tcPr>
          <w:p w14:paraId="392BFA89" w14:textId="77777777" w:rsidR="00980E5F" w:rsidRDefault="00980E5F">
            <w:pPr>
              <w:rPr>
                <w:rFonts w:ascii="宋体"/>
              </w:rPr>
            </w:pPr>
          </w:p>
        </w:tc>
        <w:tc>
          <w:tcPr>
            <w:tcW w:w="5" w:type="pct"/>
            <w:shd w:val="clear" w:color="auto" w:fill="auto"/>
            <w:vAlign w:val="bottom"/>
          </w:tcPr>
          <w:p w14:paraId="392BFA8A" w14:textId="77777777" w:rsidR="00980E5F" w:rsidRDefault="00980E5F">
            <w:pPr>
              <w:rPr>
                <w:rFonts w:ascii="宋体"/>
              </w:rPr>
            </w:pPr>
          </w:p>
        </w:tc>
        <w:tc>
          <w:tcPr>
            <w:tcW w:w="50" w:type="pct"/>
            <w:shd w:val="clear" w:color="auto" w:fill="auto"/>
            <w:vAlign w:val="bottom"/>
          </w:tcPr>
          <w:p w14:paraId="392BFA8B" w14:textId="77777777" w:rsidR="00980E5F" w:rsidRDefault="00980E5F">
            <w:pPr>
              <w:rPr>
                <w:rFonts w:ascii="宋体"/>
              </w:rPr>
            </w:pPr>
          </w:p>
        </w:tc>
        <w:tc>
          <w:tcPr>
            <w:tcW w:w="527" w:type="pct"/>
            <w:shd w:val="clear" w:color="auto" w:fill="auto"/>
            <w:vAlign w:val="bottom"/>
          </w:tcPr>
          <w:p w14:paraId="392BFA8C" w14:textId="77777777" w:rsidR="00980E5F" w:rsidRDefault="00980E5F">
            <w:pPr>
              <w:rPr>
                <w:rFonts w:ascii="宋体"/>
              </w:rPr>
            </w:pPr>
          </w:p>
        </w:tc>
        <w:tc>
          <w:tcPr>
            <w:tcW w:w="5" w:type="pct"/>
            <w:shd w:val="clear" w:color="auto" w:fill="auto"/>
            <w:vAlign w:val="bottom"/>
          </w:tcPr>
          <w:p w14:paraId="392BFA8D" w14:textId="77777777" w:rsidR="00980E5F" w:rsidRDefault="00980E5F">
            <w:pPr>
              <w:rPr>
                <w:rFonts w:ascii="宋体"/>
              </w:rPr>
            </w:pPr>
          </w:p>
        </w:tc>
        <w:tc>
          <w:tcPr>
            <w:tcW w:w="0" w:type="auto"/>
            <w:gridSpan w:val="3"/>
            <w:shd w:val="clear" w:color="auto" w:fill="auto"/>
            <w:vAlign w:val="bottom"/>
          </w:tcPr>
          <w:p w14:paraId="392BFA8E" w14:textId="77777777" w:rsidR="00980E5F" w:rsidRDefault="00980E5F">
            <w:pPr>
              <w:rPr>
                <w:rFonts w:ascii="宋体"/>
                <w:vanish/>
              </w:rPr>
            </w:pPr>
          </w:p>
        </w:tc>
        <w:tc>
          <w:tcPr>
            <w:tcW w:w="0" w:type="auto"/>
            <w:gridSpan w:val="3"/>
            <w:shd w:val="clear" w:color="auto" w:fill="auto"/>
            <w:vAlign w:val="bottom"/>
          </w:tcPr>
          <w:p w14:paraId="392BFA8F" w14:textId="77777777" w:rsidR="00980E5F" w:rsidRDefault="00980E5F">
            <w:pPr>
              <w:rPr>
                <w:rFonts w:ascii="宋体"/>
                <w:vanish/>
              </w:rPr>
            </w:pPr>
          </w:p>
        </w:tc>
        <w:tc>
          <w:tcPr>
            <w:tcW w:w="0" w:type="auto"/>
            <w:gridSpan w:val="3"/>
            <w:shd w:val="clear" w:color="auto" w:fill="auto"/>
            <w:vAlign w:val="bottom"/>
          </w:tcPr>
          <w:p w14:paraId="392BFA90" w14:textId="77777777" w:rsidR="00980E5F" w:rsidRDefault="00980E5F">
            <w:pPr>
              <w:rPr>
                <w:rFonts w:ascii="宋体"/>
                <w:vanish/>
              </w:rPr>
            </w:pPr>
          </w:p>
        </w:tc>
        <w:tc>
          <w:tcPr>
            <w:tcW w:w="0" w:type="auto"/>
            <w:gridSpan w:val="3"/>
            <w:shd w:val="clear" w:color="auto" w:fill="auto"/>
            <w:vAlign w:val="bottom"/>
          </w:tcPr>
          <w:p w14:paraId="392BFA91" w14:textId="77777777" w:rsidR="00980E5F" w:rsidRDefault="00980E5F">
            <w:pPr>
              <w:rPr>
                <w:rFonts w:ascii="宋体"/>
                <w:vanish/>
              </w:rPr>
            </w:pPr>
          </w:p>
        </w:tc>
        <w:tc>
          <w:tcPr>
            <w:tcW w:w="0" w:type="auto"/>
            <w:gridSpan w:val="3"/>
            <w:shd w:val="clear" w:color="auto" w:fill="auto"/>
            <w:vAlign w:val="bottom"/>
          </w:tcPr>
          <w:p w14:paraId="392BFA92" w14:textId="77777777" w:rsidR="00980E5F" w:rsidRDefault="00980E5F">
            <w:pPr>
              <w:rPr>
                <w:rFonts w:ascii="宋体"/>
                <w:vanish/>
              </w:rPr>
            </w:pPr>
          </w:p>
        </w:tc>
        <w:tc>
          <w:tcPr>
            <w:tcW w:w="0" w:type="auto"/>
            <w:gridSpan w:val="3"/>
            <w:shd w:val="clear" w:color="auto" w:fill="auto"/>
            <w:vAlign w:val="bottom"/>
          </w:tcPr>
          <w:p w14:paraId="392BFA93" w14:textId="77777777" w:rsidR="00980E5F" w:rsidRDefault="00980E5F">
            <w:pPr>
              <w:rPr>
                <w:rFonts w:ascii="宋体"/>
                <w:vanish/>
              </w:rPr>
            </w:pPr>
          </w:p>
        </w:tc>
        <w:tc>
          <w:tcPr>
            <w:tcW w:w="0" w:type="auto"/>
            <w:gridSpan w:val="3"/>
            <w:shd w:val="clear" w:color="auto" w:fill="auto"/>
            <w:vAlign w:val="bottom"/>
          </w:tcPr>
          <w:p w14:paraId="392BFA94" w14:textId="77777777" w:rsidR="00980E5F" w:rsidRDefault="00980E5F">
            <w:pPr>
              <w:rPr>
                <w:rFonts w:ascii="宋体"/>
                <w:vanish/>
              </w:rPr>
            </w:pPr>
          </w:p>
        </w:tc>
        <w:tc>
          <w:tcPr>
            <w:tcW w:w="0" w:type="auto"/>
            <w:gridSpan w:val="3"/>
            <w:shd w:val="clear" w:color="auto" w:fill="auto"/>
            <w:vAlign w:val="bottom"/>
          </w:tcPr>
          <w:p w14:paraId="392BFA95" w14:textId="77777777" w:rsidR="00980E5F" w:rsidRDefault="00980E5F">
            <w:pPr>
              <w:rPr>
                <w:rFonts w:ascii="宋体"/>
                <w:vanish/>
              </w:rPr>
            </w:pPr>
          </w:p>
        </w:tc>
        <w:tc>
          <w:tcPr>
            <w:tcW w:w="0" w:type="auto"/>
            <w:gridSpan w:val="2"/>
            <w:shd w:val="clear" w:color="auto" w:fill="auto"/>
            <w:vAlign w:val="bottom"/>
          </w:tcPr>
          <w:p w14:paraId="392BFA96" w14:textId="77777777" w:rsidR="00980E5F" w:rsidRDefault="00980E5F">
            <w:pPr>
              <w:rPr>
                <w:rFonts w:ascii="宋体"/>
                <w:vanish/>
              </w:rPr>
            </w:pPr>
          </w:p>
        </w:tc>
        <w:tc>
          <w:tcPr>
            <w:tcW w:w="0" w:type="auto"/>
            <w:shd w:val="clear" w:color="auto" w:fill="auto"/>
            <w:vAlign w:val="bottom"/>
          </w:tcPr>
          <w:p w14:paraId="392BFA97" w14:textId="77777777" w:rsidR="00980E5F" w:rsidRDefault="00980E5F">
            <w:pPr>
              <w:rPr>
                <w:rFonts w:ascii="宋体"/>
                <w:vanish/>
              </w:rPr>
            </w:pPr>
          </w:p>
        </w:tc>
      </w:tr>
      <w:tr w:rsidR="00980E5F" w14:paraId="392BFAA4" w14:textId="77777777">
        <w:tc>
          <w:tcPr>
            <w:tcW w:w="0" w:type="auto"/>
            <w:gridSpan w:val="36"/>
            <w:shd w:val="clear" w:color="auto" w:fill="auto"/>
            <w:tcMar>
              <w:top w:w="40" w:type="dxa"/>
              <w:left w:w="20" w:type="dxa"/>
              <w:bottom w:w="40" w:type="dxa"/>
              <w:right w:w="20" w:type="dxa"/>
            </w:tcMar>
            <w:vAlign w:val="bottom"/>
          </w:tcPr>
          <w:p w14:paraId="392BFA99" w14:textId="77777777" w:rsidR="00980E5F" w:rsidRDefault="00483613">
            <w:pPr>
              <w:jc w:val="both"/>
              <w:textAlignment w:val="bottom"/>
            </w:pPr>
            <w:r>
              <w:rPr>
                <w:rFonts w:ascii="Arial" w:eastAsia="宋体" w:hAnsi="Arial" w:cs="Arial"/>
                <w:b/>
                <w:bCs/>
                <w:color w:val="000000"/>
                <w:sz w:val="16"/>
                <w:szCs w:val="16"/>
              </w:rPr>
              <w:t>TABLE 13: INVESTMENT SECURITIES NET PREM</w:t>
            </w:r>
            <w:r>
              <w:rPr>
                <w:rFonts w:ascii="Arial" w:eastAsia="宋体" w:hAnsi="Arial" w:cs="Arial"/>
                <w:b/>
                <w:bCs/>
                <w:color w:val="000000"/>
                <w:sz w:val="16"/>
                <w:szCs w:val="16"/>
              </w:rPr>
              <w:t>IUM AMORTIZATION</w:t>
            </w:r>
          </w:p>
        </w:tc>
        <w:tc>
          <w:tcPr>
            <w:tcW w:w="0" w:type="auto"/>
            <w:gridSpan w:val="3"/>
            <w:shd w:val="clear" w:color="auto" w:fill="auto"/>
            <w:vAlign w:val="bottom"/>
          </w:tcPr>
          <w:p w14:paraId="392BFA9A" w14:textId="77777777" w:rsidR="00980E5F" w:rsidRDefault="00980E5F">
            <w:pPr>
              <w:rPr>
                <w:rFonts w:ascii="宋体"/>
                <w:vanish/>
              </w:rPr>
            </w:pPr>
          </w:p>
        </w:tc>
        <w:tc>
          <w:tcPr>
            <w:tcW w:w="0" w:type="auto"/>
            <w:gridSpan w:val="3"/>
            <w:shd w:val="clear" w:color="auto" w:fill="auto"/>
            <w:vAlign w:val="bottom"/>
          </w:tcPr>
          <w:p w14:paraId="392BFA9B" w14:textId="77777777" w:rsidR="00980E5F" w:rsidRDefault="00980E5F">
            <w:pPr>
              <w:rPr>
                <w:rFonts w:ascii="宋体"/>
                <w:vanish/>
              </w:rPr>
            </w:pPr>
          </w:p>
        </w:tc>
        <w:tc>
          <w:tcPr>
            <w:tcW w:w="0" w:type="auto"/>
            <w:gridSpan w:val="3"/>
            <w:shd w:val="clear" w:color="auto" w:fill="auto"/>
            <w:vAlign w:val="bottom"/>
          </w:tcPr>
          <w:p w14:paraId="392BFA9C" w14:textId="77777777" w:rsidR="00980E5F" w:rsidRDefault="00980E5F">
            <w:pPr>
              <w:rPr>
                <w:rFonts w:ascii="宋体"/>
                <w:vanish/>
              </w:rPr>
            </w:pPr>
          </w:p>
        </w:tc>
        <w:tc>
          <w:tcPr>
            <w:tcW w:w="0" w:type="auto"/>
            <w:gridSpan w:val="3"/>
            <w:shd w:val="clear" w:color="auto" w:fill="auto"/>
            <w:vAlign w:val="bottom"/>
          </w:tcPr>
          <w:p w14:paraId="392BFA9D" w14:textId="77777777" w:rsidR="00980E5F" w:rsidRDefault="00980E5F">
            <w:pPr>
              <w:rPr>
                <w:rFonts w:ascii="宋体"/>
                <w:vanish/>
              </w:rPr>
            </w:pPr>
          </w:p>
        </w:tc>
        <w:tc>
          <w:tcPr>
            <w:tcW w:w="0" w:type="auto"/>
            <w:gridSpan w:val="3"/>
            <w:shd w:val="clear" w:color="auto" w:fill="auto"/>
            <w:vAlign w:val="bottom"/>
          </w:tcPr>
          <w:p w14:paraId="392BFA9E" w14:textId="77777777" w:rsidR="00980E5F" w:rsidRDefault="00980E5F">
            <w:pPr>
              <w:rPr>
                <w:rFonts w:ascii="宋体"/>
                <w:vanish/>
              </w:rPr>
            </w:pPr>
          </w:p>
        </w:tc>
        <w:tc>
          <w:tcPr>
            <w:tcW w:w="0" w:type="auto"/>
            <w:gridSpan w:val="3"/>
            <w:shd w:val="clear" w:color="auto" w:fill="auto"/>
            <w:vAlign w:val="bottom"/>
          </w:tcPr>
          <w:p w14:paraId="392BFA9F" w14:textId="77777777" w:rsidR="00980E5F" w:rsidRDefault="00980E5F">
            <w:pPr>
              <w:rPr>
                <w:rFonts w:ascii="宋体"/>
                <w:vanish/>
              </w:rPr>
            </w:pPr>
          </w:p>
        </w:tc>
        <w:tc>
          <w:tcPr>
            <w:tcW w:w="0" w:type="auto"/>
            <w:gridSpan w:val="3"/>
            <w:shd w:val="clear" w:color="auto" w:fill="auto"/>
            <w:vAlign w:val="bottom"/>
          </w:tcPr>
          <w:p w14:paraId="392BFAA0" w14:textId="77777777" w:rsidR="00980E5F" w:rsidRDefault="00980E5F">
            <w:pPr>
              <w:rPr>
                <w:rFonts w:ascii="宋体"/>
                <w:vanish/>
              </w:rPr>
            </w:pPr>
          </w:p>
        </w:tc>
        <w:tc>
          <w:tcPr>
            <w:tcW w:w="0" w:type="auto"/>
            <w:gridSpan w:val="3"/>
            <w:shd w:val="clear" w:color="auto" w:fill="auto"/>
            <w:vAlign w:val="bottom"/>
          </w:tcPr>
          <w:p w14:paraId="392BFAA1" w14:textId="77777777" w:rsidR="00980E5F" w:rsidRDefault="00980E5F">
            <w:pPr>
              <w:rPr>
                <w:rFonts w:ascii="宋体"/>
                <w:vanish/>
              </w:rPr>
            </w:pPr>
          </w:p>
        </w:tc>
        <w:tc>
          <w:tcPr>
            <w:tcW w:w="0" w:type="auto"/>
            <w:gridSpan w:val="2"/>
            <w:shd w:val="clear" w:color="auto" w:fill="auto"/>
            <w:vAlign w:val="bottom"/>
          </w:tcPr>
          <w:p w14:paraId="392BFAA2" w14:textId="77777777" w:rsidR="00980E5F" w:rsidRDefault="00980E5F">
            <w:pPr>
              <w:rPr>
                <w:rFonts w:ascii="宋体"/>
                <w:vanish/>
              </w:rPr>
            </w:pPr>
          </w:p>
        </w:tc>
        <w:tc>
          <w:tcPr>
            <w:tcW w:w="0" w:type="auto"/>
            <w:shd w:val="clear" w:color="auto" w:fill="auto"/>
            <w:vAlign w:val="bottom"/>
          </w:tcPr>
          <w:p w14:paraId="392BFAA3" w14:textId="77777777" w:rsidR="00980E5F" w:rsidRDefault="00980E5F">
            <w:pPr>
              <w:rPr>
                <w:rFonts w:ascii="宋体"/>
                <w:vanish/>
              </w:rPr>
            </w:pPr>
          </w:p>
        </w:tc>
      </w:tr>
      <w:tr w:rsidR="00980E5F" w14:paraId="392BFAD8" w14:textId="77777777">
        <w:trPr>
          <w:hidden/>
        </w:trPr>
        <w:tc>
          <w:tcPr>
            <w:tcW w:w="0" w:type="auto"/>
            <w:gridSpan w:val="3"/>
            <w:shd w:val="clear" w:color="auto" w:fill="auto"/>
            <w:vAlign w:val="bottom"/>
          </w:tcPr>
          <w:p w14:paraId="392BFAA5" w14:textId="77777777" w:rsidR="00980E5F" w:rsidRDefault="00980E5F">
            <w:pPr>
              <w:rPr>
                <w:rFonts w:ascii="宋体"/>
                <w:vanish/>
              </w:rPr>
            </w:pPr>
          </w:p>
        </w:tc>
        <w:tc>
          <w:tcPr>
            <w:tcW w:w="0" w:type="auto"/>
            <w:gridSpan w:val="3"/>
            <w:shd w:val="clear" w:color="auto" w:fill="auto"/>
            <w:vAlign w:val="bottom"/>
          </w:tcPr>
          <w:p w14:paraId="392BFAA6" w14:textId="77777777" w:rsidR="00980E5F" w:rsidRDefault="00980E5F">
            <w:pPr>
              <w:rPr>
                <w:rFonts w:ascii="宋体"/>
                <w:vanish/>
              </w:rPr>
            </w:pPr>
          </w:p>
        </w:tc>
        <w:tc>
          <w:tcPr>
            <w:tcW w:w="0" w:type="auto"/>
            <w:gridSpan w:val="3"/>
            <w:shd w:val="clear" w:color="auto" w:fill="auto"/>
            <w:vAlign w:val="bottom"/>
          </w:tcPr>
          <w:p w14:paraId="392BFAA7" w14:textId="77777777" w:rsidR="00980E5F" w:rsidRDefault="00980E5F">
            <w:pPr>
              <w:rPr>
                <w:rFonts w:ascii="宋体"/>
                <w:vanish/>
              </w:rPr>
            </w:pPr>
          </w:p>
        </w:tc>
        <w:tc>
          <w:tcPr>
            <w:tcW w:w="0" w:type="auto"/>
            <w:gridSpan w:val="3"/>
            <w:shd w:val="clear" w:color="auto" w:fill="auto"/>
            <w:vAlign w:val="bottom"/>
          </w:tcPr>
          <w:p w14:paraId="392BFAA8" w14:textId="77777777" w:rsidR="00980E5F" w:rsidRDefault="00980E5F">
            <w:pPr>
              <w:rPr>
                <w:rFonts w:ascii="宋体"/>
                <w:vanish/>
              </w:rPr>
            </w:pPr>
          </w:p>
        </w:tc>
        <w:tc>
          <w:tcPr>
            <w:tcW w:w="0" w:type="auto"/>
            <w:gridSpan w:val="3"/>
            <w:shd w:val="clear" w:color="auto" w:fill="auto"/>
            <w:vAlign w:val="bottom"/>
          </w:tcPr>
          <w:p w14:paraId="392BFAA9" w14:textId="77777777" w:rsidR="00980E5F" w:rsidRDefault="00980E5F">
            <w:pPr>
              <w:rPr>
                <w:rFonts w:ascii="宋体"/>
                <w:vanish/>
              </w:rPr>
            </w:pPr>
          </w:p>
        </w:tc>
        <w:tc>
          <w:tcPr>
            <w:tcW w:w="0" w:type="auto"/>
            <w:gridSpan w:val="3"/>
            <w:shd w:val="clear" w:color="auto" w:fill="auto"/>
            <w:vAlign w:val="bottom"/>
          </w:tcPr>
          <w:p w14:paraId="392BFAAA" w14:textId="77777777" w:rsidR="00980E5F" w:rsidRDefault="00980E5F">
            <w:pPr>
              <w:rPr>
                <w:rFonts w:ascii="宋体"/>
                <w:vanish/>
              </w:rPr>
            </w:pPr>
          </w:p>
        </w:tc>
        <w:tc>
          <w:tcPr>
            <w:tcW w:w="0" w:type="auto"/>
            <w:shd w:val="clear" w:color="auto" w:fill="auto"/>
            <w:vAlign w:val="bottom"/>
          </w:tcPr>
          <w:p w14:paraId="392BFAAB" w14:textId="77777777" w:rsidR="00980E5F" w:rsidRDefault="00980E5F">
            <w:pPr>
              <w:rPr>
                <w:rFonts w:ascii="宋体"/>
              </w:rPr>
            </w:pPr>
          </w:p>
        </w:tc>
        <w:tc>
          <w:tcPr>
            <w:tcW w:w="0" w:type="auto"/>
            <w:shd w:val="clear" w:color="auto" w:fill="auto"/>
            <w:vAlign w:val="bottom"/>
          </w:tcPr>
          <w:p w14:paraId="392BFAAC" w14:textId="77777777" w:rsidR="00980E5F" w:rsidRDefault="00980E5F">
            <w:pPr>
              <w:rPr>
                <w:rFonts w:ascii="宋体"/>
              </w:rPr>
            </w:pPr>
          </w:p>
        </w:tc>
        <w:tc>
          <w:tcPr>
            <w:tcW w:w="0" w:type="auto"/>
            <w:shd w:val="clear" w:color="auto" w:fill="auto"/>
            <w:vAlign w:val="bottom"/>
          </w:tcPr>
          <w:p w14:paraId="392BFAAD" w14:textId="77777777" w:rsidR="00980E5F" w:rsidRDefault="00980E5F">
            <w:pPr>
              <w:rPr>
                <w:rFonts w:ascii="宋体"/>
              </w:rPr>
            </w:pPr>
          </w:p>
        </w:tc>
        <w:tc>
          <w:tcPr>
            <w:tcW w:w="0" w:type="auto"/>
            <w:shd w:val="clear" w:color="auto" w:fill="auto"/>
            <w:vAlign w:val="bottom"/>
          </w:tcPr>
          <w:p w14:paraId="392BFAAE" w14:textId="77777777" w:rsidR="00980E5F" w:rsidRDefault="00980E5F">
            <w:pPr>
              <w:rPr>
                <w:rFonts w:ascii="宋体"/>
              </w:rPr>
            </w:pPr>
          </w:p>
        </w:tc>
        <w:tc>
          <w:tcPr>
            <w:tcW w:w="0" w:type="auto"/>
            <w:shd w:val="clear" w:color="auto" w:fill="auto"/>
            <w:vAlign w:val="bottom"/>
          </w:tcPr>
          <w:p w14:paraId="392BFAAF" w14:textId="77777777" w:rsidR="00980E5F" w:rsidRDefault="00980E5F">
            <w:pPr>
              <w:rPr>
                <w:rFonts w:ascii="宋体"/>
              </w:rPr>
            </w:pPr>
          </w:p>
        </w:tc>
        <w:tc>
          <w:tcPr>
            <w:tcW w:w="0" w:type="auto"/>
            <w:shd w:val="clear" w:color="auto" w:fill="auto"/>
            <w:vAlign w:val="bottom"/>
          </w:tcPr>
          <w:p w14:paraId="392BFAB0" w14:textId="77777777" w:rsidR="00980E5F" w:rsidRDefault="00980E5F">
            <w:pPr>
              <w:rPr>
                <w:rFonts w:ascii="宋体"/>
              </w:rPr>
            </w:pPr>
          </w:p>
        </w:tc>
        <w:tc>
          <w:tcPr>
            <w:tcW w:w="0" w:type="auto"/>
            <w:shd w:val="clear" w:color="auto" w:fill="auto"/>
            <w:vAlign w:val="bottom"/>
          </w:tcPr>
          <w:p w14:paraId="392BFAB1" w14:textId="77777777" w:rsidR="00980E5F" w:rsidRDefault="00980E5F">
            <w:pPr>
              <w:rPr>
                <w:rFonts w:ascii="宋体"/>
              </w:rPr>
            </w:pPr>
          </w:p>
        </w:tc>
        <w:tc>
          <w:tcPr>
            <w:tcW w:w="0" w:type="auto"/>
            <w:shd w:val="clear" w:color="auto" w:fill="auto"/>
            <w:vAlign w:val="bottom"/>
          </w:tcPr>
          <w:p w14:paraId="392BFAB2" w14:textId="77777777" w:rsidR="00980E5F" w:rsidRDefault="00980E5F">
            <w:pPr>
              <w:rPr>
                <w:rFonts w:ascii="宋体"/>
              </w:rPr>
            </w:pPr>
          </w:p>
        </w:tc>
        <w:tc>
          <w:tcPr>
            <w:tcW w:w="0" w:type="auto"/>
            <w:shd w:val="clear" w:color="auto" w:fill="auto"/>
            <w:vAlign w:val="bottom"/>
          </w:tcPr>
          <w:p w14:paraId="392BFAB3" w14:textId="77777777" w:rsidR="00980E5F" w:rsidRDefault="00980E5F">
            <w:pPr>
              <w:rPr>
                <w:rFonts w:ascii="宋体"/>
              </w:rPr>
            </w:pPr>
          </w:p>
        </w:tc>
        <w:tc>
          <w:tcPr>
            <w:tcW w:w="0" w:type="auto"/>
            <w:shd w:val="clear" w:color="auto" w:fill="auto"/>
            <w:vAlign w:val="bottom"/>
          </w:tcPr>
          <w:p w14:paraId="392BFAB4" w14:textId="77777777" w:rsidR="00980E5F" w:rsidRDefault="00980E5F">
            <w:pPr>
              <w:rPr>
                <w:rFonts w:ascii="宋体"/>
              </w:rPr>
            </w:pPr>
          </w:p>
        </w:tc>
        <w:tc>
          <w:tcPr>
            <w:tcW w:w="0" w:type="auto"/>
            <w:shd w:val="clear" w:color="auto" w:fill="auto"/>
            <w:vAlign w:val="bottom"/>
          </w:tcPr>
          <w:p w14:paraId="392BFAB5" w14:textId="77777777" w:rsidR="00980E5F" w:rsidRDefault="00980E5F">
            <w:pPr>
              <w:rPr>
                <w:rFonts w:ascii="宋体"/>
              </w:rPr>
            </w:pPr>
          </w:p>
        </w:tc>
        <w:tc>
          <w:tcPr>
            <w:tcW w:w="0" w:type="auto"/>
            <w:shd w:val="clear" w:color="auto" w:fill="auto"/>
            <w:vAlign w:val="bottom"/>
          </w:tcPr>
          <w:p w14:paraId="392BFAB6" w14:textId="77777777" w:rsidR="00980E5F" w:rsidRDefault="00980E5F">
            <w:pPr>
              <w:rPr>
                <w:rFonts w:ascii="宋体"/>
              </w:rPr>
            </w:pPr>
          </w:p>
        </w:tc>
        <w:tc>
          <w:tcPr>
            <w:tcW w:w="0" w:type="auto"/>
            <w:shd w:val="clear" w:color="auto" w:fill="auto"/>
            <w:vAlign w:val="bottom"/>
          </w:tcPr>
          <w:p w14:paraId="392BFAB7" w14:textId="77777777" w:rsidR="00980E5F" w:rsidRDefault="00980E5F">
            <w:pPr>
              <w:rPr>
                <w:rFonts w:ascii="宋体"/>
              </w:rPr>
            </w:pPr>
          </w:p>
        </w:tc>
        <w:tc>
          <w:tcPr>
            <w:tcW w:w="0" w:type="auto"/>
            <w:shd w:val="clear" w:color="auto" w:fill="auto"/>
            <w:vAlign w:val="bottom"/>
          </w:tcPr>
          <w:p w14:paraId="392BFAB8" w14:textId="77777777" w:rsidR="00980E5F" w:rsidRDefault="00980E5F">
            <w:pPr>
              <w:rPr>
                <w:rFonts w:ascii="宋体"/>
              </w:rPr>
            </w:pPr>
          </w:p>
        </w:tc>
        <w:tc>
          <w:tcPr>
            <w:tcW w:w="0" w:type="auto"/>
            <w:shd w:val="clear" w:color="auto" w:fill="auto"/>
            <w:vAlign w:val="bottom"/>
          </w:tcPr>
          <w:p w14:paraId="392BFAB9" w14:textId="77777777" w:rsidR="00980E5F" w:rsidRDefault="00980E5F">
            <w:pPr>
              <w:rPr>
                <w:rFonts w:ascii="宋体"/>
              </w:rPr>
            </w:pPr>
          </w:p>
        </w:tc>
        <w:tc>
          <w:tcPr>
            <w:tcW w:w="0" w:type="auto"/>
            <w:shd w:val="clear" w:color="auto" w:fill="auto"/>
            <w:vAlign w:val="bottom"/>
          </w:tcPr>
          <w:p w14:paraId="392BFABA" w14:textId="77777777" w:rsidR="00980E5F" w:rsidRDefault="00980E5F">
            <w:pPr>
              <w:rPr>
                <w:rFonts w:ascii="宋体"/>
              </w:rPr>
            </w:pPr>
          </w:p>
        </w:tc>
        <w:tc>
          <w:tcPr>
            <w:tcW w:w="0" w:type="auto"/>
            <w:shd w:val="clear" w:color="auto" w:fill="auto"/>
            <w:vAlign w:val="bottom"/>
          </w:tcPr>
          <w:p w14:paraId="392BFABB" w14:textId="77777777" w:rsidR="00980E5F" w:rsidRDefault="00980E5F">
            <w:pPr>
              <w:rPr>
                <w:rFonts w:ascii="宋体"/>
              </w:rPr>
            </w:pPr>
          </w:p>
        </w:tc>
        <w:tc>
          <w:tcPr>
            <w:tcW w:w="0" w:type="auto"/>
            <w:shd w:val="clear" w:color="auto" w:fill="auto"/>
            <w:vAlign w:val="bottom"/>
          </w:tcPr>
          <w:p w14:paraId="392BFABC" w14:textId="77777777" w:rsidR="00980E5F" w:rsidRDefault="00980E5F">
            <w:pPr>
              <w:rPr>
                <w:rFonts w:ascii="宋体"/>
              </w:rPr>
            </w:pPr>
          </w:p>
        </w:tc>
        <w:tc>
          <w:tcPr>
            <w:tcW w:w="0" w:type="auto"/>
            <w:shd w:val="clear" w:color="auto" w:fill="auto"/>
            <w:vAlign w:val="bottom"/>
          </w:tcPr>
          <w:p w14:paraId="392BFABD" w14:textId="77777777" w:rsidR="00980E5F" w:rsidRDefault="00980E5F">
            <w:pPr>
              <w:rPr>
                <w:rFonts w:ascii="宋体"/>
              </w:rPr>
            </w:pPr>
          </w:p>
        </w:tc>
        <w:tc>
          <w:tcPr>
            <w:tcW w:w="0" w:type="auto"/>
            <w:shd w:val="clear" w:color="auto" w:fill="auto"/>
            <w:vAlign w:val="bottom"/>
          </w:tcPr>
          <w:p w14:paraId="392BFABE" w14:textId="77777777" w:rsidR="00980E5F" w:rsidRDefault="00980E5F">
            <w:pPr>
              <w:rPr>
                <w:rFonts w:ascii="宋体"/>
              </w:rPr>
            </w:pPr>
          </w:p>
        </w:tc>
        <w:tc>
          <w:tcPr>
            <w:tcW w:w="0" w:type="auto"/>
            <w:shd w:val="clear" w:color="auto" w:fill="auto"/>
            <w:vAlign w:val="bottom"/>
          </w:tcPr>
          <w:p w14:paraId="392BFABF" w14:textId="77777777" w:rsidR="00980E5F" w:rsidRDefault="00980E5F">
            <w:pPr>
              <w:rPr>
                <w:rFonts w:ascii="宋体"/>
              </w:rPr>
            </w:pPr>
          </w:p>
        </w:tc>
        <w:tc>
          <w:tcPr>
            <w:tcW w:w="0" w:type="auto"/>
            <w:shd w:val="clear" w:color="auto" w:fill="auto"/>
            <w:vAlign w:val="bottom"/>
          </w:tcPr>
          <w:p w14:paraId="392BFAC0" w14:textId="77777777" w:rsidR="00980E5F" w:rsidRDefault="00980E5F">
            <w:pPr>
              <w:rPr>
                <w:rFonts w:ascii="宋体"/>
              </w:rPr>
            </w:pPr>
          </w:p>
        </w:tc>
        <w:tc>
          <w:tcPr>
            <w:tcW w:w="0" w:type="auto"/>
            <w:shd w:val="clear" w:color="auto" w:fill="auto"/>
            <w:vAlign w:val="bottom"/>
          </w:tcPr>
          <w:p w14:paraId="392BFAC1" w14:textId="77777777" w:rsidR="00980E5F" w:rsidRDefault="00980E5F">
            <w:pPr>
              <w:rPr>
                <w:rFonts w:ascii="宋体"/>
              </w:rPr>
            </w:pPr>
          </w:p>
        </w:tc>
        <w:tc>
          <w:tcPr>
            <w:tcW w:w="0" w:type="auto"/>
            <w:shd w:val="clear" w:color="auto" w:fill="auto"/>
            <w:vAlign w:val="bottom"/>
          </w:tcPr>
          <w:p w14:paraId="392BFAC2" w14:textId="77777777" w:rsidR="00980E5F" w:rsidRDefault="00980E5F">
            <w:pPr>
              <w:rPr>
                <w:rFonts w:ascii="宋体"/>
              </w:rPr>
            </w:pPr>
          </w:p>
        </w:tc>
        <w:tc>
          <w:tcPr>
            <w:tcW w:w="0" w:type="auto"/>
            <w:shd w:val="clear" w:color="auto" w:fill="auto"/>
            <w:vAlign w:val="bottom"/>
          </w:tcPr>
          <w:p w14:paraId="392BFAC3" w14:textId="77777777" w:rsidR="00980E5F" w:rsidRDefault="00980E5F">
            <w:pPr>
              <w:rPr>
                <w:rFonts w:ascii="宋体"/>
              </w:rPr>
            </w:pPr>
          </w:p>
        </w:tc>
        <w:tc>
          <w:tcPr>
            <w:tcW w:w="0" w:type="auto"/>
            <w:shd w:val="clear" w:color="auto" w:fill="auto"/>
            <w:vAlign w:val="bottom"/>
          </w:tcPr>
          <w:p w14:paraId="392BFAC4" w14:textId="77777777" w:rsidR="00980E5F" w:rsidRDefault="00980E5F">
            <w:pPr>
              <w:rPr>
                <w:rFonts w:ascii="宋体"/>
              </w:rPr>
            </w:pPr>
          </w:p>
        </w:tc>
        <w:tc>
          <w:tcPr>
            <w:tcW w:w="0" w:type="auto"/>
            <w:shd w:val="clear" w:color="auto" w:fill="auto"/>
            <w:vAlign w:val="bottom"/>
          </w:tcPr>
          <w:p w14:paraId="392BFAC5" w14:textId="77777777" w:rsidR="00980E5F" w:rsidRDefault="00980E5F">
            <w:pPr>
              <w:rPr>
                <w:rFonts w:ascii="宋体"/>
              </w:rPr>
            </w:pPr>
          </w:p>
        </w:tc>
        <w:tc>
          <w:tcPr>
            <w:tcW w:w="0" w:type="auto"/>
            <w:shd w:val="clear" w:color="auto" w:fill="auto"/>
            <w:vAlign w:val="bottom"/>
          </w:tcPr>
          <w:p w14:paraId="392BFAC6" w14:textId="77777777" w:rsidR="00980E5F" w:rsidRDefault="00980E5F">
            <w:pPr>
              <w:rPr>
                <w:rFonts w:ascii="宋体"/>
              </w:rPr>
            </w:pPr>
          </w:p>
        </w:tc>
        <w:tc>
          <w:tcPr>
            <w:tcW w:w="0" w:type="auto"/>
            <w:shd w:val="clear" w:color="auto" w:fill="auto"/>
            <w:vAlign w:val="bottom"/>
          </w:tcPr>
          <w:p w14:paraId="392BFAC7" w14:textId="77777777" w:rsidR="00980E5F" w:rsidRDefault="00980E5F">
            <w:pPr>
              <w:rPr>
                <w:rFonts w:ascii="宋体"/>
              </w:rPr>
            </w:pPr>
          </w:p>
        </w:tc>
        <w:tc>
          <w:tcPr>
            <w:tcW w:w="0" w:type="auto"/>
            <w:shd w:val="clear" w:color="auto" w:fill="auto"/>
            <w:vAlign w:val="bottom"/>
          </w:tcPr>
          <w:p w14:paraId="392BFAC8" w14:textId="77777777" w:rsidR="00980E5F" w:rsidRDefault="00980E5F">
            <w:pPr>
              <w:rPr>
                <w:rFonts w:ascii="宋体"/>
              </w:rPr>
            </w:pPr>
          </w:p>
        </w:tc>
        <w:tc>
          <w:tcPr>
            <w:tcW w:w="0" w:type="auto"/>
            <w:shd w:val="clear" w:color="auto" w:fill="auto"/>
            <w:vAlign w:val="bottom"/>
          </w:tcPr>
          <w:p w14:paraId="392BFAC9" w14:textId="77777777" w:rsidR="00980E5F" w:rsidRDefault="00980E5F">
            <w:pPr>
              <w:rPr>
                <w:rFonts w:ascii="宋体"/>
              </w:rPr>
            </w:pPr>
          </w:p>
        </w:tc>
        <w:tc>
          <w:tcPr>
            <w:tcW w:w="0" w:type="auto"/>
            <w:shd w:val="clear" w:color="auto" w:fill="auto"/>
            <w:vAlign w:val="bottom"/>
          </w:tcPr>
          <w:p w14:paraId="392BFACA" w14:textId="77777777" w:rsidR="00980E5F" w:rsidRDefault="00980E5F">
            <w:pPr>
              <w:rPr>
                <w:rFonts w:ascii="宋体"/>
              </w:rPr>
            </w:pPr>
          </w:p>
        </w:tc>
        <w:tc>
          <w:tcPr>
            <w:tcW w:w="0" w:type="auto"/>
            <w:shd w:val="clear" w:color="auto" w:fill="auto"/>
            <w:vAlign w:val="bottom"/>
          </w:tcPr>
          <w:p w14:paraId="392BFACB" w14:textId="77777777" w:rsidR="00980E5F" w:rsidRDefault="00980E5F">
            <w:pPr>
              <w:rPr>
                <w:rFonts w:ascii="宋体"/>
              </w:rPr>
            </w:pPr>
          </w:p>
        </w:tc>
        <w:tc>
          <w:tcPr>
            <w:tcW w:w="0" w:type="auto"/>
            <w:shd w:val="clear" w:color="auto" w:fill="auto"/>
            <w:vAlign w:val="bottom"/>
          </w:tcPr>
          <w:p w14:paraId="392BFACC" w14:textId="77777777" w:rsidR="00980E5F" w:rsidRDefault="00980E5F">
            <w:pPr>
              <w:rPr>
                <w:rFonts w:ascii="宋体"/>
              </w:rPr>
            </w:pPr>
          </w:p>
        </w:tc>
        <w:tc>
          <w:tcPr>
            <w:tcW w:w="0" w:type="auto"/>
            <w:shd w:val="clear" w:color="auto" w:fill="auto"/>
            <w:vAlign w:val="bottom"/>
          </w:tcPr>
          <w:p w14:paraId="392BFACD" w14:textId="77777777" w:rsidR="00980E5F" w:rsidRDefault="00980E5F">
            <w:pPr>
              <w:rPr>
                <w:rFonts w:ascii="宋体"/>
              </w:rPr>
            </w:pPr>
          </w:p>
        </w:tc>
        <w:tc>
          <w:tcPr>
            <w:tcW w:w="0" w:type="auto"/>
            <w:shd w:val="clear" w:color="auto" w:fill="auto"/>
            <w:vAlign w:val="bottom"/>
          </w:tcPr>
          <w:p w14:paraId="392BFACE" w14:textId="77777777" w:rsidR="00980E5F" w:rsidRDefault="00980E5F">
            <w:pPr>
              <w:rPr>
                <w:rFonts w:ascii="宋体"/>
              </w:rPr>
            </w:pPr>
          </w:p>
        </w:tc>
        <w:tc>
          <w:tcPr>
            <w:tcW w:w="0" w:type="auto"/>
            <w:shd w:val="clear" w:color="auto" w:fill="auto"/>
            <w:vAlign w:val="bottom"/>
          </w:tcPr>
          <w:p w14:paraId="392BFACF" w14:textId="77777777" w:rsidR="00980E5F" w:rsidRDefault="00980E5F">
            <w:pPr>
              <w:rPr>
                <w:rFonts w:ascii="宋体"/>
              </w:rPr>
            </w:pPr>
          </w:p>
        </w:tc>
        <w:tc>
          <w:tcPr>
            <w:tcW w:w="0" w:type="auto"/>
            <w:shd w:val="clear" w:color="auto" w:fill="auto"/>
            <w:vAlign w:val="bottom"/>
          </w:tcPr>
          <w:p w14:paraId="392BFAD0" w14:textId="77777777" w:rsidR="00980E5F" w:rsidRDefault="00980E5F">
            <w:pPr>
              <w:rPr>
                <w:rFonts w:ascii="宋体"/>
              </w:rPr>
            </w:pPr>
          </w:p>
        </w:tc>
        <w:tc>
          <w:tcPr>
            <w:tcW w:w="0" w:type="auto"/>
            <w:shd w:val="clear" w:color="auto" w:fill="auto"/>
            <w:vAlign w:val="bottom"/>
          </w:tcPr>
          <w:p w14:paraId="392BFAD1" w14:textId="77777777" w:rsidR="00980E5F" w:rsidRDefault="00980E5F">
            <w:pPr>
              <w:rPr>
                <w:rFonts w:ascii="宋体"/>
              </w:rPr>
            </w:pPr>
          </w:p>
        </w:tc>
        <w:tc>
          <w:tcPr>
            <w:tcW w:w="0" w:type="auto"/>
            <w:shd w:val="clear" w:color="auto" w:fill="auto"/>
            <w:vAlign w:val="bottom"/>
          </w:tcPr>
          <w:p w14:paraId="392BFAD2" w14:textId="77777777" w:rsidR="00980E5F" w:rsidRDefault="00980E5F">
            <w:pPr>
              <w:rPr>
                <w:rFonts w:ascii="宋体"/>
              </w:rPr>
            </w:pPr>
          </w:p>
        </w:tc>
        <w:tc>
          <w:tcPr>
            <w:tcW w:w="0" w:type="auto"/>
            <w:shd w:val="clear" w:color="auto" w:fill="auto"/>
            <w:vAlign w:val="bottom"/>
          </w:tcPr>
          <w:p w14:paraId="392BFAD3" w14:textId="77777777" w:rsidR="00980E5F" w:rsidRDefault="00980E5F">
            <w:pPr>
              <w:rPr>
                <w:rFonts w:ascii="宋体"/>
              </w:rPr>
            </w:pPr>
          </w:p>
        </w:tc>
        <w:tc>
          <w:tcPr>
            <w:tcW w:w="0" w:type="auto"/>
            <w:shd w:val="clear" w:color="auto" w:fill="auto"/>
            <w:vAlign w:val="bottom"/>
          </w:tcPr>
          <w:p w14:paraId="392BFAD4" w14:textId="77777777" w:rsidR="00980E5F" w:rsidRDefault="00980E5F">
            <w:pPr>
              <w:rPr>
                <w:rFonts w:ascii="宋体"/>
              </w:rPr>
            </w:pPr>
          </w:p>
        </w:tc>
        <w:tc>
          <w:tcPr>
            <w:tcW w:w="0" w:type="auto"/>
            <w:shd w:val="clear" w:color="auto" w:fill="auto"/>
            <w:vAlign w:val="bottom"/>
          </w:tcPr>
          <w:p w14:paraId="392BFAD5" w14:textId="77777777" w:rsidR="00980E5F" w:rsidRDefault="00980E5F">
            <w:pPr>
              <w:rPr>
                <w:rFonts w:ascii="宋体"/>
              </w:rPr>
            </w:pPr>
          </w:p>
        </w:tc>
        <w:tc>
          <w:tcPr>
            <w:tcW w:w="0" w:type="auto"/>
            <w:shd w:val="clear" w:color="auto" w:fill="auto"/>
            <w:vAlign w:val="bottom"/>
          </w:tcPr>
          <w:p w14:paraId="392BFAD6" w14:textId="77777777" w:rsidR="00980E5F" w:rsidRDefault="00980E5F">
            <w:pPr>
              <w:rPr>
                <w:rFonts w:ascii="宋体"/>
              </w:rPr>
            </w:pPr>
          </w:p>
        </w:tc>
        <w:tc>
          <w:tcPr>
            <w:tcW w:w="0" w:type="auto"/>
            <w:shd w:val="clear" w:color="auto" w:fill="auto"/>
            <w:vAlign w:val="bottom"/>
          </w:tcPr>
          <w:p w14:paraId="392BFAD7" w14:textId="77777777" w:rsidR="00980E5F" w:rsidRDefault="00980E5F">
            <w:pPr>
              <w:rPr>
                <w:rFonts w:ascii="宋体"/>
              </w:rPr>
            </w:pPr>
          </w:p>
        </w:tc>
      </w:tr>
      <w:tr w:rsidR="00980E5F" w14:paraId="392BFAEF" w14:textId="77777777">
        <w:trPr>
          <w:hidden/>
        </w:trPr>
        <w:tc>
          <w:tcPr>
            <w:tcW w:w="0" w:type="auto"/>
            <w:gridSpan w:val="3"/>
            <w:shd w:val="clear" w:color="auto" w:fill="auto"/>
            <w:vAlign w:val="bottom"/>
          </w:tcPr>
          <w:p w14:paraId="392BFAD9" w14:textId="77777777" w:rsidR="00980E5F" w:rsidRDefault="00980E5F">
            <w:pPr>
              <w:rPr>
                <w:rFonts w:ascii="宋体"/>
                <w:vanish/>
              </w:rPr>
            </w:pPr>
          </w:p>
        </w:tc>
        <w:tc>
          <w:tcPr>
            <w:tcW w:w="0" w:type="auto"/>
            <w:gridSpan w:val="3"/>
            <w:shd w:val="clear" w:color="auto" w:fill="auto"/>
            <w:vAlign w:val="bottom"/>
          </w:tcPr>
          <w:p w14:paraId="392BFADA" w14:textId="77777777" w:rsidR="00980E5F" w:rsidRDefault="00980E5F">
            <w:pPr>
              <w:rPr>
                <w:rFonts w:ascii="宋体"/>
                <w:vanish/>
              </w:rPr>
            </w:pPr>
          </w:p>
        </w:tc>
        <w:tc>
          <w:tcPr>
            <w:tcW w:w="0" w:type="auto"/>
            <w:gridSpan w:val="3"/>
            <w:shd w:val="clear" w:color="auto" w:fill="auto"/>
            <w:vAlign w:val="bottom"/>
          </w:tcPr>
          <w:p w14:paraId="392BFADB" w14:textId="77777777" w:rsidR="00980E5F" w:rsidRDefault="00980E5F">
            <w:pPr>
              <w:rPr>
                <w:rFonts w:ascii="宋体"/>
                <w:vanish/>
              </w:rPr>
            </w:pPr>
          </w:p>
        </w:tc>
        <w:tc>
          <w:tcPr>
            <w:tcW w:w="0" w:type="auto"/>
            <w:gridSpan w:val="3"/>
            <w:shd w:val="clear" w:color="auto" w:fill="auto"/>
            <w:vAlign w:val="bottom"/>
          </w:tcPr>
          <w:p w14:paraId="392BFADC" w14:textId="77777777" w:rsidR="00980E5F" w:rsidRDefault="00980E5F">
            <w:pPr>
              <w:rPr>
                <w:rFonts w:ascii="宋体"/>
                <w:vanish/>
              </w:rPr>
            </w:pPr>
          </w:p>
        </w:tc>
        <w:tc>
          <w:tcPr>
            <w:tcW w:w="0" w:type="auto"/>
            <w:gridSpan w:val="3"/>
            <w:shd w:val="clear" w:color="auto" w:fill="auto"/>
            <w:vAlign w:val="bottom"/>
          </w:tcPr>
          <w:p w14:paraId="392BFADD" w14:textId="77777777" w:rsidR="00980E5F" w:rsidRDefault="00980E5F">
            <w:pPr>
              <w:rPr>
                <w:rFonts w:ascii="宋体"/>
                <w:vanish/>
              </w:rPr>
            </w:pPr>
          </w:p>
        </w:tc>
        <w:tc>
          <w:tcPr>
            <w:tcW w:w="0" w:type="auto"/>
            <w:gridSpan w:val="3"/>
            <w:shd w:val="clear" w:color="auto" w:fill="auto"/>
            <w:vAlign w:val="bottom"/>
          </w:tcPr>
          <w:p w14:paraId="392BFADE" w14:textId="77777777" w:rsidR="00980E5F" w:rsidRDefault="00980E5F">
            <w:pPr>
              <w:rPr>
                <w:rFonts w:ascii="宋体"/>
                <w:vanish/>
              </w:rPr>
            </w:pPr>
          </w:p>
        </w:tc>
        <w:tc>
          <w:tcPr>
            <w:tcW w:w="0" w:type="auto"/>
            <w:gridSpan w:val="3"/>
            <w:shd w:val="clear" w:color="auto" w:fill="auto"/>
            <w:vAlign w:val="bottom"/>
          </w:tcPr>
          <w:p w14:paraId="392BFADF" w14:textId="77777777" w:rsidR="00980E5F" w:rsidRDefault="00980E5F">
            <w:pPr>
              <w:rPr>
                <w:rFonts w:ascii="宋体"/>
                <w:vanish/>
              </w:rPr>
            </w:pPr>
          </w:p>
        </w:tc>
        <w:tc>
          <w:tcPr>
            <w:tcW w:w="0" w:type="auto"/>
            <w:gridSpan w:val="3"/>
            <w:shd w:val="clear" w:color="auto" w:fill="auto"/>
            <w:vAlign w:val="bottom"/>
          </w:tcPr>
          <w:p w14:paraId="392BFAE0" w14:textId="77777777" w:rsidR="00980E5F" w:rsidRDefault="00980E5F">
            <w:pPr>
              <w:rPr>
                <w:rFonts w:ascii="宋体"/>
                <w:vanish/>
              </w:rPr>
            </w:pPr>
          </w:p>
        </w:tc>
        <w:tc>
          <w:tcPr>
            <w:tcW w:w="0" w:type="auto"/>
            <w:gridSpan w:val="3"/>
            <w:shd w:val="clear" w:color="auto" w:fill="auto"/>
            <w:vAlign w:val="bottom"/>
          </w:tcPr>
          <w:p w14:paraId="392BFAE1" w14:textId="77777777" w:rsidR="00980E5F" w:rsidRDefault="00980E5F">
            <w:pPr>
              <w:rPr>
                <w:rFonts w:ascii="宋体"/>
                <w:vanish/>
              </w:rPr>
            </w:pPr>
          </w:p>
        </w:tc>
        <w:tc>
          <w:tcPr>
            <w:tcW w:w="0" w:type="auto"/>
            <w:gridSpan w:val="3"/>
            <w:shd w:val="clear" w:color="auto" w:fill="auto"/>
            <w:vAlign w:val="bottom"/>
          </w:tcPr>
          <w:p w14:paraId="392BFAE2" w14:textId="77777777" w:rsidR="00980E5F" w:rsidRDefault="00980E5F">
            <w:pPr>
              <w:rPr>
                <w:rFonts w:ascii="宋体"/>
                <w:vanish/>
              </w:rPr>
            </w:pPr>
          </w:p>
        </w:tc>
        <w:tc>
          <w:tcPr>
            <w:tcW w:w="0" w:type="auto"/>
            <w:gridSpan w:val="3"/>
            <w:shd w:val="clear" w:color="auto" w:fill="auto"/>
            <w:vAlign w:val="bottom"/>
          </w:tcPr>
          <w:p w14:paraId="392BFAE3" w14:textId="77777777" w:rsidR="00980E5F" w:rsidRDefault="00980E5F">
            <w:pPr>
              <w:rPr>
                <w:rFonts w:ascii="宋体"/>
                <w:vanish/>
              </w:rPr>
            </w:pPr>
          </w:p>
        </w:tc>
        <w:tc>
          <w:tcPr>
            <w:tcW w:w="0" w:type="auto"/>
            <w:gridSpan w:val="3"/>
            <w:shd w:val="clear" w:color="auto" w:fill="auto"/>
            <w:vAlign w:val="bottom"/>
          </w:tcPr>
          <w:p w14:paraId="392BFAE4" w14:textId="77777777" w:rsidR="00980E5F" w:rsidRDefault="00980E5F">
            <w:pPr>
              <w:rPr>
                <w:rFonts w:ascii="宋体"/>
                <w:vanish/>
              </w:rPr>
            </w:pPr>
          </w:p>
        </w:tc>
        <w:tc>
          <w:tcPr>
            <w:tcW w:w="0" w:type="auto"/>
            <w:gridSpan w:val="3"/>
            <w:shd w:val="clear" w:color="auto" w:fill="auto"/>
            <w:vAlign w:val="bottom"/>
          </w:tcPr>
          <w:p w14:paraId="392BFAE5" w14:textId="77777777" w:rsidR="00980E5F" w:rsidRDefault="00980E5F">
            <w:pPr>
              <w:rPr>
                <w:rFonts w:ascii="宋体"/>
                <w:vanish/>
              </w:rPr>
            </w:pPr>
          </w:p>
        </w:tc>
        <w:tc>
          <w:tcPr>
            <w:tcW w:w="0" w:type="auto"/>
            <w:gridSpan w:val="3"/>
            <w:shd w:val="clear" w:color="auto" w:fill="auto"/>
            <w:vAlign w:val="bottom"/>
          </w:tcPr>
          <w:p w14:paraId="392BFAE6" w14:textId="77777777" w:rsidR="00980E5F" w:rsidRDefault="00980E5F">
            <w:pPr>
              <w:rPr>
                <w:rFonts w:ascii="宋体"/>
                <w:vanish/>
              </w:rPr>
            </w:pPr>
          </w:p>
        </w:tc>
        <w:tc>
          <w:tcPr>
            <w:tcW w:w="0" w:type="auto"/>
            <w:gridSpan w:val="3"/>
            <w:shd w:val="clear" w:color="auto" w:fill="auto"/>
            <w:vAlign w:val="bottom"/>
          </w:tcPr>
          <w:p w14:paraId="392BFAE7" w14:textId="77777777" w:rsidR="00980E5F" w:rsidRDefault="00980E5F">
            <w:pPr>
              <w:rPr>
                <w:rFonts w:ascii="宋体"/>
                <w:vanish/>
              </w:rPr>
            </w:pPr>
          </w:p>
        </w:tc>
        <w:tc>
          <w:tcPr>
            <w:tcW w:w="0" w:type="auto"/>
            <w:gridSpan w:val="3"/>
            <w:shd w:val="clear" w:color="auto" w:fill="auto"/>
            <w:vAlign w:val="bottom"/>
          </w:tcPr>
          <w:p w14:paraId="392BFAE8" w14:textId="77777777" w:rsidR="00980E5F" w:rsidRDefault="00980E5F">
            <w:pPr>
              <w:rPr>
                <w:rFonts w:ascii="宋体"/>
                <w:vanish/>
              </w:rPr>
            </w:pPr>
          </w:p>
        </w:tc>
        <w:tc>
          <w:tcPr>
            <w:tcW w:w="0" w:type="auto"/>
            <w:gridSpan w:val="3"/>
            <w:shd w:val="clear" w:color="auto" w:fill="auto"/>
            <w:vAlign w:val="bottom"/>
          </w:tcPr>
          <w:p w14:paraId="392BFAE9" w14:textId="77777777" w:rsidR="00980E5F" w:rsidRDefault="00980E5F">
            <w:pPr>
              <w:rPr>
                <w:rFonts w:ascii="宋体"/>
                <w:vanish/>
              </w:rPr>
            </w:pPr>
          </w:p>
        </w:tc>
        <w:tc>
          <w:tcPr>
            <w:tcW w:w="0" w:type="auto"/>
            <w:gridSpan w:val="3"/>
            <w:shd w:val="clear" w:color="auto" w:fill="auto"/>
            <w:vAlign w:val="bottom"/>
          </w:tcPr>
          <w:p w14:paraId="392BFAEA" w14:textId="77777777" w:rsidR="00980E5F" w:rsidRDefault="00980E5F">
            <w:pPr>
              <w:rPr>
                <w:rFonts w:ascii="宋体"/>
                <w:vanish/>
              </w:rPr>
            </w:pPr>
          </w:p>
        </w:tc>
        <w:tc>
          <w:tcPr>
            <w:tcW w:w="0" w:type="auto"/>
            <w:gridSpan w:val="3"/>
            <w:shd w:val="clear" w:color="auto" w:fill="auto"/>
            <w:vAlign w:val="bottom"/>
          </w:tcPr>
          <w:p w14:paraId="392BFAEB" w14:textId="77777777" w:rsidR="00980E5F" w:rsidRDefault="00980E5F">
            <w:pPr>
              <w:rPr>
                <w:rFonts w:ascii="宋体"/>
                <w:vanish/>
              </w:rPr>
            </w:pPr>
          </w:p>
        </w:tc>
        <w:tc>
          <w:tcPr>
            <w:tcW w:w="0" w:type="auto"/>
            <w:gridSpan w:val="3"/>
            <w:shd w:val="clear" w:color="auto" w:fill="auto"/>
            <w:vAlign w:val="bottom"/>
          </w:tcPr>
          <w:p w14:paraId="392BFAEC" w14:textId="77777777" w:rsidR="00980E5F" w:rsidRDefault="00980E5F">
            <w:pPr>
              <w:rPr>
                <w:rFonts w:ascii="宋体"/>
                <w:vanish/>
              </w:rPr>
            </w:pPr>
          </w:p>
        </w:tc>
        <w:tc>
          <w:tcPr>
            <w:tcW w:w="0" w:type="auto"/>
            <w:gridSpan w:val="2"/>
            <w:shd w:val="clear" w:color="auto" w:fill="auto"/>
            <w:vAlign w:val="bottom"/>
          </w:tcPr>
          <w:p w14:paraId="392BFAED" w14:textId="77777777" w:rsidR="00980E5F" w:rsidRDefault="00980E5F">
            <w:pPr>
              <w:rPr>
                <w:rFonts w:ascii="宋体"/>
                <w:vanish/>
              </w:rPr>
            </w:pPr>
          </w:p>
        </w:tc>
        <w:tc>
          <w:tcPr>
            <w:tcW w:w="0" w:type="auto"/>
            <w:shd w:val="clear" w:color="auto" w:fill="auto"/>
            <w:vAlign w:val="bottom"/>
          </w:tcPr>
          <w:p w14:paraId="392BFAEE" w14:textId="77777777" w:rsidR="00980E5F" w:rsidRDefault="00980E5F">
            <w:pPr>
              <w:rPr>
                <w:rFonts w:ascii="宋体"/>
                <w:vanish/>
              </w:rPr>
            </w:pPr>
          </w:p>
        </w:tc>
      </w:tr>
      <w:tr w:rsidR="00980E5F" w14:paraId="392BFB06" w14:textId="77777777">
        <w:trPr>
          <w:hidden/>
        </w:trPr>
        <w:tc>
          <w:tcPr>
            <w:tcW w:w="0" w:type="auto"/>
            <w:gridSpan w:val="3"/>
            <w:shd w:val="clear" w:color="auto" w:fill="auto"/>
            <w:vAlign w:val="bottom"/>
          </w:tcPr>
          <w:p w14:paraId="392BFAF0" w14:textId="77777777" w:rsidR="00980E5F" w:rsidRDefault="00980E5F">
            <w:pPr>
              <w:rPr>
                <w:rFonts w:ascii="宋体"/>
                <w:vanish/>
              </w:rPr>
            </w:pPr>
          </w:p>
        </w:tc>
        <w:tc>
          <w:tcPr>
            <w:tcW w:w="0" w:type="auto"/>
            <w:gridSpan w:val="3"/>
            <w:shd w:val="clear" w:color="auto" w:fill="auto"/>
            <w:vAlign w:val="bottom"/>
          </w:tcPr>
          <w:p w14:paraId="392BFAF1" w14:textId="77777777" w:rsidR="00980E5F" w:rsidRDefault="00980E5F">
            <w:pPr>
              <w:rPr>
                <w:rFonts w:ascii="宋体"/>
                <w:vanish/>
              </w:rPr>
            </w:pPr>
          </w:p>
        </w:tc>
        <w:tc>
          <w:tcPr>
            <w:tcW w:w="0" w:type="auto"/>
            <w:gridSpan w:val="3"/>
            <w:shd w:val="clear" w:color="auto" w:fill="auto"/>
            <w:vAlign w:val="bottom"/>
          </w:tcPr>
          <w:p w14:paraId="392BFAF2" w14:textId="77777777" w:rsidR="00980E5F" w:rsidRDefault="00980E5F">
            <w:pPr>
              <w:rPr>
                <w:rFonts w:ascii="宋体"/>
                <w:vanish/>
              </w:rPr>
            </w:pPr>
          </w:p>
        </w:tc>
        <w:tc>
          <w:tcPr>
            <w:tcW w:w="0" w:type="auto"/>
            <w:gridSpan w:val="3"/>
            <w:shd w:val="clear" w:color="auto" w:fill="auto"/>
            <w:vAlign w:val="bottom"/>
          </w:tcPr>
          <w:p w14:paraId="392BFAF3" w14:textId="77777777" w:rsidR="00980E5F" w:rsidRDefault="00980E5F">
            <w:pPr>
              <w:rPr>
                <w:rFonts w:ascii="宋体"/>
                <w:vanish/>
              </w:rPr>
            </w:pPr>
          </w:p>
        </w:tc>
        <w:tc>
          <w:tcPr>
            <w:tcW w:w="0" w:type="auto"/>
            <w:gridSpan w:val="3"/>
            <w:shd w:val="clear" w:color="auto" w:fill="auto"/>
            <w:vAlign w:val="bottom"/>
          </w:tcPr>
          <w:p w14:paraId="392BFAF4" w14:textId="77777777" w:rsidR="00980E5F" w:rsidRDefault="00980E5F">
            <w:pPr>
              <w:rPr>
                <w:rFonts w:ascii="宋体"/>
                <w:vanish/>
              </w:rPr>
            </w:pPr>
          </w:p>
        </w:tc>
        <w:tc>
          <w:tcPr>
            <w:tcW w:w="0" w:type="auto"/>
            <w:gridSpan w:val="3"/>
            <w:shd w:val="clear" w:color="auto" w:fill="auto"/>
            <w:vAlign w:val="bottom"/>
          </w:tcPr>
          <w:p w14:paraId="392BFAF5" w14:textId="77777777" w:rsidR="00980E5F" w:rsidRDefault="00980E5F">
            <w:pPr>
              <w:rPr>
                <w:rFonts w:ascii="宋体"/>
                <w:vanish/>
              </w:rPr>
            </w:pPr>
          </w:p>
        </w:tc>
        <w:tc>
          <w:tcPr>
            <w:tcW w:w="0" w:type="auto"/>
            <w:gridSpan w:val="3"/>
            <w:shd w:val="clear" w:color="auto" w:fill="auto"/>
            <w:vAlign w:val="bottom"/>
          </w:tcPr>
          <w:p w14:paraId="392BFAF6" w14:textId="77777777" w:rsidR="00980E5F" w:rsidRDefault="00980E5F">
            <w:pPr>
              <w:rPr>
                <w:rFonts w:ascii="宋体"/>
                <w:vanish/>
              </w:rPr>
            </w:pPr>
          </w:p>
        </w:tc>
        <w:tc>
          <w:tcPr>
            <w:tcW w:w="0" w:type="auto"/>
            <w:gridSpan w:val="3"/>
            <w:shd w:val="clear" w:color="auto" w:fill="auto"/>
            <w:vAlign w:val="bottom"/>
          </w:tcPr>
          <w:p w14:paraId="392BFAF7" w14:textId="77777777" w:rsidR="00980E5F" w:rsidRDefault="00980E5F">
            <w:pPr>
              <w:rPr>
                <w:rFonts w:ascii="宋体"/>
                <w:vanish/>
              </w:rPr>
            </w:pPr>
          </w:p>
        </w:tc>
        <w:tc>
          <w:tcPr>
            <w:tcW w:w="0" w:type="auto"/>
            <w:gridSpan w:val="3"/>
            <w:shd w:val="clear" w:color="auto" w:fill="auto"/>
            <w:vAlign w:val="bottom"/>
          </w:tcPr>
          <w:p w14:paraId="392BFAF8" w14:textId="77777777" w:rsidR="00980E5F" w:rsidRDefault="00980E5F">
            <w:pPr>
              <w:rPr>
                <w:rFonts w:ascii="宋体"/>
                <w:vanish/>
              </w:rPr>
            </w:pPr>
          </w:p>
        </w:tc>
        <w:tc>
          <w:tcPr>
            <w:tcW w:w="0" w:type="auto"/>
            <w:gridSpan w:val="3"/>
            <w:shd w:val="clear" w:color="auto" w:fill="auto"/>
            <w:vAlign w:val="bottom"/>
          </w:tcPr>
          <w:p w14:paraId="392BFAF9" w14:textId="77777777" w:rsidR="00980E5F" w:rsidRDefault="00980E5F">
            <w:pPr>
              <w:rPr>
                <w:rFonts w:ascii="宋体"/>
                <w:vanish/>
              </w:rPr>
            </w:pPr>
          </w:p>
        </w:tc>
        <w:tc>
          <w:tcPr>
            <w:tcW w:w="0" w:type="auto"/>
            <w:gridSpan w:val="3"/>
            <w:shd w:val="clear" w:color="auto" w:fill="auto"/>
            <w:vAlign w:val="bottom"/>
          </w:tcPr>
          <w:p w14:paraId="392BFAFA" w14:textId="77777777" w:rsidR="00980E5F" w:rsidRDefault="00980E5F">
            <w:pPr>
              <w:rPr>
                <w:rFonts w:ascii="宋体"/>
                <w:vanish/>
              </w:rPr>
            </w:pPr>
          </w:p>
        </w:tc>
        <w:tc>
          <w:tcPr>
            <w:tcW w:w="0" w:type="auto"/>
            <w:gridSpan w:val="3"/>
            <w:shd w:val="clear" w:color="auto" w:fill="auto"/>
            <w:vAlign w:val="bottom"/>
          </w:tcPr>
          <w:p w14:paraId="392BFAFB" w14:textId="77777777" w:rsidR="00980E5F" w:rsidRDefault="00980E5F">
            <w:pPr>
              <w:rPr>
                <w:rFonts w:ascii="宋体"/>
                <w:vanish/>
              </w:rPr>
            </w:pPr>
          </w:p>
        </w:tc>
        <w:tc>
          <w:tcPr>
            <w:tcW w:w="0" w:type="auto"/>
            <w:gridSpan w:val="3"/>
            <w:shd w:val="clear" w:color="auto" w:fill="auto"/>
            <w:vAlign w:val="bottom"/>
          </w:tcPr>
          <w:p w14:paraId="392BFAFC" w14:textId="77777777" w:rsidR="00980E5F" w:rsidRDefault="00980E5F">
            <w:pPr>
              <w:rPr>
                <w:rFonts w:ascii="宋体"/>
                <w:vanish/>
              </w:rPr>
            </w:pPr>
          </w:p>
        </w:tc>
        <w:tc>
          <w:tcPr>
            <w:tcW w:w="0" w:type="auto"/>
            <w:gridSpan w:val="3"/>
            <w:shd w:val="clear" w:color="auto" w:fill="auto"/>
            <w:vAlign w:val="bottom"/>
          </w:tcPr>
          <w:p w14:paraId="392BFAFD" w14:textId="77777777" w:rsidR="00980E5F" w:rsidRDefault="00980E5F">
            <w:pPr>
              <w:rPr>
                <w:rFonts w:ascii="宋体"/>
                <w:vanish/>
              </w:rPr>
            </w:pPr>
          </w:p>
        </w:tc>
        <w:tc>
          <w:tcPr>
            <w:tcW w:w="0" w:type="auto"/>
            <w:gridSpan w:val="3"/>
            <w:shd w:val="clear" w:color="auto" w:fill="auto"/>
            <w:vAlign w:val="bottom"/>
          </w:tcPr>
          <w:p w14:paraId="392BFAFE" w14:textId="77777777" w:rsidR="00980E5F" w:rsidRDefault="00980E5F">
            <w:pPr>
              <w:rPr>
                <w:rFonts w:ascii="宋体"/>
                <w:vanish/>
              </w:rPr>
            </w:pPr>
          </w:p>
        </w:tc>
        <w:tc>
          <w:tcPr>
            <w:tcW w:w="0" w:type="auto"/>
            <w:gridSpan w:val="3"/>
            <w:shd w:val="clear" w:color="auto" w:fill="auto"/>
            <w:vAlign w:val="bottom"/>
          </w:tcPr>
          <w:p w14:paraId="392BFAFF" w14:textId="77777777" w:rsidR="00980E5F" w:rsidRDefault="00980E5F">
            <w:pPr>
              <w:rPr>
                <w:rFonts w:ascii="宋体"/>
                <w:vanish/>
              </w:rPr>
            </w:pPr>
          </w:p>
        </w:tc>
        <w:tc>
          <w:tcPr>
            <w:tcW w:w="0" w:type="auto"/>
            <w:gridSpan w:val="3"/>
            <w:shd w:val="clear" w:color="auto" w:fill="auto"/>
            <w:vAlign w:val="bottom"/>
          </w:tcPr>
          <w:p w14:paraId="392BFB00" w14:textId="77777777" w:rsidR="00980E5F" w:rsidRDefault="00980E5F">
            <w:pPr>
              <w:rPr>
                <w:rFonts w:ascii="宋体"/>
                <w:vanish/>
              </w:rPr>
            </w:pPr>
          </w:p>
        </w:tc>
        <w:tc>
          <w:tcPr>
            <w:tcW w:w="0" w:type="auto"/>
            <w:gridSpan w:val="3"/>
            <w:shd w:val="clear" w:color="auto" w:fill="auto"/>
            <w:vAlign w:val="bottom"/>
          </w:tcPr>
          <w:p w14:paraId="392BFB01" w14:textId="77777777" w:rsidR="00980E5F" w:rsidRDefault="00980E5F">
            <w:pPr>
              <w:rPr>
                <w:rFonts w:ascii="宋体"/>
                <w:vanish/>
              </w:rPr>
            </w:pPr>
          </w:p>
        </w:tc>
        <w:tc>
          <w:tcPr>
            <w:tcW w:w="0" w:type="auto"/>
            <w:gridSpan w:val="3"/>
            <w:shd w:val="clear" w:color="auto" w:fill="auto"/>
            <w:vAlign w:val="bottom"/>
          </w:tcPr>
          <w:p w14:paraId="392BFB02" w14:textId="77777777" w:rsidR="00980E5F" w:rsidRDefault="00980E5F">
            <w:pPr>
              <w:rPr>
                <w:rFonts w:ascii="宋体"/>
                <w:vanish/>
              </w:rPr>
            </w:pPr>
          </w:p>
        </w:tc>
        <w:tc>
          <w:tcPr>
            <w:tcW w:w="0" w:type="auto"/>
            <w:gridSpan w:val="3"/>
            <w:shd w:val="clear" w:color="auto" w:fill="auto"/>
            <w:vAlign w:val="bottom"/>
          </w:tcPr>
          <w:p w14:paraId="392BFB03" w14:textId="77777777" w:rsidR="00980E5F" w:rsidRDefault="00980E5F">
            <w:pPr>
              <w:rPr>
                <w:rFonts w:ascii="宋体"/>
                <w:vanish/>
              </w:rPr>
            </w:pPr>
          </w:p>
        </w:tc>
        <w:tc>
          <w:tcPr>
            <w:tcW w:w="0" w:type="auto"/>
            <w:gridSpan w:val="2"/>
            <w:shd w:val="clear" w:color="auto" w:fill="auto"/>
            <w:vAlign w:val="bottom"/>
          </w:tcPr>
          <w:p w14:paraId="392BFB04" w14:textId="77777777" w:rsidR="00980E5F" w:rsidRDefault="00980E5F">
            <w:pPr>
              <w:rPr>
                <w:rFonts w:ascii="宋体"/>
                <w:vanish/>
              </w:rPr>
            </w:pPr>
          </w:p>
        </w:tc>
        <w:tc>
          <w:tcPr>
            <w:tcW w:w="0" w:type="auto"/>
            <w:shd w:val="clear" w:color="auto" w:fill="auto"/>
            <w:vAlign w:val="bottom"/>
          </w:tcPr>
          <w:p w14:paraId="392BFB05" w14:textId="77777777" w:rsidR="00980E5F" w:rsidRDefault="00980E5F">
            <w:pPr>
              <w:rPr>
                <w:rFonts w:ascii="宋体"/>
                <w:vanish/>
              </w:rPr>
            </w:pPr>
          </w:p>
        </w:tc>
      </w:tr>
      <w:tr w:rsidR="00980E5F" w14:paraId="392BFB1D" w14:textId="77777777">
        <w:trPr>
          <w:hidden/>
        </w:trPr>
        <w:tc>
          <w:tcPr>
            <w:tcW w:w="0" w:type="auto"/>
            <w:gridSpan w:val="3"/>
            <w:shd w:val="clear" w:color="auto" w:fill="auto"/>
            <w:vAlign w:val="bottom"/>
          </w:tcPr>
          <w:p w14:paraId="392BFB07" w14:textId="77777777" w:rsidR="00980E5F" w:rsidRDefault="00980E5F">
            <w:pPr>
              <w:rPr>
                <w:rFonts w:ascii="宋体"/>
                <w:vanish/>
              </w:rPr>
            </w:pPr>
          </w:p>
        </w:tc>
        <w:tc>
          <w:tcPr>
            <w:tcW w:w="0" w:type="auto"/>
            <w:gridSpan w:val="3"/>
            <w:shd w:val="clear" w:color="auto" w:fill="auto"/>
            <w:vAlign w:val="bottom"/>
          </w:tcPr>
          <w:p w14:paraId="392BFB08" w14:textId="77777777" w:rsidR="00980E5F" w:rsidRDefault="00980E5F">
            <w:pPr>
              <w:rPr>
                <w:rFonts w:ascii="宋体"/>
                <w:vanish/>
              </w:rPr>
            </w:pPr>
          </w:p>
        </w:tc>
        <w:tc>
          <w:tcPr>
            <w:tcW w:w="0" w:type="auto"/>
            <w:gridSpan w:val="3"/>
            <w:shd w:val="clear" w:color="auto" w:fill="auto"/>
            <w:vAlign w:val="bottom"/>
          </w:tcPr>
          <w:p w14:paraId="392BFB09" w14:textId="77777777" w:rsidR="00980E5F" w:rsidRDefault="00980E5F">
            <w:pPr>
              <w:rPr>
                <w:rFonts w:ascii="宋体"/>
                <w:vanish/>
              </w:rPr>
            </w:pPr>
          </w:p>
        </w:tc>
        <w:tc>
          <w:tcPr>
            <w:tcW w:w="0" w:type="auto"/>
            <w:gridSpan w:val="3"/>
            <w:shd w:val="clear" w:color="auto" w:fill="auto"/>
            <w:vAlign w:val="bottom"/>
          </w:tcPr>
          <w:p w14:paraId="392BFB0A" w14:textId="77777777" w:rsidR="00980E5F" w:rsidRDefault="00980E5F">
            <w:pPr>
              <w:rPr>
                <w:rFonts w:ascii="宋体"/>
                <w:vanish/>
              </w:rPr>
            </w:pPr>
          </w:p>
        </w:tc>
        <w:tc>
          <w:tcPr>
            <w:tcW w:w="0" w:type="auto"/>
            <w:gridSpan w:val="3"/>
            <w:shd w:val="clear" w:color="auto" w:fill="auto"/>
            <w:vAlign w:val="bottom"/>
          </w:tcPr>
          <w:p w14:paraId="392BFB0B" w14:textId="77777777" w:rsidR="00980E5F" w:rsidRDefault="00980E5F">
            <w:pPr>
              <w:rPr>
                <w:rFonts w:ascii="宋体"/>
                <w:vanish/>
              </w:rPr>
            </w:pPr>
          </w:p>
        </w:tc>
        <w:tc>
          <w:tcPr>
            <w:tcW w:w="0" w:type="auto"/>
            <w:gridSpan w:val="3"/>
            <w:shd w:val="clear" w:color="auto" w:fill="auto"/>
            <w:vAlign w:val="bottom"/>
          </w:tcPr>
          <w:p w14:paraId="392BFB0C" w14:textId="77777777" w:rsidR="00980E5F" w:rsidRDefault="00980E5F">
            <w:pPr>
              <w:rPr>
                <w:rFonts w:ascii="宋体"/>
                <w:vanish/>
              </w:rPr>
            </w:pPr>
          </w:p>
        </w:tc>
        <w:tc>
          <w:tcPr>
            <w:tcW w:w="0" w:type="auto"/>
            <w:gridSpan w:val="3"/>
            <w:shd w:val="clear" w:color="auto" w:fill="auto"/>
            <w:vAlign w:val="bottom"/>
          </w:tcPr>
          <w:p w14:paraId="392BFB0D" w14:textId="77777777" w:rsidR="00980E5F" w:rsidRDefault="00980E5F">
            <w:pPr>
              <w:rPr>
                <w:rFonts w:ascii="宋体"/>
                <w:vanish/>
              </w:rPr>
            </w:pPr>
          </w:p>
        </w:tc>
        <w:tc>
          <w:tcPr>
            <w:tcW w:w="0" w:type="auto"/>
            <w:gridSpan w:val="3"/>
            <w:shd w:val="clear" w:color="auto" w:fill="auto"/>
            <w:vAlign w:val="bottom"/>
          </w:tcPr>
          <w:p w14:paraId="392BFB0E" w14:textId="77777777" w:rsidR="00980E5F" w:rsidRDefault="00980E5F">
            <w:pPr>
              <w:rPr>
                <w:rFonts w:ascii="宋体"/>
                <w:vanish/>
              </w:rPr>
            </w:pPr>
          </w:p>
        </w:tc>
        <w:tc>
          <w:tcPr>
            <w:tcW w:w="0" w:type="auto"/>
            <w:gridSpan w:val="3"/>
            <w:shd w:val="clear" w:color="auto" w:fill="auto"/>
            <w:vAlign w:val="bottom"/>
          </w:tcPr>
          <w:p w14:paraId="392BFB0F" w14:textId="77777777" w:rsidR="00980E5F" w:rsidRDefault="00980E5F">
            <w:pPr>
              <w:rPr>
                <w:rFonts w:ascii="宋体"/>
                <w:vanish/>
              </w:rPr>
            </w:pPr>
          </w:p>
        </w:tc>
        <w:tc>
          <w:tcPr>
            <w:tcW w:w="0" w:type="auto"/>
            <w:gridSpan w:val="3"/>
            <w:shd w:val="clear" w:color="auto" w:fill="auto"/>
            <w:vAlign w:val="bottom"/>
          </w:tcPr>
          <w:p w14:paraId="392BFB10" w14:textId="77777777" w:rsidR="00980E5F" w:rsidRDefault="00980E5F">
            <w:pPr>
              <w:rPr>
                <w:rFonts w:ascii="宋体"/>
                <w:vanish/>
              </w:rPr>
            </w:pPr>
          </w:p>
        </w:tc>
        <w:tc>
          <w:tcPr>
            <w:tcW w:w="0" w:type="auto"/>
            <w:gridSpan w:val="3"/>
            <w:shd w:val="clear" w:color="auto" w:fill="auto"/>
            <w:vAlign w:val="bottom"/>
          </w:tcPr>
          <w:p w14:paraId="392BFB11" w14:textId="77777777" w:rsidR="00980E5F" w:rsidRDefault="00980E5F">
            <w:pPr>
              <w:rPr>
                <w:rFonts w:ascii="宋体"/>
                <w:vanish/>
              </w:rPr>
            </w:pPr>
          </w:p>
        </w:tc>
        <w:tc>
          <w:tcPr>
            <w:tcW w:w="0" w:type="auto"/>
            <w:gridSpan w:val="3"/>
            <w:shd w:val="clear" w:color="auto" w:fill="auto"/>
            <w:vAlign w:val="bottom"/>
          </w:tcPr>
          <w:p w14:paraId="392BFB12" w14:textId="77777777" w:rsidR="00980E5F" w:rsidRDefault="00980E5F">
            <w:pPr>
              <w:rPr>
                <w:rFonts w:ascii="宋体"/>
                <w:vanish/>
              </w:rPr>
            </w:pPr>
          </w:p>
        </w:tc>
        <w:tc>
          <w:tcPr>
            <w:tcW w:w="0" w:type="auto"/>
            <w:gridSpan w:val="3"/>
            <w:shd w:val="clear" w:color="auto" w:fill="auto"/>
            <w:vAlign w:val="bottom"/>
          </w:tcPr>
          <w:p w14:paraId="392BFB13" w14:textId="77777777" w:rsidR="00980E5F" w:rsidRDefault="00980E5F">
            <w:pPr>
              <w:rPr>
                <w:rFonts w:ascii="宋体"/>
                <w:vanish/>
              </w:rPr>
            </w:pPr>
          </w:p>
        </w:tc>
        <w:tc>
          <w:tcPr>
            <w:tcW w:w="0" w:type="auto"/>
            <w:gridSpan w:val="3"/>
            <w:shd w:val="clear" w:color="auto" w:fill="auto"/>
            <w:vAlign w:val="bottom"/>
          </w:tcPr>
          <w:p w14:paraId="392BFB14" w14:textId="77777777" w:rsidR="00980E5F" w:rsidRDefault="00980E5F">
            <w:pPr>
              <w:rPr>
                <w:rFonts w:ascii="宋体"/>
                <w:vanish/>
              </w:rPr>
            </w:pPr>
          </w:p>
        </w:tc>
        <w:tc>
          <w:tcPr>
            <w:tcW w:w="0" w:type="auto"/>
            <w:gridSpan w:val="3"/>
            <w:shd w:val="clear" w:color="auto" w:fill="auto"/>
            <w:vAlign w:val="bottom"/>
          </w:tcPr>
          <w:p w14:paraId="392BFB15" w14:textId="77777777" w:rsidR="00980E5F" w:rsidRDefault="00980E5F">
            <w:pPr>
              <w:rPr>
                <w:rFonts w:ascii="宋体"/>
                <w:vanish/>
              </w:rPr>
            </w:pPr>
          </w:p>
        </w:tc>
        <w:tc>
          <w:tcPr>
            <w:tcW w:w="0" w:type="auto"/>
            <w:gridSpan w:val="3"/>
            <w:shd w:val="clear" w:color="auto" w:fill="auto"/>
            <w:vAlign w:val="bottom"/>
          </w:tcPr>
          <w:p w14:paraId="392BFB16" w14:textId="77777777" w:rsidR="00980E5F" w:rsidRDefault="00980E5F">
            <w:pPr>
              <w:rPr>
                <w:rFonts w:ascii="宋体"/>
                <w:vanish/>
              </w:rPr>
            </w:pPr>
          </w:p>
        </w:tc>
        <w:tc>
          <w:tcPr>
            <w:tcW w:w="0" w:type="auto"/>
            <w:gridSpan w:val="3"/>
            <w:shd w:val="clear" w:color="auto" w:fill="auto"/>
            <w:vAlign w:val="bottom"/>
          </w:tcPr>
          <w:p w14:paraId="392BFB17" w14:textId="77777777" w:rsidR="00980E5F" w:rsidRDefault="00980E5F">
            <w:pPr>
              <w:rPr>
                <w:rFonts w:ascii="宋体"/>
                <w:vanish/>
              </w:rPr>
            </w:pPr>
          </w:p>
        </w:tc>
        <w:tc>
          <w:tcPr>
            <w:tcW w:w="0" w:type="auto"/>
            <w:gridSpan w:val="3"/>
            <w:shd w:val="clear" w:color="auto" w:fill="auto"/>
            <w:vAlign w:val="bottom"/>
          </w:tcPr>
          <w:p w14:paraId="392BFB18" w14:textId="77777777" w:rsidR="00980E5F" w:rsidRDefault="00980E5F">
            <w:pPr>
              <w:rPr>
                <w:rFonts w:ascii="宋体"/>
                <w:vanish/>
              </w:rPr>
            </w:pPr>
          </w:p>
        </w:tc>
        <w:tc>
          <w:tcPr>
            <w:tcW w:w="0" w:type="auto"/>
            <w:gridSpan w:val="3"/>
            <w:shd w:val="clear" w:color="auto" w:fill="auto"/>
            <w:vAlign w:val="bottom"/>
          </w:tcPr>
          <w:p w14:paraId="392BFB19" w14:textId="77777777" w:rsidR="00980E5F" w:rsidRDefault="00980E5F">
            <w:pPr>
              <w:rPr>
                <w:rFonts w:ascii="宋体"/>
                <w:vanish/>
              </w:rPr>
            </w:pPr>
          </w:p>
        </w:tc>
        <w:tc>
          <w:tcPr>
            <w:tcW w:w="0" w:type="auto"/>
            <w:gridSpan w:val="3"/>
            <w:shd w:val="clear" w:color="auto" w:fill="auto"/>
            <w:vAlign w:val="bottom"/>
          </w:tcPr>
          <w:p w14:paraId="392BFB1A" w14:textId="77777777" w:rsidR="00980E5F" w:rsidRDefault="00980E5F">
            <w:pPr>
              <w:rPr>
                <w:rFonts w:ascii="宋体"/>
                <w:vanish/>
              </w:rPr>
            </w:pPr>
          </w:p>
        </w:tc>
        <w:tc>
          <w:tcPr>
            <w:tcW w:w="0" w:type="auto"/>
            <w:gridSpan w:val="2"/>
            <w:shd w:val="clear" w:color="auto" w:fill="auto"/>
            <w:vAlign w:val="bottom"/>
          </w:tcPr>
          <w:p w14:paraId="392BFB1B" w14:textId="77777777" w:rsidR="00980E5F" w:rsidRDefault="00980E5F">
            <w:pPr>
              <w:rPr>
                <w:rFonts w:ascii="宋体"/>
                <w:vanish/>
              </w:rPr>
            </w:pPr>
          </w:p>
        </w:tc>
        <w:tc>
          <w:tcPr>
            <w:tcW w:w="0" w:type="auto"/>
            <w:shd w:val="clear" w:color="auto" w:fill="auto"/>
            <w:vAlign w:val="bottom"/>
          </w:tcPr>
          <w:p w14:paraId="392BFB1C" w14:textId="77777777" w:rsidR="00980E5F" w:rsidRDefault="00980E5F">
            <w:pPr>
              <w:rPr>
                <w:rFonts w:ascii="宋体"/>
                <w:vanish/>
              </w:rPr>
            </w:pPr>
          </w:p>
        </w:tc>
      </w:tr>
      <w:tr w:rsidR="00980E5F" w14:paraId="392BFB34" w14:textId="77777777">
        <w:trPr>
          <w:hidden/>
        </w:trPr>
        <w:tc>
          <w:tcPr>
            <w:tcW w:w="0" w:type="auto"/>
            <w:gridSpan w:val="3"/>
            <w:shd w:val="clear" w:color="auto" w:fill="auto"/>
            <w:vAlign w:val="bottom"/>
          </w:tcPr>
          <w:p w14:paraId="392BFB1E" w14:textId="77777777" w:rsidR="00980E5F" w:rsidRDefault="00980E5F">
            <w:pPr>
              <w:rPr>
                <w:rFonts w:ascii="宋体"/>
                <w:vanish/>
              </w:rPr>
            </w:pPr>
          </w:p>
        </w:tc>
        <w:tc>
          <w:tcPr>
            <w:tcW w:w="0" w:type="auto"/>
            <w:gridSpan w:val="3"/>
            <w:shd w:val="clear" w:color="auto" w:fill="auto"/>
            <w:vAlign w:val="bottom"/>
          </w:tcPr>
          <w:p w14:paraId="392BFB1F" w14:textId="77777777" w:rsidR="00980E5F" w:rsidRDefault="00980E5F">
            <w:pPr>
              <w:rPr>
                <w:rFonts w:ascii="宋体"/>
                <w:vanish/>
              </w:rPr>
            </w:pPr>
          </w:p>
        </w:tc>
        <w:tc>
          <w:tcPr>
            <w:tcW w:w="0" w:type="auto"/>
            <w:gridSpan w:val="3"/>
            <w:shd w:val="clear" w:color="auto" w:fill="auto"/>
            <w:vAlign w:val="bottom"/>
          </w:tcPr>
          <w:p w14:paraId="392BFB20" w14:textId="77777777" w:rsidR="00980E5F" w:rsidRDefault="00980E5F">
            <w:pPr>
              <w:rPr>
                <w:rFonts w:ascii="宋体"/>
                <w:vanish/>
              </w:rPr>
            </w:pPr>
          </w:p>
        </w:tc>
        <w:tc>
          <w:tcPr>
            <w:tcW w:w="0" w:type="auto"/>
            <w:gridSpan w:val="3"/>
            <w:shd w:val="clear" w:color="auto" w:fill="auto"/>
            <w:vAlign w:val="bottom"/>
          </w:tcPr>
          <w:p w14:paraId="392BFB21" w14:textId="77777777" w:rsidR="00980E5F" w:rsidRDefault="00980E5F">
            <w:pPr>
              <w:rPr>
                <w:rFonts w:ascii="宋体"/>
                <w:vanish/>
              </w:rPr>
            </w:pPr>
          </w:p>
        </w:tc>
        <w:tc>
          <w:tcPr>
            <w:tcW w:w="0" w:type="auto"/>
            <w:gridSpan w:val="3"/>
            <w:shd w:val="clear" w:color="auto" w:fill="auto"/>
            <w:vAlign w:val="bottom"/>
          </w:tcPr>
          <w:p w14:paraId="392BFB22" w14:textId="77777777" w:rsidR="00980E5F" w:rsidRDefault="00980E5F">
            <w:pPr>
              <w:rPr>
                <w:rFonts w:ascii="宋体"/>
                <w:vanish/>
              </w:rPr>
            </w:pPr>
          </w:p>
        </w:tc>
        <w:tc>
          <w:tcPr>
            <w:tcW w:w="0" w:type="auto"/>
            <w:gridSpan w:val="3"/>
            <w:shd w:val="clear" w:color="auto" w:fill="auto"/>
            <w:vAlign w:val="bottom"/>
          </w:tcPr>
          <w:p w14:paraId="392BFB23" w14:textId="77777777" w:rsidR="00980E5F" w:rsidRDefault="00980E5F">
            <w:pPr>
              <w:rPr>
                <w:rFonts w:ascii="宋体"/>
                <w:vanish/>
              </w:rPr>
            </w:pPr>
          </w:p>
        </w:tc>
        <w:tc>
          <w:tcPr>
            <w:tcW w:w="0" w:type="auto"/>
            <w:gridSpan w:val="3"/>
            <w:shd w:val="clear" w:color="auto" w:fill="auto"/>
            <w:vAlign w:val="bottom"/>
          </w:tcPr>
          <w:p w14:paraId="392BFB24" w14:textId="77777777" w:rsidR="00980E5F" w:rsidRDefault="00980E5F">
            <w:pPr>
              <w:rPr>
                <w:rFonts w:ascii="宋体"/>
                <w:vanish/>
              </w:rPr>
            </w:pPr>
          </w:p>
        </w:tc>
        <w:tc>
          <w:tcPr>
            <w:tcW w:w="0" w:type="auto"/>
            <w:gridSpan w:val="3"/>
            <w:shd w:val="clear" w:color="auto" w:fill="auto"/>
            <w:vAlign w:val="bottom"/>
          </w:tcPr>
          <w:p w14:paraId="392BFB25" w14:textId="77777777" w:rsidR="00980E5F" w:rsidRDefault="00980E5F">
            <w:pPr>
              <w:rPr>
                <w:rFonts w:ascii="宋体"/>
                <w:vanish/>
              </w:rPr>
            </w:pPr>
          </w:p>
        </w:tc>
        <w:tc>
          <w:tcPr>
            <w:tcW w:w="0" w:type="auto"/>
            <w:gridSpan w:val="3"/>
            <w:shd w:val="clear" w:color="auto" w:fill="auto"/>
            <w:vAlign w:val="bottom"/>
          </w:tcPr>
          <w:p w14:paraId="392BFB26" w14:textId="77777777" w:rsidR="00980E5F" w:rsidRDefault="00980E5F">
            <w:pPr>
              <w:rPr>
                <w:rFonts w:ascii="宋体"/>
                <w:vanish/>
              </w:rPr>
            </w:pPr>
          </w:p>
        </w:tc>
        <w:tc>
          <w:tcPr>
            <w:tcW w:w="0" w:type="auto"/>
            <w:gridSpan w:val="3"/>
            <w:shd w:val="clear" w:color="auto" w:fill="auto"/>
            <w:vAlign w:val="bottom"/>
          </w:tcPr>
          <w:p w14:paraId="392BFB27" w14:textId="77777777" w:rsidR="00980E5F" w:rsidRDefault="00980E5F">
            <w:pPr>
              <w:rPr>
                <w:rFonts w:ascii="宋体"/>
                <w:vanish/>
              </w:rPr>
            </w:pPr>
          </w:p>
        </w:tc>
        <w:tc>
          <w:tcPr>
            <w:tcW w:w="0" w:type="auto"/>
            <w:gridSpan w:val="3"/>
            <w:shd w:val="clear" w:color="auto" w:fill="auto"/>
            <w:vAlign w:val="bottom"/>
          </w:tcPr>
          <w:p w14:paraId="392BFB28" w14:textId="77777777" w:rsidR="00980E5F" w:rsidRDefault="00980E5F">
            <w:pPr>
              <w:rPr>
                <w:rFonts w:ascii="宋体"/>
                <w:vanish/>
              </w:rPr>
            </w:pPr>
          </w:p>
        </w:tc>
        <w:tc>
          <w:tcPr>
            <w:tcW w:w="0" w:type="auto"/>
            <w:gridSpan w:val="3"/>
            <w:shd w:val="clear" w:color="auto" w:fill="auto"/>
            <w:vAlign w:val="bottom"/>
          </w:tcPr>
          <w:p w14:paraId="392BFB29" w14:textId="77777777" w:rsidR="00980E5F" w:rsidRDefault="00980E5F">
            <w:pPr>
              <w:rPr>
                <w:rFonts w:ascii="宋体"/>
                <w:vanish/>
              </w:rPr>
            </w:pPr>
          </w:p>
        </w:tc>
        <w:tc>
          <w:tcPr>
            <w:tcW w:w="0" w:type="auto"/>
            <w:gridSpan w:val="3"/>
            <w:shd w:val="clear" w:color="auto" w:fill="auto"/>
            <w:vAlign w:val="bottom"/>
          </w:tcPr>
          <w:p w14:paraId="392BFB2A" w14:textId="77777777" w:rsidR="00980E5F" w:rsidRDefault="00980E5F">
            <w:pPr>
              <w:rPr>
                <w:rFonts w:ascii="宋体"/>
                <w:vanish/>
              </w:rPr>
            </w:pPr>
          </w:p>
        </w:tc>
        <w:tc>
          <w:tcPr>
            <w:tcW w:w="0" w:type="auto"/>
            <w:gridSpan w:val="3"/>
            <w:shd w:val="clear" w:color="auto" w:fill="auto"/>
            <w:vAlign w:val="bottom"/>
          </w:tcPr>
          <w:p w14:paraId="392BFB2B" w14:textId="77777777" w:rsidR="00980E5F" w:rsidRDefault="00980E5F">
            <w:pPr>
              <w:rPr>
                <w:rFonts w:ascii="宋体"/>
                <w:vanish/>
              </w:rPr>
            </w:pPr>
          </w:p>
        </w:tc>
        <w:tc>
          <w:tcPr>
            <w:tcW w:w="0" w:type="auto"/>
            <w:gridSpan w:val="3"/>
            <w:shd w:val="clear" w:color="auto" w:fill="auto"/>
            <w:vAlign w:val="bottom"/>
          </w:tcPr>
          <w:p w14:paraId="392BFB2C" w14:textId="77777777" w:rsidR="00980E5F" w:rsidRDefault="00980E5F">
            <w:pPr>
              <w:rPr>
                <w:rFonts w:ascii="宋体"/>
                <w:vanish/>
              </w:rPr>
            </w:pPr>
          </w:p>
        </w:tc>
        <w:tc>
          <w:tcPr>
            <w:tcW w:w="0" w:type="auto"/>
            <w:gridSpan w:val="3"/>
            <w:shd w:val="clear" w:color="auto" w:fill="auto"/>
            <w:vAlign w:val="bottom"/>
          </w:tcPr>
          <w:p w14:paraId="392BFB2D" w14:textId="77777777" w:rsidR="00980E5F" w:rsidRDefault="00980E5F">
            <w:pPr>
              <w:rPr>
                <w:rFonts w:ascii="宋体"/>
                <w:vanish/>
              </w:rPr>
            </w:pPr>
          </w:p>
        </w:tc>
        <w:tc>
          <w:tcPr>
            <w:tcW w:w="0" w:type="auto"/>
            <w:gridSpan w:val="3"/>
            <w:shd w:val="clear" w:color="auto" w:fill="auto"/>
            <w:vAlign w:val="bottom"/>
          </w:tcPr>
          <w:p w14:paraId="392BFB2E" w14:textId="77777777" w:rsidR="00980E5F" w:rsidRDefault="00980E5F">
            <w:pPr>
              <w:rPr>
                <w:rFonts w:ascii="宋体"/>
                <w:vanish/>
              </w:rPr>
            </w:pPr>
          </w:p>
        </w:tc>
        <w:tc>
          <w:tcPr>
            <w:tcW w:w="0" w:type="auto"/>
            <w:gridSpan w:val="3"/>
            <w:shd w:val="clear" w:color="auto" w:fill="auto"/>
            <w:vAlign w:val="bottom"/>
          </w:tcPr>
          <w:p w14:paraId="392BFB2F" w14:textId="77777777" w:rsidR="00980E5F" w:rsidRDefault="00980E5F">
            <w:pPr>
              <w:rPr>
                <w:rFonts w:ascii="宋体"/>
                <w:vanish/>
              </w:rPr>
            </w:pPr>
          </w:p>
        </w:tc>
        <w:tc>
          <w:tcPr>
            <w:tcW w:w="0" w:type="auto"/>
            <w:gridSpan w:val="3"/>
            <w:shd w:val="clear" w:color="auto" w:fill="auto"/>
            <w:vAlign w:val="bottom"/>
          </w:tcPr>
          <w:p w14:paraId="392BFB30" w14:textId="77777777" w:rsidR="00980E5F" w:rsidRDefault="00980E5F">
            <w:pPr>
              <w:rPr>
                <w:rFonts w:ascii="宋体"/>
                <w:vanish/>
              </w:rPr>
            </w:pPr>
          </w:p>
        </w:tc>
        <w:tc>
          <w:tcPr>
            <w:tcW w:w="0" w:type="auto"/>
            <w:gridSpan w:val="3"/>
            <w:shd w:val="clear" w:color="auto" w:fill="auto"/>
            <w:vAlign w:val="bottom"/>
          </w:tcPr>
          <w:p w14:paraId="392BFB31" w14:textId="77777777" w:rsidR="00980E5F" w:rsidRDefault="00980E5F">
            <w:pPr>
              <w:rPr>
                <w:rFonts w:ascii="宋体"/>
                <w:vanish/>
              </w:rPr>
            </w:pPr>
          </w:p>
        </w:tc>
        <w:tc>
          <w:tcPr>
            <w:tcW w:w="0" w:type="auto"/>
            <w:gridSpan w:val="2"/>
            <w:shd w:val="clear" w:color="auto" w:fill="auto"/>
            <w:vAlign w:val="bottom"/>
          </w:tcPr>
          <w:p w14:paraId="392BFB32" w14:textId="77777777" w:rsidR="00980E5F" w:rsidRDefault="00980E5F">
            <w:pPr>
              <w:rPr>
                <w:rFonts w:ascii="宋体"/>
                <w:vanish/>
              </w:rPr>
            </w:pPr>
          </w:p>
        </w:tc>
        <w:tc>
          <w:tcPr>
            <w:tcW w:w="0" w:type="auto"/>
            <w:shd w:val="clear" w:color="auto" w:fill="auto"/>
            <w:vAlign w:val="bottom"/>
          </w:tcPr>
          <w:p w14:paraId="392BFB33" w14:textId="77777777" w:rsidR="00980E5F" w:rsidRDefault="00980E5F">
            <w:pPr>
              <w:rPr>
                <w:rFonts w:ascii="宋体"/>
                <w:vanish/>
              </w:rPr>
            </w:pPr>
          </w:p>
        </w:tc>
      </w:tr>
      <w:tr w:rsidR="00980E5F" w14:paraId="392BFB4B" w14:textId="77777777">
        <w:trPr>
          <w:hidden/>
        </w:trPr>
        <w:tc>
          <w:tcPr>
            <w:tcW w:w="0" w:type="auto"/>
            <w:gridSpan w:val="3"/>
            <w:shd w:val="clear" w:color="auto" w:fill="auto"/>
            <w:vAlign w:val="bottom"/>
          </w:tcPr>
          <w:p w14:paraId="392BFB35" w14:textId="77777777" w:rsidR="00980E5F" w:rsidRDefault="00980E5F">
            <w:pPr>
              <w:rPr>
                <w:rFonts w:ascii="宋体"/>
                <w:vanish/>
              </w:rPr>
            </w:pPr>
          </w:p>
        </w:tc>
        <w:tc>
          <w:tcPr>
            <w:tcW w:w="0" w:type="auto"/>
            <w:gridSpan w:val="3"/>
            <w:shd w:val="clear" w:color="auto" w:fill="auto"/>
            <w:vAlign w:val="bottom"/>
          </w:tcPr>
          <w:p w14:paraId="392BFB36" w14:textId="77777777" w:rsidR="00980E5F" w:rsidRDefault="00980E5F">
            <w:pPr>
              <w:rPr>
                <w:rFonts w:ascii="宋体"/>
                <w:vanish/>
              </w:rPr>
            </w:pPr>
          </w:p>
        </w:tc>
        <w:tc>
          <w:tcPr>
            <w:tcW w:w="0" w:type="auto"/>
            <w:gridSpan w:val="3"/>
            <w:shd w:val="clear" w:color="auto" w:fill="auto"/>
            <w:vAlign w:val="bottom"/>
          </w:tcPr>
          <w:p w14:paraId="392BFB37" w14:textId="77777777" w:rsidR="00980E5F" w:rsidRDefault="00980E5F">
            <w:pPr>
              <w:rPr>
                <w:rFonts w:ascii="宋体"/>
                <w:vanish/>
              </w:rPr>
            </w:pPr>
          </w:p>
        </w:tc>
        <w:tc>
          <w:tcPr>
            <w:tcW w:w="0" w:type="auto"/>
            <w:gridSpan w:val="3"/>
            <w:shd w:val="clear" w:color="auto" w:fill="auto"/>
            <w:vAlign w:val="bottom"/>
          </w:tcPr>
          <w:p w14:paraId="392BFB38" w14:textId="77777777" w:rsidR="00980E5F" w:rsidRDefault="00980E5F">
            <w:pPr>
              <w:rPr>
                <w:rFonts w:ascii="宋体"/>
                <w:vanish/>
              </w:rPr>
            </w:pPr>
          </w:p>
        </w:tc>
        <w:tc>
          <w:tcPr>
            <w:tcW w:w="0" w:type="auto"/>
            <w:gridSpan w:val="3"/>
            <w:shd w:val="clear" w:color="auto" w:fill="auto"/>
            <w:vAlign w:val="bottom"/>
          </w:tcPr>
          <w:p w14:paraId="392BFB39" w14:textId="77777777" w:rsidR="00980E5F" w:rsidRDefault="00980E5F">
            <w:pPr>
              <w:rPr>
                <w:rFonts w:ascii="宋体"/>
                <w:vanish/>
              </w:rPr>
            </w:pPr>
          </w:p>
        </w:tc>
        <w:tc>
          <w:tcPr>
            <w:tcW w:w="0" w:type="auto"/>
            <w:gridSpan w:val="3"/>
            <w:shd w:val="clear" w:color="auto" w:fill="auto"/>
            <w:vAlign w:val="bottom"/>
          </w:tcPr>
          <w:p w14:paraId="392BFB3A" w14:textId="77777777" w:rsidR="00980E5F" w:rsidRDefault="00980E5F">
            <w:pPr>
              <w:rPr>
                <w:rFonts w:ascii="宋体"/>
                <w:vanish/>
              </w:rPr>
            </w:pPr>
          </w:p>
        </w:tc>
        <w:tc>
          <w:tcPr>
            <w:tcW w:w="0" w:type="auto"/>
            <w:gridSpan w:val="3"/>
            <w:shd w:val="clear" w:color="auto" w:fill="auto"/>
            <w:vAlign w:val="bottom"/>
          </w:tcPr>
          <w:p w14:paraId="392BFB3B" w14:textId="77777777" w:rsidR="00980E5F" w:rsidRDefault="00980E5F">
            <w:pPr>
              <w:rPr>
                <w:rFonts w:ascii="宋体"/>
                <w:vanish/>
              </w:rPr>
            </w:pPr>
          </w:p>
        </w:tc>
        <w:tc>
          <w:tcPr>
            <w:tcW w:w="0" w:type="auto"/>
            <w:gridSpan w:val="3"/>
            <w:shd w:val="clear" w:color="auto" w:fill="auto"/>
            <w:vAlign w:val="bottom"/>
          </w:tcPr>
          <w:p w14:paraId="392BFB3C" w14:textId="77777777" w:rsidR="00980E5F" w:rsidRDefault="00980E5F">
            <w:pPr>
              <w:rPr>
                <w:rFonts w:ascii="宋体"/>
                <w:vanish/>
              </w:rPr>
            </w:pPr>
          </w:p>
        </w:tc>
        <w:tc>
          <w:tcPr>
            <w:tcW w:w="0" w:type="auto"/>
            <w:gridSpan w:val="3"/>
            <w:shd w:val="clear" w:color="auto" w:fill="auto"/>
            <w:vAlign w:val="bottom"/>
          </w:tcPr>
          <w:p w14:paraId="392BFB3D" w14:textId="77777777" w:rsidR="00980E5F" w:rsidRDefault="00980E5F">
            <w:pPr>
              <w:rPr>
                <w:rFonts w:ascii="宋体"/>
                <w:vanish/>
              </w:rPr>
            </w:pPr>
          </w:p>
        </w:tc>
        <w:tc>
          <w:tcPr>
            <w:tcW w:w="0" w:type="auto"/>
            <w:gridSpan w:val="3"/>
            <w:shd w:val="clear" w:color="auto" w:fill="auto"/>
            <w:vAlign w:val="bottom"/>
          </w:tcPr>
          <w:p w14:paraId="392BFB3E" w14:textId="77777777" w:rsidR="00980E5F" w:rsidRDefault="00980E5F">
            <w:pPr>
              <w:rPr>
                <w:rFonts w:ascii="宋体"/>
                <w:vanish/>
              </w:rPr>
            </w:pPr>
          </w:p>
        </w:tc>
        <w:tc>
          <w:tcPr>
            <w:tcW w:w="0" w:type="auto"/>
            <w:gridSpan w:val="3"/>
            <w:shd w:val="clear" w:color="auto" w:fill="auto"/>
            <w:vAlign w:val="bottom"/>
          </w:tcPr>
          <w:p w14:paraId="392BFB3F" w14:textId="77777777" w:rsidR="00980E5F" w:rsidRDefault="00980E5F">
            <w:pPr>
              <w:rPr>
                <w:rFonts w:ascii="宋体"/>
                <w:vanish/>
              </w:rPr>
            </w:pPr>
          </w:p>
        </w:tc>
        <w:tc>
          <w:tcPr>
            <w:tcW w:w="0" w:type="auto"/>
            <w:gridSpan w:val="3"/>
            <w:shd w:val="clear" w:color="auto" w:fill="auto"/>
            <w:vAlign w:val="bottom"/>
          </w:tcPr>
          <w:p w14:paraId="392BFB40" w14:textId="77777777" w:rsidR="00980E5F" w:rsidRDefault="00980E5F">
            <w:pPr>
              <w:rPr>
                <w:rFonts w:ascii="宋体"/>
                <w:vanish/>
              </w:rPr>
            </w:pPr>
          </w:p>
        </w:tc>
        <w:tc>
          <w:tcPr>
            <w:tcW w:w="0" w:type="auto"/>
            <w:gridSpan w:val="3"/>
            <w:shd w:val="clear" w:color="auto" w:fill="auto"/>
            <w:vAlign w:val="bottom"/>
          </w:tcPr>
          <w:p w14:paraId="392BFB41" w14:textId="77777777" w:rsidR="00980E5F" w:rsidRDefault="00980E5F">
            <w:pPr>
              <w:rPr>
                <w:rFonts w:ascii="宋体"/>
                <w:vanish/>
              </w:rPr>
            </w:pPr>
          </w:p>
        </w:tc>
        <w:tc>
          <w:tcPr>
            <w:tcW w:w="0" w:type="auto"/>
            <w:gridSpan w:val="3"/>
            <w:shd w:val="clear" w:color="auto" w:fill="auto"/>
            <w:vAlign w:val="bottom"/>
          </w:tcPr>
          <w:p w14:paraId="392BFB42" w14:textId="77777777" w:rsidR="00980E5F" w:rsidRDefault="00980E5F">
            <w:pPr>
              <w:rPr>
                <w:rFonts w:ascii="宋体"/>
                <w:vanish/>
              </w:rPr>
            </w:pPr>
          </w:p>
        </w:tc>
        <w:tc>
          <w:tcPr>
            <w:tcW w:w="0" w:type="auto"/>
            <w:gridSpan w:val="3"/>
            <w:shd w:val="clear" w:color="auto" w:fill="auto"/>
            <w:vAlign w:val="bottom"/>
          </w:tcPr>
          <w:p w14:paraId="392BFB43" w14:textId="77777777" w:rsidR="00980E5F" w:rsidRDefault="00980E5F">
            <w:pPr>
              <w:rPr>
                <w:rFonts w:ascii="宋体"/>
                <w:vanish/>
              </w:rPr>
            </w:pPr>
          </w:p>
        </w:tc>
        <w:tc>
          <w:tcPr>
            <w:tcW w:w="0" w:type="auto"/>
            <w:gridSpan w:val="3"/>
            <w:shd w:val="clear" w:color="auto" w:fill="auto"/>
            <w:vAlign w:val="bottom"/>
          </w:tcPr>
          <w:p w14:paraId="392BFB44" w14:textId="77777777" w:rsidR="00980E5F" w:rsidRDefault="00980E5F">
            <w:pPr>
              <w:rPr>
                <w:rFonts w:ascii="宋体"/>
                <w:vanish/>
              </w:rPr>
            </w:pPr>
          </w:p>
        </w:tc>
        <w:tc>
          <w:tcPr>
            <w:tcW w:w="0" w:type="auto"/>
            <w:gridSpan w:val="3"/>
            <w:shd w:val="clear" w:color="auto" w:fill="auto"/>
            <w:vAlign w:val="bottom"/>
          </w:tcPr>
          <w:p w14:paraId="392BFB45" w14:textId="77777777" w:rsidR="00980E5F" w:rsidRDefault="00980E5F">
            <w:pPr>
              <w:rPr>
                <w:rFonts w:ascii="宋体"/>
                <w:vanish/>
              </w:rPr>
            </w:pPr>
          </w:p>
        </w:tc>
        <w:tc>
          <w:tcPr>
            <w:tcW w:w="0" w:type="auto"/>
            <w:gridSpan w:val="3"/>
            <w:shd w:val="clear" w:color="auto" w:fill="auto"/>
            <w:vAlign w:val="bottom"/>
          </w:tcPr>
          <w:p w14:paraId="392BFB46" w14:textId="77777777" w:rsidR="00980E5F" w:rsidRDefault="00980E5F">
            <w:pPr>
              <w:rPr>
                <w:rFonts w:ascii="宋体"/>
                <w:vanish/>
              </w:rPr>
            </w:pPr>
          </w:p>
        </w:tc>
        <w:tc>
          <w:tcPr>
            <w:tcW w:w="0" w:type="auto"/>
            <w:gridSpan w:val="3"/>
            <w:shd w:val="clear" w:color="auto" w:fill="auto"/>
            <w:vAlign w:val="bottom"/>
          </w:tcPr>
          <w:p w14:paraId="392BFB47" w14:textId="77777777" w:rsidR="00980E5F" w:rsidRDefault="00980E5F">
            <w:pPr>
              <w:rPr>
                <w:rFonts w:ascii="宋体"/>
                <w:vanish/>
              </w:rPr>
            </w:pPr>
          </w:p>
        </w:tc>
        <w:tc>
          <w:tcPr>
            <w:tcW w:w="0" w:type="auto"/>
            <w:gridSpan w:val="3"/>
            <w:shd w:val="clear" w:color="auto" w:fill="auto"/>
            <w:vAlign w:val="bottom"/>
          </w:tcPr>
          <w:p w14:paraId="392BFB48" w14:textId="77777777" w:rsidR="00980E5F" w:rsidRDefault="00980E5F">
            <w:pPr>
              <w:rPr>
                <w:rFonts w:ascii="宋体"/>
                <w:vanish/>
              </w:rPr>
            </w:pPr>
          </w:p>
        </w:tc>
        <w:tc>
          <w:tcPr>
            <w:tcW w:w="0" w:type="auto"/>
            <w:gridSpan w:val="2"/>
            <w:shd w:val="clear" w:color="auto" w:fill="auto"/>
            <w:vAlign w:val="bottom"/>
          </w:tcPr>
          <w:p w14:paraId="392BFB49" w14:textId="77777777" w:rsidR="00980E5F" w:rsidRDefault="00980E5F">
            <w:pPr>
              <w:rPr>
                <w:rFonts w:ascii="宋体"/>
                <w:vanish/>
              </w:rPr>
            </w:pPr>
          </w:p>
        </w:tc>
        <w:tc>
          <w:tcPr>
            <w:tcW w:w="0" w:type="auto"/>
            <w:shd w:val="clear" w:color="auto" w:fill="auto"/>
            <w:vAlign w:val="bottom"/>
          </w:tcPr>
          <w:p w14:paraId="392BFB4A" w14:textId="77777777" w:rsidR="00980E5F" w:rsidRDefault="00980E5F">
            <w:pPr>
              <w:rPr>
                <w:rFonts w:ascii="宋体"/>
                <w:vanish/>
              </w:rPr>
            </w:pPr>
          </w:p>
        </w:tc>
      </w:tr>
      <w:tr w:rsidR="00980E5F" w14:paraId="392BFB62" w14:textId="77777777">
        <w:trPr>
          <w:hidden/>
        </w:trPr>
        <w:tc>
          <w:tcPr>
            <w:tcW w:w="0" w:type="auto"/>
            <w:gridSpan w:val="3"/>
            <w:shd w:val="clear" w:color="auto" w:fill="auto"/>
            <w:vAlign w:val="bottom"/>
          </w:tcPr>
          <w:p w14:paraId="392BFB4C" w14:textId="77777777" w:rsidR="00980E5F" w:rsidRDefault="00980E5F">
            <w:pPr>
              <w:rPr>
                <w:rFonts w:ascii="宋体"/>
                <w:vanish/>
              </w:rPr>
            </w:pPr>
          </w:p>
        </w:tc>
        <w:tc>
          <w:tcPr>
            <w:tcW w:w="0" w:type="auto"/>
            <w:gridSpan w:val="3"/>
            <w:shd w:val="clear" w:color="auto" w:fill="auto"/>
            <w:vAlign w:val="bottom"/>
          </w:tcPr>
          <w:p w14:paraId="392BFB4D" w14:textId="77777777" w:rsidR="00980E5F" w:rsidRDefault="00980E5F">
            <w:pPr>
              <w:rPr>
                <w:rFonts w:ascii="宋体"/>
                <w:vanish/>
              </w:rPr>
            </w:pPr>
          </w:p>
        </w:tc>
        <w:tc>
          <w:tcPr>
            <w:tcW w:w="0" w:type="auto"/>
            <w:gridSpan w:val="3"/>
            <w:shd w:val="clear" w:color="auto" w:fill="auto"/>
            <w:vAlign w:val="bottom"/>
          </w:tcPr>
          <w:p w14:paraId="392BFB4E" w14:textId="77777777" w:rsidR="00980E5F" w:rsidRDefault="00980E5F">
            <w:pPr>
              <w:rPr>
                <w:rFonts w:ascii="宋体"/>
                <w:vanish/>
              </w:rPr>
            </w:pPr>
          </w:p>
        </w:tc>
        <w:tc>
          <w:tcPr>
            <w:tcW w:w="0" w:type="auto"/>
            <w:gridSpan w:val="3"/>
            <w:shd w:val="clear" w:color="auto" w:fill="auto"/>
            <w:vAlign w:val="bottom"/>
          </w:tcPr>
          <w:p w14:paraId="392BFB4F" w14:textId="77777777" w:rsidR="00980E5F" w:rsidRDefault="00980E5F">
            <w:pPr>
              <w:rPr>
                <w:rFonts w:ascii="宋体"/>
                <w:vanish/>
              </w:rPr>
            </w:pPr>
          </w:p>
        </w:tc>
        <w:tc>
          <w:tcPr>
            <w:tcW w:w="0" w:type="auto"/>
            <w:gridSpan w:val="3"/>
            <w:shd w:val="clear" w:color="auto" w:fill="auto"/>
            <w:vAlign w:val="bottom"/>
          </w:tcPr>
          <w:p w14:paraId="392BFB50" w14:textId="77777777" w:rsidR="00980E5F" w:rsidRDefault="00980E5F">
            <w:pPr>
              <w:rPr>
                <w:rFonts w:ascii="宋体"/>
                <w:vanish/>
              </w:rPr>
            </w:pPr>
          </w:p>
        </w:tc>
        <w:tc>
          <w:tcPr>
            <w:tcW w:w="0" w:type="auto"/>
            <w:gridSpan w:val="3"/>
            <w:shd w:val="clear" w:color="auto" w:fill="auto"/>
            <w:vAlign w:val="bottom"/>
          </w:tcPr>
          <w:p w14:paraId="392BFB51" w14:textId="77777777" w:rsidR="00980E5F" w:rsidRDefault="00980E5F">
            <w:pPr>
              <w:rPr>
                <w:rFonts w:ascii="宋体"/>
                <w:vanish/>
              </w:rPr>
            </w:pPr>
          </w:p>
        </w:tc>
        <w:tc>
          <w:tcPr>
            <w:tcW w:w="0" w:type="auto"/>
            <w:gridSpan w:val="3"/>
            <w:shd w:val="clear" w:color="auto" w:fill="auto"/>
            <w:vAlign w:val="bottom"/>
          </w:tcPr>
          <w:p w14:paraId="392BFB52" w14:textId="77777777" w:rsidR="00980E5F" w:rsidRDefault="00980E5F">
            <w:pPr>
              <w:rPr>
                <w:rFonts w:ascii="宋体"/>
                <w:vanish/>
              </w:rPr>
            </w:pPr>
          </w:p>
        </w:tc>
        <w:tc>
          <w:tcPr>
            <w:tcW w:w="0" w:type="auto"/>
            <w:gridSpan w:val="3"/>
            <w:shd w:val="clear" w:color="auto" w:fill="auto"/>
            <w:vAlign w:val="bottom"/>
          </w:tcPr>
          <w:p w14:paraId="392BFB53" w14:textId="77777777" w:rsidR="00980E5F" w:rsidRDefault="00980E5F">
            <w:pPr>
              <w:rPr>
                <w:rFonts w:ascii="宋体"/>
                <w:vanish/>
              </w:rPr>
            </w:pPr>
          </w:p>
        </w:tc>
        <w:tc>
          <w:tcPr>
            <w:tcW w:w="0" w:type="auto"/>
            <w:gridSpan w:val="3"/>
            <w:shd w:val="clear" w:color="auto" w:fill="auto"/>
            <w:vAlign w:val="bottom"/>
          </w:tcPr>
          <w:p w14:paraId="392BFB54" w14:textId="77777777" w:rsidR="00980E5F" w:rsidRDefault="00980E5F">
            <w:pPr>
              <w:rPr>
                <w:rFonts w:ascii="宋体"/>
                <w:vanish/>
              </w:rPr>
            </w:pPr>
          </w:p>
        </w:tc>
        <w:tc>
          <w:tcPr>
            <w:tcW w:w="0" w:type="auto"/>
            <w:gridSpan w:val="3"/>
            <w:shd w:val="clear" w:color="auto" w:fill="auto"/>
            <w:vAlign w:val="bottom"/>
          </w:tcPr>
          <w:p w14:paraId="392BFB55" w14:textId="77777777" w:rsidR="00980E5F" w:rsidRDefault="00980E5F">
            <w:pPr>
              <w:rPr>
                <w:rFonts w:ascii="宋体"/>
                <w:vanish/>
              </w:rPr>
            </w:pPr>
          </w:p>
        </w:tc>
        <w:tc>
          <w:tcPr>
            <w:tcW w:w="0" w:type="auto"/>
            <w:gridSpan w:val="3"/>
            <w:shd w:val="clear" w:color="auto" w:fill="auto"/>
            <w:vAlign w:val="bottom"/>
          </w:tcPr>
          <w:p w14:paraId="392BFB56" w14:textId="77777777" w:rsidR="00980E5F" w:rsidRDefault="00980E5F">
            <w:pPr>
              <w:rPr>
                <w:rFonts w:ascii="宋体"/>
                <w:vanish/>
              </w:rPr>
            </w:pPr>
          </w:p>
        </w:tc>
        <w:tc>
          <w:tcPr>
            <w:tcW w:w="0" w:type="auto"/>
            <w:gridSpan w:val="3"/>
            <w:shd w:val="clear" w:color="auto" w:fill="auto"/>
            <w:vAlign w:val="bottom"/>
          </w:tcPr>
          <w:p w14:paraId="392BFB57" w14:textId="77777777" w:rsidR="00980E5F" w:rsidRDefault="00980E5F">
            <w:pPr>
              <w:rPr>
                <w:rFonts w:ascii="宋体"/>
                <w:vanish/>
              </w:rPr>
            </w:pPr>
          </w:p>
        </w:tc>
        <w:tc>
          <w:tcPr>
            <w:tcW w:w="0" w:type="auto"/>
            <w:gridSpan w:val="3"/>
            <w:shd w:val="clear" w:color="auto" w:fill="auto"/>
            <w:vAlign w:val="bottom"/>
          </w:tcPr>
          <w:p w14:paraId="392BFB58" w14:textId="77777777" w:rsidR="00980E5F" w:rsidRDefault="00980E5F">
            <w:pPr>
              <w:rPr>
                <w:rFonts w:ascii="宋体"/>
                <w:vanish/>
              </w:rPr>
            </w:pPr>
          </w:p>
        </w:tc>
        <w:tc>
          <w:tcPr>
            <w:tcW w:w="0" w:type="auto"/>
            <w:gridSpan w:val="3"/>
            <w:shd w:val="clear" w:color="auto" w:fill="auto"/>
            <w:vAlign w:val="bottom"/>
          </w:tcPr>
          <w:p w14:paraId="392BFB59" w14:textId="77777777" w:rsidR="00980E5F" w:rsidRDefault="00980E5F">
            <w:pPr>
              <w:rPr>
                <w:rFonts w:ascii="宋体"/>
                <w:vanish/>
              </w:rPr>
            </w:pPr>
          </w:p>
        </w:tc>
        <w:tc>
          <w:tcPr>
            <w:tcW w:w="0" w:type="auto"/>
            <w:gridSpan w:val="3"/>
            <w:shd w:val="clear" w:color="auto" w:fill="auto"/>
            <w:vAlign w:val="bottom"/>
          </w:tcPr>
          <w:p w14:paraId="392BFB5A" w14:textId="77777777" w:rsidR="00980E5F" w:rsidRDefault="00980E5F">
            <w:pPr>
              <w:rPr>
                <w:rFonts w:ascii="宋体"/>
                <w:vanish/>
              </w:rPr>
            </w:pPr>
          </w:p>
        </w:tc>
        <w:tc>
          <w:tcPr>
            <w:tcW w:w="0" w:type="auto"/>
            <w:gridSpan w:val="3"/>
            <w:shd w:val="clear" w:color="auto" w:fill="auto"/>
            <w:vAlign w:val="bottom"/>
          </w:tcPr>
          <w:p w14:paraId="392BFB5B" w14:textId="77777777" w:rsidR="00980E5F" w:rsidRDefault="00980E5F">
            <w:pPr>
              <w:rPr>
                <w:rFonts w:ascii="宋体"/>
                <w:vanish/>
              </w:rPr>
            </w:pPr>
          </w:p>
        </w:tc>
        <w:tc>
          <w:tcPr>
            <w:tcW w:w="0" w:type="auto"/>
            <w:gridSpan w:val="3"/>
            <w:shd w:val="clear" w:color="auto" w:fill="auto"/>
            <w:vAlign w:val="bottom"/>
          </w:tcPr>
          <w:p w14:paraId="392BFB5C" w14:textId="77777777" w:rsidR="00980E5F" w:rsidRDefault="00980E5F">
            <w:pPr>
              <w:rPr>
                <w:rFonts w:ascii="宋体"/>
                <w:vanish/>
              </w:rPr>
            </w:pPr>
          </w:p>
        </w:tc>
        <w:tc>
          <w:tcPr>
            <w:tcW w:w="0" w:type="auto"/>
            <w:gridSpan w:val="3"/>
            <w:shd w:val="clear" w:color="auto" w:fill="auto"/>
            <w:vAlign w:val="bottom"/>
          </w:tcPr>
          <w:p w14:paraId="392BFB5D" w14:textId="77777777" w:rsidR="00980E5F" w:rsidRDefault="00980E5F">
            <w:pPr>
              <w:rPr>
                <w:rFonts w:ascii="宋体"/>
                <w:vanish/>
              </w:rPr>
            </w:pPr>
          </w:p>
        </w:tc>
        <w:tc>
          <w:tcPr>
            <w:tcW w:w="0" w:type="auto"/>
            <w:gridSpan w:val="3"/>
            <w:shd w:val="clear" w:color="auto" w:fill="auto"/>
            <w:vAlign w:val="bottom"/>
          </w:tcPr>
          <w:p w14:paraId="392BFB5E" w14:textId="77777777" w:rsidR="00980E5F" w:rsidRDefault="00980E5F">
            <w:pPr>
              <w:rPr>
                <w:rFonts w:ascii="宋体"/>
                <w:vanish/>
              </w:rPr>
            </w:pPr>
          </w:p>
        </w:tc>
        <w:tc>
          <w:tcPr>
            <w:tcW w:w="0" w:type="auto"/>
            <w:gridSpan w:val="3"/>
            <w:shd w:val="clear" w:color="auto" w:fill="auto"/>
            <w:vAlign w:val="bottom"/>
          </w:tcPr>
          <w:p w14:paraId="392BFB5F" w14:textId="77777777" w:rsidR="00980E5F" w:rsidRDefault="00980E5F">
            <w:pPr>
              <w:rPr>
                <w:rFonts w:ascii="宋体"/>
                <w:vanish/>
              </w:rPr>
            </w:pPr>
          </w:p>
        </w:tc>
        <w:tc>
          <w:tcPr>
            <w:tcW w:w="0" w:type="auto"/>
            <w:gridSpan w:val="2"/>
            <w:shd w:val="clear" w:color="auto" w:fill="auto"/>
            <w:vAlign w:val="bottom"/>
          </w:tcPr>
          <w:p w14:paraId="392BFB60" w14:textId="77777777" w:rsidR="00980E5F" w:rsidRDefault="00980E5F">
            <w:pPr>
              <w:rPr>
                <w:rFonts w:ascii="宋体"/>
                <w:vanish/>
              </w:rPr>
            </w:pPr>
          </w:p>
        </w:tc>
        <w:tc>
          <w:tcPr>
            <w:tcW w:w="0" w:type="auto"/>
            <w:shd w:val="clear" w:color="auto" w:fill="auto"/>
            <w:vAlign w:val="bottom"/>
          </w:tcPr>
          <w:p w14:paraId="392BFB61" w14:textId="77777777" w:rsidR="00980E5F" w:rsidRDefault="00980E5F">
            <w:pPr>
              <w:rPr>
                <w:rFonts w:ascii="宋体"/>
                <w:vanish/>
              </w:rPr>
            </w:pPr>
          </w:p>
        </w:tc>
      </w:tr>
      <w:tr w:rsidR="00980E5F" w14:paraId="392BFB79" w14:textId="77777777">
        <w:trPr>
          <w:hidden/>
        </w:trPr>
        <w:tc>
          <w:tcPr>
            <w:tcW w:w="0" w:type="auto"/>
            <w:gridSpan w:val="3"/>
            <w:shd w:val="clear" w:color="auto" w:fill="auto"/>
            <w:vAlign w:val="bottom"/>
          </w:tcPr>
          <w:p w14:paraId="392BFB63" w14:textId="77777777" w:rsidR="00980E5F" w:rsidRDefault="00980E5F">
            <w:pPr>
              <w:rPr>
                <w:rFonts w:ascii="宋体"/>
                <w:vanish/>
              </w:rPr>
            </w:pPr>
          </w:p>
        </w:tc>
        <w:tc>
          <w:tcPr>
            <w:tcW w:w="0" w:type="auto"/>
            <w:gridSpan w:val="3"/>
            <w:shd w:val="clear" w:color="auto" w:fill="auto"/>
            <w:vAlign w:val="bottom"/>
          </w:tcPr>
          <w:p w14:paraId="392BFB64" w14:textId="77777777" w:rsidR="00980E5F" w:rsidRDefault="00980E5F">
            <w:pPr>
              <w:rPr>
                <w:rFonts w:ascii="宋体"/>
                <w:vanish/>
              </w:rPr>
            </w:pPr>
          </w:p>
        </w:tc>
        <w:tc>
          <w:tcPr>
            <w:tcW w:w="0" w:type="auto"/>
            <w:gridSpan w:val="3"/>
            <w:shd w:val="clear" w:color="auto" w:fill="auto"/>
            <w:vAlign w:val="bottom"/>
          </w:tcPr>
          <w:p w14:paraId="392BFB65" w14:textId="77777777" w:rsidR="00980E5F" w:rsidRDefault="00980E5F">
            <w:pPr>
              <w:rPr>
                <w:rFonts w:ascii="宋体"/>
                <w:vanish/>
              </w:rPr>
            </w:pPr>
          </w:p>
        </w:tc>
        <w:tc>
          <w:tcPr>
            <w:tcW w:w="0" w:type="auto"/>
            <w:gridSpan w:val="3"/>
            <w:shd w:val="clear" w:color="auto" w:fill="auto"/>
            <w:vAlign w:val="bottom"/>
          </w:tcPr>
          <w:p w14:paraId="392BFB66" w14:textId="77777777" w:rsidR="00980E5F" w:rsidRDefault="00980E5F">
            <w:pPr>
              <w:rPr>
                <w:rFonts w:ascii="宋体"/>
                <w:vanish/>
              </w:rPr>
            </w:pPr>
          </w:p>
        </w:tc>
        <w:tc>
          <w:tcPr>
            <w:tcW w:w="0" w:type="auto"/>
            <w:gridSpan w:val="3"/>
            <w:shd w:val="clear" w:color="auto" w:fill="auto"/>
            <w:vAlign w:val="bottom"/>
          </w:tcPr>
          <w:p w14:paraId="392BFB67" w14:textId="77777777" w:rsidR="00980E5F" w:rsidRDefault="00980E5F">
            <w:pPr>
              <w:rPr>
                <w:rFonts w:ascii="宋体"/>
                <w:vanish/>
              </w:rPr>
            </w:pPr>
          </w:p>
        </w:tc>
        <w:tc>
          <w:tcPr>
            <w:tcW w:w="0" w:type="auto"/>
            <w:gridSpan w:val="3"/>
            <w:shd w:val="clear" w:color="auto" w:fill="auto"/>
            <w:vAlign w:val="bottom"/>
          </w:tcPr>
          <w:p w14:paraId="392BFB68" w14:textId="77777777" w:rsidR="00980E5F" w:rsidRDefault="00980E5F">
            <w:pPr>
              <w:rPr>
                <w:rFonts w:ascii="宋体"/>
                <w:vanish/>
              </w:rPr>
            </w:pPr>
          </w:p>
        </w:tc>
        <w:tc>
          <w:tcPr>
            <w:tcW w:w="0" w:type="auto"/>
            <w:gridSpan w:val="3"/>
            <w:shd w:val="clear" w:color="auto" w:fill="auto"/>
            <w:vAlign w:val="bottom"/>
          </w:tcPr>
          <w:p w14:paraId="392BFB69" w14:textId="77777777" w:rsidR="00980E5F" w:rsidRDefault="00980E5F">
            <w:pPr>
              <w:rPr>
                <w:rFonts w:ascii="宋体"/>
                <w:vanish/>
              </w:rPr>
            </w:pPr>
          </w:p>
        </w:tc>
        <w:tc>
          <w:tcPr>
            <w:tcW w:w="0" w:type="auto"/>
            <w:gridSpan w:val="3"/>
            <w:shd w:val="clear" w:color="auto" w:fill="auto"/>
            <w:vAlign w:val="bottom"/>
          </w:tcPr>
          <w:p w14:paraId="392BFB6A" w14:textId="77777777" w:rsidR="00980E5F" w:rsidRDefault="00980E5F">
            <w:pPr>
              <w:rPr>
                <w:rFonts w:ascii="宋体"/>
                <w:vanish/>
              </w:rPr>
            </w:pPr>
          </w:p>
        </w:tc>
        <w:tc>
          <w:tcPr>
            <w:tcW w:w="0" w:type="auto"/>
            <w:gridSpan w:val="3"/>
            <w:shd w:val="clear" w:color="auto" w:fill="auto"/>
            <w:vAlign w:val="bottom"/>
          </w:tcPr>
          <w:p w14:paraId="392BFB6B" w14:textId="77777777" w:rsidR="00980E5F" w:rsidRDefault="00980E5F">
            <w:pPr>
              <w:rPr>
                <w:rFonts w:ascii="宋体"/>
                <w:vanish/>
              </w:rPr>
            </w:pPr>
          </w:p>
        </w:tc>
        <w:tc>
          <w:tcPr>
            <w:tcW w:w="0" w:type="auto"/>
            <w:gridSpan w:val="3"/>
            <w:shd w:val="clear" w:color="auto" w:fill="auto"/>
            <w:vAlign w:val="bottom"/>
          </w:tcPr>
          <w:p w14:paraId="392BFB6C" w14:textId="77777777" w:rsidR="00980E5F" w:rsidRDefault="00980E5F">
            <w:pPr>
              <w:rPr>
                <w:rFonts w:ascii="宋体"/>
                <w:vanish/>
              </w:rPr>
            </w:pPr>
          </w:p>
        </w:tc>
        <w:tc>
          <w:tcPr>
            <w:tcW w:w="0" w:type="auto"/>
            <w:gridSpan w:val="3"/>
            <w:shd w:val="clear" w:color="auto" w:fill="auto"/>
            <w:vAlign w:val="bottom"/>
          </w:tcPr>
          <w:p w14:paraId="392BFB6D" w14:textId="77777777" w:rsidR="00980E5F" w:rsidRDefault="00980E5F">
            <w:pPr>
              <w:rPr>
                <w:rFonts w:ascii="宋体"/>
                <w:vanish/>
              </w:rPr>
            </w:pPr>
          </w:p>
        </w:tc>
        <w:tc>
          <w:tcPr>
            <w:tcW w:w="0" w:type="auto"/>
            <w:gridSpan w:val="3"/>
            <w:shd w:val="clear" w:color="auto" w:fill="auto"/>
            <w:vAlign w:val="bottom"/>
          </w:tcPr>
          <w:p w14:paraId="392BFB6E" w14:textId="77777777" w:rsidR="00980E5F" w:rsidRDefault="00980E5F">
            <w:pPr>
              <w:rPr>
                <w:rFonts w:ascii="宋体"/>
                <w:vanish/>
              </w:rPr>
            </w:pPr>
          </w:p>
        </w:tc>
        <w:tc>
          <w:tcPr>
            <w:tcW w:w="0" w:type="auto"/>
            <w:gridSpan w:val="3"/>
            <w:shd w:val="clear" w:color="auto" w:fill="auto"/>
            <w:vAlign w:val="bottom"/>
          </w:tcPr>
          <w:p w14:paraId="392BFB6F" w14:textId="77777777" w:rsidR="00980E5F" w:rsidRDefault="00980E5F">
            <w:pPr>
              <w:rPr>
                <w:rFonts w:ascii="宋体"/>
                <w:vanish/>
              </w:rPr>
            </w:pPr>
          </w:p>
        </w:tc>
        <w:tc>
          <w:tcPr>
            <w:tcW w:w="0" w:type="auto"/>
            <w:gridSpan w:val="3"/>
            <w:shd w:val="clear" w:color="auto" w:fill="auto"/>
            <w:vAlign w:val="bottom"/>
          </w:tcPr>
          <w:p w14:paraId="392BFB70" w14:textId="77777777" w:rsidR="00980E5F" w:rsidRDefault="00980E5F">
            <w:pPr>
              <w:rPr>
                <w:rFonts w:ascii="宋体"/>
                <w:vanish/>
              </w:rPr>
            </w:pPr>
          </w:p>
        </w:tc>
        <w:tc>
          <w:tcPr>
            <w:tcW w:w="0" w:type="auto"/>
            <w:gridSpan w:val="3"/>
            <w:shd w:val="clear" w:color="auto" w:fill="auto"/>
            <w:vAlign w:val="bottom"/>
          </w:tcPr>
          <w:p w14:paraId="392BFB71" w14:textId="77777777" w:rsidR="00980E5F" w:rsidRDefault="00980E5F">
            <w:pPr>
              <w:rPr>
                <w:rFonts w:ascii="宋体"/>
                <w:vanish/>
              </w:rPr>
            </w:pPr>
          </w:p>
        </w:tc>
        <w:tc>
          <w:tcPr>
            <w:tcW w:w="0" w:type="auto"/>
            <w:gridSpan w:val="3"/>
            <w:shd w:val="clear" w:color="auto" w:fill="auto"/>
            <w:vAlign w:val="bottom"/>
          </w:tcPr>
          <w:p w14:paraId="392BFB72" w14:textId="77777777" w:rsidR="00980E5F" w:rsidRDefault="00980E5F">
            <w:pPr>
              <w:rPr>
                <w:rFonts w:ascii="宋体"/>
                <w:vanish/>
              </w:rPr>
            </w:pPr>
          </w:p>
        </w:tc>
        <w:tc>
          <w:tcPr>
            <w:tcW w:w="0" w:type="auto"/>
            <w:gridSpan w:val="3"/>
            <w:shd w:val="clear" w:color="auto" w:fill="auto"/>
            <w:vAlign w:val="bottom"/>
          </w:tcPr>
          <w:p w14:paraId="392BFB73" w14:textId="77777777" w:rsidR="00980E5F" w:rsidRDefault="00980E5F">
            <w:pPr>
              <w:rPr>
                <w:rFonts w:ascii="宋体"/>
                <w:vanish/>
              </w:rPr>
            </w:pPr>
          </w:p>
        </w:tc>
        <w:tc>
          <w:tcPr>
            <w:tcW w:w="0" w:type="auto"/>
            <w:gridSpan w:val="3"/>
            <w:shd w:val="clear" w:color="auto" w:fill="auto"/>
            <w:vAlign w:val="bottom"/>
          </w:tcPr>
          <w:p w14:paraId="392BFB74" w14:textId="77777777" w:rsidR="00980E5F" w:rsidRDefault="00980E5F">
            <w:pPr>
              <w:rPr>
                <w:rFonts w:ascii="宋体"/>
                <w:vanish/>
              </w:rPr>
            </w:pPr>
          </w:p>
        </w:tc>
        <w:tc>
          <w:tcPr>
            <w:tcW w:w="0" w:type="auto"/>
            <w:gridSpan w:val="3"/>
            <w:shd w:val="clear" w:color="auto" w:fill="auto"/>
            <w:vAlign w:val="bottom"/>
          </w:tcPr>
          <w:p w14:paraId="392BFB75" w14:textId="77777777" w:rsidR="00980E5F" w:rsidRDefault="00980E5F">
            <w:pPr>
              <w:rPr>
                <w:rFonts w:ascii="宋体"/>
                <w:vanish/>
              </w:rPr>
            </w:pPr>
          </w:p>
        </w:tc>
        <w:tc>
          <w:tcPr>
            <w:tcW w:w="0" w:type="auto"/>
            <w:gridSpan w:val="3"/>
            <w:shd w:val="clear" w:color="auto" w:fill="auto"/>
            <w:vAlign w:val="bottom"/>
          </w:tcPr>
          <w:p w14:paraId="392BFB76" w14:textId="77777777" w:rsidR="00980E5F" w:rsidRDefault="00980E5F">
            <w:pPr>
              <w:rPr>
                <w:rFonts w:ascii="宋体"/>
                <w:vanish/>
              </w:rPr>
            </w:pPr>
          </w:p>
        </w:tc>
        <w:tc>
          <w:tcPr>
            <w:tcW w:w="0" w:type="auto"/>
            <w:gridSpan w:val="2"/>
            <w:shd w:val="clear" w:color="auto" w:fill="auto"/>
            <w:vAlign w:val="bottom"/>
          </w:tcPr>
          <w:p w14:paraId="392BFB77" w14:textId="77777777" w:rsidR="00980E5F" w:rsidRDefault="00980E5F">
            <w:pPr>
              <w:rPr>
                <w:rFonts w:ascii="宋体"/>
                <w:vanish/>
              </w:rPr>
            </w:pPr>
          </w:p>
        </w:tc>
        <w:tc>
          <w:tcPr>
            <w:tcW w:w="0" w:type="auto"/>
            <w:shd w:val="clear" w:color="auto" w:fill="auto"/>
            <w:vAlign w:val="bottom"/>
          </w:tcPr>
          <w:p w14:paraId="392BFB78" w14:textId="77777777" w:rsidR="00980E5F" w:rsidRDefault="00980E5F">
            <w:pPr>
              <w:rPr>
                <w:rFonts w:ascii="宋体"/>
                <w:vanish/>
              </w:rPr>
            </w:pPr>
          </w:p>
        </w:tc>
      </w:tr>
      <w:tr w:rsidR="00980E5F" w14:paraId="392BFB86" w14:textId="77777777">
        <w:tc>
          <w:tcPr>
            <w:tcW w:w="0" w:type="auto"/>
            <w:gridSpan w:val="3"/>
            <w:shd w:val="clear" w:color="auto" w:fill="auto"/>
            <w:tcMar>
              <w:top w:w="0" w:type="dxa"/>
              <w:left w:w="20" w:type="dxa"/>
              <w:bottom w:w="0" w:type="dxa"/>
              <w:right w:w="20" w:type="dxa"/>
            </w:tcMar>
            <w:vAlign w:val="bottom"/>
          </w:tcPr>
          <w:p w14:paraId="392BFB7A"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BFB7B"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gridSpan w:val="3"/>
            <w:shd w:val="clear" w:color="auto" w:fill="auto"/>
            <w:vAlign w:val="bottom"/>
          </w:tcPr>
          <w:p w14:paraId="392BFB7C" w14:textId="77777777" w:rsidR="00980E5F" w:rsidRDefault="00980E5F">
            <w:pPr>
              <w:rPr>
                <w:rFonts w:ascii="宋体"/>
                <w:vanish/>
              </w:rPr>
            </w:pPr>
          </w:p>
        </w:tc>
        <w:tc>
          <w:tcPr>
            <w:tcW w:w="0" w:type="auto"/>
            <w:gridSpan w:val="3"/>
            <w:shd w:val="clear" w:color="auto" w:fill="auto"/>
            <w:vAlign w:val="bottom"/>
          </w:tcPr>
          <w:p w14:paraId="392BFB7D" w14:textId="77777777" w:rsidR="00980E5F" w:rsidRDefault="00980E5F">
            <w:pPr>
              <w:rPr>
                <w:rFonts w:ascii="宋体"/>
                <w:vanish/>
              </w:rPr>
            </w:pPr>
          </w:p>
        </w:tc>
        <w:tc>
          <w:tcPr>
            <w:tcW w:w="0" w:type="auto"/>
            <w:gridSpan w:val="3"/>
            <w:shd w:val="clear" w:color="auto" w:fill="auto"/>
            <w:vAlign w:val="bottom"/>
          </w:tcPr>
          <w:p w14:paraId="392BFB7E" w14:textId="77777777" w:rsidR="00980E5F" w:rsidRDefault="00980E5F">
            <w:pPr>
              <w:rPr>
                <w:rFonts w:ascii="宋体"/>
                <w:vanish/>
              </w:rPr>
            </w:pPr>
          </w:p>
        </w:tc>
        <w:tc>
          <w:tcPr>
            <w:tcW w:w="0" w:type="auto"/>
            <w:gridSpan w:val="3"/>
            <w:shd w:val="clear" w:color="auto" w:fill="auto"/>
            <w:vAlign w:val="bottom"/>
          </w:tcPr>
          <w:p w14:paraId="392BFB7F" w14:textId="77777777" w:rsidR="00980E5F" w:rsidRDefault="00980E5F">
            <w:pPr>
              <w:rPr>
                <w:rFonts w:ascii="宋体"/>
                <w:vanish/>
              </w:rPr>
            </w:pPr>
          </w:p>
        </w:tc>
        <w:tc>
          <w:tcPr>
            <w:tcW w:w="0" w:type="auto"/>
            <w:gridSpan w:val="3"/>
            <w:shd w:val="clear" w:color="auto" w:fill="auto"/>
            <w:vAlign w:val="bottom"/>
          </w:tcPr>
          <w:p w14:paraId="392BFB80" w14:textId="77777777" w:rsidR="00980E5F" w:rsidRDefault="00980E5F">
            <w:pPr>
              <w:rPr>
                <w:rFonts w:ascii="宋体"/>
                <w:vanish/>
              </w:rPr>
            </w:pPr>
          </w:p>
        </w:tc>
        <w:tc>
          <w:tcPr>
            <w:tcW w:w="0" w:type="auto"/>
            <w:gridSpan w:val="3"/>
            <w:shd w:val="clear" w:color="auto" w:fill="auto"/>
            <w:vAlign w:val="bottom"/>
          </w:tcPr>
          <w:p w14:paraId="392BFB81" w14:textId="77777777" w:rsidR="00980E5F" w:rsidRDefault="00980E5F">
            <w:pPr>
              <w:rPr>
                <w:rFonts w:ascii="宋体"/>
                <w:vanish/>
              </w:rPr>
            </w:pPr>
          </w:p>
        </w:tc>
        <w:tc>
          <w:tcPr>
            <w:tcW w:w="0" w:type="auto"/>
            <w:gridSpan w:val="3"/>
            <w:shd w:val="clear" w:color="auto" w:fill="auto"/>
            <w:vAlign w:val="bottom"/>
          </w:tcPr>
          <w:p w14:paraId="392BFB82" w14:textId="77777777" w:rsidR="00980E5F" w:rsidRDefault="00980E5F">
            <w:pPr>
              <w:rPr>
                <w:rFonts w:ascii="宋体"/>
                <w:vanish/>
              </w:rPr>
            </w:pPr>
          </w:p>
        </w:tc>
        <w:tc>
          <w:tcPr>
            <w:tcW w:w="0" w:type="auto"/>
            <w:gridSpan w:val="3"/>
            <w:shd w:val="clear" w:color="auto" w:fill="auto"/>
            <w:vAlign w:val="bottom"/>
          </w:tcPr>
          <w:p w14:paraId="392BFB83" w14:textId="77777777" w:rsidR="00980E5F" w:rsidRDefault="00980E5F">
            <w:pPr>
              <w:rPr>
                <w:rFonts w:ascii="宋体"/>
                <w:vanish/>
              </w:rPr>
            </w:pPr>
          </w:p>
        </w:tc>
        <w:tc>
          <w:tcPr>
            <w:tcW w:w="0" w:type="auto"/>
            <w:gridSpan w:val="2"/>
            <w:shd w:val="clear" w:color="auto" w:fill="auto"/>
            <w:vAlign w:val="bottom"/>
          </w:tcPr>
          <w:p w14:paraId="392BFB84" w14:textId="77777777" w:rsidR="00980E5F" w:rsidRDefault="00980E5F">
            <w:pPr>
              <w:rPr>
                <w:rFonts w:ascii="宋体"/>
                <w:vanish/>
              </w:rPr>
            </w:pPr>
          </w:p>
        </w:tc>
        <w:tc>
          <w:tcPr>
            <w:tcW w:w="0" w:type="auto"/>
            <w:shd w:val="clear" w:color="auto" w:fill="auto"/>
            <w:vAlign w:val="bottom"/>
          </w:tcPr>
          <w:p w14:paraId="392BFB85" w14:textId="77777777" w:rsidR="00980E5F" w:rsidRDefault="00980E5F">
            <w:pPr>
              <w:rPr>
                <w:rFonts w:ascii="宋体"/>
                <w:vanish/>
              </w:rPr>
            </w:pPr>
          </w:p>
        </w:tc>
      </w:tr>
      <w:tr w:rsidR="00980E5F" w14:paraId="392BFB95" w14:textId="77777777">
        <w:tc>
          <w:tcPr>
            <w:tcW w:w="0" w:type="auto"/>
            <w:gridSpan w:val="3"/>
            <w:shd w:val="clear" w:color="auto" w:fill="auto"/>
            <w:tcMar>
              <w:top w:w="0" w:type="dxa"/>
              <w:left w:w="20" w:type="dxa"/>
              <w:bottom w:w="0" w:type="dxa"/>
              <w:right w:w="20" w:type="dxa"/>
            </w:tcMar>
            <w:vAlign w:val="bottom"/>
          </w:tcPr>
          <w:p w14:paraId="392BFB87"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B88"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B89"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B8A"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BFB8B" w14:textId="77777777" w:rsidR="00980E5F" w:rsidRDefault="00980E5F">
            <w:pPr>
              <w:rPr>
                <w:rFonts w:ascii="宋体"/>
                <w:vanish/>
              </w:rPr>
            </w:pPr>
          </w:p>
        </w:tc>
        <w:tc>
          <w:tcPr>
            <w:tcW w:w="0" w:type="auto"/>
            <w:gridSpan w:val="3"/>
            <w:shd w:val="clear" w:color="auto" w:fill="auto"/>
            <w:vAlign w:val="bottom"/>
          </w:tcPr>
          <w:p w14:paraId="392BFB8C" w14:textId="77777777" w:rsidR="00980E5F" w:rsidRDefault="00980E5F">
            <w:pPr>
              <w:rPr>
                <w:rFonts w:ascii="宋体"/>
                <w:vanish/>
              </w:rPr>
            </w:pPr>
          </w:p>
        </w:tc>
        <w:tc>
          <w:tcPr>
            <w:tcW w:w="0" w:type="auto"/>
            <w:gridSpan w:val="3"/>
            <w:shd w:val="clear" w:color="auto" w:fill="auto"/>
            <w:vAlign w:val="bottom"/>
          </w:tcPr>
          <w:p w14:paraId="392BFB8D" w14:textId="77777777" w:rsidR="00980E5F" w:rsidRDefault="00980E5F">
            <w:pPr>
              <w:rPr>
                <w:rFonts w:ascii="宋体"/>
                <w:vanish/>
              </w:rPr>
            </w:pPr>
          </w:p>
        </w:tc>
        <w:tc>
          <w:tcPr>
            <w:tcW w:w="0" w:type="auto"/>
            <w:gridSpan w:val="3"/>
            <w:shd w:val="clear" w:color="auto" w:fill="auto"/>
            <w:vAlign w:val="bottom"/>
          </w:tcPr>
          <w:p w14:paraId="392BFB8E" w14:textId="77777777" w:rsidR="00980E5F" w:rsidRDefault="00980E5F">
            <w:pPr>
              <w:rPr>
                <w:rFonts w:ascii="宋体"/>
                <w:vanish/>
              </w:rPr>
            </w:pPr>
          </w:p>
        </w:tc>
        <w:tc>
          <w:tcPr>
            <w:tcW w:w="0" w:type="auto"/>
            <w:gridSpan w:val="3"/>
            <w:shd w:val="clear" w:color="auto" w:fill="auto"/>
            <w:vAlign w:val="bottom"/>
          </w:tcPr>
          <w:p w14:paraId="392BFB8F" w14:textId="77777777" w:rsidR="00980E5F" w:rsidRDefault="00980E5F">
            <w:pPr>
              <w:rPr>
                <w:rFonts w:ascii="宋体"/>
                <w:vanish/>
              </w:rPr>
            </w:pPr>
          </w:p>
        </w:tc>
        <w:tc>
          <w:tcPr>
            <w:tcW w:w="0" w:type="auto"/>
            <w:gridSpan w:val="3"/>
            <w:shd w:val="clear" w:color="auto" w:fill="auto"/>
            <w:vAlign w:val="bottom"/>
          </w:tcPr>
          <w:p w14:paraId="392BFB90" w14:textId="77777777" w:rsidR="00980E5F" w:rsidRDefault="00980E5F">
            <w:pPr>
              <w:rPr>
                <w:rFonts w:ascii="宋体"/>
                <w:vanish/>
              </w:rPr>
            </w:pPr>
          </w:p>
        </w:tc>
        <w:tc>
          <w:tcPr>
            <w:tcW w:w="0" w:type="auto"/>
            <w:gridSpan w:val="3"/>
            <w:shd w:val="clear" w:color="auto" w:fill="auto"/>
            <w:vAlign w:val="bottom"/>
          </w:tcPr>
          <w:p w14:paraId="392BFB91" w14:textId="77777777" w:rsidR="00980E5F" w:rsidRDefault="00980E5F">
            <w:pPr>
              <w:rPr>
                <w:rFonts w:ascii="宋体"/>
                <w:vanish/>
              </w:rPr>
            </w:pPr>
          </w:p>
        </w:tc>
        <w:tc>
          <w:tcPr>
            <w:tcW w:w="0" w:type="auto"/>
            <w:gridSpan w:val="3"/>
            <w:shd w:val="clear" w:color="auto" w:fill="auto"/>
            <w:vAlign w:val="bottom"/>
          </w:tcPr>
          <w:p w14:paraId="392BFB92" w14:textId="77777777" w:rsidR="00980E5F" w:rsidRDefault="00980E5F">
            <w:pPr>
              <w:rPr>
                <w:rFonts w:ascii="宋体"/>
                <w:vanish/>
              </w:rPr>
            </w:pPr>
          </w:p>
        </w:tc>
        <w:tc>
          <w:tcPr>
            <w:tcW w:w="0" w:type="auto"/>
            <w:gridSpan w:val="2"/>
            <w:shd w:val="clear" w:color="auto" w:fill="auto"/>
            <w:vAlign w:val="bottom"/>
          </w:tcPr>
          <w:p w14:paraId="392BFB93" w14:textId="77777777" w:rsidR="00980E5F" w:rsidRDefault="00980E5F">
            <w:pPr>
              <w:rPr>
                <w:rFonts w:ascii="宋体"/>
                <w:vanish/>
              </w:rPr>
            </w:pPr>
          </w:p>
        </w:tc>
        <w:tc>
          <w:tcPr>
            <w:tcW w:w="0" w:type="auto"/>
            <w:shd w:val="clear" w:color="auto" w:fill="auto"/>
            <w:vAlign w:val="bottom"/>
          </w:tcPr>
          <w:p w14:paraId="392BFB94" w14:textId="77777777" w:rsidR="00980E5F" w:rsidRDefault="00980E5F">
            <w:pPr>
              <w:rPr>
                <w:rFonts w:ascii="宋体"/>
                <w:vanish/>
              </w:rPr>
            </w:pPr>
          </w:p>
        </w:tc>
      </w:tr>
      <w:tr w:rsidR="00980E5F" w14:paraId="392BFBAC" w14:textId="77777777">
        <w:tc>
          <w:tcPr>
            <w:tcW w:w="0" w:type="auto"/>
            <w:gridSpan w:val="3"/>
            <w:shd w:val="clear" w:color="auto" w:fill="auto"/>
            <w:tcMar>
              <w:top w:w="40" w:type="dxa"/>
              <w:left w:w="20" w:type="dxa"/>
              <w:bottom w:w="40" w:type="dxa"/>
              <w:right w:w="20" w:type="dxa"/>
            </w:tcMar>
            <w:vAlign w:val="bottom"/>
          </w:tcPr>
          <w:p w14:paraId="392BFB96" w14:textId="77777777" w:rsidR="00980E5F" w:rsidRDefault="00483613">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97" w14:textId="77777777" w:rsidR="00980E5F" w:rsidRDefault="00483613">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B9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99" w14:textId="77777777" w:rsidR="00980E5F" w:rsidRDefault="00483613">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B9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9B" w14:textId="77777777" w:rsidR="00980E5F" w:rsidRDefault="00483613">
            <w:pPr>
              <w:jc w:val="center"/>
              <w:textAlignment w:val="bottom"/>
            </w:pPr>
            <w:r>
              <w:rPr>
                <w:rFonts w:ascii="Arial" w:eastAsia="宋体" w:hAnsi="Arial" w:cs="Arial"/>
                <w:b/>
                <w:bCs/>
                <w:color w:val="000000"/>
                <w:sz w:val="13"/>
                <w:szCs w:val="13"/>
              </w:rPr>
              <w:t>Total</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vAlign w:val="bottom"/>
          </w:tcPr>
          <w:p w14:paraId="392BFB9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9D" w14:textId="77777777" w:rsidR="00980E5F" w:rsidRDefault="00483613">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B9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9F" w14:textId="77777777" w:rsidR="00980E5F" w:rsidRDefault="00483613">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BA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BA1" w14:textId="77777777" w:rsidR="00980E5F" w:rsidRDefault="00483613">
            <w:pPr>
              <w:jc w:val="center"/>
              <w:textAlignment w:val="bottom"/>
            </w:pPr>
            <w:r>
              <w:rPr>
                <w:rFonts w:ascii="Arial" w:eastAsia="宋体" w:hAnsi="Arial" w:cs="Arial"/>
                <w:b/>
                <w:bCs/>
                <w:color w:val="000000"/>
                <w:sz w:val="13"/>
                <w:szCs w:val="13"/>
              </w:rPr>
              <w:t>Total</w:t>
            </w:r>
          </w:p>
        </w:tc>
        <w:tc>
          <w:tcPr>
            <w:tcW w:w="0" w:type="auto"/>
            <w:gridSpan w:val="3"/>
            <w:shd w:val="clear" w:color="auto" w:fill="auto"/>
            <w:vAlign w:val="bottom"/>
          </w:tcPr>
          <w:p w14:paraId="392BFBA2" w14:textId="77777777" w:rsidR="00980E5F" w:rsidRDefault="00980E5F">
            <w:pPr>
              <w:rPr>
                <w:rFonts w:ascii="宋体"/>
                <w:vanish/>
              </w:rPr>
            </w:pPr>
          </w:p>
        </w:tc>
        <w:tc>
          <w:tcPr>
            <w:tcW w:w="0" w:type="auto"/>
            <w:gridSpan w:val="3"/>
            <w:shd w:val="clear" w:color="auto" w:fill="auto"/>
            <w:vAlign w:val="bottom"/>
          </w:tcPr>
          <w:p w14:paraId="392BFBA3" w14:textId="77777777" w:rsidR="00980E5F" w:rsidRDefault="00980E5F">
            <w:pPr>
              <w:rPr>
                <w:rFonts w:ascii="宋体"/>
                <w:vanish/>
              </w:rPr>
            </w:pPr>
          </w:p>
        </w:tc>
        <w:tc>
          <w:tcPr>
            <w:tcW w:w="0" w:type="auto"/>
            <w:gridSpan w:val="3"/>
            <w:shd w:val="clear" w:color="auto" w:fill="auto"/>
            <w:vAlign w:val="bottom"/>
          </w:tcPr>
          <w:p w14:paraId="392BFBA4" w14:textId="77777777" w:rsidR="00980E5F" w:rsidRDefault="00980E5F">
            <w:pPr>
              <w:rPr>
                <w:rFonts w:ascii="宋体"/>
                <w:vanish/>
              </w:rPr>
            </w:pPr>
          </w:p>
        </w:tc>
        <w:tc>
          <w:tcPr>
            <w:tcW w:w="0" w:type="auto"/>
            <w:gridSpan w:val="3"/>
            <w:shd w:val="clear" w:color="auto" w:fill="auto"/>
            <w:vAlign w:val="bottom"/>
          </w:tcPr>
          <w:p w14:paraId="392BFBA5" w14:textId="77777777" w:rsidR="00980E5F" w:rsidRDefault="00980E5F">
            <w:pPr>
              <w:rPr>
                <w:rFonts w:ascii="宋体"/>
                <w:vanish/>
              </w:rPr>
            </w:pPr>
          </w:p>
        </w:tc>
        <w:tc>
          <w:tcPr>
            <w:tcW w:w="0" w:type="auto"/>
            <w:gridSpan w:val="3"/>
            <w:shd w:val="clear" w:color="auto" w:fill="auto"/>
            <w:vAlign w:val="bottom"/>
          </w:tcPr>
          <w:p w14:paraId="392BFBA6" w14:textId="77777777" w:rsidR="00980E5F" w:rsidRDefault="00980E5F">
            <w:pPr>
              <w:rPr>
                <w:rFonts w:ascii="宋体"/>
                <w:vanish/>
              </w:rPr>
            </w:pPr>
          </w:p>
        </w:tc>
        <w:tc>
          <w:tcPr>
            <w:tcW w:w="0" w:type="auto"/>
            <w:gridSpan w:val="3"/>
            <w:shd w:val="clear" w:color="auto" w:fill="auto"/>
            <w:vAlign w:val="bottom"/>
          </w:tcPr>
          <w:p w14:paraId="392BFBA7" w14:textId="77777777" w:rsidR="00980E5F" w:rsidRDefault="00980E5F">
            <w:pPr>
              <w:rPr>
                <w:rFonts w:ascii="宋体"/>
                <w:vanish/>
              </w:rPr>
            </w:pPr>
          </w:p>
        </w:tc>
        <w:tc>
          <w:tcPr>
            <w:tcW w:w="0" w:type="auto"/>
            <w:gridSpan w:val="3"/>
            <w:shd w:val="clear" w:color="auto" w:fill="auto"/>
            <w:vAlign w:val="bottom"/>
          </w:tcPr>
          <w:p w14:paraId="392BFBA8" w14:textId="77777777" w:rsidR="00980E5F" w:rsidRDefault="00980E5F">
            <w:pPr>
              <w:rPr>
                <w:rFonts w:ascii="宋体"/>
                <w:vanish/>
              </w:rPr>
            </w:pPr>
          </w:p>
        </w:tc>
        <w:tc>
          <w:tcPr>
            <w:tcW w:w="0" w:type="auto"/>
            <w:gridSpan w:val="3"/>
            <w:shd w:val="clear" w:color="auto" w:fill="auto"/>
            <w:vAlign w:val="bottom"/>
          </w:tcPr>
          <w:p w14:paraId="392BFBA9" w14:textId="77777777" w:rsidR="00980E5F" w:rsidRDefault="00980E5F">
            <w:pPr>
              <w:rPr>
                <w:rFonts w:ascii="宋体"/>
                <w:vanish/>
              </w:rPr>
            </w:pPr>
          </w:p>
        </w:tc>
        <w:tc>
          <w:tcPr>
            <w:tcW w:w="0" w:type="auto"/>
            <w:gridSpan w:val="2"/>
            <w:shd w:val="clear" w:color="auto" w:fill="auto"/>
            <w:vAlign w:val="bottom"/>
          </w:tcPr>
          <w:p w14:paraId="392BFBAA" w14:textId="77777777" w:rsidR="00980E5F" w:rsidRDefault="00980E5F">
            <w:pPr>
              <w:rPr>
                <w:rFonts w:ascii="宋体"/>
                <w:vanish/>
              </w:rPr>
            </w:pPr>
          </w:p>
        </w:tc>
        <w:tc>
          <w:tcPr>
            <w:tcW w:w="0" w:type="auto"/>
            <w:shd w:val="clear" w:color="auto" w:fill="auto"/>
            <w:vAlign w:val="bottom"/>
          </w:tcPr>
          <w:p w14:paraId="392BFBAB" w14:textId="77777777" w:rsidR="00980E5F" w:rsidRDefault="00980E5F">
            <w:pPr>
              <w:rPr>
                <w:rFonts w:ascii="宋体"/>
                <w:vanish/>
              </w:rPr>
            </w:pPr>
          </w:p>
        </w:tc>
      </w:tr>
      <w:tr w:rsidR="00980E5F" w14:paraId="392BFBCF" w14:textId="77777777">
        <w:tc>
          <w:tcPr>
            <w:tcW w:w="0" w:type="auto"/>
            <w:gridSpan w:val="3"/>
            <w:shd w:val="clear" w:color="auto" w:fill="CCEEFF"/>
            <w:tcMar>
              <w:top w:w="40" w:type="dxa"/>
              <w:left w:w="20" w:type="dxa"/>
              <w:bottom w:w="40" w:type="dxa"/>
              <w:right w:w="20" w:type="dxa"/>
            </w:tcMar>
            <w:vAlign w:val="bottom"/>
          </w:tcPr>
          <w:p w14:paraId="392BFBAD" w14:textId="77777777" w:rsidR="00980E5F" w:rsidRDefault="00483613">
            <w:pPr>
              <w:textAlignment w:val="bottom"/>
            </w:pPr>
            <w:r>
              <w:rPr>
                <w:rFonts w:ascii="Arial" w:eastAsia="宋体" w:hAnsi="Arial" w:cs="Arial"/>
                <w:color w:val="000000"/>
                <w:sz w:val="13"/>
                <w:szCs w:val="13"/>
              </w:rPr>
              <w:t>Unamortized purchase premiums, net of discounts at period end</w:t>
            </w:r>
            <w:r>
              <w:rPr>
                <w:rFonts w:ascii="Arial" w:eastAsia="宋体" w:hAnsi="Arial" w:cs="Arial"/>
                <w:color w:val="000000"/>
                <w:sz w:val="8"/>
                <w:szCs w:val="8"/>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BAE"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AF" w14:textId="77777777" w:rsidR="00980E5F" w:rsidRDefault="00483613">
            <w:pPr>
              <w:jc w:val="right"/>
              <w:textAlignment w:val="bottom"/>
            </w:pPr>
            <w:r>
              <w:rPr>
                <w:rFonts w:ascii="Arial" w:eastAsia="宋体" w:hAnsi="Arial" w:cs="Arial"/>
                <w:b/>
                <w:bCs/>
                <w:color w:val="000000"/>
                <w:sz w:val="13"/>
                <w:szCs w:val="13"/>
              </w:rPr>
              <w:t>586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BB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BB2"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B3" w14:textId="77777777" w:rsidR="00980E5F" w:rsidRDefault="00483613">
            <w:pPr>
              <w:jc w:val="right"/>
              <w:textAlignment w:val="bottom"/>
            </w:pPr>
            <w:r>
              <w:rPr>
                <w:rFonts w:ascii="Arial" w:eastAsia="宋体" w:hAnsi="Arial" w:cs="Arial"/>
                <w:b/>
                <w:bCs/>
                <w:color w:val="000000"/>
                <w:sz w:val="13"/>
                <w:szCs w:val="13"/>
              </w:rPr>
              <w:t>301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BB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BB6"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B7" w14:textId="77777777" w:rsidR="00980E5F" w:rsidRDefault="00483613">
            <w:pPr>
              <w:jc w:val="right"/>
              <w:textAlignment w:val="bottom"/>
            </w:pPr>
            <w:r>
              <w:rPr>
                <w:rFonts w:ascii="Arial" w:eastAsia="宋体" w:hAnsi="Arial" w:cs="Arial"/>
                <w:b/>
                <w:bCs/>
                <w:color w:val="000000"/>
                <w:sz w:val="13"/>
                <w:szCs w:val="13"/>
              </w:rPr>
              <w:t>887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BB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BBA"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BB" w14:textId="77777777" w:rsidR="00980E5F" w:rsidRDefault="00483613">
            <w:pPr>
              <w:jc w:val="right"/>
              <w:textAlignment w:val="bottom"/>
            </w:pPr>
            <w:r>
              <w:rPr>
                <w:rFonts w:ascii="Arial" w:eastAsia="宋体" w:hAnsi="Arial" w:cs="Arial"/>
                <w:color w:val="000000"/>
                <w:sz w:val="13"/>
                <w:szCs w:val="13"/>
              </w:rPr>
              <w:t>895 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BB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BB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BF" w14:textId="77777777" w:rsidR="00980E5F" w:rsidRDefault="00483613">
            <w:pPr>
              <w:jc w:val="right"/>
              <w:textAlignment w:val="bottom"/>
            </w:pPr>
            <w:r>
              <w:rPr>
                <w:rFonts w:ascii="Arial" w:eastAsia="宋体" w:hAnsi="Arial" w:cs="Arial"/>
                <w:color w:val="000000"/>
                <w:sz w:val="13"/>
                <w:szCs w:val="13"/>
              </w:rPr>
              <w:t>575 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BC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BC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BC3" w14:textId="77777777" w:rsidR="00980E5F" w:rsidRDefault="00483613">
            <w:pPr>
              <w:jc w:val="right"/>
              <w:textAlignment w:val="bottom"/>
            </w:pPr>
            <w:r>
              <w:rPr>
                <w:rFonts w:ascii="Arial" w:eastAsia="宋体" w:hAnsi="Arial" w:cs="Arial"/>
                <w:color w:val="000000"/>
                <w:sz w:val="13"/>
                <w:szCs w:val="13"/>
              </w:rPr>
              <w:t>1,470 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BC4" w14:textId="77777777" w:rsidR="00980E5F" w:rsidRDefault="00980E5F">
            <w:pPr>
              <w:jc w:val="right"/>
              <w:rPr>
                <w:rFonts w:ascii="宋体"/>
              </w:rPr>
            </w:pPr>
          </w:p>
        </w:tc>
        <w:tc>
          <w:tcPr>
            <w:tcW w:w="0" w:type="auto"/>
            <w:gridSpan w:val="3"/>
            <w:shd w:val="clear" w:color="auto" w:fill="auto"/>
            <w:vAlign w:val="bottom"/>
          </w:tcPr>
          <w:p w14:paraId="392BFBC5" w14:textId="77777777" w:rsidR="00980E5F" w:rsidRDefault="00980E5F">
            <w:pPr>
              <w:rPr>
                <w:rFonts w:ascii="宋体"/>
                <w:vanish/>
              </w:rPr>
            </w:pPr>
          </w:p>
        </w:tc>
        <w:tc>
          <w:tcPr>
            <w:tcW w:w="0" w:type="auto"/>
            <w:gridSpan w:val="3"/>
            <w:shd w:val="clear" w:color="auto" w:fill="auto"/>
            <w:vAlign w:val="bottom"/>
          </w:tcPr>
          <w:p w14:paraId="392BFBC6" w14:textId="77777777" w:rsidR="00980E5F" w:rsidRDefault="00980E5F">
            <w:pPr>
              <w:rPr>
                <w:rFonts w:ascii="宋体"/>
                <w:vanish/>
              </w:rPr>
            </w:pPr>
          </w:p>
        </w:tc>
        <w:tc>
          <w:tcPr>
            <w:tcW w:w="0" w:type="auto"/>
            <w:gridSpan w:val="3"/>
            <w:shd w:val="clear" w:color="auto" w:fill="auto"/>
            <w:vAlign w:val="bottom"/>
          </w:tcPr>
          <w:p w14:paraId="392BFBC7" w14:textId="77777777" w:rsidR="00980E5F" w:rsidRDefault="00980E5F">
            <w:pPr>
              <w:rPr>
                <w:rFonts w:ascii="宋体"/>
                <w:vanish/>
              </w:rPr>
            </w:pPr>
          </w:p>
        </w:tc>
        <w:tc>
          <w:tcPr>
            <w:tcW w:w="0" w:type="auto"/>
            <w:gridSpan w:val="3"/>
            <w:shd w:val="clear" w:color="auto" w:fill="auto"/>
            <w:vAlign w:val="bottom"/>
          </w:tcPr>
          <w:p w14:paraId="392BFBC8" w14:textId="77777777" w:rsidR="00980E5F" w:rsidRDefault="00980E5F">
            <w:pPr>
              <w:rPr>
                <w:rFonts w:ascii="宋体"/>
                <w:vanish/>
              </w:rPr>
            </w:pPr>
          </w:p>
        </w:tc>
        <w:tc>
          <w:tcPr>
            <w:tcW w:w="0" w:type="auto"/>
            <w:gridSpan w:val="3"/>
            <w:shd w:val="clear" w:color="auto" w:fill="auto"/>
            <w:vAlign w:val="bottom"/>
          </w:tcPr>
          <w:p w14:paraId="392BFBC9" w14:textId="77777777" w:rsidR="00980E5F" w:rsidRDefault="00980E5F">
            <w:pPr>
              <w:rPr>
                <w:rFonts w:ascii="宋体"/>
                <w:vanish/>
              </w:rPr>
            </w:pPr>
          </w:p>
        </w:tc>
        <w:tc>
          <w:tcPr>
            <w:tcW w:w="0" w:type="auto"/>
            <w:gridSpan w:val="3"/>
            <w:shd w:val="clear" w:color="auto" w:fill="auto"/>
            <w:vAlign w:val="bottom"/>
          </w:tcPr>
          <w:p w14:paraId="392BFBCA" w14:textId="77777777" w:rsidR="00980E5F" w:rsidRDefault="00980E5F">
            <w:pPr>
              <w:rPr>
                <w:rFonts w:ascii="宋体"/>
                <w:vanish/>
              </w:rPr>
            </w:pPr>
          </w:p>
        </w:tc>
        <w:tc>
          <w:tcPr>
            <w:tcW w:w="0" w:type="auto"/>
            <w:gridSpan w:val="3"/>
            <w:shd w:val="clear" w:color="auto" w:fill="auto"/>
            <w:vAlign w:val="bottom"/>
          </w:tcPr>
          <w:p w14:paraId="392BFBCB" w14:textId="77777777" w:rsidR="00980E5F" w:rsidRDefault="00980E5F">
            <w:pPr>
              <w:rPr>
                <w:rFonts w:ascii="宋体"/>
                <w:vanish/>
              </w:rPr>
            </w:pPr>
          </w:p>
        </w:tc>
        <w:tc>
          <w:tcPr>
            <w:tcW w:w="0" w:type="auto"/>
            <w:gridSpan w:val="3"/>
            <w:shd w:val="clear" w:color="auto" w:fill="auto"/>
            <w:vAlign w:val="bottom"/>
          </w:tcPr>
          <w:p w14:paraId="392BFBCC" w14:textId="77777777" w:rsidR="00980E5F" w:rsidRDefault="00980E5F">
            <w:pPr>
              <w:rPr>
                <w:rFonts w:ascii="宋体"/>
                <w:vanish/>
              </w:rPr>
            </w:pPr>
          </w:p>
        </w:tc>
        <w:tc>
          <w:tcPr>
            <w:tcW w:w="0" w:type="auto"/>
            <w:gridSpan w:val="2"/>
            <w:shd w:val="clear" w:color="auto" w:fill="auto"/>
            <w:vAlign w:val="bottom"/>
          </w:tcPr>
          <w:p w14:paraId="392BFBCD" w14:textId="77777777" w:rsidR="00980E5F" w:rsidRDefault="00980E5F">
            <w:pPr>
              <w:rPr>
                <w:rFonts w:ascii="宋体"/>
                <w:vanish/>
              </w:rPr>
            </w:pPr>
          </w:p>
        </w:tc>
        <w:tc>
          <w:tcPr>
            <w:tcW w:w="0" w:type="auto"/>
            <w:shd w:val="clear" w:color="auto" w:fill="auto"/>
            <w:vAlign w:val="bottom"/>
          </w:tcPr>
          <w:p w14:paraId="392BFBCE" w14:textId="77777777" w:rsidR="00980E5F" w:rsidRDefault="00980E5F">
            <w:pPr>
              <w:rPr>
                <w:rFonts w:ascii="宋体"/>
                <w:vanish/>
              </w:rPr>
            </w:pPr>
          </w:p>
        </w:tc>
      </w:tr>
      <w:tr w:rsidR="00980E5F" w14:paraId="392BFBEC" w14:textId="77777777">
        <w:tc>
          <w:tcPr>
            <w:tcW w:w="0" w:type="auto"/>
            <w:gridSpan w:val="3"/>
            <w:shd w:val="clear" w:color="auto" w:fill="FFFFFF"/>
            <w:tcMar>
              <w:top w:w="40" w:type="dxa"/>
              <w:left w:w="20" w:type="dxa"/>
              <w:bottom w:w="40" w:type="dxa"/>
              <w:right w:w="20" w:type="dxa"/>
            </w:tcMar>
            <w:vAlign w:val="bottom"/>
          </w:tcPr>
          <w:p w14:paraId="392BFBD0" w14:textId="77777777" w:rsidR="00980E5F" w:rsidRDefault="00483613">
            <w:pPr>
              <w:textAlignment w:val="bottom"/>
            </w:pPr>
            <w:r>
              <w:rPr>
                <w:rFonts w:ascii="Arial" w:eastAsia="宋体" w:hAnsi="Arial" w:cs="Arial"/>
                <w:color w:val="000000"/>
                <w:sz w:val="13"/>
                <w:szCs w:val="13"/>
              </w:rPr>
              <w:t>Net premium amortization</w:t>
            </w:r>
            <w:r>
              <w:rPr>
                <w:rFonts w:ascii="Arial" w:eastAsia="宋体" w:hAnsi="Arial" w:cs="Arial"/>
                <w:color w:val="000000"/>
                <w:sz w:val="8"/>
                <w:szCs w:val="8"/>
              </w:rPr>
              <w:t>(3)</w:t>
            </w:r>
          </w:p>
        </w:tc>
        <w:tc>
          <w:tcPr>
            <w:tcW w:w="0" w:type="auto"/>
            <w:gridSpan w:val="2"/>
            <w:shd w:val="clear" w:color="auto" w:fill="FFFFFF"/>
            <w:tcMar>
              <w:top w:w="40" w:type="dxa"/>
              <w:left w:w="20" w:type="dxa"/>
              <w:bottom w:w="40" w:type="dxa"/>
              <w:right w:w="0" w:type="dxa"/>
            </w:tcMar>
            <w:vAlign w:val="bottom"/>
          </w:tcPr>
          <w:p w14:paraId="392BFBD1" w14:textId="77777777" w:rsidR="00980E5F" w:rsidRDefault="00483613">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BFB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B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BD4" w14:textId="77777777" w:rsidR="00980E5F" w:rsidRDefault="00483613">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BFB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BD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BD7" w14:textId="77777777" w:rsidR="00980E5F" w:rsidRDefault="00483613">
            <w:pPr>
              <w:jc w:val="right"/>
              <w:textAlignment w:val="bottom"/>
            </w:pPr>
            <w:r>
              <w:rPr>
                <w:rFonts w:ascii="Arial" w:eastAsia="宋体" w:hAnsi="Arial" w:cs="Arial"/>
                <w:b/>
                <w:bCs/>
                <w:color w:val="000000"/>
                <w:sz w:val="13"/>
                <w:szCs w:val="13"/>
              </w:rPr>
              <w:t>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BFB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BD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BDA" w14:textId="77777777" w:rsidR="00980E5F" w:rsidRDefault="00483613">
            <w:pPr>
              <w:jc w:val="right"/>
              <w:textAlignment w:val="bottom"/>
            </w:pPr>
            <w:r>
              <w:rPr>
                <w:rFonts w:ascii="Arial" w:eastAsia="宋体" w:hAnsi="Arial" w:cs="Arial"/>
                <w:color w:val="000000"/>
                <w:sz w:val="13"/>
                <w:szCs w:val="13"/>
              </w:rPr>
              <w:t>101 </w:t>
            </w:r>
          </w:p>
        </w:tc>
        <w:tc>
          <w:tcPr>
            <w:tcW w:w="0" w:type="auto"/>
            <w:shd w:val="clear" w:color="auto" w:fill="FFFFFF"/>
            <w:tcMar>
              <w:top w:w="40" w:type="dxa"/>
              <w:left w:w="0" w:type="dxa"/>
              <w:bottom w:w="40" w:type="dxa"/>
              <w:right w:w="20" w:type="dxa"/>
            </w:tcMar>
            <w:vAlign w:val="bottom"/>
          </w:tcPr>
          <w:p w14:paraId="392BFB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BD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BDD" w14:textId="77777777" w:rsidR="00980E5F" w:rsidRDefault="00483613">
            <w:pPr>
              <w:jc w:val="right"/>
              <w:textAlignment w:val="bottom"/>
            </w:pPr>
            <w:r>
              <w:rPr>
                <w:rFonts w:ascii="Arial" w:eastAsia="宋体" w:hAnsi="Arial" w:cs="Arial"/>
                <w:color w:val="000000"/>
                <w:sz w:val="13"/>
                <w:szCs w:val="13"/>
              </w:rPr>
              <w:t>56 </w:t>
            </w:r>
          </w:p>
        </w:tc>
        <w:tc>
          <w:tcPr>
            <w:tcW w:w="0" w:type="auto"/>
            <w:shd w:val="clear" w:color="auto" w:fill="FFFFFF"/>
            <w:tcMar>
              <w:top w:w="40" w:type="dxa"/>
              <w:left w:w="0" w:type="dxa"/>
              <w:bottom w:w="40" w:type="dxa"/>
              <w:right w:w="20" w:type="dxa"/>
            </w:tcMar>
            <w:vAlign w:val="bottom"/>
          </w:tcPr>
          <w:p w14:paraId="392BFB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B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BE0" w14:textId="77777777" w:rsidR="00980E5F" w:rsidRDefault="00483613">
            <w:pPr>
              <w:jc w:val="right"/>
              <w:textAlignment w:val="bottom"/>
            </w:pPr>
            <w:r>
              <w:rPr>
                <w:rFonts w:ascii="Arial" w:eastAsia="宋体" w:hAnsi="Arial" w:cs="Arial"/>
                <w:color w:val="000000"/>
                <w:sz w:val="13"/>
                <w:szCs w:val="13"/>
              </w:rPr>
              <w:t>157 </w:t>
            </w:r>
          </w:p>
        </w:tc>
        <w:tc>
          <w:tcPr>
            <w:tcW w:w="0" w:type="auto"/>
            <w:shd w:val="clear" w:color="auto" w:fill="FFFFFF"/>
            <w:tcMar>
              <w:top w:w="40" w:type="dxa"/>
              <w:left w:w="0" w:type="dxa"/>
              <w:bottom w:w="40" w:type="dxa"/>
              <w:right w:w="20" w:type="dxa"/>
            </w:tcMar>
            <w:vAlign w:val="bottom"/>
          </w:tcPr>
          <w:p w14:paraId="392BFBE1" w14:textId="77777777" w:rsidR="00980E5F" w:rsidRDefault="00980E5F">
            <w:pPr>
              <w:jc w:val="right"/>
              <w:rPr>
                <w:rFonts w:ascii="宋体"/>
              </w:rPr>
            </w:pPr>
          </w:p>
        </w:tc>
        <w:tc>
          <w:tcPr>
            <w:tcW w:w="0" w:type="auto"/>
            <w:gridSpan w:val="3"/>
            <w:shd w:val="clear" w:color="auto" w:fill="auto"/>
            <w:vAlign w:val="bottom"/>
          </w:tcPr>
          <w:p w14:paraId="392BFBE2" w14:textId="77777777" w:rsidR="00980E5F" w:rsidRDefault="00980E5F">
            <w:pPr>
              <w:rPr>
                <w:rFonts w:ascii="宋体"/>
                <w:vanish/>
              </w:rPr>
            </w:pPr>
          </w:p>
        </w:tc>
        <w:tc>
          <w:tcPr>
            <w:tcW w:w="0" w:type="auto"/>
            <w:gridSpan w:val="3"/>
            <w:shd w:val="clear" w:color="auto" w:fill="auto"/>
            <w:vAlign w:val="bottom"/>
          </w:tcPr>
          <w:p w14:paraId="392BFBE3" w14:textId="77777777" w:rsidR="00980E5F" w:rsidRDefault="00980E5F">
            <w:pPr>
              <w:rPr>
                <w:rFonts w:ascii="宋体"/>
                <w:vanish/>
              </w:rPr>
            </w:pPr>
          </w:p>
        </w:tc>
        <w:tc>
          <w:tcPr>
            <w:tcW w:w="0" w:type="auto"/>
            <w:gridSpan w:val="3"/>
            <w:shd w:val="clear" w:color="auto" w:fill="auto"/>
            <w:vAlign w:val="bottom"/>
          </w:tcPr>
          <w:p w14:paraId="392BFBE4" w14:textId="77777777" w:rsidR="00980E5F" w:rsidRDefault="00980E5F">
            <w:pPr>
              <w:rPr>
                <w:rFonts w:ascii="宋体"/>
                <w:vanish/>
              </w:rPr>
            </w:pPr>
          </w:p>
        </w:tc>
        <w:tc>
          <w:tcPr>
            <w:tcW w:w="0" w:type="auto"/>
            <w:gridSpan w:val="3"/>
            <w:shd w:val="clear" w:color="auto" w:fill="auto"/>
            <w:vAlign w:val="bottom"/>
          </w:tcPr>
          <w:p w14:paraId="392BFBE5" w14:textId="77777777" w:rsidR="00980E5F" w:rsidRDefault="00980E5F">
            <w:pPr>
              <w:rPr>
                <w:rFonts w:ascii="宋体"/>
                <w:vanish/>
              </w:rPr>
            </w:pPr>
          </w:p>
        </w:tc>
        <w:tc>
          <w:tcPr>
            <w:tcW w:w="0" w:type="auto"/>
            <w:gridSpan w:val="3"/>
            <w:shd w:val="clear" w:color="auto" w:fill="auto"/>
            <w:vAlign w:val="bottom"/>
          </w:tcPr>
          <w:p w14:paraId="392BFBE6" w14:textId="77777777" w:rsidR="00980E5F" w:rsidRDefault="00980E5F">
            <w:pPr>
              <w:rPr>
                <w:rFonts w:ascii="宋体"/>
                <w:vanish/>
              </w:rPr>
            </w:pPr>
          </w:p>
        </w:tc>
        <w:tc>
          <w:tcPr>
            <w:tcW w:w="0" w:type="auto"/>
            <w:gridSpan w:val="3"/>
            <w:shd w:val="clear" w:color="auto" w:fill="auto"/>
            <w:vAlign w:val="bottom"/>
          </w:tcPr>
          <w:p w14:paraId="392BFBE7" w14:textId="77777777" w:rsidR="00980E5F" w:rsidRDefault="00980E5F">
            <w:pPr>
              <w:rPr>
                <w:rFonts w:ascii="宋体"/>
                <w:vanish/>
              </w:rPr>
            </w:pPr>
          </w:p>
        </w:tc>
        <w:tc>
          <w:tcPr>
            <w:tcW w:w="0" w:type="auto"/>
            <w:gridSpan w:val="3"/>
            <w:shd w:val="clear" w:color="auto" w:fill="auto"/>
            <w:vAlign w:val="bottom"/>
          </w:tcPr>
          <w:p w14:paraId="392BFBE8" w14:textId="77777777" w:rsidR="00980E5F" w:rsidRDefault="00980E5F">
            <w:pPr>
              <w:rPr>
                <w:rFonts w:ascii="宋体"/>
                <w:vanish/>
              </w:rPr>
            </w:pPr>
          </w:p>
        </w:tc>
        <w:tc>
          <w:tcPr>
            <w:tcW w:w="0" w:type="auto"/>
            <w:gridSpan w:val="3"/>
            <w:shd w:val="clear" w:color="auto" w:fill="auto"/>
            <w:vAlign w:val="bottom"/>
          </w:tcPr>
          <w:p w14:paraId="392BFBE9" w14:textId="77777777" w:rsidR="00980E5F" w:rsidRDefault="00980E5F">
            <w:pPr>
              <w:rPr>
                <w:rFonts w:ascii="宋体"/>
                <w:vanish/>
              </w:rPr>
            </w:pPr>
          </w:p>
        </w:tc>
        <w:tc>
          <w:tcPr>
            <w:tcW w:w="0" w:type="auto"/>
            <w:gridSpan w:val="2"/>
            <w:shd w:val="clear" w:color="auto" w:fill="auto"/>
            <w:vAlign w:val="bottom"/>
          </w:tcPr>
          <w:p w14:paraId="392BFBEA" w14:textId="77777777" w:rsidR="00980E5F" w:rsidRDefault="00980E5F">
            <w:pPr>
              <w:rPr>
                <w:rFonts w:ascii="宋体"/>
                <w:vanish/>
              </w:rPr>
            </w:pPr>
          </w:p>
        </w:tc>
        <w:tc>
          <w:tcPr>
            <w:tcW w:w="0" w:type="auto"/>
            <w:shd w:val="clear" w:color="auto" w:fill="auto"/>
            <w:vAlign w:val="bottom"/>
          </w:tcPr>
          <w:p w14:paraId="392BFBEB" w14:textId="77777777" w:rsidR="00980E5F" w:rsidRDefault="00980E5F">
            <w:pPr>
              <w:rPr>
                <w:rFonts w:ascii="宋体"/>
                <w:vanish/>
              </w:rPr>
            </w:pPr>
          </w:p>
        </w:tc>
      </w:tr>
      <w:tr w:rsidR="00980E5F" w14:paraId="392BFC03" w14:textId="77777777">
        <w:trPr>
          <w:hidden/>
        </w:trPr>
        <w:tc>
          <w:tcPr>
            <w:tcW w:w="0" w:type="auto"/>
            <w:gridSpan w:val="3"/>
            <w:shd w:val="clear" w:color="auto" w:fill="auto"/>
            <w:vAlign w:val="bottom"/>
          </w:tcPr>
          <w:p w14:paraId="392BFBED" w14:textId="77777777" w:rsidR="00980E5F" w:rsidRDefault="00980E5F">
            <w:pPr>
              <w:rPr>
                <w:rFonts w:ascii="宋体"/>
                <w:vanish/>
              </w:rPr>
            </w:pPr>
          </w:p>
        </w:tc>
        <w:tc>
          <w:tcPr>
            <w:tcW w:w="0" w:type="auto"/>
            <w:gridSpan w:val="3"/>
            <w:shd w:val="clear" w:color="auto" w:fill="auto"/>
            <w:vAlign w:val="bottom"/>
          </w:tcPr>
          <w:p w14:paraId="392BFBEE" w14:textId="77777777" w:rsidR="00980E5F" w:rsidRDefault="00980E5F">
            <w:pPr>
              <w:rPr>
                <w:rFonts w:ascii="宋体"/>
                <w:vanish/>
              </w:rPr>
            </w:pPr>
          </w:p>
        </w:tc>
        <w:tc>
          <w:tcPr>
            <w:tcW w:w="0" w:type="auto"/>
            <w:gridSpan w:val="3"/>
            <w:shd w:val="clear" w:color="auto" w:fill="auto"/>
            <w:vAlign w:val="bottom"/>
          </w:tcPr>
          <w:p w14:paraId="392BFBEF" w14:textId="77777777" w:rsidR="00980E5F" w:rsidRDefault="00980E5F">
            <w:pPr>
              <w:rPr>
                <w:rFonts w:ascii="宋体"/>
                <w:vanish/>
              </w:rPr>
            </w:pPr>
          </w:p>
        </w:tc>
        <w:tc>
          <w:tcPr>
            <w:tcW w:w="0" w:type="auto"/>
            <w:gridSpan w:val="3"/>
            <w:shd w:val="clear" w:color="auto" w:fill="auto"/>
            <w:vAlign w:val="bottom"/>
          </w:tcPr>
          <w:p w14:paraId="392BFBF0" w14:textId="77777777" w:rsidR="00980E5F" w:rsidRDefault="00980E5F">
            <w:pPr>
              <w:rPr>
                <w:rFonts w:ascii="宋体"/>
                <w:vanish/>
              </w:rPr>
            </w:pPr>
          </w:p>
        </w:tc>
        <w:tc>
          <w:tcPr>
            <w:tcW w:w="0" w:type="auto"/>
            <w:gridSpan w:val="3"/>
            <w:shd w:val="clear" w:color="auto" w:fill="auto"/>
            <w:vAlign w:val="bottom"/>
          </w:tcPr>
          <w:p w14:paraId="392BFBF1" w14:textId="77777777" w:rsidR="00980E5F" w:rsidRDefault="00980E5F">
            <w:pPr>
              <w:rPr>
                <w:rFonts w:ascii="宋体"/>
                <w:vanish/>
              </w:rPr>
            </w:pPr>
          </w:p>
        </w:tc>
        <w:tc>
          <w:tcPr>
            <w:tcW w:w="0" w:type="auto"/>
            <w:gridSpan w:val="3"/>
            <w:shd w:val="clear" w:color="auto" w:fill="auto"/>
            <w:vAlign w:val="bottom"/>
          </w:tcPr>
          <w:p w14:paraId="392BFBF2" w14:textId="77777777" w:rsidR="00980E5F" w:rsidRDefault="00980E5F">
            <w:pPr>
              <w:rPr>
                <w:rFonts w:ascii="宋体"/>
                <w:vanish/>
              </w:rPr>
            </w:pPr>
          </w:p>
        </w:tc>
        <w:tc>
          <w:tcPr>
            <w:tcW w:w="0" w:type="auto"/>
            <w:gridSpan w:val="3"/>
            <w:shd w:val="clear" w:color="auto" w:fill="auto"/>
            <w:vAlign w:val="bottom"/>
          </w:tcPr>
          <w:p w14:paraId="392BFBF3" w14:textId="77777777" w:rsidR="00980E5F" w:rsidRDefault="00980E5F">
            <w:pPr>
              <w:rPr>
                <w:rFonts w:ascii="宋体"/>
                <w:vanish/>
              </w:rPr>
            </w:pPr>
          </w:p>
        </w:tc>
        <w:tc>
          <w:tcPr>
            <w:tcW w:w="0" w:type="auto"/>
            <w:gridSpan w:val="3"/>
            <w:shd w:val="clear" w:color="auto" w:fill="auto"/>
            <w:vAlign w:val="bottom"/>
          </w:tcPr>
          <w:p w14:paraId="392BFBF4" w14:textId="77777777" w:rsidR="00980E5F" w:rsidRDefault="00980E5F">
            <w:pPr>
              <w:rPr>
                <w:rFonts w:ascii="宋体"/>
                <w:vanish/>
              </w:rPr>
            </w:pPr>
          </w:p>
        </w:tc>
        <w:tc>
          <w:tcPr>
            <w:tcW w:w="0" w:type="auto"/>
            <w:gridSpan w:val="3"/>
            <w:shd w:val="clear" w:color="auto" w:fill="auto"/>
            <w:vAlign w:val="bottom"/>
          </w:tcPr>
          <w:p w14:paraId="392BFBF5" w14:textId="77777777" w:rsidR="00980E5F" w:rsidRDefault="00980E5F">
            <w:pPr>
              <w:rPr>
                <w:rFonts w:ascii="宋体"/>
                <w:vanish/>
              </w:rPr>
            </w:pPr>
          </w:p>
        </w:tc>
        <w:tc>
          <w:tcPr>
            <w:tcW w:w="0" w:type="auto"/>
            <w:gridSpan w:val="3"/>
            <w:shd w:val="clear" w:color="auto" w:fill="auto"/>
            <w:vAlign w:val="bottom"/>
          </w:tcPr>
          <w:p w14:paraId="392BFBF6" w14:textId="77777777" w:rsidR="00980E5F" w:rsidRDefault="00980E5F">
            <w:pPr>
              <w:rPr>
                <w:rFonts w:ascii="宋体"/>
                <w:vanish/>
              </w:rPr>
            </w:pPr>
          </w:p>
        </w:tc>
        <w:tc>
          <w:tcPr>
            <w:tcW w:w="0" w:type="auto"/>
            <w:gridSpan w:val="3"/>
            <w:shd w:val="clear" w:color="auto" w:fill="auto"/>
            <w:vAlign w:val="bottom"/>
          </w:tcPr>
          <w:p w14:paraId="392BFBF7" w14:textId="77777777" w:rsidR="00980E5F" w:rsidRDefault="00980E5F">
            <w:pPr>
              <w:rPr>
                <w:rFonts w:ascii="宋体"/>
                <w:vanish/>
              </w:rPr>
            </w:pPr>
          </w:p>
        </w:tc>
        <w:tc>
          <w:tcPr>
            <w:tcW w:w="0" w:type="auto"/>
            <w:gridSpan w:val="3"/>
            <w:shd w:val="clear" w:color="auto" w:fill="auto"/>
            <w:vAlign w:val="bottom"/>
          </w:tcPr>
          <w:p w14:paraId="392BFBF8" w14:textId="77777777" w:rsidR="00980E5F" w:rsidRDefault="00980E5F">
            <w:pPr>
              <w:rPr>
                <w:rFonts w:ascii="宋体"/>
                <w:vanish/>
              </w:rPr>
            </w:pPr>
          </w:p>
        </w:tc>
        <w:tc>
          <w:tcPr>
            <w:tcW w:w="0" w:type="auto"/>
            <w:gridSpan w:val="3"/>
            <w:shd w:val="clear" w:color="auto" w:fill="auto"/>
            <w:vAlign w:val="bottom"/>
          </w:tcPr>
          <w:p w14:paraId="392BFBF9" w14:textId="77777777" w:rsidR="00980E5F" w:rsidRDefault="00980E5F">
            <w:pPr>
              <w:rPr>
                <w:rFonts w:ascii="宋体"/>
                <w:vanish/>
              </w:rPr>
            </w:pPr>
          </w:p>
        </w:tc>
        <w:tc>
          <w:tcPr>
            <w:tcW w:w="0" w:type="auto"/>
            <w:gridSpan w:val="3"/>
            <w:shd w:val="clear" w:color="auto" w:fill="auto"/>
            <w:vAlign w:val="bottom"/>
          </w:tcPr>
          <w:p w14:paraId="392BFBFA" w14:textId="77777777" w:rsidR="00980E5F" w:rsidRDefault="00980E5F">
            <w:pPr>
              <w:rPr>
                <w:rFonts w:ascii="宋体"/>
                <w:vanish/>
              </w:rPr>
            </w:pPr>
          </w:p>
        </w:tc>
        <w:tc>
          <w:tcPr>
            <w:tcW w:w="0" w:type="auto"/>
            <w:gridSpan w:val="3"/>
            <w:shd w:val="clear" w:color="auto" w:fill="auto"/>
            <w:vAlign w:val="bottom"/>
          </w:tcPr>
          <w:p w14:paraId="392BFBFB" w14:textId="77777777" w:rsidR="00980E5F" w:rsidRDefault="00980E5F">
            <w:pPr>
              <w:rPr>
                <w:rFonts w:ascii="宋体"/>
                <w:vanish/>
              </w:rPr>
            </w:pPr>
          </w:p>
        </w:tc>
        <w:tc>
          <w:tcPr>
            <w:tcW w:w="0" w:type="auto"/>
            <w:gridSpan w:val="3"/>
            <w:shd w:val="clear" w:color="auto" w:fill="auto"/>
            <w:vAlign w:val="bottom"/>
          </w:tcPr>
          <w:p w14:paraId="392BFBFC" w14:textId="77777777" w:rsidR="00980E5F" w:rsidRDefault="00980E5F">
            <w:pPr>
              <w:rPr>
                <w:rFonts w:ascii="宋体"/>
                <w:vanish/>
              </w:rPr>
            </w:pPr>
          </w:p>
        </w:tc>
        <w:tc>
          <w:tcPr>
            <w:tcW w:w="0" w:type="auto"/>
            <w:gridSpan w:val="3"/>
            <w:shd w:val="clear" w:color="auto" w:fill="auto"/>
            <w:vAlign w:val="bottom"/>
          </w:tcPr>
          <w:p w14:paraId="392BFBFD" w14:textId="77777777" w:rsidR="00980E5F" w:rsidRDefault="00980E5F">
            <w:pPr>
              <w:rPr>
                <w:rFonts w:ascii="宋体"/>
                <w:vanish/>
              </w:rPr>
            </w:pPr>
          </w:p>
        </w:tc>
        <w:tc>
          <w:tcPr>
            <w:tcW w:w="0" w:type="auto"/>
            <w:gridSpan w:val="3"/>
            <w:shd w:val="clear" w:color="auto" w:fill="auto"/>
            <w:vAlign w:val="bottom"/>
          </w:tcPr>
          <w:p w14:paraId="392BFBFE" w14:textId="77777777" w:rsidR="00980E5F" w:rsidRDefault="00980E5F">
            <w:pPr>
              <w:rPr>
                <w:rFonts w:ascii="宋体"/>
                <w:vanish/>
              </w:rPr>
            </w:pPr>
          </w:p>
        </w:tc>
        <w:tc>
          <w:tcPr>
            <w:tcW w:w="0" w:type="auto"/>
            <w:gridSpan w:val="3"/>
            <w:shd w:val="clear" w:color="auto" w:fill="auto"/>
            <w:vAlign w:val="bottom"/>
          </w:tcPr>
          <w:p w14:paraId="392BFBFF" w14:textId="77777777" w:rsidR="00980E5F" w:rsidRDefault="00980E5F">
            <w:pPr>
              <w:rPr>
                <w:rFonts w:ascii="宋体"/>
                <w:vanish/>
              </w:rPr>
            </w:pPr>
          </w:p>
        </w:tc>
        <w:tc>
          <w:tcPr>
            <w:tcW w:w="0" w:type="auto"/>
            <w:gridSpan w:val="3"/>
            <w:shd w:val="clear" w:color="auto" w:fill="auto"/>
            <w:vAlign w:val="bottom"/>
          </w:tcPr>
          <w:p w14:paraId="392BFC00" w14:textId="77777777" w:rsidR="00980E5F" w:rsidRDefault="00980E5F">
            <w:pPr>
              <w:rPr>
                <w:rFonts w:ascii="宋体"/>
                <w:vanish/>
              </w:rPr>
            </w:pPr>
          </w:p>
        </w:tc>
        <w:tc>
          <w:tcPr>
            <w:tcW w:w="0" w:type="auto"/>
            <w:gridSpan w:val="2"/>
            <w:shd w:val="clear" w:color="auto" w:fill="auto"/>
            <w:vAlign w:val="bottom"/>
          </w:tcPr>
          <w:p w14:paraId="392BFC01" w14:textId="77777777" w:rsidR="00980E5F" w:rsidRDefault="00980E5F">
            <w:pPr>
              <w:rPr>
                <w:rFonts w:ascii="宋体"/>
                <w:vanish/>
              </w:rPr>
            </w:pPr>
          </w:p>
        </w:tc>
        <w:tc>
          <w:tcPr>
            <w:tcW w:w="0" w:type="auto"/>
            <w:shd w:val="clear" w:color="auto" w:fill="auto"/>
            <w:vAlign w:val="bottom"/>
          </w:tcPr>
          <w:p w14:paraId="392BFC02" w14:textId="77777777" w:rsidR="00980E5F" w:rsidRDefault="00980E5F">
            <w:pPr>
              <w:rPr>
                <w:rFonts w:ascii="宋体"/>
                <w:vanish/>
              </w:rPr>
            </w:pPr>
          </w:p>
        </w:tc>
      </w:tr>
    </w:tbl>
    <w:p w14:paraId="392BFC0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52"/>
        <w:gridCol w:w="36"/>
        <w:gridCol w:w="70"/>
        <w:gridCol w:w="4273"/>
        <w:gridCol w:w="36"/>
      </w:tblGrid>
      <w:tr w:rsidR="00980E5F" w14:paraId="392BFC0B" w14:textId="77777777">
        <w:tc>
          <w:tcPr>
            <w:tcW w:w="50" w:type="pct"/>
            <w:shd w:val="clear" w:color="auto" w:fill="auto"/>
            <w:vAlign w:val="bottom"/>
          </w:tcPr>
          <w:p w14:paraId="392BFC05" w14:textId="77777777" w:rsidR="00980E5F" w:rsidRDefault="00980E5F">
            <w:pPr>
              <w:rPr>
                <w:rFonts w:ascii="宋体"/>
              </w:rPr>
            </w:pPr>
          </w:p>
        </w:tc>
        <w:tc>
          <w:tcPr>
            <w:tcW w:w="2319" w:type="pct"/>
            <w:shd w:val="clear" w:color="auto" w:fill="auto"/>
            <w:vAlign w:val="bottom"/>
          </w:tcPr>
          <w:p w14:paraId="392BFC06" w14:textId="77777777" w:rsidR="00980E5F" w:rsidRDefault="00980E5F">
            <w:pPr>
              <w:rPr>
                <w:rFonts w:ascii="宋体"/>
              </w:rPr>
            </w:pPr>
          </w:p>
        </w:tc>
        <w:tc>
          <w:tcPr>
            <w:tcW w:w="5" w:type="pct"/>
            <w:shd w:val="clear" w:color="auto" w:fill="auto"/>
            <w:vAlign w:val="bottom"/>
          </w:tcPr>
          <w:p w14:paraId="392BFC07" w14:textId="77777777" w:rsidR="00980E5F" w:rsidRDefault="00980E5F">
            <w:pPr>
              <w:rPr>
                <w:rFonts w:ascii="宋体"/>
              </w:rPr>
            </w:pPr>
          </w:p>
        </w:tc>
        <w:tc>
          <w:tcPr>
            <w:tcW w:w="50" w:type="pct"/>
            <w:shd w:val="clear" w:color="auto" w:fill="auto"/>
            <w:vAlign w:val="bottom"/>
          </w:tcPr>
          <w:p w14:paraId="392BFC08" w14:textId="77777777" w:rsidR="00980E5F" w:rsidRDefault="00980E5F">
            <w:pPr>
              <w:rPr>
                <w:rFonts w:ascii="宋体"/>
              </w:rPr>
            </w:pPr>
          </w:p>
        </w:tc>
        <w:tc>
          <w:tcPr>
            <w:tcW w:w="2570" w:type="pct"/>
            <w:shd w:val="clear" w:color="auto" w:fill="auto"/>
            <w:vAlign w:val="bottom"/>
          </w:tcPr>
          <w:p w14:paraId="392BFC09" w14:textId="77777777" w:rsidR="00980E5F" w:rsidRDefault="00980E5F">
            <w:pPr>
              <w:rPr>
                <w:rFonts w:ascii="宋体"/>
              </w:rPr>
            </w:pPr>
          </w:p>
        </w:tc>
        <w:tc>
          <w:tcPr>
            <w:tcW w:w="5" w:type="pct"/>
            <w:shd w:val="clear" w:color="auto" w:fill="auto"/>
            <w:vAlign w:val="bottom"/>
          </w:tcPr>
          <w:p w14:paraId="392BFC0A" w14:textId="77777777" w:rsidR="00980E5F" w:rsidRDefault="00980E5F">
            <w:pPr>
              <w:rPr>
                <w:rFonts w:ascii="宋体"/>
              </w:rPr>
            </w:pPr>
          </w:p>
        </w:tc>
      </w:tr>
      <w:tr w:rsidR="00980E5F" w14:paraId="392BFC0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BFC0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BFC0D" w14:textId="77777777" w:rsidR="00980E5F" w:rsidRDefault="00980E5F">
            <w:pPr>
              <w:rPr>
                <w:rFonts w:ascii="宋体"/>
              </w:rPr>
            </w:pPr>
          </w:p>
        </w:tc>
      </w:tr>
    </w:tbl>
    <w:p w14:paraId="392BFC0F" w14:textId="77777777" w:rsidR="00980E5F" w:rsidRDefault="00483613">
      <w:pPr>
        <w:spacing w:before="6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The investment securities portfolio duration is 2.8 years as of June 30, 2022.</w:t>
      </w:r>
    </w:p>
    <w:p w14:paraId="392BFC10" w14:textId="77777777" w:rsidR="00980E5F" w:rsidRDefault="00483613">
      <w:pPr>
        <w:spacing w:before="90"/>
        <w:jc w:val="both"/>
        <w:textAlignment w:val="top"/>
      </w:pPr>
      <w:r>
        <w:rPr>
          <w:rFonts w:ascii="Arial" w:eastAsia="宋体" w:hAnsi="Arial" w:cs="Arial"/>
          <w:color w:val="000000"/>
          <w:sz w:val="9"/>
          <w:szCs w:val="9"/>
        </w:rPr>
        <w:t>(2)</w:t>
      </w:r>
      <w:r>
        <w:rPr>
          <w:rFonts w:ascii="Arial" w:eastAsia="宋体" w:hAnsi="Arial" w:cs="Arial"/>
          <w:color w:val="000000"/>
          <w:sz w:val="14"/>
          <w:szCs w:val="14"/>
        </w:rPr>
        <w:t xml:space="preserve"> </w:t>
      </w:r>
      <w:r>
        <w:rPr>
          <w:rFonts w:ascii="Arial" w:eastAsia="宋体" w:hAnsi="Arial" w:cs="Arial"/>
          <w:color w:val="000000"/>
          <w:sz w:val="12"/>
          <w:szCs w:val="12"/>
        </w:rPr>
        <w:t xml:space="preserve">Excludes any premium or discounts created from the transfer of investment securities at fair value from AFS to HTM during the second quarter of 2022. </w:t>
      </w:r>
    </w:p>
    <w:p w14:paraId="392BFC11" w14:textId="77777777" w:rsidR="00980E5F" w:rsidRDefault="00483613">
      <w:pPr>
        <w:spacing w:before="60"/>
        <w:jc w:val="both"/>
        <w:textAlignment w:val="top"/>
      </w:pPr>
      <w:r>
        <w:rPr>
          <w:rFonts w:ascii="Arial" w:eastAsia="宋体" w:hAnsi="Arial" w:cs="Arial"/>
          <w:color w:val="000000"/>
          <w:sz w:val="7"/>
          <w:szCs w:val="7"/>
        </w:rPr>
        <w:t xml:space="preserve">(3) </w:t>
      </w:r>
      <w:r>
        <w:rPr>
          <w:rFonts w:ascii="Arial" w:eastAsia="宋体" w:hAnsi="Arial" w:cs="Arial"/>
          <w:color w:val="000000"/>
          <w:sz w:val="12"/>
          <w:szCs w:val="12"/>
        </w:rPr>
        <w:t>Net of discount a</w:t>
      </w:r>
      <w:r>
        <w:rPr>
          <w:rFonts w:ascii="Arial" w:eastAsia="宋体" w:hAnsi="Arial" w:cs="Arial"/>
          <w:color w:val="000000"/>
          <w:sz w:val="12"/>
          <w:szCs w:val="12"/>
        </w:rPr>
        <w:t>ccretion on MMLF HTM securities in 2021.</w:t>
      </w:r>
    </w:p>
    <w:p w14:paraId="392BFC12" w14:textId="77777777" w:rsidR="00980E5F" w:rsidRDefault="00483613">
      <w:pPr>
        <w:ind w:firstLine="450"/>
        <w:jc w:val="right"/>
      </w:pPr>
      <w:r>
        <w:rPr>
          <w:rFonts w:ascii="Arial" w:eastAsia="宋体" w:hAnsi="Arial" w:cs="Arial"/>
          <w:color w:val="000000"/>
          <w:sz w:val="18"/>
          <w:szCs w:val="18"/>
        </w:rPr>
        <w:t>State Street Corporation | 20</w:t>
      </w:r>
    </w:p>
    <w:p w14:paraId="392BFC13" w14:textId="77777777" w:rsidR="00980E5F" w:rsidRDefault="00980E5F">
      <w:pPr>
        <w:ind w:firstLine="450"/>
        <w:jc w:val="center"/>
      </w:pPr>
    </w:p>
    <w:p w14:paraId="392BFC14" w14:textId="77777777" w:rsidR="00980E5F" w:rsidRDefault="00483613">
      <w:r>
        <w:pict w14:anchorId="392CBAE2">
          <v:rect id="_x0000_i1044" style="width:415.3pt;height:1.5pt" o:hralign="center" o:hrstd="t" o:hr="t" fillcolor="#a0a0a0" stroked="f"/>
        </w:pict>
      </w:r>
    </w:p>
    <w:p w14:paraId="392BFC15"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BFC16" w14:textId="77777777" w:rsidR="00980E5F" w:rsidRDefault="00483613">
      <w:pPr>
        <w:ind w:firstLine="450"/>
        <w:jc w:val="center"/>
      </w:pPr>
      <w:r>
        <w:rPr>
          <w:rFonts w:ascii="Arial" w:eastAsia="宋体" w:hAnsi="Arial" w:cs="Arial"/>
          <w:b/>
          <w:bCs/>
          <w:color w:val="000000"/>
          <w:sz w:val="20"/>
          <w:szCs w:val="20"/>
        </w:rPr>
        <w:t>AND RESULTS OF OPERATIONS</w:t>
      </w:r>
    </w:p>
    <w:p w14:paraId="392BFC17" w14:textId="77777777" w:rsidR="00980E5F" w:rsidRDefault="00483613">
      <w:pPr>
        <w:spacing w:before="60"/>
        <w:ind w:firstLine="450"/>
        <w:jc w:val="both"/>
      </w:pPr>
      <w:r>
        <w:rPr>
          <w:rFonts w:ascii="Arial" w:eastAsia="宋体" w:hAnsi="Arial" w:cs="Arial"/>
          <w:color w:val="000000"/>
          <w:sz w:val="20"/>
          <w:szCs w:val="20"/>
        </w:rPr>
        <w:t xml:space="preserve">See Table 14: Average Balances and Interest Rates - Fully Taxable-Equivalent Basis, for the </w:t>
      </w:r>
      <w:r>
        <w:rPr>
          <w:rFonts w:ascii="Arial" w:eastAsia="宋体" w:hAnsi="Arial" w:cs="Arial"/>
          <w:color w:val="000000"/>
          <w:sz w:val="20"/>
          <w:szCs w:val="20"/>
        </w:rPr>
        <w:t>breakout of NII on a FTE basis for the three and six months ended June 30, 2022, compared to the same periods in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2826"/>
        <w:gridCol w:w="36"/>
        <w:gridCol w:w="87"/>
        <w:gridCol w:w="468"/>
        <w:gridCol w:w="36"/>
        <w:gridCol w:w="36"/>
        <w:gridCol w:w="36"/>
        <w:gridCol w:w="36"/>
        <w:gridCol w:w="131"/>
        <w:gridCol w:w="924"/>
        <w:gridCol w:w="37"/>
        <w:gridCol w:w="36"/>
        <w:gridCol w:w="36"/>
        <w:gridCol w:w="36"/>
        <w:gridCol w:w="48"/>
        <w:gridCol w:w="248"/>
        <w:gridCol w:w="128"/>
        <w:gridCol w:w="36"/>
        <w:gridCol w:w="36"/>
        <w:gridCol w:w="36"/>
        <w:gridCol w:w="87"/>
        <w:gridCol w:w="468"/>
        <w:gridCol w:w="36"/>
        <w:gridCol w:w="36"/>
        <w:gridCol w:w="36"/>
        <w:gridCol w:w="36"/>
        <w:gridCol w:w="131"/>
        <w:gridCol w:w="924"/>
        <w:gridCol w:w="36"/>
        <w:gridCol w:w="36"/>
        <w:gridCol w:w="36"/>
        <w:gridCol w:w="36"/>
        <w:gridCol w:w="48"/>
        <w:gridCol w:w="248"/>
        <w:gridCol w:w="12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BFC46" w14:textId="77777777">
        <w:tc>
          <w:tcPr>
            <w:tcW w:w="50" w:type="pct"/>
            <w:shd w:val="clear" w:color="auto" w:fill="auto"/>
            <w:vAlign w:val="bottom"/>
          </w:tcPr>
          <w:p w14:paraId="392BFC18" w14:textId="77777777" w:rsidR="00980E5F" w:rsidRDefault="00980E5F">
            <w:pPr>
              <w:rPr>
                <w:rFonts w:ascii="宋体"/>
              </w:rPr>
            </w:pPr>
          </w:p>
        </w:tc>
        <w:tc>
          <w:tcPr>
            <w:tcW w:w="2503" w:type="pct"/>
            <w:shd w:val="clear" w:color="auto" w:fill="auto"/>
            <w:vAlign w:val="bottom"/>
          </w:tcPr>
          <w:p w14:paraId="392BFC19" w14:textId="77777777" w:rsidR="00980E5F" w:rsidRDefault="00980E5F">
            <w:pPr>
              <w:rPr>
                <w:rFonts w:ascii="宋体"/>
              </w:rPr>
            </w:pPr>
          </w:p>
        </w:tc>
        <w:tc>
          <w:tcPr>
            <w:tcW w:w="5" w:type="pct"/>
            <w:shd w:val="clear" w:color="auto" w:fill="auto"/>
            <w:vAlign w:val="bottom"/>
          </w:tcPr>
          <w:p w14:paraId="392BFC1A" w14:textId="77777777" w:rsidR="00980E5F" w:rsidRDefault="00980E5F">
            <w:pPr>
              <w:rPr>
                <w:rFonts w:ascii="宋体"/>
              </w:rPr>
            </w:pPr>
          </w:p>
        </w:tc>
        <w:tc>
          <w:tcPr>
            <w:tcW w:w="50" w:type="pct"/>
            <w:shd w:val="clear" w:color="auto" w:fill="auto"/>
            <w:vAlign w:val="bottom"/>
          </w:tcPr>
          <w:p w14:paraId="392BFC1B" w14:textId="77777777" w:rsidR="00980E5F" w:rsidRDefault="00980E5F">
            <w:pPr>
              <w:rPr>
                <w:rFonts w:ascii="宋体"/>
              </w:rPr>
            </w:pPr>
          </w:p>
        </w:tc>
        <w:tc>
          <w:tcPr>
            <w:tcW w:w="347" w:type="pct"/>
            <w:shd w:val="clear" w:color="auto" w:fill="auto"/>
            <w:vAlign w:val="bottom"/>
          </w:tcPr>
          <w:p w14:paraId="392BFC1C" w14:textId="77777777" w:rsidR="00980E5F" w:rsidRDefault="00980E5F">
            <w:pPr>
              <w:rPr>
                <w:rFonts w:ascii="宋体"/>
              </w:rPr>
            </w:pPr>
          </w:p>
        </w:tc>
        <w:tc>
          <w:tcPr>
            <w:tcW w:w="5" w:type="pct"/>
            <w:shd w:val="clear" w:color="auto" w:fill="auto"/>
            <w:vAlign w:val="bottom"/>
          </w:tcPr>
          <w:p w14:paraId="392BFC1D" w14:textId="77777777" w:rsidR="00980E5F" w:rsidRDefault="00980E5F">
            <w:pPr>
              <w:rPr>
                <w:rFonts w:ascii="宋体"/>
              </w:rPr>
            </w:pPr>
          </w:p>
        </w:tc>
        <w:tc>
          <w:tcPr>
            <w:tcW w:w="5" w:type="pct"/>
            <w:shd w:val="clear" w:color="auto" w:fill="auto"/>
            <w:vAlign w:val="bottom"/>
          </w:tcPr>
          <w:p w14:paraId="392BFC1E" w14:textId="77777777" w:rsidR="00980E5F" w:rsidRDefault="00980E5F">
            <w:pPr>
              <w:rPr>
                <w:rFonts w:ascii="宋体"/>
              </w:rPr>
            </w:pPr>
          </w:p>
        </w:tc>
        <w:tc>
          <w:tcPr>
            <w:tcW w:w="26" w:type="pct"/>
            <w:shd w:val="clear" w:color="auto" w:fill="auto"/>
            <w:vAlign w:val="bottom"/>
          </w:tcPr>
          <w:p w14:paraId="392BFC1F" w14:textId="77777777" w:rsidR="00980E5F" w:rsidRDefault="00980E5F">
            <w:pPr>
              <w:rPr>
                <w:rFonts w:ascii="宋体"/>
              </w:rPr>
            </w:pPr>
          </w:p>
        </w:tc>
        <w:tc>
          <w:tcPr>
            <w:tcW w:w="5" w:type="pct"/>
            <w:shd w:val="clear" w:color="auto" w:fill="auto"/>
            <w:vAlign w:val="bottom"/>
          </w:tcPr>
          <w:p w14:paraId="392BFC20" w14:textId="77777777" w:rsidR="00980E5F" w:rsidRDefault="00980E5F">
            <w:pPr>
              <w:rPr>
                <w:rFonts w:ascii="宋体"/>
              </w:rPr>
            </w:pPr>
          </w:p>
        </w:tc>
        <w:tc>
          <w:tcPr>
            <w:tcW w:w="50" w:type="pct"/>
            <w:shd w:val="clear" w:color="auto" w:fill="auto"/>
            <w:vAlign w:val="bottom"/>
          </w:tcPr>
          <w:p w14:paraId="392BFC21" w14:textId="77777777" w:rsidR="00980E5F" w:rsidRDefault="00980E5F">
            <w:pPr>
              <w:rPr>
                <w:rFonts w:ascii="宋体"/>
              </w:rPr>
            </w:pPr>
          </w:p>
        </w:tc>
        <w:tc>
          <w:tcPr>
            <w:tcW w:w="354" w:type="pct"/>
            <w:shd w:val="clear" w:color="auto" w:fill="auto"/>
            <w:vAlign w:val="bottom"/>
          </w:tcPr>
          <w:p w14:paraId="392BFC22" w14:textId="77777777" w:rsidR="00980E5F" w:rsidRDefault="00980E5F">
            <w:pPr>
              <w:rPr>
                <w:rFonts w:ascii="宋体"/>
              </w:rPr>
            </w:pPr>
          </w:p>
        </w:tc>
        <w:tc>
          <w:tcPr>
            <w:tcW w:w="5" w:type="pct"/>
            <w:shd w:val="clear" w:color="auto" w:fill="auto"/>
            <w:vAlign w:val="bottom"/>
          </w:tcPr>
          <w:p w14:paraId="392BFC23" w14:textId="77777777" w:rsidR="00980E5F" w:rsidRDefault="00980E5F">
            <w:pPr>
              <w:rPr>
                <w:rFonts w:ascii="宋体"/>
              </w:rPr>
            </w:pPr>
          </w:p>
        </w:tc>
        <w:tc>
          <w:tcPr>
            <w:tcW w:w="5" w:type="pct"/>
            <w:shd w:val="clear" w:color="auto" w:fill="auto"/>
            <w:vAlign w:val="bottom"/>
          </w:tcPr>
          <w:p w14:paraId="392BFC24" w14:textId="77777777" w:rsidR="00980E5F" w:rsidRDefault="00980E5F">
            <w:pPr>
              <w:rPr>
                <w:rFonts w:ascii="宋体"/>
              </w:rPr>
            </w:pPr>
          </w:p>
        </w:tc>
        <w:tc>
          <w:tcPr>
            <w:tcW w:w="26" w:type="pct"/>
            <w:shd w:val="clear" w:color="auto" w:fill="auto"/>
            <w:vAlign w:val="bottom"/>
          </w:tcPr>
          <w:p w14:paraId="392BFC25" w14:textId="77777777" w:rsidR="00980E5F" w:rsidRDefault="00980E5F">
            <w:pPr>
              <w:rPr>
                <w:rFonts w:ascii="宋体"/>
              </w:rPr>
            </w:pPr>
          </w:p>
        </w:tc>
        <w:tc>
          <w:tcPr>
            <w:tcW w:w="5" w:type="pct"/>
            <w:shd w:val="clear" w:color="auto" w:fill="auto"/>
            <w:vAlign w:val="bottom"/>
          </w:tcPr>
          <w:p w14:paraId="392BFC26" w14:textId="77777777" w:rsidR="00980E5F" w:rsidRDefault="00980E5F">
            <w:pPr>
              <w:rPr>
                <w:rFonts w:ascii="宋体"/>
              </w:rPr>
            </w:pPr>
          </w:p>
        </w:tc>
        <w:tc>
          <w:tcPr>
            <w:tcW w:w="50" w:type="pct"/>
            <w:shd w:val="clear" w:color="auto" w:fill="auto"/>
            <w:vAlign w:val="bottom"/>
          </w:tcPr>
          <w:p w14:paraId="392BFC27" w14:textId="77777777" w:rsidR="00980E5F" w:rsidRDefault="00980E5F">
            <w:pPr>
              <w:rPr>
                <w:rFonts w:ascii="宋体"/>
              </w:rPr>
            </w:pPr>
          </w:p>
        </w:tc>
        <w:tc>
          <w:tcPr>
            <w:tcW w:w="259" w:type="pct"/>
            <w:shd w:val="clear" w:color="auto" w:fill="auto"/>
            <w:vAlign w:val="bottom"/>
          </w:tcPr>
          <w:p w14:paraId="392BFC28" w14:textId="77777777" w:rsidR="00980E5F" w:rsidRDefault="00980E5F">
            <w:pPr>
              <w:rPr>
                <w:rFonts w:ascii="宋体"/>
              </w:rPr>
            </w:pPr>
          </w:p>
        </w:tc>
        <w:tc>
          <w:tcPr>
            <w:tcW w:w="5" w:type="pct"/>
            <w:shd w:val="clear" w:color="auto" w:fill="auto"/>
            <w:vAlign w:val="bottom"/>
          </w:tcPr>
          <w:p w14:paraId="392BFC29" w14:textId="77777777" w:rsidR="00980E5F" w:rsidRDefault="00980E5F">
            <w:pPr>
              <w:rPr>
                <w:rFonts w:ascii="宋体"/>
              </w:rPr>
            </w:pPr>
          </w:p>
        </w:tc>
        <w:tc>
          <w:tcPr>
            <w:tcW w:w="5" w:type="pct"/>
            <w:shd w:val="clear" w:color="auto" w:fill="auto"/>
            <w:vAlign w:val="bottom"/>
          </w:tcPr>
          <w:p w14:paraId="392BFC2A" w14:textId="77777777" w:rsidR="00980E5F" w:rsidRDefault="00980E5F">
            <w:pPr>
              <w:rPr>
                <w:rFonts w:ascii="宋体"/>
              </w:rPr>
            </w:pPr>
          </w:p>
        </w:tc>
        <w:tc>
          <w:tcPr>
            <w:tcW w:w="26" w:type="pct"/>
            <w:shd w:val="clear" w:color="auto" w:fill="auto"/>
            <w:vAlign w:val="bottom"/>
          </w:tcPr>
          <w:p w14:paraId="392BFC2B" w14:textId="77777777" w:rsidR="00980E5F" w:rsidRDefault="00980E5F">
            <w:pPr>
              <w:rPr>
                <w:rFonts w:ascii="宋体"/>
              </w:rPr>
            </w:pPr>
          </w:p>
        </w:tc>
        <w:tc>
          <w:tcPr>
            <w:tcW w:w="5" w:type="pct"/>
            <w:shd w:val="clear" w:color="auto" w:fill="auto"/>
            <w:vAlign w:val="bottom"/>
          </w:tcPr>
          <w:p w14:paraId="392BFC2C" w14:textId="77777777" w:rsidR="00980E5F" w:rsidRDefault="00980E5F">
            <w:pPr>
              <w:rPr>
                <w:rFonts w:ascii="宋体"/>
              </w:rPr>
            </w:pPr>
          </w:p>
        </w:tc>
        <w:tc>
          <w:tcPr>
            <w:tcW w:w="50" w:type="pct"/>
            <w:shd w:val="clear" w:color="auto" w:fill="auto"/>
            <w:vAlign w:val="bottom"/>
          </w:tcPr>
          <w:p w14:paraId="392BFC2D" w14:textId="77777777" w:rsidR="00980E5F" w:rsidRDefault="00980E5F">
            <w:pPr>
              <w:rPr>
                <w:rFonts w:ascii="宋体"/>
              </w:rPr>
            </w:pPr>
          </w:p>
        </w:tc>
        <w:tc>
          <w:tcPr>
            <w:tcW w:w="354" w:type="pct"/>
            <w:shd w:val="clear" w:color="auto" w:fill="auto"/>
            <w:vAlign w:val="bottom"/>
          </w:tcPr>
          <w:p w14:paraId="392BFC2E" w14:textId="77777777" w:rsidR="00980E5F" w:rsidRDefault="00980E5F">
            <w:pPr>
              <w:rPr>
                <w:rFonts w:ascii="宋体"/>
              </w:rPr>
            </w:pPr>
          </w:p>
        </w:tc>
        <w:tc>
          <w:tcPr>
            <w:tcW w:w="5" w:type="pct"/>
            <w:shd w:val="clear" w:color="auto" w:fill="auto"/>
            <w:vAlign w:val="bottom"/>
          </w:tcPr>
          <w:p w14:paraId="392BFC2F" w14:textId="77777777" w:rsidR="00980E5F" w:rsidRDefault="00980E5F">
            <w:pPr>
              <w:rPr>
                <w:rFonts w:ascii="宋体"/>
              </w:rPr>
            </w:pPr>
          </w:p>
        </w:tc>
        <w:tc>
          <w:tcPr>
            <w:tcW w:w="5" w:type="pct"/>
            <w:shd w:val="clear" w:color="auto" w:fill="auto"/>
            <w:vAlign w:val="bottom"/>
          </w:tcPr>
          <w:p w14:paraId="392BFC30" w14:textId="77777777" w:rsidR="00980E5F" w:rsidRDefault="00980E5F">
            <w:pPr>
              <w:rPr>
                <w:rFonts w:ascii="宋体"/>
              </w:rPr>
            </w:pPr>
          </w:p>
        </w:tc>
        <w:tc>
          <w:tcPr>
            <w:tcW w:w="26" w:type="pct"/>
            <w:shd w:val="clear" w:color="auto" w:fill="auto"/>
            <w:vAlign w:val="bottom"/>
          </w:tcPr>
          <w:p w14:paraId="392BFC31" w14:textId="77777777" w:rsidR="00980E5F" w:rsidRDefault="00980E5F">
            <w:pPr>
              <w:rPr>
                <w:rFonts w:ascii="宋体"/>
              </w:rPr>
            </w:pPr>
          </w:p>
        </w:tc>
        <w:tc>
          <w:tcPr>
            <w:tcW w:w="5" w:type="pct"/>
            <w:shd w:val="clear" w:color="auto" w:fill="auto"/>
            <w:vAlign w:val="bottom"/>
          </w:tcPr>
          <w:p w14:paraId="392BFC32" w14:textId="77777777" w:rsidR="00980E5F" w:rsidRDefault="00980E5F">
            <w:pPr>
              <w:rPr>
                <w:rFonts w:ascii="宋体"/>
              </w:rPr>
            </w:pPr>
          </w:p>
        </w:tc>
        <w:tc>
          <w:tcPr>
            <w:tcW w:w="50" w:type="pct"/>
            <w:shd w:val="clear" w:color="auto" w:fill="auto"/>
            <w:vAlign w:val="bottom"/>
          </w:tcPr>
          <w:p w14:paraId="392BFC33" w14:textId="77777777" w:rsidR="00980E5F" w:rsidRDefault="00980E5F">
            <w:pPr>
              <w:rPr>
                <w:rFonts w:ascii="宋体"/>
              </w:rPr>
            </w:pPr>
          </w:p>
        </w:tc>
        <w:tc>
          <w:tcPr>
            <w:tcW w:w="354" w:type="pct"/>
            <w:shd w:val="clear" w:color="auto" w:fill="auto"/>
            <w:vAlign w:val="bottom"/>
          </w:tcPr>
          <w:p w14:paraId="392BFC34" w14:textId="77777777" w:rsidR="00980E5F" w:rsidRDefault="00980E5F">
            <w:pPr>
              <w:rPr>
                <w:rFonts w:ascii="宋体"/>
              </w:rPr>
            </w:pPr>
          </w:p>
        </w:tc>
        <w:tc>
          <w:tcPr>
            <w:tcW w:w="5" w:type="pct"/>
            <w:shd w:val="clear" w:color="auto" w:fill="auto"/>
            <w:vAlign w:val="bottom"/>
          </w:tcPr>
          <w:p w14:paraId="392BFC35" w14:textId="77777777" w:rsidR="00980E5F" w:rsidRDefault="00980E5F">
            <w:pPr>
              <w:rPr>
                <w:rFonts w:ascii="宋体"/>
              </w:rPr>
            </w:pPr>
          </w:p>
        </w:tc>
        <w:tc>
          <w:tcPr>
            <w:tcW w:w="5" w:type="pct"/>
            <w:shd w:val="clear" w:color="auto" w:fill="auto"/>
            <w:vAlign w:val="bottom"/>
          </w:tcPr>
          <w:p w14:paraId="392BFC36" w14:textId="77777777" w:rsidR="00980E5F" w:rsidRDefault="00980E5F">
            <w:pPr>
              <w:rPr>
                <w:rFonts w:ascii="宋体"/>
              </w:rPr>
            </w:pPr>
          </w:p>
        </w:tc>
        <w:tc>
          <w:tcPr>
            <w:tcW w:w="26" w:type="pct"/>
            <w:shd w:val="clear" w:color="auto" w:fill="auto"/>
            <w:vAlign w:val="bottom"/>
          </w:tcPr>
          <w:p w14:paraId="392BFC37" w14:textId="77777777" w:rsidR="00980E5F" w:rsidRDefault="00980E5F">
            <w:pPr>
              <w:rPr>
                <w:rFonts w:ascii="宋体"/>
              </w:rPr>
            </w:pPr>
          </w:p>
        </w:tc>
        <w:tc>
          <w:tcPr>
            <w:tcW w:w="5" w:type="pct"/>
            <w:shd w:val="clear" w:color="auto" w:fill="auto"/>
            <w:vAlign w:val="bottom"/>
          </w:tcPr>
          <w:p w14:paraId="392BFC38" w14:textId="77777777" w:rsidR="00980E5F" w:rsidRDefault="00980E5F">
            <w:pPr>
              <w:rPr>
                <w:rFonts w:ascii="宋体"/>
              </w:rPr>
            </w:pPr>
          </w:p>
        </w:tc>
        <w:tc>
          <w:tcPr>
            <w:tcW w:w="50" w:type="pct"/>
            <w:shd w:val="clear" w:color="auto" w:fill="auto"/>
            <w:vAlign w:val="bottom"/>
          </w:tcPr>
          <w:p w14:paraId="392BFC39" w14:textId="77777777" w:rsidR="00980E5F" w:rsidRDefault="00980E5F">
            <w:pPr>
              <w:rPr>
                <w:rFonts w:ascii="宋体"/>
              </w:rPr>
            </w:pPr>
          </w:p>
        </w:tc>
        <w:tc>
          <w:tcPr>
            <w:tcW w:w="259" w:type="pct"/>
            <w:shd w:val="clear" w:color="auto" w:fill="auto"/>
            <w:vAlign w:val="bottom"/>
          </w:tcPr>
          <w:p w14:paraId="392BFC3A" w14:textId="77777777" w:rsidR="00980E5F" w:rsidRDefault="00980E5F">
            <w:pPr>
              <w:rPr>
                <w:rFonts w:ascii="宋体"/>
              </w:rPr>
            </w:pPr>
          </w:p>
        </w:tc>
        <w:tc>
          <w:tcPr>
            <w:tcW w:w="5" w:type="pct"/>
            <w:shd w:val="clear" w:color="auto" w:fill="auto"/>
            <w:vAlign w:val="bottom"/>
          </w:tcPr>
          <w:p w14:paraId="392BFC3B" w14:textId="77777777" w:rsidR="00980E5F" w:rsidRDefault="00980E5F">
            <w:pPr>
              <w:rPr>
                <w:rFonts w:ascii="宋体"/>
              </w:rPr>
            </w:pPr>
          </w:p>
        </w:tc>
        <w:tc>
          <w:tcPr>
            <w:tcW w:w="0" w:type="auto"/>
            <w:shd w:val="clear" w:color="auto" w:fill="auto"/>
            <w:vAlign w:val="bottom"/>
          </w:tcPr>
          <w:p w14:paraId="392BFC3C" w14:textId="77777777" w:rsidR="00980E5F" w:rsidRDefault="00980E5F">
            <w:pPr>
              <w:rPr>
                <w:rFonts w:ascii="宋体"/>
                <w:vanish/>
              </w:rPr>
            </w:pPr>
          </w:p>
        </w:tc>
        <w:tc>
          <w:tcPr>
            <w:tcW w:w="0" w:type="auto"/>
            <w:shd w:val="clear" w:color="auto" w:fill="auto"/>
            <w:vAlign w:val="bottom"/>
          </w:tcPr>
          <w:p w14:paraId="392BFC3D" w14:textId="77777777" w:rsidR="00980E5F" w:rsidRDefault="00980E5F">
            <w:pPr>
              <w:rPr>
                <w:rFonts w:ascii="宋体"/>
                <w:vanish/>
              </w:rPr>
            </w:pPr>
          </w:p>
        </w:tc>
        <w:tc>
          <w:tcPr>
            <w:tcW w:w="0" w:type="auto"/>
            <w:shd w:val="clear" w:color="auto" w:fill="auto"/>
            <w:vAlign w:val="bottom"/>
          </w:tcPr>
          <w:p w14:paraId="392BFC3E" w14:textId="77777777" w:rsidR="00980E5F" w:rsidRDefault="00980E5F">
            <w:pPr>
              <w:rPr>
                <w:rFonts w:ascii="宋体"/>
                <w:vanish/>
              </w:rPr>
            </w:pPr>
          </w:p>
        </w:tc>
        <w:tc>
          <w:tcPr>
            <w:tcW w:w="0" w:type="auto"/>
            <w:shd w:val="clear" w:color="auto" w:fill="auto"/>
            <w:vAlign w:val="bottom"/>
          </w:tcPr>
          <w:p w14:paraId="392BFC3F" w14:textId="77777777" w:rsidR="00980E5F" w:rsidRDefault="00980E5F">
            <w:pPr>
              <w:rPr>
                <w:rFonts w:ascii="宋体"/>
                <w:vanish/>
              </w:rPr>
            </w:pPr>
          </w:p>
        </w:tc>
        <w:tc>
          <w:tcPr>
            <w:tcW w:w="0" w:type="auto"/>
            <w:gridSpan w:val="3"/>
            <w:shd w:val="clear" w:color="auto" w:fill="auto"/>
            <w:vAlign w:val="bottom"/>
          </w:tcPr>
          <w:p w14:paraId="392BFC40" w14:textId="77777777" w:rsidR="00980E5F" w:rsidRDefault="00980E5F">
            <w:pPr>
              <w:rPr>
                <w:rFonts w:ascii="宋体"/>
                <w:vanish/>
              </w:rPr>
            </w:pPr>
          </w:p>
        </w:tc>
        <w:tc>
          <w:tcPr>
            <w:tcW w:w="0" w:type="auto"/>
            <w:gridSpan w:val="3"/>
            <w:shd w:val="clear" w:color="auto" w:fill="auto"/>
            <w:vAlign w:val="bottom"/>
          </w:tcPr>
          <w:p w14:paraId="392BFC41" w14:textId="77777777" w:rsidR="00980E5F" w:rsidRDefault="00980E5F">
            <w:pPr>
              <w:rPr>
                <w:rFonts w:ascii="宋体"/>
                <w:vanish/>
              </w:rPr>
            </w:pPr>
          </w:p>
        </w:tc>
        <w:tc>
          <w:tcPr>
            <w:tcW w:w="0" w:type="auto"/>
            <w:gridSpan w:val="3"/>
            <w:shd w:val="clear" w:color="auto" w:fill="auto"/>
            <w:vAlign w:val="bottom"/>
          </w:tcPr>
          <w:p w14:paraId="392BFC42" w14:textId="77777777" w:rsidR="00980E5F" w:rsidRDefault="00980E5F">
            <w:pPr>
              <w:rPr>
                <w:rFonts w:ascii="宋体"/>
                <w:vanish/>
              </w:rPr>
            </w:pPr>
          </w:p>
        </w:tc>
        <w:tc>
          <w:tcPr>
            <w:tcW w:w="0" w:type="auto"/>
            <w:gridSpan w:val="3"/>
            <w:shd w:val="clear" w:color="auto" w:fill="auto"/>
            <w:vAlign w:val="bottom"/>
          </w:tcPr>
          <w:p w14:paraId="392BFC43" w14:textId="77777777" w:rsidR="00980E5F" w:rsidRDefault="00980E5F">
            <w:pPr>
              <w:rPr>
                <w:rFonts w:ascii="宋体"/>
                <w:vanish/>
              </w:rPr>
            </w:pPr>
          </w:p>
        </w:tc>
        <w:tc>
          <w:tcPr>
            <w:tcW w:w="0" w:type="auto"/>
            <w:gridSpan w:val="2"/>
            <w:shd w:val="clear" w:color="auto" w:fill="auto"/>
            <w:vAlign w:val="bottom"/>
          </w:tcPr>
          <w:p w14:paraId="392BFC44" w14:textId="77777777" w:rsidR="00980E5F" w:rsidRDefault="00980E5F">
            <w:pPr>
              <w:rPr>
                <w:rFonts w:ascii="宋体"/>
                <w:vanish/>
              </w:rPr>
            </w:pPr>
          </w:p>
        </w:tc>
        <w:tc>
          <w:tcPr>
            <w:tcW w:w="0" w:type="auto"/>
            <w:shd w:val="clear" w:color="auto" w:fill="auto"/>
            <w:vAlign w:val="bottom"/>
          </w:tcPr>
          <w:p w14:paraId="392BFC45" w14:textId="77777777" w:rsidR="00980E5F" w:rsidRDefault="00980E5F">
            <w:pPr>
              <w:rPr>
                <w:rFonts w:ascii="宋体"/>
                <w:vanish/>
              </w:rPr>
            </w:pPr>
          </w:p>
        </w:tc>
      </w:tr>
      <w:tr w:rsidR="00980E5F" w14:paraId="392BFC57" w14:textId="77777777">
        <w:tc>
          <w:tcPr>
            <w:tcW w:w="0" w:type="auto"/>
            <w:gridSpan w:val="36"/>
            <w:shd w:val="clear" w:color="auto" w:fill="auto"/>
            <w:tcMar>
              <w:top w:w="40" w:type="dxa"/>
              <w:left w:w="20" w:type="dxa"/>
              <w:bottom w:w="40" w:type="dxa"/>
              <w:right w:w="20" w:type="dxa"/>
            </w:tcMar>
            <w:vAlign w:val="bottom"/>
          </w:tcPr>
          <w:p w14:paraId="392BFC47" w14:textId="77777777" w:rsidR="00980E5F" w:rsidRDefault="00483613">
            <w:pPr>
              <w:textAlignment w:val="bottom"/>
            </w:pPr>
            <w:r>
              <w:rPr>
                <w:rFonts w:ascii="Arial" w:eastAsia="宋体" w:hAnsi="Arial" w:cs="Arial"/>
                <w:b/>
                <w:bCs/>
                <w:color w:val="000000"/>
                <w:sz w:val="16"/>
                <w:szCs w:val="16"/>
              </w:rPr>
              <w:t xml:space="preserve">TABLE 14: AVERAGE BALANCES AND INTEREST </w:t>
            </w:r>
            <w:r>
              <w:rPr>
                <w:rFonts w:ascii="Arial" w:eastAsia="宋体" w:hAnsi="Arial" w:cs="Arial"/>
                <w:b/>
                <w:bCs/>
                <w:color w:val="000000"/>
                <w:sz w:val="16"/>
                <w:szCs w:val="16"/>
              </w:rPr>
              <w:t>RATES - FULLY TAXABLE-EQUIVALENT BASIS</w:t>
            </w:r>
            <w:r>
              <w:rPr>
                <w:rFonts w:ascii="Arial" w:eastAsia="宋体" w:hAnsi="Arial" w:cs="Arial"/>
                <w:b/>
                <w:bCs/>
                <w:color w:val="000000"/>
                <w:sz w:val="10"/>
                <w:szCs w:val="10"/>
              </w:rPr>
              <w:t>(1)</w:t>
            </w:r>
          </w:p>
        </w:tc>
        <w:tc>
          <w:tcPr>
            <w:tcW w:w="0" w:type="auto"/>
            <w:shd w:val="clear" w:color="auto" w:fill="auto"/>
            <w:vAlign w:val="bottom"/>
          </w:tcPr>
          <w:p w14:paraId="392BFC48" w14:textId="77777777" w:rsidR="00980E5F" w:rsidRDefault="00980E5F">
            <w:pPr>
              <w:rPr>
                <w:rFonts w:ascii="宋体"/>
                <w:vanish/>
              </w:rPr>
            </w:pPr>
          </w:p>
        </w:tc>
        <w:tc>
          <w:tcPr>
            <w:tcW w:w="0" w:type="auto"/>
            <w:shd w:val="clear" w:color="auto" w:fill="auto"/>
            <w:vAlign w:val="bottom"/>
          </w:tcPr>
          <w:p w14:paraId="392BFC49" w14:textId="77777777" w:rsidR="00980E5F" w:rsidRDefault="00980E5F">
            <w:pPr>
              <w:rPr>
                <w:rFonts w:ascii="宋体"/>
                <w:vanish/>
              </w:rPr>
            </w:pPr>
          </w:p>
        </w:tc>
        <w:tc>
          <w:tcPr>
            <w:tcW w:w="0" w:type="auto"/>
            <w:shd w:val="clear" w:color="auto" w:fill="auto"/>
            <w:vAlign w:val="bottom"/>
          </w:tcPr>
          <w:p w14:paraId="392BFC4A" w14:textId="77777777" w:rsidR="00980E5F" w:rsidRDefault="00980E5F">
            <w:pPr>
              <w:rPr>
                <w:rFonts w:ascii="宋体"/>
                <w:vanish/>
              </w:rPr>
            </w:pPr>
          </w:p>
        </w:tc>
        <w:tc>
          <w:tcPr>
            <w:tcW w:w="0" w:type="auto"/>
            <w:shd w:val="clear" w:color="auto" w:fill="auto"/>
            <w:vAlign w:val="bottom"/>
          </w:tcPr>
          <w:p w14:paraId="392BFC4B" w14:textId="77777777" w:rsidR="00980E5F" w:rsidRDefault="00980E5F">
            <w:pPr>
              <w:rPr>
                <w:rFonts w:ascii="宋体"/>
                <w:vanish/>
              </w:rPr>
            </w:pPr>
          </w:p>
        </w:tc>
        <w:tc>
          <w:tcPr>
            <w:tcW w:w="0" w:type="auto"/>
            <w:gridSpan w:val="3"/>
            <w:shd w:val="clear" w:color="auto" w:fill="auto"/>
            <w:vAlign w:val="bottom"/>
          </w:tcPr>
          <w:p w14:paraId="392BFC4C" w14:textId="77777777" w:rsidR="00980E5F" w:rsidRDefault="00980E5F">
            <w:pPr>
              <w:rPr>
                <w:rFonts w:ascii="宋体"/>
                <w:vanish/>
              </w:rPr>
            </w:pPr>
          </w:p>
        </w:tc>
        <w:tc>
          <w:tcPr>
            <w:tcW w:w="0" w:type="auto"/>
            <w:gridSpan w:val="3"/>
            <w:shd w:val="clear" w:color="auto" w:fill="auto"/>
            <w:vAlign w:val="bottom"/>
          </w:tcPr>
          <w:p w14:paraId="392BFC4D" w14:textId="77777777" w:rsidR="00980E5F" w:rsidRDefault="00980E5F">
            <w:pPr>
              <w:rPr>
                <w:rFonts w:ascii="宋体"/>
                <w:vanish/>
              </w:rPr>
            </w:pPr>
          </w:p>
        </w:tc>
        <w:tc>
          <w:tcPr>
            <w:tcW w:w="0" w:type="auto"/>
            <w:shd w:val="clear" w:color="auto" w:fill="auto"/>
            <w:vAlign w:val="bottom"/>
          </w:tcPr>
          <w:p w14:paraId="392BFC4E" w14:textId="77777777" w:rsidR="00980E5F" w:rsidRDefault="00980E5F">
            <w:pPr>
              <w:rPr>
                <w:rFonts w:ascii="宋体"/>
              </w:rPr>
            </w:pPr>
          </w:p>
        </w:tc>
        <w:tc>
          <w:tcPr>
            <w:tcW w:w="0" w:type="auto"/>
            <w:shd w:val="clear" w:color="auto" w:fill="auto"/>
            <w:vAlign w:val="bottom"/>
          </w:tcPr>
          <w:p w14:paraId="392BFC4F" w14:textId="77777777" w:rsidR="00980E5F" w:rsidRDefault="00980E5F">
            <w:pPr>
              <w:rPr>
                <w:rFonts w:ascii="宋体"/>
              </w:rPr>
            </w:pPr>
          </w:p>
        </w:tc>
        <w:tc>
          <w:tcPr>
            <w:tcW w:w="0" w:type="auto"/>
            <w:shd w:val="clear" w:color="auto" w:fill="auto"/>
            <w:vAlign w:val="bottom"/>
          </w:tcPr>
          <w:p w14:paraId="392BFC50" w14:textId="77777777" w:rsidR="00980E5F" w:rsidRDefault="00980E5F">
            <w:pPr>
              <w:rPr>
                <w:rFonts w:ascii="宋体"/>
              </w:rPr>
            </w:pPr>
          </w:p>
        </w:tc>
        <w:tc>
          <w:tcPr>
            <w:tcW w:w="0" w:type="auto"/>
            <w:shd w:val="clear" w:color="auto" w:fill="auto"/>
            <w:vAlign w:val="bottom"/>
          </w:tcPr>
          <w:p w14:paraId="392BFC51" w14:textId="77777777" w:rsidR="00980E5F" w:rsidRDefault="00980E5F">
            <w:pPr>
              <w:rPr>
                <w:rFonts w:ascii="宋体"/>
              </w:rPr>
            </w:pPr>
          </w:p>
        </w:tc>
        <w:tc>
          <w:tcPr>
            <w:tcW w:w="0" w:type="auto"/>
            <w:shd w:val="clear" w:color="auto" w:fill="auto"/>
            <w:vAlign w:val="bottom"/>
          </w:tcPr>
          <w:p w14:paraId="392BFC52" w14:textId="77777777" w:rsidR="00980E5F" w:rsidRDefault="00980E5F">
            <w:pPr>
              <w:rPr>
                <w:rFonts w:ascii="宋体"/>
              </w:rPr>
            </w:pPr>
          </w:p>
        </w:tc>
        <w:tc>
          <w:tcPr>
            <w:tcW w:w="0" w:type="auto"/>
            <w:shd w:val="clear" w:color="auto" w:fill="auto"/>
            <w:vAlign w:val="bottom"/>
          </w:tcPr>
          <w:p w14:paraId="392BFC53" w14:textId="77777777" w:rsidR="00980E5F" w:rsidRDefault="00980E5F">
            <w:pPr>
              <w:rPr>
                <w:rFonts w:ascii="宋体"/>
              </w:rPr>
            </w:pPr>
          </w:p>
        </w:tc>
        <w:tc>
          <w:tcPr>
            <w:tcW w:w="0" w:type="auto"/>
            <w:shd w:val="clear" w:color="auto" w:fill="auto"/>
            <w:vAlign w:val="bottom"/>
          </w:tcPr>
          <w:p w14:paraId="392BFC54" w14:textId="77777777" w:rsidR="00980E5F" w:rsidRDefault="00980E5F">
            <w:pPr>
              <w:rPr>
                <w:rFonts w:ascii="宋体"/>
              </w:rPr>
            </w:pPr>
          </w:p>
        </w:tc>
        <w:tc>
          <w:tcPr>
            <w:tcW w:w="0" w:type="auto"/>
            <w:shd w:val="clear" w:color="auto" w:fill="auto"/>
            <w:vAlign w:val="bottom"/>
          </w:tcPr>
          <w:p w14:paraId="392BFC55" w14:textId="77777777" w:rsidR="00980E5F" w:rsidRDefault="00980E5F">
            <w:pPr>
              <w:rPr>
                <w:rFonts w:ascii="宋体"/>
              </w:rPr>
            </w:pPr>
          </w:p>
        </w:tc>
        <w:tc>
          <w:tcPr>
            <w:tcW w:w="0" w:type="auto"/>
            <w:shd w:val="clear" w:color="auto" w:fill="auto"/>
            <w:vAlign w:val="bottom"/>
          </w:tcPr>
          <w:p w14:paraId="392BFC56" w14:textId="77777777" w:rsidR="00980E5F" w:rsidRDefault="00980E5F">
            <w:pPr>
              <w:rPr>
                <w:rFonts w:ascii="宋体"/>
              </w:rPr>
            </w:pPr>
          </w:p>
        </w:tc>
      </w:tr>
      <w:tr w:rsidR="00980E5F" w14:paraId="392BFC64" w14:textId="77777777">
        <w:tc>
          <w:tcPr>
            <w:tcW w:w="0" w:type="auto"/>
            <w:gridSpan w:val="3"/>
            <w:shd w:val="clear" w:color="auto" w:fill="auto"/>
            <w:tcMar>
              <w:top w:w="0" w:type="dxa"/>
              <w:left w:w="20" w:type="dxa"/>
              <w:bottom w:w="0" w:type="dxa"/>
              <w:right w:w="20" w:type="dxa"/>
            </w:tcMar>
            <w:vAlign w:val="bottom"/>
          </w:tcPr>
          <w:p w14:paraId="392BFC58"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BFC59" w14:textId="77777777" w:rsidR="00980E5F" w:rsidRDefault="00483613">
            <w:pPr>
              <w:jc w:val="center"/>
              <w:textAlignment w:val="bottom"/>
            </w:pPr>
            <w:r>
              <w:rPr>
                <w:rFonts w:ascii="Arial" w:eastAsia="宋体" w:hAnsi="Arial" w:cs="Arial"/>
                <w:b/>
                <w:bCs/>
                <w:color w:val="000000"/>
                <w:sz w:val="12"/>
                <w:szCs w:val="12"/>
              </w:rPr>
              <w:t>Three Months Ended June 30,</w:t>
            </w:r>
          </w:p>
        </w:tc>
        <w:tc>
          <w:tcPr>
            <w:tcW w:w="0" w:type="auto"/>
            <w:shd w:val="clear" w:color="auto" w:fill="auto"/>
            <w:vAlign w:val="bottom"/>
          </w:tcPr>
          <w:p w14:paraId="392BFC5A" w14:textId="77777777" w:rsidR="00980E5F" w:rsidRDefault="00980E5F">
            <w:pPr>
              <w:rPr>
                <w:rFonts w:ascii="宋体"/>
                <w:vanish/>
              </w:rPr>
            </w:pPr>
          </w:p>
        </w:tc>
        <w:tc>
          <w:tcPr>
            <w:tcW w:w="0" w:type="auto"/>
            <w:shd w:val="clear" w:color="auto" w:fill="auto"/>
            <w:vAlign w:val="bottom"/>
          </w:tcPr>
          <w:p w14:paraId="392BFC5B" w14:textId="77777777" w:rsidR="00980E5F" w:rsidRDefault="00980E5F">
            <w:pPr>
              <w:rPr>
                <w:rFonts w:ascii="宋体"/>
                <w:vanish/>
              </w:rPr>
            </w:pPr>
          </w:p>
        </w:tc>
        <w:tc>
          <w:tcPr>
            <w:tcW w:w="0" w:type="auto"/>
            <w:shd w:val="clear" w:color="auto" w:fill="auto"/>
            <w:vAlign w:val="bottom"/>
          </w:tcPr>
          <w:p w14:paraId="392BFC5C" w14:textId="77777777" w:rsidR="00980E5F" w:rsidRDefault="00980E5F">
            <w:pPr>
              <w:rPr>
                <w:rFonts w:ascii="宋体"/>
                <w:vanish/>
              </w:rPr>
            </w:pPr>
          </w:p>
        </w:tc>
        <w:tc>
          <w:tcPr>
            <w:tcW w:w="0" w:type="auto"/>
            <w:shd w:val="clear" w:color="auto" w:fill="auto"/>
            <w:vAlign w:val="bottom"/>
          </w:tcPr>
          <w:p w14:paraId="392BFC5D" w14:textId="77777777" w:rsidR="00980E5F" w:rsidRDefault="00980E5F">
            <w:pPr>
              <w:rPr>
                <w:rFonts w:ascii="宋体"/>
                <w:vanish/>
              </w:rPr>
            </w:pPr>
          </w:p>
        </w:tc>
        <w:tc>
          <w:tcPr>
            <w:tcW w:w="0" w:type="auto"/>
            <w:gridSpan w:val="3"/>
            <w:shd w:val="clear" w:color="auto" w:fill="auto"/>
            <w:vAlign w:val="bottom"/>
          </w:tcPr>
          <w:p w14:paraId="392BFC5E" w14:textId="77777777" w:rsidR="00980E5F" w:rsidRDefault="00980E5F">
            <w:pPr>
              <w:rPr>
                <w:rFonts w:ascii="宋体"/>
                <w:vanish/>
              </w:rPr>
            </w:pPr>
          </w:p>
        </w:tc>
        <w:tc>
          <w:tcPr>
            <w:tcW w:w="0" w:type="auto"/>
            <w:gridSpan w:val="3"/>
            <w:shd w:val="clear" w:color="auto" w:fill="auto"/>
            <w:vAlign w:val="bottom"/>
          </w:tcPr>
          <w:p w14:paraId="392BFC5F" w14:textId="77777777" w:rsidR="00980E5F" w:rsidRDefault="00980E5F">
            <w:pPr>
              <w:rPr>
                <w:rFonts w:ascii="宋体"/>
                <w:vanish/>
              </w:rPr>
            </w:pPr>
          </w:p>
        </w:tc>
        <w:tc>
          <w:tcPr>
            <w:tcW w:w="0" w:type="auto"/>
            <w:gridSpan w:val="3"/>
            <w:shd w:val="clear" w:color="auto" w:fill="auto"/>
            <w:vAlign w:val="bottom"/>
          </w:tcPr>
          <w:p w14:paraId="392BFC60" w14:textId="77777777" w:rsidR="00980E5F" w:rsidRDefault="00980E5F">
            <w:pPr>
              <w:rPr>
                <w:rFonts w:ascii="宋体"/>
                <w:vanish/>
              </w:rPr>
            </w:pPr>
          </w:p>
        </w:tc>
        <w:tc>
          <w:tcPr>
            <w:tcW w:w="0" w:type="auto"/>
            <w:gridSpan w:val="3"/>
            <w:shd w:val="clear" w:color="auto" w:fill="auto"/>
            <w:vAlign w:val="bottom"/>
          </w:tcPr>
          <w:p w14:paraId="392BFC61" w14:textId="77777777" w:rsidR="00980E5F" w:rsidRDefault="00980E5F">
            <w:pPr>
              <w:rPr>
                <w:rFonts w:ascii="宋体"/>
                <w:vanish/>
              </w:rPr>
            </w:pPr>
          </w:p>
        </w:tc>
        <w:tc>
          <w:tcPr>
            <w:tcW w:w="0" w:type="auto"/>
            <w:gridSpan w:val="2"/>
            <w:shd w:val="clear" w:color="auto" w:fill="auto"/>
            <w:vAlign w:val="bottom"/>
          </w:tcPr>
          <w:p w14:paraId="392BFC62" w14:textId="77777777" w:rsidR="00980E5F" w:rsidRDefault="00980E5F">
            <w:pPr>
              <w:rPr>
                <w:rFonts w:ascii="宋体"/>
                <w:vanish/>
              </w:rPr>
            </w:pPr>
          </w:p>
        </w:tc>
        <w:tc>
          <w:tcPr>
            <w:tcW w:w="0" w:type="auto"/>
            <w:shd w:val="clear" w:color="auto" w:fill="auto"/>
            <w:vAlign w:val="bottom"/>
          </w:tcPr>
          <w:p w14:paraId="392BFC63" w14:textId="77777777" w:rsidR="00980E5F" w:rsidRDefault="00980E5F">
            <w:pPr>
              <w:rPr>
                <w:rFonts w:ascii="宋体"/>
                <w:vanish/>
              </w:rPr>
            </w:pPr>
          </w:p>
        </w:tc>
      </w:tr>
      <w:tr w:rsidR="00980E5F" w14:paraId="392BFC74" w14:textId="77777777">
        <w:tc>
          <w:tcPr>
            <w:tcW w:w="0" w:type="auto"/>
            <w:gridSpan w:val="3"/>
            <w:shd w:val="clear" w:color="auto" w:fill="auto"/>
            <w:tcMar>
              <w:top w:w="0" w:type="dxa"/>
              <w:left w:w="20" w:type="dxa"/>
              <w:bottom w:w="0" w:type="dxa"/>
              <w:right w:w="20" w:type="dxa"/>
            </w:tcMar>
            <w:vAlign w:val="bottom"/>
          </w:tcPr>
          <w:p w14:paraId="392BFC65"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C66" w14:textId="77777777" w:rsidR="00980E5F" w:rsidRDefault="00483613">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C67"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C68" w14:textId="77777777" w:rsidR="00980E5F" w:rsidRDefault="00483613">
            <w:pPr>
              <w:jc w:val="center"/>
              <w:textAlignment w:val="bottom"/>
            </w:pPr>
            <w:r>
              <w:rPr>
                <w:rFonts w:ascii="Arial" w:eastAsia="宋体" w:hAnsi="Arial" w:cs="Arial"/>
                <w:b/>
                <w:bCs/>
                <w:color w:val="000000"/>
                <w:sz w:val="12"/>
                <w:szCs w:val="12"/>
              </w:rPr>
              <w:t>2021</w:t>
            </w:r>
          </w:p>
        </w:tc>
        <w:tc>
          <w:tcPr>
            <w:tcW w:w="0" w:type="auto"/>
            <w:shd w:val="clear" w:color="auto" w:fill="auto"/>
            <w:vAlign w:val="bottom"/>
          </w:tcPr>
          <w:p w14:paraId="392BFC69" w14:textId="77777777" w:rsidR="00980E5F" w:rsidRDefault="00980E5F">
            <w:pPr>
              <w:rPr>
                <w:rFonts w:ascii="宋体"/>
                <w:vanish/>
              </w:rPr>
            </w:pPr>
          </w:p>
        </w:tc>
        <w:tc>
          <w:tcPr>
            <w:tcW w:w="0" w:type="auto"/>
            <w:shd w:val="clear" w:color="auto" w:fill="auto"/>
            <w:vAlign w:val="bottom"/>
          </w:tcPr>
          <w:p w14:paraId="392BFC6A" w14:textId="77777777" w:rsidR="00980E5F" w:rsidRDefault="00980E5F">
            <w:pPr>
              <w:rPr>
                <w:rFonts w:ascii="宋体"/>
                <w:vanish/>
              </w:rPr>
            </w:pPr>
          </w:p>
        </w:tc>
        <w:tc>
          <w:tcPr>
            <w:tcW w:w="0" w:type="auto"/>
            <w:shd w:val="clear" w:color="auto" w:fill="auto"/>
            <w:vAlign w:val="bottom"/>
          </w:tcPr>
          <w:p w14:paraId="392BFC6B" w14:textId="77777777" w:rsidR="00980E5F" w:rsidRDefault="00980E5F">
            <w:pPr>
              <w:rPr>
                <w:rFonts w:ascii="宋体"/>
                <w:vanish/>
              </w:rPr>
            </w:pPr>
          </w:p>
        </w:tc>
        <w:tc>
          <w:tcPr>
            <w:tcW w:w="0" w:type="auto"/>
            <w:shd w:val="clear" w:color="auto" w:fill="auto"/>
            <w:vAlign w:val="bottom"/>
          </w:tcPr>
          <w:p w14:paraId="392BFC6C" w14:textId="77777777" w:rsidR="00980E5F" w:rsidRDefault="00980E5F">
            <w:pPr>
              <w:rPr>
                <w:rFonts w:ascii="宋体"/>
                <w:vanish/>
              </w:rPr>
            </w:pPr>
          </w:p>
        </w:tc>
        <w:tc>
          <w:tcPr>
            <w:tcW w:w="0" w:type="auto"/>
            <w:gridSpan w:val="3"/>
            <w:shd w:val="clear" w:color="auto" w:fill="auto"/>
            <w:vAlign w:val="bottom"/>
          </w:tcPr>
          <w:p w14:paraId="392BFC6D" w14:textId="77777777" w:rsidR="00980E5F" w:rsidRDefault="00980E5F">
            <w:pPr>
              <w:rPr>
                <w:rFonts w:ascii="宋体"/>
                <w:vanish/>
              </w:rPr>
            </w:pPr>
          </w:p>
        </w:tc>
        <w:tc>
          <w:tcPr>
            <w:tcW w:w="0" w:type="auto"/>
            <w:gridSpan w:val="3"/>
            <w:shd w:val="clear" w:color="auto" w:fill="auto"/>
            <w:vAlign w:val="bottom"/>
          </w:tcPr>
          <w:p w14:paraId="392BFC6E" w14:textId="77777777" w:rsidR="00980E5F" w:rsidRDefault="00980E5F">
            <w:pPr>
              <w:rPr>
                <w:rFonts w:ascii="宋体"/>
                <w:vanish/>
              </w:rPr>
            </w:pPr>
          </w:p>
        </w:tc>
        <w:tc>
          <w:tcPr>
            <w:tcW w:w="0" w:type="auto"/>
            <w:gridSpan w:val="3"/>
            <w:shd w:val="clear" w:color="auto" w:fill="auto"/>
            <w:vAlign w:val="bottom"/>
          </w:tcPr>
          <w:p w14:paraId="392BFC6F" w14:textId="77777777" w:rsidR="00980E5F" w:rsidRDefault="00980E5F">
            <w:pPr>
              <w:rPr>
                <w:rFonts w:ascii="宋体"/>
                <w:vanish/>
              </w:rPr>
            </w:pPr>
          </w:p>
        </w:tc>
        <w:tc>
          <w:tcPr>
            <w:tcW w:w="0" w:type="auto"/>
            <w:gridSpan w:val="3"/>
            <w:shd w:val="clear" w:color="auto" w:fill="auto"/>
            <w:vAlign w:val="bottom"/>
          </w:tcPr>
          <w:p w14:paraId="392BFC70" w14:textId="77777777" w:rsidR="00980E5F" w:rsidRDefault="00980E5F">
            <w:pPr>
              <w:rPr>
                <w:rFonts w:ascii="宋体"/>
                <w:vanish/>
              </w:rPr>
            </w:pPr>
          </w:p>
        </w:tc>
        <w:tc>
          <w:tcPr>
            <w:tcW w:w="0" w:type="auto"/>
            <w:shd w:val="clear" w:color="auto" w:fill="auto"/>
            <w:vAlign w:val="bottom"/>
          </w:tcPr>
          <w:p w14:paraId="392BFC71" w14:textId="77777777" w:rsidR="00980E5F" w:rsidRDefault="00980E5F">
            <w:pPr>
              <w:rPr>
                <w:rFonts w:ascii="宋体"/>
              </w:rPr>
            </w:pPr>
          </w:p>
        </w:tc>
        <w:tc>
          <w:tcPr>
            <w:tcW w:w="0" w:type="auto"/>
            <w:shd w:val="clear" w:color="auto" w:fill="auto"/>
            <w:vAlign w:val="bottom"/>
          </w:tcPr>
          <w:p w14:paraId="392BFC72" w14:textId="77777777" w:rsidR="00980E5F" w:rsidRDefault="00980E5F">
            <w:pPr>
              <w:rPr>
                <w:rFonts w:ascii="宋体"/>
              </w:rPr>
            </w:pPr>
          </w:p>
        </w:tc>
        <w:tc>
          <w:tcPr>
            <w:tcW w:w="0" w:type="auto"/>
            <w:shd w:val="clear" w:color="auto" w:fill="auto"/>
            <w:vAlign w:val="bottom"/>
          </w:tcPr>
          <w:p w14:paraId="392BFC73" w14:textId="77777777" w:rsidR="00980E5F" w:rsidRDefault="00980E5F">
            <w:pPr>
              <w:rPr>
                <w:rFonts w:ascii="宋体"/>
              </w:rPr>
            </w:pPr>
          </w:p>
        </w:tc>
      </w:tr>
      <w:tr w:rsidR="00980E5F" w14:paraId="392BFC8B" w14:textId="77777777">
        <w:tc>
          <w:tcPr>
            <w:tcW w:w="0" w:type="auto"/>
            <w:gridSpan w:val="3"/>
            <w:shd w:val="clear" w:color="auto" w:fill="auto"/>
            <w:tcMar>
              <w:top w:w="40" w:type="dxa"/>
              <w:left w:w="20" w:type="dxa"/>
              <w:bottom w:w="40" w:type="dxa"/>
              <w:right w:w="20" w:type="dxa"/>
            </w:tcMar>
            <w:vAlign w:val="bottom"/>
          </w:tcPr>
          <w:p w14:paraId="392BFC75" w14:textId="77777777" w:rsidR="00980E5F" w:rsidRDefault="00483613">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76" w14:textId="77777777" w:rsidR="00980E5F" w:rsidRDefault="00483613">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C7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78" w14:textId="77777777" w:rsidR="00980E5F" w:rsidRDefault="00483613">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C7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7A" w14:textId="77777777" w:rsidR="00980E5F" w:rsidRDefault="00483613">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top w:w="0" w:type="dxa"/>
              <w:left w:w="20" w:type="dxa"/>
              <w:bottom w:w="0" w:type="dxa"/>
              <w:right w:w="20" w:type="dxa"/>
            </w:tcMar>
            <w:vAlign w:val="bottom"/>
          </w:tcPr>
          <w:p w14:paraId="392BFC7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7C" w14:textId="77777777" w:rsidR="00980E5F" w:rsidRDefault="00483613">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C7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7E" w14:textId="77777777" w:rsidR="00980E5F" w:rsidRDefault="00483613">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C7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BFC80" w14:textId="77777777" w:rsidR="00980E5F" w:rsidRDefault="00483613">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392BFC81" w14:textId="77777777" w:rsidR="00980E5F" w:rsidRDefault="00980E5F">
            <w:pPr>
              <w:rPr>
                <w:rFonts w:ascii="宋体"/>
                <w:vanish/>
              </w:rPr>
            </w:pPr>
          </w:p>
        </w:tc>
        <w:tc>
          <w:tcPr>
            <w:tcW w:w="0" w:type="auto"/>
            <w:shd w:val="clear" w:color="auto" w:fill="auto"/>
            <w:vAlign w:val="bottom"/>
          </w:tcPr>
          <w:p w14:paraId="392BFC82" w14:textId="77777777" w:rsidR="00980E5F" w:rsidRDefault="00980E5F">
            <w:pPr>
              <w:rPr>
                <w:rFonts w:ascii="宋体"/>
                <w:vanish/>
              </w:rPr>
            </w:pPr>
          </w:p>
        </w:tc>
        <w:tc>
          <w:tcPr>
            <w:tcW w:w="0" w:type="auto"/>
            <w:shd w:val="clear" w:color="auto" w:fill="auto"/>
            <w:vAlign w:val="bottom"/>
          </w:tcPr>
          <w:p w14:paraId="392BFC83" w14:textId="77777777" w:rsidR="00980E5F" w:rsidRDefault="00980E5F">
            <w:pPr>
              <w:rPr>
                <w:rFonts w:ascii="宋体"/>
                <w:vanish/>
              </w:rPr>
            </w:pPr>
          </w:p>
        </w:tc>
        <w:tc>
          <w:tcPr>
            <w:tcW w:w="0" w:type="auto"/>
            <w:shd w:val="clear" w:color="auto" w:fill="auto"/>
            <w:vAlign w:val="bottom"/>
          </w:tcPr>
          <w:p w14:paraId="392BFC84" w14:textId="77777777" w:rsidR="00980E5F" w:rsidRDefault="00980E5F">
            <w:pPr>
              <w:rPr>
                <w:rFonts w:ascii="宋体"/>
                <w:vanish/>
              </w:rPr>
            </w:pPr>
          </w:p>
        </w:tc>
        <w:tc>
          <w:tcPr>
            <w:tcW w:w="0" w:type="auto"/>
            <w:gridSpan w:val="3"/>
            <w:shd w:val="clear" w:color="auto" w:fill="auto"/>
            <w:vAlign w:val="bottom"/>
          </w:tcPr>
          <w:p w14:paraId="392BFC85" w14:textId="77777777" w:rsidR="00980E5F" w:rsidRDefault="00980E5F">
            <w:pPr>
              <w:rPr>
                <w:rFonts w:ascii="宋体"/>
                <w:vanish/>
              </w:rPr>
            </w:pPr>
          </w:p>
        </w:tc>
        <w:tc>
          <w:tcPr>
            <w:tcW w:w="0" w:type="auto"/>
            <w:gridSpan w:val="3"/>
            <w:shd w:val="clear" w:color="auto" w:fill="auto"/>
            <w:vAlign w:val="bottom"/>
          </w:tcPr>
          <w:p w14:paraId="392BFC86" w14:textId="77777777" w:rsidR="00980E5F" w:rsidRDefault="00980E5F">
            <w:pPr>
              <w:rPr>
                <w:rFonts w:ascii="宋体"/>
                <w:vanish/>
              </w:rPr>
            </w:pPr>
          </w:p>
        </w:tc>
        <w:tc>
          <w:tcPr>
            <w:tcW w:w="0" w:type="auto"/>
            <w:gridSpan w:val="3"/>
            <w:shd w:val="clear" w:color="auto" w:fill="auto"/>
            <w:vAlign w:val="bottom"/>
          </w:tcPr>
          <w:p w14:paraId="392BFC87" w14:textId="77777777" w:rsidR="00980E5F" w:rsidRDefault="00980E5F">
            <w:pPr>
              <w:rPr>
                <w:rFonts w:ascii="宋体"/>
                <w:vanish/>
              </w:rPr>
            </w:pPr>
          </w:p>
        </w:tc>
        <w:tc>
          <w:tcPr>
            <w:tcW w:w="0" w:type="auto"/>
            <w:gridSpan w:val="3"/>
            <w:shd w:val="clear" w:color="auto" w:fill="auto"/>
            <w:vAlign w:val="bottom"/>
          </w:tcPr>
          <w:p w14:paraId="392BFC88" w14:textId="77777777" w:rsidR="00980E5F" w:rsidRDefault="00980E5F">
            <w:pPr>
              <w:rPr>
                <w:rFonts w:ascii="宋体"/>
                <w:vanish/>
              </w:rPr>
            </w:pPr>
          </w:p>
        </w:tc>
        <w:tc>
          <w:tcPr>
            <w:tcW w:w="0" w:type="auto"/>
            <w:gridSpan w:val="2"/>
            <w:shd w:val="clear" w:color="auto" w:fill="auto"/>
            <w:vAlign w:val="bottom"/>
          </w:tcPr>
          <w:p w14:paraId="392BFC89" w14:textId="77777777" w:rsidR="00980E5F" w:rsidRDefault="00980E5F">
            <w:pPr>
              <w:rPr>
                <w:rFonts w:ascii="宋体"/>
                <w:vanish/>
              </w:rPr>
            </w:pPr>
          </w:p>
        </w:tc>
        <w:tc>
          <w:tcPr>
            <w:tcW w:w="0" w:type="auto"/>
            <w:shd w:val="clear" w:color="auto" w:fill="auto"/>
            <w:vAlign w:val="bottom"/>
          </w:tcPr>
          <w:p w14:paraId="392BFC8A" w14:textId="77777777" w:rsidR="00980E5F" w:rsidRDefault="00980E5F">
            <w:pPr>
              <w:rPr>
                <w:rFonts w:ascii="宋体"/>
                <w:vanish/>
              </w:rPr>
            </w:pPr>
          </w:p>
        </w:tc>
      </w:tr>
      <w:tr w:rsidR="00980E5F" w14:paraId="392BFCAC" w14:textId="77777777">
        <w:tc>
          <w:tcPr>
            <w:tcW w:w="0" w:type="auto"/>
            <w:gridSpan w:val="3"/>
            <w:shd w:val="clear" w:color="auto" w:fill="CCEEFF"/>
            <w:tcMar>
              <w:top w:w="40" w:type="dxa"/>
              <w:left w:w="20" w:type="dxa"/>
              <w:bottom w:w="40" w:type="dxa"/>
              <w:right w:w="20" w:type="dxa"/>
            </w:tcMar>
            <w:vAlign w:val="bottom"/>
          </w:tcPr>
          <w:p w14:paraId="392BFC8C" w14:textId="77777777" w:rsidR="00980E5F" w:rsidRDefault="00483613">
            <w:pPr>
              <w:textAlignment w:val="bottom"/>
            </w:pPr>
            <w:r>
              <w:rPr>
                <w:rFonts w:ascii="Arial" w:eastAsia="宋体" w:hAnsi="Arial" w:cs="Arial"/>
                <w:color w:val="000000"/>
                <w:sz w:val="12"/>
                <w:szCs w:val="12"/>
              </w:rPr>
              <w:t xml:space="preserve">Interest-bearing deposits with banks </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C8D"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C8E" w14:textId="77777777" w:rsidR="00980E5F" w:rsidRDefault="00483613">
            <w:pPr>
              <w:jc w:val="right"/>
              <w:textAlignment w:val="bottom"/>
            </w:pPr>
            <w:r>
              <w:rPr>
                <w:rFonts w:ascii="Arial" w:eastAsia="宋体" w:hAnsi="Arial" w:cs="Arial"/>
                <w:b/>
                <w:bCs/>
                <w:color w:val="000000"/>
                <w:sz w:val="12"/>
                <w:szCs w:val="12"/>
              </w:rPr>
              <w:t>76,531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9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C91"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C92" w14:textId="77777777" w:rsidR="00980E5F" w:rsidRDefault="00483613">
            <w:pPr>
              <w:jc w:val="right"/>
              <w:textAlignment w:val="bottom"/>
            </w:pPr>
            <w:r>
              <w:rPr>
                <w:rFonts w:ascii="Arial" w:eastAsia="宋体" w:hAnsi="Arial" w:cs="Arial"/>
                <w:b/>
                <w:bCs/>
                <w:color w:val="000000"/>
                <w:sz w:val="12"/>
                <w:szCs w:val="12"/>
              </w:rPr>
              <w:t>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9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C95" w14:textId="77777777" w:rsidR="00980E5F" w:rsidRDefault="00483613">
            <w:pPr>
              <w:jc w:val="right"/>
              <w:textAlignment w:val="bottom"/>
            </w:pPr>
            <w:r>
              <w:rPr>
                <w:rFonts w:ascii="Arial" w:eastAsia="宋体" w:hAnsi="Arial" w:cs="Arial"/>
                <w:b/>
                <w:bCs/>
                <w:color w:val="000000"/>
                <w:sz w:val="12"/>
                <w:szCs w:val="12"/>
              </w:rPr>
              <w:t>.36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96"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FC9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C98"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C99" w14:textId="77777777" w:rsidR="00980E5F" w:rsidRDefault="00483613">
            <w:pPr>
              <w:jc w:val="right"/>
              <w:textAlignment w:val="bottom"/>
            </w:pPr>
            <w:r>
              <w:rPr>
                <w:rFonts w:ascii="Arial" w:eastAsia="宋体" w:hAnsi="Arial" w:cs="Arial"/>
                <w:color w:val="000000"/>
                <w:sz w:val="12"/>
                <w:szCs w:val="12"/>
              </w:rPr>
              <w:t>99,438 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9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9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C9C"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C9D" w14:textId="77777777" w:rsidR="00980E5F" w:rsidRDefault="00483613">
            <w:pPr>
              <w:jc w:val="right"/>
              <w:textAlignment w:val="bottom"/>
            </w:pPr>
            <w:r>
              <w:rPr>
                <w:rFonts w:ascii="Arial" w:eastAsia="宋体" w:hAnsi="Arial" w:cs="Arial"/>
                <w:color w:val="000000"/>
                <w:sz w:val="12"/>
                <w:szCs w:val="12"/>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9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CA0" w14:textId="77777777" w:rsidR="00980E5F" w:rsidRDefault="00483613">
            <w:pPr>
              <w:jc w:val="right"/>
              <w:textAlignment w:val="bottom"/>
            </w:pPr>
            <w:r>
              <w:rPr>
                <w:rFonts w:ascii="Arial" w:eastAsia="宋体" w:hAnsi="Arial" w:cs="Arial"/>
                <w:color w:val="000000"/>
                <w:sz w:val="12"/>
                <w:szCs w:val="12"/>
              </w:rPr>
              <w:t>(.02)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CA1"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BFCA2" w14:textId="77777777" w:rsidR="00980E5F" w:rsidRDefault="00980E5F">
            <w:pPr>
              <w:rPr>
                <w:rFonts w:ascii="宋体"/>
                <w:vanish/>
              </w:rPr>
            </w:pPr>
          </w:p>
        </w:tc>
        <w:tc>
          <w:tcPr>
            <w:tcW w:w="0" w:type="auto"/>
            <w:shd w:val="clear" w:color="auto" w:fill="auto"/>
            <w:vAlign w:val="bottom"/>
          </w:tcPr>
          <w:p w14:paraId="392BFCA3" w14:textId="77777777" w:rsidR="00980E5F" w:rsidRDefault="00980E5F">
            <w:pPr>
              <w:rPr>
                <w:rFonts w:ascii="宋体"/>
                <w:vanish/>
              </w:rPr>
            </w:pPr>
          </w:p>
        </w:tc>
        <w:tc>
          <w:tcPr>
            <w:tcW w:w="0" w:type="auto"/>
            <w:shd w:val="clear" w:color="auto" w:fill="auto"/>
            <w:vAlign w:val="bottom"/>
          </w:tcPr>
          <w:p w14:paraId="392BFCA4" w14:textId="77777777" w:rsidR="00980E5F" w:rsidRDefault="00980E5F">
            <w:pPr>
              <w:rPr>
                <w:rFonts w:ascii="宋体"/>
                <w:vanish/>
              </w:rPr>
            </w:pPr>
          </w:p>
        </w:tc>
        <w:tc>
          <w:tcPr>
            <w:tcW w:w="0" w:type="auto"/>
            <w:shd w:val="clear" w:color="auto" w:fill="auto"/>
            <w:vAlign w:val="bottom"/>
          </w:tcPr>
          <w:p w14:paraId="392BFCA5" w14:textId="77777777" w:rsidR="00980E5F" w:rsidRDefault="00980E5F">
            <w:pPr>
              <w:rPr>
                <w:rFonts w:ascii="宋体"/>
                <w:vanish/>
              </w:rPr>
            </w:pPr>
          </w:p>
        </w:tc>
        <w:tc>
          <w:tcPr>
            <w:tcW w:w="0" w:type="auto"/>
            <w:gridSpan w:val="3"/>
            <w:shd w:val="clear" w:color="auto" w:fill="auto"/>
            <w:vAlign w:val="bottom"/>
          </w:tcPr>
          <w:p w14:paraId="392BFCA6" w14:textId="77777777" w:rsidR="00980E5F" w:rsidRDefault="00980E5F">
            <w:pPr>
              <w:rPr>
                <w:rFonts w:ascii="宋体"/>
                <w:vanish/>
              </w:rPr>
            </w:pPr>
          </w:p>
        </w:tc>
        <w:tc>
          <w:tcPr>
            <w:tcW w:w="0" w:type="auto"/>
            <w:gridSpan w:val="3"/>
            <w:shd w:val="clear" w:color="auto" w:fill="auto"/>
            <w:vAlign w:val="bottom"/>
          </w:tcPr>
          <w:p w14:paraId="392BFCA7" w14:textId="77777777" w:rsidR="00980E5F" w:rsidRDefault="00980E5F">
            <w:pPr>
              <w:rPr>
                <w:rFonts w:ascii="宋体"/>
                <w:vanish/>
              </w:rPr>
            </w:pPr>
          </w:p>
        </w:tc>
        <w:tc>
          <w:tcPr>
            <w:tcW w:w="0" w:type="auto"/>
            <w:gridSpan w:val="3"/>
            <w:shd w:val="clear" w:color="auto" w:fill="auto"/>
            <w:vAlign w:val="bottom"/>
          </w:tcPr>
          <w:p w14:paraId="392BFCA8" w14:textId="77777777" w:rsidR="00980E5F" w:rsidRDefault="00980E5F">
            <w:pPr>
              <w:rPr>
                <w:rFonts w:ascii="宋体"/>
                <w:vanish/>
              </w:rPr>
            </w:pPr>
          </w:p>
        </w:tc>
        <w:tc>
          <w:tcPr>
            <w:tcW w:w="0" w:type="auto"/>
            <w:gridSpan w:val="3"/>
            <w:shd w:val="clear" w:color="auto" w:fill="auto"/>
            <w:vAlign w:val="bottom"/>
          </w:tcPr>
          <w:p w14:paraId="392BFCA9" w14:textId="77777777" w:rsidR="00980E5F" w:rsidRDefault="00980E5F">
            <w:pPr>
              <w:rPr>
                <w:rFonts w:ascii="宋体"/>
                <w:vanish/>
              </w:rPr>
            </w:pPr>
          </w:p>
        </w:tc>
        <w:tc>
          <w:tcPr>
            <w:tcW w:w="0" w:type="auto"/>
            <w:gridSpan w:val="2"/>
            <w:shd w:val="clear" w:color="auto" w:fill="auto"/>
            <w:vAlign w:val="bottom"/>
          </w:tcPr>
          <w:p w14:paraId="392BFCAA" w14:textId="77777777" w:rsidR="00980E5F" w:rsidRDefault="00980E5F">
            <w:pPr>
              <w:rPr>
                <w:rFonts w:ascii="宋体"/>
                <w:vanish/>
              </w:rPr>
            </w:pPr>
          </w:p>
        </w:tc>
        <w:tc>
          <w:tcPr>
            <w:tcW w:w="0" w:type="auto"/>
            <w:shd w:val="clear" w:color="auto" w:fill="auto"/>
            <w:vAlign w:val="bottom"/>
          </w:tcPr>
          <w:p w14:paraId="392BFCAB" w14:textId="77777777" w:rsidR="00980E5F" w:rsidRDefault="00980E5F">
            <w:pPr>
              <w:rPr>
                <w:rFonts w:ascii="宋体"/>
                <w:vanish/>
              </w:rPr>
            </w:pPr>
          </w:p>
        </w:tc>
      </w:tr>
      <w:tr w:rsidR="00980E5F" w14:paraId="392BFCC9" w14:textId="77777777">
        <w:tc>
          <w:tcPr>
            <w:tcW w:w="0" w:type="auto"/>
            <w:gridSpan w:val="3"/>
            <w:shd w:val="clear" w:color="auto" w:fill="FFFFFF"/>
            <w:tcMar>
              <w:top w:w="40" w:type="dxa"/>
              <w:left w:w="20" w:type="dxa"/>
              <w:bottom w:w="40" w:type="dxa"/>
              <w:right w:w="20" w:type="dxa"/>
            </w:tcMar>
            <w:vAlign w:val="bottom"/>
          </w:tcPr>
          <w:p w14:paraId="392BFCAD" w14:textId="77777777" w:rsidR="00980E5F" w:rsidRDefault="00483613">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392BFCAE" w14:textId="77777777" w:rsidR="00980E5F" w:rsidRDefault="00483613">
            <w:pPr>
              <w:jc w:val="right"/>
              <w:textAlignment w:val="bottom"/>
            </w:pPr>
            <w:r>
              <w:rPr>
                <w:rFonts w:ascii="Arial" w:eastAsia="宋体" w:hAnsi="Arial" w:cs="Arial"/>
                <w:b/>
                <w:bCs/>
                <w:color w:val="000000"/>
                <w:sz w:val="12"/>
                <w:szCs w:val="12"/>
              </w:rPr>
              <w:t>2,022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C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C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CB1" w14:textId="77777777" w:rsidR="00980E5F" w:rsidRDefault="00483613">
            <w:pPr>
              <w:jc w:val="right"/>
              <w:textAlignment w:val="bottom"/>
            </w:pPr>
            <w:r>
              <w:rPr>
                <w:rFonts w:ascii="Arial" w:eastAsia="宋体" w:hAnsi="Arial" w:cs="Arial"/>
                <w:b/>
                <w:bCs/>
                <w:color w:val="000000"/>
                <w:sz w:val="12"/>
                <w:szCs w:val="12"/>
              </w:rPr>
              <w:t>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C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CB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CB4" w14:textId="77777777" w:rsidR="00980E5F" w:rsidRDefault="00483613">
            <w:pPr>
              <w:jc w:val="right"/>
              <w:textAlignment w:val="bottom"/>
            </w:pPr>
            <w:r>
              <w:rPr>
                <w:rFonts w:ascii="Arial" w:eastAsia="宋体" w:hAnsi="Arial" w:cs="Arial"/>
                <w:b/>
                <w:bCs/>
                <w:color w:val="000000"/>
                <w:sz w:val="12"/>
                <w:szCs w:val="12"/>
              </w:rPr>
              <w:t>7.47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C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C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CB7" w14:textId="77777777" w:rsidR="00980E5F" w:rsidRDefault="00483613">
            <w:pPr>
              <w:jc w:val="right"/>
              <w:textAlignment w:val="bottom"/>
            </w:pPr>
            <w:r>
              <w:rPr>
                <w:rFonts w:ascii="Arial" w:eastAsia="宋体" w:hAnsi="Arial" w:cs="Arial"/>
                <w:color w:val="000000"/>
                <w:sz w:val="12"/>
                <w:szCs w:val="12"/>
              </w:rPr>
              <w:t>3,958 </w:t>
            </w:r>
          </w:p>
        </w:tc>
        <w:tc>
          <w:tcPr>
            <w:tcW w:w="0" w:type="auto"/>
            <w:shd w:val="clear" w:color="auto" w:fill="FFFFFF"/>
            <w:tcMar>
              <w:top w:w="40" w:type="dxa"/>
              <w:left w:w="0" w:type="dxa"/>
              <w:bottom w:w="40" w:type="dxa"/>
              <w:right w:w="20" w:type="dxa"/>
            </w:tcMar>
            <w:vAlign w:val="bottom"/>
          </w:tcPr>
          <w:p w14:paraId="392BFC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C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CBA" w14:textId="77777777" w:rsidR="00980E5F" w:rsidRDefault="00483613">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392BFC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C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CBD" w14:textId="77777777" w:rsidR="00980E5F" w:rsidRDefault="00483613">
            <w:pPr>
              <w:jc w:val="right"/>
              <w:textAlignment w:val="bottom"/>
            </w:pPr>
            <w:r>
              <w:rPr>
                <w:rFonts w:ascii="Arial" w:eastAsia="宋体" w:hAnsi="Arial" w:cs="Arial"/>
                <w:color w:val="000000"/>
                <w:sz w:val="12"/>
                <w:szCs w:val="12"/>
              </w:rPr>
              <w:t>.28 </w:t>
            </w:r>
          </w:p>
        </w:tc>
        <w:tc>
          <w:tcPr>
            <w:tcW w:w="0" w:type="auto"/>
            <w:shd w:val="clear" w:color="auto" w:fill="FFFFFF"/>
            <w:tcMar>
              <w:top w:w="40" w:type="dxa"/>
              <w:left w:w="0" w:type="dxa"/>
              <w:bottom w:w="40" w:type="dxa"/>
              <w:right w:w="20" w:type="dxa"/>
            </w:tcMar>
            <w:vAlign w:val="bottom"/>
          </w:tcPr>
          <w:p w14:paraId="392BFCBE" w14:textId="77777777" w:rsidR="00980E5F" w:rsidRDefault="00980E5F">
            <w:pPr>
              <w:jc w:val="right"/>
              <w:rPr>
                <w:rFonts w:ascii="宋体"/>
              </w:rPr>
            </w:pPr>
          </w:p>
        </w:tc>
        <w:tc>
          <w:tcPr>
            <w:tcW w:w="0" w:type="auto"/>
            <w:shd w:val="clear" w:color="auto" w:fill="auto"/>
            <w:vAlign w:val="bottom"/>
          </w:tcPr>
          <w:p w14:paraId="392BFCBF" w14:textId="77777777" w:rsidR="00980E5F" w:rsidRDefault="00980E5F">
            <w:pPr>
              <w:rPr>
                <w:rFonts w:ascii="宋体"/>
                <w:vanish/>
              </w:rPr>
            </w:pPr>
          </w:p>
        </w:tc>
        <w:tc>
          <w:tcPr>
            <w:tcW w:w="0" w:type="auto"/>
            <w:shd w:val="clear" w:color="auto" w:fill="auto"/>
            <w:vAlign w:val="bottom"/>
          </w:tcPr>
          <w:p w14:paraId="392BFCC0" w14:textId="77777777" w:rsidR="00980E5F" w:rsidRDefault="00980E5F">
            <w:pPr>
              <w:rPr>
                <w:rFonts w:ascii="宋体"/>
                <w:vanish/>
              </w:rPr>
            </w:pPr>
          </w:p>
        </w:tc>
        <w:tc>
          <w:tcPr>
            <w:tcW w:w="0" w:type="auto"/>
            <w:shd w:val="clear" w:color="auto" w:fill="auto"/>
            <w:vAlign w:val="bottom"/>
          </w:tcPr>
          <w:p w14:paraId="392BFCC1" w14:textId="77777777" w:rsidR="00980E5F" w:rsidRDefault="00980E5F">
            <w:pPr>
              <w:rPr>
                <w:rFonts w:ascii="宋体"/>
                <w:vanish/>
              </w:rPr>
            </w:pPr>
          </w:p>
        </w:tc>
        <w:tc>
          <w:tcPr>
            <w:tcW w:w="0" w:type="auto"/>
            <w:shd w:val="clear" w:color="auto" w:fill="auto"/>
            <w:vAlign w:val="bottom"/>
          </w:tcPr>
          <w:p w14:paraId="392BFCC2" w14:textId="77777777" w:rsidR="00980E5F" w:rsidRDefault="00980E5F">
            <w:pPr>
              <w:rPr>
                <w:rFonts w:ascii="宋体"/>
                <w:vanish/>
              </w:rPr>
            </w:pPr>
          </w:p>
        </w:tc>
        <w:tc>
          <w:tcPr>
            <w:tcW w:w="0" w:type="auto"/>
            <w:gridSpan w:val="3"/>
            <w:shd w:val="clear" w:color="auto" w:fill="auto"/>
            <w:vAlign w:val="bottom"/>
          </w:tcPr>
          <w:p w14:paraId="392BFCC3" w14:textId="77777777" w:rsidR="00980E5F" w:rsidRDefault="00980E5F">
            <w:pPr>
              <w:rPr>
                <w:rFonts w:ascii="宋体"/>
                <w:vanish/>
              </w:rPr>
            </w:pPr>
          </w:p>
        </w:tc>
        <w:tc>
          <w:tcPr>
            <w:tcW w:w="0" w:type="auto"/>
            <w:gridSpan w:val="3"/>
            <w:shd w:val="clear" w:color="auto" w:fill="auto"/>
            <w:vAlign w:val="bottom"/>
          </w:tcPr>
          <w:p w14:paraId="392BFCC4" w14:textId="77777777" w:rsidR="00980E5F" w:rsidRDefault="00980E5F">
            <w:pPr>
              <w:rPr>
                <w:rFonts w:ascii="宋体"/>
                <w:vanish/>
              </w:rPr>
            </w:pPr>
          </w:p>
        </w:tc>
        <w:tc>
          <w:tcPr>
            <w:tcW w:w="0" w:type="auto"/>
            <w:gridSpan w:val="3"/>
            <w:shd w:val="clear" w:color="auto" w:fill="auto"/>
            <w:vAlign w:val="bottom"/>
          </w:tcPr>
          <w:p w14:paraId="392BFCC5" w14:textId="77777777" w:rsidR="00980E5F" w:rsidRDefault="00980E5F">
            <w:pPr>
              <w:rPr>
                <w:rFonts w:ascii="宋体"/>
                <w:vanish/>
              </w:rPr>
            </w:pPr>
          </w:p>
        </w:tc>
        <w:tc>
          <w:tcPr>
            <w:tcW w:w="0" w:type="auto"/>
            <w:gridSpan w:val="3"/>
            <w:shd w:val="clear" w:color="auto" w:fill="auto"/>
            <w:vAlign w:val="bottom"/>
          </w:tcPr>
          <w:p w14:paraId="392BFCC6" w14:textId="77777777" w:rsidR="00980E5F" w:rsidRDefault="00980E5F">
            <w:pPr>
              <w:rPr>
                <w:rFonts w:ascii="宋体"/>
                <w:vanish/>
              </w:rPr>
            </w:pPr>
          </w:p>
        </w:tc>
        <w:tc>
          <w:tcPr>
            <w:tcW w:w="0" w:type="auto"/>
            <w:gridSpan w:val="2"/>
            <w:shd w:val="clear" w:color="auto" w:fill="auto"/>
            <w:vAlign w:val="bottom"/>
          </w:tcPr>
          <w:p w14:paraId="392BFCC7" w14:textId="77777777" w:rsidR="00980E5F" w:rsidRDefault="00980E5F">
            <w:pPr>
              <w:rPr>
                <w:rFonts w:ascii="宋体"/>
                <w:vanish/>
              </w:rPr>
            </w:pPr>
          </w:p>
        </w:tc>
        <w:tc>
          <w:tcPr>
            <w:tcW w:w="0" w:type="auto"/>
            <w:shd w:val="clear" w:color="auto" w:fill="auto"/>
            <w:vAlign w:val="bottom"/>
          </w:tcPr>
          <w:p w14:paraId="392BFCC8" w14:textId="77777777" w:rsidR="00980E5F" w:rsidRDefault="00980E5F">
            <w:pPr>
              <w:rPr>
                <w:rFonts w:ascii="宋体"/>
                <w:vanish/>
              </w:rPr>
            </w:pPr>
          </w:p>
        </w:tc>
      </w:tr>
      <w:tr w:rsidR="00980E5F" w14:paraId="392BFCE6" w14:textId="77777777">
        <w:tc>
          <w:tcPr>
            <w:tcW w:w="0" w:type="auto"/>
            <w:gridSpan w:val="3"/>
            <w:shd w:val="clear" w:color="auto" w:fill="CCEEFF"/>
            <w:tcMar>
              <w:top w:w="40" w:type="dxa"/>
              <w:left w:w="20" w:type="dxa"/>
              <w:bottom w:w="40" w:type="dxa"/>
              <w:right w:w="20" w:type="dxa"/>
            </w:tcMar>
            <w:vAlign w:val="bottom"/>
          </w:tcPr>
          <w:p w14:paraId="392BFCCA" w14:textId="77777777" w:rsidR="00980E5F" w:rsidRDefault="00483613">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392BFCCB" w14:textId="77777777" w:rsidR="00980E5F" w:rsidRDefault="00483613">
            <w:pPr>
              <w:jc w:val="right"/>
              <w:textAlignment w:val="bottom"/>
            </w:pPr>
            <w:r>
              <w:rPr>
                <w:rFonts w:ascii="Arial" w:eastAsia="宋体" w:hAnsi="Arial" w:cs="Arial"/>
                <w:b/>
                <w:bCs/>
                <w:color w:val="000000"/>
                <w:sz w:val="12"/>
                <w:szCs w:val="12"/>
              </w:rPr>
              <w:t>746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C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CCE"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C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CD1" w14:textId="77777777" w:rsidR="00980E5F" w:rsidRDefault="00483613">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C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CD4" w14:textId="77777777" w:rsidR="00980E5F" w:rsidRDefault="00483613">
            <w:pPr>
              <w:jc w:val="right"/>
              <w:textAlignment w:val="bottom"/>
            </w:pPr>
            <w:r>
              <w:rPr>
                <w:rFonts w:ascii="Arial" w:eastAsia="宋体" w:hAnsi="Arial" w:cs="Arial"/>
                <w:color w:val="000000"/>
                <w:sz w:val="12"/>
                <w:szCs w:val="12"/>
              </w:rPr>
              <w:t>729 </w:t>
            </w:r>
          </w:p>
        </w:tc>
        <w:tc>
          <w:tcPr>
            <w:tcW w:w="0" w:type="auto"/>
            <w:shd w:val="clear" w:color="auto" w:fill="CCEEFF"/>
            <w:tcMar>
              <w:top w:w="40" w:type="dxa"/>
              <w:left w:w="0" w:type="dxa"/>
              <w:bottom w:w="40" w:type="dxa"/>
              <w:right w:w="20" w:type="dxa"/>
            </w:tcMar>
            <w:vAlign w:val="bottom"/>
          </w:tcPr>
          <w:p w14:paraId="392BFC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D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CD7"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C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CD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CDA"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CDB" w14:textId="77777777" w:rsidR="00980E5F" w:rsidRDefault="00980E5F">
            <w:pPr>
              <w:jc w:val="right"/>
              <w:rPr>
                <w:rFonts w:ascii="宋体"/>
              </w:rPr>
            </w:pPr>
          </w:p>
        </w:tc>
        <w:tc>
          <w:tcPr>
            <w:tcW w:w="0" w:type="auto"/>
            <w:shd w:val="clear" w:color="auto" w:fill="auto"/>
            <w:vAlign w:val="bottom"/>
          </w:tcPr>
          <w:p w14:paraId="392BFCDC" w14:textId="77777777" w:rsidR="00980E5F" w:rsidRDefault="00980E5F">
            <w:pPr>
              <w:rPr>
                <w:rFonts w:ascii="宋体"/>
                <w:vanish/>
              </w:rPr>
            </w:pPr>
          </w:p>
        </w:tc>
        <w:tc>
          <w:tcPr>
            <w:tcW w:w="0" w:type="auto"/>
            <w:shd w:val="clear" w:color="auto" w:fill="auto"/>
            <w:vAlign w:val="bottom"/>
          </w:tcPr>
          <w:p w14:paraId="392BFCDD" w14:textId="77777777" w:rsidR="00980E5F" w:rsidRDefault="00980E5F">
            <w:pPr>
              <w:rPr>
                <w:rFonts w:ascii="宋体"/>
                <w:vanish/>
              </w:rPr>
            </w:pPr>
          </w:p>
        </w:tc>
        <w:tc>
          <w:tcPr>
            <w:tcW w:w="0" w:type="auto"/>
            <w:shd w:val="clear" w:color="auto" w:fill="auto"/>
            <w:vAlign w:val="bottom"/>
          </w:tcPr>
          <w:p w14:paraId="392BFCDE" w14:textId="77777777" w:rsidR="00980E5F" w:rsidRDefault="00980E5F">
            <w:pPr>
              <w:rPr>
                <w:rFonts w:ascii="宋体"/>
                <w:vanish/>
              </w:rPr>
            </w:pPr>
          </w:p>
        </w:tc>
        <w:tc>
          <w:tcPr>
            <w:tcW w:w="0" w:type="auto"/>
            <w:shd w:val="clear" w:color="auto" w:fill="auto"/>
            <w:vAlign w:val="bottom"/>
          </w:tcPr>
          <w:p w14:paraId="392BFCDF" w14:textId="77777777" w:rsidR="00980E5F" w:rsidRDefault="00980E5F">
            <w:pPr>
              <w:rPr>
                <w:rFonts w:ascii="宋体"/>
                <w:vanish/>
              </w:rPr>
            </w:pPr>
          </w:p>
        </w:tc>
        <w:tc>
          <w:tcPr>
            <w:tcW w:w="0" w:type="auto"/>
            <w:gridSpan w:val="3"/>
            <w:shd w:val="clear" w:color="auto" w:fill="auto"/>
            <w:vAlign w:val="bottom"/>
          </w:tcPr>
          <w:p w14:paraId="392BFCE0" w14:textId="77777777" w:rsidR="00980E5F" w:rsidRDefault="00980E5F">
            <w:pPr>
              <w:rPr>
                <w:rFonts w:ascii="宋体"/>
                <w:vanish/>
              </w:rPr>
            </w:pPr>
          </w:p>
        </w:tc>
        <w:tc>
          <w:tcPr>
            <w:tcW w:w="0" w:type="auto"/>
            <w:gridSpan w:val="3"/>
            <w:shd w:val="clear" w:color="auto" w:fill="auto"/>
            <w:vAlign w:val="bottom"/>
          </w:tcPr>
          <w:p w14:paraId="392BFCE1" w14:textId="77777777" w:rsidR="00980E5F" w:rsidRDefault="00980E5F">
            <w:pPr>
              <w:rPr>
                <w:rFonts w:ascii="宋体"/>
                <w:vanish/>
              </w:rPr>
            </w:pPr>
          </w:p>
        </w:tc>
        <w:tc>
          <w:tcPr>
            <w:tcW w:w="0" w:type="auto"/>
            <w:gridSpan w:val="3"/>
            <w:shd w:val="clear" w:color="auto" w:fill="auto"/>
            <w:vAlign w:val="bottom"/>
          </w:tcPr>
          <w:p w14:paraId="392BFCE2" w14:textId="77777777" w:rsidR="00980E5F" w:rsidRDefault="00980E5F">
            <w:pPr>
              <w:rPr>
                <w:rFonts w:ascii="宋体"/>
                <w:vanish/>
              </w:rPr>
            </w:pPr>
          </w:p>
        </w:tc>
        <w:tc>
          <w:tcPr>
            <w:tcW w:w="0" w:type="auto"/>
            <w:gridSpan w:val="3"/>
            <w:shd w:val="clear" w:color="auto" w:fill="auto"/>
            <w:vAlign w:val="bottom"/>
          </w:tcPr>
          <w:p w14:paraId="392BFCE3" w14:textId="77777777" w:rsidR="00980E5F" w:rsidRDefault="00980E5F">
            <w:pPr>
              <w:rPr>
                <w:rFonts w:ascii="宋体"/>
                <w:vanish/>
              </w:rPr>
            </w:pPr>
          </w:p>
        </w:tc>
        <w:tc>
          <w:tcPr>
            <w:tcW w:w="0" w:type="auto"/>
            <w:gridSpan w:val="2"/>
            <w:shd w:val="clear" w:color="auto" w:fill="auto"/>
            <w:vAlign w:val="bottom"/>
          </w:tcPr>
          <w:p w14:paraId="392BFCE4" w14:textId="77777777" w:rsidR="00980E5F" w:rsidRDefault="00980E5F">
            <w:pPr>
              <w:rPr>
                <w:rFonts w:ascii="宋体"/>
                <w:vanish/>
              </w:rPr>
            </w:pPr>
          </w:p>
        </w:tc>
        <w:tc>
          <w:tcPr>
            <w:tcW w:w="0" w:type="auto"/>
            <w:shd w:val="clear" w:color="auto" w:fill="auto"/>
            <w:vAlign w:val="bottom"/>
          </w:tcPr>
          <w:p w14:paraId="392BFCE5" w14:textId="77777777" w:rsidR="00980E5F" w:rsidRDefault="00980E5F">
            <w:pPr>
              <w:rPr>
                <w:rFonts w:ascii="宋体"/>
                <w:vanish/>
              </w:rPr>
            </w:pPr>
          </w:p>
        </w:tc>
      </w:tr>
      <w:tr w:rsidR="00980E5F" w14:paraId="392BFCFD" w14:textId="77777777">
        <w:tc>
          <w:tcPr>
            <w:tcW w:w="0" w:type="auto"/>
            <w:gridSpan w:val="3"/>
            <w:shd w:val="clear" w:color="auto" w:fill="FFFFFF"/>
            <w:tcMar>
              <w:top w:w="40" w:type="dxa"/>
              <w:left w:w="20" w:type="dxa"/>
              <w:bottom w:w="40" w:type="dxa"/>
              <w:right w:w="20" w:type="dxa"/>
            </w:tcMar>
            <w:vAlign w:val="bottom"/>
          </w:tcPr>
          <w:p w14:paraId="392BFCE7" w14:textId="77777777" w:rsidR="00980E5F" w:rsidRDefault="00483613">
            <w:pPr>
              <w:textAlignment w:val="bottom"/>
            </w:pPr>
            <w:r>
              <w:rPr>
                <w:rFonts w:ascii="Arial" w:eastAsia="宋体" w:hAnsi="Arial" w:cs="Arial"/>
                <w:color w:val="000000"/>
                <w:sz w:val="12"/>
                <w:szCs w:val="12"/>
              </w:rPr>
              <w:t xml:space="preserve">Investment </w:t>
            </w:r>
            <w:r>
              <w:rPr>
                <w:rFonts w:ascii="Arial" w:eastAsia="宋体" w:hAnsi="Arial" w:cs="Arial"/>
                <w:color w:val="000000"/>
                <w:sz w:val="12"/>
                <w:szCs w:val="12"/>
              </w:rPr>
              <w:t>securities:</w:t>
            </w:r>
          </w:p>
        </w:tc>
        <w:tc>
          <w:tcPr>
            <w:tcW w:w="0" w:type="auto"/>
            <w:gridSpan w:val="3"/>
            <w:shd w:val="clear" w:color="auto" w:fill="FFFFFF"/>
            <w:tcMar>
              <w:top w:w="0" w:type="dxa"/>
              <w:left w:w="20" w:type="dxa"/>
              <w:bottom w:w="0" w:type="dxa"/>
              <w:right w:w="20" w:type="dxa"/>
            </w:tcMar>
            <w:vAlign w:val="bottom"/>
          </w:tcPr>
          <w:p w14:paraId="392BFC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F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CF2" w14:textId="77777777" w:rsidR="00980E5F" w:rsidRDefault="00980E5F">
            <w:pPr>
              <w:rPr>
                <w:rFonts w:ascii="宋体"/>
              </w:rPr>
            </w:pPr>
          </w:p>
        </w:tc>
        <w:tc>
          <w:tcPr>
            <w:tcW w:w="0" w:type="auto"/>
            <w:shd w:val="clear" w:color="auto" w:fill="auto"/>
            <w:vAlign w:val="bottom"/>
          </w:tcPr>
          <w:p w14:paraId="392BFCF3" w14:textId="77777777" w:rsidR="00980E5F" w:rsidRDefault="00980E5F">
            <w:pPr>
              <w:rPr>
                <w:rFonts w:ascii="宋体"/>
                <w:vanish/>
              </w:rPr>
            </w:pPr>
          </w:p>
        </w:tc>
        <w:tc>
          <w:tcPr>
            <w:tcW w:w="0" w:type="auto"/>
            <w:shd w:val="clear" w:color="auto" w:fill="auto"/>
            <w:vAlign w:val="bottom"/>
          </w:tcPr>
          <w:p w14:paraId="392BFCF4" w14:textId="77777777" w:rsidR="00980E5F" w:rsidRDefault="00980E5F">
            <w:pPr>
              <w:rPr>
                <w:rFonts w:ascii="宋体"/>
                <w:vanish/>
              </w:rPr>
            </w:pPr>
          </w:p>
        </w:tc>
        <w:tc>
          <w:tcPr>
            <w:tcW w:w="0" w:type="auto"/>
            <w:shd w:val="clear" w:color="auto" w:fill="auto"/>
            <w:vAlign w:val="bottom"/>
          </w:tcPr>
          <w:p w14:paraId="392BFCF5" w14:textId="77777777" w:rsidR="00980E5F" w:rsidRDefault="00980E5F">
            <w:pPr>
              <w:rPr>
                <w:rFonts w:ascii="宋体"/>
                <w:vanish/>
              </w:rPr>
            </w:pPr>
          </w:p>
        </w:tc>
        <w:tc>
          <w:tcPr>
            <w:tcW w:w="0" w:type="auto"/>
            <w:shd w:val="clear" w:color="auto" w:fill="auto"/>
            <w:vAlign w:val="bottom"/>
          </w:tcPr>
          <w:p w14:paraId="392BFCF6" w14:textId="77777777" w:rsidR="00980E5F" w:rsidRDefault="00980E5F">
            <w:pPr>
              <w:rPr>
                <w:rFonts w:ascii="宋体"/>
                <w:vanish/>
              </w:rPr>
            </w:pPr>
          </w:p>
        </w:tc>
        <w:tc>
          <w:tcPr>
            <w:tcW w:w="0" w:type="auto"/>
            <w:gridSpan w:val="3"/>
            <w:shd w:val="clear" w:color="auto" w:fill="auto"/>
            <w:vAlign w:val="bottom"/>
          </w:tcPr>
          <w:p w14:paraId="392BFCF7" w14:textId="77777777" w:rsidR="00980E5F" w:rsidRDefault="00980E5F">
            <w:pPr>
              <w:rPr>
                <w:rFonts w:ascii="宋体"/>
                <w:vanish/>
              </w:rPr>
            </w:pPr>
          </w:p>
        </w:tc>
        <w:tc>
          <w:tcPr>
            <w:tcW w:w="0" w:type="auto"/>
            <w:gridSpan w:val="3"/>
            <w:shd w:val="clear" w:color="auto" w:fill="auto"/>
            <w:vAlign w:val="bottom"/>
          </w:tcPr>
          <w:p w14:paraId="392BFCF8" w14:textId="77777777" w:rsidR="00980E5F" w:rsidRDefault="00980E5F">
            <w:pPr>
              <w:rPr>
                <w:rFonts w:ascii="宋体"/>
                <w:vanish/>
              </w:rPr>
            </w:pPr>
          </w:p>
        </w:tc>
        <w:tc>
          <w:tcPr>
            <w:tcW w:w="0" w:type="auto"/>
            <w:gridSpan w:val="3"/>
            <w:shd w:val="clear" w:color="auto" w:fill="auto"/>
            <w:vAlign w:val="bottom"/>
          </w:tcPr>
          <w:p w14:paraId="392BFCF9" w14:textId="77777777" w:rsidR="00980E5F" w:rsidRDefault="00980E5F">
            <w:pPr>
              <w:rPr>
                <w:rFonts w:ascii="宋体"/>
                <w:vanish/>
              </w:rPr>
            </w:pPr>
          </w:p>
        </w:tc>
        <w:tc>
          <w:tcPr>
            <w:tcW w:w="0" w:type="auto"/>
            <w:gridSpan w:val="3"/>
            <w:shd w:val="clear" w:color="auto" w:fill="auto"/>
            <w:vAlign w:val="bottom"/>
          </w:tcPr>
          <w:p w14:paraId="392BFCFA" w14:textId="77777777" w:rsidR="00980E5F" w:rsidRDefault="00980E5F">
            <w:pPr>
              <w:rPr>
                <w:rFonts w:ascii="宋体"/>
                <w:vanish/>
              </w:rPr>
            </w:pPr>
          </w:p>
        </w:tc>
        <w:tc>
          <w:tcPr>
            <w:tcW w:w="0" w:type="auto"/>
            <w:gridSpan w:val="2"/>
            <w:shd w:val="clear" w:color="auto" w:fill="auto"/>
            <w:vAlign w:val="bottom"/>
          </w:tcPr>
          <w:p w14:paraId="392BFCFB" w14:textId="77777777" w:rsidR="00980E5F" w:rsidRDefault="00980E5F">
            <w:pPr>
              <w:rPr>
                <w:rFonts w:ascii="宋体"/>
                <w:vanish/>
              </w:rPr>
            </w:pPr>
          </w:p>
        </w:tc>
        <w:tc>
          <w:tcPr>
            <w:tcW w:w="0" w:type="auto"/>
            <w:shd w:val="clear" w:color="auto" w:fill="auto"/>
            <w:vAlign w:val="bottom"/>
          </w:tcPr>
          <w:p w14:paraId="392BFCFC" w14:textId="77777777" w:rsidR="00980E5F" w:rsidRDefault="00980E5F">
            <w:pPr>
              <w:rPr>
                <w:rFonts w:ascii="宋体"/>
                <w:vanish/>
              </w:rPr>
            </w:pPr>
          </w:p>
        </w:tc>
      </w:tr>
      <w:tr w:rsidR="00980E5F" w14:paraId="392BFD1A" w14:textId="77777777">
        <w:tc>
          <w:tcPr>
            <w:tcW w:w="0" w:type="auto"/>
            <w:gridSpan w:val="3"/>
            <w:shd w:val="clear" w:color="auto" w:fill="CCEEFF"/>
            <w:tcMar>
              <w:top w:w="40" w:type="dxa"/>
              <w:left w:w="20" w:type="dxa"/>
              <w:bottom w:w="40" w:type="dxa"/>
              <w:right w:w="20" w:type="dxa"/>
            </w:tcMar>
            <w:vAlign w:val="bottom"/>
          </w:tcPr>
          <w:p w14:paraId="392BFCFE" w14:textId="77777777" w:rsidR="00980E5F" w:rsidRDefault="00483613">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392BFCFF" w14:textId="77777777" w:rsidR="00980E5F" w:rsidRDefault="00483613">
            <w:pPr>
              <w:jc w:val="right"/>
              <w:textAlignment w:val="bottom"/>
            </w:pPr>
            <w:r>
              <w:rPr>
                <w:rFonts w:ascii="Arial" w:eastAsia="宋体" w:hAnsi="Arial" w:cs="Arial"/>
                <w:b/>
                <w:bCs/>
                <w:color w:val="000000"/>
                <w:sz w:val="12"/>
                <w:szCs w:val="12"/>
              </w:rPr>
              <w:t>54,767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02" w14:textId="77777777" w:rsidR="00980E5F" w:rsidRDefault="00483613">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05" w14:textId="77777777" w:rsidR="00980E5F" w:rsidRDefault="00483613">
            <w:pPr>
              <w:jc w:val="right"/>
              <w:textAlignment w:val="bottom"/>
            </w:pPr>
            <w:r>
              <w:rPr>
                <w:rFonts w:ascii="Arial" w:eastAsia="宋体" w:hAnsi="Arial" w:cs="Arial"/>
                <w:b/>
                <w:bCs/>
                <w:color w:val="000000"/>
                <w:sz w:val="12"/>
                <w:szCs w:val="12"/>
              </w:rPr>
              <w:t>.91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08" w14:textId="77777777" w:rsidR="00980E5F" w:rsidRDefault="00483613">
            <w:pPr>
              <w:jc w:val="right"/>
              <w:textAlignment w:val="bottom"/>
            </w:pPr>
            <w:r>
              <w:rPr>
                <w:rFonts w:ascii="Arial" w:eastAsia="宋体" w:hAnsi="Arial" w:cs="Arial"/>
                <w:color w:val="000000"/>
                <w:sz w:val="12"/>
                <w:szCs w:val="12"/>
              </w:rPr>
              <w:t>66,225 </w:t>
            </w:r>
          </w:p>
        </w:tc>
        <w:tc>
          <w:tcPr>
            <w:tcW w:w="0" w:type="auto"/>
            <w:shd w:val="clear" w:color="auto" w:fill="CCEEFF"/>
            <w:tcMar>
              <w:top w:w="40" w:type="dxa"/>
              <w:left w:w="0" w:type="dxa"/>
              <w:bottom w:w="40" w:type="dxa"/>
              <w:right w:w="20" w:type="dxa"/>
            </w:tcMar>
            <w:vAlign w:val="bottom"/>
          </w:tcPr>
          <w:p w14:paraId="392BFD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0B" w14:textId="77777777" w:rsidR="00980E5F" w:rsidRDefault="00483613">
            <w:pPr>
              <w:jc w:val="right"/>
              <w:textAlignment w:val="bottom"/>
            </w:pPr>
            <w:r>
              <w:rPr>
                <w:rFonts w:ascii="Arial" w:eastAsia="宋体" w:hAnsi="Arial" w:cs="Arial"/>
                <w:color w:val="000000"/>
                <w:sz w:val="12"/>
                <w:szCs w:val="12"/>
              </w:rPr>
              <w:t>145 </w:t>
            </w:r>
          </w:p>
        </w:tc>
        <w:tc>
          <w:tcPr>
            <w:tcW w:w="0" w:type="auto"/>
            <w:shd w:val="clear" w:color="auto" w:fill="CCEEFF"/>
            <w:tcMar>
              <w:top w:w="40" w:type="dxa"/>
              <w:left w:w="0" w:type="dxa"/>
              <w:bottom w:w="40" w:type="dxa"/>
              <w:right w:w="20" w:type="dxa"/>
            </w:tcMar>
            <w:vAlign w:val="bottom"/>
          </w:tcPr>
          <w:p w14:paraId="392BFD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0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0E" w14:textId="77777777" w:rsidR="00980E5F" w:rsidRDefault="00483613">
            <w:pPr>
              <w:jc w:val="right"/>
              <w:textAlignment w:val="bottom"/>
            </w:pPr>
            <w:r>
              <w:rPr>
                <w:rFonts w:ascii="Arial" w:eastAsia="宋体" w:hAnsi="Arial" w:cs="Arial"/>
                <w:color w:val="000000"/>
                <w:sz w:val="12"/>
                <w:szCs w:val="12"/>
              </w:rPr>
              <w:t>.88 </w:t>
            </w:r>
          </w:p>
        </w:tc>
        <w:tc>
          <w:tcPr>
            <w:tcW w:w="0" w:type="auto"/>
            <w:shd w:val="clear" w:color="auto" w:fill="CCEEFF"/>
            <w:tcMar>
              <w:top w:w="40" w:type="dxa"/>
              <w:left w:w="0" w:type="dxa"/>
              <w:bottom w:w="40" w:type="dxa"/>
              <w:right w:w="20" w:type="dxa"/>
            </w:tcMar>
            <w:vAlign w:val="bottom"/>
          </w:tcPr>
          <w:p w14:paraId="392BFD0F" w14:textId="77777777" w:rsidR="00980E5F" w:rsidRDefault="00980E5F">
            <w:pPr>
              <w:jc w:val="right"/>
              <w:rPr>
                <w:rFonts w:ascii="宋体"/>
              </w:rPr>
            </w:pPr>
          </w:p>
        </w:tc>
        <w:tc>
          <w:tcPr>
            <w:tcW w:w="0" w:type="auto"/>
            <w:shd w:val="clear" w:color="auto" w:fill="auto"/>
            <w:vAlign w:val="bottom"/>
          </w:tcPr>
          <w:p w14:paraId="392BFD10" w14:textId="77777777" w:rsidR="00980E5F" w:rsidRDefault="00980E5F">
            <w:pPr>
              <w:rPr>
                <w:rFonts w:ascii="宋体"/>
                <w:vanish/>
              </w:rPr>
            </w:pPr>
          </w:p>
        </w:tc>
        <w:tc>
          <w:tcPr>
            <w:tcW w:w="0" w:type="auto"/>
            <w:shd w:val="clear" w:color="auto" w:fill="auto"/>
            <w:vAlign w:val="bottom"/>
          </w:tcPr>
          <w:p w14:paraId="392BFD11" w14:textId="77777777" w:rsidR="00980E5F" w:rsidRDefault="00980E5F">
            <w:pPr>
              <w:rPr>
                <w:rFonts w:ascii="宋体"/>
                <w:vanish/>
              </w:rPr>
            </w:pPr>
          </w:p>
        </w:tc>
        <w:tc>
          <w:tcPr>
            <w:tcW w:w="0" w:type="auto"/>
            <w:shd w:val="clear" w:color="auto" w:fill="auto"/>
            <w:vAlign w:val="bottom"/>
          </w:tcPr>
          <w:p w14:paraId="392BFD12" w14:textId="77777777" w:rsidR="00980E5F" w:rsidRDefault="00980E5F">
            <w:pPr>
              <w:rPr>
                <w:rFonts w:ascii="宋体"/>
                <w:vanish/>
              </w:rPr>
            </w:pPr>
          </w:p>
        </w:tc>
        <w:tc>
          <w:tcPr>
            <w:tcW w:w="0" w:type="auto"/>
            <w:shd w:val="clear" w:color="auto" w:fill="auto"/>
            <w:vAlign w:val="bottom"/>
          </w:tcPr>
          <w:p w14:paraId="392BFD13" w14:textId="77777777" w:rsidR="00980E5F" w:rsidRDefault="00980E5F">
            <w:pPr>
              <w:rPr>
                <w:rFonts w:ascii="宋体"/>
                <w:vanish/>
              </w:rPr>
            </w:pPr>
          </w:p>
        </w:tc>
        <w:tc>
          <w:tcPr>
            <w:tcW w:w="0" w:type="auto"/>
            <w:gridSpan w:val="3"/>
            <w:shd w:val="clear" w:color="auto" w:fill="auto"/>
            <w:vAlign w:val="bottom"/>
          </w:tcPr>
          <w:p w14:paraId="392BFD14" w14:textId="77777777" w:rsidR="00980E5F" w:rsidRDefault="00980E5F">
            <w:pPr>
              <w:rPr>
                <w:rFonts w:ascii="宋体"/>
                <w:vanish/>
              </w:rPr>
            </w:pPr>
          </w:p>
        </w:tc>
        <w:tc>
          <w:tcPr>
            <w:tcW w:w="0" w:type="auto"/>
            <w:gridSpan w:val="3"/>
            <w:shd w:val="clear" w:color="auto" w:fill="auto"/>
            <w:vAlign w:val="bottom"/>
          </w:tcPr>
          <w:p w14:paraId="392BFD15" w14:textId="77777777" w:rsidR="00980E5F" w:rsidRDefault="00980E5F">
            <w:pPr>
              <w:rPr>
                <w:rFonts w:ascii="宋体"/>
                <w:vanish/>
              </w:rPr>
            </w:pPr>
          </w:p>
        </w:tc>
        <w:tc>
          <w:tcPr>
            <w:tcW w:w="0" w:type="auto"/>
            <w:gridSpan w:val="3"/>
            <w:shd w:val="clear" w:color="auto" w:fill="auto"/>
            <w:vAlign w:val="bottom"/>
          </w:tcPr>
          <w:p w14:paraId="392BFD16" w14:textId="77777777" w:rsidR="00980E5F" w:rsidRDefault="00980E5F">
            <w:pPr>
              <w:rPr>
                <w:rFonts w:ascii="宋体"/>
                <w:vanish/>
              </w:rPr>
            </w:pPr>
          </w:p>
        </w:tc>
        <w:tc>
          <w:tcPr>
            <w:tcW w:w="0" w:type="auto"/>
            <w:gridSpan w:val="3"/>
            <w:shd w:val="clear" w:color="auto" w:fill="auto"/>
            <w:vAlign w:val="bottom"/>
          </w:tcPr>
          <w:p w14:paraId="392BFD17" w14:textId="77777777" w:rsidR="00980E5F" w:rsidRDefault="00980E5F">
            <w:pPr>
              <w:rPr>
                <w:rFonts w:ascii="宋体"/>
                <w:vanish/>
              </w:rPr>
            </w:pPr>
          </w:p>
        </w:tc>
        <w:tc>
          <w:tcPr>
            <w:tcW w:w="0" w:type="auto"/>
            <w:gridSpan w:val="2"/>
            <w:shd w:val="clear" w:color="auto" w:fill="auto"/>
            <w:vAlign w:val="bottom"/>
          </w:tcPr>
          <w:p w14:paraId="392BFD18" w14:textId="77777777" w:rsidR="00980E5F" w:rsidRDefault="00980E5F">
            <w:pPr>
              <w:rPr>
                <w:rFonts w:ascii="宋体"/>
                <w:vanish/>
              </w:rPr>
            </w:pPr>
          </w:p>
        </w:tc>
        <w:tc>
          <w:tcPr>
            <w:tcW w:w="0" w:type="auto"/>
            <w:shd w:val="clear" w:color="auto" w:fill="auto"/>
            <w:vAlign w:val="bottom"/>
          </w:tcPr>
          <w:p w14:paraId="392BFD19" w14:textId="77777777" w:rsidR="00980E5F" w:rsidRDefault="00980E5F">
            <w:pPr>
              <w:rPr>
                <w:rFonts w:ascii="宋体"/>
                <w:vanish/>
              </w:rPr>
            </w:pPr>
          </w:p>
        </w:tc>
      </w:tr>
      <w:tr w:rsidR="00980E5F" w14:paraId="392BFD37" w14:textId="77777777">
        <w:tc>
          <w:tcPr>
            <w:tcW w:w="0" w:type="auto"/>
            <w:gridSpan w:val="3"/>
            <w:shd w:val="clear" w:color="auto" w:fill="FFFFFF"/>
            <w:tcMar>
              <w:top w:w="40" w:type="dxa"/>
              <w:left w:w="20" w:type="dxa"/>
              <w:bottom w:w="40" w:type="dxa"/>
              <w:right w:w="20" w:type="dxa"/>
            </w:tcMar>
            <w:vAlign w:val="bottom"/>
          </w:tcPr>
          <w:p w14:paraId="392BFD1B" w14:textId="77777777" w:rsidR="00980E5F" w:rsidRDefault="00483613">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392BFD1C" w14:textId="77777777" w:rsidR="00980E5F" w:rsidRDefault="00483613">
            <w:pPr>
              <w:jc w:val="right"/>
              <w:textAlignment w:val="bottom"/>
            </w:pPr>
            <w:r>
              <w:rPr>
                <w:rFonts w:ascii="Arial" w:eastAsia="宋体" w:hAnsi="Arial" w:cs="Arial"/>
                <w:b/>
                <w:bCs/>
                <w:color w:val="000000"/>
                <w:sz w:val="12"/>
                <w:szCs w:val="12"/>
              </w:rPr>
              <w:t>59,162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1F" w14:textId="77777777" w:rsidR="00980E5F" w:rsidRDefault="00483613">
            <w:pPr>
              <w:jc w:val="right"/>
              <w:textAlignment w:val="bottom"/>
            </w:pPr>
            <w:r>
              <w:rPr>
                <w:rFonts w:ascii="Arial" w:eastAsia="宋体" w:hAnsi="Arial" w:cs="Arial"/>
                <w:b/>
                <w:bCs/>
                <w:color w:val="000000"/>
                <w:sz w:val="12"/>
                <w:szCs w:val="12"/>
              </w:rPr>
              <w:t>23</w:t>
            </w:r>
            <w:r>
              <w:rPr>
                <w:rFonts w:ascii="Arial" w:eastAsia="宋体" w:hAnsi="Arial" w:cs="Arial"/>
                <w:b/>
                <w:bCs/>
                <w:color w:val="000000"/>
                <w:sz w:val="12"/>
                <w:szCs w:val="12"/>
              </w:rPr>
              <w:t>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22" w14:textId="77777777" w:rsidR="00980E5F" w:rsidRDefault="00483613">
            <w:pPr>
              <w:jc w:val="right"/>
              <w:textAlignment w:val="bottom"/>
            </w:pPr>
            <w:r>
              <w:rPr>
                <w:rFonts w:ascii="Arial" w:eastAsia="宋体" w:hAnsi="Arial" w:cs="Arial"/>
                <w:b/>
                <w:bCs/>
                <w:color w:val="000000"/>
                <w:sz w:val="12"/>
                <w:szCs w:val="12"/>
              </w:rPr>
              <w:t>1.55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25" w14:textId="77777777" w:rsidR="00980E5F" w:rsidRDefault="00483613">
            <w:pPr>
              <w:jc w:val="right"/>
              <w:textAlignment w:val="bottom"/>
            </w:pPr>
            <w:r>
              <w:rPr>
                <w:rFonts w:ascii="Arial" w:eastAsia="宋体" w:hAnsi="Arial" w:cs="Arial"/>
                <w:color w:val="000000"/>
                <w:sz w:val="12"/>
                <w:szCs w:val="12"/>
              </w:rPr>
              <w:t>45,243 </w:t>
            </w:r>
          </w:p>
        </w:tc>
        <w:tc>
          <w:tcPr>
            <w:tcW w:w="0" w:type="auto"/>
            <w:shd w:val="clear" w:color="auto" w:fill="FFFFFF"/>
            <w:tcMar>
              <w:top w:w="40" w:type="dxa"/>
              <w:left w:w="0" w:type="dxa"/>
              <w:bottom w:w="40" w:type="dxa"/>
              <w:right w:w="20" w:type="dxa"/>
            </w:tcMar>
            <w:vAlign w:val="bottom"/>
          </w:tcPr>
          <w:p w14:paraId="392BFD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28" w14:textId="77777777" w:rsidR="00980E5F" w:rsidRDefault="00483613">
            <w:pPr>
              <w:jc w:val="right"/>
              <w:textAlignment w:val="bottom"/>
            </w:pPr>
            <w:r>
              <w:rPr>
                <w:rFonts w:ascii="Arial" w:eastAsia="宋体" w:hAnsi="Arial" w:cs="Arial"/>
                <w:color w:val="000000"/>
                <w:sz w:val="12"/>
                <w:szCs w:val="12"/>
              </w:rPr>
              <w:t>166 </w:t>
            </w:r>
          </w:p>
        </w:tc>
        <w:tc>
          <w:tcPr>
            <w:tcW w:w="0" w:type="auto"/>
            <w:shd w:val="clear" w:color="auto" w:fill="FFFFFF"/>
            <w:tcMar>
              <w:top w:w="40" w:type="dxa"/>
              <w:left w:w="0" w:type="dxa"/>
              <w:bottom w:w="40" w:type="dxa"/>
              <w:right w:w="20" w:type="dxa"/>
            </w:tcMar>
            <w:vAlign w:val="bottom"/>
          </w:tcPr>
          <w:p w14:paraId="392BFD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2B" w14:textId="77777777" w:rsidR="00980E5F" w:rsidRDefault="00483613">
            <w:pPr>
              <w:jc w:val="right"/>
              <w:textAlignment w:val="bottom"/>
            </w:pPr>
            <w:r>
              <w:rPr>
                <w:rFonts w:ascii="Arial" w:eastAsia="宋体" w:hAnsi="Arial" w:cs="Arial"/>
                <w:color w:val="000000"/>
                <w:sz w:val="12"/>
                <w:szCs w:val="12"/>
              </w:rPr>
              <w:t>1.47 </w:t>
            </w:r>
          </w:p>
        </w:tc>
        <w:tc>
          <w:tcPr>
            <w:tcW w:w="0" w:type="auto"/>
            <w:shd w:val="clear" w:color="auto" w:fill="FFFFFF"/>
            <w:tcMar>
              <w:top w:w="40" w:type="dxa"/>
              <w:left w:w="0" w:type="dxa"/>
              <w:bottom w:w="40" w:type="dxa"/>
              <w:right w:w="20" w:type="dxa"/>
            </w:tcMar>
            <w:vAlign w:val="bottom"/>
          </w:tcPr>
          <w:p w14:paraId="392BFD2C" w14:textId="77777777" w:rsidR="00980E5F" w:rsidRDefault="00980E5F">
            <w:pPr>
              <w:jc w:val="right"/>
              <w:rPr>
                <w:rFonts w:ascii="宋体"/>
              </w:rPr>
            </w:pPr>
          </w:p>
        </w:tc>
        <w:tc>
          <w:tcPr>
            <w:tcW w:w="0" w:type="auto"/>
            <w:shd w:val="clear" w:color="auto" w:fill="auto"/>
            <w:vAlign w:val="bottom"/>
          </w:tcPr>
          <w:p w14:paraId="392BFD2D" w14:textId="77777777" w:rsidR="00980E5F" w:rsidRDefault="00980E5F">
            <w:pPr>
              <w:rPr>
                <w:rFonts w:ascii="宋体"/>
                <w:vanish/>
              </w:rPr>
            </w:pPr>
          </w:p>
        </w:tc>
        <w:tc>
          <w:tcPr>
            <w:tcW w:w="0" w:type="auto"/>
            <w:shd w:val="clear" w:color="auto" w:fill="auto"/>
            <w:vAlign w:val="bottom"/>
          </w:tcPr>
          <w:p w14:paraId="392BFD2E" w14:textId="77777777" w:rsidR="00980E5F" w:rsidRDefault="00980E5F">
            <w:pPr>
              <w:rPr>
                <w:rFonts w:ascii="宋体"/>
                <w:vanish/>
              </w:rPr>
            </w:pPr>
          </w:p>
        </w:tc>
        <w:tc>
          <w:tcPr>
            <w:tcW w:w="0" w:type="auto"/>
            <w:shd w:val="clear" w:color="auto" w:fill="auto"/>
            <w:vAlign w:val="bottom"/>
          </w:tcPr>
          <w:p w14:paraId="392BFD2F" w14:textId="77777777" w:rsidR="00980E5F" w:rsidRDefault="00980E5F">
            <w:pPr>
              <w:rPr>
                <w:rFonts w:ascii="宋体"/>
                <w:vanish/>
              </w:rPr>
            </w:pPr>
          </w:p>
        </w:tc>
        <w:tc>
          <w:tcPr>
            <w:tcW w:w="0" w:type="auto"/>
            <w:shd w:val="clear" w:color="auto" w:fill="auto"/>
            <w:vAlign w:val="bottom"/>
          </w:tcPr>
          <w:p w14:paraId="392BFD30" w14:textId="77777777" w:rsidR="00980E5F" w:rsidRDefault="00980E5F">
            <w:pPr>
              <w:rPr>
                <w:rFonts w:ascii="宋体"/>
                <w:vanish/>
              </w:rPr>
            </w:pPr>
          </w:p>
        </w:tc>
        <w:tc>
          <w:tcPr>
            <w:tcW w:w="0" w:type="auto"/>
            <w:gridSpan w:val="3"/>
            <w:shd w:val="clear" w:color="auto" w:fill="auto"/>
            <w:vAlign w:val="bottom"/>
          </w:tcPr>
          <w:p w14:paraId="392BFD31" w14:textId="77777777" w:rsidR="00980E5F" w:rsidRDefault="00980E5F">
            <w:pPr>
              <w:rPr>
                <w:rFonts w:ascii="宋体"/>
                <w:vanish/>
              </w:rPr>
            </w:pPr>
          </w:p>
        </w:tc>
        <w:tc>
          <w:tcPr>
            <w:tcW w:w="0" w:type="auto"/>
            <w:gridSpan w:val="3"/>
            <w:shd w:val="clear" w:color="auto" w:fill="auto"/>
            <w:vAlign w:val="bottom"/>
          </w:tcPr>
          <w:p w14:paraId="392BFD32" w14:textId="77777777" w:rsidR="00980E5F" w:rsidRDefault="00980E5F">
            <w:pPr>
              <w:rPr>
                <w:rFonts w:ascii="宋体"/>
                <w:vanish/>
              </w:rPr>
            </w:pPr>
          </w:p>
        </w:tc>
        <w:tc>
          <w:tcPr>
            <w:tcW w:w="0" w:type="auto"/>
            <w:gridSpan w:val="3"/>
            <w:shd w:val="clear" w:color="auto" w:fill="auto"/>
            <w:vAlign w:val="bottom"/>
          </w:tcPr>
          <w:p w14:paraId="392BFD33" w14:textId="77777777" w:rsidR="00980E5F" w:rsidRDefault="00980E5F">
            <w:pPr>
              <w:rPr>
                <w:rFonts w:ascii="宋体"/>
                <w:vanish/>
              </w:rPr>
            </w:pPr>
          </w:p>
        </w:tc>
        <w:tc>
          <w:tcPr>
            <w:tcW w:w="0" w:type="auto"/>
            <w:gridSpan w:val="3"/>
            <w:shd w:val="clear" w:color="auto" w:fill="auto"/>
            <w:vAlign w:val="bottom"/>
          </w:tcPr>
          <w:p w14:paraId="392BFD34" w14:textId="77777777" w:rsidR="00980E5F" w:rsidRDefault="00980E5F">
            <w:pPr>
              <w:rPr>
                <w:rFonts w:ascii="宋体"/>
                <w:vanish/>
              </w:rPr>
            </w:pPr>
          </w:p>
        </w:tc>
        <w:tc>
          <w:tcPr>
            <w:tcW w:w="0" w:type="auto"/>
            <w:gridSpan w:val="2"/>
            <w:shd w:val="clear" w:color="auto" w:fill="auto"/>
            <w:vAlign w:val="bottom"/>
          </w:tcPr>
          <w:p w14:paraId="392BFD35" w14:textId="77777777" w:rsidR="00980E5F" w:rsidRDefault="00980E5F">
            <w:pPr>
              <w:rPr>
                <w:rFonts w:ascii="宋体"/>
                <w:vanish/>
              </w:rPr>
            </w:pPr>
          </w:p>
        </w:tc>
        <w:tc>
          <w:tcPr>
            <w:tcW w:w="0" w:type="auto"/>
            <w:shd w:val="clear" w:color="auto" w:fill="auto"/>
            <w:vAlign w:val="bottom"/>
          </w:tcPr>
          <w:p w14:paraId="392BFD36" w14:textId="77777777" w:rsidR="00980E5F" w:rsidRDefault="00980E5F">
            <w:pPr>
              <w:rPr>
                <w:rFonts w:ascii="宋体"/>
                <w:vanish/>
              </w:rPr>
            </w:pPr>
          </w:p>
        </w:tc>
      </w:tr>
      <w:tr w:rsidR="00980E5F" w14:paraId="392BFD54" w14:textId="77777777">
        <w:tc>
          <w:tcPr>
            <w:tcW w:w="0" w:type="auto"/>
            <w:gridSpan w:val="3"/>
            <w:shd w:val="clear" w:color="auto" w:fill="CCEEFF"/>
            <w:tcMar>
              <w:top w:w="40" w:type="dxa"/>
              <w:left w:w="20" w:type="dxa"/>
              <w:bottom w:w="40" w:type="dxa"/>
              <w:right w:w="20" w:type="dxa"/>
            </w:tcMar>
            <w:vAlign w:val="bottom"/>
          </w:tcPr>
          <w:p w14:paraId="392BFD38" w14:textId="77777777" w:rsidR="00980E5F" w:rsidRDefault="00483613">
            <w:pPr>
              <w:textAlignment w:val="bottom"/>
            </w:pPr>
            <w:r>
              <w:rPr>
                <w:rFonts w:ascii="Arial" w:eastAsia="宋体" w:hAnsi="Arial" w:cs="Arial"/>
                <w:color w:val="000000"/>
                <w:sz w:val="12"/>
                <w:szCs w:val="12"/>
              </w:rPr>
              <w:t xml:space="preserve">Investment securities </w:t>
            </w:r>
            <w:r>
              <w:rPr>
                <w:rFonts w:ascii="Arial" w:eastAsia="宋体" w:hAnsi="Arial" w:cs="Arial"/>
                <w:color w:val="000000"/>
                <w:sz w:val="12"/>
                <w:szCs w:val="12"/>
              </w:rPr>
              <w:t>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392BFD39"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3C"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3F"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42" w14:textId="77777777" w:rsidR="00980E5F" w:rsidRDefault="00483613">
            <w:pPr>
              <w:jc w:val="right"/>
              <w:textAlignment w:val="bottom"/>
            </w:pPr>
            <w:r>
              <w:rPr>
                <w:rFonts w:ascii="Arial" w:eastAsia="宋体" w:hAnsi="Arial" w:cs="Arial"/>
                <w:color w:val="000000"/>
                <w:sz w:val="12"/>
                <w:szCs w:val="12"/>
              </w:rPr>
              <w:t>13 </w:t>
            </w:r>
          </w:p>
        </w:tc>
        <w:tc>
          <w:tcPr>
            <w:tcW w:w="0" w:type="auto"/>
            <w:shd w:val="clear" w:color="auto" w:fill="CCEEFF"/>
            <w:tcMar>
              <w:top w:w="40" w:type="dxa"/>
              <w:left w:w="0" w:type="dxa"/>
              <w:bottom w:w="40" w:type="dxa"/>
              <w:right w:w="20" w:type="dxa"/>
            </w:tcMar>
            <w:vAlign w:val="bottom"/>
          </w:tcPr>
          <w:p w14:paraId="392BFD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45"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48" w14:textId="77777777" w:rsidR="00980E5F" w:rsidRDefault="00483613">
            <w:pPr>
              <w:jc w:val="right"/>
              <w:textAlignment w:val="bottom"/>
            </w:pPr>
            <w:r>
              <w:rPr>
                <w:rFonts w:ascii="Arial" w:eastAsia="宋体" w:hAnsi="Arial" w:cs="Arial"/>
                <w:color w:val="000000"/>
                <w:sz w:val="12"/>
                <w:szCs w:val="12"/>
              </w:rPr>
              <w:t>1.28 </w:t>
            </w:r>
          </w:p>
        </w:tc>
        <w:tc>
          <w:tcPr>
            <w:tcW w:w="0" w:type="auto"/>
            <w:shd w:val="clear" w:color="auto" w:fill="CCEEFF"/>
            <w:tcMar>
              <w:top w:w="40" w:type="dxa"/>
              <w:left w:w="0" w:type="dxa"/>
              <w:bottom w:w="40" w:type="dxa"/>
              <w:right w:w="20" w:type="dxa"/>
            </w:tcMar>
            <w:vAlign w:val="bottom"/>
          </w:tcPr>
          <w:p w14:paraId="392BFD49" w14:textId="77777777" w:rsidR="00980E5F" w:rsidRDefault="00980E5F">
            <w:pPr>
              <w:jc w:val="right"/>
              <w:rPr>
                <w:rFonts w:ascii="宋体"/>
              </w:rPr>
            </w:pPr>
          </w:p>
        </w:tc>
        <w:tc>
          <w:tcPr>
            <w:tcW w:w="0" w:type="auto"/>
            <w:shd w:val="clear" w:color="auto" w:fill="auto"/>
            <w:vAlign w:val="bottom"/>
          </w:tcPr>
          <w:p w14:paraId="392BFD4A" w14:textId="77777777" w:rsidR="00980E5F" w:rsidRDefault="00980E5F">
            <w:pPr>
              <w:rPr>
                <w:rFonts w:ascii="宋体"/>
                <w:vanish/>
              </w:rPr>
            </w:pPr>
          </w:p>
        </w:tc>
        <w:tc>
          <w:tcPr>
            <w:tcW w:w="0" w:type="auto"/>
            <w:shd w:val="clear" w:color="auto" w:fill="auto"/>
            <w:vAlign w:val="bottom"/>
          </w:tcPr>
          <w:p w14:paraId="392BFD4B" w14:textId="77777777" w:rsidR="00980E5F" w:rsidRDefault="00980E5F">
            <w:pPr>
              <w:rPr>
                <w:rFonts w:ascii="宋体"/>
                <w:vanish/>
              </w:rPr>
            </w:pPr>
          </w:p>
        </w:tc>
        <w:tc>
          <w:tcPr>
            <w:tcW w:w="0" w:type="auto"/>
            <w:shd w:val="clear" w:color="auto" w:fill="auto"/>
            <w:vAlign w:val="bottom"/>
          </w:tcPr>
          <w:p w14:paraId="392BFD4C" w14:textId="77777777" w:rsidR="00980E5F" w:rsidRDefault="00980E5F">
            <w:pPr>
              <w:rPr>
                <w:rFonts w:ascii="宋体"/>
                <w:vanish/>
              </w:rPr>
            </w:pPr>
          </w:p>
        </w:tc>
        <w:tc>
          <w:tcPr>
            <w:tcW w:w="0" w:type="auto"/>
            <w:shd w:val="clear" w:color="auto" w:fill="auto"/>
            <w:vAlign w:val="bottom"/>
          </w:tcPr>
          <w:p w14:paraId="392BFD4D" w14:textId="77777777" w:rsidR="00980E5F" w:rsidRDefault="00980E5F">
            <w:pPr>
              <w:rPr>
                <w:rFonts w:ascii="宋体"/>
                <w:vanish/>
              </w:rPr>
            </w:pPr>
          </w:p>
        </w:tc>
        <w:tc>
          <w:tcPr>
            <w:tcW w:w="0" w:type="auto"/>
            <w:gridSpan w:val="3"/>
            <w:shd w:val="clear" w:color="auto" w:fill="auto"/>
            <w:vAlign w:val="bottom"/>
          </w:tcPr>
          <w:p w14:paraId="392BFD4E" w14:textId="77777777" w:rsidR="00980E5F" w:rsidRDefault="00980E5F">
            <w:pPr>
              <w:rPr>
                <w:rFonts w:ascii="宋体"/>
                <w:vanish/>
              </w:rPr>
            </w:pPr>
          </w:p>
        </w:tc>
        <w:tc>
          <w:tcPr>
            <w:tcW w:w="0" w:type="auto"/>
            <w:gridSpan w:val="3"/>
            <w:shd w:val="clear" w:color="auto" w:fill="auto"/>
            <w:vAlign w:val="bottom"/>
          </w:tcPr>
          <w:p w14:paraId="392BFD4F" w14:textId="77777777" w:rsidR="00980E5F" w:rsidRDefault="00980E5F">
            <w:pPr>
              <w:rPr>
                <w:rFonts w:ascii="宋体"/>
                <w:vanish/>
              </w:rPr>
            </w:pPr>
          </w:p>
        </w:tc>
        <w:tc>
          <w:tcPr>
            <w:tcW w:w="0" w:type="auto"/>
            <w:gridSpan w:val="3"/>
            <w:shd w:val="clear" w:color="auto" w:fill="auto"/>
            <w:vAlign w:val="bottom"/>
          </w:tcPr>
          <w:p w14:paraId="392BFD50" w14:textId="77777777" w:rsidR="00980E5F" w:rsidRDefault="00980E5F">
            <w:pPr>
              <w:rPr>
                <w:rFonts w:ascii="宋体"/>
                <w:vanish/>
              </w:rPr>
            </w:pPr>
          </w:p>
        </w:tc>
        <w:tc>
          <w:tcPr>
            <w:tcW w:w="0" w:type="auto"/>
            <w:gridSpan w:val="3"/>
            <w:shd w:val="clear" w:color="auto" w:fill="auto"/>
            <w:vAlign w:val="bottom"/>
          </w:tcPr>
          <w:p w14:paraId="392BFD51" w14:textId="77777777" w:rsidR="00980E5F" w:rsidRDefault="00980E5F">
            <w:pPr>
              <w:rPr>
                <w:rFonts w:ascii="宋体"/>
                <w:vanish/>
              </w:rPr>
            </w:pPr>
          </w:p>
        </w:tc>
        <w:tc>
          <w:tcPr>
            <w:tcW w:w="0" w:type="auto"/>
            <w:gridSpan w:val="2"/>
            <w:shd w:val="clear" w:color="auto" w:fill="auto"/>
            <w:vAlign w:val="bottom"/>
          </w:tcPr>
          <w:p w14:paraId="392BFD52" w14:textId="77777777" w:rsidR="00980E5F" w:rsidRDefault="00980E5F">
            <w:pPr>
              <w:rPr>
                <w:rFonts w:ascii="宋体"/>
                <w:vanish/>
              </w:rPr>
            </w:pPr>
          </w:p>
        </w:tc>
        <w:tc>
          <w:tcPr>
            <w:tcW w:w="0" w:type="auto"/>
            <w:shd w:val="clear" w:color="auto" w:fill="auto"/>
            <w:vAlign w:val="bottom"/>
          </w:tcPr>
          <w:p w14:paraId="392BFD53" w14:textId="77777777" w:rsidR="00980E5F" w:rsidRDefault="00980E5F">
            <w:pPr>
              <w:rPr>
                <w:rFonts w:ascii="宋体"/>
                <w:vanish/>
              </w:rPr>
            </w:pPr>
          </w:p>
        </w:tc>
      </w:tr>
      <w:tr w:rsidR="00980E5F" w14:paraId="392BFD71" w14:textId="77777777">
        <w:tc>
          <w:tcPr>
            <w:tcW w:w="0" w:type="auto"/>
            <w:gridSpan w:val="3"/>
            <w:shd w:val="clear" w:color="auto" w:fill="FFFFFF"/>
            <w:tcMar>
              <w:top w:w="40" w:type="dxa"/>
              <w:left w:w="20" w:type="dxa"/>
              <w:bottom w:w="40" w:type="dxa"/>
              <w:right w:w="20" w:type="dxa"/>
            </w:tcMar>
            <w:vAlign w:val="bottom"/>
          </w:tcPr>
          <w:p w14:paraId="392BFD55" w14:textId="77777777" w:rsidR="00980E5F" w:rsidRDefault="00483613">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D56" w14:textId="77777777" w:rsidR="00980E5F" w:rsidRDefault="00483613">
            <w:pPr>
              <w:jc w:val="right"/>
              <w:textAlignment w:val="bottom"/>
            </w:pPr>
            <w:r>
              <w:rPr>
                <w:rFonts w:ascii="Arial" w:eastAsia="宋体" w:hAnsi="Arial" w:cs="Arial"/>
                <w:b/>
                <w:bCs/>
                <w:color w:val="000000"/>
                <w:sz w:val="12"/>
                <w:szCs w:val="12"/>
              </w:rPr>
              <w:t>113,929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D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5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D59" w14:textId="77777777" w:rsidR="00980E5F" w:rsidRDefault="00483613">
            <w:pPr>
              <w:jc w:val="right"/>
              <w:textAlignment w:val="bottom"/>
            </w:pPr>
            <w:r>
              <w:rPr>
                <w:rFonts w:ascii="Arial" w:eastAsia="宋体" w:hAnsi="Arial" w:cs="Arial"/>
                <w:b/>
                <w:bCs/>
                <w:color w:val="000000"/>
                <w:sz w:val="12"/>
                <w:szCs w:val="12"/>
              </w:rPr>
              <w:t>354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D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5C" w14:textId="77777777" w:rsidR="00980E5F" w:rsidRDefault="00483613">
            <w:pPr>
              <w:jc w:val="right"/>
              <w:textAlignment w:val="bottom"/>
            </w:pPr>
            <w:r>
              <w:rPr>
                <w:rFonts w:ascii="Arial" w:eastAsia="宋体" w:hAnsi="Arial" w:cs="Arial"/>
                <w:b/>
                <w:bCs/>
                <w:color w:val="000000"/>
                <w:sz w:val="12"/>
                <w:szCs w:val="12"/>
              </w:rPr>
              <w:t>1.24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5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D5F" w14:textId="77777777" w:rsidR="00980E5F" w:rsidRDefault="00483613">
            <w:pPr>
              <w:jc w:val="right"/>
              <w:textAlignment w:val="bottom"/>
            </w:pPr>
            <w:r>
              <w:rPr>
                <w:rFonts w:ascii="Arial" w:eastAsia="宋体" w:hAnsi="Arial" w:cs="Arial"/>
                <w:color w:val="000000"/>
                <w:sz w:val="12"/>
                <w:szCs w:val="12"/>
              </w:rPr>
              <w:t>111,481 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D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6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BFD62" w14:textId="77777777" w:rsidR="00980E5F" w:rsidRDefault="00483613">
            <w:pPr>
              <w:jc w:val="right"/>
              <w:textAlignment w:val="bottom"/>
            </w:pPr>
            <w:r>
              <w:rPr>
                <w:rFonts w:ascii="Arial" w:eastAsia="宋体" w:hAnsi="Arial" w:cs="Arial"/>
                <w:color w:val="000000"/>
                <w:sz w:val="12"/>
                <w:szCs w:val="12"/>
              </w:rPr>
              <w:t>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BFD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65" w14:textId="77777777" w:rsidR="00980E5F" w:rsidRDefault="00483613">
            <w:pPr>
              <w:jc w:val="right"/>
              <w:textAlignment w:val="bottom"/>
            </w:pPr>
            <w:r>
              <w:rPr>
                <w:rFonts w:ascii="Arial" w:eastAsia="宋体" w:hAnsi="Arial" w:cs="Arial"/>
                <w:color w:val="000000"/>
                <w:sz w:val="12"/>
                <w:szCs w:val="12"/>
              </w:rPr>
              <w:t>1.12 </w:t>
            </w:r>
          </w:p>
        </w:tc>
        <w:tc>
          <w:tcPr>
            <w:tcW w:w="0" w:type="auto"/>
            <w:shd w:val="clear" w:color="auto" w:fill="FFFFFF"/>
            <w:tcMar>
              <w:top w:w="40" w:type="dxa"/>
              <w:left w:w="0" w:type="dxa"/>
              <w:bottom w:w="40" w:type="dxa"/>
              <w:right w:w="20" w:type="dxa"/>
            </w:tcMar>
            <w:vAlign w:val="bottom"/>
          </w:tcPr>
          <w:p w14:paraId="392BFD66" w14:textId="77777777" w:rsidR="00980E5F" w:rsidRDefault="00980E5F">
            <w:pPr>
              <w:jc w:val="right"/>
              <w:rPr>
                <w:rFonts w:ascii="宋体"/>
              </w:rPr>
            </w:pPr>
          </w:p>
        </w:tc>
        <w:tc>
          <w:tcPr>
            <w:tcW w:w="0" w:type="auto"/>
            <w:shd w:val="clear" w:color="auto" w:fill="auto"/>
            <w:vAlign w:val="bottom"/>
          </w:tcPr>
          <w:p w14:paraId="392BFD67" w14:textId="77777777" w:rsidR="00980E5F" w:rsidRDefault="00980E5F">
            <w:pPr>
              <w:rPr>
                <w:rFonts w:ascii="宋体"/>
                <w:vanish/>
              </w:rPr>
            </w:pPr>
          </w:p>
        </w:tc>
        <w:tc>
          <w:tcPr>
            <w:tcW w:w="0" w:type="auto"/>
            <w:shd w:val="clear" w:color="auto" w:fill="auto"/>
            <w:vAlign w:val="bottom"/>
          </w:tcPr>
          <w:p w14:paraId="392BFD68" w14:textId="77777777" w:rsidR="00980E5F" w:rsidRDefault="00980E5F">
            <w:pPr>
              <w:rPr>
                <w:rFonts w:ascii="宋体"/>
                <w:vanish/>
              </w:rPr>
            </w:pPr>
          </w:p>
        </w:tc>
        <w:tc>
          <w:tcPr>
            <w:tcW w:w="0" w:type="auto"/>
            <w:shd w:val="clear" w:color="auto" w:fill="auto"/>
            <w:vAlign w:val="bottom"/>
          </w:tcPr>
          <w:p w14:paraId="392BFD69" w14:textId="77777777" w:rsidR="00980E5F" w:rsidRDefault="00980E5F">
            <w:pPr>
              <w:rPr>
                <w:rFonts w:ascii="宋体"/>
                <w:vanish/>
              </w:rPr>
            </w:pPr>
          </w:p>
        </w:tc>
        <w:tc>
          <w:tcPr>
            <w:tcW w:w="0" w:type="auto"/>
            <w:shd w:val="clear" w:color="auto" w:fill="auto"/>
            <w:vAlign w:val="bottom"/>
          </w:tcPr>
          <w:p w14:paraId="392BFD6A" w14:textId="77777777" w:rsidR="00980E5F" w:rsidRDefault="00980E5F">
            <w:pPr>
              <w:rPr>
                <w:rFonts w:ascii="宋体"/>
                <w:vanish/>
              </w:rPr>
            </w:pPr>
          </w:p>
        </w:tc>
        <w:tc>
          <w:tcPr>
            <w:tcW w:w="0" w:type="auto"/>
            <w:gridSpan w:val="3"/>
            <w:shd w:val="clear" w:color="auto" w:fill="auto"/>
            <w:vAlign w:val="bottom"/>
          </w:tcPr>
          <w:p w14:paraId="392BFD6B" w14:textId="77777777" w:rsidR="00980E5F" w:rsidRDefault="00980E5F">
            <w:pPr>
              <w:rPr>
                <w:rFonts w:ascii="宋体"/>
                <w:vanish/>
              </w:rPr>
            </w:pPr>
          </w:p>
        </w:tc>
        <w:tc>
          <w:tcPr>
            <w:tcW w:w="0" w:type="auto"/>
            <w:gridSpan w:val="3"/>
            <w:shd w:val="clear" w:color="auto" w:fill="auto"/>
            <w:vAlign w:val="bottom"/>
          </w:tcPr>
          <w:p w14:paraId="392BFD6C" w14:textId="77777777" w:rsidR="00980E5F" w:rsidRDefault="00980E5F">
            <w:pPr>
              <w:rPr>
                <w:rFonts w:ascii="宋体"/>
                <w:vanish/>
              </w:rPr>
            </w:pPr>
          </w:p>
        </w:tc>
        <w:tc>
          <w:tcPr>
            <w:tcW w:w="0" w:type="auto"/>
            <w:gridSpan w:val="3"/>
            <w:shd w:val="clear" w:color="auto" w:fill="auto"/>
            <w:vAlign w:val="bottom"/>
          </w:tcPr>
          <w:p w14:paraId="392BFD6D" w14:textId="77777777" w:rsidR="00980E5F" w:rsidRDefault="00980E5F">
            <w:pPr>
              <w:rPr>
                <w:rFonts w:ascii="宋体"/>
                <w:vanish/>
              </w:rPr>
            </w:pPr>
          </w:p>
        </w:tc>
        <w:tc>
          <w:tcPr>
            <w:tcW w:w="0" w:type="auto"/>
            <w:gridSpan w:val="3"/>
            <w:shd w:val="clear" w:color="auto" w:fill="auto"/>
            <w:vAlign w:val="bottom"/>
          </w:tcPr>
          <w:p w14:paraId="392BFD6E" w14:textId="77777777" w:rsidR="00980E5F" w:rsidRDefault="00980E5F">
            <w:pPr>
              <w:rPr>
                <w:rFonts w:ascii="宋体"/>
                <w:vanish/>
              </w:rPr>
            </w:pPr>
          </w:p>
        </w:tc>
        <w:tc>
          <w:tcPr>
            <w:tcW w:w="0" w:type="auto"/>
            <w:gridSpan w:val="2"/>
            <w:shd w:val="clear" w:color="auto" w:fill="auto"/>
            <w:vAlign w:val="bottom"/>
          </w:tcPr>
          <w:p w14:paraId="392BFD6F" w14:textId="77777777" w:rsidR="00980E5F" w:rsidRDefault="00980E5F">
            <w:pPr>
              <w:rPr>
                <w:rFonts w:ascii="宋体"/>
                <w:vanish/>
              </w:rPr>
            </w:pPr>
          </w:p>
        </w:tc>
        <w:tc>
          <w:tcPr>
            <w:tcW w:w="0" w:type="auto"/>
            <w:shd w:val="clear" w:color="auto" w:fill="auto"/>
            <w:vAlign w:val="bottom"/>
          </w:tcPr>
          <w:p w14:paraId="392BFD70" w14:textId="77777777" w:rsidR="00980E5F" w:rsidRDefault="00980E5F">
            <w:pPr>
              <w:rPr>
                <w:rFonts w:ascii="宋体"/>
                <w:vanish/>
              </w:rPr>
            </w:pPr>
          </w:p>
        </w:tc>
      </w:tr>
      <w:tr w:rsidR="00980E5F" w14:paraId="392BFD8E" w14:textId="77777777">
        <w:tc>
          <w:tcPr>
            <w:tcW w:w="0" w:type="auto"/>
            <w:gridSpan w:val="3"/>
            <w:shd w:val="clear" w:color="auto" w:fill="CCEEFF"/>
            <w:tcMar>
              <w:top w:w="40" w:type="dxa"/>
              <w:left w:w="20" w:type="dxa"/>
              <w:bottom w:w="40" w:type="dxa"/>
              <w:right w:w="20" w:type="dxa"/>
            </w:tcMar>
            <w:vAlign w:val="bottom"/>
          </w:tcPr>
          <w:p w14:paraId="392BFD72" w14:textId="77777777" w:rsidR="00980E5F" w:rsidRDefault="00483613">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392BFD73" w14:textId="77777777" w:rsidR="00980E5F" w:rsidRDefault="00483613">
            <w:pPr>
              <w:jc w:val="right"/>
              <w:textAlignment w:val="bottom"/>
            </w:pPr>
            <w:r>
              <w:rPr>
                <w:rFonts w:ascii="Arial" w:eastAsia="宋体" w:hAnsi="Arial" w:cs="Arial"/>
                <w:b/>
                <w:bCs/>
                <w:color w:val="000000"/>
                <w:sz w:val="12"/>
                <w:szCs w:val="12"/>
              </w:rPr>
              <w:t>35,826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76" w14:textId="77777777" w:rsidR="00980E5F" w:rsidRDefault="00483613">
            <w:pPr>
              <w:jc w:val="right"/>
              <w:textAlignment w:val="bottom"/>
            </w:pPr>
            <w:r>
              <w:rPr>
                <w:rFonts w:ascii="Arial" w:eastAsia="宋体" w:hAnsi="Arial" w:cs="Arial"/>
                <w:b/>
                <w:bCs/>
                <w:color w:val="000000"/>
                <w:sz w:val="12"/>
                <w:szCs w:val="12"/>
              </w:rPr>
              <w:t>200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79" w14:textId="77777777" w:rsidR="00980E5F" w:rsidRDefault="00483613">
            <w:pPr>
              <w:jc w:val="right"/>
              <w:textAlignment w:val="bottom"/>
            </w:pPr>
            <w:r>
              <w:rPr>
                <w:rFonts w:ascii="Arial" w:eastAsia="宋体" w:hAnsi="Arial" w:cs="Arial"/>
                <w:b/>
                <w:bCs/>
                <w:color w:val="000000"/>
                <w:sz w:val="12"/>
                <w:szCs w:val="12"/>
              </w:rPr>
              <w:t>2.23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7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7C" w14:textId="77777777" w:rsidR="00980E5F" w:rsidRDefault="00483613">
            <w:pPr>
              <w:jc w:val="right"/>
              <w:textAlignment w:val="bottom"/>
            </w:pPr>
            <w:r>
              <w:rPr>
                <w:rFonts w:ascii="Arial" w:eastAsia="宋体" w:hAnsi="Arial" w:cs="Arial"/>
                <w:color w:val="000000"/>
                <w:sz w:val="12"/>
                <w:szCs w:val="12"/>
              </w:rPr>
              <w:t>29,471 </w:t>
            </w:r>
          </w:p>
        </w:tc>
        <w:tc>
          <w:tcPr>
            <w:tcW w:w="0" w:type="auto"/>
            <w:shd w:val="clear" w:color="auto" w:fill="CCEEFF"/>
            <w:tcMar>
              <w:top w:w="40" w:type="dxa"/>
              <w:left w:w="0" w:type="dxa"/>
              <w:bottom w:w="40" w:type="dxa"/>
              <w:right w:w="20" w:type="dxa"/>
            </w:tcMar>
            <w:vAlign w:val="bottom"/>
          </w:tcPr>
          <w:p w14:paraId="392BFD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7F" w14:textId="77777777" w:rsidR="00980E5F" w:rsidRDefault="00483613">
            <w:pPr>
              <w:jc w:val="right"/>
              <w:textAlignment w:val="bottom"/>
            </w:pPr>
            <w:r>
              <w:rPr>
                <w:rFonts w:ascii="Arial" w:eastAsia="宋体" w:hAnsi="Arial" w:cs="Arial"/>
                <w:color w:val="000000"/>
                <w:sz w:val="12"/>
                <w:szCs w:val="12"/>
              </w:rPr>
              <w:t>157 </w:t>
            </w:r>
          </w:p>
        </w:tc>
        <w:tc>
          <w:tcPr>
            <w:tcW w:w="0" w:type="auto"/>
            <w:shd w:val="clear" w:color="auto" w:fill="CCEEFF"/>
            <w:tcMar>
              <w:top w:w="40" w:type="dxa"/>
              <w:left w:w="0" w:type="dxa"/>
              <w:bottom w:w="40" w:type="dxa"/>
              <w:right w:w="20" w:type="dxa"/>
            </w:tcMar>
            <w:vAlign w:val="bottom"/>
          </w:tcPr>
          <w:p w14:paraId="392BFD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8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82" w14:textId="77777777" w:rsidR="00980E5F" w:rsidRDefault="00483613">
            <w:pPr>
              <w:jc w:val="right"/>
              <w:textAlignment w:val="bottom"/>
            </w:pPr>
            <w:r>
              <w:rPr>
                <w:rFonts w:ascii="Arial" w:eastAsia="宋体" w:hAnsi="Arial" w:cs="Arial"/>
                <w:color w:val="000000"/>
                <w:sz w:val="12"/>
                <w:szCs w:val="12"/>
              </w:rPr>
              <w:t>2.14 </w:t>
            </w:r>
          </w:p>
        </w:tc>
        <w:tc>
          <w:tcPr>
            <w:tcW w:w="0" w:type="auto"/>
            <w:shd w:val="clear" w:color="auto" w:fill="CCEEFF"/>
            <w:tcMar>
              <w:top w:w="40" w:type="dxa"/>
              <w:left w:w="0" w:type="dxa"/>
              <w:bottom w:w="40" w:type="dxa"/>
              <w:right w:w="20" w:type="dxa"/>
            </w:tcMar>
            <w:vAlign w:val="bottom"/>
          </w:tcPr>
          <w:p w14:paraId="392BFD83" w14:textId="77777777" w:rsidR="00980E5F" w:rsidRDefault="00980E5F">
            <w:pPr>
              <w:jc w:val="right"/>
              <w:rPr>
                <w:rFonts w:ascii="宋体"/>
              </w:rPr>
            </w:pPr>
          </w:p>
        </w:tc>
        <w:tc>
          <w:tcPr>
            <w:tcW w:w="0" w:type="auto"/>
            <w:shd w:val="clear" w:color="auto" w:fill="auto"/>
            <w:vAlign w:val="bottom"/>
          </w:tcPr>
          <w:p w14:paraId="392BFD84" w14:textId="77777777" w:rsidR="00980E5F" w:rsidRDefault="00980E5F">
            <w:pPr>
              <w:rPr>
                <w:rFonts w:ascii="宋体"/>
                <w:vanish/>
              </w:rPr>
            </w:pPr>
          </w:p>
        </w:tc>
        <w:tc>
          <w:tcPr>
            <w:tcW w:w="0" w:type="auto"/>
            <w:shd w:val="clear" w:color="auto" w:fill="auto"/>
            <w:vAlign w:val="bottom"/>
          </w:tcPr>
          <w:p w14:paraId="392BFD85" w14:textId="77777777" w:rsidR="00980E5F" w:rsidRDefault="00980E5F">
            <w:pPr>
              <w:rPr>
                <w:rFonts w:ascii="宋体"/>
                <w:vanish/>
              </w:rPr>
            </w:pPr>
          </w:p>
        </w:tc>
        <w:tc>
          <w:tcPr>
            <w:tcW w:w="0" w:type="auto"/>
            <w:shd w:val="clear" w:color="auto" w:fill="auto"/>
            <w:vAlign w:val="bottom"/>
          </w:tcPr>
          <w:p w14:paraId="392BFD86" w14:textId="77777777" w:rsidR="00980E5F" w:rsidRDefault="00980E5F">
            <w:pPr>
              <w:rPr>
                <w:rFonts w:ascii="宋体"/>
                <w:vanish/>
              </w:rPr>
            </w:pPr>
          </w:p>
        </w:tc>
        <w:tc>
          <w:tcPr>
            <w:tcW w:w="0" w:type="auto"/>
            <w:shd w:val="clear" w:color="auto" w:fill="auto"/>
            <w:vAlign w:val="bottom"/>
          </w:tcPr>
          <w:p w14:paraId="392BFD87" w14:textId="77777777" w:rsidR="00980E5F" w:rsidRDefault="00980E5F">
            <w:pPr>
              <w:rPr>
                <w:rFonts w:ascii="宋体"/>
                <w:vanish/>
              </w:rPr>
            </w:pPr>
          </w:p>
        </w:tc>
        <w:tc>
          <w:tcPr>
            <w:tcW w:w="0" w:type="auto"/>
            <w:gridSpan w:val="3"/>
            <w:shd w:val="clear" w:color="auto" w:fill="auto"/>
            <w:vAlign w:val="bottom"/>
          </w:tcPr>
          <w:p w14:paraId="392BFD88" w14:textId="77777777" w:rsidR="00980E5F" w:rsidRDefault="00980E5F">
            <w:pPr>
              <w:rPr>
                <w:rFonts w:ascii="宋体"/>
                <w:vanish/>
              </w:rPr>
            </w:pPr>
          </w:p>
        </w:tc>
        <w:tc>
          <w:tcPr>
            <w:tcW w:w="0" w:type="auto"/>
            <w:gridSpan w:val="3"/>
            <w:shd w:val="clear" w:color="auto" w:fill="auto"/>
            <w:vAlign w:val="bottom"/>
          </w:tcPr>
          <w:p w14:paraId="392BFD89" w14:textId="77777777" w:rsidR="00980E5F" w:rsidRDefault="00980E5F">
            <w:pPr>
              <w:rPr>
                <w:rFonts w:ascii="宋体"/>
                <w:vanish/>
              </w:rPr>
            </w:pPr>
          </w:p>
        </w:tc>
        <w:tc>
          <w:tcPr>
            <w:tcW w:w="0" w:type="auto"/>
            <w:gridSpan w:val="3"/>
            <w:shd w:val="clear" w:color="auto" w:fill="auto"/>
            <w:vAlign w:val="bottom"/>
          </w:tcPr>
          <w:p w14:paraId="392BFD8A" w14:textId="77777777" w:rsidR="00980E5F" w:rsidRDefault="00980E5F">
            <w:pPr>
              <w:rPr>
                <w:rFonts w:ascii="宋体"/>
                <w:vanish/>
              </w:rPr>
            </w:pPr>
          </w:p>
        </w:tc>
        <w:tc>
          <w:tcPr>
            <w:tcW w:w="0" w:type="auto"/>
            <w:gridSpan w:val="3"/>
            <w:shd w:val="clear" w:color="auto" w:fill="auto"/>
            <w:vAlign w:val="bottom"/>
          </w:tcPr>
          <w:p w14:paraId="392BFD8B" w14:textId="77777777" w:rsidR="00980E5F" w:rsidRDefault="00980E5F">
            <w:pPr>
              <w:rPr>
                <w:rFonts w:ascii="宋体"/>
                <w:vanish/>
              </w:rPr>
            </w:pPr>
          </w:p>
        </w:tc>
        <w:tc>
          <w:tcPr>
            <w:tcW w:w="0" w:type="auto"/>
            <w:gridSpan w:val="2"/>
            <w:shd w:val="clear" w:color="auto" w:fill="auto"/>
            <w:vAlign w:val="bottom"/>
          </w:tcPr>
          <w:p w14:paraId="392BFD8C" w14:textId="77777777" w:rsidR="00980E5F" w:rsidRDefault="00980E5F">
            <w:pPr>
              <w:rPr>
                <w:rFonts w:ascii="宋体"/>
                <w:vanish/>
              </w:rPr>
            </w:pPr>
          </w:p>
        </w:tc>
        <w:tc>
          <w:tcPr>
            <w:tcW w:w="0" w:type="auto"/>
            <w:shd w:val="clear" w:color="auto" w:fill="auto"/>
            <w:vAlign w:val="bottom"/>
          </w:tcPr>
          <w:p w14:paraId="392BFD8D" w14:textId="77777777" w:rsidR="00980E5F" w:rsidRDefault="00980E5F">
            <w:pPr>
              <w:rPr>
                <w:rFonts w:ascii="宋体"/>
                <w:vanish/>
              </w:rPr>
            </w:pPr>
          </w:p>
        </w:tc>
      </w:tr>
      <w:tr w:rsidR="00980E5F" w14:paraId="392BFDAB" w14:textId="77777777">
        <w:tc>
          <w:tcPr>
            <w:tcW w:w="0" w:type="auto"/>
            <w:gridSpan w:val="3"/>
            <w:shd w:val="clear" w:color="auto" w:fill="FFFFFF"/>
            <w:tcMar>
              <w:top w:w="40" w:type="dxa"/>
              <w:left w:w="20" w:type="dxa"/>
              <w:bottom w:w="40" w:type="dxa"/>
              <w:right w:w="20" w:type="dxa"/>
            </w:tcMar>
            <w:vAlign w:val="bottom"/>
          </w:tcPr>
          <w:p w14:paraId="392BFD8F" w14:textId="77777777" w:rsidR="00980E5F" w:rsidRDefault="00483613">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392BFD90" w14:textId="77777777" w:rsidR="00980E5F" w:rsidRDefault="00483613">
            <w:pPr>
              <w:jc w:val="right"/>
              <w:textAlignment w:val="bottom"/>
            </w:pPr>
            <w:r>
              <w:rPr>
                <w:rFonts w:ascii="Arial" w:eastAsia="宋体" w:hAnsi="Arial" w:cs="Arial"/>
                <w:b/>
                <w:bCs/>
                <w:color w:val="000000"/>
                <w:sz w:val="12"/>
                <w:szCs w:val="12"/>
              </w:rPr>
              <w:t>22,199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9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93" w14:textId="77777777" w:rsidR="00980E5F" w:rsidRDefault="00483613">
            <w:pPr>
              <w:jc w:val="right"/>
              <w:textAlignment w:val="bottom"/>
            </w:pPr>
            <w:r>
              <w:rPr>
                <w:rFonts w:ascii="Arial" w:eastAsia="宋体" w:hAnsi="Arial" w:cs="Arial"/>
                <w:b/>
                <w:bCs/>
                <w:color w:val="000000"/>
                <w:sz w:val="12"/>
                <w:szCs w:val="12"/>
              </w:rPr>
              <w:t>45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9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96" w14:textId="77777777" w:rsidR="00980E5F" w:rsidRDefault="00483613">
            <w:pPr>
              <w:jc w:val="right"/>
              <w:textAlignment w:val="bottom"/>
            </w:pPr>
            <w:r>
              <w:rPr>
                <w:rFonts w:ascii="Arial" w:eastAsia="宋体" w:hAnsi="Arial" w:cs="Arial"/>
                <w:b/>
                <w:bCs/>
                <w:color w:val="000000"/>
                <w:sz w:val="12"/>
                <w:szCs w:val="12"/>
              </w:rPr>
              <w:t>.83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D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99" w14:textId="77777777" w:rsidR="00980E5F" w:rsidRDefault="00483613">
            <w:pPr>
              <w:jc w:val="right"/>
              <w:textAlignment w:val="bottom"/>
            </w:pPr>
            <w:r>
              <w:rPr>
                <w:rFonts w:ascii="Arial" w:eastAsia="宋体" w:hAnsi="Arial" w:cs="Arial"/>
                <w:color w:val="000000"/>
                <w:sz w:val="12"/>
                <w:szCs w:val="12"/>
              </w:rPr>
              <w:t>20,939 </w:t>
            </w:r>
          </w:p>
        </w:tc>
        <w:tc>
          <w:tcPr>
            <w:tcW w:w="0" w:type="auto"/>
            <w:shd w:val="clear" w:color="auto" w:fill="FFFFFF"/>
            <w:tcMar>
              <w:top w:w="40" w:type="dxa"/>
              <w:left w:w="0" w:type="dxa"/>
              <w:bottom w:w="40" w:type="dxa"/>
              <w:right w:w="20" w:type="dxa"/>
            </w:tcMar>
            <w:vAlign w:val="bottom"/>
          </w:tcPr>
          <w:p w14:paraId="392BFD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9C" w14:textId="77777777" w:rsidR="00980E5F" w:rsidRDefault="00483613">
            <w:pPr>
              <w:jc w:val="right"/>
              <w:textAlignment w:val="bottom"/>
            </w:pPr>
            <w:r>
              <w:rPr>
                <w:rFonts w:ascii="Arial" w:eastAsia="宋体" w:hAnsi="Arial" w:cs="Arial"/>
                <w:color w:val="000000"/>
                <w:sz w:val="12"/>
                <w:szCs w:val="12"/>
              </w:rPr>
              <w:t>3 </w:t>
            </w:r>
          </w:p>
        </w:tc>
        <w:tc>
          <w:tcPr>
            <w:tcW w:w="0" w:type="auto"/>
            <w:shd w:val="clear" w:color="auto" w:fill="FFFFFF"/>
            <w:tcMar>
              <w:top w:w="40" w:type="dxa"/>
              <w:left w:w="0" w:type="dxa"/>
              <w:bottom w:w="40" w:type="dxa"/>
              <w:right w:w="20" w:type="dxa"/>
            </w:tcMar>
            <w:vAlign w:val="bottom"/>
          </w:tcPr>
          <w:p w14:paraId="392BFD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D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D9F" w14:textId="77777777" w:rsidR="00980E5F" w:rsidRDefault="00483613">
            <w:pPr>
              <w:jc w:val="right"/>
              <w:textAlignment w:val="bottom"/>
            </w:pPr>
            <w:r>
              <w:rPr>
                <w:rFonts w:ascii="Arial" w:eastAsia="宋体" w:hAnsi="Arial" w:cs="Arial"/>
                <w:color w:val="000000"/>
                <w:sz w:val="12"/>
                <w:szCs w:val="12"/>
              </w:rPr>
              <w:t>.07 </w:t>
            </w:r>
          </w:p>
        </w:tc>
        <w:tc>
          <w:tcPr>
            <w:tcW w:w="0" w:type="auto"/>
            <w:shd w:val="clear" w:color="auto" w:fill="FFFFFF"/>
            <w:tcMar>
              <w:top w:w="40" w:type="dxa"/>
              <w:left w:w="0" w:type="dxa"/>
              <w:bottom w:w="40" w:type="dxa"/>
              <w:right w:w="20" w:type="dxa"/>
            </w:tcMar>
            <w:vAlign w:val="bottom"/>
          </w:tcPr>
          <w:p w14:paraId="392BFDA0" w14:textId="77777777" w:rsidR="00980E5F" w:rsidRDefault="00980E5F">
            <w:pPr>
              <w:jc w:val="right"/>
              <w:rPr>
                <w:rFonts w:ascii="宋体"/>
              </w:rPr>
            </w:pPr>
          </w:p>
        </w:tc>
        <w:tc>
          <w:tcPr>
            <w:tcW w:w="0" w:type="auto"/>
            <w:shd w:val="clear" w:color="auto" w:fill="auto"/>
            <w:vAlign w:val="bottom"/>
          </w:tcPr>
          <w:p w14:paraId="392BFDA1" w14:textId="77777777" w:rsidR="00980E5F" w:rsidRDefault="00980E5F">
            <w:pPr>
              <w:rPr>
                <w:rFonts w:ascii="宋体"/>
                <w:vanish/>
              </w:rPr>
            </w:pPr>
          </w:p>
        </w:tc>
        <w:tc>
          <w:tcPr>
            <w:tcW w:w="0" w:type="auto"/>
            <w:shd w:val="clear" w:color="auto" w:fill="auto"/>
            <w:vAlign w:val="bottom"/>
          </w:tcPr>
          <w:p w14:paraId="392BFDA2" w14:textId="77777777" w:rsidR="00980E5F" w:rsidRDefault="00980E5F">
            <w:pPr>
              <w:rPr>
                <w:rFonts w:ascii="宋体"/>
                <w:vanish/>
              </w:rPr>
            </w:pPr>
          </w:p>
        </w:tc>
        <w:tc>
          <w:tcPr>
            <w:tcW w:w="0" w:type="auto"/>
            <w:shd w:val="clear" w:color="auto" w:fill="auto"/>
            <w:vAlign w:val="bottom"/>
          </w:tcPr>
          <w:p w14:paraId="392BFDA3" w14:textId="77777777" w:rsidR="00980E5F" w:rsidRDefault="00980E5F">
            <w:pPr>
              <w:rPr>
                <w:rFonts w:ascii="宋体"/>
                <w:vanish/>
              </w:rPr>
            </w:pPr>
          </w:p>
        </w:tc>
        <w:tc>
          <w:tcPr>
            <w:tcW w:w="0" w:type="auto"/>
            <w:shd w:val="clear" w:color="auto" w:fill="auto"/>
            <w:vAlign w:val="bottom"/>
          </w:tcPr>
          <w:p w14:paraId="392BFDA4" w14:textId="77777777" w:rsidR="00980E5F" w:rsidRDefault="00980E5F">
            <w:pPr>
              <w:rPr>
                <w:rFonts w:ascii="宋体"/>
                <w:vanish/>
              </w:rPr>
            </w:pPr>
          </w:p>
        </w:tc>
        <w:tc>
          <w:tcPr>
            <w:tcW w:w="0" w:type="auto"/>
            <w:gridSpan w:val="3"/>
            <w:shd w:val="clear" w:color="auto" w:fill="auto"/>
            <w:vAlign w:val="bottom"/>
          </w:tcPr>
          <w:p w14:paraId="392BFDA5" w14:textId="77777777" w:rsidR="00980E5F" w:rsidRDefault="00980E5F">
            <w:pPr>
              <w:rPr>
                <w:rFonts w:ascii="宋体"/>
                <w:vanish/>
              </w:rPr>
            </w:pPr>
          </w:p>
        </w:tc>
        <w:tc>
          <w:tcPr>
            <w:tcW w:w="0" w:type="auto"/>
            <w:gridSpan w:val="3"/>
            <w:shd w:val="clear" w:color="auto" w:fill="auto"/>
            <w:vAlign w:val="bottom"/>
          </w:tcPr>
          <w:p w14:paraId="392BFDA6" w14:textId="77777777" w:rsidR="00980E5F" w:rsidRDefault="00980E5F">
            <w:pPr>
              <w:rPr>
                <w:rFonts w:ascii="宋体"/>
                <w:vanish/>
              </w:rPr>
            </w:pPr>
          </w:p>
        </w:tc>
        <w:tc>
          <w:tcPr>
            <w:tcW w:w="0" w:type="auto"/>
            <w:gridSpan w:val="3"/>
            <w:shd w:val="clear" w:color="auto" w:fill="auto"/>
            <w:vAlign w:val="bottom"/>
          </w:tcPr>
          <w:p w14:paraId="392BFDA7" w14:textId="77777777" w:rsidR="00980E5F" w:rsidRDefault="00980E5F">
            <w:pPr>
              <w:rPr>
                <w:rFonts w:ascii="宋体"/>
                <w:vanish/>
              </w:rPr>
            </w:pPr>
          </w:p>
        </w:tc>
        <w:tc>
          <w:tcPr>
            <w:tcW w:w="0" w:type="auto"/>
            <w:gridSpan w:val="3"/>
            <w:shd w:val="clear" w:color="auto" w:fill="auto"/>
            <w:vAlign w:val="bottom"/>
          </w:tcPr>
          <w:p w14:paraId="392BFDA8" w14:textId="77777777" w:rsidR="00980E5F" w:rsidRDefault="00980E5F">
            <w:pPr>
              <w:rPr>
                <w:rFonts w:ascii="宋体"/>
                <w:vanish/>
              </w:rPr>
            </w:pPr>
          </w:p>
        </w:tc>
        <w:tc>
          <w:tcPr>
            <w:tcW w:w="0" w:type="auto"/>
            <w:gridSpan w:val="2"/>
            <w:shd w:val="clear" w:color="auto" w:fill="auto"/>
            <w:vAlign w:val="bottom"/>
          </w:tcPr>
          <w:p w14:paraId="392BFDA9" w14:textId="77777777" w:rsidR="00980E5F" w:rsidRDefault="00980E5F">
            <w:pPr>
              <w:rPr>
                <w:rFonts w:ascii="宋体"/>
                <w:vanish/>
              </w:rPr>
            </w:pPr>
          </w:p>
        </w:tc>
        <w:tc>
          <w:tcPr>
            <w:tcW w:w="0" w:type="auto"/>
            <w:shd w:val="clear" w:color="auto" w:fill="auto"/>
            <w:vAlign w:val="bottom"/>
          </w:tcPr>
          <w:p w14:paraId="392BFDAA" w14:textId="77777777" w:rsidR="00980E5F" w:rsidRDefault="00980E5F">
            <w:pPr>
              <w:rPr>
                <w:rFonts w:ascii="宋体"/>
                <w:vanish/>
              </w:rPr>
            </w:pPr>
          </w:p>
        </w:tc>
      </w:tr>
      <w:tr w:rsidR="00980E5F" w14:paraId="392BFDCC" w14:textId="77777777">
        <w:tc>
          <w:tcPr>
            <w:tcW w:w="0" w:type="auto"/>
            <w:gridSpan w:val="3"/>
            <w:shd w:val="clear" w:color="auto" w:fill="CCEEFF"/>
            <w:tcMar>
              <w:top w:w="40" w:type="dxa"/>
              <w:left w:w="20" w:type="dxa"/>
              <w:bottom w:w="40" w:type="dxa"/>
              <w:right w:w="20" w:type="dxa"/>
            </w:tcMar>
            <w:vAlign w:val="bottom"/>
          </w:tcPr>
          <w:p w14:paraId="392BFDAC" w14:textId="77777777" w:rsidR="00980E5F" w:rsidRDefault="00483613">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DAD"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DAE" w14:textId="77777777" w:rsidR="00980E5F" w:rsidRDefault="00483613">
            <w:pPr>
              <w:jc w:val="right"/>
              <w:textAlignment w:val="bottom"/>
            </w:pPr>
            <w:r>
              <w:rPr>
                <w:rFonts w:ascii="Arial" w:eastAsia="宋体" w:hAnsi="Arial" w:cs="Arial"/>
                <w:b/>
                <w:bCs/>
                <w:color w:val="000000"/>
                <w:sz w:val="12"/>
                <w:szCs w:val="12"/>
              </w:rPr>
              <w:t>251,253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D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B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DB1"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DB2" w14:textId="77777777" w:rsidR="00980E5F" w:rsidRDefault="00483613">
            <w:pPr>
              <w:jc w:val="right"/>
              <w:textAlignment w:val="bottom"/>
            </w:pPr>
            <w:r>
              <w:rPr>
                <w:rFonts w:ascii="Arial" w:eastAsia="宋体" w:hAnsi="Arial" w:cs="Arial"/>
                <w:b/>
                <w:bCs/>
                <w:color w:val="000000"/>
                <w:sz w:val="12"/>
                <w:szCs w:val="12"/>
              </w:rPr>
              <w:t>707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D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B5" w14:textId="77777777" w:rsidR="00980E5F" w:rsidRDefault="00483613">
            <w:pPr>
              <w:jc w:val="right"/>
              <w:textAlignment w:val="bottom"/>
            </w:pPr>
            <w:r>
              <w:rPr>
                <w:rFonts w:ascii="Arial" w:eastAsia="宋体" w:hAnsi="Arial" w:cs="Arial"/>
                <w:b/>
                <w:bCs/>
                <w:color w:val="000000"/>
                <w:sz w:val="12"/>
                <w:szCs w:val="12"/>
              </w:rPr>
              <w:t>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B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DB8"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DB9" w14:textId="77777777" w:rsidR="00980E5F" w:rsidRDefault="00483613">
            <w:pPr>
              <w:jc w:val="right"/>
              <w:textAlignment w:val="bottom"/>
            </w:pPr>
            <w:r>
              <w:rPr>
                <w:rFonts w:ascii="Arial" w:eastAsia="宋体" w:hAnsi="Arial" w:cs="Arial"/>
                <w:color w:val="000000"/>
                <w:sz w:val="12"/>
                <w:szCs w:val="12"/>
              </w:rPr>
              <w:t>266,016 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D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B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DBC"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DBD" w14:textId="77777777" w:rsidR="00980E5F" w:rsidRDefault="00483613">
            <w:pPr>
              <w:jc w:val="right"/>
              <w:textAlignment w:val="bottom"/>
            </w:pPr>
            <w:r>
              <w:rPr>
                <w:rFonts w:ascii="Arial" w:eastAsia="宋体" w:hAnsi="Arial" w:cs="Arial"/>
                <w:color w:val="000000"/>
                <w:sz w:val="12"/>
                <w:szCs w:val="12"/>
              </w:rPr>
              <w:t>470 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D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B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C0" w14:textId="77777777" w:rsidR="00980E5F" w:rsidRDefault="00483613">
            <w:pPr>
              <w:jc w:val="right"/>
              <w:textAlignment w:val="bottom"/>
            </w:pPr>
            <w:r>
              <w:rPr>
                <w:rFonts w:ascii="Arial" w:eastAsia="宋体" w:hAnsi="Arial" w:cs="Arial"/>
                <w:color w:val="000000"/>
                <w:sz w:val="12"/>
                <w:szCs w:val="12"/>
              </w:rPr>
              <w:t>.71 </w:t>
            </w:r>
          </w:p>
        </w:tc>
        <w:tc>
          <w:tcPr>
            <w:tcW w:w="0" w:type="auto"/>
            <w:shd w:val="clear" w:color="auto" w:fill="CCEEFF"/>
            <w:tcMar>
              <w:top w:w="40" w:type="dxa"/>
              <w:left w:w="0" w:type="dxa"/>
              <w:bottom w:w="40" w:type="dxa"/>
              <w:right w:w="20" w:type="dxa"/>
            </w:tcMar>
            <w:vAlign w:val="bottom"/>
          </w:tcPr>
          <w:p w14:paraId="392BFDC1" w14:textId="77777777" w:rsidR="00980E5F" w:rsidRDefault="00980E5F">
            <w:pPr>
              <w:jc w:val="right"/>
              <w:rPr>
                <w:rFonts w:ascii="宋体"/>
              </w:rPr>
            </w:pPr>
          </w:p>
        </w:tc>
        <w:tc>
          <w:tcPr>
            <w:tcW w:w="0" w:type="auto"/>
            <w:shd w:val="clear" w:color="auto" w:fill="auto"/>
            <w:vAlign w:val="bottom"/>
          </w:tcPr>
          <w:p w14:paraId="392BFDC2" w14:textId="77777777" w:rsidR="00980E5F" w:rsidRDefault="00980E5F">
            <w:pPr>
              <w:rPr>
                <w:rFonts w:ascii="宋体"/>
                <w:vanish/>
              </w:rPr>
            </w:pPr>
          </w:p>
        </w:tc>
        <w:tc>
          <w:tcPr>
            <w:tcW w:w="0" w:type="auto"/>
            <w:shd w:val="clear" w:color="auto" w:fill="auto"/>
            <w:vAlign w:val="bottom"/>
          </w:tcPr>
          <w:p w14:paraId="392BFDC3" w14:textId="77777777" w:rsidR="00980E5F" w:rsidRDefault="00980E5F">
            <w:pPr>
              <w:rPr>
                <w:rFonts w:ascii="宋体"/>
                <w:vanish/>
              </w:rPr>
            </w:pPr>
          </w:p>
        </w:tc>
        <w:tc>
          <w:tcPr>
            <w:tcW w:w="0" w:type="auto"/>
            <w:shd w:val="clear" w:color="auto" w:fill="auto"/>
            <w:vAlign w:val="bottom"/>
          </w:tcPr>
          <w:p w14:paraId="392BFDC4" w14:textId="77777777" w:rsidR="00980E5F" w:rsidRDefault="00980E5F">
            <w:pPr>
              <w:rPr>
                <w:rFonts w:ascii="宋体"/>
                <w:vanish/>
              </w:rPr>
            </w:pPr>
          </w:p>
        </w:tc>
        <w:tc>
          <w:tcPr>
            <w:tcW w:w="0" w:type="auto"/>
            <w:shd w:val="clear" w:color="auto" w:fill="auto"/>
            <w:vAlign w:val="bottom"/>
          </w:tcPr>
          <w:p w14:paraId="392BFDC5" w14:textId="77777777" w:rsidR="00980E5F" w:rsidRDefault="00980E5F">
            <w:pPr>
              <w:rPr>
                <w:rFonts w:ascii="宋体"/>
                <w:vanish/>
              </w:rPr>
            </w:pPr>
          </w:p>
        </w:tc>
        <w:tc>
          <w:tcPr>
            <w:tcW w:w="0" w:type="auto"/>
            <w:gridSpan w:val="3"/>
            <w:shd w:val="clear" w:color="auto" w:fill="auto"/>
            <w:vAlign w:val="bottom"/>
          </w:tcPr>
          <w:p w14:paraId="392BFDC6" w14:textId="77777777" w:rsidR="00980E5F" w:rsidRDefault="00980E5F">
            <w:pPr>
              <w:rPr>
                <w:rFonts w:ascii="宋体"/>
                <w:vanish/>
              </w:rPr>
            </w:pPr>
          </w:p>
        </w:tc>
        <w:tc>
          <w:tcPr>
            <w:tcW w:w="0" w:type="auto"/>
            <w:gridSpan w:val="3"/>
            <w:shd w:val="clear" w:color="auto" w:fill="auto"/>
            <w:vAlign w:val="bottom"/>
          </w:tcPr>
          <w:p w14:paraId="392BFDC7" w14:textId="77777777" w:rsidR="00980E5F" w:rsidRDefault="00980E5F">
            <w:pPr>
              <w:rPr>
                <w:rFonts w:ascii="宋体"/>
                <w:vanish/>
              </w:rPr>
            </w:pPr>
          </w:p>
        </w:tc>
        <w:tc>
          <w:tcPr>
            <w:tcW w:w="0" w:type="auto"/>
            <w:gridSpan w:val="3"/>
            <w:shd w:val="clear" w:color="auto" w:fill="auto"/>
            <w:vAlign w:val="bottom"/>
          </w:tcPr>
          <w:p w14:paraId="392BFDC8" w14:textId="77777777" w:rsidR="00980E5F" w:rsidRDefault="00980E5F">
            <w:pPr>
              <w:rPr>
                <w:rFonts w:ascii="宋体"/>
                <w:vanish/>
              </w:rPr>
            </w:pPr>
          </w:p>
        </w:tc>
        <w:tc>
          <w:tcPr>
            <w:tcW w:w="0" w:type="auto"/>
            <w:gridSpan w:val="3"/>
            <w:shd w:val="clear" w:color="auto" w:fill="auto"/>
            <w:vAlign w:val="bottom"/>
          </w:tcPr>
          <w:p w14:paraId="392BFDC9" w14:textId="77777777" w:rsidR="00980E5F" w:rsidRDefault="00980E5F">
            <w:pPr>
              <w:rPr>
                <w:rFonts w:ascii="宋体"/>
                <w:vanish/>
              </w:rPr>
            </w:pPr>
          </w:p>
        </w:tc>
        <w:tc>
          <w:tcPr>
            <w:tcW w:w="0" w:type="auto"/>
            <w:gridSpan w:val="2"/>
            <w:shd w:val="clear" w:color="auto" w:fill="auto"/>
            <w:vAlign w:val="bottom"/>
          </w:tcPr>
          <w:p w14:paraId="392BFDCA" w14:textId="77777777" w:rsidR="00980E5F" w:rsidRDefault="00980E5F">
            <w:pPr>
              <w:rPr>
                <w:rFonts w:ascii="宋体"/>
                <w:vanish/>
              </w:rPr>
            </w:pPr>
          </w:p>
        </w:tc>
        <w:tc>
          <w:tcPr>
            <w:tcW w:w="0" w:type="auto"/>
            <w:shd w:val="clear" w:color="auto" w:fill="auto"/>
            <w:vAlign w:val="bottom"/>
          </w:tcPr>
          <w:p w14:paraId="392BFDCB" w14:textId="77777777" w:rsidR="00980E5F" w:rsidRDefault="00980E5F">
            <w:pPr>
              <w:rPr>
                <w:rFonts w:ascii="宋体"/>
                <w:vanish/>
              </w:rPr>
            </w:pPr>
          </w:p>
        </w:tc>
      </w:tr>
      <w:tr w:rsidR="00980E5F" w14:paraId="392BFDE3" w14:textId="77777777">
        <w:tc>
          <w:tcPr>
            <w:tcW w:w="0" w:type="auto"/>
            <w:gridSpan w:val="3"/>
            <w:shd w:val="clear" w:color="auto" w:fill="FFFFFF"/>
            <w:tcMar>
              <w:top w:w="40" w:type="dxa"/>
              <w:left w:w="20" w:type="dxa"/>
              <w:bottom w:w="40" w:type="dxa"/>
              <w:right w:w="20" w:type="dxa"/>
            </w:tcMar>
            <w:vAlign w:val="bottom"/>
          </w:tcPr>
          <w:p w14:paraId="392BFDCD" w14:textId="77777777" w:rsidR="00980E5F" w:rsidRDefault="00483613">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D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C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D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DD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5"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DD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DD8" w14:textId="77777777" w:rsidR="00980E5F" w:rsidRDefault="00980E5F">
            <w:pPr>
              <w:rPr>
                <w:rFonts w:ascii="宋体"/>
              </w:rPr>
            </w:pPr>
          </w:p>
        </w:tc>
        <w:tc>
          <w:tcPr>
            <w:tcW w:w="0" w:type="auto"/>
            <w:shd w:val="clear" w:color="auto" w:fill="auto"/>
            <w:vAlign w:val="bottom"/>
          </w:tcPr>
          <w:p w14:paraId="392BFDD9" w14:textId="77777777" w:rsidR="00980E5F" w:rsidRDefault="00980E5F">
            <w:pPr>
              <w:rPr>
                <w:rFonts w:ascii="宋体"/>
                <w:vanish/>
              </w:rPr>
            </w:pPr>
          </w:p>
        </w:tc>
        <w:tc>
          <w:tcPr>
            <w:tcW w:w="0" w:type="auto"/>
            <w:shd w:val="clear" w:color="auto" w:fill="auto"/>
            <w:vAlign w:val="bottom"/>
          </w:tcPr>
          <w:p w14:paraId="392BFDDA" w14:textId="77777777" w:rsidR="00980E5F" w:rsidRDefault="00980E5F">
            <w:pPr>
              <w:rPr>
                <w:rFonts w:ascii="宋体"/>
                <w:vanish/>
              </w:rPr>
            </w:pPr>
          </w:p>
        </w:tc>
        <w:tc>
          <w:tcPr>
            <w:tcW w:w="0" w:type="auto"/>
            <w:shd w:val="clear" w:color="auto" w:fill="auto"/>
            <w:vAlign w:val="bottom"/>
          </w:tcPr>
          <w:p w14:paraId="392BFDDB" w14:textId="77777777" w:rsidR="00980E5F" w:rsidRDefault="00980E5F">
            <w:pPr>
              <w:rPr>
                <w:rFonts w:ascii="宋体"/>
                <w:vanish/>
              </w:rPr>
            </w:pPr>
          </w:p>
        </w:tc>
        <w:tc>
          <w:tcPr>
            <w:tcW w:w="0" w:type="auto"/>
            <w:shd w:val="clear" w:color="auto" w:fill="auto"/>
            <w:vAlign w:val="bottom"/>
          </w:tcPr>
          <w:p w14:paraId="392BFDDC" w14:textId="77777777" w:rsidR="00980E5F" w:rsidRDefault="00980E5F">
            <w:pPr>
              <w:rPr>
                <w:rFonts w:ascii="宋体"/>
                <w:vanish/>
              </w:rPr>
            </w:pPr>
          </w:p>
        </w:tc>
        <w:tc>
          <w:tcPr>
            <w:tcW w:w="0" w:type="auto"/>
            <w:gridSpan w:val="3"/>
            <w:shd w:val="clear" w:color="auto" w:fill="auto"/>
            <w:vAlign w:val="bottom"/>
          </w:tcPr>
          <w:p w14:paraId="392BFDDD" w14:textId="77777777" w:rsidR="00980E5F" w:rsidRDefault="00980E5F">
            <w:pPr>
              <w:rPr>
                <w:rFonts w:ascii="宋体"/>
                <w:vanish/>
              </w:rPr>
            </w:pPr>
          </w:p>
        </w:tc>
        <w:tc>
          <w:tcPr>
            <w:tcW w:w="0" w:type="auto"/>
            <w:gridSpan w:val="3"/>
            <w:shd w:val="clear" w:color="auto" w:fill="auto"/>
            <w:vAlign w:val="bottom"/>
          </w:tcPr>
          <w:p w14:paraId="392BFDDE" w14:textId="77777777" w:rsidR="00980E5F" w:rsidRDefault="00980E5F">
            <w:pPr>
              <w:rPr>
                <w:rFonts w:ascii="宋体"/>
                <w:vanish/>
              </w:rPr>
            </w:pPr>
          </w:p>
        </w:tc>
        <w:tc>
          <w:tcPr>
            <w:tcW w:w="0" w:type="auto"/>
            <w:gridSpan w:val="3"/>
            <w:shd w:val="clear" w:color="auto" w:fill="auto"/>
            <w:vAlign w:val="bottom"/>
          </w:tcPr>
          <w:p w14:paraId="392BFDDF" w14:textId="77777777" w:rsidR="00980E5F" w:rsidRDefault="00980E5F">
            <w:pPr>
              <w:rPr>
                <w:rFonts w:ascii="宋体"/>
                <w:vanish/>
              </w:rPr>
            </w:pPr>
          </w:p>
        </w:tc>
        <w:tc>
          <w:tcPr>
            <w:tcW w:w="0" w:type="auto"/>
            <w:gridSpan w:val="3"/>
            <w:shd w:val="clear" w:color="auto" w:fill="auto"/>
            <w:vAlign w:val="bottom"/>
          </w:tcPr>
          <w:p w14:paraId="392BFDE0" w14:textId="77777777" w:rsidR="00980E5F" w:rsidRDefault="00980E5F">
            <w:pPr>
              <w:rPr>
                <w:rFonts w:ascii="宋体"/>
                <w:vanish/>
              </w:rPr>
            </w:pPr>
          </w:p>
        </w:tc>
        <w:tc>
          <w:tcPr>
            <w:tcW w:w="0" w:type="auto"/>
            <w:gridSpan w:val="2"/>
            <w:shd w:val="clear" w:color="auto" w:fill="auto"/>
            <w:vAlign w:val="bottom"/>
          </w:tcPr>
          <w:p w14:paraId="392BFDE1" w14:textId="77777777" w:rsidR="00980E5F" w:rsidRDefault="00980E5F">
            <w:pPr>
              <w:rPr>
                <w:rFonts w:ascii="宋体"/>
                <w:vanish/>
              </w:rPr>
            </w:pPr>
          </w:p>
        </w:tc>
        <w:tc>
          <w:tcPr>
            <w:tcW w:w="0" w:type="auto"/>
            <w:shd w:val="clear" w:color="auto" w:fill="auto"/>
            <w:vAlign w:val="bottom"/>
          </w:tcPr>
          <w:p w14:paraId="392BFDE2" w14:textId="77777777" w:rsidR="00980E5F" w:rsidRDefault="00980E5F">
            <w:pPr>
              <w:rPr>
                <w:rFonts w:ascii="宋体"/>
                <w:vanish/>
              </w:rPr>
            </w:pPr>
          </w:p>
        </w:tc>
      </w:tr>
      <w:tr w:rsidR="00980E5F" w14:paraId="392BFE04" w14:textId="77777777">
        <w:tc>
          <w:tcPr>
            <w:tcW w:w="0" w:type="auto"/>
            <w:gridSpan w:val="3"/>
            <w:shd w:val="clear" w:color="auto" w:fill="CCEEFF"/>
            <w:tcMar>
              <w:top w:w="40" w:type="dxa"/>
              <w:left w:w="20" w:type="dxa"/>
              <w:bottom w:w="40" w:type="dxa"/>
              <w:right w:w="20" w:type="dxa"/>
            </w:tcMar>
            <w:vAlign w:val="bottom"/>
          </w:tcPr>
          <w:p w14:paraId="392BFDE4" w14:textId="77777777" w:rsidR="00980E5F" w:rsidRDefault="00483613">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392BFDE5"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FDE6" w14:textId="77777777" w:rsidR="00980E5F" w:rsidRDefault="00483613">
            <w:pPr>
              <w:jc w:val="right"/>
              <w:textAlignment w:val="bottom"/>
            </w:pPr>
            <w:r>
              <w:rPr>
                <w:rFonts w:ascii="Arial" w:eastAsia="宋体" w:hAnsi="Arial" w:cs="Arial"/>
                <w:b/>
                <w:bCs/>
                <w:color w:val="000000"/>
                <w:sz w:val="12"/>
                <w:szCs w:val="12"/>
              </w:rPr>
              <w:t>97,273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E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DE9"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FDEA" w14:textId="77777777" w:rsidR="00980E5F" w:rsidRDefault="00483613">
            <w:pPr>
              <w:jc w:val="right"/>
              <w:textAlignment w:val="bottom"/>
            </w:pPr>
            <w:r>
              <w:rPr>
                <w:rFonts w:ascii="Arial" w:eastAsia="宋体" w:hAnsi="Arial" w:cs="Arial"/>
                <w:b/>
                <w:bCs/>
                <w:color w:val="000000"/>
                <w:sz w:val="12"/>
                <w:szCs w:val="12"/>
              </w:rPr>
              <w:t>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E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ED" w14:textId="77777777" w:rsidR="00980E5F" w:rsidRDefault="00483613">
            <w:pPr>
              <w:jc w:val="right"/>
              <w:textAlignment w:val="bottom"/>
            </w:pPr>
            <w:r>
              <w:rPr>
                <w:rFonts w:ascii="Arial" w:eastAsia="宋体" w:hAnsi="Arial" w:cs="Arial"/>
                <w:b/>
                <w:bCs/>
                <w:color w:val="000000"/>
                <w:sz w:val="12"/>
                <w:szCs w:val="12"/>
              </w:rPr>
              <w:t>.26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EE"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FDE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DF0"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FDF1" w14:textId="77777777" w:rsidR="00980E5F" w:rsidRDefault="00483613">
            <w:pPr>
              <w:jc w:val="right"/>
              <w:textAlignment w:val="bottom"/>
            </w:pPr>
            <w:r>
              <w:rPr>
                <w:rFonts w:ascii="Arial" w:eastAsia="宋体" w:hAnsi="Arial" w:cs="Arial"/>
                <w:color w:val="000000"/>
                <w:sz w:val="12"/>
                <w:szCs w:val="12"/>
              </w:rPr>
              <w:t>110,269 </w:t>
            </w:r>
          </w:p>
        </w:tc>
        <w:tc>
          <w:tcPr>
            <w:tcW w:w="0" w:type="auto"/>
            <w:shd w:val="clear" w:color="auto" w:fill="CCEEFF"/>
            <w:tcMar>
              <w:top w:w="40" w:type="dxa"/>
              <w:left w:w="0" w:type="dxa"/>
              <w:bottom w:w="40" w:type="dxa"/>
              <w:right w:w="20" w:type="dxa"/>
            </w:tcMar>
            <w:vAlign w:val="bottom"/>
          </w:tcPr>
          <w:p w14:paraId="392BFDF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F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DF4"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FDF5"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bottom"/>
          </w:tcPr>
          <w:p w14:paraId="392BFD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D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DF8"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DF9"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BFDFA" w14:textId="77777777" w:rsidR="00980E5F" w:rsidRDefault="00980E5F">
            <w:pPr>
              <w:rPr>
                <w:rFonts w:ascii="宋体"/>
                <w:vanish/>
              </w:rPr>
            </w:pPr>
          </w:p>
        </w:tc>
        <w:tc>
          <w:tcPr>
            <w:tcW w:w="0" w:type="auto"/>
            <w:shd w:val="clear" w:color="auto" w:fill="auto"/>
            <w:vAlign w:val="bottom"/>
          </w:tcPr>
          <w:p w14:paraId="392BFDFB" w14:textId="77777777" w:rsidR="00980E5F" w:rsidRDefault="00980E5F">
            <w:pPr>
              <w:rPr>
                <w:rFonts w:ascii="宋体"/>
                <w:vanish/>
              </w:rPr>
            </w:pPr>
          </w:p>
        </w:tc>
        <w:tc>
          <w:tcPr>
            <w:tcW w:w="0" w:type="auto"/>
            <w:shd w:val="clear" w:color="auto" w:fill="auto"/>
            <w:vAlign w:val="bottom"/>
          </w:tcPr>
          <w:p w14:paraId="392BFDFC" w14:textId="77777777" w:rsidR="00980E5F" w:rsidRDefault="00980E5F">
            <w:pPr>
              <w:rPr>
                <w:rFonts w:ascii="宋体"/>
                <w:vanish/>
              </w:rPr>
            </w:pPr>
          </w:p>
        </w:tc>
        <w:tc>
          <w:tcPr>
            <w:tcW w:w="0" w:type="auto"/>
            <w:shd w:val="clear" w:color="auto" w:fill="auto"/>
            <w:vAlign w:val="bottom"/>
          </w:tcPr>
          <w:p w14:paraId="392BFDFD" w14:textId="77777777" w:rsidR="00980E5F" w:rsidRDefault="00980E5F">
            <w:pPr>
              <w:rPr>
                <w:rFonts w:ascii="宋体"/>
                <w:vanish/>
              </w:rPr>
            </w:pPr>
          </w:p>
        </w:tc>
        <w:tc>
          <w:tcPr>
            <w:tcW w:w="0" w:type="auto"/>
            <w:gridSpan w:val="3"/>
            <w:shd w:val="clear" w:color="auto" w:fill="auto"/>
            <w:vAlign w:val="bottom"/>
          </w:tcPr>
          <w:p w14:paraId="392BFDFE" w14:textId="77777777" w:rsidR="00980E5F" w:rsidRDefault="00980E5F">
            <w:pPr>
              <w:rPr>
                <w:rFonts w:ascii="宋体"/>
                <w:vanish/>
              </w:rPr>
            </w:pPr>
          </w:p>
        </w:tc>
        <w:tc>
          <w:tcPr>
            <w:tcW w:w="0" w:type="auto"/>
            <w:gridSpan w:val="3"/>
            <w:shd w:val="clear" w:color="auto" w:fill="auto"/>
            <w:vAlign w:val="bottom"/>
          </w:tcPr>
          <w:p w14:paraId="392BFDFF" w14:textId="77777777" w:rsidR="00980E5F" w:rsidRDefault="00980E5F">
            <w:pPr>
              <w:rPr>
                <w:rFonts w:ascii="宋体"/>
                <w:vanish/>
              </w:rPr>
            </w:pPr>
          </w:p>
        </w:tc>
        <w:tc>
          <w:tcPr>
            <w:tcW w:w="0" w:type="auto"/>
            <w:gridSpan w:val="3"/>
            <w:shd w:val="clear" w:color="auto" w:fill="auto"/>
            <w:vAlign w:val="bottom"/>
          </w:tcPr>
          <w:p w14:paraId="392BFE00" w14:textId="77777777" w:rsidR="00980E5F" w:rsidRDefault="00980E5F">
            <w:pPr>
              <w:rPr>
                <w:rFonts w:ascii="宋体"/>
                <w:vanish/>
              </w:rPr>
            </w:pPr>
          </w:p>
        </w:tc>
        <w:tc>
          <w:tcPr>
            <w:tcW w:w="0" w:type="auto"/>
            <w:gridSpan w:val="3"/>
            <w:shd w:val="clear" w:color="auto" w:fill="auto"/>
            <w:vAlign w:val="bottom"/>
          </w:tcPr>
          <w:p w14:paraId="392BFE01" w14:textId="77777777" w:rsidR="00980E5F" w:rsidRDefault="00980E5F">
            <w:pPr>
              <w:rPr>
                <w:rFonts w:ascii="宋体"/>
                <w:vanish/>
              </w:rPr>
            </w:pPr>
          </w:p>
        </w:tc>
        <w:tc>
          <w:tcPr>
            <w:tcW w:w="0" w:type="auto"/>
            <w:gridSpan w:val="2"/>
            <w:shd w:val="clear" w:color="auto" w:fill="auto"/>
            <w:vAlign w:val="bottom"/>
          </w:tcPr>
          <w:p w14:paraId="392BFE02" w14:textId="77777777" w:rsidR="00980E5F" w:rsidRDefault="00980E5F">
            <w:pPr>
              <w:rPr>
                <w:rFonts w:ascii="宋体"/>
                <w:vanish/>
              </w:rPr>
            </w:pPr>
          </w:p>
        </w:tc>
        <w:tc>
          <w:tcPr>
            <w:tcW w:w="0" w:type="auto"/>
            <w:shd w:val="clear" w:color="auto" w:fill="auto"/>
            <w:vAlign w:val="bottom"/>
          </w:tcPr>
          <w:p w14:paraId="392BFE03" w14:textId="77777777" w:rsidR="00980E5F" w:rsidRDefault="00980E5F">
            <w:pPr>
              <w:rPr>
                <w:rFonts w:ascii="宋体"/>
                <w:vanish/>
              </w:rPr>
            </w:pPr>
          </w:p>
        </w:tc>
      </w:tr>
      <w:tr w:rsidR="00980E5F" w14:paraId="392BFE21" w14:textId="77777777">
        <w:tc>
          <w:tcPr>
            <w:tcW w:w="0" w:type="auto"/>
            <w:gridSpan w:val="3"/>
            <w:shd w:val="clear" w:color="auto" w:fill="FFFFFF"/>
            <w:tcMar>
              <w:top w:w="40" w:type="dxa"/>
              <w:left w:w="20" w:type="dxa"/>
              <w:bottom w:w="40" w:type="dxa"/>
              <w:right w:w="20" w:type="dxa"/>
            </w:tcMar>
            <w:vAlign w:val="bottom"/>
          </w:tcPr>
          <w:p w14:paraId="392BFE05" w14:textId="77777777" w:rsidR="00980E5F" w:rsidRDefault="00483613">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392BFE06" w14:textId="77777777" w:rsidR="00980E5F" w:rsidRDefault="00483613">
            <w:pPr>
              <w:jc w:val="right"/>
              <w:textAlignment w:val="bottom"/>
            </w:pPr>
            <w:r>
              <w:rPr>
                <w:rFonts w:ascii="Arial" w:eastAsia="宋体" w:hAnsi="Arial" w:cs="Arial"/>
                <w:b/>
                <w:bCs/>
                <w:color w:val="000000"/>
                <w:sz w:val="12"/>
                <w:szCs w:val="12"/>
              </w:rPr>
              <w:t>80,055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09" w14:textId="77777777" w:rsidR="00980E5F" w:rsidRDefault="00483613">
            <w:pPr>
              <w:jc w:val="right"/>
              <w:textAlignment w:val="bottom"/>
            </w:pPr>
            <w:r>
              <w:rPr>
                <w:rFonts w:ascii="Arial" w:eastAsia="宋体" w:hAnsi="Arial" w:cs="Arial"/>
                <w:b/>
                <w:bCs/>
                <w:color w:val="000000"/>
                <w:sz w:val="12"/>
                <w:szCs w:val="12"/>
              </w:rPr>
              <w:t>(40)</w:t>
            </w:r>
          </w:p>
        </w:tc>
        <w:tc>
          <w:tcPr>
            <w:tcW w:w="0" w:type="auto"/>
            <w:shd w:val="clear" w:color="auto" w:fill="FFFFFF"/>
            <w:tcMar>
              <w:top w:w="40" w:type="dxa"/>
              <w:left w:w="0" w:type="dxa"/>
              <w:bottom w:w="40" w:type="dxa"/>
              <w:right w:w="20" w:type="dxa"/>
            </w:tcMar>
            <w:vAlign w:val="bottom"/>
          </w:tcPr>
          <w:p w14:paraId="392BFE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0C" w14:textId="77777777" w:rsidR="00980E5F" w:rsidRDefault="00483613">
            <w:pPr>
              <w:jc w:val="right"/>
              <w:textAlignment w:val="bottom"/>
            </w:pPr>
            <w:r>
              <w:rPr>
                <w:rFonts w:ascii="Arial" w:eastAsia="宋体" w:hAnsi="Arial" w:cs="Arial"/>
                <w:b/>
                <w:bCs/>
                <w:color w:val="000000"/>
                <w:sz w:val="12"/>
                <w:szCs w:val="12"/>
              </w:rPr>
              <w:t>(.20)</w:t>
            </w:r>
          </w:p>
        </w:tc>
        <w:tc>
          <w:tcPr>
            <w:tcW w:w="0" w:type="auto"/>
            <w:shd w:val="clear" w:color="auto" w:fill="FFFFFF"/>
            <w:tcMar>
              <w:top w:w="40" w:type="dxa"/>
              <w:left w:w="0" w:type="dxa"/>
              <w:bottom w:w="40" w:type="dxa"/>
              <w:right w:w="20" w:type="dxa"/>
            </w:tcMar>
            <w:vAlign w:val="bottom"/>
          </w:tcPr>
          <w:p w14:paraId="392BFE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0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0F" w14:textId="77777777" w:rsidR="00980E5F" w:rsidRDefault="00483613">
            <w:pPr>
              <w:jc w:val="right"/>
              <w:textAlignment w:val="bottom"/>
            </w:pPr>
            <w:r>
              <w:rPr>
                <w:rFonts w:ascii="Arial" w:eastAsia="宋体" w:hAnsi="Arial" w:cs="Arial"/>
                <w:color w:val="000000"/>
                <w:sz w:val="12"/>
                <w:szCs w:val="12"/>
              </w:rPr>
              <w:t>83,248 </w:t>
            </w:r>
          </w:p>
        </w:tc>
        <w:tc>
          <w:tcPr>
            <w:tcW w:w="0" w:type="auto"/>
            <w:shd w:val="clear" w:color="auto" w:fill="FFFFFF"/>
            <w:tcMar>
              <w:top w:w="40" w:type="dxa"/>
              <w:left w:w="0" w:type="dxa"/>
              <w:bottom w:w="40" w:type="dxa"/>
              <w:right w:w="20" w:type="dxa"/>
            </w:tcMar>
            <w:vAlign w:val="bottom"/>
          </w:tcPr>
          <w:p w14:paraId="392BFE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1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12" w14:textId="77777777" w:rsidR="00980E5F" w:rsidRDefault="00483613">
            <w:pPr>
              <w:jc w:val="right"/>
              <w:textAlignment w:val="bottom"/>
            </w:pPr>
            <w:r>
              <w:rPr>
                <w:rFonts w:ascii="Arial" w:eastAsia="宋体" w:hAnsi="Arial" w:cs="Arial"/>
                <w:color w:val="000000"/>
                <w:sz w:val="12"/>
                <w:szCs w:val="12"/>
              </w:rPr>
              <w:t>(66)</w:t>
            </w:r>
          </w:p>
        </w:tc>
        <w:tc>
          <w:tcPr>
            <w:tcW w:w="0" w:type="auto"/>
            <w:shd w:val="clear" w:color="auto" w:fill="FFFFFF"/>
            <w:tcMar>
              <w:top w:w="40" w:type="dxa"/>
              <w:left w:w="0" w:type="dxa"/>
              <w:bottom w:w="40" w:type="dxa"/>
              <w:right w:w="20" w:type="dxa"/>
            </w:tcMar>
            <w:vAlign w:val="bottom"/>
          </w:tcPr>
          <w:p w14:paraId="392BFE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1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15" w14:textId="77777777" w:rsidR="00980E5F" w:rsidRDefault="00483613">
            <w:pPr>
              <w:jc w:val="right"/>
              <w:textAlignment w:val="bottom"/>
            </w:pPr>
            <w:r>
              <w:rPr>
                <w:rFonts w:ascii="Arial" w:eastAsia="宋体" w:hAnsi="Arial" w:cs="Arial"/>
                <w:color w:val="000000"/>
                <w:sz w:val="12"/>
                <w:szCs w:val="12"/>
              </w:rPr>
              <w:t>(.32)</w:t>
            </w:r>
          </w:p>
        </w:tc>
        <w:tc>
          <w:tcPr>
            <w:tcW w:w="0" w:type="auto"/>
            <w:shd w:val="clear" w:color="auto" w:fill="FFFFFF"/>
            <w:tcMar>
              <w:top w:w="40" w:type="dxa"/>
              <w:left w:w="0" w:type="dxa"/>
              <w:bottom w:w="40" w:type="dxa"/>
              <w:right w:w="20" w:type="dxa"/>
            </w:tcMar>
            <w:vAlign w:val="bottom"/>
          </w:tcPr>
          <w:p w14:paraId="392BFE16" w14:textId="77777777" w:rsidR="00980E5F" w:rsidRDefault="00980E5F">
            <w:pPr>
              <w:jc w:val="right"/>
              <w:rPr>
                <w:rFonts w:ascii="宋体"/>
              </w:rPr>
            </w:pPr>
          </w:p>
        </w:tc>
        <w:tc>
          <w:tcPr>
            <w:tcW w:w="0" w:type="auto"/>
            <w:shd w:val="clear" w:color="auto" w:fill="auto"/>
            <w:vAlign w:val="bottom"/>
          </w:tcPr>
          <w:p w14:paraId="392BFE17" w14:textId="77777777" w:rsidR="00980E5F" w:rsidRDefault="00980E5F">
            <w:pPr>
              <w:rPr>
                <w:rFonts w:ascii="宋体"/>
                <w:vanish/>
              </w:rPr>
            </w:pPr>
          </w:p>
        </w:tc>
        <w:tc>
          <w:tcPr>
            <w:tcW w:w="0" w:type="auto"/>
            <w:shd w:val="clear" w:color="auto" w:fill="auto"/>
            <w:vAlign w:val="bottom"/>
          </w:tcPr>
          <w:p w14:paraId="392BFE18" w14:textId="77777777" w:rsidR="00980E5F" w:rsidRDefault="00980E5F">
            <w:pPr>
              <w:rPr>
                <w:rFonts w:ascii="宋体"/>
                <w:vanish/>
              </w:rPr>
            </w:pPr>
          </w:p>
        </w:tc>
        <w:tc>
          <w:tcPr>
            <w:tcW w:w="0" w:type="auto"/>
            <w:shd w:val="clear" w:color="auto" w:fill="auto"/>
            <w:vAlign w:val="bottom"/>
          </w:tcPr>
          <w:p w14:paraId="392BFE19" w14:textId="77777777" w:rsidR="00980E5F" w:rsidRDefault="00980E5F">
            <w:pPr>
              <w:rPr>
                <w:rFonts w:ascii="宋体"/>
                <w:vanish/>
              </w:rPr>
            </w:pPr>
          </w:p>
        </w:tc>
        <w:tc>
          <w:tcPr>
            <w:tcW w:w="0" w:type="auto"/>
            <w:shd w:val="clear" w:color="auto" w:fill="auto"/>
            <w:vAlign w:val="bottom"/>
          </w:tcPr>
          <w:p w14:paraId="392BFE1A" w14:textId="77777777" w:rsidR="00980E5F" w:rsidRDefault="00980E5F">
            <w:pPr>
              <w:rPr>
                <w:rFonts w:ascii="宋体"/>
                <w:vanish/>
              </w:rPr>
            </w:pPr>
          </w:p>
        </w:tc>
        <w:tc>
          <w:tcPr>
            <w:tcW w:w="0" w:type="auto"/>
            <w:gridSpan w:val="3"/>
            <w:shd w:val="clear" w:color="auto" w:fill="auto"/>
            <w:vAlign w:val="bottom"/>
          </w:tcPr>
          <w:p w14:paraId="392BFE1B" w14:textId="77777777" w:rsidR="00980E5F" w:rsidRDefault="00980E5F">
            <w:pPr>
              <w:rPr>
                <w:rFonts w:ascii="宋体"/>
                <w:vanish/>
              </w:rPr>
            </w:pPr>
          </w:p>
        </w:tc>
        <w:tc>
          <w:tcPr>
            <w:tcW w:w="0" w:type="auto"/>
            <w:gridSpan w:val="3"/>
            <w:shd w:val="clear" w:color="auto" w:fill="auto"/>
            <w:vAlign w:val="bottom"/>
          </w:tcPr>
          <w:p w14:paraId="392BFE1C" w14:textId="77777777" w:rsidR="00980E5F" w:rsidRDefault="00980E5F">
            <w:pPr>
              <w:rPr>
                <w:rFonts w:ascii="宋体"/>
                <w:vanish/>
              </w:rPr>
            </w:pPr>
          </w:p>
        </w:tc>
        <w:tc>
          <w:tcPr>
            <w:tcW w:w="0" w:type="auto"/>
            <w:gridSpan w:val="3"/>
            <w:shd w:val="clear" w:color="auto" w:fill="auto"/>
            <w:vAlign w:val="bottom"/>
          </w:tcPr>
          <w:p w14:paraId="392BFE1D" w14:textId="77777777" w:rsidR="00980E5F" w:rsidRDefault="00980E5F">
            <w:pPr>
              <w:rPr>
                <w:rFonts w:ascii="宋体"/>
                <w:vanish/>
              </w:rPr>
            </w:pPr>
          </w:p>
        </w:tc>
        <w:tc>
          <w:tcPr>
            <w:tcW w:w="0" w:type="auto"/>
            <w:gridSpan w:val="3"/>
            <w:shd w:val="clear" w:color="auto" w:fill="auto"/>
            <w:vAlign w:val="bottom"/>
          </w:tcPr>
          <w:p w14:paraId="392BFE1E" w14:textId="77777777" w:rsidR="00980E5F" w:rsidRDefault="00980E5F">
            <w:pPr>
              <w:rPr>
                <w:rFonts w:ascii="宋体"/>
                <w:vanish/>
              </w:rPr>
            </w:pPr>
          </w:p>
        </w:tc>
        <w:tc>
          <w:tcPr>
            <w:tcW w:w="0" w:type="auto"/>
            <w:gridSpan w:val="2"/>
            <w:shd w:val="clear" w:color="auto" w:fill="auto"/>
            <w:vAlign w:val="bottom"/>
          </w:tcPr>
          <w:p w14:paraId="392BFE1F" w14:textId="77777777" w:rsidR="00980E5F" w:rsidRDefault="00980E5F">
            <w:pPr>
              <w:rPr>
                <w:rFonts w:ascii="宋体"/>
                <w:vanish/>
              </w:rPr>
            </w:pPr>
          </w:p>
        </w:tc>
        <w:tc>
          <w:tcPr>
            <w:tcW w:w="0" w:type="auto"/>
            <w:shd w:val="clear" w:color="auto" w:fill="auto"/>
            <w:vAlign w:val="bottom"/>
          </w:tcPr>
          <w:p w14:paraId="392BFE20" w14:textId="77777777" w:rsidR="00980E5F" w:rsidRDefault="00980E5F">
            <w:pPr>
              <w:rPr>
                <w:rFonts w:ascii="宋体"/>
                <w:vanish/>
              </w:rPr>
            </w:pPr>
          </w:p>
        </w:tc>
      </w:tr>
      <w:tr w:rsidR="00980E5F" w14:paraId="392BFE3E" w14:textId="77777777">
        <w:tc>
          <w:tcPr>
            <w:tcW w:w="0" w:type="auto"/>
            <w:gridSpan w:val="3"/>
            <w:shd w:val="clear" w:color="auto" w:fill="CCEEFF"/>
            <w:tcMar>
              <w:top w:w="40" w:type="dxa"/>
              <w:left w:w="20" w:type="dxa"/>
              <w:bottom w:w="40" w:type="dxa"/>
              <w:right w:w="20" w:type="dxa"/>
            </w:tcMar>
            <w:vAlign w:val="bottom"/>
          </w:tcPr>
          <w:p w14:paraId="392BFE22" w14:textId="77777777" w:rsidR="00980E5F" w:rsidRDefault="00483613">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E23" w14:textId="77777777" w:rsidR="00980E5F" w:rsidRDefault="00483613">
            <w:pPr>
              <w:jc w:val="right"/>
              <w:textAlignment w:val="bottom"/>
            </w:pPr>
            <w:r>
              <w:rPr>
                <w:rFonts w:ascii="Arial" w:eastAsia="宋体" w:hAnsi="Arial" w:cs="Arial"/>
                <w:b/>
                <w:bCs/>
                <w:color w:val="000000"/>
                <w:sz w:val="12"/>
                <w:szCs w:val="12"/>
              </w:rPr>
              <w:t>177,328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2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E26" w14:textId="77777777" w:rsidR="00980E5F" w:rsidRDefault="00483613">
            <w:pPr>
              <w:jc w:val="right"/>
              <w:textAlignment w:val="bottom"/>
            </w:pPr>
            <w:r>
              <w:rPr>
                <w:rFonts w:ascii="Arial" w:eastAsia="宋体" w:hAnsi="Arial" w:cs="Arial"/>
                <w:b/>
                <w:bCs/>
                <w:color w:val="000000"/>
                <w:sz w:val="12"/>
                <w:szCs w:val="12"/>
              </w:rPr>
              <w:t>23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2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29" w14:textId="77777777" w:rsidR="00980E5F" w:rsidRDefault="00483613">
            <w:pPr>
              <w:jc w:val="right"/>
              <w:textAlignment w:val="bottom"/>
            </w:pPr>
            <w:r>
              <w:rPr>
                <w:rFonts w:ascii="Arial" w:eastAsia="宋体" w:hAnsi="Arial" w:cs="Arial"/>
                <w:b/>
                <w:bCs/>
                <w:color w:val="000000"/>
                <w:sz w:val="12"/>
                <w:szCs w:val="12"/>
              </w:rPr>
              <w:t>.05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2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E2C" w14:textId="77777777" w:rsidR="00980E5F" w:rsidRDefault="00483613">
            <w:pPr>
              <w:jc w:val="right"/>
              <w:textAlignment w:val="bottom"/>
            </w:pPr>
            <w:r>
              <w:rPr>
                <w:rFonts w:ascii="Arial" w:eastAsia="宋体" w:hAnsi="Arial" w:cs="Arial"/>
                <w:color w:val="000000"/>
                <w:sz w:val="12"/>
                <w:szCs w:val="12"/>
              </w:rPr>
              <w:t>193,517 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2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E2F" w14:textId="77777777" w:rsidR="00980E5F" w:rsidRDefault="00483613">
            <w:pPr>
              <w:jc w:val="right"/>
              <w:textAlignment w:val="bottom"/>
            </w:pPr>
            <w:r>
              <w:rPr>
                <w:rFonts w:ascii="Arial" w:eastAsia="宋体" w:hAnsi="Arial" w:cs="Arial"/>
                <w:color w:val="000000"/>
                <w:sz w:val="12"/>
                <w:szCs w:val="12"/>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32" w14:textId="77777777" w:rsidR="00980E5F" w:rsidRDefault="00483613">
            <w:pPr>
              <w:jc w:val="right"/>
              <w:textAlignment w:val="bottom"/>
            </w:pPr>
            <w:r>
              <w:rPr>
                <w:rFonts w:ascii="Arial" w:eastAsia="宋体" w:hAnsi="Arial" w:cs="Arial"/>
                <w:color w:val="000000"/>
                <w:sz w:val="12"/>
                <w:szCs w:val="12"/>
              </w:rPr>
              <w:t>(.14)</w:t>
            </w:r>
          </w:p>
        </w:tc>
        <w:tc>
          <w:tcPr>
            <w:tcW w:w="0" w:type="auto"/>
            <w:shd w:val="clear" w:color="auto" w:fill="CCEEFF"/>
            <w:tcMar>
              <w:top w:w="40" w:type="dxa"/>
              <w:left w:w="0" w:type="dxa"/>
              <w:bottom w:w="40" w:type="dxa"/>
              <w:right w:w="20" w:type="dxa"/>
            </w:tcMar>
            <w:vAlign w:val="bottom"/>
          </w:tcPr>
          <w:p w14:paraId="392BFE33" w14:textId="77777777" w:rsidR="00980E5F" w:rsidRDefault="00980E5F">
            <w:pPr>
              <w:jc w:val="right"/>
              <w:rPr>
                <w:rFonts w:ascii="宋体"/>
              </w:rPr>
            </w:pPr>
          </w:p>
        </w:tc>
        <w:tc>
          <w:tcPr>
            <w:tcW w:w="0" w:type="auto"/>
            <w:shd w:val="clear" w:color="auto" w:fill="auto"/>
            <w:vAlign w:val="bottom"/>
          </w:tcPr>
          <w:p w14:paraId="392BFE34" w14:textId="77777777" w:rsidR="00980E5F" w:rsidRDefault="00980E5F">
            <w:pPr>
              <w:rPr>
                <w:rFonts w:ascii="宋体"/>
                <w:vanish/>
              </w:rPr>
            </w:pPr>
          </w:p>
        </w:tc>
        <w:tc>
          <w:tcPr>
            <w:tcW w:w="0" w:type="auto"/>
            <w:shd w:val="clear" w:color="auto" w:fill="auto"/>
            <w:vAlign w:val="bottom"/>
          </w:tcPr>
          <w:p w14:paraId="392BFE35" w14:textId="77777777" w:rsidR="00980E5F" w:rsidRDefault="00980E5F">
            <w:pPr>
              <w:rPr>
                <w:rFonts w:ascii="宋体"/>
                <w:vanish/>
              </w:rPr>
            </w:pPr>
          </w:p>
        </w:tc>
        <w:tc>
          <w:tcPr>
            <w:tcW w:w="0" w:type="auto"/>
            <w:shd w:val="clear" w:color="auto" w:fill="auto"/>
            <w:vAlign w:val="bottom"/>
          </w:tcPr>
          <w:p w14:paraId="392BFE36" w14:textId="77777777" w:rsidR="00980E5F" w:rsidRDefault="00980E5F">
            <w:pPr>
              <w:rPr>
                <w:rFonts w:ascii="宋体"/>
                <w:vanish/>
              </w:rPr>
            </w:pPr>
          </w:p>
        </w:tc>
        <w:tc>
          <w:tcPr>
            <w:tcW w:w="0" w:type="auto"/>
            <w:shd w:val="clear" w:color="auto" w:fill="auto"/>
            <w:vAlign w:val="bottom"/>
          </w:tcPr>
          <w:p w14:paraId="392BFE37" w14:textId="77777777" w:rsidR="00980E5F" w:rsidRDefault="00980E5F">
            <w:pPr>
              <w:rPr>
                <w:rFonts w:ascii="宋体"/>
                <w:vanish/>
              </w:rPr>
            </w:pPr>
          </w:p>
        </w:tc>
        <w:tc>
          <w:tcPr>
            <w:tcW w:w="0" w:type="auto"/>
            <w:gridSpan w:val="3"/>
            <w:shd w:val="clear" w:color="auto" w:fill="auto"/>
            <w:vAlign w:val="bottom"/>
          </w:tcPr>
          <w:p w14:paraId="392BFE38" w14:textId="77777777" w:rsidR="00980E5F" w:rsidRDefault="00980E5F">
            <w:pPr>
              <w:rPr>
                <w:rFonts w:ascii="宋体"/>
                <w:vanish/>
              </w:rPr>
            </w:pPr>
          </w:p>
        </w:tc>
        <w:tc>
          <w:tcPr>
            <w:tcW w:w="0" w:type="auto"/>
            <w:gridSpan w:val="3"/>
            <w:shd w:val="clear" w:color="auto" w:fill="auto"/>
            <w:vAlign w:val="bottom"/>
          </w:tcPr>
          <w:p w14:paraId="392BFE39" w14:textId="77777777" w:rsidR="00980E5F" w:rsidRDefault="00980E5F">
            <w:pPr>
              <w:rPr>
                <w:rFonts w:ascii="宋体"/>
                <w:vanish/>
              </w:rPr>
            </w:pPr>
          </w:p>
        </w:tc>
        <w:tc>
          <w:tcPr>
            <w:tcW w:w="0" w:type="auto"/>
            <w:gridSpan w:val="3"/>
            <w:shd w:val="clear" w:color="auto" w:fill="auto"/>
            <w:vAlign w:val="bottom"/>
          </w:tcPr>
          <w:p w14:paraId="392BFE3A" w14:textId="77777777" w:rsidR="00980E5F" w:rsidRDefault="00980E5F">
            <w:pPr>
              <w:rPr>
                <w:rFonts w:ascii="宋体"/>
                <w:vanish/>
              </w:rPr>
            </w:pPr>
          </w:p>
        </w:tc>
        <w:tc>
          <w:tcPr>
            <w:tcW w:w="0" w:type="auto"/>
            <w:gridSpan w:val="3"/>
            <w:shd w:val="clear" w:color="auto" w:fill="auto"/>
            <w:vAlign w:val="bottom"/>
          </w:tcPr>
          <w:p w14:paraId="392BFE3B" w14:textId="77777777" w:rsidR="00980E5F" w:rsidRDefault="00980E5F">
            <w:pPr>
              <w:rPr>
                <w:rFonts w:ascii="宋体"/>
                <w:vanish/>
              </w:rPr>
            </w:pPr>
          </w:p>
        </w:tc>
        <w:tc>
          <w:tcPr>
            <w:tcW w:w="0" w:type="auto"/>
            <w:gridSpan w:val="2"/>
            <w:shd w:val="clear" w:color="auto" w:fill="auto"/>
            <w:vAlign w:val="bottom"/>
          </w:tcPr>
          <w:p w14:paraId="392BFE3C" w14:textId="77777777" w:rsidR="00980E5F" w:rsidRDefault="00980E5F">
            <w:pPr>
              <w:rPr>
                <w:rFonts w:ascii="宋体"/>
                <w:vanish/>
              </w:rPr>
            </w:pPr>
          </w:p>
        </w:tc>
        <w:tc>
          <w:tcPr>
            <w:tcW w:w="0" w:type="auto"/>
            <w:shd w:val="clear" w:color="auto" w:fill="auto"/>
            <w:vAlign w:val="bottom"/>
          </w:tcPr>
          <w:p w14:paraId="392BFE3D" w14:textId="77777777" w:rsidR="00980E5F" w:rsidRDefault="00980E5F">
            <w:pPr>
              <w:rPr>
                <w:rFonts w:ascii="宋体"/>
                <w:vanish/>
              </w:rPr>
            </w:pPr>
          </w:p>
        </w:tc>
      </w:tr>
      <w:tr w:rsidR="00980E5F" w14:paraId="392BFE5B" w14:textId="77777777">
        <w:tc>
          <w:tcPr>
            <w:tcW w:w="0" w:type="auto"/>
            <w:gridSpan w:val="3"/>
            <w:shd w:val="clear" w:color="auto" w:fill="FFFFFF"/>
            <w:tcMar>
              <w:top w:w="40" w:type="dxa"/>
              <w:left w:w="20" w:type="dxa"/>
              <w:bottom w:w="40" w:type="dxa"/>
              <w:right w:w="20" w:type="dxa"/>
            </w:tcMar>
            <w:vAlign w:val="bottom"/>
          </w:tcPr>
          <w:p w14:paraId="392BFE3F" w14:textId="77777777" w:rsidR="00980E5F" w:rsidRDefault="00483613">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392BFE40" w14:textId="77777777" w:rsidR="00980E5F" w:rsidRDefault="00483613">
            <w:pPr>
              <w:jc w:val="right"/>
              <w:textAlignment w:val="bottom"/>
            </w:pPr>
            <w:r>
              <w:rPr>
                <w:rFonts w:ascii="Arial" w:eastAsia="宋体" w:hAnsi="Arial" w:cs="Arial"/>
                <w:b/>
                <w:bCs/>
                <w:color w:val="000000"/>
                <w:sz w:val="12"/>
                <w:szCs w:val="12"/>
              </w:rPr>
              <w:t>4,486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43" w14:textId="77777777" w:rsidR="00980E5F" w:rsidRDefault="00483613">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46" w14:textId="77777777" w:rsidR="00980E5F" w:rsidRDefault="00483613">
            <w:pPr>
              <w:jc w:val="right"/>
              <w:textAlignment w:val="bottom"/>
            </w:pPr>
            <w:r>
              <w:rPr>
                <w:rFonts w:ascii="Arial" w:eastAsia="宋体" w:hAnsi="Arial" w:cs="Arial"/>
                <w:b/>
                <w:bCs/>
                <w:color w:val="000000"/>
                <w:sz w:val="12"/>
                <w:szCs w:val="12"/>
              </w:rPr>
              <w:t>.26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49" w14:textId="77777777" w:rsidR="00980E5F" w:rsidRDefault="00483613">
            <w:pPr>
              <w:jc w:val="right"/>
              <w:textAlignment w:val="bottom"/>
            </w:pPr>
            <w:r>
              <w:rPr>
                <w:rFonts w:ascii="Arial" w:eastAsia="宋体" w:hAnsi="Arial" w:cs="Arial"/>
                <w:color w:val="000000"/>
                <w:sz w:val="12"/>
                <w:szCs w:val="12"/>
              </w:rPr>
              <w:t>477 </w:t>
            </w:r>
          </w:p>
        </w:tc>
        <w:tc>
          <w:tcPr>
            <w:tcW w:w="0" w:type="auto"/>
            <w:shd w:val="clear" w:color="auto" w:fill="FFFFFF"/>
            <w:tcMar>
              <w:top w:w="40" w:type="dxa"/>
              <w:left w:w="0" w:type="dxa"/>
              <w:bottom w:w="40" w:type="dxa"/>
              <w:right w:w="20" w:type="dxa"/>
            </w:tcMar>
            <w:vAlign w:val="bottom"/>
          </w:tcPr>
          <w:p w14:paraId="392BFE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4C"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4F" w14:textId="77777777" w:rsidR="00980E5F" w:rsidRDefault="00483613">
            <w:pPr>
              <w:jc w:val="right"/>
              <w:textAlignment w:val="bottom"/>
            </w:pPr>
            <w:r>
              <w:rPr>
                <w:rFonts w:ascii="Arial" w:eastAsia="宋体" w:hAnsi="Arial" w:cs="Arial"/>
                <w:color w:val="000000"/>
                <w:sz w:val="12"/>
                <w:szCs w:val="12"/>
              </w:rPr>
              <w:t>(.02)</w:t>
            </w:r>
          </w:p>
        </w:tc>
        <w:tc>
          <w:tcPr>
            <w:tcW w:w="0" w:type="auto"/>
            <w:shd w:val="clear" w:color="auto" w:fill="FFFFFF"/>
            <w:tcMar>
              <w:top w:w="40" w:type="dxa"/>
              <w:left w:w="0" w:type="dxa"/>
              <w:bottom w:w="40" w:type="dxa"/>
              <w:right w:w="20" w:type="dxa"/>
            </w:tcMar>
            <w:vAlign w:val="bottom"/>
          </w:tcPr>
          <w:p w14:paraId="392BFE50" w14:textId="77777777" w:rsidR="00980E5F" w:rsidRDefault="00980E5F">
            <w:pPr>
              <w:jc w:val="right"/>
              <w:rPr>
                <w:rFonts w:ascii="宋体"/>
              </w:rPr>
            </w:pPr>
          </w:p>
        </w:tc>
        <w:tc>
          <w:tcPr>
            <w:tcW w:w="0" w:type="auto"/>
            <w:shd w:val="clear" w:color="auto" w:fill="auto"/>
            <w:vAlign w:val="bottom"/>
          </w:tcPr>
          <w:p w14:paraId="392BFE51" w14:textId="77777777" w:rsidR="00980E5F" w:rsidRDefault="00980E5F">
            <w:pPr>
              <w:rPr>
                <w:rFonts w:ascii="宋体"/>
                <w:vanish/>
              </w:rPr>
            </w:pPr>
          </w:p>
        </w:tc>
        <w:tc>
          <w:tcPr>
            <w:tcW w:w="0" w:type="auto"/>
            <w:shd w:val="clear" w:color="auto" w:fill="auto"/>
            <w:vAlign w:val="bottom"/>
          </w:tcPr>
          <w:p w14:paraId="392BFE52" w14:textId="77777777" w:rsidR="00980E5F" w:rsidRDefault="00980E5F">
            <w:pPr>
              <w:rPr>
                <w:rFonts w:ascii="宋体"/>
                <w:vanish/>
              </w:rPr>
            </w:pPr>
          </w:p>
        </w:tc>
        <w:tc>
          <w:tcPr>
            <w:tcW w:w="0" w:type="auto"/>
            <w:shd w:val="clear" w:color="auto" w:fill="auto"/>
            <w:vAlign w:val="bottom"/>
          </w:tcPr>
          <w:p w14:paraId="392BFE53" w14:textId="77777777" w:rsidR="00980E5F" w:rsidRDefault="00980E5F">
            <w:pPr>
              <w:rPr>
                <w:rFonts w:ascii="宋体"/>
                <w:vanish/>
              </w:rPr>
            </w:pPr>
          </w:p>
        </w:tc>
        <w:tc>
          <w:tcPr>
            <w:tcW w:w="0" w:type="auto"/>
            <w:shd w:val="clear" w:color="auto" w:fill="auto"/>
            <w:vAlign w:val="bottom"/>
          </w:tcPr>
          <w:p w14:paraId="392BFE54" w14:textId="77777777" w:rsidR="00980E5F" w:rsidRDefault="00980E5F">
            <w:pPr>
              <w:rPr>
                <w:rFonts w:ascii="宋体"/>
                <w:vanish/>
              </w:rPr>
            </w:pPr>
          </w:p>
        </w:tc>
        <w:tc>
          <w:tcPr>
            <w:tcW w:w="0" w:type="auto"/>
            <w:gridSpan w:val="3"/>
            <w:shd w:val="clear" w:color="auto" w:fill="auto"/>
            <w:vAlign w:val="bottom"/>
          </w:tcPr>
          <w:p w14:paraId="392BFE55" w14:textId="77777777" w:rsidR="00980E5F" w:rsidRDefault="00980E5F">
            <w:pPr>
              <w:rPr>
                <w:rFonts w:ascii="宋体"/>
                <w:vanish/>
              </w:rPr>
            </w:pPr>
          </w:p>
        </w:tc>
        <w:tc>
          <w:tcPr>
            <w:tcW w:w="0" w:type="auto"/>
            <w:gridSpan w:val="3"/>
            <w:shd w:val="clear" w:color="auto" w:fill="auto"/>
            <w:vAlign w:val="bottom"/>
          </w:tcPr>
          <w:p w14:paraId="392BFE56" w14:textId="77777777" w:rsidR="00980E5F" w:rsidRDefault="00980E5F">
            <w:pPr>
              <w:rPr>
                <w:rFonts w:ascii="宋体"/>
                <w:vanish/>
              </w:rPr>
            </w:pPr>
          </w:p>
        </w:tc>
        <w:tc>
          <w:tcPr>
            <w:tcW w:w="0" w:type="auto"/>
            <w:gridSpan w:val="3"/>
            <w:shd w:val="clear" w:color="auto" w:fill="auto"/>
            <w:vAlign w:val="bottom"/>
          </w:tcPr>
          <w:p w14:paraId="392BFE57" w14:textId="77777777" w:rsidR="00980E5F" w:rsidRDefault="00980E5F">
            <w:pPr>
              <w:rPr>
                <w:rFonts w:ascii="宋体"/>
                <w:vanish/>
              </w:rPr>
            </w:pPr>
          </w:p>
        </w:tc>
        <w:tc>
          <w:tcPr>
            <w:tcW w:w="0" w:type="auto"/>
            <w:gridSpan w:val="3"/>
            <w:shd w:val="clear" w:color="auto" w:fill="auto"/>
            <w:vAlign w:val="bottom"/>
          </w:tcPr>
          <w:p w14:paraId="392BFE58" w14:textId="77777777" w:rsidR="00980E5F" w:rsidRDefault="00980E5F">
            <w:pPr>
              <w:rPr>
                <w:rFonts w:ascii="宋体"/>
                <w:vanish/>
              </w:rPr>
            </w:pPr>
          </w:p>
        </w:tc>
        <w:tc>
          <w:tcPr>
            <w:tcW w:w="0" w:type="auto"/>
            <w:gridSpan w:val="2"/>
            <w:shd w:val="clear" w:color="auto" w:fill="auto"/>
            <w:vAlign w:val="bottom"/>
          </w:tcPr>
          <w:p w14:paraId="392BFE59" w14:textId="77777777" w:rsidR="00980E5F" w:rsidRDefault="00980E5F">
            <w:pPr>
              <w:rPr>
                <w:rFonts w:ascii="宋体"/>
                <w:vanish/>
              </w:rPr>
            </w:pPr>
          </w:p>
        </w:tc>
        <w:tc>
          <w:tcPr>
            <w:tcW w:w="0" w:type="auto"/>
            <w:shd w:val="clear" w:color="auto" w:fill="auto"/>
            <w:vAlign w:val="bottom"/>
          </w:tcPr>
          <w:p w14:paraId="392BFE5A" w14:textId="77777777" w:rsidR="00980E5F" w:rsidRDefault="00980E5F">
            <w:pPr>
              <w:rPr>
                <w:rFonts w:ascii="宋体"/>
                <w:vanish/>
              </w:rPr>
            </w:pPr>
          </w:p>
        </w:tc>
      </w:tr>
      <w:tr w:rsidR="00980E5F" w14:paraId="392BFE78" w14:textId="77777777">
        <w:tc>
          <w:tcPr>
            <w:tcW w:w="0" w:type="auto"/>
            <w:gridSpan w:val="3"/>
            <w:shd w:val="clear" w:color="auto" w:fill="CCEEFF"/>
            <w:tcMar>
              <w:top w:w="40" w:type="dxa"/>
              <w:left w:w="20" w:type="dxa"/>
              <w:bottom w:w="40" w:type="dxa"/>
              <w:right w:w="20" w:type="dxa"/>
            </w:tcMar>
            <w:vAlign w:val="bottom"/>
          </w:tcPr>
          <w:p w14:paraId="392BFE5C" w14:textId="77777777" w:rsidR="00980E5F" w:rsidRDefault="00483613">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392BFE5D"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5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60"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6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63"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66" w14:textId="77777777" w:rsidR="00980E5F" w:rsidRDefault="00483613">
            <w:pPr>
              <w:jc w:val="right"/>
              <w:textAlignment w:val="bottom"/>
            </w:pPr>
            <w:r>
              <w:rPr>
                <w:rFonts w:ascii="Arial" w:eastAsia="宋体" w:hAnsi="Arial" w:cs="Arial"/>
                <w:color w:val="000000"/>
                <w:sz w:val="12"/>
                <w:szCs w:val="12"/>
              </w:rPr>
              <w:t>13 </w:t>
            </w:r>
          </w:p>
        </w:tc>
        <w:tc>
          <w:tcPr>
            <w:tcW w:w="0" w:type="auto"/>
            <w:shd w:val="clear" w:color="auto" w:fill="CCEEFF"/>
            <w:tcMar>
              <w:top w:w="40" w:type="dxa"/>
              <w:left w:w="0" w:type="dxa"/>
              <w:bottom w:w="40" w:type="dxa"/>
              <w:right w:w="20" w:type="dxa"/>
            </w:tcMar>
            <w:vAlign w:val="bottom"/>
          </w:tcPr>
          <w:p w14:paraId="392BFE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69"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6C" w14:textId="77777777" w:rsidR="00980E5F" w:rsidRDefault="00483613">
            <w:pPr>
              <w:jc w:val="right"/>
              <w:textAlignment w:val="bottom"/>
            </w:pPr>
            <w:r>
              <w:rPr>
                <w:rFonts w:ascii="Arial" w:eastAsia="宋体" w:hAnsi="Arial" w:cs="Arial"/>
                <w:color w:val="000000"/>
                <w:sz w:val="12"/>
                <w:szCs w:val="12"/>
              </w:rPr>
              <w:t>1.25 </w:t>
            </w:r>
          </w:p>
        </w:tc>
        <w:tc>
          <w:tcPr>
            <w:tcW w:w="0" w:type="auto"/>
            <w:shd w:val="clear" w:color="auto" w:fill="CCEEFF"/>
            <w:tcMar>
              <w:top w:w="40" w:type="dxa"/>
              <w:left w:w="0" w:type="dxa"/>
              <w:bottom w:w="40" w:type="dxa"/>
              <w:right w:w="20" w:type="dxa"/>
            </w:tcMar>
            <w:vAlign w:val="bottom"/>
          </w:tcPr>
          <w:p w14:paraId="392BFE6D" w14:textId="77777777" w:rsidR="00980E5F" w:rsidRDefault="00980E5F">
            <w:pPr>
              <w:jc w:val="right"/>
              <w:rPr>
                <w:rFonts w:ascii="宋体"/>
              </w:rPr>
            </w:pPr>
          </w:p>
        </w:tc>
        <w:tc>
          <w:tcPr>
            <w:tcW w:w="0" w:type="auto"/>
            <w:shd w:val="clear" w:color="auto" w:fill="auto"/>
            <w:vAlign w:val="bottom"/>
          </w:tcPr>
          <w:p w14:paraId="392BFE6E" w14:textId="77777777" w:rsidR="00980E5F" w:rsidRDefault="00980E5F">
            <w:pPr>
              <w:rPr>
                <w:rFonts w:ascii="宋体"/>
                <w:vanish/>
              </w:rPr>
            </w:pPr>
          </w:p>
        </w:tc>
        <w:tc>
          <w:tcPr>
            <w:tcW w:w="0" w:type="auto"/>
            <w:shd w:val="clear" w:color="auto" w:fill="auto"/>
            <w:vAlign w:val="bottom"/>
          </w:tcPr>
          <w:p w14:paraId="392BFE6F" w14:textId="77777777" w:rsidR="00980E5F" w:rsidRDefault="00980E5F">
            <w:pPr>
              <w:rPr>
                <w:rFonts w:ascii="宋体"/>
                <w:vanish/>
              </w:rPr>
            </w:pPr>
          </w:p>
        </w:tc>
        <w:tc>
          <w:tcPr>
            <w:tcW w:w="0" w:type="auto"/>
            <w:shd w:val="clear" w:color="auto" w:fill="auto"/>
            <w:vAlign w:val="bottom"/>
          </w:tcPr>
          <w:p w14:paraId="392BFE70" w14:textId="77777777" w:rsidR="00980E5F" w:rsidRDefault="00980E5F">
            <w:pPr>
              <w:rPr>
                <w:rFonts w:ascii="宋体"/>
                <w:vanish/>
              </w:rPr>
            </w:pPr>
          </w:p>
        </w:tc>
        <w:tc>
          <w:tcPr>
            <w:tcW w:w="0" w:type="auto"/>
            <w:shd w:val="clear" w:color="auto" w:fill="auto"/>
            <w:vAlign w:val="bottom"/>
          </w:tcPr>
          <w:p w14:paraId="392BFE71" w14:textId="77777777" w:rsidR="00980E5F" w:rsidRDefault="00980E5F">
            <w:pPr>
              <w:rPr>
                <w:rFonts w:ascii="宋体"/>
                <w:vanish/>
              </w:rPr>
            </w:pPr>
          </w:p>
        </w:tc>
        <w:tc>
          <w:tcPr>
            <w:tcW w:w="0" w:type="auto"/>
            <w:gridSpan w:val="3"/>
            <w:shd w:val="clear" w:color="auto" w:fill="auto"/>
            <w:vAlign w:val="bottom"/>
          </w:tcPr>
          <w:p w14:paraId="392BFE72" w14:textId="77777777" w:rsidR="00980E5F" w:rsidRDefault="00980E5F">
            <w:pPr>
              <w:rPr>
                <w:rFonts w:ascii="宋体"/>
                <w:vanish/>
              </w:rPr>
            </w:pPr>
          </w:p>
        </w:tc>
        <w:tc>
          <w:tcPr>
            <w:tcW w:w="0" w:type="auto"/>
            <w:gridSpan w:val="3"/>
            <w:shd w:val="clear" w:color="auto" w:fill="auto"/>
            <w:vAlign w:val="bottom"/>
          </w:tcPr>
          <w:p w14:paraId="392BFE73" w14:textId="77777777" w:rsidR="00980E5F" w:rsidRDefault="00980E5F">
            <w:pPr>
              <w:rPr>
                <w:rFonts w:ascii="宋体"/>
                <w:vanish/>
              </w:rPr>
            </w:pPr>
          </w:p>
        </w:tc>
        <w:tc>
          <w:tcPr>
            <w:tcW w:w="0" w:type="auto"/>
            <w:gridSpan w:val="3"/>
            <w:shd w:val="clear" w:color="auto" w:fill="auto"/>
            <w:vAlign w:val="bottom"/>
          </w:tcPr>
          <w:p w14:paraId="392BFE74" w14:textId="77777777" w:rsidR="00980E5F" w:rsidRDefault="00980E5F">
            <w:pPr>
              <w:rPr>
                <w:rFonts w:ascii="宋体"/>
                <w:vanish/>
              </w:rPr>
            </w:pPr>
          </w:p>
        </w:tc>
        <w:tc>
          <w:tcPr>
            <w:tcW w:w="0" w:type="auto"/>
            <w:gridSpan w:val="3"/>
            <w:shd w:val="clear" w:color="auto" w:fill="auto"/>
            <w:vAlign w:val="bottom"/>
          </w:tcPr>
          <w:p w14:paraId="392BFE75" w14:textId="77777777" w:rsidR="00980E5F" w:rsidRDefault="00980E5F">
            <w:pPr>
              <w:rPr>
                <w:rFonts w:ascii="宋体"/>
                <w:vanish/>
              </w:rPr>
            </w:pPr>
          </w:p>
        </w:tc>
        <w:tc>
          <w:tcPr>
            <w:tcW w:w="0" w:type="auto"/>
            <w:gridSpan w:val="2"/>
            <w:shd w:val="clear" w:color="auto" w:fill="auto"/>
            <w:vAlign w:val="bottom"/>
          </w:tcPr>
          <w:p w14:paraId="392BFE76" w14:textId="77777777" w:rsidR="00980E5F" w:rsidRDefault="00980E5F">
            <w:pPr>
              <w:rPr>
                <w:rFonts w:ascii="宋体"/>
                <w:vanish/>
              </w:rPr>
            </w:pPr>
          </w:p>
        </w:tc>
        <w:tc>
          <w:tcPr>
            <w:tcW w:w="0" w:type="auto"/>
            <w:shd w:val="clear" w:color="auto" w:fill="auto"/>
            <w:vAlign w:val="bottom"/>
          </w:tcPr>
          <w:p w14:paraId="392BFE77" w14:textId="77777777" w:rsidR="00980E5F" w:rsidRDefault="00980E5F">
            <w:pPr>
              <w:rPr>
                <w:rFonts w:ascii="宋体"/>
                <w:vanish/>
              </w:rPr>
            </w:pPr>
          </w:p>
        </w:tc>
      </w:tr>
      <w:tr w:rsidR="00980E5F" w14:paraId="392BFE95" w14:textId="77777777">
        <w:tc>
          <w:tcPr>
            <w:tcW w:w="0" w:type="auto"/>
            <w:gridSpan w:val="3"/>
            <w:shd w:val="clear" w:color="auto" w:fill="FFFFFF"/>
            <w:tcMar>
              <w:top w:w="40" w:type="dxa"/>
              <w:left w:w="20" w:type="dxa"/>
              <w:bottom w:w="40" w:type="dxa"/>
              <w:right w:w="20" w:type="dxa"/>
            </w:tcMar>
            <w:vAlign w:val="bottom"/>
          </w:tcPr>
          <w:p w14:paraId="392BFE79" w14:textId="77777777" w:rsidR="00980E5F" w:rsidRDefault="00483613">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392BFE7A" w14:textId="77777777" w:rsidR="00980E5F" w:rsidRDefault="00483613">
            <w:pPr>
              <w:jc w:val="right"/>
              <w:textAlignment w:val="bottom"/>
            </w:pPr>
            <w:r>
              <w:rPr>
                <w:rFonts w:ascii="Arial" w:eastAsia="宋体" w:hAnsi="Arial" w:cs="Arial"/>
                <w:b/>
                <w:bCs/>
                <w:color w:val="000000"/>
                <w:sz w:val="12"/>
                <w:szCs w:val="12"/>
              </w:rPr>
              <w:t>680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7D" w14:textId="77777777" w:rsidR="00980E5F" w:rsidRDefault="00483613">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80" w14:textId="77777777" w:rsidR="00980E5F" w:rsidRDefault="00483613">
            <w:pPr>
              <w:jc w:val="right"/>
              <w:textAlignment w:val="bottom"/>
            </w:pPr>
            <w:r>
              <w:rPr>
                <w:rFonts w:ascii="Arial" w:eastAsia="宋体" w:hAnsi="Arial" w:cs="Arial"/>
                <w:b/>
                <w:bCs/>
                <w:color w:val="000000"/>
                <w:sz w:val="12"/>
                <w:szCs w:val="12"/>
              </w:rPr>
              <w:t>.73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83" w14:textId="77777777" w:rsidR="00980E5F" w:rsidRDefault="00483613">
            <w:pPr>
              <w:jc w:val="right"/>
              <w:textAlignment w:val="bottom"/>
            </w:pPr>
            <w:r>
              <w:rPr>
                <w:rFonts w:ascii="Arial" w:eastAsia="宋体" w:hAnsi="Arial" w:cs="Arial"/>
                <w:color w:val="000000"/>
                <w:sz w:val="12"/>
                <w:szCs w:val="12"/>
              </w:rPr>
              <w:t>893 </w:t>
            </w:r>
          </w:p>
        </w:tc>
        <w:tc>
          <w:tcPr>
            <w:tcW w:w="0" w:type="auto"/>
            <w:shd w:val="clear" w:color="auto" w:fill="FFFFFF"/>
            <w:tcMar>
              <w:top w:w="40" w:type="dxa"/>
              <w:left w:w="0" w:type="dxa"/>
              <w:bottom w:w="40" w:type="dxa"/>
              <w:right w:w="20" w:type="dxa"/>
            </w:tcMar>
            <w:vAlign w:val="bottom"/>
          </w:tcPr>
          <w:p w14:paraId="392BFE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86"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392BFE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89" w14:textId="77777777" w:rsidR="00980E5F" w:rsidRDefault="00483613">
            <w:pPr>
              <w:jc w:val="right"/>
              <w:textAlignment w:val="bottom"/>
            </w:pPr>
            <w:r>
              <w:rPr>
                <w:rFonts w:ascii="Arial" w:eastAsia="宋体" w:hAnsi="Arial" w:cs="Arial"/>
                <w:color w:val="000000"/>
                <w:sz w:val="12"/>
                <w:szCs w:val="12"/>
              </w:rPr>
              <w:t>.27 </w:t>
            </w:r>
          </w:p>
        </w:tc>
        <w:tc>
          <w:tcPr>
            <w:tcW w:w="0" w:type="auto"/>
            <w:shd w:val="clear" w:color="auto" w:fill="FFFFFF"/>
            <w:tcMar>
              <w:top w:w="40" w:type="dxa"/>
              <w:left w:w="0" w:type="dxa"/>
              <w:bottom w:w="40" w:type="dxa"/>
              <w:right w:w="20" w:type="dxa"/>
            </w:tcMar>
            <w:vAlign w:val="bottom"/>
          </w:tcPr>
          <w:p w14:paraId="392BFE8A" w14:textId="77777777" w:rsidR="00980E5F" w:rsidRDefault="00980E5F">
            <w:pPr>
              <w:jc w:val="right"/>
              <w:rPr>
                <w:rFonts w:ascii="宋体"/>
              </w:rPr>
            </w:pPr>
          </w:p>
        </w:tc>
        <w:tc>
          <w:tcPr>
            <w:tcW w:w="0" w:type="auto"/>
            <w:shd w:val="clear" w:color="auto" w:fill="auto"/>
            <w:vAlign w:val="bottom"/>
          </w:tcPr>
          <w:p w14:paraId="392BFE8B" w14:textId="77777777" w:rsidR="00980E5F" w:rsidRDefault="00980E5F">
            <w:pPr>
              <w:rPr>
                <w:rFonts w:ascii="宋体"/>
                <w:vanish/>
              </w:rPr>
            </w:pPr>
          </w:p>
        </w:tc>
        <w:tc>
          <w:tcPr>
            <w:tcW w:w="0" w:type="auto"/>
            <w:shd w:val="clear" w:color="auto" w:fill="auto"/>
            <w:vAlign w:val="bottom"/>
          </w:tcPr>
          <w:p w14:paraId="392BFE8C" w14:textId="77777777" w:rsidR="00980E5F" w:rsidRDefault="00980E5F">
            <w:pPr>
              <w:rPr>
                <w:rFonts w:ascii="宋体"/>
                <w:vanish/>
              </w:rPr>
            </w:pPr>
          </w:p>
        </w:tc>
        <w:tc>
          <w:tcPr>
            <w:tcW w:w="0" w:type="auto"/>
            <w:shd w:val="clear" w:color="auto" w:fill="auto"/>
            <w:vAlign w:val="bottom"/>
          </w:tcPr>
          <w:p w14:paraId="392BFE8D" w14:textId="77777777" w:rsidR="00980E5F" w:rsidRDefault="00980E5F">
            <w:pPr>
              <w:rPr>
                <w:rFonts w:ascii="宋体"/>
                <w:vanish/>
              </w:rPr>
            </w:pPr>
          </w:p>
        </w:tc>
        <w:tc>
          <w:tcPr>
            <w:tcW w:w="0" w:type="auto"/>
            <w:shd w:val="clear" w:color="auto" w:fill="auto"/>
            <w:vAlign w:val="bottom"/>
          </w:tcPr>
          <w:p w14:paraId="392BFE8E" w14:textId="77777777" w:rsidR="00980E5F" w:rsidRDefault="00980E5F">
            <w:pPr>
              <w:rPr>
                <w:rFonts w:ascii="宋体"/>
                <w:vanish/>
              </w:rPr>
            </w:pPr>
          </w:p>
        </w:tc>
        <w:tc>
          <w:tcPr>
            <w:tcW w:w="0" w:type="auto"/>
            <w:gridSpan w:val="3"/>
            <w:shd w:val="clear" w:color="auto" w:fill="auto"/>
            <w:vAlign w:val="bottom"/>
          </w:tcPr>
          <w:p w14:paraId="392BFE8F" w14:textId="77777777" w:rsidR="00980E5F" w:rsidRDefault="00980E5F">
            <w:pPr>
              <w:rPr>
                <w:rFonts w:ascii="宋体"/>
                <w:vanish/>
              </w:rPr>
            </w:pPr>
          </w:p>
        </w:tc>
        <w:tc>
          <w:tcPr>
            <w:tcW w:w="0" w:type="auto"/>
            <w:gridSpan w:val="3"/>
            <w:shd w:val="clear" w:color="auto" w:fill="auto"/>
            <w:vAlign w:val="bottom"/>
          </w:tcPr>
          <w:p w14:paraId="392BFE90" w14:textId="77777777" w:rsidR="00980E5F" w:rsidRDefault="00980E5F">
            <w:pPr>
              <w:rPr>
                <w:rFonts w:ascii="宋体"/>
                <w:vanish/>
              </w:rPr>
            </w:pPr>
          </w:p>
        </w:tc>
        <w:tc>
          <w:tcPr>
            <w:tcW w:w="0" w:type="auto"/>
            <w:gridSpan w:val="3"/>
            <w:shd w:val="clear" w:color="auto" w:fill="auto"/>
            <w:vAlign w:val="bottom"/>
          </w:tcPr>
          <w:p w14:paraId="392BFE91" w14:textId="77777777" w:rsidR="00980E5F" w:rsidRDefault="00980E5F">
            <w:pPr>
              <w:rPr>
                <w:rFonts w:ascii="宋体"/>
                <w:vanish/>
              </w:rPr>
            </w:pPr>
          </w:p>
        </w:tc>
        <w:tc>
          <w:tcPr>
            <w:tcW w:w="0" w:type="auto"/>
            <w:gridSpan w:val="3"/>
            <w:shd w:val="clear" w:color="auto" w:fill="auto"/>
            <w:vAlign w:val="bottom"/>
          </w:tcPr>
          <w:p w14:paraId="392BFE92" w14:textId="77777777" w:rsidR="00980E5F" w:rsidRDefault="00980E5F">
            <w:pPr>
              <w:rPr>
                <w:rFonts w:ascii="宋体"/>
                <w:vanish/>
              </w:rPr>
            </w:pPr>
          </w:p>
        </w:tc>
        <w:tc>
          <w:tcPr>
            <w:tcW w:w="0" w:type="auto"/>
            <w:gridSpan w:val="2"/>
            <w:shd w:val="clear" w:color="auto" w:fill="auto"/>
            <w:vAlign w:val="bottom"/>
          </w:tcPr>
          <w:p w14:paraId="392BFE93" w14:textId="77777777" w:rsidR="00980E5F" w:rsidRDefault="00980E5F">
            <w:pPr>
              <w:rPr>
                <w:rFonts w:ascii="宋体"/>
                <w:vanish/>
              </w:rPr>
            </w:pPr>
          </w:p>
        </w:tc>
        <w:tc>
          <w:tcPr>
            <w:tcW w:w="0" w:type="auto"/>
            <w:shd w:val="clear" w:color="auto" w:fill="auto"/>
            <w:vAlign w:val="bottom"/>
          </w:tcPr>
          <w:p w14:paraId="392BFE94" w14:textId="77777777" w:rsidR="00980E5F" w:rsidRDefault="00980E5F">
            <w:pPr>
              <w:rPr>
                <w:rFonts w:ascii="宋体"/>
                <w:vanish/>
              </w:rPr>
            </w:pPr>
          </w:p>
        </w:tc>
      </w:tr>
      <w:tr w:rsidR="00980E5F" w14:paraId="392BFEB2" w14:textId="77777777">
        <w:tc>
          <w:tcPr>
            <w:tcW w:w="0" w:type="auto"/>
            <w:gridSpan w:val="3"/>
            <w:shd w:val="clear" w:color="auto" w:fill="CCEEFF"/>
            <w:tcMar>
              <w:top w:w="40" w:type="dxa"/>
              <w:left w:w="20" w:type="dxa"/>
              <w:bottom w:w="40" w:type="dxa"/>
              <w:right w:w="20" w:type="dxa"/>
            </w:tcMar>
            <w:vAlign w:val="bottom"/>
          </w:tcPr>
          <w:p w14:paraId="392BFE96" w14:textId="77777777" w:rsidR="00980E5F" w:rsidRDefault="00483613">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392BFE97" w14:textId="77777777" w:rsidR="00980E5F" w:rsidRDefault="00483613">
            <w:pPr>
              <w:jc w:val="right"/>
              <w:textAlignment w:val="bottom"/>
            </w:pPr>
            <w:r>
              <w:rPr>
                <w:rFonts w:ascii="Arial" w:eastAsia="宋体" w:hAnsi="Arial" w:cs="Arial"/>
                <w:b/>
                <w:bCs/>
                <w:color w:val="000000"/>
                <w:sz w:val="12"/>
                <w:szCs w:val="12"/>
              </w:rPr>
              <w:t>13,702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9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9A" w14:textId="77777777" w:rsidR="00980E5F" w:rsidRDefault="00483613">
            <w:pPr>
              <w:jc w:val="right"/>
              <w:textAlignment w:val="bottom"/>
            </w:pPr>
            <w:r>
              <w:rPr>
                <w:rFonts w:ascii="Arial" w:eastAsia="宋体" w:hAnsi="Arial" w:cs="Arial"/>
                <w:b/>
                <w:bCs/>
                <w:color w:val="000000"/>
                <w:sz w:val="12"/>
                <w:szCs w:val="12"/>
              </w:rPr>
              <w:t>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9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9D" w14:textId="77777777" w:rsidR="00980E5F" w:rsidRDefault="00483613">
            <w:pPr>
              <w:jc w:val="right"/>
              <w:textAlignment w:val="bottom"/>
            </w:pPr>
            <w:r>
              <w:rPr>
                <w:rFonts w:ascii="Arial" w:eastAsia="宋体" w:hAnsi="Arial" w:cs="Arial"/>
                <w:b/>
                <w:bCs/>
                <w:color w:val="000000"/>
                <w:sz w:val="12"/>
                <w:szCs w:val="12"/>
              </w:rPr>
              <w:t>2.12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9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A0" w14:textId="77777777" w:rsidR="00980E5F" w:rsidRDefault="00483613">
            <w:pPr>
              <w:jc w:val="right"/>
              <w:textAlignment w:val="bottom"/>
            </w:pPr>
            <w:r>
              <w:rPr>
                <w:rFonts w:ascii="Arial" w:eastAsia="宋体" w:hAnsi="Arial" w:cs="Arial"/>
                <w:color w:val="000000"/>
                <w:sz w:val="12"/>
                <w:szCs w:val="12"/>
              </w:rPr>
              <w:t>13,461 </w:t>
            </w:r>
          </w:p>
        </w:tc>
        <w:tc>
          <w:tcPr>
            <w:tcW w:w="0" w:type="auto"/>
            <w:shd w:val="clear" w:color="auto" w:fill="CCEEFF"/>
            <w:tcMar>
              <w:top w:w="40" w:type="dxa"/>
              <w:left w:w="0" w:type="dxa"/>
              <w:bottom w:w="40" w:type="dxa"/>
              <w:right w:w="20" w:type="dxa"/>
            </w:tcMar>
            <w:vAlign w:val="bottom"/>
          </w:tcPr>
          <w:p w14:paraId="392BFE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A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A3" w14:textId="77777777" w:rsidR="00980E5F" w:rsidRDefault="00483613">
            <w:pPr>
              <w:jc w:val="right"/>
              <w:textAlignment w:val="bottom"/>
            </w:pPr>
            <w:r>
              <w:rPr>
                <w:rFonts w:ascii="Arial" w:eastAsia="宋体" w:hAnsi="Arial" w:cs="Arial"/>
                <w:color w:val="000000"/>
                <w:sz w:val="12"/>
                <w:szCs w:val="12"/>
              </w:rPr>
              <w:t>54 </w:t>
            </w:r>
          </w:p>
        </w:tc>
        <w:tc>
          <w:tcPr>
            <w:tcW w:w="0" w:type="auto"/>
            <w:shd w:val="clear" w:color="auto" w:fill="CCEEFF"/>
            <w:tcMar>
              <w:top w:w="40" w:type="dxa"/>
              <w:left w:w="0" w:type="dxa"/>
              <w:bottom w:w="40" w:type="dxa"/>
              <w:right w:w="20" w:type="dxa"/>
            </w:tcMar>
            <w:vAlign w:val="bottom"/>
          </w:tcPr>
          <w:p w14:paraId="392BFEA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A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A6" w14:textId="77777777" w:rsidR="00980E5F" w:rsidRDefault="00483613">
            <w:pPr>
              <w:jc w:val="right"/>
              <w:textAlignment w:val="bottom"/>
            </w:pPr>
            <w:r>
              <w:rPr>
                <w:rFonts w:ascii="Arial" w:eastAsia="宋体" w:hAnsi="Arial" w:cs="Arial"/>
                <w:color w:val="000000"/>
                <w:sz w:val="12"/>
                <w:szCs w:val="12"/>
              </w:rPr>
              <w:t>1.60 </w:t>
            </w:r>
          </w:p>
        </w:tc>
        <w:tc>
          <w:tcPr>
            <w:tcW w:w="0" w:type="auto"/>
            <w:shd w:val="clear" w:color="auto" w:fill="CCEEFF"/>
            <w:tcMar>
              <w:top w:w="40" w:type="dxa"/>
              <w:left w:w="0" w:type="dxa"/>
              <w:bottom w:w="40" w:type="dxa"/>
              <w:right w:w="20" w:type="dxa"/>
            </w:tcMar>
            <w:vAlign w:val="bottom"/>
          </w:tcPr>
          <w:p w14:paraId="392BFEA7" w14:textId="77777777" w:rsidR="00980E5F" w:rsidRDefault="00980E5F">
            <w:pPr>
              <w:jc w:val="right"/>
              <w:rPr>
                <w:rFonts w:ascii="宋体"/>
              </w:rPr>
            </w:pPr>
          </w:p>
        </w:tc>
        <w:tc>
          <w:tcPr>
            <w:tcW w:w="0" w:type="auto"/>
            <w:shd w:val="clear" w:color="auto" w:fill="auto"/>
            <w:vAlign w:val="bottom"/>
          </w:tcPr>
          <w:p w14:paraId="392BFEA8" w14:textId="77777777" w:rsidR="00980E5F" w:rsidRDefault="00980E5F">
            <w:pPr>
              <w:rPr>
                <w:rFonts w:ascii="宋体"/>
                <w:vanish/>
              </w:rPr>
            </w:pPr>
          </w:p>
        </w:tc>
        <w:tc>
          <w:tcPr>
            <w:tcW w:w="0" w:type="auto"/>
            <w:shd w:val="clear" w:color="auto" w:fill="auto"/>
            <w:vAlign w:val="bottom"/>
          </w:tcPr>
          <w:p w14:paraId="392BFEA9" w14:textId="77777777" w:rsidR="00980E5F" w:rsidRDefault="00980E5F">
            <w:pPr>
              <w:rPr>
                <w:rFonts w:ascii="宋体"/>
                <w:vanish/>
              </w:rPr>
            </w:pPr>
          </w:p>
        </w:tc>
        <w:tc>
          <w:tcPr>
            <w:tcW w:w="0" w:type="auto"/>
            <w:shd w:val="clear" w:color="auto" w:fill="auto"/>
            <w:vAlign w:val="bottom"/>
          </w:tcPr>
          <w:p w14:paraId="392BFEAA" w14:textId="77777777" w:rsidR="00980E5F" w:rsidRDefault="00980E5F">
            <w:pPr>
              <w:rPr>
                <w:rFonts w:ascii="宋体"/>
                <w:vanish/>
              </w:rPr>
            </w:pPr>
          </w:p>
        </w:tc>
        <w:tc>
          <w:tcPr>
            <w:tcW w:w="0" w:type="auto"/>
            <w:shd w:val="clear" w:color="auto" w:fill="auto"/>
            <w:vAlign w:val="bottom"/>
          </w:tcPr>
          <w:p w14:paraId="392BFEAB" w14:textId="77777777" w:rsidR="00980E5F" w:rsidRDefault="00980E5F">
            <w:pPr>
              <w:rPr>
                <w:rFonts w:ascii="宋体"/>
                <w:vanish/>
              </w:rPr>
            </w:pPr>
          </w:p>
        </w:tc>
        <w:tc>
          <w:tcPr>
            <w:tcW w:w="0" w:type="auto"/>
            <w:gridSpan w:val="3"/>
            <w:shd w:val="clear" w:color="auto" w:fill="auto"/>
            <w:vAlign w:val="bottom"/>
          </w:tcPr>
          <w:p w14:paraId="392BFEAC" w14:textId="77777777" w:rsidR="00980E5F" w:rsidRDefault="00980E5F">
            <w:pPr>
              <w:rPr>
                <w:rFonts w:ascii="宋体"/>
                <w:vanish/>
              </w:rPr>
            </w:pPr>
          </w:p>
        </w:tc>
        <w:tc>
          <w:tcPr>
            <w:tcW w:w="0" w:type="auto"/>
            <w:gridSpan w:val="3"/>
            <w:shd w:val="clear" w:color="auto" w:fill="auto"/>
            <w:vAlign w:val="bottom"/>
          </w:tcPr>
          <w:p w14:paraId="392BFEAD" w14:textId="77777777" w:rsidR="00980E5F" w:rsidRDefault="00980E5F">
            <w:pPr>
              <w:rPr>
                <w:rFonts w:ascii="宋体"/>
                <w:vanish/>
              </w:rPr>
            </w:pPr>
          </w:p>
        </w:tc>
        <w:tc>
          <w:tcPr>
            <w:tcW w:w="0" w:type="auto"/>
            <w:gridSpan w:val="3"/>
            <w:shd w:val="clear" w:color="auto" w:fill="auto"/>
            <w:vAlign w:val="bottom"/>
          </w:tcPr>
          <w:p w14:paraId="392BFEAE" w14:textId="77777777" w:rsidR="00980E5F" w:rsidRDefault="00980E5F">
            <w:pPr>
              <w:rPr>
                <w:rFonts w:ascii="宋体"/>
                <w:vanish/>
              </w:rPr>
            </w:pPr>
          </w:p>
        </w:tc>
        <w:tc>
          <w:tcPr>
            <w:tcW w:w="0" w:type="auto"/>
            <w:gridSpan w:val="3"/>
            <w:shd w:val="clear" w:color="auto" w:fill="auto"/>
            <w:vAlign w:val="bottom"/>
          </w:tcPr>
          <w:p w14:paraId="392BFEAF" w14:textId="77777777" w:rsidR="00980E5F" w:rsidRDefault="00980E5F">
            <w:pPr>
              <w:rPr>
                <w:rFonts w:ascii="宋体"/>
                <w:vanish/>
              </w:rPr>
            </w:pPr>
          </w:p>
        </w:tc>
        <w:tc>
          <w:tcPr>
            <w:tcW w:w="0" w:type="auto"/>
            <w:gridSpan w:val="2"/>
            <w:shd w:val="clear" w:color="auto" w:fill="auto"/>
            <w:vAlign w:val="bottom"/>
          </w:tcPr>
          <w:p w14:paraId="392BFEB0" w14:textId="77777777" w:rsidR="00980E5F" w:rsidRDefault="00980E5F">
            <w:pPr>
              <w:rPr>
                <w:rFonts w:ascii="宋体"/>
                <w:vanish/>
              </w:rPr>
            </w:pPr>
          </w:p>
        </w:tc>
        <w:tc>
          <w:tcPr>
            <w:tcW w:w="0" w:type="auto"/>
            <w:shd w:val="clear" w:color="auto" w:fill="auto"/>
            <w:vAlign w:val="bottom"/>
          </w:tcPr>
          <w:p w14:paraId="392BFEB1" w14:textId="77777777" w:rsidR="00980E5F" w:rsidRDefault="00980E5F">
            <w:pPr>
              <w:rPr>
                <w:rFonts w:ascii="宋体"/>
                <w:vanish/>
              </w:rPr>
            </w:pPr>
          </w:p>
        </w:tc>
      </w:tr>
      <w:tr w:rsidR="00980E5F" w14:paraId="392BFECF" w14:textId="77777777">
        <w:tc>
          <w:tcPr>
            <w:tcW w:w="0" w:type="auto"/>
            <w:gridSpan w:val="3"/>
            <w:shd w:val="clear" w:color="auto" w:fill="FFFFFF"/>
            <w:tcMar>
              <w:top w:w="40" w:type="dxa"/>
              <w:left w:w="20" w:type="dxa"/>
              <w:bottom w:w="40" w:type="dxa"/>
              <w:right w:w="20" w:type="dxa"/>
            </w:tcMar>
            <w:vAlign w:val="bottom"/>
          </w:tcPr>
          <w:p w14:paraId="392BFEB3" w14:textId="77777777" w:rsidR="00980E5F" w:rsidRDefault="00483613">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392BFEB4" w14:textId="77777777" w:rsidR="00980E5F" w:rsidRDefault="00483613">
            <w:pPr>
              <w:jc w:val="right"/>
              <w:textAlignment w:val="bottom"/>
            </w:pPr>
            <w:r>
              <w:rPr>
                <w:rFonts w:ascii="Arial" w:eastAsia="宋体" w:hAnsi="Arial" w:cs="Arial"/>
                <w:b/>
                <w:bCs/>
                <w:color w:val="000000"/>
                <w:sz w:val="12"/>
                <w:szCs w:val="12"/>
              </w:rPr>
              <w:t>2,518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B7" w14:textId="77777777" w:rsidR="00980E5F" w:rsidRDefault="00483613">
            <w:pPr>
              <w:jc w:val="right"/>
              <w:textAlignment w:val="bottom"/>
            </w:pPr>
            <w:r>
              <w:rPr>
                <w:rFonts w:ascii="Arial" w:eastAsia="宋体" w:hAnsi="Arial" w:cs="Arial"/>
                <w:b/>
                <w:bCs/>
                <w:color w:val="000000"/>
                <w:sz w:val="12"/>
                <w:szCs w:val="12"/>
              </w:rPr>
              <w:t>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BA" w14:textId="77777777" w:rsidR="00980E5F" w:rsidRDefault="00483613">
            <w:pPr>
              <w:jc w:val="right"/>
              <w:textAlignment w:val="bottom"/>
            </w:pPr>
            <w:r>
              <w:rPr>
                <w:rFonts w:ascii="Arial" w:eastAsia="宋体" w:hAnsi="Arial" w:cs="Arial"/>
                <w:b/>
                <w:bCs/>
                <w:color w:val="000000"/>
                <w:sz w:val="12"/>
                <w:szCs w:val="12"/>
              </w:rPr>
              <w:t>3</w:t>
            </w:r>
            <w:r>
              <w:rPr>
                <w:rFonts w:ascii="Arial" w:eastAsia="宋体" w:hAnsi="Arial" w:cs="Arial"/>
                <w:b/>
                <w:bCs/>
                <w:color w:val="000000"/>
                <w:sz w:val="12"/>
                <w:szCs w:val="12"/>
              </w:rPr>
              <w:t>.31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BD" w14:textId="77777777" w:rsidR="00980E5F" w:rsidRDefault="00483613">
            <w:pPr>
              <w:jc w:val="right"/>
              <w:textAlignment w:val="bottom"/>
            </w:pPr>
            <w:r>
              <w:rPr>
                <w:rFonts w:ascii="Arial" w:eastAsia="宋体" w:hAnsi="Arial" w:cs="Arial"/>
                <w:color w:val="000000"/>
                <w:sz w:val="12"/>
                <w:szCs w:val="12"/>
              </w:rPr>
              <w:t>5,682 </w:t>
            </w:r>
          </w:p>
        </w:tc>
        <w:tc>
          <w:tcPr>
            <w:tcW w:w="0" w:type="auto"/>
            <w:shd w:val="clear" w:color="auto" w:fill="FFFFFF"/>
            <w:tcMar>
              <w:top w:w="40" w:type="dxa"/>
              <w:left w:w="0" w:type="dxa"/>
              <w:bottom w:w="40" w:type="dxa"/>
              <w:right w:w="20" w:type="dxa"/>
            </w:tcMar>
            <w:vAlign w:val="bottom"/>
          </w:tcPr>
          <w:p w14:paraId="392BFE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C0" w14:textId="77777777" w:rsidR="00980E5F" w:rsidRDefault="00483613">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392BFE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E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C3" w14:textId="77777777" w:rsidR="00980E5F" w:rsidRDefault="00483613">
            <w:pPr>
              <w:jc w:val="right"/>
              <w:textAlignment w:val="bottom"/>
            </w:pPr>
            <w:r>
              <w:rPr>
                <w:rFonts w:ascii="Arial" w:eastAsia="宋体" w:hAnsi="Arial" w:cs="Arial"/>
                <w:color w:val="000000"/>
                <w:sz w:val="12"/>
                <w:szCs w:val="12"/>
              </w:rPr>
              <w:t>.80 </w:t>
            </w:r>
          </w:p>
        </w:tc>
        <w:tc>
          <w:tcPr>
            <w:tcW w:w="0" w:type="auto"/>
            <w:shd w:val="clear" w:color="auto" w:fill="FFFFFF"/>
            <w:tcMar>
              <w:top w:w="40" w:type="dxa"/>
              <w:left w:w="0" w:type="dxa"/>
              <w:bottom w:w="40" w:type="dxa"/>
              <w:right w:w="20" w:type="dxa"/>
            </w:tcMar>
            <w:vAlign w:val="bottom"/>
          </w:tcPr>
          <w:p w14:paraId="392BFEC4" w14:textId="77777777" w:rsidR="00980E5F" w:rsidRDefault="00980E5F">
            <w:pPr>
              <w:jc w:val="right"/>
              <w:rPr>
                <w:rFonts w:ascii="宋体"/>
              </w:rPr>
            </w:pPr>
          </w:p>
        </w:tc>
        <w:tc>
          <w:tcPr>
            <w:tcW w:w="0" w:type="auto"/>
            <w:shd w:val="clear" w:color="auto" w:fill="auto"/>
            <w:vAlign w:val="bottom"/>
          </w:tcPr>
          <w:p w14:paraId="392BFEC5" w14:textId="77777777" w:rsidR="00980E5F" w:rsidRDefault="00980E5F">
            <w:pPr>
              <w:rPr>
                <w:rFonts w:ascii="宋体"/>
                <w:vanish/>
              </w:rPr>
            </w:pPr>
          </w:p>
        </w:tc>
        <w:tc>
          <w:tcPr>
            <w:tcW w:w="0" w:type="auto"/>
            <w:shd w:val="clear" w:color="auto" w:fill="auto"/>
            <w:vAlign w:val="bottom"/>
          </w:tcPr>
          <w:p w14:paraId="392BFEC6" w14:textId="77777777" w:rsidR="00980E5F" w:rsidRDefault="00980E5F">
            <w:pPr>
              <w:rPr>
                <w:rFonts w:ascii="宋体"/>
                <w:vanish/>
              </w:rPr>
            </w:pPr>
          </w:p>
        </w:tc>
        <w:tc>
          <w:tcPr>
            <w:tcW w:w="0" w:type="auto"/>
            <w:shd w:val="clear" w:color="auto" w:fill="auto"/>
            <w:vAlign w:val="bottom"/>
          </w:tcPr>
          <w:p w14:paraId="392BFEC7" w14:textId="77777777" w:rsidR="00980E5F" w:rsidRDefault="00980E5F">
            <w:pPr>
              <w:rPr>
                <w:rFonts w:ascii="宋体"/>
                <w:vanish/>
              </w:rPr>
            </w:pPr>
          </w:p>
        </w:tc>
        <w:tc>
          <w:tcPr>
            <w:tcW w:w="0" w:type="auto"/>
            <w:shd w:val="clear" w:color="auto" w:fill="auto"/>
            <w:vAlign w:val="bottom"/>
          </w:tcPr>
          <w:p w14:paraId="392BFEC8" w14:textId="77777777" w:rsidR="00980E5F" w:rsidRDefault="00980E5F">
            <w:pPr>
              <w:rPr>
                <w:rFonts w:ascii="宋体"/>
                <w:vanish/>
              </w:rPr>
            </w:pPr>
          </w:p>
        </w:tc>
        <w:tc>
          <w:tcPr>
            <w:tcW w:w="0" w:type="auto"/>
            <w:gridSpan w:val="3"/>
            <w:shd w:val="clear" w:color="auto" w:fill="auto"/>
            <w:vAlign w:val="bottom"/>
          </w:tcPr>
          <w:p w14:paraId="392BFEC9" w14:textId="77777777" w:rsidR="00980E5F" w:rsidRDefault="00980E5F">
            <w:pPr>
              <w:rPr>
                <w:rFonts w:ascii="宋体"/>
                <w:vanish/>
              </w:rPr>
            </w:pPr>
          </w:p>
        </w:tc>
        <w:tc>
          <w:tcPr>
            <w:tcW w:w="0" w:type="auto"/>
            <w:gridSpan w:val="3"/>
            <w:shd w:val="clear" w:color="auto" w:fill="auto"/>
            <w:vAlign w:val="bottom"/>
          </w:tcPr>
          <w:p w14:paraId="392BFECA" w14:textId="77777777" w:rsidR="00980E5F" w:rsidRDefault="00980E5F">
            <w:pPr>
              <w:rPr>
                <w:rFonts w:ascii="宋体"/>
                <w:vanish/>
              </w:rPr>
            </w:pPr>
          </w:p>
        </w:tc>
        <w:tc>
          <w:tcPr>
            <w:tcW w:w="0" w:type="auto"/>
            <w:gridSpan w:val="3"/>
            <w:shd w:val="clear" w:color="auto" w:fill="auto"/>
            <w:vAlign w:val="bottom"/>
          </w:tcPr>
          <w:p w14:paraId="392BFECB" w14:textId="77777777" w:rsidR="00980E5F" w:rsidRDefault="00980E5F">
            <w:pPr>
              <w:rPr>
                <w:rFonts w:ascii="宋体"/>
                <w:vanish/>
              </w:rPr>
            </w:pPr>
          </w:p>
        </w:tc>
        <w:tc>
          <w:tcPr>
            <w:tcW w:w="0" w:type="auto"/>
            <w:gridSpan w:val="3"/>
            <w:shd w:val="clear" w:color="auto" w:fill="auto"/>
            <w:vAlign w:val="bottom"/>
          </w:tcPr>
          <w:p w14:paraId="392BFECC" w14:textId="77777777" w:rsidR="00980E5F" w:rsidRDefault="00980E5F">
            <w:pPr>
              <w:rPr>
                <w:rFonts w:ascii="宋体"/>
                <w:vanish/>
              </w:rPr>
            </w:pPr>
          </w:p>
        </w:tc>
        <w:tc>
          <w:tcPr>
            <w:tcW w:w="0" w:type="auto"/>
            <w:gridSpan w:val="2"/>
            <w:shd w:val="clear" w:color="auto" w:fill="auto"/>
            <w:vAlign w:val="bottom"/>
          </w:tcPr>
          <w:p w14:paraId="392BFECD" w14:textId="77777777" w:rsidR="00980E5F" w:rsidRDefault="00980E5F">
            <w:pPr>
              <w:rPr>
                <w:rFonts w:ascii="宋体"/>
                <w:vanish/>
              </w:rPr>
            </w:pPr>
          </w:p>
        </w:tc>
        <w:tc>
          <w:tcPr>
            <w:tcW w:w="0" w:type="auto"/>
            <w:shd w:val="clear" w:color="auto" w:fill="auto"/>
            <w:vAlign w:val="bottom"/>
          </w:tcPr>
          <w:p w14:paraId="392BFECE" w14:textId="77777777" w:rsidR="00980E5F" w:rsidRDefault="00980E5F">
            <w:pPr>
              <w:rPr>
                <w:rFonts w:ascii="宋体"/>
                <w:vanish/>
              </w:rPr>
            </w:pPr>
          </w:p>
        </w:tc>
      </w:tr>
      <w:tr w:rsidR="00980E5F" w14:paraId="392BFEF0" w14:textId="77777777">
        <w:tc>
          <w:tcPr>
            <w:tcW w:w="0" w:type="auto"/>
            <w:gridSpan w:val="3"/>
            <w:shd w:val="clear" w:color="auto" w:fill="CCEEFF"/>
            <w:tcMar>
              <w:top w:w="40" w:type="dxa"/>
              <w:left w:w="20" w:type="dxa"/>
              <w:bottom w:w="40" w:type="dxa"/>
              <w:right w:w="20" w:type="dxa"/>
            </w:tcMar>
            <w:vAlign w:val="bottom"/>
          </w:tcPr>
          <w:p w14:paraId="392BFED0" w14:textId="77777777" w:rsidR="00980E5F" w:rsidRDefault="00483613">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ED1"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ED2" w14:textId="77777777" w:rsidR="00980E5F" w:rsidRDefault="00483613">
            <w:pPr>
              <w:jc w:val="right"/>
              <w:textAlignment w:val="bottom"/>
            </w:pPr>
            <w:r>
              <w:rPr>
                <w:rFonts w:ascii="Arial" w:eastAsia="宋体" w:hAnsi="Arial" w:cs="Arial"/>
                <w:b/>
                <w:bCs/>
                <w:color w:val="000000"/>
                <w:sz w:val="12"/>
                <w:szCs w:val="12"/>
              </w:rPr>
              <w:t>198,71</w:t>
            </w: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D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ED5"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ED6" w14:textId="77777777" w:rsidR="00980E5F" w:rsidRDefault="00483613">
            <w:pPr>
              <w:jc w:val="right"/>
              <w:textAlignment w:val="bottom"/>
            </w:pPr>
            <w:r>
              <w:rPr>
                <w:rFonts w:ascii="Arial" w:eastAsia="宋体" w:hAnsi="Arial" w:cs="Arial"/>
                <w:b/>
                <w:bCs/>
                <w:color w:val="000000"/>
                <w:sz w:val="12"/>
                <w:szCs w:val="12"/>
              </w:rPr>
              <w:t>120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D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D9" w14:textId="77777777" w:rsidR="00980E5F" w:rsidRDefault="00483613">
            <w:pPr>
              <w:jc w:val="right"/>
              <w:textAlignment w:val="bottom"/>
            </w:pPr>
            <w:r>
              <w:rPr>
                <w:rFonts w:ascii="Arial" w:eastAsia="宋体" w:hAnsi="Arial" w:cs="Arial"/>
                <w:b/>
                <w:bCs/>
                <w:color w:val="000000"/>
                <w:sz w:val="12"/>
                <w:szCs w:val="12"/>
              </w:rPr>
              <w:t>.24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D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EDC"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EDD" w14:textId="77777777" w:rsidR="00980E5F" w:rsidRDefault="00483613">
            <w:pPr>
              <w:jc w:val="right"/>
              <w:textAlignment w:val="bottom"/>
            </w:pPr>
            <w:r>
              <w:rPr>
                <w:rFonts w:ascii="Arial" w:eastAsia="宋体" w:hAnsi="Arial" w:cs="Arial"/>
                <w:color w:val="000000"/>
                <w:sz w:val="12"/>
                <w:szCs w:val="12"/>
              </w:rPr>
              <w:t>214,043 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D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EE0"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EE1" w14:textId="77777777" w:rsidR="00980E5F" w:rsidRDefault="00483613">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EE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EE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EE4"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EE5" w14:textId="77777777" w:rsidR="00980E5F" w:rsidRDefault="00980E5F">
            <w:pPr>
              <w:jc w:val="right"/>
              <w:rPr>
                <w:rFonts w:ascii="宋体"/>
              </w:rPr>
            </w:pPr>
          </w:p>
        </w:tc>
        <w:tc>
          <w:tcPr>
            <w:tcW w:w="0" w:type="auto"/>
            <w:shd w:val="clear" w:color="auto" w:fill="auto"/>
            <w:vAlign w:val="bottom"/>
          </w:tcPr>
          <w:p w14:paraId="392BFEE6" w14:textId="77777777" w:rsidR="00980E5F" w:rsidRDefault="00980E5F">
            <w:pPr>
              <w:rPr>
                <w:rFonts w:ascii="宋体"/>
                <w:vanish/>
              </w:rPr>
            </w:pPr>
          </w:p>
        </w:tc>
        <w:tc>
          <w:tcPr>
            <w:tcW w:w="0" w:type="auto"/>
            <w:shd w:val="clear" w:color="auto" w:fill="auto"/>
            <w:vAlign w:val="bottom"/>
          </w:tcPr>
          <w:p w14:paraId="392BFEE7" w14:textId="77777777" w:rsidR="00980E5F" w:rsidRDefault="00980E5F">
            <w:pPr>
              <w:rPr>
                <w:rFonts w:ascii="宋体"/>
                <w:vanish/>
              </w:rPr>
            </w:pPr>
          </w:p>
        </w:tc>
        <w:tc>
          <w:tcPr>
            <w:tcW w:w="0" w:type="auto"/>
            <w:shd w:val="clear" w:color="auto" w:fill="auto"/>
            <w:vAlign w:val="bottom"/>
          </w:tcPr>
          <w:p w14:paraId="392BFEE8" w14:textId="77777777" w:rsidR="00980E5F" w:rsidRDefault="00980E5F">
            <w:pPr>
              <w:rPr>
                <w:rFonts w:ascii="宋体"/>
                <w:vanish/>
              </w:rPr>
            </w:pPr>
          </w:p>
        </w:tc>
        <w:tc>
          <w:tcPr>
            <w:tcW w:w="0" w:type="auto"/>
            <w:shd w:val="clear" w:color="auto" w:fill="auto"/>
            <w:vAlign w:val="bottom"/>
          </w:tcPr>
          <w:p w14:paraId="392BFEE9" w14:textId="77777777" w:rsidR="00980E5F" w:rsidRDefault="00980E5F">
            <w:pPr>
              <w:rPr>
                <w:rFonts w:ascii="宋体"/>
                <w:vanish/>
              </w:rPr>
            </w:pPr>
          </w:p>
        </w:tc>
        <w:tc>
          <w:tcPr>
            <w:tcW w:w="0" w:type="auto"/>
            <w:gridSpan w:val="3"/>
            <w:shd w:val="clear" w:color="auto" w:fill="auto"/>
            <w:vAlign w:val="bottom"/>
          </w:tcPr>
          <w:p w14:paraId="392BFEEA" w14:textId="77777777" w:rsidR="00980E5F" w:rsidRDefault="00980E5F">
            <w:pPr>
              <w:rPr>
                <w:rFonts w:ascii="宋体"/>
                <w:vanish/>
              </w:rPr>
            </w:pPr>
          </w:p>
        </w:tc>
        <w:tc>
          <w:tcPr>
            <w:tcW w:w="0" w:type="auto"/>
            <w:gridSpan w:val="3"/>
            <w:shd w:val="clear" w:color="auto" w:fill="auto"/>
            <w:vAlign w:val="bottom"/>
          </w:tcPr>
          <w:p w14:paraId="392BFEEB" w14:textId="77777777" w:rsidR="00980E5F" w:rsidRDefault="00980E5F">
            <w:pPr>
              <w:rPr>
                <w:rFonts w:ascii="宋体"/>
                <w:vanish/>
              </w:rPr>
            </w:pPr>
          </w:p>
        </w:tc>
        <w:tc>
          <w:tcPr>
            <w:tcW w:w="0" w:type="auto"/>
            <w:gridSpan w:val="3"/>
            <w:shd w:val="clear" w:color="auto" w:fill="auto"/>
            <w:vAlign w:val="bottom"/>
          </w:tcPr>
          <w:p w14:paraId="392BFEEC" w14:textId="77777777" w:rsidR="00980E5F" w:rsidRDefault="00980E5F">
            <w:pPr>
              <w:rPr>
                <w:rFonts w:ascii="宋体"/>
                <w:vanish/>
              </w:rPr>
            </w:pPr>
          </w:p>
        </w:tc>
        <w:tc>
          <w:tcPr>
            <w:tcW w:w="0" w:type="auto"/>
            <w:gridSpan w:val="3"/>
            <w:shd w:val="clear" w:color="auto" w:fill="auto"/>
            <w:vAlign w:val="bottom"/>
          </w:tcPr>
          <w:p w14:paraId="392BFEED" w14:textId="77777777" w:rsidR="00980E5F" w:rsidRDefault="00980E5F">
            <w:pPr>
              <w:rPr>
                <w:rFonts w:ascii="宋体"/>
                <w:vanish/>
              </w:rPr>
            </w:pPr>
          </w:p>
        </w:tc>
        <w:tc>
          <w:tcPr>
            <w:tcW w:w="0" w:type="auto"/>
            <w:gridSpan w:val="2"/>
            <w:shd w:val="clear" w:color="auto" w:fill="auto"/>
            <w:vAlign w:val="bottom"/>
          </w:tcPr>
          <w:p w14:paraId="392BFEEE" w14:textId="77777777" w:rsidR="00980E5F" w:rsidRDefault="00980E5F">
            <w:pPr>
              <w:rPr>
                <w:rFonts w:ascii="宋体"/>
                <w:vanish/>
              </w:rPr>
            </w:pPr>
          </w:p>
        </w:tc>
        <w:tc>
          <w:tcPr>
            <w:tcW w:w="0" w:type="auto"/>
            <w:shd w:val="clear" w:color="auto" w:fill="auto"/>
            <w:vAlign w:val="bottom"/>
          </w:tcPr>
          <w:p w14:paraId="392BFEEF" w14:textId="77777777" w:rsidR="00980E5F" w:rsidRDefault="00980E5F">
            <w:pPr>
              <w:rPr>
                <w:rFonts w:ascii="宋体"/>
                <w:vanish/>
              </w:rPr>
            </w:pPr>
          </w:p>
        </w:tc>
      </w:tr>
      <w:tr w:rsidR="00980E5F" w14:paraId="392BFF09" w14:textId="77777777">
        <w:tc>
          <w:tcPr>
            <w:tcW w:w="0" w:type="auto"/>
            <w:gridSpan w:val="3"/>
            <w:shd w:val="clear" w:color="auto" w:fill="FFFFFF"/>
            <w:tcMar>
              <w:top w:w="40" w:type="dxa"/>
              <w:left w:w="20" w:type="dxa"/>
              <w:bottom w:w="40" w:type="dxa"/>
              <w:right w:w="20" w:type="dxa"/>
            </w:tcMar>
            <w:vAlign w:val="bottom"/>
          </w:tcPr>
          <w:p w14:paraId="392BFEF1" w14:textId="77777777" w:rsidR="00980E5F" w:rsidRDefault="00483613">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EF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EF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EF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EF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F6" w14:textId="77777777" w:rsidR="00980E5F" w:rsidRDefault="00483613">
            <w:pPr>
              <w:jc w:val="right"/>
              <w:textAlignment w:val="bottom"/>
            </w:pPr>
            <w:r>
              <w:rPr>
                <w:rFonts w:ascii="Arial" w:eastAsia="宋体" w:hAnsi="Arial" w:cs="Arial"/>
                <w:b/>
                <w:bCs/>
                <w:color w:val="000000"/>
                <w:sz w:val="12"/>
                <w:szCs w:val="12"/>
              </w:rPr>
              <w:t>.89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EF7"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392BFEF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EF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EF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BFE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EF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EFD" w14:textId="77777777" w:rsidR="00980E5F" w:rsidRDefault="00483613">
            <w:pPr>
              <w:jc w:val="right"/>
              <w:textAlignment w:val="bottom"/>
            </w:pPr>
            <w:r>
              <w:rPr>
                <w:rFonts w:ascii="Arial" w:eastAsia="宋体" w:hAnsi="Arial" w:cs="Arial"/>
                <w:color w:val="000000"/>
                <w:sz w:val="12"/>
                <w:szCs w:val="12"/>
              </w:rPr>
              <w:t>.71 </w:t>
            </w:r>
          </w:p>
        </w:tc>
        <w:tc>
          <w:tcPr>
            <w:tcW w:w="0" w:type="auto"/>
            <w:shd w:val="clear" w:color="auto" w:fill="FFFFFF"/>
            <w:tcMar>
              <w:top w:w="40" w:type="dxa"/>
              <w:left w:w="0" w:type="dxa"/>
              <w:bottom w:w="40" w:type="dxa"/>
              <w:right w:w="20" w:type="dxa"/>
            </w:tcMar>
            <w:vAlign w:val="bottom"/>
          </w:tcPr>
          <w:p w14:paraId="392BFEFE"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BFEFF" w14:textId="77777777" w:rsidR="00980E5F" w:rsidRDefault="00980E5F">
            <w:pPr>
              <w:rPr>
                <w:rFonts w:ascii="宋体"/>
                <w:vanish/>
              </w:rPr>
            </w:pPr>
          </w:p>
        </w:tc>
        <w:tc>
          <w:tcPr>
            <w:tcW w:w="0" w:type="auto"/>
            <w:shd w:val="clear" w:color="auto" w:fill="auto"/>
            <w:vAlign w:val="bottom"/>
          </w:tcPr>
          <w:p w14:paraId="392BFF00" w14:textId="77777777" w:rsidR="00980E5F" w:rsidRDefault="00980E5F">
            <w:pPr>
              <w:rPr>
                <w:rFonts w:ascii="宋体"/>
                <w:vanish/>
              </w:rPr>
            </w:pPr>
          </w:p>
        </w:tc>
        <w:tc>
          <w:tcPr>
            <w:tcW w:w="0" w:type="auto"/>
            <w:shd w:val="clear" w:color="auto" w:fill="auto"/>
            <w:vAlign w:val="bottom"/>
          </w:tcPr>
          <w:p w14:paraId="392BFF01" w14:textId="77777777" w:rsidR="00980E5F" w:rsidRDefault="00980E5F">
            <w:pPr>
              <w:rPr>
                <w:rFonts w:ascii="宋体"/>
                <w:vanish/>
              </w:rPr>
            </w:pPr>
          </w:p>
        </w:tc>
        <w:tc>
          <w:tcPr>
            <w:tcW w:w="0" w:type="auto"/>
            <w:shd w:val="clear" w:color="auto" w:fill="auto"/>
            <w:vAlign w:val="bottom"/>
          </w:tcPr>
          <w:p w14:paraId="392BFF02" w14:textId="77777777" w:rsidR="00980E5F" w:rsidRDefault="00980E5F">
            <w:pPr>
              <w:rPr>
                <w:rFonts w:ascii="宋体"/>
                <w:vanish/>
              </w:rPr>
            </w:pPr>
          </w:p>
        </w:tc>
        <w:tc>
          <w:tcPr>
            <w:tcW w:w="0" w:type="auto"/>
            <w:gridSpan w:val="3"/>
            <w:shd w:val="clear" w:color="auto" w:fill="auto"/>
            <w:vAlign w:val="bottom"/>
          </w:tcPr>
          <w:p w14:paraId="392BFF03" w14:textId="77777777" w:rsidR="00980E5F" w:rsidRDefault="00980E5F">
            <w:pPr>
              <w:rPr>
                <w:rFonts w:ascii="宋体"/>
                <w:vanish/>
              </w:rPr>
            </w:pPr>
          </w:p>
        </w:tc>
        <w:tc>
          <w:tcPr>
            <w:tcW w:w="0" w:type="auto"/>
            <w:gridSpan w:val="3"/>
            <w:shd w:val="clear" w:color="auto" w:fill="auto"/>
            <w:vAlign w:val="bottom"/>
          </w:tcPr>
          <w:p w14:paraId="392BFF04" w14:textId="77777777" w:rsidR="00980E5F" w:rsidRDefault="00980E5F">
            <w:pPr>
              <w:rPr>
                <w:rFonts w:ascii="宋体"/>
                <w:vanish/>
              </w:rPr>
            </w:pPr>
          </w:p>
        </w:tc>
        <w:tc>
          <w:tcPr>
            <w:tcW w:w="0" w:type="auto"/>
            <w:gridSpan w:val="3"/>
            <w:shd w:val="clear" w:color="auto" w:fill="auto"/>
            <w:vAlign w:val="bottom"/>
          </w:tcPr>
          <w:p w14:paraId="392BFF05" w14:textId="77777777" w:rsidR="00980E5F" w:rsidRDefault="00980E5F">
            <w:pPr>
              <w:rPr>
                <w:rFonts w:ascii="宋体"/>
                <w:vanish/>
              </w:rPr>
            </w:pPr>
          </w:p>
        </w:tc>
        <w:tc>
          <w:tcPr>
            <w:tcW w:w="0" w:type="auto"/>
            <w:gridSpan w:val="3"/>
            <w:shd w:val="clear" w:color="auto" w:fill="auto"/>
            <w:vAlign w:val="bottom"/>
          </w:tcPr>
          <w:p w14:paraId="392BFF06" w14:textId="77777777" w:rsidR="00980E5F" w:rsidRDefault="00980E5F">
            <w:pPr>
              <w:rPr>
                <w:rFonts w:ascii="宋体"/>
                <w:vanish/>
              </w:rPr>
            </w:pPr>
          </w:p>
        </w:tc>
        <w:tc>
          <w:tcPr>
            <w:tcW w:w="0" w:type="auto"/>
            <w:gridSpan w:val="2"/>
            <w:shd w:val="clear" w:color="auto" w:fill="auto"/>
            <w:vAlign w:val="bottom"/>
          </w:tcPr>
          <w:p w14:paraId="392BFF07" w14:textId="77777777" w:rsidR="00980E5F" w:rsidRDefault="00980E5F">
            <w:pPr>
              <w:rPr>
                <w:rFonts w:ascii="宋体"/>
                <w:vanish/>
              </w:rPr>
            </w:pPr>
          </w:p>
        </w:tc>
        <w:tc>
          <w:tcPr>
            <w:tcW w:w="0" w:type="auto"/>
            <w:shd w:val="clear" w:color="auto" w:fill="auto"/>
            <w:vAlign w:val="bottom"/>
          </w:tcPr>
          <w:p w14:paraId="392BFF08" w14:textId="77777777" w:rsidR="00980E5F" w:rsidRDefault="00980E5F">
            <w:pPr>
              <w:rPr>
                <w:rFonts w:ascii="宋体"/>
                <w:vanish/>
              </w:rPr>
            </w:pPr>
          </w:p>
        </w:tc>
      </w:tr>
      <w:tr w:rsidR="00980E5F" w14:paraId="392BFF24" w14:textId="77777777">
        <w:tc>
          <w:tcPr>
            <w:tcW w:w="0" w:type="auto"/>
            <w:gridSpan w:val="3"/>
            <w:shd w:val="clear" w:color="auto" w:fill="CCEEFF"/>
            <w:tcMar>
              <w:top w:w="40" w:type="dxa"/>
              <w:left w:w="20" w:type="dxa"/>
              <w:bottom w:w="40" w:type="dxa"/>
              <w:right w:w="20" w:type="dxa"/>
            </w:tcMar>
            <w:vAlign w:val="bottom"/>
          </w:tcPr>
          <w:p w14:paraId="392BFF0A" w14:textId="77777777" w:rsidR="00980E5F" w:rsidRDefault="00483613">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392BFF0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0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F0D"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BFF0E" w14:textId="77777777" w:rsidR="00980E5F" w:rsidRDefault="00483613">
            <w:pPr>
              <w:jc w:val="right"/>
              <w:textAlignment w:val="bottom"/>
            </w:pPr>
            <w:r>
              <w:rPr>
                <w:rFonts w:ascii="Arial" w:eastAsia="宋体" w:hAnsi="Arial" w:cs="Arial"/>
                <w:b/>
                <w:bCs/>
                <w:color w:val="000000"/>
                <w:sz w:val="12"/>
                <w:szCs w:val="12"/>
              </w:rPr>
              <w:t>587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F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1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1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1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1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1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BFF15"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BFF16" w14:textId="77777777" w:rsidR="00980E5F" w:rsidRDefault="00483613">
            <w:pPr>
              <w:jc w:val="right"/>
              <w:textAlignment w:val="bottom"/>
            </w:pPr>
            <w:r>
              <w:rPr>
                <w:rFonts w:ascii="Arial" w:eastAsia="宋体" w:hAnsi="Arial" w:cs="Arial"/>
                <w:color w:val="000000"/>
                <w:sz w:val="12"/>
                <w:szCs w:val="12"/>
              </w:rPr>
              <w:t>470 </w:t>
            </w:r>
          </w:p>
        </w:tc>
        <w:tc>
          <w:tcPr>
            <w:tcW w:w="0" w:type="auto"/>
            <w:shd w:val="clear" w:color="auto" w:fill="CCEEFF"/>
            <w:tcMar>
              <w:top w:w="40" w:type="dxa"/>
              <w:left w:w="0" w:type="dxa"/>
              <w:bottom w:w="40" w:type="dxa"/>
              <w:right w:w="20" w:type="dxa"/>
            </w:tcMar>
            <w:vAlign w:val="bottom"/>
          </w:tcPr>
          <w:p w14:paraId="392BFF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1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19" w14:textId="77777777" w:rsidR="00980E5F" w:rsidRDefault="00980E5F">
            <w:pPr>
              <w:rPr>
                <w:rFonts w:ascii="宋体"/>
              </w:rPr>
            </w:pPr>
          </w:p>
        </w:tc>
        <w:tc>
          <w:tcPr>
            <w:tcW w:w="0" w:type="auto"/>
            <w:shd w:val="clear" w:color="auto" w:fill="auto"/>
            <w:vAlign w:val="bottom"/>
          </w:tcPr>
          <w:p w14:paraId="392BFF1A" w14:textId="77777777" w:rsidR="00980E5F" w:rsidRDefault="00980E5F">
            <w:pPr>
              <w:rPr>
                <w:rFonts w:ascii="宋体"/>
                <w:vanish/>
              </w:rPr>
            </w:pPr>
          </w:p>
        </w:tc>
        <w:tc>
          <w:tcPr>
            <w:tcW w:w="0" w:type="auto"/>
            <w:shd w:val="clear" w:color="auto" w:fill="auto"/>
            <w:vAlign w:val="bottom"/>
          </w:tcPr>
          <w:p w14:paraId="392BFF1B" w14:textId="77777777" w:rsidR="00980E5F" w:rsidRDefault="00980E5F">
            <w:pPr>
              <w:rPr>
                <w:rFonts w:ascii="宋体"/>
                <w:vanish/>
              </w:rPr>
            </w:pPr>
          </w:p>
        </w:tc>
        <w:tc>
          <w:tcPr>
            <w:tcW w:w="0" w:type="auto"/>
            <w:shd w:val="clear" w:color="auto" w:fill="auto"/>
            <w:vAlign w:val="bottom"/>
          </w:tcPr>
          <w:p w14:paraId="392BFF1C" w14:textId="77777777" w:rsidR="00980E5F" w:rsidRDefault="00980E5F">
            <w:pPr>
              <w:rPr>
                <w:rFonts w:ascii="宋体"/>
                <w:vanish/>
              </w:rPr>
            </w:pPr>
          </w:p>
        </w:tc>
        <w:tc>
          <w:tcPr>
            <w:tcW w:w="0" w:type="auto"/>
            <w:shd w:val="clear" w:color="auto" w:fill="auto"/>
            <w:vAlign w:val="bottom"/>
          </w:tcPr>
          <w:p w14:paraId="392BFF1D" w14:textId="77777777" w:rsidR="00980E5F" w:rsidRDefault="00980E5F">
            <w:pPr>
              <w:rPr>
                <w:rFonts w:ascii="宋体"/>
                <w:vanish/>
              </w:rPr>
            </w:pPr>
          </w:p>
        </w:tc>
        <w:tc>
          <w:tcPr>
            <w:tcW w:w="0" w:type="auto"/>
            <w:gridSpan w:val="3"/>
            <w:shd w:val="clear" w:color="auto" w:fill="auto"/>
            <w:vAlign w:val="bottom"/>
          </w:tcPr>
          <w:p w14:paraId="392BFF1E" w14:textId="77777777" w:rsidR="00980E5F" w:rsidRDefault="00980E5F">
            <w:pPr>
              <w:rPr>
                <w:rFonts w:ascii="宋体"/>
                <w:vanish/>
              </w:rPr>
            </w:pPr>
          </w:p>
        </w:tc>
        <w:tc>
          <w:tcPr>
            <w:tcW w:w="0" w:type="auto"/>
            <w:gridSpan w:val="3"/>
            <w:shd w:val="clear" w:color="auto" w:fill="auto"/>
            <w:vAlign w:val="bottom"/>
          </w:tcPr>
          <w:p w14:paraId="392BFF1F" w14:textId="77777777" w:rsidR="00980E5F" w:rsidRDefault="00980E5F">
            <w:pPr>
              <w:rPr>
                <w:rFonts w:ascii="宋体"/>
                <w:vanish/>
              </w:rPr>
            </w:pPr>
          </w:p>
        </w:tc>
        <w:tc>
          <w:tcPr>
            <w:tcW w:w="0" w:type="auto"/>
            <w:gridSpan w:val="3"/>
            <w:shd w:val="clear" w:color="auto" w:fill="auto"/>
            <w:vAlign w:val="bottom"/>
          </w:tcPr>
          <w:p w14:paraId="392BFF20" w14:textId="77777777" w:rsidR="00980E5F" w:rsidRDefault="00980E5F">
            <w:pPr>
              <w:rPr>
                <w:rFonts w:ascii="宋体"/>
                <w:vanish/>
              </w:rPr>
            </w:pPr>
          </w:p>
        </w:tc>
        <w:tc>
          <w:tcPr>
            <w:tcW w:w="0" w:type="auto"/>
            <w:gridSpan w:val="3"/>
            <w:shd w:val="clear" w:color="auto" w:fill="auto"/>
            <w:vAlign w:val="bottom"/>
          </w:tcPr>
          <w:p w14:paraId="392BFF21" w14:textId="77777777" w:rsidR="00980E5F" w:rsidRDefault="00980E5F">
            <w:pPr>
              <w:rPr>
                <w:rFonts w:ascii="宋体"/>
                <w:vanish/>
              </w:rPr>
            </w:pPr>
          </w:p>
        </w:tc>
        <w:tc>
          <w:tcPr>
            <w:tcW w:w="0" w:type="auto"/>
            <w:gridSpan w:val="2"/>
            <w:shd w:val="clear" w:color="auto" w:fill="auto"/>
            <w:vAlign w:val="bottom"/>
          </w:tcPr>
          <w:p w14:paraId="392BFF22" w14:textId="77777777" w:rsidR="00980E5F" w:rsidRDefault="00980E5F">
            <w:pPr>
              <w:rPr>
                <w:rFonts w:ascii="宋体"/>
                <w:vanish/>
              </w:rPr>
            </w:pPr>
          </w:p>
        </w:tc>
        <w:tc>
          <w:tcPr>
            <w:tcW w:w="0" w:type="auto"/>
            <w:shd w:val="clear" w:color="auto" w:fill="auto"/>
            <w:vAlign w:val="bottom"/>
          </w:tcPr>
          <w:p w14:paraId="392BFF23" w14:textId="77777777" w:rsidR="00980E5F" w:rsidRDefault="00980E5F">
            <w:pPr>
              <w:rPr>
                <w:rFonts w:ascii="宋体"/>
                <w:vanish/>
              </w:rPr>
            </w:pPr>
          </w:p>
        </w:tc>
      </w:tr>
      <w:tr w:rsidR="00980E5F" w14:paraId="392BFF3D" w14:textId="77777777">
        <w:tc>
          <w:tcPr>
            <w:tcW w:w="0" w:type="auto"/>
            <w:gridSpan w:val="3"/>
            <w:shd w:val="clear" w:color="auto" w:fill="FFFFFF"/>
            <w:tcMar>
              <w:top w:w="40" w:type="dxa"/>
              <w:left w:w="20" w:type="dxa"/>
              <w:bottom w:w="40" w:type="dxa"/>
              <w:right w:w="20" w:type="dxa"/>
            </w:tcMar>
            <w:vAlign w:val="bottom"/>
          </w:tcPr>
          <w:p w14:paraId="392BFF25" w14:textId="77777777" w:rsidR="00980E5F" w:rsidRDefault="00483613">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392BFF2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2A" w14:textId="77777777" w:rsidR="00980E5F" w:rsidRDefault="00483613">
            <w:pPr>
              <w:jc w:val="right"/>
              <w:textAlignment w:val="bottom"/>
            </w:pPr>
            <w:r>
              <w:rPr>
                <w:rFonts w:ascii="Arial" w:eastAsia="宋体" w:hAnsi="Arial" w:cs="Arial"/>
                <w:b/>
                <w:bCs/>
                <w:color w:val="000000"/>
                <w:sz w:val="12"/>
                <w:szCs w:val="12"/>
              </w:rPr>
              <w:t>.94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F2B"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392BFF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2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31" w14:textId="77777777" w:rsidR="00980E5F" w:rsidRDefault="00483613">
            <w:pPr>
              <w:jc w:val="right"/>
              <w:textAlignment w:val="bottom"/>
            </w:pPr>
            <w:r>
              <w:rPr>
                <w:rFonts w:ascii="Arial" w:eastAsia="宋体" w:hAnsi="Arial" w:cs="Arial"/>
                <w:color w:val="000000"/>
                <w:sz w:val="12"/>
                <w:szCs w:val="12"/>
              </w:rPr>
              <w:t>.71 </w:t>
            </w:r>
          </w:p>
        </w:tc>
        <w:tc>
          <w:tcPr>
            <w:tcW w:w="0" w:type="auto"/>
            <w:shd w:val="clear" w:color="auto" w:fill="FFFFFF"/>
            <w:tcMar>
              <w:top w:w="40" w:type="dxa"/>
              <w:left w:w="0" w:type="dxa"/>
              <w:bottom w:w="40" w:type="dxa"/>
              <w:right w:w="20" w:type="dxa"/>
            </w:tcMar>
            <w:vAlign w:val="bottom"/>
          </w:tcPr>
          <w:p w14:paraId="392BFF32"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BFF33" w14:textId="77777777" w:rsidR="00980E5F" w:rsidRDefault="00980E5F">
            <w:pPr>
              <w:rPr>
                <w:rFonts w:ascii="宋体"/>
                <w:vanish/>
              </w:rPr>
            </w:pPr>
          </w:p>
        </w:tc>
        <w:tc>
          <w:tcPr>
            <w:tcW w:w="0" w:type="auto"/>
            <w:shd w:val="clear" w:color="auto" w:fill="auto"/>
            <w:vAlign w:val="bottom"/>
          </w:tcPr>
          <w:p w14:paraId="392BFF34" w14:textId="77777777" w:rsidR="00980E5F" w:rsidRDefault="00980E5F">
            <w:pPr>
              <w:rPr>
                <w:rFonts w:ascii="宋体"/>
                <w:vanish/>
              </w:rPr>
            </w:pPr>
          </w:p>
        </w:tc>
        <w:tc>
          <w:tcPr>
            <w:tcW w:w="0" w:type="auto"/>
            <w:shd w:val="clear" w:color="auto" w:fill="auto"/>
            <w:vAlign w:val="bottom"/>
          </w:tcPr>
          <w:p w14:paraId="392BFF35" w14:textId="77777777" w:rsidR="00980E5F" w:rsidRDefault="00980E5F">
            <w:pPr>
              <w:rPr>
                <w:rFonts w:ascii="宋体"/>
                <w:vanish/>
              </w:rPr>
            </w:pPr>
          </w:p>
        </w:tc>
        <w:tc>
          <w:tcPr>
            <w:tcW w:w="0" w:type="auto"/>
            <w:shd w:val="clear" w:color="auto" w:fill="auto"/>
            <w:vAlign w:val="bottom"/>
          </w:tcPr>
          <w:p w14:paraId="392BFF36" w14:textId="77777777" w:rsidR="00980E5F" w:rsidRDefault="00980E5F">
            <w:pPr>
              <w:rPr>
                <w:rFonts w:ascii="宋体"/>
                <w:vanish/>
              </w:rPr>
            </w:pPr>
          </w:p>
        </w:tc>
        <w:tc>
          <w:tcPr>
            <w:tcW w:w="0" w:type="auto"/>
            <w:gridSpan w:val="3"/>
            <w:shd w:val="clear" w:color="auto" w:fill="auto"/>
            <w:vAlign w:val="bottom"/>
          </w:tcPr>
          <w:p w14:paraId="392BFF37" w14:textId="77777777" w:rsidR="00980E5F" w:rsidRDefault="00980E5F">
            <w:pPr>
              <w:rPr>
                <w:rFonts w:ascii="宋体"/>
                <w:vanish/>
              </w:rPr>
            </w:pPr>
          </w:p>
        </w:tc>
        <w:tc>
          <w:tcPr>
            <w:tcW w:w="0" w:type="auto"/>
            <w:gridSpan w:val="3"/>
            <w:shd w:val="clear" w:color="auto" w:fill="auto"/>
            <w:vAlign w:val="bottom"/>
          </w:tcPr>
          <w:p w14:paraId="392BFF38" w14:textId="77777777" w:rsidR="00980E5F" w:rsidRDefault="00980E5F">
            <w:pPr>
              <w:rPr>
                <w:rFonts w:ascii="宋体"/>
                <w:vanish/>
              </w:rPr>
            </w:pPr>
          </w:p>
        </w:tc>
        <w:tc>
          <w:tcPr>
            <w:tcW w:w="0" w:type="auto"/>
            <w:gridSpan w:val="3"/>
            <w:shd w:val="clear" w:color="auto" w:fill="auto"/>
            <w:vAlign w:val="bottom"/>
          </w:tcPr>
          <w:p w14:paraId="392BFF39" w14:textId="77777777" w:rsidR="00980E5F" w:rsidRDefault="00980E5F">
            <w:pPr>
              <w:rPr>
                <w:rFonts w:ascii="宋体"/>
                <w:vanish/>
              </w:rPr>
            </w:pPr>
          </w:p>
        </w:tc>
        <w:tc>
          <w:tcPr>
            <w:tcW w:w="0" w:type="auto"/>
            <w:gridSpan w:val="3"/>
            <w:shd w:val="clear" w:color="auto" w:fill="auto"/>
            <w:vAlign w:val="bottom"/>
          </w:tcPr>
          <w:p w14:paraId="392BFF3A" w14:textId="77777777" w:rsidR="00980E5F" w:rsidRDefault="00980E5F">
            <w:pPr>
              <w:rPr>
                <w:rFonts w:ascii="宋体"/>
                <w:vanish/>
              </w:rPr>
            </w:pPr>
          </w:p>
        </w:tc>
        <w:tc>
          <w:tcPr>
            <w:tcW w:w="0" w:type="auto"/>
            <w:gridSpan w:val="2"/>
            <w:shd w:val="clear" w:color="auto" w:fill="auto"/>
            <w:vAlign w:val="bottom"/>
          </w:tcPr>
          <w:p w14:paraId="392BFF3B" w14:textId="77777777" w:rsidR="00980E5F" w:rsidRDefault="00980E5F">
            <w:pPr>
              <w:rPr>
                <w:rFonts w:ascii="宋体"/>
                <w:vanish/>
              </w:rPr>
            </w:pPr>
          </w:p>
        </w:tc>
        <w:tc>
          <w:tcPr>
            <w:tcW w:w="0" w:type="auto"/>
            <w:shd w:val="clear" w:color="auto" w:fill="auto"/>
            <w:vAlign w:val="bottom"/>
          </w:tcPr>
          <w:p w14:paraId="392BFF3C" w14:textId="77777777" w:rsidR="00980E5F" w:rsidRDefault="00980E5F">
            <w:pPr>
              <w:rPr>
                <w:rFonts w:ascii="宋体"/>
                <w:vanish/>
              </w:rPr>
            </w:pPr>
          </w:p>
        </w:tc>
      </w:tr>
      <w:tr w:rsidR="00980E5F" w14:paraId="392BFF56" w14:textId="77777777">
        <w:tc>
          <w:tcPr>
            <w:tcW w:w="0" w:type="auto"/>
            <w:gridSpan w:val="3"/>
            <w:shd w:val="clear" w:color="auto" w:fill="CCEEFF"/>
            <w:tcMar>
              <w:top w:w="40" w:type="dxa"/>
              <w:left w:w="20" w:type="dxa"/>
              <w:bottom w:w="40" w:type="dxa"/>
              <w:right w:w="20" w:type="dxa"/>
            </w:tcMar>
            <w:vAlign w:val="bottom"/>
          </w:tcPr>
          <w:p w14:paraId="392BFF3E" w14:textId="77777777" w:rsidR="00980E5F" w:rsidRDefault="00483613">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392BFF3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41" w14:textId="77777777" w:rsidR="00980E5F" w:rsidRDefault="00483613">
            <w:pPr>
              <w:jc w:val="right"/>
              <w:textAlignment w:val="bottom"/>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bottom"/>
          </w:tcPr>
          <w:p w14:paraId="392BFF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4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48" w14:textId="77777777" w:rsidR="00980E5F" w:rsidRDefault="00483613">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392BFF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4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BFF4B" w14:textId="77777777" w:rsidR="00980E5F" w:rsidRDefault="00980E5F">
            <w:pPr>
              <w:rPr>
                <w:rFonts w:ascii="宋体"/>
              </w:rPr>
            </w:pPr>
          </w:p>
        </w:tc>
        <w:tc>
          <w:tcPr>
            <w:tcW w:w="0" w:type="auto"/>
            <w:shd w:val="clear" w:color="auto" w:fill="auto"/>
            <w:vAlign w:val="bottom"/>
          </w:tcPr>
          <w:p w14:paraId="392BFF4C" w14:textId="77777777" w:rsidR="00980E5F" w:rsidRDefault="00980E5F">
            <w:pPr>
              <w:rPr>
                <w:rFonts w:ascii="宋体"/>
                <w:vanish/>
              </w:rPr>
            </w:pPr>
          </w:p>
        </w:tc>
        <w:tc>
          <w:tcPr>
            <w:tcW w:w="0" w:type="auto"/>
            <w:shd w:val="clear" w:color="auto" w:fill="auto"/>
            <w:vAlign w:val="bottom"/>
          </w:tcPr>
          <w:p w14:paraId="392BFF4D" w14:textId="77777777" w:rsidR="00980E5F" w:rsidRDefault="00980E5F">
            <w:pPr>
              <w:rPr>
                <w:rFonts w:ascii="宋体"/>
                <w:vanish/>
              </w:rPr>
            </w:pPr>
          </w:p>
        </w:tc>
        <w:tc>
          <w:tcPr>
            <w:tcW w:w="0" w:type="auto"/>
            <w:shd w:val="clear" w:color="auto" w:fill="auto"/>
            <w:vAlign w:val="bottom"/>
          </w:tcPr>
          <w:p w14:paraId="392BFF4E" w14:textId="77777777" w:rsidR="00980E5F" w:rsidRDefault="00980E5F">
            <w:pPr>
              <w:rPr>
                <w:rFonts w:ascii="宋体"/>
                <w:vanish/>
              </w:rPr>
            </w:pPr>
          </w:p>
        </w:tc>
        <w:tc>
          <w:tcPr>
            <w:tcW w:w="0" w:type="auto"/>
            <w:shd w:val="clear" w:color="auto" w:fill="auto"/>
            <w:vAlign w:val="bottom"/>
          </w:tcPr>
          <w:p w14:paraId="392BFF4F" w14:textId="77777777" w:rsidR="00980E5F" w:rsidRDefault="00980E5F">
            <w:pPr>
              <w:rPr>
                <w:rFonts w:ascii="宋体"/>
                <w:vanish/>
              </w:rPr>
            </w:pPr>
          </w:p>
        </w:tc>
        <w:tc>
          <w:tcPr>
            <w:tcW w:w="0" w:type="auto"/>
            <w:gridSpan w:val="3"/>
            <w:shd w:val="clear" w:color="auto" w:fill="auto"/>
            <w:vAlign w:val="bottom"/>
          </w:tcPr>
          <w:p w14:paraId="392BFF50" w14:textId="77777777" w:rsidR="00980E5F" w:rsidRDefault="00980E5F">
            <w:pPr>
              <w:rPr>
                <w:rFonts w:ascii="宋体"/>
                <w:vanish/>
              </w:rPr>
            </w:pPr>
          </w:p>
        </w:tc>
        <w:tc>
          <w:tcPr>
            <w:tcW w:w="0" w:type="auto"/>
            <w:gridSpan w:val="3"/>
            <w:shd w:val="clear" w:color="auto" w:fill="auto"/>
            <w:vAlign w:val="bottom"/>
          </w:tcPr>
          <w:p w14:paraId="392BFF51" w14:textId="77777777" w:rsidR="00980E5F" w:rsidRDefault="00980E5F">
            <w:pPr>
              <w:rPr>
                <w:rFonts w:ascii="宋体"/>
                <w:vanish/>
              </w:rPr>
            </w:pPr>
          </w:p>
        </w:tc>
        <w:tc>
          <w:tcPr>
            <w:tcW w:w="0" w:type="auto"/>
            <w:gridSpan w:val="3"/>
            <w:shd w:val="clear" w:color="auto" w:fill="auto"/>
            <w:vAlign w:val="bottom"/>
          </w:tcPr>
          <w:p w14:paraId="392BFF52" w14:textId="77777777" w:rsidR="00980E5F" w:rsidRDefault="00980E5F">
            <w:pPr>
              <w:rPr>
                <w:rFonts w:ascii="宋体"/>
                <w:vanish/>
              </w:rPr>
            </w:pPr>
          </w:p>
        </w:tc>
        <w:tc>
          <w:tcPr>
            <w:tcW w:w="0" w:type="auto"/>
            <w:gridSpan w:val="3"/>
            <w:shd w:val="clear" w:color="auto" w:fill="auto"/>
            <w:vAlign w:val="bottom"/>
          </w:tcPr>
          <w:p w14:paraId="392BFF53" w14:textId="77777777" w:rsidR="00980E5F" w:rsidRDefault="00980E5F">
            <w:pPr>
              <w:rPr>
                <w:rFonts w:ascii="宋体"/>
                <w:vanish/>
              </w:rPr>
            </w:pPr>
          </w:p>
        </w:tc>
        <w:tc>
          <w:tcPr>
            <w:tcW w:w="0" w:type="auto"/>
            <w:gridSpan w:val="2"/>
            <w:shd w:val="clear" w:color="auto" w:fill="auto"/>
            <w:vAlign w:val="bottom"/>
          </w:tcPr>
          <w:p w14:paraId="392BFF54" w14:textId="77777777" w:rsidR="00980E5F" w:rsidRDefault="00980E5F">
            <w:pPr>
              <w:rPr>
                <w:rFonts w:ascii="宋体"/>
                <w:vanish/>
              </w:rPr>
            </w:pPr>
          </w:p>
        </w:tc>
        <w:tc>
          <w:tcPr>
            <w:tcW w:w="0" w:type="auto"/>
            <w:shd w:val="clear" w:color="auto" w:fill="auto"/>
            <w:vAlign w:val="bottom"/>
          </w:tcPr>
          <w:p w14:paraId="392BFF55" w14:textId="77777777" w:rsidR="00980E5F" w:rsidRDefault="00980E5F">
            <w:pPr>
              <w:rPr>
                <w:rFonts w:ascii="宋体"/>
                <w:vanish/>
              </w:rPr>
            </w:pPr>
          </w:p>
        </w:tc>
      </w:tr>
      <w:tr w:rsidR="00980E5F" w14:paraId="392BFF71" w14:textId="77777777">
        <w:tc>
          <w:tcPr>
            <w:tcW w:w="0" w:type="auto"/>
            <w:gridSpan w:val="3"/>
            <w:shd w:val="clear" w:color="auto" w:fill="FFFFFF"/>
            <w:tcMar>
              <w:top w:w="40" w:type="dxa"/>
              <w:left w:w="20" w:type="dxa"/>
              <w:bottom w:w="40" w:type="dxa"/>
              <w:right w:w="20" w:type="dxa"/>
            </w:tcMar>
            <w:vAlign w:val="bottom"/>
          </w:tcPr>
          <w:p w14:paraId="392BFF57" w14:textId="77777777" w:rsidR="00980E5F" w:rsidRDefault="00483613">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top w:w="0" w:type="dxa"/>
              <w:left w:w="20" w:type="dxa"/>
              <w:bottom w:w="0" w:type="dxa"/>
              <w:right w:w="20" w:type="dxa"/>
            </w:tcMar>
            <w:vAlign w:val="bottom"/>
          </w:tcPr>
          <w:p w14:paraId="392BFF5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5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F5A"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F5B" w14:textId="77777777" w:rsidR="00980E5F" w:rsidRDefault="00483613">
            <w:pPr>
              <w:jc w:val="right"/>
              <w:textAlignment w:val="bottom"/>
            </w:pPr>
            <w:r>
              <w:rPr>
                <w:rFonts w:ascii="Arial" w:eastAsia="宋体" w:hAnsi="Arial" w:cs="Arial"/>
                <w:b/>
                <w:bCs/>
                <w:color w:val="000000"/>
                <w:sz w:val="12"/>
                <w:szCs w:val="12"/>
              </w:rPr>
              <w:t>584</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F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5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5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5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6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61"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BFF62"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BFF63" w14:textId="77777777" w:rsidR="00980E5F" w:rsidRDefault="00483613">
            <w:pPr>
              <w:jc w:val="right"/>
              <w:textAlignment w:val="bottom"/>
            </w:pPr>
            <w:r>
              <w:rPr>
                <w:rFonts w:ascii="Arial" w:eastAsia="宋体" w:hAnsi="Arial" w:cs="Arial"/>
                <w:color w:val="000000"/>
                <w:sz w:val="12"/>
                <w:szCs w:val="12"/>
              </w:rPr>
              <w:t>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BFF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6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BFF66" w14:textId="77777777" w:rsidR="00980E5F" w:rsidRDefault="00980E5F">
            <w:pPr>
              <w:rPr>
                <w:rFonts w:ascii="宋体"/>
              </w:rPr>
            </w:pPr>
          </w:p>
        </w:tc>
        <w:tc>
          <w:tcPr>
            <w:tcW w:w="0" w:type="auto"/>
            <w:shd w:val="clear" w:color="auto" w:fill="auto"/>
            <w:vAlign w:val="bottom"/>
          </w:tcPr>
          <w:p w14:paraId="392BFF67" w14:textId="77777777" w:rsidR="00980E5F" w:rsidRDefault="00980E5F">
            <w:pPr>
              <w:rPr>
                <w:rFonts w:ascii="宋体"/>
                <w:vanish/>
              </w:rPr>
            </w:pPr>
          </w:p>
        </w:tc>
        <w:tc>
          <w:tcPr>
            <w:tcW w:w="0" w:type="auto"/>
            <w:shd w:val="clear" w:color="auto" w:fill="auto"/>
            <w:vAlign w:val="bottom"/>
          </w:tcPr>
          <w:p w14:paraId="392BFF68" w14:textId="77777777" w:rsidR="00980E5F" w:rsidRDefault="00980E5F">
            <w:pPr>
              <w:rPr>
                <w:rFonts w:ascii="宋体"/>
                <w:vanish/>
              </w:rPr>
            </w:pPr>
          </w:p>
        </w:tc>
        <w:tc>
          <w:tcPr>
            <w:tcW w:w="0" w:type="auto"/>
            <w:shd w:val="clear" w:color="auto" w:fill="auto"/>
            <w:vAlign w:val="bottom"/>
          </w:tcPr>
          <w:p w14:paraId="392BFF69" w14:textId="77777777" w:rsidR="00980E5F" w:rsidRDefault="00980E5F">
            <w:pPr>
              <w:rPr>
                <w:rFonts w:ascii="宋体"/>
                <w:vanish/>
              </w:rPr>
            </w:pPr>
          </w:p>
        </w:tc>
        <w:tc>
          <w:tcPr>
            <w:tcW w:w="0" w:type="auto"/>
            <w:shd w:val="clear" w:color="auto" w:fill="auto"/>
            <w:vAlign w:val="bottom"/>
          </w:tcPr>
          <w:p w14:paraId="392BFF6A" w14:textId="77777777" w:rsidR="00980E5F" w:rsidRDefault="00980E5F">
            <w:pPr>
              <w:rPr>
                <w:rFonts w:ascii="宋体"/>
                <w:vanish/>
              </w:rPr>
            </w:pPr>
          </w:p>
        </w:tc>
        <w:tc>
          <w:tcPr>
            <w:tcW w:w="0" w:type="auto"/>
            <w:gridSpan w:val="3"/>
            <w:shd w:val="clear" w:color="auto" w:fill="auto"/>
            <w:vAlign w:val="bottom"/>
          </w:tcPr>
          <w:p w14:paraId="392BFF6B" w14:textId="77777777" w:rsidR="00980E5F" w:rsidRDefault="00980E5F">
            <w:pPr>
              <w:rPr>
                <w:rFonts w:ascii="宋体"/>
                <w:vanish/>
              </w:rPr>
            </w:pPr>
          </w:p>
        </w:tc>
        <w:tc>
          <w:tcPr>
            <w:tcW w:w="0" w:type="auto"/>
            <w:gridSpan w:val="3"/>
            <w:shd w:val="clear" w:color="auto" w:fill="auto"/>
            <w:vAlign w:val="bottom"/>
          </w:tcPr>
          <w:p w14:paraId="392BFF6C" w14:textId="77777777" w:rsidR="00980E5F" w:rsidRDefault="00980E5F">
            <w:pPr>
              <w:rPr>
                <w:rFonts w:ascii="宋体"/>
                <w:vanish/>
              </w:rPr>
            </w:pPr>
          </w:p>
        </w:tc>
        <w:tc>
          <w:tcPr>
            <w:tcW w:w="0" w:type="auto"/>
            <w:gridSpan w:val="3"/>
            <w:shd w:val="clear" w:color="auto" w:fill="auto"/>
            <w:vAlign w:val="bottom"/>
          </w:tcPr>
          <w:p w14:paraId="392BFF6D" w14:textId="77777777" w:rsidR="00980E5F" w:rsidRDefault="00980E5F">
            <w:pPr>
              <w:rPr>
                <w:rFonts w:ascii="宋体"/>
                <w:vanish/>
              </w:rPr>
            </w:pPr>
          </w:p>
        </w:tc>
        <w:tc>
          <w:tcPr>
            <w:tcW w:w="0" w:type="auto"/>
            <w:gridSpan w:val="3"/>
            <w:shd w:val="clear" w:color="auto" w:fill="auto"/>
            <w:vAlign w:val="bottom"/>
          </w:tcPr>
          <w:p w14:paraId="392BFF6E" w14:textId="77777777" w:rsidR="00980E5F" w:rsidRDefault="00980E5F">
            <w:pPr>
              <w:rPr>
                <w:rFonts w:ascii="宋体"/>
                <w:vanish/>
              </w:rPr>
            </w:pPr>
          </w:p>
        </w:tc>
        <w:tc>
          <w:tcPr>
            <w:tcW w:w="0" w:type="auto"/>
            <w:gridSpan w:val="2"/>
            <w:shd w:val="clear" w:color="auto" w:fill="auto"/>
            <w:vAlign w:val="bottom"/>
          </w:tcPr>
          <w:p w14:paraId="392BFF6F" w14:textId="77777777" w:rsidR="00980E5F" w:rsidRDefault="00980E5F">
            <w:pPr>
              <w:rPr>
                <w:rFonts w:ascii="宋体"/>
                <w:vanish/>
              </w:rPr>
            </w:pPr>
          </w:p>
        </w:tc>
        <w:tc>
          <w:tcPr>
            <w:tcW w:w="0" w:type="auto"/>
            <w:shd w:val="clear" w:color="auto" w:fill="auto"/>
            <w:vAlign w:val="bottom"/>
          </w:tcPr>
          <w:p w14:paraId="392BFF70" w14:textId="77777777" w:rsidR="00980E5F" w:rsidRDefault="00980E5F">
            <w:pPr>
              <w:rPr>
                <w:rFonts w:ascii="宋体"/>
                <w:vanish/>
              </w:rPr>
            </w:pPr>
          </w:p>
        </w:tc>
      </w:tr>
      <w:tr w:rsidR="00980E5F" w14:paraId="392BFF83" w14:textId="77777777">
        <w:tc>
          <w:tcPr>
            <w:tcW w:w="0" w:type="auto"/>
            <w:gridSpan w:val="3"/>
            <w:shd w:val="clear" w:color="auto" w:fill="auto"/>
            <w:tcMar>
              <w:top w:w="0" w:type="dxa"/>
              <w:left w:w="20" w:type="dxa"/>
              <w:bottom w:w="0" w:type="dxa"/>
              <w:right w:w="20" w:type="dxa"/>
            </w:tcMar>
            <w:vAlign w:val="bottom"/>
          </w:tcPr>
          <w:p w14:paraId="392BFF72"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BFF73" w14:textId="77777777" w:rsidR="00980E5F" w:rsidRDefault="00483613">
            <w:pPr>
              <w:jc w:val="center"/>
              <w:textAlignment w:val="bottom"/>
            </w:pPr>
            <w:r>
              <w:rPr>
                <w:rFonts w:ascii="Arial" w:eastAsia="宋体" w:hAnsi="Arial" w:cs="Arial"/>
                <w:b/>
                <w:bCs/>
                <w:color w:val="000000"/>
                <w:sz w:val="12"/>
                <w:szCs w:val="12"/>
              </w:rPr>
              <w:t>Six Months Ended June 30,</w:t>
            </w:r>
          </w:p>
        </w:tc>
        <w:tc>
          <w:tcPr>
            <w:tcW w:w="0" w:type="auto"/>
            <w:shd w:val="clear" w:color="auto" w:fill="auto"/>
            <w:vAlign w:val="bottom"/>
          </w:tcPr>
          <w:p w14:paraId="392BFF74" w14:textId="77777777" w:rsidR="00980E5F" w:rsidRDefault="00980E5F">
            <w:pPr>
              <w:rPr>
                <w:rFonts w:ascii="宋体"/>
                <w:vanish/>
              </w:rPr>
            </w:pPr>
          </w:p>
        </w:tc>
        <w:tc>
          <w:tcPr>
            <w:tcW w:w="0" w:type="auto"/>
            <w:shd w:val="clear" w:color="auto" w:fill="auto"/>
            <w:vAlign w:val="bottom"/>
          </w:tcPr>
          <w:p w14:paraId="392BFF75" w14:textId="77777777" w:rsidR="00980E5F" w:rsidRDefault="00980E5F">
            <w:pPr>
              <w:rPr>
                <w:rFonts w:ascii="宋体"/>
                <w:vanish/>
              </w:rPr>
            </w:pPr>
          </w:p>
        </w:tc>
        <w:tc>
          <w:tcPr>
            <w:tcW w:w="0" w:type="auto"/>
            <w:shd w:val="clear" w:color="auto" w:fill="auto"/>
            <w:vAlign w:val="bottom"/>
          </w:tcPr>
          <w:p w14:paraId="392BFF76" w14:textId="77777777" w:rsidR="00980E5F" w:rsidRDefault="00980E5F">
            <w:pPr>
              <w:rPr>
                <w:rFonts w:ascii="宋体"/>
                <w:vanish/>
              </w:rPr>
            </w:pPr>
          </w:p>
        </w:tc>
        <w:tc>
          <w:tcPr>
            <w:tcW w:w="0" w:type="auto"/>
            <w:shd w:val="clear" w:color="auto" w:fill="auto"/>
            <w:vAlign w:val="bottom"/>
          </w:tcPr>
          <w:p w14:paraId="392BFF77" w14:textId="77777777" w:rsidR="00980E5F" w:rsidRDefault="00980E5F">
            <w:pPr>
              <w:rPr>
                <w:rFonts w:ascii="宋体"/>
                <w:vanish/>
              </w:rPr>
            </w:pPr>
          </w:p>
        </w:tc>
        <w:tc>
          <w:tcPr>
            <w:tcW w:w="0" w:type="auto"/>
            <w:gridSpan w:val="3"/>
            <w:shd w:val="clear" w:color="auto" w:fill="auto"/>
            <w:vAlign w:val="bottom"/>
          </w:tcPr>
          <w:p w14:paraId="392BFF78" w14:textId="77777777" w:rsidR="00980E5F" w:rsidRDefault="00980E5F">
            <w:pPr>
              <w:rPr>
                <w:rFonts w:ascii="宋体"/>
                <w:vanish/>
              </w:rPr>
            </w:pPr>
          </w:p>
        </w:tc>
        <w:tc>
          <w:tcPr>
            <w:tcW w:w="0" w:type="auto"/>
            <w:gridSpan w:val="3"/>
            <w:shd w:val="clear" w:color="auto" w:fill="auto"/>
            <w:vAlign w:val="bottom"/>
          </w:tcPr>
          <w:p w14:paraId="392BFF79" w14:textId="77777777" w:rsidR="00980E5F" w:rsidRDefault="00980E5F">
            <w:pPr>
              <w:rPr>
                <w:rFonts w:ascii="宋体"/>
                <w:vanish/>
              </w:rPr>
            </w:pPr>
          </w:p>
        </w:tc>
        <w:tc>
          <w:tcPr>
            <w:tcW w:w="0" w:type="auto"/>
            <w:shd w:val="clear" w:color="auto" w:fill="auto"/>
            <w:vAlign w:val="bottom"/>
          </w:tcPr>
          <w:p w14:paraId="392BFF7A" w14:textId="77777777" w:rsidR="00980E5F" w:rsidRDefault="00980E5F">
            <w:pPr>
              <w:rPr>
                <w:rFonts w:ascii="宋体"/>
              </w:rPr>
            </w:pPr>
          </w:p>
        </w:tc>
        <w:tc>
          <w:tcPr>
            <w:tcW w:w="0" w:type="auto"/>
            <w:shd w:val="clear" w:color="auto" w:fill="auto"/>
            <w:vAlign w:val="bottom"/>
          </w:tcPr>
          <w:p w14:paraId="392BFF7B" w14:textId="77777777" w:rsidR="00980E5F" w:rsidRDefault="00980E5F">
            <w:pPr>
              <w:rPr>
                <w:rFonts w:ascii="宋体"/>
              </w:rPr>
            </w:pPr>
          </w:p>
        </w:tc>
        <w:tc>
          <w:tcPr>
            <w:tcW w:w="0" w:type="auto"/>
            <w:shd w:val="clear" w:color="auto" w:fill="auto"/>
            <w:vAlign w:val="bottom"/>
          </w:tcPr>
          <w:p w14:paraId="392BFF7C" w14:textId="77777777" w:rsidR="00980E5F" w:rsidRDefault="00980E5F">
            <w:pPr>
              <w:rPr>
                <w:rFonts w:ascii="宋体"/>
              </w:rPr>
            </w:pPr>
          </w:p>
        </w:tc>
        <w:tc>
          <w:tcPr>
            <w:tcW w:w="0" w:type="auto"/>
            <w:shd w:val="clear" w:color="auto" w:fill="auto"/>
            <w:vAlign w:val="bottom"/>
          </w:tcPr>
          <w:p w14:paraId="392BFF7D" w14:textId="77777777" w:rsidR="00980E5F" w:rsidRDefault="00980E5F">
            <w:pPr>
              <w:rPr>
                <w:rFonts w:ascii="宋体"/>
              </w:rPr>
            </w:pPr>
          </w:p>
        </w:tc>
        <w:tc>
          <w:tcPr>
            <w:tcW w:w="0" w:type="auto"/>
            <w:shd w:val="clear" w:color="auto" w:fill="auto"/>
            <w:vAlign w:val="bottom"/>
          </w:tcPr>
          <w:p w14:paraId="392BFF7E" w14:textId="77777777" w:rsidR="00980E5F" w:rsidRDefault="00980E5F">
            <w:pPr>
              <w:rPr>
                <w:rFonts w:ascii="宋体"/>
              </w:rPr>
            </w:pPr>
          </w:p>
        </w:tc>
        <w:tc>
          <w:tcPr>
            <w:tcW w:w="0" w:type="auto"/>
            <w:shd w:val="clear" w:color="auto" w:fill="auto"/>
            <w:vAlign w:val="bottom"/>
          </w:tcPr>
          <w:p w14:paraId="392BFF7F" w14:textId="77777777" w:rsidR="00980E5F" w:rsidRDefault="00980E5F">
            <w:pPr>
              <w:rPr>
                <w:rFonts w:ascii="宋体"/>
              </w:rPr>
            </w:pPr>
          </w:p>
        </w:tc>
        <w:tc>
          <w:tcPr>
            <w:tcW w:w="0" w:type="auto"/>
            <w:shd w:val="clear" w:color="auto" w:fill="auto"/>
            <w:vAlign w:val="bottom"/>
          </w:tcPr>
          <w:p w14:paraId="392BFF80" w14:textId="77777777" w:rsidR="00980E5F" w:rsidRDefault="00980E5F">
            <w:pPr>
              <w:rPr>
                <w:rFonts w:ascii="宋体"/>
              </w:rPr>
            </w:pPr>
          </w:p>
        </w:tc>
        <w:tc>
          <w:tcPr>
            <w:tcW w:w="0" w:type="auto"/>
            <w:shd w:val="clear" w:color="auto" w:fill="auto"/>
            <w:vAlign w:val="bottom"/>
          </w:tcPr>
          <w:p w14:paraId="392BFF81" w14:textId="77777777" w:rsidR="00980E5F" w:rsidRDefault="00980E5F">
            <w:pPr>
              <w:rPr>
                <w:rFonts w:ascii="宋体"/>
              </w:rPr>
            </w:pPr>
          </w:p>
        </w:tc>
        <w:tc>
          <w:tcPr>
            <w:tcW w:w="0" w:type="auto"/>
            <w:shd w:val="clear" w:color="auto" w:fill="auto"/>
            <w:vAlign w:val="bottom"/>
          </w:tcPr>
          <w:p w14:paraId="392BFF82" w14:textId="77777777" w:rsidR="00980E5F" w:rsidRDefault="00980E5F">
            <w:pPr>
              <w:rPr>
                <w:rFonts w:ascii="宋体"/>
              </w:rPr>
            </w:pPr>
          </w:p>
        </w:tc>
      </w:tr>
      <w:tr w:rsidR="00980E5F" w14:paraId="392BFF9B" w14:textId="77777777">
        <w:tc>
          <w:tcPr>
            <w:tcW w:w="0" w:type="auto"/>
            <w:gridSpan w:val="3"/>
            <w:shd w:val="clear" w:color="auto" w:fill="auto"/>
            <w:tcMar>
              <w:top w:w="0" w:type="dxa"/>
              <w:left w:w="20" w:type="dxa"/>
              <w:bottom w:w="0" w:type="dxa"/>
              <w:right w:w="20" w:type="dxa"/>
            </w:tcMar>
            <w:vAlign w:val="bottom"/>
          </w:tcPr>
          <w:p w14:paraId="392BFF84"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F85" w14:textId="77777777" w:rsidR="00980E5F" w:rsidRDefault="00483613">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BFF86"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BFF87" w14:textId="77777777" w:rsidR="00980E5F" w:rsidRDefault="00483613">
            <w:pPr>
              <w:jc w:val="center"/>
              <w:textAlignment w:val="bottom"/>
            </w:pPr>
            <w:r>
              <w:rPr>
                <w:rFonts w:ascii="Arial" w:eastAsia="宋体" w:hAnsi="Arial" w:cs="Arial"/>
                <w:b/>
                <w:bCs/>
                <w:color w:val="000000"/>
                <w:sz w:val="12"/>
                <w:szCs w:val="12"/>
              </w:rPr>
              <w:t>2021</w:t>
            </w:r>
          </w:p>
        </w:tc>
        <w:tc>
          <w:tcPr>
            <w:tcW w:w="0" w:type="auto"/>
            <w:shd w:val="clear" w:color="auto" w:fill="auto"/>
            <w:vAlign w:val="bottom"/>
          </w:tcPr>
          <w:p w14:paraId="392BFF88" w14:textId="77777777" w:rsidR="00980E5F" w:rsidRDefault="00980E5F">
            <w:pPr>
              <w:rPr>
                <w:rFonts w:ascii="宋体"/>
                <w:vanish/>
              </w:rPr>
            </w:pPr>
          </w:p>
        </w:tc>
        <w:tc>
          <w:tcPr>
            <w:tcW w:w="0" w:type="auto"/>
            <w:shd w:val="clear" w:color="auto" w:fill="auto"/>
            <w:vAlign w:val="bottom"/>
          </w:tcPr>
          <w:p w14:paraId="392BFF89" w14:textId="77777777" w:rsidR="00980E5F" w:rsidRDefault="00980E5F">
            <w:pPr>
              <w:rPr>
                <w:rFonts w:ascii="宋体"/>
                <w:vanish/>
              </w:rPr>
            </w:pPr>
          </w:p>
        </w:tc>
        <w:tc>
          <w:tcPr>
            <w:tcW w:w="0" w:type="auto"/>
            <w:shd w:val="clear" w:color="auto" w:fill="auto"/>
            <w:vAlign w:val="bottom"/>
          </w:tcPr>
          <w:p w14:paraId="392BFF8A" w14:textId="77777777" w:rsidR="00980E5F" w:rsidRDefault="00980E5F">
            <w:pPr>
              <w:rPr>
                <w:rFonts w:ascii="宋体"/>
                <w:vanish/>
              </w:rPr>
            </w:pPr>
          </w:p>
        </w:tc>
        <w:tc>
          <w:tcPr>
            <w:tcW w:w="0" w:type="auto"/>
            <w:shd w:val="clear" w:color="auto" w:fill="auto"/>
            <w:vAlign w:val="bottom"/>
          </w:tcPr>
          <w:p w14:paraId="392BFF8B" w14:textId="77777777" w:rsidR="00980E5F" w:rsidRDefault="00980E5F">
            <w:pPr>
              <w:rPr>
                <w:rFonts w:ascii="宋体"/>
                <w:vanish/>
              </w:rPr>
            </w:pPr>
          </w:p>
        </w:tc>
        <w:tc>
          <w:tcPr>
            <w:tcW w:w="0" w:type="auto"/>
            <w:shd w:val="clear" w:color="auto" w:fill="auto"/>
            <w:vAlign w:val="bottom"/>
          </w:tcPr>
          <w:p w14:paraId="392BFF8C" w14:textId="77777777" w:rsidR="00980E5F" w:rsidRDefault="00980E5F">
            <w:pPr>
              <w:rPr>
                <w:rFonts w:ascii="宋体"/>
              </w:rPr>
            </w:pPr>
          </w:p>
        </w:tc>
        <w:tc>
          <w:tcPr>
            <w:tcW w:w="0" w:type="auto"/>
            <w:shd w:val="clear" w:color="auto" w:fill="auto"/>
            <w:vAlign w:val="bottom"/>
          </w:tcPr>
          <w:p w14:paraId="392BFF8D" w14:textId="77777777" w:rsidR="00980E5F" w:rsidRDefault="00980E5F">
            <w:pPr>
              <w:rPr>
                <w:rFonts w:ascii="宋体"/>
              </w:rPr>
            </w:pPr>
          </w:p>
        </w:tc>
        <w:tc>
          <w:tcPr>
            <w:tcW w:w="0" w:type="auto"/>
            <w:shd w:val="clear" w:color="auto" w:fill="auto"/>
            <w:vAlign w:val="bottom"/>
          </w:tcPr>
          <w:p w14:paraId="392BFF8E" w14:textId="77777777" w:rsidR="00980E5F" w:rsidRDefault="00980E5F">
            <w:pPr>
              <w:rPr>
                <w:rFonts w:ascii="宋体"/>
              </w:rPr>
            </w:pPr>
          </w:p>
        </w:tc>
        <w:tc>
          <w:tcPr>
            <w:tcW w:w="0" w:type="auto"/>
            <w:shd w:val="clear" w:color="auto" w:fill="auto"/>
            <w:vAlign w:val="bottom"/>
          </w:tcPr>
          <w:p w14:paraId="392BFF8F" w14:textId="77777777" w:rsidR="00980E5F" w:rsidRDefault="00980E5F">
            <w:pPr>
              <w:rPr>
                <w:rFonts w:ascii="宋体"/>
              </w:rPr>
            </w:pPr>
          </w:p>
        </w:tc>
        <w:tc>
          <w:tcPr>
            <w:tcW w:w="0" w:type="auto"/>
            <w:shd w:val="clear" w:color="auto" w:fill="auto"/>
            <w:vAlign w:val="bottom"/>
          </w:tcPr>
          <w:p w14:paraId="392BFF90" w14:textId="77777777" w:rsidR="00980E5F" w:rsidRDefault="00980E5F">
            <w:pPr>
              <w:rPr>
                <w:rFonts w:ascii="宋体"/>
              </w:rPr>
            </w:pPr>
          </w:p>
        </w:tc>
        <w:tc>
          <w:tcPr>
            <w:tcW w:w="0" w:type="auto"/>
            <w:shd w:val="clear" w:color="auto" w:fill="auto"/>
            <w:vAlign w:val="bottom"/>
          </w:tcPr>
          <w:p w14:paraId="392BFF91" w14:textId="77777777" w:rsidR="00980E5F" w:rsidRDefault="00980E5F">
            <w:pPr>
              <w:rPr>
                <w:rFonts w:ascii="宋体"/>
              </w:rPr>
            </w:pPr>
          </w:p>
        </w:tc>
        <w:tc>
          <w:tcPr>
            <w:tcW w:w="0" w:type="auto"/>
            <w:shd w:val="clear" w:color="auto" w:fill="auto"/>
            <w:vAlign w:val="bottom"/>
          </w:tcPr>
          <w:p w14:paraId="392BFF92" w14:textId="77777777" w:rsidR="00980E5F" w:rsidRDefault="00980E5F">
            <w:pPr>
              <w:rPr>
                <w:rFonts w:ascii="宋体"/>
              </w:rPr>
            </w:pPr>
          </w:p>
        </w:tc>
        <w:tc>
          <w:tcPr>
            <w:tcW w:w="0" w:type="auto"/>
            <w:shd w:val="clear" w:color="auto" w:fill="auto"/>
            <w:vAlign w:val="bottom"/>
          </w:tcPr>
          <w:p w14:paraId="392BFF93" w14:textId="77777777" w:rsidR="00980E5F" w:rsidRDefault="00980E5F">
            <w:pPr>
              <w:rPr>
                <w:rFonts w:ascii="宋体"/>
              </w:rPr>
            </w:pPr>
          </w:p>
        </w:tc>
        <w:tc>
          <w:tcPr>
            <w:tcW w:w="0" w:type="auto"/>
            <w:shd w:val="clear" w:color="auto" w:fill="auto"/>
            <w:vAlign w:val="bottom"/>
          </w:tcPr>
          <w:p w14:paraId="392BFF94" w14:textId="77777777" w:rsidR="00980E5F" w:rsidRDefault="00980E5F">
            <w:pPr>
              <w:rPr>
                <w:rFonts w:ascii="宋体"/>
              </w:rPr>
            </w:pPr>
          </w:p>
        </w:tc>
        <w:tc>
          <w:tcPr>
            <w:tcW w:w="0" w:type="auto"/>
            <w:shd w:val="clear" w:color="auto" w:fill="auto"/>
            <w:vAlign w:val="bottom"/>
          </w:tcPr>
          <w:p w14:paraId="392BFF95" w14:textId="77777777" w:rsidR="00980E5F" w:rsidRDefault="00980E5F">
            <w:pPr>
              <w:rPr>
                <w:rFonts w:ascii="宋体"/>
              </w:rPr>
            </w:pPr>
          </w:p>
        </w:tc>
        <w:tc>
          <w:tcPr>
            <w:tcW w:w="0" w:type="auto"/>
            <w:shd w:val="clear" w:color="auto" w:fill="auto"/>
            <w:vAlign w:val="bottom"/>
          </w:tcPr>
          <w:p w14:paraId="392BFF96" w14:textId="77777777" w:rsidR="00980E5F" w:rsidRDefault="00980E5F">
            <w:pPr>
              <w:rPr>
                <w:rFonts w:ascii="宋体"/>
              </w:rPr>
            </w:pPr>
          </w:p>
        </w:tc>
        <w:tc>
          <w:tcPr>
            <w:tcW w:w="0" w:type="auto"/>
            <w:shd w:val="clear" w:color="auto" w:fill="auto"/>
            <w:vAlign w:val="bottom"/>
          </w:tcPr>
          <w:p w14:paraId="392BFF97" w14:textId="77777777" w:rsidR="00980E5F" w:rsidRDefault="00980E5F">
            <w:pPr>
              <w:rPr>
                <w:rFonts w:ascii="宋体"/>
              </w:rPr>
            </w:pPr>
          </w:p>
        </w:tc>
        <w:tc>
          <w:tcPr>
            <w:tcW w:w="0" w:type="auto"/>
            <w:shd w:val="clear" w:color="auto" w:fill="auto"/>
            <w:vAlign w:val="bottom"/>
          </w:tcPr>
          <w:p w14:paraId="392BFF98" w14:textId="77777777" w:rsidR="00980E5F" w:rsidRDefault="00980E5F">
            <w:pPr>
              <w:rPr>
                <w:rFonts w:ascii="宋体"/>
              </w:rPr>
            </w:pPr>
          </w:p>
        </w:tc>
        <w:tc>
          <w:tcPr>
            <w:tcW w:w="0" w:type="auto"/>
            <w:shd w:val="clear" w:color="auto" w:fill="auto"/>
            <w:vAlign w:val="bottom"/>
          </w:tcPr>
          <w:p w14:paraId="392BFF99" w14:textId="77777777" w:rsidR="00980E5F" w:rsidRDefault="00980E5F">
            <w:pPr>
              <w:rPr>
                <w:rFonts w:ascii="宋体"/>
              </w:rPr>
            </w:pPr>
          </w:p>
        </w:tc>
        <w:tc>
          <w:tcPr>
            <w:tcW w:w="0" w:type="auto"/>
            <w:shd w:val="clear" w:color="auto" w:fill="auto"/>
            <w:vAlign w:val="bottom"/>
          </w:tcPr>
          <w:p w14:paraId="392BFF9A" w14:textId="77777777" w:rsidR="00980E5F" w:rsidRDefault="00980E5F">
            <w:pPr>
              <w:rPr>
                <w:rFonts w:ascii="宋体"/>
              </w:rPr>
            </w:pPr>
          </w:p>
        </w:tc>
      </w:tr>
      <w:tr w:rsidR="00980E5F" w14:paraId="392BFFB2" w14:textId="77777777">
        <w:tc>
          <w:tcPr>
            <w:tcW w:w="0" w:type="auto"/>
            <w:gridSpan w:val="3"/>
            <w:shd w:val="clear" w:color="auto" w:fill="FFFFFF"/>
            <w:tcMar>
              <w:top w:w="40" w:type="dxa"/>
              <w:left w:w="20" w:type="dxa"/>
              <w:bottom w:w="40" w:type="dxa"/>
              <w:right w:w="20" w:type="dxa"/>
            </w:tcMar>
            <w:vAlign w:val="bottom"/>
          </w:tcPr>
          <w:p w14:paraId="392BFF9C" w14:textId="77777777" w:rsidR="00980E5F" w:rsidRDefault="00483613">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9D" w14:textId="77777777" w:rsidR="00980E5F" w:rsidRDefault="00483613">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r>
            <w:r>
              <w:rPr>
                <w:rFonts w:ascii="Arial" w:eastAsia="宋体" w:hAnsi="Arial" w:cs="Arial"/>
                <w:b/>
                <w:bCs/>
                <w:color w:val="000000"/>
                <w:sz w:val="12"/>
                <w:szCs w:val="12"/>
              </w:rP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BFF9E"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9F" w14:textId="77777777" w:rsidR="00980E5F" w:rsidRDefault="00483613">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BFFA0"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A1" w14:textId="77777777" w:rsidR="00980E5F" w:rsidRDefault="00483613">
            <w:pPr>
              <w:jc w:val="center"/>
              <w:textAlignment w:val="bottom"/>
            </w:pPr>
            <w:r>
              <w:rPr>
                <w:rFonts w:ascii="Arial" w:eastAsia="宋体" w:hAnsi="Arial" w:cs="Arial"/>
                <w:b/>
                <w:bCs/>
                <w:color w:val="000000"/>
                <w:sz w:val="12"/>
                <w:szCs w:val="12"/>
              </w:rPr>
              <w:t>Rate</w:t>
            </w:r>
          </w:p>
        </w:tc>
        <w:tc>
          <w:tcPr>
            <w:tcW w:w="0" w:type="auto"/>
            <w:gridSpan w:val="3"/>
            <w:shd w:val="clear" w:color="auto" w:fill="FFFFFF"/>
            <w:tcMar>
              <w:top w:w="0" w:type="dxa"/>
              <w:left w:w="20" w:type="dxa"/>
              <w:bottom w:w="0" w:type="dxa"/>
              <w:right w:w="20" w:type="dxa"/>
            </w:tcMar>
            <w:vAlign w:val="bottom"/>
          </w:tcPr>
          <w:p w14:paraId="392BFFA2"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A3" w14:textId="77777777" w:rsidR="00980E5F" w:rsidRDefault="00483613">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BFFA4"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A5" w14:textId="77777777" w:rsidR="00980E5F" w:rsidRDefault="00483613">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BFFA6"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BFFA7" w14:textId="77777777" w:rsidR="00980E5F" w:rsidRDefault="00483613">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392BFFA8" w14:textId="77777777" w:rsidR="00980E5F" w:rsidRDefault="00980E5F">
            <w:pPr>
              <w:rPr>
                <w:rFonts w:ascii="宋体"/>
                <w:vanish/>
              </w:rPr>
            </w:pPr>
          </w:p>
        </w:tc>
        <w:tc>
          <w:tcPr>
            <w:tcW w:w="0" w:type="auto"/>
            <w:shd w:val="clear" w:color="auto" w:fill="auto"/>
            <w:vAlign w:val="bottom"/>
          </w:tcPr>
          <w:p w14:paraId="392BFFA9" w14:textId="77777777" w:rsidR="00980E5F" w:rsidRDefault="00980E5F">
            <w:pPr>
              <w:rPr>
                <w:rFonts w:ascii="宋体"/>
                <w:vanish/>
              </w:rPr>
            </w:pPr>
          </w:p>
        </w:tc>
        <w:tc>
          <w:tcPr>
            <w:tcW w:w="0" w:type="auto"/>
            <w:shd w:val="clear" w:color="auto" w:fill="auto"/>
            <w:vAlign w:val="bottom"/>
          </w:tcPr>
          <w:p w14:paraId="392BFFAA" w14:textId="77777777" w:rsidR="00980E5F" w:rsidRDefault="00980E5F">
            <w:pPr>
              <w:rPr>
                <w:rFonts w:ascii="宋体"/>
                <w:vanish/>
              </w:rPr>
            </w:pPr>
          </w:p>
        </w:tc>
        <w:tc>
          <w:tcPr>
            <w:tcW w:w="0" w:type="auto"/>
            <w:shd w:val="clear" w:color="auto" w:fill="auto"/>
            <w:vAlign w:val="bottom"/>
          </w:tcPr>
          <w:p w14:paraId="392BFFAB" w14:textId="77777777" w:rsidR="00980E5F" w:rsidRDefault="00980E5F">
            <w:pPr>
              <w:rPr>
                <w:rFonts w:ascii="宋体"/>
                <w:vanish/>
              </w:rPr>
            </w:pPr>
          </w:p>
        </w:tc>
        <w:tc>
          <w:tcPr>
            <w:tcW w:w="0" w:type="auto"/>
            <w:gridSpan w:val="3"/>
            <w:shd w:val="clear" w:color="auto" w:fill="auto"/>
            <w:vAlign w:val="bottom"/>
          </w:tcPr>
          <w:p w14:paraId="392BFFAC" w14:textId="77777777" w:rsidR="00980E5F" w:rsidRDefault="00980E5F">
            <w:pPr>
              <w:rPr>
                <w:rFonts w:ascii="宋体"/>
                <w:vanish/>
              </w:rPr>
            </w:pPr>
          </w:p>
        </w:tc>
        <w:tc>
          <w:tcPr>
            <w:tcW w:w="0" w:type="auto"/>
            <w:gridSpan w:val="3"/>
            <w:shd w:val="clear" w:color="auto" w:fill="auto"/>
            <w:vAlign w:val="bottom"/>
          </w:tcPr>
          <w:p w14:paraId="392BFFAD" w14:textId="77777777" w:rsidR="00980E5F" w:rsidRDefault="00980E5F">
            <w:pPr>
              <w:rPr>
                <w:rFonts w:ascii="宋体"/>
                <w:vanish/>
              </w:rPr>
            </w:pPr>
          </w:p>
        </w:tc>
        <w:tc>
          <w:tcPr>
            <w:tcW w:w="0" w:type="auto"/>
            <w:gridSpan w:val="3"/>
            <w:shd w:val="clear" w:color="auto" w:fill="auto"/>
            <w:vAlign w:val="bottom"/>
          </w:tcPr>
          <w:p w14:paraId="392BFFAE" w14:textId="77777777" w:rsidR="00980E5F" w:rsidRDefault="00980E5F">
            <w:pPr>
              <w:rPr>
                <w:rFonts w:ascii="宋体"/>
                <w:vanish/>
              </w:rPr>
            </w:pPr>
          </w:p>
        </w:tc>
        <w:tc>
          <w:tcPr>
            <w:tcW w:w="0" w:type="auto"/>
            <w:gridSpan w:val="3"/>
            <w:shd w:val="clear" w:color="auto" w:fill="auto"/>
            <w:vAlign w:val="bottom"/>
          </w:tcPr>
          <w:p w14:paraId="392BFFAF" w14:textId="77777777" w:rsidR="00980E5F" w:rsidRDefault="00980E5F">
            <w:pPr>
              <w:rPr>
                <w:rFonts w:ascii="宋体"/>
                <w:vanish/>
              </w:rPr>
            </w:pPr>
          </w:p>
        </w:tc>
        <w:tc>
          <w:tcPr>
            <w:tcW w:w="0" w:type="auto"/>
            <w:gridSpan w:val="2"/>
            <w:shd w:val="clear" w:color="auto" w:fill="auto"/>
            <w:vAlign w:val="bottom"/>
          </w:tcPr>
          <w:p w14:paraId="392BFFB0" w14:textId="77777777" w:rsidR="00980E5F" w:rsidRDefault="00980E5F">
            <w:pPr>
              <w:rPr>
                <w:rFonts w:ascii="宋体"/>
                <w:vanish/>
              </w:rPr>
            </w:pPr>
          </w:p>
        </w:tc>
        <w:tc>
          <w:tcPr>
            <w:tcW w:w="0" w:type="auto"/>
            <w:shd w:val="clear" w:color="auto" w:fill="auto"/>
            <w:vAlign w:val="bottom"/>
          </w:tcPr>
          <w:p w14:paraId="392BFFB1" w14:textId="77777777" w:rsidR="00980E5F" w:rsidRDefault="00980E5F">
            <w:pPr>
              <w:rPr>
                <w:rFonts w:ascii="宋体"/>
                <w:vanish/>
              </w:rPr>
            </w:pPr>
          </w:p>
        </w:tc>
      </w:tr>
      <w:tr w:rsidR="00980E5F" w14:paraId="392BFFD3" w14:textId="77777777">
        <w:tc>
          <w:tcPr>
            <w:tcW w:w="0" w:type="auto"/>
            <w:gridSpan w:val="3"/>
            <w:shd w:val="clear" w:color="auto" w:fill="CCEEFF"/>
            <w:tcMar>
              <w:top w:w="40" w:type="dxa"/>
              <w:left w:w="20" w:type="dxa"/>
              <w:bottom w:w="40" w:type="dxa"/>
              <w:right w:w="20" w:type="dxa"/>
            </w:tcMar>
            <w:vAlign w:val="bottom"/>
          </w:tcPr>
          <w:p w14:paraId="392BFFB3" w14:textId="77777777" w:rsidR="00980E5F" w:rsidRDefault="00483613">
            <w:pPr>
              <w:textAlignment w:val="bottom"/>
            </w:pPr>
            <w:r>
              <w:rPr>
                <w:rFonts w:ascii="Arial" w:eastAsia="宋体" w:hAnsi="Arial" w:cs="Arial"/>
                <w:color w:val="000000"/>
                <w:sz w:val="12"/>
                <w:szCs w:val="12"/>
              </w:rPr>
              <w:t>Interest-bearing deposits with banks</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392BFFB4"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FB5" w14:textId="77777777" w:rsidR="00980E5F" w:rsidRDefault="00483613">
            <w:pPr>
              <w:jc w:val="right"/>
              <w:textAlignment w:val="bottom"/>
            </w:pPr>
            <w:r>
              <w:rPr>
                <w:rFonts w:ascii="Arial" w:eastAsia="宋体" w:hAnsi="Arial" w:cs="Arial"/>
                <w:b/>
                <w:bCs/>
                <w:color w:val="000000"/>
                <w:sz w:val="12"/>
                <w:szCs w:val="12"/>
              </w:rPr>
              <w:t>76,635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B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FB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FB9" w14:textId="77777777" w:rsidR="00980E5F" w:rsidRDefault="00483613">
            <w:pPr>
              <w:jc w:val="right"/>
              <w:textAlignment w:val="bottom"/>
            </w:pPr>
            <w:r>
              <w:rPr>
                <w:rFonts w:ascii="Arial" w:eastAsia="宋体" w:hAnsi="Arial" w:cs="Arial"/>
                <w:b/>
                <w:bCs/>
                <w:color w:val="000000"/>
                <w:sz w:val="12"/>
                <w:szCs w:val="12"/>
              </w:rPr>
              <w:t>79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B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FBC" w14:textId="77777777" w:rsidR="00980E5F" w:rsidRDefault="00483613">
            <w:pPr>
              <w:jc w:val="right"/>
              <w:textAlignment w:val="bottom"/>
            </w:pPr>
            <w:r>
              <w:rPr>
                <w:rFonts w:ascii="Arial" w:eastAsia="宋体" w:hAnsi="Arial" w:cs="Arial"/>
                <w:b/>
                <w:bCs/>
                <w:color w:val="000000"/>
                <w:sz w:val="12"/>
                <w:szCs w:val="12"/>
              </w:rPr>
              <w:t>.21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BD"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BFFB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FBF"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FC0" w14:textId="77777777" w:rsidR="00980E5F" w:rsidRDefault="00483613">
            <w:pPr>
              <w:jc w:val="right"/>
              <w:textAlignment w:val="bottom"/>
            </w:pPr>
            <w:r>
              <w:rPr>
                <w:rFonts w:ascii="Arial" w:eastAsia="宋体" w:hAnsi="Arial" w:cs="Arial"/>
                <w:color w:val="000000"/>
                <w:sz w:val="12"/>
                <w:szCs w:val="12"/>
              </w:rPr>
              <w:t>97,348 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C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BFFC3"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BFFC4" w14:textId="77777777" w:rsidR="00980E5F" w:rsidRDefault="00483613">
            <w:pPr>
              <w:jc w:val="right"/>
              <w:textAlignment w:val="bottom"/>
            </w:pPr>
            <w:r>
              <w:rPr>
                <w:rFonts w:ascii="Arial" w:eastAsia="宋体" w:hAnsi="Arial" w:cs="Arial"/>
                <w:color w:val="000000"/>
                <w:sz w:val="12"/>
                <w:szCs w:val="12"/>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C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BFFC7" w14:textId="77777777" w:rsidR="00980E5F" w:rsidRDefault="00483613">
            <w:pPr>
              <w:jc w:val="right"/>
              <w:textAlignment w:val="bottom"/>
            </w:pPr>
            <w:r>
              <w:rPr>
                <w:rFonts w:ascii="Arial" w:eastAsia="宋体" w:hAnsi="Arial" w:cs="Arial"/>
                <w:color w:val="000000"/>
                <w:sz w:val="12"/>
                <w:szCs w:val="12"/>
              </w:rPr>
              <w:t>(.03)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BFFC8"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BFFC9" w14:textId="77777777" w:rsidR="00980E5F" w:rsidRDefault="00980E5F">
            <w:pPr>
              <w:rPr>
                <w:rFonts w:ascii="宋体"/>
                <w:vanish/>
              </w:rPr>
            </w:pPr>
          </w:p>
        </w:tc>
        <w:tc>
          <w:tcPr>
            <w:tcW w:w="0" w:type="auto"/>
            <w:shd w:val="clear" w:color="auto" w:fill="auto"/>
            <w:vAlign w:val="bottom"/>
          </w:tcPr>
          <w:p w14:paraId="392BFFCA" w14:textId="77777777" w:rsidR="00980E5F" w:rsidRDefault="00980E5F">
            <w:pPr>
              <w:rPr>
                <w:rFonts w:ascii="宋体"/>
                <w:vanish/>
              </w:rPr>
            </w:pPr>
          </w:p>
        </w:tc>
        <w:tc>
          <w:tcPr>
            <w:tcW w:w="0" w:type="auto"/>
            <w:shd w:val="clear" w:color="auto" w:fill="auto"/>
            <w:vAlign w:val="bottom"/>
          </w:tcPr>
          <w:p w14:paraId="392BFFCB" w14:textId="77777777" w:rsidR="00980E5F" w:rsidRDefault="00980E5F">
            <w:pPr>
              <w:rPr>
                <w:rFonts w:ascii="宋体"/>
                <w:vanish/>
              </w:rPr>
            </w:pPr>
          </w:p>
        </w:tc>
        <w:tc>
          <w:tcPr>
            <w:tcW w:w="0" w:type="auto"/>
            <w:shd w:val="clear" w:color="auto" w:fill="auto"/>
            <w:vAlign w:val="bottom"/>
          </w:tcPr>
          <w:p w14:paraId="392BFFCC" w14:textId="77777777" w:rsidR="00980E5F" w:rsidRDefault="00980E5F">
            <w:pPr>
              <w:rPr>
                <w:rFonts w:ascii="宋体"/>
                <w:vanish/>
              </w:rPr>
            </w:pPr>
          </w:p>
        </w:tc>
        <w:tc>
          <w:tcPr>
            <w:tcW w:w="0" w:type="auto"/>
            <w:gridSpan w:val="3"/>
            <w:shd w:val="clear" w:color="auto" w:fill="auto"/>
            <w:vAlign w:val="bottom"/>
          </w:tcPr>
          <w:p w14:paraId="392BFFCD" w14:textId="77777777" w:rsidR="00980E5F" w:rsidRDefault="00980E5F">
            <w:pPr>
              <w:rPr>
                <w:rFonts w:ascii="宋体"/>
                <w:vanish/>
              </w:rPr>
            </w:pPr>
          </w:p>
        </w:tc>
        <w:tc>
          <w:tcPr>
            <w:tcW w:w="0" w:type="auto"/>
            <w:gridSpan w:val="3"/>
            <w:shd w:val="clear" w:color="auto" w:fill="auto"/>
            <w:vAlign w:val="bottom"/>
          </w:tcPr>
          <w:p w14:paraId="392BFFCE" w14:textId="77777777" w:rsidR="00980E5F" w:rsidRDefault="00980E5F">
            <w:pPr>
              <w:rPr>
                <w:rFonts w:ascii="宋体"/>
                <w:vanish/>
              </w:rPr>
            </w:pPr>
          </w:p>
        </w:tc>
        <w:tc>
          <w:tcPr>
            <w:tcW w:w="0" w:type="auto"/>
            <w:gridSpan w:val="3"/>
            <w:shd w:val="clear" w:color="auto" w:fill="auto"/>
            <w:vAlign w:val="bottom"/>
          </w:tcPr>
          <w:p w14:paraId="392BFFCF" w14:textId="77777777" w:rsidR="00980E5F" w:rsidRDefault="00980E5F">
            <w:pPr>
              <w:rPr>
                <w:rFonts w:ascii="宋体"/>
                <w:vanish/>
              </w:rPr>
            </w:pPr>
          </w:p>
        </w:tc>
        <w:tc>
          <w:tcPr>
            <w:tcW w:w="0" w:type="auto"/>
            <w:gridSpan w:val="3"/>
            <w:shd w:val="clear" w:color="auto" w:fill="auto"/>
            <w:vAlign w:val="bottom"/>
          </w:tcPr>
          <w:p w14:paraId="392BFFD0" w14:textId="77777777" w:rsidR="00980E5F" w:rsidRDefault="00980E5F">
            <w:pPr>
              <w:rPr>
                <w:rFonts w:ascii="宋体"/>
                <w:vanish/>
              </w:rPr>
            </w:pPr>
          </w:p>
        </w:tc>
        <w:tc>
          <w:tcPr>
            <w:tcW w:w="0" w:type="auto"/>
            <w:gridSpan w:val="2"/>
            <w:shd w:val="clear" w:color="auto" w:fill="auto"/>
            <w:vAlign w:val="bottom"/>
          </w:tcPr>
          <w:p w14:paraId="392BFFD1" w14:textId="77777777" w:rsidR="00980E5F" w:rsidRDefault="00980E5F">
            <w:pPr>
              <w:rPr>
                <w:rFonts w:ascii="宋体"/>
                <w:vanish/>
              </w:rPr>
            </w:pPr>
          </w:p>
        </w:tc>
        <w:tc>
          <w:tcPr>
            <w:tcW w:w="0" w:type="auto"/>
            <w:shd w:val="clear" w:color="auto" w:fill="auto"/>
            <w:vAlign w:val="bottom"/>
          </w:tcPr>
          <w:p w14:paraId="392BFFD2" w14:textId="77777777" w:rsidR="00980E5F" w:rsidRDefault="00980E5F">
            <w:pPr>
              <w:rPr>
                <w:rFonts w:ascii="宋体"/>
                <w:vanish/>
              </w:rPr>
            </w:pPr>
          </w:p>
        </w:tc>
      </w:tr>
      <w:tr w:rsidR="00980E5F" w14:paraId="392BFFF0" w14:textId="77777777">
        <w:tc>
          <w:tcPr>
            <w:tcW w:w="0" w:type="auto"/>
            <w:gridSpan w:val="3"/>
            <w:shd w:val="clear" w:color="auto" w:fill="FFFFFF"/>
            <w:tcMar>
              <w:top w:w="40" w:type="dxa"/>
              <w:left w:w="20" w:type="dxa"/>
              <w:bottom w:w="40" w:type="dxa"/>
              <w:right w:w="20" w:type="dxa"/>
            </w:tcMar>
            <w:vAlign w:val="bottom"/>
          </w:tcPr>
          <w:p w14:paraId="392BFFD4" w14:textId="77777777" w:rsidR="00980E5F" w:rsidRDefault="00483613">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392BFFD5" w14:textId="77777777" w:rsidR="00980E5F" w:rsidRDefault="00483613">
            <w:pPr>
              <w:jc w:val="right"/>
              <w:textAlignment w:val="bottom"/>
            </w:pPr>
            <w:r>
              <w:rPr>
                <w:rFonts w:ascii="Arial" w:eastAsia="宋体" w:hAnsi="Arial" w:cs="Arial"/>
                <w:b/>
                <w:bCs/>
                <w:color w:val="000000"/>
                <w:sz w:val="12"/>
                <w:szCs w:val="12"/>
              </w:rPr>
              <w:t>2,583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F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D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D8" w14:textId="77777777" w:rsidR="00980E5F" w:rsidRDefault="00483613">
            <w:pPr>
              <w:jc w:val="right"/>
              <w:textAlignment w:val="bottom"/>
            </w:pPr>
            <w:r>
              <w:rPr>
                <w:rFonts w:ascii="Arial" w:eastAsia="宋体" w:hAnsi="Arial" w:cs="Arial"/>
                <w:b/>
                <w:bCs/>
                <w:color w:val="000000"/>
                <w:sz w:val="12"/>
                <w:szCs w:val="12"/>
              </w:rPr>
              <w:t>48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F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DB" w14:textId="77777777" w:rsidR="00980E5F" w:rsidRDefault="00483613">
            <w:pPr>
              <w:jc w:val="right"/>
              <w:textAlignment w:val="bottom"/>
            </w:pPr>
            <w:r>
              <w:rPr>
                <w:rFonts w:ascii="Arial" w:eastAsia="宋体" w:hAnsi="Arial" w:cs="Arial"/>
                <w:b/>
                <w:bCs/>
                <w:color w:val="000000"/>
                <w:sz w:val="12"/>
                <w:szCs w:val="12"/>
              </w:rPr>
              <w:t>3.74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BFF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DE" w14:textId="77777777" w:rsidR="00980E5F" w:rsidRDefault="00483613">
            <w:pPr>
              <w:jc w:val="right"/>
              <w:textAlignment w:val="bottom"/>
            </w:pPr>
            <w:r>
              <w:rPr>
                <w:rFonts w:ascii="Arial" w:eastAsia="宋体" w:hAnsi="Arial" w:cs="Arial"/>
                <w:color w:val="000000"/>
                <w:sz w:val="12"/>
                <w:szCs w:val="12"/>
              </w:rPr>
              <w:t>4,261 </w:t>
            </w:r>
          </w:p>
        </w:tc>
        <w:tc>
          <w:tcPr>
            <w:tcW w:w="0" w:type="auto"/>
            <w:shd w:val="clear" w:color="auto" w:fill="FFFFFF"/>
            <w:tcMar>
              <w:top w:w="40" w:type="dxa"/>
              <w:left w:w="0" w:type="dxa"/>
              <w:bottom w:w="40" w:type="dxa"/>
              <w:right w:w="20" w:type="dxa"/>
            </w:tcMar>
            <w:vAlign w:val="bottom"/>
          </w:tcPr>
          <w:p w14:paraId="392BFF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E1" w14:textId="77777777" w:rsidR="00980E5F" w:rsidRDefault="00483613">
            <w:pPr>
              <w:jc w:val="right"/>
              <w:textAlignment w:val="bottom"/>
            </w:pPr>
            <w:r>
              <w:rPr>
                <w:rFonts w:ascii="Arial" w:eastAsia="宋体" w:hAnsi="Arial" w:cs="Arial"/>
                <w:color w:val="000000"/>
                <w:sz w:val="12"/>
                <w:szCs w:val="12"/>
              </w:rPr>
              <w:t>13 </w:t>
            </w:r>
          </w:p>
        </w:tc>
        <w:tc>
          <w:tcPr>
            <w:tcW w:w="0" w:type="auto"/>
            <w:shd w:val="clear" w:color="auto" w:fill="FFFFFF"/>
            <w:tcMar>
              <w:top w:w="40" w:type="dxa"/>
              <w:left w:w="0" w:type="dxa"/>
              <w:bottom w:w="40" w:type="dxa"/>
              <w:right w:w="20" w:type="dxa"/>
            </w:tcMar>
            <w:vAlign w:val="bottom"/>
          </w:tcPr>
          <w:p w14:paraId="392BFF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BFF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BFFE4" w14:textId="77777777" w:rsidR="00980E5F" w:rsidRDefault="00483613">
            <w:pPr>
              <w:jc w:val="right"/>
              <w:textAlignment w:val="bottom"/>
            </w:pPr>
            <w:r>
              <w:rPr>
                <w:rFonts w:ascii="Arial" w:eastAsia="宋体" w:hAnsi="Arial" w:cs="Arial"/>
                <w:color w:val="000000"/>
                <w:sz w:val="12"/>
                <w:szCs w:val="12"/>
              </w:rPr>
              <w:t>.60 </w:t>
            </w:r>
          </w:p>
        </w:tc>
        <w:tc>
          <w:tcPr>
            <w:tcW w:w="0" w:type="auto"/>
            <w:shd w:val="clear" w:color="auto" w:fill="FFFFFF"/>
            <w:tcMar>
              <w:top w:w="40" w:type="dxa"/>
              <w:left w:w="0" w:type="dxa"/>
              <w:bottom w:w="40" w:type="dxa"/>
              <w:right w:w="20" w:type="dxa"/>
            </w:tcMar>
            <w:vAlign w:val="bottom"/>
          </w:tcPr>
          <w:p w14:paraId="392BFFE5" w14:textId="77777777" w:rsidR="00980E5F" w:rsidRDefault="00980E5F">
            <w:pPr>
              <w:jc w:val="right"/>
              <w:rPr>
                <w:rFonts w:ascii="宋体"/>
              </w:rPr>
            </w:pPr>
          </w:p>
        </w:tc>
        <w:tc>
          <w:tcPr>
            <w:tcW w:w="0" w:type="auto"/>
            <w:shd w:val="clear" w:color="auto" w:fill="auto"/>
            <w:vAlign w:val="bottom"/>
          </w:tcPr>
          <w:p w14:paraId="392BFFE6" w14:textId="77777777" w:rsidR="00980E5F" w:rsidRDefault="00980E5F">
            <w:pPr>
              <w:rPr>
                <w:rFonts w:ascii="宋体"/>
                <w:vanish/>
              </w:rPr>
            </w:pPr>
          </w:p>
        </w:tc>
        <w:tc>
          <w:tcPr>
            <w:tcW w:w="0" w:type="auto"/>
            <w:shd w:val="clear" w:color="auto" w:fill="auto"/>
            <w:vAlign w:val="bottom"/>
          </w:tcPr>
          <w:p w14:paraId="392BFFE7" w14:textId="77777777" w:rsidR="00980E5F" w:rsidRDefault="00980E5F">
            <w:pPr>
              <w:rPr>
                <w:rFonts w:ascii="宋体"/>
                <w:vanish/>
              </w:rPr>
            </w:pPr>
          </w:p>
        </w:tc>
        <w:tc>
          <w:tcPr>
            <w:tcW w:w="0" w:type="auto"/>
            <w:shd w:val="clear" w:color="auto" w:fill="auto"/>
            <w:vAlign w:val="bottom"/>
          </w:tcPr>
          <w:p w14:paraId="392BFFE8" w14:textId="77777777" w:rsidR="00980E5F" w:rsidRDefault="00980E5F">
            <w:pPr>
              <w:rPr>
                <w:rFonts w:ascii="宋体"/>
                <w:vanish/>
              </w:rPr>
            </w:pPr>
          </w:p>
        </w:tc>
        <w:tc>
          <w:tcPr>
            <w:tcW w:w="0" w:type="auto"/>
            <w:shd w:val="clear" w:color="auto" w:fill="auto"/>
            <w:vAlign w:val="bottom"/>
          </w:tcPr>
          <w:p w14:paraId="392BFFE9" w14:textId="77777777" w:rsidR="00980E5F" w:rsidRDefault="00980E5F">
            <w:pPr>
              <w:rPr>
                <w:rFonts w:ascii="宋体"/>
                <w:vanish/>
              </w:rPr>
            </w:pPr>
          </w:p>
        </w:tc>
        <w:tc>
          <w:tcPr>
            <w:tcW w:w="0" w:type="auto"/>
            <w:gridSpan w:val="3"/>
            <w:shd w:val="clear" w:color="auto" w:fill="auto"/>
            <w:vAlign w:val="bottom"/>
          </w:tcPr>
          <w:p w14:paraId="392BFFEA" w14:textId="77777777" w:rsidR="00980E5F" w:rsidRDefault="00980E5F">
            <w:pPr>
              <w:rPr>
                <w:rFonts w:ascii="宋体"/>
                <w:vanish/>
              </w:rPr>
            </w:pPr>
          </w:p>
        </w:tc>
        <w:tc>
          <w:tcPr>
            <w:tcW w:w="0" w:type="auto"/>
            <w:gridSpan w:val="3"/>
            <w:shd w:val="clear" w:color="auto" w:fill="auto"/>
            <w:vAlign w:val="bottom"/>
          </w:tcPr>
          <w:p w14:paraId="392BFFEB" w14:textId="77777777" w:rsidR="00980E5F" w:rsidRDefault="00980E5F">
            <w:pPr>
              <w:rPr>
                <w:rFonts w:ascii="宋体"/>
                <w:vanish/>
              </w:rPr>
            </w:pPr>
          </w:p>
        </w:tc>
        <w:tc>
          <w:tcPr>
            <w:tcW w:w="0" w:type="auto"/>
            <w:gridSpan w:val="3"/>
            <w:shd w:val="clear" w:color="auto" w:fill="auto"/>
            <w:vAlign w:val="bottom"/>
          </w:tcPr>
          <w:p w14:paraId="392BFFEC" w14:textId="77777777" w:rsidR="00980E5F" w:rsidRDefault="00980E5F">
            <w:pPr>
              <w:rPr>
                <w:rFonts w:ascii="宋体"/>
                <w:vanish/>
              </w:rPr>
            </w:pPr>
          </w:p>
        </w:tc>
        <w:tc>
          <w:tcPr>
            <w:tcW w:w="0" w:type="auto"/>
            <w:gridSpan w:val="3"/>
            <w:shd w:val="clear" w:color="auto" w:fill="auto"/>
            <w:vAlign w:val="bottom"/>
          </w:tcPr>
          <w:p w14:paraId="392BFFED" w14:textId="77777777" w:rsidR="00980E5F" w:rsidRDefault="00980E5F">
            <w:pPr>
              <w:rPr>
                <w:rFonts w:ascii="宋体"/>
                <w:vanish/>
              </w:rPr>
            </w:pPr>
          </w:p>
        </w:tc>
        <w:tc>
          <w:tcPr>
            <w:tcW w:w="0" w:type="auto"/>
            <w:gridSpan w:val="2"/>
            <w:shd w:val="clear" w:color="auto" w:fill="auto"/>
            <w:vAlign w:val="bottom"/>
          </w:tcPr>
          <w:p w14:paraId="392BFFEE" w14:textId="77777777" w:rsidR="00980E5F" w:rsidRDefault="00980E5F">
            <w:pPr>
              <w:rPr>
                <w:rFonts w:ascii="宋体"/>
                <w:vanish/>
              </w:rPr>
            </w:pPr>
          </w:p>
        </w:tc>
        <w:tc>
          <w:tcPr>
            <w:tcW w:w="0" w:type="auto"/>
            <w:shd w:val="clear" w:color="auto" w:fill="auto"/>
            <w:vAlign w:val="bottom"/>
          </w:tcPr>
          <w:p w14:paraId="392BFFEF" w14:textId="77777777" w:rsidR="00980E5F" w:rsidRDefault="00980E5F">
            <w:pPr>
              <w:rPr>
                <w:rFonts w:ascii="宋体"/>
                <w:vanish/>
              </w:rPr>
            </w:pPr>
          </w:p>
        </w:tc>
      </w:tr>
      <w:tr w:rsidR="00980E5F" w14:paraId="392C000D" w14:textId="77777777">
        <w:tc>
          <w:tcPr>
            <w:tcW w:w="0" w:type="auto"/>
            <w:gridSpan w:val="3"/>
            <w:shd w:val="clear" w:color="auto" w:fill="CCEEFF"/>
            <w:tcMar>
              <w:top w:w="40" w:type="dxa"/>
              <w:left w:w="20" w:type="dxa"/>
              <w:bottom w:w="40" w:type="dxa"/>
              <w:right w:w="20" w:type="dxa"/>
            </w:tcMar>
            <w:vAlign w:val="bottom"/>
          </w:tcPr>
          <w:p w14:paraId="392BFFF1" w14:textId="77777777" w:rsidR="00980E5F" w:rsidRDefault="00483613">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392BFFF2" w14:textId="77777777" w:rsidR="00980E5F" w:rsidRDefault="00483613">
            <w:pPr>
              <w:jc w:val="right"/>
              <w:textAlignment w:val="bottom"/>
            </w:pPr>
            <w:r>
              <w:rPr>
                <w:rFonts w:ascii="Arial" w:eastAsia="宋体" w:hAnsi="Arial" w:cs="Arial"/>
                <w:b/>
                <w:bCs/>
                <w:color w:val="000000"/>
                <w:sz w:val="12"/>
                <w:szCs w:val="12"/>
              </w:rPr>
              <w:t>754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F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F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F5"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F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F8" w14:textId="77777777" w:rsidR="00980E5F" w:rsidRDefault="00483613">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F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F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FB" w14:textId="77777777" w:rsidR="00980E5F" w:rsidRDefault="00483613">
            <w:pPr>
              <w:jc w:val="right"/>
              <w:textAlignment w:val="bottom"/>
            </w:pPr>
            <w:r>
              <w:rPr>
                <w:rFonts w:ascii="Arial" w:eastAsia="宋体" w:hAnsi="Arial" w:cs="Arial"/>
                <w:color w:val="000000"/>
                <w:sz w:val="12"/>
                <w:szCs w:val="12"/>
              </w:rPr>
              <w:t>764 </w:t>
            </w:r>
          </w:p>
        </w:tc>
        <w:tc>
          <w:tcPr>
            <w:tcW w:w="0" w:type="auto"/>
            <w:shd w:val="clear" w:color="auto" w:fill="CCEEFF"/>
            <w:tcMar>
              <w:top w:w="40" w:type="dxa"/>
              <w:left w:w="0" w:type="dxa"/>
              <w:bottom w:w="40" w:type="dxa"/>
              <w:right w:w="20" w:type="dxa"/>
            </w:tcMar>
            <w:vAlign w:val="bottom"/>
          </w:tcPr>
          <w:p w14:paraId="392BFF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BFFF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BFFFE"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BFF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01"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02" w14:textId="77777777" w:rsidR="00980E5F" w:rsidRDefault="00980E5F">
            <w:pPr>
              <w:jc w:val="right"/>
              <w:rPr>
                <w:rFonts w:ascii="宋体"/>
              </w:rPr>
            </w:pPr>
          </w:p>
        </w:tc>
        <w:tc>
          <w:tcPr>
            <w:tcW w:w="0" w:type="auto"/>
            <w:shd w:val="clear" w:color="auto" w:fill="auto"/>
            <w:vAlign w:val="bottom"/>
          </w:tcPr>
          <w:p w14:paraId="392C0003" w14:textId="77777777" w:rsidR="00980E5F" w:rsidRDefault="00980E5F">
            <w:pPr>
              <w:rPr>
                <w:rFonts w:ascii="宋体"/>
                <w:vanish/>
              </w:rPr>
            </w:pPr>
          </w:p>
        </w:tc>
        <w:tc>
          <w:tcPr>
            <w:tcW w:w="0" w:type="auto"/>
            <w:shd w:val="clear" w:color="auto" w:fill="auto"/>
            <w:vAlign w:val="bottom"/>
          </w:tcPr>
          <w:p w14:paraId="392C0004" w14:textId="77777777" w:rsidR="00980E5F" w:rsidRDefault="00980E5F">
            <w:pPr>
              <w:rPr>
                <w:rFonts w:ascii="宋体"/>
                <w:vanish/>
              </w:rPr>
            </w:pPr>
          </w:p>
        </w:tc>
        <w:tc>
          <w:tcPr>
            <w:tcW w:w="0" w:type="auto"/>
            <w:shd w:val="clear" w:color="auto" w:fill="auto"/>
            <w:vAlign w:val="bottom"/>
          </w:tcPr>
          <w:p w14:paraId="392C0005" w14:textId="77777777" w:rsidR="00980E5F" w:rsidRDefault="00980E5F">
            <w:pPr>
              <w:rPr>
                <w:rFonts w:ascii="宋体"/>
                <w:vanish/>
              </w:rPr>
            </w:pPr>
          </w:p>
        </w:tc>
        <w:tc>
          <w:tcPr>
            <w:tcW w:w="0" w:type="auto"/>
            <w:shd w:val="clear" w:color="auto" w:fill="auto"/>
            <w:vAlign w:val="bottom"/>
          </w:tcPr>
          <w:p w14:paraId="392C0006" w14:textId="77777777" w:rsidR="00980E5F" w:rsidRDefault="00980E5F">
            <w:pPr>
              <w:rPr>
                <w:rFonts w:ascii="宋体"/>
                <w:vanish/>
              </w:rPr>
            </w:pPr>
          </w:p>
        </w:tc>
        <w:tc>
          <w:tcPr>
            <w:tcW w:w="0" w:type="auto"/>
            <w:gridSpan w:val="3"/>
            <w:shd w:val="clear" w:color="auto" w:fill="auto"/>
            <w:vAlign w:val="bottom"/>
          </w:tcPr>
          <w:p w14:paraId="392C0007" w14:textId="77777777" w:rsidR="00980E5F" w:rsidRDefault="00980E5F">
            <w:pPr>
              <w:rPr>
                <w:rFonts w:ascii="宋体"/>
                <w:vanish/>
              </w:rPr>
            </w:pPr>
          </w:p>
        </w:tc>
        <w:tc>
          <w:tcPr>
            <w:tcW w:w="0" w:type="auto"/>
            <w:gridSpan w:val="3"/>
            <w:shd w:val="clear" w:color="auto" w:fill="auto"/>
            <w:vAlign w:val="bottom"/>
          </w:tcPr>
          <w:p w14:paraId="392C0008" w14:textId="77777777" w:rsidR="00980E5F" w:rsidRDefault="00980E5F">
            <w:pPr>
              <w:rPr>
                <w:rFonts w:ascii="宋体"/>
                <w:vanish/>
              </w:rPr>
            </w:pPr>
          </w:p>
        </w:tc>
        <w:tc>
          <w:tcPr>
            <w:tcW w:w="0" w:type="auto"/>
            <w:gridSpan w:val="3"/>
            <w:shd w:val="clear" w:color="auto" w:fill="auto"/>
            <w:vAlign w:val="bottom"/>
          </w:tcPr>
          <w:p w14:paraId="392C0009" w14:textId="77777777" w:rsidR="00980E5F" w:rsidRDefault="00980E5F">
            <w:pPr>
              <w:rPr>
                <w:rFonts w:ascii="宋体"/>
                <w:vanish/>
              </w:rPr>
            </w:pPr>
          </w:p>
        </w:tc>
        <w:tc>
          <w:tcPr>
            <w:tcW w:w="0" w:type="auto"/>
            <w:gridSpan w:val="3"/>
            <w:shd w:val="clear" w:color="auto" w:fill="auto"/>
            <w:vAlign w:val="bottom"/>
          </w:tcPr>
          <w:p w14:paraId="392C000A" w14:textId="77777777" w:rsidR="00980E5F" w:rsidRDefault="00980E5F">
            <w:pPr>
              <w:rPr>
                <w:rFonts w:ascii="宋体"/>
                <w:vanish/>
              </w:rPr>
            </w:pPr>
          </w:p>
        </w:tc>
        <w:tc>
          <w:tcPr>
            <w:tcW w:w="0" w:type="auto"/>
            <w:gridSpan w:val="2"/>
            <w:shd w:val="clear" w:color="auto" w:fill="auto"/>
            <w:vAlign w:val="bottom"/>
          </w:tcPr>
          <w:p w14:paraId="392C000B" w14:textId="77777777" w:rsidR="00980E5F" w:rsidRDefault="00980E5F">
            <w:pPr>
              <w:rPr>
                <w:rFonts w:ascii="宋体"/>
                <w:vanish/>
              </w:rPr>
            </w:pPr>
          </w:p>
        </w:tc>
        <w:tc>
          <w:tcPr>
            <w:tcW w:w="0" w:type="auto"/>
            <w:shd w:val="clear" w:color="auto" w:fill="auto"/>
            <w:vAlign w:val="bottom"/>
          </w:tcPr>
          <w:p w14:paraId="392C000C" w14:textId="77777777" w:rsidR="00980E5F" w:rsidRDefault="00980E5F">
            <w:pPr>
              <w:rPr>
                <w:rFonts w:ascii="宋体"/>
                <w:vanish/>
              </w:rPr>
            </w:pPr>
          </w:p>
        </w:tc>
      </w:tr>
      <w:tr w:rsidR="00980E5F" w14:paraId="392C0024" w14:textId="77777777">
        <w:tc>
          <w:tcPr>
            <w:tcW w:w="0" w:type="auto"/>
            <w:gridSpan w:val="3"/>
            <w:shd w:val="clear" w:color="auto" w:fill="FFFFFF"/>
            <w:tcMar>
              <w:top w:w="40" w:type="dxa"/>
              <w:left w:w="20" w:type="dxa"/>
              <w:bottom w:w="40" w:type="dxa"/>
              <w:right w:w="20" w:type="dxa"/>
            </w:tcMar>
            <w:vAlign w:val="bottom"/>
          </w:tcPr>
          <w:p w14:paraId="392C000E" w14:textId="77777777" w:rsidR="00980E5F" w:rsidRDefault="00483613">
            <w:pPr>
              <w:textAlignment w:val="bottom"/>
            </w:pPr>
            <w:r>
              <w:rPr>
                <w:rFonts w:ascii="Arial" w:eastAsia="宋体" w:hAnsi="Arial" w:cs="Arial"/>
                <w:color w:val="000000"/>
                <w:sz w:val="12"/>
                <w:szCs w:val="12"/>
              </w:rPr>
              <w:t xml:space="preserve">Investment </w:t>
            </w:r>
            <w:r>
              <w:rPr>
                <w:rFonts w:ascii="Arial" w:eastAsia="宋体" w:hAnsi="Arial" w:cs="Arial"/>
                <w:color w:val="000000"/>
                <w:sz w:val="12"/>
                <w:szCs w:val="12"/>
              </w:rPr>
              <w:t>securities:</w:t>
            </w:r>
          </w:p>
        </w:tc>
        <w:tc>
          <w:tcPr>
            <w:tcW w:w="0" w:type="auto"/>
            <w:gridSpan w:val="3"/>
            <w:shd w:val="clear" w:color="auto" w:fill="FFFFFF"/>
            <w:tcMar>
              <w:top w:w="0" w:type="dxa"/>
              <w:left w:w="20" w:type="dxa"/>
              <w:bottom w:w="0" w:type="dxa"/>
              <w:right w:w="20" w:type="dxa"/>
            </w:tcMar>
            <w:vAlign w:val="bottom"/>
          </w:tcPr>
          <w:p w14:paraId="392C00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19" w14:textId="77777777" w:rsidR="00980E5F" w:rsidRDefault="00980E5F">
            <w:pPr>
              <w:rPr>
                <w:rFonts w:ascii="宋体"/>
              </w:rPr>
            </w:pPr>
          </w:p>
        </w:tc>
        <w:tc>
          <w:tcPr>
            <w:tcW w:w="0" w:type="auto"/>
            <w:shd w:val="clear" w:color="auto" w:fill="auto"/>
            <w:vAlign w:val="bottom"/>
          </w:tcPr>
          <w:p w14:paraId="392C001A" w14:textId="77777777" w:rsidR="00980E5F" w:rsidRDefault="00980E5F">
            <w:pPr>
              <w:rPr>
                <w:rFonts w:ascii="宋体"/>
                <w:vanish/>
              </w:rPr>
            </w:pPr>
          </w:p>
        </w:tc>
        <w:tc>
          <w:tcPr>
            <w:tcW w:w="0" w:type="auto"/>
            <w:shd w:val="clear" w:color="auto" w:fill="auto"/>
            <w:vAlign w:val="bottom"/>
          </w:tcPr>
          <w:p w14:paraId="392C001B" w14:textId="77777777" w:rsidR="00980E5F" w:rsidRDefault="00980E5F">
            <w:pPr>
              <w:rPr>
                <w:rFonts w:ascii="宋体"/>
                <w:vanish/>
              </w:rPr>
            </w:pPr>
          </w:p>
        </w:tc>
        <w:tc>
          <w:tcPr>
            <w:tcW w:w="0" w:type="auto"/>
            <w:shd w:val="clear" w:color="auto" w:fill="auto"/>
            <w:vAlign w:val="bottom"/>
          </w:tcPr>
          <w:p w14:paraId="392C001C" w14:textId="77777777" w:rsidR="00980E5F" w:rsidRDefault="00980E5F">
            <w:pPr>
              <w:rPr>
                <w:rFonts w:ascii="宋体"/>
                <w:vanish/>
              </w:rPr>
            </w:pPr>
          </w:p>
        </w:tc>
        <w:tc>
          <w:tcPr>
            <w:tcW w:w="0" w:type="auto"/>
            <w:shd w:val="clear" w:color="auto" w:fill="auto"/>
            <w:vAlign w:val="bottom"/>
          </w:tcPr>
          <w:p w14:paraId="392C001D" w14:textId="77777777" w:rsidR="00980E5F" w:rsidRDefault="00980E5F">
            <w:pPr>
              <w:rPr>
                <w:rFonts w:ascii="宋体"/>
                <w:vanish/>
              </w:rPr>
            </w:pPr>
          </w:p>
        </w:tc>
        <w:tc>
          <w:tcPr>
            <w:tcW w:w="0" w:type="auto"/>
            <w:gridSpan w:val="3"/>
            <w:shd w:val="clear" w:color="auto" w:fill="auto"/>
            <w:vAlign w:val="bottom"/>
          </w:tcPr>
          <w:p w14:paraId="392C001E" w14:textId="77777777" w:rsidR="00980E5F" w:rsidRDefault="00980E5F">
            <w:pPr>
              <w:rPr>
                <w:rFonts w:ascii="宋体"/>
                <w:vanish/>
              </w:rPr>
            </w:pPr>
          </w:p>
        </w:tc>
        <w:tc>
          <w:tcPr>
            <w:tcW w:w="0" w:type="auto"/>
            <w:gridSpan w:val="3"/>
            <w:shd w:val="clear" w:color="auto" w:fill="auto"/>
            <w:vAlign w:val="bottom"/>
          </w:tcPr>
          <w:p w14:paraId="392C001F" w14:textId="77777777" w:rsidR="00980E5F" w:rsidRDefault="00980E5F">
            <w:pPr>
              <w:rPr>
                <w:rFonts w:ascii="宋体"/>
                <w:vanish/>
              </w:rPr>
            </w:pPr>
          </w:p>
        </w:tc>
        <w:tc>
          <w:tcPr>
            <w:tcW w:w="0" w:type="auto"/>
            <w:gridSpan w:val="3"/>
            <w:shd w:val="clear" w:color="auto" w:fill="auto"/>
            <w:vAlign w:val="bottom"/>
          </w:tcPr>
          <w:p w14:paraId="392C0020" w14:textId="77777777" w:rsidR="00980E5F" w:rsidRDefault="00980E5F">
            <w:pPr>
              <w:rPr>
                <w:rFonts w:ascii="宋体"/>
                <w:vanish/>
              </w:rPr>
            </w:pPr>
          </w:p>
        </w:tc>
        <w:tc>
          <w:tcPr>
            <w:tcW w:w="0" w:type="auto"/>
            <w:gridSpan w:val="3"/>
            <w:shd w:val="clear" w:color="auto" w:fill="auto"/>
            <w:vAlign w:val="bottom"/>
          </w:tcPr>
          <w:p w14:paraId="392C0021" w14:textId="77777777" w:rsidR="00980E5F" w:rsidRDefault="00980E5F">
            <w:pPr>
              <w:rPr>
                <w:rFonts w:ascii="宋体"/>
                <w:vanish/>
              </w:rPr>
            </w:pPr>
          </w:p>
        </w:tc>
        <w:tc>
          <w:tcPr>
            <w:tcW w:w="0" w:type="auto"/>
            <w:gridSpan w:val="2"/>
            <w:shd w:val="clear" w:color="auto" w:fill="auto"/>
            <w:vAlign w:val="bottom"/>
          </w:tcPr>
          <w:p w14:paraId="392C0022" w14:textId="77777777" w:rsidR="00980E5F" w:rsidRDefault="00980E5F">
            <w:pPr>
              <w:rPr>
                <w:rFonts w:ascii="宋体"/>
                <w:vanish/>
              </w:rPr>
            </w:pPr>
          </w:p>
        </w:tc>
        <w:tc>
          <w:tcPr>
            <w:tcW w:w="0" w:type="auto"/>
            <w:shd w:val="clear" w:color="auto" w:fill="auto"/>
            <w:vAlign w:val="bottom"/>
          </w:tcPr>
          <w:p w14:paraId="392C0023" w14:textId="77777777" w:rsidR="00980E5F" w:rsidRDefault="00980E5F">
            <w:pPr>
              <w:rPr>
                <w:rFonts w:ascii="宋体"/>
                <w:vanish/>
              </w:rPr>
            </w:pPr>
          </w:p>
        </w:tc>
      </w:tr>
      <w:tr w:rsidR="00980E5F" w14:paraId="392C0041" w14:textId="77777777">
        <w:tc>
          <w:tcPr>
            <w:tcW w:w="0" w:type="auto"/>
            <w:gridSpan w:val="3"/>
            <w:shd w:val="clear" w:color="auto" w:fill="CCEEFF"/>
            <w:tcMar>
              <w:top w:w="40" w:type="dxa"/>
              <w:left w:w="20" w:type="dxa"/>
              <w:bottom w:w="40" w:type="dxa"/>
              <w:right w:w="20" w:type="dxa"/>
            </w:tcMar>
            <w:vAlign w:val="bottom"/>
          </w:tcPr>
          <w:p w14:paraId="392C0025" w14:textId="77777777" w:rsidR="00980E5F" w:rsidRDefault="00483613">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392C0026" w14:textId="77777777" w:rsidR="00980E5F" w:rsidRDefault="00483613">
            <w:pPr>
              <w:jc w:val="right"/>
              <w:textAlignment w:val="bottom"/>
            </w:pPr>
            <w:r>
              <w:rPr>
                <w:rFonts w:ascii="Arial" w:eastAsia="宋体" w:hAnsi="Arial" w:cs="Arial"/>
                <w:b/>
                <w:bCs/>
                <w:color w:val="000000"/>
                <w:sz w:val="12"/>
                <w:szCs w:val="12"/>
              </w:rPr>
              <w:t>64,940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2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29" w14:textId="77777777" w:rsidR="00980E5F" w:rsidRDefault="00483613">
            <w:pPr>
              <w:jc w:val="right"/>
              <w:textAlignment w:val="bottom"/>
            </w:pPr>
            <w:r>
              <w:rPr>
                <w:rFonts w:ascii="Arial" w:eastAsia="宋体" w:hAnsi="Arial" w:cs="Arial"/>
                <w:b/>
                <w:bCs/>
                <w:color w:val="000000"/>
                <w:sz w:val="12"/>
                <w:szCs w:val="12"/>
              </w:rPr>
              <w:t>281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2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2C" w14:textId="77777777" w:rsidR="00980E5F" w:rsidRDefault="00483613">
            <w:pPr>
              <w:jc w:val="right"/>
              <w:textAlignment w:val="bottom"/>
            </w:pPr>
            <w:r>
              <w:rPr>
                <w:rFonts w:ascii="Arial" w:eastAsia="宋体" w:hAnsi="Arial" w:cs="Arial"/>
                <w:b/>
                <w:bCs/>
                <w:color w:val="000000"/>
                <w:sz w:val="12"/>
                <w:szCs w:val="12"/>
              </w:rPr>
              <w:t>.87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2F" w14:textId="77777777" w:rsidR="00980E5F" w:rsidRDefault="00483613">
            <w:pPr>
              <w:jc w:val="right"/>
              <w:textAlignment w:val="bottom"/>
            </w:pPr>
            <w:r>
              <w:rPr>
                <w:rFonts w:ascii="Arial" w:eastAsia="宋体" w:hAnsi="Arial" w:cs="Arial"/>
                <w:color w:val="000000"/>
                <w:sz w:val="12"/>
                <w:szCs w:val="12"/>
              </w:rPr>
              <w:t>62,728 </w:t>
            </w:r>
          </w:p>
        </w:tc>
        <w:tc>
          <w:tcPr>
            <w:tcW w:w="0" w:type="auto"/>
            <w:shd w:val="clear" w:color="auto" w:fill="CCEEFF"/>
            <w:tcMar>
              <w:top w:w="40" w:type="dxa"/>
              <w:left w:w="0" w:type="dxa"/>
              <w:bottom w:w="40" w:type="dxa"/>
              <w:right w:w="20" w:type="dxa"/>
            </w:tcMar>
            <w:vAlign w:val="bottom"/>
          </w:tcPr>
          <w:p w14:paraId="392C00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32" w14:textId="77777777" w:rsidR="00980E5F" w:rsidRDefault="00483613">
            <w:pPr>
              <w:jc w:val="right"/>
              <w:textAlignment w:val="bottom"/>
            </w:pPr>
            <w:r>
              <w:rPr>
                <w:rFonts w:ascii="Arial" w:eastAsia="宋体" w:hAnsi="Arial" w:cs="Arial"/>
                <w:color w:val="000000"/>
                <w:sz w:val="12"/>
                <w:szCs w:val="12"/>
              </w:rPr>
              <w:t>285 </w:t>
            </w:r>
          </w:p>
        </w:tc>
        <w:tc>
          <w:tcPr>
            <w:tcW w:w="0" w:type="auto"/>
            <w:shd w:val="clear" w:color="auto" w:fill="CCEEFF"/>
            <w:tcMar>
              <w:top w:w="40" w:type="dxa"/>
              <w:left w:w="0" w:type="dxa"/>
              <w:bottom w:w="40" w:type="dxa"/>
              <w:right w:w="20" w:type="dxa"/>
            </w:tcMar>
            <w:vAlign w:val="bottom"/>
          </w:tcPr>
          <w:p w14:paraId="392C00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35" w14:textId="77777777" w:rsidR="00980E5F" w:rsidRDefault="00483613">
            <w:pPr>
              <w:jc w:val="right"/>
              <w:textAlignment w:val="bottom"/>
            </w:pPr>
            <w:r>
              <w:rPr>
                <w:rFonts w:ascii="Arial" w:eastAsia="宋体" w:hAnsi="Arial" w:cs="Arial"/>
                <w:color w:val="000000"/>
                <w:sz w:val="12"/>
                <w:szCs w:val="12"/>
              </w:rPr>
              <w:t>.91 </w:t>
            </w:r>
          </w:p>
        </w:tc>
        <w:tc>
          <w:tcPr>
            <w:tcW w:w="0" w:type="auto"/>
            <w:shd w:val="clear" w:color="auto" w:fill="CCEEFF"/>
            <w:tcMar>
              <w:top w:w="40" w:type="dxa"/>
              <w:left w:w="0" w:type="dxa"/>
              <w:bottom w:w="40" w:type="dxa"/>
              <w:right w:w="20" w:type="dxa"/>
            </w:tcMar>
            <w:vAlign w:val="bottom"/>
          </w:tcPr>
          <w:p w14:paraId="392C0036" w14:textId="77777777" w:rsidR="00980E5F" w:rsidRDefault="00980E5F">
            <w:pPr>
              <w:jc w:val="right"/>
              <w:rPr>
                <w:rFonts w:ascii="宋体"/>
              </w:rPr>
            </w:pPr>
          </w:p>
        </w:tc>
        <w:tc>
          <w:tcPr>
            <w:tcW w:w="0" w:type="auto"/>
            <w:shd w:val="clear" w:color="auto" w:fill="auto"/>
            <w:vAlign w:val="bottom"/>
          </w:tcPr>
          <w:p w14:paraId="392C0037" w14:textId="77777777" w:rsidR="00980E5F" w:rsidRDefault="00980E5F">
            <w:pPr>
              <w:rPr>
                <w:rFonts w:ascii="宋体"/>
                <w:vanish/>
              </w:rPr>
            </w:pPr>
          </w:p>
        </w:tc>
        <w:tc>
          <w:tcPr>
            <w:tcW w:w="0" w:type="auto"/>
            <w:shd w:val="clear" w:color="auto" w:fill="auto"/>
            <w:vAlign w:val="bottom"/>
          </w:tcPr>
          <w:p w14:paraId="392C0038" w14:textId="77777777" w:rsidR="00980E5F" w:rsidRDefault="00980E5F">
            <w:pPr>
              <w:rPr>
                <w:rFonts w:ascii="宋体"/>
                <w:vanish/>
              </w:rPr>
            </w:pPr>
          </w:p>
        </w:tc>
        <w:tc>
          <w:tcPr>
            <w:tcW w:w="0" w:type="auto"/>
            <w:shd w:val="clear" w:color="auto" w:fill="auto"/>
            <w:vAlign w:val="bottom"/>
          </w:tcPr>
          <w:p w14:paraId="392C0039" w14:textId="77777777" w:rsidR="00980E5F" w:rsidRDefault="00980E5F">
            <w:pPr>
              <w:rPr>
                <w:rFonts w:ascii="宋体"/>
                <w:vanish/>
              </w:rPr>
            </w:pPr>
          </w:p>
        </w:tc>
        <w:tc>
          <w:tcPr>
            <w:tcW w:w="0" w:type="auto"/>
            <w:shd w:val="clear" w:color="auto" w:fill="auto"/>
            <w:vAlign w:val="bottom"/>
          </w:tcPr>
          <w:p w14:paraId="392C003A" w14:textId="77777777" w:rsidR="00980E5F" w:rsidRDefault="00980E5F">
            <w:pPr>
              <w:rPr>
                <w:rFonts w:ascii="宋体"/>
                <w:vanish/>
              </w:rPr>
            </w:pPr>
          </w:p>
        </w:tc>
        <w:tc>
          <w:tcPr>
            <w:tcW w:w="0" w:type="auto"/>
            <w:gridSpan w:val="3"/>
            <w:shd w:val="clear" w:color="auto" w:fill="auto"/>
            <w:vAlign w:val="bottom"/>
          </w:tcPr>
          <w:p w14:paraId="392C003B" w14:textId="77777777" w:rsidR="00980E5F" w:rsidRDefault="00980E5F">
            <w:pPr>
              <w:rPr>
                <w:rFonts w:ascii="宋体"/>
                <w:vanish/>
              </w:rPr>
            </w:pPr>
          </w:p>
        </w:tc>
        <w:tc>
          <w:tcPr>
            <w:tcW w:w="0" w:type="auto"/>
            <w:gridSpan w:val="3"/>
            <w:shd w:val="clear" w:color="auto" w:fill="auto"/>
            <w:vAlign w:val="bottom"/>
          </w:tcPr>
          <w:p w14:paraId="392C003C" w14:textId="77777777" w:rsidR="00980E5F" w:rsidRDefault="00980E5F">
            <w:pPr>
              <w:rPr>
                <w:rFonts w:ascii="宋体"/>
                <w:vanish/>
              </w:rPr>
            </w:pPr>
          </w:p>
        </w:tc>
        <w:tc>
          <w:tcPr>
            <w:tcW w:w="0" w:type="auto"/>
            <w:gridSpan w:val="3"/>
            <w:shd w:val="clear" w:color="auto" w:fill="auto"/>
            <w:vAlign w:val="bottom"/>
          </w:tcPr>
          <w:p w14:paraId="392C003D" w14:textId="77777777" w:rsidR="00980E5F" w:rsidRDefault="00980E5F">
            <w:pPr>
              <w:rPr>
                <w:rFonts w:ascii="宋体"/>
                <w:vanish/>
              </w:rPr>
            </w:pPr>
          </w:p>
        </w:tc>
        <w:tc>
          <w:tcPr>
            <w:tcW w:w="0" w:type="auto"/>
            <w:gridSpan w:val="3"/>
            <w:shd w:val="clear" w:color="auto" w:fill="auto"/>
            <w:vAlign w:val="bottom"/>
          </w:tcPr>
          <w:p w14:paraId="392C003E" w14:textId="77777777" w:rsidR="00980E5F" w:rsidRDefault="00980E5F">
            <w:pPr>
              <w:rPr>
                <w:rFonts w:ascii="宋体"/>
                <w:vanish/>
              </w:rPr>
            </w:pPr>
          </w:p>
        </w:tc>
        <w:tc>
          <w:tcPr>
            <w:tcW w:w="0" w:type="auto"/>
            <w:gridSpan w:val="2"/>
            <w:shd w:val="clear" w:color="auto" w:fill="auto"/>
            <w:vAlign w:val="bottom"/>
          </w:tcPr>
          <w:p w14:paraId="392C003F" w14:textId="77777777" w:rsidR="00980E5F" w:rsidRDefault="00980E5F">
            <w:pPr>
              <w:rPr>
                <w:rFonts w:ascii="宋体"/>
                <w:vanish/>
              </w:rPr>
            </w:pPr>
          </w:p>
        </w:tc>
        <w:tc>
          <w:tcPr>
            <w:tcW w:w="0" w:type="auto"/>
            <w:shd w:val="clear" w:color="auto" w:fill="auto"/>
            <w:vAlign w:val="bottom"/>
          </w:tcPr>
          <w:p w14:paraId="392C0040" w14:textId="77777777" w:rsidR="00980E5F" w:rsidRDefault="00980E5F">
            <w:pPr>
              <w:rPr>
                <w:rFonts w:ascii="宋体"/>
                <w:vanish/>
              </w:rPr>
            </w:pPr>
          </w:p>
        </w:tc>
      </w:tr>
      <w:tr w:rsidR="00980E5F" w14:paraId="392C005E" w14:textId="77777777">
        <w:tc>
          <w:tcPr>
            <w:tcW w:w="0" w:type="auto"/>
            <w:gridSpan w:val="3"/>
            <w:shd w:val="clear" w:color="auto" w:fill="FFFFFF"/>
            <w:tcMar>
              <w:top w:w="40" w:type="dxa"/>
              <w:left w:w="20" w:type="dxa"/>
              <w:bottom w:w="40" w:type="dxa"/>
              <w:right w:w="20" w:type="dxa"/>
            </w:tcMar>
            <w:vAlign w:val="bottom"/>
          </w:tcPr>
          <w:p w14:paraId="392C0042" w14:textId="77777777" w:rsidR="00980E5F" w:rsidRDefault="00483613">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392C0043" w14:textId="77777777" w:rsidR="00980E5F" w:rsidRDefault="00483613">
            <w:pPr>
              <w:jc w:val="right"/>
              <w:textAlignment w:val="bottom"/>
            </w:pPr>
            <w:r>
              <w:rPr>
                <w:rFonts w:ascii="Arial" w:eastAsia="宋体" w:hAnsi="Arial" w:cs="Arial"/>
                <w:b/>
                <w:bCs/>
                <w:color w:val="000000"/>
                <w:sz w:val="12"/>
                <w:szCs w:val="12"/>
              </w:rPr>
              <w:t>51,653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46" w14:textId="77777777" w:rsidR="00980E5F" w:rsidRDefault="00483613">
            <w:pPr>
              <w:jc w:val="right"/>
              <w:textAlignment w:val="bottom"/>
            </w:pPr>
            <w:r>
              <w:rPr>
                <w:rFonts w:ascii="Arial" w:eastAsia="宋体" w:hAnsi="Arial" w:cs="Arial"/>
                <w:b/>
                <w:bCs/>
                <w:color w:val="000000"/>
                <w:sz w:val="12"/>
                <w:szCs w:val="12"/>
              </w:rPr>
              <w:t>40</w:t>
            </w: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49" w14:textId="77777777" w:rsidR="00980E5F" w:rsidRDefault="00483613">
            <w:pPr>
              <w:jc w:val="right"/>
              <w:textAlignment w:val="bottom"/>
            </w:pPr>
            <w:r>
              <w:rPr>
                <w:rFonts w:ascii="Arial" w:eastAsia="宋体" w:hAnsi="Arial" w:cs="Arial"/>
                <w:b/>
                <w:bCs/>
                <w:color w:val="000000"/>
                <w:sz w:val="12"/>
                <w:szCs w:val="12"/>
              </w:rPr>
              <w:t>1.55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4C" w14:textId="77777777" w:rsidR="00980E5F" w:rsidRDefault="00483613">
            <w:pPr>
              <w:jc w:val="right"/>
              <w:textAlignment w:val="bottom"/>
            </w:pPr>
            <w:r>
              <w:rPr>
                <w:rFonts w:ascii="Arial" w:eastAsia="宋体" w:hAnsi="Arial" w:cs="Arial"/>
                <w:color w:val="000000"/>
                <w:sz w:val="12"/>
                <w:szCs w:val="12"/>
              </w:rPr>
              <w:t>46,294 </w:t>
            </w:r>
          </w:p>
        </w:tc>
        <w:tc>
          <w:tcPr>
            <w:tcW w:w="0" w:type="auto"/>
            <w:shd w:val="clear" w:color="auto" w:fill="FFFFFF"/>
            <w:tcMar>
              <w:top w:w="40" w:type="dxa"/>
              <w:left w:w="0" w:type="dxa"/>
              <w:bottom w:w="40" w:type="dxa"/>
              <w:right w:w="20" w:type="dxa"/>
            </w:tcMar>
            <w:vAlign w:val="bottom"/>
          </w:tcPr>
          <w:p w14:paraId="392C00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4F" w14:textId="77777777" w:rsidR="00980E5F" w:rsidRDefault="00483613">
            <w:pPr>
              <w:jc w:val="right"/>
              <w:textAlignment w:val="bottom"/>
            </w:pPr>
            <w:r>
              <w:rPr>
                <w:rFonts w:ascii="Arial" w:eastAsia="宋体" w:hAnsi="Arial" w:cs="Arial"/>
                <w:color w:val="000000"/>
                <w:sz w:val="12"/>
                <w:szCs w:val="12"/>
              </w:rPr>
              <w:t>349 </w:t>
            </w:r>
          </w:p>
        </w:tc>
        <w:tc>
          <w:tcPr>
            <w:tcW w:w="0" w:type="auto"/>
            <w:shd w:val="clear" w:color="auto" w:fill="FFFFFF"/>
            <w:tcMar>
              <w:top w:w="40" w:type="dxa"/>
              <w:left w:w="0" w:type="dxa"/>
              <w:bottom w:w="40" w:type="dxa"/>
              <w:right w:w="20" w:type="dxa"/>
            </w:tcMar>
            <w:vAlign w:val="bottom"/>
          </w:tcPr>
          <w:p w14:paraId="392C00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52" w14:textId="77777777" w:rsidR="00980E5F" w:rsidRDefault="00483613">
            <w:pPr>
              <w:jc w:val="right"/>
              <w:textAlignment w:val="bottom"/>
            </w:pPr>
            <w:r>
              <w:rPr>
                <w:rFonts w:ascii="Arial" w:eastAsia="宋体" w:hAnsi="Arial" w:cs="Arial"/>
                <w:color w:val="000000"/>
                <w:sz w:val="12"/>
                <w:szCs w:val="12"/>
              </w:rPr>
              <w:t>1.51 </w:t>
            </w:r>
          </w:p>
        </w:tc>
        <w:tc>
          <w:tcPr>
            <w:tcW w:w="0" w:type="auto"/>
            <w:shd w:val="clear" w:color="auto" w:fill="FFFFFF"/>
            <w:tcMar>
              <w:top w:w="40" w:type="dxa"/>
              <w:left w:w="0" w:type="dxa"/>
              <w:bottom w:w="40" w:type="dxa"/>
              <w:right w:w="20" w:type="dxa"/>
            </w:tcMar>
            <w:vAlign w:val="bottom"/>
          </w:tcPr>
          <w:p w14:paraId="392C0053" w14:textId="77777777" w:rsidR="00980E5F" w:rsidRDefault="00980E5F">
            <w:pPr>
              <w:jc w:val="right"/>
              <w:rPr>
                <w:rFonts w:ascii="宋体"/>
              </w:rPr>
            </w:pPr>
          </w:p>
        </w:tc>
        <w:tc>
          <w:tcPr>
            <w:tcW w:w="0" w:type="auto"/>
            <w:shd w:val="clear" w:color="auto" w:fill="auto"/>
            <w:vAlign w:val="bottom"/>
          </w:tcPr>
          <w:p w14:paraId="392C0054" w14:textId="77777777" w:rsidR="00980E5F" w:rsidRDefault="00980E5F">
            <w:pPr>
              <w:rPr>
                <w:rFonts w:ascii="宋体"/>
                <w:vanish/>
              </w:rPr>
            </w:pPr>
          </w:p>
        </w:tc>
        <w:tc>
          <w:tcPr>
            <w:tcW w:w="0" w:type="auto"/>
            <w:shd w:val="clear" w:color="auto" w:fill="auto"/>
            <w:vAlign w:val="bottom"/>
          </w:tcPr>
          <w:p w14:paraId="392C0055" w14:textId="77777777" w:rsidR="00980E5F" w:rsidRDefault="00980E5F">
            <w:pPr>
              <w:rPr>
                <w:rFonts w:ascii="宋体"/>
                <w:vanish/>
              </w:rPr>
            </w:pPr>
          </w:p>
        </w:tc>
        <w:tc>
          <w:tcPr>
            <w:tcW w:w="0" w:type="auto"/>
            <w:shd w:val="clear" w:color="auto" w:fill="auto"/>
            <w:vAlign w:val="bottom"/>
          </w:tcPr>
          <w:p w14:paraId="392C0056" w14:textId="77777777" w:rsidR="00980E5F" w:rsidRDefault="00980E5F">
            <w:pPr>
              <w:rPr>
                <w:rFonts w:ascii="宋体"/>
                <w:vanish/>
              </w:rPr>
            </w:pPr>
          </w:p>
        </w:tc>
        <w:tc>
          <w:tcPr>
            <w:tcW w:w="0" w:type="auto"/>
            <w:shd w:val="clear" w:color="auto" w:fill="auto"/>
            <w:vAlign w:val="bottom"/>
          </w:tcPr>
          <w:p w14:paraId="392C0057" w14:textId="77777777" w:rsidR="00980E5F" w:rsidRDefault="00980E5F">
            <w:pPr>
              <w:rPr>
                <w:rFonts w:ascii="宋体"/>
                <w:vanish/>
              </w:rPr>
            </w:pPr>
          </w:p>
        </w:tc>
        <w:tc>
          <w:tcPr>
            <w:tcW w:w="0" w:type="auto"/>
            <w:gridSpan w:val="3"/>
            <w:shd w:val="clear" w:color="auto" w:fill="auto"/>
            <w:vAlign w:val="bottom"/>
          </w:tcPr>
          <w:p w14:paraId="392C0058" w14:textId="77777777" w:rsidR="00980E5F" w:rsidRDefault="00980E5F">
            <w:pPr>
              <w:rPr>
                <w:rFonts w:ascii="宋体"/>
                <w:vanish/>
              </w:rPr>
            </w:pPr>
          </w:p>
        </w:tc>
        <w:tc>
          <w:tcPr>
            <w:tcW w:w="0" w:type="auto"/>
            <w:gridSpan w:val="3"/>
            <w:shd w:val="clear" w:color="auto" w:fill="auto"/>
            <w:vAlign w:val="bottom"/>
          </w:tcPr>
          <w:p w14:paraId="392C0059" w14:textId="77777777" w:rsidR="00980E5F" w:rsidRDefault="00980E5F">
            <w:pPr>
              <w:rPr>
                <w:rFonts w:ascii="宋体"/>
                <w:vanish/>
              </w:rPr>
            </w:pPr>
          </w:p>
        </w:tc>
        <w:tc>
          <w:tcPr>
            <w:tcW w:w="0" w:type="auto"/>
            <w:gridSpan w:val="3"/>
            <w:shd w:val="clear" w:color="auto" w:fill="auto"/>
            <w:vAlign w:val="bottom"/>
          </w:tcPr>
          <w:p w14:paraId="392C005A" w14:textId="77777777" w:rsidR="00980E5F" w:rsidRDefault="00980E5F">
            <w:pPr>
              <w:rPr>
                <w:rFonts w:ascii="宋体"/>
                <w:vanish/>
              </w:rPr>
            </w:pPr>
          </w:p>
        </w:tc>
        <w:tc>
          <w:tcPr>
            <w:tcW w:w="0" w:type="auto"/>
            <w:gridSpan w:val="3"/>
            <w:shd w:val="clear" w:color="auto" w:fill="auto"/>
            <w:vAlign w:val="bottom"/>
          </w:tcPr>
          <w:p w14:paraId="392C005B" w14:textId="77777777" w:rsidR="00980E5F" w:rsidRDefault="00980E5F">
            <w:pPr>
              <w:rPr>
                <w:rFonts w:ascii="宋体"/>
                <w:vanish/>
              </w:rPr>
            </w:pPr>
          </w:p>
        </w:tc>
        <w:tc>
          <w:tcPr>
            <w:tcW w:w="0" w:type="auto"/>
            <w:gridSpan w:val="2"/>
            <w:shd w:val="clear" w:color="auto" w:fill="auto"/>
            <w:vAlign w:val="bottom"/>
          </w:tcPr>
          <w:p w14:paraId="392C005C" w14:textId="77777777" w:rsidR="00980E5F" w:rsidRDefault="00980E5F">
            <w:pPr>
              <w:rPr>
                <w:rFonts w:ascii="宋体"/>
                <w:vanish/>
              </w:rPr>
            </w:pPr>
          </w:p>
        </w:tc>
        <w:tc>
          <w:tcPr>
            <w:tcW w:w="0" w:type="auto"/>
            <w:shd w:val="clear" w:color="auto" w:fill="auto"/>
            <w:vAlign w:val="bottom"/>
          </w:tcPr>
          <w:p w14:paraId="392C005D" w14:textId="77777777" w:rsidR="00980E5F" w:rsidRDefault="00980E5F">
            <w:pPr>
              <w:rPr>
                <w:rFonts w:ascii="宋体"/>
                <w:vanish/>
              </w:rPr>
            </w:pPr>
          </w:p>
        </w:tc>
      </w:tr>
      <w:tr w:rsidR="00980E5F" w14:paraId="392C007B" w14:textId="77777777">
        <w:tc>
          <w:tcPr>
            <w:tcW w:w="0" w:type="auto"/>
            <w:gridSpan w:val="3"/>
            <w:shd w:val="clear" w:color="auto" w:fill="CCEEFF"/>
            <w:tcMar>
              <w:top w:w="40" w:type="dxa"/>
              <w:left w:w="20" w:type="dxa"/>
              <w:bottom w:w="40" w:type="dxa"/>
              <w:right w:w="20" w:type="dxa"/>
            </w:tcMar>
            <w:vAlign w:val="bottom"/>
          </w:tcPr>
          <w:p w14:paraId="392C005F" w14:textId="77777777" w:rsidR="00980E5F" w:rsidRDefault="00483613">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392C0060"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6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63"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66"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69" w14:textId="77777777" w:rsidR="00980E5F" w:rsidRDefault="00483613">
            <w:pPr>
              <w:jc w:val="right"/>
              <w:textAlignment w:val="bottom"/>
            </w:pPr>
            <w:r>
              <w:rPr>
                <w:rFonts w:ascii="Arial" w:eastAsia="宋体" w:hAnsi="Arial" w:cs="Arial"/>
                <w:color w:val="000000"/>
                <w:sz w:val="12"/>
                <w:szCs w:val="12"/>
              </w:rPr>
              <w:t>634 </w:t>
            </w:r>
          </w:p>
        </w:tc>
        <w:tc>
          <w:tcPr>
            <w:tcW w:w="0" w:type="auto"/>
            <w:shd w:val="clear" w:color="auto" w:fill="CCEEFF"/>
            <w:tcMar>
              <w:top w:w="40" w:type="dxa"/>
              <w:left w:w="0" w:type="dxa"/>
              <w:bottom w:w="40" w:type="dxa"/>
              <w:right w:w="20" w:type="dxa"/>
            </w:tcMar>
            <w:vAlign w:val="bottom"/>
          </w:tcPr>
          <w:p w14:paraId="392C00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6C" w14:textId="77777777" w:rsidR="00980E5F" w:rsidRDefault="00483613">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392C00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6F" w14:textId="77777777" w:rsidR="00980E5F" w:rsidRDefault="00483613">
            <w:pPr>
              <w:jc w:val="right"/>
              <w:textAlignment w:val="bottom"/>
            </w:pPr>
            <w:r>
              <w:rPr>
                <w:rFonts w:ascii="Arial" w:eastAsia="宋体" w:hAnsi="Arial" w:cs="Arial"/>
                <w:color w:val="000000"/>
                <w:sz w:val="12"/>
                <w:szCs w:val="12"/>
              </w:rPr>
              <w:t>1.35 </w:t>
            </w:r>
          </w:p>
        </w:tc>
        <w:tc>
          <w:tcPr>
            <w:tcW w:w="0" w:type="auto"/>
            <w:shd w:val="clear" w:color="auto" w:fill="CCEEFF"/>
            <w:tcMar>
              <w:top w:w="40" w:type="dxa"/>
              <w:left w:w="0" w:type="dxa"/>
              <w:bottom w:w="40" w:type="dxa"/>
              <w:right w:w="20" w:type="dxa"/>
            </w:tcMar>
            <w:vAlign w:val="bottom"/>
          </w:tcPr>
          <w:p w14:paraId="392C0070" w14:textId="77777777" w:rsidR="00980E5F" w:rsidRDefault="00980E5F">
            <w:pPr>
              <w:jc w:val="right"/>
              <w:rPr>
                <w:rFonts w:ascii="宋体"/>
              </w:rPr>
            </w:pPr>
          </w:p>
        </w:tc>
        <w:tc>
          <w:tcPr>
            <w:tcW w:w="0" w:type="auto"/>
            <w:shd w:val="clear" w:color="auto" w:fill="auto"/>
            <w:vAlign w:val="bottom"/>
          </w:tcPr>
          <w:p w14:paraId="392C0071" w14:textId="77777777" w:rsidR="00980E5F" w:rsidRDefault="00980E5F">
            <w:pPr>
              <w:rPr>
                <w:rFonts w:ascii="宋体"/>
                <w:vanish/>
              </w:rPr>
            </w:pPr>
          </w:p>
        </w:tc>
        <w:tc>
          <w:tcPr>
            <w:tcW w:w="0" w:type="auto"/>
            <w:shd w:val="clear" w:color="auto" w:fill="auto"/>
            <w:vAlign w:val="bottom"/>
          </w:tcPr>
          <w:p w14:paraId="392C0072" w14:textId="77777777" w:rsidR="00980E5F" w:rsidRDefault="00980E5F">
            <w:pPr>
              <w:rPr>
                <w:rFonts w:ascii="宋体"/>
                <w:vanish/>
              </w:rPr>
            </w:pPr>
          </w:p>
        </w:tc>
        <w:tc>
          <w:tcPr>
            <w:tcW w:w="0" w:type="auto"/>
            <w:shd w:val="clear" w:color="auto" w:fill="auto"/>
            <w:vAlign w:val="bottom"/>
          </w:tcPr>
          <w:p w14:paraId="392C0073" w14:textId="77777777" w:rsidR="00980E5F" w:rsidRDefault="00980E5F">
            <w:pPr>
              <w:rPr>
                <w:rFonts w:ascii="宋体"/>
                <w:vanish/>
              </w:rPr>
            </w:pPr>
          </w:p>
        </w:tc>
        <w:tc>
          <w:tcPr>
            <w:tcW w:w="0" w:type="auto"/>
            <w:shd w:val="clear" w:color="auto" w:fill="auto"/>
            <w:vAlign w:val="bottom"/>
          </w:tcPr>
          <w:p w14:paraId="392C0074" w14:textId="77777777" w:rsidR="00980E5F" w:rsidRDefault="00980E5F">
            <w:pPr>
              <w:rPr>
                <w:rFonts w:ascii="宋体"/>
                <w:vanish/>
              </w:rPr>
            </w:pPr>
          </w:p>
        </w:tc>
        <w:tc>
          <w:tcPr>
            <w:tcW w:w="0" w:type="auto"/>
            <w:gridSpan w:val="3"/>
            <w:shd w:val="clear" w:color="auto" w:fill="auto"/>
            <w:vAlign w:val="bottom"/>
          </w:tcPr>
          <w:p w14:paraId="392C0075" w14:textId="77777777" w:rsidR="00980E5F" w:rsidRDefault="00980E5F">
            <w:pPr>
              <w:rPr>
                <w:rFonts w:ascii="宋体"/>
                <w:vanish/>
              </w:rPr>
            </w:pPr>
          </w:p>
        </w:tc>
        <w:tc>
          <w:tcPr>
            <w:tcW w:w="0" w:type="auto"/>
            <w:gridSpan w:val="3"/>
            <w:shd w:val="clear" w:color="auto" w:fill="auto"/>
            <w:vAlign w:val="bottom"/>
          </w:tcPr>
          <w:p w14:paraId="392C0076" w14:textId="77777777" w:rsidR="00980E5F" w:rsidRDefault="00980E5F">
            <w:pPr>
              <w:rPr>
                <w:rFonts w:ascii="宋体"/>
                <w:vanish/>
              </w:rPr>
            </w:pPr>
          </w:p>
        </w:tc>
        <w:tc>
          <w:tcPr>
            <w:tcW w:w="0" w:type="auto"/>
            <w:gridSpan w:val="3"/>
            <w:shd w:val="clear" w:color="auto" w:fill="auto"/>
            <w:vAlign w:val="bottom"/>
          </w:tcPr>
          <w:p w14:paraId="392C0077" w14:textId="77777777" w:rsidR="00980E5F" w:rsidRDefault="00980E5F">
            <w:pPr>
              <w:rPr>
                <w:rFonts w:ascii="宋体"/>
                <w:vanish/>
              </w:rPr>
            </w:pPr>
          </w:p>
        </w:tc>
        <w:tc>
          <w:tcPr>
            <w:tcW w:w="0" w:type="auto"/>
            <w:gridSpan w:val="3"/>
            <w:shd w:val="clear" w:color="auto" w:fill="auto"/>
            <w:vAlign w:val="bottom"/>
          </w:tcPr>
          <w:p w14:paraId="392C0078" w14:textId="77777777" w:rsidR="00980E5F" w:rsidRDefault="00980E5F">
            <w:pPr>
              <w:rPr>
                <w:rFonts w:ascii="宋体"/>
                <w:vanish/>
              </w:rPr>
            </w:pPr>
          </w:p>
        </w:tc>
        <w:tc>
          <w:tcPr>
            <w:tcW w:w="0" w:type="auto"/>
            <w:gridSpan w:val="2"/>
            <w:shd w:val="clear" w:color="auto" w:fill="auto"/>
            <w:vAlign w:val="bottom"/>
          </w:tcPr>
          <w:p w14:paraId="392C0079" w14:textId="77777777" w:rsidR="00980E5F" w:rsidRDefault="00980E5F">
            <w:pPr>
              <w:rPr>
                <w:rFonts w:ascii="宋体"/>
                <w:vanish/>
              </w:rPr>
            </w:pPr>
          </w:p>
        </w:tc>
        <w:tc>
          <w:tcPr>
            <w:tcW w:w="0" w:type="auto"/>
            <w:shd w:val="clear" w:color="auto" w:fill="auto"/>
            <w:vAlign w:val="bottom"/>
          </w:tcPr>
          <w:p w14:paraId="392C007A" w14:textId="77777777" w:rsidR="00980E5F" w:rsidRDefault="00980E5F">
            <w:pPr>
              <w:rPr>
                <w:rFonts w:ascii="宋体"/>
                <w:vanish/>
              </w:rPr>
            </w:pPr>
          </w:p>
        </w:tc>
      </w:tr>
      <w:tr w:rsidR="00980E5F" w14:paraId="392C0098" w14:textId="77777777">
        <w:tc>
          <w:tcPr>
            <w:tcW w:w="0" w:type="auto"/>
            <w:gridSpan w:val="3"/>
            <w:shd w:val="clear" w:color="auto" w:fill="FFFFFF"/>
            <w:tcMar>
              <w:top w:w="40" w:type="dxa"/>
              <w:left w:w="20" w:type="dxa"/>
              <w:bottom w:w="40" w:type="dxa"/>
              <w:right w:w="20" w:type="dxa"/>
            </w:tcMar>
            <w:vAlign w:val="bottom"/>
          </w:tcPr>
          <w:p w14:paraId="392C007C" w14:textId="77777777" w:rsidR="00980E5F" w:rsidRDefault="00483613">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07D" w14:textId="77777777" w:rsidR="00980E5F" w:rsidRDefault="00483613">
            <w:pPr>
              <w:jc w:val="right"/>
              <w:textAlignment w:val="bottom"/>
            </w:pPr>
            <w:r>
              <w:rPr>
                <w:rFonts w:ascii="Arial" w:eastAsia="宋体" w:hAnsi="Arial" w:cs="Arial"/>
                <w:b/>
                <w:bCs/>
                <w:color w:val="000000"/>
                <w:sz w:val="12"/>
                <w:szCs w:val="12"/>
              </w:rPr>
              <w:t>116,593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0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7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080" w14:textId="77777777" w:rsidR="00980E5F" w:rsidRDefault="00483613">
            <w:pPr>
              <w:jc w:val="right"/>
              <w:textAlignment w:val="bottom"/>
            </w:pPr>
            <w:r>
              <w:rPr>
                <w:rFonts w:ascii="Arial" w:eastAsia="宋体" w:hAnsi="Arial" w:cs="Arial"/>
                <w:b/>
                <w:bCs/>
                <w:color w:val="000000"/>
                <w:sz w:val="12"/>
                <w:szCs w:val="12"/>
              </w:rPr>
              <w:t>682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0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83" w14:textId="77777777" w:rsidR="00980E5F" w:rsidRDefault="00483613">
            <w:pPr>
              <w:jc w:val="right"/>
              <w:textAlignment w:val="bottom"/>
            </w:pPr>
            <w:r>
              <w:rPr>
                <w:rFonts w:ascii="Arial" w:eastAsia="宋体" w:hAnsi="Arial" w:cs="Arial"/>
                <w:b/>
                <w:bCs/>
                <w:color w:val="000000"/>
                <w:sz w:val="12"/>
                <w:szCs w:val="12"/>
              </w:rPr>
              <w:t>1.17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8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086" w14:textId="77777777" w:rsidR="00980E5F" w:rsidRDefault="00483613">
            <w:pPr>
              <w:jc w:val="right"/>
              <w:textAlignment w:val="bottom"/>
            </w:pPr>
            <w:r>
              <w:rPr>
                <w:rFonts w:ascii="Arial" w:eastAsia="宋体" w:hAnsi="Arial" w:cs="Arial"/>
                <w:color w:val="000000"/>
                <w:sz w:val="12"/>
                <w:szCs w:val="12"/>
              </w:rPr>
              <w:t>109,656 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0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8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089" w14:textId="77777777" w:rsidR="00980E5F" w:rsidRDefault="00483613">
            <w:pPr>
              <w:jc w:val="right"/>
              <w:textAlignment w:val="bottom"/>
            </w:pPr>
            <w:r>
              <w:rPr>
                <w:rFonts w:ascii="Arial" w:eastAsia="宋体" w:hAnsi="Arial" w:cs="Arial"/>
                <w:color w:val="000000"/>
                <w:sz w:val="12"/>
                <w:szCs w:val="12"/>
              </w:rPr>
              <w:t>638 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0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8C" w14:textId="77777777" w:rsidR="00980E5F" w:rsidRDefault="00483613">
            <w:pPr>
              <w:jc w:val="right"/>
              <w:textAlignment w:val="bottom"/>
            </w:pPr>
            <w:r>
              <w:rPr>
                <w:rFonts w:ascii="Arial" w:eastAsia="宋体" w:hAnsi="Arial" w:cs="Arial"/>
                <w:color w:val="000000"/>
                <w:sz w:val="12"/>
                <w:szCs w:val="12"/>
              </w:rPr>
              <w:t>1.17 </w:t>
            </w:r>
          </w:p>
        </w:tc>
        <w:tc>
          <w:tcPr>
            <w:tcW w:w="0" w:type="auto"/>
            <w:shd w:val="clear" w:color="auto" w:fill="FFFFFF"/>
            <w:tcMar>
              <w:top w:w="40" w:type="dxa"/>
              <w:left w:w="0" w:type="dxa"/>
              <w:bottom w:w="40" w:type="dxa"/>
              <w:right w:w="20" w:type="dxa"/>
            </w:tcMar>
            <w:vAlign w:val="bottom"/>
          </w:tcPr>
          <w:p w14:paraId="392C008D" w14:textId="77777777" w:rsidR="00980E5F" w:rsidRDefault="00980E5F">
            <w:pPr>
              <w:jc w:val="right"/>
              <w:rPr>
                <w:rFonts w:ascii="宋体"/>
              </w:rPr>
            </w:pPr>
          </w:p>
        </w:tc>
        <w:tc>
          <w:tcPr>
            <w:tcW w:w="0" w:type="auto"/>
            <w:shd w:val="clear" w:color="auto" w:fill="auto"/>
            <w:vAlign w:val="bottom"/>
          </w:tcPr>
          <w:p w14:paraId="392C008E" w14:textId="77777777" w:rsidR="00980E5F" w:rsidRDefault="00980E5F">
            <w:pPr>
              <w:rPr>
                <w:rFonts w:ascii="宋体"/>
                <w:vanish/>
              </w:rPr>
            </w:pPr>
          </w:p>
        </w:tc>
        <w:tc>
          <w:tcPr>
            <w:tcW w:w="0" w:type="auto"/>
            <w:shd w:val="clear" w:color="auto" w:fill="auto"/>
            <w:vAlign w:val="bottom"/>
          </w:tcPr>
          <w:p w14:paraId="392C008F" w14:textId="77777777" w:rsidR="00980E5F" w:rsidRDefault="00980E5F">
            <w:pPr>
              <w:rPr>
                <w:rFonts w:ascii="宋体"/>
                <w:vanish/>
              </w:rPr>
            </w:pPr>
          </w:p>
        </w:tc>
        <w:tc>
          <w:tcPr>
            <w:tcW w:w="0" w:type="auto"/>
            <w:shd w:val="clear" w:color="auto" w:fill="auto"/>
            <w:vAlign w:val="bottom"/>
          </w:tcPr>
          <w:p w14:paraId="392C0090" w14:textId="77777777" w:rsidR="00980E5F" w:rsidRDefault="00980E5F">
            <w:pPr>
              <w:rPr>
                <w:rFonts w:ascii="宋体"/>
                <w:vanish/>
              </w:rPr>
            </w:pPr>
          </w:p>
        </w:tc>
        <w:tc>
          <w:tcPr>
            <w:tcW w:w="0" w:type="auto"/>
            <w:shd w:val="clear" w:color="auto" w:fill="auto"/>
            <w:vAlign w:val="bottom"/>
          </w:tcPr>
          <w:p w14:paraId="392C0091" w14:textId="77777777" w:rsidR="00980E5F" w:rsidRDefault="00980E5F">
            <w:pPr>
              <w:rPr>
                <w:rFonts w:ascii="宋体"/>
                <w:vanish/>
              </w:rPr>
            </w:pPr>
          </w:p>
        </w:tc>
        <w:tc>
          <w:tcPr>
            <w:tcW w:w="0" w:type="auto"/>
            <w:gridSpan w:val="3"/>
            <w:shd w:val="clear" w:color="auto" w:fill="auto"/>
            <w:vAlign w:val="bottom"/>
          </w:tcPr>
          <w:p w14:paraId="392C0092" w14:textId="77777777" w:rsidR="00980E5F" w:rsidRDefault="00980E5F">
            <w:pPr>
              <w:rPr>
                <w:rFonts w:ascii="宋体"/>
                <w:vanish/>
              </w:rPr>
            </w:pPr>
          </w:p>
        </w:tc>
        <w:tc>
          <w:tcPr>
            <w:tcW w:w="0" w:type="auto"/>
            <w:gridSpan w:val="3"/>
            <w:shd w:val="clear" w:color="auto" w:fill="auto"/>
            <w:vAlign w:val="bottom"/>
          </w:tcPr>
          <w:p w14:paraId="392C0093" w14:textId="77777777" w:rsidR="00980E5F" w:rsidRDefault="00980E5F">
            <w:pPr>
              <w:rPr>
                <w:rFonts w:ascii="宋体"/>
                <w:vanish/>
              </w:rPr>
            </w:pPr>
          </w:p>
        </w:tc>
        <w:tc>
          <w:tcPr>
            <w:tcW w:w="0" w:type="auto"/>
            <w:gridSpan w:val="3"/>
            <w:shd w:val="clear" w:color="auto" w:fill="auto"/>
            <w:vAlign w:val="bottom"/>
          </w:tcPr>
          <w:p w14:paraId="392C0094" w14:textId="77777777" w:rsidR="00980E5F" w:rsidRDefault="00980E5F">
            <w:pPr>
              <w:rPr>
                <w:rFonts w:ascii="宋体"/>
                <w:vanish/>
              </w:rPr>
            </w:pPr>
          </w:p>
        </w:tc>
        <w:tc>
          <w:tcPr>
            <w:tcW w:w="0" w:type="auto"/>
            <w:gridSpan w:val="3"/>
            <w:shd w:val="clear" w:color="auto" w:fill="auto"/>
            <w:vAlign w:val="bottom"/>
          </w:tcPr>
          <w:p w14:paraId="392C0095" w14:textId="77777777" w:rsidR="00980E5F" w:rsidRDefault="00980E5F">
            <w:pPr>
              <w:rPr>
                <w:rFonts w:ascii="宋体"/>
                <w:vanish/>
              </w:rPr>
            </w:pPr>
          </w:p>
        </w:tc>
        <w:tc>
          <w:tcPr>
            <w:tcW w:w="0" w:type="auto"/>
            <w:gridSpan w:val="2"/>
            <w:shd w:val="clear" w:color="auto" w:fill="auto"/>
            <w:vAlign w:val="bottom"/>
          </w:tcPr>
          <w:p w14:paraId="392C0096" w14:textId="77777777" w:rsidR="00980E5F" w:rsidRDefault="00980E5F">
            <w:pPr>
              <w:rPr>
                <w:rFonts w:ascii="宋体"/>
                <w:vanish/>
              </w:rPr>
            </w:pPr>
          </w:p>
        </w:tc>
        <w:tc>
          <w:tcPr>
            <w:tcW w:w="0" w:type="auto"/>
            <w:shd w:val="clear" w:color="auto" w:fill="auto"/>
            <w:vAlign w:val="bottom"/>
          </w:tcPr>
          <w:p w14:paraId="392C0097" w14:textId="77777777" w:rsidR="00980E5F" w:rsidRDefault="00980E5F">
            <w:pPr>
              <w:rPr>
                <w:rFonts w:ascii="宋体"/>
                <w:vanish/>
              </w:rPr>
            </w:pPr>
          </w:p>
        </w:tc>
      </w:tr>
      <w:tr w:rsidR="00980E5F" w14:paraId="392C00B5" w14:textId="77777777">
        <w:tc>
          <w:tcPr>
            <w:tcW w:w="0" w:type="auto"/>
            <w:gridSpan w:val="3"/>
            <w:shd w:val="clear" w:color="auto" w:fill="CCEEFF"/>
            <w:tcMar>
              <w:top w:w="40" w:type="dxa"/>
              <w:left w:w="20" w:type="dxa"/>
              <w:bottom w:w="40" w:type="dxa"/>
              <w:right w:w="20" w:type="dxa"/>
            </w:tcMar>
            <w:vAlign w:val="bottom"/>
          </w:tcPr>
          <w:p w14:paraId="392C0099" w14:textId="77777777" w:rsidR="00980E5F" w:rsidRDefault="00483613">
            <w:pPr>
              <w:textAlignment w:val="bottom"/>
            </w:pPr>
            <w:r>
              <w:rPr>
                <w:rFonts w:ascii="Arial" w:eastAsia="宋体" w:hAnsi="Arial" w:cs="Arial"/>
                <w:color w:val="000000"/>
                <w:sz w:val="12"/>
                <w:szCs w:val="12"/>
              </w:rPr>
              <w:t xml:space="preserve">Loans </w:t>
            </w:r>
          </w:p>
        </w:tc>
        <w:tc>
          <w:tcPr>
            <w:tcW w:w="0" w:type="auto"/>
            <w:gridSpan w:val="2"/>
            <w:shd w:val="clear" w:color="auto" w:fill="CCEEFF"/>
            <w:tcMar>
              <w:top w:w="40" w:type="dxa"/>
              <w:left w:w="20" w:type="dxa"/>
              <w:bottom w:w="40" w:type="dxa"/>
              <w:right w:w="0" w:type="dxa"/>
            </w:tcMar>
            <w:vAlign w:val="bottom"/>
          </w:tcPr>
          <w:p w14:paraId="392C009A" w14:textId="77777777" w:rsidR="00980E5F" w:rsidRDefault="00483613">
            <w:pPr>
              <w:jc w:val="right"/>
              <w:textAlignment w:val="bottom"/>
            </w:pPr>
            <w:r>
              <w:rPr>
                <w:rFonts w:ascii="Arial" w:eastAsia="宋体" w:hAnsi="Arial" w:cs="Arial"/>
                <w:b/>
                <w:bCs/>
                <w:color w:val="000000"/>
                <w:sz w:val="12"/>
                <w:szCs w:val="12"/>
              </w:rPr>
              <w:t>35,120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9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9D" w14:textId="77777777" w:rsidR="00980E5F" w:rsidRDefault="00483613">
            <w:pPr>
              <w:jc w:val="right"/>
              <w:textAlignment w:val="bottom"/>
            </w:pPr>
            <w:r>
              <w:rPr>
                <w:rFonts w:ascii="Arial" w:eastAsia="宋体" w:hAnsi="Arial" w:cs="Arial"/>
                <w:b/>
                <w:bCs/>
                <w:color w:val="000000"/>
                <w:sz w:val="12"/>
                <w:szCs w:val="12"/>
              </w:rPr>
              <w:t>372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9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A0" w14:textId="77777777" w:rsidR="00980E5F" w:rsidRDefault="00483613">
            <w:pPr>
              <w:jc w:val="right"/>
              <w:textAlignment w:val="bottom"/>
            </w:pPr>
            <w:r>
              <w:rPr>
                <w:rFonts w:ascii="Arial" w:eastAsia="宋体" w:hAnsi="Arial" w:cs="Arial"/>
                <w:b/>
                <w:bCs/>
                <w:color w:val="000000"/>
                <w:sz w:val="12"/>
                <w:szCs w:val="12"/>
              </w:rPr>
              <w:t>2.13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A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A3" w14:textId="77777777" w:rsidR="00980E5F" w:rsidRDefault="00483613">
            <w:pPr>
              <w:jc w:val="right"/>
              <w:textAlignment w:val="bottom"/>
            </w:pPr>
            <w:r>
              <w:rPr>
                <w:rFonts w:ascii="Arial" w:eastAsia="宋体" w:hAnsi="Arial" w:cs="Arial"/>
                <w:color w:val="000000"/>
                <w:sz w:val="12"/>
                <w:szCs w:val="12"/>
              </w:rPr>
              <w:t>28,752 </w:t>
            </w:r>
          </w:p>
        </w:tc>
        <w:tc>
          <w:tcPr>
            <w:tcW w:w="0" w:type="auto"/>
            <w:shd w:val="clear" w:color="auto" w:fill="CCEEFF"/>
            <w:tcMar>
              <w:top w:w="40" w:type="dxa"/>
              <w:left w:w="0" w:type="dxa"/>
              <w:bottom w:w="40" w:type="dxa"/>
              <w:right w:w="20" w:type="dxa"/>
            </w:tcMar>
            <w:vAlign w:val="bottom"/>
          </w:tcPr>
          <w:p w14:paraId="392C00A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A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A6" w14:textId="77777777" w:rsidR="00980E5F" w:rsidRDefault="00483613">
            <w:pPr>
              <w:jc w:val="right"/>
              <w:textAlignment w:val="bottom"/>
            </w:pPr>
            <w:r>
              <w:rPr>
                <w:rFonts w:ascii="Arial" w:eastAsia="宋体" w:hAnsi="Arial" w:cs="Arial"/>
                <w:color w:val="000000"/>
                <w:sz w:val="12"/>
                <w:szCs w:val="12"/>
              </w:rPr>
              <w:t>299 </w:t>
            </w:r>
          </w:p>
        </w:tc>
        <w:tc>
          <w:tcPr>
            <w:tcW w:w="0" w:type="auto"/>
            <w:shd w:val="clear" w:color="auto" w:fill="CCEEFF"/>
            <w:tcMar>
              <w:top w:w="40" w:type="dxa"/>
              <w:left w:w="0" w:type="dxa"/>
              <w:bottom w:w="40" w:type="dxa"/>
              <w:right w:w="20" w:type="dxa"/>
            </w:tcMar>
            <w:vAlign w:val="bottom"/>
          </w:tcPr>
          <w:p w14:paraId="392C00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A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A9" w14:textId="77777777" w:rsidR="00980E5F" w:rsidRDefault="00483613">
            <w:pPr>
              <w:jc w:val="right"/>
              <w:textAlignment w:val="bottom"/>
            </w:pPr>
            <w:r>
              <w:rPr>
                <w:rFonts w:ascii="Arial" w:eastAsia="宋体" w:hAnsi="Arial" w:cs="Arial"/>
                <w:color w:val="000000"/>
                <w:sz w:val="12"/>
                <w:szCs w:val="12"/>
              </w:rPr>
              <w:t>2.10 </w:t>
            </w:r>
          </w:p>
        </w:tc>
        <w:tc>
          <w:tcPr>
            <w:tcW w:w="0" w:type="auto"/>
            <w:shd w:val="clear" w:color="auto" w:fill="CCEEFF"/>
            <w:tcMar>
              <w:top w:w="40" w:type="dxa"/>
              <w:left w:w="0" w:type="dxa"/>
              <w:bottom w:w="40" w:type="dxa"/>
              <w:right w:w="20" w:type="dxa"/>
            </w:tcMar>
            <w:vAlign w:val="bottom"/>
          </w:tcPr>
          <w:p w14:paraId="392C00AA" w14:textId="77777777" w:rsidR="00980E5F" w:rsidRDefault="00980E5F">
            <w:pPr>
              <w:jc w:val="right"/>
              <w:rPr>
                <w:rFonts w:ascii="宋体"/>
              </w:rPr>
            </w:pPr>
          </w:p>
        </w:tc>
        <w:tc>
          <w:tcPr>
            <w:tcW w:w="0" w:type="auto"/>
            <w:shd w:val="clear" w:color="auto" w:fill="auto"/>
            <w:vAlign w:val="bottom"/>
          </w:tcPr>
          <w:p w14:paraId="392C00AB" w14:textId="77777777" w:rsidR="00980E5F" w:rsidRDefault="00980E5F">
            <w:pPr>
              <w:rPr>
                <w:rFonts w:ascii="宋体"/>
                <w:vanish/>
              </w:rPr>
            </w:pPr>
          </w:p>
        </w:tc>
        <w:tc>
          <w:tcPr>
            <w:tcW w:w="0" w:type="auto"/>
            <w:shd w:val="clear" w:color="auto" w:fill="auto"/>
            <w:vAlign w:val="bottom"/>
          </w:tcPr>
          <w:p w14:paraId="392C00AC" w14:textId="77777777" w:rsidR="00980E5F" w:rsidRDefault="00980E5F">
            <w:pPr>
              <w:rPr>
                <w:rFonts w:ascii="宋体"/>
                <w:vanish/>
              </w:rPr>
            </w:pPr>
          </w:p>
        </w:tc>
        <w:tc>
          <w:tcPr>
            <w:tcW w:w="0" w:type="auto"/>
            <w:shd w:val="clear" w:color="auto" w:fill="auto"/>
            <w:vAlign w:val="bottom"/>
          </w:tcPr>
          <w:p w14:paraId="392C00AD" w14:textId="77777777" w:rsidR="00980E5F" w:rsidRDefault="00980E5F">
            <w:pPr>
              <w:rPr>
                <w:rFonts w:ascii="宋体"/>
                <w:vanish/>
              </w:rPr>
            </w:pPr>
          </w:p>
        </w:tc>
        <w:tc>
          <w:tcPr>
            <w:tcW w:w="0" w:type="auto"/>
            <w:shd w:val="clear" w:color="auto" w:fill="auto"/>
            <w:vAlign w:val="bottom"/>
          </w:tcPr>
          <w:p w14:paraId="392C00AE" w14:textId="77777777" w:rsidR="00980E5F" w:rsidRDefault="00980E5F">
            <w:pPr>
              <w:rPr>
                <w:rFonts w:ascii="宋体"/>
                <w:vanish/>
              </w:rPr>
            </w:pPr>
          </w:p>
        </w:tc>
        <w:tc>
          <w:tcPr>
            <w:tcW w:w="0" w:type="auto"/>
            <w:gridSpan w:val="3"/>
            <w:shd w:val="clear" w:color="auto" w:fill="auto"/>
            <w:vAlign w:val="bottom"/>
          </w:tcPr>
          <w:p w14:paraId="392C00AF" w14:textId="77777777" w:rsidR="00980E5F" w:rsidRDefault="00980E5F">
            <w:pPr>
              <w:rPr>
                <w:rFonts w:ascii="宋体"/>
                <w:vanish/>
              </w:rPr>
            </w:pPr>
          </w:p>
        </w:tc>
        <w:tc>
          <w:tcPr>
            <w:tcW w:w="0" w:type="auto"/>
            <w:gridSpan w:val="3"/>
            <w:shd w:val="clear" w:color="auto" w:fill="auto"/>
            <w:vAlign w:val="bottom"/>
          </w:tcPr>
          <w:p w14:paraId="392C00B0" w14:textId="77777777" w:rsidR="00980E5F" w:rsidRDefault="00980E5F">
            <w:pPr>
              <w:rPr>
                <w:rFonts w:ascii="宋体"/>
                <w:vanish/>
              </w:rPr>
            </w:pPr>
          </w:p>
        </w:tc>
        <w:tc>
          <w:tcPr>
            <w:tcW w:w="0" w:type="auto"/>
            <w:gridSpan w:val="3"/>
            <w:shd w:val="clear" w:color="auto" w:fill="auto"/>
            <w:vAlign w:val="bottom"/>
          </w:tcPr>
          <w:p w14:paraId="392C00B1" w14:textId="77777777" w:rsidR="00980E5F" w:rsidRDefault="00980E5F">
            <w:pPr>
              <w:rPr>
                <w:rFonts w:ascii="宋体"/>
                <w:vanish/>
              </w:rPr>
            </w:pPr>
          </w:p>
        </w:tc>
        <w:tc>
          <w:tcPr>
            <w:tcW w:w="0" w:type="auto"/>
            <w:gridSpan w:val="3"/>
            <w:shd w:val="clear" w:color="auto" w:fill="auto"/>
            <w:vAlign w:val="bottom"/>
          </w:tcPr>
          <w:p w14:paraId="392C00B2" w14:textId="77777777" w:rsidR="00980E5F" w:rsidRDefault="00980E5F">
            <w:pPr>
              <w:rPr>
                <w:rFonts w:ascii="宋体"/>
                <w:vanish/>
              </w:rPr>
            </w:pPr>
          </w:p>
        </w:tc>
        <w:tc>
          <w:tcPr>
            <w:tcW w:w="0" w:type="auto"/>
            <w:gridSpan w:val="2"/>
            <w:shd w:val="clear" w:color="auto" w:fill="auto"/>
            <w:vAlign w:val="bottom"/>
          </w:tcPr>
          <w:p w14:paraId="392C00B3" w14:textId="77777777" w:rsidR="00980E5F" w:rsidRDefault="00980E5F">
            <w:pPr>
              <w:rPr>
                <w:rFonts w:ascii="宋体"/>
                <w:vanish/>
              </w:rPr>
            </w:pPr>
          </w:p>
        </w:tc>
        <w:tc>
          <w:tcPr>
            <w:tcW w:w="0" w:type="auto"/>
            <w:shd w:val="clear" w:color="auto" w:fill="auto"/>
            <w:vAlign w:val="bottom"/>
          </w:tcPr>
          <w:p w14:paraId="392C00B4" w14:textId="77777777" w:rsidR="00980E5F" w:rsidRDefault="00980E5F">
            <w:pPr>
              <w:rPr>
                <w:rFonts w:ascii="宋体"/>
                <w:vanish/>
              </w:rPr>
            </w:pPr>
          </w:p>
        </w:tc>
      </w:tr>
      <w:tr w:rsidR="00980E5F" w14:paraId="392C00D2" w14:textId="77777777">
        <w:tc>
          <w:tcPr>
            <w:tcW w:w="0" w:type="auto"/>
            <w:gridSpan w:val="3"/>
            <w:shd w:val="clear" w:color="auto" w:fill="FFFFFF"/>
            <w:tcMar>
              <w:top w:w="40" w:type="dxa"/>
              <w:left w:w="20" w:type="dxa"/>
              <w:bottom w:w="40" w:type="dxa"/>
              <w:right w:w="20" w:type="dxa"/>
            </w:tcMar>
            <w:vAlign w:val="bottom"/>
          </w:tcPr>
          <w:p w14:paraId="392C00B6" w14:textId="77777777" w:rsidR="00980E5F" w:rsidRDefault="00483613">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392C00B7" w14:textId="77777777" w:rsidR="00980E5F" w:rsidRDefault="00483613">
            <w:pPr>
              <w:jc w:val="right"/>
              <w:textAlignment w:val="bottom"/>
            </w:pPr>
            <w:r>
              <w:rPr>
                <w:rFonts w:ascii="Arial" w:eastAsia="宋体" w:hAnsi="Arial" w:cs="Arial"/>
                <w:b/>
                <w:bCs/>
                <w:color w:val="000000"/>
                <w:sz w:val="12"/>
                <w:szCs w:val="12"/>
              </w:rPr>
              <w:t>22,979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BA" w14:textId="77777777" w:rsidR="00980E5F" w:rsidRDefault="00483613">
            <w:pPr>
              <w:jc w:val="right"/>
              <w:textAlignment w:val="bottom"/>
            </w:pPr>
            <w:r>
              <w:rPr>
                <w:rFonts w:ascii="Arial" w:eastAsia="宋体" w:hAnsi="Arial" w:cs="Arial"/>
                <w:b/>
                <w:bCs/>
                <w:color w:val="000000"/>
                <w:sz w:val="12"/>
                <w:szCs w:val="12"/>
              </w:rPr>
              <w:t>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BD" w14:textId="77777777" w:rsidR="00980E5F" w:rsidRDefault="00483613">
            <w:pPr>
              <w:jc w:val="right"/>
              <w:textAlignment w:val="bottom"/>
            </w:pPr>
            <w:r>
              <w:rPr>
                <w:rFonts w:ascii="Arial" w:eastAsia="宋体" w:hAnsi="Arial" w:cs="Arial"/>
                <w:b/>
                <w:bCs/>
                <w:color w:val="000000"/>
                <w:sz w:val="12"/>
                <w:szCs w:val="12"/>
              </w:rPr>
              <w:t>.44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0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C0" w14:textId="77777777" w:rsidR="00980E5F" w:rsidRDefault="00483613">
            <w:pPr>
              <w:jc w:val="right"/>
              <w:textAlignment w:val="bottom"/>
            </w:pPr>
            <w:r>
              <w:rPr>
                <w:rFonts w:ascii="Arial" w:eastAsia="宋体" w:hAnsi="Arial" w:cs="Arial"/>
                <w:color w:val="000000"/>
                <w:sz w:val="12"/>
                <w:szCs w:val="12"/>
              </w:rPr>
              <w:t>19,625 </w:t>
            </w:r>
          </w:p>
        </w:tc>
        <w:tc>
          <w:tcPr>
            <w:tcW w:w="0" w:type="auto"/>
            <w:shd w:val="clear" w:color="auto" w:fill="FFFFFF"/>
            <w:tcMar>
              <w:top w:w="40" w:type="dxa"/>
              <w:left w:w="0" w:type="dxa"/>
              <w:bottom w:w="40" w:type="dxa"/>
              <w:right w:w="20" w:type="dxa"/>
            </w:tcMar>
            <w:vAlign w:val="bottom"/>
          </w:tcPr>
          <w:p w14:paraId="392C00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C3" w14:textId="77777777" w:rsidR="00980E5F" w:rsidRDefault="00483613">
            <w:pPr>
              <w:jc w:val="right"/>
              <w:textAlignment w:val="bottom"/>
            </w:pPr>
            <w:r>
              <w:rPr>
                <w:rFonts w:ascii="Arial" w:eastAsia="宋体" w:hAnsi="Arial" w:cs="Arial"/>
                <w:color w:val="000000"/>
                <w:sz w:val="12"/>
                <w:szCs w:val="12"/>
              </w:rPr>
              <w:t>8 </w:t>
            </w:r>
          </w:p>
        </w:tc>
        <w:tc>
          <w:tcPr>
            <w:tcW w:w="0" w:type="auto"/>
            <w:shd w:val="clear" w:color="auto" w:fill="FFFFFF"/>
            <w:tcMar>
              <w:top w:w="40" w:type="dxa"/>
              <w:left w:w="0" w:type="dxa"/>
              <w:bottom w:w="40" w:type="dxa"/>
              <w:right w:w="20" w:type="dxa"/>
            </w:tcMar>
            <w:vAlign w:val="bottom"/>
          </w:tcPr>
          <w:p w14:paraId="392C00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0C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0C6" w14:textId="77777777" w:rsidR="00980E5F" w:rsidRDefault="00483613">
            <w:pPr>
              <w:jc w:val="right"/>
              <w:textAlignment w:val="bottom"/>
            </w:pPr>
            <w:r>
              <w:rPr>
                <w:rFonts w:ascii="Arial" w:eastAsia="宋体" w:hAnsi="Arial" w:cs="Arial"/>
                <w:color w:val="000000"/>
                <w:sz w:val="12"/>
                <w:szCs w:val="12"/>
              </w:rPr>
              <w:t>.09 </w:t>
            </w:r>
          </w:p>
        </w:tc>
        <w:tc>
          <w:tcPr>
            <w:tcW w:w="0" w:type="auto"/>
            <w:shd w:val="clear" w:color="auto" w:fill="FFFFFF"/>
            <w:tcMar>
              <w:top w:w="40" w:type="dxa"/>
              <w:left w:w="0" w:type="dxa"/>
              <w:bottom w:w="40" w:type="dxa"/>
              <w:right w:w="20" w:type="dxa"/>
            </w:tcMar>
            <w:vAlign w:val="bottom"/>
          </w:tcPr>
          <w:p w14:paraId="392C00C7" w14:textId="77777777" w:rsidR="00980E5F" w:rsidRDefault="00980E5F">
            <w:pPr>
              <w:jc w:val="right"/>
              <w:rPr>
                <w:rFonts w:ascii="宋体"/>
              </w:rPr>
            </w:pPr>
          </w:p>
        </w:tc>
        <w:tc>
          <w:tcPr>
            <w:tcW w:w="0" w:type="auto"/>
            <w:shd w:val="clear" w:color="auto" w:fill="auto"/>
            <w:vAlign w:val="bottom"/>
          </w:tcPr>
          <w:p w14:paraId="392C00C8" w14:textId="77777777" w:rsidR="00980E5F" w:rsidRDefault="00980E5F">
            <w:pPr>
              <w:rPr>
                <w:rFonts w:ascii="宋体"/>
                <w:vanish/>
              </w:rPr>
            </w:pPr>
          </w:p>
        </w:tc>
        <w:tc>
          <w:tcPr>
            <w:tcW w:w="0" w:type="auto"/>
            <w:shd w:val="clear" w:color="auto" w:fill="auto"/>
            <w:vAlign w:val="bottom"/>
          </w:tcPr>
          <w:p w14:paraId="392C00C9" w14:textId="77777777" w:rsidR="00980E5F" w:rsidRDefault="00980E5F">
            <w:pPr>
              <w:rPr>
                <w:rFonts w:ascii="宋体"/>
                <w:vanish/>
              </w:rPr>
            </w:pPr>
          </w:p>
        </w:tc>
        <w:tc>
          <w:tcPr>
            <w:tcW w:w="0" w:type="auto"/>
            <w:shd w:val="clear" w:color="auto" w:fill="auto"/>
            <w:vAlign w:val="bottom"/>
          </w:tcPr>
          <w:p w14:paraId="392C00CA" w14:textId="77777777" w:rsidR="00980E5F" w:rsidRDefault="00980E5F">
            <w:pPr>
              <w:rPr>
                <w:rFonts w:ascii="宋体"/>
                <w:vanish/>
              </w:rPr>
            </w:pPr>
          </w:p>
        </w:tc>
        <w:tc>
          <w:tcPr>
            <w:tcW w:w="0" w:type="auto"/>
            <w:shd w:val="clear" w:color="auto" w:fill="auto"/>
            <w:vAlign w:val="bottom"/>
          </w:tcPr>
          <w:p w14:paraId="392C00CB" w14:textId="77777777" w:rsidR="00980E5F" w:rsidRDefault="00980E5F">
            <w:pPr>
              <w:rPr>
                <w:rFonts w:ascii="宋体"/>
                <w:vanish/>
              </w:rPr>
            </w:pPr>
          </w:p>
        </w:tc>
        <w:tc>
          <w:tcPr>
            <w:tcW w:w="0" w:type="auto"/>
            <w:gridSpan w:val="3"/>
            <w:shd w:val="clear" w:color="auto" w:fill="auto"/>
            <w:vAlign w:val="bottom"/>
          </w:tcPr>
          <w:p w14:paraId="392C00CC" w14:textId="77777777" w:rsidR="00980E5F" w:rsidRDefault="00980E5F">
            <w:pPr>
              <w:rPr>
                <w:rFonts w:ascii="宋体"/>
                <w:vanish/>
              </w:rPr>
            </w:pPr>
          </w:p>
        </w:tc>
        <w:tc>
          <w:tcPr>
            <w:tcW w:w="0" w:type="auto"/>
            <w:gridSpan w:val="3"/>
            <w:shd w:val="clear" w:color="auto" w:fill="auto"/>
            <w:vAlign w:val="bottom"/>
          </w:tcPr>
          <w:p w14:paraId="392C00CD" w14:textId="77777777" w:rsidR="00980E5F" w:rsidRDefault="00980E5F">
            <w:pPr>
              <w:rPr>
                <w:rFonts w:ascii="宋体"/>
                <w:vanish/>
              </w:rPr>
            </w:pPr>
          </w:p>
        </w:tc>
        <w:tc>
          <w:tcPr>
            <w:tcW w:w="0" w:type="auto"/>
            <w:gridSpan w:val="3"/>
            <w:shd w:val="clear" w:color="auto" w:fill="auto"/>
            <w:vAlign w:val="bottom"/>
          </w:tcPr>
          <w:p w14:paraId="392C00CE" w14:textId="77777777" w:rsidR="00980E5F" w:rsidRDefault="00980E5F">
            <w:pPr>
              <w:rPr>
                <w:rFonts w:ascii="宋体"/>
                <w:vanish/>
              </w:rPr>
            </w:pPr>
          </w:p>
        </w:tc>
        <w:tc>
          <w:tcPr>
            <w:tcW w:w="0" w:type="auto"/>
            <w:gridSpan w:val="3"/>
            <w:shd w:val="clear" w:color="auto" w:fill="auto"/>
            <w:vAlign w:val="bottom"/>
          </w:tcPr>
          <w:p w14:paraId="392C00CF" w14:textId="77777777" w:rsidR="00980E5F" w:rsidRDefault="00980E5F">
            <w:pPr>
              <w:rPr>
                <w:rFonts w:ascii="宋体"/>
                <w:vanish/>
              </w:rPr>
            </w:pPr>
          </w:p>
        </w:tc>
        <w:tc>
          <w:tcPr>
            <w:tcW w:w="0" w:type="auto"/>
            <w:gridSpan w:val="2"/>
            <w:shd w:val="clear" w:color="auto" w:fill="auto"/>
            <w:vAlign w:val="bottom"/>
          </w:tcPr>
          <w:p w14:paraId="392C00D0" w14:textId="77777777" w:rsidR="00980E5F" w:rsidRDefault="00980E5F">
            <w:pPr>
              <w:rPr>
                <w:rFonts w:ascii="宋体"/>
                <w:vanish/>
              </w:rPr>
            </w:pPr>
          </w:p>
        </w:tc>
        <w:tc>
          <w:tcPr>
            <w:tcW w:w="0" w:type="auto"/>
            <w:shd w:val="clear" w:color="auto" w:fill="auto"/>
            <w:vAlign w:val="bottom"/>
          </w:tcPr>
          <w:p w14:paraId="392C00D1" w14:textId="77777777" w:rsidR="00980E5F" w:rsidRDefault="00980E5F">
            <w:pPr>
              <w:rPr>
                <w:rFonts w:ascii="宋体"/>
                <w:vanish/>
              </w:rPr>
            </w:pPr>
          </w:p>
        </w:tc>
      </w:tr>
      <w:tr w:rsidR="00980E5F" w14:paraId="392C00F3" w14:textId="77777777">
        <w:tc>
          <w:tcPr>
            <w:tcW w:w="0" w:type="auto"/>
            <w:gridSpan w:val="3"/>
            <w:shd w:val="clear" w:color="auto" w:fill="CCEEFF"/>
            <w:tcMar>
              <w:top w:w="40" w:type="dxa"/>
              <w:left w:w="20" w:type="dxa"/>
              <w:bottom w:w="40" w:type="dxa"/>
              <w:right w:w="20" w:type="dxa"/>
            </w:tcMar>
            <w:vAlign w:val="bottom"/>
          </w:tcPr>
          <w:p w14:paraId="392C00D3" w14:textId="77777777" w:rsidR="00980E5F" w:rsidRDefault="00483613">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0D4"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0D5" w14:textId="77777777" w:rsidR="00980E5F" w:rsidRDefault="00483613">
            <w:pPr>
              <w:jc w:val="right"/>
              <w:textAlignment w:val="bottom"/>
            </w:pPr>
            <w:r>
              <w:rPr>
                <w:rFonts w:ascii="Arial" w:eastAsia="宋体" w:hAnsi="Arial" w:cs="Arial"/>
                <w:b/>
                <w:bCs/>
                <w:color w:val="000000"/>
                <w:sz w:val="12"/>
                <w:szCs w:val="12"/>
              </w:rPr>
              <w:t>254,664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0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D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0D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0D9" w14:textId="77777777" w:rsidR="00980E5F" w:rsidRDefault="00483613">
            <w:pPr>
              <w:jc w:val="right"/>
              <w:textAlignment w:val="bottom"/>
            </w:pPr>
            <w:r>
              <w:rPr>
                <w:rFonts w:ascii="Arial" w:eastAsia="宋体" w:hAnsi="Arial" w:cs="Arial"/>
                <w:b/>
                <w:bCs/>
                <w:color w:val="000000"/>
                <w:sz w:val="12"/>
                <w:szCs w:val="12"/>
              </w:rPr>
              <w:t>1,231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0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D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DC" w14:textId="77777777" w:rsidR="00980E5F" w:rsidRDefault="00483613">
            <w:pPr>
              <w:jc w:val="right"/>
              <w:textAlignment w:val="bottom"/>
            </w:pPr>
            <w:r>
              <w:rPr>
                <w:rFonts w:ascii="Arial" w:eastAsia="宋体" w:hAnsi="Arial" w:cs="Arial"/>
                <w:b/>
                <w:bCs/>
                <w:color w:val="000000"/>
                <w:sz w:val="12"/>
                <w:szCs w:val="12"/>
              </w:rPr>
              <w:t>.97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0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D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0DF"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0E0" w14:textId="77777777" w:rsidR="00980E5F" w:rsidRDefault="00483613">
            <w:pPr>
              <w:jc w:val="right"/>
              <w:textAlignment w:val="bottom"/>
            </w:pPr>
            <w:r>
              <w:rPr>
                <w:rFonts w:ascii="Arial" w:eastAsia="宋体" w:hAnsi="Arial" w:cs="Arial"/>
                <w:color w:val="000000"/>
                <w:sz w:val="12"/>
                <w:szCs w:val="12"/>
              </w:rPr>
              <w:t>260,406 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0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E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0E3"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0E4" w14:textId="77777777" w:rsidR="00980E5F" w:rsidRDefault="00483613">
            <w:pPr>
              <w:jc w:val="right"/>
              <w:textAlignment w:val="bottom"/>
            </w:pPr>
            <w:r>
              <w:rPr>
                <w:rFonts w:ascii="Arial" w:eastAsia="宋体" w:hAnsi="Arial" w:cs="Arial"/>
                <w:color w:val="000000"/>
                <w:sz w:val="12"/>
                <w:szCs w:val="12"/>
              </w:rPr>
              <w:t>945 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0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0E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0E7" w14:textId="77777777" w:rsidR="00980E5F" w:rsidRDefault="00483613">
            <w:pPr>
              <w:jc w:val="right"/>
              <w:textAlignment w:val="bottom"/>
            </w:pPr>
            <w:r>
              <w:rPr>
                <w:rFonts w:ascii="Arial" w:eastAsia="宋体" w:hAnsi="Arial" w:cs="Arial"/>
                <w:color w:val="000000"/>
                <w:sz w:val="12"/>
                <w:szCs w:val="12"/>
              </w:rPr>
              <w:t>.73 </w:t>
            </w:r>
          </w:p>
        </w:tc>
        <w:tc>
          <w:tcPr>
            <w:tcW w:w="0" w:type="auto"/>
            <w:shd w:val="clear" w:color="auto" w:fill="CCEEFF"/>
            <w:tcMar>
              <w:top w:w="40" w:type="dxa"/>
              <w:left w:w="0" w:type="dxa"/>
              <w:bottom w:w="40" w:type="dxa"/>
              <w:right w:w="20" w:type="dxa"/>
            </w:tcMar>
            <w:vAlign w:val="bottom"/>
          </w:tcPr>
          <w:p w14:paraId="392C00E8" w14:textId="77777777" w:rsidR="00980E5F" w:rsidRDefault="00980E5F">
            <w:pPr>
              <w:jc w:val="right"/>
              <w:rPr>
                <w:rFonts w:ascii="宋体"/>
              </w:rPr>
            </w:pPr>
          </w:p>
        </w:tc>
        <w:tc>
          <w:tcPr>
            <w:tcW w:w="0" w:type="auto"/>
            <w:shd w:val="clear" w:color="auto" w:fill="auto"/>
            <w:vAlign w:val="bottom"/>
          </w:tcPr>
          <w:p w14:paraId="392C00E9" w14:textId="77777777" w:rsidR="00980E5F" w:rsidRDefault="00980E5F">
            <w:pPr>
              <w:rPr>
                <w:rFonts w:ascii="宋体"/>
                <w:vanish/>
              </w:rPr>
            </w:pPr>
          </w:p>
        </w:tc>
        <w:tc>
          <w:tcPr>
            <w:tcW w:w="0" w:type="auto"/>
            <w:shd w:val="clear" w:color="auto" w:fill="auto"/>
            <w:vAlign w:val="bottom"/>
          </w:tcPr>
          <w:p w14:paraId="392C00EA" w14:textId="77777777" w:rsidR="00980E5F" w:rsidRDefault="00980E5F">
            <w:pPr>
              <w:rPr>
                <w:rFonts w:ascii="宋体"/>
                <w:vanish/>
              </w:rPr>
            </w:pPr>
          </w:p>
        </w:tc>
        <w:tc>
          <w:tcPr>
            <w:tcW w:w="0" w:type="auto"/>
            <w:shd w:val="clear" w:color="auto" w:fill="auto"/>
            <w:vAlign w:val="bottom"/>
          </w:tcPr>
          <w:p w14:paraId="392C00EB" w14:textId="77777777" w:rsidR="00980E5F" w:rsidRDefault="00980E5F">
            <w:pPr>
              <w:rPr>
                <w:rFonts w:ascii="宋体"/>
                <w:vanish/>
              </w:rPr>
            </w:pPr>
          </w:p>
        </w:tc>
        <w:tc>
          <w:tcPr>
            <w:tcW w:w="0" w:type="auto"/>
            <w:shd w:val="clear" w:color="auto" w:fill="auto"/>
            <w:vAlign w:val="bottom"/>
          </w:tcPr>
          <w:p w14:paraId="392C00EC" w14:textId="77777777" w:rsidR="00980E5F" w:rsidRDefault="00980E5F">
            <w:pPr>
              <w:rPr>
                <w:rFonts w:ascii="宋体"/>
                <w:vanish/>
              </w:rPr>
            </w:pPr>
          </w:p>
        </w:tc>
        <w:tc>
          <w:tcPr>
            <w:tcW w:w="0" w:type="auto"/>
            <w:gridSpan w:val="3"/>
            <w:shd w:val="clear" w:color="auto" w:fill="auto"/>
            <w:vAlign w:val="bottom"/>
          </w:tcPr>
          <w:p w14:paraId="392C00ED" w14:textId="77777777" w:rsidR="00980E5F" w:rsidRDefault="00980E5F">
            <w:pPr>
              <w:rPr>
                <w:rFonts w:ascii="宋体"/>
                <w:vanish/>
              </w:rPr>
            </w:pPr>
          </w:p>
        </w:tc>
        <w:tc>
          <w:tcPr>
            <w:tcW w:w="0" w:type="auto"/>
            <w:gridSpan w:val="3"/>
            <w:shd w:val="clear" w:color="auto" w:fill="auto"/>
            <w:vAlign w:val="bottom"/>
          </w:tcPr>
          <w:p w14:paraId="392C00EE" w14:textId="77777777" w:rsidR="00980E5F" w:rsidRDefault="00980E5F">
            <w:pPr>
              <w:rPr>
                <w:rFonts w:ascii="宋体"/>
                <w:vanish/>
              </w:rPr>
            </w:pPr>
          </w:p>
        </w:tc>
        <w:tc>
          <w:tcPr>
            <w:tcW w:w="0" w:type="auto"/>
            <w:gridSpan w:val="3"/>
            <w:shd w:val="clear" w:color="auto" w:fill="auto"/>
            <w:vAlign w:val="bottom"/>
          </w:tcPr>
          <w:p w14:paraId="392C00EF" w14:textId="77777777" w:rsidR="00980E5F" w:rsidRDefault="00980E5F">
            <w:pPr>
              <w:rPr>
                <w:rFonts w:ascii="宋体"/>
                <w:vanish/>
              </w:rPr>
            </w:pPr>
          </w:p>
        </w:tc>
        <w:tc>
          <w:tcPr>
            <w:tcW w:w="0" w:type="auto"/>
            <w:gridSpan w:val="3"/>
            <w:shd w:val="clear" w:color="auto" w:fill="auto"/>
            <w:vAlign w:val="bottom"/>
          </w:tcPr>
          <w:p w14:paraId="392C00F0" w14:textId="77777777" w:rsidR="00980E5F" w:rsidRDefault="00980E5F">
            <w:pPr>
              <w:rPr>
                <w:rFonts w:ascii="宋体"/>
                <w:vanish/>
              </w:rPr>
            </w:pPr>
          </w:p>
        </w:tc>
        <w:tc>
          <w:tcPr>
            <w:tcW w:w="0" w:type="auto"/>
            <w:gridSpan w:val="2"/>
            <w:shd w:val="clear" w:color="auto" w:fill="auto"/>
            <w:vAlign w:val="bottom"/>
          </w:tcPr>
          <w:p w14:paraId="392C00F1" w14:textId="77777777" w:rsidR="00980E5F" w:rsidRDefault="00980E5F">
            <w:pPr>
              <w:rPr>
                <w:rFonts w:ascii="宋体"/>
                <w:vanish/>
              </w:rPr>
            </w:pPr>
          </w:p>
        </w:tc>
        <w:tc>
          <w:tcPr>
            <w:tcW w:w="0" w:type="auto"/>
            <w:shd w:val="clear" w:color="auto" w:fill="auto"/>
            <w:vAlign w:val="bottom"/>
          </w:tcPr>
          <w:p w14:paraId="392C00F2" w14:textId="77777777" w:rsidR="00980E5F" w:rsidRDefault="00980E5F">
            <w:pPr>
              <w:rPr>
                <w:rFonts w:ascii="宋体"/>
                <w:vanish/>
              </w:rPr>
            </w:pPr>
          </w:p>
        </w:tc>
      </w:tr>
      <w:tr w:rsidR="00980E5F" w14:paraId="392C010A" w14:textId="77777777">
        <w:tc>
          <w:tcPr>
            <w:tcW w:w="0" w:type="auto"/>
            <w:gridSpan w:val="3"/>
            <w:shd w:val="clear" w:color="auto" w:fill="FFFFFF"/>
            <w:tcMar>
              <w:top w:w="40" w:type="dxa"/>
              <w:left w:w="20" w:type="dxa"/>
              <w:bottom w:w="40" w:type="dxa"/>
              <w:right w:w="20" w:type="dxa"/>
            </w:tcMar>
            <w:vAlign w:val="bottom"/>
          </w:tcPr>
          <w:p w14:paraId="392C00F4" w14:textId="77777777" w:rsidR="00980E5F" w:rsidRDefault="00483613">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0F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0F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0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0F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0FF" w14:textId="77777777" w:rsidR="00980E5F" w:rsidRDefault="00980E5F">
            <w:pPr>
              <w:rPr>
                <w:rFonts w:ascii="宋体"/>
              </w:rPr>
            </w:pPr>
          </w:p>
        </w:tc>
        <w:tc>
          <w:tcPr>
            <w:tcW w:w="0" w:type="auto"/>
            <w:shd w:val="clear" w:color="auto" w:fill="auto"/>
            <w:vAlign w:val="bottom"/>
          </w:tcPr>
          <w:p w14:paraId="392C0100" w14:textId="77777777" w:rsidR="00980E5F" w:rsidRDefault="00980E5F">
            <w:pPr>
              <w:rPr>
                <w:rFonts w:ascii="宋体"/>
                <w:vanish/>
              </w:rPr>
            </w:pPr>
          </w:p>
        </w:tc>
        <w:tc>
          <w:tcPr>
            <w:tcW w:w="0" w:type="auto"/>
            <w:shd w:val="clear" w:color="auto" w:fill="auto"/>
            <w:vAlign w:val="bottom"/>
          </w:tcPr>
          <w:p w14:paraId="392C0101" w14:textId="77777777" w:rsidR="00980E5F" w:rsidRDefault="00980E5F">
            <w:pPr>
              <w:rPr>
                <w:rFonts w:ascii="宋体"/>
                <w:vanish/>
              </w:rPr>
            </w:pPr>
          </w:p>
        </w:tc>
        <w:tc>
          <w:tcPr>
            <w:tcW w:w="0" w:type="auto"/>
            <w:shd w:val="clear" w:color="auto" w:fill="auto"/>
            <w:vAlign w:val="bottom"/>
          </w:tcPr>
          <w:p w14:paraId="392C0102" w14:textId="77777777" w:rsidR="00980E5F" w:rsidRDefault="00980E5F">
            <w:pPr>
              <w:rPr>
                <w:rFonts w:ascii="宋体"/>
                <w:vanish/>
              </w:rPr>
            </w:pPr>
          </w:p>
        </w:tc>
        <w:tc>
          <w:tcPr>
            <w:tcW w:w="0" w:type="auto"/>
            <w:shd w:val="clear" w:color="auto" w:fill="auto"/>
            <w:vAlign w:val="bottom"/>
          </w:tcPr>
          <w:p w14:paraId="392C0103" w14:textId="77777777" w:rsidR="00980E5F" w:rsidRDefault="00980E5F">
            <w:pPr>
              <w:rPr>
                <w:rFonts w:ascii="宋体"/>
                <w:vanish/>
              </w:rPr>
            </w:pPr>
          </w:p>
        </w:tc>
        <w:tc>
          <w:tcPr>
            <w:tcW w:w="0" w:type="auto"/>
            <w:gridSpan w:val="3"/>
            <w:shd w:val="clear" w:color="auto" w:fill="auto"/>
            <w:vAlign w:val="bottom"/>
          </w:tcPr>
          <w:p w14:paraId="392C0104" w14:textId="77777777" w:rsidR="00980E5F" w:rsidRDefault="00980E5F">
            <w:pPr>
              <w:rPr>
                <w:rFonts w:ascii="宋体"/>
                <w:vanish/>
              </w:rPr>
            </w:pPr>
          </w:p>
        </w:tc>
        <w:tc>
          <w:tcPr>
            <w:tcW w:w="0" w:type="auto"/>
            <w:gridSpan w:val="3"/>
            <w:shd w:val="clear" w:color="auto" w:fill="auto"/>
            <w:vAlign w:val="bottom"/>
          </w:tcPr>
          <w:p w14:paraId="392C0105" w14:textId="77777777" w:rsidR="00980E5F" w:rsidRDefault="00980E5F">
            <w:pPr>
              <w:rPr>
                <w:rFonts w:ascii="宋体"/>
                <w:vanish/>
              </w:rPr>
            </w:pPr>
          </w:p>
        </w:tc>
        <w:tc>
          <w:tcPr>
            <w:tcW w:w="0" w:type="auto"/>
            <w:gridSpan w:val="3"/>
            <w:shd w:val="clear" w:color="auto" w:fill="auto"/>
            <w:vAlign w:val="bottom"/>
          </w:tcPr>
          <w:p w14:paraId="392C0106" w14:textId="77777777" w:rsidR="00980E5F" w:rsidRDefault="00980E5F">
            <w:pPr>
              <w:rPr>
                <w:rFonts w:ascii="宋体"/>
                <w:vanish/>
              </w:rPr>
            </w:pPr>
          </w:p>
        </w:tc>
        <w:tc>
          <w:tcPr>
            <w:tcW w:w="0" w:type="auto"/>
            <w:gridSpan w:val="3"/>
            <w:shd w:val="clear" w:color="auto" w:fill="auto"/>
            <w:vAlign w:val="bottom"/>
          </w:tcPr>
          <w:p w14:paraId="392C0107" w14:textId="77777777" w:rsidR="00980E5F" w:rsidRDefault="00980E5F">
            <w:pPr>
              <w:rPr>
                <w:rFonts w:ascii="宋体"/>
                <w:vanish/>
              </w:rPr>
            </w:pPr>
          </w:p>
        </w:tc>
        <w:tc>
          <w:tcPr>
            <w:tcW w:w="0" w:type="auto"/>
            <w:gridSpan w:val="2"/>
            <w:shd w:val="clear" w:color="auto" w:fill="auto"/>
            <w:vAlign w:val="bottom"/>
          </w:tcPr>
          <w:p w14:paraId="392C0108" w14:textId="77777777" w:rsidR="00980E5F" w:rsidRDefault="00980E5F">
            <w:pPr>
              <w:rPr>
                <w:rFonts w:ascii="宋体"/>
                <w:vanish/>
              </w:rPr>
            </w:pPr>
          </w:p>
        </w:tc>
        <w:tc>
          <w:tcPr>
            <w:tcW w:w="0" w:type="auto"/>
            <w:shd w:val="clear" w:color="auto" w:fill="auto"/>
            <w:vAlign w:val="bottom"/>
          </w:tcPr>
          <w:p w14:paraId="392C0109" w14:textId="77777777" w:rsidR="00980E5F" w:rsidRDefault="00980E5F">
            <w:pPr>
              <w:rPr>
                <w:rFonts w:ascii="宋体"/>
                <w:vanish/>
              </w:rPr>
            </w:pPr>
          </w:p>
        </w:tc>
      </w:tr>
      <w:tr w:rsidR="00980E5F" w14:paraId="392C012B" w14:textId="77777777">
        <w:tc>
          <w:tcPr>
            <w:tcW w:w="0" w:type="auto"/>
            <w:gridSpan w:val="3"/>
            <w:shd w:val="clear" w:color="auto" w:fill="CCEEFF"/>
            <w:tcMar>
              <w:top w:w="40" w:type="dxa"/>
              <w:left w:w="20" w:type="dxa"/>
              <w:bottom w:w="40" w:type="dxa"/>
              <w:right w:w="20" w:type="dxa"/>
            </w:tcMar>
            <w:vAlign w:val="bottom"/>
          </w:tcPr>
          <w:p w14:paraId="392C010B" w14:textId="77777777" w:rsidR="00980E5F" w:rsidRDefault="00483613">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392C010C"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010D" w14:textId="77777777" w:rsidR="00980E5F" w:rsidRDefault="00483613">
            <w:pPr>
              <w:jc w:val="right"/>
              <w:textAlignment w:val="bottom"/>
            </w:pPr>
            <w:r>
              <w:rPr>
                <w:rFonts w:ascii="Arial" w:eastAsia="宋体" w:hAnsi="Arial" w:cs="Arial"/>
                <w:b/>
                <w:bCs/>
                <w:color w:val="000000"/>
                <w:sz w:val="12"/>
                <w:szCs w:val="12"/>
              </w:rPr>
              <w:t>98,665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0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110"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0111" w14:textId="77777777" w:rsidR="00980E5F" w:rsidRDefault="00483613">
            <w:pPr>
              <w:jc w:val="right"/>
              <w:textAlignment w:val="bottom"/>
            </w:pPr>
            <w:r>
              <w:rPr>
                <w:rFonts w:ascii="Arial" w:eastAsia="宋体" w:hAnsi="Arial" w:cs="Arial"/>
                <w:b/>
                <w:bCs/>
                <w:color w:val="000000"/>
                <w:sz w:val="12"/>
                <w:szCs w:val="12"/>
              </w:rPr>
              <w:t>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14" w14:textId="77777777" w:rsidR="00980E5F" w:rsidRDefault="00483613">
            <w:pPr>
              <w:jc w:val="right"/>
              <w:textAlignment w:val="bottom"/>
            </w:pPr>
            <w:r>
              <w:rPr>
                <w:rFonts w:ascii="Arial" w:eastAsia="宋体" w:hAnsi="Arial" w:cs="Arial"/>
                <w:b/>
                <w:bCs/>
                <w:color w:val="000000"/>
                <w:sz w:val="12"/>
                <w:szCs w:val="12"/>
              </w:rPr>
              <w:t>.14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15"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011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117"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0118" w14:textId="77777777" w:rsidR="00980E5F" w:rsidRDefault="00483613">
            <w:pPr>
              <w:jc w:val="right"/>
              <w:textAlignment w:val="bottom"/>
            </w:pPr>
            <w:r>
              <w:rPr>
                <w:rFonts w:ascii="Arial" w:eastAsia="宋体" w:hAnsi="Arial" w:cs="Arial"/>
                <w:color w:val="000000"/>
                <w:sz w:val="12"/>
                <w:szCs w:val="12"/>
              </w:rPr>
              <w:t>105,647 </w:t>
            </w:r>
          </w:p>
        </w:tc>
        <w:tc>
          <w:tcPr>
            <w:tcW w:w="0" w:type="auto"/>
            <w:shd w:val="clear" w:color="auto" w:fill="CCEEFF"/>
            <w:tcMar>
              <w:top w:w="40" w:type="dxa"/>
              <w:left w:w="0" w:type="dxa"/>
              <w:bottom w:w="40" w:type="dxa"/>
              <w:right w:w="20" w:type="dxa"/>
            </w:tcMar>
            <w:vAlign w:val="bottom"/>
          </w:tcPr>
          <w:p w14:paraId="392C01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1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11B"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011C" w14:textId="77777777" w:rsidR="00980E5F" w:rsidRDefault="00483613">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392C01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1F" w14:textId="77777777" w:rsidR="00980E5F" w:rsidRDefault="00483613">
            <w:pPr>
              <w:jc w:val="right"/>
              <w:textAlignment w:val="bottom"/>
            </w:pPr>
            <w:r>
              <w:rPr>
                <w:rFonts w:ascii="Arial" w:eastAsia="宋体" w:hAnsi="Arial" w:cs="Arial"/>
                <w:color w:val="000000"/>
                <w:sz w:val="12"/>
                <w:szCs w:val="12"/>
              </w:rPr>
              <w:t>.01 </w:t>
            </w:r>
          </w:p>
        </w:tc>
        <w:tc>
          <w:tcPr>
            <w:tcW w:w="0" w:type="auto"/>
            <w:shd w:val="clear" w:color="auto" w:fill="CCEEFF"/>
            <w:tcMar>
              <w:top w:w="40" w:type="dxa"/>
              <w:left w:w="0" w:type="dxa"/>
              <w:bottom w:w="40" w:type="dxa"/>
              <w:right w:w="20" w:type="dxa"/>
            </w:tcMar>
            <w:vAlign w:val="bottom"/>
          </w:tcPr>
          <w:p w14:paraId="392C0120"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C0121" w14:textId="77777777" w:rsidR="00980E5F" w:rsidRDefault="00980E5F">
            <w:pPr>
              <w:rPr>
                <w:rFonts w:ascii="宋体"/>
                <w:vanish/>
              </w:rPr>
            </w:pPr>
          </w:p>
        </w:tc>
        <w:tc>
          <w:tcPr>
            <w:tcW w:w="0" w:type="auto"/>
            <w:shd w:val="clear" w:color="auto" w:fill="auto"/>
            <w:vAlign w:val="bottom"/>
          </w:tcPr>
          <w:p w14:paraId="392C0122" w14:textId="77777777" w:rsidR="00980E5F" w:rsidRDefault="00980E5F">
            <w:pPr>
              <w:rPr>
                <w:rFonts w:ascii="宋体"/>
                <w:vanish/>
              </w:rPr>
            </w:pPr>
          </w:p>
        </w:tc>
        <w:tc>
          <w:tcPr>
            <w:tcW w:w="0" w:type="auto"/>
            <w:shd w:val="clear" w:color="auto" w:fill="auto"/>
            <w:vAlign w:val="bottom"/>
          </w:tcPr>
          <w:p w14:paraId="392C0123" w14:textId="77777777" w:rsidR="00980E5F" w:rsidRDefault="00980E5F">
            <w:pPr>
              <w:rPr>
                <w:rFonts w:ascii="宋体"/>
                <w:vanish/>
              </w:rPr>
            </w:pPr>
          </w:p>
        </w:tc>
        <w:tc>
          <w:tcPr>
            <w:tcW w:w="0" w:type="auto"/>
            <w:shd w:val="clear" w:color="auto" w:fill="auto"/>
            <w:vAlign w:val="bottom"/>
          </w:tcPr>
          <w:p w14:paraId="392C0124" w14:textId="77777777" w:rsidR="00980E5F" w:rsidRDefault="00980E5F">
            <w:pPr>
              <w:rPr>
                <w:rFonts w:ascii="宋体"/>
                <w:vanish/>
              </w:rPr>
            </w:pPr>
          </w:p>
        </w:tc>
        <w:tc>
          <w:tcPr>
            <w:tcW w:w="0" w:type="auto"/>
            <w:gridSpan w:val="3"/>
            <w:shd w:val="clear" w:color="auto" w:fill="auto"/>
            <w:vAlign w:val="bottom"/>
          </w:tcPr>
          <w:p w14:paraId="392C0125" w14:textId="77777777" w:rsidR="00980E5F" w:rsidRDefault="00980E5F">
            <w:pPr>
              <w:rPr>
                <w:rFonts w:ascii="宋体"/>
                <w:vanish/>
              </w:rPr>
            </w:pPr>
          </w:p>
        </w:tc>
        <w:tc>
          <w:tcPr>
            <w:tcW w:w="0" w:type="auto"/>
            <w:gridSpan w:val="3"/>
            <w:shd w:val="clear" w:color="auto" w:fill="auto"/>
            <w:vAlign w:val="bottom"/>
          </w:tcPr>
          <w:p w14:paraId="392C0126" w14:textId="77777777" w:rsidR="00980E5F" w:rsidRDefault="00980E5F">
            <w:pPr>
              <w:rPr>
                <w:rFonts w:ascii="宋体"/>
                <w:vanish/>
              </w:rPr>
            </w:pPr>
          </w:p>
        </w:tc>
        <w:tc>
          <w:tcPr>
            <w:tcW w:w="0" w:type="auto"/>
            <w:gridSpan w:val="3"/>
            <w:shd w:val="clear" w:color="auto" w:fill="auto"/>
            <w:vAlign w:val="bottom"/>
          </w:tcPr>
          <w:p w14:paraId="392C0127" w14:textId="77777777" w:rsidR="00980E5F" w:rsidRDefault="00980E5F">
            <w:pPr>
              <w:rPr>
                <w:rFonts w:ascii="宋体"/>
                <w:vanish/>
              </w:rPr>
            </w:pPr>
          </w:p>
        </w:tc>
        <w:tc>
          <w:tcPr>
            <w:tcW w:w="0" w:type="auto"/>
            <w:gridSpan w:val="3"/>
            <w:shd w:val="clear" w:color="auto" w:fill="auto"/>
            <w:vAlign w:val="bottom"/>
          </w:tcPr>
          <w:p w14:paraId="392C0128" w14:textId="77777777" w:rsidR="00980E5F" w:rsidRDefault="00980E5F">
            <w:pPr>
              <w:rPr>
                <w:rFonts w:ascii="宋体"/>
                <w:vanish/>
              </w:rPr>
            </w:pPr>
          </w:p>
        </w:tc>
        <w:tc>
          <w:tcPr>
            <w:tcW w:w="0" w:type="auto"/>
            <w:gridSpan w:val="2"/>
            <w:shd w:val="clear" w:color="auto" w:fill="auto"/>
            <w:vAlign w:val="bottom"/>
          </w:tcPr>
          <w:p w14:paraId="392C0129" w14:textId="77777777" w:rsidR="00980E5F" w:rsidRDefault="00980E5F">
            <w:pPr>
              <w:rPr>
                <w:rFonts w:ascii="宋体"/>
                <w:vanish/>
              </w:rPr>
            </w:pPr>
          </w:p>
        </w:tc>
        <w:tc>
          <w:tcPr>
            <w:tcW w:w="0" w:type="auto"/>
            <w:shd w:val="clear" w:color="auto" w:fill="auto"/>
            <w:vAlign w:val="bottom"/>
          </w:tcPr>
          <w:p w14:paraId="392C012A" w14:textId="77777777" w:rsidR="00980E5F" w:rsidRDefault="00980E5F">
            <w:pPr>
              <w:rPr>
                <w:rFonts w:ascii="宋体"/>
                <w:vanish/>
              </w:rPr>
            </w:pPr>
          </w:p>
        </w:tc>
      </w:tr>
      <w:tr w:rsidR="00980E5F" w14:paraId="392C0148" w14:textId="77777777">
        <w:tc>
          <w:tcPr>
            <w:tcW w:w="0" w:type="auto"/>
            <w:gridSpan w:val="3"/>
            <w:shd w:val="clear" w:color="auto" w:fill="FFFFFF"/>
            <w:tcMar>
              <w:top w:w="40" w:type="dxa"/>
              <w:left w:w="20" w:type="dxa"/>
              <w:bottom w:w="40" w:type="dxa"/>
              <w:right w:w="20" w:type="dxa"/>
            </w:tcMar>
            <w:vAlign w:val="bottom"/>
          </w:tcPr>
          <w:p w14:paraId="392C012C" w14:textId="77777777" w:rsidR="00980E5F" w:rsidRDefault="00483613">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392C012D" w14:textId="77777777" w:rsidR="00980E5F" w:rsidRDefault="00483613">
            <w:pPr>
              <w:jc w:val="right"/>
              <w:textAlignment w:val="bottom"/>
            </w:pPr>
            <w:r>
              <w:rPr>
                <w:rFonts w:ascii="Arial" w:eastAsia="宋体" w:hAnsi="Arial" w:cs="Arial"/>
                <w:b/>
                <w:bCs/>
                <w:color w:val="000000"/>
                <w:sz w:val="12"/>
                <w:szCs w:val="12"/>
              </w:rPr>
              <w:t>81,796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2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2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30" w14:textId="77777777" w:rsidR="00980E5F" w:rsidRDefault="00483613">
            <w:pPr>
              <w:jc w:val="right"/>
              <w:textAlignment w:val="bottom"/>
            </w:pPr>
            <w:r>
              <w:rPr>
                <w:rFonts w:ascii="Arial" w:eastAsia="宋体" w:hAnsi="Arial" w:cs="Arial"/>
                <w:b/>
                <w:bCs/>
                <w:color w:val="000000"/>
                <w:sz w:val="12"/>
                <w:szCs w:val="12"/>
              </w:rPr>
              <w:t>(107)</w:t>
            </w:r>
          </w:p>
        </w:tc>
        <w:tc>
          <w:tcPr>
            <w:tcW w:w="0" w:type="auto"/>
            <w:shd w:val="clear" w:color="auto" w:fill="FFFFFF"/>
            <w:tcMar>
              <w:top w:w="40" w:type="dxa"/>
              <w:left w:w="0" w:type="dxa"/>
              <w:bottom w:w="40" w:type="dxa"/>
              <w:right w:w="20" w:type="dxa"/>
            </w:tcMar>
            <w:vAlign w:val="bottom"/>
          </w:tcPr>
          <w:p w14:paraId="392C01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3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33" w14:textId="77777777" w:rsidR="00980E5F" w:rsidRDefault="00483613">
            <w:pPr>
              <w:jc w:val="right"/>
              <w:textAlignment w:val="bottom"/>
            </w:pPr>
            <w:r>
              <w:rPr>
                <w:rFonts w:ascii="Arial" w:eastAsia="宋体" w:hAnsi="Arial" w:cs="Arial"/>
                <w:b/>
                <w:bCs/>
                <w:color w:val="000000"/>
                <w:sz w:val="12"/>
                <w:szCs w:val="12"/>
              </w:rPr>
              <w:t>(.26)</w:t>
            </w:r>
          </w:p>
        </w:tc>
        <w:tc>
          <w:tcPr>
            <w:tcW w:w="0" w:type="auto"/>
            <w:shd w:val="clear" w:color="auto" w:fill="FFFFFF"/>
            <w:tcMar>
              <w:top w:w="40" w:type="dxa"/>
              <w:left w:w="0" w:type="dxa"/>
              <w:bottom w:w="40" w:type="dxa"/>
              <w:right w:w="20" w:type="dxa"/>
            </w:tcMar>
            <w:vAlign w:val="bottom"/>
          </w:tcPr>
          <w:p w14:paraId="392C01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3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36" w14:textId="77777777" w:rsidR="00980E5F" w:rsidRDefault="00483613">
            <w:pPr>
              <w:jc w:val="right"/>
              <w:textAlignment w:val="bottom"/>
            </w:pPr>
            <w:r>
              <w:rPr>
                <w:rFonts w:ascii="Arial" w:eastAsia="宋体" w:hAnsi="Arial" w:cs="Arial"/>
                <w:color w:val="000000"/>
                <w:sz w:val="12"/>
                <w:szCs w:val="12"/>
              </w:rPr>
              <w:t>80,854 </w:t>
            </w:r>
          </w:p>
        </w:tc>
        <w:tc>
          <w:tcPr>
            <w:tcW w:w="0" w:type="auto"/>
            <w:shd w:val="clear" w:color="auto" w:fill="FFFFFF"/>
            <w:tcMar>
              <w:top w:w="40" w:type="dxa"/>
              <w:left w:w="0" w:type="dxa"/>
              <w:bottom w:w="40" w:type="dxa"/>
              <w:right w:w="20" w:type="dxa"/>
            </w:tcMar>
            <w:vAlign w:val="bottom"/>
          </w:tcPr>
          <w:p w14:paraId="392C01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3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39" w14:textId="77777777" w:rsidR="00980E5F" w:rsidRDefault="00483613">
            <w:pPr>
              <w:jc w:val="right"/>
              <w:textAlignment w:val="bottom"/>
            </w:pPr>
            <w:r>
              <w:rPr>
                <w:rFonts w:ascii="Arial" w:eastAsia="宋体" w:hAnsi="Arial" w:cs="Arial"/>
                <w:color w:val="000000"/>
                <w:sz w:val="12"/>
                <w:szCs w:val="12"/>
              </w:rPr>
              <w:t>(138)</w:t>
            </w:r>
          </w:p>
        </w:tc>
        <w:tc>
          <w:tcPr>
            <w:tcW w:w="0" w:type="auto"/>
            <w:shd w:val="clear" w:color="auto" w:fill="FFFFFF"/>
            <w:tcMar>
              <w:top w:w="40" w:type="dxa"/>
              <w:left w:w="0" w:type="dxa"/>
              <w:bottom w:w="40" w:type="dxa"/>
              <w:right w:w="20" w:type="dxa"/>
            </w:tcMar>
            <w:vAlign w:val="bottom"/>
          </w:tcPr>
          <w:p w14:paraId="392C01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3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3C" w14:textId="77777777" w:rsidR="00980E5F" w:rsidRDefault="00483613">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392C013D" w14:textId="77777777" w:rsidR="00980E5F" w:rsidRDefault="00980E5F">
            <w:pPr>
              <w:jc w:val="right"/>
              <w:rPr>
                <w:rFonts w:ascii="宋体"/>
              </w:rPr>
            </w:pPr>
          </w:p>
        </w:tc>
        <w:tc>
          <w:tcPr>
            <w:tcW w:w="0" w:type="auto"/>
            <w:shd w:val="clear" w:color="auto" w:fill="auto"/>
            <w:vAlign w:val="bottom"/>
          </w:tcPr>
          <w:p w14:paraId="392C013E" w14:textId="77777777" w:rsidR="00980E5F" w:rsidRDefault="00980E5F">
            <w:pPr>
              <w:rPr>
                <w:rFonts w:ascii="宋体"/>
                <w:vanish/>
              </w:rPr>
            </w:pPr>
          </w:p>
        </w:tc>
        <w:tc>
          <w:tcPr>
            <w:tcW w:w="0" w:type="auto"/>
            <w:shd w:val="clear" w:color="auto" w:fill="auto"/>
            <w:vAlign w:val="bottom"/>
          </w:tcPr>
          <w:p w14:paraId="392C013F" w14:textId="77777777" w:rsidR="00980E5F" w:rsidRDefault="00980E5F">
            <w:pPr>
              <w:rPr>
                <w:rFonts w:ascii="宋体"/>
                <w:vanish/>
              </w:rPr>
            </w:pPr>
          </w:p>
        </w:tc>
        <w:tc>
          <w:tcPr>
            <w:tcW w:w="0" w:type="auto"/>
            <w:shd w:val="clear" w:color="auto" w:fill="auto"/>
            <w:vAlign w:val="bottom"/>
          </w:tcPr>
          <w:p w14:paraId="392C0140" w14:textId="77777777" w:rsidR="00980E5F" w:rsidRDefault="00980E5F">
            <w:pPr>
              <w:rPr>
                <w:rFonts w:ascii="宋体"/>
                <w:vanish/>
              </w:rPr>
            </w:pPr>
          </w:p>
        </w:tc>
        <w:tc>
          <w:tcPr>
            <w:tcW w:w="0" w:type="auto"/>
            <w:shd w:val="clear" w:color="auto" w:fill="auto"/>
            <w:vAlign w:val="bottom"/>
          </w:tcPr>
          <w:p w14:paraId="392C0141" w14:textId="77777777" w:rsidR="00980E5F" w:rsidRDefault="00980E5F">
            <w:pPr>
              <w:rPr>
                <w:rFonts w:ascii="宋体"/>
                <w:vanish/>
              </w:rPr>
            </w:pPr>
          </w:p>
        </w:tc>
        <w:tc>
          <w:tcPr>
            <w:tcW w:w="0" w:type="auto"/>
            <w:gridSpan w:val="3"/>
            <w:shd w:val="clear" w:color="auto" w:fill="auto"/>
            <w:vAlign w:val="bottom"/>
          </w:tcPr>
          <w:p w14:paraId="392C0142" w14:textId="77777777" w:rsidR="00980E5F" w:rsidRDefault="00980E5F">
            <w:pPr>
              <w:rPr>
                <w:rFonts w:ascii="宋体"/>
                <w:vanish/>
              </w:rPr>
            </w:pPr>
          </w:p>
        </w:tc>
        <w:tc>
          <w:tcPr>
            <w:tcW w:w="0" w:type="auto"/>
            <w:gridSpan w:val="3"/>
            <w:shd w:val="clear" w:color="auto" w:fill="auto"/>
            <w:vAlign w:val="bottom"/>
          </w:tcPr>
          <w:p w14:paraId="392C0143" w14:textId="77777777" w:rsidR="00980E5F" w:rsidRDefault="00980E5F">
            <w:pPr>
              <w:rPr>
                <w:rFonts w:ascii="宋体"/>
                <w:vanish/>
              </w:rPr>
            </w:pPr>
          </w:p>
        </w:tc>
        <w:tc>
          <w:tcPr>
            <w:tcW w:w="0" w:type="auto"/>
            <w:gridSpan w:val="3"/>
            <w:shd w:val="clear" w:color="auto" w:fill="auto"/>
            <w:vAlign w:val="bottom"/>
          </w:tcPr>
          <w:p w14:paraId="392C0144" w14:textId="77777777" w:rsidR="00980E5F" w:rsidRDefault="00980E5F">
            <w:pPr>
              <w:rPr>
                <w:rFonts w:ascii="宋体"/>
                <w:vanish/>
              </w:rPr>
            </w:pPr>
          </w:p>
        </w:tc>
        <w:tc>
          <w:tcPr>
            <w:tcW w:w="0" w:type="auto"/>
            <w:gridSpan w:val="3"/>
            <w:shd w:val="clear" w:color="auto" w:fill="auto"/>
            <w:vAlign w:val="bottom"/>
          </w:tcPr>
          <w:p w14:paraId="392C0145" w14:textId="77777777" w:rsidR="00980E5F" w:rsidRDefault="00980E5F">
            <w:pPr>
              <w:rPr>
                <w:rFonts w:ascii="宋体"/>
                <w:vanish/>
              </w:rPr>
            </w:pPr>
          </w:p>
        </w:tc>
        <w:tc>
          <w:tcPr>
            <w:tcW w:w="0" w:type="auto"/>
            <w:gridSpan w:val="2"/>
            <w:shd w:val="clear" w:color="auto" w:fill="auto"/>
            <w:vAlign w:val="bottom"/>
          </w:tcPr>
          <w:p w14:paraId="392C0146" w14:textId="77777777" w:rsidR="00980E5F" w:rsidRDefault="00980E5F">
            <w:pPr>
              <w:rPr>
                <w:rFonts w:ascii="宋体"/>
                <w:vanish/>
              </w:rPr>
            </w:pPr>
          </w:p>
        </w:tc>
        <w:tc>
          <w:tcPr>
            <w:tcW w:w="0" w:type="auto"/>
            <w:shd w:val="clear" w:color="auto" w:fill="auto"/>
            <w:vAlign w:val="bottom"/>
          </w:tcPr>
          <w:p w14:paraId="392C0147" w14:textId="77777777" w:rsidR="00980E5F" w:rsidRDefault="00980E5F">
            <w:pPr>
              <w:rPr>
                <w:rFonts w:ascii="宋体"/>
                <w:vanish/>
              </w:rPr>
            </w:pPr>
          </w:p>
        </w:tc>
      </w:tr>
      <w:tr w:rsidR="00980E5F" w14:paraId="392C0165" w14:textId="77777777">
        <w:tc>
          <w:tcPr>
            <w:tcW w:w="0" w:type="auto"/>
            <w:gridSpan w:val="3"/>
            <w:shd w:val="clear" w:color="auto" w:fill="CCEEFF"/>
            <w:tcMar>
              <w:top w:w="40" w:type="dxa"/>
              <w:left w:w="20" w:type="dxa"/>
              <w:bottom w:w="40" w:type="dxa"/>
              <w:right w:w="20" w:type="dxa"/>
            </w:tcMar>
            <w:vAlign w:val="bottom"/>
          </w:tcPr>
          <w:p w14:paraId="392C0149" w14:textId="77777777" w:rsidR="00980E5F" w:rsidRDefault="00483613">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14A" w14:textId="77777777" w:rsidR="00980E5F" w:rsidRDefault="00483613">
            <w:pPr>
              <w:jc w:val="right"/>
              <w:textAlignment w:val="bottom"/>
            </w:pPr>
            <w:r>
              <w:rPr>
                <w:rFonts w:ascii="Arial" w:eastAsia="宋体" w:hAnsi="Arial" w:cs="Arial"/>
                <w:b/>
                <w:bCs/>
                <w:color w:val="000000"/>
                <w:sz w:val="12"/>
                <w:szCs w:val="12"/>
              </w:rPr>
              <w:t>180,461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4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14D" w14:textId="77777777" w:rsidR="00980E5F" w:rsidRDefault="00483613">
            <w:pPr>
              <w:jc w:val="right"/>
              <w:textAlignment w:val="bottom"/>
            </w:pPr>
            <w:r>
              <w:rPr>
                <w:rFonts w:ascii="Arial" w:eastAsia="宋体" w:hAnsi="Arial" w:cs="Arial"/>
                <w:b/>
                <w:bCs/>
                <w:color w:val="000000"/>
                <w:sz w:val="12"/>
                <w:szCs w:val="12"/>
              </w:rPr>
              <w:t>(4</w:t>
            </w:r>
            <w:r>
              <w:rPr>
                <w:rFonts w:ascii="Arial" w:eastAsia="宋体" w:hAnsi="Arial" w:cs="Arial"/>
                <w:b/>
                <w:bCs/>
                <w:color w:val="000000"/>
                <w:sz w:val="12"/>
                <w:szCs w:val="12"/>
              </w:rPr>
              <w:t>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4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50" w14:textId="77777777" w:rsidR="00980E5F" w:rsidRDefault="00483613">
            <w:pPr>
              <w:jc w:val="right"/>
              <w:textAlignment w:val="bottom"/>
            </w:pPr>
            <w:r>
              <w:rPr>
                <w:rFonts w:ascii="Arial" w:eastAsia="宋体" w:hAnsi="Arial" w:cs="Arial"/>
                <w:b/>
                <w:bCs/>
                <w:color w:val="000000"/>
                <w:sz w:val="12"/>
                <w:szCs w:val="12"/>
              </w:rPr>
              <w:t>(.04)</w:t>
            </w:r>
          </w:p>
        </w:tc>
        <w:tc>
          <w:tcPr>
            <w:tcW w:w="0" w:type="auto"/>
            <w:shd w:val="clear" w:color="auto" w:fill="CCEEFF"/>
            <w:tcMar>
              <w:top w:w="40" w:type="dxa"/>
              <w:left w:w="0" w:type="dxa"/>
              <w:bottom w:w="40" w:type="dxa"/>
              <w:right w:w="20" w:type="dxa"/>
            </w:tcMar>
            <w:vAlign w:val="bottom"/>
          </w:tcPr>
          <w:p w14:paraId="392C01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5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153" w14:textId="77777777" w:rsidR="00980E5F" w:rsidRDefault="00483613">
            <w:pPr>
              <w:jc w:val="right"/>
              <w:textAlignment w:val="bottom"/>
            </w:pPr>
            <w:r>
              <w:rPr>
                <w:rFonts w:ascii="Arial" w:eastAsia="宋体" w:hAnsi="Arial" w:cs="Arial"/>
                <w:color w:val="000000"/>
                <w:sz w:val="12"/>
                <w:szCs w:val="12"/>
              </w:rPr>
              <w:t>186,501 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156" w14:textId="77777777" w:rsidR="00980E5F" w:rsidRDefault="00483613">
            <w:pPr>
              <w:jc w:val="right"/>
              <w:textAlignment w:val="bottom"/>
            </w:pPr>
            <w:r>
              <w:rPr>
                <w:rFonts w:ascii="Arial" w:eastAsia="宋体" w:hAnsi="Arial" w:cs="Arial"/>
                <w:color w:val="000000"/>
                <w:sz w:val="12"/>
                <w:szCs w:val="12"/>
              </w:rPr>
              <w:t>(134)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5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59" w14:textId="77777777" w:rsidR="00980E5F" w:rsidRDefault="00483613">
            <w:pPr>
              <w:jc w:val="right"/>
              <w:textAlignment w:val="bottom"/>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bottom"/>
          </w:tcPr>
          <w:p w14:paraId="392C015A" w14:textId="77777777" w:rsidR="00980E5F" w:rsidRDefault="00980E5F">
            <w:pPr>
              <w:jc w:val="right"/>
              <w:rPr>
                <w:rFonts w:ascii="宋体"/>
              </w:rPr>
            </w:pPr>
          </w:p>
        </w:tc>
        <w:tc>
          <w:tcPr>
            <w:tcW w:w="0" w:type="auto"/>
            <w:shd w:val="clear" w:color="auto" w:fill="auto"/>
            <w:vAlign w:val="bottom"/>
          </w:tcPr>
          <w:p w14:paraId="392C015B" w14:textId="77777777" w:rsidR="00980E5F" w:rsidRDefault="00980E5F">
            <w:pPr>
              <w:rPr>
                <w:rFonts w:ascii="宋体"/>
                <w:vanish/>
              </w:rPr>
            </w:pPr>
          </w:p>
        </w:tc>
        <w:tc>
          <w:tcPr>
            <w:tcW w:w="0" w:type="auto"/>
            <w:shd w:val="clear" w:color="auto" w:fill="auto"/>
            <w:vAlign w:val="bottom"/>
          </w:tcPr>
          <w:p w14:paraId="392C015C" w14:textId="77777777" w:rsidR="00980E5F" w:rsidRDefault="00980E5F">
            <w:pPr>
              <w:rPr>
                <w:rFonts w:ascii="宋体"/>
                <w:vanish/>
              </w:rPr>
            </w:pPr>
          </w:p>
        </w:tc>
        <w:tc>
          <w:tcPr>
            <w:tcW w:w="0" w:type="auto"/>
            <w:shd w:val="clear" w:color="auto" w:fill="auto"/>
            <w:vAlign w:val="bottom"/>
          </w:tcPr>
          <w:p w14:paraId="392C015D" w14:textId="77777777" w:rsidR="00980E5F" w:rsidRDefault="00980E5F">
            <w:pPr>
              <w:rPr>
                <w:rFonts w:ascii="宋体"/>
                <w:vanish/>
              </w:rPr>
            </w:pPr>
          </w:p>
        </w:tc>
        <w:tc>
          <w:tcPr>
            <w:tcW w:w="0" w:type="auto"/>
            <w:shd w:val="clear" w:color="auto" w:fill="auto"/>
            <w:vAlign w:val="bottom"/>
          </w:tcPr>
          <w:p w14:paraId="392C015E" w14:textId="77777777" w:rsidR="00980E5F" w:rsidRDefault="00980E5F">
            <w:pPr>
              <w:rPr>
                <w:rFonts w:ascii="宋体"/>
                <w:vanish/>
              </w:rPr>
            </w:pPr>
          </w:p>
        </w:tc>
        <w:tc>
          <w:tcPr>
            <w:tcW w:w="0" w:type="auto"/>
            <w:gridSpan w:val="3"/>
            <w:shd w:val="clear" w:color="auto" w:fill="auto"/>
            <w:vAlign w:val="bottom"/>
          </w:tcPr>
          <w:p w14:paraId="392C015F" w14:textId="77777777" w:rsidR="00980E5F" w:rsidRDefault="00980E5F">
            <w:pPr>
              <w:rPr>
                <w:rFonts w:ascii="宋体"/>
                <w:vanish/>
              </w:rPr>
            </w:pPr>
          </w:p>
        </w:tc>
        <w:tc>
          <w:tcPr>
            <w:tcW w:w="0" w:type="auto"/>
            <w:gridSpan w:val="3"/>
            <w:shd w:val="clear" w:color="auto" w:fill="auto"/>
            <w:vAlign w:val="bottom"/>
          </w:tcPr>
          <w:p w14:paraId="392C0160" w14:textId="77777777" w:rsidR="00980E5F" w:rsidRDefault="00980E5F">
            <w:pPr>
              <w:rPr>
                <w:rFonts w:ascii="宋体"/>
                <w:vanish/>
              </w:rPr>
            </w:pPr>
          </w:p>
        </w:tc>
        <w:tc>
          <w:tcPr>
            <w:tcW w:w="0" w:type="auto"/>
            <w:gridSpan w:val="3"/>
            <w:shd w:val="clear" w:color="auto" w:fill="auto"/>
            <w:vAlign w:val="bottom"/>
          </w:tcPr>
          <w:p w14:paraId="392C0161" w14:textId="77777777" w:rsidR="00980E5F" w:rsidRDefault="00980E5F">
            <w:pPr>
              <w:rPr>
                <w:rFonts w:ascii="宋体"/>
                <w:vanish/>
              </w:rPr>
            </w:pPr>
          </w:p>
        </w:tc>
        <w:tc>
          <w:tcPr>
            <w:tcW w:w="0" w:type="auto"/>
            <w:gridSpan w:val="3"/>
            <w:shd w:val="clear" w:color="auto" w:fill="auto"/>
            <w:vAlign w:val="bottom"/>
          </w:tcPr>
          <w:p w14:paraId="392C0162" w14:textId="77777777" w:rsidR="00980E5F" w:rsidRDefault="00980E5F">
            <w:pPr>
              <w:rPr>
                <w:rFonts w:ascii="宋体"/>
                <w:vanish/>
              </w:rPr>
            </w:pPr>
          </w:p>
        </w:tc>
        <w:tc>
          <w:tcPr>
            <w:tcW w:w="0" w:type="auto"/>
            <w:gridSpan w:val="2"/>
            <w:shd w:val="clear" w:color="auto" w:fill="auto"/>
            <w:vAlign w:val="bottom"/>
          </w:tcPr>
          <w:p w14:paraId="392C0163" w14:textId="77777777" w:rsidR="00980E5F" w:rsidRDefault="00980E5F">
            <w:pPr>
              <w:rPr>
                <w:rFonts w:ascii="宋体"/>
                <w:vanish/>
              </w:rPr>
            </w:pPr>
          </w:p>
        </w:tc>
        <w:tc>
          <w:tcPr>
            <w:tcW w:w="0" w:type="auto"/>
            <w:shd w:val="clear" w:color="auto" w:fill="auto"/>
            <w:vAlign w:val="bottom"/>
          </w:tcPr>
          <w:p w14:paraId="392C0164" w14:textId="77777777" w:rsidR="00980E5F" w:rsidRDefault="00980E5F">
            <w:pPr>
              <w:rPr>
                <w:rFonts w:ascii="宋体"/>
                <w:vanish/>
              </w:rPr>
            </w:pPr>
          </w:p>
        </w:tc>
      </w:tr>
      <w:tr w:rsidR="00980E5F" w14:paraId="392C0182" w14:textId="77777777">
        <w:tc>
          <w:tcPr>
            <w:tcW w:w="0" w:type="auto"/>
            <w:gridSpan w:val="3"/>
            <w:shd w:val="clear" w:color="auto" w:fill="FFFFFF"/>
            <w:tcMar>
              <w:top w:w="40" w:type="dxa"/>
              <w:left w:w="20" w:type="dxa"/>
              <w:bottom w:w="40" w:type="dxa"/>
              <w:right w:w="20" w:type="dxa"/>
            </w:tcMar>
            <w:vAlign w:val="bottom"/>
          </w:tcPr>
          <w:p w14:paraId="392C0166" w14:textId="77777777" w:rsidR="00980E5F" w:rsidRDefault="00483613">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392C0167" w14:textId="77777777" w:rsidR="00980E5F" w:rsidRDefault="00483613">
            <w:pPr>
              <w:jc w:val="right"/>
              <w:textAlignment w:val="bottom"/>
            </w:pPr>
            <w:r>
              <w:rPr>
                <w:rFonts w:ascii="Arial" w:eastAsia="宋体" w:hAnsi="Arial" w:cs="Arial"/>
                <w:b/>
                <w:bCs/>
                <w:color w:val="000000"/>
                <w:sz w:val="12"/>
                <w:szCs w:val="12"/>
              </w:rPr>
              <w:t>3,389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6A" w14:textId="77777777" w:rsidR="00980E5F" w:rsidRDefault="00483613">
            <w:pPr>
              <w:jc w:val="right"/>
              <w:textAlignment w:val="bottom"/>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6D" w14:textId="77777777" w:rsidR="00980E5F" w:rsidRDefault="00483613">
            <w:pPr>
              <w:jc w:val="right"/>
              <w:textAlignment w:val="bottom"/>
            </w:pPr>
            <w:r>
              <w:rPr>
                <w:rFonts w:ascii="Arial" w:eastAsia="宋体" w:hAnsi="Arial" w:cs="Arial"/>
                <w:b/>
                <w:bCs/>
                <w:color w:val="000000"/>
                <w:sz w:val="12"/>
                <w:szCs w:val="12"/>
              </w:rPr>
              <w:t>.17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6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70" w14:textId="77777777" w:rsidR="00980E5F" w:rsidRDefault="00483613">
            <w:pPr>
              <w:jc w:val="right"/>
              <w:textAlignment w:val="bottom"/>
            </w:pPr>
            <w:r>
              <w:rPr>
                <w:rFonts w:ascii="Arial" w:eastAsia="宋体" w:hAnsi="Arial" w:cs="Arial"/>
                <w:color w:val="000000"/>
                <w:sz w:val="12"/>
                <w:szCs w:val="12"/>
              </w:rPr>
              <w:t>745 </w:t>
            </w:r>
          </w:p>
        </w:tc>
        <w:tc>
          <w:tcPr>
            <w:tcW w:w="0" w:type="auto"/>
            <w:shd w:val="clear" w:color="auto" w:fill="FFFFFF"/>
            <w:tcMar>
              <w:top w:w="40" w:type="dxa"/>
              <w:left w:w="0" w:type="dxa"/>
              <w:bottom w:w="40" w:type="dxa"/>
              <w:right w:w="20" w:type="dxa"/>
            </w:tcMar>
            <w:vAlign w:val="bottom"/>
          </w:tcPr>
          <w:p w14:paraId="392C01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73"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76" w14:textId="77777777" w:rsidR="00980E5F" w:rsidRDefault="00483613">
            <w:pPr>
              <w:jc w:val="right"/>
              <w:textAlignment w:val="bottom"/>
            </w:pPr>
            <w:r>
              <w:rPr>
                <w:rFonts w:ascii="Arial" w:eastAsia="宋体" w:hAnsi="Arial" w:cs="Arial"/>
                <w:color w:val="000000"/>
                <w:sz w:val="12"/>
                <w:szCs w:val="12"/>
              </w:rPr>
              <w:t>.02 </w:t>
            </w:r>
          </w:p>
        </w:tc>
        <w:tc>
          <w:tcPr>
            <w:tcW w:w="0" w:type="auto"/>
            <w:shd w:val="clear" w:color="auto" w:fill="FFFFFF"/>
            <w:tcMar>
              <w:top w:w="40" w:type="dxa"/>
              <w:left w:w="0" w:type="dxa"/>
              <w:bottom w:w="40" w:type="dxa"/>
              <w:right w:w="20" w:type="dxa"/>
            </w:tcMar>
            <w:vAlign w:val="bottom"/>
          </w:tcPr>
          <w:p w14:paraId="392C0177" w14:textId="77777777" w:rsidR="00980E5F" w:rsidRDefault="00980E5F">
            <w:pPr>
              <w:jc w:val="right"/>
              <w:rPr>
                <w:rFonts w:ascii="宋体"/>
              </w:rPr>
            </w:pPr>
          </w:p>
        </w:tc>
        <w:tc>
          <w:tcPr>
            <w:tcW w:w="0" w:type="auto"/>
            <w:shd w:val="clear" w:color="auto" w:fill="auto"/>
            <w:vAlign w:val="bottom"/>
          </w:tcPr>
          <w:p w14:paraId="392C0178" w14:textId="77777777" w:rsidR="00980E5F" w:rsidRDefault="00980E5F">
            <w:pPr>
              <w:rPr>
                <w:rFonts w:ascii="宋体"/>
                <w:vanish/>
              </w:rPr>
            </w:pPr>
          </w:p>
        </w:tc>
        <w:tc>
          <w:tcPr>
            <w:tcW w:w="0" w:type="auto"/>
            <w:shd w:val="clear" w:color="auto" w:fill="auto"/>
            <w:vAlign w:val="bottom"/>
          </w:tcPr>
          <w:p w14:paraId="392C0179" w14:textId="77777777" w:rsidR="00980E5F" w:rsidRDefault="00980E5F">
            <w:pPr>
              <w:rPr>
                <w:rFonts w:ascii="宋体"/>
                <w:vanish/>
              </w:rPr>
            </w:pPr>
          </w:p>
        </w:tc>
        <w:tc>
          <w:tcPr>
            <w:tcW w:w="0" w:type="auto"/>
            <w:shd w:val="clear" w:color="auto" w:fill="auto"/>
            <w:vAlign w:val="bottom"/>
          </w:tcPr>
          <w:p w14:paraId="392C017A" w14:textId="77777777" w:rsidR="00980E5F" w:rsidRDefault="00980E5F">
            <w:pPr>
              <w:rPr>
                <w:rFonts w:ascii="宋体"/>
                <w:vanish/>
              </w:rPr>
            </w:pPr>
          </w:p>
        </w:tc>
        <w:tc>
          <w:tcPr>
            <w:tcW w:w="0" w:type="auto"/>
            <w:shd w:val="clear" w:color="auto" w:fill="auto"/>
            <w:vAlign w:val="bottom"/>
          </w:tcPr>
          <w:p w14:paraId="392C017B" w14:textId="77777777" w:rsidR="00980E5F" w:rsidRDefault="00980E5F">
            <w:pPr>
              <w:rPr>
                <w:rFonts w:ascii="宋体"/>
                <w:vanish/>
              </w:rPr>
            </w:pPr>
          </w:p>
        </w:tc>
        <w:tc>
          <w:tcPr>
            <w:tcW w:w="0" w:type="auto"/>
            <w:gridSpan w:val="3"/>
            <w:shd w:val="clear" w:color="auto" w:fill="auto"/>
            <w:vAlign w:val="bottom"/>
          </w:tcPr>
          <w:p w14:paraId="392C017C" w14:textId="77777777" w:rsidR="00980E5F" w:rsidRDefault="00980E5F">
            <w:pPr>
              <w:rPr>
                <w:rFonts w:ascii="宋体"/>
                <w:vanish/>
              </w:rPr>
            </w:pPr>
          </w:p>
        </w:tc>
        <w:tc>
          <w:tcPr>
            <w:tcW w:w="0" w:type="auto"/>
            <w:gridSpan w:val="3"/>
            <w:shd w:val="clear" w:color="auto" w:fill="auto"/>
            <w:vAlign w:val="bottom"/>
          </w:tcPr>
          <w:p w14:paraId="392C017D" w14:textId="77777777" w:rsidR="00980E5F" w:rsidRDefault="00980E5F">
            <w:pPr>
              <w:rPr>
                <w:rFonts w:ascii="宋体"/>
                <w:vanish/>
              </w:rPr>
            </w:pPr>
          </w:p>
        </w:tc>
        <w:tc>
          <w:tcPr>
            <w:tcW w:w="0" w:type="auto"/>
            <w:gridSpan w:val="3"/>
            <w:shd w:val="clear" w:color="auto" w:fill="auto"/>
            <w:vAlign w:val="bottom"/>
          </w:tcPr>
          <w:p w14:paraId="392C017E" w14:textId="77777777" w:rsidR="00980E5F" w:rsidRDefault="00980E5F">
            <w:pPr>
              <w:rPr>
                <w:rFonts w:ascii="宋体"/>
                <w:vanish/>
              </w:rPr>
            </w:pPr>
          </w:p>
        </w:tc>
        <w:tc>
          <w:tcPr>
            <w:tcW w:w="0" w:type="auto"/>
            <w:gridSpan w:val="3"/>
            <w:shd w:val="clear" w:color="auto" w:fill="auto"/>
            <w:vAlign w:val="bottom"/>
          </w:tcPr>
          <w:p w14:paraId="392C017F" w14:textId="77777777" w:rsidR="00980E5F" w:rsidRDefault="00980E5F">
            <w:pPr>
              <w:rPr>
                <w:rFonts w:ascii="宋体"/>
                <w:vanish/>
              </w:rPr>
            </w:pPr>
          </w:p>
        </w:tc>
        <w:tc>
          <w:tcPr>
            <w:tcW w:w="0" w:type="auto"/>
            <w:gridSpan w:val="2"/>
            <w:shd w:val="clear" w:color="auto" w:fill="auto"/>
            <w:vAlign w:val="bottom"/>
          </w:tcPr>
          <w:p w14:paraId="392C0180" w14:textId="77777777" w:rsidR="00980E5F" w:rsidRDefault="00980E5F">
            <w:pPr>
              <w:rPr>
                <w:rFonts w:ascii="宋体"/>
                <w:vanish/>
              </w:rPr>
            </w:pPr>
          </w:p>
        </w:tc>
        <w:tc>
          <w:tcPr>
            <w:tcW w:w="0" w:type="auto"/>
            <w:shd w:val="clear" w:color="auto" w:fill="auto"/>
            <w:vAlign w:val="bottom"/>
          </w:tcPr>
          <w:p w14:paraId="392C0181" w14:textId="77777777" w:rsidR="00980E5F" w:rsidRDefault="00980E5F">
            <w:pPr>
              <w:rPr>
                <w:rFonts w:ascii="宋体"/>
                <w:vanish/>
              </w:rPr>
            </w:pPr>
          </w:p>
        </w:tc>
      </w:tr>
      <w:tr w:rsidR="00980E5F" w14:paraId="392C019F" w14:textId="77777777">
        <w:tc>
          <w:tcPr>
            <w:tcW w:w="0" w:type="auto"/>
            <w:gridSpan w:val="3"/>
            <w:shd w:val="clear" w:color="auto" w:fill="CCEEFF"/>
            <w:tcMar>
              <w:top w:w="40" w:type="dxa"/>
              <w:left w:w="20" w:type="dxa"/>
              <w:bottom w:w="40" w:type="dxa"/>
              <w:right w:w="20" w:type="dxa"/>
            </w:tcMar>
            <w:vAlign w:val="bottom"/>
          </w:tcPr>
          <w:p w14:paraId="392C0183" w14:textId="77777777" w:rsidR="00980E5F" w:rsidRDefault="00483613">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392C0184"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87"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8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8A"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8D" w14:textId="77777777" w:rsidR="00980E5F" w:rsidRDefault="00483613">
            <w:pPr>
              <w:jc w:val="right"/>
              <w:textAlignment w:val="bottom"/>
            </w:pPr>
            <w:r>
              <w:rPr>
                <w:rFonts w:ascii="Arial" w:eastAsia="宋体" w:hAnsi="Arial" w:cs="Arial"/>
                <w:color w:val="000000"/>
                <w:sz w:val="12"/>
                <w:szCs w:val="12"/>
              </w:rPr>
              <w:t>635 </w:t>
            </w:r>
          </w:p>
        </w:tc>
        <w:tc>
          <w:tcPr>
            <w:tcW w:w="0" w:type="auto"/>
            <w:shd w:val="clear" w:color="auto" w:fill="CCEEFF"/>
            <w:tcMar>
              <w:top w:w="40" w:type="dxa"/>
              <w:left w:w="0" w:type="dxa"/>
              <w:bottom w:w="40" w:type="dxa"/>
              <w:right w:w="20" w:type="dxa"/>
            </w:tcMar>
            <w:vAlign w:val="bottom"/>
          </w:tcPr>
          <w:p w14:paraId="392C01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8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90" w14:textId="77777777" w:rsidR="00980E5F" w:rsidRDefault="00483613">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392C01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93" w14:textId="77777777" w:rsidR="00980E5F" w:rsidRDefault="00483613">
            <w:pPr>
              <w:jc w:val="right"/>
              <w:textAlignment w:val="bottom"/>
            </w:pPr>
            <w:r>
              <w:rPr>
                <w:rFonts w:ascii="Arial" w:eastAsia="宋体" w:hAnsi="Arial" w:cs="Arial"/>
                <w:color w:val="000000"/>
                <w:sz w:val="12"/>
                <w:szCs w:val="12"/>
              </w:rPr>
              <w:t>1.21 </w:t>
            </w:r>
          </w:p>
        </w:tc>
        <w:tc>
          <w:tcPr>
            <w:tcW w:w="0" w:type="auto"/>
            <w:shd w:val="clear" w:color="auto" w:fill="CCEEFF"/>
            <w:tcMar>
              <w:top w:w="40" w:type="dxa"/>
              <w:left w:w="0" w:type="dxa"/>
              <w:bottom w:w="40" w:type="dxa"/>
              <w:right w:w="20" w:type="dxa"/>
            </w:tcMar>
            <w:vAlign w:val="bottom"/>
          </w:tcPr>
          <w:p w14:paraId="392C0194" w14:textId="77777777" w:rsidR="00980E5F" w:rsidRDefault="00980E5F">
            <w:pPr>
              <w:jc w:val="right"/>
              <w:rPr>
                <w:rFonts w:ascii="宋体"/>
              </w:rPr>
            </w:pPr>
          </w:p>
        </w:tc>
        <w:tc>
          <w:tcPr>
            <w:tcW w:w="0" w:type="auto"/>
            <w:shd w:val="clear" w:color="auto" w:fill="auto"/>
            <w:vAlign w:val="bottom"/>
          </w:tcPr>
          <w:p w14:paraId="392C0195" w14:textId="77777777" w:rsidR="00980E5F" w:rsidRDefault="00980E5F">
            <w:pPr>
              <w:rPr>
                <w:rFonts w:ascii="宋体"/>
                <w:vanish/>
              </w:rPr>
            </w:pPr>
          </w:p>
        </w:tc>
        <w:tc>
          <w:tcPr>
            <w:tcW w:w="0" w:type="auto"/>
            <w:shd w:val="clear" w:color="auto" w:fill="auto"/>
            <w:vAlign w:val="bottom"/>
          </w:tcPr>
          <w:p w14:paraId="392C0196" w14:textId="77777777" w:rsidR="00980E5F" w:rsidRDefault="00980E5F">
            <w:pPr>
              <w:rPr>
                <w:rFonts w:ascii="宋体"/>
                <w:vanish/>
              </w:rPr>
            </w:pPr>
          </w:p>
        </w:tc>
        <w:tc>
          <w:tcPr>
            <w:tcW w:w="0" w:type="auto"/>
            <w:shd w:val="clear" w:color="auto" w:fill="auto"/>
            <w:vAlign w:val="bottom"/>
          </w:tcPr>
          <w:p w14:paraId="392C0197" w14:textId="77777777" w:rsidR="00980E5F" w:rsidRDefault="00980E5F">
            <w:pPr>
              <w:rPr>
                <w:rFonts w:ascii="宋体"/>
                <w:vanish/>
              </w:rPr>
            </w:pPr>
          </w:p>
        </w:tc>
        <w:tc>
          <w:tcPr>
            <w:tcW w:w="0" w:type="auto"/>
            <w:shd w:val="clear" w:color="auto" w:fill="auto"/>
            <w:vAlign w:val="bottom"/>
          </w:tcPr>
          <w:p w14:paraId="392C0198" w14:textId="77777777" w:rsidR="00980E5F" w:rsidRDefault="00980E5F">
            <w:pPr>
              <w:rPr>
                <w:rFonts w:ascii="宋体"/>
                <w:vanish/>
              </w:rPr>
            </w:pPr>
          </w:p>
        </w:tc>
        <w:tc>
          <w:tcPr>
            <w:tcW w:w="0" w:type="auto"/>
            <w:gridSpan w:val="3"/>
            <w:shd w:val="clear" w:color="auto" w:fill="auto"/>
            <w:vAlign w:val="bottom"/>
          </w:tcPr>
          <w:p w14:paraId="392C0199" w14:textId="77777777" w:rsidR="00980E5F" w:rsidRDefault="00980E5F">
            <w:pPr>
              <w:rPr>
                <w:rFonts w:ascii="宋体"/>
                <w:vanish/>
              </w:rPr>
            </w:pPr>
          </w:p>
        </w:tc>
        <w:tc>
          <w:tcPr>
            <w:tcW w:w="0" w:type="auto"/>
            <w:gridSpan w:val="3"/>
            <w:shd w:val="clear" w:color="auto" w:fill="auto"/>
            <w:vAlign w:val="bottom"/>
          </w:tcPr>
          <w:p w14:paraId="392C019A" w14:textId="77777777" w:rsidR="00980E5F" w:rsidRDefault="00980E5F">
            <w:pPr>
              <w:rPr>
                <w:rFonts w:ascii="宋体"/>
                <w:vanish/>
              </w:rPr>
            </w:pPr>
          </w:p>
        </w:tc>
        <w:tc>
          <w:tcPr>
            <w:tcW w:w="0" w:type="auto"/>
            <w:gridSpan w:val="3"/>
            <w:shd w:val="clear" w:color="auto" w:fill="auto"/>
            <w:vAlign w:val="bottom"/>
          </w:tcPr>
          <w:p w14:paraId="392C019B" w14:textId="77777777" w:rsidR="00980E5F" w:rsidRDefault="00980E5F">
            <w:pPr>
              <w:rPr>
                <w:rFonts w:ascii="宋体"/>
                <w:vanish/>
              </w:rPr>
            </w:pPr>
          </w:p>
        </w:tc>
        <w:tc>
          <w:tcPr>
            <w:tcW w:w="0" w:type="auto"/>
            <w:gridSpan w:val="3"/>
            <w:shd w:val="clear" w:color="auto" w:fill="auto"/>
            <w:vAlign w:val="bottom"/>
          </w:tcPr>
          <w:p w14:paraId="392C019C" w14:textId="77777777" w:rsidR="00980E5F" w:rsidRDefault="00980E5F">
            <w:pPr>
              <w:rPr>
                <w:rFonts w:ascii="宋体"/>
                <w:vanish/>
              </w:rPr>
            </w:pPr>
          </w:p>
        </w:tc>
        <w:tc>
          <w:tcPr>
            <w:tcW w:w="0" w:type="auto"/>
            <w:gridSpan w:val="2"/>
            <w:shd w:val="clear" w:color="auto" w:fill="auto"/>
            <w:vAlign w:val="bottom"/>
          </w:tcPr>
          <w:p w14:paraId="392C019D" w14:textId="77777777" w:rsidR="00980E5F" w:rsidRDefault="00980E5F">
            <w:pPr>
              <w:rPr>
                <w:rFonts w:ascii="宋体"/>
                <w:vanish/>
              </w:rPr>
            </w:pPr>
          </w:p>
        </w:tc>
        <w:tc>
          <w:tcPr>
            <w:tcW w:w="0" w:type="auto"/>
            <w:shd w:val="clear" w:color="auto" w:fill="auto"/>
            <w:vAlign w:val="bottom"/>
          </w:tcPr>
          <w:p w14:paraId="392C019E" w14:textId="77777777" w:rsidR="00980E5F" w:rsidRDefault="00980E5F">
            <w:pPr>
              <w:rPr>
                <w:rFonts w:ascii="宋体"/>
                <w:vanish/>
              </w:rPr>
            </w:pPr>
          </w:p>
        </w:tc>
      </w:tr>
      <w:tr w:rsidR="00980E5F" w14:paraId="392C01BC" w14:textId="77777777">
        <w:tc>
          <w:tcPr>
            <w:tcW w:w="0" w:type="auto"/>
            <w:gridSpan w:val="3"/>
            <w:shd w:val="clear" w:color="auto" w:fill="FFFFFF"/>
            <w:tcMar>
              <w:top w:w="40" w:type="dxa"/>
              <w:left w:w="20" w:type="dxa"/>
              <w:bottom w:w="40" w:type="dxa"/>
              <w:right w:w="20" w:type="dxa"/>
            </w:tcMar>
            <w:vAlign w:val="bottom"/>
          </w:tcPr>
          <w:p w14:paraId="392C01A0" w14:textId="77777777" w:rsidR="00980E5F" w:rsidRDefault="00483613">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392C01A1" w14:textId="77777777" w:rsidR="00980E5F" w:rsidRDefault="00483613">
            <w:pPr>
              <w:jc w:val="right"/>
              <w:textAlignment w:val="bottom"/>
            </w:pPr>
            <w:r>
              <w:rPr>
                <w:rFonts w:ascii="Arial" w:eastAsia="宋体" w:hAnsi="Arial" w:cs="Arial"/>
                <w:b/>
                <w:bCs/>
                <w:color w:val="000000"/>
                <w:sz w:val="12"/>
                <w:szCs w:val="12"/>
              </w:rPr>
              <w:t>776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A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A4" w14:textId="77777777" w:rsidR="00980E5F" w:rsidRDefault="00483613">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A7" w14:textId="77777777" w:rsidR="00980E5F" w:rsidRDefault="00483613">
            <w:pPr>
              <w:jc w:val="right"/>
              <w:textAlignment w:val="bottom"/>
            </w:pPr>
            <w:r>
              <w:rPr>
                <w:rFonts w:ascii="Arial" w:eastAsia="宋体" w:hAnsi="Arial" w:cs="Arial"/>
                <w:b/>
                <w:bCs/>
                <w:color w:val="000000"/>
                <w:sz w:val="12"/>
                <w:szCs w:val="12"/>
              </w:rPr>
              <w:t>.32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AA" w14:textId="77777777" w:rsidR="00980E5F" w:rsidRDefault="00483613">
            <w:pPr>
              <w:jc w:val="right"/>
              <w:textAlignment w:val="bottom"/>
            </w:pPr>
            <w:r>
              <w:rPr>
                <w:rFonts w:ascii="Arial" w:eastAsia="宋体" w:hAnsi="Arial" w:cs="Arial"/>
                <w:color w:val="000000"/>
                <w:sz w:val="12"/>
                <w:szCs w:val="12"/>
              </w:rPr>
              <w:t>829 </w:t>
            </w:r>
          </w:p>
        </w:tc>
        <w:tc>
          <w:tcPr>
            <w:tcW w:w="0" w:type="auto"/>
            <w:shd w:val="clear" w:color="auto" w:fill="FFFFFF"/>
            <w:tcMar>
              <w:top w:w="40" w:type="dxa"/>
              <w:left w:w="0" w:type="dxa"/>
              <w:bottom w:w="40" w:type="dxa"/>
              <w:right w:w="20" w:type="dxa"/>
            </w:tcMar>
            <w:vAlign w:val="bottom"/>
          </w:tcPr>
          <w:p w14:paraId="392C01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AD" w14:textId="77777777" w:rsidR="00980E5F" w:rsidRDefault="00483613">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392C01A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A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B0" w14:textId="77777777" w:rsidR="00980E5F" w:rsidRDefault="00483613">
            <w:pPr>
              <w:jc w:val="right"/>
              <w:textAlignment w:val="bottom"/>
            </w:pPr>
            <w:r>
              <w:rPr>
                <w:rFonts w:ascii="Arial" w:eastAsia="宋体" w:hAnsi="Arial" w:cs="Arial"/>
                <w:color w:val="000000"/>
                <w:sz w:val="12"/>
                <w:szCs w:val="12"/>
              </w:rPr>
              <w:t>.21 </w:t>
            </w:r>
          </w:p>
        </w:tc>
        <w:tc>
          <w:tcPr>
            <w:tcW w:w="0" w:type="auto"/>
            <w:shd w:val="clear" w:color="auto" w:fill="FFFFFF"/>
            <w:tcMar>
              <w:top w:w="40" w:type="dxa"/>
              <w:left w:w="0" w:type="dxa"/>
              <w:bottom w:w="40" w:type="dxa"/>
              <w:right w:w="20" w:type="dxa"/>
            </w:tcMar>
            <w:vAlign w:val="bottom"/>
          </w:tcPr>
          <w:p w14:paraId="392C01B1" w14:textId="77777777" w:rsidR="00980E5F" w:rsidRDefault="00980E5F">
            <w:pPr>
              <w:jc w:val="right"/>
              <w:rPr>
                <w:rFonts w:ascii="宋体"/>
              </w:rPr>
            </w:pPr>
          </w:p>
        </w:tc>
        <w:tc>
          <w:tcPr>
            <w:tcW w:w="0" w:type="auto"/>
            <w:shd w:val="clear" w:color="auto" w:fill="auto"/>
            <w:vAlign w:val="bottom"/>
          </w:tcPr>
          <w:p w14:paraId="392C01B2" w14:textId="77777777" w:rsidR="00980E5F" w:rsidRDefault="00980E5F">
            <w:pPr>
              <w:rPr>
                <w:rFonts w:ascii="宋体"/>
                <w:vanish/>
              </w:rPr>
            </w:pPr>
          </w:p>
        </w:tc>
        <w:tc>
          <w:tcPr>
            <w:tcW w:w="0" w:type="auto"/>
            <w:shd w:val="clear" w:color="auto" w:fill="auto"/>
            <w:vAlign w:val="bottom"/>
          </w:tcPr>
          <w:p w14:paraId="392C01B3" w14:textId="77777777" w:rsidR="00980E5F" w:rsidRDefault="00980E5F">
            <w:pPr>
              <w:rPr>
                <w:rFonts w:ascii="宋体"/>
                <w:vanish/>
              </w:rPr>
            </w:pPr>
          </w:p>
        </w:tc>
        <w:tc>
          <w:tcPr>
            <w:tcW w:w="0" w:type="auto"/>
            <w:shd w:val="clear" w:color="auto" w:fill="auto"/>
            <w:vAlign w:val="bottom"/>
          </w:tcPr>
          <w:p w14:paraId="392C01B4" w14:textId="77777777" w:rsidR="00980E5F" w:rsidRDefault="00980E5F">
            <w:pPr>
              <w:rPr>
                <w:rFonts w:ascii="宋体"/>
                <w:vanish/>
              </w:rPr>
            </w:pPr>
          </w:p>
        </w:tc>
        <w:tc>
          <w:tcPr>
            <w:tcW w:w="0" w:type="auto"/>
            <w:shd w:val="clear" w:color="auto" w:fill="auto"/>
            <w:vAlign w:val="bottom"/>
          </w:tcPr>
          <w:p w14:paraId="392C01B5" w14:textId="77777777" w:rsidR="00980E5F" w:rsidRDefault="00980E5F">
            <w:pPr>
              <w:rPr>
                <w:rFonts w:ascii="宋体"/>
                <w:vanish/>
              </w:rPr>
            </w:pPr>
          </w:p>
        </w:tc>
        <w:tc>
          <w:tcPr>
            <w:tcW w:w="0" w:type="auto"/>
            <w:gridSpan w:val="3"/>
            <w:shd w:val="clear" w:color="auto" w:fill="auto"/>
            <w:vAlign w:val="bottom"/>
          </w:tcPr>
          <w:p w14:paraId="392C01B6" w14:textId="77777777" w:rsidR="00980E5F" w:rsidRDefault="00980E5F">
            <w:pPr>
              <w:rPr>
                <w:rFonts w:ascii="宋体"/>
                <w:vanish/>
              </w:rPr>
            </w:pPr>
          </w:p>
        </w:tc>
        <w:tc>
          <w:tcPr>
            <w:tcW w:w="0" w:type="auto"/>
            <w:gridSpan w:val="3"/>
            <w:shd w:val="clear" w:color="auto" w:fill="auto"/>
            <w:vAlign w:val="bottom"/>
          </w:tcPr>
          <w:p w14:paraId="392C01B7" w14:textId="77777777" w:rsidR="00980E5F" w:rsidRDefault="00980E5F">
            <w:pPr>
              <w:rPr>
                <w:rFonts w:ascii="宋体"/>
                <w:vanish/>
              </w:rPr>
            </w:pPr>
          </w:p>
        </w:tc>
        <w:tc>
          <w:tcPr>
            <w:tcW w:w="0" w:type="auto"/>
            <w:gridSpan w:val="3"/>
            <w:shd w:val="clear" w:color="auto" w:fill="auto"/>
            <w:vAlign w:val="bottom"/>
          </w:tcPr>
          <w:p w14:paraId="392C01B8" w14:textId="77777777" w:rsidR="00980E5F" w:rsidRDefault="00980E5F">
            <w:pPr>
              <w:rPr>
                <w:rFonts w:ascii="宋体"/>
                <w:vanish/>
              </w:rPr>
            </w:pPr>
          </w:p>
        </w:tc>
        <w:tc>
          <w:tcPr>
            <w:tcW w:w="0" w:type="auto"/>
            <w:gridSpan w:val="3"/>
            <w:shd w:val="clear" w:color="auto" w:fill="auto"/>
            <w:vAlign w:val="bottom"/>
          </w:tcPr>
          <w:p w14:paraId="392C01B9" w14:textId="77777777" w:rsidR="00980E5F" w:rsidRDefault="00980E5F">
            <w:pPr>
              <w:rPr>
                <w:rFonts w:ascii="宋体"/>
                <w:vanish/>
              </w:rPr>
            </w:pPr>
          </w:p>
        </w:tc>
        <w:tc>
          <w:tcPr>
            <w:tcW w:w="0" w:type="auto"/>
            <w:gridSpan w:val="2"/>
            <w:shd w:val="clear" w:color="auto" w:fill="auto"/>
            <w:vAlign w:val="bottom"/>
          </w:tcPr>
          <w:p w14:paraId="392C01BA" w14:textId="77777777" w:rsidR="00980E5F" w:rsidRDefault="00980E5F">
            <w:pPr>
              <w:rPr>
                <w:rFonts w:ascii="宋体"/>
                <w:vanish/>
              </w:rPr>
            </w:pPr>
          </w:p>
        </w:tc>
        <w:tc>
          <w:tcPr>
            <w:tcW w:w="0" w:type="auto"/>
            <w:shd w:val="clear" w:color="auto" w:fill="auto"/>
            <w:vAlign w:val="bottom"/>
          </w:tcPr>
          <w:p w14:paraId="392C01BB" w14:textId="77777777" w:rsidR="00980E5F" w:rsidRDefault="00980E5F">
            <w:pPr>
              <w:rPr>
                <w:rFonts w:ascii="宋体"/>
                <w:vanish/>
              </w:rPr>
            </w:pPr>
          </w:p>
        </w:tc>
      </w:tr>
      <w:tr w:rsidR="00980E5F" w14:paraId="392C01D9" w14:textId="77777777">
        <w:tc>
          <w:tcPr>
            <w:tcW w:w="0" w:type="auto"/>
            <w:gridSpan w:val="3"/>
            <w:shd w:val="clear" w:color="auto" w:fill="CCEEFF"/>
            <w:tcMar>
              <w:top w:w="40" w:type="dxa"/>
              <w:left w:w="20" w:type="dxa"/>
              <w:bottom w:w="40" w:type="dxa"/>
              <w:right w:w="20" w:type="dxa"/>
            </w:tcMar>
            <w:vAlign w:val="bottom"/>
          </w:tcPr>
          <w:p w14:paraId="392C01BD" w14:textId="77777777" w:rsidR="00980E5F" w:rsidRDefault="00483613">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392C01BE" w14:textId="77777777" w:rsidR="00980E5F" w:rsidRDefault="00483613">
            <w:pPr>
              <w:jc w:val="right"/>
              <w:textAlignment w:val="bottom"/>
            </w:pPr>
            <w:r>
              <w:rPr>
                <w:rFonts w:ascii="Arial" w:eastAsia="宋体" w:hAnsi="Arial" w:cs="Arial"/>
                <w:b/>
                <w:bCs/>
                <w:color w:val="000000"/>
                <w:sz w:val="12"/>
                <w:szCs w:val="12"/>
              </w:rPr>
              <w:t>13,982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C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C1" w14:textId="77777777" w:rsidR="00980E5F" w:rsidRDefault="00483613">
            <w:pPr>
              <w:jc w:val="right"/>
              <w:textAlignment w:val="bottom"/>
            </w:pPr>
            <w:r>
              <w:rPr>
                <w:rFonts w:ascii="Arial" w:eastAsia="宋体" w:hAnsi="Arial" w:cs="Arial"/>
                <w:b/>
                <w:bCs/>
                <w:color w:val="000000"/>
                <w:sz w:val="12"/>
                <w:szCs w:val="12"/>
              </w:rPr>
              <w:t>137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C4" w14:textId="77777777" w:rsidR="00980E5F" w:rsidRDefault="00483613">
            <w:pPr>
              <w:jc w:val="right"/>
              <w:textAlignment w:val="bottom"/>
            </w:pPr>
            <w:r>
              <w:rPr>
                <w:rFonts w:ascii="Arial" w:eastAsia="宋体" w:hAnsi="Arial" w:cs="Arial"/>
                <w:b/>
                <w:bCs/>
                <w:color w:val="000000"/>
                <w:sz w:val="12"/>
                <w:szCs w:val="12"/>
              </w:rPr>
              <w:t>1.97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1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C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C7" w14:textId="77777777" w:rsidR="00980E5F" w:rsidRDefault="00483613">
            <w:pPr>
              <w:jc w:val="right"/>
              <w:textAlignment w:val="bottom"/>
            </w:pPr>
            <w:r>
              <w:rPr>
                <w:rFonts w:ascii="Arial" w:eastAsia="宋体" w:hAnsi="Arial" w:cs="Arial"/>
                <w:color w:val="000000"/>
                <w:sz w:val="12"/>
                <w:szCs w:val="12"/>
              </w:rPr>
              <w:t>13,639 </w:t>
            </w:r>
          </w:p>
        </w:tc>
        <w:tc>
          <w:tcPr>
            <w:tcW w:w="0" w:type="auto"/>
            <w:shd w:val="clear" w:color="auto" w:fill="CCEEFF"/>
            <w:tcMar>
              <w:top w:w="40" w:type="dxa"/>
              <w:left w:w="0" w:type="dxa"/>
              <w:bottom w:w="40" w:type="dxa"/>
              <w:right w:w="20" w:type="dxa"/>
            </w:tcMar>
            <w:vAlign w:val="bottom"/>
          </w:tcPr>
          <w:p w14:paraId="392C01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CA" w14:textId="77777777" w:rsidR="00980E5F" w:rsidRDefault="00483613">
            <w:pPr>
              <w:jc w:val="right"/>
              <w:textAlignment w:val="bottom"/>
            </w:pPr>
            <w:r>
              <w:rPr>
                <w:rFonts w:ascii="Arial" w:eastAsia="宋体" w:hAnsi="Arial" w:cs="Arial"/>
                <w:color w:val="000000"/>
                <w:sz w:val="12"/>
                <w:szCs w:val="12"/>
              </w:rPr>
              <w:t>114 </w:t>
            </w:r>
          </w:p>
        </w:tc>
        <w:tc>
          <w:tcPr>
            <w:tcW w:w="0" w:type="auto"/>
            <w:shd w:val="clear" w:color="auto" w:fill="CCEEFF"/>
            <w:tcMar>
              <w:top w:w="40" w:type="dxa"/>
              <w:left w:w="0" w:type="dxa"/>
              <w:bottom w:w="40" w:type="dxa"/>
              <w:right w:w="20" w:type="dxa"/>
            </w:tcMar>
            <w:vAlign w:val="bottom"/>
          </w:tcPr>
          <w:p w14:paraId="392C01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1CD" w14:textId="77777777" w:rsidR="00980E5F" w:rsidRDefault="00483613">
            <w:pPr>
              <w:jc w:val="right"/>
              <w:textAlignment w:val="bottom"/>
            </w:pPr>
            <w:r>
              <w:rPr>
                <w:rFonts w:ascii="Arial" w:eastAsia="宋体" w:hAnsi="Arial" w:cs="Arial"/>
                <w:color w:val="000000"/>
                <w:sz w:val="12"/>
                <w:szCs w:val="12"/>
              </w:rPr>
              <w:t>1.67 </w:t>
            </w:r>
          </w:p>
        </w:tc>
        <w:tc>
          <w:tcPr>
            <w:tcW w:w="0" w:type="auto"/>
            <w:shd w:val="clear" w:color="auto" w:fill="CCEEFF"/>
            <w:tcMar>
              <w:top w:w="40" w:type="dxa"/>
              <w:left w:w="0" w:type="dxa"/>
              <w:bottom w:w="40" w:type="dxa"/>
              <w:right w:w="20" w:type="dxa"/>
            </w:tcMar>
            <w:vAlign w:val="bottom"/>
          </w:tcPr>
          <w:p w14:paraId="392C01CE" w14:textId="77777777" w:rsidR="00980E5F" w:rsidRDefault="00980E5F">
            <w:pPr>
              <w:jc w:val="right"/>
              <w:rPr>
                <w:rFonts w:ascii="宋体"/>
              </w:rPr>
            </w:pPr>
          </w:p>
        </w:tc>
        <w:tc>
          <w:tcPr>
            <w:tcW w:w="0" w:type="auto"/>
            <w:shd w:val="clear" w:color="auto" w:fill="auto"/>
            <w:vAlign w:val="bottom"/>
          </w:tcPr>
          <w:p w14:paraId="392C01CF" w14:textId="77777777" w:rsidR="00980E5F" w:rsidRDefault="00980E5F">
            <w:pPr>
              <w:rPr>
                <w:rFonts w:ascii="宋体"/>
                <w:vanish/>
              </w:rPr>
            </w:pPr>
          </w:p>
        </w:tc>
        <w:tc>
          <w:tcPr>
            <w:tcW w:w="0" w:type="auto"/>
            <w:shd w:val="clear" w:color="auto" w:fill="auto"/>
            <w:vAlign w:val="bottom"/>
          </w:tcPr>
          <w:p w14:paraId="392C01D0" w14:textId="77777777" w:rsidR="00980E5F" w:rsidRDefault="00980E5F">
            <w:pPr>
              <w:rPr>
                <w:rFonts w:ascii="宋体"/>
                <w:vanish/>
              </w:rPr>
            </w:pPr>
          </w:p>
        </w:tc>
        <w:tc>
          <w:tcPr>
            <w:tcW w:w="0" w:type="auto"/>
            <w:shd w:val="clear" w:color="auto" w:fill="auto"/>
            <w:vAlign w:val="bottom"/>
          </w:tcPr>
          <w:p w14:paraId="392C01D1" w14:textId="77777777" w:rsidR="00980E5F" w:rsidRDefault="00980E5F">
            <w:pPr>
              <w:rPr>
                <w:rFonts w:ascii="宋体"/>
                <w:vanish/>
              </w:rPr>
            </w:pPr>
          </w:p>
        </w:tc>
        <w:tc>
          <w:tcPr>
            <w:tcW w:w="0" w:type="auto"/>
            <w:shd w:val="clear" w:color="auto" w:fill="auto"/>
            <w:vAlign w:val="bottom"/>
          </w:tcPr>
          <w:p w14:paraId="392C01D2" w14:textId="77777777" w:rsidR="00980E5F" w:rsidRDefault="00980E5F">
            <w:pPr>
              <w:rPr>
                <w:rFonts w:ascii="宋体"/>
                <w:vanish/>
              </w:rPr>
            </w:pPr>
          </w:p>
        </w:tc>
        <w:tc>
          <w:tcPr>
            <w:tcW w:w="0" w:type="auto"/>
            <w:gridSpan w:val="3"/>
            <w:shd w:val="clear" w:color="auto" w:fill="auto"/>
            <w:vAlign w:val="bottom"/>
          </w:tcPr>
          <w:p w14:paraId="392C01D3" w14:textId="77777777" w:rsidR="00980E5F" w:rsidRDefault="00980E5F">
            <w:pPr>
              <w:rPr>
                <w:rFonts w:ascii="宋体"/>
                <w:vanish/>
              </w:rPr>
            </w:pPr>
          </w:p>
        </w:tc>
        <w:tc>
          <w:tcPr>
            <w:tcW w:w="0" w:type="auto"/>
            <w:gridSpan w:val="3"/>
            <w:shd w:val="clear" w:color="auto" w:fill="auto"/>
            <w:vAlign w:val="bottom"/>
          </w:tcPr>
          <w:p w14:paraId="392C01D4" w14:textId="77777777" w:rsidR="00980E5F" w:rsidRDefault="00980E5F">
            <w:pPr>
              <w:rPr>
                <w:rFonts w:ascii="宋体"/>
                <w:vanish/>
              </w:rPr>
            </w:pPr>
          </w:p>
        </w:tc>
        <w:tc>
          <w:tcPr>
            <w:tcW w:w="0" w:type="auto"/>
            <w:gridSpan w:val="3"/>
            <w:shd w:val="clear" w:color="auto" w:fill="auto"/>
            <w:vAlign w:val="bottom"/>
          </w:tcPr>
          <w:p w14:paraId="392C01D5" w14:textId="77777777" w:rsidR="00980E5F" w:rsidRDefault="00980E5F">
            <w:pPr>
              <w:rPr>
                <w:rFonts w:ascii="宋体"/>
                <w:vanish/>
              </w:rPr>
            </w:pPr>
          </w:p>
        </w:tc>
        <w:tc>
          <w:tcPr>
            <w:tcW w:w="0" w:type="auto"/>
            <w:gridSpan w:val="3"/>
            <w:shd w:val="clear" w:color="auto" w:fill="auto"/>
            <w:vAlign w:val="bottom"/>
          </w:tcPr>
          <w:p w14:paraId="392C01D6" w14:textId="77777777" w:rsidR="00980E5F" w:rsidRDefault="00980E5F">
            <w:pPr>
              <w:rPr>
                <w:rFonts w:ascii="宋体"/>
                <w:vanish/>
              </w:rPr>
            </w:pPr>
          </w:p>
        </w:tc>
        <w:tc>
          <w:tcPr>
            <w:tcW w:w="0" w:type="auto"/>
            <w:gridSpan w:val="2"/>
            <w:shd w:val="clear" w:color="auto" w:fill="auto"/>
            <w:vAlign w:val="bottom"/>
          </w:tcPr>
          <w:p w14:paraId="392C01D7" w14:textId="77777777" w:rsidR="00980E5F" w:rsidRDefault="00980E5F">
            <w:pPr>
              <w:rPr>
                <w:rFonts w:ascii="宋体"/>
                <w:vanish/>
              </w:rPr>
            </w:pPr>
          </w:p>
        </w:tc>
        <w:tc>
          <w:tcPr>
            <w:tcW w:w="0" w:type="auto"/>
            <w:shd w:val="clear" w:color="auto" w:fill="auto"/>
            <w:vAlign w:val="bottom"/>
          </w:tcPr>
          <w:p w14:paraId="392C01D8" w14:textId="77777777" w:rsidR="00980E5F" w:rsidRDefault="00980E5F">
            <w:pPr>
              <w:rPr>
                <w:rFonts w:ascii="宋体"/>
                <w:vanish/>
              </w:rPr>
            </w:pPr>
          </w:p>
        </w:tc>
      </w:tr>
      <w:tr w:rsidR="00980E5F" w14:paraId="392C01F6" w14:textId="77777777">
        <w:tc>
          <w:tcPr>
            <w:tcW w:w="0" w:type="auto"/>
            <w:gridSpan w:val="3"/>
            <w:shd w:val="clear" w:color="auto" w:fill="FFFFFF"/>
            <w:tcMar>
              <w:top w:w="40" w:type="dxa"/>
              <w:left w:w="20" w:type="dxa"/>
              <w:bottom w:w="40" w:type="dxa"/>
              <w:right w:w="20" w:type="dxa"/>
            </w:tcMar>
            <w:vAlign w:val="bottom"/>
          </w:tcPr>
          <w:p w14:paraId="392C01DA" w14:textId="77777777" w:rsidR="00980E5F" w:rsidRDefault="00483613">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392C01DB" w14:textId="77777777" w:rsidR="00980E5F" w:rsidRDefault="00483613">
            <w:pPr>
              <w:jc w:val="right"/>
              <w:textAlignment w:val="bottom"/>
            </w:pPr>
            <w:r>
              <w:rPr>
                <w:rFonts w:ascii="Arial" w:eastAsia="宋体" w:hAnsi="Arial" w:cs="Arial"/>
                <w:b/>
                <w:bCs/>
                <w:color w:val="000000"/>
                <w:sz w:val="12"/>
                <w:szCs w:val="12"/>
              </w:rPr>
              <w:t>2,698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DE" w14:textId="77777777" w:rsidR="00980E5F" w:rsidRDefault="00483613">
            <w:pPr>
              <w:jc w:val="right"/>
              <w:textAlignment w:val="bottom"/>
            </w:pPr>
            <w:r>
              <w:rPr>
                <w:rFonts w:ascii="Arial" w:eastAsia="宋体" w:hAnsi="Arial" w:cs="Arial"/>
                <w:b/>
                <w:bCs/>
                <w:color w:val="000000"/>
                <w:sz w:val="12"/>
                <w:szCs w:val="12"/>
              </w:rPr>
              <w:t>31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E1" w14:textId="77777777" w:rsidR="00980E5F" w:rsidRDefault="00483613">
            <w:pPr>
              <w:jc w:val="right"/>
              <w:textAlignment w:val="bottom"/>
            </w:pPr>
            <w:r>
              <w:rPr>
                <w:rFonts w:ascii="Arial" w:eastAsia="宋体" w:hAnsi="Arial" w:cs="Arial"/>
                <w:b/>
                <w:bCs/>
                <w:color w:val="000000"/>
                <w:sz w:val="12"/>
                <w:szCs w:val="12"/>
              </w:rPr>
              <w:t>2</w:t>
            </w:r>
            <w:r>
              <w:rPr>
                <w:rFonts w:ascii="Arial" w:eastAsia="宋体" w:hAnsi="Arial" w:cs="Arial"/>
                <w:b/>
                <w:bCs/>
                <w:color w:val="000000"/>
                <w:sz w:val="12"/>
                <w:szCs w:val="12"/>
              </w:rPr>
              <w:t>.34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1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E4" w14:textId="77777777" w:rsidR="00980E5F" w:rsidRDefault="00483613">
            <w:pPr>
              <w:jc w:val="right"/>
              <w:textAlignment w:val="bottom"/>
            </w:pPr>
            <w:r>
              <w:rPr>
                <w:rFonts w:ascii="Arial" w:eastAsia="宋体" w:hAnsi="Arial" w:cs="Arial"/>
                <w:color w:val="000000"/>
                <w:sz w:val="12"/>
                <w:szCs w:val="12"/>
              </w:rPr>
              <w:t>5,268 </w:t>
            </w:r>
          </w:p>
        </w:tc>
        <w:tc>
          <w:tcPr>
            <w:tcW w:w="0" w:type="auto"/>
            <w:shd w:val="clear" w:color="auto" w:fill="FFFFFF"/>
            <w:tcMar>
              <w:top w:w="40" w:type="dxa"/>
              <w:left w:w="0" w:type="dxa"/>
              <w:bottom w:w="40" w:type="dxa"/>
              <w:right w:w="20" w:type="dxa"/>
            </w:tcMar>
            <w:vAlign w:val="bottom"/>
          </w:tcPr>
          <w:p w14:paraId="392C01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E7" w14:textId="77777777" w:rsidR="00980E5F" w:rsidRDefault="00483613">
            <w:pPr>
              <w:jc w:val="right"/>
              <w:textAlignment w:val="bottom"/>
            </w:pPr>
            <w:r>
              <w:rPr>
                <w:rFonts w:ascii="Arial" w:eastAsia="宋体" w:hAnsi="Arial" w:cs="Arial"/>
                <w:color w:val="000000"/>
                <w:sz w:val="12"/>
                <w:szCs w:val="12"/>
              </w:rPr>
              <w:t>19 </w:t>
            </w:r>
          </w:p>
        </w:tc>
        <w:tc>
          <w:tcPr>
            <w:tcW w:w="0" w:type="auto"/>
            <w:shd w:val="clear" w:color="auto" w:fill="FFFFFF"/>
            <w:tcMar>
              <w:top w:w="40" w:type="dxa"/>
              <w:left w:w="0" w:type="dxa"/>
              <w:bottom w:w="40" w:type="dxa"/>
              <w:right w:w="20" w:type="dxa"/>
            </w:tcMar>
            <w:vAlign w:val="bottom"/>
          </w:tcPr>
          <w:p w14:paraId="392C01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1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1EA" w14:textId="77777777" w:rsidR="00980E5F" w:rsidRDefault="00483613">
            <w:pPr>
              <w:jc w:val="right"/>
              <w:textAlignment w:val="bottom"/>
            </w:pPr>
            <w:r>
              <w:rPr>
                <w:rFonts w:ascii="Arial" w:eastAsia="宋体" w:hAnsi="Arial" w:cs="Arial"/>
                <w:color w:val="000000"/>
                <w:sz w:val="12"/>
                <w:szCs w:val="12"/>
              </w:rPr>
              <w:t>.77 </w:t>
            </w:r>
          </w:p>
        </w:tc>
        <w:tc>
          <w:tcPr>
            <w:tcW w:w="0" w:type="auto"/>
            <w:shd w:val="clear" w:color="auto" w:fill="FFFFFF"/>
            <w:tcMar>
              <w:top w:w="40" w:type="dxa"/>
              <w:left w:w="0" w:type="dxa"/>
              <w:bottom w:w="40" w:type="dxa"/>
              <w:right w:w="20" w:type="dxa"/>
            </w:tcMar>
            <w:vAlign w:val="bottom"/>
          </w:tcPr>
          <w:p w14:paraId="392C01EB" w14:textId="77777777" w:rsidR="00980E5F" w:rsidRDefault="00980E5F">
            <w:pPr>
              <w:jc w:val="right"/>
              <w:rPr>
                <w:rFonts w:ascii="宋体"/>
              </w:rPr>
            </w:pPr>
          </w:p>
        </w:tc>
        <w:tc>
          <w:tcPr>
            <w:tcW w:w="0" w:type="auto"/>
            <w:shd w:val="clear" w:color="auto" w:fill="auto"/>
            <w:vAlign w:val="bottom"/>
          </w:tcPr>
          <w:p w14:paraId="392C01EC" w14:textId="77777777" w:rsidR="00980E5F" w:rsidRDefault="00980E5F">
            <w:pPr>
              <w:rPr>
                <w:rFonts w:ascii="宋体"/>
                <w:vanish/>
              </w:rPr>
            </w:pPr>
          </w:p>
        </w:tc>
        <w:tc>
          <w:tcPr>
            <w:tcW w:w="0" w:type="auto"/>
            <w:shd w:val="clear" w:color="auto" w:fill="auto"/>
            <w:vAlign w:val="bottom"/>
          </w:tcPr>
          <w:p w14:paraId="392C01ED" w14:textId="77777777" w:rsidR="00980E5F" w:rsidRDefault="00980E5F">
            <w:pPr>
              <w:rPr>
                <w:rFonts w:ascii="宋体"/>
                <w:vanish/>
              </w:rPr>
            </w:pPr>
          </w:p>
        </w:tc>
        <w:tc>
          <w:tcPr>
            <w:tcW w:w="0" w:type="auto"/>
            <w:shd w:val="clear" w:color="auto" w:fill="auto"/>
            <w:vAlign w:val="bottom"/>
          </w:tcPr>
          <w:p w14:paraId="392C01EE" w14:textId="77777777" w:rsidR="00980E5F" w:rsidRDefault="00980E5F">
            <w:pPr>
              <w:rPr>
                <w:rFonts w:ascii="宋体"/>
                <w:vanish/>
              </w:rPr>
            </w:pPr>
          </w:p>
        </w:tc>
        <w:tc>
          <w:tcPr>
            <w:tcW w:w="0" w:type="auto"/>
            <w:shd w:val="clear" w:color="auto" w:fill="auto"/>
            <w:vAlign w:val="bottom"/>
          </w:tcPr>
          <w:p w14:paraId="392C01EF" w14:textId="77777777" w:rsidR="00980E5F" w:rsidRDefault="00980E5F">
            <w:pPr>
              <w:rPr>
                <w:rFonts w:ascii="宋体"/>
                <w:vanish/>
              </w:rPr>
            </w:pPr>
          </w:p>
        </w:tc>
        <w:tc>
          <w:tcPr>
            <w:tcW w:w="0" w:type="auto"/>
            <w:gridSpan w:val="3"/>
            <w:shd w:val="clear" w:color="auto" w:fill="auto"/>
            <w:vAlign w:val="bottom"/>
          </w:tcPr>
          <w:p w14:paraId="392C01F0" w14:textId="77777777" w:rsidR="00980E5F" w:rsidRDefault="00980E5F">
            <w:pPr>
              <w:rPr>
                <w:rFonts w:ascii="宋体"/>
                <w:vanish/>
              </w:rPr>
            </w:pPr>
          </w:p>
        </w:tc>
        <w:tc>
          <w:tcPr>
            <w:tcW w:w="0" w:type="auto"/>
            <w:gridSpan w:val="3"/>
            <w:shd w:val="clear" w:color="auto" w:fill="auto"/>
            <w:vAlign w:val="bottom"/>
          </w:tcPr>
          <w:p w14:paraId="392C01F1" w14:textId="77777777" w:rsidR="00980E5F" w:rsidRDefault="00980E5F">
            <w:pPr>
              <w:rPr>
                <w:rFonts w:ascii="宋体"/>
                <w:vanish/>
              </w:rPr>
            </w:pPr>
          </w:p>
        </w:tc>
        <w:tc>
          <w:tcPr>
            <w:tcW w:w="0" w:type="auto"/>
            <w:gridSpan w:val="3"/>
            <w:shd w:val="clear" w:color="auto" w:fill="auto"/>
            <w:vAlign w:val="bottom"/>
          </w:tcPr>
          <w:p w14:paraId="392C01F2" w14:textId="77777777" w:rsidR="00980E5F" w:rsidRDefault="00980E5F">
            <w:pPr>
              <w:rPr>
                <w:rFonts w:ascii="宋体"/>
                <w:vanish/>
              </w:rPr>
            </w:pPr>
          </w:p>
        </w:tc>
        <w:tc>
          <w:tcPr>
            <w:tcW w:w="0" w:type="auto"/>
            <w:gridSpan w:val="3"/>
            <w:shd w:val="clear" w:color="auto" w:fill="auto"/>
            <w:vAlign w:val="bottom"/>
          </w:tcPr>
          <w:p w14:paraId="392C01F3" w14:textId="77777777" w:rsidR="00980E5F" w:rsidRDefault="00980E5F">
            <w:pPr>
              <w:rPr>
                <w:rFonts w:ascii="宋体"/>
                <w:vanish/>
              </w:rPr>
            </w:pPr>
          </w:p>
        </w:tc>
        <w:tc>
          <w:tcPr>
            <w:tcW w:w="0" w:type="auto"/>
            <w:gridSpan w:val="2"/>
            <w:shd w:val="clear" w:color="auto" w:fill="auto"/>
            <w:vAlign w:val="bottom"/>
          </w:tcPr>
          <w:p w14:paraId="392C01F4" w14:textId="77777777" w:rsidR="00980E5F" w:rsidRDefault="00980E5F">
            <w:pPr>
              <w:rPr>
                <w:rFonts w:ascii="宋体"/>
                <w:vanish/>
              </w:rPr>
            </w:pPr>
          </w:p>
        </w:tc>
        <w:tc>
          <w:tcPr>
            <w:tcW w:w="0" w:type="auto"/>
            <w:shd w:val="clear" w:color="auto" w:fill="auto"/>
            <w:vAlign w:val="bottom"/>
          </w:tcPr>
          <w:p w14:paraId="392C01F5" w14:textId="77777777" w:rsidR="00980E5F" w:rsidRDefault="00980E5F">
            <w:pPr>
              <w:rPr>
                <w:rFonts w:ascii="宋体"/>
                <w:vanish/>
              </w:rPr>
            </w:pPr>
          </w:p>
        </w:tc>
      </w:tr>
      <w:tr w:rsidR="00980E5F" w14:paraId="392C0217" w14:textId="77777777">
        <w:tc>
          <w:tcPr>
            <w:tcW w:w="0" w:type="auto"/>
            <w:gridSpan w:val="3"/>
            <w:shd w:val="clear" w:color="auto" w:fill="CCEEFF"/>
            <w:tcMar>
              <w:top w:w="40" w:type="dxa"/>
              <w:left w:w="20" w:type="dxa"/>
              <w:bottom w:w="40" w:type="dxa"/>
              <w:right w:w="20" w:type="dxa"/>
            </w:tcMar>
            <w:vAlign w:val="bottom"/>
          </w:tcPr>
          <w:p w14:paraId="392C01F7" w14:textId="77777777" w:rsidR="00980E5F" w:rsidRDefault="00483613">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1F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1F9" w14:textId="77777777" w:rsidR="00980E5F" w:rsidRDefault="00483613">
            <w:pPr>
              <w:jc w:val="right"/>
              <w:textAlignment w:val="bottom"/>
            </w:pPr>
            <w:r>
              <w:rPr>
                <w:rFonts w:ascii="Arial" w:eastAsia="宋体" w:hAnsi="Arial" w:cs="Arial"/>
                <w:b/>
                <w:bCs/>
                <w:color w:val="000000"/>
                <w:sz w:val="12"/>
                <w:szCs w:val="12"/>
              </w:rPr>
              <w:t>201,30</w:t>
            </w: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F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F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1FC"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1FD" w14:textId="77777777" w:rsidR="00980E5F" w:rsidRDefault="00483613">
            <w:pPr>
              <w:jc w:val="right"/>
              <w:textAlignment w:val="bottom"/>
            </w:pPr>
            <w:r>
              <w:rPr>
                <w:rFonts w:ascii="Arial" w:eastAsia="宋体" w:hAnsi="Arial" w:cs="Arial"/>
                <w:b/>
                <w:bCs/>
                <w:color w:val="000000"/>
                <w:sz w:val="12"/>
                <w:szCs w:val="12"/>
              </w:rPr>
              <w:t>132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1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1F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200" w14:textId="77777777" w:rsidR="00980E5F" w:rsidRDefault="00483613">
            <w:pPr>
              <w:jc w:val="right"/>
              <w:textAlignment w:val="bottom"/>
            </w:pPr>
            <w:r>
              <w:rPr>
                <w:rFonts w:ascii="Arial" w:eastAsia="宋体" w:hAnsi="Arial" w:cs="Arial"/>
                <w:b/>
                <w:bCs/>
                <w:color w:val="000000"/>
                <w:sz w:val="12"/>
                <w:szCs w:val="12"/>
              </w:rPr>
              <w:t>.13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2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0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203"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204" w14:textId="77777777" w:rsidR="00980E5F" w:rsidRDefault="00483613">
            <w:pPr>
              <w:jc w:val="right"/>
              <w:textAlignment w:val="bottom"/>
            </w:pPr>
            <w:r>
              <w:rPr>
                <w:rFonts w:ascii="Arial" w:eastAsia="宋体" w:hAnsi="Arial" w:cs="Arial"/>
                <w:color w:val="000000"/>
                <w:sz w:val="12"/>
                <w:szCs w:val="12"/>
              </w:rPr>
              <w:t>207,617 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2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0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207"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208" w14:textId="77777777" w:rsidR="00980E5F" w:rsidRDefault="00483613">
            <w:pPr>
              <w:jc w:val="right"/>
              <w:textAlignment w:val="bottom"/>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2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20B"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20C" w14:textId="77777777" w:rsidR="00980E5F" w:rsidRDefault="00980E5F">
            <w:pPr>
              <w:jc w:val="right"/>
              <w:rPr>
                <w:rFonts w:ascii="宋体"/>
              </w:rPr>
            </w:pPr>
          </w:p>
        </w:tc>
        <w:tc>
          <w:tcPr>
            <w:tcW w:w="0" w:type="auto"/>
            <w:shd w:val="clear" w:color="auto" w:fill="auto"/>
            <w:vAlign w:val="bottom"/>
          </w:tcPr>
          <w:p w14:paraId="392C020D" w14:textId="77777777" w:rsidR="00980E5F" w:rsidRDefault="00980E5F">
            <w:pPr>
              <w:rPr>
                <w:rFonts w:ascii="宋体"/>
                <w:vanish/>
              </w:rPr>
            </w:pPr>
          </w:p>
        </w:tc>
        <w:tc>
          <w:tcPr>
            <w:tcW w:w="0" w:type="auto"/>
            <w:shd w:val="clear" w:color="auto" w:fill="auto"/>
            <w:vAlign w:val="bottom"/>
          </w:tcPr>
          <w:p w14:paraId="392C020E" w14:textId="77777777" w:rsidR="00980E5F" w:rsidRDefault="00980E5F">
            <w:pPr>
              <w:rPr>
                <w:rFonts w:ascii="宋体"/>
                <w:vanish/>
              </w:rPr>
            </w:pPr>
          </w:p>
        </w:tc>
        <w:tc>
          <w:tcPr>
            <w:tcW w:w="0" w:type="auto"/>
            <w:shd w:val="clear" w:color="auto" w:fill="auto"/>
            <w:vAlign w:val="bottom"/>
          </w:tcPr>
          <w:p w14:paraId="392C020F" w14:textId="77777777" w:rsidR="00980E5F" w:rsidRDefault="00980E5F">
            <w:pPr>
              <w:rPr>
                <w:rFonts w:ascii="宋体"/>
                <w:vanish/>
              </w:rPr>
            </w:pPr>
          </w:p>
        </w:tc>
        <w:tc>
          <w:tcPr>
            <w:tcW w:w="0" w:type="auto"/>
            <w:shd w:val="clear" w:color="auto" w:fill="auto"/>
            <w:vAlign w:val="bottom"/>
          </w:tcPr>
          <w:p w14:paraId="392C0210" w14:textId="77777777" w:rsidR="00980E5F" w:rsidRDefault="00980E5F">
            <w:pPr>
              <w:rPr>
                <w:rFonts w:ascii="宋体"/>
                <w:vanish/>
              </w:rPr>
            </w:pPr>
          </w:p>
        </w:tc>
        <w:tc>
          <w:tcPr>
            <w:tcW w:w="0" w:type="auto"/>
            <w:gridSpan w:val="3"/>
            <w:shd w:val="clear" w:color="auto" w:fill="auto"/>
            <w:vAlign w:val="bottom"/>
          </w:tcPr>
          <w:p w14:paraId="392C0211" w14:textId="77777777" w:rsidR="00980E5F" w:rsidRDefault="00980E5F">
            <w:pPr>
              <w:rPr>
                <w:rFonts w:ascii="宋体"/>
                <w:vanish/>
              </w:rPr>
            </w:pPr>
          </w:p>
        </w:tc>
        <w:tc>
          <w:tcPr>
            <w:tcW w:w="0" w:type="auto"/>
            <w:gridSpan w:val="3"/>
            <w:shd w:val="clear" w:color="auto" w:fill="auto"/>
            <w:vAlign w:val="bottom"/>
          </w:tcPr>
          <w:p w14:paraId="392C0212" w14:textId="77777777" w:rsidR="00980E5F" w:rsidRDefault="00980E5F">
            <w:pPr>
              <w:rPr>
                <w:rFonts w:ascii="宋体"/>
                <w:vanish/>
              </w:rPr>
            </w:pPr>
          </w:p>
        </w:tc>
        <w:tc>
          <w:tcPr>
            <w:tcW w:w="0" w:type="auto"/>
            <w:gridSpan w:val="3"/>
            <w:shd w:val="clear" w:color="auto" w:fill="auto"/>
            <w:vAlign w:val="bottom"/>
          </w:tcPr>
          <w:p w14:paraId="392C0213" w14:textId="77777777" w:rsidR="00980E5F" w:rsidRDefault="00980E5F">
            <w:pPr>
              <w:rPr>
                <w:rFonts w:ascii="宋体"/>
                <w:vanish/>
              </w:rPr>
            </w:pPr>
          </w:p>
        </w:tc>
        <w:tc>
          <w:tcPr>
            <w:tcW w:w="0" w:type="auto"/>
            <w:gridSpan w:val="3"/>
            <w:shd w:val="clear" w:color="auto" w:fill="auto"/>
            <w:vAlign w:val="bottom"/>
          </w:tcPr>
          <w:p w14:paraId="392C0214" w14:textId="77777777" w:rsidR="00980E5F" w:rsidRDefault="00980E5F">
            <w:pPr>
              <w:rPr>
                <w:rFonts w:ascii="宋体"/>
                <w:vanish/>
              </w:rPr>
            </w:pPr>
          </w:p>
        </w:tc>
        <w:tc>
          <w:tcPr>
            <w:tcW w:w="0" w:type="auto"/>
            <w:gridSpan w:val="2"/>
            <w:shd w:val="clear" w:color="auto" w:fill="auto"/>
            <w:vAlign w:val="bottom"/>
          </w:tcPr>
          <w:p w14:paraId="392C0215" w14:textId="77777777" w:rsidR="00980E5F" w:rsidRDefault="00980E5F">
            <w:pPr>
              <w:rPr>
                <w:rFonts w:ascii="宋体"/>
                <w:vanish/>
              </w:rPr>
            </w:pPr>
          </w:p>
        </w:tc>
        <w:tc>
          <w:tcPr>
            <w:tcW w:w="0" w:type="auto"/>
            <w:shd w:val="clear" w:color="auto" w:fill="auto"/>
            <w:vAlign w:val="bottom"/>
          </w:tcPr>
          <w:p w14:paraId="392C0216" w14:textId="77777777" w:rsidR="00980E5F" w:rsidRDefault="00980E5F">
            <w:pPr>
              <w:rPr>
                <w:rFonts w:ascii="宋体"/>
                <w:vanish/>
              </w:rPr>
            </w:pPr>
          </w:p>
        </w:tc>
      </w:tr>
      <w:tr w:rsidR="00980E5F" w14:paraId="392C0230" w14:textId="77777777">
        <w:tc>
          <w:tcPr>
            <w:tcW w:w="0" w:type="auto"/>
            <w:gridSpan w:val="3"/>
            <w:shd w:val="clear" w:color="auto" w:fill="FFFFFF"/>
            <w:tcMar>
              <w:top w:w="40" w:type="dxa"/>
              <w:left w:w="20" w:type="dxa"/>
              <w:bottom w:w="40" w:type="dxa"/>
              <w:right w:w="20" w:type="dxa"/>
            </w:tcMar>
            <w:vAlign w:val="bottom"/>
          </w:tcPr>
          <w:p w14:paraId="392C0218" w14:textId="77777777" w:rsidR="00980E5F" w:rsidRDefault="00483613">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2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1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2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1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21D" w14:textId="77777777" w:rsidR="00980E5F" w:rsidRDefault="00483613">
            <w:pPr>
              <w:jc w:val="right"/>
              <w:textAlignment w:val="bottom"/>
            </w:pPr>
            <w:r>
              <w:rPr>
                <w:rFonts w:ascii="Arial" w:eastAsia="宋体" w:hAnsi="Arial" w:cs="Arial"/>
                <w:b/>
                <w:bCs/>
                <w:color w:val="000000"/>
                <w:sz w:val="12"/>
                <w:szCs w:val="12"/>
              </w:rPr>
              <w:t>.84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21E"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392C021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2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2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22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224" w14:textId="77777777" w:rsidR="00980E5F" w:rsidRDefault="00483613">
            <w:pPr>
              <w:jc w:val="right"/>
              <w:textAlignment w:val="bottom"/>
            </w:pPr>
            <w:r>
              <w:rPr>
                <w:rFonts w:ascii="Arial" w:eastAsia="宋体" w:hAnsi="Arial" w:cs="Arial"/>
                <w:color w:val="000000"/>
                <w:sz w:val="12"/>
                <w:szCs w:val="12"/>
              </w:rPr>
              <w:t>.73 </w:t>
            </w:r>
          </w:p>
        </w:tc>
        <w:tc>
          <w:tcPr>
            <w:tcW w:w="0" w:type="auto"/>
            <w:shd w:val="clear" w:color="auto" w:fill="FFFFFF"/>
            <w:tcMar>
              <w:top w:w="40" w:type="dxa"/>
              <w:left w:w="0" w:type="dxa"/>
              <w:bottom w:w="40" w:type="dxa"/>
              <w:right w:w="20" w:type="dxa"/>
            </w:tcMar>
            <w:vAlign w:val="bottom"/>
          </w:tcPr>
          <w:p w14:paraId="392C0225"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C0226" w14:textId="77777777" w:rsidR="00980E5F" w:rsidRDefault="00980E5F">
            <w:pPr>
              <w:rPr>
                <w:rFonts w:ascii="宋体"/>
                <w:vanish/>
              </w:rPr>
            </w:pPr>
          </w:p>
        </w:tc>
        <w:tc>
          <w:tcPr>
            <w:tcW w:w="0" w:type="auto"/>
            <w:shd w:val="clear" w:color="auto" w:fill="auto"/>
            <w:vAlign w:val="bottom"/>
          </w:tcPr>
          <w:p w14:paraId="392C0227" w14:textId="77777777" w:rsidR="00980E5F" w:rsidRDefault="00980E5F">
            <w:pPr>
              <w:rPr>
                <w:rFonts w:ascii="宋体"/>
                <w:vanish/>
              </w:rPr>
            </w:pPr>
          </w:p>
        </w:tc>
        <w:tc>
          <w:tcPr>
            <w:tcW w:w="0" w:type="auto"/>
            <w:shd w:val="clear" w:color="auto" w:fill="auto"/>
            <w:vAlign w:val="bottom"/>
          </w:tcPr>
          <w:p w14:paraId="392C0228" w14:textId="77777777" w:rsidR="00980E5F" w:rsidRDefault="00980E5F">
            <w:pPr>
              <w:rPr>
                <w:rFonts w:ascii="宋体"/>
                <w:vanish/>
              </w:rPr>
            </w:pPr>
          </w:p>
        </w:tc>
        <w:tc>
          <w:tcPr>
            <w:tcW w:w="0" w:type="auto"/>
            <w:shd w:val="clear" w:color="auto" w:fill="auto"/>
            <w:vAlign w:val="bottom"/>
          </w:tcPr>
          <w:p w14:paraId="392C0229" w14:textId="77777777" w:rsidR="00980E5F" w:rsidRDefault="00980E5F">
            <w:pPr>
              <w:rPr>
                <w:rFonts w:ascii="宋体"/>
                <w:vanish/>
              </w:rPr>
            </w:pPr>
          </w:p>
        </w:tc>
        <w:tc>
          <w:tcPr>
            <w:tcW w:w="0" w:type="auto"/>
            <w:gridSpan w:val="3"/>
            <w:shd w:val="clear" w:color="auto" w:fill="auto"/>
            <w:vAlign w:val="bottom"/>
          </w:tcPr>
          <w:p w14:paraId="392C022A" w14:textId="77777777" w:rsidR="00980E5F" w:rsidRDefault="00980E5F">
            <w:pPr>
              <w:rPr>
                <w:rFonts w:ascii="宋体"/>
                <w:vanish/>
              </w:rPr>
            </w:pPr>
          </w:p>
        </w:tc>
        <w:tc>
          <w:tcPr>
            <w:tcW w:w="0" w:type="auto"/>
            <w:gridSpan w:val="3"/>
            <w:shd w:val="clear" w:color="auto" w:fill="auto"/>
            <w:vAlign w:val="bottom"/>
          </w:tcPr>
          <w:p w14:paraId="392C022B" w14:textId="77777777" w:rsidR="00980E5F" w:rsidRDefault="00980E5F">
            <w:pPr>
              <w:rPr>
                <w:rFonts w:ascii="宋体"/>
                <w:vanish/>
              </w:rPr>
            </w:pPr>
          </w:p>
        </w:tc>
        <w:tc>
          <w:tcPr>
            <w:tcW w:w="0" w:type="auto"/>
            <w:gridSpan w:val="3"/>
            <w:shd w:val="clear" w:color="auto" w:fill="auto"/>
            <w:vAlign w:val="bottom"/>
          </w:tcPr>
          <w:p w14:paraId="392C022C" w14:textId="77777777" w:rsidR="00980E5F" w:rsidRDefault="00980E5F">
            <w:pPr>
              <w:rPr>
                <w:rFonts w:ascii="宋体"/>
                <w:vanish/>
              </w:rPr>
            </w:pPr>
          </w:p>
        </w:tc>
        <w:tc>
          <w:tcPr>
            <w:tcW w:w="0" w:type="auto"/>
            <w:gridSpan w:val="3"/>
            <w:shd w:val="clear" w:color="auto" w:fill="auto"/>
            <w:vAlign w:val="bottom"/>
          </w:tcPr>
          <w:p w14:paraId="392C022D" w14:textId="77777777" w:rsidR="00980E5F" w:rsidRDefault="00980E5F">
            <w:pPr>
              <w:rPr>
                <w:rFonts w:ascii="宋体"/>
                <w:vanish/>
              </w:rPr>
            </w:pPr>
          </w:p>
        </w:tc>
        <w:tc>
          <w:tcPr>
            <w:tcW w:w="0" w:type="auto"/>
            <w:gridSpan w:val="2"/>
            <w:shd w:val="clear" w:color="auto" w:fill="auto"/>
            <w:vAlign w:val="bottom"/>
          </w:tcPr>
          <w:p w14:paraId="392C022E" w14:textId="77777777" w:rsidR="00980E5F" w:rsidRDefault="00980E5F">
            <w:pPr>
              <w:rPr>
                <w:rFonts w:ascii="宋体"/>
                <w:vanish/>
              </w:rPr>
            </w:pPr>
          </w:p>
        </w:tc>
        <w:tc>
          <w:tcPr>
            <w:tcW w:w="0" w:type="auto"/>
            <w:shd w:val="clear" w:color="auto" w:fill="auto"/>
            <w:vAlign w:val="bottom"/>
          </w:tcPr>
          <w:p w14:paraId="392C022F" w14:textId="77777777" w:rsidR="00980E5F" w:rsidRDefault="00980E5F">
            <w:pPr>
              <w:rPr>
                <w:rFonts w:ascii="宋体"/>
                <w:vanish/>
              </w:rPr>
            </w:pPr>
          </w:p>
        </w:tc>
      </w:tr>
      <w:tr w:rsidR="00980E5F" w14:paraId="392C024B" w14:textId="77777777">
        <w:tc>
          <w:tcPr>
            <w:tcW w:w="0" w:type="auto"/>
            <w:gridSpan w:val="3"/>
            <w:shd w:val="clear" w:color="auto" w:fill="CCEEFF"/>
            <w:tcMar>
              <w:top w:w="40" w:type="dxa"/>
              <w:left w:w="20" w:type="dxa"/>
              <w:bottom w:w="40" w:type="dxa"/>
              <w:right w:w="20" w:type="dxa"/>
            </w:tcMar>
            <w:vAlign w:val="bottom"/>
          </w:tcPr>
          <w:p w14:paraId="392C0231" w14:textId="77777777" w:rsidR="00980E5F" w:rsidRDefault="00483613">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392C023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3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234"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0235" w14:textId="77777777" w:rsidR="00980E5F" w:rsidRDefault="00483613">
            <w:pPr>
              <w:jc w:val="right"/>
              <w:textAlignment w:val="bottom"/>
            </w:pPr>
            <w:r>
              <w:rPr>
                <w:rFonts w:ascii="Arial" w:eastAsia="宋体" w:hAnsi="Arial" w:cs="Arial"/>
                <w:b/>
                <w:bCs/>
                <w:color w:val="000000"/>
                <w:sz w:val="12"/>
                <w:szCs w:val="12"/>
              </w:rPr>
              <w:t>1,099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02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3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3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3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3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3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23C"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023D" w14:textId="77777777" w:rsidR="00980E5F" w:rsidRDefault="00483613">
            <w:pPr>
              <w:jc w:val="right"/>
              <w:textAlignment w:val="bottom"/>
            </w:pPr>
            <w:r>
              <w:rPr>
                <w:rFonts w:ascii="Arial" w:eastAsia="宋体" w:hAnsi="Arial" w:cs="Arial"/>
                <w:color w:val="000000"/>
                <w:sz w:val="12"/>
                <w:szCs w:val="12"/>
              </w:rPr>
              <w:t>941 </w:t>
            </w:r>
          </w:p>
        </w:tc>
        <w:tc>
          <w:tcPr>
            <w:tcW w:w="0" w:type="auto"/>
            <w:shd w:val="clear" w:color="auto" w:fill="CCEEFF"/>
            <w:tcMar>
              <w:top w:w="40" w:type="dxa"/>
              <w:left w:w="0" w:type="dxa"/>
              <w:bottom w:w="40" w:type="dxa"/>
              <w:right w:w="20" w:type="dxa"/>
            </w:tcMar>
            <w:vAlign w:val="bottom"/>
          </w:tcPr>
          <w:p w14:paraId="392C02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3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40" w14:textId="77777777" w:rsidR="00980E5F" w:rsidRDefault="00980E5F">
            <w:pPr>
              <w:rPr>
                <w:rFonts w:ascii="宋体"/>
              </w:rPr>
            </w:pPr>
          </w:p>
        </w:tc>
        <w:tc>
          <w:tcPr>
            <w:tcW w:w="0" w:type="auto"/>
            <w:shd w:val="clear" w:color="auto" w:fill="auto"/>
            <w:vAlign w:val="bottom"/>
          </w:tcPr>
          <w:p w14:paraId="392C0241" w14:textId="77777777" w:rsidR="00980E5F" w:rsidRDefault="00980E5F">
            <w:pPr>
              <w:rPr>
                <w:rFonts w:ascii="宋体"/>
                <w:vanish/>
              </w:rPr>
            </w:pPr>
          </w:p>
        </w:tc>
        <w:tc>
          <w:tcPr>
            <w:tcW w:w="0" w:type="auto"/>
            <w:shd w:val="clear" w:color="auto" w:fill="auto"/>
            <w:vAlign w:val="bottom"/>
          </w:tcPr>
          <w:p w14:paraId="392C0242" w14:textId="77777777" w:rsidR="00980E5F" w:rsidRDefault="00980E5F">
            <w:pPr>
              <w:rPr>
                <w:rFonts w:ascii="宋体"/>
                <w:vanish/>
              </w:rPr>
            </w:pPr>
          </w:p>
        </w:tc>
        <w:tc>
          <w:tcPr>
            <w:tcW w:w="0" w:type="auto"/>
            <w:shd w:val="clear" w:color="auto" w:fill="auto"/>
            <w:vAlign w:val="bottom"/>
          </w:tcPr>
          <w:p w14:paraId="392C0243" w14:textId="77777777" w:rsidR="00980E5F" w:rsidRDefault="00980E5F">
            <w:pPr>
              <w:rPr>
                <w:rFonts w:ascii="宋体"/>
                <w:vanish/>
              </w:rPr>
            </w:pPr>
          </w:p>
        </w:tc>
        <w:tc>
          <w:tcPr>
            <w:tcW w:w="0" w:type="auto"/>
            <w:shd w:val="clear" w:color="auto" w:fill="auto"/>
            <w:vAlign w:val="bottom"/>
          </w:tcPr>
          <w:p w14:paraId="392C0244" w14:textId="77777777" w:rsidR="00980E5F" w:rsidRDefault="00980E5F">
            <w:pPr>
              <w:rPr>
                <w:rFonts w:ascii="宋体"/>
                <w:vanish/>
              </w:rPr>
            </w:pPr>
          </w:p>
        </w:tc>
        <w:tc>
          <w:tcPr>
            <w:tcW w:w="0" w:type="auto"/>
            <w:gridSpan w:val="3"/>
            <w:shd w:val="clear" w:color="auto" w:fill="auto"/>
            <w:vAlign w:val="bottom"/>
          </w:tcPr>
          <w:p w14:paraId="392C0245" w14:textId="77777777" w:rsidR="00980E5F" w:rsidRDefault="00980E5F">
            <w:pPr>
              <w:rPr>
                <w:rFonts w:ascii="宋体"/>
                <w:vanish/>
              </w:rPr>
            </w:pPr>
          </w:p>
        </w:tc>
        <w:tc>
          <w:tcPr>
            <w:tcW w:w="0" w:type="auto"/>
            <w:gridSpan w:val="3"/>
            <w:shd w:val="clear" w:color="auto" w:fill="auto"/>
            <w:vAlign w:val="bottom"/>
          </w:tcPr>
          <w:p w14:paraId="392C0246" w14:textId="77777777" w:rsidR="00980E5F" w:rsidRDefault="00980E5F">
            <w:pPr>
              <w:rPr>
                <w:rFonts w:ascii="宋体"/>
                <w:vanish/>
              </w:rPr>
            </w:pPr>
          </w:p>
        </w:tc>
        <w:tc>
          <w:tcPr>
            <w:tcW w:w="0" w:type="auto"/>
            <w:gridSpan w:val="3"/>
            <w:shd w:val="clear" w:color="auto" w:fill="auto"/>
            <w:vAlign w:val="bottom"/>
          </w:tcPr>
          <w:p w14:paraId="392C0247" w14:textId="77777777" w:rsidR="00980E5F" w:rsidRDefault="00980E5F">
            <w:pPr>
              <w:rPr>
                <w:rFonts w:ascii="宋体"/>
                <w:vanish/>
              </w:rPr>
            </w:pPr>
          </w:p>
        </w:tc>
        <w:tc>
          <w:tcPr>
            <w:tcW w:w="0" w:type="auto"/>
            <w:gridSpan w:val="3"/>
            <w:shd w:val="clear" w:color="auto" w:fill="auto"/>
            <w:vAlign w:val="bottom"/>
          </w:tcPr>
          <w:p w14:paraId="392C0248" w14:textId="77777777" w:rsidR="00980E5F" w:rsidRDefault="00980E5F">
            <w:pPr>
              <w:rPr>
                <w:rFonts w:ascii="宋体"/>
                <w:vanish/>
              </w:rPr>
            </w:pPr>
          </w:p>
        </w:tc>
        <w:tc>
          <w:tcPr>
            <w:tcW w:w="0" w:type="auto"/>
            <w:gridSpan w:val="2"/>
            <w:shd w:val="clear" w:color="auto" w:fill="auto"/>
            <w:vAlign w:val="bottom"/>
          </w:tcPr>
          <w:p w14:paraId="392C0249" w14:textId="77777777" w:rsidR="00980E5F" w:rsidRDefault="00980E5F">
            <w:pPr>
              <w:rPr>
                <w:rFonts w:ascii="宋体"/>
                <w:vanish/>
              </w:rPr>
            </w:pPr>
          </w:p>
        </w:tc>
        <w:tc>
          <w:tcPr>
            <w:tcW w:w="0" w:type="auto"/>
            <w:shd w:val="clear" w:color="auto" w:fill="auto"/>
            <w:vAlign w:val="bottom"/>
          </w:tcPr>
          <w:p w14:paraId="392C024A" w14:textId="77777777" w:rsidR="00980E5F" w:rsidRDefault="00980E5F">
            <w:pPr>
              <w:rPr>
                <w:rFonts w:ascii="宋体"/>
                <w:vanish/>
              </w:rPr>
            </w:pPr>
          </w:p>
        </w:tc>
      </w:tr>
      <w:tr w:rsidR="00980E5F" w14:paraId="392C0264" w14:textId="77777777">
        <w:tc>
          <w:tcPr>
            <w:tcW w:w="0" w:type="auto"/>
            <w:gridSpan w:val="3"/>
            <w:shd w:val="clear" w:color="auto" w:fill="FFFFFF"/>
            <w:tcMar>
              <w:top w:w="40" w:type="dxa"/>
              <w:left w:w="20" w:type="dxa"/>
              <w:bottom w:w="40" w:type="dxa"/>
              <w:right w:w="20" w:type="dxa"/>
            </w:tcMar>
            <w:vAlign w:val="bottom"/>
          </w:tcPr>
          <w:p w14:paraId="392C024C" w14:textId="77777777" w:rsidR="00980E5F" w:rsidRDefault="00483613">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392C024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4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4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5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251" w14:textId="77777777" w:rsidR="00980E5F" w:rsidRDefault="00483613">
            <w:pPr>
              <w:jc w:val="right"/>
              <w:textAlignment w:val="bottom"/>
            </w:pPr>
            <w:r>
              <w:rPr>
                <w:rFonts w:ascii="Arial" w:eastAsia="宋体" w:hAnsi="Arial" w:cs="Arial"/>
                <w:b/>
                <w:bCs/>
                <w:color w:val="000000"/>
                <w:sz w:val="12"/>
                <w:szCs w:val="12"/>
              </w:rPr>
              <w:t>.87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0252"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392C025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5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5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5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258" w14:textId="77777777" w:rsidR="00980E5F" w:rsidRDefault="00483613">
            <w:pPr>
              <w:jc w:val="right"/>
              <w:textAlignment w:val="bottom"/>
            </w:pPr>
            <w:r>
              <w:rPr>
                <w:rFonts w:ascii="Arial" w:eastAsia="宋体" w:hAnsi="Arial" w:cs="Arial"/>
                <w:color w:val="000000"/>
                <w:sz w:val="12"/>
                <w:szCs w:val="12"/>
              </w:rPr>
              <w:t>.73 </w:t>
            </w:r>
          </w:p>
        </w:tc>
        <w:tc>
          <w:tcPr>
            <w:tcW w:w="0" w:type="auto"/>
            <w:shd w:val="clear" w:color="auto" w:fill="FFFFFF"/>
            <w:tcMar>
              <w:top w:w="40" w:type="dxa"/>
              <w:left w:w="0" w:type="dxa"/>
              <w:bottom w:w="40" w:type="dxa"/>
              <w:right w:w="20" w:type="dxa"/>
            </w:tcMar>
            <w:vAlign w:val="bottom"/>
          </w:tcPr>
          <w:p w14:paraId="392C0259" w14:textId="77777777" w:rsidR="00980E5F" w:rsidRDefault="00483613">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392C025A" w14:textId="77777777" w:rsidR="00980E5F" w:rsidRDefault="00980E5F">
            <w:pPr>
              <w:rPr>
                <w:rFonts w:ascii="宋体"/>
                <w:vanish/>
              </w:rPr>
            </w:pPr>
          </w:p>
        </w:tc>
        <w:tc>
          <w:tcPr>
            <w:tcW w:w="0" w:type="auto"/>
            <w:shd w:val="clear" w:color="auto" w:fill="auto"/>
            <w:vAlign w:val="bottom"/>
          </w:tcPr>
          <w:p w14:paraId="392C025B" w14:textId="77777777" w:rsidR="00980E5F" w:rsidRDefault="00980E5F">
            <w:pPr>
              <w:rPr>
                <w:rFonts w:ascii="宋体"/>
                <w:vanish/>
              </w:rPr>
            </w:pPr>
          </w:p>
        </w:tc>
        <w:tc>
          <w:tcPr>
            <w:tcW w:w="0" w:type="auto"/>
            <w:shd w:val="clear" w:color="auto" w:fill="auto"/>
            <w:vAlign w:val="bottom"/>
          </w:tcPr>
          <w:p w14:paraId="392C025C" w14:textId="77777777" w:rsidR="00980E5F" w:rsidRDefault="00980E5F">
            <w:pPr>
              <w:rPr>
                <w:rFonts w:ascii="宋体"/>
                <w:vanish/>
              </w:rPr>
            </w:pPr>
          </w:p>
        </w:tc>
        <w:tc>
          <w:tcPr>
            <w:tcW w:w="0" w:type="auto"/>
            <w:shd w:val="clear" w:color="auto" w:fill="auto"/>
            <w:vAlign w:val="bottom"/>
          </w:tcPr>
          <w:p w14:paraId="392C025D" w14:textId="77777777" w:rsidR="00980E5F" w:rsidRDefault="00980E5F">
            <w:pPr>
              <w:rPr>
                <w:rFonts w:ascii="宋体"/>
                <w:vanish/>
              </w:rPr>
            </w:pPr>
          </w:p>
        </w:tc>
        <w:tc>
          <w:tcPr>
            <w:tcW w:w="0" w:type="auto"/>
            <w:gridSpan w:val="3"/>
            <w:shd w:val="clear" w:color="auto" w:fill="auto"/>
            <w:vAlign w:val="bottom"/>
          </w:tcPr>
          <w:p w14:paraId="392C025E" w14:textId="77777777" w:rsidR="00980E5F" w:rsidRDefault="00980E5F">
            <w:pPr>
              <w:rPr>
                <w:rFonts w:ascii="宋体"/>
                <w:vanish/>
              </w:rPr>
            </w:pPr>
          </w:p>
        </w:tc>
        <w:tc>
          <w:tcPr>
            <w:tcW w:w="0" w:type="auto"/>
            <w:gridSpan w:val="3"/>
            <w:shd w:val="clear" w:color="auto" w:fill="auto"/>
            <w:vAlign w:val="bottom"/>
          </w:tcPr>
          <w:p w14:paraId="392C025F" w14:textId="77777777" w:rsidR="00980E5F" w:rsidRDefault="00980E5F">
            <w:pPr>
              <w:rPr>
                <w:rFonts w:ascii="宋体"/>
                <w:vanish/>
              </w:rPr>
            </w:pPr>
          </w:p>
        </w:tc>
        <w:tc>
          <w:tcPr>
            <w:tcW w:w="0" w:type="auto"/>
            <w:gridSpan w:val="3"/>
            <w:shd w:val="clear" w:color="auto" w:fill="auto"/>
            <w:vAlign w:val="bottom"/>
          </w:tcPr>
          <w:p w14:paraId="392C0260" w14:textId="77777777" w:rsidR="00980E5F" w:rsidRDefault="00980E5F">
            <w:pPr>
              <w:rPr>
                <w:rFonts w:ascii="宋体"/>
                <w:vanish/>
              </w:rPr>
            </w:pPr>
          </w:p>
        </w:tc>
        <w:tc>
          <w:tcPr>
            <w:tcW w:w="0" w:type="auto"/>
            <w:gridSpan w:val="3"/>
            <w:shd w:val="clear" w:color="auto" w:fill="auto"/>
            <w:vAlign w:val="bottom"/>
          </w:tcPr>
          <w:p w14:paraId="392C0261" w14:textId="77777777" w:rsidR="00980E5F" w:rsidRDefault="00980E5F">
            <w:pPr>
              <w:rPr>
                <w:rFonts w:ascii="宋体"/>
                <w:vanish/>
              </w:rPr>
            </w:pPr>
          </w:p>
        </w:tc>
        <w:tc>
          <w:tcPr>
            <w:tcW w:w="0" w:type="auto"/>
            <w:gridSpan w:val="2"/>
            <w:shd w:val="clear" w:color="auto" w:fill="auto"/>
            <w:vAlign w:val="bottom"/>
          </w:tcPr>
          <w:p w14:paraId="392C0262" w14:textId="77777777" w:rsidR="00980E5F" w:rsidRDefault="00980E5F">
            <w:pPr>
              <w:rPr>
                <w:rFonts w:ascii="宋体"/>
                <w:vanish/>
              </w:rPr>
            </w:pPr>
          </w:p>
        </w:tc>
        <w:tc>
          <w:tcPr>
            <w:tcW w:w="0" w:type="auto"/>
            <w:shd w:val="clear" w:color="auto" w:fill="auto"/>
            <w:vAlign w:val="bottom"/>
          </w:tcPr>
          <w:p w14:paraId="392C0263" w14:textId="77777777" w:rsidR="00980E5F" w:rsidRDefault="00980E5F">
            <w:pPr>
              <w:rPr>
                <w:rFonts w:ascii="宋体"/>
                <w:vanish/>
              </w:rPr>
            </w:pPr>
          </w:p>
        </w:tc>
      </w:tr>
      <w:tr w:rsidR="00980E5F" w14:paraId="392C027D" w14:textId="77777777">
        <w:tc>
          <w:tcPr>
            <w:tcW w:w="0" w:type="auto"/>
            <w:gridSpan w:val="3"/>
            <w:shd w:val="clear" w:color="auto" w:fill="CCEEFF"/>
            <w:tcMar>
              <w:top w:w="40" w:type="dxa"/>
              <w:left w:w="20" w:type="dxa"/>
              <w:bottom w:w="40" w:type="dxa"/>
              <w:right w:w="20" w:type="dxa"/>
            </w:tcMar>
            <w:vAlign w:val="bottom"/>
          </w:tcPr>
          <w:p w14:paraId="392C0265" w14:textId="77777777" w:rsidR="00980E5F" w:rsidRDefault="00483613">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392C026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268" w14:textId="77777777" w:rsidR="00980E5F" w:rsidRDefault="00483613">
            <w:pPr>
              <w:jc w:val="right"/>
              <w:textAlignment w:val="bottom"/>
            </w:pPr>
            <w:r>
              <w:rPr>
                <w:rFonts w:ascii="Arial" w:eastAsia="宋体" w:hAnsi="Arial" w:cs="Arial"/>
                <w:b/>
                <w:bCs/>
                <w:color w:val="000000"/>
                <w:sz w:val="12"/>
                <w:szCs w:val="12"/>
              </w:rPr>
              <w:t>(6)</w:t>
            </w:r>
          </w:p>
        </w:tc>
        <w:tc>
          <w:tcPr>
            <w:tcW w:w="0" w:type="auto"/>
            <w:shd w:val="clear" w:color="auto" w:fill="CCEEFF"/>
            <w:tcMar>
              <w:top w:w="40" w:type="dxa"/>
              <w:left w:w="0" w:type="dxa"/>
              <w:bottom w:w="40" w:type="dxa"/>
              <w:right w:w="20" w:type="dxa"/>
            </w:tcMar>
            <w:vAlign w:val="bottom"/>
          </w:tcPr>
          <w:p w14:paraId="392C02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6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6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6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6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26F" w14:textId="77777777" w:rsidR="00980E5F" w:rsidRDefault="00483613">
            <w:pPr>
              <w:jc w:val="right"/>
              <w:textAlignment w:val="bottom"/>
            </w:pPr>
            <w:r>
              <w:rPr>
                <w:rFonts w:ascii="Arial" w:eastAsia="宋体" w:hAnsi="Arial" w:cs="Arial"/>
                <w:color w:val="000000"/>
                <w:sz w:val="12"/>
                <w:szCs w:val="12"/>
              </w:rPr>
              <w:t>(7)</w:t>
            </w:r>
          </w:p>
        </w:tc>
        <w:tc>
          <w:tcPr>
            <w:tcW w:w="0" w:type="auto"/>
            <w:shd w:val="clear" w:color="auto" w:fill="CCEEFF"/>
            <w:tcMar>
              <w:top w:w="40" w:type="dxa"/>
              <w:left w:w="0" w:type="dxa"/>
              <w:bottom w:w="40" w:type="dxa"/>
              <w:right w:w="20" w:type="dxa"/>
            </w:tcMar>
            <w:vAlign w:val="bottom"/>
          </w:tcPr>
          <w:p w14:paraId="392C02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27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272" w14:textId="77777777" w:rsidR="00980E5F" w:rsidRDefault="00980E5F">
            <w:pPr>
              <w:rPr>
                <w:rFonts w:ascii="宋体"/>
              </w:rPr>
            </w:pPr>
          </w:p>
        </w:tc>
        <w:tc>
          <w:tcPr>
            <w:tcW w:w="0" w:type="auto"/>
            <w:shd w:val="clear" w:color="auto" w:fill="auto"/>
            <w:vAlign w:val="bottom"/>
          </w:tcPr>
          <w:p w14:paraId="392C0273" w14:textId="77777777" w:rsidR="00980E5F" w:rsidRDefault="00980E5F">
            <w:pPr>
              <w:rPr>
                <w:rFonts w:ascii="宋体"/>
                <w:vanish/>
              </w:rPr>
            </w:pPr>
          </w:p>
        </w:tc>
        <w:tc>
          <w:tcPr>
            <w:tcW w:w="0" w:type="auto"/>
            <w:shd w:val="clear" w:color="auto" w:fill="auto"/>
            <w:vAlign w:val="bottom"/>
          </w:tcPr>
          <w:p w14:paraId="392C0274" w14:textId="77777777" w:rsidR="00980E5F" w:rsidRDefault="00980E5F">
            <w:pPr>
              <w:rPr>
                <w:rFonts w:ascii="宋体"/>
                <w:vanish/>
              </w:rPr>
            </w:pPr>
          </w:p>
        </w:tc>
        <w:tc>
          <w:tcPr>
            <w:tcW w:w="0" w:type="auto"/>
            <w:shd w:val="clear" w:color="auto" w:fill="auto"/>
            <w:vAlign w:val="bottom"/>
          </w:tcPr>
          <w:p w14:paraId="392C0275" w14:textId="77777777" w:rsidR="00980E5F" w:rsidRDefault="00980E5F">
            <w:pPr>
              <w:rPr>
                <w:rFonts w:ascii="宋体"/>
                <w:vanish/>
              </w:rPr>
            </w:pPr>
          </w:p>
        </w:tc>
        <w:tc>
          <w:tcPr>
            <w:tcW w:w="0" w:type="auto"/>
            <w:shd w:val="clear" w:color="auto" w:fill="auto"/>
            <w:vAlign w:val="bottom"/>
          </w:tcPr>
          <w:p w14:paraId="392C0276" w14:textId="77777777" w:rsidR="00980E5F" w:rsidRDefault="00980E5F">
            <w:pPr>
              <w:rPr>
                <w:rFonts w:ascii="宋体"/>
                <w:vanish/>
              </w:rPr>
            </w:pPr>
          </w:p>
        </w:tc>
        <w:tc>
          <w:tcPr>
            <w:tcW w:w="0" w:type="auto"/>
            <w:gridSpan w:val="3"/>
            <w:shd w:val="clear" w:color="auto" w:fill="auto"/>
            <w:vAlign w:val="bottom"/>
          </w:tcPr>
          <w:p w14:paraId="392C0277" w14:textId="77777777" w:rsidR="00980E5F" w:rsidRDefault="00980E5F">
            <w:pPr>
              <w:rPr>
                <w:rFonts w:ascii="宋体"/>
                <w:vanish/>
              </w:rPr>
            </w:pPr>
          </w:p>
        </w:tc>
        <w:tc>
          <w:tcPr>
            <w:tcW w:w="0" w:type="auto"/>
            <w:gridSpan w:val="3"/>
            <w:shd w:val="clear" w:color="auto" w:fill="auto"/>
            <w:vAlign w:val="bottom"/>
          </w:tcPr>
          <w:p w14:paraId="392C0278" w14:textId="77777777" w:rsidR="00980E5F" w:rsidRDefault="00980E5F">
            <w:pPr>
              <w:rPr>
                <w:rFonts w:ascii="宋体"/>
                <w:vanish/>
              </w:rPr>
            </w:pPr>
          </w:p>
        </w:tc>
        <w:tc>
          <w:tcPr>
            <w:tcW w:w="0" w:type="auto"/>
            <w:gridSpan w:val="3"/>
            <w:shd w:val="clear" w:color="auto" w:fill="auto"/>
            <w:vAlign w:val="bottom"/>
          </w:tcPr>
          <w:p w14:paraId="392C0279" w14:textId="77777777" w:rsidR="00980E5F" w:rsidRDefault="00980E5F">
            <w:pPr>
              <w:rPr>
                <w:rFonts w:ascii="宋体"/>
                <w:vanish/>
              </w:rPr>
            </w:pPr>
          </w:p>
        </w:tc>
        <w:tc>
          <w:tcPr>
            <w:tcW w:w="0" w:type="auto"/>
            <w:gridSpan w:val="3"/>
            <w:shd w:val="clear" w:color="auto" w:fill="auto"/>
            <w:vAlign w:val="bottom"/>
          </w:tcPr>
          <w:p w14:paraId="392C027A" w14:textId="77777777" w:rsidR="00980E5F" w:rsidRDefault="00980E5F">
            <w:pPr>
              <w:rPr>
                <w:rFonts w:ascii="宋体"/>
                <w:vanish/>
              </w:rPr>
            </w:pPr>
          </w:p>
        </w:tc>
        <w:tc>
          <w:tcPr>
            <w:tcW w:w="0" w:type="auto"/>
            <w:gridSpan w:val="2"/>
            <w:shd w:val="clear" w:color="auto" w:fill="auto"/>
            <w:vAlign w:val="bottom"/>
          </w:tcPr>
          <w:p w14:paraId="392C027B" w14:textId="77777777" w:rsidR="00980E5F" w:rsidRDefault="00980E5F">
            <w:pPr>
              <w:rPr>
                <w:rFonts w:ascii="宋体"/>
                <w:vanish/>
              </w:rPr>
            </w:pPr>
          </w:p>
        </w:tc>
        <w:tc>
          <w:tcPr>
            <w:tcW w:w="0" w:type="auto"/>
            <w:shd w:val="clear" w:color="auto" w:fill="auto"/>
            <w:vAlign w:val="bottom"/>
          </w:tcPr>
          <w:p w14:paraId="392C027C" w14:textId="77777777" w:rsidR="00980E5F" w:rsidRDefault="00980E5F">
            <w:pPr>
              <w:rPr>
                <w:rFonts w:ascii="宋体"/>
                <w:vanish/>
              </w:rPr>
            </w:pPr>
          </w:p>
        </w:tc>
      </w:tr>
      <w:tr w:rsidR="00980E5F" w14:paraId="392C0298" w14:textId="77777777">
        <w:tc>
          <w:tcPr>
            <w:tcW w:w="0" w:type="auto"/>
            <w:gridSpan w:val="3"/>
            <w:shd w:val="clear" w:color="auto" w:fill="FFFFFF"/>
            <w:tcMar>
              <w:top w:w="40" w:type="dxa"/>
              <w:left w:w="20" w:type="dxa"/>
              <w:bottom w:w="40" w:type="dxa"/>
              <w:right w:w="20" w:type="dxa"/>
            </w:tcMar>
            <w:vAlign w:val="bottom"/>
          </w:tcPr>
          <w:p w14:paraId="392C027E" w14:textId="77777777" w:rsidR="00980E5F" w:rsidRDefault="00483613">
            <w:pPr>
              <w:textAlignment w:val="bottom"/>
            </w:pPr>
            <w:r>
              <w:rPr>
                <w:rFonts w:ascii="Arial" w:eastAsia="宋体" w:hAnsi="Arial" w:cs="Arial"/>
                <w:color w:val="000000"/>
                <w:sz w:val="12"/>
                <w:szCs w:val="12"/>
              </w:rPr>
              <w:t xml:space="preserve">Net interest income, GAAP-basis </w:t>
            </w:r>
          </w:p>
        </w:tc>
        <w:tc>
          <w:tcPr>
            <w:tcW w:w="0" w:type="auto"/>
            <w:gridSpan w:val="3"/>
            <w:shd w:val="clear" w:color="auto" w:fill="FFFFFF"/>
            <w:tcMar>
              <w:top w:w="0" w:type="dxa"/>
              <w:left w:w="20" w:type="dxa"/>
              <w:bottom w:w="0" w:type="dxa"/>
              <w:right w:w="20" w:type="dxa"/>
            </w:tcMar>
            <w:vAlign w:val="bottom"/>
          </w:tcPr>
          <w:p w14:paraId="392C027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281"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282" w14:textId="77777777" w:rsidR="00980E5F" w:rsidRDefault="00483613">
            <w:pPr>
              <w:jc w:val="right"/>
              <w:textAlignment w:val="bottom"/>
            </w:pPr>
            <w:r>
              <w:rPr>
                <w:rFonts w:ascii="Arial" w:eastAsia="宋体" w:hAnsi="Arial" w:cs="Arial"/>
                <w:b/>
                <w:bCs/>
                <w:color w:val="000000"/>
                <w:sz w:val="12"/>
                <w:szCs w:val="12"/>
              </w:rPr>
              <w:t>1,093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2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28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289"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28A" w14:textId="77777777" w:rsidR="00980E5F" w:rsidRDefault="00483613">
            <w:pPr>
              <w:jc w:val="right"/>
              <w:textAlignment w:val="bottom"/>
            </w:pPr>
            <w:r>
              <w:rPr>
                <w:rFonts w:ascii="Arial" w:eastAsia="宋体" w:hAnsi="Arial" w:cs="Arial"/>
                <w:color w:val="000000"/>
                <w:sz w:val="12"/>
                <w:szCs w:val="12"/>
              </w:rPr>
              <w:t>934 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2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28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28D" w14:textId="77777777" w:rsidR="00980E5F" w:rsidRDefault="00980E5F">
            <w:pPr>
              <w:rPr>
                <w:rFonts w:ascii="宋体"/>
              </w:rPr>
            </w:pPr>
          </w:p>
        </w:tc>
        <w:tc>
          <w:tcPr>
            <w:tcW w:w="0" w:type="auto"/>
            <w:shd w:val="clear" w:color="auto" w:fill="auto"/>
            <w:vAlign w:val="bottom"/>
          </w:tcPr>
          <w:p w14:paraId="392C028E" w14:textId="77777777" w:rsidR="00980E5F" w:rsidRDefault="00980E5F">
            <w:pPr>
              <w:rPr>
                <w:rFonts w:ascii="宋体"/>
                <w:vanish/>
              </w:rPr>
            </w:pPr>
          </w:p>
        </w:tc>
        <w:tc>
          <w:tcPr>
            <w:tcW w:w="0" w:type="auto"/>
            <w:shd w:val="clear" w:color="auto" w:fill="auto"/>
            <w:vAlign w:val="bottom"/>
          </w:tcPr>
          <w:p w14:paraId="392C028F" w14:textId="77777777" w:rsidR="00980E5F" w:rsidRDefault="00980E5F">
            <w:pPr>
              <w:rPr>
                <w:rFonts w:ascii="宋体"/>
                <w:vanish/>
              </w:rPr>
            </w:pPr>
          </w:p>
        </w:tc>
        <w:tc>
          <w:tcPr>
            <w:tcW w:w="0" w:type="auto"/>
            <w:shd w:val="clear" w:color="auto" w:fill="auto"/>
            <w:vAlign w:val="bottom"/>
          </w:tcPr>
          <w:p w14:paraId="392C0290" w14:textId="77777777" w:rsidR="00980E5F" w:rsidRDefault="00980E5F">
            <w:pPr>
              <w:rPr>
                <w:rFonts w:ascii="宋体"/>
                <w:vanish/>
              </w:rPr>
            </w:pPr>
          </w:p>
        </w:tc>
        <w:tc>
          <w:tcPr>
            <w:tcW w:w="0" w:type="auto"/>
            <w:shd w:val="clear" w:color="auto" w:fill="auto"/>
            <w:vAlign w:val="bottom"/>
          </w:tcPr>
          <w:p w14:paraId="392C0291" w14:textId="77777777" w:rsidR="00980E5F" w:rsidRDefault="00980E5F">
            <w:pPr>
              <w:rPr>
                <w:rFonts w:ascii="宋体"/>
                <w:vanish/>
              </w:rPr>
            </w:pPr>
          </w:p>
        </w:tc>
        <w:tc>
          <w:tcPr>
            <w:tcW w:w="0" w:type="auto"/>
            <w:gridSpan w:val="3"/>
            <w:shd w:val="clear" w:color="auto" w:fill="auto"/>
            <w:vAlign w:val="bottom"/>
          </w:tcPr>
          <w:p w14:paraId="392C0292" w14:textId="77777777" w:rsidR="00980E5F" w:rsidRDefault="00980E5F">
            <w:pPr>
              <w:rPr>
                <w:rFonts w:ascii="宋体"/>
                <w:vanish/>
              </w:rPr>
            </w:pPr>
          </w:p>
        </w:tc>
        <w:tc>
          <w:tcPr>
            <w:tcW w:w="0" w:type="auto"/>
            <w:gridSpan w:val="3"/>
            <w:shd w:val="clear" w:color="auto" w:fill="auto"/>
            <w:vAlign w:val="bottom"/>
          </w:tcPr>
          <w:p w14:paraId="392C0293" w14:textId="77777777" w:rsidR="00980E5F" w:rsidRDefault="00980E5F">
            <w:pPr>
              <w:rPr>
                <w:rFonts w:ascii="宋体"/>
                <w:vanish/>
              </w:rPr>
            </w:pPr>
          </w:p>
        </w:tc>
        <w:tc>
          <w:tcPr>
            <w:tcW w:w="0" w:type="auto"/>
            <w:gridSpan w:val="3"/>
            <w:shd w:val="clear" w:color="auto" w:fill="auto"/>
            <w:vAlign w:val="bottom"/>
          </w:tcPr>
          <w:p w14:paraId="392C0294" w14:textId="77777777" w:rsidR="00980E5F" w:rsidRDefault="00980E5F">
            <w:pPr>
              <w:rPr>
                <w:rFonts w:ascii="宋体"/>
                <w:vanish/>
              </w:rPr>
            </w:pPr>
          </w:p>
        </w:tc>
        <w:tc>
          <w:tcPr>
            <w:tcW w:w="0" w:type="auto"/>
            <w:gridSpan w:val="3"/>
            <w:shd w:val="clear" w:color="auto" w:fill="auto"/>
            <w:vAlign w:val="bottom"/>
          </w:tcPr>
          <w:p w14:paraId="392C0295" w14:textId="77777777" w:rsidR="00980E5F" w:rsidRDefault="00980E5F">
            <w:pPr>
              <w:rPr>
                <w:rFonts w:ascii="宋体"/>
                <w:vanish/>
              </w:rPr>
            </w:pPr>
          </w:p>
        </w:tc>
        <w:tc>
          <w:tcPr>
            <w:tcW w:w="0" w:type="auto"/>
            <w:gridSpan w:val="2"/>
            <w:shd w:val="clear" w:color="auto" w:fill="auto"/>
            <w:vAlign w:val="bottom"/>
          </w:tcPr>
          <w:p w14:paraId="392C0296" w14:textId="77777777" w:rsidR="00980E5F" w:rsidRDefault="00980E5F">
            <w:pPr>
              <w:rPr>
                <w:rFonts w:ascii="宋体"/>
                <w:vanish/>
              </w:rPr>
            </w:pPr>
          </w:p>
        </w:tc>
        <w:tc>
          <w:tcPr>
            <w:tcW w:w="0" w:type="auto"/>
            <w:shd w:val="clear" w:color="auto" w:fill="auto"/>
            <w:vAlign w:val="bottom"/>
          </w:tcPr>
          <w:p w14:paraId="392C0297" w14:textId="77777777" w:rsidR="00980E5F" w:rsidRDefault="00980E5F">
            <w:pPr>
              <w:rPr>
                <w:rFonts w:ascii="宋体"/>
                <w:vanish/>
              </w:rPr>
            </w:pPr>
          </w:p>
        </w:tc>
      </w:tr>
    </w:tbl>
    <w:p w14:paraId="392C0299"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C02A0" w14:textId="77777777">
        <w:tc>
          <w:tcPr>
            <w:tcW w:w="50" w:type="pct"/>
            <w:shd w:val="clear" w:color="auto" w:fill="auto"/>
            <w:vAlign w:val="bottom"/>
          </w:tcPr>
          <w:p w14:paraId="392C029A" w14:textId="77777777" w:rsidR="00980E5F" w:rsidRDefault="00980E5F">
            <w:pPr>
              <w:rPr>
                <w:rFonts w:ascii="宋体"/>
              </w:rPr>
            </w:pPr>
          </w:p>
        </w:tc>
        <w:tc>
          <w:tcPr>
            <w:tcW w:w="1348" w:type="pct"/>
            <w:shd w:val="clear" w:color="auto" w:fill="auto"/>
            <w:vAlign w:val="bottom"/>
          </w:tcPr>
          <w:p w14:paraId="392C029B" w14:textId="77777777" w:rsidR="00980E5F" w:rsidRDefault="00980E5F">
            <w:pPr>
              <w:rPr>
                <w:rFonts w:ascii="宋体"/>
              </w:rPr>
            </w:pPr>
          </w:p>
        </w:tc>
        <w:tc>
          <w:tcPr>
            <w:tcW w:w="5" w:type="pct"/>
            <w:shd w:val="clear" w:color="auto" w:fill="auto"/>
            <w:vAlign w:val="bottom"/>
          </w:tcPr>
          <w:p w14:paraId="392C029C" w14:textId="77777777" w:rsidR="00980E5F" w:rsidRDefault="00980E5F">
            <w:pPr>
              <w:rPr>
                <w:rFonts w:ascii="宋体"/>
              </w:rPr>
            </w:pPr>
          </w:p>
        </w:tc>
        <w:tc>
          <w:tcPr>
            <w:tcW w:w="50" w:type="pct"/>
            <w:shd w:val="clear" w:color="auto" w:fill="auto"/>
            <w:vAlign w:val="bottom"/>
          </w:tcPr>
          <w:p w14:paraId="392C029D" w14:textId="77777777" w:rsidR="00980E5F" w:rsidRDefault="00980E5F">
            <w:pPr>
              <w:rPr>
                <w:rFonts w:ascii="宋体"/>
              </w:rPr>
            </w:pPr>
          </w:p>
        </w:tc>
        <w:tc>
          <w:tcPr>
            <w:tcW w:w="3541" w:type="pct"/>
            <w:shd w:val="clear" w:color="auto" w:fill="auto"/>
            <w:vAlign w:val="bottom"/>
          </w:tcPr>
          <w:p w14:paraId="392C029E" w14:textId="77777777" w:rsidR="00980E5F" w:rsidRDefault="00980E5F">
            <w:pPr>
              <w:rPr>
                <w:rFonts w:ascii="宋体"/>
              </w:rPr>
            </w:pPr>
          </w:p>
        </w:tc>
        <w:tc>
          <w:tcPr>
            <w:tcW w:w="5" w:type="pct"/>
            <w:shd w:val="clear" w:color="auto" w:fill="auto"/>
            <w:vAlign w:val="bottom"/>
          </w:tcPr>
          <w:p w14:paraId="392C029F" w14:textId="77777777" w:rsidR="00980E5F" w:rsidRDefault="00980E5F">
            <w:pPr>
              <w:rPr>
                <w:rFonts w:ascii="宋体"/>
              </w:rPr>
            </w:pPr>
          </w:p>
        </w:tc>
      </w:tr>
      <w:tr w:rsidR="00980E5F" w14:paraId="392C02A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02A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2A2" w14:textId="77777777" w:rsidR="00980E5F" w:rsidRDefault="00980E5F">
            <w:pPr>
              <w:rPr>
                <w:rFonts w:ascii="宋体"/>
              </w:rPr>
            </w:pPr>
          </w:p>
        </w:tc>
      </w:tr>
    </w:tbl>
    <w:p w14:paraId="392C02A4" w14:textId="77777777" w:rsidR="00980E5F" w:rsidRDefault="00483613">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392C02A5" w14:textId="77777777" w:rsidR="00980E5F" w:rsidRDefault="00483613">
      <w:pPr>
        <w:spacing w:before="60"/>
        <w:jc w:val="both"/>
      </w:pPr>
      <w:r>
        <w:rPr>
          <w:rFonts w:ascii="Arial" w:eastAsia="宋体" w:hAnsi="Arial" w:cs="Arial"/>
          <w:color w:val="000000"/>
          <w:sz w:val="7"/>
          <w:szCs w:val="7"/>
        </w:rPr>
        <w:t>(2)</w:t>
      </w:r>
      <w:r>
        <w:rPr>
          <w:rFonts w:ascii="Arial" w:eastAsia="宋体" w:hAnsi="Arial" w:cs="Arial"/>
          <w:color w:val="000000"/>
          <w:sz w:val="12"/>
          <w:szCs w:val="12"/>
        </w:rPr>
        <w:t xml:space="preserve"> Negative values reflect the interest rate environment </w:t>
      </w:r>
      <w:r>
        <w:rPr>
          <w:rFonts w:ascii="Arial" w:eastAsia="宋体" w:hAnsi="Arial" w:cs="Arial"/>
          <w:color w:val="000000"/>
          <w:sz w:val="12"/>
          <w:szCs w:val="12"/>
        </w:rPr>
        <w:t>outside of the U.S. where central bank rates are below zero for several major currencies.</w:t>
      </w:r>
    </w:p>
    <w:p w14:paraId="392C02A6" w14:textId="77777777" w:rsidR="00980E5F" w:rsidRDefault="00483613">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Reflects the impact of balance sheet netting under enforceable netting agreements of approximately $71.10 billion and $126.12 billion for the three and six months ended June 30, 2022, respectively compared to $61.59 billion and $74.41 billion for the same</w:t>
      </w:r>
      <w:r>
        <w:rPr>
          <w:rFonts w:ascii="Arial" w:eastAsia="宋体" w:hAnsi="Arial" w:cs="Arial"/>
          <w:color w:val="000000"/>
          <w:sz w:val="12"/>
          <w:szCs w:val="12"/>
        </w:rPr>
        <w:t xml:space="preserve"> periods in 2021, respectively. Excluding the impact of netting, the average interest rates would be approximately 0.21% and 0.07% in the three and six months ended June 30, 2022, respectively, compared to 0.02% and 0.03% in the same periods in 2021, respe</w:t>
      </w:r>
      <w:r>
        <w:rPr>
          <w:rFonts w:ascii="Arial" w:eastAsia="宋体" w:hAnsi="Arial" w:cs="Arial"/>
          <w:color w:val="000000"/>
          <w:sz w:val="12"/>
          <w:szCs w:val="12"/>
        </w:rPr>
        <w:t>ctively.</w:t>
      </w:r>
    </w:p>
    <w:p w14:paraId="392C02A7" w14:textId="77777777" w:rsidR="00980E5F" w:rsidRDefault="00483613">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Average rate includes the impact of FX swap costs of approximately ($3) million and ($16) million for the three and six months ended June 30, 2022, respectively, compared to ($16) million and ($37) million for the same periods in 2021, respect</w:t>
      </w:r>
      <w:r>
        <w:rPr>
          <w:rFonts w:ascii="Arial" w:eastAsia="宋体" w:hAnsi="Arial" w:cs="Arial"/>
          <w:color w:val="000000"/>
          <w:sz w:val="12"/>
          <w:szCs w:val="12"/>
        </w:rPr>
        <w:t>ively. Average rates for total interest-bearing deposits excluding the impact of FX swap costs were 0.06% and (0.03)% in the three and six months ended June 30, 2022, respectively, compared to (0.10)% in both the same periods in 2021.</w:t>
      </w:r>
    </w:p>
    <w:p w14:paraId="392C02A8" w14:textId="77777777" w:rsidR="00980E5F" w:rsidRDefault="00483613">
      <w:pPr>
        <w:spacing w:before="60"/>
        <w:jc w:val="both"/>
      </w:pPr>
      <w:r>
        <w:rPr>
          <w:rFonts w:ascii="Arial" w:eastAsia="宋体" w:hAnsi="Arial" w:cs="Arial"/>
          <w:color w:val="000000"/>
          <w:sz w:val="7"/>
          <w:szCs w:val="7"/>
        </w:rPr>
        <w:t>(5)</w:t>
      </w:r>
      <w:r>
        <w:rPr>
          <w:rFonts w:ascii="Arial" w:eastAsia="宋体" w:hAnsi="Arial" w:cs="Arial"/>
          <w:color w:val="000000"/>
          <w:sz w:val="12"/>
          <w:szCs w:val="12"/>
        </w:rPr>
        <w:t xml:space="preserve"> Total deposits averaged $228.42 billion and $230.83 billion in</w:t>
      </w:r>
      <w:r>
        <w:rPr>
          <w:rFonts w:ascii="Arial" w:eastAsia="宋体" w:hAnsi="Arial" w:cs="Arial"/>
          <w:color w:val="000000"/>
          <w:sz w:val="12"/>
          <w:szCs w:val="12"/>
          <w:shd w:val="clear" w:color="auto" w:fill="FFFFFF"/>
        </w:rPr>
        <w:t xml:space="preserve"> the three and six months ended June 30, 2022, r</w:t>
      </w:r>
      <w:r>
        <w:rPr>
          <w:rFonts w:ascii="Arial" w:eastAsia="宋体" w:hAnsi="Arial" w:cs="Arial"/>
          <w:color w:val="000000"/>
          <w:sz w:val="12"/>
          <w:szCs w:val="12"/>
        </w:rPr>
        <w:t>espectively, compared to $242.31 billion and $234.32 billion in the same periods in 2021, respectively.</w:t>
      </w:r>
    </w:p>
    <w:p w14:paraId="392C02A9" w14:textId="77777777" w:rsidR="00980E5F" w:rsidRDefault="00483613">
      <w:pPr>
        <w:ind w:firstLine="450"/>
        <w:jc w:val="right"/>
      </w:pPr>
      <w:r>
        <w:rPr>
          <w:rFonts w:ascii="Arial" w:eastAsia="宋体" w:hAnsi="Arial" w:cs="Arial"/>
          <w:color w:val="000000"/>
          <w:sz w:val="18"/>
          <w:szCs w:val="18"/>
        </w:rPr>
        <w:t>State Street Corporation | 21</w:t>
      </w:r>
    </w:p>
    <w:p w14:paraId="392C02AA" w14:textId="77777777" w:rsidR="00980E5F" w:rsidRDefault="00980E5F">
      <w:pPr>
        <w:ind w:firstLine="450"/>
        <w:jc w:val="center"/>
      </w:pPr>
    </w:p>
    <w:p w14:paraId="392C02AB" w14:textId="77777777" w:rsidR="00980E5F" w:rsidRDefault="00483613">
      <w:r>
        <w:pict w14:anchorId="392CBAE3">
          <v:rect id="_x0000_i1045" style="width:415.3pt;height:1.5pt" o:hralign="center" o:hrstd="t" o:hr="t" fillcolor="#a0a0a0" stroked="f"/>
        </w:pict>
      </w:r>
    </w:p>
    <w:p w14:paraId="392C02AC" w14:textId="77777777" w:rsidR="00980E5F" w:rsidRDefault="00483613">
      <w:pPr>
        <w:ind w:firstLine="450"/>
        <w:jc w:val="center"/>
      </w:pPr>
      <w:r>
        <w:rPr>
          <w:rFonts w:ascii="Arial" w:eastAsia="宋体" w:hAnsi="Arial" w:cs="Arial"/>
          <w:b/>
          <w:bCs/>
          <w:color w:val="000000"/>
          <w:sz w:val="20"/>
          <w:szCs w:val="20"/>
        </w:rPr>
        <w:t>MANAGEME</w:t>
      </w:r>
      <w:r>
        <w:rPr>
          <w:rFonts w:ascii="Arial" w:eastAsia="宋体" w:hAnsi="Arial" w:cs="Arial"/>
          <w:b/>
          <w:bCs/>
          <w:color w:val="000000"/>
          <w:sz w:val="20"/>
          <w:szCs w:val="20"/>
        </w:rPr>
        <w:t>NT’S DISCUSSION AND ANALYSIS OF FINANCIAL CONDITION</w:t>
      </w:r>
    </w:p>
    <w:p w14:paraId="392C02AD" w14:textId="77777777" w:rsidR="00980E5F" w:rsidRDefault="00483613">
      <w:pPr>
        <w:ind w:firstLine="450"/>
        <w:jc w:val="center"/>
      </w:pPr>
      <w:r>
        <w:rPr>
          <w:rFonts w:ascii="Arial" w:eastAsia="宋体" w:hAnsi="Arial" w:cs="Arial"/>
          <w:b/>
          <w:bCs/>
          <w:color w:val="000000"/>
          <w:sz w:val="20"/>
          <w:szCs w:val="20"/>
        </w:rPr>
        <w:t>AND RESULTS OF OPERATIONS</w:t>
      </w:r>
    </w:p>
    <w:p w14:paraId="392C02AE" w14:textId="77777777" w:rsidR="00980E5F" w:rsidRDefault="00483613">
      <w:pPr>
        <w:spacing w:before="120"/>
        <w:ind w:firstLine="450"/>
        <w:jc w:val="both"/>
        <w:textAlignment w:val="top"/>
      </w:pPr>
      <w:r>
        <w:rPr>
          <w:rFonts w:ascii="Arial" w:eastAsia="宋体" w:hAnsi="Arial" w:cs="Arial"/>
          <w:color w:val="000000"/>
          <w:sz w:val="20"/>
          <w:szCs w:val="20"/>
        </w:rPr>
        <w:t xml:space="preserve">Changes in the components of interest-earning assets and interest-bearing liabilities are discussed in more detail below. Additional information about the components of interest </w:t>
      </w:r>
      <w:r>
        <w:rPr>
          <w:rFonts w:ascii="Arial" w:eastAsia="宋体" w:hAnsi="Arial" w:cs="Arial"/>
          <w:color w:val="000000"/>
          <w:sz w:val="20"/>
          <w:szCs w:val="20"/>
        </w:rPr>
        <w:t>income and interest expense is provided in Note 14 to the consolidated financial statements within this Form 10-Q.</w:t>
      </w:r>
    </w:p>
    <w:p w14:paraId="392C02AF" w14:textId="77777777" w:rsidR="00980E5F" w:rsidRDefault="00483613">
      <w:pPr>
        <w:spacing w:before="120"/>
        <w:ind w:firstLine="450"/>
        <w:jc w:val="both"/>
        <w:textAlignment w:val="top"/>
      </w:pPr>
      <w:r>
        <w:rPr>
          <w:rFonts w:ascii="Arial" w:eastAsia="宋体" w:hAnsi="Arial" w:cs="Arial"/>
          <w:color w:val="000000"/>
          <w:sz w:val="20"/>
          <w:szCs w:val="20"/>
        </w:rPr>
        <w:t xml:space="preserve">Average total interest-earning assets were $251.25 billion and $254.66 billion in the </w:t>
      </w:r>
      <w:r>
        <w:rPr>
          <w:rFonts w:ascii="Arial" w:eastAsia="宋体" w:hAnsi="Arial" w:cs="Arial"/>
          <w:color w:val="000000"/>
          <w:sz w:val="20"/>
          <w:szCs w:val="20"/>
          <w:shd w:val="clear" w:color="auto" w:fill="FFFFFF"/>
        </w:rPr>
        <w:t>three and six months ended June 30, 2022, respectively,</w:t>
      </w:r>
      <w:r>
        <w:rPr>
          <w:rFonts w:ascii="Arial" w:eastAsia="宋体" w:hAnsi="Arial" w:cs="Arial"/>
          <w:color w:val="000000"/>
          <w:sz w:val="20"/>
          <w:szCs w:val="20"/>
          <w:shd w:val="clear" w:color="auto" w:fill="FFFFFF"/>
        </w:rPr>
        <w:t xml:space="preserve"> compared to $266.02 billion and $260.41 billion in the same periods in 2021, respectively. </w:t>
      </w:r>
      <w:r>
        <w:rPr>
          <w:rFonts w:ascii="Arial" w:eastAsia="宋体" w:hAnsi="Arial" w:cs="Arial"/>
          <w:color w:val="000000"/>
          <w:sz w:val="20"/>
          <w:szCs w:val="20"/>
        </w:rPr>
        <w:t>The decreases in both periods are primarily due to lower client deposit balances.</w:t>
      </w:r>
    </w:p>
    <w:p w14:paraId="392C02B0" w14:textId="77777777" w:rsidR="00980E5F" w:rsidRDefault="00483613">
      <w:pPr>
        <w:spacing w:before="120"/>
        <w:ind w:firstLine="450"/>
        <w:jc w:val="both"/>
        <w:textAlignment w:val="top"/>
      </w:pPr>
      <w:r>
        <w:rPr>
          <w:rFonts w:ascii="Arial" w:eastAsia="宋体" w:hAnsi="Arial" w:cs="Arial"/>
          <w:color w:val="000000"/>
          <w:sz w:val="20"/>
          <w:szCs w:val="20"/>
        </w:rPr>
        <w:t>Interest-bearing deposits with banks averaged $76.53 billion and $76.64 billion in</w:t>
      </w:r>
      <w:r>
        <w:rPr>
          <w:rFonts w:ascii="Arial" w:eastAsia="宋体" w:hAnsi="Arial" w:cs="Arial"/>
          <w:color w:val="000000"/>
          <w:sz w:val="20"/>
          <w:szCs w:val="20"/>
        </w:rPr>
        <w:t xml:space="preserve"> the </w:t>
      </w:r>
      <w:r>
        <w:rPr>
          <w:rFonts w:ascii="Arial" w:eastAsia="宋体" w:hAnsi="Arial" w:cs="Arial"/>
          <w:color w:val="000000"/>
          <w:sz w:val="20"/>
          <w:szCs w:val="20"/>
          <w:shd w:val="clear" w:color="auto" w:fill="FFFFFF"/>
        </w:rPr>
        <w:t>three and six months ended June 30, 2022</w:t>
      </w:r>
      <w:r>
        <w:rPr>
          <w:rFonts w:ascii="Arial" w:eastAsia="宋体" w:hAnsi="Arial" w:cs="Arial"/>
          <w:color w:val="000000"/>
          <w:sz w:val="20"/>
          <w:szCs w:val="20"/>
        </w:rPr>
        <w:t>, respectively, compared to $99.44 billion and $97.35 billion in the same periods in 2021, respectively. These deposits primarily reflect our maintenance of cash balances at the Federal Reserve, the European Cen</w:t>
      </w:r>
      <w:r>
        <w:rPr>
          <w:rFonts w:ascii="Arial" w:eastAsia="宋体" w:hAnsi="Arial" w:cs="Arial"/>
          <w:color w:val="000000"/>
          <w:sz w:val="20"/>
          <w:szCs w:val="20"/>
        </w:rPr>
        <w:t>tral Bank (ECB) and other non-U.S. central banks. The lower levels of average cash balances reflect lower client deposit balances and a mix shift into securities and loans.</w:t>
      </w:r>
    </w:p>
    <w:p w14:paraId="392C02B1" w14:textId="77777777" w:rsidR="00980E5F" w:rsidRDefault="00483613">
      <w:pPr>
        <w:spacing w:before="120"/>
        <w:ind w:firstLine="450"/>
        <w:jc w:val="both"/>
        <w:textAlignment w:val="top"/>
      </w:pPr>
      <w:r>
        <w:rPr>
          <w:rFonts w:ascii="Arial" w:eastAsia="宋体" w:hAnsi="Arial" w:cs="Arial"/>
          <w:color w:val="000000"/>
          <w:sz w:val="20"/>
          <w:szCs w:val="20"/>
        </w:rPr>
        <w:t>Securities repurchased under resale agreements averaged $2.02 billion and $2.58 bil</w:t>
      </w:r>
      <w:r>
        <w:rPr>
          <w:rFonts w:ascii="Arial" w:eastAsia="宋体" w:hAnsi="Arial" w:cs="Arial"/>
          <w:color w:val="000000"/>
          <w:sz w:val="20"/>
          <w:szCs w:val="20"/>
        </w:rPr>
        <w:t>lion in</w:t>
      </w:r>
      <w:r>
        <w:rPr>
          <w:rFonts w:ascii="Arial" w:eastAsia="宋体" w:hAnsi="Arial" w:cs="Arial"/>
          <w:color w:val="000000"/>
          <w:sz w:val="20"/>
          <w:szCs w:val="20"/>
          <w:shd w:val="clear" w:color="auto" w:fill="FFFFFF"/>
        </w:rPr>
        <w:t xml:space="preserve"> the three and six months ended June 30, 2022, re</w:t>
      </w:r>
      <w:r>
        <w:rPr>
          <w:rFonts w:ascii="Arial" w:eastAsia="宋体" w:hAnsi="Arial" w:cs="Arial"/>
          <w:color w:val="000000"/>
          <w:sz w:val="20"/>
          <w:szCs w:val="20"/>
        </w:rPr>
        <w:t xml:space="preserve">spectively, compared to $3.96 billion and $4.26 billion in the same periods in 2021, respectively. We maintain an agreement with Fixed Income Clearing Corporation (FICC), a clearing organization that </w:t>
      </w:r>
      <w:r>
        <w:rPr>
          <w:rFonts w:ascii="Arial" w:eastAsia="宋体" w:hAnsi="Arial" w:cs="Arial"/>
          <w:color w:val="000000"/>
          <w:sz w:val="20"/>
          <w:szCs w:val="20"/>
        </w:rPr>
        <w:t>enables us to net securities sold under repurchase agreements against those repurchased under resale agreements with counterparties that are also members of the clearing organization, when specific netting criteria are met. The impact of balance sheet nett</w:t>
      </w:r>
      <w:r>
        <w:rPr>
          <w:rFonts w:ascii="Arial" w:eastAsia="宋体" w:hAnsi="Arial" w:cs="Arial"/>
          <w:color w:val="000000"/>
          <w:sz w:val="20"/>
          <w:szCs w:val="20"/>
        </w:rPr>
        <w:t>ing increased to $71.10 billion and $126.12 billion in the three and six months ended June 30, 2022, respectively, compared to $61.59 billion and $74.41 billion in the same periods in 2021, respectively, primarily driven by an increase in FICC repo volumes</w:t>
      </w:r>
      <w:r>
        <w:rPr>
          <w:rFonts w:ascii="Arial" w:eastAsia="宋体" w:hAnsi="Arial" w:cs="Arial"/>
          <w:color w:val="000000"/>
          <w:sz w:val="20"/>
          <w:szCs w:val="20"/>
        </w:rPr>
        <w:t>.</w:t>
      </w:r>
    </w:p>
    <w:p w14:paraId="392C02B2"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We have been a sponsoring member within FICC since 2005 and continue to expand our client base as program eligibility parameters broaden. We enter into repurchase and resale transactions in eligible securities with sponsored clients and with other FICC m</w:t>
      </w:r>
      <w:r>
        <w:rPr>
          <w:rFonts w:ascii="Arial" w:eastAsia="宋体" w:hAnsi="Arial" w:cs="Arial"/>
          <w:color w:val="000000"/>
          <w:sz w:val="20"/>
          <w:szCs w:val="20"/>
          <w:shd w:val="clear" w:color="auto" w:fill="FFFFFF"/>
        </w:rPr>
        <w:t>embers and, pursuant to FICC Government Securities Division rules, submit, novate and net the transactions. We may sponsor clients to clear their eligible repurchase transactions with FICC, backed by our guarantee to FICC of the prompt and full payment and</w:t>
      </w:r>
      <w:r>
        <w:rPr>
          <w:rFonts w:ascii="Arial" w:eastAsia="宋体" w:hAnsi="Arial" w:cs="Arial"/>
          <w:color w:val="000000"/>
          <w:sz w:val="20"/>
          <w:szCs w:val="20"/>
          <w:shd w:val="clear" w:color="auto" w:fill="FFFFFF"/>
        </w:rPr>
        <w:t xml:space="preserve"> performance of our sponsored member clients’ respective obligations. We generally obtain a security interest from our sponsored clients in the high quality securities collateral that they </w:t>
      </w:r>
    </w:p>
    <w:p w14:paraId="392C02B3" w14:textId="77777777" w:rsidR="00980E5F" w:rsidRDefault="00483613">
      <w:pPr>
        <w:spacing w:before="60"/>
        <w:jc w:val="both"/>
        <w:textAlignment w:val="top"/>
      </w:pPr>
      <w:r>
        <w:rPr>
          <w:rFonts w:ascii="Arial" w:eastAsia="宋体" w:hAnsi="Arial" w:cs="Arial"/>
          <w:color w:val="000000"/>
          <w:sz w:val="20"/>
          <w:szCs w:val="20"/>
          <w:shd w:val="clear" w:color="auto" w:fill="FFFFFF"/>
        </w:rPr>
        <w:t>receive, which is designed to mitigate our potential exposure to F</w:t>
      </w:r>
      <w:r>
        <w:rPr>
          <w:rFonts w:ascii="Arial" w:eastAsia="宋体" w:hAnsi="Arial" w:cs="Arial"/>
          <w:color w:val="000000"/>
          <w:sz w:val="20"/>
          <w:szCs w:val="20"/>
          <w:shd w:val="clear" w:color="auto" w:fill="FFFFFF"/>
        </w:rPr>
        <w:t>ICC.</w:t>
      </w:r>
    </w:p>
    <w:p w14:paraId="392C02B4" w14:textId="77777777" w:rsidR="00980E5F" w:rsidRDefault="00483613">
      <w:pPr>
        <w:spacing w:before="60"/>
        <w:ind w:firstLine="450"/>
        <w:jc w:val="both"/>
        <w:textAlignment w:val="top"/>
      </w:pPr>
      <w:r>
        <w:rPr>
          <w:rFonts w:ascii="Arial" w:eastAsia="宋体" w:hAnsi="Arial" w:cs="Arial"/>
          <w:color w:val="000000"/>
          <w:sz w:val="20"/>
          <w:szCs w:val="20"/>
        </w:rPr>
        <w:t xml:space="preserve">Average investment securities were $113.93 billion and $116.59 billion in the three and six months ended June 30, 2022, respectively, compared to $111.48 billion and $109.66 billion in </w:t>
      </w:r>
      <w:r>
        <w:rPr>
          <w:rFonts w:ascii="Arial" w:eastAsia="宋体" w:hAnsi="Arial" w:cs="Arial"/>
          <w:color w:val="000000"/>
          <w:sz w:val="20"/>
          <w:szCs w:val="20"/>
          <w:shd w:val="clear" w:color="auto" w:fill="FFFFFF"/>
        </w:rPr>
        <w:t>the same periods in 2021, r</w:t>
      </w:r>
      <w:r>
        <w:rPr>
          <w:rFonts w:ascii="Arial" w:eastAsia="宋体" w:hAnsi="Arial" w:cs="Arial"/>
          <w:color w:val="000000"/>
          <w:sz w:val="20"/>
          <w:szCs w:val="20"/>
        </w:rPr>
        <w:t>espectively. The increases in both peri</w:t>
      </w:r>
      <w:r>
        <w:rPr>
          <w:rFonts w:ascii="Arial" w:eastAsia="宋体" w:hAnsi="Arial" w:cs="Arial"/>
          <w:color w:val="000000"/>
          <w:sz w:val="20"/>
          <w:szCs w:val="20"/>
        </w:rPr>
        <w:t>ods reflect higher U.S. Treasuries and agencies, MBS and CMBS balances, which was primarily driven by a mix shift from interest-bearing deposits with banks.</w:t>
      </w:r>
    </w:p>
    <w:p w14:paraId="392C02B5"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Loans average</w:t>
      </w:r>
      <w:r>
        <w:rPr>
          <w:rFonts w:ascii="Arial" w:eastAsia="宋体" w:hAnsi="Arial" w:cs="Arial"/>
          <w:color w:val="000000"/>
          <w:sz w:val="20"/>
          <w:szCs w:val="20"/>
        </w:rPr>
        <w:t xml:space="preserve">d $35.83 billion and $35.12 billion </w:t>
      </w:r>
      <w:r>
        <w:rPr>
          <w:rFonts w:ascii="Arial" w:eastAsia="宋体" w:hAnsi="Arial" w:cs="Arial"/>
          <w:color w:val="000000"/>
          <w:sz w:val="20"/>
          <w:szCs w:val="20"/>
          <w:shd w:val="clear" w:color="auto" w:fill="FFFFFF"/>
        </w:rPr>
        <w:t xml:space="preserve">in the three and six months ended June 30, </w:t>
      </w:r>
      <w:r>
        <w:rPr>
          <w:rFonts w:ascii="Arial" w:eastAsia="宋体" w:hAnsi="Arial" w:cs="Arial"/>
          <w:color w:val="000000"/>
          <w:sz w:val="20"/>
          <w:szCs w:val="20"/>
          <w:shd w:val="clear" w:color="auto" w:fill="FFFFFF"/>
        </w:rPr>
        <w:t>2022, respectively, compared to $29.47 billion and $28.75 billion in the same periods in 2021, respectively. Average core loans, which exclude overdrafts and highlight our efforts to grow our lending portfolio over the prior year, averaged</w:t>
      </w:r>
      <w:r>
        <w:rPr>
          <w:rFonts w:ascii="Arial" w:eastAsia="宋体" w:hAnsi="Arial" w:cs="Arial"/>
          <w:color w:val="000000"/>
          <w:sz w:val="20"/>
          <w:szCs w:val="20"/>
        </w:rPr>
        <w:t xml:space="preserve"> $29.28 billion a</w:t>
      </w:r>
      <w:r>
        <w:rPr>
          <w:rFonts w:ascii="Arial" w:eastAsia="宋体" w:hAnsi="Arial" w:cs="Arial"/>
          <w:color w:val="000000"/>
          <w:sz w:val="20"/>
          <w:szCs w:val="20"/>
        </w:rPr>
        <w:t xml:space="preserve">nd $29.06 billion </w:t>
      </w:r>
      <w:r>
        <w:rPr>
          <w:rFonts w:ascii="Arial" w:eastAsia="宋体" w:hAnsi="Arial" w:cs="Arial"/>
          <w:color w:val="000000"/>
          <w:sz w:val="20"/>
          <w:szCs w:val="20"/>
          <w:shd w:val="clear" w:color="auto" w:fill="FFFFFF"/>
        </w:rPr>
        <w:t>in the three and six months ended June 30, 2022, respectively, compared to $25.49 billion and $24.65 billion in the same periods in 2021, respectively.</w:t>
      </w:r>
      <w:r>
        <w:rPr>
          <w:rFonts w:ascii="Arial" w:eastAsia="宋体" w:hAnsi="Arial" w:cs="Arial"/>
          <w:color w:val="000000"/>
          <w:sz w:val="20"/>
          <w:szCs w:val="20"/>
        </w:rPr>
        <w:t xml:space="preserve"> The increases in both periods are primarily due to growth in CLOs in loan form and fun</w:t>
      </w:r>
      <w:r>
        <w:rPr>
          <w:rFonts w:ascii="Arial" w:eastAsia="宋体" w:hAnsi="Arial" w:cs="Arial"/>
          <w:color w:val="000000"/>
          <w:sz w:val="20"/>
          <w:szCs w:val="20"/>
        </w:rPr>
        <w:t>d finance loans. Additional information about these loans is provided in Note 4 to the consolidated financial statements in this Form 10-Q.</w:t>
      </w:r>
    </w:p>
    <w:p w14:paraId="392C02B6" w14:textId="77777777" w:rsidR="00980E5F" w:rsidRDefault="00483613">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increased to $22.20 bi</w:t>
      </w:r>
      <w:r>
        <w:rPr>
          <w:rFonts w:ascii="Arial" w:eastAsia="宋体" w:hAnsi="Arial" w:cs="Arial"/>
          <w:color w:val="000000"/>
          <w:sz w:val="20"/>
          <w:szCs w:val="20"/>
        </w:rPr>
        <w:t>llion and $22.98 billion in the three and six months ended June 30, 2022</w:t>
      </w:r>
      <w:r>
        <w:rPr>
          <w:rFonts w:ascii="Arial" w:eastAsia="宋体" w:hAnsi="Arial" w:cs="Arial"/>
          <w:color w:val="000000"/>
          <w:sz w:val="20"/>
          <w:szCs w:val="20"/>
          <w:shd w:val="clear" w:color="auto" w:fill="FFFFFF"/>
        </w:rPr>
        <w:t>, respectively, fr</w:t>
      </w:r>
      <w:r>
        <w:rPr>
          <w:rFonts w:ascii="Arial" w:eastAsia="宋体" w:hAnsi="Arial" w:cs="Arial"/>
          <w:color w:val="000000"/>
          <w:sz w:val="20"/>
          <w:szCs w:val="20"/>
        </w:rPr>
        <w:t>om $20.94 billion and $19.63 billion in the same periods in 2021, respectively, primarily driven by an increase in the level of cash collateral posted. Enhanced custo</w:t>
      </w:r>
      <w:r>
        <w:rPr>
          <w:rFonts w:ascii="Arial" w:eastAsia="宋体" w:hAnsi="Arial" w:cs="Arial"/>
          <w:color w:val="000000"/>
          <w:sz w:val="20"/>
          <w:szCs w:val="20"/>
        </w:rPr>
        <w:t>dy is our securities financing business where we act as principal with respect to our custody clients and generate securities finance revenue. The NII earned on these transactions is generally lower than the interest earned on other alternative investments</w:t>
      </w:r>
      <w:r>
        <w:rPr>
          <w:rFonts w:ascii="Arial" w:eastAsia="宋体" w:hAnsi="Arial" w:cs="Arial"/>
          <w:color w:val="000000"/>
          <w:sz w:val="20"/>
          <w:szCs w:val="20"/>
        </w:rPr>
        <w:t>.</w:t>
      </w:r>
    </w:p>
    <w:p w14:paraId="392C02B7" w14:textId="77777777" w:rsidR="00980E5F" w:rsidRDefault="00483613">
      <w:pPr>
        <w:spacing w:before="60"/>
        <w:ind w:firstLine="450"/>
        <w:jc w:val="both"/>
        <w:textAlignment w:val="top"/>
      </w:pPr>
      <w:r>
        <w:rPr>
          <w:rFonts w:ascii="Arial" w:eastAsia="宋体" w:hAnsi="Arial" w:cs="Arial"/>
          <w:color w:val="000000"/>
          <w:sz w:val="20"/>
          <w:szCs w:val="20"/>
        </w:rPr>
        <w:t>Aggregate average total interest-bearing deposits decreased to $177.33 billion and $180.46 billion in the three and six months ended June 30, 2022, respectively, from $193.52 billion and $186.50 billion in the same periods in 2021, respectively. While av</w:t>
      </w:r>
      <w:r>
        <w:rPr>
          <w:rFonts w:ascii="Arial" w:eastAsia="宋体" w:hAnsi="Arial" w:cs="Arial"/>
          <w:color w:val="000000"/>
          <w:sz w:val="20"/>
          <w:szCs w:val="20"/>
        </w:rPr>
        <w:t>erage U.S. deposits decreased in both periods, they remain significantly higher than pre-pandemic levels and have not yet been significantly impacted by rising interest rates. Future deposit levels will be influenced by the underlying asset servicing busin</w:t>
      </w:r>
      <w:r>
        <w:rPr>
          <w:rFonts w:ascii="Arial" w:eastAsia="宋体" w:hAnsi="Arial" w:cs="Arial"/>
          <w:color w:val="000000"/>
          <w:sz w:val="20"/>
          <w:szCs w:val="20"/>
        </w:rPr>
        <w:t>ess, client deposit behavior and market conditions, including the size of the Federal Reserve balance sheet and the general levels of U.S. and non-U.S. interest rates.</w:t>
      </w:r>
    </w:p>
    <w:p w14:paraId="392C02B8" w14:textId="77777777" w:rsidR="00980E5F" w:rsidRDefault="00483613">
      <w:pPr>
        <w:spacing w:before="60"/>
        <w:ind w:firstLine="450"/>
        <w:jc w:val="both"/>
        <w:textAlignment w:val="top"/>
      </w:pPr>
      <w:r>
        <w:rPr>
          <w:rFonts w:ascii="Arial" w:eastAsia="宋体" w:hAnsi="Arial" w:cs="Arial"/>
          <w:color w:val="000000"/>
          <w:sz w:val="20"/>
          <w:szCs w:val="20"/>
        </w:rPr>
        <w:t>Average other short-term borrowings decreased to $0.68 billion and $0.78 billion in the</w:t>
      </w:r>
      <w:r>
        <w:rPr>
          <w:rFonts w:ascii="Arial" w:eastAsia="宋体" w:hAnsi="Arial" w:cs="Arial"/>
          <w:color w:val="000000"/>
          <w:sz w:val="20"/>
          <w:szCs w:val="20"/>
          <w:shd w:val="clear" w:color="auto" w:fill="FFFFFF"/>
        </w:rPr>
        <w:t xml:space="preserve"> </w:t>
      </w:r>
      <w:r>
        <w:rPr>
          <w:rFonts w:ascii="Arial" w:eastAsia="宋体" w:hAnsi="Arial" w:cs="Arial"/>
          <w:color w:val="000000"/>
          <w:sz w:val="20"/>
          <w:szCs w:val="20"/>
          <w:shd w:val="clear" w:color="auto" w:fill="FFFFFF"/>
        </w:rPr>
        <w:t xml:space="preserve">three and six months ended June 30, 2022, respectively, from </w:t>
      </w:r>
    </w:p>
    <w:p w14:paraId="392C02B9" w14:textId="77777777" w:rsidR="00980E5F" w:rsidRDefault="00483613">
      <w:pPr>
        <w:ind w:firstLine="450"/>
        <w:jc w:val="right"/>
      </w:pPr>
      <w:r>
        <w:rPr>
          <w:rFonts w:ascii="Arial" w:eastAsia="宋体" w:hAnsi="Arial" w:cs="Arial"/>
          <w:color w:val="000000"/>
          <w:sz w:val="18"/>
          <w:szCs w:val="18"/>
        </w:rPr>
        <w:t>State Street Corporation | 22</w:t>
      </w:r>
    </w:p>
    <w:p w14:paraId="392C02BA" w14:textId="77777777" w:rsidR="00980E5F" w:rsidRDefault="00980E5F">
      <w:pPr>
        <w:ind w:firstLine="450"/>
        <w:jc w:val="center"/>
      </w:pPr>
    </w:p>
    <w:p w14:paraId="392C02BB" w14:textId="77777777" w:rsidR="00980E5F" w:rsidRDefault="00483613">
      <w:r>
        <w:pict w14:anchorId="392CBAE4">
          <v:rect id="_x0000_i1046" style="width:415.3pt;height:1.5pt" o:hralign="center" o:hrstd="t" o:hr="t" fillcolor="#a0a0a0" stroked="f"/>
        </w:pict>
      </w:r>
    </w:p>
    <w:p w14:paraId="392C02BC"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02BD" w14:textId="77777777" w:rsidR="00980E5F" w:rsidRDefault="00483613">
      <w:pPr>
        <w:ind w:firstLine="450"/>
        <w:jc w:val="center"/>
      </w:pPr>
      <w:r>
        <w:rPr>
          <w:rFonts w:ascii="Arial" w:eastAsia="宋体" w:hAnsi="Arial" w:cs="Arial"/>
          <w:b/>
          <w:bCs/>
          <w:color w:val="000000"/>
          <w:sz w:val="20"/>
          <w:szCs w:val="20"/>
        </w:rPr>
        <w:t>AND RESULTS OF OPERATIONS</w:t>
      </w:r>
    </w:p>
    <w:p w14:paraId="392C02BE" w14:textId="77777777" w:rsidR="00980E5F" w:rsidRDefault="00483613">
      <w:pPr>
        <w:spacing w:before="60"/>
        <w:jc w:val="both"/>
        <w:textAlignment w:val="top"/>
      </w:pPr>
      <w:r>
        <w:rPr>
          <w:rFonts w:ascii="Arial" w:eastAsia="宋体" w:hAnsi="Arial" w:cs="Arial"/>
          <w:color w:val="000000"/>
          <w:sz w:val="20"/>
          <w:szCs w:val="20"/>
          <w:shd w:val="clear" w:color="auto" w:fill="FFFFFF"/>
        </w:rPr>
        <w:t xml:space="preserve">$0.89 billion and $0.83 billion in the same periods in 2021, respectively. </w:t>
      </w:r>
    </w:p>
    <w:p w14:paraId="392C02BF" w14:textId="77777777" w:rsidR="00980E5F" w:rsidRDefault="00483613">
      <w:pPr>
        <w:spacing w:before="60"/>
        <w:ind w:firstLine="450"/>
        <w:jc w:val="both"/>
        <w:textAlignment w:val="top"/>
      </w:pPr>
      <w:r>
        <w:rPr>
          <w:rFonts w:ascii="Arial" w:eastAsia="宋体" w:hAnsi="Arial" w:cs="Arial"/>
          <w:color w:val="000000"/>
          <w:sz w:val="20"/>
          <w:szCs w:val="20"/>
        </w:rPr>
        <w:t>Average long-term debt was $13.70 billion and $13.98 billion in the three and six months ended June 30, 2022, respectively, compared to $13.46 billion and $13.64 billion in the sam</w:t>
      </w:r>
      <w:r>
        <w:rPr>
          <w:rFonts w:ascii="Arial" w:eastAsia="宋体" w:hAnsi="Arial" w:cs="Arial"/>
          <w:color w:val="000000"/>
          <w:sz w:val="20"/>
          <w:szCs w:val="20"/>
        </w:rPr>
        <w:t xml:space="preserve">e periods in 2021, respectively. These amounts reflect issuances, redemptions and maturities of senior debt during the respective periods. </w:t>
      </w:r>
    </w:p>
    <w:p w14:paraId="392C02C0" w14:textId="77777777" w:rsidR="00980E5F" w:rsidRDefault="00483613">
      <w:pPr>
        <w:spacing w:before="60"/>
        <w:ind w:firstLine="450"/>
        <w:jc w:val="both"/>
        <w:textAlignment w:val="top"/>
      </w:pPr>
      <w:r>
        <w:rPr>
          <w:rFonts w:ascii="Arial" w:eastAsia="宋体" w:hAnsi="Arial" w:cs="Arial"/>
          <w:color w:val="000000"/>
          <w:sz w:val="20"/>
          <w:szCs w:val="20"/>
        </w:rPr>
        <w:t>Average other interest-bearing liabilities were $2.52 billion and $2.70 billion</w:t>
      </w:r>
      <w:r>
        <w:rPr>
          <w:rFonts w:ascii="Arial" w:eastAsia="宋体" w:hAnsi="Arial" w:cs="Arial"/>
          <w:color w:val="000000"/>
          <w:sz w:val="20"/>
          <w:szCs w:val="20"/>
          <w:shd w:val="clear" w:color="auto" w:fill="FFFFFF"/>
        </w:rPr>
        <w:t xml:space="preserve"> in the three and six months ended Ju</w:t>
      </w:r>
      <w:r>
        <w:rPr>
          <w:rFonts w:ascii="Arial" w:eastAsia="宋体" w:hAnsi="Arial" w:cs="Arial"/>
          <w:color w:val="000000"/>
          <w:sz w:val="20"/>
          <w:szCs w:val="20"/>
          <w:shd w:val="clear" w:color="auto" w:fill="FFFFFF"/>
        </w:rPr>
        <w:t>ne 30, 2022, respectively, compared to $5.68 billion a</w:t>
      </w:r>
      <w:r>
        <w:rPr>
          <w:rFonts w:ascii="Arial" w:eastAsia="宋体" w:hAnsi="Arial" w:cs="Arial"/>
          <w:color w:val="000000"/>
          <w:sz w:val="20"/>
          <w:szCs w:val="20"/>
        </w:rPr>
        <w:t>nd $5.27 billion in the same periods in 2021, respectively. Other interest-bearing liabilities primarily reflect our level of cash collateral received from clients in connection with our enhanced custod</w:t>
      </w:r>
      <w:r>
        <w:rPr>
          <w:rFonts w:ascii="Arial" w:eastAsia="宋体" w:hAnsi="Arial" w:cs="Arial"/>
          <w:color w:val="000000"/>
          <w:sz w:val="20"/>
          <w:szCs w:val="20"/>
        </w:rPr>
        <w:t>y business, which is presented on a net basis where we have enforceable netting agreements.</w:t>
      </w:r>
    </w:p>
    <w:p w14:paraId="392C02C1" w14:textId="77777777" w:rsidR="00980E5F" w:rsidRDefault="00483613">
      <w:pPr>
        <w:spacing w:before="60"/>
        <w:ind w:firstLine="450"/>
        <w:jc w:val="both"/>
        <w:textAlignment w:val="top"/>
      </w:pPr>
      <w:r>
        <w:rPr>
          <w:rFonts w:ascii="Arial" w:eastAsia="宋体" w:hAnsi="Arial" w:cs="Arial"/>
          <w:color w:val="000000"/>
          <w:sz w:val="20"/>
          <w:szCs w:val="20"/>
        </w:rPr>
        <w:t xml:space="preserve">Several factors could affect future levels of NII and NIM, including the volume and mix of client deposits and funding sources; central bank actions; balance sheet </w:t>
      </w:r>
      <w:r>
        <w:rPr>
          <w:rFonts w:ascii="Arial" w:eastAsia="宋体" w:hAnsi="Arial" w:cs="Arial"/>
          <w:color w:val="000000"/>
          <w:sz w:val="20"/>
          <w:szCs w:val="20"/>
        </w:rPr>
        <w:t>management activities; changes in the level and slope of U.S. and non-U.S. interest rates; revised or proposed regulatory capital or liquidity standards, or interpretations of those standards; the yields earned on securities purchased compared to the yield</w:t>
      </w:r>
      <w:r>
        <w:rPr>
          <w:rFonts w:ascii="Arial" w:eastAsia="宋体" w:hAnsi="Arial" w:cs="Arial"/>
          <w:color w:val="000000"/>
          <w:sz w:val="20"/>
          <w:szCs w:val="20"/>
        </w:rPr>
        <w:t>s earned on securities sold or matured; and changes in the type and amount of credit or other loans we extend.</w:t>
      </w:r>
    </w:p>
    <w:p w14:paraId="392C02C2" w14:textId="77777777" w:rsidR="00980E5F" w:rsidRDefault="00483613">
      <w:pPr>
        <w:spacing w:before="60"/>
        <w:ind w:firstLine="450"/>
        <w:jc w:val="both"/>
        <w:textAlignment w:val="top"/>
      </w:pPr>
      <w:r>
        <w:rPr>
          <w:rFonts w:ascii="Arial" w:eastAsia="宋体" w:hAnsi="Arial" w:cs="Arial"/>
          <w:color w:val="000000"/>
          <w:sz w:val="20"/>
          <w:szCs w:val="20"/>
        </w:rPr>
        <w:t>Based on market conditions and other factors, including regulatory standards, we continue to reinvest the majority of the proceeds from pay-downs</w:t>
      </w:r>
      <w:r>
        <w:rPr>
          <w:rFonts w:ascii="Arial" w:eastAsia="宋体" w:hAnsi="Arial" w:cs="Arial"/>
          <w:color w:val="000000"/>
          <w:sz w:val="20"/>
          <w:szCs w:val="20"/>
        </w:rPr>
        <w:t xml:space="preserve"> and maturities of investment securities in highly-rated U.S. and non-U.S. securities, such as federal agency MBS, sovereign debt securities and U.S. Treasury and agency securities. The pace at which we reinvest and the types of investment securities purch</w:t>
      </w:r>
      <w:r>
        <w:rPr>
          <w:rFonts w:ascii="Arial" w:eastAsia="宋体" w:hAnsi="Arial" w:cs="Arial"/>
          <w:color w:val="000000"/>
          <w:sz w:val="20"/>
          <w:szCs w:val="20"/>
        </w:rPr>
        <w:t>ased will depend on the impact of market conditions, the implementation of regulatory standards, including interpretation of those standards and other factors over time. We expect these factors and the levels of global interest rates to impact our reinvest</w:t>
      </w:r>
      <w:r>
        <w:rPr>
          <w:rFonts w:ascii="Arial" w:eastAsia="宋体" w:hAnsi="Arial" w:cs="Arial"/>
          <w:color w:val="000000"/>
          <w:sz w:val="20"/>
          <w:szCs w:val="20"/>
        </w:rPr>
        <w:t>ment program and future levels of NII and NIM.</w:t>
      </w:r>
    </w:p>
    <w:p w14:paraId="392C02C3" w14:textId="77777777" w:rsidR="00980E5F" w:rsidRDefault="00483613">
      <w:pPr>
        <w:spacing w:before="90"/>
        <w:textAlignment w:val="top"/>
      </w:pPr>
      <w:r>
        <w:rPr>
          <w:rFonts w:ascii="Arial" w:eastAsia="宋体" w:hAnsi="Arial" w:cs="Arial"/>
          <w:b/>
          <w:bCs/>
          <w:color w:val="000000"/>
          <w:sz w:val="20"/>
          <w:szCs w:val="20"/>
        </w:rPr>
        <w:t>Provision for Credit Losses</w:t>
      </w:r>
    </w:p>
    <w:p w14:paraId="392C02C4" w14:textId="77777777" w:rsidR="00980E5F" w:rsidRDefault="00483613">
      <w:pPr>
        <w:ind w:firstLine="450"/>
        <w:jc w:val="both"/>
        <w:textAlignment w:val="top"/>
      </w:pPr>
      <w:r>
        <w:rPr>
          <w:rFonts w:ascii="Arial" w:eastAsia="宋体" w:hAnsi="Arial" w:cs="Arial"/>
          <w:color w:val="000000"/>
          <w:sz w:val="20"/>
          <w:szCs w:val="20"/>
        </w:rPr>
        <w:t xml:space="preserve">We recorded a $10 million provision for credit losses in the second quarter of 2022, reflecting a downward shift in management's economic outlook, partially offset by a decrease in </w:t>
      </w:r>
      <w:r>
        <w:rPr>
          <w:rFonts w:ascii="Arial" w:eastAsia="宋体" w:hAnsi="Arial" w:cs="Arial"/>
          <w:color w:val="000000"/>
          <w:sz w:val="20"/>
          <w:szCs w:val="20"/>
        </w:rPr>
        <w:t xml:space="preserve">expected losses related to leveraged loans within our portfolio. This compares to a $15 million reserve release in the second quarter of 2021. </w:t>
      </w:r>
    </w:p>
    <w:p w14:paraId="392C02C5" w14:textId="77777777" w:rsidR="00980E5F" w:rsidRDefault="00483613">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Discussion and An</w:t>
      </w:r>
      <w:r>
        <w:rPr>
          <w:rFonts w:ascii="Arial" w:eastAsia="宋体" w:hAnsi="Arial" w:cs="Arial"/>
          <w:color w:val="000000"/>
          <w:sz w:val="20"/>
          <w:szCs w:val="20"/>
        </w:rPr>
        <w:t>alysis and in Note 4 to the consolidated financial statements in this Form 10-Q.</w:t>
      </w:r>
    </w:p>
    <w:p w14:paraId="392C02C6" w14:textId="77777777" w:rsidR="00980E5F" w:rsidRDefault="00483613">
      <w:pPr>
        <w:spacing w:before="90"/>
        <w:textAlignment w:val="top"/>
      </w:pPr>
      <w:r>
        <w:rPr>
          <w:rFonts w:ascii="Arial" w:eastAsia="宋体" w:hAnsi="Arial" w:cs="Arial"/>
          <w:b/>
          <w:bCs/>
          <w:color w:val="000000"/>
          <w:sz w:val="20"/>
          <w:szCs w:val="20"/>
        </w:rPr>
        <w:t>Expenses</w:t>
      </w:r>
    </w:p>
    <w:p w14:paraId="392C02C7" w14:textId="77777777" w:rsidR="00980E5F" w:rsidRDefault="00483613">
      <w:pPr>
        <w:spacing w:before="60"/>
        <w:ind w:firstLine="450"/>
        <w:jc w:val="both"/>
        <w:textAlignment w:val="top"/>
      </w:pPr>
      <w:r>
        <w:rPr>
          <w:rFonts w:ascii="Arial" w:eastAsia="宋体" w:hAnsi="Arial" w:cs="Arial"/>
          <w:color w:val="000000"/>
          <w:sz w:val="20"/>
          <w:szCs w:val="20"/>
        </w:rPr>
        <w:t>Table 15: Expenses, provides the breakout of expenses for the three and six months ended June 30, 2022 compared to the same periods in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394"/>
        <w:gridCol w:w="38"/>
        <w:gridCol w:w="98"/>
        <w:gridCol w:w="978"/>
        <w:gridCol w:w="36"/>
        <w:gridCol w:w="36"/>
        <w:gridCol w:w="37"/>
        <w:gridCol w:w="36"/>
        <w:gridCol w:w="98"/>
        <w:gridCol w:w="978"/>
        <w:gridCol w:w="36"/>
        <w:gridCol w:w="36"/>
        <w:gridCol w:w="36"/>
        <w:gridCol w:w="36"/>
        <w:gridCol w:w="37"/>
        <w:gridCol w:w="36"/>
        <w:gridCol w:w="41"/>
        <w:gridCol w:w="949"/>
        <w:gridCol w:w="145"/>
        <w:gridCol w:w="36"/>
        <w:gridCol w:w="36"/>
        <w:gridCol w:w="36"/>
        <w:gridCol w:w="36"/>
        <w:gridCol w:w="36"/>
        <w:gridCol w:w="36"/>
      </w:tblGrid>
      <w:tr w:rsidR="00980E5F" w14:paraId="392C02DE" w14:textId="77777777">
        <w:tc>
          <w:tcPr>
            <w:tcW w:w="50" w:type="pct"/>
            <w:shd w:val="clear" w:color="auto" w:fill="auto"/>
            <w:vAlign w:val="bottom"/>
          </w:tcPr>
          <w:p w14:paraId="392C02C8" w14:textId="77777777" w:rsidR="00980E5F" w:rsidRDefault="00980E5F">
            <w:pPr>
              <w:rPr>
                <w:rFonts w:ascii="宋体"/>
              </w:rPr>
            </w:pPr>
          </w:p>
        </w:tc>
        <w:tc>
          <w:tcPr>
            <w:tcW w:w="2759" w:type="pct"/>
            <w:shd w:val="clear" w:color="auto" w:fill="auto"/>
            <w:vAlign w:val="bottom"/>
          </w:tcPr>
          <w:p w14:paraId="392C02C9" w14:textId="77777777" w:rsidR="00980E5F" w:rsidRDefault="00980E5F">
            <w:pPr>
              <w:rPr>
                <w:rFonts w:ascii="宋体"/>
              </w:rPr>
            </w:pPr>
          </w:p>
        </w:tc>
        <w:tc>
          <w:tcPr>
            <w:tcW w:w="5" w:type="pct"/>
            <w:shd w:val="clear" w:color="auto" w:fill="auto"/>
            <w:vAlign w:val="bottom"/>
          </w:tcPr>
          <w:p w14:paraId="392C02CA" w14:textId="77777777" w:rsidR="00980E5F" w:rsidRDefault="00980E5F">
            <w:pPr>
              <w:rPr>
                <w:rFonts w:ascii="宋体"/>
              </w:rPr>
            </w:pPr>
          </w:p>
        </w:tc>
        <w:tc>
          <w:tcPr>
            <w:tcW w:w="50" w:type="pct"/>
            <w:shd w:val="clear" w:color="auto" w:fill="auto"/>
            <w:vAlign w:val="bottom"/>
          </w:tcPr>
          <w:p w14:paraId="392C02CB" w14:textId="77777777" w:rsidR="00980E5F" w:rsidRDefault="00980E5F">
            <w:pPr>
              <w:rPr>
                <w:rFonts w:ascii="宋体"/>
              </w:rPr>
            </w:pPr>
          </w:p>
        </w:tc>
        <w:tc>
          <w:tcPr>
            <w:tcW w:w="636" w:type="pct"/>
            <w:shd w:val="clear" w:color="auto" w:fill="auto"/>
            <w:vAlign w:val="bottom"/>
          </w:tcPr>
          <w:p w14:paraId="392C02CC" w14:textId="77777777" w:rsidR="00980E5F" w:rsidRDefault="00980E5F">
            <w:pPr>
              <w:rPr>
                <w:rFonts w:ascii="宋体"/>
              </w:rPr>
            </w:pPr>
          </w:p>
        </w:tc>
        <w:tc>
          <w:tcPr>
            <w:tcW w:w="5" w:type="pct"/>
            <w:shd w:val="clear" w:color="auto" w:fill="auto"/>
            <w:vAlign w:val="bottom"/>
          </w:tcPr>
          <w:p w14:paraId="392C02CD" w14:textId="77777777" w:rsidR="00980E5F" w:rsidRDefault="00980E5F">
            <w:pPr>
              <w:rPr>
                <w:rFonts w:ascii="宋体"/>
              </w:rPr>
            </w:pPr>
          </w:p>
        </w:tc>
        <w:tc>
          <w:tcPr>
            <w:tcW w:w="5" w:type="pct"/>
            <w:shd w:val="clear" w:color="auto" w:fill="auto"/>
            <w:vAlign w:val="bottom"/>
          </w:tcPr>
          <w:p w14:paraId="392C02CE" w14:textId="77777777" w:rsidR="00980E5F" w:rsidRDefault="00980E5F">
            <w:pPr>
              <w:rPr>
                <w:rFonts w:ascii="宋体"/>
              </w:rPr>
            </w:pPr>
          </w:p>
        </w:tc>
        <w:tc>
          <w:tcPr>
            <w:tcW w:w="52" w:type="pct"/>
            <w:shd w:val="clear" w:color="auto" w:fill="auto"/>
            <w:vAlign w:val="bottom"/>
          </w:tcPr>
          <w:p w14:paraId="392C02CF" w14:textId="77777777" w:rsidR="00980E5F" w:rsidRDefault="00980E5F">
            <w:pPr>
              <w:rPr>
                <w:rFonts w:ascii="宋体"/>
              </w:rPr>
            </w:pPr>
          </w:p>
        </w:tc>
        <w:tc>
          <w:tcPr>
            <w:tcW w:w="5" w:type="pct"/>
            <w:shd w:val="clear" w:color="auto" w:fill="auto"/>
            <w:vAlign w:val="bottom"/>
          </w:tcPr>
          <w:p w14:paraId="392C02D0" w14:textId="77777777" w:rsidR="00980E5F" w:rsidRDefault="00980E5F">
            <w:pPr>
              <w:rPr>
                <w:rFonts w:ascii="宋体"/>
              </w:rPr>
            </w:pPr>
          </w:p>
        </w:tc>
        <w:tc>
          <w:tcPr>
            <w:tcW w:w="50" w:type="pct"/>
            <w:shd w:val="clear" w:color="auto" w:fill="auto"/>
            <w:vAlign w:val="bottom"/>
          </w:tcPr>
          <w:p w14:paraId="392C02D1" w14:textId="77777777" w:rsidR="00980E5F" w:rsidRDefault="00980E5F">
            <w:pPr>
              <w:rPr>
                <w:rFonts w:ascii="宋体"/>
              </w:rPr>
            </w:pPr>
          </w:p>
        </w:tc>
        <w:tc>
          <w:tcPr>
            <w:tcW w:w="636" w:type="pct"/>
            <w:shd w:val="clear" w:color="auto" w:fill="auto"/>
            <w:vAlign w:val="bottom"/>
          </w:tcPr>
          <w:p w14:paraId="392C02D2" w14:textId="77777777" w:rsidR="00980E5F" w:rsidRDefault="00980E5F">
            <w:pPr>
              <w:rPr>
                <w:rFonts w:ascii="宋体"/>
              </w:rPr>
            </w:pPr>
          </w:p>
        </w:tc>
        <w:tc>
          <w:tcPr>
            <w:tcW w:w="5" w:type="pct"/>
            <w:shd w:val="clear" w:color="auto" w:fill="auto"/>
            <w:vAlign w:val="bottom"/>
          </w:tcPr>
          <w:p w14:paraId="392C02D3" w14:textId="77777777" w:rsidR="00980E5F" w:rsidRDefault="00980E5F">
            <w:pPr>
              <w:rPr>
                <w:rFonts w:ascii="宋体"/>
              </w:rPr>
            </w:pPr>
          </w:p>
        </w:tc>
        <w:tc>
          <w:tcPr>
            <w:tcW w:w="0" w:type="auto"/>
            <w:shd w:val="clear" w:color="auto" w:fill="auto"/>
            <w:vAlign w:val="bottom"/>
          </w:tcPr>
          <w:p w14:paraId="392C02D4" w14:textId="77777777" w:rsidR="00980E5F" w:rsidRDefault="00980E5F">
            <w:pPr>
              <w:rPr>
                <w:rFonts w:ascii="宋体"/>
                <w:vanish/>
              </w:rPr>
            </w:pPr>
          </w:p>
        </w:tc>
        <w:tc>
          <w:tcPr>
            <w:tcW w:w="0" w:type="auto"/>
            <w:shd w:val="clear" w:color="auto" w:fill="auto"/>
            <w:vAlign w:val="bottom"/>
          </w:tcPr>
          <w:p w14:paraId="392C02D5" w14:textId="77777777" w:rsidR="00980E5F" w:rsidRDefault="00980E5F">
            <w:pPr>
              <w:rPr>
                <w:rFonts w:ascii="宋体"/>
                <w:vanish/>
              </w:rPr>
            </w:pPr>
          </w:p>
        </w:tc>
        <w:tc>
          <w:tcPr>
            <w:tcW w:w="5" w:type="pct"/>
            <w:shd w:val="clear" w:color="auto" w:fill="auto"/>
            <w:vAlign w:val="bottom"/>
          </w:tcPr>
          <w:p w14:paraId="392C02D6" w14:textId="77777777" w:rsidR="00980E5F" w:rsidRDefault="00980E5F">
            <w:pPr>
              <w:rPr>
                <w:rFonts w:ascii="宋体"/>
              </w:rPr>
            </w:pPr>
          </w:p>
        </w:tc>
        <w:tc>
          <w:tcPr>
            <w:tcW w:w="52" w:type="pct"/>
            <w:shd w:val="clear" w:color="auto" w:fill="auto"/>
            <w:vAlign w:val="bottom"/>
          </w:tcPr>
          <w:p w14:paraId="392C02D7" w14:textId="77777777" w:rsidR="00980E5F" w:rsidRDefault="00980E5F">
            <w:pPr>
              <w:rPr>
                <w:rFonts w:ascii="宋体"/>
              </w:rPr>
            </w:pPr>
          </w:p>
        </w:tc>
        <w:tc>
          <w:tcPr>
            <w:tcW w:w="5" w:type="pct"/>
            <w:shd w:val="clear" w:color="auto" w:fill="auto"/>
            <w:vAlign w:val="bottom"/>
          </w:tcPr>
          <w:p w14:paraId="392C02D8" w14:textId="77777777" w:rsidR="00980E5F" w:rsidRDefault="00980E5F">
            <w:pPr>
              <w:rPr>
                <w:rFonts w:ascii="宋体"/>
              </w:rPr>
            </w:pPr>
          </w:p>
        </w:tc>
        <w:tc>
          <w:tcPr>
            <w:tcW w:w="50" w:type="pct"/>
            <w:shd w:val="clear" w:color="auto" w:fill="auto"/>
            <w:vAlign w:val="bottom"/>
          </w:tcPr>
          <w:p w14:paraId="392C02D9" w14:textId="77777777" w:rsidR="00980E5F" w:rsidRDefault="00980E5F">
            <w:pPr>
              <w:rPr>
                <w:rFonts w:ascii="宋体"/>
              </w:rPr>
            </w:pPr>
          </w:p>
        </w:tc>
        <w:tc>
          <w:tcPr>
            <w:tcW w:w="621" w:type="pct"/>
            <w:shd w:val="clear" w:color="auto" w:fill="auto"/>
            <w:vAlign w:val="bottom"/>
          </w:tcPr>
          <w:p w14:paraId="392C02DA" w14:textId="77777777" w:rsidR="00980E5F" w:rsidRDefault="00980E5F">
            <w:pPr>
              <w:rPr>
                <w:rFonts w:ascii="宋体"/>
              </w:rPr>
            </w:pPr>
          </w:p>
        </w:tc>
        <w:tc>
          <w:tcPr>
            <w:tcW w:w="5" w:type="pct"/>
            <w:shd w:val="clear" w:color="auto" w:fill="auto"/>
            <w:vAlign w:val="bottom"/>
          </w:tcPr>
          <w:p w14:paraId="392C02DB" w14:textId="77777777" w:rsidR="00980E5F" w:rsidRDefault="00980E5F">
            <w:pPr>
              <w:rPr>
                <w:rFonts w:ascii="宋体"/>
              </w:rPr>
            </w:pPr>
          </w:p>
        </w:tc>
        <w:tc>
          <w:tcPr>
            <w:tcW w:w="0" w:type="auto"/>
            <w:gridSpan w:val="3"/>
            <w:shd w:val="clear" w:color="auto" w:fill="auto"/>
            <w:vAlign w:val="bottom"/>
          </w:tcPr>
          <w:p w14:paraId="392C02DC" w14:textId="77777777" w:rsidR="00980E5F" w:rsidRDefault="00980E5F">
            <w:pPr>
              <w:rPr>
                <w:rFonts w:ascii="宋体"/>
                <w:vanish/>
              </w:rPr>
            </w:pPr>
          </w:p>
        </w:tc>
        <w:tc>
          <w:tcPr>
            <w:tcW w:w="0" w:type="auto"/>
            <w:gridSpan w:val="3"/>
            <w:shd w:val="clear" w:color="auto" w:fill="auto"/>
            <w:vAlign w:val="bottom"/>
          </w:tcPr>
          <w:p w14:paraId="392C02DD" w14:textId="77777777" w:rsidR="00980E5F" w:rsidRDefault="00980E5F">
            <w:pPr>
              <w:rPr>
                <w:rFonts w:ascii="宋体"/>
                <w:vanish/>
              </w:rPr>
            </w:pPr>
          </w:p>
        </w:tc>
      </w:tr>
      <w:tr w:rsidR="00980E5F" w14:paraId="392C02EC" w14:textId="77777777">
        <w:tc>
          <w:tcPr>
            <w:tcW w:w="0" w:type="auto"/>
            <w:gridSpan w:val="14"/>
            <w:shd w:val="clear" w:color="auto" w:fill="auto"/>
            <w:tcMar>
              <w:top w:w="40" w:type="dxa"/>
              <w:left w:w="20" w:type="dxa"/>
              <w:bottom w:w="40" w:type="dxa"/>
              <w:right w:w="20" w:type="dxa"/>
            </w:tcMar>
            <w:vAlign w:val="bottom"/>
          </w:tcPr>
          <w:p w14:paraId="392C02DF" w14:textId="77777777" w:rsidR="00980E5F" w:rsidRDefault="00483613">
            <w:pPr>
              <w:textAlignment w:val="bottom"/>
            </w:pPr>
            <w:r>
              <w:rPr>
                <w:rFonts w:ascii="Arial" w:eastAsia="宋体" w:hAnsi="Arial" w:cs="Arial"/>
                <w:b/>
                <w:bCs/>
                <w:color w:val="000000"/>
                <w:sz w:val="16"/>
                <w:szCs w:val="16"/>
              </w:rPr>
              <w:t>TABLE 15: EXPENSES</w:t>
            </w:r>
          </w:p>
        </w:tc>
        <w:tc>
          <w:tcPr>
            <w:tcW w:w="0" w:type="auto"/>
            <w:shd w:val="clear" w:color="auto" w:fill="auto"/>
            <w:vAlign w:val="bottom"/>
          </w:tcPr>
          <w:p w14:paraId="392C02E0" w14:textId="77777777" w:rsidR="00980E5F" w:rsidRDefault="00980E5F">
            <w:pPr>
              <w:rPr>
                <w:rFonts w:ascii="宋体"/>
              </w:rPr>
            </w:pPr>
          </w:p>
        </w:tc>
        <w:tc>
          <w:tcPr>
            <w:tcW w:w="0" w:type="auto"/>
            <w:shd w:val="clear" w:color="auto" w:fill="auto"/>
            <w:vAlign w:val="bottom"/>
          </w:tcPr>
          <w:p w14:paraId="392C02E1" w14:textId="77777777" w:rsidR="00980E5F" w:rsidRDefault="00980E5F">
            <w:pPr>
              <w:rPr>
                <w:rFonts w:ascii="宋体"/>
              </w:rPr>
            </w:pPr>
          </w:p>
        </w:tc>
        <w:tc>
          <w:tcPr>
            <w:tcW w:w="0" w:type="auto"/>
            <w:shd w:val="clear" w:color="auto" w:fill="auto"/>
            <w:vAlign w:val="bottom"/>
          </w:tcPr>
          <w:p w14:paraId="392C02E2" w14:textId="77777777" w:rsidR="00980E5F" w:rsidRDefault="00980E5F">
            <w:pPr>
              <w:rPr>
                <w:rFonts w:ascii="宋体"/>
              </w:rPr>
            </w:pPr>
          </w:p>
        </w:tc>
        <w:tc>
          <w:tcPr>
            <w:tcW w:w="0" w:type="auto"/>
            <w:shd w:val="clear" w:color="auto" w:fill="auto"/>
            <w:vAlign w:val="bottom"/>
          </w:tcPr>
          <w:p w14:paraId="392C02E3" w14:textId="77777777" w:rsidR="00980E5F" w:rsidRDefault="00980E5F">
            <w:pPr>
              <w:rPr>
                <w:rFonts w:ascii="宋体"/>
              </w:rPr>
            </w:pPr>
          </w:p>
        </w:tc>
        <w:tc>
          <w:tcPr>
            <w:tcW w:w="0" w:type="auto"/>
            <w:shd w:val="clear" w:color="auto" w:fill="auto"/>
            <w:vAlign w:val="bottom"/>
          </w:tcPr>
          <w:p w14:paraId="392C02E4" w14:textId="77777777" w:rsidR="00980E5F" w:rsidRDefault="00980E5F">
            <w:pPr>
              <w:rPr>
                <w:rFonts w:ascii="宋体"/>
              </w:rPr>
            </w:pPr>
          </w:p>
        </w:tc>
        <w:tc>
          <w:tcPr>
            <w:tcW w:w="0" w:type="auto"/>
            <w:shd w:val="clear" w:color="auto" w:fill="auto"/>
            <w:vAlign w:val="bottom"/>
          </w:tcPr>
          <w:p w14:paraId="392C02E5" w14:textId="77777777" w:rsidR="00980E5F" w:rsidRDefault="00980E5F">
            <w:pPr>
              <w:rPr>
                <w:rFonts w:ascii="宋体"/>
              </w:rPr>
            </w:pPr>
          </w:p>
        </w:tc>
        <w:tc>
          <w:tcPr>
            <w:tcW w:w="0" w:type="auto"/>
            <w:shd w:val="clear" w:color="auto" w:fill="auto"/>
            <w:vAlign w:val="bottom"/>
          </w:tcPr>
          <w:p w14:paraId="392C02E6" w14:textId="77777777" w:rsidR="00980E5F" w:rsidRDefault="00980E5F">
            <w:pPr>
              <w:rPr>
                <w:rFonts w:ascii="宋体"/>
              </w:rPr>
            </w:pPr>
          </w:p>
        </w:tc>
        <w:tc>
          <w:tcPr>
            <w:tcW w:w="0" w:type="auto"/>
            <w:shd w:val="clear" w:color="auto" w:fill="auto"/>
            <w:vAlign w:val="bottom"/>
          </w:tcPr>
          <w:p w14:paraId="392C02E7" w14:textId="77777777" w:rsidR="00980E5F" w:rsidRDefault="00980E5F">
            <w:pPr>
              <w:rPr>
                <w:rFonts w:ascii="宋体"/>
              </w:rPr>
            </w:pPr>
          </w:p>
        </w:tc>
        <w:tc>
          <w:tcPr>
            <w:tcW w:w="0" w:type="auto"/>
            <w:shd w:val="clear" w:color="auto" w:fill="auto"/>
            <w:vAlign w:val="bottom"/>
          </w:tcPr>
          <w:p w14:paraId="392C02E8" w14:textId="77777777" w:rsidR="00980E5F" w:rsidRDefault="00980E5F">
            <w:pPr>
              <w:rPr>
                <w:rFonts w:ascii="宋体"/>
              </w:rPr>
            </w:pPr>
          </w:p>
        </w:tc>
        <w:tc>
          <w:tcPr>
            <w:tcW w:w="0" w:type="auto"/>
            <w:shd w:val="clear" w:color="auto" w:fill="auto"/>
            <w:vAlign w:val="bottom"/>
          </w:tcPr>
          <w:p w14:paraId="392C02E9" w14:textId="77777777" w:rsidR="00980E5F" w:rsidRDefault="00980E5F">
            <w:pPr>
              <w:rPr>
                <w:rFonts w:ascii="宋体"/>
              </w:rPr>
            </w:pPr>
          </w:p>
        </w:tc>
        <w:tc>
          <w:tcPr>
            <w:tcW w:w="0" w:type="auto"/>
            <w:shd w:val="clear" w:color="auto" w:fill="auto"/>
            <w:vAlign w:val="bottom"/>
          </w:tcPr>
          <w:p w14:paraId="392C02EA" w14:textId="77777777" w:rsidR="00980E5F" w:rsidRDefault="00980E5F">
            <w:pPr>
              <w:rPr>
                <w:rFonts w:ascii="宋体"/>
              </w:rPr>
            </w:pPr>
          </w:p>
        </w:tc>
        <w:tc>
          <w:tcPr>
            <w:tcW w:w="0" w:type="auto"/>
            <w:shd w:val="clear" w:color="auto" w:fill="auto"/>
            <w:vAlign w:val="bottom"/>
          </w:tcPr>
          <w:p w14:paraId="392C02EB" w14:textId="77777777" w:rsidR="00980E5F" w:rsidRDefault="00980E5F">
            <w:pPr>
              <w:rPr>
                <w:rFonts w:ascii="宋体"/>
              </w:rPr>
            </w:pPr>
          </w:p>
        </w:tc>
      </w:tr>
      <w:tr w:rsidR="00980E5F" w14:paraId="392C02F5" w14:textId="77777777">
        <w:trPr>
          <w:trHeight w:val="340"/>
        </w:trPr>
        <w:tc>
          <w:tcPr>
            <w:tcW w:w="0" w:type="auto"/>
            <w:gridSpan w:val="3"/>
            <w:shd w:val="clear" w:color="auto" w:fill="auto"/>
            <w:tcMar>
              <w:top w:w="0" w:type="dxa"/>
              <w:left w:w="20" w:type="dxa"/>
              <w:bottom w:w="0" w:type="dxa"/>
              <w:right w:w="20" w:type="dxa"/>
            </w:tcMar>
            <w:vAlign w:val="bottom"/>
          </w:tcPr>
          <w:p w14:paraId="392C02ED"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02EE"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392C02EF" w14:textId="77777777" w:rsidR="00980E5F" w:rsidRDefault="00980E5F">
            <w:pPr>
              <w:rPr>
                <w:rFonts w:ascii="宋体"/>
                <w:vanish/>
              </w:rPr>
            </w:pPr>
          </w:p>
        </w:tc>
        <w:tc>
          <w:tcPr>
            <w:tcW w:w="0" w:type="auto"/>
            <w:shd w:val="clear" w:color="auto" w:fill="auto"/>
            <w:vAlign w:val="bottom"/>
          </w:tcPr>
          <w:p w14:paraId="392C02F0"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2F1"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02F2" w14:textId="77777777" w:rsidR="00980E5F" w:rsidRDefault="00483613">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392C02F3" w14:textId="77777777" w:rsidR="00980E5F" w:rsidRDefault="00980E5F">
            <w:pPr>
              <w:rPr>
                <w:rFonts w:ascii="宋体"/>
                <w:vanish/>
              </w:rPr>
            </w:pPr>
          </w:p>
        </w:tc>
        <w:tc>
          <w:tcPr>
            <w:tcW w:w="0" w:type="auto"/>
            <w:gridSpan w:val="3"/>
            <w:shd w:val="clear" w:color="auto" w:fill="auto"/>
            <w:vAlign w:val="bottom"/>
          </w:tcPr>
          <w:p w14:paraId="392C02F4" w14:textId="77777777" w:rsidR="00980E5F" w:rsidRDefault="00980E5F">
            <w:pPr>
              <w:rPr>
                <w:rFonts w:ascii="宋体"/>
                <w:vanish/>
              </w:rPr>
            </w:pPr>
          </w:p>
        </w:tc>
      </w:tr>
      <w:tr w:rsidR="00980E5F" w14:paraId="392C0302" w14:textId="77777777">
        <w:trPr>
          <w:trHeight w:val="220"/>
        </w:trPr>
        <w:tc>
          <w:tcPr>
            <w:tcW w:w="0" w:type="auto"/>
            <w:gridSpan w:val="3"/>
            <w:shd w:val="clear" w:color="auto" w:fill="auto"/>
            <w:tcMar>
              <w:top w:w="40" w:type="dxa"/>
              <w:left w:w="20" w:type="dxa"/>
              <w:bottom w:w="40" w:type="dxa"/>
              <w:right w:w="20" w:type="dxa"/>
            </w:tcMar>
            <w:vAlign w:val="bottom"/>
          </w:tcPr>
          <w:p w14:paraId="392C02F6"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2F7"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2F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2F9"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02FA" w14:textId="77777777" w:rsidR="00980E5F" w:rsidRDefault="00980E5F">
            <w:pPr>
              <w:rPr>
                <w:rFonts w:ascii="宋体"/>
                <w:vanish/>
              </w:rPr>
            </w:pPr>
          </w:p>
        </w:tc>
        <w:tc>
          <w:tcPr>
            <w:tcW w:w="0" w:type="auto"/>
            <w:shd w:val="clear" w:color="auto" w:fill="auto"/>
            <w:vAlign w:val="bottom"/>
          </w:tcPr>
          <w:p w14:paraId="392C02FB"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2FC"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02FD" w14:textId="77777777" w:rsidR="00980E5F" w:rsidRDefault="00980E5F">
            <w:pPr>
              <w:jc w:val="center"/>
              <w:rPr>
                <w:rFonts w:ascii="宋体"/>
              </w:rPr>
            </w:pPr>
          </w:p>
        </w:tc>
        <w:tc>
          <w:tcPr>
            <w:tcW w:w="0" w:type="auto"/>
            <w:gridSpan w:val="3"/>
            <w:shd w:val="clear" w:color="auto" w:fill="auto"/>
            <w:vAlign w:val="bottom"/>
          </w:tcPr>
          <w:p w14:paraId="392C02FE" w14:textId="77777777" w:rsidR="00980E5F" w:rsidRDefault="00980E5F">
            <w:pPr>
              <w:rPr>
                <w:rFonts w:ascii="宋体"/>
                <w:vanish/>
              </w:rPr>
            </w:pPr>
          </w:p>
        </w:tc>
        <w:tc>
          <w:tcPr>
            <w:tcW w:w="0" w:type="auto"/>
            <w:shd w:val="clear" w:color="auto" w:fill="auto"/>
            <w:vAlign w:val="bottom"/>
          </w:tcPr>
          <w:p w14:paraId="392C02FF" w14:textId="77777777" w:rsidR="00980E5F" w:rsidRDefault="00980E5F">
            <w:pPr>
              <w:rPr>
                <w:rFonts w:ascii="宋体"/>
              </w:rPr>
            </w:pPr>
          </w:p>
        </w:tc>
        <w:tc>
          <w:tcPr>
            <w:tcW w:w="0" w:type="auto"/>
            <w:shd w:val="clear" w:color="auto" w:fill="auto"/>
            <w:vAlign w:val="bottom"/>
          </w:tcPr>
          <w:p w14:paraId="392C0300" w14:textId="77777777" w:rsidR="00980E5F" w:rsidRDefault="00980E5F">
            <w:pPr>
              <w:rPr>
                <w:rFonts w:ascii="宋体"/>
              </w:rPr>
            </w:pPr>
          </w:p>
        </w:tc>
        <w:tc>
          <w:tcPr>
            <w:tcW w:w="0" w:type="auto"/>
            <w:shd w:val="clear" w:color="auto" w:fill="auto"/>
            <w:vAlign w:val="bottom"/>
          </w:tcPr>
          <w:p w14:paraId="392C0301" w14:textId="77777777" w:rsidR="00980E5F" w:rsidRDefault="00980E5F">
            <w:pPr>
              <w:rPr>
                <w:rFonts w:ascii="宋体"/>
              </w:rPr>
            </w:pPr>
          </w:p>
        </w:tc>
      </w:tr>
      <w:tr w:rsidR="00980E5F" w14:paraId="392C0312" w14:textId="77777777">
        <w:tc>
          <w:tcPr>
            <w:tcW w:w="0" w:type="auto"/>
            <w:gridSpan w:val="3"/>
            <w:shd w:val="clear" w:color="auto" w:fill="CCEEFF"/>
            <w:tcMar>
              <w:top w:w="40" w:type="dxa"/>
              <w:left w:w="20" w:type="dxa"/>
              <w:bottom w:w="40" w:type="dxa"/>
              <w:right w:w="20" w:type="dxa"/>
            </w:tcMar>
            <w:vAlign w:val="bottom"/>
          </w:tcPr>
          <w:p w14:paraId="392C0303" w14:textId="77777777" w:rsidR="00980E5F" w:rsidRDefault="00483613">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30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305" w14:textId="77777777" w:rsidR="00980E5F" w:rsidRDefault="00483613">
            <w:pPr>
              <w:jc w:val="right"/>
              <w:textAlignment w:val="bottom"/>
            </w:pPr>
            <w:r>
              <w:rPr>
                <w:rFonts w:ascii="Arial" w:eastAsia="宋体" w:hAnsi="Arial" w:cs="Arial"/>
                <w:b/>
                <w:bCs/>
                <w:color w:val="000000"/>
                <w:sz w:val="14"/>
                <w:szCs w:val="14"/>
              </w:rPr>
              <w:t>1,046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0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30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309" w14:textId="77777777" w:rsidR="00980E5F" w:rsidRDefault="00483613">
            <w:pPr>
              <w:jc w:val="right"/>
              <w:textAlignment w:val="bottom"/>
            </w:pPr>
            <w:r>
              <w:rPr>
                <w:rFonts w:ascii="Arial" w:eastAsia="宋体" w:hAnsi="Arial" w:cs="Arial"/>
                <w:color w:val="000000"/>
                <w:sz w:val="14"/>
                <w:szCs w:val="14"/>
              </w:rPr>
              <w:t>1,077 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0A" w14:textId="77777777" w:rsidR="00980E5F" w:rsidRDefault="00980E5F">
            <w:pPr>
              <w:jc w:val="right"/>
              <w:rPr>
                <w:rFonts w:ascii="宋体"/>
              </w:rPr>
            </w:pPr>
          </w:p>
        </w:tc>
        <w:tc>
          <w:tcPr>
            <w:tcW w:w="0" w:type="auto"/>
            <w:shd w:val="clear" w:color="auto" w:fill="auto"/>
            <w:vAlign w:val="bottom"/>
          </w:tcPr>
          <w:p w14:paraId="392C030B" w14:textId="77777777" w:rsidR="00980E5F" w:rsidRDefault="00980E5F">
            <w:pPr>
              <w:rPr>
                <w:rFonts w:ascii="宋体"/>
                <w:vanish/>
              </w:rPr>
            </w:pPr>
          </w:p>
        </w:tc>
        <w:tc>
          <w:tcPr>
            <w:tcW w:w="0" w:type="auto"/>
            <w:shd w:val="clear" w:color="auto" w:fill="auto"/>
            <w:vAlign w:val="bottom"/>
          </w:tcPr>
          <w:p w14:paraId="392C030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0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30E" w14:textId="77777777" w:rsidR="00980E5F" w:rsidRDefault="00483613">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0F"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310" w14:textId="77777777" w:rsidR="00980E5F" w:rsidRDefault="00980E5F">
            <w:pPr>
              <w:rPr>
                <w:rFonts w:ascii="宋体"/>
                <w:vanish/>
              </w:rPr>
            </w:pPr>
          </w:p>
        </w:tc>
        <w:tc>
          <w:tcPr>
            <w:tcW w:w="0" w:type="auto"/>
            <w:gridSpan w:val="3"/>
            <w:shd w:val="clear" w:color="auto" w:fill="auto"/>
            <w:vAlign w:val="bottom"/>
          </w:tcPr>
          <w:p w14:paraId="392C0311" w14:textId="77777777" w:rsidR="00980E5F" w:rsidRDefault="00980E5F">
            <w:pPr>
              <w:rPr>
                <w:rFonts w:ascii="宋体"/>
                <w:vanish/>
              </w:rPr>
            </w:pPr>
          </w:p>
        </w:tc>
      </w:tr>
      <w:tr w:rsidR="00980E5F" w14:paraId="392C0320" w14:textId="77777777">
        <w:tc>
          <w:tcPr>
            <w:tcW w:w="0" w:type="auto"/>
            <w:gridSpan w:val="3"/>
            <w:shd w:val="clear" w:color="auto" w:fill="FFFFFF"/>
            <w:tcMar>
              <w:top w:w="40" w:type="dxa"/>
              <w:left w:w="20" w:type="dxa"/>
              <w:bottom w:w="40" w:type="dxa"/>
              <w:right w:w="20" w:type="dxa"/>
            </w:tcMar>
            <w:vAlign w:val="bottom"/>
          </w:tcPr>
          <w:p w14:paraId="392C0313" w14:textId="77777777" w:rsidR="00980E5F" w:rsidRDefault="00483613">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392C0314" w14:textId="77777777" w:rsidR="00980E5F" w:rsidRDefault="00483613">
            <w:pPr>
              <w:jc w:val="right"/>
              <w:textAlignment w:val="bottom"/>
            </w:pPr>
            <w:r>
              <w:rPr>
                <w:rFonts w:ascii="Arial" w:eastAsia="宋体" w:hAnsi="Arial" w:cs="Arial"/>
                <w:b/>
                <w:bCs/>
                <w:color w:val="000000"/>
                <w:sz w:val="14"/>
                <w:szCs w:val="14"/>
              </w:rPr>
              <w:t>392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1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17" w14:textId="77777777" w:rsidR="00980E5F" w:rsidRDefault="00483613">
            <w:pPr>
              <w:jc w:val="right"/>
              <w:textAlignment w:val="bottom"/>
            </w:pPr>
            <w:r>
              <w:rPr>
                <w:rFonts w:ascii="Arial" w:eastAsia="宋体" w:hAnsi="Arial" w:cs="Arial"/>
                <w:color w:val="000000"/>
                <w:sz w:val="14"/>
                <w:szCs w:val="14"/>
              </w:rPr>
              <w:t>398 </w:t>
            </w:r>
          </w:p>
        </w:tc>
        <w:tc>
          <w:tcPr>
            <w:tcW w:w="0" w:type="auto"/>
            <w:shd w:val="clear" w:color="auto" w:fill="FFFFFF"/>
            <w:tcMar>
              <w:top w:w="40" w:type="dxa"/>
              <w:left w:w="0" w:type="dxa"/>
              <w:bottom w:w="40" w:type="dxa"/>
              <w:right w:w="20" w:type="dxa"/>
            </w:tcMar>
            <w:vAlign w:val="bottom"/>
          </w:tcPr>
          <w:p w14:paraId="392C0318" w14:textId="77777777" w:rsidR="00980E5F" w:rsidRDefault="00980E5F">
            <w:pPr>
              <w:jc w:val="right"/>
              <w:rPr>
                <w:rFonts w:ascii="宋体"/>
              </w:rPr>
            </w:pPr>
          </w:p>
        </w:tc>
        <w:tc>
          <w:tcPr>
            <w:tcW w:w="0" w:type="auto"/>
            <w:shd w:val="clear" w:color="auto" w:fill="auto"/>
            <w:vAlign w:val="bottom"/>
          </w:tcPr>
          <w:p w14:paraId="392C0319" w14:textId="77777777" w:rsidR="00980E5F" w:rsidRDefault="00980E5F">
            <w:pPr>
              <w:rPr>
                <w:rFonts w:ascii="宋体"/>
                <w:vanish/>
              </w:rPr>
            </w:pPr>
          </w:p>
        </w:tc>
        <w:tc>
          <w:tcPr>
            <w:tcW w:w="0" w:type="auto"/>
            <w:shd w:val="clear" w:color="auto" w:fill="auto"/>
            <w:vAlign w:val="bottom"/>
          </w:tcPr>
          <w:p w14:paraId="392C031A"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1C"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031D" w14:textId="77777777" w:rsidR="00980E5F" w:rsidRDefault="00980E5F">
            <w:pPr>
              <w:jc w:val="right"/>
              <w:rPr>
                <w:rFonts w:ascii="宋体"/>
              </w:rPr>
            </w:pPr>
          </w:p>
        </w:tc>
        <w:tc>
          <w:tcPr>
            <w:tcW w:w="0" w:type="auto"/>
            <w:gridSpan w:val="3"/>
            <w:shd w:val="clear" w:color="auto" w:fill="auto"/>
            <w:vAlign w:val="bottom"/>
          </w:tcPr>
          <w:p w14:paraId="392C031E" w14:textId="77777777" w:rsidR="00980E5F" w:rsidRDefault="00980E5F">
            <w:pPr>
              <w:rPr>
                <w:rFonts w:ascii="宋体"/>
                <w:vanish/>
              </w:rPr>
            </w:pPr>
          </w:p>
        </w:tc>
        <w:tc>
          <w:tcPr>
            <w:tcW w:w="0" w:type="auto"/>
            <w:gridSpan w:val="3"/>
            <w:shd w:val="clear" w:color="auto" w:fill="auto"/>
            <w:vAlign w:val="bottom"/>
          </w:tcPr>
          <w:p w14:paraId="392C031F" w14:textId="77777777" w:rsidR="00980E5F" w:rsidRDefault="00980E5F">
            <w:pPr>
              <w:rPr>
                <w:rFonts w:ascii="宋体"/>
                <w:vanish/>
              </w:rPr>
            </w:pPr>
          </w:p>
        </w:tc>
      </w:tr>
      <w:tr w:rsidR="00980E5F" w14:paraId="392C032E" w14:textId="77777777">
        <w:tc>
          <w:tcPr>
            <w:tcW w:w="0" w:type="auto"/>
            <w:gridSpan w:val="3"/>
            <w:shd w:val="clear" w:color="auto" w:fill="CCEEFF"/>
            <w:tcMar>
              <w:top w:w="40" w:type="dxa"/>
              <w:left w:w="20" w:type="dxa"/>
              <w:bottom w:w="40" w:type="dxa"/>
              <w:right w:w="20" w:type="dxa"/>
            </w:tcMar>
            <w:vAlign w:val="bottom"/>
          </w:tcPr>
          <w:p w14:paraId="392C0321" w14:textId="77777777" w:rsidR="00980E5F" w:rsidRDefault="00483613">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392C0322" w14:textId="77777777" w:rsidR="00980E5F" w:rsidRDefault="00483613">
            <w:pPr>
              <w:jc w:val="right"/>
              <w:textAlignment w:val="bottom"/>
            </w:pPr>
            <w:r>
              <w:rPr>
                <w:rFonts w:ascii="Arial" w:eastAsia="宋体" w:hAnsi="Arial" w:cs="Arial"/>
                <w:b/>
                <w:bCs/>
                <w:color w:val="000000"/>
                <w:sz w:val="14"/>
                <w:szCs w:val="14"/>
              </w:rPr>
              <w:t>240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25" w14:textId="77777777" w:rsidR="00980E5F" w:rsidRDefault="00483613">
            <w:pPr>
              <w:jc w:val="right"/>
              <w:textAlignment w:val="bottom"/>
            </w:pPr>
            <w:r>
              <w:rPr>
                <w:rFonts w:ascii="Arial" w:eastAsia="宋体" w:hAnsi="Arial" w:cs="Arial"/>
                <w:color w:val="000000"/>
                <w:sz w:val="14"/>
                <w:szCs w:val="14"/>
              </w:rPr>
              <w:t>263 </w:t>
            </w:r>
          </w:p>
        </w:tc>
        <w:tc>
          <w:tcPr>
            <w:tcW w:w="0" w:type="auto"/>
            <w:shd w:val="clear" w:color="auto" w:fill="CCEEFF"/>
            <w:tcMar>
              <w:top w:w="40" w:type="dxa"/>
              <w:left w:w="0" w:type="dxa"/>
              <w:bottom w:w="40" w:type="dxa"/>
              <w:right w:w="20" w:type="dxa"/>
            </w:tcMar>
            <w:vAlign w:val="bottom"/>
          </w:tcPr>
          <w:p w14:paraId="392C0326" w14:textId="77777777" w:rsidR="00980E5F" w:rsidRDefault="00980E5F">
            <w:pPr>
              <w:jc w:val="right"/>
              <w:rPr>
                <w:rFonts w:ascii="宋体"/>
              </w:rPr>
            </w:pPr>
          </w:p>
        </w:tc>
        <w:tc>
          <w:tcPr>
            <w:tcW w:w="0" w:type="auto"/>
            <w:shd w:val="clear" w:color="auto" w:fill="auto"/>
            <w:vAlign w:val="bottom"/>
          </w:tcPr>
          <w:p w14:paraId="392C0327" w14:textId="77777777" w:rsidR="00980E5F" w:rsidRDefault="00980E5F">
            <w:pPr>
              <w:rPr>
                <w:rFonts w:ascii="宋体"/>
                <w:vanish/>
              </w:rPr>
            </w:pPr>
          </w:p>
        </w:tc>
        <w:tc>
          <w:tcPr>
            <w:tcW w:w="0" w:type="auto"/>
            <w:shd w:val="clear" w:color="auto" w:fill="auto"/>
            <w:vAlign w:val="bottom"/>
          </w:tcPr>
          <w:p w14:paraId="392C032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2A" w14:textId="77777777" w:rsidR="00980E5F" w:rsidRDefault="00483613">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392C032B" w14:textId="77777777" w:rsidR="00980E5F" w:rsidRDefault="00980E5F">
            <w:pPr>
              <w:jc w:val="right"/>
              <w:rPr>
                <w:rFonts w:ascii="宋体"/>
              </w:rPr>
            </w:pPr>
          </w:p>
        </w:tc>
        <w:tc>
          <w:tcPr>
            <w:tcW w:w="0" w:type="auto"/>
            <w:gridSpan w:val="3"/>
            <w:shd w:val="clear" w:color="auto" w:fill="auto"/>
            <w:vAlign w:val="bottom"/>
          </w:tcPr>
          <w:p w14:paraId="392C032C" w14:textId="77777777" w:rsidR="00980E5F" w:rsidRDefault="00980E5F">
            <w:pPr>
              <w:rPr>
                <w:rFonts w:ascii="宋体"/>
                <w:vanish/>
              </w:rPr>
            </w:pPr>
          </w:p>
        </w:tc>
        <w:tc>
          <w:tcPr>
            <w:tcW w:w="0" w:type="auto"/>
            <w:gridSpan w:val="3"/>
            <w:shd w:val="clear" w:color="auto" w:fill="auto"/>
            <w:vAlign w:val="bottom"/>
          </w:tcPr>
          <w:p w14:paraId="392C032D" w14:textId="77777777" w:rsidR="00980E5F" w:rsidRDefault="00980E5F">
            <w:pPr>
              <w:rPr>
                <w:rFonts w:ascii="宋体"/>
                <w:vanish/>
              </w:rPr>
            </w:pPr>
          </w:p>
        </w:tc>
      </w:tr>
      <w:tr w:rsidR="00980E5F" w14:paraId="392C033C" w14:textId="77777777">
        <w:tc>
          <w:tcPr>
            <w:tcW w:w="0" w:type="auto"/>
            <w:gridSpan w:val="3"/>
            <w:shd w:val="clear" w:color="auto" w:fill="FFFFFF"/>
            <w:tcMar>
              <w:top w:w="40" w:type="dxa"/>
              <w:left w:w="20" w:type="dxa"/>
              <w:bottom w:w="40" w:type="dxa"/>
              <w:right w:w="20" w:type="dxa"/>
            </w:tcMar>
            <w:vAlign w:val="bottom"/>
          </w:tcPr>
          <w:p w14:paraId="392C032F" w14:textId="77777777" w:rsidR="00980E5F" w:rsidRDefault="00483613">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392C0330" w14:textId="77777777" w:rsidR="00980E5F" w:rsidRDefault="00483613">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3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33" w14:textId="77777777" w:rsidR="00980E5F" w:rsidRDefault="00483613">
            <w:pPr>
              <w:jc w:val="right"/>
              <w:textAlignment w:val="bottom"/>
            </w:pPr>
            <w:r>
              <w:rPr>
                <w:rFonts w:ascii="Arial" w:eastAsia="宋体" w:hAnsi="Arial" w:cs="Arial"/>
                <w:color w:val="000000"/>
                <w:sz w:val="14"/>
                <w:szCs w:val="14"/>
              </w:rPr>
              <w:t>100 </w:t>
            </w:r>
          </w:p>
        </w:tc>
        <w:tc>
          <w:tcPr>
            <w:tcW w:w="0" w:type="auto"/>
            <w:shd w:val="clear" w:color="auto" w:fill="FFFFFF"/>
            <w:tcMar>
              <w:top w:w="40" w:type="dxa"/>
              <w:left w:w="0" w:type="dxa"/>
              <w:bottom w:w="40" w:type="dxa"/>
              <w:right w:w="20" w:type="dxa"/>
            </w:tcMar>
            <w:vAlign w:val="bottom"/>
          </w:tcPr>
          <w:p w14:paraId="392C0334" w14:textId="77777777" w:rsidR="00980E5F" w:rsidRDefault="00980E5F">
            <w:pPr>
              <w:jc w:val="right"/>
              <w:rPr>
                <w:rFonts w:ascii="宋体"/>
              </w:rPr>
            </w:pPr>
          </w:p>
        </w:tc>
        <w:tc>
          <w:tcPr>
            <w:tcW w:w="0" w:type="auto"/>
            <w:shd w:val="clear" w:color="auto" w:fill="auto"/>
            <w:vAlign w:val="bottom"/>
          </w:tcPr>
          <w:p w14:paraId="392C0335" w14:textId="77777777" w:rsidR="00980E5F" w:rsidRDefault="00980E5F">
            <w:pPr>
              <w:rPr>
                <w:rFonts w:ascii="宋体"/>
                <w:vanish/>
              </w:rPr>
            </w:pPr>
          </w:p>
        </w:tc>
        <w:tc>
          <w:tcPr>
            <w:tcW w:w="0" w:type="auto"/>
            <w:shd w:val="clear" w:color="auto" w:fill="auto"/>
            <w:vAlign w:val="bottom"/>
          </w:tcPr>
          <w:p w14:paraId="392C0336"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3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38" w14:textId="77777777" w:rsidR="00980E5F" w:rsidRDefault="00483613">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392C0339" w14:textId="77777777" w:rsidR="00980E5F" w:rsidRDefault="00980E5F">
            <w:pPr>
              <w:jc w:val="right"/>
              <w:rPr>
                <w:rFonts w:ascii="宋体"/>
              </w:rPr>
            </w:pPr>
          </w:p>
        </w:tc>
        <w:tc>
          <w:tcPr>
            <w:tcW w:w="0" w:type="auto"/>
            <w:gridSpan w:val="3"/>
            <w:shd w:val="clear" w:color="auto" w:fill="auto"/>
            <w:vAlign w:val="bottom"/>
          </w:tcPr>
          <w:p w14:paraId="392C033A" w14:textId="77777777" w:rsidR="00980E5F" w:rsidRDefault="00980E5F">
            <w:pPr>
              <w:rPr>
                <w:rFonts w:ascii="宋体"/>
                <w:vanish/>
              </w:rPr>
            </w:pPr>
          </w:p>
        </w:tc>
        <w:tc>
          <w:tcPr>
            <w:tcW w:w="0" w:type="auto"/>
            <w:gridSpan w:val="3"/>
            <w:shd w:val="clear" w:color="auto" w:fill="auto"/>
            <w:vAlign w:val="bottom"/>
          </w:tcPr>
          <w:p w14:paraId="392C033B" w14:textId="77777777" w:rsidR="00980E5F" w:rsidRDefault="00980E5F">
            <w:pPr>
              <w:rPr>
                <w:rFonts w:ascii="宋体"/>
                <w:vanish/>
              </w:rPr>
            </w:pPr>
          </w:p>
        </w:tc>
      </w:tr>
      <w:tr w:rsidR="00980E5F" w14:paraId="392C034A" w14:textId="77777777">
        <w:tc>
          <w:tcPr>
            <w:tcW w:w="0" w:type="auto"/>
            <w:gridSpan w:val="3"/>
            <w:shd w:val="clear" w:color="auto" w:fill="CCEEFF"/>
            <w:tcMar>
              <w:top w:w="40" w:type="dxa"/>
              <w:left w:w="20" w:type="dxa"/>
              <w:bottom w:w="40" w:type="dxa"/>
              <w:right w:w="20" w:type="dxa"/>
            </w:tcMar>
          </w:tcPr>
          <w:p w14:paraId="392C033D" w14:textId="77777777" w:rsidR="00980E5F" w:rsidRDefault="00483613">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392C033E" w14:textId="77777777" w:rsidR="00980E5F" w:rsidRDefault="00483613">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41" w14:textId="77777777" w:rsidR="00980E5F" w:rsidRDefault="00483613">
            <w:pPr>
              <w:jc w:val="right"/>
              <w:textAlignment w:val="bottom"/>
            </w:pPr>
            <w:r>
              <w:rPr>
                <w:rFonts w:ascii="Arial" w:eastAsia="宋体" w:hAnsi="Arial" w:cs="Arial"/>
                <w:color w:val="000000"/>
                <w:sz w:val="14"/>
                <w:szCs w:val="14"/>
              </w:rPr>
              <w:t>63 </w:t>
            </w:r>
          </w:p>
        </w:tc>
        <w:tc>
          <w:tcPr>
            <w:tcW w:w="0" w:type="auto"/>
            <w:shd w:val="clear" w:color="auto" w:fill="CCEEFF"/>
            <w:tcMar>
              <w:top w:w="40" w:type="dxa"/>
              <w:left w:w="0" w:type="dxa"/>
              <w:bottom w:w="40" w:type="dxa"/>
              <w:right w:w="20" w:type="dxa"/>
            </w:tcMar>
            <w:vAlign w:val="bottom"/>
          </w:tcPr>
          <w:p w14:paraId="392C0342" w14:textId="77777777" w:rsidR="00980E5F" w:rsidRDefault="00980E5F">
            <w:pPr>
              <w:jc w:val="right"/>
              <w:rPr>
                <w:rFonts w:ascii="宋体"/>
              </w:rPr>
            </w:pPr>
          </w:p>
        </w:tc>
        <w:tc>
          <w:tcPr>
            <w:tcW w:w="0" w:type="auto"/>
            <w:shd w:val="clear" w:color="auto" w:fill="auto"/>
            <w:vAlign w:val="bottom"/>
          </w:tcPr>
          <w:p w14:paraId="392C0343" w14:textId="77777777" w:rsidR="00980E5F" w:rsidRDefault="00980E5F">
            <w:pPr>
              <w:rPr>
                <w:rFonts w:ascii="宋体"/>
                <w:vanish/>
              </w:rPr>
            </w:pPr>
          </w:p>
        </w:tc>
        <w:tc>
          <w:tcPr>
            <w:tcW w:w="0" w:type="auto"/>
            <w:shd w:val="clear" w:color="auto" w:fill="auto"/>
            <w:vAlign w:val="bottom"/>
          </w:tcPr>
          <w:p w14:paraId="392C0344"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4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46"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92C0347" w14:textId="77777777" w:rsidR="00980E5F" w:rsidRDefault="00980E5F">
            <w:pPr>
              <w:jc w:val="right"/>
              <w:rPr>
                <w:rFonts w:ascii="宋体"/>
              </w:rPr>
            </w:pPr>
          </w:p>
        </w:tc>
        <w:tc>
          <w:tcPr>
            <w:tcW w:w="0" w:type="auto"/>
            <w:gridSpan w:val="3"/>
            <w:shd w:val="clear" w:color="auto" w:fill="auto"/>
            <w:vAlign w:val="bottom"/>
          </w:tcPr>
          <w:p w14:paraId="392C0348" w14:textId="77777777" w:rsidR="00980E5F" w:rsidRDefault="00980E5F">
            <w:pPr>
              <w:rPr>
                <w:rFonts w:ascii="宋体"/>
                <w:vanish/>
              </w:rPr>
            </w:pPr>
          </w:p>
        </w:tc>
        <w:tc>
          <w:tcPr>
            <w:tcW w:w="0" w:type="auto"/>
            <w:gridSpan w:val="3"/>
            <w:shd w:val="clear" w:color="auto" w:fill="auto"/>
            <w:vAlign w:val="bottom"/>
          </w:tcPr>
          <w:p w14:paraId="392C0349" w14:textId="77777777" w:rsidR="00980E5F" w:rsidRDefault="00980E5F">
            <w:pPr>
              <w:rPr>
                <w:rFonts w:ascii="宋体"/>
                <w:vanish/>
              </w:rPr>
            </w:pPr>
          </w:p>
        </w:tc>
      </w:tr>
      <w:tr w:rsidR="00980E5F" w14:paraId="392C0358" w14:textId="77777777">
        <w:tc>
          <w:tcPr>
            <w:tcW w:w="0" w:type="auto"/>
            <w:gridSpan w:val="3"/>
            <w:shd w:val="clear" w:color="auto" w:fill="FFFFFF"/>
            <w:tcMar>
              <w:top w:w="40" w:type="dxa"/>
              <w:left w:w="20" w:type="dxa"/>
              <w:bottom w:w="40" w:type="dxa"/>
              <w:right w:w="20" w:type="dxa"/>
            </w:tcMar>
            <w:vAlign w:val="bottom"/>
          </w:tcPr>
          <w:p w14:paraId="392C034B" w14:textId="77777777" w:rsidR="00980E5F" w:rsidRDefault="00483613">
            <w:pPr>
              <w:textAlignment w:val="bottom"/>
            </w:pPr>
            <w:r>
              <w:rPr>
                <w:rFonts w:ascii="Arial" w:eastAsia="宋体" w:hAnsi="Arial" w:cs="Arial"/>
                <w:color w:val="000000"/>
                <w:sz w:val="14"/>
                <w:szCs w:val="14"/>
              </w:rPr>
              <w:t>Acquisition costs</w:t>
            </w:r>
          </w:p>
        </w:tc>
        <w:tc>
          <w:tcPr>
            <w:tcW w:w="0" w:type="auto"/>
            <w:gridSpan w:val="2"/>
            <w:shd w:val="clear" w:color="auto" w:fill="FFFFFF"/>
            <w:tcMar>
              <w:top w:w="40" w:type="dxa"/>
              <w:left w:w="20" w:type="dxa"/>
              <w:bottom w:w="40" w:type="dxa"/>
              <w:right w:w="0" w:type="dxa"/>
            </w:tcMar>
            <w:vAlign w:val="bottom"/>
          </w:tcPr>
          <w:p w14:paraId="392C034C"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4F" w14:textId="77777777" w:rsidR="00980E5F" w:rsidRDefault="00483613">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392C0350" w14:textId="77777777" w:rsidR="00980E5F" w:rsidRDefault="00980E5F">
            <w:pPr>
              <w:jc w:val="right"/>
              <w:rPr>
                <w:rFonts w:ascii="宋体"/>
              </w:rPr>
            </w:pPr>
          </w:p>
        </w:tc>
        <w:tc>
          <w:tcPr>
            <w:tcW w:w="0" w:type="auto"/>
            <w:shd w:val="clear" w:color="auto" w:fill="auto"/>
            <w:vAlign w:val="bottom"/>
          </w:tcPr>
          <w:p w14:paraId="392C0351" w14:textId="77777777" w:rsidR="00980E5F" w:rsidRDefault="00980E5F">
            <w:pPr>
              <w:rPr>
                <w:rFonts w:ascii="宋体"/>
                <w:vanish/>
              </w:rPr>
            </w:pPr>
          </w:p>
        </w:tc>
        <w:tc>
          <w:tcPr>
            <w:tcW w:w="0" w:type="auto"/>
            <w:shd w:val="clear" w:color="auto" w:fill="auto"/>
            <w:vAlign w:val="bottom"/>
          </w:tcPr>
          <w:p w14:paraId="392C035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54"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0355" w14:textId="77777777" w:rsidR="00980E5F" w:rsidRDefault="00980E5F">
            <w:pPr>
              <w:jc w:val="right"/>
              <w:rPr>
                <w:rFonts w:ascii="宋体"/>
              </w:rPr>
            </w:pPr>
          </w:p>
        </w:tc>
        <w:tc>
          <w:tcPr>
            <w:tcW w:w="0" w:type="auto"/>
            <w:gridSpan w:val="3"/>
            <w:shd w:val="clear" w:color="auto" w:fill="auto"/>
            <w:vAlign w:val="bottom"/>
          </w:tcPr>
          <w:p w14:paraId="392C0356" w14:textId="77777777" w:rsidR="00980E5F" w:rsidRDefault="00980E5F">
            <w:pPr>
              <w:rPr>
                <w:rFonts w:ascii="宋体"/>
                <w:vanish/>
              </w:rPr>
            </w:pPr>
          </w:p>
        </w:tc>
        <w:tc>
          <w:tcPr>
            <w:tcW w:w="0" w:type="auto"/>
            <w:gridSpan w:val="3"/>
            <w:shd w:val="clear" w:color="auto" w:fill="auto"/>
            <w:vAlign w:val="bottom"/>
          </w:tcPr>
          <w:p w14:paraId="392C0357" w14:textId="77777777" w:rsidR="00980E5F" w:rsidRDefault="00980E5F">
            <w:pPr>
              <w:rPr>
                <w:rFonts w:ascii="宋体"/>
                <w:vanish/>
              </w:rPr>
            </w:pPr>
          </w:p>
        </w:tc>
      </w:tr>
      <w:tr w:rsidR="00980E5F" w14:paraId="392C0366" w14:textId="77777777">
        <w:tc>
          <w:tcPr>
            <w:tcW w:w="0" w:type="auto"/>
            <w:gridSpan w:val="3"/>
            <w:shd w:val="clear" w:color="auto" w:fill="CCEEFF"/>
            <w:tcMar>
              <w:top w:w="40" w:type="dxa"/>
              <w:left w:w="20" w:type="dxa"/>
              <w:bottom w:w="40" w:type="dxa"/>
              <w:right w:w="20" w:type="dxa"/>
            </w:tcMar>
            <w:vAlign w:val="bottom"/>
          </w:tcPr>
          <w:p w14:paraId="392C0359" w14:textId="77777777" w:rsidR="00980E5F" w:rsidRDefault="00483613">
            <w:pPr>
              <w:textAlignment w:val="bottom"/>
            </w:pPr>
            <w:r>
              <w:rPr>
                <w:rFonts w:ascii="Arial" w:eastAsia="宋体" w:hAnsi="Arial" w:cs="Arial"/>
                <w:color w:val="000000"/>
                <w:sz w:val="14"/>
                <w:szCs w:val="14"/>
              </w:rPr>
              <w:t>Restructuring charges, net</w:t>
            </w:r>
          </w:p>
        </w:tc>
        <w:tc>
          <w:tcPr>
            <w:tcW w:w="0" w:type="auto"/>
            <w:gridSpan w:val="2"/>
            <w:shd w:val="clear" w:color="auto" w:fill="CCEEFF"/>
            <w:tcMar>
              <w:top w:w="40" w:type="dxa"/>
              <w:left w:w="20" w:type="dxa"/>
              <w:bottom w:w="40" w:type="dxa"/>
              <w:right w:w="0" w:type="dxa"/>
            </w:tcMar>
            <w:vAlign w:val="bottom"/>
          </w:tcPr>
          <w:p w14:paraId="392C035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5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5E" w14:textId="77777777" w:rsidR="00980E5F" w:rsidRDefault="00980E5F">
            <w:pPr>
              <w:jc w:val="right"/>
              <w:rPr>
                <w:rFonts w:ascii="宋体"/>
              </w:rPr>
            </w:pPr>
          </w:p>
        </w:tc>
        <w:tc>
          <w:tcPr>
            <w:tcW w:w="0" w:type="auto"/>
            <w:shd w:val="clear" w:color="auto" w:fill="auto"/>
            <w:vAlign w:val="bottom"/>
          </w:tcPr>
          <w:p w14:paraId="392C035F" w14:textId="77777777" w:rsidR="00980E5F" w:rsidRDefault="00980E5F">
            <w:pPr>
              <w:rPr>
                <w:rFonts w:ascii="宋体"/>
                <w:vanish/>
              </w:rPr>
            </w:pPr>
          </w:p>
        </w:tc>
        <w:tc>
          <w:tcPr>
            <w:tcW w:w="0" w:type="auto"/>
            <w:shd w:val="clear" w:color="auto" w:fill="auto"/>
            <w:vAlign w:val="bottom"/>
          </w:tcPr>
          <w:p w14:paraId="392C0360"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6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63" w14:textId="77777777" w:rsidR="00980E5F" w:rsidRDefault="00980E5F">
            <w:pPr>
              <w:jc w:val="right"/>
              <w:rPr>
                <w:rFonts w:ascii="宋体"/>
              </w:rPr>
            </w:pPr>
          </w:p>
        </w:tc>
        <w:tc>
          <w:tcPr>
            <w:tcW w:w="0" w:type="auto"/>
            <w:gridSpan w:val="3"/>
            <w:shd w:val="clear" w:color="auto" w:fill="auto"/>
            <w:vAlign w:val="bottom"/>
          </w:tcPr>
          <w:p w14:paraId="392C0364" w14:textId="77777777" w:rsidR="00980E5F" w:rsidRDefault="00980E5F">
            <w:pPr>
              <w:rPr>
                <w:rFonts w:ascii="宋体"/>
                <w:vanish/>
              </w:rPr>
            </w:pPr>
          </w:p>
        </w:tc>
        <w:tc>
          <w:tcPr>
            <w:tcW w:w="0" w:type="auto"/>
            <w:gridSpan w:val="3"/>
            <w:shd w:val="clear" w:color="auto" w:fill="auto"/>
            <w:vAlign w:val="bottom"/>
          </w:tcPr>
          <w:p w14:paraId="392C0365" w14:textId="77777777" w:rsidR="00980E5F" w:rsidRDefault="00980E5F">
            <w:pPr>
              <w:rPr>
                <w:rFonts w:ascii="宋体"/>
                <w:vanish/>
              </w:rPr>
            </w:pPr>
          </w:p>
        </w:tc>
      </w:tr>
      <w:tr w:rsidR="00980E5F" w14:paraId="392C0371" w14:textId="77777777">
        <w:tc>
          <w:tcPr>
            <w:tcW w:w="0" w:type="auto"/>
            <w:gridSpan w:val="3"/>
            <w:shd w:val="clear" w:color="auto" w:fill="FFFFFF"/>
            <w:tcMar>
              <w:top w:w="40" w:type="dxa"/>
              <w:left w:w="20" w:type="dxa"/>
              <w:bottom w:w="40" w:type="dxa"/>
              <w:right w:w="20" w:type="dxa"/>
            </w:tcMar>
            <w:vAlign w:val="bottom"/>
          </w:tcPr>
          <w:p w14:paraId="392C0367" w14:textId="77777777" w:rsidR="00980E5F" w:rsidRDefault="00483613">
            <w:pPr>
              <w:textAlignment w:val="bottom"/>
            </w:pPr>
            <w:r>
              <w:rPr>
                <w:rFonts w:ascii="Arial" w:eastAsia="宋体" w:hAnsi="Arial" w:cs="Arial"/>
                <w:color w:val="000000"/>
                <w:sz w:val="14"/>
                <w:szCs w:val="14"/>
              </w:rPr>
              <w:t>Other:</w:t>
            </w:r>
          </w:p>
        </w:tc>
        <w:tc>
          <w:tcPr>
            <w:tcW w:w="0" w:type="auto"/>
            <w:gridSpan w:val="3"/>
            <w:shd w:val="clear" w:color="auto" w:fill="FFFFFF"/>
            <w:tcMar>
              <w:top w:w="0" w:type="dxa"/>
              <w:left w:w="20" w:type="dxa"/>
              <w:bottom w:w="0" w:type="dxa"/>
              <w:right w:w="20" w:type="dxa"/>
            </w:tcMar>
            <w:vAlign w:val="bottom"/>
          </w:tcPr>
          <w:p w14:paraId="392C036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36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36A" w14:textId="77777777" w:rsidR="00980E5F" w:rsidRDefault="00980E5F">
            <w:pPr>
              <w:rPr>
                <w:rFonts w:ascii="宋体"/>
              </w:rPr>
            </w:pPr>
          </w:p>
        </w:tc>
        <w:tc>
          <w:tcPr>
            <w:tcW w:w="0" w:type="auto"/>
            <w:shd w:val="clear" w:color="auto" w:fill="auto"/>
            <w:vAlign w:val="bottom"/>
          </w:tcPr>
          <w:p w14:paraId="392C036B" w14:textId="77777777" w:rsidR="00980E5F" w:rsidRDefault="00980E5F">
            <w:pPr>
              <w:rPr>
                <w:rFonts w:ascii="宋体"/>
                <w:vanish/>
              </w:rPr>
            </w:pPr>
          </w:p>
        </w:tc>
        <w:tc>
          <w:tcPr>
            <w:tcW w:w="0" w:type="auto"/>
            <w:shd w:val="clear" w:color="auto" w:fill="auto"/>
            <w:vAlign w:val="bottom"/>
          </w:tcPr>
          <w:p w14:paraId="392C036C"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6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36E" w14:textId="77777777" w:rsidR="00980E5F" w:rsidRDefault="00980E5F">
            <w:pPr>
              <w:rPr>
                <w:rFonts w:ascii="宋体"/>
              </w:rPr>
            </w:pPr>
          </w:p>
        </w:tc>
        <w:tc>
          <w:tcPr>
            <w:tcW w:w="0" w:type="auto"/>
            <w:gridSpan w:val="3"/>
            <w:shd w:val="clear" w:color="auto" w:fill="auto"/>
            <w:vAlign w:val="bottom"/>
          </w:tcPr>
          <w:p w14:paraId="392C036F" w14:textId="77777777" w:rsidR="00980E5F" w:rsidRDefault="00980E5F">
            <w:pPr>
              <w:rPr>
                <w:rFonts w:ascii="宋体"/>
                <w:vanish/>
              </w:rPr>
            </w:pPr>
          </w:p>
        </w:tc>
        <w:tc>
          <w:tcPr>
            <w:tcW w:w="0" w:type="auto"/>
            <w:gridSpan w:val="3"/>
            <w:shd w:val="clear" w:color="auto" w:fill="auto"/>
            <w:vAlign w:val="bottom"/>
          </w:tcPr>
          <w:p w14:paraId="392C0370" w14:textId="77777777" w:rsidR="00980E5F" w:rsidRDefault="00980E5F">
            <w:pPr>
              <w:rPr>
                <w:rFonts w:ascii="宋体"/>
                <w:vanish/>
              </w:rPr>
            </w:pPr>
          </w:p>
        </w:tc>
      </w:tr>
      <w:tr w:rsidR="00980E5F" w14:paraId="392C037F" w14:textId="77777777">
        <w:tc>
          <w:tcPr>
            <w:tcW w:w="0" w:type="auto"/>
            <w:gridSpan w:val="3"/>
            <w:shd w:val="clear" w:color="auto" w:fill="CCEEFF"/>
            <w:tcMar>
              <w:top w:w="40" w:type="dxa"/>
              <w:left w:w="155" w:type="dxa"/>
              <w:bottom w:w="40" w:type="dxa"/>
              <w:right w:w="20" w:type="dxa"/>
            </w:tcMar>
            <w:vAlign w:val="bottom"/>
          </w:tcPr>
          <w:p w14:paraId="392C0372" w14:textId="77777777" w:rsidR="00980E5F" w:rsidRDefault="00483613">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392C0373" w14:textId="77777777" w:rsidR="00980E5F" w:rsidRDefault="00483613">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76" w14:textId="77777777" w:rsidR="00980E5F" w:rsidRDefault="00483613">
            <w:pPr>
              <w:jc w:val="right"/>
              <w:textAlignment w:val="bottom"/>
            </w:pPr>
            <w:r>
              <w:rPr>
                <w:rFonts w:ascii="Arial" w:eastAsia="宋体" w:hAnsi="Arial" w:cs="Arial"/>
                <w:color w:val="000000"/>
                <w:sz w:val="14"/>
                <w:szCs w:val="14"/>
              </w:rPr>
              <w:t>75 </w:t>
            </w:r>
          </w:p>
        </w:tc>
        <w:tc>
          <w:tcPr>
            <w:tcW w:w="0" w:type="auto"/>
            <w:shd w:val="clear" w:color="auto" w:fill="CCEEFF"/>
            <w:tcMar>
              <w:top w:w="40" w:type="dxa"/>
              <w:left w:w="0" w:type="dxa"/>
              <w:bottom w:w="40" w:type="dxa"/>
              <w:right w:w="20" w:type="dxa"/>
            </w:tcMar>
            <w:vAlign w:val="bottom"/>
          </w:tcPr>
          <w:p w14:paraId="392C0377" w14:textId="77777777" w:rsidR="00980E5F" w:rsidRDefault="00980E5F">
            <w:pPr>
              <w:jc w:val="right"/>
              <w:rPr>
                <w:rFonts w:ascii="宋体"/>
              </w:rPr>
            </w:pPr>
          </w:p>
        </w:tc>
        <w:tc>
          <w:tcPr>
            <w:tcW w:w="0" w:type="auto"/>
            <w:shd w:val="clear" w:color="auto" w:fill="auto"/>
            <w:vAlign w:val="bottom"/>
          </w:tcPr>
          <w:p w14:paraId="392C0378" w14:textId="77777777" w:rsidR="00980E5F" w:rsidRDefault="00980E5F">
            <w:pPr>
              <w:rPr>
                <w:rFonts w:ascii="宋体"/>
                <w:vanish/>
              </w:rPr>
            </w:pPr>
          </w:p>
        </w:tc>
        <w:tc>
          <w:tcPr>
            <w:tcW w:w="0" w:type="auto"/>
            <w:shd w:val="clear" w:color="auto" w:fill="auto"/>
            <w:vAlign w:val="bottom"/>
          </w:tcPr>
          <w:p w14:paraId="392C0379"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7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7B" w14:textId="77777777" w:rsidR="00980E5F" w:rsidRDefault="00483613">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92C037C" w14:textId="77777777" w:rsidR="00980E5F" w:rsidRDefault="00980E5F">
            <w:pPr>
              <w:jc w:val="right"/>
              <w:rPr>
                <w:rFonts w:ascii="宋体"/>
              </w:rPr>
            </w:pPr>
          </w:p>
        </w:tc>
        <w:tc>
          <w:tcPr>
            <w:tcW w:w="0" w:type="auto"/>
            <w:gridSpan w:val="3"/>
            <w:shd w:val="clear" w:color="auto" w:fill="auto"/>
            <w:vAlign w:val="bottom"/>
          </w:tcPr>
          <w:p w14:paraId="392C037D" w14:textId="77777777" w:rsidR="00980E5F" w:rsidRDefault="00980E5F">
            <w:pPr>
              <w:rPr>
                <w:rFonts w:ascii="宋体"/>
                <w:vanish/>
              </w:rPr>
            </w:pPr>
          </w:p>
        </w:tc>
        <w:tc>
          <w:tcPr>
            <w:tcW w:w="0" w:type="auto"/>
            <w:gridSpan w:val="3"/>
            <w:shd w:val="clear" w:color="auto" w:fill="auto"/>
            <w:vAlign w:val="bottom"/>
          </w:tcPr>
          <w:p w14:paraId="392C037E" w14:textId="77777777" w:rsidR="00980E5F" w:rsidRDefault="00980E5F">
            <w:pPr>
              <w:rPr>
                <w:rFonts w:ascii="宋体"/>
                <w:vanish/>
              </w:rPr>
            </w:pPr>
          </w:p>
        </w:tc>
      </w:tr>
      <w:tr w:rsidR="00980E5F" w14:paraId="392C038D" w14:textId="77777777">
        <w:tc>
          <w:tcPr>
            <w:tcW w:w="0" w:type="auto"/>
            <w:gridSpan w:val="3"/>
            <w:shd w:val="clear" w:color="auto" w:fill="FFFFFF"/>
            <w:tcMar>
              <w:top w:w="40" w:type="dxa"/>
              <w:left w:w="155" w:type="dxa"/>
              <w:bottom w:w="40" w:type="dxa"/>
              <w:right w:w="20" w:type="dxa"/>
            </w:tcMar>
            <w:vAlign w:val="bottom"/>
          </w:tcPr>
          <w:p w14:paraId="392C0380"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0381" w14:textId="77777777" w:rsidR="00980E5F" w:rsidRDefault="00483613">
            <w:pPr>
              <w:jc w:val="right"/>
              <w:textAlignment w:val="bottom"/>
            </w:pPr>
            <w:r>
              <w:rPr>
                <w:rFonts w:ascii="Arial" w:eastAsia="宋体" w:hAnsi="Arial" w:cs="Arial"/>
                <w:b/>
                <w:bCs/>
                <w:color w:val="000000"/>
                <w:sz w:val="14"/>
                <w:szCs w:val="14"/>
              </w:rPr>
              <w:t>17</w:t>
            </w: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8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84" w14:textId="77777777" w:rsidR="00980E5F" w:rsidRDefault="00483613">
            <w:pPr>
              <w:jc w:val="right"/>
              <w:textAlignment w:val="bottom"/>
            </w:pPr>
            <w:r>
              <w:rPr>
                <w:rFonts w:ascii="Arial" w:eastAsia="宋体" w:hAnsi="Arial" w:cs="Arial"/>
                <w:color w:val="000000"/>
                <w:sz w:val="14"/>
                <w:szCs w:val="14"/>
              </w:rPr>
              <w:t>124 </w:t>
            </w:r>
          </w:p>
        </w:tc>
        <w:tc>
          <w:tcPr>
            <w:tcW w:w="0" w:type="auto"/>
            <w:shd w:val="clear" w:color="auto" w:fill="FFFFFF"/>
            <w:tcMar>
              <w:top w:w="40" w:type="dxa"/>
              <w:left w:w="0" w:type="dxa"/>
              <w:bottom w:w="40" w:type="dxa"/>
              <w:right w:w="20" w:type="dxa"/>
            </w:tcMar>
            <w:vAlign w:val="bottom"/>
          </w:tcPr>
          <w:p w14:paraId="392C0385" w14:textId="77777777" w:rsidR="00980E5F" w:rsidRDefault="00980E5F">
            <w:pPr>
              <w:jc w:val="right"/>
              <w:rPr>
                <w:rFonts w:ascii="宋体"/>
              </w:rPr>
            </w:pPr>
          </w:p>
        </w:tc>
        <w:tc>
          <w:tcPr>
            <w:tcW w:w="0" w:type="auto"/>
            <w:shd w:val="clear" w:color="auto" w:fill="auto"/>
            <w:vAlign w:val="bottom"/>
          </w:tcPr>
          <w:p w14:paraId="392C0386" w14:textId="77777777" w:rsidR="00980E5F" w:rsidRDefault="00980E5F">
            <w:pPr>
              <w:rPr>
                <w:rFonts w:ascii="宋体"/>
                <w:vanish/>
              </w:rPr>
            </w:pPr>
          </w:p>
        </w:tc>
        <w:tc>
          <w:tcPr>
            <w:tcW w:w="0" w:type="auto"/>
            <w:shd w:val="clear" w:color="auto" w:fill="auto"/>
            <w:vAlign w:val="bottom"/>
          </w:tcPr>
          <w:p w14:paraId="392C0387"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89" w14:textId="77777777" w:rsidR="00980E5F" w:rsidRDefault="00483613">
            <w:pPr>
              <w:jc w:val="right"/>
              <w:textAlignment w:val="bottom"/>
            </w:pPr>
            <w:r>
              <w:rPr>
                <w:rFonts w:ascii="Arial" w:eastAsia="宋体" w:hAnsi="Arial" w:cs="Arial"/>
                <w:color w:val="000000"/>
                <w:sz w:val="14"/>
                <w:szCs w:val="14"/>
              </w:rPr>
              <w:t>44 </w:t>
            </w:r>
          </w:p>
        </w:tc>
        <w:tc>
          <w:tcPr>
            <w:tcW w:w="0" w:type="auto"/>
            <w:shd w:val="clear" w:color="auto" w:fill="FFFFFF"/>
            <w:tcMar>
              <w:top w:w="40" w:type="dxa"/>
              <w:left w:w="0" w:type="dxa"/>
              <w:bottom w:w="40" w:type="dxa"/>
              <w:right w:w="20" w:type="dxa"/>
            </w:tcMar>
            <w:vAlign w:val="bottom"/>
          </w:tcPr>
          <w:p w14:paraId="392C038A" w14:textId="77777777" w:rsidR="00980E5F" w:rsidRDefault="00980E5F">
            <w:pPr>
              <w:jc w:val="right"/>
              <w:rPr>
                <w:rFonts w:ascii="宋体"/>
              </w:rPr>
            </w:pPr>
          </w:p>
        </w:tc>
        <w:tc>
          <w:tcPr>
            <w:tcW w:w="0" w:type="auto"/>
            <w:gridSpan w:val="3"/>
            <w:shd w:val="clear" w:color="auto" w:fill="auto"/>
            <w:vAlign w:val="bottom"/>
          </w:tcPr>
          <w:p w14:paraId="392C038B" w14:textId="77777777" w:rsidR="00980E5F" w:rsidRDefault="00980E5F">
            <w:pPr>
              <w:rPr>
                <w:rFonts w:ascii="宋体"/>
                <w:vanish/>
              </w:rPr>
            </w:pPr>
          </w:p>
        </w:tc>
        <w:tc>
          <w:tcPr>
            <w:tcW w:w="0" w:type="auto"/>
            <w:gridSpan w:val="3"/>
            <w:shd w:val="clear" w:color="auto" w:fill="auto"/>
            <w:vAlign w:val="bottom"/>
          </w:tcPr>
          <w:p w14:paraId="392C038C" w14:textId="77777777" w:rsidR="00980E5F" w:rsidRDefault="00980E5F">
            <w:pPr>
              <w:rPr>
                <w:rFonts w:ascii="宋体"/>
                <w:vanish/>
              </w:rPr>
            </w:pPr>
          </w:p>
        </w:tc>
      </w:tr>
      <w:tr w:rsidR="00980E5F" w14:paraId="392C039B" w14:textId="77777777">
        <w:tc>
          <w:tcPr>
            <w:tcW w:w="0" w:type="auto"/>
            <w:gridSpan w:val="3"/>
            <w:shd w:val="clear" w:color="auto" w:fill="CCEEFF"/>
            <w:tcMar>
              <w:top w:w="40" w:type="dxa"/>
              <w:left w:w="20" w:type="dxa"/>
              <w:bottom w:w="40" w:type="dxa"/>
              <w:right w:w="20" w:type="dxa"/>
            </w:tcMar>
            <w:vAlign w:val="bottom"/>
          </w:tcPr>
          <w:p w14:paraId="392C038E" w14:textId="77777777" w:rsidR="00980E5F" w:rsidRDefault="00483613">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38F" w14:textId="77777777" w:rsidR="00980E5F" w:rsidRDefault="00483613">
            <w:pPr>
              <w:jc w:val="right"/>
              <w:textAlignment w:val="bottom"/>
            </w:pPr>
            <w:r>
              <w:rPr>
                <w:rFonts w:ascii="Arial" w:eastAsia="宋体" w:hAnsi="Arial" w:cs="Arial"/>
                <w:b/>
                <w:bCs/>
                <w:color w:val="000000"/>
                <w:sz w:val="14"/>
                <w:szCs w:val="14"/>
              </w:rPr>
              <w:t>262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9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392" w14:textId="77777777" w:rsidR="00980E5F" w:rsidRDefault="00483613">
            <w:pPr>
              <w:jc w:val="right"/>
              <w:textAlignment w:val="bottom"/>
            </w:pPr>
            <w:r>
              <w:rPr>
                <w:rFonts w:ascii="Arial" w:eastAsia="宋体" w:hAnsi="Arial" w:cs="Arial"/>
                <w:color w:val="000000"/>
                <w:sz w:val="14"/>
                <w:szCs w:val="14"/>
              </w:rPr>
              <w:t>199 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93" w14:textId="77777777" w:rsidR="00980E5F" w:rsidRDefault="00980E5F">
            <w:pPr>
              <w:jc w:val="right"/>
              <w:rPr>
                <w:rFonts w:ascii="宋体"/>
              </w:rPr>
            </w:pPr>
          </w:p>
        </w:tc>
        <w:tc>
          <w:tcPr>
            <w:tcW w:w="0" w:type="auto"/>
            <w:shd w:val="clear" w:color="auto" w:fill="auto"/>
            <w:vAlign w:val="bottom"/>
          </w:tcPr>
          <w:p w14:paraId="392C0394" w14:textId="77777777" w:rsidR="00980E5F" w:rsidRDefault="00980E5F">
            <w:pPr>
              <w:rPr>
                <w:rFonts w:ascii="宋体"/>
                <w:vanish/>
              </w:rPr>
            </w:pPr>
          </w:p>
        </w:tc>
        <w:tc>
          <w:tcPr>
            <w:tcW w:w="0" w:type="auto"/>
            <w:shd w:val="clear" w:color="auto" w:fill="auto"/>
            <w:vAlign w:val="bottom"/>
          </w:tcPr>
          <w:p w14:paraId="392C0395"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97" w14:textId="77777777" w:rsidR="00980E5F" w:rsidRDefault="00483613">
            <w:pPr>
              <w:jc w:val="right"/>
              <w:textAlignment w:val="bottom"/>
            </w:pPr>
            <w:r>
              <w:rPr>
                <w:rFonts w:ascii="Arial" w:eastAsia="宋体" w:hAnsi="Arial" w:cs="Arial"/>
                <w:color w:val="000000"/>
                <w:sz w:val="14"/>
                <w:szCs w:val="14"/>
              </w:rPr>
              <w:t>32 </w:t>
            </w:r>
          </w:p>
        </w:tc>
        <w:tc>
          <w:tcPr>
            <w:tcW w:w="0" w:type="auto"/>
            <w:shd w:val="clear" w:color="auto" w:fill="CCEEFF"/>
            <w:tcMar>
              <w:top w:w="40" w:type="dxa"/>
              <w:left w:w="0" w:type="dxa"/>
              <w:bottom w:w="40" w:type="dxa"/>
              <w:right w:w="20" w:type="dxa"/>
            </w:tcMar>
            <w:vAlign w:val="bottom"/>
          </w:tcPr>
          <w:p w14:paraId="392C0398" w14:textId="77777777" w:rsidR="00980E5F" w:rsidRDefault="00980E5F">
            <w:pPr>
              <w:jc w:val="right"/>
              <w:rPr>
                <w:rFonts w:ascii="宋体"/>
              </w:rPr>
            </w:pPr>
          </w:p>
        </w:tc>
        <w:tc>
          <w:tcPr>
            <w:tcW w:w="0" w:type="auto"/>
            <w:gridSpan w:val="3"/>
            <w:shd w:val="clear" w:color="auto" w:fill="auto"/>
            <w:vAlign w:val="bottom"/>
          </w:tcPr>
          <w:p w14:paraId="392C0399" w14:textId="77777777" w:rsidR="00980E5F" w:rsidRDefault="00980E5F">
            <w:pPr>
              <w:rPr>
                <w:rFonts w:ascii="宋体"/>
                <w:vanish/>
              </w:rPr>
            </w:pPr>
          </w:p>
        </w:tc>
        <w:tc>
          <w:tcPr>
            <w:tcW w:w="0" w:type="auto"/>
            <w:gridSpan w:val="3"/>
            <w:shd w:val="clear" w:color="auto" w:fill="auto"/>
            <w:vAlign w:val="bottom"/>
          </w:tcPr>
          <w:p w14:paraId="392C039A" w14:textId="77777777" w:rsidR="00980E5F" w:rsidRDefault="00980E5F">
            <w:pPr>
              <w:rPr>
                <w:rFonts w:ascii="宋体"/>
                <w:vanish/>
              </w:rPr>
            </w:pPr>
          </w:p>
        </w:tc>
      </w:tr>
      <w:tr w:rsidR="00980E5F" w14:paraId="392C03AB" w14:textId="77777777">
        <w:tc>
          <w:tcPr>
            <w:tcW w:w="0" w:type="auto"/>
            <w:gridSpan w:val="3"/>
            <w:shd w:val="clear" w:color="auto" w:fill="FFFFFF"/>
            <w:tcMar>
              <w:top w:w="40" w:type="dxa"/>
              <w:left w:w="20" w:type="dxa"/>
              <w:bottom w:w="40" w:type="dxa"/>
              <w:right w:w="20" w:type="dxa"/>
            </w:tcMar>
            <w:vAlign w:val="bottom"/>
          </w:tcPr>
          <w:p w14:paraId="392C039C" w14:textId="77777777" w:rsidR="00980E5F" w:rsidRDefault="00483613">
            <w:pPr>
              <w:textAlignment w:val="bottom"/>
            </w:pPr>
            <w:r>
              <w:rPr>
                <w:rFonts w:ascii="Arial" w:eastAsia="宋体" w:hAnsi="Arial" w:cs="Arial"/>
                <w:color w:val="000000"/>
                <w:sz w:val="14"/>
                <w:szCs w:val="14"/>
              </w:rPr>
              <w:t>Total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039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39E" w14:textId="77777777" w:rsidR="00980E5F" w:rsidRDefault="00483613">
            <w:pPr>
              <w:jc w:val="right"/>
              <w:textAlignment w:val="bottom"/>
            </w:pPr>
            <w:r>
              <w:rPr>
                <w:rFonts w:ascii="Arial" w:eastAsia="宋体" w:hAnsi="Arial" w:cs="Arial"/>
                <w:b/>
                <w:bCs/>
                <w:color w:val="000000"/>
                <w:sz w:val="14"/>
                <w:szCs w:val="14"/>
              </w:rPr>
              <w:t>2,108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39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A0"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3A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3A2" w14:textId="77777777" w:rsidR="00980E5F" w:rsidRDefault="00483613">
            <w:pPr>
              <w:jc w:val="right"/>
              <w:textAlignment w:val="bottom"/>
            </w:pPr>
            <w:r>
              <w:rPr>
                <w:rFonts w:ascii="Arial" w:eastAsia="宋体" w:hAnsi="Arial" w:cs="Arial"/>
                <w:color w:val="000000"/>
                <w:sz w:val="14"/>
                <w:szCs w:val="14"/>
              </w:rPr>
              <w:t>2,111 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3A3" w14:textId="77777777" w:rsidR="00980E5F" w:rsidRDefault="00980E5F">
            <w:pPr>
              <w:jc w:val="right"/>
              <w:rPr>
                <w:rFonts w:ascii="宋体"/>
              </w:rPr>
            </w:pPr>
          </w:p>
        </w:tc>
        <w:tc>
          <w:tcPr>
            <w:tcW w:w="0" w:type="auto"/>
            <w:shd w:val="clear" w:color="auto" w:fill="auto"/>
            <w:vAlign w:val="bottom"/>
          </w:tcPr>
          <w:p w14:paraId="392C03A4" w14:textId="77777777" w:rsidR="00980E5F" w:rsidRDefault="00980E5F">
            <w:pPr>
              <w:rPr>
                <w:rFonts w:ascii="宋体"/>
                <w:vanish/>
              </w:rPr>
            </w:pPr>
          </w:p>
        </w:tc>
        <w:tc>
          <w:tcPr>
            <w:tcW w:w="0" w:type="auto"/>
            <w:shd w:val="clear" w:color="auto" w:fill="auto"/>
            <w:vAlign w:val="bottom"/>
          </w:tcPr>
          <w:p w14:paraId="392C03A5"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A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A8" w14:textId="77777777" w:rsidR="00980E5F" w:rsidRDefault="00980E5F">
            <w:pPr>
              <w:jc w:val="right"/>
              <w:rPr>
                <w:rFonts w:ascii="宋体"/>
              </w:rPr>
            </w:pPr>
          </w:p>
        </w:tc>
        <w:tc>
          <w:tcPr>
            <w:tcW w:w="0" w:type="auto"/>
            <w:gridSpan w:val="3"/>
            <w:shd w:val="clear" w:color="auto" w:fill="auto"/>
            <w:vAlign w:val="bottom"/>
          </w:tcPr>
          <w:p w14:paraId="392C03A9" w14:textId="77777777" w:rsidR="00980E5F" w:rsidRDefault="00980E5F">
            <w:pPr>
              <w:rPr>
                <w:rFonts w:ascii="宋体"/>
                <w:vanish/>
              </w:rPr>
            </w:pPr>
          </w:p>
        </w:tc>
        <w:tc>
          <w:tcPr>
            <w:tcW w:w="0" w:type="auto"/>
            <w:gridSpan w:val="3"/>
            <w:shd w:val="clear" w:color="auto" w:fill="auto"/>
            <w:vAlign w:val="bottom"/>
          </w:tcPr>
          <w:p w14:paraId="392C03AA" w14:textId="77777777" w:rsidR="00980E5F" w:rsidRDefault="00980E5F">
            <w:pPr>
              <w:rPr>
                <w:rFonts w:ascii="宋体"/>
                <w:vanish/>
              </w:rPr>
            </w:pPr>
          </w:p>
        </w:tc>
      </w:tr>
      <w:tr w:rsidR="00980E5F" w14:paraId="392C03B9" w14:textId="77777777">
        <w:tc>
          <w:tcPr>
            <w:tcW w:w="0" w:type="auto"/>
            <w:gridSpan w:val="3"/>
            <w:shd w:val="clear" w:color="auto" w:fill="CCEEFF"/>
            <w:tcMar>
              <w:top w:w="40" w:type="dxa"/>
              <w:left w:w="20" w:type="dxa"/>
              <w:bottom w:w="40" w:type="dxa"/>
              <w:right w:w="20" w:type="dxa"/>
            </w:tcMar>
            <w:vAlign w:val="bottom"/>
          </w:tcPr>
          <w:p w14:paraId="392C03AC" w14:textId="77777777" w:rsidR="00980E5F" w:rsidRDefault="00483613">
            <w:pPr>
              <w:textAlignment w:val="bottom"/>
            </w:pPr>
            <w:r>
              <w:rPr>
                <w:rFonts w:ascii="Arial" w:eastAsia="宋体" w:hAnsi="Arial" w:cs="Arial"/>
                <w:color w:val="000000"/>
                <w:sz w:val="14"/>
                <w:szCs w:val="14"/>
              </w:rPr>
              <w:t>Number of employees at quarter-end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3AD" w14:textId="77777777" w:rsidR="00980E5F" w:rsidRDefault="00483613">
            <w:pPr>
              <w:jc w:val="right"/>
              <w:textAlignment w:val="bottom"/>
            </w:pPr>
            <w:r>
              <w:rPr>
                <w:rFonts w:ascii="Arial" w:eastAsia="宋体" w:hAnsi="Arial" w:cs="Arial"/>
                <w:b/>
                <w:bCs/>
                <w:color w:val="000000"/>
                <w:sz w:val="14"/>
                <w:szCs w:val="14"/>
              </w:rPr>
              <w:t>40,354</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3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AF" w14:textId="77777777" w:rsidR="00980E5F" w:rsidRDefault="00980E5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3B0" w14:textId="77777777" w:rsidR="00980E5F" w:rsidRDefault="00483613">
            <w:pPr>
              <w:jc w:val="right"/>
              <w:textAlignment w:val="bottom"/>
            </w:pPr>
            <w:r>
              <w:rPr>
                <w:rFonts w:ascii="Arial" w:eastAsia="宋体" w:hAnsi="Arial" w:cs="Arial"/>
                <w:color w:val="000000"/>
                <w:sz w:val="14"/>
                <w:szCs w:val="14"/>
              </w:rPr>
              <w:t>39,146 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3B1" w14:textId="77777777" w:rsidR="00980E5F" w:rsidRDefault="00980E5F">
            <w:pPr>
              <w:jc w:val="right"/>
              <w:rPr>
                <w:rFonts w:ascii="宋体"/>
              </w:rPr>
            </w:pPr>
          </w:p>
        </w:tc>
        <w:tc>
          <w:tcPr>
            <w:tcW w:w="0" w:type="auto"/>
            <w:shd w:val="clear" w:color="auto" w:fill="auto"/>
            <w:vAlign w:val="bottom"/>
          </w:tcPr>
          <w:p w14:paraId="392C03B2" w14:textId="77777777" w:rsidR="00980E5F" w:rsidRDefault="00980E5F">
            <w:pPr>
              <w:rPr>
                <w:rFonts w:ascii="宋体"/>
                <w:vanish/>
              </w:rPr>
            </w:pPr>
          </w:p>
        </w:tc>
        <w:tc>
          <w:tcPr>
            <w:tcW w:w="0" w:type="auto"/>
            <w:shd w:val="clear" w:color="auto" w:fill="auto"/>
            <w:vAlign w:val="bottom"/>
          </w:tcPr>
          <w:p w14:paraId="392C03B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B5"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03B6" w14:textId="77777777" w:rsidR="00980E5F" w:rsidRDefault="00980E5F">
            <w:pPr>
              <w:jc w:val="right"/>
              <w:rPr>
                <w:rFonts w:ascii="宋体"/>
              </w:rPr>
            </w:pPr>
          </w:p>
        </w:tc>
        <w:tc>
          <w:tcPr>
            <w:tcW w:w="0" w:type="auto"/>
            <w:gridSpan w:val="3"/>
            <w:shd w:val="clear" w:color="auto" w:fill="auto"/>
            <w:vAlign w:val="bottom"/>
          </w:tcPr>
          <w:p w14:paraId="392C03B7" w14:textId="77777777" w:rsidR="00980E5F" w:rsidRDefault="00980E5F">
            <w:pPr>
              <w:rPr>
                <w:rFonts w:ascii="宋体"/>
                <w:vanish/>
              </w:rPr>
            </w:pPr>
          </w:p>
        </w:tc>
        <w:tc>
          <w:tcPr>
            <w:tcW w:w="0" w:type="auto"/>
            <w:gridSpan w:val="3"/>
            <w:shd w:val="clear" w:color="auto" w:fill="auto"/>
            <w:vAlign w:val="bottom"/>
          </w:tcPr>
          <w:p w14:paraId="392C03B8" w14:textId="77777777" w:rsidR="00980E5F" w:rsidRDefault="00980E5F">
            <w:pPr>
              <w:rPr>
                <w:rFonts w:ascii="宋体"/>
                <w:vanish/>
              </w:rPr>
            </w:pPr>
          </w:p>
        </w:tc>
      </w:tr>
      <w:tr w:rsidR="00980E5F" w14:paraId="392C03C4" w14:textId="77777777">
        <w:trPr>
          <w:trHeight w:val="60"/>
        </w:trPr>
        <w:tc>
          <w:tcPr>
            <w:tcW w:w="0" w:type="auto"/>
            <w:gridSpan w:val="3"/>
            <w:shd w:val="clear" w:color="auto" w:fill="auto"/>
            <w:tcMar>
              <w:top w:w="0" w:type="dxa"/>
              <w:left w:w="20" w:type="dxa"/>
              <w:bottom w:w="0" w:type="dxa"/>
              <w:right w:w="20" w:type="dxa"/>
            </w:tcMar>
            <w:vAlign w:val="bottom"/>
          </w:tcPr>
          <w:p w14:paraId="392C03B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3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3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3BD" w14:textId="77777777" w:rsidR="00980E5F" w:rsidRDefault="00980E5F">
            <w:pPr>
              <w:rPr>
                <w:rFonts w:ascii="宋体"/>
              </w:rPr>
            </w:pPr>
          </w:p>
        </w:tc>
        <w:tc>
          <w:tcPr>
            <w:tcW w:w="0" w:type="auto"/>
            <w:shd w:val="clear" w:color="auto" w:fill="auto"/>
            <w:vAlign w:val="bottom"/>
          </w:tcPr>
          <w:p w14:paraId="392C03BE" w14:textId="77777777" w:rsidR="00980E5F" w:rsidRDefault="00980E5F">
            <w:pPr>
              <w:rPr>
                <w:rFonts w:ascii="宋体"/>
                <w:vanish/>
              </w:rPr>
            </w:pPr>
          </w:p>
        </w:tc>
        <w:tc>
          <w:tcPr>
            <w:tcW w:w="0" w:type="auto"/>
            <w:shd w:val="clear" w:color="auto" w:fill="auto"/>
            <w:vAlign w:val="bottom"/>
          </w:tcPr>
          <w:p w14:paraId="392C03BF"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3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3C1" w14:textId="77777777" w:rsidR="00980E5F" w:rsidRDefault="00980E5F">
            <w:pPr>
              <w:rPr>
                <w:rFonts w:ascii="宋体"/>
              </w:rPr>
            </w:pPr>
          </w:p>
        </w:tc>
        <w:tc>
          <w:tcPr>
            <w:tcW w:w="0" w:type="auto"/>
            <w:gridSpan w:val="3"/>
            <w:shd w:val="clear" w:color="auto" w:fill="auto"/>
            <w:vAlign w:val="bottom"/>
          </w:tcPr>
          <w:p w14:paraId="392C03C2" w14:textId="77777777" w:rsidR="00980E5F" w:rsidRDefault="00980E5F">
            <w:pPr>
              <w:rPr>
                <w:rFonts w:ascii="宋体"/>
                <w:vanish/>
              </w:rPr>
            </w:pPr>
          </w:p>
        </w:tc>
        <w:tc>
          <w:tcPr>
            <w:tcW w:w="0" w:type="auto"/>
            <w:gridSpan w:val="3"/>
            <w:shd w:val="clear" w:color="auto" w:fill="auto"/>
            <w:vAlign w:val="bottom"/>
          </w:tcPr>
          <w:p w14:paraId="392C03C3" w14:textId="77777777" w:rsidR="00980E5F" w:rsidRDefault="00980E5F">
            <w:pPr>
              <w:rPr>
                <w:rFonts w:ascii="宋体"/>
                <w:vanish/>
              </w:rPr>
            </w:pPr>
          </w:p>
        </w:tc>
      </w:tr>
      <w:tr w:rsidR="00980E5F" w14:paraId="392C03CD" w14:textId="77777777">
        <w:trPr>
          <w:trHeight w:val="340"/>
        </w:trPr>
        <w:tc>
          <w:tcPr>
            <w:tcW w:w="0" w:type="auto"/>
            <w:gridSpan w:val="3"/>
            <w:shd w:val="clear" w:color="auto" w:fill="auto"/>
            <w:tcMar>
              <w:top w:w="0" w:type="dxa"/>
              <w:left w:w="20" w:type="dxa"/>
              <w:bottom w:w="0" w:type="dxa"/>
              <w:right w:w="20" w:type="dxa"/>
            </w:tcMar>
            <w:vAlign w:val="bottom"/>
          </w:tcPr>
          <w:p w14:paraId="392C03C5"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03C6"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03C7" w14:textId="77777777" w:rsidR="00980E5F" w:rsidRDefault="00980E5F">
            <w:pPr>
              <w:rPr>
                <w:rFonts w:ascii="宋体"/>
                <w:vanish/>
              </w:rPr>
            </w:pPr>
          </w:p>
        </w:tc>
        <w:tc>
          <w:tcPr>
            <w:tcW w:w="0" w:type="auto"/>
            <w:shd w:val="clear" w:color="auto" w:fill="auto"/>
            <w:vAlign w:val="bottom"/>
          </w:tcPr>
          <w:p w14:paraId="392C03C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3C9"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03CA" w14:textId="77777777" w:rsidR="00980E5F" w:rsidRDefault="00483613">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392C03CB" w14:textId="77777777" w:rsidR="00980E5F" w:rsidRDefault="00980E5F">
            <w:pPr>
              <w:rPr>
                <w:rFonts w:ascii="宋体"/>
                <w:vanish/>
              </w:rPr>
            </w:pPr>
          </w:p>
        </w:tc>
        <w:tc>
          <w:tcPr>
            <w:tcW w:w="0" w:type="auto"/>
            <w:gridSpan w:val="3"/>
            <w:shd w:val="clear" w:color="auto" w:fill="auto"/>
            <w:vAlign w:val="bottom"/>
          </w:tcPr>
          <w:p w14:paraId="392C03CC" w14:textId="77777777" w:rsidR="00980E5F" w:rsidRDefault="00980E5F">
            <w:pPr>
              <w:rPr>
                <w:rFonts w:ascii="宋体"/>
                <w:vanish/>
              </w:rPr>
            </w:pPr>
          </w:p>
        </w:tc>
      </w:tr>
      <w:tr w:rsidR="00980E5F" w14:paraId="392C03DA" w14:textId="77777777">
        <w:trPr>
          <w:trHeight w:val="220"/>
        </w:trPr>
        <w:tc>
          <w:tcPr>
            <w:tcW w:w="0" w:type="auto"/>
            <w:gridSpan w:val="3"/>
            <w:shd w:val="clear" w:color="auto" w:fill="auto"/>
            <w:tcMar>
              <w:top w:w="40" w:type="dxa"/>
              <w:left w:w="20" w:type="dxa"/>
              <w:bottom w:w="40" w:type="dxa"/>
              <w:right w:w="20" w:type="dxa"/>
            </w:tcMar>
            <w:vAlign w:val="bottom"/>
          </w:tcPr>
          <w:p w14:paraId="392C03CE"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3CF"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3D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3D1"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03D2" w14:textId="77777777" w:rsidR="00980E5F" w:rsidRDefault="00980E5F">
            <w:pPr>
              <w:rPr>
                <w:rFonts w:ascii="宋体"/>
                <w:vanish/>
              </w:rPr>
            </w:pPr>
          </w:p>
        </w:tc>
        <w:tc>
          <w:tcPr>
            <w:tcW w:w="0" w:type="auto"/>
            <w:shd w:val="clear" w:color="auto" w:fill="auto"/>
            <w:vAlign w:val="bottom"/>
          </w:tcPr>
          <w:p w14:paraId="392C03D3"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3D4"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03D5" w14:textId="77777777" w:rsidR="00980E5F" w:rsidRDefault="00980E5F">
            <w:pPr>
              <w:jc w:val="center"/>
              <w:rPr>
                <w:rFonts w:ascii="宋体"/>
              </w:rPr>
            </w:pPr>
          </w:p>
        </w:tc>
        <w:tc>
          <w:tcPr>
            <w:tcW w:w="0" w:type="auto"/>
            <w:gridSpan w:val="3"/>
            <w:shd w:val="clear" w:color="auto" w:fill="auto"/>
            <w:vAlign w:val="bottom"/>
          </w:tcPr>
          <w:p w14:paraId="392C03D6" w14:textId="77777777" w:rsidR="00980E5F" w:rsidRDefault="00980E5F">
            <w:pPr>
              <w:rPr>
                <w:rFonts w:ascii="宋体"/>
                <w:vanish/>
              </w:rPr>
            </w:pPr>
          </w:p>
        </w:tc>
        <w:tc>
          <w:tcPr>
            <w:tcW w:w="0" w:type="auto"/>
            <w:shd w:val="clear" w:color="auto" w:fill="auto"/>
            <w:vAlign w:val="bottom"/>
          </w:tcPr>
          <w:p w14:paraId="392C03D7" w14:textId="77777777" w:rsidR="00980E5F" w:rsidRDefault="00980E5F">
            <w:pPr>
              <w:rPr>
                <w:rFonts w:ascii="宋体"/>
              </w:rPr>
            </w:pPr>
          </w:p>
        </w:tc>
        <w:tc>
          <w:tcPr>
            <w:tcW w:w="0" w:type="auto"/>
            <w:shd w:val="clear" w:color="auto" w:fill="auto"/>
            <w:vAlign w:val="bottom"/>
          </w:tcPr>
          <w:p w14:paraId="392C03D8" w14:textId="77777777" w:rsidR="00980E5F" w:rsidRDefault="00980E5F">
            <w:pPr>
              <w:rPr>
                <w:rFonts w:ascii="宋体"/>
              </w:rPr>
            </w:pPr>
          </w:p>
        </w:tc>
        <w:tc>
          <w:tcPr>
            <w:tcW w:w="0" w:type="auto"/>
            <w:shd w:val="clear" w:color="auto" w:fill="auto"/>
            <w:vAlign w:val="bottom"/>
          </w:tcPr>
          <w:p w14:paraId="392C03D9" w14:textId="77777777" w:rsidR="00980E5F" w:rsidRDefault="00980E5F">
            <w:pPr>
              <w:rPr>
                <w:rFonts w:ascii="宋体"/>
              </w:rPr>
            </w:pPr>
          </w:p>
        </w:tc>
      </w:tr>
      <w:tr w:rsidR="00980E5F" w14:paraId="392C03EA" w14:textId="77777777">
        <w:tc>
          <w:tcPr>
            <w:tcW w:w="0" w:type="auto"/>
            <w:gridSpan w:val="3"/>
            <w:shd w:val="clear" w:color="auto" w:fill="CCEEFF"/>
            <w:tcMar>
              <w:top w:w="40" w:type="dxa"/>
              <w:left w:w="20" w:type="dxa"/>
              <w:bottom w:w="40" w:type="dxa"/>
              <w:right w:w="20" w:type="dxa"/>
            </w:tcMar>
            <w:vAlign w:val="bottom"/>
          </w:tcPr>
          <w:p w14:paraId="392C03DB" w14:textId="77777777" w:rsidR="00980E5F" w:rsidRDefault="00483613">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3D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3DD" w14:textId="77777777" w:rsidR="00980E5F" w:rsidRDefault="00483613">
            <w:pPr>
              <w:jc w:val="right"/>
              <w:textAlignment w:val="bottom"/>
            </w:pPr>
            <w:r>
              <w:rPr>
                <w:rFonts w:ascii="Arial" w:eastAsia="宋体" w:hAnsi="Arial" w:cs="Arial"/>
                <w:b/>
                <w:bCs/>
                <w:color w:val="000000"/>
                <w:sz w:val="14"/>
                <w:szCs w:val="14"/>
              </w:rPr>
              <w:t>2,278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D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3E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3E1" w14:textId="77777777" w:rsidR="00980E5F" w:rsidRDefault="00483613">
            <w:pPr>
              <w:jc w:val="right"/>
              <w:textAlignment w:val="bottom"/>
            </w:pPr>
            <w:r>
              <w:rPr>
                <w:rFonts w:ascii="Arial" w:eastAsia="宋体" w:hAnsi="Arial" w:cs="Arial"/>
                <w:color w:val="000000"/>
                <w:sz w:val="14"/>
                <w:szCs w:val="14"/>
              </w:rPr>
              <w:t>2,319 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E2" w14:textId="77777777" w:rsidR="00980E5F" w:rsidRDefault="00980E5F">
            <w:pPr>
              <w:jc w:val="right"/>
              <w:rPr>
                <w:rFonts w:ascii="宋体"/>
              </w:rPr>
            </w:pPr>
          </w:p>
        </w:tc>
        <w:tc>
          <w:tcPr>
            <w:tcW w:w="0" w:type="auto"/>
            <w:shd w:val="clear" w:color="auto" w:fill="auto"/>
            <w:vAlign w:val="bottom"/>
          </w:tcPr>
          <w:p w14:paraId="392C03E3" w14:textId="77777777" w:rsidR="00980E5F" w:rsidRDefault="00980E5F">
            <w:pPr>
              <w:rPr>
                <w:rFonts w:ascii="宋体"/>
                <w:vanish/>
              </w:rPr>
            </w:pPr>
          </w:p>
        </w:tc>
        <w:tc>
          <w:tcPr>
            <w:tcW w:w="0" w:type="auto"/>
            <w:shd w:val="clear" w:color="auto" w:fill="auto"/>
            <w:vAlign w:val="bottom"/>
          </w:tcPr>
          <w:p w14:paraId="392C03E4"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3E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3E6" w14:textId="77777777" w:rsidR="00980E5F" w:rsidRDefault="00483613">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3E7"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3E8" w14:textId="77777777" w:rsidR="00980E5F" w:rsidRDefault="00980E5F">
            <w:pPr>
              <w:rPr>
                <w:rFonts w:ascii="宋体"/>
                <w:vanish/>
              </w:rPr>
            </w:pPr>
          </w:p>
        </w:tc>
        <w:tc>
          <w:tcPr>
            <w:tcW w:w="0" w:type="auto"/>
            <w:gridSpan w:val="3"/>
            <w:shd w:val="clear" w:color="auto" w:fill="auto"/>
            <w:vAlign w:val="bottom"/>
          </w:tcPr>
          <w:p w14:paraId="392C03E9" w14:textId="77777777" w:rsidR="00980E5F" w:rsidRDefault="00980E5F">
            <w:pPr>
              <w:rPr>
                <w:rFonts w:ascii="宋体"/>
                <w:vanish/>
              </w:rPr>
            </w:pPr>
          </w:p>
        </w:tc>
      </w:tr>
      <w:tr w:rsidR="00980E5F" w14:paraId="392C03F8" w14:textId="77777777">
        <w:tc>
          <w:tcPr>
            <w:tcW w:w="0" w:type="auto"/>
            <w:gridSpan w:val="3"/>
            <w:shd w:val="clear" w:color="auto" w:fill="FFFFFF"/>
            <w:tcMar>
              <w:top w:w="40" w:type="dxa"/>
              <w:left w:w="20" w:type="dxa"/>
              <w:bottom w:w="40" w:type="dxa"/>
              <w:right w:w="20" w:type="dxa"/>
            </w:tcMar>
            <w:vAlign w:val="bottom"/>
          </w:tcPr>
          <w:p w14:paraId="392C03EB" w14:textId="77777777" w:rsidR="00980E5F" w:rsidRDefault="00483613">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392C03EC" w14:textId="77777777" w:rsidR="00980E5F" w:rsidRDefault="00483613">
            <w:pPr>
              <w:jc w:val="right"/>
              <w:textAlignment w:val="bottom"/>
            </w:pPr>
            <w:r>
              <w:rPr>
                <w:rFonts w:ascii="Arial" w:eastAsia="宋体" w:hAnsi="Arial" w:cs="Arial"/>
                <w:b/>
                <w:bCs/>
                <w:color w:val="000000"/>
                <w:sz w:val="14"/>
                <w:szCs w:val="14"/>
              </w:rPr>
              <w:t>815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E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3E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EF" w14:textId="77777777" w:rsidR="00980E5F" w:rsidRDefault="00483613">
            <w:pPr>
              <w:jc w:val="right"/>
              <w:textAlignment w:val="bottom"/>
            </w:pPr>
            <w:r>
              <w:rPr>
                <w:rFonts w:ascii="Arial" w:eastAsia="宋体" w:hAnsi="Arial" w:cs="Arial"/>
                <w:color w:val="000000"/>
                <w:sz w:val="14"/>
                <w:szCs w:val="14"/>
              </w:rPr>
              <w:t>819 </w:t>
            </w:r>
          </w:p>
        </w:tc>
        <w:tc>
          <w:tcPr>
            <w:tcW w:w="0" w:type="auto"/>
            <w:shd w:val="clear" w:color="auto" w:fill="FFFFFF"/>
            <w:tcMar>
              <w:top w:w="40" w:type="dxa"/>
              <w:left w:w="0" w:type="dxa"/>
              <w:bottom w:w="40" w:type="dxa"/>
              <w:right w:w="20" w:type="dxa"/>
            </w:tcMar>
            <w:vAlign w:val="bottom"/>
          </w:tcPr>
          <w:p w14:paraId="392C03F0" w14:textId="77777777" w:rsidR="00980E5F" w:rsidRDefault="00980E5F">
            <w:pPr>
              <w:jc w:val="right"/>
              <w:rPr>
                <w:rFonts w:ascii="宋体"/>
              </w:rPr>
            </w:pPr>
          </w:p>
        </w:tc>
        <w:tc>
          <w:tcPr>
            <w:tcW w:w="0" w:type="auto"/>
            <w:shd w:val="clear" w:color="auto" w:fill="auto"/>
            <w:vAlign w:val="bottom"/>
          </w:tcPr>
          <w:p w14:paraId="392C03F1" w14:textId="77777777" w:rsidR="00980E5F" w:rsidRDefault="00980E5F">
            <w:pPr>
              <w:rPr>
                <w:rFonts w:ascii="宋体"/>
                <w:vanish/>
              </w:rPr>
            </w:pPr>
          </w:p>
        </w:tc>
        <w:tc>
          <w:tcPr>
            <w:tcW w:w="0" w:type="auto"/>
            <w:shd w:val="clear" w:color="auto" w:fill="auto"/>
            <w:vAlign w:val="bottom"/>
          </w:tcPr>
          <w:p w14:paraId="392C03F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3F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3F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3F5" w14:textId="77777777" w:rsidR="00980E5F" w:rsidRDefault="00980E5F">
            <w:pPr>
              <w:jc w:val="right"/>
              <w:rPr>
                <w:rFonts w:ascii="宋体"/>
              </w:rPr>
            </w:pPr>
          </w:p>
        </w:tc>
        <w:tc>
          <w:tcPr>
            <w:tcW w:w="0" w:type="auto"/>
            <w:gridSpan w:val="3"/>
            <w:shd w:val="clear" w:color="auto" w:fill="auto"/>
            <w:vAlign w:val="bottom"/>
          </w:tcPr>
          <w:p w14:paraId="392C03F6" w14:textId="77777777" w:rsidR="00980E5F" w:rsidRDefault="00980E5F">
            <w:pPr>
              <w:rPr>
                <w:rFonts w:ascii="宋体"/>
                <w:vanish/>
              </w:rPr>
            </w:pPr>
          </w:p>
        </w:tc>
        <w:tc>
          <w:tcPr>
            <w:tcW w:w="0" w:type="auto"/>
            <w:gridSpan w:val="3"/>
            <w:shd w:val="clear" w:color="auto" w:fill="auto"/>
            <w:vAlign w:val="bottom"/>
          </w:tcPr>
          <w:p w14:paraId="392C03F7" w14:textId="77777777" w:rsidR="00980E5F" w:rsidRDefault="00980E5F">
            <w:pPr>
              <w:rPr>
                <w:rFonts w:ascii="宋体"/>
                <w:vanish/>
              </w:rPr>
            </w:pPr>
          </w:p>
        </w:tc>
      </w:tr>
      <w:tr w:rsidR="00980E5F" w14:paraId="392C0406" w14:textId="77777777">
        <w:tc>
          <w:tcPr>
            <w:tcW w:w="0" w:type="auto"/>
            <w:gridSpan w:val="3"/>
            <w:shd w:val="clear" w:color="auto" w:fill="CCEEFF"/>
            <w:tcMar>
              <w:top w:w="40" w:type="dxa"/>
              <w:left w:w="20" w:type="dxa"/>
              <w:bottom w:w="40" w:type="dxa"/>
              <w:right w:w="20" w:type="dxa"/>
            </w:tcMar>
            <w:vAlign w:val="bottom"/>
          </w:tcPr>
          <w:p w14:paraId="392C03F9" w14:textId="77777777" w:rsidR="00980E5F" w:rsidRDefault="00483613">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392C03FA" w14:textId="77777777" w:rsidR="00980E5F" w:rsidRDefault="00483613">
            <w:pPr>
              <w:jc w:val="right"/>
              <w:textAlignment w:val="bottom"/>
            </w:pPr>
            <w:r>
              <w:rPr>
                <w:rFonts w:ascii="Arial" w:eastAsia="宋体" w:hAnsi="Arial" w:cs="Arial"/>
                <w:b/>
                <w:bCs/>
                <w:color w:val="000000"/>
                <w:sz w:val="14"/>
                <w:szCs w:val="14"/>
              </w:rPr>
              <w:t>504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3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3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3FD" w14:textId="77777777" w:rsidR="00980E5F" w:rsidRDefault="00483613">
            <w:pPr>
              <w:jc w:val="right"/>
              <w:textAlignment w:val="bottom"/>
            </w:pPr>
            <w:r>
              <w:rPr>
                <w:rFonts w:ascii="Arial" w:eastAsia="宋体" w:hAnsi="Arial" w:cs="Arial"/>
                <w:color w:val="000000"/>
                <w:sz w:val="14"/>
                <w:szCs w:val="14"/>
              </w:rPr>
              <w:t>533 </w:t>
            </w:r>
          </w:p>
        </w:tc>
        <w:tc>
          <w:tcPr>
            <w:tcW w:w="0" w:type="auto"/>
            <w:shd w:val="clear" w:color="auto" w:fill="CCEEFF"/>
            <w:tcMar>
              <w:top w:w="40" w:type="dxa"/>
              <w:left w:w="0" w:type="dxa"/>
              <w:bottom w:w="40" w:type="dxa"/>
              <w:right w:w="20" w:type="dxa"/>
            </w:tcMar>
            <w:vAlign w:val="bottom"/>
          </w:tcPr>
          <w:p w14:paraId="392C03FE" w14:textId="77777777" w:rsidR="00980E5F" w:rsidRDefault="00980E5F">
            <w:pPr>
              <w:jc w:val="right"/>
              <w:rPr>
                <w:rFonts w:ascii="宋体"/>
              </w:rPr>
            </w:pPr>
          </w:p>
        </w:tc>
        <w:tc>
          <w:tcPr>
            <w:tcW w:w="0" w:type="auto"/>
            <w:shd w:val="clear" w:color="auto" w:fill="auto"/>
            <w:vAlign w:val="bottom"/>
          </w:tcPr>
          <w:p w14:paraId="392C03FF" w14:textId="77777777" w:rsidR="00980E5F" w:rsidRDefault="00980E5F">
            <w:pPr>
              <w:rPr>
                <w:rFonts w:ascii="宋体"/>
                <w:vanish/>
              </w:rPr>
            </w:pPr>
          </w:p>
        </w:tc>
        <w:tc>
          <w:tcPr>
            <w:tcW w:w="0" w:type="auto"/>
            <w:shd w:val="clear" w:color="auto" w:fill="auto"/>
            <w:vAlign w:val="bottom"/>
          </w:tcPr>
          <w:p w14:paraId="392C0400"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02"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92C0403" w14:textId="77777777" w:rsidR="00980E5F" w:rsidRDefault="00980E5F">
            <w:pPr>
              <w:jc w:val="right"/>
              <w:rPr>
                <w:rFonts w:ascii="宋体"/>
              </w:rPr>
            </w:pPr>
          </w:p>
        </w:tc>
        <w:tc>
          <w:tcPr>
            <w:tcW w:w="0" w:type="auto"/>
            <w:gridSpan w:val="3"/>
            <w:shd w:val="clear" w:color="auto" w:fill="auto"/>
            <w:vAlign w:val="bottom"/>
          </w:tcPr>
          <w:p w14:paraId="392C0404" w14:textId="77777777" w:rsidR="00980E5F" w:rsidRDefault="00980E5F">
            <w:pPr>
              <w:rPr>
                <w:rFonts w:ascii="宋体"/>
                <w:vanish/>
              </w:rPr>
            </w:pPr>
          </w:p>
        </w:tc>
        <w:tc>
          <w:tcPr>
            <w:tcW w:w="0" w:type="auto"/>
            <w:gridSpan w:val="3"/>
            <w:shd w:val="clear" w:color="auto" w:fill="auto"/>
            <w:vAlign w:val="bottom"/>
          </w:tcPr>
          <w:p w14:paraId="392C0405" w14:textId="77777777" w:rsidR="00980E5F" w:rsidRDefault="00980E5F">
            <w:pPr>
              <w:rPr>
                <w:rFonts w:ascii="宋体"/>
                <w:vanish/>
              </w:rPr>
            </w:pPr>
          </w:p>
        </w:tc>
      </w:tr>
      <w:tr w:rsidR="00980E5F" w14:paraId="392C0414" w14:textId="77777777">
        <w:tc>
          <w:tcPr>
            <w:tcW w:w="0" w:type="auto"/>
            <w:gridSpan w:val="3"/>
            <w:shd w:val="clear" w:color="auto" w:fill="FFFFFF"/>
            <w:tcMar>
              <w:top w:w="40" w:type="dxa"/>
              <w:left w:w="20" w:type="dxa"/>
              <w:bottom w:w="40" w:type="dxa"/>
              <w:right w:w="20" w:type="dxa"/>
            </w:tcMar>
            <w:vAlign w:val="bottom"/>
          </w:tcPr>
          <w:p w14:paraId="392C0407" w14:textId="77777777" w:rsidR="00980E5F" w:rsidRDefault="00483613">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392C0408" w14:textId="77777777" w:rsidR="00980E5F" w:rsidRDefault="00483613">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4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4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0B" w14:textId="77777777" w:rsidR="00980E5F" w:rsidRDefault="00483613">
            <w:pPr>
              <w:jc w:val="right"/>
              <w:textAlignment w:val="bottom"/>
            </w:pPr>
            <w:r>
              <w:rPr>
                <w:rFonts w:ascii="Arial" w:eastAsia="宋体" w:hAnsi="Arial" w:cs="Arial"/>
                <w:color w:val="000000"/>
                <w:sz w:val="14"/>
                <w:szCs w:val="14"/>
              </w:rPr>
              <w:t>209 </w:t>
            </w:r>
          </w:p>
        </w:tc>
        <w:tc>
          <w:tcPr>
            <w:tcW w:w="0" w:type="auto"/>
            <w:shd w:val="clear" w:color="auto" w:fill="FFFFFF"/>
            <w:tcMar>
              <w:top w:w="40" w:type="dxa"/>
              <w:left w:w="0" w:type="dxa"/>
              <w:bottom w:w="40" w:type="dxa"/>
              <w:right w:w="20" w:type="dxa"/>
            </w:tcMar>
            <w:vAlign w:val="bottom"/>
          </w:tcPr>
          <w:p w14:paraId="392C040C" w14:textId="77777777" w:rsidR="00980E5F" w:rsidRDefault="00980E5F">
            <w:pPr>
              <w:jc w:val="right"/>
              <w:rPr>
                <w:rFonts w:ascii="宋体"/>
              </w:rPr>
            </w:pPr>
          </w:p>
        </w:tc>
        <w:tc>
          <w:tcPr>
            <w:tcW w:w="0" w:type="auto"/>
            <w:shd w:val="clear" w:color="auto" w:fill="auto"/>
            <w:vAlign w:val="bottom"/>
          </w:tcPr>
          <w:p w14:paraId="392C040D" w14:textId="77777777" w:rsidR="00980E5F" w:rsidRDefault="00980E5F">
            <w:pPr>
              <w:rPr>
                <w:rFonts w:ascii="宋体"/>
                <w:vanish/>
              </w:rPr>
            </w:pPr>
          </w:p>
        </w:tc>
        <w:tc>
          <w:tcPr>
            <w:tcW w:w="0" w:type="auto"/>
            <w:shd w:val="clear" w:color="auto" w:fill="auto"/>
            <w:vAlign w:val="bottom"/>
          </w:tcPr>
          <w:p w14:paraId="392C040E"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0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10" w14:textId="77777777" w:rsidR="00980E5F" w:rsidRDefault="00483613">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92C0411" w14:textId="77777777" w:rsidR="00980E5F" w:rsidRDefault="00980E5F">
            <w:pPr>
              <w:jc w:val="right"/>
              <w:rPr>
                <w:rFonts w:ascii="宋体"/>
              </w:rPr>
            </w:pPr>
          </w:p>
        </w:tc>
        <w:tc>
          <w:tcPr>
            <w:tcW w:w="0" w:type="auto"/>
            <w:gridSpan w:val="3"/>
            <w:shd w:val="clear" w:color="auto" w:fill="auto"/>
            <w:vAlign w:val="bottom"/>
          </w:tcPr>
          <w:p w14:paraId="392C0412" w14:textId="77777777" w:rsidR="00980E5F" w:rsidRDefault="00980E5F">
            <w:pPr>
              <w:rPr>
                <w:rFonts w:ascii="宋体"/>
                <w:vanish/>
              </w:rPr>
            </w:pPr>
          </w:p>
        </w:tc>
        <w:tc>
          <w:tcPr>
            <w:tcW w:w="0" w:type="auto"/>
            <w:gridSpan w:val="3"/>
            <w:shd w:val="clear" w:color="auto" w:fill="auto"/>
            <w:vAlign w:val="bottom"/>
          </w:tcPr>
          <w:p w14:paraId="392C0413" w14:textId="77777777" w:rsidR="00980E5F" w:rsidRDefault="00980E5F">
            <w:pPr>
              <w:rPr>
                <w:rFonts w:ascii="宋体"/>
                <w:vanish/>
              </w:rPr>
            </w:pPr>
          </w:p>
        </w:tc>
      </w:tr>
      <w:tr w:rsidR="00980E5F" w14:paraId="392C0422" w14:textId="77777777">
        <w:tc>
          <w:tcPr>
            <w:tcW w:w="0" w:type="auto"/>
            <w:gridSpan w:val="3"/>
            <w:shd w:val="clear" w:color="auto" w:fill="CCEEFF"/>
            <w:tcMar>
              <w:top w:w="40" w:type="dxa"/>
              <w:left w:w="20" w:type="dxa"/>
              <w:bottom w:w="40" w:type="dxa"/>
              <w:right w:w="20" w:type="dxa"/>
            </w:tcMar>
          </w:tcPr>
          <w:p w14:paraId="392C0415" w14:textId="77777777" w:rsidR="00980E5F" w:rsidRDefault="00483613">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392C0416" w14:textId="77777777" w:rsidR="00980E5F" w:rsidRDefault="00483613">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4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41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19" w14:textId="77777777" w:rsidR="00980E5F" w:rsidRDefault="00483613">
            <w:pPr>
              <w:jc w:val="right"/>
              <w:textAlignment w:val="bottom"/>
            </w:pPr>
            <w:r>
              <w:rPr>
                <w:rFonts w:ascii="Arial" w:eastAsia="宋体" w:hAnsi="Arial" w:cs="Arial"/>
                <w:color w:val="000000"/>
                <w:sz w:val="14"/>
                <w:szCs w:val="14"/>
              </w:rPr>
              <w:t>121 </w:t>
            </w:r>
          </w:p>
        </w:tc>
        <w:tc>
          <w:tcPr>
            <w:tcW w:w="0" w:type="auto"/>
            <w:shd w:val="clear" w:color="auto" w:fill="CCEEFF"/>
            <w:tcMar>
              <w:top w:w="40" w:type="dxa"/>
              <w:left w:w="0" w:type="dxa"/>
              <w:bottom w:w="40" w:type="dxa"/>
              <w:right w:w="20" w:type="dxa"/>
            </w:tcMar>
            <w:vAlign w:val="bottom"/>
          </w:tcPr>
          <w:p w14:paraId="392C041A" w14:textId="77777777" w:rsidR="00980E5F" w:rsidRDefault="00980E5F">
            <w:pPr>
              <w:jc w:val="right"/>
              <w:rPr>
                <w:rFonts w:ascii="宋体"/>
              </w:rPr>
            </w:pPr>
          </w:p>
        </w:tc>
        <w:tc>
          <w:tcPr>
            <w:tcW w:w="0" w:type="auto"/>
            <w:shd w:val="clear" w:color="auto" w:fill="auto"/>
            <w:vAlign w:val="bottom"/>
          </w:tcPr>
          <w:p w14:paraId="392C041B" w14:textId="77777777" w:rsidR="00980E5F" w:rsidRDefault="00980E5F">
            <w:pPr>
              <w:rPr>
                <w:rFonts w:ascii="宋体"/>
                <w:vanish/>
              </w:rPr>
            </w:pPr>
          </w:p>
        </w:tc>
        <w:tc>
          <w:tcPr>
            <w:tcW w:w="0" w:type="auto"/>
            <w:shd w:val="clear" w:color="auto" w:fill="auto"/>
            <w:vAlign w:val="bottom"/>
          </w:tcPr>
          <w:p w14:paraId="392C041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1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41F" w14:textId="77777777" w:rsidR="00980E5F" w:rsidRDefault="00980E5F">
            <w:pPr>
              <w:jc w:val="right"/>
              <w:rPr>
                <w:rFonts w:ascii="宋体"/>
              </w:rPr>
            </w:pPr>
          </w:p>
        </w:tc>
        <w:tc>
          <w:tcPr>
            <w:tcW w:w="0" w:type="auto"/>
            <w:gridSpan w:val="3"/>
            <w:shd w:val="clear" w:color="auto" w:fill="auto"/>
            <w:vAlign w:val="bottom"/>
          </w:tcPr>
          <w:p w14:paraId="392C0420" w14:textId="77777777" w:rsidR="00980E5F" w:rsidRDefault="00980E5F">
            <w:pPr>
              <w:rPr>
                <w:rFonts w:ascii="宋体"/>
                <w:vanish/>
              </w:rPr>
            </w:pPr>
          </w:p>
        </w:tc>
        <w:tc>
          <w:tcPr>
            <w:tcW w:w="0" w:type="auto"/>
            <w:gridSpan w:val="3"/>
            <w:shd w:val="clear" w:color="auto" w:fill="auto"/>
            <w:vAlign w:val="bottom"/>
          </w:tcPr>
          <w:p w14:paraId="392C0421" w14:textId="77777777" w:rsidR="00980E5F" w:rsidRDefault="00980E5F">
            <w:pPr>
              <w:rPr>
                <w:rFonts w:ascii="宋体"/>
                <w:vanish/>
              </w:rPr>
            </w:pPr>
          </w:p>
        </w:tc>
      </w:tr>
      <w:tr w:rsidR="00980E5F" w14:paraId="392C0430" w14:textId="77777777">
        <w:tc>
          <w:tcPr>
            <w:tcW w:w="0" w:type="auto"/>
            <w:gridSpan w:val="3"/>
            <w:shd w:val="clear" w:color="auto" w:fill="FFFFFF"/>
            <w:tcMar>
              <w:top w:w="40" w:type="dxa"/>
              <w:left w:w="20" w:type="dxa"/>
              <w:bottom w:w="40" w:type="dxa"/>
              <w:right w:w="20" w:type="dxa"/>
            </w:tcMar>
            <w:vAlign w:val="bottom"/>
          </w:tcPr>
          <w:p w14:paraId="392C0423" w14:textId="77777777" w:rsidR="00980E5F" w:rsidRDefault="00483613">
            <w:pPr>
              <w:textAlignment w:val="bottom"/>
            </w:pPr>
            <w:r>
              <w:rPr>
                <w:rFonts w:ascii="Arial" w:eastAsia="宋体" w:hAnsi="Arial" w:cs="Arial"/>
                <w:color w:val="000000"/>
                <w:sz w:val="14"/>
                <w:szCs w:val="14"/>
              </w:rPr>
              <w:t>Acquisition costs</w:t>
            </w:r>
          </w:p>
        </w:tc>
        <w:tc>
          <w:tcPr>
            <w:tcW w:w="0" w:type="auto"/>
            <w:gridSpan w:val="2"/>
            <w:shd w:val="clear" w:color="auto" w:fill="FFFFFF"/>
            <w:tcMar>
              <w:top w:w="40" w:type="dxa"/>
              <w:left w:w="20" w:type="dxa"/>
              <w:bottom w:w="40" w:type="dxa"/>
              <w:right w:w="0" w:type="dxa"/>
            </w:tcMar>
            <w:vAlign w:val="bottom"/>
          </w:tcPr>
          <w:p w14:paraId="392C0424" w14:textId="77777777" w:rsidR="00980E5F" w:rsidRDefault="00483613">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4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4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27" w14:textId="77777777" w:rsidR="00980E5F" w:rsidRDefault="00483613">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392C0428" w14:textId="77777777" w:rsidR="00980E5F" w:rsidRDefault="00980E5F">
            <w:pPr>
              <w:jc w:val="right"/>
              <w:rPr>
                <w:rFonts w:ascii="宋体"/>
              </w:rPr>
            </w:pPr>
          </w:p>
        </w:tc>
        <w:tc>
          <w:tcPr>
            <w:tcW w:w="0" w:type="auto"/>
            <w:shd w:val="clear" w:color="auto" w:fill="auto"/>
            <w:vAlign w:val="bottom"/>
          </w:tcPr>
          <w:p w14:paraId="392C0429" w14:textId="77777777" w:rsidR="00980E5F" w:rsidRDefault="00980E5F">
            <w:pPr>
              <w:rPr>
                <w:rFonts w:ascii="宋体"/>
                <w:vanish/>
              </w:rPr>
            </w:pPr>
          </w:p>
        </w:tc>
        <w:tc>
          <w:tcPr>
            <w:tcW w:w="0" w:type="auto"/>
            <w:shd w:val="clear" w:color="auto" w:fill="auto"/>
            <w:vAlign w:val="bottom"/>
          </w:tcPr>
          <w:p w14:paraId="392C042A"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2C"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392C042D" w14:textId="77777777" w:rsidR="00980E5F" w:rsidRDefault="00980E5F">
            <w:pPr>
              <w:jc w:val="right"/>
              <w:rPr>
                <w:rFonts w:ascii="宋体"/>
              </w:rPr>
            </w:pPr>
          </w:p>
        </w:tc>
        <w:tc>
          <w:tcPr>
            <w:tcW w:w="0" w:type="auto"/>
            <w:gridSpan w:val="3"/>
            <w:shd w:val="clear" w:color="auto" w:fill="auto"/>
            <w:vAlign w:val="bottom"/>
          </w:tcPr>
          <w:p w14:paraId="392C042E" w14:textId="77777777" w:rsidR="00980E5F" w:rsidRDefault="00980E5F">
            <w:pPr>
              <w:rPr>
                <w:rFonts w:ascii="宋体"/>
                <w:vanish/>
              </w:rPr>
            </w:pPr>
          </w:p>
        </w:tc>
        <w:tc>
          <w:tcPr>
            <w:tcW w:w="0" w:type="auto"/>
            <w:gridSpan w:val="3"/>
            <w:shd w:val="clear" w:color="auto" w:fill="auto"/>
            <w:vAlign w:val="bottom"/>
          </w:tcPr>
          <w:p w14:paraId="392C042F" w14:textId="77777777" w:rsidR="00980E5F" w:rsidRDefault="00980E5F">
            <w:pPr>
              <w:rPr>
                <w:rFonts w:ascii="宋体"/>
                <w:vanish/>
              </w:rPr>
            </w:pPr>
          </w:p>
        </w:tc>
      </w:tr>
      <w:tr w:rsidR="00980E5F" w14:paraId="392C043E" w14:textId="77777777">
        <w:tc>
          <w:tcPr>
            <w:tcW w:w="0" w:type="auto"/>
            <w:gridSpan w:val="3"/>
            <w:shd w:val="clear" w:color="auto" w:fill="CCEEFF"/>
            <w:tcMar>
              <w:top w:w="40" w:type="dxa"/>
              <w:left w:w="20" w:type="dxa"/>
              <w:bottom w:w="40" w:type="dxa"/>
              <w:right w:w="20" w:type="dxa"/>
            </w:tcMar>
            <w:vAlign w:val="bottom"/>
          </w:tcPr>
          <w:p w14:paraId="392C0431" w14:textId="77777777" w:rsidR="00980E5F" w:rsidRDefault="00483613">
            <w:pPr>
              <w:textAlignment w:val="bottom"/>
            </w:pPr>
            <w:r>
              <w:rPr>
                <w:rFonts w:ascii="Arial" w:eastAsia="宋体" w:hAnsi="Arial" w:cs="Arial"/>
                <w:color w:val="000000"/>
                <w:sz w:val="14"/>
                <w:szCs w:val="14"/>
              </w:rPr>
              <w:t>Restructuring charges, net</w:t>
            </w:r>
          </w:p>
        </w:tc>
        <w:tc>
          <w:tcPr>
            <w:tcW w:w="0" w:type="auto"/>
            <w:gridSpan w:val="2"/>
            <w:shd w:val="clear" w:color="auto" w:fill="CCEEFF"/>
            <w:tcMar>
              <w:top w:w="40" w:type="dxa"/>
              <w:left w:w="20" w:type="dxa"/>
              <w:bottom w:w="40" w:type="dxa"/>
              <w:right w:w="0" w:type="dxa"/>
            </w:tcMar>
            <w:vAlign w:val="bottom"/>
          </w:tcPr>
          <w:p w14:paraId="392C043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4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4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35"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0436" w14:textId="77777777" w:rsidR="00980E5F" w:rsidRDefault="00980E5F">
            <w:pPr>
              <w:jc w:val="right"/>
              <w:rPr>
                <w:rFonts w:ascii="宋体"/>
              </w:rPr>
            </w:pPr>
          </w:p>
        </w:tc>
        <w:tc>
          <w:tcPr>
            <w:tcW w:w="0" w:type="auto"/>
            <w:shd w:val="clear" w:color="auto" w:fill="auto"/>
            <w:vAlign w:val="bottom"/>
          </w:tcPr>
          <w:p w14:paraId="392C0437" w14:textId="77777777" w:rsidR="00980E5F" w:rsidRDefault="00980E5F">
            <w:pPr>
              <w:rPr>
                <w:rFonts w:ascii="宋体"/>
                <w:vanish/>
              </w:rPr>
            </w:pPr>
          </w:p>
        </w:tc>
        <w:tc>
          <w:tcPr>
            <w:tcW w:w="0" w:type="auto"/>
            <w:shd w:val="clear" w:color="auto" w:fill="auto"/>
            <w:vAlign w:val="bottom"/>
          </w:tcPr>
          <w:p w14:paraId="392C043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3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3A" w14:textId="77777777" w:rsidR="00980E5F" w:rsidRDefault="00483613">
            <w:pPr>
              <w:jc w:val="right"/>
              <w:textAlignment w:val="bottom"/>
            </w:pPr>
            <w:r>
              <w:rPr>
                <w:rFonts w:ascii="Arial" w:eastAsia="宋体" w:hAnsi="Arial" w:cs="Arial"/>
                <w:color w:val="000000"/>
                <w:sz w:val="14"/>
                <w:szCs w:val="14"/>
              </w:rPr>
              <w:t>(100)</w:t>
            </w:r>
          </w:p>
        </w:tc>
        <w:tc>
          <w:tcPr>
            <w:tcW w:w="0" w:type="auto"/>
            <w:shd w:val="clear" w:color="auto" w:fill="CCEEFF"/>
            <w:tcMar>
              <w:top w:w="40" w:type="dxa"/>
              <w:left w:w="0" w:type="dxa"/>
              <w:bottom w:w="40" w:type="dxa"/>
              <w:right w:w="20" w:type="dxa"/>
            </w:tcMar>
            <w:vAlign w:val="bottom"/>
          </w:tcPr>
          <w:p w14:paraId="392C043B" w14:textId="77777777" w:rsidR="00980E5F" w:rsidRDefault="00980E5F">
            <w:pPr>
              <w:jc w:val="right"/>
              <w:rPr>
                <w:rFonts w:ascii="宋体"/>
              </w:rPr>
            </w:pPr>
          </w:p>
        </w:tc>
        <w:tc>
          <w:tcPr>
            <w:tcW w:w="0" w:type="auto"/>
            <w:gridSpan w:val="3"/>
            <w:shd w:val="clear" w:color="auto" w:fill="auto"/>
            <w:vAlign w:val="bottom"/>
          </w:tcPr>
          <w:p w14:paraId="392C043C" w14:textId="77777777" w:rsidR="00980E5F" w:rsidRDefault="00980E5F">
            <w:pPr>
              <w:rPr>
                <w:rFonts w:ascii="宋体"/>
                <w:vanish/>
              </w:rPr>
            </w:pPr>
          </w:p>
        </w:tc>
        <w:tc>
          <w:tcPr>
            <w:tcW w:w="0" w:type="auto"/>
            <w:gridSpan w:val="3"/>
            <w:shd w:val="clear" w:color="auto" w:fill="auto"/>
            <w:vAlign w:val="bottom"/>
          </w:tcPr>
          <w:p w14:paraId="392C043D" w14:textId="77777777" w:rsidR="00980E5F" w:rsidRDefault="00980E5F">
            <w:pPr>
              <w:rPr>
                <w:rFonts w:ascii="宋体"/>
                <w:vanish/>
              </w:rPr>
            </w:pPr>
          </w:p>
        </w:tc>
      </w:tr>
      <w:tr w:rsidR="00980E5F" w14:paraId="392C0449" w14:textId="77777777">
        <w:tc>
          <w:tcPr>
            <w:tcW w:w="0" w:type="auto"/>
            <w:gridSpan w:val="3"/>
            <w:shd w:val="clear" w:color="auto" w:fill="FFFFFF"/>
            <w:tcMar>
              <w:top w:w="40" w:type="dxa"/>
              <w:left w:w="20" w:type="dxa"/>
              <w:bottom w:w="40" w:type="dxa"/>
              <w:right w:w="20" w:type="dxa"/>
            </w:tcMar>
            <w:vAlign w:val="bottom"/>
          </w:tcPr>
          <w:p w14:paraId="392C043F" w14:textId="77777777" w:rsidR="00980E5F" w:rsidRDefault="00483613">
            <w:pPr>
              <w:textAlignment w:val="bottom"/>
            </w:pPr>
            <w:r>
              <w:rPr>
                <w:rFonts w:ascii="Arial" w:eastAsia="宋体" w:hAnsi="Arial" w:cs="Arial"/>
                <w:color w:val="000000"/>
                <w:sz w:val="14"/>
                <w:szCs w:val="14"/>
              </w:rPr>
              <w:t>Other:</w:t>
            </w:r>
          </w:p>
        </w:tc>
        <w:tc>
          <w:tcPr>
            <w:tcW w:w="0" w:type="auto"/>
            <w:gridSpan w:val="3"/>
            <w:shd w:val="clear" w:color="auto" w:fill="FFFFFF"/>
            <w:tcMar>
              <w:top w:w="0" w:type="dxa"/>
              <w:left w:w="20" w:type="dxa"/>
              <w:bottom w:w="0" w:type="dxa"/>
              <w:right w:w="20" w:type="dxa"/>
            </w:tcMar>
            <w:vAlign w:val="bottom"/>
          </w:tcPr>
          <w:p w14:paraId="392C044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4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442" w14:textId="77777777" w:rsidR="00980E5F" w:rsidRDefault="00980E5F">
            <w:pPr>
              <w:rPr>
                <w:rFonts w:ascii="宋体"/>
              </w:rPr>
            </w:pPr>
          </w:p>
        </w:tc>
        <w:tc>
          <w:tcPr>
            <w:tcW w:w="0" w:type="auto"/>
            <w:shd w:val="clear" w:color="auto" w:fill="auto"/>
            <w:vAlign w:val="bottom"/>
          </w:tcPr>
          <w:p w14:paraId="392C0443" w14:textId="77777777" w:rsidR="00980E5F" w:rsidRDefault="00980E5F">
            <w:pPr>
              <w:rPr>
                <w:rFonts w:ascii="宋体"/>
                <w:vanish/>
              </w:rPr>
            </w:pPr>
          </w:p>
        </w:tc>
        <w:tc>
          <w:tcPr>
            <w:tcW w:w="0" w:type="auto"/>
            <w:shd w:val="clear" w:color="auto" w:fill="auto"/>
            <w:vAlign w:val="bottom"/>
          </w:tcPr>
          <w:p w14:paraId="392C0444"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4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446" w14:textId="77777777" w:rsidR="00980E5F" w:rsidRDefault="00980E5F">
            <w:pPr>
              <w:rPr>
                <w:rFonts w:ascii="宋体"/>
              </w:rPr>
            </w:pPr>
          </w:p>
        </w:tc>
        <w:tc>
          <w:tcPr>
            <w:tcW w:w="0" w:type="auto"/>
            <w:gridSpan w:val="3"/>
            <w:shd w:val="clear" w:color="auto" w:fill="auto"/>
            <w:vAlign w:val="bottom"/>
          </w:tcPr>
          <w:p w14:paraId="392C0447" w14:textId="77777777" w:rsidR="00980E5F" w:rsidRDefault="00980E5F">
            <w:pPr>
              <w:rPr>
                <w:rFonts w:ascii="宋体"/>
                <w:vanish/>
              </w:rPr>
            </w:pPr>
          </w:p>
        </w:tc>
        <w:tc>
          <w:tcPr>
            <w:tcW w:w="0" w:type="auto"/>
            <w:gridSpan w:val="3"/>
            <w:shd w:val="clear" w:color="auto" w:fill="auto"/>
            <w:vAlign w:val="bottom"/>
          </w:tcPr>
          <w:p w14:paraId="392C0448" w14:textId="77777777" w:rsidR="00980E5F" w:rsidRDefault="00980E5F">
            <w:pPr>
              <w:rPr>
                <w:rFonts w:ascii="宋体"/>
                <w:vanish/>
              </w:rPr>
            </w:pPr>
          </w:p>
        </w:tc>
      </w:tr>
      <w:tr w:rsidR="00980E5F" w14:paraId="392C0457" w14:textId="77777777">
        <w:tc>
          <w:tcPr>
            <w:tcW w:w="0" w:type="auto"/>
            <w:gridSpan w:val="3"/>
            <w:shd w:val="clear" w:color="auto" w:fill="CCEEFF"/>
            <w:tcMar>
              <w:top w:w="40" w:type="dxa"/>
              <w:left w:w="155" w:type="dxa"/>
              <w:bottom w:w="40" w:type="dxa"/>
              <w:right w:w="20" w:type="dxa"/>
            </w:tcMar>
            <w:vAlign w:val="bottom"/>
          </w:tcPr>
          <w:p w14:paraId="392C044A" w14:textId="77777777" w:rsidR="00980E5F" w:rsidRDefault="00483613">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392C044B" w14:textId="77777777" w:rsidR="00980E5F" w:rsidRDefault="00483613">
            <w:pPr>
              <w:jc w:val="right"/>
              <w:textAlignment w:val="bottom"/>
            </w:pPr>
            <w:r>
              <w:rPr>
                <w:rFonts w:ascii="Arial" w:eastAsia="宋体" w:hAnsi="Arial" w:cs="Arial"/>
                <w:b/>
                <w:bCs/>
                <w:color w:val="000000"/>
                <w:sz w:val="14"/>
                <w:szCs w:val="14"/>
              </w:rPr>
              <w:t>181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4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4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4E" w14:textId="77777777" w:rsidR="00980E5F" w:rsidRDefault="00483613">
            <w:pPr>
              <w:jc w:val="right"/>
              <w:textAlignment w:val="bottom"/>
            </w:pPr>
            <w:r>
              <w:rPr>
                <w:rFonts w:ascii="Arial" w:eastAsia="宋体" w:hAnsi="Arial" w:cs="Arial"/>
                <w:color w:val="000000"/>
                <w:sz w:val="14"/>
                <w:szCs w:val="14"/>
              </w:rPr>
              <w:t>155 </w:t>
            </w:r>
          </w:p>
        </w:tc>
        <w:tc>
          <w:tcPr>
            <w:tcW w:w="0" w:type="auto"/>
            <w:shd w:val="clear" w:color="auto" w:fill="CCEEFF"/>
            <w:tcMar>
              <w:top w:w="40" w:type="dxa"/>
              <w:left w:w="0" w:type="dxa"/>
              <w:bottom w:w="40" w:type="dxa"/>
              <w:right w:w="20" w:type="dxa"/>
            </w:tcMar>
            <w:vAlign w:val="bottom"/>
          </w:tcPr>
          <w:p w14:paraId="392C044F" w14:textId="77777777" w:rsidR="00980E5F" w:rsidRDefault="00980E5F">
            <w:pPr>
              <w:jc w:val="right"/>
              <w:rPr>
                <w:rFonts w:ascii="宋体"/>
              </w:rPr>
            </w:pPr>
          </w:p>
        </w:tc>
        <w:tc>
          <w:tcPr>
            <w:tcW w:w="0" w:type="auto"/>
            <w:shd w:val="clear" w:color="auto" w:fill="auto"/>
            <w:vAlign w:val="bottom"/>
          </w:tcPr>
          <w:p w14:paraId="392C0450" w14:textId="77777777" w:rsidR="00980E5F" w:rsidRDefault="00980E5F">
            <w:pPr>
              <w:rPr>
                <w:rFonts w:ascii="宋体"/>
                <w:vanish/>
              </w:rPr>
            </w:pPr>
          </w:p>
        </w:tc>
        <w:tc>
          <w:tcPr>
            <w:tcW w:w="0" w:type="auto"/>
            <w:shd w:val="clear" w:color="auto" w:fill="auto"/>
            <w:vAlign w:val="bottom"/>
          </w:tcPr>
          <w:p w14:paraId="392C0451"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5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53"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92C0454" w14:textId="77777777" w:rsidR="00980E5F" w:rsidRDefault="00980E5F">
            <w:pPr>
              <w:jc w:val="right"/>
              <w:rPr>
                <w:rFonts w:ascii="宋体"/>
              </w:rPr>
            </w:pPr>
          </w:p>
        </w:tc>
        <w:tc>
          <w:tcPr>
            <w:tcW w:w="0" w:type="auto"/>
            <w:gridSpan w:val="3"/>
            <w:shd w:val="clear" w:color="auto" w:fill="auto"/>
            <w:vAlign w:val="bottom"/>
          </w:tcPr>
          <w:p w14:paraId="392C0455" w14:textId="77777777" w:rsidR="00980E5F" w:rsidRDefault="00980E5F">
            <w:pPr>
              <w:rPr>
                <w:rFonts w:ascii="宋体"/>
                <w:vanish/>
              </w:rPr>
            </w:pPr>
          </w:p>
        </w:tc>
        <w:tc>
          <w:tcPr>
            <w:tcW w:w="0" w:type="auto"/>
            <w:gridSpan w:val="3"/>
            <w:shd w:val="clear" w:color="auto" w:fill="auto"/>
            <w:vAlign w:val="bottom"/>
          </w:tcPr>
          <w:p w14:paraId="392C0456" w14:textId="77777777" w:rsidR="00980E5F" w:rsidRDefault="00980E5F">
            <w:pPr>
              <w:rPr>
                <w:rFonts w:ascii="宋体"/>
                <w:vanish/>
              </w:rPr>
            </w:pPr>
          </w:p>
        </w:tc>
      </w:tr>
      <w:tr w:rsidR="00980E5F" w14:paraId="392C0465" w14:textId="77777777">
        <w:tc>
          <w:tcPr>
            <w:tcW w:w="0" w:type="auto"/>
            <w:gridSpan w:val="3"/>
            <w:shd w:val="clear" w:color="auto" w:fill="FFFFFF"/>
            <w:tcMar>
              <w:top w:w="40" w:type="dxa"/>
              <w:left w:w="155" w:type="dxa"/>
              <w:bottom w:w="40" w:type="dxa"/>
              <w:right w:w="20" w:type="dxa"/>
            </w:tcMar>
            <w:vAlign w:val="bottom"/>
          </w:tcPr>
          <w:p w14:paraId="392C0458"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0459" w14:textId="77777777" w:rsidR="00980E5F" w:rsidRDefault="00483613">
            <w:pPr>
              <w:jc w:val="right"/>
              <w:textAlignment w:val="bottom"/>
            </w:pPr>
            <w:r>
              <w:rPr>
                <w:rFonts w:ascii="Arial" w:eastAsia="宋体" w:hAnsi="Arial" w:cs="Arial"/>
                <w:b/>
                <w:bCs/>
                <w:color w:val="000000"/>
                <w:sz w:val="14"/>
                <w:szCs w:val="14"/>
              </w:rPr>
              <w:t>32</w:t>
            </w: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4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4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5C" w14:textId="77777777" w:rsidR="00980E5F" w:rsidRDefault="00483613">
            <w:pPr>
              <w:jc w:val="right"/>
              <w:textAlignment w:val="bottom"/>
            </w:pPr>
            <w:r>
              <w:rPr>
                <w:rFonts w:ascii="Arial" w:eastAsia="宋体" w:hAnsi="Arial" w:cs="Arial"/>
                <w:color w:val="000000"/>
                <w:sz w:val="14"/>
                <w:szCs w:val="14"/>
              </w:rPr>
              <w:t>266 </w:t>
            </w:r>
          </w:p>
        </w:tc>
        <w:tc>
          <w:tcPr>
            <w:tcW w:w="0" w:type="auto"/>
            <w:shd w:val="clear" w:color="auto" w:fill="FFFFFF"/>
            <w:tcMar>
              <w:top w:w="40" w:type="dxa"/>
              <w:left w:w="0" w:type="dxa"/>
              <w:bottom w:w="40" w:type="dxa"/>
              <w:right w:w="20" w:type="dxa"/>
            </w:tcMar>
            <w:vAlign w:val="bottom"/>
          </w:tcPr>
          <w:p w14:paraId="392C045D" w14:textId="77777777" w:rsidR="00980E5F" w:rsidRDefault="00980E5F">
            <w:pPr>
              <w:jc w:val="right"/>
              <w:rPr>
                <w:rFonts w:ascii="宋体"/>
              </w:rPr>
            </w:pPr>
          </w:p>
        </w:tc>
        <w:tc>
          <w:tcPr>
            <w:tcW w:w="0" w:type="auto"/>
            <w:shd w:val="clear" w:color="auto" w:fill="auto"/>
            <w:vAlign w:val="bottom"/>
          </w:tcPr>
          <w:p w14:paraId="392C045E" w14:textId="77777777" w:rsidR="00980E5F" w:rsidRDefault="00980E5F">
            <w:pPr>
              <w:rPr>
                <w:rFonts w:ascii="宋体"/>
                <w:vanish/>
              </w:rPr>
            </w:pPr>
          </w:p>
        </w:tc>
        <w:tc>
          <w:tcPr>
            <w:tcW w:w="0" w:type="auto"/>
            <w:shd w:val="clear" w:color="auto" w:fill="auto"/>
            <w:vAlign w:val="bottom"/>
          </w:tcPr>
          <w:p w14:paraId="392C045F"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61" w14:textId="77777777" w:rsidR="00980E5F" w:rsidRDefault="00483613">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392C0462" w14:textId="77777777" w:rsidR="00980E5F" w:rsidRDefault="00980E5F">
            <w:pPr>
              <w:jc w:val="right"/>
              <w:rPr>
                <w:rFonts w:ascii="宋体"/>
              </w:rPr>
            </w:pPr>
          </w:p>
        </w:tc>
        <w:tc>
          <w:tcPr>
            <w:tcW w:w="0" w:type="auto"/>
            <w:gridSpan w:val="3"/>
            <w:shd w:val="clear" w:color="auto" w:fill="auto"/>
            <w:vAlign w:val="bottom"/>
          </w:tcPr>
          <w:p w14:paraId="392C0463" w14:textId="77777777" w:rsidR="00980E5F" w:rsidRDefault="00980E5F">
            <w:pPr>
              <w:rPr>
                <w:rFonts w:ascii="宋体"/>
                <w:vanish/>
              </w:rPr>
            </w:pPr>
          </w:p>
        </w:tc>
        <w:tc>
          <w:tcPr>
            <w:tcW w:w="0" w:type="auto"/>
            <w:gridSpan w:val="3"/>
            <w:shd w:val="clear" w:color="auto" w:fill="auto"/>
            <w:vAlign w:val="bottom"/>
          </w:tcPr>
          <w:p w14:paraId="392C0464" w14:textId="77777777" w:rsidR="00980E5F" w:rsidRDefault="00980E5F">
            <w:pPr>
              <w:rPr>
                <w:rFonts w:ascii="宋体"/>
                <w:vanish/>
              </w:rPr>
            </w:pPr>
          </w:p>
        </w:tc>
      </w:tr>
      <w:tr w:rsidR="00980E5F" w14:paraId="392C0473" w14:textId="77777777">
        <w:tc>
          <w:tcPr>
            <w:tcW w:w="0" w:type="auto"/>
            <w:gridSpan w:val="3"/>
            <w:shd w:val="clear" w:color="auto" w:fill="CCEEFF"/>
            <w:tcMar>
              <w:top w:w="40" w:type="dxa"/>
              <w:left w:w="20" w:type="dxa"/>
              <w:bottom w:w="40" w:type="dxa"/>
              <w:right w:w="20" w:type="dxa"/>
            </w:tcMar>
            <w:vAlign w:val="bottom"/>
          </w:tcPr>
          <w:p w14:paraId="392C0466" w14:textId="77777777" w:rsidR="00980E5F" w:rsidRDefault="00483613">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467" w14:textId="77777777" w:rsidR="00980E5F" w:rsidRDefault="00483613">
            <w:pPr>
              <w:jc w:val="right"/>
              <w:textAlignment w:val="bottom"/>
            </w:pPr>
            <w:r>
              <w:rPr>
                <w:rFonts w:ascii="Arial" w:eastAsia="宋体" w:hAnsi="Arial" w:cs="Arial"/>
                <w:b/>
                <w:bCs/>
                <w:color w:val="000000"/>
                <w:sz w:val="14"/>
                <w:szCs w:val="14"/>
              </w:rPr>
              <w:t>505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4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46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46A" w14:textId="77777777" w:rsidR="00980E5F" w:rsidRDefault="00483613">
            <w:pPr>
              <w:jc w:val="right"/>
              <w:textAlignment w:val="bottom"/>
            </w:pPr>
            <w:r>
              <w:rPr>
                <w:rFonts w:ascii="Arial" w:eastAsia="宋体" w:hAnsi="Arial" w:cs="Arial"/>
                <w:color w:val="000000"/>
                <w:sz w:val="14"/>
                <w:szCs w:val="14"/>
              </w:rPr>
              <w:t>421 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46B" w14:textId="77777777" w:rsidR="00980E5F" w:rsidRDefault="00980E5F">
            <w:pPr>
              <w:jc w:val="right"/>
              <w:rPr>
                <w:rFonts w:ascii="宋体"/>
              </w:rPr>
            </w:pPr>
          </w:p>
        </w:tc>
        <w:tc>
          <w:tcPr>
            <w:tcW w:w="0" w:type="auto"/>
            <w:shd w:val="clear" w:color="auto" w:fill="auto"/>
            <w:vAlign w:val="bottom"/>
          </w:tcPr>
          <w:p w14:paraId="392C046C" w14:textId="77777777" w:rsidR="00980E5F" w:rsidRDefault="00980E5F">
            <w:pPr>
              <w:rPr>
                <w:rFonts w:ascii="宋体"/>
                <w:vanish/>
              </w:rPr>
            </w:pPr>
          </w:p>
        </w:tc>
        <w:tc>
          <w:tcPr>
            <w:tcW w:w="0" w:type="auto"/>
            <w:shd w:val="clear" w:color="auto" w:fill="auto"/>
            <w:vAlign w:val="bottom"/>
          </w:tcPr>
          <w:p w14:paraId="392C046D"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46F" w14:textId="77777777" w:rsidR="00980E5F" w:rsidRDefault="00483613">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392C0470" w14:textId="77777777" w:rsidR="00980E5F" w:rsidRDefault="00980E5F">
            <w:pPr>
              <w:jc w:val="right"/>
              <w:rPr>
                <w:rFonts w:ascii="宋体"/>
              </w:rPr>
            </w:pPr>
          </w:p>
        </w:tc>
        <w:tc>
          <w:tcPr>
            <w:tcW w:w="0" w:type="auto"/>
            <w:gridSpan w:val="3"/>
            <w:shd w:val="clear" w:color="auto" w:fill="auto"/>
            <w:vAlign w:val="bottom"/>
          </w:tcPr>
          <w:p w14:paraId="392C0471" w14:textId="77777777" w:rsidR="00980E5F" w:rsidRDefault="00980E5F">
            <w:pPr>
              <w:rPr>
                <w:rFonts w:ascii="宋体"/>
                <w:vanish/>
              </w:rPr>
            </w:pPr>
          </w:p>
        </w:tc>
        <w:tc>
          <w:tcPr>
            <w:tcW w:w="0" w:type="auto"/>
            <w:gridSpan w:val="3"/>
            <w:shd w:val="clear" w:color="auto" w:fill="auto"/>
            <w:vAlign w:val="bottom"/>
          </w:tcPr>
          <w:p w14:paraId="392C0472" w14:textId="77777777" w:rsidR="00980E5F" w:rsidRDefault="00980E5F">
            <w:pPr>
              <w:rPr>
                <w:rFonts w:ascii="宋体"/>
                <w:vanish/>
              </w:rPr>
            </w:pPr>
          </w:p>
        </w:tc>
      </w:tr>
      <w:tr w:rsidR="00980E5F" w14:paraId="392C0483" w14:textId="77777777">
        <w:tc>
          <w:tcPr>
            <w:tcW w:w="0" w:type="auto"/>
            <w:gridSpan w:val="3"/>
            <w:shd w:val="clear" w:color="auto" w:fill="FFFFFF"/>
            <w:tcMar>
              <w:top w:w="40" w:type="dxa"/>
              <w:left w:w="20" w:type="dxa"/>
              <w:bottom w:w="40" w:type="dxa"/>
              <w:right w:w="20" w:type="dxa"/>
            </w:tcMar>
            <w:vAlign w:val="bottom"/>
          </w:tcPr>
          <w:p w14:paraId="392C0474" w14:textId="77777777" w:rsidR="00980E5F" w:rsidRDefault="00483613">
            <w:pPr>
              <w:textAlignment w:val="bottom"/>
            </w:pPr>
            <w:r>
              <w:rPr>
                <w:rFonts w:ascii="Arial" w:eastAsia="宋体" w:hAnsi="Arial" w:cs="Arial"/>
                <w:color w:val="000000"/>
                <w:sz w:val="14"/>
                <w:szCs w:val="14"/>
              </w:rPr>
              <w:t>Total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47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476" w14:textId="77777777" w:rsidR="00980E5F" w:rsidRDefault="00483613">
            <w:pPr>
              <w:jc w:val="right"/>
              <w:textAlignment w:val="bottom"/>
            </w:pPr>
            <w:r>
              <w:rPr>
                <w:rFonts w:ascii="Arial" w:eastAsia="宋体" w:hAnsi="Arial" w:cs="Arial"/>
                <w:b/>
                <w:bCs/>
                <w:color w:val="000000"/>
                <w:sz w:val="14"/>
                <w:szCs w:val="14"/>
              </w:rPr>
              <w:t>4,435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4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47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47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47A" w14:textId="77777777" w:rsidR="00980E5F" w:rsidRDefault="00483613">
            <w:pPr>
              <w:jc w:val="right"/>
              <w:textAlignment w:val="bottom"/>
            </w:pPr>
            <w:r>
              <w:rPr>
                <w:rFonts w:ascii="Arial" w:eastAsia="宋体" w:hAnsi="Arial" w:cs="Arial"/>
                <w:color w:val="000000"/>
                <w:sz w:val="14"/>
                <w:szCs w:val="14"/>
              </w:rPr>
              <w:t>4,443 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47B" w14:textId="77777777" w:rsidR="00980E5F" w:rsidRDefault="00980E5F">
            <w:pPr>
              <w:jc w:val="right"/>
              <w:rPr>
                <w:rFonts w:ascii="宋体"/>
              </w:rPr>
            </w:pPr>
          </w:p>
        </w:tc>
        <w:tc>
          <w:tcPr>
            <w:tcW w:w="0" w:type="auto"/>
            <w:shd w:val="clear" w:color="auto" w:fill="auto"/>
            <w:vAlign w:val="bottom"/>
          </w:tcPr>
          <w:p w14:paraId="392C047C" w14:textId="77777777" w:rsidR="00980E5F" w:rsidRDefault="00980E5F">
            <w:pPr>
              <w:rPr>
                <w:rFonts w:ascii="宋体"/>
                <w:vanish/>
              </w:rPr>
            </w:pPr>
          </w:p>
        </w:tc>
        <w:tc>
          <w:tcPr>
            <w:tcW w:w="0" w:type="auto"/>
            <w:shd w:val="clear" w:color="auto" w:fill="auto"/>
            <w:vAlign w:val="bottom"/>
          </w:tcPr>
          <w:p w14:paraId="392C047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7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480" w14:textId="77777777" w:rsidR="00980E5F" w:rsidRDefault="00980E5F">
            <w:pPr>
              <w:jc w:val="right"/>
              <w:rPr>
                <w:rFonts w:ascii="宋体"/>
              </w:rPr>
            </w:pPr>
          </w:p>
        </w:tc>
        <w:tc>
          <w:tcPr>
            <w:tcW w:w="0" w:type="auto"/>
            <w:gridSpan w:val="3"/>
            <w:shd w:val="clear" w:color="auto" w:fill="auto"/>
            <w:vAlign w:val="bottom"/>
          </w:tcPr>
          <w:p w14:paraId="392C0481" w14:textId="77777777" w:rsidR="00980E5F" w:rsidRDefault="00980E5F">
            <w:pPr>
              <w:rPr>
                <w:rFonts w:ascii="宋体"/>
                <w:vanish/>
              </w:rPr>
            </w:pPr>
          </w:p>
        </w:tc>
        <w:tc>
          <w:tcPr>
            <w:tcW w:w="0" w:type="auto"/>
            <w:gridSpan w:val="3"/>
            <w:shd w:val="clear" w:color="auto" w:fill="auto"/>
            <w:vAlign w:val="bottom"/>
          </w:tcPr>
          <w:p w14:paraId="392C0482" w14:textId="77777777" w:rsidR="00980E5F" w:rsidRDefault="00980E5F">
            <w:pPr>
              <w:rPr>
                <w:rFonts w:ascii="宋体"/>
                <w:vanish/>
              </w:rPr>
            </w:pPr>
          </w:p>
        </w:tc>
      </w:tr>
      <w:tr w:rsidR="00980E5F" w14:paraId="392C048E" w14:textId="77777777">
        <w:trPr>
          <w:hidden/>
        </w:trPr>
        <w:tc>
          <w:tcPr>
            <w:tcW w:w="0" w:type="auto"/>
            <w:gridSpan w:val="3"/>
            <w:shd w:val="clear" w:color="auto" w:fill="auto"/>
            <w:vAlign w:val="bottom"/>
          </w:tcPr>
          <w:p w14:paraId="392C0484" w14:textId="77777777" w:rsidR="00980E5F" w:rsidRDefault="00980E5F">
            <w:pPr>
              <w:rPr>
                <w:rFonts w:ascii="宋体"/>
                <w:vanish/>
              </w:rPr>
            </w:pPr>
          </w:p>
        </w:tc>
        <w:tc>
          <w:tcPr>
            <w:tcW w:w="0" w:type="auto"/>
            <w:gridSpan w:val="3"/>
            <w:shd w:val="clear" w:color="auto" w:fill="auto"/>
            <w:vAlign w:val="bottom"/>
          </w:tcPr>
          <w:p w14:paraId="392C0485" w14:textId="77777777" w:rsidR="00980E5F" w:rsidRDefault="00980E5F">
            <w:pPr>
              <w:rPr>
                <w:rFonts w:ascii="宋体"/>
                <w:vanish/>
              </w:rPr>
            </w:pPr>
          </w:p>
        </w:tc>
        <w:tc>
          <w:tcPr>
            <w:tcW w:w="0" w:type="auto"/>
            <w:gridSpan w:val="3"/>
            <w:shd w:val="clear" w:color="auto" w:fill="auto"/>
            <w:vAlign w:val="bottom"/>
          </w:tcPr>
          <w:p w14:paraId="392C0486" w14:textId="77777777" w:rsidR="00980E5F" w:rsidRDefault="00980E5F">
            <w:pPr>
              <w:rPr>
                <w:rFonts w:ascii="宋体"/>
                <w:vanish/>
              </w:rPr>
            </w:pPr>
          </w:p>
        </w:tc>
        <w:tc>
          <w:tcPr>
            <w:tcW w:w="0" w:type="auto"/>
            <w:gridSpan w:val="3"/>
            <w:shd w:val="clear" w:color="auto" w:fill="auto"/>
            <w:vAlign w:val="bottom"/>
          </w:tcPr>
          <w:p w14:paraId="392C0487" w14:textId="77777777" w:rsidR="00980E5F" w:rsidRDefault="00980E5F">
            <w:pPr>
              <w:rPr>
                <w:rFonts w:ascii="宋体"/>
                <w:vanish/>
              </w:rPr>
            </w:pPr>
          </w:p>
        </w:tc>
        <w:tc>
          <w:tcPr>
            <w:tcW w:w="0" w:type="auto"/>
            <w:shd w:val="clear" w:color="auto" w:fill="auto"/>
            <w:vAlign w:val="bottom"/>
          </w:tcPr>
          <w:p w14:paraId="392C0488" w14:textId="77777777" w:rsidR="00980E5F" w:rsidRDefault="00980E5F">
            <w:pPr>
              <w:rPr>
                <w:rFonts w:ascii="宋体"/>
                <w:vanish/>
              </w:rPr>
            </w:pPr>
          </w:p>
        </w:tc>
        <w:tc>
          <w:tcPr>
            <w:tcW w:w="0" w:type="auto"/>
            <w:shd w:val="clear" w:color="auto" w:fill="auto"/>
            <w:vAlign w:val="bottom"/>
          </w:tcPr>
          <w:p w14:paraId="392C0489" w14:textId="77777777" w:rsidR="00980E5F" w:rsidRDefault="00980E5F">
            <w:pPr>
              <w:rPr>
                <w:rFonts w:ascii="宋体"/>
                <w:vanish/>
              </w:rPr>
            </w:pPr>
          </w:p>
        </w:tc>
        <w:tc>
          <w:tcPr>
            <w:tcW w:w="0" w:type="auto"/>
            <w:gridSpan w:val="3"/>
            <w:shd w:val="clear" w:color="auto" w:fill="auto"/>
            <w:vAlign w:val="bottom"/>
          </w:tcPr>
          <w:p w14:paraId="392C048A" w14:textId="77777777" w:rsidR="00980E5F" w:rsidRDefault="00980E5F">
            <w:pPr>
              <w:rPr>
                <w:rFonts w:ascii="宋体"/>
                <w:vanish/>
              </w:rPr>
            </w:pPr>
          </w:p>
        </w:tc>
        <w:tc>
          <w:tcPr>
            <w:tcW w:w="0" w:type="auto"/>
            <w:gridSpan w:val="3"/>
            <w:shd w:val="clear" w:color="auto" w:fill="auto"/>
            <w:vAlign w:val="bottom"/>
          </w:tcPr>
          <w:p w14:paraId="392C048B" w14:textId="77777777" w:rsidR="00980E5F" w:rsidRDefault="00980E5F">
            <w:pPr>
              <w:rPr>
                <w:rFonts w:ascii="宋体"/>
                <w:vanish/>
              </w:rPr>
            </w:pPr>
          </w:p>
        </w:tc>
        <w:tc>
          <w:tcPr>
            <w:tcW w:w="0" w:type="auto"/>
            <w:gridSpan w:val="3"/>
            <w:shd w:val="clear" w:color="auto" w:fill="auto"/>
            <w:vAlign w:val="bottom"/>
          </w:tcPr>
          <w:p w14:paraId="392C048C" w14:textId="77777777" w:rsidR="00980E5F" w:rsidRDefault="00980E5F">
            <w:pPr>
              <w:rPr>
                <w:rFonts w:ascii="宋体"/>
                <w:vanish/>
              </w:rPr>
            </w:pPr>
          </w:p>
        </w:tc>
        <w:tc>
          <w:tcPr>
            <w:tcW w:w="0" w:type="auto"/>
            <w:gridSpan w:val="3"/>
            <w:shd w:val="clear" w:color="auto" w:fill="auto"/>
            <w:vAlign w:val="bottom"/>
          </w:tcPr>
          <w:p w14:paraId="392C048D" w14:textId="77777777" w:rsidR="00980E5F" w:rsidRDefault="00980E5F">
            <w:pPr>
              <w:rPr>
                <w:rFonts w:ascii="宋体"/>
                <w:vanish/>
              </w:rPr>
            </w:pPr>
          </w:p>
        </w:tc>
      </w:tr>
    </w:tbl>
    <w:p w14:paraId="392C048F" w14:textId="77777777" w:rsidR="00980E5F" w:rsidRDefault="00483613">
      <w:pPr>
        <w:spacing w:before="60"/>
        <w:ind w:firstLine="450"/>
        <w:jc w:val="both"/>
        <w:textAlignment w:val="top"/>
      </w:pPr>
      <w:r>
        <w:rPr>
          <w:rFonts w:ascii="Arial" w:eastAsia="宋体" w:hAnsi="Arial" w:cs="Arial"/>
          <w:color w:val="000000"/>
          <w:sz w:val="20"/>
          <w:szCs w:val="20"/>
        </w:rPr>
        <w:t>Compensation and employee benefits expenses decreased 3% in the second quarter of 2022, compared to the same period in 2021, primarily due to lower incentive compensation and the impact of currency translation, partially offset by higher merit increases an</w:t>
      </w:r>
      <w:r>
        <w:rPr>
          <w:rFonts w:ascii="Arial" w:eastAsia="宋体" w:hAnsi="Arial" w:cs="Arial"/>
          <w:color w:val="000000"/>
          <w:sz w:val="20"/>
          <w:szCs w:val="20"/>
        </w:rPr>
        <w:t xml:space="preserve">d contractor spend. Compensation and employee benefits expenses decreased 2% in the six months ended June 30, 2022, compared to the same period in 2021, primarily due to lower incentive compensation and the impact of currency translation, partially offset </w:t>
      </w:r>
      <w:r>
        <w:rPr>
          <w:rFonts w:ascii="Arial" w:eastAsia="宋体" w:hAnsi="Arial" w:cs="Arial"/>
          <w:color w:val="000000"/>
          <w:sz w:val="20"/>
          <w:szCs w:val="20"/>
        </w:rPr>
        <w:t xml:space="preserve">by higher merit increases, contractor spend and seasonal expenses. Currency translation decreased compensation and employee benefits expenses by 4% and 2% in the three and six months ended June 30, 2022, respectively, compared to the same periods in 2021. </w:t>
      </w:r>
    </w:p>
    <w:p w14:paraId="392C0490" w14:textId="77777777" w:rsidR="00980E5F" w:rsidRDefault="00483613">
      <w:pPr>
        <w:spacing w:before="60"/>
        <w:ind w:firstLine="450"/>
        <w:jc w:val="both"/>
        <w:textAlignment w:val="top"/>
      </w:pPr>
      <w:r>
        <w:rPr>
          <w:rFonts w:ascii="Arial" w:eastAsia="宋体" w:hAnsi="Arial" w:cs="Arial"/>
          <w:color w:val="000000"/>
          <w:sz w:val="20"/>
          <w:szCs w:val="20"/>
        </w:rPr>
        <w:t>Total headcount increased 3% as of June 30, 2022 compared to June 30, 2021, primarily driven by hiring in global hubs and insourcing of strategic technology functions from vendors, partially offset by a reduction in high cost locations.</w:t>
      </w:r>
    </w:p>
    <w:p w14:paraId="392C0491" w14:textId="77777777" w:rsidR="00980E5F" w:rsidRDefault="00483613">
      <w:pPr>
        <w:ind w:firstLine="450"/>
        <w:jc w:val="right"/>
      </w:pPr>
      <w:r>
        <w:rPr>
          <w:rFonts w:ascii="Arial" w:eastAsia="宋体" w:hAnsi="Arial" w:cs="Arial"/>
          <w:color w:val="000000"/>
          <w:sz w:val="18"/>
          <w:szCs w:val="18"/>
        </w:rPr>
        <w:t>State Street Corpo</w:t>
      </w:r>
      <w:r>
        <w:rPr>
          <w:rFonts w:ascii="Arial" w:eastAsia="宋体" w:hAnsi="Arial" w:cs="Arial"/>
          <w:color w:val="000000"/>
          <w:sz w:val="18"/>
          <w:szCs w:val="18"/>
        </w:rPr>
        <w:t>ration | 23</w:t>
      </w:r>
    </w:p>
    <w:p w14:paraId="392C0492" w14:textId="77777777" w:rsidR="00980E5F" w:rsidRDefault="00980E5F">
      <w:pPr>
        <w:ind w:firstLine="450"/>
        <w:jc w:val="center"/>
      </w:pPr>
    </w:p>
    <w:p w14:paraId="392C0493" w14:textId="77777777" w:rsidR="00980E5F" w:rsidRDefault="00483613">
      <w:r>
        <w:pict w14:anchorId="392CBAE5">
          <v:rect id="_x0000_i1047" style="width:415.3pt;height:1.5pt" o:hralign="center" o:hrstd="t" o:hr="t" fillcolor="#a0a0a0" stroked="f"/>
        </w:pict>
      </w:r>
    </w:p>
    <w:p w14:paraId="392C049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0495" w14:textId="77777777" w:rsidR="00980E5F" w:rsidRDefault="00483613">
      <w:pPr>
        <w:ind w:firstLine="450"/>
        <w:jc w:val="center"/>
      </w:pPr>
      <w:r>
        <w:rPr>
          <w:rFonts w:ascii="Arial" w:eastAsia="宋体" w:hAnsi="Arial" w:cs="Arial"/>
          <w:b/>
          <w:bCs/>
          <w:color w:val="000000"/>
          <w:sz w:val="20"/>
          <w:szCs w:val="20"/>
        </w:rPr>
        <w:t>AND RESULTS OF OPERATIONS</w:t>
      </w:r>
    </w:p>
    <w:p w14:paraId="392C0496" w14:textId="77777777" w:rsidR="00980E5F" w:rsidRDefault="00483613">
      <w:pPr>
        <w:spacing w:before="60"/>
        <w:ind w:firstLine="450"/>
        <w:jc w:val="both"/>
        <w:textAlignment w:val="top"/>
      </w:pPr>
      <w:r>
        <w:rPr>
          <w:rFonts w:ascii="Arial" w:eastAsia="宋体" w:hAnsi="Arial" w:cs="Arial"/>
          <w:color w:val="000000"/>
          <w:sz w:val="20"/>
          <w:szCs w:val="20"/>
        </w:rPr>
        <w:t xml:space="preserve">Information systems and communications expenses decreased 2% in the second quarter of 2022, compared to the same period in 2021, primarily due to </w:t>
      </w:r>
      <w:r>
        <w:rPr>
          <w:rFonts w:ascii="Arial" w:eastAsia="宋体" w:hAnsi="Arial" w:cs="Arial"/>
          <w:color w:val="000000"/>
          <w:sz w:val="20"/>
          <w:szCs w:val="20"/>
        </w:rPr>
        <w:t>episodic credits related to vendor pricing optimization initiatives and infrastructure rationalization. Information systems and communications expenses was flat in the six months ended June 30, 2022, compared to the same period in 2021.</w:t>
      </w:r>
    </w:p>
    <w:p w14:paraId="392C0497" w14:textId="77777777" w:rsidR="00980E5F" w:rsidRDefault="00483613">
      <w:pPr>
        <w:spacing w:before="60"/>
        <w:ind w:firstLine="450"/>
        <w:jc w:val="both"/>
        <w:textAlignment w:val="top"/>
      </w:pPr>
      <w:r>
        <w:rPr>
          <w:rFonts w:ascii="Arial" w:eastAsia="宋体" w:hAnsi="Arial" w:cs="Arial"/>
          <w:color w:val="000000"/>
          <w:sz w:val="20"/>
          <w:szCs w:val="20"/>
        </w:rPr>
        <w:t>Transaction process</w:t>
      </w:r>
      <w:r>
        <w:rPr>
          <w:rFonts w:ascii="Arial" w:eastAsia="宋体" w:hAnsi="Arial" w:cs="Arial"/>
          <w:color w:val="000000"/>
          <w:sz w:val="20"/>
          <w:szCs w:val="20"/>
        </w:rPr>
        <w:t>ing services expenses decreased 9% and 5% in the three and six months ended June 30, 2022, respectively, compared to the same periods in 2021, primarily due to lower sub-custody costs.</w:t>
      </w:r>
    </w:p>
    <w:p w14:paraId="392C0498" w14:textId="77777777" w:rsidR="00980E5F" w:rsidRDefault="00483613">
      <w:pPr>
        <w:ind w:firstLine="450"/>
        <w:jc w:val="both"/>
        <w:textAlignment w:val="top"/>
      </w:pPr>
      <w:r>
        <w:rPr>
          <w:rFonts w:ascii="Arial" w:eastAsia="宋体" w:hAnsi="Arial" w:cs="Arial"/>
          <w:color w:val="000000"/>
          <w:sz w:val="20"/>
          <w:szCs w:val="20"/>
        </w:rPr>
        <w:t>Occupancy expenses decreased 4% and 9% in the three and six months ende</w:t>
      </w:r>
      <w:r>
        <w:rPr>
          <w:rFonts w:ascii="Arial" w:eastAsia="宋体" w:hAnsi="Arial" w:cs="Arial"/>
          <w:color w:val="000000"/>
          <w:sz w:val="20"/>
          <w:szCs w:val="20"/>
        </w:rPr>
        <w:t>d June 30, 2022, respectively, compared to the same periods in 2021, primarily due to footprint optimization and the impact of currency translation. Currency translation decreased occupancy expenses by 4% and 3% in the three and six months ended June 30, 2</w:t>
      </w:r>
      <w:r>
        <w:rPr>
          <w:rFonts w:ascii="Arial" w:eastAsia="宋体" w:hAnsi="Arial" w:cs="Arial"/>
          <w:color w:val="000000"/>
          <w:sz w:val="20"/>
          <w:szCs w:val="20"/>
        </w:rPr>
        <w:t xml:space="preserve">022, respectively, compared to the same periods in 2021. </w:t>
      </w:r>
    </w:p>
    <w:p w14:paraId="392C0499" w14:textId="77777777" w:rsidR="00980E5F" w:rsidRDefault="00483613">
      <w:pPr>
        <w:spacing w:before="60"/>
        <w:ind w:firstLine="450"/>
        <w:jc w:val="both"/>
        <w:textAlignment w:val="top"/>
      </w:pPr>
      <w:r>
        <w:rPr>
          <w:rFonts w:ascii="Arial" w:eastAsia="宋体" w:hAnsi="Arial" w:cs="Arial"/>
          <w:color w:val="000000"/>
          <w:sz w:val="20"/>
          <w:szCs w:val="20"/>
        </w:rPr>
        <w:t xml:space="preserve">Amortization of other intangible assets decreased 5% and was flat in the three and six months ended June 30, 2022, respectively, compared to the same periods in 2021, reflecting the impact of </w:t>
      </w:r>
      <w:r>
        <w:rPr>
          <w:rFonts w:ascii="Arial" w:eastAsia="宋体" w:hAnsi="Arial" w:cs="Arial"/>
          <w:color w:val="000000"/>
          <w:sz w:val="20"/>
          <w:szCs w:val="20"/>
        </w:rPr>
        <w:t>currency translation which reduced amortization of other intangible assets by 3% in both the three and six months ended June 30, 2022, relative to the same periods in 2021.</w:t>
      </w:r>
    </w:p>
    <w:p w14:paraId="392C049A" w14:textId="77777777" w:rsidR="00980E5F" w:rsidRDefault="00483613">
      <w:pPr>
        <w:spacing w:before="60"/>
        <w:ind w:firstLine="450"/>
        <w:jc w:val="both"/>
        <w:textAlignment w:val="top"/>
      </w:pPr>
      <w:r>
        <w:rPr>
          <w:rFonts w:ascii="Arial" w:eastAsia="宋体" w:hAnsi="Arial" w:cs="Arial"/>
          <w:color w:val="000000"/>
          <w:sz w:val="20"/>
          <w:szCs w:val="20"/>
        </w:rPr>
        <w:t>Other expenses increased 32% and 20% in the three and six months ended June 30, 202</w:t>
      </w:r>
      <w:r>
        <w:rPr>
          <w:rFonts w:ascii="Arial" w:eastAsia="宋体" w:hAnsi="Arial" w:cs="Arial"/>
          <w:color w:val="000000"/>
          <w:sz w:val="20"/>
          <w:szCs w:val="20"/>
        </w:rPr>
        <w:t>2, respectively, compared to the same periods in 2021, primarily driven by higher professional services, recoverable client-related expenses and travel costs.</w:t>
      </w:r>
    </w:p>
    <w:p w14:paraId="392C049B" w14:textId="77777777" w:rsidR="00980E5F" w:rsidRDefault="00483613">
      <w:pPr>
        <w:spacing w:before="60"/>
        <w:jc w:val="both"/>
        <w:textAlignment w:val="top"/>
      </w:pPr>
      <w:r>
        <w:rPr>
          <w:rFonts w:ascii="Arial" w:eastAsia="宋体" w:hAnsi="Arial" w:cs="Arial"/>
          <w:b/>
          <w:bCs/>
          <w:i/>
          <w:iCs/>
          <w:color w:val="000000"/>
          <w:sz w:val="20"/>
          <w:szCs w:val="20"/>
        </w:rPr>
        <w:t>Acquisition Costs</w:t>
      </w:r>
    </w:p>
    <w:p w14:paraId="392C049C" w14:textId="77777777" w:rsidR="00980E5F" w:rsidRDefault="00483613">
      <w:pPr>
        <w:spacing w:before="60"/>
        <w:ind w:firstLine="450"/>
        <w:jc w:val="both"/>
        <w:textAlignment w:val="top"/>
      </w:pPr>
      <w:r>
        <w:rPr>
          <w:rFonts w:ascii="Arial" w:eastAsia="宋体" w:hAnsi="Arial" w:cs="Arial"/>
          <w:color w:val="000000"/>
          <w:sz w:val="20"/>
          <w:szCs w:val="20"/>
        </w:rPr>
        <w:t>We recorded approximately $12 million and $21 million of acquisition costs in t</w:t>
      </w:r>
      <w:r>
        <w:rPr>
          <w:rFonts w:ascii="Arial" w:eastAsia="宋体" w:hAnsi="Arial" w:cs="Arial"/>
          <w:color w:val="000000"/>
          <w:sz w:val="20"/>
          <w:szCs w:val="20"/>
        </w:rPr>
        <w:t xml:space="preserve">he three and six months ended June 30, 2022, respectively, related to our proposed acquisition of the BBH Investor services business. We expect to incur up to approximately $590 million of total acquisition and integration costs related to the acquisition </w:t>
      </w:r>
      <w:r>
        <w:rPr>
          <w:rFonts w:ascii="Arial" w:eastAsia="宋体" w:hAnsi="Arial" w:cs="Arial"/>
          <w:color w:val="000000"/>
          <w:sz w:val="20"/>
          <w:szCs w:val="20"/>
        </w:rPr>
        <w:t>through the third year following its closing. The acquisition is subject to regulatory reviews and other closing conditions.</w:t>
      </w:r>
    </w:p>
    <w:p w14:paraId="392C049D" w14:textId="77777777" w:rsidR="00980E5F" w:rsidRDefault="00483613">
      <w:pPr>
        <w:spacing w:before="60"/>
        <w:ind w:firstLine="450"/>
        <w:jc w:val="both"/>
        <w:textAlignment w:val="top"/>
      </w:pPr>
      <w:r>
        <w:rPr>
          <w:rFonts w:ascii="Arial" w:eastAsia="宋体" w:hAnsi="Arial" w:cs="Arial"/>
          <w:color w:val="000000"/>
          <w:sz w:val="20"/>
          <w:szCs w:val="20"/>
        </w:rPr>
        <w:t>We recorded approximately $11 million and $22 million of acquisition costs in the three and six months ended June 30, 2021, respect</w:t>
      </w:r>
      <w:r>
        <w:rPr>
          <w:rFonts w:ascii="Arial" w:eastAsia="宋体" w:hAnsi="Arial" w:cs="Arial"/>
          <w:color w:val="000000"/>
          <w:sz w:val="20"/>
          <w:szCs w:val="20"/>
        </w:rPr>
        <w:t>ively, related to our acquisition of CRD in 2018. Starting in 2022, we no longer distinguish certain CRD costs as acquisition costs.</w:t>
      </w:r>
    </w:p>
    <w:p w14:paraId="392C049E" w14:textId="77777777" w:rsidR="00980E5F" w:rsidRDefault="00483613">
      <w:pPr>
        <w:spacing w:before="60"/>
        <w:jc w:val="both"/>
        <w:textAlignment w:val="top"/>
      </w:pPr>
      <w:r>
        <w:rPr>
          <w:rFonts w:ascii="Arial" w:eastAsia="宋体" w:hAnsi="Arial" w:cs="Arial"/>
          <w:b/>
          <w:bCs/>
          <w:i/>
          <w:iCs/>
          <w:color w:val="000000"/>
          <w:sz w:val="20"/>
          <w:szCs w:val="20"/>
        </w:rPr>
        <w:t>Restructuring and Repositioning Charges</w:t>
      </w:r>
    </w:p>
    <w:p w14:paraId="392C049F" w14:textId="77777777" w:rsidR="00980E5F" w:rsidRDefault="00483613">
      <w:pPr>
        <w:spacing w:before="60"/>
        <w:ind w:firstLine="450"/>
        <w:jc w:val="both"/>
        <w:textAlignment w:val="top"/>
      </w:pPr>
      <w:r>
        <w:rPr>
          <w:rFonts w:ascii="Arial" w:eastAsia="宋体" w:hAnsi="Arial" w:cs="Arial"/>
          <w:color w:val="000000"/>
          <w:sz w:val="20"/>
          <w:szCs w:val="20"/>
        </w:rPr>
        <w:t>The following table presents aggregate activity for repositioning charges for the p</w:t>
      </w:r>
      <w:r>
        <w:rPr>
          <w:rFonts w:ascii="Arial" w:eastAsia="宋体" w:hAnsi="Arial" w:cs="Arial"/>
          <w:color w:val="000000"/>
          <w:sz w:val="20"/>
          <w:szCs w:val="20"/>
        </w:rPr>
        <w:t>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167"/>
        <w:gridCol w:w="38"/>
        <w:gridCol w:w="99"/>
        <w:gridCol w:w="1533"/>
        <w:gridCol w:w="37"/>
        <w:gridCol w:w="36"/>
        <w:gridCol w:w="37"/>
        <w:gridCol w:w="36"/>
        <w:gridCol w:w="99"/>
        <w:gridCol w:w="1149"/>
        <w:gridCol w:w="37"/>
        <w:gridCol w:w="126"/>
        <w:gridCol w:w="126"/>
        <w:gridCol w:w="36"/>
        <w:gridCol w:w="36"/>
        <w:gridCol w:w="36"/>
        <w:gridCol w:w="36"/>
        <w:gridCol w:w="36"/>
        <w:gridCol w:w="36"/>
        <w:gridCol w:w="36"/>
        <w:gridCol w:w="36"/>
        <w:gridCol w:w="36"/>
        <w:gridCol w:w="36"/>
        <w:gridCol w:w="36"/>
        <w:gridCol w:w="36"/>
        <w:gridCol w:w="36"/>
        <w:gridCol w:w="38"/>
        <w:gridCol w:w="36"/>
        <w:gridCol w:w="98"/>
        <w:gridCol w:w="1102"/>
        <w:gridCol w:w="36"/>
      </w:tblGrid>
      <w:tr w:rsidR="00980E5F" w14:paraId="392C04B8" w14:textId="77777777">
        <w:tc>
          <w:tcPr>
            <w:tcW w:w="50" w:type="pct"/>
            <w:shd w:val="clear" w:color="auto" w:fill="auto"/>
            <w:vAlign w:val="bottom"/>
          </w:tcPr>
          <w:p w14:paraId="392C04A0" w14:textId="77777777" w:rsidR="00980E5F" w:rsidRDefault="00980E5F">
            <w:pPr>
              <w:rPr>
                <w:rFonts w:ascii="宋体"/>
              </w:rPr>
            </w:pPr>
          </w:p>
        </w:tc>
        <w:tc>
          <w:tcPr>
            <w:tcW w:w="2099" w:type="pct"/>
            <w:shd w:val="clear" w:color="auto" w:fill="auto"/>
            <w:vAlign w:val="bottom"/>
          </w:tcPr>
          <w:p w14:paraId="392C04A1" w14:textId="77777777" w:rsidR="00980E5F" w:rsidRDefault="00980E5F">
            <w:pPr>
              <w:rPr>
                <w:rFonts w:ascii="宋体"/>
              </w:rPr>
            </w:pPr>
          </w:p>
        </w:tc>
        <w:tc>
          <w:tcPr>
            <w:tcW w:w="5" w:type="pct"/>
            <w:shd w:val="clear" w:color="auto" w:fill="auto"/>
            <w:vAlign w:val="bottom"/>
          </w:tcPr>
          <w:p w14:paraId="392C04A2" w14:textId="77777777" w:rsidR="00980E5F" w:rsidRDefault="00980E5F">
            <w:pPr>
              <w:rPr>
                <w:rFonts w:ascii="宋体"/>
              </w:rPr>
            </w:pPr>
          </w:p>
        </w:tc>
        <w:tc>
          <w:tcPr>
            <w:tcW w:w="50" w:type="pct"/>
            <w:shd w:val="clear" w:color="auto" w:fill="auto"/>
            <w:vAlign w:val="bottom"/>
          </w:tcPr>
          <w:p w14:paraId="392C04A3" w14:textId="77777777" w:rsidR="00980E5F" w:rsidRDefault="00980E5F">
            <w:pPr>
              <w:rPr>
                <w:rFonts w:ascii="宋体"/>
              </w:rPr>
            </w:pPr>
          </w:p>
        </w:tc>
        <w:tc>
          <w:tcPr>
            <w:tcW w:w="1029" w:type="pct"/>
            <w:shd w:val="clear" w:color="auto" w:fill="auto"/>
            <w:vAlign w:val="bottom"/>
          </w:tcPr>
          <w:p w14:paraId="392C04A4" w14:textId="77777777" w:rsidR="00980E5F" w:rsidRDefault="00980E5F">
            <w:pPr>
              <w:rPr>
                <w:rFonts w:ascii="宋体"/>
              </w:rPr>
            </w:pPr>
          </w:p>
        </w:tc>
        <w:tc>
          <w:tcPr>
            <w:tcW w:w="5" w:type="pct"/>
            <w:shd w:val="clear" w:color="auto" w:fill="auto"/>
            <w:vAlign w:val="bottom"/>
          </w:tcPr>
          <w:p w14:paraId="392C04A5" w14:textId="77777777" w:rsidR="00980E5F" w:rsidRDefault="00980E5F">
            <w:pPr>
              <w:rPr>
                <w:rFonts w:ascii="宋体"/>
              </w:rPr>
            </w:pPr>
          </w:p>
        </w:tc>
        <w:tc>
          <w:tcPr>
            <w:tcW w:w="5" w:type="pct"/>
            <w:shd w:val="clear" w:color="auto" w:fill="auto"/>
            <w:vAlign w:val="bottom"/>
          </w:tcPr>
          <w:p w14:paraId="392C04A6" w14:textId="77777777" w:rsidR="00980E5F" w:rsidRDefault="00980E5F">
            <w:pPr>
              <w:rPr>
                <w:rFonts w:ascii="宋体"/>
              </w:rPr>
            </w:pPr>
          </w:p>
        </w:tc>
        <w:tc>
          <w:tcPr>
            <w:tcW w:w="52" w:type="pct"/>
            <w:shd w:val="clear" w:color="auto" w:fill="auto"/>
            <w:vAlign w:val="bottom"/>
          </w:tcPr>
          <w:p w14:paraId="392C04A7" w14:textId="77777777" w:rsidR="00980E5F" w:rsidRDefault="00980E5F">
            <w:pPr>
              <w:rPr>
                <w:rFonts w:ascii="宋体"/>
              </w:rPr>
            </w:pPr>
          </w:p>
        </w:tc>
        <w:tc>
          <w:tcPr>
            <w:tcW w:w="5" w:type="pct"/>
            <w:shd w:val="clear" w:color="auto" w:fill="auto"/>
            <w:vAlign w:val="bottom"/>
          </w:tcPr>
          <w:p w14:paraId="392C04A8" w14:textId="77777777" w:rsidR="00980E5F" w:rsidRDefault="00980E5F">
            <w:pPr>
              <w:rPr>
                <w:rFonts w:ascii="宋体"/>
              </w:rPr>
            </w:pPr>
          </w:p>
        </w:tc>
        <w:tc>
          <w:tcPr>
            <w:tcW w:w="50" w:type="pct"/>
            <w:shd w:val="clear" w:color="auto" w:fill="auto"/>
            <w:vAlign w:val="bottom"/>
          </w:tcPr>
          <w:p w14:paraId="392C04A9" w14:textId="77777777" w:rsidR="00980E5F" w:rsidRDefault="00980E5F">
            <w:pPr>
              <w:rPr>
                <w:rFonts w:ascii="宋体"/>
              </w:rPr>
            </w:pPr>
          </w:p>
        </w:tc>
        <w:tc>
          <w:tcPr>
            <w:tcW w:w="778" w:type="pct"/>
            <w:shd w:val="clear" w:color="auto" w:fill="auto"/>
            <w:vAlign w:val="bottom"/>
          </w:tcPr>
          <w:p w14:paraId="392C04AA" w14:textId="77777777" w:rsidR="00980E5F" w:rsidRDefault="00980E5F">
            <w:pPr>
              <w:rPr>
                <w:rFonts w:ascii="宋体"/>
              </w:rPr>
            </w:pPr>
          </w:p>
        </w:tc>
        <w:tc>
          <w:tcPr>
            <w:tcW w:w="5" w:type="pct"/>
            <w:shd w:val="clear" w:color="auto" w:fill="auto"/>
            <w:vAlign w:val="bottom"/>
          </w:tcPr>
          <w:p w14:paraId="392C04AB" w14:textId="77777777" w:rsidR="00980E5F" w:rsidRDefault="00980E5F">
            <w:pPr>
              <w:rPr>
                <w:rFonts w:ascii="宋体"/>
              </w:rPr>
            </w:pPr>
          </w:p>
        </w:tc>
        <w:tc>
          <w:tcPr>
            <w:tcW w:w="0" w:type="auto"/>
            <w:shd w:val="clear" w:color="auto" w:fill="auto"/>
            <w:vAlign w:val="bottom"/>
          </w:tcPr>
          <w:p w14:paraId="392C04AC" w14:textId="77777777" w:rsidR="00980E5F" w:rsidRDefault="00980E5F">
            <w:pPr>
              <w:rPr>
                <w:rFonts w:ascii="宋体"/>
                <w:vanish/>
              </w:rPr>
            </w:pPr>
          </w:p>
        </w:tc>
        <w:tc>
          <w:tcPr>
            <w:tcW w:w="0" w:type="auto"/>
            <w:shd w:val="clear" w:color="auto" w:fill="auto"/>
            <w:vAlign w:val="bottom"/>
          </w:tcPr>
          <w:p w14:paraId="392C04AD" w14:textId="77777777" w:rsidR="00980E5F" w:rsidRDefault="00980E5F">
            <w:pPr>
              <w:rPr>
                <w:rFonts w:ascii="宋体"/>
                <w:vanish/>
              </w:rPr>
            </w:pPr>
          </w:p>
        </w:tc>
        <w:tc>
          <w:tcPr>
            <w:tcW w:w="0" w:type="auto"/>
            <w:gridSpan w:val="3"/>
            <w:shd w:val="clear" w:color="auto" w:fill="auto"/>
            <w:vAlign w:val="bottom"/>
          </w:tcPr>
          <w:p w14:paraId="392C04AE" w14:textId="77777777" w:rsidR="00980E5F" w:rsidRDefault="00980E5F">
            <w:pPr>
              <w:rPr>
                <w:rFonts w:ascii="宋体"/>
                <w:vanish/>
              </w:rPr>
            </w:pPr>
          </w:p>
        </w:tc>
        <w:tc>
          <w:tcPr>
            <w:tcW w:w="0" w:type="auto"/>
            <w:gridSpan w:val="3"/>
            <w:shd w:val="clear" w:color="auto" w:fill="auto"/>
            <w:vAlign w:val="bottom"/>
          </w:tcPr>
          <w:p w14:paraId="392C04AF" w14:textId="77777777" w:rsidR="00980E5F" w:rsidRDefault="00980E5F">
            <w:pPr>
              <w:rPr>
                <w:rFonts w:ascii="宋体"/>
                <w:vanish/>
              </w:rPr>
            </w:pPr>
          </w:p>
        </w:tc>
        <w:tc>
          <w:tcPr>
            <w:tcW w:w="0" w:type="auto"/>
            <w:gridSpan w:val="3"/>
            <w:shd w:val="clear" w:color="auto" w:fill="auto"/>
            <w:vAlign w:val="bottom"/>
          </w:tcPr>
          <w:p w14:paraId="392C04B0" w14:textId="77777777" w:rsidR="00980E5F" w:rsidRDefault="00980E5F">
            <w:pPr>
              <w:rPr>
                <w:rFonts w:ascii="宋体"/>
                <w:vanish/>
              </w:rPr>
            </w:pPr>
          </w:p>
        </w:tc>
        <w:tc>
          <w:tcPr>
            <w:tcW w:w="0" w:type="auto"/>
            <w:gridSpan w:val="3"/>
            <w:shd w:val="clear" w:color="auto" w:fill="auto"/>
            <w:vAlign w:val="bottom"/>
          </w:tcPr>
          <w:p w14:paraId="392C04B1" w14:textId="77777777" w:rsidR="00980E5F" w:rsidRDefault="00980E5F">
            <w:pPr>
              <w:rPr>
                <w:rFonts w:ascii="宋体"/>
                <w:vanish/>
              </w:rPr>
            </w:pPr>
          </w:p>
        </w:tc>
        <w:tc>
          <w:tcPr>
            <w:tcW w:w="5" w:type="pct"/>
            <w:shd w:val="clear" w:color="auto" w:fill="auto"/>
            <w:vAlign w:val="bottom"/>
          </w:tcPr>
          <w:p w14:paraId="392C04B2" w14:textId="77777777" w:rsidR="00980E5F" w:rsidRDefault="00980E5F">
            <w:pPr>
              <w:rPr>
                <w:rFonts w:ascii="宋体"/>
              </w:rPr>
            </w:pPr>
          </w:p>
        </w:tc>
        <w:tc>
          <w:tcPr>
            <w:tcW w:w="52" w:type="pct"/>
            <w:shd w:val="clear" w:color="auto" w:fill="auto"/>
            <w:vAlign w:val="bottom"/>
          </w:tcPr>
          <w:p w14:paraId="392C04B3" w14:textId="77777777" w:rsidR="00980E5F" w:rsidRDefault="00980E5F">
            <w:pPr>
              <w:rPr>
                <w:rFonts w:ascii="宋体"/>
              </w:rPr>
            </w:pPr>
          </w:p>
        </w:tc>
        <w:tc>
          <w:tcPr>
            <w:tcW w:w="5" w:type="pct"/>
            <w:shd w:val="clear" w:color="auto" w:fill="auto"/>
            <w:vAlign w:val="bottom"/>
          </w:tcPr>
          <w:p w14:paraId="392C04B4" w14:textId="77777777" w:rsidR="00980E5F" w:rsidRDefault="00980E5F">
            <w:pPr>
              <w:rPr>
                <w:rFonts w:ascii="宋体"/>
              </w:rPr>
            </w:pPr>
          </w:p>
        </w:tc>
        <w:tc>
          <w:tcPr>
            <w:tcW w:w="50" w:type="pct"/>
            <w:shd w:val="clear" w:color="auto" w:fill="auto"/>
            <w:vAlign w:val="bottom"/>
          </w:tcPr>
          <w:p w14:paraId="392C04B5" w14:textId="77777777" w:rsidR="00980E5F" w:rsidRDefault="00980E5F">
            <w:pPr>
              <w:rPr>
                <w:rFonts w:ascii="宋体"/>
              </w:rPr>
            </w:pPr>
          </w:p>
        </w:tc>
        <w:tc>
          <w:tcPr>
            <w:tcW w:w="747" w:type="pct"/>
            <w:shd w:val="clear" w:color="auto" w:fill="auto"/>
            <w:vAlign w:val="bottom"/>
          </w:tcPr>
          <w:p w14:paraId="392C04B6" w14:textId="77777777" w:rsidR="00980E5F" w:rsidRDefault="00980E5F">
            <w:pPr>
              <w:rPr>
                <w:rFonts w:ascii="宋体"/>
              </w:rPr>
            </w:pPr>
          </w:p>
        </w:tc>
        <w:tc>
          <w:tcPr>
            <w:tcW w:w="5" w:type="pct"/>
            <w:shd w:val="clear" w:color="auto" w:fill="auto"/>
            <w:vAlign w:val="bottom"/>
          </w:tcPr>
          <w:p w14:paraId="392C04B7" w14:textId="77777777" w:rsidR="00980E5F" w:rsidRDefault="00980E5F">
            <w:pPr>
              <w:rPr>
                <w:rFonts w:ascii="宋体"/>
              </w:rPr>
            </w:pPr>
          </w:p>
        </w:tc>
      </w:tr>
      <w:tr w:rsidR="00980E5F" w14:paraId="392C04CC" w14:textId="77777777">
        <w:tc>
          <w:tcPr>
            <w:tcW w:w="0" w:type="auto"/>
            <w:gridSpan w:val="14"/>
            <w:shd w:val="clear" w:color="auto" w:fill="auto"/>
            <w:tcMar>
              <w:top w:w="40" w:type="dxa"/>
              <w:left w:w="20" w:type="dxa"/>
              <w:bottom w:w="40" w:type="dxa"/>
              <w:right w:w="20" w:type="dxa"/>
            </w:tcMar>
            <w:vAlign w:val="bottom"/>
          </w:tcPr>
          <w:p w14:paraId="392C04B9" w14:textId="77777777" w:rsidR="00980E5F" w:rsidRDefault="00483613">
            <w:pPr>
              <w:textAlignment w:val="bottom"/>
            </w:pPr>
            <w:r>
              <w:rPr>
                <w:rFonts w:ascii="Arial" w:eastAsia="宋体" w:hAnsi="Arial" w:cs="Arial"/>
                <w:b/>
                <w:bCs/>
                <w:color w:val="000000"/>
                <w:sz w:val="16"/>
                <w:szCs w:val="16"/>
              </w:rPr>
              <w:t>TABLE 16: RESTRUCTURING AND REPOSITIONING CHARGES</w:t>
            </w:r>
          </w:p>
        </w:tc>
        <w:tc>
          <w:tcPr>
            <w:tcW w:w="0" w:type="auto"/>
            <w:shd w:val="clear" w:color="auto" w:fill="auto"/>
            <w:vAlign w:val="bottom"/>
          </w:tcPr>
          <w:p w14:paraId="392C04BA" w14:textId="77777777" w:rsidR="00980E5F" w:rsidRDefault="00980E5F">
            <w:pPr>
              <w:rPr>
                <w:rFonts w:ascii="宋体"/>
              </w:rPr>
            </w:pPr>
          </w:p>
        </w:tc>
        <w:tc>
          <w:tcPr>
            <w:tcW w:w="0" w:type="auto"/>
            <w:shd w:val="clear" w:color="auto" w:fill="auto"/>
            <w:vAlign w:val="bottom"/>
          </w:tcPr>
          <w:p w14:paraId="392C04BB" w14:textId="77777777" w:rsidR="00980E5F" w:rsidRDefault="00980E5F">
            <w:pPr>
              <w:rPr>
                <w:rFonts w:ascii="宋体"/>
              </w:rPr>
            </w:pPr>
          </w:p>
        </w:tc>
        <w:tc>
          <w:tcPr>
            <w:tcW w:w="0" w:type="auto"/>
            <w:shd w:val="clear" w:color="auto" w:fill="auto"/>
            <w:vAlign w:val="bottom"/>
          </w:tcPr>
          <w:p w14:paraId="392C04BC" w14:textId="77777777" w:rsidR="00980E5F" w:rsidRDefault="00980E5F">
            <w:pPr>
              <w:rPr>
                <w:rFonts w:ascii="宋体"/>
              </w:rPr>
            </w:pPr>
          </w:p>
        </w:tc>
        <w:tc>
          <w:tcPr>
            <w:tcW w:w="0" w:type="auto"/>
            <w:shd w:val="clear" w:color="auto" w:fill="auto"/>
            <w:vAlign w:val="bottom"/>
          </w:tcPr>
          <w:p w14:paraId="392C04BD" w14:textId="77777777" w:rsidR="00980E5F" w:rsidRDefault="00980E5F">
            <w:pPr>
              <w:rPr>
                <w:rFonts w:ascii="宋体"/>
              </w:rPr>
            </w:pPr>
          </w:p>
        </w:tc>
        <w:tc>
          <w:tcPr>
            <w:tcW w:w="0" w:type="auto"/>
            <w:shd w:val="clear" w:color="auto" w:fill="auto"/>
            <w:vAlign w:val="bottom"/>
          </w:tcPr>
          <w:p w14:paraId="392C04BE" w14:textId="77777777" w:rsidR="00980E5F" w:rsidRDefault="00980E5F">
            <w:pPr>
              <w:rPr>
                <w:rFonts w:ascii="宋体"/>
              </w:rPr>
            </w:pPr>
          </w:p>
        </w:tc>
        <w:tc>
          <w:tcPr>
            <w:tcW w:w="0" w:type="auto"/>
            <w:shd w:val="clear" w:color="auto" w:fill="auto"/>
            <w:vAlign w:val="bottom"/>
          </w:tcPr>
          <w:p w14:paraId="392C04BF" w14:textId="77777777" w:rsidR="00980E5F" w:rsidRDefault="00980E5F">
            <w:pPr>
              <w:rPr>
                <w:rFonts w:ascii="宋体"/>
              </w:rPr>
            </w:pPr>
          </w:p>
        </w:tc>
        <w:tc>
          <w:tcPr>
            <w:tcW w:w="0" w:type="auto"/>
            <w:shd w:val="clear" w:color="auto" w:fill="auto"/>
            <w:vAlign w:val="bottom"/>
          </w:tcPr>
          <w:p w14:paraId="392C04C0" w14:textId="77777777" w:rsidR="00980E5F" w:rsidRDefault="00980E5F">
            <w:pPr>
              <w:rPr>
                <w:rFonts w:ascii="宋体"/>
              </w:rPr>
            </w:pPr>
          </w:p>
        </w:tc>
        <w:tc>
          <w:tcPr>
            <w:tcW w:w="0" w:type="auto"/>
            <w:shd w:val="clear" w:color="auto" w:fill="auto"/>
            <w:vAlign w:val="bottom"/>
          </w:tcPr>
          <w:p w14:paraId="392C04C1" w14:textId="77777777" w:rsidR="00980E5F" w:rsidRDefault="00980E5F">
            <w:pPr>
              <w:rPr>
                <w:rFonts w:ascii="宋体"/>
              </w:rPr>
            </w:pPr>
          </w:p>
        </w:tc>
        <w:tc>
          <w:tcPr>
            <w:tcW w:w="0" w:type="auto"/>
            <w:shd w:val="clear" w:color="auto" w:fill="auto"/>
            <w:vAlign w:val="bottom"/>
          </w:tcPr>
          <w:p w14:paraId="392C04C2" w14:textId="77777777" w:rsidR="00980E5F" w:rsidRDefault="00980E5F">
            <w:pPr>
              <w:rPr>
                <w:rFonts w:ascii="宋体"/>
              </w:rPr>
            </w:pPr>
          </w:p>
        </w:tc>
        <w:tc>
          <w:tcPr>
            <w:tcW w:w="0" w:type="auto"/>
            <w:shd w:val="clear" w:color="auto" w:fill="auto"/>
            <w:vAlign w:val="bottom"/>
          </w:tcPr>
          <w:p w14:paraId="392C04C3" w14:textId="77777777" w:rsidR="00980E5F" w:rsidRDefault="00980E5F">
            <w:pPr>
              <w:rPr>
                <w:rFonts w:ascii="宋体"/>
              </w:rPr>
            </w:pPr>
          </w:p>
        </w:tc>
        <w:tc>
          <w:tcPr>
            <w:tcW w:w="0" w:type="auto"/>
            <w:shd w:val="clear" w:color="auto" w:fill="auto"/>
            <w:vAlign w:val="bottom"/>
          </w:tcPr>
          <w:p w14:paraId="392C04C4" w14:textId="77777777" w:rsidR="00980E5F" w:rsidRDefault="00980E5F">
            <w:pPr>
              <w:rPr>
                <w:rFonts w:ascii="宋体"/>
              </w:rPr>
            </w:pPr>
          </w:p>
        </w:tc>
        <w:tc>
          <w:tcPr>
            <w:tcW w:w="0" w:type="auto"/>
            <w:shd w:val="clear" w:color="auto" w:fill="auto"/>
            <w:vAlign w:val="bottom"/>
          </w:tcPr>
          <w:p w14:paraId="392C04C5" w14:textId="77777777" w:rsidR="00980E5F" w:rsidRDefault="00980E5F">
            <w:pPr>
              <w:rPr>
                <w:rFonts w:ascii="宋体"/>
              </w:rPr>
            </w:pPr>
          </w:p>
        </w:tc>
        <w:tc>
          <w:tcPr>
            <w:tcW w:w="0" w:type="auto"/>
            <w:shd w:val="clear" w:color="auto" w:fill="auto"/>
            <w:vAlign w:val="bottom"/>
          </w:tcPr>
          <w:p w14:paraId="392C04C6" w14:textId="77777777" w:rsidR="00980E5F" w:rsidRDefault="00980E5F">
            <w:pPr>
              <w:rPr>
                <w:rFonts w:ascii="宋体"/>
              </w:rPr>
            </w:pPr>
          </w:p>
        </w:tc>
        <w:tc>
          <w:tcPr>
            <w:tcW w:w="0" w:type="auto"/>
            <w:shd w:val="clear" w:color="auto" w:fill="auto"/>
            <w:vAlign w:val="bottom"/>
          </w:tcPr>
          <w:p w14:paraId="392C04C7" w14:textId="77777777" w:rsidR="00980E5F" w:rsidRDefault="00980E5F">
            <w:pPr>
              <w:rPr>
                <w:rFonts w:ascii="宋体"/>
              </w:rPr>
            </w:pPr>
          </w:p>
        </w:tc>
        <w:tc>
          <w:tcPr>
            <w:tcW w:w="0" w:type="auto"/>
            <w:shd w:val="clear" w:color="auto" w:fill="auto"/>
            <w:vAlign w:val="bottom"/>
          </w:tcPr>
          <w:p w14:paraId="392C04C8" w14:textId="77777777" w:rsidR="00980E5F" w:rsidRDefault="00980E5F">
            <w:pPr>
              <w:rPr>
                <w:rFonts w:ascii="宋体"/>
              </w:rPr>
            </w:pPr>
          </w:p>
        </w:tc>
        <w:tc>
          <w:tcPr>
            <w:tcW w:w="0" w:type="auto"/>
            <w:shd w:val="clear" w:color="auto" w:fill="auto"/>
            <w:vAlign w:val="bottom"/>
          </w:tcPr>
          <w:p w14:paraId="392C04C9" w14:textId="77777777" w:rsidR="00980E5F" w:rsidRDefault="00980E5F">
            <w:pPr>
              <w:rPr>
                <w:rFonts w:ascii="宋体"/>
              </w:rPr>
            </w:pPr>
          </w:p>
        </w:tc>
        <w:tc>
          <w:tcPr>
            <w:tcW w:w="0" w:type="auto"/>
            <w:shd w:val="clear" w:color="auto" w:fill="auto"/>
            <w:vAlign w:val="bottom"/>
          </w:tcPr>
          <w:p w14:paraId="392C04CA" w14:textId="77777777" w:rsidR="00980E5F" w:rsidRDefault="00980E5F">
            <w:pPr>
              <w:rPr>
                <w:rFonts w:ascii="宋体"/>
              </w:rPr>
            </w:pPr>
          </w:p>
        </w:tc>
        <w:tc>
          <w:tcPr>
            <w:tcW w:w="0" w:type="auto"/>
            <w:shd w:val="clear" w:color="auto" w:fill="auto"/>
            <w:vAlign w:val="bottom"/>
          </w:tcPr>
          <w:p w14:paraId="392C04CB" w14:textId="77777777" w:rsidR="00980E5F" w:rsidRDefault="00980E5F">
            <w:pPr>
              <w:rPr>
                <w:rFonts w:ascii="宋体"/>
              </w:rPr>
            </w:pPr>
          </w:p>
        </w:tc>
      </w:tr>
      <w:tr w:rsidR="00980E5F" w14:paraId="392C04D9" w14:textId="77777777">
        <w:tc>
          <w:tcPr>
            <w:tcW w:w="0" w:type="auto"/>
            <w:gridSpan w:val="3"/>
            <w:shd w:val="clear" w:color="auto" w:fill="auto"/>
            <w:tcMar>
              <w:top w:w="40" w:type="dxa"/>
              <w:left w:w="20" w:type="dxa"/>
              <w:bottom w:w="40" w:type="dxa"/>
              <w:right w:w="20" w:type="dxa"/>
            </w:tcMar>
            <w:vAlign w:val="bottom"/>
          </w:tcPr>
          <w:p w14:paraId="392C04CD"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04CE" w14:textId="77777777" w:rsidR="00980E5F" w:rsidRDefault="00483613">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392C04C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04D0" w14:textId="77777777" w:rsidR="00980E5F" w:rsidRDefault="00483613">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shd w:val="clear" w:color="auto" w:fill="auto"/>
            <w:vAlign w:val="bottom"/>
          </w:tcPr>
          <w:p w14:paraId="392C04D1" w14:textId="77777777" w:rsidR="00980E5F" w:rsidRDefault="00980E5F">
            <w:pPr>
              <w:rPr>
                <w:rFonts w:ascii="宋体"/>
                <w:vanish/>
              </w:rPr>
            </w:pPr>
          </w:p>
        </w:tc>
        <w:tc>
          <w:tcPr>
            <w:tcW w:w="0" w:type="auto"/>
            <w:shd w:val="clear" w:color="auto" w:fill="auto"/>
            <w:vAlign w:val="bottom"/>
          </w:tcPr>
          <w:p w14:paraId="392C04D2" w14:textId="77777777" w:rsidR="00980E5F" w:rsidRDefault="00980E5F">
            <w:pPr>
              <w:rPr>
                <w:rFonts w:ascii="宋体"/>
                <w:vanish/>
              </w:rPr>
            </w:pPr>
          </w:p>
        </w:tc>
        <w:tc>
          <w:tcPr>
            <w:tcW w:w="0" w:type="auto"/>
            <w:gridSpan w:val="3"/>
            <w:shd w:val="clear" w:color="auto" w:fill="auto"/>
            <w:vAlign w:val="bottom"/>
          </w:tcPr>
          <w:p w14:paraId="392C04D3" w14:textId="77777777" w:rsidR="00980E5F" w:rsidRDefault="00980E5F">
            <w:pPr>
              <w:rPr>
                <w:rFonts w:ascii="宋体"/>
                <w:vanish/>
              </w:rPr>
            </w:pPr>
          </w:p>
        </w:tc>
        <w:tc>
          <w:tcPr>
            <w:tcW w:w="0" w:type="auto"/>
            <w:gridSpan w:val="3"/>
            <w:shd w:val="clear" w:color="auto" w:fill="auto"/>
            <w:vAlign w:val="bottom"/>
          </w:tcPr>
          <w:p w14:paraId="392C04D4" w14:textId="77777777" w:rsidR="00980E5F" w:rsidRDefault="00980E5F">
            <w:pPr>
              <w:rPr>
                <w:rFonts w:ascii="宋体"/>
                <w:vanish/>
              </w:rPr>
            </w:pPr>
          </w:p>
        </w:tc>
        <w:tc>
          <w:tcPr>
            <w:tcW w:w="0" w:type="auto"/>
            <w:gridSpan w:val="3"/>
            <w:shd w:val="clear" w:color="auto" w:fill="auto"/>
            <w:vAlign w:val="bottom"/>
          </w:tcPr>
          <w:p w14:paraId="392C04D5" w14:textId="77777777" w:rsidR="00980E5F" w:rsidRDefault="00980E5F">
            <w:pPr>
              <w:rPr>
                <w:rFonts w:ascii="宋体"/>
                <w:vanish/>
              </w:rPr>
            </w:pPr>
          </w:p>
        </w:tc>
        <w:tc>
          <w:tcPr>
            <w:tcW w:w="0" w:type="auto"/>
            <w:gridSpan w:val="3"/>
            <w:shd w:val="clear" w:color="auto" w:fill="auto"/>
            <w:vAlign w:val="bottom"/>
          </w:tcPr>
          <w:p w14:paraId="392C04D6"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4D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04D8"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04EC" w14:textId="77777777">
        <w:tc>
          <w:tcPr>
            <w:tcW w:w="0" w:type="auto"/>
            <w:gridSpan w:val="3"/>
            <w:shd w:val="clear" w:color="auto" w:fill="CCEEFF"/>
            <w:tcMar>
              <w:top w:w="40" w:type="dxa"/>
              <w:left w:w="20" w:type="dxa"/>
              <w:bottom w:w="40" w:type="dxa"/>
              <w:right w:w="20" w:type="dxa"/>
            </w:tcMar>
            <w:vAlign w:val="bottom"/>
          </w:tcPr>
          <w:p w14:paraId="392C04DA" w14:textId="77777777" w:rsidR="00980E5F" w:rsidRDefault="00483613">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4D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4DC" w14:textId="77777777" w:rsidR="00980E5F" w:rsidRDefault="00483613">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4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4D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4D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4E0"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4E1" w14:textId="77777777" w:rsidR="00980E5F" w:rsidRDefault="00980E5F">
            <w:pPr>
              <w:jc w:val="right"/>
              <w:rPr>
                <w:rFonts w:ascii="宋体"/>
              </w:rPr>
            </w:pPr>
          </w:p>
        </w:tc>
        <w:tc>
          <w:tcPr>
            <w:tcW w:w="0" w:type="auto"/>
            <w:shd w:val="clear" w:color="auto" w:fill="auto"/>
            <w:vAlign w:val="bottom"/>
          </w:tcPr>
          <w:p w14:paraId="392C04E2" w14:textId="77777777" w:rsidR="00980E5F" w:rsidRDefault="00980E5F">
            <w:pPr>
              <w:rPr>
                <w:rFonts w:ascii="宋体"/>
                <w:vanish/>
              </w:rPr>
            </w:pPr>
          </w:p>
        </w:tc>
        <w:tc>
          <w:tcPr>
            <w:tcW w:w="0" w:type="auto"/>
            <w:shd w:val="clear" w:color="auto" w:fill="auto"/>
            <w:vAlign w:val="bottom"/>
          </w:tcPr>
          <w:p w14:paraId="392C04E3" w14:textId="77777777" w:rsidR="00980E5F" w:rsidRDefault="00980E5F">
            <w:pPr>
              <w:rPr>
                <w:rFonts w:ascii="宋体"/>
                <w:vanish/>
              </w:rPr>
            </w:pPr>
          </w:p>
        </w:tc>
        <w:tc>
          <w:tcPr>
            <w:tcW w:w="0" w:type="auto"/>
            <w:gridSpan w:val="3"/>
            <w:shd w:val="clear" w:color="auto" w:fill="auto"/>
            <w:vAlign w:val="bottom"/>
          </w:tcPr>
          <w:p w14:paraId="392C04E4" w14:textId="77777777" w:rsidR="00980E5F" w:rsidRDefault="00980E5F">
            <w:pPr>
              <w:rPr>
                <w:rFonts w:ascii="宋体"/>
                <w:vanish/>
              </w:rPr>
            </w:pPr>
          </w:p>
        </w:tc>
        <w:tc>
          <w:tcPr>
            <w:tcW w:w="0" w:type="auto"/>
            <w:gridSpan w:val="3"/>
            <w:shd w:val="clear" w:color="auto" w:fill="auto"/>
            <w:vAlign w:val="bottom"/>
          </w:tcPr>
          <w:p w14:paraId="392C04E5" w14:textId="77777777" w:rsidR="00980E5F" w:rsidRDefault="00980E5F">
            <w:pPr>
              <w:rPr>
                <w:rFonts w:ascii="宋体"/>
                <w:vanish/>
              </w:rPr>
            </w:pPr>
          </w:p>
        </w:tc>
        <w:tc>
          <w:tcPr>
            <w:tcW w:w="0" w:type="auto"/>
            <w:gridSpan w:val="3"/>
            <w:shd w:val="clear" w:color="auto" w:fill="auto"/>
            <w:vAlign w:val="bottom"/>
          </w:tcPr>
          <w:p w14:paraId="392C04E6" w14:textId="77777777" w:rsidR="00980E5F" w:rsidRDefault="00980E5F">
            <w:pPr>
              <w:rPr>
                <w:rFonts w:ascii="宋体"/>
                <w:vanish/>
              </w:rPr>
            </w:pPr>
          </w:p>
        </w:tc>
        <w:tc>
          <w:tcPr>
            <w:tcW w:w="0" w:type="auto"/>
            <w:gridSpan w:val="3"/>
            <w:shd w:val="clear" w:color="auto" w:fill="auto"/>
            <w:vAlign w:val="bottom"/>
          </w:tcPr>
          <w:p w14:paraId="392C04E7"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4E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4E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4EA" w14:textId="77777777" w:rsidR="00980E5F" w:rsidRDefault="00483613">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4EB" w14:textId="77777777" w:rsidR="00980E5F" w:rsidRDefault="00980E5F">
            <w:pPr>
              <w:jc w:val="right"/>
              <w:rPr>
                <w:rFonts w:ascii="宋体"/>
              </w:rPr>
            </w:pPr>
          </w:p>
        </w:tc>
      </w:tr>
      <w:tr w:rsidR="00980E5F" w14:paraId="392C04FC" w14:textId="77777777">
        <w:tc>
          <w:tcPr>
            <w:tcW w:w="0" w:type="auto"/>
            <w:gridSpan w:val="3"/>
            <w:shd w:val="clear" w:color="auto" w:fill="FFFFFF"/>
            <w:tcMar>
              <w:top w:w="40" w:type="dxa"/>
              <w:left w:w="20" w:type="dxa"/>
              <w:bottom w:w="40" w:type="dxa"/>
              <w:right w:w="20" w:type="dxa"/>
            </w:tcMar>
            <w:vAlign w:val="bottom"/>
          </w:tcPr>
          <w:p w14:paraId="392C04ED" w14:textId="77777777" w:rsidR="00980E5F" w:rsidRDefault="00483613">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392C04EE"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04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4F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F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4F2" w14:textId="77777777" w:rsidR="00980E5F" w:rsidRDefault="00980E5F">
            <w:pPr>
              <w:jc w:val="right"/>
              <w:rPr>
                <w:rFonts w:ascii="宋体"/>
              </w:rPr>
            </w:pPr>
          </w:p>
        </w:tc>
        <w:tc>
          <w:tcPr>
            <w:tcW w:w="0" w:type="auto"/>
            <w:shd w:val="clear" w:color="auto" w:fill="auto"/>
            <w:vAlign w:val="bottom"/>
          </w:tcPr>
          <w:p w14:paraId="392C04F3" w14:textId="77777777" w:rsidR="00980E5F" w:rsidRDefault="00980E5F">
            <w:pPr>
              <w:rPr>
                <w:rFonts w:ascii="宋体"/>
                <w:vanish/>
              </w:rPr>
            </w:pPr>
          </w:p>
        </w:tc>
        <w:tc>
          <w:tcPr>
            <w:tcW w:w="0" w:type="auto"/>
            <w:shd w:val="clear" w:color="auto" w:fill="auto"/>
            <w:vAlign w:val="bottom"/>
          </w:tcPr>
          <w:p w14:paraId="392C04F4" w14:textId="77777777" w:rsidR="00980E5F" w:rsidRDefault="00980E5F">
            <w:pPr>
              <w:rPr>
                <w:rFonts w:ascii="宋体"/>
                <w:vanish/>
              </w:rPr>
            </w:pPr>
          </w:p>
        </w:tc>
        <w:tc>
          <w:tcPr>
            <w:tcW w:w="0" w:type="auto"/>
            <w:gridSpan w:val="3"/>
            <w:shd w:val="clear" w:color="auto" w:fill="auto"/>
            <w:vAlign w:val="bottom"/>
          </w:tcPr>
          <w:p w14:paraId="392C04F5" w14:textId="77777777" w:rsidR="00980E5F" w:rsidRDefault="00980E5F">
            <w:pPr>
              <w:rPr>
                <w:rFonts w:ascii="宋体"/>
                <w:vanish/>
              </w:rPr>
            </w:pPr>
          </w:p>
        </w:tc>
        <w:tc>
          <w:tcPr>
            <w:tcW w:w="0" w:type="auto"/>
            <w:gridSpan w:val="3"/>
            <w:shd w:val="clear" w:color="auto" w:fill="auto"/>
            <w:vAlign w:val="bottom"/>
          </w:tcPr>
          <w:p w14:paraId="392C04F6" w14:textId="77777777" w:rsidR="00980E5F" w:rsidRDefault="00980E5F">
            <w:pPr>
              <w:rPr>
                <w:rFonts w:ascii="宋体"/>
                <w:vanish/>
              </w:rPr>
            </w:pPr>
          </w:p>
        </w:tc>
        <w:tc>
          <w:tcPr>
            <w:tcW w:w="0" w:type="auto"/>
            <w:gridSpan w:val="3"/>
            <w:shd w:val="clear" w:color="auto" w:fill="auto"/>
            <w:vAlign w:val="bottom"/>
          </w:tcPr>
          <w:p w14:paraId="392C04F7" w14:textId="77777777" w:rsidR="00980E5F" w:rsidRDefault="00980E5F">
            <w:pPr>
              <w:rPr>
                <w:rFonts w:ascii="宋体"/>
                <w:vanish/>
              </w:rPr>
            </w:pPr>
          </w:p>
        </w:tc>
        <w:tc>
          <w:tcPr>
            <w:tcW w:w="0" w:type="auto"/>
            <w:gridSpan w:val="3"/>
            <w:shd w:val="clear" w:color="auto" w:fill="auto"/>
            <w:vAlign w:val="bottom"/>
          </w:tcPr>
          <w:p w14:paraId="392C04F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4F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4FA"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04FB" w14:textId="77777777" w:rsidR="00980E5F" w:rsidRDefault="00980E5F">
            <w:pPr>
              <w:jc w:val="right"/>
              <w:rPr>
                <w:rFonts w:ascii="宋体"/>
              </w:rPr>
            </w:pPr>
          </w:p>
        </w:tc>
      </w:tr>
      <w:tr w:rsidR="00980E5F" w14:paraId="392C050C" w14:textId="77777777">
        <w:tc>
          <w:tcPr>
            <w:tcW w:w="0" w:type="auto"/>
            <w:gridSpan w:val="3"/>
            <w:shd w:val="clear" w:color="auto" w:fill="CCEEFF"/>
            <w:tcMar>
              <w:top w:w="40" w:type="dxa"/>
              <w:left w:w="20" w:type="dxa"/>
              <w:bottom w:w="40" w:type="dxa"/>
              <w:right w:w="20" w:type="dxa"/>
            </w:tcMar>
            <w:vAlign w:val="bottom"/>
          </w:tcPr>
          <w:p w14:paraId="392C04FD" w14:textId="77777777" w:rsidR="00980E5F" w:rsidRDefault="00483613">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92C04F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4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5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501"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0502" w14:textId="77777777" w:rsidR="00980E5F" w:rsidRDefault="00980E5F">
            <w:pPr>
              <w:jc w:val="right"/>
              <w:rPr>
                <w:rFonts w:ascii="宋体"/>
              </w:rPr>
            </w:pPr>
          </w:p>
        </w:tc>
        <w:tc>
          <w:tcPr>
            <w:tcW w:w="0" w:type="auto"/>
            <w:shd w:val="clear" w:color="auto" w:fill="auto"/>
            <w:vAlign w:val="bottom"/>
          </w:tcPr>
          <w:p w14:paraId="392C0503" w14:textId="77777777" w:rsidR="00980E5F" w:rsidRDefault="00980E5F">
            <w:pPr>
              <w:rPr>
                <w:rFonts w:ascii="宋体"/>
                <w:vanish/>
              </w:rPr>
            </w:pPr>
          </w:p>
        </w:tc>
        <w:tc>
          <w:tcPr>
            <w:tcW w:w="0" w:type="auto"/>
            <w:shd w:val="clear" w:color="auto" w:fill="auto"/>
            <w:vAlign w:val="bottom"/>
          </w:tcPr>
          <w:p w14:paraId="392C0504" w14:textId="77777777" w:rsidR="00980E5F" w:rsidRDefault="00980E5F">
            <w:pPr>
              <w:rPr>
                <w:rFonts w:ascii="宋体"/>
                <w:vanish/>
              </w:rPr>
            </w:pPr>
          </w:p>
        </w:tc>
        <w:tc>
          <w:tcPr>
            <w:tcW w:w="0" w:type="auto"/>
            <w:gridSpan w:val="3"/>
            <w:shd w:val="clear" w:color="auto" w:fill="auto"/>
            <w:vAlign w:val="bottom"/>
          </w:tcPr>
          <w:p w14:paraId="392C0505" w14:textId="77777777" w:rsidR="00980E5F" w:rsidRDefault="00980E5F">
            <w:pPr>
              <w:rPr>
                <w:rFonts w:ascii="宋体"/>
                <w:vanish/>
              </w:rPr>
            </w:pPr>
          </w:p>
        </w:tc>
        <w:tc>
          <w:tcPr>
            <w:tcW w:w="0" w:type="auto"/>
            <w:gridSpan w:val="3"/>
            <w:shd w:val="clear" w:color="auto" w:fill="auto"/>
            <w:vAlign w:val="bottom"/>
          </w:tcPr>
          <w:p w14:paraId="392C0506" w14:textId="77777777" w:rsidR="00980E5F" w:rsidRDefault="00980E5F">
            <w:pPr>
              <w:rPr>
                <w:rFonts w:ascii="宋体"/>
                <w:vanish/>
              </w:rPr>
            </w:pPr>
          </w:p>
        </w:tc>
        <w:tc>
          <w:tcPr>
            <w:tcW w:w="0" w:type="auto"/>
            <w:gridSpan w:val="3"/>
            <w:shd w:val="clear" w:color="auto" w:fill="auto"/>
            <w:vAlign w:val="bottom"/>
          </w:tcPr>
          <w:p w14:paraId="392C0507" w14:textId="77777777" w:rsidR="00980E5F" w:rsidRDefault="00980E5F">
            <w:pPr>
              <w:rPr>
                <w:rFonts w:ascii="宋体"/>
                <w:vanish/>
              </w:rPr>
            </w:pPr>
          </w:p>
        </w:tc>
        <w:tc>
          <w:tcPr>
            <w:tcW w:w="0" w:type="auto"/>
            <w:gridSpan w:val="3"/>
            <w:shd w:val="clear" w:color="auto" w:fill="auto"/>
            <w:vAlign w:val="bottom"/>
          </w:tcPr>
          <w:p w14:paraId="392C050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5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50A"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050B" w14:textId="77777777" w:rsidR="00980E5F" w:rsidRDefault="00980E5F">
            <w:pPr>
              <w:jc w:val="right"/>
              <w:rPr>
                <w:rFonts w:ascii="宋体"/>
              </w:rPr>
            </w:pPr>
          </w:p>
        </w:tc>
      </w:tr>
      <w:tr w:rsidR="00980E5F" w14:paraId="392C051C" w14:textId="77777777">
        <w:tc>
          <w:tcPr>
            <w:tcW w:w="0" w:type="auto"/>
            <w:gridSpan w:val="3"/>
            <w:shd w:val="clear" w:color="auto" w:fill="FFFFFF"/>
            <w:tcMar>
              <w:top w:w="40" w:type="dxa"/>
              <w:left w:w="20" w:type="dxa"/>
              <w:bottom w:w="40" w:type="dxa"/>
              <w:right w:w="20" w:type="dxa"/>
            </w:tcMar>
            <w:vAlign w:val="bottom"/>
          </w:tcPr>
          <w:p w14:paraId="392C050D"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92C050E" w14:textId="77777777" w:rsidR="00980E5F" w:rsidRDefault="00483613">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92C05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5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511"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0512" w14:textId="77777777" w:rsidR="00980E5F" w:rsidRDefault="00980E5F">
            <w:pPr>
              <w:jc w:val="right"/>
              <w:rPr>
                <w:rFonts w:ascii="宋体"/>
              </w:rPr>
            </w:pPr>
          </w:p>
        </w:tc>
        <w:tc>
          <w:tcPr>
            <w:tcW w:w="0" w:type="auto"/>
            <w:shd w:val="clear" w:color="auto" w:fill="auto"/>
            <w:vAlign w:val="bottom"/>
          </w:tcPr>
          <w:p w14:paraId="392C0513" w14:textId="77777777" w:rsidR="00980E5F" w:rsidRDefault="00980E5F">
            <w:pPr>
              <w:rPr>
                <w:rFonts w:ascii="宋体"/>
                <w:vanish/>
              </w:rPr>
            </w:pPr>
          </w:p>
        </w:tc>
        <w:tc>
          <w:tcPr>
            <w:tcW w:w="0" w:type="auto"/>
            <w:shd w:val="clear" w:color="auto" w:fill="auto"/>
            <w:vAlign w:val="bottom"/>
          </w:tcPr>
          <w:p w14:paraId="392C0514" w14:textId="77777777" w:rsidR="00980E5F" w:rsidRDefault="00980E5F">
            <w:pPr>
              <w:rPr>
                <w:rFonts w:ascii="宋体"/>
                <w:vanish/>
              </w:rPr>
            </w:pPr>
          </w:p>
        </w:tc>
        <w:tc>
          <w:tcPr>
            <w:tcW w:w="0" w:type="auto"/>
            <w:gridSpan w:val="3"/>
            <w:shd w:val="clear" w:color="auto" w:fill="auto"/>
            <w:vAlign w:val="bottom"/>
          </w:tcPr>
          <w:p w14:paraId="392C0515" w14:textId="77777777" w:rsidR="00980E5F" w:rsidRDefault="00980E5F">
            <w:pPr>
              <w:rPr>
                <w:rFonts w:ascii="宋体"/>
                <w:vanish/>
              </w:rPr>
            </w:pPr>
          </w:p>
        </w:tc>
        <w:tc>
          <w:tcPr>
            <w:tcW w:w="0" w:type="auto"/>
            <w:gridSpan w:val="3"/>
            <w:shd w:val="clear" w:color="auto" w:fill="auto"/>
            <w:vAlign w:val="bottom"/>
          </w:tcPr>
          <w:p w14:paraId="392C0516" w14:textId="77777777" w:rsidR="00980E5F" w:rsidRDefault="00980E5F">
            <w:pPr>
              <w:rPr>
                <w:rFonts w:ascii="宋体"/>
                <w:vanish/>
              </w:rPr>
            </w:pPr>
          </w:p>
        </w:tc>
        <w:tc>
          <w:tcPr>
            <w:tcW w:w="0" w:type="auto"/>
            <w:gridSpan w:val="3"/>
            <w:shd w:val="clear" w:color="auto" w:fill="auto"/>
            <w:vAlign w:val="bottom"/>
          </w:tcPr>
          <w:p w14:paraId="392C0517" w14:textId="77777777" w:rsidR="00980E5F" w:rsidRDefault="00980E5F">
            <w:pPr>
              <w:rPr>
                <w:rFonts w:ascii="宋体"/>
                <w:vanish/>
              </w:rPr>
            </w:pPr>
          </w:p>
        </w:tc>
        <w:tc>
          <w:tcPr>
            <w:tcW w:w="0" w:type="auto"/>
            <w:gridSpan w:val="3"/>
            <w:shd w:val="clear" w:color="auto" w:fill="auto"/>
            <w:vAlign w:val="bottom"/>
          </w:tcPr>
          <w:p w14:paraId="392C051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5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51A" w14:textId="77777777" w:rsidR="00980E5F" w:rsidRDefault="00483613">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392C051B" w14:textId="77777777" w:rsidR="00980E5F" w:rsidRDefault="00980E5F">
            <w:pPr>
              <w:jc w:val="right"/>
              <w:rPr>
                <w:rFonts w:ascii="宋体"/>
              </w:rPr>
            </w:pPr>
          </w:p>
        </w:tc>
      </w:tr>
      <w:tr w:rsidR="00980E5F" w14:paraId="392C052C" w14:textId="77777777">
        <w:tc>
          <w:tcPr>
            <w:tcW w:w="0" w:type="auto"/>
            <w:gridSpan w:val="3"/>
            <w:shd w:val="clear" w:color="auto" w:fill="CCEEFF"/>
            <w:tcMar>
              <w:top w:w="40" w:type="dxa"/>
              <w:left w:w="20" w:type="dxa"/>
              <w:bottom w:w="40" w:type="dxa"/>
              <w:right w:w="20" w:type="dxa"/>
            </w:tcMar>
            <w:vAlign w:val="bottom"/>
          </w:tcPr>
          <w:p w14:paraId="392C051D" w14:textId="77777777" w:rsidR="00980E5F" w:rsidRDefault="00483613">
            <w:pPr>
              <w:textAlignment w:val="bottom"/>
            </w:pPr>
            <w:r>
              <w:rPr>
                <w:rFonts w:ascii="Arial" w:eastAsia="宋体" w:hAnsi="Arial" w:cs="Arial"/>
                <w:b/>
                <w:bCs/>
                <w:color w:val="000000"/>
                <w:sz w:val="14"/>
                <w:szCs w:val="14"/>
              </w:rPr>
              <w:t>Accrual Balance at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51E" w14:textId="77777777" w:rsidR="00980E5F" w:rsidRDefault="00483613">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52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521"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22" w14:textId="77777777" w:rsidR="00980E5F" w:rsidRDefault="00980E5F">
            <w:pPr>
              <w:jc w:val="right"/>
              <w:rPr>
                <w:rFonts w:ascii="宋体"/>
              </w:rPr>
            </w:pPr>
          </w:p>
        </w:tc>
        <w:tc>
          <w:tcPr>
            <w:tcW w:w="0" w:type="auto"/>
            <w:shd w:val="clear" w:color="auto" w:fill="auto"/>
            <w:vAlign w:val="bottom"/>
          </w:tcPr>
          <w:p w14:paraId="392C0523" w14:textId="77777777" w:rsidR="00980E5F" w:rsidRDefault="00980E5F">
            <w:pPr>
              <w:rPr>
                <w:rFonts w:ascii="宋体"/>
                <w:vanish/>
              </w:rPr>
            </w:pPr>
          </w:p>
        </w:tc>
        <w:tc>
          <w:tcPr>
            <w:tcW w:w="0" w:type="auto"/>
            <w:shd w:val="clear" w:color="auto" w:fill="auto"/>
            <w:vAlign w:val="bottom"/>
          </w:tcPr>
          <w:p w14:paraId="392C0524" w14:textId="77777777" w:rsidR="00980E5F" w:rsidRDefault="00980E5F">
            <w:pPr>
              <w:rPr>
                <w:rFonts w:ascii="宋体"/>
                <w:vanish/>
              </w:rPr>
            </w:pPr>
          </w:p>
        </w:tc>
        <w:tc>
          <w:tcPr>
            <w:tcW w:w="0" w:type="auto"/>
            <w:gridSpan w:val="3"/>
            <w:shd w:val="clear" w:color="auto" w:fill="auto"/>
            <w:vAlign w:val="bottom"/>
          </w:tcPr>
          <w:p w14:paraId="392C0525" w14:textId="77777777" w:rsidR="00980E5F" w:rsidRDefault="00980E5F">
            <w:pPr>
              <w:rPr>
                <w:rFonts w:ascii="宋体"/>
                <w:vanish/>
              </w:rPr>
            </w:pPr>
          </w:p>
        </w:tc>
        <w:tc>
          <w:tcPr>
            <w:tcW w:w="0" w:type="auto"/>
            <w:gridSpan w:val="3"/>
            <w:shd w:val="clear" w:color="auto" w:fill="auto"/>
            <w:vAlign w:val="bottom"/>
          </w:tcPr>
          <w:p w14:paraId="392C0526" w14:textId="77777777" w:rsidR="00980E5F" w:rsidRDefault="00980E5F">
            <w:pPr>
              <w:rPr>
                <w:rFonts w:ascii="宋体"/>
                <w:vanish/>
              </w:rPr>
            </w:pPr>
          </w:p>
        </w:tc>
        <w:tc>
          <w:tcPr>
            <w:tcW w:w="0" w:type="auto"/>
            <w:gridSpan w:val="3"/>
            <w:shd w:val="clear" w:color="auto" w:fill="auto"/>
            <w:vAlign w:val="bottom"/>
          </w:tcPr>
          <w:p w14:paraId="392C0527" w14:textId="77777777" w:rsidR="00980E5F" w:rsidRDefault="00980E5F">
            <w:pPr>
              <w:rPr>
                <w:rFonts w:ascii="宋体"/>
                <w:vanish/>
              </w:rPr>
            </w:pPr>
          </w:p>
        </w:tc>
        <w:tc>
          <w:tcPr>
            <w:tcW w:w="0" w:type="auto"/>
            <w:gridSpan w:val="3"/>
            <w:shd w:val="clear" w:color="auto" w:fill="auto"/>
            <w:vAlign w:val="bottom"/>
          </w:tcPr>
          <w:p w14:paraId="392C052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52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52A" w14:textId="77777777" w:rsidR="00980E5F" w:rsidRDefault="00483613">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2B" w14:textId="77777777" w:rsidR="00980E5F" w:rsidRDefault="00980E5F">
            <w:pPr>
              <w:jc w:val="right"/>
              <w:rPr>
                <w:rFonts w:ascii="宋体"/>
              </w:rPr>
            </w:pPr>
          </w:p>
        </w:tc>
      </w:tr>
      <w:tr w:rsidR="00980E5F" w14:paraId="392C0539" w14:textId="77777777">
        <w:trPr>
          <w:hidden/>
        </w:trPr>
        <w:tc>
          <w:tcPr>
            <w:tcW w:w="0" w:type="auto"/>
            <w:gridSpan w:val="3"/>
            <w:shd w:val="clear" w:color="auto" w:fill="auto"/>
            <w:vAlign w:val="bottom"/>
          </w:tcPr>
          <w:p w14:paraId="392C052D" w14:textId="77777777" w:rsidR="00980E5F" w:rsidRDefault="00980E5F">
            <w:pPr>
              <w:rPr>
                <w:rFonts w:ascii="宋体"/>
                <w:vanish/>
              </w:rPr>
            </w:pPr>
          </w:p>
        </w:tc>
        <w:tc>
          <w:tcPr>
            <w:tcW w:w="0" w:type="auto"/>
            <w:gridSpan w:val="3"/>
            <w:shd w:val="clear" w:color="auto" w:fill="auto"/>
            <w:vAlign w:val="bottom"/>
          </w:tcPr>
          <w:p w14:paraId="392C052E" w14:textId="77777777" w:rsidR="00980E5F" w:rsidRDefault="00980E5F">
            <w:pPr>
              <w:rPr>
                <w:rFonts w:ascii="宋体"/>
                <w:vanish/>
              </w:rPr>
            </w:pPr>
          </w:p>
        </w:tc>
        <w:tc>
          <w:tcPr>
            <w:tcW w:w="0" w:type="auto"/>
            <w:gridSpan w:val="3"/>
            <w:shd w:val="clear" w:color="auto" w:fill="auto"/>
            <w:vAlign w:val="bottom"/>
          </w:tcPr>
          <w:p w14:paraId="392C052F" w14:textId="77777777" w:rsidR="00980E5F" w:rsidRDefault="00980E5F">
            <w:pPr>
              <w:rPr>
                <w:rFonts w:ascii="宋体"/>
                <w:vanish/>
              </w:rPr>
            </w:pPr>
          </w:p>
        </w:tc>
        <w:tc>
          <w:tcPr>
            <w:tcW w:w="0" w:type="auto"/>
            <w:gridSpan w:val="3"/>
            <w:shd w:val="clear" w:color="auto" w:fill="auto"/>
            <w:vAlign w:val="bottom"/>
          </w:tcPr>
          <w:p w14:paraId="392C0530" w14:textId="77777777" w:rsidR="00980E5F" w:rsidRDefault="00980E5F">
            <w:pPr>
              <w:rPr>
                <w:rFonts w:ascii="宋体"/>
                <w:vanish/>
              </w:rPr>
            </w:pPr>
          </w:p>
        </w:tc>
        <w:tc>
          <w:tcPr>
            <w:tcW w:w="0" w:type="auto"/>
            <w:shd w:val="clear" w:color="auto" w:fill="auto"/>
            <w:vAlign w:val="bottom"/>
          </w:tcPr>
          <w:p w14:paraId="392C0531" w14:textId="77777777" w:rsidR="00980E5F" w:rsidRDefault="00980E5F">
            <w:pPr>
              <w:rPr>
                <w:rFonts w:ascii="宋体"/>
                <w:vanish/>
              </w:rPr>
            </w:pPr>
          </w:p>
        </w:tc>
        <w:tc>
          <w:tcPr>
            <w:tcW w:w="0" w:type="auto"/>
            <w:shd w:val="clear" w:color="auto" w:fill="auto"/>
            <w:vAlign w:val="bottom"/>
          </w:tcPr>
          <w:p w14:paraId="392C0532" w14:textId="77777777" w:rsidR="00980E5F" w:rsidRDefault="00980E5F">
            <w:pPr>
              <w:rPr>
                <w:rFonts w:ascii="宋体"/>
                <w:vanish/>
              </w:rPr>
            </w:pPr>
          </w:p>
        </w:tc>
        <w:tc>
          <w:tcPr>
            <w:tcW w:w="0" w:type="auto"/>
            <w:gridSpan w:val="3"/>
            <w:shd w:val="clear" w:color="auto" w:fill="auto"/>
            <w:vAlign w:val="bottom"/>
          </w:tcPr>
          <w:p w14:paraId="392C0533" w14:textId="77777777" w:rsidR="00980E5F" w:rsidRDefault="00980E5F">
            <w:pPr>
              <w:rPr>
                <w:rFonts w:ascii="宋体"/>
                <w:vanish/>
              </w:rPr>
            </w:pPr>
          </w:p>
        </w:tc>
        <w:tc>
          <w:tcPr>
            <w:tcW w:w="0" w:type="auto"/>
            <w:gridSpan w:val="3"/>
            <w:shd w:val="clear" w:color="auto" w:fill="auto"/>
            <w:vAlign w:val="bottom"/>
          </w:tcPr>
          <w:p w14:paraId="392C0534" w14:textId="77777777" w:rsidR="00980E5F" w:rsidRDefault="00980E5F">
            <w:pPr>
              <w:rPr>
                <w:rFonts w:ascii="宋体"/>
                <w:vanish/>
              </w:rPr>
            </w:pPr>
          </w:p>
        </w:tc>
        <w:tc>
          <w:tcPr>
            <w:tcW w:w="0" w:type="auto"/>
            <w:gridSpan w:val="3"/>
            <w:shd w:val="clear" w:color="auto" w:fill="auto"/>
            <w:vAlign w:val="bottom"/>
          </w:tcPr>
          <w:p w14:paraId="392C0535" w14:textId="77777777" w:rsidR="00980E5F" w:rsidRDefault="00980E5F">
            <w:pPr>
              <w:rPr>
                <w:rFonts w:ascii="宋体"/>
                <w:vanish/>
              </w:rPr>
            </w:pPr>
          </w:p>
        </w:tc>
        <w:tc>
          <w:tcPr>
            <w:tcW w:w="0" w:type="auto"/>
            <w:gridSpan w:val="3"/>
            <w:shd w:val="clear" w:color="auto" w:fill="auto"/>
            <w:vAlign w:val="bottom"/>
          </w:tcPr>
          <w:p w14:paraId="392C0536" w14:textId="77777777" w:rsidR="00980E5F" w:rsidRDefault="00980E5F">
            <w:pPr>
              <w:rPr>
                <w:rFonts w:ascii="宋体"/>
                <w:vanish/>
              </w:rPr>
            </w:pPr>
          </w:p>
        </w:tc>
        <w:tc>
          <w:tcPr>
            <w:tcW w:w="0" w:type="auto"/>
            <w:gridSpan w:val="3"/>
            <w:shd w:val="clear" w:color="auto" w:fill="auto"/>
            <w:vAlign w:val="bottom"/>
          </w:tcPr>
          <w:p w14:paraId="392C0537" w14:textId="77777777" w:rsidR="00980E5F" w:rsidRDefault="00980E5F">
            <w:pPr>
              <w:rPr>
                <w:rFonts w:ascii="宋体"/>
                <w:vanish/>
              </w:rPr>
            </w:pPr>
          </w:p>
        </w:tc>
        <w:tc>
          <w:tcPr>
            <w:tcW w:w="0" w:type="auto"/>
            <w:gridSpan w:val="3"/>
            <w:shd w:val="clear" w:color="auto" w:fill="auto"/>
            <w:vAlign w:val="bottom"/>
          </w:tcPr>
          <w:p w14:paraId="392C0538" w14:textId="77777777" w:rsidR="00980E5F" w:rsidRDefault="00980E5F">
            <w:pPr>
              <w:rPr>
                <w:rFonts w:ascii="宋体"/>
                <w:vanish/>
              </w:rPr>
            </w:pPr>
          </w:p>
        </w:tc>
      </w:tr>
      <w:tr w:rsidR="00980E5F" w14:paraId="392C0546" w14:textId="77777777">
        <w:trPr>
          <w:hidden/>
        </w:trPr>
        <w:tc>
          <w:tcPr>
            <w:tcW w:w="0" w:type="auto"/>
            <w:gridSpan w:val="3"/>
            <w:shd w:val="clear" w:color="auto" w:fill="auto"/>
            <w:vAlign w:val="bottom"/>
          </w:tcPr>
          <w:p w14:paraId="392C053A" w14:textId="77777777" w:rsidR="00980E5F" w:rsidRDefault="00980E5F">
            <w:pPr>
              <w:rPr>
                <w:rFonts w:ascii="宋体"/>
                <w:vanish/>
              </w:rPr>
            </w:pPr>
          </w:p>
        </w:tc>
        <w:tc>
          <w:tcPr>
            <w:tcW w:w="0" w:type="auto"/>
            <w:gridSpan w:val="3"/>
            <w:shd w:val="clear" w:color="auto" w:fill="auto"/>
            <w:vAlign w:val="bottom"/>
          </w:tcPr>
          <w:p w14:paraId="392C053B" w14:textId="77777777" w:rsidR="00980E5F" w:rsidRDefault="00980E5F">
            <w:pPr>
              <w:rPr>
                <w:rFonts w:ascii="宋体"/>
                <w:vanish/>
              </w:rPr>
            </w:pPr>
          </w:p>
        </w:tc>
        <w:tc>
          <w:tcPr>
            <w:tcW w:w="0" w:type="auto"/>
            <w:gridSpan w:val="3"/>
            <w:shd w:val="clear" w:color="auto" w:fill="auto"/>
            <w:vAlign w:val="bottom"/>
          </w:tcPr>
          <w:p w14:paraId="392C053C" w14:textId="77777777" w:rsidR="00980E5F" w:rsidRDefault="00980E5F">
            <w:pPr>
              <w:rPr>
                <w:rFonts w:ascii="宋体"/>
                <w:vanish/>
              </w:rPr>
            </w:pPr>
          </w:p>
        </w:tc>
        <w:tc>
          <w:tcPr>
            <w:tcW w:w="0" w:type="auto"/>
            <w:gridSpan w:val="3"/>
            <w:shd w:val="clear" w:color="auto" w:fill="auto"/>
            <w:vAlign w:val="bottom"/>
          </w:tcPr>
          <w:p w14:paraId="392C053D" w14:textId="77777777" w:rsidR="00980E5F" w:rsidRDefault="00980E5F">
            <w:pPr>
              <w:rPr>
                <w:rFonts w:ascii="宋体"/>
                <w:vanish/>
              </w:rPr>
            </w:pPr>
          </w:p>
        </w:tc>
        <w:tc>
          <w:tcPr>
            <w:tcW w:w="0" w:type="auto"/>
            <w:shd w:val="clear" w:color="auto" w:fill="auto"/>
            <w:vAlign w:val="bottom"/>
          </w:tcPr>
          <w:p w14:paraId="392C053E" w14:textId="77777777" w:rsidR="00980E5F" w:rsidRDefault="00980E5F">
            <w:pPr>
              <w:rPr>
                <w:rFonts w:ascii="宋体"/>
                <w:vanish/>
              </w:rPr>
            </w:pPr>
          </w:p>
        </w:tc>
        <w:tc>
          <w:tcPr>
            <w:tcW w:w="0" w:type="auto"/>
            <w:shd w:val="clear" w:color="auto" w:fill="auto"/>
            <w:vAlign w:val="bottom"/>
          </w:tcPr>
          <w:p w14:paraId="392C053F" w14:textId="77777777" w:rsidR="00980E5F" w:rsidRDefault="00980E5F">
            <w:pPr>
              <w:rPr>
                <w:rFonts w:ascii="宋体"/>
                <w:vanish/>
              </w:rPr>
            </w:pPr>
          </w:p>
        </w:tc>
        <w:tc>
          <w:tcPr>
            <w:tcW w:w="0" w:type="auto"/>
            <w:gridSpan w:val="3"/>
            <w:shd w:val="clear" w:color="auto" w:fill="auto"/>
            <w:vAlign w:val="bottom"/>
          </w:tcPr>
          <w:p w14:paraId="392C0540" w14:textId="77777777" w:rsidR="00980E5F" w:rsidRDefault="00980E5F">
            <w:pPr>
              <w:rPr>
                <w:rFonts w:ascii="宋体"/>
                <w:vanish/>
              </w:rPr>
            </w:pPr>
          </w:p>
        </w:tc>
        <w:tc>
          <w:tcPr>
            <w:tcW w:w="0" w:type="auto"/>
            <w:gridSpan w:val="3"/>
            <w:shd w:val="clear" w:color="auto" w:fill="auto"/>
            <w:vAlign w:val="bottom"/>
          </w:tcPr>
          <w:p w14:paraId="392C0541" w14:textId="77777777" w:rsidR="00980E5F" w:rsidRDefault="00980E5F">
            <w:pPr>
              <w:rPr>
                <w:rFonts w:ascii="宋体"/>
                <w:vanish/>
              </w:rPr>
            </w:pPr>
          </w:p>
        </w:tc>
        <w:tc>
          <w:tcPr>
            <w:tcW w:w="0" w:type="auto"/>
            <w:gridSpan w:val="3"/>
            <w:shd w:val="clear" w:color="auto" w:fill="auto"/>
            <w:vAlign w:val="bottom"/>
          </w:tcPr>
          <w:p w14:paraId="392C0542" w14:textId="77777777" w:rsidR="00980E5F" w:rsidRDefault="00980E5F">
            <w:pPr>
              <w:rPr>
                <w:rFonts w:ascii="宋体"/>
                <w:vanish/>
              </w:rPr>
            </w:pPr>
          </w:p>
        </w:tc>
        <w:tc>
          <w:tcPr>
            <w:tcW w:w="0" w:type="auto"/>
            <w:gridSpan w:val="3"/>
            <w:shd w:val="clear" w:color="auto" w:fill="auto"/>
            <w:vAlign w:val="bottom"/>
          </w:tcPr>
          <w:p w14:paraId="392C0543" w14:textId="77777777" w:rsidR="00980E5F" w:rsidRDefault="00980E5F">
            <w:pPr>
              <w:rPr>
                <w:rFonts w:ascii="宋体"/>
                <w:vanish/>
              </w:rPr>
            </w:pPr>
          </w:p>
        </w:tc>
        <w:tc>
          <w:tcPr>
            <w:tcW w:w="0" w:type="auto"/>
            <w:gridSpan w:val="3"/>
            <w:shd w:val="clear" w:color="auto" w:fill="auto"/>
            <w:vAlign w:val="bottom"/>
          </w:tcPr>
          <w:p w14:paraId="392C0544" w14:textId="77777777" w:rsidR="00980E5F" w:rsidRDefault="00980E5F">
            <w:pPr>
              <w:rPr>
                <w:rFonts w:ascii="宋体"/>
                <w:vanish/>
              </w:rPr>
            </w:pPr>
          </w:p>
        </w:tc>
        <w:tc>
          <w:tcPr>
            <w:tcW w:w="0" w:type="auto"/>
            <w:gridSpan w:val="3"/>
            <w:shd w:val="clear" w:color="auto" w:fill="auto"/>
            <w:vAlign w:val="bottom"/>
          </w:tcPr>
          <w:p w14:paraId="392C0545" w14:textId="77777777" w:rsidR="00980E5F" w:rsidRDefault="00980E5F">
            <w:pPr>
              <w:rPr>
                <w:rFonts w:ascii="宋体"/>
                <w:vanish/>
              </w:rPr>
            </w:pPr>
          </w:p>
        </w:tc>
      </w:tr>
      <w:tr w:rsidR="00980E5F" w14:paraId="392C0556" w14:textId="77777777">
        <w:tc>
          <w:tcPr>
            <w:tcW w:w="0" w:type="auto"/>
            <w:gridSpan w:val="3"/>
            <w:shd w:val="clear" w:color="auto" w:fill="FFFFFF"/>
            <w:tcMar>
              <w:top w:w="40" w:type="dxa"/>
              <w:left w:w="20" w:type="dxa"/>
              <w:bottom w:w="40" w:type="dxa"/>
              <w:right w:w="20" w:type="dxa"/>
            </w:tcMar>
            <w:vAlign w:val="bottom"/>
          </w:tcPr>
          <w:p w14:paraId="392C0547"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92C0548" w14:textId="77777777" w:rsidR="00980E5F" w:rsidRDefault="00483613">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392C05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54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54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54C" w14:textId="77777777" w:rsidR="00980E5F" w:rsidRDefault="00980E5F">
            <w:pPr>
              <w:jc w:val="right"/>
              <w:rPr>
                <w:rFonts w:ascii="宋体"/>
              </w:rPr>
            </w:pPr>
          </w:p>
        </w:tc>
        <w:tc>
          <w:tcPr>
            <w:tcW w:w="0" w:type="auto"/>
            <w:shd w:val="clear" w:color="auto" w:fill="auto"/>
            <w:vAlign w:val="bottom"/>
          </w:tcPr>
          <w:p w14:paraId="392C054D" w14:textId="77777777" w:rsidR="00980E5F" w:rsidRDefault="00980E5F">
            <w:pPr>
              <w:rPr>
                <w:rFonts w:ascii="宋体"/>
                <w:vanish/>
              </w:rPr>
            </w:pPr>
          </w:p>
        </w:tc>
        <w:tc>
          <w:tcPr>
            <w:tcW w:w="0" w:type="auto"/>
            <w:shd w:val="clear" w:color="auto" w:fill="auto"/>
            <w:vAlign w:val="bottom"/>
          </w:tcPr>
          <w:p w14:paraId="392C054E" w14:textId="77777777" w:rsidR="00980E5F" w:rsidRDefault="00980E5F">
            <w:pPr>
              <w:rPr>
                <w:rFonts w:ascii="宋体"/>
                <w:vanish/>
              </w:rPr>
            </w:pPr>
          </w:p>
        </w:tc>
        <w:tc>
          <w:tcPr>
            <w:tcW w:w="0" w:type="auto"/>
            <w:gridSpan w:val="3"/>
            <w:shd w:val="clear" w:color="auto" w:fill="auto"/>
            <w:vAlign w:val="bottom"/>
          </w:tcPr>
          <w:p w14:paraId="392C054F" w14:textId="77777777" w:rsidR="00980E5F" w:rsidRDefault="00980E5F">
            <w:pPr>
              <w:rPr>
                <w:rFonts w:ascii="宋体"/>
                <w:vanish/>
              </w:rPr>
            </w:pPr>
          </w:p>
        </w:tc>
        <w:tc>
          <w:tcPr>
            <w:tcW w:w="0" w:type="auto"/>
            <w:gridSpan w:val="3"/>
            <w:shd w:val="clear" w:color="auto" w:fill="auto"/>
            <w:vAlign w:val="bottom"/>
          </w:tcPr>
          <w:p w14:paraId="392C0550" w14:textId="77777777" w:rsidR="00980E5F" w:rsidRDefault="00980E5F">
            <w:pPr>
              <w:rPr>
                <w:rFonts w:ascii="宋体"/>
                <w:vanish/>
              </w:rPr>
            </w:pPr>
          </w:p>
        </w:tc>
        <w:tc>
          <w:tcPr>
            <w:tcW w:w="0" w:type="auto"/>
            <w:gridSpan w:val="3"/>
            <w:shd w:val="clear" w:color="auto" w:fill="auto"/>
            <w:vAlign w:val="bottom"/>
          </w:tcPr>
          <w:p w14:paraId="392C0551" w14:textId="77777777" w:rsidR="00980E5F" w:rsidRDefault="00980E5F">
            <w:pPr>
              <w:rPr>
                <w:rFonts w:ascii="宋体"/>
                <w:vanish/>
              </w:rPr>
            </w:pPr>
          </w:p>
        </w:tc>
        <w:tc>
          <w:tcPr>
            <w:tcW w:w="0" w:type="auto"/>
            <w:gridSpan w:val="3"/>
            <w:shd w:val="clear" w:color="auto" w:fill="auto"/>
            <w:vAlign w:val="bottom"/>
          </w:tcPr>
          <w:p w14:paraId="392C055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5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554" w14:textId="77777777" w:rsidR="00980E5F" w:rsidRDefault="00483613">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392C0555" w14:textId="77777777" w:rsidR="00980E5F" w:rsidRDefault="00980E5F">
            <w:pPr>
              <w:jc w:val="right"/>
              <w:rPr>
                <w:rFonts w:ascii="宋体"/>
              </w:rPr>
            </w:pPr>
          </w:p>
        </w:tc>
      </w:tr>
      <w:tr w:rsidR="00980E5F" w14:paraId="392C0569" w14:textId="77777777">
        <w:tc>
          <w:tcPr>
            <w:tcW w:w="0" w:type="auto"/>
            <w:gridSpan w:val="3"/>
            <w:shd w:val="clear" w:color="auto" w:fill="CCEEFF"/>
            <w:tcMar>
              <w:top w:w="40" w:type="dxa"/>
              <w:left w:w="20" w:type="dxa"/>
              <w:bottom w:w="40" w:type="dxa"/>
              <w:right w:w="20" w:type="dxa"/>
            </w:tcMar>
            <w:vAlign w:val="bottom"/>
          </w:tcPr>
          <w:p w14:paraId="392C0557" w14:textId="77777777" w:rsidR="00980E5F" w:rsidRDefault="00483613">
            <w:pPr>
              <w:textAlignment w:val="bottom"/>
            </w:pPr>
            <w:r>
              <w:rPr>
                <w:rFonts w:ascii="Arial" w:eastAsia="宋体" w:hAnsi="Arial" w:cs="Arial"/>
                <w:b/>
                <w:bCs/>
                <w:color w:val="000000"/>
                <w:sz w:val="14"/>
                <w:szCs w:val="14"/>
              </w:rPr>
              <w:t>Accrual Balance at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055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559" w14:textId="77777777" w:rsidR="00980E5F" w:rsidRDefault="00483613">
            <w:pPr>
              <w:jc w:val="right"/>
              <w:textAlignment w:val="bottom"/>
            </w:pPr>
            <w:r>
              <w:rPr>
                <w:rFonts w:ascii="Arial" w:eastAsia="宋体" w:hAnsi="Arial" w:cs="Arial"/>
                <w:color w:val="000000"/>
                <w:sz w:val="14"/>
                <w:szCs w:val="14"/>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55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55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55D"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5E" w14:textId="77777777" w:rsidR="00980E5F" w:rsidRDefault="00980E5F">
            <w:pPr>
              <w:jc w:val="right"/>
              <w:rPr>
                <w:rFonts w:ascii="宋体"/>
              </w:rPr>
            </w:pPr>
          </w:p>
        </w:tc>
        <w:tc>
          <w:tcPr>
            <w:tcW w:w="0" w:type="auto"/>
            <w:shd w:val="clear" w:color="auto" w:fill="auto"/>
            <w:vAlign w:val="bottom"/>
          </w:tcPr>
          <w:p w14:paraId="392C055F" w14:textId="77777777" w:rsidR="00980E5F" w:rsidRDefault="00980E5F">
            <w:pPr>
              <w:rPr>
                <w:rFonts w:ascii="宋体"/>
                <w:vanish/>
              </w:rPr>
            </w:pPr>
          </w:p>
        </w:tc>
        <w:tc>
          <w:tcPr>
            <w:tcW w:w="0" w:type="auto"/>
            <w:shd w:val="clear" w:color="auto" w:fill="auto"/>
            <w:vAlign w:val="bottom"/>
          </w:tcPr>
          <w:p w14:paraId="392C0560" w14:textId="77777777" w:rsidR="00980E5F" w:rsidRDefault="00980E5F">
            <w:pPr>
              <w:rPr>
                <w:rFonts w:ascii="宋体"/>
                <w:vanish/>
              </w:rPr>
            </w:pPr>
          </w:p>
        </w:tc>
        <w:tc>
          <w:tcPr>
            <w:tcW w:w="0" w:type="auto"/>
            <w:gridSpan w:val="3"/>
            <w:shd w:val="clear" w:color="auto" w:fill="auto"/>
            <w:vAlign w:val="bottom"/>
          </w:tcPr>
          <w:p w14:paraId="392C0561" w14:textId="77777777" w:rsidR="00980E5F" w:rsidRDefault="00980E5F">
            <w:pPr>
              <w:rPr>
                <w:rFonts w:ascii="宋体"/>
                <w:vanish/>
              </w:rPr>
            </w:pPr>
          </w:p>
        </w:tc>
        <w:tc>
          <w:tcPr>
            <w:tcW w:w="0" w:type="auto"/>
            <w:gridSpan w:val="3"/>
            <w:shd w:val="clear" w:color="auto" w:fill="auto"/>
            <w:vAlign w:val="bottom"/>
          </w:tcPr>
          <w:p w14:paraId="392C0562" w14:textId="77777777" w:rsidR="00980E5F" w:rsidRDefault="00980E5F">
            <w:pPr>
              <w:rPr>
                <w:rFonts w:ascii="宋体"/>
                <w:vanish/>
              </w:rPr>
            </w:pPr>
          </w:p>
        </w:tc>
        <w:tc>
          <w:tcPr>
            <w:tcW w:w="0" w:type="auto"/>
            <w:gridSpan w:val="3"/>
            <w:shd w:val="clear" w:color="auto" w:fill="auto"/>
            <w:vAlign w:val="bottom"/>
          </w:tcPr>
          <w:p w14:paraId="392C0563" w14:textId="77777777" w:rsidR="00980E5F" w:rsidRDefault="00980E5F">
            <w:pPr>
              <w:rPr>
                <w:rFonts w:ascii="宋体"/>
                <w:vanish/>
              </w:rPr>
            </w:pPr>
          </w:p>
        </w:tc>
        <w:tc>
          <w:tcPr>
            <w:tcW w:w="0" w:type="auto"/>
            <w:gridSpan w:val="3"/>
            <w:shd w:val="clear" w:color="auto" w:fill="auto"/>
            <w:vAlign w:val="bottom"/>
          </w:tcPr>
          <w:p w14:paraId="392C0564"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56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56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567" w14:textId="77777777" w:rsidR="00980E5F" w:rsidRDefault="00483613">
            <w:pPr>
              <w:jc w:val="right"/>
              <w:textAlignment w:val="bottom"/>
            </w:pPr>
            <w:r>
              <w:rPr>
                <w:rFonts w:ascii="Arial" w:eastAsia="宋体" w:hAnsi="Arial" w:cs="Arial"/>
                <w:color w:val="000000"/>
                <w:sz w:val="14"/>
                <w:szCs w:val="14"/>
              </w:rPr>
              <w:t>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568" w14:textId="77777777" w:rsidR="00980E5F" w:rsidRDefault="00980E5F">
            <w:pPr>
              <w:jc w:val="right"/>
              <w:rPr>
                <w:rFonts w:ascii="宋体"/>
              </w:rPr>
            </w:pPr>
          </w:p>
        </w:tc>
      </w:tr>
      <w:tr w:rsidR="00980E5F" w14:paraId="392C0576" w14:textId="77777777">
        <w:trPr>
          <w:hidden/>
        </w:trPr>
        <w:tc>
          <w:tcPr>
            <w:tcW w:w="0" w:type="auto"/>
            <w:gridSpan w:val="3"/>
            <w:shd w:val="clear" w:color="auto" w:fill="auto"/>
            <w:vAlign w:val="bottom"/>
          </w:tcPr>
          <w:p w14:paraId="392C056A" w14:textId="77777777" w:rsidR="00980E5F" w:rsidRDefault="00980E5F">
            <w:pPr>
              <w:rPr>
                <w:rFonts w:ascii="宋体"/>
                <w:vanish/>
              </w:rPr>
            </w:pPr>
          </w:p>
        </w:tc>
        <w:tc>
          <w:tcPr>
            <w:tcW w:w="0" w:type="auto"/>
            <w:gridSpan w:val="3"/>
            <w:shd w:val="clear" w:color="auto" w:fill="auto"/>
            <w:vAlign w:val="bottom"/>
          </w:tcPr>
          <w:p w14:paraId="392C056B" w14:textId="77777777" w:rsidR="00980E5F" w:rsidRDefault="00980E5F">
            <w:pPr>
              <w:rPr>
                <w:rFonts w:ascii="宋体"/>
                <w:vanish/>
              </w:rPr>
            </w:pPr>
          </w:p>
        </w:tc>
        <w:tc>
          <w:tcPr>
            <w:tcW w:w="0" w:type="auto"/>
            <w:gridSpan w:val="3"/>
            <w:shd w:val="clear" w:color="auto" w:fill="auto"/>
            <w:vAlign w:val="bottom"/>
          </w:tcPr>
          <w:p w14:paraId="392C056C" w14:textId="77777777" w:rsidR="00980E5F" w:rsidRDefault="00980E5F">
            <w:pPr>
              <w:rPr>
                <w:rFonts w:ascii="宋体"/>
                <w:vanish/>
              </w:rPr>
            </w:pPr>
          </w:p>
        </w:tc>
        <w:tc>
          <w:tcPr>
            <w:tcW w:w="0" w:type="auto"/>
            <w:gridSpan w:val="3"/>
            <w:shd w:val="clear" w:color="auto" w:fill="auto"/>
            <w:vAlign w:val="bottom"/>
          </w:tcPr>
          <w:p w14:paraId="392C056D" w14:textId="77777777" w:rsidR="00980E5F" w:rsidRDefault="00980E5F">
            <w:pPr>
              <w:rPr>
                <w:rFonts w:ascii="宋体"/>
                <w:vanish/>
              </w:rPr>
            </w:pPr>
          </w:p>
        </w:tc>
        <w:tc>
          <w:tcPr>
            <w:tcW w:w="0" w:type="auto"/>
            <w:shd w:val="clear" w:color="auto" w:fill="auto"/>
            <w:vAlign w:val="bottom"/>
          </w:tcPr>
          <w:p w14:paraId="392C056E" w14:textId="77777777" w:rsidR="00980E5F" w:rsidRDefault="00980E5F">
            <w:pPr>
              <w:rPr>
                <w:rFonts w:ascii="宋体"/>
                <w:vanish/>
              </w:rPr>
            </w:pPr>
          </w:p>
        </w:tc>
        <w:tc>
          <w:tcPr>
            <w:tcW w:w="0" w:type="auto"/>
            <w:shd w:val="clear" w:color="auto" w:fill="auto"/>
            <w:vAlign w:val="bottom"/>
          </w:tcPr>
          <w:p w14:paraId="392C056F" w14:textId="77777777" w:rsidR="00980E5F" w:rsidRDefault="00980E5F">
            <w:pPr>
              <w:rPr>
                <w:rFonts w:ascii="宋体"/>
                <w:vanish/>
              </w:rPr>
            </w:pPr>
          </w:p>
        </w:tc>
        <w:tc>
          <w:tcPr>
            <w:tcW w:w="0" w:type="auto"/>
            <w:gridSpan w:val="3"/>
            <w:shd w:val="clear" w:color="auto" w:fill="auto"/>
            <w:vAlign w:val="bottom"/>
          </w:tcPr>
          <w:p w14:paraId="392C0570" w14:textId="77777777" w:rsidR="00980E5F" w:rsidRDefault="00980E5F">
            <w:pPr>
              <w:rPr>
                <w:rFonts w:ascii="宋体"/>
                <w:vanish/>
              </w:rPr>
            </w:pPr>
          </w:p>
        </w:tc>
        <w:tc>
          <w:tcPr>
            <w:tcW w:w="0" w:type="auto"/>
            <w:gridSpan w:val="3"/>
            <w:shd w:val="clear" w:color="auto" w:fill="auto"/>
            <w:vAlign w:val="bottom"/>
          </w:tcPr>
          <w:p w14:paraId="392C0571" w14:textId="77777777" w:rsidR="00980E5F" w:rsidRDefault="00980E5F">
            <w:pPr>
              <w:rPr>
                <w:rFonts w:ascii="宋体"/>
                <w:vanish/>
              </w:rPr>
            </w:pPr>
          </w:p>
        </w:tc>
        <w:tc>
          <w:tcPr>
            <w:tcW w:w="0" w:type="auto"/>
            <w:gridSpan w:val="3"/>
            <w:shd w:val="clear" w:color="auto" w:fill="auto"/>
            <w:vAlign w:val="bottom"/>
          </w:tcPr>
          <w:p w14:paraId="392C0572" w14:textId="77777777" w:rsidR="00980E5F" w:rsidRDefault="00980E5F">
            <w:pPr>
              <w:rPr>
                <w:rFonts w:ascii="宋体"/>
                <w:vanish/>
              </w:rPr>
            </w:pPr>
          </w:p>
        </w:tc>
        <w:tc>
          <w:tcPr>
            <w:tcW w:w="0" w:type="auto"/>
            <w:gridSpan w:val="3"/>
            <w:shd w:val="clear" w:color="auto" w:fill="auto"/>
            <w:vAlign w:val="bottom"/>
          </w:tcPr>
          <w:p w14:paraId="392C0573" w14:textId="77777777" w:rsidR="00980E5F" w:rsidRDefault="00980E5F">
            <w:pPr>
              <w:rPr>
                <w:rFonts w:ascii="宋体"/>
                <w:vanish/>
              </w:rPr>
            </w:pPr>
          </w:p>
        </w:tc>
        <w:tc>
          <w:tcPr>
            <w:tcW w:w="0" w:type="auto"/>
            <w:gridSpan w:val="3"/>
            <w:shd w:val="clear" w:color="auto" w:fill="auto"/>
            <w:vAlign w:val="bottom"/>
          </w:tcPr>
          <w:p w14:paraId="392C0574" w14:textId="77777777" w:rsidR="00980E5F" w:rsidRDefault="00980E5F">
            <w:pPr>
              <w:rPr>
                <w:rFonts w:ascii="宋体"/>
                <w:vanish/>
              </w:rPr>
            </w:pPr>
          </w:p>
        </w:tc>
        <w:tc>
          <w:tcPr>
            <w:tcW w:w="0" w:type="auto"/>
            <w:gridSpan w:val="3"/>
            <w:shd w:val="clear" w:color="auto" w:fill="auto"/>
            <w:vAlign w:val="bottom"/>
          </w:tcPr>
          <w:p w14:paraId="392C0575" w14:textId="77777777" w:rsidR="00980E5F" w:rsidRDefault="00980E5F">
            <w:pPr>
              <w:rPr>
                <w:rFonts w:ascii="宋体"/>
                <w:vanish/>
              </w:rPr>
            </w:pPr>
          </w:p>
        </w:tc>
      </w:tr>
      <w:tr w:rsidR="00980E5F" w14:paraId="392C0583" w14:textId="77777777">
        <w:trPr>
          <w:hidden/>
        </w:trPr>
        <w:tc>
          <w:tcPr>
            <w:tcW w:w="0" w:type="auto"/>
            <w:gridSpan w:val="3"/>
            <w:shd w:val="clear" w:color="auto" w:fill="auto"/>
            <w:vAlign w:val="bottom"/>
          </w:tcPr>
          <w:p w14:paraId="392C0577" w14:textId="77777777" w:rsidR="00980E5F" w:rsidRDefault="00980E5F">
            <w:pPr>
              <w:rPr>
                <w:rFonts w:ascii="宋体"/>
                <w:vanish/>
              </w:rPr>
            </w:pPr>
          </w:p>
        </w:tc>
        <w:tc>
          <w:tcPr>
            <w:tcW w:w="0" w:type="auto"/>
            <w:gridSpan w:val="3"/>
            <w:shd w:val="clear" w:color="auto" w:fill="auto"/>
            <w:vAlign w:val="bottom"/>
          </w:tcPr>
          <w:p w14:paraId="392C0578" w14:textId="77777777" w:rsidR="00980E5F" w:rsidRDefault="00980E5F">
            <w:pPr>
              <w:rPr>
                <w:rFonts w:ascii="宋体"/>
                <w:vanish/>
              </w:rPr>
            </w:pPr>
          </w:p>
        </w:tc>
        <w:tc>
          <w:tcPr>
            <w:tcW w:w="0" w:type="auto"/>
            <w:gridSpan w:val="3"/>
            <w:shd w:val="clear" w:color="auto" w:fill="auto"/>
            <w:vAlign w:val="bottom"/>
          </w:tcPr>
          <w:p w14:paraId="392C0579" w14:textId="77777777" w:rsidR="00980E5F" w:rsidRDefault="00980E5F">
            <w:pPr>
              <w:rPr>
                <w:rFonts w:ascii="宋体"/>
                <w:vanish/>
              </w:rPr>
            </w:pPr>
          </w:p>
        </w:tc>
        <w:tc>
          <w:tcPr>
            <w:tcW w:w="0" w:type="auto"/>
            <w:gridSpan w:val="3"/>
            <w:shd w:val="clear" w:color="auto" w:fill="auto"/>
            <w:vAlign w:val="bottom"/>
          </w:tcPr>
          <w:p w14:paraId="392C057A" w14:textId="77777777" w:rsidR="00980E5F" w:rsidRDefault="00980E5F">
            <w:pPr>
              <w:rPr>
                <w:rFonts w:ascii="宋体"/>
                <w:vanish/>
              </w:rPr>
            </w:pPr>
          </w:p>
        </w:tc>
        <w:tc>
          <w:tcPr>
            <w:tcW w:w="0" w:type="auto"/>
            <w:shd w:val="clear" w:color="auto" w:fill="auto"/>
            <w:vAlign w:val="bottom"/>
          </w:tcPr>
          <w:p w14:paraId="392C057B" w14:textId="77777777" w:rsidR="00980E5F" w:rsidRDefault="00980E5F">
            <w:pPr>
              <w:rPr>
                <w:rFonts w:ascii="宋体"/>
                <w:vanish/>
              </w:rPr>
            </w:pPr>
          </w:p>
        </w:tc>
        <w:tc>
          <w:tcPr>
            <w:tcW w:w="0" w:type="auto"/>
            <w:shd w:val="clear" w:color="auto" w:fill="auto"/>
            <w:vAlign w:val="bottom"/>
          </w:tcPr>
          <w:p w14:paraId="392C057C" w14:textId="77777777" w:rsidR="00980E5F" w:rsidRDefault="00980E5F">
            <w:pPr>
              <w:rPr>
                <w:rFonts w:ascii="宋体"/>
                <w:vanish/>
              </w:rPr>
            </w:pPr>
          </w:p>
        </w:tc>
        <w:tc>
          <w:tcPr>
            <w:tcW w:w="0" w:type="auto"/>
            <w:gridSpan w:val="3"/>
            <w:shd w:val="clear" w:color="auto" w:fill="auto"/>
            <w:vAlign w:val="bottom"/>
          </w:tcPr>
          <w:p w14:paraId="392C057D" w14:textId="77777777" w:rsidR="00980E5F" w:rsidRDefault="00980E5F">
            <w:pPr>
              <w:rPr>
                <w:rFonts w:ascii="宋体"/>
                <w:vanish/>
              </w:rPr>
            </w:pPr>
          </w:p>
        </w:tc>
        <w:tc>
          <w:tcPr>
            <w:tcW w:w="0" w:type="auto"/>
            <w:gridSpan w:val="3"/>
            <w:shd w:val="clear" w:color="auto" w:fill="auto"/>
            <w:vAlign w:val="bottom"/>
          </w:tcPr>
          <w:p w14:paraId="392C057E" w14:textId="77777777" w:rsidR="00980E5F" w:rsidRDefault="00980E5F">
            <w:pPr>
              <w:rPr>
                <w:rFonts w:ascii="宋体"/>
                <w:vanish/>
              </w:rPr>
            </w:pPr>
          </w:p>
        </w:tc>
        <w:tc>
          <w:tcPr>
            <w:tcW w:w="0" w:type="auto"/>
            <w:gridSpan w:val="3"/>
            <w:shd w:val="clear" w:color="auto" w:fill="auto"/>
            <w:vAlign w:val="bottom"/>
          </w:tcPr>
          <w:p w14:paraId="392C057F" w14:textId="77777777" w:rsidR="00980E5F" w:rsidRDefault="00980E5F">
            <w:pPr>
              <w:rPr>
                <w:rFonts w:ascii="宋体"/>
                <w:vanish/>
              </w:rPr>
            </w:pPr>
          </w:p>
        </w:tc>
        <w:tc>
          <w:tcPr>
            <w:tcW w:w="0" w:type="auto"/>
            <w:gridSpan w:val="3"/>
            <w:shd w:val="clear" w:color="auto" w:fill="auto"/>
            <w:vAlign w:val="bottom"/>
          </w:tcPr>
          <w:p w14:paraId="392C0580" w14:textId="77777777" w:rsidR="00980E5F" w:rsidRDefault="00980E5F">
            <w:pPr>
              <w:rPr>
                <w:rFonts w:ascii="宋体"/>
                <w:vanish/>
              </w:rPr>
            </w:pPr>
          </w:p>
        </w:tc>
        <w:tc>
          <w:tcPr>
            <w:tcW w:w="0" w:type="auto"/>
            <w:gridSpan w:val="3"/>
            <w:shd w:val="clear" w:color="auto" w:fill="auto"/>
            <w:vAlign w:val="bottom"/>
          </w:tcPr>
          <w:p w14:paraId="392C0581" w14:textId="77777777" w:rsidR="00980E5F" w:rsidRDefault="00980E5F">
            <w:pPr>
              <w:rPr>
                <w:rFonts w:ascii="宋体"/>
                <w:vanish/>
              </w:rPr>
            </w:pPr>
          </w:p>
        </w:tc>
        <w:tc>
          <w:tcPr>
            <w:tcW w:w="0" w:type="auto"/>
            <w:gridSpan w:val="3"/>
            <w:shd w:val="clear" w:color="auto" w:fill="auto"/>
            <w:vAlign w:val="bottom"/>
          </w:tcPr>
          <w:p w14:paraId="392C0582" w14:textId="77777777" w:rsidR="00980E5F" w:rsidRDefault="00980E5F">
            <w:pPr>
              <w:rPr>
                <w:rFonts w:ascii="宋体"/>
                <w:vanish/>
              </w:rPr>
            </w:pPr>
          </w:p>
        </w:tc>
      </w:tr>
      <w:tr w:rsidR="00980E5F" w14:paraId="392C0590" w14:textId="77777777">
        <w:trPr>
          <w:trHeight w:val="60"/>
        </w:trPr>
        <w:tc>
          <w:tcPr>
            <w:tcW w:w="0" w:type="auto"/>
            <w:gridSpan w:val="3"/>
            <w:shd w:val="clear" w:color="auto" w:fill="FFFFFF"/>
            <w:tcMar>
              <w:top w:w="0" w:type="dxa"/>
              <w:left w:w="20" w:type="dxa"/>
              <w:bottom w:w="0" w:type="dxa"/>
              <w:right w:w="20" w:type="dxa"/>
            </w:tcMar>
            <w:vAlign w:val="bottom"/>
          </w:tcPr>
          <w:p w14:paraId="392C058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5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58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587" w14:textId="77777777" w:rsidR="00980E5F" w:rsidRDefault="00980E5F">
            <w:pPr>
              <w:rPr>
                <w:rFonts w:ascii="宋体"/>
              </w:rPr>
            </w:pPr>
          </w:p>
        </w:tc>
        <w:tc>
          <w:tcPr>
            <w:tcW w:w="0" w:type="auto"/>
            <w:shd w:val="clear" w:color="auto" w:fill="auto"/>
            <w:vAlign w:val="bottom"/>
          </w:tcPr>
          <w:p w14:paraId="392C0588" w14:textId="77777777" w:rsidR="00980E5F" w:rsidRDefault="00980E5F">
            <w:pPr>
              <w:rPr>
                <w:rFonts w:ascii="宋体"/>
                <w:vanish/>
              </w:rPr>
            </w:pPr>
          </w:p>
        </w:tc>
        <w:tc>
          <w:tcPr>
            <w:tcW w:w="0" w:type="auto"/>
            <w:shd w:val="clear" w:color="auto" w:fill="auto"/>
            <w:vAlign w:val="bottom"/>
          </w:tcPr>
          <w:p w14:paraId="392C0589" w14:textId="77777777" w:rsidR="00980E5F" w:rsidRDefault="00980E5F">
            <w:pPr>
              <w:rPr>
                <w:rFonts w:ascii="宋体"/>
                <w:vanish/>
              </w:rPr>
            </w:pPr>
          </w:p>
        </w:tc>
        <w:tc>
          <w:tcPr>
            <w:tcW w:w="0" w:type="auto"/>
            <w:gridSpan w:val="3"/>
            <w:shd w:val="clear" w:color="auto" w:fill="auto"/>
            <w:vAlign w:val="bottom"/>
          </w:tcPr>
          <w:p w14:paraId="392C058A" w14:textId="77777777" w:rsidR="00980E5F" w:rsidRDefault="00980E5F">
            <w:pPr>
              <w:rPr>
                <w:rFonts w:ascii="宋体"/>
                <w:vanish/>
              </w:rPr>
            </w:pPr>
          </w:p>
        </w:tc>
        <w:tc>
          <w:tcPr>
            <w:tcW w:w="0" w:type="auto"/>
            <w:gridSpan w:val="3"/>
            <w:shd w:val="clear" w:color="auto" w:fill="auto"/>
            <w:vAlign w:val="bottom"/>
          </w:tcPr>
          <w:p w14:paraId="392C058B" w14:textId="77777777" w:rsidR="00980E5F" w:rsidRDefault="00980E5F">
            <w:pPr>
              <w:rPr>
                <w:rFonts w:ascii="宋体"/>
                <w:vanish/>
              </w:rPr>
            </w:pPr>
          </w:p>
        </w:tc>
        <w:tc>
          <w:tcPr>
            <w:tcW w:w="0" w:type="auto"/>
            <w:gridSpan w:val="3"/>
            <w:shd w:val="clear" w:color="auto" w:fill="auto"/>
            <w:vAlign w:val="bottom"/>
          </w:tcPr>
          <w:p w14:paraId="392C058C" w14:textId="77777777" w:rsidR="00980E5F" w:rsidRDefault="00980E5F">
            <w:pPr>
              <w:rPr>
                <w:rFonts w:ascii="宋体"/>
                <w:vanish/>
              </w:rPr>
            </w:pPr>
          </w:p>
        </w:tc>
        <w:tc>
          <w:tcPr>
            <w:tcW w:w="0" w:type="auto"/>
            <w:gridSpan w:val="3"/>
            <w:shd w:val="clear" w:color="auto" w:fill="auto"/>
            <w:vAlign w:val="bottom"/>
          </w:tcPr>
          <w:p w14:paraId="392C058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58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058F" w14:textId="77777777" w:rsidR="00980E5F" w:rsidRDefault="00980E5F">
            <w:pPr>
              <w:rPr>
                <w:rFonts w:ascii="宋体"/>
              </w:rPr>
            </w:pPr>
          </w:p>
        </w:tc>
      </w:tr>
      <w:tr w:rsidR="00980E5F" w14:paraId="392C05A3" w14:textId="77777777">
        <w:tc>
          <w:tcPr>
            <w:tcW w:w="0" w:type="auto"/>
            <w:gridSpan w:val="3"/>
            <w:shd w:val="clear" w:color="auto" w:fill="auto"/>
            <w:tcMar>
              <w:top w:w="40" w:type="dxa"/>
              <w:left w:w="20" w:type="dxa"/>
              <w:bottom w:w="40" w:type="dxa"/>
              <w:right w:w="20" w:type="dxa"/>
            </w:tcMar>
            <w:vAlign w:val="bottom"/>
          </w:tcPr>
          <w:p w14:paraId="392C0591" w14:textId="77777777" w:rsidR="00980E5F" w:rsidRDefault="00483613">
            <w:pPr>
              <w:textAlignment w:val="bottom"/>
            </w:pPr>
            <w:r>
              <w:rPr>
                <w:rFonts w:ascii="Arial" w:eastAsia="宋体" w:hAnsi="Arial" w:cs="Arial"/>
                <w:b/>
                <w:bCs/>
                <w:color w:val="000000"/>
                <w:sz w:val="14"/>
                <w:szCs w:val="14"/>
              </w:rPr>
              <w:t>Accrual Balance at December 31, 2021</w:t>
            </w:r>
          </w:p>
        </w:tc>
        <w:tc>
          <w:tcPr>
            <w:tcW w:w="0" w:type="auto"/>
            <w:shd w:val="clear" w:color="auto" w:fill="auto"/>
            <w:tcMar>
              <w:top w:w="40" w:type="dxa"/>
              <w:left w:w="20" w:type="dxa"/>
              <w:bottom w:w="40" w:type="dxa"/>
              <w:right w:w="0" w:type="dxa"/>
            </w:tcMar>
            <w:vAlign w:val="bottom"/>
          </w:tcPr>
          <w:p w14:paraId="392C059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392C0593" w14:textId="77777777" w:rsidR="00980E5F" w:rsidRDefault="00483613">
            <w:pPr>
              <w:jc w:val="right"/>
              <w:textAlignment w:val="bottom"/>
            </w:pPr>
            <w:r>
              <w:rPr>
                <w:rFonts w:ascii="Arial" w:eastAsia="宋体" w:hAnsi="Arial" w:cs="Arial"/>
                <w:color w:val="000000"/>
                <w:sz w:val="14"/>
                <w:szCs w:val="14"/>
              </w:rPr>
              <w:t>68 </w:t>
            </w:r>
          </w:p>
        </w:tc>
        <w:tc>
          <w:tcPr>
            <w:tcW w:w="0" w:type="auto"/>
            <w:shd w:val="clear" w:color="auto" w:fill="auto"/>
            <w:tcMar>
              <w:top w:w="40" w:type="dxa"/>
              <w:left w:w="0" w:type="dxa"/>
              <w:bottom w:w="40" w:type="dxa"/>
              <w:right w:w="20" w:type="dxa"/>
            </w:tcMar>
            <w:vAlign w:val="bottom"/>
          </w:tcPr>
          <w:p w14:paraId="392C0594"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0595" w14:textId="77777777" w:rsidR="00980E5F" w:rsidRDefault="00980E5F">
            <w:pPr>
              <w:rPr>
                <w:rFonts w:ascii="宋体"/>
              </w:rPr>
            </w:pPr>
          </w:p>
        </w:tc>
        <w:tc>
          <w:tcPr>
            <w:tcW w:w="0" w:type="auto"/>
            <w:shd w:val="clear" w:color="auto" w:fill="auto"/>
            <w:tcMar>
              <w:top w:w="40" w:type="dxa"/>
              <w:left w:w="20" w:type="dxa"/>
              <w:bottom w:w="40" w:type="dxa"/>
              <w:right w:w="0" w:type="dxa"/>
            </w:tcMar>
            <w:vAlign w:val="bottom"/>
          </w:tcPr>
          <w:p w14:paraId="392C059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392C0597" w14:textId="77777777" w:rsidR="00980E5F" w:rsidRDefault="00483613">
            <w:pPr>
              <w:jc w:val="right"/>
              <w:textAlignment w:val="bottom"/>
            </w:pPr>
            <w:r>
              <w:rPr>
                <w:rFonts w:ascii="Arial" w:eastAsia="宋体" w:hAnsi="Arial" w:cs="Arial"/>
                <w:color w:val="000000"/>
                <w:sz w:val="14"/>
                <w:szCs w:val="14"/>
              </w:rPr>
              <w:t>6 </w:t>
            </w:r>
          </w:p>
        </w:tc>
        <w:tc>
          <w:tcPr>
            <w:tcW w:w="0" w:type="auto"/>
            <w:shd w:val="clear" w:color="auto" w:fill="auto"/>
            <w:tcMar>
              <w:top w:w="40" w:type="dxa"/>
              <w:left w:w="0" w:type="dxa"/>
              <w:bottom w:w="40" w:type="dxa"/>
              <w:right w:w="20" w:type="dxa"/>
            </w:tcMar>
            <w:vAlign w:val="bottom"/>
          </w:tcPr>
          <w:p w14:paraId="392C0598" w14:textId="77777777" w:rsidR="00980E5F" w:rsidRDefault="00980E5F">
            <w:pPr>
              <w:jc w:val="right"/>
              <w:rPr>
                <w:rFonts w:ascii="宋体"/>
              </w:rPr>
            </w:pPr>
          </w:p>
        </w:tc>
        <w:tc>
          <w:tcPr>
            <w:tcW w:w="0" w:type="auto"/>
            <w:shd w:val="clear" w:color="auto" w:fill="auto"/>
            <w:vAlign w:val="bottom"/>
          </w:tcPr>
          <w:p w14:paraId="392C0599" w14:textId="77777777" w:rsidR="00980E5F" w:rsidRDefault="00980E5F">
            <w:pPr>
              <w:rPr>
                <w:rFonts w:ascii="宋体"/>
                <w:vanish/>
              </w:rPr>
            </w:pPr>
          </w:p>
        </w:tc>
        <w:tc>
          <w:tcPr>
            <w:tcW w:w="0" w:type="auto"/>
            <w:shd w:val="clear" w:color="auto" w:fill="auto"/>
            <w:vAlign w:val="bottom"/>
          </w:tcPr>
          <w:p w14:paraId="392C059A" w14:textId="77777777" w:rsidR="00980E5F" w:rsidRDefault="00980E5F">
            <w:pPr>
              <w:rPr>
                <w:rFonts w:ascii="宋体"/>
                <w:vanish/>
              </w:rPr>
            </w:pPr>
          </w:p>
        </w:tc>
        <w:tc>
          <w:tcPr>
            <w:tcW w:w="0" w:type="auto"/>
            <w:gridSpan w:val="3"/>
            <w:shd w:val="clear" w:color="auto" w:fill="auto"/>
            <w:vAlign w:val="bottom"/>
          </w:tcPr>
          <w:p w14:paraId="392C059B" w14:textId="77777777" w:rsidR="00980E5F" w:rsidRDefault="00980E5F">
            <w:pPr>
              <w:rPr>
                <w:rFonts w:ascii="宋体"/>
                <w:vanish/>
              </w:rPr>
            </w:pPr>
          </w:p>
        </w:tc>
        <w:tc>
          <w:tcPr>
            <w:tcW w:w="0" w:type="auto"/>
            <w:gridSpan w:val="3"/>
            <w:shd w:val="clear" w:color="auto" w:fill="auto"/>
            <w:vAlign w:val="bottom"/>
          </w:tcPr>
          <w:p w14:paraId="392C059C" w14:textId="77777777" w:rsidR="00980E5F" w:rsidRDefault="00980E5F">
            <w:pPr>
              <w:rPr>
                <w:rFonts w:ascii="宋体"/>
                <w:vanish/>
              </w:rPr>
            </w:pPr>
          </w:p>
        </w:tc>
        <w:tc>
          <w:tcPr>
            <w:tcW w:w="0" w:type="auto"/>
            <w:gridSpan w:val="3"/>
            <w:shd w:val="clear" w:color="auto" w:fill="auto"/>
            <w:vAlign w:val="bottom"/>
          </w:tcPr>
          <w:p w14:paraId="392C059D" w14:textId="77777777" w:rsidR="00980E5F" w:rsidRDefault="00980E5F">
            <w:pPr>
              <w:rPr>
                <w:rFonts w:ascii="宋体"/>
                <w:vanish/>
              </w:rPr>
            </w:pPr>
          </w:p>
        </w:tc>
        <w:tc>
          <w:tcPr>
            <w:tcW w:w="0" w:type="auto"/>
            <w:gridSpan w:val="3"/>
            <w:shd w:val="clear" w:color="auto" w:fill="auto"/>
            <w:vAlign w:val="bottom"/>
          </w:tcPr>
          <w:p w14:paraId="392C059E"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59F" w14:textId="77777777" w:rsidR="00980E5F" w:rsidRDefault="00980E5F">
            <w:pPr>
              <w:rPr>
                <w:rFonts w:ascii="宋体"/>
              </w:rPr>
            </w:pPr>
          </w:p>
        </w:tc>
        <w:tc>
          <w:tcPr>
            <w:tcW w:w="0" w:type="auto"/>
            <w:shd w:val="clear" w:color="auto" w:fill="auto"/>
            <w:tcMar>
              <w:top w:w="40" w:type="dxa"/>
              <w:left w:w="20" w:type="dxa"/>
              <w:bottom w:w="40" w:type="dxa"/>
              <w:right w:w="0" w:type="dxa"/>
            </w:tcMar>
            <w:vAlign w:val="bottom"/>
          </w:tcPr>
          <w:p w14:paraId="392C05A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392C05A1" w14:textId="77777777" w:rsidR="00980E5F" w:rsidRDefault="00483613">
            <w:pPr>
              <w:jc w:val="right"/>
              <w:textAlignment w:val="bottom"/>
            </w:pPr>
            <w:r>
              <w:rPr>
                <w:rFonts w:ascii="Arial" w:eastAsia="宋体" w:hAnsi="Arial" w:cs="Arial"/>
                <w:color w:val="000000"/>
                <w:sz w:val="14"/>
                <w:szCs w:val="14"/>
              </w:rPr>
              <w:t>74 </w:t>
            </w:r>
          </w:p>
        </w:tc>
        <w:tc>
          <w:tcPr>
            <w:tcW w:w="0" w:type="auto"/>
            <w:shd w:val="clear" w:color="auto" w:fill="auto"/>
            <w:tcMar>
              <w:top w:w="40" w:type="dxa"/>
              <w:left w:w="0" w:type="dxa"/>
              <w:bottom w:w="40" w:type="dxa"/>
              <w:right w:w="20" w:type="dxa"/>
            </w:tcMar>
            <w:vAlign w:val="bottom"/>
          </w:tcPr>
          <w:p w14:paraId="392C05A2" w14:textId="77777777" w:rsidR="00980E5F" w:rsidRDefault="00980E5F">
            <w:pPr>
              <w:jc w:val="right"/>
              <w:rPr>
                <w:rFonts w:ascii="宋体"/>
              </w:rPr>
            </w:pPr>
          </w:p>
        </w:tc>
      </w:tr>
      <w:tr w:rsidR="00980E5F" w14:paraId="392C05B0" w14:textId="77777777">
        <w:trPr>
          <w:hidden/>
        </w:trPr>
        <w:tc>
          <w:tcPr>
            <w:tcW w:w="0" w:type="auto"/>
            <w:gridSpan w:val="3"/>
            <w:shd w:val="clear" w:color="auto" w:fill="auto"/>
            <w:vAlign w:val="bottom"/>
          </w:tcPr>
          <w:p w14:paraId="392C05A4" w14:textId="77777777" w:rsidR="00980E5F" w:rsidRDefault="00980E5F">
            <w:pPr>
              <w:rPr>
                <w:rFonts w:ascii="宋体"/>
                <w:vanish/>
              </w:rPr>
            </w:pPr>
          </w:p>
        </w:tc>
        <w:tc>
          <w:tcPr>
            <w:tcW w:w="0" w:type="auto"/>
            <w:gridSpan w:val="3"/>
            <w:shd w:val="clear" w:color="auto" w:fill="auto"/>
            <w:vAlign w:val="bottom"/>
          </w:tcPr>
          <w:p w14:paraId="392C05A5" w14:textId="77777777" w:rsidR="00980E5F" w:rsidRDefault="00980E5F">
            <w:pPr>
              <w:rPr>
                <w:rFonts w:ascii="宋体"/>
                <w:vanish/>
              </w:rPr>
            </w:pPr>
          </w:p>
        </w:tc>
        <w:tc>
          <w:tcPr>
            <w:tcW w:w="0" w:type="auto"/>
            <w:gridSpan w:val="3"/>
            <w:shd w:val="clear" w:color="auto" w:fill="auto"/>
            <w:vAlign w:val="bottom"/>
          </w:tcPr>
          <w:p w14:paraId="392C05A6" w14:textId="77777777" w:rsidR="00980E5F" w:rsidRDefault="00980E5F">
            <w:pPr>
              <w:rPr>
                <w:rFonts w:ascii="宋体"/>
                <w:vanish/>
              </w:rPr>
            </w:pPr>
          </w:p>
        </w:tc>
        <w:tc>
          <w:tcPr>
            <w:tcW w:w="0" w:type="auto"/>
            <w:gridSpan w:val="3"/>
            <w:shd w:val="clear" w:color="auto" w:fill="auto"/>
            <w:vAlign w:val="bottom"/>
          </w:tcPr>
          <w:p w14:paraId="392C05A7" w14:textId="77777777" w:rsidR="00980E5F" w:rsidRDefault="00980E5F">
            <w:pPr>
              <w:rPr>
                <w:rFonts w:ascii="宋体"/>
                <w:vanish/>
              </w:rPr>
            </w:pPr>
          </w:p>
        </w:tc>
        <w:tc>
          <w:tcPr>
            <w:tcW w:w="0" w:type="auto"/>
            <w:shd w:val="clear" w:color="auto" w:fill="auto"/>
            <w:vAlign w:val="bottom"/>
          </w:tcPr>
          <w:p w14:paraId="392C05A8" w14:textId="77777777" w:rsidR="00980E5F" w:rsidRDefault="00980E5F">
            <w:pPr>
              <w:rPr>
                <w:rFonts w:ascii="宋体"/>
                <w:vanish/>
              </w:rPr>
            </w:pPr>
          </w:p>
        </w:tc>
        <w:tc>
          <w:tcPr>
            <w:tcW w:w="0" w:type="auto"/>
            <w:shd w:val="clear" w:color="auto" w:fill="auto"/>
            <w:vAlign w:val="bottom"/>
          </w:tcPr>
          <w:p w14:paraId="392C05A9" w14:textId="77777777" w:rsidR="00980E5F" w:rsidRDefault="00980E5F">
            <w:pPr>
              <w:rPr>
                <w:rFonts w:ascii="宋体"/>
                <w:vanish/>
              </w:rPr>
            </w:pPr>
          </w:p>
        </w:tc>
        <w:tc>
          <w:tcPr>
            <w:tcW w:w="0" w:type="auto"/>
            <w:gridSpan w:val="3"/>
            <w:shd w:val="clear" w:color="auto" w:fill="auto"/>
            <w:vAlign w:val="bottom"/>
          </w:tcPr>
          <w:p w14:paraId="392C05AA" w14:textId="77777777" w:rsidR="00980E5F" w:rsidRDefault="00980E5F">
            <w:pPr>
              <w:rPr>
                <w:rFonts w:ascii="宋体"/>
                <w:vanish/>
              </w:rPr>
            </w:pPr>
          </w:p>
        </w:tc>
        <w:tc>
          <w:tcPr>
            <w:tcW w:w="0" w:type="auto"/>
            <w:gridSpan w:val="3"/>
            <w:shd w:val="clear" w:color="auto" w:fill="auto"/>
            <w:vAlign w:val="bottom"/>
          </w:tcPr>
          <w:p w14:paraId="392C05AB" w14:textId="77777777" w:rsidR="00980E5F" w:rsidRDefault="00980E5F">
            <w:pPr>
              <w:rPr>
                <w:rFonts w:ascii="宋体"/>
                <w:vanish/>
              </w:rPr>
            </w:pPr>
          </w:p>
        </w:tc>
        <w:tc>
          <w:tcPr>
            <w:tcW w:w="0" w:type="auto"/>
            <w:gridSpan w:val="3"/>
            <w:shd w:val="clear" w:color="auto" w:fill="auto"/>
            <w:vAlign w:val="bottom"/>
          </w:tcPr>
          <w:p w14:paraId="392C05AC" w14:textId="77777777" w:rsidR="00980E5F" w:rsidRDefault="00980E5F">
            <w:pPr>
              <w:rPr>
                <w:rFonts w:ascii="宋体"/>
                <w:vanish/>
              </w:rPr>
            </w:pPr>
          </w:p>
        </w:tc>
        <w:tc>
          <w:tcPr>
            <w:tcW w:w="0" w:type="auto"/>
            <w:gridSpan w:val="3"/>
            <w:shd w:val="clear" w:color="auto" w:fill="auto"/>
            <w:vAlign w:val="bottom"/>
          </w:tcPr>
          <w:p w14:paraId="392C05AD" w14:textId="77777777" w:rsidR="00980E5F" w:rsidRDefault="00980E5F">
            <w:pPr>
              <w:rPr>
                <w:rFonts w:ascii="宋体"/>
                <w:vanish/>
              </w:rPr>
            </w:pPr>
          </w:p>
        </w:tc>
        <w:tc>
          <w:tcPr>
            <w:tcW w:w="0" w:type="auto"/>
            <w:gridSpan w:val="3"/>
            <w:shd w:val="clear" w:color="auto" w:fill="auto"/>
            <w:vAlign w:val="bottom"/>
          </w:tcPr>
          <w:p w14:paraId="392C05AE" w14:textId="77777777" w:rsidR="00980E5F" w:rsidRDefault="00980E5F">
            <w:pPr>
              <w:rPr>
                <w:rFonts w:ascii="宋体"/>
                <w:vanish/>
              </w:rPr>
            </w:pPr>
          </w:p>
        </w:tc>
        <w:tc>
          <w:tcPr>
            <w:tcW w:w="0" w:type="auto"/>
            <w:gridSpan w:val="3"/>
            <w:shd w:val="clear" w:color="auto" w:fill="auto"/>
            <w:vAlign w:val="bottom"/>
          </w:tcPr>
          <w:p w14:paraId="392C05AF" w14:textId="77777777" w:rsidR="00980E5F" w:rsidRDefault="00980E5F">
            <w:pPr>
              <w:rPr>
                <w:rFonts w:ascii="宋体"/>
                <w:vanish/>
              </w:rPr>
            </w:pPr>
          </w:p>
        </w:tc>
      </w:tr>
      <w:tr w:rsidR="00980E5F" w14:paraId="392C05BD" w14:textId="77777777">
        <w:trPr>
          <w:hidden/>
        </w:trPr>
        <w:tc>
          <w:tcPr>
            <w:tcW w:w="0" w:type="auto"/>
            <w:gridSpan w:val="3"/>
            <w:shd w:val="clear" w:color="auto" w:fill="auto"/>
            <w:vAlign w:val="bottom"/>
          </w:tcPr>
          <w:p w14:paraId="392C05B1" w14:textId="77777777" w:rsidR="00980E5F" w:rsidRDefault="00980E5F">
            <w:pPr>
              <w:rPr>
                <w:rFonts w:ascii="宋体"/>
                <w:vanish/>
              </w:rPr>
            </w:pPr>
          </w:p>
        </w:tc>
        <w:tc>
          <w:tcPr>
            <w:tcW w:w="0" w:type="auto"/>
            <w:gridSpan w:val="3"/>
            <w:shd w:val="clear" w:color="auto" w:fill="auto"/>
            <w:vAlign w:val="bottom"/>
          </w:tcPr>
          <w:p w14:paraId="392C05B2" w14:textId="77777777" w:rsidR="00980E5F" w:rsidRDefault="00980E5F">
            <w:pPr>
              <w:rPr>
                <w:rFonts w:ascii="宋体"/>
                <w:vanish/>
              </w:rPr>
            </w:pPr>
          </w:p>
        </w:tc>
        <w:tc>
          <w:tcPr>
            <w:tcW w:w="0" w:type="auto"/>
            <w:gridSpan w:val="3"/>
            <w:shd w:val="clear" w:color="auto" w:fill="auto"/>
            <w:vAlign w:val="bottom"/>
          </w:tcPr>
          <w:p w14:paraId="392C05B3" w14:textId="77777777" w:rsidR="00980E5F" w:rsidRDefault="00980E5F">
            <w:pPr>
              <w:rPr>
                <w:rFonts w:ascii="宋体"/>
                <w:vanish/>
              </w:rPr>
            </w:pPr>
          </w:p>
        </w:tc>
        <w:tc>
          <w:tcPr>
            <w:tcW w:w="0" w:type="auto"/>
            <w:gridSpan w:val="3"/>
            <w:shd w:val="clear" w:color="auto" w:fill="auto"/>
            <w:vAlign w:val="bottom"/>
          </w:tcPr>
          <w:p w14:paraId="392C05B4" w14:textId="77777777" w:rsidR="00980E5F" w:rsidRDefault="00980E5F">
            <w:pPr>
              <w:rPr>
                <w:rFonts w:ascii="宋体"/>
                <w:vanish/>
              </w:rPr>
            </w:pPr>
          </w:p>
        </w:tc>
        <w:tc>
          <w:tcPr>
            <w:tcW w:w="0" w:type="auto"/>
            <w:shd w:val="clear" w:color="auto" w:fill="auto"/>
            <w:vAlign w:val="bottom"/>
          </w:tcPr>
          <w:p w14:paraId="392C05B5" w14:textId="77777777" w:rsidR="00980E5F" w:rsidRDefault="00980E5F">
            <w:pPr>
              <w:rPr>
                <w:rFonts w:ascii="宋体"/>
                <w:vanish/>
              </w:rPr>
            </w:pPr>
          </w:p>
        </w:tc>
        <w:tc>
          <w:tcPr>
            <w:tcW w:w="0" w:type="auto"/>
            <w:shd w:val="clear" w:color="auto" w:fill="auto"/>
            <w:vAlign w:val="bottom"/>
          </w:tcPr>
          <w:p w14:paraId="392C05B6" w14:textId="77777777" w:rsidR="00980E5F" w:rsidRDefault="00980E5F">
            <w:pPr>
              <w:rPr>
                <w:rFonts w:ascii="宋体"/>
                <w:vanish/>
              </w:rPr>
            </w:pPr>
          </w:p>
        </w:tc>
        <w:tc>
          <w:tcPr>
            <w:tcW w:w="0" w:type="auto"/>
            <w:gridSpan w:val="3"/>
            <w:shd w:val="clear" w:color="auto" w:fill="auto"/>
            <w:vAlign w:val="bottom"/>
          </w:tcPr>
          <w:p w14:paraId="392C05B7" w14:textId="77777777" w:rsidR="00980E5F" w:rsidRDefault="00980E5F">
            <w:pPr>
              <w:rPr>
                <w:rFonts w:ascii="宋体"/>
                <w:vanish/>
              </w:rPr>
            </w:pPr>
          </w:p>
        </w:tc>
        <w:tc>
          <w:tcPr>
            <w:tcW w:w="0" w:type="auto"/>
            <w:gridSpan w:val="3"/>
            <w:shd w:val="clear" w:color="auto" w:fill="auto"/>
            <w:vAlign w:val="bottom"/>
          </w:tcPr>
          <w:p w14:paraId="392C05B8" w14:textId="77777777" w:rsidR="00980E5F" w:rsidRDefault="00980E5F">
            <w:pPr>
              <w:rPr>
                <w:rFonts w:ascii="宋体"/>
                <w:vanish/>
              </w:rPr>
            </w:pPr>
          </w:p>
        </w:tc>
        <w:tc>
          <w:tcPr>
            <w:tcW w:w="0" w:type="auto"/>
            <w:gridSpan w:val="3"/>
            <w:shd w:val="clear" w:color="auto" w:fill="auto"/>
            <w:vAlign w:val="bottom"/>
          </w:tcPr>
          <w:p w14:paraId="392C05B9" w14:textId="77777777" w:rsidR="00980E5F" w:rsidRDefault="00980E5F">
            <w:pPr>
              <w:rPr>
                <w:rFonts w:ascii="宋体"/>
                <w:vanish/>
              </w:rPr>
            </w:pPr>
          </w:p>
        </w:tc>
        <w:tc>
          <w:tcPr>
            <w:tcW w:w="0" w:type="auto"/>
            <w:gridSpan w:val="3"/>
            <w:shd w:val="clear" w:color="auto" w:fill="auto"/>
            <w:vAlign w:val="bottom"/>
          </w:tcPr>
          <w:p w14:paraId="392C05BA" w14:textId="77777777" w:rsidR="00980E5F" w:rsidRDefault="00980E5F">
            <w:pPr>
              <w:rPr>
                <w:rFonts w:ascii="宋体"/>
                <w:vanish/>
              </w:rPr>
            </w:pPr>
          </w:p>
        </w:tc>
        <w:tc>
          <w:tcPr>
            <w:tcW w:w="0" w:type="auto"/>
            <w:gridSpan w:val="3"/>
            <w:shd w:val="clear" w:color="auto" w:fill="auto"/>
            <w:vAlign w:val="bottom"/>
          </w:tcPr>
          <w:p w14:paraId="392C05BB" w14:textId="77777777" w:rsidR="00980E5F" w:rsidRDefault="00980E5F">
            <w:pPr>
              <w:rPr>
                <w:rFonts w:ascii="宋体"/>
                <w:vanish/>
              </w:rPr>
            </w:pPr>
          </w:p>
        </w:tc>
        <w:tc>
          <w:tcPr>
            <w:tcW w:w="0" w:type="auto"/>
            <w:gridSpan w:val="3"/>
            <w:shd w:val="clear" w:color="auto" w:fill="auto"/>
            <w:vAlign w:val="bottom"/>
          </w:tcPr>
          <w:p w14:paraId="392C05BC" w14:textId="77777777" w:rsidR="00980E5F" w:rsidRDefault="00980E5F">
            <w:pPr>
              <w:rPr>
                <w:rFonts w:ascii="宋体"/>
                <w:vanish/>
              </w:rPr>
            </w:pPr>
          </w:p>
        </w:tc>
      </w:tr>
      <w:tr w:rsidR="00980E5F" w14:paraId="392C05CD" w14:textId="77777777">
        <w:tc>
          <w:tcPr>
            <w:tcW w:w="0" w:type="auto"/>
            <w:gridSpan w:val="3"/>
            <w:shd w:val="clear" w:color="auto" w:fill="CCEEFF"/>
            <w:tcMar>
              <w:top w:w="40" w:type="dxa"/>
              <w:left w:w="20" w:type="dxa"/>
              <w:bottom w:w="40" w:type="dxa"/>
              <w:right w:w="20" w:type="dxa"/>
            </w:tcMar>
            <w:vAlign w:val="bottom"/>
          </w:tcPr>
          <w:p w14:paraId="392C05BE"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392C05BF" w14:textId="77777777" w:rsidR="00980E5F" w:rsidRDefault="00483613">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392C05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5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5C2"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05C3" w14:textId="77777777" w:rsidR="00980E5F" w:rsidRDefault="00980E5F">
            <w:pPr>
              <w:jc w:val="right"/>
              <w:rPr>
                <w:rFonts w:ascii="宋体"/>
              </w:rPr>
            </w:pPr>
          </w:p>
        </w:tc>
        <w:tc>
          <w:tcPr>
            <w:tcW w:w="0" w:type="auto"/>
            <w:shd w:val="clear" w:color="auto" w:fill="auto"/>
            <w:vAlign w:val="bottom"/>
          </w:tcPr>
          <w:p w14:paraId="392C05C4" w14:textId="77777777" w:rsidR="00980E5F" w:rsidRDefault="00980E5F">
            <w:pPr>
              <w:rPr>
                <w:rFonts w:ascii="宋体"/>
                <w:vanish/>
              </w:rPr>
            </w:pPr>
          </w:p>
        </w:tc>
        <w:tc>
          <w:tcPr>
            <w:tcW w:w="0" w:type="auto"/>
            <w:shd w:val="clear" w:color="auto" w:fill="auto"/>
            <w:vAlign w:val="bottom"/>
          </w:tcPr>
          <w:p w14:paraId="392C05C5" w14:textId="77777777" w:rsidR="00980E5F" w:rsidRDefault="00980E5F">
            <w:pPr>
              <w:rPr>
                <w:rFonts w:ascii="宋体"/>
                <w:vanish/>
              </w:rPr>
            </w:pPr>
          </w:p>
        </w:tc>
        <w:tc>
          <w:tcPr>
            <w:tcW w:w="0" w:type="auto"/>
            <w:gridSpan w:val="3"/>
            <w:shd w:val="clear" w:color="auto" w:fill="auto"/>
            <w:vAlign w:val="bottom"/>
          </w:tcPr>
          <w:p w14:paraId="392C05C6" w14:textId="77777777" w:rsidR="00980E5F" w:rsidRDefault="00980E5F">
            <w:pPr>
              <w:rPr>
                <w:rFonts w:ascii="宋体"/>
                <w:vanish/>
              </w:rPr>
            </w:pPr>
          </w:p>
        </w:tc>
        <w:tc>
          <w:tcPr>
            <w:tcW w:w="0" w:type="auto"/>
            <w:gridSpan w:val="3"/>
            <w:shd w:val="clear" w:color="auto" w:fill="auto"/>
            <w:vAlign w:val="bottom"/>
          </w:tcPr>
          <w:p w14:paraId="392C05C7" w14:textId="77777777" w:rsidR="00980E5F" w:rsidRDefault="00980E5F">
            <w:pPr>
              <w:rPr>
                <w:rFonts w:ascii="宋体"/>
                <w:vanish/>
              </w:rPr>
            </w:pPr>
          </w:p>
        </w:tc>
        <w:tc>
          <w:tcPr>
            <w:tcW w:w="0" w:type="auto"/>
            <w:gridSpan w:val="3"/>
            <w:shd w:val="clear" w:color="auto" w:fill="auto"/>
            <w:vAlign w:val="bottom"/>
          </w:tcPr>
          <w:p w14:paraId="392C05C8" w14:textId="77777777" w:rsidR="00980E5F" w:rsidRDefault="00980E5F">
            <w:pPr>
              <w:rPr>
                <w:rFonts w:ascii="宋体"/>
                <w:vanish/>
              </w:rPr>
            </w:pPr>
          </w:p>
        </w:tc>
        <w:tc>
          <w:tcPr>
            <w:tcW w:w="0" w:type="auto"/>
            <w:gridSpan w:val="3"/>
            <w:shd w:val="clear" w:color="auto" w:fill="auto"/>
            <w:vAlign w:val="bottom"/>
          </w:tcPr>
          <w:p w14:paraId="392C05C9"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5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5CB" w14:textId="77777777" w:rsidR="00980E5F" w:rsidRDefault="00483613">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392C05CC" w14:textId="77777777" w:rsidR="00980E5F" w:rsidRDefault="00980E5F">
            <w:pPr>
              <w:jc w:val="right"/>
              <w:rPr>
                <w:rFonts w:ascii="宋体"/>
              </w:rPr>
            </w:pPr>
          </w:p>
        </w:tc>
      </w:tr>
      <w:tr w:rsidR="00980E5F" w14:paraId="392C05DD" w14:textId="77777777">
        <w:tc>
          <w:tcPr>
            <w:tcW w:w="0" w:type="auto"/>
            <w:gridSpan w:val="3"/>
            <w:shd w:val="clear" w:color="auto" w:fill="FFFFFF"/>
            <w:tcMar>
              <w:top w:w="40" w:type="dxa"/>
              <w:left w:w="20" w:type="dxa"/>
              <w:bottom w:w="40" w:type="dxa"/>
              <w:right w:w="20" w:type="dxa"/>
            </w:tcMar>
            <w:vAlign w:val="bottom"/>
          </w:tcPr>
          <w:p w14:paraId="392C05CE" w14:textId="77777777" w:rsidR="00980E5F" w:rsidRDefault="00483613">
            <w:pPr>
              <w:textAlignment w:val="bottom"/>
            </w:pPr>
            <w:r>
              <w:rPr>
                <w:rFonts w:ascii="Arial" w:eastAsia="宋体" w:hAnsi="Arial" w:cs="Arial"/>
                <w:b/>
                <w:bCs/>
                <w:color w:val="000000"/>
                <w:sz w:val="14"/>
                <w:szCs w:val="14"/>
              </w:rPr>
              <w:t>Accrual Balance at March 31,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5CF" w14:textId="77777777" w:rsidR="00980E5F" w:rsidRDefault="00483613">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5D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5D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5D2" w14:textId="77777777" w:rsidR="00980E5F" w:rsidRDefault="00483613">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5D3" w14:textId="77777777" w:rsidR="00980E5F" w:rsidRDefault="00980E5F">
            <w:pPr>
              <w:jc w:val="right"/>
              <w:rPr>
                <w:rFonts w:ascii="宋体"/>
              </w:rPr>
            </w:pPr>
          </w:p>
        </w:tc>
        <w:tc>
          <w:tcPr>
            <w:tcW w:w="0" w:type="auto"/>
            <w:shd w:val="clear" w:color="auto" w:fill="auto"/>
            <w:vAlign w:val="bottom"/>
          </w:tcPr>
          <w:p w14:paraId="392C05D4" w14:textId="77777777" w:rsidR="00980E5F" w:rsidRDefault="00980E5F">
            <w:pPr>
              <w:rPr>
                <w:rFonts w:ascii="宋体"/>
                <w:vanish/>
              </w:rPr>
            </w:pPr>
          </w:p>
        </w:tc>
        <w:tc>
          <w:tcPr>
            <w:tcW w:w="0" w:type="auto"/>
            <w:shd w:val="clear" w:color="auto" w:fill="auto"/>
            <w:vAlign w:val="bottom"/>
          </w:tcPr>
          <w:p w14:paraId="392C05D5" w14:textId="77777777" w:rsidR="00980E5F" w:rsidRDefault="00980E5F">
            <w:pPr>
              <w:rPr>
                <w:rFonts w:ascii="宋体"/>
                <w:vanish/>
              </w:rPr>
            </w:pPr>
          </w:p>
        </w:tc>
        <w:tc>
          <w:tcPr>
            <w:tcW w:w="0" w:type="auto"/>
            <w:gridSpan w:val="3"/>
            <w:shd w:val="clear" w:color="auto" w:fill="auto"/>
            <w:vAlign w:val="bottom"/>
          </w:tcPr>
          <w:p w14:paraId="392C05D6" w14:textId="77777777" w:rsidR="00980E5F" w:rsidRDefault="00980E5F">
            <w:pPr>
              <w:rPr>
                <w:rFonts w:ascii="宋体"/>
                <w:vanish/>
              </w:rPr>
            </w:pPr>
          </w:p>
        </w:tc>
        <w:tc>
          <w:tcPr>
            <w:tcW w:w="0" w:type="auto"/>
            <w:gridSpan w:val="3"/>
            <w:shd w:val="clear" w:color="auto" w:fill="auto"/>
            <w:vAlign w:val="bottom"/>
          </w:tcPr>
          <w:p w14:paraId="392C05D7" w14:textId="77777777" w:rsidR="00980E5F" w:rsidRDefault="00980E5F">
            <w:pPr>
              <w:rPr>
                <w:rFonts w:ascii="宋体"/>
                <w:vanish/>
              </w:rPr>
            </w:pPr>
          </w:p>
        </w:tc>
        <w:tc>
          <w:tcPr>
            <w:tcW w:w="0" w:type="auto"/>
            <w:gridSpan w:val="3"/>
            <w:shd w:val="clear" w:color="auto" w:fill="auto"/>
            <w:vAlign w:val="bottom"/>
          </w:tcPr>
          <w:p w14:paraId="392C05D8" w14:textId="77777777" w:rsidR="00980E5F" w:rsidRDefault="00980E5F">
            <w:pPr>
              <w:rPr>
                <w:rFonts w:ascii="宋体"/>
                <w:vanish/>
              </w:rPr>
            </w:pPr>
          </w:p>
        </w:tc>
        <w:tc>
          <w:tcPr>
            <w:tcW w:w="0" w:type="auto"/>
            <w:gridSpan w:val="3"/>
            <w:shd w:val="clear" w:color="auto" w:fill="auto"/>
            <w:vAlign w:val="bottom"/>
          </w:tcPr>
          <w:p w14:paraId="392C05D9"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5D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5DB" w14:textId="77777777" w:rsidR="00980E5F" w:rsidRDefault="00483613">
            <w:pPr>
              <w:jc w:val="right"/>
              <w:textAlignment w:val="bottom"/>
            </w:pPr>
            <w:r>
              <w:rPr>
                <w:rFonts w:ascii="Arial" w:eastAsia="宋体" w:hAnsi="Arial" w:cs="Arial"/>
                <w:color w:val="000000"/>
                <w:sz w:val="14"/>
                <w:szCs w:val="14"/>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5DC" w14:textId="77777777" w:rsidR="00980E5F" w:rsidRDefault="00980E5F">
            <w:pPr>
              <w:jc w:val="right"/>
              <w:rPr>
                <w:rFonts w:ascii="宋体"/>
              </w:rPr>
            </w:pPr>
          </w:p>
        </w:tc>
      </w:tr>
      <w:tr w:rsidR="00980E5F" w14:paraId="392C05EA" w14:textId="77777777">
        <w:trPr>
          <w:hidden/>
        </w:trPr>
        <w:tc>
          <w:tcPr>
            <w:tcW w:w="0" w:type="auto"/>
            <w:gridSpan w:val="3"/>
            <w:shd w:val="clear" w:color="auto" w:fill="auto"/>
            <w:vAlign w:val="bottom"/>
          </w:tcPr>
          <w:p w14:paraId="392C05DE" w14:textId="77777777" w:rsidR="00980E5F" w:rsidRDefault="00980E5F">
            <w:pPr>
              <w:rPr>
                <w:rFonts w:ascii="宋体"/>
                <w:vanish/>
              </w:rPr>
            </w:pPr>
          </w:p>
        </w:tc>
        <w:tc>
          <w:tcPr>
            <w:tcW w:w="0" w:type="auto"/>
            <w:gridSpan w:val="3"/>
            <w:shd w:val="clear" w:color="auto" w:fill="auto"/>
            <w:vAlign w:val="bottom"/>
          </w:tcPr>
          <w:p w14:paraId="392C05DF" w14:textId="77777777" w:rsidR="00980E5F" w:rsidRDefault="00980E5F">
            <w:pPr>
              <w:rPr>
                <w:rFonts w:ascii="宋体"/>
                <w:vanish/>
              </w:rPr>
            </w:pPr>
          </w:p>
        </w:tc>
        <w:tc>
          <w:tcPr>
            <w:tcW w:w="0" w:type="auto"/>
            <w:gridSpan w:val="3"/>
            <w:shd w:val="clear" w:color="auto" w:fill="auto"/>
            <w:vAlign w:val="bottom"/>
          </w:tcPr>
          <w:p w14:paraId="392C05E0" w14:textId="77777777" w:rsidR="00980E5F" w:rsidRDefault="00980E5F">
            <w:pPr>
              <w:rPr>
                <w:rFonts w:ascii="宋体"/>
                <w:vanish/>
              </w:rPr>
            </w:pPr>
          </w:p>
        </w:tc>
        <w:tc>
          <w:tcPr>
            <w:tcW w:w="0" w:type="auto"/>
            <w:gridSpan w:val="3"/>
            <w:shd w:val="clear" w:color="auto" w:fill="auto"/>
            <w:vAlign w:val="bottom"/>
          </w:tcPr>
          <w:p w14:paraId="392C05E1" w14:textId="77777777" w:rsidR="00980E5F" w:rsidRDefault="00980E5F">
            <w:pPr>
              <w:rPr>
                <w:rFonts w:ascii="宋体"/>
                <w:vanish/>
              </w:rPr>
            </w:pPr>
          </w:p>
        </w:tc>
        <w:tc>
          <w:tcPr>
            <w:tcW w:w="0" w:type="auto"/>
            <w:shd w:val="clear" w:color="auto" w:fill="auto"/>
            <w:vAlign w:val="bottom"/>
          </w:tcPr>
          <w:p w14:paraId="392C05E2" w14:textId="77777777" w:rsidR="00980E5F" w:rsidRDefault="00980E5F">
            <w:pPr>
              <w:rPr>
                <w:rFonts w:ascii="宋体"/>
                <w:vanish/>
              </w:rPr>
            </w:pPr>
          </w:p>
        </w:tc>
        <w:tc>
          <w:tcPr>
            <w:tcW w:w="0" w:type="auto"/>
            <w:shd w:val="clear" w:color="auto" w:fill="auto"/>
            <w:vAlign w:val="bottom"/>
          </w:tcPr>
          <w:p w14:paraId="392C05E3" w14:textId="77777777" w:rsidR="00980E5F" w:rsidRDefault="00980E5F">
            <w:pPr>
              <w:rPr>
                <w:rFonts w:ascii="宋体"/>
                <w:vanish/>
              </w:rPr>
            </w:pPr>
          </w:p>
        </w:tc>
        <w:tc>
          <w:tcPr>
            <w:tcW w:w="0" w:type="auto"/>
            <w:gridSpan w:val="3"/>
            <w:shd w:val="clear" w:color="auto" w:fill="auto"/>
            <w:vAlign w:val="bottom"/>
          </w:tcPr>
          <w:p w14:paraId="392C05E4" w14:textId="77777777" w:rsidR="00980E5F" w:rsidRDefault="00980E5F">
            <w:pPr>
              <w:rPr>
                <w:rFonts w:ascii="宋体"/>
                <w:vanish/>
              </w:rPr>
            </w:pPr>
          </w:p>
        </w:tc>
        <w:tc>
          <w:tcPr>
            <w:tcW w:w="0" w:type="auto"/>
            <w:gridSpan w:val="3"/>
            <w:shd w:val="clear" w:color="auto" w:fill="auto"/>
            <w:vAlign w:val="bottom"/>
          </w:tcPr>
          <w:p w14:paraId="392C05E5" w14:textId="77777777" w:rsidR="00980E5F" w:rsidRDefault="00980E5F">
            <w:pPr>
              <w:rPr>
                <w:rFonts w:ascii="宋体"/>
                <w:vanish/>
              </w:rPr>
            </w:pPr>
          </w:p>
        </w:tc>
        <w:tc>
          <w:tcPr>
            <w:tcW w:w="0" w:type="auto"/>
            <w:gridSpan w:val="3"/>
            <w:shd w:val="clear" w:color="auto" w:fill="auto"/>
            <w:vAlign w:val="bottom"/>
          </w:tcPr>
          <w:p w14:paraId="392C05E6" w14:textId="77777777" w:rsidR="00980E5F" w:rsidRDefault="00980E5F">
            <w:pPr>
              <w:rPr>
                <w:rFonts w:ascii="宋体"/>
                <w:vanish/>
              </w:rPr>
            </w:pPr>
          </w:p>
        </w:tc>
        <w:tc>
          <w:tcPr>
            <w:tcW w:w="0" w:type="auto"/>
            <w:gridSpan w:val="3"/>
            <w:shd w:val="clear" w:color="auto" w:fill="auto"/>
            <w:vAlign w:val="bottom"/>
          </w:tcPr>
          <w:p w14:paraId="392C05E7" w14:textId="77777777" w:rsidR="00980E5F" w:rsidRDefault="00980E5F">
            <w:pPr>
              <w:rPr>
                <w:rFonts w:ascii="宋体"/>
                <w:vanish/>
              </w:rPr>
            </w:pPr>
          </w:p>
        </w:tc>
        <w:tc>
          <w:tcPr>
            <w:tcW w:w="0" w:type="auto"/>
            <w:gridSpan w:val="3"/>
            <w:shd w:val="clear" w:color="auto" w:fill="auto"/>
            <w:vAlign w:val="bottom"/>
          </w:tcPr>
          <w:p w14:paraId="392C05E8" w14:textId="77777777" w:rsidR="00980E5F" w:rsidRDefault="00980E5F">
            <w:pPr>
              <w:rPr>
                <w:rFonts w:ascii="宋体"/>
                <w:vanish/>
              </w:rPr>
            </w:pPr>
          </w:p>
        </w:tc>
        <w:tc>
          <w:tcPr>
            <w:tcW w:w="0" w:type="auto"/>
            <w:gridSpan w:val="3"/>
            <w:shd w:val="clear" w:color="auto" w:fill="auto"/>
            <w:vAlign w:val="bottom"/>
          </w:tcPr>
          <w:p w14:paraId="392C05E9" w14:textId="77777777" w:rsidR="00980E5F" w:rsidRDefault="00980E5F">
            <w:pPr>
              <w:rPr>
                <w:rFonts w:ascii="宋体"/>
                <w:vanish/>
              </w:rPr>
            </w:pPr>
          </w:p>
        </w:tc>
      </w:tr>
      <w:tr w:rsidR="00980E5F" w14:paraId="392C05F7" w14:textId="77777777">
        <w:trPr>
          <w:hidden/>
        </w:trPr>
        <w:tc>
          <w:tcPr>
            <w:tcW w:w="0" w:type="auto"/>
            <w:gridSpan w:val="3"/>
            <w:shd w:val="clear" w:color="auto" w:fill="auto"/>
            <w:vAlign w:val="bottom"/>
          </w:tcPr>
          <w:p w14:paraId="392C05EB" w14:textId="77777777" w:rsidR="00980E5F" w:rsidRDefault="00980E5F">
            <w:pPr>
              <w:rPr>
                <w:rFonts w:ascii="宋体"/>
                <w:vanish/>
              </w:rPr>
            </w:pPr>
          </w:p>
        </w:tc>
        <w:tc>
          <w:tcPr>
            <w:tcW w:w="0" w:type="auto"/>
            <w:gridSpan w:val="3"/>
            <w:shd w:val="clear" w:color="auto" w:fill="auto"/>
            <w:vAlign w:val="bottom"/>
          </w:tcPr>
          <w:p w14:paraId="392C05EC" w14:textId="77777777" w:rsidR="00980E5F" w:rsidRDefault="00980E5F">
            <w:pPr>
              <w:rPr>
                <w:rFonts w:ascii="宋体"/>
                <w:vanish/>
              </w:rPr>
            </w:pPr>
          </w:p>
        </w:tc>
        <w:tc>
          <w:tcPr>
            <w:tcW w:w="0" w:type="auto"/>
            <w:gridSpan w:val="3"/>
            <w:shd w:val="clear" w:color="auto" w:fill="auto"/>
            <w:vAlign w:val="bottom"/>
          </w:tcPr>
          <w:p w14:paraId="392C05ED" w14:textId="77777777" w:rsidR="00980E5F" w:rsidRDefault="00980E5F">
            <w:pPr>
              <w:rPr>
                <w:rFonts w:ascii="宋体"/>
                <w:vanish/>
              </w:rPr>
            </w:pPr>
          </w:p>
        </w:tc>
        <w:tc>
          <w:tcPr>
            <w:tcW w:w="0" w:type="auto"/>
            <w:gridSpan w:val="3"/>
            <w:shd w:val="clear" w:color="auto" w:fill="auto"/>
            <w:vAlign w:val="bottom"/>
          </w:tcPr>
          <w:p w14:paraId="392C05EE" w14:textId="77777777" w:rsidR="00980E5F" w:rsidRDefault="00980E5F">
            <w:pPr>
              <w:rPr>
                <w:rFonts w:ascii="宋体"/>
                <w:vanish/>
              </w:rPr>
            </w:pPr>
          </w:p>
        </w:tc>
        <w:tc>
          <w:tcPr>
            <w:tcW w:w="0" w:type="auto"/>
            <w:shd w:val="clear" w:color="auto" w:fill="auto"/>
            <w:vAlign w:val="bottom"/>
          </w:tcPr>
          <w:p w14:paraId="392C05EF" w14:textId="77777777" w:rsidR="00980E5F" w:rsidRDefault="00980E5F">
            <w:pPr>
              <w:rPr>
                <w:rFonts w:ascii="宋体"/>
                <w:vanish/>
              </w:rPr>
            </w:pPr>
          </w:p>
        </w:tc>
        <w:tc>
          <w:tcPr>
            <w:tcW w:w="0" w:type="auto"/>
            <w:shd w:val="clear" w:color="auto" w:fill="auto"/>
            <w:vAlign w:val="bottom"/>
          </w:tcPr>
          <w:p w14:paraId="392C05F0" w14:textId="77777777" w:rsidR="00980E5F" w:rsidRDefault="00980E5F">
            <w:pPr>
              <w:rPr>
                <w:rFonts w:ascii="宋体"/>
                <w:vanish/>
              </w:rPr>
            </w:pPr>
          </w:p>
        </w:tc>
        <w:tc>
          <w:tcPr>
            <w:tcW w:w="0" w:type="auto"/>
            <w:gridSpan w:val="3"/>
            <w:shd w:val="clear" w:color="auto" w:fill="auto"/>
            <w:vAlign w:val="bottom"/>
          </w:tcPr>
          <w:p w14:paraId="392C05F1" w14:textId="77777777" w:rsidR="00980E5F" w:rsidRDefault="00980E5F">
            <w:pPr>
              <w:rPr>
                <w:rFonts w:ascii="宋体"/>
                <w:vanish/>
              </w:rPr>
            </w:pPr>
          </w:p>
        </w:tc>
        <w:tc>
          <w:tcPr>
            <w:tcW w:w="0" w:type="auto"/>
            <w:gridSpan w:val="3"/>
            <w:shd w:val="clear" w:color="auto" w:fill="auto"/>
            <w:vAlign w:val="bottom"/>
          </w:tcPr>
          <w:p w14:paraId="392C05F2" w14:textId="77777777" w:rsidR="00980E5F" w:rsidRDefault="00980E5F">
            <w:pPr>
              <w:rPr>
                <w:rFonts w:ascii="宋体"/>
                <w:vanish/>
              </w:rPr>
            </w:pPr>
          </w:p>
        </w:tc>
        <w:tc>
          <w:tcPr>
            <w:tcW w:w="0" w:type="auto"/>
            <w:gridSpan w:val="3"/>
            <w:shd w:val="clear" w:color="auto" w:fill="auto"/>
            <w:vAlign w:val="bottom"/>
          </w:tcPr>
          <w:p w14:paraId="392C05F3" w14:textId="77777777" w:rsidR="00980E5F" w:rsidRDefault="00980E5F">
            <w:pPr>
              <w:rPr>
                <w:rFonts w:ascii="宋体"/>
                <w:vanish/>
              </w:rPr>
            </w:pPr>
          </w:p>
        </w:tc>
        <w:tc>
          <w:tcPr>
            <w:tcW w:w="0" w:type="auto"/>
            <w:gridSpan w:val="3"/>
            <w:shd w:val="clear" w:color="auto" w:fill="auto"/>
            <w:vAlign w:val="bottom"/>
          </w:tcPr>
          <w:p w14:paraId="392C05F4" w14:textId="77777777" w:rsidR="00980E5F" w:rsidRDefault="00980E5F">
            <w:pPr>
              <w:rPr>
                <w:rFonts w:ascii="宋体"/>
                <w:vanish/>
              </w:rPr>
            </w:pPr>
          </w:p>
        </w:tc>
        <w:tc>
          <w:tcPr>
            <w:tcW w:w="0" w:type="auto"/>
            <w:gridSpan w:val="3"/>
            <w:shd w:val="clear" w:color="auto" w:fill="auto"/>
            <w:vAlign w:val="bottom"/>
          </w:tcPr>
          <w:p w14:paraId="392C05F5" w14:textId="77777777" w:rsidR="00980E5F" w:rsidRDefault="00980E5F">
            <w:pPr>
              <w:rPr>
                <w:rFonts w:ascii="宋体"/>
                <w:vanish/>
              </w:rPr>
            </w:pPr>
          </w:p>
        </w:tc>
        <w:tc>
          <w:tcPr>
            <w:tcW w:w="0" w:type="auto"/>
            <w:gridSpan w:val="3"/>
            <w:shd w:val="clear" w:color="auto" w:fill="auto"/>
            <w:vAlign w:val="bottom"/>
          </w:tcPr>
          <w:p w14:paraId="392C05F6" w14:textId="77777777" w:rsidR="00980E5F" w:rsidRDefault="00980E5F">
            <w:pPr>
              <w:rPr>
                <w:rFonts w:ascii="宋体"/>
                <w:vanish/>
              </w:rPr>
            </w:pPr>
          </w:p>
        </w:tc>
      </w:tr>
      <w:tr w:rsidR="00980E5F" w14:paraId="392C0607" w14:textId="77777777">
        <w:tc>
          <w:tcPr>
            <w:tcW w:w="0" w:type="auto"/>
            <w:gridSpan w:val="3"/>
            <w:shd w:val="clear" w:color="auto" w:fill="CCEEFF"/>
            <w:tcMar>
              <w:top w:w="40" w:type="dxa"/>
              <w:left w:w="20" w:type="dxa"/>
              <w:bottom w:w="40" w:type="dxa"/>
              <w:right w:w="20" w:type="dxa"/>
            </w:tcMar>
            <w:vAlign w:val="bottom"/>
          </w:tcPr>
          <w:p w14:paraId="392C05F8"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392C05F9" w14:textId="77777777" w:rsidR="00980E5F" w:rsidRDefault="00483613">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92C05F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5F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5F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5FD" w14:textId="77777777" w:rsidR="00980E5F" w:rsidRDefault="00980E5F">
            <w:pPr>
              <w:jc w:val="right"/>
              <w:rPr>
                <w:rFonts w:ascii="宋体"/>
              </w:rPr>
            </w:pPr>
          </w:p>
        </w:tc>
        <w:tc>
          <w:tcPr>
            <w:tcW w:w="0" w:type="auto"/>
            <w:shd w:val="clear" w:color="auto" w:fill="auto"/>
            <w:vAlign w:val="bottom"/>
          </w:tcPr>
          <w:p w14:paraId="392C05FE" w14:textId="77777777" w:rsidR="00980E5F" w:rsidRDefault="00980E5F">
            <w:pPr>
              <w:rPr>
                <w:rFonts w:ascii="宋体"/>
                <w:vanish/>
              </w:rPr>
            </w:pPr>
          </w:p>
        </w:tc>
        <w:tc>
          <w:tcPr>
            <w:tcW w:w="0" w:type="auto"/>
            <w:shd w:val="clear" w:color="auto" w:fill="auto"/>
            <w:vAlign w:val="bottom"/>
          </w:tcPr>
          <w:p w14:paraId="392C05FF" w14:textId="77777777" w:rsidR="00980E5F" w:rsidRDefault="00980E5F">
            <w:pPr>
              <w:rPr>
                <w:rFonts w:ascii="宋体"/>
                <w:vanish/>
              </w:rPr>
            </w:pPr>
          </w:p>
        </w:tc>
        <w:tc>
          <w:tcPr>
            <w:tcW w:w="0" w:type="auto"/>
            <w:gridSpan w:val="3"/>
            <w:shd w:val="clear" w:color="auto" w:fill="auto"/>
            <w:vAlign w:val="bottom"/>
          </w:tcPr>
          <w:p w14:paraId="392C0600" w14:textId="77777777" w:rsidR="00980E5F" w:rsidRDefault="00980E5F">
            <w:pPr>
              <w:rPr>
                <w:rFonts w:ascii="宋体"/>
                <w:vanish/>
              </w:rPr>
            </w:pPr>
          </w:p>
        </w:tc>
        <w:tc>
          <w:tcPr>
            <w:tcW w:w="0" w:type="auto"/>
            <w:gridSpan w:val="3"/>
            <w:shd w:val="clear" w:color="auto" w:fill="auto"/>
            <w:vAlign w:val="bottom"/>
          </w:tcPr>
          <w:p w14:paraId="392C0601" w14:textId="77777777" w:rsidR="00980E5F" w:rsidRDefault="00980E5F">
            <w:pPr>
              <w:rPr>
                <w:rFonts w:ascii="宋体"/>
                <w:vanish/>
              </w:rPr>
            </w:pPr>
          </w:p>
        </w:tc>
        <w:tc>
          <w:tcPr>
            <w:tcW w:w="0" w:type="auto"/>
            <w:gridSpan w:val="3"/>
            <w:shd w:val="clear" w:color="auto" w:fill="auto"/>
            <w:vAlign w:val="bottom"/>
          </w:tcPr>
          <w:p w14:paraId="392C0602" w14:textId="77777777" w:rsidR="00980E5F" w:rsidRDefault="00980E5F">
            <w:pPr>
              <w:rPr>
                <w:rFonts w:ascii="宋体"/>
                <w:vanish/>
              </w:rPr>
            </w:pPr>
          </w:p>
        </w:tc>
        <w:tc>
          <w:tcPr>
            <w:tcW w:w="0" w:type="auto"/>
            <w:gridSpan w:val="3"/>
            <w:shd w:val="clear" w:color="auto" w:fill="auto"/>
            <w:vAlign w:val="bottom"/>
          </w:tcPr>
          <w:p w14:paraId="392C060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06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605" w14:textId="77777777" w:rsidR="00980E5F" w:rsidRDefault="00483613">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92C0606" w14:textId="77777777" w:rsidR="00980E5F" w:rsidRDefault="00980E5F">
            <w:pPr>
              <w:jc w:val="right"/>
              <w:rPr>
                <w:rFonts w:ascii="宋体"/>
              </w:rPr>
            </w:pPr>
          </w:p>
        </w:tc>
      </w:tr>
      <w:tr w:rsidR="00980E5F" w14:paraId="392C061A" w14:textId="77777777">
        <w:tc>
          <w:tcPr>
            <w:tcW w:w="0" w:type="auto"/>
            <w:gridSpan w:val="3"/>
            <w:shd w:val="clear" w:color="auto" w:fill="FFFFFF"/>
            <w:tcMar>
              <w:top w:w="40" w:type="dxa"/>
              <w:left w:w="20" w:type="dxa"/>
              <w:bottom w:w="40" w:type="dxa"/>
              <w:right w:w="20" w:type="dxa"/>
            </w:tcMar>
            <w:vAlign w:val="bottom"/>
          </w:tcPr>
          <w:p w14:paraId="392C0608" w14:textId="77777777" w:rsidR="00980E5F" w:rsidRDefault="00483613">
            <w:pPr>
              <w:textAlignment w:val="bottom"/>
            </w:pPr>
            <w:r>
              <w:rPr>
                <w:rFonts w:ascii="Arial" w:eastAsia="宋体" w:hAnsi="Arial" w:cs="Arial"/>
                <w:b/>
                <w:bCs/>
                <w:color w:val="000000"/>
                <w:sz w:val="14"/>
                <w:szCs w:val="14"/>
              </w:rPr>
              <w:t>Accrual Balance at June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60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60A" w14:textId="77777777" w:rsidR="00980E5F" w:rsidRDefault="00483613">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60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60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60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60E"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60F" w14:textId="77777777" w:rsidR="00980E5F" w:rsidRDefault="00980E5F">
            <w:pPr>
              <w:jc w:val="right"/>
              <w:rPr>
                <w:rFonts w:ascii="宋体"/>
              </w:rPr>
            </w:pPr>
          </w:p>
        </w:tc>
        <w:tc>
          <w:tcPr>
            <w:tcW w:w="0" w:type="auto"/>
            <w:shd w:val="clear" w:color="auto" w:fill="auto"/>
            <w:vAlign w:val="bottom"/>
          </w:tcPr>
          <w:p w14:paraId="392C0610" w14:textId="77777777" w:rsidR="00980E5F" w:rsidRDefault="00980E5F">
            <w:pPr>
              <w:rPr>
                <w:rFonts w:ascii="宋体"/>
                <w:vanish/>
              </w:rPr>
            </w:pPr>
          </w:p>
        </w:tc>
        <w:tc>
          <w:tcPr>
            <w:tcW w:w="0" w:type="auto"/>
            <w:shd w:val="clear" w:color="auto" w:fill="auto"/>
            <w:vAlign w:val="bottom"/>
          </w:tcPr>
          <w:p w14:paraId="392C0611" w14:textId="77777777" w:rsidR="00980E5F" w:rsidRDefault="00980E5F">
            <w:pPr>
              <w:rPr>
                <w:rFonts w:ascii="宋体"/>
                <w:vanish/>
              </w:rPr>
            </w:pPr>
          </w:p>
        </w:tc>
        <w:tc>
          <w:tcPr>
            <w:tcW w:w="0" w:type="auto"/>
            <w:gridSpan w:val="3"/>
            <w:shd w:val="clear" w:color="auto" w:fill="auto"/>
            <w:vAlign w:val="bottom"/>
          </w:tcPr>
          <w:p w14:paraId="392C0612" w14:textId="77777777" w:rsidR="00980E5F" w:rsidRDefault="00980E5F">
            <w:pPr>
              <w:rPr>
                <w:rFonts w:ascii="宋体"/>
                <w:vanish/>
              </w:rPr>
            </w:pPr>
          </w:p>
        </w:tc>
        <w:tc>
          <w:tcPr>
            <w:tcW w:w="0" w:type="auto"/>
            <w:gridSpan w:val="3"/>
            <w:shd w:val="clear" w:color="auto" w:fill="auto"/>
            <w:vAlign w:val="bottom"/>
          </w:tcPr>
          <w:p w14:paraId="392C0613" w14:textId="77777777" w:rsidR="00980E5F" w:rsidRDefault="00980E5F">
            <w:pPr>
              <w:rPr>
                <w:rFonts w:ascii="宋体"/>
                <w:vanish/>
              </w:rPr>
            </w:pPr>
          </w:p>
        </w:tc>
        <w:tc>
          <w:tcPr>
            <w:tcW w:w="0" w:type="auto"/>
            <w:gridSpan w:val="3"/>
            <w:shd w:val="clear" w:color="auto" w:fill="auto"/>
            <w:vAlign w:val="bottom"/>
          </w:tcPr>
          <w:p w14:paraId="392C0614" w14:textId="77777777" w:rsidR="00980E5F" w:rsidRDefault="00980E5F">
            <w:pPr>
              <w:rPr>
                <w:rFonts w:ascii="宋体"/>
                <w:vanish/>
              </w:rPr>
            </w:pPr>
          </w:p>
        </w:tc>
        <w:tc>
          <w:tcPr>
            <w:tcW w:w="0" w:type="auto"/>
            <w:gridSpan w:val="3"/>
            <w:shd w:val="clear" w:color="auto" w:fill="auto"/>
            <w:vAlign w:val="bottom"/>
          </w:tcPr>
          <w:p w14:paraId="392C0615"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0616"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61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618" w14:textId="77777777" w:rsidR="00980E5F" w:rsidRDefault="00483613">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619" w14:textId="77777777" w:rsidR="00980E5F" w:rsidRDefault="00980E5F">
            <w:pPr>
              <w:jc w:val="right"/>
              <w:rPr>
                <w:rFonts w:ascii="宋体"/>
              </w:rPr>
            </w:pPr>
          </w:p>
        </w:tc>
      </w:tr>
      <w:tr w:rsidR="00980E5F" w14:paraId="392C0627" w14:textId="77777777">
        <w:trPr>
          <w:hidden/>
        </w:trPr>
        <w:tc>
          <w:tcPr>
            <w:tcW w:w="0" w:type="auto"/>
            <w:gridSpan w:val="3"/>
            <w:shd w:val="clear" w:color="auto" w:fill="auto"/>
            <w:vAlign w:val="bottom"/>
          </w:tcPr>
          <w:p w14:paraId="392C061B" w14:textId="77777777" w:rsidR="00980E5F" w:rsidRDefault="00980E5F">
            <w:pPr>
              <w:rPr>
                <w:rFonts w:ascii="宋体"/>
                <w:vanish/>
              </w:rPr>
            </w:pPr>
          </w:p>
        </w:tc>
        <w:tc>
          <w:tcPr>
            <w:tcW w:w="0" w:type="auto"/>
            <w:gridSpan w:val="3"/>
            <w:shd w:val="clear" w:color="auto" w:fill="auto"/>
            <w:vAlign w:val="bottom"/>
          </w:tcPr>
          <w:p w14:paraId="392C061C" w14:textId="77777777" w:rsidR="00980E5F" w:rsidRDefault="00980E5F">
            <w:pPr>
              <w:rPr>
                <w:rFonts w:ascii="宋体"/>
                <w:vanish/>
              </w:rPr>
            </w:pPr>
          </w:p>
        </w:tc>
        <w:tc>
          <w:tcPr>
            <w:tcW w:w="0" w:type="auto"/>
            <w:gridSpan w:val="3"/>
            <w:shd w:val="clear" w:color="auto" w:fill="auto"/>
            <w:vAlign w:val="bottom"/>
          </w:tcPr>
          <w:p w14:paraId="392C061D" w14:textId="77777777" w:rsidR="00980E5F" w:rsidRDefault="00980E5F">
            <w:pPr>
              <w:rPr>
                <w:rFonts w:ascii="宋体"/>
                <w:vanish/>
              </w:rPr>
            </w:pPr>
          </w:p>
        </w:tc>
        <w:tc>
          <w:tcPr>
            <w:tcW w:w="0" w:type="auto"/>
            <w:gridSpan w:val="3"/>
            <w:shd w:val="clear" w:color="auto" w:fill="auto"/>
            <w:vAlign w:val="bottom"/>
          </w:tcPr>
          <w:p w14:paraId="392C061E" w14:textId="77777777" w:rsidR="00980E5F" w:rsidRDefault="00980E5F">
            <w:pPr>
              <w:rPr>
                <w:rFonts w:ascii="宋体"/>
                <w:vanish/>
              </w:rPr>
            </w:pPr>
          </w:p>
        </w:tc>
        <w:tc>
          <w:tcPr>
            <w:tcW w:w="0" w:type="auto"/>
            <w:shd w:val="clear" w:color="auto" w:fill="auto"/>
            <w:vAlign w:val="bottom"/>
          </w:tcPr>
          <w:p w14:paraId="392C061F" w14:textId="77777777" w:rsidR="00980E5F" w:rsidRDefault="00980E5F">
            <w:pPr>
              <w:rPr>
                <w:rFonts w:ascii="宋体"/>
                <w:vanish/>
              </w:rPr>
            </w:pPr>
          </w:p>
        </w:tc>
        <w:tc>
          <w:tcPr>
            <w:tcW w:w="0" w:type="auto"/>
            <w:shd w:val="clear" w:color="auto" w:fill="auto"/>
            <w:vAlign w:val="bottom"/>
          </w:tcPr>
          <w:p w14:paraId="392C0620" w14:textId="77777777" w:rsidR="00980E5F" w:rsidRDefault="00980E5F">
            <w:pPr>
              <w:rPr>
                <w:rFonts w:ascii="宋体"/>
                <w:vanish/>
              </w:rPr>
            </w:pPr>
          </w:p>
        </w:tc>
        <w:tc>
          <w:tcPr>
            <w:tcW w:w="0" w:type="auto"/>
            <w:gridSpan w:val="3"/>
            <w:shd w:val="clear" w:color="auto" w:fill="auto"/>
            <w:vAlign w:val="bottom"/>
          </w:tcPr>
          <w:p w14:paraId="392C0621" w14:textId="77777777" w:rsidR="00980E5F" w:rsidRDefault="00980E5F">
            <w:pPr>
              <w:rPr>
                <w:rFonts w:ascii="宋体"/>
                <w:vanish/>
              </w:rPr>
            </w:pPr>
          </w:p>
        </w:tc>
        <w:tc>
          <w:tcPr>
            <w:tcW w:w="0" w:type="auto"/>
            <w:gridSpan w:val="3"/>
            <w:shd w:val="clear" w:color="auto" w:fill="auto"/>
            <w:vAlign w:val="bottom"/>
          </w:tcPr>
          <w:p w14:paraId="392C0622" w14:textId="77777777" w:rsidR="00980E5F" w:rsidRDefault="00980E5F">
            <w:pPr>
              <w:rPr>
                <w:rFonts w:ascii="宋体"/>
                <w:vanish/>
              </w:rPr>
            </w:pPr>
          </w:p>
        </w:tc>
        <w:tc>
          <w:tcPr>
            <w:tcW w:w="0" w:type="auto"/>
            <w:gridSpan w:val="3"/>
            <w:shd w:val="clear" w:color="auto" w:fill="auto"/>
            <w:vAlign w:val="bottom"/>
          </w:tcPr>
          <w:p w14:paraId="392C0623" w14:textId="77777777" w:rsidR="00980E5F" w:rsidRDefault="00980E5F">
            <w:pPr>
              <w:rPr>
                <w:rFonts w:ascii="宋体"/>
                <w:vanish/>
              </w:rPr>
            </w:pPr>
          </w:p>
        </w:tc>
        <w:tc>
          <w:tcPr>
            <w:tcW w:w="0" w:type="auto"/>
            <w:gridSpan w:val="3"/>
            <w:shd w:val="clear" w:color="auto" w:fill="auto"/>
            <w:vAlign w:val="bottom"/>
          </w:tcPr>
          <w:p w14:paraId="392C0624" w14:textId="77777777" w:rsidR="00980E5F" w:rsidRDefault="00980E5F">
            <w:pPr>
              <w:rPr>
                <w:rFonts w:ascii="宋体"/>
                <w:vanish/>
              </w:rPr>
            </w:pPr>
          </w:p>
        </w:tc>
        <w:tc>
          <w:tcPr>
            <w:tcW w:w="0" w:type="auto"/>
            <w:gridSpan w:val="3"/>
            <w:shd w:val="clear" w:color="auto" w:fill="auto"/>
            <w:vAlign w:val="bottom"/>
          </w:tcPr>
          <w:p w14:paraId="392C0625" w14:textId="77777777" w:rsidR="00980E5F" w:rsidRDefault="00980E5F">
            <w:pPr>
              <w:rPr>
                <w:rFonts w:ascii="宋体"/>
                <w:vanish/>
              </w:rPr>
            </w:pPr>
          </w:p>
        </w:tc>
        <w:tc>
          <w:tcPr>
            <w:tcW w:w="0" w:type="auto"/>
            <w:gridSpan w:val="3"/>
            <w:shd w:val="clear" w:color="auto" w:fill="auto"/>
            <w:vAlign w:val="bottom"/>
          </w:tcPr>
          <w:p w14:paraId="392C0626" w14:textId="77777777" w:rsidR="00980E5F" w:rsidRDefault="00980E5F">
            <w:pPr>
              <w:rPr>
                <w:rFonts w:ascii="宋体"/>
                <w:vanish/>
              </w:rPr>
            </w:pPr>
          </w:p>
        </w:tc>
      </w:tr>
      <w:tr w:rsidR="00980E5F" w14:paraId="392C0634" w14:textId="77777777">
        <w:trPr>
          <w:hidden/>
        </w:trPr>
        <w:tc>
          <w:tcPr>
            <w:tcW w:w="0" w:type="auto"/>
            <w:gridSpan w:val="3"/>
            <w:shd w:val="clear" w:color="auto" w:fill="auto"/>
            <w:vAlign w:val="bottom"/>
          </w:tcPr>
          <w:p w14:paraId="392C0628" w14:textId="77777777" w:rsidR="00980E5F" w:rsidRDefault="00980E5F">
            <w:pPr>
              <w:rPr>
                <w:rFonts w:ascii="宋体"/>
                <w:vanish/>
              </w:rPr>
            </w:pPr>
          </w:p>
        </w:tc>
        <w:tc>
          <w:tcPr>
            <w:tcW w:w="0" w:type="auto"/>
            <w:gridSpan w:val="3"/>
            <w:shd w:val="clear" w:color="auto" w:fill="auto"/>
            <w:vAlign w:val="bottom"/>
          </w:tcPr>
          <w:p w14:paraId="392C0629" w14:textId="77777777" w:rsidR="00980E5F" w:rsidRDefault="00980E5F">
            <w:pPr>
              <w:rPr>
                <w:rFonts w:ascii="宋体"/>
                <w:vanish/>
              </w:rPr>
            </w:pPr>
          </w:p>
        </w:tc>
        <w:tc>
          <w:tcPr>
            <w:tcW w:w="0" w:type="auto"/>
            <w:gridSpan w:val="3"/>
            <w:shd w:val="clear" w:color="auto" w:fill="auto"/>
            <w:vAlign w:val="bottom"/>
          </w:tcPr>
          <w:p w14:paraId="392C062A" w14:textId="77777777" w:rsidR="00980E5F" w:rsidRDefault="00980E5F">
            <w:pPr>
              <w:rPr>
                <w:rFonts w:ascii="宋体"/>
                <w:vanish/>
              </w:rPr>
            </w:pPr>
          </w:p>
        </w:tc>
        <w:tc>
          <w:tcPr>
            <w:tcW w:w="0" w:type="auto"/>
            <w:gridSpan w:val="3"/>
            <w:shd w:val="clear" w:color="auto" w:fill="auto"/>
            <w:vAlign w:val="bottom"/>
          </w:tcPr>
          <w:p w14:paraId="392C062B" w14:textId="77777777" w:rsidR="00980E5F" w:rsidRDefault="00980E5F">
            <w:pPr>
              <w:rPr>
                <w:rFonts w:ascii="宋体"/>
                <w:vanish/>
              </w:rPr>
            </w:pPr>
          </w:p>
        </w:tc>
        <w:tc>
          <w:tcPr>
            <w:tcW w:w="0" w:type="auto"/>
            <w:shd w:val="clear" w:color="auto" w:fill="auto"/>
            <w:vAlign w:val="bottom"/>
          </w:tcPr>
          <w:p w14:paraId="392C062C" w14:textId="77777777" w:rsidR="00980E5F" w:rsidRDefault="00980E5F">
            <w:pPr>
              <w:rPr>
                <w:rFonts w:ascii="宋体"/>
                <w:vanish/>
              </w:rPr>
            </w:pPr>
          </w:p>
        </w:tc>
        <w:tc>
          <w:tcPr>
            <w:tcW w:w="0" w:type="auto"/>
            <w:shd w:val="clear" w:color="auto" w:fill="auto"/>
            <w:vAlign w:val="bottom"/>
          </w:tcPr>
          <w:p w14:paraId="392C062D" w14:textId="77777777" w:rsidR="00980E5F" w:rsidRDefault="00980E5F">
            <w:pPr>
              <w:rPr>
                <w:rFonts w:ascii="宋体"/>
                <w:vanish/>
              </w:rPr>
            </w:pPr>
          </w:p>
        </w:tc>
        <w:tc>
          <w:tcPr>
            <w:tcW w:w="0" w:type="auto"/>
            <w:gridSpan w:val="3"/>
            <w:shd w:val="clear" w:color="auto" w:fill="auto"/>
            <w:vAlign w:val="bottom"/>
          </w:tcPr>
          <w:p w14:paraId="392C062E" w14:textId="77777777" w:rsidR="00980E5F" w:rsidRDefault="00980E5F">
            <w:pPr>
              <w:rPr>
                <w:rFonts w:ascii="宋体"/>
                <w:vanish/>
              </w:rPr>
            </w:pPr>
          </w:p>
        </w:tc>
        <w:tc>
          <w:tcPr>
            <w:tcW w:w="0" w:type="auto"/>
            <w:gridSpan w:val="3"/>
            <w:shd w:val="clear" w:color="auto" w:fill="auto"/>
            <w:vAlign w:val="bottom"/>
          </w:tcPr>
          <w:p w14:paraId="392C062F" w14:textId="77777777" w:rsidR="00980E5F" w:rsidRDefault="00980E5F">
            <w:pPr>
              <w:rPr>
                <w:rFonts w:ascii="宋体"/>
                <w:vanish/>
              </w:rPr>
            </w:pPr>
          </w:p>
        </w:tc>
        <w:tc>
          <w:tcPr>
            <w:tcW w:w="0" w:type="auto"/>
            <w:gridSpan w:val="3"/>
            <w:shd w:val="clear" w:color="auto" w:fill="auto"/>
            <w:vAlign w:val="bottom"/>
          </w:tcPr>
          <w:p w14:paraId="392C0630" w14:textId="77777777" w:rsidR="00980E5F" w:rsidRDefault="00980E5F">
            <w:pPr>
              <w:rPr>
                <w:rFonts w:ascii="宋体"/>
                <w:vanish/>
              </w:rPr>
            </w:pPr>
          </w:p>
        </w:tc>
        <w:tc>
          <w:tcPr>
            <w:tcW w:w="0" w:type="auto"/>
            <w:gridSpan w:val="3"/>
            <w:shd w:val="clear" w:color="auto" w:fill="auto"/>
            <w:vAlign w:val="bottom"/>
          </w:tcPr>
          <w:p w14:paraId="392C0631" w14:textId="77777777" w:rsidR="00980E5F" w:rsidRDefault="00980E5F">
            <w:pPr>
              <w:rPr>
                <w:rFonts w:ascii="宋体"/>
                <w:vanish/>
              </w:rPr>
            </w:pPr>
          </w:p>
        </w:tc>
        <w:tc>
          <w:tcPr>
            <w:tcW w:w="0" w:type="auto"/>
            <w:gridSpan w:val="3"/>
            <w:shd w:val="clear" w:color="auto" w:fill="auto"/>
            <w:vAlign w:val="bottom"/>
          </w:tcPr>
          <w:p w14:paraId="392C0632" w14:textId="77777777" w:rsidR="00980E5F" w:rsidRDefault="00980E5F">
            <w:pPr>
              <w:rPr>
                <w:rFonts w:ascii="宋体"/>
                <w:vanish/>
              </w:rPr>
            </w:pPr>
          </w:p>
        </w:tc>
        <w:tc>
          <w:tcPr>
            <w:tcW w:w="0" w:type="auto"/>
            <w:gridSpan w:val="3"/>
            <w:shd w:val="clear" w:color="auto" w:fill="auto"/>
            <w:vAlign w:val="bottom"/>
          </w:tcPr>
          <w:p w14:paraId="392C0633" w14:textId="77777777" w:rsidR="00980E5F" w:rsidRDefault="00980E5F">
            <w:pPr>
              <w:rPr>
                <w:rFonts w:ascii="宋体"/>
                <w:vanish/>
              </w:rPr>
            </w:pPr>
          </w:p>
        </w:tc>
      </w:tr>
    </w:tbl>
    <w:p w14:paraId="392C0635" w14:textId="77777777" w:rsidR="00980E5F" w:rsidRDefault="00483613">
      <w:pPr>
        <w:spacing w:before="90"/>
        <w:textAlignment w:val="top"/>
      </w:pPr>
      <w:r>
        <w:rPr>
          <w:rFonts w:ascii="Arial" w:eastAsia="宋体" w:hAnsi="Arial" w:cs="Arial"/>
          <w:b/>
          <w:bCs/>
          <w:color w:val="000000"/>
          <w:sz w:val="20"/>
          <w:szCs w:val="20"/>
        </w:rPr>
        <w:t>Income Tax Expense</w:t>
      </w:r>
    </w:p>
    <w:p w14:paraId="392C0636" w14:textId="77777777" w:rsidR="00980E5F" w:rsidRDefault="00483613">
      <w:pPr>
        <w:spacing w:before="60"/>
        <w:ind w:firstLine="450"/>
        <w:jc w:val="both"/>
        <w:textAlignment w:val="top"/>
      </w:pPr>
      <w:r>
        <w:rPr>
          <w:rFonts w:ascii="Arial" w:eastAsia="宋体" w:hAnsi="Arial" w:cs="Arial"/>
          <w:color w:val="000000"/>
          <w:sz w:val="20"/>
          <w:szCs w:val="20"/>
        </w:rPr>
        <w:t xml:space="preserve">Income tax expense was $88 million and $238 million in the three and six months ended June 30, 2022, respectively, compared to $175 million and $283 million in the same periods in 2021, respectively. Our effective tax rate was 10.5% and 15.0% in the three </w:t>
      </w:r>
      <w:r>
        <w:rPr>
          <w:rFonts w:ascii="Arial" w:eastAsia="宋体" w:hAnsi="Arial" w:cs="Arial"/>
          <w:color w:val="000000"/>
          <w:sz w:val="20"/>
          <w:szCs w:val="20"/>
        </w:rPr>
        <w:t xml:space="preserve">and six months ended June 30, 2022, respectively, compared to 18.6% and 18.1% in the same periods in 2021, respectively, primarily due to higher benefits from the reassessment of a deferred tax asset valuation allowance. </w:t>
      </w:r>
    </w:p>
    <w:p w14:paraId="392C0637" w14:textId="77777777" w:rsidR="00980E5F" w:rsidRDefault="00483613">
      <w:pPr>
        <w:spacing w:before="90"/>
        <w:jc w:val="both"/>
        <w:textAlignment w:val="top"/>
      </w:pPr>
      <w:r>
        <w:rPr>
          <w:rFonts w:ascii="Arial" w:eastAsia="宋体" w:hAnsi="Arial" w:cs="Arial"/>
          <w:b/>
          <w:bCs/>
          <w:color w:val="000000"/>
          <w:sz w:val="20"/>
          <w:szCs w:val="20"/>
        </w:rPr>
        <w:t xml:space="preserve">LINE OF BUSINESS </w:t>
      </w:r>
      <w:r>
        <w:rPr>
          <w:rFonts w:ascii="Arial" w:eastAsia="宋体" w:hAnsi="Arial" w:cs="Arial"/>
          <w:b/>
          <w:bCs/>
          <w:color w:val="000000"/>
          <w:sz w:val="20"/>
          <w:szCs w:val="20"/>
        </w:rPr>
        <w:t>INFORMATION</w:t>
      </w:r>
    </w:p>
    <w:p w14:paraId="392C0638" w14:textId="77777777" w:rsidR="00980E5F" w:rsidRDefault="00483613">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operations for these lines of business are not necessarily compar</w:t>
      </w:r>
      <w:r>
        <w:rPr>
          <w:rFonts w:ascii="Arial" w:eastAsia="宋体" w:hAnsi="Arial" w:cs="Arial"/>
          <w:color w:val="000000"/>
          <w:sz w:val="20"/>
          <w:szCs w:val="20"/>
        </w:rPr>
        <w:t>able with those of other companies, including companies in the financial services industry.</w:t>
      </w:r>
    </w:p>
    <w:p w14:paraId="392C0639" w14:textId="77777777" w:rsidR="00980E5F" w:rsidRDefault="00483613">
      <w:pPr>
        <w:spacing w:before="60"/>
        <w:ind w:firstLine="450"/>
        <w:jc w:val="both"/>
        <w:textAlignment w:val="top"/>
      </w:pPr>
      <w:r>
        <w:rPr>
          <w:rFonts w:ascii="Arial" w:eastAsia="宋体" w:hAnsi="Arial" w:cs="Arial"/>
          <w:color w:val="000000"/>
          <w:sz w:val="20"/>
          <w:szCs w:val="20"/>
        </w:rPr>
        <w:t>Our Investment Servicing line of business provides a range of services to our clients. Through State Street Institutional Services, State Street Global Markets, Sta</w:t>
      </w:r>
      <w:r>
        <w:rPr>
          <w:rFonts w:ascii="Arial" w:eastAsia="宋体" w:hAnsi="Arial" w:cs="Arial"/>
          <w:color w:val="000000"/>
          <w:sz w:val="20"/>
          <w:szCs w:val="20"/>
        </w:rPr>
        <w:t>te Street Digital, and CRD, we provide services for institutional clients, including mutual funds, collective investment funds and other investment pools, corporate and public retirement plans, insurance companies, investment managers, foundations and endo</w:t>
      </w:r>
      <w:r>
        <w:rPr>
          <w:rFonts w:ascii="Arial" w:eastAsia="宋体" w:hAnsi="Arial" w:cs="Arial"/>
          <w:color w:val="000000"/>
          <w:sz w:val="20"/>
          <w:szCs w:val="20"/>
        </w:rPr>
        <w:t xml:space="preserve">wments worldwide. Our financial services and products allow our large institutional investor clients to execute financial transactions on a daily basis in markets across the </w:t>
      </w:r>
    </w:p>
    <w:p w14:paraId="392C063A" w14:textId="77777777" w:rsidR="00980E5F" w:rsidRDefault="00483613">
      <w:pPr>
        <w:ind w:firstLine="450"/>
        <w:jc w:val="right"/>
      </w:pPr>
      <w:r>
        <w:rPr>
          <w:rFonts w:ascii="Arial" w:eastAsia="宋体" w:hAnsi="Arial" w:cs="Arial"/>
          <w:color w:val="000000"/>
          <w:sz w:val="18"/>
          <w:szCs w:val="18"/>
        </w:rPr>
        <w:t>State Street Corporation | 24</w:t>
      </w:r>
    </w:p>
    <w:p w14:paraId="392C063B" w14:textId="77777777" w:rsidR="00980E5F" w:rsidRDefault="00980E5F">
      <w:pPr>
        <w:ind w:firstLine="450"/>
        <w:jc w:val="center"/>
      </w:pPr>
    </w:p>
    <w:p w14:paraId="392C063C" w14:textId="77777777" w:rsidR="00980E5F" w:rsidRDefault="00483613">
      <w:r>
        <w:pict w14:anchorId="392CBAE6">
          <v:rect id="_x0000_i1048" style="width:415.3pt;height:1.5pt" o:hralign="center" o:hrstd="t" o:hr="t" fillcolor="#a0a0a0" stroked="f"/>
        </w:pict>
      </w:r>
    </w:p>
    <w:p w14:paraId="392C063D" w14:textId="77777777" w:rsidR="00980E5F" w:rsidRDefault="00483613">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392C063E" w14:textId="77777777" w:rsidR="00980E5F" w:rsidRDefault="00483613">
      <w:pPr>
        <w:ind w:firstLine="450"/>
        <w:jc w:val="center"/>
      </w:pPr>
      <w:r>
        <w:rPr>
          <w:rFonts w:ascii="Arial" w:eastAsia="宋体" w:hAnsi="Arial" w:cs="Arial"/>
          <w:b/>
          <w:bCs/>
          <w:color w:val="000000"/>
          <w:sz w:val="20"/>
          <w:szCs w:val="20"/>
        </w:rPr>
        <w:t>AND RESULTS OF OPERATIONS</w:t>
      </w:r>
    </w:p>
    <w:p w14:paraId="392C063F" w14:textId="77777777" w:rsidR="00980E5F" w:rsidRDefault="00483613">
      <w:pPr>
        <w:spacing w:before="60"/>
        <w:jc w:val="both"/>
        <w:textAlignment w:val="top"/>
      </w:pPr>
      <w:r>
        <w:rPr>
          <w:rFonts w:ascii="Arial" w:eastAsia="宋体" w:hAnsi="Arial" w:cs="Arial"/>
          <w:color w:val="000000"/>
          <w:sz w:val="20"/>
          <w:szCs w:val="20"/>
        </w:rPr>
        <w:t xml:space="preserve">globe. As most institutional investors cannot economically or efficiently build their own technology and operational processes necessary to facilitate their global securities settlement needs, our primary role </w:t>
      </w:r>
      <w:r>
        <w:rPr>
          <w:rFonts w:ascii="Arial" w:eastAsia="宋体" w:hAnsi="Arial" w:cs="Arial"/>
          <w:color w:val="000000"/>
          <w:sz w:val="20"/>
          <w:szCs w:val="20"/>
        </w:rPr>
        <w:t>as a global trust and custody bank is to aid our clients to efficiently perform services associated with the clearing, settlement and execution of securities transactions and related payments.</w:t>
      </w:r>
    </w:p>
    <w:p w14:paraId="392C0640" w14:textId="77777777" w:rsidR="00980E5F" w:rsidRDefault="00483613">
      <w:pPr>
        <w:spacing w:before="60"/>
        <w:ind w:firstLine="450"/>
        <w:jc w:val="both"/>
        <w:textAlignment w:val="top"/>
      </w:pPr>
      <w:r>
        <w:rPr>
          <w:rFonts w:ascii="Arial" w:eastAsia="宋体" w:hAnsi="Arial" w:cs="Arial"/>
          <w:color w:val="000000"/>
          <w:sz w:val="20"/>
          <w:szCs w:val="20"/>
        </w:rPr>
        <w:t>Products under the Investment Servicing line of business includ</w:t>
      </w:r>
      <w:r>
        <w:rPr>
          <w:rFonts w:ascii="Arial" w:eastAsia="宋体" w:hAnsi="Arial" w:cs="Arial"/>
          <w:color w:val="000000"/>
          <w:sz w:val="20"/>
          <w:szCs w:val="20"/>
        </w:rPr>
        <w:t>e: back office products such as custody, accounting, regulatory reporting, investor services, performance and analytics; middle office products such as IBOR, transaction management, loans, cash, derivatives and collateral services, record keeping, client r</w:t>
      </w:r>
      <w:r>
        <w:rPr>
          <w:rFonts w:ascii="Arial" w:eastAsia="宋体" w:hAnsi="Arial" w:cs="Arial"/>
          <w:color w:val="000000"/>
          <w:sz w:val="20"/>
          <w:szCs w:val="20"/>
        </w:rPr>
        <w:t>eporting and investment analytics; foreign exchange, brokerage and other trading services; securities finance and enhanced custody products; deposit and short-term investment facilities; loans and lease financing; investment manager and alternative investm</w:t>
      </w:r>
      <w:r>
        <w:rPr>
          <w:rFonts w:ascii="Arial" w:eastAsia="宋体" w:hAnsi="Arial" w:cs="Arial"/>
          <w:color w:val="000000"/>
          <w:sz w:val="20"/>
          <w:szCs w:val="20"/>
        </w:rPr>
        <w:t>ent manager operations outsourcing; performance, risk and compliance analytics; and financial data management to support institutional investors.</w:t>
      </w:r>
    </w:p>
    <w:p w14:paraId="392C0641" w14:textId="77777777" w:rsidR="00980E5F" w:rsidRDefault="00483613">
      <w:pPr>
        <w:spacing w:before="60"/>
        <w:ind w:firstLine="450"/>
        <w:jc w:val="both"/>
        <w:textAlignment w:val="top"/>
      </w:pPr>
      <w:r>
        <w:rPr>
          <w:rFonts w:ascii="Arial" w:eastAsia="宋体" w:hAnsi="Arial" w:cs="Arial"/>
          <w:color w:val="000000"/>
          <w:sz w:val="20"/>
          <w:szCs w:val="20"/>
        </w:rPr>
        <w:t>Included within our Investment Servicing line of business is CRD, which we acquired in October 2018. The Charl</w:t>
      </w:r>
      <w:r>
        <w:rPr>
          <w:rFonts w:ascii="Arial" w:eastAsia="宋体" w:hAnsi="Arial" w:cs="Arial"/>
          <w:color w:val="000000"/>
          <w:sz w:val="20"/>
          <w:szCs w:val="20"/>
        </w:rPr>
        <w:t>es River Investment Management System is a technology offering which is designed to automate and simplify the institutional investment process across asset classes, from portfolio management and risk analytics through trading and post-trade settlement, wit</w:t>
      </w:r>
      <w:r>
        <w:rPr>
          <w:rFonts w:ascii="Arial" w:eastAsia="宋体" w:hAnsi="Arial" w:cs="Arial"/>
          <w:color w:val="000000"/>
          <w:sz w:val="20"/>
          <w:szCs w:val="20"/>
        </w:rPr>
        <w:t>h integrated compliance and managed data throughout. With the acquisition of CRD, we took the first step in building our front-to-back platform, State Street Alpha. Today our State Street Alpha platform combines portfolio management, trading and execution,</w:t>
      </w:r>
      <w:r>
        <w:rPr>
          <w:rFonts w:ascii="Arial" w:eastAsia="宋体" w:hAnsi="Arial" w:cs="Arial"/>
          <w:color w:val="000000"/>
          <w:sz w:val="20"/>
          <w:szCs w:val="20"/>
        </w:rPr>
        <w:t xml:space="preserve"> analytics and compliance tools, and advanced data aggregation and integration with other industry platforms and providers. In 2021, we further expanded our technology offering with the acquisition of Mercatus, Inc., enabling the launch of Alpha for Privat</w:t>
      </w:r>
      <w:r>
        <w:rPr>
          <w:rFonts w:ascii="Arial" w:eastAsia="宋体" w:hAnsi="Arial" w:cs="Arial"/>
          <w:color w:val="000000"/>
          <w:sz w:val="20"/>
          <w:szCs w:val="20"/>
        </w:rPr>
        <w:t>e Markets.</w:t>
      </w:r>
    </w:p>
    <w:p w14:paraId="392C0642" w14:textId="77777777" w:rsidR="00980E5F" w:rsidRDefault="00483613">
      <w:pPr>
        <w:spacing w:before="60"/>
        <w:ind w:firstLine="450"/>
        <w:jc w:val="both"/>
        <w:textAlignment w:val="top"/>
      </w:pPr>
      <w:r>
        <w:rPr>
          <w:rFonts w:ascii="Arial" w:eastAsia="宋体" w:hAnsi="Arial" w:cs="Arial"/>
          <w:color w:val="000000"/>
          <w:sz w:val="20"/>
          <w:szCs w:val="20"/>
        </w:rPr>
        <w:t>In 2021, we established State Street Digital to focus on the development of digital assets and technologies, including crypto, central bank digital currency, blockchain and tokenization, including the evolution of a new integrated business and d</w:t>
      </w:r>
      <w:r>
        <w:rPr>
          <w:rFonts w:ascii="Arial" w:eastAsia="宋体" w:hAnsi="Arial" w:cs="Arial"/>
          <w:color w:val="000000"/>
          <w:sz w:val="20"/>
          <w:szCs w:val="20"/>
        </w:rPr>
        <w:t>igital operating model designed to support our clients' digital investment cycle.</w:t>
      </w:r>
    </w:p>
    <w:p w14:paraId="392C0643" w14:textId="77777777" w:rsidR="00980E5F" w:rsidRDefault="00483613">
      <w:pPr>
        <w:spacing w:before="60"/>
        <w:ind w:firstLine="450"/>
        <w:jc w:val="both"/>
        <w:textAlignment w:val="top"/>
      </w:pPr>
      <w:r>
        <w:rPr>
          <w:rFonts w:ascii="Arial" w:eastAsia="宋体" w:hAnsi="Arial" w:cs="Arial"/>
          <w:color w:val="000000"/>
          <w:sz w:val="20"/>
          <w:szCs w:val="20"/>
        </w:rPr>
        <w:t>Following consummation of our proposed acquisition of the BBH Investor Services business, the acquired business will be included within our Investment Servicing line of busin</w:t>
      </w:r>
      <w:r>
        <w:rPr>
          <w:rFonts w:ascii="Arial" w:eastAsia="宋体" w:hAnsi="Arial" w:cs="Arial"/>
          <w:color w:val="000000"/>
          <w:sz w:val="20"/>
          <w:szCs w:val="20"/>
        </w:rPr>
        <w:t>ess. The acquisition is subject to regulatory reviews and other closing conditions.</w:t>
      </w:r>
    </w:p>
    <w:p w14:paraId="392C0644" w14:textId="77777777" w:rsidR="00980E5F" w:rsidRDefault="00483613">
      <w:pPr>
        <w:spacing w:before="60"/>
        <w:ind w:firstLine="450"/>
        <w:jc w:val="both"/>
        <w:textAlignment w:val="top"/>
      </w:pPr>
      <w:r>
        <w:rPr>
          <w:rFonts w:ascii="Arial" w:eastAsia="宋体" w:hAnsi="Arial" w:cs="Arial"/>
          <w:color w:val="000000"/>
          <w:sz w:val="20"/>
          <w:szCs w:val="20"/>
        </w:rPr>
        <w:t xml:space="preserve">We have been engaged in discussions with banking regulators regarding our proposed </w:t>
      </w:r>
    </w:p>
    <w:p w14:paraId="392C0645" w14:textId="77777777" w:rsidR="00980E5F" w:rsidRDefault="00483613">
      <w:pPr>
        <w:spacing w:before="60"/>
        <w:jc w:val="both"/>
        <w:textAlignment w:val="top"/>
      </w:pPr>
      <w:r>
        <w:rPr>
          <w:rFonts w:ascii="Arial" w:eastAsia="宋体" w:hAnsi="Arial" w:cs="Arial"/>
          <w:color w:val="000000"/>
          <w:sz w:val="20"/>
          <w:szCs w:val="20"/>
        </w:rPr>
        <w:t>acquisition of the BBH Investor Services business and the related regulatory review proc</w:t>
      </w:r>
      <w:r>
        <w:rPr>
          <w:rFonts w:ascii="Arial" w:eastAsia="宋体" w:hAnsi="Arial" w:cs="Arial"/>
          <w:color w:val="000000"/>
          <w:sz w:val="20"/>
          <w:szCs w:val="20"/>
        </w:rPr>
        <w:t>ess and potential modifications to the proposed transaction that may facilitate resolution of that process. Based on those discussions, we have developed with BBH proposed modifications to the transaction structure may provide a path to consummating the tr</w:t>
      </w:r>
      <w:r>
        <w:rPr>
          <w:rFonts w:ascii="Arial" w:eastAsia="宋体" w:hAnsi="Arial" w:cs="Arial"/>
          <w:color w:val="000000"/>
          <w:sz w:val="20"/>
          <w:szCs w:val="20"/>
        </w:rPr>
        <w:t>ansaction. The proposed modifications include changes to the operating model and legal entity structure and changes to the regulatory approvals required to complete the transaction. As part of the discussions with BBH, State Street is seeking amendments to</w:t>
      </w:r>
      <w:r>
        <w:rPr>
          <w:rFonts w:ascii="Arial" w:eastAsia="宋体" w:hAnsi="Arial" w:cs="Arial"/>
          <w:color w:val="000000"/>
          <w:sz w:val="20"/>
          <w:szCs w:val="20"/>
        </w:rPr>
        <w:t xml:space="preserve"> the transaction terms, including the purchase price, given the changes to the planned operating model. Any modification to the transaction terms would be subject to review and approval by both BBH and our Board of Directors. We intend during the third qua</w:t>
      </w:r>
      <w:r>
        <w:rPr>
          <w:rFonts w:ascii="Arial" w:eastAsia="宋体" w:hAnsi="Arial" w:cs="Arial"/>
          <w:color w:val="000000"/>
          <w:sz w:val="20"/>
          <w:szCs w:val="20"/>
        </w:rPr>
        <w:t>rter to finalize the proposed structure and contractual terms and confirm our approach with regulators. Assuming the financial and operational aspects of the proposed modifications are timely finalized and contracted, subject to regulatory approval and oth</w:t>
      </w:r>
      <w:r>
        <w:rPr>
          <w:rFonts w:ascii="Arial" w:eastAsia="宋体" w:hAnsi="Arial" w:cs="Arial"/>
          <w:color w:val="000000"/>
          <w:sz w:val="20"/>
          <w:szCs w:val="20"/>
        </w:rPr>
        <w:t>er closing conditions, the parties are aiming to close the transaction at the end of the fourth quarter of 2022. However, there exists significant timing uncertainty and risk that closing will extend beyond that timeline. There can be no assurance that a m</w:t>
      </w:r>
      <w:r>
        <w:rPr>
          <w:rFonts w:ascii="Arial" w:eastAsia="宋体" w:hAnsi="Arial" w:cs="Arial"/>
          <w:color w:val="000000"/>
          <w:sz w:val="20"/>
          <w:szCs w:val="20"/>
        </w:rPr>
        <w:t>utually acceptable modified transaction will be entered into or as to the timing or outcome of any regulatory approvals and other closing conditions for that modified transaction. Absent further agreement of the parties, after September 6, 2022 either part</w:t>
      </w:r>
      <w:r>
        <w:rPr>
          <w:rFonts w:ascii="Arial" w:eastAsia="宋体" w:hAnsi="Arial" w:cs="Arial"/>
          <w:color w:val="000000"/>
          <w:sz w:val="20"/>
          <w:szCs w:val="20"/>
        </w:rPr>
        <w:t>y can terminate the transaction without penalty.</w:t>
      </w:r>
    </w:p>
    <w:p w14:paraId="392C0646" w14:textId="77777777" w:rsidR="00980E5F" w:rsidRDefault="00483613">
      <w:pPr>
        <w:spacing w:before="60"/>
        <w:ind w:firstLine="450"/>
        <w:jc w:val="both"/>
        <w:textAlignment w:val="top"/>
      </w:pPr>
      <w:r>
        <w:rPr>
          <w:rFonts w:ascii="Arial" w:eastAsia="宋体" w:hAnsi="Arial" w:cs="Arial"/>
          <w:color w:val="000000"/>
          <w:sz w:val="20"/>
          <w:szCs w:val="20"/>
        </w:rPr>
        <w:t>Investment Management, through State Street Global Advisors, provides a broad range of investment management strategies and products for our clients. Our investment management strategies and products span th</w:t>
      </w:r>
      <w:r>
        <w:rPr>
          <w:rFonts w:ascii="Arial" w:eastAsia="宋体" w:hAnsi="Arial" w:cs="Arial"/>
          <w:color w:val="000000"/>
          <w:sz w:val="20"/>
          <w:szCs w:val="20"/>
        </w:rPr>
        <w:t>e risk/reward spectrum for equity, fixed income and cash assets, including core and enhanced indexing, multi-asset strategies, active quantitative and fundamental active capabilities and alternative investment strategies. Our AUM is currently primarily wei</w:t>
      </w:r>
      <w:r>
        <w:rPr>
          <w:rFonts w:ascii="Arial" w:eastAsia="宋体" w:hAnsi="Arial" w:cs="Arial"/>
          <w:color w:val="000000"/>
          <w:sz w:val="20"/>
          <w:szCs w:val="20"/>
        </w:rPr>
        <w:t>ghted to indexed strategies. In addition, we provide a breadth of services and solutions, including ESG investing, defined benefit and defined contribution and Global Fiduciary Solutions (formerly Outsourced Chief Investment Officer). State Street Global A</w:t>
      </w:r>
      <w:r>
        <w:rPr>
          <w:rFonts w:ascii="Arial" w:eastAsia="宋体" w:hAnsi="Arial" w:cs="Arial"/>
          <w:color w:val="000000"/>
          <w:sz w:val="20"/>
          <w:szCs w:val="20"/>
        </w:rPr>
        <w:t>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reflect other factors as well, including the benchmarks specified</w:t>
      </w:r>
      <w:r>
        <w:rPr>
          <w:rFonts w:ascii="Arial" w:eastAsia="宋体" w:hAnsi="Arial" w:cs="Arial"/>
          <w:color w:val="000000"/>
          <w:sz w:val="20"/>
          <w:szCs w:val="20"/>
        </w:rPr>
        <w:t xml:space="preserve"> in the respective management agreements related to performance fees.</w:t>
      </w:r>
    </w:p>
    <w:p w14:paraId="392C0647" w14:textId="77777777" w:rsidR="00980E5F" w:rsidRDefault="00483613">
      <w:pPr>
        <w:spacing w:before="60"/>
        <w:ind w:firstLine="450"/>
        <w:jc w:val="both"/>
        <w:textAlignment w:val="top"/>
      </w:pPr>
      <w:r>
        <w:rPr>
          <w:rFonts w:ascii="Arial" w:eastAsia="宋体" w:hAnsi="Arial" w:cs="Arial"/>
          <w:color w:val="000000"/>
          <w:sz w:val="20"/>
          <w:szCs w:val="20"/>
        </w:rPr>
        <w:t xml:space="preserve">For information about our two lines of business, as well as the revenues, expenses and capital </w:t>
      </w:r>
    </w:p>
    <w:p w14:paraId="392C0648" w14:textId="77777777" w:rsidR="00980E5F" w:rsidRDefault="00483613">
      <w:pPr>
        <w:ind w:firstLine="450"/>
        <w:jc w:val="right"/>
      </w:pPr>
      <w:r>
        <w:rPr>
          <w:rFonts w:ascii="Arial" w:eastAsia="宋体" w:hAnsi="Arial" w:cs="Arial"/>
          <w:color w:val="000000"/>
          <w:sz w:val="18"/>
          <w:szCs w:val="18"/>
        </w:rPr>
        <w:t>State Street Corporation | 25</w:t>
      </w:r>
    </w:p>
    <w:p w14:paraId="392C0649" w14:textId="77777777" w:rsidR="00980E5F" w:rsidRDefault="00980E5F">
      <w:pPr>
        <w:ind w:firstLine="450"/>
        <w:jc w:val="center"/>
      </w:pPr>
    </w:p>
    <w:p w14:paraId="392C064A" w14:textId="77777777" w:rsidR="00980E5F" w:rsidRDefault="00483613">
      <w:r>
        <w:pict w14:anchorId="392CBAE7">
          <v:rect id="_x0000_i1049" style="width:415.3pt;height:1.5pt" o:hralign="center" o:hrstd="t" o:hr="t" fillcolor="#a0a0a0" stroked="f"/>
        </w:pict>
      </w:r>
    </w:p>
    <w:p w14:paraId="392C064B" w14:textId="77777777" w:rsidR="00980E5F" w:rsidRDefault="00483613">
      <w:pPr>
        <w:ind w:firstLine="450"/>
        <w:jc w:val="center"/>
      </w:pPr>
      <w:r>
        <w:rPr>
          <w:rFonts w:ascii="Arial" w:eastAsia="宋体" w:hAnsi="Arial" w:cs="Arial"/>
          <w:b/>
          <w:bCs/>
          <w:color w:val="000000"/>
          <w:sz w:val="20"/>
          <w:szCs w:val="20"/>
        </w:rPr>
        <w:t>MANAGEMENT’S DISCUSSION AND ANALYSIS OF FINANCIAL CONDITI</w:t>
      </w:r>
      <w:r>
        <w:rPr>
          <w:rFonts w:ascii="Arial" w:eastAsia="宋体" w:hAnsi="Arial" w:cs="Arial"/>
          <w:b/>
          <w:bCs/>
          <w:color w:val="000000"/>
          <w:sz w:val="20"/>
          <w:szCs w:val="20"/>
        </w:rPr>
        <w:t>ON</w:t>
      </w:r>
    </w:p>
    <w:p w14:paraId="392C064C" w14:textId="77777777" w:rsidR="00980E5F" w:rsidRDefault="00483613">
      <w:pPr>
        <w:ind w:firstLine="450"/>
        <w:jc w:val="center"/>
      </w:pPr>
      <w:r>
        <w:rPr>
          <w:rFonts w:ascii="Arial" w:eastAsia="宋体" w:hAnsi="Arial" w:cs="Arial"/>
          <w:b/>
          <w:bCs/>
          <w:color w:val="000000"/>
          <w:sz w:val="20"/>
          <w:szCs w:val="20"/>
        </w:rPr>
        <w:t>AND RESULTS OF OPERATIONS</w:t>
      </w:r>
    </w:p>
    <w:p w14:paraId="392C064D" w14:textId="77777777" w:rsidR="00980E5F" w:rsidRDefault="00483613">
      <w:pPr>
        <w:spacing w:before="60"/>
        <w:jc w:val="both"/>
        <w:textAlignment w:val="top"/>
      </w:pPr>
      <w:r>
        <w:rPr>
          <w:rFonts w:ascii="Arial" w:eastAsia="宋体" w:hAnsi="Arial" w:cs="Arial"/>
          <w:color w:val="000000"/>
          <w:sz w:val="20"/>
          <w:szCs w:val="20"/>
        </w:rPr>
        <w:t>allocation methodologies associated with them, refer to Note 17 to the consolidated financial statements in this Form 10-Q.</w:t>
      </w:r>
    </w:p>
    <w:p w14:paraId="392C064E" w14:textId="77777777" w:rsidR="00980E5F" w:rsidRDefault="00483613">
      <w:pPr>
        <w:spacing w:before="90"/>
        <w:textAlignment w:val="top"/>
      </w:pPr>
      <w:r>
        <w:rPr>
          <w:rFonts w:ascii="Arial" w:eastAsia="宋体" w:hAnsi="Arial" w:cs="Arial"/>
          <w:b/>
          <w:bCs/>
          <w:color w:val="000000"/>
          <w:sz w:val="20"/>
          <w:szCs w:val="20"/>
        </w:rPr>
        <w:t>Investment Servicing</w:t>
      </w:r>
    </w:p>
    <w:tbl>
      <w:tblPr>
        <w:tblW w:w="4984" w:type="pct"/>
        <w:tblCellMar>
          <w:top w:w="15" w:type="dxa"/>
          <w:left w:w="15" w:type="dxa"/>
          <w:bottom w:w="15" w:type="dxa"/>
          <w:right w:w="15" w:type="dxa"/>
        </w:tblCellMar>
        <w:tblLook w:val="04A0" w:firstRow="1" w:lastRow="0" w:firstColumn="1" w:lastColumn="0" w:noHBand="0" w:noVBand="1"/>
      </w:tblPr>
      <w:tblGrid>
        <w:gridCol w:w="37"/>
        <w:gridCol w:w="2315"/>
        <w:gridCol w:w="37"/>
        <w:gridCol w:w="129"/>
        <w:gridCol w:w="129"/>
        <w:gridCol w:w="129"/>
        <w:gridCol w:w="129"/>
        <w:gridCol w:w="129"/>
        <w:gridCol w:w="36"/>
        <w:gridCol w:w="98"/>
        <w:gridCol w:w="1179"/>
        <w:gridCol w:w="145"/>
        <w:gridCol w:w="36"/>
        <w:gridCol w:w="36"/>
        <w:gridCol w:w="36"/>
        <w:gridCol w:w="98"/>
        <w:gridCol w:w="1130"/>
        <w:gridCol w:w="145"/>
        <w:gridCol w:w="36"/>
        <w:gridCol w:w="36"/>
        <w:gridCol w:w="36"/>
        <w:gridCol w:w="554"/>
        <w:gridCol w:w="36"/>
        <w:gridCol w:w="38"/>
        <w:gridCol w:w="699"/>
        <w:gridCol w:w="1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0671" w14:textId="77777777">
        <w:tc>
          <w:tcPr>
            <w:tcW w:w="50" w:type="pct"/>
            <w:shd w:val="clear" w:color="auto" w:fill="auto"/>
            <w:vAlign w:val="bottom"/>
          </w:tcPr>
          <w:p w14:paraId="392C064F" w14:textId="77777777" w:rsidR="00980E5F" w:rsidRDefault="00980E5F">
            <w:pPr>
              <w:rPr>
                <w:rFonts w:ascii="宋体"/>
              </w:rPr>
            </w:pPr>
          </w:p>
        </w:tc>
        <w:tc>
          <w:tcPr>
            <w:tcW w:w="1948" w:type="pct"/>
            <w:shd w:val="clear" w:color="auto" w:fill="auto"/>
            <w:vAlign w:val="bottom"/>
          </w:tcPr>
          <w:p w14:paraId="392C0650" w14:textId="77777777" w:rsidR="00980E5F" w:rsidRDefault="00980E5F">
            <w:pPr>
              <w:rPr>
                <w:rFonts w:ascii="宋体"/>
              </w:rPr>
            </w:pPr>
          </w:p>
        </w:tc>
        <w:tc>
          <w:tcPr>
            <w:tcW w:w="5" w:type="pct"/>
            <w:shd w:val="clear" w:color="auto" w:fill="auto"/>
            <w:vAlign w:val="bottom"/>
          </w:tcPr>
          <w:p w14:paraId="392C0651" w14:textId="77777777" w:rsidR="00980E5F" w:rsidRDefault="00980E5F">
            <w:pPr>
              <w:rPr>
                <w:rFonts w:ascii="宋体"/>
              </w:rPr>
            </w:pPr>
          </w:p>
        </w:tc>
        <w:tc>
          <w:tcPr>
            <w:tcW w:w="0" w:type="auto"/>
            <w:shd w:val="clear" w:color="auto" w:fill="auto"/>
            <w:vAlign w:val="bottom"/>
          </w:tcPr>
          <w:p w14:paraId="392C0652" w14:textId="77777777" w:rsidR="00980E5F" w:rsidRDefault="00980E5F">
            <w:pPr>
              <w:rPr>
                <w:rFonts w:ascii="宋体"/>
                <w:vanish/>
              </w:rPr>
            </w:pPr>
          </w:p>
        </w:tc>
        <w:tc>
          <w:tcPr>
            <w:tcW w:w="0" w:type="auto"/>
            <w:shd w:val="clear" w:color="auto" w:fill="auto"/>
            <w:vAlign w:val="bottom"/>
          </w:tcPr>
          <w:p w14:paraId="392C0653" w14:textId="77777777" w:rsidR="00980E5F" w:rsidRDefault="00980E5F">
            <w:pPr>
              <w:rPr>
                <w:rFonts w:ascii="宋体"/>
                <w:vanish/>
              </w:rPr>
            </w:pPr>
          </w:p>
        </w:tc>
        <w:tc>
          <w:tcPr>
            <w:tcW w:w="0" w:type="auto"/>
            <w:shd w:val="clear" w:color="auto" w:fill="auto"/>
            <w:vAlign w:val="bottom"/>
          </w:tcPr>
          <w:p w14:paraId="392C0654" w14:textId="77777777" w:rsidR="00980E5F" w:rsidRDefault="00980E5F">
            <w:pPr>
              <w:rPr>
                <w:rFonts w:ascii="宋体"/>
                <w:vanish/>
              </w:rPr>
            </w:pPr>
          </w:p>
        </w:tc>
        <w:tc>
          <w:tcPr>
            <w:tcW w:w="0" w:type="auto"/>
            <w:shd w:val="clear" w:color="auto" w:fill="auto"/>
            <w:vAlign w:val="bottom"/>
          </w:tcPr>
          <w:p w14:paraId="392C0655" w14:textId="77777777" w:rsidR="00980E5F" w:rsidRDefault="00980E5F">
            <w:pPr>
              <w:rPr>
                <w:rFonts w:ascii="宋体"/>
                <w:vanish/>
              </w:rPr>
            </w:pPr>
          </w:p>
        </w:tc>
        <w:tc>
          <w:tcPr>
            <w:tcW w:w="0" w:type="auto"/>
            <w:shd w:val="clear" w:color="auto" w:fill="auto"/>
            <w:vAlign w:val="bottom"/>
          </w:tcPr>
          <w:p w14:paraId="392C0656" w14:textId="77777777" w:rsidR="00980E5F" w:rsidRDefault="00980E5F">
            <w:pPr>
              <w:rPr>
                <w:rFonts w:ascii="宋体"/>
                <w:vanish/>
              </w:rPr>
            </w:pPr>
          </w:p>
        </w:tc>
        <w:tc>
          <w:tcPr>
            <w:tcW w:w="0" w:type="auto"/>
            <w:shd w:val="clear" w:color="auto" w:fill="auto"/>
            <w:vAlign w:val="bottom"/>
          </w:tcPr>
          <w:p w14:paraId="392C0657" w14:textId="77777777" w:rsidR="00980E5F" w:rsidRDefault="00980E5F">
            <w:pPr>
              <w:rPr>
                <w:rFonts w:ascii="宋体"/>
                <w:vanish/>
              </w:rPr>
            </w:pPr>
          </w:p>
        </w:tc>
        <w:tc>
          <w:tcPr>
            <w:tcW w:w="50" w:type="pct"/>
            <w:shd w:val="clear" w:color="auto" w:fill="auto"/>
            <w:vAlign w:val="bottom"/>
          </w:tcPr>
          <w:p w14:paraId="392C0658" w14:textId="77777777" w:rsidR="00980E5F" w:rsidRDefault="00980E5F">
            <w:pPr>
              <w:rPr>
                <w:rFonts w:ascii="宋体"/>
              </w:rPr>
            </w:pPr>
          </w:p>
        </w:tc>
        <w:tc>
          <w:tcPr>
            <w:tcW w:w="1001" w:type="pct"/>
            <w:shd w:val="clear" w:color="auto" w:fill="auto"/>
            <w:vAlign w:val="bottom"/>
          </w:tcPr>
          <w:p w14:paraId="392C0659" w14:textId="77777777" w:rsidR="00980E5F" w:rsidRDefault="00980E5F">
            <w:pPr>
              <w:rPr>
                <w:rFonts w:ascii="宋体"/>
              </w:rPr>
            </w:pPr>
          </w:p>
        </w:tc>
        <w:tc>
          <w:tcPr>
            <w:tcW w:w="5" w:type="pct"/>
            <w:shd w:val="clear" w:color="auto" w:fill="auto"/>
            <w:vAlign w:val="bottom"/>
          </w:tcPr>
          <w:p w14:paraId="392C065A" w14:textId="77777777" w:rsidR="00980E5F" w:rsidRDefault="00980E5F">
            <w:pPr>
              <w:rPr>
                <w:rFonts w:ascii="宋体"/>
              </w:rPr>
            </w:pPr>
          </w:p>
        </w:tc>
        <w:tc>
          <w:tcPr>
            <w:tcW w:w="5" w:type="pct"/>
            <w:shd w:val="clear" w:color="auto" w:fill="auto"/>
            <w:vAlign w:val="bottom"/>
          </w:tcPr>
          <w:p w14:paraId="392C065B" w14:textId="77777777" w:rsidR="00980E5F" w:rsidRDefault="00980E5F">
            <w:pPr>
              <w:rPr>
                <w:rFonts w:ascii="宋体"/>
              </w:rPr>
            </w:pPr>
          </w:p>
        </w:tc>
        <w:tc>
          <w:tcPr>
            <w:tcW w:w="53" w:type="pct"/>
            <w:shd w:val="clear" w:color="auto" w:fill="auto"/>
            <w:vAlign w:val="bottom"/>
          </w:tcPr>
          <w:p w14:paraId="392C065C" w14:textId="77777777" w:rsidR="00980E5F" w:rsidRDefault="00980E5F">
            <w:pPr>
              <w:rPr>
                <w:rFonts w:ascii="宋体"/>
              </w:rPr>
            </w:pPr>
          </w:p>
        </w:tc>
        <w:tc>
          <w:tcPr>
            <w:tcW w:w="5" w:type="pct"/>
            <w:shd w:val="clear" w:color="auto" w:fill="auto"/>
            <w:vAlign w:val="bottom"/>
          </w:tcPr>
          <w:p w14:paraId="392C065D" w14:textId="77777777" w:rsidR="00980E5F" w:rsidRDefault="00980E5F">
            <w:pPr>
              <w:rPr>
                <w:rFonts w:ascii="宋体"/>
              </w:rPr>
            </w:pPr>
          </w:p>
        </w:tc>
        <w:tc>
          <w:tcPr>
            <w:tcW w:w="50" w:type="pct"/>
            <w:shd w:val="clear" w:color="auto" w:fill="auto"/>
            <w:vAlign w:val="bottom"/>
          </w:tcPr>
          <w:p w14:paraId="392C065E" w14:textId="77777777" w:rsidR="00980E5F" w:rsidRDefault="00980E5F">
            <w:pPr>
              <w:rPr>
                <w:rFonts w:ascii="宋体"/>
              </w:rPr>
            </w:pPr>
          </w:p>
        </w:tc>
        <w:tc>
          <w:tcPr>
            <w:tcW w:w="1001" w:type="pct"/>
            <w:shd w:val="clear" w:color="auto" w:fill="auto"/>
            <w:vAlign w:val="bottom"/>
          </w:tcPr>
          <w:p w14:paraId="392C065F" w14:textId="77777777" w:rsidR="00980E5F" w:rsidRDefault="00980E5F">
            <w:pPr>
              <w:rPr>
                <w:rFonts w:ascii="宋体"/>
              </w:rPr>
            </w:pPr>
          </w:p>
        </w:tc>
        <w:tc>
          <w:tcPr>
            <w:tcW w:w="5" w:type="pct"/>
            <w:shd w:val="clear" w:color="auto" w:fill="auto"/>
            <w:vAlign w:val="bottom"/>
          </w:tcPr>
          <w:p w14:paraId="392C0660" w14:textId="77777777" w:rsidR="00980E5F" w:rsidRDefault="00980E5F">
            <w:pPr>
              <w:rPr>
                <w:rFonts w:ascii="宋体"/>
              </w:rPr>
            </w:pPr>
          </w:p>
        </w:tc>
        <w:tc>
          <w:tcPr>
            <w:tcW w:w="5" w:type="pct"/>
            <w:shd w:val="clear" w:color="auto" w:fill="auto"/>
            <w:vAlign w:val="bottom"/>
          </w:tcPr>
          <w:p w14:paraId="392C0661" w14:textId="77777777" w:rsidR="00980E5F" w:rsidRDefault="00980E5F">
            <w:pPr>
              <w:rPr>
                <w:rFonts w:ascii="宋体"/>
              </w:rPr>
            </w:pPr>
          </w:p>
        </w:tc>
        <w:tc>
          <w:tcPr>
            <w:tcW w:w="68" w:type="pct"/>
            <w:shd w:val="clear" w:color="auto" w:fill="auto"/>
            <w:vAlign w:val="bottom"/>
          </w:tcPr>
          <w:p w14:paraId="392C0662" w14:textId="77777777" w:rsidR="00980E5F" w:rsidRDefault="00980E5F">
            <w:pPr>
              <w:rPr>
                <w:rFonts w:ascii="宋体"/>
              </w:rPr>
            </w:pPr>
          </w:p>
        </w:tc>
        <w:tc>
          <w:tcPr>
            <w:tcW w:w="5" w:type="pct"/>
            <w:shd w:val="clear" w:color="auto" w:fill="auto"/>
            <w:vAlign w:val="bottom"/>
          </w:tcPr>
          <w:p w14:paraId="392C0663" w14:textId="77777777" w:rsidR="00980E5F" w:rsidRDefault="00980E5F">
            <w:pPr>
              <w:rPr>
                <w:rFonts w:ascii="宋体"/>
              </w:rPr>
            </w:pPr>
          </w:p>
        </w:tc>
        <w:tc>
          <w:tcPr>
            <w:tcW w:w="0" w:type="auto"/>
            <w:shd w:val="clear" w:color="auto" w:fill="auto"/>
            <w:vAlign w:val="bottom"/>
          </w:tcPr>
          <w:p w14:paraId="392C0664" w14:textId="77777777" w:rsidR="00980E5F" w:rsidRDefault="00980E5F">
            <w:pPr>
              <w:rPr>
                <w:rFonts w:ascii="宋体"/>
                <w:vanish/>
              </w:rPr>
            </w:pPr>
          </w:p>
        </w:tc>
        <w:tc>
          <w:tcPr>
            <w:tcW w:w="0" w:type="auto"/>
            <w:shd w:val="clear" w:color="auto" w:fill="auto"/>
            <w:vAlign w:val="bottom"/>
          </w:tcPr>
          <w:p w14:paraId="392C0665" w14:textId="77777777" w:rsidR="00980E5F" w:rsidRDefault="00980E5F">
            <w:pPr>
              <w:rPr>
                <w:rFonts w:ascii="宋体"/>
                <w:vanish/>
              </w:rPr>
            </w:pPr>
          </w:p>
        </w:tc>
        <w:tc>
          <w:tcPr>
            <w:tcW w:w="50" w:type="pct"/>
            <w:shd w:val="clear" w:color="auto" w:fill="auto"/>
            <w:vAlign w:val="bottom"/>
          </w:tcPr>
          <w:p w14:paraId="392C0666" w14:textId="77777777" w:rsidR="00980E5F" w:rsidRDefault="00980E5F">
            <w:pPr>
              <w:rPr>
                <w:rFonts w:ascii="宋体"/>
              </w:rPr>
            </w:pPr>
          </w:p>
        </w:tc>
        <w:tc>
          <w:tcPr>
            <w:tcW w:w="686" w:type="pct"/>
            <w:shd w:val="clear" w:color="auto" w:fill="auto"/>
            <w:vAlign w:val="bottom"/>
          </w:tcPr>
          <w:p w14:paraId="392C0667" w14:textId="77777777" w:rsidR="00980E5F" w:rsidRDefault="00980E5F">
            <w:pPr>
              <w:rPr>
                <w:rFonts w:ascii="宋体"/>
              </w:rPr>
            </w:pPr>
          </w:p>
        </w:tc>
        <w:tc>
          <w:tcPr>
            <w:tcW w:w="5" w:type="pct"/>
            <w:shd w:val="clear" w:color="auto" w:fill="auto"/>
            <w:vAlign w:val="bottom"/>
          </w:tcPr>
          <w:p w14:paraId="392C0668" w14:textId="77777777" w:rsidR="00980E5F" w:rsidRDefault="00980E5F">
            <w:pPr>
              <w:rPr>
                <w:rFonts w:ascii="宋体"/>
              </w:rPr>
            </w:pPr>
          </w:p>
        </w:tc>
        <w:tc>
          <w:tcPr>
            <w:tcW w:w="0" w:type="auto"/>
            <w:gridSpan w:val="3"/>
            <w:shd w:val="clear" w:color="auto" w:fill="auto"/>
            <w:vAlign w:val="bottom"/>
          </w:tcPr>
          <w:p w14:paraId="392C0669" w14:textId="77777777" w:rsidR="00980E5F" w:rsidRDefault="00980E5F">
            <w:pPr>
              <w:rPr>
                <w:rFonts w:ascii="宋体"/>
                <w:vanish/>
              </w:rPr>
            </w:pPr>
          </w:p>
        </w:tc>
        <w:tc>
          <w:tcPr>
            <w:tcW w:w="0" w:type="auto"/>
            <w:gridSpan w:val="3"/>
            <w:shd w:val="clear" w:color="auto" w:fill="auto"/>
            <w:vAlign w:val="bottom"/>
          </w:tcPr>
          <w:p w14:paraId="392C066A" w14:textId="77777777" w:rsidR="00980E5F" w:rsidRDefault="00980E5F">
            <w:pPr>
              <w:rPr>
                <w:rFonts w:ascii="宋体"/>
                <w:vanish/>
              </w:rPr>
            </w:pPr>
          </w:p>
        </w:tc>
        <w:tc>
          <w:tcPr>
            <w:tcW w:w="0" w:type="auto"/>
            <w:gridSpan w:val="3"/>
            <w:shd w:val="clear" w:color="auto" w:fill="auto"/>
            <w:vAlign w:val="bottom"/>
          </w:tcPr>
          <w:p w14:paraId="392C066B" w14:textId="77777777" w:rsidR="00980E5F" w:rsidRDefault="00980E5F">
            <w:pPr>
              <w:rPr>
                <w:rFonts w:ascii="宋体"/>
                <w:vanish/>
              </w:rPr>
            </w:pPr>
          </w:p>
        </w:tc>
        <w:tc>
          <w:tcPr>
            <w:tcW w:w="0" w:type="auto"/>
            <w:gridSpan w:val="3"/>
            <w:shd w:val="clear" w:color="auto" w:fill="auto"/>
            <w:vAlign w:val="bottom"/>
          </w:tcPr>
          <w:p w14:paraId="392C066C" w14:textId="77777777" w:rsidR="00980E5F" w:rsidRDefault="00980E5F">
            <w:pPr>
              <w:rPr>
                <w:rFonts w:ascii="宋体"/>
                <w:vanish/>
              </w:rPr>
            </w:pPr>
          </w:p>
        </w:tc>
        <w:tc>
          <w:tcPr>
            <w:tcW w:w="0" w:type="auto"/>
            <w:gridSpan w:val="3"/>
            <w:shd w:val="clear" w:color="auto" w:fill="auto"/>
            <w:vAlign w:val="bottom"/>
          </w:tcPr>
          <w:p w14:paraId="392C066D" w14:textId="77777777" w:rsidR="00980E5F" w:rsidRDefault="00980E5F">
            <w:pPr>
              <w:rPr>
                <w:rFonts w:ascii="宋体"/>
                <w:vanish/>
              </w:rPr>
            </w:pPr>
          </w:p>
        </w:tc>
        <w:tc>
          <w:tcPr>
            <w:tcW w:w="0" w:type="auto"/>
            <w:gridSpan w:val="3"/>
            <w:shd w:val="clear" w:color="auto" w:fill="auto"/>
            <w:vAlign w:val="bottom"/>
          </w:tcPr>
          <w:p w14:paraId="392C066E" w14:textId="77777777" w:rsidR="00980E5F" w:rsidRDefault="00980E5F">
            <w:pPr>
              <w:rPr>
                <w:rFonts w:ascii="宋体"/>
                <w:vanish/>
              </w:rPr>
            </w:pPr>
          </w:p>
        </w:tc>
        <w:tc>
          <w:tcPr>
            <w:tcW w:w="0" w:type="auto"/>
            <w:gridSpan w:val="2"/>
            <w:shd w:val="clear" w:color="auto" w:fill="auto"/>
            <w:vAlign w:val="bottom"/>
          </w:tcPr>
          <w:p w14:paraId="392C066F" w14:textId="77777777" w:rsidR="00980E5F" w:rsidRDefault="00980E5F">
            <w:pPr>
              <w:rPr>
                <w:rFonts w:ascii="宋体"/>
                <w:vanish/>
              </w:rPr>
            </w:pPr>
          </w:p>
        </w:tc>
        <w:tc>
          <w:tcPr>
            <w:tcW w:w="0" w:type="auto"/>
            <w:shd w:val="clear" w:color="auto" w:fill="auto"/>
            <w:vAlign w:val="bottom"/>
          </w:tcPr>
          <w:p w14:paraId="392C0670" w14:textId="77777777" w:rsidR="00980E5F" w:rsidRDefault="00980E5F">
            <w:pPr>
              <w:rPr>
                <w:rFonts w:ascii="宋体"/>
                <w:vanish/>
              </w:rPr>
            </w:pPr>
          </w:p>
        </w:tc>
      </w:tr>
      <w:tr w:rsidR="00980E5F" w14:paraId="392C0690" w14:textId="77777777">
        <w:tc>
          <w:tcPr>
            <w:tcW w:w="0" w:type="auto"/>
            <w:gridSpan w:val="8"/>
            <w:shd w:val="clear" w:color="auto" w:fill="auto"/>
            <w:tcMar>
              <w:top w:w="40" w:type="dxa"/>
              <w:left w:w="20" w:type="dxa"/>
              <w:bottom w:w="40" w:type="dxa"/>
              <w:right w:w="20" w:type="dxa"/>
            </w:tcMar>
            <w:vAlign w:val="bottom"/>
          </w:tcPr>
          <w:p w14:paraId="392C0672" w14:textId="77777777" w:rsidR="00980E5F" w:rsidRDefault="00483613">
            <w:pPr>
              <w:jc w:val="both"/>
              <w:textAlignment w:val="bottom"/>
            </w:pPr>
            <w:r>
              <w:rPr>
                <w:rFonts w:ascii="Arial" w:eastAsia="宋体" w:hAnsi="Arial" w:cs="Arial"/>
                <w:b/>
                <w:bCs/>
                <w:color w:val="000000"/>
                <w:sz w:val="16"/>
                <w:szCs w:val="16"/>
              </w:rPr>
              <w:t>TABLE 17: INVESTMENT SERVICING LINE OF BUSINESS RESULTS</w:t>
            </w:r>
          </w:p>
        </w:tc>
        <w:tc>
          <w:tcPr>
            <w:tcW w:w="0" w:type="auto"/>
            <w:shd w:val="clear" w:color="auto" w:fill="auto"/>
            <w:vAlign w:val="bottom"/>
          </w:tcPr>
          <w:p w14:paraId="392C0673" w14:textId="77777777" w:rsidR="00980E5F" w:rsidRDefault="00980E5F">
            <w:pPr>
              <w:rPr>
                <w:rFonts w:ascii="宋体"/>
                <w:vanish/>
              </w:rPr>
            </w:pPr>
          </w:p>
        </w:tc>
        <w:tc>
          <w:tcPr>
            <w:tcW w:w="0" w:type="auto"/>
            <w:gridSpan w:val="3"/>
            <w:shd w:val="clear" w:color="auto" w:fill="auto"/>
            <w:vAlign w:val="bottom"/>
          </w:tcPr>
          <w:p w14:paraId="392C0674" w14:textId="77777777" w:rsidR="00980E5F" w:rsidRDefault="00980E5F">
            <w:pPr>
              <w:rPr>
                <w:rFonts w:ascii="宋体"/>
                <w:vanish/>
              </w:rPr>
            </w:pPr>
          </w:p>
        </w:tc>
        <w:tc>
          <w:tcPr>
            <w:tcW w:w="0" w:type="auto"/>
            <w:gridSpan w:val="3"/>
            <w:shd w:val="clear" w:color="auto" w:fill="auto"/>
            <w:vAlign w:val="bottom"/>
          </w:tcPr>
          <w:p w14:paraId="392C0675" w14:textId="77777777" w:rsidR="00980E5F" w:rsidRDefault="00980E5F">
            <w:pPr>
              <w:rPr>
                <w:rFonts w:ascii="宋体"/>
                <w:vanish/>
              </w:rPr>
            </w:pPr>
          </w:p>
        </w:tc>
        <w:tc>
          <w:tcPr>
            <w:tcW w:w="0" w:type="auto"/>
            <w:gridSpan w:val="3"/>
            <w:shd w:val="clear" w:color="auto" w:fill="auto"/>
            <w:vAlign w:val="bottom"/>
          </w:tcPr>
          <w:p w14:paraId="392C0676" w14:textId="77777777" w:rsidR="00980E5F" w:rsidRDefault="00980E5F">
            <w:pPr>
              <w:rPr>
                <w:rFonts w:ascii="宋体"/>
                <w:vanish/>
              </w:rPr>
            </w:pPr>
          </w:p>
        </w:tc>
        <w:tc>
          <w:tcPr>
            <w:tcW w:w="0" w:type="auto"/>
            <w:gridSpan w:val="3"/>
            <w:shd w:val="clear" w:color="auto" w:fill="auto"/>
            <w:vAlign w:val="bottom"/>
          </w:tcPr>
          <w:p w14:paraId="392C0677" w14:textId="77777777" w:rsidR="00980E5F" w:rsidRDefault="00980E5F">
            <w:pPr>
              <w:rPr>
                <w:rFonts w:ascii="宋体"/>
                <w:vanish/>
              </w:rPr>
            </w:pPr>
          </w:p>
        </w:tc>
        <w:tc>
          <w:tcPr>
            <w:tcW w:w="0" w:type="auto"/>
            <w:shd w:val="clear" w:color="auto" w:fill="auto"/>
            <w:vAlign w:val="bottom"/>
          </w:tcPr>
          <w:p w14:paraId="392C0678" w14:textId="77777777" w:rsidR="00980E5F" w:rsidRDefault="00980E5F">
            <w:pPr>
              <w:rPr>
                <w:rFonts w:ascii="宋体"/>
                <w:vanish/>
              </w:rPr>
            </w:pPr>
          </w:p>
        </w:tc>
        <w:tc>
          <w:tcPr>
            <w:tcW w:w="0" w:type="auto"/>
            <w:shd w:val="clear" w:color="auto" w:fill="auto"/>
            <w:vAlign w:val="bottom"/>
          </w:tcPr>
          <w:p w14:paraId="392C0679" w14:textId="77777777" w:rsidR="00980E5F" w:rsidRDefault="00980E5F">
            <w:pPr>
              <w:rPr>
                <w:rFonts w:ascii="宋体"/>
                <w:vanish/>
              </w:rPr>
            </w:pPr>
          </w:p>
        </w:tc>
        <w:tc>
          <w:tcPr>
            <w:tcW w:w="0" w:type="auto"/>
            <w:gridSpan w:val="3"/>
            <w:shd w:val="clear" w:color="auto" w:fill="auto"/>
            <w:vAlign w:val="bottom"/>
          </w:tcPr>
          <w:p w14:paraId="392C067A" w14:textId="77777777" w:rsidR="00980E5F" w:rsidRDefault="00980E5F">
            <w:pPr>
              <w:rPr>
                <w:rFonts w:ascii="宋体"/>
                <w:vanish/>
              </w:rPr>
            </w:pPr>
          </w:p>
        </w:tc>
        <w:tc>
          <w:tcPr>
            <w:tcW w:w="0" w:type="auto"/>
            <w:shd w:val="clear" w:color="auto" w:fill="auto"/>
            <w:vAlign w:val="bottom"/>
          </w:tcPr>
          <w:p w14:paraId="392C067B" w14:textId="77777777" w:rsidR="00980E5F" w:rsidRDefault="00980E5F">
            <w:pPr>
              <w:rPr>
                <w:rFonts w:ascii="宋体"/>
              </w:rPr>
            </w:pPr>
          </w:p>
        </w:tc>
        <w:tc>
          <w:tcPr>
            <w:tcW w:w="0" w:type="auto"/>
            <w:shd w:val="clear" w:color="auto" w:fill="auto"/>
            <w:vAlign w:val="bottom"/>
          </w:tcPr>
          <w:p w14:paraId="392C067C" w14:textId="77777777" w:rsidR="00980E5F" w:rsidRDefault="00980E5F">
            <w:pPr>
              <w:rPr>
                <w:rFonts w:ascii="宋体"/>
              </w:rPr>
            </w:pPr>
          </w:p>
        </w:tc>
        <w:tc>
          <w:tcPr>
            <w:tcW w:w="0" w:type="auto"/>
            <w:shd w:val="clear" w:color="auto" w:fill="auto"/>
            <w:vAlign w:val="bottom"/>
          </w:tcPr>
          <w:p w14:paraId="392C067D" w14:textId="77777777" w:rsidR="00980E5F" w:rsidRDefault="00980E5F">
            <w:pPr>
              <w:rPr>
                <w:rFonts w:ascii="宋体"/>
              </w:rPr>
            </w:pPr>
          </w:p>
        </w:tc>
        <w:tc>
          <w:tcPr>
            <w:tcW w:w="0" w:type="auto"/>
            <w:shd w:val="clear" w:color="auto" w:fill="auto"/>
            <w:vAlign w:val="bottom"/>
          </w:tcPr>
          <w:p w14:paraId="392C067E" w14:textId="77777777" w:rsidR="00980E5F" w:rsidRDefault="00980E5F">
            <w:pPr>
              <w:rPr>
                <w:rFonts w:ascii="宋体"/>
              </w:rPr>
            </w:pPr>
          </w:p>
        </w:tc>
        <w:tc>
          <w:tcPr>
            <w:tcW w:w="0" w:type="auto"/>
            <w:shd w:val="clear" w:color="auto" w:fill="auto"/>
            <w:vAlign w:val="bottom"/>
          </w:tcPr>
          <w:p w14:paraId="392C067F" w14:textId="77777777" w:rsidR="00980E5F" w:rsidRDefault="00980E5F">
            <w:pPr>
              <w:rPr>
                <w:rFonts w:ascii="宋体"/>
              </w:rPr>
            </w:pPr>
          </w:p>
        </w:tc>
        <w:tc>
          <w:tcPr>
            <w:tcW w:w="0" w:type="auto"/>
            <w:shd w:val="clear" w:color="auto" w:fill="auto"/>
            <w:vAlign w:val="bottom"/>
          </w:tcPr>
          <w:p w14:paraId="392C0680" w14:textId="77777777" w:rsidR="00980E5F" w:rsidRDefault="00980E5F">
            <w:pPr>
              <w:rPr>
                <w:rFonts w:ascii="宋体"/>
              </w:rPr>
            </w:pPr>
          </w:p>
        </w:tc>
        <w:tc>
          <w:tcPr>
            <w:tcW w:w="0" w:type="auto"/>
            <w:shd w:val="clear" w:color="auto" w:fill="auto"/>
            <w:vAlign w:val="bottom"/>
          </w:tcPr>
          <w:p w14:paraId="392C0681" w14:textId="77777777" w:rsidR="00980E5F" w:rsidRDefault="00980E5F">
            <w:pPr>
              <w:rPr>
                <w:rFonts w:ascii="宋体"/>
              </w:rPr>
            </w:pPr>
          </w:p>
        </w:tc>
        <w:tc>
          <w:tcPr>
            <w:tcW w:w="0" w:type="auto"/>
            <w:shd w:val="clear" w:color="auto" w:fill="auto"/>
            <w:vAlign w:val="bottom"/>
          </w:tcPr>
          <w:p w14:paraId="392C0682" w14:textId="77777777" w:rsidR="00980E5F" w:rsidRDefault="00980E5F">
            <w:pPr>
              <w:rPr>
                <w:rFonts w:ascii="宋体"/>
              </w:rPr>
            </w:pPr>
          </w:p>
        </w:tc>
        <w:tc>
          <w:tcPr>
            <w:tcW w:w="0" w:type="auto"/>
            <w:shd w:val="clear" w:color="auto" w:fill="auto"/>
            <w:vAlign w:val="bottom"/>
          </w:tcPr>
          <w:p w14:paraId="392C0683" w14:textId="77777777" w:rsidR="00980E5F" w:rsidRDefault="00980E5F">
            <w:pPr>
              <w:rPr>
                <w:rFonts w:ascii="宋体"/>
              </w:rPr>
            </w:pPr>
          </w:p>
        </w:tc>
        <w:tc>
          <w:tcPr>
            <w:tcW w:w="0" w:type="auto"/>
            <w:shd w:val="clear" w:color="auto" w:fill="auto"/>
            <w:vAlign w:val="bottom"/>
          </w:tcPr>
          <w:p w14:paraId="392C0684" w14:textId="77777777" w:rsidR="00980E5F" w:rsidRDefault="00980E5F">
            <w:pPr>
              <w:rPr>
                <w:rFonts w:ascii="宋体"/>
              </w:rPr>
            </w:pPr>
          </w:p>
        </w:tc>
        <w:tc>
          <w:tcPr>
            <w:tcW w:w="0" w:type="auto"/>
            <w:shd w:val="clear" w:color="auto" w:fill="auto"/>
            <w:vAlign w:val="bottom"/>
          </w:tcPr>
          <w:p w14:paraId="392C0685" w14:textId="77777777" w:rsidR="00980E5F" w:rsidRDefault="00980E5F">
            <w:pPr>
              <w:rPr>
                <w:rFonts w:ascii="宋体"/>
              </w:rPr>
            </w:pPr>
          </w:p>
        </w:tc>
        <w:tc>
          <w:tcPr>
            <w:tcW w:w="0" w:type="auto"/>
            <w:shd w:val="clear" w:color="auto" w:fill="auto"/>
            <w:vAlign w:val="bottom"/>
          </w:tcPr>
          <w:p w14:paraId="392C0686" w14:textId="77777777" w:rsidR="00980E5F" w:rsidRDefault="00980E5F">
            <w:pPr>
              <w:rPr>
                <w:rFonts w:ascii="宋体"/>
              </w:rPr>
            </w:pPr>
          </w:p>
        </w:tc>
        <w:tc>
          <w:tcPr>
            <w:tcW w:w="0" w:type="auto"/>
            <w:shd w:val="clear" w:color="auto" w:fill="auto"/>
            <w:vAlign w:val="bottom"/>
          </w:tcPr>
          <w:p w14:paraId="392C0687" w14:textId="77777777" w:rsidR="00980E5F" w:rsidRDefault="00980E5F">
            <w:pPr>
              <w:rPr>
                <w:rFonts w:ascii="宋体"/>
              </w:rPr>
            </w:pPr>
          </w:p>
        </w:tc>
        <w:tc>
          <w:tcPr>
            <w:tcW w:w="0" w:type="auto"/>
            <w:shd w:val="clear" w:color="auto" w:fill="auto"/>
            <w:vAlign w:val="bottom"/>
          </w:tcPr>
          <w:p w14:paraId="392C0688" w14:textId="77777777" w:rsidR="00980E5F" w:rsidRDefault="00980E5F">
            <w:pPr>
              <w:rPr>
                <w:rFonts w:ascii="宋体"/>
              </w:rPr>
            </w:pPr>
          </w:p>
        </w:tc>
        <w:tc>
          <w:tcPr>
            <w:tcW w:w="0" w:type="auto"/>
            <w:shd w:val="clear" w:color="auto" w:fill="auto"/>
            <w:vAlign w:val="bottom"/>
          </w:tcPr>
          <w:p w14:paraId="392C0689" w14:textId="77777777" w:rsidR="00980E5F" w:rsidRDefault="00980E5F">
            <w:pPr>
              <w:rPr>
                <w:rFonts w:ascii="宋体"/>
              </w:rPr>
            </w:pPr>
          </w:p>
        </w:tc>
        <w:tc>
          <w:tcPr>
            <w:tcW w:w="0" w:type="auto"/>
            <w:shd w:val="clear" w:color="auto" w:fill="auto"/>
            <w:vAlign w:val="bottom"/>
          </w:tcPr>
          <w:p w14:paraId="392C068A" w14:textId="77777777" w:rsidR="00980E5F" w:rsidRDefault="00980E5F">
            <w:pPr>
              <w:rPr>
                <w:rFonts w:ascii="宋体"/>
              </w:rPr>
            </w:pPr>
          </w:p>
        </w:tc>
        <w:tc>
          <w:tcPr>
            <w:tcW w:w="0" w:type="auto"/>
            <w:shd w:val="clear" w:color="auto" w:fill="auto"/>
            <w:vAlign w:val="bottom"/>
          </w:tcPr>
          <w:p w14:paraId="392C068B" w14:textId="77777777" w:rsidR="00980E5F" w:rsidRDefault="00980E5F">
            <w:pPr>
              <w:rPr>
                <w:rFonts w:ascii="宋体"/>
              </w:rPr>
            </w:pPr>
          </w:p>
        </w:tc>
        <w:tc>
          <w:tcPr>
            <w:tcW w:w="0" w:type="auto"/>
            <w:shd w:val="clear" w:color="auto" w:fill="auto"/>
            <w:vAlign w:val="bottom"/>
          </w:tcPr>
          <w:p w14:paraId="392C068C" w14:textId="77777777" w:rsidR="00980E5F" w:rsidRDefault="00980E5F">
            <w:pPr>
              <w:rPr>
                <w:rFonts w:ascii="宋体"/>
              </w:rPr>
            </w:pPr>
          </w:p>
        </w:tc>
        <w:tc>
          <w:tcPr>
            <w:tcW w:w="0" w:type="auto"/>
            <w:shd w:val="clear" w:color="auto" w:fill="auto"/>
            <w:vAlign w:val="bottom"/>
          </w:tcPr>
          <w:p w14:paraId="392C068D" w14:textId="77777777" w:rsidR="00980E5F" w:rsidRDefault="00980E5F">
            <w:pPr>
              <w:rPr>
                <w:rFonts w:ascii="宋体"/>
              </w:rPr>
            </w:pPr>
          </w:p>
        </w:tc>
        <w:tc>
          <w:tcPr>
            <w:tcW w:w="0" w:type="auto"/>
            <w:shd w:val="clear" w:color="auto" w:fill="auto"/>
            <w:vAlign w:val="bottom"/>
          </w:tcPr>
          <w:p w14:paraId="392C068E" w14:textId="77777777" w:rsidR="00980E5F" w:rsidRDefault="00980E5F">
            <w:pPr>
              <w:rPr>
                <w:rFonts w:ascii="宋体"/>
              </w:rPr>
            </w:pPr>
          </w:p>
        </w:tc>
        <w:tc>
          <w:tcPr>
            <w:tcW w:w="0" w:type="auto"/>
            <w:shd w:val="clear" w:color="auto" w:fill="auto"/>
            <w:vAlign w:val="bottom"/>
          </w:tcPr>
          <w:p w14:paraId="392C068F" w14:textId="77777777" w:rsidR="00980E5F" w:rsidRDefault="00980E5F">
            <w:pPr>
              <w:rPr>
                <w:rFonts w:ascii="宋体"/>
              </w:rPr>
            </w:pPr>
          </w:p>
        </w:tc>
      </w:tr>
      <w:tr w:rsidR="00980E5F" w14:paraId="392C06A6"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392C0691" w14:textId="77777777" w:rsidR="00980E5F" w:rsidRDefault="00483613">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392C0692" w14:textId="77777777" w:rsidR="00980E5F" w:rsidRDefault="00980E5F">
            <w:pPr>
              <w:rPr>
                <w:rFonts w:ascii="宋体"/>
                <w:vanish/>
              </w:rPr>
            </w:pPr>
          </w:p>
        </w:tc>
        <w:tc>
          <w:tcPr>
            <w:tcW w:w="0" w:type="auto"/>
            <w:shd w:val="clear" w:color="auto" w:fill="auto"/>
            <w:vAlign w:val="bottom"/>
          </w:tcPr>
          <w:p w14:paraId="392C0693" w14:textId="77777777" w:rsidR="00980E5F" w:rsidRDefault="00980E5F">
            <w:pPr>
              <w:rPr>
                <w:rFonts w:ascii="宋体"/>
                <w:vanish/>
              </w:rPr>
            </w:pPr>
          </w:p>
        </w:tc>
        <w:tc>
          <w:tcPr>
            <w:tcW w:w="0" w:type="auto"/>
            <w:shd w:val="clear" w:color="auto" w:fill="auto"/>
            <w:vAlign w:val="bottom"/>
          </w:tcPr>
          <w:p w14:paraId="392C0694" w14:textId="77777777" w:rsidR="00980E5F" w:rsidRDefault="00980E5F">
            <w:pPr>
              <w:rPr>
                <w:rFonts w:ascii="宋体"/>
                <w:vanish/>
              </w:rPr>
            </w:pPr>
          </w:p>
        </w:tc>
        <w:tc>
          <w:tcPr>
            <w:tcW w:w="0" w:type="auto"/>
            <w:shd w:val="clear" w:color="auto" w:fill="auto"/>
            <w:vAlign w:val="bottom"/>
          </w:tcPr>
          <w:p w14:paraId="392C0695" w14:textId="77777777" w:rsidR="00980E5F" w:rsidRDefault="00980E5F">
            <w:pPr>
              <w:rPr>
                <w:rFonts w:ascii="宋体"/>
                <w:vanish/>
              </w:rPr>
            </w:pPr>
          </w:p>
        </w:tc>
        <w:tc>
          <w:tcPr>
            <w:tcW w:w="0" w:type="auto"/>
            <w:gridSpan w:val="5"/>
            <w:shd w:val="clear" w:color="auto" w:fill="auto"/>
            <w:tcMar>
              <w:top w:w="40" w:type="dxa"/>
              <w:left w:w="20" w:type="dxa"/>
              <w:bottom w:w="40" w:type="dxa"/>
              <w:right w:w="20" w:type="dxa"/>
            </w:tcMar>
            <w:vAlign w:val="bottom"/>
          </w:tcPr>
          <w:p w14:paraId="392C0696" w14:textId="77777777" w:rsidR="00980E5F" w:rsidRDefault="00483613">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June 30,</w:t>
            </w:r>
          </w:p>
        </w:tc>
        <w:tc>
          <w:tcPr>
            <w:tcW w:w="0" w:type="auto"/>
            <w:gridSpan w:val="3"/>
            <w:shd w:val="clear" w:color="auto" w:fill="auto"/>
            <w:tcMar>
              <w:top w:w="0" w:type="dxa"/>
              <w:left w:w="20" w:type="dxa"/>
              <w:bottom w:w="0" w:type="dxa"/>
              <w:right w:w="20" w:type="dxa"/>
            </w:tcMar>
            <w:vAlign w:val="bottom"/>
          </w:tcPr>
          <w:p w14:paraId="392C0697" w14:textId="77777777" w:rsidR="00980E5F" w:rsidRDefault="00980E5F">
            <w:pPr>
              <w:rPr>
                <w:rFonts w:ascii="宋体"/>
              </w:rPr>
            </w:pPr>
          </w:p>
        </w:tc>
        <w:tc>
          <w:tcPr>
            <w:tcW w:w="0" w:type="auto"/>
            <w:gridSpan w:val="3"/>
            <w:shd w:val="clear" w:color="auto" w:fill="auto"/>
            <w:vAlign w:val="bottom"/>
          </w:tcPr>
          <w:p w14:paraId="392C0698" w14:textId="77777777" w:rsidR="00980E5F" w:rsidRDefault="00980E5F">
            <w:pPr>
              <w:rPr>
                <w:rFonts w:ascii="宋体"/>
                <w:vanish/>
              </w:rPr>
            </w:pPr>
          </w:p>
        </w:tc>
        <w:tc>
          <w:tcPr>
            <w:tcW w:w="0" w:type="auto"/>
            <w:gridSpan w:val="3"/>
            <w:shd w:val="clear" w:color="auto" w:fill="auto"/>
            <w:vAlign w:val="bottom"/>
          </w:tcPr>
          <w:p w14:paraId="392C0699" w14:textId="77777777" w:rsidR="00980E5F" w:rsidRDefault="00980E5F">
            <w:pPr>
              <w:rPr>
                <w:rFonts w:ascii="宋体"/>
                <w:vanish/>
              </w:rPr>
            </w:pPr>
          </w:p>
        </w:tc>
        <w:tc>
          <w:tcPr>
            <w:tcW w:w="0" w:type="auto"/>
            <w:vMerge w:val="restart"/>
            <w:shd w:val="clear" w:color="auto" w:fill="auto"/>
            <w:tcMar>
              <w:top w:w="40" w:type="dxa"/>
              <w:left w:w="20" w:type="dxa"/>
              <w:bottom w:w="40" w:type="dxa"/>
              <w:right w:w="20" w:type="dxa"/>
            </w:tcMar>
            <w:vAlign w:val="bottom"/>
          </w:tcPr>
          <w:p w14:paraId="392C069A" w14:textId="77777777" w:rsidR="00980E5F" w:rsidRDefault="00483613">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392C069B" w14:textId="77777777" w:rsidR="00980E5F" w:rsidRDefault="00980E5F">
            <w:pPr>
              <w:rPr>
                <w:rFonts w:ascii="宋体"/>
                <w:vanish/>
              </w:rPr>
            </w:pPr>
          </w:p>
        </w:tc>
        <w:tc>
          <w:tcPr>
            <w:tcW w:w="0" w:type="auto"/>
            <w:gridSpan w:val="3"/>
            <w:shd w:val="clear" w:color="auto" w:fill="auto"/>
            <w:vAlign w:val="bottom"/>
          </w:tcPr>
          <w:p w14:paraId="392C069C" w14:textId="77777777" w:rsidR="00980E5F" w:rsidRDefault="00980E5F">
            <w:pPr>
              <w:rPr>
                <w:rFonts w:ascii="宋体"/>
                <w:vanish/>
              </w:rPr>
            </w:pPr>
          </w:p>
        </w:tc>
        <w:tc>
          <w:tcPr>
            <w:tcW w:w="0" w:type="auto"/>
            <w:gridSpan w:val="3"/>
            <w:shd w:val="clear" w:color="auto" w:fill="auto"/>
            <w:vAlign w:val="bottom"/>
          </w:tcPr>
          <w:p w14:paraId="392C069D" w14:textId="77777777" w:rsidR="00980E5F" w:rsidRDefault="00980E5F">
            <w:pPr>
              <w:rPr>
                <w:rFonts w:ascii="宋体"/>
                <w:vanish/>
              </w:rPr>
            </w:pPr>
          </w:p>
        </w:tc>
        <w:tc>
          <w:tcPr>
            <w:tcW w:w="0" w:type="auto"/>
            <w:gridSpan w:val="3"/>
            <w:shd w:val="clear" w:color="auto" w:fill="auto"/>
            <w:vAlign w:val="bottom"/>
          </w:tcPr>
          <w:p w14:paraId="392C069E" w14:textId="77777777" w:rsidR="00980E5F" w:rsidRDefault="00980E5F">
            <w:pPr>
              <w:rPr>
                <w:rFonts w:ascii="宋体"/>
                <w:vanish/>
              </w:rPr>
            </w:pPr>
          </w:p>
        </w:tc>
        <w:tc>
          <w:tcPr>
            <w:tcW w:w="0" w:type="auto"/>
            <w:gridSpan w:val="3"/>
            <w:shd w:val="clear" w:color="auto" w:fill="auto"/>
            <w:vAlign w:val="bottom"/>
          </w:tcPr>
          <w:p w14:paraId="392C069F" w14:textId="77777777" w:rsidR="00980E5F" w:rsidRDefault="00980E5F">
            <w:pPr>
              <w:rPr>
                <w:rFonts w:ascii="宋体"/>
                <w:vanish/>
              </w:rPr>
            </w:pPr>
          </w:p>
        </w:tc>
        <w:tc>
          <w:tcPr>
            <w:tcW w:w="0" w:type="auto"/>
            <w:gridSpan w:val="3"/>
            <w:shd w:val="clear" w:color="auto" w:fill="auto"/>
            <w:vAlign w:val="bottom"/>
          </w:tcPr>
          <w:p w14:paraId="392C06A0" w14:textId="77777777" w:rsidR="00980E5F" w:rsidRDefault="00980E5F">
            <w:pPr>
              <w:rPr>
                <w:rFonts w:ascii="宋体"/>
                <w:vanish/>
              </w:rPr>
            </w:pPr>
          </w:p>
        </w:tc>
        <w:tc>
          <w:tcPr>
            <w:tcW w:w="0" w:type="auto"/>
            <w:gridSpan w:val="3"/>
            <w:shd w:val="clear" w:color="auto" w:fill="auto"/>
            <w:vAlign w:val="bottom"/>
          </w:tcPr>
          <w:p w14:paraId="392C06A1" w14:textId="77777777" w:rsidR="00980E5F" w:rsidRDefault="00980E5F">
            <w:pPr>
              <w:rPr>
                <w:rFonts w:ascii="宋体"/>
                <w:vanish/>
              </w:rPr>
            </w:pPr>
          </w:p>
        </w:tc>
        <w:tc>
          <w:tcPr>
            <w:tcW w:w="0" w:type="auto"/>
            <w:gridSpan w:val="3"/>
            <w:shd w:val="clear" w:color="auto" w:fill="auto"/>
            <w:vAlign w:val="bottom"/>
          </w:tcPr>
          <w:p w14:paraId="392C06A2" w14:textId="77777777" w:rsidR="00980E5F" w:rsidRDefault="00980E5F">
            <w:pPr>
              <w:rPr>
                <w:rFonts w:ascii="宋体"/>
                <w:vanish/>
              </w:rPr>
            </w:pPr>
          </w:p>
        </w:tc>
        <w:tc>
          <w:tcPr>
            <w:tcW w:w="0" w:type="auto"/>
            <w:shd w:val="clear" w:color="auto" w:fill="auto"/>
            <w:vAlign w:val="bottom"/>
          </w:tcPr>
          <w:p w14:paraId="392C06A3" w14:textId="77777777" w:rsidR="00980E5F" w:rsidRDefault="00980E5F">
            <w:pPr>
              <w:rPr>
                <w:rFonts w:ascii="宋体"/>
              </w:rPr>
            </w:pPr>
          </w:p>
        </w:tc>
        <w:tc>
          <w:tcPr>
            <w:tcW w:w="0" w:type="auto"/>
            <w:shd w:val="clear" w:color="auto" w:fill="auto"/>
            <w:vAlign w:val="bottom"/>
          </w:tcPr>
          <w:p w14:paraId="392C06A4" w14:textId="77777777" w:rsidR="00980E5F" w:rsidRDefault="00980E5F">
            <w:pPr>
              <w:rPr>
                <w:rFonts w:ascii="宋体"/>
              </w:rPr>
            </w:pPr>
          </w:p>
        </w:tc>
        <w:tc>
          <w:tcPr>
            <w:tcW w:w="0" w:type="auto"/>
            <w:shd w:val="clear" w:color="auto" w:fill="auto"/>
            <w:vAlign w:val="bottom"/>
          </w:tcPr>
          <w:p w14:paraId="392C06A5" w14:textId="77777777" w:rsidR="00980E5F" w:rsidRDefault="00980E5F">
            <w:pPr>
              <w:rPr>
                <w:rFonts w:ascii="宋体"/>
              </w:rPr>
            </w:pPr>
          </w:p>
        </w:tc>
      </w:tr>
      <w:tr w:rsidR="00980E5F" w14:paraId="392C06C0" w14:textId="77777777">
        <w:trPr>
          <w:trHeight w:val="220"/>
        </w:trPr>
        <w:tc>
          <w:tcPr>
            <w:tcW w:w="0" w:type="auto"/>
            <w:gridSpan w:val="3"/>
            <w:vMerge/>
            <w:shd w:val="clear" w:color="auto" w:fill="auto"/>
            <w:tcMar>
              <w:top w:w="40" w:type="dxa"/>
              <w:left w:w="20" w:type="dxa"/>
              <w:bottom w:w="40" w:type="dxa"/>
              <w:right w:w="20" w:type="dxa"/>
            </w:tcMar>
            <w:vAlign w:val="bottom"/>
          </w:tcPr>
          <w:p w14:paraId="392C06A7" w14:textId="77777777" w:rsidR="00980E5F" w:rsidRDefault="00980E5F">
            <w:pPr>
              <w:rPr>
                <w:rFonts w:ascii="宋体"/>
              </w:rPr>
            </w:pPr>
          </w:p>
        </w:tc>
        <w:tc>
          <w:tcPr>
            <w:tcW w:w="0" w:type="auto"/>
            <w:shd w:val="clear" w:color="auto" w:fill="auto"/>
            <w:vAlign w:val="bottom"/>
          </w:tcPr>
          <w:p w14:paraId="392C06A8" w14:textId="77777777" w:rsidR="00980E5F" w:rsidRDefault="00980E5F">
            <w:pPr>
              <w:rPr>
                <w:rFonts w:ascii="宋体"/>
                <w:vanish/>
              </w:rPr>
            </w:pPr>
          </w:p>
        </w:tc>
        <w:tc>
          <w:tcPr>
            <w:tcW w:w="0" w:type="auto"/>
            <w:shd w:val="clear" w:color="auto" w:fill="auto"/>
            <w:vAlign w:val="bottom"/>
          </w:tcPr>
          <w:p w14:paraId="392C06A9" w14:textId="77777777" w:rsidR="00980E5F" w:rsidRDefault="00980E5F">
            <w:pPr>
              <w:rPr>
                <w:rFonts w:ascii="宋体"/>
                <w:vanish/>
              </w:rPr>
            </w:pPr>
          </w:p>
        </w:tc>
        <w:tc>
          <w:tcPr>
            <w:tcW w:w="0" w:type="auto"/>
            <w:shd w:val="clear" w:color="auto" w:fill="auto"/>
            <w:vAlign w:val="bottom"/>
          </w:tcPr>
          <w:p w14:paraId="392C06AA" w14:textId="77777777" w:rsidR="00980E5F" w:rsidRDefault="00980E5F">
            <w:pPr>
              <w:rPr>
                <w:rFonts w:ascii="宋体"/>
                <w:vanish/>
              </w:rPr>
            </w:pPr>
          </w:p>
        </w:tc>
        <w:tc>
          <w:tcPr>
            <w:tcW w:w="0" w:type="auto"/>
            <w:shd w:val="clear" w:color="auto" w:fill="auto"/>
            <w:vAlign w:val="bottom"/>
          </w:tcPr>
          <w:p w14:paraId="392C06AB" w14:textId="77777777" w:rsidR="00980E5F" w:rsidRDefault="00980E5F">
            <w:pPr>
              <w:rPr>
                <w:rFonts w:ascii="宋体"/>
                <w:vanish/>
              </w:rPr>
            </w:pPr>
          </w:p>
        </w:tc>
        <w:tc>
          <w:tcPr>
            <w:tcW w:w="0" w:type="auto"/>
            <w:shd w:val="clear" w:color="auto" w:fill="auto"/>
            <w:vAlign w:val="bottom"/>
          </w:tcPr>
          <w:p w14:paraId="392C06AC" w14:textId="77777777" w:rsidR="00980E5F" w:rsidRDefault="00980E5F">
            <w:pPr>
              <w:rPr>
                <w:rFonts w:ascii="宋体"/>
                <w:vanish/>
              </w:rPr>
            </w:pPr>
          </w:p>
        </w:tc>
        <w:tc>
          <w:tcPr>
            <w:tcW w:w="0" w:type="auto"/>
            <w:shd w:val="clear" w:color="auto" w:fill="auto"/>
            <w:vAlign w:val="bottom"/>
          </w:tcPr>
          <w:p w14:paraId="392C06AD"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6AE"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6A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6B0"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06B1" w14:textId="77777777" w:rsidR="00980E5F" w:rsidRDefault="00980E5F">
            <w:pPr>
              <w:rPr>
                <w:rFonts w:ascii="宋体"/>
              </w:rPr>
            </w:pPr>
          </w:p>
        </w:tc>
        <w:tc>
          <w:tcPr>
            <w:tcW w:w="0" w:type="auto"/>
            <w:vMerge/>
            <w:shd w:val="clear" w:color="auto" w:fill="auto"/>
            <w:tcMar>
              <w:top w:w="40" w:type="dxa"/>
              <w:left w:w="20" w:type="dxa"/>
              <w:bottom w:w="40" w:type="dxa"/>
              <w:right w:w="20" w:type="dxa"/>
            </w:tcMar>
            <w:vAlign w:val="bottom"/>
          </w:tcPr>
          <w:p w14:paraId="392C06B2" w14:textId="77777777" w:rsidR="00980E5F" w:rsidRDefault="00980E5F">
            <w:pPr>
              <w:jc w:val="center"/>
              <w:rPr>
                <w:rFonts w:ascii="宋体"/>
              </w:rPr>
            </w:pPr>
          </w:p>
        </w:tc>
        <w:tc>
          <w:tcPr>
            <w:tcW w:w="0" w:type="auto"/>
            <w:shd w:val="clear" w:color="auto" w:fill="auto"/>
            <w:vAlign w:val="bottom"/>
          </w:tcPr>
          <w:p w14:paraId="392C06B3" w14:textId="77777777" w:rsidR="00980E5F" w:rsidRDefault="00980E5F">
            <w:pPr>
              <w:rPr>
                <w:rFonts w:ascii="宋体"/>
                <w:vanish/>
              </w:rPr>
            </w:pPr>
          </w:p>
        </w:tc>
        <w:tc>
          <w:tcPr>
            <w:tcW w:w="0" w:type="auto"/>
            <w:gridSpan w:val="3"/>
            <w:shd w:val="clear" w:color="auto" w:fill="auto"/>
            <w:vAlign w:val="bottom"/>
          </w:tcPr>
          <w:p w14:paraId="392C06B4" w14:textId="77777777" w:rsidR="00980E5F" w:rsidRDefault="00980E5F">
            <w:pPr>
              <w:rPr>
                <w:rFonts w:ascii="宋体"/>
                <w:vanish/>
              </w:rPr>
            </w:pPr>
          </w:p>
        </w:tc>
        <w:tc>
          <w:tcPr>
            <w:tcW w:w="0" w:type="auto"/>
            <w:gridSpan w:val="3"/>
            <w:shd w:val="clear" w:color="auto" w:fill="auto"/>
            <w:vAlign w:val="bottom"/>
          </w:tcPr>
          <w:p w14:paraId="392C06B5" w14:textId="77777777" w:rsidR="00980E5F" w:rsidRDefault="00980E5F">
            <w:pPr>
              <w:rPr>
                <w:rFonts w:ascii="宋体"/>
                <w:vanish/>
              </w:rPr>
            </w:pPr>
          </w:p>
        </w:tc>
        <w:tc>
          <w:tcPr>
            <w:tcW w:w="0" w:type="auto"/>
            <w:gridSpan w:val="3"/>
            <w:shd w:val="clear" w:color="auto" w:fill="auto"/>
            <w:vAlign w:val="bottom"/>
          </w:tcPr>
          <w:p w14:paraId="392C06B6" w14:textId="77777777" w:rsidR="00980E5F" w:rsidRDefault="00980E5F">
            <w:pPr>
              <w:rPr>
                <w:rFonts w:ascii="宋体"/>
                <w:vanish/>
              </w:rPr>
            </w:pPr>
          </w:p>
        </w:tc>
        <w:tc>
          <w:tcPr>
            <w:tcW w:w="0" w:type="auto"/>
            <w:gridSpan w:val="3"/>
            <w:shd w:val="clear" w:color="auto" w:fill="auto"/>
            <w:vAlign w:val="bottom"/>
          </w:tcPr>
          <w:p w14:paraId="392C06B7" w14:textId="77777777" w:rsidR="00980E5F" w:rsidRDefault="00980E5F">
            <w:pPr>
              <w:rPr>
                <w:rFonts w:ascii="宋体"/>
                <w:vanish/>
              </w:rPr>
            </w:pPr>
          </w:p>
        </w:tc>
        <w:tc>
          <w:tcPr>
            <w:tcW w:w="0" w:type="auto"/>
            <w:gridSpan w:val="3"/>
            <w:shd w:val="clear" w:color="auto" w:fill="auto"/>
            <w:vAlign w:val="bottom"/>
          </w:tcPr>
          <w:p w14:paraId="392C06B8" w14:textId="77777777" w:rsidR="00980E5F" w:rsidRDefault="00980E5F">
            <w:pPr>
              <w:rPr>
                <w:rFonts w:ascii="宋体"/>
                <w:vanish/>
              </w:rPr>
            </w:pPr>
          </w:p>
        </w:tc>
        <w:tc>
          <w:tcPr>
            <w:tcW w:w="0" w:type="auto"/>
            <w:gridSpan w:val="3"/>
            <w:shd w:val="clear" w:color="auto" w:fill="auto"/>
            <w:vAlign w:val="bottom"/>
          </w:tcPr>
          <w:p w14:paraId="392C06B9" w14:textId="77777777" w:rsidR="00980E5F" w:rsidRDefault="00980E5F">
            <w:pPr>
              <w:rPr>
                <w:rFonts w:ascii="宋体"/>
                <w:vanish/>
              </w:rPr>
            </w:pPr>
          </w:p>
        </w:tc>
        <w:tc>
          <w:tcPr>
            <w:tcW w:w="0" w:type="auto"/>
            <w:shd w:val="clear" w:color="auto" w:fill="auto"/>
            <w:vAlign w:val="bottom"/>
          </w:tcPr>
          <w:p w14:paraId="392C06BA" w14:textId="77777777" w:rsidR="00980E5F" w:rsidRDefault="00980E5F">
            <w:pPr>
              <w:rPr>
                <w:rFonts w:ascii="宋体"/>
              </w:rPr>
            </w:pPr>
          </w:p>
        </w:tc>
        <w:tc>
          <w:tcPr>
            <w:tcW w:w="0" w:type="auto"/>
            <w:shd w:val="clear" w:color="auto" w:fill="auto"/>
            <w:vAlign w:val="bottom"/>
          </w:tcPr>
          <w:p w14:paraId="392C06BB" w14:textId="77777777" w:rsidR="00980E5F" w:rsidRDefault="00980E5F">
            <w:pPr>
              <w:rPr>
                <w:rFonts w:ascii="宋体"/>
              </w:rPr>
            </w:pPr>
          </w:p>
        </w:tc>
        <w:tc>
          <w:tcPr>
            <w:tcW w:w="0" w:type="auto"/>
            <w:shd w:val="clear" w:color="auto" w:fill="auto"/>
            <w:vAlign w:val="bottom"/>
          </w:tcPr>
          <w:p w14:paraId="392C06BC" w14:textId="77777777" w:rsidR="00980E5F" w:rsidRDefault="00980E5F">
            <w:pPr>
              <w:rPr>
                <w:rFonts w:ascii="宋体"/>
              </w:rPr>
            </w:pPr>
          </w:p>
        </w:tc>
        <w:tc>
          <w:tcPr>
            <w:tcW w:w="0" w:type="auto"/>
            <w:shd w:val="clear" w:color="auto" w:fill="auto"/>
            <w:vAlign w:val="bottom"/>
          </w:tcPr>
          <w:p w14:paraId="392C06BD" w14:textId="77777777" w:rsidR="00980E5F" w:rsidRDefault="00980E5F">
            <w:pPr>
              <w:rPr>
                <w:rFonts w:ascii="宋体"/>
              </w:rPr>
            </w:pPr>
          </w:p>
        </w:tc>
        <w:tc>
          <w:tcPr>
            <w:tcW w:w="0" w:type="auto"/>
            <w:shd w:val="clear" w:color="auto" w:fill="auto"/>
            <w:vAlign w:val="bottom"/>
          </w:tcPr>
          <w:p w14:paraId="392C06BE" w14:textId="77777777" w:rsidR="00980E5F" w:rsidRDefault="00980E5F">
            <w:pPr>
              <w:rPr>
                <w:rFonts w:ascii="宋体"/>
              </w:rPr>
            </w:pPr>
          </w:p>
        </w:tc>
        <w:tc>
          <w:tcPr>
            <w:tcW w:w="0" w:type="auto"/>
            <w:shd w:val="clear" w:color="auto" w:fill="auto"/>
            <w:vAlign w:val="bottom"/>
          </w:tcPr>
          <w:p w14:paraId="392C06BF" w14:textId="77777777" w:rsidR="00980E5F" w:rsidRDefault="00980E5F">
            <w:pPr>
              <w:rPr>
                <w:rFonts w:ascii="宋体"/>
              </w:rPr>
            </w:pPr>
          </w:p>
        </w:tc>
      </w:tr>
      <w:tr w:rsidR="00980E5F" w14:paraId="392C06D7" w14:textId="77777777">
        <w:trPr>
          <w:hidden/>
        </w:trPr>
        <w:tc>
          <w:tcPr>
            <w:tcW w:w="0" w:type="auto"/>
            <w:gridSpan w:val="3"/>
            <w:shd w:val="clear" w:color="auto" w:fill="auto"/>
            <w:vAlign w:val="bottom"/>
          </w:tcPr>
          <w:p w14:paraId="392C06C1" w14:textId="77777777" w:rsidR="00980E5F" w:rsidRDefault="00980E5F">
            <w:pPr>
              <w:rPr>
                <w:rFonts w:ascii="宋体"/>
                <w:vanish/>
              </w:rPr>
            </w:pPr>
          </w:p>
        </w:tc>
        <w:tc>
          <w:tcPr>
            <w:tcW w:w="0" w:type="auto"/>
            <w:shd w:val="clear" w:color="auto" w:fill="auto"/>
            <w:vAlign w:val="bottom"/>
          </w:tcPr>
          <w:p w14:paraId="392C06C2" w14:textId="77777777" w:rsidR="00980E5F" w:rsidRDefault="00980E5F">
            <w:pPr>
              <w:rPr>
                <w:rFonts w:ascii="宋体"/>
                <w:vanish/>
              </w:rPr>
            </w:pPr>
          </w:p>
        </w:tc>
        <w:tc>
          <w:tcPr>
            <w:tcW w:w="0" w:type="auto"/>
            <w:shd w:val="clear" w:color="auto" w:fill="auto"/>
            <w:vAlign w:val="bottom"/>
          </w:tcPr>
          <w:p w14:paraId="392C06C3" w14:textId="77777777" w:rsidR="00980E5F" w:rsidRDefault="00980E5F">
            <w:pPr>
              <w:rPr>
                <w:rFonts w:ascii="宋体"/>
                <w:vanish/>
              </w:rPr>
            </w:pPr>
          </w:p>
        </w:tc>
        <w:tc>
          <w:tcPr>
            <w:tcW w:w="0" w:type="auto"/>
            <w:shd w:val="clear" w:color="auto" w:fill="auto"/>
            <w:vAlign w:val="bottom"/>
          </w:tcPr>
          <w:p w14:paraId="392C06C4" w14:textId="77777777" w:rsidR="00980E5F" w:rsidRDefault="00980E5F">
            <w:pPr>
              <w:rPr>
                <w:rFonts w:ascii="宋体"/>
                <w:vanish/>
              </w:rPr>
            </w:pPr>
          </w:p>
        </w:tc>
        <w:tc>
          <w:tcPr>
            <w:tcW w:w="0" w:type="auto"/>
            <w:shd w:val="clear" w:color="auto" w:fill="auto"/>
            <w:vAlign w:val="bottom"/>
          </w:tcPr>
          <w:p w14:paraId="392C06C5" w14:textId="77777777" w:rsidR="00980E5F" w:rsidRDefault="00980E5F">
            <w:pPr>
              <w:rPr>
                <w:rFonts w:ascii="宋体"/>
                <w:vanish/>
              </w:rPr>
            </w:pPr>
          </w:p>
        </w:tc>
        <w:tc>
          <w:tcPr>
            <w:tcW w:w="0" w:type="auto"/>
            <w:shd w:val="clear" w:color="auto" w:fill="auto"/>
            <w:vAlign w:val="bottom"/>
          </w:tcPr>
          <w:p w14:paraId="392C06C6" w14:textId="77777777" w:rsidR="00980E5F" w:rsidRDefault="00980E5F">
            <w:pPr>
              <w:rPr>
                <w:rFonts w:ascii="宋体"/>
                <w:vanish/>
              </w:rPr>
            </w:pPr>
          </w:p>
        </w:tc>
        <w:tc>
          <w:tcPr>
            <w:tcW w:w="0" w:type="auto"/>
            <w:shd w:val="clear" w:color="auto" w:fill="auto"/>
            <w:vAlign w:val="bottom"/>
          </w:tcPr>
          <w:p w14:paraId="392C06C7" w14:textId="77777777" w:rsidR="00980E5F" w:rsidRDefault="00980E5F">
            <w:pPr>
              <w:rPr>
                <w:rFonts w:ascii="宋体"/>
                <w:vanish/>
              </w:rPr>
            </w:pPr>
          </w:p>
        </w:tc>
        <w:tc>
          <w:tcPr>
            <w:tcW w:w="0" w:type="auto"/>
            <w:gridSpan w:val="3"/>
            <w:shd w:val="clear" w:color="auto" w:fill="auto"/>
            <w:vAlign w:val="bottom"/>
          </w:tcPr>
          <w:p w14:paraId="392C06C8" w14:textId="77777777" w:rsidR="00980E5F" w:rsidRDefault="00980E5F">
            <w:pPr>
              <w:rPr>
                <w:rFonts w:ascii="宋体"/>
                <w:vanish/>
              </w:rPr>
            </w:pPr>
          </w:p>
        </w:tc>
        <w:tc>
          <w:tcPr>
            <w:tcW w:w="0" w:type="auto"/>
            <w:gridSpan w:val="3"/>
            <w:shd w:val="clear" w:color="auto" w:fill="auto"/>
            <w:vAlign w:val="bottom"/>
          </w:tcPr>
          <w:p w14:paraId="392C06C9" w14:textId="77777777" w:rsidR="00980E5F" w:rsidRDefault="00980E5F">
            <w:pPr>
              <w:rPr>
                <w:rFonts w:ascii="宋体"/>
                <w:vanish/>
              </w:rPr>
            </w:pPr>
          </w:p>
        </w:tc>
        <w:tc>
          <w:tcPr>
            <w:tcW w:w="0" w:type="auto"/>
            <w:gridSpan w:val="3"/>
            <w:shd w:val="clear" w:color="auto" w:fill="auto"/>
            <w:vAlign w:val="bottom"/>
          </w:tcPr>
          <w:p w14:paraId="392C06CA" w14:textId="77777777" w:rsidR="00980E5F" w:rsidRDefault="00980E5F">
            <w:pPr>
              <w:rPr>
                <w:rFonts w:ascii="宋体"/>
                <w:vanish/>
              </w:rPr>
            </w:pPr>
          </w:p>
        </w:tc>
        <w:tc>
          <w:tcPr>
            <w:tcW w:w="0" w:type="auto"/>
            <w:gridSpan w:val="3"/>
            <w:shd w:val="clear" w:color="auto" w:fill="auto"/>
            <w:vAlign w:val="bottom"/>
          </w:tcPr>
          <w:p w14:paraId="392C06CB" w14:textId="77777777" w:rsidR="00980E5F" w:rsidRDefault="00980E5F">
            <w:pPr>
              <w:rPr>
                <w:rFonts w:ascii="宋体"/>
                <w:vanish/>
              </w:rPr>
            </w:pPr>
          </w:p>
        </w:tc>
        <w:tc>
          <w:tcPr>
            <w:tcW w:w="0" w:type="auto"/>
            <w:shd w:val="clear" w:color="auto" w:fill="auto"/>
            <w:vAlign w:val="bottom"/>
          </w:tcPr>
          <w:p w14:paraId="392C06CC" w14:textId="77777777" w:rsidR="00980E5F" w:rsidRDefault="00980E5F">
            <w:pPr>
              <w:rPr>
                <w:rFonts w:ascii="宋体"/>
                <w:vanish/>
              </w:rPr>
            </w:pPr>
          </w:p>
        </w:tc>
        <w:tc>
          <w:tcPr>
            <w:tcW w:w="0" w:type="auto"/>
            <w:shd w:val="clear" w:color="auto" w:fill="auto"/>
            <w:vAlign w:val="bottom"/>
          </w:tcPr>
          <w:p w14:paraId="392C06CD" w14:textId="77777777" w:rsidR="00980E5F" w:rsidRDefault="00980E5F">
            <w:pPr>
              <w:rPr>
                <w:rFonts w:ascii="宋体"/>
                <w:vanish/>
              </w:rPr>
            </w:pPr>
          </w:p>
        </w:tc>
        <w:tc>
          <w:tcPr>
            <w:tcW w:w="0" w:type="auto"/>
            <w:gridSpan w:val="3"/>
            <w:shd w:val="clear" w:color="auto" w:fill="auto"/>
            <w:vAlign w:val="bottom"/>
          </w:tcPr>
          <w:p w14:paraId="392C06CE" w14:textId="77777777" w:rsidR="00980E5F" w:rsidRDefault="00980E5F">
            <w:pPr>
              <w:rPr>
                <w:rFonts w:ascii="宋体"/>
                <w:vanish/>
              </w:rPr>
            </w:pPr>
          </w:p>
        </w:tc>
        <w:tc>
          <w:tcPr>
            <w:tcW w:w="0" w:type="auto"/>
            <w:gridSpan w:val="3"/>
            <w:shd w:val="clear" w:color="auto" w:fill="auto"/>
            <w:vAlign w:val="bottom"/>
          </w:tcPr>
          <w:p w14:paraId="392C06CF" w14:textId="77777777" w:rsidR="00980E5F" w:rsidRDefault="00980E5F">
            <w:pPr>
              <w:rPr>
                <w:rFonts w:ascii="宋体"/>
                <w:vanish/>
              </w:rPr>
            </w:pPr>
          </w:p>
        </w:tc>
        <w:tc>
          <w:tcPr>
            <w:tcW w:w="0" w:type="auto"/>
            <w:gridSpan w:val="3"/>
            <w:shd w:val="clear" w:color="auto" w:fill="auto"/>
            <w:vAlign w:val="bottom"/>
          </w:tcPr>
          <w:p w14:paraId="392C06D0" w14:textId="77777777" w:rsidR="00980E5F" w:rsidRDefault="00980E5F">
            <w:pPr>
              <w:rPr>
                <w:rFonts w:ascii="宋体"/>
                <w:vanish/>
              </w:rPr>
            </w:pPr>
          </w:p>
        </w:tc>
        <w:tc>
          <w:tcPr>
            <w:tcW w:w="0" w:type="auto"/>
            <w:gridSpan w:val="3"/>
            <w:shd w:val="clear" w:color="auto" w:fill="auto"/>
            <w:vAlign w:val="bottom"/>
          </w:tcPr>
          <w:p w14:paraId="392C06D1" w14:textId="77777777" w:rsidR="00980E5F" w:rsidRDefault="00980E5F">
            <w:pPr>
              <w:rPr>
                <w:rFonts w:ascii="宋体"/>
                <w:vanish/>
              </w:rPr>
            </w:pPr>
          </w:p>
        </w:tc>
        <w:tc>
          <w:tcPr>
            <w:tcW w:w="0" w:type="auto"/>
            <w:gridSpan w:val="3"/>
            <w:shd w:val="clear" w:color="auto" w:fill="auto"/>
            <w:vAlign w:val="bottom"/>
          </w:tcPr>
          <w:p w14:paraId="392C06D2" w14:textId="77777777" w:rsidR="00980E5F" w:rsidRDefault="00980E5F">
            <w:pPr>
              <w:rPr>
                <w:rFonts w:ascii="宋体"/>
                <w:vanish/>
              </w:rPr>
            </w:pPr>
          </w:p>
        </w:tc>
        <w:tc>
          <w:tcPr>
            <w:tcW w:w="0" w:type="auto"/>
            <w:gridSpan w:val="3"/>
            <w:shd w:val="clear" w:color="auto" w:fill="auto"/>
            <w:vAlign w:val="bottom"/>
          </w:tcPr>
          <w:p w14:paraId="392C06D3" w14:textId="77777777" w:rsidR="00980E5F" w:rsidRDefault="00980E5F">
            <w:pPr>
              <w:rPr>
                <w:rFonts w:ascii="宋体"/>
                <w:vanish/>
              </w:rPr>
            </w:pPr>
          </w:p>
        </w:tc>
        <w:tc>
          <w:tcPr>
            <w:tcW w:w="0" w:type="auto"/>
            <w:gridSpan w:val="3"/>
            <w:shd w:val="clear" w:color="auto" w:fill="auto"/>
            <w:vAlign w:val="bottom"/>
          </w:tcPr>
          <w:p w14:paraId="392C06D4" w14:textId="77777777" w:rsidR="00980E5F" w:rsidRDefault="00980E5F">
            <w:pPr>
              <w:rPr>
                <w:rFonts w:ascii="宋体"/>
                <w:vanish/>
              </w:rPr>
            </w:pPr>
          </w:p>
        </w:tc>
        <w:tc>
          <w:tcPr>
            <w:tcW w:w="0" w:type="auto"/>
            <w:gridSpan w:val="2"/>
            <w:shd w:val="clear" w:color="auto" w:fill="auto"/>
            <w:vAlign w:val="bottom"/>
          </w:tcPr>
          <w:p w14:paraId="392C06D5" w14:textId="77777777" w:rsidR="00980E5F" w:rsidRDefault="00980E5F">
            <w:pPr>
              <w:rPr>
                <w:rFonts w:ascii="宋体"/>
                <w:vanish/>
              </w:rPr>
            </w:pPr>
          </w:p>
        </w:tc>
        <w:tc>
          <w:tcPr>
            <w:tcW w:w="0" w:type="auto"/>
            <w:shd w:val="clear" w:color="auto" w:fill="auto"/>
            <w:vAlign w:val="bottom"/>
          </w:tcPr>
          <w:p w14:paraId="392C06D6" w14:textId="77777777" w:rsidR="00980E5F" w:rsidRDefault="00980E5F">
            <w:pPr>
              <w:rPr>
                <w:rFonts w:ascii="宋体"/>
                <w:vanish/>
              </w:rPr>
            </w:pPr>
          </w:p>
        </w:tc>
      </w:tr>
      <w:tr w:rsidR="00980E5F" w14:paraId="392C06EE" w14:textId="77777777">
        <w:trPr>
          <w:hidden/>
        </w:trPr>
        <w:tc>
          <w:tcPr>
            <w:tcW w:w="0" w:type="auto"/>
            <w:gridSpan w:val="3"/>
            <w:shd w:val="clear" w:color="auto" w:fill="auto"/>
            <w:vAlign w:val="bottom"/>
          </w:tcPr>
          <w:p w14:paraId="392C06D8" w14:textId="77777777" w:rsidR="00980E5F" w:rsidRDefault="00980E5F">
            <w:pPr>
              <w:rPr>
                <w:rFonts w:ascii="宋体"/>
                <w:vanish/>
              </w:rPr>
            </w:pPr>
          </w:p>
        </w:tc>
        <w:tc>
          <w:tcPr>
            <w:tcW w:w="0" w:type="auto"/>
            <w:shd w:val="clear" w:color="auto" w:fill="auto"/>
            <w:vAlign w:val="bottom"/>
          </w:tcPr>
          <w:p w14:paraId="392C06D9" w14:textId="77777777" w:rsidR="00980E5F" w:rsidRDefault="00980E5F">
            <w:pPr>
              <w:rPr>
                <w:rFonts w:ascii="宋体"/>
                <w:vanish/>
              </w:rPr>
            </w:pPr>
          </w:p>
        </w:tc>
        <w:tc>
          <w:tcPr>
            <w:tcW w:w="0" w:type="auto"/>
            <w:shd w:val="clear" w:color="auto" w:fill="auto"/>
            <w:vAlign w:val="bottom"/>
          </w:tcPr>
          <w:p w14:paraId="392C06DA" w14:textId="77777777" w:rsidR="00980E5F" w:rsidRDefault="00980E5F">
            <w:pPr>
              <w:rPr>
                <w:rFonts w:ascii="宋体"/>
                <w:vanish/>
              </w:rPr>
            </w:pPr>
          </w:p>
        </w:tc>
        <w:tc>
          <w:tcPr>
            <w:tcW w:w="0" w:type="auto"/>
            <w:shd w:val="clear" w:color="auto" w:fill="auto"/>
            <w:vAlign w:val="bottom"/>
          </w:tcPr>
          <w:p w14:paraId="392C06DB" w14:textId="77777777" w:rsidR="00980E5F" w:rsidRDefault="00980E5F">
            <w:pPr>
              <w:rPr>
                <w:rFonts w:ascii="宋体"/>
                <w:vanish/>
              </w:rPr>
            </w:pPr>
          </w:p>
        </w:tc>
        <w:tc>
          <w:tcPr>
            <w:tcW w:w="0" w:type="auto"/>
            <w:shd w:val="clear" w:color="auto" w:fill="auto"/>
            <w:vAlign w:val="bottom"/>
          </w:tcPr>
          <w:p w14:paraId="392C06DC" w14:textId="77777777" w:rsidR="00980E5F" w:rsidRDefault="00980E5F">
            <w:pPr>
              <w:rPr>
                <w:rFonts w:ascii="宋体"/>
                <w:vanish/>
              </w:rPr>
            </w:pPr>
          </w:p>
        </w:tc>
        <w:tc>
          <w:tcPr>
            <w:tcW w:w="0" w:type="auto"/>
            <w:shd w:val="clear" w:color="auto" w:fill="auto"/>
            <w:vAlign w:val="bottom"/>
          </w:tcPr>
          <w:p w14:paraId="392C06DD" w14:textId="77777777" w:rsidR="00980E5F" w:rsidRDefault="00980E5F">
            <w:pPr>
              <w:rPr>
                <w:rFonts w:ascii="宋体"/>
                <w:vanish/>
              </w:rPr>
            </w:pPr>
          </w:p>
        </w:tc>
        <w:tc>
          <w:tcPr>
            <w:tcW w:w="0" w:type="auto"/>
            <w:shd w:val="clear" w:color="auto" w:fill="auto"/>
            <w:vAlign w:val="bottom"/>
          </w:tcPr>
          <w:p w14:paraId="392C06DE" w14:textId="77777777" w:rsidR="00980E5F" w:rsidRDefault="00980E5F">
            <w:pPr>
              <w:rPr>
                <w:rFonts w:ascii="宋体"/>
                <w:vanish/>
              </w:rPr>
            </w:pPr>
          </w:p>
        </w:tc>
        <w:tc>
          <w:tcPr>
            <w:tcW w:w="0" w:type="auto"/>
            <w:gridSpan w:val="3"/>
            <w:shd w:val="clear" w:color="auto" w:fill="auto"/>
            <w:vAlign w:val="bottom"/>
          </w:tcPr>
          <w:p w14:paraId="392C06DF" w14:textId="77777777" w:rsidR="00980E5F" w:rsidRDefault="00980E5F">
            <w:pPr>
              <w:rPr>
                <w:rFonts w:ascii="宋体"/>
                <w:vanish/>
              </w:rPr>
            </w:pPr>
          </w:p>
        </w:tc>
        <w:tc>
          <w:tcPr>
            <w:tcW w:w="0" w:type="auto"/>
            <w:gridSpan w:val="3"/>
            <w:shd w:val="clear" w:color="auto" w:fill="auto"/>
            <w:vAlign w:val="bottom"/>
          </w:tcPr>
          <w:p w14:paraId="392C06E0" w14:textId="77777777" w:rsidR="00980E5F" w:rsidRDefault="00980E5F">
            <w:pPr>
              <w:rPr>
                <w:rFonts w:ascii="宋体"/>
                <w:vanish/>
              </w:rPr>
            </w:pPr>
          </w:p>
        </w:tc>
        <w:tc>
          <w:tcPr>
            <w:tcW w:w="0" w:type="auto"/>
            <w:gridSpan w:val="3"/>
            <w:shd w:val="clear" w:color="auto" w:fill="auto"/>
            <w:vAlign w:val="bottom"/>
          </w:tcPr>
          <w:p w14:paraId="392C06E1" w14:textId="77777777" w:rsidR="00980E5F" w:rsidRDefault="00980E5F">
            <w:pPr>
              <w:rPr>
                <w:rFonts w:ascii="宋体"/>
                <w:vanish/>
              </w:rPr>
            </w:pPr>
          </w:p>
        </w:tc>
        <w:tc>
          <w:tcPr>
            <w:tcW w:w="0" w:type="auto"/>
            <w:gridSpan w:val="3"/>
            <w:shd w:val="clear" w:color="auto" w:fill="auto"/>
            <w:vAlign w:val="bottom"/>
          </w:tcPr>
          <w:p w14:paraId="392C06E2" w14:textId="77777777" w:rsidR="00980E5F" w:rsidRDefault="00980E5F">
            <w:pPr>
              <w:rPr>
                <w:rFonts w:ascii="宋体"/>
                <w:vanish/>
              </w:rPr>
            </w:pPr>
          </w:p>
        </w:tc>
        <w:tc>
          <w:tcPr>
            <w:tcW w:w="0" w:type="auto"/>
            <w:shd w:val="clear" w:color="auto" w:fill="auto"/>
            <w:vAlign w:val="bottom"/>
          </w:tcPr>
          <w:p w14:paraId="392C06E3" w14:textId="77777777" w:rsidR="00980E5F" w:rsidRDefault="00980E5F">
            <w:pPr>
              <w:rPr>
                <w:rFonts w:ascii="宋体"/>
                <w:vanish/>
              </w:rPr>
            </w:pPr>
          </w:p>
        </w:tc>
        <w:tc>
          <w:tcPr>
            <w:tcW w:w="0" w:type="auto"/>
            <w:shd w:val="clear" w:color="auto" w:fill="auto"/>
            <w:vAlign w:val="bottom"/>
          </w:tcPr>
          <w:p w14:paraId="392C06E4" w14:textId="77777777" w:rsidR="00980E5F" w:rsidRDefault="00980E5F">
            <w:pPr>
              <w:rPr>
                <w:rFonts w:ascii="宋体"/>
                <w:vanish/>
              </w:rPr>
            </w:pPr>
          </w:p>
        </w:tc>
        <w:tc>
          <w:tcPr>
            <w:tcW w:w="0" w:type="auto"/>
            <w:gridSpan w:val="3"/>
            <w:shd w:val="clear" w:color="auto" w:fill="auto"/>
            <w:vAlign w:val="bottom"/>
          </w:tcPr>
          <w:p w14:paraId="392C06E5" w14:textId="77777777" w:rsidR="00980E5F" w:rsidRDefault="00980E5F">
            <w:pPr>
              <w:rPr>
                <w:rFonts w:ascii="宋体"/>
                <w:vanish/>
              </w:rPr>
            </w:pPr>
          </w:p>
        </w:tc>
        <w:tc>
          <w:tcPr>
            <w:tcW w:w="0" w:type="auto"/>
            <w:gridSpan w:val="3"/>
            <w:shd w:val="clear" w:color="auto" w:fill="auto"/>
            <w:vAlign w:val="bottom"/>
          </w:tcPr>
          <w:p w14:paraId="392C06E6" w14:textId="77777777" w:rsidR="00980E5F" w:rsidRDefault="00980E5F">
            <w:pPr>
              <w:rPr>
                <w:rFonts w:ascii="宋体"/>
                <w:vanish/>
              </w:rPr>
            </w:pPr>
          </w:p>
        </w:tc>
        <w:tc>
          <w:tcPr>
            <w:tcW w:w="0" w:type="auto"/>
            <w:gridSpan w:val="3"/>
            <w:shd w:val="clear" w:color="auto" w:fill="auto"/>
            <w:vAlign w:val="bottom"/>
          </w:tcPr>
          <w:p w14:paraId="392C06E7" w14:textId="77777777" w:rsidR="00980E5F" w:rsidRDefault="00980E5F">
            <w:pPr>
              <w:rPr>
                <w:rFonts w:ascii="宋体"/>
                <w:vanish/>
              </w:rPr>
            </w:pPr>
          </w:p>
        </w:tc>
        <w:tc>
          <w:tcPr>
            <w:tcW w:w="0" w:type="auto"/>
            <w:gridSpan w:val="3"/>
            <w:shd w:val="clear" w:color="auto" w:fill="auto"/>
            <w:vAlign w:val="bottom"/>
          </w:tcPr>
          <w:p w14:paraId="392C06E8" w14:textId="77777777" w:rsidR="00980E5F" w:rsidRDefault="00980E5F">
            <w:pPr>
              <w:rPr>
                <w:rFonts w:ascii="宋体"/>
                <w:vanish/>
              </w:rPr>
            </w:pPr>
          </w:p>
        </w:tc>
        <w:tc>
          <w:tcPr>
            <w:tcW w:w="0" w:type="auto"/>
            <w:gridSpan w:val="3"/>
            <w:shd w:val="clear" w:color="auto" w:fill="auto"/>
            <w:vAlign w:val="bottom"/>
          </w:tcPr>
          <w:p w14:paraId="392C06E9" w14:textId="77777777" w:rsidR="00980E5F" w:rsidRDefault="00980E5F">
            <w:pPr>
              <w:rPr>
                <w:rFonts w:ascii="宋体"/>
                <w:vanish/>
              </w:rPr>
            </w:pPr>
          </w:p>
        </w:tc>
        <w:tc>
          <w:tcPr>
            <w:tcW w:w="0" w:type="auto"/>
            <w:gridSpan w:val="3"/>
            <w:shd w:val="clear" w:color="auto" w:fill="auto"/>
            <w:vAlign w:val="bottom"/>
          </w:tcPr>
          <w:p w14:paraId="392C06EA" w14:textId="77777777" w:rsidR="00980E5F" w:rsidRDefault="00980E5F">
            <w:pPr>
              <w:rPr>
                <w:rFonts w:ascii="宋体"/>
                <w:vanish/>
              </w:rPr>
            </w:pPr>
          </w:p>
        </w:tc>
        <w:tc>
          <w:tcPr>
            <w:tcW w:w="0" w:type="auto"/>
            <w:gridSpan w:val="3"/>
            <w:shd w:val="clear" w:color="auto" w:fill="auto"/>
            <w:vAlign w:val="bottom"/>
          </w:tcPr>
          <w:p w14:paraId="392C06EB" w14:textId="77777777" w:rsidR="00980E5F" w:rsidRDefault="00980E5F">
            <w:pPr>
              <w:rPr>
                <w:rFonts w:ascii="宋体"/>
                <w:vanish/>
              </w:rPr>
            </w:pPr>
          </w:p>
        </w:tc>
        <w:tc>
          <w:tcPr>
            <w:tcW w:w="0" w:type="auto"/>
            <w:gridSpan w:val="2"/>
            <w:shd w:val="clear" w:color="auto" w:fill="auto"/>
            <w:vAlign w:val="bottom"/>
          </w:tcPr>
          <w:p w14:paraId="392C06EC" w14:textId="77777777" w:rsidR="00980E5F" w:rsidRDefault="00980E5F">
            <w:pPr>
              <w:rPr>
                <w:rFonts w:ascii="宋体"/>
                <w:vanish/>
              </w:rPr>
            </w:pPr>
          </w:p>
        </w:tc>
        <w:tc>
          <w:tcPr>
            <w:tcW w:w="0" w:type="auto"/>
            <w:shd w:val="clear" w:color="auto" w:fill="auto"/>
            <w:vAlign w:val="bottom"/>
          </w:tcPr>
          <w:p w14:paraId="392C06ED" w14:textId="77777777" w:rsidR="00980E5F" w:rsidRDefault="00980E5F">
            <w:pPr>
              <w:rPr>
                <w:rFonts w:ascii="宋体"/>
                <w:vanish/>
              </w:rPr>
            </w:pPr>
          </w:p>
        </w:tc>
      </w:tr>
      <w:tr w:rsidR="00980E5F" w14:paraId="392C070A" w14:textId="77777777">
        <w:tc>
          <w:tcPr>
            <w:tcW w:w="0" w:type="auto"/>
            <w:gridSpan w:val="3"/>
            <w:shd w:val="clear" w:color="auto" w:fill="CCEEFF"/>
            <w:tcMar>
              <w:top w:w="40" w:type="dxa"/>
              <w:left w:w="20" w:type="dxa"/>
              <w:bottom w:w="40" w:type="dxa"/>
              <w:right w:w="20" w:type="dxa"/>
            </w:tcMar>
            <w:vAlign w:val="bottom"/>
          </w:tcPr>
          <w:p w14:paraId="392C06EF" w14:textId="77777777" w:rsidR="00980E5F" w:rsidRDefault="00483613">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392C06F0" w14:textId="77777777" w:rsidR="00980E5F" w:rsidRDefault="00980E5F">
            <w:pPr>
              <w:rPr>
                <w:rFonts w:ascii="宋体"/>
                <w:vanish/>
              </w:rPr>
            </w:pPr>
          </w:p>
        </w:tc>
        <w:tc>
          <w:tcPr>
            <w:tcW w:w="0" w:type="auto"/>
            <w:shd w:val="clear" w:color="auto" w:fill="auto"/>
            <w:vAlign w:val="bottom"/>
          </w:tcPr>
          <w:p w14:paraId="392C06F1" w14:textId="77777777" w:rsidR="00980E5F" w:rsidRDefault="00980E5F">
            <w:pPr>
              <w:rPr>
                <w:rFonts w:ascii="宋体"/>
                <w:vanish/>
              </w:rPr>
            </w:pPr>
          </w:p>
        </w:tc>
        <w:tc>
          <w:tcPr>
            <w:tcW w:w="0" w:type="auto"/>
            <w:shd w:val="clear" w:color="auto" w:fill="auto"/>
            <w:vAlign w:val="bottom"/>
          </w:tcPr>
          <w:p w14:paraId="392C06F2" w14:textId="77777777" w:rsidR="00980E5F" w:rsidRDefault="00980E5F">
            <w:pPr>
              <w:rPr>
                <w:rFonts w:ascii="宋体"/>
                <w:vanish/>
              </w:rPr>
            </w:pPr>
          </w:p>
        </w:tc>
        <w:tc>
          <w:tcPr>
            <w:tcW w:w="0" w:type="auto"/>
            <w:shd w:val="clear" w:color="auto" w:fill="auto"/>
            <w:vAlign w:val="bottom"/>
          </w:tcPr>
          <w:p w14:paraId="392C06F3" w14:textId="77777777" w:rsidR="00980E5F" w:rsidRDefault="00980E5F">
            <w:pPr>
              <w:rPr>
                <w:rFonts w:ascii="宋体"/>
                <w:vanish/>
              </w:rPr>
            </w:pPr>
          </w:p>
        </w:tc>
        <w:tc>
          <w:tcPr>
            <w:tcW w:w="0" w:type="auto"/>
            <w:shd w:val="clear" w:color="auto" w:fill="auto"/>
            <w:vAlign w:val="bottom"/>
          </w:tcPr>
          <w:p w14:paraId="392C06F4" w14:textId="77777777" w:rsidR="00980E5F" w:rsidRDefault="00980E5F">
            <w:pPr>
              <w:rPr>
                <w:rFonts w:ascii="宋体"/>
                <w:vanish/>
              </w:rPr>
            </w:pPr>
          </w:p>
        </w:tc>
        <w:tc>
          <w:tcPr>
            <w:tcW w:w="0" w:type="auto"/>
            <w:shd w:val="clear" w:color="auto" w:fill="auto"/>
            <w:vAlign w:val="bottom"/>
          </w:tcPr>
          <w:p w14:paraId="392C06F5"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6F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6F7"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6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6F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6F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6FB" w14:textId="77777777" w:rsidR="00980E5F" w:rsidRDefault="00483613">
            <w:pPr>
              <w:jc w:val="right"/>
              <w:textAlignment w:val="bottom"/>
            </w:pPr>
            <w:r>
              <w:rPr>
                <w:rFonts w:ascii="Arial" w:eastAsia="宋体" w:hAnsi="Arial" w:cs="Arial"/>
                <w:color w:val="000000"/>
                <w:sz w:val="14"/>
                <w:szCs w:val="14"/>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6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6FD" w14:textId="77777777" w:rsidR="00980E5F" w:rsidRDefault="00980E5F">
            <w:pPr>
              <w:rPr>
                <w:rFonts w:ascii="宋体"/>
              </w:rPr>
            </w:pPr>
          </w:p>
        </w:tc>
        <w:tc>
          <w:tcPr>
            <w:tcW w:w="0" w:type="auto"/>
            <w:shd w:val="clear" w:color="auto" w:fill="auto"/>
            <w:vAlign w:val="bottom"/>
          </w:tcPr>
          <w:p w14:paraId="392C06FE" w14:textId="77777777" w:rsidR="00980E5F" w:rsidRDefault="00980E5F">
            <w:pPr>
              <w:rPr>
                <w:rFonts w:ascii="宋体"/>
                <w:vanish/>
              </w:rPr>
            </w:pPr>
          </w:p>
        </w:tc>
        <w:tc>
          <w:tcPr>
            <w:tcW w:w="0" w:type="auto"/>
            <w:shd w:val="clear" w:color="auto" w:fill="auto"/>
            <w:vAlign w:val="bottom"/>
          </w:tcPr>
          <w:p w14:paraId="392C06FF"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700" w14:textId="77777777" w:rsidR="00980E5F" w:rsidRDefault="00483613">
            <w:pPr>
              <w:jc w:val="right"/>
              <w:textAlignment w:val="bottom"/>
            </w:pPr>
            <w:r>
              <w:rPr>
                <w:rFonts w:ascii="Arial" w:eastAsia="宋体" w:hAnsi="Arial" w:cs="Arial"/>
                <w:color w:val="000000"/>
                <w:sz w:val="14"/>
                <w:szCs w:val="14"/>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701"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702" w14:textId="77777777" w:rsidR="00980E5F" w:rsidRDefault="00980E5F">
            <w:pPr>
              <w:rPr>
                <w:rFonts w:ascii="宋体"/>
                <w:vanish/>
              </w:rPr>
            </w:pPr>
          </w:p>
        </w:tc>
        <w:tc>
          <w:tcPr>
            <w:tcW w:w="0" w:type="auto"/>
            <w:gridSpan w:val="3"/>
            <w:shd w:val="clear" w:color="auto" w:fill="auto"/>
            <w:vAlign w:val="bottom"/>
          </w:tcPr>
          <w:p w14:paraId="392C0703" w14:textId="77777777" w:rsidR="00980E5F" w:rsidRDefault="00980E5F">
            <w:pPr>
              <w:rPr>
                <w:rFonts w:ascii="宋体"/>
                <w:vanish/>
              </w:rPr>
            </w:pPr>
          </w:p>
        </w:tc>
        <w:tc>
          <w:tcPr>
            <w:tcW w:w="0" w:type="auto"/>
            <w:gridSpan w:val="3"/>
            <w:shd w:val="clear" w:color="auto" w:fill="auto"/>
            <w:vAlign w:val="bottom"/>
          </w:tcPr>
          <w:p w14:paraId="392C0704" w14:textId="77777777" w:rsidR="00980E5F" w:rsidRDefault="00980E5F">
            <w:pPr>
              <w:rPr>
                <w:rFonts w:ascii="宋体"/>
                <w:vanish/>
              </w:rPr>
            </w:pPr>
          </w:p>
        </w:tc>
        <w:tc>
          <w:tcPr>
            <w:tcW w:w="0" w:type="auto"/>
            <w:gridSpan w:val="3"/>
            <w:shd w:val="clear" w:color="auto" w:fill="auto"/>
            <w:vAlign w:val="bottom"/>
          </w:tcPr>
          <w:p w14:paraId="392C0705" w14:textId="77777777" w:rsidR="00980E5F" w:rsidRDefault="00980E5F">
            <w:pPr>
              <w:rPr>
                <w:rFonts w:ascii="宋体"/>
                <w:vanish/>
              </w:rPr>
            </w:pPr>
          </w:p>
        </w:tc>
        <w:tc>
          <w:tcPr>
            <w:tcW w:w="0" w:type="auto"/>
            <w:gridSpan w:val="3"/>
            <w:shd w:val="clear" w:color="auto" w:fill="auto"/>
            <w:vAlign w:val="bottom"/>
          </w:tcPr>
          <w:p w14:paraId="392C0706" w14:textId="77777777" w:rsidR="00980E5F" w:rsidRDefault="00980E5F">
            <w:pPr>
              <w:rPr>
                <w:rFonts w:ascii="宋体"/>
                <w:vanish/>
              </w:rPr>
            </w:pPr>
          </w:p>
        </w:tc>
        <w:tc>
          <w:tcPr>
            <w:tcW w:w="0" w:type="auto"/>
            <w:gridSpan w:val="3"/>
            <w:shd w:val="clear" w:color="auto" w:fill="auto"/>
            <w:vAlign w:val="bottom"/>
          </w:tcPr>
          <w:p w14:paraId="392C0707" w14:textId="77777777" w:rsidR="00980E5F" w:rsidRDefault="00980E5F">
            <w:pPr>
              <w:rPr>
                <w:rFonts w:ascii="宋体"/>
                <w:vanish/>
              </w:rPr>
            </w:pPr>
          </w:p>
        </w:tc>
        <w:tc>
          <w:tcPr>
            <w:tcW w:w="0" w:type="auto"/>
            <w:gridSpan w:val="2"/>
            <w:shd w:val="clear" w:color="auto" w:fill="auto"/>
            <w:vAlign w:val="bottom"/>
          </w:tcPr>
          <w:p w14:paraId="392C0708" w14:textId="77777777" w:rsidR="00980E5F" w:rsidRDefault="00980E5F">
            <w:pPr>
              <w:rPr>
                <w:rFonts w:ascii="宋体"/>
                <w:vanish/>
              </w:rPr>
            </w:pPr>
          </w:p>
        </w:tc>
        <w:tc>
          <w:tcPr>
            <w:tcW w:w="0" w:type="auto"/>
            <w:shd w:val="clear" w:color="auto" w:fill="auto"/>
            <w:vAlign w:val="bottom"/>
          </w:tcPr>
          <w:p w14:paraId="392C0709" w14:textId="77777777" w:rsidR="00980E5F" w:rsidRDefault="00980E5F">
            <w:pPr>
              <w:rPr>
                <w:rFonts w:ascii="宋体"/>
                <w:vanish/>
              </w:rPr>
            </w:pPr>
          </w:p>
        </w:tc>
      </w:tr>
      <w:tr w:rsidR="00980E5F" w14:paraId="392C0724" w14:textId="77777777">
        <w:tc>
          <w:tcPr>
            <w:tcW w:w="0" w:type="auto"/>
            <w:gridSpan w:val="3"/>
            <w:shd w:val="clear" w:color="auto" w:fill="FFFFFF"/>
            <w:tcMar>
              <w:top w:w="40" w:type="dxa"/>
              <w:left w:w="20" w:type="dxa"/>
              <w:bottom w:w="40" w:type="dxa"/>
              <w:right w:w="20" w:type="dxa"/>
            </w:tcMar>
            <w:vAlign w:val="bottom"/>
          </w:tcPr>
          <w:p w14:paraId="392C070B"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392C070C" w14:textId="77777777" w:rsidR="00980E5F" w:rsidRDefault="00980E5F">
            <w:pPr>
              <w:rPr>
                <w:rFonts w:ascii="宋体"/>
                <w:vanish/>
              </w:rPr>
            </w:pPr>
          </w:p>
        </w:tc>
        <w:tc>
          <w:tcPr>
            <w:tcW w:w="0" w:type="auto"/>
            <w:shd w:val="clear" w:color="auto" w:fill="auto"/>
            <w:vAlign w:val="bottom"/>
          </w:tcPr>
          <w:p w14:paraId="392C070D" w14:textId="77777777" w:rsidR="00980E5F" w:rsidRDefault="00980E5F">
            <w:pPr>
              <w:rPr>
                <w:rFonts w:ascii="宋体"/>
                <w:vanish/>
              </w:rPr>
            </w:pPr>
          </w:p>
        </w:tc>
        <w:tc>
          <w:tcPr>
            <w:tcW w:w="0" w:type="auto"/>
            <w:shd w:val="clear" w:color="auto" w:fill="auto"/>
            <w:vAlign w:val="bottom"/>
          </w:tcPr>
          <w:p w14:paraId="392C070E" w14:textId="77777777" w:rsidR="00980E5F" w:rsidRDefault="00980E5F">
            <w:pPr>
              <w:rPr>
                <w:rFonts w:ascii="宋体"/>
                <w:vanish/>
              </w:rPr>
            </w:pPr>
          </w:p>
        </w:tc>
        <w:tc>
          <w:tcPr>
            <w:tcW w:w="0" w:type="auto"/>
            <w:shd w:val="clear" w:color="auto" w:fill="auto"/>
            <w:vAlign w:val="bottom"/>
          </w:tcPr>
          <w:p w14:paraId="392C070F" w14:textId="77777777" w:rsidR="00980E5F" w:rsidRDefault="00980E5F">
            <w:pPr>
              <w:rPr>
                <w:rFonts w:ascii="宋体"/>
                <w:vanish/>
              </w:rPr>
            </w:pPr>
          </w:p>
        </w:tc>
        <w:tc>
          <w:tcPr>
            <w:tcW w:w="0" w:type="auto"/>
            <w:shd w:val="clear" w:color="auto" w:fill="auto"/>
            <w:vAlign w:val="bottom"/>
          </w:tcPr>
          <w:p w14:paraId="392C0710" w14:textId="77777777" w:rsidR="00980E5F" w:rsidRDefault="00980E5F">
            <w:pPr>
              <w:rPr>
                <w:rFonts w:ascii="宋体"/>
                <w:vanish/>
              </w:rPr>
            </w:pPr>
          </w:p>
        </w:tc>
        <w:tc>
          <w:tcPr>
            <w:tcW w:w="0" w:type="auto"/>
            <w:shd w:val="clear" w:color="auto" w:fill="auto"/>
            <w:vAlign w:val="bottom"/>
          </w:tcPr>
          <w:p w14:paraId="392C071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12" w14:textId="77777777" w:rsidR="00980E5F" w:rsidRDefault="00483613">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7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1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715" w14:textId="77777777" w:rsidR="00980E5F" w:rsidRDefault="00483613">
            <w:pPr>
              <w:jc w:val="right"/>
              <w:textAlignment w:val="bottom"/>
            </w:pPr>
            <w:r>
              <w:rPr>
                <w:rFonts w:ascii="Arial" w:eastAsia="宋体" w:hAnsi="Arial" w:cs="Arial"/>
                <w:color w:val="000000"/>
                <w:sz w:val="14"/>
                <w:szCs w:val="14"/>
              </w:rPr>
              <w:t>270 </w:t>
            </w:r>
          </w:p>
        </w:tc>
        <w:tc>
          <w:tcPr>
            <w:tcW w:w="0" w:type="auto"/>
            <w:shd w:val="clear" w:color="auto" w:fill="FFFFFF"/>
            <w:tcMar>
              <w:top w:w="40" w:type="dxa"/>
              <w:left w:w="0" w:type="dxa"/>
              <w:bottom w:w="40" w:type="dxa"/>
              <w:right w:w="20" w:type="dxa"/>
            </w:tcMar>
            <w:vAlign w:val="bottom"/>
          </w:tcPr>
          <w:p w14:paraId="392C071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17" w14:textId="77777777" w:rsidR="00980E5F" w:rsidRDefault="00980E5F">
            <w:pPr>
              <w:rPr>
                <w:rFonts w:ascii="宋体"/>
              </w:rPr>
            </w:pPr>
          </w:p>
        </w:tc>
        <w:tc>
          <w:tcPr>
            <w:tcW w:w="0" w:type="auto"/>
            <w:shd w:val="clear" w:color="auto" w:fill="auto"/>
            <w:vAlign w:val="bottom"/>
          </w:tcPr>
          <w:p w14:paraId="392C0718" w14:textId="77777777" w:rsidR="00980E5F" w:rsidRDefault="00980E5F">
            <w:pPr>
              <w:rPr>
                <w:rFonts w:ascii="宋体"/>
                <w:vanish/>
              </w:rPr>
            </w:pPr>
          </w:p>
        </w:tc>
        <w:tc>
          <w:tcPr>
            <w:tcW w:w="0" w:type="auto"/>
            <w:shd w:val="clear" w:color="auto" w:fill="auto"/>
            <w:vAlign w:val="bottom"/>
          </w:tcPr>
          <w:p w14:paraId="392C071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1A"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392C071B" w14:textId="77777777" w:rsidR="00980E5F" w:rsidRDefault="00980E5F">
            <w:pPr>
              <w:jc w:val="right"/>
              <w:rPr>
                <w:rFonts w:ascii="宋体"/>
              </w:rPr>
            </w:pPr>
          </w:p>
        </w:tc>
        <w:tc>
          <w:tcPr>
            <w:tcW w:w="0" w:type="auto"/>
            <w:gridSpan w:val="3"/>
            <w:shd w:val="clear" w:color="auto" w:fill="auto"/>
            <w:vAlign w:val="bottom"/>
          </w:tcPr>
          <w:p w14:paraId="392C071C" w14:textId="77777777" w:rsidR="00980E5F" w:rsidRDefault="00980E5F">
            <w:pPr>
              <w:rPr>
                <w:rFonts w:ascii="宋体"/>
                <w:vanish/>
              </w:rPr>
            </w:pPr>
          </w:p>
        </w:tc>
        <w:tc>
          <w:tcPr>
            <w:tcW w:w="0" w:type="auto"/>
            <w:gridSpan w:val="3"/>
            <w:shd w:val="clear" w:color="auto" w:fill="auto"/>
            <w:vAlign w:val="bottom"/>
          </w:tcPr>
          <w:p w14:paraId="392C071D" w14:textId="77777777" w:rsidR="00980E5F" w:rsidRDefault="00980E5F">
            <w:pPr>
              <w:rPr>
                <w:rFonts w:ascii="宋体"/>
                <w:vanish/>
              </w:rPr>
            </w:pPr>
          </w:p>
        </w:tc>
        <w:tc>
          <w:tcPr>
            <w:tcW w:w="0" w:type="auto"/>
            <w:gridSpan w:val="3"/>
            <w:shd w:val="clear" w:color="auto" w:fill="auto"/>
            <w:vAlign w:val="bottom"/>
          </w:tcPr>
          <w:p w14:paraId="392C071E" w14:textId="77777777" w:rsidR="00980E5F" w:rsidRDefault="00980E5F">
            <w:pPr>
              <w:rPr>
                <w:rFonts w:ascii="宋体"/>
                <w:vanish/>
              </w:rPr>
            </w:pPr>
          </w:p>
        </w:tc>
        <w:tc>
          <w:tcPr>
            <w:tcW w:w="0" w:type="auto"/>
            <w:gridSpan w:val="3"/>
            <w:shd w:val="clear" w:color="auto" w:fill="auto"/>
            <w:vAlign w:val="bottom"/>
          </w:tcPr>
          <w:p w14:paraId="392C071F" w14:textId="77777777" w:rsidR="00980E5F" w:rsidRDefault="00980E5F">
            <w:pPr>
              <w:rPr>
                <w:rFonts w:ascii="宋体"/>
                <w:vanish/>
              </w:rPr>
            </w:pPr>
          </w:p>
        </w:tc>
        <w:tc>
          <w:tcPr>
            <w:tcW w:w="0" w:type="auto"/>
            <w:gridSpan w:val="3"/>
            <w:shd w:val="clear" w:color="auto" w:fill="auto"/>
            <w:vAlign w:val="bottom"/>
          </w:tcPr>
          <w:p w14:paraId="392C0720" w14:textId="77777777" w:rsidR="00980E5F" w:rsidRDefault="00980E5F">
            <w:pPr>
              <w:rPr>
                <w:rFonts w:ascii="宋体"/>
                <w:vanish/>
              </w:rPr>
            </w:pPr>
          </w:p>
        </w:tc>
        <w:tc>
          <w:tcPr>
            <w:tcW w:w="0" w:type="auto"/>
            <w:gridSpan w:val="3"/>
            <w:shd w:val="clear" w:color="auto" w:fill="auto"/>
            <w:vAlign w:val="bottom"/>
          </w:tcPr>
          <w:p w14:paraId="392C0721" w14:textId="77777777" w:rsidR="00980E5F" w:rsidRDefault="00980E5F">
            <w:pPr>
              <w:rPr>
                <w:rFonts w:ascii="宋体"/>
                <w:vanish/>
              </w:rPr>
            </w:pPr>
          </w:p>
        </w:tc>
        <w:tc>
          <w:tcPr>
            <w:tcW w:w="0" w:type="auto"/>
            <w:gridSpan w:val="2"/>
            <w:shd w:val="clear" w:color="auto" w:fill="auto"/>
            <w:vAlign w:val="bottom"/>
          </w:tcPr>
          <w:p w14:paraId="392C0722" w14:textId="77777777" w:rsidR="00980E5F" w:rsidRDefault="00980E5F">
            <w:pPr>
              <w:rPr>
                <w:rFonts w:ascii="宋体"/>
                <w:vanish/>
              </w:rPr>
            </w:pPr>
          </w:p>
        </w:tc>
        <w:tc>
          <w:tcPr>
            <w:tcW w:w="0" w:type="auto"/>
            <w:shd w:val="clear" w:color="auto" w:fill="auto"/>
            <w:vAlign w:val="bottom"/>
          </w:tcPr>
          <w:p w14:paraId="392C0723" w14:textId="77777777" w:rsidR="00980E5F" w:rsidRDefault="00980E5F">
            <w:pPr>
              <w:rPr>
                <w:rFonts w:ascii="宋体"/>
                <w:vanish/>
              </w:rPr>
            </w:pPr>
          </w:p>
        </w:tc>
      </w:tr>
      <w:tr w:rsidR="00980E5F" w14:paraId="392C073E" w14:textId="77777777">
        <w:tc>
          <w:tcPr>
            <w:tcW w:w="0" w:type="auto"/>
            <w:gridSpan w:val="3"/>
            <w:shd w:val="clear" w:color="auto" w:fill="CCEEFF"/>
            <w:tcMar>
              <w:top w:w="40" w:type="dxa"/>
              <w:left w:w="20" w:type="dxa"/>
              <w:bottom w:w="40" w:type="dxa"/>
              <w:right w:w="20" w:type="dxa"/>
            </w:tcMar>
            <w:vAlign w:val="bottom"/>
          </w:tcPr>
          <w:p w14:paraId="392C0725" w14:textId="77777777" w:rsidR="00980E5F" w:rsidRDefault="00483613">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392C0726" w14:textId="77777777" w:rsidR="00980E5F" w:rsidRDefault="00980E5F">
            <w:pPr>
              <w:rPr>
                <w:rFonts w:ascii="宋体"/>
                <w:vanish/>
              </w:rPr>
            </w:pPr>
          </w:p>
        </w:tc>
        <w:tc>
          <w:tcPr>
            <w:tcW w:w="0" w:type="auto"/>
            <w:shd w:val="clear" w:color="auto" w:fill="auto"/>
            <w:vAlign w:val="bottom"/>
          </w:tcPr>
          <w:p w14:paraId="392C0727" w14:textId="77777777" w:rsidR="00980E5F" w:rsidRDefault="00980E5F">
            <w:pPr>
              <w:rPr>
                <w:rFonts w:ascii="宋体"/>
                <w:vanish/>
              </w:rPr>
            </w:pPr>
          </w:p>
        </w:tc>
        <w:tc>
          <w:tcPr>
            <w:tcW w:w="0" w:type="auto"/>
            <w:shd w:val="clear" w:color="auto" w:fill="auto"/>
            <w:vAlign w:val="bottom"/>
          </w:tcPr>
          <w:p w14:paraId="392C0728" w14:textId="77777777" w:rsidR="00980E5F" w:rsidRDefault="00980E5F">
            <w:pPr>
              <w:rPr>
                <w:rFonts w:ascii="宋体"/>
                <w:vanish/>
              </w:rPr>
            </w:pPr>
          </w:p>
        </w:tc>
        <w:tc>
          <w:tcPr>
            <w:tcW w:w="0" w:type="auto"/>
            <w:shd w:val="clear" w:color="auto" w:fill="auto"/>
            <w:vAlign w:val="bottom"/>
          </w:tcPr>
          <w:p w14:paraId="392C0729" w14:textId="77777777" w:rsidR="00980E5F" w:rsidRDefault="00980E5F">
            <w:pPr>
              <w:rPr>
                <w:rFonts w:ascii="宋体"/>
                <w:vanish/>
              </w:rPr>
            </w:pPr>
          </w:p>
        </w:tc>
        <w:tc>
          <w:tcPr>
            <w:tcW w:w="0" w:type="auto"/>
            <w:shd w:val="clear" w:color="auto" w:fill="auto"/>
            <w:vAlign w:val="bottom"/>
          </w:tcPr>
          <w:p w14:paraId="392C072A" w14:textId="77777777" w:rsidR="00980E5F" w:rsidRDefault="00980E5F">
            <w:pPr>
              <w:rPr>
                <w:rFonts w:ascii="宋体"/>
                <w:vanish/>
              </w:rPr>
            </w:pPr>
          </w:p>
        </w:tc>
        <w:tc>
          <w:tcPr>
            <w:tcW w:w="0" w:type="auto"/>
            <w:shd w:val="clear" w:color="auto" w:fill="auto"/>
            <w:vAlign w:val="bottom"/>
          </w:tcPr>
          <w:p w14:paraId="392C072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2C" w14:textId="77777777" w:rsidR="00980E5F" w:rsidRDefault="00483613">
            <w:pPr>
              <w:jc w:val="right"/>
              <w:textAlignment w:val="bottom"/>
            </w:pPr>
            <w:r>
              <w:rPr>
                <w:rFonts w:ascii="Arial" w:eastAsia="宋体" w:hAnsi="Arial" w:cs="Arial"/>
                <w:b/>
                <w:bCs/>
                <w:color w:val="000000"/>
                <w:sz w:val="14"/>
                <w:szCs w:val="14"/>
              </w:rPr>
              <w:t>102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7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72F" w14:textId="77777777" w:rsidR="00980E5F" w:rsidRDefault="00483613">
            <w:pPr>
              <w:jc w:val="right"/>
              <w:textAlignment w:val="bottom"/>
            </w:pPr>
            <w:r>
              <w:rPr>
                <w:rFonts w:ascii="Arial" w:eastAsia="宋体" w:hAnsi="Arial" w:cs="Arial"/>
                <w:color w:val="000000"/>
                <w:sz w:val="14"/>
                <w:szCs w:val="14"/>
              </w:rPr>
              <w:t>106 </w:t>
            </w:r>
          </w:p>
        </w:tc>
        <w:tc>
          <w:tcPr>
            <w:tcW w:w="0" w:type="auto"/>
            <w:shd w:val="clear" w:color="auto" w:fill="CCEEFF"/>
            <w:tcMar>
              <w:top w:w="40" w:type="dxa"/>
              <w:left w:w="0" w:type="dxa"/>
              <w:bottom w:w="40" w:type="dxa"/>
              <w:right w:w="20" w:type="dxa"/>
            </w:tcMar>
            <w:vAlign w:val="bottom"/>
          </w:tcPr>
          <w:p w14:paraId="392C07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31" w14:textId="77777777" w:rsidR="00980E5F" w:rsidRDefault="00980E5F">
            <w:pPr>
              <w:rPr>
                <w:rFonts w:ascii="宋体"/>
              </w:rPr>
            </w:pPr>
          </w:p>
        </w:tc>
        <w:tc>
          <w:tcPr>
            <w:tcW w:w="0" w:type="auto"/>
            <w:shd w:val="clear" w:color="auto" w:fill="auto"/>
            <w:vAlign w:val="bottom"/>
          </w:tcPr>
          <w:p w14:paraId="392C0732" w14:textId="77777777" w:rsidR="00980E5F" w:rsidRDefault="00980E5F">
            <w:pPr>
              <w:rPr>
                <w:rFonts w:ascii="宋体"/>
                <w:vanish/>
              </w:rPr>
            </w:pPr>
          </w:p>
        </w:tc>
        <w:tc>
          <w:tcPr>
            <w:tcW w:w="0" w:type="auto"/>
            <w:shd w:val="clear" w:color="auto" w:fill="auto"/>
            <w:vAlign w:val="bottom"/>
          </w:tcPr>
          <w:p w14:paraId="392C073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34" w14:textId="77777777" w:rsidR="00980E5F" w:rsidRDefault="00483613">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92C0735" w14:textId="77777777" w:rsidR="00980E5F" w:rsidRDefault="00980E5F">
            <w:pPr>
              <w:jc w:val="right"/>
              <w:rPr>
                <w:rFonts w:ascii="宋体"/>
              </w:rPr>
            </w:pPr>
          </w:p>
        </w:tc>
        <w:tc>
          <w:tcPr>
            <w:tcW w:w="0" w:type="auto"/>
            <w:gridSpan w:val="3"/>
            <w:shd w:val="clear" w:color="auto" w:fill="auto"/>
            <w:vAlign w:val="bottom"/>
          </w:tcPr>
          <w:p w14:paraId="392C0736" w14:textId="77777777" w:rsidR="00980E5F" w:rsidRDefault="00980E5F">
            <w:pPr>
              <w:rPr>
                <w:rFonts w:ascii="宋体"/>
                <w:vanish/>
              </w:rPr>
            </w:pPr>
          </w:p>
        </w:tc>
        <w:tc>
          <w:tcPr>
            <w:tcW w:w="0" w:type="auto"/>
            <w:gridSpan w:val="3"/>
            <w:shd w:val="clear" w:color="auto" w:fill="auto"/>
            <w:vAlign w:val="bottom"/>
          </w:tcPr>
          <w:p w14:paraId="392C0737" w14:textId="77777777" w:rsidR="00980E5F" w:rsidRDefault="00980E5F">
            <w:pPr>
              <w:rPr>
                <w:rFonts w:ascii="宋体"/>
                <w:vanish/>
              </w:rPr>
            </w:pPr>
          </w:p>
        </w:tc>
        <w:tc>
          <w:tcPr>
            <w:tcW w:w="0" w:type="auto"/>
            <w:gridSpan w:val="3"/>
            <w:shd w:val="clear" w:color="auto" w:fill="auto"/>
            <w:vAlign w:val="bottom"/>
          </w:tcPr>
          <w:p w14:paraId="392C0738" w14:textId="77777777" w:rsidR="00980E5F" w:rsidRDefault="00980E5F">
            <w:pPr>
              <w:rPr>
                <w:rFonts w:ascii="宋体"/>
                <w:vanish/>
              </w:rPr>
            </w:pPr>
          </w:p>
        </w:tc>
        <w:tc>
          <w:tcPr>
            <w:tcW w:w="0" w:type="auto"/>
            <w:gridSpan w:val="3"/>
            <w:shd w:val="clear" w:color="auto" w:fill="auto"/>
            <w:vAlign w:val="bottom"/>
          </w:tcPr>
          <w:p w14:paraId="392C0739" w14:textId="77777777" w:rsidR="00980E5F" w:rsidRDefault="00980E5F">
            <w:pPr>
              <w:rPr>
                <w:rFonts w:ascii="宋体"/>
                <w:vanish/>
              </w:rPr>
            </w:pPr>
          </w:p>
        </w:tc>
        <w:tc>
          <w:tcPr>
            <w:tcW w:w="0" w:type="auto"/>
            <w:gridSpan w:val="3"/>
            <w:shd w:val="clear" w:color="auto" w:fill="auto"/>
            <w:vAlign w:val="bottom"/>
          </w:tcPr>
          <w:p w14:paraId="392C073A" w14:textId="77777777" w:rsidR="00980E5F" w:rsidRDefault="00980E5F">
            <w:pPr>
              <w:rPr>
                <w:rFonts w:ascii="宋体"/>
                <w:vanish/>
              </w:rPr>
            </w:pPr>
          </w:p>
        </w:tc>
        <w:tc>
          <w:tcPr>
            <w:tcW w:w="0" w:type="auto"/>
            <w:gridSpan w:val="3"/>
            <w:shd w:val="clear" w:color="auto" w:fill="auto"/>
            <w:vAlign w:val="bottom"/>
          </w:tcPr>
          <w:p w14:paraId="392C073B" w14:textId="77777777" w:rsidR="00980E5F" w:rsidRDefault="00980E5F">
            <w:pPr>
              <w:rPr>
                <w:rFonts w:ascii="宋体"/>
                <w:vanish/>
              </w:rPr>
            </w:pPr>
          </w:p>
        </w:tc>
        <w:tc>
          <w:tcPr>
            <w:tcW w:w="0" w:type="auto"/>
            <w:gridSpan w:val="2"/>
            <w:shd w:val="clear" w:color="auto" w:fill="auto"/>
            <w:vAlign w:val="bottom"/>
          </w:tcPr>
          <w:p w14:paraId="392C073C" w14:textId="77777777" w:rsidR="00980E5F" w:rsidRDefault="00980E5F">
            <w:pPr>
              <w:rPr>
                <w:rFonts w:ascii="宋体"/>
                <w:vanish/>
              </w:rPr>
            </w:pPr>
          </w:p>
        </w:tc>
        <w:tc>
          <w:tcPr>
            <w:tcW w:w="0" w:type="auto"/>
            <w:shd w:val="clear" w:color="auto" w:fill="auto"/>
            <w:vAlign w:val="bottom"/>
          </w:tcPr>
          <w:p w14:paraId="392C073D" w14:textId="77777777" w:rsidR="00980E5F" w:rsidRDefault="00980E5F">
            <w:pPr>
              <w:rPr>
                <w:rFonts w:ascii="宋体"/>
                <w:vanish/>
              </w:rPr>
            </w:pPr>
          </w:p>
        </w:tc>
      </w:tr>
      <w:tr w:rsidR="00980E5F" w14:paraId="392C0755" w14:textId="77777777">
        <w:trPr>
          <w:hidden/>
        </w:trPr>
        <w:tc>
          <w:tcPr>
            <w:tcW w:w="0" w:type="auto"/>
            <w:gridSpan w:val="3"/>
            <w:shd w:val="clear" w:color="auto" w:fill="auto"/>
            <w:vAlign w:val="bottom"/>
          </w:tcPr>
          <w:p w14:paraId="392C073F" w14:textId="77777777" w:rsidR="00980E5F" w:rsidRDefault="00980E5F">
            <w:pPr>
              <w:rPr>
                <w:rFonts w:ascii="宋体"/>
                <w:vanish/>
              </w:rPr>
            </w:pPr>
          </w:p>
        </w:tc>
        <w:tc>
          <w:tcPr>
            <w:tcW w:w="0" w:type="auto"/>
            <w:shd w:val="clear" w:color="auto" w:fill="auto"/>
            <w:vAlign w:val="bottom"/>
          </w:tcPr>
          <w:p w14:paraId="392C0740" w14:textId="77777777" w:rsidR="00980E5F" w:rsidRDefault="00980E5F">
            <w:pPr>
              <w:rPr>
                <w:rFonts w:ascii="宋体"/>
                <w:vanish/>
              </w:rPr>
            </w:pPr>
          </w:p>
        </w:tc>
        <w:tc>
          <w:tcPr>
            <w:tcW w:w="0" w:type="auto"/>
            <w:shd w:val="clear" w:color="auto" w:fill="auto"/>
            <w:vAlign w:val="bottom"/>
          </w:tcPr>
          <w:p w14:paraId="392C0741" w14:textId="77777777" w:rsidR="00980E5F" w:rsidRDefault="00980E5F">
            <w:pPr>
              <w:rPr>
                <w:rFonts w:ascii="宋体"/>
                <w:vanish/>
              </w:rPr>
            </w:pPr>
          </w:p>
        </w:tc>
        <w:tc>
          <w:tcPr>
            <w:tcW w:w="0" w:type="auto"/>
            <w:shd w:val="clear" w:color="auto" w:fill="auto"/>
            <w:vAlign w:val="bottom"/>
          </w:tcPr>
          <w:p w14:paraId="392C0742" w14:textId="77777777" w:rsidR="00980E5F" w:rsidRDefault="00980E5F">
            <w:pPr>
              <w:rPr>
                <w:rFonts w:ascii="宋体"/>
                <w:vanish/>
              </w:rPr>
            </w:pPr>
          </w:p>
        </w:tc>
        <w:tc>
          <w:tcPr>
            <w:tcW w:w="0" w:type="auto"/>
            <w:shd w:val="clear" w:color="auto" w:fill="auto"/>
            <w:vAlign w:val="bottom"/>
          </w:tcPr>
          <w:p w14:paraId="392C0743" w14:textId="77777777" w:rsidR="00980E5F" w:rsidRDefault="00980E5F">
            <w:pPr>
              <w:rPr>
                <w:rFonts w:ascii="宋体"/>
                <w:vanish/>
              </w:rPr>
            </w:pPr>
          </w:p>
        </w:tc>
        <w:tc>
          <w:tcPr>
            <w:tcW w:w="0" w:type="auto"/>
            <w:shd w:val="clear" w:color="auto" w:fill="auto"/>
            <w:vAlign w:val="bottom"/>
          </w:tcPr>
          <w:p w14:paraId="392C0744" w14:textId="77777777" w:rsidR="00980E5F" w:rsidRDefault="00980E5F">
            <w:pPr>
              <w:rPr>
                <w:rFonts w:ascii="宋体"/>
                <w:vanish/>
              </w:rPr>
            </w:pPr>
          </w:p>
        </w:tc>
        <w:tc>
          <w:tcPr>
            <w:tcW w:w="0" w:type="auto"/>
            <w:shd w:val="clear" w:color="auto" w:fill="auto"/>
            <w:vAlign w:val="bottom"/>
          </w:tcPr>
          <w:p w14:paraId="392C0745" w14:textId="77777777" w:rsidR="00980E5F" w:rsidRDefault="00980E5F">
            <w:pPr>
              <w:rPr>
                <w:rFonts w:ascii="宋体"/>
                <w:vanish/>
              </w:rPr>
            </w:pPr>
          </w:p>
        </w:tc>
        <w:tc>
          <w:tcPr>
            <w:tcW w:w="0" w:type="auto"/>
            <w:gridSpan w:val="3"/>
            <w:shd w:val="clear" w:color="auto" w:fill="auto"/>
            <w:vAlign w:val="bottom"/>
          </w:tcPr>
          <w:p w14:paraId="392C0746" w14:textId="77777777" w:rsidR="00980E5F" w:rsidRDefault="00980E5F">
            <w:pPr>
              <w:rPr>
                <w:rFonts w:ascii="宋体"/>
                <w:vanish/>
              </w:rPr>
            </w:pPr>
          </w:p>
        </w:tc>
        <w:tc>
          <w:tcPr>
            <w:tcW w:w="0" w:type="auto"/>
            <w:gridSpan w:val="3"/>
            <w:shd w:val="clear" w:color="auto" w:fill="auto"/>
            <w:vAlign w:val="bottom"/>
          </w:tcPr>
          <w:p w14:paraId="392C0747" w14:textId="77777777" w:rsidR="00980E5F" w:rsidRDefault="00980E5F">
            <w:pPr>
              <w:rPr>
                <w:rFonts w:ascii="宋体"/>
                <w:vanish/>
              </w:rPr>
            </w:pPr>
          </w:p>
        </w:tc>
        <w:tc>
          <w:tcPr>
            <w:tcW w:w="0" w:type="auto"/>
            <w:gridSpan w:val="3"/>
            <w:shd w:val="clear" w:color="auto" w:fill="auto"/>
            <w:vAlign w:val="bottom"/>
          </w:tcPr>
          <w:p w14:paraId="392C0748" w14:textId="77777777" w:rsidR="00980E5F" w:rsidRDefault="00980E5F">
            <w:pPr>
              <w:rPr>
                <w:rFonts w:ascii="宋体"/>
                <w:vanish/>
              </w:rPr>
            </w:pPr>
          </w:p>
        </w:tc>
        <w:tc>
          <w:tcPr>
            <w:tcW w:w="0" w:type="auto"/>
            <w:gridSpan w:val="3"/>
            <w:shd w:val="clear" w:color="auto" w:fill="auto"/>
            <w:vAlign w:val="bottom"/>
          </w:tcPr>
          <w:p w14:paraId="392C0749" w14:textId="77777777" w:rsidR="00980E5F" w:rsidRDefault="00980E5F">
            <w:pPr>
              <w:rPr>
                <w:rFonts w:ascii="宋体"/>
                <w:vanish/>
              </w:rPr>
            </w:pPr>
          </w:p>
        </w:tc>
        <w:tc>
          <w:tcPr>
            <w:tcW w:w="0" w:type="auto"/>
            <w:shd w:val="clear" w:color="auto" w:fill="auto"/>
            <w:vAlign w:val="bottom"/>
          </w:tcPr>
          <w:p w14:paraId="392C074A" w14:textId="77777777" w:rsidR="00980E5F" w:rsidRDefault="00980E5F">
            <w:pPr>
              <w:rPr>
                <w:rFonts w:ascii="宋体"/>
                <w:vanish/>
              </w:rPr>
            </w:pPr>
          </w:p>
        </w:tc>
        <w:tc>
          <w:tcPr>
            <w:tcW w:w="0" w:type="auto"/>
            <w:shd w:val="clear" w:color="auto" w:fill="auto"/>
            <w:vAlign w:val="bottom"/>
          </w:tcPr>
          <w:p w14:paraId="392C074B" w14:textId="77777777" w:rsidR="00980E5F" w:rsidRDefault="00980E5F">
            <w:pPr>
              <w:rPr>
                <w:rFonts w:ascii="宋体"/>
                <w:vanish/>
              </w:rPr>
            </w:pPr>
          </w:p>
        </w:tc>
        <w:tc>
          <w:tcPr>
            <w:tcW w:w="0" w:type="auto"/>
            <w:gridSpan w:val="3"/>
            <w:shd w:val="clear" w:color="auto" w:fill="auto"/>
            <w:vAlign w:val="bottom"/>
          </w:tcPr>
          <w:p w14:paraId="392C074C" w14:textId="77777777" w:rsidR="00980E5F" w:rsidRDefault="00980E5F">
            <w:pPr>
              <w:rPr>
                <w:rFonts w:ascii="宋体"/>
                <w:vanish/>
              </w:rPr>
            </w:pPr>
          </w:p>
        </w:tc>
        <w:tc>
          <w:tcPr>
            <w:tcW w:w="0" w:type="auto"/>
            <w:gridSpan w:val="3"/>
            <w:shd w:val="clear" w:color="auto" w:fill="auto"/>
            <w:vAlign w:val="bottom"/>
          </w:tcPr>
          <w:p w14:paraId="392C074D" w14:textId="77777777" w:rsidR="00980E5F" w:rsidRDefault="00980E5F">
            <w:pPr>
              <w:rPr>
                <w:rFonts w:ascii="宋体"/>
                <w:vanish/>
              </w:rPr>
            </w:pPr>
          </w:p>
        </w:tc>
        <w:tc>
          <w:tcPr>
            <w:tcW w:w="0" w:type="auto"/>
            <w:gridSpan w:val="3"/>
            <w:shd w:val="clear" w:color="auto" w:fill="auto"/>
            <w:vAlign w:val="bottom"/>
          </w:tcPr>
          <w:p w14:paraId="392C074E" w14:textId="77777777" w:rsidR="00980E5F" w:rsidRDefault="00980E5F">
            <w:pPr>
              <w:rPr>
                <w:rFonts w:ascii="宋体"/>
                <w:vanish/>
              </w:rPr>
            </w:pPr>
          </w:p>
        </w:tc>
        <w:tc>
          <w:tcPr>
            <w:tcW w:w="0" w:type="auto"/>
            <w:gridSpan w:val="3"/>
            <w:shd w:val="clear" w:color="auto" w:fill="auto"/>
            <w:vAlign w:val="bottom"/>
          </w:tcPr>
          <w:p w14:paraId="392C074F" w14:textId="77777777" w:rsidR="00980E5F" w:rsidRDefault="00980E5F">
            <w:pPr>
              <w:rPr>
                <w:rFonts w:ascii="宋体"/>
                <w:vanish/>
              </w:rPr>
            </w:pPr>
          </w:p>
        </w:tc>
        <w:tc>
          <w:tcPr>
            <w:tcW w:w="0" w:type="auto"/>
            <w:gridSpan w:val="3"/>
            <w:shd w:val="clear" w:color="auto" w:fill="auto"/>
            <w:vAlign w:val="bottom"/>
          </w:tcPr>
          <w:p w14:paraId="392C0750" w14:textId="77777777" w:rsidR="00980E5F" w:rsidRDefault="00980E5F">
            <w:pPr>
              <w:rPr>
                <w:rFonts w:ascii="宋体"/>
                <w:vanish/>
              </w:rPr>
            </w:pPr>
          </w:p>
        </w:tc>
        <w:tc>
          <w:tcPr>
            <w:tcW w:w="0" w:type="auto"/>
            <w:gridSpan w:val="3"/>
            <w:shd w:val="clear" w:color="auto" w:fill="auto"/>
            <w:vAlign w:val="bottom"/>
          </w:tcPr>
          <w:p w14:paraId="392C0751" w14:textId="77777777" w:rsidR="00980E5F" w:rsidRDefault="00980E5F">
            <w:pPr>
              <w:rPr>
                <w:rFonts w:ascii="宋体"/>
                <w:vanish/>
              </w:rPr>
            </w:pPr>
          </w:p>
        </w:tc>
        <w:tc>
          <w:tcPr>
            <w:tcW w:w="0" w:type="auto"/>
            <w:gridSpan w:val="3"/>
            <w:shd w:val="clear" w:color="auto" w:fill="auto"/>
            <w:vAlign w:val="bottom"/>
          </w:tcPr>
          <w:p w14:paraId="392C0752" w14:textId="77777777" w:rsidR="00980E5F" w:rsidRDefault="00980E5F">
            <w:pPr>
              <w:rPr>
                <w:rFonts w:ascii="宋体"/>
                <w:vanish/>
              </w:rPr>
            </w:pPr>
          </w:p>
        </w:tc>
        <w:tc>
          <w:tcPr>
            <w:tcW w:w="0" w:type="auto"/>
            <w:gridSpan w:val="2"/>
            <w:shd w:val="clear" w:color="auto" w:fill="auto"/>
            <w:vAlign w:val="bottom"/>
          </w:tcPr>
          <w:p w14:paraId="392C0753" w14:textId="77777777" w:rsidR="00980E5F" w:rsidRDefault="00980E5F">
            <w:pPr>
              <w:rPr>
                <w:rFonts w:ascii="宋体"/>
                <w:vanish/>
              </w:rPr>
            </w:pPr>
          </w:p>
        </w:tc>
        <w:tc>
          <w:tcPr>
            <w:tcW w:w="0" w:type="auto"/>
            <w:shd w:val="clear" w:color="auto" w:fill="auto"/>
            <w:vAlign w:val="bottom"/>
          </w:tcPr>
          <w:p w14:paraId="392C0754" w14:textId="77777777" w:rsidR="00980E5F" w:rsidRDefault="00980E5F">
            <w:pPr>
              <w:rPr>
                <w:rFonts w:ascii="宋体"/>
                <w:vanish/>
              </w:rPr>
            </w:pPr>
          </w:p>
        </w:tc>
      </w:tr>
      <w:tr w:rsidR="00980E5F" w14:paraId="392C076C" w14:textId="77777777">
        <w:trPr>
          <w:hidden/>
        </w:trPr>
        <w:tc>
          <w:tcPr>
            <w:tcW w:w="0" w:type="auto"/>
            <w:gridSpan w:val="3"/>
            <w:shd w:val="clear" w:color="auto" w:fill="auto"/>
            <w:vAlign w:val="bottom"/>
          </w:tcPr>
          <w:p w14:paraId="392C0756" w14:textId="77777777" w:rsidR="00980E5F" w:rsidRDefault="00980E5F">
            <w:pPr>
              <w:rPr>
                <w:rFonts w:ascii="宋体"/>
                <w:vanish/>
              </w:rPr>
            </w:pPr>
          </w:p>
        </w:tc>
        <w:tc>
          <w:tcPr>
            <w:tcW w:w="0" w:type="auto"/>
            <w:shd w:val="clear" w:color="auto" w:fill="auto"/>
            <w:vAlign w:val="bottom"/>
          </w:tcPr>
          <w:p w14:paraId="392C0757" w14:textId="77777777" w:rsidR="00980E5F" w:rsidRDefault="00980E5F">
            <w:pPr>
              <w:rPr>
                <w:rFonts w:ascii="宋体"/>
                <w:vanish/>
              </w:rPr>
            </w:pPr>
          </w:p>
        </w:tc>
        <w:tc>
          <w:tcPr>
            <w:tcW w:w="0" w:type="auto"/>
            <w:shd w:val="clear" w:color="auto" w:fill="auto"/>
            <w:vAlign w:val="bottom"/>
          </w:tcPr>
          <w:p w14:paraId="392C0758" w14:textId="77777777" w:rsidR="00980E5F" w:rsidRDefault="00980E5F">
            <w:pPr>
              <w:rPr>
                <w:rFonts w:ascii="宋体"/>
                <w:vanish/>
              </w:rPr>
            </w:pPr>
          </w:p>
        </w:tc>
        <w:tc>
          <w:tcPr>
            <w:tcW w:w="0" w:type="auto"/>
            <w:shd w:val="clear" w:color="auto" w:fill="auto"/>
            <w:vAlign w:val="bottom"/>
          </w:tcPr>
          <w:p w14:paraId="392C0759" w14:textId="77777777" w:rsidR="00980E5F" w:rsidRDefault="00980E5F">
            <w:pPr>
              <w:rPr>
                <w:rFonts w:ascii="宋体"/>
                <w:vanish/>
              </w:rPr>
            </w:pPr>
          </w:p>
        </w:tc>
        <w:tc>
          <w:tcPr>
            <w:tcW w:w="0" w:type="auto"/>
            <w:shd w:val="clear" w:color="auto" w:fill="auto"/>
            <w:vAlign w:val="bottom"/>
          </w:tcPr>
          <w:p w14:paraId="392C075A" w14:textId="77777777" w:rsidR="00980E5F" w:rsidRDefault="00980E5F">
            <w:pPr>
              <w:rPr>
                <w:rFonts w:ascii="宋体"/>
                <w:vanish/>
              </w:rPr>
            </w:pPr>
          </w:p>
        </w:tc>
        <w:tc>
          <w:tcPr>
            <w:tcW w:w="0" w:type="auto"/>
            <w:shd w:val="clear" w:color="auto" w:fill="auto"/>
            <w:vAlign w:val="bottom"/>
          </w:tcPr>
          <w:p w14:paraId="392C075B" w14:textId="77777777" w:rsidR="00980E5F" w:rsidRDefault="00980E5F">
            <w:pPr>
              <w:rPr>
                <w:rFonts w:ascii="宋体"/>
                <w:vanish/>
              </w:rPr>
            </w:pPr>
          </w:p>
        </w:tc>
        <w:tc>
          <w:tcPr>
            <w:tcW w:w="0" w:type="auto"/>
            <w:shd w:val="clear" w:color="auto" w:fill="auto"/>
            <w:vAlign w:val="bottom"/>
          </w:tcPr>
          <w:p w14:paraId="392C075C" w14:textId="77777777" w:rsidR="00980E5F" w:rsidRDefault="00980E5F">
            <w:pPr>
              <w:rPr>
                <w:rFonts w:ascii="宋体"/>
                <w:vanish/>
              </w:rPr>
            </w:pPr>
          </w:p>
        </w:tc>
        <w:tc>
          <w:tcPr>
            <w:tcW w:w="0" w:type="auto"/>
            <w:gridSpan w:val="3"/>
            <w:shd w:val="clear" w:color="auto" w:fill="auto"/>
            <w:vAlign w:val="bottom"/>
          </w:tcPr>
          <w:p w14:paraId="392C075D" w14:textId="77777777" w:rsidR="00980E5F" w:rsidRDefault="00980E5F">
            <w:pPr>
              <w:rPr>
                <w:rFonts w:ascii="宋体"/>
                <w:vanish/>
              </w:rPr>
            </w:pPr>
          </w:p>
        </w:tc>
        <w:tc>
          <w:tcPr>
            <w:tcW w:w="0" w:type="auto"/>
            <w:gridSpan w:val="3"/>
            <w:shd w:val="clear" w:color="auto" w:fill="auto"/>
            <w:vAlign w:val="bottom"/>
          </w:tcPr>
          <w:p w14:paraId="392C075E" w14:textId="77777777" w:rsidR="00980E5F" w:rsidRDefault="00980E5F">
            <w:pPr>
              <w:rPr>
                <w:rFonts w:ascii="宋体"/>
                <w:vanish/>
              </w:rPr>
            </w:pPr>
          </w:p>
        </w:tc>
        <w:tc>
          <w:tcPr>
            <w:tcW w:w="0" w:type="auto"/>
            <w:gridSpan w:val="3"/>
            <w:shd w:val="clear" w:color="auto" w:fill="auto"/>
            <w:vAlign w:val="bottom"/>
          </w:tcPr>
          <w:p w14:paraId="392C075F" w14:textId="77777777" w:rsidR="00980E5F" w:rsidRDefault="00980E5F">
            <w:pPr>
              <w:rPr>
                <w:rFonts w:ascii="宋体"/>
                <w:vanish/>
              </w:rPr>
            </w:pPr>
          </w:p>
        </w:tc>
        <w:tc>
          <w:tcPr>
            <w:tcW w:w="0" w:type="auto"/>
            <w:gridSpan w:val="3"/>
            <w:shd w:val="clear" w:color="auto" w:fill="auto"/>
            <w:vAlign w:val="bottom"/>
          </w:tcPr>
          <w:p w14:paraId="392C0760" w14:textId="77777777" w:rsidR="00980E5F" w:rsidRDefault="00980E5F">
            <w:pPr>
              <w:rPr>
                <w:rFonts w:ascii="宋体"/>
                <w:vanish/>
              </w:rPr>
            </w:pPr>
          </w:p>
        </w:tc>
        <w:tc>
          <w:tcPr>
            <w:tcW w:w="0" w:type="auto"/>
            <w:shd w:val="clear" w:color="auto" w:fill="auto"/>
            <w:vAlign w:val="bottom"/>
          </w:tcPr>
          <w:p w14:paraId="392C0761" w14:textId="77777777" w:rsidR="00980E5F" w:rsidRDefault="00980E5F">
            <w:pPr>
              <w:rPr>
                <w:rFonts w:ascii="宋体"/>
                <w:vanish/>
              </w:rPr>
            </w:pPr>
          </w:p>
        </w:tc>
        <w:tc>
          <w:tcPr>
            <w:tcW w:w="0" w:type="auto"/>
            <w:shd w:val="clear" w:color="auto" w:fill="auto"/>
            <w:vAlign w:val="bottom"/>
          </w:tcPr>
          <w:p w14:paraId="392C0762" w14:textId="77777777" w:rsidR="00980E5F" w:rsidRDefault="00980E5F">
            <w:pPr>
              <w:rPr>
                <w:rFonts w:ascii="宋体"/>
                <w:vanish/>
              </w:rPr>
            </w:pPr>
          </w:p>
        </w:tc>
        <w:tc>
          <w:tcPr>
            <w:tcW w:w="0" w:type="auto"/>
            <w:gridSpan w:val="3"/>
            <w:shd w:val="clear" w:color="auto" w:fill="auto"/>
            <w:vAlign w:val="bottom"/>
          </w:tcPr>
          <w:p w14:paraId="392C0763" w14:textId="77777777" w:rsidR="00980E5F" w:rsidRDefault="00980E5F">
            <w:pPr>
              <w:rPr>
                <w:rFonts w:ascii="宋体"/>
                <w:vanish/>
              </w:rPr>
            </w:pPr>
          </w:p>
        </w:tc>
        <w:tc>
          <w:tcPr>
            <w:tcW w:w="0" w:type="auto"/>
            <w:gridSpan w:val="3"/>
            <w:shd w:val="clear" w:color="auto" w:fill="auto"/>
            <w:vAlign w:val="bottom"/>
          </w:tcPr>
          <w:p w14:paraId="392C0764" w14:textId="77777777" w:rsidR="00980E5F" w:rsidRDefault="00980E5F">
            <w:pPr>
              <w:rPr>
                <w:rFonts w:ascii="宋体"/>
                <w:vanish/>
              </w:rPr>
            </w:pPr>
          </w:p>
        </w:tc>
        <w:tc>
          <w:tcPr>
            <w:tcW w:w="0" w:type="auto"/>
            <w:gridSpan w:val="3"/>
            <w:shd w:val="clear" w:color="auto" w:fill="auto"/>
            <w:vAlign w:val="bottom"/>
          </w:tcPr>
          <w:p w14:paraId="392C0765" w14:textId="77777777" w:rsidR="00980E5F" w:rsidRDefault="00980E5F">
            <w:pPr>
              <w:rPr>
                <w:rFonts w:ascii="宋体"/>
                <w:vanish/>
              </w:rPr>
            </w:pPr>
          </w:p>
        </w:tc>
        <w:tc>
          <w:tcPr>
            <w:tcW w:w="0" w:type="auto"/>
            <w:gridSpan w:val="3"/>
            <w:shd w:val="clear" w:color="auto" w:fill="auto"/>
            <w:vAlign w:val="bottom"/>
          </w:tcPr>
          <w:p w14:paraId="392C0766" w14:textId="77777777" w:rsidR="00980E5F" w:rsidRDefault="00980E5F">
            <w:pPr>
              <w:rPr>
                <w:rFonts w:ascii="宋体"/>
                <w:vanish/>
              </w:rPr>
            </w:pPr>
          </w:p>
        </w:tc>
        <w:tc>
          <w:tcPr>
            <w:tcW w:w="0" w:type="auto"/>
            <w:gridSpan w:val="3"/>
            <w:shd w:val="clear" w:color="auto" w:fill="auto"/>
            <w:vAlign w:val="bottom"/>
          </w:tcPr>
          <w:p w14:paraId="392C0767" w14:textId="77777777" w:rsidR="00980E5F" w:rsidRDefault="00980E5F">
            <w:pPr>
              <w:rPr>
                <w:rFonts w:ascii="宋体"/>
                <w:vanish/>
              </w:rPr>
            </w:pPr>
          </w:p>
        </w:tc>
        <w:tc>
          <w:tcPr>
            <w:tcW w:w="0" w:type="auto"/>
            <w:gridSpan w:val="3"/>
            <w:shd w:val="clear" w:color="auto" w:fill="auto"/>
            <w:vAlign w:val="bottom"/>
          </w:tcPr>
          <w:p w14:paraId="392C0768" w14:textId="77777777" w:rsidR="00980E5F" w:rsidRDefault="00980E5F">
            <w:pPr>
              <w:rPr>
                <w:rFonts w:ascii="宋体"/>
                <w:vanish/>
              </w:rPr>
            </w:pPr>
          </w:p>
        </w:tc>
        <w:tc>
          <w:tcPr>
            <w:tcW w:w="0" w:type="auto"/>
            <w:gridSpan w:val="3"/>
            <w:shd w:val="clear" w:color="auto" w:fill="auto"/>
            <w:vAlign w:val="bottom"/>
          </w:tcPr>
          <w:p w14:paraId="392C0769" w14:textId="77777777" w:rsidR="00980E5F" w:rsidRDefault="00980E5F">
            <w:pPr>
              <w:rPr>
                <w:rFonts w:ascii="宋体"/>
                <w:vanish/>
              </w:rPr>
            </w:pPr>
          </w:p>
        </w:tc>
        <w:tc>
          <w:tcPr>
            <w:tcW w:w="0" w:type="auto"/>
            <w:gridSpan w:val="2"/>
            <w:shd w:val="clear" w:color="auto" w:fill="auto"/>
            <w:vAlign w:val="bottom"/>
          </w:tcPr>
          <w:p w14:paraId="392C076A" w14:textId="77777777" w:rsidR="00980E5F" w:rsidRDefault="00980E5F">
            <w:pPr>
              <w:rPr>
                <w:rFonts w:ascii="宋体"/>
                <w:vanish/>
              </w:rPr>
            </w:pPr>
          </w:p>
        </w:tc>
        <w:tc>
          <w:tcPr>
            <w:tcW w:w="0" w:type="auto"/>
            <w:shd w:val="clear" w:color="auto" w:fill="auto"/>
            <w:vAlign w:val="bottom"/>
          </w:tcPr>
          <w:p w14:paraId="392C076B" w14:textId="77777777" w:rsidR="00980E5F" w:rsidRDefault="00980E5F">
            <w:pPr>
              <w:rPr>
                <w:rFonts w:ascii="宋体"/>
                <w:vanish/>
              </w:rPr>
            </w:pPr>
          </w:p>
        </w:tc>
      </w:tr>
      <w:tr w:rsidR="00980E5F" w14:paraId="392C0786" w14:textId="77777777">
        <w:tc>
          <w:tcPr>
            <w:tcW w:w="0" w:type="auto"/>
            <w:gridSpan w:val="3"/>
            <w:shd w:val="clear" w:color="auto" w:fill="FFFFFF"/>
            <w:tcMar>
              <w:top w:w="40" w:type="dxa"/>
              <w:left w:w="20" w:type="dxa"/>
              <w:bottom w:w="40" w:type="dxa"/>
              <w:right w:w="20" w:type="dxa"/>
            </w:tcMar>
            <w:vAlign w:val="bottom"/>
          </w:tcPr>
          <w:p w14:paraId="392C076D" w14:textId="77777777" w:rsidR="00980E5F" w:rsidRDefault="00483613">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392C076E" w14:textId="77777777" w:rsidR="00980E5F" w:rsidRDefault="00980E5F">
            <w:pPr>
              <w:rPr>
                <w:rFonts w:ascii="宋体"/>
                <w:vanish/>
              </w:rPr>
            </w:pPr>
          </w:p>
        </w:tc>
        <w:tc>
          <w:tcPr>
            <w:tcW w:w="0" w:type="auto"/>
            <w:shd w:val="clear" w:color="auto" w:fill="auto"/>
            <w:vAlign w:val="bottom"/>
          </w:tcPr>
          <w:p w14:paraId="392C076F" w14:textId="77777777" w:rsidR="00980E5F" w:rsidRDefault="00980E5F">
            <w:pPr>
              <w:rPr>
                <w:rFonts w:ascii="宋体"/>
                <w:vanish/>
              </w:rPr>
            </w:pPr>
          </w:p>
        </w:tc>
        <w:tc>
          <w:tcPr>
            <w:tcW w:w="0" w:type="auto"/>
            <w:shd w:val="clear" w:color="auto" w:fill="auto"/>
            <w:vAlign w:val="bottom"/>
          </w:tcPr>
          <w:p w14:paraId="392C0770" w14:textId="77777777" w:rsidR="00980E5F" w:rsidRDefault="00980E5F">
            <w:pPr>
              <w:rPr>
                <w:rFonts w:ascii="宋体"/>
                <w:vanish/>
              </w:rPr>
            </w:pPr>
          </w:p>
        </w:tc>
        <w:tc>
          <w:tcPr>
            <w:tcW w:w="0" w:type="auto"/>
            <w:shd w:val="clear" w:color="auto" w:fill="auto"/>
            <w:vAlign w:val="bottom"/>
          </w:tcPr>
          <w:p w14:paraId="392C0771" w14:textId="77777777" w:rsidR="00980E5F" w:rsidRDefault="00980E5F">
            <w:pPr>
              <w:rPr>
                <w:rFonts w:ascii="宋体"/>
                <w:vanish/>
              </w:rPr>
            </w:pPr>
          </w:p>
        </w:tc>
        <w:tc>
          <w:tcPr>
            <w:tcW w:w="0" w:type="auto"/>
            <w:shd w:val="clear" w:color="auto" w:fill="auto"/>
            <w:vAlign w:val="bottom"/>
          </w:tcPr>
          <w:p w14:paraId="392C0772" w14:textId="77777777" w:rsidR="00980E5F" w:rsidRDefault="00980E5F">
            <w:pPr>
              <w:rPr>
                <w:rFonts w:ascii="宋体"/>
                <w:vanish/>
              </w:rPr>
            </w:pPr>
          </w:p>
        </w:tc>
        <w:tc>
          <w:tcPr>
            <w:tcW w:w="0" w:type="auto"/>
            <w:shd w:val="clear" w:color="auto" w:fill="auto"/>
            <w:vAlign w:val="bottom"/>
          </w:tcPr>
          <w:p w14:paraId="392C077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74" w14:textId="77777777" w:rsidR="00980E5F" w:rsidRDefault="00483613">
            <w:pPr>
              <w:jc w:val="right"/>
              <w:textAlignment w:val="bottom"/>
            </w:pPr>
            <w:r>
              <w:rPr>
                <w:rFonts w:ascii="Arial" w:eastAsia="宋体" w:hAnsi="Arial" w:cs="Arial"/>
                <w:b/>
                <w:bCs/>
                <w:color w:val="000000"/>
                <w:sz w:val="14"/>
                <w:szCs w:val="14"/>
              </w:rPr>
              <w:t>188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7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777"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FFFFFF"/>
            <w:tcMar>
              <w:top w:w="40" w:type="dxa"/>
              <w:left w:w="0" w:type="dxa"/>
              <w:bottom w:w="40" w:type="dxa"/>
              <w:right w:w="20" w:type="dxa"/>
            </w:tcMar>
            <w:vAlign w:val="bottom"/>
          </w:tcPr>
          <w:p w14:paraId="392C07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79" w14:textId="77777777" w:rsidR="00980E5F" w:rsidRDefault="00980E5F">
            <w:pPr>
              <w:rPr>
                <w:rFonts w:ascii="宋体"/>
              </w:rPr>
            </w:pPr>
          </w:p>
        </w:tc>
        <w:tc>
          <w:tcPr>
            <w:tcW w:w="0" w:type="auto"/>
            <w:shd w:val="clear" w:color="auto" w:fill="auto"/>
            <w:vAlign w:val="bottom"/>
          </w:tcPr>
          <w:p w14:paraId="392C077A" w14:textId="77777777" w:rsidR="00980E5F" w:rsidRDefault="00980E5F">
            <w:pPr>
              <w:rPr>
                <w:rFonts w:ascii="宋体"/>
                <w:vanish/>
              </w:rPr>
            </w:pPr>
          </w:p>
        </w:tc>
        <w:tc>
          <w:tcPr>
            <w:tcW w:w="0" w:type="auto"/>
            <w:shd w:val="clear" w:color="auto" w:fill="auto"/>
            <w:vAlign w:val="bottom"/>
          </w:tcPr>
          <w:p w14:paraId="392C077B"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7C" w14:textId="77777777" w:rsidR="00980E5F" w:rsidRDefault="00483613">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392C077D" w14:textId="77777777" w:rsidR="00980E5F" w:rsidRDefault="00980E5F">
            <w:pPr>
              <w:jc w:val="right"/>
              <w:rPr>
                <w:rFonts w:ascii="宋体"/>
              </w:rPr>
            </w:pPr>
          </w:p>
        </w:tc>
        <w:tc>
          <w:tcPr>
            <w:tcW w:w="0" w:type="auto"/>
            <w:gridSpan w:val="3"/>
            <w:shd w:val="clear" w:color="auto" w:fill="auto"/>
            <w:vAlign w:val="bottom"/>
          </w:tcPr>
          <w:p w14:paraId="392C077E" w14:textId="77777777" w:rsidR="00980E5F" w:rsidRDefault="00980E5F">
            <w:pPr>
              <w:rPr>
                <w:rFonts w:ascii="宋体"/>
                <w:vanish/>
              </w:rPr>
            </w:pPr>
          </w:p>
        </w:tc>
        <w:tc>
          <w:tcPr>
            <w:tcW w:w="0" w:type="auto"/>
            <w:gridSpan w:val="3"/>
            <w:shd w:val="clear" w:color="auto" w:fill="auto"/>
            <w:vAlign w:val="bottom"/>
          </w:tcPr>
          <w:p w14:paraId="392C077F" w14:textId="77777777" w:rsidR="00980E5F" w:rsidRDefault="00980E5F">
            <w:pPr>
              <w:rPr>
                <w:rFonts w:ascii="宋体"/>
                <w:vanish/>
              </w:rPr>
            </w:pPr>
          </w:p>
        </w:tc>
        <w:tc>
          <w:tcPr>
            <w:tcW w:w="0" w:type="auto"/>
            <w:gridSpan w:val="3"/>
            <w:shd w:val="clear" w:color="auto" w:fill="auto"/>
            <w:vAlign w:val="bottom"/>
          </w:tcPr>
          <w:p w14:paraId="392C0780" w14:textId="77777777" w:rsidR="00980E5F" w:rsidRDefault="00980E5F">
            <w:pPr>
              <w:rPr>
                <w:rFonts w:ascii="宋体"/>
                <w:vanish/>
              </w:rPr>
            </w:pPr>
          </w:p>
        </w:tc>
        <w:tc>
          <w:tcPr>
            <w:tcW w:w="0" w:type="auto"/>
            <w:gridSpan w:val="3"/>
            <w:shd w:val="clear" w:color="auto" w:fill="auto"/>
            <w:vAlign w:val="bottom"/>
          </w:tcPr>
          <w:p w14:paraId="392C0781" w14:textId="77777777" w:rsidR="00980E5F" w:rsidRDefault="00980E5F">
            <w:pPr>
              <w:rPr>
                <w:rFonts w:ascii="宋体"/>
                <w:vanish/>
              </w:rPr>
            </w:pPr>
          </w:p>
        </w:tc>
        <w:tc>
          <w:tcPr>
            <w:tcW w:w="0" w:type="auto"/>
            <w:gridSpan w:val="3"/>
            <w:shd w:val="clear" w:color="auto" w:fill="auto"/>
            <w:vAlign w:val="bottom"/>
          </w:tcPr>
          <w:p w14:paraId="392C0782" w14:textId="77777777" w:rsidR="00980E5F" w:rsidRDefault="00980E5F">
            <w:pPr>
              <w:rPr>
                <w:rFonts w:ascii="宋体"/>
                <w:vanish/>
              </w:rPr>
            </w:pPr>
          </w:p>
        </w:tc>
        <w:tc>
          <w:tcPr>
            <w:tcW w:w="0" w:type="auto"/>
            <w:gridSpan w:val="3"/>
            <w:shd w:val="clear" w:color="auto" w:fill="auto"/>
            <w:vAlign w:val="bottom"/>
          </w:tcPr>
          <w:p w14:paraId="392C0783" w14:textId="77777777" w:rsidR="00980E5F" w:rsidRDefault="00980E5F">
            <w:pPr>
              <w:rPr>
                <w:rFonts w:ascii="宋体"/>
                <w:vanish/>
              </w:rPr>
            </w:pPr>
          </w:p>
        </w:tc>
        <w:tc>
          <w:tcPr>
            <w:tcW w:w="0" w:type="auto"/>
            <w:gridSpan w:val="2"/>
            <w:shd w:val="clear" w:color="auto" w:fill="auto"/>
            <w:vAlign w:val="bottom"/>
          </w:tcPr>
          <w:p w14:paraId="392C0784" w14:textId="77777777" w:rsidR="00980E5F" w:rsidRDefault="00980E5F">
            <w:pPr>
              <w:rPr>
                <w:rFonts w:ascii="宋体"/>
                <w:vanish/>
              </w:rPr>
            </w:pPr>
          </w:p>
        </w:tc>
        <w:tc>
          <w:tcPr>
            <w:tcW w:w="0" w:type="auto"/>
            <w:shd w:val="clear" w:color="auto" w:fill="auto"/>
            <w:vAlign w:val="bottom"/>
          </w:tcPr>
          <w:p w14:paraId="392C0785" w14:textId="77777777" w:rsidR="00980E5F" w:rsidRDefault="00980E5F">
            <w:pPr>
              <w:rPr>
                <w:rFonts w:ascii="宋体"/>
                <w:vanish/>
              </w:rPr>
            </w:pPr>
          </w:p>
        </w:tc>
      </w:tr>
      <w:tr w:rsidR="00980E5F" w14:paraId="392C079F" w14:textId="77777777">
        <w:tc>
          <w:tcPr>
            <w:tcW w:w="0" w:type="auto"/>
            <w:gridSpan w:val="3"/>
            <w:shd w:val="clear" w:color="auto" w:fill="CCEEFF"/>
            <w:tcMar>
              <w:top w:w="40" w:type="dxa"/>
              <w:left w:w="20" w:type="dxa"/>
              <w:bottom w:w="40" w:type="dxa"/>
              <w:right w:w="20" w:type="dxa"/>
            </w:tcMar>
            <w:vAlign w:val="bottom"/>
          </w:tcPr>
          <w:p w14:paraId="392C0787" w14:textId="77777777" w:rsidR="00980E5F" w:rsidRDefault="00483613">
            <w:pPr>
              <w:textAlignment w:val="bottom"/>
            </w:pPr>
            <w:r>
              <w:rPr>
                <w:rFonts w:ascii="Arial" w:eastAsia="宋体" w:hAnsi="Arial" w:cs="Arial"/>
                <w:color w:val="000000"/>
                <w:sz w:val="14"/>
                <w:szCs w:val="14"/>
              </w:rPr>
              <w:t>Other fee revenue</w:t>
            </w:r>
          </w:p>
        </w:tc>
        <w:tc>
          <w:tcPr>
            <w:tcW w:w="0" w:type="auto"/>
            <w:shd w:val="clear" w:color="auto" w:fill="auto"/>
            <w:vAlign w:val="bottom"/>
          </w:tcPr>
          <w:p w14:paraId="392C0788" w14:textId="77777777" w:rsidR="00980E5F" w:rsidRDefault="00980E5F">
            <w:pPr>
              <w:rPr>
                <w:rFonts w:ascii="宋体"/>
                <w:vanish/>
              </w:rPr>
            </w:pPr>
          </w:p>
        </w:tc>
        <w:tc>
          <w:tcPr>
            <w:tcW w:w="0" w:type="auto"/>
            <w:shd w:val="clear" w:color="auto" w:fill="auto"/>
            <w:vAlign w:val="bottom"/>
          </w:tcPr>
          <w:p w14:paraId="392C0789" w14:textId="77777777" w:rsidR="00980E5F" w:rsidRDefault="00980E5F">
            <w:pPr>
              <w:rPr>
                <w:rFonts w:ascii="宋体"/>
                <w:vanish/>
              </w:rPr>
            </w:pPr>
          </w:p>
        </w:tc>
        <w:tc>
          <w:tcPr>
            <w:tcW w:w="0" w:type="auto"/>
            <w:shd w:val="clear" w:color="auto" w:fill="auto"/>
            <w:vAlign w:val="bottom"/>
          </w:tcPr>
          <w:p w14:paraId="392C078A" w14:textId="77777777" w:rsidR="00980E5F" w:rsidRDefault="00980E5F">
            <w:pPr>
              <w:rPr>
                <w:rFonts w:ascii="宋体"/>
                <w:vanish/>
              </w:rPr>
            </w:pPr>
          </w:p>
        </w:tc>
        <w:tc>
          <w:tcPr>
            <w:tcW w:w="0" w:type="auto"/>
            <w:shd w:val="clear" w:color="auto" w:fill="auto"/>
            <w:vAlign w:val="bottom"/>
          </w:tcPr>
          <w:p w14:paraId="392C078B" w14:textId="77777777" w:rsidR="00980E5F" w:rsidRDefault="00980E5F">
            <w:pPr>
              <w:rPr>
                <w:rFonts w:ascii="宋体"/>
                <w:vanish/>
              </w:rPr>
            </w:pPr>
          </w:p>
        </w:tc>
        <w:tc>
          <w:tcPr>
            <w:tcW w:w="0" w:type="auto"/>
            <w:shd w:val="clear" w:color="auto" w:fill="auto"/>
            <w:vAlign w:val="bottom"/>
          </w:tcPr>
          <w:p w14:paraId="392C078C" w14:textId="77777777" w:rsidR="00980E5F" w:rsidRDefault="00980E5F">
            <w:pPr>
              <w:rPr>
                <w:rFonts w:ascii="宋体"/>
                <w:vanish/>
              </w:rPr>
            </w:pPr>
          </w:p>
        </w:tc>
        <w:tc>
          <w:tcPr>
            <w:tcW w:w="0" w:type="auto"/>
            <w:shd w:val="clear" w:color="auto" w:fill="auto"/>
            <w:vAlign w:val="bottom"/>
          </w:tcPr>
          <w:p w14:paraId="392C078D"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8E" w14:textId="77777777" w:rsidR="00980E5F" w:rsidRDefault="00483613">
            <w:pPr>
              <w:jc w:val="right"/>
              <w:textAlignment w:val="bottom"/>
            </w:pPr>
            <w:r>
              <w:rPr>
                <w:rFonts w:ascii="Arial" w:eastAsia="宋体" w:hAnsi="Arial" w:cs="Arial"/>
                <w:b/>
                <w:bCs/>
                <w:color w:val="000000"/>
                <w:sz w:val="14"/>
                <w:szCs w:val="14"/>
              </w:rPr>
              <w:t>(12)</w:t>
            </w:r>
          </w:p>
        </w:tc>
        <w:tc>
          <w:tcPr>
            <w:tcW w:w="0" w:type="auto"/>
            <w:shd w:val="clear" w:color="auto" w:fill="CCEEFF"/>
            <w:tcMar>
              <w:top w:w="40" w:type="dxa"/>
              <w:left w:w="0" w:type="dxa"/>
              <w:bottom w:w="40" w:type="dxa"/>
              <w:right w:w="20" w:type="dxa"/>
            </w:tcMar>
            <w:vAlign w:val="bottom"/>
          </w:tcPr>
          <w:p w14:paraId="392C07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9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791"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07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93" w14:textId="77777777" w:rsidR="00980E5F" w:rsidRDefault="00980E5F">
            <w:pPr>
              <w:rPr>
                <w:rFonts w:ascii="宋体"/>
              </w:rPr>
            </w:pPr>
          </w:p>
        </w:tc>
        <w:tc>
          <w:tcPr>
            <w:tcW w:w="0" w:type="auto"/>
            <w:shd w:val="clear" w:color="auto" w:fill="auto"/>
            <w:vAlign w:val="bottom"/>
          </w:tcPr>
          <w:p w14:paraId="392C0794" w14:textId="77777777" w:rsidR="00980E5F" w:rsidRDefault="00980E5F">
            <w:pPr>
              <w:rPr>
                <w:rFonts w:ascii="宋体"/>
                <w:vanish/>
              </w:rPr>
            </w:pPr>
          </w:p>
        </w:tc>
        <w:tc>
          <w:tcPr>
            <w:tcW w:w="0" w:type="auto"/>
            <w:shd w:val="clear" w:color="auto" w:fill="auto"/>
            <w:vAlign w:val="bottom"/>
          </w:tcPr>
          <w:p w14:paraId="392C0795" w14:textId="77777777" w:rsidR="00980E5F" w:rsidRDefault="00980E5F">
            <w:pPr>
              <w:rPr>
                <w:rFonts w:ascii="宋体"/>
                <w:vanish/>
              </w:rPr>
            </w:pPr>
          </w:p>
        </w:tc>
        <w:tc>
          <w:tcPr>
            <w:tcW w:w="0" w:type="auto"/>
            <w:gridSpan w:val="3"/>
            <w:shd w:val="clear" w:color="auto" w:fill="CCEEFF"/>
            <w:tcMar>
              <w:top w:w="40" w:type="dxa"/>
              <w:left w:w="20" w:type="dxa"/>
              <w:bottom w:w="40" w:type="dxa"/>
              <w:right w:w="140" w:type="dxa"/>
            </w:tcMar>
            <w:vAlign w:val="bottom"/>
          </w:tcPr>
          <w:p w14:paraId="392C0796"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797" w14:textId="77777777" w:rsidR="00980E5F" w:rsidRDefault="00980E5F">
            <w:pPr>
              <w:rPr>
                <w:rFonts w:ascii="宋体"/>
                <w:vanish/>
              </w:rPr>
            </w:pPr>
          </w:p>
        </w:tc>
        <w:tc>
          <w:tcPr>
            <w:tcW w:w="0" w:type="auto"/>
            <w:gridSpan w:val="3"/>
            <w:shd w:val="clear" w:color="auto" w:fill="auto"/>
            <w:vAlign w:val="bottom"/>
          </w:tcPr>
          <w:p w14:paraId="392C0798" w14:textId="77777777" w:rsidR="00980E5F" w:rsidRDefault="00980E5F">
            <w:pPr>
              <w:rPr>
                <w:rFonts w:ascii="宋体"/>
                <w:vanish/>
              </w:rPr>
            </w:pPr>
          </w:p>
        </w:tc>
        <w:tc>
          <w:tcPr>
            <w:tcW w:w="0" w:type="auto"/>
            <w:gridSpan w:val="3"/>
            <w:shd w:val="clear" w:color="auto" w:fill="auto"/>
            <w:vAlign w:val="bottom"/>
          </w:tcPr>
          <w:p w14:paraId="392C0799" w14:textId="77777777" w:rsidR="00980E5F" w:rsidRDefault="00980E5F">
            <w:pPr>
              <w:rPr>
                <w:rFonts w:ascii="宋体"/>
                <w:vanish/>
              </w:rPr>
            </w:pPr>
          </w:p>
        </w:tc>
        <w:tc>
          <w:tcPr>
            <w:tcW w:w="0" w:type="auto"/>
            <w:gridSpan w:val="3"/>
            <w:shd w:val="clear" w:color="auto" w:fill="auto"/>
            <w:vAlign w:val="bottom"/>
          </w:tcPr>
          <w:p w14:paraId="392C079A" w14:textId="77777777" w:rsidR="00980E5F" w:rsidRDefault="00980E5F">
            <w:pPr>
              <w:rPr>
                <w:rFonts w:ascii="宋体"/>
                <w:vanish/>
              </w:rPr>
            </w:pPr>
          </w:p>
        </w:tc>
        <w:tc>
          <w:tcPr>
            <w:tcW w:w="0" w:type="auto"/>
            <w:gridSpan w:val="3"/>
            <w:shd w:val="clear" w:color="auto" w:fill="auto"/>
            <w:vAlign w:val="bottom"/>
          </w:tcPr>
          <w:p w14:paraId="392C079B" w14:textId="77777777" w:rsidR="00980E5F" w:rsidRDefault="00980E5F">
            <w:pPr>
              <w:rPr>
                <w:rFonts w:ascii="宋体"/>
                <w:vanish/>
              </w:rPr>
            </w:pPr>
          </w:p>
        </w:tc>
        <w:tc>
          <w:tcPr>
            <w:tcW w:w="0" w:type="auto"/>
            <w:gridSpan w:val="3"/>
            <w:shd w:val="clear" w:color="auto" w:fill="auto"/>
            <w:vAlign w:val="bottom"/>
          </w:tcPr>
          <w:p w14:paraId="392C079C" w14:textId="77777777" w:rsidR="00980E5F" w:rsidRDefault="00980E5F">
            <w:pPr>
              <w:rPr>
                <w:rFonts w:ascii="宋体"/>
                <w:vanish/>
              </w:rPr>
            </w:pPr>
          </w:p>
        </w:tc>
        <w:tc>
          <w:tcPr>
            <w:tcW w:w="0" w:type="auto"/>
            <w:gridSpan w:val="2"/>
            <w:shd w:val="clear" w:color="auto" w:fill="auto"/>
            <w:vAlign w:val="bottom"/>
          </w:tcPr>
          <w:p w14:paraId="392C079D" w14:textId="77777777" w:rsidR="00980E5F" w:rsidRDefault="00980E5F">
            <w:pPr>
              <w:rPr>
                <w:rFonts w:ascii="宋体"/>
                <w:vanish/>
              </w:rPr>
            </w:pPr>
          </w:p>
        </w:tc>
        <w:tc>
          <w:tcPr>
            <w:tcW w:w="0" w:type="auto"/>
            <w:shd w:val="clear" w:color="auto" w:fill="auto"/>
            <w:vAlign w:val="bottom"/>
          </w:tcPr>
          <w:p w14:paraId="392C079E" w14:textId="77777777" w:rsidR="00980E5F" w:rsidRDefault="00980E5F">
            <w:pPr>
              <w:rPr>
                <w:rFonts w:ascii="宋体"/>
                <w:vanish/>
              </w:rPr>
            </w:pPr>
          </w:p>
        </w:tc>
      </w:tr>
      <w:tr w:rsidR="00980E5F" w14:paraId="392C07B9" w14:textId="77777777">
        <w:tc>
          <w:tcPr>
            <w:tcW w:w="0" w:type="auto"/>
            <w:gridSpan w:val="3"/>
            <w:shd w:val="clear" w:color="auto" w:fill="FFFFFF"/>
            <w:tcMar>
              <w:top w:w="40" w:type="dxa"/>
              <w:left w:w="20" w:type="dxa"/>
              <w:bottom w:w="40" w:type="dxa"/>
              <w:right w:w="20" w:type="dxa"/>
            </w:tcMar>
            <w:vAlign w:val="bottom"/>
          </w:tcPr>
          <w:p w14:paraId="392C07A0" w14:textId="77777777" w:rsidR="00980E5F" w:rsidRDefault="00483613">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392C07A1" w14:textId="77777777" w:rsidR="00980E5F" w:rsidRDefault="00980E5F">
            <w:pPr>
              <w:rPr>
                <w:rFonts w:ascii="宋体"/>
                <w:vanish/>
              </w:rPr>
            </w:pPr>
          </w:p>
        </w:tc>
        <w:tc>
          <w:tcPr>
            <w:tcW w:w="0" w:type="auto"/>
            <w:shd w:val="clear" w:color="auto" w:fill="auto"/>
            <w:vAlign w:val="bottom"/>
          </w:tcPr>
          <w:p w14:paraId="392C07A2" w14:textId="77777777" w:rsidR="00980E5F" w:rsidRDefault="00980E5F">
            <w:pPr>
              <w:rPr>
                <w:rFonts w:ascii="宋体"/>
                <w:vanish/>
              </w:rPr>
            </w:pPr>
          </w:p>
        </w:tc>
        <w:tc>
          <w:tcPr>
            <w:tcW w:w="0" w:type="auto"/>
            <w:shd w:val="clear" w:color="auto" w:fill="auto"/>
            <w:vAlign w:val="bottom"/>
          </w:tcPr>
          <w:p w14:paraId="392C07A3" w14:textId="77777777" w:rsidR="00980E5F" w:rsidRDefault="00980E5F">
            <w:pPr>
              <w:rPr>
                <w:rFonts w:ascii="宋体"/>
                <w:vanish/>
              </w:rPr>
            </w:pPr>
          </w:p>
        </w:tc>
        <w:tc>
          <w:tcPr>
            <w:tcW w:w="0" w:type="auto"/>
            <w:shd w:val="clear" w:color="auto" w:fill="auto"/>
            <w:vAlign w:val="bottom"/>
          </w:tcPr>
          <w:p w14:paraId="392C07A4" w14:textId="77777777" w:rsidR="00980E5F" w:rsidRDefault="00980E5F">
            <w:pPr>
              <w:rPr>
                <w:rFonts w:ascii="宋体"/>
                <w:vanish/>
              </w:rPr>
            </w:pPr>
          </w:p>
        </w:tc>
        <w:tc>
          <w:tcPr>
            <w:tcW w:w="0" w:type="auto"/>
            <w:shd w:val="clear" w:color="auto" w:fill="auto"/>
            <w:vAlign w:val="bottom"/>
          </w:tcPr>
          <w:p w14:paraId="392C07A5" w14:textId="77777777" w:rsidR="00980E5F" w:rsidRDefault="00980E5F">
            <w:pPr>
              <w:rPr>
                <w:rFonts w:ascii="宋体"/>
                <w:vanish/>
              </w:rPr>
            </w:pPr>
          </w:p>
        </w:tc>
        <w:tc>
          <w:tcPr>
            <w:tcW w:w="0" w:type="auto"/>
            <w:shd w:val="clear" w:color="auto" w:fill="auto"/>
            <w:vAlign w:val="bottom"/>
          </w:tcPr>
          <w:p w14:paraId="392C07A6"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7A7" w14:textId="77777777" w:rsidR="00980E5F" w:rsidRDefault="00483613">
            <w:pPr>
              <w:jc w:val="right"/>
              <w:textAlignment w:val="bottom"/>
            </w:pPr>
            <w:r>
              <w:rPr>
                <w:rFonts w:ascii="Arial" w:eastAsia="宋体" w:hAnsi="Arial" w:cs="Arial"/>
                <w:b/>
                <w:bCs/>
                <w:color w:val="000000"/>
                <w:sz w:val="14"/>
                <w:szCs w:val="14"/>
              </w:rPr>
              <w:t>1,888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7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A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7AA" w14:textId="77777777" w:rsidR="00980E5F" w:rsidRDefault="00483613">
            <w:pPr>
              <w:jc w:val="right"/>
              <w:textAlignment w:val="bottom"/>
            </w:pPr>
            <w:r>
              <w:rPr>
                <w:rFonts w:ascii="Arial" w:eastAsia="宋体" w:hAnsi="Arial" w:cs="Arial"/>
                <w:color w:val="000000"/>
                <w:sz w:val="14"/>
                <w:szCs w:val="14"/>
              </w:rPr>
              <w:t>1,984 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7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AC" w14:textId="77777777" w:rsidR="00980E5F" w:rsidRDefault="00980E5F">
            <w:pPr>
              <w:rPr>
                <w:rFonts w:ascii="宋体"/>
              </w:rPr>
            </w:pPr>
          </w:p>
        </w:tc>
        <w:tc>
          <w:tcPr>
            <w:tcW w:w="0" w:type="auto"/>
            <w:shd w:val="clear" w:color="auto" w:fill="auto"/>
            <w:vAlign w:val="bottom"/>
          </w:tcPr>
          <w:p w14:paraId="392C07AD" w14:textId="77777777" w:rsidR="00980E5F" w:rsidRDefault="00980E5F">
            <w:pPr>
              <w:rPr>
                <w:rFonts w:ascii="宋体"/>
                <w:vanish/>
              </w:rPr>
            </w:pPr>
          </w:p>
        </w:tc>
        <w:tc>
          <w:tcPr>
            <w:tcW w:w="0" w:type="auto"/>
            <w:shd w:val="clear" w:color="auto" w:fill="auto"/>
            <w:vAlign w:val="bottom"/>
          </w:tcPr>
          <w:p w14:paraId="392C07AE"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AF"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392C07B0" w14:textId="77777777" w:rsidR="00980E5F" w:rsidRDefault="00980E5F">
            <w:pPr>
              <w:jc w:val="right"/>
              <w:rPr>
                <w:rFonts w:ascii="宋体"/>
              </w:rPr>
            </w:pPr>
          </w:p>
        </w:tc>
        <w:tc>
          <w:tcPr>
            <w:tcW w:w="0" w:type="auto"/>
            <w:gridSpan w:val="3"/>
            <w:shd w:val="clear" w:color="auto" w:fill="auto"/>
            <w:vAlign w:val="bottom"/>
          </w:tcPr>
          <w:p w14:paraId="392C07B1" w14:textId="77777777" w:rsidR="00980E5F" w:rsidRDefault="00980E5F">
            <w:pPr>
              <w:rPr>
                <w:rFonts w:ascii="宋体"/>
                <w:vanish/>
              </w:rPr>
            </w:pPr>
          </w:p>
        </w:tc>
        <w:tc>
          <w:tcPr>
            <w:tcW w:w="0" w:type="auto"/>
            <w:gridSpan w:val="3"/>
            <w:shd w:val="clear" w:color="auto" w:fill="auto"/>
            <w:vAlign w:val="bottom"/>
          </w:tcPr>
          <w:p w14:paraId="392C07B2" w14:textId="77777777" w:rsidR="00980E5F" w:rsidRDefault="00980E5F">
            <w:pPr>
              <w:rPr>
                <w:rFonts w:ascii="宋体"/>
                <w:vanish/>
              </w:rPr>
            </w:pPr>
          </w:p>
        </w:tc>
        <w:tc>
          <w:tcPr>
            <w:tcW w:w="0" w:type="auto"/>
            <w:gridSpan w:val="3"/>
            <w:shd w:val="clear" w:color="auto" w:fill="auto"/>
            <w:vAlign w:val="bottom"/>
          </w:tcPr>
          <w:p w14:paraId="392C07B3" w14:textId="77777777" w:rsidR="00980E5F" w:rsidRDefault="00980E5F">
            <w:pPr>
              <w:rPr>
                <w:rFonts w:ascii="宋体"/>
                <w:vanish/>
              </w:rPr>
            </w:pPr>
          </w:p>
        </w:tc>
        <w:tc>
          <w:tcPr>
            <w:tcW w:w="0" w:type="auto"/>
            <w:gridSpan w:val="3"/>
            <w:shd w:val="clear" w:color="auto" w:fill="auto"/>
            <w:vAlign w:val="bottom"/>
          </w:tcPr>
          <w:p w14:paraId="392C07B4" w14:textId="77777777" w:rsidR="00980E5F" w:rsidRDefault="00980E5F">
            <w:pPr>
              <w:rPr>
                <w:rFonts w:ascii="宋体"/>
                <w:vanish/>
              </w:rPr>
            </w:pPr>
          </w:p>
        </w:tc>
        <w:tc>
          <w:tcPr>
            <w:tcW w:w="0" w:type="auto"/>
            <w:gridSpan w:val="3"/>
            <w:shd w:val="clear" w:color="auto" w:fill="auto"/>
            <w:vAlign w:val="bottom"/>
          </w:tcPr>
          <w:p w14:paraId="392C07B5" w14:textId="77777777" w:rsidR="00980E5F" w:rsidRDefault="00980E5F">
            <w:pPr>
              <w:rPr>
                <w:rFonts w:ascii="宋体"/>
                <w:vanish/>
              </w:rPr>
            </w:pPr>
          </w:p>
        </w:tc>
        <w:tc>
          <w:tcPr>
            <w:tcW w:w="0" w:type="auto"/>
            <w:gridSpan w:val="3"/>
            <w:shd w:val="clear" w:color="auto" w:fill="auto"/>
            <w:vAlign w:val="bottom"/>
          </w:tcPr>
          <w:p w14:paraId="392C07B6" w14:textId="77777777" w:rsidR="00980E5F" w:rsidRDefault="00980E5F">
            <w:pPr>
              <w:rPr>
                <w:rFonts w:ascii="宋体"/>
                <w:vanish/>
              </w:rPr>
            </w:pPr>
          </w:p>
        </w:tc>
        <w:tc>
          <w:tcPr>
            <w:tcW w:w="0" w:type="auto"/>
            <w:gridSpan w:val="2"/>
            <w:shd w:val="clear" w:color="auto" w:fill="auto"/>
            <w:vAlign w:val="bottom"/>
          </w:tcPr>
          <w:p w14:paraId="392C07B7" w14:textId="77777777" w:rsidR="00980E5F" w:rsidRDefault="00980E5F">
            <w:pPr>
              <w:rPr>
                <w:rFonts w:ascii="宋体"/>
                <w:vanish/>
              </w:rPr>
            </w:pPr>
          </w:p>
        </w:tc>
        <w:tc>
          <w:tcPr>
            <w:tcW w:w="0" w:type="auto"/>
            <w:shd w:val="clear" w:color="auto" w:fill="auto"/>
            <w:vAlign w:val="bottom"/>
          </w:tcPr>
          <w:p w14:paraId="392C07B8" w14:textId="77777777" w:rsidR="00980E5F" w:rsidRDefault="00980E5F">
            <w:pPr>
              <w:rPr>
                <w:rFonts w:ascii="宋体"/>
                <w:vanish/>
              </w:rPr>
            </w:pPr>
          </w:p>
        </w:tc>
      </w:tr>
      <w:tr w:rsidR="00980E5F" w14:paraId="392C07D3" w14:textId="77777777">
        <w:tc>
          <w:tcPr>
            <w:tcW w:w="0" w:type="auto"/>
            <w:gridSpan w:val="3"/>
            <w:shd w:val="clear" w:color="auto" w:fill="CCEEFF"/>
            <w:tcMar>
              <w:top w:w="40" w:type="dxa"/>
              <w:left w:w="20" w:type="dxa"/>
              <w:bottom w:w="40" w:type="dxa"/>
              <w:right w:w="20" w:type="dxa"/>
            </w:tcMar>
            <w:vAlign w:val="bottom"/>
          </w:tcPr>
          <w:p w14:paraId="392C07BA" w14:textId="77777777" w:rsidR="00980E5F" w:rsidRDefault="00483613">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392C07BB" w14:textId="77777777" w:rsidR="00980E5F" w:rsidRDefault="00980E5F">
            <w:pPr>
              <w:rPr>
                <w:rFonts w:ascii="宋体"/>
                <w:vanish/>
              </w:rPr>
            </w:pPr>
          </w:p>
        </w:tc>
        <w:tc>
          <w:tcPr>
            <w:tcW w:w="0" w:type="auto"/>
            <w:shd w:val="clear" w:color="auto" w:fill="auto"/>
            <w:vAlign w:val="bottom"/>
          </w:tcPr>
          <w:p w14:paraId="392C07BC" w14:textId="77777777" w:rsidR="00980E5F" w:rsidRDefault="00980E5F">
            <w:pPr>
              <w:rPr>
                <w:rFonts w:ascii="宋体"/>
                <w:vanish/>
              </w:rPr>
            </w:pPr>
          </w:p>
        </w:tc>
        <w:tc>
          <w:tcPr>
            <w:tcW w:w="0" w:type="auto"/>
            <w:shd w:val="clear" w:color="auto" w:fill="auto"/>
            <w:vAlign w:val="bottom"/>
          </w:tcPr>
          <w:p w14:paraId="392C07BD" w14:textId="77777777" w:rsidR="00980E5F" w:rsidRDefault="00980E5F">
            <w:pPr>
              <w:rPr>
                <w:rFonts w:ascii="宋体"/>
                <w:vanish/>
              </w:rPr>
            </w:pPr>
          </w:p>
        </w:tc>
        <w:tc>
          <w:tcPr>
            <w:tcW w:w="0" w:type="auto"/>
            <w:shd w:val="clear" w:color="auto" w:fill="auto"/>
            <w:vAlign w:val="bottom"/>
          </w:tcPr>
          <w:p w14:paraId="392C07BE" w14:textId="77777777" w:rsidR="00980E5F" w:rsidRDefault="00980E5F">
            <w:pPr>
              <w:rPr>
                <w:rFonts w:ascii="宋体"/>
                <w:vanish/>
              </w:rPr>
            </w:pPr>
          </w:p>
        </w:tc>
        <w:tc>
          <w:tcPr>
            <w:tcW w:w="0" w:type="auto"/>
            <w:shd w:val="clear" w:color="auto" w:fill="auto"/>
            <w:vAlign w:val="bottom"/>
          </w:tcPr>
          <w:p w14:paraId="392C07BF" w14:textId="77777777" w:rsidR="00980E5F" w:rsidRDefault="00980E5F">
            <w:pPr>
              <w:rPr>
                <w:rFonts w:ascii="宋体"/>
                <w:vanish/>
              </w:rPr>
            </w:pPr>
          </w:p>
        </w:tc>
        <w:tc>
          <w:tcPr>
            <w:tcW w:w="0" w:type="auto"/>
            <w:shd w:val="clear" w:color="auto" w:fill="auto"/>
            <w:vAlign w:val="bottom"/>
          </w:tcPr>
          <w:p w14:paraId="392C07C0"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C1" w14:textId="77777777" w:rsidR="00980E5F" w:rsidRDefault="00483613">
            <w:pPr>
              <w:jc w:val="right"/>
              <w:textAlignment w:val="bottom"/>
            </w:pPr>
            <w:r>
              <w:rPr>
                <w:rFonts w:ascii="Arial" w:eastAsia="宋体" w:hAnsi="Arial" w:cs="Arial"/>
                <w:b/>
                <w:bCs/>
                <w:color w:val="000000"/>
                <w:sz w:val="14"/>
                <w:szCs w:val="14"/>
              </w:rPr>
              <w:t>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7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7C4" w14:textId="77777777" w:rsidR="00980E5F" w:rsidRDefault="00483613">
            <w:pPr>
              <w:jc w:val="right"/>
              <w:textAlignment w:val="bottom"/>
            </w:pPr>
            <w:r>
              <w:rPr>
                <w:rFonts w:ascii="Arial" w:eastAsia="宋体" w:hAnsi="Arial" w:cs="Arial"/>
                <w:color w:val="000000"/>
                <w:sz w:val="14"/>
                <w:szCs w:val="14"/>
              </w:rPr>
              <w:t>468 </w:t>
            </w:r>
          </w:p>
        </w:tc>
        <w:tc>
          <w:tcPr>
            <w:tcW w:w="0" w:type="auto"/>
            <w:shd w:val="clear" w:color="auto" w:fill="CCEEFF"/>
            <w:tcMar>
              <w:top w:w="40" w:type="dxa"/>
              <w:left w:w="0" w:type="dxa"/>
              <w:bottom w:w="40" w:type="dxa"/>
              <w:right w:w="20" w:type="dxa"/>
            </w:tcMar>
            <w:vAlign w:val="bottom"/>
          </w:tcPr>
          <w:p w14:paraId="392C07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C6" w14:textId="77777777" w:rsidR="00980E5F" w:rsidRDefault="00980E5F">
            <w:pPr>
              <w:rPr>
                <w:rFonts w:ascii="宋体"/>
              </w:rPr>
            </w:pPr>
          </w:p>
        </w:tc>
        <w:tc>
          <w:tcPr>
            <w:tcW w:w="0" w:type="auto"/>
            <w:shd w:val="clear" w:color="auto" w:fill="auto"/>
            <w:vAlign w:val="bottom"/>
          </w:tcPr>
          <w:p w14:paraId="392C07C7" w14:textId="77777777" w:rsidR="00980E5F" w:rsidRDefault="00980E5F">
            <w:pPr>
              <w:rPr>
                <w:rFonts w:ascii="宋体"/>
                <w:vanish/>
              </w:rPr>
            </w:pPr>
          </w:p>
        </w:tc>
        <w:tc>
          <w:tcPr>
            <w:tcW w:w="0" w:type="auto"/>
            <w:shd w:val="clear" w:color="auto" w:fill="auto"/>
            <w:vAlign w:val="bottom"/>
          </w:tcPr>
          <w:p w14:paraId="392C07C8"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C9" w14:textId="77777777" w:rsidR="00980E5F" w:rsidRDefault="00483613">
            <w:pPr>
              <w:jc w:val="right"/>
              <w:textAlignment w:val="bottom"/>
            </w:pPr>
            <w:r>
              <w:rPr>
                <w:rFonts w:ascii="Arial" w:eastAsia="宋体" w:hAnsi="Arial" w:cs="Arial"/>
                <w:color w:val="000000"/>
                <w:sz w:val="14"/>
                <w:szCs w:val="14"/>
              </w:rPr>
              <w:t>26 </w:t>
            </w:r>
          </w:p>
        </w:tc>
        <w:tc>
          <w:tcPr>
            <w:tcW w:w="0" w:type="auto"/>
            <w:shd w:val="clear" w:color="auto" w:fill="CCEEFF"/>
            <w:tcMar>
              <w:top w:w="40" w:type="dxa"/>
              <w:left w:w="0" w:type="dxa"/>
              <w:bottom w:w="40" w:type="dxa"/>
              <w:right w:w="20" w:type="dxa"/>
            </w:tcMar>
            <w:vAlign w:val="bottom"/>
          </w:tcPr>
          <w:p w14:paraId="392C07CA" w14:textId="77777777" w:rsidR="00980E5F" w:rsidRDefault="00980E5F">
            <w:pPr>
              <w:jc w:val="right"/>
              <w:rPr>
                <w:rFonts w:ascii="宋体"/>
              </w:rPr>
            </w:pPr>
          </w:p>
        </w:tc>
        <w:tc>
          <w:tcPr>
            <w:tcW w:w="0" w:type="auto"/>
            <w:gridSpan w:val="3"/>
            <w:shd w:val="clear" w:color="auto" w:fill="auto"/>
            <w:vAlign w:val="bottom"/>
          </w:tcPr>
          <w:p w14:paraId="392C07CB" w14:textId="77777777" w:rsidR="00980E5F" w:rsidRDefault="00980E5F">
            <w:pPr>
              <w:rPr>
                <w:rFonts w:ascii="宋体"/>
                <w:vanish/>
              </w:rPr>
            </w:pPr>
          </w:p>
        </w:tc>
        <w:tc>
          <w:tcPr>
            <w:tcW w:w="0" w:type="auto"/>
            <w:gridSpan w:val="3"/>
            <w:shd w:val="clear" w:color="auto" w:fill="auto"/>
            <w:vAlign w:val="bottom"/>
          </w:tcPr>
          <w:p w14:paraId="392C07CC" w14:textId="77777777" w:rsidR="00980E5F" w:rsidRDefault="00980E5F">
            <w:pPr>
              <w:rPr>
                <w:rFonts w:ascii="宋体"/>
                <w:vanish/>
              </w:rPr>
            </w:pPr>
          </w:p>
        </w:tc>
        <w:tc>
          <w:tcPr>
            <w:tcW w:w="0" w:type="auto"/>
            <w:gridSpan w:val="3"/>
            <w:shd w:val="clear" w:color="auto" w:fill="auto"/>
            <w:vAlign w:val="bottom"/>
          </w:tcPr>
          <w:p w14:paraId="392C07CD" w14:textId="77777777" w:rsidR="00980E5F" w:rsidRDefault="00980E5F">
            <w:pPr>
              <w:rPr>
                <w:rFonts w:ascii="宋体"/>
                <w:vanish/>
              </w:rPr>
            </w:pPr>
          </w:p>
        </w:tc>
        <w:tc>
          <w:tcPr>
            <w:tcW w:w="0" w:type="auto"/>
            <w:gridSpan w:val="3"/>
            <w:shd w:val="clear" w:color="auto" w:fill="auto"/>
            <w:vAlign w:val="bottom"/>
          </w:tcPr>
          <w:p w14:paraId="392C07CE" w14:textId="77777777" w:rsidR="00980E5F" w:rsidRDefault="00980E5F">
            <w:pPr>
              <w:rPr>
                <w:rFonts w:ascii="宋体"/>
                <w:vanish/>
              </w:rPr>
            </w:pPr>
          </w:p>
        </w:tc>
        <w:tc>
          <w:tcPr>
            <w:tcW w:w="0" w:type="auto"/>
            <w:gridSpan w:val="3"/>
            <w:shd w:val="clear" w:color="auto" w:fill="auto"/>
            <w:vAlign w:val="bottom"/>
          </w:tcPr>
          <w:p w14:paraId="392C07CF" w14:textId="77777777" w:rsidR="00980E5F" w:rsidRDefault="00980E5F">
            <w:pPr>
              <w:rPr>
                <w:rFonts w:ascii="宋体"/>
                <w:vanish/>
              </w:rPr>
            </w:pPr>
          </w:p>
        </w:tc>
        <w:tc>
          <w:tcPr>
            <w:tcW w:w="0" w:type="auto"/>
            <w:gridSpan w:val="3"/>
            <w:shd w:val="clear" w:color="auto" w:fill="auto"/>
            <w:vAlign w:val="bottom"/>
          </w:tcPr>
          <w:p w14:paraId="392C07D0" w14:textId="77777777" w:rsidR="00980E5F" w:rsidRDefault="00980E5F">
            <w:pPr>
              <w:rPr>
                <w:rFonts w:ascii="宋体"/>
                <w:vanish/>
              </w:rPr>
            </w:pPr>
          </w:p>
        </w:tc>
        <w:tc>
          <w:tcPr>
            <w:tcW w:w="0" w:type="auto"/>
            <w:gridSpan w:val="2"/>
            <w:shd w:val="clear" w:color="auto" w:fill="auto"/>
            <w:vAlign w:val="bottom"/>
          </w:tcPr>
          <w:p w14:paraId="392C07D1" w14:textId="77777777" w:rsidR="00980E5F" w:rsidRDefault="00980E5F">
            <w:pPr>
              <w:rPr>
                <w:rFonts w:ascii="宋体"/>
                <w:vanish/>
              </w:rPr>
            </w:pPr>
          </w:p>
        </w:tc>
        <w:tc>
          <w:tcPr>
            <w:tcW w:w="0" w:type="auto"/>
            <w:shd w:val="clear" w:color="auto" w:fill="auto"/>
            <w:vAlign w:val="bottom"/>
          </w:tcPr>
          <w:p w14:paraId="392C07D2" w14:textId="77777777" w:rsidR="00980E5F" w:rsidRDefault="00980E5F">
            <w:pPr>
              <w:rPr>
                <w:rFonts w:ascii="宋体"/>
                <w:vanish/>
              </w:rPr>
            </w:pPr>
          </w:p>
        </w:tc>
      </w:tr>
      <w:tr w:rsidR="00980E5F" w14:paraId="392C07EC" w14:textId="77777777">
        <w:tc>
          <w:tcPr>
            <w:tcW w:w="0" w:type="auto"/>
            <w:gridSpan w:val="3"/>
            <w:shd w:val="clear" w:color="auto" w:fill="FFFFFF"/>
            <w:tcMar>
              <w:top w:w="40" w:type="dxa"/>
              <w:left w:w="20" w:type="dxa"/>
              <w:bottom w:w="40" w:type="dxa"/>
              <w:right w:w="20" w:type="dxa"/>
            </w:tcMar>
            <w:vAlign w:val="bottom"/>
          </w:tcPr>
          <w:p w14:paraId="392C07D4" w14:textId="77777777" w:rsidR="00980E5F" w:rsidRDefault="00483613">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392C07D5" w14:textId="77777777" w:rsidR="00980E5F" w:rsidRDefault="00980E5F">
            <w:pPr>
              <w:rPr>
                <w:rFonts w:ascii="宋体"/>
                <w:vanish/>
              </w:rPr>
            </w:pPr>
          </w:p>
        </w:tc>
        <w:tc>
          <w:tcPr>
            <w:tcW w:w="0" w:type="auto"/>
            <w:shd w:val="clear" w:color="auto" w:fill="auto"/>
            <w:vAlign w:val="bottom"/>
          </w:tcPr>
          <w:p w14:paraId="392C07D6" w14:textId="77777777" w:rsidR="00980E5F" w:rsidRDefault="00980E5F">
            <w:pPr>
              <w:rPr>
                <w:rFonts w:ascii="宋体"/>
                <w:vanish/>
              </w:rPr>
            </w:pPr>
          </w:p>
        </w:tc>
        <w:tc>
          <w:tcPr>
            <w:tcW w:w="0" w:type="auto"/>
            <w:shd w:val="clear" w:color="auto" w:fill="auto"/>
            <w:vAlign w:val="bottom"/>
          </w:tcPr>
          <w:p w14:paraId="392C07D7" w14:textId="77777777" w:rsidR="00980E5F" w:rsidRDefault="00980E5F">
            <w:pPr>
              <w:rPr>
                <w:rFonts w:ascii="宋体"/>
                <w:vanish/>
              </w:rPr>
            </w:pPr>
          </w:p>
        </w:tc>
        <w:tc>
          <w:tcPr>
            <w:tcW w:w="0" w:type="auto"/>
            <w:shd w:val="clear" w:color="auto" w:fill="auto"/>
            <w:vAlign w:val="bottom"/>
          </w:tcPr>
          <w:p w14:paraId="392C07D8" w14:textId="77777777" w:rsidR="00980E5F" w:rsidRDefault="00980E5F">
            <w:pPr>
              <w:rPr>
                <w:rFonts w:ascii="宋体"/>
                <w:vanish/>
              </w:rPr>
            </w:pPr>
          </w:p>
        </w:tc>
        <w:tc>
          <w:tcPr>
            <w:tcW w:w="0" w:type="auto"/>
            <w:shd w:val="clear" w:color="auto" w:fill="auto"/>
            <w:vAlign w:val="bottom"/>
          </w:tcPr>
          <w:p w14:paraId="392C07D9" w14:textId="77777777" w:rsidR="00980E5F" w:rsidRDefault="00980E5F">
            <w:pPr>
              <w:rPr>
                <w:rFonts w:ascii="宋体"/>
                <w:vanish/>
              </w:rPr>
            </w:pPr>
          </w:p>
        </w:tc>
        <w:tc>
          <w:tcPr>
            <w:tcW w:w="0" w:type="auto"/>
            <w:shd w:val="clear" w:color="auto" w:fill="auto"/>
            <w:vAlign w:val="bottom"/>
          </w:tcPr>
          <w:p w14:paraId="392C07DA"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7DB"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392C07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7D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7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7E0" w14:textId="77777777" w:rsidR="00980E5F" w:rsidRDefault="00980E5F">
            <w:pPr>
              <w:rPr>
                <w:rFonts w:ascii="宋体"/>
              </w:rPr>
            </w:pPr>
          </w:p>
        </w:tc>
        <w:tc>
          <w:tcPr>
            <w:tcW w:w="0" w:type="auto"/>
            <w:shd w:val="clear" w:color="auto" w:fill="auto"/>
            <w:vAlign w:val="bottom"/>
          </w:tcPr>
          <w:p w14:paraId="392C07E1" w14:textId="77777777" w:rsidR="00980E5F" w:rsidRDefault="00980E5F">
            <w:pPr>
              <w:rPr>
                <w:rFonts w:ascii="宋体"/>
                <w:vanish/>
              </w:rPr>
            </w:pPr>
          </w:p>
        </w:tc>
        <w:tc>
          <w:tcPr>
            <w:tcW w:w="0" w:type="auto"/>
            <w:shd w:val="clear" w:color="auto" w:fill="auto"/>
            <w:vAlign w:val="bottom"/>
          </w:tcPr>
          <w:p w14:paraId="392C07E2"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7E3"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7E4" w14:textId="77777777" w:rsidR="00980E5F" w:rsidRDefault="00980E5F">
            <w:pPr>
              <w:rPr>
                <w:rFonts w:ascii="宋体"/>
                <w:vanish/>
              </w:rPr>
            </w:pPr>
          </w:p>
        </w:tc>
        <w:tc>
          <w:tcPr>
            <w:tcW w:w="0" w:type="auto"/>
            <w:gridSpan w:val="3"/>
            <w:shd w:val="clear" w:color="auto" w:fill="auto"/>
            <w:vAlign w:val="bottom"/>
          </w:tcPr>
          <w:p w14:paraId="392C07E5" w14:textId="77777777" w:rsidR="00980E5F" w:rsidRDefault="00980E5F">
            <w:pPr>
              <w:rPr>
                <w:rFonts w:ascii="宋体"/>
                <w:vanish/>
              </w:rPr>
            </w:pPr>
          </w:p>
        </w:tc>
        <w:tc>
          <w:tcPr>
            <w:tcW w:w="0" w:type="auto"/>
            <w:gridSpan w:val="3"/>
            <w:shd w:val="clear" w:color="auto" w:fill="auto"/>
            <w:vAlign w:val="bottom"/>
          </w:tcPr>
          <w:p w14:paraId="392C07E6" w14:textId="77777777" w:rsidR="00980E5F" w:rsidRDefault="00980E5F">
            <w:pPr>
              <w:rPr>
                <w:rFonts w:ascii="宋体"/>
                <w:vanish/>
              </w:rPr>
            </w:pPr>
          </w:p>
        </w:tc>
        <w:tc>
          <w:tcPr>
            <w:tcW w:w="0" w:type="auto"/>
            <w:gridSpan w:val="3"/>
            <w:shd w:val="clear" w:color="auto" w:fill="auto"/>
            <w:vAlign w:val="bottom"/>
          </w:tcPr>
          <w:p w14:paraId="392C07E7" w14:textId="77777777" w:rsidR="00980E5F" w:rsidRDefault="00980E5F">
            <w:pPr>
              <w:rPr>
                <w:rFonts w:ascii="宋体"/>
                <w:vanish/>
              </w:rPr>
            </w:pPr>
          </w:p>
        </w:tc>
        <w:tc>
          <w:tcPr>
            <w:tcW w:w="0" w:type="auto"/>
            <w:gridSpan w:val="3"/>
            <w:shd w:val="clear" w:color="auto" w:fill="auto"/>
            <w:vAlign w:val="bottom"/>
          </w:tcPr>
          <w:p w14:paraId="392C07E8" w14:textId="77777777" w:rsidR="00980E5F" w:rsidRDefault="00980E5F">
            <w:pPr>
              <w:rPr>
                <w:rFonts w:ascii="宋体"/>
                <w:vanish/>
              </w:rPr>
            </w:pPr>
          </w:p>
        </w:tc>
        <w:tc>
          <w:tcPr>
            <w:tcW w:w="0" w:type="auto"/>
            <w:gridSpan w:val="3"/>
            <w:shd w:val="clear" w:color="auto" w:fill="auto"/>
            <w:vAlign w:val="bottom"/>
          </w:tcPr>
          <w:p w14:paraId="392C07E9" w14:textId="77777777" w:rsidR="00980E5F" w:rsidRDefault="00980E5F">
            <w:pPr>
              <w:rPr>
                <w:rFonts w:ascii="宋体"/>
                <w:vanish/>
              </w:rPr>
            </w:pPr>
          </w:p>
        </w:tc>
        <w:tc>
          <w:tcPr>
            <w:tcW w:w="0" w:type="auto"/>
            <w:gridSpan w:val="2"/>
            <w:shd w:val="clear" w:color="auto" w:fill="auto"/>
            <w:vAlign w:val="bottom"/>
          </w:tcPr>
          <w:p w14:paraId="392C07EA" w14:textId="77777777" w:rsidR="00980E5F" w:rsidRDefault="00980E5F">
            <w:pPr>
              <w:rPr>
                <w:rFonts w:ascii="宋体"/>
                <w:vanish/>
              </w:rPr>
            </w:pPr>
          </w:p>
        </w:tc>
        <w:tc>
          <w:tcPr>
            <w:tcW w:w="0" w:type="auto"/>
            <w:shd w:val="clear" w:color="auto" w:fill="auto"/>
            <w:vAlign w:val="bottom"/>
          </w:tcPr>
          <w:p w14:paraId="392C07EB" w14:textId="77777777" w:rsidR="00980E5F" w:rsidRDefault="00980E5F">
            <w:pPr>
              <w:rPr>
                <w:rFonts w:ascii="宋体"/>
                <w:vanish/>
              </w:rPr>
            </w:pPr>
          </w:p>
        </w:tc>
      </w:tr>
      <w:tr w:rsidR="00980E5F" w14:paraId="392C0806" w14:textId="77777777">
        <w:tc>
          <w:tcPr>
            <w:tcW w:w="0" w:type="auto"/>
            <w:gridSpan w:val="3"/>
            <w:shd w:val="clear" w:color="auto" w:fill="CCEEFF"/>
            <w:tcMar>
              <w:top w:w="40" w:type="dxa"/>
              <w:left w:w="20" w:type="dxa"/>
              <w:bottom w:w="40" w:type="dxa"/>
              <w:right w:w="20" w:type="dxa"/>
            </w:tcMar>
            <w:vAlign w:val="bottom"/>
          </w:tcPr>
          <w:p w14:paraId="392C07ED" w14:textId="77777777" w:rsidR="00980E5F" w:rsidRDefault="00483613">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392C07EE" w14:textId="77777777" w:rsidR="00980E5F" w:rsidRDefault="00980E5F">
            <w:pPr>
              <w:rPr>
                <w:rFonts w:ascii="宋体"/>
                <w:vanish/>
              </w:rPr>
            </w:pPr>
          </w:p>
        </w:tc>
        <w:tc>
          <w:tcPr>
            <w:tcW w:w="0" w:type="auto"/>
            <w:shd w:val="clear" w:color="auto" w:fill="auto"/>
            <w:vAlign w:val="bottom"/>
          </w:tcPr>
          <w:p w14:paraId="392C07EF" w14:textId="77777777" w:rsidR="00980E5F" w:rsidRDefault="00980E5F">
            <w:pPr>
              <w:rPr>
                <w:rFonts w:ascii="宋体"/>
                <w:vanish/>
              </w:rPr>
            </w:pPr>
          </w:p>
        </w:tc>
        <w:tc>
          <w:tcPr>
            <w:tcW w:w="0" w:type="auto"/>
            <w:shd w:val="clear" w:color="auto" w:fill="auto"/>
            <w:vAlign w:val="bottom"/>
          </w:tcPr>
          <w:p w14:paraId="392C07F0" w14:textId="77777777" w:rsidR="00980E5F" w:rsidRDefault="00980E5F">
            <w:pPr>
              <w:rPr>
                <w:rFonts w:ascii="宋体"/>
                <w:vanish/>
              </w:rPr>
            </w:pPr>
          </w:p>
        </w:tc>
        <w:tc>
          <w:tcPr>
            <w:tcW w:w="0" w:type="auto"/>
            <w:shd w:val="clear" w:color="auto" w:fill="auto"/>
            <w:vAlign w:val="bottom"/>
          </w:tcPr>
          <w:p w14:paraId="392C07F1" w14:textId="77777777" w:rsidR="00980E5F" w:rsidRDefault="00980E5F">
            <w:pPr>
              <w:rPr>
                <w:rFonts w:ascii="宋体"/>
                <w:vanish/>
              </w:rPr>
            </w:pPr>
          </w:p>
        </w:tc>
        <w:tc>
          <w:tcPr>
            <w:tcW w:w="0" w:type="auto"/>
            <w:shd w:val="clear" w:color="auto" w:fill="auto"/>
            <w:vAlign w:val="bottom"/>
          </w:tcPr>
          <w:p w14:paraId="392C07F2" w14:textId="77777777" w:rsidR="00980E5F" w:rsidRDefault="00980E5F">
            <w:pPr>
              <w:rPr>
                <w:rFonts w:ascii="宋体"/>
                <w:vanish/>
              </w:rPr>
            </w:pPr>
          </w:p>
        </w:tc>
        <w:tc>
          <w:tcPr>
            <w:tcW w:w="0" w:type="auto"/>
            <w:shd w:val="clear" w:color="auto" w:fill="auto"/>
            <w:vAlign w:val="bottom"/>
          </w:tcPr>
          <w:p w14:paraId="392C07F3"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7F4" w14:textId="77777777" w:rsidR="00980E5F" w:rsidRDefault="00483613">
            <w:pPr>
              <w:jc w:val="right"/>
              <w:textAlignment w:val="bottom"/>
            </w:pPr>
            <w:r>
              <w:rPr>
                <w:rFonts w:ascii="Arial" w:eastAsia="宋体" w:hAnsi="Arial" w:cs="Arial"/>
                <w:b/>
                <w:bCs/>
                <w:color w:val="000000"/>
                <w:sz w:val="14"/>
                <w:szCs w:val="14"/>
              </w:rPr>
              <w:t>2,475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7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F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7F7" w14:textId="77777777" w:rsidR="00980E5F" w:rsidRDefault="00483613">
            <w:pPr>
              <w:jc w:val="right"/>
              <w:textAlignment w:val="bottom"/>
            </w:pPr>
            <w:r>
              <w:rPr>
                <w:rFonts w:ascii="Arial" w:eastAsia="宋体" w:hAnsi="Arial" w:cs="Arial"/>
                <w:color w:val="000000"/>
                <w:sz w:val="14"/>
                <w:szCs w:val="14"/>
              </w:rPr>
              <w:t>2,452 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7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7F9" w14:textId="77777777" w:rsidR="00980E5F" w:rsidRDefault="00980E5F">
            <w:pPr>
              <w:rPr>
                <w:rFonts w:ascii="宋体"/>
              </w:rPr>
            </w:pPr>
          </w:p>
        </w:tc>
        <w:tc>
          <w:tcPr>
            <w:tcW w:w="0" w:type="auto"/>
            <w:shd w:val="clear" w:color="auto" w:fill="auto"/>
            <w:vAlign w:val="bottom"/>
          </w:tcPr>
          <w:p w14:paraId="392C07FA" w14:textId="77777777" w:rsidR="00980E5F" w:rsidRDefault="00980E5F">
            <w:pPr>
              <w:rPr>
                <w:rFonts w:ascii="宋体"/>
                <w:vanish/>
              </w:rPr>
            </w:pPr>
          </w:p>
        </w:tc>
        <w:tc>
          <w:tcPr>
            <w:tcW w:w="0" w:type="auto"/>
            <w:shd w:val="clear" w:color="auto" w:fill="auto"/>
            <w:vAlign w:val="bottom"/>
          </w:tcPr>
          <w:p w14:paraId="392C07F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7FC"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07FD" w14:textId="77777777" w:rsidR="00980E5F" w:rsidRDefault="00980E5F">
            <w:pPr>
              <w:jc w:val="right"/>
              <w:rPr>
                <w:rFonts w:ascii="宋体"/>
              </w:rPr>
            </w:pPr>
          </w:p>
        </w:tc>
        <w:tc>
          <w:tcPr>
            <w:tcW w:w="0" w:type="auto"/>
            <w:gridSpan w:val="3"/>
            <w:shd w:val="clear" w:color="auto" w:fill="auto"/>
            <w:vAlign w:val="bottom"/>
          </w:tcPr>
          <w:p w14:paraId="392C07FE" w14:textId="77777777" w:rsidR="00980E5F" w:rsidRDefault="00980E5F">
            <w:pPr>
              <w:rPr>
                <w:rFonts w:ascii="宋体"/>
                <w:vanish/>
              </w:rPr>
            </w:pPr>
          </w:p>
        </w:tc>
        <w:tc>
          <w:tcPr>
            <w:tcW w:w="0" w:type="auto"/>
            <w:gridSpan w:val="3"/>
            <w:shd w:val="clear" w:color="auto" w:fill="auto"/>
            <w:vAlign w:val="bottom"/>
          </w:tcPr>
          <w:p w14:paraId="392C07FF" w14:textId="77777777" w:rsidR="00980E5F" w:rsidRDefault="00980E5F">
            <w:pPr>
              <w:rPr>
                <w:rFonts w:ascii="宋体"/>
                <w:vanish/>
              </w:rPr>
            </w:pPr>
          </w:p>
        </w:tc>
        <w:tc>
          <w:tcPr>
            <w:tcW w:w="0" w:type="auto"/>
            <w:gridSpan w:val="3"/>
            <w:shd w:val="clear" w:color="auto" w:fill="auto"/>
            <w:vAlign w:val="bottom"/>
          </w:tcPr>
          <w:p w14:paraId="392C0800" w14:textId="77777777" w:rsidR="00980E5F" w:rsidRDefault="00980E5F">
            <w:pPr>
              <w:rPr>
                <w:rFonts w:ascii="宋体"/>
                <w:vanish/>
              </w:rPr>
            </w:pPr>
          </w:p>
        </w:tc>
        <w:tc>
          <w:tcPr>
            <w:tcW w:w="0" w:type="auto"/>
            <w:gridSpan w:val="3"/>
            <w:shd w:val="clear" w:color="auto" w:fill="auto"/>
            <w:vAlign w:val="bottom"/>
          </w:tcPr>
          <w:p w14:paraId="392C0801" w14:textId="77777777" w:rsidR="00980E5F" w:rsidRDefault="00980E5F">
            <w:pPr>
              <w:rPr>
                <w:rFonts w:ascii="宋体"/>
                <w:vanish/>
              </w:rPr>
            </w:pPr>
          </w:p>
        </w:tc>
        <w:tc>
          <w:tcPr>
            <w:tcW w:w="0" w:type="auto"/>
            <w:gridSpan w:val="3"/>
            <w:shd w:val="clear" w:color="auto" w:fill="auto"/>
            <w:vAlign w:val="bottom"/>
          </w:tcPr>
          <w:p w14:paraId="392C0802" w14:textId="77777777" w:rsidR="00980E5F" w:rsidRDefault="00980E5F">
            <w:pPr>
              <w:rPr>
                <w:rFonts w:ascii="宋体"/>
                <w:vanish/>
              </w:rPr>
            </w:pPr>
          </w:p>
        </w:tc>
        <w:tc>
          <w:tcPr>
            <w:tcW w:w="0" w:type="auto"/>
            <w:gridSpan w:val="3"/>
            <w:shd w:val="clear" w:color="auto" w:fill="auto"/>
            <w:vAlign w:val="bottom"/>
          </w:tcPr>
          <w:p w14:paraId="392C0803" w14:textId="77777777" w:rsidR="00980E5F" w:rsidRDefault="00980E5F">
            <w:pPr>
              <w:rPr>
                <w:rFonts w:ascii="宋体"/>
                <w:vanish/>
              </w:rPr>
            </w:pPr>
          </w:p>
        </w:tc>
        <w:tc>
          <w:tcPr>
            <w:tcW w:w="0" w:type="auto"/>
            <w:gridSpan w:val="2"/>
            <w:shd w:val="clear" w:color="auto" w:fill="auto"/>
            <w:vAlign w:val="bottom"/>
          </w:tcPr>
          <w:p w14:paraId="392C0804" w14:textId="77777777" w:rsidR="00980E5F" w:rsidRDefault="00980E5F">
            <w:pPr>
              <w:rPr>
                <w:rFonts w:ascii="宋体"/>
                <w:vanish/>
              </w:rPr>
            </w:pPr>
          </w:p>
        </w:tc>
        <w:tc>
          <w:tcPr>
            <w:tcW w:w="0" w:type="auto"/>
            <w:shd w:val="clear" w:color="auto" w:fill="auto"/>
            <w:vAlign w:val="bottom"/>
          </w:tcPr>
          <w:p w14:paraId="392C0805" w14:textId="77777777" w:rsidR="00980E5F" w:rsidRDefault="00980E5F">
            <w:pPr>
              <w:rPr>
                <w:rFonts w:ascii="宋体"/>
                <w:vanish/>
              </w:rPr>
            </w:pPr>
          </w:p>
        </w:tc>
      </w:tr>
      <w:tr w:rsidR="00980E5F" w14:paraId="392C081F" w14:textId="77777777">
        <w:tc>
          <w:tcPr>
            <w:tcW w:w="0" w:type="auto"/>
            <w:gridSpan w:val="3"/>
            <w:shd w:val="clear" w:color="auto" w:fill="FFFFFF"/>
            <w:tcMar>
              <w:top w:w="40" w:type="dxa"/>
              <w:left w:w="20" w:type="dxa"/>
              <w:bottom w:w="40" w:type="dxa"/>
              <w:right w:w="20" w:type="dxa"/>
            </w:tcMar>
            <w:vAlign w:val="bottom"/>
          </w:tcPr>
          <w:p w14:paraId="392C0807" w14:textId="77777777" w:rsidR="00980E5F" w:rsidRDefault="00483613">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392C0808" w14:textId="77777777" w:rsidR="00980E5F" w:rsidRDefault="00980E5F">
            <w:pPr>
              <w:rPr>
                <w:rFonts w:ascii="宋体"/>
                <w:vanish/>
              </w:rPr>
            </w:pPr>
          </w:p>
        </w:tc>
        <w:tc>
          <w:tcPr>
            <w:tcW w:w="0" w:type="auto"/>
            <w:shd w:val="clear" w:color="auto" w:fill="auto"/>
            <w:vAlign w:val="bottom"/>
          </w:tcPr>
          <w:p w14:paraId="392C0809" w14:textId="77777777" w:rsidR="00980E5F" w:rsidRDefault="00980E5F">
            <w:pPr>
              <w:rPr>
                <w:rFonts w:ascii="宋体"/>
                <w:vanish/>
              </w:rPr>
            </w:pPr>
          </w:p>
        </w:tc>
        <w:tc>
          <w:tcPr>
            <w:tcW w:w="0" w:type="auto"/>
            <w:shd w:val="clear" w:color="auto" w:fill="auto"/>
            <w:vAlign w:val="bottom"/>
          </w:tcPr>
          <w:p w14:paraId="392C080A" w14:textId="77777777" w:rsidR="00980E5F" w:rsidRDefault="00980E5F">
            <w:pPr>
              <w:rPr>
                <w:rFonts w:ascii="宋体"/>
                <w:vanish/>
              </w:rPr>
            </w:pPr>
          </w:p>
        </w:tc>
        <w:tc>
          <w:tcPr>
            <w:tcW w:w="0" w:type="auto"/>
            <w:shd w:val="clear" w:color="auto" w:fill="auto"/>
            <w:vAlign w:val="bottom"/>
          </w:tcPr>
          <w:p w14:paraId="392C080B" w14:textId="77777777" w:rsidR="00980E5F" w:rsidRDefault="00980E5F">
            <w:pPr>
              <w:rPr>
                <w:rFonts w:ascii="宋体"/>
                <w:vanish/>
              </w:rPr>
            </w:pPr>
          </w:p>
        </w:tc>
        <w:tc>
          <w:tcPr>
            <w:tcW w:w="0" w:type="auto"/>
            <w:shd w:val="clear" w:color="auto" w:fill="auto"/>
            <w:vAlign w:val="bottom"/>
          </w:tcPr>
          <w:p w14:paraId="392C080C" w14:textId="77777777" w:rsidR="00980E5F" w:rsidRDefault="00980E5F">
            <w:pPr>
              <w:rPr>
                <w:rFonts w:ascii="宋体"/>
                <w:vanish/>
              </w:rPr>
            </w:pPr>
          </w:p>
        </w:tc>
        <w:tc>
          <w:tcPr>
            <w:tcW w:w="0" w:type="auto"/>
            <w:shd w:val="clear" w:color="auto" w:fill="auto"/>
            <w:vAlign w:val="bottom"/>
          </w:tcPr>
          <w:p w14:paraId="392C080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80E"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8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811" w14:textId="77777777" w:rsidR="00980E5F" w:rsidRDefault="00483613">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392C08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13" w14:textId="77777777" w:rsidR="00980E5F" w:rsidRDefault="00980E5F">
            <w:pPr>
              <w:rPr>
                <w:rFonts w:ascii="宋体"/>
              </w:rPr>
            </w:pPr>
          </w:p>
        </w:tc>
        <w:tc>
          <w:tcPr>
            <w:tcW w:w="0" w:type="auto"/>
            <w:shd w:val="clear" w:color="auto" w:fill="auto"/>
            <w:vAlign w:val="bottom"/>
          </w:tcPr>
          <w:p w14:paraId="392C0814" w14:textId="77777777" w:rsidR="00980E5F" w:rsidRDefault="00980E5F">
            <w:pPr>
              <w:rPr>
                <w:rFonts w:ascii="宋体"/>
                <w:vanish/>
              </w:rPr>
            </w:pPr>
          </w:p>
        </w:tc>
        <w:tc>
          <w:tcPr>
            <w:tcW w:w="0" w:type="auto"/>
            <w:shd w:val="clear" w:color="auto" w:fill="auto"/>
            <w:vAlign w:val="bottom"/>
          </w:tcPr>
          <w:p w14:paraId="392C0815"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816"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817" w14:textId="77777777" w:rsidR="00980E5F" w:rsidRDefault="00980E5F">
            <w:pPr>
              <w:rPr>
                <w:rFonts w:ascii="宋体"/>
                <w:vanish/>
              </w:rPr>
            </w:pPr>
          </w:p>
        </w:tc>
        <w:tc>
          <w:tcPr>
            <w:tcW w:w="0" w:type="auto"/>
            <w:gridSpan w:val="3"/>
            <w:shd w:val="clear" w:color="auto" w:fill="auto"/>
            <w:vAlign w:val="bottom"/>
          </w:tcPr>
          <w:p w14:paraId="392C0818" w14:textId="77777777" w:rsidR="00980E5F" w:rsidRDefault="00980E5F">
            <w:pPr>
              <w:rPr>
                <w:rFonts w:ascii="宋体"/>
                <w:vanish/>
              </w:rPr>
            </w:pPr>
          </w:p>
        </w:tc>
        <w:tc>
          <w:tcPr>
            <w:tcW w:w="0" w:type="auto"/>
            <w:gridSpan w:val="3"/>
            <w:shd w:val="clear" w:color="auto" w:fill="auto"/>
            <w:vAlign w:val="bottom"/>
          </w:tcPr>
          <w:p w14:paraId="392C0819" w14:textId="77777777" w:rsidR="00980E5F" w:rsidRDefault="00980E5F">
            <w:pPr>
              <w:rPr>
                <w:rFonts w:ascii="宋体"/>
                <w:vanish/>
              </w:rPr>
            </w:pPr>
          </w:p>
        </w:tc>
        <w:tc>
          <w:tcPr>
            <w:tcW w:w="0" w:type="auto"/>
            <w:gridSpan w:val="3"/>
            <w:shd w:val="clear" w:color="auto" w:fill="auto"/>
            <w:vAlign w:val="bottom"/>
          </w:tcPr>
          <w:p w14:paraId="392C081A" w14:textId="77777777" w:rsidR="00980E5F" w:rsidRDefault="00980E5F">
            <w:pPr>
              <w:rPr>
                <w:rFonts w:ascii="宋体"/>
                <w:vanish/>
              </w:rPr>
            </w:pPr>
          </w:p>
        </w:tc>
        <w:tc>
          <w:tcPr>
            <w:tcW w:w="0" w:type="auto"/>
            <w:gridSpan w:val="3"/>
            <w:shd w:val="clear" w:color="auto" w:fill="auto"/>
            <w:vAlign w:val="bottom"/>
          </w:tcPr>
          <w:p w14:paraId="392C081B" w14:textId="77777777" w:rsidR="00980E5F" w:rsidRDefault="00980E5F">
            <w:pPr>
              <w:rPr>
                <w:rFonts w:ascii="宋体"/>
                <w:vanish/>
              </w:rPr>
            </w:pPr>
          </w:p>
        </w:tc>
        <w:tc>
          <w:tcPr>
            <w:tcW w:w="0" w:type="auto"/>
            <w:gridSpan w:val="3"/>
            <w:shd w:val="clear" w:color="auto" w:fill="auto"/>
            <w:vAlign w:val="bottom"/>
          </w:tcPr>
          <w:p w14:paraId="392C081C" w14:textId="77777777" w:rsidR="00980E5F" w:rsidRDefault="00980E5F">
            <w:pPr>
              <w:rPr>
                <w:rFonts w:ascii="宋体"/>
                <w:vanish/>
              </w:rPr>
            </w:pPr>
          </w:p>
        </w:tc>
        <w:tc>
          <w:tcPr>
            <w:tcW w:w="0" w:type="auto"/>
            <w:gridSpan w:val="2"/>
            <w:shd w:val="clear" w:color="auto" w:fill="auto"/>
            <w:vAlign w:val="bottom"/>
          </w:tcPr>
          <w:p w14:paraId="392C081D" w14:textId="77777777" w:rsidR="00980E5F" w:rsidRDefault="00980E5F">
            <w:pPr>
              <w:rPr>
                <w:rFonts w:ascii="宋体"/>
                <w:vanish/>
              </w:rPr>
            </w:pPr>
          </w:p>
        </w:tc>
        <w:tc>
          <w:tcPr>
            <w:tcW w:w="0" w:type="auto"/>
            <w:shd w:val="clear" w:color="auto" w:fill="auto"/>
            <w:vAlign w:val="bottom"/>
          </w:tcPr>
          <w:p w14:paraId="392C081E" w14:textId="77777777" w:rsidR="00980E5F" w:rsidRDefault="00980E5F">
            <w:pPr>
              <w:rPr>
                <w:rFonts w:ascii="宋体"/>
                <w:vanish/>
              </w:rPr>
            </w:pPr>
          </w:p>
        </w:tc>
      </w:tr>
      <w:tr w:rsidR="00980E5F" w14:paraId="392C0839" w14:textId="77777777">
        <w:tc>
          <w:tcPr>
            <w:tcW w:w="0" w:type="auto"/>
            <w:gridSpan w:val="3"/>
            <w:shd w:val="clear" w:color="auto" w:fill="CCEEFF"/>
            <w:tcMar>
              <w:top w:w="40" w:type="dxa"/>
              <w:left w:w="20" w:type="dxa"/>
              <w:bottom w:w="40" w:type="dxa"/>
              <w:right w:w="20" w:type="dxa"/>
            </w:tcMar>
            <w:vAlign w:val="bottom"/>
          </w:tcPr>
          <w:p w14:paraId="392C0820" w14:textId="77777777" w:rsidR="00980E5F" w:rsidRDefault="00483613">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392C0821" w14:textId="77777777" w:rsidR="00980E5F" w:rsidRDefault="00980E5F">
            <w:pPr>
              <w:rPr>
                <w:rFonts w:ascii="宋体"/>
                <w:vanish/>
              </w:rPr>
            </w:pPr>
          </w:p>
        </w:tc>
        <w:tc>
          <w:tcPr>
            <w:tcW w:w="0" w:type="auto"/>
            <w:shd w:val="clear" w:color="auto" w:fill="auto"/>
            <w:vAlign w:val="bottom"/>
          </w:tcPr>
          <w:p w14:paraId="392C0822" w14:textId="77777777" w:rsidR="00980E5F" w:rsidRDefault="00980E5F">
            <w:pPr>
              <w:rPr>
                <w:rFonts w:ascii="宋体"/>
                <w:vanish/>
              </w:rPr>
            </w:pPr>
          </w:p>
        </w:tc>
        <w:tc>
          <w:tcPr>
            <w:tcW w:w="0" w:type="auto"/>
            <w:shd w:val="clear" w:color="auto" w:fill="auto"/>
            <w:vAlign w:val="bottom"/>
          </w:tcPr>
          <w:p w14:paraId="392C0823" w14:textId="77777777" w:rsidR="00980E5F" w:rsidRDefault="00980E5F">
            <w:pPr>
              <w:rPr>
                <w:rFonts w:ascii="宋体"/>
                <w:vanish/>
              </w:rPr>
            </w:pPr>
          </w:p>
        </w:tc>
        <w:tc>
          <w:tcPr>
            <w:tcW w:w="0" w:type="auto"/>
            <w:shd w:val="clear" w:color="auto" w:fill="auto"/>
            <w:vAlign w:val="bottom"/>
          </w:tcPr>
          <w:p w14:paraId="392C0824" w14:textId="77777777" w:rsidR="00980E5F" w:rsidRDefault="00980E5F">
            <w:pPr>
              <w:rPr>
                <w:rFonts w:ascii="宋体"/>
                <w:vanish/>
              </w:rPr>
            </w:pPr>
          </w:p>
        </w:tc>
        <w:tc>
          <w:tcPr>
            <w:tcW w:w="0" w:type="auto"/>
            <w:shd w:val="clear" w:color="auto" w:fill="auto"/>
            <w:vAlign w:val="bottom"/>
          </w:tcPr>
          <w:p w14:paraId="392C0825" w14:textId="77777777" w:rsidR="00980E5F" w:rsidRDefault="00980E5F">
            <w:pPr>
              <w:rPr>
                <w:rFonts w:ascii="宋体"/>
                <w:vanish/>
              </w:rPr>
            </w:pPr>
          </w:p>
        </w:tc>
        <w:tc>
          <w:tcPr>
            <w:tcW w:w="0" w:type="auto"/>
            <w:shd w:val="clear" w:color="auto" w:fill="auto"/>
            <w:vAlign w:val="bottom"/>
          </w:tcPr>
          <w:p w14:paraId="392C0826"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827" w14:textId="77777777" w:rsidR="00980E5F" w:rsidRDefault="00483613">
            <w:pPr>
              <w:jc w:val="right"/>
              <w:textAlignment w:val="bottom"/>
            </w:pPr>
            <w:r>
              <w:rPr>
                <w:rFonts w:ascii="Arial" w:eastAsia="宋体" w:hAnsi="Arial" w:cs="Arial"/>
                <w:b/>
                <w:bCs/>
                <w:color w:val="000000"/>
                <w:sz w:val="14"/>
                <w:szCs w:val="14"/>
              </w:rPr>
              <w:t>1,767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8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82A" w14:textId="77777777" w:rsidR="00980E5F" w:rsidRDefault="00483613">
            <w:pPr>
              <w:jc w:val="right"/>
              <w:textAlignment w:val="bottom"/>
            </w:pPr>
            <w:r>
              <w:rPr>
                <w:rFonts w:ascii="Arial" w:eastAsia="宋体" w:hAnsi="Arial" w:cs="Arial"/>
                <w:color w:val="000000"/>
                <w:sz w:val="14"/>
                <w:szCs w:val="14"/>
              </w:rPr>
              <w:t>1,755 </w:t>
            </w:r>
          </w:p>
        </w:tc>
        <w:tc>
          <w:tcPr>
            <w:tcW w:w="0" w:type="auto"/>
            <w:shd w:val="clear" w:color="auto" w:fill="CCEEFF"/>
            <w:tcMar>
              <w:top w:w="40" w:type="dxa"/>
              <w:left w:w="0" w:type="dxa"/>
              <w:bottom w:w="40" w:type="dxa"/>
              <w:right w:w="20" w:type="dxa"/>
            </w:tcMar>
            <w:vAlign w:val="bottom"/>
          </w:tcPr>
          <w:p w14:paraId="392C08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2C" w14:textId="77777777" w:rsidR="00980E5F" w:rsidRDefault="00980E5F">
            <w:pPr>
              <w:rPr>
                <w:rFonts w:ascii="宋体"/>
              </w:rPr>
            </w:pPr>
          </w:p>
        </w:tc>
        <w:tc>
          <w:tcPr>
            <w:tcW w:w="0" w:type="auto"/>
            <w:shd w:val="clear" w:color="auto" w:fill="auto"/>
            <w:vAlign w:val="bottom"/>
          </w:tcPr>
          <w:p w14:paraId="392C082D" w14:textId="77777777" w:rsidR="00980E5F" w:rsidRDefault="00980E5F">
            <w:pPr>
              <w:rPr>
                <w:rFonts w:ascii="宋体"/>
                <w:vanish/>
              </w:rPr>
            </w:pPr>
          </w:p>
        </w:tc>
        <w:tc>
          <w:tcPr>
            <w:tcW w:w="0" w:type="auto"/>
            <w:shd w:val="clear" w:color="auto" w:fill="auto"/>
            <w:vAlign w:val="bottom"/>
          </w:tcPr>
          <w:p w14:paraId="392C082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82F"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0830" w14:textId="77777777" w:rsidR="00980E5F" w:rsidRDefault="00980E5F">
            <w:pPr>
              <w:jc w:val="right"/>
              <w:rPr>
                <w:rFonts w:ascii="宋体"/>
              </w:rPr>
            </w:pPr>
          </w:p>
        </w:tc>
        <w:tc>
          <w:tcPr>
            <w:tcW w:w="0" w:type="auto"/>
            <w:gridSpan w:val="3"/>
            <w:shd w:val="clear" w:color="auto" w:fill="auto"/>
            <w:vAlign w:val="bottom"/>
          </w:tcPr>
          <w:p w14:paraId="392C0831" w14:textId="77777777" w:rsidR="00980E5F" w:rsidRDefault="00980E5F">
            <w:pPr>
              <w:rPr>
                <w:rFonts w:ascii="宋体"/>
                <w:vanish/>
              </w:rPr>
            </w:pPr>
          </w:p>
        </w:tc>
        <w:tc>
          <w:tcPr>
            <w:tcW w:w="0" w:type="auto"/>
            <w:gridSpan w:val="3"/>
            <w:shd w:val="clear" w:color="auto" w:fill="auto"/>
            <w:vAlign w:val="bottom"/>
          </w:tcPr>
          <w:p w14:paraId="392C0832" w14:textId="77777777" w:rsidR="00980E5F" w:rsidRDefault="00980E5F">
            <w:pPr>
              <w:rPr>
                <w:rFonts w:ascii="宋体"/>
                <w:vanish/>
              </w:rPr>
            </w:pPr>
          </w:p>
        </w:tc>
        <w:tc>
          <w:tcPr>
            <w:tcW w:w="0" w:type="auto"/>
            <w:gridSpan w:val="3"/>
            <w:shd w:val="clear" w:color="auto" w:fill="auto"/>
            <w:vAlign w:val="bottom"/>
          </w:tcPr>
          <w:p w14:paraId="392C0833" w14:textId="77777777" w:rsidR="00980E5F" w:rsidRDefault="00980E5F">
            <w:pPr>
              <w:rPr>
                <w:rFonts w:ascii="宋体"/>
                <w:vanish/>
              </w:rPr>
            </w:pPr>
          </w:p>
        </w:tc>
        <w:tc>
          <w:tcPr>
            <w:tcW w:w="0" w:type="auto"/>
            <w:gridSpan w:val="3"/>
            <w:shd w:val="clear" w:color="auto" w:fill="auto"/>
            <w:vAlign w:val="bottom"/>
          </w:tcPr>
          <w:p w14:paraId="392C0834" w14:textId="77777777" w:rsidR="00980E5F" w:rsidRDefault="00980E5F">
            <w:pPr>
              <w:rPr>
                <w:rFonts w:ascii="宋体"/>
                <w:vanish/>
              </w:rPr>
            </w:pPr>
          </w:p>
        </w:tc>
        <w:tc>
          <w:tcPr>
            <w:tcW w:w="0" w:type="auto"/>
            <w:gridSpan w:val="3"/>
            <w:shd w:val="clear" w:color="auto" w:fill="auto"/>
            <w:vAlign w:val="bottom"/>
          </w:tcPr>
          <w:p w14:paraId="392C0835" w14:textId="77777777" w:rsidR="00980E5F" w:rsidRDefault="00980E5F">
            <w:pPr>
              <w:rPr>
                <w:rFonts w:ascii="宋体"/>
                <w:vanish/>
              </w:rPr>
            </w:pPr>
          </w:p>
        </w:tc>
        <w:tc>
          <w:tcPr>
            <w:tcW w:w="0" w:type="auto"/>
            <w:gridSpan w:val="3"/>
            <w:shd w:val="clear" w:color="auto" w:fill="auto"/>
            <w:vAlign w:val="bottom"/>
          </w:tcPr>
          <w:p w14:paraId="392C0836" w14:textId="77777777" w:rsidR="00980E5F" w:rsidRDefault="00980E5F">
            <w:pPr>
              <w:rPr>
                <w:rFonts w:ascii="宋体"/>
                <w:vanish/>
              </w:rPr>
            </w:pPr>
          </w:p>
        </w:tc>
        <w:tc>
          <w:tcPr>
            <w:tcW w:w="0" w:type="auto"/>
            <w:gridSpan w:val="2"/>
            <w:shd w:val="clear" w:color="auto" w:fill="auto"/>
            <w:vAlign w:val="bottom"/>
          </w:tcPr>
          <w:p w14:paraId="392C0837" w14:textId="77777777" w:rsidR="00980E5F" w:rsidRDefault="00980E5F">
            <w:pPr>
              <w:rPr>
                <w:rFonts w:ascii="宋体"/>
                <w:vanish/>
              </w:rPr>
            </w:pPr>
          </w:p>
        </w:tc>
        <w:tc>
          <w:tcPr>
            <w:tcW w:w="0" w:type="auto"/>
            <w:shd w:val="clear" w:color="auto" w:fill="auto"/>
            <w:vAlign w:val="bottom"/>
          </w:tcPr>
          <w:p w14:paraId="392C0838" w14:textId="77777777" w:rsidR="00980E5F" w:rsidRDefault="00980E5F">
            <w:pPr>
              <w:rPr>
                <w:rFonts w:ascii="宋体"/>
                <w:vanish/>
              </w:rPr>
            </w:pPr>
          </w:p>
        </w:tc>
      </w:tr>
      <w:tr w:rsidR="00980E5F" w14:paraId="392C0855" w14:textId="77777777">
        <w:tc>
          <w:tcPr>
            <w:tcW w:w="0" w:type="auto"/>
            <w:gridSpan w:val="3"/>
            <w:shd w:val="clear" w:color="auto" w:fill="FFFFFF"/>
            <w:tcMar>
              <w:top w:w="40" w:type="dxa"/>
              <w:left w:w="20" w:type="dxa"/>
              <w:bottom w:w="40" w:type="dxa"/>
              <w:right w:w="20" w:type="dxa"/>
            </w:tcMar>
            <w:vAlign w:val="bottom"/>
          </w:tcPr>
          <w:p w14:paraId="392C083A"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392C083B" w14:textId="77777777" w:rsidR="00980E5F" w:rsidRDefault="00980E5F">
            <w:pPr>
              <w:rPr>
                <w:rFonts w:ascii="宋体"/>
                <w:vanish/>
              </w:rPr>
            </w:pPr>
          </w:p>
        </w:tc>
        <w:tc>
          <w:tcPr>
            <w:tcW w:w="0" w:type="auto"/>
            <w:shd w:val="clear" w:color="auto" w:fill="auto"/>
            <w:vAlign w:val="bottom"/>
          </w:tcPr>
          <w:p w14:paraId="392C083C" w14:textId="77777777" w:rsidR="00980E5F" w:rsidRDefault="00980E5F">
            <w:pPr>
              <w:rPr>
                <w:rFonts w:ascii="宋体"/>
                <w:vanish/>
              </w:rPr>
            </w:pPr>
          </w:p>
        </w:tc>
        <w:tc>
          <w:tcPr>
            <w:tcW w:w="0" w:type="auto"/>
            <w:shd w:val="clear" w:color="auto" w:fill="auto"/>
            <w:vAlign w:val="bottom"/>
          </w:tcPr>
          <w:p w14:paraId="392C083D" w14:textId="77777777" w:rsidR="00980E5F" w:rsidRDefault="00980E5F">
            <w:pPr>
              <w:rPr>
                <w:rFonts w:ascii="宋体"/>
                <w:vanish/>
              </w:rPr>
            </w:pPr>
          </w:p>
        </w:tc>
        <w:tc>
          <w:tcPr>
            <w:tcW w:w="0" w:type="auto"/>
            <w:shd w:val="clear" w:color="auto" w:fill="auto"/>
            <w:vAlign w:val="bottom"/>
          </w:tcPr>
          <w:p w14:paraId="392C083E" w14:textId="77777777" w:rsidR="00980E5F" w:rsidRDefault="00980E5F">
            <w:pPr>
              <w:rPr>
                <w:rFonts w:ascii="宋体"/>
                <w:vanish/>
              </w:rPr>
            </w:pPr>
          </w:p>
        </w:tc>
        <w:tc>
          <w:tcPr>
            <w:tcW w:w="0" w:type="auto"/>
            <w:shd w:val="clear" w:color="auto" w:fill="auto"/>
            <w:vAlign w:val="bottom"/>
          </w:tcPr>
          <w:p w14:paraId="392C083F" w14:textId="77777777" w:rsidR="00980E5F" w:rsidRDefault="00980E5F">
            <w:pPr>
              <w:rPr>
                <w:rFonts w:ascii="宋体"/>
                <w:vanish/>
              </w:rPr>
            </w:pPr>
          </w:p>
        </w:tc>
        <w:tc>
          <w:tcPr>
            <w:tcW w:w="0" w:type="auto"/>
            <w:shd w:val="clear" w:color="auto" w:fill="auto"/>
            <w:vAlign w:val="bottom"/>
          </w:tcPr>
          <w:p w14:paraId="392C0840"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84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842" w14:textId="77777777" w:rsidR="00980E5F" w:rsidRDefault="00483613">
            <w:pPr>
              <w:jc w:val="right"/>
              <w:textAlignment w:val="bottom"/>
            </w:pPr>
            <w:r>
              <w:rPr>
                <w:rFonts w:ascii="Arial" w:eastAsia="宋体" w:hAnsi="Arial" w:cs="Arial"/>
                <w:b/>
                <w:bCs/>
                <w:color w:val="000000"/>
                <w:sz w:val="14"/>
                <w:szCs w:val="14"/>
              </w:rPr>
              <w:t>698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8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44"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84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846" w14:textId="77777777" w:rsidR="00980E5F" w:rsidRDefault="00483613">
            <w:pPr>
              <w:jc w:val="right"/>
              <w:textAlignment w:val="bottom"/>
            </w:pPr>
            <w:r>
              <w:rPr>
                <w:rFonts w:ascii="Arial" w:eastAsia="宋体" w:hAnsi="Arial" w:cs="Arial"/>
                <w:color w:val="000000"/>
                <w:sz w:val="14"/>
                <w:szCs w:val="14"/>
              </w:rPr>
              <w:t>712 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8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48" w14:textId="77777777" w:rsidR="00980E5F" w:rsidRDefault="00980E5F">
            <w:pPr>
              <w:rPr>
                <w:rFonts w:ascii="宋体"/>
              </w:rPr>
            </w:pPr>
          </w:p>
        </w:tc>
        <w:tc>
          <w:tcPr>
            <w:tcW w:w="0" w:type="auto"/>
            <w:shd w:val="clear" w:color="auto" w:fill="auto"/>
            <w:vAlign w:val="bottom"/>
          </w:tcPr>
          <w:p w14:paraId="392C0849" w14:textId="77777777" w:rsidR="00980E5F" w:rsidRDefault="00980E5F">
            <w:pPr>
              <w:rPr>
                <w:rFonts w:ascii="宋体"/>
                <w:vanish/>
              </w:rPr>
            </w:pPr>
          </w:p>
        </w:tc>
        <w:tc>
          <w:tcPr>
            <w:tcW w:w="0" w:type="auto"/>
            <w:shd w:val="clear" w:color="auto" w:fill="auto"/>
            <w:vAlign w:val="bottom"/>
          </w:tcPr>
          <w:p w14:paraId="392C084A"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84B"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084C" w14:textId="77777777" w:rsidR="00980E5F" w:rsidRDefault="00980E5F">
            <w:pPr>
              <w:jc w:val="right"/>
              <w:rPr>
                <w:rFonts w:ascii="宋体"/>
              </w:rPr>
            </w:pPr>
          </w:p>
        </w:tc>
        <w:tc>
          <w:tcPr>
            <w:tcW w:w="0" w:type="auto"/>
            <w:gridSpan w:val="3"/>
            <w:shd w:val="clear" w:color="auto" w:fill="auto"/>
            <w:vAlign w:val="bottom"/>
          </w:tcPr>
          <w:p w14:paraId="392C084D" w14:textId="77777777" w:rsidR="00980E5F" w:rsidRDefault="00980E5F">
            <w:pPr>
              <w:rPr>
                <w:rFonts w:ascii="宋体"/>
                <w:vanish/>
              </w:rPr>
            </w:pPr>
          </w:p>
        </w:tc>
        <w:tc>
          <w:tcPr>
            <w:tcW w:w="0" w:type="auto"/>
            <w:gridSpan w:val="3"/>
            <w:shd w:val="clear" w:color="auto" w:fill="auto"/>
            <w:vAlign w:val="bottom"/>
          </w:tcPr>
          <w:p w14:paraId="392C084E" w14:textId="77777777" w:rsidR="00980E5F" w:rsidRDefault="00980E5F">
            <w:pPr>
              <w:rPr>
                <w:rFonts w:ascii="宋体"/>
                <w:vanish/>
              </w:rPr>
            </w:pPr>
          </w:p>
        </w:tc>
        <w:tc>
          <w:tcPr>
            <w:tcW w:w="0" w:type="auto"/>
            <w:gridSpan w:val="3"/>
            <w:shd w:val="clear" w:color="auto" w:fill="auto"/>
            <w:vAlign w:val="bottom"/>
          </w:tcPr>
          <w:p w14:paraId="392C084F" w14:textId="77777777" w:rsidR="00980E5F" w:rsidRDefault="00980E5F">
            <w:pPr>
              <w:rPr>
                <w:rFonts w:ascii="宋体"/>
                <w:vanish/>
              </w:rPr>
            </w:pPr>
          </w:p>
        </w:tc>
        <w:tc>
          <w:tcPr>
            <w:tcW w:w="0" w:type="auto"/>
            <w:gridSpan w:val="3"/>
            <w:shd w:val="clear" w:color="auto" w:fill="auto"/>
            <w:vAlign w:val="bottom"/>
          </w:tcPr>
          <w:p w14:paraId="392C0850" w14:textId="77777777" w:rsidR="00980E5F" w:rsidRDefault="00980E5F">
            <w:pPr>
              <w:rPr>
                <w:rFonts w:ascii="宋体"/>
                <w:vanish/>
              </w:rPr>
            </w:pPr>
          </w:p>
        </w:tc>
        <w:tc>
          <w:tcPr>
            <w:tcW w:w="0" w:type="auto"/>
            <w:gridSpan w:val="3"/>
            <w:shd w:val="clear" w:color="auto" w:fill="auto"/>
            <w:vAlign w:val="bottom"/>
          </w:tcPr>
          <w:p w14:paraId="392C0851" w14:textId="77777777" w:rsidR="00980E5F" w:rsidRDefault="00980E5F">
            <w:pPr>
              <w:rPr>
                <w:rFonts w:ascii="宋体"/>
                <w:vanish/>
              </w:rPr>
            </w:pPr>
          </w:p>
        </w:tc>
        <w:tc>
          <w:tcPr>
            <w:tcW w:w="0" w:type="auto"/>
            <w:gridSpan w:val="3"/>
            <w:shd w:val="clear" w:color="auto" w:fill="auto"/>
            <w:vAlign w:val="bottom"/>
          </w:tcPr>
          <w:p w14:paraId="392C0852" w14:textId="77777777" w:rsidR="00980E5F" w:rsidRDefault="00980E5F">
            <w:pPr>
              <w:rPr>
                <w:rFonts w:ascii="宋体"/>
                <w:vanish/>
              </w:rPr>
            </w:pPr>
          </w:p>
        </w:tc>
        <w:tc>
          <w:tcPr>
            <w:tcW w:w="0" w:type="auto"/>
            <w:gridSpan w:val="2"/>
            <w:shd w:val="clear" w:color="auto" w:fill="auto"/>
            <w:vAlign w:val="bottom"/>
          </w:tcPr>
          <w:p w14:paraId="392C0853" w14:textId="77777777" w:rsidR="00980E5F" w:rsidRDefault="00980E5F">
            <w:pPr>
              <w:rPr>
                <w:rFonts w:ascii="宋体"/>
                <w:vanish/>
              </w:rPr>
            </w:pPr>
          </w:p>
        </w:tc>
        <w:tc>
          <w:tcPr>
            <w:tcW w:w="0" w:type="auto"/>
            <w:shd w:val="clear" w:color="auto" w:fill="auto"/>
            <w:vAlign w:val="bottom"/>
          </w:tcPr>
          <w:p w14:paraId="392C0854" w14:textId="77777777" w:rsidR="00980E5F" w:rsidRDefault="00980E5F">
            <w:pPr>
              <w:rPr>
                <w:rFonts w:ascii="宋体"/>
                <w:vanish/>
              </w:rPr>
            </w:pPr>
          </w:p>
        </w:tc>
      </w:tr>
      <w:tr w:rsidR="00980E5F" w14:paraId="392C086E" w14:textId="77777777">
        <w:tc>
          <w:tcPr>
            <w:tcW w:w="0" w:type="auto"/>
            <w:gridSpan w:val="3"/>
            <w:shd w:val="clear" w:color="auto" w:fill="CCEEFF"/>
            <w:tcMar>
              <w:top w:w="40" w:type="dxa"/>
              <w:left w:w="20" w:type="dxa"/>
              <w:bottom w:w="40" w:type="dxa"/>
              <w:right w:w="20" w:type="dxa"/>
            </w:tcMar>
            <w:vAlign w:val="bottom"/>
          </w:tcPr>
          <w:p w14:paraId="392C0856" w14:textId="77777777" w:rsidR="00980E5F" w:rsidRDefault="00483613">
            <w:pPr>
              <w:textAlignment w:val="bottom"/>
            </w:pPr>
            <w:r>
              <w:rPr>
                <w:rFonts w:ascii="Arial" w:eastAsia="宋体" w:hAnsi="Arial" w:cs="Arial"/>
                <w:color w:val="000000"/>
                <w:sz w:val="14"/>
                <w:szCs w:val="14"/>
              </w:rPr>
              <w:t>Pre-tax margin</w:t>
            </w:r>
          </w:p>
        </w:tc>
        <w:tc>
          <w:tcPr>
            <w:tcW w:w="0" w:type="auto"/>
            <w:shd w:val="clear" w:color="auto" w:fill="auto"/>
            <w:vAlign w:val="bottom"/>
          </w:tcPr>
          <w:p w14:paraId="392C0857" w14:textId="77777777" w:rsidR="00980E5F" w:rsidRDefault="00980E5F">
            <w:pPr>
              <w:rPr>
                <w:rFonts w:ascii="宋体"/>
                <w:vanish/>
              </w:rPr>
            </w:pPr>
          </w:p>
        </w:tc>
        <w:tc>
          <w:tcPr>
            <w:tcW w:w="0" w:type="auto"/>
            <w:shd w:val="clear" w:color="auto" w:fill="auto"/>
            <w:vAlign w:val="bottom"/>
          </w:tcPr>
          <w:p w14:paraId="392C0858" w14:textId="77777777" w:rsidR="00980E5F" w:rsidRDefault="00980E5F">
            <w:pPr>
              <w:rPr>
                <w:rFonts w:ascii="宋体"/>
                <w:vanish/>
              </w:rPr>
            </w:pPr>
          </w:p>
        </w:tc>
        <w:tc>
          <w:tcPr>
            <w:tcW w:w="0" w:type="auto"/>
            <w:shd w:val="clear" w:color="auto" w:fill="auto"/>
            <w:vAlign w:val="bottom"/>
          </w:tcPr>
          <w:p w14:paraId="392C0859" w14:textId="77777777" w:rsidR="00980E5F" w:rsidRDefault="00980E5F">
            <w:pPr>
              <w:rPr>
                <w:rFonts w:ascii="宋体"/>
                <w:vanish/>
              </w:rPr>
            </w:pPr>
          </w:p>
        </w:tc>
        <w:tc>
          <w:tcPr>
            <w:tcW w:w="0" w:type="auto"/>
            <w:shd w:val="clear" w:color="auto" w:fill="auto"/>
            <w:vAlign w:val="bottom"/>
          </w:tcPr>
          <w:p w14:paraId="392C085A" w14:textId="77777777" w:rsidR="00980E5F" w:rsidRDefault="00980E5F">
            <w:pPr>
              <w:rPr>
                <w:rFonts w:ascii="宋体"/>
                <w:vanish/>
              </w:rPr>
            </w:pPr>
          </w:p>
        </w:tc>
        <w:tc>
          <w:tcPr>
            <w:tcW w:w="0" w:type="auto"/>
            <w:shd w:val="clear" w:color="auto" w:fill="auto"/>
            <w:vAlign w:val="bottom"/>
          </w:tcPr>
          <w:p w14:paraId="392C085B" w14:textId="77777777" w:rsidR="00980E5F" w:rsidRDefault="00980E5F">
            <w:pPr>
              <w:rPr>
                <w:rFonts w:ascii="宋体"/>
                <w:vanish/>
              </w:rPr>
            </w:pPr>
          </w:p>
        </w:tc>
        <w:tc>
          <w:tcPr>
            <w:tcW w:w="0" w:type="auto"/>
            <w:shd w:val="clear" w:color="auto" w:fill="auto"/>
            <w:vAlign w:val="bottom"/>
          </w:tcPr>
          <w:p w14:paraId="392C085C" w14:textId="77777777" w:rsidR="00980E5F" w:rsidRDefault="00980E5F">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85D" w14:textId="77777777" w:rsidR="00980E5F" w:rsidRDefault="00483613">
            <w:pPr>
              <w:jc w:val="right"/>
              <w:textAlignment w:val="bottom"/>
            </w:pPr>
            <w:r>
              <w:rPr>
                <w:rFonts w:ascii="Arial" w:eastAsia="宋体" w:hAnsi="Arial" w:cs="Arial"/>
                <w:b/>
                <w:bCs/>
                <w:color w:val="000000"/>
                <w:sz w:val="14"/>
                <w:szCs w:val="14"/>
              </w:rPr>
              <w:t>28.2</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85E"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85F" w14:textId="77777777" w:rsidR="00980E5F" w:rsidRDefault="00980E5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860" w14:textId="77777777" w:rsidR="00980E5F" w:rsidRDefault="00483613">
            <w:pPr>
              <w:jc w:val="right"/>
              <w:textAlignment w:val="bottom"/>
            </w:pPr>
            <w:r>
              <w:rPr>
                <w:rFonts w:ascii="Arial" w:eastAsia="宋体" w:hAnsi="Arial" w:cs="Arial"/>
                <w:color w:val="000000"/>
                <w:sz w:val="14"/>
                <w:szCs w:val="14"/>
              </w:rPr>
              <w:t>29.0 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861"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862" w14:textId="77777777" w:rsidR="00980E5F" w:rsidRDefault="00980E5F">
            <w:pPr>
              <w:rPr>
                <w:rFonts w:ascii="宋体"/>
              </w:rPr>
            </w:pPr>
          </w:p>
        </w:tc>
        <w:tc>
          <w:tcPr>
            <w:tcW w:w="0" w:type="auto"/>
            <w:shd w:val="clear" w:color="auto" w:fill="auto"/>
            <w:vAlign w:val="bottom"/>
          </w:tcPr>
          <w:p w14:paraId="392C0863" w14:textId="77777777" w:rsidR="00980E5F" w:rsidRDefault="00980E5F">
            <w:pPr>
              <w:rPr>
                <w:rFonts w:ascii="宋体"/>
                <w:vanish/>
              </w:rPr>
            </w:pPr>
          </w:p>
        </w:tc>
        <w:tc>
          <w:tcPr>
            <w:tcW w:w="0" w:type="auto"/>
            <w:shd w:val="clear" w:color="auto" w:fill="auto"/>
            <w:vAlign w:val="bottom"/>
          </w:tcPr>
          <w:p w14:paraId="392C0864" w14:textId="77777777" w:rsidR="00980E5F" w:rsidRDefault="00980E5F">
            <w:pPr>
              <w:rPr>
                <w:rFonts w:ascii="宋体"/>
                <w:vanish/>
              </w:rPr>
            </w:pPr>
          </w:p>
        </w:tc>
        <w:tc>
          <w:tcPr>
            <w:tcW w:w="0" w:type="auto"/>
            <w:gridSpan w:val="3"/>
            <w:shd w:val="clear" w:color="auto" w:fill="CCEEFF"/>
            <w:tcMar>
              <w:top w:w="40" w:type="dxa"/>
              <w:left w:w="20" w:type="dxa"/>
              <w:bottom w:w="40" w:type="dxa"/>
              <w:right w:w="20" w:type="dxa"/>
            </w:tcMar>
            <w:vAlign w:val="bottom"/>
          </w:tcPr>
          <w:p w14:paraId="392C0865" w14:textId="77777777" w:rsidR="00980E5F" w:rsidRDefault="00483613">
            <w:pPr>
              <w:jc w:val="right"/>
              <w:textAlignment w:val="bottom"/>
            </w:pPr>
            <w:r>
              <w:rPr>
                <w:rFonts w:ascii="Arial" w:eastAsia="宋体" w:hAnsi="Arial" w:cs="Arial"/>
                <w:color w:val="000000"/>
                <w:sz w:val="14"/>
                <w:szCs w:val="14"/>
              </w:rPr>
              <w:t>(80) bps</w:t>
            </w:r>
          </w:p>
        </w:tc>
        <w:tc>
          <w:tcPr>
            <w:tcW w:w="0" w:type="auto"/>
            <w:gridSpan w:val="3"/>
            <w:shd w:val="clear" w:color="auto" w:fill="auto"/>
            <w:vAlign w:val="bottom"/>
          </w:tcPr>
          <w:p w14:paraId="392C0866" w14:textId="77777777" w:rsidR="00980E5F" w:rsidRDefault="00980E5F">
            <w:pPr>
              <w:rPr>
                <w:rFonts w:ascii="宋体"/>
                <w:vanish/>
              </w:rPr>
            </w:pPr>
          </w:p>
        </w:tc>
        <w:tc>
          <w:tcPr>
            <w:tcW w:w="0" w:type="auto"/>
            <w:gridSpan w:val="3"/>
            <w:shd w:val="clear" w:color="auto" w:fill="auto"/>
            <w:vAlign w:val="bottom"/>
          </w:tcPr>
          <w:p w14:paraId="392C0867" w14:textId="77777777" w:rsidR="00980E5F" w:rsidRDefault="00980E5F">
            <w:pPr>
              <w:rPr>
                <w:rFonts w:ascii="宋体"/>
                <w:vanish/>
              </w:rPr>
            </w:pPr>
          </w:p>
        </w:tc>
        <w:tc>
          <w:tcPr>
            <w:tcW w:w="0" w:type="auto"/>
            <w:gridSpan w:val="3"/>
            <w:shd w:val="clear" w:color="auto" w:fill="auto"/>
            <w:vAlign w:val="bottom"/>
          </w:tcPr>
          <w:p w14:paraId="392C0868" w14:textId="77777777" w:rsidR="00980E5F" w:rsidRDefault="00980E5F">
            <w:pPr>
              <w:rPr>
                <w:rFonts w:ascii="宋体"/>
                <w:vanish/>
              </w:rPr>
            </w:pPr>
          </w:p>
        </w:tc>
        <w:tc>
          <w:tcPr>
            <w:tcW w:w="0" w:type="auto"/>
            <w:gridSpan w:val="3"/>
            <w:shd w:val="clear" w:color="auto" w:fill="auto"/>
            <w:vAlign w:val="bottom"/>
          </w:tcPr>
          <w:p w14:paraId="392C0869" w14:textId="77777777" w:rsidR="00980E5F" w:rsidRDefault="00980E5F">
            <w:pPr>
              <w:rPr>
                <w:rFonts w:ascii="宋体"/>
                <w:vanish/>
              </w:rPr>
            </w:pPr>
          </w:p>
        </w:tc>
        <w:tc>
          <w:tcPr>
            <w:tcW w:w="0" w:type="auto"/>
            <w:gridSpan w:val="3"/>
            <w:shd w:val="clear" w:color="auto" w:fill="auto"/>
            <w:vAlign w:val="bottom"/>
          </w:tcPr>
          <w:p w14:paraId="392C086A" w14:textId="77777777" w:rsidR="00980E5F" w:rsidRDefault="00980E5F">
            <w:pPr>
              <w:rPr>
                <w:rFonts w:ascii="宋体"/>
                <w:vanish/>
              </w:rPr>
            </w:pPr>
          </w:p>
        </w:tc>
        <w:tc>
          <w:tcPr>
            <w:tcW w:w="0" w:type="auto"/>
            <w:gridSpan w:val="3"/>
            <w:shd w:val="clear" w:color="auto" w:fill="auto"/>
            <w:vAlign w:val="bottom"/>
          </w:tcPr>
          <w:p w14:paraId="392C086B" w14:textId="77777777" w:rsidR="00980E5F" w:rsidRDefault="00980E5F">
            <w:pPr>
              <w:rPr>
                <w:rFonts w:ascii="宋体"/>
                <w:vanish/>
              </w:rPr>
            </w:pPr>
          </w:p>
        </w:tc>
        <w:tc>
          <w:tcPr>
            <w:tcW w:w="0" w:type="auto"/>
            <w:gridSpan w:val="2"/>
            <w:shd w:val="clear" w:color="auto" w:fill="auto"/>
            <w:vAlign w:val="bottom"/>
          </w:tcPr>
          <w:p w14:paraId="392C086C" w14:textId="77777777" w:rsidR="00980E5F" w:rsidRDefault="00980E5F">
            <w:pPr>
              <w:rPr>
                <w:rFonts w:ascii="宋体"/>
                <w:vanish/>
              </w:rPr>
            </w:pPr>
          </w:p>
        </w:tc>
        <w:tc>
          <w:tcPr>
            <w:tcW w:w="0" w:type="auto"/>
            <w:shd w:val="clear" w:color="auto" w:fill="auto"/>
            <w:vAlign w:val="bottom"/>
          </w:tcPr>
          <w:p w14:paraId="392C086D" w14:textId="77777777" w:rsidR="00980E5F" w:rsidRDefault="00980E5F">
            <w:pPr>
              <w:rPr>
                <w:rFonts w:ascii="宋体"/>
                <w:vanish/>
              </w:rPr>
            </w:pPr>
          </w:p>
        </w:tc>
      </w:tr>
      <w:tr w:rsidR="00980E5F" w14:paraId="392C0885" w14:textId="77777777">
        <w:trPr>
          <w:trHeight w:val="180"/>
        </w:trPr>
        <w:tc>
          <w:tcPr>
            <w:tcW w:w="0" w:type="auto"/>
            <w:gridSpan w:val="3"/>
            <w:shd w:val="clear" w:color="auto" w:fill="auto"/>
            <w:tcMar>
              <w:top w:w="0" w:type="dxa"/>
              <w:left w:w="20" w:type="dxa"/>
              <w:bottom w:w="0" w:type="dxa"/>
              <w:right w:w="20" w:type="dxa"/>
            </w:tcMar>
            <w:vAlign w:val="bottom"/>
          </w:tcPr>
          <w:p w14:paraId="392C086F" w14:textId="77777777" w:rsidR="00980E5F" w:rsidRDefault="00980E5F">
            <w:pPr>
              <w:rPr>
                <w:rFonts w:ascii="宋体"/>
              </w:rPr>
            </w:pPr>
          </w:p>
        </w:tc>
        <w:tc>
          <w:tcPr>
            <w:tcW w:w="0" w:type="auto"/>
            <w:shd w:val="clear" w:color="auto" w:fill="auto"/>
            <w:vAlign w:val="bottom"/>
          </w:tcPr>
          <w:p w14:paraId="392C0870" w14:textId="77777777" w:rsidR="00980E5F" w:rsidRDefault="00980E5F">
            <w:pPr>
              <w:rPr>
                <w:rFonts w:ascii="宋体"/>
                <w:vanish/>
              </w:rPr>
            </w:pPr>
          </w:p>
        </w:tc>
        <w:tc>
          <w:tcPr>
            <w:tcW w:w="0" w:type="auto"/>
            <w:shd w:val="clear" w:color="auto" w:fill="auto"/>
            <w:vAlign w:val="bottom"/>
          </w:tcPr>
          <w:p w14:paraId="392C0871" w14:textId="77777777" w:rsidR="00980E5F" w:rsidRDefault="00980E5F">
            <w:pPr>
              <w:rPr>
                <w:rFonts w:ascii="宋体"/>
                <w:vanish/>
              </w:rPr>
            </w:pPr>
          </w:p>
        </w:tc>
        <w:tc>
          <w:tcPr>
            <w:tcW w:w="0" w:type="auto"/>
            <w:shd w:val="clear" w:color="auto" w:fill="auto"/>
            <w:vAlign w:val="bottom"/>
          </w:tcPr>
          <w:p w14:paraId="392C0872" w14:textId="77777777" w:rsidR="00980E5F" w:rsidRDefault="00980E5F">
            <w:pPr>
              <w:rPr>
                <w:rFonts w:ascii="宋体"/>
                <w:vanish/>
              </w:rPr>
            </w:pPr>
          </w:p>
        </w:tc>
        <w:tc>
          <w:tcPr>
            <w:tcW w:w="0" w:type="auto"/>
            <w:shd w:val="clear" w:color="auto" w:fill="auto"/>
            <w:vAlign w:val="bottom"/>
          </w:tcPr>
          <w:p w14:paraId="392C0873" w14:textId="77777777" w:rsidR="00980E5F" w:rsidRDefault="00980E5F">
            <w:pPr>
              <w:rPr>
                <w:rFonts w:ascii="宋体"/>
                <w:vanish/>
              </w:rPr>
            </w:pPr>
          </w:p>
        </w:tc>
        <w:tc>
          <w:tcPr>
            <w:tcW w:w="0" w:type="auto"/>
            <w:shd w:val="clear" w:color="auto" w:fill="auto"/>
            <w:vAlign w:val="bottom"/>
          </w:tcPr>
          <w:p w14:paraId="392C0874" w14:textId="77777777" w:rsidR="00980E5F" w:rsidRDefault="00980E5F">
            <w:pPr>
              <w:rPr>
                <w:rFonts w:ascii="宋体"/>
                <w:vanish/>
              </w:rPr>
            </w:pPr>
          </w:p>
        </w:tc>
        <w:tc>
          <w:tcPr>
            <w:tcW w:w="0" w:type="auto"/>
            <w:shd w:val="clear" w:color="auto" w:fill="auto"/>
            <w:vAlign w:val="bottom"/>
          </w:tcPr>
          <w:p w14:paraId="392C087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8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87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8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879" w14:textId="77777777" w:rsidR="00980E5F" w:rsidRDefault="00980E5F">
            <w:pPr>
              <w:rPr>
                <w:rFonts w:ascii="宋体"/>
              </w:rPr>
            </w:pPr>
          </w:p>
        </w:tc>
        <w:tc>
          <w:tcPr>
            <w:tcW w:w="0" w:type="auto"/>
            <w:shd w:val="clear" w:color="auto" w:fill="auto"/>
            <w:vAlign w:val="bottom"/>
          </w:tcPr>
          <w:p w14:paraId="392C087A" w14:textId="77777777" w:rsidR="00980E5F" w:rsidRDefault="00980E5F">
            <w:pPr>
              <w:rPr>
                <w:rFonts w:ascii="宋体"/>
                <w:vanish/>
              </w:rPr>
            </w:pPr>
          </w:p>
        </w:tc>
        <w:tc>
          <w:tcPr>
            <w:tcW w:w="0" w:type="auto"/>
            <w:shd w:val="clear" w:color="auto" w:fill="auto"/>
            <w:vAlign w:val="bottom"/>
          </w:tcPr>
          <w:p w14:paraId="392C087B"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87C" w14:textId="77777777" w:rsidR="00980E5F" w:rsidRDefault="00980E5F">
            <w:pPr>
              <w:rPr>
                <w:rFonts w:ascii="宋体"/>
              </w:rPr>
            </w:pPr>
          </w:p>
        </w:tc>
        <w:tc>
          <w:tcPr>
            <w:tcW w:w="0" w:type="auto"/>
            <w:gridSpan w:val="3"/>
            <w:shd w:val="clear" w:color="auto" w:fill="auto"/>
            <w:vAlign w:val="bottom"/>
          </w:tcPr>
          <w:p w14:paraId="392C087D" w14:textId="77777777" w:rsidR="00980E5F" w:rsidRDefault="00980E5F">
            <w:pPr>
              <w:rPr>
                <w:rFonts w:ascii="宋体"/>
                <w:vanish/>
              </w:rPr>
            </w:pPr>
          </w:p>
        </w:tc>
        <w:tc>
          <w:tcPr>
            <w:tcW w:w="0" w:type="auto"/>
            <w:gridSpan w:val="3"/>
            <w:shd w:val="clear" w:color="auto" w:fill="auto"/>
            <w:vAlign w:val="bottom"/>
          </w:tcPr>
          <w:p w14:paraId="392C087E" w14:textId="77777777" w:rsidR="00980E5F" w:rsidRDefault="00980E5F">
            <w:pPr>
              <w:rPr>
                <w:rFonts w:ascii="宋体"/>
                <w:vanish/>
              </w:rPr>
            </w:pPr>
          </w:p>
        </w:tc>
        <w:tc>
          <w:tcPr>
            <w:tcW w:w="0" w:type="auto"/>
            <w:gridSpan w:val="3"/>
            <w:shd w:val="clear" w:color="auto" w:fill="auto"/>
            <w:vAlign w:val="bottom"/>
          </w:tcPr>
          <w:p w14:paraId="392C087F" w14:textId="77777777" w:rsidR="00980E5F" w:rsidRDefault="00980E5F">
            <w:pPr>
              <w:rPr>
                <w:rFonts w:ascii="宋体"/>
                <w:vanish/>
              </w:rPr>
            </w:pPr>
          </w:p>
        </w:tc>
        <w:tc>
          <w:tcPr>
            <w:tcW w:w="0" w:type="auto"/>
            <w:gridSpan w:val="3"/>
            <w:shd w:val="clear" w:color="auto" w:fill="auto"/>
            <w:vAlign w:val="bottom"/>
          </w:tcPr>
          <w:p w14:paraId="392C0880" w14:textId="77777777" w:rsidR="00980E5F" w:rsidRDefault="00980E5F">
            <w:pPr>
              <w:rPr>
                <w:rFonts w:ascii="宋体"/>
                <w:vanish/>
              </w:rPr>
            </w:pPr>
          </w:p>
        </w:tc>
        <w:tc>
          <w:tcPr>
            <w:tcW w:w="0" w:type="auto"/>
            <w:gridSpan w:val="3"/>
            <w:shd w:val="clear" w:color="auto" w:fill="auto"/>
            <w:vAlign w:val="bottom"/>
          </w:tcPr>
          <w:p w14:paraId="392C0881" w14:textId="77777777" w:rsidR="00980E5F" w:rsidRDefault="00980E5F">
            <w:pPr>
              <w:rPr>
                <w:rFonts w:ascii="宋体"/>
                <w:vanish/>
              </w:rPr>
            </w:pPr>
          </w:p>
        </w:tc>
        <w:tc>
          <w:tcPr>
            <w:tcW w:w="0" w:type="auto"/>
            <w:gridSpan w:val="3"/>
            <w:shd w:val="clear" w:color="auto" w:fill="auto"/>
            <w:vAlign w:val="bottom"/>
          </w:tcPr>
          <w:p w14:paraId="392C0882" w14:textId="77777777" w:rsidR="00980E5F" w:rsidRDefault="00980E5F">
            <w:pPr>
              <w:rPr>
                <w:rFonts w:ascii="宋体"/>
                <w:vanish/>
              </w:rPr>
            </w:pPr>
          </w:p>
        </w:tc>
        <w:tc>
          <w:tcPr>
            <w:tcW w:w="0" w:type="auto"/>
            <w:gridSpan w:val="2"/>
            <w:shd w:val="clear" w:color="auto" w:fill="auto"/>
            <w:vAlign w:val="bottom"/>
          </w:tcPr>
          <w:p w14:paraId="392C0883" w14:textId="77777777" w:rsidR="00980E5F" w:rsidRDefault="00980E5F">
            <w:pPr>
              <w:rPr>
                <w:rFonts w:ascii="宋体"/>
                <w:vanish/>
              </w:rPr>
            </w:pPr>
          </w:p>
        </w:tc>
        <w:tc>
          <w:tcPr>
            <w:tcW w:w="0" w:type="auto"/>
            <w:shd w:val="clear" w:color="auto" w:fill="auto"/>
            <w:vAlign w:val="bottom"/>
          </w:tcPr>
          <w:p w14:paraId="392C0884" w14:textId="77777777" w:rsidR="00980E5F" w:rsidRDefault="00980E5F">
            <w:pPr>
              <w:rPr>
                <w:rFonts w:ascii="宋体"/>
                <w:vanish/>
              </w:rPr>
            </w:pPr>
          </w:p>
        </w:tc>
      </w:tr>
      <w:tr w:rsidR="00980E5F" w14:paraId="392C089B" w14:textId="77777777">
        <w:trPr>
          <w:trHeight w:val="220"/>
        </w:trPr>
        <w:tc>
          <w:tcPr>
            <w:tcW w:w="0" w:type="auto"/>
            <w:gridSpan w:val="3"/>
            <w:vMerge w:val="restart"/>
            <w:shd w:val="clear" w:color="auto" w:fill="auto"/>
            <w:tcMar>
              <w:top w:w="40" w:type="dxa"/>
              <w:left w:w="20" w:type="dxa"/>
              <w:bottom w:w="40" w:type="dxa"/>
              <w:right w:w="20" w:type="dxa"/>
            </w:tcMar>
            <w:vAlign w:val="bottom"/>
          </w:tcPr>
          <w:p w14:paraId="392C0886" w14:textId="77777777" w:rsidR="00980E5F" w:rsidRDefault="00483613">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392C0887" w14:textId="77777777" w:rsidR="00980E5F" w:rsidRDefault="00980E5F">
            <w:pPr>
              <w:rPr>
                <w:rFonts w:ascii="宋体"/>
                <w:vanish/>
              </w:rPr>
            </w:pPr>
          </w:p>
        </w:tc>
        <w:tc>
          <w:tcPr>
            <w:tcW w:w="0" w:type="auto"/>
            <w:shd w:val="clear" w:color="auto" w:fill="auto"/>
            <w:vAlign w:val="bottom"/>
          </w:tcPr>
          <w:p w14:paraId="392C0888" w14:textId="77777777" w:rsidR="00980E5F" w:rsidRDefault="00980E5F">
            <w:pPr>
              <w:rPr>
                <w:rFonts w:ascii="宋体"/>
                <w:vanish/>
              </w:rPr>
            </w:pPr>
          </w:p>
        </w:tc>
        <w:tc>
          <w:tcPr>
            <w:tcW w:w="0" w:type="auto"/>
            <w:shd w:val="clear" w:color="auto" w:fill="auto"/>
            <w:vAlign w:val="bottom"/>
          </w:tcPr>
          <w:p w14:paraId="392C0889" w14:textId="77777777" w:rsidR="00980E5F" w:rsidRDefault="00980E5F">
            <w:pPr>
              <w:rPr>
                <w:rFonts w:ascii="宋体"/>
                <w:vanish/>
              </w:rPr>
            </w:pPr>
          </w:p>
        </w:tc>
        <w:tc>
          <w:tcPr>
            <w:tcW w:w="0" w:type="auto"/>
            <w:shd w:val="clear" w:color="auto" w:fill="auto"/>
            <w:vAlign w:val="bottom"/>
          </w:tcPr>
          <w:p w14:paraId="392C088A" w14:textId="77777777" w:rsidR="00980E5F" w:rsidRDefault="00980E5F">
            <w:pPr>
              <w:rPr>
                <w:rFonts w:ascii="宋体"/>
                <w:vanish/>
              </w:rPr>
            </w:pPr>
          </w:p>
        </w:tc>
        <w:tc>
          <w:tcPr>
            <w:tcW w:w="0" w:type="auto"/>
            <w:gridSpan w:val="5"/>
            <w:shd w:val="clear" w:color="auto" w:fill="auto"/>
            <w:tcMar>
              <w:top w:w="40" w:type="dxa"/>
              <w:left w:w="20" w:type="dxa"/>
              <w:bottom w:w="40" w:type="dxa"/>
              <w:right w:w="20" w:type="dxa"/>
            </w:tcMar>
            <w:vAlign w:val="bottom"/>
          </w:tcPr>
          <w:p w14:paraId="392C088B"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392C088C" w14:textId="77777777" w:rsidR="00980E5F" w:rsidRDefault="00980E5F">
            <w:pPr>
              <w:rPr>
                <w:rFonts w:ascii="宋体"/>
              </w:rPr>
            </w:pPr>
          </w:p>
        </w:tc>
        <w:tc>
          <w:tcPr>
            <w:tcW w:w="0" w:type="auto"/>
            <w:gridSpan w:val="3"/>
            <w:shd w:val="clear" w:color="auto" w:fill="auto"/>
            <w:vAlign w:val="bottom"/>
          </w:tcPr>
          <w:p w14:paraId="392C088D" w14:textId="77777777" w:rsidR="00980E5F" w:rsidRDefault="00980E5F">
            <w:pPr>
              <w:rPr>
                <w:rFonts w:ascii="宋体"/>
                <w:vanish/>
              </w:rPr>
            </w:pPr>
          </w:p>
        </w:tc>
        <w:tc>
          <w:tcPr>
            <w:tcW w:w="0" w:type="auto"/>
            <w:gridSpan w:val="3"/>
            <w:shd w:val="clear" w:color="auto" w:fill="auto"/>
            <w:vAlign w:val="bottom"/>
          </w:tcPr>
          <w:p w14:paraId="392C088E" w14:textId="77777777" w:rsidR="00980E5F" w:rsidRDefault="00980E5F">
            <w:pPr>
              <w:rPr>
                <w:rFonts w:ascii="宋体"/>
                <w:vanish/>
              </w:rPr>
            </w:pPr>
          </w:p>
        </w:tc>
        <w:tc>
          <w:tcPr>
            <w:tcW w:w="0" w:type="auto"/>
            <w:vMerge w:val="restart"/>
            <w:shd w:val="clear" w:color="auto" w:fill="auto"/>
            <w:tcMar>
              <w:top w:w="40" w:type="dxa"/>
              <w:left w:w="20" w:type="dxa"/>
              <w:bottom w:w="40" w:type="dxa"/>
              <w:right w:w="20" w:type="dxa"/>
            </w:tcMar>
            <w:vAlign w:val="bottom"/>
          </w:tcPr>
          <w:p w14:paraId="392C088F" w14:textId="77777777" w:rsidR="00980E5F" w:rsidRDefault="00483613">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392C0890" w14:textId="77777777" w:rsidR="00980E5F" w:rsidRDefault="00980E5F">
            <w:pPr>
              <w:rPr>
                <w:rFonts w:ascii="宋体"/>
                <w:vanish/>
              </w:rPr>
            </w:pPr>
          </w:p>
        </w:tc>
        <w:tc>
          <w:tcPr>
            <w:tcW w:w="0" w:type="auto"/>
            <w:gridSpan w:val="3"/>
            <w:shd w:val="clear" w:color="auto" w:fill="auto"/>
            <w:vAlign w:val="bottom"/>
          </w:tcPr>
          <w:p w14:paraId="392C0891" w14:textId="77777777" w:rsidR="00980E5F" w:rsidRDefault="00980E5F">
            <w:pPr>
              <w:rPr>
                <w:rFonts w:ascii="宋体"/>
                <w:vanish/>
              </w:rPr>
            </w:pPr>
          </w:p>
        </w:tc>
        <w:tc>
          <w:tcPr>
            <w:tcW w:w="0" w:type="auto"/>
            <w:gridSpan w:val="3"/>
            <w:shd w:val="clear" w:color="auto" w:fill="auto"/>
            <w:vAlign w:val="bottom"/>
          </w:tcPr>
          <w:p w14:paraId="392C0892" w14:textId="77777777" w:rsidR="00980E5F" w:rsidRDefault="00980E5F">
            <w:pPr>
              <w:rPr>
                <w:rFonts w:ascii="宋体"/>
                <w:vanish/>
              </w:rPr>
            </w:pPr>
          </w:p>
        </w:tc>
        <w:tc>
          <w:tcPr>
            <w:tcW w:w="0" w:type="auto"/>
            <w:gridSpan w:val="3"/>
            <w:shd w:val="clear" w:color="auto" w:fill="auto"/>
            <w:vAlign w:val="bottom"/>
          </w:tcPr>
          <w:p w14:paraId="392C0893" w14:textId="77777777" w:rsidR="00980E5F" w:rsidRDefault="00980E5F">
            <w:pPr>
              <w:rPr>
                <w:rFonts w:ascii="宋体"/>
                <w:vanish/>
              </w:rPr>
            </w:pPr>
          </w:p>
        </w:tc>
        <w:tc>
          <w:tcPr>
            <w:tcW w:w="0" w:type="auto"/>
            <w:gridSpan w:val="3"/>
            <w:shd w:val="clear" w:color="auto" w:fill="auto"/>
            <w:vAlign w:val="bottom"/>
          </w:tcPr>
          <w:p w14:paraId="392C0894" w14:textId="77777777" w:rsidR="00980E5F" w:rsidRDefault="00980E5F">
            <w:pPr>
              <w:rPr>
                <w:rFonts w:ascii="宋体"/>
                <w:vanish/>
              </w:rPr>
            </w:pPr>
          </w:p>
        </w:tc>
        <w:tc>
          <w:tcPr>
            <w:tcW w:w="0" w:type="auto"/>
            <w:gridSpan w:val="3"/>
            <w:shd w:val="clear" w:color="auto" w:fill="auto"/>
            <w:vAlign w:val="bottom"/>
          </w:tcPr>
          <w:p w14:paraId="392C0895" w14:textId="77777777" w:rsidR="00980E5F" w:rsidRDefault="00980E5F">
            <w:pPr>
              <w:rPr>
                <w:rFonts w:ascii="宋体"/>
                <w:vanish/>
              </w:rPr>
            </w:pPr>
          </w:p>
        </w:tc>
        <w:tc>
          <w:tcPr>
            <w:tcW w:w="0" w:type="auto"/>
            <w:gridSpan w:val="3"/>
            <w:shd w:val="clear" w:color="auto" w:fill="auto"/>
            <w:vAlign w:val="bottom"/>
          </w:tcPr>
          <w:p w14:paraId="392C0896" w14:textId="77777777" w:rsidR="00980E5F" w:rsidRDefault="00980E5F">
            <w:pPr>
              <w:rPr>
                <w:rFonts w:ascii="宋体"/>
                <w:vanish/>
              </w:rPr>
            </w:pPr>
          </w:p>
        </w:tc>
        <w:tc>
          <w:tcPr>
            <w:tcW w:w="0" w:type="auto"/>
            <w:gridSpan w:val="3"/>
            <w:shd w:val="clear" w:color="auto" w:fill="auto"/>
            <w:vAlign w:val="bottom"/>
          </w:tcPr>
          <w:p w14:paraId="392C0897" w14:textId="77777777" w:rsidR="00980E5F" w:rsidRDefault="00980E5F">
            <w:pPr>
              <w:rPr>
                <w:rFonts w:ascii="宋体"/>
                <w:vanish/>
              </w:rPr>
            </w:pPr>
          </w:p>
        </w:tc>
        <w:tc>
          <w:tcPr>
            <w:tcW w:w="0" w:type="auto"/>
            <w:shd w:val="clear" w:color="auto" w:fill="auto"/>
            <w:vAlign w:val="bottom"/>
          </w:tcPr>
          <w:p w14:paraId="392C0898" w14:textId="77777777" w:rsidR="00980E5F" w:rsidRDefault="00980E5F">
            <w:pPr>
              <w:rPr>
                <w:rFonts w:ascii="宋体"/>
              </w:rPr>
            </w:pPr>
          </w:p>
        </w:tc>
        <w:tc>
          <w:tcPr>
            <w:tcW w:w="0" w:type="auto"/>
            <w:shd w:val="clear" w:color="auto" w:fill="auto"/>
            <w:vAlign w:val="bottom"/>
          </w:tcPr>
          <w:p w14:paraId="392C0899" w14:textId="77777777" w:rsidR="00980E5F" w:rsidRDefault="00980E5F">
            <w:pPr>
              <w:rPr>
                <w:rFonts w:ascii="宋体"/>
              </w:rPr>
            </w:pPr>
          </w:p>
        </w:tc>
        <w:tc>
          <w:tcPr>
            <w:tcW w:w="0" w:type="auto"/>
            <w:shd w:val="clear" w:color="auto" w:fill="auto"/>
            <w:vAlign w:val="bottom"/>
          </w:tcPr>
          <w:p w14:paraId="392C089A" w14:textId="77777777" w:rsidR="00980E5F" w:rsidRDefault="00980E5F">
            <w:pPr>
              <w:rPr>
                <w:rFonts w:ascii="宋体"/>
              </w:rPr>
            </w:pPr>
          </w:p>
        </w:tc>
      </w:tr>
      <w:tr w:rsidR="00980E5F" w14:paraId="392C08B5" w14:textId="77777777">
        <w:trPr>
          <w:trHeight w:val="220"/>
        </w:trPr>
        <w:tc>
          <w:tcPr>
            <w:tcW w:w="0" w:type="auto"/>
            <w:gridSpan w:val="3"/>
            <w:vMerge/>
            <w:shd w:val="clear" w:color="auto" w:fill="auto"/>
            <w:tcMar>
              <w:top w:w="40" w:type="dxa"/>
              <w:left w:w="20" w:type="dxa"/>
              <w:bottom w:w="40" w:type="dxa"/>
              <w:right w:w="20" w:type="dxa"/>
            </w:tcMar>
            <w:vAlign w:val="bottom"/>
          </w:tcPr>
          <w:p w14:paraId="392C089C" w14:textId="77777777" w:rsidR="00980E5F" w:rsidRDefault="00980E5F">
            <w:pPr>
              <w:rPr>
                <w:rFonts w:ascii="宋体"/>
              </w:rPr>
            </w:pPr>
          </w:p>
        </w:tc>
        <w:tc>
          <w:tcPr>
            <w:tcW w:w="0" w:type="auto"/>
            <w:shd w:val="clear" w:color="auto" w:fill="auto"/>
            <w:vAlign w:val="bottom"/>
          </w:tcPr>
          <w:p w14:paraId="392C089D" w14:textId="77777777" w:rsidR="00980E5F" w:rsidRDefault="00980E5F">
            <w:pPr>
              <w:rPr>
                <w:rFonts w:ascii="宋体"/>
                <w:vanish/>
              </w:rPr>
            </w:pPr>
          </w:p>
        </w:tc>
        <w:tc>
          <w:tcPr>
            <w:tcW w:w="0" w:type="auto"/>
            <w:shd w:val="clear" w:color="auto" w:fill="auto"/>
            <w:vAlign w:val="bottom"/>
          </w:tcPr>
          <w:p w14:paraId="392C089E" w14:textId="77777777" w:rsidR="00980E5F" w:rsidRDefault="00980E5F">
            <w:pPr>
              <w:rPr>
                <w:rFonts w:ascii="宋体"/>
                <w:vanish/>
              </w:rPr>
            </w:pPr>
          </w:p>
        </w:tc>
        <w:tc>
          <w:tcPr>
            <w:tcW w:w="0" w:type="auto"/>
            <w:shd w:val="clear" w:color="auto" w:fill="auto"/>
            <w:vAlign w:val="bottom"/>
          </w:tcPr>
          <w:p w14:paraId="392C089F" w14:textId="77777777" w:rsidR="00980E5F" w:rsidRDefault="00980E5F">
            <w:pPr>
              <w:rPr>
                <w:rFonts w:ascii="宋体"/>
                <w:vanish/>
              </w:rPr>
            </w:pPr>
          </w:p>
        </w:tc>
        <w:tc>
          <w:tcPr>
            <w:tcW w:w="0" w:type="auto"/>
            <w:shd w:val="clear" w:color="auto" w:fill="auto"/>
            <w:vAlign w:val="bottom"/>
          </w:tcPr>
          <w:p w14:paraId="392C08A0" w14:textId="77777777" w:rsidR="00980E5F" w:rsidRDefault="00980E5F">
            <w:pPr>
              <w:rPr>
                <w:rFonts w:ascii="宋体"/>
                <w:vanish/>
              </w:rPr>
            </w:pPr>
          </w:p>
        </w:tc>
        <w:tc>
          <w:tcPr>
            <w:tcW w:w="0" w:type="auto"/>
            <w:shd w:val="clear" w:color="auto" w:fill="auto"/>
            <w:vAlign w:val="bottom"/>
          </w:tcPr>
          <w:p w14:paraId="392C08A1" w14:textId="77777777" w:rsidR="00980E5F" w:rsidRDefault="00980E5F">
            <w:pPr>
              <w:rPr>
                <w:rFonts w:ascii="宋体"/>
                <w:vanish/>
              </w:rPr>
            </w:pPr>
          </w:p>
        </w:tc>
        <w:tc>
          <w:tcPr>
            <w:tcW w:w="0" w:type="auto"/>
            <w:shd w:val="clear" w:color="auto" w:fill="auto"/>
            <w:vAlign w:val="bottom"/>
          </w:tcPr>
          <w:p w14:paraId="392C08A2"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8A3"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8A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8A5"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08A6" w14:textId="77777777" w:rsidR="00980E5F" w:rsidRDefault="00980E5F">
            <w:pPr>
              <w:rPr>
                <w:rFonts w:ascii="宋体"/>
              </w:rPr>
            </w:pPr>
          </w:p>
        </w:tc>
        <w:tc>
          <w:tcPr>
            <w:tcW w:w="0" w:type="auto"/>
            <w:vMerge/>
            <w:shd w:val="clear" w:color="auto" w:fill="auto"/>
            <w:tcMar>
              <w:top w:w="40" w:type="dxa"/>
              <w:left w:w="20" w:type="dxa"/>
              <w:bottom w:w="40" w:type="dxa"/>
              <w:right w:w="20" w:type="dxa"/>
            </w:tcMar>
            <w:vAlign w:val="bottom"/>
          </w:tcPr>
          <w:p w14:paraId="392C08A7" w14:textId="77777777" w:rsidR="00980E5F" w:rsidRDefault="00980E5F">
            <w:pPr>
              <w:jc w:val="center"/>
              <w:rPr>
                <w:rFonts w:ascii="宋体"/>
              </w:rPr>
            </w:pPr>
          </w:p>
        </w:tc>
        <w:tc>
          <w:tcPr>
            <w:tcW w:w="0" w:type="auto"/>
            <w:shd w:val="clear" w:color="auto" w:fill="auto"/>
            <w:vAlign w:val="bottom"/>
          </w:tcPr>
          <w:p w14:paraId="392C08A8" w14:textId="77777777" w:rsidR="00980E5F" w:rsidRDefault="00980E5F">
            <w:pPr>
              <w:rPr>
                <w:rFonts w:ascii="宋体"/>
                <w:vanish/>
              </w:rPr>
            </w:pPr>
          </w:p>
        </w:tc>
        <w:tc>
          <w:tcPr>
            <w:tcW w:w="0" w:type="auto"/>
            <w:gridSpan w:val="3"/>
            <w:shd w:val="clear" w:color="auto" w:fill="auto"/>
            <w:vAlign w:val="bottom"/>
          </w:tcPr>
          <w:p w14:paraId="392C08A9" w14:textId="77777777" w:rsidR="00980E5F" w:rsidRDefault="00980E5F">
            <w:pPr>
              <w:rPr>
                <w:rFonts w:ascii="宋体"/>
                <w:vanish/>
              </w:rPr>
            </w:pPr>
          </w:p>
        </w:tc>
        <w:tc>
          <w:tcPr>
            <w:tcW w:w="0" w:type="auto"/>
            <w:gridSpan w:val="3"/>
            <w:shd w:val="clear" w:color="auto" w:fill="auto"/>
            <w:vAlign w:val="bottom"/>
          </w:tcPr>
          <w:p w14:paraId="392C08AA" w14:textId="77777777" w:rsidR="00980E5F" w:rsidRDefault="00980E5F">
            <w:pPr>
              <w:rPr>
                <w:rFonts w:ascii="宋体"/>
                <w:vanish/>
              </w:rPr>
            </w:pPr>
          </w:p>
        </w:tc>
        <w:tc>
          <w:tcPr>
            <w:tcW w:w="0" w:type="auto"/>
            <w:gridSpan w:val="3"/>
            <w:shd w:val="clear" w:color="auto" w:fill="auto"/>
            <w:vAlign w:val="bottom"/>
          </w:tcPr>
          <w:p w14:paraId="392C08AB" w14:textId="77777777" w:rsidR="00980E5F" w:rsidRDefault="00980E5F">
            <w:pPr>
              <w:rPr>
                <w:rFonts w:ascii="宋体"/>
                <w:vanish/>
              </w:rPr>
            </w:pPr>
          </w:p>
        </w:tc>
        <w:tc>
          <w:tcPr>
            <w:tcW w:w="0" w:type="auto"/>
            <w:gridSpan w:val="3"/>
            <w:shd w:val="clear" w:color="auto" w:fill="auto"/>
            <w:vAlign w:val="bottom"/>
          </w:tcPr>
          <w:p w14:paraId="392C08AC" w14:textId="77777777" w:rsidR="00980E5F" w:rsidRDefault="00980E5F">
            <w:pPr>
              <w:rPr>
                <w:rFonts w:ascii="宋体"/>
                <w:vanish/>
              </w:rPr>
            </w:pPr>
          </w:p>
        </w:tc>
        <w:tc>
          <w:tcPr>
            <w:tcW w:w="0" w:type="auto"/>
            <w:gridSpan w:val="3"/>
            <w:shd w:val="clear" w:color="auto" w:fill="auto"/>
            <w:vAlign w:val="bottom"/>
          </w:tcPr>
          <w:p w14:paraId="392C08AD" w14:textId="77777777" w:rsidR="00980E5F" w:rsidRDefault="00980E5F">
            <w:pPr>
              <w:rPr>
                <w:rFonts w:ascii="宋体"/>
                <w:vanish/>
              </w:rPr>
            </w:pPr>
          </w:p>
        </w:tc>
        <w:tc>
          <w:tcPr>
            <w:tcW w:w="0" w:type="auto"/>
            <w:gridSpan w:val="3"/>
            <w:shd w:val="clear" w:color="auto" w:fill="auto"/>
            <w:vAlign w:val="bottom"/>
          </w:tcPr>
          <w:p w14:paraId="392C08AE" w14:textId="77777777" w:rsidR="00980E5F" w:rsidRDefault="00980E5F">
            <w:pPr>
              <w:rPr>
                <w:rFonts w:ascii="宋体"/>
                <w:vanish/>
              </w:rPr>
            </w:pPr>
          </w:p>
        </w:tc>
        <w:tc>
          <w:tcPr>
            <w:tcW w:w="0" w:type="auto"/>
            <w:shd w:val="clear" w:color="auto" w:fill="auto"/>
            <w:vAlign w:val="bottom"/>
          </w:tcPr>
          <w:p w14:paraId="392C08AF" w14:textId="77777777" w:rsidR="00980E5F" w:rsidRDefault="00980E5F">
            <w:pPr>
              <w:rPr>
                <w:rFonts w:ascii="宋体"/>
              </w:rPr>
            </w:pPr>
          </w:p>
        </w:tc>
        <w:tc>
          <w:tcPr>
            <w:tcW w:w="0" w:type="auto"/>
            <w:shd w:val="clear" w:color="auto" w:fill="auto"/>
            <w:vAlign w:val="bottom"/>
          </w:tcPr>
          <w:p w14:paraId="392C08B0" w14:textId="77777777" w:rsidR="00980E5F" w:rsidRDefault="00980E5F">
            <w:pPr>
              <w:rPr>
                <w:rFonts w:ascii="宋体"/>
              </w:rPr>
            </w:pPr>
          </w:p>
        </w:tc>
        <w:tc>
          <w:tcPr>
            <w:tcW w:w="0" w:type="auto"/>
            <w:shd w:val="clear" w:color="auto" w:fill="auto"/>
            <w:vAlign w:val="bottom"/>
          </w:tcPr>
          <w:p w14:paraId="392C08B1" w14:textId="77777777" w:rsidR="00980E5F" w:rsidRDefault="00980E5F">
            <w:pPr>
              <w:rPr>
                <w:rFonts w:ascii="宋体"/>
              </w:rPr>
            </w:pPr>
          </w:p>
        </w:tc>
        <w:tc>
          <w:tcPr>
            <w:tcW w:w="0" w:type="auto"/>
            <w:shd w:val="clear" w:color="auto" w:fill="auto"/>
            <w:vAlign w:val="bottom"/>
          </w:tcPr>
          <w:p w14:paraId="392C08B2" w14:textId="77777777" w:rsidR="00980E5F" w:rsidRDefault="00980E5F">
            <w:pPr>
              <w:rPr>
                <w:rFonts w:ascii="宋体"/>
              </w:rPr>
            </w:pPr>
          </w:p>
        </w:tc>
        <w:tc>
          <w:tcPr>
            <w:tcW w:w="0" w:type="auto"/>
            <w:shd w:val="clear" w:color="auto" w:fill="auto"/>
            <w:vAlign w:val="bottom"/>
          </w:tcPr>
          <w:p w14:paraId="392C08B3" w14:textId="77777777" w:rsidR="00980E5F" w:rsidRDefault="00980E5F">
            <w:pPr>
              <w:rPr>
                <w:rFonts w:ascii="宋体"/>
              </w:rPr>
            </w:pPr>
          </w:p>
        </w:tc>
        <w:tc>
          <w:tcPr>
            <w:tcW w:w="0" w:type="auto"/>
            <w:shd w:val="clear" w:color="auto" w:fill="auto"/>
            <w:vAlign w:val="bottom"/>
          </w:tcPr>
          <w:p w14:paraId="392C08B4" w14:textId="77777777" w:rsidR="00980E5F" w:rsidRDefault="00980E5F">
            <w:pPr>
              <w:rPr>
                <w:rFonts w:ascii="宋体"/>
              </w:rPr>
            </w:pPr>
          </w:p>
        </w:tc>
      </w:tr>
      <w:tr w:rsidR="00980E5F" w14:paraId="392C08D1" w14:textId="77777777">
        <w:tc>
          <w:tcPr>
            <w:tcW w:w="0" w:type="auto"/>
            <w:gridSpan w:val="3"/>
            <w:shd w:val="clear" w:color="auto" w:fill="CCEEFF"/>
            <w:tcMar>
              <w:top w:w="40" w:type="dxa"/>
              <w:left w:w="20" w:type="dxa"/>
              <w:bottom w:w="40" w:type="dxa"/>
              <w:right w:w="20" w:type="dxa"/>
            </w:tcMar>
            <w:vAlign w:val="bottom"/>
          </w:tcPr>
          <w:p w14:paraId="392C08B6" w14:textId="77777777" w:rsidR="00980E5F" w:rsidRDefault="00483613">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392C08B7" w14:textId="77777777" w:rsidR="00980E5F" w:rsidRDefault="00980E5F">
            <w:pPr>
              <w:rPr>
                <w:rFonts w:ascii="宋体"/>
                <w:vanish/>
              </w:rPr>
            </w:pPr>
          </w:p>
        </w:tc>
        <w:tc>
          <w:tcPr>
            <w:tcW w:w="0" w:type="auto"/>
            <w:shd w:val="clear" w:color="auto" w:fill="auto"/>
            <w:vAlign w:val="bottom"/>
          </w:tcPr>
          <w:p w14:paraId="392C08B8" w14:textId="77777777" w:rsidR="00980E5F" w:rsidRDefault="00980E5F">
            <w:pPr>
              <w:rPr>
                <w:rFonts w:ascii="宋体"/>
                <w:vanish/>
              </w:rPr>
            </w:pPr>
          </w:p>
        </w:tc>
        <w:tc>
          <w:tcPr>
            <w:tcW w:w="0" w:type="auto"/>
            <w:shd w:val="clear" w:color="auto" w:fill="auto"/>
            <w:vAlign w:val="bottom"/>
          </w:tcPr>
          <w:p w14:paraId="392C08B9" w14:textId="77777777" w:rsidR="00980E5F" w:rsidRDefault="00980E5F">
            <w:pPr>
              <w:rPr>
                <w:rFonts w:ascii="宋体"/>
                <w:vanish/>
              </w:rPr>
            </w:pPr>
          </w:p>
        </w:tc>
        <w:tc>
          <w:tcPr>
            <w:tcW w:w="0" w:type="auto"/>
            <w:shd w:val="clear" w:color="auto" w:fill="auto"/>
            <w:vAlign w:val="bottom"/>
          </w:tcPr>
          <w:p w14:paraId="392C08BA" w14:textId="77777777" w:rsidR="00980E5F" w:rsidRDefault="00980E5F">
            <w:pPr>
              <w:rPr>
                <w:rFonts w:ascii="宋体"/>
                <w:vanish/>
              </w:rPr>
            </w:pPr>
          </w:p>
        </w:tc>
        <w:tc>
          <w:tcPr>
            <w:tcW w:w="0" w:type="auto"/>
            <w:shd w:val="clear" w:color="auto" w:fill="auto"/>
            <w:vAlign w:val="bottom"/>
          </w:tcPr>
          <w:p w14:paraId="392C08BB" w14:textId="77777777" w:rsidR="00980E5F" w:rsidRDefault="00980E5F">
            <w:pPr>
              <w:rPr>
                <w:rFonts w:ascii="宋体"/>
                <w:vanish/>
              </w:rPr>
            </w:pPr>
          </w:p>
        </w:tc>
        <w:tc>
          <w:tcPr>
            <w:tcW w:w="0" w:type="auto"/>
            <w:shd w:val="clear" w:color="auto" w:fill="auto"/>
            <w:vAlign w:val="bottom"/>
          </w:tcPr>
          <w:p w14:paraId="392C08BC"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8B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8BE"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8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C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8C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8C2" w14:textId="77777777" w:rsidR="00980E5F" w:rsidRDefault="00483613">
            <w:pPr>
              <w:jc w:val="right"/>
              <w:textAlignment w:val="bottom"/>
            </w:pPr>
            <w:r>
              <w:rPr>
                <w:rFonts w:ascii="Arial" w:eastAsia="宋体" w:hAnsi="Arial" w:cs="Arial"/>
                <w:color w:val="000000"/>
                <w:sz w:val="14"/>
                <w:szCs w:val="14"/>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8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C4" w14:textId="77777777" w:rsidR="00980E5F" w:rsidRDefault="00980E5F">
            <w:pPr>
              <w:rPr>
                <w:rFonts w:ascii="宋体"/>
              </w:rPr>
            </w:pPr>
          </w:p>
        </w:tc>
        <w:tc>
          <w:tcPr>
            <w:tcW w:w="0" w:type="auto"/>
            <w:shd w:val="clear" w:color="auto" w:fill="auto"/>
            <w:vAlign w:val="bottom"/>
          </w:tcPr>
          <w:p w14:paraId="392C08C5" w14:textId="77777777" w:rsidR="00980E5F" w:rsidRDefault="00980E5F">
            <w:pPr>
              <w:rPr>
                <w:rFonts w:ascii="宋体"/>
                <w:vanish/>
              </w:rPr>
            </w:pPr>
          </w:p>
        </w:tc>
        <w:tc>
          <w:tcPr>
            <w:tcW w:w="0" w:type="auto"/>
            <w:shd w:val="clear" w:color="auto" w:fill="auto"/>
            <w:vAlign w:val="bottom"/>
          </w:tcPr>
          <w:p w14:paraId="392C08C6"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8C7" w14:textId="77777777" w:rsidR="00980E5F" w:rsidRDefault="00483613">
            <w:pPr>
              <w:jc w:val="right"/>
              <w:textAlignment w:val="bottom"/>
            </w:pPr>
            <w:r>
              <w:rPr>
                <w:rFonts w:ascii="Arial" w:eastAsia="宋体" w:hAnsi="Arial" w:cs="Arial"/>
                <w:color w:val="000000"/>
                <w:sz w:val="14"/>
                <w:szCs w:val="14"/>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8C8"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8C9" w14:textId="77777777" w:rsidR="00980E5F" w:rsidRDefault="00980E5F">
            <w:pPr>
              <w:rPr>
                <w:rFonts w:ascii="宋体"/>
                <w:vanish/>
              </w:rPr>
            </w:pPr>
          </w:p>
        </w:tc>
        <w:tc>
          <w:tcPr>
            <w:tcW w:w="0" w:type="auto"/>
            <w:gridSpan w:val="3"/>
            <w:shd w:val="clear" w:color="auto" w:fill="auto"/>
            <w:vAlign w:val="bottom"/>
          </w:tcPr>
          <w:p w14:paraId="392C08CA" w14:textId="77777777" w:rsidR="00980E5F" w:rsidRDefault="00980E5F">
            <w:pPr>
              <w:rPr>
                <w:rFonts w:ascii="宋体"/>
                <w:vanish/>
              </w:rPr>
            </w:pPr>
          </w:p>
        </w:tc>
        <w:tc>
          <w:tcPr>
            <w:tcW w:w="0" w:type="auto"/>
            <w:gridSpan w:val="3"/>
            <w:shd w:val="clear" w:color="auto" w:fill="auto"/>
            <w:vAlign w:val="bottom"/>
          </w:tcPr>
          <w:p w14:paraId="392C08CB" w14:textId="77777777" w:rsidR="00980E5F" w:rsidRDefault="00980E5F">
            <w:pPr>
              <w:rPr>
                <w:rFonts w:ascii="宋体"/>
                <w:vanish/>
              </w:rPr>
            </w:pPr>
          </w:p>
        </w:tc>
        <w:tc>
          <w:tcPr>
            <w:tcW w:w="0" w:type="auto"/>
            <w:gridSpan w:val="3"/>
            <w:shd w:val="clear" w:color="auto" w:fill="auto"/>
            <w:vAlign w:val="bottom"/>
          </w:tcPr>
          <w:p w14:paraId="392C08CC" w14:textId="77777777" w:rsidR="00980E5F" w:rsidRDefault="00980E5F">
            <w:pPr>
              <w:rPr>
                <w:rFonts w:ascii="宋体"/>
                <w:vanish/>
              </w:rPr>
            </w:pPr>
          </w:p>
        </w:tc>
        <w:tc>
          <w:tcPr>
            <w:tcW w:w="0" w:type="auto"/>
            <w:gridSpan w:val="3"/>
            <w:shd w:val="clear" w:color="auto" w:fill="auto"/>
            <w:vAlign w:val="bottom"/>
          </w:tcPr>
          <w:p w14:paraId="392C08CD" w14:textId="77777777" w:rsidR="00980E5F" w:rsidRDefault="00980E5F">
            <w:pPr>
              <w:rPr>
                <w:rFonts w:ascii="宋体"/>
                <w:vanish/>
              </w:rPr>
            </w:pPr>
          </w:p>
        </w:tc>
        <w:tc>
          <w:tcPr>
            <w:tcW w:w="0" w:type="auto"/>
            <w:gridSpan w:val="3"/>
            <w:shd w:val="clear" w:color="auto" w:fill="auto"/>
            <w:vAlign w:val="bottom"/>
          </w:tcPr>
          <w:p w14:paraId="392C08CE" w14:textId="77777777" w:rsidR="00980E5F" w:rsidRDefault="00980E5F">
            <w:pPr>
              <w:rPr>
                <w:rFonts w:ascii="宋体"/>
                <w:vanish/>
              </w:rPr>
            </w:pPr>
          </w:p>
        </w:tc>
        <w:tc>
          <w:tcPr>
            <w:tcW w:w="0" w:type="auto"/>
            <w:gridSpan w:val="2"/>
            <w:shd w:val="clear" w:color="auto" w:fill="auto"/>
            <w:vAlign w:val="bottom"/>
          </w:tcPr>
          <w:p w14:paraId="392C08CF" w14:textId="77777777" w:rsidR="00980E5F" w:rsidRDefault="00980E5F">
            <w:pPr>
              <w:rPr>
                <w:rFonts w:ascii="宋体"/>
                <w:vanish/>
              </w:rPr>
            </w:pPr>
          </w:p>
        </w:tc>
        <w:tc>
          <w:tcPr>
            <w:tcW w:w="0" w:type="auto"/>
            <w:shd w:val="clear" w:color="auto" w:fill="auto"/>
            <w:vAlign w:val="bottom"/>
          </w:tcPr>
          <w:p w14:paraId="392C08D0" w14:textId="77777777" w:rsidR="00980E5F" w:rsidRDefault="00980E5F">
            <w:pPr>
              <w:rPr>
                <w:rFonts w:ascii="宋体"/>
                <w:vanish/>
              </w:rPr>
            </w:pPr>
          </w:p>
        </w:tc>
      </w:tr>
      <w:tr w:rsidR="00980E5F" w14:paraId="392C08EB" w14:textId="77777777">
        <w:tc>
          <w:tcPr>
            <w:tcW w:w="0" w:type="auto"/>
            <w:gridSpan w:val="3"/>
            <w:shd w:val="clear" w:color="auto" w:fill="FFFFFF"/>
            <w:tcMar>
              <w:top w:w="40" w:type="dxa"/>
              <w:left w:w="20" w:type="dxa"/>
              <w:bottom w:w="40" w:type="dxa"/>
              <w:right w:w="20" w:type="dxa"/>
            </w:tcMar>
            <w:vAlign w:val="bottom"/>
          </w:tcPr>
          <w:p w14:paraId="392C08D2"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392C08D3" w14:textId="77777777" w:rsidR="00980E5F" w:rsidRDefault="00980E5F">
            <w:pPr>
              <w:rPr>
                <w:rFonts w:ascii="宋体"/>
                <w:vanish/>
              </w:rPr>
            </w:pPr>
          </w:p>
        </w:tc>
        <w:tc>
          <w:tcPr>
            <w:tcW w:w="0" w:type="auto"/>
            <w:shd w:val="clear" w:color="auto" w:fill="auto"/>
            <w:vAlign w:val="bottom"/>
          </w:tcPr>
          <w:p w14:paraId="392C08D4" w14:textId="77777777" w:rsidR="00980E5F" w:rsidRDefault="00980E5F">
            <w:pPr>
              <w:rPr>
                <w:rFonts w:ascii="宋体"/>
                <w:vanish/>
              </w:rPr>
            </w:pPr>
          </w:p>
        </w:tc>
        <w:tc>
          <w:tcPr>
            <w:tcW w:w="0" w:type="auto"/>
            <w:shd w:val="clear" w:color="auto" w:fill="auto"/>
            <w:vAlign w:val="bottom"/>
          </w:tcPr>
          <w:p w14:paraId="392C08D5" w14:textId="77777777" w:rsidR="00980E5F" w:rsidRDefault="00980E5F">
            <w:pPr>
              <w:rPr>
                <w:rFonts w:ascii="宋体"/>
                <w:vanish/>
              </w:rPr>
            </w:pPr>
          </w:p>
        </w:tc>
        <w:tc>
          <w:tcPr>
            <w:tcW w:w="0" w:type="auto"/>
            <w:shd w:val="clear" w:color="auto" w:fill="auto"/>
            <w:vAlign w:val="bottom"/>
          </w:tcPr>
          <w:p w14:paraId="392C08D6" w14:textId="77777777" w:rsidR="00980E5F" w:rsidRDefault="00980E5F">
            <w:pPr>
              <w:rPr>
                <w:rFonts w:ascii="宋体"/>
                <w:vanish/>
              </w:rPr>
            </w:pPr>
          </w:p>
        </w:tc>
        <w:tc>
          <w:tcPr>
            <w:tcW w:w="0" w:type="auto"/>
            <w:shd w:val="clear" w:color="auto" w:fill="auto"/>
            <w:vAlign w:val="bottom"/>
          </w:tcPr>
          <w:p w14:paraId="392C08D7" w14:textId="77777777" w:rsidR="00980E5F" w:rsidRDefault="00980E5F">
            <w:pPr>
              <w:rPr>
                <w:rFonts w:ascii="宋体"/>
                <w:vanish/>
              </w:rPr>
            </w:pPr>
          </w:p>
        </w:tc>
        <w:tc>
          <w:tcPr>
            <w:tcW w:w="0" w:type="auto"/>
            <w:shd w:val="clear" w:color="auto" w:fill="auto"/>
            <w:vAlign w:val="bottom"/>
          </w:tcPr>
          <w:p w14:paraId="392C08D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8D9" w14:textId="77777777" w:rsidR="00980E5F" w:rsidRDefault="00483613">
            <w:pPr>
              <w:jc w:val="right"/>
              <w:textAlignment w:val="bottom"/>
            </w:pPr>
            <w:r>
              <w:rPr>
                <w:rFonts w:ascii="Arial" w:eastAsia="宋体" w:hAnsi="Arial" w:cs="Arial"/>
                <w:b/>
                <w:bCs/>
                <w:color w:val="000000"/>
                <w:sz w:val="14"/>
                <w:szCs w:val="14"/>
              </w:rPr>
              <w:t>655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8D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D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8DC" w14:textId="77777777" w:rsidR="00980E5F" w:rsidRDefault="00483613">
            <w:pPr>
              <w:jc w:val="right"/>
              <w:textAlignment w:val="bottom"/>
            </w:pPr>
            <w:r>
              <w:rPr>
                <w:rFonts w:ascii="Arial" w:eastAsia="宋体" w:hAnsi="Arial" w:cs="Arial"/>
                <w:color w:val="000000"/>
                <w:sz w:val="14"/>
                <w:szCs w:val="14"/>
              </w:rPr>
              <w:t>603 </w:t>
            </w:r>
          </w:p>
        </w:tc>
        <w:tc>
          <w:tcPr>
            <w:tcW w:w="0" w:type="auto"/>
            <w:shd w:val="clear" w:color="auto" w:fill="FFFFFF"/>
            <w:tcMar>
              <w:top w:w="40" w:type="dxa"/>
              <w:left w:w="0" w:type="dxa"/>
              <w:bottom w:w="40" w:type="dxa"/>
              <w:right w:w="20" w:type="dxa"/>
            </w:tcMar>
            <w:vAlign w:val="bottom"/>
          </w:tcPr>
          <w:p w14:paraId="392C08D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8DE" w14:textId="77777777" w:rsidR="00980E5F" w:rsidRDefault="00980E5F">
            <w:pPr>
              <w:rPr>
                <w:rFonts w:ascii="宋体"/>
              </w:rPr>
            </w:pPr>
          </w:p>
        </w:tc>
        <w:tc>
          <w:tcPr>
            <w:tcW w:w="0" w:type="auto"/>
            <w:shd w:val="clear" w:color="auto" w:fill="auto"/>
            <w:vAlign w:val="bottom"/>
          </w:tcPr>
          <w:p w14:paraId="392C08DF" w14:textId="77777777" w:rsidR="00980E5F" w:rsidRDefault="00980E5F">
            <w:pPr>
              <w:rPr>
                <w:rFonts w:ascii="宋体"/>
                <w:vanish/>
              </w:rPr>
            </w:pPr>
          </w:p>
        </w:tc>
        <w:tc>
          <w:tcPr>
            <w:tcW w:w="0" w:type="auto"/>
            <w:shd w:val="clear" w:color="auto" w:fill="auto"/>
            <w:vAlign w:val="bottom"/>
          </w:tcPr>
          <w:p w14:paraId="392C08E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8E1"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08E2" w14:textId="77777777" w:rsidR="00980E5F" w:rsidRDefault="00980E5F">
            <w:pPr>
              <w:jc w:val="right"/>
              <w:rPr>
                <w:rFonts w:ascii="宋体"/>
              </w:rPr>
            </w:pPr>
          </w:p>
        </w:tc>
        <w:tc>
          <w:tcPr>
            <w:tcW w:w="0" w:type="auto"/>
            <w:gridSpan w:val="3"/>
            <w:shd w:val="clear" w:color="auto" w:fill="auto"/>
            <w:vAlign w:val="bottom"/>
          </w:tcPr>
          <w:p w14:paraId="392C08E3" w14:textId="77777777" w:rsidR="00980E5F" w:rsidRDefault="00980E5F">
            <w:pPr>
              <w:rPr>
                <w:rFonts w:ascii="宋体"/>
                <w:vanish/>
              </w:rPr>
            </w:pPr>
          </w:p>
        </w:tc>
        <w:tc>
          <w:tcPr>
            <w:tcW w:w="0" w:type="auto"/>
            <w:gridSpan w:val="3"/>
            <w:shd w:val="clear" w:color="auto" w:fill="auto"/>
            <w:vAlign w:val="bottom"/>
          </w:tcPr>
          <w:p w14:paraId="392C08E4" w14:textId="77777777" w:rsidR="00980E5F" w:rsidRDefault="00980E5F">
            <w:pPr>
              <w:rPr>
                <w:rFonts w:ascii="宋体"/>
                <w:vanish/>
              </w:rPr>
            </w:pPr>
          </w:p>
        </w:tc>
        <w:tc>
          <w:tcPr>
            <w:tcW w:w="0" w:type="auto"/>
            <w:gridSpan w:val="3"/>
            <w:shd w:val="clear" w:color="auto" w:fill="auto"/>
            <w:vAlign w:val="bottom"/>
          </w:tcPr>
          <w:p w14:paraId="392C08E5" w14:textId="77777777" w:rsidR="00980E5F" w:rsidRDefault="00980E5F">
            <w:pPr>
              <w:rPr>
                <w:rFonts w:ascii="宋体"/>
                <w:vanish/>
              </w:rPr>
            </w:pPr>
          </w:p>
        </w:tc>
        <w:tc>
          <w:tcPr>
            <w:tcW w:w="0" w:type="auto"/>
            <w:gridSpan w:val="3"/>
            <w:shd w:val="clear" w:color="auto" w:fill="auto"/>
            <w:vAlign w:val="bottom"/>
          </w:tcPr>
          <w:p w14:paraId="392C08E6" w14:textId="77777777" w:rsidR="00980E5F" w:rsidRDefault="00980E5F">
            <w:pPr>
              <w:rPr>
                <w:rFonts w:ascii="宋体"/>
                <w:vanish/>
              </w:rPr>
            </w:pPr>
          </w:p>
        </w:tc>
        <w:tc>
          <w:tcPr>
            <w:tcW w:w="0" w:type="auto"/>
            <w:gridSpan w:val="3"/>
            <w:shd w:val="clear" w:color="auto" w:fill="auto"/>
            <w:vAlign w:val="bottom"/>
          </w:tcPr>
          <w:p w14:paraId="392C08E7" w14:textId="77777777" w:rsidR="00980E5F" w:rsidRDefault="00980E5F">
            <w:pPr>
              <w:rPr>
                <w:rFonts w:ascii="宋体"/>
                <w:vanish/>
              </w:rPr>
            </w:pPr>
          </w:p>
        </w:tc>
        <w:tc>
          <w:tcPr>
            <w:tcW w:w="0" w:type="auto"/>
            <w:gridSpan w:val="3"/>
            <w:shd w:val="clear" w:color="auto" w:fill="auto"/>
            <w:vAlign w:val="bottom"/>
          </w:tcPr>
          <w:p w14:paraId="392C08E8" w14:textId="77777777" w:rsidR="00980E5F" w:rsidRDefault="00980E5F">
            <w:pPr>
              <w:rPr>
                <w:rFonts w:ascii="宋体"/>
                <w:vanish/>
              </w:rPr>
            </w:pPr>
          </w:p>
        </w:tc>
        <w:tc>
          <w:tcPr>
            <w:tcW w:w="0" w:type="auto"/>
            <w:gridSpan w:val="2"/>
            <w:shd w:val="clear" w:color="auto" w:fill="auto"/>
            <w:vAlign w:val="bottom"/>
          </w:tcPr>
          <w:p w14:paraId="392C08E9" w14:textId="77777777" w:rsidR="00980E5F" w:rsidRDefault="00980E5F">
            <w:pPr>
              <w:rPr>
                <w:rFonts w:ascii="宋体"/>
                <w:vanish/>
              </w:rPr>
            </w:pPr>
          </w:p>
        </w:tc>
        <w:tc>
          <w:tcPr>
            <w:tcW w:w="0" w:type="auto"/>
            <w:shd w:val="clear" w:color="auto" w:fill="auto"/>
            <w:vAlign w:val="bottom"/>
          </w:tcPr>
          <w:p w14:paraId="392C08EA" w14:textId="77777777" w:rsidR="00980E5F" w:rsidRDefault="00980E5F">
            <w:pPr>
              <w:rPr>
                <w:rFonts w:ascii="宋体"/>
                <w:vanish/>
              </w:rPr>
            </w:pPr>
          </w:p>
        </w:tc>
      </w:tr>
      <w:tr w:rsidR="00980E5F" w14:paraId="392C0905" w14:textId="77777777">
        <w:tc>
          <w:tcPr>
            <w:tcW w:w="0" w:type="auto"/>
            <w:gridSpan w:val="3"/>
            <w:shd w:val="clear" w:color="auto" w:fill="CCEEFF"/>
            <w:tcMar>
              <w:top w:w="40" w:type="dxa"/>
              <w:left w:w="20" w:type="dxa"/>
              <w:bottom w:w="40" w:type="dxa"/>
              <w:right w:w="20" w:type="dxa"/>
            </w:tcMar>
            <w:vAlign w:val="bottom"/>
          </w:tcPr>
          <w:p w14:paraId="392C08EC" w14:textId="77777777" w:rsidR="00980E5F" w:rsidRDefault="00483613">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392C08ED" w14:textId="77777777" w:rsidR="00980E5F" w:rsidRDefault="00980E5F">
            <w:pPr>
              <w:rPr>
                <w:rFonts w:ascii="宋体"/>
                <w:vanish/>
              </w:rPr>
            </w:pPr>
          </w:p>
        </w:tc>
        <w:tc>
          <w:tcPr>
            <w:tcW w:w="0" w:type="auto"/>
            <w:shd w:val="clear" w:color="auto" w:fill="auto"/>
            <w:vAlign w:val="bottom"/>
          </w:tcPr>
          <w:p w14:paraId="392C08EE" w14:textId="77777777" w:rsidR="00980E5F" w:rsidRDefault="00980E5F">
            <w:pPr>
              <w:rPr>
                <w:rFonts w:ascii="宋体"/>
                <w:vanish/>
              </w:rPr>
            </w:pPr>
          </w:p>
        </w:tc>
        <w:tc>
          <w:tcPr>
            <w:tcW w:w="0" w:type="auto"/>
            <w:shd w:val="clear" w:color="auto" w:fill="auto"/>
            <w:vAlign w:val="bottom"/>
          </w:tcPr>
          <w:p w14:paraId="392C08EF" w14:textId="77777777" w:rsidR="00980E5F" w:rsidRDefault="00980E5F">
            <w:pPr>
              <w:rPr>
                <w:rFonts w:ascii="宋体"/>
                <w:vanish/>
              </w:rPr>
            </w:pPr>
          </w:p>
        </w:tc>
        <w:tc>
          <w:tcPr>
            <w:tcW w:w="0" w:type="auto"/>
            <w:shd w:val="clear" w:color="auto" w:fill="auto"/>
            <w:vAlign w:val="bottom"/>
          </w:tcPr>
          <w:p w14:paraId="392C08F0" w14:textId="77777777" w:rsidR="00980E5F" w:rsidRDefault="00980E5F">
            <w:pPr>
              <w:rPr>
                <w:rFonts w:ascii="宋体"/>
                <w:vanish/>
              </w:rPr>
            </w:pPr>
          </w:p>
        </w:tc>
        <w:tc>
          <w:tcPr>
            <w:tcW w:w="0" w:type="auto"/>
            <w:shd w:val="clear" w:color="auto" w:fill="auto"/>
            <w:vAlign w:val="bottom"/>
          </w:tcPr>
          <w:p w14:paraId="392C08F1" w14:textId="77777777" w:rsidR="00980E5F" w:rsidRDefault="00980E5F">
            <w:pPr>
              <w:rPr>
                <w:rFonts w:ascii="宋体"/>
                <w:vanish/>
              </w:rPr>
            </w:pPr>
          </w:p>
        </w:tc>
        <w:tc>
          <w:tcPr>
            <w:tcW w:w="0" w:type="auto"/>
            <w:shd w:val="clear" w:color="auto" w:fill="auto"/>
            <w:vAlign w:val="bottom"/>
          </w:tcPr>
          <w:p w14:paraId="392C08F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8F3"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8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F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8F6" w14:textId="77777777" w:rsidR="00980E5F" w:rsidRDefault="00483613">
            <w:pPr>
              <w:jc w:val="right"/>
              <w:textAlignment w:val="bottom"/>
            </w:pPr>
            <w:r>
              <w:rPr>
                <w:rFonts w:ascii="Arial" w:eastAsia="宋体" w:hAnsi="Arial" w:cs="Arial"/>
                <w:color w:val="000000"/>
                <w:sz w:val="14"/>
                <w:szCs w:val="14"/>
              </w:rPr>
              <w:t>201 </w:t>
            </w:r>
          </w:p>
        </w:tc>
        <w:tc>
          <w:tcPr>
            <w:tcW w:w="0" w:type="auto"/>
            <w:shd w:val="clear" w:color="auto" w:fill="CCEEFF"/>
            <w:tcMar>
              <w:top w:w="40" w:type="dxa"/>
              <w:left w:w="0" w:type="dxa"/>
              <w:bottom w:w="40" w:type="dxa"/>
              <w:right w:w="20" w:type="dxa"/>
            </w:tcMar>
            <w:vAlign w:val="bottom"/>
          </w:tcPr>
          <w:p w14:paraId="392C08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8F8" w14:textId="77777777" w:rsidR="00980E5F" w:rsidRDefault="00980E5F">
            <w:pPr>
              <w:rPr>
                <w:rFonts w:ascii="宋体"/>
              </w:rPr>
            </w:pPr>
          </w:p>
        </w:tc>
        <w:tc>
          <w:tcPr>
            <w:tcW w:w="0" w:type="auto"/>
            <w:shd w:val="clear" w:color="auto" w:fill="auto"/>
            <w:vAlign w:val="bottom"/>
          </w:tcPr>
          <w:p w14:paraId="392C08F9" w14:textId="77777777" w:rsidR="00980E5F" w:rsidRDefault="00980E5F">
            <w:pPr>
              <w:rPr>
                <w:rFonts w:ascii="宋体"/>
                <w:vanish/>
              </w:rPr>
            </w:pPr>
          </w:p>
        </w:tc>
        <w:tc>
          <w:tcPr>
            <w:tcW w:w="0" w:type="auto"/>
            <w:shd w:val="clear" w:color="auto" w:fill="auto"/>
            <w:vAlign w:val="bottom"/>
          </w:tcPr>
          <w:p w14:paraId="392C08FA"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8FB" w14:textId="77777777" w:rsidR="00980E5F" w:rsidRDefault="00483613">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92C08FC" w14:textId="77777777" w:rsidR="00980E5F" w:rsidRDefault="00980E5F">
            <w:pPr>
              <w:jc w:val="right"/>
              <w:rPr>
                <w:rFonts w:ascii="宋体"/>
              </w:rPr>
            </w:pPr>
          </w:p>
        </w:tc>
        <w:tc>
          <w:tcPr>
            <w:tcW w:w="0" w:type="auto"/>
            <w:gridSpan w:val="3"/>
            <w:shd w:val="clear" w:color="auto" w:fill="auto"/>
            <w:vAlign w:val="bottom"/>
          </w:tcPr>
          <w:p w14:paraId="392C08FD" w14:textId="77777777" w:rsidR="00980E5F" w:rsidRDefault="00980E5F">
            <w:pPr>
              <w:rPr>
                <w:rFonts w:ascii="宋体"/>
                <w:vanish/>
              </w:rPr>
            </w:pPr>
          </w:p>
        </w:tc>
        <w:tc>
          <w:tcPr>
            <w:tcW w:w="0" w:type="auto"/>
            <w:gridSpan w:val="3"/>
            <w:shd w:val="clear" w:color="auto" w:fill="auto"/>
            <w:vAlign w:val="bottom"/>
          </w:tcPr>
          <w:p w14:paraId="392C08FE" w14:textId="77777777" w:rsidR="00980E5F" w:rsidRDefault="00980E5F">
            <w:pPr>
              <w:rPr>
                <w:rFonts w:ascii="宋体"/>
                <w:vanish/>
              </w:rPr>
            </w:pPr>
          </w:p>
        </w:tc>
        <w:tc>
          <w:tcPr>
            <w:tcW w:w="0" w:type="auto"/>
            <w:gridSpan w:val="3"/>
            <w:shd w:val="clear" w:color="auto" w:fill="auto"/>
            <w:vAlign w:val="bottom"/>
          </w:tcPr>
          <w:p w14:paraId="392C08FF" w14:textId="77777777" w:rsidR="00980E5F" w:rsidRDefault="00980E5F">
            <w:pPr>
              <w:rPr>
                <w:rFonts w:ascii="宋体"/>
                <w:vanish/>
              </w:rPr>
            </w:pPr>
          </w:p>
        </w:tc>
        <w:tc>
          <w:tcPr>
            <w:tcW w:w="0" w:type="auto"/>
            <w:gridSpan w:val="3"/>
            <w:shd w:val="clear" w:color="auto" w:fill="auto"/>
            <w:vAlign w:val="bottom"/>
          </w:tcPr>
          <w:p w14:paraId="392C0900" w14:textId="77777777" w:rsidR="00980E5F" w:rsidRDefault="00980E5F">
            <w:pPr>
              <w:rPr>
                <w:rFonts w:ascii="宋体"/>
                <w:vanish/>
              </w:rPr>
            </w:pPr>
          </w:p>
        </w:tc>
        <w:tc>
          <w:tcPr>
            <w:tcW w:w="0" w:type="auto"/>
            <w:gridSpan w:val="3"/>
            <w:shd w:val="clear" w:color="auto" w:fill="auto"/>
            <w:vAlign w:val="bottom"/>
          </w:tcPr>
          <w:p w14:paraId="392C0901" w14:textId="77777777" w:rsidR="00980E5F" w:rsidRDefault="00980E5F">
            <w:pPr>
              <w:rPr>
                <w:rFonts w:ascii="宋体"/>
                <w:vanish/>
              </w:rPr>
            </w:pPr>
          </w:p>
        </w:tc>
        <w:tc>
          <w:tcPr>
            <w:tcW w:w="0" w:type="auto"/>
            <w:gridSpan w:val="3"/>
            <w:shd w:val="clear" w:color="auto" w:fill="auto"/>
            <w:vAlign w:val="bottom"/>
          </w:tcPr>
          <w:p w14:paraId="392C0902" w14:textId="77777777" w:rsidR="00980E5F" w:rsidRDefault="00980E5F">
            <w:pPr>
              <w:rPr>
                <w:rFonts w:ascii="宋体"/>
                <w:vanish/>
              </w:rPr>
            </w:pPr>
          </w:p>
        </w:tc>
        <w:tc>
          <w:tcPr>
            <w:tcW w:w="0" w:type="auto"/>
            <w:gridSpan w:val="2"/>
            <w:shd w:val="clear" w:color="auto" w:fill="auto"/>
            <w:vAlign w:val="bottom"/>
          </w:tcPr>
          <w:p w14:paraId="392C0903" w14:textId="77777777" w:rsidR="00980E5F" w:rsidRDefault="00980E5F">
            <w:pPr>
              <w:rPr>
                <w:rFonts w:ascii="宋体"/>
                <w:vanish/>
              </w:rPr>
            </w:pPr>
          </w:p>
        </w:tc>
        <w:tc>
          <w:tcPr>
            <w:tcW w:w="0" w:type="auto"/>
            <w:shd w:val="clear" w:color="auto" w:fill="auto"/>
            <w:vAlign w:val="bottom"/>
          </w:tcPr>
          <w:p w14:paraId="392C0904" w14:textId="77777777" w:rsidR="00980E5F" w:rsidRDefault="00980E5F">
            <w:pPr>
              <w:rPr>
                <w:rFonts w:ascii="宋体"/>
                <w:vanish/>
              </w:rPr>
            </w:pPr>
          </w:p>
        </w:tc>
      </w:tr>
      <w:tr w:rsidR="00980E5F" w14:paraId="392C091F" w14:textId="77777777">
        <w:tc>
          <w:tcPr>
            <w:tcW w:w="0" w:type="auto"/>
            <w:gridSpan w:val="3"/>
            <w:shd w:val="clear" w:color="auto" w:fill="FFFFFF"/>
            <w:tcMar>
              <w:top w:w="40" w:type="dxa"/>
              <w:left w:w="20" w:type="dxa"/>
              <w:bottom w:w="40" w:type="dxa"/>
              <w:right w:w="20" w:type="dxa"/>
            </w:tcMar>
            <w:vAlign w:val="bottom"/>
          </w:tcPr>
          <w:p w14:paraId="392C0906" w14:textId="77777777" w:rsidR="00980E5F" w:rsidRDefault="00483613">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392C0907" w14:textId="77777777" w:rsidR="00980E5F" w:rsidRDefault="00980E5F">
            <w:pPr>
              <w:rPr>
                <w:rFonts w:ascii="宋体"/>
                <w:vanish/>
              </w:rPr>
            </w:pPr>
          </w:p>
        </w:tc>
        <w:tc>
          <w:tcPr>
            <w:tcW w:w="0" w:type="auto"/>
            <w:shd w:val="clear" w:color="auto" w:fill="auto"/>
            <w:vAlign w:val="bottom"/>
          </w:tcPr>
          <w:p w14:paraId="392C0908" w14:textId="77777777" w:rsidR="00980E5F" w:rsidRDefault="00980E5F">
            <w:pPr>
              <w:rPr>
                <w:rFonts w:ascii="宋体"/>
                <w:vanish/>
              </w:rPr>
            </w:pPr>
          </w:p>
        </w:tc>
        <w:tc>
          <w:tcPr>
            <w:tcW w:w="0" w:type="auto"/>
            <w:shd w:val="clear" w:color="auto" w:fill="auto"/>
            <w:vAlign w:val="bottom"/>
          </w:tcPr>
          <w:p w14:paraId="392C0909" w14:textId="77777777" w:rsidR="00980E5F" w:rsidRDefault="00980E5F">
            <w:pPr>
              <w:rPr>
                <w:rFonts w:ascii="宋体"/>
                <w:vanish/>
              </w:rPr>
            </w:pPr>
          </w:p>
        </w:tc>
        <w:tc>
          <w:tcPr>
            <w:tcW w:w="0" w:type="auto"/>
            <w:shd w:val="clear" w:color="auto" w:fill="auto"/>
            <w:vAlign w:val="bottom"/>
          </w:tcPr>
          <w:p w14:paraId="392C090A" w14:textId="77777777" w:rsidR="00980E5F" w:rsidRDefault="00980E5F">
            <w:pPr>
              <w:rPr>
                <w:rFonts w:ascii="宋体"/>
                <w:vanish/>
              </w:rPr>
            </w:pPr>
          </w:p>
        </w:tc>
        <w:tc>
          <w:tcPr>
            <w:tcW w:w="0" w:type="auto"/>
            <w:shd w:val="clear" w:color="auto" w:fill="auto"/>
            <w:vAlign w:val="bottom"/>
          </w:tcPr>
          <w:p w14:paraId="392C090B" w14:textId="77777777" w:rsidR="00980E5F" w:rsidRDefault="00980E5F">
            <w:pPr>
              <w:rPr>
                <w:rFonts w:ascii="宋体"/>
                <w:vanish/>
              </w:rPr>
            </w:pPr>
          </w:p>
        </w:tc>
        <w:tc>
          <w:tcPr>
            <w:tcW w:w="0" w:type="auto"/>
            <w:shd w:val="clear" w:color="auto" w:fill="auto"/>
            <w:vAlign w:val="bottom"/>
          </w:tcPr>
          <w:p w14:paraId="392C090C"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0D" w14:textId="77777777" w:rsidR="00980E5F" w:rsidRDefault="00483613">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90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0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910" w14:textId="77777777" w:rsidR="00980E5F" w:rsidRDefault="00483613">
            <w:pPr>
              <w:jc w:val="right"/>
              <w:textAlignment w:val="bottom"/>
            </w:pPr>
            <w:r>
              <w:rPr>
                <w:rFonts w:ascii="Arial" w:eastAsia="宋体" w:hAnsi="Arial" w:cs="Arial"/>
                <w:color w:val="000000"/>
                <w:sz w:val="14"/>
                <w:szCs w:val="14"/>
              </w:rPr>
              <w:t>371 </w:t>
            </w:r>
          </w:p>
        </w:tc>
        <w:tc>
          <w:tcPr>
            <w:tcW w:w="0" w:type="auto"/>
            <w:shd w:val="clear" w:color="auto" w:fill="FFFFFF"/>
            <w:tcMar>
              <w:top w:w="40" w:type="dxa"/>
              <w:left w:w="0" w:type="dxa"/>
              <w:bottom w:w="40" w:type="dxa"/>
              <w:right w:w="20" w:type="dxa"/>
            </w:tcMar>
            <w:vAlign w:val="bottom"/>
          </w:tcPr>
          <w:p w14:paraId="392C09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12" w14:textId="77777777" w:rsidR="00980E5F" w:rsidRDefault="00980E5F">
            <w:pPr>
              <w:rPr>
                <w:rFonts w:ascii="宋体"/>
              </w:rPr>
            </w:pPr>
          </w:p>
        </w:tc>
        <w:tc>
          <w:tcPr>
            <w:tcW w:w="0" w:type="auto"/>
            <w:shd w:val="clear" w:color="auto" w:fill="auto"/>
            <w:vAlign w:val="bottom"/>
          </w:tcPr>
          <w:p w14:paraId="392C0913" w14:textId="77777777" w:rsidR="00980E5F" w:rsidRDefault="00980E5F">
            <w:pPr>
              <w:rPr>
                <w:rFonts w:ascii="宋体"/>
                <w:vanish/>
              </w:rPr>
            </w:pPr>
          </w:p>
        </w:tc>
        <w:tc>
          <w:tcPr>
            <w:tcW w:w="0" w:type="auto"/>
            <w:shd w:val="clear" w:color="auto" w:fill="auto"/>
            <w:vAlign w:val="bottom"/>
          </w:tcPr>
          <w:p w14:paraId="392C0914"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15" w14:textId="77777777" w:rsidR="00980E5F" w:rsidRDefault="00483613">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392C0916" w14:textId="77777777" w:rsidR="00980E5F" w:rsidRDefault="00980E5F">
            <w:pPr>
              <w:jc w:val="right"/>
              <w:rPr>
                <w:rFonts w:ascii="宋体"/>
              </w:rPr>
            </w:pPr>
          </w:p>
        </w:tc>
        <w:tc>
          <w:tcPr>
            <w:tcW w:w="0" w:type="auto"/>
            <w:gridSpan w:val="3"/>
            <w:shd w:val="clear" w:color="auto" w:fill="auto"/>
            <w:vAlign w:val="bottom"/>
          </w:tcPr>
          <w:p w14:paraId="392C0917" w14:textId="77777777" w:rsidR="00980E5F" w:rsidRDefault="00980E5F">
            <w:pPr>
              <w:rPr>
                <w:rFonts w:ascii="宋体"/>
                <w:vanish/>
              </w:rPr>
            </w:pPr>
          </w:p>
        </w:tc>
        <w:tc>
          <w:tcPr>
            <w:tcW w:w="0" w:type="auto"/>
            <w:gridSpan w:val="3"/>
            <w:shd w:val="clear" w:color="auto" w:fill="auto"/>
            <w:vAlign w:val="bottom"/>
          </w:tcPr>
          <w:p w14:paraId="392C0918" w14:textId="77777777" w:rsidR="00980E5F" w:rsidRDefault="00980E5F">
            <w:pPr>
              <w:rPr>
                <w:rFonts w:ascii="宋体"/>
                <w:vanish/>
              </w:rPr>
            </w:pPr>
          </w:p>
        </w:tc>
        <w:tc>
          <w:tcPr>
            <w:tcW w:w="0" w:type="auto"/>
            <w:gridSpan w:val="3"/>
            <w:shd w:val="clear" w:color="auto" w:fill="auto"/>
            <w:vAlign w:val="bottom"/>
          </w:tcPr>
          <w:p w14:paraId="392C0919" w14:textId="77777777" w:rsidR="00980E5F" w:rsidRDefault="00980E5F">
            <w:pPr>
              <w:rPr>
                <w:rFonts w:ascii="宋体"/>
                <w:vanish/>
              </w:rPr>
            </w:pPr>
          </w:p>
        </w:tc>
        <w:tc>
          <w:tcPr>
            <w:tcW w:w="0" w:type="auto"/>
            <w:gridSpan w:val="3"/>
            <w:shd w:val="clear" w:color="auto" w:fill="auto"/>
            <w:vAlign w:val="bottom"/>
          </w:tcPr>
          <w:p w14:paraId="392C091A" w14:textId="77777777" w:rsidR="00980E5F" w:rsidRDefault="00980E5F">
            <w:pPr>
              <w:rPr>
                <w:rFonts w:ascii="宋体"/>
                <w:vanish/>
              </w:rPr>
            </w:pPr>
          </w:p>
        </w:tc>
        <w:tc>
          <w:tcPr>
            <w:tcW w:w="0" w:type="auto"/>
            <w:gridSpan w:val="3"/>
            <w:shd w:val="clear" w:color="auto" w:fill="auto"/>
            <w:vAlign w:val="bottom"/>
          </w:tcPr>
          <w:p w14:paraId="392C091B" w14:textId="77777777" w:rsidR="00980E5F" w:rsidRDefault="00980E5F">
            <w:pPr>
              <w:rPr>
                <w:rFonts w:ascii="宋体"/>
                <w:vanish/>
              </w:rPr>
            </w:pPr>
          </w:p>
        </w:tc>
        <w:tc>
          <w:tcPr>
            <w:tcW w:w="0" w:type="auto"/>
            <w:gridSpan w:val="3"/>
            <w:shd w:val="clear" w:color="auto" w:fill="auto"/>
            <w:vAlign w:val="bottom"/>
          </w:tcPr>
          <w:p w14:paraId="392C091C" w14:textId="77777777" w:rsidR="00980E5F" w:rsidRDefault="00980E5F">
            <w:pPr>
              <w:rPr>
                <w:rFonts w:ascii="宋体"/>
                <w:vanish/>
              </w:rPr>
            </w:pPr>
          </w:p>
        </w:tc>
        <w:tc>
          <w:tcPr>
            <w:tcW w:w="0" w:type="auto"/>
            <w:gridSpan w:val="2"/>
            <w:shd w:val="clear" w:color="auto" w:fill="auto"/>
            <w:vAlign w:val="bottom"/>
          </w:tcPr>
          <w:p w14:paraId="392C091D" w14:textId="77777777" w:rsidR="00980E5F" w:rsidRDefault="00980E5F">
            <w:pPr>
              <w:rPr>
                <w:rFonts w:ascii="宋体"/>
                <w:vanish/>
              </w:rPr>
            </w:pPr>
          </w:p>
        </w:tc>
        <w:tc>
          <w:tcPr>
            <w:tcW w:w="0" w:type="auto"/>
            <w:shd w:val="clear" w:color="auto" w:fill="auto"/>
            <w:vAlign w:val="bottom"/>
          </w:tcPr>
          <w:p w14:paraId="392C091E" w14:textId="77777777" w:rsidR="00980E5F" w:rsidRDefault="00980E5F">
            <w:pPr>
              <w:rPr>
                <w:rFonts w:ascii="宋体"/>
                <w:vanish/>
              </w:rPr>
            </w:pPr>
          </w:p>
        </w:tc>
      </w:tr>
      <w:tr w:rsidR="00980E5F" w14:paraId="392C0938" w14:textId="77777777">
        <w:tc>
          <w:tcPr>
            <w:tcW w:w="0" w:type="auto"/>
            <w:gridSpan w:val="3"/>
            <w:shd w:val="clear" w:color="auto" w:fill="CCEEFF"/>
            <w:tcMar>
              <w:top w:w="40" w:type="dxa"/>
              <w:left w:w="20" w:type="dxa"/>
              <w:bottom w:w="40" w:type="dxa"/>
              <w:right w:w="20" w:type="dxa"/>
            </w:tcMar>
            <w:vAlign w:val="bottom"/>
          </w:tcPr>
          <w:p w14:paraId="392C0920" w14:textId="77777777" w:rsidR="00980E5F" w:rsidRDefault="00483613">
            <w:pPr>
              <w:textAlignment w:val="bottom"/>
            </w:pPr>
            <w:r>
              <w:rPr>
                <w:rFonts w:ascii="Arial" w:eastAsia="宋体" w:hAnsi="Arial" w:cs="Arial"/>
                <w:color w:val="000000"/>
                <w:sz w:val="14"/>
                <w:szCs w:val="14"/>
              </w:rPr>
              <w:t>Other fee revenue</w:t>
            </w:r>
          </w:p>
        </w:tc>
        <w:tc>
          <w:tcPr>
            <w:tcW w:w="0" w:type="auto"/>
            <w:shd w:val="clear" w:color="auto" w:fill="auto"/>
            <w:vAlign w:val="bottom"/>
          </w:tcPr>
          <w:p w14:paraId="392C0921" w14:textId="77777777" w:rsidR="00980E5F" w:rsidRDefault="00980E5F">
            <w:pPr>
              <w:rPr>
                <w:rFonts w:ascii="宋体"/>
                <w:vanish/>
              </w:rPr>
            </w:pPr>
          </w:p>
        </w:tc>
        <w:tc>
          <w:tcPr>
            <w:tcW w:w="0" w:type="auto"/>
            <w:shd w:val="clear" w:color="auto" w:fill="auto"/>
            <w:vAlign w:val="bottom"/>
          </w:tcPr>
          <w:p w14:paraId="392C0922" w14:textId="77777777" w:rsidR="00980E5F" w:rsidRDefault="00980E5F">
            <w:pPr>
              <w:rPr>
                <w:rFonts w:ascii="宋体"/>
                <w:vanish/>
              </w:rPr>
            </w:pPr>
          </w:p>
        </w:tc>
        <w:tc>
          <w:tcPr>
            <w:tcW w:w="0" w:type="auto"/>
            <w:shd w:val="clear" w:color="auto" w:fill="auto"/>
            <w:vAlign w:val="bottom"/>
          </w:tcPr>
          <w:p w14:paraId="392C0923" w14:textId="77777777" w:rsidR="00980E5F" w:rsidRDefault="00980E5F">
            <w:pPr>
              <w:rPr>
                <w:rFonts w:ascii="宋体"/>
                <w:vanish/>
              </w:rPr>
            </w:pPr>
          </w:p>
        </w:tc>
        <w:tc>
          <w:tcPr>
            <w:tcW w:w="0" w:type="auto"/>
            <w:shd w:val="clear" w:color="auto" w:fill="auto"/>
            <w:vAlign w:val="bottom"/>
          </w:tcPr>
          <w:p w14:paraId="392C0924" w14:textId="77777777" w:rsidR="00980E5F" w:rsidRDefault="00980E5F">
            <w:pPr>
              <w:rPr>
                <w:rFonts w:ascii="宋体"/>
                <w:vanish/>
              </w:rPr>
            </w:pPr>
          </w:p>
        </w:tc>
        <w:tc>
          <w:tcPr>
            <w:tcW w:w="0" w:type="auto"/>
            <w:shd w:val="clear" w:color="auto" w:fill="auto"/>
            <w:vAlign w:val="bottom"/>
          </w:tcPr>
          <w:p w14:paraId="392C0925" w14:textId="77777777" w:rsidR="00980E5F" w:rsidRDefault="00980E5F">
            <w:pPr>
              <w:rPr>
                <w:rFonts w:ascii="宋体"/>
                <w:vanish/>
              </w:rPr>
            </w:pPr>
          </w:p>
        </w:tc>
        <w:tc>
          <w:tcPr>
            <w:tcW w:w="0" w:type="auto"/>
            <w:shd w:val="clear" w:color="auto" w:fill="auto"/>
            <w:vAlign w:val="bottom"/>
          </w:tcPr>
          <w:p w14:paraId="392C0926"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27" w14:textId="77777777" w:rsidR="00980E5F" w:rsidRDefault="00483613">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9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92A"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92C09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2C" w14:textId="77777777" w:rsidR="00980E5F" w:rsidRDefault="00980E5F">
            <w:pPr>
              <w:rPr>
                <w:rFonts w:ascii="宋体"/>
              </w:rPr>
            </w:pPr>
          </w:p>
        </w:tc>
        <w:tc>
          <w:tcPr>
            <w:tcW w:w="0" w:type="auto"/>
            <w:shd w:val="clear" w:color="auto" w:fill="auto"/>
            <w:vAlign w:val="bottom"/>
          </w:tcPr>
          <w:p w14:paraId="392C092D" w14:textId="77777777" w:rsidR="00980E5F" w:rsidRDefault="00980E5F">
            <w:pPr>
              <w:rPr>
                <w:rFonts w:ascii="宋体"/>
                <w:vanish/>
              </w:rPr>
            </w:pPr>
          </w:p>
        </w:tc>
        <w:tc>
          <w:tcPr>
            <w:tcW w:w="0" w:type="auto"/>
            <w:shd w:val="clear" w:color="auto" w:fill="auto"/>
            <w:vAlign w:val="bottom"/>
          </w:tcPr>
          <w:p w14:paraId="392C092E" w14:textId="77777777" w:rsidR="00980E5F" w:rsidRDefault="00980E5F">
            <w:pPr>
              <w:rPr>
                <w:rFonts w:ascii="宋体"/>
                <w:vanish/>
              </w:rPr>
            </w:pPr>
          </w:p>
        </w:tc>
        <w:tc>
          <w:tcPr>
            <w:tcW w:w="0" w:type="auto"/>
            <w:gridSpan w:val="3"/>
            <w:shd w:val="clear" w:color="auto" w:fill="CCEEFF"/>
            <w:tcMar>
              <w:top w:w="40" w:type="dxa"/>
              <w:left w:w="20" w:type="dxa"/>
              <w:bottom w:w="40" w:type="dxa"/>
              <w:right w:w="140" w:type="dxa"/>
            </w:tcMar>
            <w:vAlign w:val="bottom"/>
          </w:tcPr>
          <w:p w14:paraId="392C092F"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930" w14:textId="77777777" w:rsidR="00980E5F" w:rsidRDefault="00980E5F">
            <w:pPr>
              <w:rPr>
                <w:rFonts w:ascii="宋体"/>
                <w:vanish/>
              </w:rPr>
            </w:pPr>
          </w:p>
        </w:tc>
        <w:tc>
          <w:tcPr>
            <w:tcW w:w="0" w:type="auto"/>
            <w:gridSpan w:val="3"/>
            <w:shd w:val="clear" w:color="auto" w:fill="auto"/>
            <w:vAlign w:val="bottom"/>
          </w:tcPr>
          <w:p w14:paraId="392C0931" w14:textId="77777777" w:rsidR="00980E5F" w:rsidRDefault="00980E5F">
            <w:pPr>
              <w:rPr>
                <w:rFonts w:ascii="宋体"/>
                <w:vanish/>
              </w:rPr>
            </w:pPr>
          </w:p>
        </w:tc>
        <w:tc>
          <w:tcPr>
            <w:tcW w:w="0" w:type="auto"/>
            <w:gridSpan w:val="3"/>
            <w:shd w:val="clear" w:color="auto" w:fill="auto"/>
            <w:vAlign w:val="bottom"/>
          </w:tcPr>
          <w:p w14:paraId="392C0932" w14:textId="77777777" w:rsidR="00980E5F" w:rsidRDefault="00980E5F">
            <w:pPr>
              <w:rPr>
                <w:rFonts w:ascii="宋体"/>
                <w:vanish/>
              </w:rPr>
            </w:pPr>
          </w:p>
        </w:tc>
        <w:tc>
          <w:tcPr>
            <w:tcW w:w="0" w:type="auto"/>
            <w:gridSpan w:val="3"/>
            <w:shd w:val="clear" w:color="auto" w:fill="auto"/>
            <w:vAlign w:val="bottom"/>
          </w:tcPr>
          <w:p w14:paraId="392C0933" w14:textId="77777777" w:rsidR="00980E5F" w:rsidRDefault="00980E5F">
            <w:pPr>
              <w:rPr>
                <w:rFonts w:ascii="宋体"/>
                <w:vanish/>
              </w:rPr>
            </w:pPr>
          </w:p>
        </w:tc>
        <w:tc>
          <w:tcPr>
            <w:tcW w:w="0" w:type="auto"/>
            <w:gridSpan w:val="3"/>
            <w:shd w:val="clear" w:color="auto" w:fill="auto"/>
            <w:vAlign w:val="bottom"/>
          </w:tcPr>
          <w:p w14:paraId="392C0934" w14:textId="77777777" w:rsidR="00980E5F" w:rsidRDefault="00980E5F">
            <w:pPr>
              <w:rPr>
                <w:rFonts w:ascii="宋体"/>
                <w:vanish/>
              </w:rPr>
            </w:pPr>
          </w:p>
        </w:tc>
        <w:tc>
          <w:tcPr>
            <w:tcW w:w="0" w:type="auto"/>
            <w:gridSpan w:val="3"/>
            <w:shd w:val="clear" w:color="auto" w:fill="auto"/>
            <w:vAlign w:val="bottom"/>
          </w:tcPr>
          <w:p w14:paraId="392C0935" w14:textId="77777777" w:rsidR="00980E5F" w:rsidRDefault="00980E5F">
            <w:pPr>
              <w:rPr>
                <w:rFonts w:ascii="宋体"/>
                <w:vanish/>
              </w:rPr>
            </w:pPr>
          </w:p>
        </w:tc>
        <w:tc>
          <w:tcPr>
            <w:tcW w:w="0" w:type="auto"/>
            <w:gridSpan w:val="2"/>
            <w:shd w:val="clear" w:color="auto" w:fill="auto"/>
            <w:vAlign w:val="bottom"/>
          </w:tcPr>
          <w:p w14:paraId="392C0936" w14:textId="77777777" w:rsidR="00980E5F" w:rsidRDefault="00980E5F">
            <w:pPr>
              <w:rPr>
                <w:rFonts w:ascii="宋体"/>
                <w:vanish/>
              </w:rPr>
            </w:pPr>
          </w:p>
        </w:tc>
        <w:tc>
          <w:tcPr>
            <w:tcW w:w="0" w:type="auto"/>
            <w:shd w:val="clear" w:color="auto" w:fill="auto"/>
            <w:vAlign w:val="bottom"/>
          </w:tcPr>
          <w:p w14:paraId="392C0937" w14:textId="77777777" w:rsidR="00980E5F" w:rsidRDefault="00980E5F">
            <w:pPr>
              <w:rPr>
                <w:rFonts w:ascii="宋体"/>
                <w:vanish/>
              </w:rPr>
            </w:pPr>
          </w:p>
        </w:tc>
      </w:tr>
      <w:tr w:rsidR="00980E5F" w14:paraId="392C0952" w14:textId="77777777">
        <w:tc>
          <w:tcPr>
            <w:tcW w:w="0" w:type="auto"/>
            <w:gridSpan w:val="3"/>
            <w:shd w:val="clear" w:color="auto" w:fill="FFFFFF"/>
            <w:tcMar>
              <w:top w:w="40" w:type="dxa"/>
              <w:left w:w="20" w:type="dxa"/>
              <w:bottom w:w="40" w:type="dxa"/>
              <w:right w:w="20" w:type="dxa"/>
            </w:tcMar>
            <w:vAlign w:val="bottom"/>
          </w:tcPr>
          <w:p w14:paraId="392C0939" w14:textId="77777777" w:rsidR="00980E5F" w:rsidRDefault="00483613">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392C093A" w14:textId="77777777" w:rsidR="00980E5F" w:rsidRDefault="00980E5F">
            <w:pPr>
              <w:rPr>
                <w:rFonts w:ascii="宋体"/>
                <w:vanish/>
              </w:rPr>
            </w:pPr>
          </w:p>
        </w:tc>
        <w:tc>
          <w:tcPr>
            <w:tcW w:w="0" w:type="auto"/>
            <w:shd w:val="clear" w:color="auto" w:fill="auto"/>
            <w:vAlign w:val="bottom"/>
          </w:tcPr>
          <w:p w14:paraId="392C093B" w14:textId="77777777" w:rsidR="00980E5F" w:rsidRDefault="00980E5F">
            <w:pPr>
              <w:rPr>
                <w:rFonts w:ascii="宋体"/>
                <w:vanish/>
              </w:rPr>
            </w:pPr>
          </w:p>
        </w:tc>
        <w:tc>
          <w:tcPr>
            <w:tcW w:w="0" w:type="auto"/>
            <w:shd w:val="clear" w:color="auto" w:fill="auto"/>
            <w:vAlign w:val="bottom"/>
          </w:tcPr>
          <w:p w14:paraId="392C093C" w14:textId="77777777" w:rsidR="00980E5F" w:rsidRDefault="00980E5F">
            <w:pPr>
              <w:rPr>
                <w:rFonts w:ascii="宋体"/>
                <w:vanish/>
              </w:rPr>
            </w:pPr>
          </w:p>
        </w:tc>
        <w:tc>
          <w:tcPr>
            <w:tcW w:w="0" w:type="auto"/>
            <w:shd w:val="clear" w:color="auto" w:fill="auto"/>
            <w:vAlign w:val="bottom"/>
          </w:tcPr>
          <w:p w14:paraId="392C093D" w14:textId="77777777" w:rsidR="00980E5F" w:rsidRDefault="00980E5F">
            <w:pPr>
              <w:rPr>
                <w:rFonts w:ascii="宋体"/>
                <w:vanish/>
              </w:rPr>
            </w:pPr>
          </w:p>
        </w:tc>
        <w:tc>
          <w:tcPr>
            <w:tcW w:w="0" w:type="auto"/>
            <w:shd w:val="clear" w:color="auto" w:fill="auto"/>
            <w:vAlign w:val="bottom"/>
          </w:tcPr>
          <w:p w14:paraId="392C093E" w14:textId="77777777" w:rsidR="00980E5F" w:rsidRDefault="00980E5F">
            <w:pPr>
              <w:rPr>
                <w:rFonts w:ascii="宋体"/>
                <w:vanish/>
              </w:rPr>
            </w:pPr>
          </w:p>
        </w:tc>
        <w:tc>
          <w:tcPr>
            <w:tcW w:w="0" w:type="auto"/>
            <w:shd w:val="clear" w:color="auto" w:fill="auto"/>
            <w:vAlign w:val="bottom"/>
          </w:tcPr>
          <w:p w14:paraId="392C093F"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940" w14:textId="77777777" w:rsidR="00980E5F" w:rsidRDefault="00483613">
            <w:pPr>
              <w:jc w:val="right"/>
              <w:textAlignment w:val="bottom"/>
            </w:pPr>
            <w:r>
              <w:rPr>
                <w:rFonts w:ascii="Arial" w:eastAsia="宋体" w:hAnsi="Arial" w:cs="Arial"/>
                <w:b/>
                <w:bCs/>
                <w:color w:val="000000"/>
                <w:sz w:val="14"/>
                <w:szCs w:val="14"/>
              </w:rPr>
              <w:t>3,938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9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4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943" w14:textId="77777777" w:rsidR="00980E5F" w:rsidRDefault="00483613">
            <w:pPr>
              <w:jc w:val="right"/>
              <w:textAlignment w:val="bottom"/>
            </w:pPr>
            <w:r>
              <w:rPr>
                <w:rFonts w:ascii="Arial" w:eastAsia="宋体" w:hAnsi="Arial" w:cs="Arial"/>
                <w:color w:val="000000"/>
                <w:sz w:val="14"/>
                <w:szCs w:val="14"/>
              </w:rPr>
              <w:t>3,955 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9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45" w14:textId="77777777" w:rsidR="00980E5F" w:rsidRDefault="00980E5F">
            <w:pPr>
              <w:rPr>
                <w:rFonts w:ascii="宋体"/>
              </w:rPr>
            </w:pPr>
          </w:p>
        </w:tc>
        <w:tc>
          <w:tcPr>
            <w:tcW w:w="0" w:type="auto"/>
            <w:shd w:val="clear" w:color="auto" w:fill="auto"/>
            <w:vAlign w:val="bottom"/>
          </w:tcPr>
          <w:p w14:paraId="392C0946" w14:textId="77777777" w:rsidR="00980E5F" w:rsidRDefault="00980E5F">
            <w:pPr>
              <w:rPr>
                <w:rFonts w:ascii="宋体"/>
                <w:vanish/>
              </w:rPr>
            </w:pPr>
          </w:p>
        </w:tc>
        <w:tc>
          <w:tcPr>
            <w:tcW w:w="0" w:type="auto"/>
            <w:shd w:val="clear" w:color="auto" w:fill="auto"/>
            <w:vAlign w:val="bottom"/>
          </w:tcPr>
          <w:p w14:paraId="392C0947"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4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949" w14:textId="77777777" w:rsidR="00980E5F" w:rsidRDefault="00980E5F">
            <w:pPr>
              <w:jc w:val="right"/>
              <w:rPr>
                <w:rFonts w:ascii="宋体"/>
              </w:rPr>
            </w:pPr>
          </w:p>
        </w:tc>
        <w:tc>
          <w:tcPr>
            <w:tcW w:w="0" w:type="auto"/>
            <w:gridSpan w:val="3"/>
            <w:shd w:val="clear" w:color="auto" w:fill="auto"/>
            <w:vAlign w:val="bottom"/>
          </w:tcPr>
          <w:p w14:paraId="392C094A" w14:textId="77777777" w:rsidR="00980E5F" w:rsidRDefault="00980E5F">
            <w:pPr>
              <w:rPr>
                <w:rFonts w:ascii="宋体"/>
                <w:vanish/>
              </w:rPr>
            </w:pPr>
          </w:p>
        </w:tc>
        <w:tc>
          <w:tcPr>
            <w:tcW w:w="0" w:type="auto"/>
            <w:gridSpan w:val="3"/>
            <w:shd w:val="clear" w:color="auto" w:fill="auto"/>
            <w:vAlign w:val="bottom"/>
          </w:tcPr>
          <w:p w14:paraId="392C094B" w14:textId="77777777" w:rsidR="00980E5F" w:rsidRDefault="00980E5F">
            <w:pPr>
              <w:rPr>
                <w:rFonts w:ascii="宋体"/>
                <w:vanish/>
              </w:rPr>
            </w:pPr>
          </w:p>
        </w:tc>
        <w:tc>
          <w:tcPr>
            <w:tcW w:w="0" w:type="auto"/>
            <w:gridSpan w:val="3"/>
            <w:shd w:val="clear" w:color="auto" w:fill="auto"/>
            <w:vAlign w:val="bottom"/>
          </w:tcPr>
          <w:p w14:paraId="392C094C" w14:textId="77777777" w:rsidR="00980E5F" w:rsidRDefault="00980E5F">
            <w:pPr>
              <w:rPr>
                <w:rFonts w:ascii="宋体"/>
                <w:vanish/>
              </w:rPr>
            </w:pPr>
          </w:p>
        </w:tc>
        <w:tc>
          <w:tcPr>
            <w:tcW w:w="0" w:type="auto"/>
            <w:gridSpan w:val="3"/>
            <w:shd w:val="clear" w:color="auto" w:fill="auto"/>
            <w:vAlign w:val="bottom"/>
          </w:tcPr>
          <w:p w14:paraId="392C094D" w14:textId="77777777" w:rsidR="00980E5F" w:rsidRDefault="00980E5F">
            <w:pPr>
              <w:rPr>
                <w:rFonts w:ascii="宋体"/>
                <w:vanish/>
              </w:rPr>
            </w:pPr>
          </w:p>
        </w:tc>
        <w:tc>
          <w:tcPr>
            <w:tcW w:w="0" w:type="auto"/>
            <w:gridSpan w:val="3"/>
            <w:shd w:val="clear" w:color="auto" w:fill="auto"/>
            <w:vAlign w:val="bottom"/>
          </w:tcPr>
          <w:p w14:paraId="392C094E" w14:textId="77777777" w:rsidR="00980E5F" w:rsidRDefault="00980E5F">
            <w:pPr>
              <w:rPr>
                <w:rFonts w:ascii="宋体"/>
                <w:vanish/>
              </w:rPr>
            </w:pPr>
          </w:p>
        </w:tc>
        <w:tc>
          <w:tcPr>
            <w:tcW w:w="0" w:type="auto"/>
            <w:gridSpan w:val="3"/>
            <w:shd w:val="clear" w:color="auto" w:fill="auto"/>
            <w:vAlign w:val="bottom"/>
          </w:tcPr>
          <w:p w14:paraId="392C094F" w14:textId="77777777" w:rsidR="00980E5F" w:rsidRDefault="00980E5F">
            <w:pPr>
              <w:rPr>
                <w:rFonts w:ascii="宋体"/>
                <w:vanish/>
              </w:rPr>
            </w:pPr>
          </w:p>
        </w:tc>
        <w:tc>
          <w:tcPr>
            <w:tcW w:w="0" w:type="auto"/>
            <w:gridSpan w:val="2"/>
            <w:shd w:val="clear" w:color="auto" w:fill="auto"/>
            <w:vAlign w:val="bottom"/>
          </w:tcPr>
          <w:p w14:paraId="392C0950" w14:textId="77777777" w:rsidR="00980E5F" w:rsidRDefault="00980E5F">
            <w:pPr>
              <w:rPr>
                <w:rFonts w:ascii="宋体"/>
                <w:vanish/>
              </w:rPr>
            </w:pPr>
          </w:p>
        </w:tc>
        <w:tc>
          <w:tcPr>
            <w:tcW w:w="0" w:type="auto"/>
            <w:shd w:val="clear" w:color="auto" w:fill="auto"/>
            <w:vAlign w:val="bottom"/>
          </w:tcPr>
          <w:p w14:paraId="392C0951" w14:textId="77777777" w:rsidR="00980E5F" w:rsidRDefault="00980E5F">
            <w:pPr>
              <w:rPr>
                <w:rFonts w:ascii="宋体"/>
                <w:vanish/>
              </w:rPr>
            </w:pPr>
          </w:p>
        </w:tc>
      </w:tr>
      <w:tr w:rsidR="00980E5F" w14:paraId="392C096C" w14:textId="77777777">
        <w:tc>
          <w:tcPr>
            <w:tcW w:w="0" w:type="auto"/>
            <w:gridSpan w:val="3"/>
            <w:shd w:val="clear" w:color="auto" w:fill="CCEEFF"/>
            <w:tcMar>
              <w:top w:w="40" w:type="dxa"/>
              <w:left w:w="20" w:type="dxa"/>
              <w:bottom w:w="40" w:type="dxa"/>
              <w:right w:w="20" w:type="dxa"/>
            </w:tcMar>
            <w:vAlign w:val="bottom"/>
          </w:tcPr>
          <w:p w14:paraId="392C0953" w14:textId="77777777" w:rsidR="00980E5F" w:rsidRDefault="00483613">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392C0954" w14:textId="77777777" w:rsidR="00980E5F" w:rsidRDefault="00980E5F">
            <w:pPr>
              <w:rPr>
                <w:rFonts w:ascii="宋体"/>
                <w:vanish/>
              </w:rPr>
            </w:pPr>
          </w:p>
        </w:tc>
        <w:tc>
          <w:tcPr>
            <w:tcW w:w="0" w:type="auto"/>
            <w:shd w:val="clear" w:color="auto" w:fill="auto"/>
            <w:vAlign w:val="bottom"/>
          </w:tcPr>
          <w:p w14:paraId="392C0955" w14:textId="77777777" w:rsidR="00980E5F" w:rsidRDefault="00980E5F">
            <w:pPr>
              <w:rPr>
                <w:rFonts w:ascii="宋体"/>
                <w:vanish/>
              </w:rPr>
            </w:pPr>
          </w:p>
        </w:tc>
        <w:tc>
          <w:tcPr>
            <w:tcW w:w="0" w:type="auto"/>
            <w:shd w:val="clear" w:color="auto" w:fill="auto"/>
            <w:vAlign w:val="bottom"/>
          </w:tcPr>
          <w:p w14:paraId="392C0956" w14:textId="77777777" w:rsidR="00980E5F" w:rsidRDefault="00980E5F">
            <w:pPr>
              <w:rPr>
                <w:rFonts w:ascii="宋体"/>
                <w:vanish/>
              </w:rPr>
            </w:pPr>
          </w:p>
        </w:tc>
        <w:tc>
          <w:tcPr>
            <w:tcW w:w="0" w:type="auto"/>
            <w:shd w:val="clear" w:color="auto" w:fill="auto"/>
            <w:vAlign w:val="bottom"/>
          </w:tcPr>
          <w:p w14:paraId="392C0957" w14:textId="77777777" w:rsidR="00980E5F" w:rsidRDefault="00980E5F">
            <w:pPr>
              <w:rPr>
                <w:rFonts w:ascii="宋体"/>
                <w:vanish/>
              </w:rPr>
            </w:pPr>
          </w:p>
        </w:tc>
        <w:tc>
          <w:tcPr>
            <w:tcW w:w="0" w:type="auto"/>
            <w:shd w:val="clear" w:color="auto" w:fill="auto"/>
            <w:vAlign w:val="bottom"/>
          </w:tcPr>
          <w:p w14:paraId="392C0958" w14:textId="77777777" w:rsidR="00980E5F" w:rsidRDefault="00980E5F">
            <w:pPr>
              <w:rPr>
                <w:rFonts w:ascii="宋体"/>
                <w:vanish/>
              </w:rPr>
            </w:pPr>
          </w:p>
        </w:tc>
        <w:tc>
          <w:tcPr>
            <w:tcW w:w="0" w:type="auto"/>
            <w:shd w:val="clear" w:color="auto" w:fill="auto"/>
            <w:vAlign w:val="bottom"/>
          </w:tcPr>
          <w:p w14:paraId="392C0959"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5A" w14:textId="77777777" w:rsidR="00980E5F" w:rsidRDefault="00483613">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9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95D" w14:textId="77777777" w:rsidR="00980E5F" w:rsidRDefault="00483613">
            <w:pPr>
              <w:jc w:val="right"/>
              <w:textAlignment w:val="bottom"/>
            </w:pPr>
            <w:r>
              <w:rPr>
                <w:rFonts w:ascii="Arial" w:eastAsia="宋体" w:hAnsi="Arial" w:cs="Arial"/>
                <w:color w:val="000000"/>
                <w:sz w:val="14"/>
                <w:szCs w:val="14"/>
              </w:rPr>
              <w:t>941 </w:t>
            </w:r>
          </w:p>
        </w:tc>
        <w:tc>
          <w:tcPr>
            <w:tcW w:w="0" w:type="auto"/>
            <w:shd w:val="clear" w:color="auto" w:fill="CCEEFF"/>
            <w:tcMar>
              <w:top w:w="40" w:type="dxa"/>
              <w:left w:w="0" w:type="dxa"/>
              <w:bottom w:w="40" w:type="dxa"/>
              <w:right w:w="20" w:type="dxa"/>
            </w:tcMar>
            <w:vAlign w:val="bottom"/>
          </w:tcPr>
          <w:p w14:paraId="392C09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5F" w14:textId="77777777" w:rsidR="00980E5F" w:rsidRDefault="00980E5F">
            <w:pPr>
              <w:rPr>
                <w:rFonts w:ascii="宋体"/>
              </w:rPr>
            </w:pPr>
          </w:p>
        </w:tc>
        <w:tc>
          <w:tcPr>
            <w:tcW w:w="0" w:type="auto"/>
            <w:shd w:val="clear" w:color="auto" w:fill="auto"/>
            <w:vAlign w:val="bottom"/>
          </w:tcPr>
          <w:p w14:paraId="392C0960" w14:textId="77777777" w:rsidR="00980E5F" w:rsidRDefault="00980E5F">
            <w:pPr>
              <w:rPr>
                <w:rFonts w:ascii="宋体"/>
                <w:vanish/>
              </w:rPr>
            </w:pPr>
          </w:p>
        </w:tc>
        <w:tc>
          <w:tcPr>
            <w:tcW w:w="0" w:type="auto"/>
            <w:shd w:val="clear" w:color="auto" w:fill="auto"/>
            <w:vAlign w:val="bottom"/>
          </w:tcPr>
          <w:p w14:paraId="392C0961"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62"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92C0963" w14:textId="77777777" w:rsidR="00980E5F" w:rsidRDefault="00980E5F">
            <w:pPr>
              <w:jc w:val="right"/>
              <w:rPr>
                <w:rFonts w:ascii="宋体"/>
              </w:rPr>
            </w:pPr>
          </w:p>
        </w:tc>
        <w:tc>
          <w:tcPr>
            <w:tcW w:w="0" w:type="auto"/>
            <w:gridSpan w:val="3"/>
            <w:shd w:val="clear" w:color="auto" w:fill="auto"/>
            <w:vAlign w:val="bottom"/>
          </w:tcPr>
          <w:p w14:paraId="392C0964" w14:textId="77777777" w:rsidR="00980E5F" w:rsidRDefault="00980E5F">
            <w:pPr>
              <w:rPr>
                <w:rFonts w:ascii="宋体"/>
                <w:vanish/>
              </w:rPr>
            </w:pPr>
          </w:p>
        </w:tc>
        <w:tc>
          <w:tcPr>
            <w:tcW w:w="0" w:type="auto"/>
            <w:gridSpan w:val="3"/>
            <w:shd w:val="clear" w:color="auto" w:fill="auto"/>
            <w:vAlign w:val="bottom"/>
          </w:tcPr>
          <w:p w14:paraId="392C0965" w14:textId="77777777" w:rsidR="00980E5F" w:rsidRDefault="00980E5F">
            <w:pPr>
              <w:rPr>
                <w:rFonts w:ascii="宋体"/>
                <w:vanish/>
              </w:rPr>
            </w:pPr>
          </w:p>
        </w:tc>
        <w:tc>
          <w:tcPr>
            <w:tcW w:w="0" w:type="auto"/>
            <w:gridSpan w:val="3"/>
            <w:shd w:val="clear" w:color="auto" w:fill="auto"/>
            <w:vAlign w:val="bottom"/>
          </w:tcPr>
          <w:p w14:paraId="392C0966" w14:textId="77777777" w:rsidR="00980E5F" w:rsidRDefault="00980E5F">
            <w:pPr>
              <w:rPr>
                <w:rFonts w:ascii="宋体"/>
                <w:vanish/>
              </w:rPr>
            </w:pPr>
          </w:p>
        </w:tc>
        <w:tc>
          <w:tcPr>
            <w:tcW w:w="0" w:type="auto"/>
            <w:gridSpan w:val="3"/>
            <w:shd w:val="clear" w:color="auto" w:fill="auto"/>
            <w:vAlign w:val="bottom"/>
          </w:tcPr>
          <w:p w14:paraId="392C0967" w14:textId="77777777" w:rsidR="00980E5F" w:rsidRDefault="00980E5F">
            <w:pPr>
              <w:rPr>
                <w:rFonts w:ascii="宋体"/>
                <w:vanish/>
              </w:rPr>
            </w:pPr>
          </w:p>
        </w:tc>
        <w:tc>
          <w:tcPr>
            <w:tcW w:w="0" w:type="auto"/>
            <w:gridSpan w:val="3"/>
            <w:shd w:val="clear" w:color="auto" w:fill="auto"/>
            <w:vAlign w:val="bottom"/>
          </w:tcPr>
          <w:p w14:paraId="392C0968" w14:textId="77777777" w:rsidR="00980E5F" w:rsidRDefault="00980E5F">
            <w:pPr>
              <w:rPr>
                <w:rFonts w:ascii="宋体"/>
                <w:vanish/>
              </w:rPr>
            </w:pPr>
          </w:p>
        </w:tc>
        <w:tc>
          <w:tcPr>
            <w:tcW w:w="0" w:type="auto"/>
            <w:gridSpan w:val="3"/>
            <w:shd w:val="clear" w:color="auto" w:fill="auto"/>
            <w:vAlign w:val="bottom"/>
          </w:tcPr>
          <w:p w14:paraId="392C0969" w14:textId="77777777" w:rsidR="00980E5F" w:rsidRDefault="00980E5F">
            <w:pPr>
              <w:rPr>
                <w:rFonts w:ascii="宋体"/>
                <w:vanish/>
              </w:rPr>
            </w:pPr>
          </w:p>
        </w:tc>
        <w:tc>
          <w:tcPr>
            <w:tcW w:w="0" w:type="auto"/>
            <w:gridSpan w:val="2"/>
            <w:shd w:val="clear" w:color="auto" w:fill="auto"/>
            <w:vAlign w:val="bottom"/>
          </w:tcPr>
          <w:p w14:paraId="392C096A" w14:textId="77777777" w:rsidR="00980E5F" w:rsidRDefault="00980E5F">
            <w:pPr>
              <w:rPr>
                <w:rFonts w:ascii="宋体"/>
                <w:vanish/>
              </w:rPr>
            </w:pPr>
          </w:p>
        </w:tc>
        <w:tc>
          <w:tcPr>
            <w:tcW w:w="0" w:type="auto"/>
            <w:shd w:val="clear" w:color="auto" w:fill="auto"/>
            <w:vAlign w:val="bottom"/>
          </w:tcPr>
          <w:p w14:paraId="392C096B" w14:textId="77777777" w:rsidR="00980E5F" w:rsidRDefault="00980E5F">
            <w:pPr>
              <w:rPr>
                <w:rFonts w:ascii="宋体"/>
                <w:vanish/>
              </w:rPr>
            </w:pPr>
          </w:p>
        </w:tc>
      </w:tr>
      <w:tr w:rsidR="00980E5F" w14:paraId="392C0985" w14:textId="77777777">
        <w:tc>
          <w:tcPr>
            <w:tcW w:w="0" w:type="auto"/>
            <w:gridSpan w:val="3"/>
            <w:shd w:val="clear" w:color="auto" w:fill="FFFFFF"/>
            <w:tcMar>
              <w:top w:w="40" w:type="dxa"/>
              <w:left w:w="20" w:type="dxa"/>
              <w:bottom w:w="40" w:type="dxa"/>
              <w:right w:w="20" w:type="dxa"/>
            </w:tcMar>
            <w:vAlign w:val="bottom"/>
          </w:tcPr>
          <w:p w14:paraId="392C096D" w14:textId="77777777" w:rsidR="00980E5F" w:rsidRDefault="00483613">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392C096E" w14:textId="77777777" w:rsidR="00980E5F" w:rsidRDefault="00980E5F">
            <w:pPr>
              <w:rPr>
                <w:rFonts w:ascii="宋体"/>
                <w:vanish/>
              </w:rPr>
            </w:pPr>
          </w:p>
        </w:tc>
        <w:tc>
          <w:tcPr>
            <w:tcW w:w="0" w:type="auto"/>
            <w:shd w:val="clear" w:color="auto" w:fill="auto"/>
            <w:vAlign w:val="bottom"/>
          </w:tcPr>
          <w:p w14:paraId="392C096F" w14:textId="77777777" w:rsidR="00980E5F" w:rsidRDefault="00980E5F">
            <w:pPr>
              <w:rPr>
                <w:rFonts w:ascii="宋体"/>
                <w:vanish/>
              </w:rPr>
            </w:pPr>
          </w:p>
        </w:tc>
        <w:tc>
          <w:tcPr>
            <w:tcW w:w="0" w:type="auto"/>
            <w:shd w:val="clear" w:color="auto" w:fill="auto"/>
            <w:vAlign w:val="bottom"/>
          </w:tcPr>
          <w:p w14:paraId="392C0970" w14:textId="77777777" w:rsidR="00980E5F" w:rsidRDefault="00980E5F">
            <w:pPr>
              <w:rPr>
                <w:rFonts w:ascii="宋体"/>
                <w:vanish/>
              </w:rPr>
            </w:pPr>
          </w:p>
        </w:tc>
        <w:tc>
          <w:tcPr>
            <w:tcW w:w="0" w:type="auto"/>
            <w:shd w:val="clear" w:color="auto" w:fill="auto"/>
            <w:vAlign w:val="bottom"/>
          </w:tcPr>
          <w:p w14:paraId="392C0971" w14:textId="77777777" w:rsidR="00980E5F" w:rsidRDefault="00980E5F">
            <w:pPr>
              <w:rPr>
                <w:rFonts w:ascii="宋体"/>
                <w:vanish/>
              </w:rPr>
            </w:pPr>
          </w:p>
        </w:tc>
        <w:tc>
          <w:tcPr>
            <w:tcW w:w="0" w:type="auto"/>
            <w:shd w:val="clear" w:color="auto" w:fill="auto"/>
            <w:vAlign w:val="bottom"/>
          </w:tcPr>
          <w:p w14:paraId="392C0972" w14:textId="77777777" w:rsidR="00980E5F" w:rsidRDefault="00980E5F">
            <w:pPr>
              <w:rPr>
                <w:rFonts w:ascii="宋体"/>
                <w:vanish/>
              </w:rPr>
            </w:pPr>
          </w:p>
        </w:tc>
        <w:tc>
          <w:tcPr>
            <w:tcW w:w="0" w:type="auto"/>
            <w:shd w:val="clear" w:color="auto" w:fill="auto"/>
            <w:vAlign w:val="bottom"/>
          </w:tcPr>
          <w:p w14:paraId="392C097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74"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392C09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97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9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79" w14:textId="77777777" w:rsidR="00980E5F" w:rsidRDefault="00980E5F">
            <w:pPr>
              <w:rPr>
                <w:rFonts w:ascii="宋体"/>
              </w:rPr>
            </w:pPr>
          </w:p>
        </w:tc>
        <w:tc>
          <w:tcPr>
            <w:tcW w:w="0" w:type="auto"/>
            <w:shd w:val="clear" w:color="auto" w:fill="auto"/>
            <w:vAlign w:val="bottom"/>
          </w:tcPr>
          <w:p w14:paraId="392C097A" w14:textId="77777777" w:rsidR="00980E5F" w:rsidRDefault="00980E5F">
            <w:pPr>
              <w:rPr>
                <w:rFonts w:ascii="宋体"/>
                <w:vanish/>
              </w:rPr>
            </w:pPr>
          </w:p>
        </w:tc>
        <w:tc>
          <w:tcPr>
            <w:tcW w:w="0" w:type="auto"/>
            <w:shd w:val="clear" w:color="auto" w:fill="auto"/>
            <w:vAlign w:val="bottom"/>
          </w:tcPr>
          <w:p w14:paraId="392C097B"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97C"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97D" w14:textId="77777777" w:rsidR="00980E5F" w:rsidRDefault="00980E5F">
            <w:pPr>
              <w:rPr>
                <w:rFonts w:ascii="宋体"/>
                <w:vanish/>
              </w:rPr>
            </w:pPr>
          </w:p>
        </w:tc>
        <w:tc>
          <w:tcPr>
            <w:tcW w:w="0" w:type="auto"/>
            <w:gridSpan w:val="3"/>
            <w:shd w:val="clear" w:color="auto" w:fill="auto"/>
            <w:vAlign w:val="bottom"/>
          </w:tcPr>
          <w:p w14:paraId="392C097E" w14:textId="77777777" w:rsidR="00980E5F" w:rsidRDefault="00980E5F">
            <w:pPr>
              <w:rPr>
                <w:rFonts w:ascii="宋体"/>
                <w:vanish/>
              </w:rPr>
            </w:pPr>
          </w:p>
        </w:tc>
        <w:tc>
          <w:tcPr>
            <w:tcW w:w="0" w:type="auto"/>
            <w:gridSpan w:val="3"/>
            <w:shd w:val="clear" w:color="auto" w:fill="auto"/>
            <w:vAlign w:val="bottom"/>
          </w:tcPr>
          <w:p w14:paraId="392C097F" w14:textId="77777777" w:rsidR="00980E5F" w:rsidRDefault="00980E5F">
            <w:pPr>
              <w:rPr>
                <w:rFonts w:ascii="宋体"/>
                <w:vanish/>
              </w:rPr>
            </w:pPr>
          </w:p>
        </w:tc>
        <w:tc>
          <w:tcPr>
            <w:tcW w:w="0" w:type="auto"/>
            <w:gridSpan w:val="3"/>
            <w:shd w:val="clear" w:color="auto" w:fill="auto"/>
            <w:vAlign w:val="bottom"/>
          </w:tcPr>
          <w:p w14:paraId="392C0980" w14:textId="77777777" w:rsidR="00980E5F" w:rsidRDefault="00980E5F">
            <w:pPr>
              <w:rPr>
                <w:rFonts w:ascii="宋体"/>
                <w:vanish/>
              </w:rPr>
            </w:pPr>
          </w:p>
        </w:tc>
        <w:tc>
          <w:tcPr>
            <w:tcW w:w="0" w:type="auto"/>
            <w:gridSpan w:val="3"/>
            <w:shd w:val="clear" w:color="auto" w:fill="auto"/>
            <w:vAlign w:val="bottom"/>
          </w:tcPr>
          <w:p w14:paraId="392C0981" w14:textId="77777777" w:rsidR="00980E5F" w:rsidRDefault="00980E5F">
            <w:pPr>
              <w:rPr>
                <w:rFonts w:ascii="宋体"/>
                <w:vanish/>
              </w:rPr>
            </w:pPr>
          </w:p>
        </w:tc>
        <w:tc>
          <w:tcPr>
            <w:tcW w:w="0" w:type="auto"/>
            <w:gridSpan w:val="3"/>
            <w:shd w:val="clear" w:color="auto" w:fill="auto"/>
            <w:vAlign w:val="bottom"/>
          </w:tcPr>
          <w:p w14:paraId="392C0982" w14:textId="77777777" w:rsidR="00980E5F" w:rsidRDefault="00980E5F">
            <w:pPr>
              <w:rPr>
                <w:rFonts w:ascii="宋体"/>
                <w:vanish/>
              </w:rPr>
            </w:pPr>
          </w:p>
        </w:tc>
        <w:tc>
          <w:tcPr>
            <w:tcW w:w="0" w:type="auto"/>
            <w:gridSpan w:val="2"/>
            <w:shd w:val="clear" w:color="auto" w:fill="auto"/>
            <w:vAlign w:val="bottom"/>
          </w:tcPr>
          <w:p w14:paraId="392C0983" w14:textId="77777777" w:rsidR="00980E5F" w:rsidRDefault="00980E5F">
            <w:pPr>
              <w:rPr>
                <w:rFonts w:ascii="宋体"/>
                <w:vanish/>
              </w:rPr>
            </w:pPr>
          </w:p>
        </w:tc>
        <w:tc>
          <w:tcPr>
            <w:tcW w:w="0" w:type="auto"/>
            <w:shd w:val="clear" w:color="auto" w:fill="auto"/>
            <w:vAlign w:val="bottom"/>
          </w:tcPr>
          <w:p w14:paraId="392C0984" w14:textId="77777777" w:rsidR="00980E5F" w:rsidRDefault="00980E5F">
            <w:pPr>
              <w:rPr>
                <w:rFonts w:ascii="宋体"/>
                <w:vanish/>
              </w:rPr>
            </w:pPr>
          </w:p>
        </w:tc>
      </w:tr>
      <w:tr w:rsidR="00980E5F" w14:paraId="392C099F" w14:textId="77777777">
        <w:tc>
          <w:tcPr>
            <w:tcW w:w="0" w:type="auto"/>
            <w:gridSpan w:val="3"/>
            <w:shd w:val="clear" w:color="auto" w:fill="CCEEFF"/>
            <w:tcMar>
              <w:top w:w="40" w:type="dxa"/>
              <w:left w:w="20" w:type="dxa"/>
              <w:bottom w:w="40" w:type="dxa"/>
              <w:right w:w="20" w:type="dxa"/>
            </w:tcMar>
            <w:vAlign w:val="bottom"/>
          </w:tcPr>
          <w:p w14:paraId="392C0986" w14:textId="77777777" w:rsidR="00980E5F" w:rsidRDefault="00483613">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392C0987" w14:textId="77777777" w:rsidR="00980E5F" w:rsidRDefault="00980E5F">
            <w:pPr>
              <w:rPr>
                <w:rFonts w:ascii="宋体"/>
                <w:vanish/>
              </w:rPr>
            </w:pPr>
          </w:p>
        </w:tc>
        <w:tc>
          <w:tcPr>
            <w:tcW w:w="0" w:type="auto"/>
            <w:shd w:val="clear" w:color="auto" w:fill="auto"/>
            <w:vAlign w:val="bottom"/>
          </w:tcPr>
          <w:p w14:paraId="392C0988" w14:textId="77777777" w:rsidR="00980E5F" w:rsidRDefault="00980E5F">
            <w:pPr>
              <w:rPr>
                <w:rFonts w:ascii="宋体"/>
                <w:vanish/>
              </w:rPr>
            </w:pPr>
          </w:p>
        </w:tc>
        <w:tc>
          <w:tcPr>
            <w:tcW w:w="0" w:type="auto"/>
            <w:shd w:val="clear" w:color="auto" w:fill="auto"/>
            <w:vAlign w:val="bottom"/>
          </w:tcPr>
          <w:p w14:paraId="392C0989" w14:textId="77777777" w:rsidR="00980E5F" w:rsidRDefault="00980E5F">
            <w:pPr>
              <w:rPr>
                <w:rFonts w:ascii="宋体"/>
                <w:vanish/>
              </w:rPr>
            </w:pPr>
          </w:p>
        </w:tc>
        <w:tc>
          <w:tcPr>
            <w:tcW w:w="0" w:type="auto"/>
            <w:shd w:val="clear" w:color="auto" w:fill="auto"/>
            <w:vAlign w:val="bottom"/>
          </w:tcPr>
          <w:p w14:paraId="392C098A" w14:textId="77777777" w:rsidR="00980E5F" w:rsidRDefault="00980E5F">
            <w:pPr>
              <w:rPr>
                <w:rFonts w:ascii="宋体"/>
                <w:vanish/>
              </w:rPr>
            </w:pPr>
          </w:p>
        </w:tc>
        <w:tc>
          <w:tcPr>
            <w:tcW w:w="0" w:type="auto"/>
            <w:shd w:val="clear" w:color="auto" w:fill="auto"/>
            <w:vAlign w:val="bottom"/>
          </w:tcPr>
          <w:p w14:paraId="392C098B" w14:textId="77777777" w:rsidR="00980E5F" w:rsidRDefault="00980E5F">
            <w:pPr>
              <w:rPr>
                <w:rFonts w:ascii="宋体"/>
                <w:vanish/>
              </w:rPr>
            </w:pPr>
          </w:p>
        </w:tc>
        <w:tc>
          <w:tcPr>
            <w:tcW w:w="0" w:type="auto"/>
            <w:shd w:val="clear" w:color="auto" w:fill="auto"/>
            <w:vAlign w:val="bottom"/>
          </w:tcPr>
          <w:p w14:paraId="392C098C"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98D" w14:textId="77777777" w:rsidR="00980E5F" w:rsidRDefault="00483613">
            <w:pPr>
              <w:jc w:val="right"/>
              <w:textAlignment w:val="bottom"/>
            </w:pPr>
            <w:r>
              <w:rPr>
                <w:rFonts w:ascii="Arial" w:eastAsia="宋体" w:hAnsi="Arial" w:cs="Arial"/>
                <w:b/>
                <w:bCs/>
                <w:color w:val="000000"/>
                <w:sz w:val="14"/>
                <w:szCs w:val="14"/>
              </w:rPr>
              <w:t>5,033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9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8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990" w14:textId="77777777" w:rsidR="00980E5F" w:rsidRDefault="00483613">
            <w:pPr>
              <w:jc w:val="right"/>
              <w:textAlignment w:val="bottom"/>
            </w:pPr>
            <w:r>
              <w:rPr>
                <w:rFonts w:ascii="Arial" w:eastAsia="宋体" w:hAnsi="Arial" w:cs="Arial"/>
                <w:color w:val="000000"/>
                <w:sz w:val="14"/>
                <w:szCs w:val="14"/>
              </w:rPr>
              <w:t>4,896 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9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92" w14:textId="77777777" w:rsidR="00980E5F" w:rsidRDefault="00980E5F">
            <w:pPr>
              <w:rPr>
                <w:rFonts w:ascii="宋体"/>
              </w:rPr>
            </w:pPr>
          </w:p>
        </w:tc>
        <w:tc>
          <w:tcPr>
            <w:tcW w:w="0" w:type="auto"/>
            <w:shd w:val="clear" w:color="auto" w:fill="auto"/>
            <w:vAlign w:val="bottom"/>
          </w:tcPr>
          <w:p w14:paraId="392C0993" w14:textId="77777777" w:rsidR="00980E5F" w:rsidRDefault="00980E5F">
            <w:pPr>
              <w:rPr>
                <w:rFonts w:ascii="宋体"/>
                <w:vanish/>
              </w:rPr>
            </w:pPr>
          </w:p>
        </w:tc>
        <w:tc>
          <w:tcPr>
            <w:tcW w:w="0" w:type="auto"/>
            <w:shd w:val="clear" w:color="auto" w:fill="auto"/>
            <w:vAlign w:val="bottom"/>
          </w:tcPr>
          <w:p w14:paraId="392C0994"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95"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0996" w14:textId="77777777" w:rsidR="00980E5F" w:rsidRDefault="00980E5F">
            <w:pPr>
              <w:jc w:val="right"/>
              <w:rPr>
                <w:rFonts w:ascii="宋体"/>
              </w:rPr>
            </w:pPr>
          </w:p>
        </w:tc>
        <w:tc>
          <w:tcPr>
            <w:tcW w:w="0" w:type="auto"/>
            <w:gridSpan w:val="3"/>
            <w:shd w:val="clear" w:color="auto" w:fill="auto"/>
            <w:vAlign w:val="bottom"/>
          </w:tcPr>
          <w:p w14:paraId="392C0997" w14:textId="77777777" w:rsidR="00980E5F" w:rsidRDefault="00980E5F">
            <w:pPr>
              <w:rPr>
                <w:rFonts w:ascii="宋体"/>
                <w:vanish/>
              </w:rPr>
            </w:pPr>
          </w:p>
        </w:tc>
        <w:tc>
          <w:tcPr>
            <w:tcW w:w="0" w:type="auto"/>
            <w:gridSpan w:val="3"/>
            <w:shd w:val="clear" w:color="auto" w:fill="auto"/>
            <w:vAlign w:val="bottom"/>
          </w:tcPr>
          <w:p w14:paraId="392C0998" w14:textId="77777777" w:rsidR="00980E5F" w:rsidRDefault="00980E5F">
            <w:pPr>
              <w:rPr>
                <w:rFonts w:ascii="宋体"/>
                <w:vanish/>
              </w:rPr>
            </w:pPr>
          </w:p>
        </w:tc>
        <w:tc>
          <w:tcPr>
            <w:tcW w:w="0" w:type="auto"/>
            <w:gridSpan w:val="3"/>
            <w:shd w:val="clear" w:color="auto" w:fill="auto"/>
            <w:vAlign w:val="bottom"/>
          </w:tcPr>
          <w:p w14:paraId="392C0999" w14:textId="77777777" w:rsidR="00980E5F" w:rsidRDefault="00980E5F">
            <w:pPr>
              <w:rPr>
                <w:rFonts w:ascii="宋体"/>
                <w:vanish/>
              </w:rPr>
            </w:pPr>
          </w:p>
        </w:tc>
        <w:tc>
          <w:tcPr>
            <w:tcW w:w="0" w:type="auto"/>
            <w:gridSpan w:val="3"/>
            <w:shd w:val="clear" w:color="auto" w:fill="auto"/>
            <w:vAlign w:val="bottom"/>
          </w:tcPr>
          <w:p w14:paraId="392C099A" w14:textId="77777777" w:rsidR="00980E5F" w:rsidRDefault="00980E5F">
            <w:pPr>
              <w:rPr>
                <w:rFonts w:ascii="宋体"/>
                <w:vanish/>
              </w:rPr>
            </w:pPr>
          </w:p>
        </w:tc>
        <w:tc>
          <w:tcPr>
            <w:tcW w:w="0" w:type="auto"/>
            <w:gridSpan w:val="3"/>
            <w:shd w:val="clear" w:color="auto" w:fill="auto"/>
            <w:vAlign w:val="bottom"/>
          </w:tcPr>
          <w:p w14:paraId="392C099B" w14:textId="77777777" w:rsidR="00980E5F" w:rsidRDefault="00980E5F">
            <w:pPr>
              <w:rPr>
                <w:rFonts w:ascii="宋体"/>
                <w:vanish/>
              </w:rPr>
            </w:pPr>
          </w:p>
        </w:tc>
        <w:tc>
          <w:tcPr>
            <w:tcW w:w="0" w:type="auto"/>
            <w:gridSpan w:val="3"/>
            <w:shd w:val="clear" w:color="auto" w:fill="auto"/>
            <w:vAlign w:val="bottom"/>
          </w:tcPr>
          <w:p w14:paraId="392C099C" w14:textId="77777777" w:rsidR="00980E5F" w:rsidRDefault="00980E5F">
            <w:pPr>
              <w:rPr>
                <w:rFonts w:ascii="宋体"/>
                <w:vanish/>
              </w:rPr>
            </w:pPr>
          </w:p>
        </w:tc>
        <w:tc>
          <w:tcPr>
            <w:tcW w:w="0" w:type="auto"/>
            <w:gridSpan w:val="2"/>
            <w:shd w:val="clear" w:color="auto" w:fill="auto"/>
            <w:vAlign w:val="bottom"/>
          </w:tcPr>
          <w:p w14:paraId="392C099D" w14:textId="77777777" w:rsidR="00980E5F" w:rsidRDefault="00980E5F">
            <w:pPr>
              <w:rPr>
                <w:rFonts w:ascii="宋体"/>
                <w:vanish/>
              </w:rPr>
            </w:pPr>
          </w:p>
        </w:tc>
        <w:tc>
          <w:tcPr>
            <w:tcW w:w="0" w:type="auto"/>
            <w:shd w:val="clear" w:color="auto" w:fill="auto"/>
            <w:vAlign w:val="bottom"/>
          </w:tcPr>
          <w:p w14:paraId="392C099E" w14:textId="77777777" w:rsidR="00980E5F" w:rsidRDefault="00980E5F">
            <w:pPr>
              <w:rPr>
                <w:rFonts w:ascii="宋体"/>
                <w:vanish/>
              </w:rPr>
            </w:pPr>
          </w:p>
        </w:tc>
      </w:tr>
      <w:tr w:rsidR="00980E5F" w14:paraId="392C09B8" w14:textId="77777777">
        <w:tc>
          <w:tcPr>
            <w:tcW w:w="0" w:type="auto"/>
            <w:gridSpan w:val="3"/>
            <w:shd w:val="clear" w:color="auto" w:fill="FFFFFF"/>
            <w:tcMar>
              <w:top w:w="40" w:type="dxa"/>
              <w:left w:w="20" w:type="dxa"/>
              <w:bottom w:w="40" w:type="dxa"/>
              <w:right w:w="20" w:type="dxa"/>
            </w:tcMar>
            <w:vAlign w:val="bottom"/>
          </w:tcPr>
          <w:p w14:paraId="392C09A0" w14:textId="77777777" w:rsidR="00980E5F" w:rsidRDefault="00483613">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392C09A1" w14:textId="77777777" w:rsidR="00980E5F" w:rsidRDefault="00980E5F">
            <w:pPr>
              <w:rPr>
                <w:rFonts w:ascii="宋体"/>
                <w:vanish/>
              </w:rPr>
            </w:pPr>
          </w:p>
        </w:tc>
        <w:tc>
          <w:tcPr>
            <w:tcW w:w="0" w:type="auto"/>
            <w:shd w:val="clear" w:color="auto" w:fill="auto"/>
            <w:vAlign w:val="bottom"/>
          </w:tcPr>
          <w:p w14:paraId="392C09A2" w14:textId="77777777" w:rsidR="00980E5F" w:rsidRDefault="00980E5F">
            <w:pPr>
              <w:rPr>
                <w:rFonts w:ascii="宋体"/>
                <w:vanish/>
              </w:rPr>
            </w:pPr>
          </w:p>
        </w:tc>
        <w:tc>
          <w:tcPr>
            <w:tcW w:w="0" w:type="auto"/>
            <w:shd w:val="clear" w:color="auto" w:fill="auto"/>
            <w:vAlign w:val="bottom"/>
          </w:tcPr>
          <w:p w14:paraId="392C09A3" w14:textId="77777777" w:rsidR="00980E5F" w:rsidRDefault="00980E5F">
            <w:pPr>
              <w:rPr>
                <w:rFonts w:ascii="宋体"/>
                <w:vanish/>
              </w:rPr>
            </w:pPr>
          </w:p>
        </w:tc>
        <w:tc>
          <w:tcPr>
            <w:tcW w:w="0" w:type="auto"/>
            <w:shd w:val="clear" w:color="auto" w:fill="auto"/>
            <w:vAlign w:val="bottom"/>
          </w:tcPr>
          <w:p w14:paraId="392C09A4" w14:textId="77777777" w:rsidR="00980E5F" w:rsidRDefault="00980E5F">
            <w:pPr>
              <w:rPr>
                <w:rFonts w:ascii="宋体"/>
                <w:vanish/>
              </w:rPr>
            </w:pPr>
          </w:p>
        </w:tc>
        <w:tc>
          <w:tcPr>
            <w:tcW w:w="0" w:type="auto"/>
            <w:shd w:val="clear" w:color="auto" w:fill="auto"/>
            <w:vAlign w:val="bottom"/>
          </w:tcPr>
          <w:p w14:paraId="392C09A5" w14:textId="77777777" w:rsidR="00980E5F" w:rsidRDefault="00980E5F">
            <w:pPr>
              <w:rPr>
                <w:rFonts w:ascii="宋体"/>
                <w:vanish/>
              </w:rPr>
            </w:pPr>
          </w:p>
        </w:tc>
        <w:tc>
          <w:tcPr>
            <w:tcW w:w="0" w:type="auto"/>
            <w:shd w:val="clear" w:color="auto" w:fill="auto"/>
            <w:vAlign w:val="bottom"/>
          </w:tcPr>
          <w:p w14:paraId="392C09A6"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A7"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9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9AA" w14:textId="77777777" w:rsidR="00980E5F" w:rsidRDefault="00483613">
            <w:pPr>
              <w:jc w:val="right"/>
              <w:textAlignment w:val="bottom"/>
            </w:pPr>
            <w:r>
              <w:rPr>
                <w:rFonts w:ascii="Arial" w:eastAsia="宋体" w:hAnsi="Arial" w:cs="Arial"/>
                <w:color w:val="000000"/>
                <w:sz w:val="14"/>
                <w:szCs w:val="14"/>
              </w:rPr>
              <w:t>(24)</w:t>
            </w:r>
          </w:p>
        </w:tc>
        <w:tc>
          <w:tcPr>
            <w:tcW w:w="0" w:type="auto"/>
            <w:shd w:val="clear" w:color="auto" w:fill="FFFFFF"/>
            <w:tcMar>
              <w:top w:w="40" w:type="dxa"/>
              <w:left w:w="0" w:type="dxa"/>
              <w:bottom w:w="40" w:type="dxa"/>
              <w:right w:w="20" w:type="dxa"/>
            </w:tcMar>
            <w:vAlign w:val="bottom"/>
          </w:tcPr>
          <w:p w14:paraId="392C09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AC" w14:textId="77777777" w:rsidR="00980E5F" w:rsidRDefault="00980E5F">
            <w:pPr>
              <w:rPr>
                <w:rFonts w:ascii="宋体"/>
              </w:rPr>
            </w:pPr>
          </w:p>
        </w:tc>
        <w:tc>
          <w:tcPr>
            <w:tcW w:w="0" w:type="auto"/>
            <w:shd w:val="clear" w:color="auto" w:fill="auto"/>
            <w:vAlign w:val="bottom"/>
          </w:tcPr>
          <w:p w14:paraId="392C09AD" w14:textId="77777777" w:rsidR="00980E5F" w:rsidRDefault="00980E5F">
            <w:pPr>
              <w:rPr>
                <w:rFonts w:ascii="宋体"/>
                <w:vanish/>
              </w:rPr>
            </w:pPr>
          </w:p>
        </w:tc>
        <w:tc>
          <w:tcPr>
            <w:tcW w:w="0" w:type="auto"/>
            <w:shd w:val="clear" w:color="auto" w:fill="auto"/>
            <w:vAlign w:val="bottom"/>
          </w:tcPr>
          <w:p w14:paraId="392C09AE"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9AF"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9B0" w14:textId="77777777" w:rsidR="00980E5F" w:rsidRDefault="00980E5F">
            <w:pPr>
              <w:rPr>
                <w:rFonts w:ascii="宋体"/>
                <w:vanish/>
              </w:rPr>
            </w:pPr>
          </w:p>
        </w:tc>
        <w:tc>
          <w:tcPr>
            <w:tcW w:w="0" w:type="auto"/>
            <w:gridSpan w:val="3"/>
            <w:shd w:val="clear" w:color="auto" w:fill="auto"/>
            <w:vAlign w:val="bottom"/>
          </w:tcPr>
          <w:p w14:paraId="392C09B1" w14:textId="77777777" w:rsidR="00980E5F" w:rsidRDefault="00980E5F">
            <w:pPr>
              <w:rPr>
                <w:rFonts w:ascii="宋体"/>
                <w:vanish/>
              </w:rPr>
            </w:pPr>
          </w:p>
        </w:tc>
        <w:tc>
          <w:tcPr>
            <w:tcW w:w="0" w:type="auto"/>
            <w:gridSpan w:val="3"/>
            <w:shd w:val="clear" w:color="auto" w:fill="auto"/>
            <w:vAlign w:val="bottom"/>
          </w:tcPr>
          <w:p w14:paraId="392C09B2" w14:textId="77777777" w:rsidR="00980E5F" w:rsidRDefault="00980E5F">
            <w:pPr>
              <w:rPr>
                <w:rFonts w:ascii="宋体"/>
                <w:vanish/>
              </w:rPr>
            </w:pPr>
          </w:p>
        </w:tc>
        <w:tc>
          <w:tcPr>
            <w:tcW w:w="0" w:type="auto"/>
            <w:gridSpan w:val="3"/>
            <w:shd w:val="clear" w:color="auto" w:fill="auto"/>
            <w:vAlign w:val="bottom"/>
          </w:tcPr>
          <w:p w14:paraId="392C09B3" w14:textId="77777777" w:rsidR="00980E5F" w:rsidRDefault="00980E5F">
            <w:pPr>
              <w:rPr>
                <w:rFonts w:ascii="宋体"/>
                <w:vanish/>
              </w:rPr>
            </w:pPr>
          </w:p>
        </w:tc>
        <w:tc>
          <w:tcPr>
            <w:tcW w:w="0" w:type="auto"/>
            <w:gridSpan w:val="3"/>
            <w:shd w:val="clear" w:color="auto" w:fill="auto"/>
            <w:vAlign w:val="bottom"/>
          </w:tcPr>
          <w:p w14:paraId="392C09B4" w14:textId="77777777" w:rsidR="00980E5F" w:rsidRDefault="00980E5F">
            <w:pPr>
              <w:rPr>
                <w:rFonts w:ascii="宋体"/>
                <w:vanish/>
              </w:rPr>
            </w:pPr>
          </w:p>
        </w:tc>
        <w:tc>
          <w:tcPr>
            <w:tcW w:w="0" w:type="auto"/>
            <w:gridSpan w:val="3"/>
            <w:shd w:val="clear" w:color="auto" w:fill="auto"/>
            <w:vAlign w:val="bottom"/>
          </w:tcPr>
          <w:p w14:paraId="392C09B5" w14:textId="77777777" w:rsidR="00980E5F" w:rsidRDefault="00980E5F">
            <w:pPr>
              <w:rPr>
                <w:rFonts w:ascii="宋体"/>
                <w:vanish/>
              </w:rPr>
            </w:pPr>
          </w:p>
        </w:tc>
        <w:tc>
          <w:tcPr>
            <w:tcW w:w="0" w:type="auto"/>
            <w:gridSpan w:val="2"/>
            <w:shd w:val="clear" w:color="auto" w:fill="auto"/>
            <w:vAlign w:val="bottom"/>
          </w:tcPr>
          <w:p w14:paraId="392C09B6" w14:textId="77777777" w:rsidR="00980E5F" w:rsidRDefault="00980E5F">
            <w:pPr>
              <w:rPr>
                <w:rFonts w:ascii="宋体"/>
                <w:vanish/>
              </w:rPr>
            </w:pPr>
          </w:p>
        </w:tc>
        <w:tc>
          <w:tcPr>
            <w:tcW w:w="0" w:type="auto"/>
            <w:shd w:val="clear" w:color="auto" w:fill="auto"/>
            <w:vAlign w:val="bottom"/>
          </w:tcPr>
          <w:p w14:paraId="392C09B7" w14:textId="77777777" w:rsidR="00980E5F" w:rsidRDefault="00980E5F">
            <w:pPr>
              <w:rPr>
                <w:rFonts w:ascii="宋体"/>
                <w:vanish/>
              </w:rPr>
            </w:pPr>
          </w:p>
        </w:tc>
      </w:tr>
      <w:tr w:rsidR="00980E5F" w14:paraId="392C09D2" w14:textId="77777777">
        <w:tc>
          <w:tcPr>
            <w:tcW w:w="0" w:type="auto"/>
            <w:gridSpan w:val="3"/>
            <w:shd w:val="clear" w:color="auto" w:fill="CCEEFF"/>
            <w:tcMar>
              <w:top w:w="40" w:type="dxa"/>
              <w:left w:w="20" w:type="dxa"/>
              <w:bottom w:w="40" w:type="dxa"/>
              <w:right w:w="20" w:type="dxa"/>
            </w:tcMar>
            <w:vAlign w:val="bottom"/>
          </w:tcPr>
          <w:p w14:paraId="392C09B9" w14:textId="77777777" w:rsidR="00980E5F" w:rsidRDefault="00483613">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392C09BA" w14:textId="77777777" w:rsidR="00980E5F" w:rsidRDefault="00980E5F">
            <w:pPr>
              <w:rPr>
                <w:rFonts w:ascii="宋体"/>
                <w:vanish/>
              </w:rPr>
            </w:pPr>
          </w:p>
        </w:tc>
        <w:tc>
          <w:tcPr>
            <w:tcW w:w="0" w:type="auto"/>
            <w:shd w:val="clear" w:color="auto" w:fill="auto"/>
            <w:vAlign w:val="bottom"/>
          </w:tcPr>
          <w:p w14:paraId="392C09BB" w14:textId="77777777" w:rsidR="00980E5F" w:rsidRDefault="00980E5F">
            <w:pPr>
              <w:rPr>
                <w:rFonts w:ascii="宋体"/>
                <w:vanish/>
              </w:rPr>
            </w:pPr>
          </w:p>
        </w:tc>
        <w:tc>
          <w:tcPr>
            <w:tcW w:w="0" w:type="auto"/>
            <w:shd w:val="clear" w:color="auto" w:fill="auto"/>
            <w:vAlign w:val="bottom"/>
          </w:tcPr>
          <w:p w14:paraId="392C09BC" w14:textId="77777777" w:rsidR="00980E5F" w:rsidRDefault="00980E5F">
            <w:pPr>
              <w:rPr>
                <w:rFonts w:ascii="宋体"/>
                <w:vanish/>
              </w:rPr>
            </w:pPr>
          </w:p>
        </w:tc>
        <w:tc>
          <w:tcPr>
            <w:tcW w:w="0" w:type="auto"/>
            <w:shd w:val="clear" w:color="auto" w:fill="auto"/>
            <w:vAlign w:val="bottom"/>
          </w:tcPr>
          <w:p w14:paraId="392C09BD" w14:textId="77777777" w:rsidR="00980E5F" w:rsidRDefault="00980E5F">
            <w:pPr>
              <w:rPr>
                <w:rFonts w:ascii="宋体"/>
                <w:vanish/>
              </w:rPr>
            </w:pPr>
          </w:p>
        </w:tc>
        <w:tc>
          <w:tcPr>
            <w:tcW w:w="0" w:type="auto"/>
            <w:shd w:val="clear" w:color="auto" w:fill="auto"/>
            <w:vAlign w:val="bottom"/>
          </w:tcPr>
          <w:p w14:paraId="392C09BE" w14:textId="77777777" w:rsidR="00980E5F" w:rsidRDefault="00980E5F">
            <w:pPr>
              <w:rPr>
                <w:rFonts w:ascii="宋体"/>
                <w:vanish/>
              </w:rPr>
            </w:pPr>
          </w:p>
        </w:tc>
        <w:tc>
          <w:tcPr>
            <w:tcW w:w="0" w:type="auto"/>
            <w:shd w:val="clear" w:color="auto" w:fill="auto"/>
            <w:vAlign w:val="bottom"/>
          </w:tcPr>
          <w:p w14:paraId="392C09B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C0" w14:textId="77777777" w:rsidR="00980E5F" w:rsidRDefault="00483613">
            <w:pPr>
              <w:jc w:val="right"/>
              <w:textAlignment w:val="bottom"/>
            </w:pPr>
            <w:r>
              <w:rPr>
                <w:rFonts w:ascii="Arial" w:eastAsia="宋体" w:hAnsi="Arial" w:cs="Arial"/>
                <w:b/>
                <w:bCs/>
                <w:color w:val="000000"/>
                <w:sz w:val="14"/>
                <w:szCs w:val="14"/>
              </w:rPr>
              <w:t>3,692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9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C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9C3" w14:textId="77777777" w:rsidR="00980E5F" w:rsidRDefault="00483613">
            <w:pPr>
              <w:jc w:val="right"/>
              <w:textAlignment w:val="bottom"/>
            </w:pPr>
            <w:r>
              <w:rPr>
                <w:rFonts w:ascii="Arial" w:eastAsia="宋体" w:hAnsi="Arial" w:cs="Arial"/>
                <w:color w:val="000000"/>
                <w:sz w:val="14"/>
                <w:szCs w:val="14"/>
              </w:rPr>
              <w:t>3,634 </w:t>
            </w:r>
          </w:p>
        </w:tc>
        <w:tc>
          <w:tcPr>
            <w:tcW w:w="0" w:type="auto"/>
            <w:shd w:val="clear" w:color="auto" w:fill="CCEEFF"/>
            <w:tcMar>
              <w:top w:w="40" w:type="dxa"/>
              <w:left w:w="0" w:type="dxa"/>
              <w:bottom w:w="40" w:type="dxa"/>
              <w:right w:w="20" w:type="dxa"/>
            </w:tcMar>
            <w:vAlign w:val="bottom"/>
          </w:tcPr>
          <w:p w14:paraId="392C09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9C5" w14:textId="77777777" w:rsidR="00980E5F" w:rsidRDefault="00980E5F">
            <w:pPr>
              <w:rPr>
                <w:rFonts w:ascii="宋体"/>
              </w:rPr>
            </w:pPr>
          </w:p>
        </w:tc>
        <w:tc>
          <w:tcPr>
            <w:tcW w:w="0" w:type="auto"/>
            <w:shd w:val="clear" w:color="auto" w:fill="auto"/>
            <w:vAlign w:val="bottom"/>
          </w:tcPr>
          <w:p w14:paraId="392C09C6" w14:textId="77777777" w:rsidR="00980E5F" w:rsidRDefault="00980E5F">
            <w:pPr>
              <w:rPr>
                <w:rFonts w:ascii="宋体"/>
                <w:vanish/>
              </w:rPr>
            </w:pPr>
          </w:p>
        </w:tc>
        <w:tc>
          <w:tcPr>
            <w:tcW w:w="0" w:type="auto"/>
            <w:shd w:val="clear" w:color="auto" w:fill="auto"/>
            <w:vAlign w:val="bottom"/>
          </w:tcPr>
          <w:p w14:paraId="392C09C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9C8"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09C9" w14:textId="77777777" w:rsidR="00980E5F" w:rsidRDefault="00980E5F">
            <w:pPr>
              <w:jc w:val="right"/>
              <w:rPr>
                <w:rFonts w:ascii="宋体"/>
              </w:rPr>
            </w:pPr>
          </w:p>
        </w:tc>
        <w:tc>
          <w:tcPr>
            <w:tcW w:w="0" w:type="auto"/>
            <w:gridSpan w:val="3"/>
            <w:shd w:val="clear" w:color="auto" w:fill="auto"/>
            <w:vAlign w:val="bottom"/>
          </w:tcPr>
          <w:p w14:paraId="392C09CA" w14:textId="77777777" w:rsidR="00980E5F" w:rsidRDefault="00980E5F">
            <w:pPr>
              <w:rPr>
                <w:rFonts w:ascii="宋体"/>
                <w:vanish/>
              </w:rPr>
            </w:pPr>
          </w:p>
        </w:tc>
        <w:tc>
          <w:tcPr>
            <w:tcW w:w="0" w:type="auto"/>
            <w:gridSpan w:val="3"/>
            <w:shd w:val="clear" w:color="auto" w:fill="auto"/>
            <w:vAlign w:val="bottom"/>
          </w:tcPr>
          <w:p w14:paraId="392C09CB" w14:textId="77777777" w:rsidR="00980E5F" w:rsidRDefault="00980E5F">
            <w:pPr>
              <w:rPr>
                <w:rFonts w:ascii="宋体"/>
                <w:vanish/>
              </w:rPr>
            </w:pPr>
          </w:p>
        </w:tc>
        <w:tc>
          <w:tcPr>
            <w:tcW w:w="0" w:type="auto"/>
            <w:gridSpan w:val="3"/>
            <w:shd w:val="clear" w:color="auto" w:fill="auto"/>
            <w:vAlign w:val="bottom"/>
          </w:tcPr>
          <w:p w14:paraId="392C09CC" w14:textId="77777777" w:rsidR="00980E5F" w:rsidRDefault="00980E5F">
            <w:pPr>
              <w:rPr>
                <w:rFonts w:ascii="宋体"/>
                <w:vanish/>
              </w:rPr>
            </w:pPr>
          </w:p>
        </w:tc>
        <w:tc>
          <w:tcPr>
            <w:tcW w:w="0" w:type="auto"/>
            <w:gridSpan w:val="3"/>
            <w:shd w:val="clear" w:color="auto" w:fill="auto"/>
            <w:vAlign w:val="bottom"/>
          </w:tcPr>
          <w:p w14:paraId="392C09CD" w14:textId="77777777" w:rsidR="00980E5F" w:rsidRDefault="00980E5F">
            <w:pPr>
              <w:rPr>
                <w:rFonts w:ascii="宋体"/>
                <w:vanish/>
              </w:rPr>
            </w:pPr>
          </w:p>
        </w:tc>
        <w:tc>
          <w:tcPr>
            <w:tcW w:w="0" w:type="auto"/>
            <w:gridSpan w:val="3"/>
            <w:shd w:val="clear" w:color="auto" w:fill="auto"/>
            <w:vAlign w:val="bottom"/>
          </w:tcPr>
          <w:p w14:paraId="392C09CE" w14:textId="77777777" w:rsidR="00980E5F" w:rsidRDefault="00980E5F">
            <w:pPr>
              <w:rPr>
                <w:rFonts w:ascii="宋体"/>
                <w:vanish/>
              </w:rPr>
            </w:pPr>
          </w:p>
        </w:tc>
        <w:tc>
          <w:tcPr>
            <w:tcW w:w="0" w:type="auto"/>
            <w:gridSpan w:val="3"/>
            <w:shd w:val="clear" w:color="auto" w:fill="auto"/>
            <w:vAlign w:val="bottom"/>
          </w:tcPr>
          <w:p w14:paraId="392C09CF" w14:textId="77777777" w:rsidR="00980E5F" w:rsidRDefault="00980E5F">
            <w:pPr>
              <w:rPr>
                <w:rFonts w:ascii="宋体"/>
                <w:vanish/>
              </w:rPr>
            </w:pPr>
          </w:p>
        </w:tc>
        <w:tc>
          <w:tcPr>
            <w:tcW w:w="0" w:type="auto"/>
            <w:gridSpan w:val="2"/>
            <w:shd w:val="clear" w:color="auto" w:fill="auto"/>
            <w:vAlign w:val="bottom"/>
          </w:tcPr>
          <w:p w14:paraId="392C09D0" w14:textId="77777777" w:rsidR="00980E5F" w:rsidRDefault="00980E5F">
            <w:pPr>
              <w:rPr>
                <w:rFonts w:ascii="宋体"/>
                <w:vanish/>
              </w:rPr>
            </w:pPr>
          </w:p>
        </w:tc>
        <w:tc>
          <w:tcPr>
            <w:tcW w:w="0" w:type="auto"/>
            <w:shd w:val="clear" w:color="auto" w:fill="auto"/>
            <w:vAlign w:val="bottom"/>
          </w:tcPr>
          <w:p w14:paraId="392C09D1" w14:textId="77777777" w:rsidR="00980E5F" w:rsidRDefault="00980E5F">
            <w:pPr>
              <w:rPr>
                <w:rFonts w:ascii="宋体"/>
                <w:vanish/>
              </w:rPr>
            </w:pPr>
          </w:p>
        </w:tc>
      </w:tr>
      <w:tr w:rsidR="00980E5F" w14:paraId="392C09EE" w14:textId="77777777">
        <w:tc>
          <w:tcPr>
            <w:tcW w:w="0" w:type="auto"/>
            <w:gridSpan w:val="3"/>
            <w:shd w:val="clear" w:color="auto" w:fill="FFFFFF"/>
            <w:tcMar>
              <w:top w:w="40" w:type="dxa"/>
              <w:left w:w="20" w:type="dxa"/>
              <w:bottom w:w="40" w:type="dxa"/>
              <w:right w:w="20" w:type="dxa"/>
            </w:tcMar>
            <w:vAlign w:val="bottom"/>
          </w:tcPr>
          <w:p w14:paraId="392C09D3"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392C09D4" w14:textId="77777777" w:rsidR="00980E5F" w:rsidRDefault="00980E5F">
            <w:pPr>
              <w:rPr>
                <w:rFonts w:ascii="宋体"/>
                <w:vanish/>
              </w:rPr>
            </w:pPr>
          </w:p>
        </w:tc>
        <w:tc>
          <w:tcPr>
            <w:tcW w:w="0" w:type="auto"/>
            <w:shd w:val="clear" w:color="auto" w:fill="auto"/>
            <w:vAlign w:val="bottom"/>
          </w:tcPr>
          <w:p w14:paraId="392C09D5" w14:textId="77777777" w:rsidR="00980E5F" w:rsidRDefault="00980E5F">
            <w:pPr>
              <w:rPr>
                <w:rFonts w:ascii="宋体"/>
                <w:vanish/>
              </w:rPr>
            </w:pPr>
          </w:p>
        </w:tc>
        <w:tc>
          <w:tcPr>
            <w:tcW w:w="0" w:type="auto"/>
            <w:shd w:val="clear" w:color="auto" w:fill="auto"/>
            <w:vAlign w:val="bottom"/>
          </w:tcPr>
          <w:p w14:paraId="392C09D6" w14:textId="77777777" w:rsidR="00980E5F" w:rsidRDefault="00980E5F">
            <w:pPr>
              <w:rPr>
                <w:rFonts w:ascii="宋体"/>
                <w:vanish/>
              </w:rPr>
            </w:pPr>
          </w:p>
        </w:tc>
        <w:tc>
          <w:tcPr>
            <w:tcW w:w="0" w:type="auto"/>
            <w:shd w:val="clear" w:color="auto" w:fill="auto"/>
            <w:vAlign w:val="bottom"/>
          </w:tcPr>
          <w:p w14:paraId="392C09D7" w14:textId="77777777" w:rsidR="00980E5F" w:rsidRDefault="00980E5F">
            <w:pPr>
              <w:rPr>
                <w:rFonts w:ascii="宋体"/>
                <w:vanish/>
              </w:rPr>
            </w:pPr>
          </w:p>
        </w:tc>
        <w:tc>
          <w:tcPr>
            <w:tcW w:w="0" w:type="auto"/>
            <w:shd w:val="clear" w:color="auto" w:fill="auto"/>
            <w:vAlign w:val="bottom"/>
          </w:tcPr>
          <w:p w14:paraId="392C09D8" w14:textId="77777777" w:rsidR="00980E5F" w:rsidRDefault="00980E5F">
            <w:pPr>
              <w:rPr>
                <w:rFonts w:ascii="宋体"/>
                <w:vanish/>
              </w:rPr>
            </w:pPr>
          </w:p>
        </w:tc>
        <w:tc>
          <w:tcPr>
            <w:tcW w:w="0" w:type="auto"/>
            <w:shd w:val="clear" w:color="auto" w:fill="auto"/>
            <w:vAlign w:val="bottom"/>
          </w:tcPr>
          <w:p w14:paraId="392C09D9"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9D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9DB" w14:textId="77777777" w:rsidR="00980E5F" w:rsidRDefault="00483613">
            <w:pPr>
              <w:jc w:val="right"/>
              <w:textAlignment w:val="bottom"/>
            </w:pPr>
            <w:r>
              <w:rPr>
                <w:rFonts w:ascii="Arial" w:eastAsia="宋体" w:hAnsi="Arial" w:cs="Arial"/>
                <w:b/>
                <w:bCs/>
                <w:color w:val="000000"/>
                <w:sz w:val="14"/>
                <w:szCs w:val="14"/>
              </w:rPr>
              <w:t>1,331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9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D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9D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9DF" w14:textId="77777777" w:rsidR="00980E5F" w:rsidRDefault="00483613">
            <w:pPr>
              <w:jc w:val="right"/>
              <w:textAlignment w:val="bottom"/>
            </w:pPr>
            <w:r>
              <w:rPr>
                <w:rFonts w:ascii="Arial" w:eastAsia="宋体" w:hAnsi="Arial" w:cs="Arial"/>
                <w:color w:val="000000"/>
                <w:sz w:val="14"/>
                <w:szCs w:val="14"/>
              </w:rPr>
              <w:t>1,286 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9E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9E1" w14:textId="77777777" w:rsidR="00980E5F" w:rsidRDefault="00980E5F">
            <w:pPr>
              <w:rPr>
                <w:rFonts w:ascii="宋体"/>
              </w:rPr>
            </w:pPr>
          </w:p>
        </w:tc>
        <w:tc>
          <w:tcPr>
            <w:tcW w:w="0" w:type="auto"/>
            <w:shd w:val="clear" w:color="auto" w:fill="auto"/>
            <w:vAlign w:val="bottom"/>
          </w:tcPr>
          <w:p w14:paraId="392C09E2" w14:textId="77777777" w:rsidR="00980E5F" w:rsidRDefault="00980E5F">
            <w:pPr>
              <w:rPr>
                <w:rFonts w:ascii="宋体"/>
                <w:vanish/>
              </w:rPr>
            </w:pPr>
          </w:p>
        </w:tc>
        <w:tc>
          <w:tcPr>
            <w:tcW w:w="0" w:type="auto"/>
            <w:shd w:val="clear" w:color="auto" w:fill="auto"/>
            <w:vAlign w:val="bottom"/>
          </w:tcPr>
          <w:p w14:paraId="392C09E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9E4"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09E5" w14:textId="77777777" w:rsidR="00980E5F" w:rsidRDefault="00980E5F">
            <w:pPr>
              <w:jc w:val="right"/>
              <w:rPr>
                <w:rFonts w:ascii="宋体"/>
              </w:rPr>
            </w:pPr>
          </w:p>
        </w:tc>
        <w:tc>
          <w:tcPr>
            <w:tcW w:w="0" w:type="auto"/>
            <w:gridSpan w:val="3"/>
            <w:shd w:val="clear" w:color="auto" w:fill="auto"/>
            <w:vAlign w:val="bottom"/>
          </w:tcPr>
          <w:p w14:paraId="392C09E6" w14:textId="77777777" w:rsidR="00980E5F" w:rsidRDefault="00980E5F">
            <w:pPr>
              <w:rPr>
                <w:rFonts w:ascii="宋体"/>
                <w:vanish/>
              </w:rPr>
            </w:pPr>
          </w:p>
        </w:tc>
        <w:tc>
          <w:tcPr>
            <w:tcW w:w="0" w:type="auto"/>
            <w:gridSpan w:val="3"/>
            <w:shd w:val="clear" w:color="auto" w:fill="auto"/>
            <w:vAlign w:val="bottom"/>
          </w:tcPr>
          <w:p w14:paraId="392C09E7" w14:textId="77777777" w:rsidR="00980E5F" w:rsidRDefault="00980E5F">
            <w:pPr>
              <w:rPr>
                <w:rFonts w:ascii="宋体"/>
                <w:vanish/>
              </w:rPr>
            </w:pPr>
          </w:p>
        </w:tc>
        <w:tc>
          <w:tcPr>
            <w:tcW w:w="0" w:type="auto"/>
            <w:gridSpan w:val="3"/>
            <w:shd w:val="clear" w:color="auto" w:fill="auto"/>
            <w:vAlign w:val="bottom"/>
          </w:tcPr>
          <w:p w14:paraId="392C09E8" w14:textId="77777777" w:rsidR="00980E5F" w:rsidRDefault="00980E5F">
            <w:pPr>
              <w:rPr>
                <w:rFonts w:ascii="宋体"/>
                <w:vanish/>
              </w:rPr>
            </w:pPr>
          </w:p>
        </w:tc>
        <w:tc>
          <w:tcPr>
            <w:tcW w:w="0" w:type="auto"/>
            <w:gridSpan w:val="3"/>
            <w:shd w:val="clear" w:color="auto" w:fill="auto"/>
            <w:vAlign w:val="bottom"/>
          </w:tcPr>
          <w:p w14:paraId="392C09E9" w14:textId="77777777" w:rsidR="00980E5F" w:rsidRDefault="00980E5F">
            <w:pPr>
              <w:rPr>
                <w:rFonts w:ascii="宋体"/>
                <w:vanish/>
              </w:rPr>
            </w:pPr>
          </w:p>
        </w:tc>
        <w:tc>
          <w:tcPr>
            <w:tcW w:w="0" w:type="auto"/>
            <w:gridSpan w:val="3"/>
            <w:shd w:val="clear" w:color="auto" w:fill="auto"/>
            <w:vAlign w:val="bottom"/>
          </w:tcPr>
          <w:p w14:paraId="392C09EA" w14:textId="77777777" w:rsidR="00980E5F" w:rsidRDefault="00980E5F">
            <w:pPr>
              <w:rPr>
                <w:rFonts w:ascii="宋体"/>
                <w:vanish/>
              </w:rPr>
            </w:pPr>
          </w:p>
        </w:tc>
        <w:tc>
          <w:tcPr>
            <w:tcW w:w="0" w:type="auto"/>
            <w:gridSpan w:val="3"/>
            <w:shd w:val="clear" w:color="auto" w:fill="auto"/>
            <w:vAlign w:val="bottom"/>
          </w:tcPr>
          <w:p w14:paraId="392C09EB" w14:textId="77777777" w:rsidR="00980E5F" w:rsidRDefault="00980E5F">
            <w:pPr>
              <w:rPr>
                <w:rFonts w:ascii="宋体"/>
                <w:vanish/>
              </w:rPr>
            </w:pPr>
          </w:p>
        </w:tc>
        <w:tc>
          <w:tcPr>
            <w:tcW w:w="0" w:type="auto"/>
            <w:gridSpan w:val="2"/>
            <w:shd w:val="clear" w:color="auto" w:fill="auto"/>
            <w:vAlign w:val="bottom"/>
          </w:tcPr>
          <w:p w14:paraId="392C09EC" w14:textId="77777777" w:rsidR="00980E5F" w:rsidRDefault="00980E5F">
            <w:pPr>
              <w:rPr>
                <w:rFonts w:ascii="宋体"/>
                <w:vanish/>
              </w:rPr>
            </w:pPr>
          </w:p>
        </w:tc>
        <w:tc>
          <w:tcPr>
            <w:tcW w:w="0" w:type="auto"/>
            <w:shd w:val="clear" w:color="auto" w:fill="auto"/>
            <w:vAlign w:val="bottom"/>
          </w:tcPr>
          <w:p w14:paraId="392C09ED" w14:textId="77777777" w:rsidR="00980E5F" w:rsidRDefault="00980E5F">
            <w:pPr>
              <w:rPr>
                <w:rFonts w:ascii="宋体"/>
                <w:vanish/>
              </w:rPr>
            </w:pPr>
          </w:p>
        </w:tc>
      </w:tr>
      <w:tr w:rsidR="00980E5F" w14:paraId="392C0A07" w14:textId="77777777">
        <w:tc>
          <w:tcPr>
            <w:tcW w:w="0" w:type="auto"/>
            <w:gridSpan w:val="3"/>
            <w:shd w:val="clear" w:color="auto" w:fill="CCEEFF"/>
            <w:tcMar>
              <w:top w:w="40" w:type="dxa"/>
              <w:left w:w="20" w:type="dxa"/>
              <w:bottom w:w="40" w:type="dxa"/>
              <w:right w:w="20" w:type="dxa"/>
            </w:tcMar>
            <w:vAlign w:val="bottom"/>
          </w:tcPr>
          <w:p w14:paraId="392C09EF" w14:textId="77777777" w:rsidR="00980E5F" w:rsidRDefault="00483613">
            <w:pPr>
              <w:textAlignment w:val="bottom"/>
            </w:pPr>
            <w:r>
              <w:rPr>
                <w:rFonts w:ascii="Arial" w:eastAsia="宋体" w:hAnsi="Arial" w:cs="Arial"/>
                <w:color w:val="000000"/>
                <w:sz w:val="14"/>
                <w:szCs w:val="14"/>
              </w:rPr>
              <w:t>Pre-tax margin</w:t>
            </w:r>
          </w:p>
        </w:tc>
        <w:tc>
          <w:tcPr>
            <w:tcW w:w="0" w:type="auto"/>
            <w:shd w:val="clear" w:color="auto" w:fill="auto"/>
            <w:vAlign w:val="bottom"/>
          </w:tcPr>
          <w:p w14:paraId="392C09F0" w14:textId="77777777" w:rsidR="00980E5F" w:rsidRDefault="00980E5F">
            <w:pPr>
              <w:rPr>
                <w:rFonts w:ascii="宋体"/>
                <w:vanish/>
              </w:rPr>
            </w:pPr>
          </w:p>
        </w:tc>
        <w:tc>
          <w:tcPr>
            <w:tcW w:w="0" w:type="auto"/>
            <w:shd w:val="clear" w:color="auto" w:fill="auto"/>
            <w:vAlign w:val="bottom"/>
          </w:tcPr>
          <w:p w14:paraId="392C09F1" w14:textId="77777777" w:rsidR="00980E5F" w:rsidRDefault="00980E5F">
            <w:pPr>
              <w:rPr>
                <w:rFonts w:ascii="宋体"/>
                <w:vanish/>
              </w:rPr>
            </w:pPr>
          </w:p>
        </w:tc>
        <w:tc>
          <w:tcPr>
            <w:tcW w:w="0" w:type="auto"/>
            <w:shd w:val="clear" w:color="auto" w:fill="auto"/>
            <w:vAlign w:val="bottom"/>
          </w:tcPr>
          <w:p w14:paraId="392C09F2" w14:textId="77777777" w:rsidR="00980E5F" w:rsidRDefault="00980E5F">
            <w:pPr>
              <w:rPr>
                <w:rFonts w:ascii="宋体"/>
                <w:vanish/>
              </w:rPr>
            </w:pPr>
          </w:p>
        </w:tc>
        <w:tc>
          <w:tcPr>
            <w:tcW w:w="0" w:type="auto"/>
            <w:shd w:val="clear" w:color="auto" w:fill="auto"/>
            <w:vAlign w:val="bottom"/>
          </w:tcPr>
          <w:p w14:paraId="392C09F3" w14:textId="77777777" w:rsidR="00980E5F" w:rsidRDefault="00980E5F">
            <w:pPr>
              <w:rPr>
                <w:rFonts w:ascii="宋体"/>
                <w:vanish/>
              </w:rPr>
            </w:pPr>
          </w:p>
        </w:tc>
        <w:tc>
          <w:tcPr>
            <w:tcW w:w="0" w:type="auto"/>
            <w:shd w:val="clear" w:color="auto" w:fill="auto"/>
            <w:vAlign w:val="bottom"/>
          </w:tcPr>
          <w:p w14:paraId="392C09F4" w14:textId="77777777" w:rsidR="00980E5F" w:rsidRDefault="00980E5F">
            <w:pPr>
              <w:rPr>
                <w:rFonts w:ascii="宋体"/>
                <w:vanish/>
              </w:rPr>
            </w:pPr>
          </w:p>
        </w:tc>
        <w:tc>
          <w:tcPr>
            <w:tcW w:w="0" w:type="auto"/>
            <w:shd w:val="clear" w:color="auto" w:fill="auto"/>
            <w:vAlign w:val="bottom"/>
          </w:tcPr>
          <w:p w14:paraId="392C09F5" w14:textId="77777777" w:rsidR="00980E5F" w:rsidRDefault="00980E5F">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9F6" w14:textId="77777777" w:rsidR="00980E5F" w:rsidRDefault="00483613">
            <w:pPr>
              <w:jc w:val="right"/>
              <w:textAlignment w:val="bottom"/>
            </w:pPr>
            <w:r>
              <w:rPr>
                <w:rFonts w:ascii="Arial" w:eastAsia="宋体" w:hAnsi="Arial" w:cs="Arial"/>
                <w:b/>
                <w:bCs/>
                <w:color w:val="000000"/>
                <w:sz w:val="14"/>
                <w:szCs w:val="14"/>
              </w:rPr>
              <w:t>26.4</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9F7"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9F8" w14:textId="77777777" w:rsidR="00980E5F" w:rsidRDefault="00980E5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9F9" w14:textId="77777777" w:rsidR="00980E5F" w:rsidRDefault="00483613">
            <w:pPr>
              <w:jc w:val="right"/>
              <w:textAlignment w:val="bottom"/>
            </w:pPr>
            <w:r>
              <w:rPr>
                <w:rFonts w:ascii="Arial" w:eastAsia="宋体" w:hAnsi="Arial" w:cs="Arial"/>
                <w:color w:val="000000"/>
                <w:sz w:val="14"/>
                <w:szCs w:val="14"/>
              </w:rPr>
              <w:t>26.3 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9FA"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9FB" w14:textId="77777777" w:rsidR="00980E5F" w:rsidRDefault="00980E5F">
            <w:pPr>
              <w:rPr>
                <w:rFonts w:ascii="宋体"/>
              </w:rPr>
            </w:pPr>
          </w:p>
        </w:tc>
        <w:tc>
          <w:tcPr>
            <w:tcW w:w="0" w:type="auto"/>
            <w:shd w:val="clear" w:color="auto" w:fill="auto"/>
            <w:vAlign w:val="bottom"/>
          </w:tcPr>
          <w:p w14:paraId="392C09FC" w14:textId="77777777" w:rsidR="00980E5F" w:rsidRDefault="00980E5F">
            <w:pPr>
              <w:rPr>
                <w:rFonts w:ascii="宋体"/>
                <w:vanish/>
              </w:rPr>
            </w:pPr>
          </w:p>
        </w:tc>
        <w:tc>
          <w:tcPr>
            <w:tcW w:w="0" w:type="auto"/>
            <w:shd w:val="clear" w:color="auto" w:fill="auto"/>
            <w:vAlign w:val="bottom"/>
          </w:tcPr>
          <w:p w14:paraId="392C09FD" w14:textId="77777777" w:rsidR="00980E5F" w:rsidRDefault="00980E5F">
            <w:pPr>
              <w:rPr>
                <w:rFonts w:ascii="宋体"/>
                <w:vanish/>
              </w:rPr>
            </w:pPr>
          </w:p>
        </w:tc>
        <w:tc>
          <w:tcPr>
            <w:tcW w:w="0" w:type="auto"/>
            <w:gridSpan w:val="3"/>
            <w:shd w:val="clear" w:color="auto" w:fill="CCEEFF"/>
            <w:tcMar>
              <w:top w:w="40" w:type="dxa"/>
              <w:left w:w="20" w:type="dxa"/>
              <w:bottom w:w="40" w:type="dxa"/>
              <w:right w:w="20" w:type="dxa"/>
            </w:tcMar>
            <w:vAlign w:val="bottom"/>
          </w:tcPr>
          <w:p w14:paraId="392C09FE" w14:textId="77777777" w:rsidR="00980E5F" w:rsidRDefault="00483613">
            <w:pPr>
              <w:jc w:val="right"/>
              <w:textAlignment w:val="bottom"/>
            </w:pPr>
            <w:r>
              <w:rPr>
                <w:rFonts w:ascii="Arial" w:eastAsia="宋体" w:hAnsi="Arial" w:cs="Arial"/>
                <w:color w:val="000000"/>
                <w:sz w:val="14"/>
                <w:szCs w:val="14"/>
              </w:rPr>
              <w:t>10 bps</w:t>
            </w:r>
          </w:p>
        </w:tc>
        <w:tc>
          <w:tcPr>
            <w:tcW w:w="0" w:type="auto"/>
            <w:gridSpan w:val="3"/>
            <w:shd w:val="clear" w:color="auto" w:fill="auto"/>
            <w:vAlign w:val="bottom"/>
          </w:tcPr>
          <w:p w14:paraId="392C09FF" w14:textId="77777777" w:rsidR="00980E5F" w:rsidRDefault="00980E5F">
            <w:pPr>
              <w:rPr>
                <w:rFonts w:ascii="宋体"/>
                <w:vanish/>
              </w:rPr>
            </w:pPr>
          </w:p>
        </w:tc>
        <w:tc>
          <w:tcPr>
            <w:tcW w:w="0" w:type="auto"/>
            <w:gridSpan w:val="3"/>
            <w:shd w:val="clear" w:color="auto" w:fill="auto"/>
            <w:vAlign w:val="bottom"/>
          </w:tcPr>
          <w:p w14:paraId="392C0A00" w14:textId="77777777" w:rsidR="00980E5F" w:rsidRDefault="00980E5F">
            <w:pPr>
              <w:rPr>
                <w:rFonts w:ascii="宋体"/>
                <w:vanish/>
              </w:rPr>
            </w:pPr>
          </w:p>
        </w:tc>
        <w:tc>
          <w:tcPr>
            <w:tcW w:w="0" w:type="auto"/>
            <w:gridSpan w:val="3"/>
            <w:shd w:val="clear" w:color="auto" w:fill="auto"/>
            <w:vAlign w:val="bottom"/>
          </w:tcPr>
          <w:p w14:paraId="392C0A01" w14:textId="77777777" w:rsidR="00980E5F" w:rsidRDefault="00980E5F">
            <w:pPr>
              <w:rPr>
                <w:rFonts w:ascii="宋体"/>
                <w:vanish/>
              </w:rPr>
            </w:pPr>
          </w:p>
        </w:tc>
        <w:tc>
          <w:tcPr>
            <w:tcW w:w="0" w:type="auto"/>
            <w:gridSpan w:val="3"/>
            <w:shd w:val="clear" w:color="auto" w:fill="auto"/>
            <w:vAlign w:val="bottom"/>
          </w:tcPr>
          <w:p w14:paraId="392C0A02" w14:textId="77777777" w:rsidR="00980E5F" w:rsidRDefault="00980E5F">
            <w:pPr>
              <w:rPr>
                <w:rFonts w:ascii="宋体"/>
                <w:vanish/>
              </w:rPr>
            </w:pPr>
          </w:p>
        </w:tc>
        <w:tc>
          <w:tcPr>
            <w:tcW w:w="0" w:type="auto"/>
            <w:gridSpan w:val="3"/>
            <w:shd w:val="clear" w:color="auto" w:fill="auto"/>
            <w:vAlign w:val="bottom"/>
          </w:tcPr>
          <w:p w14:paraId="392C0A03" w14:textId="77777777" w:rsidR="00980E5F" w:rsidRDefault="00980E5F">
            <w:pPr>
              <w:rPr>
                <w:rFonts w:ascii="宋体"/>
                <w:vanish/>
              </w:rPr>
            </w:pPr>
          </w:p>
        </w:tc>
        <w:tc>
          <w:tcPr>
            <w:tcW w:w="0" w:type="auto"/>
            <w:gridSpan w:val="3"/>
            <w:shd w:val="clear" w:color="auto" w:fill="auto"/>
            <w:vAlign w:val="bottom"/>
          </w:tcPr>
          <w:p w14:paraId="392C0A04" w14:textId="77777777" w:rsidR="00980E5F" w:rsidRDefault="00980E5F">
            <w:pPr>
              <w:rPr>
                <w:rFonts w:ascii="宋体"/>
                <w:vanish/>
              </w:rPr>
            </w:pPr>
          </w:p>
        </w:tc>
        <w:tc>
          <w:tcPr>
            <w:tcW w:w="0" w:type="auto"/>
            <w:gridSpan w:val="2"/>
            <w:shd w:val="clear" w:color="auto" w:fill="auto"/>
            <w:vAlign w:val="bottom"/>
          </w:tcPr>
          <w:p w14:paraId="392C0A05" w14:textId="77777777" w:rsidR="00980E5F" w:rsidRDefault="00980E5F">
            <w:pPr>
              <w:rPr>
                <w:rFonts w:ascii="宋体"/>
                <w:vanish/>
              </w:rPr>
            </w:pPr>
          </w:p>
        </w:tc>
        <w:tc>
          <w:tcPr>
            <w:tcW w:w="0" w:type="auto"/>
            <w:shd w:val="clear" w:color="auto" w:fill="auto"/>
            <w:vAlign w:val="bottom"/>
          </w:tcPr>
          <w:p w14:paraId="392C0A06" w14:textId="77777777" w:rsidR="00980E5F" w:rsidRDefault="00980E5F">
            <w:pPr>
              <w:rPr>
                <w:rFonts w:ascii="宋体"/>
                <w:vanish/>
              </w:rPr>
            </w:pPr>
          </w:p>
        </w:tc>
      </w:tr>
    </w:tbl>
    <w:p w14:paraId="392C0A08" w14:textId="77777777" w:rsidR="00980E5F" w:rsidRDefault="00980E5F">
      <w:pPr>
        <w:rPr>
          <w:vanish/>
        </w:rPr>
      </w:pPr>
    </w:p>
    <w:tbl>
      <w:tblPr>
        <w:tblW w:w="3302" w:type="pct"/>
        <w:tblCellMar>
          <w:top w:w="15" w:type="dxa"/>
          <w:left w:w="15" w:type="dxa"/>
          <w:bottom w:w="15" w:type="dxa"/>
          <w:right w:w="15" w:type="dxa"/>
        </w:tblCellMar>
        <w:tblLook w:val="04A0" w:firstRow="1" w:lastRow="0" w:firstColumn="1" w:lastColumn="0" w:noHBand="0" w:noVBand="1"/>
      </w:tblPr>
      <w:tblGrid>
        <w:gridCol w:w="36"/>
        <w:gridCol w:w="3972"/>
        <w:gridCol w:w="36"/>
        <w:gridCol w:w="36"/>
        <w:gridCol w:w="70"/>
        <w:gridCol w:w="36"/>
        <w:gridCol w:w="36"/>
        <w:gridCol w:w="1247"/>
        <w:gridCol w:w="36"/>
      </w:tblGrid>
      <w:tr w:rsidR="00980E5F" w14:paraId="392C0A12" w14:textId="77777777">
        <w:tc>
          <w:tcPr>
            <w:tcW w:w="50" w:type="pct"/>
            <w:shd w:val="clear" w:color="auto" w:fill="auto"/>
            <w:vAlign w:val="bottom"/>
          </w:tcPr>
          <w:p w14:paraId="392C0A09" w14:textId="77777777" w:rsidR="00980E5F" w:rsidRDefault="00980E5F">
            <w:pPr>
              <w:rPr>
                <w:rFonts w:ascii="宋体"/>
              </w:rPr>
            </w:pPr>
          </w:p>
        </w:tc>
        <w:tc>
          <w:tcPr>
            <w:tcW w:w="3635" w:type="pct"/>
            <w:shd w:val="clear" w:color="auto" w:fill="auto"/>
            <w:vAlign w:val="bottom"/>
          </w:tcPr>
          <w:p w14:paraId="392C0A0A" w14:textId="77777777" w:rsidR="00980E5F" w:rsidRDefault="00980E5F">
            <w:pPr>
              <w:rPr>
                <w:rFonts w:ascii="宋体"/>
              </w:rPr>
            </w:pPr>
          </w:p>
        </w:tc>
        <w:tc>
          <w:tcPr>
            <w:tcW w:w="5" w:type="pct"/>
            <w:shd w:val="clear" w:color="auto" w:fill="auto"/>
            <w:vAlign w:val="bottom"/>
          </w:tcPr>
          <w:p w14:paraId="392C0A0B" w14:textId="77777777" w:rsidR="00980E5F" w:rsidRDefault="00980E5F">
            <w:pPr>
              <w:rPr>
                <w:rFonts w:ascii="宋体"/>
              </w:rPr>
            </w:pPr>
          </w:p>
        </w:tc>
        <w:tc>
          <w:tcPr>
            <w:tcW w:w="5" w:type="pct"/>
            <w:shd w:val="clear" w:color="auto" w:fill="auto"/>
            <w:vAlign w:val="bottom"/>
          </w:tcPr>
          <w:p w14:paraId="392C0A0C" w14:textId="77777777" w:rsidR="00980E5F" w:rsidRDefault="00980E5F">
            <w:pPr>
              <w:rPr>
                <w:rFonts w:ascii="宋体"/>
              </w:rPr>
            </w:pPr>
          </w:p>
        </w:tc>
        <w:tc>
          <w:tcPr>
            <w:tcW w:w="85" w:type="pct"/>
            <w:shd w:val="clear" w:color="auto" w:fill="auto"/>
            <w:vAlign w:val="bottom"/>
          </w:tcPr>
          <w:p w14:paraId="392C0A0D" w14:textId="77777777" w:rsidR="00980E5F" w:rsidRDefault="00980E5F">
            <w:pPr>
              <w:rPr>
                <w:rFonts w:ascii="宋体"/>
              </w:rPr>
            </w:pPr>
          </w:p>
        </w:tc>
        <w:tc>
          <w:tcPr>
            <w:tcW w:w="5" w:type="pct"/>
            <w:shd w:val="clear" w:color="auto" w:fill="auto"/>
            <w:vAlign w:val="bottom"/>
          </w:tcPr>
          <w:p w14:paraId="392C0A0E" w14:textId="77777777" w:rsidR="00980E5F" w:rsidRDefault="00980E5F">
            <w:pPr>
              <w:rPr>
                <w:rFonts w:ascii="宋体"/>
              </w:rPr>
            </w:pPr>
          </w:p>
        </w:tc>
        <w:tc>
          <w:tcPr>
            <w:tcW w:w="50" w:type="pct"/>
            <w:shd w:val="clear" w:color="auto" w:fill="auto"/>
            <w:vAlign w:val="bottom"/>
          </w:tcPr>
          <w:p w14:paraId="392C0A0F" w14:textId="77777777" w:rsidR="00980E5F" w:rsidRDefault="00980E5F">
            <w:pPr>
              <w:rPr>
                <w:rFonts w:ascii="宋体"/>
              </w:rPr>
            </w:pPr>
          </w:p>
        </w:tc>
        <w:tc>
          <w:tcPr>
            <w:tcW w:w="1159" w:type="pct"/>
            <w:shd w:val="clear" w:color="auto" w:fill="auto"/>
            <w:vAlign w:val="bottom"/>
          </w:tcPr>
          <w:p w14:paraId="392C0A10" w14:textId="77777777" w:rsidR="00980E5F" w:rsidRDefault="00980E5F">
            <w:pPr>
              <w:rPr>
                <w:rFonts w:ascii="宋体"/>
              </w:rPr>
            </w:pPr>
          </w:p>
        </w:tc>
        <w:tc>
          <w:tcPr>
            <w:tcW w:w="5" w:type="pct"/>
            <w:shd w:val="clear" w:color="auto" w:fill="auto"/>
            <w:vAlign w:val="bottom"/>
          </w:tcPr>
          <w:p w14:paraId="392C0A11" w14:textId="77777777" w:rsidR="00980E5F" w:rsidRDefault="00980E5F">
            <w:pPr>
              <w:rPr>
                <w:rFonts w:ascii="宋体"/>
              </w:rPr>
            </w:pPr>
          </w:p>
        </w:tc>
      </w:tr>
      <w:tr w:rsidR="00980E5F" w14:paraId="392C0A1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0A1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A1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A15" w14:textId="77777777" w:rsidR="00980E5F" w:rsidRDefault="00980E5F">
            <w:pPr>
              <w:rPr>
                <w:rFonts w:ascii="宋体"/>
              </w:rPr>
            </w:pPr>
          </w:p>
        </w:tc>
      </w:tr>
    </w:tbl>
    <w:p w14:paraId="392C0A17" w14:textId="77777777" w:rsidR="00980E5F" w:rsidRDefault="00483613">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392C0A18" w14:textId="77777777" w:rsidR="00980E5F" w:rsidRDefault="00483613">
      <w:pPr>
        <w:spacing w:before="60"/>
        <w:jc w:val="both"/>
        <w:textAlignment w:val="top"/>
      </w:pPr>
      <w:r>
        <w:rPr>
          <w:rFonts w:ascii="Arial" w:eastAsia="宋体" w:hAnsi="Arial" w:cs="Arial"/>
          <w:b/>
          <w:bCs/>
          <w:i/>
          <w:iCs/>
          <w:color w:val="000000"/>
          <w:sz w:val="20"/>
          <w:szCs w:val="20"/>
        </w:rPr>
        <w:t>Servicing Fees</w:t>
      </w:r>
    </w:p>
    <w:p w14:paraId="392C0A19" w14:textId="77777777" w:rsidR="00980E5F" w:rsidRDefault="00483613">
      <w:pPr>
        <w:spacing w:before="60"/>
        <w:ind w:firstLine="450"/>
        <w:jc w:val="both"/>
        <w:textAlignment w:val="top"/>
      </w:pPr>
      <w:r>
        <w:rPr>
          <w:rFonts w:ascii="Arial" w:eastAsia="宋体" w:hAnsi="Arial" w:cs="Arial"/>
          <w:color w:val="000000"/>
          <w:sz w:val="20"/>
          <w:szCs w:val="20"/>
        </w:rPr>
        <w:t>Servicing fees, as presented in Table 17: Investment Servicing Line of Business Results, decreased 7% in the three months ended June 30, 2022, compared to the same period in 2021, primarily due to lower average equity and fixed income market levels, normal</w:t>
      </w:r>
      <w:r>
        <w:rPr>
          <w:rFonts w:ascii="Arial" w:eastAsia="宋体" w:hAnsi="Arial" w:cs="Arial"/>
          <w:color w:val="000000"/>
          <w:sz w:val="20"/>
          <w:szCs w:val="20"/>
        </w:rPr>
        <w:t xml:space="preserve"> pricing headwinds, lower client activity and adjustments and the impact of currency translation, partially offset by net new business. Currency translation decreased servicing fee revenue by 3% in the second quarter of 2022, relative to the same period in</w:t>
      </w:r>
      <w:r>
        <w:rPr>
          <w:rFonts w:ascii="Arial" w:eastAsia="宋体" w:hAnsi="Arial" w:cs="Arial"/>
          <w:color w:val="000000"/>
          <w:sz w:val="20"/>
          <w:szCs w:val="20"/>
        </w:rPr>
        <w:t xml:space="preserve"> 2021. Servicing fees decreased 4% in the six months ended June 30, 2022, compared to the same period in 2021, primarily due to normal pricing headwinds, lower client activity and adjustments and the impact of currency translation, partially offset by net </w:t>
      </w:r>
      <w:r>
        <w:rPr>
          <w:rFonts w:ascii="Arial" w:eastAsia="宋体" w:hAnsi="Arial" w:cs="Arial"/>
          <w:color w:val="000000"/>
          <w:sz w:val="20"/>
          <w:szCs w:val="20"/>
        </w:rPr>
        <w:t xml:space="preserve">new business. Currency translation decreased servicing fee revenue by 2% in the six months ended June 30, 2022, relative to the same period in 2021. </w:t>
      </w:r>
    </w:p>
    <w:p w14:paraId="392C0A1A"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valuations, as well as ot</w:t>
      </w:r>
      <w:r>
        <w:rPr>
          <w:rFonts w:ascii="Arial" w:eastAsia="宋体" w:hAnsi="Arial" w:cs="Arial"/>
          <w:color w:val="000000"/>
          <w:sz w:val="20"/>
          <w:szCs w:val="20"/>
        </w:rPr>
        <w:t>her key drivers of our servicing fee revenue, refer to "Fee Revenue" in "Consolidated Results of Operations" included in this Management's Discussion and Analysis.</w:t>
      </w:r>
    </w:p>
    <w:p w14:paraId="392C0A1B" w14:textId="77777777" w:rsidR="00980E5F" w:rsidRDefault="00483613">
      <w:pPr>
        <w:spacing w:before="60"/>
        <w:jc w:val="both"/>
        <w:textAlignment w:val="top"/>
      </w:pPr>
      <w:r>
        <w:rPr>
          <w:rFonts w:ascii="Arial" w:eastAsia="宋体" w:hAnsi="Arial" w:cs="Arial"/>
          <w:b/>
          <w:bCs/>
          <w:i/>
          <w:iCs/>
          <w:color w:val="000000"/>
          <w:sz w:val="20"/>
          <w:szCs w:val="20"/>
        </w:rPr>
        <w:t>Expenses</w:t>
      </w:r>
    </w:p>
    <w:p w14:paraId="392C0A1C" w14:textId="77777777" w:rsidR="00980E5F" w:rsidRDefault="00483613">
      <w:pPr>
        <w:spacing w:before="60"/>
        <w:ind w:firstLine="450"/>
        <w:jc w:val="both"/>
        <w:textAlignment w:val="top"/>
      </w:pPr>
      <w:r>
        <w:rPr>
          <w:rFonts w:ascii="Arial" w:eastAsia="宋体" w:hAnsi="Arial" w:cs="Arial"/>
          <w:color w:val="000000"/>
          <w:sz w:val="20"/>
          <w:szCs w:val="20"/>
        </w:rPr>
        <w:t>Total expenses for Investment Servicing increased 1% and 2% in the three and six mo</w:t>
      </w:r>
      <w:r>
        <w:rPr>
          <w:rFonts w:ascii="Arial" w:eastAsia="宋体" w:hAnsi="Arial" w:cs="Arial"/>
          <w:color w:val="000000"/>
          <w:sz w:val="20"/>
          <w:szCs w:val="20"/>
        </w:rPr>
        <w:t xml:space="preserve">nths ended June 30, 2022, respectively, compared to the same periods in 2021, as expense growth from higher technology infrastructure investments and merit increases was partially offset by productivity savings, on-going expense management initiatives and </w:t>
      </w:r>
      <w:r>
        <w:rPr>
          <w:rFonts w:ascii="Arial" w:eastAsia="宋体" w:hAnsi="Arial" w:cs="Arial"/>
          <w:color w:val="000000"/>
          <w:sz w:val="20"/>
          <w:szCs w:val="20"/>
        </w:rPr>
        <w:t>currency translation benefit. Currency translation decreased expenses for Investment Servicing by 3% and 2% in the three and six months ended June 30, 2022, respectively, relative to the same periods in 2021. Seasonal deferred incentive compensation expens</w:t>
      </w:r>
      <w:r>
        <w:rPr>
          <w:rFonts w:ascii="Arial" w:eastAsia="宋体" w:hAnsi="Arial" w:cs="Arial"/>
          <w:color w:val="000000"/>
          <w:sz w:val="20"/>
          <w:szCs w:val="20"/>
        </w:rPr>
        <w:t>e and payroll taxes were $161 million in the six months ended June 30, 2022 compared to $141 million in the same period in 2021. Additional information about expenses is provided under "Expenses" in "Consolidated Results of Operations" included in this Man</w:t>
      </w:r>
      <w:r>
        <w:rPr>
          <w:rFonts w:ascii="Arial" w:eastAsia="宋体" w:hAnsi="Arial" w:cs="Arial"/>
          <w:color w:val="000000"/>
          <w:sz w:val="20"/>
          <w:szCs w:val="20"/>
        </w:rPr>
        <w:t>agement's Discussion and Analysis.</w:t>
      </w:r>
    </w:p>
    <w:p w14:paraId="392C0A1D" w14:textId="77777777" w:rsidR="00980E5F" w:rsidRDefault="00483613">
      <w:pPr>
        <w:ind w:firstLine="450"/>
        <w:jc w:val="right"/>
      </w:pPr>
      <w:r>
        <w:rPr>
          <w:rFonts w:ascii="Arial" w:eastAsia="宋体" w:hAnsi="Arial" w:cs="Arial"/>
          <w:color w:val="000000"/>
          <w:sz w:val="18"/>
          <w:szCs w:val="18"/>
        </w:rPr>
        <w:t>State Street Corporation | 26</w:t>
      </w:r>
    </w:p>
    <w:p w14:paraId="392C0A1E" w14:textId="77777777" w:rsidR="00980E5F" w:rsidRDefault="00980E5F">
      <w:pPr>
        <w:ind w:firstLine="450"/>
        <w:jc w:val="center"/>
      </w:pPr>
    </w:p>
    <w:p w14:paraId="392C0A1F" w14:textId="77777777" w:rsidR="00980E5F" w:rsidRDefault="00483613">
      <w:r>
        <w:pict w14:anchorId="392CBAE8">
          <v:rect id="_x0000_i1050" style="width:415.3pt;height:1.5pt" o:hralign="center" o:hrstd="t" o:hr="t" fillcolor="#a0a0a0" stroked="f"/>
        </w:pict>
      </w:r>
    </w:p>
    <w:p w14:paraId="392C0A20"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0A21" w14:textId="77777777" w:rsidR="00980E5F" w:rsidRDefault="00483613">
      <w:pPr>
        <w:ind w:firstLine="450"/>
        <w:jc w:val="center"/>
      </w:pPr>
      <w:r>
        <w:rPr>
          <w:rFonts w:ascii="Arial" w:eastAsia="宋体" w:hAnsi="Arial" w:cs="Arial"/>
          <w:b/>
          <w:bCs/>
          <w:color w:val="000000"/>
          <w:sz w:val="20"/>
          <w:szCs w:val="20"/>
        </w:rPr>
        <w:t>AND RESULTS OF OPERATIONS</w:t>
      </w:r>
    </w:p>
    <w:p w14:paraId="392C0A22" w14:textId="77777777" w:rsidR="00980E5F" w:rsidRDefault="00483613">
      <w:pPr>
        <w:spacing w:before="90"/>
        <w:jc w:val="both"/>
        <w:textAlignment w:val="top"/>
      </w:pPr>
      <w:r>
        <w:rPr>
          <w:rFonts w:ascii="Arial" w:eastAsia="宋体" w:hAnsi="Arial" w:cs="Arial"/>
          <w:b/>
          <w:bCs/>
          <w:color w:val="000000"/>
          <w:sz w:val="20"/>
          <w:szCs w:val="20"/>
        </w:rPr>
        <w:t>Investment Management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3208"/>
        <w:gridCol w:w="38"/>
        <w:gridCol w:w="121"/>
        <w:gridCol w:w="121"/>
        <w:gridCol w:w="121"/>
        <w:gridCol w:w="121"/>
        <w:gridCol w:w="121"/>
        <w:gridCol w:w="36"/>
        <w:gridCol w:w="98"/>
        <w:gridCol w:w="961"/>
        <w:gridCol w:w="145"/>
        <w:gridCol w:w="36"/>
        <w:gridCol w:w="36"/>
        <w:gridCol w:w="36"/>
        <w:gridCol w:w="99"/>
        <w:gridCol w:w="919"/>
        <w:gridCol w:w="145"/>
        <w:gridCol w:w="36"/>
        <w:gridCol w:w="36"/>
        <w:gridCol w:w="36"/>
        <w:gridCol w:w="185"/>
        <w:gridCol w:w="185"/>
        <w:gridCol w:w="185"/>
        <w:gridCol w:w="36"/>
        <w:gridCol w:w="36"/>
        <w:gridCol w:w="36"/>
        <w:gridCol w:w="38"/>
        <w:gridCol w:w="766"/>
        <w:gridCol w:w="145"/>
        <w:gridCol w:w="36"/>
        <w:gridCol w:w="36"/>
        <w:gridCol w:w="36"/>
        <w:gridCol w:w="36"/>
        <w:gridCol w:w="36"/>
        <w:gridCol w:w="36"/>
      </w:tblGrid>
      <w:tr w:rsidR="00980E5F" w14:paraId="392C0A3F" w14:textId="77777777">
        <w:tc>
          <w:tcPr>
            <w:tcW w:w="50" w:type="pct"/>
            <w:shd w:val="clear" w:color="auto" w:fill="auto"/>
            <w:vAlign w:val="bottom"/>
          </w:tcPr>
          <w:p w14:paraId="392C0A23" w14:textId="77777777" w:rsidR="00980E5F" w:rsidRDefault="00980E5F">
            <w:pPr>
              <w:rPr>
                <w:rFonts w:ascii="宋体"/>
              </w:rPr>
            </w:pPr>
          </w:p>
        </w:tc>
        <w:tc>
          <w:tcPr>
            <w:tcW w:w="2445" w:type="pct"/>
            <w:shd w:val="clear" w:color="auto" w:fill="auto"/>
            <w:vAlign w:val="bottom"/>
          </w:tcPr>
          <w:p w14:paraId="392C0A24" w14:textId="77777777" w:rsidR="00980E5F" w:rsidRDefault="00980E5F">
            <w:pPr>
              <w:rPr>
                <w:rFonts w:ascii="宋体"/>
              </w:rPr>
            </w:pPr>
          </w:p>
        </w:tc>
        <w:tc>
          <w:tcPr>
            <w:tcW w:w="5" w:type="pct"/>
            <w:shd w:val="clear" w:color="auto" w:fill="auto"/>
            <w:vAlign w:val="bottom"/>
          </w:tcPr>
          <w:p w14:paraId="392C0A25" w14:textId="77777777" w:rsidR="00980E5F" w:rsidRDefault="00980E5F">
            <w:pPr>
              <w:rPr>
                <w:rFonts w:ascii="宋体"/>
              </w:rPr>
            </w:pPr>
          </w:p>
        </w:tc>
        <w:tc>
          <w:tcPr>
            <w:tcW w:w="0" w:type="auto"/>
            <w:shd w:val="clear" w:color="auto" w:fill="auto"/>
            <w:vAlign w:val="bottom"/>
          </w:tcPr>
          <w:p w14:paraId="392C0A26" w14:textId="77777777" w:rsidR="00980E5F" w:rsidRDefault="00980E5F">
            <w:pPr>
              <w:rPr>
                <w:rFonts w:ascii="宋体"/>
                <w:vanish/>
              </w:rPr>
            </w:pPr>
          </w:p>
        </w:tc>
        <w:tc>
          <w:tcPr>
            <w:tcW w:w="0" w:type="auto"/>
            <w:shd w:val="clear" w:color="auto" w:fill="auto"/>
            <w:vAlign w:val="bottom"/>
          </w:tcPr>
          <w:p w14:paraId="392C0A27" w14:textId="77777777" w:rsidR="00980E5F" w:rsidRDefault="00980E5F">
            <w:pPr>
              <w:rPr>
                <w:rFonts w:ascii="宋体"/>
                <w:vanish/>
              </w:rPr>
            </w:pPr>
          </w:p>
        </w:tc>
        <w:tc>
          <w:tcPr>
            <w:tcW w:w="0" w:type="auto"/>
            <w:shd w:val="clear" w:color="auto" w:fill="auto"/>
            <w:vAlign w:val="bottom"/>
          </w:tcPr>
          <w:p w14:paraId="392C0A28" w14:textId="77777777" w:rsidR="00980E5F" w:rsidRDefault="00980E5F">
            <w:pPr>
              <w:rPr>
                <w:rFonts w:ascii="宋体"/>
                <w:vanish/>
              </w:rPr>
            </w:pPr>
          </w:p>
        </w:tc>
        <w:tc>
          <w:tcPr>
            <w:tcW w:w="0" w:type="auto"/>
            <w:shd w:val="clear" w:color="auto" w:fill="auto"/>
            <w:vAlign w:val="bottom"/>
          </w:tcPr>
          <w:p w14:paraId="392C0A29" w14:textId="77777777" w:rsidR="00980E5F" w:rsidRDefault="00980E5F">
            <w:pPr>
              <w:rPr>
                <w:rFonts w:ascii="宋体"/>
                <w:vanish/>
              </w:rPr>
            </w:pPr>
          </w:p>
        </w:tc>
        <w:tc>
          <w:tcPr>
            <w:tcW w:w="0" w:type="auto"/>
            <w:shd w:val="clear" w:color="auto" w:fill="auto"/>
            <w:vAlign w:val="bottom"/>
          </w:tcPr>
          <w:p w14:paraId="392C0A2A" w14:textId="77777777" w:rsidR="00980E5F" w:rsidRDefault="00980E5F">
            <w:pPr>
              <w:rPr>
                <w:rFonts w:ascii="宋体"/>
                <w:vanish/>
              </w:rPr>
            </w:pPr>
          </w:p>
        </w:tc>
        <w:tc>
          <w:tcPr>
            <w:tcW w:w="0" w:type="auto"/>
            <w:shd w:val="clear" w:color="auto" w:fill="auto"/>
            <w:vAlign w:val="bottom"/>
          </w:tcPr>
          <w:p w14:paraId="392C0A2B" w14:textId="77777777" w:rsidR="00980E5F" w:rsidRDefault="00980E5F">
            <w:pPr>
              <w:rPr>
                <w:rFonts w:ascii="宋体"/>
                <w:vanish/>
              </w:rPr>
            </w:pPr>
          </w:p>
        </w:tc>
        <w:tc>
          <w:tcPr>
            <w:tcW w:w="50" w:type="pct"/>
            <w:shd w:val="clear" w:color="auto" w:fill="auto"/>
            <w:vAlign w:val="bottom"/>
          </w:tcPr>
          <w:p w14:paraId="392C0A2C" w14:textId="77777777" w:rsidR="00980E5F" w:rsidRDefault="00980E5F">
            <w:pPr>
              <w:rPr>
                <w:rFonts w:ascii="宋体"/>
              </w:rPr>
            </w:pPr>
          </w:p>
        </w:tc>
        <w:tc>
          <w:tcPr>
            <w:tcW w:w="762" w:type="pct"/>
            <w:shd w:val="clear" w:color="auto" w:fill="auto"/>
            <w:vAlign w:val="bottom"/>
          </w:tcPr>
          <w:p w14:paraId="392C0A2D" w14:textId="77777777" w:rsidR="00980E5F" w:rsidRDefault="00980E5F">
            <w:pPr>
              <w:rPr>
                <w:rFonts w:ascii="宋体"/>
              </w:rPr>
            </w:pPr>
          </w:p>
        </w:tc>
        <w:tc>
          <w:tcPr>
            <w:tcW w:w="5" w:type="pct"/>
            <w:shd w:val="clear" w:color="auto" w:fill="auto"/>
            <w:vAlign w:val="bottom"/>
          </w:tcPr>
          <w:p w14:paraId="392C0A2E" w14:textId="77777777" w:rsidR="00980E5F" w:rsidRDefault="00980E5F">
            <w:pPr>
              <w:rPr>
                <w:rFonts w:ascii="宋体"/>
              </w:rPr>
            </w:pPr>
          </w:p>
        </w:tc>
        <w:tc>
          <w:tcPr>
            <w:tcW w:w="5" w:type="pct"/>
            <w:shd w:val="clear" w:color="auto" w:fill="auto"/>
            <w:vAlign w:val="bottom"/>
          </w:tcPr>
          <w:p w14:paraId="392C0A2F" w14:textId="77777777" w:rsidR="00980E5F" w:rsidRDefault="00980E5F">
            <w:pPr>
              <w:rPr>
                <w:rFonts w:ascii="宋体"/>
              </w:rPr>
            </w:pPr>
          </w:p>
        </w:tc>
        <w:tc>
          <w:tcPr>
            <w:tcW w:w="52" w:type="pct"/>
            <w:shd w:val="clear" w:color="auto" w:fill="auto"/>
            <w:vAlign w:val="bottom"/>
          </w:tcPr>
          <w:p w14:paraId="392C0A30" w14:textId="77777777" w:rsidR="00980E5F" w:rsidRDefault="00980E5F">
            <w:pPr>
              <w:rPr>
                <w:rFonts w:ascii="宋体"/>
              </w:rPr>
            </w:pPr>
          </w:p>
        </w:tc>
        <w:tc>
          <w:tcPr>
            <w:tcW w:w="5" w:type="pct"/>
            <w:shd w:val="clear" w:color="auto" w:fill="auto"/>
            <w:vAlign w:val="bottom"/>
          </w:tcPr>
          <w:p w14:paraId="392C0A31" w14:textId="77777777" w:rsidR="00980E5F" w:rsidRDefault="00980E5F">
            <w:pPr>
              <w:rPr>
                <w:rFonts w:ascii="宋体"/>
              </w:rPr>
            </w:pPr>
          </w:p>
        </w:tc>
        <w:tc>
          <w:tcPr>
            <w:tcW w:w="50" w:type="pct"/>
            <w:shd w:val="clear" w:color="auto" w:fill="auto"/>
            <w:vAlign w:val="bottom"/>
          </w:tcPr>
          <w:p w14:paraId="392C0A32" w14:textId="77777777" w:rsidR="00980E5F" w:rsidRDefault="00980E5F">
            <w:pPr>
              <w:rPr>
                <w:rFonts w:ascii="宋体"/>
              </w:rPr>
            </w:pPr>
          </w:p>
        </w:tc>
        <w:tc>
          <w:tcPr>
            <w:tcW w:w="762" w:type="pct"/>
            <w:shd w:val="clear" w:color="auto" w:fill="auto"/>
            <w:vAlign w:val="bottom"/>
          </w:tcPr>
          <w:p w14:paraId="392C0A33" w14:textId="77777777" w:rsidR="00980E5F" w:rsidRDefault="00980E5F">
            <w:pPr>
              <w:rPr>
                <w:rFonts w:ascii="宋体"/>
              </w:rPr>
            </w:pPr>
          </w:p>
        </w:tc>
        <w:tc>
          <w:tcPr>
            <w:tcW w:w="5" w:type="pct"/>
            <w:shd w:val="clear" w:color="auto" w:fill="auto"/>
            <w:vAlign w:val="bottom"/>
          </w:tcPr>
          <w:p w14:paraId="392C0A34" w14:textId="77777777" w:rsidR="00980E5F" w:rsidRDefault="00980E5F">
            <w:pPr>
              <w:rPr>
                <w:rFonts w:ascii="宋体"/>
              </w:rPr>
            </w:pPr>
          </w:p>
        </w:tc>
        <w:tc>
          <w:tcPr>
            <w:tcW w:w="5" w:type="pct"/>
            <w:shd w:val="clear" w:color="auto" w:fill="auto"/>
            <w:vAlign w:val="bottom"/>
          </w:tcPr>
          <w:p w14:paraId="392C0A35" w14:textId="77777777" w:rsidR="00980E5F" w:rsidRDefault="00980E5F">
            <w:pPr>
              <w:rPr>
                <w:rFonts w:ascii="宋体"/>
              </w:rPr>
            </w:pPr>
          </w:p>
        </w:tc>
        <w:tc>
          <w:tcPr>
            <w:tcW w:w="52" w:type="pct"/>
            <w:shd w:val="clear" w:color="auto" w:fill="auto"/>
            <w:vAlign w:val="bottom"/>
          </w:tcPr>
          <w:p w14:paraId="392C0A36" w14:textId="77777777" w:rsidR="00980E5F" w:rsidRDefault="00980E5F">
            <w:pPr>
              <w:rPr>
                <w:rFonts w:ascii="宋体"/>
              </w:rPr>
            </w:pPr>
          </w:p>
        </w:tc>
        <w:tc>
          <w:tcPr>
            <w:tcW w:w="5" w:type="pct"/>
            <w:shd w:val="clear" w:color="auto" w:fill="auto"/>
            <w:vAlign w:val="bottom"/>
          </w:tcPr>
          <w:p w14:paraId="392C0A37" w14:textId="77777777" w:rsidR="00980E5F" w:rsidRDefault="00980E5F">
            <w:pPr>
              <w:rPr>
                <w:rFonts w:ascii="宋体"/>
              </w:rPr>
            </w:pPr>
          </w:p>
        </w:tc>
        <w:tc>
          <w:tcPr>
            <w:tcW w:w="0" w:type="auto"/>
            <w:gridSpan w:val="3"/>
            <w:shd w:val="clear" w:color="auto" w:fill="auto"/>
            <w:vAlign w:val="bottom"/>
          </w:tcPr>
          <w:p w14:paraId="392C0A38" w14:textId="77777777" w:rsidR="00980E5F" w:rsidRDefault="00980E5F">
            <w:pPr>
              <w:rPr>
                <w:rFonts w:ascii="宋体"/>
                <w:vanish/>
              </w:rPr>
            </w:pPr>
          </w:p>
        </w:tc>
        <w:tc>
          <w:tcPr>
            <w:tcW w:w="0" w:type="auto"/>
            <w:gridSpan w:val="3"/>
            <w:shd w:val="clear" w:color="auto" w:fill="auto"/>
            <w:vAlign w:val="bottom"/>
          </w:tcPr>
          <w:p w14:paraId="392C0A39" w14:textId="77777777" w:rsidR="00980E5F" w:rsidRDefault="00980E5F">
            <w:pPr>
              <w:rPr>
                <w:rFonts w:ascii="宋体"/>
                <w:vanish/>
              </w:rPr>
            </w:pPr>
          </w:p>
        </w:tc>
        <w:tc>
          <w:tcPr>
            <w:tcW w:w="50" w:type="pct"/>
            <w:shd w:val="clear" w:color="auto" w:fill="auto"/>
            <w:vAlign w:val="bottom"/>
          </w:tcPr>
          <w:p w14:paraId="392C0A3A" w14:textId="77777777" w:rsidR="00980E5F" w:rsidRDefault="00980E5F">
            <w:pPr>
              <w:rPr>
                <w:rFonts w:ascii="宋体"/>
              </w:rPr>
            </w:pPr>
          </w:p>
        </w:tc>
        <w:tc>
          <w:tcPr>
            <w:tcW w:w="684" w:type="pct"/>
            <w:shd w:val="clear" w:color="auto" w:fill="auto"/>
            <w:vAlign w:val="bottom"/>
          </w:tcPr>
          <w:p w14:paraId="392C0A3B" w14:textId="77777777" w:rsidR="00980E5F" w:rsidRDefault="00980E5F">
            <w:pPr>
              <w:rPr>
                <w:rFonts w:ascii="宋体"/>
              </w:rPr>
            </w:pPr>
          </w:p>
        </w:tc>
        <w:tc>
          <w:tcPr>
            <w:tcW w:w="5" w:type="pct"/>
            <w:shd w:val="clear" w:color="auto" w:fill="auto"/>
            <w:vAlign w:val="bottom"/>
          </w:tcPr>
          <w:p w14:paraId="392C0A3C" w14:textId="77777777" w:rsidR="00980E5F" w:rsidRDefault="00980E5F">
            <w:pPr>
              <w:rPr>
                <w:rFonts w:ascii="宋体"/>
              </w:rPr>
            </w:pPr>
          </w:p>
        </w:tc>
        <w:tc>
          <w:tcPr>
            <w:tcW w:w="0" w:type="auto"/>
            <w:gridSpan w:val="3"/>
            <w:shd w:val="clear" w:color="auto" w:fill="auto"/>
            <w:vAlign w:val="bottom"/>
          </w:tcPr>
          <w:p w14:paraId="392C0A3D" w14:textId="77777777" w:rsidR="00980E5F" w:rsidRDefault="00980E5F">
            <w:pPr>
              <w:rPr>
                <w:rFonts w:ascii="宋体"/>
                <w:vanish/>
              </w:rPr>
            </w:pPr>
          </w:p>
        </w:tc>
        <w:tc>
          <w:tcPr>
            <w:tcW w:w="0" w:type="auto"/>
            <w:gridSpan w:val="3"/>
            <w:shd w:val="clear" w:color="auto" w:fill="auto"/>
            <w:vAlign w:val="bottom"/>
          </w:tcPr>
          <w:p w14:paraId="392C0A3E" w14:textId="77777777" w:rsidR="00980E5F" w:rsidRDefault="00980E5F">
            <w:pPr>
              <w:rPr>
                <w:rFonts w:ascii="宋体"/>
                <w:vanish/>
              </w:rPr>
            </w:pPr>
          </w:p>
        </w:tc>
      </w:tr>
      <w:tr w:rsidR="00980E5F" w14:paraId="392C0A5B" w14:textId="77777777">
        <w:tc>
          <w:tcPr>
            <w:tcW w:w="0" w:type="auto"/>
            <w:gridSpan w:val="8"/>
            <w:shd w:val="clear" w:color="auto" w:fill="auto"/>
            <w:tcMar>
              <w:top w:w="40" w:type="dxa"/>
              <w:left w:w="20" w:type="dxa"/>
              <w:bottom w:w="40" w:type="dxa"/>
              <w:right w:w="20" w:type="dxa"/>
            </w:tcMar>
            <w:vAlign w:val="bottom"/>
          </w:tcPr>
          <w:p w14:paraId="392C0A40" w14:textId="77777777" w:rsidR="00980E5F" w:rsidRDefault="00483613">
            <w:pPr>
              <w:textAlignment w:val="bottom"/>
            </w:pPr>
            <w:r>
              <w:rPr>
                <w:rFonts w:ascii="Arial" w:eastAsia="宋体" w:hAnsi="Arial" w:cs="Arial"/>
                <w:b/>
                <w:bCs/>
                <w:color w:val="000000"/>
                <w:sz w:val="16"/>
                <w:szCs w:val="16"/>
              </w:rPr>
              <w:t>TABLE 18: INVESTMENT MANAGEMENT LINE OF BUSINESS RESULTS</w:t>
            </w:r>
          </w:p>
        </w:tc>
        <w:tc>
          <w:tcPr>
            <w:tcW w:w="0" w:type="auto"/>
            <w:shd w:val="clear" w:color="auto" w:fill="auto"/>
            <w:vAlign w:val="bottom"/>
          </w:tcPr>
          <w:p w14:paraId="392C0A41" w14:textId="77777777" w:rsidR="00980E5F" w:rsidRDefault="00980E5F">
            <w:pPr>
              <w:rPr>
                <w:rFonts w:ascii="宋体"/>
                <w:vanish/>
              </w:rPr>
            </w:pPr>
          </w:p>
        </w:tc>
        <w:tc>
          <w:tcPr>
            <w:tcW w:w="0" w:type="auto"/>
            <w:gridSpan w:val="3"/>
            <w:shd w:val="clear" w:color="auto" w:fill="auto"/>
            <w:vAlign w:val="bottom"/>
          </w:tcPr>
          <w:p w14:paraId="392C0A42" w14:textId="77777777" w:rsidR="00980E5F" w:rsidRDefault="00980E5F">
            <w:pPr>
              <w:rPr>
                <w:rFonts w:ascii="宋体"/>
                <w:vanish/>
              </w:rPr>
            </w:pPr>
          </w:p>
        </w:tc>
        <w:tc>
          <w:tcPr>
            <w:tcW w:w="0" w:type="auto"/>
            <w:shd w:val="clear" w:color="auto" w:fill="auto"/>
            <w:vAlign w:val="bottom"/>
          </w:tcPr>
          <w:p w14:paraId="392C0A43" w14:textId="77777777" w:rsidR="00980E5F" w:rsidRDefault="00980E5F">
            <w:pPr>
              <w:rPr>
                <w:rFonts w:ascii="宋体"/>
              </w:rPr>
            </w:pPr>
          </w:p>
        </w:tc>
        <w:tc>
          <w:tcPr>
            <w:tcW w:w="0" w:type="auto"/>
            <w:shd w:val="clear" w:color="auto" w:fill="auto"/>
            <w:vAlign w:val="bottom"/>
          </w:tcPr>
          <w:p w14:paraId="392C0A44" w14:textId="77777777" w:rsidR="00980E5F" w:rsidRDefault="00980E5F">
            <w:pPr>
              <w:rPr>
                <w:rFonts w:ascii="宋体"/>
              </w:rPr>
            </w:pPr>
          </w:p>
        </w:tc>
        <w:tc>
          <w:tcPr>
            <w:tcW w:w="0" w:type="auto"/>
            <w:shd w:val="clear" w:color="auto" w:fill="auto"/>
            <w:vAlign w:val="bottom"/>
          </w:tcPr>
          <w:p w14:paraId="392C0A45" w14:textId="77777777" w:rsidR="00980E5F" w:rsidRDefault="00980E5F">
            <w:pPr>
              <w:rPr>
                <w:rFonts w:ascii="宋体"/>
              </w:rPr>
            </w:pPr>
          </w:p>
        </w:tc>
        <w:tc>
          <w:tcPr>
            <w:tcW w:w="0" w:type="auto"/>
            <w:shd w:val="clear" w:color="auto" w:fill="auto"/>
            <w:vAlign w:val="bottom"/>
          </w:tcPr>
          <w:p w14:paraId="392C0A46" w14:textId="77777777" w:rsidR="00980E5F" w:rsidRDefault="00980E5F">
            <w:pPr>
              <w:rPr>
                <w:rFonts w:ascii="宋体"/>
              </w:rPr>
            </w:pPr>
          </w:p>
        </w:tc>
        <w:tc>
          <w:tcPr>
            <w:tcW w:w="0" w:type="auto"/>
            <w:shd w:val="clear" w:color="auto" w:fill="auto"/>
            <w:vAlign w:val="bottom"/>
          </w:tcPr>
          <w:p w14:paraId="392C0A47" w14:textId="77777777" w:rsidR="00980E5F" w:rsidRDefault="00980E5F">
            <w:pPr>
              <w:rPr>
                <w:rFonts w:ascii="宋体"/>
              </w:rPr>
            </w:pPr>
          </w:p>
        </w:tc>
        <w:tc>
          <w:tcPr>
            <w:tcW w:w="0" w:type="auto"/>
            <w:shd w:val="clear" w:color="auto" w:fill="auto"/>
            <w:vAlign w:val="bottom"/>
          </w:tcPr>
          <w:p w14:paraId="392C0A48" w14:textId="77777777" w:rsidR="00980E5F" w:rsidRDefault="00980E5F">
            <w:pPr>
              <w:rPr>
                <w:rFonts w:ascii="宋体"/>
              </w:rPr>
            </w:pPr>
          </w:p>
        </w:tc>
        <w:tc>
          <w:tcPr>
            <w:tcW w:w="0" w:type="auto"/>
            <w:shd w:val="clear" w:color="auto" w:fill="auto"/>
            <w:vAlign w:val="bottom"/>
          </w:tcPr>
          <w:p w14:paraId="392C0A49" w14:textId="77777777" w:rsidR="00980E5F" w:rsidRDefault="00980E5F">
            <w:pPr>
              <w:rPr>
                <w:rFonts w:ascii="宋体"/>
              </w:rPr>
            </w:pPr>
          </w:p>
        </w:tc>
        <w:tc>
          <w:tcPr>
            <w:tcW w:w="0" w:type="auto"/>
            <w:shd w:val="clear" w:color="auto" w:fill="auto"/>
            <w:vAlign w:val="bottom"/>
          </w:tcPr>
          <w:p w14:paraId="392C0A4A" w14:textId="77777777" w:rsidR="00980E5F" w:rsidRDefault="00980E5F">
            <w:pPr>
              <w:rPr>
                <w:rFonts w:ascii="宋体"/>
              </w:rPr>
            </w:pPr>
          </w:p>
        </w:tc>
        <w:tc>
          <w:tcPr>
            <w:tcW w:w="0" w:type="auto"/>
            <w:shd w:val="clear" w:color="auto" w:fill="auto"/>
            <w:vAlign w:val="bottom"/>
          </w:tcPr>
          <w:p w14:paraId="392C0A4B" w14:textId="77777777" w:rsidR="00980E5F" w:rsidRDefault="00980E5F">
            <w:pPr>
              <w:rPr>
                <w:rFonts w:ascii="宋体"/>
              </w:rPr>
            </w:pPr>
          </w:p>
        </w:tc>
        <w:tc>
          <w:tcPr>
            <w:tcW w:w="0" w:type="auto"/>
            <w:shd w:val="clear" w:color="auto" w:fill="auto"/>
            <w:vAlign w:val="bottom"/>
          </w:tcPr>
          <w:p w14:paraId="392C0A4C" w14:textId="77777777" w:rsidR="00980E5F" w:rsidRDefault="00980E5F">
            <w:pPr>
              <w:rPr>
                <w:rFonts w:ascii="宋体"/>
              </w:rPr>
            </w:pPr>
          </w:p>
        </w:tc>
        <w:tc>
          <w:tcPr>
            <w:tcW w:w="0" w:type="auto"/>
            <w:shd w:val="clear" w:color="auto" w:fill="auto"/>
            <w:vAlign w:val="bottom"/>
          </w:tcPr>
          <w:p w14:paraId="392C0A4D" w14:textId="77777777" w:rsidR="00980E5F" w:rsidRDefault="00980E5F">
            <w:pPr>
              <w:rPr>
                <w:rFonts w:ascii="宋体"/>
              </w:rPr>
            </w:pPr>
          </w:p>
        </w:tc>
        <w:tc>
          <w:tcPr>
            <w:tcW w:w="0" w:type="auto"/>
            <w:shd w:val="clear" w:color="auto" w:fill="auto"/>
            <w:vAlign w:val="bottom"/>
          </w:tcPr>
          <w:p w14:paraId="392C0A4E" w14:textId="77777777" w:rsidR="00980E5F" w:rsidRDefault="00980E5F">
            <w:pPr>
              <w:rPr>
                <w:rFonts w:ascii="宋体"/>
              </w:rPr>
            </w:pPr>
          </w:p>
        </w:tc>
        <w:tc>
          <w:tcPr>
            <w:tcW w:w="0" w:type="auto"/>
            <w:shd w:val="clear" w:color="auto" w:fill="auto"/>
            <w:vAlign w:val="bottom"/>
          </w:tcPr>
          <w:p w14:paraId="392C0A4F" w14:textId="77777777" w:rsidR="00980E5F" w:rsidRDefault="00980E5F">
            <w:pPr>
              <w:rPr>
                <w:rFonts w:ascii="宋体"/>
              </w:rPr>
            </w:pPr>
          </w:p>
        </w:tc>
        <w:tc>
          <w:tcPr>
            <w:tcW w:w="0" w:type="auto"/>
            <w:shd w:val="clear" w:color="auto" w:fill="auto"/>
            <w:vAlign w:val="bottom"/>
          </w:tcPr>
          <w:p w14:paraId="392C0A50" w14:textId="77777777" w:rsidR="00980E5F" w:rsidRDefault="00980E5F">
            <w:pPr>
              <w:rPr>
                <w:rFonts w:ascii="宋体"/>
              </w:rPr>
            </w:pPr>
          </w:p>
        </w:tc>
        <w:tc>
          <w:tcPr>
            <w:tcW w:w="0" w:type="auto"/>
            <w:shd w:val="clear" w:color="auto" w:fill="auto"/>
            <w:vAlign w:val="bottom"/>
          </w:tcPr>
          <w:p w14:paraId="392C0A51" w14:textId="77777777" w:rsidR="00980E5F" w:rsidRDefault="00980E5F">
            <w:pPr>
              <w:rPr>
                <w:rFonts w:ascii="宋体"/>
              </w:rPr>
            </w:pPr>
          </w:p>
        </w:tc>
        <w:tc>
          <w:tcPr>
            <w:tcW w:w="0" w:type="auto"/>
            <w:shd w:val="clear" w:color="auto" w:fill="auto"/>
            <w:vAlign w:val="bottom"/>
          </w:tcPr>
          <w:p w14:paraId="392C0A52" w14:textId="77777777" w:rsidR="00980E5F" w:rsidRDefault="00980E5F">
            <w:pPr>
              <w:rPr>
                <w:rFonts w:ascii="宋体"/>
              </w:rPr>
            </w:pPr>
          </w:p>
        </w:tc>
        <w:tc>
          <w:tcPr>
            <w:tcW w:w="0" w:type="auto"/>
            <w:shd w:val="clear" w:color="auto" w:fill="auto"/>
            <w:vAlign w:val="bottom"/>
          </w:tcPr>
          <w:p w14:paraId="392C0A53" w14:textId="77777777" w:rsidR="00980E5F" w:rsidRDefault="00980E5F">
            <w:pPr>
              <w:rPr>
                <w:rFonts w:ascii="宋体"/>
              </w:rPr>
            </w:pPr>
          </w:p>
        </w:tc>
        <w:tc>
          <w:tcPr>
            <w:tcW w:w="0" w:type="auto"/>
            <w:shd w:val="clear" w:color="auto" w:fill="auto"/>
            <w:vAlign w:val="bottom"/>
          </w:tcPr>
          <w:p w14:paraId="392C0A54" w14:textId="77777777" w:rsidR="00980E5F" w:rsidRDefault="00980E5F">
            <w:pPr>
              <w:rPr>
                <w:rFonts w:ascii="宋体"/>
              </w:rPr>
            </w:pPr>
          </w:p>
        </w:tc>
        <w:tc>
          <w:tcPr>
            <w:tcW w:w="0" w:type="auto"/>
            <w:shd w:val="clear" w:color="auto" w:fill="auto"/>
            <w:vAlign w:val="bottom"/>
          </w:tcPr>
          <w:p w14:paraId="392C0A55" w14:textId="77777777" w:rsidR="00980E5F" w:rsidRDefault="00980E5F">
            <w:pPr>
              <w:rPr>
                <w:rFonts w:ascii="宋体"/>
              </w:rPr>
            </w:pPr>
          </w:p>
        </w:tc>
        <w:tc>
          <w:tcPr>
            <w:tcW w:w="0" w:type="auto"/>
            <w:shd w:val="clear" w:color="auto" w:fill="auto"/>
            <w:vAlign w:val="bottom"/>
          </w:tcPr>
          <w:p w14:paraId="392C0A56" w14:textId="77777777" w:rsidR="00980E5F" w:rsidRDefault="00980E5F">
            <w:pPr>
              <w:rPr>
                <w:rFonts w:ascii="宋体"/>
              </w:rPr>
            </w:pPr>
          </w:p>
        </w:tc>
        <w:tc>
          <w:tcPr>
            <w:tcW w:w="0" w:type="auto"/>
            <w:shd w:val="clear" w:color="auto" w:fill="auto"/>
            <w:vAlign w:val="bottom"/>
          </w:tcPr>
          <w:p w14:paraId="392C0A57" w14:textId="77777777" w:rsidR="00980E5F" w:rsidRDefault="00980E5F">
            <w:pPr>
              <w:rPr>
                <w:rFonts w:ascii="宋体"/>
              </w:rPr>
            </w:pPr>
          </w:p>
        </w:tc>
        <w:tc>
          <w:tcPr>
            <w:tcW w:w="0" w:type="auto"/>
            <w:shd w:val="clear" w:color="auto" w:fill="auto"/>
            <w:vAlign w:val="bottom"/>
          </w:tcPr>
          <w:p w14:paraId="392C0A58" w14:textId="77777777" w:rsidR="00980E5F" w:rsidRDefault="00980E5F">
            <w:pPr>
              <w:rPr>
                <w:rFonts w:ascii="宋体"/>
              </w:rPr>
            </w:pPr>
          </w:p>
        </w:tc>
        <w:tc>
          <w:tcPr>
            <w:tcW w:w="0" w:type="auto"/>
            <w:shd w:val="clear" w:color="auto" w:fill="auto"/>
            <w:vAlign w:val="bottom"/>
          </w:tcPr>
          <w:p w14:paraId="392C0A59" w14:textId="77777777" w:rsidR="00980E5F" w:rsidRDefault="00980E5F">
            <w:pPr>
              <w:rPr>
                <w:rFonts w:ascii="宋体"/>
              </w:rPr>
            </w:pPr>
          </w:p>
        </w:tc>
        <w:tc>
          <w:tcPr>
            <w:tcW w:w="0" w:type="auto"/>
            <w:shd w:val="clear" w:color="auto" w:fill="auto"/>
            <w:vAlign w:val="bottom"/>
          </w:tcPr>
          <w:p w14:paraId="392C0A5A" w14:textId="77777777" w:rsidR="00980E5F" w:rsidRDefault="00980E5F">
            <w:pPr>
              <w:rPr>
                <w:rFonts w:ascii="宋体"/>
              </w:rPr>
            </w:pPr>
          </w:p>
        </w:tc>
      </w:tr>
      <w:tr w:rsidR="00980E5F" w14:paraId="392C0A6E" w14:textId="77777777">
        <w:trPr>
          <w:trHeight w:val="360"/>
        </w:trPr>
        <w:tc>
          <w:tcPr>
            <w:tcW w:w="0" w:type="auto"/>
            <w:gridSpan w:val="3"/>
            <w:vMerge w:val="restart"/>
            <w:shd w:val="clear" w:color="auto" w:fill="auto"/>
            <w:tcMar>
              <w:top w:w="40" w:type="dxa"/>
              <w:left w:w="20" w:type="dxa"/>
              <w:bottom w:w="40" w:type="dxa"/>
              <w:right w:w="20" w:type="dxa"/>
            </w:tcMar>
            <w:vAlign w:val="bottom"/>
          </w:tcPr>
          <w:p w14:paraId="392C0A5C" w14:textId="77777777" w:rsidR="00980E5F" w:rsidRDefault="00483613">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392C0A5D" w14:textId="77777777" w:rsidR="00980E5F" w:rsidRDefault="00980E5F">
            <w:pPr>
              <w:rPr>
                <w:rFonts w:ascii="宋体"/>
                <w:vanish/>
              </w:rPr>
            </w:pPr>
          </w:p>
        </w:tc>
        <w:tc>
          <w:tcPr>
            <w:tcW w:w="0" w:type="auto"/>
            <w:shd w:val="clear" w:color="auto" w:fill="auto"/>
            <w:vAlign w:val="bottom"/>
          </w:tcPr>
          <w:p w14:paraId="392C0A5E" w14:textId="77777777" w:rsidR="00980E5F" w:rsidRDefault="00980E5F">
            <w:pPr>
              <w:rPr>
                <w:rFonts w:ascii="宋体"/>
                <w:vanish/>
              </w:rPr>
            </w:pPr>
          </w:p>
        </w:tc>
        <w:tc>
          <w:tcPr>
            <w:tcW w:w="0" w:type="auto"/>
            <w:shd w:val="clear" w:color="auto" w:fill="auto"/>
            <w:vAlign w:val="bottom"/>
          </w:tcPr>
          <w:p w14:paraId="392C0A5F" w14:textId="77777777" w:rsidR="00980E5F" w:rsidRDefault="00980E5F">
            <w:pPr>
              <w:rPr>
                <w:rFonts w:ascii="宋体"/>
                <w:vanish/>
              </w:rPr>
            </w:pPr>
          </w:p>
        </w:tc>
        <w:tc>
          <w:tcPr>
            <w:tcW w:w="0" w:type="auto"/>
            <w:shd w:val="clear" w:color="auto" w:fill="auto"/>
            <w:vAlign w:val="bottom"/>
          </w:tcPr>
          <w:p w14:paraId="392C0A60" w14:textId="77777777" w:rsidR="00980E5F" w:rsidRDefault="00980E5F">
            <w:pPr>
              <w:rPr>
                <w:rFonts w:ascii="宋体"/>
                <w:vanish/>
              </w:rPr>
            </w:pPr>
          </w:p>
        </w:tc>
        <w:tc>
          <w:tcPr>
            <w:tcW w:w="0" w:type="auto"/>
            <w:gridSpan w:val="5"/>
            <w:shd w:val="clear" w:color="auto" w:fill="auto"/>
            <w:tcMar>
              <w:top w:w="40" w:type="dxa"/>
              <w:left w:w="20" w:type="dxa"/>
              <w:bottom w:w="40" w:type="dxa"/>
              <w:right w:w="20" w:type="dxa"/>
            </w:tcMar>
            <w:vAlign w:val="bottom"/>
          </w:tcPr>
          <w:p w14:paraId="392C0A61"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392C0A62" w14:textId="77777777" w:rsidR="00980E5F" w:rsidRDefault="00980E5F">
            <w:pPr>
              <w:rPr>
                <w:rFonts w:ascii="宋体"/>
              </w:rPr>
            </w:pPr>
          </w:p>
        </w:tc>
        <w:tc>
          <w:tcPr>
            <w:tcW w:w="0" w:type="auto"/>
            <w:gridSpan w:val="3"/>
            <w:shd w:val="clear" w:color="auto" w:fill="auto"/>
            <w:vAlign w:val="bottom"/>
          </w:tcPr>
          <w:p w14:paraId="392C0A63" w14:textId="77777777" w:rsidR="00980E5F" w:rsidRDefault="00980E5F">
            <w:pPr>
              <w:rPr>
                <w:rFonts w:ascii="宋体"/>
                <w:vanish/>
              </w:rPr>
            </w:pPr>
          </w:p>
        </w:tc>
        <w:tc>
          <w:tcPr>
            <w:tcW w:w="0" w:type="auto"/>
            <w:gridSpan w:val="3"/>
            <w:shd w:val="clear" w:color="auto" w:fill="auto"/>
            <w:vAlign w:val="bottom"/>
          </w:tcPr>
          <w:p w14:paraId="392C0A64" w14:textId="77777777" w:rsidR="00980E5F" w:rsidRDefault="00980E5F">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392C0A65" w14:textId="77777777" w:rsidR="00980E5F" w:rsidRDefault="00483613">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392C0A66" w14:textId="77777777" w:rsidR="00980E5F" w:rsidRDefault="00980E5F">
            <w:pPr>
              <w:rPr>
                <w:rFonts w:ascii="宋体"/>
                <w:vanish/>
              </w:rPr>
            </w:pPr>
          </w:p>
        </w:tc>
        <w:tc>
          <w:tcPr>
            <w:tcW w:w="0" w:type="auto"/>
            <w:gridSpan w:val="3"/>
            <w:shd w:val="clear" w:color="auto" w:fill="auto"/>
            <w:vAlign w:val="bottom"/>
          </w:tcPr>
          <w:p w14:paraId="392C0A67" w14:textId="77777777" w:rsidR="00980E5F" w:rsidRDefault="00980E5F">
            <w:pPr>
              <w:rPr>
                <w:rFonts w:ascii="宋体"/>
                <w:vanish/>
              </w:rPr>
            </w:pPr>
          </w:p>
        </w:tc>
        <w:tc>
          <w:tcPr>
            <w:tcW w:w="0" w:type="auto"/>
            <w:shd w:val="clear" w:color="auto" w:fill="auto"/>
            <w:vAlign w:val="bottom"/>
          </w:tcPr>
          <w:p w14:paraId="392C0A68" w14:textId="77777777" w:rsidR="00980E5F" w:rsidRDefault="00980E5F">
            <w:pPr>
              <w:rPr>
                <w:rFonts w:ascii="宋体"/>
              </w:rPr>
            </w:pPr>
          </w:p>
        </w:tc>
        <w:tc>
          <w:tcPr>
            <w:tcW w:w="0" w:type="auto"/>
            <w:shd w:val="clear" w:color="auto" w:fill="auto"/>
            <w:vAlign w:val="bottom"/>
          </w:tcPr>
          <w:p w14:paraId="392C0A69" w14:textId="77777777" w:rsidR="00980E5F" w:rsidRDefault="00980E5F">
            <w:pPr>
              <w:rPr>
                <w:rFonts w:ascii="宋体"/>
              </w:rPr>
            </w:pPr>
          </w:p>
        </w:tc>
        <w:tc>
          <w:tcPr>
            <w:tcW w:w="0" w:type="auto"/>
            <w:shd w:val="clear" w:color="auto" w:fill="auto"/>
            <w:vAlign w:val="bottom"/>
          </w:tcPr>
          <w:p w14:paraId="392C0A6A" w14:textId="77777777" w:rsidR="00980E5F" w:rsidRDefault="00980E5F">
            <w:pPr>
              <w:rPr>
                <w:rFonts w:ascii="宋体"/>
              </w:rPr>
            </w:pPr>
          </w:p>
        </w:tc>
        <w:tc>
          <w:tcPr>
            <w:tcW w:w="0" w:type="auto"/>
            <w:shd w:val="clear" w:color="auto" w:fill="auto"/>
            <w:vAlign w:val="bottom"/>
          </w:tcPr>
          <w:p w14:paraId="392C0A6B" w14:textId="77777777" w:rsidR="00980E5F" w:rsidRDefault="00980E5F">
            <w:pPr>
              <w:rPr>
                <w:rFonts w:ascii="宋体"/>
              </w:rPr>
            </w:pPr>
          </w:p>
        </w:tc>
        <w:tc>
          <w:tcPr>
            <w:tcW w:w="0" w:type="auto"/>
            <w:shd w:val="clear" w:color="auto" w:fill="auto"/>
            <w:vAlign w:val="bottom"/>
          </w:tcPr>
          <w:p w14:paraId="392C0A6C" w14:textId="77777777" w:rsidR="00980E5F" w:rsidRDefault="00980E5F">
            <w:pPr>
              <w:rPr>
                <w:rFonts w:ascii="宋体"/>
              </w:rPr>
            </w:pPr>
          </w:p>
        </w:tc>
        <w:tc>
          <w:tcPr>
            <w:tcW w:w="0" w:type="auto"/>
            <w:shd w:val="clear" w:color="auto" w:fill="auto"/>
            <w:vAlign w:val="bottom"/>
          </w:tcPr>
          <w:p w14:paraId="392C0A6D" w14:textId="77777777" w:rsidR="00980E5F" w:rsidRDefault="00980E5F">
            <w:pPr>
              <w:rPr>
                <w:rFonts w:ascii="宋体"/>
              </w:rPr>
            </w:pPr>
          </w:p>
        </w:tc>
      </w:tr>
      <w:tr w:rsidR="00980E5F" w14:paraId="392C0A83" w14:textId="77777777">
        <w:trPr>
          <w:trHeight w:val="220"/>
        </w:trPr>
        <w:tc>
          <w:tcPr>
            <w:tcW w:w="0" w:type="auto"/>
            <w:gridSpan w:val="3"/>
            <w:vMerge/>
            <w:shd w:val="clear" w:color="auto" w:fill="auto"/>
            <w:tcMar>
              <w:top w:w="40" w:type="dxa"/>
              <w:left w:w="20" w:type="dxa"/>
              <w:bottom w:w="40" w:type="dxa"/>
              <w:right w:w="20" w:type="dxa"/>
            </w:tcMar>
            <w:vAlign w:val="bottom"/>
          </w:tcPr>
          <w:p w14:paraId="392C0A6F" w14:textId="77777777" w:rsidR="00980E5F" w:rsidRDefault="00980E5F">
            <w:pPr>
              <w:rPr>
                <w:rFonts w:ascii="宋体"/>
              </w:rPr>
            </w:pPr>
          </w:p>
        </w:tc>
        <w:tc>
          <w:tcPr>
            <w:tcW w:w="0" w:type="auto"/>
            <w:shd w:val="clear" w:color="auto" w:fill="auto"/>
            <w:vAlign w:val="bottom"/>
          </w:tcPr>
          <w:p w14:paraId="392C0A70" w14:textId="77777777" w:rsidR="00980E5F" w:rsidRDefault="00980E5F">
            <w:pPr>
              <w:rPr>
                <w:rFonts w:ascii="宋体"/>
                <w:vanish/>
              </w:rPr>
            </w:pPr>
          </w:p>
        </w:tc>
        <w:tc>
          <w:tcPr>
            <w:tcW w:w="0" w:type="auto"/>
            <w:shd w:val="clear" w:color="auto" w:fill="auto"/>
            <w:vAlign w:val="bottom"/>
          </w:tcPr>
          <w:p w14:paraId="392C0A71" w14:textId="77777777" w:rsidR="00980E5F" w:rsidRDefault="00980E5F">
            <w:pPr>
              <w:rPr>
                <w:rFonts w:ascii="宋体"/>
                <w:vanish/>
              </w:rPr>
            </w:pPr>
          </w:p>
        </w:tc>
        <w:tc>
          <w:tcPr>
            <w:tcW w:w="0" w:type="auto"/>
            <w:shd w:val="clear" w:color="auto" w:fill="auto"/>
            <w:vAlign w:val="bottom"/>
          </w:tcPr>
          <w:p w14:paraId="392C0A72" w14:textId="77777777" w:rsidR="00980E5F" w:rsidRDefault="00980E5F">
            <w:pPr>
              <w:rPr>
                <w:rFonts w:ascii="宋体"/>
                <w:vanish/>
              </w:rPr>
            </w:pPr>
          </w:p>
        </w:tc>
        <w:tc>
          <w:tcPr>
            <w:tcW w:w="0" w:type="auto"/>
            <w:shd w:val="clear" w:color="auto" w:fill="auto"/>
            <w:vAlign w:val="bottom"/>
          </w:tcPr>
          <w:p w14:paraId="392C0A73" w14:textId="77777777" w:rsidR="00980E5F" w:rsidRDefault="00980E5F">
            <w:pPr>
              <w:rPr>
                <w:rFonts w:ascii="宋体"/>
                <w:vanish/>
              </w:rPr>
            </w:pPr>
          </w:p>
        </w:tc>
        <w:tc>
          <w:tcPr>
            <w:tcW w:w="0" w:type="auto"/>
            <w:shd w:val="clear" w:color="auto" w:fill="auto"/>
            <w:vAlign w:val="bottom"/>
          </w:tcPr>
          <w:p w14:paraId="392C0A74" w14:textId="77777777" w:rsidR="00980E5F" w:rsidRDefault="00980E5F">
            <w:pPr>
              <w:rPr>
                <w:rFonts w:ascii="宋体"/>
                <w:vanish/>
              </w:rPr>
            </w:pPr>
          </w:p>
        </w:tc>
        <w:tc>
          <w:tcPr>
            <w:tcW w:w="0" w:type="auto"/>
            <w:shd w:val="clear" w:color="auto" w:fill="auto"/>
            <w:vAlign w:val="bottom"/>
          </w:tcPr>
          <w:p w14:paraId="392C0A75"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A76"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A7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A78"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0A79"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0A7A" w14:textId="77777777" w:rsidR="00980E5F" w:rsidRDefault="00980E5F">
            <w:pPr>
              <w:jc w:val="center"/>
              <w:rPr>
                <w:rFonts w:ascii="宋体"/>
              </w:rPr>
            </w:pPr>
          </w:p>
        </w:tc>
        <w:tc>
          <w:tcPr>
            <w:tcW w:w="0" w:type="auto"/>
            <w:gridSpan w:val="3"/>
            <w:shd w:val="clear" w:color="auto" w:fill="auto"/>
            <w:vAlign w:val="bottom"/>
          </w:tcPr>
          <w:p w14:paraId="392C0A7B" w14:textId="77777777" w:rsidR="00980E5F" w:rsidRDefault="00980E5F">
            <w:pPr>
              <w:rPr>
                <w:rFonts w:ascii="宋体"/>
                <w:vanish/>
              </w:rPr>
            </w:pPr>
          </w:p>
        </w:tc>
        <w:tc>
          <w:tcPr>
            <w:tcW w:w="0" w:type="auto"/>
            <w:gridSpan w:val="3"/>
            <w:shd w:val="clear" w:color="auto" w:fill="auto"/>
            <w:vAlign w:val="bottom"/>
          </w:tcPr>
          <w:p w14:paraId="392C0A7C" w14:textId="77777777" w:rsidR="00980E5F" w:rsidRDefault="00980E5F">
            <w:pPr>
              <w:rPr>
                <w:rFonts w:ascii="宋体"/>
                <w:vanish/>
              </w:rPr>
            </w:pPr>
          </w:p>
        </w:tc>
        <w:tc>
          <w:tcPr>
            <w:tcW w:w="0" w:type="auto"/>
            <w:shd w:val="clear" w:color="auto" w:fill="auto"/>
            <w:vAlign w:val="bottom"/>
          </w:tcPr>
          <w:p w14:paraId="392C0A7D" w14:textId="77777777" w:rsidR="00980E5F" w:rsidRDefault="00980E5F">
            <w:pPr>
              <w:rPr>
                <w:rFonts w:ascii="宋体"/>
              </w:rPr>
            </w:pPr>
          </w:p>
        </w:tc>
        <w:tc>
          <w:tcPr>
            <w:tcW w:w="0" w:type="auto"/>
            <w:shd w:val="clear" w:color="auto" w:fill="auto"/>
            <w:vAlign w:val="bottom"/>
          </w:tcPr>
          <w:p w14:paraId="392C0A7E" w14:textId="77777777" w:rsidR="00980E5F" w:rsidRDefault="00980E5F">
            <w:pPr>
              <w:rPr>
                <w:rFonts w:ascii="宋体"/>
              </w:rPr>
            </w:pPr>
          </w:p>
        </w:tc>
        <w:tc>
          <w:tcPr>
            <w:tcW w:w="0" w:type="auto"/>
            <w:shd w:val="clear" w:color="auto" w:fill="auto"/>
            <w:vAlign w:val="bottom"/>
          </w:tcPr>
          <w:p w14:paraId="392C0A7F" w14:textId="77777777" w:rsidR="00980E5F" w:rsidRDefault="00980E5F">
            <w:pPr>
              <w:rPr>
                <w:rFonts w:ascii="宋体"/>
              </w:rPr>
            </w:pPr>
          </w:p>
        </w:tc>
        <w:tc>
          <w:tcPr>
            <w:tcW w:w="0" w:type="auto"/>
            <w:shd w:val="clear" w:color="auto" w:fill="auto"/>
            <w:vAlign w:val="bottom"/>
          </w:tcPr>
          <w:p w14:paraId="392C0A80" w14:textId="77777777" w:rsidR="00980E5F" w:rsidRDefault="00980E5F">
            <w:pPr>
              <w:rPr>
                <w:rFonts w:ascii="宋体"/>
              </w:rPr>
            </w:pPr>
          </w:p>
        </w:tc>
        <w:tc>
          <w:tcPr>
            <w:tcW w:w="0" w:type="auto"/>
            <w:shd w:val="clear" w:color="auto" w:fill="auto"/>
            <w:vAlign w:val="bottom"/>
          </w:tcPr>
          <w:p w14:paraId="392C0A81" w14:textId="77777777" w:rsidR="00980E5F" w:rsidRDefault="00980E5F">
            <w:pPr>
              <w:rPr>
                <w:rFonts w:ascii="宋体"/>
              </w:rPr>
            </w:pPr>
          </w:p>
        </w:tc>
        <w:tc>
          <w:tcPr>
            <w:tcW w:w="0" w:type="auto"/>
            <w:shd w:val="clear" w:color="auto" w:fill="auto"/>
            <w:vAlign w:val="bottom"/>
          </w:tcPr>
          <w:p w14:paraId="392C0A82" w14:textId="77777777" w:rsidR="00980E5F" w:rsidRDefault="00980E5F">
            <w:pPr>
              <w:rPr>
                <w:rFonts w:ascii="宋体"/>
              </w:rPr>
            </w:pPr>
          </w:p>
        </w:tc>
      </w:tr>
      <w:tr w:rsidR="00980E5F" w14:paraId="392C0A99" w14:textId="77777777">
        <w:tc>
          <w:tcPr>
            <w:tcW w:w="0" w:type="auto"/>
            <w:gridSpan w:val="3"/>
            <w:shd w:val="clear" w:color="auto" w:fill="CCEEFF"/>
            <w:tcMar>
              <w:top w:w="40" w:type="dxa"/>
              <w:left w:w="20" w:type="dxa"/>
              <w:bottom w:w="40" w:type="dxa"/>
              <w:right w:w="20" w:type="dxa"/>
            </w:tcMar>
            <w:vAlign w:val="bottom"/>
          </w:tcPr>
          <w:p w14:paraId="392C0A84" w14:textId="77777777" w:rsidR="00980E5F" w:rsidRDefault="00483613">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w:t>
            </w:r>
          </w:p>
        </w:tc>
        <w:tc>
          <w:tcPr>
            <w:tcW w:w="0" w:type="auto"/>
            <w:shd w:val="clear" w:color="auto" w:fill="auto"/>
            <w:vAlign w:val="bottom"/>
          </w:tcPr>
          <w:p w14:paraId="392C0A85" w14:textId="77777777" w:rsidR="00980E5F" w:rsidRDefault="00980E5F">
            <w:pPr>
              <w:rPr>
                <w:rFonts w:ascii="宋体"/>
                <w:vanish/>
              </w:rPr>
            </w:pPr>
          </w:p>
        </w:tc>
        <w:tc>
          <w:tcPr>
            <w:tcW w:w="0" w:type="auto"/>
            <w:shd w:val="clear" w:color="auto" w:fill="auto"/>
            <w:vAlign w:val="bottom"/>
          </w:tcPr>
          <w:p w14:paraId="392C0A86" w14:textId="77777777" w:rsidR="00980E5F" w:rsidRDefault="00980E5F">
            <w:pPr>
              <w:rPr>
                <w:rFonts w:ascii="宋体"/>
                <w:vanish/>
              </w:rPr>
            </w:pPr>
          </w:p>
        </w:tc>
        <w:tc>
          <w:tcPr>
            <w:tcW w:w="0" w:type="auto"/>
            <w:shd w:val="clear" w:color="auto" w:fill="auto"/>
            <w:vAlign w:val="bottom"/>
          </w:tcPr>
          <w:p w14:paraId="392C0A87" w14:textId="77777777" w:rsidR="00980E5F" w:rsidRDefault="00980E5F">
            <w:pPr>
              <w:rPr>
                <w:rFonts w:ascii="宋体"/>
                <w:vanish/>
              </w:rPr>
            </w:pPr>
          </w:p>
        </w:tc>
        <w:tc>
          <w:tcPr>
            <w:tcW w:w="0" w:type="auto"/>
            <w:shd w:val="clear" w:color="auto" w:fill="auto"/>
            <w:vAlign w:val="bottom"/>
          </w:tcPr>
          <w:p w14:paraId="392C0A88" w14:textId="77777777" w:rsidR="00980E5F" w:rsidRDefault="00980E5F">
            <w:pPr>
              <w:rPr>
                <w:rFonts w:ascii="宋体"/>
                <w:vanish/>
              </w:rPr>
            </w:pPr>
          </w:p>
        </w:tc>
        <w:tc>
          <w:tcPr>
            <w:tcW w:w="0" w:type="auto"/>
            <w:shd w:val="clear" w:color="auto" w:fill="auto"/>
            <w:vAlign w:val="bottom"/>
          </w:tcPr>
          <w:p w14:paraId="392C0A89" w14:textId="77777777" w:rsidR="00980E5F" w:rsidRDefault="00980E5F">
            <w:pPr>
              <w:rPr>
                <w:rFonts w:ascii="宋体"/>
                <w:vanish/>
              </w:rPr>
            </w:pPr>
          </w:p>
        </w:tc>
        <w:tc>
          <w:tcPr>
            <w:tcW w:w="0" w:type="auto"/>
            <w:shd w:val="clear" w:color="auto" w:fill="auto"/>
            <w:vAlign w:val="bottom"/>
          </w:tcPr>
          <w:p w14:paraId="392C0A8A"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A8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A8C"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A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8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A8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A90" w14:textId="77777777" w:rsidR="00980E5F" w:rsidRDefault="00483613">
            <w:pPr>
              <w:jc w:val="right"/>
              <w:textAlignment w:val="bottom"/>
            </w:pPr>
            <w:r>
              <w:rPr>
                <w:rFonts w:ascii="Arial" w:eastAsia="宋体" w:hAnsi="Arial" w:cs="Arial"/>
                <w:color w:val="000000"/>
                <w:sz w:val="14"/>
                <w:szCs w:val="14"/>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A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92" w14:textId="77777777" w:rsidR="00980E5F" w:rsidRDefault="00980E5F">
            <w:pPr>
              <w:rPr>
                <w:rFonts w:ascii="宋体"/>
              </w:rPr>
            </w:pPr>
          </w:p>
        </w:tc>
        <w:tc>
          <w:tcPr>
            <w:tcW w:w="0" w:type="auto"/>
            <w:gridSpan w:val="3"/>
            <w:shd w:val="clear" w:color="auto" w:fill="auto"/>
            <w:vAlign w:val="bottom"/>
          </w:tcPr>
          <w:p w14:paraId="392C0A93" w14:textId="77777777" w:rsidR="00980E5F" w:rsidRDefault="00980E5F">
            <w:pPr>
              <w:rPr>
                <w:rFonts w:ascii="宋体"/>
                <w:vanish/>
              </w:rPr>
            </w:pPr>
          </w:p>
        </w:tc>
        <w:tc>
          <w:tcPr>
            <w:tcW w:w="0" w:type="auto"/>
            <w:gridSpan w:val="3"/>
            <w:shd w:val="clear" w:color="auto" w:fill="auto"/>
            <w:vAlign w:val="bottom"/>
          </w:tcPr>
          <w:p w14:paraId="392C0A94"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A95" w14:textId="77777777" w:rsidR="00980E5F" w:rsidRDefault="00483613">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A96"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A97" w14:textId="77777777" w:rsidR="00980E5F" w:rsidRDefault="00980E5F">
            <w:pPr>
              <w:rPr>
                <w:rFonts w:ascii="宋体"/>
                <w:vanish/>
              </w:rPr>
            </w:pPr>
          </w:p>
        </w:tc>
        <w:tc>
          <w:tcPr>
            <w:tcW w:w="0" w:type="auto"/>
            <w:gridSpan w:val="3"/>
            <w:shd w:val="clear" w:color="auto" w:fill="auto"/>
            <w:vAlign w:val="bottom"/>
          </w:tcPr>
          <w:p w14:paraId="392C0A98" w14:textId="77777777" w:rsidR="00980E5F" w:rsidRDefault="00980E5F">
            <w:pPr>
              <w:rPr>
                <w:rFonts w:ascii="宋体"/>
                <w:vanish/>
              </w:rPr>
            </w:pPr>
          </w:p>
        </w:tc>
      </w:tr>
      <w:tr w:rsidR="00980E5F" w14:paraId="392C0AAD" w14:textId="77777777">
        <w:tc>
          <w:tcPr>
            <w:tcW w:w="0" w:type="auto"/>
            <w:gridSpan w:val="3"/>
            <w:shd w:val="clear" w:color="auto" w:fill="FFFFFF"/>
            <w:tcMar>
              <w:top w:w="40" w:type="dxa"/>
              <w:left w:w="20" w:type="dxa"/>
              <w:bottom w:w="40" w:type="dxa"/>
              <w:right w:w="20" w:type="dxa"/>
            </w:tcMar>
            <w:vAlign w:val="bottom"/>
          </w:tcPr>
          <w:p w14:paraId="392C0A9A" w14:textId="77777777" w:rsidR="00980E5F" w:rsidRDefault="00483613">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(2)</w:t>
            </w:r>
          </w:p>
        </w:tc>
        <w:tc>
          <w:tcPr>
            <w:tcW w:w="0" w:type="auto"/>
            <w:shd w:val="clear" w:color="auto" w:fill="auto"/>
            <w:vAlign w:val="bottom"/>
          </w:tcPr>
          <w:p w14:paraId="392C0A9B" w14:textId="77777777" w:rsidR="00980E5F" w:rsidRDefault="00980E5F">
            <w:pPr>
              <w:rPr>
                <w:rFonts w:ascii="宋体"/>
                <w:vanish/>
              </w:rPr>
            </w:pPr>
          </w:p>
        </w:tc>
        <w:tc>
          <w:tcPr>
            <w:tcW w:w="0" w:type="auto"/>
            <w:shd w:val="clear" w:color="auto" w:fill="auto"/>
            <w:vAlign w:val="bottom"/>
          </w:tcPr>
          <w:p w14:paraId="392C0A9C" w14:textId="77777777" w:rsidR="00980E5F" w:rsidRDefault="00980E5F">
            <w:pPr>
              <w:rPr>
                <w:rFonts w:ascii="宋体"/>
                <w:vanish/>
              </w:rPr>
            </w:pPr>
          </w:p>
        </w:tc>
        <w:tc>
          <w:tcPr>
            <w:tcW w:w="0" w:type="auto"/>
            <w:shd w:val="clear" w:color="auto" w:fill="auto"/>
            <w:vAlign w:val="bottom"/>
          </w:tcPr>
          <w:p w14:paraId="392C0A9D" w14:textId="77777777" w:rsidR="00980E5F" w:rsidRDefault="00980E5F">
            <w:pPr>
              <w:rPr>
                <w:rFonts w:ascii="宋体"/>
                <w:vanish/>
              </w:rPr>
            </w:pPr>
          </w:p>
        </w:tc>
        <w:tc>
          <w:tcPr>
            <w:tcW w:w="0" w:type="auto"/>
            <w:shd w:val="clear" w:color="auto" w:fill="auto"/>
            <w:vAlign w:val="bottom"/>
          </w:tcPr>
          <w:p w14:paraId="392C0A9E" w14:textId="77777777" w:rsidR="00980E5F" w:rsidRDefault="00980E5F">
            <w:pPr>
              <w:rPr>
                <w:rFonts w:ascii="宋体"/>
                <w:vanish/>
              </w:rPr>
            </w:pPr>
          </w:p>
        </w:tc>
        <w:tc>
          <w:tcPr>
            <w:tcW w:w="0" w:type="auto"/>
            <w:shd w:val="clear" w:color="auto" w:fill="auto"/>
            <w:vAlign w:val="bottom"/>
          </w:tcPr>
          <w:p w14:paraId="392C0A9F" w14:textId="77777777" w:rsidR="00980E5F" w:rsidRDefault="00980E5F">
            <w:pPr>
              <w:rPr>
                <w:rFonts w:ascii="宋体"/>
                <w:vanish/>
              </w:rPr>
            </w:pPr>
          </w:p>
        </w:tc>
        <w:tc>
          <w:tcPr>
            <w:tcW w:w="0" w:type="auto"/>
            <w:shd w:val="clear" w:color="auto" w:fill="auto"/>
            <w:vAlign w:val="bottom"/>
          </w:tcPr>
          <w:p w14:paraId="392C0AA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AA1"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A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A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AA4"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392C0A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A6" w14:textId="77777777" w:rsidR="00980E5F" w:rsidRDefault="00980E5F">
            <w:pPr>
              <w:rPr>
                <w:rFonts w:ascii="宋体"/>
              </w:rPr>
            </w:pPr>
          </w:p>
        </w:tc>
        <w:tc>
          <w:tcPr>
            <w:tcW w:w="0" w:type="auto"/>
            <w:gridSpan w:val="3"/>
            <w:shd w:val="clear" w:color="auto" w:fill="auto"/>
            <w:vAlign w:val="bottom"/>
          </w:tcPr>
          <w:p w14:paraId="392C0AA7" w14:textId="77777777" w:rsidR="00980E5F" w:rsidRDefault="00980E5F">
            <w:pPr>
              <w:rPr>
                <w:rFonts w:ascii="宋体"/>
                <w:vanish/>
              </w:rPr>
            </w:pPr>
          </w:p>
        </w:tc>
        <w:tc>
          <w:tcPr>
            <w:tcW w:w="0" w:type="auto"/>
            <w:gridSpan w:val="3"/>
            <w:shd w:val="clear" w:color="auto" w:fill="auto"/>
            <w:vAlign w:val="bottom"/>
          </w:tcPr>
          <w:p w14:paraId="392C0AA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AA9" w14:textId="77777777" w:rsidR="00980E5F" w:rsidRDefault="00483613">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92C0AAA" w14:textId="77777777" w:rsidR="00980E5F" w:rsidRDefault="00980E5F">
            <w:pPr>
              <w:jc w:val="right"/>
              <w:rPr>
                <w:rFonts w:ascii="宋体"/>
              </w:rPr>
            </w:pPr>
          </w:p>
        </w:tc>
        <w:tc>
          <w:tcPr>
            <w:tcW w:w="0" w:type="auto"/>
            <w:gridSpan w:val="3"/>
            <w:shd w:val="clear" w:color="auto" w:fill="auto"/>
            <w:vAlign w:val="bottom"/>
          </w:tcPr>
          <w:p w14:paraId="392C0AAB" w14:textId="77777777" w:rsidR="00980E5F" w:rsidRDefault="00980E5F">
            <w:pPr>
              <w:rPr>
                <w:rFonts w:ascii="宋体"/>
                <w:vanish/>
              </w:rPr>
            </w:pPr>
          </w:p>
        </w:tc>
        <w:tc>
          <w:tcPr>
            <w:tcW w:w="0" w:type="auto"/>
            <w:gridSpan w:val="3"/>
            <w:shd w:val="clear" w:color="auto" w:fill="auto"/>
            <w:vAlign w:val="bottom"/>
          </w:tcPr>
          <w:p w14:paraId="392C0AAC" w14:textId="77777777" w:rsidR="00980E5F" w:rsidRDefault="00980E5F">
            <w:pPr>
              <w:rPr>
                <w:rFonts w:ascii="宋体"/>
                <w:vanish/>
              </w:rPr>
            </w:pPr>
          </w:p>
        </w:tc>
      </w:tr>
      <w:tr w:rsidR="00980E5F" w14:paraId="392C0AC1" w14:textId="77777777">
        <w:tc>
          <w:tcPr>
            <w:tcW w:w="0" w:type="auto"/>
            <w:gridSpan w:val="3"/>
            <w:shd w:val="clear" w:color="auto" w:fill="CCEEFF"/>
            <w:tcMar>
              <w:top w:w="40" w:type="dxa"/>
              <w:left w:w="20" w:type="dxa"/>
              <w:bottom w:w="40" w:type="dxa"/>
              <w:right w:w="20" w:type="dxa"/>
            </w:tcMar>
            <w:vAlign w:val="bottom"/>
          </w:tcPr>
          <w:p w14:paraId="392C0AAE" w14:textId="77777777" w:rsidR="00980E5F" w:rsidRDefault="00483613">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392C0AAF" w14:textId="77777777" w:rsidR="00980E5F" w:rsidRDefault="00980E5F">
            <w:pPr>
              <w:rPr>
                <w:rFonts w:ascii="宋体"/>
                <w:vanish/>
              </w:rPr>
            </w:pPr>
          </w:p>
        </w:tc>
        <w:tc>
          <w:tcPr>
            <w:tcW w:w="0" w:type="auto"/>
            <w:shd w:val="clear" w:color="auto" w:fill="auto"/>
            <w:vAlign w:val="bottom"/>
          </w:tcPr>
          <w:p w14:paraId="392C0AB0" w14:textId="77777777" w:rsidR="00980E5F" w:rsidRDefault="00980E5F">
            <w:pPr>
              <w:rPr>
                <w:rFonts w:ascii="宋体"/>
                <w:vanish/>
              </w:rPr>
            </w:pPr>
          </w:p>
        </w:tc>
        <w:tc>
          <w:tcPr>
            <w:tcW w:w="0" w:type="auto"/>
            <w:shd w:val="clear" w:color="auto" w:fill="auto"/>
            <w:vAlign w:val="bottom"/>
          </w:tcPr>
          <w:p w14:paraId="392C0AB1" w14:textId="77777777" w:rsidR="00980E5F" w:rsidRDefault="00980E5F">
            <w:pPr>
              <w:rPr>
                <w:rFonts w:ascii="宋体"/>
                <w:vanish/>
              </w:rPr>
            </w:pPr>
          </w:p>
        </w:tc>
        <w:tc>
          <w:tcPr>
            <w:tcW w:w="0" w:type="auto"/>
            <w:shd w:val="clear" w:color="auto" w:fill="auto"/>
            <w:vAlign w:val="bottom"/>
          </w:tcPr>
          <w:p w14:paraId="392C0AB2" w14:textId="77777777" w:rsidR="00980E5F" w:rsidRDefault="00980E5F">
            <w:pPr>
              <w:rPr>
                <w:rFonts w:ascii="宋体"/>
                <w:vanish/>
              </w:rPr>
            </w:pPr>
          </w:p>
        </w:tc>
        <w:tc>
          <w:tcPr>
            <w:tcW w:w="0" w:type="auto"/>
            <w:shd w:val="clear" w:color="auto" w:fill="auto"/>
            <w:vAlign w:val="bottom"/>
          </w:tcPr>
          <w:p w14:paraId="392C0AB3" w14:textId="77777777" w:rsidR="00980E5F" w:rsidRDefault="00980E5F">
            <w:pPr>
              <w:rPr>
                <w:rFonts w:ascii="宋体"/>
                <w:vanish/>
              </w:rPr>
            </w:pPr>
          </w:p>
        </w:tc>
        <w:tc>
          <w:tcPr>
            <w:tcW w:w="0" w:type="auto"/>
            <w:shd w:val="clear" w:color="auto" w:fill="auto"/>
            <w:vAlign w:val="bottom"/>
          </w:tcPr>
          <w:p w14:paraId="392C0AB4"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AB5"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A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AB8"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0A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BA" w14:textId="77777777" w:rsidR="00980E5F" w:rsidRDefault="00980E5F">
            <w:pPr>
              <w:rPr>
                <w:rFonts w:ascii="宋体"/>
              </w:rPr>
            </w:pPr>
          </w:p>
        </w:tc>
        <w:tc>
          <w:tcPr>
            <w:tcW w:w="0" w:type="auto"/>
            <w:gridSpan w:val="3"/>
            <w:shd w:val="clear" w:color="auto" w:fill="auto"/>
            <w:vAlign w:val="bottom"/>
          </w:tcPr>
          <w:p w14:paraId="392C0ABB" w14:textId="77777777" w:rsidR="00980E5F" w:rsidRDefault="00980E5F">
            <w:pPr>
              <w:rPr>
                <w:rFonts w:ascii="宋体"/>
                <w:vanish/>
              </w:rPr>
            </w:pPr>
          </w:p>
        </w:tc>
        <w:tc>
          <w:tcPr>
            <w:tcW w:w="0" w:type="auto"/>
            <w:gridSpan w:val="3"/>
            <w:shd w:val="clear" w:color="auto" w:fill="auto"/>
            <w:vAlign w:val="bottom"/>
          </w:tcPr>
          <w:p w14:paraId="392C0ABC"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ABD" w14:textId="77777777" w:rsidR="00980E5F" w:rsidRDefault="00483613">
            <w:pPr>
              <w:jc w:val="right"/>
              <w:textAlignment w:val="bottom"/>
            </w:pPr>
            <w:r>
              <w:rPr>
                <w:rFonts w:ascii="Arial" w:eastAsia="宋体" w:hAnsi="Arial" w:cs="Arial"/>
                <w:color w:val="000000"/>
                <w:sz w:val="14"/>
                <w:szCs w:val="14"/>
              </w:rPr>
              <w:t>67 </w:t>
            </w:r>
          </w:p>
        </w:tc>
        <w:tc>
          <w:tcPr>
            <w:tcW w:w="0" w:type="auto"/>
            <w:shd w:val="clear" w:color="auto" w:fill="CCEEFF"/>
            <w:tcMar>
              <w:top w:w="40" w:type="dxa"/>
              <w:left w:w="0" w:type="dxa"/>
              <w:bottom w:w="40" w:type="dxa"/>
              <w:right w:w="20" w:type="dxa"/>
            </w:tcMar>
            <w:vAlign w:val="bottom"/>
          </w:tcPr>
          <w:p w14:paraId="392C0ABE" w14:textId="77777777" w:rsidR="00980E5F" w:rsidRDefault="00980E5F">
            <w:pPr>
              <w:jc w:val="right"/>
              <w:rPr>
                <w:rFonts w:ascii="宋体"/>
              </w:rPr>
            </w:pPr>
          </w:p>
        </w:tc>
        <w:tc>
          <w:tcPr>
            <w:tcW w:w="0" w:type="auto"/>
            <w:gridSpan w:val="3"/>
            <w:shd w:val="clear" w:color="auto" w:fill="auto"/>
            <w:vAlign w:val="bottom"/>
          </w:tcPr>
          <w:p w14:paraId="392C0ABF" w14:textId="77777777" w:rsidR="00980E5F" w:rsidRDefault="00980E5F">
            <w:pPr>
              <w:rPr>
                <w:rFonts w:ascii="宋体"/>
                <w:vanish/>
              </w:rPr>
            </w:pPr>
          </w:p>
        </w:tc>
        <w:tc>
          <w:tcPr>
            <w:tcW w:w="0" w:type="auto"/>
            <w:gridSpan w:val="3"/>
            <w:shd w:val="clear" w:color="auto" w:fill="auto"/>
            <w:vAlign w:val="bottom"/>
          </w:tcPr>
          <w:p w14:paraId="392C0AC0" w14:textId="77777777" w:rsidR="00980E5F" w:rsidRDefault="00980E5F">
            <w:pPr>
              <w:rPr>
                <w:rFonts w:ascii="宋体"/>
                <w:vanish/>
              </w:rPr>
            </w:pPr>
          </w:p>
        </w:tc>
      </w:tr>
      <w:tr w:rsidR="00980E5F" w14:paraId="392C0AD4" w14:textId="77777777">
        <w:tc>
          <w:tcPr>
            <w:tcW w:w="0" w:type="auto"/>
            <w:gridSpan w:val="3"/>
            <w:shd w:val="clear" w:color="auto" w:fill="FFFFFF"/>
            <w:tcMar>
              <w:top w:w="40" w:type="dxa"/>
              <w:left w:w="20" w:type="dxa"/>
              <w:bottom w:w="40" w:type="dxa"/>
              <w:right w:w="20" w:type="dxa"/>
            </w:tcMar>
            <w:vAlign w:val="bottom"/>
          </w:tcPr>
          <w:p w14:paraId="392C0AC2" w14:textId="77777777" w:rsidR="00980E5F" w:rsidRDefault="00483613">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(3)</w:t>
            </w:r>
          </w:p>
        </w:tc>
        <w:tc>
          <w:tcPr>
            <w:tcW w:w="0" w:type="auto"/>
            <w:shd w:val="clear" w:color="auto" w:fill="auto"/>
            <w:vAlign w:val="bottom"/>
          </w:tcPr>
          <w:p w14:paraId="392C0AC3" w14:textId="77777777" w:rsidR="00980E5F" w:rsidRDefault="00980E5F">
            <w:pPr>
              <w:rPr>
                <w:rFonts w:ascii="宋体"/>
                <w:vanish/>
              </w:rPr>
            </w:pPr>
          </w:p>
        </w:tc>
        <w:tc>
          <w:tcPr>
            <w:tcW w:w="0" w:type="auto"/>
            <w:shd w:val="clear" w:color="auto" w:fill="auto"/>
            <w:vAlign w:val="bottom"/>
          </w:tcPr>
          <w:p w14:paraId="392C0AC4" w14:textId="77777777" w:rsidR="00980E5F" w:rsidRDefault="00980E5F">
            <w:pPr>
              <w:rPr>
                <w:rFonts w:ascii="宋体"/>
                <w:vanish/>
              </w:rPr>
            </w:pPr>
          </w:p>
        </w:tc>
        <w:tc>
          <w:tcPr>
            <w:tcW w:w="0" w:type="auto"/>
            <w:shd w:val="clear" w:color="auto" w:fill="auto"/>
            <w:vAlign w:val="bottom"/>
          </w:tcPr>
          <w:p w14:paraId="392C0AC5" w14:textId="77777777" w:rsidR="00980E5F" w:rsidRDefault="00980E5F">
            <w:pPr>
              <w:rPr>
                <w:rFonts w:ascii="宋体"/>
                <w:vanish/>
              </w:rPr>
            </w:pPr>
          </w:p>
        </w:tc>
        <w:tc>
          <w:tcPr>
            <w:tcW w:w="0" w:type="auto"/>
            <w:shd w:val="clear" w:color="auto" w:fill="auto"/>
            <w:vAlign w:val="bottom"/>
          </w:tcPr>
          <w:p w14:paraId="392C0AC6" w14:textId="77777777" w:rsidR="00980E5F" w:rsidRDefault="00980E5F">
            <w:pPr>
              <w:rPr>
                <w:rFonts w:ascii="宋体"/>
                <w:vanish/>
              </w:rPr>
            </w:pPr>
          </w:p>
        </w:tc>
        <w:tc>
          <w:tcPr>
            <w:tcW w:w="0" w:type="auto"/>
            <w:shd w:val="clear" w:color="auto" w:fill="auto"/>
            <w:vAlign w:val="bottom"/>
          </w:tcPr>
          <w:p w14:paraId="392C0AC7" w14:textId="77777777" w:rsidR="00980E5F" w:rsidRDefault="00980E5F">
            <w:pPr>
              <w:rPr>
                <w:rFonts w:ascii="宋体"/>
                <w:vanish/>
              </w:rPr>
            </w:pPr>
          </w:p>
        </w:tc>
        <w:tc>
          <w:tcPr>
            <w:tcW w:w="0" w:type="auto"/>
            <w:shd w:val="clear" w:color="auto" w:fill="auto"/>
            <w:vAlign w:val="bottom"/>
          </w:tcPr>
          <w:p w14:paraId="392C0AC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AC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A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AC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A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CE" w14:textId="77777777" w:rsidR="00980E5F" w:rsidRDefault="00980E5F">
            <w:pPr>
              <w:rPr>
                <w:rFonts w:ascii="宋体"/>
              </w:rPr>
            </w:pPr>
          </w:p>
        </w:tc>
        <w:tc>
          <w:tcPr>
            <w:tcW w:w="0" w:type="auto"/>
            <w:gridSpan w:val="3"/>
            <w:shd w:val="clear" w:color="auto" w:fill="auto"/>
            <w:vAlign w:val="bottom"/>
          </w:tcPr>
          <w:p w14:paraId="392C0ACF" w14:textId="77777777" w:rsidR="00980E5F" w:rsidRDefault="00980E5F">
            <w:pPr>
              <w:rPr>
                <w:rFonts w:ascii="宋体"/>
                <w:vanish/>
              </w:rPr>
            </w:pPr>
          </w:p>
        </w:tc>
        <w:tc>
          <w:tcPr>
            <w:tcW w:w="0" w:type="auto"/>
            <w:gridSpan w:val="3"/>
            <w:shd w:val="clear" w:color="auto" w:fill="auto"/>
            <w:vAlign w:val="bottom"/>
          </w:tcPr>
          <w:p w14:paraId="392C0AD0"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AD1"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AD2" w14:textId="77777777" w:rsidR="00980E5F" w:rsidRDefault="00980E5F">
            <w:pPr>
              <w:rPr>
                <w:rFonts w:ascii="宋体"/>
                <w:vanish/>
              </w:rPr>
            </w:pPr>
          </w:p>
        </w:tc>
        <w:tc>
          <w:tcPr>
            <w:tcW w:w="0" w:type="auto"/>
            <w:gridSpan w:val="3"/>
            <w:shd w:val="clear" w:color="auto" w:fill="auto"/>
            <w:vAlign w:val="bottom"/>
          </w:tcPr>
          <w:p w14:paraId="392C0AD3" w14:textId="77777777" w:rsidR="00980E5F" w:rsidRDefault="00980E5F">
            <w:pPr>
              <w:rPr>
                <w:rFonts w:ascii="宋体"/>
                <w:vanish/>
              </w:rPr>
            </w:pPr>
          </w:p>
        </w:tc>
      </w:tr>
      <w:tr w:rsidR="00980E5F" w14:paraId="392C0AE7" w14:textId="77777777">
        <w:tc>
          <w:tcPr>
            <w:tcW w:w="0" w:type="auto"/>
            <w:gridSpan w:val="3"/>
            <w:shd w:val="clear" w:color="auto" w:fill="CCEEFF"/>
            <w:tcMar>
              <w:top w:w="40" w:type="dxa"/>
              <w:left w:w="20" w:type="dxa"/>
              <w:bottom w:w="40" w:type="dxa"/>
              <w:right w:w="20" w:type="dxa"/>
            </w:tcMar>
            <w:vAlign w:val="bottom"/>
          </w:tcPr>
          <w:p w14:paraId="392C0AD5" w14:textId="77777777" w:rsidR="00980E5F" w:rsidRDefault="00483613">
            <w:pPr>
              <w:textAlignment w:val="bottom"/>
            </w:pPr>
            <w:r>
              <w:rPr>
                <w:rFonts w:ascii="Arial" w:eastAsia="宋体" w:hAnsi="Arial" w:cs="Arial"/>
                <w:color w:val="000000"/>
                <w:sz w:val="14"/>
                <w:szCs w:val="14"/>
              </w:rPr>
              <w:t>Other fee revenue</w:t>
            </w:r>
            <w:r>
              <w:rPr>
                <w:rFonts w:ascii="Arial" w:eastAsia="宋体" w:hAnsi="Arial" w:cs="Arial"/>
                <w:color w:val="000000"/>
                <w:sz w:val="9"/>
                <w:szCs w:val="9"/>
              </w:rPr>
              <w:t>(1)</w:t>
            </w:r>
          </w:p>
        </w:tc>
        <w:tc>
          <w:tcPr>
            <w:tcW w:w="0" w:type="auto"/>
            <w:shd w:val="clear" w:color="auto" w:fill="auto"/>
            <w:vAlign w:val="bottom"/>
          </w:tcPr>
          <w:p w14:paraId="392C0AD6" w14:textId="77777777" w:rsidR="00980E5F" w:rsidRDefault="00980E5F">
            <w:pPr>
              <w:rPr>
                <w:rFonts w:ascii="宋体"/>
                <w:vanish/>
              </w:rPr>
            </w:pPr>
          </w:p>
        </w:tc>
        <w:tc>
          <w:tcPr>
            <w:tcW w:w="0" w:type="auto"/>
            <w:shd w:val="clear" w:color="auto" w:fill="auto"/>
            <w:vAlign w:val="bottom"/>
          </w:tcPr>
          <w:p w14:paraId="392C0AD7" w14:textId="77777777" w:rsidR="00980E5F" w:rsidRDefault="00980E5F">
            <w:pPr>
              <w:rPr>
                <w:rFonts w:ascii="宋体"/>
                <w:vanish/>
              </w:rPr>
            </w:pPr>
          </w:p>
        </w:tc>
        <w:tc>
          <w:tcPr>
            <w:tcW w:w="0" w:type="auto"/>
            <w:shd w:val="clear" w:color="auto" w:fill="auto"/>
            <w:vAlign w:val="bottom"/>
          </w:tcPr>
          <w:p w14:paraId="392C0AD8" w14:textId="77777777" w:rsidR="00980E5F" w:rsidRDefault="00980E5F">
            <w:pPr>
              <w:rPr>
                <w:rFonts w:ascii="宋体"/>
                <w:vanish/>
              </w:rPr>
            </w:pPr>
          </w:p>
        </w:tc>
        <w:tc>
          <w:tcPr>
            <w:tcW w:w="0" w:type="auto"/>
            <w:shd w:val="clear" w:color="auto" w:fill="auto"/>
            <w:vAlign w:val="bottom"/>
          </w:tcPr>
          <w:p w14:paraId="392C0AD9" w14:textId="77777777" w:rsidR="00980E5F" w:rsidRDefault="00980E5F">
            <w:pPr>
              <w:rPr>
                <w:rFonts w:ascii="宋体"/>
                <w:vanish/>
              </w:rPr>
            </w:pPr>
          </w:p>
        </w:tc>
        <w:tc>
          <w:tcPr>
            <w:tcW w:w="0" w:type="auto"/>
            <w:shd w:val="clear" w:color="auto" w:fill="auto"/>
            <w:vAlign w:val="bottom"/>
          </w:tcPr>
          <w:p w14:paraId="392C0ADA" w14:textId="77777777" w:rsidR="00980E5F" w:rsidRDefault="00980E5F">
            <w:pPr>
              <w:rPr>
                <w:rFonts w:ascii="宋体"/>
                <w:vanish/>
              </w:rPr>
            </w:pPr>
          </w:p>
        </w:tc>
        <w:tc>
          <w:tcPr>
            <w:tcW w:w="0" w:type="auto"/>
            <w:shd w:val="clear" w:color="auto" w:fill="auto"/>
            <w:vAlign w:val="bottom"/>
          </w:tcPr>
          <w:p w14:paraId="392C0AD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ADC" w14:textId="77777777" w:rsidR="00980E5F" w:rsidRDefault="00483613">
            <w:pPr>
              <w:jc w:val="right"/>
              <w:textAlignment w:val="bottom"/>
            </w:pPr>
            <w:r>
              <w:rPr>
                <w:rFonts w:ascii="Arial" w:eastAsia="宋体" w:hAnsi="Arial" w:cs="Arial"/>
                <w:b/>
                <w:bCs/>
                <w:color w:val="000000"/>
                <w:sz w:val="14"/>
                <w:szCs w:val="14"/>
              </w:rPr>
              <w:t>(31)</w:t>
            </w:r>
          </w:p>
        </w:tc>
        <w:tc>
          <w:tcPr>
            <w:tcW w:w="0" w:type="auto"/>
            <w:shd w:val="clear" w:color="auto" w:fill="CCEEFF"/>
            <w:tcMar>
              <w:top w:w="40" w:type="dxa"/>
              <w:left w:w="0" w:type="dxa"/>
              <w:bottom w:w="40" w:type="dxa"/>
              <w:right w:w="20" w:type="dxa"/>
            </w:tcMar>
            <w:vAlign w:val="bottom"/>
          </w:tcPr>
          <w:p w14:paraId="392C0A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D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ADF"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392C0A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AE1" w14:textId="77777777" w:rsidR="00980E5F" w:rsidRDefault="00980E5F">
            <w:pPr>
              <w:rPr>
                <w:rFonts w:ascii="宋体"/>
              </w:rPr>
            </w:pPr>
          </w:p>
        </w:tc>
        <w:tc>
          <w:tcPr>
            <w:tcW w:w="0" w:type="auto"/>
            <w:gridSpan w:val="3"/>
            <w:shd w:val="clear" w:color="auto" w:fill="auto"/>
            <w:vAlign w:val="bottom"/>
          </w:tcPr>
          <w:p w14:paraId="392C0AE2" w14:textId="77777777" w:rsidR="00980E5F" w:rsidRDefault="00980E5F">
            <w:pPr>
              <w:rPr>
                <w:rFonts w:ascii="宋体"/>
                <w:vanish/>
              </w:rPr>
            </w:pPr>
          </w:p>
        </w:tc>
        <w:tc>
          <w:tcPr>
            <w:tcW w:w="0" w:type="auto"/>
            <w:gridSpan w:val="3"/>
            <w:shd w:val="clear" w:color="auto" w:fill="auto"/>
            <w:vAlign w:val="bottom"/>
          </w:tcPr>
          <w:p w14:paraId="392C0AE3" w14:textId="77777777" w:rsidR="00980E5F" w:rsidRDefault="00980E5F">
            <w:pPr>
              <w:rPr>
                <w:rFonts w:ascii="宋体"/>
                <w:vanish/>
              </w:rPr>
            </w:pPr>
          </w:p>
        </w:tc>
        <w:tc>
          <w:tcPr>
            <w:tcW w:w="0" w:type="auto"/>
            <w:gridSpan w:val="3"/>
            <w:shd w:val="clear" w:color="auto" w:fill="CCEEFF"/>
            <w:tcMar>
              <w:top w:w="40" w:type="dxa"/>
              <w:left w:w="20" w:type="dxa"/>
              <w:bottom w:w="40" w:type="dxa"/>
              <w:right w:w="140" w:type="dxa"/>
            </w:tcMar>
            <w:vAlign w:val="bottom"/>
          </w:tcPr>
          <w:p w14:paraId="392C0AE4"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AE5" w14:textId="77777777" w:rsidR="00980E5F" w:rsidRDefault="00980E5F">
            <w:pPr>
              <w:rPr>
                <w:rFonts w:ascii="宋体"/>
                <w:vanish/>
              </w:rPr>
            </w:pPr>
          </w:p>
        </w:tc>
        <w:tc>
          <w:tcPr>
            <w:tcW w:w="0" w:type="auto"/>
            <w:gridSpan w:val="3"/>
            <w:shd w:val="clear" w:color="auto" w:fill="auto"/>
            <w:vAlign w:val="bottom"/>
          </w:tcPr>
          <w:p w14:paraId="392C0AE6" w14:textId="77777777" w:rsidR="00980E5F" w:rsidRDefault="00980E5F">
            <w:pPr>
              <w:rPr>
                <w:rFonts w:ascii="宋体"/>
                <w:vanish/>
              </w:rPr>
            </w:pPr>
          </w:p>
        </w:tc>
      </w:tr>
      <w:tr w:rsidR="00980E5F" w14:paraId="392C0AFB" w14:textId="77777777">
        <w:tc>
          <w:tcPr>
            <w:tcW w:w="0" w:type="auto"/>
            <w:gridSpan w:val="3"/>
            <w:shd w:val="clear" w:color="auto" w:fill="FFFFFF"/>
            <w:tcMar>
              <w:top w:w="40" w:type="dxa"/>
              <w:left w:w="20" w:type="dxa"/>
              <w:bottom w:w="40" w:type="dxa"/>
              <w:right w:w="20" w:type="dxa"/>
            </w:tcMar>
            <w:vAlign w:val="bottom"/>
          </w:tcPr>
          <w:p w14:paraId="392C0AE8" w14:textId="77777777" w:rsidR="00980E5F" w:rsidRDefault="00483613">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392C0AE9" w14:textId="77777777" w:rsidR="00980E5F" w:rsidRDefault="00980E5F">
            <w:pPr>
              <w:rPr>
                <w:rFonts w:ascii="宋体"/>
                <w:vanish/>
              </w:rPr>
            </w:pPr>
          </w:p>
        </w:tc>
        <w:tc>
          <w:tcPr>
            <w:tcW w:w="0" w:type="auto"/>
            <w:shd w:val="clear" w:color="auto" w:fill="auto"/>
            <w:vAlign w:val="bottom"/>
          </w:tcPr>
          <w:p w14:paraId="392C0AEA" w14:textId="77777777" w:rsidR="00980E5F" w:rsidRDefault="00980E5F">
            <w:pPr>
              <w:rPr>
                <w:rFonts w:ascii="宋体"/>
                <w:vanish/>
              </w:rPr>
            </w:pPr>
          </w:p>
        </w:tc>
        <w:tc>
          <w:tcPr>
            <w:tcW w:w="0" w:type="auto"/>
            <w:shd w:val="clear" w:color="auto" w:fill="auto"/>
            <w:vAlign w:val="bottom"/>
          </w:tcPr>
          <w:p w14:paraId="392C0AEB" w14:textId="77777777" w:rsidR="00980E5F" w:rsidRDefault="00980E5F">
            <w:pPr>
              <w:rPr>
                <w:rFonts w:ascii="宋体"/>
                <w:vanish/>
              </w:rPr>
            </w:pPr>
          </w:p>
        </w:tc>
        <w:tc>
          <w:tcPr>
            <w:tcW w:w="0" w:type="auto"/>
            <w:shd w:val="clear" w:color="auto" w:fill="auto"/>
            <w:vAlign w:val="bottom"/>
          </w:tcPr>
          <w:p w14:paraId="392C0AEC" w14:textId="77777777" w:rsidR="00980E5F" w:rsidRDefault="00980E5F">
            <w:pPr>
              <w:rPr>
                <w:rFonts w:ascii="宋体"/>
                <w:vanish/>
              </w:rPr>
            </w:pPr>
          </w:p>
        </w:tc>
        <w:tc>
          <w:tcPr>
            <w:tcW w:w="0" w:type="auto"/>
            <w:shd w:val="clear" w:color="auto" w:fill="auto"/>
            <w:vAlign w:val="bottom"/>
          </w:tcPr>
          <w:p w14:paraId="392C0AED" w14:textId="77777777" w:rsidR="00980E5F" w:rsidRDefault="00980E5F">
            <w:pPr>
              <w:rPr>
                <w:rFonts w:ascii="宋体"/>
                <w:vanish/>
              </w:rPr>
            </w:pPr>
          </w:p>
        </w:tc>
        <w:tc>
          <w:tcPr>
            <w:tcW w:w="0" w:type="auto"/>
            <w:shd w:val="clear" w:color="auto" w:fill="auto"/>
            <w:vAlign w:val="bottom"/>
          </w:tcPr>
          <w:p w14:paraId="392C0AEE"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AEF" w14:textId="77777777" w:rsidR="00980E5F" w:rsidRDefault="00483613">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AF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F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AF2" w14:textId="77777777" w:rsidR="00980E5F" w:rsidRDefault="00483613">
            <w:pPr>
              <w:jc w:val="right"/>
              <w:textAlignment w:val="bottom"/>
            </w:pPr>
            <w:r>
              <w:rPr>
                <w:rFonts w:ascii="Arial" w:eastAsia="宋体" w:hAnsi="Arial" w:cs="Arial"/>
                <w:color w:val="000000"/>
                <w:sz w:val="14"/>
                <w:szCs w:val="14"/>
              </w:rPr>
              <w:t>530 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AF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AF4" w14:textId="77777777" w:rsidR="00980E5F" w:rsidRDefault="00980E5F">
            <w:pPr>
              <w:rPr>
                <w:rFonts w:ascii="宋体"/>
              </w:rPr>
            </w:pPr>
          </w:p>
        </w:tc>
        <w:tc>
          <w:tcPr>
            <w:tcW w:w="0" w:type="auto"/>
            <w:gridSpan w:val="3"/>
            <w:shd w:val="clear" w:color="auto" w:fill="auto"/>
            <w:vAlign w:val="bottom"/>
          </w:tcPr>
          <w:p w14:paraId="392C0AF5" w14:textId="77777777" w:rsidR="00980E5F" w:rsidRDefault="00980E5F">
            <w:pPr>
              <w:rPr>
                <w:rFonts w:ascii="宋体"/>
                <w:vanish/>
              </w:rPr>
            </w:pPr>
          </w:p>
        </w:tc>
        <w:tc>
          <w:tcPr>
            <w:tcW w:w="0" w:type="auto"/>
            <w:gridSpan w:val="3"/>
            <w:shd w:val="clear" w:color="auto" w:fill="auto"/>
            <w:vAlign w:val="bottom"/>
          </w:tcPr>
          <w:p w14:paraId="392C0AF6"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AF7" w14:textId="77777777" w:rsidR="00980E5F" w:rsidRDefault="00483613">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92C0AF8" w14:textId="77777777" w:rsidR="00980E5F" w:rsidRDefault="00980E5F">
            <w:pPr>
              <w:jc w:val="right"/>
              <w:rPr>
                <w:rFonts w:ascii="宋体"/>
              </w:rPr>
            </w:pPr>
          </w:p>
        </w:tc>
        <w:tc>
          <w:tcPr>
            <w:tcW w:w="0" w:type="auto"/>
            <w:gridSpan w:val="3"/>
            <w:shd w:val="clear" w:color="auto" w:fill="auto"/>
            <w:vAlign w:val="bottom"/>
          </w:tcPr>
          <w:p w14:paraId="392C0AF9" w14:textId="77777777" w:rsidR="00980E5F" w:rsidRDefault="00980E5F">
            <w:pPr>
              <w:rPr>
                <w:rFonts w:ascii="宋体"/>
                <w:vanish/>
              </w:rPr>
            </w:pPr>
          </w:p>
        </w:tc>
        <w:tc>
          <w:tcPr>
            <w:tcW w:w="0" w:type="auto"/>
            <w:gridSpan w:val="3"/>
            <w:shd w:val="clear" w:color="auto" w:fill="auto"/>
            <w:vAlign w:val="bottom"/>
          </w:tcPr>
          <w:p w14:paraId="392C0AFA" w14:textId="77777777" w:rsidR="00980E5F" w:rsidRDefault="00980E5F">
            <w:pPr>
              <w:rPr>
                <w:rFonts w:ascii="宋体"/>
                <w:vanish/>
              </w:rPr>
            </w:pPr>
          </w:p>
        </w:tc>
      </w:tr>
      <w:tr w:rsidR="00980E5F" w14:paraId="392C0B0E" w14:textId="77777777">
        <w:tc>
          <w:tcPr>
            <w:tcW w:w="0" w:type="auto"/>
            <w:gridSpan w:val="3"/>
            <w:shd w:val="clear" w:color="auto" w:fill="CCEEFF"/>
            <w:tcMar>
              <w:top w:w="40" w:type="dxa"/>
              <w:left w:w="20" w:type="dxa"/>
              <w:bottom w:w="40" w:type="dxa"/>
              <w:right w:w="20" w:type="dxa"/>
            </w:tcMar>
            <w:vAlign w:val="bottom"/>
          </w:tcPr>
          <w:p w14:paraId="392C0AFC" w14:textId="77777777" w:rsidR="00980E5F" w:rsidRDefault="00483613">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392C0AFD" w14:textId="77777777" w:rsidR="00980E5F" w:rsidRDefault="00980E5F">
            <w:pPr>
              <w:rPr>
                <w:rFonts w:ascii="宋体"/>
                <w:vanish/>
              </w:rPr>
            </w:pPr>
          </w:p>
        </w:tc>
        <w:tc>
          <w:tcPr>
            <w:tcW w:w="0" w:type="auto"/>
            <w:shd w:val="clear" w:color="auto" w:fill="auto"/>
            <w:vAlign w:val="bottom"/>
          </w:tcPr>
          <w:p w14:paraId="392C0AFE" w14:textId="77777777" w:rsidR="00980E5F" w:rsidRDefault="00980E5F">
            <w:pPr>
              <w:rPr>
                <w:rFonts w:ascii="宋体"/>
                <w:vanish/>
              </w:rPr>
            </w:pPr>
          </w:p>
        </w:tc>
        <w:tc>
          <w:tcPr>
            <w:tcW w:w="0" w:type="auto"/>
            <w:shd w:val="clear" w:color="auto" w:fill="auto"/>
            <w:vAlign w:val="bottom"/>
          </w:tcPr>
          <w:p w14:paraId="392C0AFF" w14:textId="77777777" w:rsidR="00980E5F" w:rsidRDefault="00980E5F">
            <w:pPr>
              <w:rPr>
                <w:rFonts w:ascii="宋体"/>
                <w:vanish/>
              </w:rPr>
            </w:pPr>
          </w:p>
        </w:tc>
        <w:tc>
          <w:tcPr>
            <w:tcW w:w="0" w:type="auto"/>
            <w:shd w:val="clear" w:color="auto" w:fill="auto"/>
            <w:vAlign w:val="bottom"/>
          </w:tcPr>
          <w:p w14:paraId="392C0B00" w14:textId="77777777" w:rsidR="00980E5F" w:rsidRDefault="00980E5F">
            <w:pPr>
              <w:rPr>
                <w:rFonts w:ascii="宋体"/>
                <w:vanish/>
              </w:rPr>
            </w:pPr>
          </w:p>
        </w:tc>
        <w:tc>
          <w:tcPr>
            <w:tcW w:w="0" w:type="auto"/>
            <w:shd w:val="clear" w:color="auto" w:fill="auto"/>
            <w:vAlign w:val="bottom"/>
          </w:tcPr>
          <w:p w14:paraId="392C0B01" w14:textId="77777777" w:rsidR="00980E5F" w:rsidRDefault="00980E5F">
            <w:pPr>
              <w:rPr>
                <w:rFonts w:ascii="宋体"/>
                <w:vanish/>
              </w:rPr>
            </w:pPr>
          </w:p>
        </w:tc>
        <w:tc>
          <w:tcPr>
            <w:tcW w:w="0" w:type="auto"/>
            <w:shd w:val="clear" w:color="auto" w:fill="auto"/>
            <w:vAlign w:val="bottom"/>
          </w:tcPr>
          <w:p w14:paraId="392C0B0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B03"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392C0B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0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B06"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0B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08" w14:textId="77777777" w:rsidR="00980E5F" w:rsidRDefault="00980E5F">
            <w:pPr>
              <w:rPr>
                <w:rFonts w:ascii="宋体"/>
              </w:rPr>
            </w:pPr>
          </w:p>
        </w:tc>
        <w:tc>
          <w:tcPr>
            <w:tcW w:w="0" w:type="auto"/>
            <w:gridSpan w:val="3"/>
            <w:shd w:val="clear" w:color="auto" w:fill="auto"/>
            <w:vAlign w:val="bottom"/>
          </w:tcPr>
          <w:p w14:paraId="392C0B09" w14:textId="77777777" w:rsidR="00980E5F" w:rsidRDefault="00980E5F">
            <w:pPr>
              <w:rPr>
                <w:rFonts w:ascii="宋体"/>
                <w:vanish/>
              </w:rPr>
            </w:pPr>
          </w:p>
        </w:tc>
        <w:tc>
          <w:tcPr>
            <w:tcW w:w="0" w:type="auto"/>
            <w:gridSpan w:val="3"/>
            <w:shd w:val="clear" w:color="auto" w:fill="auto"/>
            <w:vAlign w:val="bottom"/>
          </w:tcPr>
          <w:p w14:paraId="392C0B0A" w14:textId="77777777" w:rsidR="00980E5F" w:rsidRDefault="00980E5F">
            <w:pPr>
              <w:rPr>
                <w:rFonts w:ascii="宋体"/>
                <w:vanish/>
              </w:rPr>
            </w:pPr>
          </w:p>
        </w:tc>
        <w:tc>
          <w:tcPr>
            <w:tcW w:w="0" w:type="auto"/>
            <w:gridSpan w:val="3"/>
            <w:shd w:val="clear" w:color="auto" w:fill="CCEEFF"/>
            <w:tcMar>
              <w:top w:w="40" w:type="dxa"/>
              <w:left w:w="20" w:type="dxa"/>
              <w:bottom w:w="40" w:type="dxa"/>
              <w:right w:w="140" w:type="dxa"/>
            </w:tcMar>
            <w:vAlign w:val="bottom"/>
          </w:tcPr>
          <w:p w14:paraId="392C0B0B"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B0C" w14:textId="77777777" w:rsidR="00980E5F" w:rsidRDefault="00980E5F">
            <w:pPr>
              <w:rPr>
                <w:rFonts w:ascii="宋体"/>
                <w:vanish/>
              </w:rPr>
            </w:pPr>
          </w:p>
        </w:tc>
        <w:tc>
          <w:tcPr>
            <w:tcW w:w="0" w:type="auto"/>
            <w:gridSpan w:val="3"/>
            <w:shd w:val="clear" w:color="auto" w:fill="auto"/>
            <w:vAlign w:val="bottom"/>
          </w:tcPr>
          <w:p w14:paraId="392C0B0D" w14:textId="77777777" w:rsidR="00980E5F" w:rsidRDefault="00980E5F">
            <w:pPr>
              <w:rPr>
                <w:rFonts w:ascii="宋体"/>
                <w:vanish/>
              </w:rPr>
            </w:pPr>
          </w:p>
        </w:tc>
      </w:tr>
      <w:tr w:rsidR="00980E5F" w14:paraId="392C0B22" w14:textId="77777777">
        <w:tc>
          <w:tcPr>
            <w:tcW w:w="0" w:type="auto"/>
            <w:gridSpan w:val="3"/>
            <w:shd w:val="clear" w:color="auto" w:fill="FFFFFF"/>
            <w:tcMar>
              <w:top w:w="40" w:type="dxa"/>
              <w:left w:w="20" w:type="dxa"/>
              <w:bottom w:w="40" w:type="dxa"/>
              <w:right w:w="20" w:type="dxa"/>
            </w:tcMar>
            <w:vAlign w:val="bottom"/>
          </w:tcPr>
          <w:p w14:paraId="392C0B0F" w14:textId="77777777" w:rsidR="00980E5F" w:rsidRDefault="00483613">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392C0B10" w14:textId="77777777" w:rsidR="00980E5F" w:rsidRDefault="00980E5F">
            <w:pPr>
              <w:rPr>
                <w:rFonts w:ascii="宋体"/>
                <w:vanish/>
              </w:rPr>
            </w:pPr>
          </w:p>
        </w:tc>
        <w:tc>
          <w:tcPr>
            <w:tcW w:w="0" w:type="auto"/>
            <w:shd w:val="clear" w:color="auto" w:fill="auto"/>
            <w:vAlign w:val="bottom"/>
          </w:tcPr>
          <w:p w14:paraId="392C0B11" w14:textId="77777777" w:rsidR="00980E5F" w:rsidRDefault="00980E5F">
            <w:pPr>
              <w:rPr>
                <w:rFonts w:ascii="宋体"/>
                <w:vanish/>
              </w:rPr>
            </w:pPr>
          </w:p>
        </w:tc>
        <w:tc>
          <w:tcPr>
            <w:tcW w:w="0" w:type="auto"/>
            <w:shd w:val="clear" w:color="auto" w:fill="auto"/>
            <w:vAlign w:val="bottom"/>
          </w:tcPr>
          <w:p w14:paraId="392C0B12" w14:textId="77777777" w:rsidR="00980E5F" w:rsidRDefault="00980E5F">
            <w:pPr>
              <w:rPr>
                <w:rFonts w:ascii="宋体"/>
                <w:vanish/>
              </w:rPr>
            </w:pPr>
          </w:p>
        </w:tc>
        <w:tc>
          <w:tcPr>
            <w:tcW w:w="0" w:type="auto"/>
            <w:shd w:val="clear" w:color="auto" w:fill="auto"/>
            <w:vAlign w:val="bottom"/>
          </w:tcPr>
          <w:p w14:paraId="392C0B13" w14:textId="77777777" w:rsidR="00980E5F" w:rsidRDefault="00980E5F">
            <w:pPr>
              <w:rPr>
                <w:rFonts w:ascii="宋体"/>
                <w:vanish/>
              </w:rPr>
            </w:pPr>
          </w:p>
        </w:tc>
        <w:tc>
          <w:tcPr>
            <w:tcW w:w="0" w:type="auto"/>
            <w:shd w:val="clear" w:color="auto" w:fill="auto"/>
            <w:vAlign w:val="bottom"/>
          </w:tcPr>
          <w:p w14:paraId="392C0B14" w14:textId="77777777" w:rsidR="00980E5F" w:rsidRDefault="00980E5F">
            <w:pPr>
              <w:rPr>
                <w:rFonts w:ascii="宋体"/>
                <w:vanish/>
              </w:rPr>
            </w:pPr>
          </w:p>
        </w:tc>
        <w:tc>
          <w:tcPr>
            <w:tcW w:w="0" w:type="auto"/>
            <w:shd w:val="clear" w:color="auto" w:fill="auto"/>
            <w:vAlign w:val="bottom"/>
          </w:tcPr>
          <w:p w14:paraId="392C0B15"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B16" w14:textId="77777777" w:rsidR="00980E5F" w:rsidRDefault="00483613">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B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1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B19" w14:textId="77777777" w:rsidR="00980E5F" w:rsidRDefault="00483613">
            <w:pPr>
              <w:jc w:val="right"/>
              <w:textAlignment w:val="bottom"/>
            </w:pPr>
            <w:r>
              <w:rPr>
                <w:rFonts w:ascii="Arial" w:eastAsia="宋体" w:hAnsi="Arial" w:cs="Arial"/>
                <w:color w:val="000000"/>
                <w:sz w:val="14"/>
                <w:szCs w:val="14"/>
              </w:rPr>
              <w:t>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B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1B" w14:textId="77777777" w:rsidR="00980E5F" w:rsidRDefault="00980E5F">
            <w:pPr>
              <w:rPr>
                <w:rFonts w:ascii="宋体"/>
              </w:rPr>
            </w:pPr>
          </w:p>
        </w:tc>
        <w:tc>
          <w:tcPr>
            <w:tcW w:w="0" w:type="auto"/>
            <w:gridSpan w:val="3"/>
            <w:shd w:val="clear" w:color="auto" w:fill="auto"/>
            <w:vAlign w:val="bottom"/>
          </w:tcPr>
          <w:p w14:paraId="392C0B1C" w14:textId="77777777" w:rsidR="00980E5F" w:rsidRDefault="00980E5F">
            <w:pPr>
              <w:rPr>
                <w:rFonts w:ascii="宋体"/>
                <w:vanish/>
              </w:rPr>
            </w:pPr>
          </w:p>
        </w:tc>
        <w:tc>
          <w:tcPr>
            <w:tcW w:w="0" w:type="auto"/>
            <w:gridSpan w:val="3"/>
            <w:shd w:val="clear" w:color="auto" w:fill="auto"/>
            <w:vAlign w:val="bottom"/>
          </w:tcPr>
          <w:p w14:paraId="392C0B1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B1E" w14:textId="77777777" w:rsidR="00980E5F" w:rsidRDefault="00483613">
            <w:pPr>
              <w:jc w:val="right"/>
              <w:textAlignment w:val="bottom"/>
            </w:pPr>
            <w:r>
              <w:rPr>
                <w:rFonts w:ascii="Arial" w:eastAsia="宋体" w:hAnsi="Arial" w:cs="Arial"/>
                <w:color w:val="000000"/>
                <w:sz w:val="14"/>
                <w:szCs w:val="14"/>
              </w:rPr>
              <w:t>(10)</w:t>
            </w:r>
          </w:p>
        </w:tc>
        <w:tc>
          <w:tcPr>
            <w:tcW w:w="0" w:type="auto"/>
            <w:shd w:val="clear" w:color="auto" w:fill="FFFFFF"/>
            <w:tcMar>
              <w:top w:w="40" w:type="dxa"/>
              <w:left w:w="0" w:type="dxa"/>
              <w:bottom w:w="40" w:type="dxa"/>
              <w:right w:w="20" w:type="dxa"/>
            </w:tcMar>
            <w:vAlign w:val="bottom"/>
          </w:tcPr>
          <w:p w14:paraId="392C0B1F" w14:textId="77777777" w:rsidR="00980E5F" w:rsidRDefault="00980E5F">
            <w:pPr>
              <w:jc w:val="right"/>
              <w:rPr>
                <w:rFonts w:ascii="宋体"/>
              </w:rPr>
            </w:pPr>
          </w:p>
        </w:tc>
        <w:tc>
          <w:tcPr>
            <w:tcW w:w="0" w:type="auto"/>
            <w:gridSpan w:val="3"/>
            <w:shd w:val="clear" w:color="auto" w:fill="auto"/>
            <w:vAlign w:val="bottom"/>
          </w:tcPr>
          <w:p w14:paraId="392C0B20" w14:textId="77777777" w:rsidR="00980E5F" w:rsidRDefault="00980E5F">
            <w:pPr>
              <w:rPr>
                <w:rFonts w:ascii="宋体"/>
                <w:vanish/>
              </w:rPr>
            </w:pPr>
          </w:p>
        </w:tc>
        <w:tc>
          <w:tcPr>
            <w:tcW w:w="0" w:type="auto"/>
            <w:gridSpan w:val="3"/>
            <w:shd w:val="clear" w:color="auto" w:fill="auto"/>
            <w:vAlign w:val="bottom"/>
          </w:tcPr>
          <w:p w14:paraId="392C0B21" w14:textId="77777777" w:rsidR="00980E5F" w:rsidRDefault="00980E5F">
            <w:pPr>
              <w:rPr>
                <w:rFonts w:ascii="宋体"/>
                <w:vanish/>
              </w:rPr>
            </w:pPr>
          </w:p>
        </w:tc>
      </w:tr>
      <w:tr w:rsidR="00980E5F" w14:paraId="392C0B33" w14:textId="77777777">
        <w:trPr>
          <w:hidden/>
        </w:trPr>
        <w:tc>
          <w:tcPr>
            <w:tcW w:w="0" w:type="auto"/>
            <w:gridSpan w:val="3"/>
            <w:shd w:val="clear" w:color="auto" w:fill="auto"/>
            <w:vAlign w:val="bottom"/>
          </w:tcPr>
          <w:p w14:paraId="392C0B23" w14:textId="77777777" w:rsidR="00980E5F" w:rsidRDefault="00980E5F">
            <w:pPr>
              <w:rPr>
                <w:rFonts w:ascii="宋体"/>
                <w:vanish/>
              </w:rPr>
            </w:pPr>
          </w:p>
        </w:tc>
        <w:tc>
          <w:tcPr>
            <w:tcW w:w="0" w:type="auto"/>
            <w:shd w:val="clear" w:color="auto" w:fill="auto"/>
            <w:vAlign w:val="bottom"/>
          </w:tcPr>
          <w:p w14:paraId="392C0B24" w14:textId="77777777" w:rsidR="00980E5F" w:rsidRDefault="00980E5F">
            <w:pPr>
              <w:rPr>
                <w:rFonts w:ascii="宋体"/>
                <w:vanish/>
              </w:rPr>
            </w:pPr>
          </w:p>
        </w:tc>
        <w:tc>
          <w:tcPr>
            <w:tcW w:w="0" w:type="auto"/>
            <w:shd w:val="clear" w:color="auto" w:fill="auto"/>
            <w:vAlign w:val="bottom"/>
          </w:tcPr>
          <w:p w14:paraId="392C0B25" w14:textId="77777777" w:rsidR="00980E5F" w:rsidRDefault="00980E5F">
            <w:pPr>
              <w:rPr>
                <w:rFonts w:ascii="宋体"/>
                <w:vanish/>
              </w:rPr>
            </w:pPr>
          </w:p>
        </w:tc>
        <w:tc>
          <w:tcPr>
            <w:tcW w:w="0" w:type="auto"/>
            <w:shd w:val="clear" w:color="auto" w:fill="auto"/>
            <w:vAlign w:val="bottom"/>
          </w:tcPr>
          <w:p w14:paraId="392C0B26" w14:textId="77777777" w:rsidR="00980E5F" w:rsidRDefault="00980E5F">
            <w:pPr>
              <w:rPr>
                <w:rFonts w:ascii="宋体"/>
                <w:vanish/>
              </w:rPr>
            </w:pPr>
          </w:p>
        </w:tc>
        <w:tc>
          <w:tcPr>
            <w:tcW w:w="0" w:type="auto"/>
            <w:shd w:val="clear" w:color="auto" w:fill="auto"/>
            <w:vAlign w:val="bottom"/>
          </w:tcPr>
          <w:p w14:paraId="392C0B27" w14:textId="77777777" w:rsidR="00980E5F" w:rsidRDefault="00980E5F">
            <w:pPr>
              <w:rPr>
                <w:rFonts w:ascii="宋体"/>
                <w:vanish/>
              </w:rPr>
            </w:pPr>
          </w:p>
        </w:tc>
        <w:tc>
          <w:tcPr>
            <w:tcW w:w="0" w:type="auto"/>
            <w:shd w:val="clear" w:color="auto" w:fill="auto"/>
            <w:vAlign w:val="bottom"/>
          </w:tcPr>
          <w:p w14:paraId="392C0B28" w14:textId="77777777" w:rsidR="00980E5F" w:rsidRDefault="00980E5F">
            <w:pPr>
              <w:rPr>
                <w:rFonts w:ascii="宋体"/>
                <w:vanish/>
              </w:rPr>
            </w:pPr>
          </w:p>
        </w:tc>
        <w:tc>
          <w:tcPr>
            <w:tcW w:w="0" w:type="auto"/>
            <w:shd w:val="clear" w:color="auto" w:fill="auto"/>
            <w:vAlign w:val="bottom"/>
          </w:tcPr>
          <w:p w14:paraId="392C0B29" w14:textId="77777777" w:rsidR="00980E5F" w:rsidRDefault="00980E5F">
            <w:pPr>
              <w:rPr>
                <w:rFonts w:ascii="宋体"/>
                <w:vanish/>
              </w:rPr>
            </w:pPr>
          </w:p>
        </w:tc>
        <w:tc>
          <w:tcPr>
            <w:tcW w:w="0" w:type="auto"/>
            <w:gridSpan w:val="3"/>
            <w:shd w:val="clear" w:color="auto" w:fill="auto"/>
            <w:vAlign w:val="bottom"/>
          </w:tcPr>
          <w:p w14:paraId="392C0B2A" w14:textId="77777777" w:rsidR="00980E5F" w:rsidRDefault="00980E5F">
            <w:pPr>
              <w:rPr>
                <w:rFonts w:ascii="宋体"/>
                <w:vanish/>
              </w:rPr>
            </w:pPr>
          </w:p>
        </w:tc>
        <w:tc>
          <w:tcPr>
            <w:tcW w:w="0" w:type="auto"/>
            <w:gridSpan w:val="3"/>
            <w:shd w:val="clear" w:color="auto" w:fill="auto"/>
            <w:vAlign w:val="bottom"/>
          </w:tcPr>
          <w:p w14:paraId="392C0B2B" w14:textId="77777777" w:rsidR="00980E5F" w:rsidRDefault="00980E5F">
            <w:pPr>
              <w:rPr>
                <w:rFonts w:ascii="宋体"/>
                <w:vanish/>
              </w:rPr>
            </w:pPr>
          </w:p>
        </w:tc>
        <w:tc>
          <w:tcPr>
            <w:tcW w:w="0" w:type="auto"/>
            <w:gridSpan w:val="3"/>
            <w:shd w:val="clear" w:color="auto" w:fill="auto"/>
            <w:vAlign w:val="bottom"/>
          </w:tcPr>
          <w:p w14:paraId="392C0B2C" w14:textId="77777777" w:rsidR="00980E5F" w:rsidRDefault="00980E5F">
            <w:pPr>
              <w:rPr>
                <w:rFonts w:ascii="宋体"/>
                <w:vanish/>
              </w:rPr>
            </w:pPr>
          </w:p>
        </w:tc>
        <w:tc>
          <w:tcPr>
            <w:tcW w:w="0" w:type="auto"/>
            <w:gridSpan w:val="3"/>
            <w:shd w:val="clear" w:color="auto" w:fill="auto"/>
            <w:vAlign w:val="bottom"/>
          </w:tcPr>
          <w:p w14:paraId="392C0B2D" w14:textId="77777777" w:rsidR="00980E5F" w:rsidRDefault="00980E5F">
            <w:pPr>
              <w:rPr>
                <w:rFonts w:ascii="宋体"/>
                <w:vanish/>
              </w:rPr>
            </w:pPr>
          </w:p>
        </w:tc>
        <w:tc>
          <w:tcPr>
            <w:tcW w:w="0" w:type="auto"/>
            <w:gridSpan w:val="3"/>
            <w:shd w:val="clear" w:color="auto" w:fill="auto"/>
            <w:vAlign w:val="bottom"/>
          </w:tcPr>
          <w:p w14:paraId="392C0B2E" w14:textId="77777777" w:rsidR="00980E5F" w:rsidRDefault="00980E5F">
            <w:pPr>
              <w:rPr>
                <w:rFonts w:ascii="宋体"/>
                <w:vanish/>
              </w:rPr>
            </w:pPr>
          </w:p>
        </w:tc>
        <w:tc>
          <w:tcPr>
            <w:tcW w:w="0" w:type="auto"/>
            <w:gridSpan w:val="3"/>
            <w:shd w:val="clear" w:color="auto" w:fill="auto"/>
            <w:vAlign w:val="bottom"/>
          </w:tcPr>
          <w:p w14:paraId="392C0B2F" w14:textId="77777777" w:rsidR="00980E5F" w:rsidRDefault="00980E5F">
            <w:pPr>
              <w:rPr>
                <w:rFonts w:ascii="宋体"/>
                <w:vanish/>
              </w:rPr>
            </w:pPr>
          </w:p>
        </w:tc>
        <w:tc>
          <w:tcPr>
            <w:tcW w:w="0" w:type="auto"/>
            <w:gridSpan w:val="3"/>
            <w:shd w:val="clear" w:color="auto" w:fill="auto"/>
            <w:vAlign w:val="bottom"/>
          </w:tcPr>
          <w:p w14:paraId="392C0B30" w14:textId="77777777" w:rsidR="00980E5F" w:rsidRDefault="00980E5F">
            <w:pPr>
              <w:rPr>
                <w:rFonts w:ascii="宋体"/>
                <w:vanish/>
              </w:rPr>
            </w:pPr>
          </w:p>
        </w:tc>
        <w:tc>
          <w:tcPr>
            <w:tcW w:w="0" w:type="auto"/>
            <w:gridSpan w:val="3"/>
            <w:shd w:val="clear" w:color="auto" w:fill="auto"/>
            <w:vAlign w:val="bottom"/>
          </w:tcPr>
          <w:p w14:paraId="392C0B31" w14:textId="77777777" w:rsidR="00980E5F" w:rsidRDefault="00980E5F">
            <w:pPr>
              <w:rPr>
                <w:rFonts w:ascii="宋体"/>
                <w:vanish/>
              </w:rPr>
            </w:pPr>
          </w:p>
        </w:tc>
        <w:tc>
          <w:tcPr>
            <w:tcW w:w="0" w:type="auto"/>
            <w:gridSpan w:val="3"/>
            <w:shd w:val="clear" w:color="auto" w:fill="auto"/>
            <w:vAlign w:val="bottom"/>
          </w:tcPr>
          <w:p w14:paraId="392C0B32" w14:textId="77777777" w:rsidR="00980E5F" w:rsidRDefault="00980E5F">
            <w:pPr>
              <w:rPr>
                <w:rFonts w:ascii="宋体"/>
                <w:vanish/>
              </w:rPr>
            </w:pPr>
          </w:p>
        </w:tc>
      </w:tr>
      <w:tr w:rsidR="00980E5F" w14:paraId="392C0B47" w14:textId="77777777">
        <w:tc>
          <w:tcPr>
            <w:tcW w:w="0" w:type="auto"/>
            <w:gridSpan w:val="3"/>
            <w:shd w:val="clear" w:color="auto" w:fill="CCEEFF"/>
            <w:tcMar>
              <w:top w:w="40" w:type="dxa"/>
              <w:left w:w="20" w:type="dxa"/>
              <w:bottom w:w="40" w:type="dxa"/>
              <w:right w:w="20" w:type="dxa"/>
            </w:tcMar>
            <w:vAlign w:val="bottom"/>
          </w:tcPr>
          <w:p w14:paraId="392C0B34" w14:textId="77777777" w:rsidR="00980E5F" w:rsidRDefault="00483613">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392C0B35" w14:textId="77777777" w:rsidR="00980E5F" w:rsidRDefault="00980E5F">
            <w:pPr>
              <w:rPr>
                <w:rFonts w:ascii="宋体"/>
                <w:vanish/>
              </w:rPr>
            </w:pPr>
          </w:p>
        </w:tc>
        <w:tc>
          <w:tcPr>
            <w:tcW w:w="0" w:type="auto"/>
            <w:shd w:val="clear" w:color="auto" w:fill="auto"/>
            <w:vAlign w:val="bottom"/>
          </w:tcPr>
          <w:p w14:paraId="392C0B36" w14:textId="77777777" w:rsidR="00980E5F" w:rsidRDefault="00980E5F">
            <w:pPr>
              <w:rPr>
                <w:rFonts w:ascii="宋体"/>
                <w:vanish/>
              </w:rPr>
            </w:pPr>
          </w:p>
        </w:tc>
        <w:tc>
          <w:tcPr>
            <w:tcW w:w="0" w:type="auto"/>
            <w:shd w:val="clear" w:color="auto" w:fill="auto"/>
            <w:vAlign w:val="bottom"/>
          </w:tcPr>
          <w:p w14:paraId="392C0B37" w14:textId="77777777" w:rsidR="00980E5F" w:rsidRDefault="00980E5F">
            <w:pPr>
              <w:rPr>
                <w:rFonts w:ascii="宋体"/>
                <w:vanish/>
              </w:rPr>
            </w:pPr>
          </w:p>
        </w:tc>
        <w:tc>
          <w:tcPr>
            <w:tcW w:w="0" w:type="auto"/>
            <w:shd w:val="clear" w:color="auto" w:fill="auto"/>
            <w:vAlign w:val="bottom"/>
          </w:tcPr>
          <w:p w14:paraId="392C0B38" w14:textId="77777777" w:rsidR="00980E5F" w:rsidRDefault="00980E5F">
            <w:pPr>
              <w:rPr>
                <w:rFonts w:ascii="宋体"/>
                <w:vanish/>
              </w:rPr>
            </w:pPr>
          </w:p>
        </w:tc>
        <w:tc>
          <w:tcPr>
            <w:tcW w:w="0" w:type="auto"/>
            <w:shd w:val="clear" w:color="auto" w:fill="auto"/>
            <w:vAlign w:val="bottom"/>
          </w:tcPr>
          <w:p w14:paraId="392C0B39" w14:textId="77777777" w:rsidR="00980E5F" w:rsidRDefault="00980E5F">
            <w:pPr>
              <w:rPr>
                <w:rFonts w:ascii="宋体"/>
                <w:vanish/>
              </w:rPr>
            </w:pPr>
          </w:p>
        </w:tc>
        <w:tc>
          <w:tcPr>
            <w:tcW w:w="0" w:type="auto"/>
            <w:shd w:val="clear" w:color="auto" w:fill="auto"/>
            <w:vAlign w:val="bottom"/>
          </w:tcPr>
          <w:p w14:paraId="392C0B3A"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B3B" w14:textId="77777777" w:rsidR="00980E5F" w:rsidRDefault="00483613">
            <w:pPr>
              <w:jc w:val="right"/>
              <w:textAlignment w:val="bottom"/>
            </w:pPr>
            <w:r>
              <w:rPr>
                <w:rFonts w:ascii="Arial" w:eastAsia="宋体" w:hAnsi="Arial" w:cs="Arial"/>
                <w:b/>
                <w:bCs/>
                <w:color w:val="000000"/>
                <w:sz w:val="14"/>
                <w:szCs w:val="14"/>
              </w:rPr>
              <w:t>327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B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B3E" w14:textId="77777777" w:rsidR="00980E5F" w:rsidRDefault="00483613">
            <w:pPr>
              <w:jc w:val="right"/>
              <w:textAlignment w:val="bottom"/>
            </w:pPr>
            <w:r>
              <w:rPr>
                <w:rFonts w:ascii="Arial" w:eastAsia="宋体" w:hAnsi="Arial" w:cs="Arial"/>
                <w:color w:val="000000"/>
                <w:sz w:val="14"/>
                <w:szCs w:val="14"/>
              </w:rPr>
              <w:t>346 </w:t>
            </w:r>
          </w:p>
        </w:tc>
        <w:tc>
          <w:tcPr>
            <w:tcW w:w="0" w:type="auto"/>
            <w:shd w:val="clear" w:color="auto" w:fill="CCEEFF"/>
            <w:tcMar>
              <w:top w:w="40" w:type="dxa"/>
              <w:left w:w="0" w:type="dxa"/>
              <w:bottom w:w="40" w:type="dxa"/>
              <w:right w:w="20" w:type="dxa"/>
            </w:tcMar>
            <w:vAlign w:val="bottom"/>
          </w:tcPr>
          <w:p w14:paraId="392C0B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40" w14:textId="77777777" w:rsidR="00980E5F" w:rsidRDefault="00980E5F">
            <w:pPr>
              <w:rPr>
                <w:rFonts w:ascii="宋体"/>
              </w:rPr>
            </w:pPr>
          </w:p>
        </w:tc>
        <w:tc>
          <w:tcPr>
            <w:tcW w:w="0" w:type="auto"/>
            <w:gridSpan w:val="3"/>
            <w:shd w:val="clear" w:color="auto" w:fill="auto"/>
            <w:vAlign w:val="bottom"/>
          </w:tcPr>
          <w:p w14:paraId="392C0B41" w14:textId="77777777" w:rsidR="00980E5F" w:rsidRDefault="00980E5F">
            <w:pPr>
              <w:rPr>
                <w:rFonts w:ascii="宋体"/>
                <w:vanish/>
              </w:rPr>
            </w:pPr>
          </w:p>
        </w:tc>
        <w:tc>
          <w:tcPr>
            <w:tcW w:w="0" w:type="auto"/>
            <w:gridSpan w:val="3"/>
            <w:shd w:val="clear" w:color="auto" w:fill="auto"/>
            <w:vAlign w:val="bottom"/>
          </w:tcPr>
          <w:p w14:paraId="392C0B4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B43"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92C0B44" w14:textId="77777777" w:rsidR="00980E5F" w:rsidRDefault="00980E5F">
            <w:pPr>
              <w:jc w:val="right"/>
              <w:rPr>
                <w:rFonts w:ascii="宋体"/>
              </w:rPr>
            </w:pPr>
          </w:p>
        </w:tc>
        <w:tc>
          <w:tcPr>
            <w:tcW w:w="0" w:type="auto"/>
            <w:gridSpan w:val="3"/>
            <w:shd w:val="clear" w:color="auto" w:fill="auto"/>
            <w:vAlign w:val="bottom"/>
          </w:tcPr>
          <w:p w14:paraId="392C0B45" w14:textId="77777777" w:rsidR="00980E5F" w:rsidRDefault="00980E5F">
            <w:pPr>
              <w:rPr>
                <w:rFonts w:ascii="宋体"/>
                <w:vanish/>
              </w:rPr>
            </w:pPr>
          </w:p>
        </w:tc>
        <w:tc>
          <w:tcPr>
            <w:tcW w:w="0" w:type="auto"/>
            <w:gridSpan w:val="3"/>
            <w:shd w:val="clear" w:color="auto" w:fill="auto"/>
            <w:vAlign w:val="bottom"/>
          </w:tcPr>
          <w:p w14:paraId="392C0B46" w14:textId="77777777" w:rsidR="00980E5F" w:rsidRDefault="00980E5F">
            <w:pPr>
              <w:rPr>
                <w:rFonts w:ascii="宋体"/>
                <w:vanish/>
              </w:rPr>
            </w:pPr>
          </w:p>
        </w:tc>
      </w:tr>
      <w:tr w:rsidR="00980E5F" w14:paraId="392C0B5D" w14:textId="77777777">
        <w:tc>
          <w:tcPr>
            <w:tcW w:w="0" w:type="auto"/>
            <w:gridSpan w:val="3"/>
            <w:shd w:val="clear" w:color="auto" w:fill="FFFFFF"/>
            <w:tcMar>
              <w:top w:w="40" w:type="dxa"/>
              <w:left w:w="20" w:type="dxa"/>
              <w:bottom w:w="40" w:type="dxa"/>
              <w:right w:w="20" w:type="dxa"/>
            </w:tcMar>
            <w:vAlign w:val="bottom"/>
          </w:tcPr>
          <w:p w14:paraId="392C0B48"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392C0B49" w14:textId="77777777" w:rsidR="00980E5F" w:rsidRDefault="00980E5F">
            <w:pPr>
              <w:rPr>
                <w:rFonts w:ascii="宋体"/>
                <w:vanish/>
              </w:rPr>
            </w:pPr>
          </w:p>
        </w:tc>
        <w:tc>
          <w:tcPr>
            <w:tcW w:w="0" w:type="auto"/>
            <w:shd w:val="clear" w:color="auto" w:fill="auto"/>
            <w:vAlign w:val="bottom"/>
          </w:tcPr>
          <w:p w14:paraId="392C0B4A" w14:textId="77777777" w:rsidR="00980E5F" w:rsidRDefault="00980E5F">
            <w:pPr>
              <w:rPr>
                <w:rFonts w:ascii="宋体"/>
                <w:vanish/>
              </w:rPr>
            </w:pPr>
          </w:p>
        </w:tc>
        <w:tc>
          <w:tcPr>
            <w:tcW w:w="0" w:type="auto"/>
            <w:shd w:val="clear" w:color="auto" w:fill="auto"/>
            <w:vAlign w:val="bottom"/>
          </w:tcPr>
          <w:p w14:paraId="392C0B4B" w14:textId="77777777" w:rsidR="00980E5F" w:rsidRDefault="00980E5F">
            <w:pPr>
              <w:rPr>
                <w:rFonts w:ascii="宋体"/>
                <w:vanish/>
              </w:rPr>
            </w:pPr>
          </w:p>
        </w:tc>
        <w:tc>
          <w:tcPr>
            <w:tcW w:w="0" w:type="auto"/>
            <w:shd w:val="clear" w:color="auto" w:fill="auto"/>
            <w:vAlign w:val="bottom"/>
          </w:tcPr>
          <w:p w14:paraId="392C0B4C" w14:textId="77777777" w:rsidR="00980E5F" w:rsidRDefault="00980E5F">
            <w:pPr>
              <w:rPr>
                <w:rFonts w:ascii="宋体"/>
                <w:vanish/>
              </w:rPr>
            </w:pPr>
          </w:p>
        </w:tc>
        <w:tc>
          <w:tcPr>
            <w:tcW w:w="0" w:type="auto"/>
            <w:shd w:val="clear" w:color="auto" w:fill="auto"/>
            <w:vAlign w:val="bottom"/>
          </w:tcPr>
          <w:p w14:paraId="392C0B4D" w14:textId="77777777" w:rsidR="00980E5F" w:rsidRDefault="00980E5F">
            <w:pPr>
              <w:rPr>
                <w:rFonts w:ascii="宋体"/>
                <w:vanish/>
              </w:rPr>
            </w:pPr>
          </w:p>
        </w:tc>
        <w:tc>
          <w:tcPr>
            <w:tcW w:w="0" w:type="auto"/>
            <w:shd w:val="clear" w:color="auto" w:fill="auto"/>
            <w:vAlign w:val="bottom"/>
          </w:tcPr>
          <w:p w14:paraId="392C0B4E"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B4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B50" w14:textId="77777777" w:rsidR="00980E5F" w:rsidRDefault="00483613">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B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5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B5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B54" w14:textId="77777777" w:rsidR="00980E5F" w:rsidRDefault="00483613">
            <w:pPr>
              <w:jc w:val="right"/>
              <w:textAlignment w:val="bottom"/>
            </w:pPr>
            <w:r>
              <w:rPr>
                <w:rFonts w:ascii="Arial" w:eastAsia="宋体" w:hAnsi="Arial" w:cs="Arial"/>
                <w:color w:val="000000"/>
                <w:sz w:val="14"/>
                <w:szCs w:val="14"/>
              </w:rPr>
              <w:t>183 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B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56" w14:textId="77777777" w:rsidR="00980E5F" w:rsidRDefault="00980E5F">
            <w:pPr>
              <w:rPr>
                <w:rFonts w:ascii="宋体"/>
              </w:rPr>
            </w:pPr>
          </w:p>
        </w:tc>
        <w:tc>
          <w:tcPr>
            <w:tcW w:w="0" w:type="auto"/>
            <w:gridSpan w:val="3"/>
            <w:shd w:val="clear" w:color="auto" w:fill="auto"/>
            <w:vAlign w:val="bottom"/>
          </w:tcPr>
          <w:p w14:paraId="392C0B57" w14:textId="77777777" w:rsidR="00980E5F" w:rsidRDefault="00980E5F">
            <w:pPr>
              <w:rPr>
                <w:rFonts w:ascii="宋体"/>
                <w:vanish/>
              </w:rPr>
            </w:pPr>
          </w:p>
        </w:tc>
        <w:tc>
          <w:tcPr>
            <w:tcW w:w="0" w:type="auto"/>
            <w:gridSpan w:val="3"/>
            <w:shd w:val="clear" w:color="auto" w:fill="auto"/>
            <w:vAlign w:val="bottom"/>
          </w:tcPr>
          <w:p w14:paraId="392C0B5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B59" w14:textId="77777777" w:rsidR="00980E5F" w:rsidRDefault="00483613">
            <w:pPr>
              <w:jc w:val="right"/>
              <w:textAlignment w:val="bottom"/>
            </w:pPr>
            <w:r>
              <w:rPr>
                <w:rFonts w:ascii="Arial" w:eastAsia="宋体" w:hAnsi="Arial" w:cs="Arial"/>
                <w:color w:val="000000"/>
                <w:sz w:val="14"/>
                <w:szCs w:val="14"/>
              </w:rPr>
              <w:t>(17)</w:t>
            </w:r>
          </w:p>
        </w:tc>
        <w:tc>
          <w:tcPr>
            <w:tcW w:w="0" w:type="auto"/>
            <w:shd w:val="clear" w:color="auto" w:fill="FFFFFF"/>
            <w:tcMar>
              <w:top w:w="40" w:type="dxa"/>
              <w:left w:w="0" w:type="dxa"/>
              <w:bottom w:w="40" w:type="dxa"/>
              <w:right w:w="20" w:type="dxa"/>
            </w:tcMar>
            <w:vAlign w:val="bottom"/>
          </w:tcPr>
          <w:p w14:paraId="392C0B5A" w14:textId="77777777" w:rsidR="00980E5F" w:rsidRDefault="00980E5F">
            <w:pPr>
              <w:jc w:val="right"/>
              <w:rPr>
                <w:rFonts w:ascii="宋体"/>
              </w:rPr>
            </w:pPr>
          </w:p>
        </w:tc>
        <w:tc>
          <w:tcPr>
            <w:tcW w:w="0" w:type="auto"/>
            <w:gridSpan w:val="3"/>
            <w:shd w:val="clear" w:color="auto" w:fill="auto"/>
            <w:vAlign w:val="bottom"/>
          </w:tcPr>
          <w:p w14:paraId="392C0B5B" w14:textId="77777777" w:rsidR="00980E5F" w:rsidRDefault="00980E5F">
            <w:pPr>
              <w:rPr>
                <w:rFonts w:ascii="宋体"/>
                <w:vanish/>
              </w:rPr>
            </w:pPr>
          </w:p>
        </w:tc>
        <w:tc>
          <w:tcPr>
            <w:tcW w:w="0" w:type="auto"/>
            <w:gridSpan w:val="3"/>
            <w:shd w:val="clear" w:color="auto" w:fill="auto"/>
            <w:vAlign w:val="bottom"/>
          </w:tcPr>
          <w:p w14:paraId="392C0B5C" w14:textId="77777777" w:rsidR="00980E5F" w:rsidRDefault="00980E5F">
            <w:pPr>
              <w:rPr>
                <w:rFonts w:ascii="宋体"/>
                <w:vanish/>
              </w:rPr>
            </w:pPr>
          </w:p>
        </w:tc>
      </w:tr>
      <w:tr w:rsidR="00980E5F" w14:paraId="392C0B70" w14:textId="77777777">
        <w:tc>
          <w:tcPr>
            <w:tcW w:w="0" w:type="auto"/>
            <w:gridSpan w:val="3"/>
            <w:shd w:val="clear" w:color="auto" w:fill="CCEEFF"/>
            <w:tcMar>
              <w:top w:w="40" w:type="dxa"/>
              <w:left w:w="20" w:type="dxa"/>
              <w:bottom w:w="40" w:type="dxa"/>
              <w:right w:w="20" w:type="dxa"/>
            </w:tcMar>
            <w:vAlign w:val="bottom"/>
          </w:tcPr>
          <w:p w14:paraId="392C0B5E" w14:textId="77777777" w:rsidR="00980E5F" w:rsidRDefault="00483613">
            <w:pPr>
              <w:textAlignment w:val="bottom"/>
            </w:pPr>
            <w:r>
              <w:rPr>
                <w:rFonts w:ascii="Arial" w:eastAsia="宋体" w:hAnsi="Arial" w:cs="Arial"/>
                <w:color w:val="000000"/>
                <w:sz w:val="14"/>
                <w:szCs w:val="14"/>
              </w:rPr>
              <w:t>Pre-tax margin</w:t>
            </w:r>
          </w:p>
        </w:tc>
        <w:tc>
          <w:tcPr>
            <w:tcW w:w="0" w:type="auto"/>
            <w:shd w:val="clear" w:color="auto" w:fill="auto"/>
            <w:vAlign w:val="bottom"/>
          </w:tcPr>
          <w:p w14:paraId="392C0B5F" w14:textId="77777777" w:rsidR="00980E5F" w:rsidRDefault="00980E5F">
            <w:pPr>
              <w:rPr>
                <w:rFonts w:ascii="宋体"/>
                <w:vanish/>
              </w:rPr>
            </w:pPr>
          </w:p>
        </w:tc>
        <w:tc>
          <w:tcPr>
            <w:tcW w:w="0" w:type="auto"/>
            <w:shd w:val="clear" w:color="auto" w:fill="auto"/>
            <w:vAlign w:val="bottom"/>
          </w:tcPr>
          <w:p w14:paraId="392C0B60" w14:textId="77777777" w:rsidR="00980E5F" w:rsidRDefault="00980E5F">
            <w:pPr>
              <w:rPr>
                <w:rFonts w:ascii="宋体"/>
                <w:vanish/>
              </w:rPr>
            </w:pPr>
          </w:p>
        </w:tc>
        <w:tc>
          <w:tcPr>
            <w:tcW w:w="0" w:type="auto"/>
            <w:shd w:val="clear" w:color="auto" w:fill="auto"/>
            <w:vAlign w:val="bottom"/>
          </w:tcPr>
          <w:p w14:paraId="392C0B61" w14:textId="77777777" w:rsidR="00980E5F" w:rsidRDefault="00980E5F">
            <w:pPr>
              <w:rPr>
                <w:rFonts w:ascii="宋体"/>
                <w:vanish/>
              </w:rPr>
            </w:pPr>
          </w:p>
        </w:tc>
        <w:tc>
          <w:tcPr>
            <w:tcW w:w="0" w:type="auto"/>
            <w:shd w:val="clear" w:color="auto" w:fill="auto"/>
            <w:vAlign w:val="bottom"/>
          </w:tcPr>
          <w:p w14:paraId="392C0B62" w14:textId="77777777" w:rsidR="00980E5F" w:rsidRDefault="00980E5F">
            <w:pPr>
              <w:rPr>
                <w:rFonts w:ascii="宋体"/>
                <w:vanish/>
              </w:rPr>
            </w:pPr>
          </w:p>
        </w:tc>
        <w:tc>
          <w:tcPr>
            <w:tcW w:w="0" w:type="auto"/>
            <w:shd w:val="clear" w:color="auto" w:fill="auto"/>
            <w:vAlign w:val="bottom"/>
          </w:tcPr>
          <w:p w14:paraId="392C0B63" w14:textId="77777777" w:rsidR="00980E5F" w:rsidRDefault="00980E5F">
            <w:pPr>
              <w:rPr>
                <w:rFonts w:ascii="宋体"/>
                <w:vanish/>
              </w:rPr>
            </w:pPr>
          </w:p>
        </w:tc>
        <w:tc>
          <w:tcPr>
            <w:tcW w:w="0" w:type="auto"/>
            <w:shd w:val="clear" w:color="auto" w:fill="auto"/>
            <w:vAlign w:val="bottom"/>
          </w:tcPr>
          <w:p w14:paraId="392C0B64" w14:textId="77777777" w:rsidR="00980E5F" w:rsidRDefault="00980E5F">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B65" w14:textId="77777777" w:rsidR="00980E5F" w:rsidRDefault="00483613">
            <w:pPr>
              <w:jc w:val="right"/>
              <w:textAlignment w:val="bottom"/>
            </w:pPr>
            <w:r>
              <w:rPr>
                <w:rFonts w:ascii="Arial" w:eastAsia="宋体" w:hAnsi="Arial" w:cs="Arial"/>
                <w:b/>
                <w:bCs/>
                <w:color w:val="000000"/>
                <w:sz w:val="14"/>
                <w:szCs w:val="14"/>
              </w:rPr>
              <w:t>31.6</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B66"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B67" w14:textId="77777777" w:rsidR="00980E5F" w:rsidRDefault="00980E5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B68" w14:textId="77777777" w:rsidR="00980E5F" w:rsidRDefault="00483613">
            <w:pPr>
              <w:jc w:val="right"/>
              <w:textAlignment w:val="bottom"/>
            </w:pPr>
            <w:r>
              <w:rPr>
                <w:rFonts w:ascii="Arial" w:eastAsia="宋体" w:hAnsi="Arial" w:cs="Arial"/>
                <w:color w:val="000000"/>
                <w:sz w:val="14"/>
                <w:szCs w:val="14"/>
              </w:rPr>
              <w:t>34.6 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B69"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B6A" w14:textId="77777777" w:rsidR="00980E5F" w:rsidRDefault="00980E5F">
            <w:pPr>
              <w:rPr>
                <w:rFonts w:ascii="宋体"/>
              </w:rPr>
            </w:pPr>
          </w:p>
        </w:tc>
        <w:tc>
          <w:tcPr>
            <w:tcW w:w="0" w:type="auto"/>
            <w:gridSpan w:val="3"/>
            <w:shd w:val="clear" w:color="auto" w:fill="auto"/>
            <w:vAlign w:val="bottom"/>
          </w:tcPr>
          <w:p w14:paraId="392C0B6B" w14:textId="77777777" w:rsidR="00980E5F" w:rsidRDefault="00980E5F">
            <w:pPr>
              <w:rPr>
                <w:rFonts w:ascii="宋体"/>
                <w:vanish/>
              </w:rPr>
            </w:pPr>
          </w:p>
        </w:tc>
        <w:tc>
          <w:tcPr>
            <w:tcW w:w="0" w:type="auto"/>
            <w:gridSpan w:val="3"/>
            <w:shd w:val="clear" w:color="auto" w:fill="auto"/>
            <w:vAlign w:val="bottom"/>
          </w:tcPr>
          <w:p w14:paraId="392C0B6C" w14:textId="77777777" w:rsidR="00980E5F" w:rsidRDefault="00980E5F">
            <w:pPr>
              <w:rPr>
                <w:rFonts w:ascii="宋体"/>
                <w:vanish/>
              </w:rPr>
            </w:pPr>
          </w:p>
        </w:tc>
        <w:tc>
          <w:tcPr>
            <w:tcW w:w="0" w:type="auto"/>
            <w:gridSpan w:val="3"/>
            <w:shd w:val="clear" w:color="auto" w:fill="CCEEFF"/>
            <w:tcMar>
              <w:top w:w="40" w:type="dxa"/>
              <w:left w:w="20" w:type="dxa"/>
              <w:bottom w:w="40" w:type="dxa"/>
              <w:right w:w="20" w:type="dxa"/>
            </w:tcMar>
            <w:vAlign w:val="bottom"/>
          </w:tcPr>
          <w:p w14:paraId="392C0B6D" w14:textId="77777777" w:rsidR="00980E5F" w:rsidRDefault="00483613">
            <w:pPr>
              <w:jc w:val="right"/>
              <w:textAlignment w:val="bottom"/>
            </w:pPr>
            <w:r>
              <w:rPr>
                <w:rFonts w:ascii="Arial" w:eastAsia="宋体" w:hAnsi="Arial" w:cs="Arial"/>
                <w:color w:val="000000"/>
                <w:sz w:val="14"/>
                <w:szCs w:val="14"/>
              </w:rPr>
              <w:t>(300) bps</w:t>
            </w:r>
          </w:p>
        </w:tc>
        <w:tc>
          <w:tcPr>
            <w:tcW w:w="0" w:type="auto"/>
            <w:gridSpan w:val="3"/>
            <w:shd w:val="clear" w:color="auto" w:fill="auto"/>
            <w:vAlign w:val="bottom"/>
          </w:tcPr>
          <w:p w14:paraId="392C0B6E" w14:textId="77777777" w:rsidR="00980E5F" w:rsidRDefault="00980E5F">
            <w:pPr>
              <w:rPr>
                <w:rFonts w:ascii="宋体"/>
                <w:vanish/>
              </w:rPr>
            </w:pPr>
          </w:p>
        </w:tc>
        <w:tc>
          <w:tcPr>
            <w:tcW w:w="0" w:type="auto"/>
            <w:gridSpan w:val="3"/>
            <w:shd w:val="clear" w:color="auto" w:fill="auto"/>
            <w:vAlign w:val="bottom"/>
          </w:tcPr>
          <w:p w14:paraId="392C0B6F" w14:textId="77777777" w:rsidR="00980E5F" w:rsidRDefault="00980E5F">
            <w:pPr>
              <w:rPr>
                <w:rFonts w:ascii="宋体"/>
                <w:vanish/>
              </w:rPr>
            </w:pPr>
          </w:p>
        </w:tc>
      </w:tr>
      <w:tr w:rsidR="00980E5F" w14:paraId="392C0B81" w14:textId="77777777">
        <w:trPr>
          <w:hidden/>
        </w:trPr>
        <w:tc>
          <w:tcPr>
            <w:tcW w:w="0" w:type="auto"/>
            <w:gridSpan w:val="3"/>
            <w:shd w:val="clear" w:color="auto" w:fill="auto"/>
            <w:vAlign w:val="bottom"/>
          </w:tcPr>
          <w:p w14:paraId="392C0B71" w14:textId="77777777" w:rsidR="00980E5F" w:rsidRDefault="00980E5F">
            <w:pPr>
              <w:rPr>
                <w:rFonts w:ascii="宋体"/>
                <w:vanish/>
              </w:rPr>
            </w:pPr>
          </w:p>
        </w:tc>
        <w:tc>
          <w:tcPr>
            <w:tcW w:w="0" w:type="auto"/>
            <w:shd w:val="clear" w:color="auto" w:fill="auto"/>
            <w:vAlign w:val="bottom"/>
          </w:tcPr>
          <w:p w14:paraId="392C0B72" w14:textId="77777777" w:rsidR="00980E5F" w:rsidRDefault="00980E5F">
            <w:pPr>
              <w:rPr>
                <w:rFonts w:ascii="宋体"/>
                <w:vanish/>
              </w:rPr>
            </w:pPr>
          </w:p>
        </w:tc>
        <w:tc>
          <w:tcPr>
            <w:tcW w:w="0" w:type="auto"/>
            <w:shd w:val="clear" w:color="auto" w:fill="auto"/>
            <w:vAlign w:val="bottom"/>
          </w:tcPr>
          <w:p w14:paraId="392C0B73" w14:textId="77777777" w:rsidR="00980E5F" w:rsidRDefault="00980E5F">
            <w:pPr>
              <w:rPr>
                <w:rFonts w:ascii="宋体"/>
                <w:vanish/>
              </w:rPr>
            </w:pPr>
          </w:p>
        </w:tc>
        <w:tc>
          <w:tcPr>
            <w:tcW w:w="0" w:type="auto"/>
            <w:shd w:val="clear" w:color="auto" w:fill="auto"/>
            <w:vAlign w:val="bottom"/>
          </w:tcPr>
          <w:p w14:paraId="392C0B74" w14:textId="77777777" w:rsidR="00980E5F" w:rsidRDefault="00980E5F">
            <w:pPr>
              <w:rPr>
                <w:rFonts w:ascii="宋体"/>
                <w:vanish/>
              </w:rPr>
            </w:pPr>
          </w:p>
        </w:tc>
        <w:tc>
          <w:tcPr>
            <w:tcW w:w="0" w:type="auto"/>
            <w:shd w:val="clear" w:color="auto" w:fill="auto"/>
            <w:vAlign w:val="bottom"/>
          </w:tcPr>
          <w:p w14:paraId="392C0B75" w14:textId="77777777" w:rsidR="00980E5F" w:rsidRDefault="00980E5F">
            <w:pPr>
              <w:rPr>
                <w:rFonts w:ascii="宋体"/>
                <w:vanish/>
              </w:rPr>
            </w:pPr>
          </w:p>
        </w:tc>
        <w:tc>
          <w:tcPr>
            <w:tcW w:w="0" w:type="auto"/>
            <w:shd w:val="clear" w:color="auto" w:fill="auto"/>
            <w:vAlign w:val="bottom"/>
          </w:tcPr>
          <w:p w14:paraId="392C0B76" w14:textId="77777777" w:rsidR="00980E5F" w:rsidRDefault="00980E5F">
            <w:pPr>
              <w:rPr>
                <w:rFonts w:ascii="宋体"/>
                <w:vanish/>
              </w:rPr>
            </w:pPr>
          </w:p>
        </w:tc>
        <w:tc>
          <w:tcPr>
            <w:tcW w:w="0" w:type="auto"/>
            <w:shd w:val="clear" w:color="auto" w:fill="auto"/>
            <w:vAlign w:val="bottom"/>
          </w:tcPr>
          <w:p w14:paraId="392C0B77" w14:textId="77777777" w:rsidR="00980E5F" w:rsidRDefault="00980E5F">
            <w:pPr>
              <w:rPr>
                <w:rFonts w:ascii="宋体"/>
                <w:vanish/>
              </w:rPr>
            </w:pPr>
          </w:p>
        </w:tc>
        <w:tc>
          <w:tcPr>
            <w:tcW w:w="0" w:type="auto"/>
            <w:gridSpan w:val="3"/>
            <w:shd w:val="clear" w:color="auto" w:fill="auto"/>
            <w:vAlign w:val="bottom"/>
          </w:tcPr>
          <w:p w14:paraId="392C0B78" w14:textId="77777777" w:rsidR="00980E5F" w:rsidRDefault="00980E5F">
            <w:pPr>
              <w:rPr>
                <w:rFonts w:ascii="宋体"/>
                <w:vanish/>
              </w:rPr>
            </w:pPr>
          </w:p>
        </w:tc>
        <w:tc>
          <w:tcPr>
            <w:tcW w:w="0" w:type="auto"/>
            <w:gridSpan w:val="3"/>
            <w:shd w:val="clear" w:color="auto" w:fill="auto"/>
            <w:vAlign w:val="bottom"/>
          </w:tcPr>
          <w:p w14:paraId="392C0B79" w14:textId="77777777" w:rsidR="00980E5F" w:rsidRDefault="00980E5F">
            <w:pPr>
              <w:rPr>
                <w:rFonts w:ascii="宋体"/>
                <w:vanish/>
              </w:rPr>
            </w:pPr>
          </w:p>
        </w:tc>
        <w:tc>
          <w:tcPr>
            <w:tcW w:w="0" w:type="auto"/>
            <w:gridSpan w:val="3"/>
            <w:shd w:val="clear" w:color="auto" w:fill="auto"/>
            <w:vAlign w:val="bottom"/>
          </w:tcPr>
          <w:p w14:paraId="392C0B7A" w14:textId="77777777" w:rsidR="00980E5F" w:rsidRDefault="00980E5F">
            <w:pPr>
              <w:rPr>
                <w:rFonts w:ascii="宋体"/>
                <w:vanish/>
              </w:rPr>
            </w:pPr>
          </w:p>
        </w:tc>
        <w:tc>
          <w:tcPr>
            <w:tcW w:w="0" w:type="auto"/>
            <w:gridSpan w:val="3"/>
            <w:shd w:val="clear" w:color="auto" w:fill="auto"/>
            <w:vAlign w:val="bottom"/>
          </w:tcPr>
          <w:p w14:paraId="392C0B7B" w14:textId="77777777" w:rsidR="00980E5F" w:rsidRDefault="00980E5F">
            <w:pPr>
              <w:rPr>
                <w:rFonts w:ascii="宋体"/>
                <w:vanish/>
              </w:rPr>
            </w:pPr>
          </w:p>
        </w:tc>
        <w:tc>
          <w:tcPr>
            <w:tcW w:w="0" w:type="auto"/>
            <w:gridSpan w:val="3"/>
            <w:shd w:val="clear" w:color="auto" w:fill="auto"/>
            <w:vAlign w:val="bottom"/>
          </w:tcPr>
          <w:p w14:paraId="392C0B7C" w14:textId="77777777" w:rsidR="00980E5F" w:rsidRDefault="00980E5F">
            <w:pPr>
              <w:rPr>
                <w:rFonts w:ascii="宋体"/>
                <w:vanish/>
              </w:rPr>
            </w:pPr>
          </w:p>
        </w:tc>
        <w:tc>
          <w:tcPr>
            <w:tcW w:w="0" w:type="auto"/>
            <w:gridSpan w:val="3"/>
            <w:shd w:val="clear" w:color="auto" w:fill="auto"/>
            <w:vAlign w:val="bottom"/>
          </w:tcPr>
          <w:p w14:paraId="392C0B7D" w14:textId="77777777" w:rsidR="00980E5F" w:rsidRDefault="00980E5F">
            <w:pPr>
              <w:rPr>
                <w:rFonts w:ascii="宋体"/>
                <w:vanish/>
              </w:rPr>
            </w:pPr>
          </w:p>
        </w:tc>
        <w:tc>
          <w:tcPr>
            <w:tcW w:w="0" w:type="auto"/>
            <w:gridSpan w:val="3"/>
            <w:shd w:val="clear" w:color="auto" w:fill="auto"/>
            <w:vAlign w:val="bottom"/>
          </w:tcPr>
          <w:p w14:paraId="392C0B7E" w14:textId="77777777" w:rsidR="00980E5F" w:rsidRDefault="00980E5F">
            <w:pPr>
              <w:rPr>
                <w:rFonts w:ascii="宋体"/>
                <w:vanish/>
              </w:rPr>
            </w:pPr>
          </w:p>
        </w:tc>
        <w:tc>
          <w:tcPr>
            <w:tcW w:w="0" w:type="auto"/>
            <w:gridSpan w:val="3"/>
            <w:shd w:val="clear" w:color="auto" w:fill="auto"/>
            <w:vAlign w:val="bottom"/>
          </w:tcPr>
          <w:p w14:paraId="392C0B7F" w14:textId="77777777" w:rsidR="00980E5F" w:rsidRDefault="00980E5F">
            <w:pPr>
              <w:rPr>
                <w:rFonts w:ascii="宋体"/>
                <w:vanish/>
              </w:rPr>
            </w:pPr>
          </w:p>
        </w:tc>
        <w:tc>
          <w:tcPr>
            <w:tcW w:w="0" w:type="auto"/>
            <w:gridSpan w:val="3"/>
            <w:shd w:val="clear" w:color="auto" w:fill="auto"/>
            <w:vAlign w:val="bottom"/>
          </w:tcPr>
          <w:p w14:paraId="392C0B80" w14:textId="77777777" w:rsidR="00980E5F" w:rsidRDefault="00980E5F">
            <w:pPr>
              <w:rPr>
                <w:rFonts w:ascii="宋体"/>
                <w:vanish/>
              </w:rPr>
            </w:pPr>
          </w:p>
        </w:tc>
      </w:tr>
      <w:tr w:rsidR="00980E5F" w14:paraId="392C0B94" w14:textId="77777777">
        <w:trPr>
          <w:trHeight w:val="180"/>
        </w:trPr>
        <w:tc>
          <w:tcPr>
            <w:tcW w:w="0" w:type="auto"/>
            <w:gridSpan w:val="3"/>
            <w:shd w:val="clear" w:color="auto" w:fill="auto"/>
            <w:tcMar>
              <w:top w:w="0" w:type="dxa"/>
              <w:left w:w="20" w:type="dxa"/>
              <w:bottom w:w="0" w:type="dxa"/>
              <w:right w:w="20" w:type="dxa"/>
            </w:tcMar>
            <w:vAlign w:val="bottom"/>
          </w:tcPr>
          <w:p w14:paraId="392C0B82" w14:textId="77777777" w:rsidR="00980E5F" w:rsidRDefault="00980E5F">
            <w:pPr>
              <w:rPr>
                <w:rFonts w:ascii="宋体"/>
              </w:rPr>
            </w:pPr>
          </w:p>
        </w:tc>
        <w:tc>
          <w:tcPr>
            <w:tcW w:w="0" w:type="auto"/>
            <w:shd w:val="clear" w:color="auto" w:fill="auto"/>
            <w:vAlign w:val="bottom"/>
          </w:tcPr>
          <w:p w14:paraId="392C0B83" w14:textId="77777777" w:rsidR="00980E5F" w:rsidRDefault="00980E5F">
            <w:pPr>
              <w:rPr>
                <w:rFonts w:ascii="宋体"/>
                <w:vanish/>
              </w:rPr>
            </w:pPr>
          </w:p>
        </w:tc>
        <w:tc>
          <w:tcPr>
            <w:tcW w:w="0" w:type="auto"/>
            <w:shd w:val="clear" w:color="auto" w:fill="auto"/>
            <w:vAlign w:val="bottom"/>
          </w:tcPr>
          <w:p w14:paraId="392C0B84" w14:textId="77777777" w:rsidR="00980E5F" w:rsidRDefault="00980E5F">
            <w:pPr>
              <w:rPr>
                <w:rFonts w:ascii="宋体"/>
                <w:vanish/>
              </w:rPr>
            </w:pPr>
          </w:p>
        </w:tc>
        <w:tc>
          <w:tcPr>
            <w:tcW w:w="0" w:type="auto"/>
            <w:shd w:val="clear" w:color="auto" w:fill="auto"/>
            <w:vAlign w:val="bottom"/>
          </w:tcPr>
          <w:p w14:paraId="392C0B85" w14:textId="77777777" w:rsidR="00980E5F" w:rsidRDefault="00980E5F">
            <w:pPr>
              <w:rPr>
                <w:rFonts w:ascii="宋体"/>
                <w:vanish/>
              </w:rPr>
            </w:pPr>
          </w:p>
        </w:tc>
        <w:tc>
          <w:tcPr>
            <w:tcW w:w="0" w:type="auto"/>
            <w:shd w:val="clear" w:color="auto" w:fill="auto"/>
            <w:vAlign w:val="bottom"/>
          </w:tcPr>
          <w:p w14:paraId="392C0B86" w14:textId="77777777" w:rsidR="00980E5F" w:rsidRDefault="00980E5F">
            <w:pPr>
              <w:rPr>
                <w:rFonts w:ascii="宋体"/>
                <w:vanish/>
              </w:rPr>
            </w:pPr>
          </w:p>
        </w:tc>
        <w:tc>
          <w:tcPr>
            <w:tcW w:w="0" w:type="auto"/>
            <w:gridSpan w:val="5"/>
            <w:shd w:val="clear" w:color="auto" w:fill="auto"/>
            <w:tcMar>
              <w:top w:w="0" w:type="dxa"/>
              <w:left w:w="20" w:type="dxa"/>
              <w:bottom w:w="0" w:type="dxa"/>
              <w:right w:w="20" w:type="dxa"/>
            </w:tcMar>
            <w:vAlign w:val="bottom"/>
          </w:tcPr>
          <w:p w14:paraId="392C0B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B88" w14:textId="77777777" w:rsidR="00980E5F" w:rsidRDefault="00980E5F">
            <w:pPr>
              <w:rPr>
                <w:rFonts w:ascii="宋体"/>
              </w:rPr>
            </w:pPr>
          </w:p>
        </w:tc>
        <w:tc>
          <w:tcPr>
            <w:tcW w:w="0" w:type="auto"/>
            <w:gridSpan w:val="3"/>
            <w:shd w:val="clear" w:color="auto" w:fill="auto"/>
            <w:vAlign w:val="bottom"/>
          </w:tcPr>
          <w:p w14:paraId="392C0B89" w14:textId="77777777" w:rsidR="00980E5F" w:rsidRDefault="00980E5F">
            <w:pPr>
              <w:rPr>
                <w:rFonts w:ascii="宋体"/>
                <w:vanish/>
              </w:rPr>
            </w:pPr>
          </w:p>
        </w:tc>
        <w:tc>
          <w:tcPr>
            <w:tcW w:w="0" w:type="auto"/>
            <w:gridSpan w:val="3"/>
            <w:shd w:val="clear" w:color="auto" w:fill="auto"/>
            <w:vAlign w:val="bottom"/>
          </w:tcPr>
          <w:p w14:paraId="392C0B8A"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B8B" w14:textId="77777777" w:rsidR="00980E5F" w:rsidRDefault="00980E5F">
            <w:pPr>
              <w:rPr>
                <w:rFonts w:ascii="宋体"/>
              </w:rPr>
            </w:pPr>
          </w:p>
        </w:tc>
        <w:tc>
          <w:tcPr>
            <w:tcW w:w="0" w:type="auto"/>
            <w:gridSpan w:val="3"/>
            <w:shd w:val="clear" w:color="auto" w:fill="auto"/>
            <w:vAlign w:val="bottom"/>
          </w:tcPr>
          <w:p w14:paraId="392C0B8C" w14:textId="77777777" w:rsidR="00980E5F" w:rsidRDefault="00980E5F">
            <w:pPr>
              <w:rPr>
                <w:rFonts w:ascii="宋体"/>
                <w:vanish/>
              </w:rPr>
            </w:pPr>
          </w:p>
        </w:tc>
        <w:tc>
          <w:tcPr>
            <w:tcW w:w="0" w:type="auto"/>
            <w:gridSpan w:val="3"/>
            <w:shd w:val="clear" w:color="auto" w:fill="auto"/>
            <w:vAlign w:val="bottom"/>
          </w:tcPr>
          <w:p w14:paraId="392C0B8D" w14:textId="77777777" w:rsidR="00980E5F" w:rsidRDefault="00980E5F">
            <w:pPr>
              <w:rPr>
                <w:rFonts w:ascii="宋体"/>
                <w:vanish/>
              </w:rPr>
            </w:pPr>
          </w:p>
        </w:tc>
        <w:tc>
          <w:tcPr>
            <w:tcW w:w="0" w:type="auto"/>
            <w:shd w:val="clear" w:color="auto" w:fill="auto"/>
            <w:vAlign w:val="bottom"/>
          </w:tcPr>
          <w:p w14:paraId="392C0B8E" w14:textId="77777777" w:rsidR="00980E5F" w:rsidRDefault="00980E5F">
            <w:pPr>
              <w:rPr>
                <w:rFonts w:ascii="宋体"/>
              </w:rPr>
            </w:pPr>
          </w:p>
        </w:tc>
        <w:tc>
          <w:tcPr>
            <w:tcW w:w="0" w:type="auto"/>
            <w:shd w:val="clear" w:color="auto" w:fill="auto"/>
            <w:vAlign w:val="bottom"/>
          </w:tcPr>
          <w:p w14:paraId="392C0B8F" w14:textId="77777777" w:rsidR="00980E5F" w:rsidRDefault="00980E5F">
            <w:pPr>
              <w:rPr>
                <w:rFonts w:ascii="宋体"/>
              </w:rPr>
            </w:pPr>
          </w:p>
        </w:tc>
        <w:tc>
          <w:tcPr>
            <w:tcW w:w="0" w:type="auto"/>
            <w:shd w:val="clear" w:color="auto" w:fill="auto"/>
            <w:vAlign w:val="bottom"/>
          </w:tcPr>
          <w:p w14:paraId="392C0B90" w14:textId="77777777" w:rsidR="00980E5F" w:rsidRDefault="00980E5F">
            <w:pPr>
              <w:rPr>
                <w:rFonts w:ascii="宋体"/>
              </w:rPr>
            </w:pPr>
          </w:p>
        </w:tc>
        <w:tc>
          <w:tcPr>
            <w:tcW w:w="0" w:type="auto"/>
            <w:shd w:val="clear" w:color="auto" w:fill="auto"/>
            <w:vAlign w:val="bottom"/>
          </w:tcPr>
          <w:p w14:paraId="392C0B91" w14:textId="77777777" w:rsidR="00980E5F" w:rsidRDefault="00980E5F">
            <w:pPr>
              <w:rPr>
                <w:rFonts w:ascii="宋体"/>
              </w:rPr>
            </w:pPr>
          </w:p>
        </w:tc>
        <w:tc>
          <w:tcPr>
            <w:tcW w:w="0" w:type="auto"/>
            <w:shd w:val="clear" w:color="auto" w:fill="auto"/>
            <w:vAlign w:val="bottom"/>
          </w:tcPr>
          <w:p w14:paraId="392C0B92" w14:textId="77777777" w:rsidR="00980E5F" w:rsidRDefault="00980E5F">
            <w:pPr>
              <w:rPr>
                <w:rFonts w:ascii="宋体"/>
              </w:rPr>
            </w:pPr>
          </w:p>
        </w:tc>
        <w:tc>
          <w:tcPr>
            <w:tcW w:w="0" w:type="auto"/>
            <w:shd w:val="clear" w:color="auto" w:fill="auto"/>
            <w:vAlign w:val="bottom"/>
          </w:tcPr>
          <w:p w14:paraId="392C0B93" w14:textId="77777777" w:rsidR="00980E5F" w:rsidRDefault="00980E5F">
            <w:pPr>
              <w:rPr>
                <w:rFonts w:ascii="宋体"/>
              </w:rPr>
            </w:pPr>
          </w:p>
        </w:tc>
      </w:tr>
      <w:tr w:rsidR="00980E5F" w14:paraId="392C0BA5" w14:textId="77777777">
        <w:trPr>
          <w:trHeight w:val="60"/>
        </w:trPr>
        <w:tc>
          <w:tcPr>
            <w:tcW w:w="0" w:type="auto"/>
            <w:gridSpan w:val="3"/>
            <w:shd w:val="clear" w:color="auto" w:fill="auto"/>
            <w:tcMar>
              <w:top w:w="0" w:type="dxa"/>
              <w:left w:w="20" w:type="dxa"/>
              <w:bottom w:w="0" w:type="dxa"/>
              <w:right w:w="20" w:type="dxa"/>
            </w:tcMar>
            <w:vAlign w:val="bottom"/>
          </w:tcPr>
          <w:p w14:paraId="392C0B95" w14:textId="77777777" w:rsidR="00980E5F" w:rsidRDefault="00980E5F">
            <w:pPr>
              <w:rPr>
                <w:rFonts w:ascii="宋体"/>
              </w:rPr>
            </w:pPr>
          </w:p>
        </w:tc>
        <w:tc>
          <w:tcPr>
            <w:tcW w:w="0" w:type="auto"/>
            <w:shd w:val="clear" w:color="auto" w:fill="auto"/>
            <w:vAlign w:val="bottom"/>
          </w:tcPr>
          <w:p w14:paraId="392C0B96" w14:textId="77777777" w:rsidR="00980E5F" w:rsidRDefault="00980E5F">
            <w:pPr>
              <w:rPr>
                <w:rFonts w:ascii="宋体"/>
                <w:vanish/>
              </w:rPr>
            </w:pPr>
          </w:p>
        </w:tc>
        <w:tc>
          <w:tcPr>
            <w:tcW w:w="0" w:type="auto"/>
            <w:shd w:val="clear" w:color="auto" w:fill="auto"/>
            <w:vAlign w:val="bottom"/>
          </w:tcPr>
          <w:p w14:paraId="392C0B97" w14:textId="77777777" w:rsidR="00980E5F" w:rsidRDefault="00980E5F">
            <w:pPr>
              <w:rPr>
                <w:rFonts w:ascii="宋体"/>
                <w:vanish/>
              </w:rPr>
            </w:pPr>
          </w:p>
        </w:tc>
        <w:tc>
          <w:tcPr>
            <w:tcW w:w="0" w:type="auto"/>
            <w:shd w:val="clear" w:color="auto" w:fill="auto"/>
            <w:vAlign w:val="bottom"/>
          </w:tcPr>
          <w:p w14:paraId="392C0B98" w14:textId="77777777" w:rsidR="00980E5F" w:rsidRDefault="00980E5F">
            <w:pPr>
              <w:rPr>
                <w:rFonts w:ascii="宋体"/>
                <w:vanish/>
              </w:rPr>
            </w:pPr>
          </w:p>
        </w:tc>
        <w:tc>
          <w:tcPr>
            <w:tcW w:w="0" w:type="auto"/>
            <w:shd w:val="clear" w:color="auto" w:fill="auto"/>
            <w:vAlign w:val="bottom"/>
          </w:tcPr>
          <w:p w14:paraId="392C0B99" w14:textId="77777777" w:rsidR="00980E5F" w:rsidRDefault="00980E5F">
            <w:pPr>
              <w:rPr>
                <w:rFonts w:ascii="宋体"/>
                <w:vanish/>
              </w:rPr>
            </w:pPr>
          </w:p>
        </w:tc>
        <w:tc>
          <w:tcPr>
            <w:tcW w:w="0" w:type="auto"/>
            <w:shd w:val="clear" w:color="auto" w:fill="auto"/>
            <w:vAlign w:val="bottom"/>
          </w:tcPr>
          <w:p w14:paraId="392C0B9A" w14:textId="77777777" w:rsidR="00980E5F" w:rsidRDefault="00980E5F">
            <w:pPr>
              <w:rPr>
                <w:rFonts w:ascii="宋体"/>
                <w:vanish/>
              </w:rPr>
            </w:pPr>
          </w:p>
        </w:tc>
        <w:tc>
          <w:tcPr>
            <w:tcW w:w="0" w:type="auto"/>
            <w:shd w:val="clear" w:color="auto" w:fill="auto"/>
            <w:vAlign w:val="bottom"/>
          </w:tcPr>
          <w:p w14:paraId="392C0B9B"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B9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B9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B9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B9F" w14:textId="77777777" w:rsidR="00980E5F" w:rsidRDefault="00980E5F">
            <w:pPr>
              <w:rPr>
                <w:rFonts w:ascii="宋体"/>
              </w:rPr>
            </w:pPr>
          </w:p>
        </w:tc>
        <w:tc>
          <w:tcPr>
            <w:tcW w:w="0" w:type="auto"/>
            <w:gridSpan w:val="3"/>
            <w:shd w:val="clear" w:color="auto" w:fill="auto"/>
            <w:vAlign w:val="bottom"/>
          </w:tcPr>
          <w:p w14:paraId="392C0BA0" w14:textId="77777777" w:rsidR="00980E5F" w:rsidRDefault="00980E5F">
            <w:pPr>
              <w:rPr>
                <w:rFonts w:ascii="宋体"/>
                <w:vanish/>
              </w:rPr>
            </w:pPr>
          </w:p>
        </w:tc>
        <w:tc>
          <w:tcPr>
            <w:tcW w:w="0" w:type="auto"/>
            <w:gridSpan w:val="3"/>
            <w:shd w:val="clear" w:color="auto" w:fill="auto"/>
            <w:vAlign w:val="bottom"/>
          </w:tcPr>
          <w:p w14:paraId="392C0BA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0BA2" w14:textId="77777777" w:rsidR="00980E5F" w:rsidRDefault="00980E5F">
            <w:pPr>
              <w:rPr>
                <w:rFonts w:ascii="宋体"/>
              </w:rPr>
            </w:pPr>
          </w:p>
        </w:tc>
        <w:tc>
          <w:tcPr>
            <w:tcW w:w="0" w:type="auto"/>
            <w:gridSpan w:val="3"/>
            <w:shd w:val="clear" w:color="auto" w:fill="auto"/>
            <w:vAlign w:val="bottom"/>
          </w:tcPr>
          <w:p w14:paraId="392C0BA3" w14:textId="77777777" w:rsidR="00980E5F" w:rsidRDefault="00980E5F">
            <w:pPr>
              <w:rPr>
                <w:rFonts w:ascii="宋体"/>
                <w:vanish/>
              </w:rPr>
            </w:pPr>
          </w:p>
        </w:tc>
        <w:tc>
          <w:tcPr>
            <w:tcW w:w="0" w:type="auto"/>
            <w:gridSpan w:val="3"/>
            <w:shd w:val="clear" w:color="auto" w:fill="auto"/>
            <w:vAlign w:val="bottom"/>
          </w:tcPr>
          <w:p w14:paraId="392C0BA4" w14:textId="77777777" w:rsidR="00980E5F" w:rsidRDefault="00980E5F">
            <w:pPr>
              <w:rPr>
                <w:rFonts w:ascii="宋体"/>
                <w:vanish/>
              </w:rPr>
            </w:pPr>
          </w:p>
        </w:tc>
      </w:tr>
      <w:tr w:rsidR="00980E5F" w14:paraId="392C0BB8" w14:textId="77777777">
        <w:trPr>
          <w:trHeight w:val="360"/>
        </w:trPr>
        <w:tc>
          <w:tcPr>
            <w:tcW w:w="0" w:type="auto"/>
            <w:gridSpan w:val="3"/>
            <w:vMerge w:val="restart"/>
            <w:shd w:val="clear" w:color="auto" w:fill="auto"/>
            <w:tcMar>
              <w:top w:w="40" w:type="dxa"/>
              <w:left w:w="20" w:type="dxa"/>
              <w:bottom w:w="40" w:type="dxa"/>
              <w:right w:w="20" w:type="dxa"/>
            </w:tcMar>
            <w:vAlign w:val="bottom"/>
          </w:tcPr>
          <w:p w14:paraId="392C0BA6" w14:textId="77777777" w:rsidR="00980E5F" w:rsidRDefault="00483613">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392C0BA7" w14:textId="77777777" w:rsidR="00980E5F" w:rsidRDefault="00980E5F">
            <w:pPr>
              <w:rPr>
                <w:rFonts w:ascii="宋体"/>
                <w:vanish/>
              </w:rPr>
            </w:pPr>
          </w:p>
        </w:tc>
        <w:tc>
          <w:tcPr>
            <w:tcW w:w="0" w:type="auto"/>
            <w:shd w:val="clear" w:color="auto" w:fill="auto"/>
            <w:vAlign w:val="bottom"/>
          </w:tcPr>
          <w:p w14:paraId="392C0BA8" w14:textId="77777777" w:rsidR="00980E5F" w:rsidRDefault="00980E5F">
            <w:pPr>
              <w:rPr>
                <w:rFonts w:ascii="宋体"/>
                <w:vanish/>
              </w:rPr>
            </w:pPr>
          </w:p>
        </w:tc>
        <w:tc>
          <w:tcPr>
            <w:tcW w:w="0" w:type="auto"/>
            <w:shd w:val="clear" w:color="auto" w:fill="auto"/>
            <w:vAlign w:val="bottom"/>
          </w:tcPr>
          <w:p w14:paraId="392C0BA9" w14:textId="77777777" w:rsidR="00980E5F" w:rsidRDefault="00980E5F">
            <w:pPr>
              <w:rPr>
                <w:rFonts w:ascii="宋体"/>
                <w:vanish/>
              </w:rPr>
            </w:pPr>
          </w:p>
        </w:tc>
        <w:tc>
          <w:tcPr>
            <w:tcW w:w="0" w:type="auto"/>
            <w:shd w:val="clear" w:color="auto" w:fill="auto"/>
            <w:vAlign w:val="bottom"/>
          </w:tcPr>
          <w:p w14:paraId="392C0BAA" w14:textId="77777777" w:rsidR="00980E5F" w:rsidRDefault="00980E5F">
            <w:pPr>
              <w:rPr>
                <w:rFonts w:ascii="宋体"/>
                <w:vanish/>
              </w:rPr>
            </w:pPr>
          </w:p>
        </w:tc>
        <w:tc>
          <w:tcPr>
            <w:tcW w:w="0" w:type="auto"/>
            <w:gridSpan w:val="5"/>
            <w:shd w:val="clear" w:color="auto" w:fill="auto"/>
            <w:tcMar>
              <w:top w:w="40" w:type="dxa"/>
              <w:left w:w="20" w:type="dxa"/>
              <w:bottom w:w="40" w:type="dxa"/>
              <w:right w:w="20" w:type="dxa"/>
            </w:tcMar>
            <w:vAlign w:val="bottom"/>
          </w:tcPr>
          <w:p w14:paraId="392C0BAB"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392C0BAC" w14:textId="77777777" w:rsidR="00980E5F" w:rsidRDefault="00980E5F">
            <w:pPr>
              <w:rPr>
                <w:rFonts w:ascii="宋体"/>
              </w:rPr>
            </w:pPr>
          </w:p>
        </w:tc>
        <w:tc>
          <w:tcPr>
            <w:tcW w:w="0" w:type="auto"/>
            <w:gridSpan w:val="3"/>
            <w:shd w:val="clear" w:color="auto" w:fill="auto"/>
            <w:vAlign w:val="bottom"/>
          </w:tcPr>
          <w:p w14:paraId="392C0BAD" w14:textId="77777777" w:rsidR="00980E5F" w:rsidRDefault="00980E5F">
            <w:pPr>
              <w:rPr>
                <w:rFonts w:ascii="宋体"/>
                <w:vanish/>
              </w:rPr>
            </w:pPr>
          </w:p>
        </w:tc>
        <w:tc>
          <w:tcPr>
            <w:tcW w:w="0" w:type="auto"/>
            <w:gridSpan w:val="3"/>
            <w:shd w:val="clear" w:color="auto" w:fill="auto"/>
            <w:vAlign w:val="bottom"/>
          </w:tcPr>
          <w:p w14:paraId="392C0BAE" w14:textId="77777777" w:rsidR="00980E5F" w:rsidRDefault="00980E5F">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392C0BAF" w14:textId="77777777" w:rsidR="00980E5F" w:rsidRDefault="00483613">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392C0BB0" w14:textId="77777777" w:rsidR="00980E5F" w:rsidRDefault="00980E5F">
            <w:pPr>
              <w:rPr>
                <w:rFonts w:ascii="宋体"/>
                <w:vanish/>
              </w:rPr>
            </w:pPr>
          </w:p>
        </w:tc>
        <w:tc>
          <w:tcPr>
            <w:tcW w:w="0" w:type="auto"/>
            <w:gridSpan w:val="3"/>
            <w:shd w:val="clear" w:color="auto" w:fill="auto"/>
            <w:vAlign w:val="bottom"/>
          </w:tcPr>
          <w:p w14:paraId="392C0BB1" w14:textId="77777777" w:rsidR="00980E5F" w:rsidRDefault="00980E5F">
            <w:pPr>
              <w:rPr>
                <w:rFonts w:ascii="宋体"/>
                <w:vanish/>
              </w:rPr>
            </w:pPr>
          </w:p>
        </w:tc>
        <w:tc>
          <w:tcPr>
            <w:tcW w:w="0" w:type="auto"/>
            <w:shd w:val="clear" w:color="auto" w:fill="auto"/>
            <w:vAlign w:val="bottom"/>
          </w:tcPr>
          <w:p w14:paraId="392C0BB2" w14:textId="77777777" w:rsidR="00980E5F" w:rsidRDefault="00980E5F">
            <w:pPr>
              <w:rPr>
                <w:rFonts w:ascii="宋体"/>
              </w:rPr>
            </w:pPr>
          </w:p>
        </w:tc>
        <w:tc>
          <w:tcPr>
            <w:tcW w:w="0" w:type="auto"/>
            <w:shd w:val="clear" w:color="auto" w:fill="auto"/>
            <w:vAlign w:val="bottom"/>
          </w:tcPr>
          <w:p w14:paraId="392C0BB3" w14:textId="77777777" w:rsidR="00980E5F" w:rsidRDefault="00980E5F">
            <w:pPr>
              <w:rPr>
                <w:rFonts w:ascii="宋体"/>
              </w:rPr>
            </w:pPr>
          </w:p>
        </w:tc>
        <w:tc>
          <w:tcPr>
            <w:tcW w:w="0" w:type="auto"/>
            <w:shd w:val="clear" w:color="auto" w:fill="auto"/>
            <w:vAlign w:val="bottom"/>
          </w:tcPr>
          <w:p w14:paraId="392C0BB4" w14:textId="77777777" w:rsidR="00980E5F" w:rsidRDefault="00980E5F">
            <w:pPr>
              <w:rPr>
                <w:rFonts w:ascii="宋体"/>
              </w:rPr>
            </w:pPr>
          </w:p>
        </w:tc>
        <w:tc>
          <w:tcPr>
            <w:tcW w:w="0" w:type="auto"/>
            <w:shd w:val="clear" w:color="auto" w:fill="auto"/>
            <w:vAlign w:val="bottom"/>
          </w:tcPr>
          <w:p w14:paraId="392C0BB5" w14:textId="77777777" w:rsidR="00980E5F" w:rsidRDefault="00980E5F">
            <w:pPr>
              <w:rPr>
                <w:rFonts w:ascii="宋体"/>
              </w:rPr>
            </w:pPr>
          </w:p>
        </w:tc>
        <w:tc>
          <w:tcPr>
            <w:tcW w:w="0" w:type="auto"/>
            <w:shd w:val="clear" w:color="auto" w:fill="auto"/>
            <w:vAlign w:val="bottom"/>
          </w:tcPr>
          <w:p w14:paraId="392C0BB6" w14:textId="77777777" w:rsidR="00980E5F" w:rsidRDefault="00980E5F">
            <w:pPr>
              <w:rPr>
                <w:rFonts w:ascii="宋体"/>
              </w:rPr>
            </w:pPr>
          </w:p>
        </w:tc>
        <w:tc>
          <w:tcPr>
            <w:tcW w:w="0" w:type="auto"/>
            <w:shd w:val="clear" w:color="auto" w:fill="auto"/>
            <w:vAlign w:val="bottom"/>
          </w:tcPr>
          <w:p w14:paraId="392C0BB7" w14:textId="77777777" w:rsidR="00980E5F" w:rsidRDefault="00980E5F">
            <w:pPr>
              <w:rPr>
                <w:rFonts w:ascii="宋体"/>
              </w:rPr>
            </w:pPr>
          </w:p>
        </w:tc>
      </w:tr>
      <w:tr w:rsidR="00980E5F" w14:paraId="392C0BCD" w14:textId="77777777">
        <w:trPr>
          <w:trHeight w:val="220"/>
        </w:trPr>
        <w:tc>
          <w:tcPr>
            <w:tcW w:w="0" w:type="auto"/>
            <w:gridSpan w:val="3"/>
            <w:vMerge/>
            <w:shd w:val="clear" w:color="auto" w:fill="auto"/>
            <w:tcMar>
              <w:top w:w="40" w:type="dxa"/>
              <w:left w:w="20" w:type="dxa"/>
              <w:bottom w:w="40" w:type="dxa"/>
              <w:right w:w="20" w:type="dxa"/>
            </w:tcMar>
            <w:vAlign w:val="bottom"/>
          </w:tcPr>
          <w:p w14:paraId="392C0BB9" w14:textId="77777777" w:rsidR="00980E5F" w:rsidRDefault="00980E5F">
            <w:pPr>
              <w:rPr>
                <w:rFonts w:ascii="宋体"/>
              </w:rPr>
            </w:pPr>
          </w:p>
        </w:tc>
        <w:tc>
          <w:tcPr>
            <w:tcW w:w="0" w:type="auto"/>
            <w:shd w:val="clear" w:color="auto" w:fill="auto"/>
            <w:vAlign w:val="bottom"/>
          </w:tcPr>
          <w:p w14:paraId="392C0BBA" w14:textId="77777777" w:rsidR="00980E5F" w:rsidRDefault="00980E5F">
            <w:pPr>
              <w:rPr>
                <w:rFonts w:ascii="宋体"/>
                <w:vanish/>
              </w:rPr>
            </w:pPr>
          </w:p>
        </w:tc>
        <w:tc>
          <w:tcPr>
            <w:tcW w:w="0" w:type="auto"/>
            <w:shd w:val="clear" w:color="auto" w:fill="auto"/>
            <w:vAlign w:val="bottom"/>
          </w:tcPr>
          <w:p w14:paraId="392C0BBB" w14:textId="77777777" w:rsidR="00980E5F" w:rsidRDefault="00980E5F">
            <w:pPr>
              <w:rPr>
                <w:rFonts w:ascii="宋体"/>
                <w:vanish/>
              </w:rPr>
            </w:pPr>
          </w:p>
        </w:tc>
        <w:tc>
          <w:tcPr>
            <w:tcW w:w="0" w:type="auto"/>
            <w:shd w:val="clear" w:color="auto" w:fill="auto"/>
            <w:vAlign w:val="bottom"/>
          </w:tcPr>
          <w:p w14:paraId="392C0BBC" w14:textId="77777777" w:rsidR="00980E5F" w:rsidRDefault="00980E5F">
            <w:pPr>
              <w:rPr>
                <w:rFonts w:ascii="宋体"/>
                <w:vanish/>
              </w:rPr>
            </w:pPr>
          </w:p>
        </w:tc>
        <w:tc>
          <w:tcPr>
            <w:tcW w:w="0" w:type="auto"/>
            <w:shd w:val="clear" w:color="auto" w:fill="auto"/>
            <w:vAlign w:val="bottom"/>
          </w:tcPr>
          <w:p w14:paraId="392C0BBD" w14:textId="77777777" w:rsidR="00980E5F" w:rsidRDefault="00980E5F">
            <w:pPr>
              <w:rPr>
                <w:rFonts w:ascii="宋体"/>
                <w:vanish/>
              </w:rPr>
            </w:pPr>
          </w:p>
        </w:tc>
        <w:tc>
          <w:tcPr>
            <w:tcW w:w="0" w:type="auto"/>
            <w:shd w:val="clear" w:color="auto" w:fill="auto"/>
            <w:vAlign w:val="bottom"/>
          </w:tcPr>
          <w:p w14:paraId="392C0BBE" w14:textId="77777777" w:rsidR="00980E5F" w:rsidRDefault="00980E5F">
            <w:pPr>
              <w:rPr>
                <w:rFonts w:ascii="宋体"/>
                <w:vanish/>
              </w:rPr>
            </w:pPr>
          </w:p>
        </w:tc>
        <w:tc>
          <w:tcPr>
            <w:tcW w:w="0" w:type="auto"/>
            <w:shd w:val="clear" w:color="auto" w:fill="auto"/>
            <w:vAlign w:val="bottom"/>
          </w:tcPr>
          <w:p w14:paraId="392C0BBF"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BC0"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BC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BC2"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0BC3"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0BC4" w14:textId="77777777" w:rsidR="00980E5F" w:rsidRDefault="00980E5F">
            <w:pPr>
              <w:jc w:val="center"/>
              <w:rPr>
                <w:rFonts w:ascii="宋体"/>
              </w:rPr>
            </w:pPr>
          </w:p>
        </w:tc>
        <w:tc>
          <w:tcPr>
            <w:tcW w:w="0" w:type="auto"/>
            <w:gridSpan w:val="3"/>
            <w:shd w:val="clear" w:color="auto" w:fill="auto"/>
            <w:vAlign w:val="bottom"/>
          </w:tcPr>
          <w:p w14:paraId="392C0BC5" w14:textId="77777777" w:rsidR="00980E5F" w:rsidRDefault="00980E5F">
            <w:pPr>
              <w:rPr>
                <w:rFonts w:ascii="宋体"/>
                <w:vanish/>
              </w:rPr>
            </w:pPr>
          </w:p>
        </w:tc>
        <w:tc>
          <w:tcPr>
            <w:tcW w:w="0" w:type="auto"/>
            <w:gridSpan w:val="3"/>
            <w:shd w:val="clear" w:color="auto" w:fill="auto"/>
            <w:vAlign w:val="bottom"/>
          </w:tcPr>
          <w:p w14:paraId="392C0BC6" w14:textId="77777777" w:rsidR="00980E5F" w:rsidRDefault="00980E5F">
            <w:pPr>
              <w:rPr>
                <w:rFonts w:ascii="宋体"/>
                <w:vanish/>
              </w:rPr>
            </w:pPr>
          </w:p>
        </w:tc>
        <w:tc>
          <w:tcPr>
            <w:tcW w:w="0" w:type="auto"/>
            <w:shd w:val="clear" w:color="auto" w:fill="auto"/>
            <w:vAlign w:val="bottom"/>
          </w:tcPr>
          <w:p w14:paraId="392C0BC7" w14:textId="77777777" w:rsidR="00980E5F" w:rsidRDefault="00980E5F">
            <w:pPr>
              <w:rPr>
                <w:rFonts w:ascii="宋体"/>
              </w:rPr>
            </w:pPr>
          </w:p>
        </w:tc>
        <w:tc>
          <w:tcPr>
            <w:tcW w:w="0" w:type="auto"/>
            <w:shd w:val="clear" w:color="auto" w:fill="auto"/>
            <w:vAlign w:val="bottom"/>
          </w:tcPr>
          <w:p w14:paraId="392C0BC8" w14:textId="77777777" w:rsidR="00980E5F" w:rsidRDefault="00980E5F">
            <w:pPr>
              <w:rPr>
                <w:rFonts w:ascii="宋体"/>
              </w:rPr>
            </w:pPr>
          </w:p>
        </w:tc>
        <w:tc>
          <w:tcPr>
            <w:tcW w:w="0" w:type="auto"/>
            <w:shd w:val="clear" w:color="auto" w:fill="auto"/>
            <w:vAlign w:val="bottom"/>
          </w:tcPr>
          <w:p w14:paraId="392C0BC9" w14:textId="77777777" w:rsidR="00980E5F" w:rsidRDefault="00980E5F">
            <w:pPr>
              <w:rPr>
                <w:rFonts w:ascii="宋体"/>
              </w:rPr>
            </w:pPr>
          </w:p>
        </w:tc>
        <w:tc>
          <w:tcPr>
            <w:tcW w:w="0" w:type="auto"/>
            <w:shd w:val="clear" w:color="auto" w:fill="auto"/>
            <w:vAlign w:val="bottom"/>
          </w:tcPr>
          <w:p w14:paraId="392C0BCA" w14:textId="77777777" w:rsidR="00980E5F" w:rsidRDefault="00980E5F">
            <w:pPr>
              <w:rPr>
                <w:rFonts w:ascii="宋体"/>
              </w:rPr>
            </w:pPr>
          </w:p>
        </w:tc>
        <w:tc>
          <w:tcPr>
            <w:tcW w:w="0" w:type="auto"/>
            <w:shd w:val="clear" w:color="auto" w:fill="auto"/>
            <w:vAlign w:val="bottom"/>
          </w:tcPr>
          <w:p w14:paraId="392C0BCB" w14:textId="77777777" w:rsidR="00980E5F" w:rsidRDefault="00980E5F">
            <w:pPr>
              <w:rPr>
                <w:rFonts w:ascii="宋体"/>
              </w:rPr>
            </w:pPr>
          </w:p>
        </w:tc>
        <w:tc>
          <w:tcPr>
            <w:tcW w:w="0" w:type="auto"/>
            <w:shd w:val="clear" w:color="auto" w:fill="auto"/>
            <w:vAlign w:val="bottom"/>
          </w:tcPr>
          <w:p w14:paraId="392C0BCC" w14:textId="77777777" w:rsidR="00980E5F" w:rsidRDefault="00980E5F">
            <w:pPr>
              <w:rPr>
                <w:rFonts w:ascii="宋体"/>
              </w:rPr>
            </w:pPr>
          </w:p>
        </w:tc>
      </w:tr>
      <w:tr w:rsidR="00980E5F" w14:paraId="392C0BE3" w14:textId="77777777">
        <w:tc>
          <w:tcPr>
            <w:tcW w:w="0" w:type="auto"/>
            <w:gridSpan w:val="3"/>
            <w:shd w:val="clear" w:color="auto" w:fill="CCEEFF"/>
            <w:tcMar>
              <w:top w:w="40" w:type="dxa"/>
              <w:left w:w="20" w:type="dxa"/>
              <w:bottom w:w="40" w:type="dxa"/>
              <w:right w:w="20" w:type="dxa"/>
            </w:tcMar>
            <w:vAlign w:val="bottom"/>
          </w:tcPr>
          <w:p w14:paraId="392C0BCE" w14:textId="77777777" w:rsidR="00980E5F" w:rsidRDefault="00483613">
            <w:pP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w:t>
            </w:r>
          </w:p>
        </w:tc>
        <w:tc>
          <w:tcPr>
            <w:tcW w:w="0" w:type="auto"/>
            <w:shd w:val="clear" w:color="auto" w:fill="auto"/>
            <w:vAlign w:val="bottom"/>
          </w:tcPr>
          <w:p w14:paraId="392C0BCF" w14:textId="77777777" w:rsidR="00980E5F" w:rsidRDefault="00980E5F">
            <w:pPr>
              <w:rPr>
                <w:rFonts w:ascii="宋体"/>
                <w:vanish/>
              </w:rPr>
            </w:pPr>
          </w:p>
        </w:tc>
        <w:tc>
          <w:tcPr>
            <w:tcW w:w="0" w:type="auto"/>
            <w:shd w:val="clear" w:color="auto" w:fill="auto"/>
            <w:vAlign w:val="bottom"/>
          </w:tcPr>
          <w:p w14:paraId="392C0BD0" w14:textId="77777777" w:rsidR="00980E5F" w:rsidRDefault="00980E5F">
            <w:pPr>
              <w:rPr>
                <w:rFonts w:ascii="宋体"/>
                <w:vanish/>
              </w:rPr>
            </w:pPr>
          </w:p>
        </w:tc>
        <w:tc>
          <w:tcPr>
            <w:tcW w:w="0" w:type="auto"/>
            <w:shd w:val="clear" w:color="auto" w:fill="auto"/>
            <w:vAlign w:val="bottom"/>
          </w:tcPr>
          <w:p w14:paraId="392C0BD1" w14:textId="77777777" w:rsidR="00980E5F" w:rsidRDefault="00980E5F">
            <w:pPr>
              <w:rPr>
                <w:rFonts w:ascii="宋体"/>
                <w:vanish/>
              </w:rPr>
            </w:pPr>
          </w:p>
        </w:tc>
        <w:tc>
          <w:tcPr>
            <w:tcW w:w="0" w:type="auto"/>
            <w:shd w:val="clear" w:color="auto" w:fill="auto"/>
            <w:vAlign w:val="bottom"/>
          </w:tcPr>
          <w:p w14:paraId="392C0BD2" w14:textId="77777777" w:rsidR="00980E5F" w:rsidRDefault="00980E5F">
            <w:pPr>
              <w:rPr>
                <w:rFonts w:ascii="宋体"/>
                <w:vanish/>
              </w:rPr>
            </w:pPr>
          </w:p>
        </w:tc>
        <w:tc>
          <w:tcPr>
            <w:tcW w:w="0" w:type="auto"/>
            <w:shd w:val="clear" w:color="auto" w:fill="auto"/>
            <w:vAlign w:val="bottom"/>
          </w:tcPr>
          <w:p w14:paraId="392C0BD3" w14:textId="77777777" w:rsidR="00980E5F" w:rsidRDefault="00980E5F">
            <w:pPr>
              <w:rPr>
                <w:rFonts w:ascii="宋体"/>
                <w:vanish/>
              </w:rPr>
            </w:pPr>
          </w:p>
        </w:tc>
        <w:tc>
          <w:tcPr>
            <w:tcW w:w="0" w:type="auto"/>
            <w:shd w:val="clear" w:color="auto" w:fill="auto"/>
            <w:vAlign w:val="bottom"/>
          </w:tcPr>
          <w:p w14:paraId="392C0BD4"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BD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BD6"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B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D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0BD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0BDA" w14:textId="77777777" w:rsidR="00980E5F" w:rsidRDefault="00483613">
            <w:pPr>
              <w:jc w:val="right"/>
              <w:textAlignment w:val="bottom"/>
            </w:pPr>
            <w:r>
              <w:rPr>
                <w:rFonts w:ascii="Arial" w:eastAsia="宋体" w:hAnsi="Arial" w:cs="Arial"/>
                <w:color w:val="000000"/>
                <w:sz w:val="14"/>
                <w:szCs w:val="14"/>
              </w:rPr>
              <w:t>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B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BDC" w14:textId="77777777" w:rsidR="00980E5F" w:rsidRDefault="00980E5F">
            <w:pPr>
              <w:rPr>
                <w:rFonts w:ascii="宋体"/>
              </w:rPr>
            </w:pPr>
          </w:p>
        </w:tc>
        <w:tc>
          <w:tcPr>
            <w:tcW w:w="0" w:type="auto"/>
            <w:gridSpan w:val="3"/>
            <w:shd w:val="clear" w:color="auto" w:fill="auto"/>
            <w:vAlign w:val="bottom"/>
          </w:tcPr>
          <w:p w14:paraId="392C0BDD" w14:textId="77777777" w:rsidR="00980E5F" w:rsidRDefault="00980E5F">
            <w:pPr>
              <w:rPr>
                <w:rFonts w:ascii="宋体"/>
                <w:vanish/>
              </w:rPr>
            </w:pPr>
          </w:p>
        </w:tc>
        <w:tc>
          <w:tcPr>
            <w:tcW w:w="0" w:type="auto"/>
            <w:gridSpan w:val="3"/>
            <w:shd w:val="clear" w:color="auto" w:fill="auto"/>
            <w:vAlign w:val="bottom"/>
          </w:tcPr>
          <w:p w14:paraId="392C0BDE"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BDF" w14:textId="77777777" w:rsidR="00980E5F" w:rsidRDefault="00483613">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BE0"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392C0BE1" w14:textId="77777777" w:rsidR="00980E5F" w:rsidRDefault="00980E5F">
            <w:pPr>
              <w:rPr>
                <w:rFonts w:ascii="宋体"/>
                <w:vanish/>
              </w:rPr>
            </w:pPr>
          </w:p>
        </w:tc>
        <w:tc>
          <w:tcPr>
            <w:tcW w:w="0" w:type="auto"/>
            <w:gridSpan w:val="3"/>
            <w:shd w:val="clear" w:color="auto" w:fill="auto"/>
            <w:vAlign w:val="bottom"/>
          </w:tcPr>
          <w:p w14:paraId="392C0BE2" w14:textId="77777777" w:rsidR="00980E5F" w:rsidRDefault="00980E5F">
            <w:pPr>
              <w:rPr>
                <w:rFonts w:ascii="宋体"/>
                <w:vanish/>
              </w:rPr>
            </w:pPr>
          </w:p>
        </w:tc>
      </w:tr>
      <w:tr w:rsidR="00980E5F" w14:paraId="392C0BF7" w14:textId="77777777">
        <w:tc>
          <w:tcPr>
            <w:tcW w:w="0" w:type="auto"/>
            <w:gridSpan w:val="3"/>
            <w:shd w:val="clear" w:color="auto" w:fill="FFFFFF"/>
            <w:tcMar>
              <w:top w:w="40" w:type="dxa"/>
              <w:left w:w="20" w:type="dxa"/>
              <w:bottom w:w="40" w:type="dxa"/>
              <w:right w:w="20" w:type="dxa"/>
            </w:tcMar>
            <w:vAlign w:val="bottom"/>
          </w:tcPr>
          <w:p w14:paraId="392C0BE4" w14:textId="77777777" w:rsidR="00980E5F" w:rsidRDefault="00483613">
            <w:pP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(2)</w:t>
            </w:r>
          </w:p>
        </w:tc>
        <w:tc>
          <w:tcPr>
            <w:tcW w:w="0" w:type="auto"/>
            <w:shd w:val="clear" w:color="auto" w:fill="auto"/>
            <w:vAlign w:val="bottom"/>
          </w:tcPr>
          <w:p w14:paraId="392C0BE5" w14:textId="77777777" w:rsidR="00980E5F" w:rsidRDefault="00980E5F">
            <w:pPr>
              <w:rPr>
                <w:rFonts w:ascii="宋体"/>
                <w:vanish/>
              </w:rPr>
            </w:pPr>
          </w:p>
        </w:tc>
        <w:tc>
          <w:tcPr>
            <w:tcW w:w="0" w:type="auto"/>
            <w:shd w:val="clear" w:color="auto" w:fill="auto"/>
            <w:vAlign w:val="bottom"/>
          </w:tcPr>
          <w:p w14:paraId="392C0BE6" w14:textId="77777777" w:rsidR="00980E5F" w:rsidRDefault="00980E5F">
            <w:pPr>
              <w:rPr>
                <w:rFonts w:ascii="宋体"/>
                <w:vanish/>
              </w:rPr>
            </w:pPr>
          </w:p>
        </w:tc>
        <w:tc>
          <w:tcPr>
            <w:tcW w:w="0" w:type="auto"/>
            <w:shd w:val="clear" w:color="auto" w:fill="auto"/>
            <w:vAlign w:val="bottom"/>
          </w:tcPr>
          <w:p w14:paraId="392C0BE7" w14:textId="77777777" w:rsidR="00980E5F" w:rsidRDefault="00980E5F">
            <w:pPr>
              <w:rPr>
                <w:rFonts w:ascii="宋体"/>
                <w:vanish/>
              </w:rPr>
            </w:pPr>
          </w:p>
        </w:tc>
        <w:tc>
          <w:tcPr>
            <w:tcW w:w="0" w:type="auto"/>
            <w:shd w:val="clear" w:color="auto" w:fill="auto"/>
            <w:vAlign w:val="bottom"/>
          </w:tcPr>
          <w:p w14:paraId="392C0BE8" w14:textId="77777777" w:rsidR="00980E5F" w:rsidRDefault="00980E5F">
            <w:pPr>
              <w:rPr>
                <w:rFonts w:ascii="宋体"/>
                <w:vanish/>
              </w:rPr>
            </w:pPr>
          </w:p>
        </w:tc>
        <w:tc>
          <w:tcPr>
            <w:tcW w:w="0" w:type="auto"/>
            <w:shd w:val="clear" w:color="auto" w:fill="auto"/>
            <w:vAlign w:val="bottom"/>
          </w:tcPr>
          <w:p w14:paraId="392C0BE9" w14:textId="77777777" w:rsidR="00980E5F" w:rsidRDefault="00980E5F">
            <w:pPr>
              <w:rPr>
                <w:rFonts w:ascii="宋体"/>
                <w:vanish/>
              </w:rPr>
            </w:pPr>
          </w:p>
        </w:tc>
        <w:tc>
          <w:tcPr>
            <w:tcW w:w="0" w:type="auto"/>
            <w:shd w:val="clear" w:color="auto" w:fill="auto"/>
            <w:vAlign w:val="bottom"/>
          </w:tcPr>
          <w:p w14:paraId="392C0BEA"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BEB" w14:textId="77777777" w:rsidR="00980E5F" w:rsidRDefault="00483613">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B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E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BEE" w14:textId="77777777" w:rsidR="00980E5F" w:rsidRDefault="00483613">
            <w:pPr>
              <w:jc w:val="right"/>
              <w:textAlignment w:val="bottom"/>
            </w:pPr>
            <w:r>
              <w:rPr>
                <w:rFonts w:ascii="Arial" w:eastAsia="宋体" w:hAnsi="Arial" w:cs="Arial"/>
                <w:color w:val="000000"/>
                <w:sz w:val="14"/>
                <w:szCs w:val="14"/>
              </w:rPr>
              <w:t>29 </w:t>
            </w:r>
          </w:p>
        </w:tc>
        <w:tc>
          <w:tcPr>
            <w:tcW w:w="0" w:type="auto"/>
            <w:shd w:val="clear" w:color="auto" w:fill="FFFFFF"/>
            <w:tcMar>
              <w:top w:w="40" w:type="dxa"/>
              <w:left w:w="0" w:type="dxa"/>
              <w:bottom w:w="40" w:type="dxa"/>
              <w:right w:w="20" w:type="dxa"/>
            </w:tcMar>
            <w:vAlign w:val="bottom"/>
          </w:tcPr>
          <w:p w14:paraId="392C0B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BF0" w14:textId="77777777" w:rsidR="00980E5F" w:rsidRDefault="00980E5F">
            <w:pPr>
              <w:rPr>
                <w:rFonts w:ascii="宋体"/>
              </w:rPr>
            </w:pPr>
          </w:p>
        </w:tc>
        <w:tc>
          <w:tcPr>
            <w:tcW w:w="0" w:type="auto"/>
            <w:gridSpan w:val="3"/>
            <w:shd w:val="clear" w:color="auto" w:fill="auto"/>
            <w:vAlign w:val="bottom"/>
          </w:tcPr>
          <w:p w14:paraId="392C0BF1" w14:textId="77777777" w:rsidR="00980E5F" w:rsidRDefault="00980E5F">
            <w:pPr>
              <w:rPr>
                <w:rFonts w:ascii="宋体"/>
                <w:vanish/>
              </w:rPr>
            </w:pPr>
          </w:p>
        </w:tc>
        <w:tc>
          <w:tcPr>
            <w:tcW w:w="0" w:type="auto"/>
            <w:gridSpan w:val="3"/>
            <w:shd w:val="clear" w:color="auto" w:fill="auto"/>
            <w:vAlign w:val="bottom"/>
          </w:tcPr>
          <w:p w14:paraId="392C0BF2"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BF3" w14:textId="77777777" w:rsidR="00980E5F" w:rsidRDefault="00483613">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392C0BF4" w14:textId="77777777" w:rsidR="00980E5F" w:rsidRDefault="00980E5F">
            <w:pPr>
              <w:jc w:val="right"/>
              <w:rPr>
                <w:rFonts w:ascii="宋体"/>
              </w:rPr>
            </w:pPr>
          </w:p>
        </w:tc>
        <w:tc>
          <w:tcPr>
            <w:tcW w:w="0" w:type="auto"/>
            <w:gridSpan w:val="3"/>
            <w:shd w:val="clear" w:color="auto" w:fill="auto"/>
            <w:vAlign w:val="bottom"/>
          </w:tcPr>
          <w:p w14:paraId="392C0BF5" w14:textId="77777777" w:rsidR="00980E5F" w:rsidRDefault="00980E5F">
            <w:pPr>
              <w:rPr>
                <w:rFonts w:ascii="宋体"/>
                <w:vanish/>
              </w:rPr>
            </w:pPr>
          </w:p>
        </w:tc>
        <w:tc>
          <w:tcPr>
            <w:tcW w:w="0" w:type="auto"/>
            <w:gridSpan w:val="3"/>
            <w:shd w:val="clear" w:color="auto" w:fill="auto"/>
            <w:vAlign w:val="bottom"/>
          </w:tcPr>
          <w:p w14:paraId="392C0BF6" w14:textId="77777777" w:rsidR="00980E5F" w:rsidRDefault="00980E5F">
            <w:pPr>
              <w:rPr>
                <w:rFonts w:ascii="宋体"/>
                <w:vanish/>
              </w:rPr>
            </w:pPr>
          </w:p>
        </w:tc>
      </w:tr>
      <w:tr w:rsidR="00980E5F" w14:paraId="392C0C0B" w14:textId="77777777">
        <w:tc>
          <w:tcPr>
            <w:tcW w:w="0" w:type="auto"/>
            <w:gridSpan w:val="3"/>
            <w:shd w:val="clear" w:color="auto" w:fill="CCEEFF"/>
            <w:tcMar>
              <w:top w:w="40" w:type="dxa"/>
              <w:left w:w="20" w:type="dxa"/>
              <w:bottom w:w="40" w:type="dxa"/>
              <w:right w:w="20" w:type="dxa"/>
            </w:tcMar>
            <w:vAlign w:val="bottom"/>
          </w:tcPr>
          <w:p w14:paraId="392C0BF8" w14:textId="77777777" w:rsidR="00980E5F" w:rsidRDefault="00483613">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392C0BF9" w14:textId="77777777" w:rsidR="00980E5F" w:rsidRDefault="00980E5F">
            <w:pPr>
              <w:rPr>
                <w:rFonts w:ascii="宋体"/>
                <w:vanish/>
              </w:rPr>
            </w:pPr>
          </w:p>
        </w:tc>
        <w:tc>
          <w:tcPr>
            <w:tcW w:w="0" w:type="auto"/>
            <w:shd w:val="clear" w:color="auto" w:fill="auto"/>
            <w:vAlign w:val="bottom"/>
          </w:tcPr>
          <w:p w14:paraId="392C0BFA" w14:textId="77777777" w:rsidR="00980E5F" w:rsidRDefault="00980E5F">
            <w:pPr>
              <w:rPr>
                <w:rFonts w:ascii="宋体"/>
                <w:vanish/>
              </w:rPr>
            </w:pPr>
          </w:p>
        </w:tc>
        <w:tc>
          <w:tcPr>
            <w:tcW w:w="0" w:type="auto"/>
            <w:shd w:val="clear" w:color="auto" w:fill="auto"/>
            <w:vAlign w:val="bottom"/>
          </w:tcPr>
          <w:p w14:paraId="392C0BFB" w14:textId="77777777" w:rsidR="00980E5F" w:rsidRDefault="00980E5F">
            <w:pPr>
              <w:rPr>
                <w:rFonts w:ascii="宋体"/>
                <w:vanish/>
              </w:rPr>
            </w:pPr>
          </w:p>
        </w:tc>
        <w:tc>
          <w:tcPr>
            <w:tcW w:w="0" w:type="auto"/>
            <w:shd w:val="clear" w:color="auto" w:fill="auto"/>
            <w:vAlign w:val="bottom"/>
          </w:tcPr>
          <w:p w14:paraId="392C0BFC" w14:textId="77777777" w:rsidR="00980E5F" w:rsidRDefault="00980E5F">
            <w:pPr>
              <w:rPr>
                <w:rFonts w:ascii="宋体"/>
                <w:vanish/>
              </w:rPr>
            </w:pPr>
          </w:p>
        </w:tc>
        <w:tc>
          <w:tcPr>
            <w:tcW w:w="0" w:type="auto"/>
            <w:shd w:val="clear" w:color="auto" w:fill="auto"/>
            <w:vAlign w:val="bottom"/>
          </w:tcPr>
          <w:p w14:paraId="392C0BFD" w14:textId="77777777" w:rsidR="00980E5F" w:rsidRDefault="00980E5F">
            <w:pPr>
              <w:rPr>
                <w:rFonts w:ascii="宋体"/>
                <w:vanish/>
              </w:rPr>
            </w:pPr>
          </w:p>
        </w:tc>
        <w:tc>
          <w:tcPr>
            <w:tcW w:w="0" w:type="auto"/>
            <w:shd w:val="clear" w:color="auto" w:fill="auto"/>
            <w:vAlign w:val="bottom"/>
          </w:tcPr>
          <w:p w14:paraId="392C0BF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BFF" w14:textId="77777777" w:rsidR="00980E5F" w:rsidRDefault="00483613">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C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C02"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392C0C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04" w14:textId="77777777" w:rsidR="00980E5F" w:rsidRDefault="00980E5F">
            <w:pPr>
              <w:rPr>
                <w:rFonts w:ascii="宋体"/>
              </w:rPr>
            </w:pPr>
          </w:p>
        </w:tc>
        <w:tc>
          <w:tcPr>
            <w:tcW w:w="0" w:type="auto"/>
            <w:gridSpan w:val="3"/>
            <w:shd w:val="clear" w:color="auto" w:fill="auto"/>
            <w:vAlign w:val="bottom"/>
          </w:tcPr>
          <w:p w14:paraId="392C0C05" w14:textId="77777777" w:rsidR="00980E5F" w:rsidRDefault="00980E5F">
            <w:pPr>
              <w:rPr>
                <w:rFonts w:ascii="宋体"/>
                <w:vanish/>
              </w:rPr>
            </w:pPr>
          </w:p>
        </w:tc>
        <w:tc>
          <w:tcPr>
            <w:tcW w:w="0" w:type="auto"/>
            <w:gridSpan w:val="3"/>
            <w:shd w:val="clear" w:color="auto" w:fill="auto"/>
            <w:vAlign w:val="bottom"/>
          </w:tcPr>
          <w:p w14:paraId="392C0C06"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07"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392C0C08" w14:textId="77777777" w:rsidR="00980E5F" w:rsidRDefault="00980E5F">
            <w:pPr>
              <w:jc w:val="right"/>
              <w:rPr>
                <w:rFonts w:ascii="宋体"/>
              </w:rPr>
            </w:pPr>
          </w:p>
        </w:tc>
        <w:tc>
          <w:tcPr>
            <w:tcW w:w="0" w:type="auto"/>
            <w:gridSpan w:val="3"/>
            <w:shd w:val="clear" w:color="auto" w:fill="auto"/>
            <w:vAlign w:val="bottom"/>
          </w:tcPr>
          <w:p w14:paraId="392C0C09" w14:textId="77777777" w:rsidR="00980E5F" w:rsidRDefault="00980E5F">
            <w:pPr>
              <w:rPr>
                <w:rFonts w:ascii="宋体"/>
                <w:vanish/>
              </w:rPr>
            </w:pPr>
          </w:p>
        </w:tc>
        <w:tc>
          <w:tcPr>
            <w:tcW w:w="0" w:type="auto"/>
            <w:gridSpan w:val="3"/>
            <w:shd w:val="clear" w:color="auto" w:fill="auto"/>
            <w:vAlign w:val="bottom"/>
          </w:tcPr>
          <w:p w14:paraId="392C0C0A" w14:textId="77777777" w:rsidR="00980E5F" w:rsidRDefault="00980E5F">
            <w:pPr>
              <w:rPr>
                <w:rFonts w:ascii="宋体"/>
                <w:vanish/>
              </w:rPr>
            </w:pPr>
          </w:p>
        </w:tc>
      </w:tr>
      <w:tr w:rsidR="00980E5F" w14:paraId="392C0C1E" w14:textId="77777777">
        <w:tc>
          <w:tcPr>
            <w:tcW w:w="0" w:type="auto"/>
            <w:gridSpan w:val="3"/>
            <w:shd w:val="clear" w:color="auto" w:fill="FFFFFF"/>
            <w:tcMar>
              <w:top w:w="40" w:type="dxa"/>
              <w:left w:w="20" w:type="dxa"/>
              <w:bottom w:w="40" w:type="dxa"/>
              <w:right w:w="20" w:type="dxa"/>
            </w:tcMar>
            <w:vAlign w:val="bottom"/>
          </w:tcPr>
          <w:p w14:paraId="392C0C0C" w14:textId="77777777" w:rsidR="00980E5F" w:rsidRDefault="00483613">
            <w:pP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(3)</w:t>
            </w:r>
          </w:p>
        </w:tc>
        <w:tc>
          <w:tcPr>
            <w:tcW w:w="0" w:type="auto"/>
            <w:shd w:val="clear" w:color="auto" w:fill="auto"/>
            <w:vAlign w:val="bottom"/>
          </w:tcPr>
          <w:p w14:paraId="392C0C0D" w14:textId="77777777" w:rsidR="00980E5F" w:rsidRDefault="00980E5F">
            <w:pPr>
              <w:rPr>
                <w:rFonts w:ascii="宋体"/>
                <w:vanish/>
              </w:rPr>
            </w:pPr>
          </w:p>
        </w:tc>
        <w:tc>
          <w:tcPr>
            <w:tcW w:w="0" w:type="auto"/>
            <w:shd w:val="clear" w:color="auto" w:fill="auto"/>
            <w:vAlign w:val="bottom"/>
          </w:tcPr>
          <w:p w14:paraId="392C0C0E" w14:textId="77777777" w:rsidR="00980E5F" w:rsidRDefault="00980E5F">
            <w:pPr>
              <w:rPr>
                <w:rFonts w:ascii="宋体"/>
                <w:vanish/>
              </w:rPr>
            </w:pPr>
          </w:p>
        </w:tc>
        <w:tc>
          <w:tcPr>
            <w:tcW w:w="0" w:type="auto"/>
            <w:shd w:val="clear" w:color="auto" w:fill="auto"/>
            <w:vAlign w:val="bottom"/>
          </w:tcPr>
          <w:p w14:paraId="392C0C0F" w14:textId="77777777" w:rsidR="00980E5F" w:rsidRDefault="00980E5F">
            <w:pPr>
              <w:rPr>
                <w:rFonts w:ascii="宋体"/>
                <w:vanish/>
              </w:rPr>
            </w:pPr>
          </w:p>
        </w:tc>
        <w:tc>
          <w:tcPr>
            <w:tcW w:w="0" w:type="auto"/>
            <w:shd w:val="clear" w:color="auto" w:fill="auto"/>
            <w:vAlign w:val="bottom"/>
          </w:tcPr>
          <w:p w14:paraId="392C0C10" w14:textId="77777777" w:rsidR="00980E5F" w:rsidRDefault="00980E5F">
            <w:pPr>
              <w:rPr>
                <w:rFonts w:ascii="宋体"/>
                <w:vanish/>
              </w:rPr>
            </w:pPr>
          </w:p>
        </w:tc>
        <w:tc>
          <w:tcPr>
            <w:tcW w:w="0" w:type="auto"/>
            <w:shd w:val="clear" w:color="auto" w:fill="auto"/>
            <w:vAlign w:val="bottom"/>
          </w:tcPr>
          <w:p w14:paraId="392C0C11" w14:textId="77777777" w:rsidR="00980E5F" w:rsidRDefault="00980E5F">
            <w:pPr>
              <w:rPr>
                <w:rFonts w:ascii="宋体"/>
                <w:vanish/>
              </w:rPr>
            </w:pPr>
          </w:p>
        </w:tc>
        <w:tc>
          <w:tcPr>
            <w:tcW w:w="0" w:type="auto"/>
            <w:shd w:val="clear" w:color="auto" w:fill="auto"/>
            <w:vAlign w:val="bottom"/>
          </w:tcPr>
          <w:p w14:paraId="392C0C12"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C1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C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C1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C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18" w14:textId="77777777" w:rsidR="00980E5F" w:rsidRDefault="00980E5F">
            <w:pPr>
              <w:rPr>
                <w:rFonts w:ascii="宋体"/>
              </w:rPr>
            </w:pPr>
          </w:p>
        </w:tc>
        <w:tc>
          <w:tcPr>
            <w:tcW w:w="0" w:type="auto"/>
            <w:gridSpan w:val="3"/>
            <w:shd w:val="clear" w:color="auto" w:fill="auto"/>
            <w:vAlign w:val="bottom"/>
          </w:tcPr>
          <w:p w14:paraId="392C0C19" w14:textId="77777777" w:rsidR="00980E5F" w:rsidRDefault="00980E5F">
            <w:pPr>
              <w:rPr>
                <w:rFonts w:ascii="宋体"/>
                <w:vanish/>
              </w:rPr>
            </w:pPr>
          </w:p>
        </w:tc>
        <w:tc>
          <w:tcPr>
            <w:tcW w:w="0" w:type="auto"/>
            <w:gridSpan w:val="3"/>
            <w:shd w:val="clear" w:color="auto" w:fill="auto"/>
            <w:vAlign w:val="bottom"/>
          </w:tcPr>
          <w:p w14:paraId="392C0C1A" w14:textId="77777777" w:rsidR="00980E5F" w:rsidRDefault="00980E5F">
            <w:pPr>
              <w:rPr>
                <w:rFonts w:ascii="宋体"/>
                <w:vanish/>
              </w:rPr>
            </w:pPr>
          </w:p>
        </w:tc>
        <w:tc>
          <w:tcPr>
            <w:tcW w:w="0" w:type="auto"/>
            <w:gridSpan w:val="3"/>
            <w:shd w:val="clear" w:color="auto" w:fill="FFFFFF"/>
            <w:tcMar>
              <w:top w:w="40" w:type="dxa"/>
              <w:left w:w="20" w:type="dxa"/>
              <w:bottom w:w="40" w:type="dxa"/>
              <w:right w:w="140" w:type="dxa"/>
            </w:tcMar>
            <w:vAlign w:val="bottom"/>
          </w:tcPr>
          <w:p w14:paraId="392C0C1B"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C1C" w14:textId="77777777" w:rsidR="00980E5F" w:rsidRDefault="00980E5F">
            <w:pPr>
              <w:rPr>
                <w:rFonts w:ascii="宋体"/>
                <w:vanish/>
              </w:rPr>
            </w:pPr>
          </w:p>
        </w:tc>
        <w:tc>
          <w:tcPr>
            <w:tcW w:w="0" w:type="auto"/>
            <w:gridSpan w:val="3"/>
            <w:shd w:val="clear" w:color="auto" w:fill="auto"/>
            <w:vAlign w:val="bottom"/>
          </w:tcPr>
          <w:p w14:paraId="392C0C1D" w14:textId="77777777" w:rsidR="00980E5F" w:rsidRDefault="00980E5F">
            <w:pPr>
              <w:rPr>
                <w:rFonts w:ascii="宋体"/>
                <w:vanish/>
              </w:rPr>
            </w:pPr>
          </w:p>
        </w:tc>
      </w:tr>
      <w:tr w:rsidR="00980E5F" w14:paraId="392C0C31" w14:textId="77777777">
        <w:tc>
          <w:tcPr>
            <w:tcW w:w="0" w:type="auto"/>
            <w:gridSpan w:val="3"/>
            <w:shd w:val="clear" w:color="auto" w:fill="CCEEFF"/>
            <w:tcMar>
              <w:top w:w="40" w:type="dxa"/>
              <w:left w:w="20" w:type="dxa"/>
              <w:bottom w:w="40" w:type="dxa"/>
              <w:right w:w="20" w:type="dxa"/>
            </w:tcMar>
            <w:vAlign w:val="bottom"/>
          </w:tcPr>
          <w:p w14:paraId="392C0C1F" w14:textId="77777777" w:rsidR="00980E5F" w:rsidRDefault="00483613">
            <w:pPr>
              <w:textAlignment w:val="bottom"/>
            </w:pPr>
            <w:r>
              <w:rPr>
                <w:rFonts w:ascii="Arial" w:eastAsia="宋体" w:hAnsi="Arial" w:cs="Arial"/>
                <w:color w:val="000000"/>
                <w:sz w:val="14"/>
                <w:szCs w:val="14"/>
              </w:rPr>
              <w:t>Other fee revenue</w:t>
            </w:r>
            <w:r>
              <w:rPr>
                <w:rFonts w:ascii="Arial" w:eastAsia="宋体" w:hAnsi="Arial" w:cs="Arial"/>
                <w:color w:val="000000"/>
                <w:sz w:val="9"/>
                <w:szCs w:val="9"/>
              </w:rPr>
              <w:t>(1)</w:t>
            </w:r>
          </w:p>
        </w:tc>
        <w:tc>
          <w:tcPr>
            <w:tcW w:w="0" w:type="auto"/>
            <w:shd w:val="clear" w:color="auto" w:fill="auto"/>
            <w:vAlign w:val="bottom"/>
          </w:tcPr>
          <w:p w14:paraId="392C0C20" w14:textId="77777777" w:rsidR="00980E5F" w:rsidRDefault="00980E5F">
            <w:pPr>
              <w:rPr>
                <w:rFonts w:ascii="宋体"/>
                <w:vanish/>
              </w:rPr>
            </w:pPr>
          </w:p>
        </w:tc>
        <w:tc>
          <w:tcPr>
            <w:tcW w:w="0" w:type="auto"/>
            <w:shd w:val="clear" w:color="auto" w:fill="auto"/>
            <w:vAlign w:val="bottom"/>
          </w:tcPr>
          <w:p w14:paraId="392C0C21" w14:textId="77777777" w:rsidR="00980E5F" w:rsidRDefault="00980E5F">
            <w:pPr>
              <w:rPr>
                <w:rFonts w:ascii="宋体"/>
                <w:vanish/>
              </w:rPr>
            </w:pPr>
          </w:p>
        </w:tc>
        <w:tc>
          <w:tcPr>
            <w:tcW w:w="0" w:type="auto"/>
            <w:shd w:val="clear" w:color="auto" w:fill="auto"/>
            <w:vAlign w:val="bottom"/>
          </w:tcPr>
          <w:p w14:paraId="392C0C22" w14:textId="77777777" w:rsidR="00980E5F" w:rsidRDefault="00980E5F">
            <w:pPr>
              <w:rPr>
                <w:rFonts w:ascii="宋体"/>
                <w:vanish/>
              </w:rPr>
            </w:pPr>
          </w:p>
        </w:tc>
        <w:tc>
          <w:tcPr>
            <w:tcW w:w="0" w:type="auto"/>
            <w:shd w:val="clear" w:color="auto" w:fill="auto"/>
            <w:vAlign w:val="bottom"/>
          </w:tcPr>
          <w:p w14:paraId="392C0C23" w14:textId="77777777" w:rsidR="00980E5F" w:rsidRDefault="00980E5F">
            <w:pPr>
              <w:rPr>
                <w:rFonts w:ascii="宋体"/>
                <w:vanish/>
              </w:rPr>
            </w:pPr>
          </w:p>
        </w:tc>
        <w:tc>
          <w:tcPr>
            <w:tcW w:w="0" w:type="auto"/>
            <w:shd w:val="clear" w:color="auto" w:fill="auto"/>
            <w:vAlign w:val="bottom"/>
          </w:tcPr>
          <w:p w14:paraId="392C0C24" w14:textId="77777777" w:rsidR="00980E5F" w:rsidRDefault="00980E5F">
            <w:pPr>
              <w:rPr>
                <w:rFonts w:ascii="宋体"/>
                <w:vanish/>
              </w:rPr>
            </w:pPr>
          </w:p>
        </w:tc>
        <w:tc>
          <w:tcPr>
            <w:tcW w:w="0" w:type="auto"/>
            <w:shd w:val="clear" w:color="auto" w:fill="auto"/>
            <w:vAlign w:val="bottom"/>
          </w:tcPr>
          <w:p w14:paraId="392C0C25"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26" w14:textId="77777777" w:rsidR="00980E5F" w:rsidRDefault="00483613">
            <w:pPr>
              <w:jc w:val="right"/>
              <w:textAlignment w:val="bottom"/>
            </w:pPr>
            <w:r>
              <w:rPr>
                <w:rFonts w:ascii="Arial" w:eastAsia="宋体" w:hAnsi="Arial" w:cs="Arial"/>
                <w:b/>
                <w:bCs/>
                <w:color w:val="000000"/>
                <w:sz w:val="14"/>
                <w:szCs w:val="14"/>
              </w:rPr>
              <w:t>(48)</w:t>
            </w:r>
          </w:p>
        </w:tc>
        <w:tc>
          <w:tcPr>
            <w:tcW w:w="0" w:type="auto"/>
            <w:shd w:val="clear" w:color="auto" w:fill="CCEEFF"/>
            <w:tcMar>
              <w:top w:w="40" w:type="dxa"/>
              <w:left w:w="0" w:type="dxa"/>
              <w:bottom w:w="40" w:type="dxa"/>
              <w:right w:w="20" w:type="dxa"/>
            </w:tcMar>
            <w:vAlign w:val="bottom"/>
          </w:tcPr>
          <w:p w14:paraId="392C0C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2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C29"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392C0C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2B" w14:textId="77777777" w:rsidR="00980E5F" w:rsidRDefault="00980E5F">
            <w:pPr>
              <w:rPr>
                <w:rFonts w:ascii="宋体"/>
              </w:rPr>
            </w:pPr>
          </w:p>
        </w:tc>
        <w:tc>
          <w:tcPr>
            <w:tcW w:w="0" w:type="auto"/>
            <w:gridSpan w:val="3"/>
            <w:shd w:val="clear" w:color="auto" w:fill="auto"/>
            <w:vAlign w:val="bottom"/>
          </w:tcPr>
          <w:p w14:paraId="392C0C2C" w14:textId="77777777" w:rsidR="00980E5F" w:rsidRDefault="00980E5F">
            <w:pPr>
              <w:rPr>
                <w:rFonts w:ascii="宋体"/>
                <w:vanish/>
              </w:rPr>
            </w:pPr>
          </w:p>
        </w:tc>
        <w:tc>
          <w:tcPr>
            <w:tcW w:w="0" w:type="auto"/>
            <w:gridSpan w:val="3"/>
            <w:shd w:val="clear" w:color="auto" w:fill="auto"/>
            <w:vAlign w:val="bottom"/>
          </w:tcPr>
          <w:p w14:paraId="392C0C2D" w14:textId="77777777" w:rsidR="00980E5F" w:rsidRDefault="00980E5F">
            <w:pPr>
              <w:rPr>
                <w:rFonts w:ascii="宋体"/>
                <w:vanish/>
              </w:rPr>
            </w:pPr>
          </w:p>
        </w:tc>
        <w:tc>
          <w:tcPr>
            <w:tcW w:w="0" w:type="auto"/>
            <w:gridSpan w:val="3"/>
            <w:shd w:val="clear" w:color="auto" w:fill="CCEEFF"/>
            <w:tcMar>
              <w:top w:w="40" w:type="dxa"/>
              <w:left w:w="20" w:type="dxa"/>
              <w:bottom w:w="40" w:type="dxa"/>
              <w:right w:w="140" w:type="dxa"/>
            </w:tcMar>
            <w:vAlign w:val="bottom"/>
          </w:tcPr>
          <w:p w14:paraId="392C0C2E" w14:textId="77777777" w:rsidR="00980E5F" w:rsidRDefault="00483613">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392C0C2F" w14:textId="77777777" w:rsidR="00980E5F" w:rsidRDefault="00980E5F">
            <w:pPr>
              <w:rPr>
                <w:rFonts w:ascii="宋体"/>
                <w:vanish/>
              </w:rPr>
            </w:pPr>
          </w:p>
        </w:tc>
        <w:tc>
          <w:tcPr>
            <w:tcW w:w="0" w:type="auto"/>
            <w:gridSpan w:val="3"/>
            <w:shd w:val="clear" w:color="auto" w:fill="auto"/>
            <w:vAlign w:val="bottom"/>
          </w:tcPr>
          <w:p w14:paraId="392C0C30" w14:textId="77777777" w:rsidR="00980E5F" w:rsidRDefault="00980E5F">
            <w:pPr>
              <w:rPr>
                <w:rFonts w:ascii="宋体"/>
                <w:vanish/>
              </w:rPr>
            </w:pPr>
          </w:p>
        </w:tc>
      </w:tr>
      <w:tr w:rsidR="00980E5F" w14:paraId="392C0C45" w14:textId="77777777">
        <w:tc>
          <w:tcPr>
            <w:tcW w:w="0" w:type="auto"/>
            <w:gridSpan w:val="3"/>
            <w:shd w:val="clear" w:color="auto" w:fill="FFFFFF"/>
            <w:tcMar>
              <w:top w:w="40" w:type="dxa"/>
              <w:left w:w="20" w:type="dxa"/>
              <w:bottom w:w="40" w:type="dxa"/>
              <w:right w:w="20" w:type="dxa"/>
            </w:tcMar>
            <w:vAlign w:val="bottom"/>
          </w:tcPr>
          <w:p w14:paraId="392C0C32" w14:textId="77777777" w:rsidR="00980E5F" w:rsidRDefault="00483613">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392C0C33" w14:textId="77777777" w:rsidR="00980E5F" w:rsidRDefault="00980E5F">
            <w:pPr>
              <w:rPr>
                <w:rFonts w:ascii="宋体"/>
                <w:vanish/>
              </w:rPr>
            </w:pPr>
          </w:p>
        </w:tc>
        <w:tc>
          <w:tcPr>
            <w:tcW w:w="0" w:type="auto"/>
            <w:shd w:val="clear" w:color="auto" w:fill="auto"/>
            <w:vAlign w:val="bottom"/>
          </w:tcPr>
          <w:p w14:paraId="392C0C34" w14:textId="77777777" w:rsidR="00980E5F" w:rsidRDefault="00980E5F">
            <w:pPr>
              <w:rPr>
                <w:rFonts w:ascii="宋体"/>
                <w:vanish/>
              </w:rPr>
            </w:pPr>
          </w:p>
        </w:tc>
        <w:tc>
          <w:tcPr>
            <w:tcW w:w="0" w:type="auto"/>
            <w:shd w:val="clear" w:color="auto" w:fill="auto"/>
            <w:vAlign w:val="bottom"/>
          </w:tcPr>
          <w:p w14:paraId="392C0C35" w14:textId="77777777" w:rsidR="00980E5F" w:rsidRDefault="00980E5F">
            <w:pPr>
              <w:rPr>
                <w:rFonts w:ascii="宋体"/>
                <w:vanish/>
              </w:rPr>
            </w:pPr>
          </w:p>
        </w:tc>
        <w:tc>
          <w:tcPr>
            <w:tcW w:w="0" w:type="auto"/>
            <w:shd w:val="clear" w:color="auto" w:fill="auto"/>
            <w:vAlign w:val="bottom"/>
          </w:tcPr>
          <w:p w14:paraId="392C0C36" w14:textId="77777777" w:rsidR="00980E5F" w:rsidRDefault="00980E5F">
            <w:pPr>
              <w:rPr>
                <w:rFonts w:ascii="宋体"/>
                <w:vanish/>
              </w:rPr>
            </w:pPr>
          </w:p>
        </w:tc>
        <w:tc>
          <w:tcPr>
            <w:tcW w:w="0" w:type="auto"/>
            <w:shd w:val="clear" w:color="auto" w:fill="auto"/>
            <w:vAlign w:val="bottom"/>
          </w:tcPr>
          <w:p w14:paraId="392C0C37" w14:textId="77777777" w:rsidR="00980E5F" w:rsidRDefault="00980E5F">
            <w:pPr>
              <w:rPr>
                <w:rFonts w:ascii="宋体"/>
                <w:vanish/>
              </w:rPr>
            </w:pPr>
          </w:p>
        </w:tc>
        <w:tc>
          <w:tcPr>
            <w:tcW w:w="0" w:type="auto"/>
            <w:shd w:val="clear" w:color="auto" w:fill="auto"/>
            <w:vAlign w:val="bottom"/>
          </w:tcPr>
          <w:p w14:paraId="392C0C38"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C39" w14:textId="77777777" w:rsidR="00980E5F" w:rsidRDefault="00483613">
            <w:pPr>
              <w:jc w:val="right"/>
              <w:textAlignment w:val="bottom"/>
            </w:pPr>
            <w:r>
              <w:rPr>
                <w:rFonts w:ascii="Arial" w:eastAsia="宋体" w:hAnsi="Arial" w:cs="Arial"/>
                <w:b/>
                <w:bCs/>
                <w:color w:val="000000"/>
                <w:sz w:val="14"/>
                <w:szCs w:val="14"/>
              </w:rPr>
              <w:t>1,005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3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C3C" w14:textId="77777777" w:rsidR="00980E5F" w:rsidRDefault="00483613">
            <w:pPr>
              <w:jc w:val="right"/>
              <w:textAlignment w:val="bottom"/>
            </w:pPr>
            <w:r>
              <w:rPr>
                <w:rFonts w:ascii="Arial" w:eastAsia="宋体" w:hAnsi="Arial" w:cs="Arial"/>
                <w:color w:val="000000"/>
                <w:sz w:val="14"/>
                <w:szCs w:val="14"/>
              </w:rPr>
              <w:t>1,042 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3E" w14:textId="77777777" w:rsidR="00980E5F" w:rsidRDefault="00980E5F">
            <w:pPr>
              <w:rPr>
                <w:rFonts w:ascii="宋体"/>
              </w:rPr>
            </w:pPr>
          </w:p>
        </w:tc>
        <w:tc>
          <w:tcPr>
            <w:tcW w:w="0" w:type="auto"/>
            <w:gridSpan w:val="3"/>
            <w:shd w:val="clear" w:color="auto" w:fill="auto"/>
            <w:vAlign w:val="bottom"/>
          </w:tcPr>
          <w:p w14:paraId="392C0C3F" w14:textId="77777777" w:rsidR="00980E5F" w:rsidRDefault="00980E5F">
            <w:pPr>
              <w:rPr>
                <w:rFonts w:ascii="宋体"/>
                <w:vanish/>
              </w:rPr>
            </w:pPr>
          </w:p>
        </w:tc>
        <w:tc>
          <w:tcPr>
            <w:tcW w:w="0" w:type="auto"/>
            <w:gridSpan w:val="3"/>
            <w:shd w:val="clear" w:color="auto" w:fill="auto"/>
            <w:vAlign w:val="bottom"/>
          </w:tcPr>
          <w:p w14:paraId="392C0C4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C41" w14:textId="77777777" w:rsidR="00980E5F" w:rsidRDefault="00483613">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392C0C42" w14:textId="77777777" w:rsidR="00980E5F" w:rsidRDefault="00980E5F">
            <w:pPr>
              <w:jc w:val="right"/>
              <w:rPr>
                <w:rFonts w:ascii="宋体"/>
              </w:rPr>
            </w:pPr>
          </w:p>
        </w:tc>
        <w:tc>
          <w:tcPr>
            <w:tcW w:w="0" w:type="auto"/>
            <w:gridSpan w:val="3"/>
            <w:shd w:val="clear" w:color="auto" w:fill="auto"/>
            <w:vAlign w:val="bottom"/>
          </w:tcPr>
          <w:p w14:paraId="392C0C43" w14:textId="77777777" w:rsidR="00980E5F" w:rsidRDefault="00980E5F">
            <w:pPr>
              <w:rPr>
                <w:rFonts w:ascii="宋体"/>
                <w:vanish/>
              </w:rPr>
            </w:pPr>
          </w:p>
        </w:tc>
        <w:tc>
          <w:tcPr>
            <w:tcW w:w="0" w:type="auto"/>
            <w:gridSpan w:val="3"/>
            <w:shd w:val="clear" w:color="auto" w:fill="auto"/>
            <w:vAlign w:val="bottom"/>
          </w:tcPr>
          <w:p w14:paraId="392C0C44" w14:textId="77777777" w:rsidR="00980E5F" w:rsidRDefault="00980E5F">
            <w:pPr>
              <w:rPr>
                <w:rFonts w:ascii="宋体"/>
                <w:vanish/>
              </w:rPr>
            </w:pPr>
          </w:p>
        </w:tc>
      </w:tr>
      <w:tr w:rsidR="00980E5F" w14:paraId="392C0C59" w14:textId="77777777">
        <w:tc>
          <w:tcPr>
            <w:tcW w:w="0" w:type="auto"/>
            <w:gridSpan w:val="3"/>
            <w:shd w:val="clear" w:color="auto" w:fill="CCEEFF"/>
            <w:tcMar>
              <w:top w:w="40" w:type="dxa"/>
              <w:left w:w="20" w:type="dxa"/>
              <w:bottom w:w="40" w:type="dxa"/>
              <w:right w:w="20" w:type="dxa"/>
            </w:tcMar>
            <w:vAlign w:val="bottom"/>
          </w:tcPr>
          <w:p w14:paraId="392C0C46" w14:textId="77777777" w:rsidR="00980E5F" w:rsidRDefault="00483613">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392C0C47" w14:textId="77777777" w:rsidR="00980E5F" w:rsidRDefault="00980E5F">
            <w:pPr>
              <w:rPr>
                <w:rFonts w:ascii="宋体"/>
                <w:vanish/>
              </w:rPr>
            </w:pPr>
          </w:p>
        </w:tc>
        <w:tc>
          <w:tcPr>
            <w:tcW w:w="0" w:type="auto"/>
            <w:shd w:val="clear" w:color="auto" w:fill="auto"/>
            <w:vAlign w:val="bottom"/>
          </w:tcPr>
          <w:p w14:paraId="392C0C48" w14:textId="77777777" w:rsidR="00980E5F" w:rsidRDefault="00980E5F">
            <w:pPr>
              <w:rPr>
                <w:rFonts w:ascii="宋体"/>
                <w:vanish/>
              </w:rPr>
            </w:pPr>
          </w:p>
        </w:tc>
        <w:tc>
          <w:tcPr>
            <w:tcW w:w="0" w:type="auto"/>
            <w:shd w:val="clear" w:color="auto" w:fill="auto"/>
            <w:vAlign w:val="bottom"/>
          </w:tcPr>
          <w:p w14:paraId="392C0C49" w14:textId="77777777" w:rsidR="00980E5F" w:rsidRDefault="00980E5F">
            <w:pPr>
              <w:rPr>
                <w:rFonts w:ascii="宋体"/>
                <w:vanish/>
              </w:rPr>
            </w:pPr>
          </w:p>
        </w:tc>
        <w:tc>
          <w:tcPr>
            <w:tcW w:w="0" w:type="auto"/>
            <w:shd w:val="clear" w:color="auto" w:fill="auto"/>
            <w:vAlign w:val="bottom"/>
          </w:tcPr>
          <w:p w14:paraId="392C0C4A" w14:textId="77777777" w:rsidR="00980E5F" w:rsidRDefault="00980E5F">
            <w:pPr>
              <w:rPr>
                <w:rFonts w:ascii="宋体"/>
                <w:vanish/>
              </w:rPr>
            </w:pPr>
          </w:p>
        </w:tc>
        <w:tc>
          <w:tcPr>
            <w:tcW w:w="0" w:type="auto"/>
            <w:shd w:val="clear" w:color="auto" w:fill="auto"/>
            <w:vAlign w:val="bottom"/>
          </w:tcPr>
          <w:p w14:paraId="392C0C4B" w14:textId="77777777" w:rsidR="00980E5F" w:rsidRDefault="00980E5F">
            <w:pPr>
              <w:rPr>
                <w:rFonts w:ascii="宋体"/>
                <w:vanish/>
              </w:rPr>
            </w:pPr>
          </w:p>
        </w:tc>
        <w:tc>
          <w:tcPr>
            <w:tcW w:w="0" w:type="auto"/>
            <w:shd w:val="clear" w:color="auto" w:fill="auto"/>
            <w:vAlign w:val="bottom"/>
          </w:tcPr>
          <w:p w14:paraId="392C0C4C"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4D"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392C0C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4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C50" w14:textId="77777777" w:rsidR="00980E5F" w:rsidRDefault="00483613">
            <w:pPr>
              <w:jc w:val="right"/>
              <w:textAlignment w:val="bottom"/>
            </w:pPr>
            <w:r>
              <w:rPr>
                <w:rFonts w:ascii="Arial" w:eastAsia="宋体" w:hAnsi="Arial" w:cs="Arial"/>
                <w:color w:val="000000"/>
                <w:sz w:val="14"/>
                <w:szCs w:val="14"/>
              </w:rPr>
              <w:t>(7)</w:t>
            </w:r>
          </w:p>
        </w:tc>
        <w:tc>
          <w:tcPr>
            <w:tcW w:w="0" w:type="auto"/>
            <w:shd w:val="clear" w:color="auto" w:fill="CCEEFF"/>
            <w:tcMar>
              <w:top w:w="40" w:type="dxa"/>
              <w:left w:w="0" w:type="dxa"/>
              <w:bottom w:w="40" w:type="dxa"/>
              <w:right w:w="20" w:type="dxa"/>
            </w:tcMar>
            <w:vAlign w:val="bottom"/>
          </w:tcPr>
          <w:p w14:paraId="392C0C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52" w14:textId="77777777" w:rsidR="00980E5F" w:rsidRDefault="00980E5F">
            <w:pPr>
              <w:rPr>
                <w:rFonts w:ascii="宋体"/>
              </w:rPr>
            </w:pPr>
          </w:p>
        </w:tc>
        <w:tc>
          <w:tcPr>
            <w:tcW w:w="0" w:type="auto"/>
            <w:gridSpan w:val="3"/>
            <w:shd w:val="clear" w:color="auto" w:fill="auto"/>
            <w:vAlign w:val="bottom"/>
          </w:tcPr>
          <w:p w14:paraId="392C0C53" w14:textId="77777777" w:rsidR="00980E5F" w:rsidRDefault="00980E5F">
            <w:pPr>
              <w:rPr>
                <w:rFonts w:ascii="宋体"/>
                <w:vanish/>
              </w:rPr>
            </w:pPr>
          </w:p>
        </w:tc>
        <w:tc>
          <w:tcPr>
            <w:tcW w:w="0" w:type="auto"/>
            <w:gridSpan w:val="3"/>
            <w:shd w:val="clear" w:color="auto" w:fill="auto"/>
            <w:vAlign w:val="bottom"/>
          </w:tcPr>
          <w:p w14:paraId="392C0C54"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55" w14:textId="77777777" w:rsidR="00980E5F" w:rsidRDefault="00483613">
            <w:pPr>
              <w:jc w:val="right"/>
              <w:textAlignment w:val="bottom"/>
            </w:pPr>
            <w:r>
              <w:rPr>
                <w:rFonts w:ascii="Arial" w:eastAsia="宋体" w:hAnsi="Arial" w:cs="Arial"/>
                <w:color w:val="000000"/>
                <w:sz w:val="14"/>
                <w:szCs w:val="14"/>
              </w:rPr>
              <w:t>(43)</w:t>
            </w:r>
          </w:p>
        </w:tc>
        <w:tc>
          <w:tcPr>
            <w:tcW w:w="0" w:type="auto"/>
            <w:shd w:val="clear" w:color="auto" w:fill="CCEEFF"/>
            <w:tcMar>
              <w:top w:w="40" w:type="dxa"/>
              <w:left w:w="0" w:type="dxa"/>
              <w:bottom w:w="40" w:type="dxa"/>
              <w:right w:w="20" w:type="dxa"/>
            </w:tcMar>
            <w:vAlign w:val="bottom"/>
          </w:tcPr>
          <w:p w14:paraId="392C0C56" w14:textId="77777777" w:rsidR="00980E5F" w:rsidRDefault="00980E5F">
            <w:pPr>
              <w:jc w:val="right"/>
              <w:rPr>
                <w:rFonts w:ascii="宋体"/>
              </w:rPr>
            </w:pPr>
          </w:p>
        </w:tc>
        <w:tc>
          <w:tcPr>
            <w:tcW w:w="0" w:type="auto"/>
            <w:gridSpan w:val="3"/>
            <w:shd w:val="clear" w:color="auto" w:fill="auto"/>
            <w:vAlign w:val="bottom"/>
          </w:tcPr>
          <w:p w14:paraId="392C0C57" w14:textId="77777777" w:rsidR="00980E5F" w:rsidRDefault="00980E5F">
            <w:pPr>
              <w:rPr>
                <w:rFonts w:ascii="宋体"/>
                <w:vanish/>
              </w:rPr>
            </w:pPr>
          </w:p>
        </w:tc>
        <w:tc>
          <w:tcPr>
            <w:tcW w:w="0" w:type="auto"/>
            <w:gridSpan w:val="3"/>
            <w:shd w:val="clear" w:color="auto" w:fill="auto"/>
            <w:vAlign w:val="bottom"/>
          </w:tcPr>
          <w:p w14:paraId="392C0C58" w14:textId="77777777" w:rsidR="00980E5F" w:rsidRDefault="00980E5F">
            <w:pPr>
              <w:rPr>
                <w:rFonts w:ascii="宋体"/>
                <w:vanish/>
              </w:rPr>
            </w:pPr>
          </w:p>
        </w:tc>
      </w:tr>
      <w:tr w:rsidR="00980E5F" w14:paraId="392C0C6D" w14:textId="77777777">
        <w:tc>
          <w:tcPr>
            <w:tcW w:w="0" w:type="auto"/>
            <w:gridSpan w:val="3"/>
            <w:shd w:val="clear" w:color="auto" w:fill="FFFFFF"/>
            <w:tcMar>
              <w:top w:w="40" w:type="dxa"/>
              <w:left w:w="20" w:type="dxa"/>
              <w:bottom w:w="40" w:type="dxa"/>
              <w:right w:w="20" w:type="dxa"/>
            </w:tcMar>
            <w:vAlign w:val="bottom"/>
          </w:tcPr>
          <w:p w14:paraId="392C0C5A" w14:textId="77777777" w:rsidR="00980E5F" w:rsidRDefault="00483613">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392C0C5B" w14:textId="77777777" w:rsidR="00980E5F" w:rsidRDefault="00980E5F">
            <w:pPr>
              <w:rPr>
                <w:rFonts w:ascii="宋体"/>
                <w:vanish/>
              </w:rPr>
            </w:pPr>
          </w:p>
        </w:tc>
        <w:tc>
          <w:tcPr>
            <w:tcW w:w="0" w:type="auto"/>
            <w:shd w:val="clear" w:color="auto" w:fill="auto"/>
            <w:vAlign w:val="bottom"/>
          </w:tcPr>
          <w:p w14:paraId="392C0C5C" w14:textId="77777777" w:rsidR="00980E5F" w:rsidRDefault="00980E5F">
            <w:pPr>
              <w:rPr>
                <w:rFonts w:ascii="宋体"/>
                <w:vanish/>
              </w:rPr>
            </w:pPr>
          </w:p>
        </w:tc>
        <w:tc>
          <w:tcPr>
            <w:tcW w:w="0" w:type="auto"/>
            <w:shd w:val="clear" w:color="auto" w:fill="auto"/>
            <w:vAlign w:val="bottom"/>
          </w:tcPr>
          <w:p w14:paraId="392C0C5D" w14:textId="77777777" w:rsidR="00980E5F" w:rsidRDefault="00980E5F">
            <w:pPr>
              <w:rPr>
                <w:rFonts w:ascii="宋体"/>
                <w:vanish/>
              </w:rPr>
            </w:pPr>
          </w:p>
        </w:tc>
        <w:tc>
          <w:tcPr>
            <w:tcW w:w="0" w:type="auto"/>
            <w:shd w:val="clear" w:color="auto" w:fill="auto"/>
            <w:vAlign w:val="bottom"/>
          </w:tcPr>
          <w:p w14:paraId="392C0C5E" w14:textId="77777777" w:rsidR="00980E5F" w:rsidRDefault="00980E5F">
            <w:pPr>
              <w:rPr>
                <w:rFonts w:ascii="宋体"/>
                <w:vanish/>
              </w:rPr>
            </w:pPr>
          </w:p>
        </w:tc>
        <w:tc>
          <w:tcPr>
            <w:tcW w:w="0" w:type="auto"/>
            <w:shd w:val="clear" w:color="auto" w:fill="auto"/>
            <w:vAlign w:val="bottom"/>
          </w:tcPr>
          <w:p w14:paraId="392C0C5F" w14:textId="77777777" w:rsidR="00980E5F" w:rsidRDefault="00980E5F">
            <w:pPr>
              <w:rPr>
                <w:rFonts w:ascii="宋体"/>
                <w:vanish/>
              </w:rPr>
            </w:pPr>
          </w:p>
        </w:tc>
        <w:tc>
          <w:tcPr>
            <w:tcW w:w="0" w:type="auto"/>
            <w:shd w:val="clear" w:color="auto" w:fill="auto"/>
            <w:vAlign w:val="bottom"/>
          </w:tcPr>
          <w:p w14:paraId="392C0C60"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C61" w14:textId="77777777" w:rsidR="00980E5F" w:rsidRDefault="00483613">
            <w:pPr>
              <w:jc w:val="right"/>
              <w:textAlignment w:val="bottom"/>
            </w:pPr>
            <w:r>
              <w:rPr>
                <w:rFonts w:ascii="Arial" w:eastAsia="宋体" w:hAnsi="Arial" w:cs="Arial"/>
                <w:b/>
                <w:bCs/>
                <w:color w:val="000000"/>
                <w:sz w:val="14"/>
                <w:szCs w:val="14"/>
              </w:rPr>
              <w:t>1,001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6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C64" w14:textId="77777777" w:rsidR="00980E5F" w:rsidRDefault="00483613">
            <w:pPr>
              <w:jc w:val="right"/>
              <w:textAlignment w:val="bottom"/>
            </w:pPr>
            <w:r>
              <w:rPr>
                <w:rFonts w:ascii="Arial" w:eastAsia="宋体" w:hAnsi="Arial" w:cs="Arial"/>
                <w:color w:val="000000"/>
                <w:sz w:val="14"/>
                <w:szCs w:val="14"/>
              </w:rPr>
              <w:t>1,035 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66" w14:textId="77777777" w:rsidR="00980E5F" w:rsidRDefault="00980E5F">
            <w:pPr>
              <w:rPr>
                <w:rFonts w:ascii="宋体"/>
              </w:rPr>
            </w:pPr>
          </w:p>
        </w:tc>
        <w:tc>
          <w:tcPr>
            <w:tcW w:w="0" w:type="auto"/>
            <w:gridSpan w:val="3"/>
            <w:shd w:val="clear" w:color="auto" w:fill="auto"/>
            <w:vAlign w:val="bottom"/>
          </w:tcPr>
          <w:p w14:paraId="392C0C67" w14:textId="77777777" w:rsidR="00980E5F" w:rsidRDefault="00980E5F">
            <w:pPr>
              <w:rPr>
                <w:rFonts w:ascii="宋体"/>
                <w:vanish/>
              </w:rPr>
            </w:pPr>
          </w:p>
        </w:tc>
        <w:tc>
          <w:tcPr>
            <w:tcW w:w="0" w:type="auto"/>
            <w:gridSpan w:val="3"/>
            <w:shd w:val="clear" w:color="auto" w:fill="auto"/>
            <w:vAlign w:val="bottom"/>
          </w:tcPr>
          <w:p w14:paraId="392C0C6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C69" w14:textId="77777777" w:rsidR="00980E5F" w:rsidRDefault="00483613">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392C0C6A" w14:textId="77777777" w:rsidR="00980E5F" w:rsidRDefault="00980E5F">
            <w:pPr>
              <w:jc w:val="right"/>
              <w:rPr>
                <w:rFonts w:ascii="宋体"/>
              </w:rPr>
            </w:pPr>
          </w:p>
        </w:tc>
        <w:tc>
          <w:tcPr>
            <w:tcW w:w="0" w:type="auto"/>
            <w:gridSpan w:val="3"/>
            <w:shd w:val="clear" w:color="auto" w:fill="auto"/>
            <w:vAlign w:val="bottom"/>
          </w:tcPr>
          <w:p w14:paraId="392C0C6B" w14:textId="77777777" w:rsidR="00980E5F" w:rsidRDefault="00980E5F">
            <w:pPr>
              <w:rPr>
                <w:rFonts w:ascii="宋体"/>
                <w:vanish/>
              </w:rPr>
            </w:pPr>
          </w:p>
        </w:tc>
        <w:tc>
          <w:tcPr>
            <w:tcW w:w="0" w:type="auto"/>
            <w:gridSpan w:val="3"/>
            <w:shd w:val="clear" w:color="auto" w:fill="auto"/>
            <w:vAlign w:val="bottom"/>
          </w:tcPr>
          <w:p w14:paraId="392C0C6C" w14:textId="77777777" w:rsidR="00980E5F" w:rsidRDefault="00980E5F">
            <w:pPr>
              <w:rPr>
                <w:rFonts w:ascii="宋体"/>
                <w:vanish/>
              </w:rPr>
            </w:pPr>
          </w:p>
        </w:tc>
      </w:tr>
      <w:tr w:rsidR="00980E5F" w14:paraId="392C0C7E" w14:textId="77777777">
        <w:trPr>
          <w:hidden/>
        </w:trPr>
        <w:tc>
          <w:tcPr>
            <w:tcW w:w="0" w:type="auto"/>
            <w:gridSpan w:val="3"/>
            <w:shd w:val="clear" w:color="auto" w:fill="auto"/>
            <w:vAlign w:val="bottom"/>
          </w:tcPr>
          <w:p w14:paraId="392C0C6E" w14:textId="77777777" w:rsidR="00980E5F" w:rsidRDefault="00980E5F">
            <w:pPr>
              <w:rPr>
                <w:rFonts w:ascii="宋体"/>
                <w:vanish/>
              </w:rPr>
            </w:pPr>
          </w:p>
        </w:tc>
        <w:tc>
          <w:tcPr>
            <w:tcW w:w="0" w:type="auto"/>
            <w:shd w:val="clear" w:color="auto" w:fill="auto"/>
            <w:vAlign w:val="bottom"/>
          </w:tcPr>
          <w:p w14:paraId="392C0C6F" w14:textId="77777777" w:rsidR="00980E5F" w:rsidRDefault="00980E5F">
            <w:pPr>
              <w:rPr>
                <w:rFonts w:ascii="宋体"/>
                <w:vanish/>
              </w:rPr>
            </w:pPr>
          </w:p>
        </w:tc>
        <w:tc>
          <w:tcPr>
            <w:tcW w:w="0" w:type="auto"/>
            <w:shd w:val="clear" w:color="auto" w:fill="auto"/>
            <w:vAlign w:val="bottom"/>
          </w:tcPr>
          <w:p w14:paraId="392C0C70" w14:textId="77777777" w:rsidR="00980E5F" w:rsidRDefault="00980E5F">
            <w:pPr>
              <w:rPr>
                <w:rFonts w:ascii="宋体"/>
                <w:vanish/>
              </w:rPr>
            </w:pPr>
          </w:p>
        </w:tc>
        <w:tc>
          <w:tcPr>
            <w:tcW w:w="0" w:type="auto"/>
            <w:shd w:val="clear" w:color="auto" w:fill="auto"/>
            <w:vAlign w:val="bottom"/>
          </w:tcPr>
          <w:p w14:paraId="392C0C71" w14:textId="77777777" w:rsidR="00980E5F" w:rsidRDefault="00980E5F">
            <w:pPr>
              <w:rPr>
                <w:rFonts w:ascii="宋体"/>
                <w:vanish/>
              </w:rPr>
            </w:pPr>
          </w:p>
        </w:tc>
        <w:tc>
          <w:tcPr>
            <w:tcW w:w="0" w:type="auto"/>
            <w:shd w:val="clear" w:color="auto" w:fill="auto"/>
            <w:vAlign w:val="bottom"/>
          </w:tcPr>
          <w:p w14:paraId="392C0C72" w14:textId="77777777" w:rsidR="00980E5F" w:rsidRDefault="00980E5F">
            <w:pPr>
              <w:rPr>
                <w:rFonts w:ascii="宋体"/>
                <w:vanish/>
              </w:rPr>
            </w:pPr>
          </w:p>
        </w:tc>
        <w:tc>
          <w:tcPr>
            <w:tcW w:w="0" w:type="auto"/>
            <w:shd w:val="clear" w:color="auto" w:fill="auto"/>
            <w:vAlign w:val="bottom"/>
          </w:tcPr>
          <w:p w14:paraId="392C0C73" w14:textId="77777777" w:rsidR="00980E5F" w:rsidRDefault="00980E5F">
            <w:pPr>
              <w:rPr>
                <w:rFonts w:ascii="宋体"/>
                <w:vanish/>
              </w:rPr>
            </w:pPr>
          </w:p>
        </w:tc>
        <w:tc>
          <w:tcPr>
            <w:tcW w:w="0" w:type="auto"/>
            <w:shd w:val="clear" w:color="auto" w:fill="auto"/>
            <w:vAlign w:val="bottom"/>
          </w:tcPr>
          <w:p w14:paraId="392C0C74" w14:textId="77777777" w:rsidR="00980E5F" w:rsidRDefault="00980E5F">
            <w:pPr>
              <w:rPr>
                <w:rFonts w:ascii="宋体"/>
                <w:vanish/>
              </w:rPr>
            </w:pPr>
          </w:p>
        </w:tc>
        <w:tc>
          <w:tcPr>
            <w:tcW w:w="0" w:type="auto"/>
            <w:gridSpan w:val="3"/>
            <w:shd w:val="clear" w:color="auto" w:fill="auto"/>
            <w:vAlign w:val="bottom"/>
          </w:tcPr>
          <w:p w14:paraId="392C0C75" w14:textId="77777777" w:rsidR="00980E5F" w:rsidRDefault="00980E5F">
            <w:pPr>
              <w:rPr>
                <w:rFonts w:ascii="宋体"/>
                <w:vanish/>
              </w:rPr>
            </w:pPr>
          </w:p>
        </w:tc>
        <w:tc>
          <w:tcPr>
            <w:tcW w:w="0" w:type="auto"/>
            <w:gridSpan w:val="3"/>
            <w:shd w:val="clear" w:color="auto" w:fill="auto"/>
            <w:vAlign w:val="bottom"/>
          </w:tcPr>
          <w:p w14:paraId="392C0C76" w14:textId="77777777" w:rsidR="00980E5F" w:rsidRDefault="00980E5F">
            <w:pPr>
              <w:rPr>
                <w:rFonts w:ascii="宋体"/>
                <w:vanish/>
              </w:rPr>
            </w:pPr>
          </w:p>
        </w:tc>
        <w:tc>
          <w:tcPr>
            <w:tcW w:w="0" w:type="auto"/>
            <w:gridSpan w:val="3"/>
            <w:shd w:val="clear" w:color="auto" w:fill="auto"/>
            <w:vAlign w:val="bottom"/>
          </w:tcPr>
          <w:p w14:paraId="392C0C77" w14:textId="77777777" w:rsidR="00980E5F" w:rsidRDefault="00980E5F">
            <w:pPr>
              <w:rPr>
                <w:rFonts w:ascii="宋体"/>
                <w:vanish/>
              </w:rPr>
            </w:pPr>
          </w:p>
        </w:tc>
        <w:tc>
          <w:tcPr>
            <w:tcW w:w="0" w:type="auto"/>
            <w:gridSpan w:val="3"/>
            <w:shd w:val="clear" w:color="auto" w:fill="auto"/>
            <w:vAlign w:val="bottom"/>
          </w:tcPr>
          <w:p w14:paraId="392C0C78" w14:textId="77777777" w:rsidR="00980E5F" w:rsidRDefault="00980E5F">
            <w:pPr>
              <w:rPr>
                <w:rFonts w:ascii="宋体"/>
                <w:vanish/>
              </w:rPr>
            </w:pPr>
          </w:p>
        </w:tc>
        <w:tc>
          <w:tcPr>
            <w:tcW w:w="0" w:type="auto"/>
            <w:gridSpan w:val="3"/>
            <w:shd w:val="clear" w:color="auto" w:fill="auto"/>
            <w:vAlign w:val="bottom"/>
          </w:tcPr>
          <w:p w14:paraId="392C0C79" w14:textId="77777777" w:rsidR="00980E5F" w:rsidRDefault="00980E5F">
            <w:pPr>
              <w:rPr>
                <w:rFonts w:ascii="宋体"/>
                <w:vanish/>
              </w:rPr>
            </w:pPr>
          </w:p>
        </w:tc>
        <w:tc>
          <w:tcPr>
            <w:tcW w:w="0" w:type="auto"/>
            <w:gridSpan w:val="3"/>
            <w:shd w:val="clear" w:color="auto" w:fill="auto"/>
            <w:vAlign w:val="bottom"/>
          </w:tcPr>
          <w:p w14:paraId="392C0C7A" w14:textId="77777777" w:rsidR="00980E5F" w:rsidRDefault="00980E5F">
            <w:pPr>
              <w:rPr>
                <w:rFonts w:ascii="宋体"/>
                <w:vanish/>
              </w:rPr>
            </w:pPr>
          </w:p>
        </w:tc>
        <w:tc>
          <w:tcPr>
            <w:tcW w:w="0" w:type="auto"/>
            <w:gridSpan w:val="3"/>
            <w:shd w:val="clear" w:color="auto" w:fill="auto"/>
            <w:vAlign w:val="bottom"/>
          </w:tcPr>
          <w:p w14:paraId="392C0C7B" w14:textId="77777777" w:rsidR="00980E5F" w:rsidRDefault="00980E5F">
            <w:pPr>
              <w:rPr>
                <w:rFonts w:ascii="宋体"/>
                <w:vanish/>
              </w:rPr>
            </w:pPr>
          </w:p>
        </w:tc>
        <w:tc>
          <w:tcPr>
            <w:tcW w:w="0" w:type="auto"/>
            <w:gridSpan w:val="3"/>
            <w:shd w:val="clear" w:color="auto" w:fill="auto"/>
            <w:vAlign w:val="bottom"/>
          </w:tcPr>
          <w:p w14:paraId="392C0C7C" w14:textId="77777777" w:rsidR="00980E5F" w:rsidRDefault="00980E5F">
            <w:pPr>
              <w:rPr>
                <w:rFonts w:ascii="宋体"/>
                <w:vanish/>
              </w:rPr>
            </w:pPr>
          </w:p>
        </w:tc>
        <w:tc>
          <w:tcPr>
            <w:tcW w:w="0" w:type="auto"/>
            <w:gridSpan w:val="3"/>
            <w:shd w:val="clear" w:color="auto" w:fill="auto"/>
            <w:vAlign w:val="bottom"/>
          </w:tcPr>
          <w:p w14:paraId="392C0C7D" w14:textId="77777777" w:rsidR="00980E5F" w:rsidRDefault="00980E5F">
            <w:pPr>
              <w:rPr>
                <w:rFonts w:ascii="宋体"/>
                <w:vanish/>
              </w:rPr>
            </w:pPr>
          </w:p>
        </w:tc>
      </w:tr>
      <w:tr w:rsidR="00980E5F" w14:paraId="392C0C92" w14:textId="77777777">
        <w:tc>
          <w:tcPr>
            <w:tcW w:w="0" w:type="auto"/>
            <w:gridSpan w:val="3"/>
            <w:shd w:val="clear" w:color="auto" w:fill="CCEEFF"/>
            <w:tcMar>
              <w:top w:w="40" w:type="dxa"/>
              <w:left w:w="20" w:type="dxa"/>
              <w:bottom w:w="40" w:type="dxa"/>
              <w:right w:w="20" w:type="dxa"/>
            </w:tcMar>
            <w:vAlign w:val="bottom"/>
          </w:tcPr>
          <w:p w14:paraId="392C0C7F" w14:textId="77777777" w:rsidR="00980E5F" w:rsidRDefault="00483613">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392C0C80" w14:textId="77777777" w:rsidR="00980E5F" w:rsidRDefault="00980E5F">
            <w:pPr>
              <w:rPr>
                <w:rFonts w:ascii="宋体"/>
                <w:vanish/>
              </w:rPr>
            </w:pPr>
          </w:p>
        </w:tc>
        <w:tc>
          <w:tcPr>
            <w:tcW w:w="0" w:type="auto"/>
            <w:shd w:val="clear" w:color="auto" w:fill="auto"/>
            <w:vAlign w:val="bottom"/>
          </w:tcPr>
          <w:p w14:paraId="392C0C81" w14:textId="77777777" w:rsidR="00980E5F" w:rsidRDefault="00980E5F">
            <w:pPr>
              <w:rPr>
                <w:rFonts w:ascii="宋体"/>
                <w:vanish/>
              </w:rPr>
            </w:pPr>
          </w:p>
        </w:tc>
        <w:tc>
          <w:tcPr>
            <w:tcW w:w="0" w:type="auto"/>
            <w:shd w:val="clear" w:color="auto" w:fill="auto"/>
            <w:vAlign w:val="bottom"/>
          </w:tcPr>
          <w:p w14:paraId="392C0C82" w14:textId="77777777" w:rsidR="00980E5F" w:rsidRDefault="00980E5F">
            <w:pPr>
              <w:rPr>
                <w:rFonts w:ascii="宋体"/>
                <w:vanish/>
              </w:rPr>
            </w:pPr>
          </w:p>
        </w:tc>
        <w:tc>
          <w:tcPr>
            <w:tcW w:w="0" w:type="auto"/>
            <w:shd w:val="clear" w:color="auto" w:fill="auto"/>
            <w:vAlign w:val="bottom"/>
          </w:tcPr>
          <w:p w14:paraId="392C0C83" w14:textId="77777777" w:rsidR="00980E5F" w:rsidRDefault="00980E5F">
            <w:pPr>
              <w:rPr>
                <w:rFonts w:ascii="宋体"/>
                <w:vanish/>
              </w:rPr>
            </w:pPr>
          </w:p>
        </w:tc>
        <w:tc>
          <w:tcPr>
            <w:tcW w:w="0" w:type="auto"/>
            <w:shd w:val="clear" w:color="auto" w:fill="auto"/>
            <w:vAlign w:val="bottom"/>
          </w:tcPr>
          <w:p w14:paraId="392C0C84" w14:textId="77777777" w:rsidR="00980E5F" w:rsidRDefault="00980E5F">
            <w:pPr>
              <w:rPr>
                <w:rFonts w:ascii="宋体"/>
                <w:vanish/>
              </w:rPr>
            </w:pPr>
          </w:p>
        </w:tc>
        <w:tc>
          <w:tcPr>
            <w:tcW w:w="0" w:type="auto"/>
            <w:shd w:val="clear" w:color="auto" w:fill="auto"/>
            <w:vAlign w:val="bottom"/>
          </w:tcPr>
          <w:p w14:paraId="392C0C85"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86" w14:textId="77777777" w:rsidR="00980E5F" w:rsidRDefault="00483613">
            <w:pPr>
              <w:jc w:val="right"/>
              <w:textAlignment w:val="bottom"/>
            </w:pPr>
            <w:r>
              <w:rPr>
                <w:rFonts w:ascii="Arial" w:eastAsia="宋体" w:hAnsi="Arial" w:cs="Arial"/>
                <w:b/>
                <w:bCs/>
                <w:color w:val="000000"/>
                <w:sz w:val="14"/>
                <w:szCs w:val="14"/>
              </w:rPr>
              <w:t>716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C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8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C89" w14:textId="77777777" w:rsidR="00980E5F" w:rsidRDefault="00483613">
            <w:pPr>
              <w:jc w:val="right"/>
              <w:textAlignment w:val="bottom"/>
            </w:pPr>
            <w:r>
              <w:rPr>
                <w:rFonts w:ascii="Arial" w:eastAsia="宋体" w:hAnsi="Arial" w:cs="Arial"/>
                <w:color w:val="000000"/>
                <w:sz w:val="14"/>
                <w:szCs w:val="14"/>
              </w:rPr>
              <w:t>743 </w:t>
            </w:r>
          </w:p>
        </w:tc>
        <w:tc>
          <w:tcPr>
            <w:tcW w:w="0" w:type="auto"/>
            <w:shd w:val="clear" w:color="auto" w:fill="CCEEFF"/>
            <w:tcMar>
              <w:top w:w="40" w:type="dxa"/>
              <w:left w:w="0" w:type="dxa"/>
              <w:bottom w:w="40" w:type="dxa"/>
              <w:right w:w="20" w:type="dxa"/>
            </w:tcMar>
            <w:vAlign w:val="bottom"/>
          </w:tcPr>
          <w:p w14:paraId="392C0C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C8B" w14:textId="77777777" w:rsidR="00980E5F" w:rsidRDefault="00980E5F">
            <w:pPr>
              <w:rPr>
                <w:rFonts w:ascii="宋体"/>
              </w:rPr>
            </w:pPr>
          </w:p>
        </w:tc>
        <w:tc>
          <w:tcPr>
            <w:tcW w:w="0" w:type="auto"/>
            <w:gridSpan w:val="3"/>
            <w:shd w:val="clear" w:color="auto" w:fill="auto"/>
            <w:vAlign w:val="bottom"/>
          </w:tcPr>
          <w:p w14:paraId="392C0C8C" w14:textId="77777777" w:rsidR="00980E5F" w:rsidRDefault="00980E5F">
            <w:pPr>
              <w:rPr>
                <w:rFonts w:ascii="宋体"/>
                <w:vanish/>
              </w:rPr>
            </w:pPr>
          </w:p>
        </w:tc>
        <w:tc>
          <w:tcPr>
            <w:tcW w:w="0" w:type="auto"/>
            <w:gridSpan w:val="3"/>
            <w:shd w:val="clear" w:color="auto" w:fill="auto"/>
            <w:vAlign w:val="bottom"/>
          </w:tcPr>
          <w:p w14:paraId="392C0C8D"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0C8E" w14:textId="77777777" w:rsidR="00980E5F" w:rsidRDefault="00483613">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92C0C8F" w14:textId="77777777" w:rsidR="00980E5F" w:rsidRDefault="00980E5F">
            <w:pPr>
              <w:jc w:val="right"/>
              <w:rPr>
                <w:rFonts w:ascii="宋体"/>
              </w:rPr>
            </w:pPr>
          </w:p>
        </w:tc>
        <w:tc>
          <w:tcPr>
            <w:tcW w:w="0" w:type="auto"/>
            <w:gridSpan w:val="3"/>
            <w:shd w:val="clear" w:color="auto" w:fill="auto"/>
            <w:vAlign w:val="bottom"/>
          </w:tcPr>
          <w:p w14:paraId="392C0C90" w14:textId="77777777" w:rsidR="00980E5F" w:rsidRDefault="00980E5F">
            <w:pPr>
              <w:rPr>
                <w:rFonts w:ascii="宋体"/>
                <w:vanish/>
              </w:rPr>
            </w:pPr>
          </w:p>
        </w:tc>
        <w:tc>
          <w:tcPr>
            <w:tcW w:w="0" w:type="auto"/>
            <w:gridSpan w:val="3"/>
            <w:shd w:val="clear" w:color="auto" w:fill="auto"/>
            <w:vAlign w:val="bottom"/>
          </w:tcPr>
          <w:p w14:paraId="392C0C91" w14:textId="77777777" w:rsidR="00980E5F" w:rsidRDefault="00980E5F">
            <w:pPr>
              <w:rPr>
                <w:rFonts w:ascii="宋体"/>
                <w:vanish/>
              </w:rPr>
            </w:pPr>
          </w:p>
        </w:tc>
      </w:tr>
      <w:tr w:rsidR="00980E5F" w14:paraId="392C0CA8" w14:textId="77777777">
        <w:tc>
          <w:tcPr>
            <w:tcW w:w="0" w:type="auto"/>
            <w:gridSpan w:val="3"/>
            <w:shd w:val="clear" w:color="auto" w:fill="FFFFFF"/>
            <w:tcMar>
              <w:top w:w="40" w:type="dxa"/>
              <w:left w:w="20" w:type="dxa"/>
              <w:bottom w:w="40" w:type="dxa"/>
              <w:right w:w="20" w:type="dxa"/>
            </w:tcMar>
            <w:vAlign w:val="bottom"/>
          </w:tcPr>
          <w:p w14:paraId="392C0C93"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392C0C94" w14:textId="77777777" w:rsidR="00980E5F" w:rsidRDefault="00980E5F">
            <w:pPr>
              <w:rPr>
                <w:rFonts w:ascii="宋体"/>
                <w:vanish/>
              </w:rPr>
            </w:pPr>
          </w:p>
        </w:tc>
        <w:tc>
          <w:tcPr>
            <w:tcW w:w="0" w:type="auto"/>
            <w:shd w:val="clear" w:color="auto" w:fill="auto"/>
            <w:vAlign w:val="bottom"/>
          </w:tcPr>
          <w:p w14:paraId="392C0C95" w14:textId="77777777" w:rsidR="00980E5F" w:rsidRDefault="00980E5F">
            <w:pPr>
              <w:rPr>
                <w:rFonts w:ascii="宋体"/>
                <w:vanish/>
              </w:rPr>
            </w:pPr>
          </w:p>
        </w:tc>
        <w:tc>
          <w:tcPr>
            <w:tcW w:w="0" w:type="auto"/>
            <w:shd w:val="clear" w:color="auto" w:fill="auto"/>
            <w:vAlign w:val="bottom"/>
          </w:tcPr>
          <w:p w14:paraId="392C0C96" w14:textId="77777777" w:rsidR="00980E5F" w:rsidRDefault="00980E5F">
            <w:pPr>
              <w:rPr>
                <w:rFonts w:ascii="宋体"/>
                <w:vanish/>
              </w:rPr>
            </w:pPr>
          </w:p>
        </w:tc>
        <w:tc>
          <w:tcPr>
            <w:tcW w:w="0" w:type="auto"/>
            <w:shd w:val="clear" w:color="auto" w:fill="auto"/>
            <w:vAlign w:val="bottom"/>
          </w:tcPr>
          <w:p w14:paraId="392C0C97" w14:textId="77777777" w:rsidR="00980E5F" w:rsidRDefault="00980E5F">
            <w:pPr>
              <w:rPr>
                <w:rFonts w:ascii="宋体"/>
                <w:vanish/>
              </w:rPr>
            </w:pPr>
          </w:p>
        </w:tc>
        <w:tc>
          <w:tcPr>
            <w:tcW w:w="0" w:type="auto"/>
            <w:shd w:val="clear" w:color="auto" w:fill="auto"/>
            <w:vAlign w:val="bottom"/>
          </w:tcPr>
          <w:p w14:paraId="392C0C98" w14:textId="77777777" w:rsidR="00980E5F" w:rsidRDefault="00980E5F">
            <w:pPr>
              <w:rPr>
                <w:rFonts w:ascii="宋体"/>
                <w:vanish/>
              </w:rPr>
            </w:pPr>
          </w:p>
        </w:tc>
        <w:tc>
          <w:tcPr>
            <w:tcW w:w="0" w:type="auto"/>
            <w:shd w:val="clear" w:color="auto" w:fill="auto"/>
            <w:vAlign w:val="bottom"/>
          </w:tcPr>
          <w:p w14:paraId="392C0C99"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C9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C9B" w14:textId="77777777" w:rsidR="00980E5F" w:rsidRDefault="00483613">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9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C9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C9F" w14:textId="77777777" w:rsidR="00980E5F" w:rsidRDefault="00483613">
            <w:pPr>
              <w:jc w:val="right"/>
              <w:textAlignment w:val="bottom"/>
            </w:pPr>
            <w:r>
              <w:rPr>
                <w:rFonts w:ascii="Arial" w:eastAsia="宋体" w:hAnsi="Arial" w:cs="Arial"/>
                <w:color w:val="000000"/>
                <w:sz w:val="14"/>
                <w:szCs w:val="14"/>
              </w:rPr>
              <w:t>292 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C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CA1" w14:textId="77777777" w:rsidR="00980E5F" w:rsidRDefault="00980E5F">
            <w:pPr>
              <w:rPr>
                <w:rFonts w:ascii="宋体"/>
              </w:rPr>
            </w:pPr>
          </w:p>
        </w:tc>
        <w:tc>
          <w:tcPr>
            <w:tcW w:w="0" w:type="auto"/>
            <w:gridSpan w:val="3"/>
            <w:shd w:val="clear" w:color="auto" w:fill="auto"/>
            <w:vAlign w:val="bottom"/>
          </w:tcPr>
          <w:p w14:paraId="392C0CA2" w14:textId="77777777" w:rsidR="00980E5F" w:rsidRDefault="00980E5F">
            <w:pPr>
              <w:rPr>
                <w:rFonts w:ascii="宋体"/>
                <w:vanish/>
              </w:rPr>
            </w:pPr>
          </w:p>
        </w:tc>
        <w:tc>
          <w:tcPr>
            <w:tcW w:w="0" w:type="auto"/>
            <w:gridSpan w:val="3"/>
            <w:shd w:val="clear" w:color="auto" w:fill="auto"/>
            <w:vAlign w:val="bottom"/>
          </w:tcPr>
          <w:p w14:paraId="392C0CA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0CA4"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0CA5" w14:textId="77777777" w:rsidR="00980E5F" w:rsidRDefault="00980E5F">
            <w:pPr>
              <w:jc w:val="right"/>
              <w:rPr>
                <w:rFonts w:ascii="宋体"/>
              </w:rPr>
            </w:pPr>
          </w:p>
        </w:tc>
        <w:tc>
          <w:tcPr>
            <w:tcW w:w="0" w:type="auto"/>
            <w:gridSpan w:val="3"/>
            <w:shd w:val="clear" w:color="auto" w:fill="auto"/>
            <w:vAlign w:val="bottom"/>
          </w:tcPr>
          <w:p w14:paraId="392C0CA6" w14:textId="77777777" w:rsidR="00980E5F" w:rsidRDefault="00980E5F">
            <w:pPr>
              <w:rPr>
                <w:rFonts w:ascii="宋体"/>
                <w:vanish/>
              </w:rPr>
            </w:pPr>
          </w:p>
        </w:tc>
        <w:tc>
          <w:tcPr>
            <w:tcW w:w="0" w:type="auto"/>
            <w:gridSpan w:val="3"/>
            <w:shd w:val="clear" w:color="auto" w:fill="auto"/>
            <w:vAlign w:val="bottom"/>
          </w:tcPr>
          <w:p w14:paraId="392C0CA7" w14:textId="77777777" w:rsidR="00980E5F" w:rsidRDefault="00980E5F">
            <w:pPr>
              <w:rPr>
                <w:rFonts w:ascii="宋体"/>
                <w:vanish/>
              </w:rPr>
            </w:pPr>
          </w:p>
        </w:tc>
      </w:tr>
      <w:tr w:rsidR="00980E5F" w14:paraId="392C0CBB" w14:textId="77777777">
        <w:tc>
          <w:tcPr>
            <w:tcW w:w="0" w:type="auto"/>
            <w:gridSpan w:val="3"/>
            <w:shd w:val="clear" w:color="auto" w:fill="CCEEFF"/>
            <w:tcMar>
              <w:top w:w="40" w:type="dxa"/>
              <w:left w:w="20" w:type="dxa"/>
              <w:bottom w:w="40" w:type="dxa"/>
              <w:right w:w="20" w:type="dxa"/>
            </w:tcMar>
            <w:vAlign w:val="bottom"/>
          </w:tcPr>
          <w:p w14:paraId="392C0CA9" w14:textId="77777777" w:rsidR="00980E5F" w:rsidRDefault="00483613">
            <w:pPr>
              <w:textAlignment w:val="bottom"/>
            </w:pPr>
            <w:r>
              <w:rPr>
                <w:rFonts w:ascii="Arial" w:eastAsia="宋体" w:hAnsi="Arial" w:cs="Arial"/>
                <w:color w:val="000000"/>
                <w:sz w:val="14"/>
                <w:szCs w:val="14"/>
              </w:rPr>
              <w:t>Pre-tax margin</w:t>
            </w:r>
          </w:p>
        </w:tc>
        <w:tc>
          <w:tcPr>
            <w:tcW w:w="0" w:type="auto"/>
            <w:shd w:val="clear" w:color="auto" w:fill="auto"/>
            <w:vAlign w:val="bottom"/>
          </w:tcPr>
          <w:p w14:paraId="392C0CAA" w14:textId="77777777" w:rsidR="00980E5F" w:rsidRDefault="00980E5F">
            <w:pPr>
              <w:rPr>
                <w:rFonts w:ascii="宋体"/>
                <w:vanish/>
              </w:rPr>
            </w:pPr>
          </w:p>
        </w:tc>
        <w:tc>
          <w:tcPr>
            <w:tcW w:w="0" w:type="auto"/>
            <w:shd w:val="clear" w:color="auto" w:fill="auto"/>
            <w:vAlign w:val="bottom"/>
          </w:tcPr>
          <w:p w14:paraId="392C0CAB" w14:textId="77777777" w:rsidR="00980E5F" w:rsidRDefault="00980E5F">
            <w:pPr>
              <w:rPr>
                <w:rFonts w:ascii="宋体"/>
                <w:vanish/>
              </w:rPr>
            </w:pPr>
          </w:p>
        </w:tc>
        <w:tc>
          <w:tcPr>
            <w:tcW w:w="0" w:type="auto"/>
            <w:shd w:val="clear" w:color="auto" w:fill="auto"/>
            <w:vAlign w:val="bottom"/>
          </w:tcPr>
          <w:p w14:paraId="392C0CAC" w14:textId="77777777" w:rsidR="00980E5F" w:rsidRDefault="00980E5F">
            <w:pPr>
              <w:rPr>
                <w:rFonts w:ascii="宋体"/>
                <w:vanish/>
              </w:rPr>
            </w:pPr>
          </w:p>
        </w:tc>
        <w:tc>
          <w:tcPr>
            <w:tcW w:w="0" w:type="auto"/>
            <w:shd w:val="clear" w:color="auto" w:fill="auto"/>
            <w:vAlign w:val="bottom"/>
          </w:tcPr>
          <w:p w14:paraId="392C0CAD" w14:textId="77777777" w:rsidR="00980E5F" w:rsidRDefault="00980E5F">
            <w:pPr>
              <w:rPr>
                <w:rFonts w:ascii="宋体"/>
                <w:vanish/>
              </w:rPr>
            </w:pPr>
          </w:p>
        </w:tc>
        <w:tc>
          <w:tcPr>
            <w:tcW w:w="0" w:type="auto"/>
            <w:shd w:val="clear" w:color="auto" w:fill="auto"/>
            <w:vAlign w:val="bottom"/>
          </w:tcPr>
          <w:p w14:paraId="392C0CAE" w14:textId="77777777" w:rsidR="00980E5F" w:rsidRDefault="00980E5F">
            <w:pPr>
              <w:rPr>
                <w:rFonts w:ascii="宋体"/>
                <w:vanish/>
              </w:rPr>
            </w:pPr>
          </w:p>
        </w:tc>
        <w:tc>
          <w:tcPr>
            <w:tcW w:w="0" w:type="auto"/>
            <w:shd w:val="clear" w:color="auto" w:fill="auto"/>
            <w:vAlign w:val="bottom"/>
          </w:tcPr>
          <w:p w14:paraId="392C0CAF" w14:textId="77777777" w:rsidR="00980E5F" w:rsidRDefault="00980E5F">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CB0" w14:textId="77777777" w:rsidR="00980E5F" w:rsidRDefault="00483613">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CB1"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CB2" w14:textId="77777777" w:rsidR="00980E5F" w:rsidRDefault="00980E5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392C0CB3" w14:textId="77777777" w:rsidR="00980E5F" w:rsidRDefault="00483613">
            <w:pPr>
              <w:jc w:val="right"/>
              <w:textAlignment w:val="bottom"/>
            </w:pPr>
            <w:r>
              <w:rPr>
                <w:rFonts w:ascii="Arial" w:eastAsia="宋体" w:hAnsi="Arial" w:cs="Arial"/>
                <w:color w:val="000000"/>
                <w:sz w:val="14"/>
                <w:szCs w:val="14"/>
              </w:rPr>
              <w:t>28.2 </w:t>
            </w:r>
          </w:p>
        </w:tc>
        <w:tc>
          <w:tcPr>
            <w:tcW w:w="0" w:type="auto"/>
            <w:tcBorders>
              <w:top w:val="double" w:sz="6" w:space="0" w:color="000000"/>
            </w:tcBorders>
            <w:shd w:val="clear" w:color="auto" w:fill="CCEEFF"/>
            <w:tcMar>
              <w:top w:w="40" w:type="dxa"/>
              <w:left w:w="0" w:type="dxa"/>
              <w:bottom w:w="40" w:type="dxa"/>
              <w:right w:w="20" w:type="dxa"/>
            </w:tcMar>
            <w:vAlign w:val="bottom"/>
          </w:tcPr>
          <w:p w14:paraId="392C0CB4"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0CB5" w14:textId="77777777" w:rsidR="00980E5F" w:rsidRDefault="00980E5F">
            <w:pPr>
              <w:rPr>
                <w:rFonts w:ascii="宋体"/>
              </w:rPr>
            </w:pPr>
          </w:p>
        </w:tc>
        <w:tc>
          <w:tcPr>
            <w:tcW w:w="0" w:type="auto"/>
            <w:gridSpan w:val="3"/>
            <w:shd w:val="clear" w:color="auto" w:fill="auto"/>
            <w:vAlign w:val="bottom"/>
          </w:tcPr>
          <w:p w14:paraId="392C0CB6" w14:textId="77777777" w:rsidR="00980E5F" w:rsidRDefault="00980E5F">
            <w:pPr>
              <w:rPr>
                <w:rFonts w:ascii="宋体"/>
                <w:vanish/>
              </w:rPr>
            </w:pPr>
          </w:p>
        </w:tc>
        <w:tc>
          <w:tcPr>
            <w:tcW w:w="0" w:type="auto"/>
            <w:gridSpan w:val="3"/>
            <w:shd w:val="clear" w:color="auto" w:fill="auto"/>
            <w:vAlign w:val="bottom"/>
          </w:tcPr>
          <w:p w14:paraId="392C0CB7" w14:textId="77777777" w:rsidR="00980E5F" w:rsidRDefault="00980E5F">
            <w:pPr>
              <w:rPr>
                <w:rFonts w:ascii="宋体"/>
                <w:vanish/>
              </w:rPr>
            </w:pPr>
          </w:p>
        </w:tc>
        <w:tc>
          <w:tcPr>
            <w:tcW w:w="0" w:type="auto"/>
            <w:gridSpan w:val="3"/>
            <w:shd w:val="clear" w:color="auto" w:fill="CCEEFF"/>
            <w:tcMar>
              <w:top w:w="40" w:type="dxa"/>
              <w:left w:w="20" w:type="dxa"/>
              <w:bottom w:w="40" w:type="dxa"/>
              <w:right w:w="20" w:type="dxa"/>
            </w:tcMar>
            <w:vAlign w:val="bottom"/>
          </w:tcPr>
          <w:p w14:paraId="392C0CB8" w14:textId="77777777" w:rsidR="00980E5F" w:rsidRDefault="00483613">
            <w:pPr>
              <w:jc w:val="right"/>
              <w:textAlignment w:val="bottom"/>
            </w:pPr>
            <w:r>
              <w:rPr>
                <w:rFonts w:ascii="Arial" w:eastAsia="宋体" w:hAnsi="Arial" w:cs="Arial"/>
                <w:color w:val="000000"/>
                <w:sz w:val="14"/>
                <w:szCs w:val="14"/>
              </w:rPr>
              <w:t>30 bps</w:t>
            </w:r>
          </w:p>
        </w:tc>
        <w:tc>
          <w:tcPr>
            <w:tcW w:w="0" w:type="auto"/>
            <w:gridSpan w:val="3"/>
            <w:shd w:val="clear" w:color="auto" w:fill="auto"/>
            <w:vAlign w:val="bottom"/>
          </w:tcPr>
          <w:p w14:paraId="392C0CB9" w14:textId="77777777" w:rsidR="00980E5F" w:rsidRDefault="00980E5F">
            <w:pPr>
              <w:rPr>
                <w:rFonts w:ascii="宋体"/>
                <w:vanish/>
              </w:rPr>
            </w:pPr>
          </w:p>
        </w:tc>
        <w:tc>
          <w:tcPr>
            <w:tcW w:w="0" w:type="auto"/>
            <w:gridSpan w:val="3"/>
            <w:shd w:val="clear" w:color="auto" w:fill="auto"/>
            <w:vAlign w:val="bottom"/>
          </w:tcPr>
          <w:p w14:paraId="392C0CBA" w14:textId="77777777" w:rsidR="00980E5F" w:rsidRDefault="00980E5F">
            <w:pPr>
              <w:rPr>
                <w:rFonts w:ascii="宋体"/>
                <w:vanish/>
              </w:rPr>
            </w:pPr>
          </w:p>
        </w:tc>
      </w:tr>
    </w:tbl>
    <w:p w14:paraId="392C0CBC"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980E5F" w14:paraId="392C0CC3" w14:textId="77777777">
        <w:tc>
          <w:tcPr>
            <w:tcW w:w="50" w:type="pct"/>
            <w:shd w:val="clear" w:color="auto" w:fill="auto"/>
            <w:vAlign w:val="bottom"/>
          </w:tcPr>
          <w:p w14:paraId="392C0CBD" w14:textId="77777777" w:rsidR="00980E5F" w:rsidRDefault="00980E5F">
            <w:pPr>
              <w:rPr>
                <w:rFonts w:ascii="宋体"/>
              </w:rPr>
            </w:pPr>
          </w:p>
        </w:tc>
        <w:tc>
          <w:tcPr>
            <w:tcW w:w="2963" w:type="pct"/>
            <w:shd w:val="clear" w:color="auto" w:fill="auto"/>
            <w:vAlign w:val="bottom"/>
          </w:tcPr>
          <w:p w14:paraId="392C0CBE" w14:textId="77777777" w:rsidR="00980E5F" w:rsidRDefault="00980E5F">
            <w:pPr>
              <w:rPr>
                <w:rFonts w:ascii="宋体"/>
              </w:rPr>
            </w:pPr>
          </w:p>
        </w:tc>
        <w:tc>
          <w:tcPr>
            <w:tcW w:w="5" w:type="pct"/>
            <w:shd w:val="clear" w:color="auto" w:fill="auto"/>
            <w:vAlign w:val="bottom"/>
          </w:tcPr>
          <w:p w14:paraId="392C0CBF" w14:textId="77777777" w:rsidR="00980E5F" w:rsidRDefault="00980E5F">
            <w:pPr>
              <w:rPr>
                <w:rFonts w:ascii="宋体"/>
              </w:rPr>
            </w:pPr>
          </w:p>
        </w:tc>
        <w:tc>
          <w:tcPr>
            <w:tcW w:w="50" w:type="pct"/>
            <w:shd w:val="clear" w:color="auto" w:fill="auto"/>
            <w:vAlign w:val="bottom"/>
          </w:tcPr>
          <w:p w14:paraId="392C0CC0" w14:textId="77777777" w:rsidR="00980E5F" w:rsidRDefault="00980E5F">
            <w:pPr>
              <w:rPr>
                <w:rFonts w:ascii="宋体"/>
              </w:rPr>
            </w:pPr>
          </w:p>
        </w:tc>
        <w:tc>
          <w:tcPr>
            <w:tcW w:w="1926" w:type="pct"/>
            <w:shd w:val="clear" w:color="auto" w:fill="auto"/>
            <w:vAlign w:val="bottom"/>
          </w:tcPr>
          <w:p w14:paraId="392C0CC1" w14:textId="77777777" w:rsidR="00980E5F" w:rsidRDefault="00980E5F">
            <w:pPr>
              <w:rPr>
                <w:rFonts w:ascii="宋体"/>
              </w:rPr>
            </w:pPr>
          </w:p>
        </w:tc>
        <w:tc>
          <w:tcPr>
            <w:tcW w:w="5" w:type="pct"/>
            <w:shd w:val="clear" w:color="auto" w:fill="auto"/>
            <w:vAlign w:val="bottom"/>
          </w:tcPr>
          <w:p w14:paraId="392C0CC2" w14:textId="77777777" w:rsidR="00980E5F" w:rsidRDefault="00980E5F">
            <w:pPr>
              <w:rPr>
                <w:rFonts w:ascii="宋体"/>
              </w:rPr>
            </w:pPr>
          </w:p>
        </w:tc>
      </w:tr>
      <w:tr w:rsidR="00980E5F" w14:paraId="392C0CC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0C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CC5" w14:textId="77777777" w:rsidR="00980E5F" w:rsidRDefault="00980E5F">
            <w:pPr>
              <w:rPr>
                <w:rFonts w:ascii="宋体"/>
              </w:rPr>
            </w:pPr>
          </w:p>
        </w:tc>
      </w:tr>
    </w:tbl>
    <w:p w14:paraId="392C0CC7" w14:textId="77777777" w:rsidR="00980E5F" w:rsidRDefault="00483613">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Includes revenues from SPDR® Gold Shares and SPDR® Gold MiniSharesSM Trust AUM where we are not the investment manager but act as the marketing agent.</w:t>
      </w:r>
    </w:p>
    <w:p w14:paraId="392C0CC8" w14:textId="77777777" w:rsidR="00980E5F" w:rsidRDefault="00483613">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Includes revenue for reimbursements received for certain ETFs associated with State Street Global Advisors where we act as the distribution and marketing agent.</w:t>
      </w:r>
    </w:p>
    <w:p w14:paraId="392C0CC9" w14:textId="77777777" w:rsidR="00980E5F" w:rsidRDefault="00483613">
      <w:pPr>
        <w:spacing w:before="60"/>
        <w:jc w:val="both"/>
        <w:textAlignment w:val="top"/>
      </w:pPr>
      <w:r>
        <w:rPr>
          <w:rFonts w:ascii="Arial" w:eastAsia="宋体" w:hAnsi="Arial" w:cs="Arial"/>
          <w:color w:val="000000"/>
          <w:sz w:val="8"/>
          <w:szCs w:val="8"/>
        </w:rPr>
        <w:t>(3)</w:t>
      </w:r>
      <w:r>
        <w:rPr>
          <w:rFonts w:ascii="Arial" w:eastAsia="宋体" w:hAnsi="Arial" w:cs="Arial"/>
          <w:color w:val="000000"/>
          <w:sz w:val="13"/>
          <w:szCs w:val="13"/>
        </w:rPr>
        <w:t xml:space="preserve"> Includes other revenue items that are primarily driven by equity market movements.</w:t>
      </w:r>
    </w:p>
    <w:p w14:paraId="392C0CCA" w14:textId="77777777" w:rsidR="00980E5F" w:rsidRDefault="00483613">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392C0CCB" w14:textId="77777777" w:rsidR="00980E5F" w:rsidRDefault="00483613">
      <w:pPr>
        <w:spacing w:before="60"/>
        <w:ind w:firstLine="450"/>
        <w:jc w:val="both"/>
        <w:textAlignment w:val="top"/>
      </w:pPr>
      <w:r>
        <w:rPr>
          <w:rFonts w:ascii="Arial" w:eastAsia="宋体" w:hAnsi="Arial" w:cs="Arial"/>
          <w:color w:val="000000"/>
          <w:sz w:val="20"/>
          <w:szCs w:val="20"/>
        </w:rPr>
        <w:t>Investment Management total revenue decreased 10% and 3% in the three and six months ended June 30, 2022, respectively, compared to the same periods in 20</w:t>
      </w:r>
      <w:r>
        <w:rPr>
          <w:rFonts w:ascii="Arial" w:eastAsia="宋体" w:hAnsi="Arial" w:cs="Arial"/>
          <w:color w:val="000000"/>
          <w:sz w:val="20"/>
          <w:szCs w:val="20"/>
        </w:rPr>
        <w:t xml:space="preserve">21. </w:t>
      </w:r>
    </w:p>
    <w:p w14:paraId="392C0CCC" w14:textId="77777777" w:rsidR="00980E5F" w:rsidRDefault="00483613">
      <w:pPr>
        <w:spacing w:before="60"/>
        <w:jc w:val="both"/>
        <w:textAlignment w:val="top"/>
      </w:pPr>
      <w:r>
        <w:rPr>
          <w:rFonts w:ascii="Arial" w:eastAsia="宋体" w:hAnsi="Arial" w:cs="Arial"/>
          <w:b/>
          <w:bCs/>
          <w:i/>
          <w:iCs/>
          <w:color w:val="000000"/>
          <w:sz w:val="20"/>
          <w:szCs w:val="20"/>
        </w:rPr>
        <w:t>Management Fees</w:t>
      </w:r>
    </w:p>
    <w:p w14:paraId="392C0CCD" w14:textId="77777777" w:rsidR="00980E5F" w:rsidRDefault="00483613">
      <w:pPr>
        <w:spacing w:before="60"/>
        <w:ind w:firstLine="450"/>
        <w:jc w:val="both"/>
        <w:textAlignment w:val="top"/>
      </w:pPr>
      <w:r>
        <w:rPr>
          <w:rFonts w:ascii="Arial" w:eastAsia="宋体" w:hAnsi="Arial" w:cs="Arial"/>
          <w:color w:val="000000"/>
          <w:sz w:val="20"/>
          <w:szCs w:val="20"/>
        </w:rPr>
        <w:t>Management fees decreased 3% in the three months ended June 30, 2022, compared to the same period in 2021, primarily due to lower average equity and fixed income market levels, a client-specific pricing adjustment, and the impact of cu</w:t>
      </w:r>
      <w:r>
        <w:rPr>
          <w:rFonts w:ascii="Arial" w:eastAsia="宋体" w:hAnsi="Arial" w:cs="Arial"/>
          <w:color w:val="000000"/>
          <w:sz w:val="20"/>
          <w:szCs w:val="20"/>
        </w:rPr>
        <w:t>rrency translation, partially offset by the absence of the impact of money market fee waivers and net inflows from ETFs. Currency translation decreased management fees by 2% in the second quarter of 2022, relative to the same period in 2021. Management fee</w:t>
      </w:r>
      <w:r>
        <w:rPr>
          <w:rFonts w:ascii="Arial" w:eastAsia="宋体" w:hAnsi="Arial" w:cs="Arial"/>
          <w:color w:val="000000"/>
          <w:sz w:val="20"/>
          <w:szCs w:val="20"/>
        </w:rPr>
        <w:t xml:space="preserve">s increased </w:t>
      </w:r>
      <w:r>
        <w:rPr>
          <w:rFonts w:ascii="Arial" w:eastAsia="宋体" w:hAnsi="Arial" w:cs="Arial"/>
          <w:color w:val="000000"/>
          <w:sz w:val="20"/>
          <w:szCs w:val="20"/>
          <w:shd w:val="clear" w:color="auto" w:fill="FFFFFF"/>
        </w:rPr>
        <w:t>1%</w:t>
      </w:r>
      <w:r>
        <w:rPr>
          <w:rFonts w:ascii="Arial" w:eastAsia="宋体" w:hAnsi="Arial" w:cs="Arial"/>
          <w:color w:val="000000"/>
          <w:sz w:val="20"/>
          <w:szCs w:val="20"/>
        </w:rPr>
        <w:t xml:space="preserve"> in the six months ended June 30, 2022 compared to the same period in 2021, primarily due to higher average equity market levels and the absence of the impact of money </w:t>
      </w:r>
    </w:p>
    <w:p w14:paraId="392C0CCE" w14:textId="77777777" w:rsidR="00980E5F" w:rsidRDefault="00483613">
      <w:pPr>
        <w:spacing w:before="60"/>
        <w:jc w:val="both"/>
        <w:textAlignment w:val="top"/>
      </w:pPr>
      <w:r>
        <w:rPr>
          <w:rFonts w:ascii="Arial" w:eastAsia="宋体" w:hAnsi="Arial" w:cs="Arial"/>
          <w:color w:val="000000"/>
          <w:sz w:val="20"/>
          <w:szCs w:val="20"/>
        </w:rPr>
        <w:t>market fee waivers, partially offset by a client-specific pricing adjustm</w:t>
      </w:r>
      <w:r>
        <w:rPr>
          <w:rFonts w:ascii="Arial" w:eastAsia="宋体" w:hAnsi="Arial" w:cs="Arial"/>
          <w:color w:val="000000"/>
          <w:sz w:val="20"/>
          <w:szCs w:val="20"/>
        </w:rPr>
        <w:t xml:space="preserve">ent and the impact of currency translation. Currency translation decreased management fees by 1% in the six months ended June 30, 2022 compared to the same period in 2021. </w:t>
      </w:r>
    </w:p>
    <w:p w14:paraId="392C0CCF"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w:t>
      </w:r>
      <w:r>
        <w:rPr>
          <w:rFonts w:ascii="Arial" w:eastAsia="宋体" w:hAnsi="Arial" w:cs="Arial"/>
          <w:color w:val="000000"/>
          <w:sz w:val="20"/>
          <w:szCs w:val="20"/>
        </w:rPr>
        <w:t>luations, as well as other key drivers of our management fees revenue, refer to "Fee Revenue" in "Consolidated Results of Operations" included in this Management's Discussion and Analysis.</w:t>
      </w:r>
    </w:p>
    <w:p w14:paraId="392C0CD0" w14:textId="77777777" w:rsidR="00980E5F" w:rsidRDefault="00483613">
      <w:pPr>
        <w:spacing w:before="60"/>
        <w:jc w:val="both"/>
        <w:textAlignment w:val="top"/>
      </w:pPr>
      <w:r>
        <w:rPr>
          <w:rFonts w:ascii="Arial" w:eastAsia="宋体" w:hAnsi="Arial" w:cs="Arial"/>
          <w:b/>
          <w:bCs/>
          <w:i/>
          <w:iCs/>
          <w:color w:val="000000"/>
          <w:sz w:val="20"/>
          <w:szCs w:val="20"/>
        </w:rPr>
        <w:t xml:space="preserve">Expenses </w:t>
      </w:r>
    </w:p>
    <w:p w14:paraId="392C0CD1" w14:textId="77777777" w:rsidR="00980E5F" w:rsidRDefault="00483613">
      <w:pPr>
        <w:spacing w:before="60"/>
        <w:ind w:firstLine="450"/>
        <w:jc w:val="both"/>
        <w:textAlignment w:val="top"/>
      </w:pPr>
      <w:r>
        <w:rPr>
          <w:rFonts w:ascii="Arial" w:eastAsia="宋体" w:hAnsi="Arial" w:cs="Arial"/>
          <w:color w:val="000000"/>
          <w:sz w:val="20"/>
          <w:szCs w:val="20"/>
        </w:rPr>
        <w:t>Total expenses for Investment Management decreased 5% and</w:t>
      </w:r>
      <w:r>
        <w:rPr>
          <w:rFonts w:ascii="Arial" w:eastAsia="宋体" w:hAnsi="Arial" w:cs="Arial"/>
          <w:color w:val="000000"/>
          <w:sz w:val="20"/>
          <w:szCs w:val="20"/>
        </w:rPr>
        <w:t xml:space="preserve"> 4% in the three and six months ended June 30, 2022, respectively, compared to the same periods in 2021, primarily due to savings from on-going expense management initiatives and lower incentive compensation. Currency translation decreased expenses for Inv</w:t>
      </w:r>
      <w:r>
        <w:rPr>
          <w:rFonts w:ascii="Arial" w:eastAsia="宋体" w:hAnsi="Arial" w:cs="Arial"/>
          <w:color w:val="000000"/>
          <w:sz w:val="20"/>
          <w:szCs w:val="20"/>
        </w:rPr>
        <w:t>estment Management by 1% in both the three and six months ended June 30, 2022, relative to the same periods in 2021. Seasonal deferred incentive compensation expense and payroll taxes were $47 million in the six months ended June 30, 2022, compared to $35 </w:t>
      </w:r>
      <w:r>
        <w:rPr>
          <w:rFonts w:ascii="Arial" w:eastAsia="宋体" w:hAnsi="Arial" w:cs="Arial"/>
          <w:color w:val="000000"/>
          <w:sz w:val="20"/>
          <w:szCs w:val="20"/>
        </w:rPr>
        <w:t>million in the same period in 2021.</w:t>
      </w:r>
    </w:p>
    <w:p w14:paraId="392C0CD2" w14:textId="77777777" w:rsidR="00980E5F" w:rsidRDefault="00483613">
      <w:pPr>
        <w:spacing w:before="60"/>
        <w:ind w:firstLine="450"/>
        <w:jc w:val="both"/>
        <w:textAlignment w:val="top"/>
      </w:pPr>
      <w:r>
        <w:rPr>
          <w:rFonts w:ascii="Arial" w:eastAsia="宋体" w:hAnsi="Arial" w:cs="Arial"/>
          <w:color w:val="000000"/>
          <w:sz w:val="20"/>
          <w:szCs w:val="20"/>
        </w:rPr>
        <w:t>Additional information about expenses is provided under "Expenses" in "Consolidated Results of Operations" included in this Management's Discussion and Analysis.</w:t>
      </w:r>
    </w:p>
    <w:p w14:paraId="392C0CD3" w14:textId="77777777" w:rsidR="00980E5F" w:rsidRDefault="00483613">
      <w:pPr>
        <w:spacing w:before="90"/>
        <w:textAlignment w:val="top"/>
      </w:pPr>
      <w:r>
        <w:rPr>
          <w:rFonts w:ascii="Arial" w:eastAsia="宋体" w:hAnsi="Arial" w:cs="Arial"/>
          <w:b/>
          <w:bCs/>
          <w:color w:val="000000"/>
          <w:sz w:val="20"/>
          <w:szCs w:val="20"/>
        </w:rPr>
        <w:t>FINANCIAL CONDITION</w:t>
      </w:r>
    </w:p>
    <w:p w14:paraId="392C0CD4" w14:textId="77777777" w:rsidR="00980E5F" w:rsidRDefault="00483613">
      <w:pPr>
        <w:spacing w:before="60"/>
        <w:ind w:firstLine="450"/>
        <w:jc w:val="both"/>
        <w:textAlignment w:val="top"/>
      </w:pPr>
      <w:r>
        <w:rPr>
          <w:rFonts w:ascii="Arial" w:eastAsia="宋体" w:hAnsi="Arial" w:cs="Arial"/>
          <w:color w:val="000000"/>
          <w:sz w:val="20"/>
          <w:szCs w:val="20"/>
        </w:rPr>
        <w:t>The structure of our consolidated stat</w:t>
      </w:r>
      <w:r>
        <w:rPr>
          <w:rFonts w:ascii="Arial" w:eastAsia="宋体" w:hAnsi="Arial" w:cs="Arial"/>
          <w:color w:val="000000"/>
          <w:sz w:val="20"/>
          <w:szCs w:val="20"/>
        </w:rPr>
        <w:t>ement of condition is primarily driven by the liabilities generated by our Investment Servicing and Investment Management lines of business. Our clients' needs and our operating objectives determine balance sheet volume, mix and currency denomination. As o</w:t>
      </w:r>
      <w:r>
        <w:rPr>
          <w:rFonts w:ascii="Arial" w:eastAsia="宋体" w:hAnsi="Arial" w:cs="Arial"/>
          <w:color w:val="000000"/>
          <w:sz w:val="20"/>
          <w:szCs w:val="20"/>
        </w:rPr>
        <w:t>ur clients execute their worldwide cash management and investment activities, they utilize deposits and short-term investments that constitute the majority of our liabilities. These liabilities are generally in the form of interest-bearing transaction acco</w:t>
      </w:r>
      <w:r>
        <w:rPr>
          <w:rFonts w:ascii="Arial" w:eastAsia="宋体" w:hAnsi="Arial" w:cs="Arial"/>
          <w:color w:val="000000"/>
          <w:sz w:val="20"/>
          <w:szCs w:val="20"/>
        </w:rPr>
        <w:t>unt deposits, which are denominated in a variety of currencies; non-interest-bearing demand deposits; and repurchase agreements, which generally serve as short-term investment alternatives for our clients.</w:t>
      </w:r>
    </w:p>
    <w:p w14:paraId="392C0CD5" w14:textId="77777777" w:rsidR="00980E5F" w:rsidRDefault="00483613">
      <w:pPr>
        <w:spacing w:before="60"/>
        <w:ind w:firstLine="450"/>
        <w:jc w:val="both"/>
        <w:textAlignment w:val="top"/>
      </w:pPr>
      <w:r>
        <w:rPr>
          <w:rFonts w:ascii="Arial" w:eastAsia="宋体" w:hAnsi="Arial" w:cs="Arial"/>
          <w:color w:val="000000"/>
          <w:sz w:val="20"/>
          <w:szCs w:val="20"/>
        </w:rPr>
        <w:t>Deposits and other liabilities resulting from clie</w:t>
      </w:r>
      <w:r>
        <w:rPr>
          <w:rFonts w:ascii="Arial" w:eastAsia="宋体" w:hAnsi="Arial" w:cs="Arial"/>
          <w:color w:val="000000"/>
          <w:sz w:val="20"/>
          <w:szCs w:val="20"/>
        </w:rPr>
        <w:t>nt initiated transactions are invested in assets that generally have contractual maturities significantly longer than our liabilities; however, we evaluate the operational nature of our deposits and seek to maintain appropriate short-term liquidity of thos</w:t>
      </w:r>
      <w:r>
        <w:rPr>
          <w:rFonts w:ascii="Arial" w:eastAsia="宋体" w:hAnsi="Arial" w:cs="Arial"/>
          <w:color w:val="000000"/>
          <w:sz w:val="20"/>
          <w:szCs w:val="20"/>
        </w:rPr>
        <w:t xml:space="preserve">e liabilities that are not operational in nature and maintain longer-termed assets for our operational deposits. Our assets consist primarily of securities held in our AFS or HTM portfolios and short-duration </w:t>
      </w:r>
    </w:p>
    <w:p w14:paraId="392C0CD6" w14:textId="77777777" w:rsidR="00980E5F" w:rsidRDefault="00483613">
      <w:pPr>
        <w:ind w:firstLine="450"/>
        <w:jc w:val="right"/>
      </w:pPr>
      <w:r>
        <w:rPr>
          <w:rFonts w:ascii="Arial" w:eastAsia="宋体" w:hAnsi="Arial" w:cs="Arial"/>
          <w:color w:val="000000"/>
          <w:sz w:val="18"/>
          <w:szCs w:val="18"/>
        </w:rPr>
        <w:t>State Street Corporation | 27</w:t>
      </w:r>
    </w:p>
    <w:p w14:paraId="392C0CD7" w14:textId="77777777" w:rsidR="00980E5F" w:rsidRDefault="00980E5F">
      <w:pPr>
        <w:ind w:firstLine="450"/>
        <w:jc w:val="center"/>
      </w:pPr>
    </w:p>
    <w:p w14:paraId="392C0CD8" w14:textId="77777777" w:rsidR="00980E5F" w:rsidRDefault="00483613">
      <w:r>
        <w:pict w14:anchorId="392CBAE9">
          <v:rect id="_x0000_i1051" style="width:415.3pt;height:1.5pt" o:hralign="center" o:hrstd="t" o:hr="t" fillcolor="#a0a0a0" stroked="f"/>
        </w:pict>
      </w:r>
    </w:p>
    <w:p w14:paraId="392C0CD9"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0CDA" w14:textId="77777777" w:rsidR="00980E5F" w:rsidRDefault="00483613">
      <w:pPr>
        <w:ind w:firstLine="450"/>
        <w:jc w:val="center"/>
      </w:pPr>
      <w:r>
        <w:rPr>
          <w:rFonts w:ascii="Arial" w:eastAsia="宋体" w:hAnsi="Arial" w:cs="Arial"/>
          <w:b/>
          <w:bCs/>
          <w:color w:val="000000"/>
          <w:sz w:val="20"/>
          <w:szCs w:val="20"/>
        </w:rPr>
        <w:t>AND RESULTS OF OPERATIONS</w:t>
      </w:r>
    </w:p>
    <w:p w14:paraId="392C0CDB" w14:textId="77777777" w:rsidR="00980E5F" w:rsidRDefault="00483613">
      <w:pPr>
        <w:spacing w:before="60"/>
        <w:jc w:val="both"/>
        <w:textAlignment w:val="top"/>
      </w:pPr>
      <w:r>
        <w:rPr>
          <w:rFonts w:ascii="Arial" w:eastAsia="宋体" w:hAnsi="Arial" w:cs="Arial"/>
          <w:color w:val="000000"/>
          <w:sz w:val="20"/>
          <w:szCs w:val="20"/>
        </w:rPr>
        <w:t>financial instruments, such as interest-bearing deposits with banks and securities purchased under resale agreements. The actual mix of assets is determined by the charac</w:t>
      </w:r>
      <w:r>
        <w:rPr>
          <w:rFonts w:ascii="Arial" w:eastAsia="宋体" w:hAnsi="Arial" w:cs="Arial"/>
          <w:color w:val="000000"/>
          <w:sz w:val="20"/>
          <w:szCs w:val="20"/>
        </w:rPr>
        <w:t>teristics of the client liabilities and our desire to maintain a well-diversified portfolio of high-quality assets.</w:t>
      </w:r>
    </w:p>
    <w:p w14:paraId="392C0CDC" w14:textId="77777777" w:rsidR="00980E5F" w:rsidRDefault="00483613">
      <w:pPr>
        <w:spacing w:before="60"/>
        <w:ind w:firstLine="450"/>
        <w:jc w:val="both"/>
        <w:textAlignment w:val="top"/>
      </w:pPr>
      <w:r>
        <w:rPr>
          <w:rFonts w:ascii="Arial" w:eastAsia="宋体" w:hAnsi="Arial" w:cs="Arial"/>
          <w:color w:val="000000"/>
          <w:sz w:val="20"/>
          <w:szCs w:val="20"/>
        </w:rPr>
        <w:t>The following information on our financial condition is based on our average balance sheet, which we believe is the better measure of our ba</w:t>
      </w:r>
      <w:r>
        <w:rPr>
          <w:rFonts w:ascii="Arial" w:eastAsia="宋体" w:hAnsi="Arial" w:cs="Arial"/>
          <w:color w:val="000000"/>
          <w:sz w:val="20"/>
          <w:szCs w:val="20"/>
        </w:rPr>
        <w:t xml:space="preserve">lance sheet trends as period-end balances can be impacted by the timing of client activities including deposits and withdrawals. </w:t>
      </w:r>
    </w:p>
    <w:tbl>
      <w:tblPr>
        <w:tblW w:w="5000" w:type="pct"/>
        <w:tblCellMar>
          <w:top w:w="15" w:type="dxa"/>
          <w:left w:w="15" w:type="dxa"/>
          <w:bottom w:w="15" w:type="dxa"/>
          <w:right w:w="15" w:type="dxa"/>
        </w:tblCellMar>
        <w:tblLook w:val="04A0" w:firstRow="1" w:lastRow="0" w:firstColumn="1" w:lastColumn="0" w:noHBand="0" w:noVBand="1"/>
      </w:tblPr>
      <w:tblGrid>
        <w:gridCol w:w="45"/>
        <w:gridCol w:w="4331"/>
        <w:gridCol w:w="38"/>
        <w:gridCol w:w="98"/>
        <w:gridCol w:w="1622"/>
        <w:gridCol w:w="36"/>
        <w:gridCol w:w="36"/>
        <w:gridCol w:w="48"/>
        <w:gridCol w:w="36"/>
        <w:gridCol w:w="98"/>
        <w:gridCol w:w="1624"/>
        <w:gridCol w:w="36"/>
        <w:gridCol w:w="36"/>
        <w:gridCol w:w="36"/>
        <w:gridCol w:w="36"/>
        <w:gridCol w:w="36"/>
        <w:gridCol w:w="36"/>
        <w:gridCol w:w="36"/>
        <w:gridCol w:w="36"/>
        <w:gridCol w:w="36"/>
      </w:tblGrid>
      <w:tr w:rsidR="00980E5F" w14:paraId="392C0CED" w14:textId="77777777">
        <w:tc>
          <w:tcPr>
            <w:tcW w:w="50" w:type="pct"/>
            <w:shd w:val="clear" w:color="auto" w:fill="auto"/>
            <w:vAlign w:val="bottom"/>
          </w:tcPr>
          <w:p w14:paraId="392C0CDD" w14:textId="77777777" w:rsidR="00980E5F" w:rsidRDefault="00980E5F">
            <w:pPr>
              <w:rPr>
                <w:rFonts w:ascii="宋体"/>
              </w:rPr>
            </w:pPr>
          </w:p>
        </w:tc>
        <w:tc>
          <w:tcPr>
            <w:tcW w:w="2712" w:type="pct"/>
            <w:shd w:val="clear" w:color="auto" w:fill="auto"/>
            <w:vAlign w:val="bottom"/>
          </w:tcPr>
          <w:p w14:paraId="392C0CDE" w14:textId="77777777" w:rsidR="00980E5F" w:rsidRDefault="00980E5F">
            <w:pPr>
              <w:rPr>
                <w:rFonts w:ascii="宋体"/>
              </w:rPr>
            </w:pPr>
          </w:p>
        </w:tc>
        <w:tc>
          <w:tcPr>
            <w:tcW w:w="5" w:type="pct"/>
            <w:shd w:val="clear" w:color="auto" w:fill="auto"/>
            <w:vAlign w:val="bottom"/>
          </w:tcPr>
          <w:p w14:paraId="392C0CDF" w14:textId="77777777" w:rsidR="00980E5F" w:rsidRDefault="00980E5F">
            <w:pPr>
              <w:rPr>
                <w:rFonts w:ascii="宋体"/>
              </w:rPr>
            </w:pPr>
          </w:p>
        </w:tc>
        <w:tc>
          <w:tcPr>
            <w:tcW w:w="50" w:type="pct"/>
            <w:shd w:val="clear" w:color="auto" w:fill="auto"/>
            <w:vAlign w:val="bottom"/>
          </w:tcPr>
          <w:p w14:paraId="392C0CE0" w14:textId="77777777" w:rsidR="00980E5F" w:rsidRDefault="00980E5F">
            <w:pPr>
              <w:rPr>
                <w:rFonts w:ascii="宋体"/>
              </w:rPr>
            </w:pPr>
          </w:p>
        </w:tc>
        <w:tc>
          <w:tcPr>
            <w:tcW w:w="1029" w:type="pct"/>
            <w:shd w:val="clear" w:color="auto" w:fill="auto"/>
            <w:vAlign w:val="bottom"/>
          </w:tcPr>
          <w:p w14:paraId="392C0CE1" w14:textId="77777777" w:rsidR="00980E5F" w:rsidRDefault="00980E5F">
            <w:pPr>
              <w:rPr>
                <w:rFonts w:ascii="宋体"/>
              </w:rPr>
            </w:pPr>
          </w:p>
        </w:tc>
        <w:tc>
          <w:tcPr>
            <w:tcW w:w="5" w:type="pct"/>
            <w:shd w:val="clear" w:color="auto" w:fill="auto"/>
            <w:vAlign w:val="bottom"/>
          </w:tcPr>
          <w:p w14:paraId="392C0CE2" w14:textId="77777777" w:rsidR="00980E5F" w:rsidRDefault="00980E5F">
            <w:pPr>
              <w:rPr>
                <w:rFonts w:ascii="宋体"/>
              </w:rPr>
            </w:pPr>
          </w:p>
        </w:tc>
        <w:tc>
          <w:tcPr>
            <w:tcW w:w="5" w:type="pct"/>
            <w:shd w:val="clear" w:color="auto" w:fill="auto"/>
            <w:vAlign w:val="bottom"/>
          </w:tcPr>
          <w:p w14:paraId="392C0CE3" w14:textId="77777777" w:rsidR="00980E5F" w:rsidRDefault="00980E5F">
            <w:pPr>
              <w:rPr>
                <w:rFonts w:ascii="宋体"/>
              </w:rPr>
            </w:pPr>
          </w:p>
        </w:tc>
        <w:tc>
          <w:tcPr>
            <w:tcW w:w="52" w:type="pct"/>
            <w:shd w:val="clear" w:color="auto" w:fill="auto"/>
            <w:vAlign w:val="bottom"/>
          </w:tcPr>
          <w:p w14:paraId="392C0CE4" w14:textId="77777777" w:rsidR="00980E5F" w:rsidRDefault="00980E5F">
            <w:pPr>
              <w:rPr>
                <w:rFonts w:ascii="宋体"/>
              </w:rPr>
            </w:pPr>
          </w:p>
        </w:tc>
        <w:tc>
          <w:tcPr>
            <w:tcW w:w="5" w:type="pct"/>
            <w:shd w:val="clear" w:color="auto" w:fill="auto"/>
            <w:vAlign w:val="bottom"/>
          </w:tcPr>
          <w:p w14:paraId="392C0CE5" w14:textId="77777777" w:rsidR="00980E5F" w:rsidRDefault="00980E5F">
            <w:pPr>
              <w:rPr>
                <w:rFonts w:ascii="宋体"/>
              </w:rPr>
            </w:pPr>
          </w:p>
        </w:tc>
        <w:tc>
          <w:tcPr>
            <w:tcW w:w="50" w:type="pct"/>
            <w:shd w:val="clear" w:color="auto" w:fill="auto"/>
            <w:vAlign w:val="bottom"/>
          </w:tcPr>
          <w:p w14:paraId="392C0CE6" w14:textId="77777777" w:rsidR="00980E5F" w:rsidRDefault="00980E5F">
            <w:pPr>
              <w:rPr>
                <w:rFonts w:ascii="宋体"/>
              </w:rPr>
            </w:pPr>
          </w:p>
        </w:tc>
        <w:tc>
          <w:tcPr>
            <w:tcW w:w="1030" w:type="pct"/>
            <w:shd w:val="clear" w:color="auto" w:fill="auto"/>
            <w:vAlign w:val="bottom"/>
          </w:tcPr>
          <w:p w14:paraId="392C0CE7" w14:textId="77777777" w:rsidR="00980E5F" w:rsidRDefault="00980E5F">
            <w:pPr>
              <w:rPr>
                <w:rFonts w:ascii="宋体"/>
              </w:rPr>
            </w:pPr>
          </w:p>
        </w:tc>
        <w:tc>
          <w:tcPr>
            <w:tcW w:w="5" w:type="pct"/>
            <w:shd w:val="clear" w:color="auto" w:fill="auto"/>
            <w:vAlign w:val="bottom"/>
          </w:tcPr>
          <w:p w14:paraId="392C0CE8" w14:textId="77777777" w:rsidR="00980E5F" w:rsidRDefault="00980E5F">
            <w:pPr>
              <w:rPr>
                <w:rFonts w:ascii="宋体"/>
              </w:rPr>
            </w:pPr>
          </w:p>
        </w:tc>
        <w:tc>
          <w:tcPr>
            <w:tcW w:w="0" w:type="auto"/>
            <w:shd w:val="clear" w:color="auto" w:fill="auto"/>
            <w:vAlign w:val="bottom"/>
          </w:tcPr>
          <w:p w14:paraId="392C0CE9" w14:textId="77777777" w:rsidR="00980E5F" w:rsidRDefault="00980E5F">
            <w:pPr>
              <w:rPr>
                <w:rFonts w:ascii="宋体"/>
                <w:vanish/>
              </w:rPr>
            </w:pPr>
          </w:p>
        </w:tc>
        <w:tc>
          <w:tcPr>
            <w:tcW w:w="0" w:type="auto"/>
            <w:shd w:val="clear" w:color="auto" w:fill="auto"/>
            <w:vAlign w:val="bottom"/>
          </w:tcPr>
          <w:p w14:paraId="392C0CEA" w14:textId="77777777" w:rsidR="00980E5F" w:rsidRDefault="00980E5F">
            <w:pPr>
              <w:rPr>
                <w:rFonts w:ascii="宋体"/>
                <w:vanish/>
              </w:rPr>
            </w:pPr>
          </w:p>
        </w:tc>
        <w:tc>
          <w:tcPr>
            <w:tcW w:w="0" w:type="auto"/>
            <w:gridSpan w:val="3"/>
            <w:shd w:val="clear" w:color="auto" w:fill="auto"/>
            <w:vAlign w:val="bottom"/>
          </w:tcPr>
          <w:p w14:paraId="392C0CEB" w14:textId="77777777" w:rsidR="00980E5F" w:rsidRDefault="00980E5F">
            <w:pPr>
              <w:rPr>
                <w:rFonts w:ascii="宋体"/>
                <w:vanish/>
              </w:rPr>
            </w:pPr>
          </w:p>
        </w:tc>
        <w:tc>
          <w:tcPr>
            <w:tcW w:w="0" w:type="auto"/>
            <w:gridSpan w:val="3"/>
            <w:shd w:val="clear" w:color="auto" w:fill="auto"/>
            <w:vAlign w:val="bottom"/>
          </w:tcPr>
          <w:p w14:paraId="392C0CEC" w14:textId="77777777" w:rsidR="00980E5F" w:rsidRDefault="00980E5F">
            <w:pPr>
              <w:rPr>
                <w:rFonts w:ascii="宋体"/>
                <w:vanish/>
              </w:rPr>
            </w:pPr>
          </w:p>
        </w:tc>
      </w:tr>
      <w:tr w:rsidR="00980E5F" w14:paraId="392C0CFA" w14:textId="77777777">
        <w:trPr>
          <w:hidden/>
        </w:trPr>
        <w:tc>
          <w:tcPr>
            <w:tcW w:w="0" w:type="auto"/>
            <w:gridSpan w:val="3"/>
            <w:shd w:val="clear" w:color="auto" w:fill="auto"/>
            <w:vAlign w:val="bottom"/>
          </w:tcPr>
          <w:p w14:paraId="392C0CEE" w14:textId="77777777" w:rsidR="00980E5F" w:rsidRDefault="00980E5F">
            <w:pPr>
              <w:rPr>
                <w:rFonts w:ascii="宋体"/>
                <w:vanish/>
              </w:rPr>
            </w:pPr>
          </w:p>
        </w:tc>
        <w:tc>
          <w:tcPr>
            <w:tcW w:w="0" w:type="auto"/>
            <w:gridSpan w:val="3"/>
            <w:shd w:val="clear" w:color="auto" w:fill="auto"/>
            <w:vAlign w:val="bottom"/>
          </w:tcPr>
          <w:p w14:paraId="392C0CEF" w14:textId="77777777" w:rsidR="00980E5F" w:rsidRDefault="00980E5F">
            <w:pPr>
              <w:rPr>
                <w:rFonts w:ascii="宋体"/>
                <w:vanish/>
              </w:rPr>
            </w:pPr>
          </w:p>
        </w:tc>
        <w:tc>
          <w:tcPr>
            <w:tcW w:w="0" w:type="auto"/>
            <w:gridSpan w:val="3"/>
            <w:shd w:val="clear" w:color="auto" w:fill="auto"/>
            <w:vAlign w:val="bottom"/>
          </w:tcPr>
          <w:p w14:paraId="392C0CF0" w14:textId="77777777" w:rsidR="00980E5F" w:rsidRDefault="00980E5F">
            <w:pPr>
              <w:rPr>
                <w:rFonts w:ascii="宋体"/>
                <w:vanish/>
              </w:rPr>
            </w:pPr>
          </w:p>
        </w:tc>
        <w:tc>
          <w:tcPr>
            <w:tcW w:w="0" w:type="auto"/>
            <w:gridSpan w:val="3"/>
            <w:shd w:val="clear" w:color="auto" w:fill="auto"/>
            <w:vAlign w:val="bottom"/>
          </w:tcPr>
          <w:p w14:paraId="392C0CF1" w14:textId="77777777" w:rsidR="00980E5F" w:rsidRDefault="00980E5F">
            <w:pPr>
              <w:rPr>
                <w:rFonts w:ascii="宋体"/>
                <w:vanish/>
              </w:rPr>
            </w:pPr>
          </w:p>
        </w:tc>
        <w:tc>
          <w:tcPr>
            <w:tcW w:w="0" w:type="auto"/>
            <w:shd w:val="clear" w:color="auto" w:fill="auto"/>
            <w:vAlign w:val="bottom"/>
          </w:tcPr>
          <w:p w14:paraId="392C0CF2" w14:textId="77777777" w:rsidR="00980E5F" w:rsidRDefault="00980E5F">
            <w:pPr>
              <w:rPr>
                <w:rFonts w:ascii="宋体"/>
                <w:vanish/>
              </w:rPr>
            </w:pPr>
          </w:p>
        </w:tc>
        <w:tc>
          <w:tcPr>
            <w:tcW w:w="0" w:type="auto"/>
            <w:shd w:val="clear" w:color="auto" w:fill="auto"/>
            <w:vAlign w:val="bottom"/>
          </w:tcPr>
          <w:p w14:paraId="392C0CF3" w14:textId="77777777" w:rsidR="00980E5F" w:rsidRDefault="00980E5F">
            <w:pPr>
              <w:rPr>
                <w:rFonts w:ascii="宋体"/>
                <w:vanish/>
              </w:rPr>
            </w:pPr>
          </w:p>
        </w:tc>
        <w:tc>
          <w:tcPr>
            <w:tcW w:w="0" w:type="auto"/>
            <w:shd w:val="clear" w:color="auto" w:fill="auto"/>
            <w:vAlign w:val="bottom"/>
          </w:tcPr>
          <w:p w14:paraId="392C0CF4" w14:textId="77777777" w:rsidR="00980E5F" w:rsidRDefault="00980E5F">
            <w:pPr>
              <w:rPr>
                <w:rFonts w:ascii="宋体"/>
              </w:rPr>
            </w:pPr>
          </w:p>
        </w:tc>
        <w:tc>
          <w:tcPr>
            <w:tcW w:w="0" w:type="auto"/>
            <w:shd w:val="clear" w:color="auto" w:fill="auto"/>
            <w:vAlign w:val="bottom"/>
          </w:tcPr>
          <w:p w14:paraId="392C0CF5" w14:textId="77777777" w:rsidR="00980E5F" w:rsidRDefault="00980E5F">
            <w:pPr>
              <w:rPr>
                <w:rFonts w:ascii="宋体"/>
              </w:rPr>
            </w:pPr>
          </w:p>
        </w:tc>
        <w:tc>
          <w:tcPr>
            <w:tcW w:w="0" w:type="auto"/>
            <w:shd w:val="clear" w:color="auto" w:fill="auto"/>
            <w:vAlign w:val="bottom"/>
          </w:tcPr>
          <w:p w14:paraId="392C0CF6" w14:textId="77777777" w:rsidR="00980E5F" w:rsidRDefault="00980E5F">
            <w:pPr>
              <w:rPr>
                <w:rFonts w:ascii="宋体"/>
              </w:rPr>
            </w:pPr>
          </w:p>
        </w:tc>
        <w:tc>
          <w:tcPr>
            <w:tcW w:w="0" w:type="auto"/>
            <w:shd w:val="clear" w:color="auto" w:fill="auto"/>
            <w:vAlign w:val="bottom"/>
          </w:tcPr>
          <w:p w14:paraId="392C0CF7" w14:textId="77777777" w:rsidR="00980E5F" w:rsidRDefault="00980E5F">
            <w:pPr>
              <w:rPr>
                <w:rFonts w:ascii="宋体"/>
              </w:rPr>
            </w:pPr>
          </w:p>
        </w:tc>
        <w:tc>
          <w:tcPr>
            <w:tcW w:w="0" w:type="auto"/>
            <w:shd w:val="clear" w:color="auto" w:fill="auto"/>
            <w:vAlign w:val="bottom"/>
          </w:tcPr>
          <w:p w14:paraId="392C0CF8" w14:textId="77777777" w:rsidR="00980E5F" w:rsidRDefault="00980E5F">
            <w:pPr>
              <w:rPr>
                <w:rFonts w:ascii="宋体"/>
              </w:rPr>
            </w:pPr>
          </w:p>
        </w:tc>
        <w:tc>
          <w:tcPr>
            <w:tcW w:w="0" w:type="auto"/>
            <w:shd w:val="clear" w:color="auto" w:fill="auto"/>
            <w:vAlign w:val="bottom"/>
          </w:tcPr>
          <w:p w14:paraId="392C0CF9" w14:textId="77777777" w:rsidR="00980E5F" w:rsidRDefault="00980E5F">
            <w:pPr>
              <w:rPr>
                <w:rFonts w:ascii="宋体"/>
              </w:rPr>
            </w:pPr>
          </w:p>
        </w:tc>
      </w:tr>
      <w:tr w:rsidR="00980E5F" w14:paraId="392C0D03" w14:textId="77777777">
        <w:trPr>
          <w:hidden/>
        </w:trPr>
        <w:tc>
          <w:tcPr>
            <w:tcW w:w="0" w:type="auto"/>
            <w:gridSpan w:val="3"/>
            <w:shd w:val="clear" w:color="auto" w:fill="auto"/>
            <w:vAlign w:val="bottom"/>
          </w:tcPr>
          <w:p w14:paraId="392C0CFB" w14:textId="77777777" w:rsidR="00980E5F" w:rsidRDefault="00980E5F">
            <w:pPr>
              <w:rPr>
                <w:rFonts w:ascii="宋体"/>
                <w:vanish/>
              </w:rPr>
            </w:pPr>
          </w:p>
        </w:tc>
        <w:tc>
          <w:tcPr>
            <w:tcW w:w="0" w:type="auto"/>
            <w:gridSpan w:val="3"/>
            <w:shd w:val="clear" w:color="auto" w:fill="auto"/>
            <w:vAlign w:val="bottom"/>
          </w:tcPr>
          <w:p w14:paraId="392C0CFC" w14:textId="77777777" w:rsidR="00980E5F" w:rsidRDefault="00980E5F">
            <w:pPr>
              <w:rPr>
                <w:rFonts w:ascii="宋体"/>
                <w:vanish/>
              </w:rPr>
            </w:pPr>
          </w:p>
        </w:tc>
        <w:tc>
          <w:tcPr>
            <w:tcW w:w="0" w:type="auto"/>
            <w:gridSpan w:val="3"/>
            <w:shd w:val="clear" w:color="auto" w:fill="auto"/>
            <w:vAlign w:val="bottom"/>
          </w:tcPr>
          <w:p w14:paraId="392C0CFD" w14:textId="77777777" w:rsidR="00980E5F" w:rsidRDefault="00980E5F">
            <w:pPr>
              <w:rPr>
                <w:rFonts w:ascii="宋体"/>
                <w:vanish/>
              </w:rPr>
            </w:pPr>
          </w:p>
        </w:tc>
        <w:tc>
          <w:tcPr>
            <w:tcW w:w="0" w:type="auto"/>
            <w:gridSpan w:val="3"/>
            <w:shd w:val="clear" w:color="auto" w:fill="auto"/>
            <w:vAlign w:val="bottom"/>
          </w:tcPr>
          <w:p w14:paraId="392C0CFE" w14:textId="77777777" w:rsidR="00980E5F" w:rsidRDefault="00980E5F">
            <w:pPr>
              <w:rPr>
                <w:rFonts w:ascii="宋体"/>
                <w:vanish/>
              </w:rPr>
            </w:pPr>
          </w:p>
        </w:tc>
        <w:tc>
          <w:tcPr>
            <w:tcW w:w="0" w:type="auto"/>
            <w:shd w:val="clear" w:color="auto" w:fill="auto"/>
            <w:vAlign w:val="bottom"/>
          </w:tcPr>
          <w:p w14:paraId="392C0CFF" w14:textId="77777777" w:rsidR="00980E5F" w:rsidRDefault="00980E5F">
            <w:pPr>
              <w:rPr>
                <w:rFonts w:ascii="宋体"/>
                <w:vanish/>
              </w:rPr>
            </w:pPr>
          </w:p>
        </w:tc>
        <w:tc>
          <w:tcPr>
            <w:tcW w:w="0" w:type="auto"/>
            <w:shd w:val="clear" w:color="auto" w:fill="auto"/>
            <w:vAlign w:val="bottom"/>
          </w:tcPr>
          <w:p w14:paraId="392C0D00" w14:textId="77777777" w:rsidR="00980E5F" w:rsidRDefault="00980E5F">
            <w:pPr>
              <w:rPr>
                <w:rFonts w:ascii="宋体"/>
                <w:vanish/>
              </w:rPr>
            </w:pPr>
          </w:p>
        </w:tc>
        <w:tc>
          <w:tcPr>
            <w:tcW w:w="0" w:type="auto"/>
            <w:gridSpan w:val="3"/>
            <w:shd w:val="clear" w:color="auto" w:fill="auto"/>
            <w:vAlign w:val="bottom"/>
          </w:tcPr>
          <w:p w14:paraId="392C0D01" w14:textId="77777777" w:rsidR="00980E5F" w:rsidRDefault="00980E5F">
            <w:pPr>
              <w:rPr>
                <w:rFonts w:ascii="宋体"/>
                <w:vanish/>
              </w:rPr>
            </w:pPr>
          </w:p>
        </w:tc>
        <w:tc>
          <w:tcPr>
            <w:tcW w:w="0" w:type="auto"/>
            <w:gridSpan w:val="3"/>
            <w:shd w:val="clear" w:color="auto" w:fill="auto"/>
            <w:vAlign w:val="bottom"/>
          </w:tcPr>
          <w:p w14:paraId="392C0D02" w14:textId="77777777" w:rsidR="00980E5F" w:rsidRDefault="00980E5F">
            <w:pPr>
              <w:rPr>
                <w:rFonts w:ascii="宋体"/>
                <w:vanish/>
              </w:rPr>
            </w:pPr>
          </w:p>
        </w:tc>
      </w:tr>
      <w:tr w:rsidR="00980E5F" w14:paraId="392C0D0C" w14:textId="77777777">
        <w:trPr>
          <w:hidden/>
        </w:trPr>
        <w:tc>
          <w:tcPr>
            <w:tcW w:w="0" w:type="auto"/>
            <w:gridSpan w:val="3"/>
            <w:shd w:val="clear" w:color="auto" w:fill="auto"/>
            <w:vAlign w:val="bottom"/>
          </w:tcPr>
          <w:p w14:paraId="392C0D04" w14:textId="77777777" w:rsidR="00980E5F" w:rsidRDefault="00980E5F">
            <w:pPr>
              <w:rPr>
                <w:rFonts w:ascii="宋体"/>
                <w:vanish/>
              </w:rPr>
            </w:pPr>
          </w:p>
        </w:tc>
        <w:tc>
          <w:tcPr>
            <w:tcW w:w="0" w:type="auto"/>
            <w:gridSpan w:val="3"/>
            <w:shd w:val="clear" w:color="auto" w:fill="auto"/>
            <w:vAlign w:val="bottom"/>
          </w:tcPr>
          <w:p w14:paraId="392C0D05" w14:textId="77777777" w:rsidR="00980E5F" w:rsidRDefault="00980E5F">
            <w:pPr>
              <w:rPr>
                <w:rFonts w:ascii="宋体"/>
                <w:vanish/>
              </w:rPr>
            </w:pPr>
          </w:p>
        </w:tc>
        <w:tc>
          <w:tcPr>
            <w:tcW w:w="0" w:type="auto"/>
            <w:gridSpan w:val="3"/>
            <w:shd w:val="clear" w:color="auto" w:fill="auto"/>
            <w:vAlign w:val="bottom"/>
          </w:tcPr>
          <w:p w14:paraId="392C0D06" w14:textId="77777777" w:rsidR="00980E5F" w:rsidRDefault="00980E5F">
            <w:pPr>
              <w:rPr>
                <w:rFonts w:ascii="宋体"/>
                <w:vanish/>
              </w:rPr>
            </w:pPr>
          </w:p>
        </w:tc>
        <w:tc>
          <w:tcPr>
            <w:tcW w:w="0" w:type="auto"/>
            <w:gridSpan w:val="3"/>
            <w:shd w:val="clear" w:color="auto" w:fill="auto"/>
            <w:vAlign w:val="bottom"/>
          </w:tcPr>
          <w:p w14:paraId="392C0D07" w14:textId="77777777" w:rsidR="00980E5F" w:rsidRDefault="00980E5F">
            <w:pPr>
              <w:rPr>
                <w:rFonts w:ascii="宋体"/>
                <w:vanish/>
              </w:rPr>
            </w:pPr>
          </w:p>
        </w:tc>
        <w:tc>
          <w:tcPr>
            <w:tcW w:w="0" w:type="auto"/>
            <w:shd w:val="clear" w:color="auto" w:fill="auto"/>
            <w:vAlign w:val="bottom"/>
          </w:tcPr>
          <w:p w14:paraId="392C0D08" w14:textId="77777777" w:rsidR="00980E5F" w:rsidRDefault="00980E5F">
            <w:pPr>
              <w:rPr>
                <w:rFonts w:ascii="宋体"/>
                <w:vanish/>
              </w:rPr>
            </w:pPr>
          </w:p>
        </w:tc>
        <w:tc>
          <w:tcPr>
            <w:tcW w:w="0" w:type="auto"/>
            <w:shd w:val="clear" w:color="auto" w:fill="auto"/>
            <w:vAlign w:val="bottom"/>
          </w:tcPr>
          <w:p w14:paraId="392C0D09" w14:textId="77777777" w:rsidR="00980E5F" w:rsidRDefault="00980E5F">
            <w:pPr>
              <w:rPr>
                <w:rFonts w:ascii="宋体"/>
                <w:vanish/>
              </w:rPr>
            </w:pPr>
          </w:p>
        </w:tc>
        <w:tc>
          <w:tcPr>
            <w:tcW w:w="0" w:type="auto"/>
            <w:gridSpan w:val="3"/>
            <w:shd w:val="clear" w:color="auto" w:fill="auto"/>
            <w:vAlign w:val="bottom"/>
          </w:tcPr>
          <w:p w14:paraId="392C0D0A" w14:textId="77777777" w:rsidR="00980E5F" w:rsidRDefault="00980E5F">
            <w:pPr>
              <w:rPr>
                <w:rFonts w:ascii="宋体"/>
                <w:vanish/>
              </w:rPr>
            </w:pPr>
          </w:p>
        </w:tc>
        <w:tc>
          <w:tcPr>
            <w:tcW w:w="0" w:type="auto"/>
            <w:gridSpan w:val="3"/>
            <w:shd w:val="clear" w:color="auto" w:fill="auto"/>
            <w:vAlign w:val="bottom"/>
          </w:tcPr>
          <w:p w14:paraId="392C0D0B" w14:textId="77777777" w:rsidR="00980E5F" w:rsidRDefault="00980E5F">
            <w:pPr>
              <w:rPr>
                <w:rFonts w:ascii="宋体"/>
                <w:vanish/>
              </w:rPr>
            </w:pPr>
          </w:p>
        </w:tc>
      </w:tr>
      <w:tr w:rsidR="00980E5F" w14:paraId="392C0D15" w14:textId="77777777">
        <w:trPr>
          <w:hidden/>
        </w:trPr>
        <w:tc>
          <w:tcPr>
            <w:tcW w:w="0" w:type="auto"/>
            <w:gridSpan w:val="3"/>
            <w:shd w:val="clear" w:color="auto" w:fill="auto"/>
            <w:vAlign w:val="bottom"/>
          </w:tcPr>
          <w:p w14:paraId="392C0D0D" w14:textId="77777777" w:rsidR="00980E5F" w:rsidRDefault="00980E5F">
            <w:pPr>
              <w:rPr>
                <w:rFonts w:ascii="宋体"/>
                <w:vanish/>
              </w:rPr>
            </w:pPr>
          </w:p>
        </w:tc>
        <w:tc>
          <w:tcPr>
            <w:tcW w:w="0" w:type="auto"/>
            <w:gridSpan w:val="3"/>
            <w:shd w:val="clear" w:color="auto" w:fill="auto"/>
            <w:vAlign w:val="bottom"/>
          </w:tcPr>
          <w:p w14:paraId="392C0D0E" w14:textId="77777777" w:rsidR="00980E5F" w:rsidRDefault="00980E5F">
            <w:pPr>
              <w:rPr>
                <w:rFonts w:ascii="宋体"/>
                <w:vanish/>
              </w:rPr>
            </w:pPr>
          </w:p>
        </w:tc>
        <w:tc>
          <w:tcPr>
            <w:tcW w:w="0" w:type="auto"/>
            <w:gridSpan w:val="3"/>
            <w:shd w:val="clear" w:color="auto" w:fill="auto"/>
            <w:vAlign w:val="bottom"/>
          </w:tcPr>
          <w:p w14:paraId="392C0D0F" w14:textId="77777777" w:rsidR="00980E5F" w:rsidRDefault="00980E5F">
            <w:pPr>
              <w:rPr>
                <w:rFonts w:ascii="宋体"/>
                <w:vanish/>
              </w:rPr>
            </w:pPr>
          </w:p>
        </w:tc>
        <w:tc>
          <w:tcPr>
            <w:tcW w:w="0" w:type="auto"/>
            <w:gridSpan w:val="3"/>
            <w:shd w:val="clear" w:color="auto" w:fill="auto"/>
            <w:vAlign w:val="bottom"/>
          </w:tcPr>
          <w:p w14:paraId="392C0D10" w14:textId="77777777" w:rsidR="00980E5F" w:rsidRDefault="00980E5F">
            <w:pPr>
              <w:rPr>
                <w:rFonts w:ascii="宋体"/>
                <w:vanish/>
              </w:rPr>
            </w:pPr>
          </w:p>
        </w:tc>
        <w:tc>
          <w:tcPr>
            <w:tcW w:w="0" w:type="auto"/>
            <w:shd w:val="clear" w:color="auto" w:fill="auto"/>
            <w:vAlign w:val="bottom"/>
          </w:tcPr>
          <w:p w14:paraId="392C0D11" w14:textId="77777777" w:rsidR="00980E5F" w:rsidRDefault="00980E5F">
            <w:pPr>
              <w:rPr>
                <w:rFonts w:ascii="宋体"/>
                <w:vanish/>
              </w:rPr>
            </w:pPr>
          </w:p>
        </w:tc>
        <w:tc>
          <w:tcPr>
            <w:tcW w:w="0" w:type="auto"/>
            <w:shd w:val="clear" w:color="auto" w:fill="auto"/>
            <w:vAlign w:val="bottom"/>
          </w:tcPr>
          <w:p w14:paraId="392C0D12" w14:textId="77777777" w:rsidR="00980E5F" w:rsidRDefault="00980E5F">
            <w:pPr>
              <w:rPr>
                <w:rFonts w:ascii="宋体"/>
                <w:vanish/>
              </w:rPr>
            </w:pPr>
          </w:p>
        </w:tc>
        <w:tc>
          <w:tcPr>
            <w:tcW w:w="0" w:type="auto"/>
            <w:gridSpan w:val="3"/>
            <w:shd w:val="clear" w:color="auto" w:fill="auto"/>
            <w:vAlign w:val="bottom"/>
          </w:tcPr>
          <w:p w14:paraId="392C0D13" w14:textId="77777777" w:rsidR="00980E5F" w:rsidRDefault="00980E5F">
            <w:pPr>
              <w:rPr>
                <w:rFonts w:ascii="宋体"/>
                <w:vanish/>
              </w:rPr>
            </w:pPr>
          </w:p>
        </w:tc>
        <w:tc>
          <w:tcPr>
            <w:tcW w:w="0" w:type="auto"/>
            <w:gridSpan w:val="3"/>
            <w:shd w:val="clear" w:color="auto" w:fill="auto"/>
            <w:vAlign w:val="bottom"/>
          </w:tcPr>
          <w:p w14:paraId="392C0D14" w14:textId="77777777" w:rsidR="00980E5F" w:rsidRDefault="00980E5F">
            <w:pPr>
              <w:rPr>
                <w:rFonts w:ascii="宋体"/>
                <w:vanish/>
              </w:rPr>
            </w:pPr>
          </w:p>
        </w:tc>
      </w:tr>
      <w:tr w:rsidR="00980E5F" w14:paraId="392C0D1E" w14:textId="77777777">
        <w:trPr>
          <w:hidden/>
        </w:trPr>
        <w:tc>
          <w:tcPr>
            <w:tcW w:w="0" w:type="auto"/>
            <w:gridSpan w:val="3"/>
            <w:shd w:val="clear" w:color="auto" w:fill="auto"/>
            <w:vAlign w:val="bottom"/>
          </w:tcPr>
          <w:p w14:paraId="392C0D16" w14:textId="77777777" w:rsidR="00980E5F" w:rsidRDefault="00980E5F">
            <w:pPr>
              <w:rPr>
                <w:rFonts w:ascii="宋体"/>
                <w:vanish/>
              </w:rPr>
            </w:pPr>
          </w:p>
        </w:tc>
        <w:tc>
          <w:tcPr>
            <w:tcW w:w="0" w:type="auto"/>
            <w:gridSpan w:val="3"/>
            <w:shd w:val="clear" w:color="auto" w:fill="auto"/>
            <w:vAlign w:val="bottom"/>
          </w:tcPr>
          <w:p w14:paraId="392C0D17" w14:textId="77777777" w:rsidR="00980E5F" w:rsidRDefault="00980E5F">
            <w:pPr>
              <w:rPr>
                <w:rFonts w:ascii="宋体"/>
                <w:vanish/>
              </w:rPr>
            </w:pPr>
          </w:p>
        </w:tc>
        <w:tc>
          <w:tcPr>
            <w:tcW w:w="0" w:type="auto"/>
            <w:gridSpan w:val="3"/>
            <w:shd w:val="clear" w:color="auto" w:fill="auto"/>
            <w:vAlign w:val="bottom"/>
          </w:tcPr>
          <w:p w14:paraId="392C0D18" w14:textId="77777777" w:rsidR="00980E5F" w:rsidRDefault="00980E5F">
            <w:pPr>
              <w:rPr>
                <w:rFonts w:ascii="宋体"/>
                <w:vanish/>
              </w:rPr>
            </w:pPr>
          </w:p>
        </w:tc>
        <w:tc>
          <w:tcPr>
            <w:tcW w:w="0" w:type="auto"/>
            <w:gridSpan w:val="3"/>
            <w:shd w:val="clear" w:color="auto" w:fill="auto"/>
            <w:vAlign w:val="bottom"/>
          </w:tcPr>
          <w:p w14:paraId="392C0D19" w14:textId="77777777" w:rsidR="00980E5F" w:rsidRDefault="00980E5F">
            <w:pPr>
              <w:rPr>
                <w:rFonts w:ascii="宋体"/>
                <w:vanish/>
              </w:rPr>
            </w:pPr>
          </w:p>
        </w:tc>
        <w:tc>
          <w:tcPr>
            <w:tcW w:w="0" w:type="auto"/>
            <w:shd w:val="clear" w:color="auto" w:fill="auto"/>
            <w:vAlign w:val="bottom"/>
          </w:tcPr>
          <w:p w14:paraId="392C0D1A" w14:textId="77777777" w:rsidR="00980E5F" w:rsidRDefault="00980E5F">
            <w:pPr>
              <w:rPr>
                <w:rFonts w:ascii="宋体"/>
                <w:vanish/>
              </w:rPr>
            </w:pPr>
          </w:p>
        </w:tc>
        <w:tc>
          <w:tcPr>
            <w:tcW w:w="0" w:type="auto"/>
            <w:shd w:val="clear" w:color="auto" w:fill="auto"/>
            <w:vAlign w:val="bottom"/>
          </w:tcPr>
          <w:p w14:paraId="392C0D1B" w14:textId="77777777" w:rsidR="00980E5F" w:rsidRDefault="00980E5F">
            <w:pPr>
              <w:rPr>
                <w:rFonts w:ascii="宋体"/>
                <w:vanish/>
              </w:rPr>
            </w:pPr>
          </w:p>
        </w:tc>
        <w:tc>
          <w:tcPr>
            <w:tcW w:w="0" w:type="auto"/>
            <w:gridSpan w:val="3"/>
            <w:shd w:val="clear" w:color="auto" w:fill="auto"/>
            <w:vAlign w:val="bottom"/>
          </w:tcPr>
          <w:p w14:paraId="392C0D1C" w14:textId="77777777" w:rsidR="00980E5F" w:rsidRDefault="00980E5F">
            <w:pPr>
              <w:rPr>
                <w:rFonts w:ascii="宋体"/>
                <w:vanish/>
              </w:rPr>
            </w:pPr>
          </w:p>
        </w:tc>
        <w:tc>
          <w:tcPr>
            <w:tcW w:w="0" w:type="auto"/>
            <w:gridSpan w:val="3"/>
            <w:shd w:val="clear" w:color="auto" w:fill="auto"/>
            <w:vAlign w:val="bottom"/>
          </w:tcPr>
          <w:p w14:paraId="392C0D1D" w14:textId="77777777" w:rsidR="00980E5F" w:rsidRDefault="00980E5F">
            <w:pPr>
              <w:rPr>
                <w:rFonts w:ascii="宋体"/>
                <w:vanish/>
              </w:rPr>
            </w:pPr>
          </w:p>
        </w:tc>
      </w:tr>
      <w:tr w:rsidR="00980E5F" w14:paraId="392C0D27" w14:textId="77777777">
        <w:trPr>
          <w:hidden/>
        </w:trPr>
        <w:tc>
          <w:tcPr>
            <w:tcW w:w="0" w:type="auto"/>
            <w:gridSpan w:val="3"/>
            <w:shd w:val="clear" w:color="auto" w:fill="auto"/>
            <w:vAlign w:val="bottom"/>
          </w:tcPr>
          <w:p w14:paraId="392C0D1F" w14:textId="77777777" w:rsidR="00980E5F" w:rsidRDefault="00980E5F">
            <w:pPr>
              <w:rPr>
                <w:rFonts w:ascii="宋体"/>
                <w:vanish/>
              </w:rPr>
            </w:pPr>
          </w:p>
        </w:tc>
        <w:tc>
          <w:tcPr>
            <w:tcW w:w="0" w:type="auto"/>
            <w:gridSpan w:val="3"/>
            <w:shd w:val="clear" w:color="auto" w:fill="auto"/>
            <w:vAlign w:val="bottom"/>
          </w:tcPr>
          <w:p w14:paraId="392C0D20" w14:textId="77777777" w:rsidR="00980E5F" w:rsidRDefault="00980E5F">
            <w:pPr>
              <w:rPr>
                <w:rFonts w:ascii="宋体"/>
                <w:vanish/>
              </w:rPr>
            </w:pPr>
          </w:p>
        </w:tc>
        <w:tc>
          <w:tcPr>
            <w:tcW w:w="0" w:type="auto"/>
            <w:gridSpan w:val="3"/>
            <w:shd w:val="clear" w:color="auto" w:fill="auto"/>
            <w:vAlign w:val="bottom"/>
          </w:tcPr>
          <w:p w14:paraId="392C0D21" w14:textId="77777777" w:rsidR="00980E5F" w:rsidRDefault="00980E5F">
            <w:pPr>
              <w:rPr>
                <w:rFonts w:ascii="宋体"/>
                <w:vanish/>
              </w:rPr>
            </w:pPr>
          </w:p>
        </w:tc>
        <w:tc>
          <w:tcPr>
            <w:tcW w:w="0" w:type="auto"/>
            <w:gridSpan w:val="3"/>
            <w:shd w:val="clear" w:color="auto" w:fill="auto"/>
            <w:vAlign w:val="bottom"/>
          </w:tcPr>
          <w:p w14:paraId="392C0D22" w14:textId="77777777" w:rsidR="00980E5F" w:rsidRDefault="00980E5F">
            <w:pPr>
              <w:rPr>
                <w:rFonts w:ascii="宋体"/>
                <w:vanish/>
              </w:rPr>
            </w:pPr>
          </w:p>
        </w:tc>
        <w:tc>
          <w:tcPr>
            <w:tcW w:w="0" w:type="auto"/>
            <w:shd w:val="clear" w:color="auto" w:fill="auto"/>
            <w:vAlign w:val="bottom"/>
          </w:tcPr>
          <w:p w14:paraId="392C0D23" w14:textId="77777777" w:rsidR="00980E5F" w:rsidRDefault="00980E5F">
            <w:pPr>
              <w:rPr>
                <w:rFonts w:ascii="宋体"/>
                <w:vanish/>
              </w:rPr>
            </w:pPr>
          </w:p>
        </w:tc>
        <w:tc>
          <w:tcPr>
            <w:tcW w:w="0" w:type="auto"/>
            <w:shd w:val="clear" w:color="auto" w:fill="auto"/>
            <w:vAlign w:val="bottom"/>
          </w:tcPr>
          <w:p w14:paraId="392C0D24" w14:textId="77777777" w:rsidR="00980E5F" w:rsidRDefault="00980E5F">
            <w:pPr>
              <w:rPr>
                <w:rFonts w:ascii="宋体"/>
                <w:vanish/>
              </w:rPr>
            </w:pPr>
          </w:p>
        </w:tc>
        <w:tc>
          <w:tcPr>
            <w:tcW w:w="0" w:type="auto"/>
            <w:gridSpan w:val="3"/>
            <w:shd w:val="clear" w:color="auto" w:fill="auto"/>
            <w:vAlign w:val="bottom"/>
          </w:tcPr>
          <w:p w14:paraId="392C0D25" w14:textId="77777777" w:rsidR="00980E5F" w:rsidRDefault="00980E5F">
            <w:pPr>
              <w:rPr>
                <w:rFonts w:ascii="宋体"/>
                <w:vanish/>
              </w:rPr>
            </w:pPr>
          </w:p>
        </w:tc>
        <w:tc>
          <w:tcPr>
            <w:tcW w:w="0" w:type="auto"/>
            <w:gridSpan w:val="3"/>
            <w:shd w:val="clear" w:color="auto" w:fill="auto"/>
            <w:vAlign w:val="bottom"/>
          </w:tcPr>
          <w:p w14:paraId="392C0D26" w14:textId="77777777" w:rsidR="00980E5F" w:rsidRDefault="00980E5F">
            <w:pPr>
              <w:rPr>
                <w:rFonts w:ascii="宋体"/>
                <w:vanish/>
              </w:rPr>
            </w:pPr>
          </w:p>
        </w:tc>
      </w:tr>
      <w:tr w:rsidR="00980E5F" w14:paraId="392C0D30" w14:textId="77777777">
        <w:trPr>
          <w:hidden/>
        </w:trPr>
        <w:tc>
          <w:tcPr>
            <w:tcW w:w="0" w:type="auto"/>
            <w:gridSpan w:val="3"/>
            <w:shd w:val="clear" w:color="auto" w:fill="auto"/>
            <w:vAlign w:val="bottom"/>
          </w:tcPr>
          <w:p w14:paraId="392C0D28" w14:textId="77777777" w:rsidR="00980E5F" w:rsidRDefault="00980E5F">
            <w:pPr>
              <w:rPr>
                <w:rFonts w:ascii="宋体"/>
                <w:vanish/>
              </w:rPr>
            </w:pPr>
          </w:p>
        </w:tc>
        <w:tc>
          <w:tcPr>
            <w:tcW w:w="0" w:type="auto"/>
            <w:gridSpan w:val="3"/>
            <w:shd w:val="clear" w:color="auto" w:fill="auto"/>
            <w:vAlign w:val="bottom"/>
          </w:tcPr>
          <w:p w14:paraId="392C0D29" w14:textId="77777777" w:rsidR="00980E5F" w:rsidRDefault="00980E5F">
            <w:pPr>
              <w:rPr>
                <w:rFonts w:ascii="宋体"/>
                <w:vanish/>
              </w:rPr>
            </w:pPr>
          </w:p>
        </w:tc>
        <w:tc>
          <w:tcPr>
            <w:tcW w:w="0" w:type="auto"/>
            <w:gridSpan w:val="3"/>
            <w:shd w:val="clear" w:color="auto" w:fill="auto"/>
            <w:vAlign w:val="bottom"/>
          </w:tcPr>
          <w:p w14:paraId="392C0D2A" w14:textId="77777777" w:rsidR="00980E5F" w:rsidRDefault="00980E5F">
            <w:pPr>
              <w:rPr>
                <w:rFonts w:ascii="宋体"/>
                <w:vanish/>
              </w:rPr>
            </w:pPr>
          </w:p>
        </w:tc>
        <w:tc>
          <w:tcPr>
            <w:tcW w:w="0" w:type="auto"/>
            <w:gridSpan w:val="3"/>
            <w:shd w:val="clear" w:color="auto" w:fill="auto"/>
            <w:vAlign w:val="bottom"/>
          </w:tcPr>
          <w:p w14:paraId="392C0D2B" w14:textId="77777777" w:rsidR="00980E5F" w:rsidRDefault="00980E5F">
            <w:pPr>
              <w:rPr>
                <w:rFonts w:ascii="宋体"/>
                <w:vanish/>
              </w:rPr>
            </w:pPr>
          </w:p>
        </w:tc>
        <w:tc>
          <w:tcPr>
            <w:tcW w:w="0" w:type="auto"/>
            <w:shd w:val="clear" w:color="auto" w:fill="auto"/>
            <w:vAlign w:val="bottom"/>
          </w:tcPr>
          <w:p w14:paraId="392C0D2C" w14:textId="77777777" w:rsidR="00980E5F" w:rsidRDefault="00980E5F">
            <w:pPr>
              <w:rPr>
                <w:rFonts w:ascii="宋体"/>
                <w:vanish/>
              </w:rPr>
            </w:pPr>
          </w:p>
        </w:tc>
        <w:tc>
          <w:tcPr>
            <w:tcW w:w="0" w:type="auto"/>
            <w:shd w:val="clear" w:color="auto" w:fill="auto"/>
            <w:vAlign w:val="bottom"/>
          </w:tcPr>
          <w:p w14:paraId="392C0D2D" w14:textId="77777777" w:rsidR="00980E5F" w:rsidRDefault="00980E5F">
            <w:pPr>
              <w:rPr>
                <w:rFonts w:ascii="宋体"/>
                <w:vanish/>
              </w:rPr>
            </w:pPr>
          </w:p>
        </w:tc>
        <w:tc>
          <w:tcPr>
            <w:tcW w:w="0" w:type="auto"/>
            <w:gridSpan w:val="3"/>
            <w:shd w:val="clear" w:color="auto" w:fill="auto"/>
            <w:vAlign w:val="bottom"/>
          </w:tcPr>
          <w:p w14:paraId="392C0D2E" w14:textId="77777777" w:rsidR="00980E5F" w:rsidRDefault="00980E5F">
            <w:pPr>
              <w:rPr>
                <w:rFonts w:ascii="宋体"/>
                <w:vanish/>
              </w:rPr>
            </w:pPr>
          </w:p>
        </w:tc>
        <w:tc>
          <w:tcPr>
            <w:tcW w:w="0" w:type="auto"/>
            <w:gridSpan w:val="3"/>
            <w:shd w:val="clear" w:color="auto" w:fill="auto"/>
            <w:vAlign w:val="bottom"/>
          </w:tcPr>
          <w:p w14:paraId="392C0D2F" w14:textId="77777777" w:rsidR="00980E5F" w:rsidRDefault="00980E5F">
            <w:pPr>
              <w:rPr>
                <w:rFonts w:ascii="宋体"/>
                <w:vanish/>
              </w:rPr>
            </w:pPr>
          </w:p>
        </w:tc>
      </w:tr>
      <w:tr w:rsidR="00980E5F" w14:paraId="392C0D39" w14:textId="77777777">
        <w:trPr>
          <w:hidden/>
        </w:trPr>
        <w:tc>
          <w:tcPr>
            <w:tcW w:w="0" w:type="auto"/>
            <w:gridSpan w:val="3"/>
            <w:shd w:val="clear" w:color="auto" w:fill="auto"/>
            <w:vAlign w:val="bottom"/>
          </w:tcPr>
          <w:p w14:paraId="392C0D31" w14:textId="77777777" w:rsidR="00980E5F" w:rsidRDefault="00980E5F">
            <w:pPr>
              <w:rPr>
                <w:rFonts w:ascii="宋体"/>
                <w:vanish/>
              </w:rPr>
            </w:pPr>
          </w:p>
        </w:tc>
        <w:tc>
          <w:tcPr>
            <w:tcW w:w="0" w:type="auto"/>
            <w:gridSpan w:val="3"/>
            <w:shd w:val="clear" w:color="auto" w:fill="auto"/>
            <w:vAlign w:val="bottom"/>
          </w:tcPr>
          <w:p w14:paraId="392C0D32" w14:textId="77777777" w:rsidR="00980E5F" w:rsidRDefault="00980E5F">
            <w:pPr>
              <w:rPr>
                <w:rFonts w:ascii="宋体"/>
                <w:vanish/>
              </w:rPr>
            </w:pPr>
          </w:p>
        </w:tc>
        <w:tc>
          <w:tcPr>
            <w:tcW w:w="0" w:type="auto"/>
            <w:gridSpan w:val="3"/>
            <w:shd w:val="clear" w:color="auto" w:fill="auto"/>
            <w:vAlign w:val="bottom"/>
          </w:tcPr>
          <w:p w14:paraId="392C0D33" w14:textId="77777777" w:rsidR="00980E5F" w:rsidRDefault="00980E5F">
            <w:pPr>
              <w:rPr>
                <w:rFonts w:ascii="宋体"/>
                <w:vanish/>
              </w:rPr>
            </w:pPr>
          </w:p>
        </w:tc>
        <w:tc>
          <w:tcPr>
            <w:tcW w:w="0" w:type="auto"/>
            <w:gridSpan w:val="3"/>
            <w:shd w:val="clear" w:color="auto" w:fill="auto"/>
            <w:vAlign w:val="bottom"/>
          </w:tcPr>
          <w:p w14:paraId="392C0D34" w14:textId="77777777" w:rsidR="00980E5F" w:rsidRDefault="00980E5F">
            <w:pPr>
              <w:rPr>
                <w:rFonts w:ascii="宋体"/>
                <w:vanish/>
              </w:rPr>
            </w:pPr>
          </w:p>
        </w:tc>
        <w:tc>
          <w:tcPr>
            <w:tcW w:w="0" w:type="auto"/>
            <w:shd w:val="clear" w:color="auto" w:fill="auto"/>
            <w:vAlign w:val="bottom"/>
          </w:tcPr>
          <w:p w14:paraId="392C0D35" w14:textId="77777777" w:rsidR="00980E5F" w:rsidRDefault="00980E5F">
            <w:pPr>
              <w:rPr>
                <w:rFonts w:ascii="宋体"/>
                <w:vanish/>
              </w:rPr>
            </w:pPr>
          </w:p>
        </w:tc>
        <w:tc>
          <w:tcPr>
            <w:tcW w:w="0" w:type="auto"/>
            <w:shd w:val="clear" w:color="auto" w:fill="auto"/>
            <w:vAlign w:val="bottom"/>
          </w:tcPr>
          <w:p w14:paraId="392C0D36" w14:textId="77777777" w:rsidR="00980E5F" w:rsidRDefault="00980E5F">
            <w:pPr>
              <w:rPr>
                <w:rFonts w:ascii="宋体"/>
                <w:vanish/>
              </w:rPr>
            </w:pPr>
          </w:p>
        </w:tc>
        <w:tc>
          <w:tcPr>
            <w:tcW w:w="0" w:type="auto"/>
            <w:gridSpan w:val="3"/>
            <w:shd w:val="clear" w:color="auto" w:fill="auto"/>
            <w:vAlign w:val="bottom"/>
          </w:tcPr>
          <w:p w14:paraId="392C0D37" w14:textId="77777777" w:rsidR="00980E5F" w:rsidRDefault="00980E5F">
            <w:pPr>
              <w:rPr>
                <w:rFonts w:ascii="宋体"/>
                <w:vanish/>
              </w:rPr>
            </w:pPr>
          </w:p>
        </w:tc>
        <w:tc>
          <w:tcPr>
            <w:tcW w:w="0" w:type="auto"/>
            <w:gridSpan w:val="3"/>
            <w:shd w:val="clear" w:color="auto" w:fill="auto"/>
            <w:vAlign w:val="bottom"/>
          </w:tcPr>
          <w:p w14:paraId="392C0D38" w14:textId="77777777" w:rsidR="00980E5F" w:rsidRDefault="00980E5F">
            <w:pPr>
              <w:rPr>
                <w:rFonts w:ascii="宋体"/>
                <w:vanish/>
              </w:rPr>
            </w:pPr>
          </w:p>
        </w:tc>
      </w:tr>
      <w:tr w:rsidR="00980E5F" w14:paraId="392C0D42" w14:textId="77777777">
        <w:trPr>
          <w:hidden/>
        </w:trPr>
        <w:tc>
          <w:tcPr>
            <w:tcW w:w="0" w:type="auto"/>
            <w:gridSpan w:val="3"/>
            <w:shd w:val="clear" w:color="auto" w:fill="auto"/>
            <w:vAlign w:val="bottom"/>
          </w:tcPr>
          <w:p w14:paraId="392C0D3A" w14:textId="77777777" w:rsidR="00980E5F" w:rsidRDefault="00980E5F">
            <w:pPr>
              <w:rPr>
                <w:rFonts w:ascii="宋体"/>
                <w:vanish/>
              </w:rPr>
            </w:pPr>
          </w:p>
        </w:tc>
        <w:tc>
          <w:tcPr>
            <w:tcW w:w="0" w:type="auto"/>
            <w:gridSpan w:val="3"/>
            <w:shd w:val="clear" w:color="auto" w:fill="auto"/>
            <w:vAlign w:val="bottom"/>
          </w:tcPr>
          <w:p w14:paraId="392C0D3B" w14:textId="77777777" w:rsidR="00980E5F" w:rsidRDefault="00980E5F">
            <w:pPr>
              <w:rPr>
                <w:rFonts w:ascii="宋体"/>
                <w:vanish/>
              </w:rPr>
            </w:pPr>
          </w:p>
        </w:tc>
        <w:tc>
          <w:tcPr>
            <w:tcW w:w="0" w:type="auto"/>
            <w:gridSpan w:val="3"/>
            <w:shd w:val="clear" w:color="auto" w:fill="auto"/>
            <w:vAlign w:val="bottom"/>
          </w:tcPr>
          <w:p w14:paraId="392C0D3C" w14:textId="77777777" w:rsidR="00980E5F" w:rsidRDefault="00980E5F">
            <w:pPr>
              <w:rPr>
                <w:rFonts w:ascii="宋体"/>
                <w:vanish/>
              </w:rPr>
            </w:pPr>
          </w:p>
        </w:tc>
        <w:tc>
          <w:tcPr>
            <w:tcW w:w="0" w:type="auto"/>
            <w:gridSpan w:val="3"/>
            <w:shd w:val="clear" w:color="auto" w:fill="auto"/>
            <w:vAlign w:val="bottom"/>
          </w:tcPr>
          <w:p w14:paraId="392C0D3D" w14:textId="77777777" w:rsidR="00980E5F" w:rsidRDefault="00980E5F">
            <w:pPr>
              <w:rPr>
                <w:rFonts w:ascii="宋体"/>
                <w:vanish/>
              </w:rPr>
            </w:pPr>
          </w:p>
        </w:tc>
        <w:tc>
          <w:tcPr>
            <w:tcW w:w="0" w:type="auto"/>
            <w:shd w:val="clear" w:color="auto" w:fill="auto"/>
            <w:vAlign w:val="bottom"/>
          </w:tcPr>
          <w:p w14:paraId="392C0D3E" w14:textId="77777777" w:rsidR="00980E5F" w:rsidRDefault="00980E5F">
            <w:pPr>
              <w:rPr>
                <w:rFonts w:ascii="宋体"/>
                <w:vanish/>
              </w:rPr>
            </w:pPr>
          </w:p>
        </w:tc>
        <w:tc>
          <w:tcPr>
            <w:tcW w:w="0" w:type="auto"/>
            <w:shd w:val="clear" w:color="auto" w:fill="auto"/>
            <w:vAlign w:val="bottom"/>
          </w:tcPr>
          <w:p w14:paraId="392C0D3F" w14:textId="77777777" w:rsidR="00980E5F" w:rsidRDefault="00980E5F">
            <w:pPr>
              <w:rPr>
                <w:rFonts w:ascii="宋体"/>
                <w:vanish/>
              </w:rPr>
            </w:pPr>
          </w:p>
        </w:tc>
        <w:tc>
          <w:tcPr>
            <w:tcW w:w="0" w:type="auto"/>
            <w:gridSpan w:val="3"/>
            <w:shd w:val="clear" w:color="auto" w:fill="auto"/>
            <w:vAlign w:val="bottom"/>
          </w:tcPr>
          <w:p w14:paraId="392C0D40" w14:textId="77777777" w:rsidR="00980E5F" w:rsidRDefault="00980E5F">
            <w:pPr>
              <w:rPr>
                <w:rFonts w:ascii="宋体"/>
                <w:vanish/>
              </w:rPr>
            </w:pPr>
          </w:p>
        </w:tc>
        <w:tc>
          <w:tcPr>
            <w:tcW w:w="0" w:type="auto"/>
            <w:gridSpan w:val="3"/>
            <w:shd w:val="clear" w:color="auto" w:fill="auto"/>
            <w:vAlign w:val="bottom"/>
          </w:tcPr>
          <w:p w14:paraId="392C0D41" w14:textId="77777777" w:rsidR="00980E5F" w:rsidRDefault="00980E5F">
            <w:pPr>
              <w:rPr>
                <w:rFonts w:ascii="宋体"/>
                <w:vanish/>
              </w:rPr>
            </w:pPr>
          </w:p>
        </w:tc>
      </w:tr>
      <w:tr w:rsidR="00980E5F" w14:paraId="392C0D4B" w14:textId="77777777">
        <w:trPr>
          <w:hidden/>
        </w:trPr>
        <w:tc>
          <w:tcPr>
            <w:tcW w:w="0" w:type="auto"/>
            <w:gridSpan w:val="3"/>
            <w:shd w:val="clear" w:color="auto" w:fill="auto"/>
            <w:vAlign w:val="bottom"/>
          </w:tcPr>
          <w:p w14:paraId="392C0D43" w14:textId="77777777" w:rsidR="00980E5F" w:rsidRDefault="00980E5F">
            <w:pPr>
              <w:rPr>
                <w:rFonts w:ascii="宋体"/>
                <w:vanish/>
              </w:rPr>
            </w:pPr>
          </w:p>
        </w:tc>
        <w:tc>
          <w:tcPr>
            <w:tcW w:w="0" w:type="auto"/>
            <w:gridSpan w:val="3"/>
            <w:shd w:val="clear" w:color="auto" w:fill="auto"/>
            <w:vAlign w:val="bottom"/>
          </w:tcPr>
          <w:p w14:paraId="392C0D44" w14:textId="77777777" w:rsidR="00980E5F" w:rsidRDefault="00980E5F">
            <w:pPr>
              <w:rPr>
                <w:rFonts w:ascii="宋体"/>
                <w:vanish/>
              </w:rPr>
            </w:pPr>
          </w:p>
        </w:tc>
        <w:tc>
          <w:tcPr>
            <w:tcW w:w="0" w:type="auto"/>
            <w:gridSpan w:val="3"/>
            <w:shd w:val="clear" w:color="auto" w:fill="auto"/>
            <w:vAlign w:val="bottom"/>
          </w:tcPr>
          <w:p w14:paraId="392C0D45" w14:textId="77777777" w:rsidR="00980E5F" w:rsidRDefault="00980E5F">
            <w:pPr>
              <w:rPr>
                <w:rFonts w:ascii="宋体"/>
                <w:vanish/>
              </w:rPr>
            </w:pPr>
          </w:p>
        </w:tc>
        <w:tc>
          <w:tcPr>
            <w:tcW w:w="0" w:type="auto"/>
            <w:gridSpan w:val="3"/>
            <w:shd w:val="clear" w:color="auto" w:fill="auto"/>
            <w:vAlign w:val="bottom"/>
          </w:tcPr>
          <w:p w14:paraId="392C0D46" w14:textId="77777777" w:rsidR="00980E5F" w:rsidRDefault="00980E5F">
            <w:pPr>
              <w:rPr>
                <w:rFonts w:ascii="宋体"/>
                <w:vanish/>
              </w:rPr>
            </w:pPr>
          </w:p>
        </w:tc>
        <w:tc>
          <w:tcPr>
            <w:tcW w:w="0" w:type="auto"/>
            <w:shd w:val="clear" w:color="auto" w:fill="auto"/>
            <w:vAlign w:val="bottom"/>
          </w:tcPr>
          <w:p w14:paraId="392C0D47" w14:textId="77777777" w:rsidR="00980E5F" w:rsidRDefault="00980E5F">
            <w:pPr>
              <w:rPr>
                <w:rFonts w:ascii="宋体"/>
                <w:vanish/>
              </w:rPr>
            </w:pPr>
          </w:p>
        </w:tc>
        <w:tc>
          <w:tcPr>
            <w:tcW w:w="0" w:type="auto"/>
            <w:shd w:val="clear" w:color="auto" w:fill="auto"/>
            <w:vAlign w:val="bottom"/>
          </w:tcPr>
          <w:p w14:paraId="392C0D48" w14:textId="77777777" w:rsidR="00980E5F" w:rsidRDefault="00980E5F">
            <w:pPr>
              <w:rPr>
                <w:rFonts w:ascii="宋体"/>
                <w:vanish/>
              </w:rPr>
            </w:pPr>
          </w:p>
        </w:tc>
        <w:tc>
          <w:tcPr>
            <w:tcW w:w="0" w:type="auto"/>
            <w:gridSpan w:val="3"/>
            <w:shd w:val="clear" w:color="auto" w:fill="auto"/>
            <w:vAlign w:val="bottom"/>
          </w:tcPr>
          <w:p w14:paraId="392C0D49" w14:textId="77777777" w:rsidR="00980E5F" w:rsidRDefault="00980E5F">
            <w:pPr>
              <w:rPr>
                <w:rFonts w:ascii="宋体"/>
                <w:vanish/>
              </w:rPr>
            </w:pPr>
          </w:p>
        </w:tc>
        <w:tc>
          <w:tcPr>
            <w:tcW w:w="0" w:type="auto"/>
            <w:gridSpan w:val="3"/>
            <w:shd w:val="clear" w:color="auto" w:fill="auto"/>
            <w:vAlign w:val="bottom"/>
          </w:tcPr>
          <w:p w14:paraId="392C0D4A" w14:textId="77777777" w:rsidR="00980E5F" w:rsidRDefault="00980E5F">
            <w:pPr>
              <w:rPr>
                <w:rFonts w:ascii="宋体"/>
                <w:vanish/>
              </w:rPr>
            </w:pPr>
          </w:p>
        </w:tc>
      </w:tr>
      <w:tr w:rsidR="00980E5F" w14:paraId="392C0D54" w14:textId="77777777">
        <w:trPr>
          <w:hidden/>
        </w:trPr>
        <w:tc>
          <w:tcPr>
            <w:tcW w:w="0" w:type="auto"/>
            <w:gridSpan w:val="3"/>
            <w:shd w:val="clear" w:color="auto" w:fill="auto"/>
            <w:vAlign w:val="bottom"/>
          </w:tcPr>
          <w:p w14:paraId="392C0D4C" w14:textId="77777777" w:rsidR="00980E5F" w:rsidRDefault="00980E5F">
            <w:pPr>
              <w:rPr>
                <w:rFonts w:ascii="宋体"/>
                <w:vanish/>
              </w:rPr>
            </w:pPr>
          </w:p>
        </w:tc>
        <w:tc>
          <w:tcPr>
            <w:tcW w:w="0" w:type="auto"/>
            <w:gridSpan w:val="3"/>
            <w:shd w:val="clear" w:color="auto" w:fill="auto"/>
            <w:vAlign w:val="bottom"/>
          </w:tcPr>
          <w:p w14:paraId="392C0D4D" w14:textId="77777777" w:rsidR="00980E5F" w:rsidRDefault="00980E5F">
            <w:pPr>
              <w:rPr>
                <w:rFonts w:ascii="宋体"/>
                <w:vanish/>
              </w:rPr>
            </w:pPr>
          </w:p>
        </w:tc>
        <w:tc>
          <w:tcPr>
            <w:tcW w:w="0" w:type="auto"/>
            <w:gridSpan w:val="3"/>
            <w:shd w:val="clear" w:color="auto" w:fill="auto"/>
            <w:vAlign w:val="bottom"/>
          </w:tcPr>
          <w:p w14:paraId="392C0D4E" w14:textId="77777777" w:rsidR="00980E5F" w:rsidRDefault="00980E5F">
            <w:pPr>
              <w:rPr>
                <w:rFonts w:ascii="宋体"/>
                <w:vanish/>
              </w:rPr>
            </w:pPr>
          </w:p>
        </w:tc>
        <w:tc>
          <w:tcPr>
            <w:tcW w:w="0" w:type="auto"/>
            <w:gridSpan w:val="3"/>
            <w:shd w:val="clear" w:color="auto" w:fill="auto"/>
            <w:vAlign w:val="bottom"/>
          </w:tcPr>
          <w:p w14:paraId="392C0D4F" w14:textId="77777777" w:rsidR="00980E5F" w:rsidRDefault="00980E5F">
            <w:pPr>
              <w:rPr>
                <w:rFonts w:ascii="宋体"/>
                <w:vanish/>
              </w:rPr>
            </w:pPr>
          </w:p>
        </w:tc>
        <w:tc>
          <w:tcPr>
            <w:tcW w:w="0" w:type="auto"/>
            <w:shd w:val="clear" w:color="auto" w:fill="auto"/>
            <w:vAlign w:val="bottom"/>
          </w:tcPr>
          <w:p w14:paraId="392C0D50" w14:textId="77777777" w:rsidR="00980E5F" w:rsidRDefault="00980E5F">
            <w:pPr>
              <w:rPr>
                <w:rFonts w:ascii="宋体"/>
                <w:vanish/>
              </w:rPr>
            </w:pPr>
          </w:p>
        </w:tc>
        <w:tc>
          <w:tcPr>
            <w:tcW w:w="0" w:type="auto"/>
            <w:shd w:val="clear" w:color="auto" w:fill="auto"/>
            <w:vAlign w:val="bottom"/>
          </w:tcPr>
          <w:p w14:paraId="392C0D51" w14:textId="77777777" w:rsidR="00980E5F" w:rsidRDefault="00980E5F">
            <w:pPr>
              <w:rPr>
                <w:rFonts w:ascii="宋体"/>
                <w:vanish/>
              </w:rPr>
            </w:pPr>
          </w:p>
        </w:tc>
        <w:tc>
          <w:tcPr>
            <w:tcW w:w="0" w:type="auto"/>
            <w:gridSpan w:val="3"/>
            <w:shd w:val="clear" w:color="auto" w:fill="auto"/>
            <w:vAlign w:val="bottom"/>
          </w:tcPr>
          <w:p w14:paraId="392C0D52" w14:textId="77777777" w:rsidR="00980E5F" w:rsidRDefault="00980E5F">
            <w:pPr>
              <w:rPr>
                <w:rFonts w:ascii="宋体"/>
                <w:vanish/>
              </w:rPr>
            </w:pPr>
          </w:p>
        </w:tc>
        <w:tc>
          <w:tcPr>
            <w:tcW w:w="0" w:type="auto"/>
            <w:gridSpan w:val="3"/>
            <w:shd w:val="clear" w:color="auto" w:fill="auto"/>
            <w:vAlign w:val="bottom"/>
          </w:tcPr>
          <w:p w14:paraId="392C0D53" w14:textId="77777777" w:rsidR="00980E5F" w:rsidRDefault="00980E5F">
            <w:pPr>
              <w:rPr>
                <w:rFonts w:ascii="宋体"/>
                <w:vanish/>
              </w:rPr>
            </w:pPr>
          </w:p>
        </w:tc>
      </w:tr>
      <w:tr w:rsidR="00980E5F" w14:paraId="392C0D5D" w14:textId="77777777">
        <w:trPr>
          <w:hidden/>
        </w:trPr>
        <w:tc>
          <w:tcPr>
            <w:tcW w:w="0" w:type="auto"/>
            <w:gridSpan w:val="3"/>
            <w:shd w:val="clear" w:color="auto" w:fill="auto"/>
            <w:vAlign w:val="bottom"/>
          </w:tcPr>
          <w:p w14:paraId="392C0D55" w14:textId="77777777" w:rsidR="00980E5F" w:rsidRDefault="00980E5F">
            <w:pPr>
              <w:rPr>
                <w:rFonts w:ascii="宋体"/>
                <w:vanish/>
              </w:rPr>
            </w:pPr>
          </w:p>
        </w:tc>
        <w:tc>
          <w:tcPr>
            <w:tcW w:w="0" w:type="auto"/>
            <w:gridSpan w:val="3"/>
            <w:shd w:val="clear" w:color="auto" w:fill="auto"/>
            <w:vAlign w:val="bottom"/>
          </w:tcPr>
          <w:p w14:paraId="392C0D56" w14:textId="77777777" w:rsidR="00980E5F" w:rsidRDefault="00980E5F">
            <w:pPr>
              <w:rPr>
                <w:rFonts w:ascii="宋体"/>
                <w:vanish/>
              </w:rPr>
            </w:pPr>
          </w:p>
        </w:tc>
        <w:tc>
          <w:tcPr>
            <w:tcW w:w="0" w:type="auto"/>
            <w:gridSpan w:val="3"/>
            <w:shd w:val="clear" w:color="auto" w:fill="auto"/>
            <w:vAlign w:val="bottom"/>
          </w:tcPr>
          <w:p w14:paraId="392C0D57" w14:textId="77777777" w:rsidR="00980E5F" w:rsidRDefault="00980E5F">
            <w:pPr>
              <w:rPr>
                <w:rFonts w:ascii="宋体"/>
                <w:vanish/>
              </w:rPr>
            </w:pPr>
          </w:p>
        </w:tc>
        <w:tc>
          <w:tcPr>
            <w:tcW w:w="0" w:type="auto"/>
            <w:gridSpan w:val="3"/>
            <w:shd w:val="clear" w:color="auto" w:fill="auto"/>
            <w:vAlign w:val="bottom"/>
          </w:tcPr>
          <w:p w14:paraId="392C0D58" w14:textId="77777777" w:rsidR="00980E5F" w:rsidRDefault="00980E5F">
            <w:pPr>
              <w:rPr>
                <w:rFonts w:ascii="宋体"/>
                <w:vanish/>
              </w:rPr>
            </w:pPr>
          </w:p>
        </w:tc>
        <w:tc>
          <w:tcPr>
            <w:tcW w:w="0" w:type="auto"/>
            <w:shd w:val="clear" w:color="auto" w:fill="auto"/>
            <w:vAlign w:val="bottom"/>
          </w:tcPr>
          <w:p w14:paraId="392C0D59" w14:textId="77777777" w:rsidR="00980E5F" w:rsidRDefault="00980E5F">
            <w:pPr>
              <w:rPr>
                <w:rFonts w:ascii="宋体"/>
                <w:vanish/>
              </w:rPr>
            </w:pPr>
          </w:p>
        </w:tc>
        <w:tc>
          <w:tcPr>
            <w:tcW w:w="0" w:type="auto"/>
            <w:shd w:val="clear" w:color="auto" w:fill="auto"/>
            <w:vAlign w:val="bottom"/>
          </w:tcPr>
          <w:p w14:paraId="392C0D5A" w14:textId="77777777" w:rsidR="00980E5F" w:rsidRDefault="00980E5F">
            <w:pPr>
              <w:rPr>
                <w:rFonts w:ascii="宋体"/>
                <w:vanish/>
              </w:rPr>
            </w:pPr>
          </w:p>
        </w:tc>
        <w:tc>
          <w:tcPr>
            <w:tcW w:w="0" w:type="auto"/>
            <w:gridSpan w:val="3"/>
            <w:shd w:val="clear" w:color="auto" w:fill="auto"/>
            <w:vAlign w:val="bottom"/>
          </w:tcPr>
          <w:p w14:paraId="392C0D5B" w14:textId="77777777" w:rsidR="00980E5F" w:rsidRDefault="00980E5F">
            <w:pPr>
              <w:rPr>
                <w:rFonts w:ascii="宋体"/>
                <w:vanish/>
              </w:rPr>
            </w:pPr>
          </w:p>
        </w:tc>
        <w:tc>
          <w:tcPr>
            <w:tcW w:w="0" w:type="auto"/>
            <w:gridSpan w:val="3"/>
            <w:shd w:val="clear" w:color="auto" w:fill="auto"/>
            <w:vAlign w:val="bottom"/>
          </w:tcPr>
          <w:p w14:paraId="392C0D5C" w14:textId="77777777" w:rsidR="00980E5F" w:rsidRDefault="00980E5F">
            <w:pPr>
              <w:rPr>
                <w:rFonts w:ascii="宋体"/>
                <w:vanish/>
              </w:rPr>
            </w:pPr>
          </w:p>
        </w:tc>
      </w:tr>
      <w:tr w:rsidR="00980E5F" w14:paraId="392C0D66" w14:textId="77777777">
        <w:trPr>
          <w:hidden/>
        </w:trPr>
        <w:tc>
          <w:tcPr>
            <w:tcW w:w="0" w:type="auto"/>
            <w:gridSpan w:val="3"/>
            <w:shd w:val="clear" w:color="auto" w:fill="auto"/>
            <w:vAlign w:val="bottom"/>
          </w:tcPr>
          <w:p w14:paraId="392C0D5E" w14:textId="77777777" w:rsidR="00980E5F" w:rsidRDefault="00980E5F">
            <w:pPr>
              <w:rPr>
                <w:rFonts w:ascii="宋体"/>
                <w:vanish/>
              </w:rPr>
            </w:pPr>
          </w:p>
        </w:tc>
        <w:tc>
          <w:tcPr>
            <w:tcW w:w="0" w:type="auto"/>
            <w:gridSpan w:val="3"/>
            <w:shd w:val="clear" w:color="auto" w:fill="auto"/>
            <w:vAlign w:val="bottom"/>
          </w:tcPr>
          <w:p w14:paraId="392C0D5F" w14:textId="77777777" w:rsidR="00980E5F" w:rsidRDefault="00980E5F">
            <w:pPr>
              <w:rPr>
                <w:rFonts w:ascii="宋体"/>
                <w:vanish/>
              </w:rPr>
            </w:pPr>
          </w:p>
        </w:tc>
        <w:tc>
          <w:tcPr>
            <w:tcW w:w="0" w:type="auto"/>
            <w:gridSpan w:val="3"/>
            <w:shd w:val="clear" w:color="auto" w:fill="auto"/>
            <w:vAlign w:val="bottom"/>
          </w:tcPr>
          <w:p w14:paraId="392C0D60" w14:textId="77777777" w:rsidR="00980E5F" w:rsidRDefault="00980E5F">
            <w:pPr>
              <w:rPr>
                <w:rFonts w:ascii="宋体"/>
                <w:vanish/>
              </w:rPr>
            </w:pPr>
          </w:p>
        </w:tc>
        <w:tc>
          <w:tcPr>
            <w:tcW w:w="0" w:type="auto"/>
            <w:gridSpan w:val="3"/>
            <w:shd w:val="clear" w:color="auto" w:fill="auto"/>
            <w:vAlign w:val="bottom"/>
          </w:tcPr>
          <w:p w14:paraId="392C0D61" w14:textId="77777777" w:rsidR="00980E5F" w:rsidRDefault="00980E5F">
            <w:pPr>
              <w:rPr>
                <w:rFonts w:ascii="宋体"/>
                <w:vanish/>
              </w:rPr>
            </w:pPr>
          </w:p>
        </w:tc>
        <w:tc>
          <w:tcPr>
            <w:tcW w:w="0" w:type="auto"/>
            <w:shd w:val="clear" w:color="auto" w:fill="auto"/>
            <w:vAlign w:val="bottom"/>
          </w:tcPr>
          <w:p w14:paraId="392C0D62" w14:textId="77777777" w:rsidR="00980E5F" w:rsidRDefault="00980E5F">
            <w:pPr>
              <w:rPr>
                <w:rFonts w:ascii="宋体"/>
                <w:vanish/>
              </w:rPr>
            </w:pPr>
          </w:p>
        </w:tc>
        <w:tc>
          <w:tcPr>
            <w:tcW w:w="0" w:type="auto"/>
            <w:shd w:val="clear" w:color="auto" w:fill="auto"/>
            <w:vAlign w:val="bottom"/>
          </w:tcPr>
          <w:p w14:paraId="392C0D63" w14:textId="77777777" w:rsidR="00980E5F" w:rsidRDefault="00980E5F">
            <w:pPr>
              <w:rPr>
                <w:rFonts w:ascii="宋体"/>
                <w:vanish/>
              </w:rPr>
            </w:pPr>
          </w:p>
        </w:tc>
        <w:tc>
          <w:tcPr>
            <w:tcW w:w="0" w:type="auto"/>
            <w:gridSpan w:val="3"/>
            <w:shd w:val="clear" w:color="auto" w:fill="auto"/>
            <w:vAlign w:val="bottom"/>
          </w:tcPr>
          <w:p w14:paraId="392C0D64" w14:textId="77777777" w:rsidR="00980E5F" w:rsidRDefault="00980E5F">
            <w:pPr>
              <w:rPr>
                <w:rFonts w:ascii="宋体"/>
                <w:vanish/>
              </w:rPr>
            </w:pPr>
          </w:p>
        </w:tc>
        <w:tc>
          <w:tcPr>
            <w:tcW w:w="0" w:type="auto"/>
            <w:gridSpan w:val="3"/>
            <w:shd w:val="clear" w:color="auto" w:fill="auto"/>
            <w:vAlign w:val="bottom"/>
          </w:tcPr>
          <w:p w14:paraId="392C0D65" w14:textId="77777777" w:rsidR="00980E5F" w:rsidRDefault="00980E5F">
            <w:pPr>
              <w:rPr>
                <w:rFonts w:ascii="宋体"/>
                <w:vanish/>
              </w:rPr>
            </w:pPr>
          </w:p>
        </w:tc>
      </w:tr>
      <w:tr w:rsidR="00980E5F" w14:paraId="392C0D6F" w14:textId="77777777">
        <w:trPr>
          <w:hidden/>
        </w:trPr>
        <w:tc>
          <w:tcPr>
            <w:tcW w:w="0" w:type="auto"/>
            <w:gridSpan w:val="3"/>
            <w:shd w:val="clear" w:color="auto" w:fill="auto"/>
            <w:vAlign w:val="bottom"/>
          </w:tcPr>
          <w:p w14:paraId="392C0D67" w14:textId="77777777" w:rsidR="00980E5F" w:rsidRDefault="00980E5F">
            <w:pPr>
              <w:rPr>
                <w:rFonts w:ascii="宋体"/>
                <w:vanish/>
              </w:rPr>
            </w:pPr>
          </w:p>
        </w:tc>
        <w:tc>
          <w:tcPr>
            <w:tcW w:w="0" w:type="auto"/>
            <w:gridSpan w:val="3"/>
            <w:shd w:val="clear" w:color="auto" w:fill="auto"/>
            <w:vAlign w:val="bottom"/>
          </w:tcPr>
          <w:p w14:paraId="392C0D68" w14:textId="77777777" w:rsidR="00980E5F" w:rsidRDefault="00980E5F">
            <w:pPr>
              <w:rPr>
                <w:rFonts w:ascii="宋体"/>
                <w:vanish/>
              </w:rPr>
            </w:pPr>
          </w:p>
        </w:tc>
        <w:tc>
          <w:tcPr>
            <w:tcW w:w="0" w:type="auto"/>
            <w:gridSpan w:val="3"/>
            <w:shd w:val="clear" w:color="auto" w:fill="auto"/>
            <w:vAlign w:val="bottom"/>
          </w:tcPr>
          <w:p w14:paraId="392C0D69" w14:textId="77777777" w:rsidR="00980E5F" w:rsidRDefault="00980E5F">
            <w:pPr>
              <w:rPr>
                <w:rFonts w:ascii="宋体"/>
                <w:vanish/>
              </w:rPr>
            </w:pPr>
          </w:p>
        </w:tc>
        <w:tc>
          <w:tcPr>
            <w:tcW w:w="0" w:type="auto"/>
            <w:gridSpan w:val="3"/>
            <w:shd w:val="clear" w:color="auto" w:fill="auto"/>
            <w:vAlign w:val="bottom"/>
          </w:tcPr>
          <w:p w14:paraId="392C0D6A" w14:textId="77777777" w:rsidR="00980E5F" w:rsidRDefault="00980E5F">
            <w:pPr>
              <w:rPr>
                <w:rFonts w:ascii="宋体"/>
                <w:vanish/>
              </w:rPr>
            </w:pPr>
          </w:p>
        </w:tc>
        <w:tc>
          <w:tcPr>
            <w:tcW w:w="0" w:type="auto"/>
            <w:shd w:val="clear" w:color="auto" w:fill="auto"/>
            <w:vAlign w:val="bottom"/>
          </w:tcPr>
          <w:p w14:paraId="392C0D6B" w14:textId="77777777" w:rsidR="00980E5F" w:rsidRDefault="00980E5F">
            <w:pPr>
              <w:rPr>
                <w:rFonts w:ascii="宋体"/>
                <w:vanish/>
              </w:rPr>
            </w:pPr>
          </w:p>
        </w:tc>
        <w:tc>
          <w:tcPr>
            <w:tcW w:w="0" w:type="auto"/>
            <w:shd w:val="clear" w:color="auto" w:fill="auto"/>
            <w:vAlign w:val="bottom"/>
          </w:tcPr>
          <w:p w14:paraId="392C0D6C" w14:textId="77777777" w:rsidR="00980E5F" w:rsidRDefault="00980E5F">
            <w:pPr>
              <w:rPr>
                <w:rFonts w:ascii="宋体"/>
                <w:vanish/>
              </w:rPr>
            </w:pPr>
          </w:p>
        </w:tc>
        <w:tc>
          <w:tcPr>
            <w:tcW w:w="0" w:type="auto"/>
            <w:gridSpan w:val="3"/>
            <w:shd w:val="clear" w:color="auto" w:fill="auto"/>
            <w:vAlign w:val="bottom"/>
          </w:tcPr>
          <w:p w14:paraId="392C0D6D" w14:textId="77777777" w:rsidR="00980E5F" w:rsidRDefault="00980E5F">
            <w:pPr>
              <w:rPr>
                <w:rFonts w:ascii="宋体"/>
                <w:vanish/>
              </w:rPr>
            </w:pPr>
          </w:p>
        </w:tc>
        <w:tc>
          <w:tcPr>
            <w:tcW w:w="0" w:type="auto"/>
            <w:gridSpan w:val="3"/>
            <w:shd w:val="clear" w:color="auto" w:fill="auto"/>
            <w:vAlign w:val="bottom"/>
          </w:tcPr>
          <w:p w14:paraId="392C0D6E" w14:textId="77777777" w:rsidR="00980E5F" w:rsidRDefault="00980E5F">
            <w:pPr>
              <w:rPr>
                <w:rFonts w:ascii="宋体"/>
                <w:vanish/>
              </w:rPr>
            </w:pPr>
          </w:p>
        </w:tc>
      </w:tr>
      <w:tr w:rsidR="00980E5F" w14:paraId="392C0D78" w14:textId="77777777">
        <w:trPr>
          <w:hidden/>
        </w:trPr>
        <w:tc>
          <w:tcPr>
            <w:tcW w:w="0" w:type="auto"/>
            <w:gridSpan w:val="3"/>
            <w:shd w:val="clear" w:color="auto" w:fill="auto"/>
            <w:vAlign w:val="bottom"/>
          </w:tcPr>
          <w:p w14:paraId="392C0D70" w14:textId="77777777" w:rsidR="00980E5F" w:rsidRDefault="00980E5F">
            <w:pPr>
              <w:rPr>
                <w:rFonts w:ascii="宋体"/>
                <w:vanish/>
              </w:rPr>
            </w:pPr>
          </w:p>
        </w:tc>
        <w:tc>
          <w:tcPr>
            <w:tcW w:w="0" w:type="auto"/>
            <w:gridSpan w:val="3"/>
            <w:shd w:val="clear" w:color="auto" w:fill="auto"/>
            <w:vAlign w:val="bottom"/>
          </w:tcPr>
          <w:p w14:paraId="392C0D71" w14:textId="77777777" w:rsidR="00980E5F" w:rsidRDefault="00980E5F">
            <w:pPr>
              <w:rPr>
                <w:rFonts w:ascii="宋体"/>
                <w:vanish/>
              </w:rPr>
            </w:pPr>
          </w:p>
        </w:tc>
        <w:tc>
          <w:tcPr>
            <w:tcW w:w="0" w:type="auto"/>
            <w:gridSpan w:val="3"/>
            <w:shd w:val="clear" w:color="auto" w:fill="auto"/>
            <w:vAlign w:val="bottom"/>
          </w:tcPr>
          <w:p w14:paraId="392C0D72" w14:textId="77777777" w:rsidR="00980E5F" w:rsidRDefault="00980E5F">
            <w:pPr>
              <w:rPr>
                <w:rFonts w:ascii="宋体"/>
                <w:vanish/>
              </w:rPr>
            </w:pPr>
          </w:p>
        </w:tc>
        <w:tc>
          <w:tcPr>
            <w:tcW w:w="0" w:type="auto"/>
            <w:gridSpan w:val="3"/>
            <w:shd w:val="clear" w:color="auto" w:fill="auto"/>
            <w:vAlign w:val="bottom"/>
          </w:tcPr>
          <w:p w14:paraId="392C0D73" w14:textId="77777777" w:rsidR="00980E5F" w:rsidRDefault="00980E5F">
            <w:pPr>
              <w:rPr>
                <w:rFonts w:ascii="宋体"/>
                <w:vanish/>
              </w:rPr>
            </w:pPr>
          </w:p>
        </w:tc>
        <w:tc>
          <w:tcPr>
            <w:tcW w:w="0" w:type="auto"/>
            <w:shd w:val="clear" w:color="auto" w:fill="auto"/>
            <w:vAlign w:val="bottom"/>
          </w:tcPr>
          <w:p w14:paraId="392C0D74" w14:textId="77777777" w:rsidR="00980E5F" w:rsidRDefault="00980E5F">
            <w:pPr>
              <w:rPr>
                <w:rFonts w:ascii="宋体"/>
                <w:vanish/>
              </w:rPr>
            </w:pPr>
          </w:p>
        </w:tc>
        <w:tc>
          <w:tcPr>
            <w:tcW w:w="0" w:type="auto"/>
            <w:shd w:val="clear" w:color="auto" w:fill="auto"/>
            <w:vAlign w:val="bottom"/>
          </w:tcPr>
          <w:p w14:paraId="392C0D75" w14:textId="77777777" w:rsidR="00980E5F" w:rsidRDefault="00980E5F">
            <w:pPr>
              <w:rPr>
                <w:rFonts w:ascii="宋体"/>
                <w:vanish/>
              </w:rPr>
            </w:pPr>
          </w:p>
        </w:tc>
        <w:tc>
          <w:tcPr>
            <w:tcW w:w="0" w:type="auto"/>
            <w:gridSpan w:val="3"/>
            <w:shd w:val="clear" w:color="auto" w:fill="auto"/>
            <w:vAlign w:val="bottom"/>
          </w:tcPr>
          <w:p w14:paraId="392C0D76" w14:textId="77777777" w:rsidR="00980E5F" w:rsidRDefault="00980E5F">
            <w:pPr>
              <w:rPr>
                <w:rFonts w:ascii="宋体"/>
                <w:vanish/>
              </w:rPr>
            </w:pPr>
          </w:p>
        </w:tc>
        <w:tc>
          <w:tcPr>
            <w:tcW w:w="0" w:type="auto"/>
            <w:gridSpan w:val="3"/>
            <w:shd w:val="clear" w:color="auto" w:fill="auto"/>
            <w:vAlign w:val="bottom"/>
          </w:tcPr>
          <w:p w14:paraId="392C0D77" w14:textId="77777777" w:rsidR="00980E5F" w:rsidRDefault="00980E5F">
            <w:pPr>
              <w:rPr>
                <w:rFonts w:ascii="宋体"/>
                <w:vanish/>
              </w:rPr>
            </w:pPr>
          </w:p>
        </w:tc>
      </w:tr>
      <w:tr w:rsidR="00980E5F" w14:paraId="392C0D81" w14:textId="77777777">
        <w:trPr>
          <w:hidden/>
        </w:trPr>
        <w:tc>
          <w:tcPr>
            <w:tcW w:w="0" w:type="auto"/>
            <w:gridSpan w:val="3"/>
            <w:shd w:val="clear" w:color="auto" w:fill="auto"/>
            <w:vAlign w:val="bottom"/>
          </w:tcPr>
          <w:p w14:paraId="392C0D79" w14:textId="77777777" w:rsidR="00980E5F" w:rsidRDefault="00980E5F">
            <w:pPr>
              <w:rPr>
                <w:rFonts w:ascii="宋体"/>
                <w:vanish/>
              </w:rPr>
            </w:pPr>
          </w:p>
        </w:tc>
        <w:tc>
          <w:tcPr>
            <w:tcW w:w="0" w:type="auto"/>
            <w:gridSpan w:val="3"/>
            <w:shd w:val="clear" w:color="auto" w:fill="auto"/>
            <w:vAlign w:val="bottom"/>
          </w:tcPr>
          <w:p w14:paraId="392C0D7A" w14:textId="77777777" w:rsidR="00980E5F" w:rsidRDefault="00980E5F">
            <w:pPr>
              <w:rPr>
                <w:rFonts w:ascii="宋体"/>
                <w:vanish/>
              </w:rPr>
            </w:pPr>
          </w:p>
        </w:tc>
        <w:tc>
          <w:tcPr>
            <w:tcW w:w="0" w:type="auto"/>
            <w:gridSpan w:val="3"/>
            <w:shd w:val="clear" w:color="auto" w:fill="auto"/>
            <w:vAlign w:val="bottom"/>
          </w:tcPr>
          <w:p w14:paraId="392C0D7B" w14:textId="77777777" w:rsidR="00980E5F" w:rsidRDefault="00980E5F">
            <w:pPr>
              <w:rPr>
                <w:rFonts w:ascii="宋体"/>
                <w:vanish/>
              </w:rPr>
            </w:pPr>
          </w:p>
        </w:tc>
        <w:tc>
          <w:tcPr>
            <w:tcW w:w="0" w:type="auto"/>
            <w:gridSpan w:val="3"/>
            <w:shd w:val="clear" w:color="auto" w:fill="auto"/>
            <w:vAlign w:val="bottom"/>
          </w:tcPr>
          <w:p w14:paraId="392C0D7C" w14:textId="77777777" w:rsidR="00980E5F" w:rsidRDefault="00980E5F">
            <w:pPr>
              <w:rPr>
                <w:rFonts w:ascii="宋体"/>
                <w:vanish/>
              </w:rPr>
            </w:pPr>
          </w:p>
        </w:tc>
        <w:tc>
          <w:tcPr>
            <w:tcW w:w="0" w:type="auto"/>
            <w:shd w:val="clear" w:color="auto" w:fill="auto"/>
            <w:vAlign w:val="bottom"/>
          </w:tcPr>
          <w:p w14:paraId="392C0D7D" w14:textId="77777777" w:rsidR="00980E5F" w:rsidRDefault="00980E5F">
            <w:pPr>
              <w:rPr>
                <w:rFonts w:ascii="宋体"/>
                <w:vanish/>
              </w:rPr>
            </w:pPr>
          </w:p>
        </w:tc>
        <w:tc>
          <w:tcPr>
            <w:tcW w:w="0" w:type="auto"/>
            <w:shd w:val="clear" w:color="auto" w:fill="auto"/>
            <w:vAlign w:val="bottom"/>
          </w:tcPr>
          <w:p w14:paraId="392C0D7E" w14:textId="77777777" w:rsidR="00980E5F" w:rsidRDefault="00980E5F">
            <w:pPr>
              <w:rPr>
                <w:rFonts w:ascii="宋体"/>
                <w:vanish/>
              </w:rPr>
            </w:pPr>
          </w:p>
        </w:tc>
        <w:tc>
          <w:tcPr>
            <w:tcW w:w="0" w:type="auto"/>
            <w:gridSpan w:val="3"/>
            <w:shd w:val="clear" w:color="auto" w:fill="auto"/>
            <w:vAlign w:val="bottom"/>
          </w:tcPr>
          <w:p w14:paraId="392C0D7F" w14:textId="77777777" w:rsidR="00980E5F" w:rsidRDefault="00980E5F">
            <w:pPr>
              <w:rPr>
                <w:rFonts w:ascii="宋体"/>
                <w:vanish/>
              </w:rPr>
            </w:pPr>
          </w:p>
        </w:tc>
        <w:tc>
          <w:tcPr>
            <w:tcW w:w="0" w:type="auto"/>
            <w:gridSpan w:val="3"/>
            <w:shd w:val="clear" w:color="auto" w:fill="auto"/>
            <w:vAlign w:val="bottom"/>
          </w:tcPr>
          <w:p w14:paraId="392C0D80" w14:textId="77777777" w:rsidR="00980E5F" w:rsidRDefault="00980E5F">
            <w:pPr>
              <w:rPr>
                <w:rFonts w:ascii="宋体"/>
                <w:vanish/>
              </w:rPr>
            </w:pPr>
          </w:p>
        </w:tc>
      </w:tr>
      <w:tr w:rsidR="00980E5F" w14:paraId="392C0D8A" w14:textId="77777777">
        <w:trPr>
          <w:hidden/>
        </w:trPr>
        <w:tc>
          <w:tcPr>
            <w:tcW w:w="0" w:type="auto"/>
            <w:gridSpan w:val="3"/>
            <w:shd w:val="clear" w:color="auto" w:fill="auto"/>
            <w:vAlign w:val="bottom"/>
          </w:tcPr>
          <w:p w14:paraId="392C0D82" w14:textId="77777777" w:rsidR="00980E5F" w:rsidRDefault="00980E5F">
            <w:pPr>
              <w:rPr>
                <w:rFonts w:ascii="宋体"/>
                <w:vanish/>
              </w:rPr>
            </w:pPr>
          </w:p>
        </w:tc>
        <w:tc>
          <w:tcPr>
            <w:tcW w:w="0" w:type="auto"/>
            <w:gridSpan w:val="3"/>
            <w:shd w:val="clear" w:color="auto" w:fill="auto"/>
            <w:vAlign w:val="bottom"/>
          </w:tcPr>
          <w:p w14:paraId="392C0D83" w14:textId="77777777" w:rsidR="00980E5F" w:rsidRDefault="00980E5F">
            <w:pPr>
              <w:rPr>
                <w:rFonts w:ascii="宋体"/>
                <w:vanish/>
              </w:rPr>
            </w:pPr>
          </w:p>
        </w:tc>
        <w:tc>
          <w:tcPr>
            <w:tcW w:w="0" w:type="auto"/>
            <w:gridSpan w:val="3"/>
            <w:shd w:val="clear" w:color="auto" w:fill="auto"/>
            <w:vAlign w:val="bottom"/>
          </w:tcPr>
          <w:p w14:paraId="392C0D84" w14:textId="77777777" w:rsidR="00980E5F" w:rsidRDefault="00980E5F">
            <w:pPr>
              <w:rPr>
                <w:rFonts w:ascii="宋体"/>
                <w:vanish/>
              </w:rPr>
            </w:pPr>
          </w:p>
        </w:tc>
        <w:tc>
          <w:tcPr>
            <w:tcW w:w="0" w:type="auto"/>
            <w:gridSpan w:val="3"/>
            <w:shd w:val="clear" w:color="auto" w:fill="auto"/>
            <w:vAlign w:val="bottom"/>
          </w:tcPr>
          <w:p w14:paraId="392C0D85" w14:textId="77777777" w:rsidR="00980E5F" w:rsidRDefault="00980E5F">
            <w:pPr>
              <w:rPr>
                <w:rFonts w:ascii="宋体"/>
                <w:vanish/>
              </w:rPr>
            </w:pPr>
          </w:p>
        </w:tc>
        <w:tc>
          <w:tcPr>
            <w:tcW w:w="0" w:type="auto"/>
            <w:shd w:val="clear" w:color="auto" w:fill="auto"/>
            <w:vAlign w:val="bottom"/>
          </w:tcPr>
          <w:p w14:paraId="392C0D86" w14:textId="77777777" w:rsidR="00980E5F" w:rsidRDefault="00980E5F">
            <w:pPr>
              <w:rPr>
                <w:rFonts w:ascii="宋体"/>
                <w:vanish/>
              </w:rPr>
            </w:pPr>
          </w:p>
        </w:tc>
        <w:tc>
          <w:tcPr>
            <w:tcW w:w="0" w:type="auto"/>
            <w:shd w:val="clear" w:color="auto" w:fill="auto"/>
            <w:vAlign w:val="bottom"/>
          </w:tcPr>
          <w:p w14:paraId="392C0D87" w14:textId="77777777" w:rsidR="00980E5F" w:rsidRDefault="00980E5F">
            <w:pPr>
              <w:rPr>
                <w:rFonts w:ascii="宋体"/>
                <w:vanish/>
              </w:rPr>
            </w:pPr>
          </w:p>
        </w:tc>
        <w:tc>
          <w:tcPr>
            <w:tcW w:w="0" w:type="auto"/>
            <w:gridSpan w:val="3"/>
            <w:shd w:val="clear" w:color="auto" w:fill="auto"/>
            <w:vAlign w:val="bottom"/>
          </w:tcPr>
          <w:p w14:paraId="392C0D88" w14:textId="77777777" w:rsidR="00980E5F" w:rsidRDefault="00980E5F">
            <w:pPr>
              <w:rPr>
                <w:rFonts w:ascii="宋体"/>
                <w:vanish/>
              </w:rPr>
            </w:pPr>
          </w:p>
        </w:tc>
        <w:tc>
          <w:tcPr>
            <w:tcW w:w="0" w:type="auto"/>
            <w:gridSpan w:val="3"/>
            <w:shd w:val="clear" w:color="auto" w:fill="auto"/>
            <w:vAlign w:val="bottom"/>
          </w:tcPr>
          <w:p w14:paraId="392C0D89" w14:textId="77777777" w:rsidR="00980E5F" w:rsidRDefault="00980E5F">
            <w:pPr>
              <w:rPr>
                <w:rFonts w:ascii="宋体"/>
                <w:vanish/>
              </w:rPr>
            </w:pPr>
          </w:p>
        </w:tc>
      </w:tr>
      <w:tr w:rsidR="00980E5F" w14:paraId="392C0D93" w14:textId="77777777">
        <w:trPr>
          <w:hidden/>
        </w:trPr>
        <w:tc>
          <w:tcPr>
            <w:tcW w:w="0" w:type="auto"/>
            <w:gridSpan w:val="3"/>
            <w:shd w:val="clear" w:color="auto" w:fill="auto"/>
            <w:vAlign w:val="bottom"/>
          </w:tcPr>
          <w:p w14:paraId="392C0D8B" w14:textId="77777777" w:rsidR="00980E5F" w:rsidRDefault="00980E5F">
            <w:pPr>
              <w:rPr>
                <w:rFonts w:ascii="宋体"/>
                <w:vanish/>
              </w:rPr>
            </w:pPr>
          </w:p>
        </w:tc>
        <w:tc>
          <w:tcPr>
            <w:tcW w:w="0" w:type="auto"/>
            <w:gridSpan w:val="3"/>
            <w:shd w:val="clear" w:color="auto" w:fill="auto"/>
            <w:vAlign w:val="bottom"/>
          </w:tcPr>
          <w:p w14:paraId="392C0D8C" w14:textId="77777777" w:rsidR="00980E5F" w:rsidRDefault="00980E5F">
            <w:pPr>
              <w:rPr>
                <w:rFonts w:ascii="宋体"/>
                <w:vanish/>
              </w:rPr>
            </w:pPr>
          </w:p>
        </w:tc>
        <w:tc>
          <w:tcPr>
            <w:tcW w:w="0" w:type="auto"/>
            <w:gridSpan w:val="3"/>
            <w:shd w:val="clear" w:color="auto" w:fill="auto"/>
            <w:vAlign w:val="bottom"/>
          </w:tcPr>
          <w:p w14:paraId="392C0D8D" w14:textId="77777777" w:rsidR="00980E5F" w:rsidRDefault="00980E5F">
            <w:pPr>
              <w:rPr>
                <w:rFonts w:ascii="宋体"/>
                <w:vanish/>
              </w:rPr>
            </w:pPr>
          </w:p>
        </w:tc>
        <w:tc>
          <w:tcPr>
            <w:tcW w:w="0" w:type="auto"/>
            <w:gridSpan w:val="3"/>
            <w:shd w:val="clear" w:color="auto" w:fill="auto"/>
            <w:vAlign w:val="bottom"/>
          </w:tcPr>
          <w:p w14:paraId="392C0D8E" w14:textId="77777777" w:rsidR="00980E5F" w:rsidRDefault="00980E5F">
            <w:pPr>
              <w:rPr>
                <w:rFonts w:ascii="宋体"/>
                <w:vanish/>
              </w:rPr>
            </w:pPr>
          </w:p>
        </w:tc>
        <w:tc>
          <w:tcPr>
            <w:tcW w:w="0" w:type="auto"/>
            <w:shd w:val="clear" w:color="auto" w:fill="auto"/>
            <w:vAlign w:val="bottom"/>
          </w:tcPr>
          <w:p w14:paraId="392C0D8F" w14:textId="77777777" w:rsidR="00980E5F" w:rsidRDefault="00980E5F">
            <w:pPr>
              <w:rPr>
                <w:rFonts w:ascii="宋体"/>
                <w:vanish/>
              </w:rPr>
            </w:pPr>
          </w:p>
        </w:tc>
        <w:tc>
          <w:tcPr>
            <w:tcW w:w="0" w:type="auto"/>
            <w:shd w:val="clear" w:color="auto" w:fill="auto"/>
            <w:vAlign w:val="bottom"/>
          </w:tcPr>
          <w:p w14:paraId="392C0D90" w14:textId="77777777" w:rsidR="00980E5F" w:rsidRDefault="00980E5F">
            <w:pPr>
              <w:rPr>
                <w:rFonts w:ascii="宋体"/>
                <w:vanish/>
              </w:rPr>
            </w:pPr>
          </w:p>
        </w:tc>
        <w:tc>
          <w:tcPr>
            <w:tcW w:w="0" w:type="auto"/>
            <w:gridSpan w:val="3"/>
            <w:shd w:val="clear" w:color="auto" w:fill="auto"/>
            <w:vAlign w:val="bottom"/>
          </w:tcPr>
          <w:p w14:paraId="392C0D91" w14:textId="77777777" w:rsidR="00980E5F" w:rsidRDefault="00980E5F">
            <w:pPr>
              <w:rPr>
                <w:rFonts w:ascii="宋体"/>
                <w:vanish/>
              </w:rPr>
            </w:pPr>
          </w:p>
        </w:tc>
        <w:tc>
          <w:tcPr>
            <w:tcW w:w="0" w:type="auto"/>
            <w:gridSpan w:val="3"/>
            <w:shd w:val="clear" w:color="auto" w:fill="auto"/>
            <w:vAlign w:val="bottom"/>
          </w:tcPr>
          <w:p w14:paraId="392C0D92" w14:textId="77777777" w:rsidR="00980E5F" w:rsidRDefault="00980E5F">
            <w:pPr>
              <w:rPr>
                <w:rFonts w:ascii="宋体"/>
                <w:vanish/>
              </w:rPr>
            </w:pPr>
          </w:p>
        </w:tc>
      </w:tr>
      <w:tr w:rsidR="00980E5F" w14:paraId="392C0D9C" w14:textId="77777777">
        <w:trPr>
          <w:hidden/>
        </w:trPr>
        <w:tc>
          <w:tcPr>
            <w:tcW w:w="0" w:type="auto"/>
            <w:gridSpan w:val="3"/>
            <w:shd w:val="clear" w:color="auto" w:fill="auto"/>
            <w:vAlign w:val="bottom"/>
          </w:tcPr>
          <w:p w14:paraId="392C0D94" w14:textId="77777777" w:rsidR="00980E5F" w:rsidRDefault="00980E5F">
            <w:pPr>
              <w:rPr>
                <w:rFonts w:ascii="宋体"/>
                <w:vanish/>
              </w:rPr>
            </w:pPr>
          </w:p>
        </w:tc>
        <w:tc>
          <w:tcPr>
            <w:tcW w:w="0" w:type="auto"/>
            <w:gridSpan w:val="3"/>
            <w:shd w:val="clear" w:color="auto" w:fill="auto"/>
            <w:vAlign w:val="bottom"/>
          </w:tcPr>
          <w:p w14:paraId="392C0D95" w14:textId="77777777" w:rsidR="00980E5F" w:rsidRDefault="00980E5F">
            <w:pPr>
              <w:rPr>
                <w:rFonts w:ascii="宋体"/>
                <w:vanish/>
              </w:rPr>
            </w:pPr>
          </w:p>
        </w:tc>
        <w:tc>
          <w:tcPr>
            <w:tcW w:w="0" w:type="auto"/>
            <w:gridSpan w:val="3"/>
            <w:shd w:val="clear" w:color="auto" w:fill="auto"/>
            <w:vAlign w:val="bottom"/>
          </w:tcPr>
          <w:p w14:paraId="392C0D96" w14:textId="77777777" w:rsidR="00980E5F" w:rsidRDefault="00980E5F">
            <w:pPr>
              <w:rPr>
                <w:rFonts w:ascii="宋体"/>
                <w:vanish/>
              </w:rPr>
            </w:pPr>
          </w:p>
        </w:tc>
        <w:tc>
          <w:tcPr>
            <w:tcW w:w="0" w:type="auto"/>
            <w:gridSpan w:val="3"/>
            <w:shd w:val="clear" w:color="auto" w:fill="auto"/>
            <w:vAlign w:val="bottom"/>
          </w:tcPr>
          <w:p w14:paraId="392C0D97" w14:textId="77777777" w:rsidR="00980E5F" w:rsidRDefault="00980E5F">
            <w:pPr>
              <w:rPr>
                <w:rFonts w:ascii="宋体"/>
                <w:vanish/>
              </w:rPr>
            </w:pPr>
          </w:p>
        </w:tc>
        <w:tc>
          <w:tcPr>
            <w:tcW w:w="0" w:type="auto"/>
            <w:shd w:val="clear" w:color="auto" w:fill="auto"/>
            <w:vAlign w:val="bottom"/>
          </w:tcPr>
          <w:p w14:paraId="392C0D98" w14:textId="77777777" w:rsidR="00980E5F" w:rsidRDefault="00980E5F">
            <w:pPr>
              <w:rPr>
                <w:rFonts w:ascii="宋体"/>
                <w:vanish/>
              </w:rPr>
            </w:pPr>
          </w:p>
        </w:tc>
        <w:tc>
          <w:tcPr>
            <w:tcW w:w="0" w:type="auto"/>
            <w:shd w:val="clear" w:color="auto" w:fill="auto"/>
            <w:vAlign w:val="bottom"/>
          </w:tcPr>
          <w:p w14:paraId="392C0D99" w14:textId="77777777" w:rsidR="00980E5F" w:rsidRDefault="00980E5F">
            <w:pPr>
              <w:rPr>
                <w:rFonts w:ascii="宋体"/>
                <w:vanish/>
              </w:rPr>
            </w:pPr>
          </w:p>
        </w:tc>
        <w:tc>
          <w:tcPr>
            <w:tcW w:w="0" w:type="auto"/>
            <w:gridSpan w:val="3"/>
            <w:shd w:val="clear" w:color="auto" w:fill="auto"/>
            <w:vAlign w:val="bottom"/>
          </w:tcPr>
          <w:p w14:paraId="392C0D9A" w14:textId="77777777" w:rsidR="00980E5F" w:rsidRDefault="00980E5F">
            <w:pPr>
              <w:rPr>
                <w:rFonts w:ascii="宋体"/>
                <w:vanish/>
              </w:rPr>
            </w:pPr>
          </w:p>
        </w:tc>
        <w:tc>
          <w:tcPr>
            <w:tcW w:w="0" w:type="auto"/>
            <w:gridSpan w:val="3"/>
            <w:shd w:val="clear" w:color="auto" w:fill="auto"/>
            <w:vAlign w:val="bottom"/>
          </w:tcPr>
          <w:p w14:paraId="392C0D9B" w14:textId="77777777" w:rsidR="00980E5F" w:rsidRDefault="00980E5F">
            <w:pPr>
              <w:rPr>
                <w:rFonts w:ascii="宋体"/>
                <w:vanish/>
              </w:rPr>
            </w:pPr>
          </w:p>
        </w:tc>
      </w:tr>
      <w:tr w:rsidR="00980E5F" w14:paraId="392C0DA5" w14:textId="77777777">
        <w:trPr>
          <w:hidden/>
        </w:trPr>
        <w:tc>
          <w:tcPr>
            <w:tcW w:w="0" w:type="auto"/>
            <w:gridSpan w:val="3"/>
            <w:shd w:val="clear" w:color="auto" w:fill="auto"/>
            <w:vAlign w:val="bottom"/>
          </w:tcPr>
          <w:p w14:paraId="392C0D9D" w14:textId="77777777" w:rsidR="00980E5F" w:rsidRDefault="00980E5F">
            <w:pPr>
              <w:rPr>
                <w:rFonts w:ascii="宋体"/>
                <w:vanish/>
              </w:rPr>
            </w:pPr>
          </w:p>
        </w:tc>
        <w:tc>
          <w:tcPr>
            <w:tcW w:w="0" w:type="auto"/>
            <w:gridSpan w:val="3"/>
            <w:shd w:val="clear" w:color="auto" w:fill="auto"/>
            <w:vAlign w:val="bottom"/>
          </w:tcPr>
          <w:p w14:paraId="392C0D9E" w14:textId="77777777" w:rsidR="00980E5F" w:rsidRDefault="00980E5F">
            <w:pPr>
              <w:rPr>
                <w:rFonts w:ascii="宋体"/>
                <w:vanish/>
              </w:rPr>
            </w:pPr>
          </w:p>
        </w:tc>
        <w:tc>
          <w:tcPr>
            <w:tcW w:w="0" w:type="auto"/>
            <w:gridSpan w:val="3"/>
            <w:shd w:val="clear" w:color="auto" w:fill="auto"/>
            <w:vAlign w:val="bottom"/>
          </w:tcPr>
          <w:p w14:paraId="392C0D9F" w14:textId="77777777" w:rsidR="00980E5F" w:rsidRDefault="00980E5F">
            <w:pPr>
              <w:rPr>
                <w:rFonts w:ascii="宋体"/>
                <w:vanish/>
              </w:rPr>
            </w:pPr>
          </w:p>
        </w:tc>
        <w:tc>
          <w:tcPr>
            <w:tcW w:w="0" w:type="auto"/>
            <w:gridSpan w:val="3"/>
            <w:shd w:val="clear" w:color="auto" w:fill="auto"/>
            <w:vAlign w:val="bottom"/>
          </w:tcPr>
          <w:p w14:paraId="392C0DA0" w14:textId="77777777" w:rsidR="00980E5F" w:rsidRDefault="00980E5F">
            <w:pPr>
              <w:rPr>
                <w:rFonts w:ascii="宋体"/>
                <w:vanish/>
              </w:rPr>
            </w:pPr>
          </w:p>
        </w:tc>
        <w:tc>
          <w:tcPr>
            <w:tcW w:w="0" w:type="auto"/>
            <w:shd w:val="clear" w:color="auto" w:fill="auto"/>
            <w:vAlign w:val="bottom"/>
          </w:tcPr>
          <w:p w14:paraId="392C0DA1" w14:textId="77777777" w:rsidR="00980E5F" w:rsidRDefault="00980E5F">
            <w:pPr>
              <w:rPr>
                <w:rFonts w:ascii="宋体"/>
                <w:vanish/>
              </w:rPr>
            </w:pPr>
          </w:p>
        </w:tc>
        <w:tc>
          <w:tcPr>
            <w:tcW w:w="0" w:type="auto"/>
            <w:shd w:val="clear" w:color="auto" w:fill="auto"/>
            <w:vAlign w:val="bottom"/>
          </w:tcPr>
          <w:p w14:paraId="392C0DA2" w14:textId="77777777" w:rsidR="00980E5F" w:rsidRDefault="00980E5F">
            <w:pPr>
              <w:rPr>
                <w:rFonts w:ascii="宋体"/>
                <w:vanish/>
              </w:rPr>
            </w:pPr>
          </w:p>
        </w:tc>
        <w:tc>
          <w:tcPr>
            <w:tcW w:w="0" w:type="auto"/>
            <w:gridSpan w:val="3"/>
            <w:shd w:val="clear" w:color="auto" w:fill="auto"/>
            <w:vAlign w:val="bottom"/>
          </w:tcPr>
          <w:p w14:paraId="392C0DA3" w14:textId="77777777" w:rsidR="00980E5F" w:rsidRDefault="00980E5F">
            <w:pPr>
              <w:rPr>
                <w:rFonts w:ascii="宋体"/>
                <w:vanish/>
              </w:rPr>
            </w:pPr>
          </w:p>
        </w:tc>
        <w:tc>
          <w:tcPr>
            <w:tcW w:w="0" w:type="auto"/>
            <w:gridSpan w:val="3"/>
            <w:shd w:val="clear" w:color="auto" w:fill="auto"/>
            <w:vAlign w:val="bottom"/>
          </w:tcPr>
          <w:p w14:paraId="392C0DA4" w14:textId="77777777" w:rsidR="00980E5F" w:rsidRDefault="00980E5F">
            <w:pPr>
              <w:rPr>
                <w:rFonts w:ascii="宋体"/>
                <w:vanish/>
              </w:rPr>
            </w:pPr>
          </w:p>
        </w:tc>
      </w:tr>
      <w:tr w:rsidR="00980E5F" w14:paraId="392C0DAE" w14:textId="77777777">
        <w:trPr>
          <w:hidden/>
        </w:trPr>
        <w:tc>
          <w:tcPr>
            <w:tcW w:w="0" w:type="auto"/>
            <w:gridSpan w:val="3"/>
            <w:shd w:val="clear" w:color="auto" w:fill="auto"/>
            <w:vAlign w:val="bottom"/>
          </w:tcPr>
          <w:p w14:paraId="392C0DA6" w14:textId="77777777" w:rsidR="00980E5F" w:rsidRDefault="00980E5F">
            <w:pPr>
              <w:rPr>
                <w:rFonts w:ascii="宋体"/>
                <w:vanish/>
              </w:rPr>
            </w:pPr>
          </w:p>
        </w:tc>
        <w:tc>
          <w:tcPr>
            <w:tcW w:w="0" w:type="auto"/>
            <w:gridSpan w:val="3"/>
            <w:shd w:val="clear" w:color="auto" w:fill="auto"/>
            <w:vAlign w:val="bottom"/>
          </w:tcPr>
          <w:p w14:paraId="392C0DA7" w14:textId="77777777" w:rsidR="00980E5F" w:rsidRDefault="00980E5F">
            <w:pPr>
              <w:rPr>
                <w:rFonts w:ascii="宋体"/>
                <w:vanish/>
              </w:rPr>
            </w:pPr>
          </w:p>
        </w:tc>
        <w:tc>
          <w:tcPr>
            <w:tcW w:w="0" w:type="auto"/>
            <w:gridSpan w:val="3"/>
            <w:shd w:val="clear" w:color="auto" w:fill="auto"/>
            <w:vAlign w:val="bottom"/>
          </w:tcPr>
          <w:p w14:paraId="392C0DA8" w14:textId="77777777" w:rsidR="00980E5F" w:rsidRDefault="00980E5F">
            <w:pPr>
              <w:rPr>
                <w:rFonts w:ascii="宋体"/>
                <w:vanish/>
              </w:rPr>
            </w:pPr>
          </w:p>
        </w:tc>
        <w:tc>
          <w:tcPr>
            <w:tcW w:w="0" w:type="auto"/>
            <w:gridSpan w:val="3"/>
            <w:shd w:val="clear" w:color="auto" w:fill="auto"/>
            <w:vAlign w:val="bottom"/>
          </w:tcPr>
          <w:p w14:paraId="392C0DA9" w14:textId="77777777" w:rsidR="00980E5F" w:rsidRDefault="00980E5F">
            <w:pPr>
              <w:rPr>
                <w:rFonts w:ascii="宋体"/>
                <w:vanish/>
              </w:rPr>
            </w:pPr>
          </w:p>
        </w:tc>
        <w:tc>
          <w:tcPr>
            <w:tcW w:w="0" w:type="auto"/>
            <w:shd w:val="clear" w:color="auto" w:fill="auto"/>
            <w:vAlign w:val="bottom"/>
          </w:tcPr>
          <w:p w14:paraId="392C0DAA" w14:textId="77777777" w:rsidR="00980E5F" w:rsidRDefault="00980E5F">
            <w:pPr>
              <w:rPr>
                <w:rFonts w:ascii="宋体"/>
                <w:vanish/>
              </w:rPr>
            </w:pPr>
          </w:p>
        </w:tc>
        <w:tc>
          <w:tcPr>
            <w:tcW w:w="0" w:type="auto"/>
            <w:shd w:val="clear" w:color="auto" w:fill="auto"/>
            <w:vAlign w:val="bottom"/>
          </w:tcPr>
          <w:p w14:paraId="392C0DAB" w14:textId="77777777" w:rsidR="00980E5F" w:rsidRDefault="00980E5F">
            <w:pPr>
              <w:rPr>
                <w:rFonts w:ascii="宋体"/>
                <w:vanish/>
              </w:rPr>
            </w:pPr>
          </w:p>
        </w:tc>
        <w:tc>
          <w:tcPr>
            <w:tcW w:w="0" w:type="auto"/>
            <w:gridSpan w:val="3"/>
            <w:shd w:val="clear" w:color="auto" w:fill="auto"/>
            <w:vAlign w:val="bottom"/>
          </w:tcPr>
          <w:p w14:paraId="392C0DAC" w14:textId="77777777" w:rsidR="00980E5F" w:rsidRDefault="00980E5F">
            <w:pPr>
              <w:rPr>
                <w:rFonts w:ascii="宋体"/>
                <w:vanish/>
              </w:rPr>
            </w:pPr>
          </w:p>
        </w:tc>
        <w:tc>
          <w:tcPr>
            <w:tcW w:w="0" w:type="auto"/>
            <w:gridSpan w:val="3"/>
            <w:shd w:val="clear" w:color="auto" w:fill="auto"/>
            <w:vAlign w:val="bottom"/>
          </w:tcPr>
          <w:p w14:paraId="392C0DAD" w14:textId="77777777" w:rsidR="00980E5F" w:rsidRDefault="00980E5F">
            <w:pPr>
              <w:rPr>
                <w:rFonts w:ascii="宋体"/>
                <w:vanish/>
              </w:rPr>
            </w:pPr>
          </w:p>
        </w:tc>
      </w:tr>
      <w:tr w:rsidR="00980E5F" w14:paraId="392C0DB7" w14:textId="77777777">
        <w:trPr>
          <w:hidden/>
        </w:trPr>
        <w:tc>
          <w:tcPr>
            <w:tcW w:w="0" w:type="auto"/>
            <w:gridSpan w:val="3"/>
            <w:shd w:val="clear" w:color="auto" w:fill="auto"/>
            <w:vAlign w:val="bottom"/>
          </w:tcPr>
          <w:p w14:paraId="392C0DAF" w14:textId="77777777" w:rsidR="00980E5F" w:rsidRDefault="00980E5F">
            <w:pPr>
              <w:rPr>
                <w:rFonts w:ascii="宋体"/>
                <w:vanish/>
              </w:rPr>
            </w:pPr>
          </w:p>
        </w:tc>
        <w:tc>
          <w:tcPr>
            <w:tcW w:w="0" w:type="auto"/>
            <w:gridSpan w:val="3"/>
            <w:shd w:val="clear" w:color="auto" w:fill="auto"/>
            <w:vAlign w:val="bottom"/>
          </w:tcPr>
          <w:p w14:paraId="392C0DB0" w14:textId="77777777" w:rsidR="00980E5F" w:rsidRDefault="00980E5F">
            <w:pPr>
              <w:rPr>
                <w:rFonts w:ascii="宋体"/>
                <w:vanish/>
              </w:rPr>
            </w:pPr>
          </w:p>
        </w:tc>
        <w:tc>
          <w:tcPr>
            <w:tcW w:w="0" w:type="auto"/>
            <w:gridSpan w:val="3"/>
            <w:shd w:val="clear" w:color="auto" w:fill="auto"/>
            <w:vAlign w:val="bottom"/>
          </w:tcPr>
          <w:p w14:paraId="392C0DB1" w14:textId="77777777" w:rsidR="00980E5F" w:rsidRDefault="00980E5F">
            <w:pPr>
              <w:rPr>
                <w:rFonts w:ascii="宋体"/>
                <w:vanish/>
              </w:rPr>
            </w:pPr>
          </w:p>
        </w:tc>
        <w:tc>
          <w:tcPr>
            <w:tcW w:w="0" w:type="auto"/>
            <w:gridSpan w:val="3"/>
            <w:shd w:val="clear" w:color="auto" w:fill="auto"/>
            <w:vAlign w:val="bottom"/>
          </w:tcPr>
          <w:p w14:paraId="392C0DB2" w14:textId="77777777" w:rsidR="00980E5F" w:rsidRDefault="00980E5F">
            <w:pPr>
              <w:rPr>
                <w:rFonts w:ascii="宋体"/>
                <w:vanish/>
              </w:rPr>
            </w:pPr>
          </w:p>
        </w:tc>
        <w:tc>
          <w:tcPr>
            <w:tcW w:w="0" w:type="auto"/>
            <w:shd w:val="clear" w:color="auto" w:fill="auto"/>
            <w:vAlign w:val="bottom"/>
          </w:tcPr>
          <w:p w14:paraId="392C0DB3" w14:textId="77777777" w:rsidR="00980E5F" w:rsidRDefault="00980E5F">
            <w:pPr>
              <w:rPr>
                <w:rFonts w:ascii="宋体"/>
                <w:vanish/>
              </w:rPr>
            </w:pPr>
          </w:p>
        </w:tc>
        <w:tc>
          <w:tcPr>
            <w:tcW w:w="0" w:type="auto"/>
            <w:shd w:val="clear" w:color="auto" w:fill="auto"/>
            <w:vAlign w:val="bottom"/>
          </w:tcPr>
          <w:p w14:paraId="392C0DB4" w14:textId="77777777" w:rsidR="00980E5F" w:rsidRDefault="00980E5F">
            <w:pPr>
              <w:rPr>
                <w:rFonts w:ascii="宋体"/>
                <w:vanish/>
              </w:rPr>
            </w:pPr>
          </w:p>
        </w:tc>
        <w:tc>
          <w:tcPr>
            <w:tcW w:w="0" w:type="auto"/>
            <w:gridSpan w:val="3"/>
            <w:shd w:val="clear" w:color="auto" w:fill="auto"/>
            <w:vAlign w:val="bottom"/>
          </w:tcPr>
          <w:p w14:paraId="392C0DB5" w14:textId="77777777" w:rsidR="00980E5F" w:rsidRDefault="00980E5F">
            <w:pPr>
              <w:rPr>
                <w:rFonts w:ascii="宋体"/>
                <w:vanish/>
              </w:rPr>
            </w:pPr>
          </w:p>
        </w:tc>
        <w:tc>
          <w:tcPr>
            <w:tcW w:w="0" w:type="auto"/>
            <w:gridSpan w:val="3"/>
            <w:shd w:val="clear" w:color="auto" w:fill="auto"/>
            <w:vAlign w:val="bottom"/>
          </w:tcPr>
          <w:p w14:paraId="392C0DB6" w14:textId="77777777" w:rsidR="00980E5F" w:rsidRDefault="00980E5F">
            <w:pPr>
              <w:rPr>
                <w:rFonts w:ascii="宋体"/>
                <w:vanish/>
              </w:rPr>
            </w:pPr>
          </w:p>
        </w:tc>
      </w:tr>
      <w:tr w:rsidR="00980E5F" w14:paraId="392C0DC2" w14:textId="77777777">
        <w:trPr>
          <w:hidden/>
        </w:trPr>
        <w:tc>
          <w:tcPr>
            <w:tcW w:w="0" w:type="auto"/>
            <w:gridSpan w:val="3"/>
            <w:shd w:val="clear" w:color="auto" w:fill="auto"/>
            <w:vAlign w:val="bottom"/>
          </w:tcPr>
          <w:p w14:paraId="392C0DB8" w14:textId="77777777" w:rsidR="00980E5F" w:rsidRDefault="00980E5F">
            <w:pPr>
              <w:rPr>
                <w:rFonts w:ascii="宋体"/>
                <w:vanish/>
              </w:rPr>
            </w:pPr>
          </w:p>
        </w:tc>
        <w:tc>
          <w:tcPr>
            <w:tcW w:w="0" w:type="auto"/>
            <w:gridSpan w:val="3"/>
            <w:shd w:val="clear" w:color="auto" w:fill="auto"/>
            <w:vAlign w:val="bottom"/>
          </w:tcPr>
          <w:p w14:paraId="392C0DB9" w14:textId="77777777" w:rsidR="00980E5F" w:rsidRDefault="00980E5F">
            <w:pPr>
              <w:rPr>
                <w:rFonts w:ascii="宋体"/>
                <w:vanish/>
              </w:rPr>
            </w:pPr>
          </w:p>
        </w:tc>
        <w:tc>
          <w:tcPr>
            <w:tcW w:w="0" w:type="auto"/>
            <w:gridSpan w:val="3"/>
            <w:shd w:val="clear" w:color="auto" w:fill="auto"/>
            <w:vAlign w:val="bottom"/>
          </w:tcPr>
          <w:p w14:paraId="392C0DBA" w14:textId="77777777" w:rsidR="00980E5F" w:rsidRDefault="00980E5F">
            <w:pPr>
              <w:rPr>
                <w:rFonts w:ascii="宋体"/>
                <w:vanish/>
              </w:rPr>
            </w:pPr>
          </w:p>
        </w:tc>
        <w:tc>
          <w:tcPr>
            <w:tcW w:w="0" w:type="auto"/>
            <w:gridSpan w:val="3"/>
            <w:shd w:val="clear" w:color="auto" w:fill="auto"/>
            <w:vAlign w:val="bottom"/>
          </w:tcPr>
          <w:p w14:paraId="392C0DBB" w14:textId="77777777" w:rsidR="00980E5F" w:rsidRDefault="00980E5F">
            <w:pPr>
              <w:rPr>
                <w:rFonts w:ascii="宋体"/>
                <w:vanish/>
              </w:rPr>
            </w:pPr>
          </w:p>
        </w:tc>
        <w:tc>
          <w:tcPr>
            <w:tcW w:w="0" w:type="auto"/>
            <w:shd w:val="clear" w:color="auto" w:fill="auto"/>
            <w:vAlign w:val="bottom"/>
          </w:tcPr>
          <w:p w14:paraId="392C0DBC" w14:textId="77777777" w:rsidR="00980E5F" w:rsidRDefault="00980E5F">
            <w:pPr>
              <w:rPr>
                <w:rFonts w:ascii="宋体"/>
                <w:vanish/>
              </w:rPr>
            </w:pPr>
          </w:p>
        </w:tc>
        <w:tc>
          <w:tcPr>
            <w:tcW w:w="0" w:type="auto"/>
            <w:shd w:val="clear" w:color="auto" w:fill="auto"/>
            <w:vAlign w:val="bottom"/>
          </w:tcPr>
          <w:p w14:paraId="392C0DBD" w14:textId="77777777" w:rsidR="00980E5F" w:rsidRDefault="00980E5F">
            <w:pPr>
              <w:rPr>
                <w:rFonts w:ascii="宋体"/>
                <w:vanish/>
              </w:rPr>
            </w:pPr>
          </w:p>
        </w:tc>
        <w:tc>
          <w:tcPr>
            <w:tcW w:w="0" w:type="auto"/>
            <w:gridSpan w:val="3"/>
            <w:shd w:val="clear" w:color="auto" w:fill="auto"/>
            <w:vAlign w:val="bottom"/>
          </w:tcPr>
          <w:p w14:paraId="392C0DBE" w14:textId="77777777" w:rsidR="00980E5F" w:rsidRDefault="00980E5F">
            <w:pPr>
              <w:rPr>
                <w:rFonts w:ascii="宋体"/>
                <w:vanish/>
              </w:rPr>
            </w:pPr>
          </w:p>
        </w:tc>
        <w:tc>
          <w:tcPr>
            <w:tcW w:w="0" w:type="auto"/>
            <w:shd w:val="clear" w:color="auto" w:fill="auto"/>
            <w:vAlign w:val="bottom"/>
          </w:tcPr>
          <w:p w14:paraId="392C0DBF" w14:textId="77777777" w:rsidR="00980E5F" w:rsidRDefault="00980E5F">
            <w:pPr>
              <w:rPr>
                <w:rFonts w:ascii="宋体"/>
              </w:rPr>
            </w:pPr>
          </w:p>
        </w:tc>
        <w:tc>
          <w:tcPr>
            <w:tcW w:w="0" w:type="auto"/>
            <w:shd w:val="clear" w:color="auto" w:fill="auto"/>
            <w:vAlign w:val="bottom"/>
          </w:tcPr>
          <w:p w14:paraId="392C0DC0" w14:textId="77777777" w:rsidR="00980E5F" w:rsidRDefault="00980E5F">
            <w:pPr>
              <w:rPr>
                <w:rFonts w:ascii="宋体"/>
              </w:rPr>
            </w:pPr>
          </w:p>
        </w:tc>
        <w:tc>
          <w:tcPr>
            <w:tcW w:w="0" w:type="auto"/>
            <w:shd w:val="clear" w:color="auto" w:fill="auto"/>
            <w:vAlign w:val="bottom"/>
          </w:tcPr>
          <w:p w14:paraId="392C0DC1" w14:textId="77777777" w:rsidR="00980E5F" w:rsidRDefault="00980E5F">
            <w:pPr>
              <w:rPr>
                <w:rFonts w:ascii="宋体"/>
              </w:rPr>
            </w:pPr>
          </w:p>
        </w:tc>
      </w:tr>
      <w:tr w:rsidR="00980E5F" w14:paraId="392C0DCB" w14:textId="77777777">
        <w:trPr>
          <w:hidden/>
        </w:trPr>
        <w:tc>
          <w:tcPr>
            <w:tcW w:w="0" w:type="auto"/>
            <w:gridSpan w:val="3"/>
            <w:shd w:val="clear" w:color="auto" w:fill="auto"/>
            <w:vAlign w:val="bottom"/>
          </w:tcPr>
          <w:p w14:paraId="392C0DC3" w14:textId="77777777" w:rsidR="00980E5F" w:rsidRDefault="00980E5F">
            <w:pPr>
              <w:rPr>
                <w:rFonts w:ascii="宋体"/>
                <w:vanish/>
              </w:rPr>
            </w:pPr>
          </w:p>
        </w:tc>
        <w:tc>
          <w:tcPr>
            <w:tcW w:w="0" w:type="auto"/>
            <w:gridSpan w:val="3"/>
            <w:shd w:val="clear" w:color="auto" w:fill="auto"/>
            <w:vAlign w:val="bottom"/>
          </w:tcPr>
          <w:p w14:paraId="392C0DC4" w14:textId="77777777" w:rsidR="00980E5F" w:rsidRDefault="00980E5F">
            <w:pPr>
              <w:rPr>
                <w:rFonts w:ascii="宋体"/>
                <w:vanish/>
              </w:rPr>
            </w:pPr>
          </w:p>
        </w:tc>
        <w:tc>
          <w:tcPr>
            <w:tcW w:w="0" w:type="auto"/>
            <w:gridSpan w:val="3"/>
            <w:shd w:val="clear" w:color="auto" w:fill="auto"/>
            <w:vAlign w:val="bottom"/>
          </w:tcPr>
          <w:p w14:paraId="392C0DC5" w14:textId="77777777" w:rsidR="00980E5F" w:rsidRDefault="00980E5F">
            <w:pPr>
              <w:rPr>
                <w:rFonts w:ascii="宋体"/>
                <w:vanish/>
              </w:rPr>
            </w:pPr>
          </w:p>
        </w:tc>
        <w:tc>
          <w:tcPr>
            <w:tcW w:w="0" w:type="auto"/>
            <w:gridSpan w:val="3"/>
            <w:shd w:val="clear" w:color="auto" w:fill="auto"/>
            <w:vAlign w:val="bottom"/>
          </w:tcPr>
          <w:p w14:paraId="392C0DC6" w14:textId="77777777" w:rsidR="00980E5F" w:rsidRDefault="00980E5F">
            <w:pPr>
              <w:rPr>
                <w:rFonts w:ascii="宋体"/>
                <w:vanish/>
              </w:rPr>
            </w:pPr>
          </w:p>
        </w:tc>
        <w:tc>
          <w:tcPr>
            <w:tcW w:w="0" w:type="auto"/>
            <w:shd w:val="clear" w:color="auto" w:fill="auto"/>
            <w:vAlign w:val="bottom"/>
          </w:tcPr>
          <w:p w14:paraId="392C0DC7" w14:textId="77777777" w:rsidR="00980E5F" w:rsidRDefault="00980E5F">
            <w:pPr>
              <w:rPr>
                <w:rFonts w:ascii="宋体"/>
                <w:vanish/>
              </w:rPr>
            </w:pPr>
          </w:p>
        </w:tc>
        <w:tc>
          <w:tcPr>
            <w:tcW w:w="0" w:type="auto"/>
            <w:shd w:val="clear" w:color="auto" w:fill="auto"/>
            <w:vAlign w:val="bottom"/>
          </w:tcPr>
          <w:p w14:paraId="392C0DC8" w14:textId="77777777" w:rsidR="00980E5F" w:rsidRDefault="00980E5F">
            <w:pPr>
              <w:rPr>
                <w:rFonts w:ascii="宋体"/>
                <w:vanish/>
              </w:rPr>
            </w:pPr>
          </w:p>
        </w:tc>
        <w:tc>
          <w:tcPr>
            <w:tcW w:w="0" w:type="auto"/>
            <w:gridSpan w:val="3"/>
            <w:shd w:val="clear" w:color="auto" w:fill="auto"/>
            <w:vAlign w:val="bottom"/>
          </w:tcPr>
          <w:p w14:paraId="392C0DC9" w14:textId="77777777" w:rsidR="00980E5F" w:rsidRDefault="00980E5F">
            <w:pPr>
              <w:rPr>
                <w:rFonts w:ascii="宋体"/>
                <w:vanish/>
              </w:rPr>
            </w:pPr>
          </w:p>
        </w:tc>
        <w:tc>
          <w:tcPr>
            <w:tcW w:w="0" w:type="auto"/>
            <w:gridSpan w:val="3"/>
            <w:shd w:val="clear" w:color="auto" w:fill="auto"/>
            <w:vAlign w:val="bottom"/>
          </w:tcPr>
          <w:p w14:paraId="392C0DCA" w14:textId="77777777" w:rsidR="00980E5F" w:rsidRDefault="00980E5F">
            <w:pPr>
              <w:rPr>
                <w:rFonts w:ascii="宋体"/>
                <w:vanish/>
              </w:rPr>
            </w:pPr>
          </w:p>
        </w:tc>
      </w:tr>
      <w:tr w:rsidR="00980E5F" w14:paraId="392C0DD4" w14:textId="77777777">
        <w:trPr>
          <w:hidden/>
        </w:trPr>
        <w:tc>
          <w:tcPr>
            <w:tcW w:w="0" w:type="auto"/>
            <w:gridSpan w:val="3"/>
            <w:shd w:val="clear" w:color="auto" w:fill="auto"/>
            <w:vAlign w:val="bottom"/>
          </w:tcPr>
          <w:p w14:paraId="392C0DCC" w14:textId="77777777" w:rsidR="00980E5F" w:rsidRDefault="00980E5F">
            <w:pPr>
              <w:rPr>
                <w:rFonts w:ascii="宋体"/>
                <w:vanish/>
              </w:rPr>
            </w:pPr>
          </w:p>
        </w:tc>
        <w:tc>
          <w:tcPr>
            <w:tcW w:w="0" w:type="auto"/>
            <w:gridSpan w:val="3"/>
            <w:shd w:val="clear" w:color="auto" w:fill="auto"/>
            <w:vAlign w:val="bottom"/>
          </w:tcPr>
          <w:p w14:paraId="392C0DCD" w14:textId="77777777" w:rsidR="00980E5F" w:rsidRDefault="00980E5F">
            <w:pPr>
              <w:rPr>
                <w:rFonts w:ascii="宋体"/>
                <w:vanish/>
              </w:rPr>
            </w:pPr>
          </w:p>
        </w:tc>
        <w:tc>
          <w:tcPr>
            <w:tcW w:w="0" w:type="auto"/>
            <w:gridSpan w:val="3"/>
            <w:shd w:val="clear" w:color="auto" w:fill="auto"/>
            <w:vAlign w:val="bottom"/>
          </w:tcPr>
          <w:p w14:paraId="392C0DCE" w14:textId="77777777" w:rsidR="00980E5F" w:rsidRDefault="00980E5F">
            <w:pPr>
              <w:rPr>
                <w:rFonts w:ascii="宋体"/>
                <w:vanish/>
              </w:rPr>
            </w:pPr>
          </w:p>
        </w:tc>
        <w:tc>
          <w:tcPr>
            <w:tcW w:w="0" w:type="auto"/>
            <w:gridSpan w:val="3"/>
            <w:shd w:val="clear" w:color="auto" w:fill="auto"/>
            <w:vAlign w:val="bottom"/>
          </w:tcPr>
          <w:p w14:paraId="392C0DCF" w14:textId="77777777" w:rsidR="00980E5F" w:rsidRDefault="00980E5F">
            <w:pPr>
              <w:rPr>
                <w:rFonts w:ascii="宋体"/>
                <w:vanish/>
              </w:rPr>
            </w:pPr>
          </w:p>
        </w:tc>
        <w:tc>
          <w:tcPr>
            <w:tcW w:w="0" w:type="auto"/>
            <w:shd w:val="clear" w:color="auto" w:fill="auto"/>
            <w:vAlign w:val="bottom"/>
          </w:tcPr>
          <w:p w14:paraId="392C0DD0" w14:textId="77777777" w:rsidR="00980E5F" w:rsidRDefault="00980E5F">
            <w:pPr>
              <w:rPr>
                <w:rFonts w:ascii="宋体"/>
                <w:vanish/>
              </w:rPr>
            </w:pPr>
          </w:p>
        </w:tc>
        <w:tc>
          <w:tcPr>
            <w:tcW w:w="0" w:type="auto"/>
            <w:shd w:val="clear" w:color="auto" w:fill="auto"/>
            <w:vAlign w:val="bottom"/>
          </w:tcPr>
          <w:p w14:paraId="392C0DD1" w14:textId="77777777" w:rsidR="00980E5F" w:rsidRDefault="00980E5F">
            <w:pPr>
              <w:rPr>
                <w:rFonts w:ascii="宋体"/>
                <w:vanish/>
              </w:rPr>
            </w:pPr>
          </w:p>
        </w:tc>
        <w:tc>
          <w:tcPr>
            <w:tcW w:w="0" w:type="auto"/>
            <w:gridSpan w:val="3"/>
            <w:shd w:val="clear" w:color="auto" w:fill="auto"/>
            <w:vAlign w:val="bottom"/>
          </w:tcPr>
          <w:p w14:paraId="392C0DD2" w14:textId="77777777" w:rsidR="00980E5F" w:rsidRDefault="00980E5F">
            <w:pPr>
              <w:rPr>
                <w:rFonts w:ascii="宋体"/>
                <w:vanish/>
              </w:rPr>
            </w:pPr>
          </w:p>
        </w:tc>
        <w:tc>
          <w:tcPr>
            <w:tcW w:w="0" w:type="auto"/>
            <w:gridSpan w:val="3"/>
            <w:shd w:val="clear" w:color="auto" w:fill="auto"/>
            <w:vAlign w:val="bottom"/>
          </w:tcPr>
          <w:p w14:paraId="392C0DD3" w14:textId="77777777" w:rsidR="00980E5F" w:rsidRDefault="00980E5F">
            <w:pPr>
              <w:rPr>
                <w:rFonts w:ascii="宋体"/>
                <w:vanish/>
              </w:rPr>
            </w:pPr>
          </w:p>
        </w:tc>
      </w:tr>
      <w:tr w:rsidR="00980E5F" w14:paraId="392C0DDD" w14:textId="77777777">
        <w:trPr>
          <w:hidden/>
        </w:trPr>
        <w:tc>
          <w:tcPr>
            <w:tcW w:w="0" w:type="auto"/>
            <w:gridSpan w:val="3"/>
            <w:shd w:val="clear" w:color="auto" w:fill="auto"/>
            <w:vAlign w:val="bottom"/>
          </w:tcPr>
          <w:p w14:paraId="392C0DD5" w14:textId="77777777" w:rsidR="00980E5F" w:rsidRDefault="00980E5F">
            <w:pPr>
              <w:rPr>
                <w:rFonts w:ascii="宋体"/>
                <w:vanish/>
              </w:rPr>
            </w:pPr>
          </w:p>
        </w:tc>
        <w:tc>
          <w:tcPr>
            <w:tcW w:w="0" w:type="auto"/>
            <w:gridSpan w:val="3"/>
            <w:shd w:val="clear" w:color="auto" w:fill="auto"/>
            <w:vAlign w:val="bottom"/>
          </w:tcPr>
          <w:p w14:paraId="392C0DD6" w14:textId="77777777" w:rsidR="00980E5F" w:rsidRDefault="00980E5F">
            <w:pPr>
              <w:rPr>
                <w:rFonts w:ascii="宋体"/>
                <w:vanish/>
              </w:rPr>
            </w:pPr>
          </w:p>
        </w:tc>
        <w:tc>
          <w:tcPr>
            <w:tcW w:w="0" w:type="auto"/>
            <w:gridSpan w:val="3"/>
            <w:shd w:val="clear" w:color="auto" w:fill="auto"/>
            <w:vAlign w:val="bottom"/>
          </w:tcPr>
          <w:p w14:paraId="392C0DD7" w14:textId="77777777" w:rsidR="00980E5F" w:rsidRDefault="00980E5F">
            <w:pPr>
              <w:rPr>
                <w:rFonts w:ascii="宋体"/>
                <w:vanish/>
              </w:rPr>
            </w:pPr>
          </w:p>
        </w:tc>
        <w:tc>
          <w:tcPr>
            <w:tcW w:w="0" w:type="auto"/>
            <w:gridSpan w:val="3"/>
            <w:shd w:val="clear" w:color="auto" w:fill="auto"/>
            <w:vAlign w:val="bottom"/>
          </w:tcPr>
          <w:p w14:paraId="392C0DD8" w14:textId="77777777" w:rsidR="00980E5F" w:rsidRDefault="00980E5F">
            <w:pPr>
              <w:rPr>
                <w:rFonts w:ascii="宋体"/>
                <w:vanish/>
              </w:rPr>
            </w:pPr>
          </w:p>
        </w:tc>
        <w:tc>
          <w:tcPr>
            <w:tcW w:w="0" w:type="auto"/>
            <w:shd w:val="clear" w:color="auto" w:fill="auto"/>
            <w:vAlign w:val="bottom"/>
          </w:tcPr>
          <w:p w14:paraId="392C0DD9" w14:textId="77777777" w:rsidR="00980E5F" w:rsidRDefault="00980E5F">
            <w:pPr>
              <w:rPr>
                <w:rFonts w:ascii="宋体"/>
                <w:vanish/>
              </w:rPr>
            </w:pPr>
          </w:p>
        </w:tc>
        <w:tc>
          <w:tcPr>
            <w:tcW w:w="0" w:type="auto"/>
            <w:shd w:val="clear" w:color="auto" w:fill="auto"/>
            <w:vAlign w:val="bottom"/>
          </w:tcPr>
          <w:p w14:paraId="392C0DDA" w14:textId="77777777" w:rsidR="00980E5F" w:rsidRDefault="00980E5F">
            <w:pPr>
              <w:rPr>
                <w:rFonts w:ascii="宋体"/>
                <w:vanish/>
              </w:rPr>
            </w:pPr>
          </w:p>
        </w:tc>
        <w:tc>
          <w:tcPr>
            <w:tcW w:w="0" w:type="auto"/>
            <w:gridSpan w:val="3"/>
            <w:shd w:val="clear" w:color="auto" w:fill="auto"/>
            <w:vAlign w:val="bottom"/>
          </w:tcPr>
          <w:p w14:paraId="392C0DDB" w14:textId="77777777" w:rsidR="00980E5F" w:rsidRDefault="00980E5F">
            <w:pPr>
              <w:rPr>
                <w:rFonts w:ascii="宋体"/>
                <w:vanish/>
              </w:rPr>
            </w:pPr>
          </w:p>
        </w:tc>
        <w:tc>
          <w:tcPr>
            <w:tcW w:w="0" w:type="auto"/>
            <w:gridSpan w:val="3"/>
            <w:shd w:val="clear" w:color="auto" w:fill="auto"/>
            <w:vAlign w:val="bottom"/>
          </w:tcPr>
          <w:p w14:paraId="392C0DDC" w14:textId="77777777" w:rsidR="00980E5F" w:rsidRDefault="00980E5F">
            <w:pPr>
              <w:rPr>
                <w:rFonts w:ascii="宋体"/>
                <w:vanish/>
              </w:rPr>
            </w:pPr>
          </w:p>
        </w:tc>
      </w:tr>
      <w:tr w:rsidR="00980E5F" w14:paraId="392C0DE6" w14:textId="77777777">
        <w:trPr>
          <w:hidden/>
        </w:trPr>
        <w:tc>
          <w:tcPr>
            <w:tcW w:w="0" w:type="auto"/>
            <w:gridSpan w:val="3"/>
            <w:shd w:val="clear" w:color="auto" w:fill="auto"/>
            <w:vAlign w:val="bottom"/>
          </w:tcPr>
          <w:p w14:paraId="392C0DDE" w14:textId="77777777" w:rsidR="00980E5F" w:rsidRDefault="00980E5F">
            <w:pPr>
              <w:rPr>
                <w:rFonts w:ascii="宋体"/>
                <w:vanish/>
              </w:rPr>
            </w:pPr>
          </w:p>
        </w:tc>
        <w:tc>
          <w:tcPr>
            <w:tcW w:w="0" w:type="auto"/>
            <w:gridSpan w:val="3"/>
            <w:shd w:val="clear" w:color="auto" w:fill="auto"/>
            <w:vAlign w:val="bottom"/>
          </w:tcPr>
          <w:p w14:paraId="392C0DDF" w14:textId="77777777" w:rsidR="00980E5F" w:rsidRDefault="00980E5F">
            <w:pPr>
              <w:rPr>
                <w:rFonts w:ascii="宋体"/>
                <w:vanish/>
              </w:rPr>
            </w:pPr>
          </w:p>
        </w:tc>
        <w:tc>
          <w:tcPr>
            <w:tcW w:w="0" w:type="auto"/>
            <w:gridSpan w:val="3"/>
            <w:shd w:val="clear" w:color="auto" w:fill="auto"/>
            <w:vAlign w:val="bottom"/>
          </w:tcPr>
          <w:p w14:paraId="392C0DE0" w14:textId="77777777" w:rsidR="00980E5F" w:rsidRDefault="00980E5F">
            <w:pPr>
              <w:rPr>
                <w:rFonts w:ascii="宋体"/>
                <w:vanish/>
              </w:rPr>
            </w:pPr>
          </w:p>
        </w:tc>
        <w:tc>
          <w:tcPr>
            <w:tcW w:w="0" w:type="auto"/>
            <w:gridSpan w:val="3"/>
            <w:shd w:val="clear" w:color="auto" w:fill="auto"/>
            <w:vAlign w:val="bottom"/>
          </w:tcPr>
          <w:p w14:paraId="392C0DE1" w14:textId="77777777" w:rsidR="00980E5F" w:rsidRDefault="00980E5F">
            <w:pPr>
              <w:rPr>
                <w:rFonts w:ascii="宋体"/>
                <w:vanish/>
              </w:rPr>
            </w:pPr>
          </w:p>
        </w:tc>
        <w:tc>
          <w:tcPr>
            <w:tcW w:w="0" w:type="auto"/>
            <w:shd w:val="clear" w:color="auto" w:fill="auto"/>
            <w:vAlign w:val="bottom"/>
          </w:tcPr>
          <w:p w14:paraId="392C0DE2" w14:textId="77777777" w:rsidR="00980E5F" w:rsidRDefault="00980E5F">
            <w:pPr>
              <w:rPr>
                <w:rFonts w:ascii="宋体"/>
                <w:vanish/>
              </w:rPr>
            </w:pPr>
          </w:p>
        </w:tc>
        <w:tc>
          <w:tcPr>
            <w:tcW w:w="0" w:type="auto"/>
            <w:shd w:val="clear" w:color="auto" w:fill="auto"/>
            <w:vAlign w:val="bottom"/>
          </w:tcPr>
          <w:p w14:paraId="392C0DE3" w14:textId="77777777" w:rsidR="00980E5F" w:rsidRDefault="00980E5F">
            <w:pPr>
              <w:rPr>
                <w:rFonts w:ascii="宋体"/>
                <w:vanish/>
              </w:rPr>
            </w:pPr>
          </w:p>
        </w:tc>
        <w:tc>
          <w:tcPr>
            <w:tcW w:w="0" w:type="auto"/>
            <w:gridSpan w:val="3"/>
            <w:shd w:val="clear" w:color="auto" w:fill="auto"/>
            <w:vAlign w:val="bottom"/>
          </w:tcPr>
          <w:p w14:paraId="392C0DE4" w14:textId="77777777" w:rsidR="00980E5F" w:rsidRDefault="00980E5F">
            <w:pPr>
              <w:rPr>
                <w:rFonts w:ascii="宋体"/>
                <w:vanish/>
              </w:rPr>
            </w:pPr>
          </w:p>
        </w:tc>
        <w:tc>
          <w:tcPr>
            <w:tcW w:w="0" w:type="auto"/>
            <w:gridSpan w:val="3"/>
            <w:shd w:val="clear" w:color="auto" w:fill="auto"/>
            <w:vAlign w:val="bottom"/>
          </w:tcPr>
          <w:p w14:paraId="392C0DE5" w14:textId="77777777" w:rsidR="00980E5F" w:rsidRDefault="00980E5F">
            <w:pPr>
              <w:rPr>
                <w:rFonts w:ascii="宋体"/>
                <w:vanish/>
              </w:rPr>
            </w:pPr>
          </w:p>
        </w:tc>
      </w:tr>
      <w:tr w:rsidR="00980E5F" w14:paraId="392C0DEF" w14:textId="77777777">
        <w:trPr>
          <w:hidden/>
        </w:trPr>
        <w:tc>
          <w:tcPr>
            <w:tcW w:w="0" w:type="auto"/>
            <w:gridSpan w:val="3"/>
            <w:shd w:val="clear" w:color="auto" w:fill="auto"/>
            <w:vAlign w:val="bottom"/>
          </w:tcPr>
          <w:p w14:paraId="392C0DE7" w14:textId="77777777" w:rsidR="00980E5F" w:rsidRDefault="00980E5F">
            <w:pPr>
              <w:rPr>
                <w:rFonts w:ascii="宋体"/>
                <w:vanish/>
              </w:rPr>
            </w:pPr>
          </w:p>
        </w:tc>
        <w:tc>
          <w:tcPr>
            <w:tcW w:w="0" w:type="auto"/>
            <w:gridSpan w:val="3"/>
            <w:shd w:val="clear" w:color="auto" w:fill="auto"/>
            <w:vAlign w:val="bottom"/>
          </w:tcPr>
          <w:p w14:paraId="392C0DE8" w14:textId="77777777" w:rsidR="00980E5F" w:rsidRDefault="00980E5F">
            <w:pPr>
              <w:rPr>
                <w:rFonts w:ascii="宋体"/>
                <w:vanish/>
              </w:rPr>
            </w:pPr>
          </w:p>
        </w:tc>
        <w:tc>
          <w:tcPr>
            <w:tcW w:w="0" w:type="auto"/>
            <w:gridSpan w:val="3"/>
            <w:shd w:val="clear" w:color="auto" w:fill="auto"/>
            <w:vAlign w:val="bottom"/>
          </w:tcPr>
          <w:p w14:paraId="392C0DE9" w14:textId="77777777" w:rsidR="00980E5F" w:rsidRDefault="00980E5F">
            <w:pPr>
              <w:rPr>
                <w:rFonts w:ascii="宋体"/>
                <w:vanish/>
              </w:rPr>
            </w:pPr>
          </w:p>
        </w:tc>
        <w:tc>
          <w:tcPr>
            <w:tcW w:w="0" w:type="auto"/>
            <w:gridSpan w:val="3"/>
            <w:shd w:val="clear" w:color="auto" w:fill="auto"/>
            <w:vAlign w:val="bottom"/>
          </w:tcPr>
          <w:p w14:paraId="392C0DEA" w14:textId="77777777" w:rsidR="00980E5F" w:rsidRDefault="00980E5F">
            <w:pPr>
              <w:rPr>
                <w:rFonts w:ascii="宋体"/>
                <w:vanish/>
              </w:rPr>
            </w:pPr>
          </w:p>
        </w:tc>
        <w:tc>
          <w:tcPr>
            <w:tcW w:w="0" w:type="auto"/>
            <w:shd w:val="clear" w:color="auto" w:fill="auto"/>
            <w:vAlign w:val="bottom"/>
          </w:tcPr>
          <w:p w14:paraId="392C0DEB" w14:textId="77777777" w:rsidR="00980E5F" w:rsidRDefault="00980E5F">
            <w:pPr>
              <w:rPr>
                <w:rFonts w:ascii="宋体"/>
                <w:vanish/>
              </w:rPr>
            </w:pPr>
          </w:p>
        </w:tc>
        <w:tc>
          <w:tcPr>
            <w:tcW w:w="0" w:type="auto"/>
            <w:shd w:val="clear" w:color="auto" w:fill="auto"/>
            <w:vAlign w:val="bottom"/>
          </w:tcPr>
          <w:p w14:paraId="392C0DEC" w14:textId="77777777" w:rsidR="00980E5F" w:rsidRDefault="00980E5F">
            <w:pPr>
              <w:rPr>
                <w:rFonts w:ascii="宋体"/>
                <w:vanish/>
              </w:rPr>
            </w:pPr>
          </w:p>
        </w:tc>
        <w:tc>
          <w:tcPr>
            <w:tcW w:w="0" w:type="auto"/>
            <w:gridSpan w:val="3"/>
            <w:shd w:val="clear" w:color="auto" w:fill="auto"/>
            <w:vAlign w:val="bottom"/>
          </w:tcPr>
          <w:p w14:paraId="392C0DED" w14:textId="77777777" w:rsidR="00980E5F" w:rsidRDefault="00980E5F">
            <w:pPr>
              <w:rPr>
                <w:rFonts w:ascii="宋体"/>
                <w:vanish/>
              </w:rPr>
            </w:pPr>
          </w:p>
        </w:tc>
        <w:tc>
          <w:tcPr>
            <w:tcW w:w="0" w:type="auto"/>
            <w:gridSpan w:val="3"/>
            <w:shd w:val="clear" w:color="auto" w:fill="auto"/>
            <w:vAlign w:val="bottom"/>
          </w:tcPr>
          <w:p w14:paraId="392C0DEE" w14:textId="77777777" w:rsidR="00980E5F" w:rsidRDefault="00980E5F">
            <w:pPr>
              <w:rPr>
                <w:rFonts w:ascii="宋体"/>
                <w:vanish/>
              </w:rPr>
            </w:pPr>
          </w:p>
        </w:tc>
      </w:tr>
      <w:tr w:rsidR="00980E5F" w14:paraId="392C0DF8" w14:textId="77777777">
        <w:trPr>
          <w:hidden/>
        </w:trPr>
        <w:tc>
          <w:tcPr>
            <w:tcW w:w="0" w:type="auto"/>
            <w:gridSpan w:val="3"/>
            <w:shd w:val="clear" w:color="auto" w:fill="auto"/>
            <w:vAlign w:val="bottom"/>
          </w:tcPr>
          <w:p w14:paraId="392C0DF0" w14:textId="77777777" w:rsidR="00980E5F" w:rsidRDefault="00980E5F">
            <w:pPr>
              <w:rPr>
                <w:rFonts w:ascii="宋体"/>
                <w:vanish/>
              </w:rPr>
            </w:pPr>
          </w:p>
        </w:tc>
        <w:tc>
          <w:tcPr>
            <w:tcW w:w="0" w:type="auto"/>
            <w:gridSpan w:val="3"/>
            <w:shd w:val="clear" w:color="auto" w:fill="auto"/>
            <w:vAlign w:val="bottom"/>
          </w:tcPr>
          <w:p w14:paraId="392C0DF1" w14:textId="77777777" w:rsidR="00980E5F" w:rsidRDefault="00980E5F">
            <w:pPr>
              <w:rPr>
                <w:rFonts w:ascii="宋体"/>
                <w:vanish/>
              </w:rPr>
            </w:pPr>
          </w:p>
        </w:tc>
        <w:tc>
          <w:tcPr>
            <w:tcW w:w="0" w:type="auto"/>
            <w:gridSpan w:val="3"/>
            <w:shd w:val="clear" w:color="auto" w:fill="auto"/>
            <w:vAlign w:val="bottom"/>
          </w:tcPr>
          <w:p w14:paraId="392C0DF2" w14:textId="77777777" w:rsidR="00980E5F" w:rsidRDefault="00980E5F">
            <w:pPr>
              <w:rPr>
                <w:rFonts w:ascii="宋体"/>
                <w:vanish/>
              </w:rPr>
            </w:pPr>
          </w:p>
        </w:tc>
        <w:tc>
          <w:tcPr>
            <w:tcW w:w="0" w:type="auto"/>
            <w:gridSpan w:val="3"/>
            <w:shd w:val="clear" w:color="auto" w:fill="auto"/>
            <w:vAlign w:val="bottom"/>
          </w:tcPr>
          <w:p w14:paraId="392C0DF3" w14:textId="77777777" w:rsidR="00980E5F" w:rsidRDefault="00980E5F">
            <w:pPr>
              <w:rPr>
                <w:rFonts w:ascii="宋体"/>
                <w:vanish/>
              </w:rPr>
            </w:pPr>
          </w:p>
        </w:tc>
        <w:tc>
          <w:tcPr>
            <w:tcW w:w="0" w:type="auto"/>
            <w:shd w:val="clear" w:color="auto" w:fill="auto"/>
            <w:vAlign w:val="bottom"/>
          </w:tcPr>
          <w:p w14:paraId="392C0DF4" w14:textId="77777777" w:rsidR="00980E5F" w:rsidRDefault="00980E5F">
            <w:pPr>
              <w:rPr>
                <w:rFonts w:ascii="宋体"/>
                <w:vanish/>
              </w:rPr>
            </w:pPr>
          </w:p>
        </w:tc>
        <w:tc>
          <w:tcPr>
            <w:tcW w:w="0" w:type="auto"/>
            <w:shd w:val="clear" w:color="auto" w:fill="auto"/>
            <w:vAlign w:val="bottom"/>
          </w:tcPr>
          <w:p w14:paraId="392C0DF5" w14:textId="77777777" w:rsidR="00980E5F" w:rsidRDefault="00980E5F">
            <w:pPr>
              <w:rPr>
                <w:rFonts w:ascii="宋体"/>
                <w:vanish/>
              </w:rPr>
            </w:pPr>
          </w:p>
        </w:tc>
        <w:tc>
          <w:tcPr>
            <w:tcW w:w="0" w:type="auto"/>
            <w:gridSpan w:val="3"/>
            <w:shd w:val="clear" w:color="auto" w:fill="auto"/>
            <w:vAlign w:val="bottom"/>
          </w:tcPr>
          <w:p w14:paraId="392C0DF6" w14:textId="77777777" w:rsidR="00980E5F" w:rsidRDefault="00980E5F">
            <w:pPr>
              <w:rPr>
                <w:rFonts w:ascii="宋体"/>
                <w:vanish/>
              </w:rPr>
            </w:pPr>
          </w:p>
        </w:tc>
        <w:tc>
          <w:tcPr>
            <w:tcW w:w="0" w:type="auto"/>
            <w:gridSpan w:val="3"/>
            <w:shd w:val="clear" w:color="auto" w:fill="auto"/>
            <w:vAlign w:val="bottom"/>
          </w:tcPr>
          <w:p w14:paraId="392C0DF7" w14:textId="77777777" w:rsidR="00980E5F" w:rsidRDefault="00980E5F">
            <w:pPr>
              <w:rPr>
                <w:rFonts w:ascii="宋体"/>
                <w:vanish/>
              </w:rPr>
            </w:pPr>
          </w:p>
        </w:tc>
      </w:tr>
      <w:tr w:rsidR="00980E5F" w14:paraId="392C0E01" w14:textId="77777777">
        <w:trPr>
          <w:hidden/>
        </w:trPr>
        <w:tc>
          <w:tcPr>
            <w:tcW w:w="0" w:type="auto"/>
            <w:gridSpan w:val="3"/>
            <w:shd w:val="clear" w:color="auto" w:fill="auto"/>
            <w:vAlign w:val="bottom"/>
          </w:tcPr>
          <w:p w14:paraId="392C0DF9" w14:textId="77777777" w:rsidR="00980E5F" w:rsidRDefault="00980E5F">
            <w:pPr>
              <w:rPr>
                <w:rFonts w:ascii="宋体"/>
                <w:vanish/>
              </w:rPr>
            </w:pPr>
          </w:p>
        </w:tc>
        <w:tc>
          <w:tcPr>
            <w:tcW w:w="0" w:type="auto"/>
            <w:gridSpan w:val="3"/>
            <w:shd w:val="clear" w:color="auto" w:fill="auto"/>
            <w:vAlign w:val="bottom"/>
          </w:tcPr>
          <w:p w14:paraId="392C0DFA" w14:textId="77777777" w:rsidR="00980E5F" w:rsidRDefault="00980E5F">
            <w:pPr>
              <w:rPr>
                <w:rFonts w:ascii="宋体"/>
                <w:vanish/>
              </w:rPr>
            </w:pPr>
          </w:p>
        </w:tc>
        <w:tc>
          <w:tcPr>
            <w:tcW w:w="0" w:type="auto"/>
            <w:gridSpan w:val="3"/>
            <w:shd w:val="clear" w:color="auto" w:fill="auto"/>
            <w:vAlign w:val="bottom"/>
          </w:tcPr>
          <w:p w14:paraId="392C0DFB" w14:textId="77777777" w:rsidR="00980E5F" w:rsidRDefault="00980E5F">
            <w:pPr>
              <w:rPr>
                <w:rFonts w:ascii="宋体"/>
                <w:vanish/>
              </w:rPr>
            </w:pPr>
          </w:p>
        </w:tc>
        <w:tc>
          <w:tcPr>
            <w:tcW w:w="0" w:type="auto"/>
            <w:gridSpan w:val="3"/>
            <w:shd w:val="clear" w:color="auto" w:fill="auto"/>
            <w:vAlign w:val="bottom"/>
          </w:tcPr>
          <w:p w14:paraId="392C0DFC" w14:textId="77777777" w:rsidR="00980E5F" w:rsidRDefault="00980E5F">
            <w:pPr>
              <w:rPr>
                <w:rFonts w:ascii="宋体"/>
                <w:vanish/>
              </w:rPr>
            </w:pPr>
          </w:p>
        </w:tc>
        <w:tc>
          <w:tcPr>
            <w:tcW w:w="0" w:type="auto"/>
            <w:shd w:val="clear" w:color="auto" w:fill="auto"/>
            <w:vAlign w:val="bottom"/>
          </w:tcPr>
          <w:p w14:paraId="392C0DFD" w14:textId="77777777" w:rsidR="00980E5F" w:rsidRDefault="00980E5F">
            <w:pPr>
              <w:rPr>
                <w:rFonts w:ascii="宋体"/>
                <w:vanish/>
              </w:rPr>
            </w:pPr>
          </w:p>
        </w:tc>
        <w:tc>
          <w:tcPr>
            <w:tcW w:w="0" w:type="auto"/>
            <w:shd w:val="clear" w:color="auto" w:fill="auto"/>
            <w:vAlign w:val="bottom"/>
          </w:tcPr>
          <w:p w14:paraId="392C0DFE" w14:textId="77777777" w:rsidR="00980E5F" w:rsidRDefault="00980E5F">
            <w:pPr>
              <w:rPr>
                <w:rFonts w:ascii="宋体"/>
                <w:vanish/>
              </w:rPr>
            </w:pPr>
          </w:p>
        </w:tc>
        <w:tc>
          <w:tcPr>
            <w:tcW w:w="0" w:type="auto"/>
            <w:gridSpan w:val="3"/>
            <w:shd w:val="clear" w:color="auto" w:fill="auto"/>
            <w:vAlign w:val="bottom"/>
          </w:tcPr>
          <w:p w14:paraId="392C0DFF" w14:textId="77777777" w:rsidR="00980E5F" w:rsidRDefault="00980E5F">
            <w:pPr>
              <w:rPr>
                <w:rFonts w:ascii="宋体"/>
                <w:vanish/>
              </w:rPr>
            </w:pPr>
          </w:p>
        </w:tc>
        <w:tc>
          <w:tcPr>
            <w:tcW w:w="0" w:type="auto"/>
            <w:gridSpan w:val="3"/>
            <w:shd w:val="clear" w:color="auto" w:fill="auto"/>
            <w:vAlign w:val="bottom"/>
          </w:tcPr>
          <w:p w14:paraId="392C0E00" w14:textId="77777777" w:rsidR="00980E5F" w:rsidRDefault="00980E5F">
            <w:pPr>
              <w:rPr>
                <w:rFonts w:ascii="宋体"/>
                <w:vanish/>
              </w:rPr>
            </w:pPr>
          </w:p>
        </w:tc>
      </w:tr>
      <w:tr w:rsidR="00980E5F" w14:paraId="392C0E0A" w14:textId="77777777">
        <w:trPr>
          <w:hidden/>
        </w:trPr>
        <w:tc>
          <w:tcPr>
            <w:tcW w:w="0" w:type="auto"/>
            <w:gridSpan w:val="3"/>
            <w:shd w:val="clear" w:color="auto" w:fill="auto"/>
            <w:vAlign w:val="bottom"/>
          </w:tcPr>
          <w:p w14:paraId="392C0E02" w14:textId="77777777" w:rsidR="00980E5F" w:rsidRDefault="00980E5F">
            <w:pPr>
              <w:rPr>
                <w:rFonts w:ascii="宋体"/>
                <w:vanish/>
              </w:rPr>
            </w:pPr>
          </w:p>
        </w:tc>
        <w:tc>
          <w:tcPr>
            <w:tcW w:w="0" w:type="auto"/>
            <w:gridSpan w:val="3"/>
            <w:shd w:val="clear" w:color="auto" w:fill="auto"/>
            <w:vAlign w:val="bottom"/>
          </w:tcPr>
          <w:p w14:paraId="392C0E03" w14:textId="77777777" w:rsidR="00980E5F" w:rsidRDefault="00980E5F">
            <w:pPr>
              <w:rPr>
                <w:rFonts w:ascii="宋体"/>
                <w:vanish/>
              </w:rPr>
            </w:pPr>
          </w:p>
        </w:tc>
        <w:tc>
          <w:tcPr>
            <w:tcW w:w="0" w:type="auto"/>
            <w:gridSpan w:val="3"/>
            <w:shd w:val="clear" w:color="auto" w:fill="auto"/>
            <w:vAlign w:val="bottom"/>
          </w:tcPr>
          <w:p w14:paraId="392C0E04" w14:textId="77777777" w:rsidR="00980E5F" w:rsidRDefault="00980E5F">
            <w:pPr>
              <w:rPr>
                <w:rFonts w:ascii="宋体"/>
                <w:vanish/>
              </w:rPr>
            </w:pPr>
          </w:p>
        </w:tc>
        <w:tc>
          <w:tcPr>
            <w:tcW w:w="0" w:type="auto"/>
            <w:gridSpan w:val="3"/>
            <w:shd w:val="clear" w:color="auto" w:fill="auto"/>
            <w:vAlign w:val="bottom"/>
          </w:tcPr>
          <w:p w14:paraId="392C0E05" w14:textId="77777777" w:rsidR="00980E5F" w:rsidRDefault="00980E5F">
            <w:pPr>
              <w:rPr>
                <w:rFonts w:ascii="宋体"/>
                <w:vanish/>
              </w:rPr>
            </w:pPr>
          </w:p>
        </w:tc>
        <w:tc>
          <w:tcPr>
            <w:tcW w:w="0" w:type="auto"/>
            <w:shd w:val="clear" w:color="auto" w:fill="auto"/>
            <w:vAlign w:val="bottom"/>
          </w:tcPr>
          <w:p w14:paraId="392C0E06" w14:textId="77777777" w:rsidR="00980E5F" w:rsidRDefault="00980E5F">
            <w:pPr>
              <w:rPr>
                <w:rFonts w:ascii="宋体"/>
                <w:vanish/>
              </w:rPr>
            </w:pPr>
          </w:p>
        </w:tc>
        <w:tc>
          <w:tcPr>
            <w:tcW w:w="0" w:type="auto"/>
            <w:shd w:val="clear" w:color="auto" w:fill="auto"/>
            <w:vAlign w:val="bottom"/>
          </w:tcPr>
          <w:p w14:paraId="392C0E07" w14:textId="77777777" w:rsidR="00980E5F" w:rsidRDefault="00980E5F">
            <w:pPr>
              <w:rPr>
                <w:rFonts w:ascii="宋体"/>
                <w:vanish/>
              </w:rPr>
            </w:pPr>
          </w:p>
        </w:tc>
        <w:tc>
          <w:tcPr>
            <w:tcW w:w="0" w:type="auto"/>
            <w:gridSpan w:val="3"/>
            <w:shd w:val="clear" w:color="auto" w:fill="auto"/>
            <w:vAlign w:val="bottom"/>
          </w:tcPr>
          <w:p w14:paraId="392C0E08" w14:textId="77777777" w:rsidR="00980E5F" w:rsidRDefault="00980E5F">
            <w:pPr>
              <w:rPr>
                <w:rFonts w:ascii="宋体"/>
                <w:vanish/>
              </w:rPr>
            </w:pPr>
          </w:p>
        </w:tc>
        <w:tc>
          <w:tcPr>
            <w:tcW w:w="0" w:type="auto"/>
            <w:gridSpan w:val="3"/>
            <w:shd w:val="clear" w:color="auto" w:fill="auto"/>
            <w:vAlign w:val="bottom"/>
          </w:tcPr>
          <w:p w14:paraId="392C0E09" w14:textId="77777777" w:rsidR="00980E5F" w:rsidRDefault="00980E5F">
            <w:pPr>
              <w:rPr>
                <w:rFonts w:ascii="宋体"/>
                <w:vanish/>
              </w:rPr>
            </w:pPr>
          </w:p>
        </w:tc>
      </w:tr>
      <w:tr w:rsidR="00980E5F" w14:paraId="392C0E13" w14:textId="77777777">
        <w:trPr>
          <w:hidden/>
        </w:trPr>
        <w:tc>
          <w:tcPr>
            <w:tcW w:w="0" w:type="auto"/>
            <w:gridSpan w:val="3"/>
            <w:shd w:val="clear" w:color="auto" w:fill="auto"/>
            <w:vAlign w:val="bottom"/>
          </w:tcPr>
          <w:p w14:paraId="392C0E0B" w14:textId="77777777" w:rsidR="00980E5F" w:rsidRDefault="00980E5F">
            <w:pPr>
              <w:rPr>
                <w:rFonts w:ascii="宋体"/>
                <w:vanish/>
              </w:rPr>
            </w:pPr>
          </w:p>
        </w:tc>
        <w:tc>
          <w:tcPr>
            <w:tcW w:w="0" w:type="auto"/>
            <w:gridSpan w:val="3"/>
            <w:shd w:val="clear" w:color="auto" w:fill="auto"/>
            <w:vAlign w:val="bottom"/>
          </w:tcPr>
          <w:p w14:paraId="392C0E0C" w14:textId="77777777" w:rsidR="00980E5F" w:rsidRDefault="00980E5F">
            <w:pPr>
              <w:rPr>
                <w:rFonts w:ascii="宋体"/>
                <w:vanish/>
              </w:rPr>
            </w:pPr>
          </w:p>
        </w:tc>
        <w:tc>
          <w:tcPr>
            <w:tcW w:w="0" w:type="auto"/>
            <w:gridSpan w:val="3"/>
            <w:shd w:val="clear" w:color="auto" w:fill="auto"/>
            <w:vAlign w:val="bottom"/>
          </w:tcPr>
          <w:p w14:paraId="392C0E0D" w14:textId="77777777" w:rsidR="00980E5F" w:rsidRDefault="00980E5F">
            <w:pPr>
              <w:rPr>
                <w:rFonts w:ascii="宋体"/>
                <w:vanish/>
              </w:rPr>
            </w:pPr>
          </w:p>
        </w:tc>
        <w:tc>
          <w:tcPr>
            <w:tcW w:w="0" w:type="auto"/>
            <w:gridSpan w:val="3"/>
            <w:shd w:val="clear" w:color="auto" w:fill="auto"/>
            <w:vAlign w:val="bottom"/>
          </w:tcPr>
          <w:p w14:paraId="392C0E0E" w14:textId="77777777" w:rsidR="00980E5F" w:rsidRDefault="00980E5F">
            <w:pPr>
              <w:rPr>
                <w:rFonts w:ascii="宋体"/>
                <w:vanish/>
              </w:rPr>
            </w:pPr>
          </w:p>
        </w:tc>
        <w:tc>
          <w:tcPr>
            <w:tcW w:w="0" w:type="auto"/>
            <w:shd w:val="clear" w:color="auto" w:fill="auto"/>
            <w:vAlign w:val="bottom"/>
          </w:tcPr>
          <w:p w14:paraId="392C0E0F" w14:textId="77777777" w:rsidR="00980E5F" w:rsidRDefault="00980E5F">
            <w:pPr>
              <w:rPr>
                <w:rFonts w:ascii="宋体"/>
                <w:vanish/>
              </w:rPr>
            </w:pPr>
          </w:p>
        </w:tc>
        <w:tc>
          <w:tcPr>
            <w:tcW w:w="0" w:type="auto"/>
            <w:shd w:val="clear" w:color="auto" w:fill="auto"/>
            <w:vAlign w:val="bottom"/>
          </w:tcPr>
          <w:p w14:paraId="392C0E10" w14:textId="77777777" w:rsidR="00980E5F" w:rsidRDefault="00980E5F">
            <w:pPr>
              <w:rPr>
                <w:rFonts w:ascii="宋体"/>
                <w:vanish/>
              </w:rPr>
            </w:pPr>
          </w:p>
        </w:tc>
        <w:tc>
          <w:tcPr>
            <w:tcW w:w="0" w:type="auto"/>
            <w:gridSpan w:val="3"/>
            <w:shd w:val="clear" w:color="auto" w:fill="auto"/>
            <w:vAlign w:val="bottom"/>
          </w:tcPr>
          <w:p w14:paraId="392C0E11" w14:textId="77777777" w:rsidR="00980E5F" w:rsidRDefault="00980E5F">
            <w:pPr>
              <w:rPr>
                <w:rFonts w:ascii="宋体"/>
                <w:vanish/>
              </w:rPr>
            </w:pPr>
          </w:p>
        </w:tc>
        <w:tc>
          <w:tcPr>
            <w:tcW w:w="0" w:type="auto"/>
            <w:gridSpan w:val="3"/>
            <w:shd w:val="clear" w:color="auto" w:fill="auto"/>
            <w:vAlign w:val="bottom"/>
          </w:tcPr>
          <w:p w14:paraId="392C0E12" w14:textId="77777777" w:rsidR="00980E5F" w:rsidRDefault="00980E5F">
            <w:pPr>
              <w:rPr>
                <w:rFonts w:ascii="宋体"/>
                <w:vanish/>
              </w:rPr>
            </w:pPr>
          </w:p>
        </w:tc>
      </w:tr>
      <w:tr w:rsidR="00980E5F" w14:paraId="392C0E1C" w14:textId="77777777">
        <w:trPr>
          <w:hidden/>
        </w:trPr>
        <w:tc>
          <w:tcPr>
            <w:tcW w:w="0" w:type="auto"/>
            <w:gridSpan w:val="3"/>
            <w:shd w:val="clear" w:color="auto" w:fill="auto"/>
            <w:vAlign w:val="bottom"/>
          </w:tcPr>
          <w:p w14:paraId="392C0E14" w14:textId="77777777" w:rsidR="00980E5F" w:rsidRDefault="00980E5F">
            <w:pPr>
              <w:rPr>
                <w:rFonts w:ascii="宋体"/>
                <w:vanish/>
              </w:rPr>
            </w:pPr>
          </w:p>
        </w:tc>
        <w:tc>
          <w:tcPr>
            <w:tcW w:w="0" w:type="auto"/>
            <w:gridSpan w:val="3"/>
            <w:shd w:val="clear" w:color="auto" w:fill="auto"/>
            <w:vAlign w:val="bottom"/>
          </w:tcPr>
          <w:p w14:paraId="392C0E15" w14:textId="77777777" w:rsidR="00980E5F" w:rsidRDefault="00980E5F">
            <w:pPr>
              <w:rPr>
                <w:rFonts w:ascii="宋体"/>
                <w:vanish/>
              </w:rPr>
            </w:pPr>
          </w:p>
        </w:tc>
        <w:tc>
          <w:tcPr>
            <w:tcW w:w="0" w:type="auto"/>
            <w:gridSpan w:val="3"/>
            <w:shd w:val="clear" w:color="auto" w:fill="auto"/>
            <w:vAlign w:val="bottom"/>
          </w:tcPr>
          <w:p w14:paraId="392C0E16" w14:textId="77777777" w:rsidR="00980E5F" w:rsidRDefault="00980E5F">
            <w:pPr>
              <w:rPr>
                <w:rFonts w:ascii="宋体"/>
                <w:vanish/>
              </w:rPr>
            </w:pPr>
          </w:p>
        </w:tc>
        <w:tc>
          <w:tcPr>
            <w:tcW w:w="0" w:type="auto"/>
            <w:gridSpan w:val="3"/>
            <w:shd w:val="clear" w:color="auto" w:fill="auto"/>
            <w:vAlign w:val="bottom"/>
          </w:tcPr>
          <w:p w14:paraId="392C0E17" w14:textId="77777777" w:rsidR="00980E5F" w:rsidRDefault="00980E5F">
            <w:pPr>
              <w:rPr>
                <w:rFonts w:ascii="宋体"/>
                <w:vanish/>
              </w:rPr>
            </w:pPr>
          </w:p>
        </w:tc>
        <w:tc>
          <w:tcPr>
            <w:tcW w:w="0" w:type="auto"/>
            <w:shd w:val="clear" w:color="auto" w:fill="auto"/>
            <w:vAlign w:val="bottom"/>
          </w:tcPr>
          <w:p w14:paraId="392C0E18" w14:textId="77777777" w:rsidR="00980E5F" w:rsidRDefault="00980E5F">
            <w:pPr>
              <w:rPr>
                <w:rFonts w:ascii="宋体"/>
                <w:vanish/>
              </w:rPr>
            </w:pPr>
          </w:p>
        </w:tc>
        <w:tc>
          <w:tcPr>
            <w:tcW w:w="0" w:type="auto"/>
            <w:shd w:val="clear" w:color="auto" w:fill="auto"/>
            <w:vAlign w:val="bottom"/>
          </w:tcPr>
          <w:p w14:paraId="392C0E19" w14:textId="77777777" w:rsidR="00980E5F" w:rsidRDefault="00980E5F">
            <w:pPr>
              <w:rPr>
                <w:rFonts w:ascii="宋体"/>
                <w:vanish/>
              </w:rPr>
            </w:pPr>
          </w:p>
        </w:tc>
        <w:tc>
          <w:tcPr>
            <w:tcW w:w="0" w:type="auto"/>
            <w:gridSpan w:val="3"/>
            <w:shd w:val="clear" w:color="auto" w:fill="auto"/>
            <w:vAlign w:val="bottom"/>
          </w:tcPr>
          <w:p w14:paraId="392C0E1A" w14:textId="77777777" w:rsidR="00980E5F" w:rsidRDefault="00980E5F">
            <w:pPr>
              <w:rPr>
                <w:rFonts w:ascii="宋体"/>
                <w:vanish/>
              </w:rPr>
            </w:pPr>
          </w:p>
        </w:tc>
        <w:tc>
          <w:tcPr>
            <w:tcW w:w="0" w:type="auto"/>
            <w:gridSpan w:val="3"/>
            <w:shd w:val="clear" w:color="auto" w:fill="auto"/>
            <w:vAlign w:val="bottom"/>
          </w:tcPr>
          <w:p w14:paraId="392C0E1B" w14:textId="77777777" w:rsidR="00980E5F" w:rsidRDefault="00980E5F">
            <w:pPr>
              <w:rPr>
                <w:rFonts w:ascii="宋体"/>
                <w:vanish/>
              </w:rPr>
            </w:pPr>
          </w:p>
        </w:tc>
      </w:tr>
      <w:tr w:rsidR="00980E5F" w14:paraId="392C0E25" w14:textId="77777777">
        <w:trPr>
          <w:hidden/>
        </w:trPr>
        <w:tc>
          <w:tcPr>
            <w:tcW w:w="0" w:type="auto"/>
            <w:gridSpan w:val="3"/>
            <w:shd w:val="clear" w:color="auto" w:fill="auto"/>
            <w:vAlign w:val="bottom"/>
          </w:tcPr>
          <w:p w14:paraId="392C0E1D" w14:textId="77777777" w:rsidR="00980E5F" w:rsidRDefault="00980E5F">
            <w:pPr>
              <w:rPr>
                <w:rFonts w:ascii="宋体"/>
                <w:vanish/>
              </w:rPr>
            </w:pPr>
          </w:p>
        </w:tc>
        <w:tc>
          <w:tcPr>
            <w:tcW w:w="0" w:type="auto"/>
            <w:gridSpan w:val="3"/>
            <w:shd w:val="clear" w:color="auto" w:fill="auto"/>
            <w:vAlign w:val="bottom"/>
          </w:tcPr>
          <w:p w14:paraId="392C0E1E" w14:textId="77777777" w:rsidR="00980E5F" w:rsidRDefault="00980E5F">
            <w:pPr>
              <w:rPr>
                <w:rFonts w:ascii="宋体"/>
                <w:vanish/>
              </w:rPr>
            </w:pPr>
          </w:p>
        </w:tc>
        <w:tc>
          <w:tcPr>
            <w:tcW w:w="0" w:type="auto"/>
            <w:gridSpan w:val="3"/>
            <w:shd w:val="clear" w:color="auto" w:fill="auto"/>
            <w:vAlign w:val="bottom"/>
          </w:tcPr>
          <w:p w14:paraId="392C0E1F" w14:textId="77777777" w:rsidR="00980E5F" w:rsidRDefault="00980E5F">
            <w:pPr>
              <w:rPr>
                <w:rFonts w:ascii="宋体"/>
                <w:vanish/>
              </w:rPr>
            </w:pPr>
          </w:p>
        </w:tc>
        <w:tc>
          <w:tcPr>
            <w:tcW w:w="0" w:type="auto"/>
            <w:gridSpan w:val="3"/>
            <w:shd w:val="clear" w:color="auto" w:fill="auto"/>
            <w:vAlign w:val="bottom"/>
          </w:tcPr>
          <w:p w14:paraId="392C0E20" w14:textId="77777777" w:rsidR="00980E5F" w:rsidRDefault="00980E5F">
            <w:pPr>
              <w:rPr>
                <w:rFonts w:ascii="宋体"/>
                <w:vanish/>
              </w:rPr>
            </w:pPr>
          </w:p>
        </w:tc>
        <w:tc>
          <w:tcPr>
            <w:tcW w:w="0" w:type="auto"/>
            <w:shd w:val="clear" w:color="auto" w:fill="auto"/>
            <w:vAlign w:val="bottom"/>
          </w:tcPr>
          <w:p w14:paraId="392C0E21" w14:textId="77777777" w:rsidR="00980E5F" w:rsidRDefault="00980E5F">
            <w:pPr>
              <w:rPr>
                <w:rFonts w:ascii="宋体"/>
                <w:vanish/>
              </w:rPr>
            </w:pPr>
          </w:p>
        </w:tc>
        <w:tc>
          <w:tcPr>
            <w:tcW w:w="0" w:type="auto"/>
            <w:shd w:val="clear" w:color="auto" w:fill="auto"/>
            <w:vAlign w:val="bottom"/>
          </w:tcPr>
          <w:p w14:paraId="392C0E22" w14:textId="77777777" w:rsidR="00980E5F" w:rsidRDefault="00980E5F">
            <w:pPr>
              <w:rPr>
                <w:rFonts w:ascii="宋体"/>
                <w:vanish/>
              </w:rPr>
            </w:pPr>
          </w:p>
        </w:tc>
        <w:tc>
          <w:tcPr>
            <w:tcW w:w="0" w:type="auto"/>
            <w:gridSpan w:val="3"/>
            <w:shd w:val="clear" w:color="auto" w:fill="auto"/>
            <w:vAlign w:val="bottom"/>
          </w:tcPr>
          <w:p w14:paraId="392C0E23" w14:textId="77777777" w:rsidR="00980E5F" w:rsidRDefault="00980E5F">
            <w:pPr>
              <w:rPr>
                <w:rFonts w:ascii="宋体"/>
                <w:vanish/>
              </w:rPr>
            </w:pPr>
          </w:p>
        </w:tc>
        <w:tc>
          <w:tcPr>
            <w:tcW w:w="0" w:type="auto"/>
            <w:gridSpan w:val="3"/>
            <w:shd w:val="clear" w:color="auto" w:fill="auto"/>
            <w:vAlign w:val="bottom"/>
          </w:tcPr>
          <w:p w14:paraId="392C0E24" w14:textId="77777777" w:rsidR="00980E5F" w:rsidRDefault="00980E5F">
            <w:pPr>
              <w:rPr>
                <w:rFonts w:ascii="宋体"/>
                <w:vanish/>
              </w:rPr>
            </w:pPr>
          </w:p>
        </w:tc>
      </w:tr>
      <w:tr w:rsidR="00980E5F" w14:paraId="392C0E2E" w14:textId="77777777">
        <w:trPr>
          <w:hidden/>
        </w:trPr>
        <w:tc>
          <w:tcPr>
            <w:tcW w:w="0" w:type="auto"/>
            <w:gridSpan w:val="3"/>
            <w:shd w:val="clear" w:color="auto" w:fill="auto"/>
            <w:vAlign w:val="bottom"/>
          </w:tcPr>
          <w:p w14:paraId="392C0E26" w14:textId="77777777" w:rsidR="00980E5F" w:rsidRDefault="00980E5F">
            <w:pPr>
              <w:rPr>
                <w:rFonts w:ascii="宋体"/>
                <w:vanish/>
              </w:rPr>
            </w:pPr>
          </w:p>
        </w:tc>
        <w:tc>
          <w:tcPr>
            <w:tcW w:w="0" w:type="auto"/>
            <w:gridSpan w:val="3"/>
            <w:shd w:val="clear" w:color="auto" w:fill="auto"/>
            <w:vAlign w:val="bottom"/>
          </w:tcPr>
          <w:p w14:paraId="392C0E27" w14:textId="77777777" w:rsidR="00980E5F" w:rsidRDefault="00980E5F">
            <w:pPr>
              <w:rPr>
                <w:rFonts w:ascii="宋体"/>
                <w:vanish/>
              </w:rPr>
            </w:pPr>
          </w:p>
        </w:tc>
        <w:tc>
          <w:tcPr>
            <w:tcW w:w="0" w:type="auto"/>
            <w:gridSpan w:val="3"/>
            <w:shd w:val="clear" w:color="auto" w:fill="auto"/>
            <w:vAlign w:val="bottom"/>
          </w:tcPr>
          <w:p w14:paraId="392C0E28" w14:textId="77777777" w:rsidR="00980E5F" w:rsidRDefault="00980E5F">
            <w:pPr>
              <w:rPr>
                <w:rFonts w:ascii="宋体"/>
                <w:vanish/>
              </w:rPr>
            </w:pPr>
          </w:p>
        </w:tc>
        <w:tc>
          <w:tcPr>
            <w:tcW w:w="0" w:type="auto"/>
            <w:gridSpan w:val="3"/>
            <w:shd w:val="clear" w:color="auto" w:fill="auto"/>
            <w:vAlign w:val="bottom"/>
          </w:tcPr>
          <w:p w14:paraId="392C0E29" w14:textId="77777777" w:rsidR="00980E5F" w:rsidRDefault="00980E5F">
            <w:pPr>
              <w:rPr>
                <w:rFonts w:ascii="宋体"/>
                <w:vanish/>
              </w:rPr>
            </w:pPr>
          </w:p>
        </w:tc>
        <w:tc>
          <w:tcPr>
            <w:tcW w:w="0" w:type="auto"/>
            <w:shd w:val="clear" w:color="auto" w:fill="auto"/>
            <w:vAlign w:val="bottom"/>
          </w:tcPr>
          <w:p w14:paraId="392C0E2A" w14:textId="77777777" w:rsidR="00980E5F" w:rsidRDefault="00980E5F">
            <w:pPr>
              <w:rPr>
                <w:rFonts w:ascii="宋体"/>
                <w:vanish/>
              </w:rPr>
            </w:pPr>
          </w:p>
        </w:tc>
        <w:tc>
          <w:tcPr>
            <w:tcW w:w="0" w:type="auto"/>
            <w:shd w:val="clear" w:color="auto" w:fill="auto"/>
            <w:vAlign w:val="bottom"/>
          </w:tcPr>
          <w:p w14:paraId="392C0E2B" w14:textId="77777777" w:rsidR="00980E5F" w:rsidRDefault="00980E5F">
            <w:pPr>
              <w:rPr>
                <w:rFonts w:ascii="宋体"/>
                <w:vanish/>
              </w:rPr>
            </w:pPr>
          </w:p>
        </w:tc>
        <w:tc>
          <w:tcPr>
            <w:tcW w:w="0" w:type="auto"/>
            <w:gridSpan w:val="3"/>
            <w:shd w:val="clear" w:color="auto" w:fill="auto"/>
            <w:vAlign w:val="bottom"/>
          </w:tcPr>
          <w:p w14:paraId="392C0E2C" w14:textId="77777777" w:rsidR="00980E5F" w:rsidRDefault="00980E5F">
            <w:pPr>
              <w:rPr>
                <w:rFonts w:ascii="宋体"/>
                <w:vanish/>
              </w:rPr>
            </w:pPr>
          </w:p>
        </w:tc>
        <w:tc>
          <w:tcPr>
            <w:tcW w:w="0" w:type="auto"/>
            <w:gridSpan w:val="3"/>
            <w:shd w:val="clear" w:color="auto" w:fill="auto"/>
            <w:vAlign w:val="bottom"/>
          </w:tcPr>
          <w:p w14:paraId="392C0E2D" w14:textId="77777777" w:rsidR="00980E5F" w:rsidRDefault="00980E5F">
            <w:pPr>
              <w:rPr>
                <w:rFonts w:ascii="宋体"/>
                <w:vanish/>
              </w:rPr>
            </w:pPr>
          </w:p>
        </w:tc>
      </w:tr>
      <w:tr w:rsidR="00980E5F" w14:paraId="392C0E37" w14:textId="77777777">
        <w:trPr>
          <w:hidden/>
        </w:trPr>
        <w:tc>
          <w:tcPr>
            <w:tcW w:w="0" w:type="auto"/>
            <w:gridSpan w:val="3"/>
            <w:shd w:val="clear" w:color="auto" w:fill="auto"/>
            <w:vAlign w:val="bottom"/>
          </w:tcPr>
          <w:p w14:paraId="392C0E2F" w14:textId="77777777" w:rsidR="00980E5F" w:rsidRDefault="00980E5F">
            <w:pPr>
              <w:rPr>
                <w:rFonts w:ascii="宋体"/>
                <w:vanish/>
              </w:rPr>
            </w:pPr>
          </w:p>
        </w:tc>
        <w:tc>
          <w:tcPr>
            <w:tcW w:w="0" w:type="auto"/>
            <w:gridSpan w:val="3"/>
            <w:shd w:val="clear" w:color="auto" w:fill="auto"/>
            <w:vAlign w:val="bottom"/>
          </w:tcPr>
          <w:p w14:paraId="392C0E30" w14:textId="77777777" w:rsidR="00980E5F" w:rsidRDefault="00980E5F">
            <w:pPr>
              <w:rPr>
                <w:rFonts w:ascii="宋体"/>
                <w:vanish/>
              </w:rPr>
            </w:pPr>
          </w:p>
        </w:tc>
        <w:tc>
          <w:tcPr>
            <w:tcW w:w="0" w:type="auto"/>
            <w:gridSpan w:val="3"/>
            <w:shd w:val="clear" w:color="auto" w:fill="auto"/>
            <w:vAlign w:val="bottom"/>
          </w:tcPr>
          <w:p w14:paraId="392C0E31" w14:textId="77777777" w:rsidR="00980E5F" w:rsidRDefault="00980E5F">
            <w:pPr>
              <w:rPr>
                <w:rFonts w:ascii="宋体"/>
                <w:vanish/>
              </w:rPr>
            </w:pPr>
          </w:p>
        </w:tc>
        <w:tc>
          <w:tcPr>
            <w:tcW w:w="0" w:type="auto"/>
            <w:gridSpan w:val="3"/>
            <w:shd w:val="clear" w:color="auto" w:fill="auto"/>
            <w:vAlign w:val="bottom"/>
          </w:tcPr>
          <w:p w14:paraId="392C0E32" w14:textId="77777777" w:rsidR="00980E5F" w:rsidRDefault="00980E5F">
            <w:pPr>
              <w:rPr>
                <w:rFonts w:ascii="宋体"/>
                <w:vanish/>
              </w:rPr>
            </w:pPr>
          </w:p>
        </w:tc>
        <w:tc>
          <w:tcPr>
            <w:tcW w:w="0" w:type="auto"/>
            <w:shd w:val="clear" w:color="auto" w:fill="auto"/>
            <w:vAlign w:val="bottom"/>
          </w:tcPr>
          <w:p w14:paraId="392C0E33" w14:textId="77777777" w:rsidR="00980E5F" w:rsidRDefault="00980E5F">
            <w:pPr>
              <w:rPr>
                <w:rFonts w:ascii="宋体"/>
                <w:vanish/>
              </w:rPr>
            </w:pPr>
          </w:p>
        </w:tc>
        <w:tc>
          <w:tcPr>
            <w:tcW w:w="0" w:type="auto"/>
            <w:shd w:val="clear" w:color="auto" w:fill="auto"/>
            <w:vAlign w:val="bottom"/>
          </w:tcPr>
          <w:p w14:paraId="392C0E34" w14:textId="77777777" w:rsidR="00980E5F" w:rsidRDefault="00980E5F">
            <w:pPr>
              <w:rPr>
                <w:rFonts w:ascii="宋体"/>
                <w:vanish/>
              </w:rPr>
            </w:pPr>
          </w:p>
        </w:tc>
        <w:tc>
          <w:tcPr>
            <w:tcW w:w="0" w:type="auto"/>
            <w:gridSpan w:val="3"/>
            <w:shd w:val="clear" w:color="auto" w:fill="auto"/>
            <w:vAlign w:val="bottom"/>
          </w:tcPr>
          <w:p w14:paraId="392C0E35" w14:textId="77777777" w:rsidR="00980E5F" w:rsidRDefault="00980E5F">
            <w:pPr>
              <w:rPr>
                <w:rFonts w:ascii="宋体"/>
                <w:vanish/>
              </w:rPr>
            </w:pPr>
          </w:p>
        </w:tc>
        <w:tc>
          <w:tcPr>
            <w:tcW w:w="0" w:type="auto"/>
            <w:gridSpan w:val="3"/>
            <w:shd w:val="clear" w:color="auto" w:fill="auto"/>
            <w:vAlign w:val="bottom"/>
          </w:tcPr>
          <w:p w14:paraId="392C0E36" w14:textId="77777777" w:rsidR="00980E5F" w:rsidRDefault="00980E5F">
            <w:pPr>
              <w:rPr>
                <w:rFonts w:ascii="宋体"/>
                <w:vanish/>
              </w:rPr>
            </w:pPr>
          </w:p>
        </w:tc>
      </w:tr>
      <w:tr w:rsidR="00980E5F" w14:paraId="392C0E40" w14:textId="77777777">
        <w:trPr>
          <w:hidden/>
        </w:trPr>
        <w:tc>
          <w:tcPr>
            <w:tcW w:w="0" w:type="auto"/>
            <w:gridSpan w:val="3"/>
            <w:shd w:val="clear" w:color="auto" w:fill="auto"/>
            <w:vAlign w:val="bottom"/>
          </w:tcPr>
          <w:p w14:paraId="392C0E38" w14:textId="77777777" w:rsidR="00980E5F" w:rsidRDefault="00980E5F">
            <w:pPr>
              <w:rPr>
                <w:rFonts w:ascii="宋体"/>
                <w:vanish/>
              </w:rPr>
            </w:pPr>
          </w:p>
        </w:tc>
        <w:tc>
          <w:tcPr>
            <w:tcW w:w="0" w:type="auto"/>
            <w:gridSpan w:val="3"/>
            <w:shd w:val="clear" w:color="auto" w:fill="auto"/>
            <w:vAlign w:val="bottom"/>
          </w:tcPr>
          <w:p w14:paraId="392C0E39" w14:textId="77777777" w:rsidR="00980E5F" w:rsidRDefault="00980E5F">
            <w:pPr>
              <w:rPr>
                <w:rFonts w:ascii="宋体"/>
                <w:vanish/>
              </w:rPr>
            </w:pPr>
          </w:p>
        </w:tc>
        <w:tc>
          <w:tcPr>
            <w:tcW w:w="0" w:type="auto"/>
            <w:gridSpan w:val="3"/>
            <w:shd w:val="clear" w:color="auto" w:fill="auto"/>
            <w:vAlign w:val="bottom"/>
          </w:tcPr>
          <w:p w14:paraId="392C0E3A" w14:textId="77777777" w:rsidR="00980E5F" w:rsidRDefault="00980E5F">
            <w:pPr>
              <w:rPr>
                <w:rFonts w:ascii="宋体"/>
                <w:vanish/>
              </w:rPr>
            </w:pPr>
          </w:p>
        </w:tc>
        <w:tc>
          <w:tcPr>
            <w:tcW w:w="0" w:type="auto"/>
            <w:gridSpan w:val="3"/>
            <w:shd w:val="clear" w:color="auto" w:fill="auto"/>
            <w:vAlign w:val="bottom"/>
          </w:tcPr>
          <w:p w14:paraId="392C0E3B" w14:textId="77777777" w:rsidR="00980E5F" w:rsidRDefault="00980E5F">
            <w:pPr>
              <w:rPr>
                <w:rFonts w:ascii="宋体"/>
                <w:vanish/>
              </w:rPr>
            </w:pPr>
          </w:p>
        </w:tc>
        <w:tc>
          <w:tcPr>
            <w:tcW w:w="0" w:type="auto"/>
            <w:shd w:val="clear" w:color="auto" w:fill="auto"/>
            <w:vAlign w:val="bottom"/>
          </w:tcPr>
          <w:p w14:paraId="392C0E3C" w14:textId="77777777" w:rsidR="00980E5F" w:rsidRDefault="00980E5F">
            <w:pPr>
              <w:rPr>
                <w:rFonts w:ascii="宋体"/>
                <w:vanish/>
              </w:rPr>
            </w:pPr>
          </w:p>
        </w:tc>
        <w:tc>
          <w:tcPr>
            <w:tcW w:w="0" w:type="auto"/>
            <w:shd w:val="clear" w:color="auto" w:fill="auto"/>
            <w:vAlign w:val="bottom"/>
          </w:tcPr>
          <w:p w14:paraId="392C0E3D" w14:textId="77777777" w:rsidR="00980E5F" w:rsidRDefault="00980E5F">
            <w:pPr>
              <w:rPr>
                <w:rFonts w:ascii="宋体"/>
                <w:vanish/>
              </w:rPr>
            </w:pPr>
          </w:p>
        </w:tc>
        <w:tc>
          <w:tcPr>
            <w:tcW w:w="0" w:type="auto"/>
            <w:gridSpan w:val="3"/>
            <w:shd w:val="clear" w:color="auto" w:fill="auto"/>
            <w:vAlign w:val="bottom"/>
          </w:tcPr>
          <w:p w14:paraId="392C0E3E" w14:textId="77777777" w:rsidR="00980E5F" w:rsidRDefault="00980E5F">
            <w:pPr>
              <w:rPr>
                <w:rFonts w:ascii="宋体"/>
                <w:vanish/>
              </w:rPr>
            </w:pPr>
          </w:p>
        </w:tc>
        <w:tc>
          <w:tcPr>
            <w:tcW w:w="0" w:type="auto"/>
            <w:gridSpan w:val="3"/>
            <w:shd w:val="clear" w:color="auto" w:fill="auto"/>
            <w:vAlign w:val="bottom"/>
          </w:tcPr>
          <w:p w14:paraId="392C0E3F" w14:textId="77777777" w:rsidR="00980E5F" w:rsidRDefault="00980E5F">
            <w:pPr>
              <w:rPr>
                <w:rFonts w:ascii="宋体"/>
                <w:vanish/>
              </w:rPr>
            </w:pPr>
          </w:p>
        </w:tc>
      </w:tr>
      <w:tr w:rsidR="00980E5F" w14:paraId="392C0E49" w14:textId="77777777">
        <w:trPr>
          <w:hidden/>
        </w:trPr>
        <w:tc>
          <w:tcPr>
            <w:tcW w:w="0" w:type="auto"/>
            <w:gridSpan w:val="3"/>
            <w:shd w:val="clear" w:color="auto" w:fill="auto"/>
            <w:vAlign w:val="bottom"/>
          </w:tcPr>
          <w:p w14:paraId="392C0E41" w14:textId="77777777" w:rsidR="00980E5F" w:rsidRDefault="00980E5F">
            <w:pPr>
              <w:rPr>
                <w:rFonts w:ascii="宋体"/>
                <w:vanish/>
              </w:rPr>
            </w:pPr>
          </w:p>
        </w:tc>
        <w:tc>
          <w:tcPr>
            <w:tcW w:w="0" w:type="auto"/>
            <w:gridSpan w:val="3"/>
            <w:shd w:val="clear" w:color="auto" w:fill="auto"/>
            <w:vAlign w:val="bottom"/>
          </w:tcPr>
          <w:p w14:paraId="392C0E42" w14:textId="77777777" w:rsidR="00980E5F" w:rsidRDefault="00980E5F">
            <w:pPr>
              <w:rPr>
                <w:rFonts w:ascii="宋体"/>
                <w:vanish/>
              </w:rPr>
            </w:pPr>
          </w:p>
        </w:tc>
        <w:tc>
          <w:tcPr>
            <w:tcW w:w="0" w:type="auto"/>
            <w:gridSpan w:val="3"/>
            <w:shd w:val="clear" w:color="auto" w:fill="auto"/>
            <w:vAlign w:val="bottom"/>
          </w:tcPr>
          <w:p w14:paraId="392C0E43" w14:textId="77777777" w:rsidR="00980E5F" w:rsidRDefault="00980E5F">
            <w:pPr>
              <w:rPr>
                <w:rFonts w:ascii="宋体"/>
                <w:vanish/>
              </w:rPr>
            </w:pPr>
          </w:p>
        </w:tc>
        <w:tc>
          <w:tcPr>
            <w:tcW w:w="0" w:type="auto"/>
            <w:gridSpan w:val="3"/>
            <w:shd w:val="clear" w:color="auto" w:fill="auto"/>
            <w:vAlign w:val="bottom"/>
          </w:tcPr>
          <w:p w14:paraId="392C0E44" w14:textId="77777777" w:rsidR="00980E5F" w:rsidRDefault="00980E5F">
            <w:pPr>
              <w:rPr>
                <w:rFonts w:ascii="宋体"/>
                <w:vanish/>
              </w:rPr>
            </w:pPr>
          </w:p>
        </w:tc>
        <w:tc>
          <w:tcPr>
            <w:tcW w:w="0" w:type="auto"/>
            <w:shd w:val="clear" w:color="auto" w:fill="auto"/>
            <w:vAlign w:val="bottom"/>
          </w:tcPr>
          <w:p w14:paraId="392C0E45" w14:textId="77777777" w:rsidR="00980E5F" w:rsidRDefault="00980E5F">
            <w:pPr>
              <w:rPr>
                <w:rFonts w:ascii="宋体"/>
                <w:vanish/>
              </w:rPr>
            </w:pPr>
          </w:p>
        </w:tc>
        <w:tc>
          <w:tcPr>
            <w:tcW w:w="0" w:type="auto"/>
            <w:shd w:val="clear" w:color="auto" w:fill="auto"/>
            <w:vAlign w:val="bottom"/>
          </w:tcPr>
          <w:p w14:paraId="392C0E46" w14:textId="77777777" w:rsidR="00980E5F" w:rsidRDefault="00980E5F">
            <w:pPr>
              <w:rPr>
                <w:rFonts w:ascii="宋体"/>
                <w:vanish/>
              </w:rPr>
            </w:pPr>
          </w:p>
        </w:tc>
        <w:tc>
          <w:tcPr>
            <w:tcW w:w="0" w:type="auto"/>
            <w:gridSpan w:val="3"/>
            <w:shd w:val="clear" w:color="auto" w:fill="auto"/>
            <w:vAlign w:val="bottom"/>
          </w:tcPr>
          <w:p w14:paraId="392C0E47" w14:textId="77777777" w:rsidR="00980E5F" w:rsidRDefault="00980E5F">
            <w:pPr>
              <w:rPr>
                <w:rFonts w:ascii="宋体"/>
                <w:vanish/>
              </w:rPr>
            </w:pPr>
          </w:p>
        </w:tc>
        <w:tc>
          <w:tcPr>
            <w:tcW w:w="0" w:type="auto"/>
            <w:gridSpan w:val="3"/>
            <w:shd w:val="clear" w:color="auto" w:fill="auto"/>
            <w:vAlign w:val="bottom"/>
          </w:tcPr>
          <w:p w14:paraId="392C0E48" w14:textId="77777777" w:rsidR="00980E5F" w:rsidRDefault="00980E5F">
            <w:pPr>
              <w:rPr>
                <w:rFonts w:ascii="宋体"/>
                <w:vanish/>
              </w:rPr>
            </w:pPr>
          </w:p>
        </w:tc>
      </w:tr>
      <w:tr w:rsidR="00980E5F" w14:paraId="392C0E4F" w14:textId="77777777">
        <w:tc>
          <w:tcPr>
            <w:tcW w:w="0" w:type="auto"/>
            <w:gridSpan w:val="12"/>
            <w:shd w:val="clear" w:color="auto" w:fill="auto"/>
            <w:tcMar>
              <w:top w:w="40" w:type="dxa"/>
              <w:left w:w="20" w:type="dxa"/>
              <w:bottom w:w="40" w:type="dxa"/>
              <w:right w:w="20" w:type="dxa"/>
            </w:tcMar>
            <w:vAlign w:val="bottom"/>
          </w:tcPr>
          <w:p w14:paraId="392C0E4A" w14:textId="77777777" w:rsidR="00980E5F" w:rsidRDefault="00483613">
            <w:pPr>
              <w:spacing w:before="60"/>
              <w:jc w:val="both"/>
              <w:textAlignment w:val="bottom"/>
            </w:pPr>
            <w:r>
              <w:rPr>
                <w:rFonts w:ascii="Arial" w:eastAsia="宋体" w:hAnsi="Arial" w:cs="Arial"/>
                <w:b/>
                <w:bCs/>
                <w:color w:val="000000"/>
                <w:sz w:val="16"/>
                <w:szCs w:val="16"/>
              </w:rPr>
              <w:t xml:space="preserve">TABLE 19: </w:t>
            </w:r>
            <w:r>
              <w:rPr>
                <w:rFonts w:ascii="Arial" w:eastAsia="宋体" w:hAnsi="Arial" w:cs="Arial"/>
                <w:b/>
                <w:bCs/>
                <w:color w:val="000000"/>
                <w:sz w:val="16"/>
                <w:szCs w:val="16"/>
              </w:rPr>
              <w:t>AVERAGE STATEMENT OF CONDITION</w:t>
            </w:r>
            <w:r>
              <w:rPr>
                <w:rFonts w:ascii="Arial" w:eastAsia="宋体" w:hAnsi="Arial" w:cs="Arial"/>
                <w:b/>
                <w:bCs/>
                <w:color w:val="000000"/>
                <w:sz w:val="10"/>
                <w:szCs w:val="10"/>
              </w:rPr>
              <w:t>(1)</w:t>
            </w:r>
          </w:p>
        </w:tc>
        <w:tc>
          <w:tcPr>
            <w:tcW w:w="0" w:type="auto"/>
            <w:shd w:val="clear" w:color="auto" w:fill="auto"/>
            <w:vAlign w:val="bottom"/>
          </w:tcPr>
          <w:p w14:paraId="392C0E4B" w14:textId="77777777" w:rsidR="00980E5F" w:rsidRDefault="00980E5F">
            <w:pPr>
              <w:rPr>
                <w:rFonts w:ascii="宋体"/>
                <w:vanish/>
              </w:rPr>
            </w:pPr>
          </w:p>
        </w:tc>
        <w:tc>
          <w:tcPr>
            <w:tcW w:w="0" w:type="auto"/>
            <w:shd w:val="clear" w:color="auto" w:fill="auto"/>
            <w:vAlign w:val="bottom"/>
          </w:tcPr>
          <w:p w14:paraId="392C0E4C" w14:textId="77777777" w:rsidR="00980E5F" w:rsidRDefault="00980E5F">
            <w:pPr>
              <w:rPr>
                <w:rFonts w:ascii="宋体"/>
                <w:vanish/>
              </w:rPr>
            </w:pPr>
          </w:p>
        </w:tc>
        <w:tc>
          <w:tcPr>
            <w:tcW w:w="0" w:type="auto"/>
            <w:gridSpan w:val="3"/>
            <w:shd w:val="clear" w:color="auto" w:fill="auto"/>
            <w:vAlign w:val="bottom"/>
          </w:tcPr>
          <w:p w14:paraId="392C0E4D" w14:textId="77777777" w:rsidR="00980E5F" w:rsidRDefault="00980E5F">
            <w:pPr>
              <w:rPr>
                <w:rFonts w:ascii="宋体"/>
                <w:vanish/>
              </w:rPr>
            </w:pPr>
          </w:p>
        </w:tc>
        <w:tc>
          <w:tcPr>
            <w:tcW w:w="0" w:type="auto"/>
            <w:gridSpan w:val="3"/>
            <w:shd w:val="clear" w:color="auto" w:fill="auto"/>
            <w:vAlign w:val="bottom"/>
          </w:tcPr>
          <w:p w14:paraId="392C0E4E" w14:textId="77777777" w:rsidR="00980E5F" w:rsidRDefault="00980E5F">
            <w:pPr>
              <w:rPr>
                <w:rFonts w:ascii="宋体"/>
                <w:vanish/>
              </w:rPr>
            </w:pPr>
          </w:p>
        </w:tc>
      </w:tr>
      <w:tr w:rsidR="00980E5F" w14:paraId="392C0E5A" w14:textId="77777777">
        <w:tc>
          <w:tcPr>
            <w:tcW w:w="0" w:type="auto"/>
            <w:gridSpan w:val="3"/>
            <w:shd w:val="clear" w:color="auto" w:fill="auto"/>
            <w:tcMar>
              <w:top w:w="0" w:type="dxa"/>
              <w:left w:w="20" w:type="dxa"/>
              <w:bottom w:w="0" w:type="dxa"/>
              <w:right w:w="20" w:type="dxa"/>
            </w:tcMar>
            <w:vAlign w:val="bottom"/>
          </w:tcPr>
          <w:p w14:paraId="392C0E50"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0E51"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0E52" w14:textId="77777777" w:rsidR="00980E5F" w:rsidRDefault="00980E5F">
            <w:pPr>
              <w:rPr>
                <w:rFonts w:ascii="宋体"/>
                <w:vanish/>
              </w:rPr>
            </w:pPr>
          </w:p>
        </w:tc>
        <w:tc>
          <w:tcPr>
            <w:tcW w:w="0" w:type="auto"/>
            <w:shd w:val="clear" w:color="auto" w:fill="auto"/>
            <w:vAlign w:val="bottom"/>
          </w:tcPr>
          <w:p w14:paraId="392C0E53" w14:textId="77777777" w:rsidR="00980E5F" w:rsidRDefault="00980E5F">
            <w:pPr>
              <w:rPr>
                <w:rFonts w:ascii="宋体"/>
                <w:vanish/>
              </w:rPr>
            </w:pPr>
          </w:p>
        </w:tc>
        <w:tc>
          <w:tcPr>
            <w:tcW w:w="0" w:type="auto"/>
            <w:shd w:val="clear" w:color="auto" w:fill="auto"/>
            <w:vAlign w:val="bottom"/>
          </w:tcPr>
          <w:p w14:paraId="392C0E54" w14:textId="77777777" w:rsidR="00980E5F" w:rsidRDefault="00980E5F">
            <w:pPr>
              <w:rPr>
                <w:rFonts w:ascii="宋体"/>
              </w:rPr>
            </w:pPr>
          </w:p>
        </w:tc>
        <w:tc>
          <w:tcPr>
            <w:tcW w:w="0" w:type="auto"/>
            <w:shd w:val="clear" w:color="auto" w:fill="auto"/>
            <w:vAlign w:val="bottom"/>
          </w:tcPr>
          <w:p w14:paraId="392C0E55" w14:textId="77777777" w:rsidR="00980E5F" w:rsidRDefault="00980E5F">
            <w:pPr>
              <w:rPr>
                <w:rFonts w:ascii="宋体"/>
              </w:rPr>
            </w:pPr>
          </w:p>
        </w:tc>
        <w:tc>
          <w:tcPr>
            <w:tcW w:w="0" w:type="auto"/>
            <w:shd w:val="clear" w:color="auto" w:fill="auto"/>
            <w:vAlign w:val="bottom"/>
          </w:tcPr>
          <w:p w14:paraId="392C0E56" w14:textId="77777777" w:rsidR="00980E5F" w:rsidRDefault="00980E5F">
            <w:pPr>
              <w:rPr>
                <w:rFonts w:ascii="宋体"/>
              </w:rPr>
            </w:pPr>
          </w:p>
        </w:tc>
        <w:tc>
          <w:tcPr>
            <w:tcW w:w="0" w:type="auto"/>
            <w:shd w:val="clear" w:color="auto" w:fill="auto"/>
            <w:vAlign w:val="bottom"/>
          </w:tcPr>
          <w:p w14:paraId="392C0E57" w14:textId="77777777" w:rsidR="00980E5F" w:rsidRDefault="00980E5F">
            <w:pPr>
              <w:rPr>
                <w:rFonts w:ascii="宋体"/>
              </w:rPr>
            </w:pPr>
          </w:p>
        </w:tc>
        <w:tc>
          <w:tcPr>
            <w:tcW w:w="0" w:type="auto"/>
            <w:shd w:val="clear" w:color="auto" w:fill="auto"/>
            <w:vAlign w:val="bottom"/>
          </w:tcPr>
          <w:p w14:paraId="392C0E58" w14:textId="77777777" w:rsidR="00980E5F" w:rsidRDefault="00980E5F">
            <w:pPr>
              <w:rPr>
                <w:rFonts w:ascii="宋体"/>
              </w:rPr>
            </w:pPr>
          </w:p>
        </w:tc>
        <w:tc>
          <w:tcPr>
            <w:tcW w:w="0" w:type="auto"/>
            <w:shd w:val="clear" w:color="auto" w:fill="auto"/>
            <w:vAlign w:val="bottom"/>
          </w:tcPr>
          <w:p w14:paraId="392C0E59" w14:textId="77777777" w:rsidR="00980E5F" w:rsidRDefault="00980E5F">
            <w:pPr>
              <w:rPr>
                <w:rFonts w:ascii="宋体"/>
              </w:rPr>
            </w:pPr>
          </w:p>
        </w:tc>
      </w:tr>
      <w:tr w:rsidR="00980E5F" w14:paraId="392C0E63" w14:textId="77777777">
        <w:tc>
          <w:tcPr>
            <w:tcW w:w="0" w:type="auto"/>
            <w:gridSpan w:val="3"/>
            <w:shd w:val="clear" w:color="auto" w:fill="auto"/>
            <w:tcMar>
              <w:top w:w="40" w:type="dxa"/>
              <w:left w:w="20" w:type="dxa"/>
              <w:bottom w:w="40" w:type="dxa"/>
              <w:right w:w="20" w:type="dxa"/>
            </w:tcMar>
            <w:vAlign w:val="bottom"/>
          </w:tcPr>
          <w:p w14:paraId="392C0E5B"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E5C"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E5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0E5E"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0E5F" w14:textId="77777777" w:rsidR="00980E5F" w:rsidRDefault="00980E5F">
            <w:pPr>
              <w:rPr>
                <w:rFonts w:ascii="宋体"/>
                <w:vanish/>
              </w:rPr>
            </w:pPr>
          </w:p>
        </w:tc>
        <w:tc>
          <w:tcPr>
            <w:tcW w:w="0" w:type="auto"/>
            <w:shd w:val="clear" w:color="auto" w:fill="auto"/>
            <w:vAlign w:val="bottom"/>
          </w:tcPr>
          <w:p w14:paraId="392C0E60" w14:textId="77777777" w:rsidR="00980E5F" w:rsidRDefault="00980E5F">
            <w:pPr>
              <w:rPr>
                <w:rFonts w:ascii="宋体"/>
                <w:vanish/>
              </w:rPr>
            </w:pPr>
          </w:p>
        </w:tc>
        <w:tc>
          <w:tcPr>
            <w:tcW w:w="0" w:type="auto"/>
            <w:gridSpan w:val="3"/>
            <w:shd w:val="clear" w:color="auto" w:fill="auto"/>
            <w:vAlign w:val="bottom"/>
          </w:tcPr>
          <w:p w14:paraId="392C0E61" w14:textId="77777777" w:rsidR="00980E5F" w:rsidRDefault="00980E5F">
            <w:pPr>
              <w:rPr>
                <w:rFonts w:ascii="宋体"/>
                <w:vanish/>
              </w:rPr>
            </w:pPr>
          </w:p>
        </w:tc>
        <w:tc>
          <w:tcPr>
            <w:tcW w:w="0" w:type="auto"/>
            <w:gridSpan w:val="3"/>
            <w:shd w:val="clear" w:color="auto" w:fill="auto"/>
            <w:vAlign w:val="bottom"/>
          </w:tcPr>
          <w:p w14:paraId="392C0E62" w14:textId="77777777" w:rsidR="00980E5F" w:rsidRDefault="00980E5F">
            <w:pPr>
              <w:rPr>
                <w:rFonts w:ascii="宋体"/>
                <w:vanish/>
              </w:rPr>
            </w:pPr>
          </w:p>
        </w:tc>
      </w:tr>
      <w:tr w:rsidR="00980E5F" w14:paraId="392C0E6C" w14:textId="77777777">
        <w:tc>
          <w:tcPr>
            <w:tcW w:w="0" w:type="auto"/>
            <w:gridSpan w:val="3"/>
            <w:shd w:val="clear" w:color="auto" w:fill="auto"/>
            <w:tcMar>
              <w:top w:w="40" w:type="dxa"/>
              <w:left w:w="20" w:type="dxa"/>
              <w:bottom w:w="40" w:type="dxa"/>
              <w:right w:w="20" w:type="dxa"/>
            </w:tcMar>
            <w:vAlign w:val="bottom"/>
          </w:tcPr>
          <w:p w14:paraId="392C0E64" w14:textId="77777777" w:rsidR="00980E5F" w:rsidRDefault="00483613">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E6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E6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0E67" w14:textId="77777777" w:rsidR="00980E5F" w:rsidRDefault="00980E5F">
            <w:pPr>
              <w:rPr>
                <w:rFonts w:ascii="宋体"/>
              </w:rPr>
            </w:pPr>
          </w:p>
        </w:tc>
        <w:tc>
          <w:tcPr>
            <w:tcW w:w="0" w:type="auto"/>
            <w:shd w:val="clear" w:color="auto" w:fill="auto"/>
            <w:vAlign w:val="bottom"/>
          </w:tcPr>
          <w:p w14:paraId="392C0E68" w14:textId="77777777" w:rsidR="00980E5F" w:rsidRDefault="00980E5F">
            <w:pPr>
              <w:rPr>
                <w:rFonts w:ascii="宋体"/>
                <w:vanish/>
              </w:rPr>
            </w:pPr>
          </w:p>
        </w:tc>
        <w:tc>
          <w:tcPr>
            <w:tcW w:w="0" w:type="auto"/>
            <w:shd w:val="clear" w:color="auto" w:fill="auto"/>
            <w:vAlign w:val="bottom"/>
          </w:tcPr>
          <w:p w14:paraId="392C0E69" w14:textId="77777777" w:rsidR="00980E5F" w:rsidRDefault="00980E5F">
            <w:pPr>
              <w:rPr>
                <w:rFonts w:ascii="宋体"/>
                <w:vanish/>
              </w:rPr>
            </w:pPr>
          </w:p>
        </w:tc>
        <w:tc>
          <w:tcPr>
            <w:tcW w:w="0" w:type="auto"/>
            <w:gridSpan w:val="3"/>
            <w:shd w:val="clear" w:color="auto" w:fill="auto"/>
            <w:vAlign w:val="bottom"/>
          </w:tcPr>
          <w:p w14:paraId="392C0E6A" w14:textId="77777777" w:rsidR="00980E5F" w:rsidRDefault="00980E5F">
            <w:pPr>
              <w:rPr>
                <w:rFonts w:ascii="宋体"/>
                <w:vanish/>
              </w:rPr>
            </w:pPr>
          </w:p>
        </w:tc>
        <w:tc>
          <w:tcPr>
            <w:tcW w:w="0" w:type="auto"/>
            <w:gridSpan w:val="3"/>
            <w:shd w:val="clear" w:color="auto" w:fill="auto"/>
            <w:vAlign w:val="bottom"/>
          </w:tcPr>
          <w:p w14:paraId="392C0E6B" w14:textId="77777777" w:rsidR="00980E5F" w:rsidRDefault="00980E5F">
            <w:pPr>
              <w:rPr>
                <w:rFonts w:ascii="宋体"/>
                <w:vanish/>
              </w:rPr>
            </w:pPr>
          </w:p>
        </w:tc>
      </w:tr>
      <w:tr w:rsidR="00980E5F" w14:paraId="392C0E79" w14:textId="77777777">
        <w:tc>
          <w:tcPr>
            <w:tcW w:w="0" w:type="auto"/>
            <w:gridSpan w:val="3"/>
            <w:shd w:val="clear" w:color="auto" w:fill="CCEEFF"/>
            <w:tcMar>
              <w:top w:w="40" w:type="dxa"/>
              <w:left w:w="20" w:type="dxa"/>
              <w:bottom w:w="40" w:type="dxa"/>
              <w:right w:w="20" w:type="dxa"/>
            </w:tcMar>
            <w:vAlign w:val="bottom"/>
          </w:tcPr>
          <w:p w14:paraId="392C0E6D" w14:textId="77777777" w:rsidR="00980E5F" w:rsidRDefault="00483613">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392C0E6E"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0E6F" w14:textId="77777777" w:rsidR="00980E5F" w:rsidRDefault="00483613">
            <w:pPr>
              <w:jc w:val="right"/>
              <w:textAlignment w:val="bottom"/>
            </w:pPr>
            <w:r>
              <w:rPr>
                <w:rFonts w:ascii="Arial" w:eastAsia="宋体" w:hAnsi="Arial" w:cs="Arial"/>
                <w:b/>
                <w:bCs/>
                <w:color w:val="000000"/>
                <w:sz w:val="14"/>
                <w:szCs w:val="14"/>
              </w:rPr>
              <w:t>76,635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E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E7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E7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0E73" w14:textId="77777777" w:rsidR="00980E5F" w:rsidRDefault="00483613">
            <w:pPr>
              <w:jc w:val="right"/>
              <w:textAlignment w:val="bottom"/>
            </w:pPr>
            <w:r>
              <w:rPr>
                <w:rFonts w:ascii="Arial" w:eastAsia="宋体" w:hAnsi="Arial" w:cs="Arial"/>
                <w:color w:val="000000"/>
                <w:sz w:val="14"/>
                <w:szCs w:val="14"/>
              </w:rPr>
              <w:t>97,348 </w:t>
            </w:r>
          </w:p>
        </w:tc>
        <w:tc>
          <w:tcPr>
            <w:tcW w:w="0" w:type="auto"/>
            <w:shd w:val="clear" w:color="auto" w:fill="CCEEFF"/>
            <w:tcMar>
              <w:top w:w="40" w:type="dxa"/>
              <w:left w:w="0" w:type="dxa"/>
              <w:bottom w:w="40" w:type="dxa"/>
              <w:right w:w="20" w:type="dxa"/>
            </w:tcMar>
            <w:vAlign w:val="bottom"/>
          </w:tcPr>
          <w:p w14:paraId="392C0E74" w14:textId="77777777" w:rsidR="00980E5F" w:rsidRDefault="00980E5F">
            <w:pPr>
              <w:jc w:val="right"/>
              <w:rPr>
                <w:rFonts w:ascii="宋体"/>
              </w:rPr>
            </w:pPr>
          </w:p>
        </w:tc>
        <w:tc>
          <w:tcPr>
            <w:tcW w:w="0" w:type="auto"/>
            <w:shd w:val="clear" w:color="auto" w:fill="auto"/>
            <w:vAlign w:val="bottom"/>
          </w:tcPr>
          <w:p w14:paraId="392C0E75" w14:textId="77777777" w:rsidR="00980E5F" w:rsidRDefault="00980E5F">
            <w:pPr>
              <w:rPr>
                <w:rFonts w:ascii="宋体"/>
                <w:vanish/>
              </w:rPr>
            </w:pPr>
          </w:p>
        </w:tc>
        <w:tc>
          <w:tcPr>
            <w:tcW w:w="0" w:type="auto"/>
            <w:shd w:val="clear" w:color="auto" w:fill="auto"/>
            <w:vAlign w:val="bottom"/>
          </w:tcPr>
          <w:p w14:paraId="392C0E76" w14:textId="77777777" w:rsidR="00980E5F" w:rsidRDefault="00980E5F">
            <w:pPr>
              <w:rPr>
                <w:rFonts w:ascii="宋体"/>
                <w:vanish/>
              </w:rPr>
            </w:pPr>
          </w:p>
        </w:tc>
        <w:tc>
          <w:tcPr>
            <w:tcW w:w="0" w:type="auto"/>
            <w:gridSpan w:val="3"/>
            <w:shd w:val="clear" w:color="auto" w:fill="auto"/>
            <w:vAlign w:val="bottom"/>
          </w:tcPr>
          <w:p w14:paraId="392C0E77" w14:textId="77777777" w:rsidR="00980E5F" w:rsidRDefault="00980E5F">
            <w:pPr>
              <w:rPr>
                <w:rFonts w:ascii="宋体"/>
                <w:vanish/>
              </w:rPr>
            </w:pPr>
          </w:p>
        </w:tc>
        <w:tc>
          <w:tcPr>
            <w:tcW w:w="0" w:type="auto"/>
            <w:gridSpan w:val="3"/>
            <w:shd w:val="clear" w:color="auto" w:fill="auto"/>
            <w:vAlign w:val="bottom"/>
          </w:tcPr>
          <w:p w14:paraId="392C0E78" w14:textId="77777777" w:rsidR="00980E5F" w:rsidRDefault="00980E5F">
            <w:pPr>
              <w:rPr>
                <w:rFonts w:ascii="宋体"/>
                <w:vanish/>
              </w:rPr>
            </w:pPr>
          </w:p>
        </w:tc>
      </w:tr>
      <w:tr w:rsidR="00980E5F" w14:paraId="392C0E84" w14:textId="77777777">
        <w:tc>
          <w:tcPr>
            <w:tcW w:w="0" w:type="auto"/>
            <w:gridSpan w:val="3"/>
            <w:shd w:val="clear" w:color="auto" w:fill="FFFFFF"/>
            <w:tcMar>
              <w:top w:w="40" w:type="dxa"/>
              <w:left w:w="20" w:type="dxa"/>
              <w:bottom w:w="40" w:type="dxa"/>
              <w:right w:w="20" w:type="dxa"/>
            </w:tcMar>
            <w:vAlign w:val="bottom"/>
          </w:tcPr>
          <w:p w14:paraId="392C0E7A" w14:textId="77777777" w:rsidR="00980E5F" w:rsidRDefault="00483613">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392C0E7B" w14:textId="77777777" w:rsidR="00980E5F" w:rsidRDefault="00483613">
            <w:pPr>
              <w:jc w:val="right"/>
              <w:textAlignment w:val="bottom"/>
            </w:pPr>
            <w:r>
              <w:rPr>
                <w:rFonts w:ascii="Arial" w:eastAsia="宋体" w:hAnsi="Arial" w:cs="Arial"/>
                <w:b/>
                <w:bCs/>
                <w:color w:val="000000"/>
                <w:sz w:val="14"/>
                <w:szCs w:val="14"/>
              </w:rPr>
              <w:t>2,583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E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E7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E7E" w14:textId="77777777" w:rsidR="00980E5F" w:rsidRDefault="00483613">
            <w:pPr>
              <w:jc w:val="right"/>
              <w:textAlignment w:val="bottom"/>
            </w:pPr>
            <w:r>
              <w:rPr>
                <w:rFonts w:ascii="Arial" w:eastAsia="宋体" w:hAnsi="Arial" w:cs="Arial"/>
                <w:color w:val="000000"/>
                <w:sz w:val="14"/>
                <w:szCs w:val="14"/>
              </w:rPr>
              <w:t>4,261 </w:t>
            </w:r>
          </w:p>
        </w:tc>
        <w:tc>
          <w:tcPr>
            <w:tcW w:w="0" w:type="auto"/>
            <w:shd w:val="clear" w:color="auto" w:fill="FFFFFF"/>
            <w:tcMar>
              <w:top w:w="40" w:type="dxa"/>
              <w:left w:w="0" w:type="dxa"/>
              <w:bottom w:w="40" w:type="dxa"/>
              <w:right w:w="20" w:type="dxa"/>
            </w:tcMar>
            <w:vAlign w:val="bottom"/>
          </w:tcPr>
          <w:p w14:paraId="392C0E7F" w14:textId="77777777" w:rsidR="00980E5F" w:rsidRDefault="00980E5F">
            <w:pPr>
              <w:jc w:val="right"/>
              <w:rPr>
                <w:rFonts w:ascii="宋体"/>
              </w:rPr>
            </w:pPr>
          </w:p>
        </w:tc>
        <w:tc>
          <w:tcPr>
            <w:tcW w:w="0" w:type="auto"/>
            <w:shd w:val="clear" w:color="auto" w:fill="auto"/>
            <w:vAlign w:val="bottom"/>
          </w:tcPr>
          <w:p w14:paraId="392C0E80" w14:textId="77777777" w:rsidR="00980E5F" w:rsidRDefault="00980E5F">
            <w:pPr>
              <w:rPr>
                <w:rFonts w:ascii="宋体"/>
                <w:vanish/>
              </w:rPr>
            </w:pPr>
          </w:p>
        </w:tc>
        <w:tc>
          <w:tcPr>
            <w:tcW w:w="0" w:type="auto"/>
            <w:shd w:val="clear" w:color="auto" w:fill="auto"/>
            <w:vAlign w:val="bottom"/>
          </w:tcPr>
          <w:p w14:paraId="392C0E81" w14:textId="77777777" w:rsidR="00980E5F" w:rsidRDefault="00980E5F">
            <w:pPr>
              <w:rPr>
                <w:rFonts w:ascii="宋体"/>
                <w:vanish/>
              </w:rPr>
            </w:pPr>
          </w:p>
        </w:tc>
        <w:tc>
          <w:tcPr>
            <w:tcW w:w="0" w:type="auto"/>
            <w:gridSpan w:val="3"/>
            <w:shd w:val="clear" w:color="auto" w:fill="auto"/>
            <w:vAlign w:val="bottom"/>
          </w:tcPr>
          <w:p w14:paraId="392C0E82" w14:textId="77777777" w:rsidR="00980E5F" w:rsidRDefault="00980E5F">
            <w:pPr>
              <w:rPr>
                <w:rFonts w:ascii="宋体"/>
                <w:vanish/>
              </w:rPr>
            </w:pPr>
          </w:p>
        </w:tc>
        <w:tc>
          <w:tcPr>
            <w:tcW w:w="0" w:type="auto"/>
            <w:gridSpan w:val="3"/>
            <w:shd w:val="clear" w:color="auto" w:fill="auto"/>
            <w:vAlign w:val="bottom"/>
          </w:tcPr>
          <w:p w14:paraId="392C0E83" w14:textId="77777777" w:rsidR="00980E5F" w:rsidRDefault="00980E5F">
            <w:pPr>
              <w:rPr>
                <w:rFonts w:ascii="宋体"/>
                <w:vanish/>
              </w:rPr>
            </w:pPr>
          </w:p>
        </w:tc>
      </w:tr>
      <w:tr w:rsidR="00980E5F" w14:paraId="392C0E8F" w14:textId="77777777">
        <w:tc>
          <w:tcPr>
            <w:tcW w:w="0" w:type="auto"/>
            <w:gridSpan w:val="3"/>
            <w:shd w:val="clear" w:color="auto" w:fill="CCEEFF"/>
            <w:tcMar>
              <w:top w:w="40" w:type="dxa"/>
              <w:left w:w="20" w:type="dxa"/>
              <w:bottom w:w="40" w:type="dxa"/>
              <w:right w:w="20" w:type="dxa"/>
            </w:tcMar>
            <w:vAlign w:val="bottom"/>
          </w:tcPr>
          <w:p w14:paraId="392C0E85" w14:textId="77777777" w:rsidR="00980E5F" w:rsidRDefault="00483613">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392C0E86" w14:textId="77777777" w:rsidR="00980E5F" w:rsidRDefault="00483613">
            <w:pPr>
              <w:jc w:val="right"/>
              <w:textAlignment w:val="bottom"/>
            </w:pPr>
            <w:r>
              <w:rPr>
                <w:rFonts w:ascii="Arial" w:eastAsia="宋体" w:hAnsi="Arial" w:cs="Arial"/>
                <w:b/>
                <w:bCs/>
                <w:color w:val="000000"/>
                <w:sz w:val="14"/>
                <w:szCs w:val="14"/>
              </w:rPr>
              <w:t>754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E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E8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E89" w14:textId="77777777" w:rsidR="00980E5F" w:rsidRDefault="00483613">
            <w:pPr>
              <w:jc w:val="right"/>
              <w:textAlignment w:val="bottom"/>
            </w:pPr>
            <w:r>
              <w:rPr>
                <w:rFonts w:ascii="Arial" w:eastAsia="宋体" w:hAnsi="Arial" w:cs="Arial"/>
                <w:color w:val="000000"/>
                <w:sz w:val="14"/>
                <w:szCs w:val="14"/>
              </w:rPr>
              <w:t>764 </w:t>
            </w:r>
          </w:p>
        </w:tc>
        <w:tc>
          <w:tcPr>
            <w:tcW w:w="0" w:type="auto"/>
            <w:shd w:val="clear" w:color="auto" w:fill="CCEEFF"/>
            <w:tcMar>
              <w:top w:w="40" w:type="dxa"/>
              <w:left w:w="0" w:type="dxa"/>
              <w:bottom w:w="40" w:type="dxa"/>
              <w:right w:w="20" w:type="dxa"/>
            </w:tcMar>
            <w:vAlign w:val="bottom"/>
          </w:tcPr>
          <w:p w14:paraId="392C0E8A" w14:textId="77777777" w:rsidR="00980E5F" w:rsidRDefault="00980E5F">
            <w:pPr>
              <w:jc w:val="right"/>
              <w:rPr>
                <w:rFonts w:ascii="宋体"/>
              </w:rPr>
            </w:pPr>
          </w:p>
        </w:tc>
        <w:tc>
          <w:tcPr>
            <w:tcW w:w="0" w:type="auto"/>
            <w:shd w:val="clear" w:color="auto" w:fill="auto"/>
            <w:vAlign w:val="bottom"/>
          </w:tcPr>
          <w:p w14:paraId="392C0E8B" w14:textId="77777777" w:rsidR="00980E5F" w:rsidRDefault="00980E5F">
            <w:pPr>
              <w:rPr>
                <w:rFonts w:ascii="宋体"/>
                <w:vanish/>
              </w:rPr>
            </w:pPr>
          </w:p>
        </w:tc>
        <w:tc>
          <w:tcPr>
            <w:tcW w:w="0" w:type="auto"/>
            <w:shd w:val="clear" w:color="auto" w:fill="auto"/>
            <w:vAlign w:val="bottom"/>
          </w:tcPr>
          <w:p w14:paraId="392C0E8C" w14:textId="77777777" w:rsidR="00980E5F" w:rsidRDefault="00980E5F">
            <w:pPr>
              <w:rPr>
                <w:rFonts w:ascii="宋体"/>
                <w:vanish/>
              </w:rPr>
            </w:pPr>
          </w:p>
        </w:tc>
        <w:tc>
          <w:tcPr>
            <w:tcW w:w="0" w:type="auto"/>
            <w:gridSpan w:val="3"/>
            <w:shd w:val="clear" w:color="auto" w:fill="auto"/>
            <w:vAlign w:val="bottom"/>
          </w:tcPr>
          <w:p w14:paraId="392C0E8D" w14:textId="77777777" w:rsidR="00980E5F" w:rsidRDefault="00980E5F">
            <w:pPr>
              <w:rPr>
                <w:rFonts w:ascii="宋体"/>
                <w:vanish/>
              </w:rPr>
            </w:pPr>
          </w:p>
        </w:tc>
        <w:tc>
          <w:tcPr>
            <w:tcW w:w="0" w:type="auto"/>
            <w:gridSpan w:val="3"/>
            <w:shd w:val="clear" w:color="auto" w:fill="auto"/>
            <w:vAlign w:val="bottom"/>
          </w:tcPr>
          <w:p w14:paraId="392C0E8E" w14:textId="77777777" w:rsidR="00980E5F" w:rsidRDefault="00980E5F">
            <w:pPr>
              <w:rPr>
                <w:rFonts w:ascii="宋体"/>
                <w:vanish/>
              </w:rPr>
            </w:pPr>
          </w:p>
        </w:tc>
      </w:tr>
      <w:tr w:rsidR="00980E5F" w14:paraId="392C0E98" w14:textId="77777777">
        <w:tc>
          <w:tcPr>
            <w:tcW w:w="0" w:type="auto"/>
            <w:gridSpan w:val="3"/>
            <w:shd w:val="clear" w:color="auto" w:fill="FFFFFF"/>
            <w:tcMar>
              <w:top w:w="40" w:type="dxa"/>
              <w:left w:w="20" w:type="dxa"/>
              <w:bottom w:w="40" w:type="dxa"/>
              <w:right w:w="20" w:type="dxa"/>
            </w:tcMar>
            <w:vAlign w:val="bottom"/>
          </w:tcPr>
          <w:p w14:paraId="392C0E90" w14:textId="77777777" w:rsidR="00980E5F" w:rsidRDefault="00483613">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392C0E9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E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0E93" w14:textId="77777777" w:rsidR="00980E5F" w:rsidRDefault="00980E5F">
            <w:pPr>
              <w:rPr>
                <w:rFonts w:ascii="宋体"/>
              </w:rPr>
            </w:pPr>
          </w:p>
        </w:tc>
        <w:tc>
          <w:tcPr>
            <w:tcW w:w="0" w:type="auto"/>
            <w:shd w:val="clear" w:color="auto" w:fill="auto"/>
            <w:vAlign w:val="bottom"/>
          </w:tcPr>
          <w:p w14:paraId="392C0E94" w14:textId="77777777" w:rsidR="00980E5F" w:rsidRDefault="00980E5F">
            <w:pPr>
              <w:rPr>
                <w:rFonts w:ascii="宋体"/>
                <w:vanish/>
              </w:rPr>
            </w:pPr>
          </w:p>
        </w:tc>
        <w:tc>
          <w:tcPr>
            <w:tcW w:w="0" w:type="auto"/>
            <w:shd w:val="clear" w:color="auto" w:fill="auto"/>
            <w:vAlign w:val="bottom"/>
          </w:tcPr>
          <w:p w14:paraId="392C0E95" w14:textId="77777777" w:rsidR="00980E5F" w:rsidRDefault="00980E5F">
            <w:pPr>
              <w:rPr>
                <w:rFonts w:ascii="宋体"/>
                <w:vanish/>
              </w:rPr>
            </w:pPr>
          </w:p>
        </w:tc>
        <w:tc>
          <w:tcPr>
            <w:tcW w:w="0" w:type="auto"/>
            <w:gridSpan w:val="3"/>
            <w:shd w:val="clear" w:color="auto" w:fill="auto"/>
            <w:vAlign w:val="bottom"/>
          </w:tcPr>
          <w:p w14:paraId="392C0E96" w14:textId="77777777" w:rsidR="00980E5F" w:rsidRDefault="00980E5F">
            <w:pPr>
              <w:rPr>
                <w:rFonts w:ascii="宋体"/>
                <w:vanish/>
              </w:rPr>
            </w:pPr>
          </w:p>
        </w:tc>
        <w:tc>
          <w:tcPr>
            <w:tcW w:w="0" w:type="auto"/>
            <w:gridSpan w:val="3"/>
            <w:shd w:val="clear" w:color="auto" w:fill="auto"/>
            <w:vAlign w:val="bottom"/>
          </w:tcPr>
          <w:p w14:paraId="392C0E97" w14:textId="77777777" w:rsidR="00980E5F" w:rsidRDefault="00980E5F">
            <w:pPr>
              <w:rPr>
                <w:rFonts w:ascii="宋体"/>
                <w:vanish/>
              </w:rPr>
            </w:pPr>
          </w:p>
        </w:tc>
      </w:tr>
      <w:tr w:rsidR="00980E5F" w14:paraId="392C0EA1" w14:textId="77777777">
        <w:trPr>
          <w:hidden/>
        </w:trPr>
        <w:tc>
          <w:tcPr>
            <w:tcW w:w="0" w:type="auto"/>
            <w:gridSpan w:val="3"/>
            <w:shd w:val="clear" w:color="auto" w:fill="auto"/>
            <w:vAlign w:val="bottom"/>
          </w:tcPr>
          <w:p w14:paraId="392C0E99" w14:textId="77777777" w:rsidR="00980E5F" w:rsidRDefault="00980E5F">
            <w:pPr>
              <w:rPr>
                <w:rFonts w:ascii="宋体"/>
                <w:vanish/>
              </w:rPr>
            </w:pPr>
          </w:p>
        </w:tc>
        <w:tc>
          <w:tcPr>
            <w:tcW w:w="0" w:type="auto"/>
            <w:gridSpan w:val="3"/>
            <w:shd w:val="clear" w:color="auto" w:fill="auto"/>
            <w:vAlign w:val="bottom"/>
          </w:tcPr>
          <w:p w14:paraId="392C0E9A" w14:textId="77777777" w:rsidR="00980E5F" w:rsidRDefault="00980E5F">
            <w:pPr>
              <w:rPr>
                <w:rFonts w:ascii="宋体"/>
                <w:vanish/>
              </w:rPr>
            </w:pPr>
          </w:p>
        </w:tc>
        <w:tc>
          <w:tcPr>
            <w:tcW w:w="0" w:type="auto"/>
            <w:gridSpan w:val="3"/>
            <w:shd w:val="clear" w:color="auto" w:fill="auto"/>
            <w:vAlign w:val="bottom"/>
          </w:tcPr>
          <w:p w14:paraId="392C0E9B" w14:textId="77777777" w:rsidR="00980E5F" w:rsidRDefault="00980E5F">
            <w:pPr>
              <w:rPr>
                <w:rFonts w:ascii="宋体"/>
                <w:vanish/>
              </w:rPr>
            </w:pPr>
          </w:p>
        </w:tc>
        <w:tc>
          <w:tcPr>
            <w:tcW w:w="0" w:type="auto"/>
            <w:gridSpan w:val="3"/>
            <w:shd w:val="clear" w:color="auto" w:fill="auto"/>
            <w:vAlign w:val="bottom"/>
          </w:tcPr>
          <w:p w14:paraId="392C0E9C" w14:textId="77777777" w:rsidR="00980E5F" w:rsidRDefault="00980E5F">
            <w:pPr>
              <w:rPr>
                <w:rFonts w:ascii="宋体"/>
                <w:vanish/>
              </w:rPr>
            </w:pPr>
          </w:p>
        </w:tc>
        <w:tc>
          <w:tcPr>
            <w:tcW w:w="0" w:type="auto"/>
            <w:shd w:val="clear" w:color="auto" w:fill="auto"/>
            <w:vAlign w:val="bottom"/>
          </w:tcPr>
          <w:p w14:paraId="392C0E9D" w14:textId="77777777" w:rsidR="00980E5F" w:rsidRDefault="00980E5F">
            <w:pPr>
              <w:rPr>
                <w:rFonts w:ascii="宋体"/>
                <w:vanish/>
              </w:rPr>
            </w:pPr>
          </w:p>
        </w:tc>
        <w:tc>
          <w:tcPr>
            <w:tcW w:w="0" w:type="auto"/>
            <w:shd w:val="clear" w:color="auto" w:fill="auto"/>
            <w:vAlign w:val="bottom"/>
          </w:tcPr>
          <w:p w14:paraId="392C0E9E" w14:textId="77777777" w:rsidR="00980E5F" w:rsidRDefault="00980E5F">
            <w:pPr>
              <w:rPr>
                <w:rFonts w:ascii="宋体"/>
                <w:vanish/>
              </w:rPr>
            </w:pPr>
          </w:p>
        </w:tc>
        <w:tc>
          <w:tcPr>
            <w:tcW w:w="0" w:type="auto"/>
            <w:gridSpan w:val="3"/>
            <w:shd w:val="clear" w:color="auto" w:fill="auto"/>
            <w:vAlign w:val="bottom"/>
          </w:tcPr>
          <w:p w14:paraId="392C0E9F" w14:textId="77777777" w:rsidR="00980E5F" w:rsidRDefault="00980E5F">
            <w:pPr>
              <w:rPr>
                <w:rFonts w:ascii="宋体"/>
                <w:vanish/>
              </w:rPr>
            </w:pPr>
          </w:p>
        </w:tc>
        <w:tc>
          <w:tcPr>
            <w:tcW w:w="0" w:type="auto"/>
            <w:gridSpan w:val="3"/>
            <w:shd w:val="clear" w:color="auto" w:fill="auto"/>
            <w:vAlign w:val="bottom"/>
          </w:tcPr>
          <w:p w14:paraId="392C0EA0" w14:textId="77777777" w:rsidR="00980E5F" w:rsidRDefault="00980E5F">
            <w:pPr>
              <w:rPr>
                <w:rFonts w:ascii="宋体"/>
                <w:vanish/>
              </w:rPr>
            </w:pPr>
          </w:p>
        </w:tc>
      </w:tr>
      <w:tr w:rsidR="00980E5F" w14:paraId="392C0EAA" w14:textId="77777777">
        <w:trPr>
          <w:hidden/>
        </w:trPr>
        <w:tc>
          <w:tcPr>
            <w:tcW w:w="0" w:type="auto"/>
            <w:gridSpan w:val="3"/>
            <w:shd w:val="clear" w:color="auto" w:fill="auto"/>
            <w:vAlign w:val="bottom"/>
          </w:tcPr>
          <w:p w14:paraId="392C0EA2" w14:textId="77777777" w:rsidR="00980E5F" w:rsidRDefault="00980E5F">
            <w:pPr>
              <w:rPr>
                <w:rFonts w:ascii="宋体"/>
                <w:vanish/>
              </w:rPr>
            </w:pPr>
          </w:p>
        </w:tc>
        <w:tc>
          <w:tcPr>
            <w:tcW w:w="0" w:type="auto"/>
            <w:gridSpan w:val="3"/>
            <w:shd w:val="clear" w:color="auto" w:fill="auto"/>
            <w:vAlign w:val="bottom"/>
          </w:tcPr>
          <w:p w14:paraId="392C0EA3" w14:textId="77777777" w:rsidR="00980E5F" w:rsidRDefault="00980E5F">
            <w:pPr>
              <w:rPr>
                <w:rFonts w:ascii="宋体"/>
                <w:vanish/>
              </w:rPr>
            </w:pPr>
          </w:p>
        </w:tc>
        <w:tc>
          <w:tcPr>
            <w:tcW w:w="0" w:type="auto"/>
            <w:gridSpan w:val="3"/>
            <w:shd w:val="clear" w:color="auto" w:fill="auto"/>
            <w:vAlign w:val="bottom"/>
          </w:tcPr>
          <w:p w14:paraId="392C0EA4" w14:textId="77777777" w:rsidR="00980E5F" w:rsidRDefault="00980E5F">
            <w:pPr>
              <w:rPr>
                <w:rFonts w:ascii="宋体"/>
                <w:vanish/>
              </w:rPr>
            </w:pPr>
          </w:p>
        </w:tc>
        <w:tc>
          <w:tcPr>
            <w:tcW w:w="0" w:type="auto"/>
            <w:gridSpan w:val="3"/>
            <w:shd w:val="clear" w:color="auto" w:fill="auto"/>
            <w:vAlign w:val="bottom"/>
          </w:tcPr>
          <w:p w14:paraId="392C0EA5" w14:textId="77777777" w:rsidR="00980E5F" w:rsidRDefault="00980E5F">
            <w:pPr>
              <w:rPr>
                <w:rFonts w:ascii="宋体"/>
                <w:vanish/>
              </w:rPr>
            </w:pPr>
          </w:p>
        </w:tc>
        <w:tc>
          <w:tcPr>
            <w:tcW w:w="0" w:type="auto"/>
            <w:shd w:val="clear" w:color="auto" w:fill="auto"/>
            <w:vAlign w:val="bottom"/>
          </w:tcPr>
          <w:p w14:paraId="392C0EA6" w14:textId="77777777" w:rsidR="00980E5F" w:rsidRDefault="00980E5F">
            <w:pPr>
              <w:rPr>
                <w:rFonts w:ascii="宋体"/>
                <w:vanish/>
              </w:rPr>
            </w:pPr>
          </w:p>
        </w:tc>
        <w:tc>
          <w:tcPr>
            <w:tcW w:w="0" w:type="auto"/>
            <w:shd w:val="clear" w:color="auto" w:fill="auto"/>
            <w:vAlign w:val="bottom"/>
          </w:tcPr>
          <w:p w14:paraId="392C0EA7" w14:textId="77777777" w:rsidR="00980E5F" w:rsidRDefault="00980E5F">
            <w:pPr>
              <w:rPr>
                <w:rFonts w:ascii="宋体"/>
                <w:vanish/>
              </w:rPr>
            </w:pPr>
          </w:p>
        </w:tc>
        <w:tc>
          <w:tcPr>
            <w:tcW w:w="0" w:type="auto"/>
            <w:gridSpan w:val="3"/>
            <w:shd w:val="clear" w:color="auto" w:fill="auto"/>
            <w:vAlign w:val="bottom"/>
          </w:tcPr>
          <w:p w14:paraId="392C0EA8" w14:textId="77777777" w:rsidR="00980E5F" w:rsidRDefault="00980E5F">
            <w:pPr>
              <w:rPr>
                <w:rFonts w:ascii="宋体"/>
                <w:vanish/>
              </w:rPr>
            </w:pPr>
          </w:p>
        </w:tc>
        <w:tc>
          <w:tcPr>
            <w:tcW w:w="0" w:type="auto"/>
            <w:gridSpan w:val="3"/>
            <w:shd w:val="clear" w:color="auto" w:fill="auto"/>
            <w:vAlign w:val="bottom"/>
          </w:tcPr>
          <w:p w14:paraId="392C0EA9" w14:textId="77777777" w:rsidR="00980E5F" w:rsidRDefault="00980E5F">
            <w:pPr>
              <w:rPr>
                <w:rFonts w:ascii="宋体"/>
                <w:vanish/>
              </w:rPr>
            </w:pPr>
          </w:p>
        </w:tc>
      </w:tr>
      <w:tr w:rsidR="00980E5F" w14:paraId="392C0EB3" w14:textId="77777777">
        <w:trPr>
          <w:hidden/>
        </w:trPr>
        <w:tc>
          <w:tcPr>
            <w:tcW w:w="0" w:type="auto"/>
            <w:gridSpan w:val="3"/>
            <w:shd w:val="clear" w:color="auto" w:fill="auto"/>
            <w:vAlign w:val="bottom"/>
          </w:tcPr>
          <w:p w14:paraId="392C0EAB" w14:textId="77777777" w:rsidR="00980E5F" w:rsidRDefault="00980E5F">
            <w:pPr>
              <w:rPr>
                <w:rFonts w:ascii="宋体"/>
                <w:vanish/>
              </w:rPr>
            </w:pPr>
          </w:p>
        </w:tc>
        <w:tc>
          <w:tcPr>
            <w:tcW w:w="0" w:type="auto"/>
            <w:gridSpan w:val="3"/>
            <w:shd w:val="clear" w:color="auto" w:fill="auto"/>
            <w:vAlign w:val="bottom"/>
          </w:tcPr>
          <w:p w14:paraId="392C0EAC" w14:textId="77777777" w:rsidR="00980E5F" w:rsidRDefault="00980E5F">
            <w:pPr>
              <w:rPr>
                <w:rFonts w:ascii="宋体"/>
                <w:vanish/>
              </w:rPr>
            </w:pPr>
          </w:p>
        </w:tc>
        <w:tc>
          <w:tcPr>
            <w:tcW w:w="0" w:type="auto"/>
            <w:gridSpan w:val="3"/>
            <w:shd w:val="clear" w:color="auto" w:fill="auto"/>
            <w:vAlign w:val="bottom"/>
          </w:tcPr>
          <w:p w14:paraId="392C0EAD" w14:textId="77777777" w:rsidR="00980E5F" w:rsidRDefault="00980E5F">
            <w:pPr>
              <w:rPr>
                <w:rFonts w:ascii="宋体"/>
                <w:vanish/>
              </w:rPr>
            </w:pPr>
          </w:p>
        </w:tc>
        <w:tc>
          <w:tcPr>
            <w:tcW w:w="0" w:type="auto"/>
            <w:gridSpan w:val="3"/>
            <w:shd w:val="clear" w:color="auto" w:fill="auto"/>
            <w:vAlign w:val="bottom"/>
          </w:tcPr>
          <w:p w14:paraId="392C0EAE" w14:textId="77777777" w:rsidR="00980E5F" w:rsidRDefault="00980E5F">
            <w:pPr>
              <w:rPr>
                <w:rFonts w:ascii="宋体"/>
                <w:vanish/>
              </w:rPr>
            </w:pPr>
          </w:p>
        </w:tc>
        <w:tc>
          <w:tcPr>
            <w:tcW w:w="0" w:type="auto"/>
            <w:shd w:val="clear" w:color="auto" w:fill="auto"/>
            <w:vAlign w:val="bottom"/>
          </w:tcPr>
          <w:p w14:paraId="392C0EAF" w14:textId="77777777" w:rsidR="00980E5F" w:rsidRDefault="00980E5F">
            <w:pPr>
              <w:rPr>
                <w:rFonts w:ascii="宋体"/>
                <w:vanish/>
              </w:rPr>
            </w:pPr>
          </w:p>
        </w:tc>
        <w:tc>
          <w:tcPr>
            <w:tcW w:w="0" w:type="auto"/>
            <w:shd w:val="clear" w:color="auto" w:fill="auto"/>
            <w:vAlign w:val="bottom"/>
          </w:tcPr>
          <w:p w14:paraId="392C0EB0" w14:textId="77777777" w:rsidR="00980E5F" w:rsidRDefault="00980E5F">
            <w:pPr>
              <w:rPr>
                <w:rFonts w:ascii="宋体"/>
                <w:vanish/>
              </w:rPr>
            </w:pPr>
          </w:p>
        </w:tc>
        <w:tc>
          <w:tcPr>
            <w:tcW w:w="0" w:type="auto"/>
            <w:gridSpan w:val="3"/>
            <w:shd w:val="clear" w:color="auto" w:fill="auto"/>
            <w:vAlign w:val="bottom"/>
          </w:tcPr>
          <w:p w14:paraId="392C0EB1" w14:textId="77777777" w:rsidR="00980E5F" w:rsidRDefault="00980E5F">
            <w:pPr>
              <w:rPr>
                <w:rFonts w:ascii="宋体"/>
                <w:vanish/>
              </w:rPr>
            </w:pPr>
          </w:p>
        </w:tc>
        <w:tc>
          <w:tcPr>
            <w:tcW w:w="0" w:type="auto"/>
            <w:gridSpan w:val="3"/>
            <w:shd w:val="clear" w:color="auto" w:fill="auto"/>
            <w:vAlign w:val="bottom"/>
          </w:tcPr>
          <w:p w14:paraId="392C0EB2" w14:textId="77777777" w:rsidR="00980E5F" w:rsidRDefault="00980E5F">
            <w:pPr>
              <w:rPr>
                <w:rFonts w:ascii="宋体"/>
                <w:vanish/>
              </w:rPr>
            </w:pPr>
          </w:p>
        </w:tc>
      </w:tr>
      <w:tr w:rsidR="00980E5F" w14:paraId="392C0EBC" w14:textId="77777777">
        <w:trPr>
          <w:hidden/>
        </w:trPr>
        <w:tc>
          <w:tcPr>
            <w:tcW w:w="0" w:type="auto"/>
            <w:gridSpan w:val="3"/>
            <w:shd w:val="clear" w:color="auto" w:fill="auto"/>
            <w:vAlign w:val="bottom"/>
          </w:tcPr>
          <w:p w14:paraId="392C0EB4" w14:textId="77777777" w:rsidR="00980E5F" w:rsidRDefault="00980E5F">
            <w:pPr>
              <w:rPr>
                <w:rFonts w:ascii="宋体"/>
                <w:vanish/>
              </w:rPr>
            </w:pPr>
          </w:p>
        </w:tc>
        <w:tc>
          <w:tcPr>
            <w:tcW w:w="0" w:type="auto"/>
            <w:gridSpan w:val="3"/>
            <w:shd w:val="clear" w:color="auto" w:fill="auto"/>
            <w:vAlign w:val="bottom"/>
          </w:tcPr>
          <w:p w14:paraId="392C0EB5" w14:textId="77777777" w:rsidR="00980E5F" w:rsidRDefault="00980E5F">
            <w:pPr>
              <w:rPr>
                <w:rFonts w:ascii="宋体"/>
                <w:vanish/>
              </w:rPr>
            </w:pPr>
          </w:p>
        </w:tc>
        <w:tc>
          <w:tcPr>
            <w:tcW w:w="0" w:type="auto"/>
            <w:gridSpan w:val="3"/>
            <w:shd w:val="clear" w:color="auto" w:fill="auto"/>
            <w:vAlign w:val="bottom"/>
          </w:tcPr>
          <w:p w14:paraId="392C0EB6" w14:textId="77777777" w:rsidR="00980E5F" w:rsidRDefault="00980E5F">
            <w:pPr>
              <w:rPr>
                <w:rFonts w:ascii="宋体"/>
                <w:vanish/>
              </w:rPr>
            </w:pPr>
          </w:p>
        </w:tc>
        <w:tc>
          <w:tcPr>
            <w:tcW w:w="0" w:type="auto"/>
            <w:gridSpan w:val="3"/>
            <w:shd w:val="clear" w:color="auto" w:fill="auto"/>
            <w:vAlign w:val="bottom"/>
          </w:tcPr>
          <w:p w14:paraId="392C0EB7" w14:textId="77777777" w:rsidR="00980E5F" w:rsidRDefault="00980E5F">
            <w:pPr>
              <w:rPr>
                <w:rFonts w:ascii="宋体"/>
                <w:vanish/>
              </w:rPr>
            </w:pPr>
          </w:p>
        </w:tc>
        <w:tc>
          <w:tcPr>
            <w:tcW w:w="0" w:type="auto"/>
            <w:shd w:val="clear" w:color="auto" w:fill="auto"/>
            <w:vAlign w:val="bottom"/>
          </w:tcPr>
          <w:p w14:paraId="392C0EB8" w14:textId="77777777" w:rsidR="00980E5F" w:rsidRDefault="00980E5F">
            <w:pPr>
              <w:rPr>
                <w:rFonts w:ascii="宋体"/>
                <w:vanish/>
              </w:rPr>
            </w:pPr>
          </w:p>
        </w:tc>
        <w:tc>
          <w:tcPr>
            <w:tcW w:w="0" w:type="auto"/>
            <w:shd w:val="clear" w:color="auto" w:fill="auto"/>
            <w:vAlign w:val="bottom"/>
          </w:tcPr>
          <w:p w14:paraId="392C0EB9" w14:textId="77777777" w:rsidR="00980E5F" w:rsidRDefault="00980E5F">
            <w:pPr>
              <w:rPr>
                <w:rFonts w:ascii="宋体"/>
                <w:vanish/>
              </w:rPr>
            </w:pPr>
          </w:p>
        </w:tc>
        <w:tc>
          <w:tcPr>
            <w:tcW w:w="0" w:type="auto"/>
            <w:gridSpan w:val="3"/>
            <w:shd w:val="clear" w:color="auto" w:fill="auto"/>
            <w:vAlign w:val="bottom"/>
          </w:tcPr>
          <w:p w14:paraId="392C0EBA" w14:textId="77777777" w:rsidR="00980E5F" w:rsidRDefault="00980E5F">
            <w:pPr>
              <w:rPr>
                <w:rFonts w:ascii="宋体"/>
                <w:vanish/>
              </w:rPr>
            </w:pPr>
          </w:p>
        </w:tc>
        <w:tc>
          <w:tcPr>
            <w:tcW w:w="0" w:type="auto"/>
            <w:gridSpan w:val="3"/>
            <w:shd w:val="clear" w:color="auto" w:fill="auto"/>
            <w:vAlign w:val="bottom"/>
          </w:tcPr>
          <w:p w14:paraId="392C0EBB" w14:textId="77777777" w:rsidR="00980E5F" w:rsidRDefault="00980E5F">
            <w:pPr>
              <w:rPr>
                <w:rFonts w:ascii="宋体"/>
                <w:vanish/>
              </w:rPr>
            </w:pPr>
          </w:p>
        </w:tc>
      </w:tr>
      <w:tr w:rsidR="00980E5F" w14:paraId="392C0EC5" w14:textId="77777777">
        <w:trPr>
          <w:hidden/>
        </w:trPr>
        <w:tc>
          <w:tcPr>
            <w:tcW w:w="0" w:type="auto"/>
            <w:gridSpan w:val="3"/>
            <w:shd w:val="clear" w:color="auto" w:fill="auto"/>
            <w:vAlign w:val="bottom"/>
          </w:tcPr>
          <w:p w14:paraId="392C0EBD" w14:textId="77777777" w:rsidR="00980E5F" w:rsidRDefault="00980E5F">
            <w:pPr>
              <w:rPr>
                <w:rFonts w:ascii="宋体"/>
                <w:vanish/>
              </w:rPr>
            </w:pPr>
          </w:p>
        </w:tc>
        <w:tc>
          <w:tcPr>
            <w:tcW w:w="0" w:type="auto"/>
            <w:gridSpan w:val="3"/>
            <w:shd w:val="clear" w:color="auto" w:fill="auto"/>
            <w:vAlign w:val="bottom"/>
          </w:tcPr>
          <w:p w14:paraId="392C0EBE" w14:textId="77777777" w:rsidR="00980E5F" w:rsidRDefault="00980E5F">
            <w:pPr>
              <w:rPr>
                <w:rFonts w:ascii="宋体"/>
                <w:vanish/>
              </w:rPr>
            </w:pPr>
          </w:p>
        </w:tc>
        <w:tc>
          <w:tcPr>
            <w:tcW w:w="0" w:type="auto"/>
            <w:gridSpan w:val="3"/>
            <w:shd w:val="clear" w:color="auto" w:fill="auto"/>
            <w:vAlign w:val="bottom"/>
          </w:tcPr>
          <w:p w14:paraId="392C0EBF" w14:textId="77777777" w:rsidR="00980E5F" w:rsidRDefault="00980E5F">
            <w:pPr>
              <w:rPr>
                <w:rFonts w:ascii="宋体"/>
                <w:vanish/>
              </w:rPr>
            </w:pPr>
          </w:p>
        </w:tc>
        <w:tc>
          <w:tcPr>
            <w:tcW w:w="0" w:type="auto"/>
            <w:gridSpan w:val="3"/>
            <w:shd w:val="clear" w:color="auto" w:fill="auto"/>
            <w:vAlign w:val="bottom"/>
          </w:tcPr>
          <w:p w14:paraId="392C0EC0" w14:textId="77777777" w:rsidR="00980E5F" w:rsidRDefault="00980E5F">
            <w:pPr>
              <w:rPr>
                <w:rFonts w:ascii="宋体"/>
                <w:vanish/>
              </w:rPr>
            </w:pPr>
          </w:p>
        </w:tc>
        <w:tc>
          <w:tcPr>
            <w:tcW w:w="0" w:type="auto"/>
            <w:shd w:val="clear" w:color="auto" w:fill="auto"/>
            <w:vAlign w:val="bottom"/>
          </w:tcPr>
          <w:p w14:paraId="392C0EC1" w14:textId="77777777" w:rsidR="00980E5F" w:rsidRDefault="00980E5F">
            <w:pPr>
              <w:rPr>
                <w:rFonts w:ascii="宋体"/>
                <w:vanish/>
              </w:rPr>
            </w:pPr>
          </w:p>
        </w:tc>
        <w:tc>
          <w:tcPr>
            <w:tcW w:w="0" w:type="auto"/>
            <w:shd w:val="clear" w:color="auto" w:fill="auto"/>
            <w:vAlign w:val="bottom"/>
          </w:tcPr>
          <w:p w14:paraId="392C0EC2" w14:textId="77777777" w:rsidR="00980E5F" w:rsidRDefault="00980E5F">
            <w:pPr>
              <w:rPr>
                <w:rFonts w:ascii="宋体"/>
                <w:vanish/>
              </w:rPr>
            </w:pPr>
          </w:p>
        </w:tc>
        <w:tc>
          <w:tcPr>
            <w:tcW w:w="0" w:type="auto"/>
            <w:gridSpan w:val="3"/>
            <w:shd w:val="clear" w:color="auto" w:fill="auto"/>
            <w:vAlign w:val="bottom"/>
          </w:tcPr>
          <w:p w14:paraId="392C0EC3" w14:textId="77777777" w:rsidR="00980E5F" w:rsidRDefault="00980E5F">
            <w:pPr>
              <w:rPr>
                <w:rFonts w:ascii="宋体"/>
                <w:vanish/>
              </w:rPr>
            </w:pPr>
          </w:p>
        </w:tc>
        <w:tc>
          <w:tcPr>
            <w:tcW w:w="0" w:type="auto"/>
            <w:gridSpan w:val="3"/>
            <w:shd w:val="clear" w:color="auto" w:fill="auto"/>
            <w:vAlign w:val="bottom"/>
          </w:tcPr>
          <w:p w14:paraId="392C0EC4" w14:textId="77777777" w:rsidR="00980E5F" w:rsidRDefault="00980E5F">
            <w:pPr>
              <w:rPr>
                <w:rFonts w:ascii="宋体"/>
                <w:vanish/>
              </w:rPr>
            </w:pPr>
          </w:p>
        </w:tc>
      </w:tr>
      <w:tr w:rsidR="00980E5F" w14:paraId="392C0ECE" w14:textId="77777777">
        <w:trPr>
          <w:hidden/>
        </w:trPr>
        <w:tc>
          <w:tcPr>
            <w:tcW w:w="0" w:type="auto"/>
            <w:gridSpan w:val="3"/>
            <w:shd w:val="clear" w:color="auto" w:fill="auto"/>
            <w:vAlign w:val="bottom"/>
          </w:tcPr>
          <w:p w14:paraId="392C0EC6" w14:textId="77777777" w:rsidR="00980E5F" w:rsidRDefault="00980E5F">
            <w:pPr>
              <w:rPr>
                <w:rFonts w:ascii="宋体"/>
                <w:vanish/>
              </w:rPr>
            </w:pPr>
          </w:p>
        </w:tc>
        <w:tc>
          <w:tcPr>
            <w:tcW w:w="0" w:type="auto"/>
            <w:gridSpan w:val="3"/>
            <w:shd w:val="clear" w:color="auto" w:fill="auto"/>
            <w:vAlign w:val="bottom"/>
          </w:tcPr>
          <w:p w14:paraId="392C0EC7" w14:textId="77777777" w:rsidR="00980E5F" w:rsidRDefault="00980E5F">
            <w:pPr>
              <w:rPr>
                <w:rFonts w:ascii="宋体"/>
                <w:vanish/>
              </w:rPr>
            </w:pPr>
          </w:p>
        </w:tc>
        <w:tc>
          <w:tcPr>
            <w:tcW w:w="0" w:type="auto"/>
            <w:gridSpan w:val="3"/>
            <w:shd w:val="clear" w:color="auto" w:fill="auto"/>
            <w:vAlign w:val="bottom"/>
          </w:tcPr>
          <w:p w14:paraId="392C0EC8" w14:textId="77777777" w:rsidR="00980E5F" w:rsidRDefault="00980E5F">
            <w:pPr>
              <w:rPr>
                <w:rFonts w:ascii="宋体"/>
                <w:vanish/>
              </w:rPr>
            </w:pPr>
          </w:p>
        </w:tc>
        <w:tc>
          <w:tcPr>
            <w:tcW w:w="0" w:type="auto"/>
            <w:gridSpan w:val="3"/>
            <w:shd w:val="clear" w:color="auto" w:fill="auto"/>
            <w:vAlign w:val="bottom"/>
          </w:tcPr>
          <w:p w14:paraId="392C0EC9" w14:textId="77777777" w:rsidR="00980E5F" w:rsidRDefault="00980E5F">
            <w:pPr>
              <w:rPr>
                <w:rFonts w:ascii="宋体"/>
                <w:vanish/>
              </w:rPr>
            </w:pPr>
          </w:p>
        </w:tc>
        <w:tc>
          <w:tcPr>
            <w:tcW w:w="0" w:type="auto"/>
            <w:shd w:val="clear" w:color="auto" w:fill="auto"/>
            <w:vAlign w:val="bottom"/>
          </w:tcPr>
          <w:p w14:paraId="392C0ECA" w14:textId="77777777" w:rsidR="00980E5F" w:rsidRDefault="00980E5F">
            <w:pPr>
              <w:rPr>
                <w:rFonts w:ascii="宋体"/>
                <w:vanish/>
              </w:rPr>
            </w:pPr>
          </w:p>
        </w:tc>
        <w:tc>
          <w:tcPr>
            <w:tcW w:w="0" w:type="auto"/>
            <w:shd w:val="clear" w:color="auto" w:fill="auto"/>
            <w:vAlign w:val="bottom"/>
          </w:tcPr>
          <w:p w14:paraId="392C0ECB" w14:textId="77777777" w:rsidR="00980E5F" w:rsidRDefault="00980E5F">
            <w:pPr>
              <w:rPr>
                <w:rFonts w:ascii="宋体"/>
                <w:vanish/>
              </w:rPr>
            </w:pPr>
          </w:p>
        </w:tc>
        <w:tc>
          <w:tcPr>
            <w:tcW w:w="0" w:type="auto"/>
            <w:gridSpan w:val="3"/>
            <w:shd w:val="clear" w:color="auto" w:fill="auto"/>
            <w:vAlign w:val="bottom"/>
          </w:tcPr>
          <w:p w14:paraId="392C0ECC" w14:textId="77777777" w:rsidR="00980E5F" w:rsidRDefault="00980E5F">
            <w:pPr>
              <w:rPr>
                <w:rFonts w:ascii="宋体"/>
                <w:vanish/>
              </w:rPr>
            </w:pPr>
          </w:p>
        </w:tc>
        <w:tc>
          <w:tcPr>
            <w:tcW w:w="0" w:type="auto"/>
            <w:gridSpan w:val="3"/>
            <w:shd w:val="clear" w:color="auto" w:fill="auto"/>
            <w:vAlign w:val="bottom"/>
          </w:tcPr>
          <w:p w14:paraId="392C0ECD" w14:textId="77777777" w:rsidR="00980E5F" w:rsidRDefault="00980E5F">
            <w:pPr>
              <w:rPr>
                <w:rFonts w:ascii="宋体"/>
                <w:vanish/>
              </w:rPr>
            </w:pPr>
          </w:p>
        </w:tc>
      </w:tr>
      <w:tr w:rsidR="00980E5F" w14:paraId="392C0ED7" w14:textId="77777777">
        <w:trPr>
          <w:hidden/>
        </w:trPr>
        <w:tc>
          <w:tcPr>
            <w:tcW w:w="0" w:type="auto"/>
            <w:gridSpan w:val="3"/>
            <w:shd w:val="clear" w:color="auto" w:fill="auto"/>
            <w:vAlign w:val="bottom"/>
          </w:tcPr>
          <w:p w14:paraId="392C0ECF" w14:textId="77777777" w:rsidR="00980E5F" w:rsidRDefault="00980E5F">
            <w:pPr>
              <w:rPr>
                <w:rFonts w:ascii="宋体"/>
                <w:vanish/>
              </w:rPr>
            </w:pPr>
          </w:p>
        </w:tc>
        <w:tc>
          <w:tcPr>
            <w:tcW w:w="0" w:type="auto"/>
            <w:gridSpan w:val="3"/>
            <w:shd w:val="clear" w:color="auto" w:fill="auto"/>
            <w:vAlign w:val="bottom"/>
          </w:tcPr>
          <w:p w14:paraId="392C0ED0" w14:textId="77777777" w:rsidR="00980E5F" w:rsidRDefault="00980E5F">
            <w:pPr>
              <w:rPr>
                <w:rFonts w:ascii="宋体"/>
                <w:vanish/>
              </w:rPr>
            </w:pPr>
          </w:p>
        </w:tc>
        <w:tc>
          <w:tcPr>
            <w:tcW w:w="0" w:type="auto"/>
            <w:gridSpan w:val="3"/>
            <w:shd w:val="clear" w:color="auto" w:fill="auto"/>
            <w:vAlign w:val="bottom"/>
          </w:tcPr>
          <w:p w14:paraId="392C0ED1" w14:textId="77777777" w:rsidR="00980E5F" w:rsidRDefault="00980E5F">
            <w:pPr>
              <w:rPr>
                <w:rFonts w:ascii="宋体"/>
                <w:vanish/>
              </w:rPr>
            </w:pPr>
          </w:p>
        </w:tc>
        <w:tc>
          <w:tcPr>
            <w:tcW w:w="0" w:type="auto"/>
            <w:gridSpan w:val="3"/>
            <w:shd w:val="clear" w:color="auto" w:fill="auto"/>
            <w:vAlign w:val="bottom"/>
          </w:tcPr>
          <w:p w14:paraId="392C0ED2" w14:textId="77777777" w:rsidR="00980E5F" w:rsidRDefault="00980E5F">
            <w:pPr>
              <w:rPr>
                <w:rFonts w:ascii="宋体"/>
                <w:vanish/>
              </w:rPr>
            </w:pPr>
          </w:p>
        </w:tc>
        <w:tc>
          <w:tcPr>
            <w:tcW w:w="0" w:type="auto"/>
            <w:shd w:val="clear" w:color="auto" w:fill="auto"/>
            <w:vAlign w:val="bottom"/>
          </w:tcPr>
          <w:p w14:paraId="392C0ED3" w14:textId="77777777" w:rsidR="00980E5F" w:rsidRDefault="00980E5F">
            <w:pPr>
              <w:rPr>
                <w:rFonts w:ascii="宋体"/>
                <w:vanish/>
              </w:rPr>
            </w:pPr>
          </w:p>
        </w:tc>
        <w:tc>
          <w:tcPr>
            <w:tcW w:w="0" w:type="auto"/>
            <w:shd w:val="clear" w:color="auto" w:fill="auto"/>
            <w:vAlign w:val="bottom"/>
          </w:tcPr>
          <w:p w14:paraId="392C0ED4" w14:textId="77777777" w:rsidR="00980E5F" w:rsidRDefault="00980E5F">
            <w:pPr>
              <w:rPr>
                <w:rFonts w:ascii="宋体"/>
                <w:vanish/>
              </w:rPr>
            </w:pPr>
          </w:p>
        </w:tc>
        <w:tc>
          <w:tcPr>
            <w:tcW w:w="0" w:type="auto"/>
            <w:gridSpan w:val="3"/>
            <w:shd w:val="clear" w:color="auto" w:fill="auto"/>
            <w:vAlign w:val="bottom"/>
          </w:tcPr>
          <w:p w14:paraId="392C0ED5" w14:textId="77777777" w:rsidR="00980E5F" w:rsidRDefault="00980E5F">
            <w:pPr>
              <w:rPr>
                <w:rFonts w:ascii="宋体"/>
                <w:vanish/>
              </w:rPr>
            </w:pPr>
          </w:p>
        </w:tc>
        <w:tc>
          <w:tcPr>
            <w:tcW w:w="0" w:type="auto"/>
            <w:gridSpan w:val="3"/>
            <w:shd w:val="clear" w:color="auto" w:fill="auto"/>
            <w:vAlign w:val="bottom"/>
          </w:tcPr>
          <w:p w14:paraId="392C0ED6" w14:textId="77777777" w:rsidR="00980E5F" w:rsidRDefault="00980E5F">
            <w:pPr>
              <w:rPr>
                <w:rFonts w:ascii="宋体"/>
                <w:vanish/>
              </w:rPr>
            </w:pPr>
          </w:p>
        </w:tc>
      </w:tr>
      <w:tr w:rsidR="00980E5F" w14:paraId="392C0EE2" w14:textId="77777777">
        <w:tc>
          <w:tcPr>
            <w:tcW w:w="0" w:type="auto"/>
            <w:gridSpan w:val="3"/>
            <w:shd w:val="clear" w:color="auto" w:fill="CCEEFF"/>
            <w:tcMar>
              <w:top w:w="40" w:type="dxa"/>
              <w:left w:w="140" w:type="dxa"/>
              <w:bottom w:w="40" w:type="dxa"/>
              <w:right w:w="20" w:type="dxa"/>
            </w:tcMar>
            <w:vAlign w:val="bottom"/>
          </w:tcPr>
          <w:p w14:paraId="392C0ED8" w14:textId="77777777" w:rsidR="00980E5F" w:rsidRDefault="00483613">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392C0ED9" w14:textId="77777777" w:rsidR="00980E5F" w:rsidRDefault="00483613">
            <w:pPr>
              <w:jc w:val="right"/>
              <w:textAlignment w:val="bottom"/>
            </w:pPr>
            <w:r>
              <w:rPr>
                <w:rFonts w:ascii="Arial" w:eastAsia="宋体" w:hAnsi="Arial" w:cs="Arial"/>
                <w:b/>
                <w:bCs/>
                <w:color w:val="000000"/>
                <w:sz w:val="14"/>
                <w:szCs w:val="14"/>
              </w:rPr>
              <w:t>64,940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E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ED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EDC" w14:textId="77777777" w:rsidR="00980E5F" w:rsidRDefault="00483613">
            <w:pPr>
              <w:jc w:val="right"/>
              <w:textAlignment w:val="bottom"/>
            </w:pPr>
            <w:r>
              <w:rPr>
                <w:rFonts w:ascii="Arial" w:eastAsia="宋体" w:hAnsi="Arial" w:cs="Arial"/>
                <w:color w:val="000000"/>
                <w:sz w:val="14"/>
                <w:szCs w:val="14"/>
              </w:rPr>
              <w:t>62,728 </w:t>
            </w:r>
          </w:p>
        </w:tc>
        <w:tc>
          <w:tcPr>
            <w:tcW w:w="0" w:type="auto"/>
            <w:shd w:val="clear" w:color="auto" w:fill="CCEEFF"/>
            <w:tcMar>
              <w:top w:w="40" w:type="dxa"/>
              <w:left w:w="0" w:type="dxa"/>
              <w:bottom w:w="40" w:type="dxa"/>
              <w:right w:w="20" w:type="dxa"/>
            </w:tcMar>
            <w:vAlign w:val="bottom"/>
          </w:tcPr>
          <w:p w14:paraId="392C0EDD" w14:textId="77777777" w:rsidR="00980E5F" w:rsidRDefault="00980E5F">
            <w:pPr>
              <w:jc w:val="right"/>
              <w:rPr>
                <w:rFonts w:ascii="宋体"/>
              </w:rPr>
            </w:pPr>
          </w:p>
        </w:tc>
        <w:tc>
          <w:tcPr>
            <w:tcW w:w="0" w:type="auto"/>
            <w:shd w:val="clear" w:color="auto" w:fill="auto"/>
            <w:vAlign w:val="bottom"/>
          </w:tcPr>
          <w:p w14:paraId="392C0EDE" w14:textId="77777777" w:rsidR="00980E5F" w:rsidRDefault="00980E5F">
            <w:pPr>
              <w:rPr>
                <w:rFonts w:ascii="宋体"/>
                <w:vanish/>
              </w:rPr>
            </w:pPr>
          </w:p>
        </w:tc>
        <w:tc>
          <w:tcPr>
            <w:tcW w:w="0" w:type="auto"/>
            <w:shd w:val="clear" w:color="auto" w:fill="auto"/>
            <w:vAlign w:val="bottom"/>
          </w:tcPr>
          <w:p w14:paraId="392C0EDF" w14:textId="77777777" w:rsidR="00980E5F" w:rsidRDefault="00980E5F">
            <w:pPr>
              <w:rPr>
                <w:rFonts w:ascii="宋体"/>
                <w:vanish/>
              </w:rPr>
            </w:pPr>
          </w:p>
        </w:tc>
        <w:tc>
          <w:tcPr>
            <w:tcW w:w="0" w:type="auto"/>
            <w:gridSpan w:val="3"/>
            <w:shd w:val="clear" w:color="auto" w:fill="auto"/>
            <w:vAlign w:val="bottom"/>
          </w:tcPr>
          <w:p w14:paraId="392C0EE0" w14:textId="77777777" w:rsidR="00980E5F" w:rsidRDefault="00980E5F">
            <w:pPr>
              <w:rPr>
                <w:rFonts w:ascii="宋体"/>
                <w:vanish/>
              </w:rPr>
            </w:pPr>
          </w:p>
        </w:tc>
        <w:tc>
          <w:tcPr>
            <w:tcW w:w="0" w:type="auto"/>
            <w:gridSpan w:val="3"/>
            <w:shd w:val="clear" w:color="auto" w:fill="auto"/>
            <w:vAlign w:val="bottom"/>
          </w:tcPr>
          <w:p w14:paraId="392C0EE1" w14:textId="77777777" w:rsidR="00980E5F" w:rsidRDefault="00980E5F">
            <w:pPr>
              <w:rPr>
                <w:rFonts w:ascii="宋体"/>
                <w:vanish/>
              </w:rPr>
            </w:pPr>
          </w:p>
        </w:tc>
      </w:tr>
      <w:tr w:rsidR="00980E5F" w14:paraId="392C0EED" w14:textId="77777777">
        <w:tc>
          <w:tcPr>
            <w:tcW w:w="0" w:type="auto"/>
            <w:gridSpan w:val="3"/>
            <w:shd w:val="clear" w:color="auto" w:fill="FFFFFF"/>
            <w:tcMar>
              <w:top w:w="40" w:type="dxa"/>
              <w:left w:w="140" w:type="dxa"/>
              <w:bottom w:w="40" w:type="dxa"/>
              <w:right w:w="20" w:type="dxa"/>
            </w:tcMar>
            <w:vAlign w:val="bottom"/>
          </w:tcPr>
          <w:p w14:paraId="392C0EE3" w14:textId="77777777" w:rsidR="00980E5F" w:rsidRDefault="00483613">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392C0EE4" w14:textId="77777777" w:rsidR="00980E5F" w:rsidRDefault="00483613">
            <w:pPr>
              <w:jc w:val="right"/>
              <w:textAlignment w:val="bottom"/>
            </w:pPr>
            <w:r>
              <w:rPr>
                <w:rFonts w:ascii="Arial" w:eastAsia="宋体" w:hAnsi="Arial" w:cs="Arial"/>
                <w:b/>
                <w:bCs/>
                <w:color w:val="000000"/>
                <w:sz w:val="14"/>
                <w:szCs w:val="14"/>
              </w:rPr>
              <w:t>51,653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E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E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EE7" w14:textId="77777777" w:rsidR="00980E5F" w:rsidRDefault="00483613">
            <w:pPr>
              <w:jc w:val="right"/>
              <w:textAlignment w:val="bottom"/>
            </w:pPr>
            <w:r>
              <w:rPr>
                <w:rFonts w:ascii="Arial" w:eastAsia="宋体" w:hAnsi="Arial" w:cs="Arial"/>
                <w:color w:val="000000"/>
                <w:sz w:val="14"/>
                <w:szCs w:val="14"/>
              </w:rPr>
              <w:t>46,294 </w:t>
            </w:r>
          </w:p>
        </w:tc>
        <w:tc>
          <w:tcPr>
            <w:tcW w:w="0" w:type="auto"/>
            <w:shd w:val="clear" w:color="auto" w:fill="FFFFFF"/>
            <w:tcMar>
              <w:top w:w="40" w:type="dxa"/>
              <w:left w:w="0" w:type="dxa"/>
              <w:bottom w:w="40" w:type="dxa"/>
              <w:right w:w="20" w:type="dxa"/>
            </w:tcMar>
            <w:vAlign w:val="bottom"/>
          </w:tcPr>
          <w:p w14:paraId="392C0EE8" w14:textId="77777777" w:rsidR="00980E5F" w:rsidRDefault="00980E5F">
            <w:pPr>
              <w:jc w:val="right"/>
              <w:rPr>
                <w:rFonts w:ascii="宋体"/>
              </w:rPr>
            </w:pPr>
          </w:p>
        </w:tc>
        <w:tc>
          <w:tcPr>
            <w:tcW w:w="0" w:type="auto"/>
            <w:shd w:val="clear" w:color="auto" w:fill="auto"/>
            <w:vAlign w:val="bottom"/>
          </w:tcPr>
          <w:p w14:paraId="392C0EE9" w14:textId="77777777" w:rsidR="00980E5F" w:rsidRDefault="00980E5F">
            <w:pPr>
              <w:rPr>
                <w:rFonts w:ascii="宋体"/>
                <w:vanish/>
              </w:rPr>
            </w:pPr>
          </w:p>
        </w:tc>
        <w:tc>
          <w:tcPr>
            <w:tcW w:w="0" w:type="auto"/>
            <w:shd w:val="clear" w:color="auto" w:fill="auto"/>
            <w:vAlign w:val="bottom"/>
          </w:tcPr>
          <w:p w14:paraId="392C0EEA" w14:textId="77777777" w:rsidR="00980E5F" w:rsidRDefault="00980E5F">
            <w:pPr>
              <w:rPr>
                <w:rFonts w:ascii="宋体"/>
                <w:vanish/>
              </w:rPr>
            </w:pPr>
          </w:p>
        </w:tc>
        <w:tc>
          <w:tcPr>
            <w:tcW w:w="0" w:type="auto"/>
            <w:gridSpan w:val="3"/>
            <w:shd w:val="clear" w:color="auto" w:fill="auto"/>
            <w:vAlign w:val="bottom"/>
          </w:tcPr>
          <w:p w14:paraId="392C0EEB" w14:textId="77777777" w:rsidR="00980E5F" w:rsidRDefault="00980E5F">
            <w:pPr>
              <w:rPr>
                <w:rFonts w:ascii="宋体"/>
                <w:vanish/>
              </w:rPr>
            </w:pPr>
          </w:p>
        </w:tc>
        <w:tc>
          <w:tcPr>
            <w:tcW w:w="0" w:type="auto"/>
            <w:gridSpan w:val="3"/>
            <w:shd w:val="clear" w:color="auto" w:fill="auto"/>
            <w:vAlign w:val="bottom"/>
          </w:tcPr>
          <w:p w14:paraId="392C0EEC" w14:textId="77777777" w:rsidR="00980E5F" w:rsidRDefault="00980E5F">
            <w:pPr>
              <w:rPr>
                <w:rFonts w:ascii="宋体"/>
                <w:vanish/>
              </w:rPr>
            </w:pPr>
          </w:p>
        </w:tc>
      </w:tr>
      <w:tr w:rsidR="00980E5F" w14:paraId="392C0EF8" w14:textId="77777777">
        <w:tc>
          <w:tcPr>
            <w:tcW w:w="0" w:type="auto"/>
            <w:gridSpan w:val="3"/>
            <w:shd w:val="clear" w:color="auto" w:fill="CCEEFF"/>
            <w:tcMar>
              <w:top w:w="40" w:type="dxa"/>
              <w:left w:w="140" w:type="dxa"/>
              <w:bottom w:w="40" w:type="dxa"/>
              <w:right w:w="20" w:type="dxa"/>
            </w:tcMar>
            <w:vAlign w:val="bottom"/>
          </w:tcPr>
          <w:p w14:paraId="392C0EEE" w14:textId="77777777" w:rsidR="00980E5F" w:rsidRDefault="00483613">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392C0EE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E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EF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EF2" w14:textId="77777777" w:rsidR="00980E5F" w:rsidRDefault="00483613">
            <w:pPr>
              <w:jc w:val="right"/>
              <w:textAlignment w:val="bottom"/>
            </w:pPr>
            <w:r>
              <w:rPr>
                <w:rFonts w:ascii="Arial" w:eastAsia="宋体" w:hAnsi="Arial" w:cs="Arial"/>
                <w:color w:val="000000"/>
                <w:sz w:val="14"/>
                <w:szCs w:val="14"/>
              </w:rPr>
              <w:t>634 </w:t>
            </w:r>
          </w:p>
        </w:tc>
        <w:tc>
          <w:tcPr>
            <w:tcW w:w="0" w:type="auto"/>
            <w:shd w:val="clear" w:color="auto" w:fill="CCEEFF"/>
            <w:tcMar>
              <w:top w:w="40" w:type="dxa"/>
              <w:left w:w="0" w:type="dxa"/>
              <w:bottom w:w="40" w:type="dxa"/>
              <w:right w:w="20" w:type="dxa"/>
            </w:tcMar>
            <w:vAlign w:val="bottom"/>
          </w:tcPr>
          <w:p w14:paraId="392C0EF3" w14:textId="77777777" w:rsidR="00980E5F" w:rsidRDefault="00980E5F">
            <w:pPr>
              <w:jc w:val="right"/>
              <w:rPr>
                <w:rFonts w:ascii="宋体"/>
              </w:rPr>
            </w:pPr>
          </w:p>
        </w:tc>
        <w:tc>
          <w:tcPr>
            <w:tcW w:w="0" w:type="auto"/>
            <w:shd w:val="clear" w:color="auto" w:fill="auto"/>
            <w:vAlign w:val="bottom"/>
          </w:tcPr>
          <w:p w14:paraId="392C0EF4" w14:textId="77777777" w:rsidR="00980E5F" w:rsidRDefault="00980E5F">
            <w:pPr>
              <w:rPr>
                <w:rFonts w:ascii="宋体"/>
                <w:vanish/>
              </w:rPr>
            </w:pPr>
          </w:p>
        </w:tc>
        <w:tc>
          <w:tcPr>
            <w:tcW w:w="0" w:type="auto"/>
            <w:shd w:val="clear" w:color="auto" w:fill="auto"/>
            <w:vAlign w:val="bottom"/>
          </w:tcPr>
          <w:p w14:paraId="392C0EF5" w14:textId="77777777" w:rsidR="00980E5F" w:rsidRDefault="00980E5F">
            <w:pPr>
              <w:rPr>
                <w:rFonts w:ascii="宋体"/>
                <w:vanish/>
              </w:rPr>
            </w:pPr>
          </w:p>
        </w:tc>
        <w:tc>
          <w:tcPr>
            <w:tcW w:w="0" w:type="auto"/>
            <w:gridSpan w:val="3"/>
            <w:shd w:val="clear" w:color="auto" w:fill="auto"/>
            <w:vAlign w:val="bottom"/>
          </w:tcPr>
          <w:p w14:paraId="392C0EF6" w14:textId="77777777" w:rsidR="00980E5F" w:rsidRDefault="00980E5F">
            <w:pPr>
              <w:rPr>
                <w:rFonts w:ascii="宋体"/>
                <w:vanish/>
              </w:rPr>
            </w:pPr>
          </w:p>
        </w:tc>
        <w:tc>
          <w:tcPr>
            <w:tcW w:w="0" w:type="auto"/>
            <w:gridSpan w:val="3"/>
            <w:shd w:val="clear" w:color="auto" w:fill="auto"/>
            <w:vAlign w:val="bottom"/>
          </w:tcPr>
          <w:p w14:paraId="392C0EF7" w14:textId="77777777" w:rsidR="00980E5F" w:rsidRDefault="00980E5F">
            <w:pPr>
              <w:rPr>
                <w:rFonts w:ascii="宋体"/>
                <w:vanish/>
              </w:rPr>
            </w:pPr>
          </w:p>
        </w:tc>
      </w:tr>
      <w:tr w:rsidR="00980E5F" w14:paraId="392C0F03" w14:textId="77777777">
        <w:tc>
          <w:tcPr>
            <w:tcW w:w="0" w:type="auto"/>
            <w:gridSpan w:val="3"/>
            <w:shd w:val="clear" w:color="auto" w:fill="FFFFFF"/>
            <w:tcMar>
              <w:top w:w="40" w:type="dxa"/>
              <w:left w:w="20" w:type="dxa"/>
              <w:bottom w:w="40" w:type="dxa"/>
              <w:right w:w="20" w:type="dxa"/>
            </w:tcMar>
            <w:vAlign w:val="bottom"/>
          </w:tcPr>
          <w:p w14:paraId="392C0EF9" w14:textId="77777777" w:rsidR="00980E5F" w:rsidRDefault="00483613">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EFA" w14:textId="77777777" w:rsidR="00980E5F" w:rsidRDefault="00483613">
            <w:pPr>
              <w:jc w:val="right"/>
              <w:textAlignment w:val="bottom"/>
            </w:pPr>
            <w:r>
              <w:rPr>
                <w:rFonts w:ascii="Arial" w:eastAsia="宋体" w:hAnsi="Arial" w:cs="Arial"/>
                <w:b/>
                <w:bCs/>
                <w:color w:val="000000"/>
                <w:sz w:val="14"/>
                <w:szCs w:val="14"/>
              </w:rPr>
              <w:t>116,593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EF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EF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0EFD" w14:textId="77777777" w:rsidR="00980E5F" w:rsidRDefault="00483613">
            <w:pPr>
              <w:jc w:val="right"/>
              <w:textAlignment w:val="bottom"/>
            </w:pPr>
            <w:r>
              <w:rPr>
                <w:rFonts w:ascii="Arial" w:eastAsia="宋体" w:hAnsi="Arial" w:cs="Arial"/>
                <w:color w:val="000000"/>
                <w:sz w:val="14"/>
                <w:szCs w:val="14"/>
              </w:rPr>
              <w:t>109,656 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EFE" w14:textId="77777777" w:rsidR="00980E5F" w:rsidRDefault="00980E5F">
            <w:pPr>
              <w:jc w:val="right"/>
              <w:rPr>
                <w:rFonts w:ascii="宋体"/>
              </w:rPr>
            </w:pPr>
          </w:p>
        </w:tc>
        <w:tc>
          <w:tcPr>
            <w:tcW w:w="0" w:type="auto"/>
            <w:shd w:val="clear" w:color="auto" w:fill="auto"/>
            <w:vAlign w:val="bottom"/>
          </w:tcPr>
          <w:p w14:paraId="392C0EFF" w14:textId="77777777" w:rsidR="00980E5F" w:rsidRDefault="00980E5F">
            <w:pPr>
              <w:rPr>
                <w:rFonts w:ascii="宋体"/>
                <w:vanish/>
              </w:rPr>
            </w:pPr>
          </w:p>
        </w:tc>
        <w:tc>
          <w:tcPr>
            <w:tcW w:w="0" w:type="auto"/>
            <w:shd w:val="clear" w:color="auto" w:fill="auto"/>
            <w:vAlign w:val="bottom"/>
          </w:tcPr>
          <w:p w14:paraId="392C0F00" w14:textId="77777777" w:rsidR="00980E5F" w:rsidRDefault="00980E5F">
            <w:pPr>
              <w:rPr>
                <w:rFonts w:ascii="宋体"/>
                <w:vanish/>
              </w:rPr>
            </w:pPr>
          </w:p>
        </w:tc>
        <w:tc>
          <w:tcPr>
            <w:tcW w:w="0" w:type="auto"/>
            <w:gridSpan w:val="3"/>
            <w:shd w:val="clear" w:color="auto" w:fill="auto"/>
            <w:vAlign w:val="bottom"/>
          </w:tcPr>
          <w:p w14:paraId="392C0F01" w14:textId="77777777" w:rsidR="00980E5F" w:rsidRDefault="00980E5F">
            <w:pPr>
              <w:rPr>
                <w:rFonts w:ascii="宋体"/>
                <w:vanish/>
              </w:rPr>
            </w:pPr>
          </w:p>
        </w:tc>
        <w:tc>
          <w:tcPr>
            <w:tcW w:w="0" w:type="auto"/>
            <w:gridSpan w:val="3"/>
            <w:shd w:val="clear" w:color="auto" w:fill="auto"/>
            <w:vAlign w:val="bottom"/>
          </w:tcPr>
          <w:p w14:paraId="392C0F02" w14:textId="77777777" w:rsidR="00980E5F" w:rsidRDefault="00980E5F">
            <w:pPr>
              <w:rPr>
                <w:rFonts w:ascii="宋体"/>
                <w:vanish/>
              </w:rPr>
            </w:pPr>
          </w:p>
        </w:tc>
      </w:tr>
      <w:tr w:rsidR="00980E5F" w14:paraId="392C0F0E" w14:textId="77777777">
        <w:tc>
          <w:tcPr>
            <w:tcW w:w="0" w:type="auto"/>
            <w:gridSpan w:val="3"/>
            <w:shd w:val="clear" w:color="auto" w:fill="CCEEFF"/>
            <w:tcMar>
              <w:top w:w="40" w:type="dxa"/>
              <w:left w:w="20" w:type="dxa"/>
              <w:bottom w:w="40" w:type="dxa"/>
              <w:right w:w="20" w:type="dxa"/>
            </w:tcMar>
            <w:vAlign w:val="bottom"/>
          </w:tcPr>
          <w:p w14:paraId="392C0F04" w14:textId="77777777" w:rsidR="00980E5F" w:rsidRDefault="00483613">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392C0F05" w14:textId="77777777" w:rsidR="00980E5F" w:rsidRDefault="00483613">
            <w:pPr>
              <w:jc w:val="right"/>
              <w:textAlignment w:val="bottom"/>
            </w:pPr>
            <w:r>
              <w:rPr>
                <w:rFonts w:ascii="Arial" w:eastAsia="宋体" w:hAnsi="Arial" w:cs="Arial"/>
                <w:b/>
                <w:bCs/>
                <w:color w:val="000000"/>
                <w:sz w:val="14"/>
                <w:szCs w:val="14"/>
              </w:rPr>
              <w:t>35,120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08" w14:textId="77777777" w:rsidR="00980E5F" w:rsidRDefault="00483613">
            <w:pPr>
              <w:jc w:val="right"/>
              <w:textAlignment w:val="bottom"/>
            </w:pPr>
            <w:r>
              <w:rPr>
                <w:rFonts w:ascii="Arial" w:eastAsia="宋体" w:hAnsi="Arial" w:cs="Arial"/>
                <w:color w:val="000000"/>
                <w:sz w:val="14"/>
                <w:szCs w:val="14"/>
              </w:rPr>
              <w:t>28,752 </w:t>
            </w:r>
          </w:p>
        </w:tc>
        <w:tc>
          <w:tcPr>
            <w:tcW w:w="0" w:type="auto"/>
            <w:shd w:val="clear" w:color="auto" w:fill="CCEEFF"/>
            <w:tcMar>
              <w:top w:w="40" w:type="dxa"/>
              <w:left w:w="0" w:type="dxa"/>
              <w:bottom w:w="40" w:type="dxa"/>
              <w:right w:w="20" w:type="dxa"/>
            </w:tcMar>
            <w:vAlign w:val="bottom"/>
          </w:tcPr>
          <w:p w14:paraId="392C0F09" w14:textId="77777777" w:rsidR="00980E5F" w:rsidRDefault="00980E5F">
            <w:pPr>
              <w:jc w:val="right"/>
              <w:rPr>
                <w:rFonts w:ascii="宋体"/>
              </w:rPr>
            </w:pPr>
          </w:p>
        </w:tc>
        <w:tc>
          <w:tcPr>
            <w:tcW w:w="0" w:type="auto"/>
            <w:shd w:val="clear" w:color="auto" w:fill="auto"/>
            <w:vAlign w:val="bottom"/>
          </w:tcPr>
          <w:p w14:paraId="392C0F0A" w14:textId="77777777" w:rsidR="00980E5F" w:rsidRDefault="00980E5F">
            <w:pPr>
              <w:rPr>
                <w:rFonts w:ascii="宋体"/>
                <w:vanish/>
              </w:rPr>
            </w:pPr>
          </w:p>
        </w:tc>
        <w:tc>
          <w:tcPr>
            <w:tcW w:w="0" w:type="auto"/>
            <w:shd w:val="clear" w:color="auto" w:fill="auto"/>
            <w:vAlign w:val="bottom"/>
          </w:tcPr>
          <w:p w14:paraId="392C0F0B" w14:textId="77777777" w:rsidR="00980E5F" w:rsidRDefault="00980E5F">
            <w:pPr>
              <w:rPr>
                <w:rFonts w:ascii="宋体"/>
                <w:vanish/>
              </w:rPr>
            </w:pPr>
          </w:p>
        </w:tc>
        <w:tc>
          <w:tcPr>
            <w:tcW w:w="0" w:type="auto"/>
            <w:gridSpan w:val="3"/>
            <w:shd w:val="clear" w:color="auto" w:fill="auto"/>
            <w:vAlign w:val="bottom"/>
          </w:tcPr>
          <w:p w14:paraId="392C0F0C" w14:textId="77777777" w:rsidR="00980E5F" w:rsidRDefault="00980E5F">
            <w:pPr>
              <w:rPr>
                <w:rFonts w:ascii="宋体"/>
                <w:vanish/>
              </w:rPr>
            </w:pPr>
          </w:p>
        </w:tc>
        <w:tc>
          <w:tcPr>
            <w:tcW w:w="0" w:type="auto"/>
            <w:gridSpan w:val="3"/>
            <w:shd w:val="clear" w:color="auto" w:fill="auto"/>
            <w:vAlign w:val="bottom"/>
          </w:tcPr>
          <w:p w14:paraId="392C0F0D" w14:textId="77777777" w:rsidR="00980E5F" w:rsidRDefault="00980E5F">
            <w:pPr>
              <w:rPr>
                <w:rFonts w:ascii="宋体"/>
                <w:vanish/>
              </w:rPr>
            </w:pPr>
          </w:p>
        </w:tc>
      </w:tr>
      <w:tr w:rsidR="00980E5F" w14:paraId="392C0F19" w14:textId="77777777">
        <w:tc>
          <w:tcPr>
            <w:tcW w:w="0" w:type="auto"/>
            <w:gridSpan w:val="3"/>
            <w:shd w:val="clear" w:color="auto" w:fill="FFFFFF"/>
            <w:tcMar>
              <w:top w:w="40" w:type="dxa"/>
              <w:left w:w="20" w:type="dxa"/>
              <w:bottom w:w="40" w:type="dxa"/>
              <w:right w:w="20" w:type="dxa"/>
            </w:tcMar>
            <w:vAlign w:val="bottom"/>
          </w:tcPr>
          <w:p w14:paraId="392C0F0F" w14:textId="77777777" w:rsidR="00980E5F" w:rsidRDefault="00483613">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392C0F10" w14:textId="77777777" w:rsidR="00980E5F" w:rsidRDefault="00483613">
            <w:pPr>
              <w:jc w:val="right"/>
              <w:textAlignment w:val="bottom"/>
            </w:pPr>
            <w:r>
              <w:rPr>
                <w:rFonts w:ascii="Arial" w:eastAsia="宋体" w:hAnsi="Arial" w:cs="Arial"/>
                <w:b/>
                <w:bCs/>
                <w:color w:val="000000"/>
                <w:sz w:val="14"/>
                <w:szCs w:val="14"/>
              </w:rPr>
              <w:t>22,979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1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13" w14:textId="77777777" w:rsidR="00980E5F" w:rsidRDefault="00483613">
            <w:pPr>
              <w:jc w:val="right"/>
              <w:textAlignment w:val="bottom"/>
            </w:pPr>
            <w:r>
              <w:rPr>
                <w:rFonts w:ascii="Arial" w:eastAsia="宋体" w:hAnsi="Arial" w:cs="Arial"/>
                <w:color w:val="000000"/>
                <w:sz w:val="14"/>
                <w:szCs w:val="14"/>
              </w:rPr>
              <w:t>19,625 </w:t>
            </w:r>
          </w:p>
        </w:tc>
        <w:tc>
          <w:tcPr>
            <w:tcW w:w="0" w:type="auto"/>
            <w:shd w:val="clear" w:color="auto" w:fill="FFFFFF"/>
            <w:tcMar>
              <w:top w:w="40" w:type="dxa"/>
              <w:left w:w="0" w:type="dxa"/>
              <w:bottom w:w="40" w:type="dxa"/>
              <w:right w:w="20" w:type="dxa"/>
            </w:tcMar>
            <w:vAlign w:val="bottom"/>
          </w:tcPr>
          <w:p w14:paraId="392C0F14" w14:textId="77777777" w:rsidR="00980E5F" w:rsidRDefault="00980E5F">
            <w:pPr>
              <w:jc w:val="right"/>
              <w:rPr>
                <w:rFonts w:ascii="宋体"/>
              </w:rPr>
            </w:pPr>
          </w:p>
        </w:tc>
        <w:tc>
          <w:tcPr>
            <w:tcW w:w="0" w:type="auto"/>
            <w:shd w:val="clear" w:color="auto" w:fill="auto"/>
            <w:vAlign w:val="bottom"/>
          </w:tcPr>
          <w:p w14:paraId="392C0F15" w14:textId="77777777" w:rsidR="00980E5F" w:rsidRDefault="00980E5F">
            <w:pPr>
              <w:rPr>
                <w:rFonts w:ascii="宋体"/>
                <w:vanish/>
              </w:rPr>
            </w:pPr>
          </w:p>
        </w:tc>
        <w:tc>
          <w:tcPr>
            <w:tcW w:w="0" w:type="auto"/>
            <w:shd w:val="clear" w:color="auto" w:fill="auto"/>
            <w:vAlign w:val="bottom"/>
          </w:tcPr>
          <w:p w14:paraId="392C0F16" w14:textId="77777777" w:rsidR="00980E5F" w:rsidRDefault="00980E5F">
            <w:pPr>
              <w:rPr>
                <w:rFonts w:ascii="宋体"/>
                <w:vanish/>
              </w:rPr>
            </w:pPr>
          </w:p>
        </w:tc>
        <w:tc>
          <w:tcPr>
            <w:tcW w:w="0" w:type="auto"/>
            <w:gridSpan w:val="3"/>
            <w:shd w:val="clear" w:color="auto" w:fill="auto"/>
            <w:vAlign w:val="bottom"/>
          </w:tcPr>
          <w:p w14:paraId="392C0F17" w14:textId="77777777" w:rsidR="00980E5F" w:rsidRDefault="00980E5F">
            <w:pPr>
              <w:rPr>
                <w:rFonts w:ascii="宋体"/>
                <w:vanish/>
              </w:rPr>
            </w:pPr>
          </w:p>
        </w:tc>
        <w:tc>
          <w:tcPr>
            <w:tcW w:w="0" w:type="auto"/>
            <w:gridSpan w:val="3"/>
            <w:shd w:val="clear" w:color="auto" w:fill="auto"/>
            <w:vAlign w:val="bottom"/>
          </w:tcPr>
          <w:p w14:paraId="392C0F18" w14:textId="77777777" w:rsidR="00980E5F" w:rsidRDefault="00980E5F">
            <w:pPr>
              <w:rPr>
                <w:rFonts w:ascii="宋体"/>
                <w:vanish/>
              </w:rPr>
            </w:pPr>
          </w:p>
        </w:tc>
      </w:tr>
      <w:tr w:rsidR="00980E5F" w14:paraId="392C0F24" w14:textId="77777777">
        <w:tc>
          <w:tcPr>
            <w:tcW w:w="0" w:type="auto"/>
            <w:gridSpan w:val="3"/>
            <w:shd w:val="clear" w:color="auto" w:fill="CCEEFF"/>
            <w:tcMar>
              <w:top w:w="40" w:type="dxa"/>
              <w:left w:w="245" w:type="dxa"/>
              <w:bottom w:w="40" w:type="dxa"/>
              <w:right w:w="20" w:type="dxa"/>
            </w:tcMar>
            <w:vAlign w:val="bottom"/>
          </w:tcPr>
          <w:p w14:paraId="392C0F1A" w14:textId="77777777" w:rsidR="00980E5F" w:rsidRDefault="00483613">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1B" w14:textId="77777777" w:rsidR="00980E5F" w:rsidRDefault="00483613">
            <w:pPr>
              <w:jc w:val="right"/>
              <w:textAlignment w:val="bottom"/>
            </w:pPr>
            <w:r>
              <w:rPr>
                <w:rFonts w:ascii="Arial" w:eastAsia="宋体" w:hAnsi="Arial" w:cs="Arial"/>
                <w:b/>
                <w:bCs/>
                <w:color w:val="000000"/>
                <w:sz w:val="14"/>
                <w:szCs w:val="14"/>
              </w:rPr>
              <w:t>254,664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1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1E" w14:textId="77777777" w:rsidR="00980E5F" w:rsidRDefault="00483613">
            <w:pPr>
              <w:jc w:val="right"/>
              <w:textAlignment w:val="bottom"/>
            </w:pPr>
            <w:r>
              <w:rPr>
                <w:rFonts w:ascii="Arial" w:eastAsia="宋体" w:hAnsi="Arial" w:cs="Arial"/>
                <w:color w:val="000000"/>
                <w:sz w:val="14"/>
                <w:szCs w:val="14"/>
              </w:rPr>
              <w:t>260,406 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1F" w14:textId="77777777" w:rsidR="00980E5F" w:rsidRDefault="00980E5F">
            <w:pPr>
              <w:jc w:val="right"/>
              <w:rPr>
                <w:rFonts w:ascii="宋体"/>
              </w:rPr>
            </w:pPr>
          </w:p>
        </w:tc>
        <w:tc>
          <w:tcPr>
            <w:tcW w:w="0" w:type="auto"/>
            <w:shd w:val="clear" w:color="auto" w:fill="auto"/>
            <w:vAlign w:val="bottom"/>
          </w:tcPr>
          <w:p w14:paraId="392C0F20" w14:textId="77777777" w:rsidR="00980E5F" w:rsidRDefault="00980E5F">
            <w:pPr>
              <w:rPr>
                <w:rFonts w:ascii="宋体"/>
                <w:vanish/>
              </w:rPr>
            </w:pPr>
          </w:p>
        </w:tc>
        <w:tc>
          <w:tcPr>
            <w:tcW w:w="0" w:type="auto"/>
            <w:shd w:val="clear" w:color="auto" w:fill="auto"/>
            <w:vAlign w:val="bottom"/>
          </w:tcPr>
          <w:p w14:paraId="392C0F21" w14:textId="77777777" w:rsidR="00980E5F" w:rsidRDefault="00980E5F">
            <w:pPr>
              <w:rPr>
                <w:rFonts w:ascii="宋体"/>
                <w:vanish/>
              </w:rPr>
            </w:pPr>
          </w:p>
        </w:tc>
        <w:tc>
          <w:tcPr>
            <w:tcW w:w="0" w:type="auto"/>
            <w:gridSpan w:val="3"/>
            <w:shd w:val="clear" w:color="auto" w:fill="auto"/>
            <w:vAlign w:val="bottom"/>
          </w:tcPr>
          <w:p w14:paraId="392C0F22" w14:textId="77777777" w:rsidR="00980E5F" w:rsidRDefault="00980E5F">
            <w:pPr>
              <w:rPr>
                <w:rFonts w:ascii="宋体"/>
                <w:vanish/>
              </w:rPr>
            </w:pPr>
          </w:p>
        </w:tc>
        <w:tc>
          <w:tcPr>
            <w:tcW w:w="0" w:type="auto"/>
            <w:gridSpan w:val="3"/>
            <w:shd w:val="clear" w:color="auto" w:fill="auto"/>
            <w:vAlign w:val="bottom"/>
          </w:tcPr>
          <w:p w14:paraId="392C0F23" w14:textId="77777777" w:rsidR="00980E5F" w:rsidRDefault="00980E5F">
            <w:pPr>
              <w:rPr>
                <w:rFonts w:ascii="宋体"/>
                <w:vanish/>
              </w:rPr>
            </w:pPr>
          </w:p>
        </w:tc>
      </w:tr>
      <w:tr w:rsidR="00980E5F" w14:paraId="392C0F2F" w14:textId="77777777">
        <w:tc>
          <w:tcPr>
            <w:tcW w:w="0" w:type="auto"/>
            <w:gridSpan w:val="3"/>
            <w:shd w:val="clear" w:color="auto" w:fill="FFFFFF"/>
            <w:tcMar>
              <w:top w:w="40" w:type="dxa"/>
              <w:left w:w="20" w:type="dxa"/>
              <w:bottom w:w="40" w:type="dxa"/>
              <w:right w:w="20" w:type="dxa"/>
            </w:tcMar>
            <w:vAlign w:val="bottom"/>
          </w:tcPr>
          <w:p w14:paraId="392C0F25" w14:textId="77777777" w:rsidR="00980E5F" w:rsidRDefault="00483613">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392C0F26" w14:textId="77777777" w:rsidR="00980E5F" w:rsidRDefault="00483613">
            <w:pPr>
              <w:jc w:val="right"/>
              <w:textAlignment w:val="bottom"/>
            </w:pPr>
            <w:r>
              <w:rPr>
                <w:rFonts w:ascii="Arial" w:eastAsia="宋体" w:hAnsi="Arial" w:cs="Arial"/>
                <w:b/>
                <w:bCs/>
                <w:color w:val="000000"/>
                <w:sz w:val="14"/>
                <w:szCs w:val="14"/>
              </w:rPr>
              <w:t>3,923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29" w14:textId="77777777" w:rsidR="00980E5F" w:rsidRDefault="00483613">
            <w:pPr>
              <w:jc w:val="right"/>
              <w:textAlignment w:val="bottom"/>
            </w:pPr>
            <w:r>
              <w:rPr>
                <w:rFonts w:ascii="Arial" w:eastAsia="宋体" w:hAnsi="Arial" w:cs="Arial"/>
                <w:color w:val="000000"/>
                <w:sz w:val="14"/>
                <w:szCs w:val="14"/>
              </w:rPr>
              <w:t>5,065 </w:t>
            </w:r>
          </w:p>
        </w:tc>
        <w:tc>
          <w:tcPr>
            <w:tcW w:w="0" w:type="auto"/>
            <w:shd w:val="clear" w:color="auto" w:fill="FFFFFF"/>
            <w:tcMar>
              <w:top w:w="40" w:type="dxa"/>
              <w:left w:w="0" w:type="dxa"/>
              <w:bottom w:w="40" w:type="dxa"/>
              <w:right w:w="20" w:type="dxa"/>
            </w:tcMar>
            <w:vAlign w:val="bottom"/>
          </w:tcPr>
          <w:p w14:paraId="392C0F2A" w14:textId="77777777" w:rsidR="00980E5F" w:rsidRDefault="00980E5F">
            <w:pPr>
              <w:jc w:val="right"/>
              <w:rPr>
                <w:rFonts w:ascii="宋体"/>
              </w:rPr>
            </w:pPr>
          </w:p>
        </w:tc>
        <w:tc>
          <w:tcPr>
            <w:tcW w:w="0" w:type="auto"/>
            <w:shd w:val="clear" w:color="auto" w:fill="auto"/>
            <w:vAlign w:val="bottom"/>
          </w:tcPr>
          <w:p w14:paraId="392C0F2B" w14:textId="77777777" w:rsidR="00980E5F" w:rsidRDefault="00980E5F">
            <w:pPr>
              <w:rPr>
                <w:rFonts w:ascii="宋体"/>
                <w:vanish/>
              </w:rPr>
            </w:pPr>
          </w:p>
        </w:tc>
        <w:tc>
          <w:tcPr>
            <w:tcW w:w="0" w:type="auto"/>
            <w:shd w:val="clear" w:color="auto" w:fill="auto"/>
            <w:vAlign w:val="bottom"/>
          </w:tcPr>
          <w:p w14:paraId="392C0F2C" w14:textId="77777777" w:rsidR="00980E5F" w:rsidRDefault="00980E5F">
            <w:pPr>
              <w:rPr>
                <w:rFonts w:ascii="宋体"/>
                <w:vanish/>
              </w:rPr>
            </w:pPr>
          </w:p>
        </w:tc>
        <w:tc>
          <w:tcPr>
            <w:tcW w:w="0" w:type="auto"/>
            <w:gridSpan w:val="3"/>
            <w:shd w:val="clear" w:color="auto" w:fill="auto"/>
            <w:vAlign w:val="bottom"/>
          </w:tcPr>
          <w:p w14:paraId="392C0F2D" w14:textId="77777777" w:rsidR="00980E5F" w:rsidRDefault="00980E5F">
            <w:pPr>
              <w:rPr>
                <w:rFonts w:ascii="宋体"/>
                <w:vanish/>
              </w:rPr>
            </w:pPr>
          </w:p>
        </w:tc>
        <w:tc>
          <w:tcPr>
            <w:tcW w:w="0" w:type="auto"/>
            <w:gridSpan w:val="3"/>
            <w:shd w:val="clear" w:color="auto" w:fill="auto"/>
            <w:vAlign w:val="bottom"/>
          </w:tcPr>
          <w:p w14:paraId="392C0F2E" w14:textId="77777777" w:rsidR="00980E5F" w:rsidRDefault="00980E5F">
            <w:pPr>
              <w:rPr>
                <w:rFonts w:ascii="宋体"/>
                <w:vanish/>
              </w:rPr>
            </w:pPr>
          </w:p>
        </w:tc>
      </w:tr>
      <w:tr w:rsidR="00980E5F" w14:paraId="392C0F3A" w14:textId="77777777">
        <w:tc>
          <w:tcPr>
            <w:tcW w:w="0" w:type="auto"/>
            <w:gridSpan w:val="3"/>
            <w:shd w:val="clear" w:color="auto" w:fill="CCEEFF"/>
            <w:tcMar>
              <w:top w:w="40" w:type="dxa"/>
              <w:left w:w="20" w:type="dxa"/>
              <w:bottom w:w="40" w:type="dxa"/>
              <w:right w:w="20" w:type="dxa"/>
            </w:tcMar>
            <w:vAlign w:val="bottom"/>
          </w:tcPr>
          <w:p w14:paraId="392C0F30" w14:textId="77777777" w:rsidR="00980E5F" w:rsidRDefault="00483613">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392C0F31" w14:textId="77777777" w:rsidR="00980E5F" w:rsidRDefault="00483613">
            <w:pPr>
              <w:jc w:val="right"/>
              <w:textAlignment w:val="bottom"/>
            </w:pPr>
            <w:r>
              <w:rPr>
                <w:rFonts w:ascii="Arial" w:eastAsia="宋体" w:hAnsi="Arial" w:cs="Arial"/>
                <w:b/>
                <w:bCs/>
                <w:color w:val="000000"/>
                <w:sz w:val="14"/>
                <w:szCs w:val="14"/>
              </w:rPr>
              <w:t>34,626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34" w14:textId="77777777" w:rsidR="00980E5F" w:rsidRDefault="00483613">
            <w:pPr>
              <w:jc w:val="right"/>
              <w:textAlignment w:val="bottom"/>
            </w:pPr>
            <w:r>
              <w:rPr>
                <w:rFonts w:ascii="Arial" w:eastAsia="宋体" w:hAnsi="Arial" w:cs="Arial"/>
                <w:color w:val="000000"/>
                <w:sz w:val="14"/>
                <w:szCs w:val="14"/>
              </w:rPr>
              <w:t>36,823 </w:t>
            </w:r>
          </w:p>
        </w:tc>
        <w:tc>
          <w:tcPr>
            <w:tcW w:w="0" w:type="auto"/>
            <w:shd w:val="clear" w:color="auto" w:fill="CCEEFF"/>
            <w:tcMar>
              <w:top w:w="40" w:type="dxa"/>
              <w:left w:w="0" w:type="dxa"/>
              <w:bottom w:w="40" w:type="dxa"/>
              <w:right w:w="20" w:type="dxa"/>
            </w:tcMar>
            <w:vAlign w:val="bottom"/>
          </w:tcPr>
          <w:p w14:paraId="392C0F35" w14:textId="77777777" w:rsidR="00980E5F" w:rsidRDefault="00980E5F">
            <w:pPr>
              <w:jc w:val="right"/>
              <w:rPr>
                <w:rFonts w:ascii="宋体"/>
              </w:rPr>
            </w:pPr>
          </w:p>
        </w:tc>
        <w:tc>
          <w:tcPr>
            <w:tcW w:w="0" w:type="auto"/>
            <w:shd w:val="clear" w:color="auto" w:fill="auto"/>
            <w:vAlign w:val="bottom"/>
          </w:tcPr>
          <w:p w14:paraId="392C0F36" w14:textId="77777777" w:rsidR="00980E5F" w:rsidRDefault="00980E5F">
            <w:pPr>
              <w:rPr>
                <w:rFonts w:ascii="宋体"/>
                <w:vanish/>
              </w:rPr>
            </w:pPr>
          </w:p>
        </w:tc>
        <w:tc>
          <w:tcPr>
            <w:tcW w:w="0" w:type="auto"/>
            <w:shd w:val="clear" w:color="auto" w:fill="auto"/>
            <w:vAlign w:val="bottom"/>
          </w:tcPr>
          <w:p w14:paraId="392C0F37" w14:textId="77777777" w:rsidR="00980E5F" w:rsidRDefault="00980E5F">
            <w:pPr>
              <w:rPr>
                <w:rFonts w:ascii="宋体"/>
                <w:vanish/>
              </w:rPr>
            </w:pPr>
          </w:p>
        </w:tc>
        <w:tc>
          <w:tcPr>
            <w:tcW w:w="0" w:type="auto"/>
            <w:gridSpan w:val="3"/>
            <w:shd w:val="clear" w:color="auto" w:fill="auto"/>
            <w:vAlign w:val="bottom"/>
          </w:tcPr>
          <w:p w14:paraId="392C0F38" w14:textId="77777777" w:rsidR="00980E5F" w:rsidRDefault="00980E5F">
            <w:pPr>
              <w:rPr>
                <w:rFonts w:ascii="宋体"/>
                <w:vanish/>
              </w:rPr>
            </w:pPr>
          </w:p>
        </w:tc>
        <w:tc>
          <w:tcPr>
            <w:tcW w:w="0" w:type="auto"/>
            <w:gridSpan w:val="3"/>
            <w:shd w:val="clear" w:color="auto" w:fill="auto"/>
            <w:vAlign w:val="bottom"/>
          </w:tcPr>
          <w:p w14:paraId="392C0F39" w14:textId="77777777" w:rsidR="00980E5F" w:rsidRDefault="00980E5F">
            <w:pPr>
              <w:rPr>
                <w:rFonts w:ascii="宋体"/>
                <w:vanish/>
              </w:rPr>
            </w:pPr>
          </w:p>
        </w:tc>
      </w:tr>
      <w:tr w:rsidR="00980E5F" w14:paraId="392C0F47" w14:textId="77777777">
        <w:tc>
          <w:tcPr>
            <w:tcW w:w="0" w:type="auto"/>
            <w:gridSpan w:val="3"/>
            <w:shd w:val="clear" w:color="auto" w:fill="FFFFFF"/>
            <w:tcMar>
              <w:top w:w="40" w:type="dxa"/>
              <w:left w:w="245" w:type="dxa"/>
              <w:bottom w:w="40" w:type="dxa"/>
              <w:right w:w="20" w:type="dxa"/>
            </w:tcMar>
            <w:vAlign w:val="bottom"/>
          </w:tcPr>
          <w:p w14:paraId="392C0F3B" w14:textId="77777777" w:rsidR="00980E5F" w:rsidRDefault="00483613">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0F3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F3D" w14:textId="77777777" w:rsidR="00980E5F" w:rsidRDefault="00483613">
            <w:pPr>
              <w:jc w:val="right"/>
              <w:textAlignment w:val="bottom"/>
            </w:pPr>
            <w:r>
              <w:rPr>
                <w:rFonts w:ascii="Arial" w:eastAsia="宋体" w:hAnsi="Arial" w:cs="Arial"/>
                <w:b/>
                <w:bCs/>
                <w:color w:val="000000"/>
                <w:sz w:val="14"/>
                <w:szCs w:val="14"/>
              </w:rPr>
              <w:t>293,213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F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3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0F4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0F41" w14:textId="77777777" w:rsidR="00980E5F" w:rsidRDefault="00483613">
            <w:pPr>
              <w:jc w:val="right"/>
              <w:textAlignment w:val="bottom"/>
            </w:pPr>
            <w:r>
              <w:rPr>
                <w:rFonts w:ascii="Arial" w:eastAsia="宋体" w:hAnsi="Arial" w:cs="Arial"/>
                <w:color w:val="000000"/>
                <w:sz w:val="14"/>
                <w:szCs w:val="14"/>
              </w:rPr>
              <w:t>302,294 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0F42" w14:textId="77777777" w:rsidR="00980E5F" w:rsidRDefault="00980E5F">
            <w:pPr>
              <w:jc w:val="right"/>
              <w:rPr>
                <w:rFonts w:ascii="宋体"/>
              </w:rPr>
            </w:pPr>
          </w:p>
        </w:tc>
        <w:tc>
          <w:tcPr>
            <w:tcW w:w="0" w:type="auto"/>
            <w:shd w:val="clear" w:color="auto" w:fill="auto"/>
            <w:vAlign w:val="bottom"/>
          </w:tcPr>
          <w:p w14:paraId="392C0F43" w14:textId="77777777" w:rsidR="00980E5F" w:rsidRDefault="00980E5F">
            <w:pPr>
              <w:rPr>
                <w:rFonts w:ascii="宋体"/>
                <w:vanish/>
              </w:rPr>
            </w:pPr>
          </w:p>
        </w:tc>
        <w:tc>
          <w:tcPr>
            <w:tcW w:w="0" w:type="auto"/>
            <w:shd w:val="clear" w:color="auto" w:fill="auto"/>
            <w:vAlign w:val="bottom"/>
          </w:tcPr>
          <w:p w14:paraId="392C0F44" w14:textId="77777777" w:rsidR="00980E5F" w:rsidRDefault="00980E5F">
            <w:pPr>
              <w:rPr>
                <w:rFonts w:ascii="宋体"/>
                <w:vanish/>
              </w:rPr>
            </w:pPr>
          </w:p>
        </w:tc>
        <w:tc>
          <w:tcPr>
            <w:tcW w:w="0" w:type="auto"/>
            <w:gridSpan w:val="3"/>
            <w:shd w:val="clear" w:color="auto" w:fill="auto"/>
            <w:vAlign w:val="bottom"/>
          </w:tcPr>
          <w:p w14:paraId="392C0F45" w14:textId="77777777" w:rsidR="00980E5F" w:rsidRDefault="00980E5F">
            <w:pPr>
              <w:rPr>
                <w:rFonts w:ascii="宋体"/>
                <w:vanish/>
              </w:rPr>
            </w:pPr>
          </w:p>
        </w:tc>
        <w:tc>
          <w:tcPr>
            <w:tcW w:w="0" w:type="auto"/>
            <w:gridSpan w:val="3"/>
            <w:shd w:val="clear" w:color="auto" w:fill="auto"/>
            <w:vAlign w:val="bottom"/>
          </w:tcPr>
          <w:p w14:paraId="392C0F46" w14:textId="77777777" w:rsidR="00980E5F" w:rsidRDefault="00980E5F">
            <w:pPr>
              <w:rPr>
                <w:rFonts w:ascii="宋体"/>
                <w:vanish/>
              </w:rPr>
            </w:pPr>
          </w:p>
        </w:tc>
      </w:tr>
      <w:tr w:rsidR="00980E5F" w14:paraId="392C0F50" w14:textId="77777777">
        <w:tc>
          <w:tcPr>
            <w:tcW w:w="0" w:type="auto"/>
            <w:gridSpan w:val="3"/>
            <w:shd w:val="clear" w:color="auto" w:fill="CCEEFF"/>
            <w:tcMar>
              <w:top w:w="40" w:type="dxa"/>
              <w:left w:w="20" w:type="dxa"/>
              <w:bottom w:w="40" w:type="dxa"/>
              <w:right w:w="20" w:type="dxa"/>
            </w:tcMar>
            <w:vAlign w:val="bottom"/>
          </w:tcPr>
          <w:p w14:paraId="392C0F48" w14:textId="77777777" w:rsidR="00980E5F" w:rsidRDefault="00483613">
            <w:pPr>
              <w:textAlignment w:val="bottom"/>
            </w:pPr>
            <w:r>
              <w:rPr>
                <w:rFonts w:ascii="Arial" w:eastAsia="宋体" w:hAnsi="Arial" w:cs="Arial"/>
                <w:b/>
                <w:bCs/>
                <w:color w:val="000000"/>
                <w:sz w:val="14"/>
                <w:szCs w:val="14"/>
              </w:rPr>
              <w:t xml:space="preserve">Liabilities and </w:t>
            </w:r>
            <w:r>
              <w:rPr>
                <w:rFonts w:ascii="Arial" w:eastAsia="宋体" w:hAnsi="Arial" w:cs="Arial"/>
                <w:b/>
                <w:bCs/>
                <w:color w:val="000000"/>
                <w:sz w:val="14"/>
                <w:szCs w:val="14"/>
              </w:rPr>
              <w:t>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0F4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0F4A"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0F4B" w14:textId="77777777" w:rsidR="00980E5F" w:rsidRDefault="00980E5F">
            <w:pPr>
              <w:rPr>
                <w:rFonts w:ascii="宋体"/>
              </w:rPr>
            </w:pPr>
          </w:p>
        </w:tc>
        <w:tc>
          <w:tcPr>
            <w:tcW w:w="0" w:type="auto"/>
            <w:shd w:val="clear" w:color="auto" w:fill="auto"/>
            <w:vAlign w:val="bottom"/>
          </w:tcPr>
          <w:p w14:paraId="392C0F4C" w14:textId="77777777" w:rsidR="00980E5F" w:rsidRDefault="00980E5F">
            <w:pPr>
              <w:rPr>
                <w:rFonts w:ascii="宋体"/>
                <w:vanish/>
              </w:rPr>
            </w:pPr>
          </w:p>
        </w:tc>
        <w:tc>
          <w:tcPr>
            <w:tcW w:w="0" w:type="auto"/>
            <w:shd w:val="clear" w:color="auto" w:fill="auto"/>
            <w:vAlign w:val="bottom"/>
          </w:tcPr>
          <w:p w14:paraId="392C0F4D" w14:textId="77777777" w:rsidR="00980E5F" w:rsidRDefault="00980E5F">
            <w:pPr>
              <w:rPr>
                <w:rFonts w:ascii="宋体"/>
                <w:vanish/>
              </w:rPr>
            </w:pPr>
          </w:p>
        </w:tc>
        <w:tc>
          <w:tcPr>
            <w:tcW w:w="0" w:type="auto"/>
            <w:gridSpan w:val="3"/>
            <w:shd w:val="clear" w:color="auto" w:fill="auto"/>
            <w:vAlign w:val="bottom"/>
          </w:tcPr>
          <w:p w14:paraId="392C0F4E" w14:textId="77777777" w:rsidR="00980E5F" w:rsidRDefault="00980E5F">
            <w:pPr>
              <w:rPr>
                <w:rFonts w:ascii="宋体"/>
                <w:vanish/>
              </w:rPr>
            </w:pPr>
          </w:p>
        </w:tc>
        <w:tc>
          <w:tcPr>
            <w:tcW w:w="0" w:type="auto"/>
            <w:gridSpan w:val="3"/>
            <w:shd w:val="clear" w:color="auto" w:fill="auto"/>
            <w:vAlign w:val="bottom"/>
          </w:tcPr>
          <w:p w14:paraId="392C0F4F" w14:textId="77777777" w:rsidR="00980E5F" w:rsidRDefault="00980E5F">
            <w:pPr>
              <w:rPr>
                <w:rFonts w:ascii="宋体"/>
                <w:vanish/>
              </w:rPr>
            </w:pPr>
          </w:p>
        </w:tc>
      </w:tr>
      <w:tr w:rsidR="00980E5F" w14:paraId="392C0F59" w14:textId="77777777">
        <w:tc>
          <w:tcPr>
            <w:tcW w:w="0" w:type="auto"/>
            <w:gridSpan w:val="3"/>
            <w:shd w:val="clear" w:color="auto" w:fill="auto"/>
            <w:tcMar>
              <w:top w:w="40" w:type="dxa"/>
              <w:left w:w="20" w:type="dxa"/>
              <w:bottom w:w="40" w:type="dxa"/>
              <w:right w:w="20" w:type="dxa"/>
            </w:tcMar>
            <w:vAlign w:val="bottom"/>
          </w:tcPr>
          <w:p w14:paraId="392C0F51" w14:textId="77777777" w:rsidR="00980E5F" w:rsidRDefault="00483613">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vAlign w:val="bottom"/>
          </w:tcPr>
          <w:p w14:paraId="392C0F5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F5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0F54" w14:textId="77777777" w:rsidR="00980E5F" w:rsidRDefault="00980E5F">
            <w:pPr>
              <w:rPr>
                <w:rFonts w:ascii="宋体"/>
              </w:rPr>
            </w:pPr>
          </w:p>
        </w:tc>
        <w:tc>
          <w:tcPr>
            <w:tcW w:w="0" w:type="auto"/>
            <w:shd w:val="clear" w:color="auto" w:fill="auto"/>
            <w:vAlign w:val="bottom"/>
          </w:tcPr>
          <w:p w14:paraId="392C0F55" w14:textId="77777777" w:rsidR="00980E5F" w:rsidRDefault="00980E5F">
            <w:pPr>
              <w:rPr>
                <w:rFonts w:ascii="宋体"/>
                <w:vanish/>
              </w:rPr>
            </w:pPr>
          </w:p>
        </w:tc>
        <w:tc>
          <w:tcPr>
            <w:tcW w:w="0" w:type="auto"/>
            <w:shd w:val="clear" w:color="auto" w:fill="auto"/>
            <w:vAlign w:val="bottom"/>
          </w:tcPr>
          <w:p w14:paraId="392C0F56" w14:textId="77777777" w:rsidR="00980E5F" w:rsidRDefault="00980E5F">
            <w:pPr>
              <w:rPr>
                <w:rFonts w:ascii="宋体"/>
                <w:vanish/>
              </w:rPr>
            </w:pPr>
          </w:p>
        </w:tc>
        <w:tc>
          <w:tcPr>
            <w:tcW w:w="0" w:type="auto"/>
            <w:gridSpan w:val="3"/>
            <w:shd w:val="clear" w:color="auto" w:fill="auto"/>
            <w:vAlign w:val="bottom"/>
          </w:tcPr>
          <w:p w14:paraId="392C0F57" w14:textId="77777777" w:rsidR="00980E5F" w:rsidRDefault="00980E5F">
            <w:pPr>
              <w:rPr>
                <w:rFonts w:ascii="宋体"/>
                <w:vanish/>
              </w:rPr>
            </w:pPr>
          </w:p>
        </w:tc>
        <w:tc>
          <w:tcPr>
            <w:tcW w:w="0" w:type="auto"/>
            <w:gridSpan w:val="3"/>
            <w:shd w:val="clear" w:color="auto" w:fill="auto"/>
            <w:vAlign w:val="bottom"/>
          </w:tcPr>
          <w:p w14:paraId="392C0F58" w14:textId="77777777" w:rsidR="00980E5F" w:rsidRDefault="00980E5F">
            <w:pPr>
              <w:rPr>
                <w:rFonts w:ascii="宋体"/>
                <w:vanish/>
              </w:rPr>
            </w:pPr>
          </w:p>
        </w:tc>
      </w:tr>
      <w:tr w:rsidR="00980E5F" w14:paraId="392C0F66" w14:textId="77777777">
        <w:tc>
          <w:tcPr>
            <w:tcW w:w="0" w:type="auto"/>
            <w:gridSpan w:val="3"/>
            <w:shd w:val="clear" w:color="auto" w:fill="CCEEFF"/>
            <w:tcMar>
              <w:top w:w="40" w:type="dxa"/>
              <w:left w:w="245" w:type="dxa"/>
              <w:bottom w:w="40" w:type="dxa"/>
              <w:right w:w="20" w:type="dxa"/>
            </w:tcMar>
            <w:vAlign w:val="bottom"/>
          </w:tcPr>
          <w:p w14:paraId="392C0F5A" w14:textId="77777777" w:rsidR="00980E5F" w:rsidRDefault="00483613">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392C0F5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0F5C" w14:textId="77777777" w:rsidR="00980E5F" w:rsidRDefault="00483613">
            <w:pPr>
              <w:jc w:val="right"/>
              <w:textAlignment w:val="bottom"/>
            </w:pPr>
            <w:r>
              <w:rPr>
                <w:rFonts w:ascii="Arial" w:eastAsia="宋体" w:hAnsi="Arial" w:cs="Arial"/>
                <w:b/>
                <w:bCs/>
                <w:color w:val="000000"/>
                <w:sz w:val="14"/>
                <w:szCs w:val="14"/>
              </w:rPr>
              <w:t>98,665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5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0F5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0F60" w14:textId="77777777" w:rsidR="00980E5F" w:rsidRDefault="00483613">
            <w:pPr>
              <w:jc w:val="right"/>
              <w:textAlignment w:val="bottom"/>
            </w:pPr>
            <w:r>
              <w:rPr>
                <w:rFonts w:ascii="Arial" w:eastAsia="宋体" w:hAnsi="Arial" w:cs="Arial"/>
                <w:color w:val="000000"/>
                <w:sz w:val="14"/>
                <w:szCs w:val="14"/>
              </w:rPr>
              <w:t>105,647 </w:t>
            </w:r>
          </w:p>
        </w:tc>
        <w:tc>
          <w:tcPr>
            <w:tcW w:w="0" w:type="auto"/>
            <w:shd w:val="clear" w:color="auto" w:fill="CCEEFF"/>
            <w:tcMar>
              <w:top w:w="40" w:type="dxa"/>
              <w:left w:w="0" w:type="dxa"/>
              <w:bottom w:w="40" w:type="dxa"/>
              <w:right w:w="20" w:type="dxa"/>
            </w:tcMar>
            <w:vAlign w:val="bottom"/>
          </w:tcPr>
          <w:p w14:paraId="392C0F61" w14:textId="77777777" w:rsidR="00980E5F" w:rsidRDefault="00980E5F">
            <w:pPr>
              <w:jc w:val="right"/>
              <w:rPr>
                <w:rFonts w:ascii="宋体"/>
              </w:rPr>
            </w:pPr>
          </w:p>
        </w:tc>
        <w:tc>
          <w:tcPr>
            <w:tcW w:w="0" w:type="auto"/>
            <w:shd w:val="clear" w:color="auto" w:fill="auto"/>
            <w:vAlign w:val="bottom"/>
          </w:tcPr>
          <w:p w14:paraId="392C0F62" w14:textId="77777777" w:rsidR="00980E5F" w:rsidRDefault="00980E5F">
            <w:pPr>
              <w:rPr>
                <w:rFonts w:ascii="宋体"/>
                <w:vanish/>
              </w:rPr>
            </w:pPr>
          </w:p>
        </w:tc>
        <w:tc>
          <w:tcPr>
            <w:tcW w:w="0" w:type="auto"/>
            <w:shd w:val="clear" w:color="auto" w:fill="auto"/>
            <w:vAlign w:val="bottom"/>
          </w:tcPr>
          <w:p w14:paraId="392C0F63" w14:textId="77777777" w:rsidR="00980E5F" w:rsidRDefault="00980E5F">
            <w:pPr>
              <w:rPr>
                <w:rFonts w:ascii="宋体"/>
                <w:vanish/>
              </w:rPr>
            </w:pPr>
          </w:p>
        </w:tc>
        <w:tc>
          <w:tcPr>
            <w:tcW w:w="0" w:type="auto"/>
            <w:gridSpan w:val="3"/>
            <w:shd w:val="clear" w:color="auto" w:fill="auto"/>
            <w:vAlign w:val="bottom"/>
          </w:tcPr>
          <w:p w14:paraId="392C0F64" w14:textId="77777777" w:rsidR="00980E5F" w:rsidRDefault="00980E5F">
            <w:pPr>
              <w:rPr>
                <w:rFonts w:ascii="宋体"/>
                <w:vanish/>
              </w:rPr>
            </w:pPr>
          </w:p>
        </w:tc>
        <w:tc>
          <w:tcPr>
            <w:tcW w:w="0" w:type="auto"/>
            <w:gridSpan w:val="3"/>
            <w:shd w:val="clear" w:color="auto" w:fill="auto"/>
            <w:vAlign w:val="bottom"/>
          </w:tcPr>
          <w:p w14:paraId="392C0F65" w14:textId="77777777" w:rsidR="00980E5F" w:rsidRDefault="00980E5F">
            <w:pPr>
              <w:rPr>
                <w:rFonts w:ascii="宋体"/>
                <w:vanish/>
              </w:rPr>
            </w:pPr>
          </w:p>
        </w:tc>
      </w:tr>
      <w:tr w:rsidR="00980E5F" w14:paraId="392C0F71" w14:textId="77777777">
        <w:tc>
          <w:tcPr>
            <w:tcW w:w="0" w:type="auto"/>
            <w:gridSpan w:val="3"/>
            <w:shd w:val="clear" w:color="auto" w:fill="FFFFFF"/>
            <w:tcMar>
              <w:top w:w="40" w:type="dxa"/>
              <w:left w:w="245" w:type="dxa"/>
              <w:bottom w:w="40" w:type="dxa"/>
              <w:right w:w="20" w:type="dxa"/>
            </w:tcMar>
            <w:vAlign w:val="bottom"/>
          </w:tcPr>
          <w:p w14:paraId="392C0F67" w14:textId="77777777" w:rsidR="00980E5F" w:rsidRDefault="00483613">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392C0F68" w14:textId="77777777" w:rsidR="00980E5F" w:rsidRDefault="00483613">
            <w:pPr>
              <w:jc w:val="right"/>
              <w:textAlignment w:val="bottom"/>
            </w:pPr>
            <w:r>
              <w:rPr>
                <w:rFonts w:ascii="Arial" w:eastAsia="宋体" w:hAnsi="Arial" w:cs="Arial"/>
                <w:b/>
                <w:bCs/>
                <w:color w:val="000000"/>
                <w:sz w:val="14"/>
                <w:szCs w:val="14"/>
              </w:rPr>
              <w:t>81,796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6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6B" w14:textId="77777777" w:rsidR="00980E5F" w:rsidRDefault="00483613">
            <w:pPr>
              <w:jc w:val="right"/>
              <w:textAlignment w:val="bottom"/>
            </w:pPr>
            <w:r>
              <w:rPr>
                <w:rFonts w:ascii="Arial" w:eastAsia="宋体" w:hAnsi="Arial" w:cs="Arial"/>
                <w:color w:val="000000"/>
                <w:sz w:val="14"/>
                <w:szCs w:val="14"/>
              </w:rPr>
              <w:t>80,854 </w:t>
            </w:r>
          </w:p>
        </w:tc>
        <w:tc>
          <w:tcPr>
            <w:tcW w:w="0" w:type="auto"/>
            <w:shd w:val="clear" w:color="auto" w:fill="FFFFFF"/>
            <w:tcMar>
              <w:top w:w="40" w:type="dxa"/>
              <w:left w:w="0" w:type="dxa"/>
              <w:bottom w:w="40" w:type="dxa"/>
              <w:right w:w="20" w:type="dxa"/>
            </w:tcMar>
            <w:vAlign w:val="bottom"/>
          </w:tcPr>
          <w:p w14:paraId="392C0F6C" w14:textId="77777777" w:rsidR="00980E5F" w:rsidRDefault="00980E5F">
            <w:pPr>
              <w:jc w:val="right"/>
              <w:rPr>
                <w:rFonts w:ascii="宋体"/>
              </w:rPr>
            </w:pPr>
          </w:p>
        </w:tc>
        <w:tc>
          <w:tcPr>
            <w:tcW w:w="0" w:type="auto"/>
            <w:shd w:val="clear" w:color="auto" w:fill="auto"/>
            <w:vAlign w:val="bottom"/>
          </w:tcPr>
          <w:p w14:paraId="392C0F6D" w14:textId="77777777" w:rsidR="00980E5F" w:rsidRDefault="00980E5F">
            <w:pPr>
              <w:rPr>
                <w:rFonts w:ascii="宋体"/>
                <w:vanish/>
              </w:rPr>
            </w:pPr>
          </w:p>
        </w:tc>
        <w:tc>
          <w:tcPr>
            <w:tcW w:w="0" w:type="auto"/>
            <w:shd w:val="clear" w:color="auto" w:fill="auto"/>
            <w:vAlign w:val="bottom"/>
          </w:tcPr>
          <w:p w14:paraId="392C0F6E" w14:textId="77777777" w:rsidR="00980E5F" w:rsidRDefault="00980E5F">
            <w:pPr>
              <w:rPr>
                <w:rFonts w:ascii="宋体"/>
                <w:vanish/>
              </w:rPr>
            </w:pPr>
          </w:p>
        </w:tc>
        <w:tc>
          <w:tcPr>
            <w:tcW w:w="0" w:type="auto"/>
            <w:gridSpan w:val="3"/>
            <w:shd w:val="clear" w:color="auto" w:fill="auto"/>
            <w:vAlign w:val="bottom"/>
          </w:tcPr>
          <w:p w14:paraId="392C0F6F" w14:textId="77777777" w:rsidR="00980E5F" w:rsidRDefault="00980E5F">
            <w:pPr>
              <w:rPr>
                <w:rFonts w:ascii="宋体"/>
                <w:vanish/>
              </w:rPr>
            </w:pPr>
          </w:p>
        </w:tc>
        <w:tc>
          <w:tcPr>
            <w:tcW w:w="0" w:type="auto"/>
            <w:gridSpan w:val="3"/>
            <w:shd w:val="clear" w:color="auto" w:fill="auto"/>
            <w:vAlign w:val="bottom"/>
          </w:tcPr>
          <w:p w14:paraId="392C0F70" w14:textId="77777777" w:rsidR="00980E5F" w:rsidRDefault="00980E5F">
            <w:pPr>
              <w:rPr>
                <w:rFonts w:ascii="宋体"/>
                <w:vanish/>
              </w:rPr>
            </w:pPr>
          </w:p>
        </w:tc>
      </w:tr>
      <w:tr w:rsidR="00980E5F" w14:paraId="392C0F7C" w14:textId="77777777">
        <w:tc>
          <w:tcPr>
            <w:tcW w:w="0" w:type="auto"/>
            <w:gridSpan w:val="3"/>
            <w:shd w:val="clear" w:color="auto" w:fill="CCEEFF"/>
            <w:tcMar>
              <w:top w:w="40" w:type="dxa"/>
              <w:left w:w="20" w:type="dxa"/>
              <w:bottom w:w="40" w:type="dxa"/>
              <w:right w:w="20" w:type="dxa"/>
            </w:tcMar>
            <w:vAlign w:val="bottom"/>
          </w:tcPr>
          <w:p w14:paraId="392C0F72" w14:textId="77777777" w:rsidR="00980E5F" w:rsidRDefault="00483613">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73" w14:textId="77777777" w:rsidR="00980E5F" w:rsidRDefault="00483613">
            <w:pPr>
              <w:jc w:val="right"/>
              <w:textAlignment w:val="bottom"/>
            </w:pPr>
            <w:r>
              <w:rPr>
                <w:rFonts w:ascii="Arial" w:eastAsia="宋体" w:hAnsi="Arial" w:cs="Arial"/>
                <w:b/>
                <w:bCs/>
                <w:color w:val="000000"/>
                <w:sz w:val="14"/>
                <w:szCs w:val="14"/>
              </w:rPr>
              <w:t>180,461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7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76" w14:textId="77777777" w:rsidR="00980E5F" w:rsidRDefault="00483613">
            <w:pPr>
              <w:jc w:val="right"/>
              <w:textAlignment w:val="bottom"/>
            </w:pPr>
            <w:r>
              <w:rPr>
                <w:rFonts w:ascii="Arial" w:eastAsia="宋体" w:hAnsi="Arial" w:cs="Arial"/>
                <w:color w:val="000000"/>
                <w:sz w:val="14"/>
                <w:szCs w:val="14"/>
              </w:rPr>
              <w:t>186,501 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77" w14:textId="77777777" w:rsidR="00980E5F" w:rsidRDefault="00980E5F">
            <w:pPr>
              <w:jc w:val="right"/>
              <w:rPr>
                <w:rFonts w:ascii="宋体"/>
              </w:rPr>
            </w:pPr>
          </w:p>
        </w:tc>
        <w:tc>
          <w:tcPr>
            <w:tcW w:w="0" w:type="auto"/>
            <w:shd w:val="clear" w:color="auto" w:fill="auto"/>
            <w:vAlign w:val="bottom"/>
          </w:tcPr>
          <w:p w14:paraId="392C0F78" w14:textId="77777777" w:rsidR="00980E5F" w:rsidRDefault="00980E5F">
            <w:pPr>
              <w:rPr>
                <w:rFonts w:ascii="宋体"/>
                <w:vanish/>
              </w:rPr>
            </w:pPr>
          </w:p>
        </w:tc>
        <w:tc>
          <w:tcPr>
            <w:tcW w:w="0" w:type="auto"/>
            <w:shd w:val="clear" w:color="auto" w:fill="auto"/>
            <w:vAlign w:val="bottom"/>
          </w:tcPr>
          <w:p w14:paraId="392C0F79" w14:textId="77777777" w:rsidR="00980E5F" w:rsidRDefault="00980E5F">
            <w:pPr>
              <w:rPr>
                <w:rFonts w:ascii="宋体"/>
                <w:vanish/>
              </w:rPr>
            </w:pPr>
          </w:p>
        </w:tc>
        <w:tc>
          <w:tcPr>
            <w:tcW w:w="0" w:type="auto"/>
            <w:gridSpan w:val="3"/>
            <w:shd w:val="clear" w:color="auto" w:fill="auto"/>
            <w:vAlign w:val="bottom"/>
          </w:tcPr>
          <w:p w14:paraId="392C0F7A" w14:textId="77777777" w:rsidR="00980E5F" w:rsidRDefault="00980E5F">
            <w:pPr>
              <w:rPr>
                <w:rFonts w:ascii="宋体"/>
                <w:vanish/>
              </w:rPr>
            </w:pPr>
          </w:p>
        </w:tc>
        <w:tc>
          <w:tcPr>
            <w:tcW w:w="0" w:type="auto"/>
            <w:gridSpan w:val="3"/>
            <w:shd w:val="clear" w:color="auto" w:fill="auto"/>
            <w:vAlign w:val="bottom"/>
          </w:tcPr>
          <w:p w14:paraId="392C0F7B" w14:textId="77777777" w:rsidR="00980E5F" w:rsidRDefault="00980E5F">
            <w:pPr>
              <w:rPr>
                <w:rFonts w:ascii="宋体"/>
                <w:vanish/>
              </w:rPr>
            </w:pPr>
          </w:p>
        </w:tc>
      </w:tr>
      <w:tr w:rsidR="00980E5F" w14:paraId="392C0F87" w14:textId="77777777">
        <w:tc>
          <w:tcPr>
            <w:tcW w:w="0" w:type="auto"/>
            <w:gridSpan w:val="3"/>
            <w:shd w:val="clear" w:color="auto" w:fill="FFFFFF"/>
            <w:tcMar>
              <w:top w:w="40" w:type="dxa"/>
              <w:left w:w="20" w:type="dxa"/>
              <w:bottom w:w="40" w:type="dxa"/>
              <w:right w:w="20" w:type="dxa"/>
            </w:tcMar>
            <w:vAlign w:val="bottom"/>
          </w:tcPr>
          <w:p w14:paraId="392C0F7D" w14:textId="77777777" w:rsidR="00980E5F" w:rsidRDefault="00483613">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0F7E" w14:textId="77777777" w:rsidR="00980E5F" w:rsidRDefault="00483613">
            <w:pPr>
              <w:jc w:val="right"/>
              <w:textAlignment w:val="bottom"/>
            </w:pPr>
            <w:r>
              <w:rPr>
                <w:rFonts w:ascii="Arial" w:eastAsia="宋体" w:hAnsi="Arial" w:cs="Arial"/>
                <w:b/>
                <w:bCs/>
                <w:color w:val="000000"/>
                <w:sz w:val="14"/>
                <w:szCs w:val="14"/>
              </w:rPr>
              <w:t>3,389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8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81" w14:textId="77777777" w:rsidR="00980E5F" w:rsidRDefault="00483613">
            <w:pPr>
              <w:jc w:val="right"/>
              <w:textAlignment w:val="bottom"/>
            </w:pPr>
            <w:r>
              <w:rPr>
                <w:rFonts w:ascii="Arial" w:eastAsia="宋体" w:hAnsi="Arial" w:cs="Arial"/>
                <w:color w:val="000000"/>
                <w:sz w:val="14"/>
                <w:szCs w:val="14"/>
              </w:rPr>
              <w:t>745 </w:t>
            </w:r>
          </w:p>
        </w:tc>
        <w:tc>
          <w:tcPr>
            <w:tcW w:w="0" w:type="auto"/>
            <w:shd w:val="clear" w:color="auto" w:fill="FFFFFF"/>
            <w:tcMar>
              <w:top w:w="40" w:type="dxa"/>
              <w:left w:w="0" w:type="dxa"/>
              <w:bottom w:w="40" w:type="dxa"/>
              <w:right w:w="20" w:type="dxa"/>
            </w:tcMar>
            <w:vAlign w:val="bottom"/>
          </w:tcPr>
          <w:p w14:paraId="392C0F82" w14:textId="77777777" w:rsidR="00980E5F" w:rsidRDefault="00980E5F">
            <w:pPr>
              <w:jc w:val="right"/>
              <w:rPr>
                <w:rFonts w:ascii="宋体"/>
              </w:rPr>
            </w:pPr>
          </w:p>
        </w:tc>
        <w:tc>
          <w:tcPr>
            <w:tcW w:w="0" w:type="auto"/>
            <w:shd w:val="clear" w:color="auto" w:fill="auto"/>
            <w:vAlign w:val="bottom"/>
          </w:tcPr>
          <w:p w14:paraId="392C0F83" w14:textId="77777777" w:rsidR="00980E5F" w:rsidRDefault="00980E5F">
            <w:pPr>
              <w:rPr>
                <w:rFonts w:ascii="宋体"/>
                <w:vanish/>
              </w:rPr>
            </w:pPr>
          </w:p>
        </w:tc>
        <w:tc>
          <w:tcPr>
            <w:tcW w:w="0" w:type="auto"/>
            <w:shd w:val="clear" w:color="auto" w:fill="auto"/>
            <w:vAlign w:val="bottom"/>
          </w:tcPr>
          <w:p w14:paraId="392C0F84" w14:textId="77777777" w:rsidR="00980E5F" w:rsidRDefault="00980E5F">
            <w:pPr>
              <w:rPr>
                <w:rFonts w:ascii="宋体"/>
                <w:vanish/>
              </w:rPr>
            </w:pPr>
          </w:p>
        </w:tc>
        <w:tc>
          <w:tcPr>
            <w:tcW w:w="0" w:type="auto"/>
            <w:gridSpan w:val="3"/>
            <w:shd w:val="clear" w:color="auto" w:fill="auto"/>
            <w:vAlign w:val="bottom"/>
          </w:tcPr>
          <w:p w14:paraId="392C0F85" w14:textId="77777777" w:rsidR="00980E5F" w:rsidRDefault="00980E5F">
            <w:pPr>
              <w:rPr>
                <w:rFonts w:ascii="宋体"/>
                <w:vanish/>
              </w:rPr>
            </w:pPr>
          </w:p>
        </w:tc>
        <w:tc>
          <w:tcPr>
            <w:tcW w:w="0" w:type="auto"/>
            <w:gridSpan w:val="3"/>
            <w:shd w:val="clear" w:color="auto" w:fill="auto"/>
            <w:vAlign w:val="bottom"/>
          </w:tcPr>
          <w:p w14:paraId="392C0F86" w14:textId="77777777" w:rsidR="00980E5F" w:rsidRDefault="00980E5F">
            <w:pPr>
              <w:rPr>
                <w:rFonts w:ascii="宋体"/>
                <w:vanish/>
              </w:rPr>
            </w:pPr>
          </w:p>
        </w:tc>
      </w:tr>
      <w:tr w:rsidR="00980E5F" w14:paraId="392C0F92" w14:textId="77777777">
        <w:tc>
          <w:tcPr>
            <w:tcW w:w="0" w:type="auto"/>
            <w:gridSpan w:val="3"/>
            <w:shd w:val="clear" w:color="auto" w:fill="CCEEFF"/>
            <w:tcMar>
              <w:top w:w="40" w:type="dxa"/>
              <w:left w:w="20" w:type="dxa"/>
              <w:bottom w:w="40" w:type="dxa"/>
              <w:right w:w="20" w:type="dxa"/>
            </w:tcMar>
            <w:vAlign w:val="bottom"/>
          </w:tcPr>
          <w:p w14:paraId="392C0F88" w14:textId="77777777" w:rsidR="00980E5F" w:rsidRDefault="00483613">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392C0F8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8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8C" w14:textId="77777777" w:rsidR="00980E5F" w:rsidRDefault="00483613">
            <w:pPr>
              <w:jc w:val="right"/>
              <w:textAlignment w:val="bottom"/>
            </w:pPr>
            <w:r>
              <w:rPr>
                <w:rFonts w:ascii="Arial" w:eastAsia="宋体" w:hAnsi="Arial" w:cs="Arial"/>
                <w:color w:val="000000"/>
                <w:sz w:val="14"/>
                <w:szCs w:val="14"/>
              </w:rPr>
              <w:t>635 </w:t>
            </w:r>
          </w:p>
        </w:tc>
        <w:tc>
          <w:tcPr>
            <w:tcW w:w="0" w:type="auto"/>
            <w:shd w:val="clear" w:color="auto" w:fill="CCEEFF"/>
            <w:tcMar>
              <w:top w:w="40" w:type="dxa"/>
              <w:left w:w="0" w:type="dxa"/>
              <w:bottom w:w="40" w:type="dxa"/>
              <w:right w:w="20" w:type="dxa"/>
            </w:tcMar>
            <w:vAlign w:val="bottom"/>
          </w:tcPr>
          <w:p w14:paraId="392C0F8D" w14:textId="77777777" w:rsidR="00980E5F" w:rsidRDefault="00980E5F">
            <w:pPr>
              <w:jc w:val="right"/>
              <w:rPr>
                <w:rFonts w:ascii="宋体"/>
              </w:rPr>
            </w:pPr>
          </w:p>
        </w:tc>
        <w:tc>
          <w:tcPr>
            <w:tcW w:w="0" w:type="auto"/>
            <w:shd w:val="clear" w:color="auto" w:fill="auto"/>
            <w:vAlign w:val="bottom"/>
          </w:tcPr>
          <w:p w14:paraId="392C0F8E" w14:textId="77777777" w:rsidR="00980E5F" w:rsidRDefault="00980E5F">
            <w:pPr>
              <w:rPr>
                <w:rFonts w:ascii="宋体"/>
                <w:vanish/>
              </w:rPr>
            </w:pPr>
          </w:p>
        </w:tc>
        <w:tc>
          <w:tcPr>
            <w:tcW w:w="0" w:type="auto"/>
            <w:shd w:val="clear" w:color="auto" w:fill="auto"/>
            <w:vAlign w:val="bottom"/>
          </w:tcPr>
          <w:p w14:paraId="392C0F8F" w14:textId="77777777" w:rsidR="00980E5F" w:rsidRDefault="00980E5F">
            <w:pPr>
              <w:rPr>
                <w:rFonts w:ascii="宋体"/>
                <w:vanish/>
              </w:rPr>
            </w:pPr>
          </w:p>
        </w:tc>
        <w:tc>
          <w:tcPr>
            <w:tcW w:w="0" w:type="auto"/>
            <w:gridSpan w:val="3"/>
            <w:shd w:val="clear" w:color="auto" w:fill="auto"/>
            <w:vAlign w:val="bottom"/>
          </w:tcPr>
          <w:p w14:paraId="392C0F90" w14:textId="77777777" w:rsidR="00980E5F" w:rsidRDefault="00980E5F">
            <w:pPr>
              <w:rPr>
                <w:rFonts w:ascii="宋体"/>
                <w:vanish/>
              </w:rPr>
            </w:pPr>
          </w:p>
        </w:tc>
        <w:tc>
          <w:tcPr>
            <w:tcW w:w="0" w:type="auto"/>
            <w:gridSpan w:val="3"/>
            <w:shd w:val="clear" w:color="auto" w:fill="auto"/>
            <w:vAlign w:val="bottom"/>
          </w:tcPr>
          <w:p w14:paraId="392C0F91" w14:textId="77777777" w:rsidR="00980E5F" w:rsidRDefault="00980E5F">
            <w:pPr>
              <w:rPr>
                <w:rFonts w:ascii="宋体"/>
                <w:vanish/>
              </w:rPr>
            </w:pPr>
          </w:p>
        </w:tc>
      </w:tr>
      <w:tr w:rsidR="00980E5F" w14:paraId="392C0F9D" w14:textId="77777777">
        <w:tc>
          <w:tcPr>
            <w:tcW w:w="0" w:type="auto"/>
            <w:gridSpan w:val="3"/>
            <w:shd w:val="clear" w:color="auto" w:fill="FFFFFF"/>
            <w:tcMar>
              <w:top w:w="40" w:type="dxa"/>
              <w:left w:w="20" w:type="dxa"/>
              <w:bottom w:w="40" w:type="dxa"/>
              <w:right w:w="20" w:type="dxa"/>
            </w:tcMar>
            <w:vAlign w:val="bottom"/>
          </w:tcPr>
          <w:p w14:paraId="392C0F93" w14:textId="77777777" w:rsidR="00980E5F" w:rsidRDefault="00483613">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392C0F94" w14:textId="77777777" w:rsidR="00980E5F" w:rsidRDefault="00483613">
            <w:pPr>
              <w:jc w:val="right"/>
              <w:textAlignment w:val="bottom"/>
            </w:pPr>
            <w:r>
              <w:rPr>
                <w:rFonts w:ascii="Arial" w:eastAsia="宋体" w:hAnsi="Arial" w:cs="Arial"/>
                <w:b/>
                <w:bCs/>
                <w:color w:val="000000"/>
                <w:sz w:val="14"/>
                <w:szCs w:val="14"/>
              </w:rPr>
              <w:t>776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9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9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97" w14:textId="77777777" w:rsidR="00980E5F" w:rsidRDefault="00483613">
            <w:pPr>
              <w:jc w:val="right"/>
              <w:textAlignment w:val="bottom"/>
            </w:pPr>
            <w:r>
              <w:rPr>
                <w:rFonts w:ascii="Arial" w:eastAsia="宋体" w:hAnsi="Arial" w:cs="Arial"/>
                <w:color w:val="000000"/>
                <w:sz w:val="14"/>
                <w:szCs w:val="14"/>
              </w:rPr>
              <w:t>829 </w:t>
            </w:r>
          </w:p>
        </w:tc>
        <w:tc>
          <w:tcPr>
            <w:tcW w:w="0" w:type="auto"/>
            <w:shd w:val="clear" w:color="auto" w:fill="FFFFFF"/>
            <w:tcMar>
              <w:top w:w="40" w:type="dxa"/>
              <w:left w:w="0" w:type="dxa"/>
              <w:bottom w:w="40" w:type="dxa"/>
              <w:right w:w="20" w:type="dxa"/>
            </w:tcMar>
            <w:vAlign w:val="bottom"/>
          </w:tcPr>
          <w:p w14:paraId="392C0F98" w14:textId="77777777" w:rsidR="00980E5F" w:rsidRDefault="00980E5F">
            <w:pPr>
              <w:jc w:val="right"/>
              <w:rPr>
                <w:rFonts w:ascii="宋体"/>
              </w:rPr>
            </w:pPr>
          </w:p>
        </w:tc>
        <w:tc>
          <w:tcPr>
            <w:tcW w:w="0" w:type="auto"/>
            <w:shd w:val="clear" w:color="auto" w:fill="auto"/>
            <w:vAlign w:val="bottom"/>
          </w:tcPr>
          <w:p w14:paraId="392C0F99" w14:textId="77777777" w:rsidR="00980E5F" w:rsidRDefault="00980E5F">
            <w:pPr>
              <w:rPr>
                <w:rFonts w:ascii="宋体"/>
                <w:vanish/>
              </w:rPr>
            </w:pPr>
          </w:p>
        </w:tc>
        <w:tc>
          <w:tcPr>
            <w:tcW w:w="0" w:type="auto"/>
            <w:shd w:val="clear" w:color="auto" w:fill="auto"/>
            <w:vAlign w:val="bottom"/>
          </w:tcPr>
          <w:p w14:paraId="392C0F9A" w14:textId="77777777" w:rsidR="00980E5F" w:rsidRDefault="00980E5F">
            <w:pPr>
              <w:rPr>
                <w:rFonts w:ascii="宋体"/>
                <w:vanish/>
              </w:rPr>
            </w:pPr>
          </w:p>
        </w:tc>
        <w:tc>
          <w:tcPr>
            <w:tcW w:w="0" w:type="auto"/>
            <w:gridSpan w:val="3"/>
            <w:shd w:val="clear" w:color="auto" w:fill="auto"/>
            <w:vAlign w:val="bottom"/>
          </w:tcPr>
          <w:p w14:paraId="392C0F9B" w14:textId="77777777" w:rsidR="00980E5F" w:rsidRDefault="00980E5F">
            <w:pPr>
              <w:rPr>
                <w:rFonts w:ascii="宋体"/>
                <w:vanish/>
              </w:rPr>
            </w:pPr>
          </w:p>
        </w:tc>
        <w:tc>
          <w:tcPr>
            <w:tcW w:w="0" w:type="auto"/>
            <w:gridSpan w:val="3"/>
            <w:shd w:val="clear" w:color="auto" w:fill="auto"/>
            <w:vAlign w:val="bottom"/>
          </w:tcPr>
          <w:p w14:paraId="392C0F9C" w14:textId="77777777" w:rsidR="00980E5F" w:rsidRDefault="00980E5F">
            <w:pPr>
              <w:rPr>
                <w:rFonts w:ascii="宋体"/>
                <w:vanish/>
              </w:rPr>
            </w:pPr>
          </w:p>
        </w:tc>
      </w:tr>
      <w:tr w:rsidR="00980E5F" w14:paraId="392C0FA8" w14:textId="77777777">
        <w:tc>
          <w:tcPr>
            <w:tcW w:w="0" w:type="auto"/>
            <w:gridSpan w:val="3"/>
            <w:shd w:val="clear" w:color="auto" w:fill="CCEEFF"/>
            <w:tcMar>
              <w:top w:w="40" w:type="dxa"/>
              <w:left w:w="20" w:type="dxa"/>
              <w:bottom w:w="40" w:type="dxa"/>
              <w:right w:w="20" w:type="dxa"/>
            </w:tcMar>
            <w:vAlign w:val="bottom"/>
          </w:tcPr>
          <w:p w14:paraId="392C0F9E" w14:textId="77777777" w:rsidR="00980E5F" w:rsidRDefault="00483613">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392C0F9F" w14:textId="77777777" w:rsidR="00980E5F" w:rsidRDefault="00483613">
            <w:pPr>
              <w:jc w:val="right"/>
              <w:textAlignment w:val="bottom"/>
            </w:pPr>
            <w:r>
              <w:rPr>
                <w:rFonts w:ascii="Arial" w:eastAsia="宋体" w:hAnsi="Arial" w:cs="Arial"/>
                <w:b/>
                <w:bCs/>
                <w:color w:val="000000"/>
                <w:sz w:val="14"/>
                <w:szCs w:val="14"/>
              </w:rPr>
              <w:t>13,982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A2" w14:textId="77777777" w:rsidR="00980E5F" w:rsidRDefault="00483613">
            <w:pPr>
              <w:jc w:val="right"/>
              <w:textAlignment w:val="bottom"/>
            </w:pPr>
            <w:r>
              <w:rPr>
                <w:rFonts w:ascii="Arial" w:eastAsia="宋体" w:hAnsi="Arial" w:cs="Arial"/>
                <w:color w:val="000000"/>
                <w:sz w:val="14"/>
                <w:szCs w:val="14"/>
              </w:rPr>
              <w:t>13,639 </w:t>
            </w:r>
          </w:p>
        </w:tc>
        <w:tc>
          <w:tcPr>
            <w:tcW w:w="0" w:type="auto"/>
            <w:shd w:val="clear" w:color="auto" w:fill="CCEEFF"/>
            <w:tcMar>
              <w:top w:w="40" w:type="dxa"/>
              <w:left w:w="0" w:type="dxa"/>
              <w:bottom w:w="40" w:type="dxa"/>
              <w:right w:w="20" w:type="dxa"/>
            </w:tcMar>
            <w:vAlign w:val="bottom"/>
          </w:tcPr>
          <w:p w14:paraId="392C0FA3" w14:textId="77777777" w:rsidR="00980E5F" w:rsidRDefault="00980E5F">
            <w:pPr>
              <w:jc w:val="right"/>
              <w:rPr>
                <w:rFonts w:ascii="宋体"/>
              </w:rPr>
            </w:pPr>
          </w:p>
        </w:tc>
        <w:tc>
          <w:tcPr>
            <w:tcW w:w="0" w:type="auto"/>
            <w:shd w:val="clear" w:color="auto" w:fill="auto"/>
            <w:vAlign w:val="bottom"/>
          </w:tcPr>
          <w:p w14:paraId="392C0FA4" w14:textId="77777777" w:rsidR="00980E5F" w:rsidRDefault="00980E5F">
            <w:pPr>
              <w:rPr>
                <w:rFonts w:ascii="宋体"/>
                <w:vanish/>
              </w:rPr>
            </w:pPr>
          </w:p>
        </w:tc>
        <w:tc>
          <w:tcPr>
            <w:tcW w:w="0" w:type="auto"/>
            <w:shd w:val="clear" w:color="auto" w:fill="auto"/>
            <w:vAlign w:val="bottom"/>
          </w:tcPr>
          <w:p w14:paraId="392C0FA5" w14:textId="77777777" w:rsidR="00980E5F" w:rsidRDefault="00980E5F">
            <w:pPr>
              <w:rPr>
                <w:rFonts w:ascii="宋体"/>
                <w:vanish/>
              </w:rPr>
            </w:pPr>
          </w:p>
        </w:tc>
        <w:tc>
          <w:tcPr>
            <w:tcW w:w="0" w:type="auto"/>
            <w:gridSpan w:val="3"/>
            <w:shd w:val="clear" w:color="auto" w:fill="auto"/>
            <w:vAlign w:val="bottom"/>
          </w:tcPr>
          <w:p w14:paraId="392C0FA6" w14:textId="77777777" w:rsidR="00980E5F" w:rsidRDefault="00980E5F">
            <w:pPr>
              <w:rPr>
                <w:rFonts w:ascii="宋体"/>
                <w:vanish/>
              </w:rPr>
            </w:pPr>
          </w:p>
        </w:tc>
        <w:tc>
          <w:tcPr>
            <w:tcW w:w="0" w:type="auto"/>
            <w:gridSpan w:val="3"/>
            <w:shd w:val="clear" w:color="auto" w:fill="auto"/>
            <w:vAlign w:val="bottom"/>
          </w:tcPr>
          <w:p w14:paraId="392C0FA7" w14:textId="77777777" w:rsidR="00980E5F" w:rsidRDefault="00980E5F">
            <w:pPr>
              <w:rPr>
                <w:rFonts w:ascii="宋体"/>
                <w:vanish/>
              </w:rPr>
            </w:pPr>
          </w:p>
        </w:tc>
      </w:tr>
      <w:tr w:rsidR="00980E5F" w14:paraId="392C0FB3" w14:textId="77777777">
        <w:tc>
          <w:tcPr>
            <w:tcW w:w="0" w:type="auto"/>
            <w:gridSpan w:val="3"/>
            <w:shd w:val="clear" w:color="auto" w:fill="FFFFFF"/>
            <w:tcMar>
              <w:top w:w="40" w:type="dxa"/>
              <w:left w:w="20" w:type="dxa"/>
              <w:bottom w:w="40" w:type="dxa"/>
              <w:right w:w="20" w:type="dxa"/>
            </w:tcMar>
            <w:vAlign w:val="bottom"/>
          </w:tcPr>
          <w:p w14:paraId="392C0FA9" w14:textId="77777777" w:rsidR="00980E5F" w:rsidRDefault="00483613">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392C0FAA" w14:textId="77777777" w:rsidR="00980E5F" w:rsidRDefault="00483613">
            <w:pPr>
              <w:jc w:val="right"/>
              <w:textAlignment w:val="bottom"/>
            </w:pPr>
            <w:r>
              <w:rPr>
                <w:rFonts w:ascii="Arial" w:eastAsia="宋体" w:hAnsi="Arial" w:cs="Arial"/>
                <w:b/>
                <w:bCs/>
                <w:color w:val="000000"/>
                <w:sz w:val="14"/>
                <w:szCs w:val="14"/>
              </w:rPr>
              <w:t>2,698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AD" w14:textId="77777777" w:rsidR="00980E5F" w:rsidRDefault="00483613">
            <w:pPr>
              <w:jc w:val="right"/>
              <w:textAlignment w:val="bottom"/>
            </w:pPr>
            <w:r>
              <w:rPr>
                <w:rFonts w:ascii="Arial" w:eastAsia="宋体" w:hAnsi="Arial" w:cs="Arial"/>
                <w:color w:val="000000"/>
                <w:sz w:val="14"/>
                <w:szCs w:val="14"/>
              </w:rPr>
              <w:t>5,268 </w:t>
            </w:r>
          </w:p>
        </w:tc>
        <w:tc>
          <w:tcPr>
            <w:tcW w:w="0" w:type="auto"/>
            <w:shd w:val="clear" w:color="auto" w:fill="FFFFFF"/>
            <w:tcMar>
              <w:top w:w="40" w:type="dxa"/>
              <w:left w:w="0" w:type="dxa"/>
              <w:bottom w:w="40" w:type="dxa"/>
              <w:right w:w="20" w:type="dxa"/>
            </w:tcMar>
            <w:vAlign w:val="bottom"/>
          </w:tcPr>
          <w:p w14:paraId="392C0FAE" w14:textId="77777777" w:rsidR="00980E5F" w:rsidRDefault="00980E5F">
            <w:pPr>
              <w:jc w:val="right"/>
              <w:rPr>
                <w:rFonts w:ascii="宋体"/>
              </w:rPr>
            </w:pPr>
          </w:p>
        </w:tc>
        <w:tc>
          <w:tcPr>
            <w:tcW w:w="0" w:type="auto"/>
            <w:shd w:val="clear" w:color="auto" w:fill="auto"/>
            <w:vAlign w:val="bottom"/>
          </w:tcPr>
          <w:p w14:paraId="392C0FAF" w14:textId="77777777" w:rsidR="00980E5F" w:rsidRDefault="00980E5F">
            <w:pPr>
              <w:rPr>
                <w:rFonts w:ascii="宋体"/>
                <w:vanish/>
              </w:rPr>
            </w:pPr>
          </w:p>
        </w:tc>
        <w:tc>
          <w:tcPr>
            <w:tcW w:w="0" w:type="auto"/>
            <w:shd w:val="clear" w:color="auto" w:fill="auto"/>
            <w:vAlign w:val="bottom"/>
          </w:tcPr>
          <w:p w14:paraId="392C0FB0" w14:textId="77777777" w:rsidR="00980E5F" w:rsidRDefault="00980E5F">
            <w:pPr>
              <w:rPr>
                <w:rFonts w:ascii="宋体"/>
                <w:vanish/>
              </w:rPr>
            </w:pPr>
          </w:p>
        </w:tc>
        <w:tc>
          <w:tcPr>
            <w:tcW w:w="0" w:type="auto"/>
            <w:gridSpan w:val="3"/>
            <w:shd w:val="clear" w:color="auto" w:fill="auto"/>
            <w:vAlign w:val="bottom"/>
          </w:tcPr>
          <w:p w14:paraId="392C0FB1" w14:textId="77777777" w:rsidR="00980E5F" w:rsidRDefault="00980E5F">
            <w:pPr>
              <w:rPr>
                <w:rFonts w:ascii="宋体"/>
                <w:vanish/>
              </w:rPr>
            </w:pPr>
          </w:p>
        </w:tc>
        <w:tc>
          <w:tcPr>
            <w:tcW w:w="0" w:type="auto"/>
            <w:gridSpan w:val="3"/>
            <w:shd w:val="clear" w:color="auto" w:fill="auto"/>
            <w:vAlign w:val="bottom"/>
          </w:tcPr>
          <w:p w14:paraId="392C0FB2" w14:textId="77777777" w:rsidR="00980E5F" w:rsidRDefault="00980E5F">
            <w:pPr>
              <w:rPr>
                <w:rFonts w:ascii="宋体"/>
                <w:vanish/>
              </w:rPr>
            </w:pPr>
          </w:p>
        </w:tc>
      </w:tr>
      <w:tr w:rsidR="00980E5F" w14:paraId="392C0FBE" w14:textId="77777777">
        <w:tc>
          <w:tcPr>
            <w:tcW w:w="0" w:type="auto"/>
            <w:gridSpan w:val="3"/>
            <w:shd w:val="clear" w:color="auto" w:fill="CCEEFF"/>
            <w:tcMar>
              <w:top w:w="40" w:type="dxa"/>
              <w:left w:w="245" w:type="dxa"/>
              <w:bottom w:w="40" w:type="dxa"/>
              <w:right w:w="20" w:type="dxa"/>
            </w:tcMar>
            <w:vAlign w:val="bottom"/>
          </w:tcPr>
          <w:p w14:paraId="392C0FB4" w14:textId="77777777" w:rsidR="00980E5F" w:rsidRDefault="00483613">
            <w:pPr>
              <w:textAlignment w:val="bottom"/>
            </w:pPr>
            <w:r>
              <w:rPr>
                <w:rFonts w:ascii="Arial" w:eastAsia="宋体" w:hAnsi="Arial" w:cs="Arial"/>
                <w:color w:val="000000"/>
                <w:sz w:val="14"/>
                <w:szCs w:val="14"/>
              </w:rPr>
              <w:t xml:space="preserve">Average total </w:t>
            </w:r>
            <w:r>
              <w:rPr>
                <w:rFonts w:ascii="Arial" w:eastAsia="宋体" w:hAnsi="Arial" w:cs="Arial"/>
                <w:color w:val="000000"/>
                <w:sz w:val="14"/>
                <w:szCs w:val="14"/>
              </w:rPr>
              <w:t>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B5" w14:textId="77777777" w:rsidR="00980E5F" w:rsidRDefault="00483613">
            <w:pPr>
              <w:jc w:val="right"/>
              <w:textAlignment w:val="bottom"/>
            </w:pPr>
            <w:r>
              <w:rPr>
                <w:rFonts w:ascii="Arial" w:eastAsia="宋体" w:hAnsi="Arial" w:cs="Arial"/>
                <w:b/>
                <w:bCs/>
                <w:color w:val="000000"/>
                <w:sz w:val="14"/>
                <w:szCs w:val="14"/>
              </w:rPr>
              <w:t>201,306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B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0FB8" w14:textId="77777777" w:rsidR="00980E5F" w:rsidRDefault="00483613">
            <w:pPr>
              <w:jc w:val="right"/>
              <w:textAlignment w:val="bottom"/>
            </w:pPr>
            <w:r>
              <w:rPr>
                <w:rFonts w:ascii="Arial" w:eastAsia="宋体" w:hAnsi="Arial" w:cs="Arial"/>
                <w:color w:val="000000"/>
                <w:sz w:val="14"/>
                <w:szCs w:val="14"/>
              </w:rPr>
              <w:t>207,617 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0FB9" w14:textId="77777777" w:rsidR="00980E5F" w:rsidRDefault="00980E5F">
            <w:pPr>
              <w:jc w:val="right"/>
              <w:rPr>
                <w:rFonts w:ascii="宋体"/>
              </w:rPr>
            </w:pPr>
          </w:p>
        </w:tc>
        <w:tc>
          <w:tcPr>
            <w:tcW w:w="0" w:type="auto"/>
            <w:shd w:val="clear" w:color="auto" w:fill="auto"/>
            <w:vAlign w:val="bottom"/>
          </w:tcPr>
          <w:p w14:paraId="392C0FBA" w14:textId="77777777" w:rsidR="00980E5F" w:rsidRDefault="00980E5F">
            <w:pPr>
              <w:rPr>
                <w:rFonts w:ascii="宋体"/>
                <w:vanish/>
              </w:rPr>
            </w:pPr>
          </w:p>
        </w:tc>
        <w:tc>
          <w:tcPr>
            <w:tcW w:w="0" w:type="auto"/>
            <w:shd w:val="clear" w:color="auto" w:fill="auto"/>
            <w:vAlign w:val="bottom"/>
          </w:tcPr>
          <w:p w14:paraId="392C0FBB" w14:textId="77777777" w:rsidR="00980E5F" w:rsidRDefault="00980E5F">
            <w:pPr>
              <w:rPr>
                <w:rFonts w:ascii="宋体"/>
                <w:vanish/>
              </w:rPr>
            </w:pPr>
          </w:p>
        </w:tc>
        <w:tc>
          <w:tcPr>
            <w:tcW w:w="0" w:type="auto"/>
            <w:gridSpan w:val="3"/>
            <w:shd w:val="clear" w:color="auto" w:fill="auto"/>
            <w:vAlign w:val="bottom"/>
          </w:tcPr>
          <w:p w14:paraId="392C0FBC" w14:textId="77777777" w:rsidR="00980E5F" w:rsidRDefault="00980E5F">
            <w:pPr>
              <w:rPr>
                <w:rFonts w:ascii="宋体"/>
                <w:vanish/>
              </w:rPr>
            </w:pPr>
          </w:p>
        </w:tc>
        <w:tc>
          <w:tcPr>
            <w:tcW w:w="0" w:type="auto"/>
            <w:gridSpan w:val="3"/>
            <w:shd w:val="clear" w:color="auto" w:fill="auto"/>
            <w:vAlign w:val="bottom"/>
          </w:tcPr>
          <w:p w14:paraId="392C0FBD" w14:textId="77777777" w:rsidR="00980E5F" w:rsidRDefault="00980E5F">
            <w:pPr>
              <w:rPr>
                <w:rFonts w:ascii="宋体"/>
                <w:vanish/>
              </w:rPr>
            </w:pPr>
          </w:p>
        </w:tc>
      </w:tr>
      <w:tr w:rsidR="00980E5F" w14:paraId="392C0FC9" w14:textId="77777777">
        <w:tc>
          <w:tcPr>
            <w:tcW w:w="0" w:type="auto"/>
            <w:gridSpan w:val="3"/>
            <w:shd w:val="clear" w:color="auto" w:fill="FFFFFF"/>
            <w:tcMar>
              <w:top w:w="40" w:type="dxa"/>
              <w:left w:w="20" w:type="dxa"/>
              <w:bottom w:w="40" w:type="dxa"/>
              <w:right w:w="20" w:type="dxa"/>
            </w:tcMar>
            <w:vAlign w:val="bottom"/>
          </w:tcPr>
          <w:p w14:paraId="392C0FBF" w14:textId="77777777" w:rsidR="00980E5F" w:rsidRDefault="00483613">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(2)(3)</w:t>
            </w:r>
          </w:p>
        </w:tc>
        <w:tc>
          <w:tcPr>
            <w:tcW w:w="0" w:type="auto"/>
            <w:gridSpan w:val="2"/>
            <w:shd w:val="clear" w:color="auto" w:fill="FFFFFF"/>
            <w:tcMar>
              <w:top w:w="40" w:type="dxa"/>
              <w:left w:w="20" w:type="dxa"/>
              <w:bottom w:w="40" w:type="dxa"/>
              <w:right w:w="0" w:type="dxa"/>
            </w:tcMar>
            <w:vAlign w:val="bottom"/>
          </w:tcPr>
          <w:p w14:paraId="392C0FC0" w14:textId="77777777" w:rsidR="00980E5F" w:rsidRDefault="00483613">
            <w:pPr>
              <w:jc w:val="right"/>
              <w:textAlignment w:val="bottom"/>
            </w:pPr>
            <w:r>
              <w:rPr>
                <w:rFonts w:ascii="Arial" w:eastAsia="宋体" w:hAnsi="Arial" w:cs="Arial"/>
                <w:b/>
                <w:bCs/>
                <w:color w:val="000000"/>
                <w:sz w:val="14"/>
                <w:szCs w:val="14"/>
              </w:rPr>
              <w:t>50,368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C3" w14:textId="77777777" w:rsidR="00980E5F" w:rsidRDefault="00483613">
            <w:pPr>
              <w:jc w:val="right"/>
              <w:textAlignment w:val="bottom"/>
            </w:pPr>
            <w:r>
              <w:rPr>
                <w:rFonts w:ascii="Arial" w:eastAsia="宋体" w:hAnsi="Arial" w:cs="Arial"/>
                <w:color w:val="000000"/>
                <w:sz w:val="14"/>
                <w:szCs w:val="14"/>
              </w:rPr>
              <w:t>47,815 </w:t>
            </w:r>
          </w:p>
        </w:tc>
        <w:tc>
          <w:tcPr>
            <w:tcW w:w="0" w:type="auto"/>
            <w:shd w:val="clear" w:color="auto" w:fill="FFFFFF"/>
            <w:tcMar>
              <w:top w:w="40" w:type="dxa"/>
              <w:left w:w="0" w:type="dxa"/>
              <w:bottom w:w="40" w:type="dxa"/>
              <w:right w:w="20" w:type="dxa"/>
            </w:tcMar>
            <w:vAlign w:val="bottom"/>
          </w:tcPr>
          <w:p w14:paraId="392C0FC4" w14:textId="77777777" w:rsidR="00980E5F" w:rsidRDefault="00980E5F">
            <w:pPr>
              <w:jc w:val="right"/>
              <w:rPr>
                <w:rFonts w:ascii="宋体"/>
              </w:rPr>
            </w:pPr>
          </w:p>
        </w:tc>
        <w:tc>
          <w:tcPr>
            <w:tcW w:w="0" w:type="auto"/>
            <w:shd w:val="clear" w:color="auto" w:fill="auto"/>
            <w:vAlign w:val="bottom"/>
          </w:tcPr>
          <w:p w14:paraId="392C0FC5" w14:textId="77777777" w:rsidR="00980E5F" w:rsidRDefault="00980E5F">
            <w:pPr>
              <w:rPr>
                <w:rFonts w:ascii="宋体"/>
                <w:vanish/>
              </w:rPr>
            </w:pPr>
          </w:p>
        </w:tc>
        <w:tc>
          <w:tcPr>
            <w:tcW w:w="0" w:type="auto"/>
            <w:shd w:val="clear" w:color="auto" w:fill="auto"/>
            <w:vAlign w:val="bottom"/>
          </w:tcPr>
          <w:p w14:paraId="392C0FC6" w14:textId="77777777" w:rsidR="00980E5F" w:rsidRDefault="00980E5F">
            <w:pPr>
              <w:rPr>
                <w:rFonts w:ascii="宋体"/>
                <w:vanish/>
              </w:rPr>
            </w:pPr>
          </w:p>
        </w:tc>
        <w:tc>
          <w:tcPr>
            <w:tcW w:w="0" w:type="auto"/>
            <w:gridSpan w:val="3"/>
            <w:shd w:val="clear" w:color="auto" w:fill="auto"/>
            <w:vAlign w:val="bottom"/>
          </w:tcPr>
          <w:p w14:paraId="392C0FC7" w14:textId="77777777" w:rsidR="00980E5F" w:rsidRDefault="00980E5F">
            <w:pPr>
              <w:rPr>
                <w:rFonts w:ascii="宋体"/>
                <w:vanish/>
              </w:rPr>
            </w:pPr>
          </w:p>
        </w:tc>
        <w:tc>
          <w:tcPr>
            <w:tcW w:w="0" w:type="auto"/>
            <w:gridSpan w:val="3"/>
            <w:shd w:val="clear" w:color="auto" w:fill="auto"/>
            <w:vAlign w:val="bottom"/>
          </w:tcPr>
          <w:p w14:paraId="392C0FC8" w14:textId="77777777" w:rsidR="00980E5F" w:rsidRDefault="00980E5F">
            <w:pPr>
              <w:rPr>
                <w:rFonts w:ascii="宋体"/>
                <w:vanish/>
              </w:rPr>
            </w:pPr>
          </w:p>
        </w:tc>
      </w:tr>
      <w:tr w:rsidR="00980E5F" w14:paraId="392C0FD4" w14:textId="77777777">
        <w:tc>
          <w:tcPr>
            <w:tcW w:w="0" w:type="auto"/>
            <w:gridSpan w:val="3"/>
            <w:shd w:val="clear" w:color="auto" w:fill="CCEEFF"/>
            <w:tcMar>
              <w:top w:w="40" w:type="dxa"/>
              <w:left w:w="20" w:type="dxa"/>
              <w:bottom w:w="40" w:type="dxa"/>
              <w:right w:w="20" w:type="dxa"/>
            </w:tcMar>
            <w:vAlign w:val="bottom"/>
          </w:tcPr>
          <w:p w14:paraId="392C0FCA" w14:textId="77777777" w:rsidR="00980E5F" w:rsidRDefault="00483613">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392C0FCB" w14:textId="77777777" w:rsidR="00980E5F" w:rsidRDefault="00483613">
            <w:pPr>
              <w:jc w:val="right"/>
              <w:textAlignment w:val="bottom"/>
            </w:pPr>
            <w:r>
              <w:rPr>
                <w:rFonts w:ascii="Arial" w:eastAsia="宋体" w:hAnsi="Arial" w:cs="Arial"/>
                <w:b/>
                <w:bCs/>
                <w:color w:val="000000"/>
                <w:sz w:val="14"/>
                <w:szCs w:val="14"/>
              </w:rPr>
              <w:t>15,326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CE" w14:textId="77777777" w:rsidR="00980E5F" w:rsidRDefault="00483613">
            <w:pPr>
              <w:jc w:val="right"/>
              <w:textAlignment w:val="bottom"/>
            </w:pPr>
            <w:r>
              <w:rPr>
                <w:rFonts w:ascii="Arial" w:eastAsia="宋体" w:hAnsi="Arial" w:cs="Arial"/>
                <w:color w:val="000000"/>
                <w:sz w:val="14"/>
                <w:szCs w:val="14"/>
              </w:rPr>
              <w:t>21,269 </w:t>
            </w:r>
          </w:p>
        </w:tc>
        <w:tc>
          <w:tcPr>
            <w:tcW w:w="0" w:type="auto"/>
            <w:shd w:val="clear" w:color="auto" w:fill="CCEEFF"/>
            <w:tcMar>
              <w:top w:w="40" w:type="dxa"/>
              <w:left w:w="0" w:type="dxa"/>
              <w:bottom w:w="40" w:type="dxa"/>
              <w:right w:w="20" w:type="dxa"/>
            </w:tcMar>
            <w:vAlign w:val="bottom"/>
          </w:tcPr>
          <w:p w14:paraId="392C0FCF" w14:textId="77777777" w:rsidR="00980E5F" w:rsidRDefault="00980E5F">
            <w:pPr>
              <w:jc w:val="right"/>
              <w:rPr>
                <w:rFonts w:ascii="宋体"/>
              </w:rPr>
            </w:pPr>
          </w:p>
        </w:tc>
        <w:tc>
          <w:tcPr>
            <w:tcW w:w="0" w:type="auto"/>
            <w:shd w:val="clear" w:color="auto" w:fill="auto"/>
            <w:vAlign w:val="bottom"/>
          </w:tcPr>
          <w:p w14:paraId="392C0FD0" w14:textId="77777777" w:rsidR="00980E5F" w:rsidRDefault="00980E5F">
            <w:pPr>
              <w:rPr>
                <w:rFonts w:ascii="宋体"/>
                <w:vanish/>
              </w:rPr>
            </w:pPr>
          </w:p>
        </w:tc>
        <w:tc>
          <w:tcPr>
            <w:tcW w:w="0" w:type="auto"/>
            <w:shd w:val="clear" w:color="auto" w:fill="auto"/>
            <w:vAlign w:val="bottom"/>
          </w:tcPr>
          <w:p w14:paraId="392C0FD1" w14:textId="77777777" w:rsidR="00980E5F" w:rsidRDefault="00980E5F">
            <w:pPr>
              <w:rPr>
                <w:rFonts w:ascii="宋体"/>
                <w:vanish/>
              </w:rPr>
            </w:pPr>
          </w:p>
        </w:tc>
        <w:tc>
          <w:tcPr>
            <w:tcW w:w="0" w:type="auto"/>
            <w:gridSpan w:val="3"/>
            <w:shd w:val="clear" w:color="auto" w:fill="auto"/>
            <w:vAlign w:val="bottom"/>
          </w:tcPr>
          <w:p w14:paraId="392C0FD2" w14:textId="77777777" w:rsidR="00980E5F" w:rsidRDefault="00980E5F">
            <w:pPr>
              <w:rPr>
                <w:rFonts w:ascii="宋体"/>
                <w:vanish/>
              </w:rPr>
            </w:pPr>
          </w:p>
        </w:tc>
        <w:tc>
          <w:tcPr>
            <w:tcW w:w="0" w:type="auto"/>
            <w:gridSpan w:val="3"/>
            <w:shd w:val="clear" w:color="auto" w:fill="auto"/>
            <w:vAlign w:val="bottom"/>
          </w:tcPr>
          <w:p w14:paraId="392C0FD3" w14:textId="77777777" w:rsidR="00980E5F" w:rsidRDefault="00980E5F">
            <w:pPr>
              <w:rPr>
                <w:rFonts w:ascii="宋体"/>
                <w:vanish/>
              </w:rPr>
            </w:pPr>
          </w:p>
        </w:tc>
      </w:tr>
      <w:tr w:rsidR="00980E5F" w14:paraId="392C0FDF" w14:textId="77777777">
        <w:tc>
          <w:tcPr>
            <w:tcW w:w="0" w:type="auto"/>
            <w:gridSpan w:val="3"/>
            <w:shd w:val="clear" w:color="auto" w:fill="FFFFFF"/>
            <w:tcMar>
              <w:top w:w="40" w:type="dxa"/>
              <w:left w:w="20" w:type="dxa"/>
              <w:bottom w:w="40" w:type="dxa"/>
              <w:right w:w="20" w:type="dxa"/>
            </w:tcMar>
            <w:vAlign w:val="bottom"/>
          </w:tcPr>
          <w:p w14:paraId="392C0FD5" w14:textId="77777777" w:rsidR="00980E5F" w:rsidRDefault="00483613">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392C0FD6" w14:textId="77777777" w:rsidR="00980E5F" w:rsidRDefault="00483613">
            <w:pPr>
              <w:jc w:val="right"/>
              <w:textAlignment w:val="bottom"/>
            </w:pPr>
            <w:r>
              <w:rPr>
                <w:rFonts w:ascii="Arial" w:eastAsia="宋体" w:hAnsi="Arial" w:cs="Arial"/>
                <w:b/>
                <w:bCs/>
                <w:color w:val="000000"/>
                <w:sz w:val="14"/>
                <w:szCs w:val="14"/>
              </w:rPr>
              <w:t>1,976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0FD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D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0FD9" w14:textId="77777777" w:rsidR="00980E5F" w:rsidRDefault="00483613">
            <w:pPr>
              <w:jc w:val="right"/>
              <w:textAlignment w:val="bottom"/>
            </w:pPr>
            <w:r>
              <w:rPr>
                <w:rFonts w:ascii="Arial" w:eastAsia="宋体" w:hAnsi="Arial" w:cs="Arial"/>
                <w:color w:val="000000"/>
                <w:sz w:val="14"/>
                <w:szCs w:val="14"/>
              </w:rPr>
              <w:t>2,177 </w:t>
            </w:r>
          </w:p>
        </w:tc>
        <w:tc>
          <w:tcPr>
            <w:tcW w:w="0" w:type="auto"/>
            <w:shd w:val="clear" w:color="auto" w:fill="FFFFFF"/>
            <w:tcMar>
              <w:top w:w="40" w:type="dxa"/>
              <w:left w:w="0" w:type="dxa"/>
              <w:bottom w:w="40" w:type="dxa"/>
              <w:right w:w="20" w:type="dxa"/>
            </w:tcMar>
            <w:vAlign w:val="bottom"/>
          </w:tcPr>
          <w:p w14:paraId="392C0FDA" w14:textId="77777777" w:rsidR="00980E5F" w:rsidRDefault="00980E5F">
            <w:pPr>
              <w:jc w:val="right"/>
              <w:rPr>
                <w:rFonts w:ascii="宋体"/>
              </w:rPr>
            </w:pPr>
          </w:p>
        </w:tc>
        <w:tc>
          <w:tcPr>
            <w:tcW w:w="0" w:type="auto"/>
            <w:shd w:val="clear" w:color="auto" w:fill="auto"/>
            <w:vAlign w:val="bottom"/>
          </w:tcPr>
          <w:p w14:paraId="392C0FDB" w14:textId="77777777" w:rsidR="00980E5F" w:rsidRDefault="00980E5F">
            <w:pPr>
              <w:rPr>
                <w:rFonts w:ascii="宋体"/>
                <w:vanish/>
              </w:rPr>
            </w:pPr>
          </w:p>
        </w:tc>
        <w:tc>
          <w:tcPr>
            <w:tcW w:w="0" w:type="auto"/>
            <w:shd w:val="clear" w:color="auto" w:fill="auto"/>
            <w:vAlign w:val="bottom"/>
          </w:tcPr>
          <w:p w14:paraId="392C0FDC" w14:textId="77777777" w:rsidR="00980E5F" w:rsidRDefault="00980E5F">
            <w:pPr>
              <w:rPr>
                <w:rFonts w:ascii="宋体"/>
                <w:vanish/>
              </w:rPr>
            </w:pPr>
          </w:p>
        </w:tc>
        <w:tc>
          <w:tcPr>
            <w:tcW w:w="0" w:type="auto"/>
            <w:gridSpan w:val="3"/>
            <w:shd w:val="clear" w:color="auto" w:fill="auto"/>
            <w:vAlign w:val="bottom"/>
          </w:tcPr>
          <w:p w14:paraId="392C0FDD" w14:textId="77777777" w:rsidR="00980E5F" w:rsidRDefault="00980E5F">
            <w:pPr>
              <w:rPr>
                <w:rFonts w:ascii="宋体"/>
                <w:vanish/>
              </w:rPr>
            </w:pPr>
          </w:p>
        </w:tc>
        <w:tc>
          <w:tcPr>
            <w:tcW w:w="0" w:type="auto"/>
            <w:gridSpan w:val="3"/>
            <w:shd w:val="clear" w:color="auto" w:fill="auto"/>
            <w:vAlign w:val="bottom"/>
          </w:tcPr>
          <w:p w14:paraId="392C0FDE" w14:textId="77777777" w:rsidR="00980E5F" w:rsidRDefault="00980E5F">
            <w:pPr>
              <w:rPr>
                <w:rFonts w:ascii="宋体"/>
                <w:vanish/>
              </w:rPr>
            </w:pPr>
          </w:p>
        </w:tc>
      </w:tr>
      <w:tr w:rsidR="00980E5F" w14:paraId="392C0FEA" w14:textId="77777777">
        <w:tc>
          <w:tcPr>
            <w:tcW w:w="0" w:type="auto"/>
            <w:gridSpan w:val="3"/>
            <w:shd w:val="clear" w:color="auto" w:fill="CCEEFF"/>
            <w:tcMar>
              <w:top w:w="40" w:type="dxa"/>
              <w:left w:w="20" w:type="dxa"/>
              <w:bottom w:w="40" w:type="dxa"/>
              <w:right w:w="20" w:type="dxa"/>
            </w:tcMar>
            <w:vAlign w:val="bottom"/>
          </w:tcPr>
          <w:p w14:paraId="392C0FE0" w14:textId="77777777" w:rsidR="00980E5F" w:rsidRDefault="00483613">
            <w:pPr>
              <w:textAlignment w:val="bottom"/>
            </w:pPr>
            <w:r>
              <w:rPr>
                <w:rFonts w:ascii="Arial" w:eastAsia="宋体" w:hAnsi="Arial" w:cs="Arial"/>
                <w:color w:val="000000"/>
                <w:sz w:val="14"/>
                <w:szCs w:val="14"/>
              </w:rPr>
              <w:t xml:space="preserve">Common </w:t>
            </w:r>
            <w:r>
              <w:rPr>
                <w:rFonts w:ascii="Arial" w:eastAsia="宋体" w:hAnsi="Arial" w:cs="Arial"/>
                <w:color w:val="000000"/>
                <w:sz w:val="14"/>
                <w:szCs w:val="14"/>
              </w:rPr>
              <w:t>shareholders’ equity</w:t>
            </w:r>
          </w:p>
        </w:tc>
        <w:tc>
          <w:tcPr>
            <w:tcW w:w="0" w:type="auto"/>
            <w:gridSpan w:val="2"/>
            <w:shd w:val="clear" w:color="auto" w:fill="CCEEFF"/>
            <w:tcMar>
              <w:top w:w="40" w:type="dxa"/>
              <w:left w:w="20" w:type="dxa"/>
              <w:bottom w:w="40" w:type="dxa"/>
              <w:right w:w="0" w:type="dxa"/>
            </w:tcMar>
            <w:vAlign w:val="bottom"/>
          </w:tcPr>
          <w:p w14:paraId="392C0FE1" w14:textId="77777777" w:rsidR="00980E5F" w:rsidRDefault="00483613">
            <w:pPr>
              <w:jc w:val="right"/>
              <w:textAlignment w:val="bottom"/>
            </w:pPr>
            <w:r>
              <w:rPr>
                <w:rFonts w:ascii="Arial" w:eastAsia="宋体" w:hAnsi="Arial" w:cs="Arial"/>
                <w:b/>
                <w:bCs/>
                <w:color w:val="000000"/>
                <w:sz w:val="14"/>
                <w:szCs w:val="14"/>
              </w:rPr>
              <w:t>24,237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0FE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0FE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0FE4" w14:textId="77777777" w:rsidR="00980E5F" w:rsidRDefault="00483613">
            <w:pPr>
              <w:jc w:val="right"/>
              <w:textAlignment w:val="bottom"/>
            </w:pPr>
            <w:r>
              <w:rPr>
                <w:rFonts w:ascii="Arial" w:eastAsia="宋体" w:hAnsi="Arial" w:cs="Arial"/>
                <w:color w:val="000000"/>
                <w:sz w:val="14"/>
                <w:szCs w:val="14"/>
              </w:rPr>
              <w:t>23,416 </w:t>
            </w:r>
          </w:p>
        </w:tc>
        <w:tc>
          <w:tcPr>
            <w:tcW w:w="0" w:type="auto"/>
            <w:shd w:val="clear" w:color="auto" w:fill="CCEEFF"/>
            <w:tcMar>
              <w:top w:w="40" w:type="dxa"/>
              <w:left w:w="0" w:type="dxa"/>
              <w:bottom w:w="40" w:type="dxa"/>
              <w:right w:w="20" w:type="dxa"/>
            </w:tcMar>
            <w:vAlign w:val="bottom"/>
          </w:tcPr>
          <w:p w14:paraId="392C0FE5" w14:textId="77777777" w:rsidR="00980E5F" w:rsidRDefault="00980E5F">
            <w:pPr>
              <w:jc w:val="right"/>
              <w:rPr>
                <w:rFonts w:ascii="宋体"/>
              </w:rPr>
            </w:pPr>
          </w:p>
        </w:tc>
        <w:tc>
          <w:tcPr>
            <w:tcW w:w="0" w:type="auto"/>
            <w:shd w:val="clear" w:color="auto" w:fill="auto"/>
            <w:vAlign w:val="bottom"/>
          </w:tcPr>
          <w:p w14:paraId="392C0FE6" w14:textId="77777777" w:rsidR="00980E5F" w:rsidRDefault="00980E5F">
            <w:pPr>
              <w:rPr>
                <w:rFonts w:ascii="宋体"/>
                <w:vanish/>
              </w:rPr>
            </w:pPr>
          </w:p>
        </w:tc>
        <w:tc>
          <w:tcPr>
            <w:tcW w:w="0" w:type="auto"/>
            <w:shd w:val="clear" w:color="auto" w:fill="auto"/>
            <w:vAlign w:val="bottom"/>
          </w:tcPr>
          <w:p w14:paraId="392C0FE7" w14:textId="77777777" w:rsidR="00980E5F" w:rsidRDefault="00980E5F">
            <w:pPr>
              <w:rPr>
                <w:rFonts w:ascii="宋体"/>
                <w:vanish/>
              </w:rPr>
            </w:pPr>
          </w:p>
        </w:tc>
        <w:tc>
          <w:tcPr>
            <w:tcW w:w="0" w:type="auto"/>
            <w:gridSpan w:val="3"/>
            <w:shd w:val="clear" w:color="auto" w:fill="auto"/>
            <w:vAlign w:val="bottom"/>
          </w:tcPr>
          <w:p w14:paraId="392C0FE8" w14:textId="77777777" w:rsidR="00980E5F" w:rsidRDefault="00980E5F">
            <w:pPr>
              <w:rPr>
                <w:rFonts w:ascii="宋体"/>
                <w:vanish/>
              </w:rPr>
            </w:pPr>
          </w:p>
        </w:tc>
        <w:tc>
          <w:tcPr>
            <w:tcW w:w="0" w:type="auto"/>
            <w:gridSpan w:val="3"/>
            <w:shd w:val="clear" w:color="auto" w:fill="auto"/>
            <w:vAlign w:val="bottom"/>
          </w:tcPr>
          <w:p w14:paraId="392C0FE9" w14:textId="77777777" w:rsidR="00980E5F" w:rsidRDefault="00980E5F">
            <w:pPr>
              <w:rPr>
                <w:rFonts w:ascii="宋体"/>
                <w:vanish/>
              </w:rPr>
            </w:pPr>
          </w:p>
        </w:tc>
      </w:tr>
      <w:tr w:rsidR="00980E5F" w14:paraId="392C0FF7" w14:textId="77777777">
        <w:tc>
          <w:tcPr>
            <w:tcW w:w="0" w:type="auto"/>
            <w:gridSpan w:val="3"/>
            <w:shd w:val="clear" w:color="auto" w:fill="FFFFFF"/>
            <w:tcMar>
              <w:top w:w="40" w:type="dxa"/>
              <w:left w:w="245" w:type="dxa"/>
              <w:bottom w:w="40" w:type="dxa"/>
              <w:right w:w="20" w:type="dxa"/>
            </w:tcMar>
            <w:vAlign w:val="bottom"/>
          </w:tcPr>
          <w:p w14:paraId="392C0FEB" w14:textId="77777777" w:rsidR="00980E5F" w:rsidRDefault="00483613">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FE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FED" w14:textId="77777777" w:rsidR="00980E5F" w:rsidRDefault="00483613">
            <w:pPr>
              <w:jc w:val="right"/>
              <w:textAlignment w:val="bottom"/>
            </w:pPr>
            <w:r>
              <w:rPr>
                <w:rFonts w:ascii="Arial" w:eastAsia="宋体" w:hAnsi="Arial" w:cs="Arial"/>
                <w:b/>
                <w:bCs/>
                <w:color w:val="000000"/>
                <w:sz w:val="14"/>
                <w:szCs w:val="14"/>
              </w:rPr>
              <w:t>293,213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F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0FE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0FF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0FF1" w14:textId="77777777" w:rsidR="00980E5F" w:rsidRDefault="00483613">
            <w:pPr>
              <w:jc w:val="right"/>
              <w:textAlignment w:val="bottom"/>
            </w:pPr>
            <w:r>
              <w:rPr>
                <w:rFonts w:ascii="Arial" w:eastAsia="宋体" w:hAnsi="Arial" w:cs="Arial"/>
                <w:color w:val="000000"/>
                <w:sz w:val="14"/>
                <w:szCs w:val="14"/>
              </w:rPr>
              <w:t>302,294 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0FF2" w14:textId="77777777" w:rsidR="00980E5F" w:rsidRDefault="00980E5F">
            <w:pPr>
              <w:jc w:val="right"/>
              <w:rPr>
                <w:rFonts w:ascii="宋体"/>
              </w:rPr>
            </w:pPr>
          </w:p>
        </w:tc>
        <w:tc>
          <w:tcPr>
            <w:tcW w:w="0" w:type="auto"/>
            <w:shd w:val="clear" w:color="auto" w:fill="auto"/>
            <w:vAlign w:val="bottom"/>
          </w:tcPr>
          <w:p w14:paraId="392C0FF3" w14:textId="77777777" w:rsidR="00980E5F" w:rsidRDefault="00980E5F">
            <w:pPr>
              <w:rPr>
                <w:rFonts w:ascii="宋体"/>
                <w:vanish/>
              </w:rPr>
            </w:pPr>
          </w:p>
        </w:tc>
        <w:tc>
          <w:tcPr>
            <w:tcW w:w="0" w:type="auto"/>
            <w:shd w:val="clear" w:color="auto" w:fill="auto"/>
            <w:vAlign w:val="bottom"/>
          </w:tcPr>
          <w:p w14:paraId="392C0FF4" w14:textId="77777777" w:rsidR="00980E5F" w:rsidRDefault="00980E5F">
            <w:pPr>
              <w:rPr>
                <w:rFonts w:ascii="宋体"/>
                <w:vanish/>
              </w:rPr>
            </w:pPr>
          </w:p>
        </w:tc>
        <w:tc>
          <w:tcPr>
            <w:tcW w:w="0" w:type="auto"/>
            <w:gridSpan w:val="3"/>
            <w:shd w:val="clear" w:color="auto" w:fill="auto"/>
            <w:vAlign w:val="bottom"/>
          </w:tcPr>
          <w:p w14:paraId="392C0FF5" w14:textId="77777777" w:rsidR="00980E5F" w:rsidRDefault="00980E5F">
            <w:pPr>
              <w:rPr>
                <w:rFonts w:ascii="宋体"/>
                <w:vanish/>
              </w:rPr>
            </w:pPr>
          </w:p>
        </w:tc>
        <w:tc>
          <w:tcPr>
            <w:tcW w:w="0" w:type="auto"/>
            <w:gridSpan w:val="3"/>
            <w:shd w:val="clear" w:color="auto" w:fill="auto"/>
            <w:vAlign w:val="bottom"/>
          </w:tcPr>
          <w:p w14:paraId="392C0FF6" w14:textId="77777777" w:rsidR="00980E5F" w:rsidRDefault="00980E5F">
            <w:pPr>
              <w:rPr>
                <w:rFonts w:ascii="宋体"/>
                <w:vanish/>
              </w:rPr>
            </w:pPr>
          </w:p>
        </w:tc>
      </w:tr>
    </w:tbl>
    <w:p w14:paraId="392C0FF8" w14:textId="77777777" w:rsidR="00980E5F" w:rsidRDefault="00980E5F">
      <w:pPr>
        <w:rPr>
          <w:vanish/>
        </w:rPr>
      </w:pPr>
    </w:p>
    <w:tbl>
      <w:tblPr>
        <w:tblW w:w="4528" w:type="pct"/>
        <w:tblCellMar>
          <w:top w:w="15" w:type="dxa"/>
          <w:left w:w="15" w:type="dxa"/>
          <w:bottom w:w="15" w:type="dxa"/>
          <w:right w:w="15" w:type="dxa"/>
        </w:tblCellMar>
        <w:tblLook w:val="04A0" w:firstRow="1" w:lastRow="0" w:firstColumn="1" w:lastColumn="0" w:noHBand="0" w:noVBand="1"/>
      </w:tblPr>
      <w:tblGrid>
        <w:gridCol w:w="61"/>
        <w:gridCol w:w="3966"/>
        <w:gridCol w:w="36"/>
        <w:gridCol w:w="61"/>
        <w:gridCol w:w="3389"/>
        <w:gridCol w:w="36"/>
      </w:tblGrid>
      <w:tr w:rsidR="00980E5F" w14:paraId="392C0FFF" w14:textId="77777777">
        <w:tc>
          <w:tcPr>
            <w:tcW w:w="50" w:type="pct"/>
            <w:shd w:val="clear" w:color="auto" w:fill="auto"/>
            <w:vAlign w:val="bottom"/>
          </w:tcPr>
          <w:p w14:paraId="392C0FF9" w14:textId="77777777" w:rsidR="00980E5F" w:rsidRDefault="00980E5F">
            <w:pPr>
              <w:rPr>
                <w:rFonts w:ascii="宋体"/>
              </w:rPr>
            </w:pPr>
          </w:p>
        </w:tc>
        <w:tc>
          <w:tcPr>
            <w:tcW w:w="2635" w:type="pct"/>
            <w:shd w:val="clear" w:color="auto" w:fill="auto"/>
            <w:vAlign w:val="bottom"/>
          </w:tcPr>
          <w:p w14:paraId="392C0FFA" w14:textId="77777777" w:rsidR="00980E5F" w:rsidRDefault="00980E5F">
            <w:pPr>
              <w:rPr>
                <w:rFonts w:ascii="宋体"/>
              </w:rPr>
            </w:pPr>
          </w:p>
        </w:tc>
        <w:tc>
          <w:tcPr>
            <w:tcW w:w="5" w:type="pct"/>
            <w:shd w:val="clear" w:color="auto" w:fill="auto"/>
            <w:vAlign w:val="bottom"/>
          </w:tcPr>
          <w:p w14:paraId="392C0FFB" w14:textId="77777777" w:rsidR="00980E5F" w:rsidRDefault="00980E5F">
            <w:pPr>
              <w:rPr>
                <w:rFonts w:ascii="宋体"/>
              </w:rPr>
            </w:pPr>
          </w:p>
        </w:tc>
        <w:tc>
          <w:tcPr>
            <w:tcW w:w="50" w:type="pct"/>
            <w:shd w:val="clear" w:color="auto" w:fill="auto"/>
            <w:vAlign w:val="bottom"/>
          </w:tcPr>
          <w:p w14:paraId="392C0FFC" w14:textId="77777777" w:rsidR="00980E5F" w:rsidRDefault="00980E5F">
            <w:pPr>
              <w:rPr>
                <w:rFonts w:ascii="宋体"/>
              </w:rPr>
            </w:pPr>
          </w:p>
        </w:tc>
        <w:tc>
          <w:tcPr>
            <w:tcW w:w="2254" w:type="pct"/>
            <w:shd w:val="clear" w:color="auto" w:fill="auto"/>
            <w:vAlign w:val="bottom"/>
          </w:tcPr>
          <w:p w14:paraId="392C0FFD" w14:textId="77777777" w:rsidR="00980E5F" w:rsidRDefault="00980E5F">
            <w:pPr>
              <w:rPr>
                <w:rFonts w:ascii="宋体"/>
              </w:rPr>
            </w:pPr>
          </w:p>
        </w:tc>
        <w:tc>
          <w:tcPr>
            <w:tcW w:w="5" w:type="pct"/>
            <w:shd w:val="clear" w:color="auto" w:fill="auto"/>
            <w:vAlign w:val="bottom"/>
          </w:tcPr>
          <w:p w14:paraId="392C0FFE" w14:textId="77777777" w:rsidR="00980E5F" w:rsidRDefault="00980E5F">
            <w:pPr>
              <w:rPr>
                <w:rFonts w:ascii="宋体"/>
              </w:rPr>
            </w:pPr>
          </w:p>
        </w:tc>
      </w:tr>
      <w:tr w:rsidR="00980E5F" w14:paraId="392C100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00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001" w14:textId="77777777" w:rsidR="00980E5F" w:rsidRDefault="00980E5F">
            <w:pPr>
              <w:rPr>
                <w:rFonts w:ascii="宋体"/>
              </w:rPr>
            </w:pPr>
          </w:p>
        </w:tc>
      </w:tr>
    </w:tbl>
    <w:p w14:paraId="392C1003" w14:textId="77777777" w:rsidR="00980E5F" w:rsidRDefault="00483613">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392C1004" w14:textId="77777777" w:rsidR="00980E5F" w:rsidRDefault="00483613">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w:t>
      </w:r>
      <w:r>
        <w:rPr>
          <w:rFonts w:ascii="Arial" w:eastAsia="宋体" w:hAnsi="Arial" w:cs="Arial"/>
          <w:color w:val="000000"/>
          <w:sz w:val="14"/>
          <w:szCs w:val="14"/>
        </w:rPr>
        <w:t>veraged $230.83 billion in the six months ended June 30, 2022 compared to $234.32 billion in the same period in 2021.</w:t>
      </w:r>
    </w:p>
    <w:p w14:paraId="392C1005" w14:textId="77777777" w:rsidR="00980E5F" w:rsidRDefault="00483613">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Average non-interest bearing deposits are primarily composed of deposit balances denominated in U.S. dollars.</w:t>
      </w:r>
    </w:p>
    <w:p w14:paraId="392C1006" w14:textId="77777777" w:rsidR="00980E5F" w:rsidRDefault="00483613">
      <w:pPr>
        <w:spacing w:before="90"/>
        <w:textAlignment w:val="top"/>
      </w:pPr>
      <w:r>
        <w:rPr>
          <w:rFonts w:ascii="Arial" w:eastAsia="宋体" w:hAnsi="Arial" w:cs="Arial"/>
          <w:b/>
          <w:bCs/>
          <w:color w:val="000000"/>
          <w:sz w:val="20"/>
          <w:szCs w:val="20"/>
        </w:rPr>
        <w:t xml:space="preserve">Investment </w:t>
      </w:r>
      <w:r>
        <w:rPr>
          <w:rFonts w:ascii="Arial" w:eastAsia="宋体" w:hAnsi="Arial" w:cs="Arial"/>
          <w:b/>
          <w:bCs/>
          <w:color w:val="000000"/>
          <w:sz w:val="20"/>
          <w:szCs w:val="20"/>
        </w:rPr>
        <w:t>Securities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4291"/>
        <w:gridCol w:w="36"/>
        <w:gridCol w:w="98"/>
        <w:gridCol w:w="1520"/>
        <w:gridCol w:w="36"/>
        <w:gridCol w:w="36"/>
        <w:gridCol w:w="45"/>
        <w:gridCol w:w="36"/>
        <w:gridCol w:w="99"/>
        <w:gridCol w:w="1521"/>
        <w:gridCol w:w="37"/>
        <w:gridCol w:w="36"/>
        <w:gridCol w:w="36"/>
        <w:gridCol w:w="36"/>
        <w:gridCol w:w="36"/>
        <w:gridCol w:w="36"/>
        <w:gridCol w:w="36"/>
        <w:gridCol w:w="36"/>
        <w:gridCol w:w="36"/>
        <w:gridCol w:w="36"/>
        <w:gridCol w:w="36"/>
        <w:gridCol w:w="36"/>
        <w:gridCol w:w="36"/>
        <w:gridCol w:w="36"/>
        <w:gridCol w:w="36"/>
        <w:gridCol w:w="36"/>
      </w:tblGrid>
      <w:tr w:rsidR="00980E5F" w14:paraId="392C1018" w14:textId="77777777">
        <w:tc>
          <w:tcPr>
            <w:tcW w:w="50" w:type="pct"/>
            <w:shd w:val="clear" w:color="auto" w:fill="auto"/>
            <w:vAlign w:val="bottom"/>
          </w:tcPr>
          <w:p w14:paraId="392C1007" w14:textId="77777777" w:rsidR="00980E5F" w:rsidRDefault="00980E5F">
            <w:pPr>
              <w:rPr>
                <w:rFonts w:ascii="宋体"/>
              </w:rPr>
            </w:pPr>
          </w:p>
        </w:tc>
        <w:tc>
          <w:tcPr>
            <w:tcW w:w="2775" w:type="pct"/>
            <w:shd w:val="clear" w:color="auto" w:fill="auto"/>
            <w:vAlign w:val="bottom"/>
          </w:tcPr>
          <w:p w14:paraId="392C1008" w14:textId="77777777" w:rsidR="00980E5F" w:rsidRDefault="00980E5F">
            <w:pPr>
              <w:rPr>
                <w:rFonts w:ascii="宋体"/>
              </w:rPr>
            </w:pPr>
          </w:p>
        </w:tc>
        <w:tc>
          <w:tcPr>
            <w:tcW w:w="5" w:type="pct"/>
            <w:shd w:val="clear" w:color="auto" w:fill="auto"/>
            <w:vAlign w:val="bottom"/>
          </w:tcPr>
          <w:p w14:paraId="392C1009" w14:textId="77777777" w:rsidR="00980E5F" w:rsidRDefault="00980E5F">
            <w:pPr>
              <w:rPr>
                <w:rFonts w:ascii="宋体"/>
              </w:rPr>
            </w:pPr>
          </w:p>
        </w:tc>
        <w:tc>
          <w:tcPr>
            <w:tcW w:w="50" w:type="pct"/>
            <w:shd w:val="clear" w:color="auto" w:fill="auto"/>
            <w:vAlign w:val="bottom"/>
          </w:tcPr>
          <w:p w14:paraId="392C100A" w14:textId="77777777" w:rsidR="00980E5F" w:rsidRDefault="00980E5F">
            <w:pPr>
              <w:rPr>
                <w:rFonts w:ascii="宋体"/>
              </w:rPr>
            </w:pPr>
          </w:p>
        </w:tc>
        <w:tc>
          <w:tcPr>
            <w:tcW w:w="998" w:type="pct"/>
            <w:shd w:val="clear" w:color="auto" w:fill="auto"/>
            <w:vAlign w:val="bottom"/>
          </w:tcPr>
          <w:p w14:paraId="392C100B" w14:textId="77777777" w:rsidR="00980E5F" w:rsidRDefault="00980E5F">
            <w:pPr>
              <w:rPr>
                <w:rFonts w:ascii="宋体"/>
              </w:rPr>
            </w:pPr>
          </w:p>
        </w:tc>
        <w:tc>
          <w:tcPr>
            <w:tcW w:w="5" w:type="pct"/>
            <w:shd w:val="clear" w:color="auto" w:fill="auto"/>
            <w:vAlign w:val="bottom"/>
          </w:tcPr>
          <w:p w14:paraId="392C100C" w14:textId="77777777" w:rsidR="00980E5F" w:rsidRDefault="00980E5F">
            <w:pPr>
              <w:rPr>
                <w:rFonts w:ascii="宋体"/>
              </w:rPr>
            </w:pPr>
          </w:p>
        </w:tc>
        <w:tc>
          <w:tcPr>
            <w:tcW w:w="5" w:type="pct"/>
            <w:shd w:val="clear" w:color="auto" w:fill="auto"/>
            <w:vAlign w:val="bottom"/>
          </w:tcPr>
          <w:p w14:paraId="392C100D" w14:textId="77777777" w:rsidR="00980E5F" w:rsidRDefault="00980E5F">
            <w:pPr>
              <w:rPr>
                <w:rFonts w:ascii="宋体"/>
              </w:rPr>
            </w:pPr>
          </w:p>
        </w:tc>
        <w:tc>
          <w:tcPr>
            <w:tcW w:w="52" w:type="pct"/>
            <w:shd w:val="clear" w:color="auto" w:fill="auto"/>
            <w:vAlign w:val="bottom"/>
          </w:tcPr>
          <w:p w14:paraId="392C100E" w14:textId="77777777" w:rsidR="00980E5F" w:rsidRDefault="00980E5F">
            <w:pPr>
              <w:rPr>
                <w:rFonts w:ascii="宋体"/>
              </w:rPr>
            </w:pPr>
          </w:p>
        </w:tc>
        <w:tc>
          <w:tcPr>
            <w:tcW w:w="5" w:type="pct"/>
            <w:shd w:val="clear" w:color="auto" w:fill="auto"/>
            <w:vAlign w:val="bottom"/>
          </w:tcPr>
          <w:p w14:paraId="392C100F" w14:textId="77777777" w:rsidR="00980E5F" w:rsidRDefault="00980E5F">
            <w:pPr>
              <w:rPr>
                <w:rFonts w:ascii="宋体"/>
              </w:rPr>
            </w:pPr>
          </w:p>
        </w:tc>
        <w:tc>
          <w:tcPr>
            <w:tcW w:w="50" w:type="pct"/>
            <w:shd w:val="clear" w:color="auto" w:fill="auto"/>
            <w:vAlign w:val="bottom"/>
          </w:tcPr>
          <w:p w14:paraId="392C1010" w14:textId="77777777" w:rsidR="00980E5F" w:rsidRDefault="00980E5F">
            <w:pPr>
              <w:rPr>
                <w:rFonts w:ascii="宋体"/>
              </w:rPr>
            </w:pPr>
          </w:p>
        </w:tc>
        <w:tc>
          <w:tcPr>
            <w:tcW w:w="998" w:type="pct"/>
            <w:shd w:val="clear" w:color="auto" w:fill="auto"/>
            <w:vAlign w:val="bottom"/>
          </w:tcPr>
          <w:p w14:paraId="392C1011" w14:textId="77777777" w:rsidR="00980E5F" w:rsidRDefault="00980E5F">
            <w:pPr>
              <w:rPr>
                <w:rFonts w:ascii="宋体"/>
              </w:rPr>
            </w:pPr>
          </w:p>
        </w:tc>
        <w:tc>
          <w:tcPr>
            <w:tcW w:w="5" w:type="pct"/>
            <w:shd w:val="clear" w:color="auto" w:fill="auto"/>
            <w:vAlign w:val="bottom"/>
          </w:tcPr>
          <w:p w14:paraId="392C1012" w14:textId="77777777" w:rsidR="00980E5F" w:rsidRDefault="00980E5F">
            <w:pPr>
              <w:rPr>
                <w:rFonts w:ascii="宋体"/>
              </w:rPr>
            </w:pPr>
          </w:p>
        </w:tc>
        <w:tc>
          <w:tcPr>
            <w:tcW w:w="0" w:type="auto"/>
            <w:gridSpan w:val="3"/>
            <w:shd w:val="clear" w:color="auto" w:fill="auto"/>
            <w:vAlign w:val="bottom"/>
          </w:tcPr>
          <w:p w14:paraId="392C1013" w14:textId="77777777" w:rsidR="00980E5F" w:rsidRDefault="00980E5F">
            <w:pPr>
              <w:rPr>
                <w:rFonts w:ascii="宋体"/>
                <w:vanish/>
              </w:rPr>
            </w:pPr>
          </w:p>
        </w:tc>
        <w:tc>
          <w:tcPr>
            <w:tcW w:w="0" w:type="auto"/>
            <w:gridSpan w:val="3"/>
            <w:shd w:val="clear" w:color="auto" w:fill="auto"/>
            <w:vAlign w:val="bottom"/>
          </w:tcPr>
          <w:p w14:paraId="392C1014" w14:textId="77777777" w:rsidR="00980E5F" w:rsidRDefault="00980E5F">
            <w:pPr>
              <w:rPr>
                <w:rFonts w:ascii="宋体"/>
                <w:vanish/>
              </w:rPr>
            </w:pPr>
          </w:p>
        </w:tc>
        <w:tc>
          <w:tcPr>
            <w:tcW w:w="0" w:type="auto"/>
            <w:gridSpan w:val="3"/>
            <w:shd w:val="clear" w:color="auto" w:fill="auto"/>
            <w:vAlign w:val="bottom"/>
          </w:tcPr>
          <w:p w14:paraId="392C1015" w14:textId="77777777" w:rsidR="00980E5F" w:rsidRDefault="00980E5F">
            <w:pPr>
              <w:rPr>
                <w:rFonts w:ascii="宋体"/>
                <w:vanish/>
              </w:rPr>
            </w:pPr>
          </w:p>
        </w:tc>
        <w:tc>
          <w:tcPr>
            <w:tcW w:w="0" w:type="auto"/>
            <w:gridSpan w:val="3"/>
            <w:shd w:val="clear" w:color="auto" w:fill="auto"/>
            <w:vAlign w:val="bottom"/>
          </w:tcPr>
          <w:p w14:paraId="392C1016" w14:textId="77777777" w:rsidR="00980E5F" w:rsidRDefault="00980E5F">
            <w:pPr>
              <w:rPr>
                <w:rFonts w:ascii="宋体"/>
                <w:vanish/>
              </w:rPr>
            </w:pPr>
          </w:p>
        </w:tc>
        <w:tc>
          <w:tcPr>
            <w:tcW w:w="0" w:type="auto"/>
            <w:gridSpan w:val="3"/>
            <w:shd w:val="clear" w:color="auto" w:fill="auto"/>
            <w:vAlign w:val="bottom"/>
          </w:tcPr>
          <w:p w14:paraId="392C1017" w14:textId="77777777" w:rsidR="00980E5F" w:rsidRDefault="00980E5F">
            <w:pPr>
              <w:rPr>
                <w:rFonts w:ascii="宋体"/>
                <w:vanish/>
              </w:rPr>
            </w:pPr>
          </w:p>
        </w:tc>
      </w:tr>
      <w:tr w:rsidR="00980E5F" w14:paraId="392C1027" w14:textId="77777777">
        <w:tc>
          <w:tcPr>
            <w:tcW w:w="0" w:type="auto"/>
            <w:gridSpan w:val="12"/>
            <w:shd w:val="clear" w:color="auto" w:fill="auto"/>
            <w:tcMar>
              <w:top w:w="40" w:type="dxa"/>
              <w:left w:w="20" w:type="dxa"/>
              <w:bottom w:w="40" w:type="dxa"/>
              <w:right w:w="20" w:type="dxa"/>
            </w:tcMar>
            <w:vAlign w:val="bottom"/>
          </w:tcPr>
          <w:p w14:paraId="392C1019" w14:textId="77777777" w:rsidR="00980E5F" w:rsidRDefault="00483613">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392C101A" w14:textId="77777777" w:rsidR="00980E5F" w:rsidRDefault="00980E5F">
            <w:pPr>
              <w:rPr>
                <w:rFonts w:ascii="宋体"/>
                <w:vanish/>
              </w:rPr>
            </w:pPr>
          </w:p>
        </w:tc>
        <w:tc>
          <w:tcPr>
            <w:tcW w:w="0" w:type="auto"/>
            <w:shd w:val="clear" w:color="auto" w:fill="auto"/>
            <w:vAlign w:val="bottom"/>
          </w:tcPr>
          <w:p w14:paraId="392C101B" w14:textId="77777777" w:rsidR="00980E5F" w:rsidRDefault="00980E5F">
            <w:pPr>
              <w:rPr>
                <w:rFonts w:ascii="宋体"/>
              </w:rPr>
            </w:pPr>
          </w:p>
        </w:tc>
        <w:tc>
          <w:tcPr>
            <w:tcW w:w="0" w:type="auto"/>
            <w:shd w:val="clear" w:color="auto" w:fill="auto"/>
            <w:vAlign w:val="bottom"/>
          </w:tcPr>
          <w:p w14:paraId="392C101C" w14:textId="77777777" w:rsidR="00980E5F" w:rsidRDefault="00980E5F">
            <w:pPr>
              <w:rPr>
                <w:rFonts w:ascii="宋体"/>
              </w:rPr>
            </w:pPr>
          </w:p>
        </w:tc>
        <w:tc>
          <w:tcPr>
            <w:tcW w:w="0" w:type="auto"/>
            <w:shd w:val="clear" w:color="auto" w:fill="auto"/>
            <w:vAlign w:val="bottom"/>
          </w:tcPr>
          <w:p w14:paraId="392C101D" w14:textId="77777777" w:rsidR="00980E5F" w:rsidRDefault="00980E5F">
            <w:pPr>
              <w:rPr>
                <w:rFonts w:ascii="宋体"/>
              </w:rPr>
            </w:pPr>
          </w:p>
        </w:tc>
        <w:tc>
          <w:tcPr>
            <w:tcW w:w="0" w:type="auto"/>
            <w:shd w:val="clear" w:color="auto" w:fill="auto"/>
            <w:vAlign w:val="bottom"/>
          </w:tcPr>
          <w:p w14:paraId="392C101E" w14:textId="77777777" w:rsidR="00980E5F" w:rsidRDefault="00980E5F">
            <w:pPr>
              <w:rPr>
                <w:rFonts w:ascii="宋体"/>
              </w:rPr>
            </w:pPr>
          </w:p>
        </w:tc>
        <w:tc>
          <w:tcPr>
            <w:tcW w:w="0" w:type="auto"/>
            <w:shd w:val="clear" w:color="auto" w:fill="auto"/>
            <w:vAlign w:val="bottom"/>
          </w:tcPr>
          <w:p w14:paraId="392C101F" w14:textId="77777777" w:rsidR="00980E5F" w:rsidRDefault="00980E5F">
            <w:pPr>
              <w:rPr>
                <w:rFonts w:ascii="宋体"/>
              </w:rPr>
            </w:pPr>
          </w:p>
        </w:tc>
        <w:tc>
          <w:tcPr>
            <w:tcW w:w="0" w:type="auto"/>
            <w:shd w:val="clear" w:color="auto" w:fill="auto"/>
            <w:vAlign w:val="bottom"/>
          </w:tcPr>
          <w:p w14:paraId="392C1020" w14:textId="77777777" w:rsidR="00980E5F" w:rsidRDefault="00980E5F">
            <w:pPr>
              <w:rPr>
                <w:rFonts w:ascii="宋体"/>
              </w:rPr>
            </w:pPr>
          </w:p>
        </w:tc>
        <w:tc>
          <w:tcPr>
            <w:tcW w:w="0" w:type="auto"/>
            <w:shd w:val="clear" w:color="auto" w:fill="auto"/>
            <w:vAlign w:val="bottom"/>
          </w:tcPr>
          <w:p w14:paraId="392C1021" w14:textId="77777777" w:rsidR="00980E5F" w:rsidRDefault="00980E5F">
            <w:pPr>
              <w:rPr>
                <w:rFonts w:ascii="宋体"/>
              </w:rPr>
            </w:pPr>
          </w:p>
        </w:tc>
        <w:tc>
          <w:tcPr>
            <w:tcW w:w="0" w:type="auto"/>
            <w:shd w:val="clear" w:color="auto" w:fill="auto"/>
            <w:vAlign w:val="bottom"/>
          </w:tcPr>
          <w:p w14:paraId="392C1022" w14:textId="77777777" w:rsidR="00980E5F" w:rsidRDefault="00980E5F">
            <w:pPr>
              <w:rPr>
                <w:rFonts w:ascii="宋体"/>
              </w:rPr>
            </w:pPr>
          </w:p>
        </w:tc>
        <w:tc>
          <w:tcPr>
            <w:tcW w:w="0" w:type="auto"/>
            <w:shd w:val="clear" w:color="auto" w:fill="auto"/>
            <w:vAlign w:val="bottom"/>
          </w:tcPr>
          <w:p w14:paraId="392C1023" w14:textId="77777777" w:rsidR="00980E5F" w:rsidRDefault="00980E5F">
            <w:pPr>
              <w:rPr>
                <w:rFonts w:ascii="宋体"/>
              </w:rPr>
            </w:pPr>
          </w:p>
        </w:tc>
        <w:tc>
          <w:tcPr>
            <w:tcW w:w="0" w:type="auto"/>
            <w:shd w:val="clear" w:color="auto" w:fill="auto"/>
            <w:vAlign w:val="bottom"/>
          </w:tcPr>
          <w:p w14:paraId="392C1024" w14:textId="77777777" w:rsidR="00980E5F" w:rsidRDefault="00980E5F">
            <w:pPr>
              <w:rPr>
                <w:rFonts w:ascii="宋体"/>
              </w:rPr>
            </w:pPr>
          </w:p>
        </w:tc>
        <w:tc>
          <w:tcPr>
            <w:tcW w:w="0" w:type="auto"/>
            <w:shd w:val="clear" w:color="auto" w:fill="auto"/>
            <w:vAlign w:val="bottom"/>
          </w:tcPr>
          <w:p w14:paraId="392C1025" w14:textId="77777777" w:rsidR="00980E5F" w:rsidRDefault="00980E5F">
            <w:pPr>
              <w:rPr>
                <w:rFonts w:ascii="宋体"/>
              </w:rPr>
            </w:pPr>
          </w:p>
        </w:tc>
        <w:tc>
          <w:tcPr>
            <w:tcW w:w="0" w:type="auto"/>
            <w:shd w:val="clear" w:color="auto" w:fill="auto"/>
            <w:vAlign w:val="bottom"/>
          </w:tcPr>
          <w:p w14:paraId="392C1026" w14:textId="77777777" w:rsidR="00980E5F" w:rsidRDefault="00980E5F">
            <w:pPr>
              <w:rPr>
                <w:rFonts w:ascii="宋体"/>
              </w:rPr>
            </w:pPr>
          </w:p>
        </w:tc>
      </w:tr>
      <w:tr w:rsidR="00980E5F" w14:paraId="392C103D" w14:textId="77777777">
        <w:trPr>
          <w:hidden/>
        </w:trPr>
        <w:tc>
          <w:tcPr>
            <w:tcW w:w="0" w:type="auto"/>
            <w:gridSpan w:val="3"/>
            <w:shd w:val="clear" w:color="auto" w:fill="auto"/>
            <w:vAlign w:val="bottom"/>
          </w:tcPr>
          <w:p w14:paraId="392C1028" w14:textId="77777777" w:rsidR="00980E5F" w:rsidRDefault="00980E5F">
            <w:pPr>
              <w:rPr>
                <w:rFonts w:ascii="宋体"/>
                <w:vanish/>
              </w:rPr>
            </w:pPr>
          </w:p>
        </w:tc>
        <w:tc>
          <w:tcPr>
            <w:tcW w:w="0" w:type="auto"/>
            <w:gridSpan w:val="3"/>
            <w:shd w:val="clear" w:color="auto" w:fill="auto"/>
            <w:vAlign w:val="bottom"/>
          </w:tcPr>
          <w:p w14:paraId="392C1029" w14:textId="77777777" w:rsidR="00980E5F" w:rsidRDefault="00980E5F">
            <w:pPr>
              <w:rPr>
                <w:rFonts w:ascii="宋体"/>
                <w:vanish/>
              </w:rPr>
            </w:pPr>
          </w:p>
        </w:tc>
        <w:tc>
          <w:tcPr>
            <w:tcW w:w="0" w:type="auto"/>
            <w:gridSpan w:val="3"/>
            <w:shd w:val="clear" w:color="auto" w:fill="auto"/>
            <w:vAlign w:val="bottom"/>
          </w:tcPr>
          <w:p w14:paraId="392C102A" w14:textId="77777777" w:rsidR="00980E5F" w:rsidRDefault="00980E5F">
            <w:pPr>
              <w:rPr>
                <w:rFonts w:ascii="宋体"/>
                <w:vanish/>
              </w:rPr>
            </w:pPr>
          </w:p>
        </w:tc>
        <w:tc>
          <w:tcPr>
            <w:tcW w:w="0" w:type="auto"/>
            <w:shd w:val="clear" w:color="auto" w:fill="auto"/>
            <w:vAlign w:val="bottom"/>
          </w:tcPr>
          <w:p w14:paraId="392C102B" w14:textId="77777777" w:rsidR="00980E5F" w:rsidRDefault="00980E5F">
            <w:pPr>
              <w:rPr>
                <w:rFonts w:ascii="宋体"/>
              </w:rPr>
            </w:pPr>
          </w:p>
        </w:tc>
        <w:tc>
          <w:tcPr>
            <w:tcW w:w="0" w:type="auto"/>
            <w:shd w:val="clear" w:color="auto" w:fill="auto"/>
            <w:vAlign w:val="bottom"/>
          </w:tcPr>
          <w:p w14:paraId="392C102C" w14:textId="77777777" w:rsidR="00980E5F" w:rsidRDefault="00980E5F">
            <w:pPr>
              <w:rPr>
                <w:rFonts w:ascii="宋体"/>
              </w:rPr>
            </w:pPr>
          </w:p>
        </w:tc>
        <w:tc>
          <w:tcPr>
            <w:tcW w:w="0" w:type="auto"/>
            <w:shd w:val="clear" w:color="auto" w:fill="auto"/>
            <w:vAlign w:val="bottom"/>
          </w:tcPr>
          <w:p w14:paraId="392C102D" w14:textId="77777777" w:rsidR="00980E5F" w:rsidRDefault="00980E5F">
            <w:pPr>
              <w:rPr>
                <w:rFonts w:ascii="宋体"/>
              </w:rPr>
            </w:pPr>
          </w:p>
        </w:tc>
        <w:tc>
          <w:tcPr>
            <w:tcW w:w="0" w:type="auto"/>
            <w:shd w:val="clear" w:color="auto" w:fill="auto"/>
            <w:vAlign w:val="bottom"/>
          </w:tcPr>
          <w:p w14:paraId="392C102E" w14:textId="77777777" w:rsidR="00980E5F" w:rsidRDefault="00980E5F">
            <w:pPr>
              <w:rPr>
                <w:rFonts w:ascii="宋体"/>
              </w:rPr>
            </w:pPr>
          </w:p>
        </w:tc>
        <w:tc>
          <w:tcPr>
            <w:tcW w:w="0" w:type="auto"/>
            <w:shd w:val="clear" w:color="auto" w:fill="auto"/>
            <w:vAlign w:val="bottom"/>
          </w:tcPr>
          <w:p w14:paraId="392C102F" w14:textId="77777777" w:rsidR="00980E5F" w:rsidRDefault="00980E5F">
            <w:pPr>
              <w:rPr>
                <w:rFonts w:ascii="宋体"/>
              </w:rPr>
            </w:pPr>
          </w:p>
        </w:tc>
        <w:tc>
          <w:tcPr>
            <w:tcW w:w="0" w:type="auto"/>
            <w:shd w:val="clear" w:color="auto" w:fill="auto"/>
            <w:vAlign w:val="bottom"/>
          </w:tcPr>
          <w:p w14:paraId="392C1030" w14:textId="77777777" w:rsidR="00980E5F" w:rsidRDefault="00980E5F">
            <w:pPr>
              <w:rPr>
                <w:rFonts w:ascii="宋体"/>
              </w:rPr>
            </w:pPr>
          </w:p>
        </w:tc>
        <w:tc>
          <w:tcPr>
            <w:tcW w:w="0" w:type="auto"/>
            <w:shd w:val="clear" w:color="auto" w:fill="auto"/>
            <w:vAlign w:val="bottom"/>
          </w:tcPr>
          <w:p w14:paraId="392C1031" w14:textId="77777777" w:rsidR="00980E5F" w:rsidRDefault="00980E5F">
            <w:pPr>
              <w:rPr>
                <w:rFonts w:ascii="宋体"/>
              </w:rPr>
            </w:pPr>
          </w:p>
        </w:tc>
        <w:tc>
          <w:tcPr>
            <w:tcW w:w="0" w:type="auto"/>
            <w:shd w:val="clear" w:color="auto" w:fill="auto"/>
            <w:vAlign w:val="bottom"/>
          </w:tcPr>
          <w:p w14:paraId="392C1032" w14:textId="77777777" w:rsidR="00980E5F" w:rsidRDefault="00980E5F">
            <w:pPr>
              <w:rPr>
                <w:rFonts w:ascii="宋体"/>
              </w:rPr>
            </w:pPr>
          </w:p>
        </w:tc>
        <w:tc>
          <w:tcPr>
            <w:tcW w:w="0" w:type="auto"/>
            <w:shd w:val="clear" w:color="auto" w:fill="auto"/>
            <w:vAlign w:val="bottom"/>
          </w:tcPr>
          <w:p w14:paraId="392C1033" w14:textId="77777777" w:rsidR="00980E5F" w:rsidRDefault="00980E5F">
            <w:pPr>
              <w:rPr>
                <w:rFonts w:ascii="宋体"/>
              </w:rPr>
            </w:pPr>
          </w:p>
        </w:tc>
        <w:tc>
          <w:tcPr>
            <w:tcW w:w="0" w:type="auto"/>
            <w:shd w:val="clear" w:color="auto" w:fill="auto"/>
            <w:vAlign w:val="bottom"/>
          </w:tcPr>
          <w:p w14:paraId="392C1034" w14:textId="77777777" w:rsidR="00980E5F" w:rsidRDefault="00980E5F">
            <w:pPr>
              <w:rPr>
                <w:rFonts w:ascii="宋体"/>
              </w:rPr>
            </w:pPr>
          </w:p>
        </w:tc>
        <w:tc>
          <w:tcPr>
            <w:tcW w:w="0" w:type="auto"/>
            <w:shd w:val="clear" w:color="auto" w:fill="auto"/>
            <w:vAlign w:val="bottom"/>
          </w:tcPr>
          <w:p w14:paraId="392C1035" w14:textId="77777777" w:rsidR="00980E5F" w:rsidRDefault="00980E5F">
            <w:pPr>
              <w:rPr>
                <w:rFonts w:ascii="宋体"/>
              </w:rPr>
            </w:pPr>
          </w:p>
        </w:tc>
        <w:tc>
          <w:tcPr>
            <w:tcW w:w="0" w:type="auto"/>
            <w:shd w:val="clear" w:color="auto" w:fill="auto"/>
            <w:vAlign w:val="bottom"/>
          </w:tcPr>
          <w:p w14:paraId="392C1036" w14:textId="77777777" w:rsidR="00980E5F" w:rsidRDefault="00980E5F">
            <w:pPr>
              <w:rPr>
                <w:rFonts w:ascii="宋体"/>
              </w:rPr>
            </w:pPr>
          </w:p>
        </w:tc>
        <w:tc>
          <w:tcPr>
            <w:tcW w:w="0" w:type="auto"/>
            <w:shd w:val="clear" w:color="auto" w:fill="auto"/>
            <w:vAlign w:val="bottom"/>
          </w:tcPr>
          <w:p w14:paraId="392C1037" w14:textId="77777777" w:rsidR="00980E5F" w:rsidRDefault="00980E5F">
            <w:pPr>
              <w:rPr>
                <w:rFonts w:ascii="宋体"/>
              </w:rPr>
            </w:pPr>
          </w:p>
        </w:tc>
        <w:tc>
          <w:tcPr>
            <w:tcW w:w="0" w:type="auto"/>
            <w:shd w:val="clear" w:color="auto" w:fill="auto"/>
            <w:vAlign w:val="bottom"/>
          </w:tcPr>
          <w:p w14:paraId="392C1038" w14:textId="77777777" w:rsidR="00980E5F" w:rsidRDefault="00980E5F">
            <w:pPr>
              <w:rPr>
                <w:rFonts w:ascii="宋体"/>
              </w:rPr>
            </w:pPr>
          </w:p>
        </w:tc>
        <w:tc>
          <w:tcPr>
            <w:tcW w:w="0" w:type="auto"/>
            <w:shd w:val="clear" w:color="auto" w:fill="auto"/>
            <w:vAlign w:val="bottom"/>
          </w:tcPr>
          <w:p w14:paraId="392C1039" w14:textId="77777777" w:rsidR="00980E5F" w:rsidRDefault="00980E5F">
            <w:pPr>
              <w:rPr>
                <w:rFonts w:ascii="宋体"/>
              </w:rPr>
            </w:pPr>
          </w:p>
        </w:tc>
        <w:tc>
          <w:tcPr>
            <w:tcW w:w="0" w:type="auto"/>
            <w:shd w:val="clear" w:color="auto" w:fill="auto"/>
            <w:vAlign w:val="bottom"/>
          </w:tcPr>
          <w:p w14:paraId="392C103A" w14:textId="77777777" w:rsidR="00980E5F" w:rsidRDefault="00980E5F">
            <w:pPr>
              <w:rPr>
                <w:rFonts w:ascii="宋体"/>
              </w:rPr>
            </w:pPr>
          </w:p>
        </w:tc>
        <w:tc>
          <w:tcPr>
            <w:tcW w:w="0" w:type="auto"/>
            <w:shd w:val="clear" w:color="auto" w:fill="auto"/>
            <w:vAlign w:val="bottom"/>
          </w:tcPr>
          <w:p w14:paraId="392C103B" w14:textId="77777777" w:rsidR="00980E5F" w:rsidRDefault="00980E5F">
            <w:pPr>
              <w:rPr>
                <w:rFonts w:ascii="宋体"/>
              </w:rPr>
            </w:pPr>
          </w:p>
        </w:tc>
        <w:tc>
          <w:tcPr>
            <w:tcW w:w="0" w:type="auto"/>
            <w:shd w:val="clear" w:color="auto" w:fill="auto"/>
            <w:vAlign w:val="bottom"/>
          </w:tcPr>
          <w:p w14:paraId="392C103C" w14:textId="77777777" w:rsidR="00980E5F" w:rsidRDefault="00980E5F">
            <w:pPr>
              <w:rPr>
                <w:rFonts w:ascii="宋体"/>
              </w:rPr>
            </w:pPr>
          </w:p>
        </w:tc>
      </w:tr>
      <w:tr w:rsidR="00980E5F" w14:paraId="392C104F" w14:textId="77777777">
        <w:trPr>
          <w:hidden/>
        </w:trPr>
        <w:tc>
          <w:tcPr>
            <w:tcW w:w="0" w:type="auto"/>
            <w:gridSpan w:val="3"/>
            <w:shd w:val="clear" w:color="auto" w:fill="auto"/>
            <w:vAlign w:val="bottom"/>
          </w:tcPr>
          <w:p w14:paraId="392C103E" w14:textId="77777777" w:rsidR="00980E5F" w:rsidRDefault="00980E5F">
            <w:pPr>
              <w:rPr>
                <w:rFonts w:ascii="宋体"/>
                <w:vanish/>
              </w:rPr>
            </w:pPr>
          </w:p>
        </w:tc>
        <w:tc>
          <w:tcPr>
            <w:tcW w:w="0" w:type="auto"/>
            <w:gridSpan w:val="3"/>
            <w:shd w:val="clear" w:color="auto" w:fill="auto"/>
            <w:vAlign w:val="bottom"/>
          </w:tcPr>
          <w:p w14:paraId="392C103F" w14:textId="77777777" w:rsidR="00980E5F" w:rsidRDefault="00980E5F">
            <w:pPr>
              <w:rPr>
                <w:rFonts w:ascii="宋体"/>
                <w:vanish/>
              </w:rPr>
            </w:pPr>
          </w:p>
        </w:tc>
        <w:tc>
          <w:tcPr>
            <w:tcW w:w="0" w:type="auto"/>
            <w:gridSpan w:val="3"/>
            <w:shd w:val="clear" w:color="auto" w:fill="auto"/>
            <w:vAlign w:val="bottom"/>
          </w:tcPr>
          <w:p w14:paraId="392C1040" w14:textId="77777777" w:rsidR="00980E5F" w:rsidRDefault="00980E5F">
            <w:pPr>
              <w:rPr>
                <w:rFonts w:ascii="宋体"/>
                <w:vanish/>
              </w:rPr>
            </w:pPr>
          </w:p>
        </w:tc>
        <w:tc>
          <w:tcPr>
            <w:tcW w:w="0" w:type="auto"/>
            <w:gridSpan w:val="3"/>
            <w:shd w:val="clear" w:color="auto" w:fill="auto"/>
            <w:vAlign w:val="bottom"/>
          </w:tcPr>
          <w:p w14:paraId="392C1041" w14:textId="77777777" w:rsidR="00980E5F" w:rsidRDefault="00980E5F">
            <w:pPr>
              <w:rPr>
                <w:rFonts w:ascii="宋体"/>
                <w:vanish/>
              </w:rPr>
            </w:pPr>
          </w:p>
        </w:tc>
        <w:tc>
          <w:tcPr>
            <w:tcW w:w="0" w:type="auto"/>
            <w:gridSpan w:val="3"/>
            <w:shd w:val="clear" w:color="auto" w:fill="auto"/>
            <w:vAlign w:val="bottom"/>
          </w:tcPr>
          <w:p w14:paraId="392C1042" w14:textId="77777777" w:rsidR="00980E5F" w:rsidRDefault="00980E5F">
            <w:pPr>
              <w:rPr>
                <w:rFonts w:ascii="宋体"/>
                <w:vanish/>
              </w:rPr>
            </w:pPr>
          </w:p>
        </w:tc>
        <w:tc>
          <w:tcPr>
            <w:tcW w:w="0" w:type="auto"/>
            <w:shd w:val="clear" w:color="auto" w:fill="auto"/>
            <w:vAlign w:val="bottom"/>
          </w:tcPr>
          <w:p w14:paraId="392C1043" w14:textId="77777777" w:rsidR="00980E5F" w:rsidRDefault="00980E5F">
            <w:pPr>
              <w:rPr>
                <w:rFonts w:ascii="宋体"/>
              </w:rPr>
            </w:pPr>
          </w:p>
        </w:tc>
        <w:tc>
          <w:tcPr>
            <w:tcW w:w="0" w:type="auto"/>
            <w:shd w:val="clear" w:color="auto" w:fill="auto"/>
            <w:vAlign w:val="bottom"/>
          </w:tcPr>
          <w:p w14:paraId="392C1044" w14:textId="77777777" w:rsidR="00980E5F" w:rsidRDefault="00980E5F">
            <w:pPr>
              <w:rPr>
                <w:rFonts w:ascii="宋体"/>
              </w:rPr>
            </w:pPr>
          </w:p>
        </w:tc>
        <w:tc>
          <w:tcPr>
            <w:tcW w:w="0" w:type="auto"/>
            <w:shd w:val="clear" w:color="auto" w:fill="auto"/>
            <w:vAlign w:val="bottom"/>
          </w:tcPr>
          <w:p w14:paraId="392C1045" w14:textId="77777777" w:rsidR="00980E5F" w:rsidRDefault="00980E5F">
            <w:pPr>
              <w:rPr>
                <w:rFonts w:ascii="宋体"/>
              </w:rPr>
            </w:pPr>
          </w:p>
        </w:tc>
        <w:tc>
          <w:tcPr>
            <w:tcW w:w="0" w:type="auto"/>
            <w:shd w:val="clear" w:color="auto" w:fill="auto"/>
            <w:vAlign w:val="bottom"/>
          </w:tcPr>
          <w:p w14:paraId="392C1046" w14:textId="77777777" w:rsidR="00980E5F" w:rsidRDefault="00980E5F">
            <w:pPr>
              <w:rPr>
                <w:rFonts w:ascii="宋体"/>
              </w:rPr>
            </w:pPr>
          </w:p>
        </w:tc>
        <w:tc>
          <w:tcPr>
            <w:tcW w:w="0" w:type="auto"/>
            <w:shd w:val="clear" w:color="auto" w:fill="auto"/>
            <w:vAlign w:val="bottom"/>
          </w:tcPr>
          <w:p w14:paraId="392C1047" w14:textId="77777777" w:rsidR="00980E5F" w:rsidRDefault="00980E5F">
            <w:pPr>
              <w:rPr>
                <w:rFonts w:ascii="宋体"/>
              </w:rPr>
            </w:pPr>
          </w:p>
        </w:tc>
        <w:tc>
          <w:tcPr>
            <w:tcW w:w="0" w:type="auto"/>
            <w:shd w:val="clear" w:color="auto" w:fill="auto"/>
            <w:vAlign w:val="bottom"/>
          </w:tcPr>
          <w:p w14:paraId="392C1048" w14:textId="77777777" w:rsidR="00980E5F" w:rsidRDefault="00980E5F">
            <w:pPr>
              <w:rPr>
                <w:rFonts w:ascii="宋体"/>
              </w:rPr>
            </w:pPr>
          </w:p>
        </w:tc>
        <w:tc>
          <w:tcPr>
            <w:tcW w:w="0" w:type="auto"/>
            <w:shd w:val="clear" w:color="auto" w:fill="auto"/>
            <w:vAlign w:val="bottom"/>
          </w:tcPr>
          <w:p w14:paraId="392C1049" w14:textId="77777777" w:rsidR="00980E5F" w:rsidRDefault="00980E5F">
            <w:pPr>
              <w:rPr>
                <w:rFonts w:ascii="宋体"/>
              </w:rPr>
            </w:pPr>
          </w:p>
        </w:tc>
        <w:tc>
          <w:tcPr>
            <w:tcW w:w="0" w:type="auto"/>
            <w:shd w:val="clear" w:color="auto" w:fill="auto"/>
            <w:vAlign w:val="bottom"/>
          </w:tcPr>
          <w:p w14:paraId="392C104A" w14:textId="77777777" w:rsidR="00980E5F" w:rsidRDefault="00980E5F">
            <w:pPr>
              <w:rPr>
                <w:rFonts w:ascii="宋体"/>
              </w:rPr>
            </w:pPr>
          </w:p>
        </w:tc>
        <w:tc>
          <w:tcPr>
            <w:tcW w:w="0" w:type="auto"/>
            <w:shd w:val="clear" w:color="auto" w:fill="auto"/>
            <w:vAlign w:val="bottom"/>
          </w:tcPr>
          <w:p w14:paraId="392C104B" w14:textId="77777777" w:rsidR="00980E5F" w:rsidRDefault="00980E5F">
            <w:pPr>
              <w:rPr>
                <w:rFonts w:ascii="宋体"/>
              </w:rPr>
            </w:pPr>
          </w:p>
        </w:tc>
        <w:tc>
          <w:tcPr>
            <w:tcW w:w="0" w:type="auto"/>
            <w:shd w:val="clear" w:color="auto" w:fill="auto"/>
            <w:vAlign w:val="bottom"/>
          </w:tcPr>
          <w:p w14:paraId="392C104C" w14:textId="77777777" w:rsidR="00980E5F" w:rsidRDefault="00980E5F">
            <w:pPr>
              <w:rPr>
                <w:rFonts w:ascii="宋体"/>
              </w:rPr>
            </w:pPr>
          </w:p>
        </w:tc>
        <w:tc>
          <w:tcPr>
            <w:tcW w:w="0" w:type="auto"/>
            <w:shd w:val="clear" w:color="auto" w:fill="auto"/>
            <w:vAlign w:val="bottom"/>
          </w:tcPr>
          <w:p w14:paraId="392C104D" w14:textId="77777777" w:rsidR="00980E5F" w:rsidRDefault="00980E5F">
            <w:pPr>
              <w:rPr>
                <w:rFonts w:ascii="宋体"/>
              </w:rPr>
            </w:pPr>
          </w:p>
        </w:tc>
        <w:tc>
          <w:tcPr>
            <w:tcW w:w="0" w:type="auto"/>
            <w:shd w:val="clear" w:color="auto" w:fill="auto"/>
            <w:vAlign w:val="bottom"/>
          </w:tcPr>
          <w:p w14:paraId="392C104E" w14:textId="77777777" w:rsidR="00980E5F" w:rsidRDefault="00980E5F">
            <w:pPr>
              <w:rPr>
                <w:rFonts w:ascii="宋体"/>
              </w:rPr>
            </w:pPr>
          </w:p>
        </w:tc>
      </w:tr>
      <w:tr w:rsidR="00980E5F" w14:paraId="392C1059" w14:textId="77777777">
        <w:tc>
          <w:tcPr>
            <w:tcW w:w="0" w:type="auto"/>
            <w:gridSpan w:val="3"/>
            <w:shd w:val="clear" w:color="auto" w:fill="auto"/>
            <w:tcMar>
              <w:top w:w="40" w:type="dxa"/>
              <w:left w:w="20" w:type="dxa"/>
              <w:bottom w:w="40" w:type="dxa"/>
              <w:right w:w="20" w:type="dxa"/>
            </w:tcMar>
            <w:vAlign w:val="bottom"/>
          </w:tcPr>
          <w:p w14:paraId="392C1050"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1051"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C105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053" w14:textId="77777777" w:rsidR="00980E5F" w:rsidRDefault="00483613">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vAlign w:val="bottom"/>
          </w:tcPr>
          <w:p w14:paraId="392C1054" w14:textId="77777777" w:rsidR="00980E5F" w:rsidRDefault="00980E5F">
            <w:pPr>
              <w:rPr>
                <w:rFonts w:ascii="宋体"/>
                <w:vanish/>
              </w:rPr>
            </w:pPr>
          </w:p>
        </w:tc>
        <w:tc>
          <w:tcPr>
            <w:tcW w:w="0" w:type="auto"/>
            <w:gridSpan w:val="3"/>
            <w:shd w:val="clear" w:color="auto" w:fill="auto"/>
            <w:vAlign w:val="bottom"/>
          </w:tcPr>
          <w:p w14:paraId="392C1055" w14:textId="77777777" w:rsidR="00980E5F" w:rsidRDefault="00980E5F">
            <w:pPr>
              <w:rPr>
                <w:rFonts w:ascii="宋体"/>
                <w:vanish/>
              </w:rPr>
            </w:pPr>
          </w:p>
        </w:tc>
        <w:tc>
          <w:tcPr>
            <w:tcW w:w="0" w:type="auto"/>
            <w:gridSpan w:val="3"/>
            <w:shd w:val="clear" w:color="auto" w:fill="auto"/>
            <w:vAlign w:val="bottom"/>
          </w:tcPr>
          <w:p w14:paraId="392C1056" w14:textId="77777777" w:rsidR="00980E5F" w:rsidRDefault="00980E5F">
            <w:pPr>
              <w:rPr>
                <w:rFonts w:ascii="宋体"/>
                <w:vanish/>
              </w:rPr>
            </w:pPr>
          </w:p>
        </w:tc>
        <w:tc>
          <w:tcPr>
            <w:tcW w:w="0" w:type="auto"/>
            <w:gridSpan w:val="3"/>
            <w:shd w:val="clear" w:color="auto" w:fill="auto"/>
            <w:vAlign w:val="bottom"/>
          </w:tcPr>
          <w:p w14:paraId="392C1057" w14:textId="77777777" w:rsidR="00980E5F" w:rsidRDefault="00980E5F">
            <w:pPr>
              <w:rPr>
                <w:rFonts w:ascii="宋体"/>
                <w:vanish/>
              </w:rPr>
            </w:pPr>
          </w:p>
        </w:tc>
        <w:tc>
          <w:tcPr>
            <w:tcW w:w="0" w:type="auto"/>
            <w:gridSpan w:val="3"/>
            <w:shd w:val="clear" w:color="auto" w:fill="auto"/>
            <w:vAlign w:val="bottom"/>
          </w:tcPr>
          <w:p w14:paraId="392C1058" w14:textId="77777777" w:rsidR="00980E5F" w:rsidRDefault="00980E5F">
            <w:pPr>
              <w:rPr>
                <w:rFonts w:ascii="宋体"/>
                <w:vanish/>
              </w:rPr>
            </w:pPr>
          </w:p>
        </w:tc>
      </w:tr>
      <w:tr w:rsidR="00980E5F" w14:paraId="392C1063" w14:textId="77777777">
        <w:tc>
          <w:tcPr>
            <w:tcW w:w="0" w:type="auto"/>
            <w:gridSpan w:val="3"/>
            <w:shd w:val="clear" w:color="auto" w:fill="auto"/>
            <w:tcMar>
              <w:top w:w="40" w:type="dxa"/>
              <w:left w:w="20" w:type="dxa"/>
              <w:bottom w:w="40" w:type="dxa"/>
              <w:right w:w="20" w:type="dxa"/>
            </w:tcMar>
            <w:vAlign w:val="bottom"/>
          </w:tcPr>
          <w:p w14:paraId="392C105A" w14:textId="77777777" w:rsidR="00980E5F" w:rsidRDefault="00483613">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0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05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05D" w14:textId="77777777" w:rsidR="00980E5F" w:rsidRDefault="00980E5F">
            <w:pPr>
              <w:rPr>
                <w:rFonts w:ascii="宋体"/>
              </w:rPr>
            </w:pPr>
          </w:p>
        </w:tc>
        <w:tc>
          <w:tcPr>
            <w:tcW w:w="0" w:type="auto"/>
            <w:gridSpan w:val="3"/>
            <w:shd w:val="clear" w:color="auto" w:fill="auto"/>
            <w:vAlign w:val="bottom"/>
          </w:tcPr>
          <w:p w14:paraId="392C105E" w14:textId="77777777" w:rsidR="00980E5F" w:rsidRDefault="00980E5F">
            <w:pPr>
              <w:rPr>
                <w:rFonts w:ascii="宋体"/>
                <w:vanish/>
              </w:rPr>
            </w:pPr>
          </w:p>
        </w:tc>
        <w:tc>
          <w:tcPr>
            <w:tcW w:w="0" w:type="auto"/>
            <w:gridSpan w:val="3"/>
            <w:shd w:val="clear" w:color="auto" w:fill="auto"/>
            <w:vAlign w:val="bottom"/>
          </w:tcPr>
          <w:p w14:paraId="392C105F" w14:textId="77777777" w:rsidR="00980E5F" w:rsidRDefault="00980E5F">
            <w:pPr>
              <w:rPr>
                <w:rFonts w:ascii="宋体"/>
                <w:vanish/>
              </w:rPr>
            </w:pPr>
          </w:p>
        </w:tc>
        <w:tc>
          <w:tcPr>
            <w:tcW w:w="0" w:type="auto"/>
            <w:gridSpan w:val="3"/>
            <w:shd w:val="clear" w:color="auto" w:fill="auto"/>
            <w:vAlign w:val="bottom"/>
          </w:tcPr>
          <w:p w14:paraId="392C1060" w14:textId="77777777" w:rsidR="00980E5F" w:rsidRDefault="00980E5F">
            <w:pPr>
              <w:rPr>
                <w:rFonts w:ascii="宋体"/>
                <w:vanish/>
              </w:rPr>
            </w:pPr>
          </w:p>
        </w:tc>
        <w:tc>
          <w:tcPr>
            <w:tcW w:w="0" w:type="auto"/>
            <w:gridSpan w:val="3"/>
            <w:shd w:val="clear" w:color="auto" w:fill="auto"/>
            <w:vAlign w:val="bottom"/>
          </w:tcPr>
          <w:p w14:paraId="392C1061" w14:textId="77777777" w:rsidR="00980E5F" w:rsidRDefault="00980E5F">
            <w:pPr>
              <w:rPr>
                <w:rFonts w:ascii="宋体"/>
                <w:vanish/>
              </w:rPr>
            </w:pPr>
          </w:p>
        </w:tc>
        <w:tc>
          <w:tcPr>
            <w:tcW w:w="0" w:type="auto"/>
            <w:gridSpan w:val="3"/>
            <w:shd w:val="clear" w:color="auto" w:fill="auto"/>
            <w:vAlign w:val="bottom"/>
          </w:tcPr>
          <w:p w14:paraId="392C1062" w14:textId="77777777" w:rsidR="00980E5F" w:rsidRDefault="00980E5F">
            <w:pPr>
              <w:rPr>
                <w:rFonts w:ascii="宋体"/>
                <w:vanish/>
              </w:rPr>
            </w:pPr>
          </w:p>
        </w:tc>
      </w:tr>
      <w:tr w:rsidR="00980E5F" w14:paraId="392C106D" w14:textId="77777777">
        <w:tc>
          <w:tcPr>
            <w:tcW w:w="0" w:type="auto"/>
            <w:gridSpan w:val="3"/>
            <w:shd w:val="clear" w:color="auto" w:fill="FFFFFF"/>
            <w:tcMar>
              <w:top w:w="40" w:type="dxa"/>
              <w:left w:w="20" w:type="dxa"/>
              <w:bottom w:w="40" w:type="dxa"/>
              <w:right w:w="20" w:type="dxa"/>
            </w:tcMar>
            <w:vAlign w:val="bottom"/>
          </w:tcPr>
          <w:p w14:paraId="392C1064" w14:textId="77777777" w:rsidR="00980E5F" w:rsidRDefault="00483613">
            <w:pPr>
              <w:textAlignment w:val="bottom"/>
            </w:pPr>
            <w:r>
              <w:rPr>
                <w:rFonts w:ascii="Arial" w:eastAsia="宋体" w:hAnsi="Arial" w:cs="Arial"/>
                <w:color w:val="000000"/>
                <w:sz w:val="14"/>
                <w:szCs w:val="14"/>
              </w:rPr>
              <w:t xml:space="preserve">U.S. Treasury and federal </w:t>
            </w:r>
            <w:r>
              <w:rPr>
                <w:rFonts w:ascii="Arial" w:eastAsia="宋体" w:hAnsi="Arial" w:cs="Arial"/>
                <w:color w:val="000000"/>
                <w:sz w:val="14"/>
                <w:szCs w:val="14"/>
              </w:rPr>
              <w:t>agencies:</w:t>
            </w:r>
          </w:p>
        </w:tc>
        <w:tc>
          <w:tcPr>
            <w:tcW w:w="0" w:type="auto"/>
            <w:gridSpan w:val="3"/>
            <w:shd w:val="clear" w:color="auto" w:fill="FFFFFF"/>
            <w:tcMar>
              <w:top w:w="0" w:type="dxa"/>
              <w:left w:w="20" w:type="dxa"/>
              <w:bottom w:w="0" w:type="dxa"/>
              <w:right w:w="20" w:type="dxa"/>
            </w:tcMar>
            <w:vAlign w:val="bottom"/>
          </w:tcPr>
          <w:p w14:paraId="392C106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06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067" w14:textId="77777777" w:rsidR="00980E5F" w:rsidRDefault="00980E5F">
            <w:pPr>
              <w:rPr>
                <w:rFonts w:ascii="宋体"/>
              </w:rPr>
            </w:pPr>
          </w:p>
        </w:tc>
        <w:tc>
          <w:tcPr>
            <w:tcW w:w="0" w:type="auto"/>
            <w:gridSpan w:val="3"/>
            <w:shd w:val="clear" w:color="auto" w:fill="auto"/>
            <w:vAlign w:val="bottom"/>
          </w:tcPr>
          <w:p w14:paraId="392C1068" w14:textId="77777777" w:rsidR="00980E5F" w:rsidRDefault="00980E5F">
            <w:pPr>
              <w:rPr>
                <w:rFonts w:ascii="宋体"/>
                <w:vanish/>
              </w:rPr>
            </w:pPr>
          </w:p>
        </w:tc>
        <w:tc>
          <w:tcPr>
            <w:tcW w:w="0" w:type="auto"/>
            <w:gridSpan w:val="3"/>
            <w:shd w:val="clear" w:color="auto" w:fill="auto"/>
            <w:vAlign w:val="bottom"/>
          </w:tcPr>
          <w:p w14:paraId="392C1069" w14:textId="77777777" w:rsidR="00980E5F" w:rsidRDefault="00980E5F">
            <w:pPr>
              <w:rPr>
                <w:rFonts w:ascii="宋体"/>
                <w:vanish/>
              </w:rPr>
            </w:pPr>
          </w:p>
        </w:tc>
        <w:tc>
          <w:tcPr>
            <w:tcW w:w="0" w:type="auto"/>
            <w:gridSpan w:val="3"/>
            <w:shd w:val="clear" w:color="auto" w:fill="auto"/>
            <w:vAlign w:val="bottom"/>
          </w:tcPr>
          <w:p w14:paraId="392C106A" w14:textId="77777777" w:rsidR="00980E5F" w:rsidRDefault="00980E5F">
            <w:pPr>
              <w:rPr>
                <w:rFonts w:ascii="宋体"/>
                <w:vanish/>
              </w:rPr>
            </w:pPr>
          </w:p>
        </w:tc>
        <w:tc>
          <w:tcPr>
            <w:tcW w:w="0" w:type="auto"/>
            <w:gridSpan w:val="3"/>
            <w:shd w:val="clear" w:color="auto" w:fill="auto"/>
            <w:vAlign w:val="bottom"/>
          </w:tcPr>
          <w:p w14:paraId="392C106B" w14:textId="77777777" w:rsidR="00980E5F" w:rsidRDefault="00980E5F">
            <w:pPr>
              <w:rPr>
                <w:rFonts w:ascii="宋体"/>
                <w:vanish/>
              </w:rPr>
            </w:pPr>
          </w:p>
        </w:tc>
        <w:tc>
          <w:tcPr>
            <w:tcW w:w="0" w:type="auto"/>
            <w:gridSpan w:val="3"/>
            <w:shd w:val="clear" w:color="auto" w:fill="auto"/>
            <w:vAlign w:val="bottom"/>
          </w:tcPr>
          <w:p w14:paraId="392C106C" w14:textId="77777777" w:rsidR="00980E5F" w:rsidRDefault="00980E5F">
            <w:pPr>
              <w:rPr>
                <w:rFonts w:ascii="宋体"/>
                <w:vanish/>
              </w:rPr>
            </w:pPr>
          </w:p>
        </w:tc>
      </w:tr>
      <w:tr w:rsidR="00980E5F" w14:paraId="392C107B" w14:textId="77777777">
        <w:tc>
          <w:tcPr>
            <w:tcW w:w="0" w:type="auto"/>
            <w:gridSpan w:val="3"/>
            <w:shd w:val="clear" w:color="auto" w:fill="CCEEFF"/>
            <w:tcMar>
              <w:top w:w="40" w:type="dxa"/>
              <w:left w:w="140" w:type="dxa"/>
              <w:bottom w:w="40" w:type="dxa"/>
              <w:right w:w="20" w:type="dxa"/>
            </w:tcMar>
            <w:vAlign w:val="bottom"/>
          </w:tcPr>
          <w:p w14:paraId="392C106E" w14:textId="77777777" w:rsidR="00980E5F" w:rsidRDefault="00483613">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92C106F"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070" w14:textId="77777777" w:rsidR="00980E5F" w:rsidRDefault="00483613">
            <w:pPr>
              <w:jc w:val="right"/>
              <w:textAlignment w:val="bottom"/>
            </w:pPr>
            <w:r>
              <w:rPr>
                <w:rFonts w:ascii="Arial" w:eastAsia="宋体" w:hAnsi="Arial" w:cs="Arial"/>
                <w:b/>
                <w:bCs/>
                <w:color w:val="000000"/>
                <w:sz w:val="14"/>
                <w:szCs w:val="14"/>
              </w:rPr>
              <w:t>9,411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0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7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07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1074" w14:textId="77777777" w:rsidR="00980E5F" w:rsidRDefault="00483613">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392C1075" w14:textId="77777777" w:rsidR="00980E5F" w:rsidRDefault="00980E5F">
            <w:pPr>
              <w:jc w:val="right"/>
              <w:rPr>
                <w:rFonts w:ascii="宋体"/>
              </w:rPr>
            </w:pPr>
          </w:p>
        </w:tc>
        <w:tc>
          <w:tcPr>
            <w:tcW w:w="0" w:type="auto"/>
            <w:gridSpan w:val="3"/>
            <w:shd w:val="clear" w:color="auto" w:fill="auto"/>
            <w:vAlign w:val="bottom"/>
          </w:tcPr>
          <w:p w14:paraId="392C1076" w14:textId="77777777" w:rsidR="00980E5F" w:rsidRDefault="00980E5F">
            <w:pPr>
              <w:rPr>
                <w:rFonts w:ascii="宋体"/>
                <w:vanish/>
              </w:rPr>
            </w:pPr>
          </w:p>
        </w:tc>
        <w:tc>
          <w:tcPr>
            <w:tcW w:w="0" w:type="auto"/>
            <w:gridSpan w:val="3"/>
            <w:shd w:val="clear" w:color="auto" w:fill="auto"/>
            <w:vAlign w:val="bottom"/>
          </w:tcPr>
          <w:p w14:paraId="392C1077" w14:textId="77777777" w:rsidR="00980E5F" w:rsidRDefault="00980E5F">
            <w:pPr>
              <w:rPr>
                <w:rFonts w:ascii="宋体"/>
                <w:vanish/>
              </w:rPr>
            </w:pPr>
          </w:p>
        </w:tc>
        <w:tc>
          <w:tcPr>
            <w:tcW w:w="0" w:type="auto"/>
            <w:gridSpan w:val="3"/>
            <w:shd w:val="clear" w:color="auto" w:fill="auto"/>
            <w:vAlign w:val="bottom"/>
          </w:tcPr>
          <w:p w14:paraId="392C1078" w14:textId="77777777" w:rsidR="00980E5F" w:rsidRDefault="00980E5F">
            <w:pPr>
              <w:rPr>
                <w:rFonts w:ascii="宋体"/>
                <w:vanish/>
              </w:rPr>
            </w:pPr>
          </w:p>
        </w:tc>
        <w:tc>
          <w:tcPr>
            <w:tcW w:w="0" w:type="auto"/>
            <w:gridSpan w:val="3"/>
            <w:shd w:val="clear" w:color="auto" w:fill="auto"/>
            <w:vAlign w:val="bottom"/>
          </w:tcPr>
          <w:p w14:paraId="392C1079" w14:textId="77777777" w:rsidR="00980E5F" w:rsidRDefault="00980E5F">
            <w:pPr>
              <w:rPr>
                <w:rFonts w:ascii="宋体"/>
                <w:vanish/>
              </w:rPr>
            </w:pPr>
          </w:p>
        </w:tc>
        <w:tc>
          <w:tcPr>
            <w:tcW w:w="0" w:type="auto"/>
            <w:gridSpan w:val="3"/>
            <w:shd w:val="clear" w:color="auto" w:fill="auto"/>
            <w:vAlign w:val="bottom"/>
          </w:tcPr>
          <w:p w14:paraId="392C107A" w14:textId="77777777" w:rsidR="00980E5F" w:rsidRDefault="00980E5F">
            <w:pPr>
              <w:rPr>
                <w:rFonts w:ascii="宋体"/>
                <w:vanish/>
              </w:rPr>
            </w:pPr>
          </w:p>
        </w:tc>
      </w:tr>
      <w:tr w:rsidR="00980E5F" w14:paraId="392C1087" w14:textId="77777777">
        <w:tc>
          <w:tcPr>
            <w:tcW w:w="0" w:type="auto"/>
            <w:gridSpan w:val="3"/>
            <w:shd w:val="clear" w:color="auto" w:fill="FFFFFF"/>
            <w:tcMar>
              <w:top w:w="40" w:type="dxa"/>
              <w:left w:w="140" w:type="dxa"/>
              <w:bottom w:w="40" w:type="dxa"/>
              <w:right w:w="20" w:type="dxa"/>
            </w:tcMar>
            <w:vAlign w:val="bottom"/>
          </w:tcPr>
          <w:p w14:paraId="392C107C"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92C107D" w14:textId="77777777" w:rsidR="00980E5F" w:rsidRDefault="00483613">
            <w:pPr>
              <w:jc w:val="right"/>
              <w:textAlignment w:val="bottom"/>
            </w:pPr>
            <w:r>
              <w:rPr>
                <w:rFonts w:ascii="Arial" w:eastAsia="宋体" w:hAnsi="Arial" w:cs="Arial"/>
                <w:b/>
                <w:bCs/>
                <w:color w:val="000000"/>
                <w:sz w:val="14"/>
                <w:szCs w:val="14"/>
              </w:rPr>
              <w:t>10,271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0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0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080" w14:textId="77777777" w:rsidR="00980E5F" w:rsidRDefault="00483613">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392C1081" w14:textId="77777777" w:rsidR="00980E5F" w:rsidRDefault="00980E5F">
            <w:pPr>
              <w:jc w:val="right"/>
              <w:rPr>
                <w:rFonts w:ascii="宋体"/>
              </w:rPr>
            </w:pPr>
          </w:p>
        </w:tc>
        <w:tc>
          <w:tcPr>
            <w:tcW w:w="0" w:type="auto"/>
            <w:gridSpan w:val="3"/>
            <w:shd w:val="clear" w:color="auto" w:fill="auto"/>
            <w:vAlign w:val="bottom"/>
          </w:tcPr>
          <w:p w14:paraId="392C1082" w14:textId="77777777" w:rsidR="00980E5F" w:rsidRDefault="00980E5F">
            <w:pPr>
              <w:rPr>
                <w:rFonts w:ascii="宋体"/>
                <w:vanish/>
              </w:rPr>
            </w:pPr>
          </w:p>
        </w:tc>
        <w:tc>
          <w:tcPr>
            <w:tcW w:w="0" w:type="auto"/>
            <w:gridSpan w:val="3"/>
            <w:shd w:val="clear" w:color="auto" w:fill="auto"/>
            <w:vAlign w:val="bottom"/>
          </w:tcPr>
          <w:p w14:paraId="392C1083" w14:textId="77777777" w:rsidR="00980E5F" w:rsidRDefault="00980E5F">
            <w:pPr>
              <w:rPr>
                <w:rFonts w:ascii="宋体"/>
                <w:vanish/>
              </w:rPr>
            </w:pPr>
          </w:p>
        </w:tc>
        <w:tc>
          <w:tcPr>
            <w:tcW w:w="0" w:type="auto"/>
            <w:gridSpan w:val="3"/>
            <w:shd w:val="clear" w:color="auto" w:fill="auto"/>
            <w:vAlign w:val="bottom"/>
          </w:tcPr>
          <w:p w14:paraId="392C1084" w14:textId="77777777" w:rsidR="00980E5F" w:rsidRDefault="00980E5F">
            <w:pPr>
              <w:rPr>
                <w:rFonts w:ascii="宋体"/>
                <w:vanish/>
              </w:rPr>
            </w:pPr>
          </w:p>
        </w:tc>
        <w:tc>
          <w:tcPr>
            <w:tcW w:w="0" w:type="auto"/>
            <w:gridSpan w:val="3"/>
            <w:shd w:val="clear" w:color="auto" w:fill="auto"/>
            <w:vAlign w:val="bottom"/>
          </w:tcPr>
          <w:p w14:paraId="392C1085" w14:textId="77777777" w:rsidR="00980E5F" w:rsidRDefault="00980E5F">
            <w:pPr>
              <w:rPr>
                <w:rFonts w:ascii="宋体"/>
                <w:vanish/>
              </w:rPr>
            </w:pPr>
          </w:p>
        </w:tc>
        <w:tc>
          <w:tcPr>
            <w:tcW w:w="0" w:type="auto"/>
            <w:gridSpan w:val="3"/>
            <w:shd w:val="clear" w:color="auto" w:fill="auto"/>
            <w:vAlign w:val="bottom"/>
          </w:tcPr>
          <w:p w14:paraId="392C1086" w14:textId="77777777" w:rsidR="00980E5F" w:rsidRDefault="00980E5F">
            <w:pPr>
              <w:rPr>
                <w:rFonts w:ascii="宋体"/>
                <w:vanish/>
              </w:rPr>
            </w:pPr>
          </w:p>
        </w:tc>
      </w:tr>
      <w:tr w:rsidR="00980E5F" w14:paraId="392C1093" w14:textId="77777777">
        <w:tc>
          <w:tcPr>
            <w:tcW w:w="0" w:type="auto"/>
            <w:gridSpan w:val="3"/>
            <w:shd w:val="clear" w:color="auto" w:fill="CCEEFF"/>
            <w:tcMar>
              <w:top w:w="40" w:type="dxa"/>
              <w:left w:w="20" w:type="dxa"/>
              <w:bottom w:w="40" w:type="dxa"/>
              <w:right w:w="20" w:type="dxa"/>
            </w:tcMar>
            <w:vAlign w:val="bottom"/>
          </w:tcPr>
          <w:p w14:paraId="392C1088" w14:textId="77777777" w:rsidR="00980E5F" w:rsidRDefault="00483613">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089" w14:textId="77777777" w:rsidR="00980E5F" w:rsidRDefault="00483613">
            <w:pPr>
              <w:jc w:val="right"/>
              <w:textAlignment w:val="bottom"/>
            </w:pPr>
            <w:r>
              <w:rPr>
                <w:rFonts w:ascii="Arial" w:eastAsia="宋体" w:hAnsi="Arial" w:cs="Arial"/>
                <w:b/>
                <w:bCs/>
                <w:color w:val="000000"/>
                <w:sz w:val="14"/>
                <w:szCs w:val="14"/>
              </w:rPr>
              <w:t>19,682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0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8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08C" w14:textId="77777777" w:rsidR="00980E5F" w:rsidRDefault="00483613">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08D" w14:textId="77777777" w:rsidR="00980E5F" w:rsidRDefault="00980E5F">
            <w:pPr>
              <w:jc w:val="right"/>
              <w:rPr>
                <w:rFonts w:ascii="宋体"/>
              </w:rPr>
            </w:pPr>
          </w:p>
        </w:tc>
        <w:tc>
          <w:tcPr>
            <w:tcW w:w="0" w:type="auto"/>
            <w:gridSpan w:val="3"/>
            <w:shd w:val="clear" w:color="auto" w:fill="auto"/>
            <w:vAlign w:val="bottom"/>
          </w:tcPr>
          <w:p w14:paraId="392C108E" w14:textId="77777777" w:rsidR="00980E5F" w:rsidRDefault="00980E5F">
            <w:pPr>
              <w:rPr>
                <w:rFonts w:ascii="宋体"/>
                <w:vanish/>
              </w:rPr>
            </w:pPr>
          </w:p>
        </w:tc>
        <w:tc>
          <w:tcPr>
            <w:tcW w:w="0" w:type="auto"/>
            <w:gridSpan w:val="3"/>
            <w:shd w:val="clear" w:color="auto" w:fill="auto"/>
            <w:vAlign w:val="bottom"/>
          </w:tcPr>
          <w:p w14:paraId="392C108F" w14:textId="77777777" w:rsidR="00980E5F" w:rsidRDefault="00980E5F">
            <w:pPr>
              <w:rPr>
                <w:rFonts w:ascii="宋体"/>
                <w:vanish/>
              </w:rPr>
            </w:pPr>
          </w:p>
        </w:tc>
        <w:tc>
          <w:tcPr>
            <w:tcW w:w="0" w:type="auto"/>
            <w:gridSpan w:val="3"/>
            <w:shd w:val="clear" w:color="auto" w:fill="auto"/>
            <w:vAlign w:val="bottom"/>
          </w:tcPr>
          <w:p w14:paraId="392C1090" w14:textId="77777777" w:rsidR="00980E5F" w:rsidRDefault="00980E5F">
            <w:pPr>
              <w:rPr>
                <w:rFonts w:ascii="宋体"/>
                <w:vanish/>
              </w:rPr>
            </w:pPr>
          </w:p>
        </w:tc>
        <w:tc>
          <w:tcPr>
            <w:tcW w:w="0" w:type="auto"/>
            <w:gridSpan w:val="3"/>
            <w:shd w:val="clear" w:color="auto" w:fill="auto"/>
            <w:vAlign w:val="bottom"/>
          </w:tcPr>
          <w:p w14:paraId="392C1091" w14:textId="77777777" w:rsidR="00980E5F" w:rsidRDefault="00980E5F">
            <w:pPr>
              <w:rPr>
                <w:rFonts w:ascii="宋体"/>
                <w:vanish/>
              </w:rPr>
            </w:pPr>
          </w:p>
        </w:tc>
        <w:tc>
          <w:tcPr>
            <w:tcW w:w="0" w:type="auto"/>
            <w:gridSpan w:val="3"/>
            <w:shd w:val="clear" w:color="auto" w:fill="auto"/>
            <w:vAlign w:val="bottom"/>
          </w:tcPr>
          <w:p w14:paraId="392C1092" w14:textId="77777777" w:rsidR="00980E5F" w:rsidRDefault="00980E5F">
            <w:pPr>
              <w:rPr>
                <w:rFonts w:ascii="宋体"/>
                <w:vanish/>
              </w:rPr>
            </w:pPr>
          </w:p>
        </w:tc>
      </w:tr>
      <w:tr w:rsidR="00980E5F" w14:paraId="392C109D" w14:textId="77777777">
        <w:tc>
          <w:tcPr>
            <w:tcW w:w="0" w:type="auto"/>
            <w:gridSpan w:val="3"/>
            <w:shd w:val="clear" w:color="auto" w:fill="FFFFFF"/>
            <w:tcMar>
              <w:top w:w="40" w:type="dxa"/>
              <w:left w:w="20" w:type="dxa"/>
              <w:bottom w:w="40" w:type="dxa"/>
              <w:right w:w="20" w:type="dxa"/>
            </w:tcMar>
            <w:vAlign w:val="bottom"/>
          </w:tcPr>
          <w:p w14:paraId="392C1094" w14:textId="77777777" w:rsidR="00980E5F" w:rsidRDefault="00483613">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392C109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09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097" w14:textId="77777777" w:rsidR="00980E5F" w:rsidRDefault="00980E5F">
            <w:pPr>
              <w:rPr>
                <w:rFonts w:ascii="宋体"/>
              </w:rPr>
            </w:pPr>
          </w:p>
        </w:tc>
        <w:tc>
          <w:tcPr>
            <w:tcW w:w="0" w:type="auto"/>
            <w:gridSpan w:val="3"/>
            <w:shd w:val="clear" w:color="auto" w:fill="auto"/>
            <w:vAlign w:val="bottom"/>
          </w:tcPr>
          <w:p w14:paraId="392C1098" w14:textId="77777777" w:rsidR="00980E5F" w:rsidRDefault="00980E5F">
            <w:pPr>
              <w:rPr>
                <w:rFonts w:ascii="宋体"/>
                <w:vanish/>
              </w:rPr>
            </w:pPr>
          </w:p>
        </w:tc>
        <w:tc>
          <w:tcPr>
            <w:tcW w:w="0" w:type="auto"/>
            <w:gridSpan w:val="3"/>
            <w:shd w:val="clear" w:color="auto" w:fill="auto"/>
            <w:vAlign w:val="bottom"/>
          </w:tcPr>
          <w:p w14:paraId="392C1099" w14:textId="77777777" w:rsidR="00980E5F" w:rsidRDefault="00980E5F">
            <w:pPr>
              <w:rPr>
                <w:rFonts w:ascii="宋体"/>
                <w:vanish/>
              </w:rPr>
            </w:pPr>
          </w:p>
        </w:tc>
        <w:tc>
          <w:tcPr>
            <w:tcW w:w="0" w:type="auto"/>
            <w:gridSpan w:val="3"/>
            <w:shd w:val="clear" w:color="auto" w:fill="auto"/>
            <w:vAlign w:val="bottom"/>
          </w:tcPr>
          <w:p w14:paraId="392C109A" w14:textId="77777777" w:rsidR="00980E5F" w:rsidRDefault="00980E5F">
            <w:pPr>
              <w:rPr>
                <w:rFonts w:ascii="宋体"/>
                <w:vanish/>
              </w:rPr>
            </w:pPr>
          </w:p>
        </w:tc>
        <w:tc>
          <w:tcPr>
            <w:tcW w:w="0" w:type="auto"/>
            <w:gridSpan w:val="3"/>
            <w:shd w:val="clear" w:color="auto" w:fill="auto"/>
            <w:vAlign w:val="bottom"/>
          </w:tcPr>
          <w:p w14:paraId="392C109B" w14:textId="77777777" w:rsidR="00980E5F" w:rsidRDefault="00980E5F">
            <w:pPr>
              <w:rPr>
                <w:rFonts w:ascii="宋体"/>
                <w:vanish/>
              </w:rPr>
            </w:pPr>
          </w:p>
        </w:tc>
        <w:tc>
          <w:tcPr>
            <w:tcW w:w="0" w:type="auto"/>
            <w:gridSpan w:val="3"/>
            <w:shd w:val="clear" w:color="auto" w:fill="auto"/>
            <w:vAlign w:val="bottom"/>
          </w:tcPr>
          <w:p w14:paraId="392C109C" w14:textId="77777777" w:rsidR="00980E5F" w:rsidRDefault="00980E5F">
            <w:pPr>
              <w:rPr>
                <w:rFonts w:ascii="宋体"/>
                <w:vanish/>
              </w:rPr>
            </w:pPr>
          </w:p>
        </w:tc>
      </w:tr>
      <w:tr w:rsidR="00980E5F" w14:paraId="392C10A9" w14:textId="77777777">
        <w:tc>
          <w:tcPr>
            <w:tcW w:w="0" w:type="auto"/>
            <w:gridSpan w:val="3"/>
            <w:shd w:val="clear" w:color="auto" w:fill="CCEEFF"/>
            <w:tcMar>
              <w:top w:w="40" w:type="dxa"/>
              <w:left w:w="140" w:type="dxa"/>
              <w:bottom w:w="40" w:type="dxa"/>
              <w:right w:w="20" w:type="dxa"/>
            </w:tcMar>
            <w:vAlign w:val="bottom"/>
          </w:tcPr>
          <w:p w14:paraId="392C109E"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392C109F" w14:textId="77777777" w:rsidR="00980E5F" w:rsidRDefault="00483613">
            <w:pPr>
              <w:jc w:val="right"/>
              <w:textAlignment w:val="bottom"/>
            </w:pPr>
            <w:r>
              <w:rPr>
                <w:rFonts w:ascii="Arial" w:eastAsia="宋体" w:hAnsi="Arial" w:cs="Arial"/>
                <w:b/>
                <w:bCs/>
                <w:color w:val="000000"/>
                <w:sz w:val="14"/>
                <w:szCs w:val="14"/>
              </w:rPr>
              <w:t>1,959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0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0A2" w14:textId="77777777" w:rsidR="00980E5F" w:rsidRDefault="00483613">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392C10A3" w14:textId="77777777" w:rsidR="00980E5F" w:rsidRDefault="00980E5F">
            <w:pPr>
              <w:jc w:val="right"/>
              <w:rPr>
                <w:rFonts w:ascii="宋体"/>
              </w:rPr>
            </w:pPr>
          </w:p>
        </w:tc>
        <w:tc>
          <w:tcPr>
            <w:tcW w:w="0" w:type="auto"/>
            <w:gridSpan w:val="3"/>
            <w:shd w:val="clear" w:color="auto" w:fill="auto"/>
            <w:vAlign w:val="bottom"/>
          </w:tcPr>
          <w:p w14:paraId="392C10A4" w14:textId="77777777" w:rsidR="00980E5F" w:rsidRDefault="00980E5F">
            <w:pPr>
              <w:rPr>
                <w:rFonts w:ascii="宋体"/>
                <w:vanish/>
              </w:rPr>
            </w:pPr>
          </w:p>
        </w:tc>
        <w:tc>
          <w:tcPr>
            <w:tcW w:w="0" w:type="auto"/>
            <w:gridSpan w:val="3"/>
            <w:shd w:val="clear" w:color="auto" w:fill="auto"/>
            <w:vAlign w:val="bottom"/>
          </w:tcPr>
          <w:p w14:paraId="392C10A5" w14:textId="77777777" w:rsidR="00980E5F" w:rsidRDefault="00980E5F">
            <w:pPr>
              <w:rPr>
                <w:rFonts w:ascii="宋体"/>
                <w:vanish/>
              </w:rPr>
            </w:pPr>
          </w:p>
        </w:tc>
        <w:tc>
          <w:tcPr>
            <w:tcW w:w="0" w:type="auto"/>
            <w:gridSpan w:val="3"/>
            <w:shd w:val="clear" w:color="auto" w:fill="auto"/>
            <w:vAlign w:val="bottom"/>
          </w:tcPr>
          <w:p w14:paraId="392C10A6" w14:textId="77777777" w:rsidR="00980E5F" w:rsidRDefault="00980E5F">
            <w:pPr>
              <w:rPr>
                <w:rFonts w:ascii="宋体"/>
                <w:vanish/>
              </w:rPr>
            </w:pPr>
          </w:p>
        </w:tc>
        <w:tc>
          <w:tcPr>
            <w:tcW w:w="0" w:type="auto"/>
            <w:gridSpan w:val="3"/>
            <w:shd w:val="clear" w:color="auto" w:fill="auto"/>
            <w:vAlign w:val="bottom"/>
          </w:tcPr>
          <w:p w14:paraId="392C10A7" w14:textId="77777777" w:rsidR="00980E5F" w:rsidRDefault="00980E5F">
            <w:pPr>
              <w:rPr>
                <w:rFonts w:ascii="宋体"/>
                <w:vanish/>
              </w:rPr>
            </w:pPr>
          </w:p>
        </w:tc>
        <w:tc>
          <w:tcPr>
            <w:tcW w:w="0" w:type="auto"/>
            <w:gridSpan w:val="3"/>
            <w:shd w:val="clear" w:color="auto" w:fill="auto"/>
            <w:vAlign w:val="bottom"/>
          </w:tcPr>
          <w:p w14:paraId="392C10A8" w14:textId="77777777" w:rsidR="00980E5F" w:rsidRDefault="00980E5F">
            <w:pPr>
              <w:rPr>
                <w:rFonts w:ascii="宋体"/>
                <w:vanish/>
              </w:rPr>
            </w:pPr>
          </w:p>
        </w:tc>
      </w:tr>
      <w:tr w:rsidR="00980E5F" w14:paraId="392C10B5" w14:textId="77777777">
        <w:tc>
          <w:tcPr>
            <w:tcW w:w="0" w:type="auto"/>
            <w:gridSpan w:val="3"/>
            <w:shd w:val="clear" w:color="auto" w:fill="FFFFFF"/>
            <w:tcMar>
              <w:top w:w="40" w:type="dxa"/>
              <w:left w:w="140" w:type="dxa"/>
              <w:bottom w:w="40" w:type="dxa"/>
              <w:right w:w="20" w:type="dxa"/>
            </w:tcMar>
            <w:vAlign w:val="bottom"/>
          </w:tcPr>
          <w:p w14:paraId="392C10AA"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392C10AB" w14:textId="77777777" w:rsidR="00980E5F" w:rsidRDefault="00483613">
            <w:pPr>
              <w:jc w:val="right"/>
              <w:textAlignment w:val="bottom"/>
            </w:pPr>
            <w:r>
              <w:rPr>
                <w:rFonts w:ascii="Arial" w:eastAsia="宋体" w:hAnsi="Arial" w:cs="Arial"/>
                <w:b/>
                <w:bCs/>
                <w:color w:val="000000"/>
                <w:sz w:val="14"/>
                <w:szCs w:val="14"/>
              </w:rPr>
              <w:t>1,876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0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0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0AE" w14:textId="77777777" w:rsidR="00980E5F" w:rsidRDefault="00483613">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392C10AF" w14:textId="77777777" w:rsidR="00980E5F" w:rsidRDefault="00980E5F">
            <w:pPr>
              <w:jc w:val="right"/>
              <w:rPr>
                <w:rFonts w:ascii="宋体"/>
              </w:rPr>
            </w:pPr>
          </w:p>
        </w:tc>
        <w:tc>
          <w:tcPr>
            <w:tcW w:w="0" w:type="auto"/>
            <w:gridSpan w:val="3"/>
            <w:shd w:val="clear" w:color="auto" w:fill="auto"/>
            <w:vAlign w:val="bottom"/>
          </w:tcPr>
          <w:p w14:paraId="392C10B0" w14:textId="77777777" w:rsidR="00980E5F" w:rsidRDefault="00980E5F">
            <w:pPr>
              <w:rPr>
                <w:rFonts w:ascii="宋体"/>
                <w:vanish/>
              </w:rPr>
            </w:pPr>
          </w:p>
        </w:tc>
        <w:tc>
          <w:tcPr>
            <w:tcW w:w="0" w:type="auto"/>
            <w:gridSpan w:val="3"/>
            <w:shd w:val="clear" w:color="auto" w:fill="auto"/>
            <w:vAlign w:val="bottom"/>
          </w:tcPr>
          <w:p w14:paraId="392C10B1" w14:textId="77777777" w:rsidR="00980E5F" w:rsidRDefault="00980E5F">
            <w:pPr>
              <w:rPr>
                <w:rFonts w:ascii="宋体"/>
                <w:vanish/>
              </w:rPr>
            </w:pPr>
          </w:p>
        </w:tc>
        <w:tc>
          <w:tcPr>
            <w:tcW w:w="0" w:type="auto"/>
            <w:gridSpan w:val="3"/>
            <w:shd w:val="clear" w:color="auto" w:fill="auto"/>
            <w:vAlign w:val="bottom"/>
          </w:tcPr>
          <w:p w14:paraId="392C10B2" w14:textId="77777777" w:rsidR="00980E5F" w:rsidRDefault="00980E5F">
            <w:pPr>
              <w:rPr>
                <w:rFonts w:ascii="宋体"/>
                <w:vanish/>
              </w:rPr>
            </w:pPr>
          </w:p>
        </w:tc>
        <w:tc>
          <w:tcPr>
            <w:tcW w:w="0" w:type="auto"/>
            <w:gridSpan w:val="3"/>
            <w:shd w:val="clear" w:color="auto" w:fill="auto"/>
            <w:vAlign w:val="bottom"/>
          </w:tcPr>
          <w:p w14:paraId="392C10B3" w14:textId="77777777" w:rsidR="00980E5F" w:rsidRDefault="00980E5F">
            <w:pPr>
              <w:rPr>
                <w:rFonts w:ascii="宋体"/>
                <w:vanish/>
              </w:rPr>
            </w:pPr>
          </w:p>
        </w:tc>
        <w:tc>
          <w:tcPr>
            <w:tcW w:w="0" w:type="auto"/>
            <w:gridSpan w:val="3"/>
            <w:shd w:val="clear" w:color="auto" w:fill="auto"/>
            <w:vAlign w:val="bottom"/>
          </w:tcPr>
          <w:p w14:paraId="392C10B4" w14:textId="77777777" w:rsidR="00980E5F" w:rsidRDefault="00980E5F">
            <w:pPr>
              <w:rPr>
                <w:rFonts w:ascii="宋体"/>
                <w:vanish/>
              </w:rPr>
            </w:pPr>
          </w:p>
        </w:tc>
      </w:tr>
      <w:tr w:rsidR="00980E5F" w14:paraId="392C10C1" w14:textId="77777777">
        <w:tc>
          <w:tcPr>
            <w:tcW w:w="0" w:type="auto"/>
            <w:gridSpan w:val="3"/>
            <w:shd w:val="clear" w:color="auto" w:fill="CCEEFF"/>
            <w:tcMar>
              <w:top w:w="40" w:type="dxa"/>
              <w:left w:w="140" w:type="dxa"/>
              <w:bottom w:w="40" w:type="dxa"/>
              <w:right w:w="20" w:type="dxa"/>
            </w:tcMar>
            <w:vAlign w:val="bottom"/>
          </w:tcPr>
          <w:p w14:paraId="392C10B6" w14:textId="77777777" w:rsidR="00980E5F" w:rsidRDefault="00483613">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10B7" w14:textId="77777777" w:rsidR="00980E5F" w:rsidRDefault="00483613">
            <w:pPr>
              <w:jc w:val="right"/>
              <w:textAlignment w:val="bottom"/>
            </w:pPr>
            <w:r>
              <w:rPr>
                <w:rFonts w:ascii="Arial" w:eastAsia="宋体" w:hAnsi="Arial" w:cs="Arial"/>
                <w:b/>
                <w:bCs/>
                <w:color w:val="000000"/>
                <w:sz w:val="14"/>
                <w:szCs w:val="14"/>
              </w:rPr>
              <w:t>14,927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0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B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0BA" w14:textId="77777777" w:rsidR="00980E5F" w:rsidRDefault="00483613">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392C10BB" w14:textId="77777777" w:rsidR="00980E5F" w:rsidRDefault="00980E5F">
            <w:pPr>
              <w:jc w:val="right"/>
              <w:rPr>
                <w:rFonts w:ascii="宋体"/>
              </w:rPr>
            </w:pPr>
          </w:p>
        </w:tc>
        <w:tc>
          <w:tcPr>
            <w:tcW w:w="0" w:type="auto"/>
            <w:gridSpan w:val="3"/>
            <w:shd w:val="clear" w:color="auto" w:fill="auto"/>
            <w:vAlign w:val="bottom"/>
          </w:tcPr>
          <w:p w14:paraId="392C10BC" w14:textId="77777777" w:rsidR="00980E5F" w:rsidRDefault="00980E5F">
            <w:pPr>
              <w:rPr>
                <w:rFonts w:ascii="宋体"/>
                <w:vanish/>
              </w:rPr>
            </w:pPr>
          </w:p>
        </w:tc>
        <w:tc>
          <w:tcPr>
            <w:tcW w:w="0" w:type="auto"/>
            <w:gridSpan w:val="3"/>
            <w:shd w:val="clear" w:color="auto" w:fill="auto"/>
            <w:vAlign w:val="bottom"/>
          </w:tcPr>
          <w:p w14:paraId="392C10BD" w14:textId="77777777" w:rsidR="00980E5F" w:rsidRDefault="00980E5F">
            <w:pPr>
              <w:rPr>
                <w:rFonts w:ascii="宋体"/>
                <w:vanish/>
              </w:rPr>
            </w:pPr>
          </w:p>
        </w:tc>
        <w:tc>
          <w:tcPr>
            <w:tcW w:w="0" w:type="auto"/>
            <w:gridSpan w:val="3"/>
            <w:shd w:val="clear" w:color="auto" w:fill="auto"/>
            <w:vAlign w:val="bottom"/>
          </w:tcPr>
          <w:p w14:paraId="392C10BE" w14:textId="77777777" w:rsidR="00980E5F" w:rsidRDefault="00980E5F">
            <w:pPr>
              <w:rPr>
                <w:rFonts w:ascii="宋体"/>
                <w:vanish/>
              </w:rPr>
            </w:pPr>
          </w:p>
        </w:tc>
        <w:tc>
          <w:tcPr>
            <w:tcW w:w="0" w:type="auto"/>
            <w:gridSpan w:val="3"/>
            <w:shd w:val="clear" w:color="auto" w:fill="auto"/>
            <w:vAlign w:val="bottom"/>
          </w:tcPr>
          <w:p w14:paraId="392C10BF" w14:textId="77777777" w:rsidR="00980E5F" w:rsidRDefault="00980E5F">
            <w:pPr>
              <w:rPr>
                <w:rFonts w:ascii="宋体"/>
                <w:vanish/>
              </w:rPr>
            </w:pPr>
          </w:p>
        </w:tc>
        <w:tc>
          <w:tcPr>
            <w:tcW w:w="0" w:type="auto"/>
            <w:gridSpan w:val="3"/>
            <w:shd w:val="clear" w:color="auto" w:fill="auto"/>
            <w:vAlign w:val="bottom"/>
          </w:tcPr>
          <w:p w14:paraId="392C10C0" w14:textId="77777777" w:rsidR="00980E5F" w:rsidRDefault="00980E5F">
            <w:pPr>
              <w:rPr>
                <w:rFonts w:ascii="宋体"/>
                <w:vanish/>
              </w:rPr>
            </w:pPr>
          </w:p>
        </w:tc>
      </w:tr>
      <w:tr w:rsidR="00980E5F" w14:paraId="392C10CD" w14:textId="77777777">
        <w:tc>
          <w:tcPr>
            <w:tcW w:w="0" w:type="auto"/>
            <w:gridSpan w:val="3"/>
            <w:shd w:val="clear" w:color="auto" w:fill="FFFFFF"/>
            <w:tcMar>
              <w:top w:w="40" w:type="dxa"/>
              <w:left w:w="20" w:type="dxa"/>
              <w:bottom w:w="40" w:type="dxa"/>
              <w:right w:w="20" w:type="dxa"/>
            </w:tcMar>
            <w:vAlign w:val="bottom"/>
          </w:tcPr>
          <w:p w14:paraId="392C10C2"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10C3" w14:textId="77777777" w:rsidR="00980E5F" w:rsidRDefault="00483613">
            <w:pPr>
              <w:jc w:val="right"/>
              <w:textAlignment w:val="bottom"/>
            </w:pPr>
            <w:r>
              <w:rPr>
                <w:rFonts w:ascii="Arial" w:eastAsia="宋体" w:hAnsi="Arial" w:cs="Arial"/>
                <w:b/>
                <w:bCs/>
                <w:color w:val="000000"/>
                <w:sz w:val="14"/>
                <w:szCs w:val="14"/>
              </w:rPr>
              <w:t>2,204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0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0C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0C6" w14:textId="77777777" w:rsidR="00980E5F" w:rsidRDefault="00483613">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392C10C7" w14:textId="77777777" w:rsidR="00980E5F" w:rsidRDefault="00980E5F">
            <w:pPr>
              <w:jc w:val="right"/>
              <w:rPr>
                <w:rFonts w:ascii="宋体"/>
              </w:rPr>
            </w:pPr>
          </w:p>
        </w:tc>
        <w:tc>
          <w:tcPr>
            <w:tcW w:w="0" w:type="auto"/>
            <w:gridSpan w:val="3"/>
            <w:shd w:val="clear" w:color="auto" w:fill="auto"/>
            <w:vAlign w:val="bottom"/>
          </w:tcPr>
          <w:p w14:paraId="392C10C8" w14:textId="77777777" w:rsidR="00980E5F" w:rsidRDefault="00980E5F">
            <w:pPr>
              <w:rPr>
                <w:rFonts w:ascii="宋体"/>
                <w:vanish/>
              </w:rPr>
            </w:pPr>
          </w:p>
        </w:tc>
        <w:tc>
          <w:tcPr>
            <w:tcW w:w="0" w:type="auto"/>
            <w:gridSpan w:val="3"/>
            <w:shd w:val="clear" w:color="auto" w:fill="auto"/>
            <w:vAlign w:val="bottom"/>
          </w:tcPr>
          <w:p w14:paraId="392C10C9" w14:textId="77777777" w:rsidR="00980E5F" w:rsidRDefault="00980E5F">
            <w:pPr>
              <w:rPr>
                <w:rFonts w:ascii="宋体"/>
                <w:vanish/>
              </w:rPr>
            </w:pPr>
          </w:p>
        </w:tc>
        <w:tc>
          <w:tcPr>
            <w:tcW w:w="0" w:type="auto"/>
            <w:gridSpan w:val="3"/>
            <w:shd w:val="clear" w:color="auto" w:fill="auto"/>
            <w:vAlign w:val="bottom"/>
          </w:tcPr>
          <w:p w14:paraId="392C10CA" w14:textId="77777777" w:rsidR="00980E5F" w:rsidRDefault="00980E5F">
            <w:pPr>
              <w:rPr>
                <w:rFonts w:ascii="宋体"/>
                <w:vanish/>
              </w:rPr>
            </w:pPr>
          </w:p>
        </w:tc>
        <w:tc>
          <w:tcPr>
            <w:tcW w:w="0" w:type="auto"/>
            <w:gridSpan w:val="3"/>
            <w:shd w:val="clear" w:color="auto" w:fill="auto"/>
            <w:vAlign w:val="bottom"/>
          </w:tcPr>
          <w:p w14:paraId="392C10CB" w14:textId="77777777" w:rsidR="00980E5F" w:rsidRDefault="00980E5F">
            <w:pPr>
              <w:rPr>
                <w:rFonts w:ascii="宋体"/>
                <w:vanish/>
              </w:rPr>
            </w:pPr>
          </w:p>
        </w:tc>
        <w:tc>
          <w:tcPr>
            <w:tcW w:w="0" w:type="auto"/>
            <w:gridSpan w:val="3"/>
            <w:shd w:val="clear" w:color="auto" w:fill="auto"/>
            <w:vAlign w:val="bottom"/>
          </w:tcPr>
          <w:p w14:paraId="392C10CC" w14:textId="77777777" w:rsidR="00980E5F" w:rsidRDefault="00980E5F">
            <w:pPr>
              <w:rPr>
                <w:rFonts w:ascii="宋体"/>
                <w:vanish/>
              </w:rPr>
            </w:pPr>
          </w:p>
        </w:tc>
      </w:tr>
      <w:tr w:rsidR="00980E5F" w14:paraId="392C10D9" w14:textId="77777777">
        <w:tc>
          <w:tcPr>
            <w:tcW w:w="0" w:type="auto"/>
            <w:gridSpan w:val="3"/>
            <w:shd w:val="clear" w:color="auto" w:fill="CCEEFF"/>
            <w:tcMar>
              <w:top w:w="40" w:type="dxa"/>
              <w:left w:w="20" w:type="dxa"/>
              <w:bottom w:w="40" w:type="dxa"/>
              <w:right w:w="20" w:type="dxa"/>
            </w:tcMar>
            <w:vAlign w:val="bottom"/>
          </w:tcPr>
          <w:p w14:paraId="392C10CE" w14:textId="77777777" w:rsidR="00980E5F" w:rsidRDefault="00483613">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0CF" w14:textId="77777777" w:rsidR="00980E5F" w:rsidRDefault="00483613">
            <w:pPr>
              <w:jc w:val="right"/>
              <w:textAlignment w:val="bottom"/>
            </w:pPr>
            <w:r>
              <w:rPr>
                <w:rFonts w:ascii="Arial" w:eastAsia="宋体" w:hAnsi="Arial" w:cs="Arial"/>
                <w:b/>
                <w:bCs/>
                <w:color w:val="000000"/>
                <w:sz w:val="14"/>
                <w:szCs w:val="14"/>
              </w:rPr>
              <w:t>20,966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0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D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0D2" w14:textId="77777777" w:rsidR="00980E5F" w:rsidRDefault="00483613">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0D3" w14:textId="77777777" w:rsidR="00980E5F" w:rsidRDefault="00980E5F">
            <w:pPr>
              <w:jc w:val="right"/>
              <w:rPr>
                <w:rFonts w:ascii="宋体"/>
              </w:rPr>
            </w:pPr>
          </w:p>
        </w:tc>
        <w:tc>
          <w:tcPr>
            <w:tcW w:w="0" w:type="auto"/>
            <w:gridSpan w:val="3"/>
            <w:shd w:val="clear" w:color="auto" w:fill="auto"/>
            <w:vAlign w:val="bottom"/>
          </w:tcPr>
          <w:p w14:paraId="392C10D4" w14:textId="77777777" w:rsidR="00980E5F" w:rsidRDefault="00980E5F">
            <w:pPr>
              <w:rPr>
                <w:rFonts w:ascii="宋体"/>
                <w:vanish/>
              </w:rPr>
            </w:pPr>
          </w:p>
        </w:tc>
        <w:tc>
          <w:tcPr>
            <w:tcW w:w="0" w:type="auto"/>
            <w:gridSpan w:val="3"/>
            <w:shd w:val="clear" w:color="auto" w:fill="auto"/>
            <w:vAlign w:val="bottom"/>
          </w:tcPr>
          <w:p w14:paraId="392C10D5" w14:textId="77777777" w:rsidR="00980E5F" w:rsidRDefault="00980E5F">
            <w:pPr>
              <w:rPr>
                <w:rFonts w:ascii="宋体"/>
                <w:vanish/>
              </w:rPr>
            </w:pPr>
          </w:p>
        </w:tc>
        <w:tc>
          <w:tcPr>
            <w:tcW w:w="0" w:type="auto"/>
            <w:gridSpan w:val="3"/>
            <w:shd w:val="clear" w:color="auto" w:fill="auto"/>
            <w:vAlign w:val="bottom"/>
          </w:tcPr>
          <w:p w14:paraId="392C10D6" w14:textId="77777777" w:rsidR="00980E5F" w:rsidRDefault="00980E5F">
            <w:pPr>
              <w:rPr>
                <w:rFonts w:ascii="宋体"/>
                <w:vanish/>
              </w:rPr>
            </w:pPr>
          </w:p>
        </w:tc>
        <w:tc>
          <w:tcPr>
            <w:tcW w:w="0" w:type="auto"/>
            <w:gridSpan w:val="3"/>
            <w:shd w:val="clear" w:color="auto" w:fill="auto"/>
            <w:vAlign w:val="bottom"/>
          </w:tcPr>
          <w:p w14:paraId="392C10D7" w14:textId="77777777" w:rsidR="00980E5F" w:rsidRDefault="00980E5F">
            <w:pPr>
              <w:rPr>
                <w:rFonts w:ascii="宋体"/>
                <w:vanish/>
              </w:rPr>
            </w:pPr>
          </w:p>
        </w:tc>
        <w:tc>
          <w:tcPr>
            <w:tcW w:w="0" w:type="auto"/>
            <w:gridSpan w:val="3"/>
            <w:shd w:val="clear" w:color="auto" w:fill="auto"/>
            <w:vAlign w:val="bottom"/>
          </w:tcPr>
          <w:p w14:paraId="392C10D8" w14:textId="77777777" w:rsidR="00980E5F" w:rsidRDefault="00980E5F">
            <w:pPr>
              <w:rPr>
                <w:rFonts w:ascii="宋体"/>
                <w:vanish/>
              </w:rPr>
            </w:pPr>
          </w:p>
        </w:tc>
      </w:tr>
      <w:tr w:rsidR="00980E5F" w14:paraId="392C10E3" w14:textId="77777777">
        <w:tc>
          <w:tcPr>
            <w:tcW w:w="0" w:type="auto"/>
            <w:gridSpan w:val="3"/>
            <w:shd w:val="clear" w:color="auto" w:fill="FFFFFF"/>
            <w:tcMar>
              <w:top w:w="40" w:type="dxa"/>
              <w:left w:w="20" w:type="dxa"/>
              <w:bottom w:w="40" w:type="dxa"/>
              <w:right w:w="20" w:type="dxa"/>
            </w:tcMar>
            <w:vAlign w:val="bottom"/>
          </w:tcPr>
          <w:p w14:paraId="392C10DA" w14:textId="77777777" w:rsidR="00980E5F" w:rsidRDefault="00483613">
            <w:pPr>
              <w:textAlignment w:val="bottom"/>
            </w:pPr>
            <w:r>
              <w:rPr>
                <w:rFonts w:ascii="Arial" w:eastAsia="宋体" w:hAnsi="Arial" w:cs="Arial"/>
                <w:color w:val="000000"/>
                <w:sz w:val="14"/>
                <w:szCs w:val="14"/>
              </w:rPr>
              <w:t xml:space="preserve">Asset-backed </w:t>
            </w:r>
            <w:r>
              <w:rPr>
                <w:rFonts w:ascii="Arial" w:eastAsia="宋体" w:hAnsi="Arial" w:cs="Arial"/>
                <w:color w:val="000000"/>
                <w:sz w:val="14"/>
                <w:szCs w:val="14"/>
              </w:rPr>
              <w:t>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10D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0D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10DD" w14:textId="77777777" w:rsidR="00980E5F" w:rsidRDefault="00980E5F">
            <w:pPr>
              <w:rPr>
                <w:rFonts w:ascii="宋体"/>
              </w:rPr>
            </w:pPr>
          </w:p>
        </w:tc>
        <w:tc>
          <w:tcPr>
            <w:tcW w:w="0" w:type="auto"/>
            <w:gridSpan w:val="3"/>
            <w:shd w:val="clear" w:color="auto" w:fill="auto"/>
            <w:vAlign w:val="bottom"/>
          </w:tcPr>
          <w:p w14:paraId="392C10DE" w14:textId="77777777" w:rsidR="00980E5F" w:rsidRDefault="00980E5F">
            <w:pPr>
              <w:rPr>
                <w:rFonts w:ascii="宋体"/>
                <w:vanish/>
              </w:rPr>
            </w:pPr>
          </w:p>
        </w:tc>
        <w:tc>
          <w:tcPr>
            <w:tcW w:w="0" w:type="auto"/>
            <w:gridSpan w:val="3"/>
            <w:shd w:val="clear" w:color="auto" w:fill="auto"/>
            <w:vAlign w:val="bottom"/>
          </w:tcPr>
          <w:p w14:paraId="392C10DF" w14:textId="77777777" w:rsidR="00980E5F" w:rsidRDefault="00980E5F">
            <w:pPr>
              <w:rPr>
                <w:rFonts w:ascii="宋体"/>
                <w:vanish/>
              </w:rPr>
            </w:pPr>
          </w:p>
        </w:tc>
        <w:tc>
          <w:tcPr>
            <w:tcW w:w="0" w:type="auto"/>
            <w:gridSpan w:val="3"/>
            <w:shd w:val="clear" w:color="auto" w:fill="auto"/>
            <w:vAlign w:val="bottom"/>
          </w:tcPr>
          <w:p w14:paraId="392C10E0" w14:textId="77777777" w:rsidR="00980E5F" w:rsidRDefault="00980E5F">
            <w:pPr>
              <w:rPr>
                <w:rFonts w:ascii="宋体"/>
                <w:vanish/>
              </w:rPr>
            </w:pPr>
          </w:p>
        </w:tc>
        <w:tc>
          <w:tcPr>
            <w:tcW w:w="0" w:type="auto"/>
            <w:gridSpan w:val="3"/>
            <w:shd w:val="clear" w:color="auto" w:fill="auto"/>
            <w:vAlign w:val="bottom"/>
          </w:tcPr>
          <w:p w14:paraId="392C10E1" w14:textId="77777777" w:rsidR="00980E5F" w:rsidRDefault="00980E5F">
            <w:pPr>
              <w:rPr>
                <w:rFonts w:ascii="宋体"/>
                <w:vanish/>
              </w:rPr>
            </w:pPr>
          </w:p>
        </w:tc>
        <w:tc>
          <w:tcPr>
            <w:tcW w:w="0" w:type="auto"/>
            <w:gridSpan w:val="3"/>
            <w:shd w:val="clear" w:color="auto" w:fill="auto"/>
            <w:vAlign w:val="bottom"/>
          </w:tcPr>
          <w:p w14:paraId="392C10E2" w14:textId="77777777" w:rsidR="00980E5F" w:rsidRDefault="00980E5F">
            <w:pPr>
              <w:rPr>
                <w:rFonts w:ascii="宋体"/>
                <w:vanish/>
              </w:rPr>
            </w:pPr>
          </w:p>
        </w:tc>
      </w:tr>
      <w:tr w:rsidR="00980E5F" w14:paraId="392C10EF" w14:textId="77777777">
        <w:tc>
          <w:tcPr>
            <w:tcW w:w="0" w:type="auto"/>
            <w:gridSpan w:val="3"/>
            <w:shd w:val="clear" w:color="auto" w:fill="CCEEFF"/>
            <w:tcMar>
              <w:top w:w="40" w:type="dxa"/>
              <w:left w:w="20" w:type="dxa"/>
              <w:bottom w:w="40" w:type="dxa"/>
              <w:right w:w="20" w:type="dxa"/>
            </w:tcMar>
            <w:vAlign w:val="bottom"/>
          </w:tcPr>
          <w:p w14:paraId="392C10E4" w14:textId="77777777" w:rsidR="00980E5F" w:rsidRDefault="00483613">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392C10E5" w14:textId="77777777" w:rsidR="00980E5F" w:rsidRDefault="00483613">
            <w:pPr>
              <w:jc w:val="right"/>
              <w:textAlignment w:val="bottom"/>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0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0E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0E8"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10E9" w14:textId="77777777" w:rsidR="00980E5F" w:rsidRDefault="00980E5F">
            <w:pPr>
              <w:jc w:val="right"/>
              <w:rPr>
                <w:rFonts w:ascii="宋体"/>
              </w:rPr>
            </w:pPr>
          </w:p>
        </w:tc>
        <w:tc>
          <w:tcPr>
            <w:tcW w:w="0" w:type="auto"/>
            <w:gridSpan w:val="3"/>
            <w:shd w:val="clear" w:color="auto" w:fill="auto"/>
            <w:vAlign w:val="bottom"/>
          </w:tcPr>
          <w:p w14:paraId="392C10EA" w14:textId="77777777" w:rsidR="00980E5F" w:rsidRDefault="00980E5F">
            <w:pPr>
              <w:rPr>
                <w:rFonts w:ascii="宋体"/>
                <w:vanish/>
              </w:rPr>
            </w:pPr>
          </w:p>
        </w:tc>
        <w:tc>
          <w:tcPr>
            <w:tcW w:w="0" w:type="auto"/>
            <w:gridSpan w:val="3"/>
            <w:shd w:val="clear" w:color="auto" w:fill="auto"/>
            <w:vAlign w:val="bottom"/>
          </w:tcPr>
          <w:p w14:paraId="392C10EB" w14:textId="77777777" w:rsidR="00980E5F" w:rsidRDefault="00980E5F">
            <w:pPr>
              <w:rPr>
                <w:rFonts w:ascii="宋体"/>
                <w:vanish/>
              </w:rPr>
            </w:pPr>
          </w:p>
        </w:tc>
        <w:tc>
          <w:tcPr>
            <w:tcW w:w="0" w:type="auto"/>
            <w:gridSpan w:val="3"/>
            <w:shd w:val="clear" w:color="auto" w:fill="auto"/>
            <w:vAlign w:val="bottom"/>
          </w:tcPr>
          <w:p w14:paraId="392C10EC" w14:textId="77777777" w:rsidR="00980E5F" w:rsidRDefault="00980E5F">
            <w:pPr>
              <w:rPr>
                <w:rFonts w:ascii="宋体"/>
                <w:vanish/>
              </w:rPr>
            </w:pPr>
          </w:p>
        </w:tc>
        <w:tc>
          <w:tcPr>
            <w:tcW w:w="0" w:type="auto"/>
            <w:gridSpan w:val="3"/>
            <w:shd w:val="clear" w:color="auto" w:fill="auto"/>
            <w:vAlign w:val="bottom"/>
          </w:tcPr>
          <w:p w14:paraId="392C10ED" w14:textId="77777777" w:rsidR="00980E5F" w:rsidRDefault="00980E5F">
            <w:pPr>
              <w:rPr>
                <w:rFonts w:ascii="宋体"/>
                <w:vanish/>
              </w:rPr>
            </w:pPr>
          </w:p>
        </w:tc>
        <w:tc>
          <w:tcPr>
            <w:tcW w:w="0" w:type="auto"/>
            <w:gridSpan w:val="3"/>
            <w:shd w:val="clear" w:color="auto" w:fill="auto"/>
            <w:vAlign w:val="bottom"/>
          </w:tcPr>
          <w:p w14:paraId="392C10EE" w14:textId="77777777" w:rsidR="00980E5F" w:rsidRDefault="00980E5F">
            <w:pPr>
              <w:rPr>
                <w:rFonts w:ascii="宋体"/>
                <w:vanish/>
              </w:rPr>
            </w:pPr>
          </w:p>
        </w:tc>
      </w:tr>
      <w:tr w:rsidR="00980E5F" w14:paraId="392C10F9" w14:textId="77777777">
        <w:trPr>
          <w:hidden/>
        </w:trPr>
        <w:tc>
          <w:tcPr>
            <w:tcW w:w="0" w:type="auto"/>
            <w:gridSpan w:val="3"/>
            <w:shd w:val="clear" w:color="auto" w:fill="auto"/>
            <w:vAlign w:val="bottom"/>
          </w:tcPr>
          <w:p w14:paraId="392C10F0" w14:textId="77777777" w:rsidR="00980E5F" w:rsidRDefault="00980E5F">
            <w:pPr>
              <w:rPr>
                <w:rFonts w:ascii="宋体"/>
                <w:vanish/>
              </w:rPr>
            </w:pPr>
          </w:p>
        </w:tc>
        <w:tc>
          <w:tcPr>
            <w:tcW w:w="0" w:type="auto"/>
            <w:gridSpan w:val="3"/>
            <w:shd w:val="clear" w:color="auto" w:fill="auto"/>
            <w:vAlign w:val="bottom"/>
          </w:tcPr>
          <w:p w14:paraId="392C10F1" w14:textId="77777777" w:rsidR="00980E5F" w:rsidRDefault="00980E5F">
            <w:pPr>
              <w:rPr>
                <w:rFonts w:ascii="宋体"/>
                <w:vanish/>
              </w:rPr>
            </w:pPr>
          </w:p>
        </w:tc>
        <w:tc>
          <w:tcPr>
            <w:tcW w:w="0" w:type="auto"/>
            <w:gridSpan w:val="3"/>
            <w:shd w:val="clear" w:color="auto" w:fill="auto"/>
            <w:vAlign w:val="bottom"/>
          </w:tcPr>
          <w:p w14:paraId="392C10F2" w14:textId="77777777" w:rsidR="00980E5F" w:rsidRDefault="00980E5F">
            <w:pPr>
              <w:rPr>
                <w:rFonts w:ascii="宋体"/>
                <w:vanish/>
              </w:rPr>
            </w:pPr>
          </w:p>
        </w:tc>
        <w:tc>
          <w:tcPr>
            <w:tcW w:w="0" w:type="auto"/>
            <w:gridSpan w:val="3"/>
            <w:shd w:val="clear" w:color="auto" w:fill="auto"/>
            <w:vAlign w:val="bottom"/>
          </w:tcPr>
          <w:p w14:paraId="392C10F3" w14:textId="77777777" w:rsidR="00980E5F" w:rsidRDefault="00980E5F">
            <w:pPr>
              <w:rPr>
                <w:rFonts w:ascii="宋体"/>
                <w:vanish/>
              </w:rPr>
            </w:pPr>
          </w:p>
        </w:tc>
        <w:tc>
          <w:tcPr>
            <w:tcW w:w="0" w:type="auto"/>
            <w:gridSpan w:val="3"/>
            <w:shd w:val="clear" w:color="auto" w:fill="auto"/>
            <w:vAlign w:val="bottom"/>
          </w:tcPr>
          <w:p w14:paraId="392C10F4" w14:textId="77777777" w:rsidR="00980E5F" w:rsidRDefault="00980E5F">
            <w:pPr>
              <w:rPr>
                <w:rFonts w:ascii="宋体"/>
                <w:vanish/>
              </w:rPr>
            </w:pPr>
          </w:p>
        </w:tc>
        <w:tc>
          <w:tcPr>
            <w:tcW w:w="0" w:type="auto"/>
            <w:gridSpan w:val="3"/>
            <w:shd w:val="clear" w:color="auto" w:fill="auto"/>
            <w:vAlign w:val="bottom"/>
          </w:tcPr>
          <w:p w14:paraId="392C10F5" w14:textId="77777777" w:rsidR="00980E5F" w:rsidRDefault="00980E5F">
            <w:pPr>
              <w:rPr>
                <w:rFonts w:ascii="宋体"/>
                <w:vanish/>
              </w:rPr>
            </w:pPr>
          </w:p>
        </w:tc>
        <w:tc>
          <w:tcPr>
            <w:tcW w:w="0" w:type="auto"/>
            <w:gridSpan w:val="3"/>
            <w:shd w:val="clear" w:color="auto" w:fill="auto"/>
            <w:vAlign w:val="bottom"/>
          </w:tcPr>
          <w:p w14:paraId="392C10F6" w14:textId="77777777" w:rsidR="00980E5F" w:rsidRDefault="00980E5F">
            <w:pPr>
              <w:rPr>
                <w:rFonts w:ascii="宋体"/>
                <w:vanish/>
              </w:rPr>
            </w:pPr>
          </w:p>
        </w:tc>
        <w:tc>
          <w:tcPr>
            <w:tcW w:w="0" w:type="auto"/>
            <w:gridSpan w:val="3"/>
            <w:shd w:val="clear" w:color="auto" w:fill="auto"/>
            <w:vAlign w:val="bottom"/>
          </w:tcPr>
          <w:p w14:paraId="392C10F7" w14:textId="77777777" w:rsidR="00980E5F" w:rsidRDefault="00980E5F">
            <w:pPr>
              <w:rPr>
                <w:rFonts w:ascii="宋体"/>
                <w:vanish/>
              </w:rPr>
            </w:pPr>
          </w:p>
        </w:tc>
        <w:tc>
          <w:tcPr>
            <w:tcW w:w="0" w:type="auto"/>
            <w:gridSpan w:val="3"/>
            <w:shd w:val="clear" w:color="auto" w:fill="auto"/>
            <w:vAlign w:val="bottom"/>
          </w:tcPr>
          <w:p w14:paraId="392C10F8" w14:textId="77777777" w:rsidR="00980E5F" w:rsidRDefault="00980E5F">
            <w:pPr>
              <w:rPr>
                <w:rFonts w:ascii="宋体"/>
                <w:vanish/>
              </w:rPr>
            </w:pPr>
          </w:p>
        </w:tc>
      </w:tr>
      <w:tr w:rsidR="00980E5F" w14:paraId="392C1103" w14:textId="77777777">
        <w:trPr>
          <w:hidden/>
        </w:trPr>
        <w:tc>
          <w:tcPr>
            <w:tcW w:w="0" w:type="auto"/>
            <w:gridSpan w:val="3"/>
            <w:shd w:val="clear" w:color="auto" w:fill="auto"/>
            <w:vAlign w:val="bottom"/>
          </w:tcPr>
          <w:p w14:paraId="392C10FA" w14:textId="77777777" w:rsidR="00980E5F" w:rsidRDefault="00980E5F">
            <w:pPr>
              <w:rPr>
                <w:rFonts w:ascii="宋体"/>
                <w:vanish/>
              </w:rPr>
            </w:pPr>
          </w:p>
        </w:tc>
        <w:tc>
          <w:tcPr>
            <w:tcW w:w="0" w:type="auto"/>
            <w:gridSpan w:val="3"/>
            <w:shd w:val="clear" w:color="auto" w:fill="auto"/>
            <w:vAlign w:val="bottom"/>
          </w:tcPr>
          <w:p w14:paraId="392C10FB" w14:textId="77777777" w:rsidR="00980E5F" w:rsidRDefault="00980E5F">
            <w:pPr>
              <w:rPr>
                <w:rFonts w:ascii="宋体"/>
                <w:vanish/>
              </w:rPr>
            </w:pPr>
          </w:p>
        </w:tc>
        <w:tc>
          <w:tcPr>
            <w:tcW w:w="0" w:type="auto"/>
            <w:gridSpan w:val="3"/>
            <w:shd w:val="clear" w:color="auto" w:fill="auto"/>
            <w:vAlign w:val="bottom"/>
          </w:tcPr>
          <w:p w14:paraId="392C10FC" w14:textId="77777777" w:rsidR="00980E5F" w:rsidRDefault="00980E5F">
            <w:pPr>
              <w:rPr>
                <w:rFonts w:ascii="宋体"/>
                <w:vanish/>
              </w:rPr>
            </w:pPr>
          </w:p>
        </w:tc>
        <w:tc>
          <w:tcPr>
            <w:tcW w:w="0" w:type="auto"/>
            <w:gridSpan w:val="3"/>
            <w:shd w:val="clear" w:color="auto" w:fill="auto"/>
            <w:vAlign w:val="bottom"/>
          </w:tcPr>
          <w:p w14:paraId="392C10FD" w14:textId="77777777" w:rsidR="00980E5F" w:rsidRDefault="00980E5F">
            <w:pPr>
              <w:rPr>
                <w:rFonts w:ascii="宋体"/>
                <w:vanish/>
              </w:rPr>
            </w:pPr>
          </w:p>
        </w:tc>
        <w:tc>
          <w:tcPr>
            <w:tcW w:w="0" w:type="auto"/>
            <w:gridSpan w:val="3"/>
            <w:shd w:val="clear" w:color="auto" w:fill="auto"/>
            <w:vAlign w:val="bottom"/>
          </w:tcPr>
          <w:p w14:paraId="392C10FE" w14:textId="77777777" w:rsidR="00980E5F" w:rsidRDefault="00980E5F">
            <w:pPr>
              <w:rPr>
                <w:rFonts w:ascii="宋体"/>
                <w:vanish/>
              </w:rPr>
            </w:pPr>
          </w:p>
        </w:tc>
        <w:tc>
          <w:tcPr>
            <w:tcW w:w="0" w:type="auto"/>
            <w:gridSpan w:val="3"/>
            <w:shd w:val="clear" w:color="auto" w:fill="auto"/>
            <w:vAlign w:val="bottom"/>
          </w:tcPr>
          <w:p w14:paraId="392C10FF" w14:textId="77777777" w:rsidR="00980E5F" w:rsidRDefault="00980E5F">
            <w:pPr>
              <w:rPr>
                <w:rFonts w:ascii="宋体"/>
                <w:vanish/>
              </w:rPr>
            </w:pPr>
          </w:p>
        </w:tc>
        <w:tc>
          <w:tcPr>
            <w:tcW w:w="0" w:type="auto"/>
            <w:gridSpan w:val="3"/>
            <w:shd w:val="clear" w:color="auto" w:fill="auto"/>
            <w:vAlign w:val="bottom"/>
          </w:tcPr>
          <w:p w14:paraId="392C1100" w14:textId="77777777" w:rsidR="00980E5F" w:rsidRDefault="00980E5F">
            <w:pPr>
              <w:rPr>
                <w:rFonts w:ascii="宋体"/>
                <w:vanish/>
              </w:rPr>
            </w:pPr>
          </w:p>
        </w:tc>
        <w:tc>
          <w:tcPr>
            <w:tcW w:w="0" w:type="auto"/>
            <w:gridSpan w:val="3"/>
            <w:shd w:val="clear" w:color="auto" w:fill="auto"/>
            <w:vAlign w:val="bottom"/>
          </w:tcPr>
          <w:p w14:paraId="392C1101" w14:textId="77777777" w:rsidR="00980E5F" w:rsidRDefault="00980E5F">
            <w:pPr>
              <w:rPr>
                <w:rFonts w:ascii="宋体"/>
                <w:vanish/>
              </w:rPr>
            </w:pPr>
          </w:p>
        </w:tc>
        <w:tc>
          <w:tcPr>
            <w:tcW w:w="0" w:type="auto"/>
            <w:gridSpan w:val="3"/>
            <w:shd w:val="clear" w:color="auto" w:fill="auto"/>
            <w:vAlign w:val="bottom"/>
          </w:tcPr>
          <w:p w14:paraId="392C1102" w14:textId="77777777" w:rsidR="00980E5F" w:rsidRDefault="00980E5F">
            <w:pPr>
              <w:rPr>
                <w:rFonts w:ascii="宋体"/>
                <w:vanish/>
              </w:rPr>
            </w:pPr>
          </w:p>
        </w:tc>
      </w:tr>
      <w:tr w:rsidR="00980E5F" w14:paraId="392C110F" w14:textId="77777777">
        <w:tc>
          <w:tcPr>
            <w:tcW w:w="0" w:type="auto"/>
            <w:gridSpan w:val="3"/>
            <w:shd w:val="clear" w:color="auto" w:fill="FFFFFF"/>
            <w:tcMar>
              <w:top w:w="40" w:type="dxa"/>
              <w:left w:w="20" w:type="dxa"/>
              <w:bottom w:w="40" w:type="dxa"/>
              <w:right w:w="20" w:type="dxa"/>
            </w:tcMar>
            <w:vAlign w:val="bottom"/>
          </w:tcPr>
          <w:p w14:paraId="392C1104" w14:textId="77777777" w:rsidR="00980E5F" w:rsidRDefault="00483613">
            <w:pP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92C1105" w14:textId="77777777" w:rsidR="00980E5F" w:rsidRDefault="00483613">
            <w:pPr>
              <w:jc w:val="right"/>
              <w:textAlignment w:val="bottom"/>
            </w:pPr>
            <w:r>
              <w:rPr>
                <w:rFonts w:ascii="Arial" w:eastAsia="宋体" w:hAnsi="Arial" w:cs="Arial"/>
                <w:b/>
                <w:bCs/>
                <w:color w:val="000000"/>
                <w:sz w:val="14"/>
                <w:szCs w:val="14"/>
              </w:rPr>
              <w:t>2,334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1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108" w14:textId="77777777" w:rsidR="00980E5F" w:rsidRDefault="00483613">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392C1109" w14:textId="77777777" w:rsidR="00980E5F" w:rsidRDefault="00980E5F">
            <w:pPr>
              <w:jc w:val="right"/>
              <w:rPr>
                <w:rFonts w:ascii="宋体"/>
              </w:rPr>
            </w:pPr>
          </w:p>
        </w:tc>
        <w:tc>
          <w:tcPr>
            <w:tcW w:w="0" w:type="auto"/>
            <w:gridSpan w:val="3"/>
            <w:shd w:val="clear" w:color="auto" w:fill="auto"/>
            <w:vAlign w:val="bottom"/>
          </w:tcPr>
          <w:p w14:paraId="392C110A" w14:textId="77777777" w:rsidR="00980E5F" w:rsidRDefault="00980E5F">
            <w:pPr>
              <w:rPr>
                <w:rFonts w:ascii="宋体"/>
                <w:vanish/>
              </w:rPr>
            </w:pPr>
          </w:p>
        </w:tc>
        <w:tc>
          <w:tcPr>
            <w:tcW w:w="0" w:type="auto"/>
            <w:gridSpan w:val="3"/>
            <w:shd w:val="clear" w:color="auto" w:fill="auto"/>
            <w:vAlign w:val="bottom"/>
          </w:tcPr>
          <w:p w14:paraId="392C110B" w14:textId="77777777" w:rsidR="00980E5F" w:rsidRDefault="00980E5F">
            <w:pPr>
              <w:rPr>
                <w:rFonts w:ascii="宋体"/>
                <w:vanish/>
              </w:rPr>
            </w:pPr>
          </w:p>
        </w:tc>
        <w:tc>
          <w:tcPr>
            <w:tcW w:w="0" w:type="auto"/>
            <w:gridSpan w:val="3"/>
            <w:shd w:val="clear" w:color="auto" w:fill="auto"/>
            <w:vAlign w:val="bottom"/>
          </w:tcPr>
          <w:p w14:paraId="392C110C" w14:textId="77777777" w:rsidR="00980E5F" w:rsidRDefault="00980E5F">
            <w:pPr>
              <w:rPr>
                <w:rFonts w:ascii="宋体"/>
                <w:vanish/>
              </w:rPr>
            </w:pPr>
          </w:p>
        </w:tc>
        <w:tc>
          <w:tcPr>
            <w:tcW w:w="0" w:type="auto"/>
            <w:gridSpan w:val="3"/>
            <w:shd w:val="clear" w:color="auto" w:fill="auto"/>
            <w:vAlign w:val="bottom"/>
          </w:tcPr>
          <w:p w14:paraId="392C110D" w14:textId="77777777" w:rsidR="00980E5F" w:rsidRDefault="00980E5F">
            <w:pPr>
              <w:rPr>
                <w:rFonts w:ascii="宋体"/>
                <w:vanish/>
              </w:rPr>
            </w:pPr>
          </w:p>
        </w:tc>
        <w:tc>
          <w:tcPr>
            <w:tcW w:w="0" w:type="auto"/>
            <w:gridSpan w:val="3"/>
            <w:shd w:val="clear" w:color="auto" w:fill="auto"/>
            <w:vAlign w:val="bottom"/>
          </w:tcPr>
          <w:p w14:paraId="392C110E" w14:textId="77777777" w:rsidR="00980E5F" w:rsidRDefault="00980E5F">
            <w:pPr>
              <w:rPr>
                <w:rFonts w:ascii="宋体"/>
                <w:vanish/>
              </w:rPr>
            </w:pPr>
          </w:p>
        </w:tc>
      </w:tr>
      <w:tr w:rsidR="00980E5F" w14:paraId="392C111B" w14:textId="77777777">
        <w:tc>
          <w:tcPr>
            <w:tcW w:w="0" w:type="auto"/>
            <w:gridSpan w:val="3"/>
            <w:shd w:val="clear" w:color="auto" w:fill="CCEEFF"/>
            <w:tcMar>
              <w:top w:w="40" w:type="dxa"/>
              <w:left w:w="20" w:type="dxa"/>
              <w:bottom w:w="40" w:type="dxa"/>
              <w:right w:w="20" w:type="dxa"/>
            </w:tcMar>
            <w:vAlign w:val="bottom"/>
          </w:tcPr>
          <w:p w14:paraId="392C1110" w14:textId="77777777" w:rsidR="00980E5F" w:rsidRDefault="00483613">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392C1111"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1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114" w14:textId="77777777" w:rsidR="00980E5F" w:rsidRDefault="00483613">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92C1115" w14:textId="77777777" w:rsidR="00980E5F" w:rsidRDefault="00980E5F">
            <w:pPr>
              <w:jc w:val="right"/>
              <w:rPr>
                <w:rFonts w:ascii="宋体"/>
              </w:rPr>
            </w:pPr>
          </w:p>
        </w:tc>
        <w:tc>
          <w:tcPr>
            <w:tcW w:w="0" w:type="auto"/>
            <w:gridSpan w:val="3"/>
            <w:shd w:val="clear" w:color="auto" w:fill="auto"/>
            <w:vAlign w:val="bottom"/>
          </w:tcPr>
          <w:p w14:paraId="392C1116" w14:textId="77777777" w:rsidR="00980E5F" w:rsidRDefault="00980E5F">
            <w:pPr>
              <w:rPr>
                <w:rFonts w:ascii="宋体"/>
                <w:vanish/>
              </w:rPr>
            </w:pPr>
          </w:p>
        </w:tc>
        <w:tc>
          <w:tcPr>
            <w:tcW w:w="0" w:type="auto"/>
            <w:gridSpan w:val="3"/>
            <w:shd w:val="clear" w:color="auto" w:fill="auto"/>
            <w:vAlign w:val="bottom"/>
          </w:tcPr>
          <w:p w14:paraId="392C1117" w14:textId="77777777" w:rsidR="00980E5F" w:rsidRDefault="00980E5F">
            <w:pPr>
              <w:rPr>
                <w:rFonts w:ascii="宋体"/>
                <w:vanish/>
              </w:rPr>
            </w:pPr>
          </w:p>
        </w:tc>
        <w:tc>
          <w:tcPr>
            <w:tcW w:w="0" w:type="auto"/>
            <w:gridSpan w:val="3"/>
            <w:shd w:val="clear" w:color="auto" w:fill="auto"/>
            <w:vAlign w:val="bottom"/>
          </w:tcPr>
          <w:p w14:paraId="392C1118" w14:textId="77777777" w:rsidR="00980E5F" w:rsidRDefault="00980E5F">
            <w:pPr>
              <w:rPr>
                <w:rFonts w:ascii="宋体"/>
                <w:vanish/>
              </w:rPr>
            </w:pPr>
          </w:p>
        </w:tc>
        <w:tc>
          <w:tcPr>
            <w:tcW w:w="0" w:type="auto"/>
            <w:gridSpan w:val="3"/>
            <w:shd w:val="clear" w:color="auto" w:fill="auto"/>
            <w:vAlign w:val="bottom"/>
          </w:tcPr>
          <w:p w14:paraId="392C1119" w14:textId="77777777" w:rsidR="00980E5F" w:rsidRDefault="00980E5F">
            <w:pPr>
              <w:rPr>
                <w:rFonts w:ascii="宋体"/>
                <w:vanish/>
              </w:rPr>
            </w:pPr>
          </w:p>
        </w:tc>
        <w:tc>
          <w:tcPr>
            <w:tcW w:w="0" w:type="auto"/>
            <w:gridSpan w:val="3"/>
            <w:shd w:val="clear" w:color="auto" w:fill="auto"/>
            <w:vAlign w:val="bottom"/>
          </w:tcPr>
          <w:p w14:paraId="392C111A" w14:textId="77777777" w:rsidR="00980E5F" w:rsidRDefault="00980E5F">
            <w:pPr>
              <w:rPr>
                <w:rFonts w:ascii="宋体"/>
                <w:vanish/>
              </w:rPr>
            </w:pPr>
          </w:p>
        </w:tc>
      </w:tr>
      <w:tr w:rsidR="00980E5F" w14:paraId="392C1127" w14:textId="77777777">
        <w:tc>
          <w:tcPr>
            <w:tcW w:w="0" w:type="auto"/>
            <w:gridSpan w:val="3"/>
            <w:shd w:val="clear" w:color="auto" w:fill="FFFFFF"/>
            <w:tcMar>
              <w:top w:w="40" w:type="dxa"/>
              <w:left w:w="140" w:type="dxa"/>
              <w:bottom w:w="40" w:type="dxa"/>
              <w:right w:w="20" w:type="dxa"/>
            </w:tcMar>
            <w:vAlign w:val="bottom"/>
          </w:tcPr>
          <w:p w14:paraId="392C111C"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111D"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1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1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120" w14:textId="77777777" w:rsidR="00980E5F" w:rsidRDefault="00483613">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392C1121" w14:textId="77777777" w:rsidR="00980E5F" w:rsidRDefault="00980E5F">
            <w:pPr>
              <w:jc w:val="right"/>
              <w:rPr>
                <w:rFonts w:ascii="宋体"/>
              </w:rPr>
            </w:pPr>
          </w:p>
        </w:tc>
        <w:tc>
          <w:tcPr>
            <w:tcW w:w="0" w:type="auto"/>
            <w:gridSpan w:val="3"/>
            <w:shd w:val="clear" w:color="auto" w:fill="auto"/>
            <w:vAlign w:val="bottom"/>
          </w:tcPr>
          <w:p w14:paraId="392C1122" w14:textId="77777777" w:rsidR="00980E5F" w:rsidRDefault="00980E5F">
            <w:pPr>
              <w:rPr>
                <w:rFonts w:ascii="宋体"/>
                <w:vanish/>
              </w:rPr>
            </w:pPr>
          </w:p>
        </w:tc>
        <w:tc>
          <w:tcPr>
            <w:tcW w:w="0" w:type="auto"/>
            <w:gridSpan w:val="3"/>
            <w:shd w:val="clear" w:color="auto" w:fill="auto"/>
            <w:vAlign w:val="bottom"/>
          </w:tcPr>
          <w:p w14:paraId="392C1123" w14:textId="77777777" w:rsidR="00980E5F" w:rsidRDefault="00980E5F">
            <w:pPr>
              <w:rPr>
                <w:rFonts w:ascii="宋体"/>
                <w:vanish/>
              </w:rPr>
            </w:pPr>
          </w:p>
        </w:tc>
        <w:tc>
          <w:tcPr>
            <w:tcW w:w="0" w:type="auto"/>
            <w:gridSpan w:val="3"/>
            <w:shd w:val="clear" w:color="auto" w:fill="auto"/>
            <w:vAlign w:val="bottom"/>
          </w:tcPr>
          <w:p w14:paraId="392C1124" w14:textId="77777777" w:rsidR="00980E5F" w:rsidRDefault="00980E5F">
            <w:pPr>
              <w:rPr>
                <w:rFonts w:ascii="宋体"/>
                <w:vanish/>
              </w:rPr>
            </w:pPr>
          </w:p>
        </w:tc>
        <w:tc>
          <w:tcPr>
            <w:tcW w:w="0" w:type="auto"/>
            <w:gridSpan w:val="3"/>
            <w:shd w:val="clear" w:color="auto" w:fill="auto"/>
            <w:vAlign w:val="bottom"/>
          </w:tcPr>
          <w:p w14:paraId="392C1125" w14:textId="77777777" w:rsidR="00980E5F" w:rsidRDefault="00980E5F">
            <w:pPr>
              <w:rPr>
                <w:rFonts w:ascii="宋体"/>
                <w:vanish/>
              </w:rPr>
            </w:pPr>
          </w:p>
        </w:tc>
        <w:tc>
          <w:tcPr>
            <w:tcW w:w="0" w:type="auto"/>
            <w:gridSpan w:val="3"/>
            <w:shd w:val="clear" w:color="auto" w:fill="auto"/>
            <w:vAlign w:val="bottom"/>
          </w:tcPr>
          <w:p w14:paraId="392C1126" w14:textId="77777777" w:rsidR="00980E5F" w:rsidRDefault="00980E5F">
            <w:pPr>
              <w:rPr>
                <w:rFonts w:ascii="宋体"/>
                <w:vanish/>
              </w:rPr>
            </w:pPr>
          </w:p>
        </w:tc>
      </w:tr>
      <w:tr w:rsidR="00980E5F" w14:paraId="392C1133" w14:textId="77777777">
        <w:tc>
          <w:tcPr>
            <w:tcW w:w="0" w:type="auto"/>
            <w:gridSpan w:val="3"/>
            <w:shd w:val="clear" w:color="auto" w:fill="CCEEFF"/>
            <w:tcMar>
              <w:top w:w="40" w:type="dxa"/>
              <w:left w:w="20" w:type="dxa"/>
              <w:bottom w:w="40" w:type="dxa"/>
              <w:right w:w="20" w:type="dxa"/>
            </w:tcMar>
            <w:vAlign w:val="bottom"/>
          </w:tcPr>
          <w:p w14:paraId="392C1128" w14:textId="77777777" w:rsidR="00980E5F" w:rsidRDefault="00483613">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129" w14:textId="77777777" w:rsidR="00980E5F" w:rsidRDefault="00483613">
            <w:pPr>
              <w:jc w:val="right"/>
              <w:textAlignment w:val="bottom"/>
            </w:pPr>
            <w:r>
              <w:rPr>
                <w:rFonts w:ascii="Arial" w:eastAsia="宋体" w:hAnsi="Arial" w:cs="Arial"/>
                <w:b/>
                <w:bCs/>
                <w:color w:val="000000"/>
                <w:sz w:val="14"/>
                <w:szCs w:val="14"/>
              </w:rPr>
              <w:t>2,768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1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2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12C" w14:textId="77777777" w:rsidR="00980E5F" w:rsidRDefault="00483613">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12D" w14:textId="77777777" w:rsidR="00980E5F" w:rsidRDefault="00980E5F">
            <w:pPr>
              <w:jc w:val="right"/>
              <w:rPr>
                <w:rFonts w:ascii="宋体"/>
              </w:rPr>
            </w:pPr>
          </w:p>
        </w:tc>
        <w:tc>
          <w:tcPr>
            <w:tcW w:w="0" w:type="auto"/>
            <w:gridSpan w:val="3"/>
            <w:shd w:val="clear" w:color="auto" w:fill="auto"/>
            <w:vAlign w:val="bottom"/>
          </w:tcPr>
          <w:p w14:paraId="392C112E" w14:textId="77777777" w:rsidR="00980E5F" w:rsidRDefault="00980E5F">
            <w:pPr>
              <w:rPr>
                <w:rFonts w:ascii="宋体"/>
                <w:vanish/>
              </w:rPr>
            </w:pPr>
          </w:p>
        </w:tc>
        <w:tc>
          <w:tcPr>
            <w:tcW w:w="0" w:type="auto"/>
            <w:gridSpan w:val="3"/>
            <w:shd w:val="clear" w:color="auto" w:fill="auto"/>
            <w:vAlign w:val="bottom"/>
          </w:tcPr>
          <w:p w14:paraId="392C112F" w14:textId="77777777" w:rsidR="00980E5F" w:rsidRDefault="00980E5F">
            <w:pPr>
              <w:rPr>
                <w:rFonts w:ascii="宋体"/>
                <w:vanish/>
              </w:rPr>
            </w:pPr>
          </w:p>
        </w:tc>
        <w:tc>
          <w:tcPr>
            <w:tcW w:w="0" w:type="auto"/>
            <w:gridSpan w:val="3"/>
            <w:shd w:val="clear" w:color="auto" w:fill="auto"/>
            <w:vAlign w:val="bottom"/>
          </w:tcPr>
          <w:p w14:paraId="392C1130" w14:textId="77777777" w:rsidR="00980E5F" w:rsidRDefault="00980E5F">
            <w:pPr>
              <w:rPr>
                <w:rFonts w:ascii="宋体"/>
                <w:vanish/>
              </w:rPr>
            </w:pPr>
          </w:p>
        </w:tc>
        <w:tc>
          <w:tcPr>
            <w:tcW w:w="0" w:type="auto"/>
            <w:gridSpan w:val="3"/>
            <w:shd w:val="clear" w:color="auto" w:fill="auto"/>
            <w:vAlign w:val="bottom"/>
          </w:tcPr>
          <w:p w14:paraId="392C1131" w14:textId="77777777" w:rsidR="00980E5F" w:rsidRDefault="00980E5F">
            <w:pPr>
              <w:rPr>
                <w:rFonts w:ascii="宋体"/>
                <w:vanish/>
              </w:rPr>
            </w:pPr>
          </w:p>
        </w:tc>
        <w:tc>
          <w:tcPr>
            <w:tcW w:w="0" w:type="auto"/>
            <w:gridSpan w:val="3"/>
            <w:shd w:val="clear" w:color="auto" w:fill="auto"/>
            <w:vAlign w:val="bottom"/>
          </w:tcPr>
          <w:p w14:paraId="392C1132" w14:textId="77777777" w:rsidR="00980E5F" w:rsidRDefault="00980E5F">
            <w:pPr>
              <w:rPr>
                <w:rFonts w:ascii="宋体"/>
                <w:vanish/>
              </w:rPr>
            </w:pPr>
          </w:p>
        </w:tc>
      </w:tr>
      <w:tr w:rsidR="00980E5F" w14:paraId="392C113F" w14:textId="77777777">
        <w:tc>
          <w:tcPr>
            <w:tcW w:w="0" w:type="auto"/>
            <w:gridSpan w:val="3"/>
            <w:shd w:val="clear" w:color="auto" w:fill="FFFFFF"/>
            <w:tcMar>
              <w:top w:w="40" w:type="dxa"/>
              <w:left w:w="20" w:type="dxa"/>
              <w:bottom w:w="40" w:type="dxa"/>
              <w:right w:w="20" w:type="dxa"/>
            </w:tcMar>
            <w:vAlign w:val="bottom"/>
          </w:tcPr>
          <w:p w14:paraId="392C1134" w14:textId="77777777" w:rsidR="00980E5F" w:rsidRDefault="00483613">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135" w14:textId="77777777" w:rsidR="00980E5F" w:rsidRDefault="00483613">
            <w:pPr>
              <w:jc w:val="right"/>
              <w:textAlignment w:val="bottom"/>
            </w:pPr>
            <w:r>
              <w:rPr>
                <w:rFonts w:ascii="Arial" w:eastAsia="宋体" w:hAnsi="Arial" w:cs="Arial"/>
                <w:b/>
                <w:bCs/>
                <w:color w:val="000000"/>
                <w:sz w:val="14"/>
                <w:szCs w:val="14"/>
              </w:rPr>
              <w:t>1,034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3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3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138" w14:textId="77777777" w:rsidR="00980E5F" w:rsidRDefault="00483613">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39" w14:textId="77777777" w:rsidR="00980E5F" w:rsidRDefault="00980E5F">
            <w:pPr>
              <w:jc w:val="right"/>
              <w:rPr>
                <w:rFonts w:ascii="宋体"/>
              </w:rPr>
            </w:pPr>
          </w:p>
        </w:tc>
        <w:tc>
          <w:tcPr>
            <w:tcW w:w="0" w:type="auto"/>
            <w:gridSpan w:val="3"/>
            <w:shd w:val="clear" w:color="auto" w:fill="auto"/>
            <w:vAlign w:val="bottom"/>
          </w:tcPr>
          <w:p w14:paraId="392C113A" w14:textId="77777777" w:rsidR="00980E5F" w:rsidRDefault="00980E5F">
            <w:pPr>
              <w:rPr>
                <w:rFonts w:ascii="宋体"/>
                <w:vanish/>
              </w:rPr>
            </w:pPr>
          </w:p>
        </w:tc>
        <w:tc>
          <w:tcPr>
            <w:tcW w:w="0" w:type="auto"/>
            <w:gridSpan w:val="3"/>
            <w:shd w:val="clear" w:color="auto" w:fill="auto"/>
            <w:vAlign w:val="bottom"/>
          </w:tcPr>
          <w:p w14:paraId="392C113B" w14:textId="77777777" w:rsidR="00980E5F" w:rsidRDefault="00980E5F">
            <w:pPr>
              <w:rPr>
                <w:rFonts w:ascii="宋体"/>
                <w:vanish/>
              </w:rPr>
            </w:pPr>
          </w:p>
        </w:tc>
        <w:tc>
          <w:tcPr>
            <w:tcW w:w="0" w:type="auto"/>
            <w:gridSpan w:val="3"/>
            <w:shd w:val="clear" w:color="auto" w:fill="auto"/>
            <w:vAlign w:val="bottom"/>
          </w:tcPr>
          <w:p w14:paraId="392C113C" w14:textId="77777777" w:rsidR="00980E5F" w:rsidRDefault="00980E5F">
            <w:pPr>
              <w:rPr>
                <w:rFonts w:ascii="宋体"/>
                <w:vanish/>
              </w:rPr>
            </w:pPr>
          </w:p>
        </w:tc>
        <w:tc>
          <w:tcPr>
            <w:tcW w:w="0" w:type="auto"/>
            <w:gridSpan w:val="3"/>
            <w:shd w:val="clear" w:color="auto" w:fill="auto"/>
            <w:vAlign w:val="bottom"/>
          </w:tcPr>
          <w:p w14:paraId="392C113D" w14:textId="77777777" w:rsidR="00980E5F" w:rsidRDefault="00980E5F">
            <w:pPr>
              <w:rPr>
                <w:rFonts w:ascii="宋体"/>
                <w:vanish/>
              </w:rPr>
            </w:pPr>
          </w:p>
        </w:tc>
        <w:tc>
          <w:tcPr>
            <w:tcW w:w="0" w:type="auto"/>
            <w:gridSpan w:val="3"/>
            <w:shd w:val="clear" w:color="auto" w:fill="auto"/>
            <w:vAlign w:val="bottom"/>
          </w:tcPr>
          <w:p w14:paraId="392C113E" w14:textId="77777777" w:rsidR="00980E5F" w:rsidRDefault="00980E5F">
            <w:pPr>
              <w:rPr>
                <w:rFonts w:ascii="宋体"/>
                <w:vanish/>
              </w:rPr>
            </w:pPr>
          </w:p>
        </w:tc>
      </w:tr>
      <w:tr w:rsidR="00980E5F" w14:paraId="392C1149" w14:textId="77777777">
        <w:trPr>
          <w:hidden/>
        </w:trPr>
        <w:tc>
          <w:tcPr>
            <w:tcW w:w="0" w:type="auto"/>
            <w:gridSpan w:val="3"/>
            <w:shd w:val="clear" w:color="auto" w:fill="auto"/>
            <w:vAlign w:val="bottom"/>
          </w:tcPr>
          <w:p w14:paraId="392C1140" w14:textId="77777777" w:rsidR="00980E5F" w:rsidRDefault="00980E5F">
            <w:pPr>
              <w:rPr>
                <w:rFonts w:ascii="宋体"/>
                <w:vanish/>
              </w:rPr>
            </w:pPr>
          </w:p>
        </w:tc>
        <w:tc>
          <w:tcPr>
            <w:tcW w:w="0" w:type="auto"/>
            <w:gridSpan w:val="3"/>
            <w:shd w:val="clear" w:color="auto" w:fill="auto"/>
            <w:vAlign w:val="bottom"/>
          </w:tcPr>
          <w:p w14:paraId="392C1141" w14:textId="77777777" w:rsidR="00980E5F" w:rsidRDefault="00980E5F">
            <w:pPr>
              <w:rPr>
                <w:rFonts w:ascii="宋体"/>
                <w:vanish/>
              </w:rPr>
            </w:pPr>
          </w:p>
        </w:tc>
        <w:tc>
          <w:tcPr>
            <w:tcW w:w="0" w:type="auto"/>
            <w:gridSpan w:val="3"/>
            <w:shd w:val="clear" w:color="auto" w:fill="auto"/>
            <w:vAlign w:val="bottom"/>
          </w:tcPr>
          <w:p w14:paraId="392C1142" w14:textId="77777777" w:rsidR="00980E5F" w:rsidRDefault="00980E5F">
            <w:pPr>
              <w:rPr>
                <w:rFonts w:ascii="宋体"/>
                <w:vanish/>
              </w:rPr>
            </w:pPr>
          </w:p>
        </w:tc>
        <w:tc>
          <w:tcPr>
            <w:tcW w:w="0" w:type="auto"/>
            <w:gridSpan w:val="3"/>
            <w:shd w:val="clear" w:color="auto" w:fill="auto"/>
            <w:vAlign w:val="bottom"/>
          </w:tcPr>
          <w:p w14:paraId="392C1143" w14:textId="77777777" w:rsidR="00980E5F" w:rsidRDefault="00980E5F">
            <w:pPr>
              <w:rPr>
                <w:rFonts w:ascii="宋体"/>
                <w:vanish/>
              </w:rPr>
            </w:pPr>
          </w:p>
        </w:tc>
        <w:tc>
          <w:tcPr>
            <w:tcW w:w="0" w:type="auto"/>
            <w:gridSpan w:val="3"/>
            <w:shd w:val="clear" w:color="auto" w:fill="auto"/>
            <w:vAlign w:val="bottom"/>
          </w:tcPr>
          <w:p w14:paraId="392C1144" w14:textId="77777777" w:rsidR="00980E5F" w:rsidRDefault="00980E5F">
            <w:pPr>
              <w:rPr>
                <w:rFonts w:ascii="宋体"/>
                <w:vanish/>
              </w:rPr>
            </w:pPr>
          </w:p>
        </w:tc>
        <w:tc>
          <w:tcPr>
            <w:tcW w:w="0" w:type="auto"/>
            <w:gridSpan w:val="3"/>
            <w:shd w:val="clear" w:color="auto" w:fill="auto"/>
            <w:vAlign w:val="bottom"/>
          </w:tcPr>
          <w:p w14:paraId="392C1145" w14:textId="77777777" w:rsidR="00980E5F" w:rsidRDefault="00980E5F">
            <w:pPr>
              <w:rPr>
                <w:rFonts w:ascii="宋体"/>
                <w:vanish/>
              </w:rPr>
            </w:pPr>
          </w:p>
        </w:tc>
        <w:tc>
          <w:tcPr>
            <w:tcW w:w="0" w:type="auto"/>
            <w:gridSpan w:val="3"/>
            <w:shd w:val="clear" w:color="auto" w:fill="auto"/>
            <w:vAlign w:val="bottom"/>
          </w:tcPr>
          <w:p w14:paraId="392C1146" w14:textId="77777777" w:rsidR="00980E5F" w:rsidRDefault="00980E5F">
            <w:pPr>
              <w:rPr>
                <w:rFonts w:ascii="宋体"/>
                <w:vanish/>
              </w:rPr>
            </w:pPr>
          </w:p>
        </w:tc>
        <w:tc>
          <w:tcPr>
            <w:tcW w:w="0" w:type="auto"/>
            <w:gridSpan w:val="3"/>
            <w:shd w:val="clear" w:color="auto" w:fill="auto"/>
            <w:vAlign w:val="bottom"/>
          </w:tcPr>
          <w:p w14:paraId="392C1147" w14:textId="77777777" w:rsidR="00980E5F" w:rsidRDefault="00980E5F">
            <w:pPr>
              <w:rPr>
                <w:rFonts w:ascii="宋体"/>
                <w:vanish/>
              </w:rPr>
            </w:pPr>
          </w:p>
        </w:tc>
        <w:tc>
          <w:tcPr>
            <w:tcW w:w="0" w:type="auto"/>
            <w:gridSpan w:val="3"/>
            <w:shd w:val="clear" w:color="auto" w:fill="auto"/>
            <w:vAlign w:val="bottom"/>
          </w:tcPr>
          <w:p w14:paraId="392C1148" w14:textId="77777777" w:rsidR="00980E5F" w:rsidRDefault="00980E5F">
            <w:pPr>
              <w:rPr>
                <w:rFonts w:ascii="宋体"/>
                <w:vanish/>
              </w:rPr>
            </w:pPr>
          </w:p>
        </w:tc>
      </w:tr>
      <w:tr w:rsidR="00980E5F" w14:paraId="392C1155" w14:textId="77777777">
        <w:tc>
          <w:tcPr>
            <w:tcW w:w="0" w:type="auto"/>
            <w:gridSpan w:val="3"/>
            <w:shd w:val="clear" w:color="auto" w:fill="CCEEFF"/>
            <w:tcMar>
              <w:top w:w="40" w:type="dxa"/>
              <w:left w:w="20" w:type="dxa"/>
              <w:bottom w:w="40" w:type="dxa"/>
              <w:right w:w="20" w:type="dxa"/>
            </w:tcMar>
            <w:vAlign w:val="bottom"/>
          </w:tcPr>
          <w:p w14:paraId="392C114A" w14:textId="77777777" w:rsidR="00980E5F" w:rsidRDefault="00483613">
            <w:pPr>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392C114B" w14:textId="77777777" w:rsidR="00980E5F" w:rsidRDefault="00483613">
            <w:pPr>
              <w:jc w:val="right"/>
              <w:textAlignment w:val="bottom"/>
            </w:pPr>
            <w:r>
              <w:rPr>
                <w:rFonts w:ascii="Arial" w:eastAsia="宋体" w:hAnsi="Arial" w:cs="Arial"/>
                <w:b/>
                <w:bCs/>
                <w:color w:val="000000"/>
                <w:sz w:val="14"/>
                <w:szCs w:val="14"/>
              </w:rPr>
              <w:t>1,004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1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14E" w14:textId="77777777" w:rsidR="00980E5F" w:rsidRDefault="00483613">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392C114F" w14:textId="77777777" w:rsidR="00980E5F" w:rsidRDefault="00980E5F">
            <w:pPr>
              <w:jc w:val="right"/>
              <w:rPr>
                <w:rFonts w:ascii="宋体"/>
              </w:rPr>
            </w:pPr>
          </w:p>
        </w:tc>
        <w:tc>
          <w:tcPr>
            <w:tcW w:w="0" w:type="auto"/>
            <w:gridSpan w:val="3"/>
            <w:shd w:val="clear" w:color="auto" w:fill="auto"/>
            <w:vAlign w:val="bottom"/>
          </w:tcPr>
          <w:p w14:paraId="392C1150" w14:textId="77777777" w:rsidR="00980E5F" w:rsidRDefault="00980E5F">
            <w:pPr>
              <w:rPr>
                <w:rFonts w:ascii="宋体"/>
                <w:vanish/>
              </w:rPr>
            </w:pPr>
          </w:p>
        </w:tc>
        <w:tc>
          <w:tcPr>
            <w:tcW w:w="0" w:type="auto"/>
            <w:gridSpan w:val="3"/>
            <w:shd w:val="clear" w:color="auto" w:fill="auto"/>
            <w:vAlign w:val="bottom"/>
          </w:tcPr>
          <w:p w14:paraId="392C1151" w14:textId="77777777" w:rsidR="00980E5F" w:rsidRDefault="00980E5F">
            <w:pPr>
              <w:rPr>
                <w:rFonts w:ascii="宋体"/>
                <w:vanish/>
              </w:rPr>
            </w:pPr>
          </w:p>
        </w:tc>
        <w:tc>
          <w:tcPr>
            <w:tcW w:w="0" w:type="auto"/>
            <w:gridSpan w:val="3"/>
            <w:shd w:val="clear" w:color="auto" w:fill="auto"/>
            <w:vAlign w:val="bottom"/>
          </w:tcPr>
          <w:p w14:paraId="392C1152" w14:textId="77777777" w:rsidR="00980E5F" w:rsidRDefault="00980E5F">
            <w:pPr>
              <w:rPr>
                <w:rFonts w:ascii="宋体"/>
                <w:vanish/>
              </w:rPr>
            </w:pPr>
          </w:p>
        </w:tc>
        <w:tc>
          <w:tcPr>
            <w:tcW w:w="0" w:type="auto"/>
            <w:gridSpan w:val="3"/>
            <w:shd w:val="clear" w:color="auto" w:fill="auto"/>
            <w:vAlign w:val="bottom"/>
          </w:tcPr>
          <w:p w14:paraId="392C1153" w14:textId="77777777" w:rsidR="00980E5F" w:rsidRDefault="00980E5F">
            <w:pPr>
              <w:rPr>
                <w:rFonts w:ascii="宋体"/>
                <w:vanish/>
              </w:rPr>
            </w:pPr>
          </w:p>
        </w:tc>
        <w:tc>
          <w:tcPr>
            <w:tcW w:w="0" w:type="auto"/>
            <w:gridSpan w:val="3"/>
            <w:shd w:val="clear" w:color="auto" w:fill="auto"/>
            <w:vAlign w:val="bottom"/>
          </w:tcPr>
          <w:p w14:paraId="392C1154" w14:textId="77777777" w:rsidR="00980E5F" w:rsidRDefault="00980E5F">
            <w:pPr>
              <w:rPr>
                <w:rFonts w:ascii="宋体"/>
                <w:vanish/>
              </w:rPr>
            </w:pPr>
          </w:p>
        </w:tc>
      </w:tr>
      <w:tr w:rsidR="00980E5F" w14:paraId="392C115F" w14:textId="77777777">
        <w:trPr>
          <w:hidden/>
        </w:trPr>
        <w:tc>
          <w:tcPr>
            <w:tcW w:w="0" w:type="auto"/>
            <w:gridSpan w:val="3"/>
            <w:shd w:val="clear" w:color="auto" w:fill="auto"/>
            <w:vAlign w:val="bottom"/>
          </w:tcPr>
          <w:p w14:paraId="392C1156" w14:textId="77777777" w:rsidR="00980E5F" w:rsidRDefault="00980E5F">
            <w:pPr>
              <w:rPr>
                <w:rFonts w:ascii="宋体"/>
                <w:vanish/>
              </w:rPr>
            </w:pPr>
          </w:p>
        </w:tc>
        <w:tc>
          <w:tcPr>
            <w:tcW w:w="0" w:type="auto"/>
            <w:gridSpan w:val="3"/>
            <w:shd w:val="clear" w:color="auto" w:fill="auto"/>
            <w:vAlign w:val="bottom"/>
          </w:tcPr>
          <w:p w14:paraId="392C1157" w14:textId="77777777" w:rsidR="00980E5F" w:rsidRDefault="00980E5F">
            <w:pPr>
              <w:rPr>
                <w:rFonts w:ascii="宋体"/>
                <w:vanish/>
              </w:rPr>
            </w:pPr>
          </w:p>
        </w:tc>
        <w:tc>
          <w:tcPr>
            <w:tcW w:w="0" w:type="auto"/>
            <w:gridSpan w:val="3"/>
            <w:shd w:val="clear" w:color="auto" w:fill="auto"/>
            <w:vAlign w:val="bottom"/>
          </w:tcPr>
          <w:p w14:paraId="392C1158" w14:textId="77777777" w:rsidR="00980E5F" w:rsidRDefault="00980E5F">
            <w:pPr>
              <w:rPr>
                <w:rFonts w:ascii="宋体"/>
                <w:vanish/>
              </w:rPr>
            </w:pPr>
          </w:p>
        </w:tc>
        <w:tc>
          <w:tcPr>
            <w:tcW w:w="0" w:type="auto"/>
            <w:gridSpan w:val="3"/>
            <w:shd w:val="clear" w:color="auto" w:fill="auto"/>
            <w:vAlign w:val="bottom"/>
          </w:tcPr>
          <w:p w14:paraId="392C1159" w14:textId="77777777" w:rsidR="00980E5F" w:rsidRDefault="00980E5F">
            <w:pPr>
              <w:rPr>
                <w:rFonts w:ascii="宋体"/>
                <w:vanish/>
              </w:rPr>
            </w:pPr>
          </w:p>
        </w:tc>
        <w:tc>
          <w:tcPr>
            <w:tcW w:w="0" w:type="auto"/>
            <w:gridSpan w:val="3"/>
            <w:shd w:val="clear" w:color="auto" w:fill="auto"/>
            <w:vAlign w:val="bottom"/>
          </w:tcPr>
          <w:p w14:paraId="392C115A" w14:textId="77777777" w:rsidR="00980E5F" w:rsidRDefault="00980E5F">
            <w:pPr>
              <w:rPr>
                <w:rFonts w:ascii="宋体"/>
                <w:vanish/>
              </w:rPr>
            </w:pPr>
          </w:p>
        </w:tc>
        <w:tc>
          <w:tcPr>
            <w:tcW w:w="0" w:type="auto"/>
            <w:gridSpan w:val="3"/>
            <w:shd w:val="clear" w:color="auto" w:fill="auto"/>
            <w:vAlign w:val="bottom"/>
          </w:tcPr>
          <w:p w14:paraId="392C115B" w14:textId="77777777" w:rsidR="00980E5F" w:rsidRDefault="00980E5F">
            <w:pPr>
              <w:rPr>
                <w:rFonts w:ascii="宋体"/>
                <w:vanish/>
              </w:rPr>
            </w:pPr>
          </w:p>
        </w:tc>
        <w:tc>
          <w:tcPr>
            <w:tcW w:w="0" w:type="auto"/>
            <w:gridSpan w:val="3"/>
            <w:shd w:val="clear" w:color="auto" w:fill="auto"/>
            <w:vAlign w:val="bottom"/>
          </w:tcPr>
          <w:p w14:paraId="392C115C" w14:textId="77777777" w:rsidR="00980E5F" w:rsidRDefault="00980E5F">
            <w:pPr>
              <w:rPr>
                <w:rFonts w:ascii="宋体"/>
                <w:vanish/>
              </w:rPr>
            </w:pPr>
          </w:p>
        </w:tc>
        <w:tc>
          <w:tcPr>
            <w:tcW w:w="0" w:type="auto"/>
            <w:gridSpan w:val="3"/>
            <w:shd w:val="clear" w:color="auto" w:fill="auto"/>
            <w:vAlign w:val="bottom"/>
          </w:tcPr>
          <w:p w14:paraId="392C115D" w14:textId="77777777" w:rsidR="00980E5F" w:rsidRDefault="00980E5F">
            <w:pPr>
              <w:rPr>
                <w:rFonts w:ascii="宋体"/>
                <w:vanish/>
              </w:rPr>
            </w:pPr>
          </w:p>
        </w:tc>
        <w:tc>
          <w:tcPr>
            <w:tcW w:w="0" w:type="auto"/>
            <w:gridSpan w:val="3"/>
            <w:shd w:val="clear" w:color="auto" w:fill="auto"/>
            <w:vAlign w:val="bottom"/>
          </w:tcPr>
          <w:p w14:paraId="392C115E" w14:textId="77777777" w:rsidR="00980E5F" w:rsidRDefault="00980E5F">
            <w:pPr>
              <w:rPr>
                <w:rFonts w:ascii="宋体"/>
                <w:vanish/>
              </w:rPr>
            </w:pPr>
          </w:p>
        </w:tc>
      </w:tr>
      <w:tr w:rsidR="00980E5F" w14:paraId="392C1169" w14:textId="77777777">
        <w:trPr>
          <w:hidden/>
        </w:trPr>
        <w:tc>
          <w:tcPr>
            <w:tcW w:w="0" w:type="auto"/>
            <w:gridSpan w:val="3"/>
            <w:shd w:val="clear" w:color="auto" w:fill="auto"/>
            <w:vAlign w:val="bottom"/>
          </w:tcPr>
          <w:p w14:paraId="392C1160" w14:textId="77777777" w:rsidR="00980E5F" w:rsidRDefault="00980E5F">
            <w:pPr>
              <w:rPr>
                <w:rFonts w:ascii="宋体"/>
                <w:vanish/>
              </w:rPr>
            </w:pPr>
          </w:p>
        </w:tc>
        <w:tc>
          <w:tcPr>
            <w:tcW w:w="0" w:type="auto"/>
            <w:gridSpan w:val="3"/>
            <w:shd w:val="clear" w:color="auto" w:fill="auto"/>
            <w:vAlign w:val="bottom"/>
          </w:tcPr>
          <w:p w14:paraId="392C1161" w14:textId="77777777" w:rsidR="00980E5F" w:rsidRDefault="00980E5F">
            <w:pPr>
              <w:rPr>
                <w:rFonts w:ascii="宋体"/>
                <w:vanish/>
              </w:rPr>
            </w:pPr>
          </w:p>
        </w:tc>
        <w:tc>
          <w:tcPr>
            <w:tcW w:w="0" w:type="auto"/>
            <w:gridSpan w:val="3"/>
            <w:shd w:val="clear" w:color="auto" w:fill="auto"/>
            <w:vAlign w:val="bottom"/>
          </w:tcPr>
          <w:p w14:paraId="392C1162" w14:textId="77777777" w:rsidR="00980E5F" w:rsidRDefault="00980E5F">
            <w:pPr>
              <w:rPr>
                <w:rFonts w:ascii="宋体"/>
                <w:vanish/>
              </w:rPr>
            </w:pPr>
          </w:p>
        </w:tc>
        <w:tc>
          <w:tcPr>
            <w:tcW w:w="0" w:type="auto"/>
            <w:gridSpan w:val="3"/>
            <w:shd w:val="clear" w:color="auto" w:fill="auto"/>
            <w:vAlign w:val="bottom"/>
          </w:tcPr>
          <w:p w14:paraId="392C1163" w14:textId="77777777" w:rsidR="00980E5F" w:rsidRDefault="00980E5F">
            <w:pPr>
              <w:rPr>
                <w:rFonts w:ascii="宋体"/>
                <w:vanish/>
              </w:rPr>
            </w:pPr>
          </w:p>
        </w:tc>
        <w:tc>
          <w:tcPr>
            <w:tcW w:w="0" w:type="auto"/>
            <w:gridSpan w:val="3"/>
            <w:shd w:val="clear" w:color="auto" w:fill="auto"/>
            <w:vAlign w:val="bottom"/>
          </w:tcPr>
          <w:p w14:paraId="392C1164" w14:textId="77777777" w:rsidR="00980E5F" w:rsidRDefault="00980E5F">
            <w:pPr>
              <w:rPr>
                <w:rFonts w:ascii="宋体"/>
                <w:vanish/>
              </w:rPr>
            </w:pPr>
          </w:p>
        </w:tc>
        <w:tc>
          <w:tcPr>
            <w:tcW w:w="0" w:type="auto"/>
            <w:gridSpan w:val="3"/>
            <w:shd w:val="clear" w:color="auto" w:fill="auto"/>
            <w:vAlign w:val="bottom"/>
          </w:tcPr>
          <w:p w14:paraId="392C1165" w14:textId="77777777" w:rsidR="00980E5F" w:rsidRDefault="00980E5F">
            <w:pPr>
              <w:rPr>
                <w:rFonts w:ascii="宋体"/>
                <w:vanish/>
              </w:rPr>
            </w:pPr>
          </w:p>
        </w:tc>
        <w:tc>
          <w:tcPr>
            <w:tcW w:w="0" w:type="auto"/>
            <w:gridSpan w:val="3"/>
            <w:shd w:val="clear" w:color="auto" w:fill="auto"/>
            <w:vAlign w:val="bottom"/>
          </w:tcPr>
          <w:p w14:paraId="392C1166" w14:textId="77777777" w:rsidR="00980E5F" w:rsidRDefault="00980E5F">
            <w:pPr>
              <w:rPr>
                <w:rFonts w:ascii="宋体"/>
                <w:vanish/>
              </w:rPr>
            </w:pPr>
          </w:p>
        </w:tc>
        <w:tc>
          <w:tcPr>
            <w:tcW w:w="0" w:type="auto"/>
            <w:gridSpan w:val="3"/>
            <w:shd w:val="clear" w:color="auto" w:fill="auto"/>
            <w:vAlign w:val="bottom"/>
          </w:tcPr>
          <w:p w14:paraId="392C1167" w14:textId="77777777" w:rsidR="00980E5F" w:rsidRDefault="00980E5F">
            <w:pPr>
              <w:rPr>
                <w:rFonts w:ascii="宋体"/>
                <w:vanish/>
              </w:rPr>
            </w:pPr>
          </w:p>
        </w:tc>
        <w:tc>
          <w:tcPr>
            <w:tcW w:w="0" w:type="auto"/>
            <w:gridSpan w:val="3"/>
            <w:shd w:val="clear" w:color="auto" w:fill="auto"/>
            <w:vAlign w:val="bottom"/>
          </w:tcPr>
          <w:p w14:paraId="392C1168" w14:textId="77777777" w:rsidR="00980E5F" w:rsidRDefault="00980E5F">
            <w:pPr>
              <w:rPr>
                <w:rFonts w:ascii="宋体"/>
                <w:vanish/>
              </w:rPr>
            </w:pPr>
          </w:p>
        </w:tc>
      </w:tr>
      <w:tr w:rsidR="00980E5F" w14:paraId="392C1173" w14:textId="77777777">
        <w:trPr>
          <w:hidden/>
        </w:trPr>
        <w:tc>
          <w:tcPr>
            <w:tcW w:w="0" w:type="auto"/>
            <w:gridSpan w:val="3"/>
            <w:shd w:val="clear" w:color="auto" w:fill="auto"/>
            <w:vAlign w:val="bottom"/>
          </w:tcPr>
          <w:p w14:paraId="392C116A" w14:textId="77777777" w:rsidR="00980E5F" w:rsidRDefault="00980E5F">
            <w:pPr>
              <w:rPr>
                <w:rFonts w:ascii="宋体"/>
                <w:vanish/>
              </w:rPr>
            </w:pPr>
          </w:p>
        </w:tc>
        <w:tc>
          <w:tcPr>
            <w:tcW w:w="0" w:type="auto"/>
            <w:gridSpan w:val="3"/>
            <w:shd w:val="clear" w:color="auto" w:fill="auto"/>
            <w:vAlign w:val="bottom"/>
          </w:tcPr>
          <w:p w14:paraId="392C116B" w14:textId="77777777" w:rsidR="00980E5F" w:rsidRDefault="00980E5F">
            <w:pPr>
              <w:rPr>
                <w:rFonts w:ascii="宋体"/>
                <w:vanish/>
              </w:rPr>
            </w:pPr>
          </w:p>
        </w:tc>
        <w:tc>
          <w:tcPr>
            <w:tcW w:w="0" w:type="auto"/>
            <w:gridSpan w:val="3"/>
            <w:shd w:val="clear" w:color="auto" w:fill="auto"/>
            <w:vAlign w:val="bottom"/>
          </w:tcPr>
          <w:p w14:paraId="392C116C" w14:textId="77777777" w:rsidR="00980E5F" w:rsidRDefault="00980E5F">
            <w:pPr>
              <w:rPr>
                <w:rFonts w:ascii="宋体"/>
                <w:vanish/>
              </w:rPr>
            </w:pPr>
          </w:p>
        </w:tc>
        <w:tc>
          <w:tcPr>
            <w:tcW w:w="0" w:type="auto"/>
            <w:gridSpan w:val="3"/>
            <w:shd w:val="clear" w:color="auto" w:fill="auto"/>
            <w:vAlign w:val="bottom"/>
          </w:tcPr>
          <w:p w14:paraId="392C116D" w14:textId="77777777" w:rsidR="00980E5F" w:rsidRDefault="00980E5F">
            <w:pPr>
              <w:rPr>
                <w:rFonts w:ascii="宋体"/>
                <w:vanish/>
              </w:rPr>
            </w:pPr>
          </w:p>
        </w:tc>
        <w:tc>
          <w:tcPr>
            <w:tcW w:w="0" w:type="auto"/>
            <w:gridSpan w:val="3"/>
            <w:shd w:val="clear" w:color="auto" w:fill="auto"/>
            <w:vAlign w:val="bottom"/>
          </w:tcPr>
          <w:p w14:paraId="392C116E" w14:textId="77777777" w:rsidR="00980E5F" w:rsidRDefault="00980E5F">
            <w:pPr>
              <w:rPr>
                <w:rFonts w:ascii="宋体"/>
                <w:vanish/>
              </w:rPr>
            </w:pPr>
          </w:p>
        </w:tc>
        <w:tc>
          <w:tcPr>
            <w:tcW w:w="0" w:type="auto"/>
            <w:gridSpan w:val="3"/>
            <w:shd w:val="clear" w:color="auto" w:fill="auto"/>
            <w:vAlign w:val="bottom"/>
          </w:tcPr>
          <w:p w14:paraId="392C116F" w14:textId="77777777" w:rsidR="00980E5F" w:rsidRDefault="00980E5F">
            <w:pPr>
              <w:rPr>
                <w:rFonts w:ascii="宋体"/>
                <w:vanish/>
              </w:rPr>
            </w:pPr>
          </w:p>
        </w:tc>
        <w:tc>
          <w:tcPr>
            <w:tcW w:w="0" w:type="auto"/>
            <w:gridSpan w:val="3"/>
            <w:shd w:val="clear" w:color="auto" w:fill="auto"/>
            <w:vAlign w:val="bottom"/>
          </w:tcPr>
          <w:p w14:paraId="392C1170" w14:textId="77777777" w:rsidR="00980E5F" w:rsidRDefault="00980E5F">
            <w:pPr>
              <w:rPr>
                <w:rFonts w:ascii="宋体"/>
                <w:vanish/>
              </w:rPr>
            </w:pPr>
          </w:p>
        </w:tc>
        <w:tc>
          <w:tcPr>
            <w:tcW w:w="0" w:type="auto"/>
            <w:gridSpan w:val="3"/>
            <w:shd w:val="clear" w:color="auto" w:fill="auto"/>
            <w:vAlign w:val="bottom"/>
          </w:tcPr>
          <w:p w14:paraId="392C1171" w14:textId="77777777" w:rsidR="00980E5F" w:rsidRDefault="00980E5F">
            <w:pPr>
              <w:rPr>
                <w:rFonts w:ascii="宋体"/>
                <w:vanish/>
              </w:rPr>
            </w:pPr>
          </w:p>
        </w:tc>
        <w:tc>
          <w:tcPr>
            <w:tcW w:w="0" w:type="auto"/>
            <w:gridSpan w:val="3"/>
            <w:shd w:val="clear" w:color="auto" w:fill="auto"/>
            <w:vAlign w:val="bottom"/>
          </w:tcPr>
          <w:p w14:paraId="392C1172" w14:textId="77777777" w:rsidR="00980E5F" w:rsidRDefault="00980E5F">
            <w:pPr>
              <w:rPr>
                <w:rFonts w:ascii="宋体"/>
                <w:vanish/>
              </w:rPr>
            </w:pPr>
          </w:p>
        </w:tc>
      </w:tr>
      <w:tr w:rsidR="00980E5F" w14:paraId="392C117D" w14:textId="77777777">
        <w:trPr>
          <w:hidden/>
        </w:trPr>
        <w:tc>
          <w:tcPr>
            <w:tcW w:w="0" w:type="auto"/>
            <w:gridSpan w:val="3"/>
            <w:shd w:val="clear" w:color="auto" w:fill="auto"/>
            <w:vAlign w:val="bottom"/>
          </w:tcPr>
          <w:p w14:paraId="392C1174" w14:textId="77777777" w:rsidR="00980E5F" w:rsidRDefault="00980E5F">
            <w:pPr>
              <w:rPr>
                <w:rFonts w:ascii="宋体"/>
                <w:vanish/>
              </w:rPr>
            </w:pPr>
          </w:p>
        </w:tc>
        <w:tc>
          <w:tcPr>
            <w:tcW w:w="0" w:type="auto"/>
            <w:gridSpan w:val="3"/>
            <w:shd w:val="clear" w:color="auto" w:fill="auto"/>
            <w:vAlign w:val="bottom"/>
          </w:tcPr>
          <w:p w14:paraId="392C1175" w14:textId="77777777" w:rsidR="00980E5F" w:rsidRDefault="00980E5F">
            <w:pPr>
              <w:rPr>
                <w:rFonts w:ascii="宋体"/>
                <w:vanish/>
              </w:rPr>
            </w:pPr>
          </w:p>
        </w:tc>
        <w:tc>
          <w:tcPr>
            <w:tcW w:w="0" w:type="auto"/>
            <w:gridSpan w:val="3"/>
            <w:shd w:val="clear" w:color="auto" w:fill="auto"/>
            <w:vAlign w:val="bottom"/>
          </w:tcPr>
          <w:p w14:paraId="392C1176" w14:textId="77777777" w:rsidR="00980E5F" w:rsidRDefault="00980E5F">
            <w:pPr>
              <w:rPr>
                <w:rFonts w:ascii="宋体"/>
                <w:vanish/>
              </w:rPr>
            </w:pPr>
          </w:p>
        </w:tc>
        <w:tc>
          <w:tcPr>
            <w:tcW w:w="0" w:type="auto"/>
            <w:gridSpan w:val="3"/>
            <w:shd w:val="clear" w:color="auto" w:fill="auto"/>
            <w:vAlign w:val="bottom"/>
          </w:tcPr>
          <w:p w14:paraId="392C1177" w14:textId="77777777" w:rsidR="00980E5F" w:rsidRDefault="00980E5F">
            <w:pPr>
              <w:rPr>
                <w:rFonts w:ascii="宋体"/>
                <w:vanish/>
              </w:rPr>
            </w:pPr>
          </w:p>
        </w:tc>
        <w:tc>
          <w:tcPr>
            <w:tcW w:w="0" w:type="auto"/>
            <w:gridSpan w:val="3"/>
            <w:shd w:val="clear" w:color="auto" w:fill="auto"/>
            <w:vAlign w:val="bottom"/>
          </w:tcPr>
          <w:p w14:paraId="392C1178" w14:textId="77777777" w:rsidR="00980E5F" w:rsidRDefault="00980E5F">
            <w:pPr>
              <w:rPr>
                <w:rFonts w:ascii="宋体"/>
                <w:vanish/>
              </w:rPr>
            </w:pPr>
          </w:p>
        </w:tc>
        <w:tc>
          <w:tcPr>
            <w:tcW w:w="0" w:type="auto"/>
            <w:gridSpan w:val="3"/>
            <w:shd w:val="clear" w:color="auto" w:fill="auto"/>
            <w:vAlign w:val="bottom"/>
          </w:tcPr>
          <w:p w14:paraId="392C1179" w14:textId="77777777" w:rsidR="00980E5F" w:rsidRDefault="00980E5F">
            <w:pPr>
              <w:rPr>
                <w:rFonts w:ascii="宋体"/>
                <w:vanish/>
              </w:rPr>
            </w:pPr>
          </w:p>
        </w:tc>
        <w:tc>
          <w:tcPr>
            <w:tcW w:w="0" w:type="auto"/>
            <w:gridSpan w:val="3"/>
            <w:shd w:val="clear" w:color="auto" w:fill="auto"/>
            <w:vAlign w:val="bottom"/>
          </w:tcPr>
          <w:p w14:paraId="392C117A" w14:textId="77777777" w:rsidR="00980E5F" w:rsidRDefault="00980E5F">
            <w:pPr>
              <w:rPr>
                <w:rFonts w:ascii="宋体"/>
                <w:vanish/>
              </w:rPr>
            </w:pPr>
          </w:p>
        </w:tc>
        <w:tc>
          <w:tcPr>
            <w:tcW w:w="0" w:type="auto"/>
            <w:gridSpan w:val="3"/>
            <w:shd w:val="clear" w:color="auto" w:fill="auto"/>
            <w:vAlign w:val="bottom"/>
          </w:tcPr>
          <w:p w14:paraId="392C117B" w14:textId="77777777" w:rsidR="00980E5F" w:rsidRDefault="00980E5F">
            <w:pPr>
              <w:rPr>
                <w:rFonts w:ascii="宋体"/>
                <w:vanish/>
              </w:rPr>
            </w:pPr>
          </w:p>
        </w:tc>
        <w:tc>
          <w:tcPr>
            <w:tcW w:w="0" w:type="auto"/>
            <w:gridSpan w:val="3"/>
            <w:shd w:val="clear" w:color="auto" w:fill="auto"/>
            <w:vAlign w:val="bottom"/>
          </w:tcPr>
          <w:p w14:paraId="392C117C" w14:textId="77777777" w:rsidR="00980E5F" w:rsidRDefault="00980E5F">
            <w:pPr>
              <w:rPr>
                <w:rFonts w:ascii="宋体"/>
                <w:vanish/>
              </w:rPr>
            </w:pPr>
          </w:p>
        </w:tc>
      </w:tr>
      <w:tr w:rsidR="00980E5F" w14:paraId="392C118B" w14:textId="77777777">
        <w:tc>
          <w:tcPr>
            <w:tcW w:w="0" w:type="auto"/>
            <w:gridSpan w:val="3"/>
            <w:shd w:val="clear" w:color="auto" w:fill="FFFFFF"/>
            <w:tcMar>
              <w:top w:w="40" w:type="dxa"/>
              <w:left w:w="20" w:type="dxa"/>
              <w:bottom w:w="40" w:type="dxa"/>
              <w:right w:w="20" w:type="dxa"/>
            </w:tcMar>
            <w:vAlign w:val="bottom"/>
          </w:tcPr>
          <w:p w14:paraId="392C117E" w14:textId="77777777" w:rsidR="00980E5F" w:rsidRDefault="00483613">
            <w:pPr>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(6)(7)</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17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180" w14:textId="77777777" w:rsidR="00980E5F" w:rsidRDefault="00483613">
            <w:pPr>
              <w:jc w:val="right"/>
              <w:textAlignment w:val="bottom"/>
            </w:pPr>
            <w:r>
              <w:rPr>
                <w:rFonts w:ascii="Arial" w:eastAsia="宋体" w:hAnsi="Arial" w:cs="Arial"/>
                <w:b/>
                <w:bCs/>
                <w:color w:val="000000"/>
                <w:sz w:val="14"/>
                <w:szCs w:val="14"/>
              </w:rPr>
              <w:t>45,454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8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18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184" w14:textId="77777777" w:rsidR="00980E5F" w:rsidRDefault="00483613">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85" w14:textId="77777777" w:rsidR="00980E5F" w:rsidRDefault="00980E5F">
            <w:pPr>
              <w:jc w:val="right"/>
              <w:rPr>
                <w:rFonts w:ascii="宋体"/>
              </w:rPr>
            </w:pPr>
          </w:p>
        </w:tc>
        <w:tc>
          <w:tcPr>
            <w:tcW w:w="0" w:type="auto"/>
            <w:gridSpan w:val="3"/>
            <w:shd w:val="clear" w:color="auto" w:fill="auto"/>
            <w:vAlign w:val="bottom"/>
          </w:tcPr>
          <w:p w14:paraId="392C1186" w14:textId="77777777" w:rsidR="00980E5F" w:rsidRDefault="00980E5F">
            <w:pPr>
              <w:rPr>
                <w:rFonts w:ascii="宋体"/>
                <w:vanish/>
              </w:rPr>
            </w:pPr>
          </w:p>
        </w:tc>
        <w:tc>
          <w:tcPr>
            <w:tcW w:w="0" w:type="auto"/>
            <w:gridSpan w:val="3"/>
            <w:shd w:val="clear" w:color="auto" w:fill="auto"/>
            <w:vAlign w:val="bottom"/>
          </w:tcPr>
          <w:p w14:paraId="392C1187" w14:textId="77777777" w:rsidR="00980E5F" w:rsidRDefault="00980E5F">
            <w:pPr>
              <w:rPr>
                <w:rFonts w:ascii="宋体"/>
                <w:vanish/>
              </w:rPr>
            </w:pPr>
          </w:p>
        </w:tc>
        <w:tc>
          <w:tcPr>
            <w:tcW w:w="0" w:type="auto"/>
            <w:gridSpan w:val="3"/>
            <w:shd w:val="clear" w:color="auto" w:fill="auto"/>
            <w:vAlign w:val="bottom"/>
          </w:tcPr>
          <w:p w14:paraId="392C1188" w14:textId="77777777" w:rsidR="00980E5F" w:rsidRDefault="00980E5F">
            <w:pPr>
              <w:rPr>
                <w:rFonts w:ascii="宋体"/>
                <w:vanish/>
              </w:rPr>
            </w:pPr>
          </w:p>
        </w:tc>
        <w:tc>
          <w:tcPr>
            <w:tcW w:w="0" w:type="auto"/>
            <w:gridSpan w:val="3"/>
            <w:shd w:val="clear" w:color="auto" w:fill="auto"/>
            <w:vAlign w:val="bottom"/>
          </w:tcPr>
          <w:p w14:paraId="392C1189" w14:textId="77777777" w:rsidR="00980E5F" w:rsidRDefault="00980E5F">
            <w:pPr>
              <w:rPr>
                <w:rFonts w:ascii="宋体"/>
                <w:vanish/>
              </w:rPr>
            </w:pPr>
          </w:p>
        </w:tc>
        <w:tc>
          <w:tcPr>
            <w:tcW w:w="0" w:type="auto"/>
            <w:gridSpan w:val="3"/>
            <w:shd w:val="clear" w:color="auto" w:fill="auto"/>
            <w:vAlign w:val="bottom"/>
          </w:tcPr>
          <w:p w14:paraId="392C118A" w14:textId="77777777" w:rsidR="00980E5F" w:rsidRDefault="00980E5F">
            <w:pPr>
              <w:rPr>
                <w:rFonts w:ascii="宋体"/>
                <w:vanish/>
              </w:rPr>
            </w:pPr>
          </w:p>
        </w:tc>
      </w:tr>
      <w:tr w:rsidR="00980E5F" w14:paraId="392C1195" w14:textId="77777777">
        <w:tc>
          <w:tcPr>
            <w:tcW w:w="0" w:type="auto"/>
            <w:gridSpan w:val="3"/>
            <w:shd w:val="clear" w:color="auto" w:fill="CCEEFF"/>
            <w:tcMar>
              <w:top w:w="40" w:type="dxa"/>
              <w:left w:w="20" w:type="dxa"/>
              <w:bottom w:w="40" w:type="dxa"/>
              <w:right w:w="20" w:type="dxa"/>
            </w:tcMar>
            <w:vAlign w:val="bottom"/>
          </w:tcPr>
          <w:p w14:paraId="392C118C" w14:textId="77777777" w:rsidR="00980E5F" w:rsidRDefault="00483613">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118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18E"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118F" w14:textId="77777777" w:rsidR="00980E5F" w:rsidRDefault="00980E5F">
            <w:pPr>
              <w:rPr>
                <w:rFonts w:ascii="宋体"/>
              </w:rPr>
            </w:pPr>
          </w:p>
        </w:tc>
        <w:tc>
          <w:tcPr>
            <w:tcW w:w="0" w:type="auto"/>
            <w:gridSpan w:val="3"/>
            <w:shd w:val="clear" w:color="auto" w:fill="auto"/>
            <w:vAlign w:val="bottom"/>
          </w:tcPr>
          <w:p w14:paraId="392C1190" w14:textId="77777777" w:rsidR="00980E5F" w:rsidRDefault="00980E5F">
            <w:pPr>
              <w:rPr>
                <w:rFonts w:ascii="宋体"/>
                <w:vanish/>
              </w:rPr>
            </w:pPr>
          </w:p>
        </w:tc>
        <w:tc>
          <w:tcPr>
            <w:tcW w:w="0" w:type="auto"/>
            <w:gridSpan w:val="3"/>
            <w:shd w:val="clear" w:color="auto" w:fill="auto"/>
            <w:vAlign w:val="bottom"/>
          </w:tcPr>
          <w:p w14:paraId="392C1191" w14:textId="77777777" w:rsidR="00980E5F" w:rsidRDefault="00980E5F">
            <w:pPr>
              <w:rPr>
                <w:rFonts w:ascii="宋体"/>
                <w:vanish/>
              </w:rPr>
            </w:pPr>
          </w:p>
        </w:tc>
        <w:tc>
          <w:tcPr>
            <w:tcW w:w="0" w:type="auto"/>
            <w:gridSpan w:val="3"/>
            <w:shd w:val="clear" w:color="auto" w:fill="auto"/>
            <w:vAlign w:val="bottom"/>
          </w:tcPr>
          <w:p w14:paraId="392C1192" w14:textId="77777777" w:rsidR="00980E5F" w:rsidRDefault="00980E5F">
            <w:pPr>
              <w:rPr>
                <w:rFonts w:ascii="宋体"/>
                <w:vanish/>
              </w:rPr>
            </w:pPr>
          </w:p>
        </w:tc>
        <w:tc>
          <w:tcPr>
            <w:tcW w:w="0" w:type="auto"/>
            <w:gridSpan w:val="3"/>
            <w:shd w:val="clear" w:color="auto" w:fill="auto"/>
            <w:vAlign w:val="bottom"/>
          </w:tcPr>
          <w:p w14:paraId="392C1193" w14:textId="77777777" w:rsidR="00980E5F" w:rsidRDefault="00980E5F">
            <w:pPr>
              <w:rPr>
                <w:rFonts w:ascii="宋体"/>
                <w:vanish/>
              </w:rPr>
            </w:pPr>
          </w:p>
        </w:tc>
        <w:tc>
          <w:tcPr>
            <w:tcW w:w="0" w:type="auto"/>
            <w:gridSpan w:val="3"/>
            <w:shd w:val="clear" w:color="auto" w:fill="auto"/>
            <w:vAlign w:val="bottom"/>
          </w:tcPr>
          <w:p w14:paraId="392C1194" w14:textId="77777777" w:rsidR="00980E5F" w:rsidRDefault="00980E5F">
            <w:pPr>
              <w:rPr>
                <w:rFonts w:ascii="宋体"/>
                <w:vanish/>
              </w:rPr>
            </w:pPr>
          </w:p>
        </w:tc>
      </w:tr>
      <w:tr w:rsidR="00980E5F" w14:paraId="392C119F" w14:textId="77777777">
        <w:tc>
          <w:tcPr>
            <w:tcW w:w="0" w:type="auto"/>
            <w:gridSpan w:val="3"/>
            <w:shd w:val="clear" w:color="auto" w:fill="FFFFFF"/>
            <w:tcMar>
              <w:top w:w="40" w:type="dxa"/>
              <w:left w:w="20" w:type="dxa"/>
              <w:bottom w:w="40" w:type="dxa"/>
              <w:right w:w="20" w:type="dxa"/>
            </w:tcMar>
            <w:vAlign w:val="bottom"/>
          </w:tcPr>
          <w:p w14:paraId="392C1196" w14:textId="77777777" w:rsidR="00980E5F" w:rsidRDefault="00483613">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392C11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19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199" w14:textId="77777777" w:rsidR="00980E5F" w:rsidRDefault="00980E5F">
            <w:pPr>
              <w:rPr>
                <w:rFonts w:ascii="宋体"/>
              </w:rPr>
            </w:pPr>
          </w:p>
        </w:tc>
        <w:tc>
          <w:tcPr>
            <w:tcW w:w="0" w:type="auto"/>
            <w:gridSpan w:val="3"/>
            <w:shd w:val="clear" w:color="auto" w:fill="auto"/>
            <w:vAlign w:val="bottom"/>
          </w:tcPr>
          <w:p w14:paraId="392C119A" w14:textId="77777777" w:rsidR="00980E5F" w:rsidRDefault="00980E5F">
            <w:pPr>
              <w:rPr>
                <w:rFonts w:ascii="宋体"/>
                <w:vanish/>
              </w:rPr>
            </w:pPr>
          </w:p>
        </w:tc>
        <w:tc>
          <w:tcPr>
            <w:tcW w:w="0" w:type="auto"/>
            <w:gridSpan w:val="3"/>
            <w:shd w:val="clear" w:color="auto" w:fill="auto"/>
            <w:vAlign w:val="bottom"/>
          </w:tcPr>
          <w:p w14:paraId="392C119B" w14:textId="77777777" w:rsidR="00980E5F" w:rsidRDefault="00980E5F">
            <w:pPr>
              <w:rPr>
                <w:rFonts w:ascii="宋体"/>
                <w:vanish/>
              </w:rPr>
            </w:pPr>
          </w:p>
        </w:tc>
        <w:tc>
          <w:tcPr>
            <w:tcW w:w="0" w:type="auto"/>
            <w:gridSpan w:val="3"/>
            <w:shd w:val="clear" w:color="auto" w:fill="auto"/>
            <w:vAlign w:val="bottom"/>
          </w:tcPr>
          <w:p w14:paraId="392C119C" w14:textId="77777777" w:rsidR="00980E5F" w:rsidRDefault="00980E5F">
            <w:pPr>
              <w:rPr>
                <w:rFonts w:ascii="宋体"/>
                <w:vanish/>
              </w:rPr>
            </w:pPr>
          </w:p>
        </w:tc>
        <w:tc>
          <w:tcPr>
            <w:tcW w:w="0" w:type="auto"/>
            <w:gridSpan w:val="3"/>
            <w:shd w:val="clear" w:color="auto" w:fill="auto"/>
            <w:vAlign w:val="bottom"/>
          </w:tcPr>
          <w:p w14:paraId="392C119D" w14:textId="77777777" w:rsidR="00980E5F" w:rsidRDefault="00980E5F">
            <w:pPr>
              <w:rPr>
                <w:rFonts w:ascii="宋体"/>
                <w:vanish/>
              </w:rPr>
            </w:pPr>
          </w:p>
        </w:tc>
        <w:tc>
          <w:tcPr>
            <w:tcW w:w="0" w:type="auto"/>
            <w:gridSpan w:val="3"/>
            <w:shd w:val="clear" w:color="auto" w:fill="auto"/>
            <w:vAlign w:val="bottom"/>
          </w:tcPr>
          <w:p w14:paraId="392C119E" w14:textId="77777777" w:rsidR="00980E5F" w:rsidRDefault="00980E5F">
            <w:pPr>
              <w:rPr>
                <w:rFonts w:ascii="宋体"/>
                <w:vanish/>
              </w:rPr>
            </w:pPr>
          </w:p>
        </w:tc>
      </w:tr>
      <w:tr w:rsidR="00980E5F" w14:paraId="392C11AD" w14:textId="77777777">
        <w:tc>
          <w:tcPr>
            <w:tcW w:w="0" w:type="auto"/>
            <w:gridSpan w:val="3"/>
            <w:shd w:val="clear" w:color="auto" w:fill="CCEEFF"/>
            <w:tcMar>
              <w:top w:w="40" w:type="dxa"/>
              <w:left w:w="140" w:type="dxa"/>
              <w:bottom w:w="40" w:type="dxa"/>
              <w:right w:w="20" w:type="dxa"/>
            </w:tcMar>
            <w:vAlign w:val="bottom"/>
          </w:tcPr>
          <w:p w14:paraId="392C11A0" w14:textId="77777777" w:rsidR="00980E5F" w:rsidRDefault="00483613">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92C11A1"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1A2" w14:textId="77777777" w:rsidR="00980E5F" w:rsidRDefault="00483613">
            <w:pPr>
              <w:jc w:val="right"/>
              <w:textAlignment w:val="bottom"/>
            </w:pPr>
            <w:r>
              <w:rPr>
                <w:rFonts w:ascii="Arial" w:eastAsia="宋体" w:hAnsi="Arial" w:cs="Arial"/>
                <w:b/>
                <w:bCs/>
                <w:color w:val="000000"/>
                <w:sz w:val="14"/>
                <w:szCs w:val="14"/>
              </w:rPr>
              <w:t>11,424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1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A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1A5"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11A6" w14:textId="77777777" w:rsidR="00980E5F" w:rsidRDefault="00483613">
            <w:pPr>
              <w:jc w:val="right"/>
              <w:textAlignment w:val="bottom"/>
            </w:pPr>
            <w:r>
              <w:rPr>
                <w:rFonts w:ascii="Arial" w:eastAsia="宋体" w:hAnsi="Arial" w:cs="Arial"/>
                <w:color w:val="000000"/>
                <w:sz w:val="14"/>
                <w:szCs w:val="14"/>
              </w:rPr>
              <w:t>2,170 </w:t>
            </w:r>
          </w:p>
        </w:tc>
        <w:tc>
          <w:tcPr>
            <w:tcW w:w="0" w:type="auto"/>
            <w:shd w:val="clear" w:color="auto" w:fill="CCEEFF"/>
            <w:tcMar>
              <w:top w:w="40" w:type="dxa"/>
              <w:left w:w="0" w:type="dxa"/>
              <w:bottom w:w="40" w:type="dxa"/>
              <w:right w:w="20" w:type="dxa"/>
            </w:tcMar>
            <w:vAlign w:val="bottom"/>
          </w:tcPr>
          <w:p w14:paraId="392C11A7" w14:textId="77777777" w:rsidR="00980E5F" w:rsidRDefault="00980E5F">
            <w:pPr>
              <w:jc w:val="right"/>
              <w:rPr>
                <w:rFonts w:ascii="宋体"/>
              </w:rPr>
            </w:pPr>
          </w:p>
        </w:tc>
        <w:tc>
          <w:tcPr>
            <w:tcW w:w="0" w:type="auto"/>
            <w:gridSpan w:val="3"/>
            <w:shd w:val="clear" w:color="auto" w:fill="auto"/>
            <w:vAlign w:val="bottom"/>
          </w:tcPr>
          <w:p w14:paraId="392C11A8" w14:textId="77777777" w:rsidR="00980E5F" w:rsidRDefault="00980E5F">
            <w:pPr>
              <w:rPr>
                <w:rFonts w:ascii="宋体"/>
                <w:vanish/>
              </w:rPr>
            </w:pPr>
          </w:p>
        </w:tc>
        <w:tc>
          <w:tcPr>
            <w:tcW w:w="0" w:type="auto"/>
            <w:gridSpan w:val="3"/>
            <w:shd w:val="clear" w:color="auto" w:fill="auto"/>
            <w:vAlign w:val="bottom"/>
          </w:tcPr>
          <w:p w14:paraId="392C11A9" w14:textId="77777777" w:rsidR="00980E5F" w:rsidRDefault="00980E5F">
            <w:pPr>
              <w:rPr>
                <w:rFonts w:ascii="宋体"/>
                <w:vanish/>
              </w:rPr>
            </w:pPr>
          </w:p>
        </w:tc>
        <w:tc>
          <w:tcPr>
            <w:tcW w:w="0" w:type="auto"/>
            <w:gridSpan w:val="3"/>
            <w:shd w:val="clear" w:color="auto" w:fill="auto"/>
            <w:vAlign w:val="bottom"/>
          </w:tcPr>
          <w:p w14:paraId="392C11AA" w14:textId="77777777" w:rsidR="00980E5F" w:rsidRDefault="00980E5F">
            <w:pPr>
              <w:rPr>
                <w:rFonts w:ascii="宋体"/>
                <w:vanish/>
              </w:rPr>
            </w:pPr>
          </w:p>
        </w:tc>
        <w:tc>
          <w:tcPr>
            <w:tcW w:w="0" w:type="auto"/>
            <w:gridSpan w:val="3"/>
            <w:shd w:val="clear" w:color="auto" w:fill="auto"/>
            <w:vAlign w:val="bottom"/>
          </w:tcPr>
          <w:p w14:paraId="392C11AB" w14:textId="77777777" w:rsidR="00980E5F" w:rsidRDefault="00980E5F">
            <w:pPr>
              <w:rPr>
                <w:rFonts w:ascii="宋体"/>
                <w:vanish/>
              </w:rPr>
            </w:pPr>
          </w:p>
        </w:tc>
        <w:tc>
          <w:tcPr>
            <w:tcW w:w="0" w:type="auto"/>
            <w:gridSpan w:val="3"/>
            <w:shd w:val="clear" w:color="auto" w:fill="auto"/>
            <w:vAlign w:val="bottom"/>
          </w:tcPr>
          <w:p w14:paraId="392C11AC" w14:textId="77777777" w:rsidR="00980E5F" w:rsidRDefault="00980E5F">
            <w:pPr>
              <w:rPr>
                <w:rFonts w:ascii="宋体"/>
                <w:vanish/>
              </w:rPr>
            </w:pPr>
          </w:p>
        </w:tc>
      </w:tr>
      <w:tr w:rsidR="00980E5F" w14:paraId="392C11B9" w14:textId="77777777">
        <w:tc>
          <w:tcPr>
            <w:tcW w:w="0" w:type="auto"/>
            <w:gridSpan w:val="3"/>
            <w:shd w:val="clear" w:color="auto" w:fill="FFFFFF"/>
            <w:tcMar>
              <w:top w:w="40" w:type="dxa"/>
              <w:left w:w="140" w:type="dxa"/>
              <w:bottom w:w="40" w:type="dxa"/>
              <w:right w:w="20" w:type="dxa"/>
            </w:tcMar>
            <w:vAlign w:val="bottom"/>
          </w:tcPr>
          <w:p w14:paraId="392C11AE"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92C11AF" w14:textId="77777777" w:rsidR="00980E5F" w:rsidRDefault="00483613">
            <w:pPr>
              <w:jc w:val="right"/>
              <w:textAlignment w:val="bottom"/>
            </w:pPr>
            <w:r>
              <w:rPr>
                <w:rFonts w:ascii="Arial" w:eastAsia="宋体" w:hAnsi="Arial" w:cs="Arial"/>
                <w:b/>
                <w:bCs/>
                <w:color w:val="000000"/>
                <w:sz w:val="14"/>
                <w:szCs w:val="14"/>
              </w:rPr>
              <w:t>41,660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1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1B2" w14:textId="77777777" w:rsidR="00980E5F" w:rsidRDefault="00483613">
            <w:pPr>
              <w:jc w:val="right"/>
              <w:textAlignment w:val="bottom"/>
            </w:pPr>
            <w:r>
              <w:rPr>
                <w:rFonts w:ascii="Arial" w:eastAsia="宋体" w:hAnsi="Arial" w:cs="Arial"/>
                <w:color w:val="000000"/>
                <w:sz w:val="14"/>
                <w:szCs w:val="14"/>
              </w:rPr>
              <w:t>33,481 </w:t>
            </w:r>
          </w:p>
        </w:tc>
        <w:tc>
          <w:tcPr>
            <w:tcW w:w="0" w:type="auto"/>
            <w:shd w:val="clear" w:color="auto" w:fill="FFFFFF"/>
            <w:tcMar>
              <w:top w:w="40" w:type="dxa"/>
              <w:left w:w="0" w:type="dxa"/>
              <w:bottom w:w="40" w:type="dxa"/>
              <w:right w:w="20" w:type="dxa"/>
            </w:tcMar>
            <w:vAlign w:val="bottom"/>
          </w:tcPr>
          <w:p w14:paraId="392C11B3" w14:textId="77777777" w:rsidR="00980E5F" w:rsidRDefault="00980E5F">
            <w:pPr>
              <w:jc w:val="right"/>
              <w:rPr>
                <w:rFonts w:ascii="宋体"/>
              </w:rPr>
            </w:pPr>
          </w:p>
        </w:tc>
        <w:tc>
          <w:tcPr>
            <w:tcW w:w="0" w:type="auto"/>
            <w:gridSpan w:val="3"/>
            <w:shd w:val="clear" w:color="auto" w:fill="auto"/>
            <w:vAlign w:val="bottom"/>
          </w:tcPr>
          <w:p w14:paraId="392C11B4" w14:textId="77777777" w:rsidR="00980E5F" w:rsidRDefault="00980E5F">
            <w:pPr>
              <w:rPr>
                <w:rFonts w:ascii="宋体"/>
                <w:vanish/>
              </w:rPr>
            </w:pPr>
          </w:p>
        </w:tc>
        <w:tc>
          <w:tcPr>
            <w:tcW w:w="0" w:type="auto"/>
            <w:gridSpan w:val="3"/>
            <w:shd w:val="clear" w:color="auto" w:fill="auto"/>
            <w:vAlign w:val="bottom"/>
          </w:tcPr>
          <w:p w14:paraId="392C11B5" w14:textId="77777777" w:rsidR="00980E5F" w:rsidRDefault="00980E5F">
            <w:pPr>
              <w:rPr>
                <w:rFonts w:ascii="宋体"/>
                <w:vanish/>
              </w:rPr>
            </w:pPr>
          </w:p>
        </w:tc>
        <w:tc>
          <w:tcPr>
            <w:tcW w:w="0" w:type="auto"/>
            <w:gridSpan w:val="3"/>
            <w:shd w:val="clear" w:color="auto" w:fill="auto"/>
            <w:vAlign w:val="bottom"/>
          </w:tcPr>
          <w:p w14:paraId="392C11B6" w14:textId="77777777" w:rsidR="00980E5F" w:rsidRDefault="00980E5F">
            <w:pPr>
              <w:rPr>
                <w:rFonts w:ascii="宋体"/>
                <w:vanish/>
              </w:rPr>
            </w:pPr>
          </w:p>
        </w:tc>
        <w:tc>
          <w:tcPr>
            <w:tcW w:w="0" w:type="auto"/>
            <w:gridSpan w:val="3"/>
            <w:shd w:val="clear" w:color="auto" w:fill="auto"/>
            <w:vAlign w:val="bottom"/>
          </w:tcPr>
          <w:p w14:paraId="392C11B7" w14:textId="77777777" w:rsidR="00980E5F" w:rsidRDefault="00980E5F">
            <w:pPr>
              <w:rPr>
                <w:rFonts w:ascii="宋体"/>
                <w:vanish/>
              </w:rPr>
            </w:pPr>
          </w:p>
        </w:tc>
        <w:tc>
          <w:tcPr>
            <w:tcW w:w="0" w:type="auto"/>
            <w:gridSpan w:val="3"/>
            <w:shd w:val="clear" w:color="auto" w:fill="auto"/>
            <w:vAlign w:val="bottom"/>
          </w:tcPr>
          <w:p w14:paraId="392C11B8" w14:textId="77777777" w:rsidR="00980E5F" w:rsidRDefault="00980E5F">
            <w:pPr>
              <w:rPr>
                <w:rFonts w:ascii="宋体"/>
                <w:vanish/>
              </w:rPr>
            </w:pPr>
          </w:p>
        </w:tc>
      </w:tr>
      <w:tr w:rsidR="00980E5F" w14:paraId="392C11C5" w14:textId="77777777">
        <w:tc>
          <w:tcPr>
            <w:tcW w:w="0" w:type="auto"/>
            <w:gridSpan w:val="3"/>
            <w:shd w:val="clear" w:color="auto" w:fill="CCEEFF"/>
            <w:tcMar>
              <w:top w:w="40" w:type="dxa"/>
              <w:left w:w="20" w:type="dxa"/>
              <w:bottom w:w="40" w:type="dxa"/>
              <w:right w:w="20" w:type="dxa"/>
            </w:tcMar>
            <w:vAlign w:val="bottom"/>
          </w:tcPr>
          <w:p w14:paraId="392C11BA" w14:textId="77777777" w:rsidR="00980E5F" w:rsidRDefault="00483613">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1BB" w14:textId="77777777" w:rsidR="00980E5F" w:rsidRDefault="00483613">
            <w:pPr>
              <w:jc w:val="right"/>
              <w:textAlignment w:val="bottom"/>
            </w:pPr>
            <w:r>
              <w:rPr>
                <w:rFonts w:ascii="Arial" w:eastAsia="宋体" w:hAnsi="Arial" w:cs="Arial"/>
                <w:b/>
                <w:bCs/>
                <w:color w:val="000000"/>
                <w:sz w:val="14"/>
                <w:szCs w:val="14"/>
              </w:rPr>
              <w:t>53,084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1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B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1BE" w14:textId="77777777" w:rsidR="00980E5F" w:rsidRDefault="00483613">
            <w:pPr>
              <w:jc w:val="right"/>
              <w:textAlignment w:val="bottom"/>
            </w:pPr>
            <w:r>
              <w:rPr>
                <w:rFonts w:ascii="Arial" w:eastAsia="宋体" w:hAnsi="Arial" w:cs="Arial"/>
                <w:color w:val="000000"/>
                <w:sz w:val="14"/>
                <w:szCs w:val="14"/>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1BF" w14:textId="77777777" w:rsidR="00980E5F" w:rsidRDefault="00980E5F">
            <w:pPr>
              <w:jc w:val="right"/>
              <w:rPr>
                <w:rFonts w:ascii="宋体"/>
              </w:rPr>
            </w:pPr>
          </w:p>
        </w:tc>
        <w:tc>
          <w:tcPr>
            <w:tcW w:w="0" w:type="auto"/>
            <w:gridSpan w:val="3"/>
            <w:shd w:val="clear" w:color="auto" w:fill="auto"/>
            <w:vAlign w:val="bottom"/>
          </w:tcPr>
          <w:p w14:paraId="392C11C0" w14:textId="77777777" w:rsidR="00980E5F" w:rsidRDefault="00980E5F">
            <w:pPr>
              <w:rPr>
                <w:rFonts w:ascii="宋体"/>
                <w:vanish/>
              </w:rPr>
            </w:pPr>
          </w:p>
        </w:tc>
        <w:tc>
          <w:tcPr>
            <w:tcW w:w="0" w:type="auto"/>
            <w:gridSpan w:val="3"/>
            <w:shd w:val="clear" w:color="auto" w:fill="auto"/>
            <w:vAlign w:val="bottom"/>
          </w:tcPr>
          <w:p w14:paraId="392C11C1" w14:textId="77777777" w:rsidR="00980E5F" w:rsidRDefault="00980E5F">
            <w:pPr>
              <w:rPr>
                <w:rFonts w:ascii="宋体"/>
                <w:vanish/>
              </w:rPr>
            </w:pPr>
          </w:p>
        </w:tc>
        <w:tc>
          <w:tcPr>
            <w:tcW w:w="0" w:type="auto"/>
            <w:gridSpan w:val="3"/>
            <w:shd w:val="clear" w:color="auto" w:fill="auto"/>
            <w:vAlign w:val="bottom"/>
          </w:tcPr>
          <w:p w14:paraId="392C11C2" w14:textId="77777777" w:rsidR="00980E5F" w:rsidRDefault="00980E5F">
            <w:pPr>
              <w:rPr>
                <w:rFonts w:ascii="宋体"/>
                <w:vanish/>
              </w:rPr>
            </w:pPr>
          </w:p>
        </w:tc>
        <w:tc>
          <w:tcPr>
            <w:tcW w:w="0" w:type="auto"/>
            <w:gridSpan w:val="3"/>
            <w:shd w:val="clear" w:color="auto" w:fill="auto"/>
            <w:vAlign w:val="bottom"/>
          </w:tcPr>
          <w:p w14:paraId="392C11C3" w14:textId="77777777" w:rsidR="00980E5F" w:rsidRDefault="00980E5F">
            <w:pPr>
              <w:rPr>
                <w:rFonts w:ascii="宋体"/>
                <w:vanish/>
              </w:rPr>
            </w:pPr>
          </w:p>
        </w:tc>
        <w:tc>
          <w:tcPr>
            <w:tcW w:w="0" w:type="auto"/>
            <w:gridSpan w:val="3"/>
            <w:shd w:val="clear" w:color="auto" w:fill="auto"/>
            <w:vAlign w:val="bottom"/>
          </w:tcPr>
          <w:p w14:paraId="392C11C4" w14:textId="77777777" w:rsidR="00980E5F" w:rsidRDefault="00980E5F">
            <w:pPr>
              <w:rPr>
                <w:rFonts w:ascii="宋体"/>
                <w:vanish/>
              </w:rPr>
            </w:pPr>
          </w:p>
        </w:tc>
      </w:tr>
      <w:tr w:rsidR="00980E5F" w14:paraId="392C11CF" w14:textId="77777777">
        <w:tc>
          <w:tcPr>
            <w:tcW w:w="0" w:type="auto"/>
            <w:gridSpan w:val="3"/>
            <w:shd w:val="clear" w:color="auto" w:fill="FFFFFF"/>
            <w:tcMar>
              <w:top w:w="40" w:type="dxa"/>
              <w:left w:w="20" w:type="dxa"/>
              <w:bottom w:w="40" w:type="dxa"/>
              <w:right w:w="20" w:type="dxa"/>
            </w:tcMar>
            <w:vAlign w:val="bottom"/>
          </w:tcPr>
          <w:p w14:paraId="392C11C6" w14:textId="77777777" w:rsidR="00980E5F" w:rsidRDefault="00483613">
            <w:pPr>
              <w:textAlignment w:val="bottom"/>
            </w:pPr>
            <w:r>
              <w:rPr>
                <w:rFonts w:ascii="Arial" w:eastAsia="宋体" w:hAnsi="Arial" w:cs="Arial"/>
                <w:color w:val="000000"/>
                <w:sz w:val="14"/>
                <w:szCs w:val="14"/>
              </w:rPr>
              <w:t xml:space="preserve">Non-U.S. debt </w:t>
            </w:r>
            <w:r>
              <w:rPr>
                <w:rFonts w:ascii="Arial" w:eastAsia="宋体" w:hAnsi="Arial" w:cs="Arial"/>
                <w:color w:val="000000"/>
                <w:sz w:val="14"/>
                <w:szCs w:val="14"/>
              </w:rPr>
              <w:t>securities:</w:t>
            </w:r>
          </w:p>
        </w:tc>
        <w:tc>
          <w:tcPr>
            <w:tcW w:w="0" w:type="auto"/>
            <w:gridSpan w:val="3"/>
            <w:shd w:val="clear" w:color="auto" w:fill="FFFFFF"/>
            <w:tcMar>
              <w:top w:w="0" w:type="dxa"/>
              <w:left w:w="20" w:type="dxa"/>
              <w:bottom w:w="0" w:type="dxa"/>
              <w:right w:w="20" w:type="dxa"/>
            </w:tcMar>
            <w:vAlign w:val="bottom"/>
          </w:tcPr>
          <w:p w14:paraId="392C11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1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1C9" w14:textId="77777777" w:rsidR="00980E5F" w:rsidRDefault="00980E5F">
            <w:pPr>
              <w:rPr>
                <w:rFonts w:ascii="宋体"/>
              </w:rPr>
            </w:pPr>
          </w:p>
        </w:tc>
        <w:tc>
          <w:tcPr>
            <w:tcW w:w="0" w:type="auto"/>
            <w:gridSpan w:val="3"/>
            <w:shd w:val="clear" w:color="auto" w:fill="auto"/>
            <w:vAlign w:val="bottom"/>
          </w:tcPr>
          <w:p w14:paraId="392C11CA" w14:textId="77777777" w:rsidR="00980E5F" w:rsidRDefault="00980E5F">
            <w:pPr>
              <w:rPr>
                <w:rFonts w:ascii="宋体"/>
                <w:vanish/>
              </w:rPr>
            </w:pPr>
          </w:p>
        </w:tc>
        <w:tc>
          <w:tcPr>
            <w:tcW w:w="0" w:type="auto"/>
            <w:gridSpan w:val="3"/>
            <w:shd w:val="clear" w:color="auto" w:fill="auto"/>
            <w:vAlign w:val="bottom"/>
          </w:tcPr>
          <w:p w14:paraId="392C11CB" w14:textId="77777777" w:rsidR="00980E5F" w:rsidRDefault="00980E5F">
            <w:pPr>
              <w:rPr>
                <w:rFonts w:ascii="宋体"/>
                <w:vanish/>
              </w:rPr>
            </w:pPr>
          </w:p>
        </w:tc>
        <w:tc>
          <w:tcPr>
            <w:tcW w:w="0" w:type="auto"/>
            <w:gridSpan w:val="3"/>
            <w:shd w:val="clear" w:color="auto" w:fill="auto"/>
            <w:vAlign w:val="bottom"/>
          </w:tcPr>
          <w:p w14:paraId="392C11CC" w14:textId="77777777" w:rsidR="00980E5F" w:rsidRDefault="00980E5F">
            <w:pPr>
              <w:rPr>
                <w:rFonts w:ascii="宋体"/>
                <w:vanish/>
              </w:rPr>
            </w:pPr>
          </w:p>
        </w:tc>
        <w:tc>
          <w:tcPr>
            <w:tcW w:w="0" w:type="auto"/>
            <w:gridSpan w:val="3"/>
            <w:shd w:val="clear" w:color="auto" w:fill="auto"/>
            <w:vAlign w:val="bottom"/>
          </w:tcPr>
          <w:p w14:paraId="392C11CD" w14:textId="77777777" w:rsidR="00980E5F" w:rsidRDefault="00980E5F">
            <w:pPr>
              <w:rPr>
                <w:rFonts w:ascii="宋体"/>
                <w:vanish/>
              </w:rPr>
            </w:pPr>
          </w:p>
        </w:tc>
        <w:tc>
          <w:tcPr>
            <w:tcW w:w="0" w:type="auto"/>
            <w:gridSpan w:val="3"/>
            <w:shd w:val="clear" w:color="auto" w:fill="auto"/>
            <w:vAlign w:val="bottom"/>
          </w:tcPr>
          <w:p w14:paraId="392C11CE" w14:textId="77777777" w:rsidR="00980E5F" w:rsidRDefault="00980E5F">
            <w:pPr>
              <w:rPr>
                <w:rFonts w:ascii="宋体"/>
                <w:vanish/>
              </w:rPr>
            </w:pPr>
          </w:p>
        </w:tc>
      </w:tr>
      <w:tr w:rsidR="00980E5F" w14:paraId="392C11D9" w14:textId="77777777">
        <w:trPr>
          <w:hidden/>
        </w:trPr>
        <w:tc>
          <w:tcPr>
            <w:tcW w:w="0" w:type="auto"/>
            <w:gridSpan w:val="3"/>
            <w:shd w:val="clear" w:color="auto" w:fill="auto"/>
            <w:vAlign w:val="bottom"/>
          </w:tcPr>
          <w:p w14:paraId="392C11D0" w14:textId="77777777" w:rsidR="00980E5F" w:rsidRDefault="00980E5F">
            <w:pPr>
              <w:rPr>
                <w:rFonts w:ascii="宋体"/>
                <w:vanish/>
              </w:rPr>
            </w:pPr>
          </w:p>
        </w:tc>
        <w:tc>
          <w:tcPr>
            <w:tcW w:w="0" w:type="auto"/>
            <w:gridSpan w:val="3"/>
            <w:shd w:val="clear" w:color="auto" w:fill="auto"/>
            <w:vAlign w:val="bottom"/>
          </w:tcPr>
          <w:p w14:paraId="392C11D1" w14:textId="77777777" w:rsidR="00980E5F" w:rsidRDefault="00980E5F">
            <w:pPr>
              <w:rPr>
                <w:rFonts w:ascii="宋体"/>
                <w:vanish/>
              </w:rPr>
            </w:pPr>
          </w:p>
        </w:tc>
        <w:tc>
          <w:tcPr>
            <w:tcW w:w="0" w:type="auto"/>
            <w:gridSpan w:val="3"/>
            <w:shd w:val="clear" w:color="auto" w:fill="auto"/>
            <w:vAlign w:val="bottom"/>
          </w:tcPr>
          <w:p w14:paraId="392C11D2" w14:textId="77777777" w:rsidR="00980E5F" w:rsidRDefault="00980E5F">
            <w:pPr>
              <w:rPr>
                <w:rFonts w:ascii="宋体"/>
                <w:vanish/>
              </w:rPr>
            </w:pPr>
          </w:p>
        </w:tc>
        <w:tc>
          <w:tcPr>
            <w:tcW w:w="0" w:type="auto"/>
            <w:gridSpan w:val="3"/>
            <w:shd w:val="clear" w:color="auto" w:fill="auto"/>
            <w:vAlign w:val="bottom"/>
          </w:tcPr>
          <w:p w14:paraId="392C11D3" w14:textId="77777777" w:rsidR="00980E5F" w:rsidRDefault="00980E5F">
            <w:pPr>
              <w:rPr>
                <w:rFonts w:ascii="宋体"/>
                <w:vanish/>
              </w:rPr>
            </w:pPr>
          </w:p>
        </w:tc>
        <w:tc>
          <w:tcPr>
            <w:tcW w:w="0" w:type="auto"/>
            <w:gridSpan w:val="3"/>
            <w:shd w:val="clear" w:color="auto" w:fill="auto"/>
            <w:vAlign w:val="bottom"/>
          </w:tcPr>
          <w:p w14:paraId="392C11D4" w14:textId="77777777" w:rsidR="00980E5F" w:rsidRDefault="00980E5F">
            <w:pPr>
              <w:rPr>
                <w:rFonts w:ascii="宋体"/>
                <w:vanish/>
              </w:rPr>
            </w:pPr>
          </w:p>
        </w:tc>
        <w:tc>
          <w:tcPr>
            <w:tcW w:w="0" w:type="auto"/>
            <w:gridSpan w:val="3"/>
            <w:shd w:val="clear" w:color="auto" w:fill="auto"/>
            <w:vAlign w:val="bottom"/>
          </w:tcPr>
          <w:p w14:paraId="392C11D5" w14:textId="77777777" w:rsidR="00980E5F" w:rsidRDefault="00980E5F">
            <w:pPr>
              <w:rPr>
                <w:rFonts w:ascii="宋体"/>
                <w:vanish/>
              </w:rPr>
            </w:pPr>
          </w:p>
        </w:tc>
        <w:tc>
          <w:tcPr>
            <w:tcW w:w="0" w:type="auto"/>
            <w:gridSpan w:val="3"/>
            <w:shd w:val="clear" w:color="auto" w:fill="auto"/>
            <w:vAlign w:val="bottom"/>
          </w:tcPr>
          <w:p w14:paraId="392C11D6" w14:textId="77777777" w:rsidR="00980E5F" w:rsidRDefault="00980E5F">
            <w:pPr>
              <w:rPr>
                <w:rFonts w:ascii="宋体"/>
                <w:vanish/>
              </w:rPr>
            </w:pPr>
          </w:p>
        </w:tc>
        <w:tc>
          <w:tcPr>
            <w:tcW w:w="0" w:type="auto"/>
            <w:gridSpan w:val="3"/>
            <w:shd w:val="clear" w:color="auto" w:fill="auto"/>
            <w:vAlign w:val="bottom"/>
          </w:tcPr>
          <w:p w14:paraId="392C11D7" w14:textId="77777777" w:rsidR="00980E5F" w:rsidRDefault="00980E5F">
            <w:pPr>
              <w:rPr>
                <w:rFonts w:ascii="宋体"/>
                <w:vanish/>
              </w:rPr>
            </w:pPr>
          </w:p>
        </w:tc>
        <w:tc>
          <w:tcPr>
            <w:tcW w:w="0" w:type="auto"/>
            <w:gridSpan w:val="3"/>
            <w:shd w:val="clear" w:color="auto" w:fill="auto"/>
            <w:vAlign w:val="bottom"/>
          </w:tcPr>
          <w:p w14:paraId="392C11D8" w14:textId="77777777" w:rsidR="00980E5F" w:rsidRDefault="00980E5F">
            <w:pPr>
              <w:rPr>
                <w:rFonts w:ascii="宋体"/>
                <w:vanish/>
              </w:rPr>
            </w:pPr>
          </w:p>
        </w:tc>
      </w:tr>
      <w:tr w:rsidR="00980E5F" w14:paraId="392C11E3" w14:textId="77777777">
        <w:trPr>
          <w:hidden/>
        </w:trPr>
        <w:tc>
          <w:tcPr>
            <w:tcW w:w="0" w:type="auto"/>
            <w:gridSpan w:val="3"/>
            <w:shd w:val="clear" w:color="auto" w:fill="auto"/>
            <w:vAlign w:val="bottom"/>
          </w:tcPr>
          <w:p w14:paraId="392C11DA" w14:textId="77777777" w:rsidR="00980E5F" w:rsidRDefault="00980E5F">
            <w:pPr>
              <w:rPr>
                <w:rFonts w:ascii="宋体"/>
                <w:vanish/>
              </w:rPr>
            </w:pPr>
          </w:p>
        </w:tc>
        <w:tc>
          <w:tcPr>
            <w:tcW w:w="0" w:type="auto"/>
            <w:gridSpan w:val="3"/>
            <w:shd w:val="clear" w:color="auto" w:fill="auto"/>
            <w:vAlign w:val="bottom"/>
          </w:tcPr>
          <w:p w14:paraId="392C11DB" w14:textId="77777777" w:rsidR="00980E5F" w:rsidRDefault="00980E5F">
            <w:pPr>
              <w:rPr>
                <w:rFonts w:ascii="宋体"/>
                <w:vanish/>
              </w:rPr>
            </w:pPr>
          </w:p>
        </w:tc>
        <w:tc>
          <w:tcPr>
            <w:tcW w:w="0" w:type="auto"/>
            <w:gridSpan w:val="3"/>
            <w:shd w:val="clear" w:color="auto" w:fill="auto"/>
            <w:vAlign w:val="bottom"/>
          </w:tcPr>
          <w:p w14:paraId="392C11DC" w14:textId="77777777" w:rsidR="00980E5F" w:rsidRDefault="00980E5F">
            <w:pPr>
              <w:rPr>
                <w:rFonts w:ascii="宋体"/>
                <w:vanish/>
              </w:rPr>
            </w:pPr>
          </w:p>
        </w:tc>
        <w:tc>
          <w:tcPr>
            <w:tcW w:w="0" w:type="auto"/>
            <w:gridSpan w:val="3"/>
            <w:shd w:val="clear" w:color="auto" w:fill="auto"/>
            <w:vAlign w:val="bottom"/>
          </w:tcPr>
          <w:p w14:paraId="392C11DD" w14:textId="77777777" w:rsidR="00980E5F" w:rsidRDefault="00980E5F">
            <w:pPr>
              <w:rPr>
                <w:rFonts w:ascii="宋体"/>
                <w:vanish/>
              </w:rPr>
            </w:pPr>
          </w:p>
        </w:tc>
        <w:tc>
          <w:tcPr>
            <w:tcW w:w="0" w:type="auto"/>
            <w:gridSpan w:val="3"/>
            <w:shd w:val="clear" w:color="auto" w:fill="auto"/>
            <w:vAlign w:val="bottom"/>
          </w:tcPr>
          <w:p w14:paraId="392C11DE" w14:textId="77777777" w:rsidR="00980E5F" w:rsidRDefault="00980E5F">
            <w:pPr>
              <w:rPr>
                <w:rFonts w:ascii="宋体"/>
                <w:vanish/>
              </w:rPr>
            </w:pPr>
          </w:p>
        </w:tc>
        <w:tc>
          <w:tcPr>
            <w:tcW w:w="0" w:type="auto"/>
            <w:gridSpan w:val="3"/>
            <w:shd w:val="clear" w:color="auto" w:fill="auto"/>
            <w:vAlign w:val="bottom"/>
          </w:tcPr>
          <w:p w14:paraId="392C11DF" w14:textId="77777777" w:rsidR="00980E5F" w:rsidRDefault="00980E5F">
            <w:pPr>
              <w:rPr>
                <w:rFonts w:ascii="宋体"/>
                <w:vanish/>
              </w:rPr>
            </w:pPr>
          </w:p>
        </w:tc>
        <w:tc>
          <w:tcPr>
            <w:tcW w:w="0" w:type="auto"/>
            <w:gridSpan w:val="3"/>
            <w:shd w:val="clear" w:color="auto" w:fill="auto"/>
            <w:vAlign w:val="bottom"/>
          </w:tcPr>
          <w:p w14:paraId="392C11E0" w14:textId="77777777" w:rsidR="00980E5F" w:rsidRDefault="00980E5F">
            <w:pPr>
              <w:rPr>
                <w:rFonts w:ascii="宋体"/>
                <w:vanish/>
              </w:rPr>
            </w:pPr>
          </w:p>
        </w:tc>
        <w:tc>
          <w:tcPr>
            <w:tcW w:w="0" w:type="auto"/>
            <w:gridSpan w:val="3"/>
            <w:shd w:val="clear" w:color="auto" w:fill="auto"/>
            <w:vAlign w:val="bottom"/>
          </w:tcPr>
          <w:p w14:paraId="392C11E1" w14:textId="77777777" w:rsidR="00980E5F" w:rsidRDefault="00980E5F">
            <w:pPr>
              <w:rPr>
                <w:rFonts w:ascii="宋体"/>
                <w:vanish/>
              </w:rPr>
            </w:pPr>
          </w:p>
        </w:tc>
        <w:tc>
          <w:tcPr>
            <w:tcW w:w="0" w:type="auto"/>
            <w:gridSpan w:val="3"/>
            <w:shd w:val="clear" w:color="auto" w:fill="auto"/>
            <w:vAlign w:val="bottom"/>
          </w:tcPr>
          <w:p w14:paraId="392C11E2" w14:textId="77777777" w:rsidR="00980E5F" w:rsidRDefault="00980E5F">
            <w:pPr>
              <w:rPr>
                <w:rFonts w:ascii="宋体"/>
                <w:vanish/>
              </w:rPr>
            </w:pPr>
          </w:p>
        </w:tc>
      </w:tr>
      <w:tr w:rsidR="00980E5F" w14:paraId="392C11EF" w14:textId="77777777">
        <w:tc>
          <w:tcPr>
            <w:tcW w:w="0" w:type="auto"/>
            <w:gridSpan w:val="3"/>
            <w:shd w:val="clear" w:color="auto" w:fill="CCEEFF"/>
            <w:tcMar>
              <w:top w:w="40" w:type="dxa"/>
              <w:left w:w="140" w:type="dxa"/>
              <w:bottom w:w="40" w:type="dxa"/>
              <w:right w:w="20" w:type="dxa"/>
            </w:tcMar>
            <w:vAlign w:val="bottom"/>
          </w:tcPr>
          <w:p w14:paraId="392C11E4" w14:textId="77777777" w:rsidR="00980E5F" w:rsidRDefault="00483613">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11E5" w14:textId="77777777" w:rsidR="00980E5F" w:rsidRDefault="00483613">
            <w:pPr>
              <w:jc w:val="right"/>
              <w:textAlignment w:val="bottom"/>
            </w:pPr>
            <w:r>
              <w:rPr>
                <w:rFonts w:ascii="Arial" w:eastAsia="宋体" w:hAnsi="Arial" w:cs="Arial"/>
                <w:b/>
                <w:bCs/>
                <w:color w:val="000000"/>
                <w:sz w:val="14"/>
                <w:szCs w:val="14"/>
              </w:rPr>
              <w:t>6,443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1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1E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1E8" w14:textId="77777777" w:rsidR="00980E5F" w:rsidRDefault="00483613">
            <w:pPr>
              <w:jc w:val="right"/>
              <w:textAlignment w:val="bottom"/>
            </w:pPr>
            <w:r>
              <w:rPr>
                <w:rFonts w:ascii="Arial" w:eastAsia="宋体" w:hAnsi="Arial" w:cs="Arial"/>
                <w:color w:val="000000"/>
                <w:sz w:val="14"/>
                <w:szCs w:val="14"/>
              </w:rPr>
              <w:t>1,564 </w:t>
            </w:r>
          </w:p>
        </w:tc>
        <w:tc>
          <w:tcPr>
            <w:tcW w:w="0" w:type="auto"/>
            <w:shd w:val="clear" w:color="auto" w:fill="CCEEFF"/>
            <w:tcMar>
              <w:top w:w="40" w:type="dxa"/>
              <w:left w:w="0" w:type="dxa"/>
              <w:bottom w:w="40" w:type="dxa"/>
              <w:right w:w="20" w:type="dxa"/>
            </w:tcMar>
            <w:vAlign w:val="bottom"/>
          </w:tcPr>
          <w:p w14:paraId="392C11E9" w14:textId="77777777" w:rsidR="00980E5F" w:rsidRDefault="00980E5F">
            <w:pPr>
              <w:jc w:val="right"/>
              <w:rPr>
                <w:rFonts w:ascii="宋体"/>
              </w:rPr>
            </w:pPr>
          </w:p>
        </w:tc>
        <w:tc>
          <w:tcPr>
            <w:tcW w:w="0" w:type="auto"/>
            <w:gridSpan w:val="3"/>
            <w:shd w:val="clear" w:color="auto" w:fill="auto"/>
            <w:vAlign w:val="bottom"/>
          </w:tcPr>
          <w:p w14:paraId="392C11EA" w14:textId="77777777" w:rsidR="00980E5F" w:rsidRDefault="00980E5F">
            <w:pPr>
              <w:rPr>
                <w:rFonts w:ascii="宋体"/>
                <w:vanish/>
              </w:rPr>
            </w:pPr>
          </w:p>
        </w:tc>
        <w:tc>
          <w:tcPr>
            <w:tcW w:w="0" w:type="auto"/>
            <w:gridSpan w:val="3"/>
            <w:shd w:val="clear" w:color="auto" w:fill="auto"/>
            <w:vAlign w:val="bottom"/>
          </w:tcPr>
          <w:p w14:paraId="392C11EB" w14:textId="77777777" w:rsidR="00980E5F" w:rsidRDefault="00980E5F">
            <w:pPr>
              <w:rPr>
                <w:rFonts w:ascii="宋体"/>
                <w:vanish/>
              </w:rPr>
            </w:pPr>
          </w:p>
        </w:tc>
        <w:tc>
          <w:tcPr>
            <w:tcW w:w="0" w:type="auto"/>
            <w:gridSpan w:val="3"/>
            <w:shd w:val="clear" w:color="auto" w:fill="auto"/>
            <w:vAlign w:val="bottom"/>
          </w:tcPr>
          <w:p w14:paraId="392C11EC" w14:textId="77777777" w:rsidR="00980E5F" w:rsidRDefault="00980E5F">
            <w:pPr>
              <w:rPr>
                <w:rFonts w:ascii="宋体"/>
                <w:vanish/>
              </w:rPr>
            </w:pPr>
          </w:p>
        </w:tc>
        <w:tc>
          <w:tcPr>
            <w:tcW w:w="0" w:type="auto"/>
            <w:gridSpan w:val="3"/>
            <w:shd w:val="clear" w:color="auto" w:fill="auto"/>
            <w:vAlign w:val="bottom"/>
          </w:tcPr>
          <w:p w14:paraId="392C11ED" w14:textId="77777777" w:rsidR="00980E5F" w:rsidRDefault="00980E5F">
            <w:pPr>
              <w:rPr>
                <w:rFonts w:ascii="宋体"/>
                <w:vanish/>
              </w:rPr>
            </w:pPr>
          </w:p>
        </w:tc>
        <w:tc>
          <w:tcPr>
            <w:tcW w:w="0" w:type="auto"/>
            <w:gridSpan w:val="3"/>
            <w:shd w:val="clear" w:color="auto" w:fill="auto"/>
            <w:vAlign w:val="bottom"/>
          </w:tcPr>
          <w:p w14:paraId="392C11EE" w14:textId="77777777" w:rsidR="00980E5F" w:rsidRDefault="00980E5F">
            <w:pPr>
              <w:rPr>
                <w:rFonts w:ascii="宋体"/>
                <w:vanish/>
              </w:rPr>
            </w:pPr>
          </w:p>
        </w:tc>
      </w:tr>
      <w:tr w:rsidR="00980E5F" w14:paraId="392C11F9" w14:textId="77777777">
        <w:trPr>
          <w:hidden/>
        </w:trPr>
        <w:tc>
          <w:tcPr>
            <w:tcW w:w="0" w:type="auto"/>
            <w:gridSpan w:val="3"/>
            <w:shd w:val="clear" w:color="auto" w:fill="auto"/>
            <w:vAlign w:val="bottom"/>
          </w:tcPr>
          <w:p w14:paraId="392C11F0" w14:textId="77777777" w:rsidR="00980E5F" w:rsidRDefault="00980E5F">
            <w:pPr>
              <w:rPr>
                <w:rFonts w:ascii="宋体"/>
                <w:vanish/>
              </w:rPr>
            </w:pPr>
          </w:p>
        </w:tc>
        <w:tc>
          <w:tcPr>
            <w:tcW w:w="0" w:type="auto"/>
            <w:gridSpan w:val="3"/>
            <w:shd w:val="clear" w:color="auto" w:fill="auto"/>
            <w:vAlign w:val="bottom"/>
          </w:tcPr>
          <w:p w14:paraId="392C11F1" w14:textId="77777777" w:rsidR="00980E5F" w:rsidRDefault="00980E5F">
            <w:pPr>
              <w:rPr>
                <w:rFonts w:ascii="宋体"/>
                <w:vanish/>
              </w:rPr>
            </w:pPr>
          </w:p>
        </w:tc>
        <w:tc>
          <w:tcPr>
            <w:tcW w:w="0" w:type="auto"/>
            <w:gridSpan w:val="3"/>
            <w:shd w:val="clear" w:color="auto" w:fill="auto"/>
            <w:vAlign w:val="bottom"/>
          </w:tcPr>
          <w:p w14:paraId="392C11F2" w14:textId="77777777" w:rsidR="00980E5F" w:rsidRDefault="00980E5F">
            <w:pPr>
              <w:rPr>
                <w:rFonts w:ascii="宋体"/>
                <w:vanish/>
              </w:rPr>
            </w:pPr>
          </w:p>
        </w:tc>
        <w:tc>
          <w:tcPr>
            <w:tcW w:w="0" w:type="auto"/>
            <w:gridSpan w:val="3"/>
            <w:shd w:val="clear" w:color="auto" w:fill="auto"/>
            <w:vAlign w:val="bottom"/>
          </w:tcPr>
          <w:p w14:paraId="392C11F3" w14:textId="77777777" w:rsidR="00980E5F" w:rsidRDefault="00980E5F">
            <w:pPr>
              <w:rPr>
                <w:rFonts w:ascii="宋体"/>
                <w:vanish/>
              </w:rPr>
            </w:pPr>
          </w:p>
        </w:tc>
        <w:tc>
          <w:tcPr>
            <w:tcW w:w="0" w:type="auto"/>
            <w:gridSpan w:val="3"/>
            <w:shd w:val="clear" w:color="auto" w:fill="auto"/>
            <w:vAlign w:val="bottom"/>
          </w:tcPr>
          <w:p w14:paraId="392C11F4" w14:textId="77777777" w:rsidR="00980E5F" w:rsidRDefault="00980E5F">
            <w:pPr>
              <w:rPr>
                <w:rFonts w:ascii="宋体"/>
                <w:vanish/>
              </w:rPr>
            </w:pPr>
          </w:p>
        </w:tc>
        <w:tc>
          <w:tcPr>
            <w:tcW w:w="0" w:type="auto"/>
            <w:gridSpan w:val="3"/>
            <w:shd w:val="clear" w:color="auto" w:fill="auto"/>
            <w:vAlign w:val="bottom"/>
          </w:tcPr>
          <w:p w14:paraId="392C11F5" w14:textId="77777777" w:rsidR="00980E5F" w:rsidRDefault="00980E5F">
            <w:pPr>
              <w:rPr>
                <w:rFonts w:ascii="宋体"/>
                <w:vanish/>
              </w:rPr>
            </w:pPr>
          </w:p>
        </w:tc>
        <w:tc>
          <w:tcPr>
            <w:tcW w:w="0" w:type="auto"/>
            <w:gridSpan w:val="3"/>
            <w:shd w:val="clear" w:color="auto" w:fill="auto"/>
            <w:vAlign w:val="bottom"/>
          </w:tcPr>
          <w:p w14:paraId="392C11F6" w14:textId="77777777" w:rsidR="00980E5F" w:rsidRDefault="00980E5F">
            <w:pPr>
              <w:rPr>
                <w:rFonts w:ascii="宋体"/>
                <w:vanish/>
              </w:rPr>
            </w:pPr>
          </w:p>
        </w:tc>
        <w:tc>
          <w:tcPr>
            <w:tcW w:w="0" w:type="auto"/>
            <w:gridSpan w:val="3"/>
            <w:shd w:val="clear" w:color="auto" w:fill="auto"/>
            <w:vAlign w:val="bottom"/>
          </w:tcPr>
          <w:p w14:paraId="392C11F7" w14:textId="77777777" w:rsidR="00980E5F" w:rsidRDefault="00980E5F">
            <w:pPr>
              <w:rPr>
                <w:rFonts w:ascii="宋体"/>
                <w:vanish/>
              </w:rPr>
            </w:pPr>
          </w:p>
        </w:tc>
        <w:tc>
          <w:tcPr>
            <w:tcW w:w="0" w:type="auto"/>
            <w:gridSpan w:val="3"/>
            <w:shd w:val="clear" w:color="auto" w:fill="auto"/>
            <w:vAlign w:val="bottom"/>
          </w:tcPr>
          <w:p w14:paraId="392C11F8" w14:textId="77777777" w:rsidR="00980E5F" w:rsidRDefault="00980E5F">
            <w:pPr>
              <w:rPr>
                <w:rFonts w:ascii="宋体"/>
                <w:vanish/>
              </w:rPr>
            </w:pPr>
          </w:p>
        </w:tc>
      </w:tr>
      <w:tr w:rsidR="00980E5F" w14:paraId="392C1205" w14:textId="77777777">
        <w:tc>
          <w:tcPr>
            <w:tcW w:w="0" w:type="auto"/>
            <w:gridSpan w:val="3"/>
            <w:shd w:val="clear" w:color="auto" w:fill="FFFFFF"/>
            <w:tcMar>
              <w:top w:w="40" w:type="dxa"/>
              <w:left w:w="140" w:type="dxa"/>
              <w:bottom w:w="40" w:type="dxa"/>
              <w:right w:w="20" w:type="dxa"/>
            </w:tcMar>
            <w:vAlign w:val="bottom"/>
          </w:tcPr>
          <w:p w14:paraId="392C11FA" w14:textId="77777777" w:rsidR="00980E5F" w:rsidRDefault="00483613">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1FB" w14:textId="77777777" w:rsidR="00980E5F" w:rsidRDefault="00483613">
            <w:pPr>
              <w:jc w:val="right"/>
              <w:textAlignment w:val="bottom"/>
            </w:pPr>
            <w:r>
              <w:rPr>
                <w:rFonts w:ascii="Arial" w:eastAsia="宋体" w:hAnsi="Arial" w:cs="Arial"/>
                <w:b/>
                <w:bCs/>
                <w:color w:val="000000"/>
                <w:sz w:val="14"/>
                <w:szCs w:val="14"/>
              </w:rPr>
              <w:t>6,443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F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1F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1FE" w14:textId="77777777" w:rsidR="00980E5F" w:rsidRDefault="00483613">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1FF" w14:textId="77777777" w:rsidR="00980E5F" w:rsidRDefault="00980E5F">
            <w:pPr>
              <w:jc w:val="right"/>
              <w:rPr>
                <w:rFonts w:ascii="宋体"/>
              </w:rPr>
            </w:pPr>
          </w:p>
        </w:tc>
        <w:tc>
          <w:tcPr>
            <w:tcW w:w="0" w:type="auto"/>
            <w:gridSpan w:val="3"/>
            <w:shd w:val="clear" w:color="auto" w:fill="auto"/>
            <w:vAlign w:val="bottom"/>
          </w:tcPr>
          <w:p w14:paraId="392C1200" w14:textId="77777777" w:rsidR="00980E5F" w:rsidRDefault="00980E5F">
            <w:pPr>
              <w:rPr>
                <w:rFonts w:ascii="宋体"/>
                <w:vanish/>
              </w:rPr>
            </w:pPr>
          </w:p>
        </w:tc>
        <w:tc>
          <w:tcPr>
            <w:tcW w:w="0" w:type="auto"/>
            <w:gridSpan w:val="3"/>
            <w:shd w:val="clear" w:color="auto" w:fill="auto"/>
            <w:vAlign w:val="bottom"/>
          </w:tcPr>
          <w:p w14:paraId="392C1201" w14:textId="77777777" w:rsidR="00980E5F" w:rsidRDefault="00980E5F">
            <w:pPr>
              <w:rPr>
                <w:rFonts w:ascii="宋体"/>
                <w:vanish/>
              </w:rPr>
            </w:pPr>
          </w:p>
        </w:tc>
        <w:tc>
          <w:tcPr>
            <w:tcW w:w="0" w:type="auto"/>
            <w:gridSpan w:val="3"/>
            <w:shd w:val="clear" w:color="auto" w:fill="auto"/>
            <w:vAlign w:val="bottom"/>
          </w:tcPr>
          <w:p w14:paraId="392C1202" w14:textId="77777777" w:rsidR="00980E5F" w:rsidRDefault="00980E5F">
            <w:pPr>
              <w:rPr>
                <w:rFonts w:ascii="宋体"/>
                <w:vanish/>
              </w:rPr>
            </w:pPr>
          </w:p>
        </w:tc>
        <w:tc>
          <w:tcPr>
            <w:tcW w:w="0" w:type="auto"/>
            <w:gridSpan w:val="3"/>
            <w:shd w:val="clear" w:color="auto" w:fill="auto"/>
            <w:vAlign w:val="bottom"/>
          </w:tcPr>
          <w:p w14:paraId="392C1203" w14:textId="77777777" w:rsidR="00980E5F" w:rsidRDefault="00980E5F">
            <w:pPr>
              <w:rPr>
                <w:rFonts w:ascii="宋体"/>
                <w:vanish/>
              </w:rPr>
            </w:pPr>
          </w:p>
        </w:tc>
        <w:tc>
          <w:tcPr>
            <w:tcW w:w="0" w:type="auto"/>
            <w:gridSpan w:val="3"/>
            <w:shd w:val="clear" w:color="auto" w:fill="auto"/>
            <w:vAlign w:val="bottom"/>
          </w:tcPr>
          <w:p w14:paraId="392C1204" w14:textId="77777777" w:rsidR="00980E5F" w:rsidRDefault="00980E5F">
            <w:pPr>
              <w:rPr>
                <w:rFonts w:ascii="宋体"/>
                <w:vanish/>
              </w:rPr>
            </w:pPr>
          </w:p>
        </w:tc>
      </w:tr>
      <w:tr w:rsidR="00980E5F" w14:paraId="392C120F" w14:textId="77777777">
        <w:tc>
          <w:tcPr>
            <w:tcW w:w="0" w:type="auto"/>
            <w:gridSpan w:val="3"/>
            <w:shd w:val="clear" w:color="auto" w:fill="CCEEFF"/>
            <w:tcMar>
              <w:top w:w="40" w:type="dxa"/>
              <w:left w:w="20" w:type="dxa"/>
              <w:bottom w:w="40" w:type="dxa"/>
              <w:right w:w="20" w:type="dxa"/>
            </w:tcMar>
            <w:vAlign w:val="bottom"/>
          </w:tcPr>
          <w:p w14:paraId="392C1206"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120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208"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1209" w14:textId="77777777" w:rsidR="00980E5F" w:rsidRDefault="00980E5F">
            <w:pPr>
              <w:rPr>
                <w:rFonts w:ascii="宋体"/>
              </w:rPr>
            </w:pPr>
          </w:p>
        </w:tc>
        <w:tc>
          <w:tcPr>
            <w:tcW w:w="0" w:type="auto"/>
            <w:gridSpan w:val="3"/>
            <w:shd w:val="clear" w:color="auto" w:fill="auto"/>
            <w:vAlign w:val="bottom"/>
          </w:tcPr>
          <w:p w14:paraId="392C120A" w14:textId="77777777" w:rsidR="00980E5F" w:rsidRDefault="00980E5F">
            <w:pPr>
              <w:rPr>
                <w:rFonts w:ascii="宋体"/>
                <w:vanish/>
              </w:rPr>
            </w:pPr>
          </w:p>
        </w:tc>
        <w:tc>
          <w:tcPr>
            <w:tcW w:w="0" w:type="auto"/>
            <w:gridSpan w:val="3"/>
            <w:shd w:val="clear" w:color="auto" w:fill="auto"/>
            <w:vAlign w:val="bottom"/>
          </w:tcPr>
          <w:p w14:paraId="392C120B" w14:textId="77777777" w:rsidR="00980E5F" w:rsidRDefault="00980E5F">
            <w:pPr>
              <w:rPr>
                <w:rFonts w:ascii="宋体"/>
                <w:vanish/>
              </w:rPr>
            </w:pPr>
          </w:p>
        </w:tc>
        <w:tc>
          <w:tcPr>
            <w:tcW w:w="0" w:type="auto"/>
            <w:gridSpan w:val="3"/>
            <w:shd w:val="clear" w:color="auto" w:fill="auto"/>
            <w:vAlign w:val="bottom"/>
          </w:tcPr>
          <w:p w14:paraId="392C120C" w14:textId="77777777" w:rsidR="00980E5F" w:rsidRDefault="00980E5F">
            <w:pPr>
              <w:rPr>
                <w:rFonts w:ascii="宋体"/>
                <w:vanish/>
              </w:rPr>
            </w:pPr>
          </w:p>
        </w:tc>
        <w:tc>
          <w:tcPr>
            <w:tcW w:w="0" w:type="auto"/>
            <w:gridSpan w:val="3"/>
            <w:shd w:val="clear" w:color="auto" w:fill="auto"/>
            <w:vAlign w:val="bottom"/>
          </w:tcPr>
          <w:p w14:paraId="392C120D" w14:textId="77777777" w:rsidR="00980E5F" w:rsidRDefault="00980E5F">
            <w:pPr>
              <w:rPr>
                <w:rFonts w:ascii="宋体"/>
                <w:vanish/>
              </w:rPr>
            </w:pPr>
          </w:p>
        </w:tc>
        <w:tc>
          <w:tcPr>
            <w:tcW w:w="0" w:type="auto"/>
            <w:gridSpan w:val="3"/>
            <w:shd w:val="clear" w:color="auto" w:fill="auto"/>
            <w:vAlign w:val="bottom"/>
          </w:tcPr>
          <w:p w14:paraId="392C120E" w14:textId="77777777" w:rsidR="00980E5F" w:rsidRDefault="00980E5F">
            <w:pPr>
              <w:rPr>
                <w:rFonts w:ascii="宋体"/>
                <w:vanish/>
              </w:rPr>
            </w:pPr>
          </w:p>
        </w:tc>
      </w:tr>
      <w:tr w:rsidR="00980E5F" w14:paraId="392C121B" w14:textId="77777777">
        <w:tc>
          <w:tcPr>
            <w:tcW w:w="0" w:type="auto"/>
            <w:gridSpan w:val="3"/>
            <w:shd w:val="clear" w:color="auto" w:fill="FFFFFF"/>
            <w:tcMar>
              <w:top w:w="40" w:type="dxa"/>
              <w:left w:w="20" w:type="dxa"/>
              <w:bottom w:w="40" w:type="dxa"/>
              <w:right w:w="20" w:type="dxa"/>
            </w:tcMar>
            <w:vAlign w:val="bottom"/>
          </w:tcPr>
          <w:p w14:paraId="392C1210" w14:textId="77777777" w:rsidR="00980E5F" w:rsidRDefault="00483613">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1211" w14:textId="77777777" w:rsidR="00980E5F" w:rsidRDefault="00483613">
            <w:pPr>
              <w:jc w:val="right"/>
              <w:textAlignment w:val="bottom"/>
            </w:pPr>
            <w:r>
              <w:rPr>
                <w:rFonts w:ascii="Arial" w:eastAsia="宋体" w:hAnsi="Arial" w:cs="Arial"/>
                <w:b/>
                <w:bCs/>
                <w:color w:val="000000"/>
                <w:sz w:val="14"/>
                <w:szCs w:val="14"/>
              </w:rPr>
              <w:t>4,468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2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2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214" w14:textId="77777777" w:rsidR="00980E5F" w:rsidRDefault="00483613">
            <w:pPr>
              <w:jc w:val="right"/>
              <w:textAlignment w:val="bottom"/>
            </w:pPr>
            <w:r>
              <w:rPr>
                <w:rFonts w:ascii="Arial" w:eastAsia="宋体" w:hAnsi="Arial" w:cs="Arial"/>
                <w:color w:val="000000"/>
                <w:sz w:val="14"/>
                <w:szCs w:val="14"/>
              </w:rPr>
              <w:t>4,908 </w:t>
            </w:r>
          </w:p>
        </w:tc>
        <w:tc>
          <w:tcPr>
            <w:tcW w:w="0" w:type="auto"/>
            <w:shd w:val="clear" w:color="auto" w:fill="FFFFFF"/>
            <w:tcMar>
              <w:top w:w="40" w:type="dxa"/>
              <w:left w:w="0" w:type="dxa"/>
              <w:bottom w:w="40" w:type="dxa"/>
              <w:right w:w="20" w:type="dxa"/>
            </w:tcMar>
            <w:vAlign w:val="bottom"/>
          </w:tcPr>
          <w:p w14:paraId="392C1215" w14:textId="77777777" w:rsidR="00980E5F" w:rsidRDefault="00980E5F">
            <w:pPr>
              <w:jc w:val="right"/>
              <w:rPr>
                <w:rFonts w:ascii="宋体"/>
              </w:rPr>
            </w:pPr>
          </w:p>
        </w:tc>
        <w:tc>
          <w:tcPr>
            <w:tcW w:w="0" w:type="auto"/>
            <w:gridSpan w:val="3"/>
            <w:shd w:val="clear" w:color="auto" w:fill="auto"/>
            <w:vAlign w:val="bottom"/>
          </w:tcPr>
          <w:p w14:paraId="392C1216" w14:textId="77777777" w:rsidR="00980E5F" w:rsidRDefault="00980E5F">
            <w:pPr>
              <w:rPr>
                <w:rFonts w:ascii="宋体"/>
                <w:vanish/>
              </w:rPr>
            </w:pPr>
          </w:p>
        </w:tc>
        <w:tc>
          <w:tcPr>
            <w:tcW w:w="0" w:type="auto"/>
            <w:gridSpan w:val="3"/>
            <w:shd w:val="clear" w:color="auto" w:fill="auto"/>
            <w:vAlign w:val="bottom"/>
          </w:tcPr>
          <w:p w14:paraId="392C1217" w14:textId="77777777" w:rsidR="00980E5F" w:rsidRDefault="00980E5F">
            <w:pPr>
              <w:rPr>
                <w:rFonts w:ascii="宋体"/>
                <w:vanish/>
              </w:rPr>
            </w:pPr>
          </w:p>
        </w:tc>
        <w:tc>
          <w:tcPr>
            <w:tcW w:w="0" w:type="auto"/>
            <w:gridSpan w:val="3"/>
            <w:shd w:val="clear" w:color="auto" w:fill="auto"/>
            <w:vAlign w:val="bottom"/>
          </w:tcPr>
          <w:p w14:paraId="392C1218" w14:textId="77777777" w:rsidR="00980E5F" w:rsidRDefault="00980E5F">
            <w:pPr>
              <w:rPr>
                <w:rFonts w:ascii="宋体"/>
                <w:vanish/>
              </w:rPr>
            </w:pPr>
          </w:p>
        </w:tc>
        <w:tc>
          <w:tcPr>
            <w:tcW w:w="0" w:type="auto"/>
            <w:gridSpan w:val="3"/>
            <w:shd w:val="clear" w:color="auto" w:fill="auto"/>
            <w:vAlign w:val="bottom"/>
          </w:tcPr>
          <w:p w14:paraId="392C1219" w14:textId="77777777" w:rsidR="00980E5F" w:rsidRDefault="00980E5F">
            <w:pPr>
              <w:rPr>
                <w:rFonts w:ascii="宋体"/>
                <w:vanish/>
              </w:rPr>
            </w:pPr>
          </w:p>
        </w:tc>
        <w:tc>
          <w:tcPr>
            <w:tcW w:w="0" w:type="auto"/>
            <w:gridSpan w:val="3"/>
            <w:shd w:val="clear" w:color="auto" w:fill="auto"/>
            <w:vAlign w:val="bottom"/>
          </w:tcPr>
          <w:p w14:paraId="392C121A" w14:textId="77777777" w:rsidR="00980E5F" w:rsidRDefault="00980E5F">
            <w:pPr>
              <w:rPr>
                <w:rFonts w:ascii="宋体"/>
                <w:vanish/>
              </w:rPr>
            </w:pPr>
          </w:p>
        </w:tc>
      </w:tr>
      <w:tr w:rsidR="00980E5F" w14:paraId="392C1225" w14:textId="77777777">
        <w:trPr>
          <w:hidden/>
        </w:trPr>
        <w:tc>
          <w:tcPr>
            <w:tcW w:w="0" w:type="auto"/>
            <w:gridSpan w:val="3"/>
            <w:shd w:val="clear" w:color="auto" w:fill="auto"/>
            <w:vAlign w:val="bottom"/>
          </w:tcPr>
          <w:p w14:paraId="392C121C" w14:textId="77777777" w:rsidR="00980E5F" w:rsidRDefault="00980E5F">
            <w:pPr>
              <w:rPr>
                <w:rFonts w:ascii="宋体"/>
                <w:vanish/>
              </w:rPr>
            </w:pPr>
          </w:p>
        </w:tc>
        <w:tc>
          <w:tcPr>
            <w:tcW w:w="0" w:type="auto"/>
            <w:gridSpan w:val="3"/>
            <w:shd w:val="clear" w:color="auto" w:fill="auto"/>
            <w:vAlign w:val="bottom"/>
          </w:tcPr>
          <w:p w14:paraId="392C121D" w14:textId="77777777" w:rsidR="00980E5F" w:rsidRDefault="00980E5F">
            <w:pPr>
              <w:rPr>
                <w:rFonts w:ascii="宋体"/>
                <w:vanish/>
              </w:rPr>
            </w:pPr>
          </w:p>
        </w:tc>
        <w:tc>
          <w:tcPr>
            <w:tcW w:w="0" w:type="auto"/>
            <w:gridSpan w:val="3"/>
            <w:shd w:val="clear" w:color="auto" w:fill="auto"/>
            <w:vAlign w:val="bottom"/>
          </w:tcPr>
          <w:p w14:paraId="392C121E" w14:textId="77777777" w:rsidR="00980E5F" w:rsidRDefault="00980E5F">
            <w:pPr>
              <w:rPr>
                <w:rFonts w:ascii="宋体"/>
                <w:vanish/>
              </w:rPr>
            </w:pPr>
          </w:p>
        </w:tc>
        <w:tc>
          <w:tcPr>
            <w:tcW w:w="0" w:type="auto"/>
            <w:gridSpan w:val="3"/>
            <w:shd w:val="clear" w:color="auto" w:fill="auto"/>
            <w:vAlign w:val="bottom"/>
          </w:tcPr>
          <w:p w14:paraId="392C121F" w14:textId="77777777" w:rsidR="00980E5F" w:rsidRDefault="00980E5F">
            <w:pPr>
              <w:rPr>
                <w:rFonts w:ascii="宋体"/>
                <w:vanish/>
              </w:rPr>
            </w:pPr>
          </w:p>
        </w:tc>
        <w:tc>
          <w:tcPr>
            <w:tcW w:w="0" w:type="auto"/>
            <w:gridSpan w:val="3"/>
            <w:shd w:val="clear" w:color="auto" w:fill="auto"/>
            <w:vAlign w:val="bottom"/>
          </w:tcPr>
          <w:p w14:paraId="392C1220" w14:textId="77777777" w:rsidR="00980E5F" w:rsidRDefault="00980E5F">
            <w:pPr>
              <w:rPr>
                <w:rFonts w:ascii="宋体"/>
                <w:vanish/>
              </w:rPr>
            </w:pPr>
          </w:p>
        </w:tc>
        <w:tc>
          <w:tcPr>
            <w:tcW w:w="0" w:type="auto"/>
            <w:gridSpan w:val="3"/>
            <w:shd w:val="clear" w:color="auto" w:fill="auto"/>
            <w:vAlign w:val="bottom"/>
          </w:tcPr>
          <w:p w14:paraId="392C1221" w14:textId="77777777" w:rsidR="00980E5F" w:rsidRDefault="00980E5F">
            <w:pPr>
              <w:rPr>
                <w:rFonts w:ascii="宋体"/>
                <w:vanish/>
              </w:rPr>
            </w:pPr>
          </w:p>
        </w:tc>
        <w:tc>
          <w:tcPr>
            <w:tcW w:w="0" w:type="auto"/>
            <w:gridSpan w:val="3"/>
            <w:shd w:val="clear" w:color="auto" w:fill="auto"/>
            <w:vAlign w:val="bottom"/>
          </w:tcPr>
          <w:p w14:paraId="392C1222" w14:textId="77777777" w:rsidR="00980E5F" w:rsidRDefault="00980E5F">
            <w:pPr>
              <w:rPr>
                <w:rFonts w:ascii="宋体"/>
                <w:vanish/>
              </w:rPr>
            </w:pPr>
          </w:p>
        </w:tc>
        <w:tc>
          <w:tcPr>
            <w:tcW w:w="0" w:type="auto"/>
            <w:gridSpan w:val="3"/>
            <w:shd w:val="clear" w:color="auto" w:fill="auto"/>
            <w:vAlign w:val="bottom"/>
          </w:tcPr>
          <w:p w14:paraId="392C1223" w14:textId="77777777" w:rsidR="00980E5F" w:rsidRDefault="00980E5F">
            <w:pPr>
              <w:rPr>
                <w:rFonts w:ascii="宋体"/>
                <w:vanish/>
              </w:rPr>
            </w:pPr>
          </w:p>
        </w:tc>
        <w:tc>
          <w:tcPr>
            <w:tcW w:w="0" w:type="auto"/>
            <w:gridSpan w:val="3"/>
            <w:shd w:val="clear" w:color="auto" w:fill="auto"/>
            <w:vAlign w:val="bottom"/>
          </w:tcPr>
          <w:p w14:paraId="392C1224" w14:textId="77777777" w:rsidR="00980E5F" w:rsidRDefault="00980E5F">
            <w:pPr>
              <w:rPr>
                <w:rFonts w:ascii="宋体"/>
                <w:vanish/>
              </w:rPr>
            </w:pPr>
          </w:p>
        </w:tc>
      </w:tr>
      <w:tr w:rsidR="00980E5F" w14:paraId="392C122F" w14:textId="77777777">
        <w:trPr>
          <w:hidden/>
        </w:trPr>
        <w:tc>
          <w:tcPr>
            <w:tcW w:w="0" w:type="auto"/>
            <w:gridSpan w:val="3"/>
            <w:shd w:val="clear" w:color="auto" w:fill="auto"/>
            <w:vAlign w:val="bottom"/>
          </w:tcPr>
          <w:p w14:paraId="392C1226" w14:textId="77777777" w:rsidR="00980E5F" w:rsidRDefault="00980E5F">
            <w:pPr>
              <w:rPr>
                <w:rFonts w:ascii="宋体"/>
                <w:vanish/>
              </w:rPr>
            </w:pPr>
          </w:p>
        </w:tc>
        <w:tc>
          <w:tcPr>
            <w:tcW w:w="0" w:type="auto"/>
            <w:gridSpan w:val="3"/>
            <w:shd w:val="clear" w:color="auto" w:fill="auto"/>
            <w:vAlign w:val="bottom"/>
          </w:tcPr>
          <w:p w14:paraId="392C1227" w14:textId="77777777" w:rsidR="00980E5F" w:rsidRDefault="00980E5F">
            <w:pPr>
              <w:rPr>
                <w:rFonts w:ascii="宋体"/>
                <w:vanish/>
              </w:rPr>
            </w:pPr>
          </w:p>
        </w:tc>
        <w:tc>
          <w:tcPr>
            <w:tcW w:w="0" w:type="auto"/>
            <w:gridSpan w:val="3"/>
            <w:shd w:val="clear" w:color="auto" w:fill="auto"/>
            <w:vAlign w:val="bottom"/>
          </w:tcPr>
          <w:p w14:paraId="392C1228" w14:textId="77777777" w:rsidR="00980E5F" w:rsidRDefault="00980E5F">
            <w:pPr>
              <w:rPr>
                <w:rFonts w:ascii="宋体"/>
                <w:vanish/>
              </w:rPr>
            </w:pPr>
          </w:p>
        </w:tc>
        <w:tc>
          <w:tcPr>
            <w:tcW w:w="0" w:type="auto"/>
            <w:gridSpan w:val="3"/>
            <w:shd w:val="clear" w:color="auto" w:fill="auto"/>
            <w:vAlign w:val="bottom"/>
          </w:tcPr>
          <w:p w14:paraId="392C1229" w14:textId="77777777" w:rsidR="00980E5F" w:rsidRDefault="00980E5F">
            <w:pPr>
              <w:rPr>
                <w:rFonts w:ascii="宋体"/>
                <w:vanish/>
              </w:rPr>
            </w:pPr>
          </w:p>
        </w:tc>
        <w:tc>
          <w:tcPr>
            <w:tcW w:w="0" w:type="auto"/>
            <w:gridSpan w:val="3"/>
            <w:shd w:val="clear" w:color="auto" w:fill="auto"/>
            <w:vAlign w:val="bottom"/>
          </w:tcPr>
          <w:p w14:paraId="392C122A" w14:textId="77777777" w:rsidR="00980E5F" w:rsidRDefault="00980E5F">
            <w:pPr>
              <w:rPr>
                <w:rFonts w:ascii="宋体"/>
                <w:vanish/>
              </w:rPr>
            </w:pPr>
          </w:p>
        </w:tc>
        <w:tc>
          <w:tcPr>
            <w:tcW w:w="0" w:type="auto"/>
            <w:gridSpan w:val="3"/>
            <w:shd w:val="clear" w:color="auto" w:fill="auto"/>
            <w:vAlign w:val="bottom"/>
          </w:tcPr>
          <w:p w14:paraId="392C122B" w14:textId="77777777" w:rsidR="00980E5F" w:rsidRDefault="00980E5F">
            <w:pPr>
              <w:rPr>
                <w:rFonts w:ascii="宋体"/>
                <w:vanish/>
              </w:rPr>
            </w:pPr>
          </w:p>
        </w:tc>
        <w:tc>
          <w:tcPr>
            <w:tcW w:w="0" w:type="auto"/>
            <w:gridSpan w:val="3"/>
            <w:shd w:val="clear" w:color="auto" w:fill="auto"/>
            <w:vAlign w:val="bottom"/>
          </w:tcPr>
          <w:p w14:paraId="392C122C" w14:textId="77777777" w:rsidR="00980E5F" w:rsidRDefault="00980E5F">
            <w:pPr>
              <w:rPr>
                <w:rFonts w:ascii="宋体"/>
                <w:vanish/>
              </w:rPr>
            </w:pPr>
          </w:p>
        </w:tc>
        <w:tc>
          <w:tcPr>
            <w:tcW w:w="0" w:type="auto"/>
            <w:gridSpan w:val="3"/>
            <w:shd w:val="clear" w:color="auto" w:fill="auto"/>
            <w:vAlign w:val="bottom"/>
          </w:tcPr>
          <w:p w14:paraId="392C122D" w14:textId="77777777" w:rsidR="00980E5F" w:rsidRDefault="00980E5F">
            <w:pPr>
              <w:rPr>
                <w:rFonts w:ascii="宋体"/>
                <w:vanish/>
              </w:rPr>
            </w:pPr>
          </w:p>
        </w:tc>
        <w:tc>
          <w:tcPr>
            <w:tcW w:w="0" w:type="auto"/>
            <w:gridSpan w:val="3"/>
            <w:shd w:val="clear" w:color="auto" w:fill="auto"/>
            <w:vAlign w:val="bottom"/>
          </w:tcPr>
          <w:p w14:paraId="392C122E" w14:textId="77777777" w:rsidR="00980E5F" w:rsidRDefault="00980E5F">
            <w:pPr>
              <w:rPr>
                <w:rFonts w:ascii="宋体"/>
                <w:vanish/>
              </w:rPr>
            </w:pPr>
          </w:p>
        </w:tc>
      </w:tr>
      <w:tr w:rsidR="00980E5F" w14:paraId="392C1239" w14:textId="77777777">
        <w:trPr>
          <w:hidden/>
        </w:trPr>
        <w:tc>
          <w:tcPr>
            <w:tcW w:w="0" w:type="auto"/>
            <w:gridSpan w:val="3"/>
            <w:shd w:val="clear" w:color="auto" w:fill="auto"/>
            <w:vAlign w:val="bottom"/>
          </w:tcPr>
          <w:p w14:paraId="392C1230" w14:textId="77777777" w:rsidR="00980E5F" w:rsidRDefault="00980E5F">
            <w:pPr>
              <w:rPr>
                <w:rFonts w:ascii="宋体"/>
                <w:vanish/>
              </w:rPr>
            </w:pPr>
          </w:p>
        </w:tc>
        <w:tc>
          <w:tcPr>
            <w:tcW w:w="0" w:type="auto"/>
            <w:gridSpan w:val="3"/>
            <w:shd w:val="clear" w:color="auto" w:fill="auto"/>
            <w:vAlign w:val="bottom"/>
          </w:tcPr>
          <w:p w14:paraId="392C1231" w14:textId="77777777" w:rsidR="00980E5F" w:rsidRDefault="00980E5F">
            <w:pPr>
              <w:rPr>
                <w:rFonts w:ascii="宋体"/>
                <w:vanish/>
              </w:rPr>
            </w:pPr>
          </w:p>
        </w:tc>
        <w:tc>
          <w:tcPr>
            <w:tcW w:w="0" w:type="auto"/>
            <w:gridSpan w:val="3"/>
            <w:shd w:val="clear" w:color="auto" w:fill="auto"/>
            <w:vAlign w:val="bottom"/>
          </w:tcPr>
          <w:p w14:paraId="392C1232" w14:textId="77777777" w:rsidR="00980E5F" w:rsidRDefault="00980E5F">
            <w:pPr>
              <w:rPr>
                <w:rFonts w:ascii="宋体"/>
                <w:vanish/>
              </w:rPr>
            </w:pPr>
          </w:p>
        </w:tc>
        <w:tc>
          <w:tcPr>
            <w:tcW w:w="0" w:type="auto"/>
            <w:gridSpan w:val="3"/>
            <w:shd w:val="clear" w:color="auto" w:fill="auto"/>
            <w:vAlign w:val="bottom"/>
          </w:tcPr>
          <w:p w14:paraId="392C1233" w14:textId="77777777" w:rsidR="00980E5F" w:rsidRDefault="00980E5F">
            <w:pPr>
              <w:rPr>
                <w:rFonts w:ascii="宋体"/>
                <w:vanish/>
              </w:rPr>
            </w:pPr>
          </w:p>
        </w:tc>
        <w:tc>
          <w:tcPr>
            <w:tcW w:w="0" w:type="auto"/>
            <w:gridSpan w:val="3"/>
            <w:shd w:val="clear" w:color="auto" w:fill="auto"/>
            <w:vAlign w:val="bottom"/>
          </w:tcPr>
          <w:p w14:paraId="392C1234" w14:textId="77777777" w:rsidR="00980E5F" w:rsidRDefault="00980E5F">
            <w:pPr>
              <w:rPr>
                <w:rFonts w:ascii="宋体"/>
                <w:vanish/>
              </w:rPr>
            </w:pPr>
          </w:p>
        </w:tc>
        <w:tc>
          <w:tcPr>
            <w:tcW w:w="0" w:type="auto"/>
            <w:gridSpan w:val="3"/>
            <w:shd w:val="clear" w:color="auto" w:fill="auto"/>
            <w:vAlign w:val="bottom"/>
          </w:tcPr>
          <w:p w14:paraId="392C1235" w14:textId="77777777" w:rsidR="00980E5F" w:rsidRDefault="00980E5F">
            <w:pPr>
              <w:rPr>
                <w:rFonts w:ascii="宋体"/>
                <w:vanish/>
              </w:rPr>
            </w:pPr>
          </w:p>
        </w:tc>
        <w:tc>
          <w:tcPr>
            <w:tcW w:w="0" w:type="auto"/>
            <w:gridSpan w:val="3"/>
            <w:shd w:val="clear" w:color="auto" w:fill="auto"/>
            <w:vAlign w:val="bottom"/>
          </w:tcPr>
          <w:p w14:paraId="392C1236" w14:textId="77777777" w:rsidR="00980E5F" w:rsidRDefault="00980E5F">
            <w:pPr>
              <w:rPr>
                <w:rFonts w:ascii="宋体"/>
                <w:vanish/>
              </w:rPr>
            </w:pPr>
          </w:p>
        </w:tc>
        <w:tc>
          <w:tcPr>
            <w:tcW w:w="0" w:type="auto"/>
            <w:gridSpan w:val="3"/>
            <w:shd w:val="clear" w:color="auto" w:fill="auto"/>
            <w:vAlign w:val="bottom"/>
          </w:tcPr>
          <w:p w14:paraId="392C1237" w14:textId="77777777" w:rsidR="00980E5F" w:rsidRDefault="00980E5F">
            <w:pPr>
              <w:rPr>
                <w:rFonts w:ascii="宋体"/>
                <w:vanish/>
              </w:rPr>
            </w:pPr>
          </w:p>
        </w:tc>
        <w:tc>
          <w:tcPr>
            <w:tcW w:w="0" w:type="auto"/>
            <w:gridSpan w:val="3"/>
            <w:shd w:val="clear" w:color="auto" w:fill="auto"/>
            <w:vAlign w:val="bottom"/>
          </w:tcPr>
          <w:p w14:paraId="392C1238" w14:textId="77777777" w:rsidR="00980E5F" w:rsidRDefault="00980E5F">
            <w:pPr>
              <w:rPr>
                <w:rFonts w:ascii="宋体"/>
                <w:vanish/>
              </w:rPr>
            </w:pPr>
          </w:p>
        </w:tc>
      </w:tr>
      <w:tr w:rsidR="00980E5F" w14:paraId="392C1245" w14:textId="77777777">
        <w:tc>
          <w:tcPr>
            <w:tcW w:w="0" w:type="auto"/>
            <w:gridSpan w:val="3"/>
            <w:shd w:val="clear" w:color="auto" w:fill="CCEEFF"/>
            <w:tcMar>
              <w:top w:w="40" w:type="dxa"/>
              <w:left w:w="20" w:type="dxa"/>
              <w:bottom w:w="40" w:type="dxa"/>
              <w:right w:w="20" w:type="dxa"/>
            </w:tcMar>
            <w:vAlign w:val="bottom"/>
          </w:tcPr>
          <w:p w14:paraId="392C123A" w14:textId="77777777" w:rsidR="00980E5F" w:rsidRDefault="00483613">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(8)</w:t>
            </w:r>
          </w:p>
        </w:tc>
        <w:tc>
          <w:tcPr>
            <w:tcW w:w="0" w:type="auto"/>
            <w:gridSpan w:val="2"/>
            <w:shd w:val="clear" w:color="auto" w:fill="CCEEFF"/>
            <w:tcMar>
              <w:top w:w="40" w:type="dxa"/>
              <w:left w:w="20" w:type="dxa"/>
              <w:bottom w:w="40" w:type="dxa"/>
              <w:right w:w="0" w:type="dxa"/>
            </w:tcMar>
            <w:vAlign w:val="bottom"/>
          </w:tcPr>
          <w:p w14:paraId="392C123B" w14:textId="77777777" w:rsidR="00980E5F" w:rsidRDefault="00483613">
            <w:pPr>
              <w:jc w:val="right"/>
              <w:textAlignment w:val="bottom"/>
            </w:pPr>
            <w:r>
              <w:rPr>
                <w:rFonts w:ascii="Arial" w:eastAsia="宋体" w:hAnsi="Arial" w:cs="Arial"/>
                <w:b/>
                <w:bCs/>
                <w:color w:val="000000"/>
                <w:sz w:val="14"/>
                <w:szCs w:val="14"/>
              </w:rPr>
              <w:t>266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2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2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23E" w14:textId="77777777" w:rsidR="00980E5F" w:rsidRDefault="00483613">
            <w:pPr>
              <w:jc w:val="right"/>
              <w:textAlignment w:val="bottom"/>
            </w:pPr>
            <w:r>
              <w:rPr>
                <w:rFonts w:ascii="Arial" w:eastAsia="宋体" w:hAnsi="Arial" w:cs="Arial"/>
                <w:color w:val="000000"/>
                <w:sz w:val="14"/>
                <w:szCs w:val="14"/>
              </w:rPr>
              <w:t>307 </w:t>
            </w:r>
          </w:p>
        </w:tc>
        <w:tc>
          <w:tcPr>
            <w:tcW w:w="0" w:type="auto"/>
            <w:shd w:val="clear" w:color="auto" w:fill="CCEEFF"/>
            <w:tcMar>
              <w:top w:w="40" w:type="dxa"/>
              <w:left w:w="0" w:type="dxa"/>
              <w:bottom w:w="40" w:type="dxa"/>
              <w:right w:w="20" w:type="dxa"/>
            </w:tcMar>
            <w:vAlign w:val="bottom"/>
          </w:tcPr>
          <w:p w14:paraId="392C123F" w14:textId="77777777" w:rsidR="00980E5F" w:rsidRDefault="00980E5F">
            <w:pPr>
              <w:jc w:val="right"/>
              <w:rPr>
                <w:rFonts w:ascii="宋体"/>
              </w:rPr>
            </w:pPr>
          </w:p>
        </w:tc>
        <w:tc>
          <w:tcPr>
            <w:tcW w:w="0" w:type="auto"/>
            <w:gridSpan w:val="3"/>
            <w:shd w:val="clear" w:color="auto" w:fill="auto"/>
            <w:vAlign w:val="bottom"/>
          </w:tcPr>
          <w:p w14:paraId="392C1240" w14:textId="77777777" w:rsidR="00980E5F" w:rsidRDefault="00980E5F">
            <w:pPr>
              <w:rPr>
                <w:rFonts w:ascii="宋体"/>
                <w:vanish/>
              </w:rPr>
            </w:pPr>
          </w:p>
        </w:tc>
        <w:tc>
          <w:tcPr>
            <w:tcW w:w="0" w:type="auto"/>
            <w:gridSpan w:val="3"/>
            <w:shd w:val="clear" w:color="auto" w:fill="auto"/>
            <w:vAlign w:val="bottom"/>
          </w:tcPr>
          <w:p w14:paraId="392C1241" w14:textId="77777777" w:rsidR="00980E5F" w:rsidRDefault="00980E5F">
            <w:pPr>
              <w:rPr>
                <w:rFonts w:ascii="宋体"/>
                <w:vanish/>
              </w:rPr>
            </w:pPr>
          </w:p>
        </w:tc>
        <w:tc>
          <w:tcPr>
            <w:tcW w:w="0" w:type="auto"/>
            <w:gridSpan w:val="3"/>
            <w:shd w:val="clear" w:color="auto" w:fill="auto"/>
            <w:vAlign w:val="bottom"/>
          </w:tcPr>
          <w:p w14:paraId="392C1242" w14:textId="77777777" w:rsidR="00980E5F" w:rsidRDefault="00980E5F">
            <w:pPr>
              <w:rPr>
                <w:rFonts w:ascii="宋体"/>
                <w:vanish/>
              </w:rPr>
            </w:pPr>
          </w:p>
        </w:tc>
        <w:tc>
          <w:tcPr>
            <w:tcW w:w="0" w:type="auto"/>
            <w:gridSpan w:val="3"/>
            <w:shd w:val="clear" w:color="auto" w:fill="auto"/>
            <w:vAlign w:val="bottom"/>
          </w:tcPr>
          <w:p w14:paraId="392C1243" w14:textId="77777777" w:rsidR="00980E5F" w:rsidRDefault="00980E5F">
            <w:pPr>
              <w:rPr>
                <w:rFonts w:ascii="宋体"/>
                <w:vanish/>
              </w:rPr>
            </w:pPr>
          </w:p>
        </w:tc>
        <w:tc>
          <w:tcPr>
            <w:tcW w:w="0" w:type="auto"/>
            <w:gridSpan w:val="3"/>
            <w:shd w:val="clear" w:color="auto" w:fill="auto"/>
            <w:vAlign w:val="bottom"/>
          </w:tcPr>
          <w:p w14:paraId="392C1244" w14:textId="77777777" w:rsidR="00980E5F" w:rsidRDefault="00980E5F">
            <w:pPr>
              <w:rPr>
                <w:rFonts w:ascii="宋体"/>
                <w:vanish/>
              </w:rPr>
            </w:pPr>
          </w:p>
        </w:tc>
      </w:tr>
      <w:tr w:rsidR="00980E5F" w14:paraId="392C1251" w14:textId="77777777">
        <w:tc>
          <w:tcPr>
            <w:tcW w:w="0" w:type="auto"/>
            <w:gridSpan w:val="3"/>
            <w:shd w:val="clear" w:color="auto" w:fill="FFFFFF"/>
            <w:tcMar>
              <w:top w:w="40" w:type="dxa"/>
              <w:left w:w="20" w:type="dxa"/>
              <w:bottom w:w="40" w:type="dxa"/>
              <w:right w:w="20" w:type="dxa"/>
            </w:tcMar>
            <w:vAlign w:val="bottom"/>
          </w:tcPr>
          <w:p w14:paraId="392C1246" w14:textId="77777777" w:rsidR="00980E5F" w:rsidRDefault="00483613">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247" w14:textId="77777777" w:rsidR="00980E5F" w:rsidRDefault="00483613">
            <w:pPr>
              <w:jc w:val="right"/>
              <w:textAlignment w:val="bottom"/>
            </w:pPr>
            <w:r>
              <w:rPr>
                <w:rFonts w:ascii="Arial" w:eastAsia="宋体" w:hAnsi="Arial" w:cs="Arial"/>
                <w:b/>
                <w:bCs/>
                <w:color w:val="000000"/>
                <w:sz w:val="14"/>
                <w:szCs w:val="14"/>
              </w:rPr>
              <w:t>4,734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24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24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24A" w14:textId="77777777" w:rsidR="00980E5F" w:rsidRDefault="00483613">
            <w:pPr>
              <w:jc w:val="right"/>
              <w:textAlignment w:val="bottom"/>
            </w:pPr>
            <w:r>
              <w:rPr>
                <w:rFonts w:ascii="Arial" w:eastAsia="宋体" w:hAnsi="Arial" w:cs="Arial"/>
                <w:color w:val="000000"/>
                <w:sz w:val="14"/>
                <w:szCs w:val="14"/>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24B" w14:textId="77777777" w:rsidR="00980E5F" w:rsidRDefault="00980E5F">
            <w:pPr>
              <w:jc w:val="right"/>
              <w:rPr>
                <w:rFonts w:ascii="宋体"/>
              </w:rPr>
            </w:pPr>
          </w:p>
        </w:tc>
        <w:tc>
          <w:tcPr>
            <w:tcW w:w="0" w:type="auto"/>
            <w:gridSpan w:val="3"/>
            <w:shd w:val="clear" w:color="auto" w:fill="auto"/>
            <w:vAlign w:val="bottom"/>
          </w:tcPr>
          <w:p w14:paraId="392C124C" w14:textId="77777777" w:rsidR="00980E5F" w:rsidRDefault="00980E5F">
            <w:pPr>
              <w:rPr>
                <w:rFonts w:ascii="宋体"/>
                <w:vanish/>
              </w:rPr>
            </w:pPr>
          </w:p>
        </w:tc>
        <w:tc>
          <w:tcPr>
            <w:tcW w:w="0" w:type="auto"/>
            <w:gridSpan w:val="3"/>
            <w:shd w:val="clear" w:color="auto" w:fill="auto"/>
            <w:vAlign w:val="bottom"/>
          </w:tcPr>
          <w:p w14:paraId="392C124D" w14:textId="77777777" w:rsidR="00980E5F" w:rsidRDefault="00980E5F">
            <w:pPr>
              <w:rPr>
                <w:rFonts w:ascii="宋体"/>
                <w:vanish/>
              </w:rPr>
            </w:pPr>
          </w:p>
        </w:tc>
        <w:tc>
          <w:tcPr>
            <w:tcW w:w="0" w:type="auto"/>
            <w:gridSpan w:val="3"/>
            <w:shd w:val="clear" w:color="auto" w:fill="auto"/>
            <w:vAlign w:val="bottom"/>
          </w:tcPr>
          <w:p w14:paraId="392C124E" w14:textId="77777777" w:rsidR="00980E5F" w:rsidRDefault="00980E5F">
            <w:pPr>
              <w:rPr>
                <w:rFonts w:ascii="宋体"/>
                <w:vanish/>
              </w:rPr>
            </w:pPr>
          </w:p>
        </w:tc>
        <w:tc>
          <w:tcPr>
            <w:tcW w:w="0" w:type="auto"/>
            <w:gridSpan w:val="3"/>
            <w:shd w:val="clear" w:color="auto" w:fill="auto"/>
            <w:vAlign w:val="bottom"/>
          </w:tcPr>
          <w:p w14:paraId="392C124F" w14:textId="77777777" w:rsidR="00980E5F" w:rsidRDefault="00980E5F">
            <w:pPr>
              <w:rPr>
                <w:rFonts w:ascii="宋体"/>
                <w:vanish/>
              </w:rPr>
            </w:pPr>
          </w:p>
        </w:tc>
        <w:tc>
          <w:tcPr>
            <w:tcW w:w="0" w:type="auto"/>
            <w:gridSpan w:val="3"/>
            <w:shd w:val="clear" w:color="auto" w:fill="auto"/>
            <w:vAlign w:val="bottom"/>
          </w:tcPr>
          <w:p w14:paraId="392C1250" w14:textId="77777777" w:rsidR="00980E5F" w:rsidRDefault="00980E5F">
            <w:pPr>
              <w:rPr>
                <w:rFonts w:ascii="宋体"/>
                <w:vanish/>
              </w:rPr>
            </w:pPr>
          </w:p>
        </w:tc>
      </w:tr>
      <w:tr w:rsidR="00980E5F" w14:paraId="392C125B" w14:textId="77777777">
        <w:trPr>
          <w:hidden/>
        </w:trPr>
        <w:tc>
          <w:tcPr>
            <w:tcW w:w="0" w:type="auto"/>
            <w:gridSpan w:val="3"/>
            <w:shd w:val="clear" w:color="auto" w:fill="auto"/>
            <w:vAlign w:val="bottom"/>
          </w:tcPr>
          <w:p w14:paraId="392C1252" w14:textId="77777777" w:rsidR="00980E5F" w:rsidRDefault="00980E5F">
            <w:pPr>
              <w:rPr>
                <w:rFonts w:ascii="宋体"/>
                <w:vanish/>
              </w:rPr>
            </w:pPr>
          </w:p>
        </w:tc>
        <w:tc>
          <w:tcPr>
            <w:tcW w:w="0" w:type="auto"/>
            <w:gridSpan w:val="3"/>
            <w:shd w:val="clear" w:color="auto" w:fill="auto"/>
            <w:vAlign w:val="bottom"/>
          </w:tcPr>
          <w:p w14:paraId="392C1253" w14:textId="77777777" w:rsidR="00980E5F" w:rsidRDefault="00980E5F">
            <w:pPr>
              <w:rPr>
                <w:rFonts w:ascii="宋体"/>
                <w:vanish/>
              </w:rPr>
            </w:pPr>
          </w:p>
        </w:tc>
        <w:tc>
          <w:tcPr>
            <w:tcW w:w="0" w:type="auto"/>
            <w:gridSpan w:val="3"/>
            <w:shd w:val="clear" w:color="auto" w:fill="auto"/>
            <w:vAlign w:val="bottom"/>
          </w:tcPr>
          <w:p w14:paraId="392C1254" w14:textId="77777777" w:rsidR="00980E5F" w:rsidRDefault="00980E5F">
            <w:pPr>
              <w:rPr>
                <w:rFonts w:ascii="宋体"/>
                <w:vanish/>
              </w:rPr>
            </w:pPr>
          </w:p>
        </w:tc>
        <w:tc>
          <w:tcPr>
            <w:tcW w:w="0" w:type="auto"/>
            <w:gridSpan w:val="3"/>
            <w:shd w:val="clear" w:color="auto" w:fill="auto"/>
            <w:vAlign w:val="bottom"/>
          </w:tcPr>
          <w:p w14:paraId="392C1255" w14:textId="77777777" w:rsidR="00980E5F" w:rsidRDefault="00980E5F">
            <w:pPr>
              <w:rPr>
                <w:rFonts w:ascii="宋体"/>
                <w:vanish/>
              </w:rPr>
            </w:pPr>
          </w:p>
        </w:tc>
        <w:tc>
          <w:tcPr>
            <w:tcW w:w="0" w:type="auto"/>
            <w:gridSpan w:val="3"/>
            <w:shd w:val="clear" w:color="auto" w:fill="auto"/>
            <w:vAlign w:val="bottom"/>
          </w:tcPr>
          <w:p w14:paraId="392C1256" w14:textId="77777777" w:rsidR="00980E5F" w:rsidRDefault="00980E5F">
            <w:pPr>
              <w:rPr>
                <w:rFonts w:ascii="宋体"/>
                <w:vanish/>
              </w:rPr>
            </w:pPr>
          </w:p>
        </w:tc>
        <w:tc>
          <w:tcPr>
            <w:tcW w:w="0" w:type="auto"/>
            <w:gridSpan w:val="3"/>
            <w:shd w:val="clear" w:color="auto" w:fill="auto"/>
            <w:vAlign w:val="bottom"/>
          </w:tcPr>
          <w:p w14:paraId="392C1257" w14:textId="77777777" w:rsidR="00980E5F" w:rsidRDefault="00980E5F">
            <w:pPr>
              <w:rPr>
                <w:rFonts w:ascii="宋体"/>
                <w:vanish/>
              </w:rPr>
            </w:pPr>
          </w:p>
        </w:tc>
        <w:tc>
          <w:tcPr>
            <w:tcW w:w="0" w:type="auto"/>
            <w:gridSpan w:val="3"/>
            <w:shd w:val="clear" w:color="auto" w:fill="auto"/>
            <w:vAlign w:val="bottom"/>
          </w:tcPr>
          <w:p w14:paraId="392C1258" w14:textId="77777777" w:rsidR="00980E5F" w:rsidRDefault="00980E5F">
            <w:pPr>
              <w:rPr>
                <w:rFonts w:ascii="宋体"/>
                <w:vanish/>
              </w:rPr>
            </w:pPr>
          </w:p>
        </w:tc>
        <w:tc>
          <w:tcPr>
            <w:tcW w:w="0" w:type="auto"/>
            <w:gridSpan w:val="3"/>
            <w:shd w:val="clear" w:color="auto" w:fill="auto"/>
            <w:vAlign w:val="bottom"/>
          </w:tcPr>
          <w:p w14:paraId="392C1259" w14:textId="77777777" w:rsidR="00980E5F" w:rsidRDefault="00980E5F">
            <w:pPr>
              <w:rPr>
                <w:rFonts w:ascii="宋体"/>
                <w:vanish/>
              </w:rPr>
            </w:pPr>
          </w:p>
        </w:tc>
        <w:tc>
          <w:tcPr>
            <w:tcW w:w="0" w:type="auto"/>
            <w:gridSpan w:val="3"/>
            <w:shd w:val="clear" w:color="auto" w:fill="auto"/>
            <w:vAlign w:val="bottom"/>
          </w:tcPr>
          <w:p w14:paraId="392C125A" w14:textId="77777777" w:rsidR="00980E5F" w:rsidRDefault="00980E5F">
            <w:pPr>
              <w:rPr>
                <w:rFonts w:ascii="宋体"/>
                <w:vanish/>
              </w:rPr>
            </w:pPr>
          </w:p>
        </w:tc>
      </w:tr>
      <w:tr w:rsidR="00980E5F" w14:paraId="392C1265" w14:textId="77777777">
        <w:trPr>
          <w:hidden/>
        </w:trPr>
        <w:tc>
          <w:tcPr>
            <w:tcW w:w="0" w:type="auto"/>
            <w:gridSpan w:val="3"/>
            <w:shd w:val="clear" w:color="auto" w:fill="auto"/>
            <w:vAlign w:val="bottom"/>
          </w:tcPr>
          <w:p w14:paraId="392C125C" w14:textId="77777777" w:rsidR="00980E5F" w:rsidRDefault="00980E5F">
            <w:pPr>
              <w:rPr>
                <w:rFonts w:ascii="宋体"/>
                <w:vanish/>
              </w:rPr>
            </w:pPr>
          </w:p>
        </w:tc>
        <w:tc>
          <w:tcPr>
            <w:tcW w:w="0" w:type="auto"/>
            <w:gridSpan w:val="3"/>
            <w:shd w:val="clear" w:color="auto" w:fill="auto"/>
            <w:vAlign w:val="bottom"/>
          </w:tcPr>
          <w:p w14:paraId="392C125D" w14:textId="77777777" w:rsidR="00980E5F" w:rsidRDefault="00980E5F">
            <w:pPr>
              <w:rPr>
                <w:rFonts w:ascii="宋体"/>
                <w:vanish/>
              </w:rPr>
            </w:pPr>
          </w:p>
        </w:tc>
        <w:tc>
          <w:tcPr>
            <w:tcW w:w="0" w:type="auto"/>
            <w:gridSpan w:val="3"/>
            <w:shd w:val="clear" w:color="auto" w:fill="auto"/>
            <w:vAlign w:val="bottom"/>
          </w:tcPr>
          <w:p w14:paraId="392C125E" w14:textId="77777777" w:rsidR="00980E5F" w:rsidRDefault="00980E5F">
            <w:pPr>
              <w:rPr>
                <w:rFonts w:ascii="宋体"/>
                <w:vanish/>
              </w:rPr>
            </w:pPr>
          </w:p>
        </w:tc>
        <w:tc>
          <w:tcPr>
            <w:tcW w:w="0" w:type="auto"/>
            <w:gridSpan w:val="3"/>
            <w:shd w:val="clear" w:color="auto" w:fill="auto"/>
            <w:vAlign w:val="bottom"/>
          </w:tcPr>
          <w:p w14:paraId="392C125F" w14:textId="77777777" w:rsidR="00980E5F" w:rsidRDefault="00980E5F">
            <w:pPr>
              <w:rPr>
                <w:rFonts w:ascii="宋体"/>
                <w:vanish/>
              </w:rPr>
            </w:pPr>
          </w:p>
        </w:tc>
        <w:tc>
          <w:tcPr>
            <w:tcW w:w="0" w:type="auto"/>
            <w:gridSpan w:val="3"/>
            <w:shd w:val="clear" w:color="auto" w:fill="auto"/>
            <w:vAlign w:val="bottom"/>
          </w:tcPr>
          <w:p w14:paraId="392C1260" w14:textId="77777777" w:rsidR="00980E5F" w:rsidRDefault="00980E5F">
            <w:pPr>
              <w:rPr>
                <w:rFonts w:ascii="宋体"/>
                <w:vanish/>
              </w:rPr>
            </w:pPr>
          </w:p>
        </w:tc>
        <w:tc>
          <w:tcPr>
            <w:tcW w:w="0" w:type="auto"/>
            <w:gridSpan w:val="3"/>
            <w:shd w:val="clear" w:color="auto" w:fill="auto"/>
            <w:vAlign w:val="bottom"/>
          </w:tcPr>
          <w:p w14:paraId="392C1261" w14:textId="77777777" w:rsidR="00980E5F" w:rsidRDefault="00980E5F">
            <w:pPr>
              <w:rPr>
                <w:rFonts w:ascii="宋体"/>
                <w:vanish/>
              </w:rPr>
            </w:pPr>
          </w:p>
        </w:tc>
        <w:tc>
          <w:tcPr>
            <w:tcW w:w="0" w:type="auto"/>
            <w:gridSpan w:val="3"/>
            <w:shd w:val="clear" w:color="auto" w:fill="auto"/>
            <w:vAlign w:val="bottom"/>
          </w:tcPr>
          <w:p w14:paraId="392C1262" w14:textId="77777777" w:rsidR="00980E5F" w:rsidRDefault="00980E5F">
            <w:pPr>
              <w:rPr>
                <w:rFonts w:ascii="宋体"/>
                <w:vanish/>
              </w:rPr>
            </w:pPr>
          </w:p>
        </w:tc>
        <w:tc>
          <w:tcPr>
            <w:tcW w:w="0" w:type="auto"/>
            <w:gridSpan w:val="3"/>
            <w:shd w:val="clear" w:color="auto" w:fill="auto"/>
            <w:vAlign w:val="bottom"/>
          </w:tcPr>
          <w:p w14:paraId="392C1263" w14:textId="77777777" w:rsidR="00980E5F" w:rsidRDefault="00980E5F">
            <w:pPr>
              <w:rPr>
                <w:rFonts w:ascii="宋体"/>
                <w:vanish/>
              </w:rPr>
            </w:pPr>
          </w:p>
        </w:tc>
        <w:tc>
          <w:tcPr>
            <w:tcW w:w="0" w:type="auto"/>
            <w:gridSpan w:val="3"/>
            <w:shd w:val="clear" w:color="auto" w:fill="auto"/>
            <w:vAlign w:val="bottom"/>
          </w:tcPr>
          <w:p w14:paraId="392C1264" w14:textId="77777777" w:rsidR="00980E5F" w:rsidRDefault="00980E5F">
            <w:pPr>
              <w:rPr>
                <w:rFonts w:ascii="宋体"/>
                <w:vanish/>
              </w:rPr>
            </w:pPr>
          </w:p>
        </w:tc>
      </w:tr>
      <w:tr w:rsidR="00980E5F" w14:paraId="392C126F" w14:textId="77777777">
        <w:trPr>
          <w:hidden/>
        </w:trPr>
        <w:tc>
          <w:tcPr>
            <w:tcW w:w="0" w:type="auto"/>
            <w:gridSpan w:val="3"/>
            <w:shd w:val="clear" w:color="auto" w:fill="auto"/>
            <w:vAlign w:val="bottom"/>
          </w:tcPr>
          <w:p w14:paraId="392C1266" w14:textId="77777777" w:rsidR="00980E5F" w:rsidRDefault="00980E5F">
            <w:pPr>
              <w:rPr>
                <w:rFonts w:ascii="宋体"/>
                <w:vanish/>
              </w:rPr>
            </w:pPr>
          </w:p>
        </w:tc>
        <w:tc>
          <w:tcPr>
            <w:tcW w:w="0" w:type="auto"/>
            <w:gridSpan w:val="3"/>
            <w:shd w:val="clear" w:color="auto" w:fill="auto"/>
            <w:vAlign w:val="bottom"/>
          </w:tcPr>
          <w:p w14:paraId="392C1267" w14:textId="77777777" w:rsidR="00980E5F" w:rsidRDefault="00980E5F">
            <w:pPr>
              <w:rPr>
                <w:rFonts w:ascii="宋体"/>
                <w:vanish/>
              </w:rPr>
            </w:pPr>
          </w:p>
        </w:tc>
        <w:tc>
          <w:tcPr>
            <w:tcW w:w="0" w:type="auto"/>
            <w:gridSpan w:val="3"/>
            <w:shd w:val="clear" w:color="auto" w:fill="auto"/>
            <w:vAlign w:val="bottom"/>
          </w:tcPr>
          <w:p w14:paraId="392C1268" w14:textId="77777777" w:rsidR="00980E5F" w:rsidRDefault="00980E5F">
            <w:pPr>
              <w:rPr>
                <w:rFonts w:ascii="宋体"/>
                <w:vanish/>
              </w:rPr>
            </w:pPr>
          </w:p>
        </w:tc>
        <w:tc>
          <w:tcPr>
            <w:tcW w:w="0" w:type="auto"/>
            <w:gridSpan w:val="3"/>
            <w:shd w:val="clear" w:color="auto" w:fill="auto"/>
            <w:vAlign w:val="bottom"/>
          </w:tcPr>
          <w:p w14:paraId="392C1269" w14:textId="77777777" w:rsidR="00980E5F" w:rsidRDefault="00980E5F">
            <w:pPr>
              <w:rPr>
                <w:rFonts w:ascii="宋体"/>
                <w:vanish/>
              </w:rPr>
            </w:pPr>
          </w:p>
        </w:tc>
        <w:tc>
          <w:tcPr>
            <w:tcW w:w="0" w:type="auto"/>
            <w:gridSpan w:val="3"/>
            <w:shd w:val="clear" w:color="auto" w:fill="auto"/>
            <w:vAlign w:val="bottom"/>
          </w:tcPr>
          <w:p w14:paraId="392C126A" w14:textId="77777777" w:rsidR="00980E5F" w:rsidRDefault="00980E5F">
            <w:pPr>
              <w:rPr>
                <w:rFonts w:ascii="宋体"/>
                <w:vanish/>
              </w:rPr>
            </w:pPr>
          </w:p>
        </w:tc>
        <w:tc>
          <w:tcPr>
            <w:tcW w:w="0" w:type="auto"/>
            <w:gridSpan w:val="3"/>
            <w:shd w:val="clear" w:color="auto" w:fill="auto"/>
            <w:vAlign w:val="bottom"/>
          </w:tcPr>
          <w:p w14:paraId="392C126B" w14:textId="77777777" w:rsidR="00980E5F" w:rsidRDefault="00980E5F">
            <w:pPr>
              <w:rPr>
                <w:rFonts w:ascii="宋体"/>
                <w:vanish/>
              </w:rPr>
            </w:pPr>
          </w:p>
        </w:tc>
        <w:tc>
          <w:tcPr>
            <w:tcW w:w="0" w:type="auto"/>
            <w:gridSpan w:val="3"/>
            <w:shd w:val="clear" w:color="auto" w:fill="auto"/>
            <w:vAlign w:val="bottom"/>
          </w:tcPr>
          <w:p w14:paraId="392C126C" w14:textId="77777777" w:rsidR="00980E5F" w:rsidRDefault="00980E5F">
            <w:pPr>
              <w:rPr>
                <w:rFonts w:ascii="宋体"/>
                <w:vanish/>
              </w:rPr>
            </w:pPr>
          </w:p>
        </w:tc>
        <w:tc>
          <w:tcPr>
            <w:tcW w:w="0" w:type="auto"/>
            <w:gridSpan w:val="3"/>
            <w:shd w:val="clear" w:color="auto" w:fill="auto"/>
            <w:vAlign w:val="bottom"/>
          </w:tcPr>
          <w:p w14:paraId="392C126D" w14:textId="77777777" w:rsidR="00980E5F" w:rsidRDefault="00980E5F">
            <w:pPr>
              <w:rPr>
                <w:rFonts w:ascii="宋体"/>
                <w:vanish/>
              </w:rPr>
            </w:pPr>
          </w:p>
        </w:tc>
        <w:tc>
          <w:tcPr>
            <w:tcW w:w="0" w:type="auto"/>
            <w:gridSpan w:val="3"/>
            <w:shd w:val="clear" w:color="auto" w:fill="auto"/>
            <w:vAlign w:val="bottom"/>
          </w:tcPr>
          <w:p w14:paraId="392C126E" w14:textId="77777777" w:rsidR="00980E5F" w:rsidRDefault="00980E5F">
            <w:pPr>
              <w:rPr>
                <w:rFonts w:ascii="宋体"/>
                <w:vanish/>
              </w:rPr>
            </w:pPr>
          </w:p>
        </w:tc>
      </w:tr>
      <w:tr w:rsidR="00980E5F" w14:paraId="392C1279" w14:textId="77777777">
        <w:trPr>
          <w:hidden/>
        </w:trPr>
        <w:tc>
          <w:tcPr>
            <w:tcW w:w="0" w:type="auto"/>
            <w:gridSpan w:val="3"/>
            <w:shd w:val="clear" w:color="auto" w:fill="auto"/>
            <w:vAlign w:val="bottom"/>
          </w:tcPr>
          <w:p w14:paraId="392C1270" w14:textId="77777777" w:rsidR="00980E5F" w:rsidRDefault="00980E5F">
            <w:pPr>
              <w:rPr>
                <w:rFonts w:ascii="宋体"/>
                <w:vanish/>
              </w:rPr>
            </w:pPr>
          </w:p>
        </w:tc>
        <w:tc>
          <w:tcPr>
            <w:tcW w:w="0" w:type="auto"/>
            <w:gridSpan w:val="3"/>
            <w:shd w:val="clear" w:color="auto" w:fill="auto"/>
            <w:vAlign w:val="bottom"/>
          </w:tcPr>
          <w:p w14:paraId="392C1271" w14:textId="77777777" w:rsidR="00980E5F" w:rsidRDefault="00980E5F">
            <w:pPr>
              <w:rPr>
                <w:rFonts w:ascii="宋体"/>
                <w:vanish/>
              </w:rPr>
            </w:pPr>
          </w:p>
        </w:tc>
        <w:tc>
          <w:tcPr>
            <w:tcW w:w="0" w:type="auto"/>
            <w:gridSpan w:val="3"/>
            <w:shd w:val="clear" w:color="auto" w:fill="auto"/>
            <w:vAlign w:val="bottom"/>
          </w:tcPr>
          <w:p w14:paraId="392C1272" w14:textId="77777777" w:rsidR="00980E5F" w:rsidRDefault="00980E5F">
            <w:pPr>
              <w:rPr>
                <w:rFonts w:ascii="宋体"/>
                <w:vanish/>
              </w:rPr>
            </w:pPr>
          </w:p>
        </w:tc>
        <w:tc>
          <w:tcPr>
            <w:tcW w:w="0" w:type="auto"/>
            <w:gridSpan w:val="3"/>
            <w:shd w:val="clear" w:color="auto" w:fill="auto"/>
            <w:vAlign w:val="bottom"/>
          </w:tcPr>
          <w:p w14:paraId="392C1273" w14:textId="77777777" w:rsidR="00980E5F" w:rsidRDefault="00980E5F">
            <w:pPr>
              <w:rPr>
                <w:rFonts w:ascii="宋体"/>
                <w:vanish/>
              </w:rPr>
            </w:pPr>
          </w:p>
        </w:tc>
        <w:tc>
          <w:tcPr>
            <w:tcW w:w="0" w:type="auto"/>
            <w:gridSpan w:val="3"/>
            <w:shd w:val="clear" w:color="auto" w:fill="auto"/>
            <w:vAlign w:val="bottom"/>
          </w:tcPr>
          <w:p w14:paraId="392C1274" w14:textId="77777777" w:rsidR="00980E5F" w:rsidRDefault="00980E5F">
            <w:pPr>
              <w:rPr>
                <w:rFonts w:ascii="宋体"/>
                <w:vanish/>
              </w:rPr>
            </w:pPr>
          </w:p>
        </w:tc>
        <w:tc>
          <w:tcPr>
            <w:tcW w:w="0" w:type="auto"/>
            <w:gridSpan w:val="3"/>
            <w:shd w:val="clear" w:color="auto" w:fill="auto"/>
            <w:vAlign w:val="bottom"/>
          </w:tcPr>
          <w:p w14:paraId="392C1275" w14:textId="77777777" w:rsidR="00980E5F" w:rsidRDefault="00980E5F">
            <w:pPr>
              <w:rPr>
                <w:rFonts w:ascii="宋体"/>
                <w:vanish/>
              </w:rPr>
            </w:pPr>
          </w:p>
        </w:tc>
        <w:tc>
          <w:tcPr>
            <w:tcW w:w="0" w:type="auto"/>
            <w:gridSpan w:val="3"/>
            <w:shd w:val="clear" w:color="auto" w:fill="auto"/>
            <w:vAlign w:val="bottom"/>
          </w:tcPr>
          <w:p w14:paraId="392C1276" w14:textId="77777777" w:rsidR="00980E5F" w:rsidRDefault="00980E5F">
            <w:pPr>
              <w:rPr>
                <w:rFonts w:ascii="宋体"/>
                <w:vanish/>
              </w:rPr>
            </w:pPr>
          </w:p>
        </w:tc>
        <w:tc>
          <w:tcPr>
            <w:tcW w:w="0" w:type="auto"/>
            <w:gridSpan w:val="3"/>
            <w:shd w:val="clear" w:color="auto" w:fill="auto"/>
            <w:vAlign w:val="bottom"/>
          </w:tcPr>
          <w:p w14:paraId="392C1277" w14:textId="77777777" w:rsidR="00980E5F" w:rsidRDefault="00980E5F">
            <w:pPr>
              <w:rPr>
                <w:rFonts w:ascii="宋体"/>
                <w:vanish/>
              </w:rPr>
            </w:pPr>
          </w:p>
        </w:tc>
        <w:tc>
          <w:tcPr>
            <w:tcW w:w="0" w:type="auto"/>
            <w:gridSpan w:val="3"/>
            <w:shd w:val="clear" w:color="auto" w:fill="auto"/>
            <w:vAlign w:val="bottom"/>
          </w:tcPr>
          <w:p w14:paraId="392C1278" w14:textId="77777777" w:rsidR="00980E5F" w:rsidRDefault="00980E5F">
            <w:pPr>
              <w:rPr>
                <w:rFonts w:ascii="宋体"/>
                <w:vanish/>
              </w:rPr>
            </w:pPr>
          </w:p>
        </w:tc>
      </w:tr>
      <w:tr w:rsidR="00980E5F" w14:paraId="392C1283" w14:textId="77777777">
        <w:trPr>
          <w:hidden/>
        </w:trPr>
        <w:tc>
          <w:tcPr>
            <w:tcW w:w="0" w:type="auto"/>
            <w:gridSpan w:val="3"/>
            <w:shd w:val="clear" w:color="auto" w:fill="auto"/>
            <w:vAlign w:val="bottom"/>
          </w:tcPr>
          <w:p w14:paraId="392C127A" w14:textId="77777777" w:rsidR="00980E5F" w:rsidRDefault="00980E5F">
            <w:pPr>
              <w:rPr>
                <w:rFonts w:ascii="宋体"/>
                <w:vanish/>
              </w:rPr>
            </w:pPr>
          </w:p>
        </w:tc>
        <w:tc>
          <w:tcPr>
            <w:tcW w:w="0" w:type="auto"/>
            <w:gridSpan w:val="3"/>
            <w:shd w:val="clear" w:color="auto" w:fill="auto"/>
            <w:vAlign w:val="bottom"/>
          </w:tcPr>
          <w:p w14:paraId="392C127B" w14:textId="77777777" w:rsidR="00980E5F" w:rsidRDefault="00980E5F">
            <w:pPr>
              <w:rPr>
                <w:rFonts w:ascii="宋体"/>
                <w:vanish/>
              </w:rPr>
            </w:pPr>
          </w:p>
        </w:tc>
        <w:tc>
          <w:tcPr>
            <w:tcW w:w="0" w:type="auto"/>
            <w:gridSpan w:val="3"/>
            <w:shd w:val="clear" w:color="auto" w:fill="auto"/>
            <w:vAlign w:val="bottom"/>
          </w:tcPr>
          <w:p w14:paraId="392C127C" w14:textId="77777777" w:rsidR="00980E5F" w:rsidRDefault="00980E5F">
            <w:pPr>
              <w:rPr>
                <w:rFonts w:ascii="宋体"/>
                <w:vanish/>
              </w:rPr>
            </w:pPr>
          </w:p>
        </w:tc>
        <w:tc>
          <w:tcPr>
            <w:tcW w:w="0" w:type="auto"/>
            <w:gridSpan w:val="3"/>
            <w:shd w:val="clear" w:color="auto" w:fill="auto"/>
            <w:vAlign w:val="bottom"/>
          </w:tcPr>
          <w:p w14:paraId="392C127D" w14:textId="77777777" w:rsidR="00980E5F" w:rsidRDefault="00980E5F">
            <w:pPr>
              <w:rPr>
                <w:rFonts w:ascii="宋体"/>
                <w:vanish/>
              </w:rPr>
            </w:pPr>
          </w:p>
        </w:tc>
        <w:tc>
          <w:tcPr>
            <w:tcW w:w="0" w:type="auto"/>
            <w:gridSpan w:val="3"/>
            <w:shd w:val="clear" w:color="auto" w:fill="auto"/>
            <w:vAlign w:val="bottom"/>
          </w:tcPr>
          <w:p w14:paraId="392C127E" w14:textId="77777777" w:rsidR="00980E5F" w:rsidRDefault="00980E5F">
            <w:pPr>
              <w:rPr>
                <w:rFonts w:ascii="宋体"/>
                <w:vanish/>
              </w:rPr>
            </w:pPr>
          </w:p>
        </w:tc>
        <w:tc>
          <w:tcPr>
            <w:tcW w:w="0" w:type="auto"/>
            <w:gridSpan w:val="3"/>
            <w:shd w:val="clear" w:color="auto" w:fill="auto"/>
            <w:vAlign w:val="bottom"/>
          </w:tcPr>
          <w:p w14:paraId="392C127F" w14:textId="77777777" w:rsidR="00980E5F" w:rsidRDefault="00980E5F">
            <w:pPr>
              <w:rPr>
                <w:rFonts w:ascii="宋体"/>
                <w:vanish/>
              </w:rPr>
            </w:pPr>
          </w:p>
        </w:tc>
        <w:tc>
          <w:tcPr>
            <w:tcW w:w="0" w:type="auto"/>
            <w:gridSpan w:val="3"/>
            <w:shd w:val="clear" w:color="auto" w:fill="auto"/>
            <w:vAlign w:val="bottom"/>
          </w:tcPr>
          <w:p w14:paraId="392C1280" w14:textId="77777777" w:rsidR="00980E5F" w:rsidRDefault="00980E5F">
            <w:pPr>
              <w:rPr>
                <w:rFonts w:ascii="宋体"/>
                <w:vanish/>
              </w:rPr>
            </w:pPr>
          </w:p>
        </w:tc>
        <w:tc>
          <w:tcPr>
            <w:tcW w:w="0" w:type="auto"/>
            <w:gridSpan w:val="3"/>
            <w:shd w:val="clear" w:color="auto" w:fill="auto"/>
            <w:vAlign w:val="bottom"/>
          </w:tcPr>
          <w:p w14:paraId="392C1281" w14:textId="77777777" w:rsidR="00980E5F" w:rsidRDefault="00980E5F">
            <w:pPr>
              <w:rPr>
                <w:rFonts w:ascii="宋体"/>
                <w:vanish/>
              </w:rPr>
            </w:pPr>
          </w:p>
        </w:tc>
        <w:tc>
          <w:tcPr>
            <w:tcW w:w="0" w:type="auto"/>
            <w:gridSpan w:val="3"/>
            <w:shd w:val="clear" w:color="auto" w:fill="auto"/>
            <w:vAlign w:val="bottom"/>
          </w:tcPr>
          <w:p w14:paraId="392C1282" w14:textId="77777777" w:rsidR="00980E5F" w:rsidRDefault="00980E5F">
            <w:pPr>
              <w:rPr>
                <w:rFonts w:ascii="宋体"/>
                <w:vanish/>
              </w:rPr>
            </w:pPr>
          </w:p>
        </w:tc>
      </w:tr>
      <w:tr w:rsidR="00980E5F" w14:paraId="392C128D" w14:textId="77777777">
        <w:trPr>
          <w:hidden/>
        </w:trPr>
        <w:tc>
          <w:tcPr>
            <w:tcW w:w="0" w:type="auto"/>
            <w:gridSpan w:val="3"/>
            <w:shd w:val="clear" w:color="auto" w:fill="auto"/>
            <w:vAlign w:val="bottom"/>
          </w:tcPr>
          <w:p w14:paraId="392C1284" w14:textId="77777777" w:rsidR="00980E5F" w:rsidRDefault="00980E5F">
            <w:pPr>
              <w:rPr>
                <w:rFonts w:ascii="宋体"/>
                <w:vanish/>
              </w:rPr>
            </w:pPr>
          </w:p>
        </w:tc>
        <w:tc>
          <w:tcPr>
            <w:tcW w:w="0" w:type="auto"/>
            <w:gridSpan w:val="3"/>
            <w:shd w:val="clear" w:color="auto" w:fill="auto"/>
            <w:vAlign w:val="bottom"/>
          </w:tcPr>
          <w:p w14:paraId="392C1285" w14:textId="77777777" w:rsidR="00980E5F" w:rsidRDefault="00980E5F">
            <w:pPr>
              <w:rPr>
                <w:rFonts w:ascii="宋体"/>
                <w:vanish/>
              </w:rPr>
            </w:pPr>
          </w:p>
        </w:tc>
        <w:tc>
          <w:tcPr>
            <w:tcW w:w="0" w:type="auto"/>
            <w:gridSpan w:val="3"/>
            <w:shd w:val="clear" w:color="auto" w:fill="auto"/>
            <w:vAlign w:val="bottom"/>
          </w:tcPr>
          <w:p w14:paraId="392C1286" w14:textId="77777777" w:rsidR="00980E5F" w:rsidRDefault="00980E5F">
            <w:pPr>
              <w:rPr>
                <w:rFonts w:ascii="宋体"/>
                <w:vanish/>
              </w:rPr>
            </w:pPr>
          </w:p>
        </w:tc>
        <w:tc>
          <w:tcPr>
            <w:tcW w:w="0" w:type="auto"/>
            <w:gridSpan w:val="3"/>
            <w:shd w:val="clear" w:color="auto" w:fill="auto"/>
            <w:vAlign w:val="bottom"/>
          </w:tcPr>
          <w:p w14:paraId="392C1287" w14:textId="77777777" w:rsidR="00980E5F" w:rsidRDefault="00980E5F">
            <w:pPr>
              <w:rPr>
                <w:rFonts w:ascii="宋体"/>
                <w:vanish/>
              </w:rPr>
            </w:pPr>
          </w:p>
        </w:tc>
        <w:tc>
          <w:tcPr>
            <w:tcW w:w="0" w:type="auto"/>
            <w:gridSpan w:val="3"/>
            <w:shd w:val="clear" w:color="auto" w:fill="auto"/>
            <w:vAlign w:val="bottom"/>
          </w:tcPr>
          <w:p w14:paraId="392C1288" w14:textId="77777777" w:rsidR="00980E5F" w:rsidRDefault="00980E5F">
            <w:pPr>
              <w:rPr>
                <w:rFonts w:ascii="宋体"/>
                <w:vanish/>
              </w:rPr>
            </w:pPr>
          </w:p>
        </w:tc>
        <w:tc>
          <w:tcPr>
            <w:tcW w:w="0" w:type="auto"/>
            <w:gridSpan w:val="3"/>
            <w:shd w:val="clear" w:color="auto" w:fill="auto"/>
            <w:vAlign w:val="bottom"/>
          </w:tcPr>
          <w:p w14:paraId="392C1289" w14:textId="77777777" w:rsidR="00980E5F" w:rsidRDefault="00980E5F">
            <w:pPr>
              <w:rPr>
                <w:rFonts w:ascii="宋体"/>
                <w:vanish/>
              </w:rPr>
            </w:pPr>
          </w:p>
        </w:tc>
        <w:tc>
          <w:tcPr>
            <w:tcW w:w="0" w:type="auto"/>
            <w:gridSpan w:val="3"/>
            <w:shd w:val="clear" w:color="auto" w:fill="auto"/>
            <w:vAlign w:val="bottom"/>
          </w:tcPr>
          <w:p w14:paraId="392C128A" w14:textId="77777777" w:rsidR="00980E5F" w:rsidRDefault="00980E5F">
            <w:pPr>
              <w:rPr>
                <w:rFonts w:ascii="宋体"/>
                <w:vanish/>
              </w:rPr>
            </w:pPr>
          </w:p>
        </w:tc>
        <w:tc>
          <w:tcPr>
            <w:tcW w:w="0" w:type="auto"/>
            <w:gridSpan w:val="3"/>
            <w:shd w:val="clear" w:color="auto" w:fill="auto"/>
            <w:vAlign w:val="bottom"/>
          </w:tcPr>
          <w:p w14:paraId="392C128B" w14:textId="77777777" w:rsidR="00980E5F" w:rsidRDefault="00980E5F">
            <w:pPr>
              <w:rPr>
                <w:rFonts w:ascii="宋体"/>
                <w:vanish/>
              </w:rPr>
            </w:pPr>
          </w:p>
        </w:tc>
        <w:tc>
          <w:tcPr>
            <w:tcW w:w="0" w:type="auto"/>
            <w:gridSpan w:val="3"/>
            <w:shd w:val="clear" w:color="auto" w:fill="auto"/>
            <w:vAlign w:val="bottom"/>
          </w:tcPr>
          <w:p w14:paraId="392C128C" w14:textId="77777777" w:rsidR="00980E5F" w:rsidRDefault="00980E5F">
            <w:pPr>
              <w:rPr>
                <w:rFonts w:ascii="宋体"/>
                <w:vanish/>
              </w:rPr>
            </w:pPr>
          </w:p>
        </w:tc>
      </w:tr>
      <w:tr w:rsidR="00980E5F" w14:paraId="392C1297" w14:textId="77777777">
        <w:trPr>
          <w:hidden/>
        </w:trPr>
        <w:tc>
          <w:tcPr>
            <w:tcW w:w="0" w:type="auto"/>
            <w:gridSpan w:val="3"/>
            <w:shd w:val="clear" w:color="auto" w:fill="auto"/>
            <w:vAlign w:val="bottom"/>
          </w:tcPr>
          <w:p w14:paraId="392C128E" w14:textId="77777777" w:rsidR="00980E5F" w:rsidRDefault="00980E5F">
            <w:pPr>
              <w:rPr>
                <w:rFonts w:ascii="宋体"/>
                <w:vanish/>
              </w:rPr>
            </w:pPr>
          </w:p>
        </w:tc>
        <w:tc>
          <w:tcPr>
            <w:tcW w:w="0" w:type="auto"/>
            <w:gridSpan w:val="3"/>
            <w:shd w:val="clear" w:color="auto" w:fill="auto"/>
            <w:vAlign w:val="bottom"/>
          </w:tcPr>
          <w:p w14:paraId="392C128F" w14:textId="77777777" w:rsidR="00980E5F" w:rsidRDefault="00980E5F">
            <w:pPr>
              <w:rPr>
                <w:rFonts w:ascii="宋体"/>
                <w:vanish/>
              </w:rPr>
            </w:pPr>
          </w:p>
        </w:tc>
        <w:tc>
          <w:tcPr>
            <w:tcW w:w="0" w:type="auto"/>
            <w:gridSpan w:val="3"/>
            <w:shd w:val="clear" w:color="auto" w:fill="auto"/>
            <w:vAlign w:val="bottom"/>
          </w:tcPr>
          <w:p w14:paraId="392C1290" w14:textId="77777777" w:rsidR="00980E5F" w:rsidRDefault="00980E5F">
            <w:pPr>
              <w:rPr>
                <w:rFonts w:ascii="宋体"/>
                <w:vanish/>
              </w:rPr>
            </w:pPr>
          </w:p>
        </w:tc>
        <w:tc>
          <w:tcPr>
            <w:tcW w:w="0" w:type="auto"/>
            <w:gridSpan w:val="3"/>
            <w:shd w:val="clear" w:color="auto" w:fill="auto"/>
            <w:vAlign w:val="bottom"/>
          </w:tcPr>
          <w:p w14:paraId="392C1291" w14:textId="77777777" w:rsidR="00980E5F" w:rsidRDefault="00980E5F">
            <w:pPr>
              <w:rPr>
                <w:rFonts w:ascii="宋体"/>
                <w:vanish/>
              </w:rPr>
            </w:pPr>
          </w:p>
        </w:tc>
        <w:tc>
          <w:tcPr>
            <w:tcW w:w="0" w:type="auto"/>
            <w:gridSpan w:val="3"/>
            <w:shd w:val="clear" w:color="auto" w:fill="auto"/>
            <w:vAlign w:val="bottom"/>
          </w:tcPr>
          <w:p w14:paraId="392C1292" w14:textId="77777777" w:rsidR="00980E5F" w:rsidRDefault="00980E5F">
            <w:pPr>
              <w:rPr>
                <w:rFonts w:ascii="宋体"/>
                <w:vanish/>
              </w:rPr>
            </w:pPr>
          </w:p>
        </w:tc>
        <w:tc>
          <w:tcPr>
            <w:tcW w:w="0" w:type="auto"/>
            <w:gridSpan w:val="3"/>
            <w:shd w:val="clear" w:color="auto" w:fill="auto"/>
            <w:vAlign w:val="bottom"/>
          </w:tcPr>
          <w:p w14:paraId="392C1293" w14:textId="77777777" w:rsidR="00980E5F" w:rsidRDefault="00980E5F">
            <w:pPr>
              <w:rPr>
                <w:rFonts w:ascii="宋体"/>
                <w:vanish/>
              </w:rPr>
            </w:pPr>
          </w:p>
        </w:tc>
        <w:tc>
          <w:tcPr>
            <w:tcW w:w="0" w:type="auto"/>
            <w:gridSpan w:val="3"/>
            <w:shd w:val="clear" w:color="auto" w:fill="auto"/>
            <w:vAlign w:val="bottom"/>
          </w:tcPr>
          <w:p w14:paraId="392C1294" w14:textId="77777777" w:rsidR="00980E5F" w:rsidRDefault="00980E5F">
            <w:pPr>
              <w:rPr>
                <w:rFonts w:ascii="宋体"/>
                <w:vanish/>
              </w:rPr>
            </w:pPr>
          </w:p>
        </w:tc>
        <w:tc>
          <w:tcPr>
            <w:tcW w:w="0" w:type="auto"/>
            <w:gridSpan w:val="3"/>
            <w:shd w:val="clear" w:color="auto" w:fill="auto"/>
            <w:vAlign w:val="bottom"/>
          </w:tcPr>
          <w:p w14:paraId="392C1295" w14:textId="77777777" w:rsidR="00980E5F" w:rsidRDefault="00980E5F">
            <w:pPr>
              <w:rPr>
                <w:rFonts w:ascii="宋体"/>
                <w:vanish/>
              </w:rPr>
            </w:pPr>
          </w:p>
        </w:tc>
        <w:tc>
          <w:tcPr>
            <w:tcW w:w="0" w:type="auto"/>
            <w:gridSpan w:val="3"/>
            <w:shd w:val="clear" w:color="auto" w:fill="auto"/>
            <w:vAlign w:val="bottom"/>
          </w:tcPr>
          <w:p w14:paraId="392C1296" w14:textId="77777777" w:rsidR="00980E5F" w:rsidRDefault="00980E5F">
            <w:pPr>
              <w:rPr>
                <w:rFonts w:ascii="宋体"/>
                <w:vanish/>
              </w:rPr>
            </w:pPr>
          </w:p>
        </w:tc>
      </w:tr>
      <w:tr w:rsidR="00980E5F" w14:paraId="392C12A1" w14:textId="77777777">
        <w:trPr>
          <w:hidden/>
        </w:trPr>
        <w:tc>
          <w:tcPr>
            <w:tcW w:w="0" w:type="auto"/>
            <w:gridSpan w:val="3"/>
            <w:shd w:val="clear" w:color="auto" w:fill="auto"/>
            <w:vAlign w:val="bottom"/>
          </w:tcPr>
          <w:p w14:paraId="392C1298" w14:textId="77777777" w:rsidR="00980E5F" w:rsidRDefault="00980E5F">
            <w:pPr>
              <w:rPr>
                <w:rFonts w:ascii="宋体"/>
                <w:vanish/>
              </w:rPr>
            </w:pPr>
          </w:p>
        </w:tc>
        <w:tc>
          <w:tcPr>
            <w:tcW w:w="0" w:type="auto"/>
            <w:gridSpan w:val="3"/>
            <w:shd w:val="clear" w:color="auto" w:fill="auto"/>
            <w:vAlign w:val="bottom"/>
          </w:tcPr>
          <w:p w14:paraId="392C1299" w14:textId="77777777" w:rsidR="00980E5F" w:rsidRDefault="00980E5F">
            <w:pPr>
              <w:rPr>
                <w:rFonts w:ascii="宋体"/>
                <w:vanish/>
              </w:rPr>
            </w:pPr>
          </w:p>
        </w:tc>
        <w:tc>
          <w:tcPr>
            <w:tcW w:w="0" w:type="auto"/>
            <w:gridSpan w:val="3"/>
            <w:shd w:val="clear" w:color="auto" w:fill="auto"/>
            <w:vAlign w:val="bottom"/>
          </w:tcPr>
          <w:p w14:paraId="392C129A" w14:textId="77777777" w:rsidR="00980E5F" w:rsidRDefault="00980E5F">
            <w:pPr>
              <w:rPr>
                <w:rFonts w:ascii="宋体"/>
                <w:vanish/>
              </w:rPr>
            </w:pPr>
          </w:p>
        </w:tc>
        <w:tc>
          <w:tcPr>
            <w:tcW w:w="0" w:type="auto"/>
            <w:gridSpan w:val="3"/>
            <w:shd w:val="clear" w:color="auto" w:fill="auto"/>
            <w:vAlign w:val="bottom"/>
          </w:tcPr>
          <w:p w14:paraId="392C129B" w14:textId="77777777" w:rsidR="00980E5F" w:rsidRDefault="00980E5F">
            <w:pPr>
              <w:rPr>
                <w:rFonts w:ascii="宋体"/>
                <w:vanish/>
              </w:rPr>
            </w:pPr>
          </w:p>
        </w:tc>
        <w:tc>
          <w:tcPr>
            <w:tcW w:w="0" w:type="auto"/>
            <w:gridSpan w:val="3"/>
            <w:shd w:val="clear" w:color="auto" w:fill="auto"/>
            <w:vAlign w:val="bottom"/>
          </w:tcPr>
          <w:p w14:paraId="392C129C" w14:textId="77777777" w:rsidR="00980E5F" w:rsidRDefault="00980E5F">
            <w:pPr>
              <w:rPr>
                <w:rFonts w:ascii="宋体"/>
                <w:vanish/>
              </w:rPr>
            </w:pPr>
          </w:p>
        </w:tc>
        <w:tc>
          <w:tcPr>
            <w:tcW w:w="0" w:type="auto"/>
            <w:gridSpan w:val="3"/>
            <w:shd w:val="clear" w:color="auto" w:fill="auto"/>
            <w:vAlign w:val="bottom"/>
          </w:tcPr>
          <w:p w14:paraId="392C129D" w14:textId="77777777" w:rsidR="00980E5F" w:rsidRDefault="00980E5F">
            <w:pPr>
              <w:rPr>
                <w:rFonts w:ascii="宋体"/>
                <w:vanish/>
              </w:rPr>
            </w:pPr>
          </w:p>
        </w:tc>
        <w:tc>
          <w:tcPr>
            <w:tcW w:w="0" w:type="auto"/>
            <w:gridSpan w:val="3"/>
            <w:shd w:val="clear" w:color="auto" w:fill="auto"/>
            <w:vAlign w:val="bottom"/>
          </w:tcPr>
          <w:p w14:paraId="392C129E" w14:textId="77777777" w:rsidR="00980E5F" w:rsidRDefault="00980E5F">
            <w:pPr>
              <w:rPr>
                <w:rFonts w:ascii="宋体"/>
                <w:vanish/>
              </w:rPr>
            </w:pPr>
          </w:p>
        </w:tc>
        <w:tc>
          <w:tcPr>
            <w:tcW w:w="0" w:type="auto"/>
            <w:gridSpan w:val="3"/>
            <w:shd w:val="clear" w:color="auto" w:fill="auto"/>
            <w:vAlign w:val="bottom"/>
          </w:tcPr>
          <w:p w14:paraId="392C129F" w14:textId="77777777" w:rsidR="00980E5F" w:rsidRDefault="00980E5F">
            <w:pPr>
              <w:rPr>
                <w:rFonts w:ascii="宋体"/>
                <w:vanish/>
              </w:rPr>
            </w:pPr>
          </w:p>
        </w:tc>
        <w:tc>
          <w:tcPr>
            <w:tcW w:w="0" w:type="auto"/>
            <w:gridSpan w:val="3"/>
            <w:shd w:val="clear" w:color="auto" w:fill="auto"/>
            <w:vAlign w:val="bottom"/>
          </w:tcPr>
          <w:p w14:paraId="392C12A0" w14:textId="77777777" w:rsidR="00980E5F" w:rsidRDefault="00980E5F">
            <w:pPr>
              <w:rPr>
                <w:rFonts w:ascii="宋体"/>
                <w:vanish/>
              </w:rPr>
            </w:pPr>
          </w:p>
        </w:tc>
      </w:tr>
      <w:tr w:rsidR="00980E5F" w14:paraId="392C12AB" w14:textId="77777777">
        <w:trPr>
          <w:hidden/>
        </w:trPr>
        <w:tc>
          <w:tcPr>
            <w:tcW w:w="0" w:type="auto"/>
            <w:gridSpan w:val="3"/>
            <w:shd w:val="clear" w:color="auto" w:fill="auto"/>
            <w:vAlign w:val="bottom"/>
          </w:tcPr>
          <w:p w14:paraId="392C12A2" w14:textId="77777777" w:rsidR="00980E5F" w:rsidRDefault="00980E5F">
            <w:pPr>
              <w:rPr>
                <w:rFonts w:ascii="宋体"/>
                <w:vanish/>
              </w:rPr>
            </w:pPr>
          </w:p>
        </w:tc>
        <w:tc>
          <w:tcPr>
            <w:tcW w:w="0" w:type="auto"/>
            <w:gridSpan w:val="3"/>
            <w:shd w:val="clear" w:color="auto" w:fill="auto"/>
            <w:vAlign w:val="bottom"/>
          </w:tcPr>
          <w:p w14:paraId="392C12A3" w14:textId="77777777" w:rsidR="00980E5F" w:rsidRDefault="00980E5F">
            <w:pPr>
              <w:rPr>
                <w:rFonts w:ascii="宋体"/>
                <w:vanish/>
              </w:rPr>
            </w:pPr>
          </w:p>
        </w:tc>
        <w:tc>
          <w:tcPr>
            <w:tcW w:w="0" w:type="auto"/>
            <w:gridSpan w:val="3"/>
            <w:shd w:val="clear" w:color="auto" w:fill="auto"/>
            <w:vAlign w:val="bottom"/>
          </w:tcPr>
          <w:p w14:paraId="392C12A4" w14:textId="77777777" w:rsidR="00980E5F" w:rsidRDefault="00980E5F">
            <w:pPr>
              <w:rPr>
                <w:rFonts w:ascii="宋体"/>
                <w:vanish/>
              </w:rPr>
            </w:pPr>
          </w:p>
        </w:tc>
        <w:tc>
          <w:tcPr>
            <w:tcW w:w="0" w:type="auto"/>
            <w:gridSpan w:val="3"/>
            <w:shd w:val="clear" w:color="auto" w:fill="auto"/>
            <w:vAlign w:val="bottom"/>
          </w:tcPr>
          <w:p w14:paraId="392C12A5" w14:textId="77777777" w:rsidR="00980E5F" w:rsidRDefault="00980E5F">
            <w:pPr>
              <w:rPr>
                <w:rFonts w:ascii="宋体"/>
                <w:vanish/>
              </w:rPr>
            </w:pPr>
          </w:p>
        </w:tc>
        <w:tc>
          <w:tcPr>
            <w:tcW w:w="0" w:type="auto"/>
            <w:gridSpan w:val="3"/>
            <w:shd w:val="clear" w:color="auto" w:fill="auto"/>
            <w:vAlign w:val="bottom"/>
          </w:tcPr>
          <w:p w14:paraId="392C12A6" w14:textId="77777777" w:rsidR="00980E5F" w:rsidRDefault="00980E5F">
            <w:pPr>
              <w:rPr>
                <w:rFonts w:ascii="宋体"/>
                <w:vanish/>
              </w:rPr>
            </w:pPr>
          </w:p>
        </w:tc>
        <w:tc>
          <w:tcPr>
            <w:tcW w:w="0" w:type="auto"/>
            <w:gridSpan w:val="3"/>
            <w:shd w:val="clear" w:color="auto" w:fill="auto"/>
            <w:vAlign w:val="bottom"/>
          </w:tcPr>
          <w:p w14:paraId="392C12A7" w14:textId="77777777" w:rsidR="00980E5F" w:rsidRDefault="00980E5F">
            <w:pPr>
              <w:rPr>
                <w:rFonts w:ascii="宋体"/>
                <w:vanish/>
              </w:rPr>
            </w:pPr>
          </w:p>
        </w:tc>
        <w:tc>
          <w:tcPr>
            <w:tcW w:w="0" w:type="auto"/>
            <w:gridSpan w:val="3"/>
            <w:shd w:val="clear" w:color="auto" w:fill="auto"/>
            <w:vAlign w:val="bottom"/>
          </w:tcPr>
          <w:p w14:paraId="392C12A8" w14:textId="77777777" w:rsidR="00980E5F" w:rsidRDefault="00980E5F">
            <w:pPr>
              <w:rPr>
                <w:rFonts w:ascii="宋体"/>
                <w:vanish/>
              </w:rPr>
            </w:pPr>
          </w:p>
        </w:tc>
        <w:tc>
          <w:tcPr>
            <w:tcW w:w="0" w:type="auto"/>
            <w:gridSpan w:val="3"/>
            <w:shd w:val="clear" w:color="auto" w:fill="auto"/>
            <w:vAlign w:val="bottom"/>
          </w:tcPr>
          <w:p w14:paraId="392C12A9" w14:textId="77777777" w:rsidR="00980E5F" w:rsidRDefault="00980E5F">
            <w:pPr>
              <w:rPr>
                <w:rFonts w:ascii="宋体"/>
                <w:vanish/>
              </w:rPr>
            </w:pPr>
          </w:p>
        </w:tc>
        <w:tc>
          <w:tcPr>
            <w:tcW w:w="0" w:type="auto"/>
            <w:gridSpan w:val="3"/>
            <w:shd w:val="clear" w:color="auto" w:fill="auto"/>
            <w:vAlign w:val="bottom"/>
          </w:tcPr>
          <w:p w14:paraId="392C12AA" w14:textId="77777777" w:rsidR="00980E5F" w:rsidRDefault="00980E5F">
            <w:pPr>
              <w:rPr>
                <w:rFonts w:ascii="宋体"/>
                <w:vanish/>
              </w:rPr>
            </w:pPr>
          </w:p>
        </w:tc>
      </w:tr>
      <w:tr w:rsidR="00980E5F" w14:paraId="392C12B5" w14:textId="77777777">
        <w:trPr>
          <w:hidden/>
        </w:trPr>
        <w:tc>
          <w:tcPr>
            <w:tcW w:w="0" w:type="auto"/>
            <w:gridSpan w:val="3"/>
            <w:shd w:val="clear" w:color="auto" w:fill="auto"/>
            <w:vAlign w:val="bottom"/>
          </w:tcPr>
          <w:p w14:paraId="392C12AC" w14:textId="77777777" w:rsidR="00980E5F" w:rsidRDefault="00980E5F">
            <w:pPr>
              <w:rPr>
                <w:rFonts w:ascii="宋体"/>
                <w:vanish/>
              </w:rPr>
            </w:pPr>
          </w:p>
        </w:tc>
        <w:tc>
          <w:tcPr>
            <w:tcW w:w="0" w:type="auto"/>
            <w:gridSpan w:val="3"/>
            <w:shd w:val="clear" w:color="auto" w:fill="auto"/>
            <w:vAlign w:val="bottom"/>
          </w:tcPr>
          <w:p w14:paraId="392C12AD" w14:textId="77777777" w:rsidR="00980E5F" w:rsidRDefault="00980E5F">
            <w:pPr>
              <w:rPr>
                <w:rFonts w:ascii="宋体"/>
                <w:vanish/>
              </w:rPr>
            </w:pPr>
          </w:p>
        </w:tc>
        <w:tc>
          <w:tcPr>
            <w:tcW w:w="0" w:type="auto"/>
            <w:gridSpan w:val="3"/>
            <w:shd w:val="clear" w:color="auto" w:fill="auto"/>
            <w:vAlign w:val="bottom"/>
          </w:tcPr>
          <w:p w14:paraId="392C12AE" w14:textId="77777777" w:rsidR="00980E5F" w:rsidRDefault="00980E5F">
            <w:pPr>
              <w:rPr>
                <w:rFonts w:ascii="宋体"/>
                <w:vanish/>
              </w:rPr>
            </w:pPr>
          </w:p>
        </w:tc>
        <w:tc>
          <w:tcPr>
            <w:tcW w:w="0" w:type="auto"/>
            <w:gridSpan w:val="3"/>
            <w:shd w:val="clear" w:color="auto" w:fill="auto"/>
            <w:vAlign w:val="bottom"/>
          </w:tcPr>
          <w:p w14:paraId="392C12AF" w14:textId="77777777" w:rsidR="00980E5F" w:rsidRDefault="00980E5F">
            <w:pPr>
              <w:rPr>
                <w:rFonts w:ascii="宋体"/>
                <w:vanish/>
              </w:rPr>
            </w:pPr>
          </w:p>
        </w:tc>
        <w:tc>
          <w:tcPr>
            <w:tcW w:w="0" w:type="auto"/>
            <w:gridSpan w:val="3"/>
            <w:shd w:val="clear" w:color="auto" w:fill="auto"/>
            <w:vAlign w:val="bottom"/>
          </w:tcPr>
          <w:p w14:paraId="392C12B0" w14:textId="77777777" w:rsidR="00980E5F" w:rsidRDefault="00980E5F">
            <w:pPr>
              <w:rPr>
                <w:rFonts w:ascii="宋体"/>
                <w:vanish/>
              </w:rPr>
            </w:pPr>
          </w:p>
        </w:tc>
        <w:tc>
          <w:tcPr>
            <w:tcW w:w="0" w:type="auto"/>
            <w:gridSpan w:val="3"/>
            <w:shd w:val="clear" w:color="auto" w:fill="auto"/>
            <w:vAlign w:val="bottom"/>
          </w:tcPr>
          <w:p w14:paraId="392C12B1" w14:textId="77777777" w:rsidR="00980E5F" w:rsidRDefault="00980E5F">
            <w:pPr>
              <w:rPr>
                <w:rFonts w:ascii="宋体"/>
                <w:vanish/>
              </w:rPr>
            </w:pPr>
          </w:p>
        </w:tc>
        <w:tc>
          <w:tcPr>
            <w:tcW w:w="0" w:type="auto"/>
            <w:gridSpan w:val="3"/>
            <w:shd w:val="clear" w:color="auto" w:fill="auto"/>
            <w:vAlign w:val="bottom"/>
          </w:tcPr>
          <w:p w14:paraId="392C12B2" w14:textId="77777777" w:rsidR="00980E5F" w:rsidRDefault="00980E5F">
            <w:pPr>
              <w:rPr>
                <w:rFonts w:ascii="宋体"/>
                <w:vanish/>
              </w:rPr>
            </w:pPr>
          </w:p>
        </w:tc>
        <w:tc>
          <w:tcPr>
            <w:tcW w:w="0" w:type="auto"/>
            <w:gridSpan w:val="3"/>
            <w:shd w:val="clear" w:color="auto" w:fill="auto"/>
            <w:vAlign w:val="bottom"/>
          </w:tcPr>
          <w:p w14:paraId="392C12B3" w14:textId="77777777" w:rsidR="00980E5F" w:rsidRDefault="00980E5F">
            <w:pPr>
              <w:rPr>
                <w:rFonts w:ascii="宋体"/>
                <w:vanish/>
              </w:rPr>
            </w:pPr>
          </w:p>
        </w:tc>
        <w:tc>
          <w:tcPr>
            <w:tcW w:w="0" w:type="auto"/>
            <w:gridSpan w:val="3"/>
            <w:shd w:val="clear" w:color="auto" w:fill="auto"/>
            <w:vAlign w:val="bottom"/>
          </w:tcPr>
          <w:p w14:paraId="392C12B4" w14:textId="77777777" w:rsidR="00980E5F" w:rsidRDefault="00980E5F">
            <w:pPr>
              <w:rPr>
                <w:rFonts w:ascii="宋体"/>
                <w:vanish/>
              </w:rPr>
            </w:pPr>
          </w:p>
        </w:tc>
      </w:tr>
      <w:tr w:rsidR="00980E5F" w14:paraId="392C12C3" w14:textId="77777777">
        <w:tc>
          <w:tcPr>
            <w:tcW w:w="0" w:type="auto"/>
            <w:gridSpan w:val="3"/>
            <w:shd w:val="clear" w:color="auto" w:fill="CCEEFF"/>
            <w:tcMar>
              <w:top w:w="40" w:type="dxa"/>
              <w:left w:w="20" w:type="dxa"/>
              <w:bottom w:w="40" w:type="dxa"/>
              <w:right w:w="20" w:type="dxa"/>
            </w:tcMar>
            <w:vAlign w:val="bottom"/>
          </w:tcPr>
          <w:p w14:paraId="392C12B6" w14:textId="77777777" w:rsidR="00980E5F" w:rsidRDefault="00483613">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held-to-maturity securities</w:t>
            </w:r>
            <w:r>
              <w:rPr>
                <w:rFonts w:ascii="Arial" w:eastAsia="宋体" w:hAnsi="Arial" w:cs="Arial"/>
                <w:color w:val="000000"/>
                <w:sz w:val="9"/>
                <w:szCs w:val="9"/>
              </w:rPr>
              <w:t>(6)(7)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2B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2B8" w14:textId="77777777" w:rsidR="00980E5F" w:rsidRDefault="00483613">
            <w:pPr>
              <w:jc w:val="right"/>
              <w:textAlignment w:val="bottom"/>
            </w:pPr>
            <w:r>
              <w:rPr>
                <w:rFonts w:ascii="Arial" w:eastAsia="宋体" w:hAnsi="Arial" w:cs="Arial"/>
                <w:b/>
                <w:bCs/>
                <w:color w:val="000000"/>
                <w:sz w:val="14"/>
                <w:szCs w:val="14"/>
              </w:rPr>
              <w:t>64,261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2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2B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2B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2BC" w14:textId="77777777" w:rsidR="00980E5F" w:rsidRDefault="00483613">
            <w:pPr>
              <w:jc w:val="right"/>
              <w:textAlignment w:val="bottom"/>
            </w:pPr>
            <w:r>
              <w:rPr>
                <w:rFonts w:ascii="Arial" w:eastAsia="宋体" w:hAnsi="Arial" w:cs="Arial"/>
                <w:color w:val="000000"/>
                <w:sz w:val="14"/>
                <w:szCs w:val="14"/>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2BD" w14:textId="77777777" w:rsidR="00980E5F" w:rsidRDefault="00980E5F">
            <w:pPr>
              <w:jc w:val="right"/>
              <w:rPr>
                <w:rFonts w:ascii="宋体"/>
              </w:rPr>
            </w:pPr>
          </w:p>
        </w:tc>
        <w:tc>
          <w:tcPr>
            <w:tcW w:w="0" w:type="auto"/>
            <w:gridSpan w:val="3"/>
            <w:shd w:val="clear" w:color="auto" w:fill="auto"/>
            <w:vAlign w:val="bottom"/>
          </w:tcPr>
          <w:p w14:paraId="392C12BE" w14:textId="77777777" w:rsidR="00980E5F" w:rsidRDefault="00980E5F">
            <w:pPr>
              <w:rPr>
                <w:rFonts w:ascii="宋体"/>
                <w:vanish/>
              </w:rPr>
            </w:pPr>
          </w:p>
        </w:tc>
        <w:tc>
          <w:tcPr>
            <w:tcW w:w="0" w:type="auto"/>
            <w:gridSpan w:val="3"/>
            <w:shd w:val="clear" w:color="auto" w:fill="auto"/>
            <w:vAlign w:val="bottom"/>
          </w:tcPr>
          <w:p w14:paraId="392C12BF" w14:textId="77777777" w:rsidR="00980E5F" w:rsidRDefault="00980E5F">
            <w:pPr>
              <w:rPr>
                <w:rFonts w:ascii="宋体"/>
                <w:vanish/>
              </w:rPr>
            </w:pPr>
          </w:p>
        </w:tc>
        <w:tc>
          <w:tcPr>
            <w:tcW w:w="0" w:type="auto"/>
            <w:gridSpan w:val="3"/>
            <w:shd w:val="clear" w:color="auto" w:fill="auto"/>
            <w:vAlign w:val="bottom"/>
          </w:tcPr>
          <w:p w14:paraId="392C12C0" w14:textId="77777777" w:rsidR="00980E5F" w:rsidRDefault="00980E5F">
            <w:pPr>
              <w:rPr>
                <w:rFonts w:ascii="宋体"/>
                <w:vanish/>
              </w:rPr>
            </w:pPr>
          </w:p>
        </w:tc>
        <w:tc>
          <w:tcPr>
            <w:tcW w:w="0" w:type="auto"/>
            <w:gridSpan w:val="3"/>
            <w:shd w:val="clear" w:color="auto" w:fill="auto"/>
            <w:vAlign w:val="bottom"/>
          </w:tcPr>
          <w:p w14:paraId="392C12C1" w14:textId="77777777" w:rsidR="00980E5F" w:rsidRDefault="00980E5F">
            <w:pPr>
              <w:rPr>
                <w:rFonts w:ascii="宋体"/>
                <w:vanish/>
              </w:rPr>
            </w:pPr>
          </w:p>
        </w:tc>
        <w:tc>
          <w:tcPr>
            <w:tcW w:w="0" w:type="auto"/>
            <w:gridSpan w:val="3"/>
            <w:shd w:val="clear" w:color="auto" w:fill="auto"/>
            <w:vAlign w:val="bottom"/>
          </w:tcPr>
          <w:p w14:paraId="392C12C2" w14:textId="77777777" w:rsidR="00980E5F" w:rsidRDefault="00980E5F">
            <w:pPr>
              <w:rPr>
                <w:rFonts w:ascii="宋体"/>
                <w:vanish/>
              </w:rPr>
            </w:pPr>
          </w:p>
        </w:tc>
      </w:tr>
    </w:tbl>
    <w:p w14:paraId="392C12C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980E5F" w14:paraId="392C12D0" w14:textId="77777777">
        <w:tc>
          <w:tcPr>
            <w:tcW w:w="50" w:type="pct"/>
            <w:shd w:val="clear" w:color="auto" w:fill="auto"/>
            <w:vAlign w:val="bottom"/>
          </w:tcPr>
          <w:p w14:paraId="392C12C5" w14:textId="77777777" w:rsidR="00980E5F" w:rsidRDefault="00980E5F">
            <w:pPr>
              <w:rPr>
                <w:rFonts w:ascii="宋体"/>
              </w:rPr>
            </w:pPr>
          </w:p>
        </w:tc>
        <w:tc>
          <w:tcPr>
            <w:tcW w:w="2374" w:type="pct"/>
            <w:shd w:val="clear" w:color="auto" w:fill="auto"/>
            <w:vAlign w:val="bottom"/>
          </w:tcPr>
          <w:p w14:paraId="392C12C6" w14:textId="77777777" w:rsidR="00980E5F" w:rsidRDefault="00980E5F">
            <w:pPr>
              <w:rPr>
                <w:rFonts w:ascii="宋体"/>
              </w:rPr>
            </w:pPr>
          </w:p>
        </w:tc>
        <w:tc>
          <w:tcPr>
            <w:tcW w:w="5" w:type="pct"/>
            <w:shd w:val="clear" w:color="auto" w:fill="auto"/>
            <w:vAlign w:val="bottom"/>
          </w:tcPr>
          <w:p w14:paraId="392C12C7" w14:textId="77777777" w:rsidR="00980E5F" w:rsidRDefault="00980E5F">
            <w:pPr>
              <w:rPr>
                <w:rFonts w:ascii="宋体"/>
              </w:rPr>
            </w:pPr>
          </w:p>
        </w:tc>
        <w:tc>
          <w:tcPr>
            <w:tcW w:w="50" w:type="pct"/>
            <w:shd w:val="clear" w:color="auto" w:fill="auto"/>
            <w:vAlign w:val="bottom"/>
          </w:tcPr>
          <w:p w14:paraId="392C12C8" w14:textId="77777777" w:rsidR="00980E5F" w:rsidRDefault="00980E5F">
            <w:pPr>
              <w:rPr>
                <w:rFonts w:ascii="宋体"/>
              </w:rPr>
            </w:pPr>
          </w:p>
        </w:tc>
        <w:tc>
          <w:tcPr>
            <w:tcW w:w="1057" w:type="pct"/>
            <w:shd w:val="clear" w:color="auto" w:fill="auto"/>
            <w:vAlign w:val="bottom"/>
          </w:tcPr>
          <w:p w14:paraId="392C12C9" w14:textId="77777777" w:rsidR="00980E5F" w:rsidRDefault="00980E5F">
            <w:pPr>
              <w:rPr>
                <w:rFonts w:ascii="宋体"/>
              </w:rPr>
            </w:pPr>
          </w:p>
        </w:tc>
        <w:tc>
          <w:tcPr>
            <w:tcW w:w="5" w:type="pct"/>
            <w:shd w:val="clear" w:color="auto" w:fill="auto"/>
            <w:vAlign w:val="bottom"/>
          </w:tcPr>
          <w:p w14:paraId="392C12CA" w14:textId="77777777" w:rsidR="00980E5F" w:rsidRDefault="00980E5F">
            <w:pPr>
              <w:rPr>
                <w:rFonts w:ascii="宋体"/>
              </w:rPr>
            </w:pPr>
          </w:p>
        </w:tc>
        <w:tc>
          <w:tcPr>
            <w:tcW w:w="50" w:type="pct"/>
            <w:shd w:val="clear" w:color="auto" w:fill="auto"/>
            <w:vAlign w:val="bottom"/>
          </w:tcPr>
          <w:p w14:paraId="392C12CB" w14:textId="77777777" w:rsidR="00980E5F" w:rsidRDefault="00980E5F">
            <w:pPr>
              <w:rPr>
                <w:rFonts w:ascii="宋体"/>
              </w:rPr>
            </w:pPr>
          </w:p>
        </w:tc>
        <w:tc>
          <w:tcPr>
            <w:tcW w:w="1402" w:type="pct"/>
            <w:shd w:val="clear" w:color="auto" w:fill="auto"/>
            <w:vAlign w:val="bottom"/>
          </w:tcPr>
          <w:p w14:paraId="392C12CC" w14:textId="77777777" w:rsidR="00980E5F" w:rsidRDefault="00980E5F">
            <w:pPr>
              <w:rPr>
                <w:rFonts w:ascii="宋体"/>
              </w:rPr>
            </w:pPr>
          </w:p>
        </w:tc>
        <w:tc>
          <w:tcPr>
            <w:tcW w:w="5" w:type="pct"/>
            <w:shd w:val="clear" w:color="auto" w:fill="auto"/>
            <w:vAlign w:val="bottom"/>
          </w:tcPr>
          <w:p w14:paraId="392C12CD" w14:textId="77777777" w:rsidR="00980E5F" w:rsidRDefault="00980E5F">
            <w:pPr>
              <w:rPr>
                <w:rFonts w:ascii="宋体"/>
              </w:rPr>
            </w:pPr>
          </w:p>
        </w:tc>
        <w:tc>
          <w:tcPr>
            <w:tcW w:w="0" w:type="auto"/>
            <w:shd w:val="clear" w:color="auto" w:fill="auto"/>
            <w:vAlign w:val="bottom"/>
          </w:tcPr>
          <w:p w14:paraId="392C12CE" w14:textId="77777777" w:rsidR="00980E5F" w:rsidRDefault="00980E5F">
            <w:pPr>
              <w:rPr>
                <w:rFonts w:ascii="宋体"/>
                <w:vanish/>
              </w:rPr>
            </w:pPr>
          </w:p>
        </w:tc>
        <w:tc>
          <w:tcPr>
            <w:tcW w:w="0" w:type="auto"/>
            <w:shd w:val="clear" w:color="auto" w:fill="auto"/>
            <w:vAlign w:val="bottom"/>
          </w:tcPr>
          <w:p w14:paraId="392C12CF" w14:textId="77777777" w:rsidR="00980E5F" w:rsidRDefault="00980E5F">
            <w:pPr>
              <w:rPr>
                <w:rFonts w:ascii="宋体"/>
                <w:vanish/>
              </w:rPr>
            </w:pPr>
          </w:p>
        </w:tc>
      </w:tr>
      <w:tr w:rsidR="00980E5F" w14:paraId="392C12D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2D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2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2D3" w14:textId="77777777" w:rsidR="00980E5F" w:rsidRDefault="00980E5F">
            <w:pPr>
              <w:rPr>
                <w:rFonts w:ascii="宋体"/>
              </w:rPr>
            </w:pPr>
          </w:p>
        </w:tc>
        <w:tc>
          <w:tcPr>
            <w:tcW w:w="0" w:type="auto"/>
            <w:shd w:val="clear" w:color="auto" w:fill="auto"/>
            <w:vAlign w:val="bottom"/>
          </w:tcPr>
          <w:p w14:paraId="392C12D4" w14:textId="77777777" w:rsidR="00980E5F" w:rsidRDefault="00980E5F">
            <w:pPr>
              <w:rPr>
                <w:rFonts w:ascii="宋体"/>
                <w:vanish/>
              </w:rPr>
            </w:pPr>
          </w:p>
        </w:tc>
        <w:tc>
          <w:tcPr>
            <w:tcW w:w="0" w:type="auto"/>
            <w:shd w:val="clear" w:color="auto" w:fill="auto"/>
            <w:vAlign w:val="bottom"/>
          </w:tcPr>
          <w:p w14:paraId="392C12D5" w14:textId="77777777" w:rsidR="00980E5F" w:rsidRDefault="00980E5F">
            <w:pPr>
              <w:rPr>
                <w:rFonts w:ascii="宋体"/>
                <w:vanish/>
              </w:rPr>
            </w:pPr>
          </w:p>
        </w:tc>
      </w:tr>
    </w:tbl>
    <w:p w14:paraId="392C12D7" w14:textId="77777777" w:rsidR="00980E5F" w:rsidRDefault="00483613">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June 30, 2022 and December 31, 2021, the carrying value includes non-U.S. corporate bonds of $1.10 billion and $1.53 billion, respectively. </w:t>
      </w:r>
    </w:p>
    <w:p w14:paraId="392C12D8" w14:textId="77777777" w:rsidR="00980E5F" w:rsidRDefault="00483613">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 of d</w:t>
      </w:r>
      <w:r>
        <w:rPr>
          <w:rFonts w:ascii="Arial" w:eastAsia="宋体" w:hAnsi="Arial" w:cs="Arial"/>
          <w:color w:val="000000"/>
          <w:sz w:val="13"/>
          <w:szCs w:val="13"/>
        </w:rPr>
        <w:t>efaulted principal and accrued interest on the underlying loans.</w:t>
      </w:r>
    </w:p>
    <w:p w14:paraId="392C12D9" w14:textId="77777777" w:rsidR="00980E5F" w:rsidRDefault="00483613">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Excludes collateralized loan obligations in loan form. Refer to Note 4 for additional information.</w:t>
      </w:r>
    </w:p>
    <w:p w14:paraId="392C12DA" w14:textId="77777777" w:rsidR="00980E5F" w:rsidRDefault="00483613">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Consists entirely of non-agency CMBS as of both June 30, 2022 and December 31, 2021.</w:t>
      </w:r>
    </w:p>
    <w:p w14:paraId="392C12DB" w14:textId="77777777" w:rsidR="00980E5F" w:rsidRDefault="00483613">
      <w:pPr>
        <w:spacing w:before="20"/>
        <w:jc w:val="both"/>
        <w:textAlignment w:val="top"/>
      </w:pPr>
      <w:r>
        <w:rPr>
          <w:rFonts w:ascii="Arial" w:eastAsia="宋体" w:hAnsi="Arial" w:cs="Arial"/>
          <w:color w:val="000000"/>
          <w:sz w:val="8"/>
          <w:szCs w:val="8"/>
        </w:rPr>
        <w:t>(5)</w:t>
      </w:r>
      <w:r>
        <w:rPr>
          <w:rFonts w:ascii="Arial" w:eastAsia="宋体" w:hAnsi="Arial" w:cs="Arial"/>
          <w:color w:val="000000"/>
          <w:sz w:val="13"/>
          <w:szCs w:val="13"/>
        </w:rPr>
        <w:t xml:space="preserve"> As of June 30, 2022 and December 31, 2021, the carrying value of U.S. corporate bonds was $1.00 billion and $2.44 billion, respectively. </w:t>
      </w:r>
    </w:p>
    <w:p w14:paraId="392C12DC" w14:textId="77777777" w:rsidR="00980E5F" w:rsidRDefault="00483613">
      <w:pPr>
        <w:spacing w:before="90"/>
        <w:jc w:val="both"/>
        <w:textAlignment w:val="top"/>
      </w:pPr>
      <w:r>
        <w:rPr>
          <w:rFonts w:ascii="Arial" w:eastAsia="宋体" w:hAnsi="Arial" w:cs="Arial"/>
          <w:color w:val="000000"/>
          <w:sz w:val="8"/>
          <w:szCs w:val="8"/>
        </w:rPr>
        <w:t xml:space="preserve">(6) </w:t>
      </w:r>
      <w:r>
        <w:rPr>
          <w:rFonts w:ascii="Arial" w:eastAsia="宋体" w:hAnsi="Arial" w:cs="Arial"/>
          <w:color w:val="000000"/>
          <w:sz w:val="13"/>
          <w:szCs w:val="13"/>
        </w:rPr>
        <w:t>An immaterial amount of accrued interest related to HTM and AFS investment securities was excluded from the a</w:t>
      </w:r>
      <w:r>
        <w:rPr>
          <w:rFonts w:ascii="Arial" w:eastAsia="宋体" w:hAnsi="Arial" w:cs="Arial"/>
          <w:color w:val="000000"/>
          <w:sz w:val="13"/>
          <w:szCs w:val="13"/>
        </w:rPr>
        <w:t>mortized cost basis for the period ended June 30, 2022.</w:t>
      </w:r>
    </w:p>
    <w:p w14:paraId="392C12DD" w14:textId="77777777" w:rsidR="00980E5F" w:rsidRDefault="00483613">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Approximately $21.23 billion was transferred from AFS to HTM securities in the second quarter of 2022.</w:t>
      </w:r>
    </w:p>
    <w:p w14:paraId="392C12DE" w14:textId="77777777" w:rsidR="00980E5F" w:rsidRDefault="00483613">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As of June 30, 2022 and December 31, 2021, the total amortized cost included $256 million</w:t>
      </w:r>
      <w:r>
        <w:rPr>
          <w:rFonts w:ascii="Arial" w:eastAsia="宋体" w:hAnsi="Arial" w:cs="Arial"/>
          <w:color w:val="000000"/>
          <w:sz w:val="13"/>
          <w:szCs w:val="13"/>
        </w:rPr>
        <w:t xml:space="preserve"> and $292 million, respectively, of non-agency CMBS and $11 million and $14 million of non-agency RMBS, respectively. </w:t>
      </w:r>
    </w:p>
    <w:p w14:paraId="392C12DF" w14:textId="77777777" w:rsidR="00980E5F" w:rsidRDefault="00980E5F">
      <w:pPr>
        <w:spacing w:before="60"/>
        <w:jc w:val="both"/>
        <w:textAlignment w:val="top"/>
      </w:pPr>
    </w:p>
    <w:p w14:paraId="392C12E0" w14:textId="77777777" w:rsidR="00980E5F" w:rsidRDefault="00980E5F">
      <w:pPr>
        <w:spacing w:before="60"/>
        <w:jc w:val="both"/>
        <w:textAlignment w:val="top"/>
      </w:pPr>
    </w:p>
    <w:p w14:paraId="392C12E1" w14:textId="77777777" w:rsidR="00980E5F" w:rsidRDefault="00483613">
      <w:pPr>
        <w:ind w:firstLine="450"/>
        <w:jc w:val="right"/>
      </w:pPr>
      <w:r>
        <w:rPr>
          <w:rFonts w:ascii="Arial" w:eastAsia="宋体" w:hAnsi="Arial" w:cs="Arial"/>
          <w:color w:val="000000"/>
          <w:sz w:val="18"/>
          <w:szCs w:val="18"/>
        </w:rPr>
        <w:t>State Street Corporation | 28</w:t>
      </w:r>
    </w:p>
    <w:p w14:paraId="392C12E2" w14:textId="77777777" w:rsidR="00980E5F" w:rsidRDefault="00980E5F">
      <w:pPr>
        <w:ind w:firstLine="450"/>
        <w:jc w:val="center"/>
      </w:pPr>
    </w:p>
    <w:p w14:paraId="392C12E3" w14:textId="77777777" w:rsidR="00980E5F" w:rsidRDefault="00483613">
      <w:r>
        <w:pict w14:anchorId="392CBAEA">
          <v:rect id="_x0000_i1052" style="width:415.3pt;height:1.5pt" o:hralign="center" o:hrstd="t" o:hr="t" fillcolor="#a0a0a0" stroked="f"/>
        </w:pict>
      </w:r>
    </w:p>
    <w:p w14:paraId="392C12E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2E5" w14:textId="77777777" w:rsidR="00980E5F" w:rsidRDefault="00483613">
      <w:pPr>
        <w:ind w:firstLine="450"/>
        <w:jc w:val="center"/>
      </w:pPr>
      <w:r>
        <w:rPr>
          <w:rFonts w:ascii="Arial" w:eastAsia="宋体" w:hAnsi="Arial" w:cs="Arial"/>
          <w:b/>
          <w:bCs/>
          <w:color w:val="000000"/>
          <w:sz w:val="20"/>
          <w:szCs w:val="20"/>
        </w:rPr>
        <w:t>AND RESULTS OF OPERATIONS</w:t>
      </w:r>
    </w:p>
    <w:p w14:paraId="392C12E6" w14:textId="77777777" w:rsidR="00980E5F" w:rsidRDefault="00483613">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consolidated financial statements in this Form 10-Q.</w:t>
      </w:r>
    </w:p>
    <w:p w14:paraId="392C12E7" w14:textId="77777777" w:rsidR="00980E5F" w:rsidRDefault="00483613">
      <w:pPr>
        <w:spacing w:before="60"/>
        <w:ind w:firstLine="450"/>
        <w:jc w:val="both"/>
        <w:textAlignment w:val="top"/>
      </w:pPr>
      <w:r>
        <w:rPr>
          <w:rFonts w:ascii="Arial" w:eastAsia="宋体" w:hAnsi="Arial" w:cs="Arial"/>
          <w:color w:val="000000"/>
          <w:sz w:val="20"/>
          <w:szCs w:val="20"/>
        </w:rPr>
        <w:t xml:space="preserve">We manage our investment securities portfolio to align with the interest rate and duration </w:t>
      </w:r>
      <w:r>
        <w:rPr>
          <w:rFonts w:ascii="Arial" w:eastAsia="宋体" w:hAnsi="Arial" w:cs="Arial"/>
          <w:color w:val="000000"/>
          <w:sz w:val="20"/>
          <w:szCs w:val="20"/>
        </w:rPr>
        <w:t>characteristics of our client liabilities and in the context of the overall structure of our consolidated statement of condition, in consideration of the global interest rate environment. We consider a well-diversified, high-credit quality investment secur</w:t>
      </w:r>
      <w:r>
        <w:rPr>
          <w:rFonts w:ascii="Arial" w:eastAsia="宋体" w:hAnsi="Arial" w:cs="Arial"/>
          <w:color w:val="000000"/>
          <w:sz w:val="20"/>
          <w:szCs w:val="20"/>
        </w:rPr>
        <w:t>ities portfolio to be an important element in the management of our consolidated statement of condition.</w:t>
      </w:r>
    </w:p>
    <w:p w14:paraId="392C12E8" w14:textId="77777777" w:rsidR="00980E5F" w:rsidRDefault="00483613">
      <w:pPr>
        <w:spacing w:before="60"/>
        <w:ind w:firstLine="450"/>
        <w:jc w:val="both"/>
        <w:textAlignment w:val="top"/>
      </w:pPr>
      <w:r>
        <w:rPr>
          <w:rFonts w:ascii="Arial" w:eastAsia="宋体" w:hAnsi="Arial" w:cs="Arial"/>
          <w:color w:val="000000"/>
          <w:sz w:val="20"/>
          <w:szCs w:val="20"/>
        </w:rPr>
        <w:t>During the second quarter of 2022, we completed a number of our previously announced actions to mitigate additional AOCI risk in the current environmen</w:t>
      </w:r>
      <w:r>
        <w:rPr>
          <w:rFonts w:ascii="Arial" w:eastAsia="宋体" w:hAnsi="Arial" w:cs="Arial"/>
          <w:color w:val="000000"/>
          <w:sz w:val="20"/>
          <w:szCs w:val="20"/>
        </w:rPr>
        <w:t>t including a $21.23 billion transfer of securities from AFS to HTM. While these measures may serve to mitigate additional AOCI risk, we continue to be exposed to risks associated with sudden or significant AOCI deterioration, particularly in an environmen</w:t>
      </w:r>
      <w:r>
        <w:rPr>
          <w:rFonts w:ascii="Arial" w:eastAsia="宋体" w:hAnsi="Arial" w:cs="Arial"/>
          <w:color w:val="000000"/>
          <w:sz w:val="20"/>
          <w:szCs w:val="20"/>
        </w:rPr>
        <w:t xml:space="preserve">t of continuing significant, and potentially, historic interest rate increases. There can be no assurance that we will not experience further, potentially material AOCI deterioration. </w:t>
      </w:r>
    </w:p>
    <w:p w14:paraId="392C12E9" w14:textId="77777777" w:rsidR="00980E5F" w:rsidRDefault="00483613">
      <w:pPr>
        <w:spacing w:before="60"/>
        <w:ind w:firstLine="450"/>
        <w:jc w:val="both"/>
        <w:textAlignment w:val="top"/>
      </w:pPr>
      <w:r>
        <w:rPr>
          <w:rFonts w:ascii="Arial" w:eastAsia="宋体" w:hAnsi="Arial" w:cs="Arial"/>
          <w:color w:val="000000"/>
          <w:sz w:val="20"/>
          <w:szCs w:val="20"/>
        </w:rPr>
        <w:t>Average duration of our investment securities portfolio was 2.8 years a</w:t>
      </w:r>
      <w:r>
        <w:rPr>
          <w:rFonts w:ascii="Arial" w:eastAsia="宋体" w:hAnsi="Arial" w:cs="Arial"/>
          <w:color w:val="000000"/>
          <w:sz w:val="20"/>
          <w:szCs w:val="20"/>
        </w:rPr>
        <w:t xml:space="preserve">nd 2.9 years as of June 30, 2022 and December 31, 2021, respectively. </w:t>
      </w:r>
    </w:p>
    <w:p w14:paraId="392C12EA" w14:textId="77777777" w:rsidR="00980E5F" w:rsidRDefault="00483613">
      <w:pPr>
        <w:spacing w:before="60"/>
        <w:ind w:firstLine="450"/>
        <w:jc w:val="both"/>
        <w:textAlignment w:val="top"/>
      </w:pPr>
      <w:r>
        <w:rPr>
          <w:rFonts w:ascii="Arial" w:eastAsia="宋体" w:hAnsi="Arial" w:cs="Arial"/>
          <w:color w:val="000000"/>
          <w:sz w:val="20"/>
          <w:szCs w:val="20"/>
        </w:rPr>
        <w:t>Approximately 96% and 92% of the carrying value of the portfolio was rated “AAA” or “AA” as of June 30, 2022 and December 31,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8"/>
        <w:gridCol w:w="37"/>
        <w:gridCol w:w="2547"/>
        <w:gridCol w:w="154"/>
        <w:gridCol w:w="36"/>
        <w:gridCol w:w="59"/>
        <w:gridCol w:w="36"/>
        <w:gridCol w:w="37"/>
        <w:gridCol w:w="2548"/>
        <w:gridCol w:w="155"/>
      </w:tblGrid>
      <w:tr w:rsidR="00980E5F" w14:paraId="392C12F7" w14:textId="77777777">
        <w:tc>
          <w:tcPr>
            <w:tcW w:w="50" w:type="pct"/>
            <w:shd w:val="clear" w:color="auto" w:fill="auto"/>
            <w:vAlign w:val="bottom"/>
          </w:tcPr>
          <w:p w14:paraId="392C12EB" w14:textId="77777777" w:rsidR="00980E5F" w:rsidRDefault="00980E5F">
            <w:pPr>
              <w:rPr>
                <w:rFonts w:ascii="宋体"/>
              </w:rPr>
            </w:pPr>
          </w:p>
        </w:tc>
        <w:tc>
          <w:tcPr>
            <w:tcW w:w="1627" w:type="pct"/>
            <w:shd w:val="clear" w:color="auto" w:fill="auto"/>
            <w:vAlign w:val="bottom"/>
          </w:tcPr>
          <w:p w14:paraId="392C12EC" w14:textId="77777777" w:rsidR="00980E5F" w:rsidRDefault="00980E5F">
            <w:pPr>
              <w:rPr>
                <w:rFonts w:ascii="宋体"/>
              </w:rPr>
            </w:pPr>
          </w:p>
        </w:tc>
        <w:tc>
          <w:tcPr>
            <w:tcW w:w="5" w:type="pct"/>
            <w:shd w:val="clear" w:color="auto" w:fill="auto"/>
            <w:vAlign w:val="bottom"/>
          </w:tcPr>
          <w:p w14:paraId="392C12ED" w14:textId="77777777" w:rsidR="00980E5F" w:rsidRDefault="00980E5F">
            <w:pPr>
              <w:rPr>
                <w:rFonts w:ascii="宋体"/>
              </w:rPr>
            </w:pPr>
          </w:p>
        </w:tc>
        <w:tc>
          <w:tcPr>
            <w:tcW w:w="50" w:type="pct"/>
            <w:shd w:val="clear" w:color="auto" w:fill="auto"/>
            <w:vAlign w:val="bottom"/>
          </w:tcPr>
          <w:p w14:paraId="392C12EE" w14:textId="77777777" w:rsidR="00980E5F" w:rsidRDefault="00980E5F">
            <w:pPr>
              <w:rPr>
                <w:rFonts w:ascii="宋体"/>
              </w:rPr>
            </w:pPr>
          </w:p>
        </w:tc>
        <w:tc>
          <w:tcPr>
            <w:tcW w:w="1564" w:type="pct"/>
            <w:shd w:val="clear" w:color="auto" w:fill="auto"/>
            <w:vAlign w:val="bottom"/>
          </w:tcPr>
          <w:p w14:paraId="392C12EF" w14:textId="77777777" w:rsidR="00980E5F" w:rsidRDefault="00980E5F">
            <w:pPr>
              <w:rPr>
                <w:rFonts w:ascii="宋体"/>
              </w:rPr>
            </w:pPr>
          </w:p>
        </w:tc>
        <w:tc>
          <w:tcPr>
            <w:tcW w:w="5" w:type="pct"/>
            <w:shd w:val="clear" w:color="auto" w:fill="auto"/>
            <w:vAlign w:val="bottom"/>
          </w:tcPr>
          <w:p w14:paraId="392C12F0" w14:textId="77777777" w:rsidR="00980E5F" w:rsidRDefault="00980E5F">
            <w:pPr>
              <w:rPr>
                <w:rFonts w:ascii="宋体"/>
              </w:rPr>
            </w:pPr>
          </w:p>
        </w:tc>
        <w:tc>
          <w:tcPr>
            <w:tcW w:w="5" w:type="pct"/>
            <w:shd w:val="clear" w:color="auto" w:fill="auto"/>
            <w:vAlign w:val="bottom"/>
          </w:tcPr>
          <w:p w14:paraId="392C12F1" w14:textId="77777777" w:rsidR="00980E5F" w:rsidRDefault="00980E5F">
            <w:pPr>
              <w:rPr>
                <w:rFonts w:ascii="宋体"/>
              </w:rPr>
            </w:pPr>
          </w:p>
        </w:tc>
        <w:tc>
          <w:tcPr>
            <w:tcW w:w="68" w:type="pct"/>
            <w:shd w:val="clear" w:color="auto" w:fill="auto"/>
            <w:vAlign w:val="bottom"/>
          </w:tcPr>
          <w:p w14:paraId="392C12F2" w14:textId="77777777" w:rsidR="00980E5F" w:rsidRDefault="00980E5F">
            <w:pPr>
              <w:rPr>
                <w:rFonts w:ascii="宋体"/>
              </w:rPr>
            </w:pPr>
          </w:p>
        </w:tc>
        <w:tc>
          <w:tcPr>
            <w:tcW w:w="5" w:type="pct"/>
            <w:shd w:val="clear" w:color="auto" w:fill="auto"/>
            <w:vAlign w:val="bottom"/>
          </w:tcPr>
          <w:p w14:paraId="392C12F3" w14:textId="77777777" w:rsidR="00980E5F" w:rsidRDefault="00980E5F">
            <w:pPr>
              <w:rPr>
                <w:rFonts w:ascii="宋体"/>
              </w:rPr>
            </w:pPr>
          </w:p>
        </w:tc>
        <w:tc>
          <w:tcPr>
            <w:tcW w:w="50" w:type="pct"/>
            <w:shd w:val="clear" w:color="auto" w:fill="auto"/>
            <w:vAlign w:val="bottom"/>
          </w:tcPr>
          <w:p w14:paraId="392C12F4" w14:textId="77777777" w:rsidR="00980E5F" w:rsidRDefault="00980E5F">
            <w:pPr>
              <w:rPr>
                <w:rFonts w:ascii="宋体"/>
              </w:rPr>
            </w:pPr>
          </w:p>
        </w:tc>
        <w:tc>
          <w:tcPr>
            <w:tcW w:w="1564" w:type="pct"/>
            <w:shd w:val="clear" w:color="auto" w:fill="auto"/>
            <w:vAlign w:val="bottom"/>
          </w:tcPr>
          <w:p w14:paraId="392C12F5" w14:textId="77777777" w:rsidR="00980E5F" w:rsidRDefault="00980E5F">
            <w:pPr>
              <w:rPr>
                <w:rFonts w:ascii="宋体"/>
              </w:rPr>
            </w:pPr>
          </w:p>
        </w:tc>
        <w:tc>
          <w:tcPr>
            <w:tcW w:w="5" w:type="pct"/>
            <w:shd w:val="clear" w:color="auto" w:fill="auto"/>
            <w:vAlign w:val="bottom"/>
          </w:tcPr>
          <w:p w14:paraId="392C12F6" w14:textId="77777777" w:rsidR="00980E5F" w:rsidRDefault="00980E5F">
            <w:pPr>
              <w:rPr>
                <w:rFonts w:ascii="宋体"/>
              </w:rPr>
            </w:pPr>
          </w:p>
        </w:tc>
      </w:tr>
      <w:tr w:rsidR="00980E5F" w14:paraId="392C12F9" w14:textId="77777777">
        <w:tc>
          <w:tcPr>
            <w:tcW w:w="0" w:type="auto"/>
            <w:gridSpan w:val="12"/>
            <w:shd w:val="clear" w:color="auto" w:fill="auto"/>
            <w:tcMar>
              <w:top w:w="40" w:type="dxa"/>
              <w:left w:w="20" w:type="dxa"/>
              <w:bottom w:w="40" w:type="dxa"/>
              <w:right w:w="20" w:type="dxa"/>
            </w:tcMar>
            <w:vAlign w:val="bottom"/>
          </w:tcPr>
          <w:p w14:paraId="392C12F8" w14:textId="77777777" w:rsidR="00980E5F" w:rsidRDefault="00483613">
            <w:pPr>
              <w:textAlignment w:val="bottom"/>
            </w:pPr>
            <w:r>
              <w:rPr>
                <w:rFonts w:ascii="Arial" w:eastAsia="宋体" w:hAnsi="Arial" w:cs="Arial"/>
                <w:b/>
                <w:bCs/>
                <w:color w:val="000000"/>
                <w:sz w:val="16"/>
                <w:szCs w:val="16"/>
              </w:rPr>
              <w:t xml:space="preserve">TABLE 21: </w:t>
            </w:r>
            <w:r>
              <w:rPr>
                <w:rFonts w:ascii="Arial" w:eastAsia="宋体" w:hAnsi="Arial" w:cs="Arial"/>
                <w:b/>
                <w:bCs/>
                <w:color w:val="000000"/>
                <w:sz w:val="16"/>
                <w:szCs w:val="16"/>
              </w:rPr>
              <w:t>INVESTMENT PORTFOLIO BY EXTERNAL CREDIT RATING</w:t>
            </w:r>
          </w:p>
        </w:tc>
      </w:tr>
      <w:tr w:rsidR="00980E5F" w14:paraId="392C12FE" w14:textId="77777777">
        <w:tc>
          <w:tcPr>
            <w:tcW w:w="0" w:type="auto"/>
            <w:gridSpan w:val="3"/>
            <w:shd w:val="clear" w:color="auto" w:fill="auto"/>
            <w:tcMar>
              <w:top w:w="0" w:type="dxa"/>
              <w:left w:w="20" w:type="dxa"/>
              <w:bottom w:w="0" w:type="dxa"/>
              <w:right w:w="20" w:type="dxa"/>
            </w:tcMar>
            <w:vAlign w:val="bottom"/>
          </w:tcPr>
          <w:p w14:paraId="392C12F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2FB"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12F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2FD"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1305" w14:textId="77777777">
        <w:tc>
          <w:tcPr>
            <w:tcW w:w="0" w:type="auto"/>
            <w:gridSpan w:val="3"/>
            <w:shd w:val="clear" w:color="auto" w:fill="CCEEFF"/>
            <w:tcMar>
              <w:top w:w="40" w:type="dxa"/>
              <w:left w:w="20" w:type="dxa"/>
              <w:bottom w:w="40" w:type="dxa"/>
              <w:right w:w="20" w:type="dxa"/>
            </w:tcMar>
            <w:vAlign w:val="bottom"/>
          </w:tcPr>
          <w:p w14:paraId="392C12FF" w14:textId="77777777" w:rsidR="00980E5F" w:rsidRDefault="00483613">
            <w:pP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300" w14:textId="77777777" w:rsidR="00980E5F" w:rsidRDefault="00483613">
            <w:pPr>
              <w:jc w:val="right"/>
              <w:textAlignment w:val="bottom"/>
            </w:pPr>
            <w:r>
              <w:rPr>
                <w:rFonts w:ascii="Arial" w:eastAsia="宋体" w:hAnsi="Arial" w:cs="Arial"/>
                <w:b/>
                <w:bCs/>
                <w:color w:val="000000"/>
                <w:sz w:val="15"/>
                <w:szCs w:val="15"/>
              </w:rPr>
              <w:t>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301" w14:textId="77777777" w:rsidR="00980E5F" w:rsidRDefault="00483613">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C130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303" w14:textId="77777777" w:rsidR="00980E5F" w:rsidRDefault="00483613">
            <w:pPr>
              <w:jc w:val="right"/>
              <w:textAlignment w:val="bottom"/>
            </w:pPr>
            <w:r>
              <w:rPr>
                <w:rFonts w:ascii="Arial" w:eastAsia="宋体" w:hAnsi="Arial" w:cs="Arial"/>
                <w:color w:val="000000"/>
                <w:sz w:val="15"/>
                <w:szCs w:val="15"/>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304" w14:textId="77777777" w:rsidR="00980E5F" w:rsidRDefault="00483613">
            <w:pPr>
              <w:jc w:val="right"/>
              <w:textAlignment w:val="bottom"/>
            </w:pPr>
            <w:r>
              <w:rPr>
                <w:rFonts w:ascii="Arial" w:eastAsia="宋体" w:hAnsi="Arial" w:cs="Arial"/>
                <w:color w:val="000000"/>
                <w:sz w:val="15"/>
                <w:szCs w:val="15"/>
              </w:rPr>
              <w:t>%</w:t>
            </w:r>
          </w:p>
        </w:tc>
      </w:tr>
      <w:tr w:rsidR="00980E5F" w14:paraId="392C130C" w14:textId="77777777">
        <w:tc>
          <w:tcPr>
            <w:tcW w:w="0" w:type="auto"/>
            <w:gridSpan w:val="3"/>
            <w:shd w:val="clear" w:color="auto" w:fill="FFFFFF"/>
            <w:tcMar>
              <w:top w:w="40" w:type="dxa"/>
              <w:left w:w="20" w:type="dxa"/>
              <w:bottom w:w="40" w:type="dxa"/>
              <w:right w:w="20" w:type="dxa"/>
            </w:tcMar>
            <w:vAlign w:val="bottom"/>
          </w:tcPr>
          <w:p w14:paraId="392C1306" w14:textId="77777777" w:rsidR="00980E5F" w:rsidRDefault="00483613">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392C1307" w14:textId="77777777" w:rsidR="00980E5F" w:rsidRDefault="00483613">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30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0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0A" w14:textId="77777777" w:rsidR="00980E5F" w:rsidRDefault="00483613">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92C130B" w14:textId="77777777" w:rsidR="00980E5F" w:rsidRDefault="00980E5F">
            <w:pPr>
              <w:jc w:val="right"/>
              <w:rPr>
                <w:rFonts w:ascii="宋体"/>
              </w:rPr>
            </w:pPr>
          </w:p>
        </w:tc>
      </w:tr>
      <w:tr w:rsidR="00980E5F" w14:paraId="392C1313" w14:textId="77777777">
        <w:tc>
          <w:tcPr>
            <w:tcW w:w="0" w:type="auto"/>
            <w:gridSpan w:val="3"/>
            <w:shd w:val="clear" w:color="auto" w:fill="CCEEFF"/>
            <w:tcMar>
              <w:top w:w="40" w:type="dxa"/>
              <w:left w:w="20" w:type="dxa"/>
              <w:bottom w:w="40" w:type="dxa"/>
              <w:right w:w="20" w:type="dxa"/>
            </w:tcMar>
            <w:vAlign w:val="bottom"/>
          </w:tcPr>
          <w:p w14:paraId="392C130D" w14:textId="77777777" w:rsidR="00980E5F" w:rsidRDefault="00483613">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392C130E"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3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11" w14:textId="77777777" w:rsidR="00980E5F" w:rsidRDefault="00483613">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392C1312" w14:textId="77777777" w:rsidR="00980E5F" w:rsidRDefault="00980E5F">
            <w:pPr>
              <w:jc w:val="right"/>
              <w:rPr>
                <w:rFonts w:ascii="宋体"/>
              </w:rPr>
            </w:pPr>
          </w:p>
        </w:tc>
      </w:tr>
      <w:tr w:rsidR="00980E5F" w14:paraId="392C131A" w14:textId="77777777">
        <w:tc>
          <w:tcPr>
            <w:tcW w:w="0" w:type="auto"/>
            <w:gridSpan w:val="3"/>
            <w:shd w:val="clear" w:color="auto" w:fill="FFFFFF"/>
            <w:tcMar>
              <w:top w:w="40" w:type="dxa"/>
              <w:left w:w="20" w:type="dxa"/>
              <w:bottom w:w="40" w:type="dxa"/>
              <w:right w:w="20" w:type="dxa"/>
            </w:tcMar>
            <w:vAlign w:val="bottom"/>
          </w:tcPr>
          <w:p w14:paraId="392C1314" w14:textId="77777777" w:rsidR="00980E5F" w:rsidRDefault="00483613">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392C1315"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31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1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18" w14:textId="77777777" w:rsidR="00980E5F" w:rsidRDefault="00483613">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392C1319" w14:textId="77777777" w:rsidR="00980E5F" w:rsidRDefault="00980E5F">
            <w:pPr>
              <w:jc w:val="right"/>
              <w:rPr>
                <w:rFonts w:ascii="宋体"/>
              </w:rPr>
            </w:pPr>
          </w:p>
        </w:tc>
      </w:tr>
      <w:tr w:rsidR="00980E5F" w14:paraId="392C131F" w14:textId="77777777">
        <w:trPr>
          <w:hidden/>
        </w:trPr>
        <w:tc>
          <w:tcPr>
            <w:tcW w:w="0" w:type="auto"/>
            <w:gridSpan w:val="3"/>
            <w:shd w:val="clear" w:color="auto" w:fill="auto"/>
            <w:vAlign w:val="bottom"/>
          </w:tcPr>
          <w:p w14:paraId="392C131B" w14:textId="77777777" w:rsidR="00980E5F" w:rsidRDefault="00980E5F">
            <w:pPr>
              <w:rPr>
                <w:rFonts w:ascii="宋体"/>
                <w:vanish/>
              </w:rPr>
            </w:pPr>
          </w:p>
        </w:tc>
        <w:tc>
          <w:tcPr>
            <w:tcW w:w="0" w:type="auto"/>
            <w:gridSpan w:val="3"/>
            <w:shd w:val="clear" w:color="auto" w:fill="auto"/>
            <w:vAlign w:val="bottom"/>
          </w:tcPr>
          <w:p w14:paraId="392C131C" w14:textId="77777777" w:rsidR="00980E5F" w:rsidRDefault="00980E5F">
            <w:pPr>
              <w:rPr>
                <w:rFonts w:ascii="宋体"/>
                <w:vanish/>
              </w:rPr>
            </w:pPr>
          </w:p>
        </w:tc>
        <w:tc>
          <w:tcPr>
            <w:tcW w:w="0" w:type="auto"/>
            <w:gridSpan w:val="3"/>
            <w:shd w:val="clear" w:color="auto" w:fill="auto"/>
            <w:vAlign w:val="bottom"/>
          </w:tcPr>
          <w:p w14:paraId="392C131D" w14:textId="77777777" w:rsidR="00980E5F" w:rsidRDefault="00980E5F">
            <w:pPr>
              <w:rPr>
                <w:rFonts w:ascii="宋体"/>
                <w:vanish/>
              </w:rPr>
            </w:pPr>
          </w:p>
        </w:tc>
        <w:tc>
          <w:tcPr>
            <w:tcW w:w="0" w:type="auto"/>
            <w:gridSpan w:val="3"/>
            <w:shd w:val="clear" w:color="auto" w:fill="auto"/>
            <w:vAlign w:val="bottom"/>
          </w:tcPr>
          <w:p w14:paraId="392C131E" w14:textId="77777777" w:rsidR="00980E5F" w:rsidRDefault="00980E5F">
            <w:pPr>
              <w:rPr>
                <w:rFonts w:ascii="宋体"/>
                <w:vanish/>
              </w:rPr>
            </w:pPr>
          </w:p>
        </w:tc>
      </w:tr>
      <w:tr w:rsidR="00980E5F" w14:paraId="392C1326" w14:textId="77777777">
        <w:tc>
          <w:tcPr>
            <w:tcW w:w="0" w:type="auto"/>
            <w:gridSpan w:val="3"/>
            <w:shd w:val="clear" w:color="auto" w:fill="CCEEFF"/>
            <w:tcMar>
              <w:top w:w="0" w:type="dxa"/>
              <w:left w:w="20" w:type="dxa"/>
              <w:bottom w:w="0" w:type="dxa"/>
              <w:right w:w="20" w:type="dxa"/>
            </w:tcMar>
            <w:vAlign w:val="bottom"/>
          </w:tcPr>
          <w:p w14:paraId="392C1320"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321" w14:textId="77777777" w:rsidR="00980E5F" w:rsidRDefault="00483613">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322" w14:textId="77777777" w:rsidR="00980E5F" w:rsidRDefault="00483613">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C1323"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324" w14:textId="77777777" w:rsidR="00980E5F" w:rsidRDefault="00483613">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325" w14:textId="77777777" w:rsidR="00980E5F" w:rsidRDefault="00483613">
            <w:pPr>
              <w:jc w:val="right"/>
              <w:textAlignment w:val="bottom"/>
            </w:pPr>
            <w:r>
              <w:rPr>
                <w:rFonts w:ascii="Arial" w:eastAsia="宋体" w:hAnsi="Arial" w:cs="Arial"/>
                <w:color w:val="000000"/>
                <w:sz w:val="15"/>
                <w:szCs w:val="15"/>
              </w:rPr>
              <w:t>%</w:t>
            </w:r>
          </w:p>
        </w:tc>
      </w:tr>
    </w:tbl>
    <w:p w14:paraId="392C1327" w14:textId="77777777" w:rsidR="00980E5F" w:rsidRDefault="00980E5F">
      <w:pPr>
        <w:rPr>
          <w:vanish/>
        </w:rPr>
      </w:pPr>
    </w:p>
    <w:tbl>
      <w:tblPr>
        <w:tblW w:w="4214" w:type="pct"/>
        <w:tblCellMar>
          <w:top w:w="15" w:type="dxa"/>
          <w:left w:w="15" w:type="dxa"/>
          <w:bottom w:w="15" w:type="dxa"/>
          <w:right w:w="15" w:type="dxa"/>
        </w:tblCellMar>
        <w:tblLook w:val="04A0" w:firstRow="1" w:lastRow="0" w:firstColumn="1" w:lastColumn="0" w:noHBand="0" w:noVBand="1"/>
      </w:tblPr>
      <w:tblGrid>
        <w:gridCol w:w="55"/>
        <w:gridCol w:w="3931"/>
        <w:gridCol w:w="36"/>
        <w:gridCol w:w="55"/>
        <w:gridCol w:w="218"/>
        <w:gridCol w:w="36"/>
        <w:gridCol w:w="56"/>
        <w:gridCol w:w="2531"/>
        <w:gridCol w:w="36"/>
        <w:gridCol w:w="36"/>
        <w:gridCol w:w="36"/>
      </w:tblGrid>
      <w:tr w:rsidR="00980E5F" w14:paraId="392C1333" w14:textId="77777777">
        <w:tc>
          <w:tcPr>
            <w:tcW w:w="50" w:type="pct"/>
            <w:shd w:val="clear" w:color="auto" w:fill="auto"/>
            <w:vAlign w:val="bottom"/>
          </w:tcPr>
          <w:p w14:paraId="392C1328" w14:textId="77777777" w:rsidR="00980E5F" w:rsidRDefault="00980E5F">
            <w:pPr>
              <w:rPr>
                <w:rFonts w:ascii="宋体"/>
              </w:rPr>
            </w:pPr>
          </w:p>
        </w:tc>
        <w:tc>
          <w:tcPr>
            <w:tcW w:w="2836" w:type="pct"/>
            <w:shd w:val="clear" w:color="auto" w:fill="auto"/>
            <w:vAlign w:val="bottom"/>
          </w:tcPr>
          <w:p w14:paraId="392C1329" w14:textId="77777777" w:rsidR="00980E5F" w:rsidRDefault="00980E5F">
            <w:pPr>
              <w:rPr>
                <w:rFonts w:ascii="宋体"/>
              </w:rPr>
            </w:pPr>
          </w:p>
        </w:tc>
        <w:tc>
          <w:tcPr>
            <w:tcW w:w="5" w:type="pct"/>
            <w:shd w:val="clear" w:color="auto" w:fill="auto"/>
            <w:vAlign w:val="bottom"/>
          </w:tcPr>
          <w:p w14:paraId="392C132A" w14:textId="77777777" w:rsidR="00980E5F" w:rsidRDefault="00980E5F">
            <w:pPr>
              <w:rPr>
                <w:rFonts w:ascii="宋体"/>
              </w:rPr>
            </w:pPr>
          </w:p>
        </w:tc>
        <w:tc>
          <w:tcPr>
            <w:tcW w:w="50" w:type="pct"/>
            <w:shd w:val="clear" w:color="auto" w:fill="auto"/>
            <w:vAlign w:val="bottom"/>
          </w:tcPr>
          <w:p w14:paraId="392C132B" w14:textId="77777777" w:rsidR="00980E5F" w:rsidRDefault="00980E5F">
            <w:pPr>
              <w:rPr>
                <w:rFonts w:ascii="宋体"/>
              </w:rPr>
            </w:pPr>
          </w:p>
        </w:tc>
        <w:tc>
          <w:tcPr>
            <w:tcW w:w="168" w:type="pct"/>
            <w:shd w:val="clear" w:color="auto" w:fill="auto"/>
            <w:vAlign w:val="bottom"/>
          </w:tcPr>
          <w:p w14:paraId="392C132C" w14:textId="77777777" w:rsidR="00980E5F" w:rsidRDefault="00980E5F">
            <w:pPr>
              <w:rPr>
                <w:rFonts w:ascii="宋体"/>
              </w:rPr>
            </w:pPr>
          </w:p>
        </w:tc>
        <w:tc>
          <w:tcPr>
            <w:tcW w:w="5" w:type="pct"/>
            <w:shd w:val="clear" w:color="auto" w:fill="auto"/>
            <w:vAlign w:val="bottom"/>
          </w:tcPr>
          <w:p w14:paraId="392C132D" w14:textId="77777777" w:rsidR="00980E5F" w:rsidRDefault="00980E5F">
            <w:pPr>
              <w:rPr>
                <w:rFonts w:ascii="宋体"/>
              </w:rPr>
            </w:pPr>
          </w:p>
        </w:tc>
        <w:tc>
          <w:tcPr>
            <w:tcW w:w="50" w:type="pct"/>
            <w:shd w:val="clear" w:color="auto" w:fill="auto"/>
            <w:vAlign w:val="bottom"/>
          </w:tcPr>
          <w:p w14:paraId="392C132E" w14:textId="77777777" w:rsidR="00980E5F" w:rsidRDefault="00980E5F">
            <w:pPr>
              <w:rPr>
                <w:rFonts w:ascii="宋体"/>
              </w:rPr>
            </w:pPr>
          </w:p>
        </w:tc>
        <w:tc>
          <w:tcPr>
            <w:tcW w:w="1829" w:type="pct"/>
            <w:shd w:val="clear" w:color="auto" w:fill="auto"/>
            <w:vAlign w:val="bottom"/>
          </w:tcPr>
          <w:p w14:paraId="392C132F" w14:textId="77777777" w:rsidR="00980E5F" w:rsidRDefault="00980E5F">
            <w:pPr>
              <w:rPr>
                <w:rFonts w:ascii="宋体"/>
              </w:rPr>
            </w:pPr>
          </w:p>
        </w:tc>
        <w:tc>
          <w:tcPr>
            <w:tcW w:w="5" w:type="pct"/>
            <w:shd w:val="clear" w:color="auto" w:fill="auto"/>
            <w:vAlign w:val="bottom"/>
          </w:tcPr>
          <w:p w14:paraId="392C1330" w14:textId="77777777" w:rsidR="00980E5F" w:rsidRDefault="00980E5F">
            <w:pPr>
              <w:rPr>
                <w:rFonts w:ascii="宋体"/>
              </w:rPr>
            </w:pPr>
          </w:p>
        </w:tc>
        <w:tc>
          <w:tcPr>
            <w:tcW w:w="0" w:type="auto"/>
            <w:shd w:val="clear" w:color="auto" w:fill="auto"/>
            <w:vAlign w:val="bottom"/>
          </w:tcPr>
          <w:p w14:paraId="392C1331" w14:textId="77777777" w:rsidR="00980E5F" w:rsidRDefault="00980E5F">
            <w:pPr>
              <w:rPr>
                <w:rFonts w:ascii="宋体"/>
                <w:vanish/>
              </w:rPr>
            </w:pPr>
          </w:p>
        </w:tc>
        <w:tc>
          <w:tcPr>
            <w:tcW w:w="0" w:type="auto"/>
            <w:shd w:val="clear" w:color="auto" w:fill="auto"/>
            <w:vAlign w:val="bottom"/>
          </w:tcPr>
          <w:p w14:paraId="392C1332" w14:textId="77777777" w:rsidR="00980E5F" w:rsidRDefault="00980E5F">
            <w:pPr>
              <w:rPr>
                <w:rFonts w:ascii="宋体"/>
                <w:vanish/>
              </w:rPr>
            </w:pPr>
          </w:p>
        </w:tc>
      </w:tr>
      <w:tr w:rsidR="00980E5F" w14:paraId="392C133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33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3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336" w14:textId="77777777" w:rsidR="00980E5F" w:rsidRDefault="00980E5F">
            <w:pPr>
              <w:rPr>
                <w:rFonts w:ascii="宋体"/>
              </w:rPr>
            </w:pPr>
          </w:p>
        </w:tc>
        <w:tc>
          <w:tcPr>
            <w:tcW w:w="0" w:type="auto"/>
            <w:shd w:val="clear" w:color="auto" w:fill="auto"/>
            <w:vAlign w:val="bottom"/>
          </w:tcPr>
          <w:p w14:paraId="392C1337" w14:textId="77777777" w:rsidR="00980E5F" w:rsidRDefault="00980E5F">
            <w:pPr>
              <w:rPr>
                <w:rFonts w:ascii="宋体"/>
                <w:vanish/>
              </w:rPr>
            </w:pPr>
          </w:p>
        </w:tc>
        <w:tc>
          <w:tcPr>
            <w:tcW w:w="0" w:type="auto"/>
            <w:shd w:val="clear" w:color="auto" w:fill="auto"/>
            <w:vAlign w:val="bottom"/>
          </w:tcPr>
          <w:p w14:paraId="392C1338" w14:textId="77777777" w:rsidR="00980E5F" w:rsidRDefault="00980E5F">
            <w:pPr>
              <w:rPr>
                <w:rFonts w:ascii="宋体"/>
                <w:vanish/>
              </w:rPr>
            </w:pPr>
          </w:p>
        </w:tc>
      </w:tr>
    </w:tbl>
    <w:p w14:paraId="392C133A" w14:textId="77777777" w:rsidR="00980E5F" w:rsidRDefault="00483613">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federal agency securities that are </w:t>
      </w:r>
      <w:r>
        <w:rPr>
          <w:rFonts w:ascii="Arial" w:eastAsia="宋体" w:hAnsi="Arial" w:cs="Arial"/>
          <w:color w:val="000000"/>
          <w:sz w:val="14"/>
          <w:szCs w:val="14"/>
        </w:rPr>
        <w:t>split-rated, “AAA” by Moody’s Investors Service and “AA+” by Standard &amp; Poor’s and also includes Agency MBS securities which are not explicitly rated but which have an explicit or assumed guarantee from the U.S. government.</w:t>
      </w:r>
    </w:p>
    <w:p w14:paraId="392C133B" w14:textId="77777777" w:rsidR="00980E5F" w:rsidRDefault="00483613">
      <w:pPr>
        <w:spacing w:before="60"/>
        <w:ind w:firstLine="450"/>
        <w:jc w:val="both"/>
        <w:textAlignment w:val="top"/>
      </w:pPr>
      <w:r>
        <w:rPr>
          <w:rFonts w:ascii="Arial" w:eastAsia="宋体" w:hAnsi="Arial" w:cs="Arial"/>
          <w:color w:val="000000"/>
          <w:sz w:val="20"/>
          <w:szCs w:val="20"/>
        </w:rPr>
        <w:t>As of June 30, 2022 and December</w:t>
      </w:r>
      <w:r>
        <w:rPr>
          <w:rFonts w:ascii="Arial" w:eastAsia="宋体" w:hAnsi="Arial" w:cs="Arial"/>
          <w:color w:val="000000"/>
          <w:sz w:val="20"/>
          <w:szCs w:val="20"/>
        </w:rPr>
        <w:t> 31, 2021, the investment portfolio was diversified with respect to asset class composition. The following table presents the composition of these asset classes.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7"/>
        <w:gridCol w:w="37"/>
        <w:gridCol w:w="2547"/>
        <w:gridCol w:w="154"/>
        <w:gridCol w:w="36"/>
        <w:gridCol w:w="59"/>
        <w:gridCol w:w="36"/>
        <w:gridCol w:w="37"/>
        <w:gridCol w:w="2549"/>
        <w:gridCol w:w="155"/>
      </w:tblGrid>
      <w:tr w:rsidR="00980E5F" w14:paraId="392C1348" w14:textId="77777777">
        <w:tc>
          <w:tcPr>
            <w:tcW w:w="50" w:type="pct"/>
            <w:shd w:val="clear" w:color="auto" w:fill="auto"/>
            <w:vAlign w:val="bottom"/>
          </w:tcPr>
          <w:p w14:paraId="392C133C" w14:textId="77777777" w:rsidR="00980E5F" w:rsidRDefault="00980E5F">
            <w:pPr>
              <w:rPr>
                <w:rFonts w:ascii="宋体"/>
              </w:rPr>
            </w:pPr>
          </w:p>
        </w:tc>
        <w:tc>
          <w:tcPr>
            <w:tcW w:w="1627" w:type="pct"/>
            <w:shd w:val="clear" w:color="auto" w:fill="auto"/>
            <w:vAlign w:val="bottom"/>
          </w:tcPr>
          <w:p w14:paraId="392C133D" w14:textId="77777777" w:rsidR="00980E5F" w:rsidRDefault="00980E5F">
            <w:pPr>
              <w:rPr>
                <w:rFonts w:ascii="宋体"/>
              </w:rPr>
            </w:pPr>
          </w:p>
        </w:tc>
        <w:tc>
          <w:tcPr>
            <w:tcW w:w="5" w:type="pct"/>
            <w:shd w:val="clear" w:color="auto" w:fill="auto"/>
            <w:vAlign w:val="bottom"/>
          </w:tcPr>
          <w:p w14:paraId="392C133E" w14:textId="77777777" w:rsidR="00980E5F" w:rsidRDefault="00980E5F">
            <w:pPr>
              <w:rPr>
                <w:rFonts w:ascii="宋体"/>
              </w:rPr>
            </w:pPr>
          </w:p>
        </w:tc>
        <w:tc>
          <w:tcPr>
            <w:tcW w:w="50" w:type="pct"/>
            <w:shd w:val="clear" w:color="auto" w:fill="auto"/>
            <w:vAlign w:val="bottom"/>
          </w:tcPr>
          <w:p w14:paraId="392C133F" w14:textId="77777777" w:rsidR="00980E5F" w:rsidRDefault="00980E5F">
            <w:pPr>
              <w:rPr>
                <w:rFonts w:ascii="宋体"/>
              </w:rPr>
            </w:pPr>
          </w:p>
        </w:tc>
        <w:tc>
          <w:tcPr>
            <w:tcW w:w="1564" w:type="pct"/>
            <w:shd w:val="clear" w:color="auto" w:fill="auto"/>
            <w:vAlign w:val="bottom"/>
          </w:tcPr>
          <w:p w14:paraId="392C1340" w14:textId="77777777" w:rsidR="00980E5F" w:rsidRDefault="00980E5F">
            <w:pPr>
              <w:rPr>
                <w:rFonts w:ascii="宋体"/>
              </w:rPr>
            </w:pPr>
          </w:p>
        </w:tc>
        <w:tc>
          <w:tcPr>
            <w:tcW w:w="5" w:type="pct"/>
            <w:shd w:val="clear" w:color="auto" w:fill="auto"/>
            <w:vAlign w:val="bottom"/>
          </w:tcPr>
          <w:p w14:paraId="392C1341" w14:textId="77777777" w:rsidR="00980E5F" w:rsidRDefault="00980E5F">
            <w:pPr>
              <w:rPr>
                <w:rFonts w:ascii="宋体"/>
              </w:rPr>
            </w:pPr>
          </w:p>
        </w:tc>
        <w:tc>
          <w:tcPr>
            <w:tcW w:w="5" w:type="pct"/>
            <w:shd w:val="clear" w:color="auto" w:fill="auto"/>
            <w:vAlign w:val="bottom"/>
          </w:tcPr>
          <w:p w14:paraId="392C1342" w14:textId="77777777" w:rsidR="00980E5F" w:rsidRDefault="00980E5F">
            <w:pPr>
              <w:rPr>
                <w:rFonts w:ascii="宋体"/>
              </w:rPr>
            </w:pPr>
          </w:p>
        </w:tc>
        <w:tc>
          <w:tcPr>
            <w:tcW w:w="68" w:type="pct"/>
            <w:shd w:val="clear" w:color="auto" w:fill="auto"/>
            <w:vAlign w:val="bottom"/>
          </w:tcPr>
          <w:p w14:paraId="392C1343" w14:textId="77777777" w:rsidR="00980E5F" w:rsidRDefault="00980E5F">
            <w:pPr>
              <w:rPr>
                <w:rFonts w:ascii="宋体"/>
              </w:rPr>
            </w:pPr>
          </w:p>
        </w:tc>
        <w:tc>
          <w:tcPr>
            <w:tcW w:w="5" w:type="pct"/>
            <w:shd w:val="clear" w:color="auto" w:fill="auto"/>
            <w:vAlign w:val="bottom"/>
          </w:tcPr>
          <w:p w14:paraId="392C1344" w14:textId="77777777" w:rsidR="00980E5F" w:rsidRDefault="00980E5F">
            <w:pPr>
              <w:rPr>
                <w:rFonts w:ascii="宋体"/>
              </w:rPr>
            </w:pPr>
          </w:p>
        </w:tc>
        <w:tc>
          <w:tcPr>
            <w:tcW w:w="50" w:type="pct"/>
            <w:shd w:val="clear" w:color="auto" w:fill="auto"/>
            <w:vAlign w:val="bottom"/>
          </w:tcPr>
          <w:p w14:paraId="392C1345" w14:textId="77777777" w:rsidR="00980E5F" w:rsidRDefault="00980E5F">
            <w:pPr>
              <w:rPr>
                <w:rFonts w:ascii="宋体"/>
              </w:rPr>
            </w:pPr>
          </w:p>
        </w:tc>
        <w:tc>
          <w:tcPr>
            <w:tcW w:w="1564" w:type="pct"/>
            <w:shd w:val="clear" w:color="auto" w:fill="auto"/>
            <w:vAlign w:val="bottom"/>
          </w:tcPr>
          <w:p w14:paraId="392C1346" w14:textId="77777777" w:rsidR="00980E5F" w:rsidRDefault="00980E5F">
            <w:pPr>
              <w:rPr>
                <w:rFonts w:ascii="宋体"/>
              </w:rPr>
            </w:pPr>
          </w:p>
        </w:tc>
        <w:tc>
          <w:tcPr>
            <w:tcW w:w="5" w:type="pct"/>
            <w:shd w:val="clear" w:color="auto" w:fill="auto"/>
            <w:vAlign w:val="bottom"/>
          </w:tcPr>
          <w:p w14:paraId="392C1347" w14:textId="77777777" w:rsidR="00980E5F" w:rsidRDefault="00980E5F">
            <w:pPr>
              <w:rPr>
                <w:rFonts w:ascii="宋体"/>
              </w:rPr>
            </w:pPr>
          </w:p>
        </w:tc>
      </w:tr>
      <w:tr w:rsidR="00980E5F" w14:paraId="392C134A" w14:textId="77777777">
        <w:tc>
          <w:tcPr>
            <w:tcW w:w="0" w:type="auto"/>
            <w:gridSpan w:val="12"/>
            <w:shd w:val="clear" w:color="auto" w:fill="auto"/>
            <w:tcMar>
              <w:top w:w="40" w:type="dxa"/>
              <w:left w:w="20" w:type="dxa"/>
              <w:bottom w:w="40" w:type="dxa"/>
              <w:right w:w="20" w:type="dxa"/>
            </w:tcMar>
            <w:vAlign w:val="bottom"/>
          </w:tcPr>
          <w:p w14:paraId="392C1349" w14:textId="77777777" w:rsidR="00980E5F" w:rsidRDefault="00483613">
            <w:pPr>
              <w:textAlignment w:val="bottom"/>
            </w:pPr>
            <w:r>
              <w:rPr>
                <w:rFonts w:ascii="Arial" w:eastAsia="宋体" w:hAnsi="Arial" w:cs="Arial"/>
                <w:b/>
                <w:bCs/>
                <w:color w:val="000000"/>
                <w:sz w:val="16"/>
                <w:szCs w:val="16"/>
              </w:rPr>
              <w:t>TABLE 22: INVESTMENT PORTFOLIO BY ASSET CLASS</w:t>
            </w:r>
          </w:p>
        </w:tc>
      </w:tr>
      <w:tr w:rsidR="00980E5F" w14:paraId="392C134F" w14:textId="77777777">
        <w:tc>
          <w:tcPr>
            <w:tcW w:w="0" w:type="auto"/>
            <w:gridSpan w:val="3"/>
            <w:shd w:val="clear" w:color="auto" w:fill="auto"/>
            <w:tcMar>
              <w:top w:w="0" w:type="dxa"/>
              <w:left w:w="20" w:type="dxa"/>
              <w:bottom w:w="0" w:type="dxa"/>
              <w:right w:w="20" w:type="dxa"/>
            </w:tcMar>
            <w:vAlign w:val="bottom"/>
          </w:tcPr>
          <w:p w14:paraId="392C134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34C"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134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34E" w14:textId="77777777" w:rsidR="00980E5F" w:rsidRDefault="00483613">
            <w:pPr>
              <w:jc w:val="center"/>
              <w:textAlignment w:val="bottom"/>
            </w:pPr>
            <w:r>
              <w:rPr>
                <w:rFonts w:ascii="Arial" w:eastAsia="宋体" w:hAnsi="Arial" w:cs="Arial"/>
                <w:b/>
                <w:bCs/>
                <w:color w:val="000000"/>
                <w:sz w:val="15"/>
                <w:szCs w:val="15"/>
              </w:rPr>
              <w:t xml:space="preserve">December 31, </w:t>
            </w:r>
            <w:r>
              <w:rPr>
                <w:rFonts w:ascii="Arial" w:eastAsia="宋体" w:hAnsi="Arial" w:cs="Arial"/>
                <w:b/>
                <w:bCs/>
                <w:color w:val="000000"/>
                <w:sz w:val="15"/>
                <w:szCs w:val="15"/>
              </w:rPr>
              <w:t>2021</w:t>
            </w:r>
          </w:p>
        </w:tc>
      </w:tr>
      <w:tr w:rsidR="00980E5F" w14:paraId="392C1356" w14:textId="77777777">
        <w:tc>
          <w:tcPr>
            <w:tcW w:w="0" w:type="auto"/>
            <w:gridSpan w:val="3"/>
            <w:shd w:val="clear" w:color="auto" w:fill="CCEEFF"/>
            <w:tcMar>
              <w:top w:w="40" w:type="dxa"/>
              <w:left w:w="20" w:type="dxa"/>
              <w:bottom w:w="40" w:type="dxa"/>
              <w:right w:w="20" w:type="dxa"/>
            </w:tcMar>
            <w:vAlign w:val="center"/>
          </w:tcPr>
          <w:p w14:paraId="392C1350" w14:textId="77777777" w:rsidR="00980E5F" w:rsidRDefault="00483613">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C1351" w14:textId="77777777" w:rsidR="00980E5F" w:rsidRDefault="00483613">
            <w:pPr>
              <w:jc w:val="right"/>
              <w:textAlignment w:val="center"/>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1352" w14:textId="77777777" w:rsidR="00980E5F" w:rsidRDefault="00483613">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C135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C1354" w14:textId="77777777" w:rsidR="00980E5F" w:rsidRDefault="00483613">
            <w:pPr>
              <w:jc w:val="right"/>
              <w:textAlignment w:val="center"/>
            </w:pPr>
            <w:r>
              <w:rPr>
                <w:rFonts w:ascii="Arial" w:eastAsia="宋体" w:hAnsi="Arial" w:cs="Arial"/>
                <w:color w:val="000000"/>
                <w:sz w:val="15"/>
                <w:szCs w:val="15"/>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1355" w14:textId="77777777" w:rsidR="00980E5F" w:rsidRDefault="00483613">
            <w:pPr>
              <w:jc w:val="right"/>
              <w:textAlignment w:val="center"/>
            </w:pPr>
            <w:r>
              <w:rPr>
                <w:rFonts w:ascii="Arial" w:eastAsia="宋体" w:hAnsi="Arial" w:cs="Arial"/>
                <w:color w:val="000000"/>
                <w:sz w:val="15"/>
                <w:szCs w:val="15"/>
              </w:rPr>
              <w:t>%</w:t>
            </w:r>
          </w:p>
        </w:tc>
      </w:tr>
      <w:tr w:rsidR="00980E5F" w14:paraId="392C135D" w14:textId="77777777">
        <w:tc>
          <w:tcPr>
            <w:tcW w:w="0" w:type="auto"/>
            <w:gridSpan w:val="3"/>
            <w:shd w:val="clear" w:color="auto" w:fill="FFFFFF"/>
            <w:tcMar>
              <w:top w:w="40" w:type="dxa"/>
              <w:left w:w="20" w:type="dxa"/>
              <w:bottom w:w="40" w:type="dxa"/>
              <w:right w:w="20" w:type="dxa"/>
            </w:tcMar>
            <w:vAlign w:val="center"/>
          </w:tcPr>
          <w:p w14:paraId="392C1357" w14:textId="77777777" w:rsidR="00980E5F" w:rsidRDefault="00483613">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392C1358" w14:textId="77777777" w:rsidR="00980E5F" w:rsidRDefault="00483613">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13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135B" w14:textId="77777777" w:rsidR="00980E5F" w:rsidRDefault="00483613">
            <w:pPr>
              <w:jc w:val="right"/>
              <w:textAlignment w:val="center"/>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center"/>
          </w:tcPr>
          <w:p w14:paraId="392C135C" w14:textId="77777777" w:rsidR="00980E5F" w:rsidRDefault="00980E5F">
            <w:pPr>
              <w:jc w:val="right"/>
              <w:rPr>
                <w:rFonts w:ascii="宋体"/>
              </w:rPr>
            </w:pPr>
          </w:p>
        </w:tc>
      </w:tr>
      <w:tr w:rsidR="00980E5F" w14:paraId="392C1364" w14:textId="77777777">
        <w:tc>
          <w:tcPr>
            <w:tcW w:w="0" w:type="auto"/>
            <w:gridSpan w:val="3"/>
            <w:shd w:val="clear" w:color="auto" w:fill="CCEEFF"/>
            <w:tcMar>
              <w:top w:w="40" w:type="dxa"/>
              <w:left w:w="20" w:type="dxa"/>
              <w:bottom w:w="40" w:type="dxa"/>
              <w:right w:w="20" w:type="dxa"/>
            </w:tcMar>
            <w:vAlign w:val="center"/>
          </w:tcPr>
          <w:p w14:paraId="392C135E" w14:textId="77777777" w:rsidR="00980E5F" w:rsidRDefault="00483613">
            <w:pPr>
              <w:textAlignment w:val="center"/>
            </w:pPr>
            <w:r>
              <w:rPr>
                <w:rFonts w:ascii="Arial" w:eastAsia="宋体" w:hAnsi="Arial" w:cs="Arial"/>
                <w:color w:val="000000"/>
                <w:sz w:val="15"/>
                <w:szCs w:val="15"/>
              </w:rPr>
              <w:t>U.S. Treasuries</w:t>
            </w:r>
          </w:p>
        </w:tc>
        <w:tc>
          <w:tcPr>
            <w:tcW w:w="0" w:type="auto"/>
            <w:gridSpan w:val="2"/>
            <w:shd w:val="clear" w:color="auto" w:fill="CCEEFF"/>
            <w:tcMar>
              <w:top w:w="40" w:type="dxa"/>
              <w:left w:w="20" w:type="dxa"/>
              <w:bottom w:w="40" w:type="dxa"/>
              <w:right w:w="0" w:type="dxa"/>
            </w:tcMar>
            <w:vAlign w:val="center"/>
          </w:tcPr>
          <w:p w14:paraId="392C135F" w14:textId="77777777" w:rsidR="00980E5F" w:rsidRDefault="00483613">
            <w:pPr>
              <w:jc w:val="right"/>
              <w:textAlignment w:val="center"/>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13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1362" w14:textId="77777777" w:rsidR="00980E5F" w:rsidRDefault="00483613">
            <w:pPr>
              <w:jc w:val="right"/>
              <w:textAlignment w:val="center"/>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center"/>
          </w:tcPr>
          <w:p w14:paraId="392C1363" w14:textId="77777777" w:rsidR="00980E5F" w:rsidRDefault="00980E5F">
            <w:pPr>
              <w:jc w:val="right"/>
              <w:rPr>
                <w:rFonts w:ascii="宋体"/>
              </w:rPr>
            </w:pPr>
          </w:p>
        </w:tc>
      </w:tr>
      <w:tr w:rsidR="00980E5F" w14:paraId="392C136B" w14:textId="77777777">
        <w:tc>
          <w:tcPr>
            <w:tcW w:w="0" w:type="auto"/>
            <w:gridSpan w:val="3"/>
            <w:shd w:val="clear" w:color="auto" w:fill="FFFFFF"/>
            <w:tcMar>
              <w:top w:w="40" w:type="dxa"/>
              <w:left w:w="20" w:type="dxa"/>
              <w:bottom w:w="40" w:type="dxa"/>
              <w:right w:w="20" w:type="dxa"/>
            </w:tcMar>
            <w:vAlign w:val="center"/>
          </w:tcPr>
          <w:p w14:paraId="392C1365" w14:textId="77777777" w:rsidR="00980E5F" w:rsidRDefault="00483613">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392C1366" w14:textId="77777777" w:rsidR="00980E5F" w:rsidRDefault="00483613">
            <w:pPr>
              <w:jc w:val="right"/>
              <w:textAlignment w:val="center"/>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13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1369" w14:textId="77777777" w:rsidR="00980E5F" w:rsidRDefault="00483613">
            <w:pPr>
              <w:jc w:val="right"/>
              <w:textAlignment w:val="center"/>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center"/>
          </w:tcPr>
          <w:p w14:paraId="392C136A" w14:textId="77777777" w:rsidR="00980E5F" w:rsidRDefault="00980E5F">
            <w:pPr>
              <w:jc w:val="right"/>
              <w:rPr>
                <w:rFonts w:ascii="宋体"/>
              </w:rPr>
            </w:pPr>
          </w:p>
        </w:tc>
      </w:tr>
      <w:tr w:rsidR="00980E5F" w14:paraId="392C1372" w14:textId="77777777">
        <w:tc>
          <w:tcPr>
            <w:tcW w:w="0" w:type="auto"/>
            <w:gridSpan w:val="3"/>
            <w:shd w:val="clear" w:color="auto" w:fill="CCEEFF"/>
            <w:tcMar>
              <w:top w:w="40" w:type="dxa"/>
              <w:left w:w="20" w:type="dxa"/>
              <w:bottom w:w="40" w:type="dxa"/>
              <w:right w:w="20" w:type="dxa"/>
            </w:tcMar>
            <w:vAlign w:val="center"/>
          </w:tcPr>
          <w:p w14:paraId="392C136C" w14:textId="77777777" w:rsidR="00980E5F" w:rsidRDefault="00483613">
            <w:pPr>
              <w:textAlignment w:val="center"/>
            </w:pPr>
            <w:r>
              <w:rPr>
                <w:rFonts w:ascii="Arial" w:eastAsia="宋体" w:hAnsi="Arial" w:cs="Arial"/>
                <w:color w:val="000000"/>
                <w:sz w:val="15"/>
                <w:szCs w:val="15"/>
              </w:rPr>
              <w:t>Other credit</w:t>
            </w:r>
          </w:p>
        </w:tc>
        <w:tc>
          <w:tcPr>
            <w:tcW w:w="0" w:type="auto"/>
            <w:gridSpan w:val="2"/>
            <w:shd w:val="clear" w:color="auto" w:fill="CCEEFF"/>
            <w:tcMar>
              <w:top w:w="40" w:type="dxa"/>
              <w:left w:w="20" w:type="dxa"/>
              <w:bottom w:w="40" w:type="dxa"/>
              <w:right w:w="0" w:type="dxa"/>
            </w:tcMar>
            <w:vAlign w:val="center"/>
          </w:tcPr>
          <w:p w14:paraId="392C136D" w14:textId="77777777" w:rsidR="00980E5F" w:rsidRDefault="00483613">
            <w:pPr>
              <w:jc w:val="right"/>
              <w:textAlignment w:val="center"/>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13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6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1370" w14:textId="77777777" w:rsidR="00980E5F" w:rsidRDefault="00483613">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392C1371" w14:textId="77777777" w:rsidR="00980E5F" w:rsidRDefault="00980E5F">
            <w:pPr>
              <w:jc w:val="right"/>
              <w:rPr>
                <w:rFonts w:ascii="宋体"/>
              </w:rPr>
            </w:pPr>
          </w:p>
        </w:tc>
      </w:tr>
      <w:tr w:rsidR="00980E5F" w14:paraId="392C1379" w14:textId="77777777">
        <w:tc>
          <w:tcPr>
            <w:tcW w:w="0" w:type="auto"/>
            <w:gridSpan w:val="3"/>
            <w:shd w:val="clear" w:color="auto" w:fill="FFFFFF"/>
            <w:tcMar>
              <w:top w:w="0" w:type="dxa"/>
              <w:left w:w="20" w:type="dxa"/>
              <w:bottom w:w="0" w:type="dxa"/>
              <w:right w:w="20" w:type="dxa"/>
            </w:tcMar>
            <w:vAlign w:val="bottom"/>
          </w:tcPr>
          <w:p w14:paraId="392C1373"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374" w14:textId="77777777" w:rsidR="00980E5F" w:rsidRDefault="00483613">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375" w14:textId="77777777" w:rsidR="00980E5F" w:rsidRDefault="00483613">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392C1376"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377" w14:textId="77777777" w:rsidR="00980E5F" w:rsidRDefault="00483613">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378" w14:textId="77777777" w:rsidR="00980E5F" w:rsidRDefault="00483613">
            <w:pPr>
              <w:jc w:val="right"/>
              <w:textAlignment w:val="bottom"/>
            </w:pPr>
            <w:r>
              <w:rPr>
                <w:rFonts w:ascii="Arial" w:eastAsia="宋体" w:hAnsi="Arial" w:cs="Arial"/>
                <w:color w:val="000000"/>
                <w:sz w:val="15"/>
                <w:szCs w:val="15"/>
              </w:rPr>
              <w:t>%</w:t>
            </w:r>
          </w:p>
        </w:tc>
      </w:tr>
    </w:tbl>
    <w:p w14:paraId="392C137A" w14:textId="77777777" w:rsidR="00980E5F" w:rsidRDefault="00483613">
      <w:pPr>
        <w:spacing w:before="60"/>
        <w:jc w:val="both"/>
        <w:textAlignment w:val="top"/>
      </w:pPr>
      <w:r>
        <w:rPr>
          <w:rFonts w:ascii="Arial" w:eastAsia="宋体" w:hAnsi="Arial" w:cs="Arial"/>
          <w:b/>
          <w:bCs/>
          <w:i/>
          <w:iCs/>
          <w:color w:val="000000"/>
          <w:sz w:val="20"/>
          <w:szCs w:val="20"/>
        </w:rPr>
        <w:t xml:space="preserve">Non-U.S. Debt Securities </w:t>
      </w:r>
    </w:p>
    <w:p w14:paraId="392C137B" w14:textId="77777777" w:rsidR="00980E5F" w:rsidRDefault="00483613">
      <w:pPr>
        <w:spacing w:before="60"/>
        <w:ind w:firstLine="450"/>
        <w:jc w:val="both"/>
        <w:textAlignment w:val="top"/>
      </w:pPr>
      <w:r>
        <w:rPr>
          <w:rFonts w:ascii="Arial" w:eastAsia="宋体" w:hAnsi="Arial" w:cs="Arial"/>
          <w:color w:val="000000"/>
          <w:sz w:val="20"/>
          <w:szCs w:val="20"/>
        </w:rPr>
        <w:t xml:space="preserve">Approximately 25% and 28% of </w:t>
      </w:r>
      <w:r>
        <w:rPr>
          <w:rFonts w:ascii="Arial" w:eastAsia="宋体" w:hAnsi="Arial" w:cs="Arial"/>
          <w:color w:val="000000"/>
          <w:sz w:val="20"/>
          <w:szCs w:val="20"/>
        </w:rPr>
        <w:t>the aggregate carrying value of our investment securities portfolio was non-U.S. debt securities as of June 30, 2022 and December 31, 2021, respectively.</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8"/>
        <w:gridCol w:w="2392"/>
        <w:gridCol w:w="36"/>
        <w:gridCol w:w="36"/>
        <w:gridCol w:w="79"/>
        <w:gridCol w:w="36"/>
        <w:gridCol w:w="99"/>
        <w:gridCol w:w="2366"/>
        <w:gridCol w:w="37"/>
      </w:tblGrid>
      <w:tr w:rsidR="00980E5F" w14:paraId="392C1388" w14:textId="77777777">
        <w:tc>
          <w:tcPr>
            <w:tcW w:w="50" w:type="pct"/>
            <w:shd w:val="clear" w:color="auto" w:fill="auto"/>
            <w:vAlign w:val="bottom"/>
          </w:tcPr>
          <w:p w14:paraId="392C137C" w14:textId="77777777" w:rsidR="00980E5F" w:rsidRDefault="00980E5F">
            <w:pPr>
              <w:rPr>
                <w:rFonts w:ascii="宋体"/>
              </w:rPr>
            </w:pPr>
          </w:p>
        </w:tc>
        <w:tc>
          <w:tcPr>
            <w:tcW w:w="1853" w:type="pct"/>
            <w:shd w:val="clear" w:color="auto" w:fill="auto"/>
            <w:vAlign w:val="bottom"/>
          </w:tcPr>
          <w:p w14:paraId="392C137D" w14:textId="77777777" w:rsidR="00980E5F" w:rsidRDefault="00980E5F">
            <w:pPr>
              <w:rPr>
                <w:rFonts w:ascii="宋体"/>
              </w:rPr>
            </w:pPr>
          </w:p>
        </w:tc>
        <w:tc>
          <w:tcPr>
            <w:tcW w:w="5" w:type="pct"/>
            <w:shd w:val="clear" w:color="auto" w:fill="auto"/>
            <w:vAlign w:val="bottom"/>
          </w:tcPr>
          <w:p w14:paraId="392C137E" w14:textId="77777777" w:rsidR="00980E5F" w:rsidRDefault="00980E5F">
            <w:pPr>
              <w:rPr>
                <w:rFonts w:ascii="宋体"/>
              </w:rPr>
            </w:pPr>
          </w:p>
        </w:tc>
        <w:tc>
          <w:tcPr>
            <w:tcW w:w="50" w:type="pct"/>
            <w:shd w:val="clear" w:color="auto" w:fill="auto"/>
            <w:vAlign w:val="bottom"/>
          </w:tcPr>
          <w:p w14:paraId="392C137F" w14:textId="77777777" w:rsidR="00980E5F" w:rsidRDefault="00980E5F">
            <w:pPr>
              <w:rPr>
                <w:rFonts w:ascii="宋体"/>
              </w:rPr>
            </w:pPr>
          </w:p>
        </w:tc>
        <w:tc>
          <w:tcPr>
            <w:tcW w:w="1459" w:type="pct"/>
            <w:shd w:val="clear" w:color="auto" w:fill="auto"/>
            <w:vAlign w:val="bottom"/>
          </w:tcPr>
          <w:p w14:paraId="392C1380" w14:textId="77777777" w:rsidR="00980E5F" w:rsidRDefault="00980E5F">
            <w:pPr>
              <w:rPr>
                <w:rFonts w:ascii="宋体"/>
              </w:rPr>
            </w:pPr>
          </w:p>
        </w:tc>
        <w:tc>
          <w:tcPr>
            <w:tcW w:w="5" w:type="pct"/>
            <w:shd w:val="clear" w:color="auto" w:fill="auto"/>
            <w:vAlign w:val="bottom"/>
          </w:tcPr>
          <w:p w14:paraId="392C1381" w14:textId="77777777" w:rsidR="00980E5F" w:rsidRDefault="00980E5F">
            <w:pPr>
              <w:rPr>
                <w:rFonts w:ascii="宋体"/>
              </w:rPr>
            </w:pPr>
          </w:p>
        </w:tc>
        <w:tc>
          <w:tcPr>
            <w:tcW w:w="5" w:type="pct"/>
            <w:shd w:val="clear" w:color="auto" w:fill="auto"/>
            <w:vAlign w:val="bottom"/>
          </w:tcPr>
          <w:p w14:paraId="392C1382" w14:textId="77777777" w:rsidR="00980E5F" w:rsidRDefault="00980E5F">
            <w:pPr>
              <w:rPr>
                <w:rFonts w:ascii="宋体"/>
              </w:rPr>
            </w:pPr>
          </w:p>
        </w:tc>
        <w:tc>
          <w:tcPr>
            <w:tcW w:w="68" w:type="pct"/>
            <w:shd w:val="clear" w:color="auto" w:fill="auto"/>
            <w:vAlign w:val="bottom"/>
          </w:tcPr>
          <w:p w14:paraId="392C1383" w14:textId="77777777" w:rsidR="00980E5F" w:rsidRDefault="00980E5F">
            <w:pPr>
              <w:rPr>
                <w:rFonts w:ascii="宋体"/>
              </w:rPr>
            </w:pPr>
          </w:p>
        </w:tc>
        <w:tc>
          <w:tcPr>
            <w:tcW w:w="5" w:type="pct"/>
            <w:shd w:val="clear" w:color="auto" w:fill="auto"/>
            <w:vAlign w:val="bottom"/>
          </w:tcPr>
          <w:p w14:paraId="392C1384" w14:textId="77777777" w:rsidR="00980E5F" w:rsidRDefault="00980E5F">
            <w:pPr>
              <w:rPr>
                <w:rFonts w:ascii="宋体"/>
              </w:rPr>
            </w:pPr>
          </w:p>
        </w:tc>
        <w:tc>
          <w:tcPr>
            <w:tcW w:w="50" w:type="pct"/>
            <w:shd w:val="clear" w:color="auto" w:fill="auto"/>
            <w:vAlign w:val="bottom"/>
          </w:tcPr>
          <w:p w14:paraId="392C1385" w14:textId="77777777" w:rsidR="00980E5F" w:rsidRDefault="00980E5F">
            <w:pPr>
              <w:rPr>
                <w:rFonts w:ascii="宋体"/>
              </w:rPr>
            </w:pPr>
          </w:p>
        </w:tc>
        <w:tc>
          <w:tcPr>
            <w:tcW w:w="1443" w:type="pct"/>
            <w:shd w:val="clear" w:color="auto" w:fill="auto"/>
            <w:vAlign w:val="bottom"/>
          </w:tcPr>
          <w:p w14:paraId="392C1386" w14:textId="77777777" w:rsidR="00980E5F" w:rsidRDefault="00980E5F">
            <w:pPr>
              <w:rPr>
                <w:rFonts w:ascii="宋体"/>
              </w:rPr>
            </w:pPr>
          </w:p>
        </w:tc>
        <w:tc>
          <w:tcPr>
            <w:tcW w:w="5" w:type="pct"/>
            <w:shd w:val="clear" w:color="auto" w:fill="auto"/>
            <w:vAlign w:val="bottom"/>
          </w:tcPr>
          <w:p w14:paraId="392C1387" w14:textId="77777777" w:rsidR="00980E5F" w:rsidRDefault="00980E5F">
            <w:pPr>
              <w:rPr>
                <w:rFonts w:ascii="宋体"/>
              </w:rPr>
            </w:pPr>
          </w:p>
        </w:tc>
      </w:tr>
      <w:tr w:rsidR="00980E5F" w14:paraId="392C138A" w14:textId="77777777">
        <w:tc>
          <w:tcPr>
            <w:tcW w:w="0" w:type="auto"/>
            <w:gridSpan w:val="12"/>
            <w:shd w:val="clear" w:color="auto" w:fill="auto"/>
            <w:tcMar>
              <w:top w:w="40" w:type="dxa"/>
              <w:left w:w="20" w:type="dxa"/>
              <w:bottom w:w="40" w:type="dxa"/>
              <w:right w:w="20" w:type="dxa"/>
            </w:tcMar>
            <w:vAlign w:val="bottom"/>
          </w:tcPr>
          <w:p w14:paraId="392C1389" w14:textId="77777777" w:rsidR="00980E5F" w:rsidRDefault="00483613">
            <w:pPr>
              <w:textAlignment w:val="bottom"/>
            </w:pPr>
            <w:r>
              <w:rPr>
                <w:rFonts w:ascii="Arial" w:eastAsia="宋体" w:hAnsi="Arial" w:cs="Arial"/>
                <w:b/>
                <w:bCs/>
                <w:color w:val="000000"/>
                <w:sz w:val="16"/>
                <w:szCs w:val="16"/>
              </w:rPr>
              <w:t>TABLE 23: NON-U.S. DEBT SECURITIES</w:t>
            </w:r>
            <w:r>
              <w:rPr>
                <w:rFonts w:ascii="Arial" w:eastAsia="宋体" w:hAnsi="Arial" w:cs="Arial"/>
                <w:b/>
                <w:bCs/>
                <w:color w:val="000000"/>
                <w:sz w:val="10"/>
                <w:szCs w:val="10"/>
              </w:rPr>
              <w:t>(1)</w:t>
            </w:r>
          </w:p>
        </w:tc>
      </w:tr>
      <w:tr w:rsidR="00980E5F" w14:paraId="392C138F" w14:textId="77777777">
        <w:tc>
          <w:tcPr>
            <w:tcW w:w="0" w:type="auto"/>
            <w:gridSpan w:val="3"/>
            <w:shd w:val="clear" w:color="auto" w:fill="auto"/>
            <w:tcMar>
              <w:top w:w="40" w:type="dxa"/>
              <w:left w:w="20" w:type="dxa"/>
              <w:bottom w:w="40" w:type="dxa"/>
              <w:right w:w="20" w:type="dxa"/>
            </w:tcMar>
            <w:vAlign w:val="bottom"/>
          </w:tcPr>
          <w:p w14:paraId="392C138B"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138C"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C138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38E" w14:textId="77777777" w:rsidR="00980E5F" w:rsidRDefault="00483613">
            <w:pPr>
              <w:jc w:val="center"/>
              <w:textAlignment w:val="bottom"/>
            </w:pPr>
            <w:r>
              <w:rPr>
                <w:rFonts w:ascii="Arial" w:eastAsia="宋体" w:hAnsi="Arial" w:cs="Arial"/>
                <w:b/>
                <w:bCs/>
                <w:color w:val="000000"/>
                <w:sz w:val="14"/>
                <w:szCs w:val="14"/>
              </w:rPr>
              <w:t>December 31, 2021</w:t>
            </w:r>
          </w:p>
        </w:tc>
      </w:tr>
      <w:tr w:rsidR="00980E5F" w14:paraId="392C1394" w14:textId="77777777">
        <w:tc>
          <w:tcPr>
            <w:tcW w:w="0" w:type="auto"/>
            <w:gridSpan w:val="3"/>
            <w:shd w:val="clear" w:color="auto" w:fill="auto"/>
            <w:tcMar>
              <w:top w:w="40" w:type="dxa"/>
              <w:left w:w="20" w:type="dxa"/>
              <w:bottom w:w="40" w:type="dxa"/>
              <w:right w:w="20" w:type="dxa"/>
            </w:tcMar>
            <w:vAlign w:val="bottom"/>
          </w:tcPr>
          <w:p w14:paraId="392C1390" w14:textId="77777777" w:rsidR="00980E5F" w:rsidRDefault="00483613">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39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39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393" w14:textId="77777777" w:rsidR="00980E5F" w:rsidRDefault="00980E5F">
            <w:pPr>
              <w:rPr>
                <w:rFonts w:ascii="宋体"/>
              </w:rPr>
            </w:pPr>
          </w:p>
        </w:tc>
      </w:tr>
      <w:tr w:rsidR="00980E5F" w14:paraId="392C139D" w14:textId="77777777">
        <w:tc>
          <w:tcPr>
            <w:tcW w:w="0" w:type="auto"/>
            <w:gridSpan w:val="3"/>
            <w:shd w:val="clear" w:color="auto" w:fill="CCEEFF"/>
            <w:tcMar>
              <w:top w:w="40" w:type="dxa"/>
              <w:left w:w="20" w:type="dxa"/>
              <w:bottom w:w="40" w:type="dxa"/>
              <w:right w:w="20" w:type="dxa"/>
            </w:tcMar>
            <w:vAlign w:val="bottom"/>
          </w:tcPr>
          <w:p w14:paraId="392C1395" w14:textId="77777777" w:rsidR="00980E5F" w:rsidRDefault="00483613">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392C1396"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397" w14:textId="77777777" w:rsidR="00980E5F" w:rsidRDefault="00483613">
            <w:pPr>
              <w:jc w:val="right"/>
              <w:textAlignment w:val="bottom"/>
            </w:pPr>
            <w:r>
              <w:rPr>
                <w:rFonts w:ascii="Arial" w:eastAsia="宋体" w:hAnsi="Arial" w:cs="Arial"/>
                <w:b/>
                <w:bCs/>
                <w:color w:val="000000"/>
                <w:sz w:val="14"/>
                <w:szCs w:val="14"/>
              </w:rPr>
              <w:t>3,874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9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39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139B" w14:textId="77777777" w:rsidR="00980E5F" w:rsidRDefault="00483613">
            <w:pPr>
              <w:jc w:val="right"/>
              <w:textAlignment w:val="bottom"/>
            </w:pPr>
            <w:r>
              <w:rPr>
                <w:rFonts w:ascii="Arial" w:eastAsia="宋体" w:hAnsi="Arial" w:cs="Arial"/>
                <w:color w:val="000000"/>
                <w:sz w:val="14"/>
                <w:szCs w:val="14"/>
              </w:rPr>
              <w:t>4,502 </w:t>
            </w:r>
          </w:p>
        </w:tc>
        <w:tc>
          <w:tcPr>
            <w:tcW w:w="0" w:type="auto"/>
            <w:shd w:val="clear" w:color="auto" w:fill="CCEEFF"/>
            <w:tcMar>
              <w:top w:w="40" w:type="dxa"/>
              <w:left w:w="0" w:type="dxa"/>
              <w:bottom w:w="40" w:type="dxa"/>
              <w:right w:w="20" w:type="dxa"/>
            </w:tcMar>
            <w:vAlign w:val="bottom"/>
          </w:tcPr>
          <w:p w14:paraId="392C139C" w14:textId="77777777" w:rsidR="00980E5F" w:rsidRDefault="00980E5F">
            <w:pPr>
              <w:jc w:val="right"/>
              <w:rPr>
                <w:rFonts w:ascii="宋体"/>
              </w:rPr>
            </w:pPr>
          </w:p>
        </w:tc>
      </w:tr>
      <w:tr w:rsidR="00980E5F" w14:paraId="392C13A4" w14:textId="77777777">
        <w:tc>
          <w:tcPr>
            <w:tcW w:w="0" w:type="auto"/>
            <w:gridSpan w:val="3"/>
            <w:shd w:val="clear" w:color="auto" w:fill="FFFFFF"/>
            <w:tcMar>
              <w:top w:w="40" w:type="dxa"/>
              <w:left w:w="20" w:type="dxa"/>
              <w:bottom w:w="40" w:type="dxa"/>
              <w:right w:w="20" w:type="dxa"/>
            </w:tcMar>
            <w:vAlign w:val="bottom"/>
          </w:tcPr>
          <w:p w14:paraId="392C139E" w14:textId="77777777" w:rsidR="00980E5F" w:rsidRDefault="00483613">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392C139F" w14:textId="77777777" w:rsidR="00980E5F" w:rsidRDefault="00483613">
            <w:pPr>
              <w:jc w:val="right"/>
              <w:textAlignment w:val="bottom"/>
            </w:pPr>
            <w:r>
              <w:rPr>
                <w:rFonts w:ascii="Arial" w:eastAsia="宋体" w:hAnsi="Arial" w:cs="Arial"/>
                <w:b/>
                <w:bCs/>
                <w:color w:val="000000"/>
                <w:sz w:val="14"/>
                <w:szCs w:val="14"/>
              </w:rPr>
              <w:t>2,601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A2" w14:textId="77777777" w:rsidR="00980E5F" w:rsidRDefault="00483613">
            <w:pPr>
              <w:jc w:val="right"/>
              <w:textAlignment w:val="bottom"/>
            </w:pPr>
            <w:r>
              <w:rPr>
                <w:rFonts w:ascii="Arial" w:eastAsia="宋体" w:hAnsi="Arial" w:cs="Arial"/>
                <w:color w:val="000000"/>
                <w:sz w:val="14"/>
                <w:szCs w:val="14"/>
              </w:rPr>
              <w:t>3,019 </w:t>
            </w:r>
          </w:p>
        </w:tc>
        <w:tc>
          <w:tcPr>
            <w:tcW w:w="0" w:type="auto"/>
            <w:shd w:val="clear" w:color="auto" w:fill="FFFFFF"/>
            <w:tcMar>
              <w:top w:w="40" w:type="dxa"/>
              <w:left w:w="0" w:type="dxa"/>
              <w:bottom w:w="40" w:type="dxa"/>
              <w:right w:w="20" w:type="dxa"/>
            </w:tcMar>
            <w:vAlign w:val="bottom"/>
          </w:tcPr>
          <w:p w14:paraId="392C13A3" w14:textId="77777777" w:rsidR="00980E5F" w:rsidRDefault="00980E5F">
            <w:pPr>
              <w:jc w:val="right"/>
              <w:rPr>
                <w:rFonts w:ascii="宋体"/>
              </w:rPr>
            </w:pPr>
          </w:p>
        </w:tc>
      </w:tr>
      <w:tr w:rsidR="00980E5F" w14:paraId="392C13AB" w14:textId="77777777">
        <w:tc>
          <w:tcPr>
            <w:tcW w:w="0" w:type="auto"/>
            <w:gridSpan w:val="3"/>
            <w:shd w:val="clear" w:color="auto" w:fill="CCEEFF"/>
            <w:tcMar>
              <w:top w:w="40" w:type="dxa"/>
              <w:left w:w="20" w:type="dxa"/>
              <w:bottom w:w="40" w:type="dxa"/>
              <w:right w:w="20" w:type="dxa"/>
            </w:tcMar>
            <w:vAlign w:val="bottom"/>
          </w:tcPr>
          <w:p w14:paraId="392C13A5" w14:textId="77777777" w:rsidR="00980E5F" w:rsidRDefault="00483613">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392C13A6" w14:textId="77777777" w:rsidR="00980E5F" w:rsidRDefault="00483613">
            <w:pPr>
              <w:jc w:val="right"/>
              <w:textAlignment w:val="bottom"/>
            </w:pPr>
            <w:r>
              <w:rPr>
                <w:rFonts w:ascii="Arial" w:eastAsia="宋体" w:hAnsi="Arial" w:cs="Arial"/>
                <w:b/>
                <w:bCs/>
                <w:color w:val="000000"/>
                <w:sz w:val="14"/>
                <w:szCs w:val="14"/>
              </w:rPr>
              <w:t>1,628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A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A9" w14:textId="77777777" w:rsidR="00980E5F" w:rsidRDefault="00483613">
            <w:pPr>
              <w:jc w:val="right"/>
              <w:textAlignment w:val="bottom"/>
            </w:pPr>
            <w:r>
              <w:rPr>
                <w:rFonts w:ascii="Arial" w:eastAsia="宋体" w:hAnsi="Arial" w:cs="Arial"/>
                <w:color w:val="000000"/>
                <w:sz w:val="14"/>
                <w:szCs w:val="14"/>
              </w:rPr>
              <w:t>1,961 </w:t>
            </w:r>
          </w:p>
        </w:tc>
        <w:tc>
          <w:tcPr>
            <w:tcW w:w="0" w:type="auto"/>
            <w:shd w:val="clear" w:color="auto" w:fill="CCEEFF"/>
            <w:tcMar>
              <w:top w:w="40" w:type="dxa"/>
              <w:left w:w="0" w:type="dxa"/>
              <w:bottom w:w="40" w:type="dxa"/>
              <w:right w:w="20" w:type="dxa"/>
            </w:tcMar>
            <w:vAlign w:val="bottom"/>
          </w:tcPr>
          <w:p w14:paraId="392C13AA" w14:textId="77777777" w:rsidR="00980E5F" w:rsidRDefault="00980E5F">
            <w:pPr>
              <w:jc w:val="right"/>
              <w:rPr>
                <w:rFonts w:ascii="宋体"/>
              </w:rPr>
            </w:pPr>
          </w:p>
        </w:tc>
      </w:tr>
      <w:tr w:rsidR="00980E5F" w14:paraId="392C13B2" w14:textId="77777777">
        <w:tc>
          <w:tcPr>
            <w:tcW w:w="0" w:type="auto"/>
            <w:gridSpan w:val="3"/>
            <w:shd w:val="clear" w:color="auto" w:fill="FFFFFF"/>
            <w:tcMar>
              <w:top w:w="40" w:type="dxa"/>
              <w:left w:w="20" w:type="dxa"/>
              <w:bottom w:w="40" w:type="dxa"/>
              <w:right w:w="20" w:type="dxa"/>
            </w:tcMar>
            <w:vAlign w:val="bottom"/>
          </w:tcPr>
          <w:p w14:paraId="392C13AC" w14:textId="77777777" w:rsidR="00980E5F" w:rsidRDefault="00483613">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392C13AD" w14:textId="77777777" w:rsidR="00980E5F" w:rsidRDefault="00483613">
            <w:pPr>
              <w:jc w:val="right"/>
              <w:textAlignment w:val="bottom"/>
            </w:pPr>
            <w:r>
              <w:rPr>
                <w:rFonts w:ascii="Arial" w:eastAsia="宋体" w:hAnsi="Arial" w:cs="Arial"/>
                <w:b/>
                <w:bCs/>
                <w:color w:val="000000"/>
                <w:sz w:val="14"/>
                <w:szCs w:val="14"/>
              </w:rPr>
              <w:t>1,342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A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A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B0" w14:textId="77777777" w:rsidR="00980E5F" w:rsidRDefault="00483613">
            <w:pPr>
              <w:jc w:val="right"/>
              <w:textAlignment w:val="bottom"/>
            </w:pPr>
            <w:r>
              <w:rPr>
                <w:rFonts w:ascii="Arial" w:eastAsia="宋体" w:hAnsi="Arial" w:cs="Arial"/>
                <w:color w:val="000000"/>
                <w:sz w:val="14"/>
                <w:szCs w:val="14"/>
              </w:rPr>
              <w:t>2,130 </w:t>
            </w:r>
          </w:p>
        </w:tc>
        <w:tc>
          <w:tcPr>
            <w:tcW w:w="0" w:type="auto"/>
            <w:shd w:val="clear" w:color="auto" w:fill="FFFFFF"/>
            <w:tcMar>
              <w:top w:w="40" w:type="dxa"/>
              <w:left w:w="0" w:type="dxa"/>
              <w:bottom w:w="40" w:type="dxa"/>
              <w:right w:w="20" w:type="dxa"/>
            </w:tcMar>
            <w:vAlign w:val="bottom"/>
          </w:tcPr>
          <w:p w14:paraId="392C13B1" w14:textId="77777777" w:rsidR="00980E5F" w:rsidRDefault="00980E5F">
            <w:pPr>
              <w:jc w:val="right"/>
              <w:rPr>
                <w:rFonts w:ascii="宋体"/>
              </w:rPr>
            </w:pPr>
          </w:p>
        </w:tc>
      </w:tr>
      <w:tr w:rsidR="00980E5F" w14:paraId="392C13B9" w14:textId="77777777">
        <w:tc>
          <w:tcPr>
            <w:tcW w:w="0" w:type="auto"/>
            <w:gridSpan w:val="3"/>
            <w:shd w:val="clear" w:color="auto" w:fill="CCEEFF"/>
            <w:tcMar>
              <w:top w:w="40" w:type="dxa"/>
              <w:left w:w="20" w:type="dxa"/>
              <w:bottom w:w="40" w:type="dxa"/>
              <w:right w:w="20" w:type="dxa"/>
            </w:tcMar>
            <w:vAlign w:val="bottom"/>
          </w:tcPr>
          <w:p w14:paraId="392C13B3" w14:textId="77777777" w:rsidR="00980E5F" w:rsidRDefault="00483613">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392C13B4" w14:textId="77777777" w:rsidR="00980E5F" w:rsidRDefault="00483613">
            <w:pPr>
              <w:jc w:val="right"/>
              <w:textAlignment w:val="bottom"/>
            </w:pPr>
            <w:r>
              <w:rPr>
                <w:rFonts w:ascii="Arial" w:eastAsia="宋体" w:hAnsi="Arial" w:cs="Arial"/>
                <w:b/>
                <w:bCs/>
                <w:color w:val="000000"/>
                <w:sz w:val="14"/>
                <w:szCs w:val="14"/>
              </w:rPr>
              <w:t>1,078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B7" w14:textId="77777777" w:rsidR="00980E5F" w:rsidRDefault="00483613">
            <w:pPr>
              <w:jc w:val="right"/>
              <w:textAlignment w:val="bottom"/>
            </w:pPr>
            <w:r>
              <w:rPr>
                <w:rFonts w:ascii="Arial" w:eastAsia="宋体" w:hAnsi="Arial" w:cs="Arial"/>
                <w:color w:val="000000"/>
                <w:sz w:val="14"/>
                <w:szCs w:val="14"/>
              </w:rPr>
              <w:t>2,180 </w:t>
            </w:r>
          </w:p>
        </w:tc>
        <w:tc>
          <w:tcPr>
            <w:tcW w:w="0" w:type="auto"/>
            <w:shd w:val="clear" w:color="auto" w:fill="CCEEFF"/>
            <w:tcMar>
              <w:top w:w="40" w:type="dxa"/>
              <w:left w:w="0" w:type="dxa"/>
              <w:bottom w:w="40" w:type="dxa"/>
              <w:right w:w="20" w:type="dxa"/>
            </w:tcMar>
            <w:vAlign w:val="bottom"/>
          </w:tcPr>
          <w:p w14:paraId="392C13B8" w14:textId="77777777" w:rsidR="00980E5F" w:rsidRDefault="00980E5F">
            <w:pPr>
              <w:jc w:val="right"/>
              <w:rPr>
                <w:rFonts w:ascii="宋体"/>
              </w:rPr>
            </w:pPr>
          </w:p>
        </w:tc>
      </w:tr>
      <w:tr w:rsidR="00980E5F" w14:paraId="392C13C0" w14:textId="77777777">
        <w:tc>
          <w:tcPr>
            <w:tcW w:w="0" w:type="auto"/>
            <w:gridSpan w:val="3"/>
            <w:shd w:val="clear" w:color="auto" w:fill="FFFFFF"/>
            <w:tcMar>
              <w:top w:w="40" w:type="dxa"/>
              <w:left w:w="20" w:type="dxa"/>
              <w:bottom w:w="40" w:type="dxa"/>
              <w:right w:w="20" w:type="dxa"/>
            </w:tcMar>
            <w:vAlign w:val="bottom"/>
          </w:tcPr>
          <w:p w14:paraId="392C13BA" w14:textId="77777777" w:rsidR="00980E5F" w:rsidRDefault="00483613">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392C13BB" w14:textId="77777777" w:rsidR="00980E5F" w:rsidRDefault="00483613">
            <w:pPr>
              <w:jc w:val="right"/>
              <w:textAlignment w:val="bottom"/>
            </w:pPr>
            <w:r>
              <w:rPr>
                <w:rFonts w:ascii="Arial" w:eastAsia="宋体" w:hAnsi="Arial" w:cs="Arial"/>
                <w:b/>
                <w:bCs/>
                <w:color w:val="000000"/>
                <w:sz w:val="14"/>
                <w:szCs w:val="14"/>
              </w:rPr>
              <w:t>910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B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BE" w14:textId="77777777" w:rsidR="00980E5F" w:rsidRDefault="00483613">
            <w:pPr>
              <w:jc w:val="right"/>
              <w:textAlignment w:val="bottom"/>
            </w:pPr>
            <w:r>
              <w:rPr>
                <w:rFonts w:ascii="Arial" w:eastAsia="宋体" w:hAnsi="Arial" w:cs="Arial"/>
                <w:color w:val="000000"/>
                <w:sz w:val="14"/>
                <w:szCs w:val="14"/>
              </w:rPr>
              <w:t>1,478 </w:t>
            </w:r>
          </w:p>
        </w:tc>
        <w:tc>
          <w:tcPr>
            <w:tcW w:w="0" w:type="auto"/>
            <w:shd w:val="clear" w:color="auto" w:fill="FFFFFF"/>
            <w:tcMar>
              <w:top w:w="40" w:type="dxa"/>
              <w:left w:w="0" w:type="dxa"/>
              <w:bottom w:w="40" w:type="dxa"/>
              <w:right w:w="20" w:type="dxa"/>
            </w:tcMar>
            <w:vAlign w:val="bottom"/>
          </w:tcPr>
          <w:p w14:paraId="392C13BF" w14:textId="77777777" w:rsidR="00980E5F" w:rsidRDefault="00980E5F">
            <w:pPr>
              <w:jc w:val="right"/>
              <w:rPr>
                <w:rFonts w:ascii="宋体"/>
              </w:rPr>
            </w:pPr>
          </w:p>
        </w:tc>
      </w:tr>
      <w:tr w:rsidR="00980E5F" w14:paraId="392C13C7" w14:textId="77777777">
        <w:tc>
          <w:tcPr>
            <w:tcW w:w="0" w:type="auto"/>
            <w:gridSpan w:val="3"/>
            <w:shd w:val="clear" w:color="auto" w:fill="CCEEFF"/>
            <w:tcMar>
              <w:top w:w="40" w:type="dxa"/>
              <w:left w:w="20" w:type="dxa"/>
              <w:bottom w:w="40" w:type="dxa"/>
              <w:right w:w="20" w:type="dxa"/>
            </w:tcMar>
            <w:vAlign w:val="bottom"/>
          </w:tcPr>
          <w:p w14:paraId="392C13C1" w14:textId="77777777" w:rsidR="00980E5F" w:rsidRDefault="00483613">
            <w:pPr>
              <w:textAlignment w:val="bottom"/>
            </w:pPr>
            <w:r>
              <w:rPr>
                <w:rFonts w:ascii="Arial" w:eastAsia="宋体" w:hAnsi="Arial" w:cs="Arial"/>
                <w:color w:val="000000"/>
                <w:sz w:val="14"/>
                <w:szCs w:val="14"/>
              </w:rPr>
              <w:t>Hong Kong</w:t>
            </w:r>
          </w:p>
        </w:tc>
        <w:tc>
          <w:tcPr>
            <w:tcW w:w="0" w:type="auto"/>
            <w:gridSpan w:val="2"/>
            <w:shd w:val="clear" w:color="auto" w:fill="CCEEFF"/>
            <w:tcMar>
              <w:top w:w="40" w:type="dxa"/>
              <w:left w:w="20" w:type="dxa"/>
              <w:bottom w:w="40" w:type="dxa"/>
              <w:right w:w="0" w:type="dxa"/>
            </w:tcMar>
            <w:vAlign w:val="bottom"/>
          </w:tcPr>
          <w:p w14:paraId="392C13C2" w14:textId="77777777" w:rsidR="00980E5F" w:rsidRDefault="00483613">
            <w:pPr>
              <w:jc w:val="right"/>
              <w:textAlignment w:val="bottom"/>
            </w:pPr>
            <w:r>
              <w:rPr>
                <w:rFonts w:ascii="Arial" w:eastAsia="宋体" w:hAnsi="Arial" w:cs="Arial"/>
                <w:b/>
                <w:bCs/>
                <w:color w:val="000000"/>
                <w:sz w:val="14"/>
                <w:szCs w:val="14"/>
              </w:rPr>
              <w:t>778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C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C6" w14:textId="77777777" w:rsidR="00980E5F" w:rsidRDefault="00980E5F">
            <w:pPr>
              <w:jc w:val="right"/>
              <w:rPr>
                <w:rFonts w:ascii="宋体"/>
              </w:rPr>
            </w:pPr>
          </w:p>
        </w:tc>
      </w:tr>
      <w:tr w:rsidR="00980E5F" w14:paraId="392C13CE" w14:textId="77777777">
        <w:tc>
          <w:tcPr>
            <w:tcW w:w="0" w:type="auto"/>
            <w:gridSpan w:val="3"/>
            <w:shd w:val="clear" w:color="auto" w:fill="FFFFFF"/>
            <w:tcMar>
              <w:top w:w="40" w:type="dxa"/>
              <w:left w:w="20" w:type="dxa"/>
              <w:bottom w:w="40" w:type="dxa"/>
              <w:right w:w="20" w:type="dxa"/>
            </w:tcMar>
            <w:vAlign w:val="bottom"/>
          </w:tcPr>
          <w:p w14:paraId="392C13C8" w14:textId="77777777" w:rsidR="00980E5F" w:rsidRDefault="00483613">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392C13C9" w14:textId="77777777" w:rsidR="00980E5F" w:rsidRDefault="00483613">
            <w:pPr>
              <w:jc w:val="right"/>
              <w:textAlignment w:val="bottom"/>
            </w:pPr>
            <w:r>
              <w:rPr>
                <w:rFonts w:ascii="Arial" w:eastAsia="宋体" w:hAnsi="Arial" w:cs="Arial"/>
                <w:b/>
                <w:bCs/>
                <w:color w:val="000000"/>
                <w:sz w:val="14"/>
                <w:szCs w:val="14"/>
              </w:rPr>
              <w:t>751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CC" w14:textId="77777777" w:rsidR="00980E5F" w:rsidRDefault="00483613">
            <w:pPr>
              <w:jc w:val="right"/>
              <w:textAlignment w:val="bottom"/>
            </w:pPr>
            <w:r>
              <w:rPr>
                <w:rFonts w:ascii="Arial" w:eastAsia="宋体" w:hAnsi="Arial" w:cs="Arial"/>
                <w:color w:val="000000"/>
                <w:sz w:val="14"/>
                <w:szCs w:val="14"/>
              </w:rPr>
              <w:t>1,332 </w:t>
            </w:r>
          </w:p>
        </w:tc>
        <w:tc>
          <w:tcPr>
            <w:tcW w:w="0" w:type="auto"/>
            <w:shd w:val="clear" w:color="auto" w:fill="FFFFFF"/>
            <w:tcMar>
              <w:top w:w="40" w:type="dxa"/>
              <w:left w:w="0" w:type="dxa"/>
              <w:bottom w:w="40" w:type="dxa"/>
              <w:right w:w="20" w:type="dxa"/>
            </w:tcMar>
            <w:vAlign w:val="bottom"/>
          </w:tcPr>
          <w:p w14:paraId="392C13CD" w14:textId="77777777" w:rsidR="00980E5F" w:rsidRDefault="00980E5F">
            <w:pPr>
              <w:jc w:val="right"/>
              <w:rPr>
                <w:rFonts w:ascii="宋体"/>
              </w:rPr>
            </w:pPr>
          </w:p>
        </w:tc>
      </w:tr>
      <w:tr w:rsidR="00980E5F" w14:paraId="392C13D5" w14:textId="77777777">
        <w:tc>
          <w:tcPr>
            <w:tcW w:w="0" w:type="auto"/>
            <w:gridSpan w:val="3"/>
            <w:shd w:val="clear" w:color="auto" w:fill="CCEEFF"/>
            <w:tcMar>
              <w:top w:w="40" w:type="dxa"/>
              <w:left w:w="20" w:type="dxa"/>
              <w:bottom w:w="40" w:type="dxa"/>
              <w:right w:w="20" w:type="dxa"/>
            </w:tcMar>
            <w:vAlign w:val="bottom"/>
          </w:tcPr>
          <w:p w14:paraId="392C13CF" w14:textId="77777777" w:rsidR="00980E5F" w:rsidRDefault="00483613">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392C13D0" w14:textId="77777777" w:rsidR="00980E5F" w:rsidRDefault="00483613">
            <w:pPr>
              <w:jc w:val="right"/>
              <w:textAlignment w:val="bottom"/>
            </w:pPr>
            <w:r>
              <w:rPr>
                <w:rFonts w:ascii="Arial" w:eastAsia="宋体" w:hAnsi="Arial" w:cs="Arial"/>
                <w:b/>
                <w:bCs/>
                <w:color w:val="000000"/>
                <w:sz w:val="14"/>
                <w:szCs w:val="14"/>
              </w:rPr>
              <w:t>656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D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D3" w14:textId="77777777" w:rsidR="00980E5F" w:rsidRDefault="00483613">
            <w:pPr>
              <w:jc w:val="right"/>
              <w:textAlignment w:val="bottom"/>
            </w:pPr>
            <w:r>
              <w:rPr>
                <w:rFonts w:ascii="Arial" w:eastAsia="宋体" w:hAnsi="Arial" w:cs="Arial"/>
                <w:color w:val="000000"/>
                <w:sz w:val="14"/>
                <w:szCs w:val="14"/>
              </w:rPr>
              <w:t>1,109 </w:t>
            </w:r>
          </w:p>
        </w:tc>
        <w:tc>
          <w:tcPr>
            <w:tcW w:w="0" w:type="auto"/>
            <w:shd w:val="clear" w:color="auto" w:fill="CCEEFF"/>
            <w:tcMar>
              <w:top w:w="40" w:type="dxa"/>
              <w:left w:w="0" w:type="dxa"/>
              <w:bottom w:w="40" w:type="dxa"/>
              <w:right w:w="20" w:type="dxa"/>
            </w:tcMar>
            <w:vAlign w:val="bottom"/>
          </w:tcPr>
          <w:p w14:paraId="392C13D4" w14:textId="77777777" w:rsidR="00980E5F" w:rsidRDefault="00980E5F">
            <w:pPr>
              <w:jc w:val="right"/>
              <w:rPr>
                <w:rFonts w:ascii="宋体"/>
              </w:rPr>
            </w:pPr>
          </w:p>
        </w:tc>
      </w:tr>
      <w:tr w:rsidR="00980E5F" w14:paraId="392C13DC" w14:textId="77777777">
        <w:tc>
          <w:tcPr>
            <w:tcW w:w="0" w:type="auto"/>
            <w:gridSpan w:val="3"/>
            <w:shd w:val="clear" w:color="auto" w:fill="FFFFFF"/>
            <w:tcMar>
              <w:top w:w="40" w:type="dxa"/>
              <w:left w:w="20" w:type="dxa"/>
              <w:bottom w:w="40" w:type="dxa"/>
              <w:right w:w="20" w:type="dxa"/>
            </w:tcMar>
            <w:vAlign w:val="bottom"/>
          </w:tcPr>
          <w:p w14:paraId="392C13D6" w14:textId="77777777" w:rsidR="00980E5F" w:rsidRDefault="00483613">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392C13D7" w14:textId="77777777" w:rsidR="00980E5F" w:rsidRDefault="00483613">
            <w:pPr>
              <w:jc w:val="right"/>
              <w:textAlignment w:val="bottom"/>
            </w:pPr>
            <w:r>
              <w:rPr>
                <w:rFonts w:ascii="Arial" w:eastAsia="宋体" w:hAnsi="Arial" w:cs="Arial"/>
                <w:b/>
                <w:bCs/>
                <w:color w:val="000000"/>
                <w:sz w:val="14"/>
                <w:szCs w:val="14"/>
              </w:rPr>
              <w:t>432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D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DA" w14:textId="77777777" w:rsidR="00980E5F" w:rsidRDefault="00483613">
            <w:pPr>
              <w:jc w:val="right"/>
              <w:textAlignment w:val="bottom"/>
            </w:pPr>
            <w:r>
              <w:rPr>
                <w:rFonts w:ascii="Arial" w:eastAsia="宋体" w:hAnsi="Arial" w:cs="Arial"/>
                <w:color w:val="000000"/>
                <w:sz w:val="14"/>
                <w:szCs w:val="14"/>
              </w:rPr>
              <w:t>837 </w:t>
            </w:r>
          </w:p>
        </w:tc>
        <w:tc>
          <w:tcPr>
            <w:tcW w:w="0" w:type="auto"/>
            <w:shd w:val="clear" w:color="auto" w:fill="FFFFFF"/>
            <w:tcMar>
              <w:top w:w="40" w:type="dxa"/>
              <w:left w:w="0" w:type="dxa"/>
              <w:bottom w:w="40" w:type="dxa"/>
              <w:right w:w="20" w:type="dxa"/>
            </w:tcMar>
            <w:vAlign w:val="bottom"/>
          </w:tcPr>
          <w:p w14:paraId="392C13DB" w14:textId="77777777" w:rsidR="00980E5F" w:rsidRDefault="00980E5F">
            <w:pPr>
              <w:jc w:val="right"/>
              <w:rPr>
                <w:rFonts w:ascii="宋体"/>
              </w:rPr>
            </w:pPr>
          </w:p>
        </w:tc>
      </w:tr>
      <w:tr w:rsidR="00980E5F" w14:paraId="392C13E3" w14:textId="77777777">
        <w:tc>
          <w:tcPr>
            <w:tcW w:w="0" w:type="auto"/>
            <w:gridSpan w:val="3"/>
            <w:shd w:val="clear" w:color="auto" w:fill="CCEEFF"/>
            <w:tcMar>
              <w:top w:w="40" w:type="dxa"/>
              <w:left w:w="20" w:type="dxa"/>
              <w:bottom w:w="40" w:type="dxa"/>
              <w:right w:w="20" w:type="dxa"/>
            </w:tcMar>
            <w:vAlign w:val="bottom"/>
          </w:tcPr>
          <w:p w14:paraId="392C13DD" w14:textId="77777777" w:rsidR="00980E5F" w:rsidRDefault="00483613">
            <w:pPr>
              <w:textAlignment w:val="bottom"/>
            </w:pPr>
            <w:r>
              <w:rPr>
                <w:rFonts w:ascii="Arial" w:eastAsia="宋体" w:hAnsi="Arial" w:cs="Arial"/>
                <w:color w:val="000000"/>
                <w:sz w:val="14"/>
                <w:szCs w:val="14"/>
              </w:rPr>
              <w:t>Italy</w:t>
            </w:r>
          </w:p>
        </w:tc>
        <w:tc>
          <w:tcPr>
            <w:tcW w:w="0" w:type="auto"/>
            <w:gridSpan w:val="2"/>
            <w:shd w:val="clear" w:color="auto" w:fill="CCEEFF"/>
            <w:tcMar>
              <w:top w:w="40" w:type="dxa"/>
              <w:left w:w="20" w:type="dxa"/>
              <w:bottom w:w="40" w:type="dxa"/>
              <w:right w:w="0" w:type="dxa"/>
            </w:tcMar>
            <w:vAlign w:val="bottom"/>
          </w:tcPr>
          <w:p w14:paraId="392C13DE" w14:textId="77777777" w:rsidR="00980E5F" w:rsidRDefault="00483613">
            <w:pPr>
              <w:jc w:val="right"/>
              <w:textAlignment w:val="bottom"/>
            </w:pPr>
            <w:r>
              <w:rPr>
                <w:rFonts w:ascii="Arial" w:eastAsia="宋体" w:hAnsi="Arial" w:cs="Arial"/>
                <w:b/>
                <w:bCs/>
                <w:color w:val="000000"/>
                <w:sz w:val="14"/>
                <w:szCs w:val="14"/>
              </w:rPr>
              <w:t>334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D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E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E1" w14:textId="77777777" w:rsidR="00980E5F" w:rsidRDefault="00483613">
            <w:pPr>
              <w:jc w:val="right"/>
              <w:textAlignment w:val="bottom"/>
            </w:pPr>
            <w:r>
              <w:rPr>
                <w:rFonts w:ascii="Arial" w:eastAsia="宋体" w:hAnsi="Arial" w:cs="Arial"/>
                <w:color w:val="000000"/>
                <w:sz w:val="14"/>
                <w:szCs w:val="14"/>
              </w:rPr>
              <w:t>803 </w:t>
            </w:r>
          </w:p>
        </w:tc>
        <w:tc>
          <w:tcPr>
            <w:tcW w:w="0" w:type="auto"/>
            <w:shd w:val="clear" w:color="auto" w:fill="CCEEFF"/>
            <w:tcMar>
              <w:top w:w="40" w:type="dxa"/>
              <w:left w:w="0" w:type="dxa"/>
              <w:bottom w:w="40" w:type="dxa"/>
              <w:right w:w="20" w:type="dxa"/>
            </w:tcMar>
            <w:vAlign w:val="bottom"/>
          </w:tcPr>
          <w:p w14:paraId="392C13E2" w14:textId="77777777" w:rsidR="00980E5F" w:rsidRDefault="00980E5F">
            <w:pPr>
              <w:jc w:val="right"/>
              <w:rPr>
                <w:rFonts w:ascii="宋体"/>
              </w:rPr>
            </w:pPr>
          </w:p>
        </w:tc>
      </w:tr>
      <w:tr w:rsidR="00980E5F" w14:paraId="392C13EA" w14:textId="77777777">
        <w:tc>
          <w:tcPr>
            <w:tcW w:w="0" w:type="auto"/>
            <w:gridSpan w:val="3"/>
            <w:shd w:val="clear" w:color="auto" w:fill="FFFFFF"/>
            <w:tcMar>
              <w:top w:w="40" w:type="dxa"/>
              <w:left w:w="20" w:type="dxa"/>
              <w:bottom w:w="40" w:type="dxa"/>
              <w:right w:w="20" w:type="dxa"/>
            </w:tcMar>
            <w:vAlign w:val="bottom"/>
          </w:tcPr>
          <w:p w14:paraId="392C13E4" w14:textId="77777777" w:rsidR="00980E5F" w:rsidRDefault="00483613">
            <w:pPr>
              <w:textAlignment w:val="bottom"/>
            </w:pPr>
            <w:r>
              <w:rPr>
                <w:rFonts w:ascii="Arial" w:eastAsia="宋体" w:hAnsi="Arial" w:cs="Arial"/>
                <w:color w:val="000000"/>
                <w:sz w:val="14"/>
                <w:szCs w:val="14"/>
              </w:rPr>
              <w:t>Brazil</w:t>
            </w:r>
          </w:p>
        </w:tc>
        <w:tc>
          <w:tcPr>
            <w:tcW w:w="0" w:type="auto"/>
            <w:gridSpan w:val="2"/>
            <w:shd w:val="clear" w:color="auto" w:fill="FFFFFF"/>
            <w:tcMar>
              <w:top w:w="40" w:type="dxa"/>
              <w:left w:w="20" w:type="dxa"/>
              <w:bottom w:w="40" w:type="dxa"/>
              <w:right w:w="0" w:type="dxa"/>
            </w:tcMar>
            <w:vAlign w:val="bottom"/>
          </w:tcPr>
          <w:p w14:paraId="392C13E5" w14:textId="77777777" w:rsidR="00980E5F" w:rsidRDefault="00483613">
            <w:pPr>
              <w:jc w:val="right"/>
              <w:textAlignment w:val="bottom"/>
            </w:pPr>
            <w:r>
              <w:rPr>
                <w:rFonts w:ascii="Arial" w:eastAsia="宋体" w:hAnsi="Arial" w:cs="Arial"/>
                <w:b/>
                <w:bCs/>
                <w:color w:val="000000"/>
                <w:sz w:val="14"/>
                <w:szCs w:val="14"/>
              </w:rPr>
              <w:t>185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E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E9" w14:textId="77777777" w:rsidR="00980E5F" w:rsidRDefault="00980E5F">
            <w:pPr>
              <w:jc w:val="right"/>
              <w:rPr>
                <w:rFonts w:ascii="宋体"/>
              </w:rPr>
            </w:pPr>
          </w:p>
        </w:tc>
      </w:tr>
      <w:tr w:rsidR="00980E5F" w14:paraId="392C13F1" w14:textId="77777777">
        <w:tc>
          <w:tcPr>
            <w:tcW w:w="0" w:type="auto"/>
            <w:gridSpan w:val="3"/>
            <w:shd w:val="clear" w:color="auto" w:fill="CCEEFF"/>
            <w:tcMar>
              <w:top w:w="40" w:type="dxa"/>
              <w:left w:w="20" w:type="dxa"/>
              <w:bottom w:w="40" w:type="dxa"/>
              <w:right w:w="20" w:type="dxa"/>
            </w:tcMar>
            <w:vAlign w:val="bottom"/>
          </w:tcPr>
          <w:p w14:paraId="392C13EB" w14:textId="77777777" w:rsidR="00980E5F" w:rsidRDefault="00483613">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392C13EC" w14:textId="77777777" w:rsidR="00980E5F" w:rsidRDefault="00483613">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E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EF" w14:textId="77777777" w:rsidR="00980E5F" w:rsidRDefault="00483613">
            <w:pPr>
              <w:jc w:val="right"/>
              <w:textAlignment w:val="bottom"/>
            </w:pPr>
            <w:r>
              <w:rPr>
                <w:rFonts w:ascii="Arial" w:eastAsia="宋体" w:hAnsi="Arial" w:cs="Arial"/>
                <w:color w:val="000000"/>
                <w:sz w:val="14"/>
                <w:szCs w:val="14"/>
              </w:rPr>
              <w:t>1,227 </w:t>
            </w:r>
          </w:p>
        </w:tc>
        <w:tc>
          <w:tcPr>
            <w:tcW w:w="0" w:type="auto"/>
            <w:shd w:val="clear" w:color="auto" w:fill="CCEEFF"/>
            <w:tcMar>
              <w:top w:w="40" w:type="dxa"/>
              <w:left w:w="0" w:type="dxa"/>
              <w:bottom w:w="40" w:type="dxa"/>
              <w:right w:w="20" w:type="dxa"/>
            </w:tcMar>
            <w:vAlign w:val="bottom"/>
          </w:tcPr>
          <w:p w14:paraId="392C13F0" w14:textId="77777777" w:rsidR="00980E5F" w:rsidRDefault="00980E5F">
            <w:pPr>
              <w:jc w:val="right"/>
              <w:rPr>
                <w:rFonts w:ascii="宋体"/>
              </w:rPr>
            </w:pPr>
          </w:p>
        </w:tc>
      </w:tr>
      <w:tr w:rsidR="00980E5F" w14:paraId="392C13F8" w14:textId="77777777">
        <w:tc>
          <w:tcPr>
            <w:tcW w:w="0" w:type="auto"/>
            <w:gridSpan w:val="3"/>
            <w:shd w:val="clear" w:color="auto" w:fill="FFFFFF"/>
            <w:tcMar>
              <w:top w:w="40" w:type="dxa"/>
              <w:left w:w="20" w:type="dxa"/>
              <w:bottom w:w="40" w:type="dxa"/>
              <w:right w:w="20" w:type="dxa"/>
            </w:tcMar>
            <w:vAlign w:val="bottom"/>
          </w:tcPr>
          <w:p w14:paraId="392C13F2" w14:textId="77777777" w:rsidR="00980E5F" w:rsidRDefault="00483613">
            <w:pPr>
              <w:textAlignment w:val="bottom"/>
            </w:pPr>
            <w:r>
              <w:rPr>
                <w:rFonts w:ascii="Arial" w:eastAsia="宋体" w:hAnsi="Arial" w:cs="Arial"/>
                <w:color w:val="000000"/>
                <w:sz w:val="14"/>
                <w:szCs w:val="14"/>
              </w:rPr>
              <w:t>Republic of Korea</w:t>
            </w:r>
          </w:p>
        </w:tc>
        <w:tc>
          <w:tcPr>
            <w:tcW w:w="0" w:type="auto"/>
            <w:gridSpan w:val="2"/>
            <w:shd w:val="clear" w:color="auto" w:fill="FFFFFF"/>
            <w:tcMar>
              <w:top w:w="40" w:type="dxa"/>
              <w:left w:w="20" w:type="dxa"/>
              <w:bottom w:w="40" w:type="dxa"/>
              <w:right w:w="0" w:type="dxa"/>
            </w:tcMar>
            <w:vAlign w:val="bottom"/>
          </w:tcPr>
          <w:p w14:paraId="392C13F3" w14:textId="77777777" w:rsidR="00980E5F" w:rsidRDefault="00483613">
            <w:pPr>
              <w:jc w:val="right"/>
              <w:textAlignment w:val="bottom"/>
            </w:pPr>
            <w:r>
              <w:rPr>
                <w:rFonts w:ascii="Arial" w:eastAsia="宋体" w:hAnsi="Arial" w:cs="Arial"/>
                <w:b/>
                <w:bCs/>
                <w:color w:val="000000"/>
                <w:sz w:val="14"/>
                <w:szCs w:val="14"/>
              </w:rPr>
              <w:t>146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3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3F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3F6" w14:textId="77777777" w:rsidR="00980E5F" w:rsidRDefault="00483613">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392C13F7" w14:textId="77777777" w:rsidR="00980E5F" w:rsidRDefault="00980E5F">
            <w:pPr>
              <w:jc w:val="right"/>
              <w:rPr>
                <w:rFonts w:ascii="宋体"/>
              </w:rPr>
            </w:pPr>
          </w:p>
        </w:tc>
      </w:tr>
      <w:tr w:rsidR="00980E5F" w14:paraId="392C13FF" w14:textId="77777777">
        <w:tc>
          <w:tcPr>
            <w:tcW w:w="0" w:type="auto"/>
            <w:gridSpan w:val="3"/>
            <w:shd w:val="clear" w:color="auto" w:fill="CCEEFF"/>
            <w:tcMar>
              <w:top w:w="40" w:type="dxa"/>
              <w:left w:w="20" w:type="dxa"/>
              <w:bottom w:w="40" w:type="dxa"/>
              <w:right w:w="20" w:type="dxa"/>
            </w:tcMar>
            <w:vAlign w:val="bottom"/>
          </w:tcPr>
          <w:p w14:paraId="392C13F9" w14:textId="77777777" w:rsidR="00980E5F" w:rsidRDefault="00483613">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392C13FA" w14:textId="77777777" w:rsidR="00980E5F" w:rsidRDefault="00483613">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3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3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3FD" w14:textId="77777777" w:rsidR="00980E5F" w:rsidRDefault="00483613">
            <w:pPr>
              <w:jc w:val="right"/>
              <w:textAlignment w:val="bottom"/>
            </w:pPr>
            <w:r>
              <w:rPr>
                <w:rFonts w:ascii="Arial" w:eastAsia="宋体" w:hAnsi="Arial" w:cs="Arial"/>
                <w:color w:val="000000"/>
                <w:sz w:val="14"/>
                <w:szCs w:val="14"/>
              </w:rPr>
              <w:t>1,050 </w:t>
            </w:r>
          </w:p>
        </w:tc>
        <w:tc>
          <w:tcPr>
            <w:tcW w:w="0" w:type="auto"/>
            <w:shd w:val="clear" w:color="auto" w:fill="CCEEFF"/>
            <w:tcMar>
              <w:top w:w="40" w:type="dxa"/>
              <w:left w:w="0" w:type="dxa"/>
              <w:bottom w:w="40" w:type="dxa"/>
              <w:right w:w="20" w:type="dxa"/>
            </w:tcMar>
            <w:vAlign w:val="bottom"/>
          </w:tcPr>
          <w:p w14:paraId="392C13FE" w14:textId="77777777" w:rsidR="00980E5F" w:rsidRDefault="00980E5F">
            <w:pPr>
              <w:jc w:val="right"/>
              <w:rPr>
                <w:rFonts w:ascii="宋体"/>
              </w:rPr>
            </w:pPr>
          </w:p>
        </w:tc>
      </w:tr>
      <w:tr w:rsidR="00980E5F" w14:paraId="392C1406" w14:textId="77777777">
        <w:tc>
          <w:tcPr>
            <w:tcW w:w="0" w:type="auto"/>
            <w:gridSpan w:val="3"/>
            <w:shd w:val="clear" w:color="auto" w:fill="FFFFFF"/>
            <w:tcMar>
              <w:top w:w="40" w:type="dxa"/>
              <w:left w:w="20" w:type="dxa"/>
              <w:bottom w:w="40" w:type="dxa"/>
              <w:right w:w="20" w:type="dxa"/>
            </w:tcMar>
            <w:vAlign w:val="bottom"/>
          </w:tcPr>
          <w:p w14:paraId="392C1400" w14:textId="77777777" w:rsidR="00980E5F" w:rsidRDefault="00483613">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392C1401"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0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0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04" w14:textId="77777777" w:rsidR="00980E5F" w:rsidRDefault="00483613">
            <w:pPr>
              <w:jc w:val="right"/>
              <w:textAlignment w:val="bottom"/>
            </w:pPr>
            <w:r>
              <w:rPr>
                <w:rFonts w:ascii="Arial" w:eastAsia="宋体" w:hAnsi="Arial" w:cs="Arial"/>
                <w:color w:val="000000"/>
                <w:sz w:val="14"/>
                <w:szCs w:val="14"/>
              </w:rPr>
              <w:t>744 </w:t>
            </w:r>
          </w:p>
        </w:tc>
        <w:tc>
          <w:tcPr>
            <w:tcW w:w="0" w:type="auto"/>
            <w:shd w:val="clear" w:color="auto" w:fill="FFFFFF"/>
            <w:tcMar>
              <w:top w:w="40" w:type="dxa"/>
              <w:left w:w="0" w:type="dxa"/>
              <w:bottom w:w="40" w:type="dxa"/>
              <w:right w:w="20" w:type="dxa"/>
            </w:tcMar>
            <w:vAlign w:val="bottom"/>
          </w:tcPr>
          <w:p w14:paraId="392C1405" w14:textId="77777777" w:rsidR="00980E5F" w:rsidRDefault="00980E5F">
            <w:pPr>
              <w:jc w:val="right"/>
              <w:rPr>
                <w:rFonts w:ascii="宋体"/>
              </w:rPr>
            </w:pPr>
          </w:p>
        </w:tc>
      </w:tr>
      <w:tr w:rsidR="00980E5F" w14:paraId="392C140D" w14:textId="77777777">
        <w:tc>
          <w:tcPr>
            <w:tcW w:w="0" w:type="auto"/>
            <w:gridSpan w:val="3"/>
            <w:shd w:val="clear" w:color="auto" w:fill="CCEEFF"/>
            <w:tcMar>
              <w:top w:w="40" w:type="dxa"/>
              <w:left w:w="20" w:type="dxa"/>
              <w:bottom w:w="40" w:type="dxa"/>
              <w:right w:w="20" w:type="dxa"/>
            </w:tcMar>
            <w:vAlign w:val="bottom"/>
          </w:tcPr>
          <w:p w14:paraId="392C1407"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1408" w14:textId="77777777" w:rsidR="00980E5F" w:rsidRDefault="00483613">
            <w:pPr>
              <w:jc w:val="right"/>
              <w:textAlignment w:val="bottom"/>
            </w:pPr>
            <w:r>
              <w:rPr>
                <w:rFonts w:ascii="Arial" w:eastAsia="宋体" w:hAnsi="Arial" w:cs="Arial"/>
                <w:b/>
                <w:bCs/>
                <w:color w:val="000000"/>
                <w:sz w:val="14"/>
                <w:szCs w:val="14"/>
              </w:rPr>
              <w:t>6,048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0B" w14:textId="77777777" w:rsidR="00980E5F" w:rsidRDefault="00483613">
            <w:pPr>
              <w:jc w:val="right"/>
              <w:textAlignment w:val="bottom"/>
            </w:pPr>
            <w:r>
              <w:rPr>
                <w:rFonts w:ascii="Arial" w:eastAsia="宋体" w:hAnsi="Arial" w:cs="Arial"/>
                <w:color w:val="000000"/>
                <w:sz w:val="14"/>
                <w:szCs w:val="14"/>
              </w:rPr>
              <w:t>8,154 </w:t>
            </w:r>
          </w:p>
        </w:tc>
        <w:tc>
          <w:tcPr>
            <w:tcW w:w="0" w:type="auto"/>
            <w:shd w:val="clear" w:color="auto" w:fill="CCEEFF"/>
            <w:tcMar>
              <w:top w:w="40" w:type="dxa"/>
              <w:left w:w="0" w:type="dxa"/>
              <w:bottom w:w="40" w:type="dxa"/>
              <w:right w:w="20" w:type="dxa"/>
            </w:tcMar>
            <w:vAlign w:val="bottom"/>
          </w:tcPr>
          <w:p w14:paraId="392C140C" w14:textId="77777777" w:rsidR="00980E5F" w:rsidRDefault="00980E5F">
            <w:pPr>
              <w:jc w:val="right"/>
              <w:rPr>
                <w:rFonts w:ascii="宋体"/>
              </w:rPr>
            </w:pPr>
          </w:p>
        </w:tc>
      </w:tr>
      <w:tr w:rsidR="00980E5F" w14:paraId="392C1416" w14:textId="77777777">
        <w:tc>
          <w:tcPr>
            <w:tcW w:w="0" w:type="auto"/>
            <w:gridSpan w:val="3"/>
            <w:shd w:val="clear" w:color="auto" w:fill="FFFFFF"/>
            <w:tcMar>
              <w:top w:w="40" w:type="dxa"/>
              <w:left w:w="20" w:type="dxa"/>
              <w:bottom w:w="40" w:type="dxa"/>
              <w:right w:w="20" w:type="dxa"/>
            </w:tcMar>
            <w:vAlign w:val="bottom"/>
          </w:tcPr>
          <w:p w14:paraId="392C140E" w14:textId="77777777" w:rsidR="00980E5F" w:rsidRDefault="00483613">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40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410" w14:textId="77777777" w:rsidR="00980E5F" w:rsidRDefault="00483613">
            <w:pPr>
              <w:jc w:val="right"/>
              <w:textAlignment w:val="bottom"/>
            </w:pPr>
            <w:r>
              <w:rPr>
                <w:rFonts w:ascii="Arial" w:eastAsia="宋体" w:hAnsi="Arial" w:cs="Arial"/>
                <w:b/>
                <w:bCs/>
                <w:color w:val="000000"/>
                <w:sz w:val="14"/>
                <w:szCs w:val="14"/>
              </w:rPr>
              <w:t>20,966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4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1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41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414" w14:textId="77777777" w:rsidR="00980E5F" w:rsidRDefault="00483613">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415" w14:textId="77777777" w:rsidR="00980E5F" w:rsidRDefault="00980E5F">
            <w:pPr>
              <w:jc w:val="right"/>
              <w:rPr>
                <w:rFonts w:ascii="宋体"/>
              </w:rPr>
            </w:pPr>
          </w:p>
        </w:tc>
      </w:tr>
      <w:tr w:rsidR="00980E5F" w14:paraId="392C141B" w14:textId="77777777">
        <w:tc>
          <w:tcPr>
            <w:tcW w:w="0" w:type="auto"/>
            <w:gridSpan w:val="3"/>
            <w:shd w:val="clear" w:color="auto" w:fill="CCEEFF"/>
            <w:tcMar>
              <w:top w:w="40" w:type="dxa"/>
              <w:left w:w="20" w:type="dxa"/>
              <w:bottom w:w="40" w:type="dxa"/>
              <w:right w:w="20" w:type="dxa"/>
            </w:tcMar>
            <w:vAlign w:val="bottom"/>
          </w:tcPr>
          <w:p w14:paraId="392C1417" w14:textId="77777777" w:rsidR="00980E5F" w:rsidRDefault="00483613">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141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419"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141A" w14:textId="77777777" w:rsidR="00980E5F" w:rsidRDefault="00980E5F">
            <w:pPr>
              <w:rPr>
                <w:rFonts w:ascii="宋体"/>
              </w:rPr>
            </w:pPr>
          </w:p>
        </w:tc>
      </w:tr>
      <w:tr w:rsidR="00980E5F" w14:paraId="392C1424" w14:textId="77777777">
        <w:tc>
          <w:tcPr>
            <w:tcW w:w="0" w:type="auto"/>
            <w:gridSpan w:val="3"/>
            <w:shd w:val="clear" w:color="auto" w:fill="FFFFFF"/>
            <w:tcMar>
              <w:top w:w="40" w:type="dxa"/>
              <w:left w:w="20" w:type="dxa"/>
              <w:bottom w:w="40" w:type="dxa"/>
              <w:right w:w="20" w:type="dxa"/>
            </w:tcMar>
            <w:vAlign w:val="bottom"/>
          </w:tcPr>
          <w:p w14:paraId="392C141C" w14:textId="77777777" w:rsidR="00980E5F" w:rsidRDefault="00483613">
            <w:pPr>
              <w:textAlignment w:val="bottom"/>
            </w:pPr>
            <w:r>
              <w:rPr>
                <w:rFonts w:ascii="Arial" w:eastAsia="宋体" w:hAnsi="Arial" w:cs="Arial"/>
                <w:color w:val="000000"/>
                <w:sz w:val="14"/>
                <w:szCs w:val="14"/>
              </w:rPr>
              <w:t>Spain</w:t>
            </w:r>
          </w:p>
        </w:tc>
        <w:tc>
          <w:tcPr>
            <w:tcW w:w="0" w:type="auto"/>
            <w:shd w:val="clear" w:color="auto" w:fill="FFFFFF"/>
            <w:tcMar>
              <w:top w:w="40" w:type="dxa"/>
              <w:left w:w="20" w:type="dxa"/>
              <w:bottom w:w="40" w:type="dxa"/>
              <w:right w:w="0" w:type="dxa"/>
            </w:tcMar>
            <w:vAlign w:val="bottom"/>
          </w:tcPr>
          <w:p w14:paraId="392C141D"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92C141E" w14:textId="77777777" w:rsidR="00980E5F" w:rsidRDefault="00483613">
            <w:pPr>
              <w:jc w:val="right"/>
              <w:textAlignment w:val="bottom"/>
            </w:pPr>
            <w:r>
              <w:rPr>
                <w:rFonts w:ascii="Arial" w:eastAsia="宋体" w:hAnsi="Arial" w:cs="Arial"/>
                <w:b/>
                <w:bCs/>
                <w:color w:val="000000"/>
                <w:sz w:val="14"/>
                <w:szCs w:val="14"/>
              </w:rPr>
              <w:t>801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2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421"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142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23" w14:textId="77777777" w:rsidR="00980E5F" w:rsidRDefault="00980E5F">
            <w:pPr>
              <w:jc w:val="right"/>
              <w:rPr>
                <w:rFonts w:ascii="宋体"/>
              </w:rPr>
            </w:pPr>
          </w:p>
        </w:tc>
      </w:tr>
      <w:tr w:rsidR="00980E5F" w14:paraId="392C142B" w14:textId="77777777">
        <w:tc>
          <w:tcPr>
            <w:tcW w:w="0" w:type="auto"/>
            <w:gridSpan w:val="3"/>
            <w:shd w:val="clear" w:color="auto" w:fill="CCEEFF"/>
            <w:tcMar>
              <w:top w:w="40" w:type="dxa"/>
              <w:left w:w="20" w:type="dxa"/>
              <w:bottom w:w="40" w:type="dxa"/>
              <w:right w:w="20" w:type="dxa"/>
            </w:tcMar>
            <w:vAlign w:val="bottom"/>
          </w:tcPr>
          <w:p w14:paraId="392C1425" w14:textId="77777777" w:rsidR="00980E5F" w:rsidRDefault="00483613">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392C1426" w14:textId="77777777" w:rsidR="00980E5F" w:rsidRDefault="00483613">
            <w:pPr>
              <w:jc w:val="right"/>
              <w:textAlignment w:val="bottom"/>
            </w:pPr>
            <w:r>
              <w:rPr>
                <w:rFonts w:ascii="Arial" w:eastAsia="宋体" w:hAnsi="Arial" w:cs="Arial"/>
                <w:b/>
                <w:bCs/>
                <w:color w:val="000000"/>
                <w:sz w:val="14"/>
                <w:szCs w:val="14"/>
              </w:rPr>
              <w:t>691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2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2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2A" w14:textId="77777777" w:rsidR="00980E5F" w:rsidRDefault="00980E5F">
            <w:pPr>
              <w:jc w:val="right"/>
              <w:rPr>
                <w:rFonts w:ascii="宋体"/>
              </w:rPr>
            </w:pPr>
          </w:p>
        </w:tc>
      </w:tr>
      <w:tr w:rsidR="00980E5F" w14:paraId="392C1432" w14:textId="77777777">
        <w:tc>
          <w:tcPr>
            <w:tcW w:w="0" w:type="auto"/>
            <w:gridSpan w:val="3"/>
            <w:shd w:val="clear" w:color="auto" w:fill="FFFFFF"/>
            <w:tcMar>
              <w:top w:w="40" w:type="dxa"/>
              <w:left w:w="20" w:type="dxa"/>
              <w:bottom w:w="40" w:type="dxa"/>
              <w:right w:w="20" w:type="dxa"/>
            </w:tcMar>
            <w:vAlign w:val="bottom"/>
          </w:tcPr>
          <w:p w14:paraId="392C142C" w14:textId="77777777" w:rsidR="00980E5F" w:rsidRDefault="00483613">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392C142D" w14:textId="77777777" w:rsidR="00980E5F" w:rsidRDefault="00483613">
            <w:pPr>
              <w:jc w:val="right"/>
              <w:textAlignment w:val="bottom"/>
            </w:pPr>
            <w:r>
              <w:rPr>
                <w:rFonts w:ascii="Arial" w:eastAsia="宋体" w:hAnsi="Arial" w:cs="Arial"/>
                <w:b/>
                <w:bCs/>
                <w:color w:val="000000"/>
                <w:sz w:val="14"/>
                <w:szCs w:val="14"/>
              </w:rPr>
              <w:t>602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2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2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3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31" w14:textId="77777777" w:rsidR="00980E5F" w:rsidRDefault="00980E5F">
            <w:pPr>
              <w:jc w:val="right"/>
              <w:rPr>
                <w:rFonts w:ascii="宋体"/>
              </w:rPr>
            </w:pPr>
          </w:p>
        </w:tc>
      </w:tr>
      <w:tr w:rsidR="00980E5F" w14:paraId="392C1439" w14:textId="77777777">
        <w:tc>
          <w:tcPr>
            <w:tcW w:w="0" w:type="auto"/>
            <w:gridSpan w:val="3"/>
            <w:shd w:val="clear" w:color="auto" w:fill="CCEEFF"/>
            <w:tcMar>
              <w:top w:w="40" w:type="dxa"/>
              <w:left w:w="20" w:type="dxa"/>
              <w:bottom w:w="40" w:type="dxa"/>
              <w:right w:w="20" w:type="dxa"/>
            </w:tcMar>
            <w:vAlign w:val="bottom"/>
          </w:tcPr>
          <w:p w14:paraId="392C1433" w14:textId="77777777" w:rsidR="00980E5F" w:rsidRDefault="00483613">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392C1434" w14:textId="77777777" w:rsidR="00980E5F" w:rsidRDefault="00483613">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3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3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38" w14:textId="77777777" w:rsidR="00980E5F" w:rsidRDefault="00980E5F">
            <w:pPr>
              <w:jc w:val="right"/>
              <w:rPr>
                <w:rFonts w:ascii="宋体"/>
              </w:rPr>
            </w:pPr>
          </w:p>
        </w:tc>
      </w:tr>
      <w:tr w:rsidR="00980E5F" w14:paraId="392C1440" w14:textId="77777777">
        <w:tc>
          <w:tcPr>
            <w:tcW w:w="0" w:type="auto"/>
            <w:gridSpan w:val="3"/>
            <w:shd w:val="clear" w:color="auto" w:fill="FFFFFF"/>
            <w:tcMar>
              <w:top w:w="40" w:type="dxa"/>
              <w:left w:w="20" w:type="dxa"/>
              <w:bottom w:w="40" w:type="dxa"/>
              <w:right w:w="20" w:type="dxa"/>
            </w:tcMar>
            <w:vAlign w:val="bottom"/>
          </w:tcPr>
          <w:p w14:paraId="392C143A" w14:textId="77777777" w:rsidR="00980E5F" w:rsidRDefault="00483613">
            <w:pPr>
              <w:textAlignment w:val="bottom"/>
            </w:pPr>
            <w:r>
              <w:rPr>
                <w:rFonts w:ascii="Arial" w:eastAsia="宋体" w:hAnsi="Arial" w:cs="Arial"/>
                <w:color w:val="000000"/>
                <w:sz w:val="14"/>
                <w:szCs w:val="14"/>
              </w:rPr>
              <w:t>Singapore</w:t>
            </w:r>
          </w:p>
        </w:tc>
        <w:tc>
          <w:tcPr>
            <w:tcW w:w="0" w:type="auto"/>
            <w:gridSpan w:val="2"/>
            <w:shd w:val="clear" w:color="auto" w:fill="FFFFFF"/>
            <w:tcMar>
              <w:top w:w="40" w:type="dxa"/>
              <w:left w:w="20" w:type="dxa"/>
              <w:bottom w:w="40" w:type="dxa"/>
              <w:right w:w="0" w:type="dxa"/>
            </w:tcMar>
            <w:vAlign w:val="bottom"/>
          </w:tcPr>
          <w:p w14:paraId="392C143B" w14:textId="77777777" w:rsidR="00980E5F" w:rsidRDefault="00483613">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3E" w14:textId="77777777" w:rsidR="00980E5F" w:rsidRDefault="00483613">
            <w:pPr>
              <w:jc w:val="right"/>
              <w:textAlignment w:val="bottom"/>
            </w:pPr>
            <w:r>
              <w:rPr>
                <w:rFonts w:ascii="Arial" w:eastAsia="宋体" w:hAnsi="Arial" w:cs="Arial"/>
                <w:color w:val="000000"/>
                <w:sz w:val="14"/>
                <w:szCs w:val="14"/>
              </w:rPr>
              <w:t>222 </w:t>
            </w:r>
          </w:p>
        </w:tc>
        <w:tc>
          <w:tcPr>
            <w:tcW w:w="0" w:type="auto"/>
            <w:shd w:val="clear" w:color="auto" w:fill="FFFFFF"/>
            <w:tcMar>
              <w:top w:w="40" w:type="dxa"/>
              <w:left w:w="0" w:type="dxa"/>
              <w:bottom w:w="40" w:type="dxa"/>
              <w:right w:w="20" w:type="dxa"/>
            </w:tcMar>
            <w:vAlign w:val="bottom"/>
          </w:tcPr>
          <w:p w14:paraId="392C143F" w14:textId="77777777" w:rsidR="00980E5F" w:rsidRDefault="00980E5F">
            <w:pPr>
              <w:jc w:val="right"/>
              <w:rPr>
                <w:rFonts w:ascii="宋体"/>
              </w:rPr>
            </w:pPr>
          </w:p>
        </w:tc>
      </w:tr>
      <w:tr w:rsidR="00980E5F" w14:paraId="392C1447" w14:textId="77777777">
        <w:tc>
          <w:tcPr>
            <w:tcW w:w="0" w:type="auto"/>
            <w:gridSpan w:val="3"/>
            <w:shd w:val="clear" w:color="auto" w:fill="CCEEFF"/>
            <w:tcMar>
              <w:top w:w="40" w:type="dxa"/>
              <w:left w:w="20" w:type="dxa"/>
              <w:bottom w:w="40" w:type="dxa"/>
              <w:right w:w="20" w:type="dxa"/>
            </w:tcMar>
            <w:vAlign w:val="bottom"/>
          </w:tcPr>
          <w:p w14:paraId="392C1441" w14:textId="77777777" w:rsidR="00980E5F" w:rsidRDefault="00483613">
            <w:pPr>
              <w:textAlignment w:val="bottom"/>
            </w:pPr>
            <w:r>
              <w:rPr>
                <w:rFonts w:ascii="Arial" w:eastAsia="宋体" w:hAnsi="Arial" w:cs="Arial"/>
                <w:color w:val="000000"/>
                <w:sz w:val="14"/>
                <w:szCs w:val="14"/>
              </w:rPr>
              <w:t>Austria</w:t>
            </w:r>
          </w:p>
        </w:tc>
        <w:tc>
          <w:tcPr>
            <w:tcW w:w="0" w:type="auto"/>
            <w:gridSpan w:val="2"/>
            <w:shd w:val="clear" w:color="auto" w:fill="CCEEFF"/>
            <w:tcMar>
              <w:top w:w="40" w:type="dxa"/>
              <w:left w:w="20" w:type="dxa"/>
              <w:bottom w:w="40" w:type="dxa"/>
              <w:right w:w="0" w:type="dxa"/>
            </w:tcMar>
            <w:vAlign w:val="bottom"/>
          </w:tcPr>
          <w:p w14:paraId="392C1442" w14:textId="77777777" w:rsidR="00980E5F" w:rsidRDefault="00483613">
            <w:pPr>
              <w:jc w:val="right"/>
              <w:textAlignment w:val="bottom"/>
            </w:pPr>
            <w:r>
              <w:rPr>
                <w:rFonts w:ascii="Arial" w:eastAsia="宋体" w:hAnsi="Arial" w:cs="Arial"/>
                <w:b/>
                <w:bCs/>
                <w:color w:val="000000"/>
                <w:sz w:val="14"/>
                <w:szCs w:val="14"/>
              </w:rPr>
              <w:t>312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4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46" w14:textId="77777777" w:rsidR="00980E5F" w:rsidRDefault="00980E5F">
            <w:pPr>
              <w:jc w:val="right"/>
              <w:rPr>
                <w:rFonts w:ascii="宋体"/>
              </w:rPr>
            </w:pPr>
          </w:p>
        </w:tc>
      </w:tr>
      <w:tr w:rsidR="00980E5F" w14:paraId="392C144E" w14:textId="77777777">
        <w:tc>
          <w:tcPr>
            <w:tcW w:w="0" w:type="auto"/>
            <w:gridSpan w:val="3"/>
            <w:shd w:val="clear" w:color="auto" w:fill="FFFFFF"/>
            <w:tcMar>
              <w:top w:w="40" w:type="dxa"/>
              <w:left w:w="20" w:type="dxa"/>
              <w:bottom w:w="40" w:type="dxa"/>
              <w:right w:w="20" w:type="dxa"/>
            </w:tcMar>
            <w:vAlign w:val="bottom"/>
          </w:tcPr>
          <w:p w14:paraId="392C1448" w14:textId="77777777" w:rsidR="00980E5F" w:rsidRDefault="00483613">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392C1449" w14:textId="77777777" w:rsidR="00980E5F" w:rsidRDefault="00483613">
            <w:pPr>
              <w:jc w:val="right"/>
              <w:textAlignment w:val="bottom"/>
            </w:pPr>
            <w:r>
              <w:rPr>
                <w:rFonts w:ascii="Arial" w:eastAsia="宋体" w:hAnsi="Arial" w:cs="Arial"/>
                <w:b/>
                <w:bCs/>
                <w:color w:val="000000"/>
                <w:sz w:val="14"/>
                <w:szCs w:val="14"/>
              </w:rPr>
              <w:t>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4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4D" w14:textId="77777777" w:rsidR="00980E5F" w:rsidRDefault="00980E5F">
            <w:pPr>
              <w:jc w:val="right"/>
              <w:rPr>
                <w:rFonts w:ascii="宋体"/>
              </w:rPr>
            </w:pPr>
          </w:p>
        </w:tc>
      </w:tr>
      <w:tr w:rsidR="00980E5F" w14:paraId="392C1455" w14:textId="77777777">
        <w:tc>
          <w:tcPr>
            <w:tcW w:w="0" w:type="auto"/>
            <w:gridSpan w:val="3"/>
            <w:shd w:val="clear" w:color="auto" w:fill="CCEEFF"/>
            <w:tcMar>
              <w:top w:w="40" w:type="dxa"/>
              <w:left w:w="20" w:type="dxa"/>
              <w:bottom w:w="40" w:type="dxa"/>
              <w:right w:w="20" w:type="dxa"/>
            </w:tcMar>
            <w:vAlign w:val="bottom"/>
          </w:tcPr>
          <w:p w14:paraId="392C144F" w14:textId="77777777" w:rsidR="00980E5F" w:rsidRDefault="00483613">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392C1450" w14:textId="77777777" w:rsidR="00980E5F" w:rsidRDefault="00483613">
            <w:pPr>
              <w:jc w:val="right"/>
              <w:textAlignment w:val="bottom"/>
            </w:pPr>
            <w:r>
              <w:rPr>
                <w:rFonts w:ascii="Arial" w:eastAsia="宋体" w:hAnsi="Arial" w:cs="Arial"/>
                <w:b/>
                <w:bCs/>
                <w:color w:val="000000"/>
                <w:sz w:val="14"/>
                <w:szCs w:val="14"/>
              </w:rPr>
              <w:t>169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5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5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54" w14:textId="77777777" w:rsidR="00980E5F" w:rsidRDefault="00980E5F">
            <w:pPr>
              <w:jc w:val="right"/>
              <w:rPr>
                <w:rFonts w:ascii="宋体"/>
              </w:rPr>
            </w:pPr>
          </w:p>
        </w:tc>
      </w:tr>
      <w:tr w:rsidR="00980E5F" w14:paraId="392C145C" w14:textId="77777777">
        <w:tc>
          <w:tcPr>
            <w:tcW w:w="0" w:type="auto"/>
            <w:gridSpan w:val="3"/>
            <w:shd w:val="clear" w:color="auto" w:fill="FFFFFF"/>
            <w:tcMar>
              <w:top w:w="40" w:type="dxa"/>
              <w:left w:w="20" w:type="dxa"/>
              <w:bottom w:w="40" w:type="dxa"/>
              <w:right w:w="20" w:type="dxa"/>
            </w:tcMar>
            <w:vAlign w:val="bottom"/>
          </w:tcPr>
          <w:p w14:paraId="392C1456" w14:textId="77777777" w:rsidR="00980E5F" w:rsidRDefault="00483613">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392C1457" w14:textId="77777777" w:rsidR="00980E5F" w:rsidRDefault="00483613">
            <w:pPr>
              <w:jc w:val="right"/>
              <w:textAlignment w:val="bottom"/>
            </w:pPr>
            <w:r>
              <w:rPr>
                <w:rFonts w:ascii="Arial" w:eastAsia="宋体" w:hAnsi="Arial" w:cs="Arial"/>
                <w:b/>
                <w:bCs/>
                <w:color w:val="000000"/>
                <w:sz w:val="14"/>
                <w:szCs w:val="14"/>
              </w:rPr>
              <w:t>121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5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5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5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45B" w14:textId="77777777" w:rsidR="00980E5F" w:rsidRDefault="00980E5F">
            <w:pPr>
              <w:jc w:val="right"/>
              <w:rPr>
                <w:rFonts w:ascii="宋体"/>
              </w:rPr>
            </w:pPr>
          </w:p>
        </w:tc>
      </w:tr>
      <w:tr w:rsidR="00980E5F" w14:paraId="392C1463" w14:textId="77777777">
        <w:tc>
          <w:tcPr>
            <w:tcW w:w="0" w:type="auto"/>
            <w:gridSpan w:val="3"/>
            <w:shd w:val="clear" w:color="auto" w:fill="CCEEFF"/>
            <w:tcMar>
              <w:top w:w="40" w:type="dxa"/>
              <w:left w:w="20" w:type="dxa"/>
              <w:bottom w:w="40" w:type="dxa"/>
              <w:right w:w="20" w:type="dxa"/>
            </w:tcMar>
            <w:vAlign w:val="bottom"/>
          </w:tcPr>
          <w:p w14:paraId="392C145D"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145E" w14:textId="77777777" w:rsidR="00980E5F" w:rsidRDefault="00483613">
            <w:pPr>
              <w:jc w:val="right"/>
              <w:textAlignment w:val="bottom"/>
            </w:pPr>
            <w:r>
              <w:rPr>
                <w:rFonts w:ascii="Arial" w:eastAsia="宋体" w:hAnsi="Arial" w:cs="Arial"/>
                <w:b/>
                <w:bCs/>
                <w:color w:val="000000"/>
                <w:sz w:val="14"/>
                <w:szCs w:val="14"/>
              </w:rPr>
              <w:t>2,752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4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6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61" w14:textId="77777777" w:rsidR="00980E5F" w:rsidRDefault="00483613">
            <w:pPr>
              <w:jc w:val="right"/>
              <w:textAlignment w:val="bottom"/>
            </w:pPr>
            <w:r>
              <w:rPr>
                <w:rFonts w:ascii="Arial" w:eastAsia="宋体" w:hAnsi="Arial" w:cs="Arial"/>
                <w:color w:val="000000"/>
                <w:sz w:val="14"/>
                <w:szCs w:val="14"/>
              </w:rPr>
              <w:t>1,342 </w:t>
            </w:r>
          </w:p>
        </w:tc>
        <w:tc>
          <w:tcPr>
            <w:tcW w:w="0" w:type="auto"/>
            <w:shd w:val="clear" w:color="auto" w:fill="CCEEFF"/>
            <w:tcMar>
              <w:top w:w="40" w:type="dxa"/>
              <w:left w:w="0" w:type="dxa"/>
              <w:bottom w:w="40" w:type="dxa"/>
              <w:right w:w="20" w:type="dxa"/>
            </w:tcMar>
            <w:vAlign w:val="bottom"/>
          </w:tcPr>
          <w:p w14:paraId="392C1462" w14:textId="77777777" w:rsidR="00980E5F" w:rsidRDefault="00980E5F">
            <w:pPr>
              <w:jc w:val="right"/>
              <w:rPr>
                <w:rFonts w:ascii="宋体"/>
              </w:rPr>
            </w:pPr>
          </w:p>
        </w:tc>
      </w:tr>
      <w:tr w:rsidR="00980E5F" w14:paraId="392C146C" w14:textId="77777777">
        <w:tc>
          <w:tcPr>
            <w:tcW w:w="0" w:type="auto"/>
            <w:gridSpan w:val="3"/>
            <w:shd w:val="clear" w:color="auto" w:fill="FFFFFF"/>
            <w:tcMar>
              <w:top w:w="40" w:type="dxa"/>
              <w:left w:w="20" w:type="dxa"/>
              <w:bottom w:w="40" w:type="dxa"/>
              <w:right w:w="20" w:type="dxa"/>
            </w:tcMar>
            <w:vAlign w:val="bottom"/>
          </w:tcPr>
          <w:p w14:paraId="392C1464" w14:textId="77777777" w:rsidR="00980E5F" w:rsidRDefault="00483613">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46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466" w14:textId="77777777" w:rsidR="00980E5F" w:rsidRDefault="00483613">
            <w:pPr>
              <w:jc w:val="right"/>
              <w:textAlignment w:val="bottom"/>
            </w:pPr>
            <w:r>
              <w:rPr>
                <w:rFonts w:ascii="Arial" w:eastAsia="宋体" w:hAnsi="Arial" w:cs="Arial"/>
                <w:b/>
                <w:bCs/>
                <w:color w:val="000000"/>
                <w:sz w:val="14"/>
                <w:szCs w:val="14"/>
              </w:rPr>
              <w:t>6,443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4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68"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46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46A" w14:textId="77777777" w:rsidR="00980E5F" w:rsidRDefault="00483613">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46B" w14:textId="77777777" w:rsidR="00980E5F" w:rsidRDefault="00980E5F">
            <w:pPr>
              <w:jc w:val="right"/>
              <w:rPr>
                <w:rFonts w:ascii="宋体"/>
              </w:rPr>
            </w:pPr>
          </w:p>
        </w:tc>
      </w:tr>
      <w:tr w:rsidR="00980E5F" w14:paraId="392C1471" w14:textId="77777777">
        <w:trPr>
          <w:trHeight w:val="10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46D"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46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6F"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470" w14:textId="77777777" w:rsidR="00980E5F" w:rsidRDefault="00980E5F">
            <w:pPr>
              <w:rPr>
                <w:rFonts w:ascii="宋体"/>
              </w:rPr>
            </w:pPr>
          </w:p>
        </w:tc>
      </w:tr>
    </w:tbl>
    <w:p w14:paraId="392C1472" w14:textId="77777777" w:rsidR="00980E5F" w:rsidRDefault="00483613">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Geography is determined primarily based on the domicile of collateral or issuer.</w:t>
      </w:r>
    </w:p>
    <w:p w14:paraId="392C1473" w14:textId="77777777" w:rsidR="00980E5F" w:rsidRDefault="00483613">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June 30, 2022, other non-U.S. investments include $5.75 billion of supranational bonds in AFS securities and $2.75 billion of supranational bonds in HTM securities.</w:t>
      </w:r>
    </w:p>
    <w:p w14:paraId="392C1474" w14:textId="77777777" w:rsidR="00980E5F" w:rsidRDefault="00980E5F">
      <w:pPr>
        <w:spacing w:before="60"/>
        <w:ind w:firstLine="450"/>
        <w:jc w:val="both"/>
        <w:textAlignment w:val="top"/>
      </w:pPr>
    </w:p>
    <w:p w14:paraId="392C1475" w14:textId="77777777" w:rsidR="00980E5F" w:rsidRDefault="00483613">
      <w:pPr>
        <w:ind w:firstLine="450"/>
        <w:jc w:val="right"/>
      </w:pPr>
      <w:r>
        <w:rPr>
          <w:rFonts w:ascii="Arial" w:eastAsia="宋体" w:hAnsi="Arial" w:cs="Arial"/>
          <w:color w:val="000000"/>
          <w:sz w:val="18"/>
          <w:szCs w:val="18"/>
        </w:rPr>
        <w:t>State Street Corporation | 29</w:t>
      </w:r>
    </w:p>
    <w:p w14:paraId="392C1476" w14:textId="77777777" w:rsidR="00980E5F" w:rsidRDefault="00980E5F">
      <w:pPr>
        <w:ind w:firstLine="450"/>
        <w:jc w:val="center"/>
      </w:pPr>
    </w:p>
    <w:p w14:paraId="392C1477" w14:textId="77777777" w:rsidR="00980E5F" w:rsidRDefault="00483613">
      <w:r>
        <w:pict w14:anchorId="392CBAEB">
          <v:rect id="_x0000_i1053" style="width:415.3pt;height:1.5pt" o:hralign="center" o:hrstd="t" o:hr="t" fillcolor="#a0a0a0" stroked="f"/>
        </w:pict>
      </w:r>
    </w:p>
    <w:p w14:paraId="392C1478" w14:textId="77777777" w:rsidR="00980E5F" w:rsidRDefault="00483613">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392C1479" w14:textId="77777777" w:rsidR="00980E5F" w:rsidRDefault="00483613">
      <w:pPr>
        <w:ind w:firstLine="450"/>
        <w:jc w:val="center"/>
      </w:pPr>
      <w:r>
        <w:rPr>
          <w:rFonts w:ascii="Arial" w:eastAsia="宋体" w:hAnsi="Arial" w:cs="Arial"/>
          <w:b/>
          <w:bCs/>
          <w:color w:val="000000"/>
          <w:sz w:val="20"/>
          <w:szCs w:val="20"/>
        </w:rPr>
        <w:t>AND RESULTS OF OPERATIONS</w:t>
      </w:r>
    </w:p>
    <w:p w14:paraId="392C147A" w14:textId="77777777" w:rsidR="00980E5F" w:rsidRDefault="00483613">
      <w:pPr>
        <w:spacing w:before="60"/>
        <w:ind w:firstLine="450"/>
        <w:jc w:val="both"/>
        <w:textAlignment w:val="top"/>
      </w:pPr>
      <w:r>
        <w:rPr>
          <w:rFonts w:ascii="Arial" w:eastAsia="宋体" w:hAnsi="Arial" w:cs="Arial"/>
          <w:color w:val="000000"/>
          <w:sz w:val="20"/>
          <w:szCs w:val="20"/>
        </w:rPr>
        <w:t>Approximately 87% and 81% of the aggregate carrying value of these non-U.S. debt securities was rated “AAA” or “AA” as of June 30, 2022 and December 31, 2021, respectively. The majority of these securities comprised seni</w:t>
      </w:r>
      <w:r>
        <w:rPr>
          <w:rFonts w:ascii="Arial" w:eastAsia="宋体" w:hAnsi="Arial" w:cs="Arial"/>
          <w:color w:val="000000"/>
          <w:sz w:val="20"/>
          <w:szCs w:val="20"/>
        </w:rPr>
        <w:t>or positions within the security structures; these positions have a level of protection provided through subordination and other forms of credit protection. As of June 30, 2022 and December 31, 2021, approximately 26% and 24%, respectively, of the aggregat</w:t>
      </w:r>
      <w:r>
        <w:rPr>
          <w:rFonts w:ascii="Arial" w:eastAsia="宋体" w:hAnsi="Arial" w:cs="Arial"/>
          <w:color w:val="000000"/>
          <w:sz w:val="20"/>
          <w:szCs w:val="20"/>
        </w:rPr>
        <w:t>e carrying value of these non-U.S. debt securities was floating-rate.</w:t>
      </w:r>
    </w:p>
    <w:p w14:paraId="392C147B" w14:textId="77777777" w:rsidR="00980E5F" w:rsidRDefault="00483613">
      <w:pPr>
        <w:spacing w:before="60"/>
        <w:ind w:firstLine="450"/>
        <w:jc w:val="both"/>
        <w:textAlignment w:val="top"/>
      </w:pPr>
      <w:r>
        <w:rPr>
          <w:rFonts w:ascii="Arial" w:eastAsia="宋体" w:hAnsi="Arial" w:cs="Arial"/>
          <w:color w:val="000000"/>
          <w:sz w:val="20"/>
          <w:szCs w:val="20"/>
        </w:rPr>
        <w:t xml:space="preserve">As of June 30, 2022, our non-U.S. debt securities had an average market-to-book ratio of 97.5%, and an aggregate pre-tax net unrealized loss of $693 million, composed of gross </w:t>
      </w:r>
      <w:r>
        <w:rPr>
          <w:rFonts w:ascii="Arial" w:eastAsia="宋体" w:hAnsi="Arial" w:cs="Arial"/>
          <w:color w:val="000000"/>
          <w:sz w:val="20"/>
          <w:szCs w:val="20"/>
        </w:rPr>
        <w:t>unrealized gains of $11 million and gross unrealized losses of $704 million. These unrealized amounts included:</w:t>
      </w:r>
    </w:p>
    <w:p w14:paraId="392C147C" w14:textId="77777777" w:rsidR="00980E5F" w:rsidRDefault="00483613">
      <w:pPr>
        <w:spacing w:before="60"/>
        <w:ind w:hanging="360"/>
        <w:jc w:val="both"/>
        <w:textAlignment w:val="top"/>
      </w:pPr>
      <w:r>
        <w:rPr>
          <w:rFonts w:ascii="Arial" w:eastAsia="宋体" w:hAnsi="Arial" w:cs="Arial"/>
          <w:color w:val="000000"/>
          <w:sz w:val="20"/>
          <w:szCs w:val="20"/>
        </w:rPr>
        <w:t>•a pre-tax net unrealized loss of $565 million, composed of gross unrealized gains of $6 million and gross unrealized losses of $571 million, as</w:t>
      </w:r>
      <w:r>
        <w:rPr>
          <w:rFonts w:ascii="Arial" w:eastAsia="宋体" w:hAnsi="Arial" w:cs="Arial"/>
          <w:color w:val="000000"/>
          <w:sz w:val="20"/>
          <w:szCs w:val="20"/>
        </w:rPr>
        <w:t>sociated with non-U.S. AFS debt securities; and</w:t>
      </w:r>
    </w:p>
    <w:p w14:paraId="392C147D" w14:textId="77777777" w:rsidR="00980E5F" w:rsidRDefault="00483613">
      <w:pPr>
        <w:spacing w:before="60"/>
        <w:ind w:hanging="360"/>
        <w:jc w:val="both"/>
        <w:textAlignment w:val="top"/>
      </w:pPr>
      <w:r>
        <w:rPr>
          <w:rFonts w:ascii="Arial" w:eastAsia="宋体" w:hAnsi="Arial" w:cs="Arial"/>
          <w:color w:val="000000"/>
          <w:sz w:val="20"/>
          <w:szCs w:val="20"/>
        </w:rPr>
        <w:t>•a pre-tax net unrealized loss of $128 million, composed of gross unrealized gains of $5 million and gross unrealized losses of $133 million, associated with non-U.S. HTM debt securities.</w:t>
      </w:r>
    </w:p>
    <w:p w14:paraId="392C147E" w14:textId="77777777" w:rsidR="00980E5F" w:rsidRDefault="00483613">
      <w:pPr>
        <w:spacing w:before="60"/>
        <w:ind w:firstLine="450"/>
        <w:jc w:val="both"/>
        <w:textAlignment w:val="top"/>
      </w:pPr>
      <w:r>
        <w:rPr>
          <w:rFonts w:ascii="Arial" w:eastAsia="宋体" w:hAnsi="Arial" w:cs="Arial"/>
          <w:color w:val="000000"/>
          <w:sz w:val="20"/>
          <w:szCs w:val="20"/>
        </w:rPr>
        <w:t>As of June 30, 2022,</w:t>
      </w:r>
      <w:r>
        <w:rPr>
          <w:rFonts w:ascii="Arial" w:eastAsia="宋体" w:hAnsi="Arial" w:cs="Arial"/>
          <w:color w:val="000000"/>
          <w:sz w:val="20"/>
          <w:szCs w:val="20"/>
        </w:rPr>
        <w:t xml:space="preserve"> the underlying collateral for non-U.S. MBS and ABS primarily included Australian, U.K., Netherlands and Italian mortgages. The securities listed under “Canada” were composed of Canadian government securities and provincial bonds, corporate debt and non-U.</w:t>
      </w:r>
      <w:r>
        <w:rPr>
          <w:rFonts w:ascii="Arial" w:eastAsia="宋体" w:hAnsi="Arial" w:cs="Arial"/>
          <w:color w:val="000000"/>
          <w:sz w:val="20"/>
          <w:szCs w:val="20"/>
        </w:rPr>
        <w:t>S. agency securities. The securities listed under “France” were composed of sovereign bonds, corporate debt, covered bonds, ABS and Non-U.S. agency securities. The securities listed under “Japan” were substantially composed of Japanese government securitie</w:t>
      </w:r>
      <w:r>
        <w:rPr>
          <w:rFonts w:ascii="Arial" w:eastAsia="宋体" w:hAnsi="Arial" w:cs="Arial"/>
          <w:color w:val="000000"/>
          <w:sz w:val="20"/>
          <w:szCs w:val="20"/>
        </w:rPr>
        <w:t>s.</w:t>
      </w:r>
    </w:p>
    <w:p w14:paraId="392C147F" w14:textId="77777777" w:rsidR="00980E5F" w:rsidRDefault="00483613">
      <w:pPr>
        <w:spacing w:before="60"/>
        <w:jc w:val="both"/>
        <w:textAlignment w:val="top"/>
      </w:pPr>
      <w:r>
        <w:rPr>
          <w:rFonts w:ascii="Arial" w:eastAsia="宋体" w:hAnsi="Arial" w:cs="Arial"/>
          <w:b/>
          <w:bCs/>
          <w:i/>
          <w:iCs/>
          <w:color w:val="000000"/>
          <w:sz w:val="20"/>
          <w:szCs w:val="20"/>
        </w:rPr>
        <w:t>Municipal Obligations</w:t>
      </w:r>
    </w:p>
    <w:p w14:paraId="392C1480" w14:textId="77777777" w:rsidR="00980E5F" w:rsidRDefault="00483613">
      <w:pPr>
        <w:spacing w:before="60"/>
        <w:ind w:firstLine="450"/>
        <w:jc w:val="both"/>
        <w:textAlignment w:val="top"/>
      </w:pPr>
      <w:r>
        <w:rPr>
          <w:rFonts w:ascii="Arial" w:eastAsia="宋体" w:hAnsi="Arial" w:cs="Arial"/>
          <w:color w:val="000000"/>
          <w:sz w:val="20"/>
          <w:szCs w:val="20"/>
        </w:rPr>
        <w:t>We carried approximately $1.03 billion of municipal securities classified as state and political subdivisions in our investment securities portfolio as of June 30, 2022, as shown in Table 20: Carrying Values of Investment Securitie</w:t>
      </w:r>
      <w:r>
        <w:rPr>
          <w:rFonts w:ascii="Arial" w:eastAsia="宋体" w:hAnsi="Arial" w:cs="Arial"/>
          <w:color w:val="000000"/>
          <w:sz w:val="20"/>
          <w:szCs w:val="20"/>
        </w:rPr>
        <w:t>s, all of which were classified as AFS. As of June 30, 2022, we also provided approximately $8.44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980E5F" w14:paraId="392C1499" w14:textId="77777777">
        <w:tc>
          <w:tcPr>
            <w:tcW w:w="50" w:type="pct"/>
            <w:shd w:val="clear" w:color="auto" w:fill="auto"/>
            <w:vAlign w:val="bottom"/>
          </w:tcPr>
          <w:p w14:paraId="392C1481" w14:textId="77777777" w:rsidR="00980E5F" w:rsidRDefault="00980E5F">
            <w:pPr>
              <w:rPr>
                <w:rFonts w:ascii="宋体"/>
              </w:rPr>
            </w:pPr>
          </w:p>
        </w:tc>
        <w:tc>
          <w:tcPr>
            <w:tcW w:w="1375" w:type="pct"/>
            <w:shd w:val="clear" w:color="auto" w:fill="auto"/>
            <w:vAlign w:val="bottom"/>
          </w:tcPr>
          <w:p w14:paraId="392C1482" w14:textId="77777777" w:rsidR="00980E5F" w:rsidRDefault="00980E5F">
            <w:pPr>
              <w:rPr>
                <w:rFonts w:ascii="宋体"/>
              </w:rPr>
            </w:pPr>
          </w:p>
        </w:tc>
        <w:tc>
          <w:tcPr>
            <w:tcW w:w="5" w:type="pct"/>
            <w:shd w:val="clear" w:color="auto" w:fill="auto"/>
            <w:vAlign w:val="bottom"/>
          </w:tcPr>
          <w:p w14:paraId="392C1483" w14:textId="77777777" w:rsidR="00980E5F" w:rsidRDefault="00980E5F">
            <w:pPr>
              <w:rPr>
                <w:rFonts w:ascii="宋体"/>
              </w:rPr>
            </w:pPr>
          </w:p>
        </w:tc>
        <w:tc>
          <w:tcPr>
            <w:tcW w:w="50" w:type="pct"/>
            <w:shd w:val="clear" w:color="auto" w:fill="auto"/>
            <w:vAlign w:val="bottom"/>
          </w:tcPr>
          <w:p w14:paraId="392C1484" w14:textId="77777777" w:rsidR="00980E5F" w:rsidRDefault="00980E5F">
            <w:pPr>
              <w:rPr>
                <w:rFonts w:ascii="宋体"/>
              </w:rPr>
            </w:pPr>
          </w:p>
        </w:tc>
        <w:tc>
          <w:tcPr>
            <w:tcW w:w="841" w:type="pct"/>
            <w:shd w:val="clear" w:color="auto" w:fill="auto"/>
            <w:vAlign w:val="bottom"/>
          </w:tcPr>
          <w:p w14:paraId="392C1485" w14:textId="77777777" w:rsidR="00980E5F" w:rsidRDefault="00980E5F">
            <w:pPr>
              <w:rPr>
                <w:rFonts w:ascii="宋体"/>
              </w:rPr>
            </w:pPr>
          </w:p>
        </w:tc>
        <w:tc>
          <w:tcPr>
            <w:tcW w:w="5" w:type="pct"/>
            <w:shd w:val="clear" w:color="auto" w:fill="auto"/>
            <w:vAlign w:val="bottom"/>
          </w:tcPr>
          <w:p w14:paraId="392C1486" w14:textId="77777777" w:rsidR="00980E5F" w:rsidRDefault="00980E5F">
            <w:pPr>
              <w:rPr>
                <w:rFonts w:ascii="宋体"/>
              </w:rPr>
            </w:pPr>
          </w:p>
        </w:tc>
        <w:tc>
          <w:tcPr>
            <w:tcW w:w="5" w:type="pct"/>
            <w:shd w:val="clear" w:color="auto" w:fill="auto"/>
            <w:vAlign w:val="bottom"/>
          </w:tcPr>
          <w:p w14:paraId="392C1487" w14:textId="77777777" w:rsidR="00980E5F" w:rsidRDefault="00980E5F">
            <w:pPr>
              <w:rPr>
                <w:rFonts w:ascii="宋体"/>
              </w:rPr>
            </w:pPr>
          </w:p>
        </w:tc>
        <w:tc>
          <w:tcPr>
            <w:tcW w:w="52" w:type="pct"/>
            <w:shd w:val="clear" w:color="auto" w:fill="auto"/>
            <w:vAlign w:val="bottom"/>
          </w:tcPr>
          <w:p w14:paraId="392C1488" w14:textId="77777777" w:rsidR="00980E5F" w:rsidRDefault="00980E5F">
            <w:pPr>
              <w:rPr>
                <w:rFonts w:ascii="宋体"/>
              </w:rPr>
            </w:pPr>
          </w:p>
        </w:tc>
        <w:tc>
          <w:tcPr>
            <w:tcW w:w="5" w:type="pct"/>
            <w:shd w:val="clear" w:color="auto" w:fill="auto"/>
            <w:vAlign w:val="bottom"/>
          </w:tcPr>
          <w:p w14:paraId="392C1489" w14:textId="77777777" w:rsidR="00980E5F" w:rsidRDefault="00980E5F">
            <w:pPr>
              <w:rPr>
                <w:rFonts w:ascii="宋体"/>
              </w:rPr>
            </w:pPr>
          </w:p>
        </w:tc>
        <w:tc>
          <w:tcPr>
            <w:tcW w:w="50" w:type="pct"/>
            <w:shd w:val="clear" w:color="auto" w:fill="auto"/>
            <w:vAlign w:val="bottom"/>
          </w:tcPr>
          <w:p w14:paraId="392C148A" w14:textId="77777777" w:rsidR="00980E5F" w:rsidRDefault="00980E5F">
            <w:pPr>
              <w:rPr>
                <w:rFonts w:ascii="宋体"/>
              </w:rPr>
            </w:pPr>
          </w:p>
        </w:tc>
        <w:tc>
          <w:tcPr>
            <w:tcW w:w="841" w:type="pct"/>
            <w:shd w:val="clear" w:color="auto" w:fill="auto"/>
            <w:vAlign w:val="bottom"/>
          </w:tcPr>
          <w:p w14:paraId="392C148B" w14:textId="77777777" w:rsidR="00980E5F" w:rsidRDefault="00980E5F">
            <w:pPr>
              <w:rPr>
                <w:rFonts w:ascii="宋体"/>
              </w:rPr>
            </w:pPr>
          </w:p>
        </w:tc>
        <w:tc>
          <w:tcPr>
            <w:tcW w:w="5" w:type="pct"/>
            <w:shd w:val="clear" w:color="auto" w:fill="auto"/>
            <w:vAlign w:val="bottom"/>
          </w:tcPr>
          <w:p w14:paraId="392C148C" w14:textId="77777777" w:rsidR="00980E5F" w:rsidRDefault="00980E5F">
            <w:pPr>
              <w:rPr>
                <w:rFonts w:ascii="宋体"/>
              </w:rPr>
            </w:pPr>
          </w:p>
        </w:tc>
        <w:tc>
          <w:tcPr>
            <w:tcW w:w="5" w:type="pct"/>
            <w:shd w:val="clear" w:color="auto" w:fill="auto"/>
            <w:vAlign w:val="bottom"/>
          </w:tcPr>
          <w:p w14:paraId="392C148D" w14:textId="77777777" w:rsidR="00980E5F" w:rsidRDefault="00980E5F">
            <w:pPr>
              <w:rPr>
                <w:rFonts w:ascii="宋体"/>
              </w:rPr>
            </w:pPr>
          </w:p>
        </w:tc>
        <w:tc>
          <w:tcPr>
            <w:tcW w:w="52" w:type="pct"/>
            <w:shd w:val="clear" w:color="auto" w:fill="auto"/>
            <w:vAlign w:val="bottom"/>
          </w:tcPr>
          <w:p w14:paraId="392C148E" w14:textId="77777777" w:rsidR="00980E5F" w:rsidRDefault="00980E5F">
            <w:pPr>
              <w:rPr>
                <w:rFonts w:ascii="宋体"/>
              </w:rPr>
            </w:pPr>
          </w:p>
        </w:tc>
        <w:tc>
          <w:tcPr>
            <w:tcW w:w="5" w:type="pct"/>
            <w:shd w:val="clear" w:color="auto" w:fill="auto"/>
            <w:vAlign w:val="bottom"/>
          </w:tcPr>
          <w:p w14:paraId="392C148F" w14:textId="77777777" w:rsidR="00980E5F" w:rsidRDefault="00980E5F">
            <w:pPr>
              <w:rPr>
                <w:rFonts w:ascii="宋体"/>
              </w:rPr>
            </w:pPr>
          </w:p>
        </w:tc>
        <w:tc>
          <w:tcPr>
            <w:tcW w:w="50" w:type="pct"/>
            <w:shd w:val="clear" w:color="auto" w:fill="auto"/>
            <w:vAlign w:val="bottom"/>
          </w:tcPr>
          <w:p w14:paraId="392C1490" w14:textId="77777777" w:rsidR="00980E5F" w:rsidRDefault="00980E5F">
            <w:pPr>
              <w:rPr>
                <w:rFonts w:ascii="宋体"/>
              </w:rPr>
            </w:pPr>
          </w:p>
        </w:tc>
        <w:tc>
          <w:tcPr>
            <w:tcW w:w="636" w:type="pct"/>
            <w:shd w:val="clear" w:color="auto" w:fill="auto"/>
            <w:vAlign w:val="bottom"/>
          </w:tcPr>
          <w:p w14:paraId="392C1491" w14:textId="77777777" w:rsidR="00980E5F" w:rsidRDefault="00980E5F">
            <w:pPr>
              <w:rPr>
                <w:rFonts w:ascii="宋体"/>
              </w:rPr>
            </w:pPr>
          </w:p>
        </w:tc>
        <w:tc>
          <w:tcPr>
            <w:tcW w:w="5" w:type="pct"/>
            <w:shd w:val="clear" w:color="auto" w:fill="auto"/>
            <w:vAlign w:val="bottom"/>
          </w:tcPr>
          <w:p w14:paraId="392C1492" w14:textId="77777777" w:rsidR="00980E5F" w:rsidRDefault="00980E5F">
            <w:pPr>
              <w:rPr>
                <w:rFonts w:ascii="宋体"/>
              </w:rPr>
            </w:pPr>
          </w:p>
        </w:tc>
        <w:tc>
          <w:tcPr>
            <w:tcW w:w="5" w:type="pct"/>
            <w:shd w:val="clear" w:color="auto" w:fill="auto"/>
            <w:vAlign w:val="bottom"/>
          </w:tcPr>
          <w:p w14:paraId="392C1493" w14:textId="77777777" w:rsidR="00980E5F" w:rsidRDefault="00980E5F">
            <w:pPr>
              <w:rPr>
                <w:rFonts w:ascii="宋体"/>
              </w:rPr>
            </w:pPr>
          </w:p>
        </w:tc>
        <w:tc>
          <w:tcPr>
            <w:tcW w:w="52" w:type="pct"/>
            <w:shd w:val="clear" w:color="auto" w:fill="auto"/>
            <w:vAlign w:val="bottom"/>
          </w:tcPr>
          <w:p w14:paraId="392C1494" w14:textId="77777777" w:rsidR="00980E5F" w:rsidRDefault="00980E5F">
            <w:pPr>
              <w:rPr>
                <w:rFonts w:ascii="宋体"/>
              </w:rPr>
            </w:pPr>
          </w:p>
        </w:tc>
        <w:tc>
          <w:tcPr>
            <w:tcW w:w="5" w:type="pct"/>
            <w:shd w:val="clear" w:color="auto" w:fill="auto"/>
            <w:vAlign w:val="bottom"/>
          </w:tcPr>
          <w:p w14:paraId="392C1495" w14:textId="77777777" w:rsidR="00980E5F" w:rsidRDefault="00980E5F">
            <w:pPr>
              <w:rPr>
                <w:rFonts w:ascii="宋体"/>
              </w:rPr>
            </w:pPr>
          </w:p>
        </w:tc>
        <w:tc>
          <w:tcPr>
            <w:tcW w:w="50" w:type="pct"/>
            <w:shd w:val="clear" w:color="auto" w:fill="auto"/>
            <w:vAlign w:val="bottom"/>
          </w:tcPr>
          <w:p w14:paraId="392C1496" w14:textId="77777777" w:rsidR="00980E5F" w:rsidRDefault="00980E5F">
            <w:pPr>
              <w:rPr>
                <w:rFonts w:ascii="宋体"/>
              </w:rPr>
            </w:pPr>
          </w:p>
        </w:tc>
        <w:tc>
          <w:tcPr>
            <w:tcW w:w="841" w:type="pct"/>
            <w:shd w:val="clear" w:color="auto" w:fill="auto"/>
            <w:vAlign w:val="bottom"/>
          </w:tcPr>
          <w:p w14:paraId="392C1497" w14:textId="77777777" w:rsidR="00980E5F" w:rsidRDefault="00980E5F">
            <w:pPr>
              <w:rPr>
                <w:rFonts w:ascii="宋体"/>
              </w:rPr>
            </w:pPr>
          </w:p>
        </w:tc>
        <w:tc>
          <w:tcPr>
            <w:tcW w:w="5" w:type="pct"/>
            <w:shd w:val="clear" w:color="auto" w:fill="auto"/>
            <w:vAlign w:val="bottom"/>
          </w:tcPr>
          <w:p w14:paraId="392C1498" w14:textId="77777777" w:rsidR="00980E5F" w:rsidRDefault="00980E5F">
            <w:pPr>
              <w:rPr>
                <w:rFonts w:ascii="宋体"/>
              </w:rPr>
            </w:pPr>
          </w:p>
        </w:tc>
      </w:tr>
      <w:tr w:rsidR="00980E5F" w14:paraId="392C149B" w14:textId="77777777">
        <w:tc>
          <w:tcPr>
            <w:tcW w:w="0" w:type="auto"/>
            <w:gridSpan w:val="24"/>
            <w:shd w:val="clear" w:color="auto" w:fill="auto"/>
            <w:tcMar>
              <w:top w:w="40" w:type="dxa"/>
              <w:left w:w="20" w:type="dxa"/>
              <w:bottom w:w="40" w:type="dxa"/>
              <w:right w:w="20" w:type="dxa"/>
            </w:tcMar>
            <w:vAlign w:val="bottom"/>
          </w:tcPr>
          <w:p w14:paraId="392C149A" w14:textId="77777777" w:rsidR="00980E5F" w:rsidRDefault="00483613">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980E5F" w14:paraId="392C14A6" w14:textId="77777777">
        <w:tc>
          <w:tcPr>
            <w:tcW w:w="0" w:type="auto"/>
            <w:gridSpan w:val="3"/>
            <w:shd w:val="clear" w:color="auto" w:fill="auto"/>
            <w:tcMar>
              <w:top w:w="40" w:type="dxa"/>
              <w:left w:w="20" w:type="dxa"/>
              <w:bottom w:w="40" w:type="dxa"/>
              <w:right w:w="20" w:type="dxa"/>
            </w:tcMar>
            <w:vAlign w:val="bottom"/>
          </w:tcPr>
          <w:p w14:paraId="392C149C" w14:textId="77777777" w:rsidR="00980E5F" w:rsidRDefault="00483613">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92C149D" w14:textId="77777777" w:rsidR="00980E5F" w:rsidRDefault="00483613">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vAlign w:val="bottom"/>
          </w:tcPr>
          <w:p w14:paraId="392C149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49F" w14:textId="77777777" w:rsidR="00980E5F" w:rsidRDefault="00483613">
            <w:pPr>
              <w:jc w:val="center"/>
              <w:textAlignment w:val="bottom"/>
            </w:pPr>
            <w:r>
              <w:rPr>
                <w:rFonts w:ascii="Arial" w:eastAsia="宋体" w:hAnsi="Arial" w:cs="Arial"/>
                <w:b/>
                <w:bCs/>
                <w:color w:val="000000"/>
                <w:sz w:val="13"/>
                <w:szCs w:val="13"/>
              </w:rPr>
              <w:t xml:space="preserve">Credit and </w:t>
            </w:r>
          </w:p>
          <w:p w14:paraId="392C14A0" w14:textId="77777777" w:rsidR="00980E5F" w:rsidRDefault="00483613">
            <w:pPr>
              <w:jc w:val="center"/>
              <w:textAlignment w:val="bottom"/>
            </w:pPr>
            <w:r>
              <w:rPr>
                <w:rFonts w:ascii="Arial" w:eastAsia="宋体" w:hAnsi="Arial" w:cs="Arial"/>
                <w:b/>
                <w:bCs/>
                <w:color w:val="000000"/>
                <w:sz w:val="13"/>
                <w:szCs w:val="13"/>
              </w:rPr>
              <w:t>Liquidity </w:t>
            </w:r>
          </w:p>
          <w:p w14:paraId="392C14A1" w14:textId="77777777" w:rsidR="00980E5F" w:rsidRDefault="00483613">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392C14A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4A3" w14:textId="77777777" w:rsidR="00980E5F" w:rsidRDefault="00483613">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392C14A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4A5" w14:textId="77777777" w:rsidR="00980E5F" w:rsidRDefault="00483613">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980E5F" w14:paraId="392C14AE" w14:textId="77777777">
        <w:tc>
          <w:tcPr>
            <w:tcW w:w="0" w:type="auto"/>
            <w:gridSpan w:val="6"/>
            <w:shd w:val="clear" w:color="auto" w:fill="auto"/>
            <w:tcMar>
              <w:top w:w="40" w:type="dxa"/>
              <w:left w:w="20" w:type="dxa"/>
              <w:bottom w:w="40" w:type="dxa"/>
              <w:right w:w="20" w:type="dxa"/>
            </w:tcMar>
            <w:vAlign w:val="bottom"/>
          </w:tcPr>
          <w:p w14:paraId="392C14A7" w14:textId="77777777" w:rsidR="00980E5F" w:rsidRDefault="00483613">
            <w:pPr>
              <w:textAlignment w:val="bottom"/>
            </w:pPr>
            <w:r>
              <w:rPr>
                <w:rFonts w:ascii="Arial" w:eastAsia="宋体" w:hAnsi="Arial" w:cs="Arial"/>
                <w:b/>
                <w:bCs/>
                <w:color w:val="000000"/>
                <w:sz w:val="13"/>
                <w:szCs w:val="13"/>
              </w:rPr>
              <w:t>June 30, 2022</w:t>
            </w:r>
          </w:p>
        </w:tc>
        <w:tc>
          <w:tcPr>
            <w:tcW w:w="0" w:type="auto"/>
            <w:gridSpan w:val="3"/>
            <w:shd w:val="clear" w:color="auto" w:fill="auto"/>
            <w:tcMar>
              <w:top w:w="0" w:type="dxa"/>
              <w:left w:w="20" w:type="dxa"/>
              <w:bottom w:w="0" w:type="dxa"/>
              <w:right w:w="20" w:type="dxa"/>
            </w:tcMar>
            <w:vAlign w:val="bottom"/>
          </w:tcPr>
          <w:p w14:paraId="392C14A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4A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A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4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A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4AD" w14:textId="77777777" w:rsidR="00980E5F" w:rsidRDefault="00980E5F">
            <w:pPr>
              <w:rPr>
                <w:rFonts w:ascii="宋体"/>
              </w:rPr>
            </w:pPr>
          </w:p>
        </w:tc>
      </w:tr>
      <w:tr w:rsidR="00980E5F" w14:paraId="392C14B6" w14:textId="77777777">
        <w:tc>
          <w:tcPr>
            <w:tcW w:w="0" w:type="auto"/>
            <w:gridSpan w:val="6"/>
            <w:shd w:val="clear" w:color="auto" w:fill="auto"/>
            <w:tcMar>
              <w:top w:w="40" w:type="dxa"/>
              <w:left w:w="20" w:type="dxa"/>
              <w:bottom w:w="40" w:type="dxa"/>
              <w:right w:w="20" w:type="dxa"/>
            </w:tcMar>
            <w:vAlign w:val="bottom"/>
          </w:tcPr>
          <w:p w14:paraId="392C14AF" w14:textId="77777777" w:rsidR="00980E5F" w:rsidRDefault="00483613">
            <w:pPr>
              <w:textAlignment w:val="bottom"/>
            </w:pPr>
            <w:r>
              <w:rPr>
                <w:rFonts w:ascii="Arial" w:eastAsia="宋体" w:hAnsi="Arial" w:cs="Arial"/>
                <w:b/>
                <w:bCs/>
                <w:color w:val="000000"/>
                <w:sz w:val="13"/>
                <w:szCs w:val="13"/>
              </w:rPr>
              <w:t xml:space="preserve">State of </w:t>
            </w:r>
            <w:r>
              <w:rPr>
                <w:rFonts w:ascii="Arial" w:eastAsia="宋体" w:hAnsi="Arial" w:cs="Arial"/>
                <w:b/>
                <w:bCs/>
                <w:color w:val="000000"/>
                <w:sz w:val="13"/>
                <w:szCs w:val="13"/>
              </w:rPr>
              <w:t>Issuer:</w:t>
            </w:r>
          </w:p>
        </w:tc>
        <w:tc>
          <w:tcPr>
            <w:tcW w:w="0" w:type="auto"/>
            <w:gridSpan w:val="3"/>
            <w:shd w:val="clear" w:color="auto" w:fill="auto"/>
            <w:tcMar>
              <w:top w:w="0" w:type="dxa"/>
              <w:left w:w="20" w:type="dxa"/>
              <w:bottom w:w="0" w:type="dxa"/>
              <w:right w:w="20" w:type="dxa"/>
            </w:tcMar>
            <w:vAlign w:val="bottom"/>
          </w:tcPr>
          <w:p w14:paraId="392C14B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4B5" w14:textId="77777777" w:rsidR="00980E5F" w:rsidRDefault="00980E5F">
            <w:pPr>
              <w:rPr>
                <w:rFonts w:ascii="宋体"/>
              </w:rPr>
            </w:pPr>
          </w:p>
        </w:tc>
      </w:tr>
      <w:tr w:rsidR="00980E5F" w14:paraId="392C14C6" w14:textId="77777777">
        <w:tc>
          <w:tcPr>
            <w:tcW w:w="0" w:type="auto"/>
            <w:gridSpan w:val="3"/>
            <w:shd w:val="clear" w:color="auto" w:fill="CCEEFF"/>
            <w:tcMar>
              <w:top w:w="40" w:type="dxa"/>
              <w:left w:w="20" w:type="dxa"/>
              <w:bottom w:w="40" w:type="dxa"/>
              <w:right w:w="20" w:type="dxa"/>
            </w:tcMar>
            <w:vAlign w:val="bottom"/>
          </w:tcPr>
          <w:p w14:paraId="392C14B7" w14:textId="77777777" w:rsidR="00980E5F" w:rsidRDefault="00483613">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392C14B8"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4B9" w14:textId="77777777" w:rsidR="00980E5F" w:rsidRDefault="00483613">
            <w:pPr>
              <w:jc w:val="right"/>
              <w:textAlignment w:val="bottom"/>
            </w:pPr>
            <w:r>
              <w:rPr>
                <w:rFonts w:ascii="Arial" w:eastAsia="宋体" w:hAnsi="Arial" w:cs="Arial"/>
                <w:b/>
                <w:bCs/>
                <w:color w:val="000000"/>
                <w:sz w:val="13"/>
                <w:szCs w:val="13"/>
              </w:rPr>
              <w:t>196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B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4BC"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4BD" w14:textId="77777777" w:rsidR="00980E5F" w:rsidRDefault="00483613">
            <w:pPr>
              <w:jc w:val="right"/>
              <w:textAlignment w:val="bottom"/>
            </w:pPr>
            <w:r>
              <w:rPr>
                <w:rFonts w:ascii="Arial" w:eastAsia="宋体" w:hAnsi="Arial" w:cs="Arial"/>
                <w:b/>
                <w:bCs/>
                <w:color w:val="000000"/>
                <w:sz w:val="13"/>
                <w:szCs w:val="13"/>
              </w:rPr>
              <w:t>2,326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B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4C0"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4C1" w14:textId="77777777" w:rsidR="00980E5F" w:rsidRDefault="00483613">
            <w:pPr>
              <w:jc w:val="right"/>
              <w:textAlignment w:val="bottom"/>
            </w:pPr>
            <w:r>
              <w:rPr>
                <w:rFonts w:ascii="Arial" w:eastAsia="宋体" w:hAnsi="Arial" w:cs="Arial"/>
                <w:b/>
                <w:bCs/>
                <w:color w:val="000000"/>
                <w:sz w:val="13"/>
                <w:szCs w:val="13"/>
              </w:rPr>
              <w:t>2,522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C4" w14:textId="77777777" w:rsidR="00980E5F" w:rsidRDefault="00483613">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C5" w14:textId="77777777" w:rsidR="00980E5F" w:rsidRDefault="00483613">
            <w:pPr>
              <w:jc w:val="right"/>
              <w:textAlignment w:val="bottom"/>
            </w:pPr>
            <w:r>
              <w:rPr>
                <w:rFonts w:ascii="Arial" w:eastAsia="宋体" w:hAnsi="Arial" w:cs="Arial"/>
                <w:b/>
                <w:bCs/>
                <w:color w:val="000000"/>
                <w:sz w:val="13"/>
                <w:szCs w:val="13"/>
              </w:rPr>
              <w:t>%</w:t>
            </w:r>
          </w:p>
        </w:tc>
      </w:tr>
      <w:tr w:rsidR="00980E5F" w14:paraId="392C14D3" w14:textId="77777777">
        <w:tc>
          <w:tcPr>
            <w:tcW w:w="0" w:type="auto"/>
            <w:gridSpan w:val="3"/>
            <w:shd w:val="clear" w:color="auto" w:fill="FFFFFF"/>
            <w:tcMar>
              <w:top w:w="40" w:type="dxa"/>
              <w:left w:w="20" w:type="dxa"/>
              <w:bottom w:w="40" w:type="dxa"/>
              <w:right w:w="20" w:type="dxa"/>
            </w:tcMar>
            <w:vAlign w:val="bottom"/>
          </w:tcPr>
          <w:p w14:paraId="392C14C7" w14:textId="77777777" w:rsidR="00980E5F" w:rsidRDefault="00483613">
            <w:pPr>
              <w:textAlignment w:val="bottom"/>
            </w:pPr>
            <w:r>
              <w:rPr>
                <w:rFonts w:ascii="Arial" w:eastAsia="宋体" w:hAnsi="Arial" w:cs="Arial"/>
                <w:color w:val="000000"/>
                <w:sz w:val="13"/>
                <w:szCs w:val="13"/>
              </w:rPr>
              <w:t>New York</w:t>
            </w:r>
          </w:p>
        </w:tc>
        <w:tc>
          <w:tcPr>
            <w:tcW w:w="0" w:type="auto"/>
            <w:gridSpan w:val="2"/>
            <w:shd w:val="clear" w:color="auto" w:fill="FFFFFF"/>
            <w:tcMar>
              <w:top w:w="40" w:type="dxa"/>
              <w:left w:w="20" w:type="dxa"/>
              <w:bottom w:w="40" w:type="dxa"/>
              <w:right w:w="0" w:type="dxa"/>
            </w:tcMar>
            <w:vAlign w:val="bottom"/>
          </w:tcPr>
          <w:p w14:paraId="392C14C8" w14:textId="77777777" w:rsidR="00980E5F" w:rsidRDefault="00483613">
            <w:pPr>
              <w:jc w:val="right"/>
              <w:textAlignment w:val="bottom"/>
            </w:pPr>
            <w:r>
              <w:rPr>
                <w:rFonts w:ascii="Arial" w:eastAsia="宋体" w:hAnsi="Arial" w:cs="Arial"/>
                <w:b/>
                <w:bCs/>
                <w:color w:val="000000"/>
                <w:sz w:val="13"/>
                <w:szCs w:val="13"/>
              </w:rPr>
              <w:t>185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CB" w14:textId="77777777" w:rsidR="00980E5F" w:rsidRDefault="00483613">
            <w:pPr>
              <w:jc w:val="right"/>
              <w:textAlignment w:val="bottom"/>
            </w:pPr>
            <w:r>
              <w:rPr>
                <w:rFonts w:ascii="Arial" w:eastAsia="宋体" w:hAnsi="Arial" w:cs="Arial"/>
                <w:b/>
                <w:bCs/>
                <w:color w:val="000000"/>
                <w:sz w:val="13"/>
                <w:szCs w:val="13"/>
              </w:rPr>
              <w:t>1,607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CE" w14:textId="77777777" w:rsidR="00980E5F" w:rsidRDefault="00483613">
            <w:pPr>
              <w:jc w:val="right"/>
              <w:textAlignment w:val="bottom"/>
            </w:pPr>
            <w:r>
              <w:rPr>
                <w:rFonts w:ascii="Arial" w:eastAsia="宋体" w:hAnsi="Arial" w:cs="Arial"/>
                <w:b/>
                <w:bCs/>
                <w:color w:val="000000"/>
                <w:sz w:val="13"/>
                <w:szCs w:val="13"/>
              </w:rPr>
              <w:t>1,792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D1" w14:textId="77777777" w:rsidR="00980E5F" w:rsidRDefault="00483613">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D2" w14:textId="77777777" w:rsidR="00980E5F" w:rsidRDefault="00980E5F">
            <w:pPr>
              <w:jc w:val="right"/>
              <w:rPr>
                <w:rFonts w:ascii="宋体"/>
              </w:rPr>
            </w:pPr>
          </w:p>
        </w:tc>
      </w:tr>
      <w:tr w:rsidR="00980E5F" w14:paraId="392C14E0" w14:textId="77777777">
        <w:tc>
          <w:tcPr>
            <w:tcW w:w="0" w:type="auto"/>
            <w:gridSpan w:val="3"/>
            <w:shd w:val="clear" w:color="auto" w:fill="CCEEFF"/>
            <w:tcMar>
              <w:top w:w="40" w:type="dxa"/>
              <w:left w:w="20" w:type="dxa"/>
              <w:bottom w:w="40" w:type="dxa"/>
              <w:right w:w="20" w:type="dxa"/>
            </w:tcMar>
            <w:vAlign w:val="bottom"/>
          </w:tcPr>
          <w:p w14:paraId="392C14D4" w14:textId="77777777" w:rsidR="00980E5F" w:rsidRDefault="00483613">
            <w:pPr>
              <w:textAlignment w:val="bottom"/>
            </w:pPr>
            <w:r>
              <w:rPr>
                <w:rFonts w:ascii="Arial" w:eastAsia="宋体" w:hAnsi="Arial" w:cs="Arial"/>
                <w:color w:val="000000"/>
                <w:sz w:val="13"/>
                <w:szCs w:val="13"/>
              </w:rPr>
              <w:t>California</w:t>
            </w:r>
          </w:p>
        </w:tc>
        <w:tc>
          <w:tcPr>
            <w:tcW w:w="0" w:type="auto"/>
            <w:gridSpan w:val="2"/>
            <w:shd w:val="clear" w:color="auto" w:fill="CCEEFF"/>
            <w:tcMar>
              <w:top w:w="40" w:type="dxa"/>
              <w:left w:w="20" w:type="dxa"/>
              <w:bottom w:w="40" w:type="dxa"/>
              <w:right w:w="0" w:type="dxa"/>
            </w:tcMar>
            <w:vAlign w:val="bottom"/>
          </w:tcPr>
          <w:p w14:paraId="392C14D5" w14:textId="77777777" w:rsidR="00980E5F" w:rsidRDefault="00483613">
            <w:pPr>
              <w:jc w:val="right"/>
              <w:textAlignment w:val="bottom"/>
            </w:pPr>
            <w:r>
              <w:rPr>
                <w:rFonts w:ascii="Arial" w:eastAsia="宋体" w:hAnsi="Arial" w:cs="Arial"/>
                <w:b/>
                <w:bCs/>
                <w:color w:val="000000"/>
                <w:sz w:val="13"/>
                <w:szCs w:val="13"/>
              </w:rPr>
              <w:t>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D8" w14:textId="77777777" w:rsidR="00980E5F" w:rsidRDefault="00483613">
            <w:pPr>
              <w:jc w:val="right"/>
              <w:textAlignment w:val="bottom"/>
            </w:pPr>
            <w:r>
              <w:rPr>
                <w:rFonts w:ascii="Arial" w:eastAsia="宋体" w:hAnsi="Arial" w:cs="Arial"/>
                <w:b/>
                <w:bCs/>
                <w:color w:val="000000"/>
                <w:sz w:val="13"/>
                <w:szCs w:val="13"/>
              </w:rPr>
              <w:t>1,524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DB" w14:textId="77777777" w:rsidR="00980E5F" w:rsidRDefault="00483613">
            <w:pPr>
              <w:jc w:val="right"/>
              <w:textAlignment w:val="bottom"/>
            </w:pPr>
            <w:r>
              <w:rPr>
                <w:rFonts w:ascii="Arial" w:eastAsia="宋体" w:hAnsi="Arial" w:cs="Arial"/>
                <w:b/>
                <w:bCs/>
                <w:color w:val="000000"/>
                <w:sz w:val="13"/>
                <w:szCs w:val="13"/>
              </w:rPr>
              <w:t>1,610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D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DE" w14:textId="77777777" w:rsidR="00980E5F" w:rsidRDefault="00483613">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DF" w14:textId="77777777" w:rsidR="00980E5F" w:rsidRDefault="00980E5F">
            <w:pPr>
              <w:jc w:val="right"/>
              <w:rPr>
                <w:rFonts w:ascii="宋体"/>
              </w:rPr>
            </w:pPr>
          </w:p>
        </w:tc>
      </w:tr>
      <w:tr w:rsidR="00980E5F" w14:paraId="392C14ED" w14:textId="77777777">
        <w:tc>
          <w:tcPr>
            <w:tcW w:w="0" w:type="auto"/>
            <w:gridSpan w:val="3"/>
            <w:shd w:val="clear" w:color="auto" w:fill="FFFFFF"/>
            <w:tcMar>
              <w:top w:w="40" w:type="dxa"/>
              <w:left w:w="20" w:type="dxa"/>
              <w:bottom w:w="40" w:type="dxa"/>
              <w:right w:w="20" w:type="dxa"/>
            </w:tcMar>
            <w:vAlign w:val="bottom"/>
          </w:tcPr>
          <w:p w14:paraId="392C14E1" w14:textId="77777777" w:rsidR="00980E5F" w:rsidRDefault="00483613">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392C14E2" w14:textId="77777777" w:rsidR="00980E5F" w:rsidRDefault="00483613">
            <w:pPr>
              <w:jc w:val="right"/>
              <w:textAlignment w:val="bottom"/>
            </w:pPr>
            <w:r>
              <w:rPr>
                <w:rFonts w:ascii="Arial" w:eastAsia="宋体" w:hAnsi="Arial" w:cs="Arial"/>
                <w:b/>
                <w:bCs/>
                <w:color w:val="000000"/>
                <w:sz w:val="13"/>
                <w:szCs w:val="13"/>
              </w:rPr>
              <w:t>217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E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E5" w14:textId="77777777" w:rsidR="00980E5F" w:rsidRDefault="00483613">
            <w:pPr>
              <w:jc w:val="right"/>
              <w:textAlignment w:val="bottom"/>
            </w:pPr>
            <w:r>
              <w:rPr>
                <w:rFonts w:ascii="Arial" w:eastAsia="宋体" w:hAnsi="Arial" w:cs="Arial"/>
                <w:b/>
                <w:bCs/>
                <w:color w:val="000000"/>
                <w:sz w:val="13"/>
                <w:szCs w:val="13"/>
              </w:rPr>
              <w:t>512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E8" w14:textId="77777777" w:rsidR="00980E5F" w:rsidRDefault="00483613">
            <w:pPr>
              <w:jc w:val="right"/>
              <w:textAlignment w:val="bottom"/>
            </w:pPr>
            <w:r>
              <w:rPr>
                <w:rFonts w:ascii="Arial" w:eastAsia="宋体" w:hAnsi="Arial" w:cs="Arial"/>
                <w:b/>
                <w:bCs/>
                <w:color w:val="000000"/>
                <w:sz w:val="13"/>
                <w:szCs w:val="13"/>
              </w:rPr>
              <w:t>729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4EB" w14:textId="77777777" w:rsidR="00980E5F" w:rsidRDefault="00483613">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4EC" w14:textId="77777777" w:rsidR="00980E5F" w:rsidRDefault="00980E5F">
            <w:pPr>
              <w:jc w:val="right"/>
              <w:rPr>
                <w:rFonts w:ascii="宋体"/>
              </w:rPr>
            </w:pPr>
          </w:p>
        </w:tc>
      </w:tr>
      <w:tr w:rsidR="00980E5F" w14:paraId="392C14FA" w14:textId="77777777">
        <w:tc>
          <w:tcPr>
            <w:tcW w:w="0" w:type="auto"/>
            <w:gridSpan w:val="3"/>
            <w:shd w:val="clear" w:color="auto" w:fill="CCEEFF"/>
            <w:tcMar>
              <w:top w:w="40" w:type="dxa"/>
              <w:left w:w="20" w:type="dxa"/>
              <w:bottom w:w="40" w:type="dxa"/>
              <w:right w:w="20" w:type="dxa"/>
            </w:tcMar>
            <w:vAlign w:val="bottom"/>
          </w:tcPr>
          <w:p w14:paraId="392C14EE" w14:textId="77777777" w:rsidR="00980E5F" w:rsidRDefault="00483613">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392C14EF"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F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F2" w14:textId="77777777" w:rsidR="00980E5F" w:rsidRDefault="00483613">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F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F5" w14:textId="77777777" w:rsidR="00980E5F" w:rsidRDefault="00483613">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4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4F8" w14:textId="77777777" w:rsidR="00980E5F" w:rsidRDefault="00483613">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4F9" w14:textId="77777777" w:rsidR="00980E5F" w:rsidRDefault="00980E5F">
            <w:pPr>
              <w:jc w:val="right"/>
              <w:rPr>
                <w:rFonts w:ascii="宋体"/>
              </w:rPr>
            </w:pPr>
          </w:p>
        </w:tc>
      </w:tr>
      <w:tr w:rsidR="00980E5F" w14:paraId="392C1509" w14:textId="77777777">
        <w:tc>
          <w:tcPr>
            <w:tcW w:w="0" w:type="auto"/>
            <w:gridSpan w:val="3"/>
            <w:shd w:val="clear" w:color="auto" w:fill="FFFFFF"/>
            <w:tcMar>
              <w:top w:w="40" w:type="dxa"/>
              <w:left w:w="20" w:type="dxa"/>
              <w:bottom w:w="40" w:type="dxa"/>
              <w:right w:w="20" w:type="dxa"/>
            </w:tcMar>
            <w:vAlign w:val="bottom"/>
          </w:tcPr>
          <w:p w14:paraId="392C14FB"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4F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4FD" w14:textId="77777777" w:rsidR="00980E5F" w:rsidRDefault="00483613">
            <w:pPr>
              <w:jc w:val="right"/>
              <w:textAlignment w:val="bottom"/>
            </w:pPr>
            <w:r>
              <w:rPr>
                <w:rFonts w:ascii="Arial" w:eastAsia="宋体" w:hAnsi="Arial" w:cs="Arial"/>
                <w:b/>
                <w:bCs/>
                <w:color w:val="000000"/>
                <w:sz w:val="13"/>
                <w:szCs w:val="13"/>
              </w:rPr>
              <w:t>684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4F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4F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50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501" w14:textId="77777777" w:rsidR="00980E5F" w:rsidRDefault="00483613">
            <w:pPr>
              <w:jc w:val="right"/>
              <w:textAlignment w:val="bottom"/>
            </w:pPr>
            <w:r>
              <w:rPr>
                <w:rFonts w:ascii="Arial" w:eastAsia="宋体" w:hAnsi="Arial" w:cs="Arial"/>
                <w:b/>
                <w:bCs/>
                <w:color w:val="000000"/>
                <w:sz w:val="13"/>
                <w:szCs w:val="13"/>
              </w:rPr>
              <w:t>6,451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50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0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504"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505" w14:textId="77777777" w:rsidR="00980E5F" w:rsidRDefault="00483613">
            <w:pPr>
              <w:jc w:val="right"/>
              <w:textAlignment w:val="bottom"/>
            </w:pPr>
            <w:r>
              <w:rPr>
                <w:rFonts w:ascii="Arial" w:eastAsia="宋体" w:hAnsi="Arial" w:cs="Arial"/>
                <w:b/>
                <w:bCs/>
                <w:color w:val="000000"/>
                <w:sz w:val="13"/>
                <w:szCs w:val="13"/>
              </w:rPr>
              <w:t>7,135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5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08" w14:textId="77777777" w:rsidR="00980E5F" w:rsidRDefault="00980E5F">
            <w:pPr>
              <w:rPr>
                <w:rFonts w:ascii="宋体"/>
              </w:rPr>
            </w:pPr>
          </w:p>
        </w:tc>
      </w:tr>
      <w:tr w:rsidR="00980E5F" w14:paraId="392C1512" w14:textId="77777777">
        <w:trPr>
          <w:trHeight w:val="60"/>
        </w:trPr>
        <w:tc>
          <w:tcPr>
            <w:tcW w:w="0" w:type="auto"/>
            <w:gridSpan w:val="3"/>
            <w:shd w:val="clear" w:color="auto" w:fill="auto"/>
            <w:tcMar>
              <w:top w:w="0" w:type="dxa"/>
              <w:left w:w="20" w:type="dxa"/>
              <w:bottom w:w="0" w:type="dxa"/>
              <w:right w:w="20" w:type="dxa"/>
            </w:tcMar>
            <w:vAlign w:val="bottom"/>
          </w:tcPr>
          <w:p w14:paraId="392C150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5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0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50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0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50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1" w14:textId="77777777" w:rsidR="00980E5F" w:rsidRDefault="00980E5F">
            <w:pPr>
              <w:rPr>
                <w:rFonts w:ascii="宋体"/>
              </w:rPr>
            </w:pPr>
          </w:p>
        </w:tc>
      </w:tr>
      <w:tr w:rsidR="00980E5F" w14:paraId="392C151A" w14:textId="77777777">
        <w:tc>
          <w:tcPr>
            <w:tcW w:w="0" w:type="auto"/>
            <w:gridSpan w:val="6"/>
            <w:shd w:val="clear" w:color="auto" w:fill="auto"/>
            <w:tcMar>
              <w:top w:w="40" w:type="dxa"/>
              <w:left w:w="20" w:type="dxa"/>
              <w:bottom w:w="40" w:type="dxa"/>
              <w:right w:w="20" w:type="dxa"/>
            </w:tcMar>
            <w:vAlign w:val="bottom"/>
          </w:tcPr>
          <w:p w14:paraId="392C1513" w14:textId="77777777" w:rsidR="00980E5F" w:rsidRDefault="00483613">
            <w:pP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392C151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19" w14:textId="77777777" w:rsidR="00980E5F" w:rsidRDefault="00980E5F">
            <w:pPr>
              <w:rPr>
                <w:rFonts w:ascii="宋体"/>
              </w:rPr>
            </w:pPr>
          </w:p>
        </w:tc>
      </w:tr>
      <w:tr w:rsidR="00980E5F" w14:paraId="392C1523" w14:textId="77777777">
        <w:tc>
          <w:tcPr>
            <w:tcW w:w="0" w:type="auto"/>
            <w:gridSpan w:val="3"/>
            <w:shd w:val="clear" w:color="auto" w:fill="FFFFFF"/>
            <w:tcMar>
              <w:top w:w="40" w:type="dxa"/>
              <w:left w:w="20" w:type="dxa"/>
              <w:bottom w:w="40" w:type="dxa"/>
              <w:right w:w="20" w:type="dxa"/>
            </w:tcMar>
            <w:vAlign w:val="bottom"/>
          </w:tcPr>
          <w:p w14:paraId="392C151B" w14:textId="77777777" w:rsidR="00980E5F" w:rsidRDefault="00483613">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392C15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1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2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22" w14:textId="77777777" w:rsidR="00980E5F" w:rsidRDefault="00980E5F">
            <w:pPr>
              <w:rPr>
                <w:rFonts w:ascii="宋体"/>
              </w:rPr>
            </w:pPr>
          </w:p>
        </w:tc>
      </w:tr>
      <w:tr w:rsidR="00980E5F" w14:paraId="392C1533" w14:textId="77777777">
        <w:tc>
          <w:tcPr>
            <w:tcW w:w="0" w:type="auto"/>
            <w:gridSpan w:val="3"/>
            <w:shd w:val="clear" w:color="auto" w:fill="CCEEFF"/>
            <w:tcMar>
              <w:top w:w="40" w:type="dxa"/>
              <w:left w:w="20" w:type="dxa"/>
              <w:bottom w:w="40" w:type="dxa"/>
              <w:right w:w="20" w:type="dxa"/>
            </w:tcMar>
            <w:vAlign w:val="bottom"/>
          </w:tcPr>
          <w:p w14:paraId="392C1524" w14:textId="77777777" w:rsidR="00980E5F" w:rsidRDefault="00483613">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392C1525"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526" w14:textId="77777777" w:rsidR="00980E5F" w:rsidRDefault="00483613">
            <w:pPr>
              <w:jc w:val="right"/>
              <w:textAlignment w:val="bottom"/>
            </w:pPr>
            <w:r>
              <w:rPr>
                <w:rFonts w:ascii="Arial" w:eastAsia="宋体" w:hAnsi="Arial" w:cs="Arial"/>
                <w:color w:val="000000"/>
                <w:sz w:val="13"/>
                <w:szCs w:val="13"/>
              </w:rPr>
              <w:t>221 </w:t>
            </w:r>
          </w:p>
        </w:tc>
        <w:tc>
          <w:tcPr>
            <w:tcW w:w="0" w:type="auto"/>
            <w:shd w:val="clear" w:color="auto" w:fill="CCEEFF"/>
            <w:tcMar>
              <w:top w:w="40" w:type="dxa"/>
              <w:left w:w="0" w:type="dxa"/>
              <w:bottom w:w="40" w:type="dxa"/>
              <w:right w:w="20" w:type="dxa"/>
            </w:tcMar>
            <w:vAlign w:val="bottom"/>
          </w:tcPr>
          <w:p w14:paraId="392C15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2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529"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52A" w14:textId="77777777" w:rsidR="00980E5F" w:rsidRDefault="00483613">
            <w:pPr>
              <w:jc w:val="right"/>
              <w:textAlignment w:val="bottom"/>
            </w:pPr>
            <w:r>
              <w:rPr>
                <w:rFonts w:ascii="Arial" w:eastAsia="宋体" w:hAnsi="Arial" w:cs="Arial"/>
                <w:color w:val="000000"/>
                <w:sz w:val="13"/>
                <w:szCs w:val="13"/>
              </w:rPr>
              <w:t>2,357 </w:t>
            </w:r>
          </w:p>
        </w:tc>
        <w:tc>
          <w:tcPr>
            <w:tcW w:w="0" w:type="auto"/>
            <w:shd w:val="clear" w:color="auto" w:fill="CCEEFF"/>
            <w:tcMar>
              <w:top w:w="40" w:type="dxa"/>
              <w:left w:w="0" w:type="dxa"/>
              <w:bottom w:w="40" w:type="dxa"/>
              <w:right w:w="20" w:type="dxa"/>
            </w:tcMar>
            <w:vAlign w:val="bottom"/>
          </w:tcPr>
          <w:p w14:paraId="392C15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2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52D"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52E" w14:textId="77777777" w:rsidR="00980E5F" w:rsidRDefault="00483613">
            <w:pPr>
              <w:jc w:val="right"/>
              <w:textAlignment w:val="bottom"/>
            </w:pPr>
            <w:r>
              <w:rPr>
                <w:rFonts w:ascii="Arial" w:eastAsia="宋体" w:hAnsi="Arial" w:cs="Arial"/>
                <w:color w:val="000000"/>
                <w:sz w:val="13"/>
                <w:szCs w:val="13"/>
              </w:rPr>
              <w:t>2,578 </w:t>
            </w:r>
          </w:p>
        </w:tc>
        <w:tc>
          <w:tcPr>
            <w:tcW w:w="0" w:type="auto"/>
            <w:shd w:val="clear" w:color="auto" w:fill="CCEEFF"/>
            <w:tcMar>
              <w:top w:w="40" w:type="dxa"/>
              <w:left w:w="0" w:type="dxa"/>
              <w:bottom w:w="40" w:type="dxa"/>
              <w:right w:w="20" w:type="dxa"/>
            </w:tcMar>
            <w:vAlign w:val="bottom"/>
          </w:tcPr>
          <w:p w14:paraId="392C15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31" w14:textId="77777777" w:rsidR="00980E5F" w:rsidRDefault="00483613">
            <w:pPr>
              <w:jc w:val="right"/>
              <w:textAlignment w:val="bottom"/>
            </w:pPr>
            <w:r>
              <w:rPr>
                <w:rFonts w:ascii="Arial" w:eastAsia="宋体" w:hAnsi="Arial" w:cs="Arial"/>
                <w:color w:val="000000"/>
                <w:sz w:val="13"/>
                <w:szCs w:val="13"/>
              </w:rPr>
              <w:t>25 </w:t>
            </w:r>
          </w:p>
        </w:tc>
        <w:tc>
          <w:tcPr>
            <w:tcW w:w="0" w:type="auto"/>
            <w:shd w:val="clear" w:color="auto" w:fill="CCEEFF"/>
            <w:tcMar>
              <w:top w:w="40" w:type="dxa"/>
              <w:left w:w="0" w:type="dxa"/>
              <w:bottom w:w="40" w:type="dxa"/>
              <w:right w:w="20" w:type="dxa"/>
            </w:tcMar>
            <w:vAlign w:val="bottom"/>
          </w:tcPr>
          <w:p w14:paraId="392C1532" w14:textId="77777777" w:rsidR="00980E5F" w:rsidRDefault="00483613">
            <w:pPr>
              <w:jc w:val="right"/>
              <w:textAlignment w:val="bottom"/>
            </w:pPr>
            <w:r>
              <w:rPr>
                <w:rFonts w:ascii="Arial" w:eastAsia="宋体" w:hAnsi="Arial" w:cs="Arial"/>
                <w:color w:val="000000"/>
                <w:sz w:val="13"/>
                <w:szCs w:val="13"/>
              </w:rPr>
              <w:t>%</w:t>
            </w:r>
          </w:p>
        </w:tc>
      </w:tr>
      <w:tr w:rsidR="00980E5F" w14:paraId="392C1540" w14:textId="77777777">
        <w:tc>
          <w:tcPr>
            <w:tcW w:w="0" w:type="auto"/>
            <w:gridSpan w:val="3"/>
            <w:shd w:val="clear" w:color="auto" w:fill="FFFFFF"/>
            <w:tcMar>
              <w:top w:w="40" w:type="dxa"/>
              <w:left w:w="20" w:type="dxa"/>
              <w:bottom w:w="40" w:type="dxa"/>
              <w:right w:w="20" w:type="dxa"/>
            </w:tcMar>
            <w:vAlign w:val="bottom"/>
          </w:tcPr>
          <w:p w14:paraId="392C1534" w14:textId="77777777" w:rsidR="00980E5F" w:rsidRDefault="00483613">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392C1535" w14:textId="77777777" w:rsidR="00980E5F" w:rsidRDefault="00483613">
            <w:pPr>
              <w:jc w:val="right"/>
              <w:textAlignment w:val="bottom"/>
            </w:pPr>
            <w:r>
              <w:rPr>
                <w:rFonts w:ascii="Arial" w:eastAsia="宋体" w:hAnsi="Arial" w:cs="Arial"/>
                <w:color w:val="000000"/>
                <w:sz w:val="13"/>
                <w:szCs w:val="13"/>
              </w:rPr>
              <w:t>108 </w:t>
            </w:r>
          </w:p>
        </w:tc>
        <w:tc>
          <w:tcPr>
            <w:tcW w:w="0" w:type="auto"/>
            <w:shd w:val="clear" w:color="auto" w:fill="FFFFFF"/>
            <w:tcMar>
              <w:top w:w="40" w:type="dxa"/>
              <w:left w:w="0" w:type="dxa"/>
              <w:bottom w:w="40" w:type="dxa"/>
              <w:right w:w="20" w:type="dxa"/>
            </w:tcMar>
            <w:vAlign w:val="bottom"/>
          </w:tcPr>
          <w:p w14:paraId="392C153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3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38" w14:textId="77777777" w:rsidR="00980E5F" w:rsidRDefault="00483613">
            <w:pPr>
              <w:jc w:val="right"/>
              <w:textAlignment w:val="bottom"/>
            </w:pPr>
            <w:r>
              <w:rPr>
                <w:rFonts w:ascii="Arial" w:eastAsia="宋体" w:hAnsi="Arial" w:cs="Arial"/>
                <w:color w:val="000000"/>
                <w:sz w:val="13"/>
                <w:szCs w:val="13"/>
              </w:rPr>
              <w:t>2,005 </w:t>
            </w:r>
          </w:p>
        </w:tc>
        <w:tc>
          <w:tcPr>
            <w:tcW w:w="0" w:type="auto"/>
            <w:shd w:val="clear" w:color="auto" w:fill="FFFFFF"/>
            <w:tcMar>
              <w:top w:w="40" w:type="dxa"/>
              <w:left w:w="0" w:type="dxa"/>
              <w:bottom w:w="40" w:type="dxa"/>
              <w:right w:w="20" w:type="dxa"/>
            </w:tcMar>
            <w:vAlign w:val="bottom"/>
          </w:tcPr>
          <w:p w14:paraId="392C153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3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3B" w14:textId="77777777" w:rsidR="00980E5F" w:rsidRDefault="00483613">
            <w:pPr>
              <w:jc w:val="right"/>
              <w:textAlignment w:val="bottom"/>
            </w:pPr>
            <w:r>
              <w:rPr>
                <w:rFonts w:ascii="Arial" w:eastAsia="宋体" w:hAnsi="Arial" w:cs="Arial"/>
                <w:color w:val="000000"/>
                <w:sz w:val="13"/>
                <w:szCs w:val="13"/>
              </w:rPr>
              <w:t>2,113 </w:t>
            </w:r>
          </w:p>
        </w:tc>
        <w:tc>
          <w:tcPr>
            <w:tcW w:w="0" w:type="auto"/>
            <w:shd w:val="clear" w:color="auto" w:fill="FFFFFF"/>
            <w:tcMar>
              <w:top w:w="40" w:type="dxa"/>
              <w:left w:w="0" w:type="dxa"/>
              <w:bottom w:w="40" w:type="dxa"/>
              <w:right w:w="20" w:type="dxa"/>
            </w:tcMar>
            <w:vAlign w:val="bottom"/>
          </w:tcPr>
          <w:p w14:paraId="392C15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3E" w14:textId="77777777" w:rsidR="00980E5F" w:rsidRDefault="00483613">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392C153F" w14:textId="77777777" w:rsidR="00980E5F" w:rsidRDefault="00980E5F">
            <w:pPr>
              <w:jc w:val="right"/>
              <w:rPr>
                <w:rFonts w:ascii="宋体"/>
              </w:rPr>
            </w:pPr>
          </w:p>
        </w:tc>
      </w:tr>
      <w:tr w:rsidR="00980E5F" w14:paraId="392C154D" w14:textId="77777777">
        <w:tc>
          <w:tcPr>
            <w:tcW w:w="0" w:type="auto"/>
            <w:gridSpan w:val="3"/>
            <w:shd w:val="clear" w:color="auto" w:fill="CCEEFF"/>
            <w:tcMar>
              <w:top w:w="40" w:type="dxa"/>
              <w:left w:w="20" w:type="dxa"/>
              <w:bottom w:w="40" w:type="dxa"/>
              <w:right w:w="20" w:type="dxa"/>
            </w:tcMar>
            <w:vAlign w:val="bottom"/>
          </w:tcPr>
          <w:p w14:paraId="392C1541" w14:textId="77777777" w:rsidR="00980E5F" w:rsidRDefault="00483613">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392C1542" w14:textId="77777777" w:rsidR="00980E5F" w:rsidRDefault="00483613">
            <w:pPr>
              <w:jc w:val="right"/>
              <w:textAlignment w:val="bottom"/>
            </w:pPr>
            <w:r>
              <w:rPr>
                <w:rFonts w:ascii="Arial" w:eastAsia="宋体" w:hAnsi="Arial" w:cs="Arial"/>
                <w:color w:val="000000"/>
                <w:sz w:val="13"/>
                <w:szCs w:val="13"/>
              </w:rPr>
              <w:t>271 </w:t>
            </w:r>
          </w:p>
        </w:tc>
        <w:tc>
          <w:tcPr>
            <w:tcW w:w="0" w:type="auto"/>
            <w:shd w:val="clear" w:color="auto" w:fill="CCEEFF"/>
            <w:tcMar>
              <w:top w:w="40" w:type="dxa"/>
              <w:left w:w="0" w:type="dxa"/>
              <w:bottom w:w="40" w:type="dxa"/>
              <w:right w:w="20" w:type="dxa"/>
            </w:tcMar>
            <w:vAlign w:val="bottom"/>
          </w:tcPr>
          <w:p w14:paraId="392C15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45" w14:textId="77777777" w:rsidR="00980E5F" w:rsidRDefault="00483613">
            <w:pPr>
              <w:jc w:val="right"/>
              <w:textAlignment w:val="bottom"/>
            </w:pPr>
            <w:r>
              <w:rPr>
                <w:rFonts w:ascii="Arial" w:eastAsia="宋体" w:hAnsi="Arial" w:cs="Arial"/>
                <w:color w:val="000000"/>
                <w:sz w:val="13"/>
                <w:szCs w:val="13"/>
              </w:rPr>
              <w:t>1,112 </w:t>
            </w:r>
          </w:p>
        </w:tc>
        <w:tc>
          <w:tcPr>
            <w:tcW w:w="0" w:type="auto"/>
            <w:shd w:val="clear" w:color="auto" w:fill="CCEEFF"/>
            <w:tcMar>
              <w:top w:w="40" w:type="dxa"/>
              <w:left w:w="0" w:type="dxa"/>
              <w:bottom w:w="40" w:type="dxa"/>
              <w:right w:w="20" w:type="dxa"/>
            </w:tcMar>
            <w:vAlign w:val="bottom"/>
          </w:tcPr>
          <w:p w14:paraId="392C15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48" w14:textId="77777777" w:rsidR="00980E5F" w:rsidRDefault="00483613">
            <w:pPr>
              <w:jc w:val="right"/>
              <w:textAlignment w:val="bottom"/>
            </w:pPr>
            <w:r>
              <w:rPr>
                <w:rFonts w:ascii="Arial" w:eastAsia="宋体" w:hAnsi="Arial" w:cs="Arial"/>
                <w:color w:val="000000"/>
                <w:sz w:val="13"/>
                <w:szCs w:val="13"/>
              </w:rPr>
              <w:t>1,383 </w:t>
            </w:r>
          </w:p>
        </w:tc>
        <w:tc>
          <w:tcPr>
            <w:tcW w:w="0" w:type="auto"/>
            <w:shd w:val="clear" w:color="auto" w:fill="CCEEFF"/>
            <w:tcMar>
              <w:top w:w="40" w:type="dxa"/>
              <w:left w:w="0" w:type="dxa"/>
              <w:bottom w:w="40" w:type="dxa"/>
              <w:right w:w="20" w:type="dxa"/>
            </w:tcMar>
            <w:vAlign w:val="bottom"/>
          </w:tcPr>
          <w:p w14:paraId="392C15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4B" w14:textId="77777777" w:rsidR="00980E5F" w:rsidRDefault="00483613">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392C154C" w14:textId="77777777" w:rsidR="00980E5F" w:rsidRDefault="00980E5F">
            <w:pPr>
              <w:jc w:val="right"/>
              <w:rPr>
                <w:rFonts w:ascii="宋体"/>
              </w:rPr>
            </w:pPr>
          </w:p>
        </w:tc>
      </w:tr>
      <w:tr w:rsidR="00980E5F" w14:paraId="392C155A" w14:textId="77777777">
        <w:tc>
          <w:tcPr>
            <w:tcW w:w="0" w:type="auto"/>
            <w:gridSpan w:val="3"/>
            <w:shd w:val="clear" w:color="auto" w:fill="FFFFFF"/>
            <w:tcMar>
              <w:top w:w="40" w:type="dxa"/>
              <w:left w:w="20" w:type="dxa"/>
              <w:bottom w:w="40" w:type="dxa"/>
              <w:right w:w="20" w:type="dxa"/>
            </w:tcMar>
            <w:vAlign w:val="bottom"/>
          </w:tcPr>
          <w:p w14:paraId="392C154E" w14:textId="77777777" w:rsidR="00980E5F" w:rsidRDefault="00483613">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392C154F" w14:textId="77777777" w:rsidR="00980E5F" w:rsidRDefault="00483613">
            <w:pPr>
              <w:jc w:val="right"/>
              <w:textAlignment w:val="bottom"/>
            </w:pPr>
            <w:r>
              <w:rPr>
                <w:rFonts w:ascii="Arial" w:eastAsia="宋体" w:hAnsi="Arial" w:cs="Arial"/>
                <w:color w:val="000000"/>
                <w:sz w:val="13"/>
                <w:szCs w:val="13"/>
              </w:rPr>
              <w:t>245 </w:t>
            </w:r>
          </w:p>
        </w:tc>
        <w:tc>
          <w:tcPr>
            <w:tcW w:w="0" w:type="auto"/>
            <w:shd w:val="clear" w:color="auto" w:fill="FFFFFF"/>
            <w:tcMar>
              <w:top w:w="40" w:type="dxa"/>
              <w:left w:w="0" w:type="dxa"/>
              <w:bottom w:w="40" w:type="dxa"/>
              <w:right w:w="20" w:type="dxa"/>
            </w:tcMar>
            <w:vAlign w:val="bottom"/>
          </w:tcPr>
          <w:p w14:paraId="392C15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52" w14:textId="77777777" w:rsidR="00980E5F" w:rsidRDefault="00483613">
            <w:pPr>
              <w:jc w:val="right"/>
              <w:textAlignment w:val="bottom"/>
            </w:pPr>
            <w:r>
              <w:rPr>
                <w:rFonts w:ascii="Arial" w:eastAsia="宋体" w:hAnsi="Arial" w:cs="Arial"/>
                <w:color w:val="000000"/>
                <w:sz w:val="13"/>
                <w:szCs w:val="13"/>
              </w:rPr>
              <w:t>696 </w:t>
            </w:r>
          </w:p>
        </w:tc>
        <w:tc>
          <w:tcPr>
            <w:tcW w:w="0" w:type="auto"/>
            <w:shd w:val="clear" w:color="auto" w:fill="FFFFFF"/>
            <w:tcMar>
              <w:top w:w="40" w:type="dxa"/>
              <w:left w:w="0" w:type="dxa"/>
              <w:bottom w:w="40" w:type="dxa"/>
              <w:right w:w="20" w:type="dxa"/>
            </w:tcMar>
            <w:vAlign w:val="bottom"/>
          </w:tcPr>
          <w:p w14:paraId="392C15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55" w14:textId="77777777" w:rsidR="00980E5F" w:rsidRDefault="00483613">
            <w:pPr>
              <w:jc w:val="right"/>
              <w:textAlignment w:val="bottom"/>
            </w:pPr>
            <w:r>
              <w:rPr>
                <w:rFonts w:ascii="Arial" w:eastAsia="宋体" w:hAnsi="Arial" w:cs="Arial"/>
                <w:color w:val="000000"/>
                <w:sz w:val="13"/>
                <w:szCs w:val="13"/>
              </w:rPr>
              <w:t>941 </w:t>
            </w:r>
          </w:p>
        </w:tc>
        <w:tc>
          <w:tcPr>
            <w:tcW w:w="0" w:type="auto"/>
            <w:shd w:val="clear" w:color="auto" w:fill="FFFFFF"/>
            <w:tcMar>
              <w:top w:w="40" w:type="dxa"/>
              <w:left w:w="0" w:type="dxa"/>
              <w:bottom w:w="40" w:type="dxa"/>
              <w:right w:w="20" w:type="dxa"/>
            </w:tcMar>
            <w:vAlign w:val="bottom"/>
          </w:tcPr>
          <w:p w14:paraId="392C15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58" w14:textId="77777777" w:rsidR="00980E5F" w:rsidRDefault="00483613">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392C1559" w14:textId="77777777" w:rsidR="00980E5F" w:rsidRDefault="00980E5F">
            <w:pPr>
              <w:jc w:val="right"/>
              <w:rPr>
                <w:rFonts w:ascii="宋体"/>
              </w:rPr>
            </w:pPr>
          </w:p>
        </w:tc>
      </w:tr>
      <w:tr w:rsidR="00980E5F" w14:paraId="392C1567" w14:textId="77777777">
        <w:tc>
          <w:tcPr>
            <w:tcW w:w="0" w:type="auto"/>
            <w:gridSpan w:val="3"/>
            <w:shd w:val="clear" w:color="auto" w:fill="CCEEFF"/>
            <w:tcMar>
              <w:top w:w="40" w:type="dxa"/>
              <w:left w:w="20" w:type="dxa"/>
              <w:bottom w:w="40" w:type="dxa"/>
              <w:right w:w="20" w:type="dxa"/>
            </w:tcMar>
            <w:vAlign w:val="bottom"/>
          </w:tcPr>
          <w:p w14:paraId="392C155B" w14:textId="77777777" w:rsidR="00980E5F" w:rsidRDefault="00483613">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392C155C"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5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5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5F" w14:textId="77777777" w:rsidR="00980E5F" w:rsidRDefault="00483613">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392C15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62" w14:textId="77777777" w:rsidR="00980E5F" w:rsidRDefault="00483613">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392C15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565" w14:textId="77777777" w:rsidR="00980E5F" w:rsidRDefault="00483613">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392C1566" w14:textId="77777777" w:rsidR="00980E5F" w:rsidRDefault="00980E5F">
            <w:pPr>
              <w:jc w:val="right"/>
              <w:rPr>
                <w:rFonts w:ascii="宋体"/>
              </w:rPr>
            </w:pPr>
          </w:p>
        </w:tc>
      </w:tr>
      <w:tr w:rsidR="00980E5F" w14:paraId="392C1570" w14:textId="77777777">
        <w:trPr>
          <w:hidden/>
        </w:trPr>
        <w:tc>
          <w:tcPr>
            <w:tcW w:w="0" w:type="auto"/>
            <w:gridSpan w:val="3"/>
            <w:shd w:val="clear" w:color="auto" w:fill="auto"/>
            <w:vAlign w:val="bottom"/>
          </w:tcPr>
          <w:p w14:paraId="392C1568" w14:textId="77777777" w:rsidR="00980E5F" w:rsidRDefault="00980E5F">
            <w:pPr>
              <w:rPr>
                <w:rFonts w:ascii="宋体"/>
                <w:vanish/>
              </w:rPr>
            </w:pPr>
          </w:p>
        </w:tc>
        <w:tc>
          <w:tcPr>
            <w:tcW w:w="0" w:type="auto"/>
            <w:gridSpan w:val="3"/>
            <w:shd w:val="clear" w:color="auto" w:fill="auto"/>
            <w:vAlign w:val="bottom"/>
          </w:tcPr>
          <w:p w14:paraId="392C1569" w14:textId="77777777" w:rsidR="00980E5F" w:rsidRDefault="00980E5F">
            <w:pPr>
              <w:rPr>
                <w:rFonts w:ascii="宋体"/>
                <w:vanish/>
              </w:rPr>
            </w:pPr>
          </w:p>
        </w:tc>
        <w:tc>
          <w:tcPr>
            <w:tcW w:w="0" w:type="auto"/>
            <w:gridSpan w:val="3"/>
            <w:shd w:val="clear" w:color="auto" w:fill="auto"/>
            <w:vAlign w:val="bottom"/>
          </w:tcPr>
          <w:p w14:paraId="392C156A" w14:textId="77777777" w:rsidR="00980E5F" w:rsidRDefault="00980E5F">
            <w:pPr>
              <w:rPr>
                <w:rFonts w:ascii="宋体"/>
                <w:vanish/>
              </w:rPr>
            </w:pPr>
          </w:p>
        </w:tc>
        <w:tc>
          <w:tcPr>
            <w:tcW w:w="0" w:type="auto"/>
            <w:gridSpan w:val="3"/>
            <w:shd w:val="clear" w:color="auto" w:fill="auto"/>
            <w:vAlign w:val="bottom"/>
          </w:tcPr>
          <w:p w14:paraId="392C156B" w14:textId="77777777" w:rsidR="00980E5F" w:rsidRDefault="00980E5F">
            <w:pPr>
              <w:rPr>
                <w:rFonts w:ascii="宋体"/>
                <w:vanish/>
              </w:rPr>
            </w:pPr>
          </w:p>
        </w:tc>
        <w:tc>
          <w:tcPr>
            <w:tcW w:w="0" w:type="auto"/>
            <w:gridSpan w:val="3"/>
            <w:shd w:val="clear" w:color="auto" w:fill="auto"/>
            <w:vAlign w:val="bottom"/>
          </w:tcPr>
          <w:p w14:paraId="392C156C" w14:textId="77777777" w:rsidR="00980E5F" w:rsidRDefault="00980E5F">
            <w:pPr>
              <w:rPr>
                <w:rFonts w:ascii="宋体"/>
                <w:vanish/>
              </w:rPr>
            </w:pPr>
          </w:p>
        </w:tc>
        <w:tc>
          <w:tcPr>
            <w:tcW w:w="0" w:type="auto"/>
            <w:gridSpan w:val="3"/>
            <w:shd w:val="clear" w:color="auto" w:fill="auto"/>
            <w:vAlign w:val="bottom"/>
          </w:tcPr>
          <w:p w14:paraId="392C156D" w14:textId="77777777" w:rsidR="00980E5F" w:rsidRDefault="00980E5F">
            <w:pPr>
              <w:rPr>
                <w:rFonts w:ascii="宋体"/>
                <w:vanish/>
              </w:rPr>
            </w:pPr>
          </w:p>
        </w:tc>
        <w:tc>
          <w:tcPr>
            <w:tcW w:w="0" w:type="auto"/>
            <w:gridSpan w:val="3"/>
            <w:shd w:val="clear" w:color="auto" w:fill="auto"/>
            <w:vAlign w:val="bottom"/>
          </w:tcPr>
          <w:p w14:paraId="392C156E" w14:textId="77777777" w:rsidR="00980E5F" w:rsidRDefault="00980E5F">
            <w:pPr>
              <w:rPr>
                <w:rFonts w:ascii="宋体"/>
                <w:vanish/>
              </w:rPr>
            </w:pPr>
          </w:p>
        </w:tc>
        <w:tc>
          <w:tcPr>
            <w:tcW w:w="0" w:type="auto"/>
            <w:gridSpan w:val="3"/>
            <w:shd w:val="clear" w:color="auto" w:fill="auto"/>
            <w:vAlign w:val="bottom"/>
          </w:tcPr>
          <w:p w14:paraId="392C156F" w14:textId="77777777" w:rsidR="00980E5F" w:rsidRDefault="00980E5F">
            <w:pPr>
              <w:rPr>
                <w:rFonts w:ascii="宋体"/>
                <w:vanish/>
              </w:rPr>
            </w:pPr>
          </w:p>
        </w:tc>
      </w:tr>
      <w:tr w:rsidR="00980E5F" w14:paraId="392C157F" w14:textId="77777777">
        <w:tc>
          <w:tcPr>
            <w:tcW w:w="0" w:type="auto"/>
            <w:gridSpan w:val="3"/>
            <w:shd w:val="clear" w:color="auto" w:fill="FFFFFF"/>
            <w:tcMar>
              <w:top w:w="40" w:type="dxa"/>
              <w:left w:w="20" w:type="dxa"/>
              <w:bottom w:w="40" w:type="dxa"/>
              <w:right w:w="20" w:type="dxa"/>
            </w:tcMar>
            <w:vAlign w:val="bottom"/>
          </w:tcPr>
          <w:p w14:paraId="392C1571"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57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573" w14:textId="77777777" w:rsidR="00980E5F" w:rsidRDefault="00483613">
            <w:pPr>
              <w:jc w:val="right"/>
              <w:textAlignment w:val="bottom"/>
            </w:pPr>
            <w:r>
              <w:rPr>
                <w:rFonts w:ascii="Arial" w:eastAsia="宋体" w:hAnsi="Arial" w:cs="Arial"/>
                <w:color w:val="000000"/>
                <w:sz w:val="13"/>
                <w:szCs w:val="13"/>
              </w:rPr>
              <w:t>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5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7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576"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577" w14:textId="77777777" w:rsidR="00980E5F" w:rsidRDefault="00483613">
            <w:pPr>
              <w:jc w:val="right"/>
              <w:textAlignment w:val="bottom"/>
            </w:pPr>
            <w:r>
              <w:rPr>
                <w:rFonts w:ascii="Arial" w:eastAsia="宋体" w:hAnsi="Arial" w:cs="Arial"/>
                <w:color w:val="000000"/>
                <w:sz w:val="13"/>
                <w:szCs w:val="13"/>
              </w:rPr>
              <w:t>6,661 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578" w14:textId="77777777" w:rsidR="00980E5F" w:rsidRDefault="00980E5F">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157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57A"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57B" w14:textId="77777777" w:rsidR="00980E5F" w:rsidRDefault="00483613">
            <w:pPr>
              <w:jc w:val="right"/>
              <w:textAlignment w:val="bottom"/>
            </w:pPr>
            <w:r>
              <w:rPr>
                <w:rFonts w:ascii="Arial" w:eastAsia="宋体" w:hAnsi="Arial" w:cs="Arial"/>
                <w:color w:val="000000"/>
                <w:sz w:val="13"/>
                <w:szCs w:val="13"/>
              </w:rPr>
              <w:t>7,506 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5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7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57E" w14:textId="77777777" w:rsidR="00980E5F" w:rsidRDefault="00980E5F">
            <w:pPr>
              <w:rPr>
                <w:rFonts w:ascii="宋体"/>
              </w:rPr>
            </w:pPr>
          </w:p>
        </w:tc>
      </w:tr>
    </w:tbl>
    <w:p w14:paraId="392C1580" w14:textId="77777777" w:rsidR="00980E5F" w:rsidRDefault="00980E5F">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980E5F" w14:paraId="392C158D" w14:textId="77777777">
        <w:tc>
          <w:tcPr>
            <w:tcW w:w="20" w:type="dxa"/>
            <w:shd w:val="clear" w:color="auto" w:fill="auto"/>
            <w:vAlign w:val="bottom"/>
          </w:tcPr>
          <w:p w14:paraId="392C1581" w14:textId="77777777" w:rsidR="00980E5F" w:rsidRDefault="00980E5F">
            <w:pPr>
              <w:rPr>
                <w:rFonts w:ascii="宋体"/>
              </w:rPr>
            </w:pPr>
          </w:p>
        </w:tc>
        <w:tc>
          <w:tcPr>
            <w:tcW w:w="2285" w:type="dxa"/>
            <w:shd w:val="clear" w:color="auto" w:fill="auto"/>
            <w:vAlign w:val="bottom"/>
          </w:tcPr>
          <w:p w14:paraId="392C1582" w14:textId="77777777" w:rsidR="00980E5F" w:rsidRDefault="00980E5F">
            <w:pPr>
              <w:rPr>
                <w:rFonts w:ascii="宋体"/>
              </w:rPr>
            </w:pPr>
          </w:p>
        </w:tc>
        <w:tc>
          <w:tcPr>
            <w:tcW w:w="20" w:type="dxa"/>
            <w:shd w:val="clear" w:color="auto" w:fill="auto"/>
            <w:vAlign w:val="bottom"/>
          </w:tcPr>
          <w:p w14:paraId="392C1583" w14:textId="77777777" w:rsidR="00980E5F" w:rsidRDefault="00980E5F">
            <w:pPr>
              <w:rPr>
                <w:rFonts w:ascii="宋体"/>
              </w:rPr>
            </w:pPr>
          </w:p>
        </w:tc>
        <w:tc>
          <w:tcPr>
            <w:tcW w:w="20" w:type="dxa"/>
            <w:shd w:val="clear" w:color="auto" w:fill="auto"/>
            <w:vAlign w:val="bottom"/>
          </w:tcPr>
          <w:p w14:paraId="392C1584" w14:textId="77777777" w:rsidR="00980E5F" w:rsidRDefault="00980E5F">
            <w:pPr>
              <w:rPr>
                <w:rFonts w:ascii="宋体"/>
              </w:rPr>
            </w:pPr>
          </w:p>
        </w:tc>
        <w:tc>
          <w:tcPr>
            <w:tcW w:w="35" w:type="dxa"/>
            <w:shd w:val="clear" w:color="auto" w:fill="auto"/>
            <w:vAlign w:val="bottom"/>
          </w:tcPr>
          <w:p w14:paraId="392C1585" w14:textId="77777777" w:rsidR="00980E5F" w:rsidRDefault="00980E5F">
            <w:pPr>
              <w:rPr>
                <w:rFonts w:ascii="宋体"/>
              </w:rPr>
            </w:pPr>
          </w:p>
        </w:tc>
        <w:tc>
          <w:tcPr>
            <w:tcW w:w="20" w:type="dxa"/>
            <w:shd w:val="clear" w:color="auto" w:fill="auto"/>
            <w:vAlign w:val="bottom"/>
          </w:tcPr>
          <w:p w14:paraId="392C1586" w14:textId="77777777" w:rsidR="00980E5F" w:rsidRDefault="00980E5F">
            <w:pPr>
              <w:rPr>
                <w:rFonts w:ascii="宋体"/>
              </w:rPr>
            </w:pPr>
          </w:p>
        </w:tc>
        <w:tc>
          <w:tcPr>
            <w:tcW w:w="20" w:type="dxa"/>
            <w:shd w:val="clear" w:color="auto" w:fill="auto"/>
            <w:vAlign w:val="bottom"/>
          </w:tcPr>
          <w:p w14:paraId="392C1587" w14:textId="77777777" w:rsidR="00980E5F" w:rsidRDefault="00980E5F">
            <w:pPr>
              <w:rPr>
                <w:rFonts w:ascii="宋体"/>
              </w:rPr>
            </w:pPr>
          </w:p>
        </w:tc>
        <w:tc>
          <w:tcPr>
            <w:tcW w:w="455" w:type="dxa"/>
            <w:shd w:val="clear" w:color="auto" w:fill="auto"/>
            <w:vAlign w:val="bottom"/>
          </w:tcPr>
          <w:p w14:paraId="392C1588" w14:textId="77777777" w:rsidR="00980E5F" w:rsidRDefault="00980E5F">
            <w:pPr>
              <w:rPr>
                <w:rFonts w:ascii="宋体"/>
              </w:rPr>
            </w:pPr>
          </w:p>
        </w:tc>
        <w:tc>
          <w:tcPr>
            <w:tcW w:w="20" w:type="dxa"/>
            <w:shd w:val="clear" w:color="auto" w:fill="auto"/>
            <w:vAlign w:val="bottom"/>
          </w:tcPr>
          <w:p w14:paraId="392C1589" w14:textId="77777777" w:rsidR="00980E5F" w:rsidRDefault="00980E5F">
            <w:pPr>
              <w:rPr>
                <w:rFonts w:ascii="宋体"/>
              </w:rPr>
            </w:pPr>
          </w:p>
        </w:tc>
        <w:tc>
          <w:tcPr>
            <w:tcW w:w="20" w:type="dxa"/>
            <w:shd w:val="clear" w:color="auto" w:fill="auto"/>
            <w:vAlign w:val="bottom"/>
          </w:tcPr>
          <w:p w14:paraId="392C158A" w14:textId="77777777" w:rsidR="00980E5F" w:rsidRDefault="00980E5F">
            <w:pPr>
              <w:rPr>
                <w:rFonts w:ascii="宋体"/>
              </w:rPr>
            </w:pPr>
          </w:p>
        </w:tc>
        <w:tc>
          <w:tcPr>
            <w:tcW w:w="1835" w:type="dxa"/>
            <w:shd w:val="clear" w:color="auto" w:fill="auto"/>
            <w:vAlign w:val="bottom"/>
          </w:tcPr>
          <w:p w14:paraId="392C158B" w14:textId="77777777" w:rsidR="00980E5F" w:rsidRDefault="00980E5F">
            <w:pPr>
              <w:rPr>
                <w:rFonts w:ascii="宋体"/>
              </w:rPr>
            </w:pPr>
          </w:p>
        </w:tc>
        <w:tc>
          <w:tcPr>
            <w:tcW w:w="20" w:type="dxa"/>
            <w:shd w:val="clear" w:color="auto" w:fill="auto"/>
            <w:vAlign w:val="bottom"/>
          </w:tcPr>
          <w:p w14:paraId="392C158C" w14:textId="77777777" w:rsidR="00980E5F" w:rsidRDefault="00980E5F">
            <w:pPr>
              <w:rPr>
                <w:rFonts w:ascii="宋体"/>
              </w:rPr>
            </w:pPr>
          </w:p>
        </w:tc>
      </w:tr>
      <w:tr w:rsidR="00980E5F" w14:paraId="392C159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58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8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9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91" w14:textId="77777777" w:rsidR="00980E5F" w:rsidRDefault="00980E5F">
            <w:pPr>
              <w:rPr>
                <w:rFonts w:ascii="宋体"/>
              </w:rPr>
            </w:pPr>
          </w:p>
        </w:tc>
      </w:tr>
    </w:tbl>
    <w:p w14:paraId="392C1593" w14:textId="77777777" w:rsidR="00980E5F" w:rsidRDefault="00483613">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$9.47 billion and $10.22 billion across our businesses as of June 30, 2022 </w:t>
      </w:r>
      <w:r>
        <w:rPr>
          <w:rFonts w:ascii="Arial" w:eastAsia="宋体" w:hAnsi="Arial" w:cs="Arial"/>
          <w:color w:val="000000"/>
          <w:sz w:val="12"/>
          <w:szCs w:val="12"/>
        </w:rPr>
        <w:t>and December 31, 2021, respectively.</w:t>
      </w:r>
    </w:p>
    <w:p w14:paraId="392C1594" w14:textId="77777777" w:rsidR="00980E5F" w:rsidRDefault="00483613">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392C1595" w14:textId="77777777" w:rsidR="00980E5F" w:rsidRDefault="00483613">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concentrated primarily</w:t>
      </w:r>
      <w:r>
        <w:rPr>
          <w:rFonts w:ascii="Arial" w:eastAsia="宋体" w:hAnsi="Arial" w:cs="Arial"/>
          <w:color w:val="000000"/>
          <w:sz w:val="20"/>
          <w:szCs w:val="20"/>
        </w:rPr>
        <w:t xml:space="preserve"> with highly-rated counterparties, with approximately 89% of the obligors rated “AAA” or “AA” as of June 30, 2022. As of that date, approximately 28% and 72% of our aggregate municipal securities exposure was associated with general obligation and revenue </w:t>
      </w:r>
      <w:r>
        <w:rPr>
          <w:rFonts w:ascii="Arial" w:eastAsia="宋体" w:hAnsi="Arial" w:cs="Arial"/>
          <w:color w:val="000000"/>
          <w:sz w:val="20"/>
          <w:szCs w:val="20"/>
        </w:rPr>
        <w:t>bonds, respectively. The portfolios are also diversified geographically, with the states that represent our largest exposures widely dispersed across the U.S.</w:t>
      </w:r>
    </w:p>
    <w:p w14:paraId="392C1596" w14:textId="77777777" w:rsidR="00980E5F" w:rsidRDefault="00483613">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w:t>
      </w:r>
      <w:r>
        <w:rPr>
          <w:rFonts w:ascii="Arial" w:eastAsia="宋体" w:hAnsi="Arial" w:cs="Arial"/>
          <w:color w:val="000000"/>
          <w:sz w:val="20"/>
          <w:szCs w:val="20"/>
        </w:rPr>
        <w:t>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392C1597" w14:textId="77777777" w:rsidR="00980E5F" w:rsidRDefault="00483613">
      <w:pPr>
        <w:ind w:firstLine="450"/>
        <w:jc w:val="right"/>
      </w:pPr>
      <w:r>
        <w:rPr>
          <w:rFonts w:ascii="Arial" w:eastAsia="宋体" w:hAnsi="Arial" w:cs="Arial"/>
          <w:color w:val="000000"/>
          <w:sz w:val="18"/>
          <w:szCs w:val="18"/>
        </w:rPr>
        <w:t>State Street Corporation | 30</w:t>
      </w:r>
    </w:p>
    <w:p w14:paraId="392C1598" w14:textId="77777777" w:rsidR="00980E5F" w:rsidRDefault="00980E5F">
      <w:pPr>
        <w:ind w:firstLine="450"/>
        <w:jc w:val="center"/>
      </w:pPr>
    </w:p>
    <w:p w14:paraId="392C1599" w14:textId="77777777" w:rsidR="00980E5F" w:rsidRDefault="00483613">
      <w:r>
        <w:pict w14:anchorId="392CBAEC">
          <v:rect id="_x0000_i1054" style="width:415.3pt;height:1.5pt" o:hralign="center" o:hrstd="t" o:hr="t" fillcolor="#a0a0a0" stroked="f"/>
        </w:pict>
      </w:r>
    </w:p>
    <w:p w14:paraId="392C159A"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59B" w14:textId="77777777" w:rsidR="00980E5F" w:rsidRDefault="00483613">
      <w:pPr>
        <w:ind w:firstLine="450"/>
        <w:jc w:val="center"/>
      </w:pPr>
      <w:r>
        <w:rPr>
          <w:rFonts w:ascii="Arial" w:eastAsia="宋体" w:hAnsi="Arial" w:cs="Arial"/>
          <w:b/>
          <w:bCs/>
          <w:color w:val="000000"/>
          <w:sz w:val="20"/>
          <w:szCs w:val="20"/>
        </w:rPr>
        <w:t>AND RESULTS OF OPERATIONS</w:t>
      </w:r>
    </w:p>
    <w:p w14:paraId="392C159C" w14:textId="77777777" w:rsidR="00980E5F" w:rsidRDefault="00483613">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10"/>
        <w:gridCol w:w="38"/>
        <w:gridCol w:w="98"/>
        <w:gridCol w:w="2319"/>
        <w:gridCol w:w="36"/>
        <w:gridCol w:w="36"/>
        <w:gridCol w:w="68"/>
        <w:gridCol w:w="36"/>
        <w:gridCol w:w="99"/>
        <w:gridCol w:w="2272"/>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15AF" w14:textId="77777777">
        <w:tc>
          <w:tcPr>
            <w:tcW w:w="50" w:type="pct"/>
            <w:shd w:val="clear" w:color="auto" w:fill="auto"/>
            <w:vAlign w:val="bottom"/>
          </w:tcPr>
          <w:p w14:paraId="392C159D" w14:textId="77777777" w:rsidR="00980E5F" w:rsidRDefault="00980E5F">
            <w:pPr>
              <w:rPr>
                <w:rFonts w:ascii="宋体"/>
              </w:rPr>
            </w:pPr>
          </w:p>
        </w:tc>
        <w:tc>
          <w:tcPr>
            <w:tcW w:w="1721" w:type="pct"/>
            <w:shd w:val="clear" w:color="auto" w:fill="auto"/>
            <w:vAlign w:val="bottom"/>
          </w:tcPr>
          <w:p w14:paraId="392C159E" w14:textId="77777777" w:rsidR="00980E5F" w:rsidRDefault="00980E5F">
            <w:pPr>
              <w:rPr>
                <w:rFonts w:ascii="宋体"/>
              </w:rPr>
            </w:pPr>
          </w:p>
        </w:tc>
        <w:tc>
          <w:tcPr>
            <w:tcW w:w="5" w:type="pct"/>
            <w:shd w:val="clear" w:color="auto" w:fill="auto"/>
            <w:vAlign w:val="bottom"/>
          </w:tcPr>
          <w:p w14:paraId="392C159F" w14:textId="77777777" w:rsidR="00980E5F" w:rsidRDefault="00980E5F">
            <w:pPr>
              <w:rPr>
                <w:rFonts w:ascii="宋体"/>
              </w:rPr>
            </w:pPr>
          </w:p>
        </w:tc>
        <w:tc>
          <w:tcPr>
            <w:tcW w:w="50" w:type="pct"/>
            <w:shd w:val="clear" w:color="auto" w:fill="auto"/>
            <w:vAlign w:val="bottom"/>
          </w:tcPr>
          <w:p w14:paraId="392C15A0" w14:textId="77777777" w:rsidR="00980E5F" w:rsidRDefault="00980E5F">
            <w:pPr>
              <w:rPr>
                <w:rFonts w:ascii="宋体"/>
              </w:rPr>
            </w:pPr>
          </w:p>
        </w:tc>
        <w:tc>
          <w:tcPr>
            <w:tcW w:w="1533" w:type="pct"/>
            <w:shd w:val="clear" w:color="auto" w:fill="auto"/>
            <w:vAlign w:val="bottom"/>
          </w:tcPr>
          <w:p w14:paraId="392C15A1" w14:textId="77777777" w:rsidR="00980E5F" w:rsidRDefault="00980E5F">
            <w:pPr>
              <w:rPr>
                <w:rFonts w:ascii="宋体"/>
              </w:rPr>
            </w:pPr>
          </w:p>
        </w:tc>
        <w:tc>
          <w:tcPr>
            <w:tcW w:w="5" w:type="pct"/>
            <w:shd w:val="clear" w:color="auto" w:fill="auto"/>
            <w:vAlign w:val="bottom"/>
          </w:tcPr>
          <w:p w14:paraId="392C15A2" w14:textId="77777777" w:rsidR="00980E5F" w:rsidRDefault="00980E5F">
            <w:pPr>
              <w:rPr>
                <w:rFonts w:ascii="宋体"/>
              </w:rPr>
            </w:pPr>
          </w:p>
        </w:tc>
        <w:tc>
          <w:tcPr>
            <w:tcW w:w="5" w:type="pct"/>
            <w:shd w:val="clear" w:color="auto" w:fill="auto"/>
            <w:vAlign w:val="bottom"/>
          </w:tcPr>
          <w:p w14:paraId="392C15A3" w14:textId="77777777" w:rsidR="00980E5F" w:rsidRDefault="00980E5F">
            <w:pPr>
              <w:rPr>
                <w:rFonts w:ascii="宋体"/>
              </w:rPr>
            </w:pPr>
          </w:p>
        </w:tc>
        <w:tc>
          <w:tcPr>
            <w:tcW w:w="68" w:type="pct"/>
            <w:shd w:val="clear" w:color="auto" w:fill="auto"/>
            <w:vAlign w:val="bottom"/>
          </w:tcPr>
          <w:p w14:paraId="392C15A4" w14:textId="77777777" w:rsidR="00980E5F" w:rsidRDefault="00980E5F">
            <w:pPr>
              <w:rPr>
                <w:rFonts w:ascii="宋体"/>
              </w:rPr>
            </w:pPr>
          </w:p>
        </w:tc>
        <w:tc>
          <w:tcPr>
            <w:tcW w:w="5" w:type="pct"/>
            <w:shd w:val="clear" w:color="auto" w:fill="auto"/>
            <w:vAlign w:val="bottom"/>
          </w:tcPr>
          <w:p w14:paraId="392C15A5" w14:textId="77777777" w:rsidR="00980E5F" w:rsidRDefault="00980E5F">
            <w:pPr>
              <w:rPr>
                <w:rFonts w:ascii="宋体"/>
              </w:rPr>
            </w:pPr>
          </w:p>
        </w:tc>
        <w:tc>
          <w:tcPr>
            <w:tcW w:w="50" w:type="pct"/>
            <w:shd w:val="clear" w:color="auto" w:fill="auto"/>
            <w:vAlign w:val="bottom"/>
          </w:tcPr>
          <w:p w14:paraId="392C15A6" w14:textId="77777777" w:rsidR="00980E5F" w:rsidRDefault="00980E5F">
            <w:pPr>
              <w:rPr>
                <w:rFonts w:ascii="宋体"/>
              </w:rPr>
            </w:pPr>
          </w:p>
        </w:tc>
        <w:tc>
          <w:tcPr>
            <w:tcW w:w="1501" w:type="pct"/>
            <w:shd w:val="clear" w:color="auto" w:fill="auto"/>
            <w:vAlign w:val="bottom"/>
          </w:tcPr>
          <w:p w14:paraId="392C15A7" w14:textId="77777777" w:rsidR="00980E5F" w:rsidRDefault="00980E5F">
            <w:pPr>
              <w:rPr>
                <w:rFonts w:ascii="宋体"/>
              </w:rPr>
            </w:pPr>
          </w:p>
        </w:tc>
        <w:tc>
          <w:tcPr>
            <w:tcW w:w="5" w:type="pct"/>
            <w:shd w:val="clear" w:color="auto" w:fill="auto"/>
            <w:vAlign w:val="bottom"/>
          </w:tcPr>
          <w:p w14:paraId="392C15A8" w14:textId="77777777" w:rsidR="00980E5F" w:rsidRDefault="00980E5F">
            <w:pPr>
              <w:rPr>
                <w:rFonts w:ascii="宋体"/>
              </w:rPr>
            </w:pPr>
          </w:p>
        </w:tc>
        <w:tc>
          <w:tcPr>
            <w:tcW w:w="0" w:type="auto"/>
            <w:gridSpan w:val="3"/>
            <w:shd w:val="clear" w:color="auto" w:fill="auto"/>
            <w:vAlign w:val="bottom"/>
          </w:tcPr>
          <w:p w14:paraId="392C15A9" w14:textId="77777777" w:rsidR="00980E5F" w:rsidRDefault="00980E5F">
            <w:pPr>
              <w:rPr>
                <w:rFonts w:ascii="宋体"/>
                <w:vanish/>
              </w:rPr>
            </w:pPr>
          </w:p>
        </w:tc>
        <w:tc>
          <w:tcPr>
            <w:tcW w:w="0" w:type="auto"/>
            <w:gridSpan w:val="3"/>
            <w:shd w:val="clear" w:color="auto" w:fill="auto"/>
            <w:vAlign w:val="bottom"/>
          </w:tcPr>
          <w:p w14:paraId="392C15AA" w14:textId="77777777" w:rsidR="00980E5F" w:rsidRDefault="00980E5F">
            <w:pPr>
              <w:rPr>
                <w:rFonts w:ascii="宋体"/>
                <w:vanish/>
              </w:rPr>
            </w:pPr>
          </w:p>
        </w:tc>
        <w:tc>
          <w:tcPr>
            <w:tcW w:w="0" w:type="auto"/>
            <w:gridSpan w:val="3"/>
            <w:shd w:val="clear" w:color="auto" w:fill="auto"/>
            <w:vAlign w:val="bottom"/>
          </w:tcPr>
          <w:p w14:paraId="392C15AB" w14:textId="77777777" w:rsidR="00980E5F" w:rsidRDefault="00980E5F">
            <w:pPr>
              <w:rPr>
                <w:rFonts w:ascii="宋体"/>
                <w:vanish/>
              </w:rPr>
            </w:pPr>
          </w:p>
        </w:tc>
        <w:tc>
          <w:tcPr>
            <w:tcW w:w="0" w:type="auto"/>
            <w:gridSpan w:val="3"/>
            <w:shd w:val="clear" w:color="auto" w:fill="auto"/>
            <w:vAlign w:val="bottom"/>
          </w:tcPr>
          <w:p w14:paraId="392C15AC" w14:textId="77777777" w:rsidR="00980E5F" w:rsidRDefault="00980E5F">
            <w:pPr>
              <w:rPr>
                <w:rFonts w:ascii="宋体"/>
                <w:vanish/>
              </w:rPr>
            </w:pPr>
          </w:p>
        </w:tc>
        <w:tc>
          <w:tcPr>
            <w:tcW w:w="0" w:type="auto"/>
            <w:gridSpan w:val="3"/>
            <w:shd w:val="clear" w:color="auto" w:fill="auto"/>
            <w:vAlign w:val="bottom"/>
          </w:tcPr>
          <w:p w14:paraId="392C15AD" w14:textId="77777777" w:rsidR="00980E5F" w:rsidRDefault="00980E5F">
            <w:pPr>
              <w:rPr>
                <w:rFonts w:ascii="宋体"/>
                <w:vanish/>
              </w:rPr>
            </w:pPr>
          </w:p>
        </w:tc>
        <w:tc>
          <w:tcPr>
            <w:tcW w:w="0" w:type="auto"/>
            <w:gridSpan w:val="3"/>
            <w:shd w:val="clear" w:color="auto" w:fill="auto"/>
            <w:vAlign w:val="bottom"/>
          </w:tcPr>
          <w:p w14:paraId="392C15AE" w14:textId="77777777" w:rsidR="00980E5F" w:rsidRDefault="00980E5F">
            <w:pPr>
              <w:rPr>
                <w:rFonts w:ascii="宋体"/>
                <w:vanish/>
              </w:rPr>
            </w:pPr>
          </w:p>
        </w:tc>
      </w:tr>
      <w:tr w:rsidR="00980E5F" w14:paraId="392C15C3" w14:textId="77777777">
        <w:tc>
          <w:tcPr>
            <w:tcW w:w="0" w:type="auto"/>
            <w:gridSpan w:val="12"/>
            <w:shd w:val="clear" w:color="auto" w:fill="auto"/>
            <w:tcMar>
              <w:top w:w="40" w:type="dxa"/>
              <w:left w:w="20" w:type="dxa"/>
              <w:bottom w:w="40" w:type="dxa"/>
              <w:right w:w="20" w:type="dxa"/>
            </w:tcMar>
            <w:vAlign w:val="bottom"/>
          </w:tcPr>
          <w:p w14:paraId="392C15B0" w14:textId="77777777" w:rsidR="00980E5F" w:rsidRDefault="00483613">
            <w:pPr>
              <w:textAlignment w:val="bottom"/>
            </w:pPr>
            <w:r>
              <w:rPr>
                <w:rFonts w:ascii="Arial" w:eastAsia="宋体" w:hAnsi="Arial" w:cs="Arial"/>
                <w:b/>
                <w:bCs/>
                <w:color w:val="000000"/>
                <w:sz w:val="16"/>
                <w:szCs w:val="16"/>
              </w:rPr>
              <w:t xml:space="preserve">TABLE 25: U.S. AND NON- </w:t>
            </w:r>
            <w:r>
              <w:rPr>
                <w:rFonts w:ascii="Arial" w:eastAsia="宋体" w:hAnsi="Arial" w:cs="Arial"/>
                <w:b/>
                <w:bCs/>
                <w:color w:val="000000"/>
                <w:sz w:val="16"/>
                <w:szCs w:val="16"/>
              </w:rPr>
              <w:t>U.S. LOANS</w:t>
            </w:r>
          </w:p>
        </w:tc>
        <w:tc>
          <w:tcPr>
            <w:tcW w:w="0" w:type="auto"/>
            <w:shd w:val="clear" w:color="auto" w:fill="auto"/>
            <w:vAlign w:val="bottom"/>
          </w:tcPr>
          <w:p w14:paraId="392C15B1" w14:textId="77777777" w:rsidR="00980E5F" w:rsidRDefault="00980E5F">
            <w:pPr>
              <w:rPr>
                <w:rFonts w:ascii="宋体"/>
              </w:rPr>
            </w:pPr>
          </w:p>
        </w:tc>
        <w:tc>
          <w:tcPr>
            <w:tcW w:w="0" w:type="auto"/>
            <w:shd w:val="clear" w:color="auto" w:fill="auto"/>
            <w:vAlign w:val="bottom"/>
          </w:tcPr>
          <w:p w14:paraId="392C15B2" w14:textId="77777777" w:rsidR="00980E5F" w:rsidRDefault="00980E5F">
            <w:pPr>
              <w:rPr>
                <w:rFonts w:ascii="宋体"/>
              </w:rPr>
            </w:pPr>
          </w:p>
        </w:tc>
        <w:tc>
          <w:tcPr>
            <w:tcW w:w="0" w:type="auto"/>
            <w:shd w:val="clear" w:color="auto" w:fill="auto"/>
            <w:vAlign w:val="bottom"/>
          </w:tcPr>
          <w:p w14:paraId="392C15B3" w14:textId="77777777" w:rsidR="00980E5F" w:rsidRDefault="00980E5F">
            <w:pPr>
              <w:rPr>
                <w:rFonts w:ascii="宋体"/>
              </w:rPr>
            </w:pPr>
          </w:p>
        </w:tc>
        <w:tc>
          <w:tcPr>
            <w:tcW w:w="0" w:type="auto"/>
            <w:shd w:val="clear" w:color="auto" w:fill="auto"/>
            <w:vAlign w:val="bottom"/>
          </w:tcPr>
          <w:p w14:paraId="392C15B4" w14:textId="77777777" w:rsidR="00980E5F" w:rsidRDefault="00980E5F">
            <w:pPr>
              <w:rPr>
                <w:rFonts w:ascii="宋体"/>
              </w:rPr>
            </w:pPr>
          </w:p>
        </w:tc>
        <w:tc>
          <w:tcPr>
            <w:tcW w:w="0" w:type="auto"/>
            <w:shd w:val="clear" w:color="auto" w:fill="auto"/>
            <w:vAlign w:val="bottom"/>
          </w:tcPr>
          <w:p w14:paraId="392C15B5" w14:textId="77777777" w:rsidR="00980E5F" w:rsidRDefault="00980E5F">
            <w:pPr>
              <w:rPr>
                <w:rFonts w:ascii="宋体"/>
              </w:rPr>
            </w:pPr>
          </w:p>
        </w:tc>
        <w:tc>
          <w:tcPr>
            <w:tcW w:w="0" w:type="auto"/>
            <w:shd w:val="clear" w:color="auto" w:fill="auto"/>
            <w:vAlign w:val="bottom"/>
          </w:tcPr>
          <w:p w14:paraId="392C15B6" w14:textId="77777777" w:rsidR="00980E5F" w:rsidRDefault="00980E5F">
            <w:pPr>
              <w:rPr>
                <w:rFonts w:ascii="宋体"/>
              </w:rPr>
            </w:pPr>
          </w:p>
        </w:tc>
        <w:tc>
          <w:tcPr>
            <w:tcW w:w="0" w:type="auto"/>
            <w:shd w:val="clear" w:color="auto" w:fill="auto"/>
            <w:vAlign w:val="bottom"/>
          </w:tcPr>
          <w:p w14:paraId="392C15B7" w14:textId="77777777" w:rsidR="00980E5F" w:rsidRDefault="00980E5F">
            <w:pPr>
              <w:rPr>
                <w:rFonts w:ascii="宋体"/>
              </w:rPr>
            </w:pPr>
          </w:p>
        </w:tc>
        <w:tc>
          <w:tcPr>
            <w:tcW w:w="0" w:type="auto"/>
            <w:shd w:val="clear" w:color="auto" w:fill="auto"/>
            <w:vAlign w:val="bottom"/>
          </w:tcPr>
          <w:p w14:paraId="392C15B8" w14:textId="77777777" w:rsidR="00980E5F" w:rsidRDefault="00980E5F">
            <w:pPr>
              <w:rPr>
                <w:rFonts w:ascii="宋体"/>
              </w:rPr>
            </w:pPr>
          </w:p>
        </w:tc>
        <w:tc>
          <w:tcPr>
            <w:tcW w:w="0" w:type="auto"/>
            <w:shd w:val="clear" w:color="auto" w:fill="auto"/>
            <w:vAlign w:val="bottom"/>
          </w:tcPr>
          <w:p w14:paraId="392C15B9" w14:textId="77777777" w:rsidR="00980E5F" w:rsidRDefault="00980E5F">
            <w:pPr>
              <w:rPr>
                <w:rFonts w:ascii="宋体"/>
              </w:rPr>
            </w:pPr>
          </w:p>
        </w:tc>
        <w:tc>
          <w:tcPr>
            <w:tcW w:w="0" w:type="auto"/>
            <w:shd w:val="clear" w:color="auto" w:fill="auto"/>
            <w:vAlign w:val="bottom"/>
          </w:tcPr>
          <w:p w14:paraId="392C15BA" w14:textId="77777777" w:rsidR="00980E5F" w:rsidRDefault="00980E5F">
            <w:pPr>
              <w:rPr>
                <w:rFonts w:ascii="宋体"/>
              </w:rPr>
            </w:pPr>
          </w:p>
        </w:tc>
        <w:tc>
          <w:tcPr>
            <w:tcW w:w="0" w:type="auto"/>
            <w:shd w:val="clear" w:color="auto" w:fill="auto"/>
            <w:vAlign w:val="bottom"/>
          </w:tcPr>
          <w:p w14:paraId="392C15BB" w14:textId="77777777" w:rsidR="00980E5F" w:rsidRDefault="00980E5F">
            <w:pPr>
              <w:rPr>
                <w:rFonts w:ascii="宋体"/>
              </w:rPr>
            </w:pPr>
          </w:p>
        </w:tc>
        <w:tc>
          <w:tcPr>
            <w:tcW w:w="0" w:type="auto"/>
            <w:shd w:val="clear" w:color="auto" w:fill="auto"/>
            <w:vAlign w:val="bottom"/>
          </w:tcPr>
          <w:p w14:paraId="392C15BC" w14:textId="77777777" w:rsidR="00980E5F" w:rsidRDefault="00980E5F">
            <w:pPr>
              <w:rPr>
                <w:rFonts w:ascii="宋体"/>
              </w:rPr>
            </w:pPr>
          </w:p>
        </w:tc>
        <w:tc>
          <w:tcPr>
            <w:tcW w:w="0" w:type="auto"/>
            <w:shd w:val="clear" w:color="auto" w:fill="auto"/>
            <w:vAlign w:val="bottom"/>
          </w:tcPr>
          <w:p w14:paraId="392C15BD" w14:textId="77777777" w:rsidR="00980E5F" w:rsidRDefault="00980E5F">
            <w:pPr>
              <w:rPr>
                <w:rFonts w:ascii="宋体"/>
              </w:rPr>
            </w:pPr>
          </w:p>
        </w:tc>
        <w:tc>
          <w:tcPr>
            <w:tcW w:w="0" w:type="auto"/>
            <w:shd w:val="clear" w:color="auto" w:fill="auto"/>
            <w:vAlign w:val="bottom"/>
          </w:tcPr>
          <w:p w14:paraId="392C15BE" w14:textId="77777777" w:rsidR="00980E5F" w:rsidRDefault="00980E5F">
            <w:pPr>
              <w:rPr>
                <w:rFonts w:ascii="宋体"/>
              </w:rPr>
            </w:pPr>
          </w:p>
        </w:tc>
        <w:tc>
          <w:tcPr>
            <w:tcW w:w="0" w:type="auto"/>
            <w:shd w:val="clear" w:color="auto" w:fill="auto"/>
            <w:vAlign w:val="bottom"/>
          </w:tcPr>
          <w:p w14:paraId="392C15BF" w14:textId="77777777" w:rsidR="00980E5F" w:rsidRDefault="00980E5F">
            <w:pPr>
              <w:rPr>
                <w:rFonts w:ascii="宋体"/>
              </w:rPr>
            </w:pPr>
          </w:p>
        </w:tc>
        <w:tc>
          <w:tcPr>
            <w:tcW w:w="0" w:type="auto"/>
            <w:shd w:val="clear" w:color="auto" w:fill="auto"/>
            <w:vAlign w:val="bottom"/>
          </w:tcPr>
          <w:p w14:paraId="392C15C0" w14:textId="77777777" w:rsidR="00980E5F" w:rsidRDefault="00980E5F">
            <w:pPr>
              <w:rPr>
                <w:rFonts w:ascii="宋体"/>
              </w:rPr>
            </w:pPr>
          </w:p>
        </w:tc>
        <w:tc>
          <w:tcPr>
            <w:tcW w:w="0" w:type="auto"/>
            <w:shd w:val="clear" w:color="auto" w:fill="auto"/>
            <w:vAlign w:val="bottom"/>
          </w:tcPr>
          <w:p w14:paraId="392C15C1" w14:textId="77777777" w:rsidR="00980E5F" w:rsidRDefault="00980E5F">
            <w:pPr>
              <w:rPr>
                <w:rFonts w:ascii="宋体"/>
              </w:rPr>
            </w:pPr>
          </w:p>
        </w:tc>
        <w:tc>
          <w:tcPr>
            <w:tcW w:w="0" w:type="auto"/>
            <w:shd w:val="clear" w:color="auto" w:fill="auto"/>
            <w:vAlign w:val="bottom"/>
          </w:tcPr>
          <w:p w14:paraId="392C15C2" w14:textId="77777777" w:rsidR="00980E5F" w:rsidRDefault="00980E5F">
            <w:pPr>
              <w:rPr>
                <w:rFonts w:ascii="宋体"/>
              </w:rPr>
            </w:pPr>
          </w:p>
        </w:tc>
      </w:tr>
      <w:tr w:rsidR="00980E5F" w14:paraId="392C15CE" w14:textId="77777777">
        <w:tc>
          <w:tcPr>
            <w:tcW w:w="0" w:type="auto"/>
            <w:gridSpan w:val="3"/>
            <w:shd w:val="clear" w:color="auto" w:fill="auto"/>
            <w:tcMar>
              <w:top w:w="40" w:type="dxa"/>
              <w:left w:w="20" w:type="dxa"/>
              <w:bottom w:w="40" w:type="dxa"/>
              <w:right w:w="20" w:type="dxa"/>
            </w:tcMar>
            <w:vAlign w:val="bottom"/>
          </w:tcPr>
          <w:p w14:paraId="392C15C4"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15C5"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15C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5C7"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vAlign w:val="bottom"/>
          </w:tcPr>
          <w:p w14:paraId="392C15C8" w14:textId="77777777" w:rsidR="00980E5F" w:rsidRDefault="00980E5F">
            <w:pPr>
              <w:rPr>
                <w:rFonts w:ascii="宋体"/>
                <w:vanish/>
              </w:rPr>
            </w:pPr>
          </w:p>
        </w:tc>
        <w:tc>
          <w:tcPr>
            <w:tcW w:w="0" w:type="auto"/>
            <w:gridSpan w:val="3"/>
            <w:shd w:val="clear" w:color="auto" w:fill="auto"/>
            <w:vAlign w:val="bottom"/>
          </w:tcPr>
          <w:p w14:paraId="392C15C9" w14:textId="77777777" w:rsidR="00980E5F" w:rsidRDefault="00980E5F">
            <w:pPr>
              <w:rPr>
                <w:rFonts w:ascii="宋体"/>
                <w:vanish/>
              </w:rPr>
            </w:pPr>
          </w:p>
        </w:tc>
        <w:tc>
          <w:tcPr>
            <w:tcW w:w="0" w:type="auto"/>
            <w:gridSpan w:val="3"/>
            <w:shd w:val="clear" w:color="auto" w:fill="auto"/>
            <w:vAlign w:val="bottom"/>
          </w:tcPr>
          <w:p w14:paraId="392C15CA" w14:textId="77777777" w:rsidR="00980E5F" w:rsidRDefault="00980E5F">
            <w:pPr>
              <w:rPr>
                <w:rFonts w:ascii="宋体"/>
                <w:vanish/>
              </w:rPr>
            </w:pPr>
          </w:p>
        </w:tc>
        <w:tc>
          <w:tcPr>
            <w:tcW w:w="0" w:type="auto"/>
            <w:gridSpan w:val="3"/>
            <w:shd w:val="clear" w:color="auto" w:fill="auto"/>
            <w:vAlign w:val="bottom"/>
          </w:tcPr>
          <w:p w14:paraId="392C15CB" w14:textId="77777777" w:rsidR="00980E5F" w:rsidRDefault="00980E5F">
            <w:pPr>
              <w:rPr>
                <w:rFonts w:ascii="宋体"/>
                <w:vanish/>
              </w:rPr>
            </w:pPr>
          </w:p>
        </w:tc>
        <w:tc>
          <w:tcPr>
            <w:tcW w:w="0" w:type="auto"/>
            <w:gridSpan w:val="3"/>
            <w:shd w:val="clear" w:color="auto" w:fill="auto"/>
            <w:vAlign w:val="bottom"/>
          </w:tcPr>
          <w:p w14:paraId="392C15CC" w14:textId="77777777" w:rsidR="00980E5F" w:rsidRDefault="00980E5F">
            <w:pPr>
              <w:rPr>
                <w:rFonts w:ascii="宋体"/>
                <w:vanish/>
              </w:rPr>
            </w:pPr>
          </w:p>
        </w:tc>
        <w:tc>
          <w:tcPr>
            <w:tcW w:w="0" w:type="auto"/>
            <w:gridSpan w:val="3"/>
            <w:shd w:val="clear" w:color="auto" w:fill="auto"/>
            <w:vAlign w:val="bottom"/>
          </w:tcPr>
          <w:p w14:paraId="392C15CD" w14:textId="77777777" w:rsidR="00980E5F" w:rsidRDefault="00980E5F">
            <w:pPr>
              <w:rPr>
                <w:rFonts w:ascii="宋体"/>
                <w:vanish/>
              </w:rPr>
            </w:pPr>
          </w:p>
        </w:tc>
      </w:tr>
      <w:tr w:rsidR="00980E5F" w14:paraId="392C15D9" w14:textId="77777777">
        <w:tc>
          <w:tcPr>
            <w:tcW w:w="0" w:type="auto"/>
            <w:gridSpan w:val="3"/>
            <w:shd w:val="clear" w:color="auto" w:fill="auto"/>
            <w:tcMar>
              <w:top w:w="40" w:type="dxa"/>
              <w:left w:w="20" w:type="dxa"/>
              <w:bottom w:w="40" w:type="dxa"/>
              <w:right w:w="20" w:type="dxa"/>
            </w:tcMar>
            <w:vAlign w:val="bottom"/>
          </w:tcPr>
          <w:p w14:paraId="392C15CF" w14:textId="77777777" w:rsidR="00980E5F" w:rsidRDefault="00483613">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5D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D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5D2" w14:textId="77777777" w:rsidR="00980E5F" w:rsidRDefault="00980E5F">
            <w:pPr>
              <w:rPr>
                <w:rFonts w:ascii="宋体"/>
              </w:rPr>
            </w:pPr>
          </w:p>
        </w:tc>
        <w:tc>
          <w:tcPr>
            <w:tcW w:w="0" w:type="auto"/>
            <w:gridSpan w:val="3"/>
            <w:shd w:val="clear" w:color="auto" w:fill="auto"/>
            <w:vAlign w:val="bottom"/>
          </w:tcPr>
          <w:p w14:paraId="392C15D3" w14:textId="77777777" w:rsidR="00980E5F" w:rsidRDefault="00980E5F">
            <w:pPr>
              <w:rPr>
                <w:rFonts w:ascii="宋体"/>
                <w:vanish/>
              </w:rPr>
            </w:pPr>
          </w:p>
        </w:tc>
        <w:tc>
          <w:tcPr>
            <w:tcW w:w="0" w:type="auto"/>
            <w:gridSpan w:val="3"/>
            <w:shd w:val="clear" w:color="auto" w:fill="auto"/>
            <w:vAlign w:val="bottom"/>
          </w:tcPr>
          <w:p w14:paraId="392C15D4" w14:textId="77777777" w:rsidR="00980E5F" w:rsidRDefault="00980E5F">
            <w:pPr>
              <w:rPr>
                <w:rFonts w:ascii="宋体"/>
                <w:vanish/>
              </w:rPr>
            </w:pPr>
          </w:p>
        </w:tc>
        <w:tc>
          <w:tcPr>
            <w:tcW w:w="0" w:type="auto"/>
            <w:gridSpan w:val="3"/>
            <w:shd w:val="clear" w:color="auto" w:fill="auto"/>
            <w:vAlign w:val="bottom"/>
          </w:tcPr>
          <w:p w14:paraId="392C15D5" w14:textId="77777777" w:rsidR="00980E5F" w:rsidRDefault="00980E5F">
            <w:pPr>
              <w:rPr>
                <w:rFonts w:ascii="宋体"/>
                <w:vanish/>
              </w:rPr>
            </w:pPr>
          </w:p>
        </w:tc>
        <w:tc>
          <w:tcPr>
            <w:tcW w:w="0" w:type="auto"/>
            <w:gridSpan w:val="3"/>
            <w:shd w:val="clear" w:color="auto" w:fill="auto"/>
            <w:vAlign w:val="bottom"/>
          </w:tcPr>
          <w:p w14:paraId="392C15D6" w14:textId="77777777" w:rsidR="00980E5F" w:rsidRDefault="00980E5F">
            <w:pPr>
              <w:rPr>
                <w:rFonts w:ascii="宋体"/>
                <w:vanish/>
              </w:rPr>
            </w:pPr>
          </w:p>
        </w:tc>
        <w:tc>
          <w:tcPr>
            <w:tcW w:w="0" w:type="auto"/>
            <w:gridSpan w:val="3"/>
            <w:shd w:val="clear" w:color="auto" w:fill="auto"/>
            <w:vAlign w:val="bottom"/>
          </w:tcPr>
          <w:p w14:paraId="392C15D7" w14:textId="77777777" w:rsidR="00980E5F" w:rsidRDefault="00980E5F">
            <w:pPr>
              <w:rPr>
                <w:rFonts w:ascii="宋体"/>
                <w:vanish/>
              </w:rPr>
            </w:pPr>
          </w:p>
        </w:tc>
        <w:tc>
          <w:tcPr>
            <w:tcW w:w="0" w:type="auto"/>
            <w:gridSpan w:val="3"/>
            <w:shd w:val="clear" w:color="auto" w:fill="auto"/>
            <w:vAlign w:val="bottom"/>
          </w:tcPr>
          <w:p w14:paraId="392C15D8" w14:textId="77777777" w:rsidR="00980E5F" w:rsidRDefault="00980E5F">
            <w:pPr>
              <w:rPr>
                <w:rFonts w:ascii="宋体"/>
                <w:vanish/>
              </w:rPr>
            </w:pPr>
          </w:p>
        </w:tc>
      </w:tr>
      <w:tr w:rsidR="00980E5F" w14:paraId="392C15E4" w14:textId="77777777">
        <w:tc>
          <w:tcPr>
            <w:tcW w:w="0" w:type="auto"/>
            <w:gridSpan w:val="3"/>
            <w:shd w:val="clear" w:color="auto" w:fill="auto"/>
            <w:tcMar>
              <w:top w:w="40" w:type="dxa"/>
              <w:left w:w="20" w:type="dxa"/>
              <w:bottom w:w="40" w:type="dxa"/>
              <w:right w:w="20" w:type="dxa"/>
            </w:tcMar>
            <w:vAlign w:val="bottom"/>
          </w:tcPr>
          <w:p w14:paraId="392C15DA"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392C15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5DD" w14:textId="77777777" w:rsidR="00980E5F" w:rsidRDefault="00980E5F">
            <w:pPr>
              <w:rPr>
                <w:rFonts w:ascii="宋体"/>
              </w:rPr>
            </w:pPr>
          </w:p>
        </w:tc>
        <w:tc>
          <w:tcPr>
            <w:tcW w:w="0" w:type="auto"/>
            <w:gridSpan w:val="3"/>
            <w:shd w:val="clear" w:color="auto" w:fill="auto"/>
            <w:vAlign w:val="bottom"/>
          </w:tcPr>
          <w:p w14:paraId="392C15DE" w14:textId="77777777" w:rsidR="00980E5F" w:rsidRDefault="00980E5F">
            <w:pPr>
              <w:rPr>
                <w:rFonts w:ascii="宋体"/>
                <w:vanish/>
              </w:rPr>
            </w:pPr>
          </w:p>
        </w:tc>
        <w:tc>
          <w:tcPr>
            <w:tcW w:w="0" w:type="auto"/>
            <w:gridSpan w:val="3"/>
            <w:shd w:val="clear" w:color="auto" w:fill="auto"/>
            <w:vAlign w:val="bottom"/>
          </w:tcPr>
          <w:p w14:paraId="392C15DF" w14:textId="77777777" w:rsidR="00980E5F" w:rsidRDefault="00980E5F">
            <w:pPr>
              <w:rPr>
                <w:rFonts w:ascii="宋体"/>
                <w:vanish/>
              </w:rPr>
            </w:pPr>
          </w:p>
        </w:tc>
        <w:tc>
          <w:tcPr>
            <w:tcW w:w="0" w:type="auto"/>
            <w:gridSpan w:val="3"/>
            <w:shd w:val="clear" w:color="auto" w:fill="auto"/>
            <w:vAlign w:val="bottom"/>
          </w:tcPr>
          <w:p w14:paraId="392C15E0" w14:textId="77777777" w:rsidR="00980E5F" w:rsidRDefault="00980E5F">
            <w:pPr>
              <w:rPr>
                <w:rFonts w:ascii="宋体"/>
                <w:vanish/>
              </w:rPr>
            </w:pPr>
          </w:p>
        </w:tc>
        <w:tc>
          <w:tcPr>
            <w:tcW w:w="0" w:type="auto"/>
            <w:gridSpan w:val="3"/>
            <w:shd w:val="clear" w:color="auto" w:fill="auto"/>
            <w:vAlign w:val="bottom"/>
          </w:tcPr>
          <w:p w14:paraId="392C15E1" w14:textId="77777777" w:rsidR="00980E5F" w:rsidRDefault="00980E5F">
            <w:pPr>
              <w:rPr>
                <w:rFonts w:ascii="宋体"/>
                <w:vanish/>
              </w:rPr>
            </w:pPr>
          </w:p>
        </w:tc>
        <w:tc>
          <w:tcPr>
            <w:tcW w:w="0" w:type="auto"/>
            <w:gridSpan w:val="3"/>
            <w:shd w:val="clear" w:color="auto" w:fill="auto"/>
            <w:vAlign w:val="bottom"/>
          </w:tcPr>
          <w:p w14:paraId="392C15E2" w14:textId="77777777" w:rsidR="00980E5F" w:rsidRDefault="00980E5F">
            <w:pPr>
              <w:rPr>
                <w:rFonts w:ascii="宋体"/>
                <w:vanish/>
              </w:rPr>
            </w:pPr>
          </w:p>
        </w:tc>
        <w:tc>
          <w:tcPr>
            <w:tcW w:w="0" w:type="auto"/>
            <w:gridSpan w:val="3"/>
            <w:shd w:val="clear" w:color="auto" w:fill="auto"/>
            <w:vAlign w:val="bottom"/>
          </w:tcPr>
          <w:p w14:paraId="392C15E3" w14:textId="77777777" w:rsidR="00980E5F" w:rsidRDefault="00980E5F">
            <w:pPr>
              <w:rPr>
                <w:rFonts w:ascii="宋体"/>
                <w:vanish/>
              </w:rPr>
            </w:pPr>
          </w:p>
        </w:tc>
      </w:tr>
      <w:tr w:rsidR="00980E5F" w14:paraId="392C15F3" w14:textId="77777777">
        <w:tc>
          <w:tcPr>
            <w:tcW w:w="0" w:type="auto"/>
            <w:gridSpan w:val="3"/>
            <w:shd w:val="clear" w:color="auto" w:fill="CCEEFF"/>
            <w:tcMar>
              <w:top w:w="40" w:type="dxa"/>
              <w:left w:w="20" w:type="dxa"/>
              <w:bottom w:w="40" w:type="dxa"/>
              <w:right w:w="20" w:type="dxa"/>
            </w:tcMar>
            <w:vAlign w:val="bottom"/>
          </w:tcPr>
          <w:p w14:paraId="392C15E5" w14:textId="77777777" w:rsidR="00980E5F" w:rsidRDefault="00483613">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392C15E6"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5E7" w14:textId="77777777" w:rsidR="00980E5F" w:rsidRDefault="00483613">
            <w:pPr>
              <w:jc w:val="right"/>
              <w:textAlignment w:val="bottom"/>
            </w:pPr>
            <w:r>
              <w:rPr>
                <w:rFonts w:ascii="Arial" w:eastAsia="宋体" w:hAnsi="Arial" w:cs="Arial"/>
                <w:b/>
                <w:bCs/>
                <w:color w:val="000000"/>
                <w:sz w:val="14"/>
                <w:szCs w:val="14"/>
              </w:rPr>
              <w:t>12,363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5E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5E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5E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15EB" w14:textId="77777777" w:rsidR="00980E5F" w:rsidRDefault="00483613">
            <w:pPr>
              <w:jc w:val="right"/>
              <w:textAlignment w:val="bottom"/>
            </w:pPr>
            <w:r>
              <w:rPr>
                <w:rFonts w:ascii="Arial" w:eastAsia="宋体" w:hAnsi="Arial" w:cs="Arial"/>
                <w:color w:val="000000"/>
                <w:sz w:val="14"/>
                <w:szCs w:val="14"/>
              </w:rPr>
              <w:t>12,396 </w:t>
            </w:r>
          </w:p>
        </w:tc>
        <w:tc>
          <w:tcPr>
            <w:tcW w:w="0" w:type="auto"/>
            <w:shd w:val="clear" w:color="auto" w:fill="CCEEFF"/>
            <w:tcMar>
              <w:top w:w="40" w:type="dxa"/>
              <w:left w:w="0" w:type="dxa"/>
              <w:bottom w:w="40" w:type="dxa"/>
              <w:right w:w="20" w:type="dxa"/>
            </w:tcMar>
            <w:vAlign w:val="bottom"/>
          </w:tcPr>
          <w:p w14:paraId="392C15EC" w14:textId="77777777" w:rsidR="00980E5F" w:rsidRDefault="00980E5F">
            <w:pPr>
              <w:jc w:val="right"/>
              <w:rPr>
                <w:rFonts w:ascii="宋体"/>
              </w:rPr>
            </w:pPr>
          </w:p>
        </w:tc>
        <w:tc>
          <w:tcPr>
            <w:tcW w:w="0" w:type="auto"/>
            <w:gridSpan w:val="3"/>
            <w:shd w:val="clear" w:color="auto" w:fill="auto"/>
            <w:vAlign w:val="bottom"/>
          </w:tcPr>
          <w:p w14:paraId="392C15ED" w14:textId="77777777" w:rsidR="00980E5F" w:rsidRDefault="00980E5F">
            <w:pPr>
              <w:rPr>
                <w:rFonts w:ascii="宋体"/>
                <w:vanish/>
              </w:rPr>
            </w:pPr>
          </w:p>
        </w:tc>
        <w:tc>
          <w:tcPr>
            <w:tcW w:w="0" w:type="auto"/>
            <w:gridSpan w:val="3"/>
            <w:shd w:val="clear" w:color="auto" w:fill="auto"/>
            <w:vAlign w:val="bottom"/>
          </w:tcPr>
          <w:p w14:paraId="392C15EE" w14:textId="77777777" w:rsidR="00980E5F" w:rsidRDefault="00980E5F">
            <w:pPr>
              <w:rPr>
                <w:rFonts w:ascii="宋体"/>
                <w:vanish/>
              </w:rPr>
            </w:pPr>
          </w:p>
        </w:tc>
        <w:tc>
          <w:tcPr>
            <w:tcW w:w="0" w:type="auto"/>
            <w:gridSpan w:val="3"/>
            <w:shd w:val="clear" w:color="auto" w:fill="auto"/>
            <w:vAlign w:val="bottom"/>
          </w:tcPr>
          <w:p w14:paraId="392C15EF" w14:textId="77777777" w:rsidR="00980E5F" w:rsidRDefault="00980E5F">
            <w:pPr>
              <w:rPr>
                <w:rFonts w:ascii="宋体"/>
                <w:vanish/>
              </w:rPr>
            </w:pPr>
          </w:p>
        </w:tc>
        <w:tc>
          <w:tcPr>
            <w:tcW w:w="0" w:type="auto"/>
            <w:gridSpan w:val="3"/>
            <w:shd w:val="clear" w:color="auto" w:fill="auto"/>
            <w:vAlign w:val="bottom"/>
          </w:tcPr>
          <w:p w14:paraId="392C15F0" w14:textId="77777777" w:rsidR="00980E5F" w:rsidRDefault="00980E5F">
            <w:pPr>
              <w:rPr>
                <w:rFonts w:ascii="宋体"/>
                <w:vanish/>
              </w:rPr>
            </w:pPr>
          </w:p>
        </w:tc>
        <w:tc>
          <w:tcPr>
            <w:tcW w:w="0" w:type="auto"/>
            <w:gridSpan w:val="3"/>
            <w:shd w:val="clear" w:color="auto" w:fill="auto"/>
            <w:vAlign w:val="bottom"/>
          </w:tcPr>
          <w:p w14:paraId="392C15F1" w14:textId="77777777" w:rsidR="00980E5F" w:rsidRDefault="00980E5F">
            <w:pPr>
              <w:rPr>
                <w:rFonts w:ascii="宋体"/>
                <w:vanish/>
              </w:rPr>
            </w:pPr>
          </w:p>
        </w:tc>
        <w:tc>
          <w:tcPr>
            <w:tcW w:w="0" w:type="auto"/>
            <w:gridSpan w:val="3"/>
            <w:shd w:val="clear" w:color="auto" w:fill="auto"/>
            <w:vAlign w:val="bottom"/>
          </w:tcPr>
          <w:p w14:paraId="392C15F2" w14:textId="77777777" w:rsidR="00980E5F" w:rsidRDefault="00980E5F">
            <w:pPr>
              <w:rPr>
                <w:rFonts w:ascii="宋体"/>
                <w:vanish/>
              </w:rPr>
            </w:pPr>
          </w:p>
        </w:tc>
      </w:tr>
      <w:tr w:rsidR="00980E5F" w14:paraId="392C1600" w14:textId="77777777">
        <w:tc>
          <w:tcPr>
            <w:tcW w:w="0" w:type="auto"/>
            <w:gridSpan w:val="3"/>
            <w:shd w:val="clear" w:color="auto" w:fill="FFFFFF"/>
            <w:tcMar>
              <w:top w:w="40" w:type="dxa"/>
              <w:left w:w="245" w:type="dxa"/>
              <w:bottom w:w="40" w:type="dxa"/>
              <w:right w:w="20" w:type="dxa"/>
            </w:tcMar>
            <w:vAlign w:val="bottom"/>
          </w:tcPr>
          <w:p w14:paraId="392C15F4" w14:textId="77777777" w:rsidR="00980E5F" w:rsidRDefault="00483613">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392C15F5" w14:textId="77777777" w:rsidR="00980E5F" w:rsidRDefault="00483613">
            <w:pPr>
              <w:jc w:val="right"/>
              <w:textAlignment w:val="bottom"/>
            </w:pPr>
            <w:r>
              <w:rPr>
                <w:rFonts w:ascii="Arial" w:eastAsia="宋体" w:hAnsi="Arial" w:cs="Arial"/>
                <w:b/>
                <w:bCs/>
                <w:color w:val="000000"/>
                <w:sz w:val="14"/>
                <w:szCs w:val="14"/>
              </w:rPr>
              <w:t>2,468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5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5F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5F8" w14:textId="77777777" w:rsidR="00980E5F" w:rsidRDefault="00483613">
            <w:pPr>
              <w:jc w:val="right"/>
              <w:textAlignment w:val="bottom"/>
            </w:pPr>
            <w:r>
              <w:rPr>
                <w:rFonts w:ascii="Arial" w:eastAsia="宋体" w:hAnsi="Arial" w:cs="Arial"/>
                <w:color w:val="000000"/>
                <w:sz w:val="14"/>
                <w:szCs w:val="14"/>
              </w:rPr>
              <w:t>3,106 </w:t>
            </w:r>
          </w:p>
        </w:tc>
        <w:tc>
          <w:tcPr>
            <w:tcW w:w="0" w:type="auto"/>
            <w:shd w:val="clear" w:color="auto" w:fill="FFFFFF"/>
            <w:tcMar>
              <w:top w:w="40" w:type="dxa"/>
              <w:left w:w="0" w:type="dxa"/>
              <w:bottom w:w="40" w:type="dxa"/>
              <w:right w:w="20" w:type="dxa"/>
            </w:tcMar>
            <w:vAlign w:val="bottom"/>
          </w:tcPr>
          <w:p w14:paraId="392C15F9" w14:textId="77777777" w:rsidR="00980E5F" w:rsidRDefault="00980E5F">
            <w:pPr>
              <w:jc w:val="right"/>
              <w:rPr>
                <w:rFonts w:ascii="宋体"/>
              </w:rPr>
            </w:pPr>
          </w:p>
        </w:tc>
        <w:tc>
          <w:tcPr>
            <w:tcW w:w="0" w:type="auto"/>
            <w:gridSpan w:val="3"/>
            <w:shd w:val="clear" w:color="auto" w:fill="auto"/>
            <w:vAlign w:val="bottom"/>
          </w:tcPr>
          <w:p w14:paraId="392C15FA" w14:textId="77777777" w:rsidR="00980E5F" w:rsidRDefault="00980E5F">
            <w:pPr>
              <w:rPr>
                <w:rFonts w:ascii="宋体"/>
                <w:vanish/>
              </w:rPr>
            </w:pPr>
          </w:p>
        </w:tc>
        <w:tc>
          <w:tcPr>
            <w:tcW w:w="0" w:type="auto"/>
            <w:gridSpan w:val="3"/>
            <w:shd w:val="clear" w:color="auto" w:fill="auto"/>
            <w:vAlign w:val="bottom"/>
          </w:tcPr>
          <w:p w14:paraId="392C15FB" w14:textId="77777777" w:rsidR="00980E5F" w:rsidRDefault="00980E5F">
            <w:pPr>
              <w:rPr>
                <w:rFonts w:ascii="宋体"/>
                <w:vanish/>
              </w:rPr>
            </w:pPr>
          </w:p>
        </w:tc>
        <w:tc>
          <w:tcPr>
            <w:tcW w:w="0" w:type="auto"/>
            <w:gridSpan w:val="3"/>
            <w:shd w:val="clear" w:color="auto" w:fill="auto"/>
            <w:vAlign w:val="bottom"/>
          </w:tcPr>
          <w:p w14:paraId="392C15FC" w14:textId="77777777" w:rsidR="00980E5F" w:rsidRDefault="00980E5F">
            <w:pPr>
              <w:rPr>
                <w:rFonts w:ascii="宋体"/>
                <w:vanish/>
              </w:rPr>
            </w:pPr>
          </w:p>
        </w:tc>
        <w:tc>
          <w:tcPr>
            <w:tcW w:w="0" w:type="auto"/>
            <w:gridSpan w:val="3"/>
            <w:shd w:val="clear" w:color="auto" w:fill="auto"/>
            <w:vAlign w:val="bottom"/>
          </w:tcPr>
          <w:p w14:paraId="392C15FD" w14:textId="77777777" w:rsidR="00980E5F" w:rsidRDefault="00980E5F">
            <w:pPr>
              <w:rPr>
                <w:rFonts w:ascii="宋体"/>
                <w:vanish/>
              </w:rPr>
            </w:pPr>
          </w:p>
        </w:tc>
        <w:tc>
          <w:tcPr>
            <w:tcW w:w="0" w:type="auto"/>
            <w:gridSpan w:val="3"/>
            <w:shd w:val="clear" w:color="auto" w:fill="auto"/>
            <w:vAlign w:val="bottom"/>
          </w:tcPr>
          <w:p w14:paraId="392C15FE" w14:textId="77777777" w:rsidR="00980E5F" w:rsidRDefault="00980E5F">
            <w:pPr>
              <w:rPr>
                <w:rFonts w:ascii="宋体"/>
                <w:vanish/>
              </w:rPr>
            </w:pPr>
          </w:p>
        </w:tc>
        <w:tc>
          <w:tcPr>
            <w:tcW w:w="0" w:type="auto"/>
            <w:gridSpan w:val="3"/>
            <w:shd w:val="clear" w:color="auto" w:fill="auto"/>
            <w:vAlign w:val="bottom"/>
          </w:tcPr>
          <w:p w14:paraId="392C15FF" w14:textId="77777777" w:rsidR="00980E5F" w:rsidRDefault="00980E5F">
            <w:pPr>
              <w:rPr>
                <w:rFonts w:ascii="宋体"/>
                <w:vanish/>
              </w:rPr>
            </w:pPr>
          </w:p>
        </w:tc>
      </w:tr>
      <w:tr w:rsidR="00980E5F" w14:paraId="392C160B" w14:textId="77777777">
        <w:trPr>
          <w:hidden/>
        </w:trPr>
        <w:tc>
          <w:tcPr>
            <w:tcW w:w="0" w:type="auto"/>
            <w:gridSpan w:val="3"/>
            <w:shd w:val="clear" w:color="auto" w:fill="auto"/>
            <w:vAlign w:val="bottom"/>
          </w:tcPr>
          <w:p w14:paraId="392C1601" w14:textId="77777777" w:rsidR="00980E5F" w:rsidRDefault="00980E5F">
            <w:pPr>
              <w:rPr>
                <w:rFonts w:ascii="宋体"/>
                <w:vanish/>
              </w:rPr>
            </w:pPr>
          </w:p>
        </w:tc>
        <w:tc>
          <w:tcPr>
            <w:tcW w:w="0" w:type="auto"/>
            <w:gridSpan w:val="3"/>
            <w:shd w:val="clear" w:color="auto" w:fill="auto"/>
            <w:vAlign w:val="bottom"/>
          </w:tcPr>
          <w:p w14:paraId="392C1602" w14:textId="77777777" w:rsidR="00980E5F" w:rsidRDefault="00980E5F">
            <w:pPr>
              <w:rPr>
                <w:rFonts w:ascii="宋体"/>
                <w:vanish/>
              </w:rPr>
            </w:pPr>
          </w:p>
        </w:tc>
        <w:tc>
          <w:tcPr>
            <w:tcW w:w="0" w:type="auto"/>
            <w:gridSpan w:val="3"/>
            <w:shd w:val="clear" w:color="auto" w:fill="auto"/>
            <w:vAlign w:val="bottom"/>
          </w:tcPr>
          <w:p w14:paraId="392C1603" w14:textId="77777777" w:rsidR="00980E5F" w:rsidRDefault="00980E5F">
            <w:pPr>
              <w:rPr>
                <w:rFonts w:ascii="宋体"/>
                <w:vanish/>
              </w:rPr>
            </w:pPr>
          </w:p>
        </w:tc>
        <w:tc>
          <w:tcPr>
            <w:tcW w:w="0" w:type="auto"/>
            <w:gridSpan w:val="3"/>
            <w:shd w:val="clear" w:color="auto" w:fill="auto"/>
            <w:vAlign w:val="bottom"/>
          </w:tcPr>
          <w:p w14:paraId="392C1604" w14:textId="77777777" w:rsidR="00980E5F" w:rsidRDefault="00980E5F">
            <w:pPr>
              <w:rPr>
                <w:rFonts w:ascii="宋体"/>
                <w:vanish/>
              </w:rPr>
            </w:pPr>
          </w:p>
        </w:tc>
        <w:tc>
          <w:tcPr>
            <w:tcW w:w="0" w:type="auto"/>
            <w:gridSpan w:val="3"/>
            <w:shd w:val="clear" w:color="auto" w:fill="auto"/>
            <w:vAlign w:val="bottom"/>
          </w:tcPr>
          <w:p w14:paraId="392C1605" w14:textId="77777777" w:rsidR="00980E5F" w:rsidRDefault="00980E5F">
            <w:pPr>
              <w:rPr>
                <w:rFonts w:ascii="宋体"/>
                <w:vanish/>
              </w:rPr>
            </w:pPr>
          </w:p>
        </w:tc>
        <w:tc>
          <w:tcPr>
            <w:tcW w:w="0" w:type="auto"/>
            <w:gridSpan w:val="3"/>
            <w:shd w:val="clear" w:color="auto" w:fill="auto"/>
            <w:vAlign w:val="bottom"/>
          </w:tcPr>
          <w:p w14:paraId="392C1606" w14:textId="77777777" w:rsidR="00980E5F" w:rsidRDefault="00980E5F">
            <w:pPr>
              <w:rPr>
                <w:rFonts w:ascii="宋体"/>
                <w:vanish/>
              </w:rPr>
            </w:pPr>
          </w:p>
        </w:tc>
        <w:tc>
          <w:tcPr>
            <w:tcW w:w="0" w:type="auto"/>
            <w:gridSpan w:val="3"/>
            <w:shd w:val="clear" w:color="auto" w:fill="auto"/>
            <w:vAlign w:val="bottom"/>
          </w:tcPr>
          <w:p w14:paraId="392C1607" w14:textId="77777777" w:rsidR="00980E5F" w:rsidRDefault="00980E5F">
            <w:pPr>
              <w:rPr>
                <w:rFonts w:ascii="宋体"/>
                <w:vanish/>
              </w:rPr>
            </w:pPr>
          </w:p>
        </w:tc>
        <w:tc>
          <w:tcPr>
            <w:tcW w:w="0" w:type="auto"/>
            <w:gridSpan w:val="3"/>
            <w:shd w:val="clear" w:color="auto" w:fill="auto"/>
            <w:vAlign w:val="bottom"/>
          </w:tcPr>
          <w:p w14:paraId="392C1608" w14:textId="77777777" w:rsidR="00980E5F" w:rsidRDefault="00980E5F">
            <w:pPr>
              <w:rPr>
                <w:rFonts w:ascii="宋体"/>
                <w:vanish/>
              </w:rPr>
            </w:pPr>
          </w:p>
        </w:tc>
        <w:tc>
          <w:tcPr>
            <w:tcW w:w="0" w:type="auto"/>
            <w:gridSpan w:val="3"/>
            <w:shd w:val="clear" w:color="auto" w:fill="auto"/>
            <w:vAlign w:val="bottom"/>
          </w:tcPr>
          <w:p w14:paraId="392C1609" w14:textId="77777777" w:rsidR="00980E5F" w:rsidRDefault="00980E5F">
            <w:pPr>
              <w:rPr>
                <w:rFonts w:ascii="宋体"/>
                <w:vanish/>
              </w:rPr>
            </w:pPr>
          </w:p>
        </w:tc>
        <w:tc>
          <w:tcPr>
            <w:tcW w:w="0" w:type="auto"/>
            <w:gridSpan w:val="3"/>
            <w:shd w:val="clear" w:color="auto" w:fill="auto"/>
            <w:vAlign w:val="bottom"/>
          </w:tcPr>
          <w:p w14:paraId="392C160A" w14:textId="77777777" w:rsidR="00980E5F" w:rsidRDefault="00980E5F">
            <w:pPr>
              <w:rPr>
                <w:rFonts w:ascii="宋体"/>
                <w:vanish/>
              </w:rPr>
            </w:pPr>
          </w:p>
        </w:tc>
      </w:tr>
      <w:tr w:rsidR="00980E5F" w14:paraId="392C1618" w14:textId="77777777">
        <w:tc>
          <w:tcPr>
            <w:tcW w:w="0" w:type="auto"/>
            <w:gridSpan w:val="3"/>
            <w:shd w:val="clear" w:color="auto" w:fill="CCEEFF"/>
            <w:tcMar>
              <w:top w:w="40" w:type="dxa"/>
              <w:left w:w="245" w:type="dxa"/>
              <w:bottom w:w="40" w:type="dxa"/>
              <w:right w:w="20" w:type="dxa"/>
            </w:tcMar>
            <w:vAlign w:val="bottom"/>
          </w:tcPr>
          <w:p w14:paraId="392C160C" w14:textId="77777777" w:rsidR="00980E5F" w:rsidRDefault="00483613">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392C160D" w14:textId="77777777" w:rsidR="00980E5F" w:rsidRDefault="00483613">
            <w:pPr>
              <w:jc w:val="right"/>
              <w:textAlignment w:val="bottom"/>
            </w:pPr>
            <w:r>
              <w:rPr>
                <w:rFonts w:ascii="Arial" w:eastAsia="宋体" w:hAnsi="Arial" w:cs="Arial"/>
                <w:b/>
                <w:bCs/>
                <w:color w:val="000000"/>
                <w:sz w:val="14"/>
                <w:szCs w:val="14"/>
              </w:rPr>
              <w:t>2,220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6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0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610" w14:textId="77777777" w:rsidR="00980E5F" w:rsidRDefault="00483613">
            <w:pPr>
              <w:jc w:val="right"/>
              <w:textAlignment w:val="bottom"/>
            </w:pPr>
            <w:r>
              <w:rPr>
                <w:rFonts w:ascii="Arial" w:eastAsia="宋体" w:hAnsi="Arial" w:cs="Arial"/>
                <w:color w:val="000000"/>
                <w:sz w:val="14"/>
                <w:szCs w:val="14"/>
              </w:rPr>
              <w:t>1,796 </w:t>
            </w:r>
          </w:p>
        </w:tc>
        <w:tc>
          <w:tcPr>
            <w:tcW w:w="0" w:type="auto"/>
            <w:shd w:val="clear" w:color="auto" w:fill="CCEEFF"/>
            <w:tcMar>
              <w:top w:w="40" w:type="dxa"/>
              <w:left w:w="0" w:type="dxa"/>
              <w:bottom w:w="40" w:type="dxa"/>
              <w:right w:w="20" w:type="dxa"/>
            </w:tcMar>
            <w:vAlign w:val="bottom"/>
          </w:tcPr>
          <w:p w14:paraId="392C1611" w14:textId="77777777" w:rsidR="00980E5F" w:rsidRDefault="00980E5F">
            <w:pPr>
              <w:jc w:val="right"/>
              <w:rPr>
                <w:rFonts w:ascii="宋体"/>
              </w:rPr>
            </w:pPr>
          </w:p>
        </w:tc>
        <w:tc>
          <w:tcPr>
            <w:tcW w:w="0" w:type="auto"/>
            <w:gridSpan w:val="3"/>
            <w:shd w:val="clear" w:color="auto" w:fill="auto"/>
            <w:vAlign w:val="bottom"/>
          </w:tcPr>
          <w:p w14:paraId="392C1612" w14:textId="77777777" w:rsidR="00980E5F" w:rsidRDefault="00980E5F">
            <w:pPr>
              <w:rPr>
                <w:rFonts w:ascii="宋体"/>
                <w:vanish/>
              </w:rPr>
            </w:pPr>
          </w:p>
        </w:tc>
        <w:tc>
          <w:tcPr>
            <w:tcW w:w="0" w:type="auto"/>
            <w:gridSpan w:val="3"/>
            <w:shd w:val="clear" w:color="auto" w:fill="auto"/>
            <w:vAlign w:val="bottom"/>
          </w:tcPr>
          <w:p w14:paraId="392C1613" w14:textId="77777777" w:rsidR="00980E5F" w:rsidRDefault="00980E5F">
            <w:pPr>
              <w:rPr>
                <w:rFonts w:ascii="宋体"/>
                <w:vanish/>
              </w:rPr>
            </w:pPr>
          </w:p>
        </w:tc>
        <w:tc>
          <w:tcPr>
            <w:tcW w:w="0" w:type="auto"/>
            <w:gridSpan w:val="3"/>
            <w:shd w:val="clear" w:color="auto" w:fill="auto"/>
            <w:vAlign w:val="bottom"/>
          </w:tcPr>
          <w:p w14:paraId="392C1614" w14:textId="77777777" w:rsidR="00980E5F" w:rsidRDefault="00980E5F">
            <w:pPr>
              <w:rPr>
                <w:rFonts w:ascii="宋体"/>
                <w:vanish/>
              </w:rPr>
            </w:pPr>
          </w:p>
        </w:tc>
        <w:tc>
          <w:tcPr>
            <w:tcW w:w="0" w:type="auto"/>
            <w:gridSpan w:val="3"/>
            <w:shd w:val="clear" w:color="auto" w:fill="auto"/>
            <w:vAlign w:val="bottom"/>
          </w:tcPr>
          <w:p w14:paraId="392C1615" w14:textId="77777777" w:rsidR="00980E5F" w:rsidRDefault="00980E5F">
            <w:pPr>
              <w:rPr>
                <w:rFonts w:ascii="宋体"/>
                <w:vanish/>
              </w:rPr>
            </w:pPr>
          </w:p>
        </w:tc>
        <w:tc>
          <w:tcPr>
            <w:tcW w:w="0" w:type="auto"/>
            <w:gridSpan w:val="3"/>
            <w:shd w:val="clear" w:color="auto" w:fill="auto"/>
            <w:vAlign w:val="bottom"/>
          </w:tcPr>
          <w:p w14:paraId="392C1616" w14:textId="77777777" w:rsidR="00980E5F" w:rsidRDefault="00980E5F">
            <w:pPr>
              <w:rPr>
                <w:rFonts w:ascii="宋体"/>
                <w:vanish/>
              </w:rPr>
            </w:pPr>
          </w:p>
        </w:tc>
        <w:tc>
          <w:tcPr>
            <w:tcW w:w="0" w:type="auto"/>
            <w:gridSpan w:val="3"/>
            <w:shd w:val="clear" w:color="auto" w:fill="auto"/>
            <w:vAlign w:val="bottom"/>
          </w:tcPr>
          <w:p w14:paraId="392C1617" w14:textId="77777777" w:rsidR="00980E5F" w:rsidRDefault="00980E5F">
            <w:pPr>
              <w:rPr>
                <w:rFonts w:ascii="宋体"/>
                <w:vanish/>
              </w:rPr>
            </w:pPr>
          </w:p>
        </w:tc>
      </w:tr>
      <w:tr w:rsidR="00980E5F" w14:paraId="392C1625" w14:textId="77777777">
        <w:tc>
          <w:tcPr>
            <w:tcW w:w="0" w:type="auto"/>
            <w:gridSpan w:val="3"/>
            <w:shd w:val="clear" w:color="auto" w:fill="FFFFFF"/>
            <w:tcMar>
              <w:top w:w="40" w:type="dxa"/>
              <w:left w:w="20" w:type="dxa"/>
              <w:bottom w:w="40" w:type="dxa"/>
              <w:right w:w="20" w:type="dxa"/>
            </w:tcMar>
            <w:vAlign w:val="bottom"/>
          </w:tcPr>
          <w:p w14:paraId="392C1619"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92C161A" w14:textId="77777777" w:rsidR="00980E5F" w:rsidRDefault="00483613">
            <w:pPr>
              <w:jc w:val="right"/>
              <w:textAlignment w:val="bottom"/>
            </w:pPr>
            <w:r>
              <w:rPr>
                <w:rFonts w:ascii="Arial" w:eastAsia="宋体" w:hAnsi="Arial" w:cs="Arial"/>
                <w:b/>
                <w:bCs/>
                <w:color w:val="000000"/>
                <w:sz w:val="14"/>
                <w:szCs w:val="14"/>
              </w:rPr>
              <w:t>1,968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6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61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61D" w14:textId="77777777" w:rsidR="00980E5F" w:rsidRDefault="00483613">
            <w:pPr>
              <w:jc w:val="right"/>
              <w:textAlignment w:val="bottom"/>
            </w:pPr>
            <w:r>
              <w:rPr>
                <w:rFonts w:ascii="Arial" w:eastAsia="宋体" w:hAnsi="Arial" w:cs="Arial"/>
                <w:color w:val="000000"/>
                <w:sz w:val="14"/>
                <w:szCs w:val="14"/>
              </w:rPr>
              <w:t>2,262 </w:t>
            </w:r>
          </w:p>
        </w:tc>
        <w:tc>
          <w:tcPr>
            <w:tcW w:w="0" w:type="auto"/>
            <w:shd w:val="clear" w:color="auto" w:fill="FFFFFF"/>
            <w:tcMar>
              <w:top w:w="40" w:type="dxa"/>
              <w:left w:w="0" w:type="dxa"/>
              <w:bottom w:w="40" w:type="dxa"/>
              <w:right w:w="20" w:type="dxa"/>
            </w:tcMar>
            <w:vAlign w:val="bottom"/>
          </w:tcPr>
          <w:p w14:paraId="392C161E" w14:textId="77777777" w:rsidR="00980E5F" w:rsidRDefault="00980E5F">
            <w:pPr>
              <w:jc w:val="right"/>
              <w:rPr>
                <w:rFonts w:ascii="宋体"/>
              </w:rPr>
            </w:pPr>
          </w:p>
        </w:tc>
        <w:tc>
          <w:tcPr>
            <w:tcW w:w="0" w:type="auto"/>
            <w:gridSpan w:val="3"/>
            <w:shd w:val="clear" w:color="auto" w:fill="auto"/>
            <w:vAlign w:val="bottom"/>
          </w:tcPr>
          <w:p w14:paraId="392C161F" w14:textId="77777777" w:rsidR="00980E5F" w:rsidRDefault="00980E5F">
            <w:pPr>
              <w:rPr>
                <w:rFonts w:ascii="宋体"/>
                <w:vanish/>
              </w:rPr>
            </w:pPr>
          </w:p>
        </w:tc>
        <w:tc>
          <w:tcPr>
            <w:tcW w:w="0" w:type="auto"/>
            <w:gridSpan w:val="3"/>
            <w:shd w:val="clear" w:color="auto" w:fill="auto"/>
            <w:vAlign w:val="bottom"/>
          </w:tcPr>
          <w:p w14:paraId="392C1620" w14:textId="77777777" w:rsidR="00980E5F" w:rsidRDefault="00980E5F">
            <w:pPr>
              <w:rPr>
                <w:rFonts w:ascii="宋体"/>
                <w:vanish/>
              </w:rPr>
            </w:pPr>
          </w:p>
        </w:tc>
        <w:tc>
          <w:tcPr>
            <w:tcW w:w="0" w:type="auto"/>
            <w:gridSpan w:val="3"/>
            <w:shd w:val="clear" w:color="auto" w:fill="auto"/>
            <w:vAlign w:val="bottom"/>
          </w:tcPr>
          <w:p w14:paraId="392C1621" w14:textId="77777777" w:rsidR="00980E5F" w:rsidRDefault="00980E5F">
            <w:pPr>
              <w:rPr>
                <w:rFonts w:ascii="宋体"/>
                <w:vanish/>
              </w:rPr>
            </w:pPr>
          </w:p>
        </w:tc>
        <w:tc>
          <w:tcPr>
            <w:tcW w:w="0" w:type="auto"/>
            <w:gridSpan w:val="3"/>
            <w:shd w:val="clear" w:color="auto" w:fill="auto"/>
            <w:vAlign w:val="bottom"/>
          </w:tcPr>
          <w:p w14:paraId="392C1622" w14:textId="77777777" w:rsidR="00980E5F" w:rsidRDefault="00980E5F">
            <w:pPr>
              <w:rPr>
                <w:rFonts w:ascii="宋体"/>
                <w:vanish/>
              </w:rPr>
            </w:pPr>
          </w:p>
        </w:tc>
        <w:tc>
          <w:tcPr>
            <w:tcW w:w="0" w:type="auto"/>
            <w:gridSpan w:val="3"/>
            <w:shd w:val="clear" w:color="auto" w:fill="auto"/>
            <w:vAlign w:val="bottom"/>
          </w:tcPr>
          <w:p w14:paraId="392C1623" w14:textId="77777777" w:rsidR="00980E5F" w:rsidRDefault="00980E5F">
            <w:pPr>
              <w:rPr>
                <w:rFonts w:ascii="宋体"/>
                <w:vanish/>
              </w:rPr>
            </w:pPr>
          </w:p>
        </w:tc>
        <w:tc>
          <w:tcPr>
            <w:tcW w:w="0" w:type="auto"/>
            <w:gridSpan w:val="3"/>
            <w:shd w:val="clear" w:color="auto" w:fill="auto"/>
            <w:vAlign w:val="bottom"/>
          </w:tcPr>
          <w:p w14:paraId="392C1624" w14:textId="77777777" w:rsidR="00980E5F" w:rsidRDefault="00980E5F">
            <w:pPr>
              <w:rPr>
                <w:rFonts w:ascii="宋体"/>
                <w:vanish/>
              </w:rPr>
            </w:pPr>
          </w:p>
        </w:tc>
      </w:tr>
      <w:tr w:rsidR="00980E5F" w14:paraId="392C1632" w14:textId="77777777">
        <w:tc>
          <w:tcPr>
            <w:tcW w:w="0" w:type="auto"/>
            <w:gridSpan w:val="3"/>
            <w:shd w:val="clear" w:color="auto" w:fill="CCEEFF"/>
            <w:tcMar>
              <w:top w:w="40" w:type="dxa"/>
              <w:left w:w="155" w:type="dxa"/>
              <w:bottom w:w="40" w:type="dxa"/>
              <w:right w:w="20" w:type="dxa"/>
            </w:tcMar>
            <w:vAlign w:val="bottom"/>
          </w:tcPr>
          <w:p w14:paraId="392C1626" w14:textId="77777777" w:rsidR="00980E5F" w:rsidRDefault="00483613">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392C1627" w14:textId="77777777" w:rsidR="00980E5F" w:rsidRDefault="00483613">
            <w:pPr>
              <w:jc w:val="right"/>
              <w:textAlignment w:val="bottom"/>
            </w:pPr>
            <w:r>
              <w:rPr>
                <w:rFonts w:ascii="Arial" w:eastAsia="宋体" w:hAnsi="Arial" w:cs="Arial"/>
                <w:b/>
                <w:bCs/>
                <w:color w:val="000000"/>
                <w:sz w:val="14"/>
                <w:szCs w:val="14"/>
              </w:rPr>
              <w:t>2,682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6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62A" w14:textId="77777777" w:rsidR="00980E5F" w:rsidRDefault="00483613">
            <w:pPr>
              <w:jc w:val="right"/>
              <w:textAlignment w:val="bottom"/>
            </w:pPr>
            <w:r>
              <w:rPr>
                <w:rFonts w:ascii="Arial" w:eastAsia="宋体" w:hAnsi="Arial" w:cs="Arial"/>
                <w:color w:val="000000"/>
                <w:sz w:val="14"/>
                <w:szCs w:val="14"/>
              </w:rPr>
              <w:t>2,554 </w:t>
            </w:r>
          </w:p>
        </w:tc>
        <w:tc>
          <w:tcPr>
            <w:tcW w:w="0" w:type="auto"/>
            <w:shd w:val="clear" w:color="auto" w:fill="CCEEFF"/>
            <w:tcMar>
              <w:top w:w="40" w:type="dxa"/>
              <w:left w:w="0" w:type="dxa"/>
              <w:bottom w:w="40" w:type="dxa"/>
              <w:right w:w="20" w:type="dxa"/>
            </w:tcMar>
            <w:vAlign w:val="bottom"/>
          </w:tcPr>
          <w:p w14:paraId="392C162B" w14:textId="77777777" w:rsidR="00980E5F" w:rsidRDefault="00980E5F">
            <w:pPr>
              <w:jc w:val="right"/>
              <w:rPr>
                <w:rFonts w:ascii="宋体"/>
              </w:rPr>
            </w:pPr>
          </w:p>
        </w:tc>
        <w:tc>
          <w:tcPr>
            <w:tcW w:w="0" w:type="auto"/>
            <w:gridSpan w:val="3"/>
            <w:shd w:val="clear" w:color="auto" w:fill="auto"/>
            <w:vAlign w:val="bottom"/>
          </w:tcPr>
          <w:p w14:paraId="392C162C" w14:textId="77777777" w:rsidR="00980E5F" w:rsidRDefault="00980E5F">
            <w:pPr>
              <w:rPr>
                <w:rFonts w:ascii="宋体"/>
                <w:vanish/>
              </w:rPr>
            </w:pPr>
          </w:p>
        </w:tc>
        <w:tc>
          <w:tcPr>
            <w:tcW w:w="0" w:type="auto"/>
            <w:gridSpan w:val="3"/>
            <w:shd w:val="clear" w:color="auto" w:fill="auto"/>
            <w:vAlign w:val="bottom"/>
          </w:tcPr>
          <w:p w14:paraId="392C162D" w14:textId="77777777" w:rsidR="00980E5F" w:rsidRDefault="00980E5F">
            <w:pPr>
              <w:rPr>
                <w:rFonts w:ascii="宋体"/>
                <w:vanish/>
              </w:rPr>
            </w:pPr>
          </w:p>
        </w:tc>
        <w:tc>
          <w:tcPr>
            <w:tcW w:w="0" w:type="auto"/>
            <w:gridSpan w:val="3"/>
            <w:shd w:val="clear" w:color="auto" w:fill="auto"/>
            <w:vAlign w:val="bottom"/>
          </w:tcPr>
          <w:p w14:paraId="392C162E" w14:textId="77777777" w:rsidR="00980E5F" w:rsidRDefault="00980E5F">
            <w:pPr>
              <w:rPr>
                <w:rFonts w:ascii="宋体"/>
                <w:vanish/>
              </w:rPr>
            </w:pPr>
          </w:p>
        </w:tc>
        <w:tc>
          <w:tcPr>
            <w:tcW w:w="0" w:type="auto"/>
            <w:gridSpan w:val="3"/>
            <w:shd w:val="clear" w:color="auto" w:fill="auto"/>
            <w:vAlign w:val="bottom"/>
          </w:tcPr>
          <w:p w14:paraId="392C162F" w14:textId="77777777" w:rsidR="00980E5F" w:rsidRDefault="00980E5F">
            <w:pPr>
              <w:rPr>
                <w:rFonts w:ascii="宋体"/>
                <w:vanish/>
              </w:rPr>
            </w:pPr>
          </w:p>
        </w:tc>
        <w:tc>
          <w:tcPr>
            <w:tcW w:w="0" w:type="auto"/>
            <w:gridSpan w:val="3"/>
            <w:shd w:val="clear" w:color="auto" w:fill="auto"/>
            <w:vAlign w:val="bottom"/>
          </w:tcPr>
          <w:p w14:paraId="392C1630" w14:textId="77777777" w:rsidR="00980E5F" w:rsidRDefault="00980E5F">
            <w:pPr>
              <w:rPr>
                <w:rFonts w:ascii="宋体"/>
                <w:vanish/>
              </w:rPr>
            </w:pPr>
          </w:p>
        </w:tc>
        <w:tc>
          <w:tcPr>
            <w:tcW w:w="0" w:type="auto"/>
            <w:gridSpan w:val="3"/>
            <w:shd w:val="clear" w:color="auto" w:fill="auto"/>
            <w:vAlign w:val="bottom"/>
          </w:tcPr>
          <w:p w14:paraId="392C1631" w14:textId="77777777" w:rsidR="00980E5F" w:rsidRDefault="00980E5F">
            <w:pPr>
              <w:rPr>
                <w:rFonts w:ascii="宋体"/>
                <w:vanish/>
              </w:rPr>
            </w:pPr>
          </w:p>
        </w:tc>
      </w:tr>
      <w:tr w:rsidR="00980E5F" w14:paraId="392C163D" w14:textId="77777777">
        <w:trPr>
          <w:hidden/>
        </w:trPr>
        <w:tc>
          <w:tcPr>
            <w:tcW w:w="0" w:type="auto"/>
            <w:gridSpan w:val="3"/>
            <w:shd w:val="clear" w:color="auto" w:fill="auto"/>
            <w:vAlign w:val="bottom"/>
          </w:tcPr>
          <w:p w14:paraId="392C1633" w14:textId="77777777" w:rsidR="00980E5F" w:rsidRDefault="00980E5F">
            <w:pPr>
              <w:rPr>
                <w:rFonts w:ascii="宋体"/>
                <w:vanish/>
              </w:rPr>
            </w:pPr>
          </w:p>
        </w:tc>
        <w:tc>
          <w:tcPr>
            <w:tcW w:w="0" w:type="auto"/>
            <w:gridSpan w:val="3"/>
            <w:shd w:val="clear" w:color="auto" w:fill="auto"/>
            <w:vAlign w:val="bottom"/>
          </w:tcPr>
          <w:p w14:paraId="392C1634" w14:textId="77777777" w:rsidR="00980E5F" w:rsidRDefault="00980E5F">
            <w:pPr>
              <w:rPr>
                <w:rFonts w:ascii="宋体"/>
                <w:vanish/>
              </w:rPr>
            </w:pPr>
          </w:p>
        </w:tc>
        <w:tc>
          <w:tcPr>
            <w:tcW w:w="0" w:type="auto"/>
            <w:gridSpan w:val="3"/>
            <w:shd w:val="clear" w:color="auto" w:fill="auto"/>
            <w:vAlign w:val="bottom"/>
          </w:tcPr>
          <w:p w14:paraId="392C1635" w14:textId="77777777" w:rsidR="00980E5F" w:rsidRDefault="00980E5F">
            <w:pPr>
              <w:rPr>
                <w:rFonts w:ascii="宋体"/>
                <w:vanish/>
              </w:rPr>
            </w:pPr>
          </w:p>
        </w:tc>
        <w:tc>
          <w:tcPr>
            <w:tcW w:w="0" w:type="auto"/>
            <w:gridSpan w:val="3"/>
            <w:shd w:val="clear" w:color="auto" w:fill="auto"/>
            <w:vAlign w:val="bottom"/>
          </w:tcPr>
          <w:p w14:paraId="392C1636" w14:textId="77777777" w:rsidR="00980E5F" w:rsidRDefault="00980E5F">
            <w:pPr>
              <w:rPr>
                <w:rFonts w:ascii="宋体"/>
                <w:vanish/>
              </w:rPr>
            </w:pPr>
          </w:p>
        </w:tc>
        <w:tc>
          <w:tcPr>
            <w:tcW w:w="0" w:type="auto"/>
            <w:gridSpan w:val="3"/>
            <w:shd w:val="clear" w:color="auto" w:fill="auto"/>
            <w:vAlign w:val="bottom"/>
          </w:tcPr>
          <w:p w14:paraId="392C1637" w14:textId="77777777" w:rsidR="00980E5F" w:rsidRDefault="00980E5F">
            <w:pPr>
              <w:rPr>
                <w:rFonts w:ascii="宋体"/>
                <w:vanish/>
              </w:rPr>
            </w:pPr>
          </w:p>
        </w:tc>
        <w:tc>
          <w:tcPr>
            <w:tcW w:w="0" w:type="auto"/>
            <w:gridSpan w:val="3"/>
            <w:shd w:val="clear" w:color="auto" w:fill="auto"/>
            <w:vAlign w:val="bottom"/>
          </w:tcPr>
          <w:p w14:paraId="392C1638" w14:textId="77777777" w:rsidR="00980E5F" w:rsidRDefault="00980E5F">
            <w:pPr>
              <w:rPr>
                <w:rFonts w:ascii="宋体"/>
                <w:vanish/>
              </w:rPr>
            </w:pPr>
          </w:p>
        </w:tc>
        <w:tc>
          <w:tcPr>
            <w:tcW w:w="0" w:type="auto"/>
            <w:gridSpan w:val="3"/>
            <w:shd w:val="clear" w:color="auto" w:fill="auto"/>
            <w:vAlign w:val="bottom"/>
          </w:tcPr>
          <w:p w14:paraId="392C1639" w14:textId="77777777" w:rsidR="00980E5F" w:rsidRDefault="00980E5F">
            <w:pPr>
              <w:rPr>
                <w:rFonts w:ascii="宋体"/>
                <w:vanish/>
              </w:rPr>
            </w:pPr>
          </w:p>
        </w:tc>
        <w:tc>
          <w:tcPr>
            <w:tcW w:w="0" w:type="auto"/>
            <w:gridSpan w:val="3"/>
            <w:shd w:val="clear" w:color="auto" w:fill="auto"/>
            <w:vAlign w:val="bottom"/>
          </w:tcPr>
          <w:p w14:paraId="392C163A" w14:textId="77777777" w:rsidR="00980E5F" w:rsidRDefault="00980E5F">
            <w:pPr>
              <w:rPr>
                <w:rFonts w:ascii="宋体"/>
                <w:vanish/>
              </w:rPr>
            </w:pPr>
          </w:p>
        </w:tc>
        <w:tc>
          <w:tcPr>
            <w:tcW w:w="0" w:type="auto"/>
            <w:gridSpan w:val="3"/>
            <w:shd w:val="clear" w:color="auto" w:fill="auto"/>
            <w:vAlign w:val="bottom"/>
          </w:tcPr>
          <w:p w14:paraId="392C163B" w14:textId="77777777" w:rsidR="00980E5F" w:rsidRDefault="00980E5F">
            <w:pPr>
              <w:rPr>
                <w:rFonts w:ascii="宋体"/>
                <w:vanish/>
              </w:rPr>
            </w:pPr>
          </w:p>
        </w:tc>
        <w:tc>
          <w:tcPr>
            <w:tcW w:w="0" w:type="auto"/>
            <w:gridSpan w:val="3"/>
            <w:shd w:val="clear" w:color="auto" w:fill="auto"/>
            <w:vAlign w:val="bottom"/>
          </w:tcPr>
          <w:p w14:paraId="392C163C" w14:textId="77777777" w:rsidR="00980E5F" w:rsidRDefault="00980E5F">
            <w:pPr>
              <w:rPr>
                <w:rFonts w:ascii="宋体"/>
                <w:vanish/>
              </w:rPr>
            </w:pPr>
          </w:p>
        </w:tc>
      </w:tr>
      <w:tr w:rsidR="00980E5F" w14:paraId="392C164A" w14:textId="77777777">
        <w:tc>
          <w:tcPr>
            <w:tcW w:w="0" w:type="auto"/>
            <w:gridSpan w:val="3"/>
            <w:shd w:val="clear" w:color="auto" w:fill="FFFFFF"/>
            <w:tcMar>
              <w:top w:w="40" w:type="dxa"/>
              <w:left w:w="245" w:type="dxa"/>
              <w:bottom w:w="40" w:type="dxa"/>
              <w:right w:w="20" w:type="dxa"/>
            </w:tcMar>
            <w:vAlign w:val="bottom"/>
          </w:tcPr>
          <w:p w14:paraId="392C163E" w14:textId="77777777" w:rsidR="00980E5F" w:rsidRDefault="00483613">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3F" w14:textId="77777777" w:rsidR="00980E5F" w:rsidRDefault="00483613">
            <w:pPr>
              <w:jc w:val="right"/>
              <w:textAlignment w:val="bottom"/>
            </w:pPr>
            <w:r>
              <w:rPr>
                <w:rFonts w:ascii="Arial" w:eastAsia="宋体" w:hAnsi="Arial" w:cs="Arial"/>
                <w:b/>
                <w:bCs/>
                <w:color w:val="000000"/>
                <w:sz w:val="14"/>
                <w:szCs w:val="14"/>
              </w:rPr>
              <w:t>21,701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4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64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42" w14:textId="77777777" w:rsidR="00980E5F" w:rsidRDefault="00483613">
            <w:pPr>
              <w:jc w:val="right"/>
              <w:textAlignment w:val="bottom"/>
            </w:pPr>
            <w:r>
              <w:rPr>
                <w:rFonts w:ascii="Arial" w:eastAsia="宋体" w:hAnsi="Arial" w:cs="Arial"/>
                <w:color w:val="000000"/>
                <w:sz w:val="14"/>
                <w:szCs w:val="14"/>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43" w14:textId="77777777" w:rsidR="00980E5F" w:rsidRDefault="00980E5F">
            <w:pPr>
              <w:jc w:val="right"/>
              <w:rPr>
                <w:rFonts w:ascii="宋体"/>
              </w:rPr>
            </w:pPr>
          </w:p>
        </w:tc>
        <w:tc>
          <w:tcPr>
            <w:tcW w:w="0" w:type="auto"/>
            <w:gridSpan w:val="3"/>
            <w:shd w:val="clear" w:color="auto" w:fill="auto"/>
            <w:vAlign w:val="bottom"/>
          </w:tcPr>
          <w:p w14:paraId="392C1644" w14:textId="77777777" w:rsidR="00980E5F" w:rsidRDefault="00980E5F">
            <w:pPr>
              <w:rPr>
                <w:rFonts w:ascii="宋体"/>
                <w:vanish/>
              </w:rPr>
            </w:pPr>
          </w:p>
        </w:tc>
        <w:tc>
          <w:tcPr>
            <w:tcW w:w="0" w:type="auto"/>
            <w:gridSpan w:val="3"/>
            <w:shd w:val="clear" w:color="auto" w:fill="auto"/>
            <w:vAlign w:val="bottom"/>
          </w:tcPr>
          <w:p w14:paraId="392C1645" w14:textId="77777777" w:rsidR="00980E5F" w:rsidRDefault="00980E5F">
            <w:pPr>
              <w:rPr>
                <w:rFonts w:ascii="宋体"/>
                <w:vanish/>
              </w:rPr>
            </w:pPr>
          </w:p>
        </w:tc>
        <w:tc>
          <w:tcPr>
            <w:tcW w:w="0" w:type="auto"/>
            <w:gridSpan w:val="3"/>
            <w:shd w:val="clear" w:color="auto" w:fill="auto"/>
            <w:vAlign w:val="bottom"/>
          </w:tcPr>
          <w:p w14:paraId="392C1646" w14:textId="77777777" w:rsidR="00980E5F" w:rsidRDefault="00980E5F">
            <w:pPr>
              <w:rPr>
                <w:rFonts w:ascii="宋体"/>
                <w:vanish/>
              </w:rPr>
            </w:pPr>
          </w:p>
        </w:tc>
        <w:tc>
          <w:tcPr>
            <w:tcW w:w="0" w:type="auto"/>
            <w:gridSpan w:val="3"/>
            <w:shd w:val="clear" w:color="auto" w:fill="auto"/>
            <w:vAlign w:val="bottom"/>
          </w:tcPr>
          <w:p w14:paraId="392C1647" w14:textId="77777777" w:rsidR="00980E5F" w:rsidRDefault="00980E5F">
            <w:pPr>
              <w:rPr>
                <w:rFonts w:ascii="宋体"/>
                <w:vanish/>
              </w:rPr>
            </w:pPr>
          </w:p>
        </w:tc>
        <w:tc>
          <w:tcPr>
            <w:tcW w:w="0" w:type="auto"/>
            <w:gridSpan w:val="3"/>
            <w:shd w:val="clear" w:color="auto" w:fill="auto"/>
            <w:vAlign w:val="bottom"/>
          </w:tcPr>
          <w:p w14:paraId="392C1648" w14:textId="77777777" w:rsidR="00980E5F" w:rsidRDefault="00980E5F">
            <w:pPr>
              <w:rPr>
                <w:rFonts w:ascii="宋体"/>
                <w:vanish/>
              </w:rPr>
            </w:pPr>
          </w:p>
        </w:tc>
        <w:tc>
          <w:tcPr>
            <w:tcW w:w="0" w:type="auto"/>
            <w:gridSpan w:val="3"/>
            <w:shd w:val="clear" w:color="auto" w:fill="auto"/>
            <w:vAlign w:val="bottom"/>
          </w:tcPr>
          <w:p w14:paraId="392C1649" w14:textId="77777777" w:rsidR="00980E5F" w:rsidRDefault="00980E5F">
            <w:pPr>
              <w:rPr>
                <w:rFonts w:ascii="宋体"/>
                <w:vanish/>
              </w:rPr>
            </w:pPr>
          </w:p>
        </w:tc>
      </w:tr>
      <w:tr w:rsidR="00980E5F" w14:paraId="392C1655" w14:textId="77777777">
        <w:tc>
          <w:tcPr>
            <w:tcW w:w="0" w:type="auto"/>
            <w:gridSpan w:val="3"/>
            <w:shd w:val="clear" w:color="auto" w:fill="CCEEFF"/>
            <w:tcMar>
              <w:top w:w="40" w:type="dxa"/>
              <w:left w:w="20" w:type="dxa"/>
              <w:bottom w:w="40" w:type="dxa"/>
              <w:right w:w="20" w:type="dxa"/>
            </w:tcMar>
            <w:vAlign w:val="bottom"/>
          </w:tcPr>
          <w:p w14:paraId="392C164B" w14:textId="77777777" w:rsidR="00980E5F" w:rsidRDefault="00483613">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164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64D"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164E" w14:textId="77777777" w:rsidR="00980E5F" w:rsidRDefault="00980E5F">
            <w:pPr>
              <w:rPr>
                <w:rFonts w:ascii="宋体"/>
              </w:rPr>
            </w:pPr>
          </w:p>
        </w:tc>
        <w:tc>
          <w:tcPr>
            <w:tcW w:w="0" w:type="auto"/>
            <w:gridSpan w:val="3"/>
            <w:shd w:val="clear" w:color="auto" w:fill="auto"/>
            <w:vAlign w:val="bottom"/>
          </w:tcPr>
          <w:p w14:paraId="392C164F" w14:textId="77777777" w:rsidR="00980E5F" w:rsidRDefault="00980E5F">
            <w:pPr>
              <w:rPr>
                <w:rFonts w:ascii="宋体"/>
                <w:vanish/>
              </w:rPr>
            </w:pPr>
          </w:p>
        </w:tc>
        <w:tc>
          <w:tcPr>
            <w:tcW w:w="0" w:type="auto"/>
            <w:gridSpan w:val="3"/>
            <w:shd w:val="clear" w:color="auto" w:fill="auto"/>
            <w:vAlign w:val="bottom"/>
          </w:tcPr>
          <w:p w14:paraId="392C1650" w14:textId="77777777" w:rsidR="00980E5F" w:rsidRDefault="00980E5F">
            <w:pPr>
              <w:rPr>
                <w:rFonts w:ascii="宋体"/>
                <w:vanish/>
              </w:rPr>
            </w:pPr>
          </w:p>
        </w:tc>
        <w:tc>
          <w:tcPr>
            <w:tcW w:w="0" w:type="auto"/>
            <w:gridSpan w:val="3"/>
            <w:shd w:val="clear" w:color="auto" w:fill="auto"/>
            <w:vAlign w:val="bottom"/>
          </w:tcPr>
          <w:p w14:paraId="392C1651" w14:textId="77777777" w:rsidR="00980E5F" w:rsidRDefault="00980E5F">
            <w:pPr>
              <w:rPr>
                <w:rFonts w:ascii="宋体"/>
                <w:vanish/>
              </w:rPr>
            </w:pPr>
          </w:p>
        </w:tc>
        <w:tc>
          <w:tcPr>
            <w:tcW w:w="0" w:type="auto"/>
            <w:gridSpan w:val="3"/>
            <w:shd w:val="clear" w:color="auto" w:fill="auto"/>
            <w:vAlign w:val="bottom"/>
          </w:tcPr>
          <w:p w14:paraId="392C1652" w14:textId="77777777" w:rsidR="00980E5F" w:rsidRDefault="00980E5F">
            <w:pPr>
              <w:rPr>
                <w:rFonts w:ascii="宋体"/>
                <w:vanish/>
              </w:rPr>
            </w:pPr>
          </w:p>
        </w:tc>
        <w:tc>
          <w:tcPr>
            <w:tcW w:w="0" w:type="auto"/>
            <w:gridSpan w:val="3"/>
            <w:shd w:val="clear" w:color="auto" w:fill="auto"/>
            <w:vAlign w:val="bottom"/>
          </w:tcPr>
          <w:p w14:paraId="392C1653" w14:textId="77777777" w:rsidR="00980E5F" w:rsidRDefault="00980E5F">
            <w:pPr>
              <w:rPr>
                <w:rFonts w:ascii="宋体"/>
                <w:vanish/>
              </w:rPr>
            </w:pPr>
          </w:p>
        </w:tc>
        <w:tc>
          <w:tcPr>
            <w:tcW w:w="0" w:type="auto"/>
            <w:gridSpan w:val="3"/>
            <w:shd w:val="clear" w:color="auto" w:fill="auto"/>
            <w:vAlign w:val="bottom"/>
          </w:tcPr>
          <w:p w14:paraId="392C1654" w14:textId="77777777" w:rsidR="00980E5F" w:rsidRDefault="00980E5F">
            <w:pPr>
              <w:rPr>
                <w:rFonts w:ascii="宋体"/>
                <w:vanish/>
              </w:rPr>
            </w:pPr>
          </w:p>
        </w:tc>
      </w:tr>
      <w:tr w:rsidR="00980E5F" w14:paraId="392C1660" w14:textId="77777777">
        <w:tc>
          <w:tcPr>
            <w:tcW w:w="0" w:type="auto"/>
            <w:gridSpan w:val="3"/>
            <w:shd w:val="clear" w:color="auto" w:fill="FFFFFF"/>
            <w:tcMar>
              <w:top w:w="40" w:type="dxa"/>
              <w:left w:w="155" w:type="dxa"/>
              <w:bottom w:w="40" w:type="dxa"/>
              <w:right w:w="20" w:type="dxa"/>
            </w:tcMar>
            <w:vAlign w:val="bottom"/>
          </w:tcPr>
          <w:p w14:paraId="392C1656"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392C165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65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659" w14:textId="77777777" w:rsidR="00980E5F" w:rsidRDefault="00980E5F">
            <w:pPr>
              <w:rPr>
                <w:rFonts w:ascii="宋体"/>
              </w:rPr>
            </w:pPr>
          </w:p>
        </w:tc>
        <w:tc>
          <w:tcPr>
            <w:tcW w:w="0" w:type="auto"/>
            <w:gridSpan w:val="3"/>
            <w:shd w:val="clear" w:color="auto" w:fill="auto"/>
            <w:vAlign w:val="bottom"/>
          </w:tcPr>
          <w:p w14:paraId="392C165A" w14:textId="77777777" w:rsidR="00980E5F" w:rsidRDefault="00980E5F">
            <w:pPr>
              <w:rPr>
                <w:rFonts w:ascii="宋体"/>
                <w:vanish/>
              </w:rPr>
            </w:pPr>
          </w:p>
        </w:tc>
        <w:tc>
          <w:tcPr>
            <w:tcW w:w="0" w:type="auto"/>
            <w:gridSpan w:val="3"/>
            <w:shd w:val="clear" w:color="auto" w:fill="auto"/>
            <w:vAlign w:val="bottom"/>
          </w:tcPr>
          <w:p w14:paraId="392C165B" w14:textId="77777777" w:rsidR="00980E5F" w:rsidRDefault="00980E5F">
            <w:pPr>
              <w:rPr>
                <w:rFonts w:ascii="宋体"/>
                <w:vanish/>
              </w:rPr>
            </w:pPr>
          </w:p>
        </w:tc>
        <w:tc>
          <w:tcPr>
            <w:tcW w:w="0" w:type="auto"/>
            <w:gridSpan w:val="3"/>
            <w:shd w:val="clear" w:color="auto" w:fill="auto"/>
            <w:vAlign w:val="bottom"/>
          </w:tcPr>
          <w:p w14:paraId="392C165C" w14:textId="77777777" w:rsidR="00980E5F" w:rsidRDefault="00980E5F">
            <w:pPr>
              <w:rPr>
                <w:rFonts w:ascii="宋体"/>
                <w:vanish/>
              </w:rPr>
            </w:pPr>
          </w:p>
        </w:tc>
        <w:tc>
          <w:tcPr>
            <w:tcW w:w="0" w:type="auto"/>
            <w:gridSpan w:val="3"/>
            <w:shd w:val="clear" w:color="auto" w:fill="auto"/>
            <w:vAlign w:val="bottom"/>
          </w:tcPr>
          <w:p w14:paraId="392C165D" w14:textId="77777777" w:rsidR="00980E5F" w:rsidRDefault="00980E5F">
            <w:pPr>
              <w:rPr>
                <w:rFonts w:ascii="宋体"/>
                <w:vanish/>
              </w:rPr>
            </w:pPr>
          </w:p>
        </w:tc>
        <w:tc>
          <w:tcPr>
            <w:tcW w:w="0" w:type="auto"/>
            <w:gridSpan w:val="3"/>
            <w:shd w:val="clear" w:color="auto" w:fill="auto"/>
            <w:vAlign w:val="bottom"/>
          </w:tcPr>
          <w:p w14:paraId="392C165E" w14:textId="77777777" w:rsidR="00980E5F" w:rsidRDefault="00980E5F">
            <w:pPr>
              <w:rPr>
                <w:rFonts w:ascii="宋体"/>
                <w:vanish/>
              </w:rPr>
            </w:pPr>
          </w:p>
        </w:tc>
        <w:tc>
          <w:tcPr>
            <w:tcW w:w="0" w:type="auto"/>
            <w:gridSpan w:val="3"/>
            <w:shd w:val="clear" w:color="auto" w:fill="auto"/>
            <w:vAlign w:val="bottom"/>
          </w:tcPr>
          <w:p w14:paraId="392C165F" w14:textId="77777777" w:rsidR="00980E5F" w:rsidRDefault="00980E5F">
            <w:pPr>
              <w:rPr>
                <w:rFonts w:ascii="宋体"/>
                <w:vanish/>
              </w:rPr>
            </w:pPr>
          </w:p>
        </w:tc>
      </w:tr>
      <w:tr w:rsidR="00980E5F" w14:paraId="392C166D" w14:textId="77777777">
        <w:tc>
          <w:tcPr>
            <w:tcW w:w="0" w:type="auto"/>
            <w:gridSpan w:val="3"/>
            <w:shd w:val="clear" w:color="auto" w:fill="CCEEFF"/>
            <w:tcMar>
              <w:top w:w="40" w:type="dxa"/>
              <w:left w:w="20" w:type="dxa"/>
              <w:bottom w:w="40" w:type="dxa"/>
              <w:right w:w="20" w:type="dxa"/>
            </w:tcMar>
            <w:vAlign w:val="bottom"/>
          </w:tcPr>
          <w:p w14:paraId="392C1661" w14:textId="77777777" w:rsidR="00980E5F" w:rsidRDefault="00483613">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1662" w14:textId="77777777" w:rsidR="00980E5F" w:rsidRDefault="00483613">
            <w:pPr>
              <w:jc w:val="right"/>
              <w:textAlignment w:val="bottom"/>
            </w:pPr>
            <w:r>
              <w:rPr>
                <w:rFonts w:ascii="Arial" w:eastAsia="宋体" w:hAnsi="Arial" w:cs="Arial"/>
                <w:b/>
                <w:bCs/>
                <w:color w:val="000000"/>
                <w:sz w:val="14"/>
                <w:szCs w:val="14"/>
              </w:rPr>
              <w:t>8,131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6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665" w14:textId="77777777" w:rsidR="00980E5F" w:rsidRDefault="00483613">
            <w:pPr>
              <w:jc w:val="right"/>
              <w:textAlignment w:val="bottom"/>
            </w:pPr>
            <w:r>
              <w:rPr>
                <w:rFonts w:ascii="Arial" w:eastAsia="宋体" w:hAnsi="Arial" w:cs="Arial"/>
                <w:color w:val="000000"/>
                <w:sz w:val="14"/>
                <w:szCs w:val="14"/>
              </w:rPr>
              <w:t>7,778 </w:t>
            </w:r>
          </w:p>
        </w:tc>
        <w:tc>
          <w:tcPr>
            <w:tcW w:w="0" w:type="auto"/>
            <w:shd w:val="clear" w:color="auto" w:fill="CCEEFF"/>
            <w:tcMar>
              <w:top w:w="40" w:type="dxa"/>
              <w:left w:w="0" w:type="dxa"/>
              <w:bottom w:w="40" w:type="dxa"/>
              <w:right w:w="20" w:type="dxa"/>
            </w:tcMar>
            <w:vAlign w:val="bottom"/>
          </w:tcPr>
          <w:p w14:paraId="392C1666" w14:textId="77777777" w:rsidR="00980E5F" w:rsidRDefault="00980E5F">
            <w:pPr>
              <w:jc w:val="right"/>
              <w:rPr>
                <w:rFonts w:ascii="宋体"/>
              </w:rPr>
            </w:pPr>
          </w:p>
        </w:tc>
        <w:tc>
          <w:tcPr>
            <w:tcW w:w="0" w:type="auto"/>
            <w:gridSpan w:val="3"/>
            <w:shd w:val="clear" w:color="auto" w:fill="auto"/>
            <w:vAlign w:val="bottom"/>
          </w:tcPr>
          <w:p w14:paraId="392C1667" w14:textId="77777777" w:rsidR="00980E5F" w:rsidRDefault="00980E5F">
            <w:pPr>
              <w:rPr>
                <w:rFonts w:ascii="宋体"/>
                <w:vanish/>
              </w:rPr>
            </w:pPr>
          </w:p>
        </w:tc>
        <w:tc>
          <w:tcPr>
            <w:tcW w:w="0" w:type="auto"/>
            <w:gridSpan w:val="3"/>
            <w:shd w:val="clear" w:color="auto" w:fill="auto"/>
            <w:vAlign w:val="bottom"/>
          </w:tcPr>
          <w:p w14:paraId="392C1668" w14:textId="77777777" w:rsidR="00980E5F" w:rsidRDefault="00980E5F">
            <w:pPr>
              <w:rPr>
                <w:rFonts w:ascii="宋体"/>
                <w:vanish/>
              </w:rPr>
            </w:pPr>
          </w:p>
        </w:tc>
        <w:tc>
          <w:tcPr>
            <w:tcW w:w="0" w:type="auto"/>
            <w:gridSpan w:val="3"/>
            <w:shd w:val="clear" w:color="auto" w:fill="auto"/>
            <w:vAlign w:val="bottom"/>
          </w:tcPr>
          <w:p w14:paraId="392C1669" w14:textId="77777777" w:rsidR="00980E5F" w:rsidRDefault="00980E5F">
            <w:pPr>
              <w:rPr>
                <w:rFonts w:ascii="宋体"/>
                <w:vanish/>
              </w:rPr>
            </w:pPr>
          </w:p>
        </w:tc>
        <w:tc>
          <w:tcPr>
            <w:tcW w:w="0" w:type="auto"/>
            <w:gridSpan w:val="3"/>
            <w:shd w:val="clear" w:color="auto" w:fill="auto"/>
            <w:vAlign w:val="bottom"/>
          </w:tcPr>
          <w:p w14:paraId="392C166A" w14:textId="77777777" w:rsidR="00980E5F" w:rsidRDefault="00980E5F">
            <w:pPr>
              <w:rPr>
                <w:rFonts w:ascii="宋体"/>
                <w:vanish/>
              </w:rPr>
            </w:pPr>
          </w:p>
        </w:tc>
        <w:tc>
          <w:tcPr>
            <w:tcW w:w="0" w:type="auto"/>
            <w:gridSpan w:val="3"/>
            <w:shd w:val="clear" w:color="auto" w:fill="auto"/>
            <w:vAlign w:val="bottom"/>
          </w:tcPr>
          <w:p w14:paraId="392C166B" w14:textId="77777777" w:rsidR="00980E5F" w:rsidRDefault="00980E5F">
            <w:pPr>
              <w:rPr>
                <w:rFonts w:ascii="宋体"/>
                <w:vanish/>
              </w:rPr>
            </w:pPr>
          </w:p>
        </w:tc>
        <w:tc>
          <w:tcPr>
            <w:tcW w:w="0" w:type="auto"/>
            <w:gridSpan w:val="3"/>
            <w:shd w:val="clear" w:color="auto" w:fill="auto"/>
            <w:vAlign w:val="bottom"/>
          </w:tcPr>
          <w:p w14:paraId="392C166C" w14:textId="77777777" w:rsidR="00980E5F" w:rsidRDefault="00980E5F">
            <w:pPr>
              <w:rPr>
                <w:rFonts w:ascii="宋体"/>
                <w:vanish/>
              </w:rPr>
            </w:pPr>
          </w:p>
        </w:tc>
      </w:tr>
      <w:tr w:rsidR="00980E5F" w14:paraId="392C167A" w14:textId="77777777">
        <w:tc>
          <w:tcPr>
            <w:tcW w:w="0" w:type="auto"/>
            <w:gridSpan w:val="3"/>
            <w:shd w:val="clear" w:color="auto" w:fill="FFFFFF"/>
            <w:tcMar>
              <w:top w:w="40" w:type="dxa"/>
              <w:left w:w="245" w:type="dxa"/>
              <w:bottom w:w="40" w:type="dxa"/>
              <w:right w:w="20" w:type="dxa"/>
            </w:tcMar>
            <w:vAlign w:val="bottom"/>
          </w:tcPr>
          <w:p w14:paraId="392C166E" w14:textId="77777777" w:rsidR="00980E5F" w:rsidRDefault="00483613">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392C166F" w14:textId="77777777" w:rsidR="00980E5F" w:rsidRDefault="00483613">
            <w:pPr>
              <w:jc w:val="right"/>
              <w:textAlignment w:val="bottom"/>
            </w:pPr>
            <w:r>
              <w:rPr>
                <w:rFonts w:ascii="Arial" w:eastAsia="宋体" w:hAnsi="Arial" w:cs="Arial"/>
                <w:b/>
                <w:bCs/>
                <w:color w:val="000000"/>
                <w:sz w:val="14"/>
                <w:szCs w:val="14"/>
              </w:rPr>
              <w:t>1,123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6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67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672" w14:textId="77777777" w:rsidR="00980E5F" w:rsidRDefault="00483613">
            <w:pPr>
              <w:jc w:val="right"/>
              <w:textAlignment w:val="bottom"/>
            </w:pPr>
            <w:r>
              <w:rPr>
                <w:rFonts w:ascii="Arial" w:eastAsia="宋体" w:hAnsi="Arial" w:cs="Arial"/>
                <w:color w:val="000000"/>
                <w:sz w:val="14"/>
                <w:szCs w:val="14"/>
              </w:rPr>
              <w:t>1,328 </w:t>
            </w:r>
          </w:p>
        </w:tc>
        <w:tc>
          <w:tcPr>
            <w:tcW w:w="0" w:type="auto"/>
            <w:shd w:val="clear" w:color="auto" w:fill="FFFFFF"/>
            <w:tcMar>
              <w:top w:w="40" w:type="dxa"/>
              <w:left w:w="0" w:type="dxa"/>
              <w:bottom w:w="40" w:type="dxa"/>
              <w:right w:w="20" w:type="dxa"/>
            </w:tcMar>
            <w:vAlign w:val="bottom"/>
          </w:tcPr>
          <w:p w14:paraId="392C1673" w14:textId="77777777" w:rsidR="00980E5F" w:rsidRDefault="00980E5F">
            <w:pPr>
              <w:jc w:val="right"/>
              <w:rPr>
                <w:rFonts w:ascii="宋体"/>
              </w:rPr>
            </w:pPr>
          </w:p>
        </w:tc>
        <w:tc>
          <w:tcPr>
            <w:tcW w:w="0" w:type="auto"/>
            <w:gridSpan w:val="3"/>
            <w:shd w:val="clear" w:color="auto" w:fill="auto"/>
            <w:vAlign w:val="bottom"/>
          </w:tcPr>
          <w:p w14:paraId="392C1674" w14:textId="77777777" w:rsidR="00980E5F" w:rsidRDefault="00980E5F">
            <w:pPr>
              <w:rPr>
                <w:rFonts w:ascii="宋体"/>
                <w:vanish/>
              </w:rPr>
            </w:pPr>
          </w:p>
        </w:tc>
        <w:tc>
          <w:tcPr>
            <w:tcW w:w="0" w:type="auto"/>
            <w:gridSpan w:val="3"/>
            <w:shd w:val="clear" w:color="auto" w:fill="auto"/>
            <w:vAlign w:val="bottom"/>
          </w:tcPr>
          <w:p w14:paraId="392C1675" w14:textId="77777777" w:rsidR="00980E5F" w:rsidRDefault="00980E5F">
            <w:pPr>
              <w:rPr>
                <w:rFonts w:ascii="宋体"/>
                <w:vanish/>
              </w:rPr>
            </w:pPr>
          </w:p>
        </w:tc>
        <w:tc>
          <w:tcPr>
            <w:tcW w:w="0" w:type="auto"/>
            <w:gridSpan w:val="3"/>
            <w:shd w:val="clear" w:color="auto" w:fill="auto"/>
            <w:vAlign w:val="bottom"/>
          </w:tcPr>
          <w:p w14:paraId="392C1676" w14:textId="77777777" w:rsidR="00980E5F" w:rsidRDefault="00980E5F">
            <w:pPr>
              <w:rPr>
                <w:rFonts w:ascii="宋体"/>
                <w:vanish/>
              </w:rPr>
            </w:pPr>
          </w:p>
        </w:tc>
        <w:tc>
          <w:tcPr>
            <w:tcW w:w="0" w:type="auto"/>
            <w:gridSpan w:val="3"/>
            <w:shd w:val="clear" w:color="auto" w:fill="auto"/>
            <w:vAlign w:val="bottom"/>
          </w:tcPr>
          <w:p w14:paraId="392C1677" w14:textId="77777777" w:rsidR="00980E5F" w:rsidRDefault="00980E5F">
            <w:pPr>
              <w:rPr>
                <w:rFonts w:ascii="宋体"/>
                <w:vanish/>
              </w:rPr>
            </w:pPr>
          </w:p>
        </w:tc>
        <w:tc>
          <w:tcPr>
            <w:tcW w:w="0" w:type="auto"/>
            <w:gridSpan w:val="3"/>
            <w:shd w:val="clear" w:color="auto" w:fill="auto"/>
            <w:vAlign w:val="bottom"/>
          </w:tcPr>
          <w:p w14:paraId="392C1678" w14:textId="77777777" w:rsidR="00980E5F" w:rsidRDefault="00980E5F">
            <w:pPr>
              <w:rPr>
                <w:rFonts w:ascii="宋体"/>
                <w:vanish/>
              </w:rPr>
            </w:pPr>
          </w:p>
        </w:tc>
        <w:tc>
          <w:tcPr>
            <w:tcW w:w="0" w:type="auto"/>
            <w:gridSpan w:val="3"/>
            <w:shd w:val="clear" w:color="auto" w:fill="auto"/>
            <w:vAlign w:val="bottom"/>
          </w:tcPr>
          <w:p w14:paraId="392C1679" w14:textId="77777777" w:rsidR="00980E5F" w:rsidRDefault="00980E5F">
            <w:pPr>
              <w:rPr>
                <w:rFonts w:ascii="宋体"/>
                <w:vanish/>
              </w:rPr>
            </w:pPr>
          </w:p>
        </w:tc>
      </w:tr>
      <w:tr w:rsidR="00980E5F" w14:paraId="392C1685" w14:textId="77777777">
        <w:trPr>
          <w:hidden/>
        </w:trPr>
        <w:tc>
          <w:tcPr>
            <w:tcW w:w="0" w:type="auto"/>
            <w:gridSpan w:val="3"/>
            <w:shd w:val="clear" w:color="auto" w:fill="auto"/>
            <w:vAlign w:val="bottom"/>
          </w:tcPr>
          <w:p w14:paraId="392C167B" w14:textId="77777777" w:rsidR="00980E5F" w:rsidRDefault="00980E5F">
            <w:pPr>
              <w:rPr>
                <w:rFonts w:ascii="宋体"/>
                <w:vanish/>
              </w:rPr>
            </w:pPr>
          </w:p>
        </w:tc>
        <w:tc>
          <w:tcPr>
            <w:tcW w:w="0" w:type="auto"/>
            <w:gridSpan w:val="3"/>
            <w:shd w:val="clear" w:color="auto" w:fill="auto"/>
            <w:vAlign w:val="bottom"/>
          </w:tcPr>
          <w:p w14:paraId="392C167C" w14:textId="77777777" w:rsidR="00980E5F" w:rsidRDefault="00980E5F">
            <w:pPr>
              <w:rPr>
                <w:rFonts w:ascii="宋体"/>
                <w:vanish/>
              </w:rPr>
            </w:pPr>
          </w:p>
        </w:tc>
        <w:tc>
          <w:tcPr>
            <w:tcW w:w="0" w:type="auto"/>
            <w:gridSpan w:val="3"/>
            <w:shd w:val="clear" w:color="auto" w:fill="auto"/>
            <w:vAlign w:val="bottom"/>
          </w:tcPr>
          <w:p w14:paraId="392C167D" w14:textId="77777777" w:rsidR="00980E5F" w:rsidRDefault="00980E5F">
            <w:pPr>
              <w:rPr>
                <w:rFonts w:ascii="宋体"/>
                <w:vanish/>
              </w:rPr>
            </w:pPr>
          </w:p>
        </w:tc>
        <w:tc>
          <w:tcPr>
            <w:tcW w:w="0" w:type="auto"/>
            <w:gridSpan w:val="3"/>
            <w:shd w:val="clear" w:color="auto" w:fill="auto"/>
            <w:vAlign w:val="bottom"/>
          </w:tcPr>
          <w:p w14:paraId="392C167E" w14:textId="77777777" w:rsidR="00980E5F" w:rsidRDefault="00980E5F">
            <w:pPr>
              <w:rPr>
                <w:rFonts w:ascii="宋体"/>
                <w:vanish/>
              </w:rPr>
            </w:pPr>
          </w:p>
        </w:tc>
        <w:tc>
          <w:tcPr>
            <w:tcW w:w="0" w:type="auto"/>
            <w:gridSpan w:val="3"/>
            <w:shd w:val="clear" w:color="auto" w:fill="auto"/>
            <w:vAlign w:val="bottom"/>
          </w:tcPr>
          <w:p w14:paraId="392C167F" w14:textId="77777777" w:rsidR="00980E5F" w:rsidRDefault="00980E5F">
            <w:pPr>
              <w:rPr>
                <w:rFonts w:ascii="宋体"/>
                <w:vanish/>
              </w:rPr>
            </w:pPr>
          </w:p>
        </w:tc>
        <w:tc>
          <w:tcPr>
            <w:tcW w:w="0" w:type="auto"/>
            <w:gridSpan w:val="3"/>
            <w:shd w:val="clear" w:color="auto" w:fill="auto"/>
            <w:vAlign w:val="bottom"/>
          </w:tcPr>
          <w:p w14:paraId="392C1680" w14:textId="77777777" w:rsidR="00980E5F" w:rsidRDefault="00980E5F">
            <w:pPr>
              <w:rPr>
                <w:rFonts w:ascii="宋体"/>
                <w:vanish/>
              </w:rPr>
            </w:pPr>
          </w:p>
        </w:tc>
        <w:tc>
          <w:tcPr>
            <w:tcW w:w="0" w:type="auto"/>
            <w:gridSpan w:val="3"/>
            <w:shd w:val="clear" w:color="auto" w:fill="auto"/>
            <w:vAlign w:val="bottom"/>
          </w:tcPr>
          <w:p w14:paraId="392C1681" w14:textId="77777777" w:rsidR="00980E5F" w:rsidRDefault="00980E5F">
            <w:pPr>
              <w:rPr>
                <w:rFonts w:ascii="宋体"/>
                <w:vanish/>
              </w:rPr>
            </w:pPr>
          </w:p>
        </w:tc>
        <w:tc>
          <w:tcPr>
            <w:tcW w:w="0" w:type="auto"/>
            <w:gridSpan w:val="3"/>
            <w:shd w:val="clear" w:color="auto" w:fill="auto"/>
            <w:vAlign w:val="bottom"/>
          </w:tcPr>
          <w:p w14:paraId="392C1682" w14:textId="77777777" w:rsidR="00980E5F" w:rsidRDefault="00980E5F">
            <w:pPr>
              <w:rPr>
                <w:rFonts w:ascii="宋体"/>
                <w:vanish/>
              </w:rPr>
            </w:pPr>
          </w:p>
        </w:tc>
        <w:tc>
          <w:tcPr>
            <w:tcW w:w="0" w:type="auto"/>
            <w:gridSpan w:val="3"/>
            <w:shd w:val="clear" w:color="auto" w:fill="auto"/>
            <w:vAlign w:val="bottom"/>
          </w:tcPr>
          <w:p w14:paraId="392C1683" w14:textId="77777777" w:rsidR="00980E5F" w:rsidRDefault="00980E5F">
            <w:pPr>
              <w:rPr>
                <w:rFonts w:ascii="宋体"/>
                <w:vanish/>
              </w:rPr>
            </w:pPr>
          </w:p>
        </w:tc>
        <w:tc>
          <w:tcPr>
            <w:tcW w:w="0" w:type="auto"/>
            <w:gridSpan w:val="3"/>
            <w:shd w:val="clear" w:color="auto" w:fill="auto"/>
            <w:vAlign w:val="bottom"/>
          </w:tcPr>
          <w:p w14:paraId="392C1684" w14:textId="77777777" w:rsidR="00980E5F" w:rsidRDefault="00980E5F">
            <w:pPr>
              <w:rPr>
                <w:rFonts w:ascii="宋体"/>
                <w:vanish/>
              </w:rPr>
            </w:pPr>
          </w:p>
        </w:tc>
      </w:tr>
      <w:tr w:rsidR="00980E5F" w14:paraId="392C1692" w14:textId="77777777">
        <w:tc>
          <w:tcPr>
            <w:tcW w:w="0" w:type="auto"/>
            <w:gridSpan w:val="3"/>
            <w:shd w:val="clear" w:color="auto" w:fill="CCEEFF"/>
            <w:tcMar>
              <w:top w:w="40" w:type="dxa"/>
              <w:left w:w="245" w:type="dxa"/>
              <w:bottom w:w="40" w:type="dxa"/>
              <w:right w:w="20" w:type="dxa"/>
            </w:tcMar>
            <w:vAlign w:val="bottom"/>
          </w:tcPr>
          <w:p w14:paraId="392C1686" w14:textId="77777777" w:rsidR="00980E5F" w:rsidRDefault="00483613">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392C1687" w14:textId="77777777" w:rsidR="00980E5F" w:rsidRDefault="00483613">
            <w:pPr>
              <w:jc w:val="right"/>
              <w:textAlignment w:val="bottom"/>
            </w:pPr>
            <w:r>
              <w:rPr>
                <w:rFonts w:ascii="Arial" w:eastAsia="宋体" w:hAnsi="Arial" w:cs="Arial"/>
                <w:b/>
                <w:bCs/>
                <w:color w:val="000000"/>
                <w:sz w:val="14"/>
                <w:szCs w:val="14"/>
              </w:rPr>
              <w:t>2,610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6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8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68A" w14:textId="77777777" w:rsidR="00980E5F" w:rsidRDefault="00483613">
            <w:pPr>
              <w:jc w:val="right"/>
              <w:textAlignment w:val="bottom"/>
            </w:pPr>
            <w:r>
              <w:rPr>
                <w:rFonts w:ascii="Arial" w:eastAsia="宋体" w:hAnsi="Arial" w:cs="Arial"/>
                <w:color w:val="000000"/>
                <w:sz w:val="14"/>
                <w:szCs w:val="14"/>
              </w:rPr>
              <w:t>1,312 </w:t>
            </w:r>
          </w:p>
        </w:tc>
        <w:tc>
          <w:tcPr>
            <w:tcW w:w="0" w:type="auto"/>
            <w:shd w:val="clear" w:color="auto" w:fill="CCEEFF"/>
            <w:tcMar>
              <w:top w:w="40" w:type="dxa"/>
              <w:left w:w="0" w:type="dxa"/>
              <w:bottom w:w="40" w:type="dxa"/>
              <w:right w:w="20" w:type="dxa"/>
            </w:tcMar>
            <w:vAlign w:val="bottom"/>
          </w:tcPr>
          <w:p w14:paraId="392C168B" w14:textId="77777777" w:rsidR="00980E5F" w:rsidRDefault="00980E5F">
            <w:pPr>
              <w:jc w:val="right"/>
              <w:rPr>
                <w:rFonts w:ascii="宋体"/>
              </w:rPr>
            </w:pPr>
          </w:p>
        </w:tc>
        <w:tc>
          <w:tcPr>
            <w:tcW w:w="0" w:type="auto"/>
            <w:gridSpan w:val="3"/>
            <w:shd w:val="clear" w:color="auto" w:fill="auto"/>
            <w:vAlign w:val="bottom"/>
          </w:tcPr>
          <w:p w14:paraId="392C168C" w14:textId="77777777" w:rsidR="00980E5F" w:rsidRDefault="00980E5F">
            <w:pPr>
              <w:rPr>
                <w:rFonts w:ascii="宋体"/>
                <w:vanish/>
              </w:rPr>
            </w:pPr>
          </w:p>
        </w:tc>
        <w:tc>
          <w:tcPr>
            <w:tcW w:w="0" w:type="auto"/>
            <w:gridSpan w:val="3"/>
            <w:shd w:val="clear" w:color="auto" w:fill="auto"/>
            <w:vAlign w:val="bottom"/>
          </w:tcPr>
          <w:p w14:paraId="392C168D" w14:textId="77777777" w:rsidR="00980E5F" w:rsidRDefault="00980E5F">
            <w:pPr>
              <w:rPr>
                <w:rFonts w:ascii="宋体"/>
                <w:vanish/>
              </w:rPr>
            </w:pPr>
          </w:p>
        </w:tc>
        <w:tc>
          <w:tcPr>
            <w:tcW w:w="0" w:type="auto"/>
            <w:gridSpan w:val="3"/>
            <w:shd w:val="clear" w:color="auto" w:fill="auto"/>
            <w:vAlign w:val="bottom"/>
          </w:tcPr>
          <w:p w14:paraId="392C168E" w14:textId="77777777" w:rsidR="00980E5F" w:rsidRDefault="00980E5F">
            <w:pPr>
              <w:rPr>
                <w:rFonts w:ascii="宋体"/>
                <w:vanish/>
              </w:rPr>
            </w:pPr>
          </w:p>
        </w:tc>
        <w:tc>
          <w:tcPr>
            <w:tcW w:w="0" w:type="auto"/>
            <w:gridSpan w:val="3"/>
            <w:shd w:val="clear" w:color="auto" w:fill="auto"/>
            <w:vAlign w:val="bottom"/>
          </w:tcPr>
          <w:p w14:paraId="392C168F" w14:textId="77777777" w:rsidR="00980E5F" w:rsidRDefault="00980E5F">
            <w:pPr>
              <w:rPr>
                <w:rFonts w:ascii="宋体"/>
                <w:vanish/>
              </w:rPr>
            </w:pPr>
          </w:p>
        </w:tc>
        <w:tc>
          <w:tcPr>
            <w:tcW w:w="0" w:type="auto"/>
            <w:gridSpan w:val="3"/>
            <w:shd w:val="clear" w:color="auto" w:fill="auto"/>
            <w:vAlign w:val="bottom"/>
          </w:tcPr>
          <w:p w14:paraId="392C1690" w14:textId="77777777" w:rsidR="00980E5F" w:rsidRDefault="00980E5F">
            <w:pPr>
              <w:rPr>
                <w:rFonts w:ascii="宋体"/>
                <w:vanish/>
              </w:rPr>
            </w:pPr>
          </w:p>
        </w:tc>
        <w:tc>
          <w:tcPr>
            <w:tcW w:w="0" w:type="auto"/>
            <w:gridSpan w:val="3"/>
            <w:shd w:val="clear" w:color="auto" w:fill="auto"/>
            <w:vAlign w:val="bottom"/>
          </w:tcPr>
          <w:p w14:paraId="392C1691" w14:textId="77777777" w:rsidR="00980E5F" w:rsidRDefault="00980E5F">
            <w:pPr>
              <w:rPr>
                <w:rFonts w:ascii="宋体"/>
                <w:vanish/>
              </w:rPr>
            </w:pPr>
          </w:p>
        </w:tc>
      </w:tr>
      <w:tr w:rsidR="00980E5F" w14:paraId="392C169D" w14:textId="77777777">
        <w:trPr>
          <w:hidden/>
        </w:trPr>
        <w:tc>
          <w:tcPr>
            <w:tcW w:w="0" w:type="auto"/>
            <w:gridSpan w:val="3"/>
            <w:shd w:val="clear" w:color="auto" w:fill="auto"/>
            <w:vAlign w:val="bottom"/>
          </w:tcPr>
          <w:p w14:paraId="392C1693" w14:textId="77777777" w:rsidR="00980E5F" w:rsidRDefault="00980E5F">
            <w:pPr>
              <w:rPr>
                <w:rFonts w:ascii="宋体"/>
                <w:vanish/>
              </w:rPr>
            </w:pPr>
          </w:p>
        </w:tc>
        <w:tc>
          <w:tcPr>
            <w:tcW w:w="0" w:type="auto"/>
            <w:gridSpan w:val="3"/>
            <w:shd w:val="clear" w:color="auto" w:fill="auto"/>
            <w:vAlign w:val="bottom"/>
          </w:tcPr>
          <w:p w14:paraId="392C1694" w14:textId="77777777" w:rsidR="00980E5F" w:rsidRDefault="00980E5F">
            <w:pPr>
              <w:rPr>
                <w:rFonts w:ascii="宋体"/>
                <w:vanish/>
              </w:rPr>
            </w:pPr>
          </w:p>
        </w:tc>
        <w:tc>
          <w:tcPr>
            <w:tcW w:w="0" w:type="auto"/>
            <w:gridSpan w:val="3"/>
            <w:shd w:val="clear" w:color="auto" w:fill="auto"/>
            <w:vAlign w:val="bottom"/>
          </w:tcPr>
          <w:p w14:paraId="392C1695" w14:textId="77777777" w:rsidR="00980E5F" w:rsidRDefault="00980E5F">
            <w:pPr>
              <w:rPr>
                <w:rFonts w:ascii="宋体"/>
                <w:vanish/>
              </w:rPr>
            </w:pPr>
          </w:p>
        </w:tc>
        <w:tc>
          <w:tcPr>
            <w:tcW w:w="0" w:type="auto"/>
            <w:gridSpan w:val="3"/>
            <w:shd w:val="clear" w:color="auto" w:fill="auto"/>
            <w:vAlign w:val="bottom"/>
          </w:tcPr>
          <w:p w14:paraId="392C1696" w14:textId="77777777" w:rsidR="00980E5F" w:rsidRDefault="00980E5F">
            <w:pPr>
              <w:rPr>
                <w:rFonts w:ascii="宋体"/>
                <w:vanish/>
              </w:rPr>
            </w:pPr>
          </w:p>
        </w:tc>
        <w:tc>
          <w:tcPr>
            <w:tcW w:w="0" w:type="auto"/>
            <w:gridSpan w:val="3"/>
            <w:shd w:val="clear" w:color="auto" w:fill="auto"/>
            <w:vAlign w:val="bottom"/>
          </w:tcPr>
          <w:p w14:paraId="392C1697" w14:textId="77777777" w:rsidR="00980E5F" w:rsidRDefault="00980E5F">
            <w:pPr>
              <w:rPr>
                <w:rFonts w:ascii="宋体"/>
                <w:vanish/>
              </w:rPr>
            </w:pPr>
          </w:p>
        </w:tc>
        <w:tc>
          <w:tcPr>
            <w:tcW w:w="0" w:type="auto"/>
            <w:gridSpan w:val="3"/>
            <w:shd w:val="clear" w:color="auto" w:fill="auto"/>
            <w:vAlign w:val="bottom"/>
          </w:tcPr>
          <w:p w14:paraId="392C1698" w14:textId="77777777" w:rsidR="00980E5F" w:rsidRDefault="00980E5F">
            <w:pPr>
              <w:rPr>
                <w:rFonts w:ascii="宋体"/>
                <w:vanish/>
              </w:rPr>
            </w:pPr>
          </w:p>
        </w:tc>
        <w:tc>
          <w:tcPr>
            <w:tcW w:w="0" w:type="auto"/>
            <w:gridSpan w:val="3"/>
            <w:shd w:val="clear" w:color="auto" w:fill="auto"/>
            <w:vAlign w:val="bottom"/>
          </w:tcPr>
          <w:p w14:paraId="392C1699" w14:textId="77777777" w:rsidR="00980E5F" w:rsidRDefault="00980E5F">
            <w:pPr>
              <w:rPr>
                <w:rFonts w:ascii="宋体"/>
                <w:vanish/>
              </w:rPr>
            </w:pPr>
          </w:p>
        </w:tc>
        <w:tc>
          <w:tcPr>
            <w:tcW w:w="0" w:type="auto"/>
            <w:gridSpan w:val="3"/>
            <w:shd w:val="clear" w:color="auto" w:fill="auto"/>
            <w:vAlign w:val="bottom"/>
          </w:tcPr>
          <w:p w14:paraId="392C169A" w14:textId="77777777" w:rsidR="00980E5F" w:rsidRDefault="00980E5F">
            <w:pPr>
              <w:rPr>
                <w:rFonts w:ascii="宋体"/>
                <w:vanish/>
              </w:rPr>
            </w:pPr>
          </w:p>
        </w:tc>
        <w:tc>
          <w:tcPr>
            <w:tcW w:w="0" w:type="auto"/>
            <w:gridSpan w:val="3"/>
            <w:shd w:val="clear" w:color="auto" w:fill="auto"/>
            <w:vAlign w:val="bottom"/>
          </w:tcPr>
          <w:p w14:paraId="392C169B" w14:textId="77777777" w:rsidR="00980E5F" w:rsidRDefault="00980E5F">
            <w:pPr>
              <w:rPr>
                <w:rFonts w:ascii="宋体"/>
                <w:vanish/>
              </w:rPr>
            </w:pPr>
          </w:p>
        </w:tc>
        <w:tc>
          <w:tcPr>
            <w:tcW w:w="0" w:type="auto"/>
            <w:gridSpan w:val="3"/>
            <w:shd w:val="clear" w:color="auto" w:fill="auto"/>
            <w:vAlign w:val="bottom"/>
          </w:tcPr>
          <w:p w14:paraId="392C169C" w14:textId="77777777" w:rsidR="00980E5F" w:rsidRDefault="00980E5F">
            <w:pPr>
              <w:rPr>
                <w:rFonts w:ascii="宋体"/>
                <w:vanish/>
              </w:rPr>
            </w:pPr>
          </w:p>
        </w:tc>
      </w:tr>
      <w:tr w:rsidR="00980E5F" w14:paraId="392C16AA" w14:textId="77777777">
        <w:tc>
          <w:tcPr>
            <w:tcW w:w="0" w:type="auto"/>
            <w:gridSpan w:val="3"/>
            <w:shd w:val="clear" w:color="auto" w:fill="FFFFFF"/>
            <w:tcMar>
              <w:top w:w="40" w:type="dxa"/>
              <w:left w:w="245" w:type="dxa"/>
              <w:bottom w:w="40" w:type="dxa"/>
              <w:right w:w="20" w:type="dxa"/>
            </w:tcMar>
            <w:vAlign w:val="bottom"/>
          </w:tcPr>
          <w:p w14:paraId="392C169E" w14:textId="77777777" w:rsidR="00980E5F" w:rsidRDefault="00483613">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9F" w14:textId="77777777" w:rsidR="00980E5F" w:rsidRDefault="00483613">
            <w:pPr>
              <w:jc w:val="right"/>
              <w:textAlignment w:val="bottom"/>
            </w:pPr>
            <w:r>
              <w:rPr>
                <w:rFonts w:ascii="Arial" w:eastAsia="宋体" w:hAnsi="Arial" w:cs="Arial"/>
                <w:b/>
                <w:bCs/>
                <w:color w:val="000000"/>
                <w:sz w:val="14"/>
                <w:szCs w:val="14"/>
              </w:rPr>
              <w:t>11,864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6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A2" w14:textId="77777777" w:rsidR="00980E5F" w:rsidRDefault="00483613">
            <w:pPr>
              <w:jc w:val="right"/>
              <w:textAlignment w:val="bottom"/>
            </w:pPr>
            <w:r>
              <w:rPr>
                <w:rFonts w:ascii="Arial" w:eastAsia="宋体" w:hAnsi="Arial" w:cs="Arial"/>
                <w:color w:val="000000"/>
                <w:sz w:val="14"/>
                <w:szCs w:val="14"/>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A3" w14:textId="77777777" w:rsidR="00980E5F" w:rsidRDefault="00980E5F">
            <w:pPr>
              <w:jc w:val="right"/>
              <w:rPr>
                <w:rFonts w:ascii="宋体"/>
              </w:rPr>
            </w:pPr>
          </w:p>
        </w:tc>
        <w:tc>
          <w:tcPr>
            <w:tcW w:w="0" w:type="auto"/>
            <w:gridSpan w:val="3"/>
            <w:shd w:val="clear" w:color="auto" w:fill="auto"/>
            <w:vAlign w:val="bottom"/>
          </w:tcPr>
          <w:p w14:paraId="392C16A4" w14:textId="77777777" w:rsidR="00980E5F" w:rsidRDefault="00980E5F">
            <w:pPr>
              <w:rPr>
                <w:rFonts w:ascii="宋体"/>
                <w:vanish/>
              </w:rPr>
            </w:pPr>
          </w:p>
        </w:tc>
        <w:tc>
          <w:tcPr>
            <w:tcW w:w="0" w:type="auto"/>
            <w:gridSpan w:val="3"/>
            <w:shd w:val="clear" w:color="auto" w:fill="auto"/>
            <w:vAlign w:val="bottom"/>
          </w:tcPr>
          <w:p w14:paraId="392C16A5" w14:textId="77777777" w:rsidR="00980E5F" w:rsidRDefault="00980E5F">
            <w:pPr>
              <w:rPr>
                <w:rFonts w:ascii="宋体"/>
                <w:vanish/>
              </w:rPr>
            </w:pPr>
          </w:p>
        </w:tc>
        <w:tc>
          <w:tcPr>
            <w:tcW w:w="0" w:type="auto"/>
            <w:gridSpan w:val="3"/>
            <w:shd w:val="clear" w:color="auto" w:fill="auto"/>
            <w:vAlign w:val="bottom"/>
          </w:tcPr>
          <w:p w14:paraId="392C16A6" w14:textId="77777777" w:rsidR="00980E5F" w:rsidRDefault="00980E5F">
            <w:pPr>
              <w:rPr>
                <w:rFonts w:ascii="宋体"/>
                <w:vanish/>
              </w:rPr>
            </w:pPr>
          </w:p>
        </w:tc>
        <w:tc>
          <w:tcPr>
            <w:tcW w:w="0" w:type="auto"/>
            <w:gridSpan w:val="3"/>
            <w:shd w:val="clear" w:color="auto" w:fill="auto"/>
            <w:vAlign w:val="bottom"/>
          </w:tcPr>
          <w:p w14:paraId="392C16A7" w14:textId="77777777" w:rsidR="00980E5F" w:rsidRDefault="00980E5F">
            <w:pPr>
              <w:rPr>
                <w:rFonts w:ascii="宋体"/>
                <w:vanish/>
              </w:rPr>
            </w:pPr>
          </w:p>
        </w:tc>
        <w:tc>
          <w:tcPr>
            <w:tcW w:w="0" w:type="auto"/>
            <w:gridSpan w:val="3"/>
            <w:shd w:val="clear" w:color="auto" w:fill="auto"/>
            <w:vAlign w:val="bottom"/>
          </w:tcPr>
          <w:p w14:paraId="392C16A8" w14:textId="77777777" w:rsidR="00980E5F" w:rsidRDefault="00980E5F">
            <w:pPr>
              <w:rPr>
                <w:rFonts w:ascii="宋体"/>
                <w:vanish/>
              </w:rPr>
            </w:pPr>
          </w:p>
        </w:tc>
        <w:tc>
          <w:tcPr>
            <w:tcW w:w="0" w:type="auto"/>
            <w:gridSpan w:val="3"/>
            <w:shd w:val="clear" w:color="auto" w:fill="auto"/>
            <w:vAlign w:val="bottom"/>
          </w:tcPr>
          <w:p w14:paraId="392C16A9" w14:textId="77777777" w:rsidR="00980E5F" w:rsidRDefault="00980E5F">
            <w:pPr>
              <w:rPr>
                <w:rFonts w:ascii="宋体"/>
                <w:vanish/>
              </w:rPr>
            </w:pPr>
          </w:p>
        </w:tc>
      </w:tr>
      <w:tr w:rsidR="00980E5F" w14:paraId="392C16B7" w14:textId="77777777">
        <w:tc>
          <w:tcPr>
            <w:tcW w:w="0" w:type="auto"/>
            <w:gridSpan w:val="3"/>
            <w:shd w:val="clear" w:color="auto" w:fill="CCEEFF"/>
            <w:tcMar>
              <w:top w:w="40" w:type="dxa"/>
              <w:left w:w="20" w:type="dxa"/>
              <w:bottom w:w="40" w:type="dxa"/>
              <w:right w:w="20" w:type="dxa"/>
            </w:tcMar>
            <w:vAlign w:val="bottom"/>
          </w:tcPr>
          <w:p w14:paraId="392C16AB" w14:textId="77777777" w:rsidR="00980E5F" w:rsidRDefault="00483613">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6AC" w14:textId="77777777" w:rsidR="00980E5F" w:rsidRDefault="00483613">
            <w:pPr>
              <w:jc w:val="right"/>
              <w:textAlignment w:val="bottom"/>
            </w:pPr>
            <w:r>
              <w:rPr>
                <w:rFonts w:ascii="Arial" w:eastAsia="宋体" w:hAnsi="Arial" w:cs="Arial"/>
                <w:b/>
                <w:bCs/>
                <w:color w:val="000000"/>
                <w:sz w:val="14"/>
                <w:szCs w:val="14"/>
              </w:rPr>
              <w:t>33,565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6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A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6AF" w14:textId="77777777" w:rsidR="00980E5F" w:rsidRDefault="00483613">
            <w:pPr>
              <w:jc w:val="right"/>
              <w:textAlignment w:val="bottom"/>
            </w:pPr>
            <w:r>
              <w:rPr>
                <w:rFonts w:ascii="Arial" w:eastAsia="宋体" w:hAnsi="Arial" w:cs="Arial"/>
                <w:color w:val="000000"/>
                <w:sz w:val="14"/>
                <w:szCs w:val="14"/>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6B0" w14:textId="77777777" w:rsidR="00980E5F" w:rsidRDefault="00980E5F">
            <w:pPr>
              <w:jc w:val="right"/>
              <w:rPr>
                <w:rFonts w:ascii="宋体"/>
              </w:rPr>
            </w:pPr>
          </w:p>
        </w:tc>
        <w:tc>
          <w:tcPr>
            <w:tcW w:w="0" w:type="auto"/>
            <w:gridSpan w:val="3"/>
            <w:shd w:val="clear" w:color="auto" w:fill="auto"/>
            <w:vAlign w:val="bottom"/>
          </w:tcPr>
          <w:p w14:paraId="392C16B1" w14:textId="77777777" w:rsidR="00980E5F" w:rsidRDefault="00980E5F">
            <w:pPr>
              <w:rPr>
                <w:rFonts w:ascii="宋体"/>
                <w:vanish/>
              </w:rPr>
            </w:pPr>
          </w:p>
        </w:tc>
        <w:tc>
          <w:tcPr>
            <w:tcW w:w="0" w:type="auto"/>
            <w:gridSpan w:val="3"/>
            <w:shd w:val="clear" w:color="auto" w:fill="auto"/>
            <w:vAlign w:val="bottom"/>
          </w:tcPr>
          <w:p w14:paraId="392C16B2" w14:textId="77777777" w:rsidR="00980E5F" w:rsidRDefault="00980E5F">
            <w:pPr>
              <w:rPr>
                <w:rFonts w:ascii="宋体"/>
                <w:vanish/>
              </w:rPr>
            </w:pPr>
          </w:p>
        </w:tc>
        <w:tc>
          <w:tcPr>
            <w:tcW w:w="0" w:type="auto"/>
            <w:gridSpan w:val="3"/>
            <w:shd w:val="clear" w:color="auto" w:fill="auto"/>
            <w:vAlign w:val="bottom"/>
          </w:tcPr>
          <w:p w14:paraId="392C16B3" w14:textId="77777777" w:rsidR="00980E5F" w:rsidRDefault="00980E5F">
            <w:pPr>
              <w:rPr>
                <w:rFonts w:ascii="宋体"/>
                <w:vanish/>
              </w:rPr>
            </w:pPr>
          </w:p>
        </w:tc>
        <w:tc>
          <w:tcPr>
            <w:tcW w:w="0" w:type="auto"/>
            <w:gridSpan w:val="3"/>
            <w:shd w:val="clear" w:color="auto" w:fill="auto"/>
            <w:vAlign w:val="bottom"/>
          </w:tcPr>
          <w:p w14:paraId="392C16B4" w14:textId="77777777" w:rsidR="00980E5F" w:rsidRDefault="00980E5F">
            <w:pPr>
              <w:rPr>
                <w:rFonts w:ascii="宋体"/>
                <w:vanish/>
              </w:rPr>
            </w:pPr>
          </w:p>
        </w:tc>
        <w:tc>
          <w:tcPr>
            <w:tcW w:w="0" w:type="auto"/>
            <w:gridSpan w:val="3"/>
            <w:shd w:val="clear" w:color="auto" w:fill="auto"/>
            <w:vAlign w:val="bottom"/>
          </w:tcPr>
          <w:p w14:paraId="392C16B5" w14:textId="77777777" w:rsidR="00980E5F" w:rsidRDefault="00980E5F">
            <w:pPr>
              <w:rPr>
                <w:rFonts w:ascii="宋体"/>
                <w:vanish/>
              </w:rPr>
            </w:pPr>
          </w:p>
        </w:tc>
        <w:tc>
          <w:tcPr>
            <w:tcW w:w="0" w:type="auto"/>
            <w:gridSpan w:val="3"/>
            <w:shd w:val="clear" w:color="auto" w:fill="auto"/>
            <w:vAlign w:val="bottom"/>
          </w:tcPr>
          <w:p w14:paraId="392C16B6" w14:textId="77777777" w:rsidR="00980E5F" w:rsidRDefault="00980E5F">
            <w:pPr>
              <w:rPr>
                <w:rFonts w:ascii="宋体"/>
                <w:vanish/>
              </w:rPr>
            </w:pPr>
          </w:p>
        </w:tc>
      </w:tr>
      <w:tr w:rsidR="00980E5F" w14:paraId="392C16C4" w14:textId="77777777">
        <w:tc>
          <w:tcPr>
            <w:tcW w:w="0" w:type="auto"/>
            <w:gridSpan w:val="3"/>
            <w:shd w:val="clear" w:color="auto" w:fill="FFFFFF"/>
            <w:tcMar>
              <w:top w:w="40" w:type="dxa"/>
              <w:left w:w="20" w:type="dxa"/>
              <w:bottom w:w="40" w:type="dxa"/>
              <w:right w:w="20" w:type="dxa"/>
            </w:tcMar>
            <w:vAlign w:val="bottom"/>
          </w:tcPr>
          <w:p w14:paraId="392C16B8" w14:textId="77777777" w:rsidR="00980E5F" w:rsidRDefault="00483613">
            <w:pPr>
              <w:textAlignment w:val="bottom"/>
            </w:pPr>
            <w:r>
              <w:rPr>
                <w:rFonts w:ascii="Arial" w:eastAsia="宋体" w:hAnsi="Arial" w:cs="Arial"/>
                <w:color w:val="000000"/>
                <w:sz w:val="14"/>
                <w:szCs w:val="14"/>
              </w:rPr>
              <w:t>Allowance for loan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B9" w14:textId="77777777" w:rsidR="00980E5F" w:rsidRDefault="00483613">
            <w:pPr>
              <w:jc w:val="right"/>
              <w:textAlignment w:val="bottom"/>
            </w:pPr>
            <w:r>
              <w:rPr>
                <w:rFonts w:ascii="Arial" w:eastAsia="宋体" w:hAnsi="Arial" w:cs="Arial"/>
                <w:b/>
                <w:bCs/>
                <w:color w:val="000000"/>
                <w:sz w:val="14"/>
                <w:szCs w:val="14"/>
              </w:rPr>
              <w:t>(95)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6B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16BC" w14:textId="77777777" w:rsidR="00980E5F" w:rsidRDefault="00483613">
            <w:pPr>
              <w:jc w:val="right"/>
              <w:textAlignment w:val="bottom"/>
            </w:pPr>
            <w:r>
              <w:rPr>
                <w:rFonts w:ascii="Arial" w:eastAsia="宋体" w:hAnsi="Arial" w:cs="Arial"/>
                <w:color w:val="000000"/>
                <w:sz w:val="14"/>
                <w:szCs w:val="14"/>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6BD" w14:textId="77777777" w:rsidR="00980E5F" w:rsidRDefault="00980E5F">
            <w:pPr>
              <w:jc w:val="right"/>
              <w:rPr>
                <w:rFonts w:ascii="宋体"/>
              </w:rPr>
            </w:pPr>
          </w:p>
        </w:tc>
        <w:tc>
          <w:tcPr>
            <w:tcW w:w="0" w:type="auto"/>
            <w:gridSpan w:val="3"/>
            <w:shd w:val="clear" w:color="auto" w:fill="auto"/>
            <w:vAlign w:val="bottom"/>
          </w:tcPr>
          <w:p w14:paraId="392C16BE" w14:textId="77777777" w:rsidR="00980E5F" w:rsidRDefault="00980E5F">
            <w:pPr>
              <w:rPr>
                <w:rFonts w:ascii="宋体"/>
                <w:vanish/>
              </w:rPr>
            </w:pPr>
          </w:p>
        </w:tc>
        <w:tc>
          <w:tcPr>
            <w:tcW w:w="0" w:type="auto"/>
            <w:gridSpan w:val="3"/>
            <w:shd w:val="clear" w:color="auto" w:fill="auto"/>
            <w:vAlign w:val="bottom"/>
          </w:tcPr>
          <w:p w14:paraId="392C16BF" w14:textId="77777777" w:rsidR="00980E5F" w:rsidRDefault="00980E5F">
            <w:pPr>
              <w:rPr>
                <w:rFonts w:ascii="宋体"/>
                <w:vanish/>
              </w:rPr>
            </w:pPr>
          </w:p>
        </w:tc>
        <w:tc>
          <w:tcPr>
            <w:tcW w:w="0" w:type="auto"/>
            <w:gridSpan w:val="3"/>
            <w:shd w:val="clear" w:color="auto" w:fill="auto"/>
            <w:vAlign w:val="bottom"/>
          </w:tcPr>
          <w:p w14:paraId="392C16C0" w14:textId="77777777" w:rsidR="00980E5F" w:rsidRDefault="00980E5F">
            <w:pPr>
              <w:rPr>
                <w:rFonts w:ascii="宋体"/>
                <w:vanish/>
              </w:rPr>
            </w:pPr>
          </w:p>
        </w:tc>
        <w:tc>
          <w:tcPr>
            <w:tcW w:w="0" w:type="auto"/>
            <w:gridSpan w:val="3"/>
            <w:shd w:val="clear" w:color="auto" w:fill="auto"/>
            <w:vAlign w:val="bottom"/>
          </w:tcPr>
          <w:p w14:paraId="392C16C1" w14:textId="77777777" w:rsidR="00980E5F" w:rsidRDefault="00980E5F">
            <w:pPr>
              <w:rPr>
                <w:rFonts w:ascii="宋体"/>
                <w:vanish/>
              </w:rPr>
            </w:pPr>
          </w:p>
        </w:tc>
        <w:tc>
          <w:tcPr>
            <w:tcW w:w="0" w:type="auto"/>
            <w:gridSpan w:val="3"/>
            <w:shd w:val="clear" w:color="auto" w:fill="auto"/>
            <w:vAlign w:val="bottom"/>
          </w:tcPr>
          <w:p w14:paraId="392C16C2" w14:textId="77777777" w:rsidR="00980E5F" w:rsidRDefault="00980E5F">
            <w:pPr>
              <w:rPr>
                <w:rFonts w:ascii="宋体"/>
                <w:vanish/>
              </w:rPr>
            </w:pPr>
          </w:p>
        </w:tc>
        <w:tc>
          <w:tcPr>
            <w:tcW w:w="0" w:type="auto"/>
            <w:gridSpan w:val="3"/>
            <w:shd w:val="clear" w:color="auto" w:fill="auto"/>
            <w:vAlign w:val="bottom"/>
          </w:tcPr>
          <w:p w14:paraId="392C16C3" w14:textId="77777777" w:rsidR="00980E5F" w:rsidRDefault="00980E5F">
            <w:pPr>
              <w:rPr>
                <w:rFonts w:ascii="宋体"/>
                <w:vanish/>
              </w:rPr>
            </w:pPr>
          </w:p>
        </w:tc>
      </w:tr>
      <w:tr w:rsidR="00980E5F" w14:paraId="392C16D3" w14:textId="77777777">
        <w:tc>
          <w:tcPr>
            <w:tcW w:w="0" w:type="auto"/>
            <w:gridSpan w:val="3"/>
            <w:shd w:val="clear" w:color="auto" w:fill="CCEEFF"/>
            <w:tcMar>
              <w:top w:w="40" w:type="dxa"/>
              <w:left w:w="20" w:type="dxa"/>
              <w:bottom w:w="40" w:type="dxa"/>
              <w:right w:w="20" w:type="dxa"/>
            </w:tcMar>
            <w:vAlign w:val="bottom"/>
          </w:tcPr>
          <w:p w14:paraId="392C16C5" w14:textId="77777777" w:rsidR="00980E5F" w:rsidRDefault="00483613">
            <w:pPr>
              <w:textAlignment w:val="bottom"/>
            </w:pPr>
            <w:r>
              <w:rPr>
                <w:rFonts w:ascii="Arial" w:eastAsia="宋体" w:hAnsi="Arial" w:cs="Arial"/>
                <w:color w:val="000000"/>
                <w:sz w:val="14"/>
                <w:szCs w:val="14"/>
              </w:rPr>
              <w:t xml:space="preserve">Loans, net </w:t>
            </w:r>
            <w:r>
              <w:rPr>
                <w:rFonts w:ascii="Arial" w:eastAsia="宋体" w:hAnsi="Arial" w:cs="Arial"/>
                <w:color w:val="000000"/>
                <w:sz w:val="14"/>
                <w:szCs w:val="14"/>
              </w:rPr>
              <w:t>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6C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6C7" w14:textId="77777777" w:rsidR="00980E5F" w:rsidRDefault="00483613">
            <w:pPr>
              <w:jc w:val="right"/>
              <w:textAlignment w:val="bottom"/>
            </w:pPr>
            <w:r>
              <w:rPr>
                <w:rFonts w:ascii="Arial" w:eastAsia="宋体" w:hAnsi="Arial" w:cs="Arial"/>
                <w:b/>
                <w:bCs/>
                <w:color w:val="000000"/>
                <w:sz w:val="14"/>
                <w:szCs w:val="14"/>
              </w:rPr>
              <w:t>33,470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6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6C9"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6C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6CB" w14:textId="77777777" w:rsidR="00980E5F" w:rsidRDefault="00483613">
            <w:pPr>
              <w:jc w:val="right"/>
              <w:textAlignment w:val="bottom"/>
            </w:pPr>
            <w:r>
              <w:rPr>
                <w:rFonts w:ascii="Arial" w:eastAsia="宋体" w:hAnsi="Arial" w:cs="Arial"/>
                <w:color w:val="000000"/>
                <w:sz w:val="14"/>
                <w:szCs w:val="14"/>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6CC" w14:textId="77777777" w:rsidR="00980E5F" w:rsidRDefault="00980E5F">
            <w:pPr>
              <w:jc w:val="right"/>
              <w:rPr>
                <w:rFonts w:ascii="宋体"/>
              </w:rPr>
            </w:pPr>
          </w:p>
        </w:tc>
        <w:tc>
          <w:tcPr>
            <w:tcW w:w="0" w:type="auto"/>
            <w:gridSpan w:val="3"/>
            <w:shd w:val="clear" w:color="auto" w:fill="auto"/>
            <w:vAlign w:val="bottom"/>
          </w:tcPr>
          <w:p w14:paraId="392C16CD" w14:textId="77777777" w:rsidR="00980E5F" w:rsidRDefault="00980E5F">
            <w:pPr>
              <w:rPr>
                <w:rFonts w:ascii="宋体"/>
                <w:vanish/>
              </w:rPr>
            </w:pPr>
          </w:p>
        </w:tc>
        <w:tc>
          <w:tcPr>
            <w:tcW w:w="0" w:type="auto"/>
            <w:gridSpan w:val="3"/>
            <w:shd w:val="clear" w:color="auto" w:fill="auto"/>
            <w:vAlign w:val="bottom"/>
          </w:tcPr>
          <w:p w14:paraId="392C16CE" w14:textId="77777777" w:rsidR="00980E5F" w:rsidRDefault="00980E5F">
            <w:pPr>
              <w:rPr>
                <w:rFonts w:ascii="宋体"/>
                <w:vanish/>
              </w:rPr>
            </w:pPr>
          </w:p>
        </w:tc>
        <w:tc>
          <w:tcPr>
            <w:tcW w:w="0" w:type="auto"/>
            <w:gridSpan w:val="3"/>
            <w:shd w:val="clear" w:color="auto" w:fill="auto"/>
            <w:vAlign w:val="bottom"/>
          </w:tcPr>
          <w:p w14:paraId="392C16CF" w14:textId="77777777" w:rsidR="00980E5F" w:rsidRDefault="00980E5F">
            <w:pPr>
              <w:rPr>
                <w:rFonts w:ascii="宋体"/>
                <w:vanish/>
              </w:rPr>
            </w:pPr>
          </w:p>
        </w:tc>
        <w:tc>
          <w:tcPr>
            <w:tcW w:w="0" w:type="auto"/>
            <w:gridSpan w:val="3"/>
            <w:shd w:val="clear" w:color="auto" w:fill="auto"/>
            <w:vAlign w:val="bottom"/>
          </w:tcPr>
          <w:p w14:paraId="392C16D0" w14:textId="77777777" w:rsidR="00980E5F" w:rsidRDefault="00980E5F">
            <w:pPr>
              <w:rPr>
                <w:rFonts w:ascii="宋体"/>
                <w:vanish/>
              </w:rPr>
            </w:pPr>
          </w:p>
        </w:tc>
        <w:tc>
          <w:tcPr>
            <w:tcW w:w="0" w:type="auto"/>
            <w:gridSpan w:val="3"/>
            <w:shd w:val="clear" w:color="auto" w:fill="auto"/>
            <w:vAlign w:val="bottom"/>
          </w:tcPr>
          <w:p w14:paraId="392C16D1" w14:textId="77777777" w:rsidR="00980E5F" w:rsidRDefault="00980E5F">
            <w:pPr>
              <w:rPr>
                <w:rFonts w:ascii="宋体"/>
                <w:vanish/>
              </w:rPr>
            </w:pPr>
          </w:p>
        </w:tc>
        <w:tc>
          <w:tcPr>
            <w:tcW w:w="0" w:type="auto"/>
            <w:gridSpan w:val="3"/>
            <w:shd w:val="clear" w:color="auto" w:fill="auto"/>
            <w:vAlign w:val="bottom"/>
          </w:tcPr>
          <w:p w14:paraId="392C16D2" w14:textId="77777777" w:rsidR="00980E5F" w:rsidRDefault="00980E5F">
            <w:pPr>
              <w:rPr>
                <w:rFonts w:ascii="宋体"/>
                <w:vanish/>
              </w:rPr>
            </w:pPr>
          </w:p>
        </w:tc>
      </w:tr>
    </w:tbl>
    <w:p w14:paraId="392C16D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980E5F" w14:paraId="392C16E1" w14:textId="77777777">
        <w:tc>
          <w:tcPr>
            <w:tcW w:w="50" w:type="pct"/>
            <w:shd w:val="clear" w:color="auto" w:fill="auto"/>
            <w:vAlign w:val="bottom"/>
          </w:tcPr>
          <w:p w14:paraId="392C16D5" w14:textId="77777777" w:rsidR="00980E5F" w:rsidRDefault="00980E5F">
            <w:pPr>
              <w:rPr>
                <w:rFonts w:ascii="宋体"/>
              </w:rPr>
            </w:pPr>
          </w:p>
        </w:tc>
        <w:tc>
          <w:tcPr>
            <w:tcW w:w="2374" w:type="pct"/>
            <w:shd w:val="clear" w:color="auto" w:fill="auto"/>
            <w:vAlign w:val="bottom"/>
          </w:tcPr>
          <w:p w14:paraId="392C16D6" w14:textId="77777777" w:rsidR="00980E5F" w:rsidRDefault="00980E5F">
            <w:pPr>
              <w:rPr>
                <w:rFonts w:ascii="宋体"/>
              </w:rPr>
            </w:pPr>
          </w:p>
        </w:tc>
        <w:tc>
          <w:tcPr>
            <w:tcW w:w="5" w:type="pct"/>
            <w:shd w:val="clear" w:color="auto" w:fill="auto"/>
            <w:vAlign w:val="bottom"/>
          </w:tcPr>
          <w:p w14:paraId="392C16D7" w14:textId="77777777" w:rsidR="00980E5F" w:rsidRDefault="00980E5F">
            <w:pPr>
              <w:rPr>
                <w:rFonts w:ascii="宋体"/>
              </w:rPr>
            </w:pPr>
          </w:p>
        </w:tc>
        <w:tc>
          <w:tcPr>
            <w:tcW w:w="50" w:type="pct"/>
            <w:shd w:val="clear" w:color="auto" w:fill="auto"/>
            <w:vAlign w:val="bottom"/>
          </w:tcPr>
          <w:p w14:paraId="392C16D8" w14:textId="77777777" w:rsidR="00980E5F" w:rsidRDefault="00980E5F">
            <w:pPr>
              <w:rPr>
                <w:rFonts w:ascii="宋体"/>
              </w:rPr>
            </w:pPr>
          </w:p>
        </w:tc>
        <w:tc>
          <w:tcPr>
            <w:tcW w:w="148" w:type="pct"/>
            <w:shd w:val="clear" w:color="auto" w:fill="auto"/>
            <w:vAlign w:val="bottom"/>
          </w:tcPr>
          <w:p w14:paraId="392C16D9" w14:textId="77777777" w:rsidR="00980E5F" w:rsidRDefault="00980E5F">
            <w:pPr>
              <w:rPr>
                <w:rFonts w:ascii="宋体"/>
              </w:rPr>
            </w:pPr>
          </w:p>
        </w:tc>
        <w:tc>
          <w:tcPr>
            <w:tcW w:w="5" w:type="pct"/>
            <w:shd w:val="clear" w:color="auto" w:fill="auto"/>
            <w:vAlign w:val="bottom"/>
          </w:tcPr>
          <w:p w14:paraId="392C16DA" w14:textId="77777777" w:rsidR="00980E5F" w:rsidRDefault="00980E5F">
            <w:pPr>
              <w:rPr>
                <w:rFonts w:ascii="宋体"/>
              </w:rPr>
            </w:pPr>
          </w:p>
        </w:tc>
        <w:tc>
          <w:tcPr>
            <w:tcW w:w="50" w:type="pct"/>
            <w:shd w:val="clear" w:color="auto" w:fill="auto"/>
            <w:vAlign w:val="bottom"/>
          </w:tcPr>
          <w:p w14:paraId="392C16DB" w14:textId="77777777" w:rsidR="00980E5F" w:rsidRDefault="00980E5F">
            <w:pPr>
              <w:rPr>
                <w:rFonts w:ascii="宋体"/>
              </w:rPr>
            </w:pPr>
          </w:p>
        </w:tc>
        <w:tc>
          <w:tcPr>
            <w:tcW w:w="681" w:type="pct"/>
            <w:shd w:val="clear" w:color="auto" w:fill="auto"/>
            <w:vAlign w:val="bottom"/>
          </w:tcPr>
          <w:p w14:paraId="392C16DC" w14:textId="77777777" w:rsidR="00980E5F" w:rsidRDefault="00980E5F">
            <w:pPr>
              <w:rPr>
                <w:rFonts w:ascii="宋体"/>
              </w:rPr>
            </w:pPr>
          </w:p>
        </w:tc>
        <w:tc>
          <w:tcPr>
            <w:tcW w:w="5" w:type="pct"/>
            <w:shd w:val="clear" w:color="auto" w:fill="auto"/>
            <w:vAlign w:val="bottom"/>
          </w:tcPr>
          <w:p w14:paraId="392C16DD" w14:textId="77777777" w:rsidR="00980E5F" w:rsidRDefault="00980E5F">
            <w:pPr>
              <w:rPr>
                <w:rFonts w:ascii="宋体"/>
              </w:rPr>
            </w:pPr>
          </w:p>
        </w:tc>
        <w:tc>
          <w:tcPr>
            <w:tcW w:w="50" w:type="pct"/>
            <w:shd w:val="clear" w:color="auto" w:fill="auto"/>
            <w:vAlign w:val="bottom"/>
          </w:tcPr>
          <w:p w14:paraId="392C16DE" w14:textId="77777777" w:rsidR="00980E5F" w:rsidRDefault="00980E5F">
            <w:pPr>
              <w:rPr>
                <w:rFonts w:ascii="宋体"/>
              </w:rPr>
            </w:pPr>
          </w:p>
        </w:tc>
        <w:tc>
          <w:tcPr>
            <w:tcW w:w="1575" w:type="pct"/>
            <w:shd w:val="clear" w:color="auto" w:fill="auto"/>
            <w:vAlign w:val="bottom"/>
          </w:tcPr>
          <w:p w14:paraId="392C16DF" w14:textId="77777777" w:rsidR="00980E5F" w:rsidRDefault="00980E5F">
            <w:pPr>
              <w:rPr>
                <w:rFonts w:ascii="宋体"/>
              </w:rPr>
            </w:pPr>
          </w:p>
        </w:tc>
        <w:tc>
          <w:tcPr>
            <w:tcW w:w="5" w:type="pct"/>
            <w:shd w:val="clear" w:color="auto" w:fill="auto"/>
            <w:vAlign w:val="bottom"/>
          </w:tcPr>
          <w:p w14:paraId="392C16E0" w14:textId="77777777" w:rsidR="00980E5F" w:rsidRDefault="00980E5F">
            <w:pPr>
              <w:rPr>
                <w:rFonts w:ascii="宋体"/>
              </w:rPr>
            </w:pPr>
          </w:p>
        </w:tc>
      </w:tr>
      <w:tr w:rsidR="00980E5F" w14:paraId="392C16E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6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6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6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6E5" w14:textId="77777777" w:rsidR="00980E5F" w:rsidRDefault="00980E5F">
            <w:pPr>
              <w:rPr>
                <w:rFonts w:ascii="宋体"/>
              </w:rPr>
            </w:pPr>
          </w:p>
        </w:tc>
      </w:tr>
    </w:tbl>
    <w:p w14:paraId="392C16E7" w14:textId="77777777" w:rsidR="00980E5F" w:rsidRDefault="00483613">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392C16E8" w14:textId="77777777" w:rsidR="00980E5F" w:rsidRDefault="00483613">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w:t>
      </w:r>
      <w:r>
        <w:rPr>
          <w:rFonts w:ascii="Arial" w:eastAsia="宋体" w:hAnsi="Arial" w:cs="Arial"/>
          <w:color w:val="000000"/>
          <w:sz w:val="13"/>
          <w:szCs w:val="13"/>
          <w:shd w:val="clear" w:color="auto" w:fill="FFFFFF"/>
        </w:rPr>
        <w:t xml:space="preserve">$8.17 billion private equity capital call finance loans, $6.48 billion loans to real money funds, </w:t>
      </w:r>
      <w:r>
        <w:rPr>
          <w:rFonts w:ascii="Arial" w:eastAsia="宋体" w:hAnsi="Arial" w:cs="Arial"/>
          <w:color w:val="000000"/>
          <w:sz w:val="13"/>
          <w:szCs w:val="13"/>
          <w:shd w:val="clear" w:color="auto" w:fill="FFFFFF"/>
        </w:rPr>
        <w:t>$4.11 billion collateralized loan obligations in loan form and $1.26 billion loans to business development companies as of June 30, 2022, compared to $9.15 billion private equity capital call finance loans, $6.40 billion loans to real money funds, $2.91 bi</w:t>
      </w:r>
      <w:r>
        <w:rPr>
          <w:rFonts w:ascii="Arial" w:eastAsia="宋体" w:hAnsi="Arial" w:cs="Arial"/>
          <w:color w:val="000000"/>
          <w:sz w:val="13"/>
          <w:szCs w:val="13"/>
          <w:shd w:val="clear" w:color="auto" w:fill="FFFFFF"/>
        </w:rPr>
        <w:t>llion collateralized loan obligations in loan form and $1.39 billion loans to business development companies as of December 31, 2021.</w:t>
      </w:r>
    </w:p>
    <w:p w14:paraId="392C16E9" w14:textId="77777777" w:rsidR="00980E5F" w:rsidRDefault="00483613">
      <w:pPr>
        <w:spacing w:before="60"/>
        <w:jc w:val="both"/>
        <w:textAlignment w:val="top"/>
      </w:pPr>
      <w:r>
        <w:rPr>
          <w:rFonts w:ascii="Arial" w:eastAsia="宋体" w:hAnsi="Arial" w:cs="Arial"/>
          <w:color w:val="000000"/>
          <w:sz w:val="8"/>
          <w:szCs w:val="8"/>
          <w:shd w:val="clear" w:color="auto" w:fill="FFFFFF"/>
        </w:rPr>
        <w:t xml:space="preserve">(3) </w:t>
      </w:r>
      <w:r>
        <w:rPr>
          <w:rFonts w:ascii="Arial" w:eastAsia="宋体" w:hAnsi="Arial" w:cs="Arial"/>
          <w:color w:val="000000"/>
          <w:sz w:val="13"/>
          <w:szCs w:val="13"/>
          <w:shd w:val="clear" w:color="auto" w:fill="FFFFFF"/>
        </w:rPr>
        <w:t>Includes $1.53 billion securities finance loans, $420 million loans to municipalities and $21 million other loans as o</w:t>
      </w:r>
      <w:r>
        <w:rPr>
          <w:rFonts w:ascii="Arial" w:eastAsia="宋体" w:hAnsi="Arial" w:cs="Arial"/>
          <w:color w:val="000000"/>
          <w:sz w:val="13"/>
          <w:szCs w:val="13"/>
          <w:shd w:val="clear" w:color="auto" w:fill="FFFFFF"/>
        </w:rPr>
        <w:t>f June 30, 2022 and $1.78 billion</w:t>
      </w:r>
      <w:r>
        <w:rPr>
          <w:rFonts w:ascii="Arial" w:eastAsia="宋体" w:hAnsi="Arial" w:cs="Arial"/>
          <w:color w:val="000000"/>
          <w:sz w:val="13"/>
          <w:szCs w:val="13"/>
        </w:rPr>
        <w:t xml:space="preserve"> securities finance loans, $455 million loans to municipalities and $23 million other loans as of December 31, 2021.</w:t>
      </w:r>
    </w:p>
    <w:p w14:paraId="392C16EA" w14:textId="77777777" w:rsidR="00980E5F" w:rsidRDefault="00483613">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June 30, 2022, excluding overdrafts, floating rate loans totaled $25.98 billion and fixed rate l</w:t>
      </w:r>
      <w:r>
        <w:rPr>
          <w:rFonts w:ascii="Arial" w:eastAsia="宋体" w:hAnsi="Arial" w:cs="Arial"/>
          <w:color w:val="000000"/>
          <w:sz w:val="13"/>
          <w:szCs w:val="13"/>
        </w:rPr>
        <w:t xml:space="preserve">oans totaled $2.75 billion. We have entered into interest rate swap agreements to hedge the forecasted cash flows associated with LIBOR indexed floating-rate loans. Refer to Note 10 to the consolidated financial statements included under Item 8, Financial </w:t>
      </w:r>
      <w:r>
        <w:rPr>
          <w:rFonts w:ascii="Arial" w:eastAsia="宋体" w:hAnsi="Arial" w:cs="Arial"/>
          <w:color w:val="000000"/>
          <w:sz w:val="13"/>
          <w:szCs w:val="13"/>
        </w:rPr>
        <w:t xml:space="preserve">Statements and Supplementary Data, in our 2021 Form 10-K for additional details. </w:t>
      </w:r>
    </w:p>
    <w:p w14:paraId="392C16EB" w14:textId="77777777" w:rsidR="00980E5F" w:rsidRDefault="00483613">
      <w:pPr>
        <w:spacing w:before="60"/>
        <w:ind w:firstLine="450"/>
        <w:jc w:val="both"/>
        <w:textAlignment w:val="top"/>
      </w:pPr>
      <w:r>
        <w:rPr>
          <w:rFonts w:ascii="Arial" w:eastAsia="宋体" w:hAnsi="Arial" w:cs="Arial"/>
          <w:color w:val="000000"/>
          <w:sz w:val="20"/>
          <w:szCs w:val="20"/>
        </w:rPr>
        <w:t xml:space="preserve">The increase in foreign loans as of June 30, 2022 compared to December 31, 2021 was primarily driven by higher levels of client overdrafts. </w:t>
      </w:r>
    </w:p>
    <w:p w14:paraId="392C16EC" w14:textId="77777777" w:rsidR="00980E5F" w:rsidRDefault="00483613">
      <w:pPr>
        <w:spacing w:before="60"/>
        <w:ind w:firstLine="450"/>
        <w:jc w:val="both"/>
        <w:textAlignment w:val="top"/>
      </w:pPr>
      <w:r>
        <w:rPr>
          <w:rFonts w:ascii="Arial" w:eastAsia="宋体" w:hAnsi="Arial" w:cs="Arial"/>
          <w:color w:val="000000"/>
          <w:sz w:val="20"/>
          <w:szCs w:val="20"/>
        </w:rPr>
        <w:t>As of June 30, 2022 and December </w:t>
      </w:r>
      <w:r>
        <w:rPr>
          <w:rFonts w:ascii="Arial" w:eastAsia="宋体" w:hAnsi="Arial" w:cs="Arial"/>
          <w:color w:val="000000"/>
          <w:sz w:val="20"/>
          <w:szCs w:val="20"/>
        </w:rPr>
        <w:t>31, 2021, our leveraged loans totaled approximately $3.59 billion and $4.43 billion, respectively. We sold $770 million of leveraged loans in the second quarter of 2022, of which $155 million remained unsettled and was held for sale as of June 30, 2022.</w:t>
      </w:r>
    </w:p>
    <w:p w14:paraId="392C16ED" w14:textId="77777777" w:rsidR="00980E5F" w:rsidRDefault="00483613">
      <w:pPr>
        <w:spacing w:before="60"/>
        <w:ind w:firstLine="450"/>
        <w:jc w:val="both"/>
        <w:textAlignment w:val="top"/>
      </w:pPr>
      <w:r>
        <w:rPr>
          <w:rFonts w:ascii="Arial" w:eastAsia="宋体" w:hAnsi="Arial" w:cs="Arial"/>
          <w:color w:val="000000"/>
          <w:sz w:val="20"/>
          <w:szCs w:val="20"/>
        </w:rPr>
        <w:t>In</w:t>
      </w:r>
      <w:r>
        <w:rPr>
          <w:rFonts w:ascii="Arial" w:eastAsia="宋体" w:hAnsi="Arial" w:cs="Arial"/>
          <w:color w:val="000000"/>
          <w:sz w:val="20"/>
          <w:szCs w:val="20"/>
        </w:rPr>
        <w:t xml:space="preserve"> addition, we had binding unfunded commitments as of June 30, 2022 and December 31, 2021 of $53 million and $124 million, respectively, to participate in syndications of leveraged loans. Additional information about these unfunded commitments is provided i</w:t>
      </w:r>
      <w:r>
        <w:rPr>
          <w:rFonts w:ascii="Arial" w:eastAsia="宋体" w:hAnsi="Arial" w:cs="Arial"/>
          <w:color w:val="000000"/>
          <w:sz w:val="20"/>
          <w:szCs w:val="20"/>
        </w:rPr>
        <w:t>n Note 9 to the consolidated financial statements in this Form 10-Q.</w:t>
      </w:r>
    </w:p>
    <w:p w14:paraId="392C16EE" w14:textId="77777777" w:rsidR="00980E5F" w:rsidRDefault="00483613">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risk-rating framework (refer to Note 4 to the consolidated financial statements in this Form 10-Q), are e</w:t>
      </w:r>
      <w:r>
        <w:rPr>
          <w:rFonts w:ascii="Arial" w:eastAsia="宋体" w:hAnsi="Arial" w:cs="Arial"/>
          <w:color w:val="000000"/>
          <w:sz w:val="20"/>
          <w:szCs w:val="20"/>
        </w:rPr>
        <w:t xml:space="preserve">xternally rated “BBB,” “BB” or “B,” with approximately 96% and 94% </w:t>
      </w:r>
    </w:p>
    <w:p w14:paraId="392C16EF" w14:textId="77777777" w:rsidR="00980E5F" w:rsidRDefault="00483613">
      <w:pPr>
        <w:spacing w:before="60"/>
        <w:jc w:val="both"/>
        <w:textAlignment w:val="top"/>
      </w:pPr>
      <w:r>
        <w:rPr>
          <w:rFonts w:ascii="Arial" w:eastAsia="宋体" w:hAnsi="Arial" w:cs="Arial"/>
          <w:color w:val="000000"/>
          <w:sz w:val="20"/>
          <w:szCs w:val="20"/>
        </w:rPr>
        <w:t>of the loans rated “BB” or “B” as of June 30, 2022 and December 31, 2021, respectively. Our investment strategy involves generally limiting our investment to larger, more liquid credits un</w:t>
      </w:r>
      <w:r>
        <w:rPr>
          <w:rFonts w:ascii="Arial" w:eastAsia="宋体" w:hAnsi="Arial" w:cs="Arial"/>
          <w:color w:val="000000"/>
          <w:sz w:val="20"/>
          <w:szCs w:val="20"/>
        </w:rPr>
        <w:t>derwritten by major global financial institutions, applying our internal credit analysis process to each potential investment and diversifying our exposure by counterparty and industry segment. However, these loans have significant exposure to credit losse</w:t>
      </w:r>
      <w:r>
        <w:rPr>
          <w:rFonts w:ascii="Arial" w:eastAsia="宋体" w:hAnsi="Arial" w:cs="Arial"/>
          <w:color w:val="000000"/>
          <w:sz w:val="20"/>
          <w:szCs w:val="20"/>
        </w:rPr>
        <w:t xml:space="preserve">s relative to higher-rated loans in our portfolio. </w:t>
      </w:r>
    </w:p>
    <w:p w14:paraId="392C16F0" w14:textId="77777777" w:rsidR="00980E5F" w:rsidRDefault="00483613">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consolidated financial statements in this Form 10-Q.</w:t>
      </w:r>
    </w:p>
    <w:p w14:paraId="392C16F1" w14:textId="77777777" w:rsidR="00980E5F" w:rsidRDefault="00483613">
      <w:pPr>
        <w:spacing w:before="60"/>
        <w:ind w:firstLine="450"/>
        <w:jc w:val="both"/>
        <w:textAlignment w:val="top"/>
      </w:pPr>
      <w:r>
        <w:rPr>
          <w:rFonts w:ascii="Arial" w:eastAsia="宋体" w:hAnsi="Arial" w:cs="Arial"/>
          <w:color w:val="000000"/>
          <w:sz w:val="20"/>
          <w:szCs w:val="20"/>
        </w:rPr>
        <w:t>No loans were modified in troubled d</w:t>
      </w:r>
      <w:r>
        <w:rPr>
          <w:rFonts w:ascii="Arial" w:eastAsia="宋体" w:hAnsi="Arial" w:cs="Arial"/>
          <w:color w:val="000000"/>
          <w:sz w:val="20"/>
          <w:szCs w:val="20"/>
        </w:rPr>
        <w:t>ebt restructurings as of both June 30, 2022 and December 31, 2021.</w:t>
      </w:r>
    </w:p>
    <w:p w14:paraId="392C16F2" w14:textId="77777777" w:rsidR="00980E5F" w:rsidRDefault="00483613">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1"/>
        <w:gridCol w:w="3557"/>
        <w:gridCol w:w="41"/>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1706" w14:textId="77777777">
        <w:tc>
          <w:tcPr>
            <w:tcW w:w="50" w:type="pct"/>
            <w:shd w:val="clear" w:color="auto" w:fill="auto"/>
            <w:vAlign w:val="bottom"/>
          </w:tcPr>
          <w:p w14:paraId="392C16F3" w14:textId="77777777" w:rsidR="00980E5F" w:rsidRDefault="00980E5F">
            <w:pPr>
              <w:rPr>
                <w:rFonts w:ascii="宋体"/>
              </w:rPr>
            </w:pPr>
          </w:p>
        </w:tc>
        <w:tc>
          <w:tcPr>
            <w:tcW w:w="2350" w:type="pct"/>
            <w:shd w:val="clear" w:color="auto" w:fill="auto"/>
            <w:vAlign w:val="bottom"/>
          </w:tcPr>
          <w:p w14:paraId="392C16F4" w14:textId="77777777" w:rsidR="00980E5F" w:rsidRDefault="00980E5F">
            <w:pPr>
              <w:rPr>
                <w:rFonts w:ascii="宋体"/>
              </w:rPr>
            </w:pPr>
          </w:p>
        </w:tc>
        <w:tc>
          <w:tcPr>
            <w:tcW w:w="5" w:type="pct"/>
            <w:shd w:val="clear" w:color="auto" w:fill="auto"/>
            <w:vAlign w:val="bottom"/>
          </w:tcPr>
          <w:p w14:paraId="392C16F5" w14:textId="77777777" w:rsidR="00980E5F" w:rsidRDefault="00980E5F">
            <w:pPr>
              <w:rPr>
                <w:rFonts w:ascii="宋体"/>
              </w:rPr>
            </w:pPr>
          </w:p>
        </w:tc>
        <w:tc>
          <w:tcPr>
            <w:tcW w:w="50" w:type="pct"/>
            <w:shd w:val="clear" w:color="auto" w:fill="auto"/>
            <w:vAlign w:val="bottom"/>
          </w:tcPr>
          <w:p w14:paraId="392C16F6" w14:textId="77777777" w:rsidR="00980E5F" w:rsidRDefault="00980E5F">
            <w:pPr>
              <w:rPr>
                <w:rFonts w:ascii="宋体"/>
              </w:rPr>
            </w:pPr>
          </w:p>
        </w:tc>
        <w:tc>
          <w:tcPr>
            <w:tcW w:w="1202" w:type="pct"/>
            <w:shd w:val="clear" w:color="auto" w:fill="auto"/>
            <w:vAlign w:val="bottom"/>
          </w:tcPr>
          <w:p w14:paraId="392C16F7" w14:textId="77777777" w:rsidR="00980E5F" w:rsidRDefault="00980E5F">
            <w:pPr>
              <w:rPr>
                <w:rFonts w:ascii="宋体"/>
              </w:rPr>
            </w:pPr>
          </w:p>
        </w:tc>
        <w:tc>
          <w:tcPr>
            <w:tcW w:w="5" w:type="pct"/>
            <w:shd w:val="clear" w:color="auto" w:fill="auto"/>
            <w:vAlign w:val="bottom"/>
          </w:tcPr>
          <w:p w14:paraId="392C16F8" w14:textId="77777777" w:rsidR="00980E5F" w:rsidRDefault="00980E5F">
            <w:pPr>
              <w:rPr>
                <w:rFonts w:ascii="宋体"/>
              </w:rPr>
            </w:pPr>
          </w:p>
        </w:tc>
        <w:tc>
          <w:tcPr>
            <w:tcW w:w="5" w:type="pct"/>
            <w:shd w:val="clear" w:color="auto" w:fill="auto"/>
            <w:vAlign w:val="bottom"/>
          </w:tcPr>
          <w:p w14:paraId="392C16F9" w14:textId="77777777" w:rsidR="00980E5F" w:rsidRDefault="00980E5F">
            <w:pPr>
              <w:rPr>
                <w:rFonts w:ascii="宋体"/>
              </w:rPr>
            </w:pPr>
          </w:p>
        </w:tc>
        <w:tc>
          <w:tcPr>
            <w:tcW w:w="68" w:type="pct"/>
            <w:shd w:val="clear" w:color="auto" w:fill="auto"/>
            <w:vAlign w:val="bottom"/>
          </w:tcPr>
          <w:p w14:paraId="392C16FA" w14:textId="77777777" w:rsidR="00980E5F" w:rsidRDefault="00980E5F">
            <w:pPr>
              <w:rPr>
                <w:rFonts w:ascii="宋体"/>
              </w:rPr>
            </w:pPr>
          </w:p>
        </w:tc>
        <w:tc>
          <w:tcPr>
            <w:tcW w:w="5" w:type="pct"/>
            <w:shd w:val="clear" w:color="auto" w:fill="auto"/>
            <w:vAlign w:val="bottom"/>
          </w:tcPr>
          <w:p w14:paraId="392C16FB" w14:textId="77777777" w:rsidR="00980E5F" w:rsidRDefault="00980E5F">
            <w:pPr>
              <w:rPr>
                <w:rFonts w:ascii="宋体"/>
              </w:rPr>
            </w:pPr>
          </w:p>
        </w:tc>
        <w:tc>
          <w:tcPr>
            <w:tcW w:w="50" w:type="pct"/>
            <w:shd w:val="clear" w:color="auto" w:fill="auto"/>
            <w:vAlign w:val="bottom"/>
          </w:tcPr>
          <w:p w14:paraId="392C16FC" w14:textId="77777777" w:rsidR="00980E5F" w:rsidRDefault="00980E5F">
            <w:pPr>
              <w:rPr>
                <w:rFonts w:ascii="宋体"/>
              </w:rPr>
            </w:pPr>
          </w:p>
        </w:tc>
        <w:tc>
          <w:tcPr>
            <w:tcW w:w="1202" w:type="pct"/>
            <w:shd w:val="clear" w:color="auto" w:fill="auto"/>
            <w:vAlign w:val="bottom"/>
          </w:tcPr>
          <w:p w14:paraId="392C16FD" w14:textId="77777777" w:rsidR="00980E5F" w:rsidRDefault="00980E5F">
            <w:pPr>
              <w:rPr>
                <w:rFonts w:ascii="宋体"/>
              </w:rPr>
            </w:pPr>
          </w:p>
        </w:tc>
        <w:tc>
          <w:tcPr>
            <w:tcW w:w="5" w:type="pct"/>
            <w:shd w:val="clear" w:color="auto" w:fill="auto"/>
            <w:vAlign w:val="bottom"/>
          </w:tcPr>
          <w:p w14:paraId="392C16FE" w14:textId="77777777" w:rsidR="00980E5F" w:rsidRDefault="00980E5F">
            <w:pPr>
              <w:rPr>
                <w:rFonts w:ascii="宋体"/>
              </w:rPr>
            </w:pPr>
          </w:p>
        </w:tc>
        <w:tc>
          <w:tcPr>
            <w:tcW w:w="0" w:type="auto"/>
            <w:shd w:val="clear" w:color="auto" w:fill="auto"/>
            <w:vAlign w:val="bottom"/>
          </w:tcPr>
          <w:p w14:paraId="392C16FF" w14:textId="77777777" w:rsidR="00980E5F" w:rsidRDefault="00980E5F">
            <w:pPr>
              <w:rPr>
                <w:rFonts w:ascii="宋体"/>
                <w:vanish/>
              </w:rPr>
            </w:pPr>
          </w:p>
        </w:tc>
        <w:tc>
          <w:tcPr>
            <w:tcW w:w="0" w:type="auto"/>
            <w:gridSpan w:val="3"/>
            <w:shd w:val="clear" w:color="auto" w:fill="auto"/>
            <w:vAlign w:val="bottom"/>
          </w:tcPr>
          <w:p w14:paraId="392C1700" w14:textId="77777777" w:rsidR="00980E5F" w:rsidRDefault="00980E5F">
            <w:pPr>
              <w:rPr>
                <w:rFonts w:ascii="宋体"/>
                <w:vanish/>
              </w:rPr>
            </w:pPr>
          </w:p>
        </w:tc>
        <w:tc>
          <w:tcPr>
            <w:tcW w:w="0" w:type="auto"/>
            <w:gridSpan w:val="3"/>
            <w:shd w:val="clear" w:color="auto" w:fill="auto"/>
            <w:vAlign w:val="bottom"/>
          </w:tcPr>
          <w:p w14:paraId="392C1701" w14:textId="77777777" w:rsidR="00980E5F" w:rsidRDefault="00980E5F">
            <w:pPr>
              <w:rPr>
                <w:rFonts w:ascii="宋体"/>
                <w:vanish/>
              </w:rPr>
            </w:pPr>
          </w:p>
        </w:tc>
        <w:tc>
          <w:tcPr>
            <w:tcW w:w="0" w:type="auto"/>
            <w:gridSpan w:val="3"/>
            <w:shd w:val="clear" w:color="auto" w:fill="auto"/>
            <w:vAlign w:val="bottom"/>
          </w:tcPr>
          <w:p w14:paraId="392C1702" w14:textId="77777777" w:rsidR="00980E5F" w:rsidRDefault="00980E5F">
            <w:pPr>
              <w:rPr>
                <w:rFonts w:ascii="宋体"/>
                <w:vanish/>
              </w:rPr>
            </w:pPr>
          </w:p>
        </w:tc>
        <w:tc>
          <w:tcPr>
            <w:tcW w:w="0" w:type="auto"/>
            <w:gridSpan w:val="3"/>
            <w:shd w:val="clear" w:color="auto" w:fill="auto"/>
            <w:vAlign w:val="bottom"/>
          </w:tcPr>
          <w:p w14:paraId="392C1703" w14:textId="77777777" w:rsidR="00980E5F" w:rsidRDefault="00980E5F">
            <w:pPr>
              <w:rPr>
                <w:rFonts w:ascii="宋体"/>
                <w:vanish/>
              </w:rPr>
            </w:pPr>
          </w:p>
        </w:tc>
        <w:tc>
          <w:tcPr>
            <w:tcW w:w="0" w:type="auto"/>
            <w:gridSpan w:val="3"/>
            <w:shd w:val="clear" w:color="auto" w:fill="auto"/>
            <w:vAlign w:val="bottom"/>
          </w:tcPr>
          <w:p w14:paraId="392C1704" w14:textId="77777777" w:rsidR="00980E5F" w:rsidRDefault="00980E5F">
            <w:pPr>
              <w:rPr>
                <w:rFonts w:ascii="宋体"/>
                <w:vanish/>
              </w:rPr>
            </w:pPr>
          </w:p>
        </w:tc>
        <w:tc>
          <w:tcPr>
            <w:tcW w:w="0" w:type="auto"/>
            <w:gridSpan w:val="3"/>
            <w:shd w:val="clear" w:color="auto" w:fill="auto"/>
            <w:vAlign w:val="bottom"/>
          </w:tcPr>
          <w:p w14:paraId="392C1705" w14:textId="77777777" w:rsidR="00980E5F" w:rsidRDefault="00980E5F">
            <w:pPr>
              <w:rPr>
                <w:rFonts w:ascii="宋体"/>
                <w:vanish/>
              </w:rPr>
            </w:pPr>
          </w:p>
        </w:tc>
      </w:tr>
      <w:tr w:rsidR="00980E5F" w14:paraId="392C171B" w14:textId="77777777">
        <w:tc>
          <w:tcPr>
            <w:tcW w:w="0" w:type="auto"/>
            <w:gridSpan w:val="12"/>
            <w:shd w:val="clear" w:color="auto" w:fill="auto"/>
            <w:tcMar>
              <w:top w:w="40" w:type="dxa"/>
              <w:left w:w="20" w:type="dxa"/>
              <w:bottom w:w="40" w:type="dxa"/>
              <w:right w:w="20" w:type="dxa"/>
            </w:tcMar>
            <w:vAlign w:val="bottom"/>
          </w:tcPr>
          <w:p w14:paraId="392C1707" w14:textId="77777777" w:rsidR="00980E5F" w:rsidRDefault="00483613">
            <w:pPr>
              <w:textAlignment w:val="bottom"/>
            </w:pPr>
            <w:r>
              <w:rPr>
                <w:rFonts w:ascii="Arial" w:eastAsia="宋体" w:hAnsi="Arial" w:cs="Arial"/>
                <w:b/>
                <w:bCs/>
                <w:color w:val="000000"/>
                <w:sz w:val="16"/>
                <w:szCs w:val="16"/>
              </w:rPr>
              <w:t>TABLE 26: ALLOWANCE FOR CREDIT LOSSES</w:t>
            </w:r>
          </w:p>
        </w:tc>
        <w:tc>
          <w:tcPr>
            <w:tcW w:w="0" w:type="auto"/>
            <w:shd w:val="clear" w:color="auto" w:fill="auto"/>
            <w:vAlign w:val="bottom"/>
          </w:tcPr>
          <w:p w14:paraId="392C1708" w14:textId="77777777" w:rsidR="00980E5F" w:rsidRDefault="00980E5F">
            <w:pPr>
              <w:rPr>
                <w:rFonts w:ascii="宋体"/>
                <w:vanish/>
              </w:rPr>
            </w:pPr>
          </w:p>
        </w:tc>
        <w:tc>
          <w:tcPr>
            <w:tcW w:w="0" w:type="auto"/>
            <w:shd w:val="clear" w:color="auto" w:fill="auto"/>
            <w:vAlign w:val="bottom"/>
          </w:tcPr>
          <w:p w14:paraId="392C1709" w14:textId="77777777" w:rsidR="00980E5F" w:rsidRDefault="00980E5F">
            <w:pPr>
              <w:rPr>
                <w:rFonts w:ascii="宋体"/>
              </w:rPr>
            </w:pPr>
          </w:p>
        </w:tc>
        <w:tc>
          <w:tcPr>
            <w:tcW w:w="0" w:type="auto"/>
            <w:shd w:val="clear" w:color="auto" w:fill="auto"/>
            <w:vAlign w:val="bottom"/>
          </w:tcPr>
          <w:p w14:paraId="392C170A" w14:textId="77777777" w:rsidR="00980E5F" w:rsidRDefault="00980E5F">
            <w:pPr>
              <w:rPr>
                <w:rFonts w:ascii="宋体"/>
              </w:rPr>
            </w:pPr>
          </w:p>
        </w:tc>
        <w:tc>
          <w:tcPr>
            <w:tcW w:w="0" w:type="auto"/>
            <w:shd w:val="clear" w:color="auto" w:fill="auto"/>
            <w:vAlign w:val="bottom"/>
          </w:tcPr>
          <w:p w14:paraId="392C170B" w14:textId="77777777" w:rsidR="00980E5F" w:rsidRDefault="00980E5F">
            <w:pPr>
              <w:rPr>
                <w:rFonts w:ascii="宋体"/>
              </w:rPr>
            </w:pPr>
          </w:p>
        </w:tc>
        <w:tc>
          <w:tcPr>
            <w:tcW w:w="0" w:type="auto"/>
            <w:shd w:val="clear" w:color="auto" w:fill="auto"/>
            <w:vAlign w:val="bottom"/>
          </w:tcPr>
          <w:p w14:paraId="392C170C" w14:textId="77777777" w:rsidR="00980E5F" w:rsidRDefault="00980E5F">
            <w:pPr>
              <w:rPr>
                <w:rFonts w:ascii="宋体"/>
              </w:rPr>
            </w:pPr>
          </w:p>
        </w:tc>
        <w:tc>
          <w:tcPr>
            <w:tcW w:w="0" w:type="auto"/>
            <w:shd w:val="clear" w:color="auto" w:fill="auto"/>
            <w:vAlign w:val="bottom"/>
          </w:tcPr>
          <w:p w14:paraId="392C170D" w14:textId="77777777" w:rsidR="00980E5F" w:rsidRDefault="00980E5F">
            <w:pPr>
              <w:rPr>
                <w:rFonts w:ascii="宋体"/>
              </w:rPr>
            </w:pPr>
          </w:p>
        </w:tc>
        <w:tc>
          <w:tcPr>
            <w:tcW w:w="0" w:type="auto"/>
            <w:shd w:val="clear" w:color="auto" w:fill="auto"/>
            <w:vAlign w:val="bottom"/>
          </w:tcPr>
          <w:p w14:paraId="392C170E" w14:textId="77777777" w:rsidR="00980E5F" w:rsidRDefault="00980E5F">
            <w:pPr>
              <w:rPr>
                <w:rFonts w:ascii="宋体"/>
              </w:rPr>
            </w:pPr>
          </w:p>
        </w:tc>
        <w:tc>
          <w:tcPr>
            <w:tcW w:w="0" w:type="auto"/>
            <w:shd w:val="clear" w:color="auto" w:fill="auto"/>
            <w:vAlign w:val="bottom"/>
          </w:tcPr>
          <w:p w14:paraId="392C170F" w14:textId="77777777" w:rsidR="00980E5F" w:rsidRDefault="00980E5F">
            <w:pPr>
              <w:rPr>
                <w:rFonts w:ascii="宋体"/>
              </w:rPr>
            </w:pPr>
          </w:p>
        </w:tc>
        <w:tc>
          <w:tcPr>
            <w:tcW w:w="0" w:type="auto"/>
            <w:shd w:val="clear" w:color="auto" w:fill="auto"/>
            <w:vAlign w:val="bottom"/>
          </w:tcPr>
          <w:p w14:paraId="392C1710" w14:textId="77777777" w:rsidR="00980E5F" w:rsidRDefault="00980E5F">
            <w:pPr>
              <w:rPr>
                <w:rFonts w:ascii="宋体"/>
              </w:rPr>
            </w:pPr>
          </w:p>
        </w:tc>
        <w:tc>
          <w:tcPr>
            <w:tcW w:w="0" w:type="auto"/>
            <w:shd w:val="clear" w:color="auto" w:fill="auto"/>
            <w:vAlign w:val="bottom"/>
          </w:tcPr>
          <w:p w14:paraId="392C1711" w14:textId="77777777" w:rsidR="00980E5F" w:rsidRDefault="00980E5F">
            <w:pPr>
              <w:rPr>
                <w:rFonts w:ascii="宋体"/>
              </w:rPr>
            </w:pPr>
          </w:p>
        </w:tc>
        <w:tc>
          <w:tcPr>
            <w:tcW w:w="0" w:type="auto"/>
            <w:shd w:val="clear" w:color="auto" w:fill="auto"/>
            <w:vAlign w:val="bottom"/>
          </w:tcPr>
          <w:p w14:paraId="392C1712" w14:textId="77777777" w:rsidR="00980E5F" w:rsidRDefault="00980E5F">
            <w:pPr>
              <w:rPr>
                <w:rFonts w:ascii="宋体"/>
              </w:rPr>
            </w:pPr>
          </w:p>
        </w:tc>
        <w:tc>
          <w:tcPr>
            <w:tcW w:w="0" w:type="auto"/>
            <w:shd w:val="clear" w:color="auto" w:fill="auto"/>
            <w:vAlign w:val="bottom"/>
          </w:tcPr>
          <w:p w14:paraId="392C1713" w14:textId="77777777" w:rsidR="00980E5F" w:rsidRDefault="00980E5F">
            <w:pPr>
              <w:rPr>
                <w:rFonts w:ascii="宋体"/>
              </w:rPr>
            </w:pPr>
          </w:p>
        </w:tc>
        <w:tc>
          <w:tcPr>
            <w:tcW w:w="0" w:type="auto"/>
            <w:shd w:val="clear" w:color="auto" w:fill="auto"/>
            <w:vAlign w:val="bottom"/>
          </w:tcPr>
          <w:p w14:paraId="392C1714" w14:textId="77777777" w:rsidR="00980E5F" w:rsidRDefault="00980E5F">
            <w:pPr>
              <w:rPr>
                <w:rFonts w:ascii="宋体"/>
              </w:rPr>
            </w:pPr>
          </w:p>
        </w:tc>
        <w:tc>
          <w:tcPr>
            <w:tcW w:w="0" w:type="auto"/>
            <w:shd w:val="clear" w:color="auto" w:fill="auto"/>
            <w:vAlign w:val="bottom"/>
          </w:tcPr>
          <w:p w14:paraId="392C1715" w14:textId="77777777" w:rsidR="00980E5F" w:rsidRDefault="00980E5F">
            <w:pPr>
              <w:rPr>
                <w:rFonts w:ascii="宋体"/>
              </w:rPr>
            </w:pPr>
          </w:p>
        </w:tc>
        <w:tc>
          <w:tcPr>
            <w:tcW w:w="0" w:type="auto"/>
            <w:shd w:val="clear" w:color="auto" w:fill="auto"/>
            <w:vAlign w:val="bottom"/>
          </w:tcPr>
          <w:p w14:paraId="392C1716" w14:textId="77777777" w:rsidR="00980E5F" w:rsidRDefault="00980E5F">
            <w:pPr>
              <w:rPr>
                <w:rFonts w:ascii="宋体"/>
              </w:rPr>
            </w:pPr>
          </w:p>
        </w:tc>
        <w:tc>
          <w:tcPr>
            <w:tcW w:w="0" w:type="auto"/>
            <w:shd w:val="clear" w:color="auto" w:fill="auto"/>
            <w:vAlign w:val="bottom"/>
          </w:tcPr>
          <w:p w14:paraId="392C1717" w14:textId="77777777" w:rsidR="00980E5F" w:rsidRDefault="00980E5F">
            <w:pPr>
              <w:rPr>
                <w:rFonts w:ascii="宋体"/>
              </w:rPr>
            </w:pPr>
          </w:p>
        </w:tc>
        <w:tc>
          <w:tcPr>
            <w:tcW w:w="0" w:type="auto"/>
            <w:shd w:val="clear" w:color="auto" w:fill="auto"/>
            <w:vAlign w:val="bottom"/>
          </w:tcPr>
          <w:p w14:paraId="392C1718" w14:textId="77777777" w:rsidR="00980E5F" w:rsidRDefault="00980E5F">
            <w:pPr>
              <w:rPr>
                <w:rFonts w:ascii="宋体"/>
              </w:rPr>
            </w:pPr>
          </w:p>
        </w:tc>
        <w:tc>
          <w:tcPr>
            <w:tcW w:w="0" w:type="auto"/>
            <w:shd w:val="clear" w:color="auto" w:fill="auto"/>
            <w:vAlign w:val="bottom"/>
          </w:tcPr>
          <w:p w14:paraId="392C1719" w14:textId="77777777" w:rsidR="00980E5F" w:rsidRDefault="00980E5F">
            <w:pPr>
              <w:rPr>
                <w:rFonts w:ascii="宋体"/>
              </w:rPr>
            </w:pPr>
          </w:p>
        </w:tc>
        <w:tc>
          <w:tcPr>
            <w:tcW w:w="0" w:type="auto"/>
            <w:shd w:val="clear" w:color="auto" w:fill="auto"/>
            <w:vAlign w:val="bottom"/>
          </w:tcPr>
          <w:p w14:paraId="392C171A" w14:textId="77777777" w:rsidR="00980E5F" w:rsidRDefault="00980E5F">
            <w:pPr>
              <w:rPr>
                <w:rFonts w:ascii="宋体"/>
              </w:rPr>
            </w:pPr>
          </w:p>
        </w:tc>
      </w:tr>
      <w:tr w:rsidR="00980E5F" w14:paraId="392C1731" w14:textId="77777777">
        <w:tc>
          <w:tcPr>
            <w:tcW w:w="0" w:type="auto"/>
            <w:gridSpan w:val="3"/>
            <w:shd w:val="clear" w:color="auto" w:fill="auto"/>
            <w:tcMar>
              <w:top w:w="0" w:type="dxa"/>
              <w:left w:w="20" w:type="dxa"/>
              <w:bottom w:w="0" w:type="dxa"/>
              <w:right w:w="20" w:type="dxa"/>
            </w:tcMar>
            <w:vAlign w:val="bottom"/>
          </w:tcPr>
          <w:p w14:paraId="392C171C"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171D"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171E" w14:textId="77777777" w:rsidR="00980E5F" w:rsidRDefault="00980E5F">
            <w:pPr>
              <w:rPr>
                <w:rFonts w:ascii="宋体"/>
                <w:vanish/>
              </w:rPr>
            </w:pPr>
          </w:p>
        </w:tc>
        <w:tc>
          <w:tcPr>
            <w:tcW w:w="0" w:type="auto"/>
            <w:shd w:val="clear" w:color="auto" w:fill="auto"/>
            <w:vAlign w:val="bottom"/>
          </w:tcPr>
          <w:p w14:paraId="392C171F" w14:textId="77777777" w:rsidR="00980E5F" w:rsidRDefault="00980E5F">
            <w:pPr>
              <w:rPr>
                <w:rFonts w:ascii="宋体"/>
              </w:rPr>
            </w:pPr>
          </w:p>
        </w:tc>
        <w:tc>
          <w:tcPr>
            <w:tcW w:w="0" w:type="auto"/>
            <w:shd w:val="clear" w:color="auto" w:fill="auto"/>
            <w:vAlign w:val="bottom"/>
          </w:tcPr>
          <w:p w14:paraId="392C1720" w14:textId="77777777" w:rsidR="00980E5F" w:rsidRDefault="00980E5F">
            <w:pPr>
              <w:rPr>
                <w:rFonts w:ascii="宋体"/>
              </w:rPr>
            </w:pPr>
          </w:p>
        </w:tc>
        <w:tc>
          <w:tcPr>
            <w:tcW w:w="0" w:type="auto"/>
            <w:shd w:val="clear" w:color="auto" w:fill="auto"/>
            <w:vAlign w:val="bottom"/>
          </w:tcPr>
          <w:p w14:paraId="392C1721" w14:textId="77777777" w:rsidR="00980E5F" w:rsidRDefault="00980E5F">
            <w:pPr>
              <w:rPr>
                <w:rFonts w:ascii="宋体"/>
              </w:rPr>
            </w:pPr>
          </w:p>
        </w:tc>
        <w:tc>
          <w:tcPr>
            <w:tcW w:w="0" w:type="auto"/>
            <w:shd w:val="clear" w:color="auto" w:fill="auto"/>
            <w:vAlign w:val="bottom"/>
          </w:tcPr>
          <w:p w14:paraId="392C1722" w14:textId="77777777" w:rsidR="00980E5F" w:rsidRDefault="00980E5F">
            <w:pPr>
              <w:rPr>
                <w:rFonts w:ascii="宋体"/>
              </w:rPr>
            </w:pPr>
          </w:p>
        </w:tc>
        <w:tc>
          <w:tcPr>
            <w:tcW w:w="0" w:type="auto"/>
            <w:shd w:val="clear" w:color="auto" w:fill="auto"/>
            <w:vAlign w:val="bottom"/>
          </w:tcPr>
          <w:p w14:paraId="392C1723" w14:textId="77777777" w:rsidR="00980E5F" w:rsidRDefault="00980E5F">
            <w:pPr>
              <w:rPr>
                <w:rFonts w:ascii="宋体"/>
              </w:rPr>
            </w:pPr>
          </w:p>
        </w:tc>
        <w:tc>
          <w:tcPr>
            <w:tcW w:w="0" w:type="auto"/>
            <w:shd w:val="clear" w:color="auto" w:fill="auto"/>
            <w:vAlign w:val="bottom"/>
          </w:tcPr>
          <w:p w14:paraId="392C1724" w14:textId="77777777" w:rsidR="00980E5F" w:rsidRDefault="00980E5F">
            <w:pPr>
              <w:rPr>
                <w:rFonts w:ascii="宋体"/>
              </w:rPr>
            </w:pPr>
          </w:p>
        </w:tc>
        <w:tc>
          <w:tcPr>
            <w:tcW w:w="0" w:type="auto"/>
            <w:shd w:val="clear" w:color="auto" w:fill="auto"/>
            <w:vAlign w:val="bottom"/>
          </w:tcPr>
          <w:p w14:paraId="392C1725" w14:textId="77777777" w:rsidR="00980E5F" w:rsidRDefault="00980E5F">
            <w:pPr>
              <w:rPr>
                <w:rFonts w:ascii="宋体"/>
              </w:rPr>
            </w:pPr>
          </w:p>
        </w:tc>
        <w:tc>
          <w:tcPr>
            <w:tcW w:w="0" w:type="auto"/>
            <w:shd w:val="clear" w:color="auto" w:fill="auto"/>
            <w:vAlign w:val="bottom"/>
          </w:tcPr>
          <w:p w14:paraId="392C1726" w14:textId="77777777" w:rsidR="00980E5F" w:rsidRDefault="00980E5F">
            <w:pPr>
              <w:rPr>
                <w:rFonts w:ascii="宋体"/>
              </w:rPr>
            </w:pPr>
          </w:p>
        </w:tc>
        <w:tc>
          <w:tcPr>
            <w:tcW w:w="0" w:type="auto"/>
            <w:shd w:val="clear" w:color="auto" w:fill="auto"/>
            <w:vAlign w:val="bottom"/>
          </w:tcPr>
          <w:p w14:paraId="392C1727" w14:textId="77777777" w:rsidR="00980E5F" w:rsidRDefault="00980E5F">
            <w:pPr>
              <w:rPr>
                <w:rFonts w:ascii="宋体"/>
              </w:rPr>
            </w:pPr>
          </w:p>
        </w:tc>
        <w:tc>
          <w:tcPr>
            <w:tcW w:w="0" w:type="auto"/>
            <w:shd w:val="clear" w:color="auto" w:fill="auto"/>
            <w:vAlign w:val="bottom"/>
          </w:tcPr>
          <w:p w14:paraId="392C1728" w14:textId="77777777" w:rsidR="00980E5F" w:rsidRDefault="00980E5F">
            <w:pPr>
              <w:rPr>
                <w:rFonts w:ascii="宋体"/>
              </w:rPr>
            </w:pPr>
          </w:p>
        </w:tc>
        <w:tc>
          <w:tcPr>
            <w:tcW w:w="0" w:type="auto"/>
            <w:shd w:val="clear" w:color="auto" w:fill="auto"/>
            <w:vAlign w:val="bottom"/>
          </w:tcPr>
          <w:p w14:paraId="392C1729" w14:textId="77777777" w:rsidR="00980E5F" w:rsidRDefault="00980E5F">
            <w:pPr>
              <w:rPr>
                <w:rFonts w:ascii="宋体"/>
              </w:rPr>
            </w:pPr>
          </w:p>
        </w:tc>
        <w:tc>
          <w:tcPr>
            <w:tcW w:w="0" w:type="auto"/>
            <w:shd w:val="clear" w:color="auto" w:fill="auto"/>
            <w:vAlign w:val="bottom"/>
          </w:tcPr>
          <w:p w14:paraId="392C172A" w14:textId="77777777" w:rsidR="00980E5F" w:rsidRDefault="00980E5F">
            <w:pPr>
              <w:rPr>
                <w:rFonts w:ascii="宋体"/>
              </w:rPr>
            </w:pPr>
          </w:p>
        </w:tc>
        <w:tc>
          <w:tcPr>
            <w:tcW w:w="0" w:type="auto"/>
            <w:shd w:val="clear" w:color="auto" w:fill="auto"/>
            <w:vAlign w:val="bottom"/>
          </w:tcPr>
          <w:p w14:paraId="392C172B" w14:textId="77777777" w:rsidR="00980E5F" w:rsidRDefault="00980E5F">
            <w:pPr>
              <w:rPr>
                <w:rFonts w:ascii="宋体"/>
              </w:rPr>
            </w:pPr>
          </w:p>
        </w:tc>
        <w:tc>
          <w:tcPr>
            <w:tcW w:w="0" w:type="auto"/>
            <w:shd w:val="clear" w:color="auto" w:fill="auto"/>
            <w:vAlign w:val="bottom"/>
          </w:tcPr>
          <w:p w14:paraId="392C172C" w14:textId="77777777" w:rsidR="00980E5F" w:rsidRDefault="00980E5F">
            <w:pPr>
              <w:rPr>
                <w:rFonts w:ascii="宋体"/>
              </w:rPr>
            </w:pPr>
          </w:p>
        </w:tc>
        <w:tc>
          <w:tcPr>
            <w:tcW w:w="0" w:type="auto"/>
            <w:shd w:val="clear" w:color="auto" w:fill="auto"/>
            <w:vAlign w:val="bottom"/>
          </w:tcPr>
          <w:p w14:paraId="392C172D" w14:textId="77777777" w:rsidR="00980E5F" w:rsidRDefault="00980E5F">
            <w:pPr>
              <w:rPr>
                <w:rFonts w:ascii="宋体"/>
              </w:rPr>
            </w:pPr>
          </w:p>
        </w:tc>
        <w:tc>
          <w:tcPr>
            <w:tcW w:w="0" w:type="auto"/>
            <w:shd w:val="clear" w:color="auto" w:fill="auto"/>
            <w:vAlign w:val="bottom"/>
          </w:tcPr>
          <w:p w14:paraId="392C172E" w14:textId="77777777" w:rsidR="00980E5F" w:rsidRDefault="00980E5F">
            <w:pPr>
              <w:rPr>
                <w:rFonts w:ascii="宋体"/>
              </w:rPr>
            </w:pPr>
          </w:p>
        </w:tc>
        <w:tc>
          <w:tcPr>
            <w:tcW w:w="0" w:type="auto"/>
            <w:shd w:val="clear" w:color="auto" w:fill="auto"/>
            <w:vAlign w:val="bottom"/>
          </w:tcPr>
          <w:p w14:paraId="392C172F" w14:textId="77777777" w:rsidR="00980E5F" w:rsidRDefault="00980E5F">
            <w:pPr>
              <w:rPr>
                <w:rFonts w:ascii="宋体"/>
              </w:rPr>
            </w:pPr>
          </w:p>
        </w:tc>
        <w:tc>
          <w:tcPr>
            <w:tcW w:w="0" w:type="auto"/>
            <w:shd w:val="clear" w:color="auto" w:fill="auto"/>
            <w:vAlign w:val="bottom"/>
          </w:tcPr>
          <w:p w14:paraId="392C1730" w14:textId="77777777" w:rsidR="00980E5F" w:rsidRDefault="00980E5F">
            <w:pPr>
              <w:rPr>
                <w:rFonts w:ascii="宋体"/>
              </w:rPr>
            </w:pPr>
          </w:p>
        </w:tc>
      </w:tr>
      <w:tr w:rsidR="00980E5F" w14:paraId="392C173D" w14:textId="77777777">
        <w:tc>
          <w:tcPr>
            <w:tcW w:w="0" w:type="auto"/>
            <w:gridSpan w:val="3"/>
            <w:shd w:val="clear" w:color="auto" w:fill="auto"/>
            <w:tcMar>
              <w:top w:w="40" w:type="dxa"/>
              <w:left w:w="20" w:type="dxa"/>
              <w:bottom w:w="40" w:type="dxa"/>
              <w:right w:w="20" w:type="dxa"/>
            </w:tcMar>
            <w:vAlign w:val="bottom"/>
          </w:tcPr>
          <w:p w14:paraId="392C1732"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733"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73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735"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1736" w14:textId="77777777" w:rsidR="00980E5F" w:rsidRDefault="00980E5F">
            <w:pPr>
              <w:rPr>
                <w:rFonts w:ascii="宋体"/>
                <w:vanish/>
              </w:rPr>
            </w:pPr>
          </w:p>
        </w:tc>
        <w:tc>
          <w:tcPr>
            <w:tcW w:w="0" w:type="auto"/>
            <w:gridSpan w:val="3"/>
            <w:shd w:val="clear" w:color="auto" w:fill="auto"/>
            <w:vAlign w:val="bottom"/>
          </w:tcPr>
          <w:p w14:paraId="392C1737" w14:textId="77777777" w:rsidR="00980E5F" w:rsidRDefault="00980E5F">
            <w:pPr>
              <w:rPr>
                <w:rFonts w:ascii="宋体"/>
                <w:vanish/>
              </w:rPr>
            </w:pPr>
          </w:p>
        </w:tc>
        <w:tc>
          <w:tcPr>
            <w:tcW w:w="0" w:type="auto"/>
            <w:gridSpan w:val="3"/>
            <w:shd w:val="clear" w:color="auto" w:fill="auto"/>
            <w:vAlign w:val="bottom"/>
          </w:tcPr>
          <w:p w14:paraId="392C1738" w14:textId="77777777" w:rsidR="00980E5F" w:rsidRDefault="00980E5F">
            <w:pPr>
              <w:rPr>
                <w:rFonts w:ascii="宋体"/>
                <w:vanish/>
              </w:rPr>
            </w:pPr>
          </w:p>
        </w:tc>
        <w:tc>
          <w:tcPr>
            <w:tcW w:w="0" w:type="auto"/>
            <w:gridSpan w:val="3"/>
            <w:shd w:val="clear" w:color="auto" w:fill="auto"/>
            <w:vAlign w:val="bottom"/>
          </w:tcPr>
          <w:p w14:paraId="392C1739" w14:textId="77777777" w:rsidR="00980E5F" w:rsidRDefault="00980E5F">
            <w:pPr>
              <w:rPr>
                <w:rFonts w:ascii="宋体"/>
                <w:vanish/>
              </w:rPr>
            </w:pPr>
          </w:p>
        </w:tc>
        <w:tc>
          <w:tcPr>
            <w:tcW w:w="0" w:type="auto"/>
            <w:gridSpan w:val="3"/>
            <w:shd w:val="clear" w:color="auto" w:fill="auto"/>
            <w:vAlign w:val="bottom"/>
          </w:tcPr>
          <w:p w14:paraId="392C173A" w14:textId="77777777" w:rsidR="00980E5F" w:rsidRDefault="00980E5F">
            <w:pPr>
              <w:rPr>
                <w:rFonts w:ascii="宋体"/>
                <w:vanish/>
              </w:rPr>
            </w:pPr>
          </w:p>
        </w:tc>
        <w:tc>
          <w:tcPr>
            <w:tcW w:w="0" w:type="auto"/>
            <w:gridSpan w:val="3"/>
            <w:shd w:val="clear" w:color="auto" w:fill="auto"/>
            <w:vAlign w:val="bottom"/>
          </w:tcPr>
          <w:p w14:paraId="392C173B" w14:textId="77777777" w:rsidR="00980E5F" w:rsidRDefault="00980E5F">
            <w:pPr>
              <w:rPr>
                <w:rFonts w:ascii="宋体"/>
                <w:vanish/>
              </w:rPr>
            </w:pPr>
          </w:p>
        </w:tc>
        <w:tc>
          <w:tcPr>
            <w:tcW w:w="0" w:type="auto"/>
            <w:gridSpan w:val="3"/>
            <w:shd w:val="clear" w:color="auto" w:fill="auto"/>
            <w:vAlign w:val="bottom"/>
          </w:tcPr>
          <w:p w14:paraId="392C173C" w14:textId="77777777" w:rsidR="00980E5F" w:rsidRDefault="00980E5F">
            <w:pPr>
              <w:rPr>
                <w:rFonts w:ascii="宋体"/>
                <w:vanish/>
              </w:rPr>
            </w:pPr>
          </w:p>
        </w:tc>
      </w:tr>
      <w:tr w:rsidR="00980E5F" w14:paraId="392C1749" w14:textId="77777777">
        <w:tc>
          <w:tcPr>
            <w:tcW w:w="0" w:type="auto"/>
            <w:gridSpan w:val="3"/>
            <w:shd w:val="clear" w:color="auto" w:fill="FFFFFF"/>
            <w:tcMar>
              <w:top w:w="40" w:type="dxa"/>
              <w:left w:w="20" w:type="dxa"/>
              <w:bottom w:w="40" w:type="dxa"/>
              <w:right w:w="20" w:type="dxa"/>
            </w:tcMar>
            <w:vAlign w:val="bottom"/>
          </w:tcPr>
          <w:p w14:paraId="392C173E" w14:textId="77777777" w:rsidR="00980E5F" w:rsidRDefault="00483613">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173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740"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1741" w14:textId="77777777" w:rsidR="00980E5F" w:rsidRDefault="00980E5F">
            <w:pPr>
              <w:rPr>
                <w:rFonts w:ascii="宋体"/>
              </w:rPr>
            </w:pPr>
          </w:p>
        </w:tc>
        <w:tc>
          <w:tcPr>
            <w:tcW w:w="0" w:type="auto"/>
            <w:shd w:val="clear" w:color="auto" w:fill="auto"/>
            <w:vAlign w:val="bottom"/>
          </w:tcPr>
          <w:p w14:paraId="392C1742" w14:textId="77777777" w:rsidR="00980E5F" w:rsidRDefault="00980E5F">
            <w:pPr>
              <w:rPr>
                <w:rFonts w:ascii="宋体"/>
                <w:vanish/>
              </w:rPr>
            </w:pPr>
          </w:p>
        </w:tc>
        <w:tc>
          <w:tcPr>
            <w:tcW w:w="0" w:type="auto"/>
            <w:gridSpan w:val="3"/>
            <w:shd w:val="clear" w:color="auto" w:fill="auto"/>
            <w:vAlign w:val="bottom"/>
          </w:tcPr>
          <w:p w14:paraId="392C1743" w14:textId="77777777" w:rsidR="00980E5F" w:rsidRDefault="00980E5F">
            <w:pPr>
              <w:rPr>
                <w:rFonts w:ascii="宋体"/>
                <w:vanish/>
              </w:rPr>
            </w:pPr>
          </w:p>
        </w:tc>
        <w:tc>
          <w:tcPr>
            <w:tcW w:w="0" w:type="auto"/>
            <w:gridSpan w:val="3"/>
            <w:shd w:val="clear" w:color="auto" w:fill="auto"/>
            <w:vAlign w:val="bottom"/>
          </w:tcPr>
          <w:p w14:paraId="392C1744" w14:textId="77777777" w:rsidR="00980E5F" w:rsidRDefault="00980E5F">
            <w:pPr>
              <w:rPr>
                <w:rFonts w:ascii="宋体"/>
                <w:vanish/>
              </w:rPr>
            </w:pPr>
          </w:p>
        </w:tc>
        <w:tc>
          <w:tcPr>
            <w:tcW w:w="0" w:type="auto"/>
            <w:gridSpan w:val="3"/>
            <w:shd w:val="clear" w:color="auto" w:fill="auto"/>
            <w:vAlign w:val="bottom"/>
          </w:tcPr>
          <w:p w14:paraId="392C1745" w14:textId="77777777" w:rsidR="00980E5F" w:rsidRDefault="00980E5F">
            <w:pPr>
              <w:rPr>
                <w:rFonts w:ascii="宋体"/>
                <w:vanish/>
              </w:rPr>
            </w:pPr>
          </w:p>
        </w:tc>
        <w:tc>
          <w:tcPr>
            <w:tcW w:w="0" w:type="auto"/>
            <w:gridSpan w:val="3"/>
            <w:shd w:val="clear" w:color="auto" w:fill="auto"/>
            <w:vAlign w:val="bottom"/>
          </w:tcPr>
          <w:p w14:paraId="392C1746" w14:textId="77777777" w:rsidR="00980E5F" w:rsidRDefault="00980E5F">
            <w:pPr>
              <w:rPr>
                <w:rFonts w:ascii="宋体"/>
                <w:vanish/>
              </w:rPr>
            </w:pPr>
          </w:p>
        </w:tc>
        <w:tc>
          <w:tcPr>
            <w:tcW w:w="0" w:type="auto"/>
            <w:gridSpan w:val="3"/>
            <w:shd w:val="clear" w:color="auto" w:fill="auto"/>
            <w:vAlign w:val="bottom"/>
          </w:tcPr>
          <w:p w14:paraId="392C1747" w14:textId="77777777" w:rsidR="00980E5F" w:rsidRDefault="00980E5F">
            <w:pPr>
              <w:rPr>
                <w:rFonts w:ascii="宋体"/>
                <w:vanish/>
              </w:rPr>
            </w:pPr>
          </w:p>
        </w:tc>
        <w:tc>
          <w:tcPr>
            <w:tcW w:w="0" w:type="auto"/>
            <w:gridSpan w:val="3"/>
            <w:shd w:val="clear" w:color="auto" w:fill="auto"/>
            <w:vAlign w:val="bottom"/>
          </w:tcPr>
          <w:p w14:paraId="392C1748" w14:textId="77777777" w:rsidR="00980E5F" w:rsidRDefault="00980E5F">
            <w:pPr>
              <w:rPr>
                <w:rFonts w:ascii="宋体"/>
                <w:vanish/>
              </w:rPr>
            </w:pPr>
          </w:p>
        </w:tc>
      </w:tr>
      <w:tr w:rsidR="00980E5F" w14:paraId="392C1759" w14:textId="77777777">
        <w:tc>
          <w:tcPr>
            <w:tcW w:w="0" w:type="auto"/>
            <w:gridSpan w:val="3"/>
            <w:shd w:val="clear" w:color="auto" w:fill="CCEEFF"/>
            <w:tcMar>
              <w:top w:w="40" w:type="dxa"/>
              <w:left w:w="20" w:type="dxa"/>
              <w:bottom w:w="40" w:type="dxa"/>
              <w:right w:w="20" w:type="dxa"/>
            </w:tcMar>
            <w:vAlign w:val="bottom"/>
          </w:tcPr>
          <w:p w14:paraId="392C174A" w14:textId="77777777" w:rsidR="00980E5F" w:rsidRDefault="00483613">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92C174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74C" w14:textId="77777777" w:rsidR="00980E5F" w:rsidRDefault="00483613">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7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74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74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1750" w14:textId="77777777" w:rsidR="00980E5F" w:rsidRDefault="00483613">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392C1751" w14:textId="77777777" w:rsidR="00980E5F" w:rsidRDefault="00980E5F">
            <w:pPr>
              <w:jc w:val="right"/>
              <w:rPr>
                <w:rFonts w:ascii="宋体"/>
              </w:rPr>
            </w:pPr>
          </w:p>
        </w:tc>
        <w:tc>
          <w:tcPr>
            <w:tcW w:w="0" w:type="auto"/>
            <w:shd w:val="clear" w:color="auto" w:fill="auto"/>
            <w:vAlign w:val="bottom"/>
          </w:tcPr>
          <w:p w14:paraId="392C1752" w14:textId="77777777" w:rsidR="00980E5F" w:rsidRDefault="00980E5F">
            <w:pPr>
              <w:rPr>
                <w:rFonts w:ascii="宋体"/>
                <w:vanish/>
              </w:rPr>
            </w:pPr>
          </w:p>
        </w:tc>
        <w:tc>
          <w:tcPr>
            <w:tcW w:w="0" w:type="auto"/>
            <w:gridSpan w:val="3"/>
            <w:shd w:val="clear" w:color="auto" w:fill="auto"/>
            <w:vAlign w:val="bottom"/>
          </w:tcPr>
          <w:p w14:paraId="392C1753" w14:textId="77777777" w:rsidR="00980E5F" w:rsidRDefault="00980E5F">
            <w:pPr>
              <w:rPr>
                <w:rFonts w:ascii="宋体"/>
                <w:vanish/>
              </w:rPr>
            </w:pPr>
          </w:p>
        </w:tc>
        <w:tc>
          <w:tcPr>
            <w:tcW w:w="0" w:type="auto"/>
            <w:gridSpan w:val="3"/>
            <w:shd w:val="clear" w:color="auto" w:fill="auto"/>
            <w:vAlign w:val="bottom"/>
          </w:tcPr>
          <w:p w14:paraId="392C1754" w14:textId="77777777" w:rsidR="00980E5F" w:rsidRDefault="00980E5F">
            <w:pPr>
              <w:rPr>
                <w:rFonts w:ascii="宋体"/>
                <w:vanish/>
              </w:rPr>
            </w:pPr>
          </w:p>
        </w:tc>
        <w:tc>
          <w:tcPr>
            <w:tcW w:w="0" w:type="auto"/>
            <w:gridSpan w:val="3"/>
            <w:shd w:val="clear" w:color="auto" w:fill="auto"/>
            <w:vAlign w:val="bottom"/>
          </w:tcPr>
          <w:p w14:paraId="392C1755" w14:textId="77777777" w:rsidR="00980E5F" w:rsidRDefault="00980E5F">
            <w:pPr>
              <w:rPr>
                <w:rFonts w:ascii="宋体"/>
                <w:vanish/>
              </w:rPr>
            </w:pPr>
          </w:p>
        </w:tc>
        <w:tc>
          <w:tcPr>
            <w:tcW w:w="0" w:type="auto"/>
            <w:gridSpan w:val="3"/>
            <w:shd w:val="clear" w:color="auto" w:fill="auto"/>
            <w:vAlign w:val="bottom"/>
          </w:tcPr>
          <w:p w14:paraId="392C1756" w14:textId="77777777" w:rsidR="00980E5F" w:rsidRDefault="00980E5F">
            <w:pPr>
              <w:rPr>
                <w:rFonts w:ascii="宋体"/>
                <w:vanish/>
              </w:rPr>
            </w:pPr>
          </w:p>
        </w:tc>
        <w:tc>
          <w:tcPr>
            <w:tcW w:w="0" w:type="auto"/>
            <w:gridSpan w:val="3"/>
            <w:shd w:val="clear" w:color="auto" w:fill="auto"/>
            <w:vAlign w:val="bottom"/>
          </w:tcPr>
          <w:p w14:paraId="392C1757" w14:textId="77777777" w:rsidR="00980E5F" w:rsidRDefault="00980E5F">
            <w:pPr>
              <w:rPr>
                <w:rFonts w:ascii="宋体"/>
                <w:vanish/>
              </w:rPr>
            </w:pPr>
          </w:p>
        </w:tc>
        <w:tc>
          <w:tcPr>
            <w:tcW w:w="0" w:type="auto"/>
            <w:gridSpan w:val="3"/>
            <w:shd w:val="clear" w:color="auto" w:fill="auto"/>
            <w:vAlign w:val="bottom"/>
          </w:tcPr>
          <w:p w14:paraId="392C1758" w14:textId="77777777" w:rsidR="00980E5F" w:rsidRDefault="00980E5F">
            <w:pPr>
              <w:rPr>
                <w:rFonts w:ascii="宋体"/>
                <w:vanish/>
              </w:rPr>
            </w:pPr>
          </w:p>
        </w:tc>
      </w:tr>
      <w:tr w:rsidR="00980E5F" w14:paraId="392C1767" w14:textId="77777777">
        <w:tc>
          <w:tcPr>
            <w:tcW w:w="0" w:type="auto"/>
            <w:gridSpan w:val="3"/>
            <w:shd w:val="clear" w:color="auto" w:fill="FFFFFF"/>
            <w:tcMar>
              <w:top w:w="40" w:type="dxa"/>
              <w:left w:w="20" w:type="dxa"/>
              <w:bottom w:w="40" w:type="dxa"/>
              <w:right w:w="20" w:type="dxa"/>
            </w:tcMar>
            <w:vAlign w:val="bottom"/>
          </w:tcPr>
          <w:p w14:paraId="392C175A" w14:textId="77777777" w:rsidR="00980E5F" w:rsidRDefault="00483613">
            <w:pPr>
              <w:textAlignment w:val="bottom"/>
            </w:pPr>
            <w:r>
              <w:rPr>
                <w:rFonts w:ascii="Arial" w:eastAsia="宋体" w:hAnsi="Arial" w:cs="Arial"/>
                <w:color w:val="000000"/>
                <w:sz w:val="14"/>
                <w:szCs w:val="14"/>
              </w:rPr>
              <w:t>Provision for credit losses (funded commitments)</w:t>
            </w:r>
          </w:p>
        </w:tc>
        <w:tc>
          <w:tcPr>
            <w:tcW w:w="0" w:type="auto"/>
            <w:gridSpan w:val="2"/>
            <w:shd w:val="clear" w:color="auto" w:fill="FFFFFF"/>
            <w:tcMar>
              <w:top w:w="40" w:type="dxa"/>
              <w:left w:w="20" w:type="dxa"/>
              <w:bottom w:w="40" w:type="dxa"/>
              <w:right w:w="0" w:type="dxa"/>
            </w:tcMar>
            <w:vAlign w:val="bottom"/>
          </w:tcPr>
          <w:p w14:paraId="392C175B"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7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7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75E" w14:textId="77777777" w:rsidR="00980E5F" w:rsidRDefault="00483613">
            <w:pPr>
              <w:jc w:val="right"/>
              <w:textAlignment w:val="bottom"/>
            </w:pPr>
            <w:r>
              <w:rPr>
                <w:rFonts w:ascii="Arial" w:eastAsia="宋体" w:hAnsi="Arial" w:cs="Arial"/>
                <w:color w:val="000000"/>
                <w:sz w:val="14"/>
                <w:szCs w:val="14"/>
              </w:rPr>
              <w:t>(19)</w:t>
            </w:r>
          </w:p>
        </w:tc>
        <w:tc>
          <w:tcPr>
            <w:tcW w:w="0" w:type="auto"/>
            <w:shd w:val="clear" w:color="auto" w:fill="FFFFFF"/>
            <w:tcMar>
              <w:top w:w="40" w:type="dxa"/>
              <w:left w:w="0" w:type="dxa"/>
              <w:bottom w:w="40" w:type="dxa"/>
              <w:right w:w="20" w:type="dxa"/>
            </w:tcMar>
            <w:vAlign w:val="bottom"/>
          </w:tcPr>
          <w:p w14:paraId="392C175F" w14:textId="77777777" w:rsidR="00980E5F" w:rsidRDefault="00980E5F">
            <w:pPr>
              <w:jc w:val="right"/>
              <w:rPr>
                <w:rFonts w:ascii="宋体"/>
              </w:rPr>
            </w:pPr>
          </w:p>
        </w:tc>
        <w:tc>
          <w:tcPr>
            <w:tcW w:w="0" w:type="auto"/>
            <w:shd w:val="clear" w:color="auto" w:fill="auto"/>
            <w:vAlign w:val="bottom"/>
          </w:tcPr>
          <w:p w14:paraId="392C1760" w14:textId="77777777" w:rsidR="00980E5F" w:rsidRDefault="00980E5F">
            <w:pPr>
              <w:rPr>
                <w:rFonts w:ascii="宋体"/>
                <w:vanish/>
              </w:rPr>
            </w:pPr>
          </w:p>
        </w:tc>
        <w:tc>
          <w:tcPr>
            <w:tcW w:w="0" w:type="auto"/>
            <w:gridSpan w:val="3"/>
            <w:shd w:val="clear" w:color="auto" w:fill="auto"/>
            <w:vAlign w:val="bottom"/>
          </w:tcPr>
          <w:p w14:paraId="392C1761" w14:textId="77777777" w:rsidR="00980E5F" w:rsidRDefault="00980E5F">
            <w:pPr>
              <w:rPr>
                <w:rFonts w:ascii="宋体"/>
                <w:vanish/>
              </w:rPr>
            </w:pPr>
          </w:p>
        </w:tc>
        <w:tc>
          <w:tcPr>
            <w:tcW w:w="0" w:type="auto"/>
            <w:gridSpan w:val="3"/>
            <w:shd w:val="clear" w:color="auto" w:fill="auto"/>
            <w:vAlign w:val="bottom"/>
          </w:tcPr>
          <w:p w14:paraId="392C1762" w14:textId="77777777" w:rsidR="00980E5F" w:rsidRDefault="00980E5F">
            <w:pPr>
              <w:rPr>
                <w:rFonts w:ascii="宋体"/>
                <w:vanish/>
              </w:rPr>
            </w:pPr>
          </w:p>
        </w:tc>
        <w:tc>
          <w:tcPr>
            <w:tcW w:w="0" w:type="auto"/>
            <w:gridSpan w:val="3"/>
            <w:shd w:val="clear" w:color="auto" w:fill="auto"/>
            <w:vAlign w:val="bottom"/>
          </w:tcPr>
          <w:p w14:paraId="392C1763" w14:textId="77777777" w:rsidR="00980E5F" w:rsidRDefault="00980E5F">
            <w:pPr>
              <w:rPr>
                <w:rFonts w:ascii="宋体"/>
                <w:vanish/>
              </w:rPr>
            </w:pPr>
          </w:p>
        </w:tc>
        <w:tc>
          <w:tcPr>
            <w:tcW w:w="0" w:type="auto"/>
            <w:gridSpan w:val="3"/>
            <w:shd w:val="clear" w:color="auto" w:fill="auto"/>
            <w:vAlign w:val="bottom"/>
          </w:tcPr>
          <w:p w14:paraId="392C1764" w14:textId="77777777" w:rsidR="00980E5F" w:rsidRDefault="00980E5F">
            <w:pPr>
              <w:rPr>
                <w:rFonts w:ascii="宋体"/>
                <w:vanish/>
              </w:rPr>
            </w:pPr>
          </w:p>
        </w:tc>
        <w:tc>
          <w:tcPr>
            <w:tcW w:w="0" w:type="auto"/>
            <w:gridSpan w:val="3"/>
            <w:shd w:val="clear" w:color="auto" w:fill="auto"/>
            <w:vAlign w:val="bottom"/>
          </w:tcPr>
          <w:p w14:paraId="392C1765" w14:textId="77777777" w:rsidR="00980E5F" w:rsidRDefault="00980E5F">
            <w:pPr>
              <w:rPr>
                <w:rFonts w:ascii="宋体"/>
                <w:vanish/>
              </w:rPr>
            </w:pPr>
          </w:p>
        </w:tc>
        <w:tc>
          <w:tcPr>
            <w:tcW w:w="0" w:type="auto"/>
            <w:gridSpan w:val="3"/>
            <w:shd w:val="clear" w:color="auto" w:fill="auto"/>
            <w:vAlign w:val="bottom"/>
          </w:tcPr>
          <w:p w14:paraId="392C1766" w14:textId="77777777" w:rsidR="00980E5F" w:rsidRDefault="00980E5F">
            <w:pPr>
              <w:rPr>
                <w:rFonts w:ascii="宋体"/>
                <w:vanish/>
              </w:rPr>
            </w:pPr>
          </w:p>
        </w:tc>
      </w:tr>
      <w:tr w:rsidR="00980E5F" w14:paraId="392C1775" w14:textId="77777777">
        <w:tc>
          <w:tcPr>
            <w:tcW w:w="0" w:type="auto"/>
            <w:gridSpan w:val="3"/>
            <w:shd w:val="clear" w:color="auto" w:fill="CCEEFF"/>
            <w:tcMar>
              <w:top w:w="40" w:type="dxa"/>
              <w:left w:w="20" w:type="dxa"/>
              <w:bottom w:w="40" w:type="dxa"/>
              <w:right w:w="20" w:type="dxa"/>
            </w:tcMar>
            <w:vAlign w:val="bottom"/>
          </w:tcPr>
          <w:p w14:paraId="392C1768" w14:textId="77777777" w:rsidR="00980E5F" w:rsidRDefault="00483613">
            <w:pPr>
              <w:textAlignment w:val="bottom"/>
            </w:pPr>
            <w:r>
              <w:rPr>
                <w:rFonts w:ascii="Arial" w:eastAsia="宋体" w:hAnsi="Arial" w:cs="Arial"/>
                <w:color w:val="000000"/>
                <w:sz w:val="14"/>
                <w:szCs w:val="14"/>
              </w:rPr>
              <w:t>Provisions for credit losses (unfunded commitments)</w:t>
            </w:r>
          </w:p>
        </w:tc>
        <w:tc>
          <w:tcPr>
            <w:tcW w:w="0" w:type="auto"/>
            <w:gridSpan w:val="2"/>
            <w:shd w:val="clear" w:color="auto" w:fill="CCEEFF"/>
            <w:tcMar>
              <w:top w:w="40" w:type="dxa"/>
              <w:left w:w="20" w:type="dxa"/>
              <w:bottom w:w="40" w:type="dxa"/>
              <w:right w:w="0" w:type="dxa"/>
            </w:tcMar>
            <w:vAlign w:val="bottom"/>
          </w:tcPr>
          <w:p w14:paraId="392C1769"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17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7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76C" w14:textId="77777777" w:rsidR="00980E5F" w:rsidRDefault="00483613">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92C176D" w14:textId="77777777" w:rsidR="00980E5F" w:rsidRDefault="00980E5F">
            <w:pPr>
              <w:jc w:val="right"/>
              <w:rPr>
                <w:rFonts w:ascii="宋体"/>
              </w:rPr>
            </w:pPr>
          </w:p>
        </w:tc>
        <w:tc>
          <w:tcPr>
            <w:tcW w:w="0" w:type="auto"/>
            <w:shd w:val="clear" w:color="auto" w:fill="auto"/>
            <w:vAlign w:val="bottom"/>
          </w:tcPr>
          <w:p w14:paraId="392C176E" w14:textId="77777777" w:rsidR="00980E5F" w:rsidRDefault="00980E5F">
            <w:pPr>
              <w:rPr>
                <w:rFonts w:ascii="宋体"/>
                <w:vanish/>
              </w:rPr>
            </w:pPr>
          </w:p>
        </w:tc>
        <w:tc>
          <w:tcPr>
            <w:tcW w:w="0" w:type="auto"/>
            <w:gridSpan w:val="3"/>
            <w:shd w:val="clear" w:color="auto" w:fill="auto"/>
            <w:vAlign w:val="bottom"/>
          </w:tcPr>
          <w:p w14:paraId="392C176F" w14:textId="77777777" w:rsidR="00980E5F" w:rsidRDefault="00980E5F">
            <w:pPr>
              <w:rPr>
                <w:rFonts w:ascii="宋体"/>
                <w:vanish/>
              </w:rPr>
            </w:pPr>
          </w:p>
        </w:tc>
        <w:tc>
          <w:tcPr>
            <w:tcW w:w="0" w:type="auto"/>
            <w:gridSpan w:val="3"/>
            <w:shd w:val="clear" w:color="auto" w:fill="auto"/>
            <w:vAlign w:val="bottom"/>
          </w:tcPr>
          <w:p w14:paraId="392C1770" w14:textId="77777777" w:rsidR="00980E5F" w:rsidRDefault="00980E5F">
            <w:pPr>
              <w:rPr>
                <w:rFonts w:ascii="宋体"/>
                <w:vanish/>
              </w:rPr>
            </w:pPr>
          </w:p>
        </w:tc>
        <w:tc>
          <w:tcPr>
            <w:tcW w:w="0" w:type="auto"/>
            <w:gridSpan w:val="3"/>
            <w:shd w:val="clear" w:color="auto" w:fill="auto"/>
            <w:vAlign w:val="bottom"/>
          </w:tcPr>
          <w:p w14:paraId="392C1771" w14:textId="77777777" w:rsidR="00980E5F" w:rsidRDefault="00980E5F">
            <w:pPr>
              <w:rPr>
                <w:rFonts w:ascii="宋体"/>
                <w:vanish/>
              </w:rPr>
            </w:pPr>
          </w:p>
        </w:tc>
        <w:tc>
          <w:tcPr>
            <w:tcW w:w="0" w:type="auto"/>
            <w:gridSpan w:val="3"/>
            <w:shd w:val="clear" w:color="auto" w:fill="auto"/>
            <w:vAlign w:val="bottom"/>
          </w:tcPr>
          <w:p w14:paraId="392C1772" w14:textId="77777777" w:rsidR="00980E5F" w:rsidRDefault="00980E5F">
            <w:pPr>
              <w:rPr>
                <w:rFonts w:ascii="宋体"/>
                <w:vanish/>
              </w:rPr>
            </w:pPr>
          </w:p>
        </w:tc>
        <w:tc>
          <w:tcPr>
            <w:tcW w:w="0" w:type="auto"/>
            <w:gridSpan w:val="3"/>
            <w:shd w:val="clear" w:color="auto" w:fill="auto"/>
            <w:vAlign w:val="bottom"/>
          </w:tcPr>
          <w:p w14:paraId="392C1773" w14:textId="77777777" w:rsidR="00980E5F" w:rsidRDefault="00980E5F">
            <w:pPr>
              <w:rPr>
                <w:rFonts w:ascii="宋体"/>
                <w:vanish/>
              </w:rPr>
            </w:pPr>
          </w:p>
        </w:tc>
        <w:tc>
          <w:tcPr>
            <w:tcW w:w="0" w:type="auto"/>
            <w:gridSpan w:val="3"/>
            <w:shd w:val="clear" w:color="auto" w:fill="auto"/>
            <w:vAlign w:val="bottom"/>
          </w:tcPr>
          <w:p w14:paraId="392C1774" w14:textId="77777777" w:rsidR="00980E5F" w:rsidRDefault="00980E5F">
            <w:pPr>
              <w:rPr>
                <w:rFonts w:ascii="宋体"/>
                <w:vanish/>
              </w:rPr>
            </w:pPr>
          </w:p>
        </w:tc>
      </w:tr>
      <w:tr w:rsidR="00980E5F" w14:paraId="392C1783" w14:textId="77777777">
        <w:tc>
          <w:tcPr>
            <w:tcW w:w="0" w:type="auto"/>
            <w:gridSpan w:val="3"/>
            <w:shd w:val="clear" w:color="auto" w:fill="FFFFFF"/>
            <w:tcMar>
              <w:top w:w="40" w:type="dxa"/>
              <w:left w:w="20" w:type="dxa"/>
              <w:bottom w:w="40" w:type="dxa"/>
              <w:right w:w="20" w:type="dxa"/>
            </w:tcMar>
            <w:vAlign w:val="bottom"/>
          </w:tcPr>
          <w:p w14:paraId="392C1776" w14:textId="77777777" w:rsidR="00980E5F" w:rsidRDefault="00483613">
            <w:pPr>
              <w:textAlignment w:val="bottom"/>
            </w:pPr>
            <w:r>
              <w:rPr>
                <w:rFonts w:ascii="Arial" w:eastAsia="宋体" w:hAnsi="Arial" w:cs="Arial"/>
                <w:color w:val="000000"/>
                <w:sz w:val="14"/>
                <w:szCs w:val="14"/>
              </w:rPr>
              <w:t xml:space="preserve">Provisions for credit </w:t>
            </w:r>
            <w:r>
              <w:rPr>
                <w:rFonts w:ascii="Arial" w:eastAsia="宋体" w:hAnsi="Arial" w:cs="Arial"/>
                <w:color w:val="000000"/>
                <w:sz w:val="14"/>
                <w:szCs w:val="14"/>
              </w:rPr>
              <w:t>losses (held-to-maturity securities and all other)</w:t>
            </w:r>
          </w:p>
        </w:tc>
        <w:tc>
          <w:tcPr>
            <w:tcW w:w="0" w:type="auto"/>
            <w:gridSpan w:val="2"/>
            <w:shd w:val="clear" w:color="auto" w:fill="FFFFFF"/>
            <w:tcMar>
              <w:top w:w="40" w:type="dxa"/>
              <w:left w:w="20" w:type="dxa"/>
              <w:bottom w:w="40" w:type="dxa"/>
              <w:right w:w="0" w:type="dxa"/>
            </w:tcMar>
            <w:vAlign w:val="bottom"/>
          </w:tcPr>
          <w:p w14:paraId="392C177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7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77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77A"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177B" w14:textId="77777777" w:rsidR="00980E5F" w:rsidRDefault="00980E5F">
            <w:pPr>
              <w:jc w:val="right"/>
              <w:rPr>
                <w:rFonts w:ascii="宋体"/>
              </w:rPr>
            </w:pPr>
          </w:p>
        </w:tc>
        <w:tc>
          <w:tcPr>
            <w:tcW w:w="0" w:type="auto"/>
            <w:shd w:val="clear" w:color="auto" w:fill="auto"/>
            <w:vAlign w:val="bottom"/>
          </w:tcPr>
          <w:p w14:paraId="392C177C" w14:textId="77777777" w:rsidR="00980E5F" w:rsidRDefault="00980E5F">
            <w:pPr>
              <w:rPr>
                <w:rFonts w:ascii="宋体"/>
                <w:vanish/>
              </w:rPr>
            </w:pPr>
          </w:p>
        </w:tc>
        <w:tc>
          <w:tcPr>
            <w:tcW w:w="0" w:type="auto"/>
            <w:gridSpan w:val="3"/>
            <w:shd w:val="clear" w:color="auto" w:fill="auto"/>
            <w:vAlign w:val="bottom"/>
          </w:tcPr>
          <w:p w14:paraId="392C177D" w14:textId="77777777" w:rsidR="00980E5F" w:rsidRDefault="00980E5F">
            <w:pPr>
              <w:rPr>
                <w:rFonts w:ascii="宋体"/>
                <w:vanish/>
              </w:rPr>
            </w:pPr>
          </w:p>
        </w:tc>
        <w:tc>
          <w:tcPr>
            <w:tcW w:w="0" w:type="auto"/>
            <w:gridSpan w:val="3"/>
            <w:shd w:val="clear" w:color="auto" w:fill="auto"/>
            <w:vAlign w:val="bottom"/>
          </w:tcPr>
          <w:p w14:paraId="392C177E" w14:textId="77777777" w:rsidR="00980E5F" w:rsidRDefault="00980E5F">
            <w:pPr>
              <w:rPr>
                <w:rFonts w:ascii="宋体"/>
                <w:vanish/>
              </w:rPr>
            </w:pPr>
          </w:p>
        </w:tc>
        <w:tc>
          <w:tcPr>
            <w:tcW w:w="0" w:type="auto"/>
            <w:gridSpan w:val="3"/>
            <w:shd w:val="clear" w:color="auto" w:fill="auto"/>
            <w:vAlign w:val="bottom"/>
          </w:tcPr>
          <w:p w14:paraId="392C177F" w14:textId="77777777" w:rsidR="00980E5F" w:rsidRDefault="00980E5F">
            <w:pPr>
              <w:rPr>
                <w:rFonts w:ascii="宋体"/>
                <w:vanish/>
              </w:rPr>
            </w:pPr>
          </w:p>
        </w:tc>
        <w:tc>
          <w:tcPr>
            <w:tcW w:w="0" w:type="auto"/>
            <w:gridSpan w:val="3"/>
            <w:shd w:val="clear" w:color="auto" w:fill="auto"/>
            <w:vAlign w:val="bottom"/>
          </w:tcPr>
          <w:p w14:paraId="392C1780" w14:textId="77777777" w:rsidR="00980E5F" w:rsidRDefault="00980E5F">
            <w:pPr>
              <w:rPr>
                <w:rFonts w:ascii="宋体"/>
                <w:vanish/>
              </w:rPr>
            </w:pPr>
          </w:p>
        </w:tc>
        <w:tc>
          <w:tcPr>
            <w:tcW w:w="0" w:type="auto"/>
            <w:gridSpan w:val="3"/>
            <w:shd w:val="clear" w:color="auto" w:fill="auto"/>
            <w:vAlign w:val="bottom"/>
          </w:tcPr>
          <w:p w14:paraId="392C1781" w14:textId="77777777" w:rsidR="00980E5F" w:rsidRDefault="00980E5F">
            <w:pPr>
              <w:rPr>
                <w:rFonts w:ascii="宋体"/>
                <w:vanish/>
              </w:rPr>
            </w:pPr>
          </w:p>
        </w:tc>
        <w:tc>
          <w:tcPr>
            <w:tcW w:w="0" w:type="auto"/>
            <w:gridSpan w:val="3"/>
            <w:shd w:val="clear" w:color="auto" w:fill="auto"/>
            <w:vAlign w:val="bottom"/>
          </w:tcPr>
          <w:p w14:paraId="392C1782" w14:textId="77777777" w:rsidR="00980E5F" w:rsidRDefault="00980E5F">
            <w:pPr>
              <w:rPr>
                <w:rFonts w:ascii="宋体"/>
                <w:vanish/>
              </w:rPr>
            </w:pPr>
          </w:p>
        </w:tc>
      </w:tr>
      <w:tr w:rsidR="00980E5F" w14:paraId="392C1791" w14:textId="77777777">
        <w:tc>
          <w:tcPr>
            <w:tcW w:w="0" w:type="auto"/>
            <w:gridSpan w:val="3"/>
            <w:shd w:val="clear" w:color="auto" w:fill="CCEEFF"/>
            <w:tcMar>
              <w:top w:w="40" w:type="dxa"/>
              <w:left w:w="20" w:type="dxa"/>
              <w:bottom w:w="40" w:type="dxa"/>
              <w:right w:w="20" w:type="dxa"/>
            </w:tcMar>
            <w:vAlign w:val="bottom"/>
          </w:tcPr>
          <w:p w14:paraId="392C1784" w14:textId="77777777" w:rsidR="00980E5F" w:rsidRDefault="00483613">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92C1785"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392C178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78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788"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1789" w14:textId="77777777" w:rsidR="00980E5F" w:rsidRDefault="00980E5F">
            <w:pPr>
              <w:jc w:val="right"/>
              <w:rPr>
                <w:rFonts w:ascii="宋体"/>
              </w:rPr>
            </w:pPr>
          </w:p>
        </w:tc>
        <w:tc>
          <w:tcPr>
            <w:tcW w:w="0" w:type="auto"/>
            <w:shd w:val="clear" w:color="auto" w:fill="auto"/>
            <w:vAlign w:val="bottom"/>
          </w:tcPr>
          <w:p w14:paraId="392C178A" w14:textId="77777777" w:rsidR="00980E5F" w:rsidRDefault="00980E5F">
            <w:pPr>
              <w:rPr>
                <w:rFonts w:ascii="宋体"/>
                <w:vanish/>
              </w:rPr>
            </w:pPr>
          </w:p>
        </w:tc>
        <w:tc>
          <w:tcPr>
            <w:tcW w:w="0" w:type="auto"/>
            <w:gridSpan w:val="3"/>
            <w:shd w:val="clear" w:color="auto" w:fill="auto"/>
            <w:vAlign w:val="bottom"/>
          </w:tcPr>
          <w:p w14:paraId="392C178B" w14:textId="77777777" w:rsidR="00980E5F" w:rsidRDefault="00980E5F">
            <w:pPr>
              <w:rPr>
                <w:rFonts w:ascii="宋体"/>
                <w:vanish/>
              </w:rPr>
            </w:pPr>
          </w:p>
        </w:tc>
        <w:tc>
          <w:tcPr>
            <w:tcW w:w="0" w:type="auto"/>
            <w:gridSpan w:val="3"/>
            <w:shd w:val="clear" w:color="auto" w:fill="auto"/>
            <w:vAlign w:val="bottom"/>
          </w:tcPr>
          <w:p w14:paraId="392C178C" w14:textId="77777777" w:rsidR="00980E5F" w:rsidRDefault="00980E5F">
            <w:pPr>
              <w:rPr>
                <w:rFonts w:ascii="宋体"/>
                <w:vanish/>
              </w:rPr>
            </w:pPr>
          </w:p>
        </w:tc>
        <w:tc>
          <w:tcPr>
            <w:tcW w:w="0" w:type="auto"/>
            <w:gridSpan w:val="3"/>
            <w:shd w:val="clear" w:color="auto" w:fill="auto"/>
            <w:vAlign w:val="bottom"/>
          </w:tcPr>
          <w:p w14:paraId="392C178D" w14:textId="77777777" w:rsidR="00980E5F" w:rsidRDefault="00980E5F">
            <w:pPr>
              <w:rPr>
                <w:rFonts w:ascii="宋体"/>
                <w:vanish/>
              </w:rPr>
            </w:pPr>
          </w:p>
        </w:tc>
        <w:tc>
          <w:tcPr>
            <w:tcW w:w="0" w:type="auto"/>
            <w:gridSpan w:val="3"/>
            <w:shd w:val="clear" w:color="auto" w:fill="auto"/>
            <w:vAlign w:val="bottom"/>
          </w:tcPr>
          <w:p w14:paraId="392C178E" w14:textId="77777777" w:rsidR="00980E5F" w:rsidRDefault="00980E5F">
            <w:pPr>
              <w:rPr>
                <w:rFonts w:ascii="宋体"/>
                <w:vanish/>
              </w:rPr>
            </w:pPr>
          </w:p>
        </w:tc>
        <w:tc>
          <w:tcPr>
            <w:tcW w:w="0" w:type="auto"/>
            <w:gridSpan w:val="3"/>
            <w:shd w:val="clear" w:color="auto" w:fill="auto"/>
            <w:vAlign w:val="bottom"/>
          </w:tcPr>
          <w:p w14:paraId="392C178F" w14:textId="77777777" w:rsidR="00980E5F" w:rsidRDefault="00980E5F">
            <w:pPr>
              <w:rPr>
                <w:rFonts w:ascii="宋体"/>
                <w:vanish/>
              </w:rPr>
            </w:pPr>
          </w:p>
        </w:tc>
        <w:tc>
          <w:tcPr>
            <w:tcW w:w="0" w:type="auto"/>
            <w:gridSpan w:val="3"/>
            <w:shd w:val="clear" w:color="auto" w:fill="auto"/>
            <w:vAlign w:val="bottom"/>
          </w:tcPr>
          <w:p w14:paraId="392C1790" w14:textId="77777777" w:rsidR="00980E5F" w:rsidRDefault="00980E5F">
            <w:pPr>
              <w:rPr>
                <w:rFonts w:ascii="宋体"/>
                <w:vanish/>
              </w:rPr>
            </w:pPr>
          </w:p>
        </w:tc>
      </w:tr>
      <w:tr w:rsidR="00980E5F" w14:paraId="392C179D" w14:textId="77777777">
        <w:trPr>
          <w:hidden/>
        </w:trPr>
        <w:tc>
          <w:tcPr>
            <w:tcW w:w="0" w:type="auto"/>
            <w:gridSpan w:val="3"/>
            <w:shd w:val="clear" w:color="auto" w:fill="auto"/>
            <w:vAlign w:val="bottom"/>
          </w:tcPr>
          <w:p w14:paraId="392C1792" w14:textId="77777777" w:rsidR="00980E5F" w:rsidRDefault="00980E5F">
            <w:pPr>
              <w:rPr>
                <w:rFonts w:ascii="宋体"/>
                <w:vanish/>
              </w:rPr>
            </w:pPr>
          </w:p>
        </w:tc>
        <w:tc>
          <w:tcPr>
            <w:tcW w:w="0" w:type="auto"/>
            <w:gridSpan w:val="3"/>
            <w:shd w:val="clear" w:color="auto" w:fill="auto"/>
            <w:vAlign w:val="bottom"/>
          </w:tcPr>
          <w:p w14:paraId="392C1793" w14:textId="77777777" w:rsidR="00980E5F" w:rsidRDefault="00980E5F">
            <w:pPr>
              <w:rPr>
                <w:rFonts w:ascii="宋体"/>
                <w:vanish/>
              </w:rPr>
            </w:pPr>
          </w:p>
        </w:tc>
        <w:tc>
          <w:tcPr>
            <w:tcW w:w="0" w:type="auto"/>
            <w:gridSpan w:val="3"/>
            <w:shd w:val="clear" w:color="auto" w:fill="auto"/>
            <w:vAlign w:val="bottom"/>
          </w:tcPr>
          <w:p w14:paraId="392C1794" w14:textId="77777777" w:rsidR="00980E5F" w:rsidRDefault="00980E5F">
            <w:pPr>
              <w:rPr>
                <w:rFonts w:ascii="宋体"/>
                <w:vanish/>
              </w:rPr>
            </w:pPr>
          </w:p>
        </w:tc>
        <w:tc>
          <w:tcPr>
            <w:tcW w:w="0" w:type="auto"/>
            <w:gridSpan w:val="3"/>
            <w:shd w:val="clear" w:color="auto" w:fill="auto"/>
            <w:vAlign w:val="bottom"/>
          </w:tcPr>
          <w:p w14:paraId="392C1795" w14:textId="77777777" w:rsidR="00980E5F" w:rsidRDefault="00980E5F">
            <w:pPr>
              <w:rPr>
                <w:rFonts w:ascii="宋体"/>
                <w:vanish/>
              </w:rPr>
            </w:pPr>
          </w:p>
        </w:tc>
        <w:tc>
          <w:tcPr>
            <w:tcW w:w="0" w:type="auto"/>
            <w:shd w:val="clear" w:color="auto" w:fill="auto"/>
            <w:vAlign w:val="bottom"/>
          </w:tcPr>
          <w:p w14:paraId="392C1796" w14:textId="77777777" w:rsidR="00980E5F" w:rsidRDefault="00980E5F">
            <w:pPr>
              <w:rPr>
                <w:rFonts w:ascii="宋体"/>
                <w:vanish/>
              </w:rPr>
            </w:pPr>
          </w:p>
        </w:tc>
        <w:tc>
          <w:tcPr>
            <w:tcW w:w="0" w:type="auto"/>
            <w:gridSpan w:val="3"/>
            <w:shd w:val="clear" w:color="auto" w:fill="auto"/>
            <w:vAlign w:val="bottom"/>
          </w:tcPr>
          <w:p w14:paraId="392C1797" w14:textId="77777777" w:rsidR="00980E5F" w:rsidRDefault="00980E5F">
            <w:pPr>
              <w:rPr>
                <w:rFonts w:ascii="宋体"/>
                <w:vanish/>
              </w:rPr>
            </w:pPr>
          </w:p>
        </w:tc>
        <w:tc>
          <w:tcPr>
            <w:tcW w:w="0" w:type="auto"/>
            <w:gridSpan w:val="3"/>
            <w:shd w:val="clear" w:color="auto" w:fill="auto"/>
            <w:vAlign w:val="bottom"/>
          </w:tcPr>
          <w:p w14:paraId="392C1798" w14:textId="77777777" w:rsidR="00980E5F" w:rsidRDefault="00980E5F">
            <w:pPr>
              <w:rPr>
                <w:rFonts w:ascii="宋体"/>
                <w:vanish/>
              </w:rPr>
            </w:pPr>
          </w:p>
        </w:tc>
        <w:tc>
          <w:tcPr>
            <w:tcW w:w="0" w:type="auto"/>
            <w:gridSpan w:val="3"/>
            <w:shd w:val="clear" w:color="auto" w:fill="auto"/>
            <w:vAlign w:val="bottom"/>
          </w:tcPr>
          <w:p w14:paraId="392C1799" w14:textId="77777777" w:rsidR="00980E5F" w:rsidRDefault="00980E5F">
            <w:pPr>
              <w:rPr>
                <w:rFonts w:ascii="宋体"/>
                <w:vanish/>
              </w:rPr>
            </w:pPr>
          </w:p>
        </w:tc>
        <w:tc>
          <w:tcPr>
            <w:tcW w:w="0" w:type="auto"/>
            <w:gridSpan w:val="3"/>
            <w:shd w:val="clear" w:color="auto" w:fill="auto"/>
            <w:vAlign w:val="bottom"/>
          </w:tcPr>
          <w:p w14:paraId="392C179A" w14:textId="77777777" w:rsidR="00980E5F" w:rsidRDefault="00980E5F">
            <w:pPr>
              <w:rPr>
                <w:rFonts w:ascii="宋体"/>
                <w:vanish/>
              </w:rPr>
            </w:pPr>
          </w:p>
        </w:tc>
        <w:tc>
          <w:tcPr>
            <w:tcW w:w="0" w:type="auto"/>
            <w:gridSpan w:val="3"/>
            <w:shd w:val="clear" w:color="auto" w:fill="auto"/>
            <w:vAlign w:val="bottom"/>
          </w:tcPr>
          <w:p w14:paraId="392C179B" w14:textId="77777777" w:rsidR="00980E5F" w:rsidRDefault="00980E5F">
            <w:pPr>
              <w:rPr>
                <w:rFonts w:ascii="宋体"/>
                <w:vanish/>
              </w:rPr>
            </w:pPr>
          </w:p>
        </w:tc>
        <w:tc>
          <w:tcPr>
            <w:tcW w:w="0" w:type="auto"/>
            <w:gridSpan w:val="3"/>
            <w:shd w:val="clear" w:color="auto" w:fill="auto"/>
            <w:vAlign w:val="bottom"/>
          </w:tcPr>
          <w:p w14:paraId="392C179C" w14:textId="77777777" w:rsidR="00980E5F" w:rsidRDefault="00980E5F">
            <w:pPr>
              <w:rPr>
                <w:rFonts w:ascii="宋体"/>
                <w:vanish/>
              </w:rPr>
            </w:pPr>
          </w:p>
        </w:tc>
      </w:tr>
      <w:tr w:rsidR="00980E5F" w14:paraId="392C17AB" w14:textId="77777777">
        <w:tc>
          <w:tcPr>
            <w:tcW w:w="0" w:type="auto"/>
            <w:gridSpan w:val="3"/>
            <w:shd w:val="clear" w:color="auto" w:fill="FFFFFF"/>
            <w:tcMar>
              <w:top w:w="40" w:type="dxa"/>
              <w:left w:w="20" w:type="dxa"/>
              <w:bottom w:w="40" w:type="dxa"/>
              <w:right w:w="20" w:type="dxa"/>
            </w:tcMar>
            <w:vAlign w:val="bottom"/>
          </w:tcPr>
          <w:p w14:paraId="392C179E"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179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7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7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7A2"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17A3" w14:textId="77777777" w:rsidR="00980E5F" w:rsidRDefault="00980E5F">
            <w:pPr>
              <w:jc w:val="right"/>
              <w:rPr>
                <w:rFonts w:ascii="宋体"/>
              </w:rPr>
            </w:pPr>
          </w:p>
        </w:tc>
        <w:tc>
          <w:tcPr>
            <w:tcW w:w="0" w:type="auto"/>
            <w:shd w:val="clear" w:color="auto" w:fill="auto"/>
            <w:vAlign w:val="bottom"/>
          </w:tcPr>
          <w:p w14:paraId="392C17A4" w14:textId="77777777" w:rsidR="00980E5F" w:rsidRDefault="00980E5F">
            <w:pPr>
              <w:rPr>
                <w:rFonts w:ascii="宋体"/>
                <w:vanish/>
              </w:rPr>
            </w:pPr>
          </w:p>
        </w:tc>
        <w:tc>
          <w:tcPr>
            <w:tcW w:w="0" w:type="auto"/>
            <w:gridSpan w:val="3"/>
            <w:shd w:val="clear" w:color="auto" w:fill="auto"/>
            <w:vAlign w:val="bottom"/>
          </w:tcPr>
          <w:p w14:paraId="392C17A5" w14:textId="77777777" w:rsidR="00980E5F" w:rsidRDefault="00980E5F">
            <w:pPr>
              <w:rPr>
                <w:rFonts w:ascii="宋体"/>
                <w:vanish/>
              </w:rPr>
            </w:pPr>
          </w:p>
        </w:tc>
        <w:tc>
          <w:tcPr>
            <w:tcW w:w="0" w:type="auto"/>
            <w:gridSpan w:val="3"/>
            <w:shd w:val="clear" w:color="auto" w:fill="auto"/>
            <w:vAlign w:val="bottom"/>
          </w:tcPr>
          <w:p w14:paraId="392C17A6" w14:textId="77777777" w:rsidR="00980E5F" w:rsidRDefault="00980E5F">
            <w:pPr>
              <w:rPr>
                <w:rFonts w:ascii="宋体"/>
                <w:vanish/>
              </w:rPr>
            </w:pPr>
          </w:p>
        </w:tc>
        <w:tc>
          <w:tcPr>
            <w:tcW w:w="0" w:type="auto"/>
            <w:gridSpan w:val="3"/>
            <w:shd w:val="clear" w:color="auto" w:fill="auto"/>
            <w:vAlign w:val="bottom"/>
          </w:tcPr>
          <w:p w14:paraId="392C17A7" w14:textId="77777777" w:rsidR="00980E5F" w:rsidRDefault="00980E5F">
            <w:pPr>
              <w:rPr>
                <w:rFonts w:ascii="宋体"/>
                <w:vanish/>
              </w:rPr>
            </w:pPr>
          </w:p>
        </w:tc>
        <w:tc>
          <w:tcPr>
            <w:tcW w:w="0" w:type="auto"/>
            <w:gridSpan w:val="3"/>
            <w:shd w:val="clear" w:color="auto" w:fill="auto"/>
            <w:vAlign w:val="bottom"/>
          </w:tcPr>
          <w:p w14:paraId="392C17A8" w14:textId="77777777" w:rsidR="00980E5F" w:rsidRDefault="00980E5F">
            <w:pPr>
              <w:rPr>
                <w:rFonts w:ascii="宋体"/>
                <w:vanish/>
              </w:rPr>
            </w:pPr>
          </w:p>
        </w:tc>
        <w:tc>
          <w:tcPr>
            <w:tcW w:w="0" w:type="auto"/>
            <w:gridSpan w:val="3"/>
            <w:shd w:val="clear" w:color="auto" w:fill="auto"/>
            <w:vAlign w:val="bottom"/>
          </w:tcPr>
          <w:p w14:paraId="392C17A9" w14:textId="77777777" w:rsidR="00980E5F" w:rsidRDefault="00980E5F">
            <w:pPr>
              <w:rPr>
                <w:rFonts w:ascii="宋体"/>
                <w:vanish/>
              </w:rPr>
            </w:pPr>
          </w:p>
        </w:tc>
        <w:tc>
          <w:tcPr>
            <w:tcW w:w="0" w:type="auto"/>
            <w:gridSpan w:val="3"/>
            <w:shd w:val="clear" w:color="auto" w:fill="auto"/>
            <w:vAlign w:val="bottom"/>
          </w:tcPr>
          <w:p w14:paraId="392C17AA" w14:textId="77777777" w:rsidR="00980E5F" w:rsidRDefault="00980E5F">
            <w:pPr>
              <w:rPr>
                <w:rFonts w:ascii="宋体"/>
                <w:vanish/>
              </w:rPr>
            </w:pPr>
          </w:p>
        </w:tc>
      </w:tr>
      <w:tr w:rsidR="00980E5F" w14:paraId="392C17BB" w14:textId="77777777">
        <w:tc>
          <w:tcPr>
            <w:tcW w:w="0" w:type="auto"/>
            <w:gridSpan w:val="3"/>
            <w:shd w:val="clear" w:color="auto" w:fill="CCEEFF"/>
            <w:tcMar>
              <w:top w:w="40" w:type="dxa"/>
              <w:left w:w="20" w:type="dxa"/>
              <w:bottom w:w="40" w:type="dxa"/>
              <w:right w:w="20" w:type="dxa"/>
            </w:tcMar>
            <w:vAlign w:val="bottom"/>
          </w:tcPr>
          <w:p w14:paraId="392C17AC" w14:textId="77777777" w:rsidR="00980E5F" w:rsidRDefault="00483613">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7A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7AE" w14:textId="77777777" w:rsidR="00980E5F" w:rsidRDefault="00483613">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7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7B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17B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17B2" w14:textId="77777777" w:rsidR="00980E5F" w:rsidRDefault="00483613">
            <w:pPr>
              <w:jc w:val="right"/>
              <w:textAlignment w:val="bottom"/>
            </w:pPr>
            <w:r>
              <w:rPr>
                <w:rFonts w:ascii="Arial" w:eastAsia="宋体" w:hAnsi="Arial" w:cs="Arial"/>
                <w:color w:val="000000"/>
                <w:sz w:val="14"/>
                <w:szCs w:val="14"/>
              </w:rPr>
              <w:t>121 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17B3" w14:textId="77777777" w:rsidR="00980E5F" w:rsidRDefault="00980E5F">
            <w:pPr>
              <w:jc w:val="right"/>
              <w:rPr>
                <w:rFonts w:ascii="宋体"/>
              </w:rPr>
            </w:pPr>
          </w:p>
        </w:tc>
        <w:tc>
          <w:tcPr>
            <w:tcW w:w="0" w:type="auto"/>
            <w:shd w:val="clear" w:color="auto" w:fill="auto"/>
            <w:vAlign w:val="bottom"/>
          </w:tcPr>
          <w:p w14:paraId="392C17B4" w14:textId="77777777" w:rsidR="00980E5F" w:rsidRDefault="00980E5F">
            <w:pPr>
              <w:rPr>
                <w:rFonts w:ascii="宋体"/>
                <w:vanish/>
              </w:rPr>
            </w:pPr>
          </w:p>
        </w:tc>
        <w:tc>
          <w:tcPr>
            <w:tcW w:w="0" w:type="auto"/>
            <w:gridSpan w:val="3"/>
            <w:shd w:val="clear" w:color="auto" w:fill="auto"/>
            <w:vAlign w:val="bottom"/>
          </w:tcPr>
          <w:p w14:paraId="392C17B5" w14:textId="77777777" w:rsidR="00980E5F" w:rsidRDefault="00980E5F">
            <w:pPr>
              <w:rPr>
                <w:rFonts w:ascii="宋体"/>
                <w:vanish/>
              </w:rPr>
            </w:pPr>
          </w:p>
        </w:tc>
        <w:tc>
          <w:tcPr>
            <w:tcW w:w="0" w:type="auto"/>
            <w:gridSpan w:val="3"/>
            <w:shd w:val="clear" w:color="auto" w:fill="auto"/>
            <w:vAlign w:val="bottom"/>
          </w:tcPr>
          <w:p w14:paraId="392C17B6" w14:textId="77777777" w:rsidR="00980E5F" w:rsidRDefault="00980E5F">
            <w:pPr>
              <w:rPr>
                <w:rFonts w:ascii="宋体"/>
                <w:vanish/>
              </w:rPr>
            </w:pPr>
          </w:p>
        </w:tc>
        <w:tc>
          <w:tcPr>
            <w:tcW w:w="0" w:type="auto"/>
            <w:gridSpan w:val="3"/>
            <w:shd w:val="clear" w:color="auto" w:fill="auto"/>
            <w:vAlign w:val="bottom"/>
          </w:tcPr>
          <w:p w14:paraId="392C17B7" w14:textId="77777777" w:rsidR="00980E5F" w:rsidRDefault="00980E5F">
            <w:pPr>
              <w:rPr>
                <w:rFonts w:ascii="宋体"/>
                <w:vanish/>
              </w:rPr>
            </w:pPr>
          </w:p>
        </w:tc>
        <w:tc>
          <w:tcPr>
            <w:tcW w:w="0" w:type="auto"/>
            <w:gridSpan w:val="3"/>
            <w:shd w:val="clear" w:color="auto" w:fill="auto"/>
            <w:vAlign w:val="bottom"/>
          </w:tcPr>
          <w:p w14:paraId="392C17B8" w14:textId="77777777" w:rsidR="00980E5F" w:rsidRDefault="00980E5F">
            <w:pPr>
              <w:rPr>
                <w:rFonts w:ascii="宋体"/>
                <w:vanish/>
              </w:rPr>
            </w:pPr>
          </w:p>
        </w:tc>
        <w:tc>
          <w:tcPr>
            <w:tcW w:w="0" w:type="auto"/>
            <w:gridSpan w:val="3"/>
            <w:shd w:val="clear" w:color="auto" w:fill="auto"/>
            <w:vAlign w:val="bottom"/>
          </w:tcPr>
          <w:p w14:paraId="392C17B9" w14:textId="77777777" w:rsidR="00980E5F" w:rsidRDefault="00980E5F">
            <w:pPr>
              <w:rPr>
                <w:rFonts w:ascii="宋体"/>
                <w:vanish/>
              </w:rPr>
            </w:pPr>
          </w:p>
        </w:tc>
        <w:tc>
          <w:tcPr>
            <w:tcW w:w="0" w:type="auto"/>
            <w:gridSpan w:val="3"/>
            <w:shd w:val="clear" w:color="auto" w:fill="auto"/>
            <w:vAlign w:val="bottom"/>
          </w:tcPr>
          <w:p w14:paraId="392C17BA" w14:textId="77777777" w:rsidR="00980E5F" w:rsidRDefault="00980E5F">
            <w:pPr>
              <w:rPr>
                <w:rFonts w:ascii="宋体"/>
                <w:vanish/>
              </w:rPr>
            </w:pPr>
          </w:p>
        </w:tc>
      </w:tr>
    </w:tbl>
    <w:p w14:paraId="392C17BC" w14:textId="77777777" w:rsidR="00980E5F" w:rsidRDefault="00980E5F">
      <w:pPr>
        <w:rPr>
          <w:vanish/>
        </w:rPr>
      </w:pPr>
    </w:p>
    <w:tbl>
      <w:tblPr>
        <w:tblW w:w="4135" w:type="pct"/>
        <w:tblCellMar>
          <w:top w:w="15" w:type="dxa"/>
          <w:left w:w="15" w:type="dxa"/>
          <w:bottom w:w="15" w:type="dxa"/>
          <w:right w:w="15" w:type="dxa"/>
        </w:tblCellMar>
        <w:tblLook w:val="04A0" w:firstRow="1" w:lastRow="0" w:firstColumn="1" w:lastColumn="0" w:noHBand="0" w:noVBand="1"/>
      </w:tblPr>
      <w:tblGrid>
        <w:gridCol w:w="53"/>
        <w:gridCol w:w="3931"/>
        <w:gridCol w:w="36"/>
        <w:gridCol w:w="53"/>
        <w:gridCol w:w="1648"/>
        <w:gridCol w:w="36"/>
        <w:gridCol w:w="54"/>
        <w:gridCol w:w="975"/>
        <w:gridCol w:w="36"/>
        <w:gridCol w:w="36"/>
        <w:gridCol w:w="36"/>
      </w:tblGrid>
      <w:tr w:rsidR="00980E5F" w14:paraId="392C17C8" w14:textId="77777777">
        <w:tc>
          <w:tcPr>
            <w:tcW w:w="50" w:type="pct"/>
            <w:shd w:val="clear" w:color="auto" w:fill="auto"/>
            <w:vAlign w:val="bottom"/>
          </w:tcPr>
          <w:p w14:paraId="392C17BD" w14:textId="77777777" w:rsidR="00980E5F" w:rsidRDefault="00980E5F">
            <w:pPr>
              <w:rPr>
                <w:rFonts w:ascii="宋体"/>
              </w:rPr>
            </w:pPr>
          </w:p>
        </w:tc>
        <w:tc>
          <w:tcPr>
            <w:tcW w:w="2891" w:type="pct"/>
            <w:shd w:val="clear" w:color="auto" w:fill="auto"/>
            <w:vAlign w:val="bottom"/>
          </w:tcPr>
          <w:p w14:paraId="392C17BE" w14:textId="77777777" w:rsidR="00980E5F" w:rsidRDefault="00980E5F">
            <w:pPr>
              <w:rPr>
                <w:rFonts w:ascii="宋体"/>
              </w:rPr>
            </w:pPr>
          </w:p>
        </w:tc>
        <w:tc>
          <w:tcPr>
            <w:tcW w:w="5" w:type="pct"/>
            <w:shd w:val="clear" w:color="auto" w:fill="auto"/>
            <w:vAlign w:val="bottom"/>
          </w:tcPr>
          <w:p w14:paraId="392C17BF" w14:textId="77777777" w:rsidR="00980E5F" w:rsidRDefault="00980E5F">
            <w:pPr>
              <w:rPr>
                <w:rFonts w:ascii="宋体"/>
              </w:rPr>
            </w:pPr>
          </w:p>
        </w:tc>
        <w:tc>
          <w:tcPr>
            <w:tcW w:w="50" w:type="pct"/>
            <w:shd w:val="clear" w:color="auto" w:fill="auto"/>
            <w:vAlign w:val="bottom"/>
          </w:tcPr>
          <w:p w14:paraId="392C17C0" w14:textId="77777777" w:rsidR="00980E5F" w:rsidRDefault="00980E5F">
            <w:pPr>
              <w:rPr>
                <w:rFonts w:ascii="宋体"/>
              </w:rPr>
            </w:pPr>
          </w:p>
        </w:tc>
        <w:tc>
          <w:tcPr>
            <w:tcW w:w="1218" w:type="pct"/>
            <w:shd w:val="clear" w:color="auto" w:fill="auto"/>
            <w:vAlign w:val="bottom"/>
          </w:tcPr>
          <w:p w14:paraId="392C17C1" w14:textId="77777777" w:rsidR="00980E5F" w:rsidRDefault="00980E5F">
            <w:pPr>
              <w:rPr>
                <w:rFonts w:ascii="宋体"/>
              </w:rPr>
            </w:pPr>
          </w:p>
        </w:tc>
        <w:tc>
          <w:tcPr>
            <w:tcW w:w="5" w:type="pct"/>
            <w:shd w:val="clear" w:color="auto" w:fill="auto"/>
            <w:vAlign w:val="bottom"/>
          </w:tcPr>
          <w:p w14:paraId="392C17C2" w14:textId="77777777" w:rsidR="00980E5F" w:rsidRDefault="00980E5F">
            <w:pPr>
              <w:rPr>
                <w:rFonts w:ascii="宋体"/>
              </w:rPr>
            </w:pPr>
          </w:p>
        </w:tc>
        <w:tc>
          <w:tcPr>
            <w:tcW w:w="50" w:type="pct"/>
            <w:shd w:val="clear" w:color="auto" w:fill="auto"/>
            <w:vAlign w:val="bottom"/>
          </w:tcPr>
          <w:p w14:paraId="392C17C3" w14:textId="77777777" w:rsidR="00980E5F" w:rsidRDefault="00980E5F">
            <w:pPr>
              <w:rPr>
                <w:rFonts w:ascii="宋体"/>
              </w:rPr>
            </w:pPr>
          </w:p>
        </w:tc>
        <w:tc>
          <w:tcPr>
            <w:tcW w:w="724" w:type="pct"/>
            <w:shd w:val="clear" w:color="auto" w:fill="auto"/>
            <w:vAlign w:val="bottom"/>
          </w:tcPr>
          <w:p w14:paraId="392C17C4" w14:textId="77777777" w:rsidR="00980E5F" w:rsidRDefault="00980E5F">
            <w:pPr>
              <w:rPr>
                <w:rFonts w:ascii="宋体"/>
              </w:rPr>
            </w:pPr>
          </w:p>
        </w:tc>
        <w:tc>
          <w:tcPr>
            <w:tcW w:w="5" w:type="pct"/>
            <w:shd w:val="clear" w:color="auto" w:fill="auto"/>
            <w:vAlign w:val="bottom"/>
          </w:tcPr>
          <w:p w14:paraId="392C17C5" w14:textId="77777777" w:rsidR="00980E5F" w:rsidRDefault="00980E5F">
            <w:pPr>
              <w:rPr>
                <w:rFonts w:ascii="宋体"/>
              </w:rPr>
            </w:pPr>
          </w:p>
        </w:tc>
        <w:tc>
          <w:tcPr>
            <w:tcW w:w="0" w:type="auto"/>
            <w:shd w:val="clear" w:color="auto" w:fill="auto"/>
            <w:vAlign w:val="bottom"/>
          </w:tcPr>
          <w:p w14:paraId="392C17C6" w14:textId="77777777" w:rsidR="00980E5F" w:rsidRDefault="00980E5F">
            <w:pPr>
              <w:rPr>
                <w:rFonts w:ascii="宋体"/>
                <w:vanish/>
              </w:rPr>
            </w:pPr>
          </w:p>
        </w:tc>
        <w:tc>
          <w:tcPr>
            <w:tcW w:w="0" w:type="auto"/>
            <w:shd w:val="clear" w:color="auto" w:fill="auto"/>
            <w:vAlign w:val="bottom"/>
          </w:tcPr>
          <w:p w14:paraId="392C17C7" w14:textId="77777777" w:rsidR="00980E5F" w:rsidRDefault="00980E5F">
            <w:pPr>
              <w:rPr>
                <w:rFonts w:ascii="宋体"/>
                <w:vanish/>
              </w:rPr>
            </w:pPr>
          </w:p>
        </w:tc>
      </w:tr>
      <w:tr w:rsidR="00980E5F" w14:paraId="392C17C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7C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7C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7CB" w14:textId="77777777" w:rsidR="00980E5F" w:rsidRDefault="00980E5F">
            <w:pPr>
              <w:rPr>
                <w:rFonts w:ascii="宋体"/>
              </w:rPr>
            </w:pPr>
          </w:p>
        </w:tc>
        <w:tc>
          <w:tcPr>
            <w:tcW w:w="0" w:type="auto"/>
            <w:shd w:val="clear" w:color="auto" w:fill="auto"/>
            <w:vAlign w:val="bottom"/>
          </w:tcPr>
          <w:p w14:paraId="392C17CC" w14:textId="77777777" w:rsidR="00980E5F" w:rsidRDefault="00980E5F">
            <w:pPr>
              <w:rPr>
                <w:rFonts w:ascii="宋体"/>
                <w:vanish/>
              </w:rPr>
            </w:pPr>
          </w:p>
        </w:tc>
        <w:tc>
          <w:tcPr>
            <w:tcW w:w="0" w:type="auto"/>
            <w:shd w:val="clear" w:color="auto" w:fill="auto"/>
            <w:vAlign w:val="bottom"/>
          </w:tcPr>
          <w:p w14:paraId="392C17CD" w14:textId="77777777" w:rsidR="00980E5F" w:rsidRDefault="00980E5F">
            <w:pPr>
              <w:rPr>
                <w:rFonts w:ascii="宋体"/>
                <w:vanish/>
              </w:rPr>
            </w:pPr>
          </w:p>
        </w:tc>
      </w:tr>
    </w:tbl>
    <w:p w14:paraId="392C17CF" w14:textId="77777777" w:rsidR="00980E5F" w:rsidRDefault="00483613">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charge-offs are related to commercial and financial loans. </w:t>
      </w:r>
    </w:p>
    <w:p w14:paraId="392C17D0" w14:textId="77777777" w:rsidR="00980E5F" w:rsidRDefault="00483613">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Consists primarily of foreign currency translation.</w:t>
      </w:r>
    </w:p>
    <w:p w14:paraId="392C17D1" w14:textId="77777777" w:rsidR="00980E5F" w:rsidRDefault="00483613">
      <w:pPr>
        <w:spacing w:before="60"/>
        <w:ind w:firstLine="450"/>
        <w:jc w:val="both"/>
        <w:textAlignment w:val="top"/>
      </w:pPr>
      <w:r>
        <w:rPr>
          <w:rFonts w:ascii="Arial" w:eastAsia="宋体" w:hAnsi="Arial" w:cs="Arial"/>
          <w:color w:val="000000"/>
          <w:sz w:val="20"/>
          <w:szCs w:val="20"/>
        </w:rPr>
        <w:t xml:space="preserve">We recorded a $10 million provision for credit losses in both the three and six months ended June 30, 2022, </w:t>
      </w:r>
      <w:r>
        <w:rPr>
          <w:rFonts w:ascii="Arial" w:eastAsia="宋体" w:hAnsi="Arial" w:cs="Arial"/>
          <w:color w:val="000000"/>
          <w:sz w:val="20"/>
          <w:szCs w:val="20"/>
        </w:rPr>
        <w:t>reflecting a downward shift in management's economic outlook, partially offset by a decrease in expected losses related to leveraged loans within our portfolio, compared to a $15 million and $24 million reserve release in the same periods in 2021, respecti</w:t>
      </w:r>
      <w:r>
        <w:rPr>
          <w:rFonts w:ascii="Arial" w:eastAsia="宋体" w:hAnsi="Arial" w:cs="Arial"/>
          <w:color w:val="000000"/>
          <w:sz w:val="20"/>
          <w:szCs w:val="20"/>
        </w:rPr>
        <w:t>vely.</w:t>
      </w:r>
    </w:p>
    <w:p w14:paraId="392C17D2" w14:textId="77777777" w:rsidR="00980E5F" w:rsidRDefault="00483613">
      <w:pPr>
        <w:spacing w:before="60"/>
        <w:ind w:firstLine="450"/>
        <w:jc w:val="both"/>
        <w:textAlignment w:val="top"/>
      </w:pPr>
      <w:r>
        <w:rPr>
          <w:rFonts w:ascii="Arial" w:eastAsia="宋体" w:hAnsi="Arial" w:cs="Arial"/>
          <w:color w:val="000000"/>
          <w:sz w:val="20"/>
          <w:szCs w:val="20"/>
        </w:rPr>
        <w:t>As of June 30, 2022, approximately $69 million of our allowance for credit losses was related to leveraged loans included in the commercial and financial segment compared to $74 million as of June 30, 2021. As our view on current and future economic scenar</w:t>
      </w:r>
      <w:r>
        <w:rPr>
          <w:rFonts w:ascii="Arial" w:eastAsia="宋体" w:hAnsi="Arial" w:cs="Arial"/>
          <w:color w:val="000000"/>
          <w:sz w:val="20"/>
          <w:szCs w:val="20"/>
        </w:rPr>
        <w:t>ios changes, our allowance for credit losses related to these loans may be impacted through a change to the provisions for credit losses, reflecting credit migration within our loan portfolio, as well as changes in management's economic outlook as of year-</w:t>
      </w:r>
      <w:r>
        <w:rPr>
          <w:rFonts w:ascii="Arial" w:eastAsia="宋体" w:hAnsi="Arial" w:cs="Arial"/>
          <w:color w:val="000000"/>
          <w:sz w:val="20"/>
          <w:szCs w:val="20"/>
        </w:rPr>
        <w:t xml:space="preserve">end. The remaining $45 million and $47 million as of June 30, 2022 and 2021, respectively, was related to other loans, commercial real estate loans, off-balance sheet commitments and other </w:t>
      </w:r>
    </w:p>
    <w:p w14:paraId="392C17D3" w14:textId="77777777" w:rsidR="00980E5F" w:rsidRDefault="00483613">
      <w:pPr>
        <w:ind w:firstLine="450"/>
        <w:jc w:val="right"/>
      </w:pPr>
      <w:r>
        <w:rPr>
          <w:rFonts w:ascii="Arial" w:eastAsia="宋体" w:hAnsi="Arial" w:cs="Arial"/>
          <w:color w:val="000000"/>
          <w:sz w:val="18"/>
          <w:szCs w:val="18"/>
        </w:rPr>
        <w:t>State Street Corporation | 31</w:t>
      </w:r>
    </w:p>
    <w:p w14:paraId="392C17D4" w14:textId="77777777" w:rsidR="00980E5F" w:rsidRDefault="00980E5F">
      <w:pPr>
        <w:ind w:firstLine="450"/>
        <w:jc w:val="center"/>
      </w:pPr>
    </w:p>
    <w:p w14:paraId="392C17D5" w14:textId="77777777" w:rsidR="00980E5F" w:rsidRDefault="00483613">
      <w:r>
        <w:pict w14:anchorId="392CBAED">
          <v:rect id="_x0000_i1055" style="width:415.3pt;height:1.5pt" o:hralign="center" o:hrstd="t" o:hr="t" fillcolor="#a0a0a0" stroked="f"/>
        </w:pict>
      </w:r>
    </w:p>
    <w:p w14:paraId="392C17D6" w14:textId="77777777" w:rsidR="00980E5F" w:rsidRDefault="00483613">
      <w:pPr>
        <w:ind w:firstLine="450"/>
        <w:jc w:val="center"/>
      </w:pPr>
      <w:r>
        <w:rPr>
          <w:rFonts w:ascii="Arial" w:eastAsia="宋体" w:hAnsi="Arial" w:cs="Arial"/>
          <w:b/>
          <w:bCs/>
          <w:color w:val="000000"/>
          <w:sz w:val="20"/>
          <w:szCs w:val="20"/>
        </w:rPr>
        <w:t>MANAGEMENT’S DISCUSSION AND ANALY</w:t>
      </w:r>
      <w:r>
        <w:rPr>
          <w:rFonts w:ascii="Arial" w:eastAsia="宋体" w:hAnsi="Arial" w:cs="Arial"/>
          <w:b/>
          <w:bCs/>
          <w:color w:val="000000"/>
          <w:sz w:val="20"/>
          <w:szCs w:val="20"/>
        </w:rPr>
        <w:t>SIS OF FINANCIAL CONDITION</w:t>
      </w:r>
    </w:p>
    <w:p w14:paraId="392C17D7" w14:textId="77777777" w:rsidR="00980E5F" w:rsidRDefault="00483613">
      <w:pPr>
        <w:ind w:firstLine="450"/>
        <w:jc w:val="center"/>
      </w:pPr>
      <w:r>
        <w:rPr>
          <w:rFonts w:ascii="Arial" w:eastAsia="宋体" w:hAnsi="Arial" w:cs="Arial"/>
          <w:b/>
          <w:bCs/>
          <w:color w:val="000000"/>
          <w:sz w:val="20"/>
          <w:szCs w:val="20"/>
        </w:rPr>
        <w:t>AND RESULTS OF OPERATIONS</w:t>
      </w:r>
    </w:p>
    <w:p w14:paraId="392C17D8" w14:textId="77777777" w:rsidR="00980E5F" w:rsidRDefault="00483613">
      <w:pPr>
        <w:spacing w:before="60"/>
        <w:jc w:val="both"/>
        <w:textAlignment w:val="top"/>
      </w:pPr>
      <w:r>
        <w:rPr>
          <w:rFonts w:ascii="Arial" w:eastAsia="宋体" w:hAnsi="Arial" w:cs="Arial"/>
          <w:color w:val="000000"/>
          <w:sz w:val="20"/>
          <w:szCs w:val="20"/>
        </w:rPr>
        <w:t xml:space="preserve">financial assets held at amortized cost, including investment securities. </w:t>
      </w:r>
    </w:p>
    <w:p w14:paraId="392C17D9" w14:textId="77777777" w:rsidR="00980E5F" w:rsidRDefault="00483613">
      <w:pPr>
        <w:spacing w:before="60"/>
        <w:ind w:firstLine="450"/>
        <w:jc w:val="both"/>
        <w:textAlignment w:val="top"/>
      </w:pPr>
      <w:r>
        <w:rPr>
          <w:rFonts w:ascii="Arial" w:eastAsia="宋体" w:hAnsi="Arial" w:cs="Arial"/>
          <w:color w:val="000000"/>
          <w:sz w:val="20"/>
          <w:szCs w:val="20"/>
        </w:rPr>
        <w:t xml:space="preserve">An allowance for credit losses is recognized on HTM securities upon acquisition of the security, and on AFS securities when the </w:t>
      </w:r>
      <w:r>
        <w:rPr>
          <w:rFonts w:ascii="Arial" w:eastAsia="宋体" w:hAnsi="Arial" w:cs="Arial"/>
          <w:color w:val="000000"/>
          <w:sz w:val="20"/>
          <w:szCs w:val="20"/>
        </w:rPr>
        <w:t xml:space="preserve">fair value and expected future cash flows of the investment securities are less than their amortized cost basis. Our assessment of impairment involves an evaluation of economic and security-specific factors. Such factors are based on estimates, derived by </w:t>
      </w:r>
      <w:r>
        <w:rPr>
          <w:rFonts w:ascii="Arial" w:eastAsia="宋体" w:hAnsi="Arial" w:cs="Arial"/>
          <w:color w:val="000000"/>
          <w:sz w:val="20"/>
          <w:szCs w:val="20"/>
        </w:rPr>
        <w:t>management, which contemplate current market conditions and security-specific performance. To the extent that market conditions are worse than management's expectations or due to idiosyncratic bond performance, the credit-related component of impairment, i</w:t>
      </w:r>
      <w:r>
        <w:rPr>
          <w:rFonts w:ascii="Arial" w:eastAsia="宋体" w:hAnsi="Arial" w:cs="Arial"/>
          <w:color w:val="000000"/>
          <w:sz w:val="20"/>
          <w:szCs w:val="20"/>
        </w:rPr>
        <w:t>n particular, could increase and would be recorded in the provision for credit losses. Additional information with respect to the allowance for credit losses, net impairment losses and gross unrealized losses related to investment securities, is provided i</w:t>
      </w:r>
      <w:r>
        <w:rPr>
          <w:rFonts w:ascii="Arial" w:eastAsia="宋体" w:hAnsi="Arial" w:cs="Arial"/>
          <w:color w:val="000000"/>
          <w:sz w:val="20"/>
          <w:szCs w:val="20"/>
        </w:rPr>
        <w:t>n Note 3 to the consolidated financial statements in this Form 10-Q.</w:t>
      </w:r>
    </w:p>
    <w:p w14:paraId="392C17DA" w14:textId="77777777" w:rsidR="00980E5F" w:rsidRDefault="00483613">
      <w:pPr>
        <w:spacing w:before="90"/>
        <w:textAlignment w:val="top"/>
      </w:pPr>
      <w:r>
        <w:rPr>
          <w:rFonts w:ascii="Arial" w:eastAsia="宋体" w:hAnsi="Arial" w:cs="Arial"/>
          <w:b/>
          <w:bCs/>
          <w:color w:val="000000"/>
          <w:sz w:val="20"/>
          <w:szCs w:val="20"/>
        </w:rPr>
        <w:t>Cross-Border Outstandings</w:t>
      </w:r>
    </w:p>
    <w:p w14:paraId="392C17DB" w14:textId="77777777" w:rsidR="00980E5F" w:rsidRDefault="00483613">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color w:val="000000"/>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w:t>
      </w:r>
      <w:r>
        <w:rPr>
          <w:rFonts w:ascii="Arial" w:eastAsia="宋体" w:hAnsi="Arial" w:cs="Arial"/>
          <w:color w:val="000000"/>
          <w:sz w:val="20"/>
          <w:szCs w:val="20"/>
        </w:rPr>
        <w:t>ings carry the risk that, as a result of political or economic conditions in a country, borrowers may be unable to meet their contractual repayment obligations of principal and/or interest when due because of the unavailability of, or restrictions on, FX n</w:t>
      </w:r>
      <w:r>
        <w:rPr>
          <w:rFonts w:ascii="Arial" w:eastAsia="宋体" w:hAnsi="Arial" w:cs="Arial"/>
          <w:color w:val="000000"/>
          <w:sz w:val="20"/>
          <w:szCs w:val="20"/>
        </w:rPr>
        <w:t>eeded by borrowers to repay their obligations.</w:t>
      </w:r>
    </w:p>
    <w:p w14:paraId="392C17DC" w14:textId="77777777" w:rsidR="00980E5F" w:rsidRDefault="00483613">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future be, si</w:t>
      </w:r>
      <w:r>
        <w:rPr>
          <w:rFonts w:ascii="Arial" w:eastAsia="宋体" w:hAnsi="Arial" w:cs="Arial"/>
          <w:color w:val="000000"/>
          <w:sz w:val="20"/>
          <w:szCs w:val="20"/>
        </w:rPr>
        <w:t>gnificant counterparties to us, or whose financial instruments serve as collateral on which we rely for credit risk mitigation purposes, and may do so again in the future. As a result, we may be exposed to increased counterparty risk, leading to negative r</w:t>
      </w:r>
      <w:r>
        <w:rPr>
          <w:rFonts w:ascii="Arial" w:eastAsia="宋体" w:hAnsi="Arial" w:cs="Arial"/>
          <w:color w:val="000000"/>
          <w:sz w:val="20"/>
          <w:szCs w:val="20"/>
        </w:rPr>
        <w:t>atings volatility.</w:t>
      </w:r>
    </w:p>
    <w:p w14:paraId="392C17DD" w14:textId="77777777" w:rsidR="00980E5F" w:rsidRDefault="00483613">
      <w:pPr>
        <w:spacing w:before="60"/>
        <w:ind w:firstLine="450"/>
        <w:jc w:val="both"/>
        <w:textAlignment w:val="top"/>
      </w:pPr>
      <w:r>
        <w:rPr>
          <w:rFonts w:ascii="Arial" w:eastAsia="宋体" w:hAnsi="Arial" w:cs="Arial"/>
          <w:color w:val="000000"/>
          <w:sz w:val="20"/>
          <w:szCs w:val="20"/>
        </w:rPr>
        <w:t xml:space="preserve">The cross-border outstandings presented in Table 27: Cross-border outstandings, represented approximately </w:t>
      </w:r>
      <w:r>
        <w:rPr>
          <w:rFonts w:ascii="Arial" w:eastAsia="宋体" w:hAnsi="Arial" w:cs="Arial"/>
          <w:color w:val="000000"/>
          <w:sz w:val="20"/>
          <w:szCs w:val="20"/>
          <w:shd w:val="clear" w:color="auto" w:fill="FFFFFF"/>
        </w:rPr>
        <w:t>29%</w:t>
      </w:r>
      <w:r>
        <w:rPr>
          <w:rFonts w:ascii="Arial" w:eastAsia="宋体" w:hAnsi="Arial" w:cs="Arial"/>
          <w:color w:val="000000"/>
          <w:sz w:val="20"/>
          <w:szCs w:val="20"/>
        </w:rPr>
        <w:t xml:space="preserve"> and 27% of our consolidated total assets as of June 30, 2022 and December 31,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7"/>
        <w:gridCol w:w="99"/>
        <w:gridCol w:w="1758"/>
        <w:gridCol w:w="37"/>
        <w:gridCol w:w="36"/>
        <w:gridCol w:w="48"/>
        <w:gridCol w:w="36"/>
        <w:gridCol w:w="99"/>
        <w:gridCol w:w="1837"/>
        <w:gridCol w:w="36"/>
        <w:gridCol w:w="36"/>
        <w:gridCol w:w="48"/>
        <w:gridCol w:w="36"/>
        <w:gridCol w:w="99"/>
        <w:gridCol w:w="1654"/>
        <w:gridCol w:w="36"/>
      </w:tblGrid>
      <w:tr w:rsidR="00980E5F" w14:paraId="392C17F0" w14:textId="77777777">
        <w:tc>
          <w:tcPr>
            <w:tcW w:w="50" w:type="pct"/>
            <w:shd w:val="clear" w:color="auto" w:fill="auto"/>
            <w:vAlign w:val="bottom"/>
          </w:tcPr>
          <w:p w14:paraId="392C17DE" w14:textId="77777777" w:rsidR="00980E5F" w:rsidRDefault="00980E5F">
            <w:pPr>
              <w:rPr>
                <w:rFonts w:ascii="宋体"/>
              </w:rPr>
            </w:pPr>
          </w:p>
        </w:tc>
        <w:tc>
          <w:tcPr>
            <w:tcW w:w="1438" w:type="pct"/>
            <w:shd w:val="clear" w:color="auto" w:fill="auto"/>
            <w:vAlign w:val="bottom"/>
          </w:tcPr>
          <w:p w14:paraId="392C17DF" w14:textId="77777777" w:rsidR="00980E5F" w:rsidRDefault="00980E5F">
            <w:pPr>
              <w:rPr>
                <w:rFonts w:ascii="宋体"/>
              </w:rPr>
            </w:pPr>
          </w:p>
        </w:tc>
        <w:tc>
          <w:tcPr>
            <w:tcW w:w="5" w:type="pct"/>
            <w:shd w:val="clear" w:color="auto" w:fill="auto"/>
            <w:vAlign w:val="bottom"/>
          </w:tcPr>
          <w:p w14:paraId="392C17E0" w14:textId="77777777" w:rsidR="00980E5F" w:rsidRDefault="00980E5F">
            <w:pPr>
              <w:rPr>
                <w:rFonts w:ascii="宋体"/>
              </w:rPr>
            </w:pPr>
          </w:p>
        </w:tc>
        <w:tc>
          <w:tcPr>
            <w:tcW w:w="50" w:type="pct"/>
            <w:shd w:val="clear" w:color="auto" w:fill="auto"/>
            <w:vAlign w:val="bottom"/>
          </w:tcPr>
          <w:p w14:paraId="392C17E1" w14:textId="77777777" w:rsidR="00980E5F" w:rsidRDefault="00980E5F">
            <w:pPr>
              <w:rPr>
                <w:rFonts w:ascii="宋体"/>
              </w:rPr>
            </w:pPr>
          </w:p>
        </w:tc>
        <w:tc>
          <w:tcPr>
            <w:tcW w:w="1077" w:type="pct"/>
            <w:shd w:val="clear" w:color="auto" w:fill="auto"/>
            <w:vAlign w:val="bottom"/>
          </w:tcPr>
          <w:p w14:paraId="392C17E2" w14:textId="77777777" w:rsidR="00980E5F" w:rsidRDefault="00980E5F">
            <w:pPr>
              <w:rPr>
                <w:rFonts w:ascii="宋体"/>
              </w:rPr>
            </w:pPr>
          </w:p>
        </w:tc>
        <w:tc>
          <w:tcPr>
            <w:tcW w:w="5" w:type="pct"/>
            <w:shd w:val="clear" w:color="auto" w:fill="auto"/>
            <w:vAlign w:val="bottom"/>
          </w:tcPr>
          <w:p w14:paraId="392C17E3" w14:textId="77777777" w:rsidR="00980E5F" w:rsidRDefault="00980E5F">
            <w:pPr>
              <w:rPr>
                <w:rFonts w:ascii="宋体"/>
              </w:rPr>
            </w:pPr>
          </w:p>
        </w:tc>
        <w:tc>
          <w:tcPr>
            <w:tcW w:w="5" w:type="pct"/>
            <w:shd w:val="clear" w:color="auto" w:fill="auto"/>
            <w:vAlign w:val="bottom"/>
          </w:tcPr>
          <w:p w14:paraId="392C17E4" w14:textId="77777777" w:rsidR="00980E5F" w:rsidRDefault="00980E5F">
            <w:pPr>
              <w:rPr>
                <w:rFonts w:ascii="宋体"/>
              </w:rPr>
            </w:pPr>
          </w:p>
        </w:tc>
        <w:tc>
          <w:tcPr>
            <w:tcW w:w="52" w:type="pct"/>
            <w:shd w:val="clear" w:color="auto" w:fill="auto"/>
            <w:vAlign w:val="bottom"/>
          </w:tcPr>
          <w:p w14:paraId="392C17E5" w14:textId="77777777" w:rsidR="00980E5F" w:rsidRDefault="00980E5F">
            <w:pPr>
              <w:rPr>
                <w:rFonts w:ascii="宋体"/>
              </w:rPr>
            </w:pPr>
          </w:p>
        </w:tc>
        <w:tc>
          <w:tcPr>
            <w:tcW w:w="5" w:type="pct"/>
            <w:shd w:val="clear" w:color="auto" w:fill="auto"/>
            <w:vAlign w:val="bottom"/>
          </w:tcPr>
          <w:p w14:paraId="392C17E6" w14:textId="77777777" w:rsidR="00980E5F" w:rsidRDefault="00980E5F">
            <w:pPr>
              <w:rPr>
                <w:rFonts w:ascii="宋体"/>
              </w:rPr>
            </w:pPr>
          </w:p>
        </w:tc>
        <w:tc>
          <w:tcPr>
            <w:tcW w:w="50" w:type="pct"/>
            <w:shd w:val="clear" w:color="auto" w:fill="auto"/>
            <w:vAlign w:val="bottom"/>
          </w:tcPr>
          <w:p w14:paraId="392C17E7" w14:textId="77777777" w:rsidR="00980E5F" w:rsidRDefault="00980E5F">
            <w:pPr>
              <w:rPr>
                <w:rFonts w:ascii="宋体"/>
              </w:rPr>
            </w:pPr>
          </w:p>
        </w:tc>
        <w:tc>
          <w:tcPr>
            <w:tcW w:w="1124" w:type="pct"/>
            <w:shd w:val="clear" w:color="auto" w:fill="auto"/>
            <w:vAlign w:val="bottom"/>
          </w:tcPr>
          <w:p w14:paraId="392C17E8" w14:textId="77777777" w:rsidR="00980E5F" w:rsidRDefault="00980E5F">
            <w:pPr>
              <w:rPr>
                <w:rFonts w:ascii="宋体"/>
              </w:rPr>
            </w:pPr>
          </w:p>
        </w:tc>
        <w:tc>
          <w:tcPr>
            <w:tcW w:w="5" w:type="pct"/>
            <w:shd w:val="clear" w:color="auto" w:fill="auto"/>
            <w:vAlign w:val="bottom"/>
          </w:tcPr>
          <w:p w14:paraId="392C17E9" w14:textId="77777777" w:rsidR="00980E5F" w:rsidRDefault="00980E5F">
            <w:pPr>
              <w:rPr>
                <w:rFonts w:ascii="宋体"/>
              </w:rPr>
            </w:pPr>
          </w:p>
        </w:tc>
        <w:tc>
          <w:tcPr>
            <w:tcW w:w="5" w:type="pct"/>
            <w:shd w:val="clear" w:color="auto" w:fill="auto"/>
            <w:vAlign w:val="bottom"/>
          </w:tcPr>
          <w:p w14:paraId="392C17EA" w14:textId="77777777" w:rsidR="00980E5F" w:rsidRDefault="00980E5F">
            <w:pPr>
              <w:rPr>
                <w:rFonts w:ascii="宋体"/>
              </w:rPr>
            </w:pPr>
          </w:p>
        </w:tc>
        <w:tc>
          <w:tcPr>
            <w:tcW w:w="52" w:type="pct"/>
            <w:shd w:val="clear" w:color="auto" w:fill="auto"/>
            <w:vAlign w:val="bottom"/>
          </w:tcPr>
          <w:p w14:paraId="392C17EB" w14:textId="77777777" w:rsidR="00980E5F" w:rsidRDefault="00980E5F">
            <w:pPr>
              <w:rPr>
                <w:rFonts w:ascii="宋体"/>
              </w:rPr>
            </w:pPr>
          </w:p>
        </w:tc>
        <w:tc>
          <w:tcPr>
            <w:tcW w:w="5" w:type="pct"/>
            <w:shd w:val="clear" w:color="auto" w:fill="auto"/>
            <w:vAlign w:val="bottom"/>
          </w:tcPr>
          <w:p w14:paraId="392C17EC" w14:textId="77777777" w:rsidR="00980E5F" w:rsidRDefault="00980E5F">
            <w:pPr>
              <w:rPr>
                <w:rFonts w:ascii="宋体"/>
              </w:rPr>
            </w:pPr>
          </w:p>
        </w:tc>
        <w:tc>
          <w:tcPr>
            <w:tcW w:w="50" w:type="pct"/>
            <w:shd w:val="clear" w:color="auto" w:fill="auto"/>
            <w:vAlign w:val="bottom"/>
          </w:tcPr>
          <w:p w14:paraId="392C17ED" w14:textId="77777777" w:rsidR="00980E5F" w:rsidRDefault="00980E5F">
            <w:pPr>
              <w:rPr>
                <w:rFonts w:ascii="宋体"/>
              </w:rPr>
            </w:pPr>
          </w:p>
        </w:tc>
        <w:tc>
          <w:tcPr>
            <w:tcW w:w="1014" w:type="pct"/>
            <w:shd w:val="clear" w:color="auto" w:fill="auto"/>
            <w:vAlign w:val="bottom"/>
          </w:tcPr>
          <w:p w14:paraId="392C17EE" w14:textId="77777777" w:rsidR="00980E5F" w:rsidRDefault="00980E5F">
            <w:pPr>
              <w:rPr>
                <w:rFonts w:ascii="宋体"/>
              </w:rPr>
            </w:pPr>
          </w:p>
        </w:tc>
        <w:tc>
          <w:tcPr>
            <w:tcW w:w="5" w:type="pct"/>
            <w:shd w:val="clear" w:color="auto" w:fill="auto"/>
            <w:vAlign w:val="bottom"/>
          </w:tcPr>
          <w:p w14:paraId="392C17EF" w14:textId="77777777" w:rsidR="00980E5F" w:rsidRDefault="00980E5F">
            <w:pPr>
              <w:rPr>
                <w:rFonts w:ascii="宋体"/>
              </w:rPr>
            </w:pPr>
          </w:p>
        </w:tc>
      </w:tr>
      <w:tr w:rsidR="00980E5F" w14:paraId="392C17F2" w14:textId="77777777">
        <w:tc>
          <w:tcPr>
            <w:tcW w:w="0" w:type="auto"/>
            <w:gridSpan w:val="18"/>
            <w:shd w:val="clear" w:color="auto" w:fill="auto"/>
            <w:tcMar>
              <w:top w:w="40" w:type="dxa"/>
              <w:left w:w="20" w:type="dxa"/>
              <w:bottom w:w="40" w:type="dxa"/>
              <w:right w:w="20" w:type="dxa"/>
            </w:tcMar>
            <w:vAlign w:val="bottom"/>
          </w:tcPr>
          <w:p w14:paraId="392C17F1" w14:textId="77777777" w:rsidR="00980E5F" w:rsidRDefault="00483613">
            <w:pPr>
              <w:textAlignment w:val="bottom"/>
            </w:pPr>
            <w:r>
              <w:rPr>
                <w:rFonts w:ascii="Arial" w:eastAsia="宋体" w:hAnsi="Arial" w:cs="Arial"/>
                <w:b/>
                <w:bCs/>
                <w:color w:val="000000"/>
                <w:sz w:val="16"/>
                <w:szCs w:val="16"/>
              </w:rPr>
              <w:t xml:space="preserve">TABLE </w:t>
            </w:r>
            <w:r>
              <w:rPr>
                <w:rFonts w:ascii="Arial" w:eastAsia="宋体" w:hAnsi="Arial" w:cs="Arial"/>
                <w:b/>
                <w:bCs/>
                <w:color w:val="000000"/>
                <w:sz w:val="16"/>
                <w:szCs w:val="16"/>
              </w:rPr>
              <w:t>27: CROSS-BORDER OUTSTANDINGS</w:t>
            </w:r>
            <w:r>
              <w:rPr>
                <w:rFonts w:ascii="Arial" w:eastAsia="宋体" w:hAnsi="Arial" w:cs="Arial"/>
                <w:b/>
                <w:bCs/>
                <w:color w:val="000000"/>
                <w:sz w:val="10"/>
                <w:szCs w:val="10"/>
              </w:rPr>
              <w:t>(1)</w:t>
            </w:r>
          </w:p>
        </w:tc>
      </w:tr>
      <w:tr w:rsidR="00980E5F" w14:paraId="392C17F9" w14:textId="77777777">
        <w:tc>
          <w:tcPr>
            <w:tcW w:w="0" w:type="auto"/>
            <w:gridSpan w:val="3"/>
            <w:shd w:val="clear" w:color="auto" w:fill="auto"/>
            <w:tcMar>
              <w:top w:w="40" w:type="dxa"/>
              <w:left w:w="20" w:type="dxa"/>
              <w:bottom w:w="40" w:type="dxa"/>
              <w:right w:w="20" w:type="dxa"/>
            </w:tcMar>
            <w:vAlign w:val="bottom"/>
          </w:tcPr>
          <w:p w14:paraId="392C17F3"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17F4" w14:textId="77777777" w:rsidR="00980E5F" w:rsidRDefault="00483613">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392C17F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7F6" w14:textId="77777777" w:rsidR="00980E5F" w:rsidRDefault="00483613">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392C17F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17F8" w14:textId="77777777" w:rsidR="00980E5F" w:rsidRDefault="00483613">
            <w:pPr>
              <w:jc w:val="center"/>
              <w:textAlignment w:val="bottom"/>
            </w:pPr>
            <w:r>
              <w:rPr>
                <w:rFonts w:ascii="Arial" w:eastAsia="宋体" w:hAnsi="Arial" w:cs="Arial"/>
                <w:b/>
                <w:bCs/>
                <w:color w:val="000000"/>
                <w:sz w:val="14"/>
                <w:szCs w:val="14"/>
              </w:rPr>
              <w:t>Total Cross-Border Outstandings</w:t>
            </w:r>
          </w:p>
        </w:tc>
      </w:tr>
      <w:tr w:rsidR="00980E5F" w14:paraId="392C1800" w14:textId="77777777">
        <w:tc>
          <w:tcPr>
            <w:tcW w:w="0" w:type="auto"/>
            <w:gridSpan w:val="3"/>
            <w:shd w:val="clear" w:color="auto" w:fill="auto"/>
            <w:tcMar>
              <w:top w:w="40" w:type="dxa"/>
              <w:left w:w="20" w:type="dxa"/>
              <w:bottom w:w="40" w:type="dxa"/>
              <w:right w:w="20" w:type="dxa"/>
            </w:tcMar>
            <w:vAlign w:val="bottom"/>
          </w:tcPr>
          <w:p w14:paraId="392C17FA" w14:textId="77777777" w:rsidR="00980E5F" w:rsidRDefault="00483613">
            <w:pPr>
              <w:textAlignment w:val="bottom"/>
            </w:pPr>
            <w:r>
              <w:rPr>
                <w:rFonts w:ascii="Arial" w:eastAsia="宋体" w:hAnsi="Arial" w:cs="Arial"/>
                <w:b/>
                <w:bCs/>
                <w:color w:val="000000"/>
                <w:sz w:val="14"/>
                <w:szCs w:val="14"/>
              </w:rPr>
              <w:t>June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7FB" w14:textId="77777777" w:rsidR="00980E5F" w:rsidRDefault="00483613">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392C17F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7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7F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7FF" w14:textId="77777777" w:rsidR="00980E5F" w:rsidRDefault="00483613">
            <w:pPr>
              <w:textAlignment w:val="bottom"/>
            </w:pPr>
            <w:r>
              <w:rPr>
                <w:rFonts w:ascii="Arial" w:eastAsia="宋体" w:hAnsi="Arial" w:cs="Arial"/>
                <w:color w:val="000000"/>
                <w:sz w:val="14"/>
                <w:szCs w:val="14"/>
              </w:rPr>
              <w:t> </w:t>
            </w:r>
          </w:p>
        </w:tc>
      </w:tr>
      <w:tr w:rsidR="00980E5F" w14:paraId="392C180D" w14:textId="77777777">
        <w:tc>
          <w:tcPr>
            <w:tcW w:w="0" w:type="auto"/>
            <w:gridSpan w:val="3"/>
            <w:shd w:val="clear" w:color="auto" w:fill="CCEEFF"/>
            <w:tcMar>
              <w:top w:w="40" w:type="dxa"/>
              <w:left w:w="20" w:type="dxa"/>
              <w:bottom w:w="40" w:type="dxa"/>
              <w:right w:w="20" w:type="dxa"/>
            </w:tcMar>
            <w:vAlign w:val="bottom"/>
          </w:tcPr>
          <w:p w14:paraId="392C1801" w14:textId="77777777" w:rsidR="00980E5F" w:rsidRDefault="00483613">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392C1802"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803" w14:textId="77777777" w:rsidR="00980E5F" w:rsidRDefault="00483613">
            <w:pPr>
              <w:jc w:val="right"/>
              <w:textAlignment w:val="bottom"/>
            </w:pPr>
            <w:r>
              <w:rPr>
                <w:rFonts w:ascii="Arial" w:eastAsia="宋体" w:hAnsi="Arial" w:cs="Arial"/>
                <w:b/>
                <w:bCs/>
                <w:color w:val="000000"/>
                <w:sz w:val="14"/>
                <w:szCs w:val="14"/>
              </w:rPr>
              <w:t>28,465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0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806"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807" w14:textId="77777777" w:rsidR="00980E5F" w:rsidRDefault="00483613">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0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80A"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180B" w14:textId="77777777" w:rsidR="00980E5F" w:rsidRDefault="00483613">
            <w:pPr>
              <w:jc w:val="right"/>
              <w:textAlignment w:val="bottom"/>
            </w:pPr>
            <w:r>
              <w:rPr>
                <w:rFonts w:ascii="Arial" w:eastAsia="宋体" w:hAnsi="Arial" w:cs="Arial"/>
                <w:b/>
                <w:bCs/>
                <w:color w:val="000000"/>
                <w:sz w:val="14"/>
                <w:szCs w:val="14"/>
              </w:rPr>
              <w:t>28,963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0C" w14:textId="77777777" w:rsidR="00980E5F" w:rsidRDefault="00980E5F">
            <w:pPr>
              <w:jc w:val="right"/>
              <w:rPr>
                <w:rFonts w:ascii="宋体"/>
              </w:rPr>
            </w:pPr>
          </w:p>
        </w:tc>
      </w:tr>
      <w:tr w:rsidR="00980E5F" w14:paraId="392C1817" w14:textId="77777777">
        <w:tc>
          <w:tcPr>
            <w:tcW w:w="0" w:type="auto"/>
            <w:gridSpan w:val="3"/>
            <w:shd w:val="clear" w:color="auto" w:fill="FFFFFF"/>
            <w:tcMar>
              <w:top w:w="40" w:type="dxa"/>
              <w:left w:w="20" w:type="dxa"/>
              <w:bottom w:w="40" w:type="dxa"/>
              <w:right w:w="20" w:type="dxa"/>
            </w:tcMar>
            <w:vAlign w:val="bottom"/>
          </w:tcPr>
          <w:p w14:paraId="392C180E" w14:textId="77777777" w:rsidR="00980E5F" w:rsidRDefault="00483613">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392C180F" w14:textId="77777777" w:rsidR="00980E5F" w:rsidRDefault="00483613">
            <w:pPr>
              <w:jc w:val="right"/>
              <w:textAlignment w:val="bottom"/>
            </w:pPr>
            <w:r>
              <w:rPr>
                <w:rFonts w:ascii="Arial" w:eastAsia="宋体" w:hAnsi="Arial" w:cs="Arial"/>
                <w:b/>
                <w:bCs/>
                <w:color w:val="000000"/>
                <w:sz w:val="14"/>
                <w:szCs w:val="14"/>
              </w:rPr>
              <w:t>10,326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1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12" w14:textId="77777777" w:rsidR="00980E5F" w:rsidRDefault="00483613">
            <w:pPr>
              <w:jc w:val="right"/>
              <w:textAlignment w:val="bottom"/>
            </w:pPr>
            <w:r>
              <w:rPr>
                <w:rFonts w:ascii="Arial" w:eastAsia="宋体" w:hAnsi="Arial" w:cs="Arial"/>
                <w:b/>
                <w:bCs/>
                <w:color w:val="000000"/>
                <w:sz w:val="14"/>
                <w:szCs w:val="14"/>
              </w:rPr>
              <w:t>8,589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1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15" w14:textId="77777777" w:rsidR="00980E5F" w:rsidRDefault="00483613">
            <w:pPr>
              <w:jc w:val="right"/>
              <w:textAlignment w:val="bottom"/>
            </w:pPr>
            <w:r>
              <w:rPr>
                <w:rFonts w:ascii="Arial" w:eastAsia="宋体" w:hAnsi="Arial" w:cs="Arial"/>
                <w:b/>
                <w:bCs/>
                <w:color w:val="000000"/>
                <w:sz w:val="14"/>
                <w:szCs w:val="14"/>
              </w:rPr>
              <w:t>18,915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16" w14:textId="77777777" w:rsidR="00980E5F" w:rsidRDefault="00980E5F">
            <w:pPr>
              <w:jc w:val="right"/>
              <w:rPr>
                <w:rFonts w:ascii="宋体"/>
              </w:rPr>
            </w:pPr>
          </w:p>
        </w:tc>
      </w:tr>
      <w:tr w:rsidR="00980E5F" w14:paraId="392C1821" w14:textId="77777777">
        <w:tc>
          <w:tcPr>
            <w:tcW w:w="0" w:type="auto"/>
            <w:gridSpan w:val="3"/>
            <w:shd w:val="clear" w:color="auto" w:fill="CCEEFF"/>
            <w:tcMar>
              <w:top w:w="40" w:type="dxa"/>
              <w:left w:w="20" w:type="dxa"/>
              <w:bottom w:w="40" w:type="dxa"/>
              <w:right w:w="20" w:type="dxa"/>
            </w:tcMar>
            <w:vAlign w:val="bottom"/>
          </w:tcPr>
          <w:p w14:paraId="392C1818" w14:textId="77777777" w:rsidR="00980E5F" w:rsidRDefault="00483613">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392C1819" w14:textId="77777777" w:rsidR="00980E5F" w:rsidRDefault="00483613">
            <w:pPr>
              <w:jc w:val="right"/>
              <w:textAlignment w:val="bottom"/>
            </w:pPr>
            <w:r>
              <w:rPr>
                <w:rFonts w:ascii="Arial" w:eastAsia="宋体" w:hAnsi="Arial" w:cs="Arial"/>
                <w:b/>
                <w:bCs/>
                <w:color w:val="000000"/>
                <w:sz w:val="14"/>
                <w:szCs w:val="14"/>
              </w:rPr>
              <w:t>7,995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1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1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1C" w14:textId="77777777" w:rsidR="00980E5F" w:rsidRDefault="00483613">
            <w:pPr>
              <w:jc w:val="right"/>
              <w:textAlignment w:val="bottom"/>
            </w:pPr>
            <w:r>
              <w:rPr>
                <w:rFonts w:ascii="Arial" w:eastAsia="宋体" w:hAnsi="Arial" w:cs="Arial"/>
                <w:b/>
                <w:bCs/>
                <w:color w:val="000000"/>
                <w:sz w:val="14"/>
                <w:szCs w:val="14"/>
              </w:rPr>
              <w:t>1,315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1F" w14:textId="77777777" w:rsidR="00980E5F" w:rsidRDefault="00483613">
            <w:pPr>
              <w:jc w:val="right"/>
              <w:textAlignment w:val="bottom"/>
            </w:pPr>
            <w:r>
              <w:rPr>
                <w:rFonts w:ascii="Arial" w:eastAsia="宋体" w:hAnsi="Arial" w:cs="Arial"/>
                <w:b/>
                <w:bCs/>
                <w:color w:val="000000"/>
                <w:sz w:val="14"/>
                <w:szCs w:val="14"/>
              </w:rPr>
              <w:t>9,310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20" w14:textId="77777777" w:rsidR="00980E5F" w:rsidRDefault="00980E5F">
            <w:pPr>
              <w:jc w:val="right"/>
              <w:rPr>
                <w:rFonts w:ascii="宋体"/>
              </w:rPr>
            </w:pPr>
          </w:p>
        </w:tc>
      </w:tr>
      <w:tr w:rsidR="00980E5F" w14:paraId="392C182B" w14:textId="77777777">
        <w:tc>
          <w:tcPr>
            <w:tcW w:w="0" w:type="auto"/>
            <w:gridSpan w:val="3"/>
            <w:shd w:val="clear" w:color="auto" w:fill="FFFFFF"/>
            <w:tcMar>
              <w:top w:w="40" w:type="dxa"/>
              <w:left w:w="20" w:type="dxa"/>
              <w:bottom w:w="40" w:type="dxa"/>
              <w:right w:w="20" w:type="dxa"/>
            </w:tcMar>
            <w:vAlign w:val="bottom"/>
          </w:tcPr>
          <w:p w14:paraId="392C1822" w14:textId="77777777" w:rsidR="00980E5F" w:rsidRDefault="00483613">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392C1823" w14:textId="77777777" w:rsidR="00980E5F" w:rsidRDefault="00483613">
            <w:pPr>
              <w:jc w:val="right"/>
              <w:textAlignment w:val="bottom"/>
            </w:pPr>
            <w:r>
              <w:rPr>
                <w:rFonts w:ascii="Arial" w:eastAsia="宋体" w:hAnsi="Arial" w:cs="Arial"/>
                <w:b/>
                <w:bCs/>
                <w:color w:val="000000"/>
                <w:sz w:val="14"/>
                <w:szCs w:val="14"/>
              </w:rPr>
              <w:t>6,199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26" w14:textId="77777777" w:rsidR="00980E5F" w:rsidRDefault="00483613">
            <w:pPr>
              <w:jc w:val="right"/>
              <w:textAlignment w:val="bottom"/>
            </w:pPr>
            <w:r>
              <w:rPr>
                <w:rFonts w:ascii="Arial" w:eastAsia="宋体" w:hAnsi="Arial" w:cs="Arial"/>
                <w:b/>
                <w:bCs/>
                <w:color w:val="000000"/>
                <w:sz w:val="14"/>
                <w:szCs w:val="14"/>
              </w:rPr>
              <w:t>2,170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29" w14:textId="77777777" w:rsidR="00980E5F" w:rsidRDefault="00483613">
            <w:pPr>
              <w:jc w:val="right"/>
              <w:textAlignment w:val="bottom"/>
            </w:pPr>
            <w:r>
              <w:rPr>
                <w:rFonts w:ascii="Arial" w:eastAsia="宋体" w:hAnsi="Arial" w:cs="Arial"/>
                <w:b/>
                <w:bCs/>
                <w:color w:val="000000"/>
                <w:sz w:val="14"/>
                <w:szCs w:val="14"/>
              </w:rPr>
              <w:t>8,369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2A" w14:textId="77777777" w:rsidR="00980E5F" w:rsidRDefault="00980E5F">
            <w:pPr>
              <w:jc w:val="right"/>
              <w:rPr>
                <w:rFonts w:ascii="宋体"/>
              </w:rPr>
            </w:pPr>
          </w:p>
        </w:tc>
      </w:tr>
      <w:tr w:rsidR="00980E5F" w14:paraId="392C1835" w14:textId="77777777">
        <w:tc>
          <w:tcPr>
            <w:tcW w:w="0" w:type="auto"/>
            <w:gridSpan w:val="3"/>
            <w:shd w:val="clear" w:color="auto" w:fill="CCEEFF"/>
            <w:tcMar>
              <w:top w:w="40" w:type="dxa"/>
              <w:left w:w="20" w:type="dxa"/>
              <w:bottom w:w="40" w:type="dxa"/>
              <w:right w:w="20" w:type="dxa"/>
            </w:tcMar>
            <w:vAlign w:val="bottom"/>
          </w:tcPr>
          <w:p w14:paraId="392C182C" w14:textId="77777777" w:rsidR="00980E5F" w:rsidRDefault="00483613">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392C182D" w14:textId="77777777" w:rsidR="00980E5F" w:rsidRDefault="00483613">
            <w:pPr>
              <w:jc w:val="right"/>
              <w:textAlignment w:val="bottom"/>
            </w:pPr>
            <w:r>
              <w:rPr>
                <w:rFonts w:ascii="Arial" w:eastAsia="宋体" w:hAnsi="Arial" w:cs="Arial"/>
                <w:b/>
                <w:bCs/>
                <w:color w:val="000000"/>
                <w:sz w:val="14"/>
                <w:szCs w:val="14"/>
              </w:rPr>
              <w:t>5,755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2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30" w14:textId="77777777" w:rsidR="00980E5F" w:rsidRDefault="00483613">
            <w:pPr>
              <w:jc w:val="right"/>
              <w:textAlignment w:val="bottom"/>
            </w:pPr>
            <w:r>
              <w:rPr>
                <w:rFonts w:ascii="Arial" w:eastAsia="宋体" w:hAnsi="Arial" w:cs="Arial"/>
                <w:b/>
                <w:bCs/>
                <w:color w:val="000000"/>
                <w:sz w:val="14"/>
                <w:szCs w:val="14"/>
              </w:rPr>
              <w:t>1,357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3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33" w14:textId="77777777" w:rsidR="00980E5F" w:rsidRDefault="00483613">
            <w:pPr>
              <w:jc w:val="right"/>
              <w:textAlignment w:val="bottom"/>
            </w:pPr>
            <w:r>
              <w:rPr>
                <w:rFonts w:ascii="Arial" w:eastAsia="宋体" w:hAnsi="Arial" w:cs="Arial"/>
                <w:b/>
                <w:bCs/>
                <w:color w:val="000000"/>
                <w:sz w:val="14"/>
                <w:szCs w:val="14"/>
              </w:rPr>
              <w:t>7,112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34" w14:textId="77777777" w:rsidR="00980E5F" w:rsidRDefault="00980E5F">
            <w:pPr>
              <w:jc w:val="right"/>
              <w:rPr>
                <w:rFonts w:ascii="宋体"/>
              </w:rPr>
            </w:pPr>
          </w:p>
        </w:tc>
      </w:tr>
      <w:tr w:rsidR="00980E5F" w14:paraId="392C183F" w14:textId="77777777">
        <w:tc>
          <w:tcPr>
            <w:tcW w:w="0" w:type="auto"/>
            <w:gridSpan w:val="3"/>
            <w:shd w:val="clear" w:color="auto" w:fill="FFFFFF"/>
            <w:tcMar>
              <w:top w:w="40" w:type="dxa"/>
              <w:left w:w="20" w:type="dxa"/>
              <w:bottom w:w="40" w:type="dxa"/>
              <w:right w:w="20" w:type="dxa"/>
            </w:tcMar>
            <w:vAlign w:val="bottom"/>
          </w:tcPr>
          <w:p w14:paraId="392C1836" w14:textId="77777777" w:rsidR="00980E5F" w:rsidRDefault="00483613">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392C1837" w14:textId="77777777" w:rsidR="00980E5F" w:rsidRDefault="00483613">
            <w:pPr>
              <w:jc w:val="right"/>
              <w:textAlignment w:val="bottom"/>
            </w:pPr>
            <w:r>
              <w:rPr>
                <w:rFonts w:ascii="Arial" w:eastAsia="宋体" w:hAnsi="Arial" w:cs="Arial"/>
                <w:b/>
                <w:bCs/>
                <w:color w:val="000000"/>
                <w:sz w:val="14"/>
                <w:szCs w:val="14"/>
              </w:rPr>
              <w:t>5,291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3A" w14:textId="77777777" w:rsidR="00980E5F" w:rsidRDefault="00483613">
            <w:pPr>
              <w:jc w:val="right"/>
              <w:textAlignment w:val="bottom"/>
            </w:pPr>
            <w:r>
              <w:rPr>
                <w:rFonts w:ascii="Arial" w:eastAsia="宋体" w:hAnsi="Arial" w:cs="Arial"/>
                <w:b/>
                <w:bCs/>
                <w:color w:val="000000"/>
                <w:sz w:val="14"/>
                <w:szCs w:val="14"/>
              </w:rPr>
              <w:t>978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3D" w14:textId="77777777" w:rsidR="00980E5F" w:rsidRDefault="00483613">
            <w:pPr>
              <w:jc w:val="right"/>
              <w:textAlignment w:val="bottom"/>
            </w:pPr>
            <w:r>
              <w:rPr>
                <w:rFonts w:ascii="Arial" w:eastAsia="宋体" w:hAnsi="Arial" w:cs="Arial"/>
                <w:b/>
                <w:bCs/>
                <w:color w:val="000000"/>
                <w:sz w:val="14"/>
                <w:szCs w:val="14"/>
              </w:rPr>
              <w:t>6,269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3E" w14:textId="77777777" w:rsidR="00980E5F" w:rsidRDefault="00980E5F">
            <w:pPr>
              <w:jc w:val="right"/>
              <w:rPr>
                <w:rFonts w:ascii="宋体"/>
              </w:rPr>
            </w:pPr>
          </w:p>
        </w:tc>
      </w:tr>
      <w:tr w:rsidR="00980E5F" w14:paraId="392C1846" w14:textId="77777777">
        <w:trPr>
          <w:hidden/>
        </w:trPr>
        <w:tc>
          <w:tcPr>
            <w:tcW w:w="0" w:type="auto"/>
            <w:gridSpan w:val="3"/>
            <w:shd w:val="clear" w:color="auto" w:fill="auto"/>
            <w:vAlign w:val="bottom"/>
          </w:tcPr>
          <w:p w14:paraId="392C1840" w14:textId="77777777" w:rsidR="00980E5F" w:rsidRDefault="00980E5F">
            <w:pPr>
              <w:rPr>
                <w:rFonts w:ascii="宋体"/>
                <w:vanish/>
              </w:rPr>
            </w:pPr>
          </w:p>
        </w:tc>
        <w:tc>
          <w:tcPr>
            <w:tcW w:w="0" w:type="auto"/>
            <w:gridSpan w:val="3"/>
            <w:shd w:val="clear" w:color="auto" w:fill="auto"/>
            <w:vAlign w:val="bottom"/>
          </w:tcPr>
          <w:p w14:paraId="392C1841" w14:textId="77777777" w:rsidR="00980E5F" w:rsidRDefault="00980E5F">
            <w:pPr>
              <w:rPr>
                <w:rFonts w:ascii="宋体"/>
                <w:vanish/>
              </w:rPr>
            </w:pPr>
          </w:p>
        </w:tc>
        <w:tc>
          <w:tcPr>
            <w:tcW w:w="0" w:type="auto"/>
            <w:gridSpan w:val="3"/>
            <w:shd w:val="clear" w:color="auto" w:fill="auto"/>
            <w:vAlign w:val="bottom"/>
          </w:tcPr>
          <w:p w14:paraId="392C1842" w14:textId="77777777" w:rsidR="00980E5F" w:rsidRDefault="00980E5F">
            <w:pPr>
              <w:rPr>
                <w:rFonts w:ascii="宋体"/>
                <w:vanish/>
              </w:rPr>
            </w:pPr>
          </w:p>
        </w:tc>
        <w:tc>
          <w:tcPr>
            <w:tcW w:w="0" w:type="auto"/>
            <w:gridSpan w:val="3"/>
            <w:shd w:val="clear" w:color="auto" w:fill="auto"/>
            <w:vAlign w:val="bottom"/>
          </w:tcPr>
          <w:p w14:paraId="392C1843" w14:textId="77777777" w:rsidR="00980E5F" w:rsidRDefault="00980E5F">
            <w:pPr>
              <w:rPr>
                <w:rFonts w:ascii="宋体"/>
                <w:vanish/>
              </w:rPr>
            </w:pPr>
          </w:p>
        </w:tc>
        <w:tc>
          <w:tcPr>
            <w:tcW w:w="0" w:type="auto"/>
            <w:gridSpan w:val="3"/>
            <w:shd w:val="clear" w:color="auto" w:fill="auto"/>
            <w:vAlign w:val="bottom"/>
          </w:tcPr>
          <w:p w14:paraId="392C1844" w14:textId="77777777" w:rsidR="00980E5F" w:rsidRDefault="00980E5F">
            <w:pPr>
              <w:rPr>
                <w:rFonts w:ascii="宋体"/>
                <w:vanish/>
              </w:rPr>
            </w:pPr>
          </w:p>
        </w:tc>
        <w:tc>
          <w:tcPr>
            <w:tcW w:w="0" w:type="auto"/>
            <w:gridSpan w:val="3"/>
            <w:shd w:val="clear" w:color="auto" w:fill="auto"/>
            <w:vAlign w:val="bottom"/>
          </w:tcPr>
          <w:p w14:paraId="392C1845" w14:textId="77777777" w:rsidR="00980E5F" w:rsidRDefault="00980E5F">
            <w:pPr>
              <w:rPr>
                <w:rFonts w:ascii="宋体"/>
                <w:vanish/>
              </w:rPr>
            </w:pPr>
          </w:p>
        </w:tc>
      </w:tr>
      <w:tr w:rsidR="00980E5F" w14:paraId="392C1850" w14:textId="77777777">
        <w:tc>
          <w:tcPr>
            <w:tcW w:w="0" w:type="auto"/>
            <w:gridSpan w:val="3"/>
            <w:shd w:val="clear" w:color="auto" w:fill="CCEEFF"/>
            <w:tcMar>
              <w:top w:w="40" w:type="dxa"/>
              <w:left w:w="20" w:type="dxa"/>
              <w:bottom w:w="40" w:type="dxa"/>
              <w:right w:w="20" w:type="dxa"/>
            </w:tcMar>
            <w:vAlign w:val="bottom"/>
          </w:tcPr>
          <w:p w14:paraId="392C1847" w14:textId="77777777" w:rsidR="00980E5F" w:rsidRDefault="00483613">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392C1848" w14:textId="77777777" w:rsidR="00980E5F" w:rsidRDefault="00483613">
            <w:pPr>
              <w:jc w:val="right"/>
              <w:textAlignment w:val="bottom"/>
            </w:pPr>
            <w:r>
              <w:rPr>
                <w:rFonts w:ascii="Arial" w:eastAsia="宋体" w:hAnsi="Arial" w:cs="Arial"/>
                <w:b/>
                <w:bCs/>
                <w:color w:val="000000"/>
                <w:sz w:val="14"/>
                <w:szCs w:val="14"/>
              </w:rPr>
              <w:t>1,877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4B" w14:textId="77777777" w:rsidR="00980E5F" w:rsidRDefault="00483613">
            <w:pPr>
              <w:jc w:val="right"/>
              <w:textAlignment w:val="bottom"/>
            </w:pPr>
            <w:r>
              <w:rPr>
                <w:rFonts w:ascii="Arial" w:eastAsia="宋体" w:hAnsi="Arial" w:cs="Arial"/>
                <w:b/>
                <w:bCs/>
                <w:color w:val="000000"/>
                <w:sz w:val="14"/>
                <w:szCs w:val="14"/>
              </w:rPr>
              <w:t>3,126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4E" w14:textId="77777777" w:rsidR="00980E5F" w:rsidRDefault="00483613">
            <w:pPr>
              <w:jc w:val="right"/>
              <w:textAlignment w:val="bottom"/>
            </w:pPr>
            <w:r>
              <w:rPr>
                <w:rFonts w:ascii="Arial" w:eastAsia="宋体" w:hAnsi="Arial" w:cs="Arial"/>
                <w:b/>
                <w:bCs/>
                <w:color w:val="000000"/>
                <w:sz w:val="14"/>
                <w:szCs w:val="14"/>
              </w:rPr>
              <w:t>5,003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184F" w14:textId="77777777" w:rsidR="00980E5F" w:rsidRDefault="00980E5F">
            <w:pPr>
              <w:jc w:val="right"/>
              <w:rPr>
                <w:rFonts w:ascii="宋体"/>
              </w:rPr>
            </w:pPr>
          </w:p>
        </w:tc>
      </w:tr>
      <w:tr w:rsidR="00980E5F" w14:paraId="392C1857" w14:textId="77777777">
        <w:trPr>
          <w:hidden/>
        </w:trPr>
        <w:tc>
          <w:tcPr>
            <w:tcW w:w="0" w:type="auto"/>
            <w:gridSpan w:val="3"/>
            <w:shd w:val="clear" w:color="auto" w:fill="auto"/>
            <w:vAlign w:val="bottom"/>
          </w:tcPr>
          <w:p w14:paraId="392C1851" w14:textId="77777777" w:rsidR="00980E5F" w:rsidRDefault="00980E5F">
            <w:pPr>
              <w:rPr>
                <w:rFonts w:ascii="宋体"/>
                <w:vanish/>
              </w:rPr>
            </w:pPr>
          </w:p>
        </w:tc>
        <w:tc>
          <w:tcPr>
            <w:tcW w:w="0" w:type="auto"/>
            <w:gridSpan w:val="3"/>
            <w:shd w:val="clear" w:color="auto" w:fill="auto"/>
            <w:vAlign w:val="bottom"/>
          </w:tcPr>
          <w:p w14:paraId="392C1852" w14:textId="77777777" w:rsidR="00980E5F" w:rsidRDefault="00980E5F">
            <w:pPr>
              <w:rPr>
                <w:rFonts w:ascii="宋体"/>
                <w:vanish/>
              </w:rPr>
            </w:pPr>
          </w:p>
        </w:tc>
        <w:tc>
          <w:tcPr>
            <w:tcW w:w="0" w:type="auto"/>
            <w:gridSpan w:val="3"/>
            <w:shd w:val="clear" w:color="auto" w:fill="auto"/>
            <w:vAlign w:val="bottom"/>
          </w:tcPr>
          <w:p w14:paraId="392C1853" w14:textId="77777777" w:rsidR="00980E5F" w:rsidRDefault="00980E5F">
            <w:pPr>
              <w:rPr>
                <w:rFonts w:ascii="宋体"/>
                <w:vanish/>
              </w:rPr>
            </w:pPr>
          </w:p>
        </w:tc>
        <w:tc>
          <w:tcPr>
            <w:tcW w:w="0" w:type="auto"/>
            <w:gridSpan w:val="3"/>
            <w:shd w:val="clear" w:color="auto" w:fill="auto"/>
            <w:vAlign w:val="bottom"/>
          </w:tcPr>
          <w:p w14:paraId="392C1854" w14:textId="77777777" w:rsidR="00980E5F" w:rsidRDefault="00980E5F">
            <w:pPr>
              <w:rPr>
                <w:rFonts w:ascii="宋体"/>
                <w:vanish/>
              </w:rPr>
            </w:pPr>
          </w:p>
        </w:tc>
        <w:tc>
          <w:tcPr>
            <w:tcW w:w="0" w:type="auto"/>
            <w:gridSpan w:val="3"/>
            <w:shd w:val="clear" w:color="auto" w:fill="auto"/>
            <w:vAlign w:val="bottom"/>
          </w:tcPr>
          <w:p w14:paraId="392C1855" w14:textId="77777777" w:rsidR="00980E5F" w:rsidRDefault="00980E5F">
            <w:pPr>
              <w:rPr>
                <w:rFonts w:ascii="宋体"/>
                <w:vanish/>
              </w:rPr>
            </w:pPr>
          </w:p>
        </w:tc>
        <w:tc>
          <w:tcPr>
            <w:tcW w:w="0" w:type="auto"/>
            <w:gridSpan w:val="3"/>
            <w:shd w:val="clear" w:color="auto" w:fill="auto"/>
            <w:vAlign w:val="bottom"/>
          </w:tcPr>
          <w:p w14:paraId="392C1856" w14:textId="77777777" w:rsidR="00980E5F" w:rsidRDefault="00980E5F">
            <w:pPr>
              <w:rPr>
                <w:rFonts w:ascii="宋体"/>
                <w:vanish/>
              </w:rPr>
            </w:pPr>
          </w:p>
        </w:tc>
      </w:tr>
      <w:tr w:rsidR="00980E5F" w14:paraId="392C185E" w14:textId="77777777">
        <w:trPr>
          <w:hidden/>
        </w:trPr>
        <w:tc>
          <w:tcPr>
            <w:tcW w:w="0" w:type="auto"/>
            <w:gridSpan w:val="3"/>
            <w:shd w:val="clear" w:color="auto" w:fill="auto"/>
            <w:vAlign w:val="bottom"/>
          </w:tcPr>
          <w:p w14:paraId="392C1858" w14:textId="77777777" w:rsidR="00980E5F" w:rsidRDefault="00980E5F">
            <w:pPr>
              <w:rPr>
                <w:rFonts w:ascii="宋体"/>
                <w:vanish/>
              </w:rPr>
            </w:pPr>
          </w:p>
        </w:tc>
        <w:tc>
          <w:tcPr>
            <w:tcW w:w="0" w:type="auto"/>
            <w:gridSpan w:val="3"/>
            <w:shd w:val="clear" w:color="auto" w:fill="auto"/>
            <w:vAlign w:val="bottom"/>
          </w:tcPr>
          <w:p w14:paraId="392C1859" w14:textId="77777777" w:rsidR="00980E5F" w:rsidRDefault="00980E5F">
            <w:pPr>
              <w:rPr>
                <w:rFonts w:ascii="宋体"/>
                <w:vanish/>
              </w:rPr>
            </w:pPr>
          </w:p>
        </w:tc>
        <w:tc>
          <w:tcPr>
            <w:tcW w:w="0" w:type="auto"/>
            <w:gridSpan w:val="3"/>
            <w:shd w:val="clear" w:color="auto" w:fill="auto"/>
            <w:vAlign w:val="bottom"/>
          </w:tcPr>
          <w:p w14:paraId="392C185A" w14:textId="77777777" w:rsidR="00980E5F" w:rsidRDefault="00980E5F">
            <w:pPr>
              <w:rPr>
                <w:rFonts w:ascii="宋体"/>
                <w:vanish/>
              </w:rPr>
            </w:pPr>
          </w:p>
        </w:tc>
        <w:tc>
          <w:tcPr>
            <w:tcW w:w="0" w:type="auto"/>
            <w:gridSpan w:val="3"/>
            <w:shd w:val="clear" w:color="auto" w:fill="auto"/>
            <w:vAlign w:val="bottom"/>
          </w:tcPr>
          <w:p w14:paraId="392C185B" w14:textId="77777777" w:rsidR="00980E5F" w:rsidRDefault="00980E5F">
            <w:pPr>
              <w:rPr>
                <w:rFonts w:ascii="宋体"/>
                <w:vanish/>
              </w:rPr>
            </w:pPr>
          </w:p>
        </w:tc>
        <w:tc>
          <w:tcPr>
            <w:tcW w:w="0" w:type="auto"/>
            <w:gridSpan w:val="3"/>
            <w:shd w:val="clear" w:color="auto" w:fill="auto"/>
            <w:vAlign w:val="bottom"/>
          </w:tcPr>
          <w:p w14:paraId="392C185C" w14:textId="77777777" w:rsidR="00980E5F" w:rsidRDefault="00980E5F">
            <w:pPr>
              <w:rPr>
                <w:rFonts w:ascii="宋体"/>
                <w:vanish/>
              </w:rPr>
            </w:pPr>
          </w:p>
        </w:tc>
        <w:tc>
          <w:tcPr>
            <w:tcW w:w="0" w:type="auto"/>
            <w:gridSpan w:val="3"/>
            <w:shd w:val="clear" w:color="auto" w:fill="auto"/>
            <w:vAlign w:val="bottom"/>
          </w:tcPr>
          <w:p w14:paraId="392C185D" w14:textId="77777777" w:rsidR="00980E5F" w:rsidRDefault="00980E5F">
            <w:pPr>
              <w:rPr>
                <w:rFonts w:ascii="宋体"/>
                <w:vanish/>
              </w:rPr>
            </w:pPr>
          </w:p>
        </w:tc>
      </w:tr>
      <w:tr w:rsidR="00980E5F" w14:paraId="392C1868" w14:textId="77777777">
        <w:tc>
          <w:tcPr>
            <w:tcW w:w="0" w:type="auto"/>
            <w:gridSpan w:val="3"/>
            <w:shd w:val="clear" w:color="auto" w:fill="FFFFFF"/>
            <w:tcMar>
              <w:top w:w="40" w:type="dxa"/>
              <w:left w:w="20" w:type="dxa"/>
              <w:bottom w:w="40" w:type="dxa"/>
              <w:right w:w="20" w:type="dxa"/>
            </w:tcMar>
            <w:vAlign w:val="bottom"/>
          </w:tcPr>
          <w:p w14:paraId="392C185F" w14:textId="77777777" w:rsidR="00980E5F" w:rsidRDefault="00483613">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392C1860" w14:textId="77777777" w:rsidR="00980E5F" w:rsidRDefault="00483613">
            <w:pPr>
              <w:jc w:val="right"/>
              <w:textAlignment w:val="bottom"/>
            </w:pPr>
            <w:r>
              <w:rPr>
                <w:rFonts w:ascii="Arial" w:eastAsia="宋体" w:hAnsi="Arial" w:cs="Arial"/>
                <w:b/>
                <w:bCs/>
                <w:color w:val="000000"/>
                <w:sz w:val="14"/>
                <w:szCs w:val="14"/>
              </w:rPr>
              <w:t>1,877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63" w14:textId="77777777" w:rsidR="00980E5F" w:rsidRDefault="00483613">
            <w:pPr>
              <w:jc w:val="right"/>
              <w:textAlignment w:val="bottom"/>
            </w:pPr>
            <w:r>
              <w:rPr>
                <w:rFonts w:ascii="Arial" w:eastAsia="宋体" w:hAnsi="Arial" w:cs="Arial"/>
                <w:b/>
                <w:bCs/>
                <w:color w:val="000000"/>
                <w:sz w:val="14"/>
                <w:szCs w:val="14"/>
              </w:rPr>
              <w:t>1,881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66" w14:textId="77777777" w:rsidR="00980E5F" w:rsidRDefault="00483613">
            <w:pPr>
              <w:jc w:val="right"/>
              <w:textAlignment w:val="bottom"/>
            </w:pPr>
            <w:r>
              <w:rPr>
                <w:rFonts w:ascii="Arial" w:eastAsia="宋体" w:hAnsi="Arial" w:cs="Arial"/>
                <w:b/>
                <w:bCs/>
                <w:color w:val="000000"/>
                <w:sz w:val="14"/>
                <w:szCs w:val="14"/>
              </w:rPr>
              <w:t>3,758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867" w14:textId="77777777" w:rsidR="00980E5F" w:rsidRDefault="00980E5F">
            <w:pPr>
              <w:jc w:val="right"/>
              <w:rPr>
                <w:rFonts w:ascii="宋体"/>
              </w:rPr>
            </w:pPr>
          </w:p>
        </w:tc>
      </w:tr>
      <w:tr w:rsidR="00980E5F" w14:paraId="392C186F" w14:textId="77777777">
        <w:tc>
          <w:tcPr>
            <w:tcW w:w="0" w:type="auto"/>
            <w:gridSpan w:val="3"/>
            <w:shd w:val="clear" w:color="auto" w:fill="CCEEFF"/>
            <w:tcMar>
              <w:top w:w="40" w:type="dxa"/>
              <w:left w:w="20" w:type="dxa"/>
              <w:bottom w:w="40" w:type="dxa"/>
              <w:right w:w="20" w:type="dxa"/>
            </w:tcMar>
            <w:vAlign w:val="bottom"/>
          </w:tcPr>
          <w:p w14:paraId="392C1869" w14:textId="77777777" w:rsidR="00980E5F" w:rsidRDefault="00483613">
            <w:pPr>
              <w:textAlignment w:val="bottom"/>
            </w:pPr>
            <w:r>
              <w:rPr>
                <w:rFonts w:ascii="Arial" w:eastAsia="宋体" w:hAnsi="Arial" w:cs="Arial"/>
                <w:b/>
                <w:bCs/>
                <w:color w:val="000000"/>
                <w:sz w:val="14"/>
                <w:szCs w:val="14"/>
              </w:rPr>
              <w:t>December 31, 2021</w:t>
            </w:r>
          </w:p>
        </w:tc>
        <w:tc>
          <w:tcPr>
            <w:tcW w:w="0" w:type="auto"/>
            <w:gridSpan w:val="3"/>
            <w:shd w:val="clear" w:color="auto" w:fill="CCEEFF"/>
            <w:tcMar>
              <w:top w:w="0" w:type="dxa"/>
              <w:left w:w="20" w:type="dxa"/>
              <w:bottom w:w="0" w:type="dxa"/>
              <w:right w:w="20" w:type="dxa"/>
            </w:tcMar>
            <w:vAlign w:val="bottom"/>
          </w:tcPr>
          <w:p w14:paraId="392C186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86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86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86D"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186E" w14:textId="77777777" w:rsidR="00980E5F" w:rsidRDefault="00483613">
            <w:pPr>
              <w:jc w:val="right"/>
              <w:textAlignment w:val="bottom"/>
            </w:pPr>
            <w:r>
              <w:rPr>
                <w:rFonts w:ascii="Arial" w:eastAsia="宋体" w:hAnsi="Arial" w:cs="Arial"/>
                <w:color w:val="000000"/>
                <w:sz w:val="14"/>
                <w:szCs w:val="14"/>
              </w:rPr>
              <w:t> </w:t>
            </w:r>
          </w:p>
        </w:tc>
      </w:tr>
      <w:tr w:rsidR="00980E5F" w14:paraId="392C187C" w14:textId="77777777">
        <w:tc>
          <w:tcPr>
            <w:tcW w:w="0" w:type="auto"/>
            <w:gridSpan w:val="3"/>
            <w:shd w:val="clear" w:color="auto" w:fill="FFFFFF"/>
            <w:tcMar>
              <w:top w:w="40" w:type="dxa"/>
              <w:left w:w="20" w:type="dxa"/>
              <w:bottom w:w="40" w:type="dxa"/>
              <w:right w:w="20" w:type="dxa"/>
            </w:tcMar>
            <w:vAlign w:val="bottom"/>
          </w:tcPr>
          <w:p w14:paraId="392C1870" w14:textId="77777777" w:rsidR="00980E5F" w:rsidRDefault="00483613">
            <w:pPr>
              <w:textAlignment w:val="bottom"/>
            </w:pPr>
            <w:r>
              <w:rPr>
                <w:rFonts w:ascii="Arial" w:eastAsia="宋体" w:hAnsi="Arial" w:cs="Arial"/>
                <w:color w:val="000000"/>
                <w:sz w:val="14"/>
                <w:szCs w:val="14"/>
              </w:rPr>
              <w:t>Germany</w:t>
            </w:r>
          </w:p>
        </w:tc>
        <w:tc>
          <w:tcPr>
            <w:tcW w:w="0" w:type="auto"/>
            <w:shd w:val="clear" w:color="auto" w:fill="FFFFFF"/>
            <w:tcMar>
              <w:top w:w="40" w:type="dxa"/>
              <w:left w:w="20" w:type="dxa"/>
              <w:bottom w:w="40" w:type="dxa"/>
              <w:right w:w="0" w:type="dxa"/>
            </w:tcMar>
            <w:vAlign w:val="bottom"/>
          </w:tcPr>
          <w:p w14:paraId="392C1871"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1872" w14:textId="77777777" w:rsidR="00980E5F" w:rsidRDefault="00483613">
            <w:pPr>
              <w:jc w:val="right"/>
              <w:textAlignment w:val="bottom"/>
            </w:pPr>
            <w:r>
              <w:rPr>
                <w:rFonts w:ascii="Arial" w:eastAsia="宋体" w:hAnsi="Arial" w:cs="Arial"/>
                <w:color w:val="000000"/>
                <w:sz w:val="14"/>
                <w:szCs w:val="14"/>
              </w:rPr>
              <w:t>30,263 </w:t>
            </w:r>
          </w:p>
        </w:tc>
        <w:tc>
          <w:tcPr>
            <w:tcW w:w="0" w:type="auto"/>
            <w:shd w:val="clear" w:color="auto" w:fill="FFFFFF"/>
            <w:tcMar>
              <w:top w:w="40" w:type="dxa"/>
              <w:left w:w="0" w:type="dxa"/>
              <w:bottom w:w="40" w:type="dxa"/>
              <w:right w:w="20" w:type="dxa"/>
            </w:tcMar>
            <w:vAlign w:val="bottom"/>
          </w:tcPr>
          <w:p w14:paraId="392C187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7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875"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1876" w14:textId="77777777" w:rsidR="00980E5F" w:rsidRDefault="00483613">
            <w:pPr>
              <w:jc w:val="right"/>
              <w:textAlignment w:val="bottom"/>
            </w:pPr>
            <w:r>
              <w:rPr>
                <w:rFonts w:ascii="Arial" w:eastAsia="宋体" w:hAnsi="Arial" w:cs="Arial"/>
                <w:color w:val="000000"/>
                <w:sz w:val="14"/>
                <w:szCs w:val="14"/>
              </w:rPr>
              <w:t>202 </w:t>
            </w:r>
          </w:p>
        </w:tc>
        <w:tc>
          <w:tcPr>
            <w:tcW w:w="0" w:type="auto"/>
            <w:shd w:val="clear" w:color="auto" w:fill="FFFFFF"/>
            <w:tcMar>
              <w:top w:w="40" w:type="dxa"/>
              <w:left w:w="0" w:type="dxa"/>
              <w:bottom w:w="40" w:type="dxa"/>
              <w:right w:w="20" w:type="dxa"/>
            </w:tcMar>
            <w:vAlign w:val="bottom"/>
          </w:tcPr>
          <w:p w14:paraId="392C18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7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879"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187A" w14:textId="77777777" w:rsidR="00980E5F" w:rsidRDefault="00483613">
            <w:pPr>
              <w:jc w:val="right"/>
              <w:textAlignment w:val="bottom"/>
            </w:pPr>
            <w:r>
              <w:rPr>
                <w:rFonts w:ascii="Arial" w:eastAsia="宋体" w:hAnsi="Arial" w:cs="Arial"/>
                <w:color w:val="000000"/>
                <w:sz w:val="14"/>
                <w:szCs w:val="14"/>
              </w:rPr>
              <w:t>30,465 </w:t>
            </w:r>
          </w:p>
        </w:tc>
        <w:tc>
          <w:tcPr>
            <w:tcW w:w="0" w:type="auto"/>
            <w:shd w:val="clear" w:color="auto" w:fill="FFFFFF"/>
            <w:tcMar>
              <w:top w:w="40" w:type="dxa"/>
              <w:left w:w="0" w:type="dxa"/>
              <w:bottom w:w="40" w:type="dxa"/>
              <w:right w:w="20" w:type="dxa"/>
            </w:tcMar>
            <w:vAlign w:val="bottom"/>
          </w:tcPr>
          <w:p w14:paraId="392C187B" w14:textId="77777777" w:rsidR="00980E5F" w:rsidRDefault="00980E5F">
            <w:pPr>
              <w:jc w:val="right"/>
              <w:rPr>
                <w:rFonts w:ascii="宋体"/>
              </w:rPr>
            </w:pPr>
          </w:p>
        </w:tc>
      </w:tr>
      <w:tr w:rsidR="00980E5F" w14:paraId="392C1886" w14:textId="77777777">
        <w:tc>
          <w:tcPr>
            <w:tcW w:w="0" w:type="auto"/>
            <w:gridSpan w:val="3"/>
            <w:shd w:val="clear" w:color="auto" w:fill="CCEEFF"/>
            <w:tcMar>
              <w:top w:w="40" w:type="dxa"/>
              <w:left w:w="20" w:type="dxa"/>
              <w:bottom w:w="40" w:type="dxa"/>
              <w:right w:w="20" w:type="dxa"/>
            </w:tcMar>
            <w:vAlign w:val="bottom"/>
          </w:tcPr>
          <w:p w14:paraId="392C187D" w14:textId="77777777" w:rsidR="00980E5F" w:rsidRDefault="00483613">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392C187E" w14:textId="77777777" w:rsidR="00980E5F" w:rsidRDefault="00483613">
            <w:pPr>
              <w:jc w:val="right"/>
              <w:textAlignment w:val="bottom"/>
            </w:pPr>
            <w:r>
              <w:rPr>
                <w:rFonts w:ascii="Arial" w:eastAsia="宋体" w:hAnsi="Arial" w:cs="Arial"/>
                <w:color w:val="000000"/>
                <w:sz w:val="14"/>
                <w:szCs w:val="14"/>
              </w:rPr>
              <w:t>13,075 </w:t>
            </w:r>
          </w:p>
        </w:tc>
        <w:tc>
          <w:tcPr>
            <w:tcW w:w="0" w:type="auto"/>
            <w:shd w:val="clear" w:color="auto" w:fill="CCEEFF"/>
            <w:tcMar>
              <w:top w:w="40" w:type="dxa"/>
              <w:left w:w="0" w:type="dxa"/>
              <w:bottom w:w="40" w:type="dxa"/>
              <w:right w:w="20" w:type="dxa"/>
            </w:tcMar>
            <w:vAlign w:val="bottom"/>
          </w:tcPr>
          <w:p w14:paraId="392C18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81" w14:textId="77777777" w:rsidR="00980E5F" w:rsidRDefault="00483613">
            <w:pPr>
              <w:jc w:val="right"/>
              <w:textAlignment w:val="bottom"/>
            </w:pPr>
            <w:r>
              <w:rPr>
                <w:rFonts w:ascii="Arial" w:eastAsia="宋体" w:hAnsi="Arial" w:cs="Arial"/>
                <w:color w:val="000000"/>
                <w:sz w:val="14"/>
                <w:szCs w:val="14"/>
              </w:rPr>
              <w:t>1,287 </w:t>
            </w:r>
          </w:p>
        </w:tc>
        <w:tc>
          <w:tcPr>
            <w:tcW w:w="0" w:type="auto"/>
            <w:shd w:val="clear" w:color="auto" w:fill="CCEEFF"/>
            <w:tcMar>
              <w:top w:w="40" w:type="dxa"/>
              <w:left w:w="0" w:type="dxa"/>
              <w:bottom w:w="40" w:type="dxa"/>
              <w:right w:w="20" w:type="dxa"/>
            </w:tcMar>
            <w:vAlign w:val="bottom"/>
          </w:tcPr>
          <w:p w14:paraId="392C18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84" w14:textId="77777777" w:rsidR="00980E5F" w:rsidRDefault="00483613">
            <w:pPr>
              <w:jc w:val="right"/>
              <w:textAlignment w:val="bottom"/>
            </w:pPr>
            <w:r>
              <w:rPr>
                <w:rFonts w:ascii="Arial" w:eastAsia="宋体" w:hAnsi="Arial" w:cs="Arial"/>
                <w:color w:val="000000"/>
                <w:sz w:val="14"/>
                <w:szCs w:val="14"/>
              </w:rPr>
              <w:t>14,362 </w:t>
            </w:r>
          </w:p>
        </w:tc>
        <w:tc>
          <w:tcPr>
            <w:tcW w:w="0" w:type="auto"/>
            <w:shd w:val="clear" w:color="auto" w:fill="CCEEFF"/>
            <w:tcMar>
              <w:top w:w="40" w:type="dxa"/>
              <w:left w:w="0" w:type="dxa"/>
              <w:bottom w:w="40" w:type="dxa"/>
              <w:right w:w="20" w:type="dxa"/>
            </w:tcMar>
            <w:vAlign w:val="bottom"/>
          </w:tcPr>
          <w:p w14:paraId="392C1885" w14:textId="77777777" w:rsidR="00980E5F" w:rsidRDefault="00980E5F">
            <w:pPr>
              <w:jc w:val="right"/>
              <w:rPr>
                <w:rFonts w:ascii="宋体"/>
              </w:rPr>
            </w:pPr>
          </w:p>
        </w:tc>
      </w:tr>
      <w:tr w:rsidR="00980E5F" w14:paraId="392C1890" w14:textId="77777777">
        <w:tc>
          <w:tcPr>
            <w:tcW w:w="0" w:type="auto"/>
            <w:gridSpan w:val="3"/>
            <w:shd w:val="clear" w:color="auto" w:fill="FFFFFF"/>
            <w:tcMar>
              <w:top w:w="40" w:type="dxa"/>
              <w:left w:w="20" w:type="dxa"/>
              <w:bottom w:w="40" w:type="dxa"/>
              <w:right w:w="20" w:type="dxa"/>
            </w:tcMar>
            <w:vAlign w:val="bottom"/>
          </w:tcPr>
          <w:p w14:paraId="392C1887" w14:textId="77777777" w:rsidR="00980E5F" w:rsidRDefault="00483613">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392C1888" w14:textId="77777777" w:rsidR="00980E5F" w:rsidRDefault="00483613">
            <w:pPr>
              <w:jc w:val="right"/>
              <w:textAlignment w:val="bottom"/>
            </w:pPr>
            <w:r>
              <w:rPr>
                <w:rFonts w:ascii="Arial" w:eastAsia="宋体" w:hAnsi="Arial" w:cs="Arial"/>
                <w:color w:val="000000"/>
                <w:sz w:val="14"/>
                <w:szCs w:val="14"/>
              </w:rPr>
              <w:t>10,713 </w:t>
            </w:r>
          </w:p>
        </w:tc>
        <w:tc>
          <w:tcPr>
            <w:tcW w:w="0" w:type="auto"/>
            <w:shd w:val="clear" w:color="auto" w:fill="FFFFFF"/>
            <w:tcMar>
              <w:top w:w="40" w:type="dxa"/>
              <w:left w:w="0" w:type="dxa"/>
              <w:bottom w:w="40" w:type="dxa"/>
              <w:right w:w="20" w:type="dxa"/>
            </w:tcMar>
            <w:vAlign w:val="bottom"/>
          </w:tcPr>
          <w:p w14:paraId="392C18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8B" w14:textId="77777777" w:rsidR="00980E5F" w:rsidRDefault="00483613">
            <w:pPr>
              <w:jc w:val="right"/>
              <w:textAlignment w:val="bottom"/>
            </w:pPr>
            <w:r>
              <w:rPr>
                <w:rFonts w:ascii="Arial" w:eastAsia="宋体" w:hAnsi="Arial" w:cs="Arial"/>
                <w:color w:val="000000"/>
                <w:sz w:val="14"/>
                <w:szCs w:val="14"/>
              </w:rPr>
              <w:t>878 </w:t>
            </w:r>
          </w:p>
        </w:tc>
        <w:tc>
          <w:tcPr>
            <w:tcW w:w="0" w:type="auto"/>
            <w:shd w:val="clear" w:color="auto" w:fill="FFFFFF"/>
            <w:tcMar>
              <w:top w:w="40" w:type="dxa"/>
              <w:left w:w="0" w:type="dxa"/>
              <w:bottom w:w="40" w:type="dxa"/>
              <w:right w:w="20" w:type="dxa"/>
            </w:tcMar>
            <w:vAlign w:val="bottom"/>
          </w:tcPr>
          <w:p w14:paraId="392C188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8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8E" w14:textId="77777777" w:rsidR="00980E5F" w:rsidRDefault="00483613">
            <w:pPr>
              <w:jc w:val="right"/>
              <w:textAlignment w:val="bottom"/>
            </w:pPr>
            <w:r>
              <w:rPr>
                <w:rFonts w:ascii="Arial" w:eastAsia="宋体" w:hAnsi="Arial" w:cs="Arial"/>
                <w:color w:val="000000"/>
                <w:sz w:val="14"/>
                <w:szCs w:val="14"/>
              </w:rPr>
              <w:t>11,591 </w:t>
            </w:r>
          </w:p>
        </w:tc>
        <w:tc>
          <w:tcPr>
            <w:tcW w:w="0" w:type="auto"/>
            <w:shd w:val="clear" w:color="auto" w:fill="FFFFFF"/>
            <w:tcMar>
              <w:top w:w="40" w:type="dxa"/>
              <w:left w:w="0" w:type="dxa"/>
              <w:bottom w:w="40" w:type="dxa"/>
              <w:right w:w="20" w:type="dxa"/>
            </w:tcMar>
            <w:vAlign w:val="bottom"/>
          </w:tcPr>
          <w:p w14:paraId="392C188F" w14:textId="77777777" w:rsidR="00980E5F" w:rsidRDefault="00980E5F">
            <w:pPr>
              <w:jc w:val="right"/>
              <w:rPr>
                <w:rFonts w:ascii="宋体"/>
              </w:rPr>
            </w:pPr>
          </w:p>
        </w:tc>
      </w:tr>
      <w:tr w:rsidR="00980E5F" w14:paraId="392C189A" w14:textId="77777777">
        <w:tc>
          <w:tcPr>
            <w:tcW w:w="0" w:type="auto"/>
            <w:gridSpan w:val="3"/>
            <w:shd w:val="clear" w:color="auto" w:fill="CCEEFF"/>
            <w:tcMar>
              <w:top w:w="40" w:type="dxa"/>
              <w:left w:w="20" w:type="dxa"/>
              <w:bottom w:w="40" w:type="dxa"/>
              <w:right w:w="20" w:type="dxa"/>
            </w:tcMar>
            <w:vAlign w:val="bottom"/>
          </w:tcPr>
          <w:p w14:paraId="392C1891" w14:textId="77777777" w:rsidR="00980E5F" w:rsidRDefault="00483613">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392C1892" w14:textId="77777777" w:rsidR="00980E5F" w:rsidRDefault="00483613">
            <w:pPr>
              <w:jc w:val="right"/>
              <w:textAlignment w:val="bottom"/>
            </w:pPr>
            <w:r>
              <w:rPr>
                <w:rFonts w:ascii="Arial" w:eastAsia="宋体" w:hAnsi="Arial" w:cs="Arial"/>
                <w:color w:val="000000"/>
                <w:sz w:val="14"/>
                <w:szCs w:val="14"/>
              </w:rPr>
              <w:t>8,201 </w:t>
            </w:r>
          </w:p>
        </w:tc>
        <w:tc>
          <w:tcPr>
            <w:tcW w:w="0" w:type="auto"/>
            <w:shd w:val="clear" w:color="auto" w:fill="CCEEFF"/>
            <w:tcMar>
              <w:top w:w="40" w:type="dxa"/>
              <w:left w:w="0" w:type="dxa"/>
              <w:bottom w:w="40" w:type="dxa"/>
              <w:right w:w="20" w:type="dxa"/>
            </w:tcMar>
            <w:vAlign w:val="bottom"/>
          </w:tcPr>
          <w:p w14:paraId="392C18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95" w14:textId="77777777" w:rsidR="00980E5F" w:rsidRDefault="00483613">
            <w:pPr>
              <w:jc w:val="right"/>
              <w:textAlignment w:val="bottom"/>
            </w:pPr>
            <w:r>
              <w:rPr>
                <w:rFonts w:ascii="Arial" w:eastAsia="宋体" w:hAnsi="Arial" w:cs="Arial"/>
                <w:color w:val="000000"/>
                <w:sz w:val="14"/>
                <w:szCs w:val="14"/>
              </w:rPr>
              <w:t>999 </w:t>
            </w:r>
          </w:p>
        </w:tc>
        <w:tc>
          <w:tcPr>
            <w:tcW w:w="0" w:type="auto"/>
            <w:shd w:val="clear" w:color="auto" w:fill="CCEEFF"/>
            <w:tcMar>
              <w:top w:w="40" w:type="dxa"/>
              <w:left w:w="0" w:type="dxa"/>
              <w:bottom w:w="40" w:type="dxa"/>
              <w:right w:w="20" w:type="dxa"/>
            </w:tcMar>
            <w:vAlign w:val="bottom"/>
          </w:tcPr>
          <w:p w14:paraId="392C18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98" w14:textId="77777777" w:rsidR="00980E5F" w:rsidRDefault="00483613">
            <w:pPr>
              <w:jc w:val="right"/>
              <w:textAlignment w:val="bottom"/>
            </w:pPr>
            <w:r>
              <w:rPr>
                <w:rFonts w:ascii="Arial" w:eastAsia="宋体" w:hAnsi="Arial" w:cs="Arial"/>
                <w:color w:val="000000"/>
                <w:sz w:val="14"/>
                <w:szCs w:val="14"/>
              </w:rPr>
              <w:t>9,200 </w:t>
            </w:r>
          </w:p>
        </w:tc>
        <w:tc>
          <w:tcPr>
            <w:tcW w:w="0" w:type="auto"/>
            <w:shd w:val="clear" w:color="auto" w:fill="CCEEFF"/>
            <w:tcMar>
              <w:top w:w="40" w:type="dxa"/>
              <w:left w:w="0" w:type="dxa"/>
              <w:bottom w:w="40" w:type="dxa"/>
              <w:right w:w="20" w:type="dxa"/>
            </w:tcMar>
            <w:vAlign w:val="bottom"/>
          </w:tcPr>
          <w:p w14:paraId="392C1899" w14:textId="77777777" w:rsidR="00980E5F" w:rsidRDefault="00980E5F">
            <w:pPr>
              <w:jc w:val="right"/>
              <w:rPr>
                <w:rFonts w:ascii="宋体"/>
              </w:rPr>
            </w:pPr>
          </w:p>
        </w:tc>
      </w:tr>
      <w:tr w:rsidR="00980E5F" w14:paraId="392C18A4" w14:textId="77777777">
        <w:tc>
          <w:tcPr>
            <w:tcW w:w="0" w:type="auto"/>
            <w:gridSpan w:val="3"/>
            <w:shd w:val="clear" w:color="auto" w:fill="FFFFFF"/>
            <w:tcMar>
              <w:top w:w="40" w:type="dxa"/>
              <w:left w:w="20" w:type="dxa"/>
              <w:bottom w:w="40" w:type="dxa"/>
              <w:right w:w="20" w:type="dxa"/>
            </w:tcMar>
            <w:vAlign w:val="bottom"/>
          </w:tcPr>
          <w:p w14:paraId="392C189B" w14:textId="77777777" w:rsidR="00980E5F" w:rsidRDefault="00483613">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392C189C" w14:textId="77777777" w:rsidR="00980E5F" w:rsidRDefault="00483613">
            <w:pPr>
              <w:jc w:val="right"/>
              <w:textAlignment w:val="bottom"/>
            </w:pPr>
            <w:r>
              <w:rPr>
                <w:rFonts w:ascii="Arial" w:eastAsia="宋体" w:hAnsi="Arial" w:cs="Arial"/>
                <w:color w:val="000000"/>
                <w:sz w:val="14"/>
                <w:szCs w:val="14"/>
              </w:rPr>
              <w:t>6,862 </w:t>
            </w:r>
          </w:p>
        </w:tc>
        <w:tc>
          <w:tcPr>
            <w:tcW w:w="0" w:type="auto"/>
            <w:shd w:val="clear" w:color="auto" w:fill="FFFFFF"/>
            <w:tcMar>
              <w:top w:w="40" w:type="dxa"/>
              <w:left w:w="0" w:type="dxa"/>
              <w:bottom w:w="40" w:type="dxa"/>
              <w:right w:w="20" w:type="dxa"/>
            </w:tcMar>
            <w:vAlign w:val="bottom"/>
          </w:tcPr>
          <w:p w14:paraId="392C18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9F" w14:textId="77777777" w:rsidR="00980E5F" w:rsidRDefault="00483613">
            <w:pPr>
              <w:jc w:val="right"/>
              <w:textAlignment w:val="bottom"/>
            </w:pPr>
            <w:r>
              <w:rPr>
                <w:rFonts w:ascii="Arial" w:eastAsia="宋体" w:hAnsi="Arial" w:cs="Arial"/>
                <w:color w:val="000000"/>
                <w:sz w:val="14"/>
                <w:szCs w:val="14"/>
              </w:rPr>
              <w:t>534 </w:t>
            </w:r>
          </w:p>
        </w:tc>
        <w:tc>
          <w:tcPr>
            <w:tcW w:w="0" w:type="auto"/>
            <w:shd w:val="clear" w:color="auto" w:fill="FFFFFF"/>
            <w:tcMar>
              <w:top w:w="40" w:type="dxa"/>
              <w:left w:w="0" w:type="dxa"/>
              <w:bottom w:w="40" w:type="dxa"/>
              <w:right w:w="20" w:type="dxa"/>
            </w:tcMar>
            <w:vAlign w:val="bottom"/>
          </w:tcPr>
          <w:p w14:paraId="392C18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A2" w14:textId="77777777" w:rsidR="00980E5F" w:rsidRDefault="00483613">
            <w:pPr>
              <w:jc w:val="right"/>
              <w:textAlignment w:val="bottom"/>
            </w:pPr>
            <w:r>
              <w:rPr>
                <w:rFonts w:ascii="Arial" w:eastAsia="宋体" w:hAnsi="Arial" w:cs="Arial"/>
                <w:color w:val="000000"/>
                <w:sz w:val="14"/>
                <w:szCs w:val="14"/>
              </w:rPr>
              <w:t>7,396 </w:t>
            </w:r>
          </w:p>
        </w:tc>
        <w:tc>
          <w:tcPr>
            <w:tcW w:w="0" w:type="auto"/>
            <w:shd w:val="clear" w:color="auto" w:fill="FFFFFF"/>
            <w:tcMar>
              <w:top w:w="40" w:type="dxa"/>
              <w:left w:w="0" w:type="dxa"/>
              <w:bottom w:w="40" w:type="dxa"/>
              <w:right w:w="20" w:type="dxa"/>
            </w:tcMar>
            <w:vAlign w:val="bottom"/>
          </w:tcPr>
          <w:p w14:paraId="392C18A3" w14:textId="77777777" w:rsidR="00980E5F" w:rsidRDefault="00980E5F">
            <w:pPr>
              <w:jc w:val="right"/>
              <w:rPr>
                <w:rFonts w:ascii="宋体"/>
              </w:rPr>
            </w:pPr>
          </w:p>
        </w:tc>
      </w:tr>
      <w:tr w:rsidR="00980E5F" w14:paraId="392C18AE" w14:textId="77777777">
        <w:tc>
          <w:tcPr>
            <w:tcW w:w="0" w:type="auto"/>
            <w:gridSpan w:val="3"/>
            <w:shd w:val="clear" w:color="auto" w:fill="CCEEFF"/>
            <w:tcMar>
              <w:top w:w="40" w:type="dxa"/>
              <w:left w:w="20" w:type="dxa"/>
              <w:bottom w:w="40" w:type="dxa"/>
              <w:right w:w="20" w:type="dxa"/>
            </w:tcMar>
            <w:vAlign w:val="bottom"/>
          </w:tcPr>
          <w:p w14:paraId="392C18A5" w14:textId="77777777" w:rsidR="00980E5F" w:rsidRDefault="00483613">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392C18A6" w14:textId="77777777" w:rsidR="00980E5F" w:rsidRDefault="00483613">
            <w:pPr>
              <w:jc w:val="right"/>
              <w:textAlignment w:val="bottom"/>
            </w:pPr>
            <w:r>
              <w:rPr>
                <w:rFonts w:ascii="Arial" w:eastAsia="宋体" w:hAnsi="Arial" w:cs="Arial"/>
                <w:color w:val="000000"/>
                <w:sz w:val="14"/>
                <w:szCs w:val="14"/>
              </w:rPr>
              <w:t>6,300 </w:t>
            </w:r>
          </w:p>
        </w:tc>
        <w:tc>
          <w:tcPr>
            <w:tcW w:w="0" w:type="auto"/>
            <w:shd w:val="clear" w:color="auto" w:fill="CCEEFF"/>
            <w:tcMar>
              <w:top w:w="40" w:type="dxa"/>
              <w:left w:w="0" w:type="dxa"/>
              <w:bottom w:w="40" w:type="dxa"/>
              <w:right w:w="20" w:type="dxa"/>
            </w:tcMar>
            <w:vAlign w:val="bottom"/>
          </w:tcPr>
          <w:p w14:paraId="392C18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A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A9" w14:textId="77777777" w:rsidR="00980E5F" w:rsidRDefault="00483613">
            <w:pPr>
              <w:jc w:val="right"/>
              <w:textAlignment w:val="bottom"/>
            </w:pPr>
            <w:r>
              <w:rPr>
                <w:rFonts w:ascii="Arial" w:eastAsia="宋体" w:hAnsi="Arial" w:cs="Arial"/>
                <w:color w:val="000000"/>
                <w:sz w:val="14"/>
                <w:szCs w:val="14"/>
              </w:rPr>
              <w:t>601 </w:t>
            </w:r>
          </w:p>
        </w:tc>
        <w:tc>
          <w:tcPr>
            <w:tcW w:w="0" w:type="auto"/>
            <w:shd w:val="clear" w:color="auto" w:fill="CCEEFF"/>
            <w:tcMar>
              <w:top w:w="40" w:type="dxa"/>
              <w:left w:w="0" w:type="dxa"/>
              <w:bottom w:w="40" w:type="dxa"/>
              <w:right w:w="20" w:type="dxa"/>
            </w:tcMar>
            <w:vAlign w:val="bottom"/>
          </w:tcPr>
          <w:p w14:paraId="392C18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8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8AC" w14:textId="77777777" w:rsidR="00980E5F" w:rsidRDefault="00483613">
            <w:pPr>
              <w:jc w:val="right"/>
              <w:textAlignment w:val="bottom"/>
            </w:pPr>
            <w:r>
              <w:rPr>
                <w:rFonts w:ascii="Arial" w:eastAsia="宋体" w:hAnsi="Arial" w:cs="Arial"/>
                <w:color w:val="000000"/>
                <w:sz w:val="14"/>
                <w:szCs w:val="14"/>
              </w:rPr>
              <w:t>6,901 </w:t>
            </w:r>
          </w:p>
        </w:tc>
        <w:tc>
          <w:tcPr>
            <w:tcW w:w="0" w:type="auto"/>
            <w:shd w:val="clear" w:color="auto" w:fill="CCEEFF"/>
            <w:tcMar>
              <w:top w:w="40" w:type="dxa"/>
              <w:left w:w="0" w:type="dxa"/>
              <w:bottom w:w="40" w:type="dxa"/>
              <w:right w:w="20" w:type="dxa"/>
            </w:tcMar>
            <w:vAlign w:val="bottom"/>
          </w:tcPr>
          <w:p w14:paraId="392C18AD" w14:textId="77777777" w:rsidR="00980E5F" w:rsidRDefault="00980E5F">
            <w:pPr>
              <w:jc w:val="right"/>
              <w:rPr>
                <w:rFonts w:ascii="宋体"/>
              </w:rPr>
            </w:pPr>
          </w:p>
        </w:tc>
      </w:tr>
      <w:tr w:rsidR="00980E5F" w14:paraId="392C18B8" w14:textId="77777777">
        <w:tc>
          <w:tcPr>
            <w:tcW w:w="0" w:type="auto"/>
            <w:gridSpan w:val="3"/>
            <w:shd w:val="clear" w:color="auto" w:fill="FFFFFF"/>
            <w:tcMar>
              <w:top w:w="40" w:type="dxa"/>
              <w:left w:w="20" w:type="dxa"/>
              <w:bottom w:w="40" w:type="dxa"/>
              <w:right w:w="20" w:type="dxa"/>
            </w:tcMar>
            <w:vAlign w:val="bottom"/>
          </w:tcPr>
          <w:p w14:paraId="392C18AF" w14:textId="77777777" w:rsidR="00980E5F" w:rsidRDefault="00483613">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392C18B0" w14:textId="77777777" w:rsidR="00980E5F" w:rsidRDefault="00483613">
            <w:pPr>
              <w:jc w:val="right"/>
              <w:textAlignment w:val="bottom"/>
            </w:pPr>
            <w:r>
              <w:rPr>
                <w:rFonts w:ascii="Arial" w:eastAsia="宋体" w:hAnsi="Arial" w:cs="Arial"/>
                <w:color w:val="000000"/>
                <w:sz w:val="14"/>
                <w:szCs w:val="14"/>
              </w:rPr>
              <w:t>2,822 </w:t>
            </w:r>
          </w:p>
        </w:tc>
        <w:tc>
          <w:tcPr>
            <w:tcW w:w="0" w:type="auto"/>
            <w:shd w:val="clear" w:color="auto" w:fill="FFFFFF"/>
            <w:tcMar>
              <w:top w:w="40" w:type="dxa"/>
              <w:left w:w="0" w:type="dxa"/>
              <w:bottom w:w="40" w:type="dxa"/>
              <w:right w:w="20" w:type="dxa"/>
            </w:tcMar>
            <w:vAlign w:val="bottom"/>
          </w:tcPr>
          <w:p w14:paraId="392C18B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B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B3" w14:textId="77777777" w:rsidR="00980E5F" w:rsidRDefault="00483613">
            <w:pPr>
              <w:jc w:val="right"/>
              <w:textAlignment w:val="bottom"/>
            </w:pPr>
            <w:r>
              <w:rPr>
                <w:rFonts w:ascii="Arial" w:eastAsia="宋体" w:hAnsi="Arial" w:cs="Arial"/>
                <w:color w:val="000000"/>
                <w:sz w:val="14"/>
                <w:szCs w:val="14"/>
              </w:rPr>
              <w:t>852 </w:t>
            </w:r>
          </w:p>
        </w:tc>
        <w:tc>
          <w:tcPr>
            <w:tcW w:w="0" w:type="auto"/>
            <w:shd w:val="clear" w:color="auto" w:fill="FFFFFF"/>
            <w:tcMar>
              <w:top w:w="40" w:type="dxa"/>
              <w:left w:w="0" w:type="dxa"/>
              <w:bottom w:w="40" w:type="dxa"/>
              <w:right w:w="20" w:type="dxa"/>
            </w:tcMar>
            <w:vAlign w:val="bottom"/>
          </w:tcPr>
          <w:p w14:paraId="392C18B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8B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8B6" w14:textId="77777777" w:rsidR="00980E5F" w:rsidRDefault="00483613">
            <w:pPr>
              <w:jc w:val="right"/>
              <w:textAlignment w:val="bottom"/>
            </w:pPr>
            <w:r>
              <w:rPr>
                <w:rFonts w:ascii="Arial" w:eastAsia="宋体" w:hAnsi="Arial" w:cs="Arial"/>
                <w:color w:val="000000"/>
                <w:sz w:val="14"/>
                <w:szCs w:val="14"/>
              </w:rPr>
              <w:t>3,674 </w:t>
            </w:r>
          </w:p>
        </w:tc>
        <w:tc>
          <w:tcPr>
            <w:tcW w:w="0" w:type="auto"/>
            <w:shd w:val="clear" w:color="auto" w:fill="FFFFFF"/>
            <w:tcMar>
              <w:top w:w="40" w:type="dxa"/>
              <w:left w:w="0" w:type="dxa"/>
              <w:bottom w:w="40" w:type="dxa"/>
              <w:right w:w="20" w:type="dxa"/>
            </w:tcMar>
            <w:vAlign w:val="bottom"/>
          </w:tcPr>
          <w:p w14:paraId="392C18B7" w14:textId="77777777" w:rsidR="00980E5F" w:rsidRDefault="00980E5F">
            <w:pPr>
              <w:jc w:val="right"/>
              <w:rPr>
                <w:rFonts w:ascii="宋体"/>
              </w:rPr>
            </w:pPr>
          </w:p>
        </w:tc>
      </w:tr>
      <w:tr w:rsidR="00980E5F" w14:paraId="392C18BF" w14:textId="77777777">
        <w:trPr>
          <w:hidden/>
        </w:trPr>
        <w:tc>
          <w:tcPr>
            <w:tcW w:w="0" w:type="auto"/>
            <w:gridSpan w:val="3"/>
            <w:shd w:val="clear" w:color="auto" w:fill="auto"/>
            <w:vAlign w:val="bottom"/>
          </w:tcPr>
          <w:p w14:paraId="392C18B9" w14:textId="77777777" w:rsidR="00980E5F" w:rsidRDefault="00980E5F">
            <w:pPr>
              <w:rPr>
                <w:rFonts w:ascii="宋体"/>
                <w:vanish/>
              </w:rPr>
            </w:pPr>
          </w:p>
        </w:tc>
        <w:tc>
          <w:tcPr>
            <w:tcW w:w="0" w:type="auto"/>
            <w:gridSpan w:val="3"/>
            <w:shd w:val="clear" w:color="auto" w:fill="auto"/>
            <w:vAlign w:val="bottom"/>
          </w:tcPr>
          <w:p w14:paraId="392C18BA" w14:textId="77777777" w:rsidR="00980E5F" w:rsidRDefault="00980E5F">
            <w:pPr>
              <w:rPr>
                <w:rFonts w:ascii="宋体"/>
                <w:vanish/>
              </w:rPr>
            </w:pPr>
          </w:p>
        </w:tc>
        <w:tc>
          <w:tcPr>
            <w:tcW w:w="0" w:type="auto"/>
            <w:gridSpan w:val="3"/>
            <w:shd w:val="clear" w:color="auto" w:fill="auto"/>
            <w:vAlign w:val="bottom"/>
          </w:tcPr>
          <w:p w14:paraId="392C18BB" w14:textId="77777777" w:rsidR="00980E5F" w:rsidRDefault="00980E5F">
            <w:pPr>
              <w:rPr>
                <w:rFonts w:ascii="宋体"/>
                <w:vanish/>
              </w:rPr>
            </w:pPr>
          </w:p>
        </w:tc>
        <w:tc>
          <w:tcPr>
            <w:tcW w:w="0" w:type="auto"/>
            <w:gridSpan w:val="3"/>
            <w:shd w:val="clear" w:color="auto" w:fill="auto"/>
            <w:vAlign w:val="bottom"/>
          </w:tcPr>
          <w:p w14:paraId="392C18BC" w14:textId="77777777" w:rsidR="00980E5F" w:rsidRDefault="00980E5F">
            <w:pPr>
              <w:rPr>
                <w:rFonts w:ascii="宋体"/>
                <w:vanish/>
              </w:rPr>
            </w:pPr>
          </w:p>
        </w:tc>
        <w:tc>
          <w:tcPr>
            <w:tcW w:w="0" w:type="auto"/>
            <w:gridSpan w:val="3"/>
            <w:shd w:val="clear" w:color="auto" w:fill="auto"/>
            <w:vAlign w:val="bottom"/>
          </w:tcPr>
          <w:p w14:paraId="392C18BD" w14:textId="77777777" w:rsidR="00980E5F" w:rsidRDefault="00980E5F">
            <w:pPr>
              <w:rPr>
                <w:rFonts w:ascii="宋体"/>
                <w:vanish/>
              </w:rPr>
            </w:pPr>
          </w:p>
        </w:tc>
        <w:tc>
          <w:tcPr>
            <w:tcW w:w="0" w:type="auto"/>
            <w:gridSpan w:val="3"/>
            <w:shd w:val="clear" w:color="auto" w:fill="auto"/>
            <w:vAlign w:val="bottom"/>
          </w:tcPr>
          <w:p w14:paraId="392C18BE" w14:textId="77777777" w:rsidR="00980E5F" w:rsidRDefault="00980E5F">
            <w:pPr>
              <w:rPr>
                <w:rFonts w:ascii="宋体"/>
                <w:vanish/>
              </w:rPr>
            </w:pPr>
          </w:p>
        </w:tc>
      </w:tr>
      <w:tr w:rsidR="00980E5F" w14:paraId="392C18C6" w14:textId="77777777">
        <w:trPr>
          <w:hidden/>
        </w:trPr>
        <w:tc>
          <w:tcPr>
            <w:tcW w:w="0" w:type="auto"/>
            <w:gridSpan w:val="3"/>
            <w:shd w:val="clear" w:color="auto" w:fill="auto"/>
            <w:vAlign w:val="bottom"/>
          </w:tcPr>
          <w:p w14:paraId="392C18C0" w14:textId="77777777" w:rsidR="00980E5F" w:rsidRDefault="00980E5F">
            <w:pPr>
              <w:rPr>
                <w:rFonts w:ascii="宋体"/>
                <w:vanish/>
              </w:rPr>
            </w:pPr>
          </w:p>
        </w:tc>
        <w:tc>
          <w:tcPr>
            <w:tcW w:w="0" w:type="auto"/>
            <w:gridSpan w:val="3"/>
            <w:shd w:val="clear" w:color="auto" w:fill="auto"/>
            <w:vAlign w:val="bottom"/>
          </w:tcPr>
          <w:p w14:paraId="392C18C1" w14:textId="77777777" w:rsidR="00980E5F" w:rsidRDefault="00980E5F">
            <w:pPr>
              <w:rPr>
                <w:rFonts w:ascii="宋体"/>
                <w:vanish/>
              </w:rPr>
            </w:pPr>
          </w:p>
        </w:tc>
        <w:tc>
          <w:tcPr>
            <w:tcW w:w="0" w:type="auto"/>
            <w:gridSpan w:val="3"/>
            <w:shd w:val="clear" w:color="auto" w:fill="auto"/>
            <w:vAlign w:val="bottom"/>
          </w:tcPr>
          <w:p w14:paraId="392C18C2" w14:textId="77777777" w:rsidR="00980E5F" w:rsidRDefault="00980E5F">
            <w:pPr>
              <w:rPr>
                <w:rFonts w:ascii="宋体"/>
                <w:vanish/>
              </w:rPr>
            </w:pPr>
          </w:p>
        </w:tc>
        <w:tc>
          <w:tcPr>
            <w:tcW w:w="0" w:type="auto"/>
            <w:gridSpan w:val="3"/>
            <w:shd w:val="clear" w:color="auto" w:fill="auto"/>
            <w:vAlign w:val="bottom"/>
          </w:tcPr>
          <w:p w14:paraId="392C18C3" w14:textId="77777777" w:rsidR="00980E5F" w:rsidRDefault="00980E5F">
            <w:pPr>
              <w:rPr>
                <w:rFonts w:ascii="宋体"/>
                <w:vanish/>
              </w:rPr>
            </w:pPr>
          </w:p>
        </w:tc>
        <w:tc>
          <w:tcPr>
            <w:tcW w:w="0" w:type="auto"/>
            <w:gridSpan w:val="3"/>
            <w:shd w:val="clear" w:color="auto" w:fill="auto"/>
            <w:vAlign w:val="bottom"/>
          </w:tcPr>
          <w:p w14:paraId="392C18C4" w14:textId="77777777" w:rsidR="00980E5F" w:rsidRDefault="00980E5F">
            <w:pPr>
              <w:rPr>
                <w:rFonts w:ascii="宋体"/>
                <w:vanish/>
              </w:rPr>
            </w:pPr>
          </w:p>
        </w:tc>
        <w:tc>
          <w:tcPr>
            <w:tcW w:w="0" w:type="auto"/>
            <w:gridSpan w:val="3"/>
            <w:shd w:val="clear" w:color="auto" w:fill="auto"/>
            <w:vAlign w:val="bottom"/>
          </w:tcPr>
          <w:p w14:paraId="392C18C5" w14:textId="77777777" w:rsidR="00980E5F" w:rsidRDefault="00980E5F">
            <w:pPr>
              <w:rPr>
                <w:rFonts w:ascii="宋体"/>
                <w:vanish/>
              </w:rPr>
            </w:pPr>
          </w:p>
        </w:tc>
      </w:tr>
      <w:tr w:rsidR="00980E5F" w14:paraId="392C18CD" w14:textId="77777777">
        <w:trPr>
          <w:hidden/>
        </w:trPr>
        <w:tc>
          <w:tcPr>
            <w:tcW w:w="0" w:type="auto"/>
            <w:gridSpan w:val="3"/>
            <w:shd w:val="clear" w:color="auto" w:fill="auto"/>
            <w:vAlign w:val="bottom"/>
          </w:tcPr>
          <w:p w14:paraId="392C18C7" w14:textId="77777777" w:rsidR="00980E5F" w:rsidRDefault="00980E5F">
            <w:pPr>
              <w:rPr>
                <w:rFonts w:ascii="宋体"/>
                <w:vanish/>
              </w:rPr>
            </w:pPr>
          </w:p>
        </w:tc>
        <w:tc>
          <w:tcPr>
            <w:tcW w:w="0" w:type="auto"/>
            <w:gridSpan w:val="3"/>
            <w:shd w:val="clear" w:color="auto" w:fill="auto"/>
            <w:vAlign w:val="bottom"/>
          </w:tcPr>
          <w:p w14:paraId="392C18C8" w14:textId="77777777" w:rsidR="00980E5F" w:rsidRDefault="00980E5F">
            <w:pPr>
              <w:rPr>
                <w:rFonts w:ascii="宋体"/>
                <w:vanish/>
              </w:rPr>
            </w:pPr>
          </w:p>
        </w:tc>
        <w:tc>
          <w:tcPr>
            <w:tcW w:w="0" w:type="auto"/>
            <w:gridSpan w:val="3"/>
            <w:shd w:val="clear" w:color="auto" w:fill="auto"/>
            <w:vAlign w:val="bottom"/>
          </w:tcPr>
          <w:p w14:paraId="392C18C9" w14:textId="77777777" w:rsidR="00980E5F" w:rsidRDefault="00980E5F">
            <w:pPr>
              <w:rPr>
                <w:rFonts w:ascii="宋体"/>
                <w:vanish/>
              </w:rPr>
            </w:pPr>
          </w:p>
        </w:tc>
        <w:tc>
          <w:tcPr>
            <w:tcW w:w="0" w:type="auto"/>
            <w:gridSpan w:val="3"/>
            <w:shd w:val="clear" w:color="auto" w:fill="auto"/>
            <w:vAlign w:val="bottom"/>
          </w:tcPr>
          <w:p w14:paraId="392C18CA" w14:textId="77777777" w:rsidR="00980E5F" w:rsidRDefault="00980E5F">
            <w:pPr>
              <w:rPr>
                <w:rFonts w:ascii="宋体"/>
                <w:vanish/>
              </w:rPr>
            </w:pPr>
          </w:p>
        </w:tc>
        <w:tc>
          <w:tcPr>
            <w:tcW w:w="0" w:type="auto"/>
            <w:gridSpan w:val="3"/>
            <w:shd w:val="clear" w:color="auto" w:fill="auto"/>
            <w:vAlign w:val="bottom"/>
          </w:tcPr>
          <w:p w14:paraId="392C18CB" w14:textId="77777777" w:rsidR="00980E5F" w:rsidRDefault="00980E5F">
            <w:pPr>
              <w:rPr>
                <w:rFonts w:ascii="宋体"/>
                <w:vanish/>
              </w:rPr>
            </w:pPr>
          </w:p>
        </w:tc>
        <w:tc>
          <w:tcPr>
            <w:tcW w:w="0" w:type="auto"/>
            <w:gridSpan w:val="3"/>
            <w:shd w:val="clear" w:color="auto" w:fill="auto"/>
            <w:vAlign w:val="bottom"/>
          </w:tcPr>
          <w:p w14:paraId="392C18CC" w14:textId="77777777" w:rsidR="00980E5F" w:rsidRDefault="00980E5F">
            <w:pPr>
              <w:rPr>
                <w:rFonts w:ascii="宋体"/>
                <w:vanish/>
              </w:rPr>
            </w:pPr>
          </w:p>
        </w:tc>
      </w:tr>
      <w:tr w:rsidR="00980E5F" w14:paraId="392C18D4" w14:textId="77777777">
        <w:trPr>
          <w:hidden/>
        </w:trPr>
        <w:tc>
          <w:tcPr>
            <w:tcW w:w="0" w:type="auto"/>
            <w:gridSpan w:val="3"/>
            <w:shd w:val="clear" w:color="auto" w:fill="auto"/>
            <w:vAlign w:val="bottom"/>
          </w:tcPr>
          <w:p w14:paraId="392C18CE" w14:textId="77777777" w:rsidR="00980E5F" w:rsidRDefault="00980E5F">
            <w:pPr>
              <w:rPr>
                <w:rFonts w:ascii="宋体"/>
                <w:vanish/>
              </w:rPr>
            </w:pPr>
          </w:p>
        </w:tc>
        <w:tc>
          <w:tcPr>
            <w:tcW w:w="0" w:type="auto"/>
            <w:gridSpan w:val="3"/>
            <w:shd w:val="clear" w:color="auto" w:fill="auto"/>
            <w:vAlign w:val="bottom"/>
          </w:tcPr>
          <w:p w14:paraId="392C18CF" w14:textId="77777777" w:rsidR="00980E5F" w:rsidRDefault="00980E5F">
            <w:pPr>
              <w:rPr>
                <w:rFonts w:ascii="宋体"/>
                <w:vanish/>
              </w:rPr>
            </w:pPr>
          </w:p>
        </w:tc>
        <w:tc>
          <w:tcPr>
            <w:tcW w:w="0" w:type="auto"/>
            <w:gridSpan w:val="3"/>
            <w:shd w:val="clear" w:color="auto" w:fill="auto"/>
            <w:vAlign w:val="bottom"/>
          </w:tcPr>
          <w:p w14:paraId="392C18D0" w14:textId="77777777" w:rsidR="00980E5F" w:rsidRDefault="00980E5F">
            <w:pPr>
              <w:rPr>
                <w:rFonts w:ascii="宋体"/>
                <w:vanish/>
              </w:rPr>
            </w:pPr>
          </w:p>
        </w:tc>
        <w:tc>
          <w:tcPr>
            <w:tcW w:w="0" w:type="auto"/>
            <w:gridSpan w:val="3"/>
            <w:shd w:val="clear" w:color="auto" w:fill="auto"/>
            <w:vAlign w:val="bottom"/>
          </w:tcPr>
          <w:p w14:paraId="392C18D1" w14:textId="77777777" w:rsidR="00980E5F" w:rsidRDefault="00980E5F">
            <w:pPr>
              <w:rPr>
                <w:rFonts w:ascii="宋体"/>
                <w:vanish/>
              </w:rPr>
            </w:pPr>
          </w:p>
        </w:tc>
        <w:tc>
          <w:tcPr>
            <w:tcW w:w="0" w:type="auto"/>
            <w:gridSpan w:val="3"/>
            <w:shd w:val="clear" w:color="auto" w:fill="auto"/>
            <w:vAlign w:val="bottom"/>
          </w:tcPr>
          <w:p w14:paraId="392C18D2" w14:textId="77777777" w:rsidR="00980E5F" w:rsidRDefault="00980E5F">
            <w:pPr>
              <w:rPr>
                <w:rFonts w:ascii="宋体"/>
                <w:vanish/>
              </w:rPr>
            </w:pPr>
          </w:p>
        </w:tc>
        <w:tc>
          <w:tcPr>
            <w:tcW w:w="0" w:type="auto"/>
            <w:gridSpan w:val="3"/>
            <w:shd w:val="clear" w:color="auto" w:fill="auto"/>
            <w:vAlign w:val="bottom"/>
          </w:tcPr>
          <w:p w14:paraId="392C18D3" w14:textId="77777777" w:rsidR="00980E5F" w:rsidRDefault="00980E5F">
            <w:pPr>
              <w:rPr>
                <w:rFonts w:ascii="宋体"/>
                <w:vanish/>
              </w:rPr>
            </w:pPr>
          </w:p>
        </w:tc>
      </w:tr>
      <w:tr w:rsidR="00980E5F" w14:paraId="392C18DB" w14:textId="77777777">
        <w:trPr>
          <w:hidden/>
        </w:trPr>
        <w:tc>
          <w:tcPr>
            <w:tcW w:w="0" w:type="auto"/>
            <w:gridSpan w:val="3"/>
            <w:shd w:val="clear" w:color="auto" w:fill="auto"/>
            <w:vAlign w:val="bottom"/>
          </w:tcPr>
          <w:p w14:paraId="392C18D5" w14:textId="77777777" w:rsidR="00980E5F" w:rsidRDefault="00980E5F">
            <w:pPr>
              <w:rPr>
                <w:rFonts w:ascii="宋体"/>
                <w:vanish/>
              </w:rPr>
            </w:pPr>
          </w:p>
        </w:tc>
        <w:tc>
          <w:tcPr>
            <w:tcW w:w="0" w:type="auto"/>
            <w:gridSpan w:val="3"/>
            <w:shd w:val="clear" w:color="auto" w:fill="auto"/>
            <w:vAlign w:val="bottom"/>
          </w:tcPr>
          <w:p w14:paraId="392C18D6" w14:textId="77777777" w:rsidR="00980E5F" w:rsidRDefault="00980E5F">
            <w:pPr>
              <w:rPr>
                <w:rFonts w:ascii="宋体"/>
                <w:vanish/>
              </w:rPr>
            </w:pPr>
          </w:p>
        </w:tc>
        <w:tc>
          <w:tcPr>
            <w:tcW w:w="0" w:type="auto"/>
            <w:gridSpan w:val="3"/>
            <w:shd w:val="clear" w:color="auto" w:fill="auto"/>
            <w:vAlign w:val="bottom"/>
          </w:tcPr>
          <w:p w14:paraId="392C18D7" w14:textId="77777777" w:rsidR="00980E5F" w:rsidRDefault="00980E5F">
            <w:pPr>
              <w:rPr>
                <w:rFonts w:ascii="宋体"/>
                <w:vanish/>
              </w:rPr>
            </w:pPr>
          </w:p>
        </w:tc>
        <w:tc>
          <w:tcPr>
            <w:tcW w:w="0" w:type="auto"/>
            <w:gridSpan w:val="3"/>
            <w:shd w:val="clear" w:color="auto" w:fill="auto"/>
            <w:vAlign w:val="bottom"/>
          </w:tcPr>
          <w:p w14:paraId="392C18D8" w14:textId="77777777" w:rsidR="00980E5F" w:rsidRDefault="00980E5F">
            <w:pPr>
              <w:rPr>
                <w:rFonts w:ascii="宋体"/>
                <w:vanish/>
              </w:rPr>
            </w:pPr>
          </w:p>
        </w:tc>
        <w:tc>
          <w:tcPr>
            <w:tcW w:w="0" w:type="auto"/>
            <w:gridSpan w:val="3"/>
            <w:shd w:val="clear" w:color="auto" w:fill="auto"/>
            <w:vAlign w:val="bottom"/>
          </w:tcPr>
          <w:p w14:paraId="392C18D9" w14:textId="77777777" w:rsidR="00980E5F" w:rsidRDefault="00980E5F">
            <w:pPr>
              <w:rPr>
                <w:rFonts w:ascii="宋体"/>
                <w:vanish/>
              </w:rPr>
            </w:pPr>
          </w:p>
        </w:tc>
        <w:tc>
          <w:tcPr>
            <w:tcW w:w="0" w:type="auto"/>
            <w:gridSpan w:val="3"/>
            <w:shd w:val="clear" w:color="auto" w:fill="auto"/>
            <w:vAlign w:val="bottom"/>
          </w:tcPr>
          <w:p w14:paraId="392C18DA" w14:textId="77777777" w:rsidR="00980E5F" w:rsidRDefault="00980E5F">
            <w:pPr>
              <w:rPr>
                <w:rFonts w:ascii="宋体"/>
                <w:vanish/>
              </w:rPr>
            </w:pPr>
          </w:p>
        </w:tc>
      </w:tr>
      <w:tr w:rsidR="00980E5F" w14:paraId="392C18E2" w14:textId="77777777">
        <w:trPr>
          <w:hidden/>
        </w:trPr>
        <w:tc>
          <w:tcPr>
            <w:tcW w:w="0" w:type="auto"/>
            <w:gridSpan w:val="3"/>
            <w:shd w:val="clear" w:color="auto" w:fill="auto"/>
            <w:vAlign w:val="bottom"/>
          </w:tcPr>
          <w:p w14:paraId="392C18DC" w14:textId="77777777" w:rsidR="00980E5F" w:rsidRDefault="00980E5F">
            <w:pPr>
              <w:rPr>
                <w:rFonts w:ascii="宋体"/>
                <w:vanish/>
              </w:rPr>
            </w:pPr>
          </w:p>
        </w:tc>
        <w:tc>
          <w:tcPr>
            <w:tcW w:w="0" w:type="auto"/>
            <w:gridSpan w:val="3"/>
            <w:shd w:val="clear" w:color="auto" w:fill="auto"/>
            <w:vAlign w:val="bottom"/>
          </w:tcPr>
          <w:p w14:paraId="392C18DD" w14:textId="77777777" w:rsidR="00980E5F" w:rsidRDefault="00980E5F">
            <w:pPr>
              <w:rPr>
                <w:rFonts w:ascii="宋体"/>
                <w:vanish/>
              </w:rPr>
            </w:pPr>
          </w:p>
        </w:tc>
        <w:tc>
          <w:tcPr>
            <w:tcW w:w="0" w:type="auto"/>
            <w:gridSpan w:val="3"/>
            <w:shd w:val="clear" w:color="auto" w:fill="auto"/>
            <w:vAlign w:val="bottom"/>
          </w:tcPr>
          <w:p w14:paraId="392C18DE" w14:textId="77777777" w:rsidR="00980E5F" w:rsidRDefault="00980E5F">
            <w:pPr>
              <w:rPr>
                <w:rFonts w:ascii="宋体"/>
                <w:vanish/>
              </w:rPr>
            </w:pPr>
          </w:p>
        </w:tc>
        <w:tc>
          <w:tcPr>
            <w:tcW w:w="0" w:type="auto"/>
            <w:gridSpan w:val="3"/>
            <w:shd w:val="clear" w:color="auto" w:fill="auto"/>
            <w:vAlign w:val="bottom"/>
          </w:tcPr>
          <w:p w14:paraId="392C18DF" w14:textId="77777777" w:rsidR="00980E5F" w:rsidRDefault="00980E5F">
            <w:pPr>
              <w:rPr>
                <w:rFonts w:ascii="宋体"/>
                <w:vanish/>
              </w:rPr>
            </w:pPr>
          </w:p>
        </w:tc>
        <w:tc>
          <w:tcPr>
            <w:tcW w:w="0" w:type="auto"/>
            <w:gridSpan w:val="3"/>
            <w:shd w:val="clear" w:color="auto" w:fill="auto"/>
            <w:vAlign w:val="bottom"/>
          </w:tcPr>
          <w:p w14:paraId="392C18E0" w14:textId="77777777" w:rsidR="00980E5F" w:rsidRDefault="00980E5F">
            <w:pPr>
              <w:rPr>
                <w:rFonts w:ascii="宋体"/>
                <w:vanish/>
              </w:rPr>
            </w:pPr>
          </w:p>
        </w:tc>
        <w:tc>
          <w:tcPr>
            <w:tcW w:w="0" w:type="auto"/>
            <w:gridSpan w:val="3"/>
            <w:shd w:val="clear" w:color="auto" w:fill="auto"/>
            <w:vAlign w:val="bottom"/>
          </w:tcPr>
          <w:p w14:paraId="392C18E1" w14:textId="77777777" w:rsidR="00980E5F" w:rsidRDefault="00980E5F">
            <w:pPr>
              <w:rPr>
                <w:rFonts w:ascii="宋体"/>
                <w:vanish/>
              </w:rPr>
            </w:pPr>
          </w:p>
        </w:tc>
      </w:tr>
      <w:tr w:rsidR="00980E5F" w14:paraId="392C18E9" w14:textId="77777777">
        <w:trPr>
          <w:hidden/>
        </w:trPr>
        <w:tc>
          <w:tcPr>
            <w:tcW w:w="0" w:type="auto"/>
            <w:gridSpan w:val="3"/>
            <w:shd w:val="clear" w:color="auto" w:fill="auto"/>
            <w:vAlign w:val="bottom"/>
          </w:tcPr>
          <w:p w14:paraId="392C18E3" w14:textId="77777777" w:rsidR="00980E5F" w:rsidRDefault="00980E5F">
            <w:pPr>
              <w:rPr>
                <w:rFonts w:ascii="宋体"/>
                <w:vanish/>
              </w:rPr>
            </w:pPr>
          </w:p>
        </w:tc>
        <w:tc>
          <w:tcPr>
            <w:tcW w:w="0" w:type="auto"/>
            <w:gridSpan w:val="3"/>
            <w:shd w:val="clear" w:color="auto" w:fill="auto"/>
            <w:vAlign w:val="bottom"/>
          </w:tcPr>
          <w:p w14:paraId="392C18E4" w14:textId="77777777" w:rsidR="00980E5F" w:rsidRDefault="00980E5F">
            <w:pPr>
              <w:rPr>
                <w:rFonts w:ascii="宋体"/>
                <w:vanish/>
              </w:rPr>
            </w:pPr>
          </w:p>
        </w:tc>
        <w:tc>
          <w:tcPr>
            <w:tcW w:w="0" w:type="auto"/>
            <w:gridSpan w:val="3"/>
            <w:shd w:val="clear" w:color="auto" w:fill="auto"/>
            <w:vAlign w:val="bottom"/>
          </w:tcPr>
          <w:p w14:paraId="392C18E5" w14:textId="77777777" w:rsidR="00980E5F" w:rsidRDefault="00980E5F">
            <w:pPr>
              <w:rPr>
                <w:rFonts w:ascii="宋体"/>
                <w:vanish/>
              </w:rPr>
            </w:pPr>
          </w:p>
        </w:tc>
        <w:tc>
          <w:tcPr>
            <w:tcW w:w="0" w:type="auto"/>
            <w:gridSpan w:val="3"/>
            <w:shd w:val="clear" w:color="auto" w:fill="auto"/>
            <w:vAlign w:val="bottom"/>
          </w:tcPr>
          <w:p w14:paraId="392C18E6" w14:textId="77777777" w:rsidR="00980E5F" w:rsidRDefault="00980E5F">
            <w:pPr>
              <w:rPr>
                <w:rFonts w:ascii="宋体"/>
                <w:vanish/>
              </w:rPr>
            </w:pPr>
          </w:p>
        </w:tc>
        <w:tc>
          <w:tcPr>
            <w:tcW w:w="0" w:type="auto"/>
            <w:gridSpan w:val="3"/>
            <w:shd w:val="clear" w:color="auto" w:fill="auto"/>
            <w:vAlign w:val="bottom"/>
          </w:tcPr>
          <w:p w14:paraId="392C18E7" w14:textId="77777777" w:rsidR="00980E5F" w:rsidRDefault="00980E5F">
            <w:pPr>
              <w:rPr>
                <w:rFonts w:ascii="宋体"/>
                <w:vanish/>
              </w:rPr>
            </w:pPr>
          </w:p>
        </w:tc>
        <w:tc>
          <w:tcPr>
            <w:tcW w:w="0" w:type="auto"/>
            <w:gridSpan w:val="3"/>
            <w:shd w:val="clear" w:color="auto" w:fill="auto"/>
            <w:vAlign w:val="bottom"/>
          </w:tcPr>
          <w:p w14:paraId="392C18E8" w14:textId="77777777" w:rsidR="00980E5F" w:rsidRDefault="00980E5F">
            <w:pPr>
              <w:rPr>
                <w:rFonts w:ascii="宋体"/>
                <w:vanish/>
              </w:rPr>
            </w:pPr>
          </w:p>
        </w:tc>
      </w:tr>
      <w:tr w:rsidR="00980E5F" w14:paraId="392C18F0" w14:textId="77777777">
        <w:trPr>
          <w:hidden/>
        </w:trPr>
        <w:tc>
          <w:tcPr>
            <w:tcW w:w="0" w:type="auto"/>
            <w:gridSpan w:val="3"/>
            <w:shd w:val="clear" w:color="auto" w:fill="auto"/>
            <w:vAlign w:val="bottom"/>
          </w:tcPr>
          <w:p w14:paraId="392C18EA" w14:textId="77777777" w:rsidR="00980E5F" w:rsidRDefault="00980E5F">
            <w:pPr>
              <w:rPr>
                <w:rFonts w:ascii="宋体"/>
                <w:vanish/>
              </w:rPr>
            </w:pPr>
          </w:p>
        </w:tc>
        <w:tc>
          <w:tcPr>
            <w:tcW w:w="0" w:type="auto"/>
            <w:gridSpan w:val="3"/>
            <w:shd w:val="clear" w:color="auto" w:fill="auto"/>
            <w:vAlign w:val="bottom"/>
          </w:tcPr>
          <w:p w14:paraId="392C18EB" w14:textId="77777777" w:rsidR="00980E5F" w:rsidRDefault="00980E5F">
            <w:pPr>
              <w:rPr>
                <w:rFonts w:ascii="宋体"/>
                <w:vanish/>
              </w:rPr>
            </w:pPr>
          </w:p>
        </w:tc>
        <w:tc>
          <w:tcPr>
            <w:tcW w:w="0" w:type="auto"/>
            <w:gridSpan w:val="3"/>
            <w:shd w:val="clear" w:color="auto" w:fill="auto"/>
            <w:vAlign w:val="bottom"/>
          </w:tcPr>
          <w:p w14:paraId="392C18EC" w14:textId="77777777" w:rsidR="00980E5F" w:rsidRDefault="00980E5F">
            <w:pPr>
              <w:rPr>
                <w:rFonts w:ascii="宋体"/>
                <w:vanish/>
              </w:rPr>
            </w:pPr>
          </w:p>
        </w:tc>
        <w:tc>
          <w:tcPr>
            <w:tcW w:w="0" w:type="auto"/>
            <w:gridSpan w:val="3"/>
            <w:shd w:val="clear" w:color="auto" w:fill="auto"/>
            <w:vAlign w:val="bottom"/>
          </w:tcPr>
          <w:p w14:paraId="392C18ED" w14:textId="77777777" w:rsidR="00980E5F" w:rsidRDefault="00980E5F">
            <w:pPr>
              <w:rPr>
                <w:rFonts w:ascii="宋体"/>
                <w:vanish/>
              </w:rPr>
            </w:pPr>
          </w:p>
        </w:tc>
        <w:tc>
          <w:tcPr>
            <w:tcW w:w="0" w:type="auto"/>
            <w:gridSpan w:val="3"/>
            <w:shd w:val="clear" w:color="auto" w:fill="auto"/>
            <w:vAlign w:val="bottom"/>
          </w:tcPr>
          <w:p w14:paraId="392C18EE" w14:textId="77777777" w:rsidR="00980E5F" w:rsidRDefault="00980E5F">
            <w:pPr>
              <w:rPr>
                <w:rFonts w:ascii="宋体"/>
                <w:vanish/>
              </w:rPr>
            </w:pPr>
          </w:p>
        </w:tc>
        <w:tc>
          <w:tcPr>
            <w:tcW w:w="0" w:type="auto"/>
            <w:gridSpan w:val="3"/>
            <w:shd w:val="clear" w:color="auto" w:fill="auto"/>
            <w:vAlign w:val="bottom"/>
          </w:tcPr>
          <w:p w14:paraId="392C18EF" w14:textId="77777777" w:rsidR="00980E5F" w:rsidRDefault="00980E5F">
            <w:pPr>
              <w:rPr>
                <w:rFonts w:ascii="宋体"/>
                <w:vanish/>
              </w:rPr>
            </w:pPr>
          </w:p>
        </w:tc>
      </w:tr>
      <w:tr w:rsidR="00980E5F" w14:paraId="392C18F7" w14:textId="77777777">
        <w:trPr>
          <w:hidden/>
        </w:trPr>
        <w:tc>
          <w:tcPr>
            <w:tcW w:w="0" w:type="auto"/>
            <w:gridSpan w:val="3"/>
            <w:shd w:val="clear" w:color="auto" w:fill="auto"/>
            <w:vAlign w:val="bottom"/>
          </w:tcPr>
          <w:p w14:paraId="392C18F1" w14:textId="77777777" w:rsidR="00980E5F" w:rsidRDefault="00980E5F">
            <w:pPr>
              <w:rPr>
                <w:rFonts w:ascii="宋体"/>
                <w:vanish/>
              </w:rPr>
            </w:pPr>
          </w:p>
        </w:tc>
        <w:tc>
          <w:tcPr>
            <w:tcW w:w="0" w:type="auto"/>
            <w:gridSpan w:val="3"/>
            <w:shd w:val="clear" w:color="auto" w:fill="auto"/>
            <w:vAlign w:val="bottom"/>
          </w:tcPr>
          <w:p w14:paraId="392C18F2" w14:textId="77777777" w:rsidR="00980E5F" w:rsidRDefault="00980E5F">
            <w:pPr>
              <w:rPr>
                <w:rFonts w:ascii="宋体"/>
                <w:vanish/>
              </w:rPr>
            </w:pPr>
          </w:p>
        </w:tc>
        <w:tc>
          <w:tcPr>
            <w:tcW w:w="0" w:type="auto"/>
            <w:gridSpan w:val="3"/>
            <w:shd w:val="clear" w:color="auto" w:fill="auto"/>
            <w:vAlign w:val="bottom"/>
          </w:tcPr>
          <w:p w14:paraId="392C18F3" w14:textId="77777777" w:rsidR="00980E5F" w:rsidRDefault="00980E5F">
            <w:pPr>
              <w:rPr>
                <w:rFonts w:ascii="宋体"/>
                <w:vanish/>
              </w:rPr>
            </w:pPr>
          </w:p>
        </w:tc>
        <w:tc>
          <w:tcPr>
            <w:tcW w:w="0" w:type="auto"/>
            <w:gridSpan w:val="3"/>
            <w:shd w:val="clear" w:color="auto" w:fill="auto"/>
            <w:vAlign w:val="bottom"/>
          </w:tcPr>
          <w:p w14:paraId="392C18F4" w14:textId="77777777" w:rsidR="00980E5F" w:rsidRDefault="00980E5F">
            <w:pPr>
              <w:rPr>
                <w:rFonts w:ascii="宋体"/>
                <w:vanish/>
              </w:rPr>
            </w:pPr>
          </w:p>
        </w:tc>
        <w:tc>
          <w:tcPr>
            <w:tcW w:w="0" w:type="auto"/>
            <w:gridSpan w:val="3"/>
            <w:shd w:val="clear" w:color="auto" w:fill="auto"/>
            <w:vAlign w:val="bottom"/>
          </w:tcPr>
          <w:p w14:paraId="392C18F5" w14:textId="77777777" w:rsidR="00980E5F" w:rsidRDefault="00980E5F">
            <w:pPr>
              <w:rPr>
                <w:rFonts w:ascii="宋体"/>
                <w:vanish/>
              </w:rPr>
            </w:pPr>
          </w:p>
        </w:tc>
        <w:tc>
          <w:tcPr>
            <w:tcW w:w="0" w:type="auto"/>
            <w:gridSpan w:val="3"/>
            <w:shd w:val="clear" w:color="auto" w:fill="auto"/>
            <w:vAlign w:val="bottom"/>
          </w:tcPr>
          <w:p w14:paraId="392C18F6" w14:textId="77777777" w:rsidR="00980E5F" w:rsidRDefault="00980E5F">
            <w:pPr>
              <w:rPr>
                <w:rFonts w:ascii="宋体"/>
                <w:vanish/>
              </w:rPr>
            </w:pPr>
          </w:p>
        </w:tc>
      </w:tr>
      <w:tr w:rsidR="00980E5F" w14:paraId="392C18FE" w14:textId="77777777">
        <w:trPr>
          <w:hidden/>
        </w:trPr>
        <w:tc>
          <w:tcPr>
            <w:tcW w:w="0" w:type="auto"/>
            <w:gridSpan w:val="3"/>
            <w:shd w:val="clear" w:color="auto" w:fill="auto"/>
            <w:vAlign w:val="bottom"/>
          </w:tcPr>
          <w:p w14:paraId="392C18F8" w14:textId="77777777" w:rsidR="00980E5F" w:rsidRDefault="00980E5F">
            <w:pPr>
              <w:rPr>
                <w:rFonts w:ascii="宋体"/>
                <w:vanish/>
              </w:rPr>
            </w:pPr>
          </w:p>
        </w:tc>
        <w:tc>
          <w:tcPr>
            <w:tcW w:w="0" w:type="auto"/>
            <w:gridSpan w:val="3"/>
            <w:shd w:val="clear" w:color="auto" w:fill="auto"/>
            <w:vAlign w:val="bottom"/>
          </w:tcPr>
          <w:p w14:paraId="392C18F9" w14:textId="77777777" w:rsidR="00980E5F" w:rsidRDefault="00980E5F">
            <w:pPr>
              <w:rPr>
                <w:rFonts w:ascii="宋体"/>
                <w:vanish/>
              </w:rPr>
            </w:pPr>
          </w:p>
        </w:tc>
        <w:tc>
          <w:tcPr>
            <w:tcW w:w="0" w:type="auto"/>
            <w:gridSpan w:val="3"/>
            <w:shd w:val="clear" w:color="auto" w:fill="auto"/>
            <w:vAlign w:val="bottom"/>
          </w:tcPr>
          <w:p w14:paraId="392C18FA" w14:textId="77777777" w:rsidR="00980E5F" w:rsidRDefault="00980E5F">
            <w:pPr>
              <w:rPr>
                <w:rFonts w:ascii="宋体"/>
                <w:vanish/>
              </w:rPr>
            </w:pPr>
          </w:p>
        </w:tc>
        <w:tc>
          <w:tcPr>
            <w:tcW w:w="0" w:type="auto"/>
            <w:gridSpan w:val="3"/>
            <w:shd w:val="clear" w:color="auto" w:fill="auto"/>
            <w:vAlign w:val="bottom"/>
          </w:tcPr>
          <w:p w14:paraId="392C18FB" w14:textId="77777777" w:rsidR="00980E5F" w:rsidRDefault="00980E5F">
            <w:pPr>
              <w:rPr>
                <w:rFonts w:ascii="宋体"/>
                <w:vanish/>
              </w:rPr>
            </w:pPr>
          </w:p>
        </w:tc>
        <w:tc>
          <w:tcPr>
            <w:tcW w:w="0" w:type="auto"/>
            <w:gridSpan w:val="3"/>
            <w:shd w:val="clear" w:color="auto" w:fill="auto"/>
            <w:vAlign w:val="bottom"/>
          </w:tcPr>
          <w:p w14:paraId="392C18FC" w14:textId="77777777" w:rsidR="00980E5F" w:rsidRDefault="00980E5F">
            <w:pPr>
              <w:rPr>
                <w:rFonts w:ascii="宋体"/>
                <w:vanish/>
              </w:rPr>
            </w:pPr>
          </w:p>
        </w:tc>
        <w:tc>
          <w:tcPr>
            <w:tcW w:w="0" w:type="auto"/>
            <w:gridSpan w:val="3"/>
            <w:shd w:val="clear" w:color="auto" w:fill="auto"/>
            <w:vAlign w:val="bottom"/>
          </w:tcPr>
          <w:p w14:paraId="392C18FD" w14:textId="77777777" w:rsidR="00980E5F" w:rsidRDefault="00980E5F">
            <w:pPr>
              <w:rPr>
                <w:rFonts w:ascii="宋体"/>
                <w:vanish/>
              </w:rPr>
            </w:pPr>
          </w:p>
        </w:tc>
      </w:tr>
      <w:tr w:rsidR="00980E5F" w14:paraId="392C1905" w14:textId="77777777">
        <w:trPr>
          <w:hidden/>
        </w:trPr>
        <w:tc>
          <w:tcPr>
            <w:tcW w:w="0" w:type="auto"/>
            <w:gridSpan w:val="3"/>
            <w:shd w:val="clear" w:color="auto" w:fill="auto"/>
            <w:vAlign w:val="bottom"/>
          </w:tcPr>
          <w:p w14:paraId="392C18FF" w14:textId="77777777" w:rsidR="00980E5F" w:rsidRDefault="00980E5F">
            <w:pPr>
              <w:rPr>
                <w:rFonts w:ascii="宋体"/>
                <w:vanish/>
              </w:rPr>
            </w:pPr>
          </w:p>
        </w:tc>
        <w:tc>
          <w:tcPr>
            <w:tcW w:w="0" w:type="auto"/>
            <w:gridSpan w:val="3"/>
            <w:shd w:val="clear" w:color="auto" w:fill="auto"/>
            <w:vAlign w:val="bottom"/>
          </w:tcPr>
          <w:p w14:paraId="392C1900" w14:textId="77777777" w:rsidR="00980E5F" w:rsidRDefault="00980E5F">
            <w:pPr>
              <w:rPr>
                <w:rFonts w:ascii="宋体"/>
                <w:vanish/>
              </w:rPr>
            </w:pPr>
          </w:p>
        </w:tc>
        <w:tc>
          <w:tcPr>
            <w:tcW w:w="0" w:type="auto"/>
            <w:gridSpan w:val="3"/>
            <w:shd w:val="clear" w:color="auto" w:fill="auto"/>
            <w:vAlign w:val="bottom"/>
          </w:tcPr>
          <w:p w14:paraId="392C1901" w14:textId="77777777" w:rsidR="00980E5F" w:rsidRDefault="00980E5F">
            <w:pPr>
              <w:rPr>
                <w:rFonts w:ascii="宋体"/>
                <w:vanish/>
              </w:rPr>
            </w:pPr>
          </w:p>
        </w:tc>
        <w:tc>
          <w:tcPr>
            <w:tcW w:w="0" w:type="auto"/>
            <w:gridSpan w:val="3"/>
            <w:shd w:val="clear" w:color="auto" w:fill="auto"/>
            <w:vAlign w:val="bottom"/>
          </w:tcPr>
          <w:p w14:paraId="392C1902" w14:textId="77777777" w:rsidR="00980E5F" w:rsidRDefault="00980E5F">
            <w:pPr>
              <w:rPr>
                <w:rFonts w:ascii="宋体"/>
                <w:vanish/>
              </w:rPr>
            </w:pPr>
          </w:p>
        </w:tc>
        <w:tc>
          <w:tcPr>
            <w:tcW w:w="0" w:type="auto"/>
            <w:gridSpan w:val="3"/>
            <w:shd w:val="clear" w:color="auto" w:fill="auto"/>
            <w:vAlign w:val="bottom"/>
          </w:tcPr>
          <w:p w14:paraId="392C1903" w14:textId="77777777" w:rsidR="00980E5F" w:rsidRDefault="00980E5F">
            <w:pPr>
              <w:rPr>
                <w:rFonts w:ascii="宋体"/>
                <w:vanish/>
              </w:rPr>
            </w:pPr>
          </w:p>
        </w:tc>
        <w:tc>
          <w:tcPr>
            <w:tcW w:w="0" w:type="auto"/>
            <w:gridSpan w:val="3"/>
            <w:shd w:val="clear" w:color="auto" w:fill="auto"/>
            <w:vAlign w:val="bottom"/>
          </w:tcPr>
          <w:p w14:paraId="392C1904" w14:textId="77777777" w:rsidR="00980E5F" w:rsidRDefault="00980E5F">
            <w:pPr>
              <w:rPr>
                <w:rFonts w:ascii="宋体"/>
                <w:vanish/>
              </w:rPr>
            </w:pPr>
          </w:p>
        </w:tc>
      </w:tr>
    </w:tbl>
    <w:p w14:paraId="392C1906"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980E5F" w14:paraId="392C1912" w14:textId="77777777">
        <w:tc>
          <w:tcPr>
            <w:tcW w:w="50" w:type="pct"/>
            <w:shd w:val="clear" w:color="auto" w:fill="auto"/>
            <w:vAlign w:val="bottom"/>
          </w:tcPr>
          <w:p w14:paraId="392C1907" w14:textId="77777777" w:rsidR="00980E5F" w:rsidRDefault="00980E5F">
            <w:pPr>
              <w:rPr>
                <w:rFonts w:ascii="宋体"/>
              </w:rPr>
            </w:pPr>
          </w:p>
        </w:tc>
        <w:tc>
          <w:tcPr>
            <w:tcW w:w="2374" w:type="pct"/>
            <w:shd w:val="clear" w:color="auto" w:fill="auto"/>
            <w:vAlign w:val="bottom"/>
          </w:tcPr>
          <w:p w14:paraId="392C1908" w14:textId="77777777" w:rsidR="00980E5F" w:rsidRDefault="00980E5F">
            <w:pPr>
              <w:rPr>
                <w:rFonts w:ascii="宋体"/>
              </w:rPr>
            </w:pPr>
          </w:p>
        </w:tc>
        <w:tc>
          <w:tcPr>
            <w:tcW w:w="5" w:type="pct"/>
            <w:shd w:val="clear" w:color="auto" w:fill="auto"/>
            <w:vAlign w:val="bottom"/>
          </w:tcPr>
          <w:p w14:paraId="392C1909" w14:textId="77777777" w:rsidR="00980E5F" w:rsidRDefault="00980E5F">
            <w:pPr>
              <w:rPr>
                <w:rFonts w:ascii="宋体"/>
              </w:rPr>
            </w:pPr>
          </w:p>
        </w:tc>
        <w:tc>
          <w:tcPr>
            <w:tcW w:w="50" w:type="pct"/>
            <w:shd w:val="clear" w:color="auto" w:fill="auto"/>
            <w:vAlign w:val="bottom"/>
          </w:tcPr>
          <w:p w14:paraId="392C190A" w14:textId="77777777" w:rsidR="00980E5F" w:rsidRDefault="00980E5F">
            <w:pPr>
              <w:rPr>
                <w:rFonts w:ascii="宋体"/>
              </w:rPr>
            </w:pPr>
          </w:p>
        </w:tc>
        <w:tc>
          <w:tcPr>
            <w:tcW w:w="1010" w:type="pct"/>
            <w:shd w:val="clear" w:color="auto" w:fill="auto"/>
            <w:vAlign w:val="bottom"/>
          </w:tcPr>
          <w:p w14:paraId="392C190B" w14:textId="77777777" w:rsidR="00980E5F" w:rsidRDefault="00980E5F">
            <w:pPr>
              <w:rPr>
                <w:rFonts w:ascii="宋体"/>
              </w:rPr>
            </w:pPr>
          </w:p>
        </w:tc>
        <w:tc>
          <w:tcPr>
            <w:tcW w:w="5" w:type="pct"/>
            <w:shd w:val="clear" w:color="auto" w:fill="auto"/>
            <w:vAlign w:val="bottom"/>
          </w:tcPr>
          <w:p w14:paraId="392C190C" w14:textId="77777777" w:rsidR="00980E5F" w:rsidRDefault="00980E5F">
            <w:pPr>
              <w:rPr>
                <w:rFonts w:ascii="宋体"/>
              </w:rPr>
            </w:pPr>
          </w:p>
        </w:tc>
        <w:tc>
          <w:tcPr>
            <w:tcW w:w="50" w:type="pct"/>
            <w:shd w:val="clear" w:color="auto" w:fill="auto"/>
            <w:vAlign w:val="bottom"/>
          </w:tcPr>
          <w:p w14:paraId="392C190D" w14:textId="77777777" w:rsidR="00980E5F" w:rsidRDefault="00980E5F">
            <w:pPr>
              <w:rPr>
                <w:rFonts w:ascii="宋体"/>
              </w:rPr>
            </w:pPr>
          </w:p>
        </w:tc>
        <w:tc>
          <w:tcPr>
            <w:tcW w:w="1449" w:type="pct"/>
            <w:shd w:val="clear" w:color="auto" w:fill="auto"/>
            <w:vAlign w:val="bottom"/>
          </w:tcPr>
          <w:p w14:paraId="392C190E" w14:textId="77777777" w:rsidR="00980E5F" w:rsidRDefault="00980E5F">
            <w:pPr>
              <w:rPr>
                <w:rFonts w:ascii="宋体"/>
              </w:rPr>
            </w:pPr>
          </w:p>
        </w:tc>
        <w:tc>
          <w:tcPr>
            <w:tcW w:w="5" w:type="pct"/>
            <w:shd w:val="clear" w:color="auto" w:fill="auto"/>
            <w:vAlign w:val="bottom"/>
          </w:tcPr>
          <w:p w14:paraId="392C190F" w14:textId="77777777" w:rsidR="00980E5F" w:rsidRDefault="00980E5F">
            <w:pPr>
              <w:rPr>
                <w:rFonts w:ascii="宋体"/>
              </w:rPr>
            </w:pPr>
          </w:p>
        </w:tc>
        <w:tc>
          <w:tcPr>
            <w:tcW w:w="0" w:type="auto"/>
            <w:shd w:val="clear" w:color="auto" w:fill="auto"/>
            <w:vAlign w:val="bottom"/>
          </w:tcPr>
          <w:p w14:paraId="392C1910" w14:textId="77777777" w:rsidR="00980E5F" w:rsidRDefault="00980E5F">
            <w:pPr>
              <w:rPr>
                <w:rFonts w:ascii="宋体"/>
                <w:vanish/>
              </w:rPr>
            </w:pPr>
          </w:p>
        </w:tc>
        <w:tc>
          <w:tcPr>
            <w:tcW w:w="0" w:type="auto"/>
            <w:shd w:val="clear" w:color="auto" w:fill="auto"/>
            <w:vAlign w:val="bottom"/>
          </w:tcPr>
          <w:p w14:paraId="392C1911" w14:textId="77777777" w:rsidR="00980E5F" w:rsidRDefault="00980E5F">
            <w:pPr>
              <w:rPr>
                <w:rFonts w:ascii="宋体"/>
                <w:vanish/>
              </w:rPr>
            </w:pPr>
          </w:p>
        </w:tc>
      </w:tr>
      <w:tr w:rsidR="00980E5F" w14:paraId="392C191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91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91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915" w14:textId="77777777" w:rsidR="00980E5F" w:rsidRDefault="00980E5F">
            <w:pPr>
              <w:rPr>
                <w:rFonts w:ascii="宋体"/>
              </w:rPr>
            </w:pPr>
          </w:p>
        </w:tc>
        <w:tc>
          <w:tcPr>
            <w:tcW w:w="0" w:type="auto"/>
            <w:shd w:val="clear" w:color="auto" w:fill="auto"/>
            <w:vAlign w:val="bottom"/>
          </w:tcPr>
          <w:p w14:paraId="392C1916" w14:textId="77777777" w:rsidR="00980E5F" w:rsidRDefault="00980E5F">
            <w:pPr>
              <w:rPr>
                <w:rFonts w:ascii="宋体"/>
                <w:vanish/>
              </w:rPr>
            </w:pPr>
          </w:p>
        </w:tc>
        <w:tc>
          <w:tcPr>
            <w:tcW w:w="0" w:type="auto"/>
            <w:shd w:val="clear" w:color="auto" w:fill="auto"/>
            <w:vAlign w:val="bottom"/>
          </w:tcPr>
          <w:p w14:paraId="392C1917" w14:textId="77777777" w:rsidR="00980E5F" w:rsidRDefault="00980E5F">
            <w:pPr>
              <w:rPr>
                <w:rFonts w:ascii="宋体"/>
                <w:vanish/>
              </w:rPr>
            </w:pPr>
          </w:p>
        </w:tc>
      </w:tr>
    </w:tbl>
    <w:p w14:paraId="392C1919" w14:textId="77777777" w:rsidR="00980E5F" w:rsidRDefault="00483613">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w:t>
      </w:r>
      <w:r>
        <w:rPr>
          <w:rFonts w:ascii="Arial" w:eastAsia="宋体" w:hAnsi="Arial" w:cs="Arial"/>
          <w:color w:val="000000"/>
          <w:sz w:val="13"/>
          <w:szCs w:val="13"/>
          <w:shd w:val="clear" w:color="auto" w:fill="FFFFFF"/>
        </w:rPr>
        <w:t xml:space="preserve"> 1% </w:t>
      </w:r>
      <w:r>
        <w:rPr>
          <w:rFonts w:ascii="Arial" w:eastAsia="宋体" w:hAnsi="Arial" w:cs="Arial"/>
          <w:color w:val="000000"/>
          <w:sz w:val="13"/>
          <w:szCs w:val="13"/>
        </w:rPr>
        <w:t>of our consolidated total assets as of the dates indicated.</w:t>
      </w:r>
    </w:p>
    <w:p w14:paraId="392C191A" w14:textId="77777777" w:rsidR="00980E5F" w:rsidRDefault="00483613">
      <w:pPr>
        <w:spacing w:before="60"/>
        <w:ind w:firstLine="450"/>
        <w:jc w:val="both"/>
        <w:textAlignment w:val="top"/>
      </w:pPr>
      <w:r>
        <w:rPr>
          <w:rFonts w:ascii="Arial" w:eastAsia="宋体" w:hAnsi="Arial" w:cs="Arial"/>
          <w:color w:val="000000"/>
          <w:sz w:val="20"/>
          <w:szCs w:val="20"/>
        </w:rPr>
        <w:t>As of June 30, 2022, there were no countries whose aggregate cross-border outstandings amount to between 0.75% and 1% of our consolidated assets. As of December 31, 2021, aggregate cross-border outstandings in France amounted to between 0.75% and 1% of our</w:t>
      </w:r>
      <w:r>
        <w:rPr>
          <w:rFonts w:ascii="Arial" w:eastAsia="宋体" w:hAnsi="Arial" w:cs="Arial"/>
          <w:color w:val="000000"/>
          <w:sz w:val="20"/>
          <w:szCs w:val="20"/>
        </w:rPr>
        <w:t xml:space="preserve"> consolidated total assets, at approximately </w:t>
      </w:r>
      <w:r>
        <w:rPr>
          <w:rFonts w:ascii="Arial" w:eastAsia="宋体" w:hAnsi="Arial" w:cs="Arial"/>
          <w:color w:val="000000"/>
          <w:sz w:val="20"/>
          <w:szCs w:val="20"/>
          <w:shd w:val="clear" w:color="auto" w:fill="FFFFFF"/>
        </w:rPr>
        <w:t>$2.83 billion.</w:t>
      </w:r>
    </w:p>
    <w:p w14:paraId="392C191B" w14:textId="77777777" w:rsidR="00980E5F" w:rsidRDefault="00483613">
      <w:pPr>
        <w:spacing w:before="90"/>
        <w:textAlignment w:val="top"/>
      </w:pPr>
      <w:r>
        <w:rPr>
          <w:rFonts w:ascii="Arial" w:eastAsia="宋体" w:hAnsi="Arial" w:cs="Arial"/>
          <w:b/>
          <w:bCs/>
          <w:color w:val="000000"/>
          <w:sz w:val="20"/>
          <w:szCs w:val="20"/>
        </w:rPr>
        <w:t>Risk Management</w:t>
      </w:r>
    </w:p>
    <w:p w14:paraId="392C191C" w14:textId="77777777" w:rsidR="00980E5F" w:rsidRDefault="00483613">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inherent in the financial services industry, others more specific to our business</w:t>
      </w:r>
      <w:r>
        <w:rPr>
          <w:rFonts w:ascii="Arial" w:eastAsia="宋体" w:hAnsi="Arial" w:cs="Arial"/>
          <w:color w:val="000000"/>
          <w:sz w:val="20"/>
          <w:szCs w:val="20"/>
        </w:rPr>
        <w:t xml:space="preserve"> activities. Our risk management framework focuses on material risks, which include the following:</w:t>
      </w:r>
    </w:p>
    <w:p w14:paraId="392C191D" w14:textId="77777777" w:rsidR="00980E5F" w:rsidRDefault="00483613">
      <w:pPr>
        <w:spacing w:before="60"/>
        <w:ind w:hanging="360"/>
        <w:jc w:val="both"/>
        <w:textAlignment w:val="top"/>
      </w:pPr>
      <w:r>
        <w:rPr>
          <w:rFonts w:ascii="Arial" w:eastAsia="宋体" w:hAnsi="Arial" w:cs="Arial"/>
          <w:color w:val="000000"/>
          <w:sz w:val="20"/>
          <w:szCs w:val="20"/>
        </w:rPr>
        <w:t>•credit and counterparty risk;</w:t>
      </w:r>
    </w:p>
    <w:p w14:paraId="392C191E" w14:textId="77777777" w:rsidR="00980E5F" w:rsidRDefault="00483613">
      <w:pPr>
        <w:spacing w:before="60"/>
        <w:ind w:hanging="360"/>
        <w:jc w:val="both"/>
        <w:textAlignment w:val="top"/>
      </w:pPr>
      <w:r>
        <w:rPr>
          <w:rFonts w:ascii="Arial" w:eastAsia="宋体" w:hAnsi="Arial" w:cs="Arial"/>
          <w:color w:val="000000"/>
          <w:sz w:val="20"/>
          <w:szCs w:val="20"/>
        </w:rPr>
        <w:t xml:space="preserve">•liquidity risk, funding and management; </w:t>
      </w:r>
    </w:p>
    <w:p w14:paraId="392C191F" w14:textId="77777777" w:rsidR="00980E5F" w:rsidRDefault="00483613">
      <w:pPr>
        <w:spacing w:before="60"/>
        <w:ind w:hanging="360"/>
        <w:jc w:val="both"/>
        <w:textAlignment w:val="top"/>
      </w:pPr>
      <w:r>
        <w:rPr>
          <w:rFonts w:ascii="Arial" w:eastAsia="宋体" w:hAnsi="Arial" w:cs="Arial"/>
          <w:color w:val="000000"/>
          <w:sz w:val="20"/>
          <w:szCs w:val="20"/>
        </w:rPr>
        <w:t>•operational risk;</w:t>
      </w:r>
    </w:p>
    <w:p w14:paraId="392C1920" w14:textId="77777777" w:rsidR="00980E5F" w:rsidRDefault="00483613">
      <w:pPr>
        <w:spacing w:before="60"/>
        <w:ind w:hanging="360"/>
        <w:jc w:val="both"/>
        <w:textAlignment w:val="top"/>
      </w:pPr>
      <w:r>
        <w:rPr>
          <w:rFonts w:ascii="Arial" w:eastAsia="宋体" w:hAnsi="Arial" w:cs="Arial"/>
          <w:color w:val="000000"/>
          <w:sz w:val="20"/>
          <w:szCs w:val="20"/>
        </w:rPr>
        <w:t>•information technology risk;</w:t>
      </w:r>
    </w:p>
    <w:p w14:paraId="392C1921" w14:textId="77777777" w:rsidR="00980E5F" w:rsidRDefault="00483613">
      <w:pPr>
        <w:spacing w:before="60"/>
        <w:ind w:hanging="360"/>
        <w:jc w:val="both"/>
        <w:textAlignment w:val="top"/>
      </w:pPr>
      <w:r>
        <w:rPr>
          <w:rFonts w:ascii="Arial" w:eastAsia="宋体" w:hAnsi="Arial" w:cs="Arial"/>
          <w:color w:val="000000"/>
          <w:sz w:val="20"/>
          <w:szCs w:val="20"/>
        </w:rPr>
        <w:t xml:space="preserve">•market risk associated with our </w:t>
      </w:r>
      <w:r>
        <w:rPr>
          <w:rFonts w:ascii="Arial" w:eastAsia="宋体" w:hAnsi="Arial" w:cs="Arial"/>
          <w:color w:val="000000"/>
          <w:sz w:val="20"/>
          <w:szCs w:val="20"/>
        </w:rPr>
        <w:t>trading activities;</w:t>
      </w:r>
    </w:p>
    <w:p w14:paraId="392C1922" w14:textId="77777777" w:rsidR="00980E5F" w:rsidRDefault="00483613">
      <w:pPr>
        <w:spacing w:before="60"/>
        <w:ind w:hanging="360"/>
        <w:jc w:val="both"/>
        <w:textAlignment w:val="top"/>
      </w:pPr>
      <w:r>
        <w:rPr>
          <w:rFonts w:ascii="Arial" w:eastAsia="宋体" w:hAnsi="Arial" w:cs="Arial"/>
          <w:color w:val="000000"/>
          <w:sz w:val="20"/>
          <w:szCs w:val="20"/>
        </w:rPr>
        <w:t xml:space="preserve">•market risk associated with our non-trading activities, which we refer to as asset-and-liability management, and which consists primarily of interest rate risk; </w:t>
      </w:r>
    </w:p>
    <w:p w14:paraId="392C1923" w14:textId="77777777" w:rsidR="00980E5F" w:rsidRDefault="00483613">
      <w:pPr>
        <w:spacing w:before="60"/>
        <w:ind w:hanging="360"/>
        <w:jc w:val="both"/>
        <w:textAlignment w:val="top"/>
      </w:pPr>
      <w:r>
        <w:rPr>
          <w:rFonts w:ascii="Arial" w:eastAsia="宋体" w:hAnsi="Arial" w:cs="Arial"/>
          <w:color w:val="000000"/>
          <w:sz w:val="20"/>
          <w:szCs w:val="20"/>
        </w:rPr>
        <w:t xml:space="preserve">•model risk; </w:t>
      </w:r>
    </w:p>
    <w:p w14:paraId="392C1924" w14:textId="77777777" w:rsidR="00980E5F" w:rsidRDefault="00483613">
      <w:pPr>
        <w:spacing w:before="60"/>
        <w:ind w:hanging="360"/>
        <w:jc w:val="both"/>
        <w:textAlignment w:val="top"/>
      </w:pPr>
      <w:r>
        <w:rPr>
          <w:rFonts w:ascii="Arial" w:eastAsia="宋体" w:hAnsi="Arial" w:cs="Arial"/>
          <w:color w:val="000000"/>
          <w:sz w:val="20"/>
          <w:szCs w:val="20"/>
        </w:rPr>
        <w:t>•strategic risk; and</w:t>
      </w:r>
    </w:p>
    <w:p w14:paraId="392C1925" w14:textId="77777777" w:rsidR="00980E5F" w:rsidRDefault="00483613">
      <w:pPr>
        <w:spacing w:before="60"/>
        <w:ind w:hanging="360"/>
        <w:jc w:val="both"/>
        <w:textAlignment w:val="top"/>
      </w:pPr>
      <w:r>
        <w:rPr>
          <w:rFonts w:ascii="Arial" w:eastAsia="宋体" w:hAnsi="Arial" w:cs="Arial"/>
          <w:color w:val="000000"/>
          <w:sz w:val="20"/>
          <w:szCs w:val="20"/>
        </w:rPr>
        <w:t xml:space="preserve">•reputational, fiduciary and business </w:t>
      </w:r>
      <w:r>
        <w:rPr>
          <w:rFonts w:ascii="Arial" w:eastAsia="宋体" w:hAnsi="Arial" w:cs="Arial"/>
          <w:color w:val="000000"/>
          <w:sz w:val="20"/>
          <w:szCs w:val="20"/>
        </w:rPr>
        <w:t xml:space="preserve">conduct risk. </w:t>
      </w:r>
    </w:p>
    <w:p w14:paraId="392C1926" w14:textId="77777777" w:rsidR="00980E5F" w:rsidRDefault="00483613">
      <w:pPr>
        <w:ind w:firstLine="450"/>
        <w:jc w:val="right"/>
      </w:pPr>
      <w:r>
        <w:rPr>
          <w:rFonts w:ascii="Arial" w:eastAsia="宋体" w:hAnsi="Arial" w:cs="Arial"/>
          <w:color w:val="000000"/>
          <w:sz w:val="18"/>
          <w:szCs w:val="18"/>
        </w:rPr>
        <w:t>State Street Corporation | 32</w:t>
      </w:r>
    </w:p>
    <w:p w14:paraId="392C1927" w14:textId="77777777" w:rsidR="00980E5F" w:rsidRDefault="00980E5F">
      <w:pPr>
        <w:ind w:firstLine="450"/>
        <w:jc w:val="center"/>
      </w:pPr>
    </w:p>
    <w:p w14:paraId="392C1928" w14:textId="77777777" w:rsidR="00980E5F" w:rsidRDefault="00483613">
      <w:r>
        <w:pict w14:anchorId="392CBAEE">
          <v:rect id="_x0000_i1056" style="width:415.3pt;height:1.5pt" o:hralign="center" o:hrstd="t" o:hr="t" fillcolor="#a0a0a0" stroked="f"/>
        </w:pict>
      </w:r>
    </w:p>
    <w:p w14:paraId="392C1929"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2A" w14:textId="77777777" w:rsidR="00980E5F" w:rsidRDefault="00483613">
      <w:pPr>
        <w:ind w:firstLine="450"/>
        <w:jc w:val="center"/>
      </w:pPr>
      <w:r>
        <w:rPr>
          <w:rFonts w:ascii="Arial" w:eastAsia="宋体" w:hAnsi="Arial" w:cs="Arial"/>
          <w:b/>
          <w:bCs/>
          <w:color w:val="000000"/>
          <w:sz w:val="20"/>
          <w:szCs w:val="20"/>
        </w:rPr>
        <w:t>AND RESULTS OF OPERATIONS</w:t>
      </w:r>
    </w:p>
    <w:p w14:paraId="392C192B" w14:textId="77777777" w:rsidR="00980E5F" w:rsidRDefault="00483613">
      <w:pPr>
        <w:spacing w:before="60"/>
        <w:ind w:firstLine="450"/>
        <w:jc w:val="both"/>
        <w:textAlignment w:val="top"/>
      </w:pPr>
      <w:r>
        <w:rPr>
          <w:rFonts w:ascii="Arial" w:eastAsia="宋体" w:hAnsi="Arial" w:cs="Arial"/>
          <w:color w:val="000000"/>
          <w:sz w:val="20"/>
          <w:szCs w:val="20"/>
        </w:rPr>
        <w:t xml:space="preserve">Many of these risks, as well as certain of the factors underlying each of these risks that could affect our </w:t>
      </w:r>
      <w:r>
        <w:rPr>
          <w:rFonts w:ascii="Arial" w:eastAsia="宋体" w:hAnsi="Arial" w:cs="Arial"/>
          <w:color w:val="000000"/>
          <w:sz w:val="20"/>
          <w:szCs w:val="20"/>
        </w:rPr>
        <w:t>businesses and our consolidated financial statements, are discussed in detail on pages 23 to 51 included under Item 1A, Risk Factors, in our 2021 Form 10-K.</w:t>
      </w:r>
    </w:p>
    <w:p w14:paraId="392C192C"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risk management, including our risk appetite framework and ris</w:t>
      </w:r>
      <w:r>
        <w:rPr>
          <w:rFonts w:ascii="Arial" w:eastAsia="宋体" w:hAnsi="Arial" w:cs="Arial"/>
          <w:color w:val="000000"/>
          <w:sz w:val="20"/>
          <w:szCs w:val="20"/>
        </w:rPr>
        <w:t>k governance committee structure, refer to pages 83 to 88 included under Item 7, Management's Discussion and Analysis of Financial Condition and Results of Operations, Risk Management, in our 2021 Form 10-K.</w:t>
      </w:r>
    </w:p>
    <w:p w14:paraId="392C192D" w14:textId="77777777" w:rsidR="00980E5F" w:rsidRDefault="00483613">
      <w:pPr>
        <w:spacing w:before="90"/>
        <w:textAlignment w:val="top"/>
      </w:pPr>
      <w:r>
        <w:rPr>
          <w:rFonts w:ascii="Arial" w:eastAsia="宋体" w:hAnsi="Arial" w:cs="Arial"/>
          <w:b/>
          <w:bCs/>
          <w:color w:val="000000"/>
          <w:sz w:val="20"/>
          <w:szCs w:val="20"/>
        </w:rPr>
        <w:t>Credit Risk Management</w:t>
      </w:r>
    </w:p>
    <w:p w14:paraId="392C192E" w14:textId="77777777" w:rsidR="00980E5F" w:rsidRDefault="00483613">
      <w:pPr>
        <w:spacing w:before="60"/>
        <w:ind w:firstLine="450"/>
        <w:jc w:val="both"/>
        <w:textAlignment w:val="top"/>
      </w:pPr>
      <w:r>
        <w:rPr>
          <w:rFonts w:ascii="Arial" w:eastAsia="宋体" w:hAnsi="Arial" w:cs="Arial"/>
          <w:color w:val="000000"/>
          <w:sz w:val="20"/>
          <w:szCs w:val="20"/>
        </w:rPr>
        <w:t xml:space="preserve">We define credit risk as </w:t>
      </w:r>
      <w:r>
        <w:rPr>
          <w:rFonts w:ascii="Arial" w:eastAsia="宋体" w:hAnsi="Arial" w:cs="Arial"/>
          <w:color w:val="000000"/>
          <w:sz w:val="20"/>
          <w:szCs w:val="20"/>
        </w:rPr>
        <w:t xml:space="preserve">the risk of financial loss if a counterparty, borrower or obligor, collectively referred to as a counterparty, is either unable or unwilling to repay borrowings or settle a transaction in accordance with underlying contractual terms. We assume credit risk </w:t>
      </w:r>
      <w:r>
        <w:rPr>
          <w:rFonts w:ascii="Arial" w:eastAsia="宋体" w:hAnsi="Arial" w:cs="Arial"/>
          <w:color w:val="000000"/>
          <w:sz w:val="20"/>
          <w:szCs w:val="20"/>
        </w:rPr>
        <w:t xml:space="preserve">in our traditional non-trading lending activities, such as overdrafts, loans and contingent commitments, in our investment securities portfolio, where recourse to a counterparty exists, and in our direct and indirect trading activities, such as securities </w:t>
      </w:r>
      <w:r>
        <w:rPr>
          <w:rFonts w:ascii="Arial" w:eastAsia="宋体" w:hAnsi="Arial" w:cs="Arial"/>
          <w:color w:val="000000"/>
          <w:sz w:val="20"/>
          <w:szCs w:val="20"/>
        </w:rPr>
        <w:t>purchased under a resale agreement, principal securities lending and FX and indemnified agency securities lending. We also assume credit risk in our day-to-day treasury and securities and other settlement operations, in the form of deposit placements and o</w:t>
      </w:r>
      <w:r>
        <w:rPr>
          <w:rFonts w:ascii="Arial" w:eastAsia="宋体" w:hAnsi="Arial" w:cs="Arial"/>
          <w:color w:val="000000"/>
          <w:sz w:val="20"/>
          <w:szCs w:val="20"/>
        </w:rPr>
        <w:t>ther cash balances, with central banks or private sector institutions and fees receivables.</w:t>
      </w:r>
    </w:p>
    <w:p w14:paraId="392C192F" w14:textId="77777777" w:rsidR="00980E5F" w:rsidRDefault="00483613">
      <w:pPr>
        <w:spacing w:before="60"/>
        <w:textAlignment w:val="top"/>
      </w:pPr>
      <w:r>
        <w:rPr>
          <w:rFonts w:ascii="Arial" w:eastAsia="宋体" w:hAnsi="Arial" w:cs="Arial"/>
          <w:b/>
          <w:bCs/>
          <w:i/>
          <w:iCs/>
          <w:color w:val="000000"/>
          <w:sz w:val="20"/>
          <w:szCs w:val="20"/>
        </w:rPr>
        <w:t>Allowance for Credit Losses</w:t>
      </w:r>
    </w:p>
    <w:p w14:paraId="392C1930" w14:textId="77777777" w:rsidR="00980E5F" w:rsidRDefault="00483613">
      <w:pPr>
        <w:spacing w:before="60"/>
        <w:ind w:firstLine="450"/>
        <w:jc w:val="both"/>
        <w:textAlignment w:val="top"/>
      </w:pPr>
      <w:r>
        <w:rPr>
          <w:rFonts w:ascii="Arial" w:eastAsia="宋体" w:hAnsi="Arial" w:cs="Arial"/>
          <w:color w:val="000000"/>
          <w:sz w:val="20"/>
          <w:szCs w:val="20"/>
        </w:rPr>
        <w:t>We maintain an allowance for credit losses to support certain on-balance sheet credit exposures, including financial assets held at amor</w:t>
      </w:r>
      <w:r>
        <w:rPr>
          <w:rFonts w:ascii="Arial" w:eastAsia="宋体" w:hAnsi="Arial" w:cs="Arial"/>
          <w:color w:val="000000"/>
          <w:sz w:val="20"/>
          <w:szCs w:val="20"/>
        </w:rPr>
        <w:t>tized cost. We also maintain an allowance for unfunded commitments and letters of credit to support our off-balance sheet credit exposure. The two components together represent the allowance for credit losses. Review and evaluation of the adequacy of the a</w:t>
      </w:r>
      <w:r>
        <w:rPr>
          <w:rFonts w:ascii="Arial" w:eastAsia="宋体" w:hAnsi="Arial" w:cs="Arial"/>
          <w:color w:val="000000"/>
          <w:sz w:val="20"/>
          <w:szCs w:val="20"/>
        </w:rPr>
        <w:t>llowance for credit losses is ongoing throughout the year, but occurs at least quarterly, and is based, among other factors, on our evaluation of the level of risk in the portfolio and the estimated effects of our forecasts on our counterparties. We utiliz</w:t>
      </w:r>
      <w:r>
        <w:rPr>
          <w:rFonts w:ascii="Arial" w:eastAsia="宋体" w:hAnsi="Arial" w:cs="Arial"/>
          <w:color w:val="000000"/>
          <w:sz w:val="20"/>
          <w:szCs w:val="20"/>
        </w:rPr>
        <w:t>e multiple economic scenarios, consisting of a baseline, upside and downside scenarios, to develop management's forecast of future expected losses.</w:t>
      </w:r>
    </w:p>
    <w:p w14:paraId="392C1931" w14:textId="77777777" w:rsidR="00980E5F" w:rsidRDefault="00483613">
      <w:pPr>
        <w:spacing w:before="60"/>
        <w:ind w:firstLine="450"/>
        <w:jc w:val="both"/>
        <w:textAlignment w:val="top"/>
      </w:pPr>
      <w:r>
        <w:rPr>
          <w:rFonts w:ascii="Arial" w:eastAsia="宋体" w:hAnsi="Arial" w:cs="Arial"/>
          <w:color w:val="000000"/>
          <w:sz w:val="20"/>
          <w:szCs w:val="20"/>
        </w:rPr>
        <w:t>In the second quarter of 2022, our allowance estimate reflected a downward shift in management's economic ou</w:t>
      </w:r>
      <w:r>
        <w:rPr>
          <w:rFonts w:ascii="Arial" w:eastAsia="宋体" w:hAnsi="Arial" w:cs="Arial"/>
          <w:color w:val="000000"/>
          <w:sz w:val="20"/>
          <w:szCs w:val="20"/>
        </w:rPr>
        <w:t xml:space="preserve">tlook, partially offset by a decrease in expected losses resulting from a reduction in leveraged loan balances within our portfolio. Allowance estimates remain subject to continued model and economic uncertainty and management </w:t>
      </w:r>
    </w:p>
    <w:p w14:paraId="392C1932" w14:textId="77777777" w:rsidR="00980E5F" w:rsidRDefault="00483613">
      <w:pPr>
        <w:spacing w:before="60"/>
        <w:jc w:val="both"/>
        <w:textAlignment w:val="top"/>
      </w:pPr>
      <w:r>
        <w:rPr>
          <w:rFonts w:ascii="Arial" w:eastAsia="宋体" w:hAnsi="Arial" w:cs="Arial"/>
          <w:color w:val="000000"/>
          <w:sz w:val="20"/>
          <w:szCs w:val="20"/>
        </w:rPr>
        <w:t>may use qualitative adjustme</w:t>
      </w:r>
      <w:r>
        <w:rPr>
          <w:rFonts w:ascii="Arial" w:eastAsia="宋体" w:hAnsi="Arial" w:cs="Arial"/>
          <w:color w:val="000000"/>
          <w:sz w:val="20"/>
          <w:szCs w:val="20"/>
        </w:rPr>
        <w:t xml:space="preserve">nts. If future data and forecasts deviate relative to the forecasts utilized to determine our allowance for credit losses as of June 30, 2022, or if credit risk migration is higher or lower than forecasted for reasons independent of the economic forecast, </w:t>
      </w:r>
      <w:r>
        <w:rPr>
          <w:rFonts w:ascii="Arial" w:eastAsia="宋体" w:hAnsi="Arial" w:cs="Arial"/>
          <w:color w:val="000000"/>
          <w:sz w:val="20"/>
          <w:szCs w:val="20"/>
        </w:rPr>
        <w:t>our allowance for credit losses will also change.</w:t>
      </w:r>
    </w:p>
    <w:p w14:paraId="392C1933" w14:textId="77777777" w:rsidR="00980E5F" w:rsidRDefault="00483613">
      <w:pPr>
        <w:spacing w:before="60"/>
        <w:ind w:firstLine="450"/>
        <w:jc w:val="both"/>
        <w:textAlignment w:val="top"/>
      </w:pPr>
      <w:r>
        <w:rPr>
          <w:rFonts w:ascii="Arial" w:eastAsia="宋体" w:hAnsi="Arial" w:cs="Arial"/>
          <w:color w:val="000000"/>
          <w:sz w:val="20"/>
          <w:szCs w:val="20"/>
        </w:rPr>
        <w:t>Additional information about the allowance for credit losses is provided in Notes 3 and 4 to the consolidated financial statements in this Form 10-Q.</w:t>
      </w:r>
    </w:p>
    <w:p w14:paraId="392C1934"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credit risk managem</w:t>
      </w:r>
      <w:r>
        <w:rPr>
          <w:rFonts w:ascii="Arial" w:eastAsia="宋体" w:hAnsi="Arial" w:cs="Arial"/>
          <w:color w:val="000000"/>
          <w:sz w:val="20"/>
          <w:szCs w:val="20"/>
        </w:rPr>
        <w:t>ent framework, including our core policies and principles, structure and organization, credit ratings, risk parameter estimates, credit risk mitigation, credit limits, reporting, monitoring and controls, refer to pages 88 to 93 included under Item 7, Manag</w:t>
      </w:r>
      <w:r>
        <w:rPr>
          <w:rFonts w:ascii="Arial" w:eastAsia="宋体" w:hAnsi="Arial" w:cs="Arial"/>
          <w:color w:val="000000"/>
          <w:sz w:val="20"/>
          <w:szCs w:val="20"/>
        </w:rPr>
        <w:t>ement's Discussion and Analysis of Financial Condition and Results of Operations, Credit Risk Management, in our 2021 Form 10-K.</w:t>
      </w:r>
    </w:p>
    <w:p w14:paraId="392C1935" w14:textId="77777777" w:rsidR="00980E5F" w:rsidRDefault="00483613">
      <w:pPr>
        <w:spacing w:before="90"/>
        <w:textAlignment w:val="top"/>
      </w:pPr>
      <w:r>
        <w:rPr>
          <w:rFonts w:ascii="Arial" w:eastAsia="宋体" w:hAnsi="Arial" w:cs="Arial"/>
          <w:b/>
          <w:bCs/>
          <w:color w:val="000000"/>
          <w:sz w:val="20"/>
          <w:szCs w:val="20"/>
        </w:rPr>
        <w:t>Liquidity Risk Management</w:t>
      </w:r>
    </w:p>
    <w:p w14:paraId="392C1936" w14:textId="77777777" w:rsidR="00980E5F" w:rsidRDefault="00483613">
      <w:pPr>
        <w:spacing w:before="60"/>
        <w:ind w:firstLine="450"/>
        <w:jc w:val="both"/>
        <w:textAlignment w:val="top"/>
      </w:pPr>
      <w:r>
        <w:rPr>
          <w:rFonts w:ascii="Arial" w:eastAsia="宋体" w:hAnsi="Arial" w:cs="Arial"/>
          <w:color w:val="000000"/>
          <w:sz w:val="20"/>
          <w:szCs w:val="20"/>
        </w:rPr>
        <w:t xml:space="preserve">Our liquidity framework contemplates areas of potential risk based on our activities, size and other </w:t>
      </w:r>
      <w:r>
        <w:rPr>
          <w:rFonts w:ascii="Arial" w:eastAsia="宋体" w:hAnsi="Arial" w:cs="Arial"/>
          <w:color w:val="000000"/>
          <w:sz w:val="20"/>
          <w:szCs w:val="20"/>
        </w:rPr>
        <w:t>appropriate risk-related factors. In managing liquidity risk we employ limits, maintain established metrics and early warning indicators and perform routine stress testing to identify potential liquidity needs. This process involves the evaluation of a com</w:t>
      </w:r>
      <w:r>
        <w:rPr>
          <w:rFonts w:ascii="Arial" w:eastAsia="宋体" w:hAnsi="Arial" w:cs="Arial"/>
          <w:color w:val="000000"/>
          <w:sz w:val="20"/>
          <w:szCs w:val="20"/>
        </w:rPr>
        <w:t>bination of internal and external scenarios which assist us in measuring our liquidity position and in identifying potential increases in cash needs or decreases in available sources of cash, as well as the potential impairment of our ability to access the</w:t>
      </w:r>
      <w:r>
        <w:rPr>
          <w:rFonts w:ascii="Arial" w:eastAsia="宋体" w:hAnsi="Arial" w:cs="Arial"/>
          <w:color w:val="000000"/>
          <w:sz w:val="20"/>
          <w:szCs w:val="20"/>
        </w:rPr>
        <w:t xml:space="preserve"> global capital markets.</w:t>
      </w:r>
    </w:p>
    <w:p w14:paraId="392C1937" w14:textId="77777777" w:rsidR="00980E5F" w:rsidRDefault="00483613">
      <w:pPr>
        <w:spacing w:before="60"/>
        <w:ind w:firstLine="450"/>
        <w:jc w:val="both"/>
        <w:textAlignment w:val="top"/>
      </w:pPr>
      <w:r>
        <w:rPr>
          <w:rFonts w:ascii="Arial" w:eastAsia="宋体" w:hAnsi="Arial" w:cs="Arial"/>
          <w:color w:val="000000"/>
          <w:sz w:val="20"/>
          <w:szCs w:val="20"/>
        </w:rPr>
        <w:t>We manage our liquidity on a global, consolidated basis. We also manage liquidity on a stand-alone basis at our Parent Company, as well as at certain branches and subsidiaries of State Street Bank. State Street Bank generally has a</w:t>
      </w:r>
      <w:r>
        <w:rPr>
          <w:rFonts w:ascii="Arial" w:eastAsia="宋体" w:hAnsi="Arial" w:cs="Arial"/>
          <w:color w:val="000000"/>
          <w:sz w:val="20"/>
          <w:szCs w:val="20"/>
        </w:rPr>
        <w:t xml:space="preserve">ccess to markets and funding sources limited to banks, such as the federal funds market and the Federal Reserve's discount window. The Parent Company is managed to a more conservative liquidity profile, reflecting narrower market access. Additionally, the </w:t>
      </w:r>
      <w:r>
        <w:rPr>
          <w:rFonts w:ascii="Arial" w:eastAsia="宋体" w:hAnsi="Arial" w:cs="Arial"/>
          <w:color w:val="000000"/>
          <w:sz w:val="20"/>
          <w:szCs w:val="20"/>
        </w:rPr>
        <w:t>Parent Company typically holds, or has direct access to, primarily through SSIF, a direct subsidiary of the Parent Company, and the support agreement, as discussed in the "Uses of Liquidity" section of this Management's Discussion and Analysis, enough cash</w:t>
      </w:r>
      <w:r>
        <w:rPr>
          <w:rFonts w:ascii="Arial" w:eastAsia="宋体" w:hAnsi="Arial" w:cs="Arial"/>
          <w:color w:val="000000"/>
          <w:sz w:val="20"/>
          <w:szCs w:val="20"/>
        </w:rPr>
        <w:t xml:space="preserve"> to meet its current debt maturities and cash needs, as well as those projected over the next one-year period. Reference our SPOE Strategy as discussed in the "Uses of Liquidity" section of this Management's Discussion and Analysis. Absent financial distre</w:t>
      </w:r>
      <w:r>
        <w:rPr>
          <w:rFonts w:ascii="Arial" w:eastAsia="宋体" w:hAnsi="Arial" w:cs="Arial"/>
          <w:color w:val="000000"/>
          <w:sz w:val="20"/>
          <w:szCs w:val="20"/>
        </w:rPr>
        <w:t xml:space="preserve">ss at the Parent Company, the liquid assets available at SSIF continue to be available to the Parent Company. As of June 30, 2022, our Parent Company and State </w:t>
      </w:r>
    </w:p>
    <w:p w14:paraId="392C1938" w14:textId="77777777" w:rsidR="00980E5F" w:rsidRDefault="00483613">
      <w:pPr>
        <w:ind w:firstLine="450"/>
        <w:jc w:val="right"/>
      </w:pPr>
      <w:r>
        <w:rPr>
          <w:rFonts w:ascii="Arial" w:eastAsia="宋体" w:hAnsi="Arial" w:cs="Arial"/>
          <w:color w:val="000000"/>
          <w:sz w:val="18"/>
          <w:szCs w:val="18"/>
        </w:rPr>
        <w:t>State Street Corporation | 33</w:t>
      </w:r>
    </w:p>
    <w:p w14:paraId="392C1939" w14:textId="77777777" w:rsidR="00980E5F" w:rsidRDefault="00980E5F">
      <w:pPr>
        <w:ind w:firstLine="450"/>
        <w:jc w:val="center"/>
      </w:pPr>
    </w:p>
    <w:p w14:paraId="392C193A" w14:textId="77777777" w:rsidR="00980E5F" w:rsidRDefault="00483613">
      <w:r>
        <w:pict w14:anchorId="392CBAEF">
          <v:rect id="_x0000_i1057" style="width:415.3pt;height:1.5pt" o:hralign="center" o:hrstd="t" o:hr="t" fillcolor="#a0a0a0" stroked="f"/>
        </w:pict>
      </w:r>
    </w:p>
    <w:p w14:paraId="392C193B"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3C" w14:textId="77777777" w:rsidR="00980E5F" w:rsidRDefault="00483613">
      <w:pPr>
        <w:ind w:firstLine="450"/>
        <w:jc w:val="center"/>
      </w:pPr>
      <w:r>
        <w:rPr>
          <w:rFonts w:ascii="Arial" w:eastAsia="宋体" w:hAnsi="Arial" w:cs="Arial"/>
          <w:b/>
          <w:bCs/>
          <w:color w:val="000000"/>
          <w:sz w:val="20"/>
          <w:szCs w:val="20"/>
        </w:rPr>
        <w:t>AN</w:t>
      </w:r>
      <w:r>
        <w:rPr>
          <w:rFonts w:ascii="Arial" w:eastAsia="宋体" w:hAnsi="Arial" w:cs="Arial"/>
          <w:b/>
          <w:bCs/>
          <w:color w:val="000000"/>
          <w:sz w:val="20"/>
          <w:szCs w:val="20"/>
        </w:rPr>
        <w:t>D RESULTS OF OPERATIONS</w:t>
      </w:r>
    </w:p>
    <w:p w14:paraId="392C193D" w14:textId="77777777" w:rsidR="00980E5F" w:rsidRDefault="00483613">
      <w:pPr>
        <w:spacing w:before="60"/>
        <w:jc w:val="both"/>
        <w:textAlignment w:val="top"/>
      </w:pPr>
      <w:r>
        <w:rPr>
          <w:rFonts w:ascii="Arial" w:eastAsia="宋体" w:hAnsi="Arial" w:cs="Arial"/>
          <w:color w:val="000000"/>
          <w:sz w:val="20"/>
          <w:szCs w:val="20"/>
        </w:rPr>
        <w:t>Street Bank had approximately $1.75 billion of senior notes or subordinated debentures outstanding that will mature in the next twelve months.</w:t>
      </w:r>
    </w:p>
    <w:p w14:paraId="392C193E" w14:textId="77777777" w:rsidR="00980E5F" w:rsidRDefault="00483613">
      <w:pPr>
        <w:spacing w:before="60"/>
        <w:ind w:firstLine="450"/>
        <w:jc w:val="both"/>
        <w:textAlignment w:val="top"/>
      </w:pPr>
      <w:r>
        <w:rPr>
          <w:rFonts w:ascii="Arial" w:eastAsia="宋体" w:hAnsi="Arial" w:cs="Arial"/>
          <w:color w:val="000000"/>
          <w:sz w:val="20"/>
          <w:szCs w:val="20"/>
        </w:rPr>
        <w:t xml:space="preserve">As a systemically important financial institution, our liquidity risk </w:t>
      </w:r>
      <w:r>
        <w:rPr>
          <w:rFonts w:ascii="Arial" w:eastAsia="宋体" w:hAnsi="Arial" w:cs="Arial"/>
          <w:color w:val="000000"/>
          <w:sz w:val="20"/>
          <w:szCs w:val="20"/>
        </w:rPr>
        <w:t>management activities are subject to heightened and evolving regulatory requirements, including interpretations of those requirements, under specific U.S. and international regulations and also resulting from published and unpublished guidance, supervisory</w:t>
      </w:r>
      <w:r>
        <w:rPr>
          <w:rFonts w:ascii="Arial" w:eastAsia="宋体" w:hAnsi="Arial" w:cs="Arial"/>
          <w:color w:val="000000"/>
          <w:sz w:val="20"/>
          <w:szCs w:val="20"/>
        </w:rPr>
        <w:t xml:space="preserve"> activities, such as stress tests, resolution planning, examinations and other regulatory interactions. Satisfaction of these requirements could, in some cases, result in changes in the composition of our investment portfolio, reduced NII or NIM, a reducti</w:t>
      </w:r>
      <w:r>
        <w:rPr>
          <w:rFonts w:ascii="Arial" w:eastAsia="宋体" w:hAnsi="Arial" w:cs="Arial"/>
          <w:color w:val="000000"/>
          <w:sz w:val="20"/>
          <w:szCs w:val="20"/>
        </w:rPr>
        <w:t>on in the level of certain business activities or modifications to the way in which we deliver our products and services. If we fail to meet regulatory requirements to the satisfaction of our regulators, we could receive negative regulatory stress test res</w:t>
      </w:r>
      <w:r>
        <w:rPr>
          <w:rFonts w:ascii="Arial" w:eastAsia="宋体" w:hAnsi="Arial" w:cs="Arial"/>
          <w:color w:val="000000"/>
          <w:sz w:val="20"/>
          <w:szCs w:val="20"/>
        </w:rPr>
        <w:t>ults, incur a resolution plan deficiency or determination of a non-credible resolution plan or otherwise receive an adverse regulatory finding. Our efforts to satisfy, or our failure to satisfy, these regulatory requirements could materially adversely affe</w:t>
      </w:r>
      <w:r>
        <w:rPr>
          <w:rFonts w:ascii="Arial" w:eastAsia="宋体" w:hAnsi="Arial" w:cs="Arial"/>
          <w:color w:val="000000"/>
          <w:sz w:val="20"/>
          <w:szCs w:val="20"/>
        </w:rPr>
        <w:t>ct our business, financial condition or results of operations.</w:t>
      </w:r>
    </w:p>
    <w:p w14:paraId="392C193F" w14:textId="77777777" w:rsidR="00980E5F" w:rsidRDefault="00483613">
      <w:pPr>
        <w:spacing w:before="60"/>
        <w:ind w:firstLine="450"/>
        <w:jc w:val="both"/>
        <w:textAlignment w:val="top"/>
      </w:pPr>
      <w:r>
        <w:rPr>
          <w:rFonts w:ascii="Arial" w:eastAsia="宋体" w:hAnsi="Arial" w:cs="Arial"/>
          <w:color w:val="000000"/>
          <w:sz w:val="20"/>
          <w:szCs w:val="20"/>
        </w:rPr>
        <w:t xml:space="preserve">For additional information on our liquidity risk management, as well as liquidity metrics, refer to pages 93 to 98 included under Item 7, Management's Discussion and Analysis of </w:t>
      </w:r>
      <w:r>
        <w:rPr>
          <w:rFonts w:ascii="Arial" w:eastAsia="宋体" w:hAnsi="Arial" w:cs="Arial"/>
          <w:color w:val="000000"/>
          <w:sz w:val="20"/>
          <w:szCs w:val="20"/>
        </w:rPr>
        <w:t>Financial Condition and Results of Operations, Liquidity Risk Management, in our 2021 Form 10-K. For additional information on our liquidity ratios, including LCR and the net stable funding ratio, refer to page 14 included under Item 1, Business, in our 20</w:t>
      </w:r>
      <w:r>
        <w:rPr>
          <w:rFonts w:ascii="Arial" w:eastAsia="宋体" w:hAnsi="Arial" w:cs="Arial"/>
          <w:color w:val="000000"/>
          <w:sz w:val="20"/>
          <w:szCs w:val="20"/>
        </w:rPr>
        <w:t>21 Form 10-K.</w:t>
      </w:r>
    </w:p>
    <w:p w14:paraId="392C1940" w14:textId="77777777" w:rsidR="00980E5F" w:rsidRDefault="00483613">
      <w:pPr>
        <w:spacing w:before="60"/>
        <w:jc w:val="both"/>
        <w:textAlignment w:val="top"/>
      </w:pPr>
      <w:r>
        <w:rPr>
          <w:rFonts w:ascii="Arial" w:eastAsia="宋体" w:hAnsi="Arial" w:cs="Arial"/>
          <w:b/>
          <w:bCs/>
          <w:i/>
          <w:iCs/>
          <w:color w:val="000000"/>
          <w:sz w:val="20"/>
          <w:szCs w:val="20"/>
        </w:rPr>
        <w:t>Asset Liquidity</w:t>
      </w:r>
    </w:p>
    <w:p w14:paraId="392C1941" w14:textId="77777777" w:rsidR="00980E5F" w:rsidRDefault="00483613">
      <w:pPr>
        <w:spacing w:before="60"/>
        <w:ind w:firstLine="450"/>
        <w:jc w:val="both"/>
        <w:textAlignment w:val="top"/>
      </w:pPr>
      <w:r>
        <w:rPr>
          <w:rFonts w:ascii="Arial" w:eastAsia="宋体" w:hAnsi="Arial" w:cs="Arial"/>
          <w:color w:val="000000"/>
          <w:sz w:val="20"/>
          <w:szCs w:val="20"/>
        </w:rPr>
        <w:t>Central to the management of our liquidity is asset liquidity, which consists primarily of HQLA. HQLA is the amount of liquid assets that qualify for inclusion in the LCR. As a banking organization, we are subject to a minimum</w:t>
      </w:r>
      <w:r>
        <w:rPr>
          <w:rFonts w:ascii="Arial" w:eastAsia="宋体" w:hAnsi="Arial" w:cs="Arial"/>
          <w:color w:val="000000"/>
          <w:sz w:val="20"/>
          <w:szCs w:val="20"/>
        </w:rPr>
        <w:t xml:space="preserve"> LCR under the LCR rule approved by U.S. banking regulators. The LCR is intended to promote the short-term resilience of internationally active banking organizations, like us, to improve the banking industry's ability to absorb shocks arising from market s</w:t>
      </w:r>
      <w:r>
        <w:rPr>
          <w:rFonts w:ascii="Arial" w:eastAsia="宋体" w:hAnsi="Arial" w:cs="Arial"/>
          <w:color w:val="000000"/>
          <w:sz w:val="20"/>
          <w:szCs w:val="20"/>
        </w:rPr>
        <w:t xml:space="preserve">tress over a 30 calendar day period and improve the measurement and management of liquidity risk. The LCR measures an institution’s HQLA against its net cash outflows. HQLA primarily consists of unencumbered cash and certain high quality liquid securities </w:t>
      </w:r>
      <w:r>
        <w:rPr>
          <w:rFonts w:ascii="Arial" w:eastAsia="宋体" w:hAnsi="Arial" w:cs="Arial"/>
          <w:color w:val="000000"/>
          <w:sz w:val="20"/>
          <w:szCs w:val="20"/>
        </w:rPr>
        <w:t xml:space="preserve">that qualify for inclusion under the LCR rule. We report LCR to the Federal Reserve daily. For the quarters ended June 30, 2022 and December 31, 2021, daily average LCR for the Parent Company was </w:t>
      </w:r>
      <w:r>
        <w:rPr>
          <w:rFonts w:ascii="Arial" w:eastAsia="宋体" w:hAnsi="Arial" w:cs="Arial"/>
          <w:color w:val="000000"/>
          <w:sz w:val="20"/>
          <w:szCs w:val="20"/>
          <w:shd w:val="clear" w:color="auto" w:fill="FFFFFF"/>
        </w:rPr>
        <w:t>106%</w:t>
      </w:r>
      <w:r>
        <w:rPr>
          <w:rFonts w:ascii="Arial" w:eastAsia="宋体" w:hAnsi="Arial" w:cs="Arial"/>
          <w:color w:val="000000"/>
          <w:sz w:val="20"/>
          <w:szCs w:val="20"/>
        </w:rPr>
        <w:t xml:space="preserve"> and 105%, respectively. The impact of higher deposits o</w:t>
      </w:r>
      <w:r>
        <w:rPr>
          <w:rFonts w:ascii="Arial" w:eastAsia="宋体" w:hAnsi="Arial" w:cs="Arial"/>
          <w:color w:val="000000"/>
          <w:sz w:val="20"/>
          <w:szCs w:val="20"/>
        </w:rPr>
        <w:t xml:space="preserve">n the </w:t>
      </w:r>
    </w:p>
    <w:p w14:paraId="392C1942" w14:textId="77777777" w:rsidR="00980E5F" w:rsidRDefault="00483613">
      <w:pPr>
        <w:spacing w:before="60"/>
        <w:jc w:val="both"/>
        <w:textAlignment w:val="top"/>
      </w:pPr>
      <w:r>
        <w:rPr>
          <w:rFonts w:ascii="Arial" w:eastAsia="宋体" w:hAnsi="Arial" w:cs="Arial"/>
          <w:color w:val="000000"/>
          <w:sz w:val="20"/>
          <w:szCs w:val="20"/>
        </w:rPr>
        <w:t>Parent Company's LCR is offset by a cap, known as the transferability restriction, on the HQLA from State Street Bank and Trust that can be recognized at the Parent Company as defined in the U.S. LCR Final Rule as it prohibits the upstreaming of liq</w:t>
      </w:r>
      <w:r>
        <w:rPr>
          <w:rFonts w:ascii="Arial" w:eastAsia="宋体" w:hAnsi="Arial" w:cs="Arial"/>
          <w:color w:val="000000"/>
          <w:sz w:val="20"/>
          <w:szCs w:val="20"/>
        </w:rPr>
        <w:t xml:space="preserve">uidity under stress. The average HQLA for the Parent Company under the LCR final rule definition was </w:t>
      </w:r>
      <w:r>
        <w:rPr>
          <w:rFonts w:ascii="Arial" w:eastAsia="宋体" w:hAnsi="Arial" w:cs="Arial"/>
          <w:color w:val="000000"/>
          <w:sz w:val="20"/>
          <w:szCs w:val="20"/>
          <w:shd w:val="clear" w:color="auto" w:fill="FFFFFF"/>
        </w:rPr>
        <w:t>$141.22 billion</w:t>
      </w:r>
      <w:r>
        <w:rPr>
          <w:rFonts w:ascii="Arial" w:eastAsia="宋体" w:hAnsi="Arial" w:cs="Arial"/>
          <w:color w:val="000000"/>
          <w:sz w:val="20"/>
          <w:szCs w:val="20"/>
        </w:rPr>
        <w:t xml:space="preserve"> and $159.36 billion, post-prescribed haircuts, for the quarters ended June 30, 2022 and December 31, 2021, respectively. For the quarter en</w:t>
      </w:r>
      <w:r>
        <w:rPr>
          <w:rFonts w:ascii="Arial" w:eastAsia="宋体" w:hAnsi="Arial" w:cs="Arial"/>
          <w:color w:val="000000"/>
          <w:sz w:val="20"/>
          <w:szCs w:val="20"/>
        </w:rPr>
        <w:t xml:space="preserve">ded June 30, 2022, LCR for State Street Bank and Trust was approximately </w:t>
      </w:r>
      <w:r>
        <w:rPr>
          <w:rFonts w:ascii="Arial" w:eastAsia="宋体" w:hAnsi="Arial" w:cs="Arial"/>
          <w:color w:val="000000"/>
          <w:sz w:val="20"/>
          <w:szCs w:val="20"/>
          <w:shd w:val="clear" w:color="auto" w:fill="FFFFFF"/>
        </w:rPr>
        <w:t>122%</w:t>
      </w:r>
      <w:r>
        <w:rPr>
          <w:rFonts w:ascii="Arial" w:eastAsia="宋体" w:hAnsi="Arial" w:cs="Arial"/>
          <w:color w:val="000000"/>
          <w:sz w:val="20"/>
          <w:szCs w:val="20"/>
        </w:rPr>
        <w:t>. State Street Bank and Trust's LCR is higher than the Parent Company's LCR, primarily due to application of the transferability restriction in the LCR Final Rule to the calculati</w:t>
      </w:r>
      <w:r>
        <w:rPr>
          <w:rFonts w:ascii="Arial" w:eastAsia="宋体" w:hAnsi="Arial" w:cs="Arial"/>
          <w:color w:val="000000"/>
          <w:sz w:val="20"/>
          <w:szCs w:val="20"/>
        </w:rPr>
        <w:t>on of the Parent Company's LCR. This restriction limits the HQLA used in the calculation of the Parent Company's LCR to the amount of net cash outflows of its principal banking subsidiary (State Street Bank and Trust). This transferability restriction does</w:t>
      </w:r>
      <w:r>
        <w:rPr>
          <w:rFonts w:ascii="Arial" w:eastAsia="宋体" w:hAnsi="Arial" w:cs="Arial"/>
          <w:color w:val="000000"/>
          <w:sz w:val="20"/>
          <w:szCs w:val="20"/>
        </w:rPr>
        <w:t xml:space="preserve"> not apply in the calculation of State Street Bank and Trust's LCR, and therefore State Street Bank and Trust's LCR reflects the benefit of all of its HQLA holdings.</w:t>
      </w:r>
    </w:p>
    <w:p w14:paraId="392C1943" w14:textId="77777777" w:rsidR="00980E5F" w:rsidRDefault="00483613">
      <w:pPr>
        <w:spacing w:before="60"/>
        <w:ind w:firstLine="450"/>
        <w:jc w:val="both"/>
        <w:textAlignment w:val="top"/>
      </w:pPr>
      <w:r>
        <w:rPr>
          <w:rFonts w:ascii="Arial" w:eastAsia="宋体" w:hAnsi="Arial" w:cs="Arial"/>
          <w:color w:val="000000"/>
          <w:sz w:val="20"/>
          <w:szCs w:val="20"/>
        </w:rPr>
        <w:t>We maintained average cash balances in excess of regulatory requirements governing deposit</w:t>
      </w:r>
      <w:r>
        <w:rPr>
          <w:rFonts w:ascii="Arial" w:eastAsia="宋体" w:hAnsi="Arial" w:cs="Arial"/>
          <w:color w:val="000000"/>
          <w:sz w:val="20"/>
          <w:szCs w:val="20"/>
        </w:rPr>
        <w:t xml:space="preserve">s with the Federal Reserve of approximately </w:t>
      </w:r>
      <w:r>
        <w:rPr>
          <w:rFonts w:ascii="Arial" w:eastAsia="宋体" w:hAnsi="Arial" w:cs="Arial"/>
          <w:color w:val="000000"/>
          <w:sz w:val="20"/>
          <w:szCs w:val="20"/>
          <w:shd w:val="clear" w:color="auto" w:fill="FFFFFF"/>
        </w:rPr>
        <w:t>$72.53 billion at the Federal Reserve, the ECB and other non-U.S. central banks</w:t>
      </w:r>
      <w:r>
        <w:rPr>
          <w:rFonts w:ascii="Arial" w:eastAsia="宋体" w:hAnsi="Arial" w:cs="Arial"/>
          <w:color w:val="000000"/>
          <w:sz w:val="20"/>
          <w:szCs w:val="20"/>
        </w:rPr>
        <w:t xml:space="preserve"> for the quarter ended June 30, 2022, and $83.48 billion for the quarter ended December 31, 2021. The lower levels of average cash ba</w:t>
      </w:r>
      <w:r>
        <w:rPr>
          <w:rFonts w:ascii="Arial" w:eastAsia="宋体" w:hAnsi="Arial" w:cs="Arial"/>
          <w:color w:val="000000"/>
          <w:sz w:val="20"/>
          <w:szCs w:val="20"/>
        </w:rPr>
        <w:t xml:space="preserve">lances with central banks reflect lower levels of client deposits. </w:t>
      </w:r>
    </w:p>
    <w:p w14:paraId="392C1944" w14:textId="77777777" w:rsidR="00980E5F" w:rsidRDefault="00483613">
      <w:pPr>
        <w:spacing w:before="60"/>
        <w:ind w:firstLine="450"/>
        <w:jc w:val="both"/>
        <w:textAlignment w:val="top"/>
      </w:pPr>
      <w:r>
        <w:rPr>
          <w:rFonts w:ascii="Arial" w:eastAsia="宋体" w:hAnsi="Arial" w:cs="Arial"/>
          <w:color w:val="000000"/>
          <w:sz w:val="20"/>
          <w:szCs w:val="20"/>
        </w:rPr>
        <w:t>Liquid securities carried in our asset liquidity include securities pledged without corresponding advances from the Federal Reserve Bank of Boston (FRBB), the FHLB, and other non-U.S. cent</w:t>
      </w:r>
      <w:r>
        <w:rPr>
          <w:rFonts w:ascii="Arial" w:eastAsia="宋体" w:hAnsi="Arial" w:cs="Arial"/>
          <w:color w:val="000000"/>
          <w:sz w:val="20"/>
          <w:szCs w:val="20"/>
        </w:rPr>
        <w:t xml:space="preserve">ral banks. State Street Bank is a member of the FHLB. This membership allows for advances of liquidity in varying terms against high-quality collateral, which helps facilitate asset-and-liability management. As of both June 30, 2022 and December 31, 2021, </w:t>
      </w:r>
      <w:r>
        <w:rPr>
          <w:rFonts w:ascii="Arial" w:eastAsia="宋体" w:hAnsi="Arial" w:cs="Arial"/>
          <w:color w:val="000000"/>
          <w:sz w:val="20"/>
          <w:szCs w:val="20"/>
        </w:rPr>
        <w:t>we ha</w:t>
      </w:r>
      <w:r>
        <w:rPr>
          <w:rFonts w:ascii="Arial" w:eastAsia="宋体" w:hAnsi="Arial" w:cs="Arial"/>
          <w:color w:val="000000"/>
          <w:sz w:val="20"/>
          <w:szCs w:val="20"/>
          <w:shd w:val="clear" w:color="auto" w:fill="FFFFFF"/>
        </w:rPr>
        <w:t xml:space="preserve">d no </w:t>
      </w:r>
      <w:r>
        <w:rPr>
          <w:rFonts w:ascii="Arial" w:eastAsia="宋体" w:hAnsi="Arial" w:cs="Arial"/>
          <w:color w:val="000000"/>
          <w:sz w:val="20"/>
          <w:szCs w:val="20"/>
        </w:rPr>
        <w:t>outstanding borrowings from the FHLB.</w:t>
      </w:r>
    </w:p>
    <w:p w14:paraId="392C1945" w14:textId="77777777" w:rsidR="00980E5F" w:rsidRDefault="00483613">
      <w:pPr>
        <w:spacing w:before="60"/>
        <w:ind w:firstLine="450"/>
        <w:jc w:val="both"/>
        <w:textAlignment w:val="top"/>
      </w:pPr>
      <w:r>
        <w:rPr>
          <w:rFonts w:ascii="Arial" w:eastAsia="宋体" w:hAnsi="Arial" w:cs="Arial"/>
          <w:color w:val="000000"/>
          <w:sz w:val="20"/>
          <w:szCs w:val="20"/>
        </w:rPr>
        <w:t>Access to primary, intra-day and contingent liquidity provided by these utilities is an important source of contingent liquidity with utilization subject to underlying conditions. As of both June 30, 2022 and</w:t>
      </w:r>
      <w:r>
        <w:rPr>
          <w:rFonts w:ascii="Arial" w:eastAsia="宋体" w:hAnsi="Arial" w:cs="Arial"/>
          <w:color w:val="000000"/>
          <w:sz w:val="20"/>
          <w:szCs w:val="20"/>
        </w:rPr>
        <w:t xml:space="preserve"> December 31, 2021, we had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outstanding primary credit borrowings from the FRBB discount window or any other central bank facility.</w:t>
      </w:r>
    </w:p>
    <w:p w14:paraId="392C1946" w14:textId="77777777" w:rsidR="00980E5F" w:rsidRDefault="00483613">
      <w:pPr>
        <w:spacing w:before="60"/>
        <w:ind w:firstLine="450"/>
        <w:jc w:val="both"/>
        <w:textAlignment w:val="top"/>
      </w:pPr>
      <w:r>
        <w:rPr>
          <w:rFonts w:ascii="Arial" w:eastAsia="宋体" w:hAnsi="Arial" w:cs="Arial"/>
          <w:color w:val="000000"/>
          <w:sz w:val="20"/>
          <w:szCs w:val="20"/>
        </w:rPr>
        <w:t>In addition to the securities included in our asset liquidity, we have significant amounts of other unencumbered investmen</w:t>
      </w:r>
      <w:r>
        <w:rPr>
          <w:rFonts w:ascii="Arial" w:eastAsia="宋体" w:hAnsi="Arial" w:cs="Arial"/>
          <w:color w:val="000000"/>
          <w:sz w:val="20"/>
          <w:szCs w:val="20"/>
        </w:rPr>
        <w:t>t securities. These securities are available sources of liquidity, although not as rapidly deployed as those included in our asset liquidity.</w:t>
      </w:r>
    </w:p>
    <w:p w14:paraId="392C1947" w14:textId="77777777" w:rsidR="00980E5F" w:rsidRDefault="00483613">
      <w:pPr>
        <w:ind w:firstLine="450"/>
        <w:jc w:val="right"/>
      </w:pPr>
      <w:r>
        <w:rPr>
          <w:rFonts w:ascii="Arial" w:eastAsia="宋体" w:hAnsi="Arial" w:cs="Arial"/>
          <w:color w:val="000000"/>
          <w:sz w:val="18"/>
          <w:szCs w:val="18"/>
        </w:rPr>
        <w:t>State Street Corporation | 34</w:t>
      </w:r>
    </w:p>
    <w:p w14:paraId="392C1948" w14:textId="77777777" w:rsidR="00980E5F" w:rsidRDefault="00980E5F">
      <w:pPr>
        <w:ind w:firstLine="450"/>
        <w:jc w:val="center"/>
      </w:pPr>
    </w:p>
    <w:p w14:paraId="392C1949" w14:textId="77777777" w:rsidR="00980E5F" w:rsidRDefault="00483613">
      <w:r>
        <w:pict w14:anchorId="392CBAF0">
          <v:rect id="_x0000_i1058" style="width:415.3pt;height:1.5pt" o:hralign="center" o:hrstd="t" o:hr="t" fillcolor="#a0a0a0" stroked="f"/>
        </w:pict>
      </w:r>
    </w:p>
    <w:p w14:paraId="392C194A"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4B" w14:textId="77777777" w:rsidR="00980E5F" w:rsidRDefault="00483613">
      <w:pPr>
        <w:ind w:firstLine="450"/>
        <w:jc w:val="center"/>
      </w:pPr>
      <w:r>
        <w:rPr>
          <w:rFonts w:ascii="Arial" w:eastAsia="宋体" w:hAnsi="Arial" w:cs="Arial"/>
          <w:b/>
          <w:bCs/>
          <w:color w:val="000000"/>
          <w:sz w:val="20"/>
          <w:szCs w:val="20"/>
        </w:rPr>
        <w:t>AND RESULTS OF OPERAT</w:t>
      </w:r>
      <w:r>
        <w:rPr>
          <w:rFonts w:ascii="Arial" w:eastAsia="宋体" w:hAnsi="Arial" w:cs="Arial"/>
          <w:b/>
          <w:bCs/>
          <w:color w:val="000000"/>
          <w:sz w:val="20"/>
          <w:szCs w:val="20"/>
        </w:rPr>
        <w:t>IONS</w:t>
      </w:r>
    </w:p>
    <w:p w14:paraId="392C194C" w14:textId="77777777" w:rsidR="00980E5F" w:rsidRDefault="00483613">
      <w:pPr>
        <w:spacing w:before="60"/>
        <w:ind w:firstLine="450"/>
        <w:jc w:val="both"/>
        <w:textAlignment w:val="top"/>
      </w:pPr>
      <w:r>
        <w:rPr>
          <w:rFonts w:ascii="Arial" w:eastAsia="宋体" w:hAnsi="Arial" w:cs="Arial"/>
          <w:color w:val="000000"/>
          <w:sz w:val="20"/>
          <w:szCs w:val="20"/>
        </w:rPr>
        <w:t xml:space="preserve">The average fair value of total unencumbered securities was </w:t>
      </w:r>
      <w:r>
        <w:rPr>
          <w:rFonts w:ascii="Arial" w:eastAsia="宋体" w:hAnsi="Arial" w:cs="Arial"/>
          <w:color w:val="000000"/>
          <w:sz w:val="20"/>
          <w:szCs w:val="20"/>
          <w:shd w:val="clear" w:color="auto" w:fill="FFFFFF"/>
        </w:rPr>
        <w:t>$91.34 billion</w:t>
      </w:r>
      <w:r>
        <w:rPr>
          <w:rFonts w:ascii="Arial" w:eastAsia="宋体" w:hAnsi="Arial" w:cs="Arial"/>
          <w:color w:val="000000"/>
          <w:sz w:val="20"/>
          <w:szCs w:val="20"/>
        </w:rPr>
        <w:t xml:space="preserve"> for the quarter ended June 30, 2022, compared to $99.47 billion for the quarter ended December 31, 2021.</w:t>
      </w:r>
    </w:p>
    <w:p w14:paraId="392C194D" w14:textId="77777777" w:rsidR="00980E5F" w:rsidRDefault="00483613">
      <w:pPr>
        <w:spacing w:before="60"/>
        <w:jc w:val="both"/>
        <w:textAlignment w:val="top"/>
      </w:pPr>
      <w:r>
        <w:rPr>
          <w:rFonts w:ascii="Arial" w:eastAsia="宋体" w:hAnsi="Arial" w:cs="Arial"/>
          <w:b/>
          <w:bCs/>
          <w:i/>
          <w:iCs/>
          <w:color w:val="000000"/>
          <w:sz w:val="20"/>
          <w:szCs w:val="20"/>
        </w:rPr>
        <w:t>Uses of Liquidity</w:t>
      </w:r>
    </w:p>
    <w:p w14:paraId="392C194E" w14:textId="77777777" w:rsidR="00980E5F" w:rsidRDefault="00483613">
      <w:pPr>
        <w:spacing w:before="60"/>
        <w:ind w:firstLine="450"/>
        <w:jc w:val="both"/>
        <w:textAlignment w:val="top"/>
      </w:pPr>
      <w:r>
        <w:rPr>
          <w:rFonts w:ascii="Arial" w:eastAsia="宋体" w:hAnsi="Arial" w:cs="Arial"/>
          <w:color w:val="000000"/>
          <w:sz w:val="20"/>
          <w:szCs w:val="20"/>
        </w:rPr>
        <w:t>Significant uses of our liquidity could result from t</w:t>
      </w:r>
      <w:r>
        <w:rPr>
          <w:rFonts w:ascii="Arial" w:eastAsia="宋体" w:hAnsi="Arial" w:cs="Arial"/>
          <w:color w:val="000000"/>
          <w:sz w:val="20"/>
          <w:szCs w:val="20"/>
        </w:rPr>
        <w:t>he following: withdrawals of client deposits; drawdowns by our custody clients of lines of credit; advances to clients to settle securities transactions; increases in our investment and loan portfolios; or other permitted purposes. Such circumstances would</w:t>
      </w:r>
      <w:r>
        <w:rPr>
          <w:rFonts w:ascii="Arial" w:eastAsia="宋体" w:hAnsi="Arial" w:cs="Arial"/>
          <w:color w:val="000000"/>
          <w:sz w:val="20"/>
          <w:szCs w:val="20"/>
        </w:rPr>
        <w:t xml:space="preserve"> generally arise under stress conditions including deterioration in credit ratings. A recurring use of our liquidity involves our deployment of HQLA from our investment portfolio to post collateral to financial institutions serving as sources of securities</w:t>
      </w:r>
      <w:r>
        <w:rPr>
          <w:rFonts w:ascii="Arial" w:eastAsia="宋体" w:hAnsi="Arial" w:cs="Arial"/>
          <w:color w:val="000000"/>
          <w:sz w:val="20"/>
          <w:szCs w:val="20"/>
        </w:rPr>
        <w:t xml:space="preserve"> under our enhanced custody program.</w:t>
      </w:r>
    </w:p>
    <w:p w14:paraId="392C194F" w14:textId="77777777" w:rsidR="00980E5F" w:rsidRDefault="00483613">
      <w:pPr>
        <w:spacing w:before="60"/>
        <w:ind w:firstLine="450"/>
        <w:jc w:val="both"/>
        <w:textAlignment w:val="top"/>
      </w:pPr>
      <w:r>
        <w:rPr>
          <w:rFonts w:ascii="Arial" w:eastAsia="宋体" w:hAnsi="Arial" w:cs="Arial"/>
          <w:color w:val="000000"/>
          <w:sz w:val="20"/>
          <w:szCs w:val="20"/>
        </w:rPr>
        <w:t xml:space="preserve">We had unfunded commitments to extend credit with gross contractual amounts totaling </w:t>
      </w:r>
      <w:r>
        <w:rPr>
          <w:rFonts w:ascii="Arial" w:eastAsia="宋体" w:hAnsi="Arial" w:cs="Arial"/>
          <w:color w:val="000000"/>
          <w:sz w:val="20"/>
          <w:szCs w:val="20"/>
          <w:shd w:val="clear" w:color="auto" w:fill="FFFFFF"/>
        </w:rPr>
        <w:t>$32.94 billion</w:t>
      </w:r>
      <w:r>
        <w:rPr>
          <w:rFonts w:ascii="Arial" w:eastAsia="宋体" w:hAnsi="Arial" w:cs="Arial"/>
          <w:color w:val="000000"/>
          <w:sz w:val="20"/>
          <w:szCs w:val="20"/>
        </w:rPr>
        <w:t xml:space="preserve"> and $33.03 billion and standby letters of credit totaling </w:t>
      </w:r>
      <w:r>
        <w:rPr>
          <w:rFonts w:ascii="Arial" w:eastAsia="宋体" w:hAnsi="Arial" w:cs="Arial"/>
          <w:color w:val="000000"/>
          <w:sz w:val="20"/>
          <w:szCs w:val="20"/>
          <w:shd w:val="clear" w:color="auto" w:fill="FFFFFF"/>
        </w:rPr>
        <w:t>$2.54 billion</w:t>
      </w:r>
      <w:r>
        <w:rPr>
          <w:rFonts w:ascii="Arial" w:eastAsia="宋体" w:hAnsi="Arial" w:cs="Arial"/>
          <w:color w:val="000000"/>
          <w:sz w:val="20"/>
          <w:szCs w:val="20"/>
        </w:rPr>
        <w:t xml:space="preserve"> and $3.24 billion as of June 30, 2022 and Decem</w:t>
      </w:r>
      <w:r>
        <w:rPr>
          <w:rFonts w:ascii="Arial" w:eastAsia="宋体" w:hAnsi="Arial" w:cs="Arial"/>
          <w:color w:val="000000"/>
          <w:sz w:val="20"/>
          <w:szCs w:val="20"/>
        </w:rPr>
        <w:t xml:space="preserve">ber 31, 2021, respectively. These amounts do not reflect the value of any collateral. As of June 30, 2022, approximately </w:t>
      </w:r>
      <w:r>
        <w:rPr>
          <w:rFonts w:ascii="Arial" w:eastAsia="宋体" w:hAnsi="Arial" w:cs="Arial"/>
          <w:color w:val="000000"/>
          <w:sz w:val="20"/>
          <w:szCs w:val="20"/>
          <w:shd w:val="clear" w:color="auto" w:fill="FFFFFF"/>
        </w:rPr>
        <w:t>78%</w:t>
      </w:r>
      <w:r>
        <w:rPr>
          <w:rFonts w:ascii="Arial" w:eastAsia="宋体" w:hAnsi="Arial" w:cs="Arial"/>
          <w:color w:val="000000"/>
          <w:sz w:val="20"/>
          <w:szCs w:val="20"/>
        </w:rPr>
        <w:t xml:space="preserve"> of our unfunded commitments to extend credit and </w:t>
      </w:r>
      <w:r>
        <w:rPr>
          <w:rFonts w:ascii="Arial" w:eastAsia="宋体" w:hAnsi="Arial" w:cs="Arial"/>
          <w:color w:val="000000"/>
          <w:sz w:val="20"/>
          <w:szCs w:val="20"/>
          <w:shd w:val="clear" w:color="auto" w:fill="FFFFFF"/>
        </w:rPr>
        <w:t>38%</w:t>
      </w:r>
      <w:r>
        <w:rPr>
          <w:rFonts w:ascii="Arial" w:eastAsia="宋体" w:hAnsi="Arial" w:cs="Arial"/>
          <w:color w:val="000000"/>
          <w:sz w:val="20"/>
          <w:szCs w:val="20"/>
        </w:rPr>
        <w:t xml:space="preserve"> of our standby letters of credit expire within one year. Since many of our commitments are expected to expire or renew without being drawn upon, the gross contractual amounts do not necessarily represent our future cash requirements.</w:t>
      </w:r>
    </w:p>
    <w:p w14:paraId="392C1950" w14:textId="77777777" w:rsidR="00980E5F" w:rsidRDefault="00483613">
      <w:pPr>
        <w:spacing w:before="60"/>
        <w:jc w:val="both"/>
        <w:textAlignment w:val="top"/>
      </w:pPr>
      <w:r>
        <w:rPr>
          <w:rFonts w:ascii="Arial" w:eastAsia="宋体" w:hAnsi="Arial" w:cs="Arial"/>
          <w:i/>
          <w:iCs/>
          <w:color w:val="000000"/>
          <w:sz w:val="20"/>
          <w:szCs w:val="20"/>
        </w:rPr>
        <w:t>Resolution Planning</w:t>
      </w:r>
    </w:p>
    <w:p w14:paraId="392C1951" w14:textId="77777777" w:rsidR="00980E5F" w:rsidRDefault="00483613">
      <w:pPr>
        <w:spacing w:before="60"/>
        <w:ind w:firstLine="450"/>
        <w:jc w:val="both"/>
        <w:textAlignment w:val="top"/>
      </w:pPr>
      <w:r>
        <w:rPr>
          <w:rFonts w:ascii="Arial" w:eastAsia="宋体" w:hAnsi="Arial" w:cs="Arial"/>
          <w:color w:val="000000"/>
          <w:sz w:val="20"/>
          <w:szCs w:val="20"/>
        </w:rPr>
        <w:t>U</w:t>
      </w:r>
      <w:r>
        <w:rPr>
          <w:rFonts w:ascii="Arial" w:eastAsia="宋体" w:hAnsi="Arial" w:cs="Arial"/>
          <w:color w:val="000000"/>
          <w:sz w:val="20"/>
          <w:szCs w:val="20"/>
        </w:rPr>
        <w:t>nder Section 165(d) of the Dodd-Frank Act, we are required to submit a resolution plan on a biennial basis jointly to the Federal Reserve and the FDIC (the Agencies). The purpose of our resolution plan is to describe our preferred resolution strategy and t</w:t>
      </w:r>
      <w:r>
        <w:rPr>
          <w:rFonts w:ascii="Arial" w:eastAsia="宋体" w:hAnsi="Arial" w:cs="Arial"/>
          <w:color w:val="000000"/>
          <w:sz w:val="20"/>
          <w:szCs w:val="20"/>
        </w:rPr>
        <w:t>o demonstrate that we have the resources and capabilities to execute on that strategy in the event of major financial distress. Through resolution planning, we seek to maintain our role as a key infrastructure provider within the financial system, while mi</w:t>
      </w:r>
      <w:r>
        <w:rPr>
          <w:rFonts w:ascii="Arial" w:eastAsia="宋体" w:hAnsi="Arial" w:cs="Arial"/>
          <w:color w:val="000000"/>
          <w:sz w:val="20"/>
          <w:szCs w:val="20"/>
        </w:rPr>
        <w:t>nimizing risk to the financial system.</w:t>
      </w:r>
    </w:p>
    <w:p w14:paraId="392C1952" w14:textId="77777777" w:rsidR="00980E5F" w:rsidRDefault="00483613">
      <w:pPr>
        <w:spacing w:before="60"/>
        <w:ind w:firstLine="450"/>
        <w:jc w:val="both"/>
        <w:textAlignment w:val="top"/>
      </w:pPr>
      <w:r>
        <w:rPr>
          <w:rFonts w:ascii="Arial" w:eastAsia="宋体" w:hAnsi="Arial" w:cs="Arial"/>
          <w:color w:val="000000"/>
          <w:sz w:val="20"/>
          <w:szCs w:val="20"/>
        </w:rPr>
        <w:t>The final rule published in the Federal Register on November 1, 2019 requires a full resolution plan and a targeted resolution plan on an alternating basis in the relevant submission years. We submitted our updated 20</w:t>
      </w:r>
      <w:r>
        <w:rPr>
          <w:rFonts w:ascii="Arial" w:eastAsia="宋体" w:hAnsi="Arial" w:cs="Arial"/>
          <w:color w:val="000000"/>
          <w:sz w:val="20"/>
          <w:szCs w:val="20"/>
        </w:rPr>
        <w:t>21 targeted 165(d) resolution plan by July 1, 2021. The targeted resolution plan included the core elements of resolution planning and some specific firm level information about the impact of the COVID-19 pandemic on resolution planning. In addition, actio</w:t>
      </w:r>
      <w:r>
        <w:rPr>
          <w:rFonts w:ascii="Arial" w:eastAsia="宋体" w:hAnsi="Arial" w:cs="Arial"/>
          <w:color w:val="000000"/>
          <w:sz w:val="20"/>
          <w:szCs w:val="20"/>
        </w:rPr>
        <w:t>ns taken to remediate the 2019 shortcoming related to the implementation of governance mechanisms were included in the plan. Our next full resolution plan is due July 1, 2023.</w:t>
      </w:r>
    </w:p>
    <w:p w14:paraId="392C1953" w14:textId="77777777" w:rsidR="00980E5F" w:rsidRDefault="00483613">
      <w:pPr>
        <w:spacing w:before="60"/>
        <w:ind w:firstLine="450"/>
        <w:jc w:val="both"/>
        <w:textAlignment w:val="top"/>
      </w:pPr>
      <w:r>
        <w:rPr>
          <w:rFonts w:ascii="Arial" w:eastAsia="宋体" w:hAnsi="Arial" w:cs="Arial"/>
          <w:color w:val="000000"/>
          <w:sz w:val="20"/>
          <w:szCs w:val="20"/>
        </w:rPr>
        <w:t>In the event of material financial distress, our preferred resolution strategy i</w:t>
      </w:r>
      <w:r>
        <w:rPr>
          <w:rFonts w:ascii="Arial" w:eastAsia="宋体" w:hAnsi="Arial" w:cs="Arial"/>
          <w:color w:val="000000"/>
          <w:sz w:val="20"/>
          <w:szCs w:val="20"/>
        </w:rPr>
        <w:t>s the SPOE Strategy. The SPOE Strategy provides that prior to the bankruptcy of the Parent Company and pursuant to a support agreement among the Parent Company, SSIF (a direct subsidiary of the Parent Company), our Beneficiary Entities (as defined below) a</w:t>
      </w:r>
      <w:r>
        <w:rPr>
          <w:rFonts w:ascii="Arial" w:eastAsia="宋体" w:hAnsi="Arial" w:cs="Arial"/>
          <w:color w:val="000000"/>
          <w:sz w:val="20"/>
          <w:szCs w:val="20"/>
        </w:rPr>
        <w:t>nd certain of our other entities, SSIF is obligated, up to its available resources, to recapitalize and/or provide liquidity to State Street Bank and the other entities benefiting from such capital and/or liquidity support (collectively with State Street B</w:t>
      </w:r>
      <w:r>
        <w:rPr>
          <w:rFonts w:ascii="Arial" w:eastAsia="宋体" w:hAnsi="Arial" w:cs="Arial"/>
          <w:color w:val="000000"/>
          <w:sz w:val="20"/>
          <w:szCs w:val="20"/>
        </w:rPr>
        <w:t>ank, “Beneficiary Entities”), in amounts designed to prevent the Beneficiary Entities from themselves entering into resolution proceedings. Following the recapitalization of, or provision of liquidity to the Beneficiary Entities, the Parent Company would e</w:t>
      </w:r>
      <w:r>
        <w:rPr>
          <w:rFonts w:ascii="Arial" w:eastAsia="宋体" w:hAnsi="Arial" w:cs="Arial"/>
          <w:color w:val="000000"/>
          <w:sz w:val="20"/>
          <w:szCs w:val="20"/>
        </w:rPr>
        <w:t>nter into a bankruptcy proceeding under the U.S. Bankruptcy Code. The Beneficiary Entities and our other subsidiaries would be transferred to a newly organized holding company held by a reorganization trust for the benefit of the Parent Company’s claimants</w:t>
      </w:r>
      <w:r>
        <w:rPr>
          <w:rFonts w:ascii="Arial" w:eastAsia="宋体" w:hAnsi="Arial" w:cs="Arial"/>
          <w:color w:val="000000"/>
          <w:sz w:val="20"/>
          <w:szCs w:val="20"/>
        </w:rPr>
        <w:t xml:space="preserve">. </w:t>
      </w:r>
    </w:p>
    <w:p w14:paraId="392C1954" w14:textId="77777777" w:rsidR="00980E5F" w:rsidRDefault="00483613">
      <w:pPr>
        <w:spacing w:before="60"/>
        <w:ind w:firstLine="450"/>
        <w:jc w:val="both"/>
        <w:textAlignment w:val="top"/>
      </w:pPr>
      <w:r>
        <w:rPr>
          <w:rFonts w:ascii="Arial" w:eastAsia="宋体" w:hAnsi="Arial" w:cs="Arial"/>
          <w:color w:val="000000"/>
          <w:sz w:val="20"/>
          <w:szCs w:val="20"/>
        </w:rPr>
        <w:t>Under the support agreement, the Parent Company has pre-funded SSIF by contributing certain of its assets (primarily its liquid assets, cash deposits, investments in intercompany debt, investments in marketable securities and other cash and non-cash equ</w:t>
      </w:r>
      <w:r>
        <w:rPr>
          <w:rFonts w:ascii="Arial" w:eastAsia="宋体" w:hAnsi="Arial" w:cs="Arial"/>
          <w:color w:val="000000"/>
          <w:sz w:val="20"/>
          <w:szCs w:val="20"/>
        </w:rPr>
        <w:t>ivalent investments) to SSIF at the time it entered into the support agreement and will continue to contribute such assets, to the extent available, on an on-going basis. In consideration for these contributions, SSIF has agreed in the support agreement to</w:t>
      </w:r>
      <w:r>
        <w:rPr>
          <w:rFonts w:ascii="Arial" w:eastAsia="宋体" w:hAnsi="Arial" w:cs="Arial"/>
          <w:color w:val="000000"/>
          <w:sz w:val="20"/>
          <w:szCs w:val="20"/>
        </w:rPr>
        <w:t xml:space="preserve"> provide capital and liquidity support to the Parent Company and all of the Beneficiary Entities in accordance with the Parent Company’s capital and liquidity policies. Under the support agreement, the Parent Company is only permitted to retain cash needed</w:t>
      </w:r>
      <w:r>
        <w:rPr>
          <w:rFonts w:ascii="Arial" w:eastAsia="宋体" w:hAnsi="Arial" w:cs="Arial"/>
          <w:color w:val="000000"/>
          <w:sz w:val="20"/>
          <w:szCs w:val="20"/>
        </w:rPr>
        <w:t xml:space="preserve"> to meet its upcoming obligations and to fund expected expenses during a potential bankruptcy proceeding. SSIF has provided the Parent Company with a committed credit line and issued (and may issue) one or more promissory notes to the Parent Company (the P</w:t>
      </w:r>
      <w:r>
        <w:rPr>
          <w:rFonts w:ascii="Arial" w:eastAsia="宋体" w:hAnsi="Arial" w:cs="Arial"/>
          <w:color w:val="000000"/>
          <w:sz w:val="20"/>
          <w:szCs w:val="20"/>
        </w:rPr>
        <w:t>arent Company Funding Notes) that together are intended to allow the Parent Company to continue to meet its obligations throughout the period prior to the occurrence of a "Recapitalization Event", which is defined under the support agreement as the earlier</w:t>
      </w:r>
      <w:r>
        <w:rPr>
          <w:rFonts w:ascii="Arial" w:eastAsia="宋体" w:hAnsi="Arial" w:cs="Arial"/>
          <w:color w:val="000000"/>
          <w:sz w:val="20"/>
          <w:szCs w:val="20"/>
        </w:rPr>
        <w:t xml:space="preserve"> occurrence of: (1) one or more capital and liquidity thresholds being breached or (2) the authorization by the Parent Company's Board of Directors for the Parent Company to commence bankruptcy proceedings. The support agreement does not obligate SSIF to m</w:t>
      </w:r>
      <w:r>
        <w:rPr>
          <w:rFonts w:ascii="Arial" w:eastAsia="宋体" w:hAnsi="Arial" w:cs="Arial"/>
          <w:color w:val="000000"/>
          <w:sz w:val="20"/>
          <w:szCs w:val="20"/>
        </w:rPr>
        <w:t>aintain any specific level of resources and SSIF may not have sufficient resources to implement the SPOE Strategy.</w:t>
      </w:r>
    </w:p>
    <w:p w14:paraId="392C1955" w14:textId="77777777" w:rsidR="00980E5F" w:rsidRDefault="00483613">
      <w:pPr>
        <w:ind w:firstLine="450"/>
        <w:jc w:val="right"/>
      </w:pPr>
      <w:r>
        <w:rPr>
          <w:rFonts w:ascii="Arial" w:eastAsia="宋体" w:hAnsi="Arial" w:cs="Arial"/>
          <w:color w:val="000000"/>
          <w:sz w:val="18"/>
          <w:szCs w:val="18"/>
        </w:rPr>
        <w:t>State Street Corporation | 35</w:t>
      </w:r>
    </w:p>
    <w:p w14:paraId="392C1956" w14:textId="77777777" w:rsidR="00980E5F" w:rsidRDefault="00980E5F">
      <w:pPr>
        <w:ind w:firstLine="450"/>
        <w:jc w:val="center"/>
      </w:pPr>
    </w:p>
    <w:p w14:paraId="392C1957" w14:textId="77777777" w:rsidR="00980E5F" w:rsidRDefault="00483613">
      <w:r>
        <w:pict w14:anchorId="392CBAF1">
          <v:rect id="_x0000_i1059" style="width:415.3pt;height:1.5pt" o:hralign="center" o:hrstd="t" o:hr="t" fillcolor="#a0a0a0" stroked="f"/>
        </w:pict>
      </w:r>
    </w:p>
    <w:p w14:paraId="392C1958"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59" w14:textId="77777777" w:rsidR="00980E5F" w:rsidRDefault="00483613">
      <w:pPr>
        <w:ind w:firstLine="450"/>
        <w:jc w:val="center"/>
      </w:pPr>
      <w:r>
        <w:rPr>
          <w:rFonts w:ascii="Arial" w:eastAsia="宋体" w:hAnsi="Arial" w:cs="Arial"/>
          <w:b/>
          <w:bCs/>
          <w:color w:val="000000"/>
          <w:sz w:val="20"/>
          <w:szCs w:val="20"/>
        </w:rPr>
        <w:t>AND RESULTS OF OPERATIONS</w:t>
      </w:r>
    </w:p>
    <w:p w14:paraId="392C195A" w14:textId="77777777" w:rsidR="00980E5F" w:rsidRDefault="00483613">
      <w:pPr>
        <w:spacing w:before="60"/>
        <w:ind w:firstLine="450"/>
        <w:jc w:val="both"/>
        <w:textAlignment w:val="top"/>
      </w:pPr>
      <w:r>
        <w:rPr>
          <w:rFonts w:ascii="Arial" w:eastAsia="宋体" w:hAnsi="Arial" w:cs="Arial"/>
          <w:color w:val="000000"/>
          <w:sz w:val="20"/>
          <w:szCs w:val="20"/>
        </w:rPr>
        <w:t>In the event a Recapitalization Event occurs, the obligations outstanding under the Parent Company Funding Notes would automatically convert into or be exchanged for capital contributed to SSIF. The obligations of the Parent Company and SSIF under the supp</w:t>
      </w:r>
      <w:r>
        <w:rPr>
          <w:rFonts w:ascii="Arial" w:eastAsia="宋体" w:hAnsi="Arial" w:cs="Arial"/>
          <w:color w:val="000000"/>
          <w:sz w:val="20"/>
          <w:szCs w:val="20"/>
        </w:rPr>
        <w:t>ort agreement are secured through a security agreement that grants a lien on the assets that the Parent Company and SSIF would use to fulfill their obligations under the support agreement to the Beneficiary Entities. SSIF is a distinct legal entity separat</w:t>
      </w:r>
      <w:r>
        <w:rPr>
          <w:rFonts w:ascii="Arial" w:eastAsia="宋体" w:hAnsi="Arial" w:cs="Arial"/>
          <w:color w:val="000000"/>
          <w:sz w:val="20"/>
          <w:szCs w:val="20"/>
        </w:rPr>
        <w:t xml:space="preserve">e from the Parent Company and the Parent Company’s other affiliates. </w:t>
      </w:r>
    </w:p>
    <w:p w14:paraId="392C195B" w14:textId="77777777" w:rsidR="00980E5F" w:rsidRDefault="00483613">
      <w:pPr>
        <w:spacing w:before="60"/>
        <w:ind w:firstLine="450"/>
        <w:jc w:val="both"/>
        <w:textAlignment w:val="top"/>
      </w:pPr>
      <w:r>
        <w:rPr>
          <w:rFonts w:ascii="Arial" w:eastAsia="宋体" w:hAnsi="Arial" w:cs="Arial"/>
          <w:color w:val="000000"/>
          <w:sz w:val="20"/>
          <w:szCs w:val="20"/>
        </w:rPr>
        <w:t>In accordance with our policies, we are required to monitor, on an ongoing basis, the capital and liquidity needs of State Street Bank and our other Beneficiary Entities. To support this</w:t>
      </w:r>
      <w:r>
        <w:rPr>
          <w:rFonts w:ascii="Arial" w:eastAsia="宋体" w:hAnsi="Arial" w:cs="Arial"/>
          <w:color w:val="000000"/>
          <w:sz w:val="20"/>
          <w:szCs w:val="20"/>
        </w:rPr>
        <w:t xml:space="preserve"> process, we have established a trigger framework that identifies key actions that would need to be taken or decisions that would need to be made if certain events tied to our financial condition occur. The trigger thresholds are set at levels intended to </w:t>
      </w:r>
      <w:r>
        <w:rPr>
          <w:rFonts w:ascii="Arial" w:eastAsia="宋体" w:hAnsi="Arial" w:cs="Arial"/>
          <w:color w:val="000000"/>
          <w:sz w:val="20"/>
          <w:szCs w:val="20"/>
        </w:rPr>
        <w:t xml:space="preserve">provide for the availability of sufficient capital and liquidity to enable an orderly resolution without extraordinary government support that results in us emerging from resolution as a stabilized institution with market confidence restored. </w:t>
      </w:r>
    </w:p>
    <w:p w14:paraId="392C195C" w14:textId="77777777" w:rsidR="00980E5F" w:rsidRDefault="00483613">
      <w:pPr>
        <w:spacing w:before="60"/>
        <w:ind w:firstLine="450"/>
        <w:jc w:val="both"/>
        <w:textAlignment w:val="top"/>
      </w:pPr>
      <w:r>
        <w:rPr>
          <w:rFonts w:ascii="Arial" w:eastAsia="宋体" w:hAnsi="Arial" w:cs="Arial"/>
          <w:color w:val="000000"/>
          <w:sz w:val="20"/>
          <w:szCs w:val="20"/>
        </w:rPr>
        <w:t>Upon the occ</w:t>
      </w:r>
      <w:r>
        <w:rPr>
          <w:rFonts w:ascii="Arial" w:eastAsia="宋体" w:hAnsi="Arial" w:cs="Arial"/>
          <w:color w:val="000000"/>
          <w:sz w:val="20"/>
          <w:szCs w:val="20"/>
        </w:rPr>
        <w:t>urrence of a Recapitalization Event: (1) SSIF would not be authorized to provide any further liquidity to the Parent Company; (2) the Parent Company would be required to contribute to SSIF any remaining assets it is required to contribute to SSIF under the</w:t>
      </w:r>
      <w:r>
        <w:rPr>
          <w:rFonts w:ascii="Arial" w:eastAsia="宋体" w:hAnsi="Arial" w:cs="Arial"/>
          <w:color w:val="000000"/>
          <w:sz w:val="20"/>
          <w:szCs w:val="20"/>
        </w:rPr>
        <w:t xml:space="preserve"> support agreement, (which specifically exclude amounts designated to fund expected expenses during a potential bankruptcy proceeding); (3) SSIF would be required to provide capital and liquidity support to the Beneficiary Entities to support such entities</w:t>
      </w:r>
      <w:r>
        <w:rPr>
          <w:rFonts w:ascii="Arial" w:eastAsia="宋体" w:hAnsi="Arial" w:cs="Arial"/>
          <w:color w:val="000000"/>
          <w:sz w:val="20"/>
          <w:szCs w:val="20"/>
        </w:rPr>
        <w:t>’ continued operation to the extent of its available resources and consistent with the support agreement; and (4) the Parent Company would be expected to commence Chapter 11 proceedings under the U.S. Bankruptcy Code. No person or entity, other than a part</w:t>
      </w:r>
      <w:r>
        <w:rPr>
          <w:rFonts w:ascii="Arial" w:eastAsia="宋体" w:hAnsi="Arial" w:cs="Arial"/>
          <w:color w:val="000000"/>
          <w:sz w:val="20"/>
          <w:szCs w:val="20"/>
        </w:rPr>
        <w:t xml:space="preserve">y to the support agreement, should rely on any of our affiliates being or remaining a Beneficiary Entity or receiving capital or liquidity support pursuant to the support agreement, including in evaluating any of our entities from a creditor's perspective </w:t>
      </w:r>
      <w:r>
        <w:rPr>
          <w:rFonts w:ascii="Arial" w:eastAsia="宋体" w:hAnsi="Arial" w:cs="Arial"/>
          <w:color w:val="000000"/>
          <w:sz w:val="20"/>
          <w:szCs w:val="20"/>
        </w:rPr>
        <w:t xml:space="preserve">or determining whether to enter into a contractual relationship with any of our entities. </w:t>
      </w:r>
    </w:p>
    <w:p w14:paraId="392C195D" w14:textId="77777777" w:rsidR="00980E5F" w:rsidRDefault="00483613">
      <w:pPr>
        <w:spacing w:before="60"/>
        <w:ind w:firstLine="450"/>
        <w:jc w:val="both"/>
        <w:textAlignment w:val="top"/>
      </w:pPr>
      <w:r>
        <w:rPr>
          <w:rFonts w:ascii="Arial" w:eastAsia="宋体" w:hAnsi="Arial" w:cs="Arial"/>
          <w:color w:val="000000"/>
          <w:sz w:val="20"/>
          <w:szCs w:val="20"/>
        </w:rPr>
        <w:t>State Street Bank is also required to submit periodically to the FDIC a plan for resolution in the event of its failure, referred to as an IDI plan. We submitted our</w:t>
      </w:r>
      <w:r>
        <w:rPr>
          <w:rFonts w:ascii="Arial" w:eastAsia="宋体" w:hAnsi="Arial" w:cs="Arial"/>
          <w:color w:val="000000"/>
          <w:sz w:val="20"/>
          <w:szCs w:val="20"/>
        </w:rPr>
        <w:t xml:space="preserve"> last IDI plan before July 1, 2018. In November 2018, the FDIC had announced that until the FDIC completed revisions to its IDI plan requirements, no IDI plans would be required to be filed. On June 25, 2021, the FDIC issued a policy statement on resolutio</w:t>
      </w:r>
      <w:r>
        <w:rPr>
          <w:rFonts w:ascii="Arial" w:eastAsia="宋体" w:hAnsi="Arial" w:cs="Arial"/>
          <w:color w:val="000000"/>
          <w:sz w:val="20"/>
          <w:szCs w:val="20"/>
        </w:rPr>
        <w:t xml:space="preserve">n plans for IDIs that allows for </w:t>
      </w:r>
    </w:p>
    <w:p w14:paraId="392C195E" w14:textId="77777777" w:rsidR="00980E5F" w:rsidRDefault="00483613">
      <w:pPr>
        <w:spacing w:before="60"/>
        <w:jc w:val="both"/>
        <w:textAlignment w:val="top"/>
      </w:pPr>
      <w:r>
        <w:rPr>
          <w:rFonts w:ascii="Arial" w:eastAsia="宋体" w:hAnsi="Arial" w:cs="Arial"/>
          <w:color w:val="000000"/>
          <w:sz w:val="20"/>
          <w:szCs w:val="20"/>
        </w:rPr>
        <w:t>content streamlining and adjusts the frequency of submissions to a three-year cycle. State Street Bank’s next IDI plan submission deadline is December 1, 2023.</w:t>
      </w:r>
    </w:p>
    <w:p w14:paraId="392C195F" w14:textId="77777777" w:rsidR="00980E5F" w:rsidRDefault="00483613">
      <w:pPr>
        <w:spacing w:before="60"/>
        <w:ind w:firstLine="450"/>
        <w:jc w:val="both"/>
        <w:textAlignment w:val="top"/>
      </w:pPr>
      <w:r>
        <w:rPr>
          <w:rFonts w:ascii="Arial" w:eastAsia="宋体" w:hAnsi="Arial" w:cs="Arial"/>
          <w:color w:val="000000"/>
          <w:sz w:val="20"/>
          <w:szCs w:val="20"/>
        </w:rPr>
        <w:t>Additionally, we are required to submit a recovery plan to the</w:t>
      </w:r>
      <w:r>
        <w:rPr>
          <w:rFonts w:ascii="Arial" w:eastAsia="宋体" w:hAnsi="Arial" w:cs="Arial"/>
          <w:color w:val="000000"/>
          <w:sz w:val="20"/>
          <w:szCs w:val="20"/>
        </w:rPr>
        <w:t xml:space="preserve"> Federal Reserve. This plan includes detailed governance triggers and contingency actions that can be implemented in a timely manner in the event of extreme financial distress. We also have recovery planning requirements in certain international jurisdicti</w:t>
      </w:r>
      <w:r>
        <w:rPr>
          <w:rFonts w:ascii="Arial" w:eastAsia="宋体" w:hAnsi="Arial" w:cs="Arial"/>
          <w:color w:val="000000"/>
          <w:sz w:val="20"/>
          <w:szCs w:val="20"/>
        </w:rPr>
        <w:t>ons where we operate.</w:t>
      </w:r>
    </w:p>
    <w:p w14:paraId="392C1960" w14:textId="77777777" w:rsidR="00980E5F" w:rsidRDefault="00483613">
      <w:pPr>
        <w:spacing w:before="60"/>
        <w:textAlignment w:val="top"/>
      </w:pPr>
      <w:r>
        <w:rPr>
          <w:rFonts w:ascii="Arial" w:eastAsia="宋体" w:hAnsi="Arial" w:cs="Arial"/>
          <w:b/>
          <w:bCs/>
          <w:i/>
          <w:iCs/>
          <w:color w:val="000000"/>
          <w:sz w:val="20"/>
          <w:szCs w:val="20"/>
        </w:rPr>
        <w:t>Funding</w:t>
      </w:r>
    </w:p>
    <w:p w14:paraId="392C1961" w14:textId="77777777" w:rsidR="00980E5F" w:rsidRDefault="00483613">
      <w:pPr>
        <w:spacing w:before="60"/>
        <w:textAlignment w:val="top"/>
      </w:pPr>
      <w:r>
        <w:rPr>
          <w:rFonts w:ascii="Arial" w:eastAsia="宋体" w:hAnsi="Arial" w:cs="Arial"/>
          <w:i/>
          <w:iCs/>
          <w:color w:val="000000"/>
          <w:sz w:val="20"/>
          <w:szCs w:val="20"/>
        </w:rPr>
        <w:t>Deposits</w:t>
      </w:r>
    </w:p>
    <w:p w14:paraId="392C1962" w14:textId="77777777" w:rsidR="00980E5F" w:rsidRDefault="00483613">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management, financial asset management, securities finance and investment advisory services. As a provid</w:t>
      </w:r>
      <w:r>
        <w:rPr>
          <w:rFonts w:ascii="Arial" w:eastAsia="宋体" w:hAnsi="Arial" w:cs="Arial"/>
          <w:color w:val="000000"/>
          <w:sz w:val="20"/>
          <w:szCs w:val="20"/>
        </w:rPr>
        <w:t>er of these products and services, we generate client deposits, which have generally provided a stable, low-cost source of funds. As a global custodian, clients place deposits with our entities in various currencies. As of both June 30, 2022 and December 3</w:t>
      </w:r>
      <w:r>
        <w:rPr>
          <w:rFonts w:ascii="Arial" w:eastAsia="宋体" w:hAnsi="Arial" w:cs="Arial"/>
          <w:color w:val="000000"/>
          <w:sz w:val="20"/>
          <w:szCs w:val="20"/>
        </w:rPr>
        <w:t>1, 2021, approximately 65% of our average total deposit balances were denominated in U.S. dollars, 15% in EUR, 10% in GBP and 10% in all other currencies.</w:t>
      </w:r>
    </w:p>
    <w:p w14:paraId="392C1963" w14:textId="77777777" w:rsidR="00980E5F" w:rsidRDefault="00483613">
      <w:pPr>
        <w:spacing w:before="60"/>
        <w:textAlignment w:val="top"/>
      </w:pPr>
      <w:r>
        <w:rPr>
          <w:rFonts w:ascii="Arial" w:eastAsia="宋体" w:hAnsi="Arial" w:cs="Arial"/>
          <w:i/>
          <w:iCs/>
          <w:color w:val="000000"/>
          <w:sz w:val="20"/>
          <w:szCs w:val="20"/>
        </w:rPr>
        <w:t>Short-Term Funding</w:t>
      </w:r>
    </w:p>
    <w:p w14:paraId="392C1964" w14:textId="77777777" w:rsidR="00980E5F" w:rsidRDefault="00483613">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w:t>
      </w:r>
      <w:r>
        <w:rPr>
          <w:rFonts w:ascii="Arial" w:eastAsia="宋体" w:hAnsi="Arial" w:cs="Arial"/>
          <w:color w:val="000000"/>
          <w:sz w:val="20"/>
          <w:szCs w:val="20"/>
        </w:rPr>
        <w:t xml:space="preserve"> management strategy. These assets provide liquidity through maturities of the assets, but more importantly, they provide us with the ability to raise funds by pledging the securities as collateral for borrowings or through outright sales. In addition, our</w:t>
      </w:r>
      <w:r>
        <w:rPr>
          <w:rFonts w:ascii="Arial" w:eastAsia="宋体" w:hAnsi="Arial" w:cs="Arial"/>
          <w:color w:val="000000"/>
          <w:sz w:val="20"/>
          <w:szCs w:val="20"/>
        </w:rPr>
        <w:t xml:space="preserve"> access to the global capital markets gives us the ability to source incremental funding from wholesale investors. As discussed earlier under “Asset Liquidity,” State Street Bank's membership in the FHLB allows for advances of liquidity with varying terms </w:t>
      </w:r>
      <w:r>
        <w:rPr>
          <w:rFonts w:ascii="Arial" w:eastAsia="宋体" w:hAnsi="Arial" w:cs="Arial"/>
          <w:color w:val="000000"/>
          <w:sz w:val="20"/>
          <w:szCs w:val="20"/>
        </w:rPr>
        <w:t>against high-quality collateral.</w:t>
      </w:r>
    </w:p>
    <w:p w14:paraId="392C1965" w14:textId="77777777" w:rsidR="00980E5F" w:rsidRDefault="00483613">
      <w:pPr>
        <w:spacing w:before="60"/>
        <w:ind w:firstLine="450"/>
        <w:jc w:val="both"/>
        <w:textAlignment w:val="top"/>
      </w:pPr>
      <w:r>
        <w:rPr>
          <w:rFonts w:ascii="Arial" w:eastAsia="宋体" w:hAnsi="Arial" w:cs="Arial"/>
          <w:color w:val="000000"/>
          <w:sz w:val="20"/>
          <w:szCs w:val="20"/>
        </w:rPr>
        <w:t xml:space="preserve">Short-term secured funding also comes in the form of securities lent or sold under agreements to repurchase. These transactions are short-term in nature, generally overnight and are collateralized by </w:t>
      </w:r>
      <w:r>
        <w:rPr>
          <w:rFonts w:ascii="Arial" w:eastAsia="宋体" w:hAnsi="Arial" w:cs="Arial"/>
          <w:color w:val="000000"/>
          <w:sz w:val="20"/>
          <w:szCs w:val="20"/>
        </w:rPr>
        <w:t>high-quality investment securities. These balances were $0.95 billion and $1.58 billion as of June 30, 2022 and December 31, 2021, respectively.</w:t>
      </w:r>
    </w:p>
    <w:p w14:paraId="392C1966" w14:textId="77777777" w:rsidR="00980E5F" w:rsidRDefault="00483613">
      <w:pPr>
        <w:spacing w:before="60"/>
        <w:ind w:firstLine="450"/>
        <w:jc w:val="both"/>
        <w:textAlignment w:val="top"/>
      </w:pPr>
      <w:r>
        <w:rPr>
          <w:rFonts w:ascii="Arial" w:eastAsia="宋体" w:hAnsi="Arial" w:cs="Arial"/>
          <w:color w:val="000000"/>
          <w:sz w:val="20"/>
          <w:szCs w:val="20"/>
        </w:rPr>
        <w:t xml:space="preserve">State Street Bank currently maintains a line of credit with a financial institution of CAD </w:t>
      </w:r>
      <w:r>
        <w:rPr>
          <w:rFonts w:ascii="Arial" w:eastAsia="宋体" w:hAnsi="Arial" w:cs="Arial"/>
          <w:color w:val="000000"/>
          <w:sz w:val="20"/>
          <w:szCs w:val="20"/>
          <w:shd w:val="clear" w:color="auto" w:fill="FFFFFF"/>
        </w:rPr>
        <w:t>$1.40 billion</w:t>
      </w:r>
      <w:r>
        <w:rPr>
          <w:rFonts w:ascii="Arial" w:eastAsia="宋体" w:hAnsi="Arial" w:cs="Arial"/>
          <w:color w:val="000000"/>
          <w:sz w:val="20"/>
          <w:szCs w:val="20"/>
        </w:rPr>
        <w:t>, or ap</w:t>
      </w:r>
      <w:r>
        <w:rPr>
          <w:rFonts w:ascii="Arial" w:eastAsia="宋体" w:hAnsi="Arial" w:cs="Arial"/>
          <w:color w:val="000000"/>
          <w:sz w:val="20"/>
          <w:szCs w:val="20"/>
        </w:rPr>
        <w:t xml:space="preserve">proximately </w:t>
      </w:r>
      <w:r>
        <w:rPr>
          <w:rFonts w:ascii="Arial" w:eastAsia="宋体" w:hAnsi="Arial" w:cs="Arial"/>
          <w:color w:val="000000"/>
          <w:sz w:val="20"/>
          <w:szCs w:val="20"/>
          <w:shd w:val="clear" w:color="auto" w:fill="FFFFFF"/>
        </w:rPr>
        <w:t>$1.09 billion</w:t>
      </w:r>
      <w:r>
        <w:rPr>
          <w:rFonts w:ascii="Arial" w:eastAsia="宋体" w:hAnsi="Arial" w:cs="Arial"/>
          <w:color w:val="000000"/>
          <w:sz w:val="20"/>
          <w:szCs w:val="20"/>
        </w:rPr>
        <w:t xml:space="preserve">, as of June 30, 2022, to support its Canadian securities processing operations. The line of credit has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stated termination date and is cancelable by either party with prior notice. As of both June 30, 2022 and </w:t>
      </w:r>
    </w:p>
    <w:p w14:paraId="392C1967" w14:textId="77777777" w:rsidR="00980E5F" w:rsidRDefault="00483613">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36</w:t>
      </w:r>
    </w:p>
    <w:p w14:paraId="392C1968" w14:textId="77777777" w:rsidR="00980E5F" w:rsidRDefault="00980E5F">
      <w:pPr>
        <w:ind w:firstLine="450"/>
        <w:jc w:val="center"/>
      </w:pPr>
    </w:p>
    <w:p w14:paraId="392C1969" w14:textId="77777777" w:rsidR="00980E5F" w:rsidRDefault="00483613">
      <w:r>
        <w:pict w14:anchorId="392CBAF2">
          <v:rect id="_x0000_i1060" style="width:415.3pt;height:1.5pt" o:hralign="center" o:hrstd="t" o:hr="t" fillcolor="#a0a0a0" stroked="f"/>
        </w:pict>
      </w:r>
    </w:p>
    <w:p w14:paraId="392C196A"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6B" w14:textId="77777777" w:rsidR="00980E5F" w:rsidRDefault="00483613">
      <w:pPr>
        <w:ind w:firstLine="450"/>
        <w:jc w:val="center"/>
      </w:pPr>
      <w:r>
        <w:rPr>
          <w:rFonts w:ascii="Arial" w:eastAsia="宋体" w:hAnsi="Arial" w:cs="Arial"/>
          <w:b/>
          <w:bCs/>
          <w:color w:val="000000"/>
          <w:sz w:val="20"/>
          <w:szCs w:val="20"/>
        </w:rPr>
        <w:t>AND RESULTS OF OPERATIONS</w:t>
      </w:r>
    </w:p>
    <w:p w14:paraId="392C196C" w14:textId="77777777" w:rsidR="00980E5F" w:rsidRDefault="00483613">
      <w:pPr>
        <w:spacing w:before="60"/>
        <w:jc w:val="both"/>
        <w:textAlignment w:val="top"/>
      </w:pPr>
      <w:r>
        <w:rPr>
          <w:rFonts w:ascii="Arial" w:eastAsia="宋体" w:hAnsi="Arial" w:cs="Arial"/>
          <w:color w:val="000000"/>
          <w:sz w:val="20"/>
          <w:szCs w:val="20"/>
        </w:rPr>
        <w:t xml:space="preserve">December 31, 2021, there was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balance outstanding on this line of credit.</w:t>
      </w:r>
    </w:p>
    <w:p w14:paraId="392C196D" w14:textId="77777777" w:rsidR="00980E5F" w:rsidRDefault="00483613">
      <w:pPr>
        <w:spacing w:before="60"/>
        <w:textAlignment w:val="top"/>
      </w:pPr>
      <w:r>
        <w:rPr>
          <w:rFonts w:ascii="Arial" w:eastAsia="宋体" w:hAnsi="Arial" w:cs="Arial"/>
          <w:i/>
          <w:iCs/>
          <w:color w:val="000000"/>
          <w:sz w:val="20"/>
          <w:szCs w:val="20"/>
        </w:rPr>
        <w:t>Long-Term Funding</w:t>
      </w:r>
    </w:p>
    <w:p w14:paraId="392C196E"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 xml:space="preserve">We have the ability to issue debt and equity </w:t>
      </w:r>
      <w:r>
        <w:rPr>
          <w:rFonts w:ascii="Arial" w:eastAsia="宋体" w:hAnsi="Arial" w:cs="Arial"/>
          <w:color w:val="000000"/>
          <w:sz w:val="20"/>
          <w:szCs w:val="20"/>
          <w:shd w:val="clear" w:color="auto" w:fill="FFFFFF"/>
        </w:rPr>
        <w:t xml:space="preserve">securities under our current universal shelf registration statement to meet current commitments and business needs. In addition, State Street Bank also has current authorization from the Board to issue unsecured senior debt. The total amount remaining for </w:t>
      </w:r>
      <w:r>
        <w:rPr>
          <w:rFonts w:ascii="Arial" w:eastAsia="宋体" w:hAnsi="Arial" w:cs="Arial"/>
          <w:color w:val="000000"/>
          <w:sz w:val="20"/>
          <w:szCs w:val="20"/>
          <w:shd w:val="clear" w:color="auto" w:fill="FFFFFF"/>
        </w:rPr>
        <w:t>issuance pursuant to this authority is</w:t>
      </w:r>
      <w:r>
        <w:rPr>
          <w:rFonts w:ascii="Arial" w:eastAsia="宋体" w:hAnsi="Arial" w:cs="Arial"/>
          <w:color w:val="000000"/>
          <w:sz w:val="20"/>
          <w:szCs w:val="20"/>
        </w:rPr>
        <w:t xml:space="preserve"> $2.15 billion as</w:t>
      </w:r>
      <w:r>
        <w:rPr>
          <w:rFonts w:ascii="Arial" w:eastAsia="宋体" w:hAnsi="Arial" w:cs="Arial"/>
          <w:color w:val="000000"/>
          <w:sz w:val="20"/>
          <w:szCs w:val="20"/>
          <w:shd w:val="clear" w:color="auto" w:fill="FFFFFF"/>
        </w:rPr>
        <w:t xml:space="preserve"> of June 30, 2022.</w:t>
      </w:r>
    </w:p>
    <w:p w14:paraId="392C196F" w14:textId="77777777" w:rsidR="00980E5F" w:rsidRDefault="00483613">
      <w:pPr>
        <w:spacing w:before="60"/>
        <w:ind w:firstLine="450"/>
        <w:jc w:val="both"/>
        <w:textAlignment w:val="top"/>
      </w:pPr>
      <w:r>
        <w:rPr>
          <w:rFonts w:ascii="Arial" w:eastAsia="宋体" w:hAnsi="Arial" w:cs="Arial"/>
          <w:color w:val="000000"/>
          <w:sz w:val="20"/>
          <w:szCs w:val="20"/>
        </w:rPr>
        <w:t>On February 7, 2022, we issued $300 million aggregate principal amount of 1.746% fixed-to-floating rate senior notes due 2026, $650 million aggregate principal amount of 2.203% fixed</w:t>
      </w:r>
      <w:r>
        <w:rPr>
          <w:rFonts w:ascii="Arial" w:eastAsia="宋体" w:hAnsi="Arial" w:cs="Arial"/>
          <w:color w:val="000000"/>
          <w:sz w:val="20"/>
          <w:szCs w:val="20"/>
        </w:rPr>
        <w:t>-to-floating rate senior notes due 2028 and $550 million aggregate principal amount of 2.623% fixed-to-floating rate senior notes due 2033.</w:t>
      </w:r>
    </w:p>
    <w:p w14:paraId="392C1970"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On March 30, 2022, we redeemed $750 million aggregate principal amount of 2.825% fixed-to-floating rate senior notes</w:t>
      </w:r>
      <w:r>
        <w:rPr>
          <w:rFonts w:ascii="Arial" w:eastAsia="宋体" w:hAnsi="Arial" w:cs="Arial"/>
          <w:color w:val="000000"/>
          <w:sz w:val="20"/>
          <w:szCs w:val="20"/>
          <w:shd w:val="clear" w:color="auto" w:fill="FFFFFF"/>
        </w:rPr>
        <w:t xml:space="preserve"> due 2023.</w:t>
      </w:r>
    </w:p>
    <w:p w14:paraId="392C1971"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On May 13, 2022, we issued $500 million aggregate principal amount of 4.421% fixed-to-floating rate senior notes due 2033.</w:t>
      </w:r>
    </w:p>
    <w:p w14:paraId="392C1972" w14:textId="77777777" w:rsidR="00980E5F" w:rsidRDefault="00483613">
      <w:pPr>
        <w:spacing w:before="60"/>
        <w:ind w:firstLine="450"/>
        <w:jc w:val="both"/>
        <w:textAlignment w:val="top"/>
      </w:pPr>
      <w:r>
        <w:rPr>
          <w:rFonts w:ascii="Arial" w:eastAsia="宋体" w:hAnsi="Arial" w:cs="Arial"/>
          <w:color w:val="000000"/>
          <w:sz w:val="20"/>
          <w:szCs w:val="20"/>
          <w:shd w:val="clear" w:color="auto" w:fill="FFFFFF"/>
        </w:rPr>
        <w:t>On May 15, 2022, we redeemed $750 million aggregate principal amount of 2.653% fixed-to-floating rate senior notes due 202</w:t>
      </w:r>
      <w:r>
        <w:rPr>
          <w:rFonts w:ascii="Arial" w:eastAsia="宋体" w:hAnsi="Arial" w:cs="Arial"/>
          <w:color w:val="000000"/>
          <w:sz w:val="20"/>
          <w:szCs w:val="20"/>
          <w:shd w:val="clear" w:color="auto" w:fill="FFFFFF"/>
        </w:rPr>
        <w:t>3.</w:t>
      </w:r>
    </w:p>
    <w:p w14:paraId="392C1973" w14:textId="77777777" w:rsidR="00980E5F" w:rsidRDefault="00483613">
      <w:pPr>
        <w:spacing w:before="60"/>
        <w:jc w:val="both"/>
        <w:textAlignment w:val="top"/>
      </w:pPr>
      <w:r>
        <w:rPr>
          <w:rFonts w:ascii="Arial" w:eastAsia="宋体" w:hAnsi="Arial" w:cs="Arial"/>
          <w:b/>
          <w:bCs/>
          <w:i/>
          <w:iCs/>
          <w:color w:val="000000"/>
          <w:sz w:val="20"/>
          <w:szCs w:val="20"/>
        </w:rPr>
        <w:t>Agency Credit Ratings</w:t>
      </w:r>
    </w:p>
    <w:p w14:paraId="392C1974" w14:textId="77777777" w:rsidR="00980E5F" w:rsidRDefault="00483613">
      <w:pPr>
        <w:spacing w:before="60"/>
        <w:ind w:firstLine="450"/>
        <w:jc w:val="both"/>
        <w:textAlignment w:val="top"/>
      </w:pPr>
      <w:r>
        <w:rPr>
          <w:rFonts w:ascii="Arial" w:eastAsia="宋体" w:hAnsi="Arial" w:cs="Arial"/>
          <w:color w:val="000000"/>
          <w:sz w:val="20"/>
          <w:szCs w:val="20"/>
        </w:rPr>
        <w:t>Our ability to maintain consistent access to liquidity is fostered by the maintenance of high investment grade ratings as measured by the major independent credit rating agencies. Factors essential to maintaining high credit rating</w:t>
      </w:r>
      <w:r>
        <w:rPr>
          <w:rFonts w:ascii="Arial" w:eastAsia="宋体" w:hAnsi="Arial" w:cs="Arial"/>
          <w:color w:val="000000"/>
          <w:sz w:val="20"/>
          <w:szCs w:val="20"/>
        </w:rPr>
        <w:t>s include:</w:t>
      </w:r>
    </w:p>
    <w:p w14:paraId="392C1975" w14:textId="77777777" w:rsidR="00980E5F" w:rsidRDefault="00483613">
      <w:pPr>
        <w:spacing w:before="40"/>
        <w:ind w:hanging="360"/>
        <w:jc w:val="both"/>
        <w:textAlignment w:val="top"/>
      </w:pPr>
      <w:r>
        <w:rPr>
          <w:rFonts w:ascii="Arial" w:eastAsia="宋体" w:hAnsi="Arial" w:cs="Arial"/>
          <w:color w:val="000000"/>
          <w:sz w:val="20"/>
          <w:szCs w:val="20"/>
        </w:rPr>
        <w:t>•diverse and stable core earnings;</w:t>
      </w:r>
    </w:p>
    <w:p w14:paraId="392C1976" w14:textId="77777777" w:rsidR="00980E5F" w:rsidRDefault="00483613">
      <w:pPr>
        <w:spacing w:before="40"/>
        <w:ind w:hanging="360"/>
        <w:jc w:val="both"/>
        <w:textAlignment w:val="top"/>
      </w:pPr>
      <w:r>
        <w:rPr>
          <w:rFonts w:ascii="Arial" w:eastAsia="宋体" w:hAnsi="Arial" w:cs="Arial"/>
          <w:color w:val="000000"/>
          <w:sz w:val="20"/>
          <w:szCs w:val="20"/>
        </w:rPr>
        <w:t>•relative market position;</w:t>
      </w:r>
    </w:p>
    <w:p w14:paraId="392C1977" w14:textId="77777777" w:rsidR="00980E5F" w:rsidRDefault="00483613">
      <w:pPr>
        <w:spacing w:before="40"/>
        <w:ind w:hanging="360"/>
        <w:jc w:val="both"/>
        <w:textAlignment w:val="top"/>
      </w:pPr>
      <w:r>
        <w:rPr>
          <w:rFonts w:ascii="Arial" w:eastAsia="宋体" w:hAnsi="Arial" w:cs="Arial"/>
          <w:color w:val="000000"/>
          <w:sz w:val="20"/>
          <w:szCs w:val="20"/>
        </w:rPr>
        <w:t>•strong risk management;</w:t>
      </w:r>
    </w:p>
    <w:p w14:paraId="392C1978" w14:textId="77777777" w:rsidR="00980E5F" w:rsidRDefault="00483613">
      <w:pPr>
        <w:spacing w:before="40"/>
        <w:ind w:hanging="360"/>
        <w:jc w:val="both"/>
        <w:textAlignment w:val="top"/>
      </w:pPr>
      <w:r>
        <w:rPr>
          <w:rFonts w:ascii="Arial" w:eastAsia="宋体" w:hAnsi="Arial" w:cs="Arial"/>
          <w:color w:val="000000"/>
          <w:sz w:val="20"/>
          <w:szCs w:val="20"/>
        </w:rPr>
        <w:t>•strong capital ratios;</w:t>
      </w:r>
    </w:p>
    <w:p w14:paraId="392C1979" w14:textId="77777777" w:rsidR="00980E5F" w:rsidRDefault="00483613">
      <w:pPr>
        <w:spacing w:before="40"/>
        <w:ind w:hanging="360"/>
        <w:jc w:val="both"/>
        <w:textAlignment w:val="top"/>
      </w:pPr>
      <w:r>
        <w:rPr>
          <w:rFonts w:ascii="Arial" w:eastAsia="宋体" w:hAnsi="Arial" w:cs="Arial"/>
          <w:color w:val="000000"/>
          <w:sz w:val="20"/>
          <w:szCs w:val="20"/>
        </w:rPr>
        <w:t>•diverse liquidity sources, including the global capital markets and client deposits;</w:t>
      </w:r>
    </w:p>
    <w:p w14:paraId="392C197A" w14:textId="77777777" w:rsidR="00980E5F" w:rsidRDefault="00483613">
      <w:pPr>
        <w:spacing w:before="40"/>
        <w:ind w:hanging="360"/>
        <w:jc w:val="both"/>
        <w:textAlignment w:val="top"/>
      </w:pPr>
      <w:r>
        <w:rPr>
          <w:rFonts w:ascii="Arial" w:eastAsia="宋体" w:hAnsi="Arial" w:cs="Arial"/>
          <w:color w:val="000000"/>
          <w:sz w:val="20"/>
          <w:szCs w:val="20"/>
        </w:rPr>
        <w:t xml:space="preserve">•strong liquidity monitoring </w:t>
      </w:r>
      <w:r>
        <w:rPr>
          <w:rFonts w:ascii="Arial" w:eastAsia="宋体" w:hAnsi="Arial" w:cs="Arial"/>
          <w:color w:val="000000"/>
          <w:sz w:val="20"/>
          <w:szCs w:val="20"/>
        </w:rPr>
        <w:t>procedures; and</w:t>
      </w:r>
    </w:p>
    <w:p w14:paraId="392C197B" w14:textId="77777777" w:rsidR="00980E5F" w:rsidRDefault="00483613">
      <w:pPr>
        <w:spacing w:before="40"/>
        <w:ind w:hanging="360"/>
        <w:jc w:val="both"/>
        <w:textAlignment w:val="top"/>
      </w:pPr>
      <w:r>
        <w:rPr>
          <w:rFonts w:ascii="Arial" w:eastAsia="宋体" w:hAnsi="Arial" w:cs="Arial"/>
          <w:color w:val="000000"/>
          <w:sz w:val="20"/>
          <w:szCs w:val="20"/>
        </w:rPr>
        <w:t>•preparedness for current or future regulatory developments.</w:t>
      </w:r>
    </w:p>
    <w:p w14:paraId="392C197C" w14:textId="77777777" w:rsidR="00980E5F" w:rsidRDefault="00483613">
      <w:pPr>
        <w:spacing w:before="60"/>
        <w:ind w:firstLine="450"/>
        <w:textAlignment w:val="top"/>
      </w:pPr>
      <w:r>
        <w:rPr>
          <w:rFonts w:ascii="Arial" w:eastAsia="宋体" w:hAnsi="Arial" w:cs="Arial"/>
          <w:color w:val="000000"/>
          <w:sz w:val="20"/>
          <w:szCs w:val="20"/>
        </w:rPr>
        <w:t>High ratings limit borrowing costs and enhance our liquidity by:</w:t>
      </w:r>
    </w:p>
    <w:p w14:paraId="392C197D" w14:textId="77777777" w:rsidR="00980E5F" w:rsidRDefault="00483613">
      <w:pPr>
        <w:spacing w:before="40"/>
        <w:ind w:hanging="360"/>
        <w:jc w:val="both"/>
        <w:textAlignment w:val="top"/>
      </w:pPr>
      <w:r>
        <w:rPr>
          <w:rFonts w:ascii="Arial" w:eastAsia="宋体" w:hAnsi="Arial" w:cs="Arial"/>
          <w:color w:val="000000"/>
          <w:sz w:val="20"/>
          <w:szCs w:val="20"/>
        </w:rPr>
        <w:t>•providing assurance for unsecured funding and depositors;</w:t>
      </w:r>
    </w:p>
    <w:p w14:paraId="392C197E" w14:textId="77777777" w:rsidR="00980E5F" w:rsidRDefault="00483613">
      <w:pPr>
        <w:spacing w:before="40"/>
        <w:ind w:hanging="360"/>
        <w:jc w:val="both"/>
        <w:textAlignment w:val="top"/>
      </w:pPr>
      <w:r>
        <w:rPr>
          <w:rFonts w:ascii="Arial" w:eastAsia="宋体" w:hAnsi="Arial" w:cs="Arial"/>
          <w:color w:val="000000"/>
          <w:sz w:val="20"/>
          <w:szCs w:val="20"/>
        </w:rPr>
        <w:t>•increasing the potential market for our debt and impro</w:t>
      </w:r>
      <w:r>
        <w:rPr>
          <w:rFonts w:ascii="Arial" w:eastAsia="宋体" w:hAnsi="Arial" w:cs="Arial"/>
          <w:color w:val="000000"/>
          <w:sz w:val="20"/>
          <w:szCs w:val="20"/>
        </w:rPr>
        <w:t>ving our ability to offer products;</w:t>
      </w:r>
    </w:p>
    <w:p w14:paraId="392C197F" w14:textId="77777777" w:rsidR="00980E5F" w:rsidRDefault="00483613">
      <w:pPr>
        <w:spacing w:before="40"/>
        <w:ind w:hanging="360"/>
        <w:jc w:val="both"/>
        <w:textAlignment w:val="top"/>
      </w:pPr>
      <w:r>
        <w:rPr>
          <w:rFonts w:ascii="Arial" w:eastAsia="宋体" w:hAnsi="Arial" w:cs="Arial"/>
          <w:color w:val="000000"/>
          <w:sz w:val="20"/>
          <w:szCs w:val="20"/>
        </w:rPr>
        <w:t xml:space="preserve">•serving markets; and </w:t>
      </w:r>
    </w:p>
    <w:p w14:paraId="392C1980" w14:textId="77777777" w:rsidR="00980E5F" w:rsidRDefault="00483613">
      <w:pPr>
        <w:spacing w:before="40"/>
        <w:ind w:hanging="360"/>
        <w:jc w:val="both"/>
        <w:textAlignment w:val="top"/>
      </w:pPr>
      <w:r>
        <w:rPr>
          <w:rFonts w:ascii="Arial" w:eastAsia="宋体" w:hAnsi="Arial" w:cs="Arial"/>
          <w:color w:val="000000"/>
          <w:sz w:val="20"/>
          <w:szCs w:val="20"/>
        </w:rPr>
        <w:t>•engaging in transactions in which clients value high credit ratings.</w:t>
      </w:r>
    </w:p>
    <w:p w14:paraId="392C1981" w14:textId="77777777" w:rsidR="00980E5F" w:rsidRDefault="00483613">
      <w:pPr>
        <w:spacing w:before="60"/>
        <w:ind w:firstLine="450"/>
        <w:jc w:val="both"/>
        <w:textAlignment w:val="top"/>
      </w:pPr>
      <w:r>
        <w:rPr>
          <w:rFonts w:ascii="Arial" w:eastAsia="宋体" w:hAnsi="Arial" w:cs="Arial"/>
          <w:color w:val="000000"/>
          <w:sz w:val="20"/>
          <w:szCs w:val="20"/>
        </w:rPr>
        <w:t>A downgrade or reduction of our credit ratings could have a material adverse effect on our liquidity by restricting our ability</w:t>
      </w:r>
      <w:r>
        <w:rPr>
          <w:rFonts w:ascii="Arial" w:eastAsia="宋体" w:hAnsi="Arial" w:cs="Arial"/>
          <w:color w:val="000000"/>
          <w:sz w:val="20"/>
          <w:szCs w:val="20"/>
        </w:rPr>
        <w:t xml:space="preserve"> to access the capital markets, </w:t>
      </w:r>
    </w:p>
    <w:p w14:paraId="392C1982" w14:textId="77777777" w:rsidR="00980E5F" w:rsidRDefault="00483613">
      <w:pPr>
        <w:spacing w:before="60"/>
        <w:jc w:val="both"/>
        <w:textAlignment w:val="top"/>
      </w:pPr>
      <w:r>
        <w:rPr>
          <w:rFonts w:ascii="Arial" w:eastAsia="宋体" w:hAnsi="Arial" w:cs="Arial"/>
          <w:color w:val="000000"/>
          <w:sz w:val="20"/>
          <w:szCs w:val="20"/>
        </w:rPr>
        <w:t>which could increase the related cost of funds. In turn, this could cause the sudden and large-scale withdrawal of unsecured deposits by our clients, which could lead to drawdowns of unfunded commitments to extend credit or</w:t>
      </w:r>
      <w:r>
        <w:rPr>
          <w:rFonts w:ascii="Arial" w:eastAsia="宋体" w:hAnsi="Arial" w:cs="Arial"/>
          <w:color w:val="000000"/>
          <w:sz w:val="20"/>
          <w:szCs w:val="20"/>
        </w:rPr>
        <w:t xml:space="preserve"> trigger requirements under securities purchase commitments; or require additional collateral or force terminations of certain trading derivative contracts.</w:t>
      </w:r>
    </w:p>
    <w:p w14:paraId="392C1983" w14:textId="77777777" w:rsidR="00980E5F" w:rsidRDefault="00483613">
      <w:pPr>
        <w:spacing w:before="60"/>
        <w:ind w:firstLine="450"/>
        <w:jc w:val="both"/>
        <w:textAlignment w:val="top"/>
      </w:pPr>
      <w:r>
        <w:rPr>
          <w:rFonts w:ascii="Arial" w:eastAsia="宋体" w:hAnsi="Arial" w:cs="Arial"/>
          <w:color w:val="000000"/>
          <w:sz w:val="20"/>
          <w:szCs w:val="20"/>
        </w:rPr>
        <w:t>A majority of our derivative contracts have been entered into under bilateral agreements with count</w:t>
      </w:r>
      <w:r>
        <w:rPr>
          <w:rFonts w:ascii="Arial" w:eastAsia="宋体" w:hAnsi="Arial" w:cs="Arial"/>
          <w:color w:val="000000"/>
          <w:sz w:val="20"/>
          <w:szCs w:val="20"/>
        </w:rPr>
        <w:t>erparties who may require us to post collateral or terminate the transactions based on changes in our credit ratings. We assess the impact of these arrangements by determining the collateral that would be required assuming a downgrade by all rating agencie</w:t>
      </w:r>
      <w:r>
        <w:rPr>
          <w:rFonts w:ascii="Arial" w:eastAsia="宋体" w:hAnsi="Arial" w:cs="Arial"/>
          <w:color w:val="000000"/>
          <w:sz w:val="20"/>
          <w:szCs w:val="20"/>
        </w:rPr>
        <w:t>s. The additional collateral or termination payments related to our net derivative liabilities under these arrangements that could have been called by counterparties in the event of a downgrade in our credit ratings below levels specified in the agreements</w:t>
      </w:r>
      <w:r>
        <w:rPr>
          <w:rFonts w:ascii="Arial" w:eastAsia="宋体" w:hAnsi="Arial" w:cs="Arial"/>
          <w:color w:val="000000"/>
          <w:sz w:val="20"/>
          <w:szCs w:val="20"/>
        </w:rPr>
        <w:t xml:space="preserve"> is provided in Note 7 to the consolidated financial statements in this Form 10-Q. Other funding sources, such as secured financing transactions and other margin requirements, for which there are no explicit triggers, could also be adversely affected.</w:t>
      </w:r>
    </w:p>
    <w:p w14:paraId="392C1984" w14:textId="77777777" w:rsidR="00980E5F" w:rsidRDefault="00483613">
      <w:pPr>
        <w:spacing w:before="90"/>
        <w:textAlignment w:val="top"/>
      </w:pPr>
      <w:r>
        <w:rPr>
          <w:rFonts w:ascii="Arial" w:eastAsia="宋体" w:hAnsi="Arial" w:cs="Arial"/>
          <w:b/>
          <w:bCs/>
          <w:color w:val="000000"/>
          <w:sz w:val="20"/>
          <w:szCs w:val="20"/>
        </w:rPr>
        <w:t>Operational Risk Management</w:t>
      </w:r>
    </w:p>
    <w:p w14:paraId="392C1985" w14:textId="77777777" w:rsidR="00980E5F" w:rsidRDefault="00483613">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systems or from external events. </w:t>
      </w:r>
    </w:p>
    <w:p w14:paraId="392C1986" w14:textId="77777777" w:rsidR="00980E5F" w:rsidRDefault="00483613">
      <w:pPr>
        <w:spacing w:before="60"/>
        <w:ind w:firstLine="450"/>
        <w:jc w:val="both"/>
        <w:textAlignment w:val="top"/>
      </w:pPr>
      <w:r>
        <w:rPr>
          <w:rFonts w:ascii="Arial" w:eastAsia="宋体" w:hAnsi="Arial" w:cs="Arial"/>
          <w:color w:val="000000"/>
          <w:sz w:val="20"/>
          <w:szCs w:val="20"/>
        </w:rPr>
        <w:t>Tight labor markets, the ongoing war in Ukraine and lingering impacts from the COVID-19 pa</w:t>
      </w:r>
      <w:r>
        <w:rPr>
          <w:rFonts w:ascii="Arial" w:eastAsia="宋体" w:hAnsi="Arial" w:cs="Arial"/>
          <w:color w:val="000000"/>
          <w:sz w:val="20"/>
          <w:szCs w:val="20"/>
        </w:rPr>
        <w:t>ndemic are resulting in stress on the operating environment and have increased, and may continue to increase, operational risk. The war in Ukraine also heightens information technology risk exposures, including cyber-threats. See also “Information Technolo</w:t>
      </w:r>
      <w:r>
        <w:rPr>
          <w:rFonts w:ascii="Arial" w:eastAsia="宋体" w:hAnsi="Arial" w:cs="Arial"/>
          <w:color w:val="000000"/>
          <w:sz w:val="20"/>
          <w:szCs w:val="20"/>
        </w:rPr>
        <w:t xml:space="preserve">gy Risk Management” below. </w:t>
      </w:r>
    </w:p>
    <w:p w14:paraId="392C1987"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operational risk framework, refer to pages 99 to 102 included under Item 7, Management's Discussion and Analysis of Financial Condition and Results of Operations, "Operational Risk Management</w:t>
      </w:r>
      <w:r>
        <w:rPr>
          <w:rFonts w:ascii="Arial" w:eastAsia="宋体" w:hAnsi="Arial" w:cs="Arial"/>
          <w:color w:val="000000"/>
          <w:sz w:val="20"/>
          <w:szCs w:val="20"/>
        </w:rPr>
        <w:t>", in our 2021 Form 10-K.</w:t>
      </w:r>
    </w:p>
    <w:p w14:paraId="392C1988" w14:textId="77777777" w:rsidR="00980E5F" w:rsidRDefault="00483613">
      <w:pPr>
        <w:spacing w:before="90"/>
        <w:textAlignment w:val="top"/>
      </w:pPr>
      <w:r>
        <w:rPr>
          <w:rFonts w:ascii="Arial" w:eastAsia="宋体" w:hAnsi="Arial" w:cs="Arial"/>
          <w:b/>
          <w:bCs/>
          <w:color w:val="000000"/>
          <w:sz w:val="20"/>
          <w:szCs w:val="20"/>
        </w:rPr>
        <w:t>Information Technology Risk Management</w:t>
      </w:r>
    </w:p>
    <w:p w14:paraId="392C1989" w14:textId="77777777" w:rsidR="00980E5F" w:rsidRDefault="00483613">
      <w:pPr>
        <w:spacing w:before="60"/>
        <w:ind w:firstLine="450"/>
        <w:jc w:val="both"/>
        <w:textAlignment w:val="top"/>
      </w:pPr>
      <w:r>
        <w:rPr>
          <w:rFonts w:ascii="Arial" w:eastAsia="宋体" w:hAnsi="Arial" w:cs="Arial"/>
          <w:color w:val="000000"/>
          <w:sz w:val="20"/>
          <w:szCs w:val="20"/>
        </w:rPr>
        <w:t>We define information technology risk as the risk associated with the use, ownership, operation, involvement, influence and adoption of information technology. Information technology risk inc</w:t>
      </w:r>
      <w:r>
        <w:rPr>
          <w:rFonts w:ascii="Arial" w:eastAsia="宋体" w:hAnsi="Arial" w:cs="Arial"/>
          <w:color w:val="000000"/>
          <w:sz w:val="20"/>
          <w:szCs w:val="20"/>
        </w:rPr>
        <w:t>ludes risks triggered by technology non-compliance with regulatory obligations, information security and privacy incidents, business disruption, technology internal control and process gaps, technology operational events and adoption of new business techno</w:t>
      </w:r>
      <w:r>
        <w:rPr>
          <w:rFonts w:ascii="Arial" w:eastAsia="宋体" w:hAnsi="Arial" w:cs="Arial"/>
          <w:color w:val="000000"/>
          <w:sz w:val="20"/>
          <w:szCs w:val="20"/>
        </w:rPr>
        <w:t>logies.</w:t>
      </w:r>
    </w:p>
    <w:p w14:paraId="392C198A" w14:textId="77777777" w:rsidR="00980E5F" w:rsidRDefault="00483613">
      <w:pPr>
        <w:ind w:firstLine="450"/>
        <w:jc w:val="right"/>
      </w:pPr>
      <w:r>
        <w:rPr>
          <w:rFonts w:ascii="Arial" w:eastAsia="宋体" w:hAnsi="Arial" w:cs="Arial"/>
          <w:color w:val="000000"/>
          <w:sz w:val="18"/>
          <w:szCs w:val="18"/>
        </w:rPr>
        <w:t>State Street Corporation | 37</w:t>
      </w:r>
    </w:p>
    <w:p w14:paraId="392C198B" w14:textId="77777777" w:rsidR="00980E5F" w:rsidRDefault="00980E5F">
      <w:pPr>
        <w:ind w:firstLine="450"/>
        <w:jc w:val="center"/>
      </w:pPr>
    </w:p>
    <w:p w14:paraId="392C198C" w14:textId="77777777" w:rsidR="00980E5F" w:rsidRDefault="00483613">
      <w:r>
        <w:pict w14:anchorId="392CBAF3">
          <v:rect id="_x0000_i1061" style="width:415.3pt;height:1.5pt" o:hralign="center" o:hrstd="t" o:hr="t" fillcolor="#a0a0a0" stroked="f"/>
        </w:pict>
      </w:r>
    </w:p>
    <w:p w14:paraId="392C198D"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8E" w14:textId="77777777" w:rsidR="00980E5F" w:rsidRDefault="00483613">
      <w:pPr>
        <w:ind w:firstLine="450"/>
        <w:jc w:val="center"/>
      </w:pPr>
      <w:r>
        <w:rPr>
          <w:rFonts w:ascii="Arial" w:eastAsia="宋体" w:hAnsi="Arial" w:cs="Arial"/>
          <w:b/>
          <w:bCs/>
          <w:color w:val="000000"/>
          <w:sz w:val="20"/>
          <w:szCs w:val="20"/>
        </w:rPr>
        <w:t>AND RESULTS OF OPERATIONS</w:t>
      </w:r>
    </w:p>
    <w:p w14:paraId="392C198F"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information technology risk framework and associated risks, refer to pages 102 to 103 includ</w:t>
      </w:r>
      <w:r>
        <w:rPr>
          <w:rFonts w:ascii="Arial" w:eastAsia="宋体" w:hAnsi="Arial" w:cs="Arial"/>
          <w:color w:val="000000"/>
          <w:sz w:val="20"/>
          <w:szCs w:val="20"/>
        </w:rPr>
        <w:t>ed under Item 7, Management's Discussion and Analysis of Financial Condition and Results of Operations, "Information Technology Risk Management" in our 2021 Form 10-K, and pages 46 to 47 included under Item 1A, Risk Factors, in our 2021 Form 10-K - "Any fa</w:t>
      </w:r>
      <w:r>
        <w:rPr>
          <w:rFonts w:ascii="Arial" w:eastAsia="宋体" w:hAnsi="Arial" w:cs="Arial"/>
          <w:color w:val="000000"/>
          <w:sz w:val="20"/>
          <w:szCs w:val="20"/>
        </w:rPr>
        <w:t>ilures of or damage to, attack on or unauthorized access to our information technology systems or facilities or disruptions to our continuous operations, including the systems, facilities or operations of third parties with which we do business, such as re</w:t>
      </w:r>
      <w:r>
        <w:rPr>
          <w:rFonts w:ascii="Arial" w:eastAsia="宋体" w:hAnsi="Arial" w:cs="Arial"/>
          <w:color w:val="000000"/>
          <w:sz w:val="20"/>
          <w:szCs w:val="20"/>
        </w:rPr>
        <w:t>sulting from cyber-attacks, could result in significant costs, reputational damage and limits on our ability to conduct our business activities".</w:t>
      </w:r>
    </w:p>
    <w:p w14:paraId="392C1990" w14:textId="77777777" w:rsidR="00980E5F" w:rsidRDefault="00483613">
      <w:pPr>
        <w:spacing w:before="90"/>
        <w:jc w:val="both"/>
        <w:textAlignment w:val="top"/>
      </w:pPr>
      <w:r>
        <w:rPr>
          <w:rFonts w:ascii="Arial" w:eastAsia="宋体" w:hAnsi="Arial" w:cs="Arial"/>
          <w:b/>
          <w:bCs/>
          <w:color w:val="000000"/>
          <w:sz w:val="20"/>
          <w:szCs w:val="20"/>
        </w:rPr>
        <w:t>Market Risk Management</w:t>
      </w:r>
    </w:p>
    <w:p w14:paraId="392C1991" w14:textId="77777777" w:rsidR="00980E5F" w:rsidRDefault="00483613">
      <w:pPr>
        <w:spacing w:before="60"/>
        <w:ind w:firstLine="450"/>
        <w:jc w:val="both"/>
        <w:textAlignment w:val="top"/>
      </w:pPr>
      <w:r>
        <w:rPr>
          <w:rFonts w:ascii="Arial" w:eastAsia="宋体" w:hAnsi="Arial" w:cs="Arial"/>
          <w:color w:val="000000"/>
          <w:sz w:val="20"/>
          <w:szCs w:val="20"/>
        </w:rPr>
        <w:t>Market risk is defined by U.S. banking regulators as the risk of loss that could result</w:t>
      </w:r>
      <w:r>
        <w:rPr>
          <w:rFonts w:ascii="Arial" w:eastAsia="宋体" w:hAnsi="Arial" w:cs="Arial"/>
          <w:color w:val="000000"/>
          <w:sz w:val="20"/>
          <w:szCs w:val="20"/>
        </w:rPr>
        <w:t xml:space="preserve"> from broad market movements, such as changes in the general level of interest rates, credit spreads, foreign exchange rates or commodity prices. We are exposed to market risk in both our trading and certain of our non-trading, or asset-and-liability manag</w:t>
      </w:r>
      <w:r>
        <w:rPr>
          <w:rFonts w:ascii="Arial" w:eastAsia="宋体" w:hAnsi="Arial" w:cs="Arial"/>
          <w:color w:val="000000"/>
          <w:sz w:val="20"/>
          <w:szCs w:val="20"/>
        </w:rPr>
        <w:t xml:space="preserve">ement, activities. </w:t>
      </w:r>
    </w:p>
    <w:p w14:paraId="392C1992" w14:textId="77777777" w:rsidR="00980E5F" w:rsidRDefault="00483613">
      <w:pPr>
        <w:spacing w:before="60"/>
        <w:ind w:firstLine="450"/>
        <w:jc w:val="both"/>
        <w:textAlignment w:val="top"/>
      </w:pPr>
      <w:r>
        <w:rPr>
          <w:rFonts w:ascii="Arial" w:eastAsia="宋体" w:hAnsi="Arial" w:cs="Arial"/>
          <w:color w:val="000000"/>
          <w:sz w:val="20"/>
          <w:szCs w:val="20"/>
        </w:rPr>
        <w:t>Information about the market risk associated with our trading activities is provided below under “Trading Activities.” Information about the market risk associated with our non-trading activities, which consists primarily of interest ra</w:t>
      </w:r>
      <w:r>
        <w:rPr>
          <w:rFonts w:ascii="Arial" w:eastAsia="宋体" w:hAnsi="Arial" w:cs="Arial"/>
          <w:color w:val="000000"/>
          <w:sz w:val="20"/>
          <w:szCs w:val="20"/>
        </w:rPr>
        <w:t>te risk, is provided below under “Asset-and-Liability Management Activities.”</w:t>
      </w:r>
    </w:p>
    <w:p w14:paraId="392C1993" w14:textId="77777777" w:rsidR="00980E5F" w:rsidRDefault="00483613">
      <w:pPr>
        <w:spacing w:before="60"/>
        <w:jc w:val="both"/>
        <w:textAlignment w:val="top"/>
      </w:pPr>
      <w:r>
        <w:rPr>
          <w:rFonts w:ascii="Arial" w:eastAsia="宋体" w:hAnsi="Arial" w:cs="Arial"/>
          <w:b/>
          <w:bCs/>
          <w:i/>
          <w:iCs/>
          <w:color w:val="000000"/>
          <w:sz w:val="20"/>
          <w:szCs w:val="20"/>
        </w:rPr>
        <w:t>Trading Activities</w:t>
      </w:r>
    </w:p>
    <w:p w14:paraId="392C1994" w14:textId="77777777" w:rsidR="00980E5F" w:rsidRDefault="00483613">
      <w:pPr>
        <w:spacing w:before="60"/>
        <w:ind w:firstLine="450"/>
        <w:jc w:val="both"/>
        <w:textAlignment w:val="top"/>
      </w:pPr>
      <w:r>
        <w:rPr>
          <w:rFonts w:ascii="Arial" w:eastAsia="宋体" w:hAnsi="Arial" w:cs="Arial"/>
          <w:color w:val="000000"/>
          <w:sz w:val="20"/>
          <w:szCs w:val="20"/>
        </w:rPr>
        <w:t>In the conduct of our trading activities, we assume market risk, the level of which is a function of our overall risk appetite, business objectives and liquidi</w:t>
      </w:r>
      <w:r>
        <w:rPr>
          <w:rFonts w:ascii="Arial" w:eastAsia="宋体" w:hAnsi="Arial" w:cs="Arial"/>
          <w:color w:val="000000"/>
          <w:sz w:val="20"/>
          <w:szCs w:val="20"/>
        </w:rPr>
        <w:t xml:space="preserve">ty needs, our clients' requirements and market volatility and our execution against those factors. </w:t>
      </w:r>
    </w:p>
    <w:p w14:paraId="392C1995" w14:textId="77777777" w:rsidR="00980E5F" w:rsidRDefault="00483613">
      <w:pPr>
        <w:spacing w:before="60"/>
        <w:ind w:firstLine="450"/>
        <w:jc w:val="both"/>
        <w:textAlignment w:val="top"/>
      </w:pPr>
      <w:r>
        <w:rPr>
          <w:rFonts w:ascii="Arial" w:eastAsia="宋体" w:hAnsi="Arial" w:cs="Arial"/>
          <w:color w:val="000000"/>
          <w:sz w:val="20"/>
          <w:szCs w:val="20"/>
        </w:rPr>
        <w:t xml:space="preserve">For additional information about the market risk associated with our trading activities, refer to pages 103 to 105 included under Item 7, </w:t>
      </w:r>
      <w:r>
        <w:rPr>
          <w:rFonts w:ascii="Arial" w:eastAsia="宋体" w:hAnsi="Arial" w:cs="Arial"/>
          <w:color w:val="000000"/>
          <w:sz w:val="20"/>
          <w:szCs w:val="20"/>
        </w:rPr>
        <w:t>Management's Discussion and Analysis of Financial Condition and Results of Operations, "Market Risk Management" in our 2021 Form 10-K.</w:t>
      </w:r>
    </w:p>
    <w:p w14:paraId="392C1996" w14:textId="77777777" w:rsidR="00980E5F" w:rsidRDefault="00483613">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w:t>
      </w:r>
      <w:r>
        <w:rPr>
          <w:rFonts w:ascii="Arial" w:eastAsia="宋体" w:hAnsi="Arial" w:cs="Arial"/>
          <w:color w:val="000000"/>
          <w:sz w:val="20"/>
          <w:szCs w:val="20"/>
        </w:rPr>
        <w:t>lling cash instruments and entering into derivative instruments, including foreign exchange forward contracts, foreign exchange and interest rate options and interest rate swaps, interest rate forward contracts and interest rate futures. As of June 30, 202</w:t>
      </w:r>
      <w:r>
        <w:rPr>
          <w:rFonts w:ascii="Arial" w:eastAsia="宋体" w:hAnsi="Arial" w:cs="Arial"/>
          <w:color w:val="000000"/>
          <w:sz w:val="20"/>
          <w:szCs w:val="20"/>
        </w:rPr>
        <w:t xml:space="preserve">2, the notional amount of these </w:t>
      </w:r>
    </w:p>
    <w:p w14:paraId="392C1997" w14:textId="77777777" w:rsidR="00980E5F" w:rsidRDefault="00483613">
      <w:pPr>
        <w:spacing w:before="60"/>
        <w:jc w:val="both"/>
        <w:textAlignment w:val="top"/>
      </w:pPr>
      <w:r>
        <w:rPr>
          <w:rFonts w:ascii="Arial" w:eastAsia="宋体" w:hAnsi="Arial" w:cs="Arial"/>
          <w:color w:val="000000"/>
          <w:sz w:val="20"/>
          <w:szCs w:val="20"/>
        </w:rPr>
        <w:t>derivative contracts was $2.23 trillion, of which $2.20 trillion was composed of foreign exchange forward, swap and spot contracts. We seek to match positions closely with the objective of mitigating related currency and in</w:t>
      </w:r>
      <w:r>
        <w:rPr>
          <w:rFonts w:ascii="Arial" w:eastAsia="宋体" w:hAnsi="Arial" w:cs="Arial"/>
          <w:color w:val="000000"/>
          <w:sz w:val="20"/>
          <w:szCs w:val="20"/>
        </w:rPr>
        <w:t xml:space="preserve">terest rate risk. All foreign exchange contracts are valued daily at current market rates. </w:t>
      </w:r>
    </w:p>
    <w:p w14:paraId="392C1998" w14:textId="77777777" w:rsidR="00980E5F" w:rsidRDefault="00483613">
      <w:pPr>
        <w:spacing w:before="60"/>
        <w:jc w:val="both"/>
        <w:textAlignment w:val="top"/>
      </w:pPr>
      <w:r>
        <w:rPr>
          <w:rFonts w:ascii="Arial" w:eastAsia="宋体" w:hAnsi="Arial" w:cs="Arial"/>
          <w:b/>
          <w:bCs/>
          <w:i/>
          <w:iCs/>
          <w:color w:val="000000"/>
          <w:sz w:val="20"/>
          <w:szCs w:val="20"/>
        </w:rPr>
        <w:t>Value-at-Risk and Stressed VaR</w:t>
      </w:r>
    </w:p>
    <w:p w14:paraId="392C1999" w14:textId="77777777" w:rsidR="00980E5F" w:rsidRDefault="00483613">
      <w:pPr>
        <w:spacing w:before="60"/>
        <w:ind w:firstLine="450"/>
        <w:jc w:val="both"/>
        <w:textAlignment w:val="top"/>
      </w:pPr>
      <w:r>
        <w:rPr>
          <w:rFonts w:ascii="Arial" w:eastAsia="宋体" w:hAnsi="Arial" w:cs="Arial"/>
          <w:color w:val="000000"/>
          <w:sz w:val="20"/>
          <w:szCs w:val="20"/>
        </w:rPr>
        <w:t>We use a variety of risk measurement tools and methodologies, including VaR, which is an estimate of potential loss for a given perio</w:t>
      </w:r>
      <w:r>
        <w:rPr>
          <w:rFonts w:ascii="Arial" w:eastAsia="宋体" w:hAnsi="Arial" w:cs="Arial"/>
          <w:color w:val="000000"/>
          <w:sz w:val="20"/>
          <w:szCs w:val="20"/>
        </w:rPr>
        <w:t>d within a stated statistical confidence interval. We use a risk measurement methodology to measure trading-related VaR daily. We have adopted standards for measuring trading-related VaR, and we maintain regulatory capital for market risk associated with o</w:t>
      </w:r>
      <w:r>
        <w:rPr>
          <w:rFonts w:ascii="Arial" w:eastAsia="宋体" w:hAnsi="Arial" w:cs="Arial"/>
          <w:color w:val="000000"/>
          <w:sz w:val="20"/>
          <w:szCs w:val="20"/>
        </w:rPr>
        <w:t>ur trading activities in conformity with currently applicable bank regulatory market risk requirements. Our regulatory VaR-based measure is calculated based on historical volatilities of market risk factors during a two-year observation period calibrated t</w:t>
      </w:r>
      <w:r>
        <w:rPr>
          <w:rFonts w:ascii="Arial" w:eastAsia="宋体" w:hAnsi="Arial" w:cs="Arial"/>
          <w:color w:val="000000"/>
          <w:sz w:val="20"/>
          <w:szCs w:val="20"/>
        </w:rPr>
        <w:t>o a one-tail, 99% confidence interval and a ten-business-day holding period.</w:t>
      </w:r>
    </w:p>
    <w:p w14:paraId="392C199A" w14:textId="77777777" w:rsidR="00980E5F" w:rsidRDefault="00483613">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 but with model inputs calibrated to historical data from a range of continuous twelve-month</w:t>
      </w:r>
      <w:r>
        <w:rPr>
          <w:rFonts w:ascii="Arial" w:eastAsia="宋体" w:hAnsi="Arial" w:cs="Arial"/>
          <w:color w:val="000000"/>
          <w:sz w:val="20"/>
          <w:szCs w:val="20"/>
        </w:rPr>
        <w:t xml:space="preserve"> periods that reflect significant financial stress. The stressed VaR model is designed to identify the second-worst outcome occurring in the worst continuous one-year rolling period since July 2007. This stressed VaR meets the regulatory requirement as the</w:t>
      </w:r>
      <w:r>
        <w:rPr>
          <w:rFonts w:ascii="Arial" w:eastAsia="宋体" w:hAnsi="Arial" w:cs="Arial"/>
          <w:color w:val="000000"/>
          <w:sz w:val="20"/>
          <w:szCs w:val="20"/>
        </w:rPr>
        <w:t xml:space="preserve"> rolling ten-day period with an outcome that is worse than 99% of other outcomes during that twelve-month period of financial stress. For each portfolio, the stress period is determined algorithmically by seeking the one-year time horizon that produces the</w:t>
      </w:r>
      <w:r>
        <w:rPr>
          <w:rFonts w:ascii="Arial" w:eastAsia="宋体" w:hAnsi="Arial" w:cs="Arial"/>
          <w:color w:val="000000"/>
          <w:sz w:val="20"/>
          <w:szCs w:val="20"/>
        </w:rPr>
        <w:t xml:space="preserve"> largest ten-business-day VaR from within the available historical data. This historical data set includes the financial crisis of 2008, the highly volatile period surrounding the Eurozone sovereign debt crisis and the Standard &amp; Poor's downgrade of U.S. T</w:t>
      </w:r>
      <w:r>
        <w:rPr>
          <w:rFonts w:ascii="Arial" w:eastAsia="宋体" w:hAnsi="Arial" w:cs="Arial"/>
          <w:color w:val="000000"/>
          <w:sz w:val="20"/>
          <w:szCs w:val="20"/>
        </w:rPr>
        <w:t xml:space="preserve">reasury debt in August 2011, and the market volatility triggered by the COVID-19 pandemic in March 2020. As the historical data set used to determine the stress period expands over time, future market stress events will be incorporated. </w:t>
      </w:r>
    </w:p>
    <w:p w14:paraId="392C199B" w14:textId="77777777" w:rsidR="00980E5F" w:rsidRDefault="00483613">
      <w:pPr>
        <w:spacing w:before="60"/>
        <w:ind w:firstLine="450"/>
        <w:jc w:val="both"/>
        <w:textAlignment w:val="top"/>
      </w:pPr>
      <w:r>
        <w:rPr>
          <w:rFonts w:ascii="Arial" w:eastAsia="宋体" w:hAnsi="Arial" w:cs="Arial"/>
          <w:color w:val="000000"/>
          <w:sz w:val="20"/>
          <w:szCs w:val="20"/>
        </w:rPr>
        <w:t xml:space="preserve">For </w:t>
      </w:r>
      <w:r>
        <w:rPr>
          <w:rFonts w:ascii="Arial" w:eastAsia="宋体" w:hAnsi="Arial" w:cs="Arial"/>
          <w:color w:val="000000"/>
          <w:sz w:val="20"/>
          <w:szCs w:val="20"/>
        </w:rPr>
        <w:t>additional information about our VaR measurement tools and methodologies, refer to pages 105 to 110 included under Item 7, Management's Discussion and Analysis of Financial Condition and Results of Operations, "Value-at-Risk and Stressed VaR" in our 2021 F</w:t>
      </w:r>
      <w:r>
        <w:rPr>
          <w:rFonts w:ascii="Arial" w:eastAsia="宋体" w:hAnsi="Arial" w:cs="Arial"/>
          <w:color w:val="000000"/>
          <w:sz w:val="20"/>
          <w:szCs w:val="20"/>
        </w:rPr>
        <w:t>orm 10-K.</w:t>
      </w:r>
    </w:p>
    <w:p w14:paraId="392C199C" w14:textId="77777777" w:rsidR="00980E5F" w:rsidRDefault="00483613">
      <w:pPr>
        <w:ind w:firstLine="450"/>
        <w:jc w:val="right"/>
      </w:pPr>
      <w:r>
        <w:rPr>
          <w:rFonts w:ascii="Arial" w:eastAsia="宋体" w:hAnsi="Arial" w:cs="Arial"/>
          <w:color w:val="000000"/>
          <w:sz w:val="18"/>
          <w:szCs w:val="18"/>
        </w:rPr>
        <w:t>State Street Corporation | 38</w:t>
      </w:r>
    </w:p>
    <w:p w14:paraId="392C199D" w14:textId="77777777" w:rsidR="00980E5F" w:rsidRDefault="00980E5F">
      <w:pPr>
        <w:ind w:firstLine="450"/>
        <w:jc w:val="center"/>
      </w:pPr>
    </w:p>
    <w:p w14:paraId="392C199E" w14:textId="77777777" w:rsidR="00980E5F" w:rsidRDefault="00483613">
      <w:r>
        <w:pict w14:anchorId="392CBAF4">
          <v:rect id="_x0000_i1062" style="width:415.3pt;height:1.5pt" o:hralign="center" o:hrstd="t" o:hr="t" fillcolor="#a0a0a0" stroked="f"/>
        </w:pict>
      </w:r>
    </w:p>
    <w:p w14:paraId="392C199F"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9A0" w14:textId="77777777" w:rsidR="00980E5F" w:rsidRDefault="00483613">
      <w:pPr>
        <w:ind w:firstLine="450"/>
        <w:jc w:val="center"/>
      </w:pPr>
      <w:r>
        <w:rPr>
          <w:rFonts w:ascii="Arial" w:eastAsia="宋体" w:hAnsi="Arial" w:cs="Arial"/>
          <w:b/>
          <w:bCs/>
          <w:color w:val="000000"/>
          <w:sz w:val="20"/>
          <w:szCs w:val="20"/>
        </w:rPr>
        <w:t>AND RESULTS OF OPERATIONS</w:t>
      </w:r>
    </w:p>
    <w:p w14:paraId="392C19A1" w14:textId="77777777" w:rsidR="00980E5F" w:rsidRDefault="00483613">
      <w:pPr>
        <w:spacing w:before="60"/>
        <w:jc w:val="both"/>
      </w:pPr>
      <w:r>
        <w:rPr>
          <w:rFonts w:ascii="Arial" w:eastAsia="宋体" w:hAnsi="Arial" w:cs="Arial"/>
          <w:i/>
          <w:iCs/>
          <w:color w:val="000000"/>
          <w:sz w:val="20"/>
          <w:szCs w:val="20"/>
        </w:rPr>
        <w:t>Stress Testing</w:t>
      </w:r>
    </w:p>
    <w:p w14:paraId="392C19A2" w14:textId="77777777" w:rsidR="00980E5F" w:rsidRDefault="00483613">
      <w:pPr>
        <w:spacing w:before="60"/>
        <w:ind w:firstLine="450"/>
        <w:jc w:val="both"/>
      </w:pPr>
      <w:r>
        <w:rPr>
          <w:rFonts w:ascii="Arial" w:eastAsia="宋体" w:hAnsi="Arial" w:cs="Arial"/>
          <w:color w:val="000000"/>
          <w:sz w:val="20"/>
          <w:szCs w:val="20"/>
        </w:rPr>
        <w:t>We have a corporate-wide stress testing program in place that incorporates an array of techniques to measure the</w:t>
      </w:r>
      <w:r>
        <w:rPr>
          <w:rFonts w:ascii="Arial" w:eastAsia="宋体" w:hAnsi="Arial" w:cs="Arial"/>
          <w:color w:val="000000"/>
          <w:sz w:val="20"/>
          <w:szCs w:val="20"/>
        </w:rPr>
        <w:t xml:space="preserve"> potential loss we could suffer in a hypothetical scenario of adverse economic and financial conditions. We also monitor concentrations of risk such as concentration by branch, risk component, and currency pairs. We conduct stress testing on a daily basis </w:t>
      </w:r>
      <w:r>
        <w:rPr>
          <w:rFonts w:ascii="Arial" w:eastAsia="宋体" w:hAnsi="Arial" w:cs="Arial"/>
          <w:color w:val="000000"/>
          <w:sz w:val="20"/>
          <w:szCs w:val="20"/>
        </w:rPr>
        <w:t>based on selected historical stress events that are relevant to our positions in order to estimate the potential impact to our current portfolio should similar market conditions recur, and we also perform stress testing as part of the Federal Reserve's CCA</w:t>
      </w:r>
      <w:r>
        <w:rPr>
          <w:rFonts w:ascii="Arial" w:eastAsia="宋体" w:hAnsi="Arial" w:cs="Arial"/>
          <w:color w:val="000000"/>
          <w:sz w:val="20"/>
          <w:szCs w:val="20"/>
        </w:rPr>
        <w:t xml:space="preserve">R process. Stress testing is conducted, analyzed and reported at the corporate, trading desk, division and risk-factor level (for example, exchange risk, interest rate risk and volatility risk). </w:t>
      </w:r>
    </w:p>
    <w:p w14:paraId="392C19A3" w14:textId="77777777" w:rsidR="00980E5F" w:rsidRDefault="00483613">
      <w:pPr>
        <w:spacing w:before="60"/>
        <w:ind w:firstLine="450"/>
        <w:jc w:val="both"/>
      </w:pPr>
      <w:r>
        <w:rPr>
          <w:rFonts w:ascii="Arial" w:eastAsia="宋体" w:hAnsi="Arial" w:cs="Arial"/>
          <w:color w:val="000000"/>
          <w:sz w:val="20"/>
          <w:szCs w:val="20"/>
        </w:rPr>
        <w:t xml:space="preserve">Stress testing results and limits are actively monitored on </w:t>
      </w:r>
      <w:r>
        <w:rPr>
          <w:rFonts w:ascii="Arial" w:eastAsia="宋体" w:hAnsi="Arial" w:cs="Arial"/>
          <w:color w:val="000000"/>
          <w:sz w:val="20"/>
          <w:szCs w:val="20"/>
        </w:rPr>
        <w:t>a daily basis by Enterprise Risk Management (ERM) and reported to the Credit and Market Risk Committee (CMRC). Limit breaches are addressed by ERM risk managers in conjunction with the business units, escalated as appropriate, and reviewed by the CMRC if m</w:t>
      </w:r>
      <w:r>
        <w:rPr>
          <w:rFonts w:ascii="Arial" w:eastAsia="宋体" w:hAnsi="Arial" w:cs="Arial"/>
          <w:color w:val="000000"/>
          <w:sz w:val="20"/>
          <w:szCs w:val="20"/>
        </w:rPr>
        <w:t>aterial. In addition, we have established several action triggers that prompt review by management and the implementation of a remediation plan.</w:t>
      </w:r>
    </w:p>
    <w:p w14:paraId="392C19A4" w14:textId="77777777" w:rsidR="00980E5F" w:rsidRDefault="00483613">
      <w:pPr>
        <w:spacing w:before="60"/>
        <w:jc w:val="both"/>
      </w:pPr>
      <w:r>
        <w:rPr>
          <w:rFonts w:ascii="Arial" w:eastAsia="宋体" w:hAnsi="Arial" w:cs="Arial"/>
          <w:b/>
          <w:bCs/>
          <w:i/>
          <w:iCs/>
          <w:color w:val="000000"/>
          <w:sz w:val="20"/>
          <w:szCs w:val="20"/>
        </w:rPr>
        <w:t>Validation and Back-Testing</w:t>
      </w:r>
    </w:p>
    <w:p w14:paraId="392C19A5" w14:textId="77777777" w:rsidR="00980E5F" w:rsidRDefault="00483613">
      <w:pPr>
        <w:spacing w:before="60"/>
        <w:ind w:firstLine="450"/>
        <w:jc w:val="both"/>
      </w:pPr>
      <w:r>
        <w:rPr>
          <w:rFonts w:ascii="Arial" w:eastAsia="宋体" w:hAnsi="Arial" w:cs="Arial"/>
          <w:color w:val="000000"/>
          <w:sz w:val="20"/>
          <w:szCs w:val="20"/>
        </w:rPr>
        <w:t>We perform frequent back-testing to assess the accuracy of our VaR-based model in e</w:t>
      </w:r>
      <w:r>
        <w:rPr>
          <w:rFonts w:ascii="Arial" w:eastAsia="宋体" w:hAnsi="Arial" w:cs="Arial"/>
          <w:color w:val="000000"/>
          <w:sz w:val="20"/>
          <w:szCs w:val="20"/>
        </w:rPr>
        <w:t>stimating loss at the stated confidence level. This back-testing involves the comparison of estimated VaR model outputs to daily, actual profit-and-loss (P&amp;L) outcomes observed from daily market movements. We back-test our VaR model using “clean” P&amp;L, whic</w:t>
      </w:r>
      <w:r>
        <w:rPr>
          <w:rFonts w:ascii="Arial" w:eastAsia="宋体" w:hAnsi="Arial" w:cs="Arial"/>
          <w:color w:val="000000"/>
          <w:sz w:val="20"/>
          <w:szCs w:val="20"/>
        </w:rPr>
        <w:t xml:space="preserve">h excludes non-trading revenue such as fees, commissions and NII, as well as estimated revenue from intra-day trading. </w:t>
      </w:r>
    </w:p>
    <w:p w14:paraId="392C19A6" w14:textId="77777777" w:rsidR="00980E5F" w:rsidRDefault="00483613">
      <w:pPr>
        <w:spacing w:before="60"/>
        <w:ind w:firstLine="450"/>
        <w:jc w:val="both"/>
      </w:pPr>
      <w:r>
        <w:rPr>
          <w:rFonts w:ascii="Arial" w:eastAsia="宋体" w:hAnsi="Arial" w:cs="Arial"/>
          <w:color w:val="000000"/>
          <w:sz w:val="20"/>
          <w:szCs w:val="20"/>
        </w:rPr>
        <w:t>Our VaR definition of trading losses excludes items that are not specific to the price movement of the trading assets and liabilities th</w:t>
      </w:r>
      <w:r>
        <w:rPr>
          <w:rFonts w:ascii="Arial" w:eastAsia="宋体" w:hAnsi="Arial" w:cs="Arial"/>
          <w:color w:val="000000"/>
          <w:sz w:val="20"/>
          <w:szCs w:val="20"/>
        </w:rPr>
        <w:t>emselves, such as fees, commissions, changes to reserves and gains or losses from intra-day activity.</w:t>
      </w:r>
    </w:p>
    <w:p w14:paraId="392C19A7" w14:textId="77777777" w:rsidR="00980E5F" w:rsidRDefault="00483613">
      <w:pPr>
        <w:spacing w:before="60"/>
        <w:ind w:firstLine="450"/>
        <w:jc w:val="both"/>
      </w:pPr>
      <w:r>
        <w:rPr>
          <w:rFonts w:ascii="Arial" w:eastAsia="宋体" w:hAnsi="Arial" w:cs="Arial"/>
          <w:color w:val="000000"/>
          <w:sz w:val="20"/>
          <w:szCs w:val="20"/>
        </w:rPr>
        <w:t>We had no back-testing exceptions in the quarter ended June 30, 2022, one back-testing exception in the quarter ended March 31, 2022 and no back-testing e</w:t>
      </w:r>
      <w:r>
        <w:rPr>
          <w:rFonts w:ascii="Arial" w:eastAsia="宋体" w:hAnsi="Arial" w:cs="Arial"/>
          <w:color w:val="000000"/>
          <w:sz w:val="20"/>
          <w:szCs w:val="20"/>
        </w:rPr>
        <w:t xml:space="preserve">xceptions in the quarter ended June 30, 2021. At a 99% confidence interval, the statistical expectation for a VaR model is to witness one exception every hundred trading days (or two to three exceptions per year). </w:t>
      </w:r>
    </w:p>
    <w:p w14:paraId="392C19A8" w14:textId="77777777" w:rsidR="00980E5F" w:rsidRDefault="00483613">
      <w:pPr>
        <w:spacing w:before="60"/>
        <w:ind w:firstLine="450"/>
        <w:jc w:val="both"/>
      </w:pPr>
      <w:r>
        <w:rPr>
          <w:rFonts w:ascii="Arial" w:eastAsia="宋体" w:hAnsi="Arial" w:cs="Arial"/>
          <w:color w:val="000000"/>
          <w:sz w:val="20"/>
          <w:szCs w:val="20"/>
        </w:rPr>
        <w:t>The following tables present VaR and stre</w:t>
      </w:r>
      <w:r>
        <w:rPr>
          <w:rFonts w:ascii="Arial" w:eastAsia="宋体" w:hAnsi="Arial" w:cs="Arial"/>
          <w:color w:val="000000"/>
          <w:sz w:val="20"/>
          <w:szCs w:val="20"/>
        </w:rPr>
        <w:t>ssed VaR associated with our trading activities for covered positions held during the quarters ended June 30, 2022, March 31, 2022 and June 30, 2021, respectively, as measured by our VaR methodology. Diversification effect in the tables below represents th</w:t>
      </w:r>
      <w:r>
        <w:rPr>
          <w:rFonts w:ascii="Arial" w:eastAsia="宋体" w:hAnsi="Arial" w:cs="Arial"/>
          <w:color w:val="000000"/>
          <w:sz w:val="20"/>
          <w:szCs w:val="20"/>
        </w:rPr>
        <w:t>e difference between total VaR and the sum of the VaRs for each trading activity. This effect arises because the risks present in our 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5"/>
        <w:gridCol w:w="1392"/>
        <w:gridCol w:w="37"/>
        <w:gridCol w:w="93"/>
        <w:gridCol w:w="434"/>
        <w:gridCol w:w="36"/>
        <w:gridCol w:w="36"/>
        <w:gridCol w:w="36"/>
        <w:gridCol w:w="36"/>
        <w:gridCol w:w="93"/>
        <w:gridCol w:w="434"/>
        <w:gridCol w:w="36"/>
        <w:gridCol w:w="36"/>
        <w:gridCol w:w="36"/>
        <w:gridCol w:w="36"/>
        <w:gridCol w:w="93"/>
        <w:gridCol w:w="434"/>
        <w:gridCol w:w="36"/>
        <w:gridCol w:w="36"/>
        <w:gridCol w:w="36"/>
        <w:gridCol w:w="36"/>
        <w:gridCol w:w="167"/>
        <w:gridCol w:w="361"/>
        <w:gridCol w:w="93"/>
        <w:gridCol w:w="434"/>
        <w:gridCol w:w="36"/>
        <w:gridCol w:w="36"/>
        <w:gridCol w:w="36"/>
        <w:gridCol w:w="36"/>
        <w:gridCol w:w="93"/>
        <w:gridCol w:w="434"/>
        <w:gridCol w:w="36"/>
        <w:gridCol w:w="36"/>
        <w:gridCol w:w="36"/>
        <w:gridCol w:w="36"/>
        <w:gridCol w:w="93"/>
        <w:gridCol w:w="434"/>
        <w:gridCol w:w="36"/>
        <w:gridCol w:w="36"/>
        <w:gridCol w:w="36"/>
        <w:gridCol w:w="36"/>
        <w:gridCol w:w="176"/>
        <w:gridCol w:w="362"/>
        <w:gridCol w:w="93"/>
        <w:gridCol w:w="434"/>
        <w:gridCol w:w="36"/>
        <w:gridCol w:w="36"/>
        <w:gridCol w:w="36"/>
        <w:gridCol w:w="36"/>
        <w:gridCol w:w="93"/>
        <w:gridCol w:w="434"/>
        <w:gridCol w:w="36"/>
        <w:gridCol w:w="36"/>
        <w:gridCol w:w="36"/>
        <w:gridCol w:w="454"/>
      </w:tblGrid>
      <w:tr w:rsidR="00980E5F" w14:paraId="392C19E0" w14:textId="77777777">
        <w:tc>
          <w:tcPr>
            <w:tcW w:w="50" w:type="pct"/>
            <w:shd w:val="clear" w:color="auto" w:fill="auto"/>
            <w:vAlign w:val="bottom"/>
          </w:tcPr>
          <w:p w14:paraId="392C19A9" w14:textId="77777777" w:rsidR="00980E5F" w:rsidRDefault="00980E5F">
            <w:pPr>
              <w:rPr>
                <w:rFonts w:ascii="宋体"/>
              </w:rPr>
            </w:pPr>
          </w:p>
        </w:tc>
        <w:tc>
          <w:tcPr>
            <w:tcW w:w="719" w:type="pct"/>
            <w:shd w:val="clear" w:color="auto" w:fill="auto"/>
            <w:vAlign w:val="bottom"/>
          </w:tcPr>
          <w:p w14:paraId="392C19AA" w14:textId="77777777" w:rsidR="00980E5F" w:rsidRDefault="00980E5F">
            <w:pPr>
              <w:rPr>
                <w:rFonts w:ascii="宋体"/>
              </w:rPr>
            </w:pPr>
          </w:p>
        </w:tc>
        <w:tc>
          <w:tcPr>
            <w:tcW w:w="5" w:type="pct"/>
            <w:shd w:val="clear" w:color="auto" w:fill="auto"/>
            <w:vAlign w:val="bottom"/>
          </w:tcPr>
          <w:p w14:paraId="392C19AB" w14:textId="77777777" w:rsidR="00980E5F" w:rsidRDefault="00980E5F">
            <w:pPr>
              <w:rPr>
                <w:rFonts w:ascii="宋体"/>
              </w:rPr>
            </w:pPr>
          </w:p>
        </w:tc>
        <w:tc>
          <w:tcPr>
            <w:tcW w:w="50" w:type="pct"/>
            <w:shd w:val="clear" w:color="auto" w:fill="auto"/>
            <w:vAlign w:val="bottom"/>
          </w:tcPr>
          <w:p w14:paraId="392C19AC" w14:textId="77777777" w:rsidR="00980E5F" w:rsidRDefault="00980E5F">
            <w:pPr>
              <w:rPr>
                <w:rFonts w:ascii="宋体"/>
              </w:rPr>
            </w:pPr>
          </w:p>
        </w:tc>
        <w:tc>
          <w:tcPr>
            <w:tcW w:w="215" w:type="pct"/>
            <w:shd w:val="clear" w:color="auto" w:fill="auto"/>
            <w:vAlign w:val="bottom"/>
          </w:tcPr>
          <w:p w14:paraId="392C19AD" w14:textId="77777777" w:rsidR="00980E5F" w:rsidRDefault="00980E5F">
            <w:pPr>
              <w:rPr>
                <w:rFonts w:ascii="宋体"/>
              </w:rPr>
            </w:pPr>
          </w:p>
        </w:tc>
        <w:tc>
          <w:tcPr>
            <w:tcW w:w="5" w:type="pct"/>
            <w:shd w:val="clear" w:color="auto" w:fill="auto"/>
            <w:vAlign w:val="bottom"/>
          </w:tcPr>
          <w:p w14:paraId="392C19AE" w14:textId="77777777" w:rsidR="00980E5F" w:rsidRDefault="00980E5F">
            <w:pPr>
              <w:rPr>
                <w:rFonts w:ascii="宋体"/>
              </w:rPr>
            </w:pPr>
          </w:p>
        </w:tc>
        <w:tc>
          <w:tcPr>
            <w:tcW w:w="5" w:type="pct"/>
            <w:shd w:val="clear" w:color="auto" w:fill="auto"/>
            <w:vAlign w:val="bottom"/>
          </w:tcPr>
          <w:p w14:paraId="392C19AF" w14:textId="77777777" w:rsidR="00980E5F" w:rsidRDefault="00980E5F">
            <w:pPr>
              <w:rPr>
                <w:rFonts w:ascii="宋体"/>
              </w:rPr>
            </w:pPr>
          </w:p>
        </w:tc>
        <w:tc>
          <w:tcPr>
            <w:tcW w:w="19" w:type="pct"/>
            <w:shd w:val="clear" w:color="auto" w:fill="auto"/>
            <w:vAlign w:val="bottom"/>
          </w:tcPr>
          <w:p w14:paraId="392C19B0" w14:textId="77777777" w:rsidR="00980E5F" w:rsidRDefault="00980E5F">
            <w:pPr>
              <w:rPr>
                <w:rFonts w:ascii="宋体"/>
              </w:rPr>
            </w:pPr>
          </w:p>
        </w:tc>
        <w:tc>
          <w:tcPr>
            <w:tcW w:w="5" w:type="pct"/>
            <w:shd w:val="clear" w:color="auto" w:fill="auto"/>
            <w:vAlign w:val="bottom"/>
          </w:tcPr>
          <w:p w14:paraId="392C19B1" w14:textId="77777777" w:rsidR="00980E5F" w:rsidRDefault="00980E5F">
            <w:pPr>
              <w:rPr>
                <w:rFonts w:ascii="宋体"/>
              </w:rPr>
            </w:pPr>
          </w:p>
        </w:tc>
        <w:tc>
          <w:tcPr>
            <w:tcW w:w="50" w:type="pct"/>
            <w:shd w:val="clear" w:color="auto" w:fill="auto"/>
            <w:vAlign w:val="bottom"/>
          </w:tcPr>
          <w:p w14:paraId="392C19B2" w14:textId="77777777" w:rsidR="00980E5F" w:rsidRDefault="00980E5F">
            <w:pPr>
              <w:rPr>
                <w:rFonts w:ascii="宋体"/>
              </w:rPr>
            </w:pPr>
          </w:p>
        </w:tc>
        <w:tc>
          <w:tcPr>
            <w:tcW w:w="259" w:type="pct"/>
            <w:shd w:val="clear" w:color="auto" w:fill="auto"/>
            <w:vAlign w:val="bottom"/>
          </w:tcPr>
          <w:p w14:paraId="392C19B3" w14:textId="77777777" w:rsidR="00980E5F" w:rsidRDefault="00980E5F">
            <w:pPr>
              <w:rPr>
                <w:rFonts w:ascii="宋体"/>
              </w:rPr>
            </w:pPr>
          </w:p>
        </w:tc>
        <w:tc>
          <w:tcPr>
            <w:tcW w:w="5" w:type="pct"/>
            <w:shd w:val="clear" w:color="auto" w:fill="auto"/>
            <w:vAlign w:val="bottom"/>
          </w:tcPr>
          <w:p w14:paraId="392C19B4" w14:textId="77777777" w:rsidR="00980E5F" w:rsidRDefault="00980E5F">
            <w:pPr>
              <w:rPr>
                <w:rFonts w:ascii="宋体"/>
              </w:rPr>
            </w:pPr>
          </w:p>
        </w:tc>
        <w:tc>
          <w:tcPr>
            <w:tcW w:w="5" w:type="pct"/>
            <w:shd w:val="clear" w:color="auto" w:fill="auto"/>
            <w:vAlign w:val="bottom"/>
          </w:tcPr>
          <w:p w14:paraId="392C19B5" w14:textId="77777777" w:rsidR="00980E5F" w:rsidRDefault="00980E5F">
            <w:pPr>
              <w:rPr>
                <w:rFonts w:ascii="宋体"/>
              </w:rPr>
            </w:pPr>
          </w:p>
        </w:tc>
        <w:tc>
          <w:tcPr>
            <w:tcW w:w="19" w:type="pct"/>
            <w:shd w:val="clear" w:color="auto" w:fill="auto"/>
            <w:vAlign w:val="bottom"/>
          </w:tcPr>
          <w:p w14:paraId="392C19B6" w14:textId="77777777" w:rsidR="00980E5F" w:rsidRDefault="00980E5F">
            <w:pPr>
              <w:rPr>
                <w:rFonts w:ascii="宋体"/>
              </w:rPr>
            </w:pPr>
          </w:p>
        </w:tc>
        <w:tc>
          <w:tcPr>
            <w:tcW w:w="5" w:type="pct"/>
            <w:shd w:val="clear" w:color="auto" w:fill="auto"/>
            <w:vAlign w:val="bottom"/>
          </w:tcPr>
          <w:p w14:paraId="392C19B7" w14:textId="77777777" w:rsidR="00980E5F" w:rsidRDefault="00980E5F">
            <w:pPr>
              <w:rPr>
                <w:rFonts w:ascii="宋体"/>
              </w:rPr>
            </w:pPr>
          </w:p>
        </w:tc>
        <w:tc>
          <w:tcPr>
            <w:tcW w:w="50" w:type="pct"/>
            <w:shd w:val="clear" w:color="auto" w:fill="auto"/>
            <w:vAlign w:val="bottom"/>
          </w:tcPr>
          <w:p w14:paraId="392C19B8" w14:textId="77777777" w:rsidR="00980E5F" w:rsidRDefault="00980E5F">
            <w:pPr>
              <w:rPr>
                <w:rFonts w:ascii="宋体"/>
              </w:rPr>
            </w:pPr>
          </w:p>
        </w:tc>
        <w:tc>
          <w:tcPr>
            <w:tcW w:w="215" w:type="pct"/>
            <w:shd w:val="clear" w:color="auto" w:fill="auto"/>
            <w:vAlign w:val="bottom"/>
          </w:tcPr>
          <w:p w14:paraId="392C19B9" w14:textId="77777777" w:rsidR="00980E5F" w:rsidRDefault="00980E5F">
            <w:pPr>
              <w:rPr>
                <w:rFonts w:ascii="宋体"/>
              </w:rPr>
            </w:pPr>
          </w:p>
        </w:tc>
        <w:tc>
          <w:tcPr>
            <w:tcW w:w="5" w:type="pct"/>
            <w:shd w:val="clear" w:color="auto" w:fill="auto"/>
            <w:vAlign w:val="bottom"/>
          </w:tcPr>
          <w:p w14:paraId="392C19BA" w14:textId="77777777" w:rsidR="00980E5F" w:rsidRDefault="00980E5F">
            <w:pPr>
              <w:rPr>
                <w:rFonts w:ascii="宋体"/>
              </w:rPr>
            </w:pPr>
          </w:p>
        </w:tc>
        <w:tc>
          <w:tcPr>
            <w:tcW w:w="5" w:type="pct"/>
            <w:shd w:val="clear" w:color="auto" w:fill="auto"/>
            <w:vAlign w:val="bottom"/>
          </w:tcPr>
          <w:p w14:paraId="392C19BB" w14:textId="77777777" w:rsidR="00980E5F" w:rsidRDefault="00980E5F">
            <w:pPr>
              <w:rPr>
                <w:rFonts w:ascii="宋体"/>
              </w:rPr>
            </w:pPr>
          </w:p>
        </w:tc>
        <w:tc>
          <w:tcPr>
            <w:tcW w:w="19" w:type="pct"/>
            <w:shd w:val="clear" w:color="auto" w:fill="auto"/>
            <w:vAlign w:val="bottom"/>
          </w:tcPr>
          <w:p w14:paraId="392C19BC" w14:textId="77777777" w:rsidR="00980E5F" w:rsidRDefault="00980E5F">
            <w:pPr>
              <w:rPr>
                <w:rFonts w:ascii="宋体"/>
              </w:rPr>
            </w:pPr>
          </w:p>
        </w:tc>
        <w:tc>
          <w:tcPr>
            <w:tcW w:w="5" w:type="pct"/>
            <w:shd w:val="clear" w:color="auto" w:fill="auto"/>
            <w:vAlign w:val="bottom"/>
          </w:tcPr>
          <w:p w14:paraId="392C19BD" w14:textId="77777777" w:rsidR="00980E5F" w:rsidRDefault="00980E5F">
            <w:pPr>
              <w:rPr>
                <w:rFonts w:ascii="宋体"/>
              </w:rPr>
            </w:pPr>
          </w:p>
        </w:tc>
        <w:tc>
          <w:tcPr>
            <w:tcW w:w="0" w:type="auto"/>
            <w:shd w:val="clear" w:color="auto" w:fill="auto"/>
            <w:vAlign w:val="bottom"/>
          </w:tcPr>
          <w:p w14:paraId="392C19BE" w14:textId="77777777" w:rsidR="00980E5F" w:rsidRDefault="00980E5F">
            <w:pPr>
              <w:rPr>
                <w:rFonts w:ascii="宋体"/>
                <w:vanish/>
              </w:rPr>
            </w:pPr>
          </w:p>
        </w:tc>
        <w:tc>
          <w:tcPr>
            <w:tcW w:w="0" w:type="auto"/>
            <w:shd w:val="clear" w:color="auto" w:fill="auto"/>
            <w:vAlign w:val="bottom"/>
          </w:tcPr>
          <w:p w14:paraId="392C19BF" w14:textId="77777777" w:rsidR="00980E5F" w:rsidRDefault="00980E5F">
            <w:pPr>
              <w:rPr>
                <w:rFonts w:ascii="宋体"/>
                <w:vanish/>
              </w:rPr>
            </w:pPr>
          </w:p>
        </w:tc>
        <w:tc>
          <w:tcPr>
            <w:tcW w:w="50" w:type="pct"/>
            <w:shd w:val="clear" w:color="auto" w:fill="auto"/>
            <w:vAlign w:val="bottom"/>
          </w:tcPr>
          <w:p w14:paraId="392C19C0" w14:textId="77777777" w:rsidR="00980E5F" w:rsidRDefault="00980E5F">
            <w:pPr>
              <w:rPr>
                <w:rFonts w:ascii="宋体"/>
              </w:rPr>
            </w:pPr>
          </w:p>
        </w:tc>
        <w:tc>
          <w:tcPr>
            <w:tcW w:w="230" w:type="pct"/>
            <w:shd w:val="clear" w:color="auto" w:fill="auto"/>
            <w:vAlign w:val="bottom"/>
          </w:tcPr>
          <w:p w14:paraId="392C19C1" w14:textId="77777777" w:rsidR="00980E5F" w:rsidRDefault="00980E5F">
            <w:pPr>
              <w:rPr>
                <w:rFonts w:ascii="宋体"/>
              </w:rPr>
            </w:pPr>
          </w:p>
        </w:tc>
        <w:tc>
          <w:tcPr>
            <w:tcW w:w="5" w:type="pct"/>
            <w:shd w:val="clear" w:color="auto" w:fill="auto"/>
            <w:vAlign w:val="bottom"/>
          </w:tcPr>
          <w:p w14:paraId="392C19C2" w14:textId="77777777" w:rsidR="00980E5F" w:rsidRDefault="00980E5F">
            <w:pPr>
              <w:rPr>
                <w:rFonts w:ascii="宋体"/>
              </w:rPr>
            </w:pPr>
          </w:p>
        </w:tc>
        <w:tc>
          <w:tcPr>
            <w:tcW w:w="5" w:type="pct"/>
            <w:shd w:val="clear" w:color="auto" w:fill="auto"/>
            <w:vAlign w:val="bottom"/>
          </w:tcPr>
          <w:p w14:paraId="392C19C3" w14:textId="77777777" w:rsidR="00980E5F" w:rsidRDefault="00980E5F">
            <w:pPr>
              <w:rPr>
                <w:rFonts w:ascii="宋体"/>
              </w:rPr>
            </w:pPr>
          </w:p>
        </w:tc>
        <w:tc>
          <w:tcPr>
            <w:tcW w:w="19" w:type="pct"/>
            <w:shd w:val="clear" w:color="auto" w:fill="auto"/>
            <w:vAlign w:val="bottom"/>
          </w:tcPr>
          <w:p w14:paraId="392C19C4" w14:textId="77777777" w:rsidR="00980E5F" w:rsidRDefault="00980E5F">
            <w:pPr>
              <w:rPr>
                <w:rFonts w:ascii="宋体"/>
              </w:rPr>
            </w:pPr>
          </w:p>
        </w:tc>
        <w:tc>
          <w:tcPr>
            <w:tcW w:w="5" w:type="pct"/>
            <w:shd w:val="clear" w:color="auto" w:fill="auto"/>
            <w:vAlign w:val="bottom"/>
          </w:tcPr>
          <w:p w14:paraId="392C19C5" w14:textId="77777777" w:rsidR="00980E5F" w:rsidRDefault="00980E5F">
            <w:pPr>
              <w:rPr>
                <w:rFonts w:ascii="宋体"/>
              </w:rPr>
            </w:pPr>
          </w:p>
        </w:tc>
        <w:tc>
          <w:tcPr>
            <w:tcW w:w="50" w:type="pct"/>
            <w:shd w:val="clear" w:color="auto" w:fill="auto"/>
            <w:vAlign w:val="bottom"/>
          </w:tcPr>
          <w:p w14:paraId="392C19C6" w14:textId="77777777" w:rsidR="00980E5F" w:rsidRDefault="00980E5F">
            <w:pPr>
              <w:rPr>
                <w:rFonts w:ascii="宋体"/>
              </w:rPr>
            </w:pPr>
          </w:p>
        </w:tc>
        <w:tc>
          <w:tcPr>
            <w:tcW w:w="230" w:type="pct"/>
            <w:shd w:val="clear" w:color="auto" w:fill="auto"/>
            <w:vAlign w:val="bottom"/>
          </w:tcPr>
          <w:p w14:paraId="392C19C7" w14:textId="77777777" w:rsidR="00980E5F" w:rsidRDefault="00980E5F">
            <w:pPr>
              <w:rPr>
                <w:rFonts w:ascii="宋体"/>
              </w:rPr>
            </w:pPr>
          </w:p>
        </w:tc>
        <w:tc>
          <w:tcPr>
            <w:tcW w:w="5" w:type="pct"/>
            <w:shd w:val="clear" w:color="auto" w:fill="auto"/>
            <w:vAlign w:val="bottom"/>
          </w:tcPr>
          <w:p w14:paraId="392C19C8" w14:textId="77777777" w:rsidR="00980E5F" w:rsidRDefault="00980E5F">
            <w:pPr>
              <w:rPr>
                <w:rFonts w:ascii="宋体"/>
              </w:rPr>
            </w:pPr>
          </w:p>
        </w:tc>
        <w:tc>
          <w:tcPr>
            <w:tcW w:w="5" w:type="pct"/>
            <w:shd w:val="clear" w:color="auto" w:fill="auto"/>
            <w:vAlign w:val="bottom"/>
          </w:tcPr>
          <w:p w14:paraId="392C19C9" w14:textId="77777777" w:rsidR="00980E5F" w:rsidRDefault="00980E5F">
            <w:pPr>
              <w:rPr>
                <w:rFonts w:ascii="宋体"/>
              </w:rPr>
            </w:pPr>
          </w:p>
        </w:tc>
        <w:tc>
          <w:tcPr>
            <w:tcW w:w="19" w:type="pct"/>
            <w:shd w:val="clear" w:color="auto" w:fill="auto"/>
            <w:vAlign w:val="bottom"/>
          </w:tcPr>
          <w:p w14:paraId="392C19CA" w14:textId="77777777" w:rsidR="00980E5F" w:rsidRDefault="00980E5F">
            <w:pPr>
              <w:rPr>
                <w:rFonts w:ascii="宋体"/>
              </w:rPr>
            </w:pPr>
          </w:p>
        </w:tc>
        <w:tc>
          <w:tcPr>
            <w:tcW w:w="5" w:type="pct"/>
            <w:shd w:val="clear" w:color="auto" w:fill="auto"/>
            <w:vAlign w:val="bottom"/>
          </w:tcPr>
          <w:p w14:paraId="392C19CB" w14:textId="77777777" w:rsidR="00980E5F" w:rsidRDefault="00980E5F">
            <w:pPr>
              <w:rPr>
                <w:rFonts w:ascii="宋体"/>
              </w:rPr>
            </w:pPr>
          </w:p>
        </w:tc>
        <w:tc>
          <w:tcPr>
            <w:tcW w:w="50" w:type="pct"/>
            <w:shd w:val="clear" w:color="auto" w:fill="auto"/>
            <w:vAlign w:val="bottom"/>
          </w:tcPr>
          <w:p w14:paraId="392C19CC" w14:textId="77777777" w:rsidR="00980E5F" w:rsidRDefault="00980E5F">
            <w:pPr>
              <w:rPr>
                <w:rFonts w:ascii="宋体"/>
              </w:rPr>
            </w:pPr>
          </w:p>
        </w:tc>
        <w:tc>
          <w:tcPr>
            <w:tcW w:w="230" w:type="pct"/>
            <w:shd w:val="clear" w:color="auto" w:fill="auto"/>
            <w:vAlign w:val="bottom"/>
          </w:tcPr>
          <w:p w14:paraId="392C19CD" w14:textId="77777777" w:rsidR="00980E5F" w:rsidRDefault="00980E5F">
            <w:pPr>
              <w:rPr>
                <w:rFonts w:ascii="宋体"/>
              </w:rPr>
            </w:pPr>
          </w:p>
        </w:tc>
        <w:tc>
          <w:tcPr>
            <w:tcW w:w="5" w:type="pct"/>
            <w:shd w:val="clear" w:color="auto" w:fill="auto"/>
            <w:vAlign w:val="bottom"/>
          </w:tcPr>
          <w:p w14:paraId="392C19CE" w14:textId="77777777" w:rsidR="00980E5F" w:rsidRDefault="00980E5F">
            <w:pPr>
              <w:rPr>
                <w:rFonts w:ascii="宋体"/>
              </w:rPr>
            </w:pPr>
          </w:p>
        </w:tc>
        <w:tc>
          <w:tcPr>
            <w:tcW w:w="5" w:type="pct"/>
            <w:shd w:val="clear" w:color="auto" w:fill="auto"/>
            <w:vAlign w:val="bottom"/>
          </w:tcPr>
          <w:p w14:paraId="392C19CF" w14:textId="77777777" w:rsidR="00980E5F" w:rsidRDefault="00980E5F">
            <w:pPr>
              <w:rPr>
                <w:rFonts w:ascii="宋体"/>
              </w:rPr>
            </w:pPr>
          </w:p>
        </w:tc>
        <w:tc>
          <w:tcPr>
            <w:tcW w:w="19" w:type="pct"/>
            <w:shd w:val="clear" w:color="auto" w:fill="auto"/>
            <w:vAlign w:val="bottom"/>
          </w:tcPr>
          <w:p w14:paraId="392C19D0" w14:textId="77777777" w:rsidR="00980E5F" w:rsidRDefault="00980E5F">
            <w:pPr>
              <w:rPr>
                <w:rFonts w:ascii="宋体"/>
              </w:rPr>
            </w:pPr>
          </w:p>
        </w:tc>
        <w:tc>
          <w:tcPr>
            <w:tcW w:w="5" w:type="pct"/>
            <w:shd w:val="clear" w:color="auto" w:fill="auto"/>
            <w:vAlign w:val="bottom"/>
          </w:tcPr>
          <w:p w14:paraId="392C19D1" w14:textId="77777777" w:rsidR="00980E5F" w:rsidRDefault="00980E5F">
            <w:pPr>
              <w:rPr>
                <w:rFonts w:ascii="宋体"/>
              </w:rPr>
            </w:pPr>
          </w:p>
        </w:tc>
        <w:tc>
          <w:tcPr>
            <w:tcW w:w="0" w:type="auto"/>
            <w:shd w:val="clear" w:color="auto" w:fill="auto"/>
            <w:vAlign w:val="bottom"/>
          </w:tcPr>
          <w:p w14:paraId="392C19D2" w14:textId="77777777" w:rsidR="00980E5F" w:rsidRDefault="00980E5F">
            <w:pPr>
              <w:rPr>
                <w:rFonts w:ascii="宋体"/>
                <w:vanish/>
              </w:rPr>
            </w:pPr>
          </w:p>
        </w:tc>
        <w:tc>
          <w:tcPr>
            <w:tcW w:w="0" w:type="auto"/>
            <w:shd w:val="clear" w:color="auto" w:fill="auto"/>
            <w:vAlign w:val="bottom"/>
          </w:tcPr>
          <w:p w14:paraId="392C19D3" w14:textId="77777777" w:rsidR="00980E5F" w:rsidRDefault="00980E5F">
            <w:pPr>
              <w:rPr>
                <w:rFonts w:ascii="宋体"/>
                <w:vanish/>
              </w:rPr>
            </w:pPr>
          </w:p>
        </w:tc>
        <w:tc>
          <w:tcPr>
            <w:tcW w:w="50" w:type="pct"/>
            <w:shd w:val="clear" w:color="auto" w:fill="auto"/>
            <w:vAlign w:val="bottom"/>
          </w:tcPr>
          <w:p w14:paraId="392C19D4" w14:textId="77777777" w:rsidR="00980E5F" w:rsidRDefault="00980E5F">
            <w:pPr>
              <w:rPr>
                <w:rFonts w:ascii="宋体"/>
              </w:rPr>
            </w:pPr>
          </w:p>
        </w:tc>
        <w:tc>
          <w:tcPr>
            <w:tcW w:w="230" w:type="pct"/>
            <w:shd w:val="clear" w:color="auto" w:fill="auto"/>
            <w:vAlign w:val="bottom"/>
          </w:tcPr>
          <w:p w14:paraId="392C19D5" w14:textId="77777777" w:rsidR="00980E5F" w:rsidRDefault="00980E5F">
            <w:pPr>
              <w:rPr>
                <w:rFonts w:ascii="宋体"/>
              </w:rPr>
            </w:pPr>
          </w:p>
        </w:tc>
        <w:tc>
          <w:tcPr>
            <w:tcW w:w="5" w:type="pct"/>
            <w:shd w:val="clear" w:color="auto" w:fill="auto"/>
            <w:vAlign w:val="bottom"/>
          </w:tcPr>
          <w:p w14:paraId="392C19D6" w14:textId="77777777" w:rsidR="00980E5F" w:rsidRDefault="00980E5F">
            <w:pPr>
              <w:rPr>
                <w:rFonts w:ascii="宋体"/>
              </w:rPr>
            </w:pPr>
          </w:p>
        </w:tc>
        <w:tc>
          <w:tcPr>
            <w:tcW w:w="5" w:type="pct"/>
            <w:shd w:val="clear" w:color="auto" w:fill="auto"/>
            <w:vAlign w:val="bottom"/>
          </w:tcPr>
          <w:p w14:paraId="392C19D7" w14:textId="77777777" w:rsidR="00980E5F" w:rsidRDefault="00980E5F">
            <w:pPr>
              <w:rPr>
                <w:rFonts w:ascii="宋体"/>
              </w:rPr>
            </w:pPr>
          </w:p>
        </w:tc>
        <w:tc>
          <w:tcPr>
            <w:tcW w:w="19" w:type="pct"/>
            <w:shd w:val="clear" w:color="auto" w:fill="auto"/>
            <w:vAlign w:val="bottom"/>
          </w:tcPr>
          <w:p w14:paraId="392C19D8" w14:textId="77777777" w:rsidR="00980E5F" w:rsidRDefault="00980E5F">
            <w:pPr>
              <w:rPr>
                <w:rFonts w:ascii="宋体"/>
              </w:rPr>
            </w:pPr>
          </w:p>
        </w:tc>
        <w:tc>
          <w:tcPr>
            <w:tcW w:w="5" w:type="pct"/>
            <w:shd w:val="clear" w:color="auto" w:fill="auto"/>
            <w:vAlign w:val="bottom"/>
          </w:tcPr>
          <w:p w14:paraId="392C19D9" w14:textId="77777777" w:rsidR="00980E5F" w:rsidRDefault="00980E5F">
            <w:pPr>
              <w:rPr>
                <w:rFonts w:ascii="宋体"/>
              </w:rPr>
            </w:pPr>
          </w:p>
        </w:tc>
        <w:tc>
          <w:tcPr>
            <w:tcW w:w="50" w:type="pct"/>
            <w:shd w:val="clear" w:color="auto" w:fill="auto"/>
            <w:vAlign w:val="bottom"/>
          </w:tcPr>
          <w:p w14:paraId="392C19DA" w14:textId="77777777" w:rsidR="00980E5F" w:rsidRDefault="00980E5F">
            <w:pPr>
              <w:rPr>
                <w:rFonts w:ascii="宋体"/>
              </w:rPr>
            </w:pPr>
          </w:p>
        </w:tc>
        <w:tc>
          <w:tcPr>
            <w:tcW w:w="230" w:type="pct"/>
            <w:shd w:val="clear" w:color="auto" w:fill="auto"/>
            <w:vAlign w:val="bottom"/>
          </w:tcPr>
          <w:p w14:paraId="392C19DB" w14:textId="77777777" w:rsidR="00980E5F" w:rsidRDefault="00980E5F">
            <w:pPr>
              <w:rPr>
                <w:rFonts w:ascii="宋体"/>
              </w:rPr>
            </w:pPr>
          </w:p>
        </w:tc>
        <w:tc>
          <w:tcPr>
            <w:tcW w:w="5" w:type="pct"/>
            <w:shd w:val="clear" w:color="auto" w:fill="auto"/>
            <w:vAlign w:val="bottom"/>
          </w:tcPr>
          <w:p w14:paraId="392C19DC" w14:textId="77777777" w:rsidR="00980E5F" w:rsidRDefault="00980E5F">
            <w:pPr>
              <w:rPr>
                <w:rFonts w:ascii="宋体"/>
              </w:rPr>
            </w:pPr>
          </w:p>
        </w:tc>
        <w:tc>
          <w:tcPr>
            <w:tcW w:w="5" w:type="pct"/>
            <w:shd w:val="clear" w:color="auto" w:fill="auto"/>
            <w:vAlign w:val="bottom"/>
          </w:tcPr>
          <w:p w14:paraId="392C19DD" w14:textId="77777777" w:rsidR="00980E5F" w:rsidRDefault="00980E5F">
            <w:pPr>
              <w:rPr>
                <w:rFonts w:ascii="宋体"/>
              </w:rPr>
            </w:pPr>
          </w:p>
        </w:tc>
        <w:tc>
          <w:tcPr>
            <w:tcW w:w="19" w:type="pct"/>
            <w:shd w:val="clear" w:color="auto" w:fill="auto"/>
            <w:vAlign w:val="bottom"/>
          </w:tcPr>
          <w:p w14:paraId="392C19DE" w14:textId="77777777" w:rsidR="00980E5F" w:rsidRDefault="00980E5F">
            <w:pPr>
              <w:rPr>
                <w:rFonts w:ascii="宋体"/>
              </w:rPr>
            </w:pPr>
          </w:p>
        </w:tc>
        <w:tc>
          <w:tcPr>
            <w:tcW w:w="5" w:type="pct"/>
            <w:shd w:val="clear" w:color="auto" w:fill="auto"/>
            <w:vAlign w:val="bottom"/>
          </w:tcPr>
          <w:p w14:paraId="392C19DF" w14:textId="77777777" w:rsidR="00980E5F" w:rsidRDefault="00980E5F">
            <w:pPr>
              <w:rPr>
                <w:rFonts w:ascii="宋体"/>
              </w:rPr>
            </w:pPr>
          </w:p>
        </w:tc>
      </w:tr>
      <w:tr w:rsidR="00980E5F" w14:paraId="392C19E2" w14:textId="77777777">
        <w:tc>
          <w:tcPr>
            <w:tcW w:w="0" w:type="auto"/>
            <w:gridSpan w:val="55"/>
            <w:shd w:val="clear" w:color="auto" w:fill="auto"/>
            <w:tcMar>
              <w:top w:w="40" w:type="dxa"/>
              <w:left w:w="20" w:type="dxa"/>
              <w:bottom w:w="40" w:type="dxa"/>
              <w:right w:w="20" w:type="dxa"/>
            </w:tcMar>
            <w:vAlign w:val="bottom"/>
          </w:tcPr>
          <w:p w14:paraId="392C19E1" w14:textId="77777777" w:rsidR="00980E5F" w:rsidRDefault="00483613">
            <w:pPr>
              <w:textAlignment w:val="bottom"/>
            </w:pPr>
            <w:r>
              <w:rPr>
                <w:rFonts w:ascii="Arial" w:eastAsia="宋体" w:hAnsi="Arial" w:cs="Arial"/>
                <w:b/>
                <w:bCs/>
                <w:color w:val="000000"/>
                <w:sz w:val="16"/>
                <w:szCs w:val="16"/>
              </w:rPr>
              <w:t>TABLE 28: TEN-DAY VALUE-AT-RISK ASSOCIATED WITH TRADING ACTIVITIES FOR COVERED POSITIONS</w:t>
            </w:r>
          </w:p>
        </w:tc>
      </w:tr>
      <w:tr w:rsidR="00980E5F" w14:paraId="392C19EA" w14:textId="77777777">
        <w:trPr>
          <w:trHeight w:val="220"/>
        </w:trPr>
        <w:tc>
          <w:tcPr>
            <w:tcW w:w="0" w:type="auto"/>
            <w:gridSpan w:val="3"/>
            <w:shd w:val="clear" w:color="auto" w:fill="auto"/>
            <w:tcMar>
              <w:top w:w="0" w:type="dxa"/>
              <w:left w:w="20" w:type="dxa"/>
              <w:bottom w:w="0" w:type="dxa"/>
              <w:right w:w="20" w:type="dxa"/>
            </w:tcMar>
            <w:vAlign w:val="bottom"/>
          </w:tcPr>
          <w:p w14:paraId="392C19E3" w14:textId="77777777" w:rsidR="00980E5F" w:rsidRDefault="00980E5F">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392C19E4" w14:textId="77777777" w:rsidR="00980E5F" w:rsidRDefault="00483613">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392C19E5"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19E6" w14:textId="77777777" w:rsidR="00980E5F" w:rsidRDefault="00483613">
            <w:pPr>
              <w:jc w:val="center"/>
              <w:textAlignment w:val="bottom"/>
            </w:pPr>
            <w:r>
              <w:rPr>
                <w:rFonts w:ascii="Arial" w:eastAsia="宋体" w:hAnsi="Arial" w:cs="Arial"/>
                <w:b/>
                <w:bCs/>
                <w:color w:val="000000"/>
                <w:sz w:val="13"/>
                <w:szCs w:val="13"/>
              </w:rPr>
              <w:t>As of June 30, 2022</w:t>
            </w:r>
          </w:p>
        </w:tc>
        <w:tc>
          <w:tcPr>
            <w:tcW w:w="0" w:type="auto"/>
            <w:gridSpan w:val="2"/>
            <w:vMerge w:val="restart"/>
            <w:shd w:val="clear" w:color="auto" w:fill="auto"/>
            <w:tcMar>
              <w:top w:w="0" w:type="dxa"/>
              <w:left w:w="20" w:type="dxa"/>
              <w:bottom w:w="0" w:type="dxa"/>
              <w:right w:w="20" w:type="dxa"/>
            </w:tcMar>
            <w:vAlign w:val="bottom"/>
          </w:tcPr>
          <w:p w14:paraId="392C19E7" w14:textId="77777777" w:rsidR="00980E5F" w:rsidRDefault="00980E5F">
            <w:pPr>
              <w:rPr>
                <w:rFonts w:ascii="宋体"/>
              </w:rPr>
            </w:pPr>
          </w:p>
        </w:tc>
        <w:tc>
          <w:tcPr>
            <w:tcW w:w="0" w:type="auto"/>
            <w:vMerge w:val="restart"/>
            <w:shd w:val="clear" w:color="auto" w:fill="auto"/>
            <w:tcMar>
              <w:top w:w="40" w:type="dxa"/>
              <w:left w:w="20" w:type="dxa"/>
              <w:bottom w:w="40" w:type="dxa"/>
              <w:right w:w="20" w:type="dxa"/>
            </w:tcMar>
            <w:vAlign w:val="bottom"/>
          </w:tcPr>
          <w:p w14:paraId="392C19E8" w14:textId="77777777" w:rsidR="00980E5F" w:rsidRDefault="00483613">
            <w:pPr>
              <w:jc w:val="center"/>
              <w:textAlignment w:val="bottom"/>
            </w:pPr>
            <w:r>
              <w:rPr>
                <w:rFonts w:ascii="Arial" w:eastAsia="宋体" w:hAnsi="Arial" w:cs="Arial"/>
                <w:b/>
                <w:bCs/>
                <w:color w:val="000000"/>
                <w:sz w:val="13"/>
                <w:szCs w:val="13"/>
              </w:rPr>
              <w:t>As of March 31, 2022</w:t>
            </w:r>
          </w:p>
          <w:p w14:paraId="392C19E9" w14:textId="77777777" w:rsidR="00980E5F" w:rsidRDefault="00483613">
            <w:pPr>
              <w:jc w:val="center"/>
              <w:textAlignment w:val="bottom"/>
            </w:pPr>
            <w:r>
              <w:rPr>
                <w:rFonts w:ascii="Arial" w:eastAsia="宋体" w:hAnsi="Arial" w:cs="Arial"/>
                <w:b/>
                <w:bCs/>
                <w:color w:val="000000"/>
                <w:sz w:val="13"/>
                <w:szCs w:val="13"/>
              </w:rPr>
              <w:t>As of June 30, 2021</w:t>
            </w:r>
          </w:p>
        </w:tc>
      </w:tr>
      <w:tr w:rsidR="00980E5F" w14:paraId="392C19F6" w14:textId="77777777">
        <w:trPr>
          <w:trHeight w:val="220"/>
        </w:trPr>
        <w:tc>
          <w:tcPr>
            <w:tcW w:w="0" w:type="auto"/>
            <w:gridSpan w:val="3"/>
            <w:shd w:val="clear" w:color="auto" w:fill="auto"/>
            <w:tcMar>
              <w:top w:w="0" w:type="dxa"/>
              <w:left w:w="20" w:type="dxa"/>
              <w:bottom w:w="0" w:type="dxa"/>
              <w:right w:w="20" w:type="dxa"/>
            </w:tcMar>
            <w:vAlign w:val="bottom"/>
          </w:tcPr>
          <w:p w14:paraId="392C19EB"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9EC" w14:textId="77777777" w:rsidR="00980E5F" w:rsidRDefault="00483613">
            <w:pPr>
              <w:jc w:val="center"/>
              <w:textAlignment w:val="bottom"/>
            </w:pPr>
            <w:r>
              <w:rPr>
                <w:rFonts w:ascii="Arial" w:eastAsia="宋体" w:hAnsi="Arial" w:cs="Arial"/>
                <w:b/>
                <w:bCs/>
                <w:color w:val="000000"/>
                <w:sz w:val="13"/>
                <w:szCs w:val="13"/>
              </w:rPr>
              <w:t xml:space="preserve">June 30, </w:t>
            </w: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9ED" w14:textId="77777777" w:rsidR="00980E5F" w:rsidRDefault="00980E5F">
            <w:pPr>
              <w:rPr>
                <w:rFonts w:ascii="宋体"/>
              </w:rPr>
            </w:pPr>
          </w:p>
        </w:tc>
        <w:tc>
          <w:tcPr>
            <w:tcW w:w="0" w:type="auto"/>
            <w:shd w:val="clear" w:color="auto" w:fill="auto"/>
            <w:vAlign w:val="bottom"/>
          </w:tcPr>
          <w:p w14:paraId="392C19EE" w14:textId="77777777" w:rsidR="00980E5F" w:rsidRDefault="00980E5F">
            <w:pPr>
              <w:rPr>
                <w:rFonts w:ascii="宋体"/>
                <w:vanish/>
              </w:rPr>
            </w:pPr>
          </w:p>
        </w:tc>
        <w:tc>
          <w:tcPr>
            <w:tcW w:w="0" w:type="auto"/>
            <w:shd w:val="clear" w:color="auto" w:fill="auto"/>
            <w:vAlign w:val="bottom"/>
          </w:tcPr>
          <w:p w14:paraId="392C19EF" w14:textId="77777777" w:rsidR="00980E5F" w:rsidRDefault="00980E5F">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9F0" w14:textId="77777777" w:rsidR="00980E5F" w:rsidRDefault="00483613">
            <w:pPr>
              <w:jc w:val="center"/>
              <w:textAlignment w:val="bottom"/>
            </w:pPr>
            <w:r>
              <w:rPr>
                <w:rFonts w:ascii="Arial" w:eastAsia="宋体" w:hAnsi="Arial" w:cs="Arial"/>
                <w:b/>
                <w:bCs/>
                <w:color w:val="000000"/>
                <w:sz w:val="13"/>
                <w:szCs w:val="13"/>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9F1" w14:textId="77777777" w:rsidR="00980E5F" w:rsidRDefault="00980E5F">
            <w:pPr>
              <w:rPr>
                <w:rFonts w:ascii="宋体"/>
              </w:rPr>
            </w:pPr>
          </w:p>
        </w:tc>
        <w:tc>
          <w:tcPr>
            <w:tcW w:w="0" w:type="auto"/>
            <w:shd w:val="clear" w:color="auto" w:fill="auto"/>
            <w:vAlign w:val="bottom"/>
          </w:tcPr>
          <w:p w14:paraId="392C19F2" w14:textId="77777777" w:rsidR="00980E5F" w:rsidRDefault="00980E5F">
            <w:pPr>
              <w:rPr>
                <w:rFonts w:ascii="宋体"/>
                <w:vanish/>
              </w:rPr>
            </w:pPr>
          </w:p>
        </w:tc>
        <w:tc>
          <w:tcPr>
            <w:tcW w:w="0" w:type="auto"/>
            <w:shd w:val="clear" w:color="auto" w:fill="auto"/>
            <w:vAlign w:val="bottom"/>
          </w:tcPr>
          <w:p w14:paraId="392C19F3" w14:textId="77777777" w:rsidR="00980E5F" w:rsidRDefault="00980E5F">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392C19F4" w14:textId="77777777" w:rsidR="00980E5F" w:rsidRDefault="00483613">
            <w:pPr>
              <w:jc w:val="center"/>
              <w:textAlignment w:val="bottom"/>
            </w:pPr>
            <w:r>
              <w:rPr>
                <w:rFonts w:ascii="Arial" w:eastAsia="宋体" w:hAnsi="Arial" w:cs="Arial"/>
                <w:b/>
                <w:bCs/>
                <w:color w:val="000000"/>
                <w:sz w:val="13"/>
                <w:szCs w:val="13"/>
              </w:rPr>
              <w:t>June 30, 2021</w:t>
            </w:r>
          </w:p>
        </w:tc>
        <w:tc>
          <w:tcPr>
            <w:tcW w:w="0" w:type="auto"/>
            <w:shd w:val="clear" w:color="auto" w:fill="auto"/>
            <w:tcMar>
              <w:top w:w="0" w:type="dxa"/>
              <w:left w:w="20" w:type="dxa"/>
              <w:bottom w:w="0" w:type="dxa"/>
              <w:right w:w="20" w:type="dxa"/>
            </w:tcMar>
            <w:vAlign w:val="bottom"/>
          </w:tcPr>
          <w:p w14:paraId="392C19F5" w14:textId="77777777" w:rsidR="00980E5F" w:rsidRDefault="00980E5F">
            <w:pPr>
              <w:rPr>
                <w:rFonts w:ascii="宋体"/>
              </w:rPr>
            </w:pPr>
          </w:p>
        </w:tc>
      </w:tr>
      <w:tr w:rsidR="00980E5F" w14:paraId="392C1A10" w14:textId="77777777">
        <w:tc>
          <w:tcPr>
            <w:tcW w:w="0" w:type="auto"/>
            <w:gridSpan w:val="3"/>
            <w:shd w:val="clear" w:color="auto" w:fill="auto"/>
            <w:tcMar>
              <w:top w:w="40" w:type="dxa"/>
              <w:left w:w="20" w:type="dxa"/>
              <w:bottom w:w="40" w:type="dxa"/>
              <w:right w:w="20" w:type="dxa"/>
            </w:tcMar>
            <w:vAlign w:val="bottom"/>
          </w:tcPr>
          <w:p w14:paraId="392C19F7" w14:textId="77777777" w:rsidR="00980E5F" w:rsidRDefault="00483613">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9F8"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9F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9FA"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9F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9FC" w14:textId="77777777" w:rsidR="00980E5F" w:rsidRDefault="00483613">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392C19FD" w14:textId="77777777" w:rsidR="00980E5F" w:rsidRDefault="00980E5F">
            <w:pPr>
              <w:rPr>
                <w:rFonts w:ascii="宋体"/>
              </w:rPr>
            </w:pPr>
          </w:p>
        </w:tc>
        <w:tc>
          <w:tcPr>
            <w:tcW w:w="0" w:type="auto"/>
            <w:shd w:val="clear" w:color="auto" w:fill="auto"/>
            <w:vAlign w:val="bottom"/>
          </w:tcPr>
          <w:p w14:paraId="392C19FE" w14:textId="77777777" w:rsidR="00980E5F" w:rsidRDefault="00980E5F">
            <w:pPr>
              <w:rPr>
                <w:rFonts w:ascii="宋体"/>
                <w:vanish/>
              </w:rPr>
            </w:pPr>
          </w:p>
        </w:tc>
        <w:tc>
          <w:tcPr>
            <w:tcW w:w="0" w:type="auto"/>
            <w:shd w:val="clear" w:color="auto" w:fill="auto"/>
            <w:vAlign w:val="bottom"/>
          </w:tcPr>
          <w:p w14:paraId="392C19FF"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00"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0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02"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0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04" w14:textId="77777777" w:rsidR="00980E5F" w:rsidRDefault="00483613">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392C1A05" w14:textId="77777777" w:rsidR="00980E5F" w:rsidRDefault="00980E5F">
            <w:pPr>
              <w:rPr>
                <w:rFonts w:ascii="宋体"/>
              </w:rPr>
            </w:pPr>
          </w:p>
        </w:tc>
        <w:tc>
          <w:tcPr>
            <w:tcW w:w="0" w:type="auto"/>
            <w:shd w:val="clear" w:color="auto" w:fill="auto"/>
            <w:vAlign w:val="bottom"/>
          </w:tcPr>
          <w:p w14:paraId="392C1A06" w14:textId="77777777" w:rsidR="00980E5F" w:rsidRDefault="00980E5F">
            <w:pPr>
              <w:rPr>
                <w:rFonts w:ascii="宋体"/>
                <w:vanish/>
              </w:rPr>
            </w:pPr>
          </w:p>
        </w:tc>
        <w:tc>
          <w:tcPr>
            <w:tcW w:w="0" w:type="auto"/>
            <w:shd w:val="clear" w:color="auto" w:fill="auto"/>
            <w:vAlign w:val="bottom"/>
          </w:tcPr>
          <w:p w14:paraId="392C1A07"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08"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0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0A"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1A0B" w14:textId="77777777" w:rsidR="00980E5F" w:rsidRDefault="00980E5F">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392C1A0C" w14:textId="77777777" w:rsidR="00980E5F" w:rsidRDefault="00483613">
            <w:pPr>
              <w:spacing w:after="20"/>
              <w:jc w:val="center"/>
              <w:textAlignment w:val="bottom"/>
            </w:pPr>
            <w:r>
              <w:rPr>
                <w:rFonts w:ascii="Arial" w:eastAsia="宋体" w:hAnsi="Arial" w:cs="Arial"/>
                <w:b/>
                <w:bCs/>
                <w:color w:val="000000"/>
                <w:sz w:val="13"/>
                <w:szCs w:val="13"/>
              </w:rPr>
              <w:t>Min.</w:t>
            </w:r>
          </w:p>
          <w:p w14:paraId="392C1A0D" w14:textId="77777777" w:rsidR="00980E5F" w:rsidRDefault="00483613">
            <w:pPr>
              <w:spacing w:after="20"/>
              <w:jc w:val="center"/>
              <w:textAlignment w:val="bottom"/>
            </w:pPr>
            <w:r>
              <w:rPr>
                <w:rFonts w:ascii="Arial" w:eastAsia="宋体" w:hAnsi="Arial" w:cs="Arial"/>
                <w:b/>
                <w:bCs/>
                <w:color w:val="000000"/>
                <w:sz w:val="13"/>
                <w:szCs w:val="13"/>
              </w:rPr>
              <w:t>VaR</w:t>
            </w:r>
          </w:p>
          <w:p w14:paraId="392C1A0E" w14:textId="77777777" w:rsidR="00980E5F" w:rsidRDefault="00483613">
            <w:pPr>
              <w:spacing w:after="20"/>
              <w:jc w:val="center"/>
              <w:textAlignment w:val="bottom"/>
            </w:pPr>
            <w:r>
              <w:rPr>
                <w:rFonts w:ascii="Arial" w:eastAsia="宋体" w:hAnsi="Arial" w:cs="Arial"/>
                <w:b/>
                <w:bCs/>
                <w:color w:val="000000"/>
                <w:sz w:val="13"/>
                <w:szCs w:val="13"/>
              </w:rPr>
              <w:t>VaR</w:t>
            </w:r>
          </w:p>
          <w:p w14:paraId="392C1A0F" w14:textId="77777777" w:rsidR="00980E5F" w:rsidRDefault="00483613">
            <w:pPr>
              <w:spacing w:after="20"/>
              <w:jc w:val="center"/>
              <w:textAlignment w:val="bottom"/>
            </w:pPr>
            <w:r>
              <w:rPr>
                <w:rFonts w:ascii="Arial" w:eastAsia="宋体" w:hAnsi="Arial" w:cs="Arial"/>
                <w:b/>
                <w:bCs/>
                <w:color w:val="000000"/>
                <w:sz w:val="13"/>
                <w:szCs w:val="13"/>
              </w:rPr>
              <w:t>VaR</w:t>
            </w:r>
          </w:p>
        </w:tc>
      </w:tr>
      <w:tr w:rsidR="00483613" w14:paraId="392C1A40" w14:textId="77777777">
        <w:tc>
          <w:tcPr>
            <w:tcW w:w="0" w:type="auto"/>
            <w:gridSpan w:val="3"/>
            <w:shd w:val="clear" w:color="auto" w:fill="CCEEFF"/>
            <w:tcMar>
              <w:top w:w="40" w:type="dxa"/>
              <w:left w:w="20" w:type="dxa"/>
              <w:bottom w:w="40" w:type="dxa"/>
              <w:right w:w="20" w:type="dxa"/>
            </w:tcMar>
            <w:vAlign w:val="bottom"/>
          </w:tcPr>
          <w:p w14:paraId="392C1A11" w14:textId="77777777" w:rsidR="00980E5F" w:rsidRDefault="00483613">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1A12"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13" w14:textId="77777777" w:rsidR="00980E5F" w:rsidRDefault="00483613">
            <w:pPr>
              <w:jc w:val="right"/>
              <w:textAlignment w:val="bottom"/>
            </w:pPr>
            <w:r>
              <w:rPr>
                <w:rFonts w:ascii="Arial" w:eastAsia="宋体" w:hAnsi="Arial" w:cs="Arial"/>
                <w:b/>
                <w:bCs/>
                <w:color w:val="000000"/>
                <w:sz w:val="13"/>
                <w:szCs w:val="13"/>
              </w:rPr>
              <w:t>8,248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1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15" w14:textId="77777777" w:rsidR="00980E5F" w:rsidRDefault="00980E5F">
            <w:pPr>
              <w:spacing w:after="20"/>
              <w:jc w:val="right"/>
            </w:pPr>
          </w:p>
          <w:p w14:paraId="392C1A16" w14:textId="77777777" w:rsidR="00980E5F" w:rsidRDefault="00980E5F">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1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18" w14:textId="77777777" w:rsidR="00980E5F" w:rsidRDefault="00483613">
            <w:pPr>
              <w:jc w:val="right"/>
              <w:textAlignment w:val="bottom"/>
            </w:pPr>
            <w:r>
              <w:rPr>
                <w:rFonts w:ascii="Arial" w:eastAsia="宋体" w:hAnsi="Arial" w:cs="Arial"/>
                <w:b/>
                <w:bCs/>
                <w:color w:val="000000"/>
                <w:sz w:val="13"/>
                <w:szCs w:val="13"/>
              </w:rPr>
              <w:t>16,319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1A" w14:textId="77777777" w:rsidR="00980E5F" w:rsidRDefault="00980E5F">
            <w:pPr>
              <w:spacing w:after="20"/>
              <w:jc w:val="right"/>
            </w:pPr>
          </w:p>
          <w:p w14:paraId="392C1A1B" w14:textId="77777777" w:rsidR="00980E5F" w:rsidRDefault="00980E5F">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1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1D" w14:textId="77777777" w:rsidR="00980E5F" w:rsidRDefault="00483613">
            <w:pPr>
              <w:jc w:val="right"/>
              <w:textAlignment w:val="bottom"/>
            </w:pPr>
            <w:r>
              <w:rPr>
                <w:rFonts w:ascii="Arial" w:eastAsia="宋体" w:hAnsi="Arial" w:cs="Arial"/>
                <w:b/>
                <w:bCs/>
                <w:color w:val="000000"/>
                <w:sz w:val="13"/>
                <w:szCs w:val="13"/>
              </w:rPr>
              <w:t>3,830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1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1F" w14:textId="77777777" w:rsidR="00980E5F" w:rsidRDefault="00980E5F">
            <w:pPr>
              <w:rPr>
                <w:rFonts w:ascii="宋体"/>
              </w:rPr>
            </w:pPr>
          </w:p>
        </w:tc>
        <w:tc>
          <w:tcPr>
            <w:tcW w:w="0" w:type="auto"/>
            <w:shd w:val="clear" w:color="auto" w:fill="auto"/>
            <w:vAlign w:val="bottom"/>
          </w:tcPr>
          <w:p w14:paraId="392C1A20" w14:textId="77777777" w:rsidR="00980E5F" w:rsidRDefault="00980E5F">
            <w:pPr>
              <w:rPr>
                <w:rFonts w:ascii="宋体"/>
                <w:vanish/>
              </w:rPr>
            </w:pPr>
          </w:p>
        </w:tc>
        <w:tc>
          <w:tcPr>
            <w:tcW w:w="0" w:type="auto"/>
            <w:shd w:val="clear" w:color="auto" w:fill="auto"/>
            <w:vAlign w:val="bottom"/>
          </w:tcPr>
          <w:p w14:paraId="392C1A21"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2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23" w14:textId="77777777" w:rsidR="00980E5F" w:rsidRDefault="00483613">
            <w:pPr>
              <w:jc w:val="right"/>
              <w:textAlignment w:val="bottom"/>
            </w:pPr>
            <w:r>
              <w:rPr>
                <w:rFonts w:ascii="Arial" w:eastAsia="宋体" w:hAnsi="Arial" w:cs="Arial"/>
                <w:color w:val="000000"/>
                <w:sz w:val="13"/>
                <w:szCs w:val="13"/>
              </w:rPr>
              <w:t>11,401 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2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26"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27" w14:textId="77777777" w:rsidR="00980E5F" w:rsidRDefault="00483613">
            <w:pPr>
              <w:jc w:val="right"/>
              <w:textAlignment w:val="bottom"/>
            </w:pPr>
            <w:r>
              <w:rPr>
                <w:rFonts w:ascii="Arial" w:eastAsia="宋体" w:hAnsi="Arial" w:cs="Arial"/>
                <w:color w:val="000000"/>
                <w:sz w:val="13"/>
                <w:szCs w:val="13"/>
              </w:rPr>
              <w:t>25,779 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2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2A"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2B" w14:textId="77777777" w:rsidR="00980E5F" w:rsidRDefault="00483613">
            <w:pPr>
              <w:jc w:val="right"/>
              <w:textAlignment w:val="bottom"/>
            </w:pPr>
            <w:r>
              <w:rPr>
                <w:rFonts w:ascii="Arial" w:eastAsia="宋体" w:hAnsi="Arial" w:cs="Arial"/>
                <w:color w:val="000000"/>
                <w:sz w:val="13"/>
                <w:szCs w:val="13"/>
              </w:rPr>
              <w:t>3,341 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2D" w14:textId="77777777" w:rsidR="00980E5F" w:rsidRDefault="00980E5F">
            <w:pPr>
              <w:rPr>
                <w:rFonts w:ascii="宋体"/>
              </w:rPr>
            </w:pPr>
          </w:p>
        </w:tc>
        <w:tc>
          <w:tcPr>
            <w:tcW w:w="0" w:type="auto"/>
            <w:shd w:val="clear" w:color="auto" w:fill="auto"/>
            <w:vAlign w:val="bottom"/>
          </w:tcPr>
          <w:p w14:paraId="392C1A2E" w14:textId="77777777" w:rsidR="00980E5F" w:rsidRDefault="00980E5F">
            <w:pPr>
              <w:rPr>
                <w:rFonts w:ascii="宋体"/>
                <w:vanish/>
              </w:rPr>
            </w:pPr>
          </w:p>
        </w:tc>
        <w:tc>
          <w:tcPr>
            <w:tcW w:w="0" w:type="auto"/>
            <w:shd w:val="clear" w:color="auto" w:fill="auto"/>
            <w:vAlign w:val="bottom"/>
          </w:tcPr>
          <w:p w14:paraId="392C1A2F"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30"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31" w14:textId="77777777" w:rsidR="00980E5F" w:rsidRDefault="00483613">
            <w:pPr>
              <w:jc w:val="right"/>
              <w:textAlignment w:val="bottom"/>
            </w:pPr>
            <w:r>
              <w:rPr>
                <w:rFonts w:ascii="Arial" w:eastAsia="宋体" w:hAnsi="Arial" w:cs="Arial"/>
                <w:color w:val="000000"/>
                <w:sz w:val="13"/>
                <w:szCs w:val="13"/>
              </w:rPr>
              <w:t>15,283 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3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34"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A35" w14:textId="77777777" w:rsidR="00980E5F" w:rsidRDefault="00483613">
            <w:pPr>
              <w:jc w:val="right"/>
              <w:textAlignment w:val="bottom"/>
            </w:pPr>
            <w:r>
              <w:rPr>
                <w:rFonts w:ascii="Arial" w:eastAsia="宋体" w:hAnsi="Arial" w:cs="Arial"/>
                <w:color w:val="000000"/>
                <w:sz w:val="13"/>
                <w:szCs w:val="13"/>
              </w:rPr>
              <w:t>25,020 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A36"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A3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A38" w14:textId="77777777" w:rsidR="00980E5F" w:rsidRDefault="00483613">
            <w:pPr>
              <w:textAlignment w:val="bottom"/>
            </w:pPr>
            <w:r>
              <w:rPr>
                <w:rFonts w:ascii="Arial" w:eastAsia="宋体" w:hAnsi="Arial" w:cs="Arial"/>
                <w:color w:val="000000"/>
                <w:sz w:val="13"/>
                <w:szCs w:val="13"/>
              </w:rPr>
              <w:t>$</w:t>
            </w:r>
          </w:p>
          <w:p w14:paraId="392C1A39" w14:textId="77777777" w:rsidR="00980E5F" w:rsidRDefault="00483613">
            <w:pPr>
              <w:jc w:val="right"/>
              <w:textAlignment w:val="bottom"/>
            </w:pPr>
            <w:r>
              <w:rPr>
                <w:rFonts w:ascii="Arial" w:eastAsia="宋体" w:hAnsi="Arial" w:cs="Arial"/>
                <w:color w:val="000000"/>
                <w:sz w:val="13"/>
                <w:szCs w:val="13"/>
              </w:rPr>
              <w:t>6,974 </w:t>
            </w:r>
          </w:p>
          <w:p w14:paraId="392C1A3A" w14:textId="77777777" w:rsidR="00980E5F" w:rsidRDefault="00483613">
            <w:pPr>
              <w:textAlignment w:val="bottom"/>
            </w:pPr>
            <w:r>
              <w:rPr>
                <w:rFonts w:ascii="Arial" w:eastAsia="宋体" w:hAnsi="Arial" w:cs="Arial"/>
                <w:b/>
                <w:bCs/>
                <w:color w:val="000000"/>
                <w:sz w:val="13"/>
                <w:szCs w:val="13"/>
              </w:rPr>
              <w:t>$</w:t>
            </w:r>
          </w:p>
          <w:p w14:paraId="392C1A3B" w14:textId="77777777" w:rsidR="00980E5F" w:rsidRDefault="00483613">
            <w:pPr>
              <w:jc w:val="right"/>
              <w:textAlignment w:val="bottom"/>
            </w:pPr>
            <w:r>
              <w:rPr>
                <w:rFonts w:ascii="Arial" w:eastAsia="宋体" w:hAnsi="Arial" w:cs="Arial"/>
                <w:b/>
                <w:bCs/>
                <w:color w:val="000000"/>
                <w:sz w:val="13"/>
                <w:szCs w:val="13"/>
              </w:rPr>
              <w:t>9,152</w:t>
            </w:r>
            <w:r>
              <w:rPr>
                <w:rFonts w:ascii="Arial" w:eastAsia="宋体" w:hAnsi="Arial" w:cs="Arial"/>
                <w:color w:val="000000"/>
                <w:sz w:val="13"/>
                <w:szCs w:val="13"/>
              </w:rPr>
              <w:t> </w:t>
            </w:r>
          </w:p>
          <w:p w14:paraId="392C1A3C" w14:textId="77777777" w:rsidR="00980E5F" w:rsidRDefault="00483613">
            <w:pPr>
              <w:textAlignment w:val="bottom"/>
            </w:pPr>
            <w:r>
              <w:rPr>
                <w:rFonts w:ascii="Arial" w:eastAsia="宋体" w:hAnsi="Arial" w:cs="Arial"/>
                <w:color w:val="000000"/>
                <w:sz w:val="13"/>
                <w:szCs w:val="13"/>
              </w:rPr>
              <w:t>$</w:t>
            </w:r>
          </w:p>
          <w:p w14:paraId="392C1A3D" w14:textId="77777777" w:rsidR="00980E5F" w:rsidRDefault="00483613">
            <w:pPr>
              <w:jc w:val="right"/>
              <w:textAlignment w:val="bottom"/>
            </w:pPr>
            <w:r>
              <w:rPr>
                <w:rFonts w:ascii="Arial" w:eastAsia="宋体" w:hAnsi="Arial" w:cs="Arial"/>
                <w:color w:val="000000"/>
                <w:sz w:val="13"/>
                <w:szCs w:val="13"/>
              </w:rPr>
              <w:t>4,474 </w:t>
            </w:r>
          </w:p>
          <w:p w14:paraId="392C1A3E" w14:textId="77777777" w:rsidR="00980E5F" w:rsidRDefault="00483613">
            <w:pPr>
              <w:textAlignment w:val="bottom"/>
            </w:pPr>
            <w:r>
              <w:rPr>
                <w:rFonts w:ascii="Arial" w:eastAsia="宋体" w:hAnsi="Arial" w:cs="Arial"/>
                <w:color w:val="000000"/>
                <w:sz w:val="13"/>
                <w:szCs w:val="13"/>
              </w:rPr>
              <w:t>$</w:t>
            </w:r>
          </w:p>
          <w:p w14:paraId="392C1A3F" w14:textId="77777777" w:rsidR="00980E5F" w:rsidRDefault="00483613">
            <w:pPr>
              <w:jc w:val="right"/>
              <w:textAlignment w:val="bottom"/>
            </w:pPr>
            <w:r>
              <w:rPr>
                <w:rFonts w:ascii="Arial" w:eastAsia="宋体" w:hAnsi="Arial" w:cs="Arial"/>
                <w:color w:val="000000"/>
                <w:sz w:val="13"/>
                <w:szCs w:val="13"/>
              </w:rPr>
              <w:t>20,989 </w:t>
            </w:r>
          </w:p>
        </w:tc>
      </w:tr>
      <w:tr w:rsidR="00980E5F" w14:paraId="392C1A64" w14:textId="77777777">
        <w:tc>
          <w:tcPr>
            <w:tcW w:w="0" w:type="auto"/>
            <w:gridSpan w:val="3"/>
            <w:shd w:val="clear" w:color="auto" w:fill="FFFFFF"/>
            <w:tcMar>
              <w:top w:w="40" w:type="dxa"/>
              <w:left w:w="20" w:type="dxa"/>
              <w:bottom w:w="40" w:type="dxa"/>
              <w:right w:w="20" w:type="dxa"/>
            </w:tcMar>
            <w:vAlign w:val="bottom"/>
          </w:tcPr>
          <w:p w14:paraId="392C1A41" w14:textId="77777777" w:rsidR="00980E5F" w:rsidRDefault="00483613">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392C1A42" w14:textId="77777777" w:rsidR="00980E5F" w:rsidRDefault="00483613">
            <w:pPr>
              <w:jc w:val="right"/>
              <w:textAlignment w:val="bottom"/>
            </w:pPr>
            <w:r>
              <w:rPr>
                <w:rFonts w:ascii="Arial" w:eastAsia="宋体" w:hAnsi="Arial" w:cs="Arial"/>
                <w:b/>
                <w:bCs/>
                <w:color w:val="000000"/>
                <w:sz w:val="13"/>
                <w:szCs w:val="13"/>
              </w:rPr>
              <w:t>971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A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44" w14:textId="77777777" w:rsidR="00980E5F" w:rsidRDefault="00980E5F">
            <w:pPr>
              <w:spacing w:after="20"/>
              <w:jc w:val="right"/>
            </w:pPr>
          </w:p>
          <w:p w14:paraId="392C1A45" w14:textId="77777777" w:rsidR="00980E5F" w:rsidRDefault="00980E5F">
            <w:pPr>
              <w:spacing w:after="20"/>
              <w:jc w:val="right"/>
            </w:pPr>
          </w:p>
        </w:tc>
        <w:tc>
          <w:tcPr>
            <w:tcW w:w="0" w:type="auto"/>
            <w:gridSpan w:val="2"/>
            <w:shd w:val="clear" w:color="auto" w:fill="FFFFFF"/>
            <w:tcMar>
              <w:top w:w="40" w:type="dxa"/>
              <w:left w:w="20" w:type="dxa"/>
              <w:bottom w:w="40" w:type="dxa"/>
              <w:right w:w="0" w:type="dxa"/>
            </w:tcMar>
            <w:vAlign w:val="bottom"/>
          </w:tcPr>
          <w:p w14:paraId="392C1A46" w14:textId="77777777" w:rsidR="00980E5F" w:rsidRDefault="00483613">
            <w:pPr>
              <w:jc w:val="right"/>
              <w:textAlignment w:val="bottom"/>
            </w:pPr>
            <w:r>
              <w:rPr>
                <w:rFonts w:ascii="Arial" w:eastAsia="宋体" w:hAnsi="Arial" w:cs="Arial"/>
                <w:b/>
                <w:bCs/>
                <w:color w:val="000000"/>
                <w:sz w:val="13"/>
                <w:szCs w:val="13"/>
              </w:rPr>
              <w:t>1,522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A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48" w14:textId="77777777" w:rsidR="00980E5F" w:rsidRDefault="00980E5F">
            <w:pPr>
              <w:spacing w:after="20"/>
              <w:jc w:val="right"/>
            </w:pPr>
          </w:p>
          <w:p w14:paraId="392C1A49" w14:textId="77777777" w:rsidR="00980E5F" w:rsidRDefault="00980E5F">
            <w:pPr>
              <w:spacing w:after="20"/>
              <w:jc w:val="right"/>
            </w:pPr>
          </w:p>
        </w:tc>
        <w:tc>
          <w:tcPr>
            <w:tcW w:w="0" w:type="auto"/>
            <w:gridSpan w:val="2"/>
            <w:shd w:val="clear" w:color="auto" w:fill="FFFFFF"/>
            <w:tcMar>
              <w:top w:w="40" w:type="dxa"/>
              <w:left w:w="20" w:type="dxa"/>
              <w:bottom w:w="40" w:type="dxa"/>
              <w:right w:w="0" w:type="dxa"/>
            </w:tcMar>
            <w:vAlign w:val="bottom"/>
          </w:tcPr>
          <w:p w14:paraId="392C1A4A" w14:textId="77777777" w:rsidR="00980E5F" w:rsidRDefault="00483613">
            <w:pPr>
              <w:jc w:val="right"/>
              <w:textAlignment w:val="bottom"/>
            </w:pPr>
            <w:r>
              <w:rPr>
                <w:rFonts w:ascii="Arial" w:eastAsia="宋体" w:hAnsi="Arial" w:cs="Arial"/>
                <w:b/>
                <w:bCs/>
                <w:color w:val="000000"/>
                <w:sz w:val="13"/>
                <w:szCs w:val="13"/>
              </w:rPr>
              <w:t>788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A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4C" w14:textId="77777777" w:rsidR="00980E5F" w:rsidRDefault="00980E5F">
            <w:pPr>
              <w:rPr>
                <w:rFonts w:ascii="宋体"/>
              </w:rPr>
            </w:pPr>
          </w:p>
        </w:tc>
        <w:tc>
          <w:tcPr>
            <w:tcW w:w="0" w:type="auto"/>
            <w:shd w:val="clear" w:color="auto" w:fill="auto"/>
            <w:vAlign w:val="bottom"/>
          </w:tcPr>
          <w:p w14:paraId="392C1A4D" w14:textId="77777777" w:rsidR="00980E5F" w:rsidRDefault="00980E5F">
            <w:pPr>
              <w:rPr>
                <w:rFonts w:ascii="宋体"/>
                <w:vanish/>
              </w:rPr>
            </w:pPr>
          </w:p>
        </w:tc>
        <w:tc>
          <w:tcPr>
            <w:tcW w:w="0" w:type="auto"/>
            <w:shd w:val="clear" w:color="auto" w:fill="auto"/>
            <w:vAlign w:val="bottom"/>
          </w:tcPr>
          <w:p w14:paraId="392C1A4E"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1A4F" w14:textId="77777777" w:rsidR="00980E5F" w:rsidRDefault="00483613">
            <w:pPr>
              <w:jc w:val="right"/>
              <w:textAlignment w:val="bottom"/>
            </w:pPr>
            <w:r>
              <w:rPr>
                <w:rFonts w:ascii="Arial" w:eastAsia="宋体" w:hAnsi="Arial" w:cs="Arial"/>
                <w:color w:val="000000"/>
                <w:sz w:val="13"/>
                <w:szCs w:val="13"/>
              </w:rPr>
              <w:t>776 </w:t>
            </w:r>
          </w:p>
        </w:tc>
        <w:tc>
          <w:tcPr>
            <w:tcW w:w="0" w:type="auto"/>
            <w:shd w:val="clear" w:color="auto" w:fill="FFFFFF"/>
            <w:tcMar>
              <w:top w:w="40" w:type="dxa"/>
              <w:left w:w="0" w:type="dxa"/>
              <w:bottom w:w="40" w:type="dxa"/>
              <w:right w:w="20" w:type="dxa"/>
            </w:tcMar>
            <w:vAlign w:val="bottom"/>
          </w:tcPr>
          <w:p w14:paraId="392C1A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A52" w14:textId="77777777" w:rsidR="00980E5F" w:rsidRDefault="00483613">
            <w:pPr>
              <w:jc w:val="right"/>
              <w:textAlignment w:val="bottom"/>
            </w:pPr>
            <w:r>
              <w:rPr>
                <w:rFonts w:ascii="Arial" w:eastAsia="宋体" w:hAnsi="Arial" w:cs="Arial"/>
                <w:color w:val="000000"/>
                <w:sz w:val="13"/>
                <w:szCs w:val="13"/>
              </w:rPr>
              <w:t>1,714 </w:t>
            </w:r>
          </w:p>
        </w:tc>
        <w:tc>
          <w:tcPr>
            <w:tcW w:w="0" w:type="auto"/>
            <w:shd w:val="clear" w:color="auto" w:fill="FFFFFF"/>
            <w:tcMar>
              <w:top w:w="40" w:type="dxa"/>
              <w:left w:w="0" w:type="dxa"/>
              <w:bottom w:w="40" w:type="dxa"/>
              <w:right w:w="20" w:type="dxa"/>
            </w:tcMar>
            <w:vAlign w:val="bottom"/>
          </w:tcPr>
          <w:p w14:paraId="392C1A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A55" w14:textId="77777777" w:rsidR="00980E5F" w:rsidRDefault="00483613">
            <w:pPr>
              <w:jc w:val="right"/>
              <w:textAlignment w:val="bottom"/>
            </w:pPr>
            <w:r>
              <w:rPr>
                <w:rFonts w:ascii="Arial" w:eastAsia="宋体" w:hAnsi="Arial" w:cs="Arial"/>
                <w:color w:val="000000"/>
                <w:sz w:val="13"/>
                <w:szCs w:val="13"/>
              </w:rPr>
              <w:t>559 </w:t>
            </w:r>
          </w:p>
        </w:tc>
        <w:tc>
          <w:tcPr>
            <w:tcW w:w="0" w:type="auto"/>
            <w:shd w:val="clear" w:color="auto" w:fill="FFFFFF"/>
            <w:tcMar>
              <w:top w:w="40" w:type="dxa"/>
              <w:left w:w="0" w:type="dxa"/>
              <w:bottom w:w="40" w:type="dxa"/>
              <w:right w:w="20" w:type="dxa"/>
            </w:tcMar>
            <w:vAlign w:val="bottom"/>
          </w:tcPr>
          <w:p w14:paraId="392C1A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57" w14:textId="77777777" w:rsidR="00980E5F" w:rsidRDefault="00980E5F">
            <w:pPr>
              <w:rPr>
                <w:rFonts w:ascii="宋体"/>
              </w:rPr>
            </w:pPr>
          </w:p>
        </w:tc>
        <w:tc>
          <w:tcPr>
            <w:tcW w:w="0" w:type="auto"/>
            <w:shd w:val="clear" w:color="auto" w:fill="auto"/>
            <w:vAlign w:val="bottom"/>
          </w:tcPr>
          <w:p w14:paraId="392C1A58" w14:textId="77777777" w:rsidR="00980E5F" w:rsidRDefault="00980E5F">
            <w:pPr>
              <w:rPr>
                <w:rFonts w:ascii="宋体"/>
                <w:vanish/>
              </w:rPr>
            </w:pPr>
          </w:p>
        </w:tc>
        <w:tc>
          <w:tcPr>
            <w:tcW w:w="0" w:type="auto"/>
            <w:shd w:val="clear" w:color="auto" w:fill="auto"/>
            <w:vAlign w:val="bottom"/>
          </w:tcPr>
          <w:p w14:paraId="392C1A5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1A5A" w14:textId="77777777" w:rsidR="00980E5F" w:rsidRDefault="00483613">
            <w:pPr>
              <w:jc w:val="right"/>
              <w:textAlignment w:val="bottom"/>
            </w:pPr>
            <w:r>
              <w:rPr>
                <w:rFonts w:ascii="Arial" w:eastAsia="宋体" w:hAnsi="Arial" w:cs="Arial"/>
                <w:color w:val="000000"/>
                <w:sz w:val="13"/>
                <w:szCs w:val="13"/>
              </w:rPr>
              <w:t>4,342 </w:t>
            </w:r>
          </w:p>
        </w:tc>
        <w:tc>
          <w:tcPr>
            <w:tcW w:w="0" w:type="auto"/>
            <w:shd w:val="clear" w:color="auto" w:fill="FFFFFF"/>
            <w:tcMar>
              <w:top w:w="40" w:type="dxa"/>
              <w:left w:w="0" w:type="dxa"/>
              <w:bottom w:w="40" w:type="dxa"/>
              <w:right w:w="20" w:type="dxa"/>
            </w:tcMar>
            <w:vAlign w:val="bottom"/>
          </w:tcPr>
          <w:p w14:paraId="392C1A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A5D" w14:textId="77777777" w:rsidR="00980E5F" w:rsidRDefault="00483613">
            <w:pPr>
              <w:jc w:val="right"/>
              <w:textAlignment w:val="bottom"/>
            </w:pPr>
            <w:r>
              <w:rPr>
                <w:rFonts w:ascii="Arial" w:eastAsia="宋体" w:hAnsi="Arial" w:cs="Arial"/>
                <w:color w:val="000000"/>
                <w:sz w:val="13"/>
                <w:szCs w:val="13"/>
              </w:rPr>
              <w:t>9,451 </w:t>
            </w:r>
          </w:p>
        </w:tc>
        <w:tc>
          <w:tcPr>
            <w:tcW w:w="0" w:type="auto"/>
            <w:shd w:val="clear" w:color="auto" w:fill="FFFFFF"/>
            <w:tcMar>
              <w:top w:w="40" w:type="dxa"/>
              <w:left w:w="0" w:type="dxa"/>
              <w:bottom w:w="40" w:type="dxa"/>
              <w:right w:w="20" w:type="dxa"/>
            </w:tcMar>
            <w:vAlign w:val="bottom"/>
          </w:tcPr>
          <w:p w14:paraId="392C1A5E"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A5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A60" w14:textId="77777777" w:rsidR="00980E5F" w:rsidRDefault="00483613">
            <w:pPr>
              <w:jc w:val="right"/>
              <w:textAlignment w:val="bottom"/>
            </w:pPr>
            <w:r>
              <w:rPr>
                <w:rFonts w:ascii="Arial" w:eastAsia="宋体" w:hAnsi="Arial" w:cs="Arial"/>
                <w:color w:val="000000"/>
                <w:sz w:val="13"/>
                <w:szCs w:val="13"/>
              </w:rPr>
              <w:t>460 </w:t>
            </w:r>
          </w:p>
          <w:p w14:paraId="392C1A61" w14:textId="77777777" w:rsidR="00980E5F" w:rsidRDefault="00483613">
            <w:pPr>
              <w:jc w:val="right"/>
              <w:textAlignment w:val="bottom"/>
            </w:pPr>
            <w:r>
              <w:rPr>
                <w:rFonts w:ascii="Arial" w:eastAsia="宋体" w:hAnsi="Arial" w:cs="Arial"/>
                <w:b/>
                <w:bCs/>
                <w:color w:val="000000"/>
                <w:sz w:val="13"/>
                <w:szCs w:val="13"/>
              </w:rPr>
              <w:t>1,522</w:t>
            </w:r>
            <w:r>
              <w:rPr>
                <w:rFonts w:ascii="Arial" w:eastAsia="宋体" w:hAnsi="Arial" w:cs="Arial"/>
                <w:color w:val="000000"/>
                <w:sz w:val="13"/>
                <w:szCs w:val="13"/>
              </w:rPr>
              <w:t> </w:t>
            </w:r>
          </w:p>
          <w:p w14:paraId="392C1A62" w14:textId="77777777" w:rsidR="00980E5F" w:rsidRDefault="00483613">
            <w:pPr>
              <w:jc w:val="right"/>
              <w:textAlignment w:val="bottom"/>
            </w:pPr>
            <w:r>
              <w:rPr>
                <w:rFonts w:ascii="Arial" w:eastAsia="宋体" w:hAnsi="Arial" w:cs="Arial"/>
                <w:color w:val="000000"/>
                <w:sz w:val="13"/>
                <w:szCs w:val="13"/>
              </w:rPr>
              <w:t>1,079 </w:t>
            </w:r>
          </w:p>
          <w:p w14:paraId="392C1A63" w14:textId="77777777" w:rsidR="00980E5F" w:rsidRDefault="00483613">
            <w:pPr>
              <w:jc w:val="right"/>
              <w:textAlignment w:val="bottom"/>
            </w:pPr>
            <w:r>
              <w:rPr>
                <w:rFonts w:ascii="Arial" w:eastAsia="宋体" w:hAnsi="Arial" w:cs="Arial"/>
                <w:color w:val="000000"/>
                <w:sz w:val="13"/>
                <w:szCs w:val="13"/>
              </w:rPr>
              <w:t>3,667 </w:t>
            </w:r>
          </w:p>
        </w:tc>
      </w:tr>
      <w:tr w:rsidR="00980E5F" w14:paraId="392C1A8A" w14:textId="77777777">
        <w:tc>
          <w:tcPr>
            <w:tcW w:w="0" w:type="auto"/>
            <w:gridSpan w:val="3"/>
            <w:shd w:val="clear" w:color="auto" w:fill="CCEEFF"/>
            <w:tcMar>
              <w:top w:w="40" w:type="dxa"/>
              <w:left w:w="20" w:type="dxa"/>
              <w:bottom w:w="40" w:type="dxa"/>
              <w:right w:w="20" w:type="dxa"/>
            </w:tcMar>
            <w:vAlign w:val="bottom"/>
          </w:tcPr>
          <w:p w14:paraId="392C1A65" w14:textId="77777777" w:rsidR="00980E5F" w:rsidRDefault="00483613">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392C1A66" w14:textId="77777777" w:rsidR="00980E5F" w:rsidRDefault="00483613">
            <w:pPr>
              <w:jc w:val="right"/>
              <w:textAlignment w:val="bottom"/>
            </w:pPr>
            <w:r>
              <w:rPr>
                <w:rFonts w:ascii="Arial" w:eastAsia="宋体" w:hAnsi="Arial" w:cs="Arial"/>
                <w:b/>
                <w:bCs/>
                <w:color w:val="000000"/>
                <w:sz w:val="13"/>
                <w:szCs w:val="13"/>
              </w:rPr>
              <w:t>(1,055)</w:t>
            </w:r>
          </w:p>
        </w:tc>
        <w:tc>
          <w:tcPr>
            <w:tcW w:w="0" w:type="auto"/>
            <w:shd w:val="clear" w:color="auto" w:fill="CCEEFF"/>
            <w:tcMar>
              <w:top w:w="40" w:type="dxa"/>
              <w:left w:w="0" w:type="dxa"/>
              <w:bottom w:w="40" w:type="dxa"/>
              <w:right w:w="20" w:type="dxa"/>
            </w:tcMar>
            <w:vAlign w:val="bottom"/>
          </w:tcPr>
          <w:p w14:paraId="392C1A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68" w14:textId="77777777" w:rsidR="00980E5F" w:rsidRDefault="00980E5F">
            <w:pPr>
              <w:spacing w:after="20"/>
              <w:jc w:val="right"/>
            </w:pPr>
          </w:p>
          <w:p w14:paraId="392C1A69"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A6A" w14:textId="77777777" w:rsidR="00980E5F" w:rsidRDefault="00483613">
            <w:pPr>
              <w:jc w:val="right"/>
              <w:textAlignment w:val="bottom"/>
            </w:pPr>
            <w:r>
              <w:rPr>
                <w:rFonts w:ascii="Arial" w:eastAsia="宋体" w:hAnsi="Arial" w:cs="Arial"/>
                <w:b/>
                <w:bCs/>
                <w:color w:val="000000"/>
                <w:sz w:val="13"/>
                <w:szCs w:val="13"/>
              </w:rPr>
              <w:t>(1,602)</w:t>
            </w:r>
          </w:p>
        </w:tc>
        <w:tc>
          <w:tcPr>
            <w:tcW w:w="0" w:type="auto"/>
            <w:shd w:val="clear" w:color="auto" w:fill="CCEEFF"/>
            <w:tcMar>
              <w:top w:w="40" w:type="dxa"/>
              <w:left w:w="0" w:type="dxa"/>
              <w:bottom w:w="40" w:type="dxa"/>
              <w:right w:w="20" w:type="dxa"/>
            </w:tcMar>
            <w:vAlign w:val="bottom"/>
          </w:tcPr>
          <w:p w14:paraId="392C1A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6C" w14:textId="77777777" w:rsidR="00980E5F" w:rsidRDefault="00980E5F">
            <w:pPr>
              <w:spacing w:after="20"/>
              <w:jc w:val="right"/>
            </w:pPr>
          </w:p>
          <w:p w14:paraId="392C1A6D"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A6E" w14:textId="77777777" w:rsidR="00980E5F" w:rsidRDefault="00483613">
            <w:pPr>
              <w:jc w:val="right"/>
              <w:textAlignment w:val="bottom"/>
            </w:pPr>
            <w:r>
              <w:rPr>
                <w:rFonts w:ascii="Arial" w:eastAsia="宋体" w:hAnsi="Arial" w:cs="Arial"/>
                <w:b/>
                <w:bCs/>
                <w:color w:val="000000"/>
                <w:sz w:val="13"/>
                <w:szCs w:val="13"/>
              </w:rPr>
              <w:t>(925)</w:t>
            </w:r>
          </w:p>
        </w:tc>
        <w:tc>
          <w:tcPr>
            <w:tcW w:w="0" w:type="auto"/>
            <w:shd w:val="clear" w:color="auto" w:fill="CCEEFF"/>
            <w:tcMar>
              <w:top w:w="40" w:type="dxa"/>
              <w:left w:w="0" w:type="dxa"/>
              <w:bottom w:w="40" w:type="dxa"/>
              <w:right w:w="20" w:type="dxa"/>
            </w:tcMar>
            <w:vAlign w:val="bottom"/>
          </w:tcPr>
          <w:p w14:paraId="392C1A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70" w14:textId="77777777" w:rsidR="00980E5F" w:rsidRDefault="00980E5F">
            <w:pPr>
              <w:rPr>
                <w:rFonts w:ascii="宋体"/>
              </w:rPr>
            </w:pPr>
          </w:p>
        </w:tc>
        <w:tc>
          <w:tcPr>
            <w:tcW w:w="0" w:type="auto"/>
            <w:shd w:val="clear" w:color="auto" w:fill="auto"/>
            <w:vAlign w:val="bottom"/>
          </w:tcPr>
          <w:p w14:paraId="392C1A71" w14:textId="77777777" w:rsidR="00980E5F" w:rsidRDefault="00980E5F">
            <w:pPr>
              <w:rPr>
                <w:rFonts w:ascii="宋体"/>
                <w:vanish/>
              </w:rPr>
            </w:pPr>
          </w:p>
        </w:tc>
        <w:tc>
          <w:tcPr>
            <w:tcW w:w="0" w:type="auto"/>
            <w:shd w:val="clear" w:color="auto" w:fill="auto"/>
            <w:vAlign w:val="bottom"/>
          </w:tcPr>
          <w:p w14:paraId="392C1A7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1A73" w14:textId="77777777" w:rsidR="00980E5F" w:rsidRDefault="00483613">
            <w:pPr>
              <w:jc w:val="right"/>
              <w:textAlignment w:val="bottom"/>
            </w:pPr>
            <w:r>
              <w:rPr>
                <w:rFonts w:ascii="Arial" w:eastAsia="宋体" w:hAnsi="Arial" w:cs="Arial"/>
                <w:color w:val="000000"/>
                <w:sz w:val="13"/>
                <w:szCs w:val="13"/>
              </w:rPr>
              <w:t>(849)</w:t>
            </w:r>
          </w:p>
        </w:tc>
        <w:tc>
          <w:tcPr>
            <w:tcW w:w="0" w:type="auto"/>
            <w:shd w:val="clear" w:color="auto" w:fill="CCEEFF"/>
            <w:tcMar>
              <w:top w:w="40" w:type="dxa"/>
              <w:left w:w="0" w:type="dxa"/>
              <w:bottom w:w="40" w:type="dxa"/>
              <w:right w:w="20" w:type="dxa"/>
            </w:tcMar>
            <w:vAlign w:val="bottom"/>
          </w:tcPr>
          <w:p w14:paraId="392C1A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75" w14:textId="77777777" w:rsidR="00980E5F" w:rsidRDefault="00980E5F">
            <w:pPr>
              <w:spacing w:after="20"/>
              <w:jc w:val="right"/>
            </w:pPr>
          </w:p>
          <w:p w14:paraId="392C1A76"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A77" w14:textId="77777777" w:rsidR="00980E5F" w:rsidRDefault="00483613">
            <w:pPr>
              <w:jc w:val="right"/>
              <w:textAlignment w:val="bottom"/>
            </w:pPr>
            <w:r>
              <w:rPr>
                <w:rFonts w:ascii="Arial" w:eastAsia="宋体" w:hAnsi="Arial" w:cs="Arial"/>
                <w:color w:val="000000"/>
                <w:sz w:val="13"/>
                <w:szCs w:val="13"/>
              </w:rPr>
              <w:t>(1,418)</w:t>
            </w:r>
          </w:p>
        </w:tc>
        <w:tc>
          <w:tcPr>
            <w:tcW w:w="0" w:type="auto"/>
            <w:shd w:val="clear" w:color="auto" w:fill="CCEEFF"/>
            <w:tcMar>
              <w:top w:w="40" w:type="dxa"/>
              <w:left w:w="0" w:type="dxa"/>
              <w:bottom w:w="40" w:type="dxa"/>
              <w:right w:w="20" w:type="dxa"/>
            </w:tcMar>
            <w:vAlign w:val="bottom"/>
          </w:tcPr>
          <w:p w14:paraId="392C1A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79" w14:textId="77777777" w:rsidR="00980E5F" w:rsidRDefault="00980E5F">
            <w:pPr>
              <w:spacing w:after="20"/>
              <w:jc w:val="right"/>
            </w:pPr>
          </w:p>
          <w:p w14:paraId="392C1A7A"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A7B" w14:textId="77777777" w:rsidR="00980E5F" w:rsidRDefault="00483613">
            <w:pPr>
              <w:jc w:val="right"/>
              <w:textAlignment w:val="bottom"/>
            </w:pPr>
            <w:r>
              <w:rPr>
                <w:rFonts w:ascii="Arial" w:eastAsia="宋体" w:hAnsi="Arial" w:cs="Arial"/>
                <w:color w:val="000000"/>
                <w:sz w:val="13"/>
                <w:szCs w:val="13"/>
              </w:rPr>
              <w:t>(399)</w:t>
            </w:r>
          </w:p>
        </w:tc>
        <w:tc>
          <w:tcPr>
            <w:tcW w:w="0" w:type="auto"/>
            <w:shd w:val="clear" w:color="auto" w:fill="CCEEFF"/>
            <w:tcMar>
              <w:top w:w="40" w:type="dxa"/>
              <w:left w:w="0" w:type="dxa"/>
              <w:bottom w:w="40" w:type="dxa"/>
              <w:right w:w="20" w:type="dxa"/>
            </w:tcMar>
            <w:vAlign w:val="bottom"/>
          </w:tcPr>
          <w:p w14:paraId="392C1A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7D" w14:textId="77777777" w:rsidR="00980E5F" w:rsidRDefault="00980E5F">
            <w:pPr>
              <w:rPr>
                <w:rFonts w:ascii="宋体"/>
              </w:rPr>
            </w:pPr>
          </w:p>
        </w:tc>
        <w:tc>
          <w:tcPr>
            <w:tcW w:w="0" w:type="auto"/>
            <w:shd w:val="clear" w:color="auto" w:fill="auto"/>
            <w:vAlign w:val="bottom"/>
          </w:tcPr>
          <w:p w14:paraId="392C1A7E" w14:textId="77777777" w:rsidR="00980E5F" w:rsidRDefault="00980E5F">
            <w:pPr>
              <w:rPr>
                <w:rFonts w:ascii="宋体"/>
                <w:vanish/>
              </w:rPr>
            </w:pPr>
          </w:p>
        </w:tc>
        <w:tc>
          <w:tcPr>
            <w:tcW w:w="0" w:type="auto"/>
            <w:shd w:val="clear" w:color="auto" w:fill="auto"/>
            <w:vAlign w:val="bottom"/>
          </w:tcPr>
          <w:p w14:paraId="392C1A7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1A80" w14:textId="77777777" w:rsidR="00980E5F" w:rsidRDefault="00483613">
            <w:pPr>
              <w:jc w:val="right"/>
              <w:textAlignment w:val="bottom"/>
            </w:pPr>
            <w:r>
              <w:rPr>
                <w:rFonts w:ascii="Arial" w:eastAsia="宋体" w:hAnsi="Arial" w:cs="Arial"/>
                <w:color w:val="000000"/>
                <w:sz w:val="13"/>
                <w:szCs w:val="13"/>
              </w:rPr>
              <w:t>(2,671)</w:t>
            </w:r>
          </w:p>
        </w:tc>
        <w:tc>
          <w:tcPr>
            <w:tcW w:w="0" w:type="auto"/>
            <w:shd w:val="clear" w:color="auto" w:fill="CCEEFF"/>
            <w:tcMar>
              <w:top w:w="40" w:type="dxa"/>
              <w:left w:w="0" w:type="dxa"/>
              <w:bottom w:w="40" w:type="dxa"/>
              <w:right w:w="20" w:type="dxa"/>
            </w:tcMar>
            <w:vAlign w:val="bottom"/>
          </w:tcPr>
          <w:p w14:paraId="392C1A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A8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A83" w14:textId="77777777" w:rsidR="00980E5F" w:rsidRDefault="00483613">
            <w:pPr>
              <w:jc w:val="right"/>
              <w:textAlignment w:val="bottom"/>
            </w:pPr>
            <w:r>
              <w:rPr>
                <w:rFonts w:ascii="Arial" w:eastAsia="宋体" w:hAnsi="Arial" w:cs="Arial"/>
                <w:color w:val="000000"/>
                <w:sz w:val="13"/>
                <w:szCs w:val="13"/>
              </w:rPr>
              <w:t>(7,136)</w:t>
            </w:r>
          </w:p>
        </w:tc>
        <w:tc>
          <w:tcPr>
            <w:tcW w:w="0" w:type="auto"/>
            <w:shd w:val="clear" w:color="auto" w:fill="CCEEFF"/>
            <w:tcMar>
              <w:top w:w="40" w:type="dxa"/>
              <w:left w:w="0" w:type="dxa"/>
              <w:bottom w:w="40" w:type="dxa"/>
              <w:right w:w="20" w:type="dxa"/>
            </w:tcMar>
            <w:vAlign w:val="bottom"/>
          </w:tcPr>
          <w:p w14:paraId="392C1A84"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A8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A86" w14:textId="77777777" w:rsidR="00980E5F" w:rsidRDefault="00483613">
            <w:pPr>
              <w:jc w:val="right"/>
              <w:textAlignment w:val="bottom"/>
            </w:pPr>
            <w:r>
              <w:rPr>
                <w:rFonts w:ascii="Arial" w:eastAsia="宋体" w:hAnsi="Arial" w:cs="Arial"/>
                <w:color w:val="000000"/>
                <w:sz w:val="13"/>
                <w:szCs w:val="13"/>
              </w:rPr>
              <w:t>474 </w:t>
            </w:r>
          </w:p>
          <w:p w14:paraId="392C1A87" w14:textId="77777777" w:rsidR="00980E5F" w:rsidRDefault="00483613">
            <w:pPr>
              <w:jc w:val="right"/>
              <w:textAlignment w:val="bottom"/>
            </w:pPr>
            <w:r>
              <w:rPr>
                <w:rFonts w:ascii="Arial" w:eastAsia="宋体" w:hAnsi="Arial" w:cs="Arial"/>
                <w:b/>
                <w:bCs/>
                <w:color w:val="000000"/>
                <w:sz w:val="13"/>
                <w:szCs w:val="13"/>
              </w:rPr>
              <w:t>(2,366)</w:t>
            </w:r>
          </w:p>
          <w:p w14:paraId="392C1A88" w14:textId="77777777" w:rsidR="00980E5F" w:rsidRDefault="00483613">
            <w:pPr>
              <w:jc w:val="right"/>
              <w:textAlignment w:val="bottom"/>
            </w:pPr>
            <w:r>
              <w:rPr>
                <w:rFonts w:ascii="Arial" w:eastAsia="宋体" w:hAnsi="Arial" w:cs="Arial"/>
                <w:color w:val="000000"/>
                <w:sz w:val="13"/>
                <w:szCs w:val="13"/>
              </w:rPr>
              <w:t>(1,214)</w:t>
            </w:r>
          </w:p>
          <w:p w14:paraId="392C1A89" w14:textId="77777777" w:rsidR="00980E5F" w:rsidRDefault="00483613">
            <w:pPr>
              <w:jc w:val="right"/>
              <w:textAlignment w:val="bottom"/>
            </w:pPr>
            <w:r>
              <w:rPr>
                <w:rFonts w:ascii="Arial" w:eastAsia="宋体" w:hAnsi="Arial" w:cs="Arial"/>
                <w:color w:val="000000"/>
                <w:sz w:val="13"/>
                <w:szCs w:val="13"/>
              </w:rPr>
              <w:t>(812)</w:t>
            </w:r>
          </w:p>
        </w:tc>
      </w:tr>
      <w:tr w:rsidR="00483613" w14:paraId="392C1ABA" w14:textId="77777777">
        <w:tc>
          <w:tcPr>
            <w:tcW w:w="0" w:type="auto"/>
            <w:gridSpan w:val="3"/>
            <w:shd w:val="clear" w:color="auto" w:fill="FFFFFF"/>
            <w:tcMar>
              <w:top w:w="40" w:type="dxa"/>
              <w:left w:w="20" w:type="dxa"/>
              <w:bottom w:w="40" w:type="dxa"/>
              <w:right w:w="20" w:type="dxa"/>
            </w:tcMar>
            <w:vAlign w:val="bottom"/>
          </w:tcPr>
          <w:p w14:paraId="392C1A8B" w14:textId="77777777" w:rsidR="00980E5F" w:rsidRDefault="00483613">
            <w:pPr>
              <w:textAlignment w:val="bottom"/>
            </w:pPr>
            <w:r>
              <w:rPr>
                <w:rFonts w:ascii="Arial" w:eastAsia="宋体" w:hAnsi="Arial" w:cs="Arial"/>
                <w:color w:val="000000"/>
                <w:sz w:val="13"/>
                <w:szCs w:val="13"/>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A8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8D" w14:textId="77777777" w:rsidR="00980E5F" w:rsidRDefault="00483613">
            <w:pPr>
              <w:jc w:val="right"/>
              <w:textAlignment w:val="bottom"/>
            </w:pPr>
            <w:r>
              <w:rPr>
                <w:rFonts w:ascii="Arial" w:eastAsia="宋体" w:hAnsi="Arial" w:cs="Arial"/>
                <w:b/>
                <w:bCs/>
                <w:color w:val="000000"/>
                <w:sz w:val="13"/>
                <w:szCs w:val="13"/>
              </w:rPr>
              <w:t>8,164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8F" w14:textId="77777777" w:rsidR="00980E5F" w:rsidRDefault="00980E5F">
            <w:pPr>
              <w:spacing w:after="20"/>
              <w:jc w:val="right"/>
            </w:pPr>
          </w:p>
          <w:p w14:paraId="392C1A90" w14:textId="77777777" w:rsidR="00980E5F" w:rsidRDefault="00980E5F">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91"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92" w14:textId="77777777" w:rsidR="00980E5F" w:rsidRDefault="00483613">
            <w:pPr>
              <w:jc w:val="right"/>
              <w:textAlignment w:val="bottom"/>
            </w:pPr>
            <w:r>
              <w:rPr>
                <w:rFonts w:ascii="Arial" w:eastAsia="宋体" w:hAnsi="Arial" w:cs="Arial"/>
                <w:b/>
                <w:bCs/>
                <w:color w:val="000000"/>
                <w:sz w:val="13"/>
                <w:szCs w:val="13"/>
              </w:rPr>
              <w:t>16,239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94" w14:textId="77777777" w:rsidR="00980E5F" w:rsidRDefault="00980E5F">
            <w:pPr>
              <w:spacing w:after="20"/>
              <w:jc w:val="right"/>
            </w:pPr>
          </w:p>
          <w:p w14:paraId="392C1A95" w14:textId="77777777" w:rsidR="00980E5F" w:rsidRDefault="00980E5F">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96"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97" w14:textId="77777777" w:rsidR="00980E5F" w:rsidRDefault="00483613">
            <w:pPr>
              <w:jc w:val="right"/>
              <w:textAlignment w:val="bottom"/>
            </w:pPr>
            <w:r>
              <w:rPr>
                <w:rFonts w:ascii="Arial" w:eastAsia="宋体" w:hAnsi="Arial" w:cs="Arial"/>
                <w:b/>
                <w:bCs/>
                <w:color w:val="000000"/>
                <w:sz w:val="13"/>
                <w:szCs w:val="13"/>
              </w:rPr>
              <w:t>3,693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9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99" w14:textId="77777777" w:rsidR="00980E5F" w:rsidRDefault="00980E5F">
            <w:pPr>
              <w:rPr>
                <w:rFonts w:ascii="宋体"/>
              </w:rPr>
            </w:pPr>
          </w:p>
        </w:tc>
        <w:tc>
          <w:tcPr>
            <w:tcW w:w="0" w:type="auto"/>
            <w:shd w:val="clear" w:color="auto" w:fill="auto"/>
            <w:vAlign w:val="bottom"/>
          </w:tcPr>
          <w:p w14:paraId="392C1A9A" w14:textId="77777777" w:rsidR="00980E5F" w:rsidRDefault="00980E5F">
            <w:pPr>
              <w:rPr>
                <w:rFonts w:ascii="宋体"/>
                <w:vanish/>
              </w:rPr>
            </w:pPr>
          </w:p>
        </w:tc>
        <w:tc>
          <w:tcPr>
            <w:tcW w:w="0" w:type="auto"/>
            <w:shd w:val="clear" w:color="auto" w:fill="auto"/>
            <w:vAlign w:val="bottom"/>
          </w:tcPr>
          <w:p w14:paraId="392C1A9B"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9C"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9D" w14:textId="77777777" w:rsidR="00980E5F" w:rsidRDefault="00483613">
            <w:pPr>
              <w:jc w:val="right"/>
              <w:textAlignment w:val="bottom"/>
            </w:pPr>
            <w:r>
              <w:rPr>
                <w:rFonts w:ascii="Arial" w:eastAsia="宋体" w:hAnsi="Arial" w:cs="Arial"/>
                <w:color w:val="000000"/>
                <w:sz w:val="13"/>
                <w:szCs w:val="13"/>
              </w:rPr>
              <w:t>11,328 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9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A0"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A1" w14:textId="77777777" w:rsidR="00980E5F" w:rsidRDefault="00483613">
            <w:pPr>
              <w:jc w:val="right"/>
              <w:textAlignment w:val="bottom"/>
            </w:pPr>
            <w:r>
              <w:rPr>
                <w:rFonts w:ascii="Arial" w:eastAsia="宋体" w:hAnsi="Arial" w:cs="Arial"/>
                <w:color w:val="000000"/>
                <w:sz w:val="13"/>
                <w:szCs w:val="13"/>
              </w:rPr>
              <w:t>26,075 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A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A4"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A5" w14:textId="77777777" w:rsidR="00980E5F" w:rsidRDefault="00483613">
            <w:pPr>
              <w:jc w:val="right"/>
              <w:textAlignment w:val="bottom"/>
            </w:pPr>
            <w:r>
              <w:rPr>
                <w:rFonts w:ascii="Arial" w:eastAsia="宋体" w:hAnsi="Arial" w:cs="Arial"/>
                <w:color w:val="000000"/>
                <w:sz w:val="13"/>
                <w:szCs w:val="13"/>
              </w:rPr>
              <w:t>3,501 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A7" w14:textId="77777777" w:rsidR="00980E5F" w:rsidRDefault="00980E5F">
            <w:pPr>
              <w:rPr>
                <w:rFonts w:ascii="宋体"/>
              </w:rPr>
            </w:pPr>
          </w:p>
        </w:tc>
        <w:tc>
          <w:tcPr>
            <w:tcW w:w="0" w:type="auto"/>
            <w:shd w:val="clear" w:color="auto" w:fill="auto"/>
            <w:vAlign w:val="bottom"/>
          </w:tcPr>
          <w:p w14:paraId="392C1AA8" w14:textId="77777777" w:rsidR="00980E5F" w:rsidRDefault="00980E5F">
            <w:pPr>
              <w:rPr>
                <w:rFonts w:ascii="宋体"/>
                <w:vanish/>
              </w:rPr>
            </w:pPr>
          </w:p>
        </w:tc>
        <w:tc>
          <w:tcPr>
            <w:tcW w:w="0" w:type="auto"/>
            <w:shd w:val="clear" w:color="auto" w:fill="auto"/>
            <w:vAlign w:val="bottom"/>
          </w:tcPr>
          <w:p w14:paraId="392C1AA9"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AA"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AB" w14:textId="77777777" w:rsidR="00980E5F" w:rsidRDefault="00483613">
            <w:pPr>
              <w:jc w:val="right"/>
              <w:textAlignment w:val="bottom"/>
            </w:pPr>
            <w:r>
              <w:rPr>
                <w:rFonts w:ascii="Arial" w:eastAsia="宋体" w:hAnsi="Arial" w:cs="Arial"/>
                <w:color w:val="000000"/>
                <w:sz w:val="13"/>
                <w:szCs w:val="13"/>
              </w:rPr>
              <w:t>16,954 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AA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A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AAF" w14:textId="77777777" w:rsidR="00980E5F" w:rsidRDefault="00483613">
            <w:pPr>
              <w:jc w:val="right"/>
              <w:textAlignment w:val="bottom"/>
            </w:pPr>
            <w:r>
              <w:rPr>
                <w:rFonts w:ascii="Arial" w:eastAsia="宋体" w:hAnsi="Arial" w:cs="Arial"/>
                <w:color w:val="000000"/>
                <w:sz w:val="13"/>
                <w:szCs w:val="13"/>
              </w:rPr>
              <w:t>27,335 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AB0"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AB1"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AB2" w14:textId="77777777" w:rsidR="00980E5F" w:rsidRDefault="00483613">
            <w:pPr>
              <w:textAlignment w:val="bottom"/>
            </w:pPr>
            <w:r>
              <w:rPr>
                <w:rFonts w:ascii="Arial" w:eastAsia="宋体" w:hAnsi="Arial" w:cs="Arial"/>
                <w:color w:val="000000"/>
                <w:sz w:val="13"/>
                <w:szCs w:val="13"/>
              </w:rPr>
              <w:t>$</w:t>
            </w:r>
          </w:p>
          <w:p w14:paraId="392C1AB3" w14:textId="77777777" w:rsidR="00980E5F" w:rsidRDefault="00483613">
            <w:pPr>
              <w:jc w:val="right"/>
              <w:textAlignment w:val="bottom"/>
            </w:pPr>
            <w:r>
              <w:rPr>
                <w:rFonts w:ascii="Arial" w:eastAsia="宋体" w:hAnsi="Arial" w:cs="Arial"/>
                <w:color w:val="000000"/>
                <w:sz w:val="13"/>
                <w:szCs w:val="13"/>
              </w:rPr>
              <w:t>7,908 </w:t>
            </w:r>
          </w:p>
          <w:p w14:paraId="392C1AB4" w14:textId="77777777" w:rsidR="00980E5F" w:rsidRDefault="00483613">
            <w:pPr>
              <w:textAlignment w:val="bottom"/>
            </w:pPr>
            <w:r>
              <w:rPr>
                <w:rFonts w:ascii="Arial" w:eastAsia="宋体" w:hAnsi="Arial" w:cs="Arial"/>
                <w:b/>
                <w:bCs/>
                <w:color w:val="000000"/>
                <w:sz w:val="13"/>
                <w:szCs w:val="13"/>
              </w:rPr>
              <w:t>$</w:t>
            </w:r>
          </w:p>
          <w:p w14:paraId="392C1AB5" w14:textId="77777777" w:rsidR="00980E5F" w:rsidRDefault="00483613">
            <w:pPr>
              <w:jc w:val="right"/>
              <w:textAlignment w:val="bottom"/>
            </w:pPr>
            <w:r>
              <w:rPr>
                <w:rFonts w:ascii="Arial" w:eastAsia="宋体" w:hAnsi="Arial" w:cs="Arial"/>
                <w:b/>
                <w:bCs/>
                <w:color w:val="000000"/>
                <w:sz w:val="13"/>
                <w:szCs w:val="13"/>
              </w:rPr>
              <w:t>8,308</w:t>
            </w:r>
            <w:r>
              <w:rPr>
                <w:rFonts w:ascii="Arial" w:eastAsia="宋体" w:hAnsi="Arial" w:cs="Arial"/>
                <w:color w:val="000000"/>
                <w:sz w:val="13"/>
                <w:szCs w:val="13"/>
              </w:rPr>
              <w:t> </w:t>
            </w:r>
          </w:p>
          <w:p w14:paraId="392C1AB6" w14:textId="77777777" w:rsidR="00980E5F" w:rsidRDefault="00483613">
            <w:pPr>
              <w:textAlignment w:val="bottom"/>
            </w:pPr>
            <w:r>
              <w:rPr>
                <w:rFonts w:ascii="Arial" w:eastAsia="宋体" w:hAnsi="Arial" w:cs="Arial"/>
                <w:color w:val="000000"/>
                <w:sz w:val="13"/>
                <w:szCs w:val="13"/>
              </w:rPr>
              <w:t>$</w:t>
            </w:r>
          </w:p>
          <w:p w14:paraId="392C1AB7" w14:textId="77777777" w:rsidR="00980E5F" w:rsidRDefault="00483613">
            <w:pPr>
              <w:jc w:val="right"/>
              <w:textAlignment w:val="bottom"/>
            </w:pPr>
            <w:r>
              <w:rPr>
                <w:rFonts w:ascii="Arial" w:eastAsia="宋体" w:hAnsi="Arial" w:cs="Arial"/>
                <w:color w:val="000000"/>
                <w:sz w:val="13"/>
                <w:szCs w:val="13"/>
              </w:rPr>
              <w:t>4,339 </w:t>
            </w:r>
          </w:p>
          <w:p w14:paraId="392C1AB8" w14:textId="77777777" w:rsidR="00980E5F" w:rsidRDefault="00483613">
            <w:pPr>
              <w:textAlignment w:val="bottom"/>
            </w:pPr>
            <w:r>
              <w:rPr>
                <w:rFonts w:ascii="Arial" w:eastAsia="宋体" w:hAnsi="Arial" w:cs="Arial"/>
                <w:color w:val="000000"/>
                <w:sz w:val="13"/>
                <w:szCs w:val="13"/>
              </w:rPr>
              <w:t>$</w:t>
            </w:r>
          </w:p>
          <w:p w14:paraId="392C1AB9" w14:textId="77777777" w:rsidR="00980E5F" w:rsidRDefault="00483613">
            <w:pPr>
              <w:jc w:val="right"/>
              <w:textAlignment w:val="bottom"/>
            </w:pPr>
            <w:r>
              <w:rPr>
                <w:rFonts w:ascii="Arial" w:eastAsia="宋体" w:hAnsi="Arial" w:cs="Arial"/>
                <w:color w:val="000000"/>
                <w:sz w:val="13"/>
                <w:szCs w:val="13"/>
              </w:rPr>
              <w:t>23,844 </w:t>
            </w:r>
          </w:p>
        </w:tc>
      </w:tr>
      <w:tr w:rsidR="00980E5F" w14:paraId="392C1AD1" w14:textId="77777777">
        <w:trPr>
          <w:trHeight w:val="100"/>
        </w:trPr>
        <w:tc>
          <w:tcPr>
            <w:tcW w:w="0" w:type="auto"/>
            <w:gridSpan w:val="3"/>
            <w:shd w:val="clear" w:color="auto" w:fill="auto"/>
            <w:tcMar>
              <w:top w:w="0" w:type="dxa"/>
              <w:left w:w="20" w:type="dxa"/>
              <w:bottom w:w="0" w:type="dxa"/>
              <w:right w:w="20" w:type="dxa"/>
            </w:tcMar>
            <w:vAlign w:val="bottom"/>
          </w:tcPr>
          <w:p w14:paraId="392C1ABB"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BD"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BF"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C1" w14:textId="77777777" w:rsidR="00980E5F" w:rsidRDefault="00980E5F">
            <w:pPr>
              <w:rPr>
                <w:rFonts w:ascii="宋体"/>
              </w:rPr>
            </w:pPr>
          </w:p>
        </w:tc>
        <w:tc>
          <w:tcPr>
            <w:tcW w:w="0" w:type="auto"/>
            <w:shd w:val="clear" w:color="auto" w:fill="auto"/>
            <w:vAlign w:val="bottom"/>
          </w:tcPr>
          <w:p w14:paraId="392C1AC2" w14:textId="77777777" w:rsidR="00980E5F" w:rsidRDefault="00980E5F">
            <w:pPr>
              <w:rPr>
                <w:rFonts w:ascii="宋体"/>
                <w:vanish/>
              </w:rPr>
            </w:pPr>
          </w:p>
        </w:tc>
        <w:tc>
          <w:tcPr>
            <w:tcW w:w="0" w:type="auto"/>
            <w:shd w:val="clear" w:color="auto" w:fill="auto"/>
            <w:vAlign w:val="bottom"/>
          </w:tcPr>
          <w:p w14:paraId="392C1AC3"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C5"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C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C9" w14:textId="77777777" w:rsidR="00980E5F" w:rsidRDefault="00980E5F">
            <w:pPr>
              <w:rPr>
                <w:rFonts w:ascii="宋体"/>
              </w:rPr>
            </w:pPr>
          </w:p>
        </w:tc>
        <w:tc>
          <w:tcPr>
            <w:tcW w:w="0" w:type="auto"/>
            <w:shd w:val="clear" w:color="auto" w:fill="auto"/>
            <w:vAlign w:val="bottom"/>
          </w:tcPr>
          <w:p w14:paraId="392C1ACA" w14:textId="77777777" w:rsidR="00980E5F" w:rsidRDefault="00980E5F">
            <w:pPr>
              <w:rPr>
                <w:rFonts w:ascii="宋体"/>
                <w:vanish/>
              </w:rPr>
            </w:pPr>
          </w:p>
        </w:tc>
        <w:tc>
          <w:tcPr>
            <w:tcW w:w="0" w:type="auto"/>
            <w:shd w:val="clear" w:color="auto" w:fill="auto"/>
            <w:vAlign w:val="bottom"/>
          </w:tcPr>
          <w:p w14:paraId="392C1ACB"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ACD"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ACE"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1ACF" w14:textId="77777777" w:rsidR="00980E5F" w:rsidRDefault="00980E5F">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392C1AD0" w14:textId="77777777" w:rsidR="00980E5F" w:rsidRDefault="00980E5F">
            <w:pPr>
              <w:rPr>
                <w:rFonts w:ascii="宋体"/>
              </w:rPr>
            </w:pPr>
          </w:p>
        </w:tc>
      </w:tr>
      <w:tr w:rsidR="00980E5F" w14:paraId="392C1AD3" w14:textId="77777777">
        <w:tc>
          <w:tcPr>
            <w:tcW w:w="0" w:type="auto"/>
            <w:gridSpan w:val="55"/>
            <w:shd w:val="clear" w:color="auto" w:fill="auto"/>
            <w:tcMar>
              <w:top w:w="40" w:type="dxa"/>
              <w:left w:w="20" w:type="dxa"/>
              <w:bottom w:w="40" w:type="dxa"/>
              <w:right w:w="20" w:type="dxa"/>
            </w:tcMar>
            <w:vAlign w:val="bottom"/>
          </w:tcPr>
          <w:p w14:paraId="392C1AD2" w14:textId="77777777" w:rsidR="00980E5F" w:rsidRDefault="00483613">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980E5F" w14:paraId="392C1ADB" w14:textId="77777777">
        <w:trPr>
          <w:trHeight w:val="220"/>
        </w:trPr>
        <w:tc>
          <w:tcPr>
            <w:tcW w:w="0" w:type="auto"/>
            <w:gridSpan w:val="3"/>
            <w:shd w:val="clear" w:color="auto" w:fill="auto"/>
            <w:tcMar>
              <w:top w:w="0" w:type="dxa"/>
              <w:left w:w="20" w:type="dxa"/>
              <w:bottom w:w="0" w:type="dxa"/>
              <w:right w:w="20" w:type="dxa"/>
            </w:tcMar>
            <w:vAlign w:val="bottom"/>
          </w:tcPr>
          <w:p w14:paraId="392C1AD4" w14:textId="77777777" w:rsidR="00980E5F" w:rsidRDefault="00980E5F">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392C1AD5" w14:textId="77777777" w:rsidR="00980E5F" w:rsidRDefault="00483613">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392C1AD6"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1AD7" w14:textId="77777777" w:rsidR="00980E5F" w:rsidRDefault="00483613">
            <w:pPr>
              <w:jc w:val="center"/>
              <w:textAlignment w:val="bottom"/>
            </w:pPr>
            <w:r>
              <w:rPr>
                <w:rFonts w:ascii="Arial" w:eastAsia="宋体" w:hAnsi="Arial" w:cs="Arial"/>
                <w:b/>
                <w:bCs/>
                <w:color w:val="000000"/>
                <w:sz w:val="13"/>
                <w:szCs w:val="13"/>
              </w:rPr>
              <w:t>As of June 30, 2022</w:t>
            </w:r>
          </w:p>
        </w:tc>
        <w:tc>
          <w:tcPr>
            <w:tcW w:w="0" w:type="auto"/>
            <w:gridSpan w:val="2"/>
            <w:vMerge w:val="restart"/>
            <w:shd w:val="clear" w:color="auto" w:fill="auto"/>
            <w:tcMar>
              <w:top w:w="0" w:type="dxa"/>
              <w:left w:w="20" w:type="dxa"/>
              <w:bottom w:w="0" w:type="dxa"/>
              <w:right w:w="20" w:type="dxa"/>
            </w:tcMar>
            <w:vAlign w:val="bottom"/>
          </w:tcPr>
          <w:p w14:paraId="392C1AD8" w14:textId="77777777" w:rsidR="00980E5F" w:rsidRDefault="00980E5F">
            <w:pPr>
              <w:rPr>
                <w:rFonts w:ascii="宋体"/>
              </w:rPr>
            </w:pPr>
          </w:p>
        </w:tc>
        <w:tc>
          <w:tcPr>
            <w:tcW w:w="0" w:type="auto"/>
            <w:vMerge w:val="restart"/>
            <w:shd w:val="clear" w:color="auto" w:fill="auto"/>
            <w:tcMar>
              <w:top w:w="40" w:type="dxa"/>
              <w:left w:w="20" w:type="dxa"/>
              <w:bottom w:w="40" w:type="dxa"/>
              <w:right w:w="20" w:type="dxa"/>
            </w:tcMar>
            <w:vAlign w:val="bottom"/>
          </w:tcPr>
          <w:p w14:paraId="392C1AD9" w14:textId="77777777" w:rsidR="00980E5F" w:rsidRDefault="00483613">
            <w:pPr>
              <w:jc w:val="center"/>
              <w:textAlignment w:val="bottom"/>
            </w:pPr>
            <w:r>
              <w:rPr>
                <w:rFonts w:ascii="Arial" w:eastAsia="宋体" w:hAnsi="Arial" w:cs="Arial"/>
                <w:b/>
                <w:bCs/>
                <w:color w:val="000000"/>
                <w:sz w:val="13"/>
                <w:szCs w:val="13"/>
              </w:rPr>
              <w:t>As of March 31, 2022</w:t>
            </w:r>
          </w:p>
          <w:p w14:paraId="392C1ADA" w14:textId="77777777" w:rsidR="00980E5F" w:rsidRDefault="00483613">
            <w:pPr>
              <w:jc w:val="center"/>
              <w:textAlignment w:val="bottom"/>
            </w:pPr>
            <w:r>
              <w:rPr>
                <w:rFonts w:ascii="Arial" w:eastAsia="宋体" w:hAnsi="Arial" w:cs="Arial"/>
                <w:b/>
                <w:bCs/>
                <w:color w:val="000000"/>
                <w:sz w:val="13"/>
                <w:szCs w:val="13"/>
              </w:rPr>
              <w:t>As of June 30, 2021</w:t>
            </w:r>
          </w:p>
        </w:tc>
      </w:tr>
      <w:tr w:rsidR="00980E5F" w14:paraId="392C1AE7" w14:textId="77777777">
        <w:trPr>
          <w:trHeight w:val="220"/>
        </w:trPr>
        <w:tc>
          <w:tcPr>
            <w:tcW w:w="0" w:type="auto"/>
            <w:gridSpan w:val="3"/>
            <w:shd w:val="clear" w:color="auto" w:fill="auto"/>
            <w:tcMar>
              <w:top w:w="0" w:type="dxa"/>
              <w:left w:w="20" w:type="dxa"/>
              <w:bottom w:w="0" w:type="dxa"/>
              <w:right w:w="20" w:type="dxa"/>
            </w:tcMar>
            <w:vAlign w:val="bottom"/>
          </w:tcPr>
          <w:p w14:paraId="392C1ADC"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ADD" w14:textId="77777777" w:rsidR="00980E5F" w:rsidRDefault="00483613">
            <w:pPr>
              <w:jc w:val="center"/>
              <w:textAlignment w:val="bottom"/>
            </w:pPr>
            <w:r>
              <w:rPr>
                <w:rFonts w:ascii="Arial" w:eastAsia="宋体" w:hAnsi="Arial" w:cs="Arial"/>
                <w:b/>
                <w:bCs/>
                <w:color w:val="000000"/>
                <w:sz w:val="13"/>
                <w:szCs w:val="13"/>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DE" w14:textId="77777777" w:rsidR="00980E5F" w:rsidRDefault="00980E5F">
            <w:pPr>
              <w:rPr>
                <w:rFonts w:ascii="宋体"/>
              </w:rPr>
            </w:pPr>
          </w:p>
        </w:tc>
        <w:tc>
          <w:tcPr>
            <w:tcW w:w="0" w:type="auto"/>
            <w:shd w:val="clear" w:color="auto" w:fill="auto"/>
            <w:vAlign w:val="bottom"/>
          </w:tcPr>
          <w:p w14:paraId="392C1ADF" w14:textId="77777777" w:rsidR="00980E5F" w:rsidRDefault="00980E5F">
            <w:pPr>
              <w:rPr>
                <w:rFonts w:ascii="宋体"/>
                <w:vanish/>
              </w:rPr>
            </w:pPr>
          </w:p>
        </w:tc>
        <w:tc>
          <w:tcPr>
            <w:tcW w:w="0" w:type="auto"/>
            <w:shd w:val="clear" w:color="auto" w:fill="auto"/>
            <w:vAlign w:val="bottom"/>
          </w:tcPr>
          <w:p w14:paraId="392C1AE0" w14:textId="77777777" w:rsidR="00980E5F" w:rsidRDefault="00980E5F">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AE1" w14:textId="77777777" w:rsidR="00980E5F" w:rsidRDefault="00483613">
            <w:pPr>
              <w:jc w:val="center"/>
              <w:textAlignment w:val="bottom"/>
            </w:pPr>
            <w:r>
              <w:rPr>
                <w:rFonts w:ascii="Arial" w:eastAsia="宋体" w:hAnsi="Arial" w:cs="Arial"/>
                <w:b/>
                <w:bCs/>
                <w:color w:val="000000"/>
                <w:sz w:val="13"/>
                <w:szCs w:val="13"/>
              </w:rPr>
              <w:t xml:space="preserve">March 31, </w:t>
            </w: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E2" w14:textId="77777777" w:rsidR="00980E5F" w:rsidRDefault="00980E5F">
            <w:pPr>
              <w:rPr>
                <w:rFonts w:ascii="宋体"/>
              </w:rPr>
            </w:pPr>
          </w:p>
        </w:tc>
        <w:tc>
          <w:tcPr>
            <w:tcW w:w="0" w:type="auto"/>
            <w:shd w:val="clear" w:color="auto" w:fill="auto"/>
            <w:vAlign w:val="bottom"/>
          </w:tcPr>
          <w:p w14:paraId="392C1AE3" w14:textId="77777777" w:rsidR="00980E5F" w:rsidRDefault="00980E5F">
            <w:pPr>
              <w:rPr>
                <w:rFonts w:ascii="宋体"/>
                <w:vanish/>
              </w:rPr>
            </w:pPr>
          </w:p>
        </w:tc>
        <w:tc>
          <w:tcPr>
            <w:tcW w:w="0" w:type="auto"/>
            <w:shd w:val="clear" w:color="auto" w:fill="auto"/>
            <w:vAlign w:val="bottom"/>
          </w:tcPr>
          <w:p w14:paraId="392C1AE4" w14:textId="77777777" w:rsidR="00980E5F" w:rsidRDefault="00980E5F">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392C1AE5" w14:textId="77777777" w:rsidR="00980E5F" w:rsidRDefault="00483613">
            <w:pPr>
              <w:jc w:val="center"/>
              <w:textAlignment w:val="bottom"/>
            </w:pPr>
            <w:r>
              <w:rPr>
                <w:rFonts w:ascii="Arial" w:eastAsia="宋体" w:hAnsi="Arial" w:cs="Arial"/>
                <w:b/>
                <w:bCs/>
                <w:color w:val="000000"/>
                <w:sz w:val="13"/>
                <w:szCs w:val="13"/>
              </w:rPr>
              <w:t>June 30, 2021</w:t>
            </w:r>
          </w:p>
        </w:tc>
        <w:tc>
          <w:tcPr>
            <w:tcW w:w="0" w:type="auto"/>
            <w:shd w:val="clear" w:color="auto" w:fill="auto"/>
            <w:tcMar>
              <w:top w:w="0" w:type="dxa"/>
              <w:left w:w="20" w:type="dxa"/>
              <w:bottom w:w="0" w:type="dxa"/>
              <w:right w:w="20" w:type="dxa"/>
            </w:tcMar>
            <w:vAlign w:val="bottom"/>
          </w:tcPr>
          <w:p w14:paraId="392C1AE6" w14:textId="77777777" w:rsidR="00980E5F" w:rsidRDefault="00980E5F">
            <w:pPr>
              <w:rPr>
                <w:rFonts w:ascii="宋体"/>
              </w:rPr>
            </w:pPr>
          </w:p>
        </w:tc>
      </w:tr>
      <w:tr w:rsidR="00980E5F" w14:paraId="392C1B01" w14:textId="77777777">
        <w:tc>
          <w:tcPr>
            <w:tcW w:w="0" w:type="auto"/>
            <w:gridSpan w:val="3"/>
            <w:shd w:val="clear" w:color="auto" w:fill="auto"/>
            <w:tcMar>
              <w:top w:w="40" w:type="dxa"/>
              <w:left w:w="20" w:type="dxa"/>
              <w:bottom w:w="40" w:type="dxa"/>
              <w:right w:w="20" w:type="dxa"/>
            </w:tcMar>
            <w:vAlign w:val="bottom"/>
          </w:tcPr>
          <w:p w14:paraId="392C1AE8" w14:textId="77777777" w:rsidR="00980E5F" w:rsidRDefault="00483613">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E9"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E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EB"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E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ED" w14:textId="77777777" w:rsidR="00980E5F" w:rsidRDefault="00483613">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392C1AEE" w14:textId="77777777" w:rsidR="00980E5F" w:rsidRDefault="00980E5F">
            <w:pPr>
              <w:rPr>
                <w:rFonts w:ascii="宋体"/>
              </w:rPr>
            </w:pPr>
          </w:p>
        </w:tc>
        <w:tc>
          <w:tcPr>
            <w:tcW w:w="0" w:type="auto"/>
            <w:shd w:val="clear" w:color="auto" w:fill="auto"/>
            <w:vAlign w:val="bottom"/>
          </w:tcPr>
          <w:p w14:paraId="392C1AEF" w14:textId="77777777" w:rsidR="00980E5F" w:rsidRDefault="00980E5F">
            <w:pPr>
              <w:rPr>
                <w:rFonts w:ascii="宋体"/>
                <w:vanish/>
              </w:rPr>
            </w:pPr>
          </w:p>
        </w:tc>
        <w:tc>
          <w:tcPr>
            <w:tcW w:w="0" w:type="auto"/>
            <w:shd w:val="clear" w:color="auto" w:fill="auto"/>
            <w:vAlign w:val="bottom"/>
          </w:tcPr>
          <w:p w14:paraId="392C1AF0"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F1"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F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F3"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F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F5" w14:textId="77777777" w:rsidR="00980E5F" w:rsidRDefault="00483613">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392C1AF6" w14:textId="77777777" w:rsidR="00980E5F" w:rsidRDefault="00980E5F">
            <w:pPr>
              <w:rPr>
                <w:rFonts w:ascii="宋体"/>
              </w:rPr>
            </w:pPr>
          </w:p>
        </w:tc>
        <w:tc>
          <w:tcPr>
            <w:tcW w:w="0" w:type="auto"/>
            <w:shd w:val="clear" w:color="auto" w:fill="auto"/>
            <w:vAlign w:val="bottom"/>
          </w:tcPr>
          <w:p w14:paraId="392C1AF7" w14:textId="77777777" w:rsidR="00980E5F" w:rsidRDefault="00980E5F">
            <w:pPr>
              <w:rPr>
                <w:rFonts w:ascii="宋体"/>
                <w:vanish/>
              </w:rPr>
            </w:pPr>
          </w:p>
        </w:tc>
        <w:tc>
          <w:tcPr>
            <w:tcW w:w="0" w:type="auto"/>
            <w:shd w:val="clear" w:color="auto" w:fill="auto"/>
            <w:vAlign w:val="bottom"/>
          </w:tcPr>
          <w:p w14:paraId="392C1AF8"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F9" w14:textId="77777777" w:rsidR="00980E5F" w:rsidRDefault="00483613">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AF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AFB" w14:textId="77777777" w:rsidR="00980E5F" w:rsidRDefault="00483613">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1AFC" w14:textId="77777777" w:rsidR="00980E5F" w:rsidRDefault="00980E5F">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392C1AFD" w14:textId="77777777" w:rsidR="00980E5F" w:rsidRDefault="00483613">
            <w:pPr>
              <w:spacing w:after="20"/>
              <w:jc w:val="center"/>
              <w:textAlignment w:val="bottom"/>
            </w:pPr>
            <w:r>
              <w:rPr>
                <w:rFonts w:ascii="Arial" w:eastAsia="宋体" w:hAnsi="Arial" w:cs="Arial"/>
                <w:b/>
                <w:bCs/>
                <w:color w:val="000000"/>
                <w:sz w:val="13"/>
                <w:szCs w:val="13"/>
              </w:rPr>
              <w:t>Min.</w:t>
            </w:r>
          </w:p>
          <w:p w14:paraId="392C1AFE" w14:textId="77777777" w:rsidR="00980E5F" w:rsidRDefault="00483613">
            <w:pPr>
              <w:spacing w:after="20"/>
              <w:jc w:val="center"/>
              <w:textAlignment w:val="bottom"/>
            </w:pPr>
            <w:r>
              <w:rPr>
                <w:rFonts w:ascii="Arial" w:eastAsia="宋体" w:hAnsi="Arial" w:cs="Arial"/>
                <w:b/>
                <w:bCs/>
                <w:color w:val="000000"/>
                <w:sz w:val="13"/>
                <w:szCs w:val="13"/>
              </w:rPr>
              <w:t>VaR</w:t>
            </w:r>
          </w:p>
          <w:p w14:paraId="392C1AFF" w14:textId="77777777" w:rsidR="00980E5F" w:rsidRDefault="00483613">
            <w:pPr>
              <w:spacing w:after="20"/>
              <w:jc w:val="center"/>
              <w:textAlignment w:val="bottom"/>
            </w:pPr>
            <w:r>
              <w:rPr>
                <w:rFonts w:ascii="Arial" w:eastAsia="宋体" w:hAnsi="Arial" w:cs="Arial"/>
                <w:b/>
                <w:bCs/>
                <w:color w:val="000000"/>
                <w:sz w:val="13"/>
                <w:szCs w:val="13"/>
              </w:rPr>
              <w:t>VaR</w:t>
            </w:r>
          </w:p>
          <w:p w14:paraId="392C1B00" w14:textId="77777777" w:rsidR="00980E5F" w:rsidRDefault="00483613">
            <w:pPr>
              <w:spacing w:after="20"/>
              <w:jc w:val="center"/>
              <w:textAlignment w:val="bottom"/>
            </w:pPr>
            <w:r>
              <w:rPr>
                <w:rFonts w:ascii="Arial" w:eastAsia="宋体" w:hAnsi="Arial" w:cs="Arial"/>
                <w:b/>
                <w:bCs/>
                <w:color w:val="000000"/>
                <w:sz w:val="13"/>
                <w:szCs w:val="13"/>
              </w:rPr>
              <w:t>VaR</w:t>
            </w:r>
          </w:p>
        </w:tc>
      </w:tr>
      <w:tr w:rsidR="00483613" w14:paraId="392C1B31" w14:textId="77777777">
        <w:tc>
          <w:tcPr>
            <w:tcW w:w="0" w:type="auto"/>
            <w:gridSpan w:val="3"/>
            <w:shd w:val="clear" w:color="auto" w:fill="CCEEFF"/>
            <w:tcMar>
              <w:top w:w="40" w:type="dxa"/>
              <w:left w:w="20" w:type="dxa"/>
              <w:bottom w:w="40" w:type="dxa"/>
              <w:right w:w="20" w:type="dxa"/>
            </w:tcMar>
            <w:vAlign w:val="bottom"/>
          </w:tcPr>
          <w:p w14:paraId="392C1B02" w14:textId="77777777" w:rsidR="00980E5F" w:rsidRDefault="00483613">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1B03"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04" w14:textId="77777777" w:rsidR="00980E5F" w:rsidRDefault="00483613">
            <w:pPr>
              <w:jc w:val="right"/>
              <w:textAlignment w:val="bottom"/>
            </w:pPr>
            <w:r>
              <w:rPr>
                <w:rFonts w:ascii="Arial" w:eastAsia="宋体" w:hAnsi="Arial" w:cs="Arial"/>
                <w:b/>
                <w:bCs/>
                <w:color w:val="000000"/>
                <w:sz w:val="13"/>
                <w:szCs w:val="13"/>
              </w:rPr>
              <w:t>42,486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06" w14:textId="77777777" w:rsidR="00980E5F" w:rsidRDefault="00980E5F">
            <w:pPr>
              <w:spacing w:after="20"/>
              <w:jc w:val="right"/>
            </w:pPr>
          </w:p>
          <w:p w14:paraId="392C1B07" w14:textId="77777777" w:rsidR="00980E5F" w:rsidRDefault="00980E5F">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08"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09" w14:textId="77777777" w:rsidR="00980E5F" w:rsidRDefault="00483613">
            <w:pPr>
              <w:jc w:val="right"/>
              <w:textAlignment w:val="bottom"/>
            </w:pPr>
            <w:r>
              <w:rPr>
                <w:rFonts w:ascii="Arial" w:eastAsia="宋体" w:hAnsi="Arial" w:cs="Arial"/>
                <w:b/>
                <w:bCs/>
                <w:color w:val="000000"/>
                <w:sz w:val="13"/>
                <w:szCs w:val="13"/>
              </w:rPr>
              <w:t>97,420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0B" w14:textId="77777777" w:rsidR="00980E5F" w:rsidRDefault="00980E5F">
            <w:pPr>
              <w:spacing w:after="20"/>
              <w:jc w:val="right"/>
            </w:pPr>
          </w:p>
          <w:p w14:paraId="392C1B0C" w14:textId="77777777" w:rsidR="00980E5F" w:rsidRDefault="00980E5F">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0D"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0E" w14:textId="77777777" w:rsidR="00980E5F" w:rsidRDefault="00483613">
            <w:pPr>
              <w:jc w:val="right"/>
              <w:textAlignment w:val="bottom"/>
            </w:pPr>
            <w:r>
              <w:rPr>
                <w:rFonts w:ascii="Arial" w:eastAsia="宋体" w:hAnsi="Arial" w:cs="Arial"/>
                <w:b/>
                <w:bCs/>
                <w:color w:val="000000"/>
                <w:sz w:val="13"/>
                <w:szCs w:val="13"/>
              </w:rPr>
              <w:t>20,553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10" w14:textId="77777777" w:rsidR="00980E5F" w:rsidRDefault="00980E5F">
            <w:pPr>
              <w:rPr>
                <w:rFonts w:ascii="宋体"/>
              </w:rPr>
            </w:pPr>
          </w:p>
        </w:tc>
        <w:tc>
          <w:tcPr>
            <w:tcW w:w="0" w:type="auto"/>
            <w:shd w:val="clear" w:color="auto" w:fill="auto"/>
            <w:vAlign w:val="bottom"/>
          </w:tcPr>
          <w:p w14:paraId="392C1B11" w14:textId="77777777" w:rsidR="00980E5F" w:rsidRDefault="00980E5F">
            <w:pPr>
              <w:rPr>
                <w:rFonts w:ascii="宋体"/>
                <w:vanish/>
              </w:rPr>
            </w:pPr>
          </w:p>
        </w:tc>
        <w:tc>
          <w:tcPr>
            <w:tcW w:w="0" w:type="auto"/>
            <w:shd w:val="clear" w:color="auto" w:fill="auto"/>
            <w:vAlign w:val="bottom"/>
          </w:tcPr>
          <w:p w14:paraId="392C1B12"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1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14" w14:textId="77777777" w:rsidR="00980E5F" w:rsidRDefault="00483613">
            <w:pPr>
              <w:jc w:val="right"/>
              <w:textAlignment w:val="bottom"/>
            </w:pPr>
            <w:r>
              <w:rPr>
                <w:rFonts w:ascii="Arial" w:eastAsia="宋体" w:hAnsi="Arial" w:cs="Arial"/>
                <w:color w:val="000000"/>
                <w:sz w:val="13"/>
                <w:szCs w:val="13"/>
              </w:rPr>
              <w:t>37,341 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1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17"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18" w14:textId="77777777" w:rsidR="00980E5F" w:rsidRDefault="00483613">
            <w:pPr>
              <w:jc w:val="right"/>
              <w:textAlignment w:val="bottom"/>
            </w:pPr>
            <w:r>
              <w:rPr>
                <w:rFonts w:ascii="Arial" w:eastAsia="宋体" w:hAnsi="Arial" w:cs="Arial"/>
                <w:color w:val="000000"/>
                <w:sz w:val="13"/>
                <w:szCs w:val="13"/>
              </w:rPr>
              <w:t>64,435 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1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1B"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1C" w14:textId="77777777" w:rsidR="00980E5F" w:rsidRDefault="00483613">
            <w:pPr>
              <w:jc w:val="right"/>
              <w:textAlignment w:val="bottom"/>
            </w:pPr>
            <w:r>
              <w:rPr>
                <w:rFonts w:ascii="Arial" w:eastAsia="宋体" w:hAnsi="Arial" w:cs="Arial"/>
                <w:color w:val="000000"/>
                <w:sz w:val="13"/>
                <w:szCs w:val="13"/>
              </w:rPr>
              <w:t>23,242 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1E" w14:textId="77777777" w:rsidR="00980E5F" w:rsidRDefault="00980E5F">
            <w:pPr>
              <w:rPr>
                <w:rFonts w:ascii="宋体"/>
              </w:rPr>
            </w:pPr>
          </w:p>
        </w:tc>
        <w:tc>
          <w:tcPr>
            <w:tcW w:w="0" w:type="auto"/>
            <w:shd w:val="clear" w:color="auto" w:fill="auto"/>
            <w:vAlign w:val="bottom"/>
          </w:tcPr>
          <w:p w14:paraId="392C1B1F" w14:textId="77777777" w:rsidR="00980E5F" w:rsidRDefault="00980E5F">
            <w:pPr>
              <w:rPr>
                <w:rFonts w:ascii="宋体"/>
                <w:vanish/>
              </w:rPr>
            </w:pPr>
          </w:p>
        </w:tc>
        <w:tc>
          <w:tcPr>
            <w:tcW w:w="0" w:type="auto"/>
            <w:shd w:val="clear" w:color="auto" w:fill="auto"/>
            <w:vAlign w:val="bottom"/>
          </w:tcPr>
          <w:p w14:paraId="392C1B20"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2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22" w14:textId="77777777" w:rsidR="00980E5F" w:rsidRDefault="00483613">
            <w:pPr>
              <w:jc w:val="right"/>
              <w:textAlignment w:val="bottom"/>
            </w:pPr>
            <w:r>
              <w:rPr>
                <w:rFonts w:ascii="Arial" w:eastAsia="宋体" w:hAnsi="Arial" w:cs="Arial"/>
                <w:color w:val="000000"/>
                <w:sz w:val="13"/>
                <w:szCs w:val="13"/>
              </w:rPr>
              <w:t>36,478 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2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2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1B26" w14:textId="77777777" w:rsidR="00980E5F" w:rsidRDefault="00483613">
            <w:pPr>
              <w:jc w:val="right"/>
              <w:textAlignment w:val="bottom"/>
            </w:pPr>
            <w:r>
              <w:rPr>
                <w:rFonts w:ascii="Arial" w:eastAsia="宋体" w:hAnsi="Arial" w:cs="Arial"/>
                <w:color w:val="000000"/>
                <w:sz w:val="13"/>
                <w:szCs w:val="13"/>
              </w:rPr>
              <w:t>74,475 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B27"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B2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1B29" w14:textId="77777777" w:rsidR="00980E5F" w:rsidRDefault="00483613">
            <w:pPr>
              <w:textAlignment w:val="bottom"/>
            </w:pPr>
            <w:r>
              <w:rPr>
                <w:rFonts w:ascii="Arial" w:eastAsia="宋体" w:hAnsi="Arial" w:cs="Arial"/>
                <w:color w:val="000000"/>
                <w:sz w:val="13"/>
                <w:szCs w:val="13"/>
              </w:rPr>
              <w:t>$</w:t>
            </w:r>
          </w:p>
          <w:p w14:paraId="392C1B2A" w14:textId="77777777" w:rsidR="00980E5F" w:rsidRDefault="00483613">
            <w:pPr>
              <w:jc w:val="right"/>
              <w:textAlignment w:val="bottom"/>
            </w:pPr>
            <w:r>
              <w:rPr>
                <w:rFonts w:ascii="Arial" w:eastAsia="宋体" w:hAnsi="Arial" w:cs="Arial"/>
                <w:color w:val="000000"/>
                <w:sz w:val="13"/>
                <w:szCs w:val="13"/>
              </w:rPr>
              <w:t>13,037 </w:t>
            </w:r>
          </w:p>
          <w:p w14:paraId="392C1B2B" w14:textId="77777777" w:rsidR="00980E5F" w:rsidRDefault="00483613">
            <w:pPr>
              <w:textAlignment w:val="bottom"/>
            </w:pPr>
            <w:r>
              <w:rPr>
                <w:rFonts w:ascii="Arial" w:eastAsia="宋体" w:hAnsi="Arial" w:cs="Arial"/>
                <w:b/>
                <w:bCs/>
                <w:color w:val="000000"/>
                <w:sz w:val="13"/>
                <w:szCs w:val="13"/>
              </w:rPr>
              <w:t>$</w:t>
            </w:r>
          </w:p>
          <w:p w14:paraId="392C1B2C" w14:textId="77777777" w:rsidR="00980E5F" w:rsidRDefault="00483613">
            <w:pPr>
              <w:jc w:val="right"/>
              <w:textAlignment w:val="bottom"/>
            </w:pPr>
            <w:r>
              <w:rPr>
                <w:rFonts w:ascii="Arial" w:eastAsia="宋体" w:hAnsi="Arial" w:cs="Arial"/>
                <w:b/>
                <w:bCs/>
                <w:color w:val="000000"/>
                <w:sz w:val="13"/>
                <w:szCs w:val="13"/>
              </w:rPr>
              <w:t>43,306</w:t>
            </w:r>
            <w:r>
              <w:rPr>
                <w:rFonts w:ascii="Arial" w:eastAsia="宋体" w:hAnsi="Arial" w:cs="Arial"/>
                <w:color w:val="000000"/>
                <w:sz w:val="13"/>
                <w:szCs w:val="13"/>
              </w:rPr>
              <w:t> </w:t>
            </w:r>
          </w:p>
          <w:p w14:paraId="392C1B2D" w14:textId="77777777" w:rsidR="00980E5F" w:rsidRDefault="00483613">
            <w:pPr>
              <w:textAlignment w:val="bottom"/>
            </w:pPr>
            <w:r>
              <w:rPr>
                <w:rFonts w:ascii="Arial" w:eastAsia="宋体" w:hAnsi="Arial" w:cs="Arial"/>
                <w:color w:val="000000"/>
                <w:sz w:val="13"/>
                <w:szCs w:val="13"/>
              </w:rPr>
              <w:t>$</w:t>
            </w:r>
          </w:p>
          <w:p w14:paraId="392C1B2E" w14:textId="77777777" w:rsidR="00980E5F" w:rsidRDefault="00483613">
            <w:pPr>
              <w:jc w:val="right"/>
              <w:textAlignment w:val="bottom"/>
            </w:pPr>
            <w:r>
              <w:rPr>
                <w:rFonts w:ascii="Arial" w:eastAsia="宋体" w:hAnsi="Arial" w:cs="Arial"/>
                <w:color w:val="000000"/>
                <w:sz w:val="13"/>
                <w:szCs w:val="13"/>
              </w:rPr>
              <w:t>40,529 </w:t>
            </w:r>
          </w:p>
          <w:p w14:paraId="392C1B2F" w14:textId="77777777" w:rsidR="00980E5F" w:rsidRDefault="00483613">
            <w:pPr>
              <w:textAlignment w:val="bottom"/>
            </w:pPr>
            <w:r>
              <w:rPr>
                <w:rFonts w:ascii="Arial" w:eastAsia="宋体" w:hAnsi="Arial" w:cs="Arial"/>
                <w:color w:val="000000"/>
                <w:sz w:val="13"/>
                <w:szCs w:val="13"/>
              </w:rPr>
              <w:t>$</w:t>
            </w:r>
          </w:p>
          <w:p w14:paraId="392C1B30" w14:textId="77777777" w:rsidR="00980E5F" w:rsidRDefault="00483613">
            <w:pPr>
              <w:jc w:val="right"/>
              <w:textAlignment w:val="bottom"/>
            </w:pPr>
            <w:r>
              <w:rPr>
                <w:rFonts w:ascii="Arial" w:eastAsia="宋体" w:hAnsi="Arial" w:cs="Arial"/>
                <w:color w:val="000000"/>
                <w:sz w:val="13"/>
                <w:szCs w:val="13"/>
              </w:rPr>
              <w:t>56,998 </w:t>
            </w:r>
          </w:p>
        </w:tc>
      </w:tr>
      <w:tr w:rsidR="00980E5F" w14:paraId="392C1B55" w14:textId="77777777">
        <w:tc>
          <w:tcPr>
            <w:tcW w:w="0" w:type="auto"/>
            <w:gridSpan w:val="3"/>
            <w:shd w:val="clear" w:color="auto" w:fill="FFFFFF"/>
            <w:tcMar>
              <w:top w:w="40" w:type="dxa"/>
              <w:left w:w="20" w:type="dxa"/>
              <w:bottom w:w="40" w:type="dxa"/>
              <w:right w:w="20" w:type="dxa"/>
            </w:tcMar>
            <w:vAlign w:val="bottom"/>
          </w:tcPr>
          <w:p w14:paraId="392C1B32" w14:textId="77777777" w:rsidR="00980E5F" w:rsidRDefault="00483613">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392C1B33" w14:textId="77777777" w:rsidR="00980E5F" w:rsidRDefault="00483613">
            <w:pPr>
              <w:jc w:val="right"/>
              <w:textAlignment w:val="bottom"/>
            </w:pPr>
            <w:r>
              <w:rPr>
                <w:rFonts w:ascii="Arial" w:eastAsia="宋体" w:hAnsi="Arial" w:cs="Arial"/>
                <w:b/>
                <w:bCs/>
                <w:color w:val="000000"/>
                <w:sz w:val="13"/>
                <w:szCs w:val="13"/>
              </w:rPr>
              <w:t>3,125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B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35" w14:textId="77777777" w:rsidR="00980E5F" w:rsidRDefault="00980E5F">
            <w:pPr>
              <w:spacing w:after="20"/>
              <w:jc w:val="right"/>
            </w:pPr>
          </w:p>
          <w:p w14:paraId="392C1B36" w14:textId="77777777" w:rsidR="00980E5F" w:rsidRDefault="00980E5F">
            <w:pPr>
              <w:spacing w:after="20"/>
              <w:jc w:val="right"/>
            </w:pPr>
          </w:p>
        </w:tc>
        <w:tc>
          <w:tcPr>
            <w:tcW w:w="0" w:type="auto"/>
            <w:gridSpan w:val="2"/>
            <w:shd w:val="clear" w:color="auto" w:fill="FFFFFF"/>
            <w:tcMar>
              <w:top w:w="40" w:type="dxa"/>
              <w:left w:w="20" w:type="dxa"/>
              <w:bottom w:w="40" w:type="dxa"/>
              <w:right w:w="0" w:type="dxa"/>
            </w:tcMar>
            <w:vAlign w:val="bottom"/>
          </w:tcPr>
          <w:p w14:paraId="392C1B37" w14:textId="77777777" w:rsidR="00980E5F" w:rsidRDefault="00483613">
            <w:pPr>
              <w:jc w:val="right"/>
              <w:textAlignment w:val="bottom"/>
            </w:pPr>
            <w:r>
              <w:rPr>
                <w:rFonts w:ascii="Arial" w:eastAsia="宋体" w:hAnsi="Arial" w:cs="Arial"/>
                <w:b/>
                <w:bCs/>
                <w:color w:val="000000"/>
                <w:sz w:val="13"/>
                <w:szCs w:val="13"/>
              </w:rPr>
              <w:t>7,903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B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39" w14:textId="77777777" w:rsidR="00980E5F" w:rsidRDefault="00980E5F">
            <w:pPr>
              <w:spacing w:after="20"/>
              <w:jc w:val="right"/>
            </w:pPr>
          </w:p>
          <w:p w14:paraId="392C1B3A" w14:textId="77777777" w:rsidR="00980E5F" w:rsidRDefault="00980E5F">
            <w:pPr>
              <w:spacing w:after="20"/>
              <w:jc w:val="right"/>
            </w:pPr>
          </w:p>
        </w:tc>
        <w:tc>
          <w:tcPr>
            <w:tcW w:w="0" w:type="auto"/>
            <w:gridSpan w:val="2"/>
            <w:shd w:val="clear" w:color="auto" w:fill="FFFFFF"/>
            <w:tcMar>
              <w:top w:w="40" w:type="dxa"/>
              <w:left w:w="20" w:type="dxa"/>
              <w:bottom w:w="40" w:type="dxa"/>
              <w:right w:w="0" w:type="dxa"/>
            </w:tcMar>
            <w:vAlign w:val="bottom"/>
          </w:tcPr>
          <w:p w14:paraId="392C1B3B" w14:textId="77777777" w:rsidR="00980E5F" w:rsidRDefault="00483613">
            <w:pPr>
              <w:jc w:val="right"/>
              <w:textAlignment w:val="bottom"/>
            </w:pPr>
            <w:r>
              <w:rPr>
                <w:rFonts w:ascii="Arial" w:eastAsia="宋体" w:hAnsi="Arial" w:cs="Arial"/>
                <w:b/>
                <w:bCs/>
                <w:color w:val="000000"/>
                <w:sz w:val="13"/>
                <w:szCs w:val="13"/>
              </w:rPr>
              <w:t>1,057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B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3D" w14:textId="77777777" w:rsidR="00980E5F" w:rsidRDefault="00980E5F">
            <w:pPr>
              <w:rPr>
                <w:rFonts w:ascii="宋体"/>
              </w:rPr>
            </w:pPr>
          </w:p>
        </w:tc>
        <w:tc>
          <w:tcPr>
            <w:tcW w:w="0" w:type="auto"/>
            <w:shd w:val="clear" w:color="auto" w:fill="auto"/>
            <w:vAlign w:val="bottom"/>
          </w:tcPr>
          <w:p w14:paraId="392C1B3E" w14:textId="77777777" w:rsidR="00980E5F" w:rsidRDefault="00980E5F">
            <w:pPr>
              <w:rPr>
                <w:rFonts w:ascii="宋体"/>
                <w:vanish/>
              </w:rPr>
            </w:pPr>
          </w:p>
        </w:tc>
        <w:tc>
          <w:tcPr>
            <w:tcW w:w="0" w:type="auto"/>
            <w:shd w:val="clear" w:color="auto" w:fill="auto"/>
            <w:vAlign w:val="bottom"/>
          </w:tcPr>
          <w:p w14:paraId="392C1B3F"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1B40" w14:textId="77777777" w:rsidR="00980E5F" w:rsidRDefault="00483613">
            <w:pPr>
              <w:jc w:val="right"/>
              <w:textAlignment w:val="bottom"/>
            </w:pPr>
            <w:r>
              <w:rPr>
                <w:rFonts w:ascii="Arial" w:eastAsia="宋体" w:hAnsi="Arial" w:cs="Arial"/>
                <w:color w:val="000000"/>
                <w:sz w:val="13"/>
                <w:szCs w:val="13"/>
              </w:rPr>
              <w:t>2,977 </w:t>
            </w:r>
          </w:p>
        </w:tc>
        <w:tc>
          <w:tcPr>
            <w:tcW w:w="0" w:type="auto"/>
            <w:shd w:val="clear" w:color="auto" w:fill="FFFFFF"/>
            <w:tcMar>
              <w:top w:w="40" w:type="dxa"/>
              <w:left w:w="0" w:type="dxa"/>
              <w:bottom w:w="40" w:type="dxa"/>
              <w:right w:w="20" w:type="dxa"/>
            </w:tcMar>
            <w:vAlign w:val="bottom"/>
          </w:tcPr>
          <w:p w14:paraId="392C1B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B43" w14:textId="77777777" w:rsidR="00980E5F" w:rsidRDefault="00483613">
            <w:pPr>
              <w:jc w:val="right"/>
              <w:textAlignment w:val="bottom"/>
            </w:pPr>
            <w:r>
              <w:rPr>
                <w:rFonts w:ascii="Arial" w:eastAsia="宋体" w:hAnsi="Arial" w:cs="Arial"/>
                <w:color w:val="000000"/>
                <w:sz w:val="13"/>
                <w:szCs w:val="13"/>
              </w:rPr>
              <w:t>8,428 </w:t>
            </w:r>
          </w:p>
        </w:tc>
        <w:tc>
          <w:tcPr>
            <w:tcW w:w="0" w:type="auto"/>
            <w:shd w:val="clear" w:color="auto" w:fill="FFFFFF"/>
            <w:tcMar>
              <w:top w:w="40" w:type="dxa"/>
              <w:left w:w="0" w:type="dxa"/>
              <w:bottom w:w="40" w:type="dxa"/>
              <w:right w:w="20" w:type="dxa"/>
            </w:tcMar>
            <w:vAlign w:val="bottom"/>
          </w:tcPr>
          <w:p w14:paraId="392C1B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B46" w14:textId="77777777" w:rsidR="00980E5F" w:rsidRDefault="00483613">
            <w:pPr>
              <w:jc w:val="right"/>
              <w:textAlignment w:val="bottom"/>
            </w:pPr>
            <w:r>
              <w:rPr>
                <w:rFonts w:ascii="Arial" w:eastAsia="宋体" w:hAnsi="Arial" w:cs="Arial"/>
                <w:color w:val="000000"/>
                <w:sz w:val="13"/>
                <w:szCs w:val="13"/>
              </w:rPr>
              <w:t>778 </w:t>
            </w:r>
          </w:p>
        </w:tc>
        <w:tc>
          <w:tcPr>
            <w:tcW w:w="0" w:type="auto"/>
            <w:shd w:val="clear" w:color="auto" w:fill="FFFFFF"/>
            <w:tcMar>
              <w:top w:w="40" w:type="dxa"/>
              <w:left w:w="0" w:type="dxa"/>
              <w:bottom w:w="40" w:type="dxa"/>
              <w:right w:w="20" w:type="dxa"/>
            </w:tcMar>
            <w:vAlign w:val="bottom"/>
          </w:tcPr>
          <w:p w14:paraId="392C1B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48" w14:textId="77777777" w:rsidR="00980E5F" w:rsidRDefault="00980E5F">
            <w:pPr>
              <w:rPr>
                <w:rFonts w:ascii="宋体"/>
              </w:rPr>
            </w:pPr>
          </w:p>
        </w:tc>
        <w:tc>
          <w:tcPr>
            <w:tcW w:w="0" w:type="auto"/>
            <w:shd w:val="clear" w:color="auto" w:fill="auto"/>
            <w:vAlign w:val="bottom"/>
          </w:tcPr>
          <w:p w14:paraId="392C1B49" w14:textId="77777777" w:rsidR="00980E5F" w:rsidRDefault="00980E5F">
            <w:pPr>
              <w:rPr>
                <w:rFonts w:ascii="宋体"/>
                <w:vanish/>
              </w:rPr>
            </w:pPr>
          </w:p>
        </w:tc>
        <w:tc>
          <w:tcPr>
            <w:tcW w:w="0" w:type="auto"/>
            <w:shd w:val="clear" w:color="auto" w:fill="auto"/>
            <w:vAlign w:val="bottom"/>
          </w:tcPr>
          <w:p w14:paraId="392C1B4A"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1B4B" w14:textId="77777777" w:rsidR="00980E5F" w:rsidRDefault="00483613">
            <w:pPr>
              <w:jc w:val="right"/>
              <w:textAlignment w:val="bottom"/>
            </w:pPr>
            <w:r>
              <w:rPr>
                <w:rFonts w:ascii="Arial" w:eastAsia="宋体" w:hAnsi="Arial" w:cs="Arial"/>
                <w:color w:val="000000"/>
                <w:sz w:val="13"/>
                <w:szCs w:val="13"/>
              </w:rPr>
              <w:t>12,644 </w:t>
            </w:r>
          </w:p>
        </w:tc>
        <w:tc>
          <w:tcPr>
            <w:tcW w:w="0" w:type="auto"/>
            <w:shd w:val="clear" w:color="auto" w:fill="FFFFFF"/>
            <w:tcMar>
              <w:top w:w="40" w:type="dxa"/>
              <w:left w:w="0" w:type="dxa"/>
              <w:bottom w:w="40" w:type="dxa"/>
              <w:right w:w="20" w:type="dxa"/>
            </w:tcMar>
            <w:vAlign w:val="bottom"/>
          </w:tcPr>
          <w:p w14:paraId="392C1B4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4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B4E" w14:textId="77777777" w:rsidR="00980E5F" w:rsidRDefault="00483613">
            <w:pPr>
              <w:jc w:val="right"/>
              <w:textAlignment w:val="bottom"/>
            </w:pPr>
            <w:r>
              <w:rPr>
                <w:rFonts w:ascii="Arial" w:eastAsia="宋体" w:hAnsi="Arial" w:cs="Arial"/>
                <w:color w:val="000000"/>
                <w:sz w:val="13"/>
                <w:szCs w:val="13"/>
              </w:rPr>
              <w:t>29,651 </w:t>
            </w:r>
          </w:p>
        </w:tc>
        <w:tc>
          <w:tcPr>
            <w:tcW w:w="0" w:type="auto"/>
            <w:shd w:val="clear" w:color="auto" w:fill="FFFFFF"/>
            <w:tcMar>
              <w:top w:w="40" w:type="dxa"/>
              <w:left w:w="0" w:type="dxa"/>
              <w:bottom w:w="40" w:type="dxa"/>
              <w:right w:w="20" w:type="dxa"/>
            </w:tcMar>
            <w:vAlign w:val="bottom"/>
          </w:tcPr>
          <w:p w14:paraId="392C1B4F"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B5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B51" w14:textId="77777777" w:rsidR="00980E5F" w:rsidRDefault="00483613">
            <w:pPr>
              <w:jc w:val="right"/>
              <w:textAlignment w:val="bottom"/>
            </w:pPr>
            <w:r>
              <w:rPr>
                <w:rFonts w:ascii="Arial" w:eastAsia="宋体" w:hAnsi="Arial" w:cs="Arial"/>
                <w:color w:val="000000"/>
                <w:sz w:val="13"/>
                <w:szCs w:val="13"/>
              </w:rPr>
              <w:t>2,042 </w:t>
            </w:r>
          </w:p>
          <w:p w14:paraId="392C1B52" w14:textId="77777777" w:rsidR="00980E5F" w:rsidRDefault="00483613">
            <w:pPr>
              <w:jc w:val="right"/>
              <w:textAlignment w:val="bottom"/>
            </w:pPr>
            <w:r>
              <w:rPr>
                <w:rFonts w:ascii="Arial" w:eastAsia="宋体" w:hAnsi="Arial" w:cs="Arial"/>
                <w:b/>
                <w:bCs/>
                <w:color w:val="000000"/>
                <w:sz w:val="13"/>
                <w:szCs w:val="13"/>
              </w:rPr>
              <w:t>5,642</w:t>
            </w:r>
            <w:r>
              <w:rPr>
                <w:rFonts w:ascii="Arial" w:eastAsia="宋体" w:hAnsi="Arial" w:cs="Arial"/>
                <w:color w:val="000000"/>
                <w:sz w:val="13"/>
                <w:szCs w:val="13"/>
              </w:rPr>
              <w:t> </w:t>
            </w:r>
          </w:p>
          <w:p w14:paraId="392C1B53" w14:textId="77777777" w:rsidR="00980E5F" w:rsidRDefault="00483613">
            <w:pPr>
              <w:jc w:val="right"/>
              <w:textAlignment w:val="bottom"/>
            </w:pPr>
            <w:r>
              <w:rPr>
                <w:rFonts w:ascii="Arial" w:eastAsia="宋体" w:hAnsi="Arial" w:cs="Arial"/>
                <w:color w:val="000000"/>
                <w:sz w:val="13"/>
                <w:szCs w:val="13"/>
              </w:rPr>
              <w:t>5,687 </w:t>
            </w:r>
          </w:p>
          <w:p w14:paraId="392C1B54" w14:textId="77777777" w:rsidR="00980E5F" w:rsidRDefault="00483613">
            <w:pPr>
              <w:jc w:val="right"/>
              <w:textAlignment w:val="bottom"/>
            </w:pPr>
            <w:r>
              <w:rPr>
                <w:rFonts w:ascii="Arial" w:eastAsia="宋体" w:hAnsi="Arial" w:cs="Arial"/>
                <w:color w:val="000000"/>
                <w:sz w:val="13"/>
                <w:szCs w:val="13"/>
              </w:rPr>
              <w:t>6,462 </w:t>
            </w:r>
          </w:p>
        </w:tc>
      </w:tr>
      <w:tr w:rsidR="00980E5F" w14:paraId="392C1B79" w14:textId="77777777">
        <w:tc>
          <w:tcPr>
            <w:tcW w:w="0" w:type="auto"/>
            <w:gridSpan w:val="3"/>
            <w:shd w:val="clear" w:color="auto" w:fill="CCEEFF"/>
            <w:tcMar>
              <w:top w:w="40" w:type="dxa"/>
              <w:left w:w="20" w:type="dxa"/>
              <w:bottom w:w="40" w:type="dxa"/>
              <w:right w:w="20" w:type="dxa"/>
            </w:tcMar>
            <w:vAlign w:val="bottom"/>
          </w:tcPr>
          <w:p w14:paraId="392C1B56" w14:textId="77777777" w:rsidR="00980E5F" w:rsidRDefault="00483613">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392C1B57" w14:textId="77777777" w:rsidR="00980E5F" w:rsidRDefault="00483613">
            <w:pPr>
              <w:jc w:val="right"/>
              <w:textAlignment w:val="bottom"/>
            </w:pPr>
            <w:r>
              <w:rPr>
                <w:rFonts w:ascii="Arial" w:eastAsia="宋体" w:hAnsi="Arial" w:cs="Arial"/>
                <w:b/>
                <w:bCs/>
                <w:color w:val="000000"/>
                <w:sz w:val="13"/>
                <w:szCs w:val="13"/>
              </w:rPr>
              <w:t>(4,491)</w:t>
            </w:r>
          </w:p>
        </w:tc>
        <w:tc>
          <w:tcPr>
            <w:tcW w:w="0" w:type="auto"/>
            <w:shd w:val="clear" w:color="auto" w:fill="CCEEFF"/>
            <w:tcMar>
              <w:top w:w="40" w:type="dxa"/>
              <w:left w:w="0" w:type="dxa"/>
              <w:bottom w:w="40" w:type="dxa"/>
              <w:right w:w="20" w:type="dxa"/>
            </w:tcMar>
            <w:vAlign w:val="bottom"/>
          </w:tcPr>
          <w:p w14:paraId="392C1B5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59" w14:textId="77777777" w:rsidR="00980E5F" w:rsidRDefault="00980E5F">
            <w:pPr>
              <w:spacing w:after="20"/>
              <w:jc w:val="right"/>
            </w:pPr>
          </w:p>
          <w:p w14:paraId="392C1B5A"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B5B" w14:textId="77777777" w:rsidR="00980E5F" w:rsidRDefault="00483613">
            <w:pPr>
              <w:jc w:val="right"/>
              <w:textAlignment w:val="bottom"/>
            </w:pPr>
            <w:r>
              <w:rPr>
                <w:rFonts w:ascii="Arial" w:eastAsia="宋体" w:hAnsi="Arial" w:cs="Arial"/>
                <w:b/>
                <w:bCs/>
                <w:color w:val="000000"/>
                <w:sz w:val="13"/>
                <w:szCs w:val="13"/>
              </w:rPr>
              <w:t>(9,384)</w:t>
            </w:r>
          </w:p>
        </w:tc>
        <w:tc>
          <w:tcPr>
            <w:tcW w:w="0" w:type="auto"/>
            <w:shd w:val="clear" w:color="auto" w:fill="CCEEFF"/>
            <w:tcMar>
              <w:top w:w="40" w:type="dxa"/>
              <w:left w:w="0" w:type="dxa"/>
              <w:bottom w:w="40" w:type="dxa"/>
              <w:right w:w="20" w:type="dxa"/>
            </w:tcMar>
            <w:vAlign w:val="bottom"/>
          </w:tcPr>
          <w:p w14:paraId="392C1B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5D" w14:textId="77777777" w:rsidR="00980E5F" w:rsidRDefault="00980E5F">
            <w:pPr>
              <w:spacing w:after="20"/>
              <w:jc w:val="right"/>
            </w:pPr>
          </w:p>
          <w:p w14:paraId="392C1B5E" w14:textId="77777777" w:rsidR="00980E5F" w:rsidRDefault="00980E5F">
            <w:pPr>
              <w:spacing w:after="20"/>
              <w:jc w:val="right"/>
            </w:pPr>
          </w:p>
        </w:tc>
        <w:tc>
          <w:tcPr>
            <w:tcW w:w="0" w:type="auto"/>
            <w:gridSpan w:val="2"/>
            <w:shd w:val="clear" w:color="auto" w:fill="CCEEFF"/>
            <w:tcMar>
              <w:top w:w="40" w:type="dxa"/>
              <w:left w:w="20" w:type="dxa"/>
              <w:bottom w:w="40" w:type="dxa"/>
              <w:right w:w="0" w:type="dxa"/>
            </w:tcMar>
            <w:vAlign w:val="bottom"/>
          </w:tcPr>
          <w:p w14:paraId="392C1B5F" w14:textId="77777777" w:rsidR="00980E5F" w:rsidRDefault="00483613">
            <w:pPr>
              <w:jc w:val="right"/>
              <w:textAlignment w:val="bottom"/>
            </w:pPr>
            <w:r>
              <w:rPr>
                <w:rFonts w:ascii="Arial" w:eastAsia="宋体" w:hAnsi="Arial" w:cs="Arial"/>
                <w:b/>
                <w:bCs/>
                <w:color w:val="000000"/>
                <w:sz w:val="13"/>
                <w:szCs w:val="13"/>
              </w:rPr>
              <w:t>(2,690)</w:t>
            </w:r>
          </w:p>
        </w:tc>
        <w:tc>
          <w:tcPr>
            <w:tcW w:w="0" w:type="auto"/>
            <w:shd w:val="clear" w:color="auto" w:fill="CCEEFF"/>
            <w:tcMar>
              <w:top w:w="40" w:type="dxa"/>
              <w:left w:w="0" w:type="dxa"/>
              <w:bottom w:w="40" w:type="dxa"/>
              <w:right w:w="20" w:type="dxa"/>
            </w:tcMar>
            <w:vAlign w:val="bottom"/>
          </w:tcPr>
          <w:p w14:paraId="392C1B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61" w14:textId="77777777" w:rsidR="00980E5F" w:rsidRDefault="00980E5F">
            <w:pPr>
              <w:rPr>
                <w:rFonts w:ascii="宋体"/>
              </w:rPr>
            </w:pPr>
          </w:p>
        </w:tc>
        <w:tc>
          <w:tcPr>
            <w:tcW w:w="0" w:type="auto"/>
            <w:shd w:val="clear" w:color="auto" w:fill="auto"/>
            <w:vAlign w:val="bottom"/>
          </w:tcPr>
          <w:p w14:paraId="392C1B62" w14:textId="77777777" w:rsidR="00980E5F" w:rsidRDefault="00980E5F">
            <w:pPr>
              <w:rPr>
                <w:rFonts w:ascii="宋体"/>
                <w:vanish/>
              </w:rPr>
            </w:pPr>
          </w:p>
        </w:tc>
        <w:tc>
          <w:tcPr>
            <w:tcW w:w="0" w:type="auto"/>
            <w:shd w:val="clear" w:color="auto" w:fill="auto"/>
            <w:vAlign w:val="bottom"/>
          </w:tcPr>
          <w:p w14:paraId="392C1B6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1B64" w14:textId="77777777" w:rsidR="00980E5F" w:rsidRDefault="00483613">
            <w:pPr>
              <w:jc w:val="right"/>
              <w:textAlignment w:val="bottom"/>
            </w:pPr>
            <w:r>
              <w:rPr>
                <w:rFonts w:ascii="Arial" w:eastAsia="宋体" w:hAnsi="Arial" w:cs="Arial"/>
                <w:color w:val="000000"/>
                <w:sz w:val="13"/>
                <w:szCs w:val="13"/>
              </w:rPr>
              <w:t>(3,825)</w:t>
            </w:r>
          </w:p>
        </w:tc>
        <w:tc>
          <w:tcPr>
            <w:tcW w:w="0" w:type="auto"/>
            <w:shd w:val="clear" w:color="auto" w:fill="CCEEFF"/>
            <w:tcMar>
              <w:top w:w="40" w:type="dxa"/>
              <w:left w:w="0" w:type="dxa"/>
              <w:bottom w:w="40" w:type="dxa"/>
              <w:right w:w="20" w:type="dxa"/>
            </w:tcMar>
            <w:vAlign w:val="bottom"/>
          </w:tcPr>
          <w:p w14:paraId="392C1B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6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B67" w14:textId="77777777" w:rsidR="00980E5F" w:rsidRDefault="00483613">
            <w:pPr>
              <w:jc w:val="right"/>
              <w:textAlignment w:val="bottom"/>
            </w:pPr>
            <w:r>
              <w:rPr>
                <w:rFonts w:ascii="Arial" w:eastAsia="宋体" w:hAnsi="Arial" w:cs="Arial"/>
                <w:color w:val="000000"/>
                <w:sz w:val="13"/>
                <w:szCs w:val="13"/>
              </w:rPr>
              <w:t>(9,841)</w:t>
            </w:r>
          </w:p>
        </w:tc>
        <w:tc>
          <w:tcPr>
            <w:tcW w:w="0" w:type="auto"/>
            <w:shd w:val="clear" w:color="auto" w:fill="CCEEFF"/>
            <w:tcMar>
              <w:top w:w="40" w:type="dxa"/>
              <w:left w:w="0" w:type="dxa"/>
              <w:bottom w:w="40" w:type="dxa"/>
              <w:right w:w="20" w:type="dxa"/>
            </w:tcMar>
            <w:vAlign w:val="bottom"/>
          </w:tcPr>
          <w:p w14:paraId="392C1B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6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B6A" w14:textId="77777777" w:rsidR="00980E5F" w:rsidRDefault="00483613">
            <w:pPr>
              <w:jc w:val="right"/>
              <w:textAlignment w:val="bottom"/>
            </w:pPr>
            <w:r>
              <w:rPr>
                <w:rFonts w:ascii="Arial" w:eastAsia="宋体" w:hAnsi="Arial" w:cs="Arial"/>
                <w:color w:val="000000"/>
                <w:sz w:val="13"/>
                <w:szCs w:val="13"/>
              </w:rPr>
              <w:t>(1,365)</w:t>
            </w:r>
          </w:p>
        </w:tc>
        <w:tc>
          <w:tcPr>
            <w:tcW w:w="0" w:type="auto"/>
            <w:shd w:val="clear" w:color="auto" w:fill="CCEEFF"/>
            <w:tcMar>
              <w:top w:w="40" w:type="dxa"/>
              <w:left w:w="0" w:type="dxa"/>
              <w:bottom w:w="40" w:type="dxa"/>
              <w:right w:w="20" w:type="dxa"/>
            </w:tcMar>
            <w:vAlign w:val="bottom"/>
          </w:tcPr>
          <w:p w14:paraId="392C1B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6C" w14:textId="77777777" w:rsidR="00980E5F" w:rsidRDefault="00980E5F">
            <w:pPr>
              <w:rPr>
                <w:rFonts w:ascii="宋体"/>
              </w:rPr>
            </w:pPr>
          </w:p>
        </w:tc>
        <w:tc>
          <w:tcPr>
            <w:tcW w:w="0" w:type="auto"/>
            <w:shd w:val="clear" w:color="auto" w:fill="auto"/>
            <w:vAlign w:val="bottom"/>
          </w:tcPr>
          <w:p w14:paraId="392C1B6D" w14:textId="77777777" w:rsidR="00980E5F" w:rsidRDefault="00980E5F">
            <w:pPr>
              <w:rPr>
                <w:rFonts w:ascii="宋体"/>
                <w:vanish/>
              </w:rPr>
            </w:pPr>
          </w:p>
        </w:tc>
        <w:tc>
          <w:tcPr>
            <w:tcW w:w="0" w:type="auto"/>
            <w:shd w:val="clear" w:color="auto" w:fill="auto"/>
            <w:vAlign w:val="bottom"/>
          </w:tcPr>
          <w:p w14:paraId="392C1B6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1B6F" w14:textId="77777777" w:rsidR="00980E5F" w:rsidRDefault="00483613">
            <w:pPr>
              <w:jc w:val="right"/>
              <w:textAlignment w:val="bottom"/>
            </w:pPr>
            <w:r>
              <w:rPr>
                <w:rFonts w:ascii="Arial" w:eastAsia="宋体" w:hAnsi="Arial" w:cs="Arial"/>
                <w:color w:val="000000"/>
                <w:sz w:val="13"/>
                <w:szCs w:val="13"/>
              </w:rPr>
              <w:t>(6,471)</w:t>
            </w:r>
          </w:p>
        </w:tc>
        <w:tc>
          <w:tcPr>
            <w:tcW w:w="0" w:type="auto"/>
            <w:shd w:val="clear" w:color="auto" w:fill="CCEEFF"/>
            <w:tcMar>
              <w:top w:w="40" w:type="dxa"/>
              <w:left w:w="0" w:type="dxa"/>
              <w:bottom w:w="40" w:type="dxa"/>
              <w:right w:w="20" w:type="dxa"/>
            </w:tcMar>
            <w:vAlign w:val="bottom"/>
          </w:tcPr>
          <w:p w14:paraId="392C1B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B7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B72" w14:textId="77777777" w:rsidR="00980E5F" w:rsidRDefault="00483613">
            <w:pPr>
              <w:jc w:val="right"/>
              <w:textAlignment w:val="bottom"/>
            </w:pPr>
            <w:r>
              <w:rPr>
                <w:rFonts w:ascii="Arial" w:eastAsia="宋体" w:hAnsi="Arial" w:cs="Arial"/>
                <w:color w:val="000000"/>
                <w:sz w:val="13"/>
                <w:szCs w:val="13"/>
              </w:rPr>
              <w:t>(8,193)</w:t>
            </w:r>
          </w:p>
        </w:tc>
        <w:tc>
          <w:tcPr>
            <w:tcW w:w="0" w:type="auto"/>
            <w:shd w:val="clear" w:color="auto" w:fill="CCEEFF"/>
            <w:tcMar>
              <w:top w:w="40" w:type="dxa"/>
              <w:left w:w="0" w:type="dxa"/>
              <w:bottom w:w="40" w:type="dxa"/>
              <w:right w:w="20" w:type="dxa"/>
            </w:tcMar>
            <w:vAlign w:val="bottom"/>
          </w:tcPr>
          <w:p w14:paraId="392C1B73"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B7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B75" w14:textId="77777777" w:rsidR="00980E5F" w:rsidRDefault="00483613">
            <w:pPr>
              <w:jc w:val="right"/>
              <w:textAlignment w:val="bottom"/>
            </w:pPr>
            <w:r>
              <w:rPr>
                <w:rFonts w:ascii="Arial" w:eastAsia="宋体" w:hAnsi="Arial" w:cs="Arial"/>
                <w:color w:val="000000"/>
                <w:sz w:val="13"/>
                <w:szCs w:val="13"/>
              </w:rPr>
              <w:t>1,690 </w:t>
            </w:r>
          </w:p>
          <w:p w14:paraId="392C1B76" w14:textId="77777777" w:rsidR="00980E5F" w:rsidRDefault="00483613">
            <w:pPr>
              <w:jc w:val="right"/>
              <w:textAlignment w:val="bottom"/>
            </w:pPr>
            <w:r>
              <w:rPr>
                <w:rFonts w:ascii="Arial" w:eastAsia="宋体" w:hAnsi="Arial" w:cs="Arial"/>
                <w:b/>
                <w:bCs/>
                <w:color w:val="000000"/>
                <w:sz w:val="13"/>
                <w:szCs w:val="13"/>
              </w:rPr>
              <w:t>(5,396)</w:t>
            </w:r>
          </w:p>
          <w:p w14:paraId="392C1B77" w14:textId="77777777" w:rsidR="00980E5F" w:rsidRDefault="00483613">
            <w:pPr>
              <w:jc w:val="right"/>
              <w:textAlignment w:val="bottom"/>
            </w:pPr>
            <w:r>
              <w:rPr>
                <w:rFonts w:ascii="Arial" w:eastAsia="宋体" w:hAnsi="Arial" w:cs="Arial"/>
                <w:color w:val="000000"/>
                <w:sz w:val="13"/>
                <w:szCs w:val="13"/>
              </w:rPr>
              <w:t>(9,063)</w:t>
            </w:r>
          </w:p>
          <w:p w14:paraId="392C1B78" w14:textId="77777777" w:rsidR="00980E5F" w:rsidRDefault="00483613">
            <w:pPr>
              <w:jc w:val="right"/>
              <w:textAlignment w:val="bottom"/>
            </w:pPr>
            <w:r>
              <w:rPr>
                <w:rFonts w:ascii="Arial" w:eastAsia="宋体" w:hAnsi="Arial" w:cs="Arial"/>
                <w:color w:val="000000"/>
                <w:sz w:val="13"/>
                <w:szCs w:val="13"/>
              </w:rPr>
              <w:t>8,473 </w:t>
            </w:r>
          </w:p>
        </w:tc>
      </w:tr>
      <w:tr w:rsidR="00483613" w14:paraId="392C1BA9" w14:textId="77777777">
        <w:tc>
          <w:tcPr>
            <w:tcW w:w="0" w:type="auto"/>
            <w:gridSpan w:val="3"/>
            <w:shd w:val="clear" w:color="auto" w:fill="FFFFFF"/>
            <w:tcMar>
              <w:top w:w="40" w:type="dxa"/>
              <w:left w:w="20" w:type="dxa"/>
              <w:bottom w:w="40" w:type="dxa"/>
              <w:right w:w="20" w:type="dxa"/>
            </w:tcMar>
            <w:vAlign w:val="bottom"/>
          </w:tcPr>
          <w:p w14:paraId="392C1B7A" w14:textId="77777777" w:rsidR="00980E5F" w:rsidRDefault="00483613">
            <w:pPr>
              <w:textAlignment w:val="bottom"/>
            </w:pPr>
            <w:r>
              <w:rPr>
                <w:rFonts w:ascii="Arial" w:eastAsia="宋体" w:hAnsi="Arial" w:cs="Arial"/>
                <w:color w:val="000000"/>
                <w:sz w:val="13"/>
                <w:szCs w:val="13"/>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1B7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7C" w14:textId="77777777" w:rsidR="00980E5F" w:rsidRDefault="00483613">
            <w:pPr>
              <w:jc w:val="right"/>
              <w:textAlignment w:val="bottom"/>
            </w:pPr>
            <w:r>
              <w:rPr>
                <w:rFonts w:ascii="Arial" w:eastAsia="宋体" w:hAnsi="Arial" w:cs="Arial"/>
                <w:b/>
                <w:bCs/>
                <w:color w:val="000000"/>
                <w:sz w:val="13"/>
                <w:szCs w:val="13"/>
              </w:rPr>
              <w:t>41,120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7E" w14:textId="77777777" w:rsidR="00980E5F" w:rsidRDefault="00980E5F">
            <w:pPr>
              <w:spacing w:after="20"/>
              <w:jc w:val="right"/>
            </w:pPr>
          </w:p>
          <w:p w14:paraId="392C1B7F" w14:textId="77777777" w:rsidR="00980E5F" w:rsidRDefault="00980E5F">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8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81" w14:textId="77777777" w:rsidR="00980E5F" w:rsidRDefault="00483613">
            <w:pPr>
              <w:jc w:val="right"/>
              <w:textAlignment w:val="bottom"/>
            </w:pPr>
            <w:r>
              <w:rPr>
                <w:rFonts w:ascii="Arial" w:eastAsia="宋体" w:hAnsi="Arial" w:cs="Arial"/>
                <w:b/>
                <w:bCs/>
                <w:color w:val="000000"/>
                <w:sz w:val="13"/>
                <w:szCs w:val="13"/>
              </w:rPr>
              <w:t>95,939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83" w14:textId="77777777" w:rsidR="00980E5F" w:rsidRDefault="00980E5F">
            <w:pPr>
              <w:spacing w:after="20"/>
              <w:jc w:val="right"/>
            </w:pPr>
          </w:p>
          <w:p w14:paraId="392C1B84" w14:textId="77777777" w:rsidR="00980E5F" w:rsidRDefault="00980E5F">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85"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86" w14:textId="77777777" w:rsidR="00980E5F" w:rsidRDefault="00483613">
            <w:pPr>
              <w:jc w:val="right"/>
              <w:textAlignment w:val="bottom"/>
            </w:pPr>
            <w:r>
              <w:rPr>
                <w:rFonts w:ascii="Arial" w:eastAsia="宋体" w:hAnsi="Arial" w:cs="Arial"/>
                <w:b/>
                <w:bCs/>
                <w:color w:val="000000"/>
                <w:sz w:val="13"/>
                <w:szCs w:val="13"/>
              </w:rPr>
              <w:t>18,920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88" w14:textId="77777777" w:rsidR="00980E5F" w:rsidRDefault="00980E5F">
            <w:pPr>
              <w:rPr>
                <w:rFonts w:ascii="宋体"/>
              </w:rPr>
            </w:pPr>
          </w:p>
        </w:tc>
        <w:tc>
          <w:tcPr>
            <w:tcW w:w="0" w:type="auto"/>
            <w:shd w:val="clear" w:color="auto" w:fill="auto"/>
            <w:vAlign w:val="bottom"/>
          </w:tcPr>
          <w:p w14:paraId="392C1B89" w14:textId="77777777" w:rsidR="00980E5F" w:rsidRDefault="00980E5F">
            <w:pPr>
              <w:rPr>
                <w:rFonts w:ascii="宋体"/>
                <w:vanish/>
              </w:rPr>
            </w:pPr>
          </w:p>
        </w:tc>
        <w:tc>
          <w:tcPr>
            <w:tcW w:w="0" w:type="auto"/>
            <w:shd w:val="clear" w:color="auto" w:fill="auto"/>
            <w:vAlign w:val="bottom"/>
          </w:tcPr>
          <w:p w14:paraId="392C1B8A"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8B"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8C" w14:textId="77777777" w:rsidR="00980E5F" w:rsidRDefault="00483613">
            <w:pPr>
              <w:jc w:val="right"/>
              <w:textAlignment w:val="bottom"/>
            </w:pPr>
            <w:r>
              <w:rPr>
                <w:rFonts w:ascii="Arial" w:eastAsia="宋体" w:hAnsi="Arial" w:cs="Arial"/>
                <w:color w:val="000000"/>
                <w:sz w:val="13"/>
                <w:szCs w:val="13"/>
              </w:rPr>
              <w:t>36,493 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8E"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8F"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90" w14:textId="77777777" w:rsidR="00980E5F" w:rsidRDefault="00483613">
            <w:pPr>
              <w:jc w:val="right"/>
              <w:textAlignment w:val="bottom"/>
            </w:pPr>
            <w:r>
              <w:rPr>
                <w:rFonts w:ascii="Arial" w:eastAsia="宋体" w:hAnsi="Arial" w:cs="Arial"/>
                <w:color w:val="000000"/>
                <w:sz w:val="13"/>
                <w:szCs w:val="13"/>
              </w:rPr>
              <w:t>63,022 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9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9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94" w14:textId="77777777" w:rsidR="00980E5F" w:rsidRDefault="00483613">
            <w:pPr>
              <w:jc w:val="right"/>
              <w:textAlignment w:val="bottom"/>
            </w:pPr>
            <w:r>
              <w:rPr>
                <w:rFonts w:ascii="Arial" w:eastAsia="宋体" w:hAnsi="Arial" w:cs="Arial"/>
                <w:color w:val="000000"/>
                <w:sz w:val="13"/>
                <w:szCs w:val="13"/>
              </w:rPr>
              <w:t>22,655 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9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96" w14:textId="77777777" w:rsidR="00980E5F" w:rsidRDefault="00980E5F">
            <w:pPr>
              <w:rPr>
                <w:rFonts w:ascii="宋体"/>
              </w:rPr>
            </w:pPr>
          </w:p>
        </w:tc>
        <w:tc>
          <w:tcPr>
            <w:tcW w:w="0" w:type="auto"/>
            <w:shd w:val="clear" w:color="auto" w:fill="auto"/>
            <w:vAlign w:val="bottom"/>
          </w:tcPr>
          <w:p w14:paraId="392C1B97" w14:textId="77777777" w:rsidR="00980E5F" w:rsidRDefault="00980E5F">
            <w:pPr>
              <w:rPr>
                <w:rFonts w:ascii="宋体"/>
                <w:vanish/>
              </w:rPr>
            </w:pPr>
          </w:p>
        </w:tc>
        <w:tc>
          <w:tcPr>
            <w:tcW w:w="0" w:type="auto"/>
            <w:shd w:val="clear" w:color="auto" w:fill="auto"/>
            <w:vAlign w:val="bottom"/>
          </w:tcPr>
          <w:p w14:paraId="392C1B98"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9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9A" w14:textId="77777777" w:rsidR="00980E5F" w:rsidRDefault="00483613">
            <w:pPr>
              <w:jc w:val="right"/>
              <w:textAlignment w:val="bottom"/>
            </w:pPr>
            <w:r>
              <w:rPr>
                <w:rFonts w:ascii="Arial" w:eastAsia="宋体" w:hAnsi="Arial" w:cs="Arial"/>
                <w:color w:val="000000"/>
                <w:sz w:val="13"/>
                <w:szCs w:val="13"/>
              </w:rPr>
              <w:t>42,651 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B9C"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9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1B9E" w14:textId="77777777" w:rsidR="00980E5F" w:rsidRDefault="00483613">
            <w:pPr>
              <w:jc w:val="right"/>
              <w:textAlignment w:val="bottom"/>
            </w:pPr>
            <w:r>
              <w:rPr>
                <w:rFonts w:ascii="Arial" w:eastAsia="宋体" w:hAnsi="Arial" w:cs="Arial"/>
                <w:color w:val="000000"/>
                <w:sz w:val="13"/>
                <w:szCs w:val="13"/>
              </w:rPr>
              <w:t>95,933 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1B9F"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BA0"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1BA1" w14:textId="77777777" w:rsidR="00980E5F" w:rsidRDefault="00483613">
            <w:pPr>
              <w:textAlignment w:val="bottom"/>
            </w:pPr>
            <w:r>
              <w:rPr>
                <w:rFonts w:ascii="Arial" w:eastAsia="宋体" w:hAnsi="Arial" w:cs="Arial"/>
                <w:color w:val="000000"/>
                <w:sz w:val="13"/>
                <w:szCs w:val="13"/>
              </w:rPr>
              <w:t>$</w:t>
            </w:r>
          </w:p>
          <w:p w14:paraId="392C1BA2" w14:textId="77777777" w:rsidR="00980E5F" w:rsidRDefault="00483613">
            <w:pPr>
              <w:jc w:val="right"/>
              <w:textAlignment w:val="bottom"/>
            </w:pPr>
            <w:r>
              <w:rPr>
                <w:rFonts w:ascii="Arial" w:eastAsia="宋体" w:hAnsi="Arial" w:cs="Arial"/>
                <w:color w:val="000000"/>
                <w:sz w:val="13"/>
                <w:szCs w:val="13"/>
              </w:rPr>
              <w:t>16,769 </w:t>
            </w:r>
          </w:p>
          <w:p w14:paraId="392C1BA3" w14:textId="77777777" w:rsidR="00980E5F" w:rsidRDefault="00483613">
            <w:pPr>
              <w:textAlignment w:val="bottom"/>
            </w:pPr>
            <w:r>
              <w:rPr>
                <w:rFonts w:ascii="Arial" w:eastAsia="宋体" w:hAnsi="Arial" w:cs="Arial"/>
                <w:b/>
                <w:bCs/>
                <w:color w:val="000000"/>
                <w:sz w:val="13"/>
                <w:szCs w:val="13"/>
              </w:rPr>
              <w:t>$</w:t>
            </w:r>
          </w:p>
          <w:p w14:paraId="392C1BA4" w14:textId="77777777" w:rsidR="00980E5F" w:rsidRDefault="00483613">
            <w:pPr>
              <w:jc w:val="right"/>
              <w:textAlignment w:val="bottom"/>
            </w:pPr>
            <w:r>
              <w:rPr>
                <w:rFonts w:ascii="Arial" w:eastAsia="宋体" w:hAnsi="Arial" w:cs="Arial"/>
                <w:b/>
                <w:bCs/>
                <w:color w:val="000000"/>
                <w:sz w:val="13"/>
                <w:szCs w:val="13"/>
              </w:rPr>
              <w:t>43,552</w:t>
            </w:r>
            <w:r>
              <w:rPr>
                <w:rFonts w:ascii="Arial" w:eastAsia="宋体" w:hAnsi="Arial" w:cs="Arial"/>
                <w:color w:val="000000"/>
                <w:sz w:val="13"/>
                <w:szCs w:val="13"/>
              </w:rPr>
              <w:t> </w:t>
            </w:r>
          </w:p>
          <w:p w14:paraId="392C1BA5" w14:textId="77777777" w:rsidR="00980E5F" w:rsidRDefault="00483613">
            <w:pPr>
              <w:textAlignment w:val="bottom"/>
            </w:pPr>
            <w:r>
              <w:rPr>
                <w:rFonts w:ascii="Arial" w:eastAsia="宋体" w:hAnsi="Arial" w:cs="Arial"/>
                <w:color w:val="000000"/>
                <w:sz w:val="13"/>
                <w:szCs w:val="13"/>
              </w:rPr>
              <w:t>$</w:t>
            </w:r>
          </w:p>
          <w:p w14:paraId="392C1BA6" w14:textId="77777777" w:rsidR="00980E5F" w:rsidRDefault="00483613">
            <w:pPr>
              <w:jc w:val="right"/>
              <w:textAlignment w:val="bottom"/>
            </w:pPr>
            <w:r>
              <w:rPr>
                <w:rFonts w:ascii="Arial" w:eastAsia="宋体" w:hAnsi="Arial" w:cs="Arial"/>
                <w:color w:val="000000"/>
                <w:sz w:val="13"/>
                <w:szCs w:val="13"/>
              </w:rPr>
              <w:t>37,153 </w:t>
            </w:r>
          </w:p>
          <w:p w14:paraId="392C1BA7" w14:textId="77777777" w:rsidR="00980E5F" w:rsidRDefault="00483613">
            <w:pPr>
              <w:textAlignment w:val="bottom"/>
            </w:pPr>
            <w:r>
              <w:rPr>
                <w:rFonts w:ascii="Arial" w:eastAsia="宋体" w:hAnsi="Arial" w:cs="Arial"/>
                <w:color w:val="000000"/>
                <w:sz w:val="13"/>
                <w:szCs w:val="13"/>
              </w:rPr>
              <w:t>$</w:t>
            </w:r>
          </w:p>
          <w:p w14:paraId="392C1BA8" w14:textId="77777777" w:rsidR="00980E5F" w:rsidRDefault="00483613">
            <w:pPr>
              <w:jc w:val="right"/>
              <w:textAlignment w:val="bottom"/>
            </w:pPr>
            <w:r>
              <w:rPr>
                <w:rFonts w:ascii="Arial" w:eastAsia="宋体" w:hAnsi="Arial" w:cs="Arial"/>
                <w:color w:val="000000"/>
                <w:sz w:val="13"/>
                <w:szCs w:val="13"/>
              </w:rPr>
              <w:t>71,933 </w:t>
            </w:r>
          </w:p>
        </w:tc>
      </w:tr>
      <w:tr w:rsidR="00980E5F" w14:paraId="392C1BC0" w14:textId="77777777">
        <w:trPr>
          <w:trHeight w:val="60"/>
        </w:trPr>
        <w:tc>
          <w:tcPr>
            <w:tcW w:w="0" w:type="auto"/>
            <w:gridSpan w:val="3"/>
            <w:shd w:val="clear" w:color="auto" w:fill="auto"/>
            <w:tcMar>
              <w:top w:w="0" w:type="dxa"/>
              <w:left w:w="20" w:type="dxa"/>
              <w:bottom w:w="0" w:type="dxa"/>
              <w:right w:w="20" w:type="dxa"/>
            </w:tcMar>
            <w:vAlign w:val="bottom"/>
          </w:tcPr>
          <w:p w14:paraId="392C1BA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A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A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B0" w14:textId="77777777" w:rsidR="00980E5F" w:rsidRDefault="00980E5F">
            <w:pPr>
              <w:rPr>
                <w:rFonts w:ascii="宋体"/>
              </w:rPr>
            </w:pPr>
          </w:p>
        </w:tc>
        <w:tc>
          <w:tcPr>
            <w:tcW w:w="0" w:type="auto"/>
            <w:shd w:val="clear" w:color="auto" w:fill="auto"/>
            <w:vAlign w:val="bottom"/>
          </w:tcPr>
          <w:p w14:paraId="392C1BB1" w14:textId="77777777" w:rsidR="00980E5F" w:rsidRDefault="00980E5F">
            <w:pPr>
              <w:rPr>
                <w:rFonts w:ascii="宋体"/>
                <w:vanish/>
              </w:rPr>
            </w:pPr>
          </w:p>
        </w:tc>
        <w:tc>
          <w:tcPr>
            <w:tcW w:w="0" w:type="auto"/>
            <w:shd w:val="clear" w:color="auto" w:fill="auto"/>
            <w:vAlign w:val="bottom"/>
          </w:tcPr>
          <w:p w14:paraId="392C1BB2"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B4"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B6"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B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B8" w14:textId="77777777" w:rsidR="00980E5F" w:rsidRDefault="00980E5F">
            <w:pPr>
              <w:rPr>
                <w:rFonts w:ascii="宋体"/>
              </w:rPr>
            </w:pPr>
          </w:p>
        </w:tc>
        <w:tc>
          <w:tcPr>
            <w:tcW w:w="0" w:type="auto"/>
            <w:shd w:val="clear" w:color="auto" w:fill="auto"/>
            <w:vAlign w:val="bottom"/>
          </w:tcPr>
          <w:p w14:paraId="392C1BB9" w14:textId="77777777" w:rsidR="00980E5F" w:rsidRDefault="00980E5F">
            <w:pPr>
              <w:rPr>
                <w:rFonts w:ascii="宋体"/>
                <w:vanish/>
              </w:rPr>
            </w:pPr>
          </w:p>
        </w:tc>
        <w:tc>
          <w:tcPr>
            <w:tcW w:w="0" w:type="auto"/>
            <w:shd w:val="clear" w:color="auto" w:fill="auto"/>
            <w:vAlign w:val="bottom"/>
          </w:tcPr>
          <w:p w14:paraId="392C1BBA"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BB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1BBD"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1BBE" w14:textId="77777777" w:rsidR="00980E5F" w:rsidRDefault="00980E5F">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392C1BBF" w14:textId="77777777" w:rsidR="00980E5F" w:rsidRDefault="00980E5F">
            <w:pPr>
              <w:rPr>
                <w:rFonts w:ascii="宋体"/>
              </w:rPr>
            </w:pPr>
          </w:p>
        </w:tc>
      </w:tr>
    </w:tbl>
    <w:p w14:paraId="392C1BC1" w14:textId="77777777" w:rsidR="00980E5F" w:rsidRDefault="00483613">
      <w:pPr>
        <w:spacing w:before="60"/>
        <w:ind w:firstLine="450"/>
        <w:jc w:val="both"/>
      </w:pPr>
      <w:r>
        <w:rPr>
          <w:rFonts w:ascii="Arial" w:eastAsia="宋体" w:hAnsi="Arial" w:cs="Arial"/>
          <w:color w:val="000000"/>
          <w:sz w:val="20"/>
          <w:szCs w:val="20"/>
        </w:rPr>
        <w:t>The three month average of our stressed VaR-based measure was approximately $41 million for the quarter ended June 30, 2022, compared to an average of approximately $36 million for the quarter ended March 31, 2022</w:t>
      </w:r>
      <w:r>
        <w:rPr>
          <w:rFonts w:ascii="Arial" w:eastAsia="宋体" w:hAnsi="Arial" w:cs="Arial"/>
          <w:color w:val="000000"/>
          <w:sz w:val="20"/>
          <w:szCs w:val="20"/>
        </w:rPr>
        <w:t xml:space="preserve"> and $43 million for the quarter ended June 30, 2021. The increase in the average stressed VaR for the quarter ended June 30, 2022, compared to the quarter ended March 31, 2022, is primarily attributed to higher foreign exchange and interest rate risk posi</w:t>
      </w:r>
      <w:r>
        <w:rPr>
          <w:rFonts w:ascii="Arial" w:eastAsia="宋体" w:hAnsi="Arial" w:cs="Arial"/>
          <w:color w:val="000000"/>
          <w:sz w:val="20"/>
          <w:szCs w:val="20"/>
        </w:rPr>
        <w:t>tions.</w:t>
      </w:r>
    </w:p>
    <w:p w14:paraId="392C1BC2" w14:textId="77777777" w:rsidR="00980E5F" w:rsidRDefault="00483613">
      <w:pPr>
        <w:ind w:firstLine="450"/>
        <w:jc w:val="right"/>
      </w:pPr>
      <w:r>
        <w:rPr>
          <w:rFonts w:ascii="Arial" w:eastAsia="宋体" w:hAnsi="Arial" w:cs="Arial"/>
          <w:color w:val="000000"/>
          <w:sz w:val="18"/>
          <w:szCs w:val="18"/>
        </w:rPr>
        <w:t>State Street Corporation | 39</w:t>
      </w:r>
    </w:p>
    <w:p w14:paraId="392C1BC3" w14:textId="77777777" w:rsidR="00980E5F" w:rsidRDefault="00980E5F">
      <w:pPr>
        <w:ind w:firstLine="450"/>
        <w:jc w:val="center"/>
      </w:pPr>
    </w:p>
    <w:p w14:paraId="392C1BC4" w14:textId="77777777" w:rsidR="00980E5F" w:rsidRDefault="00483613">
      <w:r>
        <w:pict w14:anchorId="392CBAF5">
          <v:rect id="_x0000_i1063" style="width:415.3pt;height:1.5pt" o:hralign="center" o:hrstd="t" o:hr="t" fillcolor="#a0a0a0" stroked="f"/>
        </w:pict>
      </w:r>
    </w:p>
    <w:p w14:paraId="392C1BC5"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BC6" w14:textId="77777777" w:rsidR="00980E5F" w:rsidRDefault="00483613">
      <w:pPr>
        <w:ind w:firstLine="450"/>
        <w:jc w:val="center"/>
      </w:pPr>
      <w:r>
        <w:rPr>
          <w:rFonts w:ascii="Arial" w:eastAsia="宋体" w:hAnsi="Arial" w:cs="Arial"/>
          <w:b/>
          <w:bCs/>
          <w:color w:val="000000"/>
          <w:sz w:val="20"/>
          <w:szCs w:val="20"/>
        </w:rPr>
        <w:t>AND RESULTS OF OPERATIONS</w:t>
      </w:r>
    </w:p>
    <w:p w14:paraId="392C1BC7" w14:textId="77777777" w:rsidR="00980E5F" w:rsidRDefault="00483613">
      <w:pPr>
        <w:spacing w:before="60"/>
        <w:ind w:firstLine="450"/>
        <w:jc w:val="both"/>
      </w:pPr>
      <w:r>
        <w:rPr>
          <w:rFonts w:ascii="Arial" w:eastAsia="宋体" w:hAnsi="Arial" w:cs="Arial"/>
          <w:color w:val="000000"/>
          <w:sz w:val="20"/>
          <w:szCs w:val="20"/>
        </w:rPr>
        <w:t xml:space="preserve">The VaR-based measures presented in the preceding tables are primarily a reflection of the overall level of market </w:t>
      </w:r>
      <w:r>
        <w:rPr>
          <w:rFonts w:ascii="Arial" w:eastAsia="宋体" w:hAnsi="Arial" w:cs="Arial"/>
          <w:color w:val="000000"/>
          <w:sz w:val="20"/>
          <w:szCs w:val="20"/>
        </w:rPr>
        <w:t>volatility and our appetite for taking market risk in our trading activities. While overall levels of volatility have varied over the historical observation periods, smaller residual market risk positions during the quarter have led to a reduction in VaR m</w:t>
      </w:r>
      <w:r>
        <w:rPr>
          <w:rFonts w:ascii="Arial" w:eastAsia="宋体" w:hAnsi="Arial" w:cs="Arial"/>
          <w:color w:val="000000"/>
          <w:sz w:val="20"/>
          <w:szCs w:val="20"/>
        </w:rPr>
        <w:t>easures presented.</w:t>
      </w:r>
    </w:p>
    <w:p w14:paraId="392C1BC8" w14:textId="77777777" w:rsidR="00980E5F" w:rsidRDefault="00483613">
      <w:pPr>
        <w:spacing w:before="60"/>
        <w:ind w:firstLine="450"/>
        <w:jc w:val="both"/>
      </w:pPr>
      <w:r>
        <w:rPr>
          <w:rFonts w:ascii="Arial" w:eastAsia="宋体" w:hAnsi="Arial" w:cs="Arial"/>
          <w:color w:val="000000"/>
          <w:sz w:val="20"/>
          <w:szCs w:val="20"/>
        </w:rPr>
        <w:t>We have in the past and may in the future modify and adjust our models and methodologies used to calculate VaR and stressed VaR, subject to regulatory review and approval, and any future modifications and adjustments may result in change</w:t>
      </w:r>
      <w:r>
        <w:rPr>
          <w:rFonts w:ascii="Arial" w:eastAsia="宋体" w:hAnsi="Arial" w:cs="Arial"/>
          <w:color w:val="000000"/>
          <w:sz w:val="20"/>
          <w:szCs w:val="20"/>
        </w:rPr>
        <w:t>s in our VaR-based and stressed VaR-based measures.</w:t>
      </w:r>
    </w:p>
    <w:p w14:paraId="392C1BC9" w14:textId="77777777" w:rsidR="00980E5F" w:rsidRDefault="00483613">
      <w:pPr>
        <w:spacing w:before="60"/>
        <w:ind w:firstLine="450"/>
        <w:jc w:val="both"/>
      </w:pPr>
      <w:r>
        <w:rPr>
          <w:rFonts w:ascii="Arial" w:eastAsia="宋体" w:hAnsi="Arial" w:cs="Arial"/>
          <w:color w:val="000000"/>
          <w:sz w:val="20"/>
          <w:szCs w:val="20"/>
        </w:rPr>
        <w:t>The following tables present the VaR and stressed-VaR associated with our trading activities attributable to foreign exchange risk, interest rate risk and volatility risk as of June 30, 2022, March 31, 20</w:t>
      </w:r>
      <w:r>
        <w:rPr>
          <w:rFonts w:ascii="Arial" w:eastAsia="宋体" w:hAnsi="Arial" w:cs="Arial"/>
          <w:color w:val="000000"/>
          <w:sz w:val="20"/>
          <w:szCs w:val="20"/>
        </w:rPr>
        <w:t>22 and June 30, 2021, respectively. Diversification effect in the tables below represents the difference between total VaR and the sum of the VaRs for each trading activity. This effect arises because the risks present in our trading activities are not per</w:t>
      </w:r>
      <w:r>
        <w:rPr>
          <w:rFonts w:ascii="Arial" w:eastAsia="宋体" w:hAnsi="Arial" w:cs="Arial"/>
          <w:color w:val="000000"/>
          <w:sz w:val="20"/>
          <w:szCs w:val="20"/>
        </w:rPr>
        <w:t>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4"/>
        <w:gridCol w:w="519"/>
        <w:gridCol w:w="37"/>
        <w:gridCol w:w="36"/>
        <w:gridCol w:w="36"/>
        <w:gridCol w:w="36"/>
        <w:gridCol w:w="94"/>
        <w:gridCol w:w="519"/>
        <w:gridCol w:w="37"/>
        <w:gridCol w:w="156"/>
        <w:gridCol w:w="109"/>
        <w:gridCol w:w="36"/>
        <w:gridCol w:w="36"/>
        <w:gridCol w:w="36"/>
        <w:gridCol w:w="94"/>
        <w:gridCol w:w="573"/>
        <w:gridCol w:w="37"/>
        <w:gridCol w:w="36"/>
        <w:gridCol w:w="36"/>
        <w:gridCol w:w="36"/>
        <w:gridCol w:w="94"/>
        <w:gridCol w:w="473"/>
        <w:gridCol w:w="37"/>
        <w:gridCol w:w="36"/>
        <w:gridCol w:w="36"/>
        <w:gridCol w:w="36"/>
        <w:gridCol w:w="94"/>
        <w:gridCol w:w="521"/>
        <w:gridCol w:w="37"/>
        <w:gridCol w:w="110"/>
        <w:gridCol w:w="111"/>
        <w:gridCol w:w="36"/>
        <w:gridCol w:w="36"/>
        <w:gridCol w:w="36"/>
        <w:gridCol w:w="94"/>
        <w:gridCol w:w="573"/>
        <w:gridCol w:w="37"/>
        <w:gridCol w:w="36"/>
        <w:gridCol w:w="36"/>
        <w:gridCol w:w="36"/>
        <w:gridCol w:w="93"/>
        <w:gridCol w:w="475"/>
        <w:gridCol w:w="36"/>
        <w:gridCol w:w="36"/>
        <w:gridCol w:w="36"/>
        <w:gridCol w:w="582"/>
      </w:tblGrid>
      <w:tr w:rsidR="00980E5F" w14:paraId="392C1C01" w14:textId="77777777">
        <w:tc>
          <w:tcPr>
            <w:tcW w:w="50" w:type="pct"/>
            <w:shd w:val="clear" w:color="auto" w:fill="auto"/>
            <w:vAlign w:val="bottom"/>
          </w:tcPr>
          <w:p w14:paraId="392C1BCA" w14:textId="77777777" w:rsidR="00980E5F" w:rsidRDefault="00980E5F">
            <w:pPr>
              <w:rPr>
                <w:rFonts w:ascii="宋体"/>
              </w:rPr>
            </w:pPr>
          </w:p>
        </w:tc>
        <w:tc>
          <w:tcPr>
            <w:tcW w:w="705" w:type="pct"/>
            <w:shd w:val="clear" w:color="auto" w:fill="auto"/>
            <w:vAlign w:val="bottom"/>
          </w:tcPr>
          <w:p w14:paraId="392C1BCB" w14:textId="77777777" w:rsidR="00980E5F" w:rsidRDefault="00980E5F">
            <w:pPr>
              <w:rPr>
                <w:rFonts w:ascii="宋体"/>
              </w:rPr>
            </w:pPr>
          </w:p>
        </w:tc>
        <w:tc>
          <w:tcPr>
            <w:tcW w:w="5" w:type="pct"/>
            <w:shd w:val="clear" w:color="auto" w:fill="auto"/>
            <w:vAlign w:val="bottom"/>
          </w:tcPr>
          <w:p w14:paraId="392C1BCC" w14:textId="77777777" w:rsidR="00980E5F" w:rsidRDefault="00980E5F">
            <w:pPr>
              <w:rPr>
                <w:rFonts w:ascii="宋体"/>
              </w:rPr>
            </w:pPr>
          </w:p>
        </w:tc>
        <w:tc>
          <w:tcPr>
            <w:tcW w:w="50" w:type="pct"/>
            <w:shd w:val="clear" w:color="auto" w:fill="auto"/>
            <w:vAlign w:val="bottom"/>
          </w:tcPr>
          <w:p w14:paraId="392C1BCD" w14:textId="77777777" w:rsidR="00980E5F" w:rsidRDefault="00980E5F">
            <w:pPr>
              <w:rPr>
                <w:rFonts w:ascii="宋体"/>
              </w:rPr>
            </w:pPr>
          </w:p>
        </w:tc>
        <w:tc>
          <w:tcPr>
            <w:tcW w:w="383" w:type="pct"/>
            <w:shd w:val="clear" w:color="auto" w:fill="auto"/>
            <w:vAlign w:val="bottom"/>
          </w:tcPr>
          <w:p w14:paraId="392C1BCE" w14:textId="77777777" w:rsidR="00980E5F" w:rsidRDefault="00980E5F">
            <w:pPr>
              <w:rPr>
                <w:rFonts w:ascii="宋体"/>
              </w:rPr>
            </w:pPr>
          </w:p>
        </w:tc>
        <w:tc>
          <w:tcPr>
            <w:tcW w:w="5" w:type="pct"/>
            <w:shd w:val="clear" w:color="auto" w:fill="auto"/>
            <w:vAlign w:val="bottom"/>
          </w:tcPr>
          <w:p w14:paraId="392C1BCF" w14:textId="77777777" w:rsidR="00980E5F" w:rsidRDefault="00980E5F">
            <w:pPr>
              <w:rPr>
                <w:rFonts w:ascii="宋体"/>
              </w:rPr>
            </w:pPr>
          </w:p>
        </w:tc>
        <w:tc>
          <w:tcPr>
            <w:tcW w:w="5" w:type="pct"/>
            <w:shd w:val="clear" w:color="auto" w:fill="auto"/>
            <w:vAlign w:val="bottom"/>
          </w:tcPr>
          <w:p w14:paraId="392C1BD0" w14:textId="77777777" w:rsidR="00980E5F" w:rsidRDefault="00980E5F">
            <w:pPr>
              <w:rPr>
                <w:rFonts w:ascii="宋体"/>
              </w:rPr>
            </w:pPr>
          </w:p>
        </w:tc>
        <w:tc>
          <w:tcPr>
            <w:tcW w:w="26" w:type="pct"/>
            <w:shd w:val="clear" w:color="auto" w:fill="auto"/>
            <w:vAlign w:val="bottom"/>
          </w:tcPr>
          <w:p w14:paraId="392C1BD1" w14:textId="77777777" w:rsidR="00980E5F" w:rsidRDefault="00980E5F">
            <w:pPr>
              <w:rPr>
                <w:rFonts w:ascii="宋体"/>
              </w:rPr>
            </w:pPr>
          </w:p>
        </w:tc>
        <w:tc>
          <w:tcPr>
            <w:tcW w:w="5" w:type="pct"/>
            <w:shd w:val="clear" w:color="auto" w:fill="auto"/>
            <w:vAlign w:val="bottom"/>
          </w:tcPr>
          <w:p w14:paraId="392C1BD2" w14:textId="77777777" w:rsidR="00980E5F" w:rsidRDefault="00980E5F">
            <w:pPr>
              <w:rPr>
                <w:rFonts w:ascii="宋体"/>
              </w:rPr>
            </w:pPr>
          </w:p>
        </w:tc>
        <w:tc>
          <w:tcPr>
            <w:tcW w:w="50" w:type="pct"/>
            <w:shd w:val="clear" w:color="auto" w:fill="auto"/>
            <w:vAlign w:val="bottom"/>
          </w:tcPr>
          <w:p w14:paraId="392C1BD3" w14:textId="77777777" w:rsidR="00980E5F" w:rsidRDefault="00980E5F">
            <w:pPr>
              <w:rPr>
                <w:rFonts w:ascii="宋体"/>
              </w:rPr>
            </w:pPr>
          </w:p>
        </w:tc>
        <w:tc>
          <w:tcPr>
            <w:tcW w:w="383" w:type="pct"/>
            <w:shd w:val="clear" w:color="auto" w:fill="auto"/>
            <w:vAlign w:val="bottom"/>
          </w:tcPr>
          <w:p w14:paraId="392C1BD4" w14:textId="77777777" w:rsidR="00980E5F" w:rsidRDefault="00980E5F">
            <w:pPr>
              <w:rPr>
                <w:rFonts w:ascii="宋体"/>
              </w:rPr>
            </w:pPr>
          </w:p>
        </w:tc>
        <w:tc>
          <w:tcPr>
            <w:tcW w:w="5" w:type="pct"/>
            <w:shd w:val="clear" w:color="auto" w:fill="auto"/>
            <w:vAlign w:val="bottom"/>
          </w:tcPr>
          <w:p w14:paraId="392C1BD5" w14:textId="77777777" w:rsidR="00980E5F" w:rsidRDefault="00980E5F">
            <w:pPr>
              <w:rPr>
                <w:rFonts w:ascii="宋体"/>
              </w:rPr>
            </w:pPr>
          </w:p>
        </w:tc>
        <w:tc>
          <w:tcPr>
            <w:tcW w:w="5" w:type="pct"/>
            <w:shd w:val="clear" w:color="auto" w:fill="auto"/>
            <w:vAlign w:val="bottom"/>
          </w:tcPr>
          <w:p w14:paraId="392C1BD6" w14:textId="77777777" w:rsidR="00980E5F" w:rsidRDefault="00980E5F">
            <w:pPr>
              <w:rPr>
                <w:rFonts w:ascii="宋体"/>
              </w:rPr>
            </w:pPr>
          </w:p>
        </w:tc>
        <w:tc>
          <w:tcPr>
            <w:tcW w:w="26" w:type="pct"/>
            <w:shd w:val="clear" w:color="auto" w:fill="auto"/>
            <w:vAlign w:val="bottom"/>
          </w:tcPr>
          <w:p w14:paraId="392C1BD7" w14:textId="77777777" w:rsidR="00980E5F" w:rsidRDefault="00980E5F">
            <w:pPr>
              <w:rPr>
                <w:rFonts w:ascii="宋体"/>
              </w:rPr>
            </w:pPr>
          </w:p>
        </w:tc>
        <w:tc>
          <w:tcPr>
            <w:tcW w:w="5" w:type="pct"/>
            <w:shd w:val="clear" w:color="auto" w:fill="auto"/>
            <w:vAlign w:val="bottom"/>
          </w:tcPr>
          <w:p w14:paraId="392C1BD8" w14:textId="77777777" w:rsidR="00980E5F" w:rsidRDefault="00980E5F">
            <w:pPr>
              <w:rPr>
                <w:rFonts w:ascii="宋体"/>
              </w:rPr>
            </w:pPr>
          </w:p>
        </w:tc>
        <w:tc>
          <w:tcPr>
            <w:tcW w:w="50" w:type="pct"/>
            <w:shd w:val="clear" w:color="auto" w:fill="auto"/>
            <w:vAlign w:val="bottom"/>
          </w:tcPr>
          <w:p w14:paraId="392C1BD9" w14:textId="77777777" w:rsidR="00980E5F" w:rsidRDefault="00980E5F">
            <w:pPr>
              <w:rPr>
                <w:rFonts w:ascii="宋体"/>
              </w:rPr>
            </w:pPr>
          </w:p>
        </w:tc>
        <w:tc>
          <w:tcPr>
            <w:tcW w:w="383" w:type="pct"/>
            <w:shd w:val="clear" w:color="auto" w:fill="auto"/>
            <w:vAlign w:val="bottom"/>
          </w:tcPr>
          <w:p w14:paraId="392C1BDA" w14:textId="77777777" w:rsidR="00980E5F" w:rsidRDefault="00980E5F">
            <w:pPr>
              <w:rPr>
                <w:rFonts w:ascii="宋体"/>
              </w:rPr>
            </w:pPr>
          </w:p>
        </w:tc>
        <w:tc>
          <w:tcPr>
            <w:tcW w:w="5" w:type="pct"/>
            <w:shd w:val="clear" w:color="auto" w:fill="auto"/>
            <w:vAlign w:val="bottom"/>
          </w:tcPr>
          <w:p w14:paraId="392C1BDB" w14:textId="77777777" w:rsidR="00980E5F" w:rsidRDefault="00980E5F">
            <w:pPr>
              <w:rPr>
                <w:rFonts w:ascii="宋体"/>
              </w:rPr>
            </w:pPr>
          </w:p>
        </w:tc>
        <w:tc>
          <w:tcPr>
            <w:tcW w:w="0" w:type="auto"/>
            <w:shd w:val="clear" w:color="auto" w:fill="auto"/>
            <w:vAlign w:val="bottom"/>
          </w:tcPr>
          <w:p w14:paraId="392C1BDC" w14:textId="77777777" w:rsidR="00980E5F" w:rsidRDefault="00980E5F">
            <w:pPr>
              <w:rPr>
                <w:rFonts w:ascii="宋体"/>
                <w:vanish/>
              </w:rPr>
            </w:pPr>
          </w:p>
        </w:tc>
        <w:tc>
          <w:tcPr>
            <w:tcW w:w="0" w:type="auto"/>
            <w:shd w:val="clear" w:color="auto" w:fill="auto"/>
            <w:vAlign w:val="bottom"/>
          </w:tcPr>
          <w:p w14:paraId="392C1BDD" w14:textId="77777777" w:rsidR="00980E5F" w:rsidRDefault="00980E5F">
            <w:pPr>
              <w:rPr>
                <w:rFonts w:ascii="宋体"/>
                <w:vanish/>
              </w:rPr>
            </w:pPr>
          </w:p>
        </w:tc>
        <w:tc>
          <w:tcPr>
            <w:tcW w:w="5" w:type="pct"/>
            <w:shd w:val="clear" w:color="auto" w:fill="auto"/>
            <w:vAlign w:val="bottom"/>
          </w:tcPr>
          <w:p w14:paraId="392C1BDE" w14:textId="77777777" w:rsidR="00980E5F" w:rsidRDefault="00980E5F">
            <w:pPr>
              <w:rPr>
                <w:rFonts w:ascii="宋体"/>
              </w:rPr>
            </w:pPr>
          </w:p>
        </w:tc>
        <w:tc>
          <w:tcPr>
            <w:tcW w:w="26" w:type="pct"/>
            <w:shd w:val="clear" w:color="auto" w:fill="auto"/>
            <w:vAlign w:val="bottom"/>
          </w:tcPr>
          <w:p w14:paraId="392C1BDF" w14:textId="77777777" w:rsidR="00980E5F" w:rsidRDefault="00980E5F">
            <w:pPr>
              <w:rPr>
                <w:rFonts w:ascii="宋体"/>
              </w:rPr>
            </w:pPr>
          </w:p>
        </w:tc>
        <w:tc>
          <w:tcPr>
            <w:tcW w:w="5" w:type="pct"/>
            <w:shd w:val="clear" w:color="auto" w:fill="auto"/>
            <w:vAlign w:val="bottom"/>
          </w:tcPr>
          <w:p w14:paraId="392C1BE0" w14:textId="77777777" w:rsidR="00980E5F" w:rsidRDefault="00980E5F">
            <w:pPr>
              <w:rPr>
                <w:rFonts w:ascii="宋体"/>
              </w:rPr>
            </w:pPr>
          </w:p>
        </w:tc>
        <w:tc>
          <w:tcPr>
            <w:tcW w:w="50" w:type="pct"/>
            <w:shd w:val="clear" w:color="auto" w:fill="auto"/>
            <w:vAlign w:val="bottom"/>
          </w:tcPr>
          <w:p w14:paraId="392C1BE1" w14:textId="77777777" w:rsidR="00980E5F" w:rsidRDefault="00980E5F">
            <w:pPr>
              <w:rPr>
                <w:rFonts w:ascii="宋体"/>
              </w:rPr>
            </w:pPr>
          </w:p>
        </w:tc>
        <w:tc>
          <w:tcPr>
            <w:tcW w:w="383" w:type="pct"/>
            <w:shd w:val="clear" w:color="auto" w:fill="auto"/>
            <w:vAlign w:val="bottom"/>
          </w:tcPr>
          <w:p w14:paraId="392C1BE2" w14:textId="77777777" w:rsidR="00980E5F" w:rsidRDefault="00980E5F">
            <w:pPr>
              <w:rPr>
                <w:rFonts w:ascii="宋体"/>
              </w:rPr>
            </w:pPr>
          </w:p>
        </w:tc>
        <w:tc>
          <w:tcPr>
            <w:tcW w:w="5" w:type="pct"/>
            <w:shd w:val="clear" w:color="auto" w:fill="auto"/>
            <w:vAlign w:val="bottom"/>
          </w:tcPr>
          <w:p w14:paraId="392C1BE3" w14:textId="77777777" w:rsidR="00980E5F" w:rsidRDefault="00980E5F">
            <w:pPr>
              <w:rPr>
                <w:rFonts w:ascii="宋体"/>
              </w:rPr>
            </w:pPr>
          </w:p>
        </w:tc>
        <w:tc>
          <w:tcPr>
            <w:tcW w:w="5" w:type="pct"/>
            <w:shd w:val="clear" w:color="auto" w:fill="auto"/>
            <w:vAlign w:val="bottom"/>
          </w:tcPr>
          <w:p w14:paraId="392C1BE4" w14:textId="77777777" w:rsidR="00980E5F" w:rsidRDefault="00980E5F">
            <w:pPr>
              <w:rPr>
                <w:rFonts w:ascii="宋体"/>
              </w:rPr>
            </w:pPr>
          </w:p>
        </w:tc>
        <w:tc>
          <w:tcPr>
            <w:tcW w:w="26" w:type="pct"/>
            <w:shd w:val="clear" w:color="auto" w:fill="auto"/>
            <w:vAlign w:val="bottom"/>
          </w:tcPr>
          <w:p w14:paraId="392C1BE5" w14:textId="77777777" w:rsidR="00980E5F" w:rsidRDefault="00980E5F">
            <w:pPr>
              <w:rPr>
                <w:rFonts w:ascii="宋体"/>
              </w:rPr>
            </w:pPr>
          </w:p>
        </w:tc>
        <w:tc>
          <w:tcPr>
            <w:tcW w:w="5" w:type="pct"/>
            <w:shd w:val="clear" w:color="auto" w:fill="auto"/>
            <w:vAlign w:val="bottom"/>
          </w:tcPr>
          <w:p w14:paraId="392C1BE6" w14:textId="77777777" w:rsidR="00980E5F" w:rsidRDefault="00980E5F">
            <w:pPr>
              <w:rPr>
                <w:rFonts w:ascii="宋体"/>
              </w:rPr>
            </w:pPr>
          </w:p>
        </w:tc>
        <w:tc>
          <w:tcPr>
            <w:tcW w:w="50" w:type="pct"/>
            <w:shd w:val="clear" w:color="auto" w:fill="auto"/>
            <w:vAlign w:val="bottom"/>
          </w:tcPr>
          <w:p w14:paraId="392C1BE7" w14:textId="77777777" w:rsidR="00980E5F" w:rsidRDefault="00980E5F">
            <w:pPr>
              <w:rPr>
                <w:rFonts w:ascii="宋体"/>
              </w:rPr>
            </w:pPr>
          </w:p>
        </w:tc>
        <w:tc>
          <w:tcPr>
            <w:tcW w:w="383" w:type="pct"/>
            <w:shd w:val="clear" w:color="auto" w:fill="auto"/>
            <w:vAlign w:val="bottom"/>
          </w:tcPr>
          <w:p w14:paraId="392C1BE8" w14:textId="77777777" w:rsidR="00980E5F" w:rsidRDefault="00980E5F">
            <w:pPr>
              <w:rPr>
                <w:rFonts w:ascii="宋体"/>
              </w:rPr>
            </w:pPr>
          </w:p>
        </w:tc>
        <w:tc>
          <w:tcPr>
            <w:tcW w:w="5" w:type="pct"/>
            <w:shd w:val="clear" w:color="auto" w:fill="auto"/>
            <w:vAlign w:val="bottom"/>
          </w:tcPr>
          <w:p w14:paraId="392C1BE9" w14:textId="77777777" w:rsidR="00980E5F" w:rsidRDefault="00980E5F">
            <w:pPr>
              <w:rPr>
                <w:rFonts w:ascii="宋体"/>
              </w:rPr>
            </w:pPr>
          </w:p>
        </w:tc>
        <w:tc>
          <w:tcPr>
            <w:tcW w:w="5" w:type="pct"/>
            <w:shd w:val="clear" w:color="auto" w:fill="auto"/>
            <w:vAlign w:val="bottom"/>
          </w:tcPr>
          <w:p w14:paraId="392C1BEA" w14:textId="77777777" w:rsidR="00980E5F" w:rsidRDefault="00980E5F">
            <w:pPr>
              <w:rPr>
                <w:rFonts w:ascii="宋体"/>
              </w:rPr>
            </w:pPr>
          </w:p>
        </w:tc>
        <w:tc>
          <w:tcPr>
            <w:tcW w:w="26" w:type="pct"/>
            <w:shd w:val="clear" w:color="auto" w:fill="auto"/>
            <w:vAlign w:val="bottom"/>
          </w:tcPr>
          <w:p w14:paraId="392C1BEB" w14:textId="77777777" w:rsidR="00980E5F" w:rsidRDefault="00980E5F">
            <w:pPr>
              <w:rPr>
                <w:rFonts w:ascii="宋体"/>
              </w:rPr>
            </w:pPr>
          </w:p>
        </w:tc>
        <w:tc>
          <w:tcPr>
            <w:tcW w:w="5" w:type="pct"/>
            <w:shd w:val="clear" w:color="auto" w:fill="auto"/>
            <w:vAlign w:val="bottom"/>
          </w:tcPr>
          <w:p w14:paraId="392C1BEC" w14:textId="77777777" w:rsidR="00980E5F" w:rsidRDefault="00980E5F">
            <w:pPr>
              <w:rPr>
                <w:rFonts w:ascii="宋体"/>
              </w:rPr>
            </w:pPr>
          </w:p>
        </w:tc>
        <w:tc>
          <w:tcPr>
            <w:tcW w:w="50" w:type="pct"/>
            <w:shd w:val="clear" w:color="auto" w:fill="auto"/>
            <w:vAlign w:val="bottom"/>
          </w:tcPr>
          <w:p w14:paraId="392C1BED" w14:textId="77777777" w:rsidR="00980E5F" w:rsidRDefault="00980E5F">
            <w:pPr>
              <w:rPr>
                <w:rFonts w:ascii="宋体"/>
              </w:rPr>
            </w:pPr>
          </w:p>
        </w:tc>
        <w:tc>
          <w:tcPr>
            <w:tcW w:w="383" w:type="pct"/>
            <w:shd w:val="clear" w:color="auto" w:fill="auto"/>
            <w:vAlign w:val="bottom"/>
          </w:tcPr>
          <w:p w14:paraId="392C1BEE" w14:textId="77777777" w:rsidR="00980E5F" w:rsidRDefault="00980E5F">
            <w:pPr>
              <w:rPr>
                <w:rFonts w:ascii="宋体"/>
              </w:rPr>
            </w:pPr>
          </w:p>
        </w:tc>
        <w:tc>
          <w:tcPr>
            <w:tcW w:w="5" w:type="pct"/>
            <w:shd w:val="clear" w:color="auto" w:fill="auto"/>
            <w:vAlign w:val="bottom"/>
          </w:tcPr>
          <w:p w14:paraId="392C1BEF" w14:textId="77777777" w:rsidR="00980E5F" w:rsidRDefault="00980E5F">
            <w:pPr>
              <w:rPr>
                <w:rFonts w:ascii="宋体"/>
              </w:rPr>
            </w:pPr>
          </w:p>
        </w:tc>
        <w:tc>
          <w:tcPr>
            <w:tcW w:w="0" w:type="auto"/>
            <w:shd w:val="clear" w:color="auto" w:fill="auto"/>
            <w:vAlign w:val="bottom"/>
          </w:tcPr>
          <w:p w14:paraId="392C1BF0" w14:textId="77777777" w:rsidR="00980E5F" w:rsidRDefault="00980E5F">
            <w:pPr>
              <w:rPr>
                <w:rFonts w:ascii="宋体"/>
                <w:vanish/>
              </w:rPr>
            </w:pPr>
          </w:p>
        </w:tc>
        <w:tc>
          <w:tcPr>
            <w:tcW w:w="0" w:type="auto"/>
            <w:shd w:val="clear" w:color="auto" w:fill="auto"/>
            <w:vAlign w:val="bottom"/>
          </w:tcPr>
          <w:p w14:paraId="392C1BF1" w14:textId="77777777" w:rsidR="00980E5F" w:rsidRDefault="00980E5F">
            <w:pPr>
              <w:rPr>
                <w:rFonts w:ascii="宋体"/>
                <w:vanish/>
              </w:rPr>
            </w:pPr>
          </w:p>
        </w:tc>
        <w:tc>
          <w:tcPr>
            <w:tcW w:w="5" w:type="pct"/>
            <w:shd w:val="clear" w:color="auto" w:fill="auto"/>
            <w:vAlign w:val="bottom"/>
          </w:tcPr>
          <w:p w14:paraId="392C1BF2" w14:textId="77777777" w:rsidR="00980E5F" w:rsidRDefault="00980E5F">
            <w:pPr>
              <w:rPr>
                <w:rFonts w:ascii="宋体"/>
              </w:rPr>
            </w:pPr>
          </w:p>
        </w:tc>
        <w:tc>
          <w:tcPr>
            <w:tcW w:w="26" w:type="pct"/>
            <w:shd w:val="clear" w:color="auto" w:fill="auto"/>
            <w:vAlign w:val="bottom"/>
          </w:tcPr>
          <w:p w14:paraId="392C1BF3" w14:textId="77777777" w:rsidR="00980E5F" w:rsidRDefault="00980E5F">
            <w:pPr>
              <w:rPr>
                <w:rFonts w:ascii="宋体"/>
              </w:rPr>
            </w:pPr>
          </w:p>
        </w:tc>
        <w:tc>
          <w:tcPr>
            <w:tcW w:w="5" w:type="pct"/>
            <w:shd w:val="clear" w:color="auto" w:fill="auto"/>
            <w:vAlign w:val="bottom"/>
          </w:tcPr>
          <w:p w14:paraId="392C1BF4" w14:textId="77777777" w:rsidR="00980E5F" w:rsidRDefault="00980E5F">
            <w:pPr>
              <w:rPr>
                <w:rFonts w:ascii="宋体"/>
              </w:rPr>
            </w:pPr>
          </w:p>
        </w:tc>
        <w:tc>
          <w:tcPr>
            <w:tcW w:w="50" w:type="pct"/>
            <w:shd w:val="clear" w:color="auto" w:fill="auto"/>
            <w:vAlign w:val="bottom"/>
          </w:tcPr>
          <w:p w14:paraId="392C1BF5" w14:textId="77777777" w:rsidR="00980E5F" w:rsidRDefault="00980E5F">
            <w:pPr>
              <w:rPr>
                <w:rFonts w:ascii="宋体"/>
              </w:rPr>
            </w:pPr>
          </w:p>
        </w:tc>
        <w:tc>
          <w:tcPr>
            <w:tcW w:w="383" w:type="pct"/>
            <w:shd w:val="clear" w:color="auto" w:fill="auto"/>
            <w:vAlign w:val="bottom"/>
          </w:tcPr>
          <w:p w14:paraId="392C1BF6" w14:textId="77777777" w:rsidR="00980E5F" w:rsidRDefault="00980E5F">
            <w:pPr>
              <w:rPr>
                <w:rFonts w:ascii="宋体"/>
              </w:rPr>
            </w:pPr>
          </w:p>
        </w:tc>
        <w:tc>
          <w:tcPr>
            <w:tcW w:w="5" w:type="pct"/>
            <w:shd w:val="clear" w:color="auto" w:fill="auto"/>
            <w:vAlign w:val="bottom"/>
          </w:tcPr>
          <w:p w14:paraId="392C1BF7" w14:textId="77777777" w:rsidR="00980E5F" w:rsidRDefault="00980E5F">
            <w:pPr>
              <w:rPr>
                <w:rFonts w:ascii="宋体"/>
              </w:rPr>
            </w:pPr>
          </w:p>
        </w:tc>
        <w:tc>
          <w:tcPr>
            <w:tcW w:w="5" w:type="pct"/>
            <w:shd w:val="clear" w:color="auto" w:fill="auto"/>
            <w:vAlign w:val="bottom"/>
          </w:tcPr>
          <w:p w14:paraId="392C1BF8" w14:textId="77777777" w:rsidR="00980E5F" w:rsidRDefault="00980E5F">
            <w:pPr>
              <w:rPr>
                <w:rFonts w:ascii="宋体"/>
              </w:rPr>
            </w:pPr>
          </w:p>
        </w:tc>
        <w:tc>
          <w:tcPr>
            <w:tcW w:w="26" w:type="pct"/>
            <w:shd w:val="clear" w:color="auto" w:fill="auto"/>
            <w:vAlign w:val="bottom"/>
          </w:tcPr>
          <w:p w14:paraId="392C1BF9" w14:textId="77777777" w:rsidR="00980E5F" w:rsidRDefault="00980E5F">
            <w:pPr>
              <w:rPr>
                <w:rFonts w:ascii="宋体"/>
              </w:rPr>
            </w:pPr>
          </w:p>
        </w:tc>
        <w:tc>
          <w:tcPr>
            <w:tcW w:w="5" w:type="pct"/>
            <w:shd w:val="clear" w:color="auto" w:fill="auto"/>
            <w:vAlign w:val="bottom"/>
          </w:tcPr>
          <w:p w14:paraId="392C1BFA" w14:textId="77777777" w:rsidR="00980E5F" w:rsidRDefault="00980E5F">
            <w:pPr>
              <w:rPr>
                <w:rFonts w:ascii="宋体"/>
              </w:rPr>
            </w:pPr>
          </w:p>
        </w:tc>
        <w:tc>
          <w:tcPr>
            <w:tcW w:w="50" w:type="pct"/>
            <w:shd w:val="clear" w:color="auto" w:fill="auto"/>
            <w:vAlign w:val="bottom"/>
          </w:tcPr>
          <w:p w14:paraId="392C1BFB" w14:textId="77777777" w:rsidR="00980E5F" w:rsidRDefault="00980E5F">
            <w:pPr>
              <w:rPr>
                <w:rFonts w:ascii="宋体"/>
              </w:rPr>
            </w:pPr>
          </w:p>
        </w:tc>
        <w:tc>
          <w:tcPr>
            <w:tcW w:w="383" w:type="pct"/>
            <w:shd w:val="clear" w:color="auto" w:fill="auto"/>
            <w:vAlign w:val="bottom"/>
          </w:tcPr>
          <w:p w14:paraId="392C1BFC" w14:textId="77777777" w:rsidR="00980E5F" w:rsidRDefault="00980E5F">
            <w:pPr>
              <w:rPr>
                <w:rFonts w:ascii="宋体"/>
              </w:rPr>
            </w:pPr>
          </w:p>
        </w:tc>
        <w:tc>
          <w:tcPr>
            <w:tcW w:w="5" w:type="pct"/>
            <w:shd w:val="clear" w:color="auto" w:fill="auto"/>
            <w:vAlign w:val="bottom"/>
          </w:tcPr>
          <w:p w14:paraId="392C1BFD" w14:textId="77777777" w:rsidR="00980E5F" w:rsidRDefault="00980E5F">
            <w:pPr>
              <w:rPr>
                <w:rFonts w:ascii="宋体"/>
              </w:rPr>
            </w:pPr>
          </w:p>
        </w:tc>
        <w:tc>
          <w:tcPr>
            <w:tcW w:w="5" w:type="pct"/>
            <w:shd w:val="clear" w:color="auto" w:fill="auto"/>
            <w:vAlign w:val="bottom"/>
          </w:tcPr>
          <w:p w14:paraId="392C1BFE" w14:textId="77777777" w:rsidR="00980E5F" w:rsidRDefault="00980E5F">
            <w:pPr>
              <w:rPr>
                <w:rFonts w:ascii="宋体"/>
              </w:rPr>
            </w:pPr>
          </w:p>
        </w:tc>
        <w:tc>
          <w:tcPr>
            <w:tcW w:w="26" w:type="pct"/>
            <w:shd w:val="clear" w:color="auto" w:fill="auto"/>
            <w:vAlign w:val="bottom"/>
          </w:tcPr>
          <w:p w14:paraId="392C1BFF" w14:textId="77777777" w:rsidR="00980E5F" w:rsidRDefault="00980E5F">
            <w:pPr>
              <w:rPr>
                <w:rFonts w:ascii="宋体"/>
              </w:rPr>
            </w:pPr>
          </w:p>
        </w:tc>
        <w:tc>
          <w:tcPr>
            <w:tcW w:w="5" w:type="pct"/>
            <w:shd w:val="clear" w:color="auto" w:fill="auto"/>
            <w:vAlign w:val="bottom"/>
          </w:tcPr>
          <w:p w14:paraId="392C1C00" w14:textId="77777777" w:rsidR="00980E5F" w:rsidRDefault="00980E5F">
            <w:pPr>
              <w:rPr>
                <w:rFonts w:ascii="宋体"/>
              </w:rPr>
            </w:pPr>
          </w:p>
        </w:tc>
      </w:tr>
      <w:tr w:rsidR="00980E5F" w14:paraId="392C1C07" w14:textId="77777777">
        <w:tc>
          <w:tcPr>
            <w:tcW w:w="0" w:type="auto"/>
            <w:gridSpan w:val="46"/>
            <w:shd w:val="clear" w:color="auto" w:fill="auto"/>
            <w:tcMar>
              <w:top w:w="40" w:type="dxa"/>
              <w:left w:w="20" w:type="dxa"/>
              <w:bottom w:w="40" w:type="dxa"/>
              <w:right w:w="20" w:type="dxa"/>
            </w:tcMar>
            <w:vAlign w:val="bottom"/>
          </w:tcPr>
          <w:p w14:paraId="392C1C02" w14:textId="77777777" w:rsidR="00980E5F" w:rsidRDefault="00483613">
            <w:pP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392C1C03" w14:textId="77777777" w:rsidR="00980E5F" w:rsidRDefault="00980E5F">
            <w:pPr>
              <w:rPr>
                <w:rFonts w:ascii="宋体"/>
                <w:vanish/>
              </w:rPr>
            </w:pPr>
          </w:p>
        </w:tc>
        <w:tc>
          <w:tcPr>
            <w:tcW w:w="0" w:type="auto"/>
            <w:gridSpan w:val="3"/>
            <w:shd w:val="clear" w:color="auto" w:fill="auto"/>
            <w:vAlign w:val="bottom"/>
          </w:tcPr>
          <w:p w14:paraId="392C1C04" w14:textId="77777777" w:rsidR="00980E5F" w:rsidRDefault="00980E5F">
            <w:pPr>
              <w:rPr>
                <w:rFonts w:ascii="宋体"/>
                <w:vanish/>
              </w:rPr>
            </w:pPr>
          </w:p>
        </w:tc>
        <w:tc>
          <w:tcPr>
            <w:tcW w:w="0" w:type="auto"/>
            <w:gridSpan w:val="2"/>
            <w:shd w:val="clear" w:color="auto" w:fill="auto"/>
            <w:vAlign w:val="bottom"/>
          </w:tcPr>
          <w:p w14:paraId="392C1C05" w14:textId="77777777" w:rsidR="00980E5F" w:rsidRDefault="00980E5F">
            <w:pPr>
              <w:rPr>
                <w:rFonts w:ascii="宋体"/>
                <w:vanish/>
              </w:rPr>
            </w:pPr>
          </w:p>
        </w:tc>
        <w:tc>
          <w:tcPr>
            <w:tcW w:w="0" w:type="auto"/>
            <w:shd w:val="clear" w:color="auto" w:fill="auto"/>
            <w:vAlign w:val="bottom"/>
          </w:tcPr>
          <w:p w14:paraId="392C1C06" w14:textId="77777777" w:rsidR="00980E5F" w:rsidRDefault="00980E5F">
            <w:pPr>
              <w:rPr>
                <w:rFonts w:ascii="宋体"/>
                <w:vanish/>
              </w:rPr>
            </w:pPr>
          </w:p>
        </w:tc>
      </w:tr>
      <w:tr w:rsidR="00980E5F" w14:paraId="392C1C11" w14:textId="77777777">
        <w:tc>
          <w:tcPr>
            <w:tcW w:w="0" w:type="auto"/>
            <w:gridSpan w:val="3"/>
            <w:shd w:val="clear" w:color="auto" w:fill="auto"/>
            <w:tcMar>
              <w:top w:w="0" w:type="dxa"/>
              <w:left w:w="20" w:type="dxa"/>
              <w:bottom w:w="0" w:type="dxa"/>
              <w:right w:w="20" w:type="dxa"/>
            </w:tcMar>
            <w:vAlign w:val="bottom"/>
          </w:tcPr>
          <w:p w14:paraId="392C1C08"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C09" w14:textId="77777777" w:rsidR="00980E5F" w:rsidRDefault="00483613">
            <w:pPr>
              <w:jc w:val="center"/>
              <w:textAlignment w:val="bottom"/>
            </w:pPr>
            <w:r>
              <w:rPr>
                <w:rFonts w:ascii="Arial" w:eastAsia="宋体" w:hAnsi="Arial" w:cs="Arial"/>
                <w:b/>
                <w:bCs/>
                <w:color w:val="000000"/>
                <w:sz w:val="13"/>
                <w:szCs w:val="13"/>
              </w:rPr>
              <w:t>As of June 30, 2022</w:t>
            </w:r>
          </w:p>
        </w:tc>
        <w:tc>
          <w:tcPr>
            <w:tcW w:w="0" w:type="auto"/>
            <w:shd w:val="clear" w:color="auto" w:fill="auto"/>
            <w:tcMar>
              <w:top w:w="0" w:type="dxa"/>
              <w:left w:w="20" w:type="dxa"/>
              <w:bottom w:w="0" w:type="dxa"/>
              <w:right w:w="20" w:type="dxa"/>
            </w:tcMar>
            <w:vAlign w:val="bottom"/>
          </w:tcPr>
          <w:p w14:paraId="392C1C0A" w14:textId="77777777" w:rsidR="00980E5F" w:rsidRDefault="00980E5F">
            <w:pPr>
              <w:rPr>
                <w:rFonts w:ascii="宋体"/>
              </w:rPr>
            </w:pPr>
          </w:p>
        </w:tc>
        <w:tc>
          <w:tcPr>
            <w:tcW w:w="0" w:type="auto"/>
            <w:gridSpan w:val="13"/>
            <w:shd w:val="clear" w:color="auto" w:fill="auto"/>
            <w:tcMar>
              <w:top w:w="40" w:type="dxa"/>
              <w:left w:w="20" w:type="dxa"/>
              <w:bottom w:w="40" w:type="dxa"/>
              <w:right w:w="20" w:type="dxa"/>
            </w:tcMar>
            <w:vAlign w:val="bottom"/>
          </w:tcPr>
          <w:p w14:paraId="392C1C0B" w14:textId="77777777" w:rsidR="00980E5F" w:rsidRDefault="00483613">
            <w:pPr>
              <w:jc w:val="center"/>
              <w:textAlignment w:val="bottom"/>
            </w:pPr>
            <w:r>
              <w:rPr>
                <w:rFonts w:ascii="Arial" w:eastAsia="宋体" w:hAnsi="Arial" w:cs="Arial"/>
                <w:b/>
                <w:bCs/>
                <w:color w:val="000000"/>
                <w:sz w:val="13"/>
                <w:szCs w:val="13"/>
              </w:rPr>
              <w:t>As of March 31, 2022</w:t>
            </w:r>
          </w:p>
        </w:tc>
        <w:tc>
          <w:tcPr>
            <w:tcW w:w="0" w:type="auto"/>
            <w:gridSpan w:val="3"/>
            <w:shd w:val="clear" w:color="auto" w:fill="auto"/>
            <w:tcMar>
              <w:top w:w="0" w:type="dxa"/>
              <w:left w:w="20" w:type="dxa"/>
              <w:bottom w:w="0" w:type="dxa"/>
              <w:right w:w="20" w:type="dxa"/>
            </w:tcMar>
            <w:vAlign w:val="bottom"/>
          </w:tcPr>
          <w:p w14:paraId="392C1C0C" w14:textId="77777777" w:rsidR="00980E5F" w:rsidRDefault="00980E5F">
            <w:pPr>
              <w:rPr>
                <w:rFonts w:ascii="宋体"/>
              </w:rPr>
            </w:pPr>
          </w:p>
        </w:tc>
        <w:tc>
          <w:tcPr>
            <w:tcW w:w="0" w:type="auto"/>
            <w:gridSpan w:val="11"/>
            <w:shd w:val="clear" w:color="auto" w:fill="auto"/>
            <w:tcMar>
              <w:top w:w="40" w:type="dxa"/>
              <w:left w:w="20" w:type="dxa"/>
              <w:bottom w:w="40" w:type="dxa"/>
              <w:right w:w="20" w:type="dxa"/>
            </w:tcMar>
            <w:vAlign w:val="bottom"/>
          </w:tcPr>
          <w:p w14:paraId="392C1C0D" w14:textId="77777777" w:rsidR="00980E5F" w:rsidRDefault="00483613">
            <w:pPr>
              <w:jc w:val="center"/>
              <w:textAlignment w:val="bottom"/>
            </w:pPr>
            <w:r>
              <w:rPr>
                <w:rFonts w:ascii="Arial" w:eastAsia="宋体" w:hAnsi="Arial" w:cs="Arial"/>
                <w:b/>
                <w:bCs/>
                <w:color w:val="000000"/>
                <w:sz w:val="13"/>
                <w:szCs w:val="13"/>
              </w:rPr>
              <w:t>As of June 30, 2021</w:t>
            </w:r>
          </w:p>
        </w:tc>
        <w:tc>
          <w:tcPr>
            <w:tcW w:w="0" w:type="auto"/>
            <w:gridSpan w:val="3"/>
            <w:shd w:val="clear" w:color="auto" w:fill="auto"/>
            <w:vAlign w:val="bottom"/>
          </w:tcPr>
          <w:p w14:paraId="392C1C0E" w14:textId="77777777" w:rsidR="00980E5F" w:rsidRDefault="00980E5F">
            <w:pPr>
              <w:rPr>
                <w:rFonts w:ascii="宋体"/>
                <w:vanish/>
              </w:rPr>
            </w:pPr>
          </w:p>
        </w:tc>
        <w:tc>
          <w:tcPr>
            <w:tcW w:w="0" w:type="auto"/>
            <w:gridSpan w:val="3"/>
            <w:shd w:val="clear" w:color="auto" w:fill="auto"/>
            <w:vAlign w:val="bottom"/>
          </w:tcPr>
          <w:p w14:paraId="392C1C0F" w14:textId="77777777" w:rsidR="00980E5F" w:rsidRDefault="00980E5F">
            <w:pPr>
              <w:rPr>
                <w:rFonts w:ascii="宋体"/>
                <w:vanish/>
              </w:rPr>
            </w:pPr>
          </w:p>
        </w:tc>
        <w:tc>
          <w:tcPr>
            <w:tcW w:w="0" w:type="auto"/>
            <w:gridSpan w:val="3"/>
            <w:shd w:val="clear" w:color="auto" w:fill="auto"/>
            <w:vAlign w:val="bottom"/>
          </w:tcPr>
          <w:p w14:paraId="392C1C10" w14:textId="77777777" w:rsidR="00980E5F" w:rsidRDefault="00980E5F">
            <w:pPr>
              <w:rPr>
                <w:rFonts w:ascii="宋体"/>
                <w:vanish/>
              </w:rPr>
            </w:pPr>
          </w:p>
        </w:tc>
      </w:tr>
      <w:tr w:rsidR="00980E5F" w14:paraId="392C1C28" w14:textId="77777777">
        <w:tc>
          <w:tcPr>
            <w:tcW w:w="0" w:type="auto"/>
            <w:gridSpan w:val="3"/>
            <w:shd w:val="clear" w:color="auto" w:fill="auto"/>
            <w:tcMar>
              <w:top w:w="40" w:type="dxa"/>
              <w:left w:w="20" w:type="dxa"/>
              <w:bottom w:w="40" w:type="dxa"/>
              <w:right w:w="20" w:type="dxa"/>
            </w:tcMar>
            <w:vAlign w:val="bottom"/>
          </w:tcPr>
          <w:p w14:paraId="392C1C12" w14:textId="77777777" w:rsidR="00980E5F" w:rsidRDefault="00483613">
            <w:pPr>
              <w:spacing w:after="20"/>
              <w:textAlignment w:val="bottom"/>
            </w:pPr>
            <w:r>
              <w:rPr>
                <w:rFonts w:ascii="Arial" w:eastAsia="宋体" w:hAnsi="Arial" w:cs="Arial"/>
                <w:b/>
                <w:bCs/>
                <w:color w:val="000000"/>
                <w:sz w:val="13"/>
                <w:szCs w:val="13"/>
              </w:rPr>
              <w:t xml:space="preserve">(In </w:t>
            </w:r>
            <w:r>
              <w:rPr>
                <w:rFonts w:ascii="Arial" w:eastAsia="宋体" w:hAnsi="Arial" w:cs="Arial"/>
                <w:b/>
                <w:bCs/>
                <w:color w:val="000000"/>
                <w:sz w:val="13"/>
                <w:szCs w:val="13"/>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3" w14:textId="77777777" w:rsidR="00980E5F" w:rsidRDefault="00483613">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1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5" w14:textId="77777777" w:rsidR="00980E5F" w:rsidRDefault="00483613">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1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7" w14:textId="77777777" w:rsidR="00980E5F" w:rsidRDefault="00483613">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392C1C18" w14:textId="77777777" w:rsidR="00980E5F" w:rsidRDefault="00980E5F">
            <w:pPr>
              <w:rPr>
                <w:rFonts w:ascii="宋体"/>
                <w:vanish/>
              </w:rPr>
            </w:pPr>
          </w:p>
        </w:tc>
        <w:tc>
          <w:tcPr>
            <w:tcW w:w="0" w:type="auto"/>
            <w:shd w:val="clear" w:color="auto" w:fill="auto"/>
            <w:vAlign w:val="bottom"/>
          </w:tcPr>
          <w:p w14:paraId="392C1C19"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C1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B" w14:textId="77777777" w:rsidR="00980E5F" w:rsidRDefault="00483613">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1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D" w14:textId="77777777" w:rsidR="00980E5F" w:rsidRDefault="00483613">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1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1F" w14:textId="77777777" w:rsidR="00980E5F" w:rsidRDefault="00483613">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392C1C20" w14:textId="77777777" w:rsidR="00980E5F" w:rsidRDefault="00980E5F">
            <w:pPr>
              <w:rPr>
                <w:rFonts w:ascii="宋体"/>
                <w:vanish/>
              </w:rPr>
            </w:pPr>
          </w:p>
        </w:tc>
        <w:tc>
          <w:tcPr>
            <w:tcW w:w="0" w:type="auto"/>
            <w:shd w:val="clear" w:color="auto" w:fill="auto"/>
            <w:vAlign w:val="bottom"/>
          </w:tcPr>
          <w:p w14:paraId="392C1C2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C2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23" w14:textId="77777777" w:rsidR="00980E5F" w:rsidRDefault="00483613">
            <w:pPr>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2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C25" w14:textId="77777777" w:rsidR="00980E5F" w:rsidRDefault="00483613">
            <w:pPr>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1C26" w14:textId="77777777" w:rsidR="00980E5F" w:rsidRDefault="00980E5F">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392C1C27" w14:textId="77777777" w:rsidR="00980E5F" w:rsidRDefault="00483613">
            <w:pPr>
              <w:jc w:val="center"/>
              <w:textAlignment w:val="bottom"/>
            </w:pPr>
            <w:r>
              <w:rPr>
                <w:rFonts w:ascii="Arial" w:eastAsia="宋体" w:hAnsi="Arial" w:cs="Arial"/>
                <w:b/>
                <w:bCs/>
                <w:color w:val="000000"/>
                <w:sz w:val="13"/>
                <w:szCs w:val="13"/>
              </w:rPr>
              <w:t>Volatility Risk</w:t>
            </w:r>
          </w:p>
        </w:tc>
      </w:tr>
      <w:tr w:rsidR="00980E5F" w14:paraId="392C1C3F" w14:textId="77777777">
        <w:tc>
          <w:tcPr>
            <w:tcW w:w="0" w:type="auto"/>
            <w:gridSpan w:val="3"/>
            <w:shd w:val="clear" w:color="auto" w:fill="auto"/>
            <w:tcMar>
              <w:top w:w="40" w:type="dxa"/>
              <w:left w:w="20" w:type="dxa"/>
              <w:bottom w:w="40" w:type="dxa"/>
              <w:right w:w="20" w:type="dxa"/>
            </w:tcMar>
            <w:vAlign w:val="bottom"/>
          </w:tcPr>
          <w:p w14:paraId="392C1C29" w14:textId="77777777" w:rsidR="00980E5F" w:rsidRDefault="00483613">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C2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C2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2E" w14:textId="77777777" w:rsidR="00980E5F" w:rsidRDefault="00980E5F">
            <w:pPr>
              <w:rPr>
                <w:rFonts w:ascii="宋体"/>
              </w:rPr>
            </w:pPr>
          </w:p>
        </w:tc>
        <w:tc>
          <w:tcPr>
            <w:tcW w:w="0" w:type="auto"/>
            <w:shd w:val="clear" w:color="auto" w:fill="auto"/>
            <w:vAlign w:val="bottom"/>
          </w:tcPr>
          <w:p w14:paraId="392C1C2F" w14:textId="77777777" w:rsidR="00980E5F" w:rsidRDefault="00980E5F">
            <w:pPr>
              <w:rPr>
                <w:rFonts w:ascii="宋体"/>
                <w:vanish/>
              </w:rPr>
            </w:pPr>
          </w:p>
        </w:tc>
        <w:tc>
          <w:tcPr>
            <w:tcW w:w="0" w:type="auto"/>
            <w:shd w:val="clear" w:color="auto" w:fill="auto"/>
            <w:vAlign w:val="bottom"/>
          </w:tcPr>
          <w:p w14:paraId="392C1C30"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C3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3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C3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3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C3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36" w14:textId="77777777" w:rsidR="00980E5F" w:rsidRDefault="00980E5F">
            <w:pPr>
              <w:rPr>
                <w:rFonts w:ascii="宋体"/>
              </w:rPr>
            </w:pPr>
          </w:p>
        </w:tc>
        <w:tc>
          <w:tcPr>
            <w:tcW w:w="0" w:type="auto"/>
            <w:shd w:val="clear" w:color="auto" w:fill="auto"/>
            <w:vAlign w:val="bottom"/>
          </w:tcPr>
          <w:p w14:paraId="392C1C37" w14:textId="77777777" w:rsidR="00980E5F" w:rsidRDefault="00980E5F">
            <w:pPr>
              <w:rPr>
                <w:rFonts w:ascii="宋体"/>
                <w:vanish/>
              </w:rPr>
            </w:pPr>
          </w:p>
        </w:tc>
        <w:tc>
          <w:tcPr>
            <w:tcW w:w="0" w:type="auto"/>
            <w:shd w:val="clear" w:color="auto" w:fill="auto"/>
            <w:vAlign w:val="bottom"/>
          </w:tcPr>
          <w:p w14:paraId="392C1C3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C3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3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C3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C3C"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1C3D"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1C3E" w14:textId="77777777" w:rsidR="00980E5F" w:rsidRDefault="00980E5F">
            <w:pPr>
              <w:rPr>
                <w:rFonts w:ascii="宋体"/>
              </w:rPr>
            </w:pPr>
          </w:p>
        </w:tc>
      </w:tr>
      <w:tr w:rsidR="00483613" w14:paraId="392C1C67" w14:textId="77777777">
        <w:tc>
          <w:tcPr>
            <w:tcW w:w="0" w:type="auto"/>
            <w:gridSpan w:val="3"/>
            <w:shd w:val="clear" w:color="auto" w:fill="CCEEFF"/>
            <w:tcMar>
              <w:top w:w="40" w:type="dxa"/>
              <w:left w:w="20" w:type="dxa"/>
              <w:bottom w:w="40" w:type="dxa"/>
              <w:right w:w="20" w:type="dxa"/>
            </w:tcMar>
            <w:vAlign w:val="bottom"/>
          </w:tcPr>
          <w:p w14:paraId="392C1C40" w14:textId="77777777" w:rsidR="00980E5F" w:rsidRDefault="00483613">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392C1C41"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C42" w14:textId="77777777" w:rsidR="00980E5F" w:rsidRDefault="00483613">
            <w:pPr>
              <w:jc w:val="right"/>
              <w:textAlignment w:val="bottom"/>
            </w:pPr>
            <w:r>
              <w:rPr>
                <w:rFonts w:ascii="Arial" w:eastAsia="宋体" w:hAnsi="Arial" w:cs="Arial"/>
                <w:b/>
                <w:bCs/>
                <w:color w:val="000000"/>
                <w:sz w:val="13"/>
                <w:szCs w:val="13"/>
              </w:rPr>
              <w:t>6,109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C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4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4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C46" w14:textId="77777777" w:rsidR="00980E5F" w:rsidRDefault="00483613">
            <w:pPr>
              <w:jc w:val="right"/>
              <w:textAlignment w:val="bottom"/>
            </w:pPr>
            <w:r>
              <w:rPr>
                <w:rFonts w:ascii="Arial" w:eastAsia="宋体" w:hAnsi="Arial" w:cs="Arial"/>
                <w:b/>
                <w:bCs/>
                <w:color w:val="000000"/>
                <w:sz w:val="13"/>
                <w:szCs w:val="13"/>
              </w:rPr>
              <w:t>6,010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C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4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49"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C4A" w14:textId="77777777" w:rsidR="00980E5F" w:rsidRDefault="00483613">
            <w:pPr>
              <w:jc w:val="right"/>
              <w:textAlignment w:val="bottom"/>
            </w:pPr>
            <w:r>
              <w:rPr>
                <w:rFonts w:ascii="Arial" w:eastAsia="宋体" w:hAnsi="Arial" w:cs="Arial"/>
                <w:b/>
                <w:bCs/>
                <w:color w:val="000000"/>
                <w:sz w:val="13"/>
                <w:szCs w:val="13"/>
              </w:rPr>
              <w:t>127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C4B" w14:textId="77777777" w:rsidR="00980E5F" w:rsidRDefault="00980E5F">
            <w:pPr>
              <w:jc w:val="right"/>
              <w:rPr>
                <w:rFonts w:ascii="宋体"/>
              </w:rPr>
            </w:pPr>
          </w:p>
        </w:tc>
        <w:tc>
          <w:tcPr>
            <w:tcW w:w="0" w:type="auto"/>
            <w:shd w:val="clear" w:color="auto" w:fill="auto"/>
            <w:vAlign w:val="bottom"/>
          </w:tcPr>
          <w:p w14:paraId="392C1C4C" w14:textId="77777777" w:rsidR="00980E5F" w:rsidRDefault="00980E5F">
            <w:pPr>
              <w:rPr>
                <w:rFonts w:ascii="宋体"/>
                <w:vanish/>
              </w:rPr>
            </w:pPr>
          </w:p>
        </w:tc>
        <w:tc>
          <w:tcPr>
            <w:tcW w:w="0" w:type="auto"/>
            <w:shd w:val="clear" w:color="auto" w:fill="auto"/>
            <w:vAlign w:val="bottom"/>
          </w:tcPr>
          <w:p w14:paraId="392C1C4D"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C4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4F"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C50" w14:textId="77777777" w:rsidR="00980E5F" w:rsidRDefault="00483613">
            <w:pPr>
              <w:jc w:val="right"/>
              <w:textAlignment w:val="bottom"/>
            </w:pPr>
            <w:r>
              <w:rPr>
                <w:rFonts w:ascii="Arial" w:eastAsia="宋体" w:hAnsi="Arial" w:cs="Arial"/>
                <w:color w:val="000000"/>
                <w:sz w:val="13"/>
                <w:szCs w:val="13"/>
              </w:rPr>
              <w:t>2,512 </w:t>
            </w:r>
          </w:p>
        </w:tc>
        <w:tc>
          <w:tcPr>
            <w:tcW w:w="0" w:type="auto"/>
            <w:shd w:val="clear" w:color="auto" w:fill="CCEEFF"/>
            <w:tcMar>
              <w:top w:w="40" w:type="dxa"/>
              <w:left w:w="0" w:type="dxa"/>
              <w:bottom w:w="40" w:type="dxa"/>
              <w:right w:w="20" w:type="dxa"/>
            </w:tcMar>
            <w:vAlign w:val="bottom"/>
          </w:tcPr>
          <w:p w14:paraId="392C1C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5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53"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C54" w14:textId="77777777" w:rsidR="00980E5F" w:rsidRDefault="00483613">
            <w:pPr>
              <w:jc w:val="right"/>
              <w:textAlignment w:val="bottom"/>
            </w:pPr>
            <w:r>
              <w:rPr>
                <w:rFonts w:ascii="Arial" w:eastAsia="宋体" w:hAnsi="Arial" w:cs="Arial"/>
                <w:color w:val="000000"/>
                <w:sz w:val="13"/>
                <w:szCs w:val="13"/>
              </w:rPr>
              <w:t>3,368 </w:t>
            </w:r>
          </w:p>
        </w:tc>
        <w:tc>
          <w:tcPr>
            <w:tcW w:w="0" w:type="auto"/>
            <w:shd w:val="clear" w:color="auto" w:fill="CCEEFF"/>
            <w:tcMar>
              <w:top w:w="40" w:type="dxa"/>
              <w:left w:w="0" w:type="dxa"/>
              <w:bottom w:w="40" w:type="dxa"/>
              <w:right w:w="20" w:type="dxa"/>
            </w:tcMar>
            <w:vAlign w:val="bottom"/>
          </w:tcPr>
          <w:p w14:paraId="392C1C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5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57"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C58" w14:textId="77777777" w:rsidR="00980E5F" w:rsidRDefault="00483613">
            <w:pPr>
              <w:jc w:val="right"/>
              <w:textAlignment w:val="bottom"/>
            </w:pPr>
            <w:r>
              <w:rPr>
                <w:rFonts w:ascii="Arial" w:eastAsia="宋体" w:hAnsi="Arial" w:cs="Arial"/>
                <w:color w:val="000000"/>
                <w:sz w:val="13"/>
                <w:szCs w:val="13"/>
              </w:rPr>
              <w:t>495 </w:t>
            </w:r>
          </w:p>
        </w:tc>
        <w:tc>
          <w:tcPr>
            <w:tcW w:w="0" w:type="auto"/>
            <w:shd w:val="clear" w:color="auto" w:fill="CCEEFF"/>
            <w:tcMar>
              <w:top w:w="40" w:type="dxa"/>
              <w:left w:w="0" w:type="dxa"/>
              <w:bottom w:w="40" w:type="dxa"/>
              <w:right w:w="20" w:type="dxa"/>
            </w:tcMar>
            <w:vAlign w:val="bottom"/>
          </w:tcPr>
          <w:p w14:paraId="392C1C59" w14:textId="77777777" w:rsidR="00980E5F" w:rsidRDefault="00980E5F">
            <w:pPr>
              <w:jc w:val="right"/>
              <w:rPr>
                <w:rFonts w:ascii="宋体"/>
              </w:rPr>
            </w:pPr>
          </w:p>
        </w:tc>
        <w:tc>
          <w:tcPr>
            <w:tcW w:w="0" w:type="auto"/>
            <w:shd w:val="clear" w:color="auto" w:fill="auto"/>
            <w:vAlign w:val="bottom"/>
          </w:tcPr>
          <w:p w14:paraId="392C1C5A" w14:textId="77777777" w:rsidR="00980E5F" w:rsidRDefault="00980E5F">
            <w:pPr>
              <w:rPr>
                <w:rFonts w:ascii="宋体"/>
                <w:vanish/>
              </w:rPr>
            </w:pPr>
          </w:p>
        </w:tc>
        <w:tc>
          <w:tcPr>
            <w:tcW w:w="0" w:type="auto"/>
            <w:shd w:val="clear" w:color="auto" w:fill="auto"/>
            <w:vAlign w:val="bottom"/>
          </w:tcPr>
          <w:p w14:paraId="392C1C5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C5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5D"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C5E" w14:textId="77777777" w:rsidR="00980E5F" w:rsidRDefault="00483613">
            <w:pPr>
              <w:jc w:val="right"/>
              <w:textAlignment w:val="bottom"/>
            </w:pPr>
            <w:r>
              <w:rPr>
                <w:rFonts w:ascii="Arial" w:eastAsia="宋体" w:hAnsi="Arial" w:cs="Arial"/>
                <w:color w:val="000000"/>
                <w:sz w:val="13"/>
                <w:szCs w:val="13"/>
              </w:rPr>
              <w:t>6,859 </w:t>
            </w:r>
          </w:p>
        </w:tc>
        <w:tc>
          <w:tcPr>
            <w:tcW w:w="0" w:type="auto"/>
            <w:shd w:val="clear" w:color="auto" w:fill="CCEEFF"/>
            <w:tcMar>
              <w:top w:w="40" w:type="dxa"/>
              <w:left w:w="0" w:type="dxa"/>
              <w:bottom w:w="40" w:type="dxa"/>
              <w:right w:w="20" w:type="dxa"/>
            </w:tcMar>
            <w:vAlign w:val="bottom"/>
          </w:tcPr>
          <w:p w14:paraId="392C1C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6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61"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C62" w14:textId="77777777" w:rsidR="00980E5F" w:rsidRDefault="00483613">
            <w:pPr>
              <w:jc w:val="right"/>
              <w:textAlignment w:val="bottom"/>
            </w:pPr>
            <w:r>
              <w:rPr>
                <w:rFonts w:ascii="Arial" w:eastAsia="宋体" w:hAnsi="Arial" w:cs="Arial"/>
                <w:color w:val="000000"/>
                <w:sz w:val="13"/>
                <w:szCs w:val="13"/>
              </w:rPr>
              <w:t>16,327 </w:t>
            </w:r>
          </w:p>
        </w:tc>
        <w:tc>
          <w:tcPr>
            <w:tcW w:w="0" w:type="auto"/>
            <w:shd w:val="clear" w:color="auto" w:fill="CCEEFF"/>
            <w:tcMar>
              <w:top w:w="40" w:type="dxa"/>
              <w:left w:w="0" w:type="dxa"/>
              <w:bottom w:w="40" w:type="dxa"/>
              <w:right w:w="20" w:type="dxa"/>
            </w:tcMar>
            <w:vAlign w:val="bottom"/>
          </w:tcPr>
          <w:p w14:paraId="392C1C63"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C6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65" w14:textId="77777777" w:rsidR="00980E5F" w:rsidRDefault="00483613">
            <w:pPr>
              <w:textAlignment w:val="bottom"/>
            </w:pPr>
            <w:r>
              <w:rPr>
                <w:rFonts w:ascii="Arial" w:eastAsia="宋体" w:hAnsi="Arial" w:cs="Arial"/>
                <w:color w:val="000000"/>
                <w:sz w:val="13"/>
                <w:szCs w:val="13"/>
              </w:rPr>
              <w:t>$</w:t>
            </w:r>
          </w:p>
          <w:p w14:paraId="392C1C66" w14:textId="77777777" w:rsidR="00980E5F" w:rsidRDefault="00483613">
            <w:pPr>
              <w:jc w:val="right"/>
              <w:textAlignment w:val="bottom"/>
            </w:pPr>
            <w:r>
              <w:rPr>
                <w:rFonts w:ascii="Arial" w:eastAsia="宋体" w:hAnsi="Arial" w:cs="Arial"/>
                <w:color w:val="000000"/>
                <w:sz w:val="13"/>
                <w:szCs w:val="13"/>
              </w:rPr>
              <w:t>701 </w:t>
            </w:r>
          </w:p>
        </w:tc>
      </w:tr>
      <w:tr w:rsidR="00980E5F" w14:paraId="392C1C86" w14:textId="77777777">
        <w:tc>
          <w:tcPr>
            <w:tcW w:w="0" w:type="auto"/>
            <w:gridSpan w:val="3"/>
            <w:shd w:val="clear" w:color="auto" w:fill="FFFFFF"/>
            <w:tcMar>
              <w:top w:w="40" w:type="dxa"/>
              <w:left w:w="20" w:type="dxa"/>
              <w:bottom w:w="40" w:type="dxa"/>
              <w:right w:w="20" w:type="dxa"/>
            </w:tcMar>
            <w:vAlign w:val="bottom"/>
          </w:tcPr>
          <w:p w14:paraId="392C1C68" w14:textId="77777777" w:rsidR="00980E5F" w:rsidRDefault="00483613">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392C1C69" w14:textId="77777777" w:rsidR="00980E5F" w:rsidRDefault="00483613">
            <w:pPr>
              <w:jc w:val="right"/>
              <w:textAlignment w:val="bottom"/>
            </w:pPr>
            <w:r>
              <w:rPr>
                <w:rFonts w:ascii="Arial" w:eastAsia="宋体" w:hAnsi="Arial" w:cs="Arial"/>
                <w:b/>
                <w:bCs/>
                <w:color w:val="000000"/>
                <w:sz w:val="13"/>
                <w:szCs w:val="13"/>
              </w:rPr>
              <w:t>750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C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6C" w14:textId="77777777" w:rsidR="00980E5F" w:rsidRDefault="00483613">
            <w:pPr>
              <w:jc w:val="right"/>
              <w:textAlignment w:val="bottom"/>
            </w:pPr>
            <w:r>
              <w:rPr>
                <w:rFonts w:ascii="Arial" w:eastAsia="宋体" w:hAnsi="Arial" w:cs="Arial"/>
                <w:b/>
                <w:bCs/>
                <w:color w:val="000000"/>
                <w:sz w:val="13"/>
                <w:szCs w:val="13"/>
              </w:rPr>
              <w:t>1,538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C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6F"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C70" w14:textId="77777777" w:rsidR="00980E5F" w:rsidRDefault="00980E5F">
            <w:pPr>
              <w:jc w:val="right"/>
              <w:rPr>
                <w:rFonts w:ascii="宋体"/>
              </w:rPr>
            </w:pPr>
          </w:p>
        </w:tc>
        <w:tc>
          <w:tcPr>
            <w:tcW w:w="0" w:type="auto"/>
            <w:shd w:val="clear" w:color="auto" w:fill="auto"/>
            <w:vAlign w:val="bottom"/>
          </w:tcPr>
          <w:p w14:paraId="392C1C71" w14:textId="77777777" w:rsidR="00980E5F" w:rsidRDefault="00980E5F">
            <w:pPr>
              <w:rPr>
                <w:rFonts w:ascii="宋体"/>
                <w:vanish/>
              </w:rPr>
            </w:pPr>
          </w:p>
        </w:tc>
        <w:tc>
          <w:tcPr>
            <w:tcW w:w="0" w:type="auto"/>
            <w:shd w:val="clear" w:color="auto" w:fill="auto"/>
            <w:vAlign w:val="bottom"/>
          </w:tcPr>
          <w:p w14:paraId="392C1C7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C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74" w14:textId="77777777" w:rsidR="00980E5F" w:rsidRDefault="00483613">
            <w:pPr>
              <w:jc w:val="right"/>
              <w:textAlignment w:val="bottom"/>
            </w:pPr>
            <w:r>
              <w:rPr>
                <w:rFonts w:ascii="Arial" w:eastAsia="宋体" w:hAnsi="Arial" w:cs="Arial"/>
                <w:color w:val="000000"/>
                <w:sz w:val="13"/>
                <w:szCs w:val="13"/>
              </w:rPr>
              <w:t>889 </w:t>
            </w:r>
          </w:p>
        </w:tc>
        <w:tc>
          <w:tcPr>
            <w:tcW w:w="0" w:type="auto"/>
            <w:shd w:val="clear" w:color="auto" w:fill="FFFFFF"/>
            <w:tcMar>
              <w:top w:w="40" w:type="dxa"/>
              <w:left w:w="0" w:type="dxa"/>
              <w:bottom w:w="40" w:type="dxa"/>
              <w:right w:w="20" w:type="dxa"/>
            </w:tcMar>
            <w:vAlign w:val="bottom"/>
          </w:tcPr>
          <w:p w14:paraId="392C1C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77" w14:textId="77777777" w:rsidR="00980E5F" w:rsidRDefault="00483613">
            <w:pPr>
              <w:jc w:val="right"/>
              <w:textAlignment w:val="bottom"/>
            </w:pPr>
            <w:r>
              <w:rPr>
                <w:rFonts w:ascii="Arial" w:eastAsia="宋体" w:hAnsi="Arial" w:cs="Arial"/>
                <w:color w:val="000000"/>
                <w:sz w:val="13"/>
                <w:szCs w:val="13"/>
              </w:rPr>
              <w:t>815 </w:t>
            </w:r>
          </w:p>
        </w:tc>
        <w:tc>
          <w:tcPr>
            <w:tcW w:w="0" w:type="auto"/>
            <w:shd w:val="clear" w:color="auto" w:fill="FFFFFF"/>
            <w:tcMar>
              <w:top w:w="40" w:type="dxa"/>
              <w:left w:w="0" w:type="dxa"/>
              <w:bottom w:w="40" w:type="dxa"/>
              <w:right w:w="20" w:type="dxa"/>
            </w:tcMar>
            <w:vAlign w:val="bottom"/>
          </w:tcPr>
          <w:p w14:paraId="392C1C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7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7A"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C7B" w14:textId="77777777" w:rsidR="00980E5F" w:rsidRDefault="00980E5F">
            <w:pPr>
              <w:jc w:val="right"/>
              <w:rPr>
                <w:rFonts w:ascii="宋体"/>
              </w:rPr>
            </w:pPr>
          </w:p>
        </w:tc>
        <w:tc>
          <w:tcPr>
            <w:tcW w:w="0" w:type="auto"/>
            <w:shd w:val="clear" w:color="auto" w:fill="auto"/>
            <w:vAlign w:val="bottom"/>
          </w:tcPr>
          <w:p w14:paraId="392C1C7C" w14:textId="77777777" w:rsidR="00980E5F" w:rsidRDefault="00980E5F">
            <w:pPr>
              <w:rPr>
                <w:rFonts w:ascii="宋体"/>
                <w:vanish/>
              </w:rPr>
            </w:pPr>
          </w:p>
        </w:tc>
        <w:tc>
          <w:tcPr>
            <w:tcW w:w="0" w:type="auto"/>
            <w:shd w:val="clear" w:color="auto" w:fill="auto"/>
            <w:vAlign w:val="bottom"/>
          </w:tcPr>
          <w:p w14:paraId="392C1C7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C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7F" w14:textId="77777777" w:rsidR="00980E5F" w:rsidRDefault="00483613">
            <w:pPr>
              <w:jc w:val="right"/>
              <w:textAlignment w:val="bottom"/>
            </w:pPr>
            <w:r>
              <w:rPr>
                <w:rFonts w:ascii="Arial" w:eastAsia="宋体" w:hAnsi="Arial" w:cs="Arial"/>
                <w:color w:val="000000"/>
                <w:sz w:val="13"/>
                <w:szCs w:val="13"/>
              </w:rPr>
              <w:t>97 </w:t>
            </w:r>
          </w:p>
        </w:tc>
        <w:tc>
          <w:tcPr>
            <w:tcW w:w="0" w:type="auto"/>
            <w:shd w:val="clear" w:color="auto" w:fill="FFFFFF"/>
            <w:tcMar>
              <w:top w:w="40" w:type="dxa"/>
              <w:left w:w="0" w:type="dxa"/>
              <w:bottom w:w="40" w:type="dxa"/>
              <w:right w:w="20" w:type="dxa"/>
            </w:tcMar>
            <w:vAlign w:val="bottom"/>
          </w:tcPr>
          <w:p w14:paraId="392C1C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8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C82" w14:textId="77777777" w:rsidR="00980E5F" w:rsidRDefault="00483613">
            <w:pPr>
              <w:jc w:val="right"/>
              <w:textAlignment w:val="bottom"/>
            </w:pPr>
            <w:r>
              <w:rPr>
                <w:rFonts w:ascii="Arial" w:eastAsia="宋体" w:hAnsi="Arial" w:cs="Arial"/>
                <w:color w:val="000000"/>
                <w:sz w:val="13"/>
                <w:szCs w:val="13"/>
              </w:rPr>
              <w:t>3,950 </w:t>
            </w:r>
          </w:p>
        </w:tc>
        <w:tc>
          <w:tcPr>
            <w:tcW w:w="0" w:type="auto"/>
            <w:shd w:val="clear" w:color="auto" w:fill="FFFFFF"/>
            <w:tcMar>
              <w:top w:w="40" w:type="dxa"/>
              <w:left w:w="0" w:type="dxa"/>
              <w:bottom w:w="40" w:type="dxa"/>
              <w:right w:w="20" w:type="dxa"/>
            </w:tcMar>
            <w:vAlign w:val="bottom"/>
          </w:tcPr>
          <w:p w14:paraId="392C1C83"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C8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C85" w14:textId="77777777" w:rsidR="00980E5F" w:rsidRDefault="00483613">
            <w:pPr>
              <w:jc w:val="right"/>
              <w:textAlignment w:val="bottom"/>
            </w:pPr>
            <w:r>
              <w:rPr>
                <w:rFonts w:ascii="Arial" w:eastAsia="宋体" w:hAnsi="Arial" w:cs="Arial"/>
                <w:color w:val="000000"/>
                <w:sz w:val="13"/>
                <w:szCs w:val="13"/>
              </w:rPr>
              <w:t>— </w:t>
            </w:r>
          </w:p>
        </w:tc>
      </w:tr>
      <w:tr w:rsidR="00980E5F" w14:paraId="392C1CA5" w14:textId="77777777">
        <w:tc>
          <w:tcPr>
            <w:tcW w:w="0" w:type="auto"/>
            <w:gridSpan w:val="3"/>
            <w:shd w:val="clear" w:color="auto" w:fill="CCEEFF"/>
            <w:tcMar>
              <w:top w:w="40" w:type="dxa"/>
              <w:left w:w="20" w:type="dxa"/>
              <w:bottom w:w="40" w:type="dxa"/>
              <w:right w:w="20" w:type="dxa"/>
            </w:tcMar>
            <w:vAlign w:val="bottom"/>
          </w:tcPr>
          <w:p w14:paraId="392C1C87" w14:textId="77777777" w:rsidR="00980E5F" w:rsidRDefault="00483613">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392C1C88" w14:textId="77777777" w:rsidR="00980E5F" w:rsidRDefault="00483613">
            <w:pPr>
              <w:jc w:val="right"/>
              <w:textAlignment w:val="bottom"/>
            </w:pPr>
            <w:r>
              <w:rPr>
                <w:rFonts w:ascii="Arial" w:eastAsia="宋体" w:hAnsi="Arial" w:cs="Arial"/>
                <w:b/>
                <w:bCs/>
                <w:color w:val="000000"/>
                <w:sz w:val="13"/>
                <w:szCs w:val="13"/>
              </w:rPr>
              <w:t>(529)</w:t>
            </w:r>
          </w:p>
        </w:tc>
        <w:tc>
          <w:tcPr>
            <w:tcW w:w="0" w:type="auto"/>
            <w:shd w:val="clear" w:color="auto" w:fill="CCEEFF"/>
            <w:tcMar>
              <w:top w:w="40" w:type="dxa"/>
              <w:left w:w="0" w:type="dxa"/>
              <w:bottom w:w="40" w:type="dxa"/>
              <w:right w:w="20" w:type="dxa"/>
            </w:tcMar>
            <w:vAlign w:val="bottom"/>
          </w:tcPr>
          <w:p w14:paraId="392C1C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8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8B" w14:textId="77777777" w:rsidR="00980E5F" w:rsidRDefault="00483613">
            <w:pPr>
              <w:jc w:val="right"/>
              <w:textAlignment w:val="bottom"/>
            </w:pPr>
            <w:r>
              <w:rPr>
                <w:rFonts w:ascii="Arial" w:eastAsia="宋体" w:hAnsi="Arial" w:cs="Arial"/>
                <w:b/>
                <w:bCs/>
                <w:color w:val="000000"/>
                <w:sz w:val="13"/>
                <w:szCs w:val="13"/>
              </w:rPr>
              <w:t>(2,469)</w:t>
            </w:r>
          </w:p>
        </w:tc>
        <w:tc>
          <w:tcPr>
            <w:tcW w:w="0" w:type="auto"/>
            <w:shd w:val="clear" w:color="auto" w:fill="CCEEFF"/>
            <w:tcMar>
              <w:top w:w="40" w:type="dxa"/>
              <w:left w:w="0" w:type="dxa"/>
              <w:bottom w:w="40" w:type="dxa"/>
              <w:right w:w="20" w:type="dxa"/>
            </w:tcMar>
            <w:vAlign w:val="bottom"/>
          </w:tcPr>
          <w:p w14:paraId="392C1C8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8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8E"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C8F" w14:textId="77777777" w:rsidR="00980E5F" w:rsidRDefault="00980E5F">
            <w:pPr>
              <w:jc w:val="right"/>
              <w:rPr>
                <w:rFonts w:ascii="宋体"/>
              </w:rPr>
            </w:pPr>
          </w:p>
        </w:tc>
        <w:tc>
          <w:tcPr>
            <w:tcW w:w="0" w:type="auto"/>
            <w:shd w:val="clear" w:color="auto" w:fill="auto"/>
            <w:vAlign w:val="bottom"/>
          </w:tcPr>
          <w:p w14:paraId="392C1C90" w14:textId="77777777" w:rsidR="00980E5F" w:rsidRDefault="00980E5F">
            <w:pPr>
              <w:rPr>
                <w:rFonts w:ascii="宋体"/>
                <w:vanish/>
              </w:rPr>
            </w:pPr>
          </w:p>
        </w:tc>
        <w:tc>
          <w:tcPr>
            <w:tcW w:w="0" w:type="auto"/>
            <w:shd w:val="clear" w:color="auto" w:fill="auto"/>
            <w:vAlign w:val="bottom"/>
          </w:tcPr>
          <w:p w14:paraId="392C1C91"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C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93" w14:textId="77777777" w:rsidR="00980E5F" w:rsidRDefault="00483613">
            <w:pPr>
              <w:jc w:val="right"/>
              <w:textAlignment w:val="bottom"/>
            </w:pPr>
            <w:r>
              <w:rPr>
                <w:rFonts w:ascii="Arial" w:eastAsia="宋体" w:hAnsi="Arial" w:cs="Arial"/>
                <w:color w:val="000000"/>
                <w:sz w:val="13"/>
                <w:szCs w:val="13"/>
              </w:rPr>
              <w:t>(869)</w:t>
            </w:r>
          </w:p>
        </w:tc>
        <w:tc>
          <w:tcPr>
            <w:tcW w:w="0" w:type="auto"/>
            <w:shd w:val="clear" w:color="auto" w:fill="CCEEFF"/>
            <w:tcMar>
              <w:top w:w="40" w:type="dxa"/>
              <w:left w:w="0" w:type="dxa"/>
              <w:bottom w:w="40" w:type="dxa"/>
              <w:right w:w="20" w:type="dxa"/>
            </w:tcMar>
            <w:vAlign w:val="bottom"/>
          </w:tcPr>
          <w:p w14:paraId="392C1C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9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96" w14:textId="77777777" w:rsidR="00980E5F" w:rsidRDefault="00483613">
            <w:pPr>
              <w:jc w:val="right"/>
              <w:textAlignment w:val="bottom"/>
            </w:pPr>
            <w:r>
              <w:rPr>
                <w:rFonts w:ascii="Arial" w:eastAsia="宋体" w:hAnsi="Arial" w:cs="Arial"/>
                <w:color w:val="000000"/>
                <w:sz w:val="13"/>
                <w:szCs w:val="13"/>
              </w:rPr>
              <w:t>(899)</w:t>
            </w:r>
          </w:p>
        </w:tc>
        <w:tc>
          <w:tcPr>
            <w:tcW w:w="0" w:type="auto"/>
            <w:shd w:val="clear" w:color="auto" w:fill="CCEEFF"/>
            <w:tcMar>
              <w:top w:w="40" w:type="dxa"/>
              <w:left w:w="0" w:type="dxa"/>
              <w:bottom w:w="40" w:type="dxa"/>
              <w:right w:w="20" w:type="dxa"/>
            </w:tcMar>
            <w:vAlign w:val="bottom"/>
          </w:tcPr>
          <w:p w14:paraId="392C1C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9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9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C9A" w14:textId="77777777" w:rsidR="00980E5F" w:rsidRDefault="00980E5F">
            <w:pPr>
              <w:jc w:val="right"/>
              <w:rPr>
                <w:rFonts w:ascii="宋体"/>
              </w:rPr>
            </w:pPr>
          </w:p>
        </w:tc>
        <w:tc>
          <w:tcPr>
            <w:tcW w:w="0" w:type="auto"/>
            <w:shd w:val="clear" w:color="auto" w:fill="auto"/>
            <w:vAlign w:val="bottom"/>
          </w:tcPr>
          <w:p w14:paraId="392C1C9B" w14:textId="77777777" w:rsidR="00980E5F" w:rsidRDefault="00980E5F">
            <w:pPr>
              <w:rPr>
                <w:rFonts w:ascii="宋体"/>
                <w:vanish/>
              </w:rPr>
            </w:pPr>
          </w:p>
        </w:tc>
        <w:tc>
          <w:tcPr>
            <w:tcW w:w="0" w:type="auto"/>
            <w:shd w:val="clear" w:color="auto" w:fill="auto"/>
            <w:vAlign w:val="bottom"/>
          </w:tcPr>
          <w:p w14:paraId="392C1C9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C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9E" w14:textId="77777777" w:rsidR="00980E5F" w:rsidRDefault="00483613">
            <w:pPr>
              <w:jc w:val="right"/>
              <w:textAlignment w:val="bottom"/>
            </w:pPr>
            <w:r>
              <w:rPr>
                <w:rFonts w:ascii="Arial" w:eastAsia="宋体" w:hAnsi="Arial" w:cs="Arial"/>
                <w:color w:val="000000"/>
                <w:sz w:val="13"/>
                <w:szCs w:val="13"/>
              </w:rPr>
              <w:t>(234)</w:t>
            </w:r>
          </w:p>
        </w:tc>
        <w:tc>
          <w:tcPr>
            <w:tcW w:w="0" w:type="auto"/>
            <w:shd w:val="clear" w:color="auto" w:fill="CCEEFF"/>
            <w:tcMar>
              <w:top w:w="40" w:type="dxa"/>
              <w:left w:w="0" w:type="dxa"/>
              <w:bottom w:w="40" w:type="dxa"/>
              <w:right w:w="20" w:type="dxa"/>
            </w:tcMar>
            <w:vAlign w:val="bottom"/>
          </w:tcPr>
          <w:p w14:paraId="392C1C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C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CA1" w14:textId="77777777" w:rsidR="00980E5F" w:rsidRDefault="00483613">
            <w:pPr>
              <w:jc w:val="right"/>
              <w:textAlignment w:val="bottom"/>
            </w:pPr>
            <w:r>
              <w:rPr>
                <w:rFonts w:ascii="Arial" w:eastAsia="宋体" w:hAnsi="Arial" w:cs="Arial"/>
                <w:color w:val="000000"/>
                <w:sz w:val="13"/>
                <w:szCs w:val="13"/>
              </w:rPr>
              <w:t>687 </w:t>
            </w:r>
          </w:p>
        </w:tc>
        <w:tc>
          <w:tcPr>
            <w:tcW w:w="0" w:type="auto"/>
            <w:shd w:val="clear" w:color="auto" w:fill="CCEEFF"/>
            <w:tcMar>
              <w:top w:w="40" w:type="dxa"/>
              <w:left w:w="0" w:type="dxa"/>
              <w:bottom w:w="40" w:type="dxa"/>
              <w:right w:w="20" w:type="dxa"/>
            </w:tcMar>
            <w:vAlign w:val="bottom"/>
          </w:tcPr>
          <w:p w14:paraId="392C1CA2"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CA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CA4" w14:textId="77777777" w:rsidR="00980E5F" w:rsidRDefault="00483613">
            <w:pPr>
              <w:jc w:val="right"/>
              <w:textAlignment w:val="bottom"/>
            </w:pPr>
            <w:r>
              <w:rPr>
                <w:rFonts w:ascii="Arial" w:eastAsia="宋体" w:hAnsi="Arial" w:cs="Arial"/>
                <w:color w:val="000000"/>
                <w:sz w:val="13"/>
                <w:szCs w:val="13"/>
              </w:rPr>
              <w:t>— </w:t>
            </w:r>
          </w:p>
        </w:tc>
      </w:tr>
      <w:tr w:rsidR="00483613" w14:paraId="392C1CCD" w14:textId="77777777">
        <w:tc>
          <w:tcPr>
            <w:tcW w:w="0" w:type="auto"/>
            <w:gridSpan w:val="3"/>
            <w:shd w:val="clear" w:color="auto" w:fill="FFFFFF"/>
            <w:tcMar>
              <w:top w:w="40" w:type="dxa"/>
              <w:left w:w="20" w:type="dxa"/>
              <w:bottom w:w="40" w:type="dxa"/>
              <w:right w:w="20" w:type="dxa"/>
            </w:tcMar>
            <w:vAlign w:val="bottom"/>
          </w:tcPr>
          <w:p w14:paraId="392C1CA6" w14:textId="77777777" w:rsidR="00980E5F" w:rsidRDefault="00483613">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A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A8" w14:textId="77777777" w:rsidR="00980E5F" w:rsidRDefault="00483613">
            <w:pPr>
              <w:jc w:val="right"/>
              <w:textAlignment w:val="bottom"/>
            </w:pPr>
            <w:r>
              <w:rPr>
                <w:rFonts w:ascii="Arial" w:eastAsia="宋体" w:hAnsi="Arial" w:cs="Arial"/>
                <w:b/>
                <w:bCs/>
                <w:color w:val="000000"/>
                <w:sz w:val="13"/>
                <w:szCs w:val="13"/>
              </w:rPr>
              <w:t>6,330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AA"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A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AC" w14:textId="77777777" w:rsidR="00980E5F" w:rsidRDefault="00483613">
            <w:pPr>
              <w:jc w:val="right"/>
              <w:textAlignment w:val="bottom"/>
            </w:pPr>
            <w:r>
              <w:rPr>
                <w:rFonts w:ascii="Arial" w:eastAsia="宋体" w:hAnsi="Arial" w:cs="Arial"/>
                <w:b/>
                <w:bCs/>
                <w:color w:val="000000"/>
                <w:sz w:val="13"/>
                <w:szCs w:val="13"/>
              </w:rPr>
              <w:t>5,079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AE"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A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B0" w14:textId="77777777" w:rsidR="00980E5F" w:rsidRDefault="00483613">
            <w:pPr>
              <w:jc w:val="right"/>
              <w:textAlignment w:val="bottom"/>
            </w:pPr>
            <w:r>
              <w:rPr>
                <w:rFonts w:ascii="Arial" w:eastAsia="宋体" w:hAnsi="Arial" w:cs="Arial"/>
                <w:b/>
                <w:bCs/>
                <w:color w:val="000000"/>
                <w:sz w:val="13"/>
                <w:szCs w:val="13"/>
              </w:rPr>
              <w:t>127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B1" w14:textId="77777777" w:rsidR="00980E5F" w:rsidRDefault="00980E5F">
            <w:pPr>
              <w:jc w:val="right"/>
              <w:rPr>
                <w:rFonts w:ascii="宋体"/>
              </w:rPr>
            </w:pPr>
          </w:p>
        </w:tc>
        <w:tc>
          <w:tcPr>
            <w:tcW w:w="0" w:type="auto"/>
            <w:shd w:val="clear" w:color="auto" w:fill="auto"/>
            <w:vAlign w:val="bottom"/>
          </w:tcPr>
          <w:p w14:paraId="392C1CB2" w14:textId="77777777" w:rsidR="00980E5F" w:rsidRDefault="00980E5F">
            <w:pPr>
              <w:rPr>
                <w:rFonts w:ascii="宋体"/>
                <w:vanish/>
              </w:rPr>
            </w:pPr>
          </w:p>
        </w:tc>
        <w:tc>
          <w:tcPr>
            <w:tcW w:w="0" w:type="auto"/>
            <w:shd w:val="clear" w:color="auto" w:fill="auto"/>
            <w:vAlign w:val="bottom"/>
          </w:tcPr>
          <w:p w14:paraId="392C1CB3"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CB4"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B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B6" w14:textId="77777777" w:rsidR="00980E5F" w:rsidRDefault="00483613">
            <w:pPr>
              <w:jc w:val="right"/>
              <w:textAlignment w:val="bottom"/>
            </w:pPr>
            <w:r>
              <w:rPr>
                <w:rFonts w:ascii="Arial" w:eastAsia="宋体" w:hAnsi="Arial" w:cs="Arial"/>
                <w:color w:val="000000"/>
                <w:sz w:val="13"/>
                <w:szCs w:val="13"/>
              </w:rPr>
              <w:t>2,532 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B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B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BA" w14:textId="77777777" w:rsidR="00980E5F" w:rsidRDefault="00483613">
            <w:pPr>
              <w:jc w:val="right"/>
              <w:textAlignment w:val="bottom"/>
            </w:pPr>
            <w:r>
              <w:rPr>
                <w:rFonts w:ascii="Arial" w:eastAsia="宋体" w:hAnsi="Arial" w:cs="Arial"/>
                <w:color w:val="000000"/>
                <w:sz w:val="13"/>
                <w:szCs w:val="13"/>
              </w:rPr>
              <w:t>3,284 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B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B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BE" w14:textId="77777777" w:rsidR="00980E5F" w:rsidRDefault="00483613">
            <w:pPr>
              <w:jc w:val="right"/>
              <w:textAlignment w:val="bottom"/>
            </w:pPr>
            <w:r>
              <w:rPr>
                <w:rFonts w:ascii="Arial" w:eastAsia="宋体" w:hAnsi="Arial" w:cs="Arial"/>
                <w:color w:val="000000"/>
                <w:sz w:val="13"/>
                <w:szCs w:val="13"/>
              </w:rPr>
              <w:t>495 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BF" w14:textId="77777777" w:rsidR="00980E5F" w:rsidRDefault="00980E5F">
            <w:pPr>
              <w:jc w:val="right"/>
              <w:rPr>
                <w:rFonts w:ascii="宋体"/>
              </w:rPr>
            </w:pPr>
          </w:p>
        </w:tc>
        <w:tc>
          <w:tcPr>
            <w:tcW w:w="0" w:type="auto"/>
            <w:shd w:val="clear" w:color="auto" w:fill="auto"/>
            <w:vAlign w:val="bottom"/>
          </w:tcPr>
          <w:p w14:paraId="392C1CC0" w14:textId="77777777" w:rsidR="00980E5F" w:rsidRDefault="00980E5F">
            <w:pPr>
              <w:rPr>
                <w:rFonts w:ascii="宋体"/>
                <w:vanish/>
              </w:rPr>
            </w:pPr>
          </w:p>
        </w:tc>
        <w:tc>
          <w:tcPr>
            <w:tcW w:w="0" w:type="auto"/>
            <w:shd w:val="clear" w:color="auto" w:fill="auto"/>
            <w:vAlign w:val="bottom"/>
          </w:tcPr>
          <w:p w14:paraId="392C1CC1"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CC2"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C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C4" w14:textId="77777777" w:rsidR="00980E5F" w:rsidRDefault="00483613">
            <w:pPr>
              <w:jc w:val="right"/>
              <w:textAlignment w:val="bottom"/>
            </w:pPr>
            <w:r>
              <w:rPr>
                <w:rFonts w:ascii="Arial" w:eastAsia="宋体" w:hAnsi="Arial" w:cs="Arial"/>
                <w:color w:val="000000"/>
                <w:sz w:val="13"/>
                <w:szCs w:val="13"/>
              </w:rPr>
              <w:t>6,722 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CC6"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C7"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CC8" w14:textId="77777777" w:rsidR="00980E5F" w:rsidRDefault="00483613">
            <w:pPr>
              <w:jc w:val="right"/>
              <w:textAlignment w:val="bottom"/>
            </w:pPr>
            <w:r>
              <w:rPr>
                <w:rFonts w:ascii="Arial" w:eastAsia="宋体" w:hAnsi="Arial" w:cs="Arial"/>
                <w:color w:val="000000"/>
                <w:sz w:val="13"/>
                <w:szCs w:val="13"/>
              </w:rPr>
              <w:t>20,964 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CC9"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CCA"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CCB" w14:textId="77777777" w:rsidR="00980E5F" w:rsidRDefault="00483613">
            <w:pPr>
              <w:textAlignment w:val="bottom"/>
            </w:pPr>
            <w:r>
              <w:rPr>
                <w:rFonts w:ascii="Arial" w:eastAsia="宋体" w:hAnsi="Arial" w:cs="Arial"/>
                <w:color w:val="000000"/>
                <w:sz w:val="13"/>
                <w:szCs w:val="13"/>
              </w:rPr>
              <w:t>$</w:t>
            </w:r>
          </w:p>
          <w:p w14:paraId="392C1CCC" w14:textId="77777777" w:rsidR="00980E5F" w:rsidRDefault="00483613">
            <w:pPr>
              <w:jc w:val="right"/>
              <w:textAlignment w:val="bottom"/>
            </w:pPr>
            <w:r>
              <w:rPr>
                <w:rFonts w:ascii="Arial" w:eastAsia="宋体" w:hAnsi="Arial" w:cs="Arial"/>
                <w:color w:val="000000"/>
                <w:sz w:val="13"/>
                <w:szCs w:val="13"/>
              </w:rPr>
              <w:t>701 </w:t>
            </w:r>
          </w:p>
        </w:tc>
      </w:tr>
    </w:tbl>
    <w:p w14:paraId="392C1CCE"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3"/>
        <w:gridCol w:w="519"/>
        <w:gridCol w:w="36"/>
        <w:gridCol w:w="36"/>
        <w:gridCol w:w="36"/>
        <w:gridCol w:w="36"/>
        <w:gridCol w:w="94"/>
        <w:gridCol w:w="521"/>
        <w:gridCol w:w="37"/>
        <w:gridCol w:w="159"/>
        <w:gridCol w:w="109"/>
        <w:gridCol w:w="36"/>
        <w:gridCol w:w="36"/>
        <w:gridCol w:w="36"/>
        <w:gridCol w:w="94"/>
        <w:gridCol w:w="573"/>
        <w:gridCol w:w="37"/>
        <w:gridCol w:w="36"/>
        <w:gridCol w:w="36"/>
        <w:gridCol w:w="36"/>
        <w:gridCol w:w="93"/>
        <w:gridCol w:w="474"/>
        <w:gridCol w:w="36"/>
        <w:gridCol w:w="36"/>
        <w:gridCol w:w="36"/>
        <w:gridCol w:w="36"/>
        <w:gridCol w:w="94"/>
        <w:gridCol w:w="521"/>
        <w:gridCol w:w="37"/>
        <w:gridCol w:w="109"/>
        <w:gridCol w:w="110"/>
        <w:gridCol w:w="36"/>
        <w:gridCol w:w="36"/>
        <w:gridCol w:w="36"/>
        <w:gridCol w:w="94"/>
        <w:gridCol w:w="573"/>
        <w:gridCol w:w="37"/>
        <w:gridCol w:w="36"/>
        <w:gridCol w:w="36"/>
        <w:gridCol w:w="36"/>
        <w:gridCol w:w="93"/>
        <w:gridCol w:w="475"/>
        <w:gridCol w:w="36"/>
        <w:gridCol w:w="36"/>
        <w:gridCol w:w="36"/>
        <w:gridCol w:w="582"/>
      </w:tblGrid>
      <w:tr w:rsidR="00980E5F" w14:paraId="392C1D06" w14:textId="77777777">
        <w:tc>
          <w:tcPr>
            <w:tcW w:w="50" w:type="pct"/>
            <w:shd w:val="clear" w:color="auto" w:fill="auto"/>
            <w:vAlign w:val="bottom"/>
          </w:tcPr>
          <w:p w14:paraId="392C1CCF" w14:textId="77777777" w:rsidR="00980E5F" w:rsidRDefault="00980E5F">
            <w:pPr>
              <w:rPr>
                <w:rFonts w:ascii="宋体"/>
              </w:rPr>
            </w:pPr>
          </w:p>
        </w:tc>
        <w:tc>
          <w:tcPr>
            <w:tcW w:w="705" w:type="pct"/>
            <w:shd w:val="clear" w:color="auto" w:fill="auto"/>
            <w:vAlign w:val="bottom"/>
          </w:tcPr>
          <w:p w14:paraId="392C1CD0" w14:textId="77777777" w:rsidR="00980E5F" w:rsidRDefault="00980E5F">
            <w:pPr>
              <w:rPr>
                <w:rFonts w:ascii="宋体"/>
              </w:rPr>
            </w:pPr>
          </w:p>
        </w:tc>
        <w:tc>
          <w:tcPr>
            <w:tcW w:w="5" w:type="pct"/>
            <w:shd w:val="clear" w:color="auto" w:fill="auto"/>
            <w:vAlign w:val="bottom"/>
          </w:tcPr>
          <w:p w14:paraId="392C1CD1" w14:textId="77777777" w:rsidR="00980E5F" w:rsidRDefault="00980E5F">
            <w:pPr>
              <w:rPr>
                <w:rFonts w:ascii="宋体"/>
              </w:rPr>
            </w:pPr>
          </w:p>
        </w:tc>
        <w:tc>
          <w:tcPr>
            <w:tcW w:w="50" w:type="pct"/>
            <w:shd w:val="clear" w:color="auto" w:fill="auto"/>
            <w:vAlign w:val="bottom"/>
          </w:tcPr>
          <w:p w14:paraId="392C1CD2" w14:textId="77777777" w:rsidR="00980E5F" w:rsidRDefault="00980E5F">
            <w:pPr>
              <w:rPr>
                <w:rFonts w:ascii="宋体"/>
              </w:rPr>
            </w:pPr>
          </w:p>
        </w:tc>
        <w:tc>
          <w:tcPr>
            <w:tcW w:w="383" w:type="pct"/>
            <w:shd w:val="clear" w:color="auto" w:fill="auto"/>
            <w:vAlign w:val="bottom"/>
          </w:tcPr>
          <w:p w14:paraId="392C1CD3" w14:textId="77777777" w:rsidR="00980E5F" w:rsidRDefault="00980E5F">
            <w:pPr>
              <w:rPr>
                <w:rFonts w:ascii="宋体"/>
              </w:rPr>
            </w:pPr>
          </w:p>
        </w:tc>
        <w:tc>
          <w:tcPr>
            <w:tcW w:w="5" w:type="pct"/>
            <w:shd w:val="clear" w:color="auto" w:fill="auto"/>
            <w:vAlign w:val="bottom"/>
          </w:tcPr>
          <w:p w14:paraId="392C1CD4" w14:textId="77777777" w:rsidR="00980E5F" w:rsidRDefault="00980E5F">
            <w:pPr>
              <w:rPr>
                <w:rFonts w:ascii="宋体"/>
              </w:rPr>
            </w:pPr>
          </w:p>
        </w:tc>
        <w:tc>
          <w:tcPr>
            <w:tcW w:w="5" w:type="pct"/>
            <w:shd w:val="clear" w:color="auto" w:fill="auto"/>
            <w:vAlign w:val="bottom"/>
          </w:tcPr>
          <w:p w14:paraId="392C1CD5" w14:textId="77777777" w:rsidR="00980E5F" w:rsidRDefault="00980E5F">
            <w:pPr>
              <w:rPr>
                <w:rFonts w:ascii="宋体"/>
              </w:rPr>
            </w:pPr>
          </w:p>
        </w:tc>
        <w:tc>
          <w:tcPr>
            <w:tcW w:w="26" w:type="pct"/>
            <w:shd w:val="clear" w:color="auto" w:fill="auto"/>
            <w:vAlign w:val="bottom"/>
          </w:tcPr>
          <w:p w14:paraId="392C1CD6" w14:textId="77777777" w:rsidR="00980E5F" w:rsidRDefault="00980E5F">
            <w:pPr>
              <w:rPr>
                <w:rFonts w:ascii="宋体"/>
              </w:rPr>
            </w:pPr>
          </w:p>
        </w:tc>
        <w:tc>
          <w:tcPr>
            <w:tcW w:w="5" w:type="pct"/>
            <w:shd w:val="clear" w:color="auto" w:fill="auto"/>
            <w:vAlign w:val="bottom"/>
          </w:tcPr>
          <w:p w14:paraId="392C1CD7" w14:textId="77777777" w:rsidR="00980E5F" w:rsidRDefault="00980E5F">
            <w:pPr>
              <w:rPr>
                <w:rFonts w:ascii="宋体"/>
              </w:rPr>
            </w:pPr>
          </w:p>
        </w:tc>
        <w:tc>
          <w:tcPr>
            <w:tcW w:w="50" w:type="pct"/>
            <w:shd w:val="clear" w:color="auto" w:fill="auto"/>
            <w:vAlign w:val="bottom"/>
          </w:tcPr>
          <w:p w14:paraId="392C1CD8" w14:textId="77777777" w:rsidR="00980E5F" w:rsidRDefault="00980E5F">
            <w:pPr>
              <w:rPr>
                <w:rFonts w:ascii="宋体"/>
              </w:rPr>
            </w:pPr>
          </w:p>
        </w:tc>
        <w:tc>
          <w:tcPr>
            <w:tcW w:w="383" w:type="pct"/>
            <w:shd w:val="clear" w:color="auto" w:fill="auto"/>
            <w:vAlign w:val="bottom"/>
          </w:tcPr>
          <w:p w14:paraId="392C1CD9" w14:textId="77777777" w:rsidR="00980E5F" w:rsidRDefault="00980E5F">
            <w:pPr>
              <w:rPr>
                <w:rFonts w:ascii="宋体"/>
              </w:rPr>
            </w:pPr>
          </w:p>
        </w:tc>
        <w:tc>
          <w:tcPr>
            <w:tcW w:w="5" w:type="pct"/>
            <w:shd w:val="clear" w:color="auto" w:fill="auto"/>
            <w:vAlign w:val="bottom"/>
          </w:tcPr>
          <w:p w14:paraId="392C1CDA" w14:textId="77777777" w:rsidR="00980E5F" w:rsidRDefault="00980E5F">
            <w:pPr>
              <w:rPr>
                <w:rFonts w:ascii="宋体"/>
              </w:rPr>
            </w:pPr>
          </w:p>
        </w:tc>
        <w:tc>
          <w:tcPr>
            <w:tcW w:w="5" w:type="pct"/>
            <w:shd w:val="clear" w:color="auto" w:fill="auto"/>
            <w:vAlign w:val="bottom"/>
          </w:tcPr>
          <w:p w14:paraId="392C1CDB" w14:textId="77777777" w:rsidR="00980E5F" w:rsidRDefault="00980E5F">
            <w:pPr>
              <w:rPr>
                <w:rFonts w:ascii="宋体"/>
              </w:rPr>
            </w:pPr>
          </w:p>
        </w:tc>
        <w:tc>
          <w:tcPr>
            <w:tcW w:w="26" w:type="pct"/>
            <w:shd w:val="clear" w:color="auto" w:fill="auto"/>
            <w:vAlign w:val="bottom"/>
          </w:tcPr>
          <w:p w14:paraId="392C1CDC" w14:textId="77777777" w:rsidR="00980E5F" w:rsidRDefault="00980E5F">
            <w:pPr>
              <w:rPr>
                <w:rFonts w:ascii="宋体"/>
              </w:rPr>
            </w:pPr>
          </w:p>
        </w:tc>
        <w:tc>
          <w:tcPr>
            <w:tcW w:w="5" w:type="pct"/>
            <w:shd w:val="clear" w:color="auto" w:fill="auto"/>
            <w:vAlign w:val="bottom"/>
          </w:tcPr>
          <w:p w14:paraId="392C1CDD" w14:textId="77777777" w:rsidR="00980E5F" w:rsidRDefault="00980E5F">
            <w:pPr>
              <w:rPr>
                <w:rFonts w:ascii="宋体"/>
              </w:rPr>
            </w:pPr>
          </w:p>
        </w:tc>
        <w:tc>
          <w:tcPr>
            <w:tcW w:w="50" w:type="pct"/>
            <w:shd w:val="clear" w:color="auto" w:fill="auto"/>
            <w:vAlign w:val="bottom"/>
          </w:tcPr>
          <w:p w14:paraId="392C1CDE" w14:textId="77777777" w:rsidR="00980E5F" w:rsidRDefault="00980E5F">
            <w:pPr>
              <w:rPr>
                <w:rFonts w:ascii="宋体"/>
              </w:rPr>
            </w:pPr>
          </w:p>
        </w:tc>
        <w:tc>
          <w:tcPr>
            <w:tcW w:w="383" w:type="pct"/>
            <w:shd w:val="clear" w:color="auto" w:fill="auto"/>
            <w:vAlign w:val="bottom"/>
          </w:tcPr>
          <w:p w14:paraId="392C1CDF" w14:textId="77777777" w:rsidR="00980E5F" w:rsidRDefault="00980E5F">
            <w:pPr>
              <w:rPr>
                <w:rFonts w:ascii="宋体"/>
              </w:rPr>
            </w:pPr>
          </w:p>
        </w:tc>
        <w:tc>
          <w:tcPr>
            <w:tcW w:w="5" w:type="pct"/>
            <w:shd w:val="clear" w:color="auto" w:fill="auto"/>
            <w:vAlign w:val="bottom"/>
          </w:tcPr>
          <w:p w14:paraId="392C1CE0" w14:textId="77777777" w:rsidR="00980E5F" w:rsidRDefault="00980E5F">
            <w:pPr>
              <w:rPr>
                <w:rFonts w:ascii="宋体"/>
              </w:rPr>
            </w:pPr>
          </w:p>
        </w:tc>
        <w:tc>
          <w:tcPr>
            <w:tcW w:w="0" w:type="auto"/>
            <w:shd w:val="clear" w:color="auto" w:fill="auto"/>
            <w:vAlign w:val="bottom"/>
          </w:tcPr>
          <w:p w14:paraId="392C1CE1" w14:textId="77777777" w:rsidR="00980E5F" w:rsidRDefault="00980E5F">
            <w:pPr>
              <w:rPr>
                <w:rFonts w:ascii="宋体"/>
                <w:vanish/>
              </w:rPr>
            </w:pPr>
          </w:p>
        </w:tc>
        <w:tc>
          <w:tcPr>
            <w:tcW w:w="0" w:type="auto"/>
            <w:shd w:val="clear" w:color="auto" w:fill="auto"/>
            <w:vAlign w:val="bottom"/>
          </w:tcPr>
          <w:p w14:paraId="392C1CE2" w14:textId="77777777" w:rsidR="00980E5F" w:rsidRDefault="00980E5F">
            <w:pPr>
              <w:rPr>
                <w:rFonts w:ascii="宋体"/>
                <w:vanish/>
              </w:rPr>
            </w:pPr>
          </w:p>
        </w:tc>
        <w:tc>
          <w:tcPr>
            <w:tcW w:w="5" w:type="pct"/>
            <w:shd w:val="clear" w:color="auto" w:fill="auto"/>
            <w:vAlign w:val="bottom"/>
          </w:tcPr>
          <w:p w14:paraId="392C1CE3" w14:textId="77777777" w:rsidR="00980E5F" w:rsidRDefault="00980E5F">
            <w:pPr>
              <w:rPr>
                <w:rFonts w:ascii="宋体"/>
              </w:rPr>
            </w:pPr>
          </w:p>
        </w:tc>
        <w:tc>
          <w:tcPr>
            <w:tcW w:w="26" w:type="pct"/>
            <w:shd w:val="clear" w:color="auto" w:fill="auto"/>
            <w:vAlign w:val="bottom"/>
          </w:tcPr>
          <w:p w14:paraId="392C1CE4" w14:textId="77777777" w:rsidR="00980E5F" w:rsidRDefault="00980E5F">
            <w:pPr>
              <w:rPr>
                <w:rFonts w:ascii="宋体"/>
              </w:rPr>
            </w:pPr>
          </w:p>
        </w:tc>
        <w:tc>
          <w:tcPr>
            <w:tcW w:w="5" w:type="pct"/>
            <w:shd w:val="clear" w:color="auto" w:fill="auto"/>
            <w:vAlign w:val="bottom"/>
          </w:tcPr>
          <w:p w14:paraId="392C1CE5" w14:textId="77777777" w:rsidR="00980E5F" w:rsidRDefault="00980E5F">
            <w:pPr>
              <w:rPr>
                <w:rFonts w:ascii="宋体"/>
              </w:rPr>
            </w:pPr>
          </w:p>
        </w:tc>
        <w:tc>
          <w:tcPr>
            <w:tcW w:w="50" w:type="pct"/>
            <w:shd w:val="clear" w:color="auto" w:fill="auto"/>
            <w:vAlign w:val="bottom"/>
          </w:tcPr>
          <w:p w14:paraId="392C1CE6" w14:textId="77777777" w:rsidR="00980E5F" w:rsidRDefault="00980E5F">
            <w:pPr>
              <w:rPr>
                <w:rFonts w:ascii="宋体"/>
              </w:rPr>
            </w:pPr>
          </w:p>
        </w:tc>
        <w:tc>
          <w:tcPr>
            <w:tcW w:w="383" w:type="pct"/>
            <w:shd w:val="clear" w:color="auto" w:fill="auto"/>
            <w:vAlign w:val="bottom"/>
          </w:tcPr>
          <w:p w14:paraId="392C1CE7" w14:textId="77777777" w:rsidR="00980E5F" w:rsidRDefault="00980E5F">
            <w:pPr>
              <w:rPr>
                <w:rFonts w:ascii="宋体"/>
              </w:rPr>
            </w:pPr>
          </w:p>
        </w:tc>
        <w:tc>
          <w:tcPr>
            <w:tcW w:w="5" w:type="pct"/>
            <w:shd w:val="clear" w:color="auto" w:fill="auto"/>
            <w:vAlign w:val="bottom"/>
          </w:tcPr>
          <w:p w14:paraId="392C1CE8" w14:textId="77777777" w:rsidR="00980E5F" w:rsidRDefault="00980E5F">
            <w:pPr>
              <w:rPr>
                <w:rFonts w:ascii="宋体"/>
              </w:rPr>
            </w:pPr>
          </w:p>
        </w:tc>
        <w:tc>
          <w:tcPr>
            <w:tcW w:w="5" w:type="pct"/>
            <w:shd w:val="clear" w:color="auto" w:fill="auto"/>
            <w:vAlign w:val="bottom"/>
          </w:tcPr>
          <w:p w14:paraId="392C1CE9" w14:textId="77777777" w:rsidR="00980E5F" w:rsidRDefault="00980E5F">
            <w:pPr>
              <w:rPr>
                <w:rFonts w:ascii="宋体"/>
              </w:rPr>
            </w:pPr>
          </w:p>
        </w:tc>
        <w:tc>
          <w:tcPr>
            <w:tcW w:w="26" w:type="pct"/>
            <w:shd w:val="clear" w:color="auto" w:fill="auto"/>
            <w:vAlign w:val="bottom"/>
          </w:tcPr>
          <w:p w14:paraId="392C1CEA" w14:textId="77777777" w:rsidR="00980E5F" w:rsidRDefault="00980E5F">
            <w:pPr>
              <w:rPr>
                <w:rFonts w:ascii="宋体"/>
              </w:rPr>
            </w:pPr>
          </w:p>
        </w:tc>
        <w:tc>
          <w:tcPr>
            <w:tcW w:w="5" w:type="pct"/>
            <w:shd w:val="clear" w:color="auto" w:fill="auto"/>
            <w:vAlign w:val="bottom"/>
          </w:tcPr>
          <w:p w14:paraId="392C1CEB" w14:textId="77777777" w:rsidR="00980E5F" w:rsidRDefault="00980E5F">
            <w:pPr>
              <w:rPr>
                <w:rFonts w:ascii="宋体"/>
              </w:rPr>
            </w:pPr>
          </w:p>
        </w:tc>
        <w:tc>
          <w:tcPr>
            <w:tcW w:w="50" w:type="pct"/>
            <w:shd w:val="clear" w:color="auto" w:fill="auto"/>
            <w:vAlign w:val="bottom"/>
          </w:tcPr>
          <w:p w14:paraId="392C1CEC" w14:textId="77777777" w:rsidR="00980E5F" w:rsidRDefault="00980E5F">
            <w:pPr>
              <w:rPr>
                <w:rFonts w:ascii="宋体"/>
              </w:rPr>
            </w:pPr>
          </w:p>
        </w:tc>
        <w:tc>
          <w:tcPr>
            <w:tcW w:w="383" w:type="pct"/>
            <w:shd w:val="clear" w:color="auto" w:fill="auto"/>
            <w:vAlign w:val="bottom"/>
          </w:tcPr>
          <w:p w14:paraId="392C1CED" w14:textId="77777777" w:rsidR="00980E5F" w:rsidRDefault="00980E5F">
            <w:pPr>
              <w:rPr>
                <w:rFonts w:ascii="宋体"/>
              </w:rPr>
            </w:pPr>
          </w:p>
        </w:tc>
        <w:tc>
          <w:tcPr>
            <w:tcW w:w="5" w:type="pct"/>
            <w:shd w:val="clear" w:color="auto" w:fill="auto"/>
            <w:vAlign w:val="bottom"/>
          </w:tcPr>
          <w:p w14:paraId="392C1CEE" w14:textId="77777777" w:rsidR="00980E5F" w:rsidRDefault="00980E5F">
            <w:pPr>
              <w:rPr>
                <w:rFonts w:ascii="宋体"/>
              </w:rPr>
            </w:pPr>
          </w:p>
        </w:tc>
        <w:tc>
          <w:tcPr>
            <w:tcW w:w="5" w:type="pct"/>
            <w:shd w:val="clear" w:color="auto" w:fill="auto"/>
            <w:vAlign w:val="bottom"/>
          </w:tcPr>
          <w:p w14:paraId="392C1CEF" w14:textId="77777777" w:rsidR="00980E5F" w:rsidRDefault="00980E5F">
            <w:pPr>
              <w:rPr>
                <w:rFonts w:ascii="宋体"/>
              </w:rPr>
            </w:pPr>
          </w:p>
        </w:tc>
        <w:tc>
          <w:tcPr>
            <w:tcW w:w="26" w:type="pct"/>
            <w:shd w:val="clear" w:color="auto" w:fill="auto"/>
            <w:vAlign w:val="bottom"/>
          </w:tcPr>
          <w:p w14:paraId="392C1CF0" w14:textId="77777777" w:rsidR="00980E5F" w:rsidRDefault="00980E5F">
            <w:pPr>
              <w:rPr>
                <w:rFonts w:ascii="宋体"/>
              </w:rPr>
            </w:pPr>
          </w:p>
        </w:tc>
        <w:tc>
          <w:tcPr>
            <w:tcW w:w="5" w:type="pct"/>
            <w:shd w:val="clear" w:color="auto" w:fill="auto"/>
            <w:vAlign w:val="bottom"/>
          </w:tcPr>
          <w:p w14:paraId="392C1CF1" w14:textId="77777777" w:rsidR="00980E5F" w:rsidRDefault="00980E5F">
            <w:pPr>
              <w:rPr>
                <w:rFonts w:ascii="宋体"/>
              </w:rPr>
            </w:pPr>
          </w:p>
        </w:tc>
        <w:tc>
          <w:tcPr>
            <w:tcW w:w="50" w:type="pct"/>
            <w:shd w:val="clear" w:color="auto" w:fill="auto"/>
            <w:vAlign w:val="bottom"/>
          </w:tcPr>
          <w:p w14:paraId="392C1CF2" w14:textId="77777777" w:rsidR="00980E5F" w:rsidRDefault="00980E5F">
            <w:pPr>
              <w:rPr>
                <w:rFonts w:ascii="宋体"/>
              </w:rPr>
            </w:pPr>
          </w:p>
        </w:tc>
        <w:tc>
          <w:tcPr>
            <w:tcW w:w="383" w:type="pct"/>
            <w:shd w:val="clear" w:color="auto" w:fill="auto"/>
            <w:vAlign w:val="bottom"/>
          </w:tcPr>
          <w:p w14:paraId="392C1CF3" w14:textId="77777777" w:rsidR="00980E5F" w:rsidRDefault="00980E5F">
            <w:pPr>
              <w:rPr>
                <w:rFonts w:ascii="宋体"/>
              </w:rPr>
            </w:pPr>
          </w:p>
        </w:tc>
        <w:tc>
          <w:tcPr>
            <w:tcW w:w="5" w:type="pct"/>
            <w:shd w:val="clear" w:color="auto" w:fill="auto"/>
            <w:vAlign w:val="bottom"/>
          </w:tcPr>
          <w:p w14:paraId="392C1CF4" w14:textId="77777777" w:rsidR="00980E5F" w:rsidRDefault="00980E5F">
            <w:pPr>
              <w:rPr>
                <w:rFonts w:ascii="宋体"/>
              </w:rPr>
            </w:pPr>
          </w:p>
        </w:tc>
        <w:tc>
          <w:tcPr>
            <w:tcW w:w="0" w:type="auto"/>
            <w:shd w:val="clear" w:color="auto" w:fill="auto"/>
            <w:vAlign w:val="bottom"/>
          </w:tcPr>
          <w:p w14:paraId="392C1CF5" w14:textId="77777777" w:rsidR="00980E5F" w:rsidRDefault="00980E5F">
            <w:pPr>
              <w:rPr>
                <w:rFonts w:ascii="宋体"/>
                <w:vanish/>
              </w:rPr>
            </w:pPr>
          </w:p>
        </w:tc>
        <w:tc>
          <w:tcPr>
            <w:tcW w:w="0" w:type="auto"/>
            <w:shd w:val="clear" w:color="auto" w:fill="auto"/>
            <w:vAlign w:val="bottom"/>
          </w:tcPr>
          <w:p w14:paraId="392C1CF6" w14:textId="77777777" w:rsidR="00980E5F" w:rsidRDefault="00980E5F">
            <w:pPr>
              <w:rPr>
                <w:rFonts w:ascii="宋体"/>
                <w:vanish/>
              </w:rPr>
            </w:pPr>
          </w:p>
        </w:tc>
        <w:tc>
          <w:tcPr>
            <w:tcW w:w="5" w:type="pct"/>
            <w:shd w:val="clear" w:color="auto" w:fill="auto"/>
            <w:vAlign w:val="bottom"/>
          </w:tcPr>
          <w:p w14:paraId="392C1CF7" w14:textId="77777777" w:rsidR="00980E5F" w:rsidRDefault="00980E5F">
            <w:pPr>
              <w:rPr>
                <w:rFonts w:ascii="宋体"/>
              </w:rPr>
            </w:pPr>
          </w:p>
        </w:tc>
        <w:tc>
          <w:tcPr>
            <w:tcW w:w="26" w:type="pct"/>
            <w:shd w:val="clear" w:color="auto" w:fill="auto"/>
            <w:vAlign w:val="bottom"/>
          </w:tcPr>
          <w:p w14:paraId="392C1CF8" w14:textId="77777777" w:rsidR="00980E5F" w:rsidRDefault="00980E5F">
            <w:pPr>
              <w:rPr>
                <w:rFonts w:ascii="宋体"/>
              </w:rPr>
            </w:pPr>
          </w:p>
        </w:tc>
        <w:tc>
          <w:tcPr>
            <w:tcW w:w="5" w:type="pct"/>
            <w:shd w:val="clear" w:color="auto" w:fill="auto"/>
            <w:vAlign w:val="bottom"/>
          </w:tcPr>
          <w:p w14:paraId="392C1CF9" w14:textId="77777777" w:rsidR="00980E5F" w:rsidRDefault="00980E5F">
            <w:pPr>
              <w:rPr>
                <w:rFonts w:ascii="宋体"/>
              </w:rPr>
            </w:pPr>
          </w:p>
        </w:tc>
        <w:tc>
          <w:tcPr>
            <w:tcW w:w="50" w:type="pct"/>
            <w:shd w:val="clear" w:color="auto" w:fill="auto"/>
            <w:vAlign w:val="bottom"/>
          </w:tcPr>
          <w:p w14:paraId="392C1CFA" w14:textId="77777777" w:rsidR="00980E5F" w:rsidRDefault="00980E5F">
            <w:pPr>
              <w:rPr>
                <w:rFonts w:ascii="宋体"/>
              </w:rPr>
            </w:pPr>
          </w:p>
        </w:tc>
        <w:tc>
          <w:tcPr>
            <w:tcW w:w="383" w:type="pct"/>
            <w:shd w:val="clear" w:color="auto" w:fill="auto"/>
            <w:vAlign w:val="bottom"/>
          </w:tcPr>
          <w:p w14:paraId="392C1CFB" w14:textId="77777777" w:rsidR="00980E5F" w:rsidRDefault="00980E5F">
            <w:pPr>
              <w:rPr>
                <w:rFonts w:ascii="宋体"/>
              </w:rPr>
            </w:pPr>
          </w:p>
        </w:tc>
        <w:tc>
          <w:tcPr>
            <w:tcW w:w="5" w:type="pct"/>
            <w:shd w:val="clear" w:color="auto" w:fill="auto"/>
            <w:vAlign w:val="bottom"/>
          </w:tcPr>
          <w:p w14:paraId="392C1CFC" w14:textId="77777777" w:rsidR="00980E5F" w:rsidRDefault="00980E5F">
            <w:pPr>
              <w:rPr>
                <w:rFonts w:ascii="宋体"/>
              </w:rPr>
            </w:pPr>
          </w:p>
        </w:tc>
        <w:tc>
          <w:tcPr>
            <w:tcW w:w="5" w:type="pct"/>
            <w:shd w:val="clear" w:color="auto" w:fill="auto"/>
            <w:vAlign w:val="bottom"/>
          </w:tcPr>
          <w:p w14:paraId="392C1CFD" w14:textId="77777777" w:rsidR="00980E5F" w:rsidRDefault="00980E5F">
            <w:pPr>
              <w:rPr>
                <w:rFonts w:ascii="宋体"/>
              </w:rPr>
            </w:pPr>
          </w:p>
        </w:tc>
        <w:tc>
          <w:tcPr>
            <w:tcW w:w="26" w:type="pct"/>
            <w:shd w:val="clear" w:color="auto" w:fill="auto"/>
            <w:vAlign w:val="bottom"/>
          </w:tcPr>
          <w:p w14:paraId="392C1CFE" w14:textId="77777777" w:rsidR="00980E5F" w:rsidRDefault="00980E5F">
            <w:pPr>
              <w:rPr>
                <w:rFonts w:ascii="宋体"/>
              </w:rPr>
            </w:pPr>
          </w:p>
        </w:tc>
        <w:tc>
          <w:tcPr>
            <w:tcW w:w="5" w:type="pct"/>
            <w:shd w:val="clear" w:color="auto" w:fill="auto"/>
            <w:vAlign w:val="bottom"/>
          </w:tcPr>
          <w:p w14:paraId="392C1CFF" w14:textId="77777777" w:rsidR="00980E5F" w:rsidRDefault="00980E5F">
            <w:pPr>
              <w:rPr>
                <w:rFonts w:ascii="宋体"/>
              </w:rPr>
            </w:pPr>
          </w:p>
        </w:tc>
        <w:tc>
          <w:tcPr>
            <w:tcW w:w="50" w:type="pct"/>
            <w:shd w:val="clear" w:color="auto" w:fill="auto"/>
            <w:vAlign w:val="bottom"/>
          </w:tcPr>
          <w:p w14:paraId="392C1D00" w14:textId="77777777" w:rsidR="00980E5F" w:rsidRDefault="00980E5F">
            <w:pPr>
              <w:rPr>
                <w:rFonts w:ascii="宋体"/>
              </w:rPr>
            </w:pPr>
          </w:p>
        </w:tc>
        <w:tc>
          <w:tcPr>
            <w:tcW w:w="383" w:type="pct"/>
            <w:shd w:val="clear" w:color="auto" w:fill="auto"/>
            <w:vAlign w:val="bottom"/>
          </w:tcPr>
          <w:p w14:paraId="392C1D01" w14:textId="77777777" w:rsidR="00980E5F" w:rsidRDefault="00980E5F">
            <w:pPr>
              <w:rPr>
                <w:rFonts w:ascii="宋体"/>
              </w:rPr>
            </w:pPr>
          </w:p>
        </w:tc>
        <w:tc>
          <w:tcPr>
            <w:tcW w:w="5" w:type="pct"/>
            <w:shd w:val="clear" w:color="auto" w:fill="auto"/>
            <w:vAlign w:val="bottom"/>
          </w:tcPr>
          <w:p w14:paraId="392C1D02" w14:textId="77777777" w:rsidR="00980E5F" w:rsidRDefault="00980E5F">
            <w:pPr>
              <w:rPr>
                <w:rFonts w:ascii="宋体"/>
              </w:rPr>
            </w:pPr>
          </w:p>
        </w:tc>
        <w:tc>
          <w:tcPr>
            <w:tcW w:w="5" w:type="pct"/>
            <w:shd w:val="clear" w:color="auto" w:fill="auto"/>
            <w:vAlign w:val="bottom"/>
          </w:tcPr>
          <w:p w14:paraId="392C1D03" w14:textId="77777777" w:rsidR="00980E5F" w:rsidRDefault="00980E5F">
            <w:pPr>
              <w:rPr>
                <w:rFonts w:ascii="宋体"/>
              </w:rPr>
            </w:pPr>
          </w:p>
        </w:tc>
        <w:tc>
          <w:tcPr>
            <w:tcW w:w="26" w:type="pct"/>
            <w:shd w:val="clear" w:color="auto" w:fill="auto"/>
            <w:vAlign w:val="bottom"/>
          </w:tcPr>
          <w:p w14:paraId="392C1D04" w14:textId="77777777" w:rsidR="00980E5F" w:rsidRDefault="00980E5F">
            <w:pPr>
              <w:rPr>
                <w:rFonts w:ascii="宋体"/>
              </w:rPr>
            </w:pPr>
          </w:p>
        </w:tc>
        <w:tc>
          <w:tcPr>
            <w:tcW w:w="5" w:type="pct"/>
            <w:shd w:val="clear" w:color="auto" w:fill="auto"/>
            <w:vAlign w:val="bottom"/>
          </w:tcPr>
          <w:p w14:paraId="392C1D05" w14:textId="77777777" w:rsidR="00980E5F" w:rsidRDefault="00980E5F">
            <w:pPr>
              <w:rPr>
                <w:rFonts w:ascii="宋体"/>
              </w:rPr>
            </w:pPr>
          </w:p>
        </w:tc>
      </w:tr>
      <w:tr w:rsidR="00980E5F" w14:paraId="392C1D0C" w14:textId="77777777">
        <w:tc>
          <w:tcPr>
            <w:tcW w:w="0" w:type="auto"/>
            <w:gridSpan w:val="46"/>
            <w:shd w:val="clear" w:color="auto" w:fill="auto"/>
            <w:tcMar>
              <w:top w:w="40" w:type="dxa"/>
              <w:left w:w="20" w:type="dxa"/>
              <w:bottom w:w="40" w:type="dxa"/>
              <w:right w:w="20" w:type="dxa"/>
            </w:tcMar>
            <w:vAlign w:val="bottom"/>
          </w:tcPr>
          <w:p w14:paraId="392C1D07" w14:textId="77777777" w:rsidR="00980E5F" w:rsidRDefault="00483613">
            <w:pP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392C1D08" w14:textId="77777777" w:rsidR="00980E5F" w:rsidRDefault="00980E5F">
            <w:pPr>
              <w:rPr>
                <w:rFonts w:ascii="宋体"/>
                <w:vanish/>
              </w:rPr>
            </w:pPr>
          </w:p>
        </w:tc>
        <w:tc>
          <w:tcPr>
            <w:tcW w:w="0" w:type="auto"/>
            <w:gridSpan w:val="3"/>
            <w:shd w:val="clear" w:color="auto" w:fill="auto"/>
            <w:vAlign w:val="bottom"/>
          </w:tcPr>
          <w:p w14:paraId="392C1D09" w14:textId="77777777" w:rsidR="00980E5F" w:rsidRDefault="00980E5F">
            <w:pPr>
              <w:rPr>
                <w:rFonts w:ascii="宋体"/>
                <w:vanish/>
              </w:rPr>
            </w:pPr>
          </w:p>
        </w:tc>
        <w:tc>
          <w:tcPr>
            <w:tcW w:w="0" w:type="auto"/>
            <w:gridSpan w:val="2"/>
            <w:shd w:val="clear" w:color="auto" w:fill="auto"/>
            <w:vAlign w:val="bottom"/>
          </w:tcPr>
          <w:p w14:paraId="392C1D0A" w14:textId="77777777" w:rsidR="00980E5F" w:rsidRDefault="00980E5F">
            <w:pPr>
              <w:rPr>
                <w:rFonts w:ascii="宋体"/>
                <w:vanish/>
              </w:rPr>
            </w:pPr>
          </w:p>
        </w:tc>
        <w:tc>
          <w:tcPr>
            <w:tcW w:w="0" w:type="auto"/>
            <w:shd w:val="clear" w:color="auto" w:fill="auto"/>
            <w:vAlign w:val="bottom"/>
          </w:tcPr>
          <w:p w14:paraId="392C1D0B" w14:textId="77777777" w:rsidR="00980E5F" w:rsidRDefault="00980E5F">
            <w:pPr>
              <w:rPr>
                <w:rFonts w:ascii="宋体"/>
                <w:vanish/>
              </w:rPr>
            </w:pPr>
          </w:p>
        </w:tc>
      </w:tr>
      <w:tr w:rsidR="00980E5F" w14:paraId="392C1D1A" w14:textId="77777777">
        <w:tc>
          <w:tcPr>
            <w:tcW w:w="0" w:type="auto"/>
            <w:gridSpan w:val="3"/>
            <w:shd w:val="clear" w:color="auto" w:fill="auto"/>
            <w:tcMar>
              <w:top w:w="0" w:type="dxa"/>
              <w:left w:w="20" w:type="dxa"/>
              <w:bottom w:w="0" w:type="dxa"/>
              <w:right w:w="20" w:type="dxa"/>
            </w:tcMar>
            <w:vAlign w:val="bottom"/>
          </w:tcPr>
          <w:p w14:paraId="392C1D0D"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D0E" w14:textId="77777777" w:rsidR="00980E5F" w:rsidRDefault="00483613">
            <w:pPr>
              <w:jc w:val="center"/>
              <w:textAlignment w:val="bottom"/>
            </w:pPr>
            <w:r>
              <w:rPr>
                <w:rFonts w:ascii="Arial" w:eastAsia="宋体" w:hAnsi="Arial" w:cs="Arial"/>
                <w:b/>
                <w:bCs/>
                <w:color w:val="000000"/>
                <w:sz w:val="13"/>
                <w:szCs w:val="13"/>
              </w:rPr>
              <w:t>As of June 30, 2022</w:t>
            </w:r>
          </w:p>
        </w:tc>
        <w:tc>
          <w:tcPr>
            <w:tcW w:w="0" w:type="auto"/>
            <w:shd w:val="clear" w:color="auto" w:fill="auto"/>
            <w:tcMar>
              <w:top w:w="0" w:type="dxa"/>
              <w:left w:w="20" w:type="dxa"/>
              <w:bottom w:w="0" w:type="dxa"/>
              <w:right w:w="20" w:type="dxa"/>
            </w:tcMar>
            <w:vAlign w:val="bottom"/>
          </w:tcPr>
          <w:p w14:paraId="392C1D0F" w14:textId="77777777" w:rsidR="00980E5F" w:rsidRDefault="00980E5F">
            <w:pPr>
              <w:rPr>
                <w:rFonts w:ascii="宋体"/>
              </w:rPr>
            </w:pPr>
          </w:p>
        </w:tc>
        <w:tc>
          <w:tcPr>
            <w:tcW w:w="0" w:type="auto"/>
            <w:gridSpan w:val="13"/>
            <w:shd w:val="clear" w:color="auto" w:fill="auto"/>
            <w:tcMar>
              <w:top w:w="40" w:type="dxa"/>
              <w:left w:w="20" w:type="dxa"/>
              <w:bottom w:w="40" w:type="dxa"/>
              <w:right w:w="20" w:type="dxa"/>
            </w:tcMar>
            <w:vAlign w:val="bottom"/>
          </w:tcPr>
          <w:p w14:paraId="392C1D10" w14:textId="77777777" w:rsidR="00980E5F" w:rsidRDefault="00483613">
            <w:pPr>
              <w:jc w:val="center"/>
              <w:textAlignment w:val="bottom"/>
            </w:pPr>
            <w:r>
              <w:rPr>
                <w:rFonts w:ascii="Arial" w:eastAsia="宋体" w:hAnsi="Arial" w:cs="Arial"/>
                <w:b/>
                <w:bCs/>
                <w:color w:val="000000"/>
                <w:sz w:val="13"/>
                <w:szCs w:val="13"/>
              </w:rPr>
              <w:t>As of March 31, 2022</w:t>
            </w:r>
          </w:p>
        </w:tc>
        <w:tc>
          <w:tcPr>
            <w:tcW w:w="0" w:type="auto"/>
            <w:gridSpan w:val="3"/>
            <w:shd w:val="clear" w:color="auto" w:fill="auto"/>
            <w:tcMar>
              <w:top w:w="0" w:type="dxa"/>
              <w:left w:w="20" w:type="dxa"/>
              <w:bottom w:w="0" w:type="dxa"/>
              <w:right w:w="20" w:type="dxa"/>
            </w:tcMar>
            <w:vAlign w:val="bottom"/>
          </w:tcPr>
          <w:p w14:paraId="392C1D11" w14:textId="77777777" w:rsidR="00980E5F" w:rsidRDefault="00980E5F">
            <w:pPr>
              <w:rPr>
                <w:rFonts w:ascii="宋体"/>
              </w:rPr>
            </w:pPr>
          </w:p>
        </w:tc>
        <w:tc>
          <w:tcPr>
            <w:tcW w:w="0" w:type="auto"/>
            <w:gridSpan w:val="11"/>
            <w:shd w:val="clear" w:color="auto" w:fill="auto"/>
            <w:tcMar>
              <w:top w:w="40" w:type="dxa"/>
              <w:left w:w="20" w:type="dxa"/>
              <w:bottom w:w="40" w:type="dxa"/>
              <w:right w:w="20" w:type="dxa"/>
            </w:tcMar>
            <w:vAlign w:val="bottom"/>
          </w:tcPr>
          <w:p w14:paraId="392C1D12" w14:textId="77777777" w:rsidR="00980E5F" w:rsidRDefault="00483613">
            <w:pPr>
              <w:jc w:val="center"/>
              <w:textAlignment w:val="bottom"/>
            </w:pPr>
            <w:r>
              <w:rPr>
                <w:rFonts w:ascii="Arial" w:eastAsia="宋体" w:hAnsi="Arial" w:cs="Arial"/>
                <w:b/>
                <w:bCs/>
                <w:color w:val="000000"/>
                <w:sz w:val="13"/>
                <w:szCs w:val="13"/>
              </w:rPr>
              <w:t>As of June 30, 2021</w:t>
            </w:r>
          </w:p>
        </w:tc>
        <w:tc>
          <w:tcPr>
            <w:tcW w:w="0" w:type="auto"/>
            <w:gridSpan w:val="3"/>
            <w:shd w:val="clear" w:color="auto" w:fill="auto"/>
            <w:vAlign w:val="bottom"/>
          </w:tcPr>
          <w:p w14:paraId="392C1D13" w14:textId="77777777" w:rsidR="00980E5F" w:rsidRDefault="00980E5F">
            <w:pPr>
              <w:rPr>
                <w:rFonts w:ascii="宋体"/>
                <w:vanish/>
              </w:rPr>
            </w:pPr>
          </w:p>
        </w:tc>
        <w:tc>
          <w:tcPr>
            <w:tcW w:w="0" w:type="auto"/>
            <w:shd w:val="clear" w:color="auto" w:fill="auto"/>
            <w:vAlign w:val="bottom"/>
          </w:tcPr>
          <w:p w14:paraId="392C1D14" w14:textId="77777777" w:rsidR="00980E5F" w:rsidRDefault="00980E5F">
            <w:pPr>
              <w:rPr>
                <w:rFonts w:ascii="宋体"/>
              </w:rPr>
            </w:pPr>
          </w:p>
        </w:tc>
        <w:tc>
          <w:tcPr>
            <w:tcW w:w="0" w:type="auto"/>
            <w:shd w:val="clear" w:color="auto" w:fill="auto"/>
            <w:vAlign w:val="bottom"/>
          </w:tcPr>
          <w:p w14:paraId="392C1D15" w14:textId="77777777" w:rsidR="00980E5F" w:rsidRDefault="00980E5F">
            <w:pPr>
              <w:rPr>
                <w:rFonts w:ascii="宋体"/>
              </w:rPr>
            </w:pPr>
          </w:p>
        </w:tc>
        <w:tc>
          <w:tcPr>
            <w:tcW w:w="0" w:type="auto"/>
            <w:shd w:val="clear" w:color="auto" w:fill="auto"/>
            <w:vAlign w:val="bottom"/>
          </w:tcPr>
          <w:p w14:paraId="392C1D16" w14:textId="77777777" w:rsidR="00980E5F" w:rsidRDefault="00980E5F">
            <w:pPr>
              <w:rPr>
                <w:rFonts w:ascii="宋体"/>
              </w:rPr>
            </w:pPr>
          </w:p>
        </w:tc>
        <w:tc>
          <w:tcPr>
            <w:tcW w:w="0" w:type="auto"/>
            <w:shd w:val="clear" w:color="auto" w:fill="auto"/>
            <w:vAlign w:val="bottom"/>
          </w:tcPr>
          <w:p w14:paraId="392C1D17" w14:textId="77777777" w:rsidR="00980E5F" w:rsidRDefault="00980E5F">
            <w:pPr>
              <w:rPr>
                <w:rFonts w:ascii="宋体"/>
              </w:rPr>
            </w:pPr>
          </w:p>
        </w:tc>
        <w:tc>
          <w:tcPr>
            <w:tcW w:w="0" w:type="auto"/>
            <w:shd w:val="clear" w:color="auto" w:fill="auto"/>
            <w:vAlign w:val="bottom"/>
          </w:tcPr>
          <w:p w14:paraId="392C1D18" w14:textId="77777777" w:rsidR="00980E5F" w:rsidRDefault="00980E5F">
            <w:pPr>
              <w:rPr>
                <w:rFonts w:ascii="宋体"/>
              </w:rPr>
            </w:pPr>
          </w:p>
        </w:tc>
        <w:tc>
          <w:tcPr>
            <w:tcW w:w="0" w:type="auto"/>
            <w:shd w:val="clear" w:color="auto" w:fill="auto"/>
            <w:vAlign w:val="bottom"/>
          </w:tcPr>
          <w:p w14:paraId="392C1D19" w14:textId="77777777" w:rsidR="00980E5F" w:rsidRDefault="00980E5F">
            <w:pPr>
              <w:rPr>
                <w:rFonts w:ascii="宋体"/>
              </w:rPr>
            </w:pPr>
          </w:p>
        </w:tc>
      </w:tr>
      <w:tr w:rsidR="00980E5F" w14:paraId="392C1D31" w14:textId="77777777">
        <w:tc>
          <w:tcPr>
            <w:tcW w:w="0" w:type="auto"/>
            <w:gridSpan w:val="3"/>
            <w:shd w:val="clear" w:color="auto" w:fill="auto"/>
            <w:tcMar>
              <w:top w:w="40" w:type="dxa"/>
              <w:left w:w="20" w:type="dxa"/>
              <w:bottom w:w="40" w:type="dxa"/>
              <w:right w:w="20" w:type="dxa"/>
            </w:tcMar>
            <w:vAlign w:val="bottom"/>
          </w:tcPr>
          <w:p w14:paraId="392C1D1B" w14:textId="77777777" w:rsidR="00980E5F" w:rsidRDefault="00483613">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1C" w14:textId="77777777" w:rsidR="00980E5F" w:rsidRDefault="00483613">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1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1E" w14:textId="77777777" w:rsidR="00980E5F" w:rsidRDefault="00483613">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1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0" w14:textId="77777777" w:rsidR="00980E5F" w:rsidRDefault="00483613">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392C1D21" w14:textId="77777777" w:rsidR="00980E5F" w:rsidRDefault="00980E5F">
            <w:pPr>
              <w:rPr>
                <w:rFonts w:ascii="宋体"/>
                <w:vanish/>
              </w:rPr>
            </w:pPr>
          </w:p>
        </w:tc>
        <w:tc>
          <w:tcPr>
            <w:tcW w:w="0" w:type="auto"/>
            <w:shd w:val="clear" w:color="auto" w:fill="auto"/>
            <w:vAlign w:val="bottom"/>
          </w:tcPr>
          <w:p w14:paraId="392C1D2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D2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4" w14:textId="77777777" w:rsidR="00980E5F" w:rsidRDefault="00483613">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2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6" w14:textId="77777777" w:rsidR="00980E5F" w:rsidRDefault="00483613">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2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8" w14:textId="77777777" w:rsidR="00980E5F" w:rsidRDefault="00483613">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392C1D29" w14:textId="77777777" w:rsidR="00980E5F" w:rsidRDefault="00980E5F">
            <w:pPr>
              <w:rPr>
                <w:rFonts w:ascii="宋体"/>
                <w:vanish/>
              </w:rPr>
            </w:pPr>
          </w:p>
        </w:tc>
        <w:tc>
          <w:tcPr>
            <w:tcW w:w="0" w:type="auto"/>
            <w:shd w:val="clear" w:color="auto" w:fill="auto"/>
            <w:vAlign w:val="bottom"/>
          </w:tcPr>
          <w:p w14:paraId="392C1D2A"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D2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C" w14:textId="77777777" w:rsidR="00980E5F" w:rsidRDefault="00483613">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2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D2E" w14:textId="77777777" w:rsidR="00980E5F" w:rsidRDefault="00483613">
            <w:pPr>
              <w:spacing w:after="20"/>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1D2F" w14:textId="77777777" w:rsidR="00980E5F" w:rsidRDefault="00980E5F">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392C1D30" w14:textId="77777777" w:rsidR="00980E5F" w:rsidRDefault="00483613">
            <w:pPr>
              <w:jc w:val="center"/>
              <w:textAlignment w:val="bottom"/>
            </w:pPr>
            <w:r>
              <w:rPr>
                <w:rFonts w:ascii="Arial" w:eastAsia="宋体" w:hAnsi="Arial" w:cs="Arial"/>
                <w:b/>
                <w:bCs/>
                <w:color w:val="000000"/>
                <w:sz w:val="13"/>
                <w:szCs w:val="13"/>
              </w:rPr>
              <w:t>Volatility Risk</w:t>
            </w:r>
          </w:p>
        </w:tc>
      </w:tr>
      <w:tr w:rsidR="00980E5F" w14:paraId="392C1D48" w14:textId="77777777">
        <w:tc>
          <w:tcPr>
            <w:tcW w:w="0" w:type="auto"/>
            <w:gridSpan w:val="3"/>
            <w:shd w:val="clear" w:color="auto" w:fill="auto"/>
            <w:tcMar>
              <w:top w:w="40" w:type="dxa"/>
              <w:left w:w="20" w:type="dxa"/>
              <w:bottom w:w="40" w:type="dxa"/>
              <w:right w:w="20" w:type="dxa"/>
            </w:tcMar>
            <w:vAlign w:val="bottom"/>
          </w:tcPr>
          <w:p w14:paraId="392C1D32" w14:textId="77777777" w:rsidR="00980E5F" w:rsidRDefault="00483613">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3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3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7" w14:textId="77777777" w:rsidR="00980E5F" w:rsidRDefault="00980E5F">
            <w:pPr>
              <w:rPr>
                <w:rFonts w:ascii="宋体"/>
              </w:rPr>
            </w:pPr>
          </w:p>
        </w:tc>
        <w:tc>
          <w:tcPr>
            <w:tcW w:w="0" w:type="auto"/>
            <w:shd w:val="clear" w:color="auto" w:fill="auto"/>
            <w:vAlign w:val="bottom"/>
          </w:tcPr>
          <w:p w14:paraId="392C1D38" w14:textId="77777777" w:rsidR="00980E5F" w:rsidRDefault="00980E5F">
            <w:pPr>
              <w:rPr>
                <w:rFonts w:ascii="宋体"/>
                <w:vanish/>
              </w:rPr>
            </w:pPr>
          </w:p>
        </w:tc>
        <w:tc>
          <w:tcPr>
            <w:tcW w:w="0" w:type="auto"/>
            <w:shd w:val="clear" w:color="auto" w:fill="auto"/>
            <w:vAlign w:val="bottom"/>
          </w:tcPr>
          <w:p w14:paraId="392C1D39"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D3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3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3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3F" w14:textId="77777777" w:rsidR="00980E5F" w:rsidRDefault="00980E5F">
            <w:pPr>
              <w:rPr>
                <w:rFonts w:ascii="宋体"/>
              </w:rPr>
            </w:pPr>
          </w:p>
        </w:tc>
        <w:tc>
          <w:tcPr>
            <w:tcW w:w="0" w:type="auto"/>
            <w:shd w:val="clear" w:color="auto" w:fill="auto"/>
            <w:vAlign w:val="bottom"/>
          </w:tcPr>
          <w:p w14:paraId="392C1D40" w14:textId="77777777" w:rsidR="00980E5F" w:rsidRDefault="00980E5F">
            <w:pPr>
              <w:rPr>
                <w:rFonts w:ascii="宋体"/>
                <w:vanish/>
              </w:rPr>
            </w:pPr>
          </w:p>
        </w:tc>
        <w:tc>
          <w:tcPr>
            <w:tcW w:w="0" w:type="auto"/>
            <w:shd w:val="clear" w:color="auto" w:fill="auto"/>
            <w:vAlign w:val="bottom"/>
          </w:tcPr>
          <w:p w14:paraId="392C1D4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1D4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4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4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D45"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1D46"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1D47" w14:textId="77777777" w:rsidR="00980E5F" w:rsidRDefault="00980E5F">
            <w:pPr>
              <w:rPr>
                <w:rFonts w:ascii="宋体"/>
              </w:rPr>
            </w:pPr>
          </w:p>
        </w:tc>
      </w:tr>
      <w:tr w:rsidR="00483613" w14:paraId="392C1D70" w14:textId="77777777">
        <w:tc>
          <w:tcPr>
            <w:tcW w:w="0" w:type="auto"/>
            <w:gridSpan w:val="3"/>
            <w:shd w:val="clear" w:color="auto" w:fill="CCEEFF"/>
            <w:tcMar>
              <w:top w:w="40" w:type="dxa"/>
              <w:left w:w="20" w:type="dxa"/>
              <w:bottom w:w="40" w:type="dxa"/>
              <w:right w:w="20" w:type="dxa"/>
            </w:tcMar>
            <w:vAlign w:val="bottom"/>
          </w:tcPr>
          <w:p w14:paraId="392C1D49" w14:textId="77777777" w:rsidR="00980E5F" w:rsidRDefault="00483613">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392C1D4A"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D4B" w14:textId="77777777" w:rsidR="00980E5F" w:rsidRDefault="00483613">
            <w:pPr>
              <w:jc w:val="right"/>
              <w:textAlignment w:val="bottom"/>
            </w:pPr>
            <w:r>
              <w:rPr>
                <w:rFonts w:ascii="Arial" w:eastAsia="宋体" w:hAnsi="Arial" w:cs="Arial"/>
                <w:b/>
                <w:bCs/>
                <w:color w:val="000000"/>
                <w:sz w:val="13"/>
                <w:szCs w:val="13"/>
              </w:rPr>
              <w:t>7,440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D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4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4E"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D4F" w14:textId="77777777" w:rsidR="00980E5F" w:rsidRDefault="00483613">
            <w:pPr>
              <w:jc w:val="right"/>
              <w:textAlignment w:val="bottom"/>
            </w:pPr>
            <w:r>
              <w:rPr>
                <w:rFonts w:ascii="Arial" w:eastAsia="宋体" w:hAnsi="Arial" w:cs="Arial"/>
                <w:b/>
                <w:bCs/>
                <w:color w:val="000000"/>
                <w:sz w:val="13"/>
                <w:szCs w:val="13"/>
              </w:rPr>
              <w:t>39,764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D5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5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52"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1D53" w14:textId="77777777" w:rsidR="00980E5F" w:rsidRDefault="00483613">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D54" w14:textId="77777777" w:rsidR="00980E5F" w:rsidRDefault="00980E5F">
            <w:pPr>
              <w:jc w:val="right"/>
              <w:rPr>
                <w:rFonts w:ascii="宋体"/>
              </w:rPr>
            </w:pPr>
          </w:p>
        </w:tc>
        <w:tc>
          <w:tcPr>
            <w:tcW w:w="0" w:type="auto"/>
            <w:shd w:val="clear" w:color="auto" w:fill="auto"/>
            <w:vAlign w:val="bottom"/>
          </w:tcPr>
          <w:p w14:paraId="392C1D55" w14:textId="77777777" w:rsidR="00980E5F" w:rsidRDefault="00980E5F">
            <w:pPr>
              <w:rPr>
                <w:rFonts w:ascii="宋体"/>
                <w:vanish/>
              </w:rPr>
            </w:pPr>
          </w:p>
        </w:tc>
        <w:tc>
          <w:tcPr>
            <w:tcW w:w="0" w:type="auto"/>
            <w:shd w:val="clear" w:color="auto" w:fill="auto"/>
            <w:vAlign w:val="bottom"/>
          </w:tcPr>
          <w:p w14:paraId="392C1D5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D5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58"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D59" w14:textId="77777777" w:rsidR="00980E5F" w:rsidRDefault="00483613">
            <w:pPr>
              <w:jc w:val="right"/>
              <w:textAlignment w:val="bottom"/>
            </w:pPr>
            <w:r>
              <w:rPr>
                <w:rFonts w:ascii="Arial" w:eastAsia="宋体" w:hAnsi="Arial" w:cs="Arial"/>
                <w:color w:val="000000"/>
                <w:sz w:val="13"/>
                <w:szCs w:val="13"/>
              </w:rPr>
              <w:t>8,352 </w:t>
            </w:r>
          </w:p>
        </w:tc>
        <w:tc>
          <w:tcPr>
            <w:tcW w:w="0" w:type="auto"/>
            <w:shd w:val="clear" w:color="auto" w:fill="CCEEFF"/>
            <w:tcMar>
              <w:top w:w="40" w:type="dxa"/>
              <w:left w:w="0" w:type="dxa"/>
              <w:bottom w:w="40" w:type="dxa"/>
              <w:right w:w="20" w:type="dxa"/>
            </w:tcMar>
            <w:vAlign w:val="bottom"/>
          </w:tcPr>
          <w:p w14:paraId="392C1D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5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5C"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D5D" w14:textId="77777777" w:rsidR="00980E5F" w:rsidRDefault="00483613">
            <w:pPr>
              <w:jc w:val="right"/>
              <w:textAlignment w:val="bottom"/>
            </w:pPr>
            <w:r>
              <w:rPr>
                <w:rFonts w:ascii="Arial" w:eastAsia="宋体" w:hAnsi="Arial" w:cs="Arial"/>
                <w:color w:val="000000"/>
                <w:sz w:val="13"/>
                <w:szCs w:val="13"/>
              </w:rPr>
              <w:t>57,507 </w:t>
            </w:r>
          </w:p>
        </w:tc>
        <w:tc>
          <w:tcPr>
            <w:tcW w:w="0" w:type="auto"/>
            <w:shd w:val="clear" w:color="auto" w:fill="CCEEFF"/>
            <w:tcMar>
              <w:top w:w="40" w:type="dxa"/>
              <w:left w:w="0" w:type="dxa"/>
              <w:bottom w:w="40" w:type="dxa"/>
              <w:right w:w="20" w:type="dxa"/>
            </w:tcMar>
            <w:vAlign w:val="bottom"/>
          </w:tcPr>
          <w:p w14:paraId="392C1D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5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60"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D61" w14:textId="77777777" w:rsidR="00980E5F" w:rsidRDefault="00483613">
            <w:pPr>
              <w:jc w:val="right"/>
              <w:textAlignment w:val="bottom"/>
            </w:pPr>
            <w:r>
              <w:rPr>
                <w:rFonts w:ascii="Arial" w:eastAsia="宋体" w:hAnsi="Arial" w:cs="Arial"/>
                <w:color w:val="000000"/>
                <w:sz w:val="13"/>
                <w:szCs w:val="13"/>
              </w:rPr>
              <w:t>540 </w:t>
            </w:r>
          </w:p>
        </w:tc>
        <w:tc>
          <w:tcPr>
            <w:tcW w:w="0" w:type="auto"/>
            <w:shd w:val="clear" w:color="auto" w:fill="CCEEFF"/>
            <w:tcMar>
              <w:top w:w="40" w:type="dxa"/>
              <w:left w:w="0" w:type="dxa"/>
              <w:bottom w:w="40" w:type="dxa"/>
              <w:right w:w="20" w:type="dxa"/>
            </w:tcMar>
            <w:vAlign w:val="bottom"/>
          </w:tcPr>
          <w:p w14:paraId="392C1D62" w14:textId="77777777" w:rsidR="00980E5F" w:rsidRDefault="00980E5F">
            <w:pPr>
              <w:jc w:val="right"/>
              <w:rPr>
                <w:rFonts w:ascii="宋体"/>
              </w:rPr>
            </w:pPr>
          </w:p>
        </w:tc>
        <w:tc>
          <w:tcPr>
            <w:tcW w:w="0" w:type="auto"/>
            <w:shd w:val="clear" w:color="auto" w:fill="auto"/>
            <w:vAlign w:val="bottom"/>
          </w:tcPr>
          <w:p w14:paraId="392C1D63" w14:textId="77777777" w:rsidR="00980E5F" w:rsidRDefault="00980E5F">
            <w:pPr>
              <w:rPr>
                <w:rFonts w:ascii="宋体"/>
                <w:vanish/>
              </w:rPr>
            </w:pPr>
          </w:p>
        </w:tc>
        <w:tc>
          <w:tcPr>
            <w:tcW w:w="0" w:type="auto"/>
            <w:shd w:val="clear" w:color="auto" w:fill="auto"/>
            <w:vAlign w:val="bottom"/>
          </w:tcPr>
          <w:p w14:paraId="392C1D64"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D6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66"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D67" w14:textId="77777777" w:rsidR="00980E5F" w:rsidRDefault="00483613">
            <w:pPr>
              <w:jc w:val="right"/>
              <w:textAlignment w:val="bottom"/>
            </w:pPr>
            <w:r>
              <w:rPr>
                <w:rFonts w:ascii="Arial" w:eastAsia="宋体" w:hAnsi="Arial" w:cs="Arial"/>
                <w:color w:val="000000"/>
                <w:sz w:val="13"/>
                <w:szCs w:val="13"/>
              </w:rPr>
              <w:t>10,456 </w:t>
            </w:r>
          </w:p>
        </w:tc>
        <w:tc>
          <w:tcPr>
            <w:tcW w:w="0" w:type="auto"/>
            <w:shd w:val="clear" w:color="auto" w:fill="CCEEFF"/>
            <w:tcMar>
              <w:top w:w="40" w:type="dxa"/>
              <w:left w:w="0" w:type="dxa"/>
              <w:bottom w:w="40" w:type="dxa"/>
              <w:right w:w="20" w:type="dxa"/>
            </w:tcMar>
            <w:vAlign w:val="bottom"/>
          </w:tcPr>
          <w:p w14:paraId="392C1D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6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6A"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1D6B" w14:textId="77777777" w:rsidR="00980E5F" w:rsidRDefault="00483613">
            <w:pPr>
              <w:jc w:val="right"/>
              <w:textAlignment w:val="bottom"/>
            </w:pPr>
            <w:r>
              <w:rPr>
                <w:rFonts w:ascii="Arial" w:eastAsia="宋体" w:hAnsi="Arial" w:cs="Arial"/>
                <w:color w:val="000000"/>
                <w:sz w:val="13"/>
                <w:szCs w:val="13"/>
              </w:rPr>
              <w:t>59,710 </w:t>
            </w:r>
          </w:p>
        </w:tc>
        <w:tc>
          <w:tcPr>
            <w:tcW w:w="0" w:type="auto"/>
            <w:shd w:val="clear" w:color="auto" w:fill="CCEEFF"/>
            <w:tcMar>
              <w:top w:w="40" w:type="dxa"/>
              <w:left w:w="0" w:type="dxa"/>
              <w:bottom w:w="40" w:type="dxa"/>
              <w:right w:w="20" w:type="dxa"/>
            </w:tcMar>
            <w:vAlign w:val="bottom"/>
          </w:tcPr>
          <w:p w14:paraId="392C1D6C"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D6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6E" w14:textId="77777777" w:rsidR="00980E5F" w:rsidRDefault="00483613">
            <w:pPr>
              <w:textAlignment w:val="bottom"/>
            </w:pPr>
            <w:r>
              <w:rPr>
                <w:rFonts w:ascii="Arial" w:eastAsia="宋体" w:hAnsi="Arial" w:cs="Arial"/>
                <w:color w:val="000000"/>
                <w:sz w:val="13"/>
                <w:szCs w:val="13"/>
              </w:rPr>
              <w:t>$</w:t>
            </w:r>
          </w:p>
          <w:p w14:paraId="392C1D6F" w14:textId="77777777" w:rsidR="00980E5F" w:rsidRDefault="00483613">
            <w:pPr>
              <w:jc w:val="right"/>
              <w:textAlignment w:val="bottom"/>
            </w:pPr>
            <w:r>
              <w:rPr>
                <w:rFonts w:ascii="Arial" w:eastAsia="宋体" w:hAnsi="Arial" w:cs="Arial"/>
                <w:color w:val="000000"/>
                <w:sz w:val="13"/>
                <w:szCs w:val="13"/>
              </w:rPr>
              <w:t>747 </w:t>
            </w:r>
          </w:p>
        </w:tc>
      </w:tr>
      <w:tr w:rsidR="00980E5F" w14:paraId="392C1D8F" w14:textId="77777777">
        <w:tc>
          <w:tcPr>
            <w:tcW w:w="0" w:type="auto"/>
            <w:gridSpan w:val="3"/>
            <w:shd w:val="clear" w:color="auto" w:fill="FFFFFF"/>
            <w:tcMar>
              <w:top w:w="40" w:type="dxa"/>
              <w:left w:w="20" w:type="dxa"/>
              <w:bottom w:w="40" w:type="dxa"/>
              <w:right w:w="20" w:type="dxa"/>
            </w:tcMar>
            <w:vAlign w:val="bottom"/>
          </w:tcPr>
          <w:p w14:paraId="392C1D71" w14:textId="77777777" w:rsidR="00980E5F" w:rsidRDefault="00483613">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392C1D72" w14:textId="77777777" w:rsidR="00980E5F" w:rsidRDefault="00483613">
            <w:pPr>
              <w:jc w:val="right"/>
              <w:textAlignment w:val="bottom"/>
            </w:pPr>
            <w:r>
              <w:rPr>
                <w:rFonts w:ascii="Arial" w:eastAsia="宋体" w:hAnsi="Arial" w:cs="Arial"/>
                <w:b/>
                <w:bCs/>
                <w:color w:val="000000"/>
                <w:sz w:val="13"/>
                <w:szCs w:val="13"/>
              </w:rPr>
              <w:t>1,375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D7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7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75" w14:textId="77777777" w:rsidR="00980E5F" w:rsidRDefault="00483613">
            <w:pPr>
              <w:jc w:val="right"/>
              <w:textAlignment w:val="bottom"/>
            </w:pPr>
            <w:r>
              <w:rPr>
                <w:rFonts w:ascii="Arial" w:eastAsia="宋体" w:hAnsi="Arial" w:cs="Arial"/>
                <w:b/>
                <w:bCs/>
                <w:color w:val="000000"/>
                <w:sz w:val="13"/>
                <w:szCs w:val="13"/>
              </w:rPr>
              <w:t>5,766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D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7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78"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D79" w14:textId="77777777" w:rsidR="00980E5F" w:rsidRDefault="00980E5F">
            <w:pPr>
              <w:jc w:val="right"/>
              <w:rPr>
                <w:rFonts w:ascii="宋体"/>
              </w:rPr>
            </w:pPr>
          </w:p>
        </w:tc>
        <w:tc>
          <w:tcPr>
            <w:tcW w:w="0" w:type="auto"/>
            <w:shd w:val="clear" w:color="auto" w:fill="auto"/>
            <w:vAlign w:val="bottom"/>
          </w:tcPr>
          <w:p w14:paraId="392C1D7A" w14:textId="77777777" w:rsidR="00980E5F" w:rsidRDefault="00980E5F">
            <w:pPr>
              <w:rPr>
                <w:rFonts w:ascii="宋体"/>
                <w:vanish/>
              </w:rPr>
            </w:pPr>
          </w:p>
        </w:tc>
        <w:tc>
          <w:tcPr>
            <w:tcW w:w="0" w:type="auto"/>
            <w:shd w:val="clear" w:color="auto" w:fill="auto"/>
            <w:vAlign w:val="bottom"/>
          </w:tcPr>
          <w:p w14:paraId="392C1D7B"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D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7D" w14:textId="77777777" w:rsidR="00980E5F" w:rsidRDefault="00483613">
            <w:pPr>
              <w:jc w:val="right"/>
              <w:textAlignment w:val="bottom"/>
            </w:pPr>
            <w:r>
              <w:rPr>
                <w:rFonts w:ascii="Arial" w:eastAsia="宋体" w:hAnsi="Arial" w:cs="Arial"/>
                <w:color w:val="000000"/>
                <w:sz w:val="13"/>
                <w:szCs w:val="13"/>
              </w:rPr>
              <w:t>1,076 </w:t>
            </w:r>
          </w:p>
        </w:tc>
        <w:tc>
          <w:tcPr>
            <w:tcW w:w="0" w:type="auto"/>
            <w:shd w:val="clear" w:color="auto" w:fill="FFFFFF"/>
            <w:tcMar>
              <w:top w:w="40" w:type="dxa"/>
              <w:left w:w="0" w:type="dxa"/>
              <w:bottom w:w="40" w:type="dxa"/>
              <w:right w:w="20" w:type="dxa"/>
            </w:tcMar>
            <w:vAlign w:val="bottom"/>
          </w:tcPr>
          <w:p w14:paraId="392C1D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80" w14:textId="77777777" w:rsidR="00980E5F" w:rsidRDefault="00483613">
            <w:pPr>
              <w:jc w:val="right"/>
              <w:textAlignment w:val="bottom"/>
            </w:pPr>
            <w:r>
              <w:rPr>
                <w:rFonts w:ascii="Arial" w:eastAsia="宋体" w:hAnsi="Arial" w:cs="Arial"/>
                <w:color w:val="000000"/>
                <w:sz w:val="13"/>
                <w:szCs w:val="13"/>
              </w:rPr>
              <w:t>5,746 </w:t>
            </w:r>
          </w:p>
        </w:tc>
        <w:tc>
          <w:tcPr>
            <w:tcW w:w="0" w:type="auto"/>
            <w:shd w:val="clear" w:color="auto" w:fill="FFFFFF"/>
            <w:tcMar>
              <w:top w:w="40" w:type="dxa"/>
              <w:left w:w="0" w:type="dxa"/>
              <w:bottom w:w="40" w:type="dxa"/>
              <w:right w:w="20" w:type="dxa"/>
            </w:tcMar>
            <w:vAlign w:val="bottom"/>
          </w:tcPr>
          <w:p w14:paraId="392C1D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8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1D84" w14:textId="77777777" w:rsidR="00980E5F" w:rsidRDefault="00980E5F">
            <w:pPr>
              <w:jc w:val="right"/>
              <w:rPr>
                <w:rFonts w:ascii="宋体"/>
              </w:rPr>
            </w:pPr>
          </w:p>
        </w:tc>
        <w:tc>
          <w:tcPr>
            <w:tcW w:w="0" w:type="auto"/>
            <w:shd w:val="clear" w:color="auto" w:fill="auto"/>
            <w:vAlign w:val="bottom"/>
          </w:tcPr>
          <w:p w14:paraId="392C1D85" w14:textId="77777777" w:rsidR="00980E5F" w:rsidRDefault="00980E5F">
            <w:pPr>
              <w:rPr>
                <w:rFonts w:ascii="宋体"/>
                <w:vanish/>
              </w:rPr>
            </w:pPr>
          </w:p>
        </w:tc>
        <w:tc>
          <w:tcPr>
            <w:tcW w:w="0" w:type="auto"/>
            <w:shd w:val="clear" w:color="auto" w:fill="auto"/>
            <w:vAlign w:val="bottom"/>
          </w:tcPr>
          <w:p w14:paraId="392C1D86"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D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88" w14:textId="77777777" w:rsidR="00980E5F" w:rsidRDefault="00483613">
            <w:pPr>
              <w:jc w:val="right"/>
              <w:textAlignment w:val="bottom"/>
            </w:pPr>
            <w:r>
              <w:rPr>
                <w:rFonts w:ascii="Arial" w:eastAsia="宋体" w:hAnsi="Arial" w:cs="Arial"/>
                <w:color w:val="000000"/>
                <w:sz w:val="13"/>
                <w:szCs w:val="13"/>
              </w:rPr>
              <w:t>117 </w:t>
            </w:r>
          </w:p>
        </w:tc>
        <w:tc>
          <w:tcPr>
            <w:tcW w:w="0" w:type="auto"/>
            <w:shd w:val="clear" w:color="auto" w:fill="FFFFFF"/>
            <w:tcMar>
              <w:top w:w="40" w:type="dxa"/>
              <w:left w:w="0" w:type="dxa"/>
              <w:bottom w:w="40" w:type="dxa"/>
              <w:right w:w="20" w:type="dxa"/>
            </w:tcMar>
            <w:vAlign w:val="bottom"/>
          </w:tcPr>
          <w:p w14:paraId="392C1D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D8B" w14:textId="77777777" w:rsidR="00980E5F" w:rsidRDefault="00483613">
            <w:pPr>
              <w:jc w:val="right"/>
              <w:textAlignment w:val="bottom"/>
            </w:pPr>
            <w:r>
              <w:rPr>
                <w:rFonts w:ascii="Arial" w:eastAsia="宋体" w:hAnsi="Arial" w:cs="Arial"/>
                <w:color w:val="000000"/>
                <w:sz w:val="13"/>
                <w:szCs w:val="13"/>
              </w:rPr>
              <w:t>6,350 </w:t>
            </w:r>
          </w:p>
        </w:tc>
        <w:tc>
          <w:tcPr>
            <w:tcW w:w="0" w:type="auto"/>
            <w:shd w:val="clear" w:color="auto" w:fill="FFFFFF"/>
            <w:tcMar>
              <w:top w:w="40" w:type="dxa"/>
              <w:left w:w="0" w:type="dxa"/>
              <w:bottom w:w="40" w:type="dxa"/>
              <w:right w:w="20" w:type="dxa"/>
            </w:tcMar>
            <w:vAlign w:val="bottom"/>
          </w:tcPr>
          <w:p w14:paraId="392C1D8C"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D8D"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1D8E" w14:textId="77777777" w:rsidR="00980E5F" w:rsidRDefault="00483613">
            <w:pPr>
              <w:jc w:val="right"/>
              <w:textAlignment w:val="bottom"/>
            </w:pPr>
            <w:r>
              <w:rPr>
                <w:rFonts w:ascii="Arial" w:eastAsia="宋体" w:hAnsi="Arial" w:cs="Arial"/>
                <w:color w:val="000000"/>
                <w:sz w:val="13"/>
                <w:szCs w:val="13"/>
              </w:rPr>
              <w:t>— </w:t>
            </w:r>
          </w:p>
        </w:tc>
      </w:tr>
      <w:tr w:rsidR="00980E5F" w14:paraId="392C1DAE" w14:textId="77777777">
        <w:tc>
          <w:tcPr>
            <w:tcW w:w="0" w:type="auto"/>
            <w:gridSpan w:val="3"/>
            <w:shd w:val="clear" w:color="auto" w:fill="CCEEFF"/>
            <w:tcMar>
              <w:top w:w="40" w:type="dxa"/>
              <w:left w:w="20" w:type="dxa"/>
              <w:bottom w:w="40" w:type="dxa"/>
              <w:right w:w="20" w:type="dxa"/>
            </w:tcMar>
            <w:vAlign w:val="bottom"/>
          </w:tcPr>
          <w:p w14:paraId="392C1D90" w14:textId="77777777" w:rsidR="00980E5F" w:rsidRDefault="00483613">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392C1D91" w14:textId="77777777" w:rsidR="00980E5F" w:rsidRDefault="00483613">
            <w:pPr>
              <w:jc w:val="right"/>
              <w:textAlignment w:val="bottom"/>
            </w:pPr>
            <w:r>
              <w:rPr>
                <w:rFonts w:ascii="Arial" w:eastAsia="宋体" w:hAnsi="Arial" w:cs="Arial"/>
                <w:b/>
                <w:bCs/>
                <w:color w:val="000000"/>
                <w:sz w:val="13"/>
                <w:szCs w:val="13"/>
              </w:rPr>
              <w:t>(709)</w:t>
            </w:r>
          </w:p>
        </w:tc>
        <w:tc>
          <w:tcPr>
            <w:tcW w:w="0" w:type="auto"/>
            <w:shd w:val="clear" w:color="auto" w:fill="CCEEFF"/>
            <w:tcMar>
              <w:top w:w="40" w:type="dxa"/>
              <w:left w:w="0" w:type="dxa"/>
              <w:bottom w:w="40" w:type="dxa"/>
              <w:right w:w="20" w:type="dxa"/>
            </w:tcMar>
            <w:vAlign w:val="bottom"/>
          </w:tcPr>
          <w:p w14:paraId="392C1D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9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94" w14:textId="77777777" w:rsidR="00980E5F" w:rsidRDefault="00483613">
            <w:pPr>
              <w:jc w:val="right"/>
              <w:textAlignment w:val="bottom"/>
            </w:pPr>
            <w:r>
              <w:rPr>
                <w:rFonts w:ascii="Arial" w:eastAsia="宋体" w:hAnsi="Arial" w:cs="Arial"/>
                <w:b/>
                <w:bCs/>
                <w:color w:val="000000"/>
                <w:sz w:val="13"/>
                <w:szCs w:val="13"/>
              </w:rPr>
              <w:t>(6,631)</w:t>
            </w:r>
          </w:p>
        </w:tc>
        <w:tc>
          <w:tcPr>
            <w:tcW w:w="0" w:type="auto"/>
            <w:shd w:val="clear" w:color="auto" w:fill="CCEEFF"/>
            <w:tcMar>
              <w:top w:w="40" w:type="dxa"/>
              <w:left w:w="0" w:type="dxa"/>
              <w:bottom w:w="40" w:type="dxa"/>
              <w:right w:w="20" w:type="dxa"/>
            </w:tcMar>
            <w:vAlign w:val="bottom"/>
          </w:tcPr>
          <w:p w14:paraId="392C1D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97"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D98" w14:textId="77777777" w:rsidR="00980E5F" w:rsidRDefault="00980E5F">
            <w:pPr>
              <w:jc w:val="right"/>
              <w:rPr>
                <w:rFonts w:ascii="宋体"/>
              </w:rPr>
            </w:pPr>
          </w:p>
        </w:tc>
        <w:tc>
          <w:tcPr>
            <w:tcW w:w="0" w:type="auto"/>
            <w:shd w:val="clear" w:color="auto" w:fill="auto"/>
            <w:vAlign w:val="bottom"/>
          </w:tcPr>
          <w:p w14:paraId="392C1D99" w14:textId="77777777" w:rsidR="00980E5F" w:rsidRDefault="00980E5F">
            <w:pPr>
              <w:rPr>
                <w:rFonts w:ascii="宋体"/>
                <w:vanish/>
              </w:rPr>
            </w:pPr>
          </w:p>
        </w:tc>
        <w:tc>
          <w:tcPr>
            <w:tcW w:w="0" w:type="auto"/>
            <w:shd w:val="clear" w:color="auto" w:fill="auto"/>
            <w:vAlign w:val="bottom"/>
          </w:tcPr>
          <w:p w14:paraId="392C1D9A"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D9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9C" w14:textId="77777777" w:rsidR="00980E5F" w:rsidRDefault="00483613">
            <w:pPr>
              <w:jc w:val="right"/>
              <w:textAlignment w:val="bottom"/>
            </w:pPr>
            <w:r>
              <w:rPr>
                <w:rFonts w:ascii="Arial" w:eastAsia="宋体" w:hAnsi="Arial" w:cs="Arial"/>
                <w:color w:val="000000"/>
                <w:sz w:val="13"/>
                <w:szCs w:val="13"/>
              </w:rPr>
              <w:t>(1,403)</w:t>
            </w:r>
          </w:p>
        </w:tc>
        <w:tc>
          <w:tcPr>
            <w:tcW w:w="0" w:type="auto"/>
            <w:shd w:val="clear" w:color="auto" w:fill="CCEEFF"/>
            <w:tcMar>
              <w:top w:w="40" w:type="dxa"/>
              <w:left w:w="0" w:type="dxa"/>
              <w:bottom w:w="40" w:type="dxa"/>
              <w:right w:w="20" w:type="dxa"/>
            </w:tcMar>
            <w:vAlign w:val="bottom"/>
          </w:tcPr>
          <w:p w14:paraId="392C1D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9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9F" w14:textId="77777777" w:rsidR="00980E5F" w:rsidRDefault="00483613">
            <w:pPr>
              <w:jc w:val="right"/>
              <w:textAlignment w:val="bottom"/>
            </w:pPr>
            <w:r>
              <w:rPr>
                <w:rFonts w:ascii="Arial" w:eastAsia="宋体" w:hAnsi="Arial" w:cs="Arial"/>
                <w:color w:val="000000"/>
                <w:sz w:val="13"/>
                <w:szCs w:val="13"/>
              </w:rPr>
              <w:t>(7,286)</w:t>
            </w:r>
          </w:p>
        </w:tc>
        <w:tc>
          <w:tcPr>
            <w:tcW w:w="0" w:type="auto"/>
            <w:shd w:val="clear" w:color="auto" w:fill="CCEEFF"/>
            <w:tcMar>
              <w:top w:w="40" w:type="dxa"/>
              <w:left w:w="0" w:type="dxa"/>
              <w:bottom w:w="40" w:type="dxa"/>
              <w:right w:w="20" w:type="dxa"/>
            </w:tcMar>
            <w:vAlign w:val="bottom"/>
          </w:tcPr>
          <w:p w14:paraId="392C1D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A2"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1DA3" w14:textId="77777777" w:rsidR="00980E5F" w:rsidRDefault="00980E5F">
            <w:pPr>
              <w:jc w:val="right"/>
              <w:rPr>
                <w:rFonts w:ascii="宋体"/>
              </w:rPr>
            </w:pPr>
          </w:p>
        </w:tc>
        <w:tc>
          <w:tcPr>
            <w:tcW w:w="0" w:type="auto"/>
            <w:shd w:val="clear" w:color="auto" w:fill="auto"/>
            <w:vAlign w:val="bottom"/>
          </w:tcPr>
          <w:p w14:paraId="392C1DA4" w14:textId="77777777" w:rsidR="00980E5F" w:rsidRDefault="00980E5F">
            <w:pPr>
              <w:rPr>
                <w:rFonts w:ascii="宋体"/>
                <w:vanish/>
              </w:rPr>
            </w:pPr>
          </w:p>
        </w:tc>
        <w:tc>
          <w:tcPr>
            <w:tcW w:w="0" w:type="auto"/>
            <w:shd w:val="clear" w:color="auto" w:fill="auto"/>
            <w:vAlign w:val="bottom"/>
          </w:tcPr>
          <w:p w14:paraId="392C1DA5"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1DA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A7" w14:textId="77777777" w:rsidR="00980E5F" w:rsidRDefault="00483613">
            <w:pPr>
              <w:jc w:val="right"/>
              <w:textAlignment w:val="bottom"/>
            </w:pPr>
            <w:r>
              <w:rPr>
                <w:rFonts w:ascii="Arial" w:eastAsia="宋体" w:hAnsi="Arial" w:cs="Arial"/>
                <w:color w:val="000000"/>
                <w:sz w:val="13"/>
                <w:szCs w:val="13"/>
              </w:rPr>
              <w:t>(191)</w:t>
            </w:r>
          </w:p>
        </w:tc>
        <w:tc>
          <w:tcPr>
            <w:tcW w:w="0" w:type="auto"/>
            <w:shd w:val="clear" w:color="auto" w:fill="CCEEFF"/>
            <w:tcMar>
              <w:top w:w="40" w:type="dxa"/>
              <w:left w:w="0" w:type="dxa"/>
              <w:bottom w:w="40" w:type="dxa"/>
              <w:right w:w="20" w:type="dxa"/>
            </w:tcMar>
            <w:vAlign w:val="bottom"/>
          </w:tcPr>
          <w:p w14:paraId="392C1D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DA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DAA" w14:textId="77777777" w:rsidR="00980E5F" w:rsidRDefault="00483613">
            <w:pPr>
              <w:jc w:val="right"/>
              <w:textAlignment w:val="bottom"/>
            </w:pPr>
            <w:r>
              <w:rPr>
                <w:rFonts w:ascii="Arial" w:eastAsia="宋体" w:hAnsi="Arial" w:cs="Arial"/>
                <w:color w:val="000000"/>
                <w:sz w:val="13"/>
                <w:szCs w:val="13"/>
              </w:rPr>
              <w:t>8,450 </w:t>
            </w:r>
          </w:p>
        </w:tc>
        <w:tc>
          <w:tcPr>
            <w:tcW w:w="0" w:type="auto"/>
            <w:shd w:val="clear" w:color="auto" w:fill="CCEEFF"/>
            <w:tcMar>
              <w:top w:w="40" w:type="dxa"/>
              <w:left w:w="0" w:type="dxa"/>
              <w:bottom w:w="40" w:type="dxa"/>
              <w:right w:w="20" w:type="dxa"/>
            </w:tcMar>
            <w:vAlign w:val="bottom"/>
          </w:tcPr>
          <w:p w14:paraId="392C1DAB"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1DA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DAD" w14:textId="77777777" w:rsidR="00980E5F" w:rsidRDefault="00483613">
            <w:pPr>
              <w:jc w:val="right"/>
              <w:textAlignment w:val="bottom"/>
            </w:pPr>
            <w:r>
              <w:rPr>
                <w:rFonts w:ascii="Arial" w:eastAsia="宋体" w:hAnsi="Arial" w:cs="Arial"/>
                <w:color w:val="000000"/>
                <w:sz w:val="13"/>
                <w:szCs w:val="13"/>
              </w:rPr>
              <w:t>— </w:t>
            </w:r>
          </w:p>
        </w:tc>
      </w:tr>
      <w:tr w:rsidR="00483613" w14:paraId="392C1DD6" w14:textId="77777777">
        <w:tc>
          <w:tcPr>
            <w:tcW w:w="0" w:type="auto"/>
            <w:gridSpan w:val="3"/>
            <w:shd w:val="clear" w:color="auto" w:fill="FFFFFF"/>
            <w:tcMar>
              <w:top w:w="40" w:type="dxa"/>
              <w:left w:w="20" w:type="dxa"/>
              <w:bottom w:w="40" w:type="dxa"/>
              <w:right w:w="20" w:type="dxa"/>
            </w:tcMar>
            <w:vAlign w:val="bottom"/>
          </w:tcPr>
          <w:p w14:paraId="392C1DAF" w14:textId="77777777" w:rsidR="00980E5F" w:rsidRDefault="00483613">
            <w:pPr>
              <w:spacing w:after="20"/>
              <w:textAlignment w:val="bottom"/>
            </w:pPr>
            <w:r>
              <w:rPr>
                <w:rFonts w:ascii="Arial" w:eastAsia="宋体" w:hAnsi="Arial" w:cs="Arial"/>
                <w:color w:val="000000"/>
                <w:sz w:val="13"/>
                <w:szCs w:val="13"/>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B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B1" w14:textId="77777777" w:rsidR="00980E5F" w:rsidRDefault="00483613">
            <w:pPr>
              <w:jc w:val="right"/>
              <w:textAlignment w:val="bottom"/>
            </w:pPr>
            <w:r>
              <w:rPr>
                <w:rFonts w:ascii="Arial" w:eastAsia="宋体" w:hAnsi="Arial" w:cs="Arial"/>
                <w:b/>
                <w:bCs/>
                <w:color w:val="000000"/>
                <w:sz w:val="13"/>
                <w:szCs w:val="13"/>
              </w:rPr>
              <w:t>8,106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B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B4"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B5" w14:textId="77777777" w:rsidR="00980E5F" w:rsidRDefault="00483613">
            <w:pPr>
              <w:jc w:val="right"/>
              <w:textAlignment w:val="bottom"/>
            </w:pPr>
            <w:r>
              <w:rPr>
                <w:rFonts w:ascii="Arial" w:eastAsia="宋体" w:hAnsi="Arial" w:cs="Arial"/>
                <w:b/>
                <w:bCs/>
                <w:color w:val="000000"/>
                <w:sz w:val="13"/>
                <w:szCs w:val="13"/>
              </w:rPr>
              <w:t>38,899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B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B8"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B9" w14:textId="77777777" w:rsidR="00980E5F" w:rsidRDefault="00483613">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BA" w14:textId="77777777" w:rsidR="00980E5F" w:rsidRDefault="00980E5F">
            <w:pPr>
              <w:jc w:val="right"/>
              <w:rPr>
                <w:rFonts w:ascii="宋体"/>
              </w:rPr>
            </w:pPr>
          </w:p>
        </w:tc>
        <w:tc>
          <w:tcPr>
            <w:tcW w:w="0" w:type="auto"/>
            <w:shd w:val="clear" w:color="auto" w:fill="auto"/>
            <w:vAlign w:val="bottom"/>
          </w:tcPr>
          <w:p w14:paraId="392C1DBB" w14:textId="77777777" w:rsidR="00980E5F" w:rsidRDefault="00980E5F">
            <w:pPr>
              <w:rPr>
                <w:rFonts w:ascii="宋体"/>
                <w:vanish/>
              </w:rPr>
            </w:pPr>
          </w:p>
        </w:tc>
        <w:tc>
          <w:tcPr>
            <w:tcW w:w="0" w:type="auto"/>
            <w:shd w:val="clear" w:color="auto" w:fill="auto"/>
            <w:vAlign w:val="bottom"/>
          </w:tcPr>
          <w:p w14:paraId="392C1DBC"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DBD"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B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BF" w14:textId="77777777" w:rsidR="00980E5F" w:rsidRDefault="00483613">
            <w:pPr>
              <w:jc w:val="right"/>
              <w:textAlignment w:val="bottom"/>
            </w:pPr>
            <w:r>
              <w:rPr>
                <w:rFonts w:ascii="Arial" w:eastAsia="宋体" w:hAnsi="Arial" w:cs="Arial"/>
                <w:color w:val="000000"/>
                <w:sz w:val="13"/>
                <w:szCs w:val="13"/>
              </w:rPr>
              <w:t>8,025 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C1"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C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C3" w14:textId="77777777" w:rsidR="00980E5F" w:rsidRDefault="00483613">
            <w:pPr>
              <w:jc w:val="right"/>
              <w:textAlignment w:val="bottom"/>
            </w:pPr>
            <w:r>
              <w:rPr>
                <w:rFonts w:ascii="Arial" w:eastAsia="宋体" w:hAnsi="Arial" w:cs="Arial"/>
                <w:color w:val="000000"/>
                <w:sz w:val="13"/>
                <w:szCs w:val="13"/>
              </w:rPr>
              <w:t>55,967 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C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C6"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C7" w14:textId="77777777" w:rsidR="00980E5F" w:rsidRDefault="00483613">
            <w:pPr>
              <w:jc w:val="right"/>
              <w:textAlignment w:val="bottom"/>
            </w:pPr>
            <w:r>
              <w:rPr>
                <w:rFonts w:ascii="Arial" w:eastAsia="宋体" w:hAnsi="Arial" w:cs="Arial"/>
                <w:color w:val="000000"/>
                <w:sz w:val="13"/>
                <w:szCs w:val="13"/>
              </w:rPr>
              <w:t>540 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C8" w14:textId="77777777" w:rsidR="00980E5F" w:rsidRDefault="00980E5F">
            <w:pPr>
              <w:jc w:val="right"/>
              <w:rPr>
                <w:rFonts w:ascii="宋体"/>
              </w:rPr>
            </w:pPr>
          </w:p>
        </w:tc>
        <w:tc>
          <w:tcPr>
            <w:tcW w:w="0" w:type="auto"/>
            <w:shd w:val="clear" w:color="auto" w:fill="auto"/>
            <w:vAlign w:val="bottom"/>
          </w:tcPr>
          <w:p w14:paraId="392C1DC9" w14:textId="77777777" w:rsidR="00980E5F" w:rsidRDefault="00980E5F">
            <w:pPr>
              <w:rPr>
                <w:rFonts w:ascii="宋体"/>
                <w:vanish/>
              </w:rPr>
            </w:pPr>
          </w:p>
        </w:tc>
        <w:tc>
          <w:tcPr>
            <w:tcW w:w="0" w:type="auto"/>
            <w:shd w:val="clear" w:color="auto" w:fill="auto"/>
            <w:vAlign w:val="bottom"/>
          </w:tcPr>
          <w:p w14:paraId="392C1DCA"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1DCB"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CC"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CD" w14:textId="77777777" w:rsidR="00980E5F" w:rsidRDefault="00483613">
            <w:pPr>
              <w:jc w:val="right"/>
              <w:textAlignment w:val="bottom"/>
            </w:pPr>
            <w:r>
              <w:rPr>
                <w:rFonts w:ascii="Arial" w:eastAsia="宋体" w:hAnsi="Arial" w:cs="Arial"/>
                <w:color w:val="000000"/>
                <w:sz w:val="13"/>
                <w:szCs w:val="13"/>
              </w:rPr>
              <w:t>10,382 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DC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D0"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1DD1" w14:textId="77777777" w:rsidR="00980E5F" w:rsidRDefault="00483613">
            <w:pPr>
              <w:jc w:val="right"/>
              <w:textAlignment w:val="bottom"/>
            </w:pPr>
            <w:r>
              <w:rPr>
                <w:rFonts w:ascii="Arial" w:eastAsia="宋体" w:hAnsi="Arial" w:cs="Arial"/>
                <w:color w:val="000000"/>
                <w:sz w:val="13"/>
                <w:szCs w:val="13"/>
              </w:rPr>
              <w:t>74,510 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1DD2"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1DD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1DD4" w14:textId="77777777" w:rsidR="00980E5F" w:rsidRDefault="00483613">
            <w:pPr>
              <w:textAlignment w:val="bottom"/>
            </w:pPr>
            <w:r>
              <w:rPr>
                <w:rFonts w:ascii="Arial" w:eastAsia="宋体" w:hAnsi="Arial" w:cs="Arial"/>
                <w:color w:val="000000"/>
                <w:sz w:val="13"/>
                <w:szCs w:val="13"/>
              </w:rPr>
              <w:t>$</w:t>
            </w:r>
          </w:p>
          <w:p w14:paraId="392C1DD5" w14:textId="77777777" w:rsidR="00980E5F" w:rsidRDefault="00483613">
            <w:pPr>
              <w:jc w:val="right"/>
              <w:textAlignment w:val="bottom"/>
            </w:pPr>
            <w:r>
              <w:rPr>
                <w:rFonts w:ascii="Arial" w:eastAsia="宋体" w:hAnsi="Arial" w:cs="Arial"/>
                <w:color w:val="000000"/>
                <w:sz w:val="13"/>
                <w:szCs w:val="13"/>
              </w:rPr>
              <w:t>747 </w:t>
            </w:r>
          </w:p>
        </w:tc>
      </w:tr>
    </w:tbl>
    <w:p w14:paraId="392C1DD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980E5F" w14:paraId="392C1DE1" w14:textId="77777777">
        <w:tc>
          <w:tcPr>
            <w:tcW w:w="50" w:type="pct"/>
            <w:shd w:val="clear" w:color="auto" w:fill="auto"/>
            <w:vAlign w:val="bottom"/>
          </w:tcPr>
          <w:p w14:paraId="392C1DD8" w14:textId="77777777" w:rsidR="00980E5F" w:rsidRDefault="00980E5F">
            <w:pPr>
              <w:rPr>
                <w:rFonts w:ascii="宋体"/>
              </w:rPr>
            </w:pPr>
          </w:p>
        </w:tc>
        <w:tc>
          <w:tcPr>
            <w:tcW w:w="1348" w:type="pct"/>
            <w:shd w:val="clear" w:color="auto" w:fill="auto"/>
            <w:vAlign w:val="bottom"/>
          </w:tcPr>
          <w:p w14:paraId="392C1DD9" w14:textId="77777777" w:rsidR="00980E5F" w:rsidRDefault="00980E5F">
            <w:pPr>
              <w:rPr>
                <w:rFonts w:ascii="宋体"/>
              </w:rPr>
            </w:pPr>
          </w:p>
        </w:tc>
        <w:tc>
          <w:tcPr>
            <w:tcW w:w="5" w:type="pct"/>
            <w:shd w:val="clear" w:color="auto" w:fill="auto"/>
            <w:vAlign w:val="bottom"/>
          </w:tcPr>
          <w:p w14:paraId="392C1DDA" w14:textId="77777777" w:rsidR="00980E5F" w:rsidRDefault="00980E5F">
            <w:pPr>
              <w:rPr>
                <w:rFonts w:ascii="宋体"/>
              </w:rPr>
            </w:pPr>
          </w:p>
        </w:tc>
        <w:tc>
          <w:tcPr>
            <w:tcW w:w="50" w:type="pct"/>
            <w:shd w:val="clear" w:color="auto" w:fill="auto"/>
            <w:vAlign w:val="bottom"/>
          </w:tcPr>
          <w:p w14:paraId="392C1DDB" w14:textId="77777777" w:rsidR="00980E5F" w:rsidRDefault="00980E5F">
            <w:pPr>
              <w:rPr>
                <w:rFonts w:ascii="宋体"/>
              </w:rPr>
            </w:pPr>
          </w:p>
        </w:tc>
        <w:tc>
          <w:tcPr>
            <w:tcW w:w="1290" w:type="pct"/>
            <w:shd w:val="clear" w:color="auto" w:fill="auto"/>
            <w:vAlign w:val="bottom"/>
          </w:tcPr>
          <w:p w14:paraId="392C1DDC" w14:textId="77777777" w:rsidR="00980E5F" w:rsidRDefault="00980E5F">
            <w:pPr>
              <w:rPr>
                <w:rFonts w:ascii="宋体"/>
              </w:rPr>
            </w:pPr>
          </w:p>
        </w:tc>
        <w:tc>
          <w:tcPr>
            <w:tcW w:w="5" w:type="pct"/>
            <w:shd w:val="clear" w:color="auto" w:fill="auto"/>
            <w:vAlign w:val="bottom"/>
          </w:tcPr>
          <w:p w14:paraId="392C1DDD" w14:textId="77777777" w:rsidR="00980E5F" w:rsidRDefault="00980E5F">
            <w:pPr>
              <w:rPr>
                <w:rFonts w:ascii="宋体"/>
              </w:rPr>
            </w:pPr>
          </w:p>
        </w:tc>
        <w:tc>
          <w:tcPr>
            <w:tcW w:w="50" w:type="pct"/>
            <w:shd w:val="clear" w:color="auto" w:fill="auto"/>
            <w:vAlign w:val="bottom"/>
          </w:tcPr>
          <w:p w14:paraId="392C1DDE" w14:textId="77777777" w:rsidR="00980E5F" w:rsidRDefault="00980E5F">
            <w:pPr>
              <w:rPr>
                <w:rFonts w:ascii="宋体"/>
              </w:rPr>
            </w:pPr>
          </w:p>
        </w:tc>
        <w:tc>
          <w:tcPr>
            <w:tcW w:w="2196" w:type="pct"/>
            <w:shd w:val="clear" w:color="auto" w:fill="auto"/>
            <w:vAlign w:val="bottom"/>
          </w:tcPr>
          <w:p w14:paraId="392C1DDF" w14:textId="77777777" w:rsidR="00980E5F" w:rsidRDefault="00980E5F">
            <w:pPr>
              <w:rPr>
                <w:rFonts w:ascii="宋体"/>
              </w:rPr>
            </w:pPr>
          </w:p>
        </w:tc>
        <w:tc>
          <w:tcPr>
            <w:tcW w:w="5" w:type="pct"/>
            <w:shd w:val="clear" w:color="auto" w:fill="auto"/>
            <w:vAlign w:val="bottom"/>
          </w:tcPr>
          <w:p w14:paraId="392C1DE0" w14:textId="77777777" w:rsidR="00980E5F" w:rsidRDefault="00980E5F">
            <w:pPr>
              <w:rPr>
                <w:rFonts w:ascii="宋体"/>
              </w:rPr>
            </w:pPr>
          </w:p>
        </w:tc>
      </w:tr>
      <w:tr w:rsidR="00980E5F" w14:paraId="392C1DE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D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DE4" w14:textId="77777777" w:rsidR="00980E5F" w:rsidRDefault="00980E5F">
            <w:pPr>
              <w:rPr>
                <w:rFonts w:ascii="宋体"/>
              </w:rPr>
            </w:pPr>
          </w:p>
        </w:tc>
      </w:tr>
    </w:tbl>
    <w:p w14:paraId="392C1DE6" w14:textId="77777777" w:rsidR="00980E5F" w:rsidRDefault="00483613">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392C1DE7" w14:textId="77777777" w:rsidR="00980E5F" w:rsidRDefault="00483613">
      <w:pPr>
        <w:spacing w:before="60"/>
      </w:pPr>
      <w:r>
        <w:rPr>
          <w:rFonts w:ascii="Arial" w:eastAsia="宋体" w:hAnsi="Arial" w:cs="Arial"/>
          <w:b/>
          <w:bCs/>
          <w:i/>
          <w:iCs/>
          <w:color w:val="000000"/>
          <w:sz w:val="20"/>
          <w:szCs w:val="20"/>
        </w:rPr>
        <w:t>Asset and Liability Management Activities</w:t>
      </w:r>
    </w:p>
    <w:p w14:paraId="392C1DE8" w14:textId="77777777" w:rsidR="00980E5F" w:rsidRDefault="00483613">
      <w:pPr>
        <w:spacing w:before="60"/>
        <w:ind w:firstLine="450"/>
        <w:jc w:val="both"/>
      </w:pPr>
      <w:r>
        <w:rPr>
          <w:rFonts w:ascii="Arial" w:eastAsia="宋体" w:hAnsi="Arial" w:cs="Arial"/>
          <w:color w:val="000000"/>
          <w:sz w:val="20"/>
          <w:szCs w:val="20"/>
        </w:rPr>
        <w:t>The primary objective of asset a</w:t>
      </w:r>
      <w:r>
        <w:rPr>
          <w:rFonts w:ascii="Arial" w:eastAsia="宋体" w:hAnsi="Arial" w:cs="Arial"/>
          <w:color w:val="000000"/>
          <w:sz w:val="20"/>
          <w:szCs w:val="20"/>
        </w:rPr>
        <w:t>nd liability management is to provide sustainable NII under varying economic conditions, while protecting the economic value of the assets and liabilities carried on our consolidated statement of condition from the adverse effects of changes in interest ra</w:t>
      </w:r>
      <w:r>
        <w:rPr>
          <w:rFonts w:ascii="Arial" w:eastAsia="宋体" w:hAnsi="Arial" w:cs="Arial"/>
          <w:color w:val="000000"/>
          <w:sz w:val="20"/>
          <w:szCs w:val="20"/>
        </w:rPr>
        <w:t>tes. While many market factors affect the level of NII and the economic value of our assets and liabilities, one of the most significant factors is our exposure to movements in interest rates. Most of our NII is earned from the investment of client deposit</w:t>
      </w:r>
      <w:r>
        <w:rPr>
          <w:rFonts w:ascii="Arial" w:eastAsia="宋体" w:hAnsi="Arial" w:cs="Arial"/>
          <w:color w:val="000000"/>
          <w:sz w:val="20"/>
          <w:szCs w:val="20"/>
        </w:rPr>
        <w:t>s generated by our businesses. We invest these client deposits in assets that conform generally to the liquidity characteristics of our balance sheet liabilities, as well as the currency composition of our significant non-U.S. dollar denominated client dep</w:t>
      </w:r>
      <w:r>
        <w:rPr>
          <w:rFonts w:ascii="Arial" w:eastAsia="宋体" w:hAnsi="Arial" w:cs="Arial"/>
          <w:color w:val="000000"/>
          <w:sz w:val="20"/>
          <w:szCs w:val="20"/>
        </w:rPr>
        <w:t>osits.</w:t>
      </w:r>
    </w:p>
    <w:p w14:paraId="392C1DE9" w14:textId="77777777" w:rsidR="00980E5F" w:rsidRDefault="00483613">
      <w:pPr>
        <w:spacing w:before="60"/>
        <w:ind w:firstLine="450"/>
        <w:jc w:val="both"/>
      </w:pPr>
      <w:r>
        <w:rPr>
          <w:rFonts w:ascii="Arial" w:eastAsia="宋体" w:hAnsi="Arial" w:cs="Arial"/>
          <w:color w:val="000000"/>
          <w:sz w:val="20"/>
          <w:szCs w:val="20"/>
        </w:rPr>
        <w:t>We quantify NII sensitivity using an earnings simulation model that includes our expectations for new business growth, changes in balance sheet mix and investment portfolio positioning. This measure compares our baseline view of NII over a twelve-mo</w:t>
      </w:r>
      <w:r>
        <w:rPr>
          <w:rFonts w:ascii="Arial" w:eastAsia="宋体" w:hAnsi="Arial" w:cs="Arial"/>
          <w:color w:val="000000"/>
          <w:sz w:val="20"/>
          <w:szCs w:val="20"/>
        </w:rPr>
        <w:t>nth horizon, based on our internal forecast of interest rates, to a wide range of rate shocks. Our baseline view of NII is updated on a regular basis. Table 32, Key Interest Rates for Baseline Forecasts, presents the spot and 12-month forward rates used in</w:t>
      </w:r>
      <w:r>
        <w:rPr>
          <w:rFonts w:ascii="Arial" w:eastAsia="宋体" w:hAnsi="Arial" w:cs="Arial"/>
          <w:color w:val="000000"/>
          <w:sz w:val="20"/>
          <w:szCs w:val="20"/>
        </w:rPr>
        <w:t xml:space="preserve"> our baseline forecasts at June 30, 2022 and June 30, 2021. Our June 30, 2022 baseline forecast broadly aligns to the market’s expectations for a rapid increase in global central bank rates in response to rising inflation. In addition to higher interest ra</w:t>
      </w:r>
      <w:r>
        <w:rPr>
          <w:rFonts w:ascii="Arial" w:eastAsia="宋体" w:hAnsi="Arial" w:cs="Arial"/>
          <w:color w:val="000000"/>
          <w:sz w:val="20"/>
          <w:szCs w:val="20"/>
        </w:rPr>
        <w:t>tes, we are also forecasting gradual deposit balance rotation and reductions along with increasing deposit betas as a result of quantitative tightening and rising interest rates.</w:t>
      </w:r>
    </w:p>
    <w:tbl>
      <w:tblPr>
        <w:tblW w:w="5000" w:type="pct"/>
        <w:tblCellMar>
          <w:top w:w="15" w:type="dxa"/>
          <w:left w:w="15" w:type="dxa"/>
          <w:bottom w:w="15" w:type="dxa"/>
          <w:right w:w="15" w:type="dxa"/>
        </w:tblCellMar>
        <w:tblLook w:val="04A0" w:firstRow="1" w:lastRow="0" w:firstColumn="1" w:lastColumn="0" w:noHBand="0" w:noVBand="1"/>
      </w:tblPr>
      <w:tblGrid>
        <w:gridCol w:w="39"/>
        <w:gridCol w:w="1154"/>
        <w:gridCol w:w="37"/>
        <w:gridCol w:w="37"/>
        <w:gridCol w:w="912"/>
        <w:gridCol w:w="146"/>
        <w:gridCol w:w="36"/>
        <w:gridCol w:w="36"/>
        <w:gridCol w:w="36"/>
        <w:gridCol w:w="44"/>
        <w:gridCol w:w="905"/>
        <w:gridCol w:w="145"/>
        <w:gridCol w:w="36"/>
        <w:gridCol w:w="36"/>
        <w:gridCol w:w="36"/>
        <w:gridCol w:w="48"/>
        <w:gridCol w:w="901"/>
        <w:gridCol w:w="145"/>
        <w:gridCol w:w="36"/>
        <w:gridCol w:w="36"/>
        <w:gridCol w:w="36"/>
        <w:gridCol w:w="37"/>
        <w:gridCol w:w="912"/>
        <w:gridCol w:w="146"/>
        <w:gridCol w:w="36"/>
        <w:gridCol w:w="36"/>
        <w:gridCol w:w="36"/>
        <w:gridCol w:w="44"/>
        <w:gridCol w:w="905"/>
        <w:gridCol w:w="145"/>
        <w:gridCol w:w="36"/>
        <w:gridCol w:w="36"/>
        <w:gridCol w:w="36"/>
        <w:gridCol w:w="48"/>
        <w:gridCol w:w="901"/>
        <w:gridCol w:w="145"/>
      </w:tblGrid>
      <w:tr w:rsidR="00980E5F" w14:paraId="392C1E0E" w14:textId="77777777">
        <w:tc>
          <w:tcPr>
            <w:tcW w:w="50" w:type="pct"/>
            <w:shd w:val="clear" w:color="auto" w:fill="auto"/>
            <w:vAlign w:val="bottom"/>
          </w:tcPr>
          <w:p w14:paraId="392C1DEA" w14:textId="77777777" w:rsidR="00980E5F" w:rsidRDefault="00980E5F">
            <w:pPr>
              <w:rPr>
                <w:rFonts w:ascii="宋体"/>
              </w:rPr>
            </w:pPr>
          </w:p>
        </w:tc>
        <w:tc>
          <w:tcPr>
            <w:tcW w:w="763" w:type="pct"/>
            <w:shd w:val="clear" w:color="auto" w:fill="auto"/>
            <w:vAlign w:val="bottom"/>
          </w:tcPr>
          <w:p w14:paraId="392C1DEB" w14:textId="77777777" w:rsidR="00980E5F" w:rsidRDefault="00980E5F">
            <w:pPr>
              <w:rPr>
                <w:rFonts w:ascii="宋体"/>
              </w:rPr>
            </w:pPr>
          </w:p>
        </w:tc>
        <w:tc>
          <w:tcPr>
            <w:tcW w:w="5" w:type="pct"/>
            <w:shd w:val="clear" w:color="auto" w:fill="auto"/>
            <w:vAlign w:val="bottom"/>
          </w:tcPr>
          <w:p w14:paraId="392C1DEC" w14:textId="77777777" w:rsidR="00980E5F" w:rsidRDefault="00980E5F">
            <w:pPr>
              <w:rPr>
                <w:rFonts w:ascii="宋体"/>
              </w:rPr>
            </w:pPr>
          </w:p>
        </w:tc>
        <w:tc>
          <w:tcPr>
            <w:tcW w:w="50" w:type="pct"/>
            <w:shd w:val="clear" w:color="auto" w:fill="auto"/>
            <w:vAlign w:val="bottom"/>
          </w:tcPr>
          <w:p w14:paraId="392C1DED" w14:textId="77777777" w:rsidR="00980E5F" w:rsidRDefault="00980E5F">
            <w:pPr>
              <w:rPr>
                <w:rFonts w:ascii="宋体"/>
              </w:rPr>
            </w:pPr>
          </w:p>
        </w:tc>
        <w:tc>
          <w:tcPr>
            <w:tcW w:w="617" w:type="pct"/>
            <w:shd w:val="clear" w:color="auto" w:fill="auto"/>
            <w:vAlign w:val="bottom"/>
          </w:tcPr>
          <w:p w14:paraId="392C1DEE" w14:textId="77777777" w:rsidR="00980E5F" w:rsidRDefault="00980E5F">
            <w:pPr>
              <w:rPr>
                <w:rFonts w:ascii="宋体"/>
              </w:rPr>
            </w:pPr>
          </w:p>
        </w:tc>
        <w:tc>
          <w:tcPr>
            <w:tcW w:w="5" w:type="pct"/>
            <w:shd w:val="clear" w:color="auto" w:fill="auto"/>
            <w:vAlign w:val="bottom"/>
          </w:tcPr>
          <w:p w14:paraId="392C1DEF" w14:textId="77777777" w:rsidR="00980E5F" w:rsidRDefault="00980E5F">
            <w:pPr>
              <w:rPr>
                <w:rFonts w:ascii="宋体"/>
              </w:rPr>
            </w:pPr>
          </w:p>
        </w:tc>
        <w:tc>
          <w:tcPr>
            <w:tcW w:w="5" w:type="pct"/>
            <w:shd w:val="clear" w:color="auto" w:fill="auto"/>
            <w:vAlign w:val="bottom"/>
          </w:tcPr>
          <w:p w14:paraId="392C1DF0" w14:textId="77777777" w:rsidR="00980E5F" w:rsidRDefault="00980E5F">
            <w:pPr>
              <w:rPr>
                <w:rFonts w:ascii="宋体"/>
              </w:rPr>
            </w:pPr>
          </w:p>
        </w:tc>
        <w:tc>
          <w:tcPr>
            <w:tcW w:w="19" w:type="pct"/>
            <w:shd w:val="clear" w:color="auto" w:fill="auto"/>
            <w:vAlign w:val="bottom"/>
          </w:tcPr>
          <w:p w14:paraId="392C1DF1" w14:textId="77777777" w:rsidR="00980E5F" w:rsidRDefault="00980E5F">
            <w:pPr>
              <w:rPr>
                <w:rFonts w:ascii="宋体"/>
              </w:rPr>
            </w:pPr>
          </w:p>
        </w:tc>
        <w:tc>
          <w:tcPr>
            <w:tcW w:w="5" w:type="pct"/>
            <w:shd w:val="clear" w:color="auto" w:fill="auto"/>
            <w:vAlign w:val="bottom"/>
          </w:tcPr>
          <w:p w14:paraId="392C1DF2" w14:textId="77777777" w:rsidR="00980E5F" w:rsidRDefault="00980E5F">
            <w:pPr>
              <w:rPr>
                <w:rFonts w:ascii="宋体"/>
              </w:rPr>
            </w:pPr>
          </w:p>
        </w:tc>
        <w:tc>
          <w:tcPr>
            <w:tcW w:w="50" w:type="pct"/>
            <w:shd w:val="clear" w:color="auto" w:fill="auto"/>
            <w:vAlign w:val="bottom"/>
          </w:tcPr>
          <w:p w14:paraId="392C1DF3" w14:textId="77777777" w:rsidR="00980E5F" w:rsidRDefault="00980E5F">
            <w:pPr>
              <w:rPr>
                <w:rFonts w:ascii="宋体"/>
              </w:rPr>
            </w:pPr>
          </w:p>
        </w:tc>
        <w:tc>
          <w:tcPr>
            <w:tcW w:w="617" w:type="pct"/>
            <w:shd w:val="clear" w:color="auto" w:fill="auto"/>
            <w:vAlign w:val="bottom"/>
          </w:tcPr>
          <w:p w14:paraId="392C1DF4" w14:textId="77777777" w:rsidR="00980E5F" w:rsidRDefault="00980E5F">
            <w:pPr>
              <w:rPr>
                <w:rFonts w:ascii="宋体"/>
              </w:rPr>
            </w:pPr>
          </w:p>
        </w:tc>
        <w:tc>
          <w:tcPr>
            <w:tcW w:w="5" w:type="pct"/>
            <w:shd w:val="clear" w:color="auto" w:fill="auto"/>
            <w:vAlign w:val="bottom"/>
          </w:tcPr>
          <w:p w14:paraId="392C1DF5" w14:textId="77777777" w:rsidR="00980E5F" w:rsidRDefault="00980E5F">
            <w:pPr>
              <w:rPr>
                <w:rFonts w:ascii="宋体"/>
              </w:rPr>
            </w:pPr>
          </w:p>
        </w:tc>
        <w:tc>
          <w:tcPr>
            <w:tcW w:w="5" w:type="pct"/>
            <w:shd w:val="clear" w:color="auto" w:fill="auto"/>
            <w:vAlign w:val="bottom"/>
          </w:tcPr>
          <w:p w14:paraId="392C1DF6" w14:textId="77777777" w:rsidR="00980E5F" w:rsidRDefault="00980E5F">
            <w:pPr>
              <w:rPr>
                <w:rFonts w:ascii="宋体"/>
              </w:rPr>
            </w:pPr>
          </w:p>
        </w:tc>
        <w:tc>
          <w:tcPr>
            <w:tcW w:w="19" w:type="pct"/>
            <w:shd w:val="clear" w:color="auto" w:fill="auto"/>
            <w:vAlign w:val="bottom"/>
          </w:tcPr>
          <w:p w14:paraId="392C1DF7" w14:textId="77777777" w:rsidR="00980E5F" w:rsidRDefault="00980E5F">
            <w:pPr>
              <w:rPr>
                <w:rFonts w:ascii="宋体"/>
              </w:rPr>
            </w:pPr>
          </w:p>
        </w:tc>
        <w:tc>
          <w:tcPr>
            <w:tcW w:w="5" w:type="pct"/>
            <w:shd w:val="clear" w:color="auto" w:fill="auto"/>
            <w:vAlign w:val="bottom"/>
          </w:tcPr>
          <w:p w14:paraId="392C1DF8" w14:textId="77777777" w:rsidR="00980E5F" w:rsidRDefault="00980E5F">
            <w:pPr>
              <w:rPr>
                <w:rFonts w:ascii="宋体"/>
              </w:rPr>
            </w:pPr>
          </w:p>
        </w:tc>
        <w:tc>
          <w:tcPr>
            <w:tcW w:w="50" w:type="pct"/>
            <w:shd w:val="clear" w:color="auto" w:fill="auto"/>
            <w:vAlign w:val="bottom"/>
          </w:tcPr>
          <w:p w14:paraId="392C1DF9" w14:textId="77777777" w:rsidR="00980E5F" w:rsidRDefault="00980E5F">
            <w:pPr>
              <w:rPr>
                <w:rFonts w:ascii="宋体"/>
              </w:rPr>
            </w:pPr>
          </w:p>
        </w:tc>
        <w:tc>
          <w:tcPr>
            <w:tcW w:w="617" w:type="pct"/>
            <w:shd w:val="clear" w:color="auto" w:fill="auto"/>
            <w:vAlign w:val="bottom"/>
          </w:tcPr>
          <w:p w14:paraId="392C1DFA" w14:textId="77777777" w:rsidR="00980E5F" w:rsidRDefault="00980E5F">
            <w:pPr>
              <w:rPr>
                <w:rFonts w:ascii="宋体"/>
              </w:rPr>
            </w:pPr>
          </w:p>
        </w:tc>
        <w:tc>
          <w:tcPr>
            <w:tcW w:w="5" w:type="pct"/>
            <w:shd w:val="clear" w:color="auto" w:fill="auto"/>
            <w:vAlign w:val="bottom"/>
          </w:tcPr>
          <w:p w14:paraId="392C1DFB" w14:textId="77777777" w:rsidR="00980E5F" w:rsidRDefault="00980E5F">
            <w:pPr>
              <w:rPr>
                <w:rFonts w:ascii="宋体"/>
              </w:rPr>
            </w:pPr>
          </w:p>
        </w:tc>
        <w:tc>
          <w:tcPr>
            <w:tcW w:w="5" w:type="pct"/>
            <w:shd w:val="clear" w:color="auto" w:fill="auto"/>
            <w:vAlign w:val="bottom"/>
          </w:tcPr>
          <w:p w14:paraId="392C1DFC" w14:textId="77777777" w:rsidR="00980E5F" w:rsidRDefault="00980E5F">
            <w:pPr>
              <w:rPr>
                <w:rFonts w:ascii="宋体"/>
              </w:rPr>
            </w:pPr>
          </w:p>
        </w:tc>
        <w:tc>
          <w:tcPr>
            <w:tcW w:w="19" w:type="pct"/>
            <w:shd w:val="clear" w:color="auto" w:fill="auto"/>
            <w:vAlign w:val="bottom"/>
          </w:tcPr>
          <w:p w14:paraId="392C1DFD" w14:textId="77777777" w:rsidR="00980E5F" w:rsidRDefault="00980E5F">
            <w:pPr>
              <w:rPr>
                <w:rFonts w:ascii="宋体"/>
              </w:rPr>
            </w:pPr>
          </w:p>
        </w:tc>
        <w:tc>
          <w:tcPr>
            <w:tcW w:w="5" w:type="pct"/>
            <w:shd w:val="clear" w:color="auto" w:fill="auto"/>
            <w:vAlign w:val="bottom"/>
          </w:tcPr>
          <w:p w14:paraId="392C1DFE" w14:textId="77777777" w:rsidR="00980E5F" w:rsidRDefault="00980E5F">
            <w:pPr>
              <w:rPr>
                <w:rFonts w:ascii="宋体"/>
              </w:rPr>
            </w:pPr>
          </w:p>
        </w:tc>
        <w:tc>
          <w:tcPr>
            <w:tcW w:w="50" w:type="pct"/>
            <w:shd w:val="clear" w:color="auto" w:fill="auto"/>
            <w:vAlign w:val="bottom"/>
          </w:tcPr>
          <w:p w14:paraId="392C1DFF" w14:textId="77777777" w:rsidR="00980E5F" w:rsidRDefault="00980E5F">
            <w:pPr>
              <w:rPr>
                <w:rFonts w:ascii="宋体"/>
              </w:rPr>
            </w:pPr>
          </w:p>
        </w:tc>
        <w:tc>
          <w:tcPr>
            <w:tcW w:w="617" w:type="pct"/>
            <w:shd w:val="clear" w:color="auto" w:fill="auto"/>
            <w:vAlign w:val="bottom"/>
          </w:tcPr>
          <w:p w14:paraId="392C1E00" w14:textId="77777777" w:rsidR="00980E5F" w:rsidRDefault="00980E5F">
            <w:pPr>
              <w:rPr>
                <w:rFonts w:ascii="宋体"/>
              </w:rPr>
            </w:pPr>
          </w:p>
        </w:tc>
        <w:tc>
          <w:tcPr>
            <w:tcW w:w="5" w:type="pct"/>
            <w:shd w:val="clear" w:color="auto" w:fill="auto"/>
            <w:vAlign w:val="bottom"/>
          </w:tcPr>
          <w:p w14:paraId="392C1E01" w14:textId="77777777" w:rsidR="00980E5F" w:rsidRDefault="00980E5F">
            <w:pPr>
              <w:rPr>
                <w:rFonts w:ascii="宋体"/>
              </w:rPr>
            </w:pPr>
          </w:p>
        </w:tc>
        <w:tc>
          <w:tcPr>
            <w:tcW w:w="5" w:type="pct"/>
            <w:shd w:val="clear" w:color="auto" w:fill="auto"/>
            <w:vAlign w:val="bottom"/>
          </w:tcPr>
          <w:p w14:paraId="392C1E02" w14:textId="77777777" w:rsidR="00980E5F" w:rsidRDefault="00980E5F">
            <w:pPr>
              <w:rPr>
                <w:rFonts w:ascii="宋体"/>
              </w:rPr>
            </w:pPr>
          </w:p>
        </w:tc>
        <w:tc>
          <w:tcPr>
            <w:tcW w:w="19" w:type="pct"/>
            <w:shd w:val="clear" w:color="auto" w:fill="auto"/>
            <w:vAlign w:val="bottom"/>
          </w:tcPr>
          <w:p w14:paraId="392C1E03" w14:textId="77777777" w:rsidR="00980E5F" w:rsidRDefault="00980E5F">
            <w:pPr>
              <w:rPr>
                <w:rFonts w:ascii="宋体"/>
              </w:rPr>
            </w:pPr>
          </w:p>
        </w:tc>
        <w:tc>
          <w:tcPr>
            <w:tcW w:w="5" w:type="pct"/>
            <w:shd w:val="clear" w:color="auto" w:fill="auto"/>
            <w:vAlign w:val="bottom"/>
          </w:tcPr>
          <w:p w14:paraId="392C1E04" w14:textId="77777777" w:rsidR="00980E5F" w:rsidRDefault="00980E5F">
            <w:pPr>
              <w:rPr>
                <w:rFonts w:ascii="宋体"/>
              </w:rPr>
            </w:pPr>
          </w:p>
        </w:tc>
        <w:tc>
          <w:tcPr>
            <w:tcW w:w="50" w:type="pct"/>
            <w:shd w:val="clear" w:color="auto" w:fill="auto"/>
            <w:vAlign w:val="bottom"/>
          </w:tcPr>
          <w:p w14:paraId="392C1E05" w14:textId="77777777" w:rsidR="00980E5F" w:rsidRDefault="00980E5F">
            <w:pPr>
              <w:rPr>
                <w:rFonts w:ascii="宋体"/>
              </w:rPr>
            </w:pPr>
          </w:p>
        </w:tc>
        <w:tc>
          <w:tcPr>
            <w:tcW w:w="617" w:type="pct"/>
            <w:shd w:val="clear" w:color="auto" w:fill="auto"/>
            <w:vAlign w:val="bottom"/>
          </w:tcPr>
          <w:p w14:paraId="392C1E06" w14:textId="77777777" w:rsidR="00980E5F" w:rsidRDefault="00980E5F">
            <w:pPr>
              <w:rPr>
                <w:rFonts w:ascii="宋体"/>
              </w:rPr>
            </w:pPr>
          </w:p>
        </w:tc>
        <w:tc>
          <w:tcPr>
            <w:tcW w:w="5" w:type="pct"/>
            <w:shd w:val="clear" w:color="auto" w:fill="auto"/>
            <w:vAlign w:val="bottom"/>
          </w:tcPr>
          <w:p w14:paraId="392C1E07" w14:textId="77777777" w:rsidR="00980E5F" w:rsidRDefault="00980E5F">
            <w:pPr>
              <w:rPr>
                <w:rFonts w:ascii="宋体"/>
              </w:rPr>
            </w:pPr>
          </w:p>
        </w:tc>
        <w:tc>
          <w:tcPr>
            <w:tcW w:w="5" w:type="pct"/>
            <w:shd w:val="clear" w:color="auto" w:fill="auto"/>
            <w:vAlign w:val="bottom"/>
          </w:tcPr>
          <w:p w14:paraId="392C1E08" w14:textId="77777777" w:rsidR="00980E5F" w:rsidRDefault="00980E5F">
            <w:pPr>
              <w:rPr>
                <w:rFonts w:ascii="宋体"/>
              </w:rPr>
            </w:pPr>
          </w:p>
        </w:tc>
        <w:tc>
          <w:tcPr>
            <w:tcW w:w="19" w:type="pct"/>
            <w:shd w:val="clear" w:color="auto" w:fill="auto"/>
            <w:vAlign w:val="bottom"/>
          </w:tcPr>
          <w:p w14:paraId="392C1E09" w14:textId="77777777" w:rsidR="00980E5F" w:rsidRDefault="00980E5F">
            <w:pPr>
              <w:rPr>
                <w:rFonts w:ascii="宋体"/>
              </w:rPr>
            </w:pPr>
          </w:p>
        </w:tc>
        <w:tc>
          <w:tcPr>
            <w:tcW w:w="5" w:type="pct"/>
            <w:shd w:val="clear" w:color="auto" w:fill="auto"/>
            <w:vAlign w:val="bottom"/>
          </w:tcPr>
          <w:p w14:paraId="392C1E0A" w14:textId="77777777" w:rsidR="00980E5F" w:rsidRDefault="00980E5F">
            <w:pPr>
              <w:rPr>
                <w:rFonts w:ascii="宋体"/>
              </w:rPr>
            </w:pPr>
          </w:p>
        </w:tc>
        <w:tc>
          <w:tcPr>
            <w:tcW w:w="50" w:type="pct"/>
            <w:shd w:val="clear" w:color="auto" w:fill="auto"/>
            <w:vAlign w:val="bottom"/>
          </w:tcPr>
          <w:p w14:paraId="392C1E0B" w14:textId="77777777" w:rsidR="00980E5F" w:rsidRDefault="00980E5F">
            <w:pPr>
              <w:rPr>
                <w:rFonts w:ascii="宋体"/>
              </w:rPr>
            </w:pPr>
          </w:p>
        </w:tc>
        <w:tc>
          <w:tcPr>
            <w:tcW w:w="617" w:type="pct"/>
            <w:shd w:val="clear" w:color="auto" w:fill="auto"/>
            <w:vAlign w:val="bottom"/>
          </w:tcPr>
          <w:p w14:paraId="392C1E0C" w14:textId="77777777" w:rsidR="00980E5F" w:rsidRDefault="00980E5F">
            <w:pPr>
              <w:rPr>
                <w:rFonts w:ascii="宋体"/>
              </w:rPr>
            </w:pPr>
          </w:p>
        </w:tc>
        <w:tc>
          <w:tcPr>
            <w:tcW w:w="5" w:type="pct"/>
            <w:shd w:val="clear" w:color="auto" w:fill="auto"/>
            <w:vAlign w:val="bottom"/>
          </w:tcPr>
          <w:p w14:paraId="392C1E0D" w14:textId="77777777" w:rsidR="00980E5F" w:rsidRDefault="00980E5F">
            <w:pPr>
              <w:rPr>
                <w:rFonts w:ascii="宋体"/>
              </w:rPr>
            </w:pPr>
          </w:p>
        </w:tc>
      </w:tr>
      <w:tr w:rsidR="00980E5F" w14:paraId="392C1E10" w14:textId="77777777">
        <w:tc>
          <w:tcPr>
            <w:tcW w:w="0" w:type="auto"/>
            <w:gridSpan w:val="36"/>
            <w:shd w:val="clear" w:color="auto" w:fill="auto"/>
            <w:tcMar>
              <w:top w:w="40" w:type="dxa"/>
              <w:left w:w="20" w:type="dxa"/>
              <w:bottom w:w="40" w:type="dxa"/>
              <w:right w:w="20" w:type="dxa"/>
            </w:tcMar>
            <w:vAlign w:val="bottom"/>
          </w:tcPr>
          <w:p w14:paraId="392C1E0F" w14:textId="77777777" w:rsidR="00980E5F" w:rsidRDefault="00483613">
            <w:pPr>
              <w:textAlignment w:val="bottom"/>
            </w:pPr>
            <w:r>
              <w:rPr>
                <w:rFonts w:ascii="Arial" w:eastAsia="宋体" w:hAnsi="Arial" w:cs="Arial"/>
                <w:b/>
                <w:bCs/>
                <w:color w:val="000000"/>
                <w:sz w:val="16"/>
                <w:szCs w:val="16"/>
              </w:rPr>
              <w:t>TABLE 32: KEY INTEREST RATES FOR BASELINE FORECASTS</w:t>
            </w:r>
          </w:p>
        </w:tc>
      </w:tr>
      <w:tr w:rsidR="00980E5F" w14:paraId="392C1E15" w14:textId="77777777">
        <w:tc>
          <w:tcPr>
            <w:tcW w:w="0" w:type="auto"/>
            <w:gridSpan w:val="3"/>
            <w:shd w:val="clear" w:color="auto" w:fill="auto"/>
            <w:tcMar>
              <w:top w:w="0" w:type="dxa"/>
              <w:left w:w="20" w:type="dxa"/>
              <w:bottom w:w="0" w:type="dxa"/>
              <w:right w:w="20" w:type="dxa"/>
            </w:tcMar>
            <w:vAlign w:val="bottom"/>
          </w:tcPr>
          <w:p w14:paraId="392C1E11"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E12" w14:textId="77777777" w:rsidR="00980E5F" w:rsidRDefault="00483613">
            <w:pPr>
              <w:jc w:val="center"/>
              <w:textAlignment w:val="bottom"/>
            </w:pPr>
            <w:r>
              <w:rPr>
                <w:rFonts w:ascii="Arial" w:eastAsia="宋体" w:hAnsi="Arial" w:cs="Arial"/>
                <w:b/>
                <w:bCs/>
                <w:color w:val="000000"/>
                <w:sz w:val="14"/>
                <w:szCs w:val="14"/>
              </w:rPr>
              <w:t>June 30,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1E13"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E14" w14:textId="77777777" w:rsidR="00980E5F" w:rsidRDefault="00483613">
            <w:pPr>
              <w:jc w:val="center"/>
              <w:textAlignment w:val="bottom"/>
            </w:pPr>
            <w:r>
              <w:rPr>
                <w:rFonts w:ascii="Arial" w:eastAsia="宋体" w:hAnsi="Arial" w:cs="Arial"/>
                <w:b/>
                <w:bCs/>
                <w:color w:val="000000"/>
                <w:sz w:val="14"/>
                <w:szCs w:val="14"/>
              </w:rPr>
              <w:t>June 30, 2021</w:t>
            </w:r>
          </w:p>
        </w:tc>
      </w:tr>
      <w:tr w:rsidR="00980E5F" w14:paraId="392C1E22" w14:textId="77777777">
        <w:tc>
          <w:tcPr>
            <w:tcW w:w="0" w:type="auto"/>
            <w:gridSpan w:val="3"/>
            <w:shd w:val="clear" w:color="auto" w:fill="auto"/>
            <w:tcMar>
              <w:top w:w="0" w:type="dxa"/>
              <w:left w:w="20" w:type="dxa"/>
              <w:bottom w:w="0" w:type="dxa"/>
              <w:right w:w="20" w:type="dxa"/>
            </w:tcMar>
            <w:vAlign w:val="bottom"/>
          </w:tcPr>
          <w:p w14:paraId="392C1E1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17" w14:textId="77777777" w:rsidR="00980E5F" w:rsidRDefault="00483613">
            <w:pPr>
              <w:jc w:val="center"/>
              <w:textAlignment w:val="bottom"/>
            </w:pPr>
            <w:r>
              <w:rPr>
                <w:rFonts w:ascii="Arial" w:eastAsia="宋体" w:hAnsi="Arial" w:cs="Arial"/>
                <w:b/>
                <w:bCs/>
                <w:color w:val="000000"/>
                <w:sz w:val="14"/>
                <w:szCs w:val="14"/>
              </w:rPr>
              <w:t xml:space="preserve">Fed </w:t>
            </w:r>
            <w:r>
              <w:rPr>
                <w:rFonts w:ascii="Arial" w:eastAsia="宋体" w:hAnsi="Arial" w:cs="Arial"/>
                <w:b/>
                <w:bCs/>
                <w:color w:val="000000"/>
                <w:sz w:val="14"/>
                <w:szCs w:val="14"/>
              </w:rPr>
              <w:t>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1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19" w14:textId="77777777" w:rsidR="00980E5F" w:rsidRDefault="00483613">
            <w:pPr>
              <w:jc w:val="center"/>
              <w:textAlignment w:val="bottom"/>
            </w:pPr>
            <w:r>
              <w:rPr>
                <w:rFonts w:ascii="Arial" w:eastAsia="宋体" w:hAnsi="Arial" w:cs="Arial"/>
                <w:b/>
                <w:bCs/>
                <w:color w:val="000000"/>
                <w:sz w:val="14"/>
                <w:szCs w:val="14"/>
              </w:rPr>
              <w:t>ECB Target</w:t>
            </w:r>
            <w:r>
              <w:rPr>
                <w:rFonts w:ascii="Arial" w:eastAsia="宋体" w:hAnsi="Arial" w:cs="Arial"/>
                <w:b/>
                <w:bCs/>
                <w:color w:val="000000"/>
                <w:sz w:val="9"/>
                <w:szCs w:val="9"/>
              </w:rPr>
              <w:t>(2)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1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1B" w14:textId="77777777" w:rsidR="00980E5F" w:rsidRDefault="00483613">
            <w:pPr>
              <w:jc w:val="center"/>
              <w:textAlignment w:val="bottom"/>
            </w:pPr>
            <w:r>
              <w:rPr>
                <w:rFonts w:ascii="Arial" w:eastAsia="宋体" w:hAnsi="Arial" w:cs="Arial"/>
                <w:b/>
                <w:bCs/>
                <w:color w:val="000000"/>
                <w:sz w:val="14"/>
                <w:szCs w:val="14"/>
              </w:rPr>
              <w:t>10-Year Treasury</w:t>
            </w:r>
          </w:p>
        </w:tc>
        <w:tc>
          <w:tcPr>
            <w:tcW w:w="0" w:type="auto"/>
            <w:gridSpan w:val="3"/>
            <w:shd w:val="clear" w:color="auto" w:fill="auto"/>
            <w:tcMar>
              <w:top w:w="0" w:type="dxa"/>
              <w:left w:w="20" w:type="dxa"/>
              <w:bottom w:w="0" w:type="dxa"/>
              <w:right w:w="20" w:type="dxa"/>
            </w:tcMar>
            <w:vAlign w:val="bottom"/>
          </w:tcPr>
          <w:p w14:paraId="392C1E1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1D" w14:textId="77777777" w:rsidR="00980E5F" w:rsidRDefault="00483613">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1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1F" w14:textId="77777777" w:rsidR="00980E5F" w:rsidRDefault="00483613">
            <w:pPr>
              <w:jc w:val="center"/>
              <w:textAlignment w:val="bottom"/>
            </w:pPr>
            <w:r>
              <w:rPr>
                <w:rFonts w:ascii="Arial" w:eastAsia="宋体" w:hAnsi="Arial" w:cs="Arial"/>
                <w:b/>
                <w:bCs/>
                <w:color w:val="000000"/>
                <w:sz w:val="14"/>
                <w:szCs w:val="14"/>
              </w:rPr>
              <w:t>ECB Target</w:t>
            </w:r>
            <w:r>
              <w:rPr>
                <w:rFonts w:ascii="Arial" w:eastAsia="宋体" w:hAnsi="Arial" w:cs="Arial"/>
                <w:b/>
                <w:bCs/>
                <w:color w:val="000000"/>
                <w:sz w:val="9"/>
                <w:szCs w:val="9"/>
              </w:rPr>
              <w:t>(2)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2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21" w14:textId="77777777" w:rsidR="00980E5F" w:rsidRDefault="00483613">
            <w:pPr>
              <w:jc w:val="center"/>
              <w:textAlignment w:val="bottom"/>
            </w:pPr>
            <w:r>
              <w:rPr>
                <w:rFonts w:ascii="Arial" w:eastAsia="宋体" w:hAnsi="Arial" w:cs="Arial"/>
                <w:b/>
                <w:bCs/>
                <w:color w:val="000000"/>
                <w:sz w:val="14"/>
                <w:szCs w:val="14"/>
              </w:rPr>
              <w:t>10-Year Treasury</w:t>
            </w:r>
          </w:p>
        </w:tc>
      </w:tr>
      <w:tr w:rsidR="00980E5F" w14:paraId="392C1E35" w14:textId="77777777">
        <w:tc>
          <w:tcPr>
            <w:tcW w:w="0" w:type="auto"/>
            <w:gridSpan w:val="3"/>
            <w:shd w:val="clear" w:color="auto" w:fill="CCEEFF"/>
            <w:tcMar>
              <w:top w:w="40" w:type="dxa"/>
              <w:left w:w="20" w:type="dxa"/>
              <w:bottom w:w="40" w:type="dxa"/>
              <w:right w:w="20" w:type="dxa"/>
            </w:tcMar>
            <w:vAlign w:val="bottom"/>
          </w:tcPr>
          <w:p w14:paraId="392C1E23" w14:textId="77777777" w:rsidR="00980E5F" w:rsidRDefault="00483613">
            <w:pPr>
              <w:textAlignment w:val="bottom"/>
            </w:pPr>
            <w:r>
              <w:rPr>
                <w:rFonts w:ascii="Arial" w:eastAsia="宋体" w:hAnsi="Arial" w:cs="Arial"/>
                <w:color w:val="000000"/>
                <w:sz w:val="14"/>
                <w:szCs w:val="14"/>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24" w14:textId="77777777" w:rsidR="00980E5F" w:rsidRDefault="00483613">
            <w:pPr>
              <w:jc w:val="right"/>
              <w:textAlignment w:val="bottom"/>
            </w:pPr>
            <w:r>
              <w:rPr>
                <w:rFonts w:ascii="Arial" w:eastAsia="宋体" w:hAnsi="Arial" w:cs="Arial"/>
                <w:b/>
                <w:bCs/>
                <w:color w:val="000000"/>
                <w:sz w:val="14"/>
                <w:szCs w:val="14"/>
              </w:rPr>
              <w:t>1.75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25"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1E2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27" w14:textId="77777777" w:rsidR="00980E5F" w:rsidRDefault="00483613">
            <w:pPr>
              <w:jc w:val="right"/>
              <w:textAlignment w:val="bottom"/>
            </w:pPr>
            <w:r>
              <w:rPr>
                <w:rFonts w:ascii="Arial" w:eastAsia="宋体" w:hAnsi="Arial" w:cs="Arial"/>
                <w:b/>
                <w:bCs/>
                <w:color w:val="000000"/>
                <w:sz w:val="14"/>
                <w:szCs w:val="14"/>
              </w:rPr>
              <w:t>(0.50)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28"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1E2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2A" w14:textId="77777777" w:rsidR="00980E5F" w:rsidRDefault="00483613">
            <w:pPr>
              <w:jc w:val="right"/>
              <w:textAlignment w:val="bottom"/>
            </w:pPr>
            <w:r>
              <w:rPr>
                <w:rFonts w:ascii="Arial" w:eastAsia="宋体" w:hAnsi="Arial" w:cs="Arial"/>
                <w:b/>
                <w:bCs/>
                <w:color w:val="000000"/>
                <w:sz w:val="14"/>
                <w:szCs w:val="14"/>
              </w:rPr>
              <w:t>3.01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2B"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1E2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2D" w14:textId="77777777" w:rsidR="00980E5F" w:rsidRDefault="00483613">
            <w:pPr>
              <w:jc w:val="right"/>
              <w:textAlignment w:val="bottom"/>
            </w:pPr>
            <w:r>
              <w:rPr>
                <w:rFonts w:ascii="Arial" w:eastAsia="宋体" w:hAnsi="Arial" w:cs="Arial"/>
                <w:color w:val="000000"/>
                <w:sz w:val="14"/>
                <w:szCs w:val="14"/>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2E"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1E2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30" w14:textId="77777777" w:rsidR="00980E5F" w:rsidRDefault="00483613">
            <w:pPr>
              <w:jc w:val="right"/>
              <w:textAlignment w:val="bottom"/>
            </w:pPr>
            <w:r>
              <w:rPr>
                <w:rFonts w:ascii="Arial" w:eastAsia="宋体" w:hAnsi="Arial" w:cs="Arial"/>
                <w:color w:val="000000"/>
                <w:sz w:val="14"/>
                <w:szCs w:val="14"/>
              </w:rPr>
              <w:t>(0.50)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31"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392C1E3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1E33" w14:textId="77777777" w:rsidR="00980E5F" w:rsidRDefault="00483613">
            <w:pPr>
              <w:jc w:val="right"/>
              <w:textAlignment w:val="bottom"/>
            </w:pPr>
            <w:r>
              <w:rPr>
                <w:rFonts w:ascii="Arial" w:eastAsia="宋体" w:hAnsi="Arial" w:cs="Arial"/>
                <w:color w:val="000000"/>
                <w:sz w:val="14"/>
                <w:szCs w:val="14"/>
              </w:rPr>
              <w:t>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1E34" w14:textId="77777777" w:rsidR="00980E5F" w:rsidRDefault="00483613">
            <w:pPr>
              <w:jc w:val="right"/>
              <w:textAlignment w:val="bottom"/>
            </w:pPr>
            <w:r>
              <w:rPr>
                <w:rFonts w:ascii="Arial" w:eastAsia="宋体" w:hAnsi="Arial" w:cs="Arial"/>
                <w:color w:val="000000"/>
                <w:sz w:val="14"/>
                <w:szCs w:val="14"/>
              </w:rPr>
              <w:t>%</w:t>
            </w:r>
          </w:p>
        </w:tc>
      </w:tr>
      <w:tr w:rsidR="00980E5F" w14:paraId="392C1E48" w14:textId="77777777">
        <w:tc>
          <w:tcPr>
            <w:tcW w:w="0" w:type="auto"/>
            <w:gridSpan w:val="3"/>
            <w:shd w:val="clear" w:color="auto" w:fill="FFFFFF"/>
            <w:tcMar>
              <w:top w:w="40" w:type="dxa"/>
              <w:left w:w="20" w:type="dxa"/>
              <w:bottom w:w="40" w:type="dxa"/>
              <w:right w:w="20" w:type="dxa"/>
            </w:tcMar>
            <w:vAlign w:val="bottom"/>
          </w:tcPr>
          <w:p w14:paraId="392C1E36" w14:textId="77777777" w:rsidR="00980E5F" w:rsidRDefault="00483613">
            <w:pPr>
              <w:textAlignment w:val="bottom"/>
            </w:pPr>
            <w:r>
              <w:rPr>
                <w:rFonts w:ascii="Arial" w:eastAsia="宋体" w:hAnsi="Arial" w:cs="Arial"/>
                <w:color w:val="000000"/>
                <w:sz w:val="14"/>
                <w:szCs w:val="14"/>
              </w:rPr>
              <w:t>12-month forward rates</w:t>
            </w:r>
          </w:p>
        </w:tc>
        <w:tc>
          <w:tcPr>
            <w:tcW w:w="0" w:type="auto"/>
            <w:gridSpan w:val="2"/>
            <w:shd w:val="clear" w:color="auto" w:fill="FFFFFF"/>
            <w:tcMar>
              <w:top w:w="40" w:type="dxa"/>
              <w:left w:w="20" w:type="dxa"/>
              <w:bottom w:w="40" w:type="dxa"/>
              <w:right w:w="0" w:type="dxa"/>
            </w:tcMar>
            <w:vAlign w:val="bottom"/>
          </w:tcPr>
          <w:p w14:paraId="392C1E37" w14:textId="77777777" w:rsidR="00980E5F" w:rsidRDefault="00483613">
            <w:pPr>
              <w:jc w:val="right"/>
              <w:textAlignment w:val="bottom"/>
            </w:pPr>
            <w:r>
              <w:rPr>
                <w:rFonts w:ascii="Arial" w:eastAsia="宋体" w:hAnsi="Arial" w:cs="Arial"/>
                <w:b/>
                <w:bCs/>
                <w:color w:val="000000"/>
                <w:sz w:val="14"/>
                <w:szCs w:val="14"/>
              </w:rPr>
              <w:t>3.75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E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3A" w14:textId="77777777" w:rsidR="00980E5F" w:rsidRDefault="00483613">
            <w:pPr>
              <w:jc w:val="right"/>
              <w:textAlignment w:val="bottom"/>
            </w:pPr>
            <w:r>
              <w:rPr>
                <w:rFonts w:ascii="Arial" w:eastAsia="宋体" w:hAnsi="Arial" w:cs="Arial"/>
                <w:b/>
                <w:bCs/>
                <w:color w:val="000000"/>
                <w:sz w:val="14"/>
                <w:szCs w:val="14"/>
              </w:rPr>
              <w:t>1.25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E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3D" w14:textId="77777777" w:rsidR="00980E5F" w:rsidRDefault="00483613">
            <w:pPr>
              <w:jc w:val="right"/>
              <w:textAlignment w:val="bottom"/>
            </w:pPr>
            <w:r>
              <w:rPr>
                <w:rFonts w:ascii="Arial" w:eastAsia="宋体" w:hAnsi="Arial" w:cs="Arial"/>
                <w:b/>
                <w:bCs/>
                <w:color w:val="000000"/>
                <w:sz w:val="14"/>
                <w:szCs w:val="14"/>
              </w:rPr>
              <w:t>3.40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1E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3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40" w14:textId="77777777" w:rsidR="00980E5F" w:rsidRDefault="00483613">
            <w:pPr>
              <w:jc w:val="right"/>
              <w:textAlignment w:val="bottom"/>
            </w:pPr>
            <w:r>
              <w:rPr>
                <w:rFonts w:ascii="Arial" w:eastAsia="宋体" w:hAnsi="Arial" w:cs="Arial"/>
                <w:color w:val="000000"/>
                <w:sz w:val="14"/>
                <w:szCs w:val="14"/>
              </w:rPr>
              <w:t>0.25 </w:t>
            </w:r>
          </w:p>
        </w:tc>
        <w:tc>
          <w:tcPr>
            <w:tcW w:w="0" w:type="auto"/>
            <w:shd w:val="clear" w:color="auto" w:fill="FFFFFF"/>
            <w:tcMar>
              <w:top w:w="40" w:type="dxa"/>
              <w:left w:w="0" w:type="dxa"/>
              <w:bottom w:w="40" w:type="dxa"/>
              <w:right w:w="20" w:type="dxa"/>
            </w:tcMar>
            <w:vAlign w:val="bottom"/>
          </w:tcPr>
          <w:p w14:paraId="392C1E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43" w14:textId="77777777" w:rsidR="00980E5F" w:rsidRDefault="00483613">
            <w:pPr>
              <w:jc w:val="right"/>
              <w:textAlignment w:val="bottom"/>
            </w:pPr>
            <w:r>
              <w:rPr>
                <w:rFonts w:ascii="Arial" w:eastAsia="宋体" w:hAnsi="Arial" w:cs="Arial"/>
                <w:color w:val="000000"/>
                <w:sz w:val="14"/>
                <w:szCs w:val="14"/>
              </w:rPr>
              <w:t>(0.50)</w:t>
            </w:r>
          </w:p>
        </w:tc>
        <w:tc>
          <w:tcPr>
            <w:tcW w:w="0" w:type="auto"/>
            <w:shd w:val="clear" w:color="auto" w:fill="FFFFFF"/>
            <w:tcMar>
              <w:top w:w="40" w:type="dxa"/>
              <w:left w:w="0" w:type="dxa"/>
              <w:bottom w:w="40" w:type="dxa"/>
              <w:right w:w="20" w:type="dxa"/>
            </w:tcMar>
            <w:vAlign w:val="bottom"/>
          </w:tcPr>
          <w:p w14:paraId="392C1E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46" w14:textId="77777777" w:rsidR="00980E5F" w:rsidRDefault="00483613">
            <w:pPr>
              <w:jc w:val="right"/>
              <w:textAlignment w:val="bottom"/>
            </w:pPr>
            <w:r>
              <w:rPr>
                <w:rFonts w:ascii="Arial" w:eastAsia="宋体" w:hAnsi="Arial" w:cs="Arial"/>
                <w:color w:val="000000"/>
                <w:sz w:val="14"/>
                <w:szCs w:val="14"/>
              </w:rPr>
              <w:t>1.83 </w:t>
            </w:r>
          </w:p>
        </w:tc>
        <w:tc>
          <w:tcPr>
            <w:tcW w:w="0" w:type="auto"/>
            <w:shd w:val="clear" w:color="auto" w:fill="FFFFFF"/>
            <w:tcMar>
              <w:top w:w="40" w:type="dxa"/>
              <w:left w:w="0" w:type="dxa"/>
              <w:bottom w:w="40" w:type="dxa"/>
              <w:right w:w="20" w:type="dxa"/>
            </w:tcMar>
            <w:vAlign w:val="bottom"/>
          </w:tcPr>
          <w:p w14:paraId="392C1E47" w14:textId="77777777" w:rsidR="00980E5F" w:rsidRDefault="00980E5F">
            <w:pPr>
              <w:jc w:val="right"/>
              <w:rPr>
                <w:rFonts w:ascii="宋体"/>
              </w:rPr>
            </w:pPr>
          </w:p>
        </w:tc>
      </w:tr>
    </w:tbl>
    <w:p w14:paraId="392C1E49"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980E5F" w14:paraId="392C1E53" w14:textId="77777777">
        <w:tc>
          <w:tcPr>
            <w:tcW w:w="50" w:type="pct"/>
            <w:shd w:val="clear" w:color="auto" w:fill="auto"/>
            <w:vAlign w:val="bottom"/>
          </w:tcPr>
          <w:p w14:paraId="392C1E4A" w14:textId="77777777" w:rsidR="00980E5F" w:rsidRDefault="00980E5F">
            <w:pPr>
              <w:rPr>
                <w:rFonts w:ascii="宋体"/>
              </w:rPr>
            </w:pPr>
          </w:p>
        </w:tc>
        <w:tc>
          <w:tcPr>
            <w:tcW w:w="1348" w:type="pct"/>
            <w:shd w:val="clear" w:color="auto" w:fill="auto"/>
            <w:vAlign w:val="bottom"/>
          </w:tcPr>
          <w:p w14:paraId="392C1E4B" w14:textId="77777777" w:rsidR="00980E5F" w:rsidRDefault="00980E5F">
            <w:pPr>
              <w:rPr>
                <w:rFonts w:ascii="宋体"/>
              </w:rPr>
            </w:pPr>
          </w:p>
        </w:tc>
        <w:tc>
          <w:tcPr>
            <w:tcW w:w="5" w:type="pct"/>
            <w:shd w:val="clear" w:color="auto" w:fill="auto"/>
            <w:vAlign w:val="bottom"/>
          </w:tcPr>
          <w:p w14:paraId="392C1E4C" w14:textId="77777777" w:rsidR="00980E5F" w:rsidRDefault="00980E5F">
            <w:pPr>
              <w:rPr>
                <w:rFonts w:ascii="宋体"/>
              </w:rPr>
            </w:pPr>
          </w:p>
        </w:tc>
        <w:tc>
          <w:tcPr>
            <w:tcW w:w="50" w:type="pct"/>
            <w:shd w:val="clear" w:color="auto" w:fill="auto"/>
            <w:vAlign w:val="bottom"/>
          </w:tcPr>
          <w:p w14:paraId="392C1E4D" w14:textId="77777777" w:rsidR="00980E5F" w:rsidRDefault="00980E5F">
            <w:pPr>
              <w:rPr>
                <w:rFonts w:ascii="宋体"/>
              </w:rPr>
            </w:pPr>
          </w:p>
        </w:tc>
        <w:tc>
          <w:tcPr>
            <w:tcW w:w="1290" w:type="pct"/>
            <w:shd w:val="clear" w:color="auto" w:fill="auto"/>
            <w:vAlign w:val="bottom"/>
          </w:tcPr>
          <w:p w14:paraId="392C1E4E" w14:textId="77777777" w:rsidR="00980E5F" w:rsidRDefault="00980E5F">
            <w:pPr>
              <w:rPr>
                <w:rFonts w:ascii="宋体"/>
              </w:rPr>
            </w:pPr>
          </w:p>
        </w:tc>
        <w:tc>
          <w:tcPr>
            <w:tcW w:w="5" w:type="pct"/>
            <w:shd w:val="clear" w:color="auto" w:fill="auto"/>
            <w:vAlign w:val="bottom"/>
          </w:tcPr>
          <w:p w14:paraId="392C1E4F" w14:textId="77777777" w:rsidR="00980E5F" w:rsidRDefault="00980E5F">
            <w:pPr>
              <w:rPr>
                <w:rFonts w:ascii="宋体"/>
              </w:rPr>
            </w:pPr>
          </w:p>
        </w:tc>
        <w:tc>
          <w:tcPr>
            <w:tcW w:w="50" w:type="pct"/>
            <w:shd w:val="clear" w:color="auto" w:fill="auto"/>
            <w:vAlign w:val="bottom"/>
          </w:tcPr>
          <w:p w14:paraId="392C1E50" w14:textId="77777777" w:rsidR="00980E5F" w:rsidRDefault="00980E5F">
            <w:pPr>
              <w:rPr>
                <w:rFonts w:ascii="宋体"/>
              </w:rPr>
            </w:pPr>
          </w:p>
        </w:tc>
        <w:tc>
          <w:tcPr>
            <w:tcW w:w="2196" w:type="pct"/>
            <w:shd w:val="clear" w:color="auto" w:fill="auto"/>
            <w:vAlign w:val="bottom"/>
          </w:tcPr>
          <w:p w14:paraId="392C1E51" w14:textId="77777777" w:rsidR="00980E5F" w:rsidRDefault="00980E5F">
            <w:pPr>
              <w:rPr>
                <w:rFonts w:ascii="宋体"/>
              </w:rPr>
            </w:pPr>
          </w:p>
        </w:tc>
        <w:tc>
          <w:tcPr>
            <w:tcW w:w="5" w:type="pct"/>
            <w:shd w:val="clear" w:color="auto" w:fill="auto"/>
            <w:vAlign w:val="bottom"/>
          </w:tcPr>
          <w:p w14:paraId="392C1E52" w14:textId="77777777" w:rsidR="00980E5F" w:rsidRDefault="00980E5F">
            <w:pPr>
              <w:rPr>
                <w:rFonts w:ascii="宋体"/>
              </w:rPr>
            </w:pPr>
          </w:p>
        </w:tc>
      </w:tr>
      <w:tr w:rsidR="00980E5F" w14:paraId="392C1E5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E5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E5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E56" w14:textId="77777777" w:rsidR="00980E5F" w:rsidRDefault="00980E5F">
            <w:pPr>
              <w:rPr>
                <w:rFonts w:ascii="宋体"/>
              </w:rPr>
            </w:pPr>
          </w:p>
        </w:tc>
      </w:tr>
    </w:tbl>
    <w:p w14:paraId="392C1E58" w14:textId="77777777" w:rsidR="00980E5F" w:rsidRDefault="00483613">
      <w:pPr>
        <w:spacing w:before="20"/>
      </w:pPr>
      <w:r>
        <w:rPr>
          <w:rFonts w:ascii="Arial" w:eastAsia="宋体" w:hAnsi="Arial" w:cs="Arial"/>
          <w:color w:val="000000"/>
          <w:sz w:val="8"/>
          <w:szCs w:val="8"/>
        </w:rPr>
        <w:t xml:space="preserve">(1) </w:t>
      </w:r>
      <w:r>
        <w:rPr>
          <w:rFonts w:ascii="Arial" w:eastAsia="宋体" w:hAnsi="Arial" w:cs="Arial"/>
          <w:color w:val="000000"/>
          <w:sz w:val="13"/>
          <w:szCs w:val="13"/>
        </w:rPr>
        <w:t xml:space="preserve">This reflects our internal interest rate forecast as of June 30, 2022. </w:t>
      </w:r>
    </w:p>
    <w:p w14:paraId="392C1E59" w14:textId="77777777" w:rsidR="00980E5F" w:rsidRDefault="00483613">
      <w:pPr>
        <w:spacing w:before="20"/>
      </w:pPr>
      <w:r>
        <w:rPr>
          <w:rFonts w:ascii="Arial" w:eastAsia="宋体" w:hAnsi="Arial" w:cs="Arial"/>
          <w:color w:val="000000"/>
          <w:sz w:val="8"/>
          <w:szCs w:val="8"/>
        </w:rPr>
        <w:t>(2)</w:t>
      </w:r>
      <w:r>
        <w:rPr>
          <w:rFonts w:ascii="Arial" w:eastAsia="宋体" w:hAnsi="Arial" w:cs="Arial"/>
          <w:color w:val="000000"/>
          <w:sz w:val="13"/>
          <w:szCs w:val="13"/>
        </w:rPr>
        <w:t xml:space="preserve"> European Central Bank deposit facility rate</w:t>
      </w:r>
      <w:r>
        <w:rPr>
          <w:rFonts w:ascii="Arial" w:eastAsia="宋体" w:hAnsi="Arial" w:cs="Arial"/>
          <w:color w:val="000000"/>
          <w:sz w:val="14"/>
          <w:szCs w:val="14"/>
        </w:rPr>
        <w:t>.</w:t>
      </w:r>
    </w:p>
    <w:p w14:paraId="392C1E5A" w14:textId="77777777" w:rsidR="00980E5F" w:rsidRDefault="00483613">
      <w:pPr>
        <w:ind w:firstLine="450"/>
        <w:jc w:val="right"/>
      </w:pPr>
      <w:r>
        <w:rPr>
          <w:rFonts w:ascii="Arial" w:eastAsia="宋体" w:hAnsi="Arial" w:cs="Arial"/>
          <w:color w:val="000000"/>
          <w:sz w:val="18"/>
          <w:szCs w:val="18"/>
        </w:rPr>
        <w:t>State Street Corporation | 40</w:t>
      </w:r>
    </w:p>
    <w:p w14:paraId="392C1E5B" w14:textId="77777777" w:rsidR="00980E5F" w:rsidRDefault="00980E5F">
      <w:pPr>
        <w:ind w:firstLine="450"/>
        <w:jc w:val="center"/>
      </w:pPr>
    </w:p>
    <w:p w14:paraId="392C1E5C" w14:textId="77777777" w:rsidR="00980E5F" w:rsidRDefault="00483613">
      <w:r>
        <w:pict w14:anchorId="392CBAF6">
          <v:rect id="_x0000_i1064" style="width:415.3pt;height:1.5pt" o:hralign="center" o:hrstd="t" o:hr="t" fillcolor="#a0a0a0" stroked="f"/>
        </w:pict>
      </w:r>
    </w:p>
    <w:p w14:paraId="392C1E5D"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E5E" w14:textId="77777777" w:rsidR="00980E5F" w:rsidRDefault="00483613">
      <w:pPr>
        <w:ind w:firstLine="450"/>
        <w:jc w:val="center"/>
      </w:pPr>
      <w:r>
        <w:rPr>
          <w:rFonts w:ascii="Arial" w:eastAsia="宋体" w:hAnsi="Arial" w:cs="Arial"/>
          <w:b/>
          <w:bCs/>
          <w:color w:val="000000"/>
          <w:sz w:val="20"/>
          <w:szCs w:val="20"/>
        </w:rPr>
        <w:t>AND RESULTS OF OPERATIONS</w:t>
      </w:r>
    </w:p>
    <w:p w14:paraId="392C1E5F" w14:textId="77777777" w:rsidR="00980E5F" w:rsidRDefault="00483613">
      <w:pPr>
        <w:spacing w:before="60"/>
        <w:ind w:firstLine="450"/>
        <w:jc w:val="both"/>
      </w:pPr>
      <w:r>
        <w:rPr>
          <w:rFonts w:ascii="Arial" w:eastAsia="宋体" w:hAnsi="Arial" w:cs="Arial"/>
          <w:color w:val="000000"/>
          <w:sz w:val="20"/>
          <w:szCs w:val="20"/>
        </w:rPr>
        <w:t>In Table 33: Net</w:t>
      </w:r>
      <w:r>
        <w:rPr>
          <w:rFonts w:ascii="Arial" w:eastAsia="宋体" w:hAnsi="Arial" w:cs="Arial"/>
          <w:color w:val="000000"/>
          <w:sz w:val="20"/>
          <w:szCs w:val="20"/>
        </w:rPr>
        <w:t xml:space="preserve"> Interest Income Sensitivity, we report the expected change in NII over the next twelve months from instantaneous shocks to various tenors on the yield curve relative to our baseline rate forecast, including the impacts from U.S. and non-U.S. rates. Each s</w:t>
      </w:r>
      <w:r>
        <w:rPr>
          <w:rFonts w:ascii="Arial" w:eastAsia="宋体" w:hAnsi="Arial" w:cs="Arial"/>
          <w:color w:val="000000"/>
          <w:sz w:val="20"/>
          <w:szCs w:val="20"/>
        </w:rPr>
        <w:t>cenario assumes no management action is taken to mitigate the adverse effects of interest rates changes on our financial performance. While investment securities balances and composition can fluctuate with the level of rates as prepayment assumptions chang</w:t>
      </w:r>
      <w:r>
        <w:rPr>
          <w:rFonts w:ascii="Arial" w:eastAsia="宋体" w:hAnsi="Arial" w:cs="Arial"/>
          <w:color w:val="000000"/>
          <w:sz w:val="20"/>
          <w:szCs w:val="20"/>
        </w:rPr>
        <w:t>e, for purposes of this analysis our deposit balances and mix are assumed to remain consistent with the baseline forecast which assumes gradual deposit balance rotation and reductions. In lower rate scenarios, the full impact of the shock is realized for a</w:t>
      </w:r>
      <w:r>
        <w:rPr>
          <w:rFonts w:ascii="Arial" w:eastAsia="宋体" w:hAnsi="Arial" w:cs="Arial"/>
          <w:color w:val="000000"/>
          <w:sz w:val="20"/>
          <w:szCs w:val="20"/>
        </w:rPr>
        <w:t>ll currencies even if the result is negative interest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64"/>
        <w:gridCol w:w="36"/>
        <w:gridCol w:w="105"/>
        <w:gridCol w:w="800"/>
        <w:gridCol w:w="37"/>
        <w:gridCol w:w="36"/>
        <w:gridCol w:w="36"/>
        <w:gridCol w:w="36"/>
        <w:gridCol w:w="105"/>
        <w:gridCol w:w="762"/>
        <w:gridCol w:w="36"/>
        <w:gridCol w:w="36"/>
        <w:gridCol w:w="36"/>
        <w:gridCol w:w="36"/>
        <w:gridCol w:w="104"/>
        <w:gridCol w:w="762"/>
        <w:gridCol w:w="36"/>
        <w:gridCol w:w="36"/>
        <w:gridCol w:w="36"/>
        <w:gridCol w:w="36"/>
        <w:gridCol w:w="105"/>
        <w:gridCol w:w="762"/>
        <w:gridCol w:w="37"/>
        <w:gridCol w:w="36"/>
        <w:gridCol w:w="36"/>
        <w:gridCol w:w="36"/>
        <w:gridCol w:w="105"/>
        <w:gridCol w:w="762"/>
        <w:gridCol w:w="36"/>
        <w:gridCol w:w="36"/>
        <w:gridCol w:w="36"/>
        <w:gridCol w:w="36"/>
        <w:gridCol w:w="105"/>
        <w:gridCol w:w="764"/>
        <w:gridCol w:w="36"/>
      </w:tblGrid>
      <w:tr w:rsidR="00980E5F" w14:paraId="392C1E84" w14:textId="77777777">
        <w:tc>
          <w:tcPr>
            <w:tcW w:w="50" w:type="pct"/>
            <w:shd w:val="clear" w:color="auto" w:fill="auto"/>
            <w:vAlign w:val="bottom"/>
          </w:tcPr>
          <w:p w14:paraId="392C1E60" w14:textId="77777777" w:rsidR="00980E5F" w:rsidRDefault="00980E5F">
            <w:pPr>
              <w:rPr>
                <w:rFonts w:ascii="宋体"/>
              </w:rPr>
            </w:pPr>
          </w:p>
        </w:tc>
        <w:tc>
          <w:tcPr>
            <w:tcW w:w="1385" w:type="pct"/>
            <w:shd w:val="clear" w:color="auto" w:fill="auto"/>
            <w:vAlign w:val="bottom"/>
          </w:tcPr>
          <w:p w14:paraId="392C1E61" w14:textId="77777777" w:rsidR="00980E5F" w:rsidRDefault="00980E5F">
            <w:pPr>
              <w:rPr>
                <w:rFonts w:ascii="宋体"/>
              </w:rPr>
            </w:pPr>
          </w:p>
        </w:tc>
        <w:tc>
          <w:tcPr>
            <w:tcW w:w="5" w:type="pct"/>
            <w:shd w:val="clear" w:color="auto" w:fill="auto"/>
            <w:vAlign w:val="bottom"/>
          </w:tcPr>
          <w:p w14:paraId="392C1E62" w14:textId="77777777" w:rsidR="00980E5F" w:rsidRDefault="00980E5F">
            <w:pPr>
              <w:rPr>
                <w:rFonts w:ascii="宋体"/>
              </w:rPr>
            </w:pPr>
          </w:p>
        </w:tc>
        <w:tc>
          <w:tcPr>
            <w:tcW w:w="50" w:type="pct"/>
            <w:shd w:val="clear" w:color="auto" w:fill="auto"/>
            <w:vAlign w:val="bottom"/>
          </w:tcPr>
          <w:p w14:paraId="392C1E63" w14:textId="77777777" w:rsidR="00980E5F" w:rsidRDefault="00980E5F">
            <w:pPr>
              <w:rPr>
                <w:rFonts w:ascii="宋体"/>
              </w:rPr>
            </w:pPr>
          </w:p>
        </w:tc>
        <w:tc>
          <w:tcPr>
            <w:tcW w:w="507" w:type="pct"/>
            <w:shd w:val="clear" w:color="auto" w:fill="auto"/>
            <w:vAlign w:val="bottom"/>
          </w:tcPr>
          <w:p w14:paraId="392C1E64" w14:textId="77777777" w:rsidR="00980E5F" w:rsidRDefault="00980E5F">
            <w:pPr>
              <w:rPr>
                <w:rFonts w:ascii="宋体"/>
              </w:rPr>
            </w:pPr>
          </w:p>
        </w:tc>
        <w:tc>
          <w:tcPr>
            <w:tcW w:w="5" w:type="pct"/>
            <w:shd w:val="clear" w:color="auto" w:fill="auto"/>
            <w:vAlign w:val="bottom"/>
          </w:tcPr>
          <w:p w14:paraId="392C1E65" w14:textId="77777777" w:rsidR="00980E5F" w:rsidRDefault="00980E5F">
            <w:pPr>
              <w:rPr>
                <w:rFonts w:ascii="宋体"/>
              </w:rPr>
            </w:pPr>
          </w:p>
        </w:tc>
        <w:tc>
          <w:tcPr>
            <w:tcW w:w="5" w:type="pct"/>
            <w:shd w:val="clear" w:color="auto" w:fill="auto"/>
            <w:vAlign w:val="bottom"/>
          </w:tcPr>
          <w:p w14:paraId="392C1E66" w14:textId="77777777" w:rsidR="00980E5F" w:rsidRDefault="00980E5F">
            <w:pPr>
              <w:rPr>
                <w:rFonts w:ascii="宋体"/>
              </w:rPr>
            </w:pPr>
          </w:p>
        </w:tc>
        <w:tc>
          <w:tcPr>
            <w:tcW w:w="26" w:type="pct"/>
            <w:shd w:val="clear" w:color="auto" w:fill="auto"/>
            <w:vAlign w:val="bottom"/>
          </w:tcPr>
          <w:p w14:paraId="392C1E67" w14:textId="77777777" w:rsidR="00980E5F" w:rsidRDefault="00980E5F">
            <w:pPr>
              <w:rPr>
                <w:rFonts w:ascii="宋体"/>
              </w:rPr>
            </w:pPr>
          </w:p>
        </w:tc>
        <w:tc>
          <w:tcPr>
            <w:tcW w:w="5" w:type="pct"/>
            <w:shd w:val="clear" w:color="auto" w:fill="auto"/>
            <w:vAlign w:val="bottom"/>
          </w:tcPr>
          <w:p w14:paraId="392C1E68" w14:textId="77777777" w:rsidR="00980E5F" w:rsidRDefault="00980E5F">
            <w:pPr>
              <w:rPr>
                <w:rFonts w:ascii="宋体"/>
              </w:rPr>
            </w:pPr>
          </w:p>
        </w:tc>
        <w:tc>
          <w:tcPr>
            <w:tcW w:w="50" w:type="pct"/>
            <w:shd w:val="clear" w:color="auto" w:fill="auto"/>
            <w:vAlign w:val="bottom"/>
          </w:tcPr>
          <w:p w14:paraId="392C1E69" w14:textId="77777777" w:rsidR="00980E5F" w:rsidRDefault="00980E5F">
            <w:pPr>
              <w:rPr>
                <w:rFonts w:ascii="宋体"/>
              </w:rPr>
            </w:pPr>
          </w:p>
        </w:tc>
        <w:tc>
          <w:tcPr>
            <w:tcW w:w="507" w:type="pct"/>
            <w:shd w:val="clear" w:color="auto" w:fill="auto"/>
            <w:vAlign w:val="bottom"/>
          </w:tcPr>
          <w:p w14:paraId="392C1E6A" w14:textId="77777777" w:rsidR="00980E5F" w:rsidRDefault="00980E5F">
            <w:pPr>
              <w:rPr>
                <w:rFonts w:ascii="宋体"/>
              </w:rPr>
            </w:pPr>
          </w:p>
        </w:tc>
        <w:tc>
          <w:tcPr>
            <w:tcW w:w="5" w:type="pct"/>
            <w:shd w:val="clear" w:color="auto" w:fill="auto"/>
            <w:vAlign w:val="bottom"/>
          </w:tcPr>
          <w:p w14:paraId="392C1E6B" w14:textId="77777777" w:rsidR="00980E5F" w:rsidRDefault="00980E5F">
            <w:pPr>
              <w:rPr>
                <w:rFonts w:ascii="宋体"/>
              </w:rPr>
            </w:pPr>
          </w:p>
        </w:tc>
        <w:tc>
          <w:tcPr>
            <w:tcW w:w="5" w:type="pct"/>
            <w:shd w:val="clear" w:color="auto" w:fill="auto"/>
            <w:vAlign w:val="bottom"/>
          </w:tcPr>
          <w:p w14:paraId="392C1E6C" w14:textId="77777777" w:rsidR="00980E5F" w:rsidRDefault="00980E5F">
            <w:pPr>
              <w:rPr>
                <w:rFonts w:ascii="宋体"/>
              </w:rPr>
            </w:pPr>
          </w:p>
        </w:tc>
        <w:tc>
          <w:tcPr>
            <w:tcW w:w="26" w:type="pct"/>
            <w:shd w:val="clear" w:color="auto" w:fill="auto"/>
            <w:vAlign w:val="bottom"/>
          </w:tcPr>
          <w:p w14:paraId="392C1E6D" w14:textId="77777777" w:rsidR="00980E5F" w:rsidRDefault="00980E5F">
            <w:pPr>
              <w:rPr>
                <w:rFonts w:ascii="宋体"/>
              </w:rPr>
            </w:pPr>
          </w:p>
        </w:tc>
        <w:tc>
          <w:tcPr>
            <w:tcW w:w="5" w:type="pct"/>
            <w:shd w:val="clear" w:color="auto" w:fill="auto"/>
            <w:vAlign w:val="bottom"/>
          </w:tcPr>
          <w:p w14:paraId="392C1E6E" w14:textId="77777777" w:rsidR="00980E5F" w:rsidRDefault="00980E5F">
            <w:pPr>
              <w:rPr>
                <w:rFonts w:ascii="宋体"/>
              </w:rPr>
            </w:pPr>
          </w:p>
        </w:tc>
        <w:tc>
          <w:tcPr>
            <w:tcW w:w="50" w:type="pct"/>
            <w:shd w:val="clear" w:color="auto" w:fill="auto"/>
            <w:vAlign w:val="bottom"/>
          </w:tcPr>
          <w:p w14:paraId="392C1E6F" w14:textId="77777777" w:rsidR="00980E5F" w:rsidRDefault="00980E5F">
            <w:pPr>
              <w:rPr>
                <w:rFonts w:ascii="宋体"/>
              </w:rPr>
            </w:pPr>
          </w:p>
        </w:tc>
        <w:tc>
          <w:tcPr>
            <w:tcW w:w="507" w:type="pct"/>
            <w:shd w:val="clear" w:color="auto" w:fill="auto"/>
            <w:vAlign w:val="bottom"/>
          </w:tcPr>
          <w:p w14:paraId="392C1E70" w14:textId="77777777" w:rsidR="00980E5F" w:rsidRDefault="00980E5F">
            <w:pPr>
              <w:rPr>
                <w:rFonts w:ascii="宋体"/>
              </w:rPr>
            </w:pPr>
          </w:p>
        </w:tc>
        <w:tc>
          <w:tcPr>
            <w:tcW w:w="5" w:type="pct"/>
            <w:shd w:val="clear" w:color="auto" w:fill="auto"/>
            <w:vAlign w:val="bottom"/>
          </w:tcPr>
          <w:p w14:paraId="392C1E71" w14:textId="77777777" w:rsidR="00980E5F" w:rsidRDefault="00980E5F">
            <w:pPr>
              <w:rPr>
                <w:rFonts w:ascii="宋体"/>
              </w:rPr>
            </w:pPr>
          </w:p>
        </w:tc>
        <w:tc>
          <w:tcPr>
            <w:tcW w:w="5" w:type="pct"/>
            <w:shd w:val="clear" w:color="auto" w:fill="auto"/>
            <w:vAlign w:val="bottom"/>
          </w:tcPr>
          <w:p w14:paraId="392C1E72" w14:textId="77777777" w:rsidR="00980E5F" w:rsidRDefault="00980E5F">
            <w:pPr>
              <w:rPr>
                <w:rFonts w:ascii="宋体"/>
              </w:rPr>
            </w:pPr>
          </w:p>
        </w:tc>
        <w:tc>
          <w:tcPr>
            <w:tcW w:w="26" w:type="pct"/>
            <w:shd w:val="clear" w:color="auto" w:fill="auto"/>
            <w:vAlign w:val="bottom"/>
          </w:tcPr>
          <w:p w14:paraId="392C1E73" w14:textId="77777777" w:rsidR="00980E5F" w:rsidRDefault="00980E5F">
            <w:pPr>
              <w:rPr>
                <w:rFonts w:ascii="宋体"/>
              </w:rPr>
            </w:pPr>
          </w:p>
        </w:tc>
        <w:tc>
          <w:tcPr>
            <w:tcW w:w="5" w:type="pct"/>
            <w:shd w:val="clear" w:color="auto" w:fill="auto"/>
            <w:vAlign w:val="bottom"/>
          </w:tcPr>
          <w:p w14:paraId="392C1E74" w14:textId="77777777" w:rsidR="00980E5F" w:rsidRDefault="00980E5F">
            <w:pPr>
              <w:rPr>
                <w:rFonts w:ascii="宋体"/>
              </w:rPr>
            </w:pPr>
          </w:p>
        </w:tc>
        <w:tc>
          <w:tcPr>
            <w:tcW w:w="50" w:type="pct"/>
            <w:shd w:val="clear" w:color="auto" w:fill="auto"/>
            <w:vAlign w:val="bottom"/>
          </w:tcPr>
          <w:p w14:paraId="392C1E75" w14:textId="77777777" w:rsidR="00980E5F" w:rsidRDefault="00980E5F">
            <w:pPr>
              <w:rPr>
                <w:rFonts w:ascii="宋体"/>
              </w:rPr>
            </w:pPr>
          </w:p>
        </w:tc>
        <w:tc>
          <w:tcPr>
            <w:tcW w:w="507" w:type="pct"/>
            <w:shd w:val="clear" w:color="auto" w:fill="auto"/>
            <w:vAlign w:val="bottom"/>
          </w:tcPr>
          <w:p w14:paraId="392C1E76" w14:textId="77777777" w:rsidR="00980E5F" w:rsidRDefault="00980E5F">
            <w:pPr>
              <w:rPr>
                <w:rFonts w:ascii="宋体"/>
              </w:rPr>
            </w:pPr>
          </w:p>
        </w:tc>
        <w:tc>
          <w:tcPr>
            <w:tcW w:w="5" w:type="pct"/>
            <w:shd w:val="clear" w:color="auto" w:fill="auto"/>
            <w:vAlign w:val="bottom"/>
          </w:tcPr>
          <w:p w14:paraId="392C1E77" w14:textId="77777777" w:rsidR="00980E5F" w:rsidRDefault="00980E5F">
            <w:pPr>
              <w:rPr>
                <w:rFonts w:ascii="宋体"/>
              </w:rPr>
            </w:pPr>
          </w:p>
        </w:tc>
        <w:tc>
          <w:tcPr>
            <w:tcW w:w="5" w:type="pct"/>
            <w:shd w:val="clear" w:color="auto" w:fill="auto"/>
            <w:vAlign w:val="bottom"/>
          </w:tcPr>
          <w:p w14:paraId="392C1E78" w14:textId="77777777" w:rsidR="00980E5F" w:rsidRDefault="00980E5F">
            <w:pPr>
              <w:rPr>
                <w:rFonts w:ascii="宋体"/>
              </w:rPr>
            </w:pPr>
          </w:p>
        </w:tc>
        <w:tc>
          <w:tcPr>
            <w:tcW w:w="26" w:type="pct"/>
            <w:shd w:val="clear" w:color="auto" w:fill="auto"/>
            <w:vAlign w:val="bottom"/>
          </w:tcPr>
          <w:p w14:paraId="392C1E79" w14:textId="77777777" w:rsidR="00980E5F" w:rsidRDefault="00980E5F">
            <w:pPr>
              <w:rPr>
                <w:rFonts w:ascii="宋体"/>
              </w:rPr>
            </w:pPr>
          </w:p>
        </w:tc>
        <w:tc>
          <w:tcPr>
            <w:tcW w:w="5" w:type="pct"/>
            <w:shd w:val="clear" w:color="auto" w:fill="auto"/>
            <w:vAlign w:val="bottom"/>
          </w:tcPr>
          <w:p w14:paraId="392C1E7A" w14:textId="77777777" w:rsidR="00980E5F" w:rsidRDefault="00980E5F">
            <w:pPr>
              <w:rPr>
                <w:rFonts w:ascii="宋体"/>
              </w:rPr>
            </w:pPr>
          </w:p>
        </w:tc>
        <w:tc>
          <w:tcPr>
            <w:tcW w:w="50" w:type="pct"/>
            <w:shd w:val="clear" w:color="auto" w:fill="auto"/>
            <w:vAlign w:val="bottom"/>
          </w:tcPr>
          <w:p w14:paraId="392C1E7B" w14:textId="77777777" w:rsidR="00980E5F" w:rsidRDefault="00980E5F">
            <w:pPr>
              <w:rPr>
                <w:rFonts w:ascii="宋体"/>
              </w:rPr>
            </w:pPr>
          </w:p>
        </w:tc>
        <w:tc>
          <w:tcPr>
            <w:tcW w:w="507" w:type="pct"/>
            <w:shd w:val="clear" w:color="auto" w:fill="auto"/>
            <w:vAlign w:val="bottom"/>
          </w:tcPr>
          <w:p w14:paraId="392C1E7C" w14:textId="77777777" w:rsidR="00980E5F" w:rsidRDefault="00980E5F">
            <w:pPr>
              <w:rPr>
                <w:rFonts w:ascii="宋体"/>
              </w:rPr>
            </w:pPr>
          </w:p>
        </w:tc>
        <w:tc>
          <w:tcPr>
            <w:tcW w:w="5" w:type="pct"/>
            <w:shd w:val="clear" w:color="auto" w:fill="auto"/>
            <w:vAlign w:val="bottom"/>
          </w:tcPr>
          <w:p w14:paraId="392C1E7D" w14:textId="77777777" w:rsidR="00980E5F" w:rsidRDefault="00980E5F">
            <w:pPr>
              <w:rPr>
                <w:rFonts w:ascii="宋体"/>
              </w:rPr>
            </w:pPr>
          </w:p>
        </w:tc>
        <w:tc>
          <w:tcPr>
            <w:tcW w:w="5" w:type="pct"/>
            <w:shd w:val="clear" w:color="auto" w:fill="auto"/>
            <w:vAlign w:val="bottom"/>
          </w:tcPr>
          <w:p w14:paraId="392C1E7E" w14:textId="77777777" w:rsidR="00980E5F" w:rsidRDefault="00980E5F">
            <w:pPr>
              <w:rPr>
                <w:rFonts w:ascii="宋体"/>
              </w:rPr>
            </w:pPr>
          </w:p>
        </w:tc>
        <w:tc>
          <w:tcPr>
            <w:tcW w:w="26" w:type="pct"/>
            <w:shd w:val="clear" w:color="auto" w:fill="auto"/>
            <w:vAlign w:val="bottom"/>
          </w:tcPr>
          <w:p w14:paraId="392C1E7F" w14:textId="77777777" w:rsidR="00980E5F" w:rsidRDefault="00980E5F">
            <w:pPr>
              <w:rPr>
                <w:rFonts w:ascii="宋体"/>
              </w:rPr>
            </w:pPr>
          </w:p>
        </w:tc>
        <w:tc>
          <w:tcPr>
            <w:tcW w:w="5" w:type="pct"/>
            <w:shd w:val="clear" w:color="auto" w:fill="auto"/>
            <w:vAlign w:val="bottom"/>
          </w:tcPr>
          <w:p w14:paraId="392C1E80" w14:textId="77777777" w:rsidR="00980E5F" w:rsidRDefault="00980E5F">
            <w:pPr>
              <w:rPr>
                <w:rFonts w:ascii="宋体"/>
              </w:rPr>
            </w:pPr>
          </w:p>
        </w:tc>
        <w:tc>
          <w:tcPr>
            <w:tcW w:w="50" w:type="pct"/>
            <w:shd w:val="clear" w:color="auto" w:fill="auto"/>
            <w:vAlign w:val="bottom"/>
          </w:tcPr>
          <w:p w14:paraId="392C1E81" w14:textId="77777777" w:rsidR="00980E5F" w:rsidRDefault="00980E5F">
            <w:pPr>
              <w:rPr>
                <w:rFonts w:ascii="宋体"/>
              </w:rPr>
            </w:pPr>
          </w:p>
        </w:tc>
        <w:tc>
          <w:tcPr>
            <w:tcW w:w="508" w:type="pct"/>
            <w:shd w:val="clear" w:color="auto" w:fill="auto"/>
            <w:vAlign w:val="bottom"/>
          </w:tcPr>
          <w:p w14:paraId="392C1E82" w14:textId="77777777" w:rsidR="00980E5F" w:rsidRDefault="00980E5F">
            <w:pPr>
              <w:rPr>
                <w:rFonts w:ascii="宋体"/>
              </w:rPr>
            </w:pPr>
          </w:p>
        </w:tc>
        <w:tc>
          <w:tcPr>
            <w:tcW w:w="5" w:type="pct"/>
            <w:shd w:val="clear" w:color="auto" w:fill="auto"/>
            <w:vAlign w:val="bottom"/>
          </w:tcPr>
          <w:p w14:paraId="392C1E83" w14:textId="77777777" w:rsidR="00980E5F" w:rsidRDefault="00980E5F">
            <w:pPr>
              <w:rPr>
                <w:rFonts w:ascii="宋体"/>
              </w:rPr>
            </w:pPr>
          </w:p>
        </w:tc>
      </w:tr>
      <w:tr w:rsidR="00980E5F" w14:paraId="392C1E86" w14:textId="77777777">
        <w:tc>
          <w:tcPr>
            <w:tcW w:w="0" w:type="auto"/>
            <w:gridSpan w:val="36"/>
            <w:shd w:val="clear" w:color="auto" w:fill="auto"/>
            <w:tcMar>
              <w:top w:w="40" w:type="dxa"/>
              <w:left w:w="20" w:type="dxa"/>
              <w:bottom w:w="40" w:type="dxa"/>
              <w:right w:w="20" w:type="dxa"/>
            </w:tcMar>
            <w:vAlign w:val="bottom"/>
          </w:tcPr>
          <w:p w14:paraId="392C1E85" w14:textId="77777777" w:rsidR="00980E5F" w:rsidRDefault="00483613">
            <w:pPr>
              <w:textAlignment w:val="bottom"/>
            </w:pPr>
            <w:r>
              <w:rPr>
                <w:rFonts w:ascii="Arial" w:eastAsia="宋体" w:hAnsi="Arial" w:cs="Arial"/>
                <w:b/>
                <w:bCs/>
                <w:color w:val="000000"/>
                <w:sz w:val="16"/>
                <w:szCs w:val="16"/>
              </w:rPr>
              <w:t>TABLE 33: NET INTEREST INCOME SENSITIVITY</w:t>
            </w:r>
          </w:p>
        </w:tc>
      </w:tr>
      <w:tr w:rsidR="00980E5F" w14:paraId="392C1E8B" w14:textId="77777777">
        <w:tc>
          <w:tcPr>
            <w:tcW w:w="0" w:type="auto"/>
            <w:gridSpan w:val="3"/>
            <w:shd w:val="clear" w:color="auto" w:fill="auto"/>
            <w:tcMar>
              <w:top w:w="0" w:type="dxa"/>
              <w:left w:w="20" w:type="dxa"/>
              <w:bottom w:w="0" w:type="dxa"/>
              <w:right w:w="20" w:type="dxa"/>
            </w:tcMar>
            <w:vAlign w:val="bottom"/>
          </w:tcPr>
          <w:p w14:paraId="392C1E87"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E88" w14:textId="77777777" w:rsidR="00980E5F" w:rsidRDefault="00483613">
            <w:pPr>
              <w:jc w:val="center"/>
              <w:textAlignment w:val="bottom"/>
            </w:pPr>
            <w:r>
              <w:rPr>
                <w:rFonts w:ascii="Arial" w:eastAsia="宋体" w:hAnsi="Arial" w:cs="Arial"/>
                <w:b/>
                <w:bCs/>
                <w:color w:val="000000"/>
                <w:sz w:val="15"/>
                <w:szCs w:val="15"/>
              </w:rPr>
              <w:t>June 30,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1E89"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1E8A" w14:textId="77777777" w:rsidR="00980E5F" w:rsidRDefault="00483613">
            <w:pPr>
              <w:jc w:val="center"/>
              <w:textAlignment w:val="bottom"/>
            </w:pPr>
            <w:r>
              <w:rPr>
                <w:rFonts w:ascii="Arial" w:eastAsia="宋体" w:hAnsi="Arial" w:cs="Arial"/>
                <w:b/>
                <w:bCs/>
                <w:color w:val="000000"/>
                <w:sz w:val="15"/>
                <w:szCs w:val="15"/>
              </w:rPr>
              <w:t>June 30, 2021</w:t>
            </w:r>
          </w:p>
        </w:tc>
      </w:tr>
      <w:tr w:rsidR="00980E5F" w14:paraId="392C1E98" w14:textId="77777777">
        <w:tc>
          <w:tcPr>
            <w:tcW w:w="0" w:type="auto"/>
            <w:gridSpan w:val="3"/>
            <w:shd w:val="clear" w:color="auto" w:fill="auto"/>
            <w:tcMar>
              <w:top w:w="40" w:type="dxa"/>
              <w:left w:w="20" w:type="dxa"/>
              <w:bottom w:w="40" w:type="dxa"/>
              <w:right w:w="20" w:type="dxa"/>
            </w:tcMar>
            <w:vAlign w:val="bottom"/>
          </w:tcPr>
          <w:p w14:paraId="392C1E8C"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8D" w14:textId="77777777" w:rsidR="00980E5F" w:rsidRDefault="00483613">
            <w:pPr>
              <w:jc w:val="center"/>
              <w:textAlignment w:val="bottom"/>
            </w:pPr>
            <w:r>
              <w:rPr>
                <w:rFonts w:ascii="Arial" w:eastAsia="宋体" w:hAnsi="Arial" w:cs="Arial"/>
                <w:b/>
                <w:bCs/>
                <w:color w:val="000000"/>
                <w:sz w:val="15"/>
                <w:szCs w:val="15"/>
              </w:rPr>
              <w:t xml:space="preserve">U.S. </w:t>
            </w:r>
            <w:r>
              <w:rPr>
                <w:rFonts w:ascii="Arial" w:eastAsia="宋体" w:hAnsi="Arial" w:cs="Arial"/>
                <w:b/>
                <w:bCs/>
                <w:color w:val="000000"/>
                <w:sz w:val="15"/>
                <w:szCs w:val="15"/>
              </w:rPr>
              <w:t>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C1E8E"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1E8F" w14:textId="77777777" w:rsidR="00980E5F" w:rsidRDefault="00483613">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C1E90"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1E91" w14:textId="77777777" w:rsidR="00980E5F" w:rsidRDefault="00483613">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392C1E9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E93" w14:textId="77777777" w:rsidR="00980E5F" w:rsidRDefault="00483613">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C1E94"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1E95" w14:textId="77777777" w:rsidR="00980E5F" w:rsidRDefault="00483613">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92C1E96"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1E97" w14:textId="77777777" w:rsidR="00980E5F" w:rsidRDefault="00483613">
            <w:pPr>
              <w:jc w:val="center"/>
              <w:textAlignment w:val="bottom"/>
            </w:pPr>
            <w:r>
              <w:rPr>
                <w:rFonts w:ascii="Arial" w:eastAsia="宋体" w:hAnsi="Arial" w:cs="Arial"/>
                <w:b/>
                <w:bCs/>
                <w:color w:val="000000"/>
                <w:sz w:val="15"/>
                <w:szCs w:val="15"/>
              </w:rPr>
              <w:t>Total</w:t>
            </w:r>
          </w:p>
        </w:tc>
      </w:tr>
      <w:tr w:rsidR="00980E5F" w14:paraId="392C1E9D" w14:textId="77777777">
        <w:tc>
          <w:tcPr>
            <w:tcW w:w="0" w:type="auto"/>
            <w:gridSpan w:val="3"/>
            <w:shd w:val="clear" w:color="auto" w:fill="auto"/>
            <w:tcMar>
              <w:top w:w="40" w:type="dxa"/>
              <w:left w:w="20" w:type="dxa"/>
              <w:bottom w:w="40" w:type="dxa"/>
              <w:right w:w="20" w:type="dxa"/>
            </w:tcMar>
            <w:vAlign w:val="bottom"/>
          </w:tcPr>
          <w:p w14:paraId="392C1E99" w14:textId="77777777" w:rsidR="00980E5F" w:rsidRDefault="00483613">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E9A" w14:textId="77777777" w:rsidR="00980E5F" w:rsidRDefault="00483613">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vAlign w:val="bottom"/>
          </w:tcPr>
          <w:p w14:paraId="392C1E9B"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1E9C" w14:textId="77777777" w:rsidR="00980E5F" w:rsidRDefault="00483613">
            <w:pPr>
              <w:jc w:val="center"/>
              <w:textAlignment w:val="bottom"/>
            </w:pPr>
            <w:r>
              <w:rPr>
                <w:rFonts w:ascii="Arial" w:eastAsia="宋体" w:hAnsi="Arial" w:cs="Arial"/>
                <w:b/>
                <w:bCs/>
                <w:color w:val="000000"/>
                <w:sz w:val="15"/>
                <w:szCs w:val="15"/>
              </w:rPr>
              <w:t>Benefit (Exposure)</w:t>
            </w:r>
          </w:p>
        </w:tc>
      </w:tr>
      <w:tr w:rsidR="00980E5F" w14:paraId="392C1EAA" w14:textId="77777777">
        <w:tc>
          <w:tcPr>
            <w:tcW w:w="0" w:type="auto"/>
            <w:gridSpan w:val="3"/>
            <w:shd w:val="clear" w:color="auto" w:fill="auto"/>
            <w:tcMar>
              <w:top w:w="40" w:type="dxa"/>
              <w:left w:w="20" w:type="dxa"/>
              <w:bottom w:w="40" w:type="dxa"/>
              <w:right w:w="20" w:type="dxa"/>
            </w:tcMar>
            <w:vAlign w:val="bottom"/>
          </w:tcPr>
          <w:p w14:paraId="392C1E9E" w14:textId="77777777" w:rsidR="00980E5F" w:rsidRDefault="00483613">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9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EA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EA9" w14:textId="77777777" w:rsidR="00980E5F" w:rsidRDefault="00980E5F">
            <w:pPr>
              <w:rPr>
                <w:rFonts w:ascii="宋体"/>
              </w:rPr>
            </w:pPr>
          </w:p>
        </w:tc>
      </w:tr>
      <w:tr w:rsidR="00980E5F" w14:paraId="392C1EC3" w14:textId="77777777">
        <w:tc>
          <w:tcPr>
            <w:tcW w:w="0" w:type="auto"/>
            <w:gridSpan w:val="3"/>
            <w:shd w:val="clear" w:color="auto" w:fill="CCEEFF"/>
            <w:tcMar>
              <w:top w:w="40" w:type="dxa"/>
              <w:left w:w="20" w:type="dxa"/>
              <w:bottom w:w="40" w:type="dxa"/>
              <w:right w:w="20" w:type="dxa"/>
            </w:tcMar>
            <w:vAlign w:val="bottom"/>
          </w:tcPr>
          <w:p w14:paraId="392C1EAB" w14:textId="77777777" w:rsidR="00980E5F" w:rsidRDefault="00483613">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392C1EAC"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1EAD" w14:textId="77777777" w:rsidR="00980E5F" w:rsidRDefault="00483613">
            <w:pPr>
              <w:jc w:val="right"/>
              <w:textAlignment w:val="bottom"/>
            </w:pPr>
            <w:r>
              <w:rPr>
                <w:rFonts w:ascii="Arial" w:eastAsia="宋体" w:hAnsi="Arial" w:cs="Arial"/>
                <w:b/>
                <w:bCs/>
                <w:color w:val="000000"/>
                <w:sz w:val="15"/>
                <w:szCs w:val="15"/>
              </w:rPr>
              <w:t>(28)</w:t>
            </w:r>
          </w:p>
        </w:tc>
        <w:tc>
          <w:tcPr>
            <w:tcW w:w="0" w:type="auto"/>
            <w:shd w:val="clear" w:color="auto" w:fill="CCEEFF"/>
            <w:tcMar>
              <w:top w:w="40" w:type="dxa"/>
              <w:left w:w="0" w:type="dxa"/>
              <w:bottom w:w="40" w:type="dxa"/>
              <w:right w:w="20" w:type="dxa"/>
            </w:tcMar>
            <w:vAlign w:val="bottom"/>
          </w:tcPr>
          <w:p w14:paraId="392C1E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A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EB0"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1EB1" w14:textId="77777777" w:rsidR="00980E5F" w:rsidRDefault="00483613">
            <w:pPr>
              <w:jc w:val="right"/>
              <w:textAlignment w:val="bottom"/>
            </w:pPr>
            <w:r>
              <w:rPr>
                <w:rFonts w:ascii="Arial" w:eastAsia="宋体" w:hAnsi="Arial" w:cs="Arial"/>
                <w:b/>
                <w:bCs/>
                <w:color w:val="000000"/>
                <w:sz w:val="15"/>
                <w:szCs w:val="15"/>
              </w:rPr>
              <w:t>471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E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B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EB4"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1EB5" w14:textId="77777777" w:rsidR="00980E5F" w:rsidRDefault="00483613">
            <w:pPr>
              <w:jc w:val="right"/>
              <w:textAlignment w:val="bottom"/>
            </w:pPr>
            <w:r>
              <w:rPr>
                <w:rFonts w:ascii="Arial" w:eastAsia="宋体" w:hAnsi="Arial" w:cs="Arial"/>
                <w:b/>
                <w:bCs/>
                <w:color w:val="000000"/>
                <w:sz w:val="15"/>
                <w:szCs w:val="15"/>
              </w:rPr>
              <w:t>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E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B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EB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1EB9" w14:textId="77777777" w:rsidR="00980E5F" w:rsidRDefault="00483613">
            <w:pPr>
              <w:jc w:val="right"/>
              <w:textAlignment w:val="bottom"/>
            </w:pPr>
            <w:r>
              <w:rPr>
                <w:rFonts w:ascii="Arial" w:eastAsia="宋体" w:hAnsi="Arial" w:cs="Arial"/>
                <w:color w:val="000000"/>
                <w:sz w:val="15"/>
                <w:szCs w:val="15"/>
              </w:rPr>
              <w:t>644 </w:t>
            </w:r>
          </w:p>
        </w:tc>
        <w:tc>
          <w:tcPr>
            <w:tcW w:w="0" w:type="auto"/>
            <w:shd w:val="clear" w:color="auto" w:fill="CCEEFF"/>
            <w:tcMar>
              <w:top w:w="40" w:type="dxa"/>
              <w:left w:w="0" w:type="dxa"/>
              <w:bottom w:w="40" w:type="dxa"/>
              <w:right w:w="20" w:type="dxa"/>
            </w:tcMar>
            <w:vAlign w:val="bottom"/>
          </w:tcPr>
          <w:p w14:paraId="392C1E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B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EB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1EBD" w14:textId="77777777" w:rsidR="00980E5F" w:rsidRDefault="00483613">
            <w:pPr>
              <w:jc w:val="right"/>
              <w:textAlignment w:val="bottom"/>
            </w:pPr>
            <w:r>
              <w:rPr>
                <w:rFonts w:ascii="Arial" w:eastAsia="宋体" w:hAnsi="Arial" w:cs="Arial"/>
                <w:color w:val="000000"/>
                <w:sz w:val="15"/>
                <w:szCs w:val="15"/>
              </w:rPr>
              <w:t>286 </w:t>
            </w:r>
          </w:p>
        </w:tc>
        <w:tc>
          <w:tcPr>
            <w:tcW w:w="0" w:type="auto"/>
            <w:shd w:val="clear" w:color="auto" w:fill="CCEEFF"/>
            <w:tcMar>
              <w:top w:w="40" w:type="dxa"/>
              <w:left w:w="0" w:type="dxa"/>
              <w:bottom w:w="40" w:type="dxa"/>
              <w:right w:w="20" w:type="dxa"/>
            </w:tcMar>
            <w:vAlign w:val="bottom"/>
          </w:tcPr>
          <w:p w14:paraId="392C1E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B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EC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1EC1" w14:textId="77777777" w:rsidR="00980E5F" w:rsidRDefault="00483613">
            <w:pPr>
              <w:jc w:val="right"/>
              <w:textAlignment w:val="bottom"/>
            </w:pPr>
            <w:r>
              <w:rPr>
                <w:rFonts w:ascii="Arial" w:eastAsia="宋体" w:hAnsi="Arial" w:cs="Arial"/>
                <w:color w:val="000000"/>
                <w:sz w:val="15"/>
                <w:szCs w:val="15"/>
              </w:rPr>
              <w:t>930 </w:t>
            </w:r>
          </w:p>
        </w:tc>
        <w:tc>
          <w:tcPr>
            <w:tcW w:w="0" w:type="auto"/>
            <w:shd w:val="clear" w:color="auto" w:fill="CCEEFF"/>
            <w:tcMar>
              <w:top w:w="40" w:type="dxa"/>
              <w:left w:w="0" w:type="dxa"/>
              <w:bottom w:w="40" w:type="dxa"/>
              <w:right w:w="20" w:type="dxa"/>
            </w:tcMar>
            <w:vAlign w:val="bottom"/>
          </w:tcPr>
          <w:p w14:paraId="392C1EC2" w14:textId="77777777" w:rsidR="00980E5F" w:rsidRDefault="00980E5F">
            <w:pPr>
              <w:jc w:val="right"/>
              <w:rPr>
                <w:rFonts w:ascii="宋体"/>
              </w:rPr>
            </w:pPr>
          </w:p>
        </w:tc>
      </w:tr>
      <w:tr w:rsidR="00980E5F" w14:paraId="392C1ED6" w14:textId="77777777">
        <w:tc>
          <w:tcPr>
            <w:tcW w:w="0" w:type="auto"/>
            <w:gridSpan w:val="3"/>
            <w:shd w:val="clear" w:color="auto" w:fill="FFFFFF"/>
            <w:tcMar>
              <w:top w:w="40" w:type="dxa"/>
              <w:left w:w="20" w:type="dxa"/>
              <w:bottom w:w="40" w:type="dxa"/>
              <w:right w:w="20" w:type="dxa"/>
            </w:tcMar>
            <w:vAlign w:val="bottom"/>
          </w:tcPr>
          <w:p w14:paraId="392C1EC4" w14:textId="77777777" w:rsidR="00980E5F" w:rsidRDefault="00483613">
            <w:pPr>
              <w:textAlignment w:val="bottom"/>
            </w:pPr>
            <w:r>
              <w:rPr>
                <w:rFonts w:ascii="Arial" w:eastAsia="宋体" w:hAnsi="Arial" w:cs="Arial"/>
                <w:color w:val="000000"/>
                <w:sz w:val="15"/>
                <w:szCs w:val="15"/>
              </w:rPr>
              <w:t>–100 bps sh</w:t>
            </w:r>
            <w:r>
              <w:rPr>
                <w:rFonts w:ascii="Arial" w:eastAsia="宋体" w:hAnsi="Arial" w:cs="Arial"/>
                <w:color w:val="000000"/>
                <w:sz w:val="15"/>
                <w:szCs w:val="15"/>
              </w:rPr>
              <w:t>ock</w:t>
            </w:r>
          </w:p>
        </w:tc>
        <w:tc>
          <w:tcPr>
            <w:tcW w:w="0" w:type="auto"/>
            <w:gridSpan w:val="2"/>
            <w:shd w:val="clear" w:color="auto" w:fill="FFFFFF"/>
            <w:tcMar>
              <w:top w:w="40" w:type="dxa"/>
              <w:left w:w="20" w:type="dxa"/>
              <w:bottom w:w="40" w:type="dxa"/>
              <w:right w:w="0" w:type="dxa"/>
            </w:tcMar>
            <w:vAlign w:val="bottom"/>
          </w:tcPr>
          <w:p w14:paraId="392C1EC5" w14:textId="77777777" w:rsidR="00980E5F" w:rsidRDefault="00483613">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E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C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C8" w14:textId="77777777" w:rsidR="00980E5F" w:rsidRDefault="00483613">
            <w:pPr>
              <w:jc w:val="right"/>
              <w:textAlignment w:val="bottom"/>
            </w:pPr>
            <w:r>
              <w:rPr>
                <w:rFonts w:ascii="Arial" w:eastAsia="宋体" w:hAnsi="Arial" w:cs="Arial"/>
                <w:b/>
                <w:bCs/>
                <w:color w:val="000000"/>
                <w:sz w:val="15"/>
                <w:szCs w:val="15"/>
              </w:rPr>
              <w:t>(356)</w:t>
            </w:r>
          </w:p>
        </w:tc>
        <w:tc>
          <w:tcPr>
            <w:tcW w:w="0" w:type="auto"/>
            <w:shd w:val="clear" w:color="auto" w:fill="FFFFFF"/>
            <w:tcMar>
              <w:top w:w="40" w:type="dxa"/>
              <w:left w:w="0" w:type="dxa"/>
              <w:bottom w:w="40" w:type="dxa"/>
              <w:right w:w="20" w:type="dxa"/>
            </w:tcMar>
            <w:vAlign w:val="bottom"/>
          </w:tcPr>
          <w:p w14:paraId="392C1E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CB" w14:textId="77777777" w:rsidR="00980E5F" w:rsidRDefault="00483613">
            <w:pPr>
              <w:jc w:val="right"/>
              <w:textAlignment w:val="bottom"/>
            </w:pPr>
            <w:r>
              <w:rPr>
                <w:rFonts w:ascii="Arial" w:eastAsia="宋体" w:hAnsi="Arial" w:cs="Arial"/>
                <w:b/>
                <w:bCs/>
                <w:color w:val="000000"/>
                <w:sz w:val="15"/>
                <w:szCs w:val="15"/>
              </w:rPr>
              <w:t>(343)</w:t>
            </w:r>
          </w:p>
        </w:tc>
        <w:tc>
          <w:tcPr>
            <w:tcW w:w="0" w:type="auto"/>
            <w:shd w:val="clear" w:color="auto" w:fill="FFFFFF"/>
            <w:tcMar>
              <w:top w:w="40" w:type="dxa"/>
              <w:left w:w="0" w:type="dxa"/>
              <w:bottom w:w="40" w:type="dxa"/>
              <w:right w:w="20" w:type="dxa"/>
            </w:tcMar>
            <w:vAlign w:val="bottom"/>
          </w:tcPr>
          <w:p w14:paraId="392C1E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CE" w14:textId="77777777" w:rsidR="00980E5F" w:rsidRDefault="00483613">
            <w:pPr>
              <w:jc w:val="right"/>
              <w:textAlignment w:val="bottom"/>
            </w:pPr>
            <w:r>
              <w:rPr>
                <w:rFonts w:ascii="Arial" w:eastAsia="宋体" w:hAnsi="Arial" w:cs="Arial"/>
                <w:color w:val="000000"/>
                <w:sz w:val="15"/>
                <w:szCs w:val="15"/>
              </w:rPr>
              <w:t>804 </w:t>
            </w:r>
          </w:p>
        </w:tc>
        <w:tc>
          <w:tcPr>
            <w:tcW w:w="0" w:type="auto"/>
            <w:shd w:val="clear" w:color="auto" w:fill="FFFFFF"/>
            <w:tcMar>
              <w:top w:w="40" w:type="dxa"/>
              <w:left w:w="0" w:type="dxa"/>
              <w:bottom w:w="40" w:type="dxa"/>
              <w:right w:w="20" w:type="dxa"/>
            </w:tcMar>
            <w:vAlign w:val="bottom"/>
          </w:tcPr>
          <w:p w14:paraId="392C1E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D1" w14:textId="77777777" w:rsidR="00980E5F" w:rsidRDefault="00483613">
            <w:pPr>
              <w:jc w:val="right"/>
              <w:textAlignment w:val="bottom"/>
            </w:pPr>
            <w:r>
              <w:rPr>
                <w:rFonts w:ascii="Arial" w:eastAsia="宋体" w:hAnsi="Arial" w:cs="Arial"/>
                <w:color w:val="000000"/>
                <w:sz w:val="15"/>
                <w:szCs w:val="15"/>
              </w:rPr>
              <w:t>155 </w:t>
            </w:r>
          </w:p>
        </w:tc>
        <w:tc>
          <w:tcPr>
            <w:tcW w:w="0" w:type="auto"/>
            <w:shd w:val="clear" w:color="auto" w:fill="FFFFFF"/>
            <w:tcMar>
              <w:top w:w="40" w:type="dxa"/>
              <w:left w:w="0" w:type="dxa"/>
              <w:bottom w:w="40" w:type="dxa"/>
              <w:right w:w="20" w:type="dxa"/>
            </w:tcMar>
            <w:vAlign w:val="bottom"/>
          </w:tcPr>
          <w:p w14:paraId="392C1E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D4" w14:textId="77777777" w:rsidR="00980E5F" w:rsidRDefault="00483613">
            <w:pPr>
              <w:jc w:val="right"/>
              <w:textAlignment w:val="bottom"/>
            </w:pPr>
            <w:r>
              <w:rPr>
                <w:rFonts w:ascii="Arial" w:eastAsia="宋体" w:hAnsi="Arial" w:cs="Arial"/>
                <w:color w:val="000000"/>
                <w:sz w:val="15"/>
                <w:szCs w:val="15"/>
              </w:rPr>
              <w:t>959 </w:t>
            </w:r>
          </w:p>
        </w:tc>
        <w:tc>
          <w:tcPr>
            <w:tcW w:w="0" w:type="auto"/>
            <w:shd w:val="clear" w:color="auto" w:fill="FFFFFF"/>
            <w:tcMar>
              <w:top w:w="40" w:type="dxa"/>
              <w:left w:w="0" w:type="dxa"/>
              <w:bottom w:w="40" w:type="dxa"/>
              <w:right w:w="20" w:type="dxa"/>
            </w:tcMar>
            <w:vAlign w:val="bottom"/>
          </w:tcPr>
          <w:p w14:paraId="392C1ED5" w14:textId="77777777" w:rsidR="00980E5F" w:rsidRDefault="00980E5F">
            <w:pPr>
              <w:jc w:val="right"/>
              <w:rPr>
                <w:rFonts w:ascii="宋体"/>
              </w:rPr>
            </w:pPr>
          </w:p>
        </w:tc>
      </w:tr>
      <w:tr w:rsidR="00980E5F" w14:paraId="392C1EE3" w14:textId="77777777">
        <w:tc>
          <w:tcPr>
            <w:tcW w:w="0" w:type="auto"/>
            <w:gridSpan w:val="3"/>
            <w:shd w:val="clear" w:color="auto" w:fill="CCEEFF"/>
            <w:tcMar>
              <w:top w:w="40" w:type="dxa"/>
              <w:left w:w="20" w:type="dxa"/>
              <w:bottom w:w="40" w:type="dxa"/>
              <w:right w:w="20" w:type="dxa"/>
            </w:tcMar>
            <w:vAlign w:val="bottom"/>
          </w:tcPr>
          <w:p w14:paraId="392C1ED7" w14:textId="77777777" w:rsidR="00980E5F" w:rsidRDefault="00483613">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vAlign w:val="bottom"/>
          </w:tcPr>
          <w:p w14:paraId="392C1ED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D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E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E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1EE2" w14:textId="77777777" w:rsidR="00980E5F" w:rsidRDefault="00980E5F">
            <w:pPr>
              <w:rPr>
                <w:rFonts w:ascii="宋体"/>
              </w:rPr>
            </w:pPr>
          </w:p>
        </w:tc>
      </w:tr>
      <w:tr w:rsidR="00980E5F" w14:paraId="392C1EF6" w14:textId="77777777">
        <w:tc>
          <w:tcPr>
            <w:tcW w:w="0" w:type="auto"/>
            <w:gridSpan w:val="3"/>
            <w:shd w:val="clear" w:color="auto" w:fill="auto"/>
            <w:tcMar>
              <w:top w:w="40" w:type="dxa"/>
              <w:left w:w="20" w:type="dxa"/>
              <w:bottom w:w="40" w:type="dxa"/>
              <w:right w:w="20" w:type="dxa"/>
            </w:tcMar>
            <w:vAlign w:val="bottom"/>
          </w:tcPr>
          <w:p w14:paraId="392C1EE4" w14:textId="77777777" w:rsidR="00980E5F" w:rsidRDefault="00483613">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1EE5" w14:textId="77777777" w:rsidR="00980E5F" w:rsidRDefault="00483613">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E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E8" w14:textId="77777777" w:rsidR="00980E5F" w:rsidRDefault="00483613">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E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EB" w14:textId="77777777" w:rsidR="00980E5F" w:rsidRDefault="00483613">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1E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E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EE" w14:textId="77777777" w:rsidR="00980E5F" w:rsidRDefault="00483613">
            <w:pPr>
              <w:jc w:val="right"/>
              <w:textAlignment w:val="bottom"/>
            </w:pPr>
            <w:r>
              <w:rPr>
                <w:rFonts w:ascii="Arial" w:eastAsia="宋体" w:hAnsi="Arial" w:cs="Arial"/>
                <w:color w:val="000000"/>
                <w:sz w:val="15"/>
                <w:szCs w:val="15"/>
              </w:rPr>
              <w:t>134 </w:t>
            </w:r>
          </w:p>
        </w:tc>
        <w:tc>
          <w:tcPr>
            <w:tcW w:w="0" w:type="auto"/>
            <w:shd w:val="clear" w:color="auto" w:fill="FFFFFF"/>
            <w:tcMar>
              <w:top w:w="40" w:type="dxa"/>
              <w:left w:w="0" w:type="dxa"/>
              <w:bottom w:w="40" w:type="dxa"/>
              <w:right w:w="20" w:type="dxa"/>
            </w:tcMar>
            <w:vAlign w:val="bottom"/>
          </w:tcPr>
          <w:p w14:paraId="392C1E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F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F1"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C1E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EF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EF4" w14:textId="77777777" w:rsidR="00980E5F" w:rsidRDefault="00483613">
            <w:pPr>
              <w:jc w:val="right"/>
              <w:textAlignment w:val="bottom"/>
            </w:pPr>
            <w:r>
              <w:rPr>
                <w:rFonts w:ascii="Arial" w:eastAsia="宋体" w:hAnsi="Arial" w:cs="Arial"/>
                <w:color w:val="000000"/>
                <w:sz w:val="15"/>
                <w:szCs w:val="15"/>
              </w:rPr>
              <w:t>135 </w:t>
            </w:r>
          </w:p>
        </w:tc>
        <w:tc>
          <w:tcPr>
            <w:tcW w:w="0" w:type="auto"/>
            <w:shd w:val="clear" w:color="auto" w:fill="FFFFFF"/>
            <w:tcMar>
              <w:top w:w="40" w:type="dxa"/>
              <w:left w:w="0" w:type="dxa"/>
              <w:bottom w:w="40" w:type="dxa"/>
              <w:right w:w="20" w:type="dxa"/>
            </w:tcMar>
            <w:vAlign w:val="bottom"/>
          </w:tcPr>
          <w:p w14:paraId="392C1EF5" w14:textId="77777777" w:rsidR="00980E5F" w:rsidRDefault="00980E5F">
            <w:pPr>
              <w:jc w:val="right"/>
              <w:rPr>
                <w:rFonts w:ascii="宋体"/>
              </w:rPr>
            </w:pPr>
          </w:p>
        </w:tc>
      </w:tr>
      <w:tr w:rsidR="00980E5F" w14:paraId="392C1F09" w14:textId="77777777">
        <w:tc>
          <w:tcPr>
            <w:tcW w:w="0" w:type="auto"/>
            <w:gridSpan w:val="3"/>
            <w:shd w:val="clear" w:color="auto" w:fill="CCEEFF"/>
            <w:tcMar>
              <w:top w:w="40" w:type="dxa"/>
              <w:left w:w="20" w:type="dxa"/>
              <w:bottom w:w="40" w:type="dxa"/>
              <w:right w:w="20" w:type="dxa"/>
            </w:tcMar>
            <w:vAlign w:val="bottom"/>
          </w:tcPr>
          <w:p w14:paraId="392C1EF7" w14:textId="77777777" w:rsidR="00980E5F" w:rsidRDefault="00483613">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1EF8" w14:textId="77777777" w:rsidR="00980E5F" w:rsidRDefault="00483613">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E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F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EFB" w14:textId="77777777" w:rsidR="00980E5F" w:rsidRDefault="00483613">
            <w:pPr>
              <w:jc w:val="right"/>
              <w:textAlignment w:val="bottom"/>
            </w:pPr>
            <w:r>
              <w:rPr>
                <w:rFonts w:ascii="Arial" w:eastAsia="宋体" w:hAnsi="Arial" w:cs="Arial"/>
                <w:b/>
                <w:bCs/>
                <w:color w:val="000000"/>
                <w:sz w:val="15"/>
                <w:szCs w:val="15"/>
              </w:rPr>
              <w:t>(350)</w:t>
            </w:r>
          </w:p>
        </w:tc>
        <w:tc>
          <w:tcPr>
            <w:tcW w:w="0" w:type="auto"/>
            <w:shd w:val="clear" w:color="auto" w:fill="CCEEFF"/>
            <w:tcMar>
              <w:top w:w="40" w:type="dxa"/>
              <w:left w:w="0" w:type="dxa"/>
              <w:bottom w:w="40" w:type="dxa"/>
              <w:right w:w="20" w:type="dxa"/>
            </w:tcMar>
            <w:vAlign w:val="bottom"/>
          </w:tcPr>
          <w:p w14:paraId="392C1E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EF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EFE" w14:textId="77777777" w:rsidR="00980E5F" w:rsidRDefault="00483613">
            <w:pPr>
              <w:jc w:val="right"/>
              <w:textAlignment w:val="bottom"/>
            </w:pPr>
            <w:r>
              <w:rPr>
                <w:rFonts w:ascii="Arial" w:eastAsia="宋体" w:hAnsi="Arial" w:cs="Arial"/>
                <w:b/>
                <w:bCs/>
                <w:color w:val="000000"/>
                <w:sz w:val="15"/>
                <w:szCs w:val="15"/>
              </w:rPr>
              <w:t>(312)</w:t>
            </w:r>
          </w:p>
        </w:tc>
        <w:tc>
          <w:tcPr>
            <w:tcW w:w="0" w:type="auto"/>
            <w:shd w:val="clear" w:color="auto" w:fill="CCEEFF"/>
            <w:tcMar>
              <w:top w:w="40" w:type="dxa"/>
              <w:left w:w="0" w:type="dxa"/>
              <w:bottom w:w="40" w:type="dxa"/>
              <w:right w:w="20" w:type="dxa"/>
            </w:tcMar>
            <w:vAlign w:val="bottom"/>
          </w:tcPr>
          <w:p w14:paraId="392C1E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01" w14:textId="77777777" w:rsidR="00980E5F" w:rsidRDefault="00483613">
            <w:pPr>
              <w:jc w:val="right"/>
              <w:textAlignment w:val="bottom"/>
            </w:pPr>
            <w:r>
              <w:rPr>
                <w:rFonts w:ascii="Arial" w:eastAsia="宋体" w:hAnsi="Arial" w:cs="Arial"/>
                <w:color w:val="000000"/>
                <w:sz w:val="15"/>
                <w:szCs w:val="15"/>
              </w:rPr>
              <w:t>954 </w:t>
            </w:r>
          </w:p>
        </w:tc>
        <w:tc>
          <w:tcPr>
            <w:tcW w:w="0" w:type="auto"/>
            <w:shd w:val="clear" w:color="auto" w:fill="CCEEFF"/>
            <w:tcMar>
              <w:top w:w="40" w:type="dxa"/>
              <w:left w:w="0" w:type="dxa"/>
              <w:bottom w:w="40" w:type="dxa"/>
              <w:right w:w="20" w:type="dxa"/>
            </w:tcMar>
            <w:vAlign w:val="bottom"/>
          </w:tcPr>
          <w:p w14:paraId="392C1F0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0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04" w14:textId="77777777" w:rsidR="00980E5F" w:rsidRDefault="00483613">
            <w:pPr>
              <w:jc w:val="right"/>
              <w:textAlignment w:val="bottom"/>
            </w:pPr>
            <w:r>
              <w:rPr>
                <w:rFonts w:ascii="Arial" w:eastAsia="宋体" w:hAnsi="Arial" w:cs="Arial"/>
                <w:color w:val="000000"/>
                <w:sz w:val="15"/>
                <w:szCs w:val="15"/>
              </w:rPr>
              <w:t>156 </w:t>
            </w:r>
          </w:p>
        </w:tc>
        <w:tc>
          <w:tcPr>
            <w:tcW w:w="0" w:type="auto"/>
            <w:shd w:val="clear" w:color="auto" w:fill="CCEEFF"/>
            <w:tcMar>
              <w:top w:w="40" w:type="dxa"/>
              <w:left w:w="0" w:type="dxa"/>
              <w:bottom w:w="40" w:type="dxa"/>
              <w:right w:w="20" w:type="dxa"/>
            </w:tcMar>
            <w:vAlign w:val="bottom"/>
          </w:tcPr>
          <w:p w14:paraId="392C1F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0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07" w14:textId="77777777" w:rsidR="00980E5F" w:rsidRDefault="00483613">
            <w:pPr>
              <w:jc w:val="right"/>
              <w:textAlignment w:val="bottom"/>
            </w:pPr>
            <w:r>
              <w:rPr>
                <w:rFonts w:ascii="Arial" w:eastAsia="宋体" w:hAnsi="Arial" w:cs="Arial"/>
                <w:color w:val="000000"/>
                <w:sz w:val="15"/>
                <w:szCs w:val="15"/>
              </w:rPr>
              <w:t>1,110 </w:t>
            </w:r>
          </w:p>
        </w:tc>
        <w:tc>
          <w:tcPr>
            <w:tcW w:w="0" w:type="auto"/>
            <w:shd w:val="clear" w:color="auto" w:fill="CCEEFF"/>
            <w:tcMar>
              <w:top w:w="40" w:type="dxa"/>
              <w:left w:w="0" w:type="dxa"/>
              <w:bottom w:w="40" w:type="dxa"/>
              <w:right w:w="20" w:type="dxa"/>
            </w:tcMar>
            <w:vAlign w:val="bottom"/>
          </w:tcPr>
          <w:p w14:paraId="392C1F08" w14:textId="77777777" w:rsidR="00980E5F" w:rsidRDefault="00980E5F">
            <w:pPr>
              <w:jc w:val="right"/>
              <w:rPr>
                <w:rFonts w:ascii="宋体"/>
              </w:rPr>
            </w:pPr>
          </w:p>
        </w:tc>
      </w:tr>
      <w:tr w:rsidR="00980E5F" w14:paraId="392C1F16" w14:textId="77777777">
        <w:tc>
          <w:tcPr>
            <w:tcW w:w="0" w:type="auto"/>
            <w:gridSpan w:val="3"/>
            <w:shd w:val="clear" w:color="auto" w:fill="FFFFFF"/>
            <w:tcMar>
              <w:top w:w="40" w:type="dxa"/>
              <w:left w:w="20" w:type="dxa"/>
              <w:bottom w:w="40" w:type="dxa"/>
              <w:right w:w="20" w:type="dxa"/>
            </w:tcMar>
            <w:vAlign w:val="bottom"/>
          </w:tcPr>
          <w:p w14:paraId="392C1F0A" w14:textId="77777777" w:rsidR="00980E5F" w:rsidRDefault="00483613">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vAlign w:val="bottom"/>
          </w:tcPr>
          <w:p w14:paraId="392C1F0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0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1F15" w14:textId="77777777" w:rsidR="00980E5F" w:rsidRDefault="00980E5F">
            <w:pPr>
              <w:rPr>
                <w:rFonts w:ascii="宋体"/>
              </w:rPr>
            </w:pPr>
          </w:p>
        </w:tc>
      </w:tr>
      <w:tr w:rsidR="00980E5F" w14:paraId="392C1F29" w14:textId="77777777">
        <w:tc>
          <w:tcPr>
            <w:tcW w:w="0" w:type="auto"/>
            <w:gridSpan w:val="3"/>
            <w:shd w:val="clear" w:color="auto" w:fill="CCEEFF"/>
            <w:tcMar>
              <w:top w:w="40" w:type="dxa"/>
              <w:left w:w="20" w:type="dxa"/>
              <w:bottom w:w="40" w:type="dxa"/>
              <w:right w:w="20" w:type="dxa"/>
            </w:tcMar>
            <w:vAlign w:val="bottom"/>
          </w:tcPr>
          <w:p w14:paraId="392C1F17" w14:textId="77777777" w:rsidR="00980E5F" w:rsidRDefault="00483613">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1F18" w14:textId="77777777" w:rsidR="00980E5F" w:rsidRDefault="00483613">
            <w:pPr>
              <w:jc w:val="right"/>
              <w:textAlignment w:val="bottom"/>
            </w:pPr>
            <w:r>
              <w:rPr>
                <w:rFonts w:ascii="Arial" w:eastAsia="宋体" w:hAnsi="Arial" w:cs="Arial"/>
                <w:b/>
                <w:bCs/>
                <w:color w:val="000000"/>
                <w:sz w:val="15"/>
                <w:szCs w:val="15"/>
              </w:rPr>
              <w:t>(50)</w:t>
            </w:r>
          </w:p>
        </w:tc>
        <w:tc>
          <w:tcPr>
            <w:tcW w:w="0" w:type="auto"/>
            <w:shd w:val="clear" w:color="auto" w:fill="CCEEFF"/>
            <w:tcMar>
              <w:top w:w="40" w:type="dxa"/>
              <w:left w:w="0" w:type="dxa"/>
              <w:bottom w:w="40" w:type="dxa"/>
              <w:right w:w="20" w:type="dxa"/>
            </w:tcMar>
            <w:vAlign w:val="bottom"/>
          </w:tcPr>
          <w:p w14:paraId="392C1F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1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1B" w14:textId="77777777" w:rsidR="00980E5F" w:rsidRDefault="00483613">
            <w:pPr>
              <w:jc w:val="right"/>
              <w:textAlignment w:val="bottom"/>
            </w:pPr>
            <w:r>
              <w:rPr>
                <w:rFonts w:ascii="Arial" w:eastAsia="宋体" w:hAnsi="Arial" w:cs="Arial"/>
                <w:b/>
                <w:bCs/>
                <w:color w:val="000000"/>
                <w:sz w:val="15"/>
                <w:szCs w:val="15"/>
              </w:rPr>
              <w:t>465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F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1E" w14:textId="77777777" w:rsidR="00980E5F" w:rsidRDefault="00483613">
            <w:pPr>
              <w:jc w:val="right"/>
              <w:textAlignment w:val="bottom"/>
            </w:pPr>
            <w:r>
              <w:rPr>
                <w:rFonts w:ascii="Arial" w:eastAsia="宋体" w:hAnsi="Arial" w:cs="Arial"/>
                <w:b/>
                <w:bCs/>
                <w:color w:val="000000"/>
                <w:sz w:val="15"/>
                <w:szCs w:val="15"/>
              </w:rPr>
              <w:t>415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1F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2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21" w14:textId="77777777" w:rsidR="00980E5F" w:rsidRDefault="00483613">
            <w:pPr>
              <w:jc w:val="right"/>
              <w:textAlignment w:val="bottom"/>
            </w:pPr>
            <w:r>
              <w:rPr>
                <w:rFonts w:ascii="Arial" w:eastAsia="宋体" w:hAnsi="Arial" w:cs="Arial"/>
                <w:color w:val="000000"/>
                <w:sz w:val="15"/>
                <w:szCs w:val="15"/>
              </w:rPr>
              <w:t>510 </w:t>
            </w:r>
          </w:p>
        </w:tc>
        <w:tc>
          <w:tcPr>
            <w:tcW w:w="0" w:type="auto"/>
            <w:shd w:val="clear" w:color="auto" w:fill="CCEEFF"/>
            <w:tcMar>
              <w:top w:w="40" w:type="dxa"/>
              <w:left w:w="0" w:type="dxa"/>
              <w:bottom w:w="40" w:type="dxa"/>
              <w:right w:w="20" w:type="dxa"/>
            </w:tcMar>
            <w:vAlign w:val="bottom"/>
          </w:tcPr>
          <w:p w14:paraId="392C1F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2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24" w14:textId="77777777" w:rsidR="00980E5F" w:rsidRDefault="00483613">
            <w:pPr>
              <w:jc w:val="right"/>
              <w:textAlignment w:val="bottom"/>
            </w:pPr>
            <w:r>
              <w:rPr>
                <w:rFonts w:ascii="Arial" w:eastAsia="宋体" w:hAnsi="Arial" w:cs="Arial"/>
                <w:color w:val="000000"/>
                <w:sz w:val="15"/>
                <w:szCs w:val="15"/>
              </w:rPr>
              <w:t>284 </w:t>
            </w:r>
          </w:p>
        </w:tc>
        <w:tc>
          <w:tcPr>
            <w:tcW w:w="0" w:type="auto"/>
            <w:shd w:val="clear" w:color="auto" w:fill="CCEEFF"/>
            <w:tcMar>
              <w:top w:w="40" w:type="dxa"/>
              <w:left w:w="0" w:type="dxa"/>
              <w:bottom w:w="40" w:type="dxa"/>
              <w:right w:w="20" w:type="dxa"/>
            </w:tcMar>
            <w:vAlign w:val="bottom"/>
          </w:tcPr>
          <w:p w14:paraId="392C1F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1F27" w14:textId="77777777" w:rsidR="00980E5F" w:rsidRDefault="00483613">
            <w:pPr>
              <w:jc w:val="right"/>
              <w:textAlignment w:val="bottom"/>
            </w:pPr>
            <w:r>
              <w:rPr>
                <w:rFonts w:ascii="Arial" w:eastAsia="宋体" w:hAnsi="Arial" w:cs="Arial"/>
                <w:color w:val="000000"/>
                <w:sz w:val="15"/>
                <w:szCs w:val="15"/>
              </w:rPr>
              <w:t>794 </w:t>
            </w:r>
          </w:p>
        </w:tc>
        <w:tc>
          <w:tcPr>
            <w:tcW w:w="0" w:type="auto"/>
            <w:shd w:val="clear" w:color="auto" w:fill="CCEEFF"/>
            <w:tcMar>
              <w:top w:w="40" w:type="dxa"/>
              <w:left w:w="0" w:type="dxa"/>
              <w:bottom w:w="40" w:type="dxa"/>
              <w:right w:w="20" w:type="dxa"/>
            </w:tcMar>
            <w:vAlign w:val="bottom"/>
          </w:tcPr>
          <w:p w14:paraId="392C1F28" w14:textId="77777777" w:rsidR="00980E5F" w:rsidRDefault="00980E5F">
            <w:pPr>
              <w:jc w:val="right"/>
              <w:rPr>
                <w:rFonts w:ascii="宋体"/>
              </w:rPr>
            </w:pPr>
          </w:p>
        </w:tc>
      </w:tr>
      <w:tr w:rsidR="00980E5F" w14:paraId="392C1F3C" w14:textId="77777777">
        <w:tc>
          <w:tcPr>
            <w:tcW w:w="0" w:type="auto"/>
            <w:gridSpan w:val="3"/>
            <w:shd w:val="clear" w:color="auto" w:fill="FFFFFF"/>
            <w:tcMar>
              <w:top w:w="40" w:type="dxa"/>
              <w:left w:w="20" w:type="dxa"/>
              <w:bottom w:w="40" w:type="dxa"/>
              <w:right w:w="20" w:type="dxa"/>
            </w:tcMar>
            <w:vAlign w:val="bottom"/>
          </w:tcPr>
          <w:p w14:paraId="392C1F2A" w14:textId="77777777" w:rsidR="00980E5F" w:rsidRDefault="00483613">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1F2B" w14:textId="77777777" w:rsidR="00980E5F" w:rsidRDefault="00483613">
            <w:pPr>
              <w:jc w:val="right"/>
              <w:textAlignment w:val="bottom"/>
            </w:pPr>
            <w:r>
              <w:rPr>
                <w:rFonts w:ascii="Arial" w:eastAsia="宋体" w:hAnsi="Arial" w:cs="Arial"/>
                <w:b/>
                <w:bCs/>
                <w:color w:val="000000"/>
                <w:sz w:val="15"/>
                <w:szCs w:val="15"/>
              </w:rPr>
              <w:t>(24)</w:t>
            </w:r>
          </w:p>
        </w:tc>
        <w:tc>
          <w:tcPr>
            <w:tcW w:w="0" w:type="auto"/>
            <w:shd w:val="clear" w:color="auto" w:fill="FFFFFF"/>
            <w:tcMar>
              <w:top w:w="40" w:type="dxa"/>
              <w:left w:w="0" w:type="dxa"/>
              <w:bottom w:w="40" w:type="dxa"/>
              <w:right w:w="20" w:type="dxa"/>
            </w:tcMar>
            <w:vAlign w:val="bottom"/>
          </w:tcPr>
          <w:p w14:paraId="392C1F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F2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F2E" w14:textId="77777777" w:rsidR="00980E5F" w:rsidRDefault="00483613">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392C1F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F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F31" w14:textId="77777777" w:rsidR="00980E5F" w:rsidRDefault="00483613">
            <w:pPr>
              <w:jc w:val="right"/>
              <w:textAlignment w:val="bottom"/>
            </w:pPr>
            <w:r>
              <w:rPr>
                <w:rFonts w:ascii="Arial" w:eastAsia="宋体" w:hAnsi="Arial" w:cs="Arial"/>
                <w:b/>
                <w:bCs/>
                <w:color w:val="000000"/>
                <w:sz w:val="15"/>
                <w:szCs w:val="15"/>
              </w:rPr>
              <w:t>(30)</w:t>
            </w:r>
          </w:p>
        </w:tc>
        <w:tc>
          <w:tcPr>
            <w:tcW w:w="0" w:type="auto"/>
            <w:shd w:val="clear" w:color="auto" w:fill="FFFFFF"/>
            <w:tcMar>
              <w:top w:w="40" w:type="dxa"/>
              <w:left w:w="0" w:type="dxa"/>
              <w:bottom w:w="40" w:type="dxa"/>
              <w:right w:w="20" w:type="dxa"/>
            </w:tcMar>
            <w:vAlign w:val="bottom"/>
          </w:tcPr>
          <w:p w14:paraId="392C1F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F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F34" w14:textId="77777777" w:rsidR="00980E5F" w:rsidRDefault="00483613">
            <w:pPr>
              <w:jc w:val="right"/>
              <w:textAlignment w:val="bottom"/>
            </w:pPr>
            <w:r>
              <w:rPr>
                <w:rFonts w:ascii="Arial" w:eastAsia="宋体" w:hAnsi="Arial" w:cs="Arial"/>
                <w:color w:val="000000"/>
                <w:sz w:val="15"/>
                <w:szCs w:val="15"/>
              </w:rPr>
              <w:t>(148)</w:t>
            </w:r>
          </w:p>
        </w:tc>
        <w:tc>
          <w:tcPr>
            <w:tcW w:w="0" w:type="auto"/>
            <w:shd w:val="clear" w:color="auto" w:fill="FFFFFF"/>
            <w:tcMar>
              <w:top w:w="40" w:type="dxa"/>
              <w:left w:w="0" w:type="dxa"/>
              <w:bottom w:w="40" w:type="dxa"/>
              <w:right w:w="20" w:type="dxa"/>
            </w:tcMar>
            <w:vAlign w:val="bottom"/>
          </w:tcPr>
          <w:p w14:paraId="392C1F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F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F37" w14:textId="77777777" w:rsidR="00980E5F" w:rsidRDefault="00483613">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392C1F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1F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1F3A" w14:textId="77777777" w:rsidR="00980E5F" w:rsidRDefault="00483613">
            <w:pPr>
              <w:jc w:val="right"/>
              <w:textAlignment w:val="bottom"/>
            </w:pPr>
            <w:r>
              <w:rPr>
                <w:rFonts w:ascii="Arial" w:eastAsia="宋体" w:hAnsi="Arial" w:cs="Arial"/>
                <w:color w:val="000000"/>
                <w:sz w:val="15"/>
                <w:szCs w:val="15"/>
              </w:rPr>
              <w:t>(150)</w:t>
            </w:r>
          </w:p>
        </w:tc>
        <w:tc>
          <w:tcPr>
            <w:tcW w:w="0" w:type="auto"/>
            <w:shd w:val="clear" w:color="auto" w:fill="FFFFFF"/>
            <w:tcMar>
              <w:top w:w="40" w:type="dxa"/>
              <w:left w:w="0" w:type="dxa"/>
              <w:bottom w:w="40" w:type="dxa"/>
              <w:right w:w="20" w:type="dxa"/>
            </w:tcMar>
            <w:vAlign w:val="bottom"/>
          </w:tcPr>
          <w:p w14:paraId="392C1F3B" w14:textId="77777777" w:rsidR="00980E5F" w:rsidRDefault="00980E5F">
            <w:pPr>
              <w:jc w:val="right"/>
              <w:rPr>
                <w:rFonts w:ascii="宋体"/>
              </w:rPr>
            </w:pPr>
          </w:p>
        </w:tc>
      </w:tr>
    </w:tbl>
    <w:p w14:paraId="392C1F3D"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980E5F" w14:paraId="392C1F47" w14:textId="77777777">
        <w:tc>
          <w:tcPr>
            <w:tcW w:w="50" w:type="pct"/>
            <w:shd w:val="clear" w:color="auto" w:fill="auto"/>
            <w:vAlign w:val="bottom"/>
          </w:tcPr>
          <w:p w14:paraId="392C1F3E" w14:textId="77777777" w:rsidR="00980E5F" w:rsidRDefault="00980E5F">
            <w:pPr>
              <w:rPr>
                <w:rFonts w:ascii="宋体"/>
              </w:rPr>
            </w:pPr>
          </w:p>
        </w:tc>
        <w:tc>
          <w:tcPr>
            <w:tcW w:w="1348" w:type="pct"/>
            <w:shd w:val="clear" w:color="auto" w:fill="auto"/>
            <w:vAlign w:val="bottom"/>
          </w:tcPr>
          <w:p w14:paraId="392C1F3F" w14:textId="77777777" w:rsidR="00980E5F" w:rsidRDefault="00980E5F">
            <w:pPr>
              <w:rPr>
                <w:rFonts w:ascii="宋体"/>
              </w:rPr>
            </w:pPr>
          </w:p>
        </w:tc>
        <w:tc>
          <w:tcPr>
            <w:tcW w:w="5" w:type="pct"/>
            <w:shd w:val="clear" w:color="auto" w:fill="auto"/>
            <w:vAlign w:val="bottom"/>
          </w:tcPr>
          <w:p w14:paraId="392C1F40" w14:textId="77777777" w:rsidR="00980E5F" w:rsidRDefault="00980E5F">
            <w:pPr>
              <w:rPr>
                <w:rFonts w:ascii="宋体"/>
              </w:rPr>
            </w:pPr>
          </w:p>
        </w:tc>
        <w:tc>
          <w:tcPr>
            <w:tcW w:w="50" w:type="pct"/>
            <w:shd w:val="clear" w:color="auto" w:fill="auto"/>
            <w:vAlign w:val="bottom"/>
          </w:tcPr>
          <w:p w14:paraId="392C1F41" w14:textId="77777777" w:rsidR="00980E5F" w:rsidRDefault="00980E5F">
            <w:pPr>
              <w:rPr>
                <w:rFonts w:ascii="宋体"/>
              </w:rPr>
            </w:pPr>
          </w:p>
        </w:tc>
        <w:tc>
          <w:tcPr>
            <w:tcW w:w="1290" w:type="pct"/>
            <w:shd w:val="clear" w:color="auto" w:fill="auto"/>
            <w:vAlign w:val="bottom"/>
          </w:tcPr>
          <w:p w14:paraId="392C1F42" w14:textId="77777777" w:rsidR="00980E5F" w:rsidRDefault="00980E5F">
            <w:pPr>
              <w:rPr>
                <w:rFonts w:ascii="宋体"/>
              </w:rPr>
            </w:pPr>
          </w:p>
        </w:tc>
        <w:tc>
          <w:tcPr>
            <w:tcW w:w="5" w:type="pct"/>
            <w:shd w:val="clear" w:color="auto" w:fill="auto"/>
            <w:vAlign w:val="bottom"/>
          </w:tcPr>
          <w:p w14:paraId="392C1F43" w14:textId="77777777" w:rsidR="00980E5F" w:rsidRDefault="00980E5F">
            <w:pPr>
              <w:rPr>
                <w:rFonts w:ascii="宋体"/>
              </w:rPr>
            </w:pPr>
          </w:p>
        </w:tc>
        <w:tc>
          <w:tcPr>
            <w:tcW w:w="50" w:type="pct"/>
            <w:shd w:val="clear" w:color="auto" w:fill="auto"/>
            <w:vAlign w:val="bottom"/>
          </w:tcPr>
          <w:p w14:paraId="392C1F44" w14:textId="77777777" w:rsidR="00980E5F" w:rsidRDefault="00980E5F">
            <w:pPr>
              <w:rPr>
                <w:rFonts w:ascii="宋体"/>
              </w:rPr>
            </w:pPr>
          </w:p>
        </w:tc>
        <w:tc>
          <w:tcPr>
            <w:tcW w:w="2196" w:type="pct"/>
            <w:shd w:val="clear" w:color="auto" w:fill="auto"/>
            <w:vAlign w:val="bottom"/>
          </w:tcPr>
          <w:p w14:paraId="392C1F45" w14:textId="77777777" w:rsidR="00980E5F" w:rsidRDefault="00980E5F">
            <w:pPr>
              <w:rPr>
                <w:rFonts w:ascii="宋体"/>
              </w:rPr>
            </w:pPr>
          </w:p>
        </w:tc>
        <w:tc>
          <w:tcPr>
            <w:tcW w:w="5" w:type="pct"/>
            <w:shd w:val="clear" w:color="auto" w:fill="auto"/>
            <w:vAlign w:val="bottom"/>
          </w:tcPr>
          <w:p w14:paraId="392C1F46" w14:textId="77777777" w:rsidR="00980E5F" w:rsidRDefault="00980E5F">
            <w:pPr>
              <w:rPr>
                <w:rFonts w:ascii="宋体"/>
              </w:rPr>
            </w:pPr>
          </w:p>
        </w:tc>
      </w:tr>
      <w:tr w:rsidR="00980E5F" w14:paraId="392C1F4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1F4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4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4A" w14:textId="77777777" w:rsidR="00980E5F" w:rsidRDefault="00980E5F">
            <w:pPr>
              <w:rPr>
                <w:rFonts w:ascii="宋体"/>
              </w:rPr>
            </w:pPr>
          </w:p>
        </w:tc>
      </w:tr>
    </w:tbl>
    <w:p w14:paraId="392C1F4C" w14:textId="77777777" w:rsidR="00980E5F" w:rsidRDefault="00483613">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Does not reflect any impact of our proposed acquisition of the BBH Investor Services business. </w:t>
      </w:r>
    </w:p>
    <w:p w14:paraId="392C1F4D" w14:textId="77777777" w:rsidR="00980E5F" w:rsidRDefault="00483613">
      <w:pPr>
        <w:spacing w:before="60"/>
      </w:pPr>
      <w:r>
        <w:rPr>
          <w:rFonts w:ascii="Arial" w:eastAsia="宋体" w:hAnsi="Arial" w:cs="Arial"/>
          <w:color w:val="000000"/>
          <w:sz w:val="8"/>
          <w:szCs w:val="8"/>
        </w:rPr>
        <w:t xml:space="preserve">(2) </w:t>
      </w:r>
      <w:r>
        <w:rPr>
          <w:rFonts w:ascii="Arial" w:eastAsia="宋体" w:hAnsi="Arial" w:cs="Arial"/>
          <w:color w:val="000000"/>
          <w:sz w:val="13"/>
          <w:szCs w:val="13"/>
        </w:rPr>
        <w:t>The short-end is 0-3 months. The long-end is 5 years and above. Interim term points are interpolated.</w:t>
      </w:r>
      <w:r>
        <w:rPr>
          <w:rFonts w:ascii="Arial" w:eastAsia="宋体" w:hAnsi="Arial" w:cs="Arial"/>
          <w:color w:val="000000"/>
          <w:sz w:val="8"/>
          <w:szCs w:val="8"/>
        </w:rPr>
        <w:t xml:space="preserve"> </w:t>
      </w:r>
    </w:p>
    <w:p w14:paraId="392C1F4E" w14:textId="77777777" w:rsidR="00980E5F" w:rsidRDefault="00483613">
      <w:pPr>
        <w:spacing w:before="60"/>
        <w:ind w:firstLine="720"/>
        <w:jc w:val="both"/>
      </w:pPr>
      <w:r>
        <w:rPr>
          <w:rFonts w:ascii="Arial" w:eastAsia="宋体" w:hAnsi="Arial" w:cs="Arial"/>
          <w:color w:val="000000"/>
          <w:sz w:val="20"/>
          <w:szCs w:val="20"/>
        </w:rPr>
        <w:t xml:space="preserve">As of June 30, 2022, NII from non-U.S. rates is </w:t>
      </w:r>
      <w:r>
        <w:rPr>
          <w:rFonts w:ascii="Arial" w:eastAsia="宋体" w:hAnsi="Arial" w:cs="Arial"/>
          <w:color w:val="000000"/>
          <w:sz w:val="20"/>
          <w:szCs w:val="20"/>
        </w:rPr>
        <w:t>expected to benefit from higher interest rates and is exposed to lower rates. The benefit from higher rates is driven by the short-end of the yield curve and our deposit beta assumptions in currencies such as EUR and GBP. Compared to June 30, 2021, our non</w:t>
      </w:r>
      <w:r>
        <w:rPr>
          <w:rFonts w:ascii="Arial" w:eastAsia="宋体" w:hAnsi="Arial" w:cs="Arial"/>
          <w:color w:val="000000"/>
          <w:sz w:val="20"/>
          <w:szCs w:val="20"/>
        </w:rPr>
        <w:t>-U.S. benefit to higher interest rates has increased due to rising ECB rates in our baseline forecast which assumes lower EUR betas once the ECB target rate exceeds 0.25%. Compared to June 30, 2021, our non-U.S. exposure to lower interest rates has also in</w:t>
      </w:r>
      <w:r>
        <w:rPr>
          <w:rFonts w:ascii="Arial" w:eastAsia="宋体" w:hAnsi="Arial" w:cs="Arial"/>
          <w:color w:val="000000"/>
          <w:sz w:val="20"/>
          <w:szCs w:val="20"/>
        </w:rPr>
        <w:t>creased as we begin to realize higher levels of NII from non-U.S. currencies in our baseline forecast.</w:t>
      </w:r>
    </w:p>
    <w:p w14:paraId="392C1F4F" w14:textId="77777777" w:rsidR="00980E5F" w:rsidRDefault="00483613">
      <w:pPr>
        <w:spacing w:before="60"/>
        <w:ind w:firstLine="720"/>
        <w:jc w:val="both"/>
      </w:pPr>
      <w:r>
        <w:rPr>
          <w:rFonts w:ascii="Arial" w:eastAsia="宋体" w:hAnsi="Arial" w:cs="Arial"/>
          <w:color w:val="000000"/>
          <w:sz w:val="20"/>
          <w:szCs w:val="20"/>
        </w:rPr>
        <w:t>As of June 30, 2022, our NII sensitivity from U.S. rates is limited in both higher and lower rate shocks and against short and long-end rate changes.</w:t>
      </w:r>
      <w:r>
        <w:rPr>
          <w:rFonts w:ascii="Arial" w:eastAsia="宋体" w:hAnsi="Arial" w:cs="Arial"/>
          <w:color w:val="000000"/>
        </w:rPr>
        <w:t xml:space="preserve"> </w:t>
      </w:r>
      <w:r>
        <w:rPr>
          <w:rFonts w:ascii="Arial" w:eastAsia="宋体" w:hAnsi="Arial" w:cs="Arial"/>
          <w:color w:val="000000"/>
          <w:sz w:val="20"/>
          <w:szCs w:val="20"/>
        </w:rPr>
        <w:t>Thi</w:t>
      </w:r>
      <w:r>
        <w:rPr>
          <w:rFonts w:ascii="Arial" w:eastAsia="宋体" w:hAnsi="Arial" w:cs="Arial"/>
          <w:color w:val="000000"/>
          <w:sz w:val="20"/>
          <w:szCs w:val="20"/>
        </w:rPr>
        <w:t>s level of U.S. NII sensitivity is primarily driven by our baseline rate forecast which assumes that the Fed Funds target rises to 3.50% by year-end 2022 and 3.75% by June 2023.</w:t>
      </w:r>
      <w:r>
        <w:rPr>
          <w:rFonts w:ascii="Arial" w:eastAsia="宋体" w:hAnsi="Arial" w:cs="Arial"/>
          <w:color w:val="000000"/>
        </w:rPr>
        <w:t xml:space="preserve"> </w:t>
      </w:r>
      <w:r>
        <w:rPr>
          <w:rFonts w:ascii="Arial" w:eastAsia="宋体" w:hAnsi="Arial" w:cs="Arial"/>
          <w:color w:val="000000"/>
          <w:sz w:val="20"/>
          <w:szCs w:val="20"/>
        </w:rPr>
        <w:t>Once U.S. short-end rates reach those levels, the baseline forecast projects s</w:t>
      </w:r>
      <w:r>
        <w:rPr>
          <w:rFonts w:ascii="Arial" w:eastAsia="宋体" w:hAnsi="Arial" w:cs="Arial"/>
          <w:color w:val="000000"/>
          <w:sz w:val="20"/>
          <w:szCs w:val="20"/>
        </w:rPr>
        <w:t>ignificantly higher levels of annual NII and USD deposit betas increase, to the point that the repricing characteristics of our USD assets and liabilities are substantially aligned.</w:t>
      </w:r>
      <w:r>
        <w:rPr>
          <w:rFonts w:ascii="Arial" w:eastAsia="宋体" w:hAnsi="Arial" w:cs="Arial"/>
          <w:color w:val="000000"/>
        </w:rPr>
        <w:t xml:space="preserve"> </w:t>
      </w:r>
      <w:r>
        <w:rPr>
          <w:rFonts w:ascii="Arial" w:eastAsia="宋体" w:hAnsi="Arial" w:cs="Arial"/>
          <w:color w:val="000000"/>
          <w:sz w:val="20"/>
          <w:szCs w:val="20"/>
        </w:rPr>
        <w:t>Our scenarios assume that deposit betas are higher than the last U.S. risi</w:t>
      </w:r>
      <w:r>
        <w:rPr>
          <w:rFonts w:ascii="Arial" w:eastAsia="宋体" w:hAnsi="Arial" w:cs="Arial"/>
          <w:color w:val="000000"/>
          <w:sz w:val="20"/>
          <w:szCs w:val="20"/>
        </w:rPr>
        <w:t>ng rate cycle from 2016-2018 due to our current deposit mix and greater quantitative tightening this cycle by the Federal Reserve.</w:t>
      </w:r>
      <w:r>
        <w:rPr>
          <w:rFonts w:ascii="Arial" w:eastAsia="宋体" w:hAnsi="Arial" w:cs="Arial"/>
          <w:color w:val="000000"/>
        </w:rPr>
        <w:t xml:space="preserve"> </w:t>
      </w:r>
    </w:p>
    <w:p w14:paraId="392C1F50" w14:textId="77777777" w:rsidR="00980E5F" w:rsidRDefault="00483613">
      <w:pPr>
        <w:spacing w:before="60"/>
        <w:ind w:firstLine="720"/>
        <w:jc w:val="both"/>
      </w:pPr>
      <w:r>
        <w:rPr>
          <w:rFonts w:ascii="Arial" w:eastAsia="宋体" w:hAnsi="Arial" w:cs="Arial"/>
          <w:color w:val="000000"/>
          <w:sz w:val="20"/>
          <w:szCs w:val="20"/>
        </w:rPr>
        <w:t>As of June 30, 2022, USD NII in the +100bp shock scenario estimates $28 million of NII at risk with the level of Fed Funds r</w:t>
      </w:r>
      <w:r>
        <w:rPr>
          <w:rFonts w:ascii="Arial" w:eastAsia="宋体" w:hAnsi="Arial" w:cs="Arial"/>
          <w:color w:val="000000"/>
          <w:sz w:val="20"/>
          <w:szCs w:val="20"/>
        </w:rPr>
        <w:t>eaching 4.75%.</w:t>
      </w:r>
      <w:r>
        <w:rPr>
          <w:rFonts w:ascii="Arial" w:eastAsia="宋体" w:hAnsi="Arial" w:cs="Arial"/>
          <w:color w:val="000000"/>
        </w:rPr>
        <w:t xml:space="preserve"> </w:t>
      </w:r>
      <w:r>
        <w:rPr>
          <w:rFonts w:ascii="Arial" w:eastAsia="宋体" w:hAnsi="Arial" w:cs="Arial"/>
          <w:color w:val="000000"/>
          <w:sz w:val="20"/>
          <w:szCs w:val="20"/>
        </w:rPr>
        <w:t>Consistent with our interest rate risk simulation methodology, this estimate assumes no management action is taken to reposition the balance sheet.</w:t>
      </w:r>
      <w:r>
        <w:rPr>
          <w:rFonts w:ascii="Arial" w:eastAsia="宋体" w:hAnsi="Arial" w:cs="Arial"/>
          <w:color w:val="000000"/>
        </w:rPr>
        <w:t xml:space="preserve"> </w:t>
      </w:r>
      <w:r>
        <w:rPr>
          <w:rFonts w:ascii="Arial" w:eastAsia="宋体" w:hAnsi="Arial" w:cs="Arial"/>
          <w:color w:val="000000"/>
          <w:sz w:val="20"/>
          <w:szCs w:val="20"/>
        </w:rPr>
        <w:t>While this is our standard modeling approach, in a higher and rising rate environment, manage</w:t>
      </w:r>
      <w:r>
        <w:rPr>
          <w:rFonts w:ascii="Arial" w:eastAsia="宋体" w:hAnsi="Arial" w:cs="Arial"/>
          <w:color w:val="000000"/>
          <w:sz w:val="20"/>
          <w:szCs w:val="20"/>
        </w:rPr>
        <w:t xml:space="preserve">ment would likely target a neutral asset sensitivity posture by using interest rate swaps and other balance sheet actions. </w:t>
      </w:r>
    </w:p>
    <w:p w14:paraId="392C1F51" w14:textId="77777777" w:rsidR="00980E5F" w:rsidRDefault="00483613">
      <w:pPr>
        <w:spacing w:before="60"/>
        <w:ind w:firstLine="720"/>
        <w:jc w:val="both"/>
      </w:pPr>
      <w:r>
        <w:rPr>
          <w:rFonts w:ascii="Arial" w:eastAsia="宋体" w:hAnsi="Arial" w:cs="Arial"/>
          <w:color w:val="000000"/>
          <w:sz w:val="20"/>
          <w:szCs w:val="20"/>
        </w:rPr>
        <w:t xml:space="preserve">Compared to June 30, 2021, our reduced benefit to higher rate scenarios is driven by rising deposit betas, expectations for deposit </w:t>
      </w:r>
      <w:r>
        <w:rPr>
          <w:rFonts w:ascii="Arial" w:eastAsia="宋体" w:hAnsi="Arial" w:cs="Arial"/>
          <w:color w:val="000000"/>
          <w:sz w:val="20"/>
          <w:szCs w:val="20"/>
        </w:rPr>
        <w:t>rotation from quantitative tightening and less investment portfolio reinvestment.</w:t>
      </w:r>
      <w:r>
        <w:rPr>
          <w:rFonts w:ascii="Arial" w:eastAsia="宋体" w:hAnsi="Arial" w:cs="Arial"/>
          <w:color w:val="000000"/>
        </w:rPr>
        <w:t xml:space="preserve"> </w:t>
      </w:r>
      <w:r>
        <w:rPr>
          <w:rFonts w:ascii="Arial" w:eastAsia="宋体" w:hAnsi="Arial" w:cs="Arial"/>
          <w:color w:val="000000"/>
          <w:sz w:val="20"/>
          <w:szCs w:val="20"/>
        </w:rPr>
        <w:t>USD NII in the -100bp shock scenario estimates a $13 million benefit.</w:t>
      </w:r>
      <w:r>
        <w:rPr>
          <w:rFonts w:ascii="Arial" w:eastAsia="宋体" w:hAnsi="Arial" w:cs="Arial"/>
          <w:color w:val="000000"/>
        </w:rPr>
        <w:t xml:space="preserve"> </w:t>
      </w:r>
      <w:r>
        <w:rPr>
          <w:rFonts w:ascii="Arial" w:eastAsia="宋体" w:hAnsi="Arial" w:cs="Arial"/>
          <w:color w:val="000000"/>
          <w:sz w:val="20"/>
          <w:szCs w:val="20"/>
        </w:rPr>
        <w:t>Compared to June 30, 2021, our reduced benefit to lower rates is driven by the higher USD yield curve wh</w:t>
      </w:r>
      <w:r>
        <w:rPr>
          <w:rFonts w:ascii="Arial" w:eastAsia="宋体" w:hAnsi="Arial" w:cs="Arial"/>
          <w:color w:val="000000"/>
          <w:sz w:val="20"/>
          <w:szCs w:val="20"/>
        </w:rPr>
        <w:t>ich is no longer impacted by negative interest rates in the -100bp scenario.</w:t>
      </w:r>
      <w:r>
        <w:rPr>
          <w:rFonts w:ascii="Arial" w:eastAsia="宋体" w:hAnsi="Arial" w:cs="Arial"/>
          <w:color w:val="000000"/>
        </w:rPr>
        <w:t xml:space="preserve"> </w:t>
      </w:r>
      <w:r>
        <w:rPr>
          <w:rFonts w:ascii="Arial" w:eastAsia="宋体" w:hAnsi="Arial" w:cs="Arial"/>
          <w:color w:val="000000"/>
          <w:sz w:val="20"/>
          <w:szCs w:val="20"/>
        </w:rPr>
        <w:t>The June 30, 2021 sensitivities included a significant NII benefit from negative rates by charging interest on client deposits and the impacts of contractual floors on loans and s</w:t>
      </w:r>
      <w:r>
        <w:rPr>
          <w:rFonts w:ascii="Arial" w:eastAsia="宋体" w:hAnsi="Arial" w:cs="Arial"/>
          <w:color w:val="000000"/>
          <w:sz w:val="20"/>
          <w:szCs w:val="20"/>
        </w:rPr>
        <w:t xml:space="preserve">ecurities. </w:t>
      </w:r>
    </w:p>
    <w:p w14:paraId="392C1F52" w14:textId="77777777" w:rsidR="00980E5F" w:rsidRDefault="00483613">
      <w:pPr>
        <w:spacing w:before="60"/>
        <w:ind w:firstLine="450"/>
        <w:jc w:val="both"/>
      </w:pPr>
      <w:r>
        <w:rPr>
          <w:rFonts w:ascii="Arial" w:eastAsia="宋体" w:hAnsi="Arial" w:cs="Arial"/>
          <w:color w:val="000000"/>
          <w:sz w:val="20"/>
          <w:szCs w:val="20"/>
        </w:rPr>
        <w:t xml:space="preserve">NII sensitivity is routinely monitored as market conditions change. For additional information about our Asset and Liability Management Activities, refer to Management’s Discussion and Analysis of Financial Condition and Results of Operations, </w:t>
      </w:r>
      <w:r>
        <w:rPr>
          <w:rFonts w:ascii="Arial" w:eastAsia="宋体" w:hAnsi="Arial" w:cs="Arial"/>
          <w:color w:val="000000"/>
          <w:sz w:val="20"/>
          <w:szCs w:val="20"/>
        </w:rPr>
        <w:t>“Risk Management”.</w:t>
      </w:r>
    </w:p>
    <w:p w14:paraId="392C1F53" w14:textId="77777777" w:rsidR="00980E5F" w:rsidRDefault="00483613">
      <w:pPr>
        <w:ind w:firstLine="450"/>
        <w:jc w:val="right"/>
      </w:pPr>
      <w:r>
        <w:rPr>
          <w:rFonts w:ascii="Arial" w:eastAsia="宋体" w:hAnsi="Arial" w:cs="Arial"/>
          <w:color w:val="000000"/>
          <w:sz w:val="18"/>
          <w:szCs w:val="18"/>
        </w:rPr>
        <w:t>State Street Corporation | 41</w:t>
      </w:r>
    </w:p>
    <w:p w14:paraId="392C1F54" w14:textId="77777777" w:rsidR="00980E5F" w:rsidRDefault="00980E5F">
      <w:pPr>
        <w:ind w:firstLine="450"/>
        <w:jc w:val="center"/>
      </w:pPr>
    </w:p>
    <w:p w14:paraId="392C1F55" w14:textId="77777777" w:rsidR="00980E5F" w:rsidRDefault="00483613">
      <w:r>
        <w:pict w14:anchorId="392CBAF7">
          <v:rect id="_x0000_i1065" style="width:415.3pt;height:1.5pt" o:hralign="center" o:hrstd="t" o:hr="t" fillcolor="#a0a0a0" stroked="f"/>
        </w:pict>
      </w:r>
    </w:p>
    <w:p w14:paraId="392C1F56"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F57" w14:textId="77777777" w:rsidR="00980E5F" w:rsidRDefault="00483613">
      <w:pPr>
        <w:ind w:firstLine="450"/>
        <w:jc w:val="center"/>
      </w:pPr>
      <w:r>
        <w:rPr>
          <w:rFonts w:ascii="Arial" w:eastAsia="宋体" w:hAnsi="Arial" w:cs="Arial"/>
          <w:b/>
          <w:bCs/>
          <w:color w:val="000000"/>
          <w:sz w:val="20"/>
          <w:szCs w:val="20"/>
        </w:rPr>
        <w:t>AND RESULTS OF OPERATIONS</w:t>
      </w:r>
    </w:p>
    <w:p w14:paraId="392C1F58" w14:textId="77777777" w:rsidR="00980E5F" w:rsidRDefault="00483613">
      <w:pPr>
        <w:spacing w:before="90"/>
        <w:jc w:val="both"/>
        <w:textAlignment w:val="top"/>
      </w:pPr>
      <w:r>
        <w:rPr>
          <w:rFonts w:ascii="Arial" w:eastAsia="宋体" w:hAnsi="Arial" w:cs="Arial"/>
          <w:b/>
          <w:bCs/>
          <w:color w:val="000000"/>
          <w:sz w:val="20"/>
          <w:szCs w:val="20"/>
        </w:rPr>
        <w:t xml:space="preserve">Model Risk Management </w:t>
      </w:r>
    </w:p>
    <w:p w14:paraId="392C1F59" w14:textId="77777777" w:rsidR="00980E5F" w:rsidRDefault="00483613">
      <w:pPr>
        <w:spacing w:before="60"/>
        <w:ind w:firstLine="450"/>
        <w:jc w:val="both"/>
        <w:textAlignment w:val="top"/>
      </w:pPr>
      <w:r>
        <w:rPr>
          <w:rFonts w:ascii="Arial" w:eastAsia="宋体" w:hAnsi="Arial" w:cs="Arial"/>
          <w:color w:val="000000"/>
          <w:sz w:val="20"/>
          <w:szCs w:val="20"/>
        </w:rPr>
        <w:t xml:space="preserve">The use of models is widespread throughout the financial services industry, with large and </w:t>
      </w:r>
      <w:r>
        <w:rPr>
          <w:rFonts w:ascii="Arial" w:eastAsia="宋体" w:hAnsi="Arial" w:cs="Arial"/>
          <w:color w:val="000000"/>
          <w:sz w:val="20"/>
          <w:szCs w:val="20"/>
        </w:rPr>
        <w:t>complex organizations relying on sophisticated models to support numerous aspects of their financial decision making. The models contemporaneously represent both a significant advancement in financial management and a source of risk. In large banking organ</w:t>
      </w:r>
      <w:r>
        <w:rPr>
          <w:rFonts w:ascii="Arial" w:eastAsia="宋体" w:hAnsi="Arial" w:cs="Arial"/>
          <w:color w:val="000000"/>
          <w:sz w:val="20"/>
          <w:szCs w:val="20"/>
        </w:rPr>
        <w:t>izations like us, model results influence business decisions, and model failure could have a harmful effect on our financial performance. As a result, the Model Risk Management Framework seeks to mitigate our model risk.</w:t>
      </w:r>
    </w:p>
    <w:p w14:paraId="392C1F5A"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w:t>
      </w:r>
      <w:r>
        <w:rPr>
          <w:rFonts w:ascii="Arial" w:eastAsia="宋体" w:hAnsi="Arial" w:cs="Arial"/>
          <w:color w:val="000000"/>
          <w:sz w:val="20"/>
          <w:szCs w:val="20"/>
        </w:rPr>
        <w:t>r model risk management framework, including our governance and model validation, refer to pages 111 to 112 included under Item 7, Management's Discussion and Analysis of Financial Condition and Results of Operations, "Model Risk Management", in our 2021 F</w:t>
      </w:r>
      <w:r>
        <w:rPr>
          <w:rFonts w:ascii="Arial" w:eastAsia="宋体" w:hAnsi="Arial" w:cs="Arial"/>
          <w:color w:val="000000"/>
          <w:sz w:val="20"/>
          <w:szCs w:val="20"/>
        </w:rPr>
        <w:t>orm 10-K.</w:t>
      </w:r>
    </w:p>
    <w:p w14:paraId="392C1F5B" w14:textId="77777777" w:rsidR="00980E5F" w:rsidRDefault="00483613">
      <w:pPr>
        <w:spacing w:before="90"/>
        <w:textAlignment w:val="top"/>
      </w:pPr>
      <w:r>
        <w:rPr>
          <w:rFonts w:ascii="Arial" w:eastAsia="宋体" w:hAnsi="Arial" w:cs="Arial"/>
          <w:b/>
          <w:bCs/>
          <w:color w:val="000000"/>
          <w:sz w:val="20"/>
          <w:szCs w:val="20"/>
        </w:rPr>
        <w:t xml:space="preserve">Strategic Risk Management </w:t>
      </w:r>
    </w:p>
    <w:p w14:paraId="392C1F5C" w14:textId="77777777" w:rsidR="00980E5F" w:rsidRDefault="00483613">
      <w:pPr>
        <w:spacing w:before="60"/>
        <w:ind w:firstLine="450"/>
        <w:jc w:val="both"/>
        <w:textAlignment w:val="top"/>
      </w:pPr>
      <w:r>
        <w:rPr>
          <w:rFonts w:ascii="Arial" w:eastAsia="宋体" w:hAnsi="Arial" w:cs="Arial"/>
          <w:color w:val="000000"/>
          <w:sz w:val="20"/>
          <w:szCs w:val="20"/>
        </w:rPr>
        <w:t xml:space="preserve">We define strategic risk as the current or prospective impact on earnings or capital arising from adverse business decisions, improper implementation of strategic initiatives, or lack of responsiveness to industry-wide </w:t>
      </w:r>
      <w:r>
        <w:rPr>
          <w:rFonts w:ascii="Arial" w:eastAsia="宋体" w:hAnsi="Arial" w:cs="Arial"/>
          <w:color w:val="000000"/>
          <w:sz w:val="20"/>
          <w:szCs w:val="20"/>
        </w:rPr>
        <w:t>changes. Strategic risks are influenced by changes in the business environment; decline in market performance or changes in our business activities; and the potential secondary impacts of reputational risks, not already captured as market, interest rate, c</w:t>
      </w:r>
      <w:r>
        <w:rPr>
          <w:rFonts w:ascii="Arial" w:eastAsia="宋体" w:hAnsi="Arial" w:cs="Arial"/>
          <w:color w:val="000000"/>
          <w:sz w:val="20"/>
          <w:szCs w:val="20"/>
        </w:rPr>
        <w:t>redit, operational, model or liquidity risks. We incorporate strategic risk into our assessment of our business plans and risk and capital management processes.</w:t>
      </w:r>
    </w:p>
    <w:p w14:paraId="392C1F5D" w14:textId="77777777" w:rsidR="00980E5F" w:rsidRDefault="00483613">
      <w:pPr>
        <w:spacing w:before="60"/>
        <w:ind w:firstLine="450"/>
        <w:jc w:val="both"/>
        <w:textAlignment w:val="top"/>
      </w:pPr>
      <w:r>
        <w:rPr>
          <w:rFonts w:ascii="Arial" w:eastAsia="宋体" w:hAnsi="Arial" w:cs="Arial"/>
          <w:color w:val="000000"/>
          <w:sz w:val="20"/>
          <w:szCs w:val="20"/>
        </w:rPr>
        <w:t>The Intercontinental Exchange Benchmark Administration (IBA), in conjunction with the United Ki</w:t>
      </w:r>
      <w:r>
        <w:rPr>
          <w:rFonts w:ascii="Arial" w:eastAsia="宋体" w:hAnsi="Arial" w:cs="Arial"/>
          <w:color w:val="000000"/>
          <w:sz w:val="20"/>
          <w:szCs w:val="20"/>
        </w:rPr>
        <w:t>ngdom Financial Conduct Authority (FCA), ceased the publication of GBP, EUR, Swiss Franc and the Japanese Yen (JPY) LIBOR settings for all tenors, as well as one week and two months U.S. dollar LIBOR settings on December 31, 2021. Furthermore, the IBA anno</w:t>
      </w:r>
      <w:r>
        <w:rPr>
          <w:rFonts w:ascii="Arial" w:eastAsia="宋体" w:hAnsi="Arial" w:cs="Arial"/>
          <w:color w:val="000000"/>
          <w:sz w:val="20"/>
          <w:szCs w:val="20"/>
        </w:rPr>
        <w:t>unced that on June 30, 2023, it would cease the publication of overnight and twelve months U.S. dollar LIBOR settings and that as of June 30, 2023 the 1 month, 3 month and 6 month USD LIBOR setting would become non-representative.</w:t>
      </w:r>
    </w:p>
    <w:p w14:paraId="392C1F5E" w14:textId="77777777" w:rsidR="00980E5F" w:rsidRDefault="00483613">
      <w:pPr>
        <w:spacing w:before="60"/>
        <w:ind w:firstLine="450"/>
        <w:jc w:val="both"/>
        <w:textAlignment w:val="top"/>
      </w:pPr>
      <w:r>
        <w:rPr>
          <w:rFonts w:ascii="Arial" w:eastAsia="宋体" w:hAnsi="Arial" w:cs="Arial"/>
          <w:color w:val="000000"/>
          <w:sz w:val="20"/>
          <w:szCs w:val="20"/>
        </w:rPr>
        <w:t xml:space="preserve">For the one month, three </w:t>
      </w:r>
      <w:r>
        <w:rPr>
          <w:rFonts w:ascii="Arial" w:eastAsia="宋体" w:hAnsi="Arial" w:cs="Arial"/>
          <w:color w:val="000000"/>
          <w:sz w:val="20"/>
          <w:szCs w:val="20"/>
        </w:rPr>
        <w:t>month and six month GBP and JPY settings, the FCA required in September 2021 that the IBA continue publication of rates on a synthetic, non-representative basis from year-end 2021 for a period of at least one year. A decision by the FCA regarding the publi</w:t>
      </w:r>
      <w:r>
        <w:rPr>
          <w:rFonts w:ascii="Arial" w:eastAsia="宋体" w:hAnsi="Arial" w:cs="Arial"/>
          <w:color w:val="000000"/>
          <w:sz w:val="20"/>
          <w:szCs w:val="20"/>
        </w:rPr>
        <w:t xml:space="preserve">cation by the IBA of certain USD LIBOR settings from June 30, 2023 on a synthetic, non-representative basis has not yet been made and no assumption should be made regarding their availability. </w:t>
      </w:r>
    </w:p>
    <w:p w14:paraId="392C1F5F" w14:textId="77777777" w:rsidR="00980E5F" w:rsidRDefault="00483613">
      <w:pPr>
        <w:spacing w:before="60"/>
        <w:ind w:firstLine="450"/>
        <w:jc w:val="both"/>
        <w:textAlignment w:val="top"/>
      </w:pPr>
      <w:r>
        <w:rPr>
          <w:rFonts w:ascii="Arial" w:eastAsia="宋体" w:hAnsi="Arial" w:cs="Arial"/>
          <w:color w:val="000000"/>
          <w:sz w:val="20"/>
          <w:szCs w:val="20"/>
        </w:rPr>
        <w:t>On March 15, 2022, the U.S. Congress adopted, as part of the C</w:t>
      </w:r>
      <w:r>
        <w:rPr>
          <w:rFonts w:ascii="Arial" w:eastAsia="宋体" w:hAnsi="Arial" w:cs="Arial"/>
          <w:color w:val="000000"/>
          <w:sz w:val="20"/>
          <w:szCs w:val="20"/>
        </w:rPr>
        <w:t>onsolidated Appropriation Act of 2022, the Adjustable Interest (LIBOR) Act which provides certain statutory requirements and guidance for the selection and use of alternative reference rates in legacy financial contracts governed by U.S. law that do not pr</w:t>
      </w:r>
      <w:r>
        <w:rPr>
          <w:rFonts w:ascii="Arial" w:eastAsia="宋体" w:hAnsi="Arial" w:cs="Arial"/>
          <w:color w:val="000000"/>
          <w:sz w:val="20"/>
          <w:szCs w:val="20"/>
        </w:rPr>
        <w:t>ovide for the use of a clearly defined or practicable alternative reference rate. On July 19, 2022, the Board of Governors of the Federal Reserve System issued a notice of proposed rulemaking on a proposed regulation to implement the LIBOR Act, as required</w:t>
      </w:r>
      <w:r>
        <w:rPr>
          <w:rFonts w:ascii="Arial" w:eastAsia="宋体" w:hAnsi="Arial" w:cs="Arial"/>
          <w:color w:val="000000"/>
          <w:sz w:val="20"/>
          <w:szCs w:val="20"/>
        </w:rPr>
        <w:t xml:space="preserve"> by its terms. The LIBOR Act requires implementing regulations be in place within 180 days of its enactment.</w:t>
      </w:r>
    </w:p>
    <w:p w14:paraId="392C1F60" w14:textId="77777777" w:rsidR="00980E5F" w:rsidRDefault="00483613">
      <w:pPr>
        <w:spacing w:before="60"/>
        <w:ind w:firstLine="450"/>
        <w:jc w:val="both"/>
        <w:textAlignment w:val="top"/>
      </w:pPr>
      <w:r>
        <w:rPr>
          <w:rFonts w:ascii="Arial" w:eastAsia="宋体" w:hAnsi="Arial" w:cs="Arial"/>
          <w:color w:val="000000"/>
          <w:sz w:val="20"/>
          <w:szCs w:val="20"/>
        </w:rPr>
        <w:t>We have established a process to identify, assess, plan for and remediate the use of LIBOR and other reference rates affected by reference rate ref</w:t>
      </w:r>
      <w:r>
        <w:rPr>
          <w:rFonts w:ascii="Arial" w:eastAsia="宋体" w:hAnsi="Arial" w:cs="Arial"/>
          <w:color w:val="000000"/>
          <w:sz w:val="20"/>
          <w:szCs w:val="20"/>
        </w:rPr>
        <w:t>orm that addresses both direct exposures on our balance sheet, and, more importantly, the use of LIBOR in our various service provider roles to our customers. This process is led by a wide, multidisciplinary LIBOR program management office (“LIBOR PMO”), e</w:t>
      </w:r>
      <w:r>
        <w:rPr>
          <w:rFonts w:ascii="Arial" w:eastAsia="宋体" w:hAnsi="Arial" w:cs="Arial"/>
          <w:color w:val="000000"/>
          <w:sz w:val="20"/>
          <w:szCs w:val="20"/>
        </w:rPr>
        <w:t>stablished in September 2018, that will continue to lead our transition efforts through June 2023.</w:t>
      </w:r>
    </w:p>
    <w:p w14:paraId="392C1F61" w14:textId="77777777" w:rsidR="00980E5F" w:rsidRDefault="00483613">
      <w:pPr>
        <w:spacing w:before="60"/>
        <w:ind w:firstLine="450"/>
        <w:jc w:val="both"/>
        <w:textAlignment w:val="top"/>
      </w:pPr>
      <w:r>
        <w:rPr>
          <w:rFonts w:ascii="Arial" w:eastAsia="宋体" w:hAnsi="Arial" w:cs="Arial"/>
          <w:color w:val="000000"/>
          <w:sz w:val="20"/>
          <w:szCs w:val="20"/>
        </w:rPr>
        <w:t xml:space="preserve">The LIBOR PMO reports regularly to executive management of the firm and our key regulators on progress with respect to the adoption of alternative reference </w:t>
      </w:r>
      <w:r>
        <w:rPr>
          <w:rFonts w:ascii="Arial" w:eastAsia="宋体" w:hAnsi="Arial" w:cs="Arial"/>
          <w:color w:val="000000"/>
          <w:sz w:val="20"/>
          <w:szCs w:val="20"/>
        </w:rPr>
        <w:t>rates for various financial products and services, client communications, updating of our quantitative models and information technology systems, managing vendors, contracts remediation, adoption of alternative reference rates for various financial product</w:t>
      </w:r>
      <w:r>
        <w:rPr>
          <w:rFonts w:ascii="Arial" w:eastAsia="宋体" w:hAnsi="Arial" w:cs="Arial"/>
          <w:color w:val="000000"/>
          <w:sz w:val="20"/>
          <w:szCs w:val="20"/>
        </w:rPr>
        <w:t>s and services, evaluation of fallback provisions contained in LIBOR-priced loans, investment securities, derivatives and long-term debt and general operational readiness for each stage of the transition. Most of the work identified by the LIBOR PMO for im</w:t>
      </w:r>
      <w:r>
        <w:rPr>
          <w:rFonts w:ascii="Arial" w:eastAsia="宋体" w:hAnsi="Arial" w:cs="Arial"/>
          <w:color w:val="000000"/>
          <w:sz w:val="20"/>
          <w:szCs w:val="20"/>
        </w:rPr>
        <w:t xml:space="preserve">plementation of the transition to alternative reference rates is substantially complete, and contingency plans have been developed with respect to identified uncertainties. </w:t>
      </w:r>
    </w:p>
    <w:p w14:paraId="392C1F62" w14:textId="77777777" w:rsidR="00980E5F" w:rsidRDefault="00483613">
      <w:pPr>
        <w:spacing w:before="60"/>
        <w:ind w:firstLine="450"/>
        <w:jc w:val="both"/>
        <w:textAlignment w:val="top"/>
      </w:pPr>
      <w:r>
        <w:rPr>
          <w:rFonts w:ascii="Arial" w:eastAsia="宋体" w:hAnsi="Arial" w:cs="Arial"/>
          <w:color w:val="000000"/>
          <w:sz w:val="20"/>
          <w:szCs w:val="20"/>
        </w:rPr>
        <w:t>No incremental material investments are expected to be needed for systems and proc</w:t>
      </w:r>
      <w:r>
        <w:rPr>
          <w:rFonts w:ascii="Arial" w:eastAsia="宋体" w:hAnsi="Arial" w:cs="Arial"/>
          <w:color w:val="000000"/>
          <w:sz w:val="20"/>
          <w:szCs w:val="20"/>
        </w:rPr>
        <w:t>esses related to the transition. Potential risks that could impact our remediation efforts include overall transition readiness across the industry, third party vendor dependencies and resource constraints from the concentration of remediation activities a</w:t>
      </w:r>
      <w:r>
        <w:rPr>
          <w:rFonts w:ascii="Arial" w:eastAsia="宋体" w:hAnsi="Arial" w:cs="Arial"/>
          <w:color w:val="000000"/>
          <w:sz w:val="20"/>
          <w:szCs w:val="20"/>
        </w:rPr>
        <w:t>t key points in the transition process.</w:t>
      </w:r>
    </w:p>
    <w:p w14:paraId="392C1F63" w14:textId="77777777" w:rsidR="00980E5F" w:rsidRDefault="00483613">
      <w:pPr>
        <w:spacing w:before="60"/>
        <w:ind w:firstLine="450"/>
        <w:jc w:val="both"/>
        <w:textAlignment w:val="top"/>
      </w:pPr>
      <w:r>
        <w:rPr>
          <w:rFonts w:ascii="Arial" w:eastAsia="宋体" w:hAnsi="Arial" w:cs="Arial"/>
          <w:color w:val="000000"/>
          <w:sz w:val="20"/>
          <w:szCs w:val="20"/>
        </w:rPr>
        <w:t xml:space="preserve">Our direct on balance sheet exposure to LIBOR is limited and primarily includes assets held in the investment portfolio, certain loans made through Global Credit Finance and issuances of long-term debt and preferred </w:t>
      </w:r>
      <w:r>
        <w:rPr>
          <w:rFonts w:ascii="Arial" w:eastAsia="宋体" w:hAnsi="Arial" w:cs="Arial"/>
          <w:color w:val="000000"/>
          <w:sz w:val="20"/>
          <w:szCs w:val="20"/>
        </w:rPr>
        <w:t xml:space="preserve">stock. We have planned for, and are prepared to, transition our remaining on balance </w:t>
      </w:r>
    </w:p>
    <w:p w14:paraId="392C1F64" w14:textId="77777777" w:rsidR="00980E5F" w:rsidRDefault="00483613">
      <w:pPr>
        <w:ind w:firstLine="450"/>
        <w:jc w:val="right"/>
      </w:pPr>
      <w:r>
        <w:rPr>
          <w:rFonts w:ascii="Arial" w:eastAsia="宋体" w:hAnsi="Arial" w:cs="Arial"/>
          <w:color w:val="000000"/>
          <w:sz w:val="18"/>
          <w:szCs w:val="18"/>
        </w:rPr>
        <w:t>State Street Corporation | 42</w:t>
      </w:r>
    </w:p>
    <w:p w14:paraId="392C1F65" w14:textId="77777777" w:rsidR="00980E5F" w:rsidRDefault="00980E5F">
      <w:pPr>
        <w:ind w:firstLine="450"/>
        <w:jc w:val="center"/>
      </w:pPr>
    </w:p>
    <w:p w14:paraId="392C1F66" w14:textId="77777777" w:rsidR="00980E5F" w:rsidRDefault="00483613">
      <w:r>
        <w:pict w14:anchorId="392CBAF8">
          <v:rect id="_x0000_i1066" style="width:415.3pt;height:1.5pt" o:hralign="center" o:hrstd="t" o:hr="t" fillcolor="#a0a0a0" stroked="f"/>
        </w:pict>
      </w:r>
    </w:p>
    <w:p w14:paraId="392C1F67"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F68" w14:textId="77777777" w:rsidR="00980E5F" w:rsidRDefault="00483613">
      <w:pPr>
        <w:ind w:firstLine="450"/>
        <w:jc w:val="center"/>
      </w:pPr>
      <w:r>
        <w:rPr>
          <w:rFonts w:ascii="Arial" w:eastAsia="宋体" w:hAnsi="Arial" w:cs="Arial"/>
          <w:b/>
          <w:bCs/>
          <w:color w:val="000000"/>
          <w:sz w:val="20"/>
          <w:szCs w:val="20"/>
        </w:rPr>
        <w:t>AND RESULTS OF OPERATIONS</w:t>
      </w:r>
    </w:p>
    <w:p w14:paraId="392C1F69" w14:textId="77777777" w:rsidR="00980E5F" w:rsidRDefault="00483613">
      <w:pPr>
        <w:spacing w:before="60"/>
        <w:jc w:val="both"/>
        <w:textAlignment w:val="top"/>
      </w:pPr>
      <w:r>
        <w:rPr>
          <w:rFonts w:ascii="Arial" w:eastAsia="宋体" w:hAnsi="Arial" w:cs="Arial"/>
          <w:color w:val="000000"/>
          <w:sz w:val="20"/>
          <w:szCs w:val="20"/>
        </w:rPr>
        <w:t xml:space="preserve">sheet exposures in a manner consistent with </w:t>
      </w:r>
      <w:r>
        <w:rPr>
          <w:rFonts w:ascii="Arial" w:eastAsia="宋体" w:hAnsi="Arial" w:cs="Arial"/>
          <w:color w:val="000000"/>
          <w:sz w:val="20"/>
          <w:szCs w:val="20"/>
        </w:rPr>
        <w:t>regulatory guidance and the availability of interim solutions for various legacy LIBOR contracts. We will not originate or issue new LIBOR-based loans or long-term debt, and any purchases of LIBOR-based investment securities will be screened for adequate f</w:t>
      </w:r>
      <w:r>
        <w:rPr>
          <w:rFonts w:ascii="Arial" w:eastAsia="宋体" w:hAnsi="Arial" w:cs="Arial"/>
          <w:color w:val="000000"/>
          <w:sz w:val="20"/>
          <w:szCs w:val="20"/>
        </w:rPr>
        <w:t>allback language. Our remaining exposure outstanding at June 2023 is largely governed by existing fallback language, or national legislation that provides for appropriate fallback provisions.</w:t>
      </w:r>
    </w:p>
    <w:p w14:paraId="392C1F6A" w14:textId="77777777" w:rsidR="00980E5F" w:rsidRDefault="00483613">
      <w:pPr>
        <w:spacing w:before="60"/>
        <w:ind w:firstLine="450"/>
        <w:jc w:val="both"/>
        <w:textAlignment w:val="top"/>
      </w:pPr>
      <w:r>
        <w:rPr>
          <w:rFonts w:ascii="Arial" w:eastAsia="宋体" w:hAnsi="Arial" w:cs="Arial"/>
          <w:color w:val="000000"/>
          <w:sz w:val="20"/>
          <w:szCs w:val="20"/>
        </w:rPr>
        <w:t>Substantial risks and uncertainties are associated with the mark</w:t>
      </w:r>
      <w:r>
        <w:rPr>
          <w:rFonts w:ascii="Arial" w:eastAsia="宋体" w:hAnsi="Arial" w:cs="Arial"/>
          <w:color w:val="000000"/>
          <w:sz w:val="20"/>
          <w:szCs w:val="20"/>
        </w:rPr>
        <w:t>et transition away from the use of LIBOR as an interest rate benchmark in financial instruments and contracts. Our financial performance depends, in part, on our ability to adapt to market changes promptly, while avoiding increased related expenses or oper</w:t>
      </w:r>
      <w:r>
        <w:rPr>
          <w:rFonts w:ascii="Arial" w:eastAsia="宋体" w:hAnsi="Arial" w:cs="Arial"/>
          <w:color w:val="000000"/>
          <w:sz w:val="20"/>
          <w:szCs w:val="20"/>
        </w:rPr>
        <w:t>ational errors.</w:t>
      </w:r>
    </w:p>
    <w:p w14:paraId="392C1F6B"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strategic risk management framework and associated risks, refer to pages 112 to 113 included under Item 7, Management's Discussion and Analysis of Financial Condition and Results of Operations, "Strategi</w:t>
      </w:r>
      <w:r>
        <w:rPr>
          <w:rFonts w:ascii="Arial" w:eastAsia="宋体" w:hAnsi="Arial" w:cs="Arial"/>
          <w:color w:val="000000"/>
          <w:sz w:val="20"/>
          <w:szCs w:val="20"/>
        </w:rPr>
        <w:t>c Risk Management", in our 2021 Form 10-K, and page 44 included under Item 1A, Risk Factors, in our 2021 Form 10-K - "The market transition away from broad use of the London Interbank Offered Rate (LIBOR) as an interest rate benchmark may impose additional</w:t>
      </w:r>
      <w:r>
        <w:rPr>
          <w:rFonts w:ascii="Arial" w:eastAsia="宋体" w:hAnsi="Arial" w:cs="Arial"/>
          <w:color w:val="000000"/>
          <w:sz w:val="20"/>
          <w:szCs w:val="20"/>
        </w:rPr>
        <w:t xml:space="preserve"> costs on us and may expose us to increased operational, model and financial risk."</w:t>
      </w:r>
    </w:p>
    <w:p w14:paraId="392C1F6C" w14:textId="77777777" w:rsidR="00980E5F" w:rsidRDefault="00483613">
      <w:pPr>
        <w:spacing w:before="90"/>
        <w:textAlignment w:val="top"/>
      </w:pPr>
      <w:r>
        <w:rPr>
          <w:rFonts w:ascii="Arial" w:eastAsia="宋体" w:hAnsi="Arial" w:cs="Arial"/>
          <w:b/>
          <w:bCs/>
          <w:color w:val="000000"/>
          <w:sz w:val="20"/>
          <w:szCs w:val="20"/>
        </w:rPr>
        <w:t>Capital</w:t>
      </w:r>
    </w:p>
    <w:p w14:paraId="392C1F6D" w14:textId="77777777" w:rsidR="00980E5F" w:rsidRDefault="00483613">
      <w:pPr>
        <w:spacing w:before="20"/>
        <w:ind w:firstLine="450"/>
        <w:jc w:val="both"/>
        <w:textAlignment w:val="top"/>
      </w:pPr>
      <w:r>
        <w:rPr>
          <w:rFonts w:ascii="Arial" w:eastAsia="宋体" w:hAnsi="Arial" w:cs="Arial"/>
          <w:color w:val="000000"/>
          <w:sz w:val="20"/>
          <w:szCs w:val="20"/>
        </w:rPr>
        <w:t>Managing our capital involves evaluating whether our actual and projected levels of capital are commensurate with our risk profile, are in compliance with all appli</w:t>
      </w:r>
      <w:r>
        <w:rPr>
          <w:rFonts w:ascii="Arial" w:eastAsia="宋体" w:hAnsi="Arial" w:cs="Arial"/>
          <w:color w:val="000000"/>
          <w:sz w:val="20"/>
          <w:szCs w:val="20"/>
        </w:rPr>
        <w:t>cable regulatory requirements and are sufficient to provide us with the financial flexibility to undertake future strategic business initiatives. We assess capital adequacy based on relevant regulatory capital requirements, as well as our own internal capi</w:t>
      </w:r>
      <w:r>
        <w:rPr>
          <w:rFonts w:ascii="Arial" w:eastAsia="宋体" w:hAnsi="Arial" w:cs="Arial"/>
          <w:color w:val="000000"/>
          <w:sz w:val="20"/>
          <w:szCs w:val="20"/>
        </w:rPr>
        <w:t>tal goals, targets and other relevant metrics.</w:t>
      </w:r>
    </w:p>
    <w:p w14:paraId="392C1F6E" w14:textId="77777777" w:rsidR="00980E5F" w:rsidRDefault="00483613">
      <w:pPr>
        <w:spacing w:before="20"/>
        <w:ind w:firstLine="450"/>
        <w:jc w:val="both"/>
        <w:textAlignment w:val="top"/>
      </w:pPr>
      <w:r>
        <w:rPr>
          <w:rFonts w:ascii="Arial" w:eastAsia="宋体" w:hAnsi="Arial" w:cs="Arial"/>
          <w:color w:val="000000"/>
          <w:sz w:val="20"/>
          <w:szCs w:val="20"/>
        </w:rPr>
        <w:t>Our designation as a G-SIB is based on a number of factors, as evaluated by banking regulators, and requires us to maintain an additional capital surcharge above the minimum capital ratios set forth in the Bas</w:t>
      </w:r>
      <w:r>
        <w:rPr>
          <w:rFonts w:ascii="Arial" w:eastAsia="宋体" w:hAnsi="Arial" w:cs="Arial"/>
          <w:color w:val="000000"/>
          <w:sz w:val="20"/>
          <w:szCs w:val="20"/>
        </w:rPr>
        <w:t>el III final rule. Further, like all other U.S. G-SIBs, we are also currently subject to a 2.0% SLR buffer in addition to the required minimum of 3% under the Basel III final rule. If we fail to exceed any regulatory buffer or surcharge, we will be subject</w:t>
      </w:r>
      <w:r>
        <w:rPr>
          <w:rFonts w:ascii="Arial" w:eastAsia="宋体" w:hAnsi="Arial" w:cs="Arial"/>
          <w:color w:val="000000"/>
          <w:sz w:val="20"/>
          <w:szCs w:val="20"/>
        </w:rPr>
        <w:t xml:space="preserve"> to increased restrictions (depending upon the extent of the shortfall) regarding capital distributions and discretionary executive bonus payments. </w:t>
      </w:r>
    </w:p>
    <w:p w14:paraId="392C1F6F" w14:textId="77777777" w:rsidR="00980E5F" w:rsidRDefault="00483613">
      <w:pPr>
        <w:spacing w:before="20"/>
        <w:ind w:firstLine="450"/>
        <w:jc w:val="both"/>
        <w:textAlignment w:val="top"/>
      </w:pPr>
      <w:r>
        <w:rPr>
          <w:rFonts w:ascii="Arial" w:eastAsia="宋体" w:hAnsi="Arial" w:cs="Arial"/>
          <w:color w:val="000000"/>
          <w:sz w:val="20"/>
          <w:szCs w:val="20"/>
        </w:rPr>
        <w:t xml:space="preserve">Not all of our competitors have similarly been designated as systemically important nor are all of them subject to the same degree of regulation as a bank or financial holding company, and therefore </w:t>
      </w:r>
    </w:p>
    <w:p w14:paraId="392C1F70" w14:textId="77777777" w:rsidR="00980E5F" w:rsidRDefault="00483613">
      <w:pPr>
        <w:spacing w:before="20"/>
        <w:jc w:val="both"/>
        <w:textAlignment w:val="top"/>
      </w:pPr>
      <w:r>
        <w:rPr>
          <w:rFonts w:ascii="Arial" w:eastAsia="宋体" w:hAnsi="Arial" w:cs="Arial"/>
          <w:color w:val="000000"/>
          <w:sz w:val="20"/>
          <w:szCs w:val="20"/>
        </w:rPr>
        <w:t>some of our competitors may not be subject to the same c</w:t>
      </w:r>
      <w:r>
        <w:rPr>
          <w:rFonts w:ascii="Arial" w:eastAsia="宋体" w:hAnsi="Arial" w:cs="Arial"/>
          <w:color w:val="000000"/>
          <w:sz w:val="20"/>
          <w:szCs w:val="20"/>
        </w:rPr>
        <w:t>apital, liquidity and other regulatory requirements.</w:t>
      </w:r>
    </w:p>
    <w:p w14:paraId="392C1F71" w14:textId="77777777" w:rsidR="00980E5F" w:rsidRDefault="00483613">
      <w:pPr>
        <w:spacing w:before="20"/>
        <w:ind w:firstLine="450"/>
        <w:jc w:val="both"/>
        <w:textAlignment w:val="top"/>
      </w:pPr>
      <w:r>
        <w:rPr>
          <w:rFonts w:ascii="Arial" w:eastAsia="宋体" w:hAnsi="Arial" w:cs="Arial"/>
          <w:color w:val="000000"/>
          <w:sz w:val="20"/>
          <w:szCs w:val="20"/>
        </w:rPr>
        <w:t>For additional information about our capital, refer to pages 113 to 121 included under Item 7, Management's Discussion and Analysis of Financial Condition and Results of Operations, in our 2021 Form 10-K</w:t>
      </w:r>
      <w:r>
        <w:rPr>
          <w:rFonts w:ascii="Arial" w:eastAsia="宋体" w:hAnsi="Arial" w:cs="Arial"/>
          <w:color w:val="000000"/>
          <w:sz w:val="20"/>
          <w:szCs w:val="20"/>
        </w:rPr>
        <w:t>.</w:t>
      </w:r>
    </w:p>
    <w:p w14:paraId="392C1F72" w14:textId="77777777" w:rsidR="00980E5F" w:rsidRDefault="00483613">
      <w:pPr>
        <w:spacing w:before="60"/>
        <w:jc w:val="both"/>
        <w:textAlignment w:val="top"/>
      </w:pPr>
      <w:r>
        <w:rPr>
          <w:rFonts w:ascii="Arial" w:eastAsia="宋体" w:hAnsi="Arial" w:cs="Arial"/>
          <w:b/>
          <w:bCs/>
          <w:i/>
          <w:iCs/>
          <w:color w:val="000000"/>
          <w:sz w:val="20"/>
          <w:szCs w:val="20"/>
        </w:rPr>
        <w:t>Regulatory Capital</w:t>
      </w:r>
    </w:p>
    <w:p w14:paraId="392C1F73" w14:textId="77777777" w:rsidR="00980E5F" w:rsidRDefault="00483613">
      <w:pPr>
        <w:spacing w:before="60"/>
        <w:ind w:firstLine="450"/>
        <w:jc w:val="both"/>
        <w:textAlignment w:val="top"/>
      </w:pPr>
      <w:r>
        <w:rPr>
          <w:rFonts w:ascii="Arial" w:eastAsia="宋体" w:hAnsi="Arial" w:cs="Arial"/>
          <w:color w:val="000000"/>
          <w:sz w:val="20"/>
          <w:szCs w:val="20"/>
        </w:rPr>
        <w:t>We and State Street Bank, as advanced approaches banking organizations, are subject to the U.S. Basel III framework. We are also subject to the final market risk capital rule issued by U.S. banking regulators.</w:t>
      </w:r>
    </w:p>
    <w:p w14:paraId="392C1F74" w14:textId="77777777" w:rsidR="00980E5F" w:rsidRDefault="00483613">
      <w:pPr>
        <w:spacing w:before="60"/>
        <w:ind w:firstLine="450"/>
        <w:jc w:val="both"/>
        <w:textAlignment w:val="top"/>
      </w:pPr>
      <w:r>
        <w:rPr>
          <w:rFonts w:ascii="Arial" w:eastAsia="宋体" w:hAnsi="Arial" w:cs="Arial"/>
          <w:color w:val="000000"/>
          <w:sz w:val="20"/>
          <w:szCs w:val="20"/>
        </w:rPr>
        <w:t xml:space="preserve">The Basel III final rule </w:t>
      </w:r>
      <w:r>
        <w:rPr>
          <w:rFonts w:ascii="Arial" w:eastAsia="宋体" w:hAnsi="Arial" w:cs="Arial"/>
          <w:color w:val="000000"/>
          <w:sz w:val="20"/>
          <w:szCs w:val="20"/>
        </w:rPr>
        <w:t>provides for two frameworks for monitoring capital adequacy: the “standardized approach" and the “advanced approaches", applicable to advanced approaches banking organizations, like us. The standardized approach prescribes standardized calculations for cre</w:t>
      </w:r>
      <w:r>
        <w:rPr>
          <w:rFonts w:ascii="Arial" w:eastAsia="宋体" w:hAnsi="Arial" w:cs="Arial"/>
          <w:color w:val="000000"/>
          <w:sz w:val="20"/>
          <w:szCs w:val="20"/>
        </w:rPr>
        <w:t>dit risk RWA, including specified risk weights for certain on and off-balance sheet exposures. The advanced approaches consist of the Advanced Internal Ratings-Based Approach used for the calculation of RWA related to credit risk, and the Advanced Measurem</w:t>
      </w:r>
      <w:r>
        <w:rPr>
          <w:rFonts w:ascii="Arial" w:eastAsia="宋体" w:hAnsi="Arial" w:cs="Arial"/>
          <w:color w:val="000000"/>
          <w:sz w:val="20"/>
          <w:szCs w:val="20"/>
        </w:rPr>
        <w:t>ent Approach used for the calculation of RWA related to operational risk.</w:t>
      </w:r>
    </w:p>
    <w:p w14:paraId="392C1F75" w14:textId="77777777" w:rsidR="00980E5F" w:rsidRDefault="00483613">
      <w:pPr>
        <w:spacing w:before="20"/>
        <w:ind w:firstLine="450"/>
        <w:jc w:val="both"/>
        <w:textAlignment w:val="top"/>
      </w:pPr>
      <w:r>
        <w:rPr>
          <w:rFonts w:ascii="Arial" w:eastAsia="宋体" w:hAnsi="Arial" w:cs="Arial"/>
          <w:color w:val="000000"/>
          <w:sz w:val="20"/>
          <w:szCs w:val="20"/>
        </w:rPr>
        <w:t xml:space="preserve">As required by the Dodd-Frank Act enacted in 2010 and the SCB rule enacted in 2020, we and State Street Bank, as advanced approaches banking organizations, are subject to a "capital </w:t>
      </w:r>
      <w:r>
        <w:rPr>
          <w:rFonts w:ascii="Arial" w:eastAsia="宋体" w:hAnsi="Arial" w:cs="Arial"/>
          <w:color w:val="000000"/>
          <w:sz w:val="20"/>
          <w:szCs w:val="20"/>
        </w:rPr>
        <w:t>floor," also referred to as the Collins Amendment, in the assessment of our regulatory capital adequacy, including the capital conservation buffer (CCB) and the SCB, for the advanced approaches and standardized approach, respectively, and a countercyclical</w:t>
      </w:r>
      <w:r>
        <w:rPr>
          <w:rFonts w:ascii="Arial" w:eastAsia="宋体" w:hAnsi="Arial" w:cs="Arial"/>
          <w:color w:val="000000"/>
          <w:sz w:val="20"/>
          <w:szCs w:val="20"/>
        </w:rPr>
        <w:t xml:space="preserve"> capital buffer. In addition, we are subject to a G-SIB surcharge. Our risk-based capital ratios for regulatory assessment purposes are the lower of each ratio calculated under the advanced approaches and standardized approach.</w:t>
      </w:r>
    </w:p>
    <w:p w14:paraId="392C1F76" w14:textId="77777777" w:rsidR="00980E5F" w:rsidRDefault="00483613">
      <w:pPr>
        <w:spacing w:before="20"/>
        <w:ind w:firstLine="450"/>
        <w:jc w:val="both"/>
        <w:textAlignment w:val="top"/>
      </w:pPr>
      <w:r>
        <w:rPr>
          <w:rFonts w:ascii="Arial" w:eastAsia="宋体" w:hAnsi="Arial" w:cs="Arial"/>
          <w:color w:val="000000"/>
          <w:sz w:val="20"/>
          <w:szCs w:val="20"/>
        </w:rPr>
        <w:t xml:space="preserve">The SCB replaced, under the </w:t>
      </w:r>
      <w:r>
        <w:rPr>
          <w:rFonts w:ascii="Arial" w:eastAsia="宋体" w:hAnsi="Arial" w:cs="Arial"/>
          <w:color w:val="000000"/>
          <w:sz w:val="20"/>
          <w:szCs w:val="20"/>
        </w:rPr>
        <w:t xml:space="preserve">standardized approach, the capital conservation buffer with a buffer calculated as the difference between the institution’s starting and lowest projected CET1 ratio under the CCAR severely adverse scenario plus planned common stock dividend payments (as a </w:t>
      </w:r>
      <w:r>
        <w:rPr>
          <w:rFonts w:ascii="Arial" w:eastAsia="宋体" w:hAnsi="Arial" w:cs="Arial"/>
          <w:color w:val="000000"/>
          <w:sz w:val="20"/>
          <w:szCs w:val="20"/>
        </w:rPr>
        <w:t>percentage of RWA) from the fourth through seventh quarter of the CCAR planning horizon. The SCB requirement can be no less than 2.5% of RWA. Breaching the SCB or other regulatory buffer or surcharge will limit a banking organization’s ability to make capi</w:t>
      </w:r>
      <w:r>
        <w:rPr>
          <w:rFonts w:ascii="Arial" w:eastAsia="宋体" w:hAnsi="Arial" w:cs="Arial"/>
          <w:color w:val="000000"/>
          <w:sz w:val="20"/>
          <w:szCs w:val="20"/>
        </w:rPr>
        <w:t>tal distributions and discretionary bonus payments to executive officers. The countercyclical capital buffer is currently set at zero by U.S. banking regulators.</w:t>
      </w:r>
    </w:p>
    <w:p w14:paraId="392C1F77" w14:textId="77777777" w:rsidR="00980E5F" w:rsidRDefault="00483613">
      <w:pPr>
        <w:ind w:firstLine="450"/>
        <w:jc w:val="right"/>
      </w:pPr>
      <w:r>
        <w:rPr>
          <w:rFonts w:ascii="Arial" w:eastAsia="宋体" w:hAnsi="Arial" w:cs="Arial"/>
          <w:color w:val="000000"/>
          <w:sz w:val="18"/>
          <w:szCs w:val="18"/>
        </w:rPr>
        <w:t>State Street Corporation | 43</w:t>
      </w:r>
    </w:p>
    <w:p w14:paraId="392C1F78" w14:textId="77777777" w:rsidR="00980E5F" w:rsidRDefault="00980E5F">
      <w:pPr>
        <w:ind w:firstLine="450"/>
        <w:jc w:val="center"/>
      </w:pPr>
    </w:p>
    <w:p w14:paraId="392C1F79" w14:textId="77777777" w:rsidR="00980E5F" w:rsidRDefault="00483613">
      <w:r>
        <w:pict w14:anchorId="392CBAF9">
          <v:rect id="_x0000_i1067" style="width:415.3pt;height:1.5pt" o:hralign="center" o:hrstd="t" o:hr="t" fillcolor="#a0a0a0" stroked="f"/>
        </w:pict>
      </w:r>
    </w:p>
    <w:p w14:paraId="392C1F7A"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F7B" w14:textId="77777777" w:rsidR="00980E5F" w:rsidRDefault="00483613">
      <w:pPr>
        <w:ind w:firstLine="450"/>
        <w:jc w:val="center"/>
      </w:pPr>
      <w:r>
        <w:rPr>
          <w:rFonts w:ascii="Arial" w:eastAsia="宋体" w:hAnsi="Arial" w:cs="Arial"/>
          <w:b/>
          <w:bCs/>
          <w:color w:val="000000"/>
          <w:sz w:val="20"/>
          <w:szCs w:val="20"/>
        </w:rPr>
        <w:t>A</w:t>
      </w:r>
      <w:r>
        <w:rPr>
          <w:rFonts w:ascii="Arial" w:eastAsia="宋体" w:hAnsi="Arial" w:cs="Arial"/>
          <w:b/>
          <w:bCs/>
          <w:color w:val="000000"/>
          <w:sz w:val="20"/>
          <w:szCs w:val="20"/>
        </w:rPr>
        <w:t>ND RESULTS OF OPERATIONS</w:t>
      </w:r>
    </w:p>
    <w:p w14:paraId="392C1F7C" w14:textId="77777777" w:rsidR="00980E5F" w:rsidRDefault="00483613">
      <w:pPr>
        <w:spacing w:before="60"/>
        <w:ind w:firstLine="450"/>
        <w:jc w:val="both"/>
      </w:pPr>
      <w:r>
        <w:rPr>
          <w:rFonts w:ascii="Arial" w:eastAsia="宋体" w:hAnsi="Arial" w:cs="Arial"/>
          <w:color w:val="000000"/>
          <w:sz w:val="20"/>
          <w:szCs w:val="20"/>
        </w:rPr>
        <w:t>Our minimum risk-based capital ratios as of January 1, 2022, include a CCB of 2.5% and a SCB of 2.5% for the advanced approaches and standardized approach, respectively, a G-SIB surcharge of 1.0%, and a countercyclical buffer of 0.</w:t>
      </w:r>
      <w:r>
        <w:rPr>
          <w:rFonts w:ascii="Arial" w:eastAsia="宋体" w:hAnsi="Arial" w:cs="Arial"/>
          <w:color w:val="000000"/>
          <w:sz w:val="20"/>
          <w:szCs w:val="20"/>
        </w:rPr>
        <w:t>0%. This results in minimum risk-based ratios of 8.0% for the Common Equity Tier 1 (CET1) capital ratio, 9.5% for the tier 1 capital ratio, and 11.5% for the total capital ratio.</w:t>
      </w:r>
    </w:p>
    <w:p w14:paraId="392C1F7D" w14:textId="77777777" w:rsidR="00980E5F" w:rsidRDefault="00483613">
      <w:pPr>
        <w:spacing w:before="60"/>
        <w:ind w:firstLine="450"/>
        <w:jc w:val="both"/>
      </w:pPr>
      <w:r>
        <w:rPr>
          <w:rFonts w:ascii="Arial" w:eastAsia="宋体" w:hAnsi="Arial" w:cs="Arial"/>
          <w:color w:val="000000"/>
          <w:sz w:val="20"/>
          <w:szCs w:val="20"/>
        </w:rPr>
        <w:t>Our current G-SIB surcharge, through December 31, 2023, is 1.0%. Based on a c</w:t>
      </w:r>
      <w:r>
        <w:rPr>
          <w:rFonts w:ascii="Arial" w:eastAsia="宋体" w:hAnsi="Arial" w:cs="Arial"/>
          <w:color w:val="000000"/>
          <w:sz w:val="20"/>
          <w:szCs w:val="20"/>
        </w:rPr>
        <w:t>alculation as of December 31, 2021, our G-SIB surcharge beginning January 1, 2024 could increase to 1.5%. Accordingly, we have developed a balance sheet management plan intended to result in a G-SIB surcharge calculation of 1.0% as of December 31, 2022 whi</w:t>
      </w:r>
      <w:r>
        <w:rPr>
          <w:rFonts w:ascii="Arial" w:eastAsia="宋体" w:hAnsi="Arial" w:cs="Arial"/>
          <w:color w:val="000000"/>
          <w:sz w:val="20"/>
          <w:szCs w:val="20"/>
        </w:rPr>
        <w:t>ch, if effective, would result in our maintaining our current G-SIB surcharge of 1.0% through December 31, 2024.</w:t>
      </w:r>
    </w:p>
    <w:p w14:paraId="392C1F7E" w14:textId="77777777" w:rsidR="00980E5F" w:rsidRDefault="00483613">
      <w:pPr>
        <w:spacing w:before="60"/>
        <w:ind w:firstLine="450"/>
        <w:jc w:val="both"/>
      </w:pPr>
      <w:r>
        <w:rPr>
          <w:rFonts w:ascii="Arial" w:eastAsia="宋体" w:hAnsi="Arial" w:cs="Arial"/>
          <w:color w:val="000000"/>
          <w:sz w:val="20"/>
          <w:szCs w:val="20"/>
        </w:rPr>
        <w:t>To maintain the status of the Parent Company as a financial holding company, we and our insured depository institution subsidiaries are require</w:t>
      </w:r>
      <w:r>
        <w:rPr>
          <w:rFonts w:ascii="Arial" w:eastAsia="宋体" w:hAnsi="Arial" w:cs="Arial"/>
          <w:color w:val="000000"/>
          <w:sz w:val="20"/>
          <w:szCs w:val="20"/>
        </w:rPr>
        <w:t>d, among other requirements, to be "well capitalized" as defined by Regulation Y and Regulation H.</w:t>
      </w:r>
    </w:p>
    <w:p w14:paraId="392C1F7F" w14:textId="77777777" w:rsidR="00980E5F" w:rsidRDefault="00483613">
      <w:pPr>
        <w:spacing w:before="60"/>
        <w:ind w:firstLine="450"/>
        <w:jc w:val="both"/>
      </w:pPr>
      <w:r>
        <w:rPr>
          <w:rFonts w:ascii="Arial" w:eastAsia="宋体" w:hAnsi="Arial" w:cs="Arial"/>
          <w:color w:val="000000"/>
          <w:sz w:val="20"/>
          <w:szCs w:val="20"/>
        </w:rPr>
        <w:t>The market risk capital rule requires us to use internal models to calculate daily measures of VaR, which reflect general market risk for certain of our trad</w:t>
      </w:r>
      <w:r>
        <w:rPr>
          <w:rFonts w:ascii="Arial" w:eastAsia="宋体" w:hAnsi="Arial" w:cs="Arial"/>
          <w:color w:val="000000"/>
          <w:sz w:val="20"/>
          <w:szCs w:val="20"/>
        </w:rPr>
        <w:t>ing positions defined by the rule as “covered positions,” as well as stressed-VaR measures to supplement the VaR measures. The rule also requires a public disclosure composed of qualitative and quantitative information about the market risk associated with</w:t>
      </w:r>
      <w:r>
        <w:rPr>
          <w:rFonts w:ascii="Arial" w:eastAsia="宋体" w:hAnsi="Arial" w:cs="Arial"/>
          <w:color w:val="000000"/>
          <w:sz w:val="20"/>
          <w:szCs w:val="20"/>
        </w:rPr>
        <w:t xml:space="preserve"> our trading activities and our related VaR and stressed-VaR measures. The qualitative and quantitative information required by the rule is provided under "Market Risk Management" included in this Management's Discussion and Analysis.</w:t>
      </w:r>
    </w:p>
    <w:p w14:paraId="392C1F80" w14:textId="77777777" w:rsidR="00980E5F" w:rsidRDefault="00483613">
      <w:pPr>
        <w:spacing w:before="60"/>
        <w:ind w:firstLine="450"/>
        <w:jc w:val="both"/>
      </w:pPr>
      <w:r>
        <w:rPr>
          <w:rFonts w:ascii="Arial" w:eastAsia="宋体" w:hAnsi="Arial" w:cs="Arial"/>
          <w:color w:val="000000"/>
          <w:sz w:val="20"/>
          <w:szCs w:val="20"/>
        </w:rPr>
        <w:t>The following table p</w:t>
      </w:r>
      <w:r>
        <w:rPr>
          <w:rFonts w:ascii="Arial" w:eastAsia="宋体" w:hAnsi="Arial" w:cs="Arial"/>
          <w:color w:val="000000"/>
          <w:sz w:val="20"/>
          <w:szCs w:val="20"/>
        </w:rPr>
        <w:t>resents the regulatory capital structure and related regulatory capital ratios for us and State Street Bank as of the dates indicated. We are subject to the more stringent of the risk-based capital ratios calculated under the standardized approach and thos</w:t>
      </w:r>
      <w:r>
        <w:rPr>
          <w:rFonts w:ascii="Arial" w:eastAsia="宋体" w:hAnsi="Arial" w:cs="Arial"/>
          <w:color w:val="000000"/>
          <w:sz w:val="20"/>
          <w:szCs w:val="20"/>
        </w:rPr>
        <w:t>e calculated under the advanced approaches in the assessment of our capital adequacy under applicable bank regulatory standards.</w:t>
      </w:r>
    </w:p>
    <w:p w14:paraId="392C1F81" w14:textId="77777777" w:rsidR="00980E5F" w:rsidRDefault="00483613">
      <w:pPr>
        <w:ind w:firstLine="450"/>
        <w:jc w:val="right"/>
      </w:pPr>
      <w:r>
        <w:rPr>
          <w:rFonts w:ascii="Arial" w:eastAsia="宋体" w:hAnsi="Arial" w:cs="Arial"/>
          <w:color w:val="000000"/>
          <w:sz w:val="18"/>
          <w:szCs w:val="18"/>
        </w:rPr>
        <w:t>State Street Corporation | 44</w:t>
      </w:r>
    </w:p>
    <w:p w14:paraId="392C1F82" w14:textId="77777777" w:rsidR="00980E5F" w:rsidRDefault="00980E5F">
      <w:pPr>
        <w:ind w:firstLine="450"/>
        <w:jc w:val="center"/>
      </w:pPr>
    </w:p>
    <w:p w14:paraId="392C1F83" w14:textId="77777777" w:rsidR="00980E5F" w:rsidRDefault="00483613">
      <w:r>
        <w:pict w14:anchorId="392CBAFA">
          <v:rect id="_x0000_i1068" style="width:415.3pt;height:1.5pt" o:hralign="center" o:hrstd="t" o:hr="t" fillcolor="#a0a0a0" stroked="f"/>
        </w:pict>
      </w:r>
    </w:p>
    <w:p w14:paraId="392C1F8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1F85" w14:textId="77777777" w:rsidR="00980E5F" w:rsidRDefault="00483613">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tbl>
      <w:tblPr>
        <w:tblW w:w="4956" w:type="pct"/>
        <w:tblCellMar>
          <w:top w:w="15" w:type="dxa"/>
          <w:left w:w="15" w:type="dxa"/>
          <w:bottom w:w="15" w:type="dxa"/>
          <w:right w:w="15" w:type="dxa"/>
        </w:tblCellMar>
        <w:tblLook w:val="04A0" w:firstRow="1" w:lastRow="0" w:firstColumn="1" w:lastColumn="0" w:noHBand="0" w:noVBand="1"/>
      </w:tblPr>
      <w:tblGrid>
        <w:gridCol w:w="265"/>
        <w:gridCol w:w="226"/>
        <w:gridCol w:w="39"/>
        <w:gridCol w:w="78"/>
        <w:gridCol w:w="604"/>
        <w:gridCol w:w="116"/>
        <w:gridCol w:w="78"/>
        <w:gridCol w:w="604"/>
        <w:gridCol w:w="116"/>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1"/>
        <w:gridCol w:w="114"/>
      </w:tblGrid>
      <w:tr w:rsidR="00980E5F" w14:paraId="392C1FBC" w14:textId="77777777">
        <w:tc>
          <w:tcPr>
            <w:tcW w:w="50" w:type="pct"/>
            <w:shd w:val="clear" w:color="auto" w:fill="auto"/>
            <w:vAlign w:val="bottom"/>
          </w:tcPr>
          <w:p w14:paraId="392C1F86" w14:textId="77777777" w:rsidR="00980E5F" w:rsidRDefault="00980E5F">
            <w:pPr>
              <w:rPr>
                <w:rFonts w:ascii="宋体"/>
              </w:rPr>
            </w:pPr>
          </w:p>
        </w:tc>
        <w:tc>
          <w:tcPr>
            <w:tcW w:w="321" w:type="pct"/>
            <w:shd w:val="clear" w:color="auto" w:fill="auto"/>
            <w:vAlign w:val="bottom"/>
          </w:tcPr>
          <w:p w14:paraId="392C1F87" w14:textId="77777777" w:rsidR="00980E5F" w:rsidRDefault="00980E5F">
            <w:pPr>
              <w:rPr>
                <w:rFonts w:ascii="宋体"/>
              </w:rPr>
            </w:pPr>
          </w:p>
        </w:tc>
        <w:tc>
          <w:tcPr>
            <w:tcW w:w="5" w:type="pct"/>
            <w:shd w:val="clear" w:color="auto" w:fill="auto"/>
            <w:vAlign w:val="bottom"/>
          </w:tcPr>
          <w:p w14:paraId="392C1F88" w14:textId="77777777" w:rsidR="00980E5F" w:rsidRDefault="00980E5F">
            <w:pPr>
              <w:rPr>
                <w:rFonts w:ascii="宋体"/>
              </w:rPr>
            </w:pPr>
          </w:p>
        </w:tc>
        <w:tc>
          <w:tcPr>
            <w:tcW w:w="50" w:type="pct"/>
            <w:shd w:val="clear" w:color="auto" w:fill="auto"/>
            <w:vAlign w:val="bottom"/>
          </w:tcPr>
          <w:p w14:paraId="392C1F89" w14:textId="77777777" w:rsidR="00980E5F" w:rsidRDefault="00980E5F">
            <w:pPr>
              <w:rPr>
                <w:rFonts w:ascii="宋体"/>
              </w:rPr>
            </w:pPr>
          </w:p>
        </w:tc>
        <w:tc>
          <w:tcPr>
            <w:tcW w:w="416" w:type="pct"/>
            <w:shd w:val="clear" w:color="auto" w:fill="auto"/>
            <w:vAlign w:val="bottom"/>
          </w:tcPr>
          <w:p w14:paraId="392C1F8A" w14:textId="77777777" w:rsidR="00980E5F" w:rsidRDefault="00980E5F">
            <w:pPr>
              <w:rPr>
                <w:rFonts w:ascii="宋体"/>
              </w:rPr>
            </w:pPr>
          </w:p>
        </w:tc>
        <w:tc>
          <w:tcPr>
            <w:tcW w:w="5" w:type="pct"/>
            <w:shd w:val="clear" w:color="auto" w:fill="auto"/>
            <w:vAlign w:val="bottom"/>
          </w:tcPr>
          <w:p w14:paraId="392C1F8B" w14:textId="77777777" w:rsidR="00980E5F" w:rsidRDefault="00980E5F">
            <w:pPr>
              <w:rPr>
                <w:rFonts w:ascii="宋体"/>
              </w:rPr>
            </w:pPr>
          </w:p>
        </w:tc>
        <w:tc>
          <w:tcPr>
            <w:tcW w:w="50" w:type="pct"/>
            <w:shd w:val="clear" w:color="auto" w:fill="auto"/>
            <w:vAlign w:val="bottom"/>
          </w:tcPr>
          <w:p w14:paraId="392C1F8C" w14:textId="77777777" w:rsidR="00980E5F" w:rsidRDefault="00980E5F">
            <w:pPr>
              <w:rPr>
                <w:rFonts w:ascii="宋体"/>
              </w:rPr>
            </w:pPr>
          </w:p>
        </w:tc>
        <w:tc>
          <w:tcPr>
            <w:tcW w:w="416" w:type="pct"/>
            <w:shd w:val="clear" w:color="auto" w:fill="auto"/>
            <w:vAlign w:val="bottom"/>
          </w:tcPr>
          <w:p w14:paraId="392C1F8D" w14:textId="77777777" w:rsidR="00980E5F" w:rsidRDefault="00980E5F">
            <w:pPr>
              <w:rPr>
                <w:rFonts w:ascii="宋体"/>
              </w:rPr>
            </w:pPr>
          </w:p>
        </w:tc>
        <w:tc>
          <w:tcPr>
            <w:tcW w:w="5" w:type="pct"/>
            <w:shd w:val="clear" w:color="auto" w:fill="auto"/>
            <w:vAlign w:val="bottom"/>
          </w:tcPr>
          <w:p w14:paraId="392C1F8E" w14:textId="77777777" w:rsidR="00980E5F" w:rsidRDefault="00980E5F">
            <w:pPr>
              <w:rPr>
                <w:rFonts w:ascii="宋体"/>
              </w:rPr>
            </w:pPr>
          </w:p>
        </w:tc>
        <w:tc>
          <w:tcPr>
            <w:tcW w:w="50" w:type="pct"/>
            <w:shd w:val="clear" w:color="auto" w:fill="auto"/>
            <w:vAlign w:val="bottom"/>
          </w:tcPr>
          <w:p w14:paraId="392C1F8F" w14:textId="77777777" w:rsidR="00980E5F" w:rsidRDefault="00980E5F">
            <w:pPr>
              <w:rPr>
                <w:rFonts w:ascii="宋体"/>
              </w:rPr>
            </w:pPr>
          </w:p>
        </w:tc>
        <w:tc>
          <w:tcPr>
            <w:tcW w:w="372" w:type="pct"/>
            <w:shd w:val="clear" w:color="auto" w:fill="auto"/>
            <w:vAlign w:val="bottom"/>
          </w:tcPr>
          <w:p w14:paraId="392C1F90" w14:textId="77777777" w:rsidR="00980E5F" w:rsidRDefault="00980E5F">
            <w:pPr>
              <w:rPr>
                <w:rFonts w:ascii="宋体"/>
              </w:rPr>
            </w:pPr>
          </w:p>
        </w:tc>
        <w:tc>
          <w:tcPr>
            <w:tcW w:w="5" w:type="pct"/>
            <w:shd w:val="clear" w:color="auto" w:fill="auto"/>
            <w:vAlign w:val="bottom"/>
          </w:tcPr>
          <w:p w14:paraId="392C1F91" w14:textId="77777777" w:rsidR="00980E5F" w:rsidRDefault="00980E5F">
            <w:pPr>
              <w:rPr>
                <w:rFonts w:ascii="宋体"/>
              </w:rPr>
            </w:pPr>
          </w:p>
        </w:tc>
        <w:tc>
          <w:tcPr>
            <w:tcW w:w="5" w:type="pct"/>
            <w:shd w:val="clear" w:color="auto" w:fill="auto"/>
            <w:vAlign w:val="bottom"/>
          </w:tcPr>
          <w:p w14:paraId="392C1F92" w14:textId="77777777" w:rsidR="00980E5F" w:rsidRDefault="00980E5F">
            <w:pPr>
              <w:rPr>
                <w:rFonts w:ascii="宋体"/>
              </w:rPr>
            </w:pPr>
          </w:p>
        </w:tc>
        <w:tc>
          <w:tcPr>
            <w:tcW w:w="26" w:type="pct"/>
            <w:shd w:val="clear" w:color="auto" w:fill="auto"/>
            <w:vAlign w:val="bottom"/>
          </w:tcPr>
          <w:p w14:paraId="392C1F93" w14:textId="77777777" w:rsidR="00980E5F" w:rsidRDefault="00980E5F">
            <w:pPr>
              <w:rPr>
                <w:rFonts w:ascii="宋体"/>
              </w:rPr>
            </w:pPr>
          </w:p>
        </w:tc>
        <w:tc>
          <w:tcPr>
            <w:tcW w:w="5" w:type="pct"/>
            <w:shd w:val="clear" w:color="auto" w:fill="auto"/>
            <w:vAlign w:val="bottom"/>
          </w:tcPr>
          <w:p w14:paraId="392C1F94" w14:textId="77777777" w:rsidR="00980E5F" w:rsidRDefault="00980E5F">
            <w:pPr>
              <w:rPr>
                <w:rFonts w:ascii="宋体"/>
              </w:rPr>
            </w:pPr>
          </w:p>
        </w:tc>
        <w:tc>
          <w:tcPr>
            <w:tcW w:w="50" w:type="pct"/>
            <w:shd w:val="clear" w:color="auto" w:fill="auto"/>
            <w:vAlign w:val="bottom"/>
          </w:tcPr>
          <w:p w14:paraId="392C1F95" w14:textId="77777777" w:rsidR="00980E5F" w:rsidRDefault="00980E5F">
            <w:pPr>
              <w:rPr>
                <w:rFonts w:ascii="宋体"/>
              </w:rPr>
            </w:pPr>
          </w:p>
        </w:tc>
        <w:tc>
          <w:tcPr>
            <w:tcW w:w="372" w:type="pct"/>
            <w:shd w:val="clear" w:color="auto" w:fill="auto"/>
            <w:vAlign w:val="bottom"/>
          </w:tcPr>
          <w:p w14:paraId="392C1F96" w14:textId="77777777" w:rsidR="00980E5F" w:rsidRDefault="00980E5F">
            <w:pPr>
              <w:rPr>
                <w:rFonts w:ascii="宋体"/>
              </w:rPr>
            </w:pPr>
          </w:p>
        </w:tc>
        <w:tc>
          <w:tcPr>
            <w:tcW w:w="5" w:type="pct"/>
            <w:shd w:val="clear" w:color="auto" w:fill="auto"/>
            <w:vAlign w:val="bottom"/>
          </w:tcPr>
          <w:p w14:paraId="392C1F97" w14:textId="77777777" w:rsidR="00980E5F" w:rsidRDefault="00980E5F">
            <w:pPr>
              <w:rPr>
                <w:rFonts w:ascii="宋体"/>
              </w:rPr>
            </w:pPr>
          </w:p>
        </w:tc>
        <w:tc>
          <w:tcPr>
            <w:tcW w:w="5" w:type="pct"/>
            <w:shd w:val="clear" w:color="auto" w:fill="auto"/>
            <w:vAlign w:val="bottom"/>
          </w:tcPr>
          <w:p w14:paraId="392C1F98" w14:textId="77777777" w:rsidR="00980E5F" w:rsidRDefault="00980E5F">
            <w:pPr>
              <w:rPr>
                <w:rFonts w:ascii="宋体"/>
              </w:rPr>
            </w:pPr>
          </w:p>
        </w:tc>
        <w:tc>
          <w:tcPr>
            <w:tcW w:w="26" w:type="pct"/>
            <w:shd w:val="clear" w:color="auto" w:fill="auto"/>
            <w:vAlign w:val="bottom"/>
          </w:tcPr>
          <w:p w14:paraId="392C1F99" w14:textId="77777777" w:rsidR="00980E5F" w:rsidRDefault="00980E5F">
            <w:pPr>
              <w:rPr>
                <w:rFonts w:ascii="宋体"/>
              </w:rPr>
            </w:pPr>
          </w:p>
        </w:tc>
        <w:tc>
          <w:tcPr>
            <w:tcW w:w="5" w:type="pct"/>
            <w:shd w:val="clear" w:color="auto" w:fill="auto"/>
            <w:vAlign w:val="bottom"/>
          </w:tcPr>
          <w:p w14:paraId="392C1F9A" w14:textId="77777777" w:rsidR="00980E5F" w:rsidRDefault="00980E5F">
            <w:pPr>
              <w:rPr>
                <w:rFonts w:ascii="宋体"/>
              </w:rPr>
            </w:pPr>
          </w:p>
        </w:tc>
        <w:tc>
          <w:tcPr>
            <w:tcW w:w="50" w:type="pct"/>
            <w:shd w:val="clear" w:color="auto" w:fill="auto"/>
            <w:vAlign w:val="bottom"/>
          </w:tcPr>
          <w:p w14:paraId="392C1F9B" w14:textId="77777777" w:rsidR="00980E5F" w:rsidRDefault="00980E5F">
            <w:pPr>
              <w:rPr>
                <w:rFonts w:ascii="宋体"/>
              </w:rPr>
            </w:pPr>
          </w:p>
        </w:tc>
        <w:tc>
          <w:tcPr>
            <w:tcW w:w="372" w:type="pct"/>
            <w:shd w:val="clear" w:color="auto" w:fill="auto"/>
            <w:vAlign w:val="bottom"/>
          </w:tcPr>
          <w:p w14:paraId="392C1F9C" w14:textId="77777777" w:rsidR="00980E5F" w:rsidRDefault="00980E5F">
            <w:pPr>
              <w:rPr>
                <w:rFonts w:ascii="宋体"/>
              </w:rPr>
            </w:pPr>
          </w:p>
        </w:tc>
        <w:tc>
          <w:tcPr>
            <w:tcW w:w="5" w:type="pct"/>
            <w:shd w:val="clear" w:color="auto" w:fill="auto"/>
            <w:vAlign w:val="bottom"/>
          </w:tcPr>
          <w:p w14:paraId="392C1F9D" w14:textId="77777777" w:rsidR="00980E5F" w:rsidRDefault="00980E5F">
            <w:pPr>
              <w:rPr>
                <w:rFonts w:ascii="宋体"/>
              </w:rPr>
            </w:pPr>
          </w:p>
        </w:tc>
        <w:tc>
          <w:tcPr>
            <w:tcW w:w="5" w:type="pct"/>
            <w:shd w:val="clear" w:color="auto" w:fill="auto"/>
            <w:vAlign w:val="bottom"/>
          </w:tcPr>
          <w:p w14:paraId="392C1F9E" w14:textId="77777777" w:rsidR="00980E5F" w:rsidRDefault="00980E5F">
            <w:pPr>
              <w:rPr>
                <w:rFonts w:ascii="宋体"/>
              </w:rPr>
            </w:pPr>
          </w:p>
        </w:tc>
        <w:tc>
          <w:tcPr>
            <w:tcW w:w="26" w:type="pct"/>
            <w:shd w:val="clear" w:color="auto" w:fill="auto"/>
            <w:vAlign w:val="bottom"/>
          </w:tcPr>
          <w:p w14:paraId="392C1F9F" w14:textId="77777777" w:rsidR="00980E5F" w:rsidRDefault="00980E5F">
            <w:pPr>
              <w:rPr>
                <w:rFonts w:ascii="宋体"/>
              </w:rPr>
            </w:pPr>
          </w:p>
        </w:tc>
        <w:tc>
          <w:tcPr>
            <w:tcW w:w="5" w:type="pct"/>
            <w:shd w:val="clear" w:color="auto" w:fill="auto"/>
            <w:vAlign w:val="bottom"/>
          </w:tcPr>
          <w:p w14:paraId="392C1FA0" w14:textId="77777777" w:rsidR="00980E5F" w:rsidRDefault="00980E5F">
            <w:pPr>
              <w:rPr>
                <w:rFonts w:ascii="宋体"/>
              </w:rPr>
            </w:pPr>
          </w:p>
        </w:tc>
        <w:tc>
          <w:tcPr>
            <w:tcW w:w="50" w:type="pct"/>
            <w:shd w:val="clear" w:color="auto" w:fill="auto"/>
            <w:vAlign w:val="bottom"/>
          </w:tcPr>
          <w:p w14:paraId="392C1FA1" w14:textId="77777777" w:rsidR="00980E5F" w:rsidRDefault="00980E5F">
            <w:pPr>
              <w:rPr>
                <w:rFonts w:ascii="宋体"/>
              </w:rPr>
            </w:pPr>
          </w:p>
        </w:tc>
        <w:tc>
          <w:tcPr>
            <w:tcW w:w="372" w:type="pct"/>
            <w:shd w:val="clear" w:color="auto" w:fill="auto"/>
            <w:vAlign w:val="bottom"/>
          </w:tcPr>
          <w:p w14:paraId="392C1FA2" w14:textId="77777777" w:rsidR="00980E5F" w:rsidRDefault="00980E5F">
            <w:pPr>
              <w:rPr>
                <w:rFonts w:ascii="宋体"/>
              </w:rPr>
            </w:pPr>
          </w:p>
        </w:tc>
        <w:tc>
          <w:tcPr>
            <w:tcW w:w="5" w:type="pct"/>
            <w:shd w:val="clear" w:color="auto" w:fill="auto"/>
            <w:vAlign w:val="bottom"/>
          </w:tcPr>
          <w:p w14:paraId="392C1FA3" w14:textId="77777777" w:rsidR="00980E5F" w:rsidRDefault="00980E5F">
            <w:pPr>
              <w:rPr>
                <w:rFonts w:ascii="宋体"/>
              </w:rPr>
            </w:pPr>
          </w:p>
        </w:tc>
        <w:tc>
          <w:tcPr>
            <w:tcW w:w="5" w:type="pct"/>
            <w:shd w:val="clear" w:color="auto" w:fill="auto"/>
            <w:vAlign w:val="bottom"/>
          </w:tcPr>
          <w:p w14:paraId="392C1FA4" w14:textId="77777777" w:rsidR="00980E5F" w:rsidRDefault="00980E5F">
            <w:pPr>
              <w:rPr>
                <w:rFonts w:ascii="宋体"/>
              </w:rPr>
            </w:pPr>
          </w:p>
        </w:tc>
        <w:tc>
          <w:tcPr>
            <w:tcW w:w="26" w:type="pct"/>
            <w:shd w:val="clear" w:color="auto" w:fill="auto"/>
            <w:vAlign w:val="bottom"/>
          </w:tcPr>
          <w:p w14:paraId="392C1FA5" w14:textId="77777777" w:rsidR="00980E5F" w:rsidRDefault="00980E5F">
            <w:pPr>
              <w:rPr>
                <w:rFonts w:ascii="宋体"/>
              </w:rPr>
            </w:pPr>
          </w:p>
        </w:tc>
        <w:tc>
          <w:tcPr>
            <w:tcW w:w="5" w:type="pct"/>
            <w:shd w:val="clear" w:color="auto" w:fill="auto"/>
            <w:vAlign w:val="bottom"/>
          </w:tcPr>
          <w:p w14:paraId="392C1FA6" w14:textId="77777777" w:rsidR="00980E5F" w:rsidRDefault="00980E5F">
            <w:pPr>
              <w:rPr>
                <w:rFonts w:ascii="宋体"/>
              </w:rPr>
            </w:pPr>
          </w:p>
        </w:tc>
        <w:tc>
          <w:tcPr>
            <w:tcW w:w="50" w:type="pct"/>
            <w:shd w:val="clear" w:color="auto" w:fill="auto"/>
            <w:vAlign w:val="bottom"/>
          </w:tcPr>
          <w:p w14:paraId="392C1FA7" w14:textId="77777777" w:rsidR="00980E5F" w:rsidRDefault="00980E5F">
            <w:pPr>
              <w:rPr>
                <w:rFonts w:ascii="宋体"/>
              </w:rPr>
            </w:pPr>
          </w:p>
        </w:tc>
        <w:tc>
          <w:tcPr>
            <w:tcW w:w="372" w:type="pct"/>
            <w:shd w:val="clear" w:color="auto" w:fill="auto"/>
            <w:vAlign w:val="bottom"/>
          </w:tcPr>
          <w:p w14:paraId="392C1FA8" w14:textId="77777777" w:rsidR="00980E5F" w:rsidRDefault="00980E5F">
            <w:pPr>
              <w:rPr>
                <w:rFonts w:ascii="宋体"/>
              </w:rPr>
            </w:pPr>
          </w:p>
        </w:tc>
        <w:tc>
          <w:tcPr>
            <w:tcW w:w="5" w:type="pct"/>
            <w:shd w:val="clear" w:color="auto" w:fill="auto"/>
            <w:vAlign w:val="bottom"/>
          </w:tcPr>
          <w:p w14:paraId="392C1FA9" w14:textId="77777777" w:rsidR="00980E5F" w:rsidRDefault="00980E5F">
            <w:pPr>
              <w:rPr>
                <w:rFonts w:ascii="宋体"/>
              </w:rPr>
            </w:pPr>
          </w:p>
        </w:tc>
        <w:tc>
          <w:tcPr>
            <w:tcW w:w="5" w:type="pct"/>
            <w:shd w:val="clear" w:color="auto" w:fill="auto"/>
            <w:vAlign w:val="bottom"/>
          </w:tcPr>
          <w:p w14:paraId="392C1FAA" w14:textId="77777777" w:rsidR="00980E5F" w:rsidRDefault="00980E5F">
            <w:pPr>
              <w:rPr>
                <w:rFonts w:ascii="宋体"/>
              </w:rPr>
            </w:pPr>
          </w:p>
        </w:tc>
        <w:tc>
          <w:tcPr>
            <w:tcW w:w="26" w:type="pct"/>
            <w:shd w:val="clear" w:color="auto" w:fill="auto"/>
            <w:vAlign w:val="bottom"/>
          </w:tcPr>
          <w:p w14:paraId="392C1FAB" w14:textId="77777777" w:rsidR="00980E5F" w:rsidRDefault="00980E5F">
            <w:pPr>
              <w:rPr>
                <w:rFonts w:ascii="宋体"/>
              </w:rPr>
            </w:pPr>
          </w:p>
        </w:tc>
        <w:tc>
          <w:tcPr>
            <w:tcW w:w="5" w:type="pct"/>
            <w:shd w:val="clear" w:color="auto" w:fill="auto"/>
            <w:vAlign w:val="bottom"/>
          </w:tcPr>
          <w:p w14:paraId="392C1FAC" w14:textId="77777777" w:rsidR="00980E5F" w:rsidRDefault="00980E5F">
            <w:pPr>
              <w:rPr>
                <w:rFonts w:ascii="宋体"/>
              </w:rPr>
            </w:pPr>
          </w:p>
        </w:tc>
        <w:tc>
          <w:tcPr>
            <w:tcW w:w="50" w:type="pct"/>
            <w:shd w:val="clear" w:color="auto" w:fill="auto"/>
            <w:vAlign w:val="bottom"/>
          </w:tcPr>
          <w:p w14:paraId="392C1FAD" w14:textId="77777777" w:rsidR="00980E5F" w:rsidRDefault="00980E5F">
            <w:pPr>
              <w:rPr>
                <w:rFonts w:ascii="宋体"/>
              </w:rPr>
            </w:pPr>
          </w:p>
        </w:tc>
        <w:tc>
          <w:tcPr>
            <w:tcW w:w="372" w:type="pct"/>
            <w:shd w:val="clear" w:color="auto" w:fill="auto"/>
            <w:vAlign w:val="bottom"/>
          </w:tcPr>
          <w:p w14:paraId="392C1FAE" w14:textId="77777777" w:rsidR="00980E5F" w:rsidRDefault="00980E5F">
            <w:pPr>
              <w:rPr>
                <w:rFonts w:ascii="宋体"/>
              </w:rPr>
            </w:pPr>
          </w:p>
        </w:tc>
        <w:tc>
          <w:tcPr>
            <w:tcW w:w="5" w:type="pct"/>
            <w:shd w:val="clear" w:color="auto" w:fill="auto"/>
            <w:vAlign w:val="bottom"/>
          </w:tcPr>
          <w:p w14:paraId="392C1FAF" w14:textId="77777777" w:rsidR="00980E5F" w:rsidRDefault="00980E5F">
            <w:pPr>
              <w:rPr>
                <w:rFonts w:ascii="宋体"/>
              </w:rPr>
            </w:pPr>
          </w:p>
        </w:tc>
        <w:tc>
          <w:tcPr>
            <w:tcW w:w="5" w:type="pct"/>
            <w:shd w:val="clear" w:color="auto" w:fill="auto"/>
            <w:vAlign w:val="bottom"/>
          </w:tcPr>
          <w:p w14:paraId="392C1FB0" w14:textId="77777777" w:rsidR="00980E5F" w:rsidRDefault="00980E5F">
            <w:pPr>
              <w:rPr>
                <w:rFonts w:ascii="宋体"/>
              </w:rPr>
            </w:pPr>
          </w:p>
        </w:tc>
        <w:tc>
          <w:tcPr>
            <w:tcW w:w="26" w:type="pct"/>
            <w:shd w:val="clear" w:color="auto" w:fill="auto"/>
            <w:vAlign w:val="bottom"/>
          </w:tcPr>
          <w:p w14:paraId="392C1FB1" w14:textId="77777777" w:rsidR="00980E5F" w:rsidRDefault="00980E5F">
            <w:pPr>
              <w:rPr>
                <w:rFonts w:ascii="宋体"/>
              </w:rPr>
            </w:pPr>
          </w:p>
        </w:tc>
        <w:tc>
          <w:tcPr>
            <w:tcW w:w="5" w:type="pct"/>
            <w:shd w:val="clear" w:color="auto" w:fill="auto"/>
            <w:vAlign w:val="bottom"/>
          </w:tcPr>
          <w:p w14:paraId="392C1FB2" w14:textId="77777777" w:rsidR="00980E5F" w:rsidRDefault="00980E5F">
            <w:pPr>
              <w:rPr>
                <w:rFonts w:ascii="宋体"/>
              </w:rPr>
            </w:pPr>
          </w:p>
        </w:tc>
        <w:tc>
          <w:tcPr>
            <w:tcW w:w="50" w:type="pct"/>
            <w:shd w:val="clear" w:color="auto" w:fill="auto"/>
            <w:vAlign w:val="bottom"/>
          </w:tcPr>
          <w:p w14:paraId="392C1FB3" w14:textId="77777777" w:rsidR="00980E5F" w:rsidRDefault="00980E5F">
            <w:pPr>
              <w:rPr>
                <w:rFonts w:ascii="宋体"/>
              </w:rPr>
            </w:pPr>
          </w:p>
        </w:tc>
        <w:tc>
          <w:tcPr>
            <w:tcW w:w="372" w:type="pct"/>
            <w:shd w:val="clear" w:color="auto" w:fill="auto"/>
            <w:vAlign w:val="bottom"/>
          </w:tcPr>
          <w:p w14:paraId="392C1FB4" w14:textId="77777777" w:rsidR="00980E5F" w:rsidRDefault="00980E5F">
            <w:pPr>
              <w:rPr>
                <w:rFonts w:ascii="宋体"/>
              </w:rPr>
            </w:pPr>
          </w:p>
        </w:tc>
        <w:tc>
          <w:tcPr>
            <w:tcW w:w="5" w:type="pct"/>
            <w:shd w:val="clear" w:color="auto" w:fill="auto"/>
            <w:vAlign w:val="bottom"/>
          </w:tcPr>
          <w:p w14:paraId="392C1FB5" w14:textId="77777777" w:rsidR="00980E5F" w:rsidRDefault="00980E5F">
            <w:pPr>
              <w:rPr>
                <w:rFonts w:ascii="宋体"/>
              </w:rPr>
            </w:pPr>
          </w:p>
        </w:tc>
        <w:tc>
          <w:tcPr>
            <w:tcW w:w="5" w:type="pct"/>
            <w:shd w:val="clear" w:color="auto" w:fill="auto"/>
            <w:vAlign w:val="bottom"/>
          </w:tcPr>
          <w:p w14:paraId="392C1FB6" w14:textId="77777777" w:rsidR="00980E5F" w:rsidRDefault="00980E5F">
            <w:pPr>
              <w:rPr>
                <w:rFonts w:ascii="宋体"/>
              </w:rPr>
            </w:pPr>
          </w:p>
        </w:tc>
        <w:tc>
          <w:tcPr>
            <w:tcW w:w="26" w:type="pct"/>
            <w:shd w:val="clear" w:color="auto" w:fill="auto"/>
            <w:vAlign w:val="bottom"/>
          </w:tcPr>
          <w:p w14:paraId="392C1FB7" w14:textId="77777777" w:rsidR="00980E5F" w:rsidRDefault="00980E5F">
            <w:pPr>
              <w:rPr>
                <w:rFonts w:ascii="宋体"/>
              </w:rPr>
            </w:pPr>
          </w:p>
        </w:tc>
        <w:tc>
          <w:tcPr>
            <w:tcW w:w="5" w:type="pct"/>
            <w:shd w:val="clear" w:color="auto" w:fill="auto"/>
            <w:vAlign w:val="bottom"/>
          </w:tcPr>
          <w:p w14:paraId="392C1FB8" w14:textId="77777777" w:rsidR="00980E5F" w:rsidRDefault="00980E5F">
            <w:pPr>
              <w:rPr>
                <w:rFonts w:ascii="宋体"/>
              </w:rPr>
            </w:pPr>
          </w:p>
        </w:tc>
        <w:tc>
          <w:tcPr>
            <w:tcW w:w="50" w:type="pct"/>
            <w:shd w:val="clear" w:color="auto" w:fill="auto"/>
            <w:vAlign w:val="bottom"/>
          </w:tcPr>
          <w:p w14:paraId="392C1FB9" w14:textId="77777777" w:rsidR="00980E5F" w:rsidRDefault="00980E5F">
            <w:pPr>
              <w:rPr>
                <w:rFonts w:ascii="宋体"/>
              </w:rPr>
            </w:pPr>
          </w:p>
        </w:tc>
        <w:tc>
          <w:tcPr>
            <w:tcW w:w="373" w:type="pct"/>
            <w:shd w:val="clear" w:color="auto" w:fill="auto"/>
            <w:vAlign w:val="bottom"/>
          </w:tcPr>
          <w:p w14:paraId="392C1FBA" w14:textId="77777777" w:rsidR="00980E5F" w:rsidRDefault="00980E5F">
            <w:pPr>
              <w:rPr>
                <w:rFonts w:ascii="宋体"/>
              </w:rPr>
            </w:pPr>
          </w:p>
        </w:tc>
        <w:tc>
          <w:tcPr>
            <w:tcW w:w="5" w:type="pct"/>
            <w:shd w:val="clear" w:color="auto" w:fill="auto"/>
            <w:vAlign w:val="bottom"/>
          </w:tcPr>
          <w:p w14:paraId="392C1FBB" w14:textId="77777777" w:rsidR="00980E5F" w:rsidRDefault="00980E5F">
            <w:pPr>
              <w:rPr>
                <w:rFonts w:ascii="宋体"/>
              </w:rPr>
            </w:pPr>
          </w:p>
        </w:tc>
      </w:tr>
      <w:tr w:rsidR="00980E5F" w14:paraId="392C1FBE" w14:textId="77777777">
        <w:tc>
          <w:tcPr>
            <w:tcW w:w="0" w:type="auto"/>
            <w:gridSpan w:val="54"/>
            <w:shd w:val="clear" w:color="auto" w:fill="auto"/>
            <w:tcMar>
              <w:top w:w="40" w:type="dxa"/>
              <w:left w:w="20" w:type="dxa"/>
              <w:bottom w:w="40" w:type="dxa"/>
              <w:right w:w="20" w:type="dxa"/>
            </w:tcMar>
            <w:vAlign w:val="center"/>
          </w:tcPr>
          <w:p w14:paraId="392C1FBD" w14:textId="77777777" w:rsidR="00980E5F" w:rsidRDefault="00483613">
            <w:pPr>
              <w:textAlignment w:val="center"/>
            </w:pPr>
            <w:r>
              <w:rPr>
                <w:rFonts w:ascii="Arial" w:eastAsia="宋体" w:hAnsi="Arial" w:cs="Arial"/>
                <w:b/>
                <w:bCs/>
                <w:color w:val="000000"/>
                <w:sz w:val="16"/>
                <w:szCs w:val="16"/>
              </w:rPr>
              <w:t>TABLE 34: REGULATORY CAPITAL STRUCTURE AND RELATED REGULATORY CAPITAL RATIOS</w:t>
            </w:r>
          </w:p>
        </w:tc>
      </w:tr>
      <w:tr w:rsidR="00980E5F" w14:paraId="392C1FC3" w14:textId="77777777">
        <w:tc>
          <w:tcPr>
            <w:tcW w:w="0" w:type="auto"/>
            <w:gridSpan w:val="9"/>
            <w:shd w:val="clear" w:color="auto" w:fill="auto"/>
            <w:tcMar>
              <w:top w:w="0" w:type="dxa"/>
              <w:left w:w="20" w:type="dxa"/>
              <w:bottom w:w="0" w:type="dxa"/>
              <w:right w:w="20" w:type="dxa"/>
            </w:tcMar>
            <w:vAlign w:val="bottom"/>
          </w:tcPr>
          <w:p w14:paraId="392C1FBF" w14:textId="77777777" w:rsidR="00980E5F" w:rsidRDefault="00980E5F">
            <w:pPr>
              <w:rPr>
                <w:rFonts w:ascii="宋体"/>
              </w:rPr>
            </w:pPr>
          </w:p>
        </w:tc>
        <w:tc>
          <w:tcPr>
            <w:tcW w:w="0" w:type="auto"/>
            <w:gridSpan w:val="21"/>
            <w:shd w:val="clear" w:color="auto" w:fill="auto"/>
            <w:tcMar>
              <w:top w:w="40" w:type="dxa"/>
              <w:left w:w="20" w:type="dxa"/>
              <w:bottom w:w="40" w:type="dxa"/>
              <w:right w:w="20" w:type="dxa"/>
            </w:tcMar>
            <w:vAlign w:val="bottom"/>
          </w:tcPr>
          <w:p w14:paraId="392C1FC0" w14:textId="77777777" w:rsidR="00980E5F" w:rsidRDefault="00483613">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392C1FC1" w14:textId="77777777" w:rsidR="00980E5F" w:rsidRDefault="00980E5F">
            <w:pPr>
              <w:rPr>
                <w:rFonts w:ascii="宋体"/>
              </w:rPr>
            </w:pPr>
          </w:p>
        </w:tc>
        <w:tc>
          <w:tcPr>
            <w:tcW w:w="0" w:type="auto"/>
            <w:gridSpan w:val="21"/>
            <w:shd w:val="clear" w:color="auto" w:fill="auto"/>
            <w:tcMar>
              <w:top w:w="40" w:type="dxa"/>
              <w:left w:w="20" w:type="dxa"/>
              <w:bottom w:w="40" w:type="dxa"/>
              <w:right w:w="20" w:type="dxa"/>
            </w:tcMar>
            <w:vAlign w:val="bottom"/>
          </w:tcPr>
          <w:p w14:paraId="392C1FC2" w14:textId="77777777" w:rsidR="00980E5F" w:rsidRDefault="00483613">
            <w:pPr>
              <w:jc w:val="center"/>
              <w:textAlignment w:val="bottom"/>
            </w:pPr>
            <w:r>
              <w:rPr>
                <w:rFonts w:ascii="Arial" w:eastAsia="宋体" w:hAnsi="Arial" w:cs="Arial"/>
                <w:b/>
                <w:bCs/>
                <w:color w:val="000000"/>
                <w:sz w:val="14"/>
                <w:szCs w:val="14"/>
              </w:rPr>
              <w:t>State Street Bank</w:t>
            </w:r>
          </w:p>
        </w:tc>
      </w:tr>
      <w:tr w:rsidR="00980E5F" w14:paraId="392C1FD4" w14:textId="77777777">
        <w:tc>
          <w:tcPr>
            <w:tcW w:w="0" w:type="auto"/>
            <w:gridSpan w:val="9"/>
            <w:shd w:val="clear" w:color="auto" w:fill="auto"/>
            <w:tcMar>
              <w:top w:w="40" w:type="dxa"/>
              <w:left w:w="20" w:type="dxa"/>
              <w:bottom w:w="40" w:type="dxa"/>
              <w:right w:w="20" w:type="dxa"/>
            </w:tcMar>
            <w:vAlign w:val="bottom"/>
          </w:tcPr>
          <w:p w14:paraId="392C1FC4" w14:textId="77777777" w:rsidR="00980E5F" w:rsidRDefault="00483613">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5" w14:textId="77777777" w:rsidR="00980E5F" w:rsidRDefault="00483613">
            <w:pPr>
              <w:jc w:val="center"/>
              <w:textAlignment w:val="bottom"/>
            </w:pPr>
            <w:r>
              <w:rPr>
                <w:rFonts w:ascii="Arial" w:eastAsia="宋体" w:hAnsi="Arial" w:cs="Arial"/>
                <w:b/>
                <w:bCs/>
                <w:color w:val="000000"/>
                <w:sz w:val="11"/>
                <w:szCs w:val="11"/>
              </w:rPr>
              <w:t>Basel III Advanced Approaches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C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7" w14:textId="77777777" w:rsidR="00980E5F" w:rsidRDefault="00483613">
            <w:pPr>
              <w:jc w:val="center"/>
              <w:textAlignment w:val="bottom"/>
            </w:pPr>
            <w:r>
              <w:rPr>
                <w:rFonts w:ascii="Arial" w:eastAsia="宋体" w:hAnsi="Arial" w:cs="Arial"/>
                <w:b/>
                <w:bCs/>
                <w:color w:val="000000"/>
                <w:sz w:val="11"/>
                <w:szCs w:val="11"/>
              </w:rPr>
              <w:t>Basel III Standardized Approach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C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9" w14:textId="77777777" w:rsidR="00980E5F" w:rsidRDefault="00483613">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C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B" w14:textId="77777777" w:rsidR="00980E5F" w:rsidRDefault="00483613">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392C1FC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D" w14:textId="77777777" w:rsidR="00980E5F" w:rsidRDefault="00483613">
            <w:pPr>
              <w:jc w:val="center"/>
              <w:textAlignment w:val="bottom"/>
            </w:pPr>
            <w:r>
              <w:rPr>
                <w:rFonts w:ascii="Arial" w:eastAsia="宋体" w:hAnsi="Arial" w:cs="Arial"/>
                <w:b/>
                <w:bCs/>
                <w:color w:val="000000"/>
                <w:sz w:val="11"/>
                <w:szCs w:val="11"/>
              </w:rPr>
              <w:t>Basel III Advanced Approaches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C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CF" w14:textId="77777777" w:rsidR="00980E5F" w:rsidRDefault="00483613">
            <w:pPr>
              <w:jc w:val="center"/>
              <w:textAlignment w:val="bottom"/>
            </w:pPr>
            <w:r>
              <w:rPr>
                <w:rFonts w:ascii="Arial" w:eastAsia="宋体" w:hAnsi="Arial" w:cs="Arial"/>
                <w:b/>
                <w:bCs/>
                <w:color w:val="000000"/>
                <w:sz w:val="11"/>
                <w:szCs w:val="11"/>
              </w:rPr>
              <w:t xml:space="preserve">Basel III </w:t>
            </w:r>
            <w:r>
              <w:rPr>
                <w:rFonts w:ascii="Arial" w:eastAsia="宋体" w:hAnsi="Arial" w:cs="Arial"/>
                <w:b/>
                <w:bCs/>
                <w:color w:val="000000"/>
                <w:sz w:val="11"/>
                <w:szCs w:val="11"/>
              </w:rPr>
              <w:t>Standardized Approach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D1" w14:textId="77777777" w:rsidR="00980E5F" w:rsidRDefault="00483613">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1FD3" w14:textId="77777777" w:rsidR="00980E5F" w:rsidRDefault="00483613">
            <w:pPr>
              <w:jc w:val="center"/>
              <w:textAlignment w:val="bottom"/>
            </w:pPr>
            <w:r>
              <w:rPr>
                <w:rFonts w:ascii="Arial" w:eastAsia="宋体" w:hAnsi="Arial" w:cs="Arial"/>
                <w:b/>
                <w:bCs/>
                <w:color w:val="000000"/>
                <w:sz w:val="11"/>
                <w:szCs w:val="11"/>
              </w:rPr>
              <w:t>Basel III Standardized Approach December 31, 2021</w:t>
            </w:r>
          </w:p>
        </w:tc>
      </w:tr>
      <w:tr w:rsidR="00980E5F" w14:paraId="392C1FE5" w14:textId="77777777">
        <w:tc>
          <w:tcPr>
            <w:tcW w:w="0" w:type="auto"/>
            <w:gridSpan w:val="9"/>
            <w:shd w:val="clear" w:color="auto" w:fill="auto"/>
            <w:tcMar>
              <w:top w:w="40" w:type="dxa"/>
              <w:left w:w="20" w:type="dxa"/>
              <w:bottom w:w="40" w:type="dxa"/>
              <w:right w:w="20" w:type="dxa"/>
            </w:tcMar>
            <w:vAlign w:val="bottom"/>
          </w:tcPr>
          <w:p w14:paraId="392C1FD5" w14:textId="77777777" w:rsidR="00980E5F" w:rsidRDefault="00483613">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D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D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D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D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E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E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1FE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1FE4" w14:textId="77777777" w:rsidR="00980E5F" w:rsidRDefault="00980E5F">
            <w:pPr>
              <w:rPr>
                <w:rFonts w:ascii="宋体"/>
              </w:rPr>
            </w:pPr>
          </w:p>
        </w:tc>
      </w:tr>
      <w:tr w:rsidR="00483613" w14:paraId="392C2006" w14:textId="77777777">
        <w:tc>
          <w:tcPr>
            <w:tcW w:w="0" w:type="auto"/>
            <w:gridSpan w:val="9"/>
            <w:shd w:val="clear" w:color="auto" w:fill="CCEEFF"/>
            <w:tcMar>
              <w:top w:w="40" w:type="dxa"/>
              <w:left w:w="245" w:type="dxa"/>
              <w:bottom w:w="40" w:type="dxa"/>
              <w:right w:w="20" w:type="dxa"/>
            </w:tcMar>
            <w:vAlign w:val="bottom"/>
          </w:tcPr>
          <w:p w14:paraId="392C1FE6" w14:textId="77777777" w:rsidR="00980E5F" w:rsidRDefault="00483613">
            <w:pPr>
              <w:textAlignment w:val="bottom"/>
            </w:pPr>
            <w:r>
              <w:rPr>
                <w:rFonts w:ascii="Arial" w:eastAsia="宋体" w:hAnsi="Arial" w:cs="Arial"/>
                <w:color w:val="000000"/>
                <w:sz w:val="12"/>
                <w:szCs w:val="12"/>
              </w:rPr>
              <w:t xml:space="preserve">Common </w:t>
            </w:r>
            <w:r>
              <w:rPr>
                <w:rFonts w:ascii="Arial" w:eastAsia="宋体" w:hAnsi="Arial" w:cs="Arial"/>
                <w:color w:val="000000"/>
                <w:sz w:val="12"/>
                <w:szCs w:val="12"/>
              </w:rPr>
              <w:t>stock and related surplus</w:t>
            </w:r>
          </w:p>
        </w:tc>
        <w:tc>
          <w:tcPr>
            <w:tcW w:w="0" w:type="auto"/>
            <w:shd w:val="clear" w:color="auto" w:fill="CCEEFF"/>
            <w:tcMar>
              <w:top w:w="40" w:type="dxa"/>
              <w:left w:w="20" w:type="dxa"/>
              <w:bottom w:w="40" w:type="dxa"/>
              <w:right w:w="0" w:type="dxa"/>
            </w:tcMar>
            <w:vAlign w:val="bottom"/>
          </w:tcPr>
          <w:p w14:paraId="392C1FE7"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1FE8" w14:textId="77777777" w:rsidR="00980E5F" w:rsidRDefault="00483613">
            <w:pPr>
              <w:jc w:val="right"/>
              <w:textAlignment w:val="bottom"/>
            </w:pPr>
            <w:r>
              <w:rPr>
                <w:rFonts w:ascii="Arial" w:eastAsia="宋体" w:hAnsi="Arial" w:cs="Arial"/>
                <w:b/>
                <w:bCs/>
                <w:color w:val="000000"/>
                <w:sz w:val="12"/>
                <w:szCs w:val="12"/>
              </w:rPr>
              <w:t>11,261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1F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E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EB"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1FEC" w14:textId="77777777" w:rsidR="00980E5F" w:rsidRDefault="00483613">
            <w:pPr>
              <w:jc w:val="right"/>
              <w:textAlignment w:val="bottom"/>
            </w:pPr>
            <w:r>
              <w:rPr>
                <w:rFonts w:ascii="Arial" w:eastAsia="宋体" w:hAnsi="Arial" w:cs="Arial"/>
                <w:b/>
                <w:bCs/>
                <w:color w:val="000000"/>
                <w:sz w:val="12"/>
                <w:szCs w:val="12"/>
              </w:rPr>
              <w:t>11,261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1F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E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EF"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1FF0" w14:textId="77777777" w:rsidR="00980E5F" w:rsidRDefault="00483613">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392C1F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F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F3"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1FF4" w14:textId="77777777" w:rsidR="00980E5F" w:rsidRDefault="00483613">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392C1F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F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F7"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1FF8" w14:textId="77777777" w:rsidR="00980E5F" w:rsidRDefault="00483613">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1F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F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FB"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1FFC" w14:textId="77777777" w:rsidR="00980E5F" w:rsidRDefault="00483613">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1F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1FF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1FFF"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2000" w14:textId="77777777" w:rsidR="00980E5F" w:rsidRDefault="00483613">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392C20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0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003"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2004" w14:textId="77777777" w:rsidR="00980E5F" w:rsidRDefault="00483613">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392C2005" w14:textId="77777777" w:rsidR="00980E5F" w:rsidRDefault="00980E5F">
            <w:pPr>
              <w:jc w:val="right"/>
              <w:rPr>
                <w:rFonts w:ascii="宋体"/>
              </w:rPr>
            </w:pPr>
          </w:p>
        </w:tc>
      </w:tr>
      <w:tr w:rsidR="00980E5F" w14:paraId="392C201F" w14:textId="77777777">
        <w:tc>
          <w:tcPr>
            <w:tcW w:w="0" w:type="auto"/>
            <w:gridSpan w:val="9"/>
            <w:shd w:val="clear" w:color="auto" w:fill="FFFFFF"/>
            <w:tcMar>
              <w:top w:w="40" w:type="dxa"/>
              <w:left w:w="245" w:type="dxa"/>
              <w:bottom w:w="40" w:type="dxa"/>
              <w:right w:w="20" w:type="dxa"/>
            </w:tcMar>
            <w:vAlign w:val="bottom"/>
          </w:tcPr>
          <w:p w14:paraId="392C2007" w14:textId="77777777" w:rsidR="00980E5F" w:rsidRDefault="00483613">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392C2008" w14:textId="77777777" w:rsidR="00980E5F" w:rsidRDefault="00483613">
            <w:pPr>
              <w:jc w:val="right"/>
              <w:textAlignment w:val="bottom"/>
            </w:pPr>
            <w:r>
              <w:rPr>
                <w:rFonts w:ascii="Arial" w:eastAsia="宋体" w:hAnsi="Arial" w:cs="Arial"/>
                <w:b/>
                <w:bCs/>
                <w:color w:val="000000"/>
                <w:sz w:val="12"/>
                <w:szCs w:val="12"/>
              </w:rPr>
              <w:t>26,115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0B" w14:textId="77777777" w:rsidR="00980E5F" w:rsidRDefault="00483613">
            <w:pPr>
              <w:jc w:val="right"/>
              <w:textAlignment w:val="bottom"/>
            </w:pPr>
            <w:r>
              <w:rPr>
                <w:rFonts w:ascii="Arial" w:eastAsia="宋体" w:hAnsi="Arial" w:cs="Arial"/>
                <w:b/>
                <w:bCs/>
                <w:color w:val="000000"/>
                <w:sz w:val="12"/>
                <w:szCs w:val="12"/>
              </w:rPr>
              <w:t>26,115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0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0E" w14:textId="77777777" w:rsidR="00980E5F" w:rsidRDefault="00483613">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392C20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11" w14:textId="77777777" w:rsidR="00980E5F" w:rsidRDefault="00483613">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392C20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14" w14:textId="77777777" w:rsidR="00980E5F" w:rsidRDefault="00483613">
            <w:pPr>
              <w:jc w:val="right"/>
              <w:textAlignment w:val="bottom"/>
            </w:pPr>
            <w:r>
              <w:rPr>
                <w:rFonts w:ascii="Arial" w:eastAsia="宋体" w:hAnsi="Arial" w:cs="Arial"/>
                <w:b/>
                <w:bCs/>
                <w:color w:val="000000"/>
                <w:sz w:val="12"/>
                <w:szCs w:val="12"/>
              </w:rPr>
              <w:t>17,025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1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17" w14:textId="77777777" w:rsidR="00980E5F" w:rsidRDefault="00483613">
            <w:pPr>
              <w:jc w:val="right"/>
              <w:textAlignment w:val="bottom"/>
            </w:pPr>
            <w:r>
              <w:rPr>
                <w:rFonts w:ascii="Arial" w:eastAsia="宋体" w:hAnsi="Arial" w:cs="Arial"/>
                <w:b/>
                <w:bCs/>
                <w:color w:val="000000"/>
                <w:sz w:val="12"/>
                <w:szCs w:val="12"/>
              </w:rPr>
              <w:t>17,025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1A" w14:textId="77777777" w:rsidR="00980E5F" w:rsidRDefault="00483613">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392C20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1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1D" w14:textId="77777777" w:rsidR="00980E5F" w:rsidRDefault="00483613">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392C201E" w14:textId="77777777" w:rsidR="00980E5F" w:rsidRDefault="00980E5F">
            <w:pPr>
              <w:jc w:val="right"/>
              <w:rPr>
                <w:rFonts w:ascii="宋体"/>
              </w:rPr>
            </w:pPr>
          </w:p>
        </w:tc>
      </w:tr>
      <w:tr w:rsidR="00980E5F" w14:paraId="392C2038" w14:textId="77777777">
        <w:tc>
          <w:tcPr>
            <w:tcW w:w="0" w:type="auto"/>
            <w:gridSpan w:val="9"/>
            <w:shd w:val="clear" w:color="auto" w:fill="CCEEFF"/>
            <w:tcMar>
              <w:top w:w="40" w:type="dxa"/>
              <w:left w:w="245" w:type="dxa"/>
              <w:bottom w:w="40" w:type="dxa"/>
              <w:right w:w="20" w:type="dxa"/>
            </w:tcMar>
            <w:vAlign w:val="bottom"/>
          </w:tcPr>
          <w:p w14:paraId="392C2020" w14:textId="77777777" w:rsidR="00980E5F" w:rsidRDefault="00483613">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392C2021" w14:textId="77777777" w:rsidR="00980E5F" w:rsidRDefault="00483613">
            <w:pPr>
              <w:jc w:val="right"/>
              <w:textAlignment w:val="bottom"/>
            </w:pPr>
            <w:r>
              <w:rPr>
                <w:rFonts w:ascii="Arial" w:eastAsia="宋体" w:hAnsi="Arial" w:cs="Arial"/>
                <w:b/>
                <w:bCs/>
                <w:color w:val="000000"/>
                <w:sz w:val="12"/>
                <w:szCs w:val="12"/>
              </w:rPr>
              <w:t>(3,687)</w:t>
            </w:r>
          </w:p>
        </w:tc>
        <w:tc>
          <w:tcPr>
            <w:tcW w:w="0" w:type="auto"/>
            <w:shd w:val="clear" w:color="auto" w:fill="CCEEFF"/>
            <w:tcMar>
              <w:top w:w="40" w:type="dxa"/>
              <w:left w:w="0" w:type="dxa"/>
              <w:bottom w:w="40" w:type="dxa"/>
              <w:right w:w="20" w:type="dxa"/>
            </w:tcMar>
            <w:vAlign w:val="bottom"/>
          </w:tcPr>
          <w:p w14:paraId="392C20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2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24" w14:textId="77777777" w:rsidR="00980E5F" w:rsidRDefault="00483613">
            <w:pPr>
              <w:jc w:val="right"/>
              <w:textAlignment w:val="bottom"/>
            </w:pPr>
            <w:r>
              <w:rPr>
                <w:rFonts w:ascii="Arial" w:eastAsia="宋体" w:hAnsi="Arial" w:cs="Arial"/>
                <w:b/>
                <w:bCs/>
                <w:color w:val="000000"/>
                <w:sz w:val="12"/>
                <w:szCs w:val="12"/>
              </w:rPr>
              <w:t>(3,687)</w:t>
            </w:r>
          </w:p>
        </w:tc>
        <w:tc>
          <w:tcPr>
            <w:tcW w:w="0" w:type="auto"/>
            <w:shd w:val="clear" w:color="auto" w:fill="CCEEFF"/>
            <w:tcMar>
              <w:top w:w="40" w:type="dxa"/>
              <w:left w:w="0" w:type="dxa"/>
              <w:bottom w:w="40" w:type="dxa"/>
              <w:right w:w="20" w:type="dxa"/>
            </w:tcMar>
            <w:vAlign w:val="bottom"/>
          </w:tcPr>
          <w:p w14:paraId="392C20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27" w14:textId="77777777" w:rsidR="00980E5F" w:rsidRDefault="00483613">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392C20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2A" w14:textId="77777777" w:rsidR="00980E5F" w:rsidRDefault="00483613">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392C20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2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2D" w14:textId="77777777" w:rsidR="00980E5F" w:rsidRDefault="00483613">
            <w:pPr>
              <w:jc w:val="right"/>
              <w:textAlignment w:val="bottom"/>
            </w:pPr>
            <w:r>
              <w:rPr>
                <w:rFonts w:ascii="Arial" w:eastAsia="宋体" w:hAnsi="Arial" w:cs="Arial"/>
                <w:b/>
                <w:bCs/>
                <w:color w:val="000000"/>
                <w:sz w:val="12"/>
                <w:szCs w:val="12"/>
              </w:rPr>
              <w:t>(3,410)</w:t>
            </w:r>
          </w:p>
        </w:tc>
        <w:tc>
          <w:tcPr>
            <w:tcW w:w="0" w:type="auto"/>
            <w:shd w:val="clear" w:color="auto" w:fill="CCEEFF"/>
            <w:tcMar>
              <w:top w:w="40" w:type="dxa"/>
              <w:left w:w="0" w:type="dxa"/>
              <w:bottom w:w="40" w:type="dxa"/>
              <w:right w:w="20" w:type="dxa"/>
            </w:tcMar>
            <w:vAlign w:val="bottom"/>
          </w:tcPr>
          <w:p w14:paraId="392C20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2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30" w14:textId="77777777" w:rsidR="00980E5F" w:rsidRDefault="00483613">
            <w:pPr>
              <w:jc w:val="right"/>
              <w:textAlignment w:val="bottom"/>
            </w:pPr>
            <w:r>
              <w:rPr>
                <w:rFonts w:ascii="Arial" w:eastAsia="宋体" w:hAnsi="Arial" w:cs="Arial"/>
                <w:b/>
                <w:bCs/>
                <w:color w:val="000000"/>
                <w:sz w:val="12"/>
                <w:szCs w:val="12"/>
              </w:rPr>
              <w:t>(3,410)</w:t>
            </w:r>
          </w:p>
        </w:tc>
        <w:tc>
          <w:tcPr>
            <w:tcW w:w="0" w:type="auto"/>
            <w:shd w:val="clear" w:color="auto" w:fill="CCEEFF"/>
            <w:tcMar>
              <w:top w:w="40" w:type="dxa"/>
              <w:left w:w="0" w:type="dxa"/>
              <w:bottom w:w="40" w:type="dxa"/>
              <w:right w:w="20" w:type="dxa"/>
            </w:tcMar>
            <w:vAlign w:val="bottom"/>
          </w:tcPr>
          <w:p w14:paraId="392C20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3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33" w14:textId="77777777" w:rsidR="00980E5F" w:rsidRDefault="00483613">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392C20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3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36" w14:textId="77777777" w:rsidR="00980E5F" w:rsidRDefault="00483613">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392C2037" w14:textId="77777777" w:rsidR="00980E5F" w:rsidRDefault="00980E5F">
            <w:pPr>
              <w:jc w:val="right"/>
              <w:rPr>
                <w:rFonts w:ascii="宋体"/>
              </w:rPr>
            </w:pPr>
          </w:p>
        </w:tc>
      </w:tr>
      <w:tr w:rsidR="00980E5F" w14:paraId="392C2051" w14:textId="77777777">
        <w:tc>
          <w:tcPr>
            <w:tcW w:w="0" w:type="auto"/>
            <w:gridSpan w:val="9"/>
            <w:shd w:val="clear" w:color="auto" w:fill="FFFFFF"/>
            <w:tcMar>
              <w:top w:w="40" w:type="dxa"/>
              <w:left w:w="245" w:type="dxa"/>
              <w:bottom w:w="40" w:type="dxa"/>
              <w:right w:w="20" w:type="dxa"/>
            </w:tcMar>
            <w:vAlign w:val="bottom"/>
          </w:tcPr>
          <w:p w14:paraId="392C2039" w14:textId="77777777" w:rsidR="00980E5F" w:rsidRDefault="00483613">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392C203A" w14:textId="77777777" w:rsidR="00980E5F" w:rsidRDefault="00483613">
            <w:pPr>
              <w:jc w:val="right"/>
              <w:textAlignment w:val="bottom"/>
            </w:pPr>
            <w:r>
              <w:rPr>
                <w:rFonts w:ascii="Arial" w:eastAsia="宋体" w:hAnsi="Arial" w:cs="Arial"/>
                <w:b/>
                <w:bCs/>
                <w:color w:val="000000"/>
                <w:sz w:val="12"/>
                <w:szCs w:val="12"/>
              </w:rPr>
              <w:t>(9,898)</w:t>
            </w:r>
          </w:p>
        </w:tc>
        <w:tc>
          <w:tcPr>
            <w:tcW w:w="0" w:type="auto"/>
            <w:shd w:val="clear" w:color="auto" w:fill="FFFFFF"/>
            <w:tcMar>
              <w:top w:w="40" w:type="dxa"/>
              <w:left w:w="0" w:type="dxa"/>
              <w:bottom w:w="40" w:type="dxa"/>
              <w:right w:w="20" w:type="dxa"/>
            </w:tcMar>
            <w:vAlign w:val="bottom"/>
          </w:tcPr>
          <w:p w14:paraId="392C20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3D" w14:textId="77777777" w:rsidR="00980E5F" w:rsidRDefault="00483613">
            <w:pPr>
              <w:jc w:val="right"/>
              <w:textAlignment w:val="bottom"/>
            </w:pPr>
            <w:r>
              <w:rPr>
                <w:rFonts w:ascii="Arial" w:eastAsia="宋体" w:hAnsi="Arial" w:cs="Arial"/>
                <w:b/>
                <w:bCs/>
                <w:color w:val="000000"/>
                <w:sz w:val="12"/>
                <w:szCs w:val="12"/>
              </w:rPr>
              <w:t>(9,898)</w:t>
            </w:r>
          </w:p>
        </w:tc>
        <w:tc>
          <w:tcPr>
            <w:tcW w:w="0" w:type="auto"/>
            <w:shd w:val="clear" w:color="auto" w:fill="FFFFFF"/>
            <w:tcMar>
              <w:top w:w="40" w:type="dxa"/>
              <w:left w:w="0" w:type="dxa"/>
              <w:bottom w:w="40" w:type="dxa"/>
              <w:right w:w="20" w:type="dxa"/>
            </w:tcMar>
            <w:vAlign w:val="bottom"/>
          </w:tcPr>
          <w:p w14:paraId="392C20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3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0" w14:textId="77777777" w:rsidR="00980E5F" w:rsidRDefault="00483613">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392C20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3" w14:textId="77777777" w:rsidR="00980E5F" w:rsidRDefault="00483613">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392C20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6"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9"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C"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4F"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50" w14:textId="77777777" w:rsidR="00980E5F" w:rsidRDefault="00980E5F">
            <w:pPr>
              <w:jc w:val="right"/>
              <w:rPr>
                <w:rFonts w:ascii="宋体"/>
              </w:rPr>
            </w:pPr>
          </w:p>
        </w:tc>
      </w:tr>
      <w:tr w:rsidR="00980E5F" w14:paraId="392C206A" w14:textId="77777777">
        <w:tc>
          <w:tcPr>
            <w:tcW w:w="0" w:type="auto"/>
            <w:gridSpan w:val="9"/>
            <w:shd w:val="clear" w:color="auto" w:fill="CCEEFF"/>
            <w:tcMar>
              <w:top w:w="40" w:type="dxa"/>
              <w:left w:w="155" w:type="dxa"/>
              <w:bottom w:w="40" w:type="dxa"/>
              <w:right w:w="20" w:type="dxa"/>
            </w:tcMar>
            <w:vAlign w:val="bottom"/>
          </w:tcPr>
          <w:p w14:paraId="392C2052" w14:textId="77777777" w:rsidR="00980E5F" w:rsidRDefault="00483613">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53" w14:textId="77777777" w:rsidR="00980E5F" w:rsidRDefault="00483613">
            <w:pPr>
              <w:jc w:val="right"/>
              <w:textAlignment w:val="bottom"/>
            </w:pPr>
            <w:r>
              <w:rPr>
                <w:rFonts w:ascii="Arial" w:eastAsia="宋体" w:hAnsi="Arial" w:cs="Arial"/>
                <w:b/>
                <w:bCs/>
                <w:color w:val="000000"/>
                <w:sz w:val="12"/>
                <w:szCs w:val="12"/>
              </w:rPr>
              <w:t>23,791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56" w14:textId="77777777" w:rsidR="00980E5F" w:rsidRDefault="00483613">
            <w:pPr>
              <w:jc w:val="right"/>
              <w:textAlignment w:val="bottom"/>
            </w:pPr>
            <w:r>
              <w:rPr>
                <w:rFonts w:ascii="Arial" w:eastAsia="宋体" w:hAnsi="Arial" w:cs="Arial"/>
                <w:b/>
                <w:bCs/>
                <w:color w:val="000000"/>
                <w:sz w:val="12"/>
                <w:szCs w:val="12"/>
              </w:rPr>
              <w:t>23,791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5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59" w14:textId="77777777" w:rsidR="00980E5F" w:rsidRDefault="00483613">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5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5C" w14:textId="77777777" w:rsidR="00980E5F" w:rsidRDefault="00483613">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5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5F" w14:textId="77777777" w:rsidR="00980E5F" w:rsidRDefault="00483613">
            <w:pPr>
              <w:jc w:val="right"/>
              <w:textAlignment w:val="bottom"/>
            </w:pPr>
            <w:r>
              <w:rPr>
                <w:rFonts w:ascii="Arial" w:eastAsia="宋体" w:hAnsi="Arial" w:cs="Arial"/>
                <w:b/>
                <w:bCs/>
                <w:color w:val="000000"/>
                <w:sz w:val="12"/>
                <w:szCs w:val="12"/>
              </w:rPr>
              <w:t>26,648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6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62" w14:textId="77777777" w:rsidR="00980E5F" w:rsidRDefault="00483613">
            <w:pPr>
              <w:jc w:val="right"/>
              <w:textAlignment w:val="bottom"/>
            </w:pPr>
            <w:r>
              <w:rPr>
                <w:rFonts w:ascii="Arial" w:eastAsia="宋体" w:hAnsi="Arial" w:cs="Arial"/>
                <w:b/>
                <w:bCs/>
                <w:color w:val="000000"/>
                <w:sz w:val="12"/>
                <w:szCs w:val="12"/>
              </w:rPr>
              <w:t>26,648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6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65" w14:textId="77777777" w:rsidR="00980E5F" w:rsidRDefault="00483613">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6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68" w14:textId="77777777" w:rsidR="00980E5F" w:rsidRDefault="00483613">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69" w14:textId="77777777" w:rsidR="00980E5F" w:rsidRDefault="00980E5F">
            <w:pPr>
              <w:jc w:val="right"/>
              <w:rPr>
                <w:rFonts w:ascii="宋体"/>
              </w:rPr>
            </w:pPr>
          </w:p>
        </w:tc>
      </w:tr>
      <w:tr w:rsidR="00980E5F" w14:paraId="392C207B" w14:textId="77777777">
        <w:tc>
          <w:tcPr>
            <w:tcW w:w="0" w:type="auto"/>
            <w:gridSpan w:val="9"/>
            <w:shd w:val="clear" w:color="auto" w:fill="FFFFFF"/>
            <w:tcMar>
              <w:top w:w="40" w:type="dxa"/>
              <w:left w:w="155" w:type="dxa"/>
              <w:bottom w:w="40" w:type="dxa"/>
              <w:right w:w="20" w:type="dxa"/>
            </w:tcMar>
            <w:vAlign w:val="bottom"/>
          </w:tcPr>
          <w:p w14:paraId="392C206B" w14:textId="77777777" w:rsidR="00980E5F" w:rsidRDefault="00483613">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392C206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6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6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6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07A" w14:textId="77777777" w:rsidR="00980E5F" w:rsidRDefault="00980E5F">
            <w:pPr>
              <w:rPr>
                <w:rFonts w:ascii="宋体"/>
              </w:rPr>
            </w:pPr>
          </w:p>
        </w:tc>
      </w:tr>
      <w:tr w:rsidR="00980E5F" w14:paraId="392C2094" w14:textId="77777777">
        <w:tc>
          <w:tcPr>
            <w:tcW w:w="0" w:type="auto"/>
            <w:gridSpan w:val="9"/>
            <w:shd w:val="clear" w:color="auto" w:fill="CCEEFF"/>
            <w:tcMar>
              <w:top w:w="40" w:type="dxa"/>
              <w:left w:w="245" w:type="dxa"/>
              <w:bottom w:w="40" w:type="dxa"/>
              <w:right w:w="20" w:type="dxa"/>
            </w:tcMar>
            <w:vAlign w:val="bottom"/>
          </w:tcPr>
          <w:p w14:paraId="392C207C" w14:textId="77777777" w:rsidR="00980E5F" w:rsidRDefault="00483613">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392C207D" w14:textId="77777777" w:rsidR="00980E5F" w:rsidRDefault="00483613">
            <w:pPr>
              <w:jc w:val="right"/>
              <w:textAlignment w:val="bottom"/>
            </w:pPr>
            <w:r>
              <w:rPr>
                <w:rFonts w:ascii="Arial" w:eastAsia="宋体" w:hAnsi="Arial" w:cs="Arial"/>
                <w:b/>
                <w:bCs/>
                <w:color w:val="000000"/>
                <w:sz w:val="12"/>
                <w:szCs w:val="12"/>
              </w:rPr>
              <w:t>(8,628)</w:t>
            </w:r>
          </w:p>
        </w:tc>
        <w:tc>
          <w:tcPr>
            <w:tcW w:w="0" w:type="auto"/>
            <w:shd w:val="clear" w:color="auto" w:fill="CCEEFF"/>
            <w:tcMar>
              <w:top w:w="40" w:type="dxa"/>
              <w:left w:w="0" w:type="dxa"/>
              <w:bottom w:w="40" w:type="dxa"/>
              <w:right w:w="20" w:type="dxa"/>
            </w:tcMar>
            <w:vAlign w:val="bottom"/>
          </w:tcPr>
          <w:p w14:paraId="392C20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7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0" w14:textId="77777777" w:rsidR="00980E5F" w:rsidRDefault="00483613">
            <w:pPr>
              <w:jc w:val="right"/>
              <w:textAlignment w:val="bottom"/>
            </w:pPr>
            <w:r>
              <w:rPr>
                <w:rFonts w:ascii="Arial" w:eastAsia="宋体" w:hAnsi="Arial" w:cs="Arial"/>
                <w:b/>
                <w:bCs/>
                <w:color w:val="000000"/>
                <w:sz w:val="12"/>
                <w:szCs w:val="12"/>
              </w:rPr>
              <w:t>(8,628)</w:t>
            </w:r>
          </w:p>
        </w:tc>
        <w:tc>
          <w:tcPr>
            <w:tcW w:w="0" w:type="auto"/>
            <w:shd w:val="clear" w:color="auto" w:fill="CCEEFF"/>
            <w:tcMar>
              <w:top w:w="40" w:type="dxa"/>
              <w:left w:w="0" w:type="dxa"/>
              <w:bottom w:w="40" w:type="dxa"/>
              <w:right w:w="20" w:type="dxa"/>
            </w:tcMar>
            <w:vAlign w:val="bottom"/>
          </w:tcPr>
          <w:p w14:paraId="392C20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8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3" w14:textId="77777777" w:rsidR="00980E5F" w:rsidRDefault="00483613">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392C20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8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6" w14:textId="77777777" w:rsidR="00980E5F" w:rsidRDefault="00483613">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392C20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8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9" w14:textId="77777777" w:rsidR="00980E5F" w:rsidRDefault="00483613">
            <w:pPr>
              <w:jc w:val="right"/>
              <w:textAlignment w:val="bottom"/>
            </w:pPr>
            <w:r>
              <w:rPr>
                <w:rFonts w:ascii="Arial" w:eastAsia="宋体" w:hAnsi="Arial" w:cs="Arial"/>
                <w:b/>
                <w:bCs/>
                <w:color w:val="000000"/>
                <w:sz w:val="12"/>
                <w:szCs w:val="12"/>
              </w:rPr>
              <w:t>(8,370)</w:t>
            </w:r>
          </w:p>
        </w:tc>
        <w:tc>
          <w:tcPr>
            <w:tcW w:w="0" w:type="auto"/>
            <w:shd w:val="clear" w:color="auto" w:fill="CCEEFF"/>
            <w:tcMar>
              <w:top w:w="40" w:type="dxa"/>
              <w:left w:w="0" w:type="dxa"/>
              <w:bottom w:w="40" w:type="dxa"/>
              <w:right w:w="20" w:type="dxa"/>
            </w:tcMar>
            <w:vAlign w:val="bottom"/>
          </w:tcPr>
          <w:p w14:paraId="392C20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8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C" w14:textId="77777777" w:rsidR="00980E5F" w:rsidRDefault="00483613">
            <w:pPr>
              <w:jc w:val="right"/>
              <w:textAlignment w:val="bottom"/>
            </w:pPr>
            <w:r>
              <w:rPr>
                <w:rFonts w:ascii="Arial" w:eastAsia="宋体" w:hAnsi="Arial" w:cs="Arial"/>
                <w:b/>
                <w:bCs/>
                <w:color w:val="000000"/>
                <w:sz w:val="12"/>
                <w:szCs w:val="12"/>
              </w:rPr>
              <w:t>(8,370)</w:t>
            </w:r>
          </w:p>
        </w:tc>
        <w:tc>
          <w:tcPr>
            <w:tcW w:w="0" w:type="auto"/>
            <w:shd w:val="clear" w:color="auto" w:fill="CCEEFF"/>
            <w:tcMar>
              <w:top w:w="40" w:type="dxa"/>
              <w:left w:w="0" w:type="dxa"/>
              <w:bottom w:w="40" w:type="dxa"/>
              <w:right w:w="20" w:type="dxa"/>
            </w:tcMar>
            <w:vAlign w:val="bottom"/>
          </w:tcPr>
          <w:p w14:paraId="392C20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8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8F" w14:textId="77777777" w:rsidR="00980E5F" w:rsidRDefault="00483613">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392C20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9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092" w14:textId="77777777" w:rsidR="00980E5F" w:rsidRDefault="00483613">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392C2093" w14:textId="77777777" w:rsidR="00980E5F" w:rsidRDefault="00980E5F">
            <w:pPr>
              <w:jc w:val="right"/>
              <w:rPr>
                <w:rFonts w:ascii="宋体"/>
              </w:rPr>
            </w:pPr>
          </w:p>
        </w:tc>
      </w:tr>
      <w:tr w:rsidR="00980E5F" w14:paraId="392C20AD" w14:textId="77777777">
        <w:tc>
          <w:tcPr>
            <w:tcW w:w="0" w:type="auto"/>
            <w:gridSpan w:val="9"/>
            <w:shd w:val="clear" w:color="auto" w:fill="FFFFFF"/>
            <w:tcMar>
              <w:top w:w="40" w:type="dxa"/>
              <w:left w:w="20" w:type="dxa"/>
              <w:bottom w:w="40" w:type="dxa"/>
              <w:right w:w="20" w:type="dxa"/>
            </w:tcMar>
            <w:vAlign w:val="bottom"/>
          </w:tcPr>
          <w:p w14:paraId="392C2095" w14:textId="77777777" w:rsidR="00980E5F" w:rsidRDefault="00483613">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392C2096" w14:textId="77777777" w:rsidR="00980E5F" w:rsidRDefault="00483613">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392C20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99" w14:textId="77777777" w:rsidR="00980E5F" w:rsidRDefault="00483613">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392C20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9C" w14:textId="77777777" w:rsidR="00980E5F" w:rsidRDefault="00483613">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392C20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9F" w14:textId="77777777" w:rsidR="00980E5F" w:rsidRDefault="00483613">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392C20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A2" w14:textId="77777777" w:rsidR="00980E5F" w:rsidRDefault="00483613">
            <w:pPr>
              <w:jc w:val="right"/>
              <w:textAlignment w:val="bottom"/>
            </w:pPr>
            <w:r>
              <w:rPr>
                <w:rFonts w:ascii="Arial" w:eastAsia="宋体" w:hAnsi="Arial" w:cs="Arial"/>
                <w:b/>
                <w:bCs/>
                <w:color w:val="000000"/>
                <w:sz w:val="12"/>
                <w:szCs w:val="12"/>
              </w:rPr>
              <w:t>(104)</w:t>
            </w:r>
          </w:p>
        </w:tc>
        <w:tc>
          <w:tcPr>
            <w:tcW w:w="0" w:type="auto"/>
            <w:shd w:val="clear" w:color="auto" w:fill="FFFFFF"/>
            <w:tcMar>
              <w:top w:w="40" w:type="dxa"/>
              <w:left w:w="0" w:type="dxa"/>
              <w:bottom w:w="40" w:type="dxa"/>
              <w:right w:w="20" w:type="dxa"/>
            </w:tcMar>
            <w:vAlign w:val="bottom"/>
          </w:tcPr>
          <w:p w14:paraId="392C20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A5" w14:textId="77777777" w:rsidR="00980E5F" w:rsidRDefault="00483613">
            <w:pPr>
              <w:jc w:val="right"/>
              <w:textAlignment w:val="bottom"/>
            </w:pPr>
            <w:r>
              <w:rPr>
                <w:rFonts w:ascii="Arial" w:eastAsia="宋体" w:hAnsi="Arial" w:cs="Arial"/>
                <w:b/>
                <w:bCs/>
                <w:color w:val="000000"/>
                <w:sz w:val="12"/>
                <w:szCs w:val="12"/>
              </w:rPr>
              <w:t>(104)</w:t>
            </w:r>
          </w:p>
        </w:tc>
        <w:tc>
          <w:tcPr>
            <w:tcW w:w="0" w:type="auto"/>
            <w:shd w:val="clear" w:color="auto" w:fill="FFFFFF"/>
            <w:tcMar>
              <w:top w:w="40" w:type="dxa"/>
              <w:left w:w="0" w:type="dxa"/>
              <w:bottom w:w="40" w:type="dxa"/>
              <w:right w:w="20" w:type="dxa"/>
            </w:tcMar>
            <w:vAlign w:val="bottom"/>
          </w:tcPr>
          <w:p w14:paraId="392C20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A8" w14:textId="77777777" w:rsidR="00980E5F" w:rsidRDefault="00483613">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392C20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AB" w14:textId="77777777" w:rsidR="00980E5F" w:rsidRDefault="00483613">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392C20AC" w14:textId="77777777" w:rsidR="00980E5F" w:rsidRDefault="00980E5F">
            <w:pPr>
              <w:jc w:val="right"/>
              <w:rPr>
                <w:rFonts w:ascii="宋体"/>
              </w:rPr>
            </w:pPr>
          </w:p>
        </w:tc>
      </w:tr>
      <w:tr w:rsidR="00980E5F" w14:paraId="392C20C6" w14:textId="77777777">
        <w:tc>
          <w:tcPr>
            <w:tcW w:w="0" w:type="auto"/>
            <w:gridSpan w:val="9"/>
            <w:shd w:val="clear" w:color="auto" w:fill="CCEEFF"/>
            <w:tcMar>
              <w:top w:w="40" w:type="dxa"/>
              <w:left w:w="20" w:type="dxa"/>
              <w:bottom w:w="40" w:type="dxa"/>
              <w:right w:w="20" w:type="dxa"/>
            </w:tcMar>
            <w:vAlign w:val="bottom"/>
          </w:tcPr>
          <w:p w14:paraId="392C20AE" w14:textId="77777777" w:rsidR="00980E5F" w:rsidRDefault="00483613">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AF" w14:textId="77777777" w:rsidR="00980E5F" w:rsidRDefault="00483613">
            <w:pPr>
              <w:jc w:val="right"/>
              <w:textAlignment w:val="bottom"/>
            </w:pPr>
            <w:r>
              <w:rPr>
                <w:rFonts w:ascii="Arial" w:eastAsia="宋体" w:hAnsi="Arial" w:cs="Arial"/>
                <w:b/>
                <w:bCs/>
                <w:color w:val="000000"/>
                <w:sz w:val="12"/>
                <w:szCs w:val="12"/>
              </w:rPr>
              <w:t>14,882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B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B2" w14:textId="77777777" w:rsidR="00980E5F" w:rsidRDefault="00483613">
            <w:pPr>
              <w:jc w:val="right"/>
              <w:textAlignment w:val="bottom"/>
            </w:pPr>
            <w:r>
              <w:rPr>
                <w:rFonts w:ascii="Arial" w:eastAsia="宋体" w:hAnsi="Arial" w:cs="Arial"/>
                <w:b/>
                <w:bCs/>
                <w:color w:val="000000"/>
                <w:sz w:val="12"/>
                <w:szCs w:val="12"/>
              </w:rPr>
              <w:t>14,882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B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B5" w14:textId="77777777" w:rsidR="00980E5F" w:rsidRDefault="00483613">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B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B8" w14:textId="77777777" w:rsidR="00980E5F" w:rsidRDefault="00483613">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B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BB"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B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BE"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C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C1"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0C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0C4"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0C5" w14:textId="77777777" w:rsidR="00980E5F" w:rsidRDefault="00980E5F">
            <w:pPr>
              <w:jc w:val="right"/>
              <w:rPr>
                <w:rFonts w:ascii="宋体"/>
              </w:rPr>
            </w:pPr>
          </w:p>
        </w:tc>
      </w:tr>
      <w:tr w:rsidR="00980E5F" w14:paraId="392C20DF" w14:textId="77777777">
        <w:tc>
          <w:tcPr>
            <w:tcW w:w="0" w:type="auto"/>
            <w:gridSpan w:val="9"/>
            <w:shd w:val="clear" w:color="auto" w:fill="FFFFFF"/>
            <w:tcMar>
              <w:top w:w="40" w:type="dxa"/>
              <w:left w:w="245" w:type="dxa"/>
              <w:bottom w:w="40" w:type="dxa"/>
              <w:right w:w="20" w:type="dxa"/>
            </w:tcMar>
            <w:vAlign w:val="bottom"/>
          </w:tcPr>
          <w:p w14:paraId="392C20C7" w14:textId="77777777" w:rsidR="00980E5F" w:rsidRDefault="00483613">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392C20C8" w14:textId="77777777" w:rsidR="00980E5F" w:rsidRDefault="00483613">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CB" w14:textId="77777777" w:rsidR="00980E5F" w:rsidRDefault="00483613">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CE" w14:textId="77777777" w:rsidR="00980E5F" w:rsidRDefault="00483613">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392C20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D1" w14:textId="77777777" w:rsidR="00980E5F" w:rsidRDefault="00483613">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392C20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D4"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D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D7"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D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DA"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0D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0DD"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0DE" w14:textId="77777777" w:rsidR="00980E5F" w:rsidRDefault="00980E5F">
            <w:pPr>
              <w:jc w:val="right"/>
              <w:rPr>
                <w:rFonts w:ascii="宋体"/>
              </w:rPr>
            </w:pPr>
          </w:p>
        </w:tc>
      </w:tr>
      <w:tr w:rsidR="00980E5F" w14:paraId="392C20F6" w14:textId="77777777">
        <w:trPr>
          <w:hidden/>
        </w:trPr>
        <w:tc>
          <w:tcPr>
            <w:tcW w:w="0" w:type="auto"/>
            <w:gridSpan w:val="3"/>
            <w:shd w:val="clear" w:color="auto" w:fill="auto"/>
            <w:vAlign w:val="bottom"/>
          </w:tcPr>
          <w:p w14:paraId="392C20E0" w14:textId="77777777" w:rsidR="00980E5F" w:rsidRDefault="00980E5F">
            <w:pPr>
              <w:rPr>
                <w:rFonts w:ascii="宋体"/>
                <w:vanish/>
              </w:rPr>
            </w:pPr>
          </w:p>
        </w:tc>
        <w:tc>
          <w:tcPr>
            <w:tcW w:w="0" w:type="auto"/>
            <w:gridSpan w:val="3"/>
            <w:shd w:val="clear" w:color="auto" w:fill="auto"/>
            <w:vAlign w:val="bottom"/>
          </w:tcPr>
          <w:p w14:paraId="392C20E1" w14:textId="77777777" w:rsidR="00980E5F" w:rsidRDefault="00980E5F">
            <w:pPr>
              <w:rPr>
                <w:rFonts w:ascii="宋体"/>
                <w:vanish/>
              </w:rPr>
            </w:pPr>
          </w:p>
        </w:tc>
        <w:tc>
          <w:tcPr>
            <w:tcW w:w="0" w:type="auto"/>
            <w:gridSpan w:val="3"/>
            <w:shd w:val="clear" w:color="auto" w:fill="auto"/>
            <w:vAlign w:val="bottom"/>
          </w:tcPr>
          <w:p w14:paraId="392C20E2" w14:textId="77777777" w:rsidR="00980E5F" w:rsidRDefault="00980E5F">
            <w:pPr>
              <w:rPr>
                <w:rFonts w:ascii="宋体"/>
                <w:vanish/>
              </w:rPr>
            </w:pPr>
          </w:p>
        </w:tc>
        <w:tc>
          <w:tcPr>
            <w:tcW w:w="0" w:type="auto"/>
            <w:gridSpan w:val="3"/>
            <w:shd w:val="clear" w:color="auto" w:fill="auto"/>
            <w:vAlign w:val="bottom"/>
          </w:tcPr>
          <w:p w14:paraId="392C20E3" w14:textId="77777777" w:rsidR="00980E5F" w:rsidRDefault="00980E5F">
            <w:pPr>
              <w:rPr>
                <w:rFonts w:ascii="宋体"/>
                <w:vanish/>
              </w:rPr>
            </w:pPr>
          </w:p>
        </w:tc>
        <w:tc>
          <w:tcPr>
            <w:tcW w:w="0" w:type="auto"/>
            <w:gridSpan w:val="3"/>
            <w:shd w:val="clear" w:color="auto" w:fill="auto"/>
            <w:vAlign w:val="bottom"/>
          </w:tcPr>
          <w:p w14:paraId="392C20E4" w14:textId="77777777" w:rsidR="00980E5F" w:rsidRDefault="00980E5F">
            <w:pPr>
              <w:rPr>
                <w:rFonts w:ascii="宋体"/>
                <w:vanish/>
              </w:rPr>
            </w:pPr>
          </w:p>
        </w:tc>
        <w:tc>
          <w:tcPr>
            <w:tcW w:w="0" w:type="auto"/>
            <w:gridSpan w:val="3"/>
            <w:shd w:val="clear" w:color="auto" w:fill="auto"/>
            <w:vAlign w:val="bottom"/>
          </w:tcPr>
          <w:p w14:paraId="392C20E5" w14:textId="77777777" w:rsidR="00980E5F" w:rsidRDefault="00980E5F">
            <w:pPr>
              <w:rPr>
                <w:rFonts w:ascii="宋体"/>
                <w:vanish/>
              </w:rPr>
            </w:pPr>
          </w:p>
        </w:tc>
        <w:tc>
          <w:tcPr>
            <w:tcW w:w="0" w:type="auto"/>
            <w:gridSpan w:val="3"/>
            <w:shd w:val="clear" w:color="auto" w:fill="auto"/>
            <w:vAlign w:val="bottom"/>
          </w:tcPr>
          <w:p w14:paraId="392C20E6" w14:textId="77777777" w:rsidR="00980E5F" w:rsidRDefault="00980E5F">
            <w:pPr>
              <w:rPr>
                <w:rFonts w:ascii="宋体"/>
                <w:vanish/>
              </w:rPr>
            </w:pPr>
          </w:p>
        </w:tc>
        <w:tc>
          <w:tcPr>
            <w:tcW w:w="0" w:type="auto"/>
            <w:gridSpan w:val="3"/>
            <w:shd w:val="clear" w:color="auto" w:fill="auto"/>
            <w:vAlign w:val="bottom"/>
          </w:tcPr>
          <w:p w14:paraId="392C20E7" w14:textId="77777777" w:rsidR="00980E5F" w:rsidRDefault="00980E5F">
            <w:pPr>
              <w:rPr>
                <w:rFonts w:ascii="宋体"/>
                <w:vanish/>
              </w:rPr>
            </w:pPr>
          </w:p>
        </w:tc>
        <w:tc>
          <w:tcPr>
            <w:tcW w:w="0" w:type="auto"/>
            <w:gridSpan w:val="3"/>
            <w:shd w:val="clear" w:color="auto" w:fill="auto"/>
            <w:vAlign w:val="bottom"/>
          </w:tcPr>
          <w:p w14:paraId="392C20E8" w14:textId="77777777" w:rsidR="00980E5F" w:rsidRDefault="00980E5F">
            <w:pPr>
              <w:rPr>
                <w:rFonts w:ascii="宋体"/>
                <w:vanish/>
              </w:rPr>
            </w:pPr>
          </w:p>
        </w:tc>
        <w:tc>
          <w:tcPr>
            <w:tcW w:w="0" w:type="auto"/>
            <w:gridSpan w:val="3"/>
            <w:shd w:val="clear" w:color="auto" w:fill="auto"/>
            <w:vAlign w:val="bottom"/>
          </w:tcPr>
          <w:p w14:paraId="392C20E9" w14:textId="77777777" w:rsidR="00980E5F" w:rsidRDefault="00980E5F">
            <w:pPr>
              <w:rPr>
                <w:rFonts w:ascii="宋体"/>
                <w:vanish/>
              </w:rPr>
            </w:pPr>
          </w:p>
        </w:tc>
        <w:tc>
          <w:tcPr>
            <w:tcW w:w="0" w:type="auto"/>
            <w:gridSpan w:val="3"/>
            <w:shd w:val="clear" w:color="auto" w:fill="auto"/>
            <w:vAlign w:val="bottom"/>
          </w:tcPr>
          <w:p w14:paraId="392C20EA" w14:textId="77777777" w:rsidR="00980E5F" w:rsidRDefault="00980E5F">
            <w:pPr>
              <w:rPr>
                <w:rFonts w:ascii="宋体"/>
                <w:vanish/>
              </w:rPr>
            </w:pPr>
          </w:p>
        </w:tc>
        <w:tc>
          <w:tcPr>
            <w:tcW w:w="0" w:type="auto"/>
            <w:gridSpan w:val="3"/>
            <w:shd w:val="clear" w:color="auto" w:fill="auto"/>
            <w:vAlign w:val="bottom"/>
          </w:tcPr>
          <w:p w14:paraId="392C20EB" w14:textId="77777777" w:rsidR="00980E5F" w:rsidRDefault="00980E5F">
            <w:pPr>
              <w:rPr>
                <w:rFonts w:ascii="宋体"/>
                <w:vanish/>
              </w:rPr>
            </w:pPr>
          </w:p>
        </w:tc>
        <w:tc>
          <w:tcPr>
            <w:tcW w:w="0" w:type="auto"/>
            <w:gridSpan w:val="3"/>
            <w:shd w:val="clear" w:color="auto" w:fill="auto"/>
            <w:vAlign w:val="bottom"/>
          </w:tcPr>
          <w:p w14:paraId="392C20EC" w14:textId="77777777" w:rsidR="00980E5F" w:rsidRDefault="00980E5F">
            <w:pPr>
              <w:rPr>
                <w:rFonts w:ascii="宋体"/>
                <w:vanish/>
              </w:rPr>
            </w:pPr>
          </w:p>
        </w:tc>
        <w:tc>
          <w:tcPr>
            <w:tcW w:w="0" w:type="auto"/>
            <w:gridSpan w:val="3"/>
            <w:shd w:val="clear" w:color="auto" w:fill="auto"/>
            <w:vAlign w:val="bottom"/>
          </w:tcPr>
          <w:p w14:paraId="392C20ED" w14:textId="77777777" w:rsidR="00980E5F" w:rsidRDefault="00980E5F">
            <w:pPr>
              <w:rPr>
                <w:rFonts w:ascii="宋体"/>
                <w:vanish/>
              </w:rPr>
            </w:pPr>
          </w:p>
        </w:tc>
        <w:tc>
          <w:tcPr>
            <w:tcW w:w="0" w:type="auto"/>
            <w:gridSpan w:val="3"/>
            <w:shd w:val="clear" w:color="auto" w:fill="auto"/>
            <w:vAlign w:val="bottom"/>
          </w:tcPr>
          <w:p w14:paraId="392C20EE" w14:textId="77777777" w:rsidR="00980E5F" w:rsidRDefault="00980E5F">
            <w:pPr>
              <w:rPr>
                <w:rFonts w:ascii="宋体"/>
                <w:vanish/>
              </w:rPr>
            </w:pPr>
          </w:p>
        </w:tc>
        <w:tc>
          <w:tcPr>
            <w:tcW w:w="0" w:type="auto"/>
            <w:gridSpan w:val="3"/>
            <w:shd w:val="clear" w:color="auto" w:fill="auto"/>
            <w:vAlign w:val="bottom"/>
          </w:tcPr>
          <w:p w14:paraId="392C20EF" w14:textId="77777777" w:rsidR="00980E5F" w:rsidRDefault="00980E5F">
            <w:pPr>
              <w:rPr>
                <w:rFonts w:ascii="宋体"/>
                <w:vanish/>
              </w:rPr>
            </w:pPr>
          </w:p>
        </w:tc>
        <w:tc>
          <w:tcPr>
            <w:tcW w:w="0" w:type="auto"/>
            <w:shd w:val="clear" w:color="auto" w:fill="auto"/>
            <w:vAlign w:val="bottom"/>
          </w:tcPr>
          <w:p w14:paraId="392C20F0" w14:textId="77777777" w:rsidR="00980E5F" w:rsidRDefault="00980E5F">
            <w:pPr>
              <w:rPr>
                <w:rFonts w:ascii="宋体"/>
              </w:rPr>
            </w:pPr>
          </w:p>
        </w:tc>
        <w:tc>
          <w:tcPr>
            <w:tcW w:w="0" w:type="auto"/>
            <w:shd w:val="clear" w:color="auto" w:fill="auto"/>
            <w:vAlign w:val="bottom"/>
          </w:tcPr>
          <w:p w14:paraId="392C20F1" w14:textId="77777777" w:rsidR="00980E5F" w:rsidRDefault="00980E5F">
            <w:pPr>
              <w:rPr>
                <w:rFonts w:ascii="宋体"/>
              </w:rPr>
            </w:pPr>
          </w:p>
        </w:tc>
        <w:tc>
          <w:tcPr>
            <w:tcW w:w="0" w:type="auto"/>
            <w:shd w:val="clear" w:color="auto" w:fill="auto"/>
            <w:vAlign w:val="bottom"/>
          </w:tcPr>
          <w:p w14:paraId="392C20F2" w14:textId="77777777" w:rsidR="00980E5F" w:rsidRDefault="00980E5F">
            <w:pPr>
              <w:rPr>
                <w:rFonts w:ascii="宋体"/>
              </w:rPr>
            </w:pPr>
          </w:p>
        </w:tc>
        <w:tc>
          <w:tcPr>
            <w:tcW w:w="0" w:type="auto"/>
            <w:shd w:val="clear" w:color="auto" w:fill="auto"/>
            <w:vAlign w:val="bottom"/>
          </w:tcPr>
          <w:p w14:paraId="392C20F3" w14:textId="77777777" w:rsidR="00980E5F" w:rsidRDefault="00980E5F">
            <w:pPr>
              <w:rPr>
                <w:rFonts w:ascii="宋体"/>
              </w:rPr>
            </w:pPr>
          </w:p>
        </w:tc>
        <w:tc>
          <w:tcPr>
            <w:tcW w:w="0" w:type="auto"/>
            <w:shd w:val="clear" w:color="auto" w:fill="auto"/>
            <w:vAlign w:val="bottom"/>
          </w:tcPr>
          <w:p w14:paraId="392C20F4" w14:textId="77777777" w:rsidR="00980E5F" w:rsidRDefault="00980E5F">
            <w:pPr>
              <w:rPr>
                <w:rFonts w:ascii="宋体"/>
              </w:rPr>
            </w:pPr>
          </w:p>
        </w:tc>
        <w:tc>
          <w:tcPr>
            <w:tcW w:w="0" w:type="auto"/>
            <w:shd w:val="clear" w:color="auto" w:fill="auto"/>
            <w:vAlign w:val="bottom"/>
          </w:tcPr>
          <w:p w14:paraId="392C20F5" w14:textId="77777777" w:rsidR="00980E5F" w:rsidRDefault="00980E5F">
            <w:pPr>
              <w:rPr>
                <w:rFonts w:ascii="宋体"/>
              </w:rPr>
            </w:pPr>
          </w:p>
        </w:tc>
      </w:tr>
      <w:tr w:rsidR="00980E5F" w14:paraId="392C210D" w14:textId="77777777">
        <w:trPr>
          <w:hidden/>
        </w:trPr>
        <w:tc>
          <w:tcPr>
            <w:tcW w:w="0" w:type="auto"/>
            <w:gridSpan w:val="3"/>
            <w:shd w:val="clear" w:color="auto" w:fill="auto"/>
            <w:vAlign w:val="bottom"/>
          </w:tcPr>
          <w:p w14:paraId="392C20F7" w14:textId="77777777" w:rsidR="00980E5F" w:rsidRDefault="00980E5F">
            <w:pPr>
              <w:rPr>
                <w:rFonts w:ascii="宋体"/>
                <w:vanish/>
              </w:rPr>
            </w:pPr>
          </w:p>
        </w:tc>
        <w:tc>
          <w:tcPr>
            <w:tcW w:w="0" w:type="auto"/>
            <w:gridSpan w:val="3"/>
            <w:shd w:val="clear" w:color="auto" w:fill="auto"/>
            <w:vAlign w:val="bottom"/>
          </w:tcPr>
          <w:p w14:paraId="392C20F8" w14:textId="77777777" w:rsidR="00980E5F" w:rsidRDefault="00980E5F">
            <w:pPr>
              <w:rPr>
                <w:rFonts w:ascii="宋体"/>
                <w:vanish/>
              </w:rPr>
            </w:pPr>
          </w:p>
        </w:tc>
        <w:tc>
          <w:tcPr>
            <w:tcW w:w="0" w:type="auto"/>
            <w:gridSpan w:val="3"/>
            <w:shd w:val="clear" w:color="auto" w:fill="auto"/>
            <w:vAlign w:val="bottom"/>
          </w:tcPr>
          <w:p w14:paraId="392C20F9" w14:textId="77777777" w:rsidR="00980E5F" w:rsidRDefault="00980E5F">
            <w:pPr>
              <w:rPr>
                <w:rFonts w:ascii="宋体"/>
                <w:vanish/>
              </w:rPr>
            </w:pPr>
          </w:p>
        </w:tc>
        <w:tc>
          <w:tcPr>
            <w:tcW w:w="0" w:type="auto"/>
            <w:gridSpan w:val="3"/>
            <w:shd w:val="clear" w:color="auto" w:fill="auto"/>
            <w:vAlign w:val="bottom"/>
          </w:tcPr>
          <w:p w14:paraId="392C20FA" w14:textId="77777777" w:rsidR="00980E5F" w:rsidRDefault="00980E5F">
            <w:pPr>
              <w:rPr>
                <w:rFonts w:ascii="宋体"/>
                <w:vanish/>
              </w:rPr>
            </w:pPr>
          </w:p>
        </w:tc>
        <w:tc>
          <w:tcPr>
            <w:tcW w:w="0" w:type="auto"/>
            <w:gridSpan w:val="3"/>
            <w:shd w:val="clear" w:color="auto" w:fill="auto"/>
            <w:vAlign w:val="bottom"/>
          </w:tcPr>
          <w:p w14:paraId="392C20FB" w14:textId="77777777" w:rsidR="00980E5F" w:rsidRDefault="00980E5F">
            <w:pPr>
              <w:rPr>
                <w:rFonts w:ascii="宋体"/>
                <w:vanish/>
              </w:rPr>
            </w:pPr>
          </w:p>
        </w:tc>
        <w:tc>
          <w:tcPr>
            <w:tcW w:w="0" w:type="auto"/>
            <w:gridSpan w:val="3"/>
            <w:shd w:val="clear" w:color="auto" w:fill="auto"/>
            <w:vAlign w:val="bottom"/>
          </w:tcPr>
          <w:p w14:paraId="392C20FC" w14:textId="77777777" w:rsidR="00980E5F" w:rsidRDefault="00980E5F">
            <w:pPr>
              <w:rPr>
                <w:rFonts w:ascii="宋体"/>
                <w:vanish/>
              </w:rPr>
            </w:pPr>
          </w:p>
        </w:tc>
        <w:tc>
          <w:tcPr>
            <w:tcW w:w="0" w:type="auto"/>
            <w:gridSpan w:val="3"/>
            <w:shd w:val="clear" w:color="auto" w:fill="auto"/>
            <w:vAlign w:val="bottom"/>
          </w:tcPr>
          <w:p w14:paraId="392C20FD" w14:textId="77777777" w:rsidR="00980E5F" w:rsidRDefault="00980E5F">
            <w:pPr>
              <w:rPr>
                <w:rFonts w:ascii="宋体"/>
                <w:vanish/>
              </w:rPr>
            </w:pPr>
          </w:p>
        </w:tc>
        <w:tc>
          <w:tcPr>
            <w:tcW w:w="0" w:type="auto"/>
            <w:gridSpan w:val="3"/>
            <w:shd w:val="clear" w:color="auto" w:fill="auto"/>
            <w:vAlign w:val="bottom"/>
          </w:tcPr>
          <w:p w14:paraId="392C20FE" w14:textId="77777777" w:rsidR="00980E5F" w:rsidRDefault="00980E5F">
            <w:pPr>
              <w:rPr>
                <w:rFonts w:ascii="宋体"/>
                <w:vanish/>
              </w:rPr>
            </w:pPr>
          </w:p>
        </w:tc>
        <w:tc>
          <w:tcPr>
            <w:tcW w:w="0" w:type="auto"/>
            <w:gridSpan w:val="3"/>
            <w:shd w:val="clear" w:color="auto" w:fill="auto"/>
            <w:vAlign w:val="bottom"/>
          </w:tcPr>
          <w:p w14:paraId="392C20FF" w14:textId="77777777" w:rsidR="00980E5F" w:rsidRDefault="00980E5F">
            <w:pPr>
              <w:rPr>
                <w:rFonts w:ascii="宋体"/>
                <w:vanish/>
              </w:rPr>
            </w:pPr>
          </w:p>
        </w:tc>
        <w:tc>
          <w:tcPr>
            <w:tcW w:w="0" w:type="auto"/>
            <w:gridSpan w:val="3"/>
            <w:shd w:val="clear" w:color="auto" w:fill="auto"/>
            <w:vAlign w:val="bottom"/>
          </w:tcPr>
          <w:p w14:paraId="392C2100" w14:textId="77777777" w:rsidR="00980E5F" w:rsidRDefault="00980E5F">
            <w:pPr>
              <w:rPr>
                <w:rFonts w:ascii="宋体"/>
                <w:vanish/>
              </w:rPr>
            </w:pPr>
          </w:p>
        </w:tc>
        <w:tc>
          <w:tcPr>
            <w:tcW w:w="0" w:type="auto"/>
            <w:gridSpan w:val="3"/>
            <w:shd w:val="clear" w:color="auto" w:fill="auto"/>
            <w:vAlign w:val="bottom"/>
          </w:tcPr>
          <w:p w14:paraId="392C2101" w14:textId="77777777" w:rsidR="00980E5F" w:rsidRDefault="00980E5F">
            <w:pPr>
              <w:rPr>
                <w:rFonts w:ascii="宋体"/>
                <w:vanish/>
              </w:rPr>
            </w:pPr>
          </w:p>
        </w:tc>
        <w:tc>
          <w:tcPr>
            <w:tcW w:w="0" w:type="auto"/>
            <w:gridSpan w:val="3"/>
            <w:shd w:val="clear" w:color="auto" w:fill="auto"/>
            <w:vAlign w:val="bottom"/>
          </w:tcPr>
          <w:p w14:paraId="392C2102" w14:textId="77777777" w:rsidR="00980E5F" w:rsidRDefault="00980E5F">
            <w:pPr>
              <w:rPr>
                <w:rFonts w:ascii="宋体"/>
                <w:vanish/>
              </w:rPr>
            </w:pPr>
          </w:p>
        </w:tc>
        <w:tc>
          <w:tcPr>
            <w:tcW w:w="0" w:type="auto"/>
            <w:gridSpan w:val="3"/>
            <w:shd w:val="clear" w:color="auto" w:fill="auto"/>
            <w:vAlign w:val="bottom"/>
          </w:tcPr>
          <w:p w14:paraId="392C2103" w14:textId="77777777" w:rsidR="00980E5F" w:rsidRDefault="00980E5F">
            <w:pPr>
              <w:rPr>
                <w:rFonts w:ascii="宋体"/>
                <w:vanish/>
              </w:rPr>
            </w:pPr>
          </w:p>
        </w:tc>
        <w:tc>
          <w:tcPr>
            <w:tcW w:w="0" w:type="auto"/>
            <w:gridSpan w:val="3"/>
            <w:shd w:val="clear" w:color="auto" w:fill="auto"/>
            <w:vAlign w:val="bottom"/>
          </w:tcPr>
          <w:p w14:paraId="392C2104" w14:textId="77777777" w:rsidR="00980E5F" w:rsidRDefault="00980E5F">
            <w:pPr>
              <w:rPr>
                <w:rFonts w:ascii="宋体"/>
                <w:vanish/>
              </w:rPr>
            </w:pPr>
          </w:p>
        </w:tc>
        <w:tc>
          <w:tcPr>
            <w:tcW w:w="0" w:type="auto"/>
            <w:gridSpan w:val="3"/>
            <w:shd w:val="clear" w:color="auto" w:fill="auto"/>
            <w:vAlign w:val="bottom"/>
          </w:tcPr>
          <w:p w14:paraId="392C2105" w14:textId="77777777" w:rsidR="00980E5F" w:rsidRDefault="00980E5F">
            <w:pPr>
              <w:rPr>
                <w:rFonts w:ascii="宋体"/>
                <w:vanish/>
              </w:rPr>
            </w:pPr>
          </w:p>
        </w:tc>
        <w:tc>
          <w:tcPr>
            <w:tcW w:w="0" w:type="auto"/>
            <w:gridSpan w:val="3"/>
            <w:shd w:val="clear" w:color="auto" w:fill="auto"/>
            <w:vAlign w:val="bottom"/>
          </w:tcPr>
          <w:p w14:paraId="392C2106" w14:textId="77777777" w:rsidR="00980E5F" w:rsidRDefault="00980E5F">
            <w:pPr>
              <w:rPr>
                <w:rFonts w:ascii="宋体"/>
                <w:vanish/>
              </w:rPr>
            </w:pPr>
          </w:p>
        </w:tc>
        <w:tc>
          <w:tcPr>
            <w:tcW w:w="0" w:type="auto"/>
            <w:shd w:val="clear" w:color="auto" w:fill="auto"/>
            <w:vAlign w:val="bottom"/>
          </w:tcPr>
          <w:p w14:paraId="392C2107" w14:textId="77777777" w:rsidR="00980E5F" w:rsidRDefault="00980E5F">
            <w:pPr>
              <w:rPr>
                <w:rFonts w:ascii="宋体"/>
              </w:rPr>
            </w:pPr>
          </w:p>
        </w:tc>
        <w:tc>
          <w:tcPr>
            <w:tcW w:w="0" w:type="auto"/>
            <w:shd w:val="clear" w:color="auto" w:fill="auto"/>
            <w:vAlign w:val="bottom"/>
          </w:tcPr>
          <w:p w14:paraId="392C2108" w14:textId="77777777" w:rsidR="00980E5F" w:rsidRDefault="00980E5F">
            <w:pPr>
              <w:rPr>
                <w:rFonts w:ascii="宋体"/>
              </w:rPr>
            </w:pPr>
          </w:p>
        </w:tc>
        <w:tc>
          <w:tcPr>
            <w:tcW w:w="0" w:type="auto"/>
            <w:shd w:val="clear" w:color="auto" w:fill="auto"/>
            <w:vAlign w:val="bottom"/>
          </w:tcPr>
          <w:p w14:paraId="392C2109" w14:textId="77777777" w:rsidR="00980E5F" w:rsidRDefault="00980E5F">
            <w:pPr>
              <w:rPr>
                <w:rFonts w:ascii="宋体"/>
              </w:rPr>
            </w:pPr>
          </w:p>
        </w:tc>
        <w:tc>
          <w:tcPr>
            <w:tcW w:w="0" w:type="auto"/>
            <w:shd w:val="clear" w:color="auto" w:fill="auto"/>
            <w:vAlign w:val="bottom"/>
          </w:tcPr>
          <w:p w14:paraId="392C210A" w14:textId="77777777" w:rsidR="00980E5F" w:rsidRDefault="00980E5F">
            <w:pPr>
              <w:rPr>
                <w:rFonts w:ascii="宋体"/>
              </w:rPr>
            </w:pPr>
          </w:p>
        </w:tc>
        <w:tc>
          <w:tcPr>
            <w:tcW w:w="0" w:type="auto"/>
            <w:shd w:val="clear" w:color="auto" w:fill="auto"/>
            <w:vAlign w:val="bottom"/>
          </w:tcPr>
          <w:p w14:paraId="392C210B" w14:textId="77777777" w:rsidR="00980E5F" w:rsidRDefault="00980E5F">
            <w:pPr>
              <w:rPr>
                <w:rFonts w:ascii="宋体"/>
              </w:rPr>
            </w:pPr>
          </w:p>
        </w:tc>
        <w:tc>
          <w:tcPr>
            <w:tcW w:w="0" w:type="auto"/>
            <w:shd w:val="clear" w:color="auto" w:fill="auto"/>
            <w:vAlign w:val="bottom"/>
          </w:tcPr>
          <w:p w14:paraId="392C210C" w14:textId="77777777" w:rsidR="00980E5F" w:rsidRDefault="00980E5F">
            <w:pPr>
              <w:rPr>
                <w:rFonts w:ascii="宋体"/>
              </w:rPr>
            </w:pPr>
          </w:p>
        </w:tc>
      </w:tr>
      <w:tr w:rsidR="00980E5F" w14:paraId="392C2126" w14:textId="77777777">
        <w:tc>
          <w:tcPr>
            <w:tcW w:w="0" w:type="auto"/>
            <w:gridSpan w:val="9"/>
            <w:shd w:val="clear" w:color="auto" w:fill="CCEEFF"/>
            <w:tcMar>
              <w:top w:w="40" w:type="dxa"/>
              <w:left w:w="20" w:type="dxa"/>
              <w:bottom w:w="40" w:type="dxa"/>
              <w:right w:w="20" w:type="dxa"/>
            </w:tcMar>
            <w:vAlign w:val="bottom"/>
          </w:tcPr>
          <w:p w14:paraId="392C210E" w14:textId="77777777" w:rsidR="00980E5F" w:rsidRDefault="00483613">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0F" w14:textId="77777777" w:rsidR="00980E5F" w:rsidRDefault="00483613">
            <w:pPr>
              <w:jc w:val="right"/>
              <w:textAlignment w:val="bottom"/>
            </w:pPr>
            <w:r>
              <w:rPr>
                <w:rFonts w:ascii="Arial" w:eastAsia="宋体" w:hAnsi="Arial" w:cs="Arial"/>
                <w:b/>
                <w:bCs/>
                <w:color w:val="000000"/>
                <w:sz w:val="12"/>
                <w:szCs w:val="12"/>
              </w:rPr>
              <w:t>16,858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1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12" w14:textId="77777777" w:rsidR="00980E5F" w:rsidRDefault="00483613">
            <w:pPr>
              <w:jc w:val="right"/>
              <w:textAlignment w:val="bottom"/>
            </w:pPr>
            <w:r>
              <w:rPr>
                <w:rFonts w:ascii="Arial" w:eastAsia="宋体" w:hAnsi="Arial" w:cs="Arial"/>
                <w:b/>
                <w:bCs/>
                <w:color w:val="000000"/>
                <w:sz w:val="12"/>
                <w:szCs w:val="12"/>
              </w:rPr>
              <w:t>16,858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1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15" w14:textId="77777777" w:rsidR="00980E5F" w:rsidRDefault="00483613">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1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18" w14:textId="77777777" w:rsidR="00980E5F" w:rsidRDefault="00483613">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1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1B"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1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1E"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2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21"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2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124"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125" w14:textId="77777777" w:rsidR="00980E5F" w:rsidRDefault="00980E5F">
            <w:pPr>
              <w:jc w:val="right"/>
              <w:rPr>
                <w:rFonts w:ascii="宋体"/>
              </w:rPr>
            </w:pPr>
          </w:p>
        </w:tc>
      </w:tr>
      <w:tr w:rsidR="00980E5F" w14:paraId="392C213F" w14:textId="77777777">
        <w:tc>
          <w:tcPr>
            <w:tcW w:w="0" w:type="auto"/>
            <w:gridSpan w:val="9"/>
            <w:shd w:val="clear" w:color="auto" w:fill="FFFFFF"/>
            <w:tcMar>
              <w:top w:w="40" w:type="dxa"/>
              <w:left w:w="245" w:type="dxa"/>
              <w:bottom w:w="40" w:type="dxa"/>
              <w:right w:w="20" w:type="dxa"/>
            </w:tcMar>
            <w:vAlign w:val="bottom"/>
          </w:tcPr>
          <w:p w14:paraId="392C2127" w14:textId="77777777" w:rsidR="00980E5F" w:rsidRDefault="00483613">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28" w14:textId="77777777" w:rsidR="00980E5F" w:rsidRDefault="00483613">
            <w:pPr>
              <w:jc w:val="right"/>
              <w:textAlignment w:val="bottom"/>
            </w:pPr>
            <w:r>
              <w:rPr>
                <w:rFonts w:ascii="Arial" w:eastAsia="宋体" w:hAnsi="Arial" w:cs="Arial"/>
                <w:b/>
                <w:bCs/>
                <w:color w:val="000000"/>
                <w:sz w:val="12"/>
                <w:szCs w:val="12"/>
              </w:rPr>
              <w:t>1,381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2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2B" w14:textId="77777777" w:rsidR="00980E5F" w:rsidRDefault="00483613">
            <w:pPr>
              <w:jc w:val="right"/>
              <w:textAlignment w:val="bottom"/>
            </w:pPr>
            <w:r>
              <w:rPr>
                <w:rFonts w:ascii="Arial" w:eastAsia="宋体" w:hAnsi="Arial" w:cs="Arial"/>
                <w:b/>
                <w:bCs/>
                <w:color w:val="000000"/>
                <w:sz w:val="12"/>
                <w:szCs w:val="12"/>
              </w:rPr>
              <w:t>1,381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2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2E" w14:textId="77777777" w:rsidR="00980E5F" w:rsidRDefault="00483613">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3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31" w14:textId="77777777" w:rsidR="00980E5F" w:rsidRDefault="00483613">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3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34" w14:textId="77777777" w:rsidR="00980E5F" w:rsidRDefault="00483613">
            <w:pPr>
              <w:jc w:val="right"/>
              <w:textAlignment w:val="bottom"/>
            </w:pPr>
            <w:r>
              <w:rPr>
                <w:rFonts w:ascii="Arial" w:eastAsia="宋体" w:hAnsi="Arial" w:cs="Arial"/>
                <w:b/>
                <w:bCs/>
                <w:color w:val="000000"/>
                <w:sz w:val="12"/>
                <w:szCs w:val="12"/>
              </w:rPr>
              <w:t>545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3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37" w14:textId="77777777" w:rsidR="00980E5F" w:rsidRDefault="00483613">
            <w:pPr>
              <w:jc w:val="right"/>
              <w:textAlignment w:val="bottom"/>
            </w:pPr>
            <w:r>
              <w:rPr>
                <w:rFonts w:ascii="Arial" w:eastAsia="宋体" w:hAnsi="Arial" w:cs="Arial"/>
                <w:b/>
                <w:bCs/>
                <w:color w:val="000000"/>
                <w:sz w:val="12"/>
                <w:szCs w:val="12"/>
              </w:rPr>
              <w:t>545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3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3A" w14:textId="77777777" w:rsidR="00980E5F" w:rsidRDefault="00483613">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3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13D" w14:textId="77777777" w:rsidR="00980E5F" w:rsidRDefault="00483613">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3E" w14:textId="77777777" w:rsidR="00980E5F" w:rsidRDefault="00980E5F">
            <w:pPr>
              <w:jc w:val="right"/>
              <w:rPr>
                <w:rFonts w:ascii="宋体"/>
              </w:rPr>
            </w:pPr>
          </w:p>
        </w:tc>
      </w:tr>
      <w:tr w:rsidR="00980E5F" w14:paraId="392C2156" w14:textId="77777777">
        <w:trPr>
          <w:hidden/>
        </w:trPr>
        <w:tc>
          <w:tcPr>
            <w:tcW w:w="0" w:type="auto"/>
            <w:gridSpan w:val="3"/>
            <w:shd w:val="clear" w:color="auto" w:fill="auto"/>
            <w:vAlign w:val="bottom"/>
          </w:tcPr>
          <w:p w14:paraId="392C2140" w14:textId="77777777" w:rsidR="00980E5F" w:rsidRDefault="00980E5F">
            <w:pPr>
              <w:rPr>
                <w:rFonts w:ascii="宋体"/>
                <w:vanish/>
              </w:rPr>
            </w:pPr>
          </w:p>
        </w:tc>
        <w:tc>
          <w:tcPr>
            <w:tcW w:w="0" w:type="auto"/>
            <w:gridSpan w:val="3"/>
            <w:shd w:val="clear" w:color="auto" w:fill="auto"/>
            <w:vAlign w:val="bottom"/>
          </w:tcPr>
          <w:p w14:paraId="392C2141" w14:textId="77777777" w:rsidR="00980E5F" w:rsidRDefault="00980E5F">
            <w:pPr>
              <w:rPr>
                <w:rFonts w:ascii="宋体"/>
                <w:vanish/>
              </w:rPr>
            </w:pPr>
          </w:p>
        </w:tc>
        <w:tc>
          <w:tcPr>
            <w:tcW w:w="0" w:type="auto"/>
            <w:gridSpan w:val="3"/>
            <w:shd w:val="clear" w:color="auto" w:fill="auto"/>
            <w:vAlign w:val="bottom"/>
          </w:tcPr>
          <w:p w14:paraId="392C2142" w14:textId="77777777" w:rsidR="00980E5F" w:rsidRDefault="00980E5F">
            <w:pPr>
              <w:rPr>
                <w:rFonts w:ascii="宋体"/>
                <w:vanish/>
              </w:rPr>
            </w:pPr>
          </w:p>
        </w:tc>
        <w:tc>
          <w:tcPr>
            <w:tcW w:w="0" w:type="auto"/>
            <w:gridSpan w:val="3"/>
            <w:shd w:val="clear" w:color="auto" w:fill="auto"/>
            <w:vAlign w:val="bottom"/>
          </w:tcPr>
          <w:p w14:paraId="392C2143" w14:textId="77777777" w:rsidR="00980E5F" w:rsidRDefault="00980E5F">
            <w:pPr>
              <w:rPr>
                <w:rFonts w:ascii="宋体"/>
                <w:vanish/>
              </w:rPr>
            </w:pPr>
          </w:p>
        </w:tc>
        <w:tc>
          <w:tcPr>
            <w:tcW w:w="0" w:type="auto"/>
            <w:gridSpan w:val="3"/>
            <w:shd w:val="clear" w:color="auto" w:fill="auto"/>
            <w:vAlign w:val="bottom"/>
          </w:tcPr>
          <w:p w14:paraId="392C2144" w14:textId="77777777" w:rsidR="00980E5F" w:rsidRDefault="00980E5F">
            <w:pPr>
              <w:rPr>
                <w:rFonts w:ascii="宋体"/>
                <w:vanish/>
              </w:rPr>
            </w:pPr>
          </w:p>
        </w:tc>
        <w:tc>
          <w:tcPr>
            <w:tcW w:w="0" w:type="auto"/>
            <w:gridSpan w:val="3"/>
            <w:shd w:val="clear" w:color="auto" w:fill="auto"/>
            <w:vAlign w:val="bottom"/>
          </w:tcPr>
          <w:p w14:paraId="392C2145" w14:textId="77777777" w:rsidR="00980E5F" w:rsidRDefault="00980E5F">
            <w:pPr>
              <w:rPr>
                <w:rFonts w:ascii="宋体"/>
                <w:vanish/>
              </w:rPr>
            </w:pPr>
          </w:p>
        </w:tc>
        <w:tc>
          <w:tcPr>
            <w:tcW w:w="0" w:type="auto"/>
            <w:gridSpan w:val="3"/>
            <w:shd w:val="clear" w:color="auto" w:fill="auto"/>
            <w:vAlign w:val="bottom"/>
          </w:tcPr>
          <w:p w14:paraId="392C2146" w14:textId="77777777" w:rsidR="00980E5F" w:rsidRDefault="00980E5F">
            <w:pPr>
              <w:rPr>
                <w:rFonts w:ascii="宋体"/>
                <w:vanish/>
              </w:rPr>
            </w:pPr>
          </w:p>
        </w:tc>
        <w:tc>
          <w:tcPr>
            <w:tcW w:w="0" w:type="auto"/>
            <w:gridSpan w:val="3"/>
            <w:shd w:val="clear" w:color="auto" w:fill="auto"/>
            <w:vAlign w:val="bottom"/>
          </w:tcPr>
          <w:p w14:paraId="392C2147" w14:textId="77777777" w:rsidR="00980E5F" w:rsidRDefault="00980E5F">
            <w:pPr>
              <w:rPr>
                <w:rFonts w:ascii="宋体"/>
                <w:vanish/>
              </w:rPr>
            </w:pPr>
          </w:p>
        </w:tc>
        <w:tc>
          <w:tcPr>
            <w:tcW w:w="0" w:type="auto"/>
            <w:gridSpan w:val="3"/>
            <w:shd w:val="clear" w:color="auto" w:fill="auto"/>
            <w:vAlign w:val="bottom"/>
          </w:tcPr>
          <w:p w14:paraId="392C2148" w14:textId="77777777" w:rsidR="00980E5F" w:rsidRDefault="00980E5F">
            <w:pPr>
              <w:rPr>
                <w:rFonts w:ascii="宋体"/>
                <w:vanish/>
              </w:rPr>
            </w:pPr>
          </w:p>
        </w:tc>
        <w:tc>
          <w:tcPr>
            <w:tcW w:w="0" w:type="auto"/>
            <w:gridSpan w:val="3"/>
            <w:shd w:val="clear" w:color="auto" w:fill="auto"/>
            <w:vAlign w:val="bottom"/>
          </w:tcPr>
          <w:p w14:paraId="392C2149" w14:textId="77777777" w:rsidR="00980E5F" w:rsidRDefault="00980E5F">
            <w:pPr>
              <w:rPr>
                <w:rFonts w:ascii="宋体"/>
                <w:vanish/>
              </w:rPr>
            </w:pPr>
          </w:p>
        </w:tc>
        <w:tc>
          <w:tcPr>
            <w:tcW w:w="0" w:type="auto"/>
            <w:gridSpan w:val="3"/>
            <w:shd w:val="clear" w:color="auto" w:fill="auto"/>
            <w:vAlign w:val="bottom"/>
          </w:tcPr>
          <w:p w14:paraId="392C214A" w14:textId="77777777" w:rsidR="00980E5F" w:rsidRDefault="00980E5F">
            <w:pPr>
              <w:rPr>
                <w:rFonts w:ascii="宋体"/>
                <w:vanish/>
              </w:rPr>
            </w:pPr>
          </w:p>
        </w:tc>
        <w:tc>
          <w:tcPr>
            <w:tcW w:w="0" w:type="auto"/>
            <w:gridSpan w:val="3"/>
            <w:shd w:val="clear" w:color="auto" w:fill="auto"/>
            <w:vAlign w:val="bottom"/>
          </w:tcPr>
          <w:p w14:paraId="392C214B" w14:textId="77777777" w:rsidR="00980E5F" w:rsidRDefault="00980E5F">
            <w:pPr>
              <w:rPr>
                <w:rFonts w:ascii="宋体"/>
                <w:vanish/>
              </w:rPr>
            </w:pPr>
          </w:p>
        </w:tc>
        <w:tc>
          <w:tcPr>
            <w:tcW w:w="0" w:type="auto"/>
            <w:gridSpan w:val="3"/>
            <w:shd w:val="clear" w:color="auto" w:fill="auto"/>
            <w:vAlign w:val="bottom"/>
          </w:tcPr>
          <w:p w14:paraId="392C214C" w14:textId="77777777" w:rsidR="00980E5F" w:rsidRDefault="00980E5F">
            <w:pPr>
              <w:rPr>
                <w:rFonts w:ascii="宋体"/>
                <w:vanish/>
              </w:rPr>
            </w:pPr>
          </w:p>
        </w:tc>
        <w:tc>
          <w:tcPr>
            <w:tcW w:w="0" w:type="auto"/>
            <w:gridSpan w:val="3"/>
            <w:shd w:val="clear" w:color="auto" w:fill="auto"/>
            <w:vAlign w:val="bottom"/>
          </w:tcPr>
          <w:p w14:paraId="392C214D" w14:textId="77777777" w:rsidR="00980E5F" w:rsidRDefault="00980E5F">
            <w:pPr>
              <w:rPr>
                <w:rFonts w:ascii="宋体"/>
                <w:vanish/>
              </w:rPr>
            </w:pPr>
          </w:p>
        </w:tc>
        <w:tc>
          <w:tcPr>
            <w:tcW w:w="0" w:type="auto"/>
            <w:gridSpan w:val="3"/>
            <w:shd w:val="clear" w:color="auto" w:fill="auto"/>
            <w:vAlign w:val="bottom"/>
          </w:tcPr>
          <w:p w14:paraId="392C214E" w14:textId="77777777" w:rsidR="00980E5F" w:rsidRDefault="00980E5F">
            <w:pPr>
              <w:rPr>
                <w:rFonts w:ascii="宋体"/>
                <w:vanish/>
              </w:rPr>
            </w:pPr>
          </w:p>
        </w:tc>
        <w:tc>
          <w:tcPr>
            <w:tcW w:w="0" w:type="auto"/>
            <w:gridSpan w:val="3"/>
            <w:shd w:val="clear" w:color="auto" w:fill="auto"/>
            <w:vAlign w:val="bottom"/>
          </w:tcPr>
          <w:p w14:paraId="392C214F" w14:textId="77777777" w:rsidR="00980E5F" w:rsidRDefault="00980E5F">
            <w:pPr>
              <w:rPr>
                <w:rFonts w:ascii="宋体"/>
                <w:vanish/>
              </w:rPr>
            </w:pPr>
          </w:p>
        </w:tc>
        <w:tc>
          <w:tcPr>
            <w:tcW w:w="0" w:type="auto"/>
            <w:shd w:val="clear" w:color="auto" w:fill="auto"/>
            <w:vAlign w:val="bottom"/>
          </w:tcPr>
          <w:p w14:paraId="392C2150" w14:textId="77777777" w:rsidR="00980E5F" w:rsidRDefault="00980E5F">
            <w:pPr>
              <w:rPr>
                <w:rFonts w:ascii="宋体"/>
              </w:rPr>
            </w:pPr>
          </w:p>
        </w:tc>
        <w:tc>
          <w:tcPr>
            <w:tcW w:w="0" w:type="auto"/>
            <w:shd w:val="clear" w:color="auto" w:fill="auto"/>
            <w:vAlign w:val="bottom"/>
          </w:tcPr>
          <w:p w14:paraId="392C2151" w14:textId="77777777" w:rsidR="00980E5F" w:rsidRDefault="00980E5F">
            <w:pPr>
              <w:rPr>
                <w:rFonts w:ascii="宋体"/>
              </w:rPr>
            </w:pPr>
          </w:p>
        </w:tc>
        <w:tc>
          <w:tcPr>
            <w:tcW w:w="0" w:type="auto"/>
            <w:shd w:val="clear" w:color="auto" w:fill="auto"/>
            <w:vAlign w:val="bottom"/>
          </w:tcPr>
          <w:p w14:paraId="392C2152" w14:textId="77777777" w:rsidR="00980E5F" w:rsidRDefault="00980E5F">
            <w:pPr>
              <w:rPr>
                <w:rFonts w:ascii="宋体"/>
              </w:rPr>
            </w:pPr>
          </w:p>
        </w:tc>
        <w:tc>
          <w:tcPr>
            <w:tcW w:w="0" w:type="auto"/>
            <w:shd w:val="clear" w:color="auto" w:fill="auto"/>
            <w:vAlign w:val="bottom"/>
          </w:tcPr>
          <w:p w14:paraId="392C2153" w14:textId="77777777" w:rsidR="00980E5F" w:rsidRDefault="00980E5F">
            <w:pPr>
              <w:rPr>
                <w:rFonts w:ascii="宋体"/>
              </w:rPr>
            </w:pPr>
          </w:p>
        </w:tc>
        <w:tc>
          <w:tcPr>
            <w:tcW w:w="0" w:type="auto"/>
            <w:shd w:val="clear" w:color="auto" w:fill="auto"/>
            <w:vAlign w:val="bottom"/>
          </w:tcPr>
          <w:p w14:paraId="392C2154" w14:textId="77777777" w:rsidR="00980E5F" w:rsidRDefault="00980E5F">
            <w:pPr>
              <w:rPr>
                <w:rFonts w:ascii="宋体"/>
              </w:rPr>
            </w:pPr>
          </w:p>
        </w:tc>
        <w:tc>
          <w:tcPr>
            <w:tcW w:w="0" w:type="auto"/>
            <w:shd w:val="clear" w:color="auto" w:fill="auto"/>
            <w:vAlign w:val="bottom"/>
          </w:tcPr>
          <w:p w14:paraId="392C2155" w14:textId="77777777" w:rsidR="00980E5F" w:rsidRDefault="00980E5F">
            <w:pPr>
              <w:rPr>
                <w:rFonts w:ascii="宋体"/>
              </w:rPr>
            </w:pPr>
          </w:p>
        </w:tc>
      </w:tr>
      <w:tr w:rsidR="00980E5F" w14:paraId="392C216F" w14:textId="77777777">
        <w:tc>
          <w:tcPr>
            <w:tcW w:w="0" w:type="auto"/>
            <w:gridSpan w:val="9"/>
            <w:shd w:val="clear" w:color="auto" w:fill="CCEEFF"/>
            <w:tcMar>
              <w:top w:w="40" w:type="dxa"/>
              <w:left w:w="245" w:type="dxa"/>
              <w:bottom w:w="40" w:type="dxa"/>
              <w:right w:w="20" w:type="dxa"/>
            </w:tcMar>
            <w:vAlign w:val="bottom"/>
          </w:tcPr>
          <w:p w14:paraId="392C2157" w14:textId="77777777" w:rsidR="00980E5F" w:rsidRDefault="00483613">
            <w:pPr>
              <w:textAlignment w:val="bottom"/>
            </w:pPr>
            <w:r>
              <w:rPr>
                <w:rFonts w:ascii="Arial" w:eastAsia="宋体" w:hAnsi="Arial" w:cs="Arial"/>
                <w:color w:val="000000"/>
                <w:sz w:val="12"/>
                <w:szCs w:val="12"/>
              </w:rPr>
              <w:t>Adjusted allowance for credit losses</w:t>
            </w:r>
          </w:p>
        </w:tc>
        <w:tc>
          <w:tcPr>
            <w:tcW w:w="0" w:type="auto"/>
            <w:gridSpan w:val="2"/>
            <w:shd w:val="clear" w:color="auto" w:fill="CCEEFF"/>
            <w:tcMar>
              <w:top w:w="40" w:type="dxa"/>
              <w:left w:w="20" w:type="dxa"/>
              <w:bottom w:w="40" w:type="dxa"/>
              <w:right w:w="0" w:type="dxa"/>
            </w:tcMar>
            <w:vAlign w:val="bottom"/>
          </w:tcPr>
          <w:p w14:paraId="392C2158"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5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5B" w14:textId="77777777" w:rsidR="00980E5F" w:rsidRDefault="00483613">
            <w:pPr>
              <w:jc w:val="right"/>
              <w:textAlignment w:val="bottom"/>
            </w:pPr>
            <w:r>
              <w:rPr>
                <w:rFonts w:ascii="Arial" w:eastAsia="宋体" w:hAnsi="Arial" w:cs="Arial"/>
                <w:b/>
                <w:bCs/>
                <w:color w:val="000000"/>
                <w:sz w:val="12"/>
                <w:szCs w:val="12"/>
              </w:rPr>
              <w:t>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5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5E"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6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61" w14:textId="77777777" w:rsidR="00980E5F" w:rsidRDefault="00483613">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392C21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6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64"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6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67" w14:textId="77777777" w:rsidR="00980E5F" w:rsidRDefault="00483613">
            <w:pPr>
              <w:jc w:val="right"/>
              <w:textAlignment w:val="bottom"/>
            </w:pPr>
            <w:r>
              <w:rPr>
                <w:rFonts w:ascii="Arial" w:eastAsia="宋体" w:hAnsi="Arial" w:cs="Arial"/>
                <w:b/>
                <w:bCs/>
                <w:color w:val="000000"/>
                <w:sz w:val="12"/>
                <w:szCs w:val="12"/>
              </w:rPr>
              <w:t>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6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6A"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1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16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16D" w14:textId="77777777" w:rsidR="00980E5F" w:rsidRDefault="00483613">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392C216E" w14:textId="77777777" w:rsidR="00980E5F" w:rsidRDefault="00980E5F">
            <w:pPr>
              <w:jc w:val="right"/>
              <w:rPr>
                <w:rFonts w:ascii="宋体"/>
              </w:rPr>
            </w:pPr>
          </w:p>
        </w:tc>
      </w:tr>
      <w:tr w:rsidR="00980E5F" w14:paraId="392C2186" w14:textId="77777777">
        <w:trPr>
          <w:hidden/>
        </w:trPr>
        <w:tc>
          <w:tcPr>
            <w:tcW w:w="0" w:type="auto"/>
            <w:gridSpan w:val="3"/>
            <w:shd w:val="clear" w:color="auto" w:fill="auto"/>
            <w:vAlign w:val="bottom"/>
          </w:tcPr>
          <w:p w14:paraId="392C2170" w14:textId="77777777" w:rsidR="00980E5F" w:rsidRDefault="00980E5F">
            <w:pPr>
              <w:rPr>
                <w:rFonts w:ascii="宋体"/>
                <w:vanish/>
              </w:rPr>
            </w:pPr>
          </w:p>
        </w:tc>
        <w:tc>
          <w:tcPr>
            <w:tcW w:w="0" w:type="auto"/>
            <w:gridSpan w:val="3"/>
            <w:shd w:val="clear" w:color="auto" w:fill="auto"/>
            <w:vAlign w:val="bottom"/>
          </w:tcPr>
          <w:p w14:paraId="392C2171" w14:textId="77777777" w:rsidR="00980E5F" w:rsidRDefault="00980E5F">
            <w:pPr>
              <w:rPr>
                <w:rFonts w:ascii="宋体"/>
                <w:vanish/>
              </w:rPr>
            </w:pPr>
          </w:p>
        </w:tc>
        <w:tc>
          <w:tcPr>
            <w:tcW w:w="0" w:type="auto"/>
            <w:gridSpan w:val="3"/>
            <w:shd w:val="clear" w:color="auto" w:fill="auto"/>
            <w:vAlign w:val="bottom"/>
          </w:tcPr>
          <w:p w14:paraId="392C2172" w14:textId="77777777" w:rsidR="00980E5F" w:rsidRDefault="00980E5F">
            <w:pPr>
              <w:rPr>
                <w:rFonts w:ascii="宋体"/>
                <w:vanish/>
              </w:rPr>
            </w:pPr>
          </w:p>
        </w:tc>
        <w:tc>
          <w:tcPr>
            <w:tcW w:w="0" w:type="auto"/>
            <w:gridSpan w:val="3"/>
            <w:shd w:val="clear" w:color="auto" w:fill="auto"/>
            <w:vAlign w:val="bottom"/>
          </w:tcPr>
          <w:p w14:paraId="392C2173" w14:textId="77777777" w:rsidR="00980E5F" w:rsidRDefault="00980E5F">
            <w:pPr>
              <w:rPr>
                <w:rFonts w:ascii="宋体"/>
                <w:vanish/>
              </w:rPr>
            </w:pPr>
          </w:p>
        </w:tc>
        <w:tc>
          <w:tcPr>
            <w:tcW w:w="0" w:type="auto"/>
            <w:gridSpan w:val="3"/>
            <w:shd w:val="clear" w:color="auto" w:fill="auto"/>
            <w:vAlign w:val="bottom"/>
          </w:tcPr>
          <w:p w14:paraId="392C2174" w14:textId="77777777" w:rsidR="00980E5F" w:rsidRDefault="00980E5F">
            <w:pPr>
              <w:rPr>
                <w:rFonts w:ascii="宋体"/>
                <w:vanish/>
              </w:rPr>
            </w:pPr>
          </w:p>
        </w:tc>
        <w:tc>
          <w:tcPr>
            <w:tcW w:w="0" w:type="auto"/>
            <w:gridSpan w:val="3"/>
            <w:shd w:val="clear" w:color="auto" w:fill="auto"/>
            <w:vAlign w:val="bottom"/>
          </w:tcPr>
          <w:p w14:paraId="392C2175" w14:textId="77777777" w:rsidR="00980E5F" w:rsidRDefault="00980E5F">
            <w:pPr>
              <w:rPr>
                <w:rFonts w:ascii="宋体"/>
                <w:vanish/>
              </w:rPr>
            </w:pPr>
          </w:p>
        </w:tc>
        <w:tc>
          <w:tcPr>
            <w:tcW w:w="0" w:type="auto"/>
            <w:gridSpan w:val="3"/>
            <w:shd w:val="clear" w:color="auto" w:fill="auto"/>
            <w:vAlign w:val="bottom"/>
          </w:tcPr>
          <w:p w14:paraId="392C2176" w14:textId="77777777" w:rsidR="00980E5F" w:rsidRDefault="00980E5F">
            <w:pPr>
              <w:rPr>
                <w:rFonts w:ascii="宋体"/>
                <w:vanish/>
              </w:rPr>
            </w:pPr>
          </w:p>
        </w:tc>
        <w:tc>
          <w:tcPr>
            <w:tcW w:w="0" w:type="auto"/>
            <w:gridSpan w:val="3"/>
            <w:shd w:val="clear" w:color="auto" w:fill="auto"/>
            <w:vAlign w:val="bottom"/>
          </w:tcPr>
          <w:p w14:paraId="392C2177" w14:textId="77777777" w:rsidR="00980E5F" w:rsidRDefault="00980E5F">
            <w:pPr>
              <w:rPr>
                <w:rFonts w:ascii="宋体"/>
                <w:vanish/>
              </w:rPr>
            </w:pPr>
          </w:p>
        </w:tc>
        <w:tc>
          <w:tcPr>
            <w:tcW w:w="0" w:type="auto"/>
            <w:gridSpan w:val="3"/>
            <w:shd w:val="clear" w:color="auto" w:fill="auto"/>
            <w:vAlign w:val="bottom"/>
          </w:tcPr>
          <w:p w14:paraId="392C2178" w14:textId="77777777" w:rsidR="00980E5F" w:rsidRDefault="00980E5F">
            <w:pPr>
              <w:rPr>
                <w:rFonts w:ascii="宋体"/>
                <w:vanish/>
              </w:rPr>
            </w:pPr>
          </w:p>
        </w:tc>
        <w:tc>
          <w:tcPr>
            <w:tcW w:w="0" w:type="auto"/>
            <w:gridSpan w:val="3"/>
            <w:shd w:val="clear" w:color="auto" w:fill="auto"/>
            <w:vAlign w:val="bottom"/>
          </w:tcPr>
          <w:p w14:paraId="392C2179" w14:textId="77777777" w:rsidR="00980E5F" w:rsidRDefault="00980E5F">
            <w:pPr>
              <w:rPr>
                <w:rFonts w:ascii="宋体"/>
                <w:vanish/>
              </w:rPr>
            </w:pPr>
          </w:p>
        </w:tc>
        <w:tc>
          <w:tcPr>
            <w:tcW w:w="0" w:type="auto"/>
            <w:gridSpan w:val="3"/>
            <w:shd w:val="clear" w:color="auto" w:fill="auto"/>
            <w:vAlign w:val="bottom"/>
          </w:tcPr>
          <w:p w14:paraId="392C217A" w14:textId="77777777" w:rsidR="00980E5F" w:rsidRDefault="00980E5F">
            <w:pPr>
              <w:rPr>
                <w:rFonts w:ascii="宋体"/>
                <w:vanish/>
              </w:rPr>
            </w:pPr>
          </w:p>
        </w:tc>
        <w:tc>
          <w:tcPr>
            <w:tcW w:w="0" w:type="auto"/>
            <w:gridSpan w:val="3"/>
            <w:shd w:val="clear" w:color="auto" w:fill="auto"/>
            <w:vAlign w:val="bottom"/>
          </w:tcPr>
          <w:p w14:paraId="392C217B" w14:textId="77777777" w:rsidR="00980E5F" w:rsidRDefault="00980E5F">
            <w:pPr>
              <w:rPr>
                <w:rFonts w:ascii="宋体"/>
                <w:vanish/>
              </w:rPr>
            </w:pPr>
          </w:p>
        </w:tc>
        <w:tc>
          <w:tcPr>
            <w:tcW w:w="0" w:type="auto"/>
            <w:gridSpan w:val="3"/>
            <w:shd w:val="clear" w:color="auto" w:fill="auto"/>
            <w:vAlign w:val="bottom"/>
          </w:tcPr>
          <w:p w14:paraId="392C217C" w14:textId="77777777" w:rsidR="00980E5F" w:rsidRDefault="00980E5F">
            <w:pPr>
              <w:rPr>
                <w:rFonts w:ascii="宋体"/>
                <w:vanish/>
              </w:rPr>
            </w:pPr>
          </w:p>
        </w:tc>
        <w:tc>
          <w:tcPr>
            <w:tcW w:w="0" w:type="auto"/>
            <w:gridSpan w:val="3"/>
            <w:shd w:val="clear" w:color="auto" w:fill="auto"/>
            <w:vAlign w:val="bottom"/>
          </w:tcPr>
          <w:p w14:paraId="392C217D" w14:textId="77777777" w:rsidR="00980E5F" w:rsidRDefault="00980E5F">
            <w:pPr>
              <w:rPr>
                <w:rFonts w:ascii="宋体"/>
                <w:vanish/>
              </w:rPr>
            </w:pPr>
          </w:p>
        </w:tc>
        <w:tc>
          <w:tcPr>
            <w:tcW w:w="0" w:type="auto"/>
            <w:gridSpan w:val="3"/>
            <w:shd w:val="clear" w:color="auto" w:fill="auto"/>
            <w:vAlign w:val="bottom"/>
          </w:tcPr>
          <w:p w14:paraId="392C217E" w14:textId="77777777" w:rsidR="00980E5F" w:rsidRDefault="00980E5F">
            <w:pPr>
              <w:rPr>
                <w:rFonts w:ascii="宋体"/>
                <w:vanish/>
              </w:rPr>
            </w:pPr>
          </w:p>
        </w:tc>
        <w:tc>
          <w:tcPr>
            <w:tcW w:w="0" w:type="auto"/>
            <w:gridSpan w:val="3"/>
            <w:shd w:val="clear" w:color="auto" w:fill="auto"/>
            <w:vAlign w:val="bottom"/>
          </w:tcPr>
          <w:p w14:paraId="392C217F" w14:textId="77777777" w:rsidR="00980E5F" w:rsidRDefault="00980E5F">
            <w:pPr>
              <w:rPr>
                <w:rFonts w:ascii="宋体"/>
                <w:vanish/>
              </w:rPr>
            </w:pPr>
          </w:p>
        </w:tc>
        <w:tc>
          <w:tcPr>
            <w:tcW w:w="0" w:type="auto"/>
            <w:shd w:val="clear" w:color="auto" w:fill="auto"/>
            <w:vAlign w:val="bottom"/>
          </w:tcPr>
          <w:p w14:paraId="392C2180" w14:textId="77777777" w:rsidR="00980E5F" w:rsidRDefault="00980E5F">
            <w:pPr>
              <w:rPr>
                <w:rFonts w:ascii="宋体"/>
              </w:rPr>
            </w:pPr>
          </w:p>
        </w:tc>
        <w:tc>
          <w:tcPr>
            <w:tcW w:w="0" w:type="auto"/>
            <w:shd w:val="clear" w:color="auto" w:fill="auto"/>
            <w:vAlign w:val="bottom"/>
          </w:tcPr>
          <w:p w14:paraId="392C2181" w14:textId="77777777" w:rsidR="00980E5F" w:rsidRDefault="00980E5F">
            <w:pPr>
              <w:rPr>
                <w:rFonts w:ascii="宋体"/>
              </w:rPr>
            </w:pPr>
          </w:p>
        </w:tc>
        <w:tc>
          <w:tcPr>
            <w:tcW w:w="0" w:type="auto"/>
            <w:shd w:val="clear" w:color="auto" w:fill="auto"/>
            <w:vAlign w:val="bottom"/>
          </w:tcPr>
          <w:p w14:paraId="392C2182" w14:textId="77777777" w:rsidR="00980E5F" w:rsidRDefault="00980E5F">
            <w:pPr>
              <w:rPr>
                <w:rFonts w:ascii="宋体"/>
              </w:rPr>
            </w:pPr>
          </w:p>
        </w:tc>
        <w:tc>
          <w:tcPr>
            <w:tcW w:w="0" w:type="auto"/>
            <w:shd w:val="clear" w:color="auto" w:fill="auto"/>
            <w:vAlign w:val="bottom"/>
          </w:tcPr>
          <w:p w14:paraId="392C2183" w14:textId="77777777" w:rsidR="00980E5F" w:rsidRDefault="00980E5F">
            <w:pPr>
              <w:rPr>
                <w:rFonts w:ascii="宋体"/>
              </w:rPr>
            </w:pPr>
          </w:p>
        </w:tc>
        <w:tc>
          <w:tcPr>
            <w:tcW w:w="0" w:type="auto"/>
            <w:shd w:val="clear" w:color="auto" w:fill="auto"/>
            <w:vAlign w:val="bottom"/>
          </w:tcPr>
          <w:p w14:paraId="392C2184" w14:textId="77777777" w:rsidR="00980E5F" w:rsidRDefault="00980E5F">
            <w:pPr>
              <w:rPr>
                <w:rFonts w:ascii="宋体"/>
              </w:rPr>
            </w:pPr>
          </w:p>
        </w:tc>
        <w:tc>
          <w:tcPr>
            <w:tcW w:w="0" w:type="auto"/>
            <w:shd w:val="clear" w:color="auto" w:fill="auto"/>
            <w:vAlign w:val="bottom"/>
          </w:tcPr>
          <w:p w14:paraId="392C2185" w14:textId="77777777" w:rsidR="00980E5F" w:rsidRDefault="00980E5F">
            <w:pPr>
              <w:rPr>
                <w:rFonts w:ascii="宋体"/>
              </w:rPr>
            </w:pPr>
          </w:p>
        </w:tc>
      </w:tr>
      <w:tr w:rsidR="00483613" w14:paraId="392C21A7" w14:textId="77777777">
        <w:tc>
          <w:tcPr>
            <w:tcW w:w="0" w:type="auto"/>
            <w:gridSpan w:val="9"/>
            <w:shd w:val="clear" w:color="auto" w:fill="FFFFFF"/>
            <w:tcMar>
              <w:top w:w="40" w:type="dxa"/>
              <w:left w:w="20" w:type="dxa"/>
              <w:bottom w:w="40" w:type="dxa"/>
              <w:right w:w="20" w:type="dxa"/>
            </w:tcMar>
            <w:vAlign w:val="bottom"/>
          </w:tcPr>
          <w:p w14:paraId="392C2187" w14:textId="77777777" w:rsidR="00980E5F" w:rsidRDefault="00483613">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218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89" w14:textId="77777777" w:rsidR="00980E5F" w:rsidRDefault="00483613">
            <w:pPr>
              <w:jc w:val="right"/>
              <w:textAlignment w:val="bottom"/>
            </w:pPr>
            <w:r>
              <w:rPr>
                <w:rFonts w:ascii="Arial" w:eastAsia="宋体" w:hAnsi="Arial" w:cs="Arial"/>
                <w:b/>
                <w:bCs/>
                <w:color w:val="000000"/>
                <w:sz w:val="12"/>
                <w:szCs w:val="12"/>
              </w:rPr>
              <w:t>18,239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8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8C"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8D" w14:textId="77777777" w:rsidR="00980E5F" w:rsidRDefault="00483613">
            <w:pPr>
              <w:jc w:val="right"/>
              <w:textAlignment w:val="bottom"/>
            </w:pPr>
            <w:r>
              <w:rPr>
                <w:rFonts w:ascii="Arial" w:eastAsia="宋体" w:hAnsi="Arial" w:cs="Arial"/>
                <w:b/>
                <w:bCs/>
                <w:color w:val="000000"/>
                <w:sz w:val="12"/>
                <w:szCs w:val="12"/>
              </w:rPr>
              <w:t>18,352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8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90"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91" w14:textId="77777777" w:rsidR="00980E5F" w:rsidRDefault="00483613">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9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94"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95" w14:textId="77777777" w:rsidR="00980E5F" w:rsidRDefault="00483613">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9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9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99" w14:textId="77777777" w:rsidR="00980E5F" w:rsidRDefault="00483613">
            <w:pPr>
              <w:jc w:val="right"/>
              <w:textAlignment w:val="bottom"/>
            </w:pPr>
            <w:r>
              <w:rPr>
                <w:rFonts w:ascii="Arial" w:eastAsia="宋体" w:hAnsi="Arial" w:cs="Arial"/>
                <w:b/>
                <w:bCs/>
                <w:color w:val="000000"/>
                <w:sz w:val="12"/>
                <w:szCs w:val="12"/>
              </w:rPr>
              <w:t>18,719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9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9C"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9D" w14:textId="77777777" w:rsidR="00980E5F" w:rsidRDefault="00483613">
            <w:pPr>
              <w:jc w:val="right"/>
              <w:textAlignment w:val="bottom"/>
            </w:pPr>
            <w:r>
              <w:rPr>
                <w:rFonts w:ascii="Arial" w:eastAsia="宋体" w:hAnsi="Arial" w:cs="Arial"/>
                <w:b/>
                <w:bCs/>
                <w:color w:val="000000"/>
                <w:sz w:val="12"/>
                <w:szCs w:val="12"/>
              </w:rPr>
              <w:t>18,832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9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A0"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A1" w14:textId="77777777" w:rsidR="00980E5F" w:rsidRDefault="00483613">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1A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21A4"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21A5" w14:textId="77777777" w:rsidR="00980E5F" w:rsidRDefault="00483613">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1A6" w14:textId="77777777" w:rsidR="00980E5F" w:rsidRDefault="00980E5F">
            <w:pPr>
              <w:jc w:val="right"/>
              <w:rPr>
                <w:rFonts w:ascii="宋体"/>
              </w:rPr>
            </w:pPr>
          </w:p>
        </w:tc>
      </w:tr>
      <w:tr w:rsidR="00980E5F" w14:paraId="392C21B8" w14:textId="77777777">
        <w:tc>
          <w:tcPr>
            <w:tcW w:w="0" w:type="auto"/>
            <w:gridSpan w:val="9"/>
            <w:shd w:val="clear" w:color="auto" w:fill="CCEEFF"/>
            <w:tcMar>
              <w:top w:w="40" w:type="dxa"/>
              <w:left w:w="20" w:type="dxa"/>
              <w:bottom w:w="40" w:type="dxa"/>
              <w:right w:w="20" w:type="dxa"/>
            </w:tcMar>
            <w:vAlign w:val="bottom"/>
          </w:tcPr>
          <w:p w14:paraId="392C21A8" w14:textId="77777777" w:rsidR="00980E5F" w:rsidRDefault="00483613">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AA"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A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AC"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A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AE"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A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B0"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B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B2"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B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B4"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B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1B6"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21B7" w14:textId="77777777" w:rsidR="00980E5F" w:rsidRDefault="00980E5F">
            <w:pPr>
              <w:rPr>
                <w:rFonts w:ascii="宋体"/>
              </w:rPr>
            </w:pPr>
          </w:p>
        </w:tc>
      </w:tr>
      <w:tr w:rsidR="00980E5F" w14:paraId="392C21CB" w14:textId="77777777">
        <w:trPr>
          <w:hidden/>
        </w:trPr>
        <w:tc>
          <w:tcPr>
            <w:tcW w:w="0" w:type="auto"/>
            <w:gridSpan w:val="3"/>
            <w:shd w:val="clear" w:color="auto" w:fill="auto"/>
            <w:vAlign w:val="bottom"/>
          </w:tcPr>
          <w:p w14:paraId="392C21B9" w14:textId="77777777" w:rsidR="00980E5F" w:rsidRDefault="00980E5F">
            <w:pPr>
              <w:rPr>
                <w:rFonts w:ascii="宋体"/>
                <w:vanish/>
              </w:rPr>
            </w:pPr>
          </w:p>
        </w:tc>
        <w:tc>
          <w:tcPr>
            <w:tcW w:w="0" w:type="auto"/>
            <w:gridSpan w:val="3"/>
            <w:shd w:val="clear" w:color="auto" w:fill="auto"/>
            <w:vAlign w:val="bottom"/>
          </w:tcPr>
          <w:p w14:paraId="392C21BA" w14:textId="77777777" w:rsidR="00980E5F" w:rsidRDefault="00980E5F">
            <w:pPr>
              <w:rPr>
                <w:rFonts w:ascii="宋体"/>
                <w:vanish/>
              </w:rPr>
            </w:pPr>
          </w:p>
        </w:tc>
        <w:tc>
          <w:tcPr>
            <w:tcW w:w="0" w:type="auto"/>
            <w:gridSpan w:val="3"/>
            <w:shd w:val="clear" w:color="auto" w:fill="auto"/>
            <w:vAlign w:val="bottom"/>
          </w:tcPr>
          <w:p w14:paraId="392C21BB" w14:textId="77777777" w:rsidR="00980E5F" w:rsidRDefault="00980E5F">
            <w:pPr>
              <w:rPr>
                <w:rFonts w:ascii="宋体"/>
                <w:vanish/>
              </w:rPr>
            </w:pPr>
          </w:p>
        </w:tc>
        <w:tc>
          <w:tcPr>
            <w:tcW w:w="0" w:type="auto"/>
            <w:gridSpan w:val="3"/>
            <w:shd w:val="clear" w:color="auto" w:fill="auto"/>
            <w:vAlign w:val="bottom"/>
          </w:tcPr>
          <w:p w14:paraId="392C21BC" w14:textId="77777777" w:rsidR="00980E5F" w:rsidRDefault="00980E5F">
            <w:pPr>
              <w:rPr>
                <w:rFonts w:ascii="宋体"/>
                <w:vanish/>
              </w:rPr>
            </w:pPr>
          </w:p>
        </w:tc>
        <w:tc>
          <w:tcPr>
            <w:tcW w:w="0" w:type="auto"/>
            <w:gridSpan w:val="3"/>
            <w:shd w:val="clear" w:color="auto" w:fill="auto"/>
            <w:vAlign w:val="bottom"/>
          </w:tcPr>
          <w:p w14:paraId="392C21BD" w14:textId="77777777" w:rsidR="00980E5F" w:rsidRDefault="00980E5F">
            <w:pPr>
              <w:rPr>
                <w:rFonts w:ascii="宋体"/>
                <w:vanish/>
              </w:rPr>
            </w:pPr>
          </w:p>
        </w:tc>
        <w:tc>
          <w:tcPr>
            <w:tcW w:w="0" w:type="auto"/>
            <w:gridSpan w:val="3"/>
            <w:shd w:val="clear" w:color="auto" w:fill="auto"/>
            <w:vAlign w:val="bottom"/>
          </w:tcPr>
          <w:p w14:paraId="392C21BE" w14:textId="77777777" w:rsidR="00980E5F" w:rsidRDefault="00980E5F">
            <w:pPr>
              <w:rPr>
                <w:rFonts w:ascii="宋体"/>
                <w:vanish/>
              </w:rPr>
            </w:pPr>
          </w:p>
        </w:tc>
        <w:tc>
          <w:tcPr>
            <w:tcW w:w="0" w:type="auto"/>
            <w:gridSpan w:val="3"/>
            <w:shd w:val="clear" w:color="auto" w:fill="auto"/>
            <w:vAlign w:val="bottom"/>
          </w:tcPr>
          <w:p w14:paraId="392C21BF" w14:textId="77777777" w:rsidR="00980E5F" w:rsidRDefault="00980E5F">
            <w:pPr>
              <w:rPr>
                <w:rFonts w:ascii="宋体"/>
                <w:vanish/>
              </w:rPr>
            </w:pPr>
          </w:p>
        </w:tc>
        <w:tc>
          <w:tcPr>
            <w:tcW w:w="0" w:type="auto"/>
            <w:gridSpan w:val="3"/>
            <w:shd w:val="clear" w:color="auto" w:fill="auto"/>
            <w:vAlign w:val="bottom"/>
          </w:tcPr>
          <w:p w14:paraId="392C21C0" w14:textId="77777777" w:rsidR="00980E5F" w:rsidRDefault="00980E5F">
            <w:pPr>
              <w:rPr>
                <w:rFonts w:ascii="宋体"/>
                <w:vanish/>
              </w:rPr>
            </w:pPr>
          </w:p>
        </w:tc>
        <w:tc>
          <w:tcPr>
            <w:tcW w:w="0" w:type="auto"/>
            <w:gridSpan w:val="3"/>
            <w:shd w:val="clear" w:color="auto" w:fill="auto"/>
            <w:vAlign w:val="bottom"/>
          </w:tcPr>
          <w:p w14:paraId="392C21C1" w14:textId="77777777" w:rsidR="00980E5F" w:rsidRDefault="00980E5F">
            <w:pPr>
              <w:rPr>
                <w:rFonts w:ascii="宋体"/>
                <w:vanish/>
              </w:rPr>
            </w:pPr>
          </w:p>
        </w:tc>
        <w:tc>
          <w:tcPr>
            <w:tcW w:w="0" w:type="auto"/>
            <w:gridSpan w:val="3"/>
            <w:shd w:val="clear" w:color="auto" w:fill="auto"/>
            <w:vAlign w:val="bottom"/>
          </w:tcPr>
          <w:p w14:paraId="392C21C2" w14:textId="77777777" w:rsidR="00980E5F" w:rsidRDefault="00980E5F">
            <w:pPr>
              <w:rPr>
                <w:rFonts w:ascii="宋体"/>
                <w:vanish/>
              </w:rPr>
            </w:pPr>
          </w:p>
        </w:tc>
        <w:tc>
          <w:tcPr>
            <w:tcW w:w="0" w:type="auto"/>
            <w:gridSpan w:val="3"/>
            <w:shd w:val="clear" w:color="auto" w:fill="auto"/>
            <w:vAlign w:val="bottom"/>
          </w:tcPr>
          <w:p w14:paraId="392C21C3" w14:textId="77777777" w:rsidR="00980E5F" w:rsidRDefault="00980E5F">
            <w:pPr>
              <w:rPr>
                <w:rFonts w:ascii="宋体"/>
                <w:vanish/>
              </w:rPr>
            </w:pPr>
          </w:p>
        </w:tc>
        <w:tc>
          <w:tcPr>
            <w:tcW w:w="0" w:type="auto"/>
            <w:gridSpan w:val="3"/>
            <w:shd w:val="clear" w:color="auto" w:fill="auto"/>
            <w:vAlign w:val="bottom"/>
          </w:tcPr>
          <w:p w14:paraId="392C21C4" w14:textId="77777777" w:rsidR="00980E5F" w:rsidRDefault="00980E5F">
            <w:pPr>
              <w:rPr>
                <w:rFonts w:ascii="宋体"/>
                <w:vanish/>
              </w:rPr>
            </w:pPr>
          </w:p>
        </w:tc>
        <w:tc>
          <w:tcPr>
            <w:tcW w:w="0" w:type="auto"/>
            <w:gridSpan w:val="3"/>
            <w:shd w:val="clear" w:color="auto" w:fill="auto"/>
            <w:vAlign w:val="bottom"/>
          </w:tcPr>
          <w:p w14:paraId="392C21C5" w14:textId="77777777" w:rsidR="00980E5F" w:rsidRDefault="00980E5F">
            <w:pPr>
              <w:rPr>
                <w:rFonts w:ascii="宋体"/>
                <w:vanish/>
              </w:rPr>
            </w:pPr>
          </w:p>
        </w:tc>
        <w:tc>
          <w:tcPr>
            <w:tcW w:w="0" w:type="auto"/>
            <w:gridSpan w:val="3"/>
            <w:shd w:val="clear" w:color="auto" w:fill="auto"/>
            <w:vAlign w:val="bottom"/>
          </w:tcPr>
          <w:p w14:paraId="392C21C6" w14:textId="77777777" w:rsidR="00980E5F" w:rsidRDefault="00980E5F">
            <w:pPr>
              <w:rPr>
                <w:rFonts w:ascii="宋体"/>
                <w:vanish/>
              </w:rPr>
            </w:pPr>
          </w:p>
        </w:tc>
        <w:tc>
          <w:tcPr>
            <w:tcW w:w="0" w:type="auto"/>
            <w:gridSpan w:val="3"/>
            <w:shd w:val="clear" w:color="auto" w:fill="auto"/>
            <w:vAlign w:val="bottom"/>
          </w:tcPr>
          <w:p w14:paraId="392C21C7" w14:textId="77777777" w:rsidR="00980E5F" w:rsidRDefault="00980E5F">
            <w:pPr>
              <w:rPr>
                <w:rFonts w:ascii="宋体"/>
                <w:vanish/>
              </w:rPr>
            </w:pPr>
          </w:p>
        </w:tc>
        <w:tc>
          <w:tcPr>
            <w:tcW w:w="0" w:type="auto"/>
            <w:gridSpan w:val="3"/>
            <w:shd w:val="clear" w:color="auto" w:fill="auto"/>
            <w:vAlign w:val="bottom"/>
          </w:tcPr>
          <w:p w14:paraId="392C21C8" w14:textId="77777777" w:rsidR="00980E5F" w:rsidRDefault="00980E5F">
            <w:pPr>
              <w:rPr>
                <w:rFonts w:ascii="宋体"/>
                <w:vanish/>
              </w:rPr>
            </w:pPr>
          </w:p>
        </w:tc>
        <w:tc>
          <w:tcPr>
            <w:tcW w:w="0" w:type="auto"/>
            <w:gridSpan w:val="3"/>
            <w:shd w:val="clear" w:color="auto" w:fill="auto"/>
            <w:vAlign w:val="bottom"/>
          </w:tcPr>
          <w:p w14:paraId="392C21C9" w14:textId="77777777" w:rsidR="00980E5F" w:rsidRDefault="00980E5F">
            <w:pPr>
              <w:rPr>
                <w:rFonts w:ascii="宋体"/>
                <w:vanish/>
              </w:rPr>
            </w:pPr>
          </w:p>
        </w:tc>
        <w:tc>
          <w:tcPr>
            <w:tcW w:w="0" w:type="auto"/>
            <w:gridSpan w:val="3"/>
            <w:shd w:val="clear" w:color="auto" w:fill="auto"/>
            <w:vAlign w:val="bottom"/>
          </w:tcPr>
          <w:p w14:paraId="392C21CA" w14:textId="77777777" w:rsidR="00980E5F" w:rsidRDefault="00980E5F">
            <w:pPr>
              <w:rPr>
                <w:rFonts w:ascii="宋体"/>
                <w:vanish/>
              </w:rPr>
            </w:pPr>
          </w:p>
        </w:tc>
      </w:tr>
      <w:tr w:rsidR="00980E5F" w14:paraId="392C21DE" w14:textId="77777777">
        <w:trPr>
          <w:hidden/>
        </w:trPr>
        <w:tc>
          <w:tcPr>
            <w:tcW w:w="0" w:type="auto"/>
            <w:gridSpan w:val="3"/>
            <w:shd w:val="clear" w:color="auto" w:fill="auto"/>
            <w:vAlign w:val="bottom"/>
          </w:tcPr>
          <w:p w14:paraId="392C21CC" w14:textId="77777777" w:rsidR="00980E5F" w:rsidRDefault="00980E5F">
            <w:pPr>
              <w:rPr>
                <w:rFonts w:ascii="宋体"/>
                <w:vanish/>
              </w:rPr>
            </w:pPr>
          </w:p>
        </w:tc>
        <w:tc>
          <w:tcPr>
            <w:tcW w:w="0" w:type="auto"/>
            <w:gridSpan w:val="3"/>
            <w:shd w:val="clear" w:color="auto" w:fill="auto"/>
            <w:vAlign w:val="bottom"/>
          </w:tcPr>
          <w:p w14:paraId="392C21CD" w14:textId="77777777" w:rsidR="00980E5F" w:rsidRDefault="00980E5F">
            <w:pPr>
              <w:rPr>
                <w:rFonts w:ascii="宋体"/>
                <w:vanish/>
              </w:rPr>
            </w:pPr>
          </w:p>
        </w:tc>
        <w:tc>
          <w:tcPr>
            <w:tcW w:w="0" w:type="auto"/>
            <w:gridSpan w:val="3"/>
            <w:shd w:val="clear" w:color="auto" w:fill="auto"/>
            <w:vAlign w:val="bottom"/>
          </w:tcPr>
          <w:p w14:paraId="392C21CE" w14:textId="77777777" w:rsidR="00980E5F" w:rsidRDefault="00980E5F">
            <w:pPr>
              <w:rPr>
                <w:rFonts w:ascii="宋体"/>
                <w:vanish/>
              </w:rPr>
            </w:pPr>
          </w:p>
        </w:tc>
        <w:tc>
          <w:tcPr>
            <w:tcW w:w="0" w:type="auto"/>
            <w:gridSpan w:val="3"/>
            <w:shd w:val="clear" w:color="auto" w:fill="auto"/>
            <w:vAlign w:val="bottom"/>
          </w:tcPr>
          <w:p w14:paraId="392C21CF" w14:textId="77777777" w:rsidR="00980E5F" w:rsidRDefault="00980E5F">
            <w:pPr>
              <w:rPr>
                <w:rFonts w:ascii="宋体"/>
                <w:vanish/>
              </w:rPr>
            </w:pPr>
          </w:p>
        </w:tc>
        <w:tc>
          <w:tcPr>
            <w:tcW w:w="0" w:type="auto"/>
            <w:gridSpan w:val="3"/>
            <w:shd w:val="clear" w:color="auto" w:fill="auto"/>
            <w:vAlign w:val="bottom"/>
          </w:tcPr>
          <w:p w14:paraId="392C21D0" w14:textId="77777777" w:rsidR="00980E5F" w:rsidRDefault="00980E5F">
            <w:pPr>
              <w:rPr>
                <w:rFonts w:ascii="宋体"/>
                <w:vanish/>
              </w:rPr>
            </w:pPr>
          </w:p>
        </w:tc>
        <w:tc>
          <w:tcPr>
            <w:tcW w:w="0" w:type="auto"/>
            <w:gridSpan w:val="3"/>
            <w:shd w:val="clear" w:color="auto" w:fill="auto"/>
            <w:vAlign w:val="bottom"/>
          </w:tcPr>
          <w:p w14:paraId="392C21D1" w14:textId="77777777" w:rsidR="00980E5F" w:rsidRDefault="00980E5F">
            <w:pPr>
              <w:rPr>
                <w:rFonts w:ascii="宋体"/>
                <w:vanish/>
              </w:rPr>
            </w:pPr>
          </w:p>
        </w:tc>
        <w:tc>
          <w:tcPr>
            <w:tcW w:w="0" w:type="auto"/>
            <w:gridSpan w:val="3"/>
            <w:shd w:val="clear" w:color="auto" w:fill="auto"/>
            <w:vAlign w:val="bottom"/>
          </w:tcPr>
          <w:p w14:paraId="392C21D2" w14:textId="77777777" w:rsidR="00980E5F" w:rsidRDefault="00980E5F">
            <w:pPr>
              <w:rPr>
                <w:rFonts w:ascii="宋体"/>
                <w:vanish/>
              </w:rPr>
            </w:pPr>
          </w:p>
        </w:tc>
        <w:tc>
          <w:tcPr>
            <w:tcW w:w="0" w:type="auto"/>
            <w:gridSpan w:val="3"/>
            <w:shd w:val="clear" w:color="auto" w:fill="auto"/>
            <w:vAlign w:val="bottom"/>
          </w:tcPr>
          <w:p w14:paraId="392C21D3" w14:textId="77777777" w:rsidR="00980E5F" w:rsidRDefault="00980E5F">
            <w:pPr>
              <w:rPr>
                <w:rFonts w:ascii="宋体"/>
                <w:vanish/>
              </w:rPr>
            </w:pPr>
          </w:p>
        </w:tc>
        <w:tc>
          <w:tcPr>
            <w:tcW w:w="0" w:type="auto"/>
            <w:gridSpan w:val="3"/>
            <w:shd w:val="clear" w:color="auto" w:fill="auto"/>
            <w:vAlign w:val="bottom"/>
          </w:tcPr>
          <w:p w14:paraId="392C21D4" w14:textId="77777777" w:rsidR="00980E5F" w:rsidRDefault="00980E5F">
            <w:pPr>
              <w:rPr>
                <w:rFonts w:ascii="宋体"/>
                <w:vanish/>
              </w:rPr>
            </w:pPr>
          </w:p>
        </w:tc>
        <w:tc>
          <w:tcPr>
            <w:tcW w:w="0" w:type="auto"/>
            <w:gridSpan w:val="3"/>
            <w:shd w:val="clear" w:color="auto" w:fill="auto"/>
            <w:vAlign w:val="bottom"/>
          </w:tcPr>
          <w:p w14:paraId="392C21D5" w14:textId="77777777" w:rsidR="00980E5F" w:rsidRDefault="00980E5F">
            <w:pPr>
              <w:rPr>
                <w:rFonts w:ascii="宋体"/>
                <w:vanish/>
              </w:rPr>
            </w:pPr>
          </w:p>
        </w:tc>
        <w:tc>
          <w:tcPr>
            <w:tcW w:w="0" w:type="auto"/>
            <w:gridSpan w:val="3"/>
            <w:shd w:val="clear" w:color="auto" w:fill="auto"/>
            <w:vAlign w:val="bottom"/>
          </w:tcPr>
          <w:p w14:paraId="392C21D6" w14:textId="77777777" w:rsidR="00980E5F" w:rsidRDefault="00980E5F">
            <w:pPr>
              <w:rPr>
                <w:rFonts w:ascii="宋体"/>
                <w:vanish/>
              </w:rPr>
            </w:pPr>
          </w:p>
        </w:tc>
        <w:tc>
          <w:tcPr>
            <w:tcW w:w="0" w:type="auto"/>
            <w:gridSpan w:val="3"/>
            <w:shd w:val="clear" w:color="auto" w:fill="auto"/>
            <w:vAlign w:val="bottom"/>
          </w:tcPr>
          <w:p w14:paraId="392C21D7" w14:textId="77777777" w:rsidR="00980E5F" w:rsidRDefault="00980E5F">
            <w:pPr>
              <w:rPr>
                <w:rFonts w:ascii="宋体"/>
                <w:vanish/>
              </w:rPr>
            </w:pPr>
          </w:p>
        </w:tc>
        <w:tc>
          <w:tcPr>
            <w:tcW w:w="0" w:type="auto"/>
            <w:gridSpan w:val="3"/>
            <w:shd w:val="clear" w:color="auto" w:fill="auto"/>
            <w:vAlign w:val="bottom"/>
          </w:tcPr>
          <w:p w14:paraId="392C21D8" w14:textId="77777777" w:rsidR="00980E5F" w:rsidRDefault="00980E5F">
            <w:pPr>
              <w:rPr>
                <w:rFonts w:ascii="宋体"/>
                <w:vanish/>
              </w:rPr>
            </w:pPr>
          </w:p>
        </w:tc>
        <w:tc>
          <w:tcPr>
            <w:tcW w:w="0" w:type="auto"/>
            <w:gridSpan w:val="3"/>
            <w:shd w:val="clear" w:color="auto" w:fill="auto"/>
            <w:vAlign w:val="bottom"/>
          </w:tcPr>
          <w:p w14:paraId="392C21D9" w14:textId="77777777" w:rsidR="00980E5F" w:rsidRDefault="00980E5F">
            <w:pPr>
              <w:rPr>
                <w:rFonts w:ascii="宋体"/>
                <w:vanish/>
              </w:rPr>
            </w:pPr>
          </w:p>
        </w:tc>
        <w:tc>
          <w:tcPr>
            <w:tcW w:w="0" w:type="auto"/>
            <w:gridSpan w:val="3"/>
            <w:shd w:val="clear" w:color="auto" w:fill="auto"/>
            <w:vAlign w:val="bottom"/>
          </w:tcPr>
          <w:p w14:paraId="392C21DA" w14:textId="77777777" w:rsidR="00980E5F" w:rsidRDefault="00980E5F">
            <w:pPr>
              <w:rPr>
                <w:rFonts w:ascii="宋体"/>
                <w:vanish/>
              </w:rPr>
            </w:pPr>
          </w:p>
        </w:tc>
        <w:tc>
          <w:tcPr>
            <w:tcW w:w="0" w:type="auto"/>
            <w:gridSpan w:val="3"/>
            <w:shd w:val="clear" w:color="auto" w:fill="auto"/>
            <w:vAlign w:val="bottom"/>
          </w:tcPr>
          <w:p w14:paraId="392C21DB" w14:textId="77777777" w:rsidR="00980E5F" w:rsidRDefault="00980E5F">
            <w:pPr>
              <w:rPr>
                <w:rFonts w:ascii="宋体"/>
                <w:vanish/>
              </w:rPr>
            </w:pPr>
          </w:p>
        </w:tc>
        <w:tc>
          <w:tcPr>
            <w:tcW w:w="0" w:type="auto"/>
            <w:gridSpan w:val="3"/>
            <w:shd w:val="clear" w:color="auto" w:fill="auto"/>
            <w:vAlign w:val="bottom"/>
          </w:tcPr>
          <w:p w14:paraId="392C21DC" w14:textId="77777777" w:rsidR="00980E5F" w:rsidRDefault="00980E5F">
            <w:pPr>
              <w:rPr>
                <w:rFonts w:ascii="宋体"/>
                <w:vanish/>
              </w:rPr>
            </w:pPr>
          </w:p>
        </w:tc>
        <w:tc>
          <w:tcPr>
            <w:tcW w:w="0" w:type="auto"/>
            <w:gridSpan w:val="3"/>
            <w:shd w:val="clear" w:color="auto" w:fill="auto"/>
            <w:vAlign w:val="bottom"/>
          </w:tcPr>
          <w:p w14:paraId="392C21DD" w14:textId="77777777" w:rsidR="00980E5F" w:rsidRDefault="00980E5F">
            <w:pPr>
              <w:rPr>
                <w:rFonts w:ascii="宋体"/>
                <w:vanish/>
              </w:rPr>
            </w:pPr>
          </w:p>
        </w:tc>
      </w:tr>
      <w:tr w:rsidR="00980E5F" w14:paraId="392C21F1" w14:textId="77777777">
        <w:trPr>
          <w:hidden/>
        </w:trPr>
        <w:tc>
          <w:tcPr>
            <w:tcW w:w="0" w:type="auto"/>
            <w:gridSpan w:val="3"/>
            <w:shd w:val="clear" w:color="auto" w:fill="auto"/>
            <w:vAlign w:val="bottom"/>
          </w:tcPr>
          <w:p w14:paraId="392C21DF" w14:textId="77777777" w:rsidR="00980E5F" w:rsidRDefault="00980E5F">
            <w:pPr>
              <w:rPr>
                <w:rFonts w:ascii="宋体"/>
                <w:vanish/>
              </w:rPr>
            </w:pPr>
          </w:p>
        </w:tc>
        <w:tc>
          <w:tcPr>
            <w:tcW w:w="0" w:type="auto"/>
            <w:gridSpan w:val="3"/>
            <w:shd w:val="clear" w:color="auto" w:fill="auto"/>
            <w:vAlign w:val="bottom"/>
          </w:tcPr>
          <w:p w14:paraId="392C21E0" w14:textId="77777777" w:rsidR="00980E5F" w:rsidRDefault="00980E5F">
            <w:pPr>
              <w:rPr>
                <w:rFonts w:ascii="宋体"/>
                <w:vanish/>
              </w:rPr>
            </w:pPr>
          </w:p>
        </w:tc>
        <w:tc>
          <w:tcPr>
            <w:tcW w:w="0" w:type="auto"/>
            <w:gridSpan w:val="3"/>
            <w:shd w:val="clear" w:color="auto" w:fill="auto"/>
            <w:vAlign w:val="bottom"/>
          </w:tcPr>
          <w:p w14:paraId="392C21E1" w14:textId="77777777" w:rsidR="00980E5F" w:rsidRDefault="00980E5F">
            <w:pPr>
              <w:rPr>
                <w:rFonts w:ascii="宋体"/>
                <w:vanish/>
              </w:rPr>
            </w:pPr>
          </w:p>
        </w:tc>
        <w:tc>
          <w:tcPr>
            <w:tcW w:w="0" w:type="auto"/>
            <w:gridSpan w:val="3"/>
            <w:shd w:val="clear" w:color="auto" w:fill="auto"/>
            <w:vAlign w:val="bottom"/>
          </w:tcPr>
          <w:p w14:paraId="392C21E2" w14:textId="77777777" w:rsidR="00980E5F" w:rsidRDefault="00980E5F">
            <w:pPr>
              <w:rPr>
                <w:rFonts w:ascii="宋体"/>
                <w:vanish/>
              </w:rPr>
            </w:pPr>
          </w:p>
        </w:tc>
        <w:tc>
          <w:tcPr>
            <w:tcW w:w="0" w:type="auto"/>
            <w:gridSpan w:val="3"/>
            <w:shd w:val="clear" w:color="auto" w:fill="auto"/>
            <w:vAlign w:val="bottom"/>
          </w:tcPr>
          <w:p w14:paraId="392C21E3" w14:textId="77777777" w:rsidR="00980E5F" w:rsidRDefault="00980E5F">
            <w:pPr>
              <w:rPr>
                <w:rFonts w:ascii="宋体"/>
                <w:vanish/>
              </w:rPr>
            </w:pPr>
          </w:p>
        </w:tc>
        <w:tc>
          <w:tcPr>
            <w:tcW w:w="0" w:type="auto"/>
            <w:gridSpan w:val="3"/>
            <w:shd w:val="clear" w:color="auto" w:fill="auto"/>
            <w:vAlign w:val="bottom"/>
          </w:tcPr>
          <w:p w14:paraId="392C21E4" w14:textId="77777777" w:rsidR="00980E5F" w:rsidRDefault="00980E5F">
            <w:pPr>
              <w:rPr>
                <w:rFonts w:ascii="宋体"/>
                <w:vanish/>
              </w:rPr>
            </w:pPr>
          </w:p>
        </w:tc>
        <w:tc>
          <w:tcPr>
            <w:tcW w:w="0" w:type="auto"/>
            <w:gridSpan w:val="3"/>
            <w:shd w:val="clear" w:color="auto" w:fill="auto"/>
            <w:vAlign w:val="bottom"/>
          </w:tcPr>
          <w:p w14:paraId="392C21E5" w14:textId="77777777" w:rsidR="00980E5F" w:rsidRDefault="00980E5F">
            <w:pPr>
              <w:rPr>
                <w:rFonts w:ascii="宋体"/>
                <w:vanish/>
              </w:rPr>
            </w:pPr>
          </w:p>
        </w:tc>
        <w:tc>
          <w:tcPr>
            <w:tcW w:w="0" w:type="auto"/>
            <w:gridSpan w:val="3"/>
            <w:shd w:val="clear" w:color="auto" w:fill="auto"/>
            <w:vAlign w:val="bottom"/>
          </w:tcPr>
          <w:p w14:paraId="392C21E6" w14:textId="77777777" w:rsidR="00980E5F" w:rsidRDefault="00980E5F">
            <w:pPr>
              <w:rPr>
                <w:rFonts w:ascii="宋体"/>
                <w:vanish/>
              </w:rPr>
            </w:pPr>
          </w:p>
        </w:tc>
        <w:tc>
          <w:tcPr>
            <w:tcW w:w="0" w:type="auto"/>
            <w:gridSpan w:val="3"/>
            <w:shd w:val="clear" w:color="auto" w:fill="auto"/>
            <w:vAlign w:val="bottom"/>
          </w:tcPr>
          <w:p w14:paraId="392C21E7" w14:textId="77777777" w:rsidR="00980E5F" w:rsidRDefault="00980E5F">
            <w:pPr>
              <w:rPr>
                <w:rFonts w:ascii="宋体"/>
                <w:vanish/>
              </w:rPr>
            </w:pPr>
          </w:p>
        </w:tc>
        <w:tc>
          <w:tcPr>
            <w:tcW w:w="0" w:type="auto"/>
            <w:gridSpan w:val="3"/>
            <w:shd w:val="clear" w:color="auto" w:fill="auto"/>
            <w:vAlign w:val="bottom"/>
          </w:tcPr>
          <w:p w14:paraId="392C21E8" w14:textId="77777777" w:rsidR="00980E5F" w:rsidRDefault="00980E5F">
            <w:pPr>
              <w:rPr>
                <w:rFonts w:ascii="宋体"/>
                <w:vanish/>
              </w:rPr>
            </w:pPr>
          </w:p>
        </w:tc>
        <w:tc>
          <w:tcPr>
            <w:tcW w:w="0" w:type="auto"/>
            <w:gridSpan w:val="3"/>
            <w:shd w:val="clear" w:color="auto" w:fill="auto"/>
            <w:vAlign w:val="bottom"/>
          </w:tcPr>
          <w:p w14:paraId="392C21E9" w14:textId="77777777" w:rsidR="00980E5F" w:rsidRDefault="00980E5F">
            <w:pPr>
              <w:rPr>
                <w:rFonts w:ascii="宋体"/>
                <w:vanish/>
              </w:rPr>
            </w:pPr>
          </w:p>
        </w:tc>
        <w:tc>
          <w:tcPr>
            <w:tcW w:w="0" w:type="auto"/>
            <w:gridSpan w:val="3"/>
            <w:shd w:val="clear" w:color="auto" w:fill="auto"/>
            <w:vAlign w:val="bottom"/>
          </w:tcPr>
          <w:p w14:paraId="392C21EA" w14:textId="77777777" w:rsidR="00980E5F" w:rsidRDefault="00980E5F">
            <w:pPr>
              <w:rPr>
                <w:rFonts w:ascii="宋体"/>
                <w:vanish/>
              </w:rPr>
            </w:pPr>
          </w:p>
        </w:tc>
        <w:tc>
          <w:tcPr>
            <w:tcW w:w="0" w:type="auto"/>
            <w:gridSpan w:val="3"/>
            <w:shd w:val="clear" w:color="auto" w:fill="auto"/>
            <w:vAlign w:val="bottom"/>
          </w:tcPr>
          <w:p w14:paraId="392C21EB" w14:textId="77777777" w:rsidR="00980E5F" w:rsidRDefault="00980E5F">
            <w:pPr>
              <w:rPr>
                <w:rFonts w:ascii="宋体"/>
                <w:vanish/>
              </w:rPr>
            </w:pPr>
          </w:p>
        </w:tc>
        <w:tc>
          <w:tcPr>
            <w:tcW w:w="0" w:type="auto"/>
            <w:gridSpan w:val="3"/>
            <w:shd w:val="clear" w:color="auto" w:fill="auto"/>
            <w:vAlign w:val="bottom"/>
          </w:tcPr>
          <w:p w14:paraId="392C21EC" w14:textId="77777777" w:rsidR="00980E5F" w:rsidRDefault="00980E5F">
            <w:pPr>
              <w:rPr>
                <w:rFonts w:ascii="宋体"/>
                <w:vanish/>
              </w:rPr>
            </w:pPr>
          </w:p>
        </w:tc>
        <w:tc>
          <w:tcPr>
            <w:tcW w:w="0" w:type="auto"/>
            <w:gridSpan w:val="3"/>
            <w:shd w:val="clear" w:color="auto" w:fill="auto"/>
            <w:vAlign w:val="bottom"/>
          </w:tcPr>
          <w:p w14:paraId="392C21ED" w14:textId="77777777" w:rsidR="00980E5F" w:rsidRDefault="00980E5F">
            <w:pPr>
              <w:rPr>
                <w:rFonts w:ascii="宋体"/>
                <w:vanish/>
              </w:rPr>
            </w:pPr>
          </w:p>
        </w:tc>
        <w:tc>
          <w:tcPr>
            <w:tcW w:w="0" w:type="auto"/>
            <w:gridSpan w:val="3"/>
            <w:shd w:val="clear" w:color="auto" w:fill="auto"/>
            <w:vAlign w:val="bottom"/>
          </w:tcPr>
          <w:p w14:paraId="392C21EE" w14:textId="77777777" w:rsidR="00980E5F" w:rsidRDefault="00980E5F">
            <w:pPr>
              <w:rPr>
                <w:rFonts w:ascii="宋体"/>
                <w:vanish/>
              </w:rPr>
            </w:pPr>
          </w:p>
        </w:tc>
        <w:tc>
          <w:tcPr>
            <w:tcW w:w="0" w:type="auto"/>
            <w:gridSpan w:val="3"/>
            <w:shd w:val="clear" w:color="auto" w:fill="auto"/>
            <w:vAlign w:val="bottom"/>
          </w:tcPr>
          <w:p w14:paraId="392C21EF" w14:textId="77777777" w:rsidR="00980E5F" w:rsidRDefault="00980E5F">
            <w:pPr>
              <w:rPr>
                <w:rFonts w:ascii="宋体"/>
                <w:vanish/>
              </w:rPr>
            </w:pPr>
          </w:p>
        </w:tc>
        <w:tc>
          <w:tcPr>
            <w:tcW w:w="0" w:type="auto"/>
            <w:gridSpan w:val="3"/>
            <w:shd w:val="clear" w:color="auto" w:fill="auto"/>
            <w:vAlign w:val="bottom"/>
          </w:tcPr>
          <w:p w14:paraId="392C21F0" w14:textId="77777777" w:rsidR="00980E5F" w:rsidRDefault="00980E5F">
            <w:pPr>
              <w:rPr>
                <w:rFonts w:ascii="宋体"/>
                <w:vanish/>
              </w:rPr>
            </w:pPr>
          </w:p>
        </w:tc>
      </w:tr>
      <w:tr w:rsidR="00980E5F" w14:paraId="392C2204" w14:textId="77777777">
        <w:trPr>
          <w:hidden/>
        </w:trPr>
        <w:tc>
          <w:tcPr>
            <w:tcW w:w="0" w:type="auto"/>
            <w:gridSpan w:val="3"/>
            <w:shd w:val="clear" w:color="auto" w:fill="auto"/>
            <w:vAlign w:val="bottom"/>
          </w:tcPr>
          <w:p w14:paraId="392C21F2" w14:textId="77777777" w:rsidR="00980E5F" w:rsidRDefault="00980E5F">
            <w:pPr>
              <w:rPr>
                <w:rFonts w:ascii="宋体"/>
                <w:vanish/>
              </w:rPr>
            </w:pPr>
          </w:p>
        </w:tc>
        <w:tc>
          <w:tcPr>
            <w:tcW w:w="0" w:type="auto"/>
            <w:gridSpan w:val="3"/>
            <w:shd w:val="clear" w:color="auto" w:fill="auto"/>
            <w:vAlign w:val="bottom"/>
          </w:tcPr>
          <w:p w14:paraId="392C21F3" w14:textId="77777777" w:rsidR="00980E5F" w:rsidRDefault="00980E5F">
            <w:pPr>
              <w:rPr>
                <w:rFonts w:ascii="宋体"/>
                <w:vanish/>
              </w:rPr>
            </w:pPr>
          </w:p>
        </w:tc>
        <w:tc>
          <w:tcPr>
            <w:tcW w:w="0" w:type="auto"/>
            <w:gridSpan w:val="3"/>
            <w:shd w:val="clear" w:color="auto" w:fill="auto"/>
            <w:vAlign w:val="bottom"/>
          </w:tcPr>
          <w:p w14:paraId="392C21F4" w14:textId="77777777" w:rsidR="00980E5F" w:rsidRDefault="00980E5F">
            <w:pPr>
              <w:rPr>
                <w:rFonts w:ascii="宋体"/>
                <w:vanish/>
              </w:rPr>
            </w:pPr>
          </w:p>
        </w:tc>
        <w:tc>
          <w:tcPr>
            <w:tcW w:w="0" w:type="auto"/>
            <w:gridSpan w:val="3"/>
            <w:shd w:val="clear" w:color="auto" w:fill="auto"/>
            <w:vAlign w:val="bottom"/>
          </w:tcPr>
          <w:p w14:paraId="392C21F5" w14:textId="77777777" w:rsidR="00980E5F" w:rsidRDefault="00980E5F">
            <w:pPr>
              <w:rPr>
                <w:rFonts w:ascii="宋体"/>
                <w:vanish/>
              </w:rPr>
            </w:pPr>
          </w:p>
        </w:tc>
        <w:tc>
          <w:tcPr>
            <w:tcW w:w="0" w:type="auto"/>
            <w:gridSpan w:val="3"/>
            <w:shd w:val="clear" w:color="auto" w:fill="auto"/>
            <w:vAlign w:val="bottom"/>
          </w:tcPr>
          <w:p w14:paraId="392C21F6" w14:textId="77777777" w:rsidR="00980E5F" w:rsidRDefault="00980E5F">
            <w:pPr>
              <w:rPr>
                <w:rFonts w:ascii="宋体"/>
                <w:vanish/>
              </w:rPr>
            </w:pPr>
          </w:p>
        </w:tc>
        <w:tc>
          <w:tcPr>
            <w:tcW w:w="0" w:type="auto"/>
            <w:gridSpan w:val="3"/>
            <w:shd w:val="clear" w:color="auto" w:fill="auto"/>
            <w:vAlign w:val="bottom"/>
          </w:tcPr>
          <w:p w14:paraId="392C21F7" w14:textId="77777777" w:rsidR="00980E5F" w:rsidRDefault="00980E5F">
            <w:pPr>
              <w:rPr>
                <w:rFonts w:ascii="宋体"/>
                <w:vanish/>
              </w:rPr>
            </w:pPr>
          </w:p>
        </w:tc>
        <w:tc>
          <w:tcPr>
            <w:tcW w:w="0" w:type="auto"/>
            <w:gridSpan w:val="3"/>
            <w:shd w:val="clear" w:color="auto" w:fill="auto"/>
            <w:vAlign w:val="bottom"/>
          </w:tcPr>
          <w:p w14:paraId="392C21F8" w14:textId="77777777" w:rsidR="00980E5F" w:rsidRDefault="00980E5F">
            <w:pPr>
              <w:rPr>
                <w:rFonts w:ascii="宋体"/>
                <w:vanish/>
              </w:rPr>
            </w:pPr>
          </w:p>
        </w:tc>
        <w:tc>
          <w:tcPr>
            <w:tcW w:w="0" w:type="auto"/>
            <w:gridSpan w:val="3"/>
            <w:shd w:val="clear" w:color="auto" w:fill="auto"/>
            <w:vAlign w:val="bottom"/>
          </w:tcPr>
          <w:p w14:paraId="392C21F9" w14:textId="77777777" w:rsidR="00980E5F" w:rsidRDefault="00980E5F">
            <w:pPr>
              <w:rPr>
                <w:rFonts w:ascii="宋体"/>
                <w:vanish/>
              </w:rPr>
            </w:pPr>
          </w:p>
        </w:tc>
        <w:tc>
          <w:tcPr>
            <w:tcW w:w="0" w:type="auto"/>
            <w:gridSpan w:val="3"/>
            <w:shd w:val="clear" w:color="auto" w:fill="auto"/>
            <w:vAlign w:val="bottom"/>
          </w:tcPr>
          <w:p w14:paraId="392C21FA" w14:textId="77777777" w:rsidR="00980E5F" w:rsidRDefault="00980E5F">
            <w:pPr>
              <w:rPr>
                <w:rFonts w:ascii="宋体"/>
                <w:vanish/>
              </w:rPr>
            </w:pPr>
          </w:p>
        </w:tc>
        <w:tc>
          <w:tcPr>
            <w:tcW w:w="0" w:type="auto"/>
            <w:gridSpan w:val="3"/>
            <w:shd w:val="clear" w:color="auto" w:fill="auto"/>
            <w:vAlign w:val="bottom"/>
          </w:tcPr>
          <w:p w14:paraId="392C21FB" w14:textId="77777777" w:rsidR="00980E5F" w:rsidRDefault="00980E5F">
            <w:pPr>
              <w:rPr>
                <w:rFonts w:ascii="宋体"/>
                <w:vanish/>
              </w:rPr>
            </w:pPr>
          </w:p>
        </w:tc>
        <w:tc>
          <w:tcPr>
            <w:tcW w:w="0" w:type="auto"/>
            <w:gridSpan w:val="3"/>
            <w:shd w:val="clear" w:color="auto" w:fill="auto"/>
            <w:vAlign w:val="bottom"/>
          </w:tcPr>
          <w:p w14:paraId="392C21FC" w14:textId="77777777" w:rsidR="00980E5F" w:rsidRDefault="00980E5F">
            <w:pPr>
              <w:rPr>
                <w:rFonts w:ascii="宋体"/>
                <w:vanish/>
              </w:rPr>
            </w:pPr>
          </w:p>
        </w:tc>
        <w:tc>
          <w:tcPr>
            <w:tcW w:w="0" w:type="auto"/>
            <w:gridSpan w:val="3"/>
            <w:shd w:val="clear" w:color="auto" w:fill="auto"/>
            <w:vAlign w:val="bottom"/>
          </w:tcPr>
          <w:p w14:paraId="392C21FD" w14:textId="77777777" w:rsidR="00980E5F" w:rsidRDefault="00980E5F">
            <w:pPr>
              <w:rPr>
                <w:rFonts w:ascii="宋体"/>
                <w:vanish/>
              </w:rPr>
            </w:pPr>
          </w:p>
        </w:tc>
        <w:tc>
          <w:tcPr>
            <w:tcW w:w="0" w:type="auto"/>
            <w:gridSpan w:val="3"/>
            <w:shd w:val="clear" w:color="auto" w:fill="auto"/>
            <w:vAlign w:val="bottom"/>
          </w:tcPr>
          <w:p w14:paraId="392C21FE" w14:textId="77777777" w:rsidR="00980E5F" w:rsidRDefault="00980E5F">
            <w:pPr>
              <w:rPr>
                <w:rFonts w:ascii="宋体"/>
                <w:vanish/>
              </w:rPr>
            </w:pPr>
          </w:p>
        </w:tc>
        <w:tc>
          <w:tcPr>
            <w:tcW w:w="0" w:type="auto"/>
            <w:gridSpan w:val="3"/>
            <w:shd w:val="clear" w:color="auto" w:fill="auto"/>
            <w:vAlign w:val="bottom"/>
          </w:tcPr>
          <w:p w14:paraId="392C21FF" w14:textId="77777777" w:rsidR="00980E5F" w:rsidRDefault="00980E5F">
            <w:pPr>
              <w:rPr>
                <w:rFonts w:ascii="宋体"/>
                <w:vanish/>
              </w:rPr>
            </w:pPr>
          </w:p>
        </w:tc>
        <w:tc>
          <w:tcPr>
            <w:tcW w:w="0" w:type="auto"/>
            <w:gridSpan w:val="3"/>
            <w:shd w:val="clear" w:color="auto" w:fill="auto"/>
            <w:vAlign w:val="bottom"/>
          </w:tcPr>
          <w:p w14:paraId="392C2200" w14:textId="77777777" w:rsidR="00980E5F" w:rsidRDefault="00980E5F">
            <w:pPr>
              <w:rPr>
                <w:rFonts w:ascii="宋体"/>
                <w:vanish/>
              </w:rPr>
            </w:pPr>
          </w:p>
        </w:tc>
        <w:tc>
          <w:tcPr>
            <w:tcW w:w="0" w:type="auto"/>
            <w:gridSpan w:val="3"/>
            <w:shd w:val="clear" w:color="auto" w:fill="auto"/>
            <w:vAlign w:val="bottom"/>
          </w:tcPr>
          <w:p w14:paraId="392C2201" w14:textId="77777777" w:rsidR="00980E5F" w:rsidRDefault="00980E5F">
            <w:pPr>
              <w:rPr>
                <w:rFonts w:ascii="宋体"/>
                <w:vanish/>
              </w:rPr>
            </w:pPr>
          </w:p>
        </w:tc>
        <w:tc>
          <w:tcPr>
            <w:tcW w:w="0" w:type="auto"/>
            <w:gridSpan w:val="3"/>
            <w:shd w:val="clear" w:color="auto" w:fill="auto"/>
            <w:vAlign w:val="bottom"/>
          </w:tcPr>
          <w:p w14:paraId="392C2202" w14:textId="77777777" w:rsidR="00980E5F" w:rsidRDefault="00980E5F">
            <w:pPr>
              <w:rPr>
                <w:rFonts w:ascii="宋体"/>
                <w:vanish/>
              </w:rPr>
            </w:pPr>
          </w:p>
        </w:tc>
        <w:tc>
          <w:tcPr>
            <w:tcW w:w="0" w:type="auto"/>
            <w:gridSpan w:val="3"/>
            <w:shd w:val="clear" w:color="auto" w:fill="auto"/>
            <w:vAlign w:val="bottom"/>
          </w:tcPr>
          <w:p w14:paraId="392C2203" w14:textId="77777777" w:rsidR="00980E5F" w:rsidRDefault="00980E5F">
            <w:pPr>
              <w:rPr>
                <w:rFonts w:ascii="宋体"/>
                <w:vanish/>
              </w:rPr>
            </w:pPr>
          </w:p>
        </w:tc>
      </w:tr>
      <w:tr w:rsidR="00980E5F" w14:paraId="392C2217" w14:textId="77777777">
        <w:trPr>
          <w:hidden/>
        </w:trPr>
        <w:tc>
          <w:tcPr>
            <w:tcW w:w="0" w:type="auto"/>
            <w:gridSpan w:val="3"/>
            <w:shd w:val="clear" w:color="auto" w:fill="auto"/>
            <w:vAlign w:val="bottom"/>
          </w:tcPr>
          <w:p w14:paraId="392C2205" w14:textId="77777777" w:rsidR="00980E5F" w:rsidRDefault="00980E5F">
            <w:pPr>
              <w:rPr>
                <w:rFonts w:ascii="宋体"/>
                <w:vanish/>
              </w:rPr>
            </w:pPr>
          </w:p>
        </w:tc>
        <w:tc>
          <w:tcPr>
            <w:tcW w:w="0" w:type="auto"/>
            <w:gridSpan w:val="3"/>
            <w:shd w:val="clear" w:color="auto" w:fill="auto"/>
            <w:vAlign w:val="bottom"/>
          </w:tcPr>
          <w:p w14:paraId="392C2206" w14:textId="77777777" w:rsidR="00980E5F" w:rsidRDefault="00980E5F">
            <w:pPr>
              <w:rPr>
                <w:rFonts w:ascii="宋体"/>
                <w:vanish/>
              </w:rPr>
            </w:pPr>
          </w:p>
        </w:tc>
        <w:tc>
          <w:tcPr>
            <w:tcW w:w="0" w:type="auto"/>
            <w:gridSpan w:val="3"/>
            <w:shd w:val="clear" w:color="auto" w:fill="auto"/>
            <w:vAlign w:val="bottom"/>
          </w:tcPr>
          <w:p w14:paraId="392C2207" w14:textId="77777777" w:rsidR="00980E5F" w:rsidRDefault="00980E5F">
            <w:pPr>
              <w:rPr>
                <w:rFonts w:ascii="宋体"/>
                <w:vanish/>
              </w:rPr>
            </w:pPr>
          </w:p>
        </w:tc>
        <w:tc>
          <w:tcPr>
            <w:tcW w:w="0" w:type="auto"/>
            <w:gridSpan w:val="3"/>
            <w:shd w:val="clear" w:color="auto" w:fill="auto"/>
            <w:vAlign w:val="bottom"/>
          </w:tcPr>
          <w:p w14:paraId="392C2208" w14:textId="77777777" w:rsidR="00980E5F" w:rsidRDefault="00980E5F">
            <w:pPr>
              <w:rPr>
                <w:rFonts w:ascii="宋体"/>
                <w:vanish/>
              </w:rPr>
            </w:pPr>
          </w:p>
        </w:tc>
        <w:tc>
          <w:tcPr>
            <w:tcW w:w="0" w:type="auto"/>
            <w:gridSpan w:val="3"/>
            <w:shd w:val="clear" w:color="auto" w:fill="auto"/>
            <w:vAlign w:val="bottom"/>
          </w:tcPr>
          <w:p w14:paraId="392C2209" w14:textId="77777777" w:rsidR="00980E5F" w:rsidRDefault="00980E5F">
            <w:pPr>
              <w:rPr>
                <w:rFonts w:ascii="宋体"/>
                <w:vanish/>
              </w:rPr>
            </w:pPr>
          </w:p>
        </w:tc>
        <w:tc>
          <w:tcPr>
            <w:tcW w:w="0" w:type="auto"/>
            <w:gridSpan w:val="3"/>
            <w:shd w:val="clear" w:color="auto" w:fill="auto"/>
            <w:vAlign w:val="bottom"/>
          </w:tcPr>
          <w:p w14:paraId="392C220A" w14:textId="77777777" w:rsidR="00980E5F" w:rsidRDefault="00980E5F">
            <w:pPr>
              <w:rPr>
                <w:rFonts w:ascii="宋体"/>
                <w:vanish/>
              </w:rPr>
            </w:pPr>
          </w:p>
        </w:tc>
        <w:tc>
          <w:tcPr>
            <w:tcW w:w="0" w:type="auto"/>
            <w:gridSpan w:val="3"/>
            <w:shd w:val="clear" w:color="auto" w:fill="auto"/>
            <w:vAlign w:val="bottom"/>
          </w:tcPr>
          <w:p w14:paraId="392C220B" w14:textId="77777777" w:rsidR="00980E5F" w:rsidRDefault="00980E5F">
            <w:pPr>
              <w:rPr>
                <w:rFonts w:ascii="宋体"/>
                <w:vanish/>
              </w:rPr>
            </w:pPr>
          </w:p>
        </w:tc>
        <w:tc>
          <w:tcPr>
            <w:tcW w:w="0" w:type="auto"/>
            <w:gridSpan w:val="3"/>
            <w:shd w:val="clear" w:color="auto" w:fill="auto"/>
            <w:vAlign w:val="bottom"/>
          </w:tcPr>
          <w:p w14:paraId="392C220C" w14:textId="77777777" w:rsidR="00980E5F" w:rsidRDefault="00980E5F">
            <w:pPr>
              <w:rPr>
                <w:rFonts w:ascii="宋体"/>
                <w:vanish/>
              </w:rPr>
            </w:pPr>
          </w:p>
        </w:tc>
        <w:tc>
          <w:tcPr>
            <w:tcW w:w="0" w:type="auto"/>
            <w:gridSpan w:val="3"/>
            <w:shd w:val="clear" w:color="auto" w:fill="auto"/>
            <w:vAlign w:val="bottom"/>
          </w:tcPr>
          <w:p w14:paraId="392C220D" w14:textId="77777777" w:rsidR="00980E5F" w:rsidRDefault="00980E5F">
            <w:pPr>
              <w:rPr>
                <w:rFonts w:ascii="宋体"/>
                <w:vanish/>
              </w:rPr>
            </w:pPr>
          </w:p>
        </w:tc>
        <w:tc>
          <w:tcPr>
            <w:tcW w:w="0" w:type="auto"/>
            <w:gridSpan w:val="3"/>
            <w:shd w:val="clear" w:color="auto" w:fill="auto"/>
            <w:vAlign w:val="bottom"/>
          </w:tcPr>
          <w:p w14:paraId="392C220E" w14:textId="77777777" w:rsidR="00980E5F" w:rsidRDefault="00980E5F">
            <w:pPr>
              <w:rPr>
                <w:rFonts w:ascii="宋体"/>
                <w:vanish/>
              </w:rPr>
            </w:pPr>
          </w:p>
        </w:tc>
        <w:tc>
          <w:tcPr>
            <w:tcW w:w="0" w:type="auto"/>
            <w:gridSpan w:val="3"/>
            <w:shd w:val="clear" w:color="auto" w:fill="auto"/>
            <w:vAlign w:val="bottom"/>
          </w:tcPr>
          <w:p w14:paraId="392C220F" w14:textId="77777777" w:rsidR="00980E5F" w:rsidRDefault="00980E5F">
            <w:pPr>
              <w:rPr>
                <w:rFonts w:ascii="宋体"/>
                <w:vanish/>
              </w:rPr>
            </w:pPr>
          </w:p>
        </w:tc>
        <w:tc>
          <w:tcPr>
            <w:tcW w:w="0" w:type="auto"/>
            <w:gridSpan w:val="3"/>
            <w:shd w:val="clear" w:color="auto" w:fill="auto"/>
            <w:vAlign w:val="bottom"/>
          </w:tcPr>
          <w:p w14:paraId="392C2210" w14:textId="77777777" w:rsidR="00980E5F" w:rsidRDefault="00980E5F">
            <w:pPr>
              <w:rPr>
                <w:rFonts w:ascii="宋体"/>
                <w:vanish/>
              </w:rPr>
            </w:pPr>
          </w:p>
        </w:tc>
        <w:tc>
          <w:tcPr>
            <w:tcW w:w="0" w:type="auto"/>
            <w:gridSpan w:val="3"/>
            <w:shd w:val="clear" w:color="auto" w:fill="auto"/>
            <w:vAlign w:val="bottom"/>
          </w:tcPr>
          <w:p w14:paraId="392C2211" w14:textId="77777777" w:rsidR="00980E5F" w:rsidRDefault="00980E5F">
            <w:pPr>
              <w:rPr>
                <w:rFonts w:ascii="宋体"/>
                <w:vanish/>
              </w:rPr>
            </w:pPr>
          </w:p>
        </w:tc>
        <w:tc>
          <w:tcPr>
            <w:tcW w:w="0" w:type="auto"/>
            <w:gridSpan w:val="3"/>
            <w:shd w:val="clear" w:color="auto" w:fill="auto"/>
            <w:vAlign w:val="bottom"/>
          </w:tcPr>
          <w:p w14:paraId="392C2212" w14:textId="77777777" w:rsidR="00980E5F" w:rsidRDefault="00980E5F">
            <w:pPr>
              <w:rPr>
                <w:rFonts w:ascii="宋体"/>
                <w:vanish/>
              </w:rPr>
            </w:pPr>
          </w:p>
        </w:tc>
        <w:tc>
          <w:tcPr>
            <w:tcW w:w="0" w:type="auto"/>
            <w:gridSpan w:val="3"/>
            <w:shd w:val="clear" w:color="auto" w:fill="auto"/>
            <w:vAlign w:val="bottom"/>
          </w:tcPr>
          <w:p w14:paraId="392C2213" w14:textId="77777777" w:rsidR="00980E5F" w:rsidRDefault="00980E5F">
            <w:pPr>
              <w:rPr>
                <w:rFonts w:ascii="宋体"/>
                <w:vanish/>
              </w:rPr>
            </w:pPr>
          </w:p>
        </w:tc>
        <w:tc>
          <w:tcPr>
            <w:tcW w:w="0" w:type="auto"/>
            <w:gridSpan w:val="3"/>
            <w:shd w:val="clear" w:color="auto" w:fill="auto"/>
            <w:vAlign w:val="bottom"/>
          </w:tcPr>
          <w:p w14:paraId="392C2214" w14:textId="77777777" w:rsidR="00980E5F" w:rsidRDefault="00980E5F">
            <w:pPr>
              <w:rPr>
                <w:rFonts w:ascii="宋体"/>
                <w:vanish/>
              </w:rPr>
            </w:pPr>
          </w:p>
        </w:tc>
        <w:tc>
          <w:tcPr>
            <w:tcW w:w="0" w:type="auto"/>
            <w:gridSpan w:val="3"/>
            <w:shd w:val="clear" w:color="auto" w:fill="auto"/>
            <w:vAlign w:val="bottom"/>
          </w:tcPr>
          <w:p w14:paraId="392C2215" w14:textId="77777777" w:rsidR="00980E5F" w:rsidRDefault="00980E5F">
            <w:pPr>
              <w:rPr>
                <w:rFonts w:ascii="宋体"/>
                <w:vanish/>
              </w:rPr>
            </w:pPr>
          </w:p>
        </w:tc>
        <w:tc>
          <w:tcPr>
            <w:tcW w:w="0" w:type="auto"/>
            <w:gridSpan w:val="3"/>
            <w:shd w:val="clear" w:color="auto" w:fill="auto"/>
            <w:vAlign w:val="bottom"/>
          </w:tcPr>
          <w:p w14:paraId="392C2216" w14:textId="77777777" w:rsidR="00980E5F" w:rsidRDefault="00980E5F">
            <w:pPr>
              <w:rPr>
                <w:rFonts w:ascii="宋体"/>
                <w:vanish/>
              </w:rPr>
            </w:pPr>
          </w:p>
        </w:tc>
      </w:tr>
      <w:tr w:rsidR="00483613" w14:paraId="392C2238" w14:textId="77777777">
        <w:tc>
          <w:tcPr>
            <w:tcW w:w="0" w:type="auto"/>
            <w:gridSpan w:val="9"/>
            <w:shd w:val="clear" w:color="auto" w:fill="FFFFFF"/>
            <w:tcMar>
              <w:top w:w="40" w:type="dxa"/>
              <w:left w:w="20" w:type="dxa"/>
              <w:bottom w:w="40" w:type="dxa"/>
              <w:right w:w="20" w:type="dxa"/>
            </w:tcMar>
            <w:vAlign w:val="bottom"/>
          </w:tcPr>
          <w:p w14:paraId="392C2218" w14:textId="77777777" w:rsidR="00980E5F" w:rsidRDefault="00483613">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392C2219"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221A" w14:textId="77777777" w:rsidR="00980E5F" w:rsidRDefault="00483613">
            <w:pPr>
              <w:jc w:val="right"/>
              <w:textAlignment w:val="bottom"/>
            </w:pPr>
            <w:r>
              <w:rPr>
                <w:rFonts w:ascii="Arial" w:eastAsia="宋体" w:hAnsi="Arial" w:cs="Arial"/>
                <w:b/>
                <w:bCs/>
                <w:color w:val="000000"/>
                <w:sz w:val="12"/>
                <w:szCs w:val="12"/>
              </w:rPr>
              <w:t>63,259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1C"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1D"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221E" w14:textId="77777777" w:rsidR="00980E5F" w:rsidRDefault="00483613">
            <w:pPr>
              <w:jc w:val="right"/>
              <w:textAlignment w:val="bottom"/>
            </w:pPr>
            <w:r>
              <w:rPr>
                <w:rFonts w:ascii="Arial" w:eastAsia="宋体" w:hAnsi="Arial" w:cs="Arial"/>
                <w:b/>
                <w:bCs/>
                <w:color w:val="000000"/>
                <w:sz w:val="12"/>
                <w:szCs w:val="12"/>
              </w:rPr>
              <w:t>113,566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2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21"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2222" w14:textId="77777777" w:rsidR="00980E5F" w:rsidRDefault="00483613">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392C22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2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25"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2226" w14:textId="77777777" w:rsidR="00980E5F" w:rsidRDefault="00483613">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392C22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2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29"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222A" w14:textId="77777777" w:rsidR="00980E5F" w:rsidRDefault="00483613">
            <w:pPr>
              <w:jc w:val="right"/>
              <w:textAlignment w:val="bottom"/>
            </w:pPr>
            <w:r>
              <w:rPr>
                <w:rFonts w:ascii="Arial" w:eastAsia="宋体" w:hAnsi="Arial" w:cs="Arial"/>
                <w:b/>
                <w:bCs/>
                <w:color w:val="000000"/>
                <w:sz w:val="12"/>
                <w:szCs w:val="12"/>
              </w:rPr>
              <w:t>56,041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2C"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2D"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222E" w14:textId="77777777" w:rsidR="00980E5F" w:rsidRDefault="00483613">
            <w:pPr>
              <w:jc w:val="right"/>
              <w:textAlignment w:val="bottom"/>
            </w:pPr>
            <w:r>
              <w:rPr>
                <w:rFonts w:ascii="Arial" w:eastAsia="宋体" w:hAnsi="Arial" w:cs="Arial"/>
                <w:b/>
                <w:bCs/>
                <w:color w:val="000000"/>
                <w:sz w:val="12"/>
                <w:szCs w:val="12"/>
              </w:rPr>
              <w:t>110,950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3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31"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2232" w14:textId="77777777" w:rsidR="00980E5F" w:rsidRDefault="00483613">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392C22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3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2235"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2236" w14:textId="77777777" w:rsidR="00980E5F" w:rsidRDefault="00483613">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392C2237" w14:textId="77777777" w:rsidR="00980E5F" w:rsidRDefault="00980E5F">
            <w:pPr>
              <w:jc w:val="right"/>
              <w:rPr>
                <w:rFonts w:ascii="宋体"/>
              </w:rPr>
            </w:pPr>
          </w:p>
        </w:tc>
      </w:tr>
      <w:tr w:rsidR="00980E5F" w14:paraId="392C224D" w14:textId="77777777">
        <w:tc>
          <w:tcPr>
            <w:tcW w:w="0" w:type="auto"/>
            <w:gridSpan w:val="9"/>
            <w:shd w:val="clear" w:color="auto" w:fill="CCEEFF"/>
            <w:tcMar>
              <w:top w:w="40" w:type="dxa"/>
              <w:left w:w="20" w:type="dxa"/>
              <w:bottom w:w="40" w:type="dxa"/>
              <w:right w:w="20" w:type="dxa"/>
            </w:tcMar>
            <w:vAlign w:val="bottom"/>
          </w:tcPr>
          <w:p w14:paraId="392C2239" w14:textId="77777777" w:rsidR="00980E5F" w:rsidRDefault="00483613">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392C223A" w14:textId="77777777" w:rsidR="00980E5F" w:rsidRDefault="00483613">
            <w:pPr>
              <w:jc w:val="right"/>
              <w:textAlignment w:val="bottom"/>
            </w:pPr>
            <w:r>
              <w:rPr>
                <w:rFonts w:ascii="Arial" w:eastAsia="宋体" w:hAnsi="Arial" w:cs="Arial"/>
                <w:b/>
                <w:bCs/>
                <w:color w:val="000000"/>
                <w:sz w:val="12"/>
                <w:szCs w:val="12"/>
              </w:rPr>
              <w:t>45,350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2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3C"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223D" w14:textId="77777777" w:rsidR="00980E5F" w:rsidRDefault="00483613">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22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23F" w14:textId="77777777" w:rsidR="00980E5F" w:rsidRDefault="00483613">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392C22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41"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2242" w14:textId="77777777" w:rsidR="00980E5F" w:rsidRDefault="00483613">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224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244" w14:textId="77777777" w:rsidR="00980E5F" w:rsidRDefault="00483613">
            <w:pPr>
              <w:jc w:val="right"/>
              <w:textAlignment w:val="bottom"/>
            </w:pPr>
            <w:r>
              <w:rPr>
                <w:rFonts w:ascii="Arial" w:eastAsia="宋体" w:hAnsi="Arial" w:cs="Arial"/>
                <w:b/>
                <w:bCs/>
                <w:color w:val="000000"/>
                <w:sz w:val="12"/>
                <w:szCs w:val="12"/>
              </w:rPr>
              <w:t>42,700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2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46"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2247" w14:textId="77777777" w:rsidR="00980E5F" w:rsidRDefault="00483613">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224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249" w14:textId="77777777" w:rsidR="00980E5F" w:rsidRDefault="00483613">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392C22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4B"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224C" w14:textId="77777777" w:rsidR="00980E5F" w:rsidRDefault="00483613">
            <w:pPr>
              <w:jc w:val="right"/>
              <w:textAlignment w:val="bottom"/>
            </w:pPr>
            <w:r>
              <w:rPr>
                <w:rFonts w:ascii="Arial" w:eastAsia="宋体" w:hAnsi="Arial" w:cs="Arial"/>
                <w:color w:val="000000"/>
                <w:sz w:val="12"/>
                <w:szCs w:val="12"/>
              </w:rPr>
              <w:t>NA</w:t>
            </w:r>
          </w:p>
        </w:tc>
      </w:tr>
      <w:tr w:rsidR="00980E5F" w14:paraId="392C2260" w14:textId="77777777">
        <w:trPr>
          <w:hidden/>
        </w:trPr>
        <w:tc>
          <w:tcPr>
            <w:tcW w:w="0" w:type="auto"/>
            <w:gridSpan w:val="3"/>
            <w:shd w:val="clear" w:color="auto" w:fill="auto"/>
            <w:vAlign w:val="bottom"/>
          </w:tcPr>
          <w:p w14:paraId="392C224E" w14:textId="77777777" w:rsidR="00980E5F" w:rsidRDefault="00980E5F">
            <w:pPr>
              <w:rPr>
                <w:rFonts w:ascii="宋体"/>
                <w:vanish/>
              </w:rPr>
            </w:pPr>
          </w:p>
        </w:tc>
        <w:tc>
          <w:tcPr>
            <w:tcW w:w="0" w:type="auto"/>
            <w:gridSpan w:val="3"/>
            <w:shd w:val="clear" w:color="auto" w:fill="auto"/>
            <w:vAlign w:val="bottom"/>
          </w:tcPr>
          <w:p w14:paraId="392C224F" w14:textId="77777777" w:rsidR="00980E5F" w:rsidRDefault="00980E5F">
            <w:pPr>
              <w:rPr>
                <w:rFonts w:ascii="宋体"/>
                <w:vanish/>
              </w:rPr>
            </w:pPr>
          </w:p>
        </w:tc>
        <w:tc>
          <w:tcPr>
            <w:tcW w:w="0" w:type="auto"/>
            <w:gridSpan w:val="3"/>
            <w:shd w:val="clear" w:color="auto" w:fill="auto"/>
            <w:vAlign w:val="bottom"/>
          </w:tcPr>
          <w:p w14:paraId="392C2250" w14:textId="77777777" w:rsidR="00980E5F" w:rsidRDefault="00980E5F">
            <w:pPr>
              <w:rPr>
                <w:rFonts w:ascii="宋体"/>
                <w:vanish/>
              </w:rPr>
            </w:pPr>
          </w:p>
        </w:tc>
        <w:tc>
          <w:tcPr>
            <w:tcW w:w="0" w:type="auto"/>
            <w:gridSpan w:val="3"/>
            <w:shd w:val="clear" w:color="auto" w:fill="auto"/>
            <w:vAlign w:val="bottom"/>
          </w:tcPr>
          <w:p w14:paraId="392C2251" w14:textId="77777777" w:rsidR="00980E5F" w:rsidRDefault="00980E5F">
            <w:pPr>
              <w:rPr>
                <w:rFonts w:ascii="宋体"/>
                <w:vanish/>
              </w:rPr>
            </w:pPr>
          </w:p>
        </w:tc>
        <w:tc>
          <w:tcPr>
            <w:tcW w:w="0" w:type="auto"/>
            <w:gridSpan w:val="3"/>
            <w:shd w:val="clear" w:color="auto" w:fill="auto"/>
            <w:vAlign w:val="bottom"/>
          </w:tcPr>
          <w:p w14:paraId="392C2252" w14:textId="77777777" w:rsidR="00980E5F" w:rsidRDefault="00980E5F">
            <w:pPr>
              <w:rPr>
                <w:rFonts w:ascii="宋体"/>
                <w:vanish/>
              </w:rPr>
            </w:pPr>
          </w:p>
        </w:tc>
        <w:tc>
          <w:tcPr>
            <w:tcW w:w="0" w:type="auto"/>
            <w:gridSpan w:val="3"/>
            <w:shd w:val="clear" w:color="auto" w:fill="auto"/>
            <w:vAlign w:val="bottom"/>
          </w:tcPr>
          <w:p w14:paraId="392C2253" w14:textId="77777777" w:rsidR="00980E5F" w:rsidRDefault="00980E5F">
            <w:pPr>
              <w:rPr>
                <w:rFonts w:ascii="宋体"/>
                <w:vanish/>
              </w:rPr>
            </w:pPr>
          </w:p>
        </w:tc>
        <w:tc>
          <w:tcPr>
            <w:tcW w:w="0" w:type="auto"/>
            <w:gridSpan w:val="3"/>
            <w:shd w:val="clear" w:color="auto" w:fill="auto"/>
            <w:vAlign w:val="bottom"/>
          </w:tcPr>
          <w:p w14:paraId="392C2254" w14:textId="77777777" w:rsidR="00980E5F" w:rsidRDefault="00980E5F">
            <w:pPr>
              <w:rPr>
                <w:rFonts w:ascii="宋体"/>
                <w:vanish/>
              </w:rPr>
            </w:pPr>
          </w:p>
        </w:tc>
        <w:tc>
          <w:tcPr>
            <w:tcW w:w="0" w:type="auto"/>
            <w:gridSpan w:val="3"/>
            <w:shd w:val="clear" w:color="auto" w:fill="auto"/>
            <w:vAlign w:val="bottom"/>
          </w:tcPr>
          <w:p w14:paraId="392C2255" w14:textId="77777777" w:rsidR="00980E5F" w:rsidRDefault="00980E5F">
            <w:pPr>
              <w:rPr>
                <w:rFonts w:ascii="宋体"/>
                <w:vanish/>
              </w:rPr>
            </w:pPr>
          </w:p>
        </w:tc>
        <w:tc>
          <w:tcPr>
            <w:tcW w:w="0" w:type="auto"/>
            <w:gridSpan w:val="3"/>
            <w:shd w:val="clear" w:color="auto" w:fill="auto"/>
            <w:vAlign w:val="bottom"/>
          </w:tcPr>
          <w:p w14:paraId="392C2256" w14:textId="77777777" w:rsidR="00980E5F" w:rsidRDefault="00980E5F">
            <w:pPr>
              <w:rPr>
                <w:rFonts w:ascii="宋体"/>
                <w:vanish/>
              </w:rPr>
            </w:pPr>
          </w:p>
        </w:tc>
        <w:tc>
          <w:tcPr>
            <w:tcW w:w="0" w:type="auto"/>
            <w:gridSpan w:val="3"/>
            <w:shd w:val="clear" w:color="auto" w:fill="auto"/>
            <w:vAlign w:val="bottom"/>
          </w:tcPr>
          <w:p w14:paraId="392C2257" w14:textId="77777777" w:rsidR="00980E5F" w:rsidRDefault="00980E5F">
            <w:pPr>
              <w:rPr>
                <w:rFonts w:ascii="宋体"/>
                <w:vanish/>
              </w:rPr>
            </w:pPr>
          </w:p>
        </w:tc>
        <w:tc>
          <w:tcPr>
            <w:tcW w:w="0" w:type="auto"/>
            <w:gridSpan w:val="3"/>
            <w:shd w:val="clear" w:color="auto" w:fill="auto"/>
            <w:vAlign w:val="bottom"/>
          </w:tcPr>
          <w:p w14:paraId="392C2258" w14:textId="77777777" w:rsidR="00980E5F" w:rsidRDefault="00980E5F">
            <w:pPr>
              <w:rPr>
                <w:rFonts w:ascii="宋体"/>
                <w:vanish/>
              </w:rPr>
            </w:pPr>
          </w:p>
        </w:tc>
        <w:tc>
          <w:tcPr>
            <w:tcW w:w="0" w:type="auto"/>
            <w:gridSpan w:val="3"/>
            <w:shd w:val="clear" w:color="auto" w:fill="auto"/>
            <w:vAlign w:val="bottom"/>
          </w:tcPr>
          <w:p w14:paraId="392C2259" w14:textId="77777777" w:rsidR="00980E5F" w:rsidRDefault="00980E5F">
            <w:pPr>
              <w:rPr>
                <w:rFonts w:ascii="宋体"/>
                <w:vanish/>
              </w:rPr>
            </w:pPr>
          </w:p>
        </w:tc>
        <w:tc>
          <w:tcPr>
            <w:tcW w:w="0" w:type="auto"/>
            <w:gridSpan w:val="3"/>
            <w:shd w:val="clear" w:color="auto" w:fill="auto"/>
            <w:vAlign w:val="bottom"/>
          </w:tcPr>
          <w:p w14:paraId="392C225A" w14:textId="77777777" w:rsidR="00980E5F" w:rsidRDefault="00980E5F">
            <w:pPr>
              <w:rPr>
                <w:rFonts w:ascii="宋体"/>
                <w:vanish/>
              </w:rPr>
            </w:pPr>
          </w:p>
        </w:tc>
        <w:tc>
          <w:tcPr>
            <w:tcW w:w="0" w:type="auto"/>
            <w:gridSpan w:val="3"/>
            <w:shd w:val="clear" w:color="auto" w:fill="auto"/>
            <w:vAlign w:val="bottom"/>
          </w:tcPr>
          <w:p w14:paraId="392C225B" w14:textId="77777777" w:rsidR="00980E5F" w:rsidRDefault="00980E5F">
            <w:pPr>
              <w:rPr>
                <w:rFonts w:ascii="宋体"/>
                <w:vanish/>
              </w:rPr>
            </w:pPr>
          </w:p>
        </w:tc>
        <w:tc>
          <w:tcPr>
            <w:tcW w:w="0" w:type="auto"/>
            <w:gridSpan w:val="3"/>
            <w:shd w:val="clear" w:color="auto" w:fill="auto"/>
            <w:vAlign w:val="bottom"/>
          </w:tcPr>
          <w:p w14:paraId="392C225C" w14:textId="77777777" w:rsidR="00980E5F" w:rsidRDefault="00980E5F">
            <w:pPr>
              <w:rPr>
                <w:rFonts w:ascii="宋体"/>
                <w:vanish/>
              </w:rPr>
            </w:pPr>
          </w:p>
        </w:tc>
        <w:tc>
          <w:tcPr>
            <w:tcW w:w="0" w:type="auto"/>
            <w:gridSpan w:val="3"/>
            <w:shd w:val="clear" w:color="auto" w:fill="auto"/>
            <w:vAlign w:val="bottom"/>
          </w:tcPr>
          <w:p w14:paraId="392C225D" w14:textId="77777777" w:rsidR="00980E5F" w:rsidRDefault="00980E5F">
            <w:pPr>
              <w:rPr>
                <w:rFonts w:ascii="宋体"/>
                <w:vanish/>
              </w:rPr>
            </w:pPr>
          </w:p>
        </w:tc>
        <w:tc>
          <w:tcPr>
            <w:tcW w:w="0" w:type="auto"/>
            <w:gridSpan w:val="3"/>
            <w:shd w:val="clear" w:color="auto" w:fill="auto"/>
            <w:vAlign w:val="bottom"/>
          </w:tcPr>
          <w:p w14:paraId="392C225E" w14:textId="77777777" w:rsidR="00980E5F" w:rsidRDefault="00980E5F">
            <w:pPr>
              <w:rPr>
                <w:rFonts w:ascii="宋体"/>
                <w:vanish/>
              </w:rPr>
            </w:pPr>
          </w:p>
        </w:tc>
        <w:tc>
          <w:tcPr>
            <w:tcW w:w="0" w:type="auto"/>
            <w:gridSpan w:val="3"/>
            <w:shd w:val="clear" w:color="auto" w:fill="auto"/>
            <w:vAlign w:val="bottom"/>
          </w:tcPr>
          <w:p w14:paraId="392C225F" w14:textId="77777777" w:rsidR="00980E5F" w:rsidRDefault="00980E5F">
            <w:pPr>
              <w:rPr>
                <w:rFonts w:ascii="宋体"/>
                <w:vanish/>
              </w:rPr>
            </w:pPr>
          </w:p>
        </w:tc>
      </w:tr>
      <w:tr w:rsidR="00980E5F" w14:paraId="392C2273" w14:textId="77777777">
        <w:trPr>
          <w:hidden/>
        </w:trPr>
        <w:tc>
          <w:tcPr>
            <w:tcW w:w="0" w:type="auto"/>
            <w:gridSpan w:val="3"/>
            <w:shd w:val="clear" w:color="auto" w:fill="auto"/>
            <w:vAlign w:val="bottom"/>
          </w:tcPr>
          <w:p w14:paraId="392C2261" w14:textId="77777777" w:rsidR="00980E5F" w:rsidRDefault="00980E5F">
            <w:pPr>
              <w:rPr>
                <w:rFonts w:ascii="宋体"/>
                <w:vanish/>
              </w:rPr>
            </w:pPr>
          </w:p>
        </w:tc>
        <w:tc>
          <w:tcPr>
            <w:tcW w:w="0" w:type="auto"/>
            <w:gridSpan w:val="3"/>
            <w:shd w:val="clear" w:color="auto" w:fill="auto"/>
            <w:vAlign w:val="bottom"/>
          </w:tcPr>
          <w:p w14:paraId="392C2262" w14:textId="77777777" w:rsidR="00980E5F" w:rsidRDefault="00980E5F">
            <w:pPr>
              <w:rPr>
                <w:rFonts w:ascii="宋体"/>
                <w:vanish/>
              </w:rPr>
            </w:pPr>
          </w:p>
        </w:tc>
        <w:tc>
          <w:tcPr>
            <w:tcW w:w="0" w:type="auto"/>
            <w:gridSpan w:val="3"/>
            <w:shd w:val="clear" w:color="auto" w:fill="auto"/>
            <w:vAlign w:val="bottom"/>
          </w:tcPr>
          <w:p w14:paraId="392C2263" w14:textId="77777777" w:rsidR="00980E5F" w:rsidRDefault="00980E5F">
            <w:pPr>
              <w:rPr>
                <w:rFonts w:ascii="宋体"/>
                <w:vanish/>
              </w:rPr>
            </w:pPr>
          </w:p>
        </w:tc>
        <w:tc>
          <w:tcPr>
            <w:tcW w:w="0" w:type="auto"/>
            <w:gridSpan w:val="3"/>
            <w:shd w:val="clear" w:color="auto" w:fill="auto"/>
            <w:vAlign w:val="bottom"/>
          </w:tcPr>
          <w:p w14:paraId="392C2264" w14:textId="77777777" w:rsidR="00980E5F" w:rsidRDefault="00980E5F">
            <w:pPr>
              <w:rPr>
                <w:rFonts w:ascii="宋体"/>
                <w:vanish/>
              </w:rPr>
            </w:pPr>
          </w:p>
        </w:tc>
        <w:tc>
          <w:tcPr>
            <w:tcW w:w="0" w:type="auto"/>
            <w:gridSpan w:val="3"/>
            <w:shd w:val="clear" w:color="auto" w:fill="auto"/>
            <w:vAlign w:val="bottom"/>
          </w:tcPr>
          <w:p w14:paraId="392C2265" w14:textId="77777777" w:rsidR="00980E5F" w:rsidRDefault="00980E5F">
            <w:pPr>
              <w:rPr>
                <w:rFonts w:ascii="宋体"/>
                <w:vanish/>
              </w:rPr>
            </w:pPr>
          </w:p>
        </w:tc>
        <w:tc>
          <w:tcPr>
            <w:tcW w:w="0" w:type="auto"/>
            <w:gridSpan w:val="3"/>
            <w:shd w:val="clear" w:color="auto" w:fill="auto"/>
            <w:vAlign w:val="bottom"/>
          </w:tcPr>
          <w:p w14:paraId="392C2266" w14:textId="77777777" w:rsidR="00980E5F" w:rsidRDefault="00980E5F">
            <w:pPr>
              <w:rPr>
                <w:rFonts w:ascii="宋体"/>
                <w:vanish/>
              </w:rPr>
            </w:pPr>
          </w:p>
        </w:tc>
        <w:tc>
          <w:tcPr>
            <w:tcW w:w="0" w:type="auto"/>
            <w:gridSpan w:val="3"/>
            <w:shd w:val="clear" w:color="auto" w:fill="auto"/>
            <w:vAlign w:val="bottom"/>
          </w:tcPr>
          <w:p w14:paraId="392C2267" w14:textId="77777777" w:rsidR="00980E5F" w:rsidRDefault="00980E5F">
            <w:pPr>
              <w:rPr>
                <w:rFonts w:ascii="宋体"/>
                <w:vanish/>
              </w:rPr>
            </w:pPr>
          </w:p>
        </w:tc>
        <w:tc>
          <w:tcPr>
            <w:tcW w:w="0" w:type="auto"/>
            <w:gridSpan w:val="3"/>
            <w:shd w:val="clear" w:color="auto" w:fill="auto"/>
            <w:vAlign w:val="bottom"/>
          </w:tcPr>
          <w:p w14:paraId="392C2268" w14:textId="77777777" w:rsidR="00980E5F" w:rsidRDefault="00980E5F">
            <w:pPr>
              <w:rPr>
                <w:rFonts w:ascii="宋体"/>
                <w:vanish/>
              </w:rPr>
            </w:pPr>
          </w:p>
        </w:tc>
        <w:tc>
          <w:tcPr>
            <w:tcW w:w="0" w:type="auto"/>
            <w:gridSpan w:val="3"/>
            <w:shd w:val="clear" w:color="auto" w:fill="auto"/>
            <w:vAlign w:val="bottom"/>
          </w:tcPr>
          <w:p w14:paraId="392C2269" w14:textId="77777777" w:rsidR="00980E5F" w:rsidRDefault="00980E5F">
            <w:pPr>
              <w:rPr>
                <w:rFonts w:ascii="宋体"/>
                <w:vanish/>
              </w:rPr>
            </w:pPr>
          </w:p>
        </w:tc>
        <w:tc>
          <w:tcPr>
            <w:tcW w:w="0" w:type="auto"/>
            <w:gridSpan w:val="3"/>
            <w:shd w:val="clear" w:color="auto" w:fill="auto"/>
            <w:vAlign w:val="bottom"/>
          </w:tcPr>
          <w:p w14:paraId="392C226A" w14:textId="77777777" w:rsidR="00980E5F" w:rsidRDefault="00980E5F">
            <w:pPr>
              <w:rPr>
                <w:rFonts w:ascii="宋体"/>
                <w:vanish/>
              </w:rPr>
            </w:pPr>
          </w:p>
        </w:tc>
        <w:tc>
          <w:tcPr>
            <w:tcW w:w="0" w:type="auto"/>
            <w:gridSpan w:val="3"/>
            <w:shd w:val="clear" w:color="auto" w:fill="auto"/>
            <w:vAlign w:val="bottom"/>
          </w:tcPr>
          <w:p w14:paraId="392C226B" w14:textId="77777777" w:rsidR="00980E5F" w:rsidRDefault="00980E5F">
            <w:pPr>
              <w:rPr>
                <w:rFonts w:ascii="宋体"/>
                <w:vanish/>
              </w:rPr>
            </w:pPr>
          </w:p>
        </w:tc>
        <w:tc>
          <w:tcPr>
            <w:tcW w:w="0" w:type="auto"/>
            <w:gridSpan w:val="3"/>
            <w:shd w:val="clear" w:color="auto" w:fill="auto"/>
            <w:vAlign w:val="bottom"/>
          </w:tcPr>
          <w:p w14:paraId="392C226C" w14:textId="77777777" w:rsidR="00980E5F" w:rsidRDefault="00980E5F">
            <w:pPr>
              <w:rPr>
                <w:rFonts w:ascii="宋体"/>
                <w:vanish/>
              </w:rPr>
            </w:pPr>
          </w:p>
        </w:tc>
        <w:tc>
          <w:tcPr>
            <w:tcW w:w="0" w:type="auto"/>
            <w:gridSpan w:val="3"/>
            <w:shd w:val="clear" w:color="auto" w:fill="auto"/>
            <w:vAlign w:val="bottom"/>
          </w:tcPr>
          <w:p w14:paraId="392C226D" w14:textId="77777777" w:rsidR="00980E5F" w:rsidRDefault="00980E5F">
            <w:pPr>
              <w:rPr>
                <w:rFonts w:ascii="宋体"/>
                <w:vanish/>
              </w:rPr>
            </w:pPr>
          </w:p>
        </w:tc>
        <w:tc>
          <w:tcPr>
            <w:tcW w:w="0" w:type="auto"/>
            <w:gridSpan w:val="3"/>
            <w:shd w:val="clear" w:color="auto" w:fill="auto"/>
            <w:vAlign w:val="bottom"/>
          </w:tcPr>
          <w:p w14:paraId="392C226E" w14:textId="77777777" w:rsidR="00980E5F" w:rsidRDefault="00980E5F">
            <w:pPr>
              <w:rPr>
                <w:rFonts w:ascii="宋体"/>
                <w:vanish/>
              </w:rPr>
            </w:pPr>
          </w:p>
        </w:tc>
        <w:tc>
          <w:tcPr>
            <w:tcW w:w="0" w:type="auto"/>
            <w:gridSpan w:val="3"/>
            <w:shd w:val="clear" w:color="auto" w:fill="auto"/>
            <w:vAlign w:val="bottom"/>
          </w:tcPr>
          <w:p w14:paraId="392C226F" w14:textId="77777777" w:rsidR="00980E5F" w:rsidRDefault="00980E5F">
            <w:pPr>
              <w:rPr>
                <w:rFonts w:ascii="宋体"/>
                <w:vanish/>
              </w:rPr>
            </w:pPr>
          </w:p>
        </w:tc>
        <w:tc>
          <w:tcPr>
            <w:tcW w:w="0" w:type="auto"/>
            <w:gridSpan w:val="3"/>
            <w:shd w:val="clear" w:color="auto" w:fill="auto"/>
            <w:vAlign w:val="bottom"/>
          </w:tcPr>
          <w:p w14:paraId="392C2270" w14:textId="77777777" w:rsidR="00980E5F" w:rsidRDefault="00980E5F">
            <w:pPr>
              <w:rPr>
                <w:rFonts w:ascii="宋体"/>
                <w:vanish/>
              </w:rPr>
            </w:pPr>
          </w:p>
        </w:tc>
        <w:tc>
          <w:tcPr>
            <w:tcW w:w="0" w:type="auto"/>
            <w:gridSpan w:val="3"/>
            <w:shd w:val="clear" w:color="auto" w:fill="auto"/>
            <w:vAlign w:val="bottom"/>
          </w:tcPr>
          <w:p w14:paraId="392C2271" w14:textId="77777777" w:rsidR="00980E5F" w:rsidRDefault="00980E5F">
            <w:pPr>
              <w:rPr>
                <w:rFonts w:ascii="宋体"/>
                <w:vanish/>
              </w:rPr>
            </w:pPr>
          </w:p>
        </w:tc>
        <w:tc>
          <w:tcPr>
            <w:tcW w:w="0" w:type="auto"/>
            <w:gridSpan w:val="3"/>
            <w:shd w:val="clear" w:color="auto" w:fill="auto"/>
            <w:vAlign w:val="bottom"/>
          </w:tcPr>
          <w:p w14:paraId="392C2272" w14:textId="77777777" w:rsidR="00980E5F" w:rsidRDefault="00980E5F">
            <w:pPr>
              <w:rPr>
                <w:rFonts w:ascii="宋体"/>
                <w:vanish/>
              </w:rPr>
            </w:pPr>
          </w:p>
        </w:tc>
      </w:tr>
      <w:tr w:rsidR="00980E5F" w14:paraId="392C2286" w14:textId="77777777">
        <w:trPr>
          <w:hidden/>
        </w:trPr>
        <w:tc>
          <w:tcPr>
            <w:tcW w:w="0" w:type="auto"/>
            <w:gridSpan w:val="3"/>
            <w:shd w:val="clear" w:color="auto" w:fill="auto"/>
            <w:vAlign w:val="bottom"/>
          </w:tcPr>
          <w:p w14:paraId="392C2274" w14:textId="77777777" w:rsidR="00980E5F" w:rsidRDefault="00980E5F">
            <w:pPr>
              <w:rPr>
                <w:rFonts w:ascii="宋体"/>
                <w:vanish/>
              </w:rPr>
            </w:pPr>
          </w:p>
        </w:tc>
        <w:tc>
          <w:tcPr>
            <w:tcW w:w="0" w:type="auto"/>
            <w:gridSpan w:val="3"/>
            <w:shd w:val="clear" w:color="auto" w:fill="auto"/>
            <w:vAlign w:val="bottom"/>
          </w:tcPr>
          <w:p w14:paraId="392C2275" w14:textId="77777777" w:rsidR="00980E5F" w:rsidRDefault="00980E5F">
            <w:pPr>
              <w:rPr>
                <w:rFonts w:ascii="宋体"/>
                <w:vanish/>
              </w:rPr>
            </w:pPr>
          </w:p>
        </w:tc>
        <w:tc>
          <w:tcPr>
            <w:tcW w:w="0" w:type="auto"/>
            <w:gridSpan w:val="3"/>
            <w:shd w:val="clear" w:color="auto" w:fill="auto"/>
            <w:vAlign w:val="bottom"/>
          </w:tcPr>
          <w:p w14:paraId="392C2276" w14:textId="77777777" w:rsidR="00980E5F" w:rsidRDefault="00980E5F">
            <w:pPr>
              <w:rPr>
                <w:rFonts w:ascii="宋体"/>
                <w:vanish/>
              </w:rPr>
            </w:pPr>
          </w:p>
        </w:tc>
        <w:tc>
          <w:tcPr>
            <w:tcW w:w="0" w:type="auto"/>
            <w:gridSpan w:val="3"/>
            <w:shd w:val="clear" w:color="auto" w:fill="auto"/>
            <w:vAlign w:val="bottom"/>
          </w:tcPr>
          <w:p w14:paraId="392C2277" w14:textId="77777777" w:rsidR="00980E5F" w:rsidRDefault="00980E5F">
            <w:pPr>
              <w:rPr>
                <w:rFonts w:ascii="宋体"/>
                <w:vanish/>
              </w:rPr>
            </w:pPr>
          </w:p>
        </w:tc>
        <w:tc>
          <w:tcPr>
            <w:tcW w:w="0" w:type="auto"/>
            <w:gridSpan w:val="3"/>
            <w:shd w:val="clear" w:color="auto" w:fill="auto"/>
            <w:vAlign w:val="bottom"/>
          </w:tcPr>
          <w:p w14:paraId="392C2278" w14:textId="77777777" w:rsidR="00980E5F" w:rsidRDefault="00980E5F">
            <w:pPr>
              <w:rPr>
                <w:rFonts w:ascii="宋体"/>
                <w:vanish/>
              </w:rPr>
            </w:pPr>
          </w:p>
        </w:tc>
        <w:tc>
          <w:tcPr>
            <w:tcW w:w="0" w:type="auto"/>
            <w:gridSpan w:val="3"/>
            <w:shd w:val="clear" w:color="auto" w:fill="auto"/>
            <w:vAlign w:val="bottom"/>
          </w:tcPr>
          <w:p w14:paraId="392C2279" w14:textId="77777777" w:rsidR="00980E5F" w:rsidRDefault="00980E5F">
            <w:pPr>
              <w:rPr>
                <w:rFonts w:ascii="宋体"/>
                <w:vanish/>
              </w:rPr>
            </w:pPr>
          </w:p>
        </w:tc>
        <w:tc>
          <w:tcPr>
            <w:tcW w:w="0" w:type="auto"/>
            <w:gridSpan w:val="3"/>
            <w:shd w:val="clear" w:color="auto" w:fill="auto"/>
            <w:vAlign w:val="bottom"/>
          </w:tcPr>
          <w:p w14:paraId="392C227A" w14:textId="77777777" w:rsidR="00980E5F" w:rsidRDefault="00980E5F">
            <w:pPr>
              <w:rPr>
                <w:rFonts w:ascii="宋体"/>
                <w:vanish/>
              </w:rPr>
            </w:pPr>
          </w:p>
        </w:tc>
        <w:tc>
          <w:tcPr>
            <w:tcW w:w="0" w:type="auto"/>
            <w:gridSpan w:val="3"/>
            <w:shd w:val="clear" w:color="auto" w:fill="auto"/>
            <w:vAlign w:val="bottom"/>
          </w:tcPr>
          <w:p w14:paraId="392C227B" w14:textId="77777777" w:rsidR="00980E5F" w:rsidRDefault="00980E5F">
            <w:pPr>
              <w:rPr>
                <w:rFonts w:ascii="宋体"/>
                <w:vanish/>
              </w:rPr>
            </w:pPr>
          </w:p>
        </w:tc>
        <w:tc>
          <w:tcPr>
            <w:tcW w:w="0" w:type="auto"/>
            <w:gridSpan w:val="3"/>
            <w:shd w:val="clear" w:color="auto" w:fill="auto"/>
            <w:vAlign w:val="bottom"/>
          </w:tcPr>
          <w:p w14:paraId="392C227C" w14:textId="77777777" w:rsidR="00980E5F" w:rsidRDefault="00980E5F">
            <w:pPr>
              <w:rPr>
                <w:rFonts w:ascii="宋体"/>
                <w:vanish/>
              </w:rPr>
            </w:pPr>
          </w:p>
        </w:tc>
        <w:tc>
          <w:tcPr>
            <w:tcW w:w="0" w:type="auto"/>
            <w:gridSpan w:val="3"/>
            <w:shd w:val="clear" w:color="auto" w:fill="auto"/>
            <w:vAlign w:val="bottom"/>
          </w:tcPr>
          <w:p w14:paraId="392C227D" w14:textId="77777777" w:rsidR="00980E5F" w:rsidRDefault="00980E5F">
            <w:pPr>
              <w:rPr>
                <w:rFonts w:ascii="宋体"/>
                <w:vanish/>
              </w:rPr>
            </w:pPr>
          </w:p>
        </w:tc>
        <w:tc>
          <w:tcPr>
            <w:tcW w:w="0" w:type="auto"/>
            <w:gridSpan w:val="3"/>
            <w:shd w:val="clear" w:color="auto" w:fill="auto"/>
            <w:vAlign w:val="bottom"/>
          </w:tcPr>
          <w:p w14:paraId="392C227E" w14:textId="77777777" w:rsidR="00980E5F" w:rsidRDefault="00980E5F">
            <w:pPr>
              <w:rPr>
                <w:rFonts w:ascii="宋体"/>
                <w:vanish/>
              </w:rPr>
            </w:pPr>
          </w:p>
        </w:tc>
        <w:tc>
          <w:tcPr>
            <w:tcW w:w="0" w:type="auto"/>
            <w:gridSpan w:val="3"/>
            <w:shd w:val="clear" w:color="auto" w:fill="auto"/>
            <w:vAlign w:val="bottom"/>
          </w:tcPr>
          <w:p w14:paraId="392C227F" w14:textId="77777777" w:rsidR="00980E5F" w:rsidRDefault="00980E5F">
            <w:pPr>
              <w:rPr>
                <w:rFonts w:ascii="宋体"/>
                <w:vanish/>
              </w:rPr>
            </w:pPr>
          </w:p>
        </w:tc>
        <w:tc>
          <w:tcPr>
            <w:tcW w:w="0" w:type="auto"/>
            <w:gridSpan w:val="3"/>
            <w:shd w:val="clear" w:color="auto" w:fill="auto"/>
            <w:vAlign w:val="bottom"/>
          </w:tcPr>
          <w:p w14:paraId="392C2280" w14:textId="77777777" w:rsidR="00980E5F" w:rsidRDefault="00980E5F">
            <w:pPr>
              <w:rPr>
                <w:rFonts w:ascii="宋体"/>
                <w:vanish/>
              </w:rPr>
            </w:pPr>
          </w:p>
        </w:tc>
        <w:tc>
          <w:tcPr>
            <w:tcW w:w="0" w:type="auto"/>
            <w:gridSpan w:val="3"/>
            <w:shd w:val="clear" w:color="auto" w:fill="auto"/>
            <w:vAlign w:val="bottom"/>
          </w:tcPr>
          <w:p w14:paraId="392C2281" w14:textId="77777777" w:rsidR="00980E5F" w:rsidRDefault="00980E5F">
            <w:pPr>
              <w:rPr>
                <w:rFonts w:ascii="宋体"/>
                <w:vanish/>
              </w:rPr>
            </w:pPr>
          </w:p>
        </w:tc>
        <w:tc>
          <w:tcPr>
            <w:tcW w:w="0" w:type="auto"/>
            <w:gridSpan w:val="3"/>
            <w:shd w:val="clear" w:color="auto" w:fill="auto"/>
            <w:vAlign w:val="bottom"/>
          </w:tcPr>
          <w:p w14:paraId="392C2282" w14:textId="77777777" w:rsidR="00980E5F" w:rsidRDefault="00980E5F">
            <w:pPr>
              <w:rPr>
                <w:rFonts w:ascii="宋体"/>
                <w:vanish/>
              </w:rPr>
            </w:pPr>
          </w:p>
        </w:tc>
        <w:tc>
          <w:tcPr>
            <w:tcW w:w="0" w:type="auto"/>
            <w:gridSpan w:val="3"/>
            <w:shd w:val="clear" w:color="auto" w:fill="auto"/>
            <w:vAlign w:val="bottom"/>
          </w:tcPr>
          <w:p w14:paraId="392C2283" w14:textId="77777777" w:rsidR="00980E5F" w:rsidRDefault="00980E5F">
            <w:pPr>
              <w:rPr>
                <w:rFonts w:ascii="宋体"/>
                <w:vanish/>
              </w:rPr>
            </w:pPr>
          </w:p>
        </w:tc>
        <w:tc>
          <w:tcPr>
            <w:tcW w:w="0" w:type="auto"/>
            <w:gridSpan w:val="3"/>
            <w:shd w:val="clear" w:color="auto" w:fill="auto"/>
            <w:vAlign w:val="bottom"/>
          </w:tcPr>
          <w:p w14:paraId="392C2284" w14:textId="77777777" w:rsidR="00980E5F" w:rsidRDefault="00980E5F">
            <w:pPr>
              <w:rPr>
                <w:rFonts w:ascii="宋体"/>
                <w:vanish/>
              </w:rPr>
            </w:pPr>
          </w:p>
        </w:tc>
        <w:tc>
          <w:tcPr>
            <w:tcW w:w="0" w:type="auto"/>
            <w:gridSpan w:val="3"/>
            <w:shd w:val="clear" w:color="auto" w:fill="auto"/>
            <w:vAlign w:val="bottom"/>
          </w:tcPr>
          <w:p w14:paraId="392C2285" w14:textId="77777777" w:rsidR="00980E5F" w:rsidRDefault="00980E5F">
            <w:pPr>
              <w:rPr>
                <w:rFonts w:ascii="宋体"/>
                <w:vanish/>
              </w:rPr>
            </w:pPr>
          </w:p>
        </w:tc>
      </w:tr>
      <w:tr w:rsidR="00980E5F" w14:paraId="392C2299" w14:textId="77777777">
        <w:trPr>
          <w:hidden/>
        </w:trPr>
        <w:tc>
          <w:tcPr>
            <w:tcW w:w="0" w:type="auto"/>
            <w:gridSpan w:val="3"/>
            <w:shd w:val="clear" w:color="auto" w:fill="auto"/>
            <w:vAlign w:val="bottom"/>
          </w:tcPr>
          <w:p w14:paraId="392C2287" w14:textId="77777777" w:rsidR="00980E5F" w:rsidRDefault="00980E5F">
            <w:pPr>
              <w:rPr>
                <w:rFonts w:ascii="宋体"/>
                <w:vanish/>
              </w:rPr>
            </w:pPr>
          </w:p>
        </w:tc>
        <w:tc>
          <w:tcPr>
            <w:tcW w:w="0" w:type="auto"/>
            <w:gridSpan w:val="3"/>
            <w:shd w:val="clear" w:color="auto" w:fill="auto"/>
            <w:vAlign w:val="bottom"/>
          </w:tcPr>
          <w:p w14:paraId="392C2288" w14:textId="77777777" w:rsidR="00980E5F" w:rsidRDefault="00980E5F">
            <w:pPr>
              <w:rPr>
                <w:rFonts w:ascii="宋体"/>
                <w:vanish/>
              </w:rPr>
            </w:pPr>
          </w:p>
        </w:tc>
        <w:tc>
          <w:tcPr>
            <w:tcW w:w="0" w:type="auto"/>
            <w:gridSpan w:val="3"/>
            <w:shd w:val="clear" w:color="auto" w:fill="auto"/>
            <w:vAlign w:val="bottom"/>
          </w:tcPr>
          <w:p w14:paraId="392C2289" w14:textId="77777777" w:rsidR="00980E5F" w:rsidRDefault="00980E5F">
            <w:pPr>
              <w:rPr>
                <w:rFonts w:ascii="宋体"/>
                <w:vanish/>
              </w:rPr>
            </w:pPr>
          </w:p>
        </w:tc>
        <w:tc>
          <w:tcPr>
            <w:tcW w:w="0" w:type="auto"/>
            <w:gridSpan w:val="3"/>
            <w:shd w:val="clear" w:color="auto" w:fill="auto"/>
            <w:vAlign w:val="bottom"/>
          </w:tcPr>
          <w:p w14:paraId="392C228A" w14:textId="77777777" w:rsidR="00980E5F" w:rsidRDefault="00980E5F">
            <w:pPr>
              <w:rPr>
                <w:rFonts w:ascii="宋体"/>
                <w:vanish/>
              </w:rPr>
            </w:pPr>
          </w:p>
        </w:tc>
        <w:tc>
          <w:tcPr>
            <w:tcW w:w="0" w:type="auto"/>
            <w:gridSpan w:val="3"/>
            <w:shd w:val="clear" w:color="auto" w:fill="auto"/>
            <w:vAlign w:val="bottom"/>
          </w:tcPr>
          <w:p w14:paraId="392C228B" w14:textId="77777777" w:rsidR="00980E5F" w:rsidRDefault="00980E5F">
            <w:pPr>
              <w:rPr>
                <w:rFonts w:ascii="宋体"/>
                <w:vanish/>
              </w:rPr>
            </w:pPr>
          </w:p>
        </w:tc>
        <w:tc>
          <w:tcPr>
            <w:tcW w:w="0" w:type="auto"/>
            <w:gridSpan w:val="3"/>
            <w:shd w:val="clear" w:color="auto" w:fill="auto"/>
            <w:vAlign w:val="bottom"/>
          </w:tcPr>
          <w:p w14:paraId="392C228C" w14:textId="77777777" w:rsidR="00980E5F" w:rsidRDefault="00980E5F">
            <w:pPr>
              <w:rPr>
                <w:rFonts w:ascii="宋体"/>
                <w:vanish/>
              </w:rPr>
            </w:pPr>
          </w:p>
        </w:tc>
        <w:tc>
          <w:tcPr>
            <w:tcW w:w="0" w:type="auto"/>
            <w:gridSpan w:val="3"/>
            <w:shd w:val="clear" w:color="auto" w:fill="auto"/>
            <w:vAlign w:val="bottom"/>
          </w:tcPr>
          <w:p w14:paraId="392C228D" w14:textId="77777777" w:rsidR="00980E5F" w:rsidRDefault="00980E5F">
            <w:pPr>
              <w:rPr>
                <w:rFonts w:ascii="宋体"/>
                <w:vanish/>
              </w:rPr>
            </w:pPr>
          </w:p>
        </w:tc>
        <w:tc>
          <w:tcPr>
            <w:tcW w:w="0" w:type="auto"/>
            <w:gridSpan w:val="3"/>
            <w:shd w:val="clear" w:color="auto" w:fill="auto"/>
            <w:vAlign w:val="bottom"/>
          </w:tcPr>
          <w:p w14:paraId="392C228E" w14:textId="77777777" w:rsidR="00980E5F" w:rsidRDefault="00980E5F">
            <w:pPr>
              <w:rPr>
                <w:rFonts w:ascii="宋体"/>
                <w:vanish/>
              </w:rPr>
            </w:pPr>
          </w:p>
        </w:tc>
        <w:tc>
          <w:tcPr>
            <w:tcW w:w="0" w:type="auto"/>
            <w:gridSpan w:val="3"/>
            <w:shd w:val="clear" w:color="auto" w:fill="auto"/>
            <w:vAlign w:val="bottom"/>
          </w:tcPr>
          <w:p w14:paraId="392C228F" w14:textId="77777777" w:rsidR="00980E5F" w:rsidRDefault="00980E5F">
            <w:pPr>
              <w:rPr>
                <w:rFonts w:ascii="宋体"/>
                <w:vanish/>
              </w:rPr>
            </w:pPr>
          </w:p>
        </w:tc>
        <w:tc>
          <w:tcPr>
            <w:tcW w:w="0" w:type="auto"/>
            <w:gridSpan w:val="3"/>
            <w:shd w:val="clear" w:color="auto" w:fill="auto"/>
            <w:vAlign w:val="bottom"/>
          </w:tcPr>
          <w:p w14:paraId="392C2290" w14:textId="77777777" w:rsidR="00980E5F" w:rsidRDefault="00980E5F">
            <w:pPr>
              <w:rPr>
                <w:rFonts w:ascii="宋体"/>
                <w:vanish/>
              </w:rPr>
            </w:pPr>
          </w:p>
        </w:tc>
        <w:tc>
          <w:tcPr>
            <w:tcW w:w="0" w:type="auto"/>
            <w:gridSpan w:val="3"/>
            <w:shd w:val="clear" w:color="auto" w:fill="auto"/>
            <w:vAlign w:val="bottom"/>
          </w:tcPr>
          <w:p w14:paraId="392C2291" w14:textId="77777777" w:rsidR="00980E5F" w:rsidRDefault="00980E5F">
            <w:pPr>
              <w:rPr>
                <w:rFonts w:ascii="宋体"/>
                <w:vanish/>
              </w:rPr>
            </w:pPr>
          </w:p>
        </w:tc>
        <w:tc>
          <w:tcPr>
            <w:tcW w:w="0" w:type="auto"/>
            <w:gridSpan w:val="3"/>
            <w:shd w:val="clear" w:color="auto" w:fill="auto"/>
            <w:vAlign w:val="bottom"/>
          </w:tcPr>
          <w:p w14:paraId="392C2292" w14:textId="77777777" w:rsidR="00980E5F" w:rsidRDefault="00980E5F">
            <w:pPr>
              <w:rPr>
                <w:rFonts w:ascii="宋体"/>
                <w:vanish/>
              </w:rPr>
            </w:pPr>
          </w:p>
        </w:tc>
        <w:tc>
          <w:tcPr>
            <w:tcW w:w="0" w:type="auto"/>
            <w:gridSpan w:val="3"/>
            <w:shd w:val="clear" w:color="auto" w:fill="auto"/>
            <w:vAlign w:val="bottom"/>
          </w:tcPr>
          <w:p w14:paraId="392C2293" w14:textId="77777777" w:rsidR="00980E5F" w:rsidRDefault="00980E5F">
            <w:pPr>
              <w:rPr>
                <w:rFonts w:ascii="宋体"/>
                <w:vanish/>
              </w:rPr>
            </w:pPr>
          </w:p>
        </w:tc>
        <w:tc>
          <w:tcPr>
            <w:tcW w:w="0" w:type="auto"/>
            <w:gridSpan w:val="3"/>
            <w:shd w:val="clear" w:color="auto" w:fill="auto"/>
            <w:vAlign w:val="bottom"/>
          </w:tcPr>
          <w:p w14:paraId="392C2294" w14:textId="77777777" w:rsidR="00980E5F" w:rsidRDefault="00980E5F">
            <w:pPr>
              <w:rPr>
                <w:rFonts w:ascii="宋体"/>
                <w:vanish/>
              </w:rPr>
            </w:pPr>
          </w:p>
        </w:tc>
        <w:tc>
          <w:tcPr>
            <w:tcW w:w="0" w:type="auto"/>
            <w:gridSpan w:val="3"/>
            <w:shd w:val="clear" w:color="auto" w:fill="auto"/>
            <w:vAlign w:val="bottom"/>
          </w:tcPr>
          <w:p w14:paraId="392C2295" w14:textId="77777777" w:rsidR="00980E5F" w:rsidRDefault="00980E5F">
            <w:pPr>
              <w:rPr>
                <w:rFonts w:ascii="宋体"/>
                <w:vanish/>
              </w:rPr>
            </w:pPr>
          </w:p>
        </w:tc>
        <w:tc>
          <w:tcPr>
            <w:tcW w:w="0" w:type="auto"/>
            <w:gridSpan w:val="3"/>
            <w:shd w:val="clear" w:color="auto" w:fill="auto"/>
            <w:vAlign w:val="bottom"/>
          </w:tcPr>
          <w:p w14:paraId="392C2296" w14:textId="77777777" w:rsidR="00980E5F" w:rsidRDefault="00980E5F">
            <w:pPr>
              <w:rPr>
                <w:rFonts w:ascii="宋体"/>
                <w:vanish/>
              </w:rPr>
            </w:pPr>
          </w:p>
        </w:tc>
        <w:tc>
          <w:tcPr>
            <w:tcW w:w="0" w:type="auto"/>
            <w:gridSpan w:val="3"/>
            <w:shd w:val="clear" w:color="auto" w:fill="auto"/>
            <w:vAlign w:val="bottom"/>
          </w:tcPr>
          <w:p w14:paraId="392C2297" w14:textId="77777777" w:rsidR="00980E5F" w:rsidRDefault="00980E5F">
            <w:pPr>
              <w:rPr>
                <w:rFonts w:ascii="宋体"/>
                <w:vanish/>
              </w:rPr>
            </w:pPr>
          </w:p>
        </w:tc>
        <w:tc>
          <w:tcPr>
            <w:tcW w:w="0" w:type="auto"/>
            <w:gridSpan w:val="3"/>
            <w:shd w:val="clear" w:color="auto" w:fill="auto"/>
            <w:vAlign w:val="bottom"/>
          </w:tcPr>
          <w:p w14:paraId="392C2298" w14:textId="77777777" w:rsidR="00980E5F" w:rsidRDefault="00980E5F">
            <w:pPr>
              <w:rPr>
                <w:rFonts w:ascii="宋体"/>
                <w:vanish/>
              </w:rPr>
            </w:pPr>
          </w:p>
        </w:tc>
      </w:tr>
      <w:tr w:rsidR="00980E5F" w14:paraId="392C22B2" w14:textId="77777777">
        <w:tc>
          <w:tcPr>
            <w:tcW w:w="0" w:type="auto"/>
            <w:gridSpan w:val="9"/>
            <w:shd w:val="clear" w:color="auto" w:fill="FFFFFF"/>
            <w:tcMar>
              <w:top w:w="40" w:type="dxa"/>
              <w:left w:w="155" w:type="dxa"/>
              <w:bottom w:w="40" w:type="dxa"/>
              <w:right w:w="20" w:type="dxa"/>
            </w:tcMar>
            <w:vAlign w:val="bottom"/>
          </w:tcPr>
          <w:p w14:paraId="392C229A" w14:textId="77777777" w:rsidR="00980E5F" w:rsidRDefault="00483613">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392C229B"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9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9E"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9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A1"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22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A4"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22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A7"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AA"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2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AD"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22A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2A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2B0"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22B1" w14:textId="77777777" w:rsidR="00980E5F" w:rsidRDefault="00980E5F">
            <w:pPr>
              <w:jc w:val="right"/>
              <w:rPr>
                <w:rFonts w:ascii="宋体"/>
              </w:rPr>
            </w:pPr>
          </w:p>
        </w:tc>
      </w:tr>
      <w:tr w:rsidR="00483613" w14:paraId="392C22D3" w14:textId="77777777">
        <w:tc>
          <w:tcPr>
            <w:tcW w:w="0" w:type="auto"/>
            <w:gridSpan w:val="9"/>
            <w:shd w:val="clear" w:color="auto" w:fill="CCEEFF"/>
            <w:tcMar>
              <w:top w:w="40" w:type="dxa"/>
              <w:left w:w="20" w:type="dxa"/>
              <w:bottom w:w="40" w:type="dxa"/>
              <w:right w:w="20" w:type="dxa"/>
            </w:tcMar>
            <w:vAlign w:val="bottom"/>
          </w:tcPr>
          <w:p w14:paraId="392C22B3" w14:textId="77777777" w:rsidR="00980E5F" w:rsidRDefault="00483613">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2B4"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B5" w14:textId="77777777" w:rsidR="00980E5F" w:rsidRDefault="00483613">
            <w:pPr>
              <w:jc w:val="right"/>
              <w:textAlignment w:val="bottom"/>
            </w:pPr>
            <w:r>
              <w:rPr>
                <w:rFonts w:ascii="Arial" w:eastAsia="宋体" w:hAnsi="Arial" w:cs="Arial"/>
                <w:b/>
                <w:bCs/>
                <w:color w:val="000000"/>
                <w:sz w:val="12"/>
                <w:szCs w:val="12"/>
              </w:rPr>
              <w:t>110,447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B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B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B9" w14:textId="77777777" w:rsidR="00980E5F" w:rsidRDefault="00483613">
            <w:pPr>
              <w:jc w:val="right"/>
              <w:textAlignment w:val="bottom"/>
            </w:pPr>
            <w:r>
              <w:rPr>
                <w:rFonts w:ascii="Arial" w:eastAsia="宋体" w:hAnsi="Arial" w:cs="Arial"/>
                <w:b/>
                <w:bCs/>
                <w:color w:val="000000"/>
                <w:sz w:val="12"/>
                <w:szCs w:val="12"/>
              </w:rPr>
              <w:t>115,404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B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BC"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BD" w14:textId="77777777" w:rsidR="00980E5F" w:rsidRDefault="00483613">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B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C0"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C1" w14:textId="77777777" w:rsidR="00980E5F" w:rsidRDefault="00483613">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C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C4"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C5" w14:textId="77777777" w:rsidR="00980E5F" w:rsidRDefault="00483613">
            <w:pPr>
              <w:jc w:val="right"/>
              <w:textAlignment w:val="bottom"/>
            </w:pPr>
            <w:r>
              <w:rPr>
                <w:rFonts w:ascii="Arial" w:eastAsia="宋体" w:hAnsi="Arial" w:cs="Arial"/>
                <w:b/>
                <w:bCs/>
                <w:color w:val="000000"/>
                <w:sz w:val="12"/>
                <w:szCs w:val="12"/>
              </w:rPr>
              <w:t>100,579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C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C8"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C9" w14:textId="77777777" w:rsidR="00980E5F" w:rsidRDefault="00483613">
            <w:pPr>
              <w:jc w:val="right"/>
              <w:textAlignment w:val="bottom"/>
            </w:pPr>
            <w:r>
              <w:rPr>
                <w:rFonts w:ascii="Arial" w:eastAsia="宋体" w:hAnsi="Arial" w:cs="Arial"/>
                <w:b/>
                <w:bCs/>
                <w:color w:val="000000"/>
                <w:sz w:val="12"/>
                <w:szCs w:val="12"/>
              </w:rPr>
              <w:t>112,788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C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CC"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CD" w14:textId="77777777" w:rsidR="00980E5F" w:rsidRDefault="00483613">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2C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2D0"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2D1" w14:textId="77777777" w:rsidR="00980E5F" w:rsidRDefault="00483613">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2D2" w14:textId="77777777" w:rsidR="00980E5F" w:rsidRDefault="00980E5F">
            <w:pPr>
              <w:jc w:val="right"/>
              <w:rPr>
                <w:rFonts w:ascii="宋体"/>
              </w:rPr>
            </w:pPr>
          </w:p>
        </w:tc>
      </w:tr>
      <w:tr w:rsidR="00980E5F" w14:paraId="392C22E6" w14:textId="77777777">
        <w:trPr>
          <w:hidden/>
        </w:trPr>
        <w:tc>
          <w:tcPr>
            <w:tcW w:w="0" w:type="auto"/>
            <w:gridSpan w:val="3"/>
            <w:shd w:val="clear" w:color="auto" w:fill="auto"/>
            <w:vAlign w:val="bottom"/>
          </w:tcPr>
          <w:p w14:paraId="392C22D4" w14:textId="77777777" w:rsidR="00980E5F" w:rsidRDefault="00980E5F">
            <w:pPr>
              <w:rPr>
                <w:rFonts w:ascii="宋体"/>
                <w:vanish/>
              </w:rPr>
            </w:pPr>
          </w:p>
        </w:tc>
        <w:tc>
          <w:tcPr>
            <w:tcW w:w="0" w:type="auto"/>
            <w:gridSpan w:val="3"/>
            <w:shd w:val="clear" w:color="auto" w:fill="auto"/>
            <w:vAlign w:val="bottom"/>
          </w:tcPr>
          <w:p w14:paraId="392C22D5" w14:textId="77777777" w:rsidR="00980E5F" w:rsidRDefault="00980E5F">
            <w:pPr>
              <w:rPr>
                <w:rFonts w:ascii="宋体"/>
                <w:vanish/>
              </w:rPr>
            </w:pPr>
          </w:p>
        </w:tc>
        <w:tc>
          <w:tcPr>
            <w:tcW w:w="0" w:type="auto"/>
            <w:gridSpan w:val="3"/>
            <w:shd w:val="clear" w:color="auto" w:fill="auto"/>
            <w:vAlign w:val="bottom"/>
          </w:tcPr>
          <w:p w14:paraId="392C22D6" w14:textId="77777777" w:rsidR="00980E5F" w:rsidRDefault="00980E5F">
            <w:pPr>
              <w:rPr>
                <w:rFonts w:ascii="宋体"/>
                <w:vanish/>
              </w:rPr>
            </w:pPr>
          </w:p>
        </w:tc>
        <w:tc>
          <w:tcPr>
            <w:tcW w:w="0" w:type="auto"/>
            <w:gridSpan w:val="3"/>
            <w:shd w:val="clear" w:color="auto" w:fill="auto"/>
            <w:vAlign w:val="bottom"/>
          </w:tcPr>
          <w:p w14:paraId="392C22D7" w14:textId="77777777" w:rsidR="00980E5F" w:rsidRDefault="00980E5F">
            <w:pPr>
              <w:rPr>
                <w:rFonts w:ascii="宋体"/>
                <w:vanish/>
              </w:rPr>
            </w:pPr>
          </w:p>
        </w:tc>
        <w:tc>
          <w:tcPr>
            <w:tcW w:w="0" w:type="auto"/>
            <w:gridSpan w:val="3"/>
            <w:shd w:val="clear" w:color="auto" w:fill="auto"/>
            <w:vAlign w:val="bottom"/>
          </w:tcPr>
          <w:p w14:paraId="392C22D8" w14:textId="77777777" w:rsidR="00980E5F" w:rsidRDefault="00980E5F">
            <w:pPr>
              <w:rPr>
                <w:rFonts w:ascii="宋体"/>
                <w:vanish/>
              </w:rPr>
            </w:pPr>
          </w:p>
        </w:tc>
        <w:tc>
          <w:tcPr>
            <w:tcW w:w="0" w:type="auto"/>
            <w:gridSpan w:val="3"/>
            <w:shd w:val="clear" w:color="auto" w:fill="auto"/>
            <w:vAlign w:val="bottom"/>
          </w:tcPr>
          <w:p w14:paraId="392C22D9" w14:textId="77777777" w:rsidR="00980E5F" w:rsidRDefault="00980E5F">
            <w:pPr>
              <w:rPr>
                <w:rFonts w:ascii="宋体"/>
                <w:vanish/>
              </w:rPr>
            </w:pPr>
          </w:p>
        </w:tc>
        <w:tc>
          <w:tcPr>
            <w:tcW w:w="0" w:type="auto"/>
            <w:gridSpan w:val="3"/>
            <w:shd w:val="clear" w:color="auto" w:fill="auto"/>
            <w:vAlign w:val="bottom"/>
          </w:tcPr>
          <w:p w14:paraId="392C22DA" w14:textId="77777777" w:rsidR="00980E5F" w:rsidRDefault="00980E5F">
            <w:pPr>
              <w:rPr>
                <w:rFonts w:ascii="宋体"/>
                <w:vanish/>
              </w:rPr>
            </w:pPr>
          </w:p>
        </w:tc>
        <w:tc>
          <w:tcPr>
            <w:tcW w:w="0" w:type="auto"/>
            <w:gridSpan w:val="3"/>
            <w:shd w:val="clear" w:color="auto" w:fill="auto"/>
            <w:vAlign w:val="bottom"/>
          </w:tcPr>
          <w:p w14:paraId="392C22DB" w14:textId="77777777" w:rsidR="00980E5F" w:rsidRDefault="00980E5F">
            <w:pPr>
              <w:rPr>
                <w:rFonts w:ascii="宋体"/>
                <w:vanish/>
              </w:rPr>
            </w:pPr>
          </w:p>
        </w:tc>
        <w:tc>
          <w:tcPr>
            <w:tcW w:w="0" w:type="auto"/>
            <w:gridSpan w:val="3"/>
            <w:shd w:val="clear" w:color="auto" w:fill="auto"/>
            <w:vAlign w:val="bottom"/>
          </w:tcPr>
          <w:p w14:paraId="392C22DC" w14:textId="77777777" w:rsidR="00980E5F" w:rsidRDefault="00980E5F">
            <w:pPr>
              <w:rPr>
                <w:rFonts w:ascii="宋体"/>
                <w:vanish/>
              </w:rPr>
            </w:pPr>
          </w:p>
        </w:tc>
        <w:tc>
          <w:tcPr>
            <w:tcW w:w="0" w:type="auto"/>
            <w:gridSpan w:val="3"/>
            <w:shd w:val="clear" w:color="auto" w:fill="auto"/>
            <w:vAlign w:val="bottom"/>
          </w:tcPr>
          <w:p w14:paraId="392C22DD" w14:textId="77777777" w:rsidR="00980E5F" w:rsidRDefault="00980E5F">
            <w:pPr>
              <w:rPr>
                <w:rFonts w:ascii="宋体"/>
                <w:vanish/>
              </w:rPr>
            </w:pPr>
          </w:p>
        </w:tc>
        <w:tc>
          <w:tcPr>
            <w:tcW w:w="0" w:type="auto"/>
            <w:gridSpan w:val="3"/>
            <w:shd w:val="clear" w:color="auto" w:fill="auto"/>
            <w:vAlign w:val="bottom"/>
          </w:tcPr>
          <w:p w14:paraId="392C22DE" w14:textId="77777777" w:rsidR="00980E5F" w:rsidRDefault="00980E5F">
            <w:pPr>
              <w:rPr>
                <w:rFonts w:ascii="宋体"/>
                <w:vanish/>
              </w:rPr>
            </w:pPr>
          </w:p>
        </w:tc>
        <w:tc>
          <w:tcPr>
            <w:tcW w:w="0" w:type="auto"/>
            <w:gridSpan w:val="3"/>
            <w:shd w:val="clear" w:color="auto" w:fill="auto"/>
            <w:vAlign w:val="bottom"/>
          </w:tcPr>
          <w:p w14:paraId="392C22DF" w14:textId="77777777" w:rsidR="00980E5F" w:rsidRDefault="00980E5F">
            <w:pPr>
              <w:rPr>
                <w:rFonts w:ascii="宋体"/>
                <w:vanish/>
              </w:rPr>
            </w:pPr>
          </w:p>
        </w:tc>
        <w:tc>
          <w:tcPr>
            <w:tcW w:w="0" w:type="auto"/>
            <w:gridSpan w:val="3"/>
            <w:shd w:val="clear" w:color="auto" w:fill="auto"/>
            <w:vAlign w:val="bottom"/>
          </w:tcPr>
          <w:p w14:paraId="392C22E0" w14:textId="77777777" w:rsidR="00980E5F" w:rsidRDefault="00980E5F">
            <w:pPr>
              <w:rPr>
                <w:rFonts w:ascii="宋体"/>
                <w:vanish/>
              </w:rPr>
            </w:pPr>
          </w:p>
        </w:tc>
        <w:tc>
          <w:tcPr>
            <w:tcW w:w="0" w:type="auto"/>
            <w:gridSpan w:val="3"/>
            <w:shd w:val="clear" w:color="auto" w:fill="auto"/>
            <w:vAlign w:val="bottom"/>
          </w:tcPr>
          <w:p w14:paraId="392C22E1" w14:textId="77777777" w:rsidR="00980E5F" w:rsidRDefault="00980E5F">
            <w:pPr>
              <w:rPr>
                <w:rFonts w:ascii="宋体"/>
                <w:vanish/>
              </w:rPr>
            </w:pPr>
          </w:p>
        </w:tc>
        <w:tc>
          <w:tcPr>
            <w:tcW w:w="0" w:type="auto"/>
            <w:gridSpan w:val="3"/>
            <w:shd w:val="clear" w:color="auto" w:fill="auto"/>
            <w:vAlign w:val="bottom"/>
          </w:tcPr>
          <w:p w14:paraId="392C22E2" w14:textId="77777777" w:rsidR="00980E5F" w:rsidRDefault="00980E5F">
            <w:pPr>
              <w:rPr>
                <w:rFonts w:ascii="宋体"/>
                <w:vanish/>
              </w:rPr>
            </w:pPr>
          </w:p>
        </w:tc>
        <w:tc>
          <w:tcPr>
            <w:tcW w:w="0" w:type="auto"/>
            <w:gridSpan w:val="3"/>
            <w:shd w:val="clear" w:color="auto" w:fill="auto"/>
            <w:vAlign w:val="bottom"/>
          </w:tcPr>
          <w:p w14:paraId="392C22E3" w14:textId="77777777" w:rsidR="00980E5F" w:rsidRDefault="00980E5F">
            <w:pPr>
              <w:rPr>
                <w:rFonts w:ascii="宋体"/>
                <w:vanish/>
              </w:rPr>
            </w:pPr>
          </w:p>
        </w:tc>
        <w:tc>
          <w:tcPr>
            <w:tcW w:w="0" w:type="auto"/>
            <w:gridSpan w:val="3"/>
            <w:shd w:val="clear" w:color="auto" w:fill="auto"/>
            <w:vAlign w:val="bottom"/>
          </w:tcPr>
          <w:p w14:paraId="392C22E4" w14:textId="77777777" w:rsidR="00980E5F" w:rsidRDefault="00980E5F">
            <w:pPr>
              <w:rPr>
                <w:rFonts w:ascii="宋体"/>
                <w:vanish/>
              </w:rPr>
            </w:pPr>
          </w:p>
        </w:tc>
        <w:tc>
          <w:tcPr>
            <w:tcW w:w="0" w:type="auto"/>
            <w:gridSpan w:val="3"/>
            <w:shd w:val="clear" w:color="auto" w:fill="auto"/>
            <w:vAlign w:val="bottom"/>
          </w:tcPr>
          <w:p w14:paraId="392C22E5" w14:textId="77777777" w:rsidR="00980E5F" w:rsidRDefault="00980E5F">
            <w:pPr>
              <w:rPr>
                <w:rFonts w:ascii="宋体"/>
                <w:vanish/>
              </w:rPr>
            </w:pPr>
          </w:p>
        </w:tc>
      </w:tr>
      <w:tr w:rsidR="00980E5F" w14:paraId="392C22FD" w14:textId="77777777">
        <w:trPr>
          <w:hidden/>
        </w:trPr>
        <w:tc>
          <w:tcPr>
            <w:tcW w:w="0" w:type="auto"/>
            <w:gridSpan w:val="3"/>
            <w:shd w:val="clear" w:color="auto" w:fill="auto"/>
            <w:vAlign w:val="bottom"/>
          </w:tcPr>
          <w:p w14:paraId="392C22E7" w14:textId="77777777" w:rsidR="00980E5F" w:rsidRDefault="00980E5F">
            <w:pPr>
              <w:rPr>
                <w:rFonts w:ascii="宋体"/>
                <w:vanish/>
              </w:rPr>
            </w:pPr>
          </w:p>
        </w:tc>
        <w:tc>
          <w:tcPr>
            <w:tcW w:w="0" w:type="auto"/>
            <w:gridSpan w:val="3"/>
            <w:shd w:val="clear" w:color="auto" w:fill="auto"/>
            <w:vAlign w:val="bottom"/>
          </w:tcPr>
          <w:p w14:paraId="392C22E8" w14:textId="77777777" w:rsidR="00980E5F" w:rsidRDefault="00980E5F">
            <w:pPr>
              <w:rPr>
                <w:rFonts w:ascii="宋体"/>
                <w:vanish/>
              </w:rPr>
            </w:pPr>
          </w:p>
        </w:tc>
        <w:tc>
          <w:tcPr>
            <w:tcW w:w="0" w:type="auto"/>
            <w:gridSpan w:val="3"/>
            <w:shd w:val="clear" w:color="auto" w:fill="auto"/>
            <w:vAlign w:val="bottom"/>
          </w:tcPr>
          <w:p w14:paraId="392C22E9" w14:textId="77777777" w:rsidR="00980E5F" w:rsidRDefault="00980E5F">
            <w:pPr>
              <w:rPr>
                <w:rFonts w:ascii="宋体"/>
                <w:vanish/>
              </w:rPr>
            </w:pPr>
          </w:p>
        </w:tc>
        <w:tc>
          <w:tcPr>
            <w:tcW w:w="0" w:type="auto"/>
            <w:gridSpan w:val="3"/>
            <w:shd w:val="clear" w:color="auto" w:fill="auto"/>
            <w:vAlign w:val="bottom"/>
          </w:tcPr>
          <w:p w14:paraId="392C22EA" w14:textId="77777777" w:rsidR="00980E5F" w:rsidRDefault="00980E5F">
            <w:pPr>
              <w:rPr>
                <w:rFonts w:ascii="宋体"/>
                <w:vanish/>
              </w:rPr>
            </w:pPr>
          </w:p>
        </w:tc>
        <w:tc>
          <w:tcPr>
            <w:tcW w:w="0" w:type="auto"/>
            <w:gridSpan w:val="3"/>
            <w:shd w:val="clear" w:color="auto" w:fill="auto"/>
            <w:vAlign w:val="bottom"/>
          </w:tcPr>
          <w:p w14:paraId="392C22EB" w14:textId="77777777" w:rsidR="00980E5F" w:rsidRDefault="00980E5F">
            <w:pPr>
              <w:rPr>
                <w:rFonts w:ascii="宋体"/>
                <w:vanish/>
              </w:rPr>
            </w:pPr>
          </w:p>
        </w:tc>
        <w:tc>
          <w:tcPr>
            <w:tcW w:w="0" w:type="auto"/>
            <w:gridSpan w:val="3"/>
            <w:shd w:val="clear" w:color="auto" w:fill="auto"/>
            <w:vAlign w:val="bottom"/>
          </w:tcPr>
          <w:p w14:paraId="392C22EC" w14:textId="77777777" w:rsidR="00980E5F" w:rsidRDefault="00980E5F">
            <w:pPr>
              <w:rPr>
                <w:rFonts w:ascii="宋体"/>
                <w:vanish/>
              </w:rPr>
            </w:pPr>
          </w:p>
        </w:tc>
        <w:tc>
          <w:tcPr>
            <w:tcW w:w="0" w:type="auto"/>
            <w:gridSpan w:val="3"/>
            <w:shd w:val="clear" w:color="auto" w:fill="auto"/>
            <w:vAlign w:val="bottom"/>
          </w:tcPr>
          <w:p w14:paraId="392C22ED" w14:textId="77777777" w:rsidR="00980E5F" w:rsidRDefault="00980E5F">
            <w:pPr>
              <w:rPr>
                <w:rFonts w:ascii="宋体"/>
                <w:vanish/>
              </w:rPr>
            </w:pPr>
          </w:p>
        </w:tc>
        <w:tc>
          <w:tcPr>
            <w:tcW w:w="0" w:type="auto"/>
            <w:gridSpan w:val="3"/>
            <w:shd w:val="clear" w:color="auto" w:fill="auto"/>
            <w:vAlign w:val="bottom"/>
          </w:tcPr>
          <w:p w14:paraId="392C22EE" w14:textId="77777777" w:rsidR="00980E5F" w:rsidRDefault="00980E5F">
            <w:pPr>
              <w:rPr>
                <w:rFonts w:ascii="宋体"/>
                <w:vanish/>
              </w:rPr>
            </w:pPr>
          </w:p>
        </w:tc>
        <w:tc>
          <w:tcPr>
            <w:tcW w:w="0" w:type="auto"/>
            <w:gridSpan w:val="3"/>
            <w:shd w:val="clear" w:color="auto" w:fill="auto"/>
            <w:vAlign w:val="bottom"/>
          </w:tcPr>
          <w:p w14:paraId="392C22EF" w14:textId="77777777" w:rsidR="00980E5F" w:rsidRDefault="00980E5F">
            <w:pPr>
              <w:rPr>
                <w:rFonts w:ascii="宋体"/>
                <w:vanish/>
              </w:rPr>
            </w:pPr>
          </w:p>
        </w:tc>
        <w:tc>
          <w:tcPr>
            <w:tcW w:w="0" w:type="auto"/>
            <w:gridSpan w:val="3"/>
            <w:shd w:val="clear" w:color="auto" w:fill="auto"/>
            <w:vAlign w:val="bottom"/>
          </w:tcPr>
          <w:p w14:paraId="392C22F0" w14:textId="77777777" w:rsidR="00980E5F" w:rsidRDefault="00980E5F">
            <w:pPr>
              <w:rPr>
                <w:rFonts w:ascii="宋体"/>
                <w:vanish/>
              </w:rPr>
            </w:pPr>
          </w:p>
        </w:tc>
        <w:tc>
          <w:tcPr>
            <w:tcW w:w="0" w:type="auto"/>
            <w:gridSpan w:val="3"/>
            <w:shd w:val="clear" w:color="auto" w:fill="auto"/>
            <w:vAlign w:val="bottom"/>
          </w:tcPr>
          <w:p w14:paraId="392C22F1" w14:textId="77777777" w:rsidR="00980E5F" w:rsidRDefault="00980E5F">
            <w:pPr>
              <w:rPr>
                <w:rFonts w:ascii="宋体"/>
                <w:vanish/>
              </w:rPr>
            </w:pPr>
          </w:p>
        </w:tc>
        <w:tc>
          <w:tcPr>
            <w:tcW w:w="0" w:type="auto"/>
            <w:gridSpan w:val="3"/>
            <w:shd w:val="clear" w:color="auto" w:fill="auto"/>
            <w:vAlign w:val="bottom"/>
          </w:tcPr>
          <w:p w14:paraId="392C22F2" w14:textId="77777777" w:rsidR="00980E5F" w:rsidRDefault="00980E5F">
            <w:pPr>
              <w:rPr>
                <w:rFonts w:ascii="宋体"/>
                <w:vanish/>
              </w:rPr>
            </w:pPr>
          </w:p>
        </w:tc>
        <w:tc>
          <w:tcPr>
            <w:tcW w:w="0" w:type="auto"/>
            <w:gridSpan w:val="3"/>
            <w:shd w:val="clear" w:color="auto" w:fill="auto"/>
            <w:vAlign w:val="bottom"/>
          </w:tcPr>
          <w:p w14:paraId="392C22F3" w14:textId="77777777" w:rsidR="00980E5F" w:rsidRDefault="00980E5F">
            <w:pPr>
              <w:rPr>
                <w:rFonts w:ascii="宋体"/>
                <w:vanish/>
              </w:rPr>
            </w:pPr>
          </w:p>
        </w:tc>
        <w:tc>
          <w:tcPr>
            <w:tcW w:w="0" w:type="auto"/>
            <w:gridSpan w:val="3"/>
            <w:shd w:val="clear" w:color="auto" w:fill="auto"/>
            <w:vAlign w:val="bottom"/>
          </w:tcPr>
          <w:p w14:paraId="392C22F4" w14:textId="77777777" w:rsidR="00980E5F" w:rsidRDefault="00980E5F">
            <w:pPr>
              <w:rPr>
                <w:rFonts w:ascii="宋体"/>
                <w:vanish/>
              </w:rPr>
            </w:pPr>
          </w:p>
        </w:tc>
        <w:tc>
          <w:tcPr>
            <w:tcW w:w="0" w:type="auto"/>
            <w:gridSpan w:val="3"/>
            <w:shd w:val="clear" w:color="auto" w:fill="auto"/>
            <w:vAlign w:val="bottom"/>
          </w:tcPr>
          <w:p w14:paraId="392C22F5" w14:textId="77777777" w:rsidR="00980E5F" w:rsidRDefault="00980E5F">
            <w:pPr>
              <w:rPr>
                <w:rFonts w:ascii="宋体"/>
                <w:vanish/>
              </w:rPr>
            </w:pPr>
          </w:p>
        </w:tc>
        <w:tc>
          <w:tcPr>
            <w:tcW w:w="0" w:type="auto"/>
            <w:gridSpan w:val="3"/>
            <w:shd w:val="clear" w:color="auto" w:fill="auto"/>
            <w:vAlign w:val="bottom"/>
          </w:tcPr>
          <w:p w14:paraId="392C22F6" w14:textId="77777777" w:rsidR="00980E5F" w:rsidRDefault="00980E5F">
            <w:pPr>
              <w:rPr>
                <w:rFonts w:ascii="宋体"/>
                <w:vanish/>
              </w:rPr>
            </w:pPr>
          </w:p>
        </w:tc>
        <w:tc>
          <w:tcPr>
            <w:tcW w:w="0" w:type="auto"/>
            <w:shd w:val="clear" w:color="auto" w:fill="auto"/>
            <w:vAlign w:val="bottom"/>
          </w:tcPr>
          <w:p w14:paraId="392C22F7" w14:textId="77777777" w:rsidR="00980E5F" w:rsidRDefault="00980E5F">
            <w:pPr>
              <w:rPr>
                <w:rFonts w:ascii="宋体"/>
              </w:rPr>
            </w:pPr>
          </w:p>
        </w:tc>
        <w:tc>
          <w:tcPr>
            <w:tcW w:w="0" w:type="auto"/>
            <w:shd w:val="clear" w:color="auto" w:fill="auto"/>
            <w:vAlign w:val="bottom"/>
          </w:tcPr>
          <w:p w14:paraId="392C22F8" w14:textId="77777777" w:rsidR="00980E5F" w:rsidRDefault="00980E5F">
            <w:pPr>
              <w:rPr>
                <w:rFonts w:ascii="宋体"/>
              </w:rPr>
            </w:pPr>
          </w:p>
        </w:tc>
        <w:tc>
          <w:tcPr>
            <w:tcW w:w="0" w:type="auto"/>
            <w:shd w:val="clear" w:color="auto" w:fill="auto"/>
            <w:vAlign w:val="bottom"/>
          </w:tcPr>
          <w:p w14:paraId="392C22F9" w14:textId="77777777" w:rsidR="00980E5F" w:rsidRDefault="00980E5F">
            <w:pPr>
              <w:rPr>
                <w:rFonts w:ascii="宋体"/>
              </w:rPr>
            </w:pPr>
          </w:p>
        </w:tc>
        <w:tc>
          <w:tcPr>
            <w:tcW w:w="0" w:type="auto"/>
            <w:shd w:val="clear" w:color="auto" w:fill="auto"/>
            <w:vAlign w:val="bottom"/>
          </w:tcPr>
          <w:p w14:paraId="392C22FA" w14:textId="77777777" w:rsidR="00980E5F" w:rsidRDefault="00980E5F">
            <w:pPr>
              <w:rPr>
                <w:rFonts w:ascii="宋体"/>
              </w:rPr>
            </w:pPr>
          </w:p>
        </w:tc>
        <w:tc>
          <w:tcPr>
            <w:tcW w:w="0" w:type="auto"/>
            <w:shd w:val="clear" w:color="auto" w:fill="auto"/>
            <w:vAlign w:val="bottom"/>
          </w:tcPr>
          <w:p w14:paraId="392C22FB" w14:textId="77777777" w:rsidR="00980E5F" w:rsidRDefault="00980E5F">
            <w:pPr>
              <w:rPr>
                <w:rFonts w:ascii="宋体"/>
              </w:rPr>
            </w:pPr>
          </w:p>
        </w:tc>
        <w:tc>
          <w:tcPr>
            <w:tcW w:w="0" w:type="auto"/>
            <w:shd w:val="clear" w:color="auto" w:fill="auto"/>
            <w:vAlign w:val="bottom"/>
          </w:tcPr>
          <w:p w14:paraId="392C22FC" w14:textId="77777777" w:rsidR="00980E5F" w:rsidRDefault="00980E5F">
            <w:pPr>
              <w:rPr>
                <w:rFonts w:ascii="宋体"/>
              </w:rPr>
            </w:pPr>
          </w:p>
        </w:tc>
      </w:tr>
      <w:tr w:rsidR="00980E5F" w14:paraId="392C2310" w14:textId="77777777">
        <w:trPr>
          <w:trHeight w:val="100"/>
        </w:trPr>
        <w:tc>
          <w:tcPr>
            <w:tcW w:w="0" w:type="auto"/>
            <w:gridSpan w:val="3"/>
            <w:shd w:val="clear" w:color="auto" w:fill="auto"/>
            <w:tcMar>
              <w:top w:w="0" w:type="dxa"/>
              <w:left w:w="20" w:type="dxa"/>
              <w:bottom w:w="0" w:type="dxa"/>
              <w:right w:w="20" w:type="dxa"/>
            </w:tcMar>
            <w:vAlign w:val="bottom"/>
          </w:tcPr>
          <w:p w14:paraId="392C22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2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0"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4"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6"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8"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0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30F" w14:textId="77777777" w:rsidR="00980E5F" w:rsidRDefault="00980E5F">
            <w:pPr>
              <w:rPr>
                <w:rFonts w:ascii="宋体"/>
              </w:rPr>
            </w:pPr>
          </w:p>
        </w:tc>
      </w:tr>
      <w:tr w:rsidR="00980E5F" w14:paraId="392C2323" w14:textId="77777777">
        <w:tc>
          <w:tcPr>
            <w:tcW w:w="0" w:type="auto"/>
            <w:gridSpan w:val="3"/>
            <w:shd w:val="clear" w:color="auto" w:fill="FFFFFF"/>
            <w:tcMar>
              <w:top w:w="40" w:type="dxa"/>
              <w:left w:w="20" w:type="dxa"/>
              <w:bottom w:w="40" w:type="dxa"/>
              <w:right w:w="20" w:type="dxa"/>
            </w:tcMar>
            <w:vAlign w:val="bottom"/>
          </w:tcPr>
          <w:p w14:paraId="392C2311" w14:textId="77777777" w:rsidR="00980E5F" w:rsidRDefault="00483613">
            <w:pPr>
              <w:textAlignment w:val="bottom"/>
            </w:pPr>
            <w:r>
              <w:rPr>
                <w:rFonts w:ascii="Arial" w:eastAsia="宋体" w:hAnsi="Arial" w:cs="Arial"/>
                <w:b/>
                <w:bCs/>
                <w:color w:val="000000"/>
                <w:sz w:val="12"/>
                <w:szCs w:val="12"/>
              </w:rPr>
              <w:t>Capital</w:t>
            </w:r>
            <w:r>
              <w:rPr>
                <w:rFonts w:ascii="Arial" w:eastAsia="宋体" w:hAnsi="Arial" w:cs="Arial"/>
                <w:b/>
                <w:bCs/>
                <w:color w:val="000000"/>
                <w:sz w:val="12"/>
                <w:szCs w:val="12"/>
              </w:rPr>
              <w:t xml:space="preserve"> Ratios:</w:t>
            </w:r>
          </w:p>
        </w:tc>
        <w:tc>
          <w:tcPr>
            <w:tcW w:w="0" w:type="auto"/>
            <w:gridSpan w:val="3"/>
            <w:shd w:val="clear" w:color="auto" w:fill="FFFFFF"/>
            <w:tcMar>
              <w:top w:w="40" w:type="dxa"/>
              <w:left w:w="20" w:type="dxa"/>
              <w:bottom w:w="40" w:type="dxa"/>
              <w:right w:w="20" w:type="dxa"/>
            </w:tcMar>
            <w:vAlign w:val="bottom"/>
          </w:tcPr>
          <w:p w14:paraId="392C2312" w14:textId="77777777" w:rsidR="00980E5F" w:rsidRDefault="00483613">
            <w:pPr>
              <w:jc w:val="center"/>
              <w:textAlignment w:val="bottom"/>
            </w:pPr>
            <w:r>
              <w:rPr>
                <w:rFonts w:ascii="Arial" w:eastAsia="宋体" w:hAnsi="Arial" w:cs="Arial"/>
                <w:color w:val="000000"/>
                <w:sz w:val="12"/>
                <w:szCs w:val="12"/>
              </w:rPr>
              <w:t>2022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392C2313" w14:textId="77777777" w:rsidR="00980E5F" w:rsidRDefault="00483613">
            <w:pPr>
              <w:jc w:val="center"/>
              <w:textAlignment w:val="bottom"/>
            </w:pPr>
            <w:r>
              <w:rPr>
                <w:rFonts w:ascii="Arial" w:eastAsia="宋体" w:hAnsi="Arial" w:cs="Arial"/>
                <w:color w:val="000000"/>
                <w:sz w:val="12"/>
                <w:szCs w:val="12"/>
              </w:rPr>
              <w:t>2021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392C23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2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322" w14:textId="77777777" w:rsidR="00980E5F" w:rsidRDefault="00980E5F">
            <w:pPr>
              <w:rPr>
                <w:rFonts w:ascii="宋体"/>
              </w:rPr>
            </w:pPr>
          </w:p>
        </w:tc>
      </w:tr>
      <w:tr w:rsidR="00483613" w14:paraId="392C2340" w14:textId="77777777">
        <w:tc>
          <w:tcPr>
            <w:tcW w:w="0" w:type="auto"/>
            <w:gridSpan w:val="3"/>
            <w:shd w:val="clear" w:color="auto" w:fill="CCEEFF"/>
            <w:tcMar>
              <w:top w:w="40" w:type="dxa"/>
              <w:left w:w="20" w:type="dxa"/>
              <w:bottom w:w="40" w:type="dxa"/>
              <w:right w:w="20" w:type="dxa"/>
            </w:tcMar>
            <w:vAlign w:val="bottom"/>
          </w:tcPr>
          <w:p w14:paraId="392C2324" w14:textId="77777777" w:rsidR="00980E5F" w:rsidRDefault="00483613">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325" w14:textId="77777777" w:rsidR="00980E5F" w:rsidRDefault="00483613">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326"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327" w14:textId="77777777" w:rsidR="00980E5F" w:rsidRDefault="00483613">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328" w14:textId="77777777" w:rsidR="00980E5F" w:rsidRDefault="00483613">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392C2329" w14:textId="77777777" w:rsidR="00980E5F" w:rsidRDefault="00483613">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2A"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2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2C" w14:textId="77777777" w:rsidR="00980E5F" w:rsidRDefault="00483613">
            <w:pPr>
              <w:jc w:val="right"/>
              <w:textAlignment w:val="bottom"/>
            </w:pPr>
            <w:r>
              <w:rPr>
                <w:rFonts w:ascii="Arial" w:eastAsia="宋体" w:hAnsi="Arial" w:cs="Arial"/>
                <w:b/>
                <w:bCs/>
                <w:color w:val="000000"/>
                <w:sz w:val="12"/>
                <w:szCs w:val="12"/>
              </w:rPr>
              <w:t>12.9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2D"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2F" w14:textId="77777777" w:rsidR="00980E5F" w:rsidRDefault="00483613">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392C2330"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32" w14:textId="77777777" w:rsidR="00980E5F" w:rsidRDefault="00483613">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392C2333"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35" w14:textId="77777777" w:rsidR="00980E5F" w:rsidRDefault="00483613">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36"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3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38" w14:textId="77777777" w:rsidR="00980E5F" w:rsidRDefault="00483613">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39"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3B" w14:textId="77777777" w:rsidR="00980E5F" w:rsidRDefault="00483613">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392C233C"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23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3E" w14:textId="77777777" w:rsidR="00980E5F" w:rsidRDefault="00483613">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392C233F" w14:textId="77777777" w:rsidR="00980E5F" w:rsidRDefault="00483613">
            <w:pPr>
              <w:jc w:val="right"/>
              <w:textAlignment w:val="bottom"/>
            </w:pPr>
            <w:r>
              <w:rPr>
                <w:rFonts w:ascii="Arial" w:eastAsia="宋体" w:hAnsi="Arial" w:cs="Arial"/>
                <w:color w:val="000000"/>
                <w:sz w:val="12"/>
                <w:szCs w:val="12"/>
              </w:rPr>
              <w:t>%</w:t>
            </w:r>
          </w:p>
        </w:tc>
      </w:tr>
      <w:tr w:rsidR="00483613" w14:paraId="392C235D" w14:textId="77777777">
        <w:tc>
          <w:tcPr>
            <w:tcW w:w="0" w:type="auto"/>
            <w:gridSpan w:val="3"/>
            <w:shd w:val="clear" w:color="auto" w:fill="FFFFFF"/>
            <w:tcMar>
              <w:top w:w="40" w:type="dxa"/>
              <w:left w:w="20" w:type="dxa"/>
              <w:bottom w:w="40" w:type="dxa"/>
              <w:right w:w="20" w:type="dxa"/>
            </w:tcMar>
            <w:vAlign w:val="bottom"/>
          </w:tcPr>
          <w:p w14:paraId="392C2341" w14:textId="77777777" w:rsidR="00980E5F" w:rsidRDefault="00483613">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392C2342" w14:textId="77777777" w:rsidR="00980E5F" w:rsidRDefault="00483613">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343"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2344" w14:textId="77777777" w:rsidR="00980E5F" w:rsidRDefault="00483613">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392C2345"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2346" w14:textId="77777777" w:rsidR="00980E5F" w:rsidRDefault="00483613">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3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49" w14:textId="77777777" w:rsidR="00980E5F" w:rsidRDefault="00483613">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3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4C" w14:textId="77777777" w:rsidR="00980E5F" w:rsidRDefault="00483613">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392C23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4F" w14:textId="77777777" w:rsidR="00980E5F" w:rsidRDefault="00483613">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392C23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52" w14:textId="77777777" w:rsidR="00980E5F" w:rsidRDefault="00483613">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3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55" w14:textId="77777777" w:rsidR="00980E5F" w:rsidRDefault="00483613">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23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58" w14:textId="77777777" w:rsidR="00980E5F" w:rsidRDefault="00483613">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392C23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5B" w14:textId="77777777" w:rsidR="00980E5F" w:rsidRDefault="00483613">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392C235C" w14:textId="77777777" w:rsidR="00980E5F" w:rsidRDefault="00980E5F">
            <w:pPr>
              <w:jc w:val="right"/>
              <w:rPr>
                <w:rFonts w:ascii="宋体"/>
              </w:rPr>
            </w:pPr>
          </w:p>
        </w:tc>
      </w:tr>
      <w:tr w:rsidR="00483613" w14:paraId="392C237A" w14:textId="77777777">
        <w:tc>
          <w:tcPr>
            <w:tcW w:w="0" w:type="auto"/>
            <w:gridSpan w:val="3"/>
            <w:shd w:val="clear" w:color="auto" w:fill="CCEEFF"/>
            <w:tcMar>
              <w:top w:w="40" w:type="dxa"/>
              <w:left w:w="20" w:type="dxa"/>
              <w:bottom w:w="40" w:type="dxa"/>
              <w:right w:w="20" w:type="dxa"/>
            </w:tcMar>
            <w:vAlign w:val="bottom"/>
          </w:tcPr>
          <w:p w14:paraId="392C235E" w14:textId="77777777" w:rsidR="00980E5F" w:rsidRDefault="00483613">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392C235F" w14:textId="77777777" w:rsidR="00980E5F" w:rsidRDefault="00483613">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60"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C2361" w14:textId="77777777" w:rsidR="00980E5F" w:rsidRDefault="00483613">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392C2362"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C2363" w14:textId="77777777" w:rsidR="00980E5F" w:rsidRDefault="00483613">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66" w14:textId="77777777" w:rsidR="00980E5F" w:rsidRDefault="00483613">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69" w14:textId="77777777" w:rsidR="00980E5F" w:rsidRDefault="00483613">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392C23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6C" w14:textId="77777777" w:rsidR="00980E5F" w:rsidRDefault="00483613">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392C23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6F" w14:textId="77777777" w:rsidR="00980E5F" w:rsidRDefault="00483613">
            <w:pPr>
              <w:jc w:val="right"/>
              <w:textAlignment w:val="bottom"/>
            </w:pPr>
            <w:r>
              <w:rPr>
                <w:rFonts w:ascii="Arial" w:eastAsia="宋体" w:hAnsi="Arial" w:cs="Arial"/>
                <w:b/>
                <w:bCs/>
                <w:color w:val="000000"/>
                <w:sz w:val="12"/>
                <w:szCs w:val="12"/>
              </w:rPr>
              <w:t>18.6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7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72" w14:textId="77777777" w:rsidR="00980E5F" w:rsidRDefault="00483613">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23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75" w14:textId="77777777" w:rsidR="00980E5F" w:rsidRDefault="00483613">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392C23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7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78" w14:textId="77777777" w:rsidR="00980E5F" w:rsidRDefault="00483613">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392C2379" w14:textId="77777777" w:rsidR="00980E5F" w:rsidRDefault="00980E5F">
            <w:pPr>
              <w:jc w:val="right"/>
              <w:rPr>
                <w:rFonts w:ascii="宋体"/>
              </w:rPr>
            </w:pPr>
          </w:p>
        </w:tc>
      </w:tr>
      <w:tr w:rsidR="00980E5F" w14:paraId="392C238D" w14:textId="77777777">
        <w:trPr>
          <w:hidden/>
        </w:trPr>
        <w:tc>
          <w:tcPr>
            <w:tcW w:w="0" w:type="auto"/>
            <w:gridSpan w:val="3"/>
            <w:shd w:val="clear" w:color="auto" w:fill="auto"/>
            <w:vAlign w:val="bottom"/>
          </w:tcPr>
          <w:p w14:paraId="392C237B" w14:textId="77777777" w:rsidR="00980E5F" w:rsidRDefault="00980E5F">
            <w:pPr>
              <w:rPr>
                <w:rFonts w:ascii="宋体"/>
                <w:vanish/>
              </w:rPr>
            </w:pPr>
          </w:p>
        </w:tc>
        <w:tc>
          <w:tcPr>
            <w:tcW w:w="0" w:type="auto"/>
            <w:gridSpan w:val="3"/>
            <w:shd w:val="clear" w:color="auto" w:fill="auto"/>
            <w:vAlign w:val="bottom"/>
          </w:tcPr>
          <w:p w14:paraId="392C237C" w14:textId="77777777" w:rsidR="00980E5F" w:rsidRDefault="00980E5F">
            <w:pPr>
              <w:rPr>
                <w:rFonts w:ascii="宋体"/>
                <w:vanish/>
              </w:rPr>
            </w:pPr>
          </w:p>
        </w:tc>
        <w:tc>
          <w:tcPr>
            <w:tcW w:w="0" w:type="auto"/>
            <w:gridSpan w:val="3"/>
            <w:shd w:val="clear" w:color="auto" w:fill="auto"/>
            <w:vAlign w:val="bottom"/>
          </w:tcPr>
          <w:p w14:paraId="392C237D" w14:textId="77777777" w:rsidR="00980E5F" w:rsidRDefault="00980E5F">
            <w:pPr>
              <w:rPr>
                <w:rFonts w:ascii="宋体"/>
                <w:vanish/>
              </w:rPr>
            </w:pPr>
          </w:p>
        </w:tc>
        <w:tc>
          <w:tcPr>
            <w:tcW w:w="0" w:type="auto"/>
            <w:gridSpan w:val="3"/>
            <w:shd w:val="clear" w:color="auto" w:fill="auto"/>
            <w:vAlign w:val="bottom"/>
          </w:tcPr>
          <w:p w14:paraId="392C237E" w14:textId="77777777" w:rsidR="00980E5F" w:rsidRDefault="00980E5F">
            <w:pPr>
              <w:rPr>
                <w:rFonts w:ascii="宋体"/>
                <w:vanish/>
              </w:rPr>
            </w:pPr>
          </w:p>
        </w:tc>
        <w:tc>
          <w:tcPr>
            <w:tcW w:w="0" w:type="auto"/>
            <w:gridSpan w:val="3"/>
            <w:shd w:val="clear" w:color="auto" w:fill="auto"/>
            <w:vAlign w:val="bottom"/>
          </w:tcPr>
          <w:p w14:paraId="392C237F" w14:textId="77777777" w:rsidR="00980E5F" w:rsidRDefault="00980E5F">
            <w:pPr>
              <w:rPr>
                <w:rFonts w:ascii="宋体"/>
                <w:vanish/>
              </w:rPr>
            </w:pPr>
          </w:p>
        </w:tc>
        <w:tc>
          <w:tcPr>
            <w:tcW w:w="0" w:type="auto"/>
            <w:gridSpan w:val="3"/>
            <w:shd w:val="clear" w:color="auto" w:fill="auto"/>
            <w:vAlign w:val="bottom"/>
          </w:tcPr>
          <w:p w14:paraId="392C2380" w14:textId="77777777" w:rsidR="00980E5F" w:rsidRDefault="00980E5F">
            <w:pPr>
              <w:rPr>
                <w:rFonts w:ascii="宋体"/>
                <w:vanish/>
              </w:rPr>
            </w:pPr>
          </w:p>
        </w:tc>
        <w:tc>
          <w:tcPr>
            <w:tcW w:w="0" w:type="auto"/>
            <w:gridSpan w:val="3"/>
            <w:shd w:val="clear" w:color="auto" w:fill="auto"/>
            <w:vAlign w:val="bottom"/>
          </w:tcPr>
          <w:p w14:paraId="392C2381" w14:textId="77777777" w:rsidR="00980E5F" w:rsidRDefault="00980E5F">
            <w:pPr>
              <w:rPr>
                <w:rFonts w:ascii="宋体"/>
                <w:vanish/>
              </w:rPr>
            </w:pPr>
          </w:p>
        </w:tc>
        <w:tc>
          <w:tcPr>
            <w:tcW w:w="0" w:type="auto"/>
            <w:gridSpan w:val="3"/>
            <w:shd w:val="clear" w:color="auto" w:fill="auto"/>
            <w:vAlign w:val="bottom"/>
          </w:tcPr>
          <w:p w14:paraId="392C2382" w14:textId="77777777" w:rsidR="00980E5F" w:rsidRDefault="00980E5F">
            <w:pPr>
              <w:rPr>
                <w:rFonts w:ascii="宋体"/>
                <w:vanish/>
              </w:rPr>
            </w:pPr>
          </w:p>
        </w:tc>
        <w:tc>
          <w:tcPr>
            <w:tcW w:w="0" w:type="auto"/>
            <w:gridSpan w:val="3"/>
            <w:shd w:val="clear" w:color="auto" w:fill="auto"/>
            <w:vAlign w:val="bottom"/>
          </w:tcPr>
          <w:p w14:paraId="392C2383" w14:textId="77777777" w:rsidR="00980E5F" w:rsidRDefault="00980E5F">
            <w:pPr>
              <w:rPr>
                <w:rFonts w:ascii="宋体"/>
                <w:vanish/>
              </w:rPr>
            </w:pPr>
          </w:p>
        </w:tc>
        <w:tc>
          <w:tcPr>
            <w:tcW w:w="0" w:type="auto"/>
            <w:gridSpan w:val="3"/>
            <w:shd w:val="clear" w:color="auto" w:fill="auto"/>
            <w:vAlign w:val="bottom"/>
          </w:tcPr>
          <w:p w14:paraId="392C2384" w14:textId="77777777" w:rsidR="00980E5F" w:rsidRDefault="00980E5F">
            <w:pPr>
              <w:rPr>
                <w:rFonts w:ascii="宋体"/>
                <w:vanish/>
              </w:rPr>
            </w:pPr>
          </w:p>
        </w:tc>
        <w:tc>
          <w:tcPr>
            <w:tcW w:w="0" w:type="auto"/>
            <w:gridSpan w:val="3"/>
            <w:shd w:val="clear" w:color="auto" w:fill="auto"/>
            <w:vAlign w:val="bottom"/>
          </w:tcPr>
          <w:p w14:paraId="392C2385" w14:textId="77777777" w:rsidR="00980E5F" w:rsidRDefault="00980E5F">
            <w:pPr>
              <w:rPr>
                <w:rFonts w:ascii="宋体"/>
                <w:vanish/>
              </w:rPr>
            </w:pPr>
          </w:p>
        </w:tc>
        <w:tc>
          <w:tcPr>
            <w:tcW w:w="0" w:type="auto"/>
            <w:gridSpan w:val="3"/>
            <w:shd w:val="clear" w:color="auto" w:fill="auto"/>
            <w:vAlign w:val="bottom"/>
          </w:tcPr>
          <w:p w14:paraId="392C2386" w14:textId="77777777" w:rsidR="00980E5F" w:rsidRDefault="00980E5F">
            <w:pPr>
              <w:rPr>
                <w:rFonts w:ascii="宋体"/>
                <w:vanish/>
              </w:rPr>
            </w:pPr>
          </w:p>
        </w:tc>
        <w:tc>
          <w:tcPr>
            <w:tcW w:w="0" w:type="auto"/>
            <w:gridSpan w:val="3"/>
            <w:shd w:val="clear" w:color="auto" w:fill="auto"/>
            <w:vAlign w:val="bottom"/>
          </w:tcPr>
          <w:p w14:paraId="392C2387" w14:textId="77777777" w:rsidR="00980E5F" w:rsidRDefault="00980E5F">
            <w:pPr>
              <w:rPr>
                <w:rFonts w:ascii="宋体"/>
                <w:vanish/>
              </w:rPr>
            </w:pPr>
          </w:p>
        </w:tc>
        <w:tc>
          <w:tcPr>
            <w:tcW w:w="0" w:type="auto"/>
            <w:gridSpan w:val="3"/>
            <w:shd w:val="clear" w:color="auto" w:fill="auto"/>
            <w:vAlign w:val="bottom"/>
          </w:tcPr>
          <w:p w14:paraId="392C2388" w14:textId="77777777" w:rsidR="00980E5F" w:rsidRDefault="00980E5F">
            <w:pPr>
              <w:rPr>
                <w:rFonts w:ascii="宋体"/>
                <w:vanish/>
              </w:rPr>
            </w:pPr>
          </w:p>
        </w:tc>
        <w:tc>
          <w:tcPr>
            <w:tcW w:w="0" w:type="auto"/>
            <w:gridSpan w:val="3"/>
            <w:shd w:val="clear" w:color="auto" w:fill="auto"/>
            <w:vAlign w:val="bottom"/>
          </w:tcPr>
          <w:p w14:paraId="392C2389" w14:textId="77777777" w:rsidR="00980E5F" w:rsidRDefault="00980E5F">
            <w:pPr>
              <w:rPr>
                <w:rFonts w:ascii="宋体"/>
                <w:vanish/>
              </w:rPr>
            </w:pPr>
          </w:p>
        </w:tc>
        <w:tc>
          <w:tcPr>
            <w:tcW w:w="0" w:type="auto"/>
            <w:gridSpan w:val="3"/>
            <w:shd w:val="clear" w:color="auto" w:fill="auto"/>
            <w:vAlign w:val="bottom"/>
          </w:tcPr>
          <w:p w14:paraId="392C238A" w14:textId="77777777" w:rsidR="00980E5F" w:rsidRDefault="00980E5F">
            <w:pPr>
              <w:rPr>
                <w:rFonts w:ascii="宋体"/>
                <w:vanish/>
              </w:rPr>
            </w:pPr>
          </w:p>
        </w:tc>
        <w:tc>
          <w:tcPr>
            <w:tcW w:w="0" w:type="auto"/>
            <w:gridSpan w:val="3"/>
            <w:shd w:val="clear" w:color="auto" w:fill="auto"/>
            <w:vAlign w:val="bottom"/>
          </w:tcPr>
          <w:p w14:paraId="392C238B" w14:textId="77777777" w:rsidR="00980E5F" w:rsidRDefault="00980E5F">
            <w:pPr>
              <w:rPr>
                <w:rFonts w:ascii="宋体"/>
                <w:vanish/>
              </w:rPr>
            </w:pPr>
          </w:p>
        </w:tc>
        <w:tc>
          <w:tcPr>
            <w:tcW w:w="0" w:type="auto"/>
            <w:gridSpan w:val="3"/>
            <w:shd w:val="clear" w:color="auto" w:fill="auto"/>
            <w:vAlign w:val="bottom"/>
          </w:tcPr>
          <w:p w14:paraId="392C238C" w14:textId="77777777" w:rsidR="00980E5F" w:rsidRDefault="00980E5F">
            <w:pPr>
              <w:rPr>
                <w:rFonts w:ascii="宋体"/>
                <w:vanish/>
              </w:rPr>
            </w:pPr>
          </w:p>
        </w:tc>
      </w:tr>
    </w:tbl>
    <w:p w14:paraId="392C238E" w14:textId="77777777" w:rsidR="00980E5F" w:rsidRDefault="00980E5F">
      <w:pPr>
        <w:rPr>
          <w:vanish/>
        </w:rPr>
      </w:pPr>
    </w:p>
    <w:tbl>
      <w:tblPr>
        <w:tblW w:w="1615" w:type="pct"/>
        <w:tblCellMar>
          <w:top w:w="15" w:type="dxa"/>
          <w:left w:w="15" w:type="dxa"/>
          <w:bottom w:w="15" w:type="dxa"/>
          <w:right w:w="15" w:type="dxa"/>
        </w:tblCellMar>
        <w:tblLook w:val="04A0" w:firstRow="1" w:lastRow="0" w:firstColumn="1" w:lastColumn="0" w:noHBand="0" w:noVBand="1"/>
      </w:tblPr>
      <w:tblGrid>
        <w:gridCol w:w="36"/>
        <w:gridCol w:w="999"/>
        <w:gridCol w:w="36"/>
        <w:gridCol w:w="36"/>
        <w:gridCol w:w="1550"/>
        <w:gridCol w:w="36"/>
      </w:tblGrid>
      <w:tr w:rsidR="00980E5F" w14:paraId="392C2395" w14:textId="77777777">
        <w:tc>
          <w:tcPr>
            <w:tcW w:w="50" w:type="pct"/>
            <w:shd w:val="clear" w:color="auto" w:fill="auto"/>
            <w:vAlign w:val="bottom"/>
          </w:tcPr>
          <w:p w14:paraId="392C238F" w14:textId="77777777" w:rsidR="00980E5F" w:rsidRDefault="00980E5F">
            <w:pPr>
              <w:rPr>
                <w:rFonts w:ascii="宋体"/>
              </w:rPr>
            </w:pPr>
          </w:p>
        </w:tc>
        <w:tc>
          <w:tcPr>
            <w:tcW w:w="1935" w:type="pct"/>
            <w:shd w:val="clear" w:color="auto" w:fill="auto"/>
            <w:vAlign w:val="bottom"/>
          </w:tcPr>
          <w:p w14:paraId="392C2390" w14:textId="77777777" w:rsidR="00980E5F" w:rsidRDefault="00980E5F">
            <w:pPr>
              <w:rPr>
                <w:rFonts w:ascii="宋体"/>
              </w:rPr>
            </w:pPr>
          </w:p>
        </w:tc>
        <w:tc>
          <w:tcPr>
            <w:tcW w:w="5" w:type="pct"/>
            <w:shd w:val="clear" w:color="auto" w:fill="auto"/>
            <w:vAlign w:val="bottom"/>
          </w:tcPr>
          <w:p w14:paraId="392C2391" w14:textId="77777777" w:rsidR="00980E5F" w:rsidRDefault="00980E5F">
            <w:pPr>
              <w:rPr>
                <w:rFonts w:ascii="宋体"/>
              </w:rPr>
            </w:pPr>
          </w:p>
        </w:tc>
        <w:tc>
          <w:tcPr>
            <w:tcW w:w="50" w:type="pct"/>
            <w:shd w:val="clear" w:color="auto" w:fill="auto"/>
            <w:vAlign w:val="bottom"/>
          </w:tcPr>
          <w:p w14:paraId="392C2392" w14:textId="77777777" w:rsidR="00980E5F" w:rsidRDefault="00980E5F">
            <w:pPr>
              <w:rPr>
                <w:rFonts w:ascii="宋体"/>
              </w:rPr>
            </w:pPr>
          </w:p>
        </w:tc>
        <w:tc>
          <w:tcPr>
            <w:tcW w:w="2954" w:type="pct"/>
            <w:shd w:val="clear" w:color="auto" w:fill="auto"/>
            <w:vAlign w:val="bottom"/>
          </w:tcPr>
          <w:p w14:paraId="392C2393" w14:textId="77777777" w:rsidR="00980E5F" w:rsidRDefault="00980E5F">
            <w:pPr>
              <w:rPr>
                <w:rFonts w:ascii="宋体"/>
              </w:rPr>
            </w:pPr>
          </w:p>
        </w:tc>
        <w:tc>
          <w:tcPr>
            <w:tcW w:w="5" w:type="pct"/>
            <w:shd w:val="clear" w:color="auto" w:fill="auto"/>
            <w:vAlign w:val="bottom"/>
          </w:tcPr>
          <w:p w14:paraId="392C2394" w14:textId="77777777" w:rsidR="00980E5F" w:rsidRDefault="00980E5F">
            <w:pPr>
              <w:rPr>
                <w:rFonts w:ascii="宋体"/>
              </w:rPr>
            </w:pPr>
          </w:p>
        </w:tc>
      </w:tr>
      <w:tr w:rsidR="00980E5F" w14:paraId="392C239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2396" w14:textId="77777777" w:rsidR="00980E5F" w:rsidRDefault="00980E5F">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2397" w14:textId="77777777" w:rsidR="00980E5F" w:rsidRDefault="00980E5F">
            <w:pPr>
              <w:rPr>
                <w:rFonts w:ascii="宋体"/>
              </w:rPr>
            </w:pPr>
          </w:p>
        </w:tc>
      </w:tr>
    </w:tbl>
    <w:p w14:paraId="392C2399" w14:textId="77777777" w:rsidR="00980E5F" w:rsidRDefault="00483613">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392C239A" w14:textId="77777777" w:rsidR="00980E5F" w:rsidRDefault="00483613">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OTC derivative contracts. We used a simple CVA approach in conformity with the Basel III</w:t>
      </w:r>
      <w:r>
        <w:rPr>
          <w:rFonts w:ascii="Arial" w:eastAsia="宋体" w:hAnsi="Arial" w:cs="Arial"/>
          <w:color w:val="000000"/>
          <w:sz w:val="12"/>
          <w:szCs w:val="12"/>
        </w:rPr>
        <w:t xml:space="preserve"> advanced approaches.</w:t>
      </w:r>
    </w:p>
    <w:p w14:paraId="392C239B" w14:textId="77777777" w:rsidR="00980E5F" w:rsidRDefault="00483613">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correlation to the effects of a particular loss event</w:t>
      </w:r>
      <w:r>
        <w:rPr>
          <w:rFonts w:ascii="Arial" w:eastAsia="宋体" w:hAnsi="Arial" w:cs="Arial"/>
          <w:color w:val="000000"/>
          <w:sz w:val="12"/>
          <w:szCs w:val="12"/>
        </w:rPr>
        <w:t xml:space="preserve"> on our results of operations and financial condition and impacting dates and periods that may differ from the dates and periods as of and during which the loss event is reflected in our financial statements, with the timing and categorization dependent on</w:t>
      </w:r>
      <w:r>
        <w:rPr>
          <w:rFonts w:ascii="Arial" w:eastAsia="宋体" w:hAnsi="Arial" w:cs="Arial"/>
          <w:color w:val="000000"/>
          <w:sz w:val="12"/>
          <w:szCs w:val="12"/>
        </w:rPr>
        <w:t xml:space="preserve"> the processes for model updates and, if applicable, model revalidation and regulatory review and related supervisory processes. An individual loss event can have a significant effect on the output of our operational RWA under the advanced approaches depen</w:t>
      </w:r>
      <w:r>
        <w:rPr>
          <w:rFonts w:ascii="Arial" w:eastAsia="宋体" w:hAnsi="Arial" w:cs="Arial"/>
          <w:color w:val="000000"/>
          <w:sz w:val="12"/>
          <w:szCs w:val="12"/>
        </w:rPr>
        <w:t>ding on the severity of the loss event and its categorization among the seven Basel-defined UOMs.</w:t>
      </w:r>
    </w:p>
    <w:p w14:paraId="392C239C" w14:textId="77777777" w:rsidR="00980E5F" w:rsidRDefault="00483613">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w:t>
      </w:r>
      <w:r>
        <w:rPr>
          <w:rFonts w:ascii="Arial" w:eastAsia="宋体" w:hAnsi="Arial" w:cs="Arial"/>
          <w:color w:val="000000"/>
          <w:sz w:val="12"/>
          <w:szCs w:val="12"/>
        </w:rPr>
        <w:t xml:space="preserve"> 1.0% and a countercyclical buffer of 0%. On June 23, 2022, we were notified by the Federal Reserve of the results from the 2022 supervisory stress test. Our preliminary SCB calculated under the 2022 supervisory stress test was well below the 2.5% minimum,</w:t>
      </w:r>
      <w:r>
        <w:rPr>
          <w:rFonts w:ascii="Arial" w:eastAsia="宋体" w:hAnsi="Arial" w:cs="Arial"/>
          <w:color w:val="000000"/>
          <w:sz w:val="12"/>
          <w:szCs w:val="12"/>
        </w:rPr>
        <w:t xml:space="preserve"> resulting in an SCB at that floor, which will go into effect starting October 1, 2022 and will run through September 30, 2023.</w:t>
      </w:r>
    </w:p>
    <w:p w14:paraId="392C239D" w14:textId="77777777" w:rsidR="00980E5F" w:rsidRDefault="00483613">
      <w:pPr>
        <w:spacing w:before="60"/>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392C239E" w14:textId="77777777" w:rsidR="00980E5F" w:rsidRDefault="00483613">
      <w:pPr>
        <w:ind w:firstLine="450"/>
        <w:jc w:val="right"/>
      </w:pPr>
      <w:r>
        <w:rPr>
          <w:rFonts w:ascii="Arial" w:eastAsia="宋体" w:hAnsi="Arial" w:cs="Arial"/>
          <w:color w:val="000000"/>
          <w:sz w:val="18"/>
          <w:szCs w:val="18"/>
        </w:rPr>
        <w:t>State Street Corporation | 45</w:t>
      </w:r>
    </w:p>
    <w:p w14:paraId="392C239F" w14:textId="77777777" w:rsidR="00980E5F" w:rsidRDefault="00980E5F">
      <w:pPr>
        <w:ind w:firstLine="450"/>
        <w:jc w:val="center"/>
      </w:pPr>
    </w:p>
    <w:p w14:paraId="392C23A0" w14:textId="77777777" w:rsidR="00980E5F" w:rsidRDefault="00483613">
      <w:r>
        <w:pict w14:anchorId="392CBAFB">
          <v:rect id="_x0000_i1069" style="width:415.3pt;height:1.5pt" o:hralign="center" o:hrstd="t" o:hr="t" fillcolor="#a0a0a0" stroked="f"/>
        </w:pict>
      </w:r>
    </w:p>
    <w:p w14:paraId="392C23A1"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3A2" w14:textId="77777777" w:rsidR="00980E5F" w:rsidRDefault="00483613">
      <w:pPr>
        <w:ind w:firstLine="450"/>
        <w:jc w:val="center"/>
      </w:pPr>
      <w:r>
        <w:rPr>
          <w:rFonts w:ascii="Arial" w:eastAsia="宋体" w:hAnsi="Arial" w:cs="Arial"/>
          <w:b/>
          <w:bCs/>
          <w:color w:val="000000"/>
          <w:sz w:val="20"/>
          <w:szCs w:val="20"/>
        </w:rPr>
        <w:t>AND RESULTS OF O</w:t>
      </w:r>
      <w:r>
        <w:rPr>
          <w:rFonts w:ascii="Arial" w:eastAsia="宋体" w:hAnsi="Arial" w:cs="Arial"/>
          <w:b/>
          <w:bCs/>
          <w:color w:val="000000"/>
          <w:sz w:val="20"/>
          <w:szCs w:val="20"/>
        </w:rPr>
        <w:t>PERATIONS</w:t>
      </w:r>
    </w:p>
    <w:p w14:paraId="392C23A3" w14:textId="77777777" w:rsidR="00980E5F" w:rsidRDefault="00483613">
      <w:pPr>
        <w:spacing w:before="60"/>
        <w:ind w:firstLine="450"/>
        <w:jc w:val="both"/>
      </w:pPr>
      <w:r>
        <w:rPr>
          <w:rFonts w:ascii="Arial" w:eastAsia="宋体" w:hAnsi="Arial" w:cs="Arial"/>
          <w:color w:val="000000"/>
          <w:sz w:val="20"/>
          <w:szCs w:val="20"/>
        </w:rPr>
        <w:t xml:space="preserve">Our CET1 capital decreased $1.07 billion as of June 30, 2022, compared to December 31, 2021, primarily due to unrealized losses on AFS securities within AOCI driven by the significant increase in rates across the yield curve, partially offset by </w:t>
      </w:r>
      <w:r>
        <w:rPr>
          <w:rFonts w:ascii="Arial" w:eastAsia="宋体" w:hAnsi="Arial" w:cs="Arial"/>
          <w:color w:val="000000"/>
          <w:sz w:val="20"/>
          <w:szCs w:val="20"/>
        </w:rPr>
        <w:t>net income. Our Tier 1 capital decreased $1.07 billion as of June 30, 2022, compared to December 31, 2021, under both the advanced approaches and standardized approach, primarily due to the decrease in CET1 capital.</w:t>
      </w:r>
    </w:p>
    <w:p w14:paraId="392C23A4" w14:textId="77777777" w:rsidR="00980E5F" w:rsidRDefault="00483613">
      <w:pPr>
        <w:spacing w:before="60"/>
        <w:ind w:firstLine="450"/>
        <w:jc w:val="both"/>
      </w:pPr>
      <w:r>
        <w:rPr>
          <w:rFonts w:ascii="Arial" w:eastAsia="宋体" w:hAnsi="Arial" w:cs="Arial"/>
          <w:color w:val="000000"/>
          <w:sz w:val="20"/>
          <w:szCs w:val="20"/>
        </w:rPr>
        <w:t>Our total capital decreased $1.27 billio</w:t>
      </w:r>
      <w:r>
        <w:rPr>
          <w:rFonts w:ascii="Arial" w:eastAsia="宋体" w:hAnsi="Arial" w:cs="Arial"/>
          <w:color w:val="000000"/>
          <w:sz w:val="20"/>
          <w:szCs w:val="20"/>
        </w:rPr>
        <w:t>n as of June 30, 2022, compared to December 31, 2021, under both the advanced approaches and standardized approach, primarily due to the decrease in CET1 capital.</w:t>
      </w:r>
    </w:p>
    <w:p w14:paraId="392C23A5" w14:textId="77777777" w:rsidR="00980E5F" w:rsidRDefault="00483613">
      <w:pPr>
        <w:spacing w:before="60"/>
        <w:ind w:firstLine="450"/>
        <w:jc w:val="both"/>
      </w:pPr>
      <w:r>
        <w:rPr>
          <w:rFonts w:ascii="Arial" w:eastAsia="宋体" w:hAnsi="Arial" w:cs="Arial"/>
          <w:color w:val="000000"/>
          <w:sz w:val="20"/>
          <w:szCs w:val="20"/>
        </w:rPr>
        <w:t>The table below presents a roll-forward of CET1 capital, Tier 1 capital and total capital for</w:t>
      </w:r>
      <w:r>
        <w:rPr>
          <w:rFonts w:ascii="Arial" w:eastAsia="宋体" w:hAnsi="Arial" w:cs="Arial"/>
          <w:color w:val="000000"/>
          <w:sz w:val="20"/>
          <w:szCs w:val="20"/>
        </w:rPr>
        <w:t xml:space="preserve"> the six months ended June 30,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860"/>
        <w:gridCol w:w="38"/>
        <w:gridCol w:w="99"/>
        <w:gridCol w:w="798"/>
        <w:gridCol w:w="36"/>
        <w:gridCol w:w="36"/>
        <w:gridCol w:w="36"/>
        <w:gridCol w:w="36"/>
        <w:gridCol w:w="99"/>
        <w:gridCol w:w="825"/>
        <w:gridCol w:w="36"/>
        <w:gridCol w:w="36"/>
        <w:gridCol w:w="36"/>
        <w:gridCol w:w="36"/>
        <w:gridCol w:w="99"/>
        <w:gridCol w:w="955"/>
        <w:gridCol w:w="36"/>
        <w:gridCol w:w="36"/>
        <w:gridCol w:w="36"/>
        <w:gridCol w:w="36"/>
        <w:gridCol w:w="99"/>
        <w:gridCol w:w="957"/>
        <w:gridCol w:w="36"/>
      </w:tblGrid>
      <w:tr w:rsidR="00980E5F" w14:paraId="392C23BE" w14:textId="77777777">
        <w:tc>
          <w:tcPr>
            <w:tcW w:w="50" w:type="pct"/>
            <w:shd w:val="clear" w:color="auto" w:fill="auto"/>
            <w:vAlign w:val="bottom"/>
          </w:tcPr>
          <w:p w14:paraId="392C23A6" w14:textId="77777777" w:rsidR="00980E5F" w:rsidRDefault="00980E5F">
            <w:pPr>
              <w:rPr>
                <w:rFonts w:ascii="宋体"/>
              </w:rPr>
            </w:pPr>
          </w:p>
        </w:tc>
        <w:tc>
          <w:tcPr>
            <w:tcW w:w="2386" w:type="pct"/>
            <w:shd w:val="clear" w:color="auto" w:fill="auto"/>
            <w:vAlign w:val="bottom"/>
          </w:tcPr>
          <w:p w14:paraId="392C23A7" w14:textId="77777777" w:rsidR="00980E5F" w:rsidRDefault="00980E5F">
            <w:pPr>
              <w:rPr>
                <w:rFonts w:ascii="宋体"/>
              </w:rPr>
            </w:pPr>
          </w:p>
        </w:tc>
        <w:tc>
          <w:tcPr>
            <w:tcW w:w="5" w:type="pct"/>
            <w:shd w:val="clear" w:color="auto" w:fill="auto"/>
            <w:vAlign w:val="bottom"/>
          </w:tcPr>
          <w:p w14:paraId="392C23A8" w14:textId="77777777" w:rsidR="00980E5F" w:rsidRDefault="00980E5F">
            <w:pPr>
              <w:rPr>
                <w:rFonts w:ascii="宋体"/>
              </w:rPr>
            </w:pPr>
          </w:p>
        </w:tc>
        <w:tc>
          <w:tcPr>
            <w:tcW w:w="50" w:type="pct"/>
            <w:shd w:val="clear" w:color="auto" w:fill="auto"/>
            <w:vAlign w:val="bottom"/>
          </w:tcPr>
          <w:p w14:paraId="392C23A9" w14:textId="77777777" w:rsidR="00980E5F" w:rsidRDefault="00980E5F">
            <w:pPr>
              <w:rPr>
                <w:rFonts w:ascii="宋体"/>
              </w:rPr>
            </w:pPr>
          </w:p>
        </w:tc>
        <w:tc>
          <w:tcPr>
            <w:tcW w:w="528" w:type="pct"/>
            <w:shd w:val="clear" w:color="auto" w:fill="auto"/>
            <w:vAlign w:val="bottom"/>
          </w:tcPr>
          <w:p w14:paraId="392C23AA" w14:textId="77777777" w:rsidR="00980E5F" w:rsidRDefault="00980E5F">
            <w:pPr>
              <w:rPr>
                <w:rFonts w:ascii="宋体"/>
              </w:rPr>
            </w:pPr>
          </w:p>
        </w:tc>
        <w:tc>
          <w:tcPr>
            <w:tcW w:w="5" w:type="pct"/>
            <w:shd w:val="clear" w:color="auto" w:fill="auto"/>
            <w:vAlign w:val="bottom"/>
          </w:tcPr>
          <w:p w14:paraId="392C23AB" w14:textId="77777777" w:rsidR="00980E5F" w:rsidRDefault="00980E5F">
            <w:pPr>
              <w:rPr>
                <w:rFonts w:ascii="宋体"/>
              </w:rPr>
            </w:pPr>
          </w:p>
        </w:tc>
        <w:tc>
          <w:tcPr>
            <w:tcW w:w="5" w:type="pct"/>
            <w:shd w:val="clear" w:color="auto" w:fill="auto"/>
            <w:vAlign w:val="bottom"/>
          </w:tcPr>
          <w:p w14:paraId="392C23AC" w14:textId="77777777" w:rsidR="00980E5F" w:rsidRDefault="00980E5F">
            <w:pPr>
              <w:rPr>
                <w:rFonts w:ascii="宋体"/>
              </w:rPr>
            </w:pPr>
          </w:p>
        </w:tc>
        <w:tc>
          <w:tcPr>
            <w:tcW w:w="19" w:type="pct"/>
            <w:shd w:val="clear" w:color="auto" w:fill="auto"/>
            <w:vAlign w:val="bottom"/>
          </w:tcPr>
          <w:p w14:paraId="392C23AD" w14:textId="77777777" w:rsidR="00980E5F" w:rsidRDefault="00980E5F">
            <w:pPr>
              <w:rPr>
                <w:rFonts w:ascii="宋体"/>
              </w:rPr>
            </w:pPr>
          </w:p>
        </w:tc>
        <w:tc>
          <w:tcPr>
            <w:tcW w:w="5" w:type="pct"/>
            <w:shd w:val="clear" w:color="auto" w:fill="auto"/>
            <w:vAlign w:val="bottom"/>
          </w:tcPr>
          <w:p w14:paraId="392C23AE" w14:textId="77777777" w:rsidR="00980E5F" w:rsidRDefault="00980E5F">
            <w:pPr>
              <w:rPr>
                <w:rFonts w:ascii="宋体"/>
              </w:rPr>
            </w:pPr>
          </w:p>
        </w:tc>
        <w:tc>
          <w:tcPr>
            <w:tcW w:w="50" w:type="pct"/>
            <w:shd w:val="clear" w:color="auto" w:fill="auto"/>
            <w:vAlign w:val="bottom"/>
          </w:tcPr>
          <w:p w14:paraId="392C23AF" w14:textId="77777777" w:rsidR="00980E5F" w:rsidRDefault="00980E5F">
            <w:pPr>
              <w:rPr>
                <w:rFonts w:ascii="宋体"/>
              </w:rPr>
            </w:pPr>
          </w:p>
        </w:tc>
        <w:tc>
          <w:tcPr>
            <w:tcW w:w="477" w:type="pct"/>
            <w:shd w:val="clear" w:color="auto" w:fill="auto"/>
            <w:vAlign w:val="bottom"/>
          </w:tcPr>
          <w:p w14:paraId="392C23B0" w14:textId="77777777" w:rsidR="00980E5F" w:rsidRDefault="00980E5F">
            <w:pPr>
              <w:rPr>
                <w:rFonts w:ascii="宋体"/>
              </w:rPr>
            </w:pPr>
          </w:p>
        </w:tc>
        <w:tc>
          <w:tcPr>
            <w:tcW w:w="5" w:type="pct"/>
            <w:shd w:val="clear" w:color="auto" w:fill="auto"/>
            <w:vAlign w:val="bottom"/>
          </w:tcPr>
          <w:p w14:paraId="392C23B1" w14:textId="77777777" w:rsidR="00980E5F" w:rsidRDefault="00980E5F">
            <w:pPr>
              <w:rPr>
                <w:rFonts w:ascii="宋体"/>
              </w:rPr>
            </w:pPr>
          </w:p>
        </w:tc>
        <w:tc>
          <w:tcPr>
            <w:tcW w:w="5" w:type="pct"/>
            <w:shd w:val="clear" w:color="auto" w:fill="auto"/>
            <w:vAlign w:val="bottom"/>
          </w:tcPr>
          <w:p w14:paraId="392C23B2" w14:textId="77777777" w:rsidR="00980E5F" w:rsidRDefault="00980E5F">
            <w:pPr>
              <w:rPr>
                <w:rFonts w:ascii="宋体"/>
              </w:rPr>
            </w:pPr>
          </w:p>
        </w:tc>
        <w:tc>
          <w:tcPr>
            <w:tcW w:w="19" w:type="pct"/>
            <w:shd w:val="clear" w:color="auto" w:fill="auto"/>
            <w:vAlign w:val="bottom"/>
          </w:tcPr>
          <w:p w14:paraId="392C23B3" w14:textId="77777777" w:rsidR="00980E5F" w:rsidRDefault="00980E5F">
            <w:pPr>
              <w:rPr>
                <w:rFonts w:ascii="宋体"/>
              </w:rPr>
            </w:pPr>
          </w:p>
        </w:tc>
        <w:tc>
          <w:tcPr>
            <w:tcW w:w="5" w:type="pct"/>
            <w:shd w:val="clear" w:color="auto" w:fill="auto"/>
            <w:vAlign w:val="bottom"/>
          </w:tcPr>
          <w:p w14:paraId="392C23B4" w14:textId="77777777" w:rsidR="00980E5F" w:rsidRDefault="00980E5F">
            <w:pPr>
              <w:rPr>
                <w:rFonts w:ascii="宋体"/>
              </w:rPr>
            </w:pPr>
          </w:p>
        </w:tc>
        <w:tc>
          <w:tcPr>
            <w:tcW w:w="50" w:type="pct"/>
            <w:shd w:val="clear" w:color="auto" w:fill="auto"/>
            <w:vAlign w:val="bottom"/>
          </w:tcPr>
          <w:p w14:paraId="392C23B5" w14:textId="77777777" w:rsidR="00980E5F" w:rsidRDefault="00980E5F">
            <w:pPr>
              <w:rPr>
                <w:rFonts w:ascii="宋体"/>
              </w:rPr>
            </w:pPr>
          </w:p>
        </w:tc>
        <w:tc>
          <w:tcPr>
            <w:tcW w:w="622" w:type="pct"/>
            <w:shd w:val="clear" w:color="auto" w:fill="auto"/>
            <w:vAlign w:val="bottom"/>
          </w:tcPr>
          <w:p w14:paraId="392C23B6" w14:textId="77777777" w:rsidR="00980E5F" w:rsidRDefault="00980E5F">
            <w:pPr>
              <w:rPr>
                <w:rFonts w:ascii="宋体"/>
              </w:rPr>
            </w:pPr>
          </w:p>
        </w:tc>
        <w:tc>
          <w:tcPr>
            <w:tcW w:w="5" w:type="pct"/>
            <w:shd w:val="clear" w:color="auto" w:fill="auto"/>
            <w:vAlign w:val="bottom"/>
          </w:tcPr>
          <w:p w14:paraId="392C23B7" w14:textId="77777777" w:rsidR="00980E5F" w:rsidRDefault="00980E5F">
            <w:pPr>
              <w:rPr>
                <w:rFonts w:ascii="宋体"/>
              </w:rPr>
            </w:pPr>
          </w:p>
        </w:tc>
        <w:tc>
          <w:tcPr>
            <w:tcW w:w="5" w:type="pct"/>
            <w:shd w:val="clear" w:color="auto" w:fill="auto"/>
            <w:vAlign w:val="bottom"/>
          </w:tcPr>
          <w:p w14:paraId="392C23B8" w14:textId="77777777" w:rsidR="00980E5F" w:rsidRDefault="00980E5F">
            <w:pPr>
              <w:rPr>
                <w:rFonts w:ascii="宋体"/>
              </w:rPr>
            </w:pPr>
          </w:p>
        </w:tc>
        <w:tc>
          <w:tcPr>
            <w:tcW w:w="19" w:type="pct"/>
            <w:shd w:val="clear" w:color="auto" w:fill="auto"/>
            <w:vAlign w:val="bottom"/>
          </w:tcPr>
          <w:p w14:paraId="392C23B9" w14:textId="77777777" w:rsidR="00980E5F" w:rsidRDefault="00980E5F">
            <w:pPr>
              <w:rPr>
                <w:rFonts w:ascii="宋体"/>
              </w:rPr>
            </w:pPr>
          </w:p>
        </w:tc>
        <w:tc>
          <w:tcPr>
            <w:tcW w:w="5" w:type="pct"/>
            <w:shd w:val="clear" w:color="auto" w:fill="auto"/>
            <w:vAlign w:val="bottom"/>
          </w:tcPr>
          <w:p w14:paraId="392C23BA" w14:textId="77777777" w:rsidR="00980E5F" w:rsidRDefault="00980E5F">
            <w:pPr>
              <w:rPr>
                <w:rFonts w:ascii="宋体"/>
              </w:rPr>
            </w:pPr>
          </w:p>
        </w:tc>
        <w:tc>
          <w:tcPr>
            <w:tcW w:w="50" w:type="pct"/>
            <w:shd w:val="clear" w:color="auto" w:fill="auto"/>
            <w:vAlign w:val="bottom"/>
          </w:tcPr>
          <w:p w14:paraId="392C23BB" w14:textId="77777777" w:rsidR="00980E5F" w:rsidRDefault="00980E5F">
            <w:pPr>
              <w:rPr>
                <w:rFonts w:ascii="宋体"/>
              </w:rPr>
            </w:pPr>
          </w:p>
        </w:tc>
        <w:tc>
          <w:tcPr>
            <w:tcW w:w="623" w:type="pct"/>
            <w:shd w:val="clear" w:color="auto" w:fill="auto"/>
            <w:vAlign w:val="bottom"/>
          </w:tcPr>
          <w:p w14:paraId="392C23BC" w14:textId="77777777" w:rsidR="00980E5F" w:rsidRDefault="00980E5F">
            <w:pPr>
              <w:rPr>
                <w:rFonts w:ascii="宋体"/>
              </w:rPr>
            </w:pPr>
          </w:p>
        </w:tc>
        <w:tc>
          <w:tcPr>
            <w:tcW w:w="5" w:type="pct"/>
            <w:shd w:val="clear" w:color="auto" w:fill="auto"/>
            <w:vAlign w:val="bottom"/>
          </w:tcPr>
          <w:p w14:paraId="392C23BD" w14:textId="77777777" w:rsidR="00980E5F" w:rsidRDefault="00980E5F">
            <w:pPr>
              <w:rPr>
                <w:rFonts w:ascii="宋体"/>
              </w:rPr>
            </w:pPr>
          </w:p>
        </w:tc>
      </w:tr>
      <w:tr w:rsidR="00980E5F" w14:paraId="392C23C0" w14:textId="77777777">
        <w:tc>
          <w:tcPr>
            <w:tcW w:w="0" w:type="auto"/>
            <w:gridSpan w:val="24"/>
            <w:shd w:val="clear" w:color="auto" w:fill="auto"/>
            <w:tcMar>
              <w:top w:w="40" w:type="dxa"/>
              <w:left w:w="20" w:type="dxa"/>
              <w:bottom w:w="40" w:type="dxa"/>
              <w:right w:w="20" w:type="dxa"/>
            </w:tcMar>
            <w:vAlign w:val="bottom"/>
          </w:tcPr>
          <w:p w14:paraId="392C23BF" w14:textId="77777777" w:rsidR="00980E5F" w:rsidRDefault="00483613">
            <w:pPr>
              <w:textAlignment w:val="bottom"/>
            </w:pPr>
            <w:r>
              <w:rPr>
                <w:rFonts w:ascii="Arial" w:eastAsia="宋体" w:hAnsi="Arial" w:cs="Arial"/>
                <w:b/>
                <w:bCs/>
                <w:color w:val="000000"/>
                <w:sz w:val="16"/>
                <w:szCs w:val="16"/>
              </w:rPr>
              <w:t>TABLE 35: CAPITAL ROLL-FORWARD</w:t>
            </w:r>
          </w:p>
        </w:tc>
      </w:tr>
      <w:tr w:rsidR="00980E5F" w14:paraId="392C23C9" w14:textId="77777777">
        <w:tc>
          <w:tcPr>
            <w:tcW w:w="0" w:type="auto"/>
            <w:gridSpan w:val="3"/>
            <w:shd w:val="clear" w:color="auto" w:fill="auto"/>
            <w:tcMar>
              <w:top w:w="40" w:type="dxa"/>
              <w:left w:w="20" w:type="dxa"/>
              <w:bottom w:w="40" w:type="dxa"/>
              <w:right w:w="20" w:type="dxa"/>
            </w:tcMar>
            <w:vAlign w:val="bottom"/>
          </w:tcPr>
          <w:p w14:paraId="392C23C1"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23C2" w14:textId="77777777" w:rsidR="00980E5F" w:rsidRDefault="00483613">
            <w:pPr>
              <w:jc w:val="center"/>
              <w:textAlignment w:val="bottom"/>
            </w:pPr>
            <w:r>
              <w:rPr>
                <w:rFonts w:ascii="Arial" w:eastAsia="宋体" w:hAnsi="Arial" w:cs="Arial"/>
                <w:b/>
                <w:bCs/>
                <w:color w:val="000000"/>
                <w:sz w:val="14"/>
                <w:szCs w:val="14"/>
              </w:rPr>
              <w:t>Basel III Advanced Approaches June 30, 2022</w:t>
            </w:r>
          </w:p>
        </w:tc>
        <w:tc>
          <w:tcPr>
            <w:tcW w:w="0" w:type="auto"/>
            <w:gridSpan w:val="3"/>
            <w:shd w:val="clear" w:color="auto" w:fill="auto"/>
            <w:tcMar>
              <w:top w:w="0" w:type="dxa"/>
              <w:left w:w="20" w:type="dxa"/>
              <w:bottom w:w="0" w:type="dxa"/>
              <w:right w:w="20" w:type="dxa"/>
            </w:tcMar>
            <w:vAlign w:val="bottom"/>
          </w:tcPr>
          <w:p w14:paraId="392C23C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3C4" w14:textId="77777777" w:rsidR="00980E5F" w:rsidRDefault="00483613">
            <w:pPr>
              <w:jc w:val="center"/>
              <w:textAlignment w:val="bottom"/>
            </w:pPr>
            <w:r>
              <w:rPr>
                <w:rFonts w:ascii="Arial" w:eastAsia="宋体" w:hAnsi="Arial" w:cs="Arial"/>
                <w:b/>
                <w:bCs/>
                <w:color w:val="000000"/>
                <w:sz w:val="14"/>
                <w:szCs w:val="14"/>
              </w:rPr>
              <w:t>Basel III Standardized Approach June 30, 2022</w:t>
            </w:r>
          </w:p>
        </w:tc>
        <w:tc>
          <w:tcPr>
            <w:tcW w:w="0" w:type="auto"/>
            <w:gridSpan w:val="3"/>
            <w:shd w:val="clear" w:color="auto" w:fill="auto"/>
            <w:tcMar>
              <w:top w:w="0" w:type="dxa"/>
              <w:left w:w="20" w:type="dxa"/>
              <w:bottom w:w="0" w:type="dxa"/>
              <w:right w:w="20" w:type="dxa"/>
            </w:tcMar>
            <w:vAlign w:val="bottom"/>
          </w:tcPr>
          <w:p w14:paraId="392C23C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3C6" w14:textId="77777777" w:rsidR="00980E5F" w:rsidRDefault="00483613">
            <w:pPr>
              <w:jc w:val="center"/>
              <w:textAlignment w:val="bottom"/>
            </w:pPr>
            <w:r>
              <w:rPr>
                <w:rFonts w:ascii="Arial" w:eastAsia="宋体" w:hAnsi="Arial" w:cs="Arial"/>
                <w:b/>
                <w:bCs/>
                <w:color w:val="000000"/>
                <w:sz w:val="14"/>
                <w:szCs w:val="14"/>
              </w:rPr>
              <w:t>Basel III Advanced Approaches December 31, 2021</w:t>
            </w:r>
          </w:p>
        </w:tc>
        <w:tc>
          <w:tcPr>
            <w:tcW w:w="0" w:type="auto"/>
            <w:gridSpan w:val="3"/>
            <w:shd w:val="clear" w:color="auto" w:fill="auto"/>
            <w:tcMar>
              <w:top w:w="0" w:type="dxa"/>
              <w:left w:w="20" w:type="dxa"/>
              <w:bottom w:w="0" w:type="dxa"/>
              <w:right w:w="20" w:type="dxa"/>
            </w:tcMar>
            <w:vAlign w:val="bottom"/>
          </w:tcPr>
          <w:p w14:paraId="392C23C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3C8" w14:textId="77777777" w:rsidR="00980E5F" w:rsidRDefault="00483613">
            <w:pPr>
              <w:jc w:val="center"/>
              <w:textAlignment w:val="bottom"/>
            </w:pPr>
            <w:r>
              <w:rPr>
                <w:rFonts w:ascii="Arial" w:eastAsia="宋体" w:hAnsi="Arial" w:cs="Arial"/>
                <w:b/>
                <w:bCs/>
                <w:color w:val="000000"/>
                <w:sz w:val="14"/>
                <w:szCs w:val="14"/>
              </w:rPr>
              <w:t xml:space="preserve">Basel III Standardized </w:t>
            </w:r>
            <w:r>
              <w:rPr>
                <w:rFonts w:ascii="Arial" w:eastAsia="宋体" w:hAnsi="Arial" w:cs="Arial"/>
                <w:b/>
                <w:bCs/>
                <w:color w:val="000000"/>
                <w:sz w:val="14"/>
                <w:szCs w:val="14"/>
              </w:rPr>
              <w:t>Approach December 31, 2021</w:t>
            </w:r>
          </w:p>
        </w:tc>
      </w:tr>
      <w:tr w:rsidR="00980E5F" w14:paraId="392C23D2" w14:textId="77777777">
        <w:tc>
          <w:tcPr>
            <w:tcW w:w="0" w:type="auto"/>
            <w:gridSpan w:val="3"/>
            <w:shd w:val="clear" w:color="auto" w:fill="auto"/>
            <w:tcMar>
              <w:top w:w="40" w:type="dxa"/>
              <w:left w:w="20" w:type="dxa"/>
              <w:bottom w:w="40" w:type="dxa"/>
              <w:right w:w="20" w:type="dxa"/>
            </w:tcMar>
            <w:vAlign w:val="bottom"/>
          </w:tcPr>
          <w:p w14:paraId="392C23CA" w14:textId="77777777" w:rsidR="00980E5F" w:rsidRDefault="00483613">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3C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C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3C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C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3C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3D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3D1" w14:textId="77777777" w:rsidR="00980E5F" w:rsidRDefault="00980E5F">
            <w:pPr>
              <w:rPr>
                <w:rFonts w:ascii="宋体"/>
              </w:rPr>
            </w:pPr>
          </w:p>
        </w:tc>
      </w:tr>
      <w:tr w:rsidR="00980E5F" w14:paraId="392C23E3" w14:textId="77777777">
        <w:tc>
          <w:tcPr>
            <w:tcW w:w="0" w:type="auto"/>
            <w:gridSpan w:val="3"/>
            <w:shd w:val="clear" w:color="auto" w:fill="CCEEFF"/>
            <w:tcMar>
              <w:top w:w="40" w:type="dxa"/>
              <w:left w:w="20" w:type="dxa"/>
              <w:bottom w:w="40" w:type="dxa"/>
              <w:right w:w="20" w:type="dxa"/>
            </w:tcMar>
            <w:vAlign w:val="bottom"/>
          </w:tcPr>
          <w:p w14:paraId="392C23D3" w14:textId="77777777" w:rsidR="00980E5F" w:rsidRDefault="00483613">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392C23D4"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23D5" w14:textId="77777777" w:rsidR="00980E5F" w:rsidRDefault="00483613">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3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D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3D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23D9" w14:textId="77777777" w:rsidR="00980E5F" w:rsidRDefault="00483613">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3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D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3D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23DD" w14:textId="77777777" w:rsidR="00980E5F" w:rsidRDefault="00483613">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392C23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D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3E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23E1" w14:textId="77777777" w:rsidR="00980E5F" w:rsidRDefault="00483613">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392C23E2" w14:textId="77777777" w:rsidR="00980E5F" w:rsidRDefault="00980E5F">
            <w:pPr>
              <w:jc w:val="right"/>
              <w:rPr>
                <w:rFonts w:ascii="宋体"/>
              </w:rPr>
            </w:pPr>
          </w:p>
        </w:tc>
      </w:tr>
      <w:tr w:rsidR="00980E5F" w14:paraId="392C23F0" w14:textId="77777777">
        <w:tc>
          <w:tcPr>
            <w:tcW w:w="0" w:type="auto"/>
            <w:gridSpan w:val="3"/>
            <w:shd w:val="clear" w:color="auto" w:fill="FFFFFF"/>
            <w:tcMar>
              <w:top w:w="40" w:type="dxa"/>
              <w:left w:w="20" w:type="dxa"/>
              <w:bottom w:w="40" w:type="dxa"/>
              <w:right w:w="20" w:type="dxa"/>
            </w:tcMar>
            <w:vAlign w:val="bottom"/>
          </w:tcPr>
          <w:p w14:paraId="392C23E4" w14:textId="77777777" w:rsidR="00980E5F" w:rsidRDefault="00483613">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392C23E5" w14:textId="77777777" w:rsidR="00980E5F" w:rsidRDefault="00483613">
            <w:pPr>
              <w:jc w:val="right"/>
              <w:textAlignment w:val="bottom"/>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3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E8" w14:textId="77777777" w:rsidR="00980E5F" w:rsidRDefault="00483613">
            <w:pPr>
              <w:jc w:val="right"/>
              <w:textAlignment w:val="bottom"/>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3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EB" w14:textId="77777777" w:rsidR="00980E5F" w:rsidRDefault="00483613">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392C23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3E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3EE" w14:textId="77777777" w:rsidR="00980E5F" w:rsidRDefault="00483613">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392C23EF" w14:textId="77777777" w:rsidR="00980E5F" w:rsidRDefault="00980E5F">
            <w:pPr>
              <w:jc w:val="right"/>
              <w:rPr>
                <w:rFonts w:ascii="宋体"/>
              </w:rPr>
            </w:pPr>
          </w:p>
        </w:tc>
      </w:tr>
      <w:tr w:rsidR="00980E5F" w14:paraId="392C23FD" w14:textId="77777777">
        <w:tc>
          <w:tcPr>
            <w:tcW w:w="0" w:type="auto"/>
            <w:gridSpan w:val="3"/>
            <w:shd w:val="clear" w:color="auto" w:fill="CCEEFF"/>
            <w:tcMar>
              <w:top w:w="40" w:type="dxa"/>
              <w:left w:w="20" w:type="dxa"/>
              <w:bottom w:w="40" w:type="dxa"/>
              <w:right w:w="20" w:type="dxa"/>
            </w:tcMar>
            <w:vAlign w:val="bottom"/>
          </w:tcPr>
          <w:p w14:paraId="392C23F1" w14:textId="77777777" w:rsidR="00980E5F" w:rsidRDefault="00483613">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392C23F2" w14:textId="77777777" w:rsidR="00980E5F" w:rsidRDefault="00483613">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3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F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F5" w14:textId="77777777" w:rsidR="00980E5F" w:rsidRDefault="00483613">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3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F8" w14:textId="77777777" w:rsidR="00980E5F" w:rsidRDefault="00483613">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392C23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3F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3FB" w14:textId="77777777" w:rsidR="00980E5F" w:rsidRDefault="00483613">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392C23FC" w14:textId="77777777" w:rsidR="00980E5F" w:rsidRDefault="00980E5F">
            <w:pPr>
              <w:jc w:val="right"/>
              <w:rPr>
                <w:rFonts w:ascii="宋体"/>
              </w:rPr>
            </w:pPr>
          </w:p>
        </w:tc>
      </w:tr>
      <w:tr w:rsidR="00980E5F" w14:paraId="392C240A" w14:textId="77777777">
        <w:tc>
          <w:tcPr>
            <w:tcW w:w="0" w:type="auto"/>
            <w:gridSpan w:val="3"/>
            <w:shd w:val="clear" w:color="auto" w:fill="FFFFFF"/>
            <w:tcMar>
              <w:top w:w="40" w:type="dxa"/>
              <w:left w:w="20" w:type="dxa"/>
              <w:bottom w:w="40" w:type="dxa"/>
              <w:right w:w="20" w:type="dxa"/>
            </w:tcMar>
            <w:vAlign w:val="bottom"/>
          </w:tcPr>
          <w:p w14:paraId="392C23FE" w14:textId="77777777" w:rsidR="00980E5F" w:rsidRDefault="00483613">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392C23FF" w14:textId="77777777" w:rsidR="00980E5F" w:rsidRDefault="00483613">
            <w:pPr>
              <w:jc w:val="right"/>
              <w:textAlignment w:val="bottom"/>
            </w:pPr>
            <w:r>
              <w:rPr>
                <w:rFonts w:ascii="Arial" w:eastAsia="宋体" w:hAnsi="Arial" w:cs="Arial"/>
                <w:b/>
                <w:bCs/>
                <w:color w:val="000000"/>
                <w:sz w:val="14"/>
                <w:szCs w:val="14"/>
              </w:rPr>
              <w:t>(474)</w:t>
            </w:r>
          </w:p>
        </w:tc>
        <w:tc>
          <w:tcPr>
            <w:tcW w:w="0" w:type="auto"/>
            <w:shd w:val="clear" w:color="auto" w:fill="FFFFFF"/>
            <w:tcMar>
              <w:top w:w="40" w:type="dxa"/>
              <w:left w:w="0" w:type="dxa"/>
              <w:bottom w:w="40" w:type="dxa"/>
              <w:right w:w="20" w:type="dxa"/>
            </w:tcMar>
            <w:vAlign w:val="bottom"/>
          </w:tcPr>
          <w:p w14:paraId="392C24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02" w14:textId="77777777" w:rsidR="00980E5F" w:rsidRDefault="00483613">
            <w:pPr>
              <w:jc w:val="right"/>
              <w:textAlignment w:val="bottom"/>
            </w:pPr>
            <w:r>
              <w:rPr>
                <w:rFonts w:ascii="Arial" w:eastAsia="宋体" w:hAnsi="Arial" w:cs="Arial"/>
                <w:b/>
                <w:bCs/>
                <w:color w:val="000000"/>
                <w:sz w:val="14"/>
                <w:szCs w:val="14"/>
              </w:rPr>
              <w:t>(474)</w:t>
            </w:r>
          </w:p>
        </w:tc>
        <w:tc>
          <w:tcPr>
            <w:tcW w:w="0" w:type="auto"/>
            <w:shd w:val="clear" w:color="auto" w:fill="FFFFFF"/>
            <w:tcMar>
              <w:top w:w="40" w:type="dxa"/>
              <w:left w:w="0" w:type="dxa"/>
              <w:bottom w:w="40" w:type="dxa"/>
              <w:right w:w="20" w:type="dxa"/>
            </w:tcMar>
            <w:vAlign w:val="bottom"/>
          </w:tcPr>
          <w:p w14:paraId="392C24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05" w14:textId="77777777" w:rsidR="00980E5F" w:rsidRDefault="00483613">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392C24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08" w14:textId="77777777" w:rsidR="00980E5F" w:rsidRDefault="00483613">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392C2409" w14:textId="77777777" w:rsidR="00980E5F" w:rsidRDefault="00980E5F">
            <w:pPr>
              <w:jc w:val="right"/>
              <w:rPr>
                <w:rFonts w:ascii="宋体"/>
              </w:rPr>
            </w:pPr>
          </w:p>
        </w:tc>
      </w:tr>
      <w:tr w:rsidR="00980E5F" w14:paraId="392C2417" w14:textId="77777777">
        <w:tc>
          <w:tcPr>
            <w:tcW w:w="0" w:type="auto"/>
            <w:gridSpan w:val="3"/>
            <w:shd w:val="clear" w:color="auto" w:fill="CCEEFF"/>
            <w:tcMar>
              <w:top w:w="40" w:type="dxa"/>
              <w:left w:w="20" w:type="dxa"/>
              <w:bottom w:w="40" w:type="dxa"/>
              <w:right w:w="20" w:type="dxa"/>
            </w:tcMar>
            <w:vAlign w:val="bottom"/>
          </w:tcPr>
          <w:p w14:paraId="392C240B" w14:textId="77777777" w:rsidR="00980E5F" w:rsidRDefault="00483613">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392C240C" w14:textId="77777777" w:rsidR="00980E5F" w:rsidRDefault="00483613">
            <w:pPr>
              <w:jc w:val="right"/>
              <w:textAlignment w:val="bottom"/>
            </w:pPr>
            <w:r>
              <w:rPr>
                <w:rFonts w:ascii="Arial" w:eastAsia="宋体" w:hAnsi="Arial" w:cs="Arial"/>
                <w:b/>
                <w:bCs/>
                <w:color w:val="000000"/>
                <w:sz w:val="14"/>
                <w:szCs w:val="14"/>
              </w:rPr>
              <w:t>307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0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0F" w14:textId="77777777" w:rsidR="00980E5F" w:rsidRDefault="00483613">
            <w:pPr>
              <w:jc w:val="right"/>
              <w:textAlignment w:val="bottom"/>
            </w:pPr>
            <w:r>
              <w:rPr>
                <w:rFonts w:ascii="Arial" w:eastAsia="宋体" w:hAnsi="Arial" w:cs="Arial"/>
                <w:b/>
                <w:bCs/>
                <w:color w:val="000000"/>
                <w:sz w:val="14"/>
                <w:szCs w:val="14"/>
              </w:rPr>
              <w:t>307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1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12" w14:textId="77777777" w:rsidR="00980E5F" w:rsidRDefault="00483613">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392C24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1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15" w14:textId="77777777" w:rsidR="00980E5F" w:rsidRDefault="00483613">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392C2416" w14:textId="77777777" w:rsidR="00980E5F" w:rsidRDefault="00980E5F">
            <w:pPr>
              <w:jc w:val="right"/>
              <w:rPr>
                <w:rFonts w:ascii="宋体"/>
              </w:rPr>
            </w:pPr>
          </w:p>
        </w:tc>
      </w:tr>
      <w:tr w:rsidR="00980E5F" w14:paraId="392C2424" w14:textId="77777777">
        <w:tc>
          <w:tcPr>
            <w:tcW w:w="0" w:type="auto"/>
            <w:gridSpan w:val="3"/>
            <w:shd w:val="clear" w:color="auto" w:fill="FFFFFF"/>
            <w:tcMar>
              <w:top w:w="40" w:type="dxa"/>
              <w:left w:w="20" w:type="dxa"/>
              <w:bottom w:w="40" w:type="dxa"/>
              <w:right w:w="20" w:type="dxa"/>
            </w:tcMar>
            <w:vAlign w:val="bottom"/>
          </w:tcPr>
          <w:p w14:paraId="392C2418" w14:textId="77777777" w:rsidR="00980E5F" w:rsidRDefault="00483613">
            <w:pPr>
              <w:textAlignment w:val="bottom"/>
            </w:pPr>
            <w:r>
              <w:rPr>
                <w:rFonts w:ascii="Arial" w:eastAsia="宋体" w:hAnsi="Arial" w:cs="Arial"/>
                <w:color w:val="000000"/>
                <w:sz w:val="14"/>
                <w:szCs w:val="14"/>
              </w:rPr>
              <w:t>Accumulated other comprehensive income (loss)</w:t>
            </w:r>
          </w:p>
        </w:tc>
        <w:tc>
          <w:tcPr>
            <w:tcW w:w="0" w:type="auto"/>
            <w:gridSpan w:val="2"/>
            <w:shd w:val="clear" w:color="auto" w:fill="FFFFFF"/>
            <w:tcMar>
              <w:top w:w="40" w:type="dxa"/>
              <w:left w:w="20" w:type="dxa"/>
              <w:bottom w:w="40" w:type="dxa"/>
              <w:right w:w="0" w:type="dxa"/>
            </w:tcMar>
            <w:vAlign w:val="bottom"/>
          </w:tcPr>
          <w:p w14:paraId="392C2419" w14:textId="77777777" w:rsidR="00980E5F" w:rsidRDefault="00483613">
            <w:pPr>
              <w:jc w:val="right"/>
              <w:textAlignment w:val="bottom"/>
            </w:pPr>
            <w:r>
              <w:rPr>
                <w:rFonts w:ascii="Arial" w:eastAsia="宋体" w:hAnsi="Arial" w:cs="Arial"/>
                <w:b/>
                <w:bCs/>
                <w:color w:val="000000"/>
                <w:sz w:val="14"/>
                <w:szCs w:val="14"/>
              </w:rPr>
              <w:t>(2,554)</w:t>
            </w:r>
          </w:p>
        </w:tc>
        <w:tc>
          <w:tcPr>
            <w:tcW w:w="0" w:type="auto"/>
            <w:shd w:val="clear" w:color="auto" w:fill="FFFFFF"/>
            <w:tcMar>
              <w:top w:w="40" w:type="dxa"/>
              <w:left w:w="0" w:type="dxa"/>
              <w:bottom w:w="40" w:type="dxa"/>
              <w:right w:w="20" w:type="dxa"/>
            </w:tcMar>
            <w:vAlign w:val="bottom"/>
          </w:tcPr>
          <w:p w14:paraId="392C24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1C" w14:textId="77777777" w:rsidR="00980E5F" w:rsidRDefault="00483613">
            <w:pPr>
              <w:jc w:val="right"/>
              <w:textAlignment w:val="bottom"/>
            </w:pPr>
            <w:r>
              <w:rPr>
                <w:rFonts w:ascii="Arial" w:eastAsia="宋体" w:hAnsi="Arial" w:cs="Arial"/>
                <w:b/>
                <w:bCs/>
                <w:color w:val="000000"/>
                <w:sz w:val="14"/>
                <w:szCs w:val="14"/>
              </w:rPr>
              <w:t>(2,554)</w:t>
            </w:r>
          </w:p>
        </w:tc>
        <w:tc>
          <w:tcPr>
            <w:tcW w:w="0" w:type="auto"/>
            <w:shd w:val="clear" w:color="auto" w:fill="FFFFFF"/>
            <w:tcMar>
              <w:top w:w="40" w:type="dxa"/>
              <w:left w:w="0" w:type="dxa"/>
              <w:bottom w:w="40" w:type="dxa"/>
              <w:right w:w="20" w:type="dxa"/>
            </w:tcMar>
            <w:vAlign w:val="bottom"/>
          </w:tcPr>
          <w:p w14:paraId="392C24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1F" w14:textId="77777777" w:rsidR="00980E5F" w:rsidRDefault="00483613">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392C24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22" w14:textId="77777777" w:rsidR="00980E5F" w:rsidRDefault="00483613">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392C2423" w14:textId="77777777" w:rsidR="00980E5F" w:rsidRDefault="00980E5F">
            <w:pPr>
              <w:jc w:val="right"/>
              <w:rPr>
                <w:rFonts w:ascii="宋体"/>
              </w:rPr>
            </w:pPr>
          </w:p>
        </w:tc>
      </w:tr>
      <w:tr w:rsidR="00980E5F" w14:paraId="392C2431" w14:textId="77777777">
        <w:tc>
          <w:tcPr>
            <w:tcW w:w="0" w:type="auto"/>
            <w:gridSpan w:val="3"/>
            <w:shd w:val="clear" w:color="auto" w:fill="CCEEFF"/>
            <w:tcMar>
              <w:top w:w="40" w:type="dxa"/>
              <w:left w:w="20" w:type="dxa"/>
              <w:bottom w:w="40" w:type="dxa"/>
              <w:right w:w="20" w:type="dxa"/>
            </w:tcMar>
            <w:vAlign w:val="bottom"/>
          </w:tcPr>
          <w:p w14:paraId="392C2425" w14:textId="77777777" w:rsidR="00980E5F" w:rsidRDefault="00483613">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392C2426" w14:textId="77777777" w:rsidR="00980E5F" w:rsidRDefault="00483613">
            <w:pPr>
              <w:jc w:val="right"/>
              <w:textAlignment w:val="bottom"/>
            </w:pPr>
            <w:r>
              <w:rPr>
                <w:rFonts w:ascii="Arial" w:eastAsia="宋体" w:hAnsi="Arial" w:cs="Arial"/>
                <w:b/>
                <w:bCs/>
                <w:color w:val="000000"/>
                <w:sz w:val="14"/>
                <w:szCs w:val="14"/>
              </w:rPr>
              <w:t>194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2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29" w14:textId="77777777" w:rsidR="00980E5F" w:rsidRDefault="00483613">
            <w:pPr>
              <w:jc w:val="right"/>
              <w:textAlignment w:val="bottom"/>
            </w:pPr>
            <w:r>
              <w:rPr>
                <w:rFonts w:ascii="Arial" w:eastAsia="宋体" w:hAnsi="Arial" w:cs="Arial"/>
                <w:b/>
                <w:bCs/>
                <w:color w:val="000000"/>
                <w:sz w:val="14"/>
                <w:szCs w:val="14"/>
              </w:rPr>
              <w:t>194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2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2C" w14:textId="77777777" w:rsidR="00980E5F" w:rsidRDefault="00483613">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392C24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2F" w14:textId="77777777" w:rsidR="00980E5F" w:rsidRDefault="00483613">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392C2430" w14:textId="77777777" w:rsidR="00980E5F" w:rsidRDefault="00980E5F">
            <w:pPr>
              <w:jc w:val="right"/>
              <w:rPr>
                <w:rFonts w:ascii="宋体"/>
              </w:rPr>
            </w:pPr>
          </w:p>
        </w:tc>
      </w:tr>
      <w:tr w:rsidR="00980E5F" w14:paraId="392C243E" w14:textId="77777777">
        <w:tc>
          <w:tcPr>
            <w:tcW w:w="0" w:type="auto"/>
            <w:gridSpan w:val="3"/>
            <w:shd w:val="clear" w:color="auto" w:fill="FFFFFF"/>
            <w:tcMar>
              <w:top w:w="40" w:type="dxa"/>
              <w:left w:w="20" w:type="dxa"/>
              <w:bottom w:w="40" w:type="dxa"/>
              <w:right w:w="20" w:type="dxa"/>
            </w:tcMar>
            <w:vAlign w:val="bottom"/>
          </w:tcPr>
          <w:p w14:paraId="392C2432" w14:textId="77777777" w:rsidR="00980E5F" w:rsidRDefault="00483613">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33" w14:textId="77777777" w:rsidR="00980E5F" w:rsidRDefault="00483613">
            <w:pPr>
              <w:jc w:val="right"/>
              <w:textAlignment w:val="bottom"/>
            </w:pPr>
            <w:r>
              <w:rPr>
                <w:rFonts w:ascii="Arial" w:eastAsia="宋体" w:hAnsi="Arial" w:cs="Arial"/>
                <w:b/>
                <w:bCs/>
                <w:color w:val="000000"/>
                <w:sz w:val="14"/>
                <w:szCs w:val="14"/>
              </w:rPr>
              <w:t>(1,065)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3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36" w14:textId="77777777" w:rsidR="00980E5F" w:rsidRDefault="00483613">
            <w:pPr>
              <w:jc w:val="right"/>
              <w:textAlignment w:val="bottom"/>
            </w:pPr>
            <w:r>
              <w:rPr>
                <w:rFonts w:ascii="Arial" w:eastAsia="宋体" w:hAnsi="Arial" w:cs="Arial"/>
                <w:b/>
                <w:bCs/>
                <w:color w:val="000000"/>
                <w:sz w:val="14"/>
                <w:szCs w:val="14"/>
              </w:rPr>
              <w:t>(1,065)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3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39" w14:textId="77777777" w:rsidR="00980E5F" w:rsidRDefault="00483613">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3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3C" w14:textId="77777777" w:rsidR="00980E5F" w:rsidRDefault="00483613">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3D" w14:textId="77777777" w:rsidR="00980E5F" w:rsidRDefault="00980E5F">
            <w:pPr>
              <w:jc w:val="right"/>
              <w:rPr>
                <w:rFonts w:ascii="宋体"/>
              </w:rPr>
            </w:pPr>
          </w:p>
        </w:tc>
      </w:tr>
      <w:tr w:rsidR="00980E5F" w14:paraId="392C244B" w14:textId="77777777">
        <w:tc>
          <w:tcPr>
            <w:tcW w:w="0" w:type="auto"/>
            <w:gridSpan w:val="3"/>
            <w:shd w:val="clear" w:color="auto" w:fill="CCEEFF"/>
            <w:tcMar>
              <w:top w:w="40" w:type="dxa"/>
              <w:left w:w="20" w:type="dxa"/>
              <w:bottom w:w="40" w:type="dxa"/>
              <w:right w:w="20" w:type="dxa"/>
            </w:tcMar>
            <w:vAlign w:val="bottom"/>
          </w:tcPr>
          <w:p w14:paraId="392C243F" w14:textId="77777777" w:rsidR="00980E5F" w:rsidRDefault="00483613">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40" w14:textId="77777777" w:rsidR="00980E5F" w:rsidRDefault="00483613">
            <w:pPr>
              <w:jc w:val="right"/>
              <w:textAlignment w:val="bottom"/>
            </w:pPr>
            <w:r>
              <w:rPr>
                <w:rFonts w:ascii="Arial" w:eastAsia="宋体" w:hAnsi="Arial" w:cs="Arial"/>
                <w:b/>
                <w:bCs/>
                <w:color w:val="000000"/>
                <w:sz w:val="14"/>
                <w:szCs w:val="14"/>
              </w:rPr>
              <w:t>14,882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4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43" w14:textId="77777777" w:rsidR="00980E5F" w:rsidRDefault="00483613">
            <w:pPr>
              <w:jc w:val="right"/>
              <w:textAlignment w:val="bottom"/>
            </w:pPr>
            <w:r>
              <w:rPr>
                <w:rFonts w:ascii="Arial" w:eastAsia="宋体" w:hAnsi="Arial" w:cs="Arial"/>
                <w:b/>
                <w:bCs/>
                <w:color w:val="000000"/>
                <w:sz w:val="14"/>
                <w:szCs w:val="14"/>
              </w:rPr>
              <w:t>14,882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4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46" w14:textId="77777777" w:rsidR="00980E5F" w:rsidRDefault="00483613">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4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49" w14:textId="77777777" w:rsidR="00980E5F" w:rsidRDefault="00483613">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4A" w14:textId="77777777" w:rsidR="00980E5F" w:rsidRDefault="00980E5F">
            <w:pPr>
              <w:jc w:val="right"/>
              <w:rPr>
                <w:rFonts w:ascii="宋体"/>
              </w:rPr>
            </w:pPr>
          </w:p>
        </w:tc>
      </w:tr>
      <w:tr w:rsidR="00980E5F" w14:paraId="392C2454" w14:textId="77777777">
        <w:tc>
          <w:tcPr>
            <w:tcW w:w="0" w:type="auto"/>
            <w:gridSpan w:val="3"/>
            <w:shd w:val="clear" w:color="auto" w:fill="FFFFFF"/>
            <w:tcMar>
              <w:top w:w="40" w:type="dxa"/>
              <w:left w:w="20" w:type="dxa"/>
              <w:bottom w:w="40" w:type="dxa"/>
              <w:right w:w="20" w:type="dxa"/>
            </w:tcMar>
            <w:vAlign w:val="bottom"/>
          </w:tcPr>
          <w:p w14:paraId="392C244C" w14:textId="77777777" w:rsidR="00980E5F" w:rsidRDefault="00483613">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4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4E"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4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50"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5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52"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53" w14:textId="77777777" w:rsidR="00980E5F" w:rsidRDefault="00980E5F">
            <w:pPr>
              <w:rPr>
                <w:rFonts w:ascii="宋体"/>
              </w:rPr>
            </w:pPr>
          </w:p>
        </w:tc>
      </w:tr>
      <w:tr w:rsidR="00980E5F" w14:paraId="392C2461" w14:textId="77777777">
        <w:tc>
          <w:tcPr>
            <w:tcW w:w="0" w:type="auto"/>
            <w:gridSpan w:val="3"/>
            <w:shd w:val="clear" w:color="auto" w:fill="CCEEFF"/>
            <w:tcMar>
              <w:top w:w="40" w:type="dxa"/>
              <w:left w:w="20" w:type="dxa"/>
              <w:bottom w:w="40" w:type="dxa"/>
              <w:right w:w="20" w:type="dxa"/>
            </w:tcMar>
            <w:vAlign w:val="bottom"/>
          </w:tcPr>
          <w:p w14:paraId="392C2455" w14:textId="77777777" w:rsidR="00980E5F" w:rsidRDefault="00483613">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392C2456" w14:textId="77777777" w:rsidR="00980E5F" w:rsidRDefault="00483613">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5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59" w14:textId="77777777" w:rsidR="00980E5F" w:rsidRDefault="00483613">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5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5C" w14:textId="77777777" w:rsidR="00980E5F" w:rsidRDefault="00483613">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392C24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5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5F" w14:textId="77777777" w:rsidR="00980E5F" w:rsidRDefault="00483613">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392C2460" w14:textId="77777777" w:rsidR="00980E5F" w:rsidRDefault="00980E5F">
            <w:pPr>
              <w:jc w:val="right"/>
              <w:rPr>
                <w:rFonts w:ascii="宋体"/>
              </w:rPr>
            </w:pPr>
          </w:p>
        </w:tc>
      </w:tr>
      <w:tr w:rsidR="00980E5F" w14:paraId="392C246E" w14:textId="77777777">
        <w:tc>
          <w:tcPr>
            <w:tcW w:w="0" w:type="auto"/>
            <w:gridSpan w:val="3"/>
            <w:shd w:val="clear" w:color="auto" w:fill="FFFFFF"/>
            <w:tcMar>
              <w:top w:w="40" w:type="dxa"/>
              <w:left w:w="20" w:type="dxa"/>
              <w:bottom w:w="40" w:type="dxa"/>
              <w:right w:w="20" w:type="dxa"/>
            </w:tcMar>
            <w:vAlign w:val="bottom"/>
          </w:tcPr>
          <w:p w14:paraId="392C2462" w14:textId="77777777" w:rsidR="00980E5F" w:rsidRDefault="00483613">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392C2463" w14:textId="77777777" w:rsidR="00980E5F" w:rsidRDefault="00483613">
            <w:pPr>
              <w:jc w:val="right"/>
              <w:textAlignment w:val="bottom"/>
            </w:pPr>
            <w:r>
              <w:rPr>
                <w:rFonts w:ascii="Arial" w:eastAsia="宋体" w:hAnsi="Arial" w:cs="Arial"/>
                <w:b/>
                <w:bCs/>
                <w:color w:val="000000"/>
                <w:sz w:val="14"/>
                <w:szCs w:val="14"/>
              </w:rPr>
              <w:t>(1,065)</w:t>
            </w:r>
          </w:p>
        </w:tc>
        <w:tc>
          <w:tcPr>
            <w:tcW w:w="0" w:type="auto"/>
            <w:shd w:val="clear" w:color="auto" w:fill="FFFFFF"/>
            <w:tcMar>
              <w:top w:w="40" w:type="dxa"/>
              <w:left w:w="0" w:type="dxa"/>
              <w:bottom w:w="40" w:type="dxa"/>
              <w:right w:w="20" w:type="dxa"/>
            </w:tcMar>
            <w:vAlign w:val="bottom"/>
          </w:tcPr>
          <w:p w14:paraId="392C24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66" w14:textId="77777777" w:rsidR="00980E5F" w:rsidRDefault="00483613">
            <w:pPr>
              <w:jc w:val="right"/>
              <w:textAlignment w:val="bottom"/>
            </w:pPr>
            <w:r>
              <w:rPr>
                <w:rFonts w:ascii="Arial" w:eastAsia="宋体" w:hAnsi="Arial" w:cs="Arial"/>
                <w:b/>
                <w:bCs/>
                <w:color w:val="000000"/>
                <w:sz w:val="14"/>
                <w:szCs w:val="14"/>
              </w:rPr>
              <w:t>(1,065)</w:t>
            </w:r>
          </w:p>
        </w:tc>
        <w:tc>
          <w:tcPr>
            <w:tcW w:w="0" w:type="auto"/>
            <w:shd w:val="clear" w:color="auto" w:fill="FFFFFF"/>
            <w:tcMar>
              <w:top w:w="40" w:type="dxa"/>
              <w:left w:w="0" w:type="dxa"/>
              <w:bottom w:w="40" w:type="dxa"/>
              <w:right w:w="20" w:type="dxa"/>
            </w:tcMar>
            <w:vAlign w:val="bottom"/>
          </w:tcPr>
          <w:p w14:paraId="392C24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69" w14:textId="77777777" w:rsidR="00980E5F" w:rsidRDefault="00483613">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392C24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6C" w14:textId="77777777" w:rsidR="00980E5F" w:rsidRDefault="00483613">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392C246D" w14:textId="77777777" w:rsidR="00980E5F" w:rsidRDefault="00980E5F">
            <w:pPr>
              <w:jc w:val="right"/>
              <w:rPr>
                <w:rFonts w:ascii="宋体"/>
              </w:rPr>
            </w:pPr>
          </w:p>
        </w:tc>
      </w:tr>
      <w:tr w:rsidR="00980E5F" w14:paraId="392C247B" w14:textId="77777777">
        <w:tc>
          <w:tcPr>
            <w:tcW w:w="0" w:type="auto"/>
            <w:gridSpan w:val="3"/>
            <w:shd w:val="clear" w:color="auto" w:fill="CCEEFF"/>
            <w:tcMar>
              <w:top w:w="40" w:type="dxa"/>
              <w:left w:w="20" w:type="dxa"/>
              <w:bottom w:w="40" w:type="dxa"/>
              <w:right w:w="20" w:type="dxa"/>
            </w:tcMar>
            <w:vAlign w:val="bottom"/>
          </w:tcPr>
          <w:p w14:paraId="392C246F" w14:textId="77777777" w:rsidR="00980E5F" w:rsidRDefault="00483613">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392C247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7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7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76" w14:textId="77777777" w:rsidR="00980E5F" w:rsidRDefault="00483613">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392C24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79" w14:textId="77777777" w:rsidR="00980E5F" w:rsidRDefault="00483613">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392C247A" w14:textId="77777777" w:rsidR="00980E5F" w:rsidRDefault="00980E5F">
            <w:pPr>
              <w:jc w:val="right"/>
              <w:rPr>
                <w:rFonts w:ascii="宋体"/>
              </w:rPr>
            </w:pPr>
          </w:p>
        </w:tc>
      </w:tr>
      <w:tr w:rsidR="00980E5F" w14:paraId="392C2484" w14:textId="77777777">
        <w:trPr>
          <w:hidden/>
        </w:trPr>
        <w:tc>
          <w:tcPr>
            <w:tcW w:w="0" w:type="auto"/>
            <w:gridSpan w:val="3"/>
            <w:shd w:val="clear" w:color="auto" w:fill="auto"/>
            <w:vAlign w:val="bottom"/>
          </w:tcPr>
          <w:p w14:paraId="392C247C" w14:textId="77777777" w:rsidR="00980E5F" w:rsidRDefault="00980E5F">
            <w:pPr>
              <w:rPr>
                <w:rFonts w:ascii="宋体"/>
                <w:vanish/>
              </w:rPr>
            </w:pPr>
          </w:p>
        </w:tc>
        <w:tc>
          <w:tcPr>
            <w:tcW w:w="0" w:type="auto"/>
            <w:gridSpan w:val="3"/>
            <w:shd w:val="clear" w:color="auto" w:fill="auto"/>
            <w:vAlign w:val="bottom"/>
          </w:tcPr>
          <w:p w14:paraId="392C247D" w14:textId="77777777" w:rsidR="00980E5F" w:rsidRDefault="00980E5F">
            <w:pPr>
              <w:rPr>
                <w:rFonts w:ascii="宋体"/>
                <w:vanish/>
              </w:rPr>
            </w:pPr>
          </w:p>
        </w:tc>
        <w:tc>
          <w:tcPr>
            <w:tcW w:w="0" w:type="auto"/>
            <w:gridSpan w:val="3"/>
            <w:shd w:val="clear" w:color="auto" w:fill="auto"/>
            <w:vAlign w:val="bottom"/>
          </w:tcPr>
          <w:p w14:paraId="392C247E" w14:textId="77777777" w:rsidR="00980E5F" w:rsidRDefault="00980E5F">
            <w:pPr>
              <w:rPr>
                <w:rFonts w:ascii="宋体"/>
                <w:vanish/>
              </w:rPr>
            </w:pPr>
          </w:p>
        </w:tc>
        <w:tc>
          <w:tcPr>
            <w:tcW w:w="0" w:type="auto"/>
            <w:gridSpan w:val="3"/>
            <w:shd w:val="clear" w:color="auto" w:fill="auto"/>
            <w:vAlign w:val="bottom"/>
          </w:tcPr>
          <w:p w14:paraId="392C247F" w14:textId="77777777" w:rsidR="00980E5F" w:rsidRDefault="00980E5F">
            <w:pPr>
              <w:rPr>
                <w:rFonts w:ascii="宋体"/>
                <w:vanish/>
              </w:rPr>
            </w:pPr>
          </w:p>
        </w:tc>
        <w:tc>
          <w:tcPr>
            <w:tcW w:w="0" w:type="auto"/>
            <w:gridSpan w:val="3"/>
            <w:shd w:val="clear" w:color="auto" w:fill="auto"/>
            <w:vAlign w:val="bottom"/>
          </w:tcPr>
          <w:p w14:paraId="392C2480" w14:textId="77777777" w:rsidR="00980E5F" w:rsidRDefault="00980E5F">
            <w:pPr>
              <w:rPr>
                <w:rFonts w:ascii="宋体"/>
                <w:vanish/>
              </w:rPr>
            </w:pPr>
          </w:p>
        </w:tc>
        <w:tc>
          <w:tcPr>
            <w:tcW w:w="0" w:type="auto"/>
            <w:gridSpan w:val="3"/>
            <w:shd w:val="clear" w:color="auto" w:fill="auto"/>
            <w:vAlign w:val="bottom"/>
          </w:tcPr>
          <w:p w14:paraId="392C2481" w14:textId="77777777" w:rsidR="00980E5F" w:rsidRDefault="00980E5F">
            <w:pPr>
              <w:rPr>
                <w:rFonts w:ascii="宋体"/>
                <w:vanish/>
              </w:rPr>
            </w:pPr>
          </w:p>
        </w:tc>
        <w:tc>
          <w:tcPr>
            <w:tcW w:w="0" w:type="auto"/>
            <w:gridSpan w:val="3"/>
            <w:shd w:val="clear" w:color="auto" w:fill="auto"/>
            <w:vAlign w:val="bottom"/>
          </w:tcPr>
          <w:p w14:paraId="392C2482" w14:textId="77777777" w:rsidR="00980E5F" w:rsidRDefault="00980E5F">
            <w:pPr>
              <w:rPr>
                <w:rFonts w:ascii="宋体"/>
                <w:vanish/>
              </w:rPr>
            </w:pPr>
          </w:p>
        </w:tc>
        <w:tc>
          <w:tcPr>
            <w:tcW w:w="0" w:type="auto"/>
            <w:gridSpan w:val="3"/>
            <w:shd w:val="clear" w:color="auto" w:fill="auto"/>
            <w:vAlign w:val="bottom"/>
          </w:tcPr>
          <w:p w14:paraId="392C2483" w14:textId="77777777" w:rsidR="00980E5F" w:rsidRDefault="00980E5F">
            <w:pPr>
              <w:rPr>
                <w:rFonts w:ascii="宋体"/>
                <w:vanish/>
              </w:rPr>
            </w:pPr>
          </w:p>
        </w:tc>
      </w:tr>
      <w:tr w:rsidR="00980E5F" w14:paraId="392C248D" w14:textId="77777777">
        <w:trPr>
          <w:hidden/>
        </w:trPr>
        <w:tc>
          <w:tcPr>
            <w:tcW w:w="0" w:type="auto"/>
            <w:gridSpan w:val="3"/>
            <w:shd w:val="clear" w:color="auto" w:fill="auto"/>
            <w:vAlign w:val="bottom"/>
          </w:tcPr>
          <w:p w14:paraId="392C2485" w14:textId="77777777" w:rsidR="00980E5F" w:rsidRDefault="00980E5F">
            <w:pPr>
              <w:rPr>
                <w:rFonts w:ascii="宋体"/>
                <w:vanish/>
              </w:rPr>
            </w:pPr>
          </w:p>
        </w:tc>
        <w:tc>
          <w:tcPr>
            <w:tcW w:w="0" w:type="auto"/>
            <w:gridSpan w:val="3"/>
            <w:shd w:val="clear" w:color="auto" w:fill="auto"/>
            <w:vAlign w:val="bottom"/>
          </w:tcPr>
          <w:p w14:paraId="392C2486" w14:textId="77777777" w:rsidR="00980E5F" w:rsidRDefault="00980E5F">
            <w:pPr>
              <w:rPr>
                <w:rFonts w:ascii="宋体"/>
                <w:vanish/>
              </w:rPr>
            </w:pPr>
          </w:p>
        </w:tc>
        <w:tc>
          <w:tcPr>
            <w:tcW w:w="0" w:type="auto"/>
            <w:gridSpan w:val="3"/>
            <w:shd w:val="clear" w:color="auto" w:fill="auto"/>
            <w:vAlign w:val="bottom"/>
          </w:tcPr>
          <w:p w14:paraId="392C2487" w14:textId="77777777" w:rsidR="00980E5F" w:rsidRDefault="00980E5F">
            <w:pPr>
              <w:rPr>
                <w:rFonts w:ascii="宋体"/>
                <w:vanish/>
              </w:rPr>
            </w:pPr>
          </w:p>
        </w:tc>
        <w:tc>
          <w:tcPr>
            <w:tcW w:w="0" w:type="auto"/>
            <w:gridSpan w:val="3"/>
            <w:shd w:val="clear" w:color="auto" w:fill="auto"/>
            <w:vAlign w:val="bottom"/>
          </w:tcPr>
          <w:p w14:paraId="392C2488" w14:textId="77777777" w:rsidR="00980E5F" w:rsidRDefault="00980E5F">
            <w:pPr>
              <w:rPr>
                <w:rFonts w:ascii="宋体"/>
                <w:vanish/>
              </w:rPr>
            </w:pPr>
          </w:p>
        </w:tc>
        <w:tc>
          <w:tcPr>
            <w:tcW w:w="0" w:type="auto"/>
            <w:gridSpan w:val="3"/>
            <w:shd w:val="clear" w:color="auto" w:fill="auto"/>
            <w:vAlign w:val="bottom"/>
          </w:tcPr>
          <w:p w14:paraId="392C2489" w14:textId="77777777" w:rsidR="00980E5F" w:rsidRDefault="00980E5F">
            <w:pPr>
              <w:rPr>
                <w:rFonts w:ascii="宋体"/>
                <w:vanish/>
              </w:rPr>
            </w:pPr>
          </w:p>
        </w:tc>
        <w:tc>
          <w:tcPr>
            <w:tcW w:w="0" w:type="auto"/>
            <w:gridSpan w:val="3"/>
            <w:shd w:val="clear" w:color="auto" w:fill="auto"/>
            <w:vAlign w:val="bottom"/>
          </w:tcPr>
          <w:p w14:paraId="392C248A" w14:textId="77777777" w:rsidR="00980E5F" w:rsidRDefault="00980E5F">
            <w:pPr>
              <w:rPr>
                <w:rFonts w:ascii="宋体"/>
                <w:vanish/>
              </w:rPr>
            </w:pPr>
          </w:p>
        </w:tc>
        <w:tc>
          <w:tcPr>
            <w:tcW w:w="0" w:type="auto"/>
            <w:gridSpan w:val="3"/>
            <w:shd w:val="clear" w:color="auto" w:fill="auto"/>
            <w:vAlign w:val="bottom"/>
          </w:tcPr>
          <w:p w14:paraId="392C248B" w14:textId="77777777" w:rsidR="00980E5F" w:rsidRDefault="00980E5F">
            <w:pPr>
              <w:rPr>
                <w:rFonts w:ascii="宋体"/>
                <w:vanish/>
              </w:rPr>
            </w:pPr>
          </w:p>
        </w:tc>
        <w:tc>
          <w:tcPr>
            <w:tcW w:w="0" w:type="auto"/>
            <w:gridSpan w:val="3"/>
            <w:shd w:val="clear" w:color="auto" w:fill="auto"/>
            <w:vAlign w:val="bottom"/>
          </w:tcPr>
          <w:p w14:paraId="392C248C" w14:textId="77777777" w:rsidR="00980E5F" w:rsidRDefault="00980E5F">
            <w:pPr>
              <w:rPr>
                <w:rFonts w:ascii="宋体"/>
                <w:vanish/>
              </w:rPr>
            </w:pPr>
          </w:p>
        </w:tc>
      </w:tr>
      <w:tr w:rsidR="00980E5F" w14:paraId="392C249A" w14:textId="77777777">
        <w:tc>
          <w:tcPr>
            <w:tcW w:w="0" w:type="auto"/>
            <w:gridSpan w:val="3"/>
            <w:shd w:val="clear" w:color="auto" w:fill="FFFFFF"/>
            <w:tcMar>
              <w:top w:w="40" w:type="dxa"/>
              <w:left w:w="20" w:type="dxa"/>
              <w:bottom w:w="40" w:type="dxa"/>
              <w:right w:w="20" w:type="dxa"/>
            </w:tcMar>
            <w:vAlign w:val="bottom"/>
          </w:tcPr>
          <w:p w14:paraId="392C248E" w14:textId="77777777" w:rsidR="00980E5F" w:rsidRDefault="00483613">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8F" w14:textId="77777777" w:rsidR="00980E5F" w:rsidRDefault="00483613">
            <w:pPr>
              <w:jc w:val="right"/>
              <w:textAlignment w:val="bottom"/>
            </w:pPr>
            <w:r>
              <w:rPr>
                <w:rFonts w:ascii="Arial" w:eastAsia="宋体" w:hAnsi="Arial" w:cs="Arial"/>
                <w:b/>
                <w:bCs/>
                <w:color w:val="000000"/>
                <w:sz w:val="14"/>
                <w:szCs w:val="14"/>
              </w:rPr>
              <w:t>(1,065)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9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92" w14:textId="77777777" w:rsidR="00980E5F" w:rsidRDefault="00483613">
            <w:pPr>
              <w:jc w:val="right"/>
              <w:textAlignment w:val="bottom"/>
            </w:pPr>
            <w:r>
              <w:rPr>
                <w:rFonts w:ascii="Arial" w:eastAsia="宋体" w:hAnsi="Arial" w:cs="Arial"/>
                <w:b/>
                <w:bCs/>
                <w:color w:val="000000"/>
                <w:sz w:val="14"/>
                <w:szCs w:val="14"/>
              </w:rPr>
              <w:t>(1,065)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9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95" w14:textId="77777777" w:rsidR="00980E5F" w:rsidRDefault="00483613">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9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98" w14:textId="77777777" w:rsidR="00980E5F" w:rsidRDefault="00483613">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99" w14:textId="77777777" w:rsidR="00980E5F" w:rsidRDefault="00980E5F">
            <w:pPr>
              <w:jc w:val="right"/>
              <w:rPr>
                <w:rFonts w:ascii="宋体"/>
              </w:rPr>
            </w:pPr>
          </w:p>
        </w:tc>
      </w:tr>
      <w:tr w:rsidR="00980E5F" w14:paraId="392C24A7" w14:textId="77777777">
        <w:tc>
          <w:tcPr>
            <w:tcW w:w="0" w:type="auto"/>
            <w:gridSpan w:val="3"/>
            <w:shd w:val="clear" w:color="auto" w:fill="CCEEFF"/>
            <w:tcMar>
              <w:top w:w="40" w:type="dxa"/>
              <w:left w:w="20" w:type="dxa"/>
              <w:bottom w:w="40" w:type="dxa"/>
              <w:right w:w="20" w:type="dxa"/>
            </w:tcMar>
            <w:vAlign w:val="bottom"/>
          </w:tcPr>
          <w:p w14:paraId="392C249B" w14:textId="77777777" w:rsidR="00980E5F" w:rsidRDefault="00483613">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9C" w14:textId="77777777" w:rsidR="00980E5F" w:rsidRDefault="00483613">
            <w:pPr>
              <w:jc w:val="right"/>
              <w:textAlignment w:val="bottom"/>
            </w:pPr>
            <w:r>
              <w:rPr>
                <w:rFonts w:ascii="Arial" w:eastAsia="宋体" w:hAnsi="Arial" w:cs="Arial"/>
                <w:b/>
                <w:bCs/>
                <w:color w:val="000000"/>
                <w:sz w:val="14"/>
                <w:szCs w:val="14"/>
              </w:rPr>
              <w:t>16,858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9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9F" w14:textId="77777777" w:rsidR="00980E5F" w:rsidRDefault="00483613">
            <w:pPr>
              <w:jc w:val="right"/>
              <w:textAlignment w:val="bottom"/>
            </w:pPr>
            <w:r>
              <w:rPr>
                <w:rFonts w:ascii="Arial" w:eastAsia="宋体" w:hAnsi="Arial" w:cs="Arial"/>
                <w:b/>
                <w:bCs/>
                <w:color w:val="000000"/>
                <w:sz w:val="14"/>
                <w:szCs w:val="14"/>
              </w:rPr>
              <w:t>16,858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A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A2" w14:textId="77777777" w:rsidR="00980E5F" w:rsidRDefault="00483613">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A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A5" w14:textId="77777777" w:rsidR="00980E5F" w:rsidRDefault="00483613">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A6" w14:textId="77777777" w:rsidR="00980E5F" w:rsidRDefault="00980E5F">
            <w:pPr>
              <w:jc w:val="right"/>
              <w:rPr>
                <w:rFonts w:ascii="宋体"/>
              </w:rPr>
            </w:pPr>
          </w:p>
        </w:tc>
      </w:tr>
      <w:tr w:rsidR="00980E5F" w14:paraId="392C24B0" w14:textId="77777777">
        <w:tc>
          <w:tcPr>
            <w:tcW w:w="0" w:type="auto"/>
            <w:gridSpan w:val="3"/>
            <w:shd w:val="clear" w:color="auto" w:fill="FFFFFF"/>
            <w:tcMar>
              <w:top w:w="40" w:type="dxa"/>
              <w:left w:w="20" w:type="dxa"/>
              <w:bottom w:w="40" w:type="dxa"/>
              <w:right w:w="20" w:type="dxa"/>
            </w:tcMar>
            <w:vAlign w:val="bottom"/>
          </w:tcPr>
          <w:p w14:paraId="392C24A8" w14:textId="77777777" w:rsidR="00980E5F" w:rsidRDefault="00483613">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A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A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A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A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4AE"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4AF" w14:textId="77777777" w:rsidR="00980E5F" w:rsidRDefault="00980E5F">
            <w:pPr>
              <w:rPr>
                <w:rFonts w:ascii="宋体"/>
              </w:rPr>
            </w:pPr>
          </w:p>
        </w:tc>
      </w:tr>
      <w:tr w:rsidR="00980E5F" w14:paraId="392C24BD" w14:textId="77777777">
        <w:tc>
          <w:tcPr>
            <w:tcW w:w="0" w:type="auto"/>
            <w:gridSpan w:val="3"/>
            <w:shd w:val="clear" w:color="auto" w:fill="CCEEFF"/>
            <w:tcMar>
              <w:top w:w="40" w:type="dxa"/>
              <w:left w:w="20" w:type="dxa"/>
              <w:bottom w:w="40" w:type="dxa"/>
              <w:right w:w="20" w:type="dxa"/>
            </w:tcMar>
            <w:vAlign w:val="bottom"/>
          </w:tcPr>
          <w:p w14:paraId="392C24B1" w14:textId="77777777" w:rsidR="00980E5F" w:rsidRDefault="00483613">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392C24B2" w14:textId="77777777" w:rsidR="00980E5F" w:rsidRDefault="00483613">
            <w:pPr>
              <w:jc w:val="right"/>
              <w:textAlignment w:val="bottom"/>
            </w:pPr>
            <w:r>
              <w:rPr>
                <w:rFonts w:ascii="Arial" w:eastAsia="宋体" w:hAnsi="Arial" w:cs="Arial"/>
                <w:b/>
                <w:bCs/>
                <w:color w:val="000000"/>
                <w:sz w:val="14"/>
                <w:szCs w:val="14"/>
              </w:rPr>
              <w:t>1,588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B5" w14:textId="77777777" w:rsidR="00980E5F" w:rsidRDefault="00483613">
            <w:pPr>
              <w:jc w:val="right"/>
              <w:textAlignment w:val="bottom"/>
            </w:pPr>
            <w:r>
              <w:rPr>
                <w:rFonts w:ascii="Arial" w:eastAsia="宋体" w:hAnsi="Arial" w:cs="Arial"/>
                <w:b/>
                <w:bCs/>
                <w:color w:val="000000"/>
                <w:sz w:val="14"/>
                <w:szCs w:val="14"/>
              </w:rPr>
              <w:t>1,696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B8" w14:textId="77777777" w:rsidR="00980E5F" w:rsidRDefault="00483613">
            <w:pPr>
              <w:jc w:val="right"/>
              <w:textAlignment w:val="bottom"/>
            </w:pPr>
            <w:r>
              <w:rPr>
                <w:rFonts w:ascii="Arial" w:eastAsia="宋体" w:hAnsi="Arial" w:cs="Arial"/>
                <w:color w:val="000000"/>
                <w:sz w:val="14"/>
                <w:szCs w:val="14"/>
              </w:rPr>
              <w:t>962 </w:t>
            </w:r>
          </w:p>
        </w:tc>
        <w:tc>
          <w:tcPr>
            <w:tcW w:w="0" w:type="auto"/>
            <w:shd w:val="clear" w:color="auto" w:fill="CCEEFF"/>
            <w:tcMar>
              <w:top w:w="40" w:type="dxa"/>
              <w:left w:w="0" w:type="dxa"/>
              <w:bottom w:w="40" w:type="dxa"/>
              <w:right w:w="20" w:type="dxa"/>
            </w:tcMar>
            <w:vAlign w:val="bottom"/>
          </w:tcPr>
          <w:p w14:paraId="392C24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BB" w14:textId="77777777" w:rsidR="00980E5F" w:rsidRDefault="00483613">
            <w:pPr>
              <w:jc w:val="right"/>
              <w:textAlignment w:val="bottom"/>
            </w:pPr>
            <w:r>
              <w:rPr>
                <w:rFonts w:ascii="Arial" w:eastAsia="宋体" w:hAnsi="Arial" w:cs="Arial"/>
                <w:color w:val="000000"/>
                <w:sz w:val="14"/>
                <w:szCs w:val="14"/>
              </w:rPr>
              <w:t>1,109 </w:t>
            </w:r>
          </w:p>
        </w:tc>
        <w:tc>
          <w:tcPr>
            <w:tcW w:w="0" w:type="auto"/>
            <w:shd w:val="clear" w:color="auto" w:fill="CCEEFF"/>
            <w:tcMar>
              <w:top w:w="40" w:type="dxa"/>
              <w:left w:w="0" w:type="dxa"/>
              <w:bottom w:w="40" w:type="dxa"/>
              <w:right w:w="20" w:type="dxa"/>
            </w:tcMar>
            <w:vAlign w:val="bottom"/>
          </w:tcPr>
          <w:p w14:paraId="392C24BC" w14:textId="77777777" w:rsidR="00980E5F" w:rsidRDefault="00980E5F">
            <w:pPr>
              <w:jc w:val="right"/>
              <w:rPr>
                <w:rFonts w:ascii="宋体"/>
              </w:rPr>
            </w:pPr>
          </w:p>
        </w:tc>
      </w:tr>
      <w:tr w:rsidR="00980E5F" w14:paraId="392C24CA" w14:textId="77777777">
        <w:tc>
          <w:tcPr>
            <w:tcW w:w="0" w:type="auto"/>
            <w:gridSpan w:val="3"/>
            <w:shd w:val="clear" w:color="auto" w:fill="FFFFFF"/>
            <w:tcMar>
              <w:top w:w="40" w:type="dxa"/>
              <w:left w:w="20" w:type="dxa"/>
              <w:bottom w:w="40" w:type="dxa"/>
              <w:right w:w="20" w:type="dxa"/>
            </w:tcMar>
            <w:vAlign w:val="bottom"/>
          </w:tcPr>
          <w:p w14:paraId="392C24BE" w14:textId="77777777" w:rsidR="00980E5F" w:rsidRDefault="00483613">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392C24BF" w14:textId="77777777" w:rsidR="00980E5F" w:rsidRDefault="00483613">
            <w:pPr>
              <w:jc w:val="right"/>
              <w:textAlignment w:val="bottom"/>
            </w:pPr>
            <w:r>
              <w:rPr>
                <w:rFonts w:ascii="Arial" w:eastAsia="宋体" w:hAnsi="Arial" w:cs="Arial"/>
                <w:b/>
                <w:bCs/>
                <w:color w:val="000000"/>
                <w:sz w:val="14"/>
                <w:szCs w:val="14"/>
              </w:rPr>
              <w:t>(207)</w:t>
            </w:r>
          </w:p>
        </w:tc>
        <w:tc>
          <w:tcPr>
            <w:tcW w:w="0" w:type="auto"/>
            <w:shd w:val="clear" w:color="auto" w:fill="FFFFFF"/>
            <w:tcMar>
              <w:top w:w="40" w:type="dxa"/>
              <w:left w:w="0" w:type="dxa"/>
              <w:bottom w:w="40" w:type="dxa"/>
              <w:right w:w="20" w:type="dxa"/>
            </w:tcMar>
            <w:vAlign w:val="bottom"/>
          </w:tcPr>
          <w:p w14:paraId="392C24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C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C2" w14:textId="77777777" w:rsidR="00980E5F" w:rsidRDefault="00483613">
            <w:pPr>
              <w:jc w:val="right"/>
              <w:textAlignment w:val="bottom"/>
            </w:pPr>
            <w:r>
              <w:rPr>
                <w:rFonts w:ascii="Arial" w:eastAsia="宋体" w:hAnsi="Arial" w:cs="Arial"/>
                <w:b/>
                <w:bCs/>
                <w:color w:val="000000"/>
                <w:sz w:val="14"/>
                <w:szCs w:val="14"/>
              </w:rPr>
              <w:t>(207)</w:t>
            </w:r>
          </w:p>
        </w:tc>
        <w:tc>
          <w:tcPr>
            <w:tcW w:w="0" w:type="auto"/>
            <w:shd w:val="clear" w:color="auto" w:fill="FFFFFF"/>
            <w:tcMar>
              <w:top w:w="40" w:type="dxa"/>
              <w:left w:w="0" w:type="dxa"/>
              <w:bottom w:w="40" w:type="dxa"/>
              <w:right w:w="20" w:type="dxa"/>
            </w:tcMar>
            <w:vAlign w:val="bottom"/>
          </w:tcPr>
          <w:p w14:paraId="392C24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C5" w14:textId="77777777" w:rsidR="00980E5F" w:rsidRDefault="00483613">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392C24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C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4C8" w14:textId="77777777" w:rsidR="00980E5F" w:rsidRDefault="00483613">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392C24C9" w14:textId="77777777" w:rsidR="00980E5F" w:rsidRDefault="00980E5F">
            <w:pPr>
              <w:jc w:val="right"/>
              <w:rPr>
                <w:rFonts w:ascii="宋体"/>
              </w:rPr>
            </w:pPr>
          </w:p>
        </w:tc>
      </w:tr>
      <w:tr w:rsidR="00980E5F" w14:paraId="392C24D3" w14:textId="77777777">
        <w:trPr>
          <w:hidden/>
        </w:trPr>
        <w:tc>
          <w:tcPr>
            <w:tcW w:w="0" w:type="auto"/>
            <w:gridSpan w:val="3"/>
            <w:shd w:val="clear" w:color="auto" w:fill="auto"/>
            <w:vAlign w:val="bottom"/>
          </w:tcPr>
          <w:p w14:paraId="392C24CB" w14:textId="77777777" w:rsidR="00980E5F" w:rsidRDefault="00980E5F">
            <w:pPr>
              <w:rPr>
                <w:rFonts w:ascii="宋体"/>
                <w:vanish/>
              </w:rPr>
            </w:pPr>
          </w:p>
        </w:tc>
        <w:tc>
          <w:tcPr>
            <w:tcW w:w="0" w:type="auto"/>
            <w:gridSpan w:val="3"/>
            <w:shd w:val="clear" w:color="auto" w:fill="auto"/>
            <w:vAlign w:val="bottom"/>
          </w:tcPr>
          <w:p w14:paraId="392C24CC" w14:textId="77777777" w:rsidR="00980E5F" w:rsidRDefault="00980E5F">
            <w:pPr>
              <w:rPr>
                <w:rFonts w:ascii="宋体"/>
                <w:vanish/>
              </w:rPr>
            </w:pPr>
          </w:p>
        </w:tc>
        <w:tc>
          <w:tcPr>
            <w:tcW w:w="0" w:type="auto"/>
            <w:gridSpan w:val="3"/>
            <w:shd w:val="clear" w:color="auto" w:fill="auto"/>
            <w:vAlign w:val="bottom"/>
          </w:tcPr>
          <w:p w14:paraId="392C24CD" w14:textId="77777777" w:rsidR="00980E5F" w:rsidRDefault="00980E5F">
            <w:pPr>
              <w:rPr>
                <w:rFonts w:ascii="宋体"/>
                <w:vanish/>
              </w:rPr>
            </w:pPr>
          </w:p>
        </w:tc>
        <w:tc>
          <w:tcPr>
            <w:tcW w:w="0" w:type="auto"/>
            <w:gridSpan w:val="3"/>
            <w:shd w:val="clear" w:color="auto" w:fill="auto"/>
            <w:vAlign w:val="bottom"/>
          </w:tcPr>
          <w:p w14:paraId="392C24CE" w14:textId="77777777" w:rsidR="00980E5F" w:rsidRDefault="00980E5F">
            <w:pPr>
              <w:rPr>
                <w:rFonts w:ascii="宋体"/>
                <w:vanish/>
              </w:rPr>
            </w:pPr>
          </w:p>
        </w:tc>
        <w:tc>
          <w:tcPr>
            <w:tcW w:w="0" w:type="auto"/>
            <w:gridSpan w:val="3"/>
            <w:shd w:val="clear" w:color="auto" w:fill="auto"/>
            <w:vAlign w:val="bottom"/>
          </w:tcPr>
          <w:p w14:paraId="392C24CF" w14:textId="77777777" w:rsidR="00980E5F" w:rsidRDefault="00980E5F">
            <w:pPr>
              <w:rPr>
                <w:rFonts w:ascii="宋体"/>
                <w:vanish/>
              </w:rPr>
            </w:pPr>
          </w:p>
        </w:tc>
        <w:tc>
          <w:tcPr>
            <w:tcW w:w="0" w:type="auto"/>
            <w:gridSpan w:val="3"/>
            <w:shd w:val="clear" w:color="auto" w:fill="auto"/>
            <w:vAlign w:val="bottom"/>
          </w:tcPr>
          <w:p w14:paraId="392C24D0" w14:textId="77777777" w:rsidR="00980E5F" w:rsidRDefault="00980E5F">
            <w:pPr>
              <w:rPr>
                <w:rFonts w:ascii="宋体"/>
                <w:vanish/>
              </w:rPr>
            </w:pPr>
          </w:p>
        </w:tc>
        <w:tc>
          <w:tcPr>
            <w:tcW w:w="0" w:type="auto"/>
            <w:gridSpan w:val="3"/>
            <w:shd w:val="clear" w:color="auto" w:fill="auto"/>
            <w:vAlign w:val="bottom"/>
          </w:tcPr>
          <w:p w14:paraId="392C24D1" w14:textId="77777777" w:rsidR="00980E5F" w:rsidRDefault="00980E5F">
            <w:pPr>
              <w:rPr>
                <w:rFonts w:ascii="宋体"/>
                <w:vanish/>
              </w:rPr>
            </w:pPr>
          </w:p>
        </w:tc>
        <w:tc>
          <w:tcPr>
            <w:tcW w:w="0" w:type="auto"/>
            <w:gridSpan w:val="3"/>
            <w:shd w:val="clear" w:color="auto" w:fill="auto"/>
            <w:vAlign w:val="bottom"/>
          </w:tcPr>
          <w:p w14:paraId="392C24D2" w14:textId="77777777" w:rsidR="00980E5F" w:rsidRDefault="00980E5F">
            <w:pPr>
              <w:rPr>
                <w:rFonts w:ascii="宋体"/>
                <w:vanish/>
              </w:rPr>
            </w:pPr>
          </w:p>
        </w:tc>
      </w:tr>
      <w:tr w:rsidR="00980E5F" w14:paraId="392C24E0" w14:textId="77777777">
        <w:tc>
          <w:tcPr>
            <w:tcW w:w="0" w:type="auto"/>
            <w:gridSpan w:val="3"/>
            <w:shd w:val="clear" w:color="auto" w:fill="CCEEFF"/>
            <w:tcMar>
              <w:top w:w="40" w:type="dxa"/>
              <w:left w:w="20" w:type="dxa"/>
              <w:bottom w:w="40" w:type="dxa"/>
              <w:right w:w="20" w:type="dxa"/>
            </w:tcMar>
            <w:vAlign w:val="bottom"/>
          </w:tcPr>
          <w:p w14:paraId="392C24D4" w14:textId="77777777" w:rsidR="00980E5F" w:rsidRDefault="00483613">
            <w:pPr>
              <w:textAlignment w:val="bottom"/>
            </w:pPr>
            <w:r>
              <w:rPr>
                <w:rFonts w:ascii="Arial" w:eastAsia="宋体" w:hAnsi="Arial" w:cs="Arial"/>
                <w:color w:val="000000"/>
                <w:sz w:val="14"/>
                <w:szCs w:val="14"/>
              </w:rPr>
              <w:t>Changes in adjusted allowance for credit losses</w:t>
            </w:r>
          </w:p>
        </w:tc>
        <w:tc>
          <w:tcPr>
            <w:tcW w:w="0" w:type="auto"/>
            <w:gridSpan w:val="2"/>
            <w:shd w:val="clear" w:color="auto" w:fill="CCEEFF"/>
            <w:tcMar>
              <w:top w:w="40" w:type="dxa"/>
              <w:left w:w="20" w:type="dxa"/>
              <w:bottom w:w="40" w:type="dxa"/>
              <w:right w:w="0" w:type="dxa"/>
            </w:tcMar>
            <w:vAlign w:val="bottom"/>
          </w:tcPr>
          <w:p w14:paraId="392C24D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D8"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4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DB"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24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D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4DE" w14:textId="77777777" w:rsidR="00980E5F" w:rsidRDefault="00483613">
            <w:pPr>
              <w:jc w:val="right"/>
              <w:textAlignment w:val="bottom"/>
            </w:pPr>
            <w:r>
              <w:rPr>
                <w:rFonts w:ascii="Arial" w:eastAsia="宋体" w:hAnsi="Arial" w:cs="Arial"/>
                <w:color w:val="000000"/>
                <w:sz w:val="14"/>
                <w:szCs w:val="14"/>
              </w:rPr>
              <w:t>(40)</w:t>
            </w:r>
          </w:p>
        </w:tc>
        <w:tc>
          <w:tcPr>
            <w:tcW w:w="0" w:type="auto"/>
            <w:shd w:val="clear" w:color="auto" w:fill="CCEEFF"/>
            <w:tcMar>
              <w:top w:w="40" w:type="dxa"/>
              <w:left w:w="0" w:type="dxa"/>
              <w:bottom w:w="40" w:type="dxa"/>
              <w:right w:w="20" w:type="dxa"/>
            </w:tcMar>
            <w:vAlign w:val="bottom"/>
          </w:tcPr>
          <w:p w14:paraId="392C24DF" w14:textId="77777777" w:rsidR="00980E5F" w:rsidRDefault="00980E5F">
            <w:pPr>
              <w:jc w:val="right"/>
              <w:rPr>
                <w:rFonts w:ascii="宋体"/>
              </w:rPr>
            </w:pPr>
          </w:p>
        </w:tc>
      </w:tr>
      <w:tr w:rsidR="00980E5F" w14:paraId="392C24E9" w14:textId="77777777">
        <w:trPr>
          <w:hidden/>
        </w:trPr>
        <w:tc>
          <w:tcPr>
            <w:tcW w:w="0" w:type="auto"/>
            <w:gridSpan w:val="3"/>
            <w:shd w:val="clear" w:color="auto" w:fill="auto"/>
            <w:vAlign w:val="bottom"/>
          </w:tcPr>
          <w:p w14:paraId="392C24E1" w14:textId="77777777" w:rsidR="00980E5F" w:rsidRDefault="00980E5F">
            <w:pPr>
              <w:rPr>
                <w:rFonts w:ascii="宋体"/>
                <w:vanish/>
              </w:rPr>
            </w:pPr>
          </w:p>
        </w:tc>
        <w:tc>
          <w:tcPr>
            <w:tcW w:w="0" w:type="auto"/>
            <w:gridSpan w:val="3"/>
            <w:shd w:val="clear" w:color="auto" w:fill="auto"/>
            <w:vAlign w:val="bottom"/>
          </w:tcPr>
          <w:p w14:paraId="392C24E2" w14:textId="77777777" w:rsidR="00980E5F" w:rsidRDefault="00980E5F">
            <w:pPr>
              <w:rPr>
                <w:rFonts w:ascii="宋体"/>
                <w:vanish/>
              </w:rPr>
            </w:pPr>
          </w:p>
        </w:tc>
        <w:tc>
          <w:tcPr>
            <w:tcW w:w="0" w:type="auto"/>
            <w:gridSpan w:val="3"/>
            <w:shd w:val="clear" w:color="auto" w:fill="auto"/>
            <w:vAlign w:val="bottom"/>
          </w:tcPr>
          <w:p w14:paraId="392C24E3" w14:textId="77777777" w:rsidR="00980E5F" w:rsidRDefault="00980E5F">
            <w:pPr>
              <w:rPr>
                <w:rFonts w:ascii="宋体"/>
                <w:vanish/>
              </w:rPr>
            </w:pPr>
          </w:p>
        </w:tc>
        <w:tc>
          <w:tcPr>
            <w:tcW w:w="0" w:type="auto"/>
            <w:gridSpan w:val="3"/>
            <w:shd w:val="clear" w:color="auto" w:fill="auto"/>
            <w:vAlign w:val="bottom"/>
          </w:tcPr>
          <w:p w14:paraId="392C24E4" w14:textId="77777777" w:rsidR="00980E5F" w:rsidRDefault="00980E5F">
            <w:pPr>
              <w:rPr>
                <w:rFonts w:ascii="宋体"/>
                <w:vanish/>
              </w:rPr>
            </w:pPr>
          </w:p>
        </w:tc>
        <w:tc>
          <w:tcPr>
            <w:tcW w:w="0" w:type="auto"/>
            <w:gridSpan w:val="3"/>
            <w:shd w:val="clear" w:color="auto" w:fill="auto"/>
            <w:vAlign w:val="bottom"/>
          </w:tcPr>
          <w:p w14:paraId="392C24E5" w14:textId="77777777" w:rsidR="00980E5F" w:rsidRDefault="00980E5F">
            <w:pPr>
              <w:rPr>
                <w:rFonts w:ascii="宋体"/>
                <w:vanish/>
              </w:rPr>
            </w:pPr>
          </w:p>
        </w:tc>
        <w:tc>
          <w:tcPr>
            <w:tcW w:w="0" w:type="auto"/>
            <w:gridSpan w:val="3"/>
            <w:shd w:val="clear" w:color="auto" w:fill="auto"/>
            <w:vAlign w:val="bottom"/>
          </w:tcPr>
          <w:p w14:paraId="392C24E6" w14:textId="77777777" w:rsidR="00980E5F" w:rsidRDefault="00980E5F">
            <w:pPr>
              <w:rPr>
                <w:rFonts w:ascii="宋体"/>
                <w:vanish/>
              </w:rPr>
            </w:pPr>
          </w:p>
        </w:tc>
        <w:tc>
          <w:tcPr>
            <w:tcW w:w="0" w:type="auto"/>
            <w:gridSpan w:val="3"/>
            <w:shd w:val="clear" w:color="auto" w:fill="auto"/>
            <w:vAlign w:val="bottom"/>
          </w:tcPr>
          <w:p w14:paraId="392C24E7" w14:textId="77777777" w:rsidR="00980E5F" w:rsidRDefault="00980E5F">
            <w:pPr>
              <w:rPr>
                <w:rFonts w:ascii="宋体"/>
                <w:vanish/>
              </w:rPr>
            </w:pPr>
          </w:p>
        </w:tc>
        <w:tc>
          <w:tcPr>
            <w:tcW w:w="0" w:type="auto"/>
            <w:gridSpan w:val="3"/>
            <w:shd w:val="clear" w:color="auto" w:fill="auto"/>
            <w:vAlign w:val="bottom"/>
          </w:tcPr>
          <w:p w14:paraId="392C24E8" w14:textId="77777777" w:rsidR="00980E5F" w:rsidRDefault="00980E5F">
            <w:pPr>
              <w:rPr>
                <w:rFonts w:ascii="宋体"/>
                <w:vanish/>
              </w:rPr>
            </w:pPr>
          </w:p>
        </w:tc>
      </w:tr>
      <w:tr w:rsidR="00980E5F" w14:paraId="392C24F6" w14:textId="77777777">
        <w:tc>
          <w:tcPr>
            <w:tcW w:w="0" w:type="auto"/>
            <w:gridSpan w:val="3"/>
            <w:shd w:val="clear" w:color="auto" w:fill="FFFFFF"/>
            <w:tcMar>
              <w:top w:w="40" w:type="dxa"/>
              <w:left w:w="20" w:type="dxa"/>
              <w:bottom w:w="40" w:type="dxa"/>
              <w:right w:w="20" w:type="dxa"/>
            </w:tcMar>
            <w:vAlign w:val="bottom"/>
          </w:tcPr>
          <w:p w14:paraId="392C24EA" w14:textId="77777777" w:rsidR="00980E5F" w:rsidRDefault="00483613">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EB" w14:textId="77777777" w:rsidR="00980E5F" w:rsidRDefault="00483613">
            <w:pPr>
              <w:jc w:val="right"/>
              <w:textAlignment w:val="bottom"/>
            </w:pPr>
            <w:r>
              <w:rPr>
                <w:rFonts w:ascii="Arial" w:eastAsia="宋体" w:hAnsi="Arial" w:cs="Arial"/>
                <w:b/>
                <w:bCs/>
                <w:color w:val="000000"/>
                <w:sz w:val="14"/>
                <w:szCs w:val="14"/>
              </w:rPr>
              <w:t>(207)</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E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EE" w14:textId="77777777" w:rsidR="00980E5F" w:rsidRDefault="00483613">
            <w:pPr>
              <w:jc w:val="right"/>
              <w:textAlignment w:val="bottom"/>
            </w:pPr>
            <w:r>
              <w:rPr>
                <w:rFonts w:ascii="Arial" w:eastAsia="宋体" w:hAnsi="Arial" w:cs="Arial"/>
                <w:b/>
                <w:bCs/>
                <w:color w:val="000000"/>
                <w:sz w:val="14"/>
                <w:szCs w:val="14"/>
              </w:rPr>
              <w:t>(202)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F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F1" w14:textId="77777777" w:rsidR="00980E5F" w:rsidRDefault="00483613">
            <w:pPr>
              <w:jc w:val="right"/>
              <w:textAlignment w:val="bottom"/>
            </w:pPr>
            <w:r>
              <w:rPr>
                <w:rFonts w:ascii="Arial" w:eastAsia="宋体" w:hAnsi="Arial" w:cs="Arial"/>
                <w:color w:val="000000"/>
                <w:sz w:val="14"/>
                <w:szCs w:val="14"/>
              </w:rPr>
              <w:t>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4F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4F4" w14:textId="77777777" w:rsidR="00980E5F" w:rsidRDefault="00483613">
            <w:pPr>
              <w:jc w:val="right"/>
              <w:textAlignment w:val="bottom"/>
            </w:pPr>
            <w:r>
              <w:rPr>
                <w:rFonts w:ascii="Arial" w:eastAsia="宋体" w:hAnsi="Arial" w:cs="Arial"/>
                <w:color w:val="000000"/>
                <w:sz w:val="14"/>
                <w:szCs w:val="14"/>
              </w:rPr>
              <w:t>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4F5" w14:textId="77777777" w:rsidR="00980E5F" w:rsidRDefault="00980E5F">
            <w:pPr>
              <w:jc w:val="right"/>
              <w:rPr>
                <w:rFonts w:ascii="宋体"/>
              </w:rPr>
            </w:pPr>
          </w:p>
        </w:tc>
      </w:tr>
      <w:tr w:rsidR="00980E5F" w14:paraId="392C2503" w14:textId="77777777">
        <w:tc>
          <w:tcPr>
            <w:tcW w:w="0" w:type="auto"/>
            <w:gridSpan w:val="3"/>
            <w:shd w:val="clear" w:color="auto" w:fill="CCEEFF"/>
            <w:tcMar>
              <w:top w:w="40" w:type="dxa"/>
              <w:left w:w="20" w:type="dxa"/>
              <w:bottom w:w="40" w:type="dxa"/>
              <w:right w:w="20" w:type="dxa"/>
            </w:tcMar>
            <w:vAlign w:val="bottom"/>
          </w:tcPr>
          <w:p w14:paraId="392C24F7" w14:textId="77777777" w:rsidR="00980E5F" w:rsidRDefault="00483613">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F8" w14:textId="77777777" w:rsidR="00980E5F" w:rsidRDefault="00483613">
            <w:pPr>
              <w:jc w:val="right"/>
              <w:textAlignment w:val="bottom"/>
            </w:pPr>
            <w:r>
              <w:rPr>
                <w:rFonts w:ascii="Arial" w:eastAsia="宋体" w:hAnsi="Arial" w:cs="Arial"/>
                <w:b/>
                <w:bCs/>
                <w:color w:val="000000"/>
                <w:sz w:val="14"/>
                <w:szCs w:val="14"/>
              </w:rPr>
              <w:t>1,381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F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FB" w14:textId="77777777" w:rsidR="00980E5F" w:rsidRDefault="00483613">
            <w:pPr>
              <w:jc w:val="right"/>
              <w:textAlignment w:val="bottom"/>
            </w:pPr>
            <w:r>
              <w:rPr>
                <w:rFonts w:ascii="Arial" w:eastAsia="宋体" w:hAnsi="Arial" w:cs="Arial"/>
                <w:b/>
                <w:bCs/>
                <w:color w:val="000000"/>
                <w:sz w:val="14"/>
                <w:szCs w:val="14"/>
              </w:rPr>
              <w:t>1,494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4F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4FE" w14:textId="77777777" w:rsidR="00980E5F" w:rsidRDefault="00483613">
            <w:pPr>
              <w:jc w:val="right"/>
              <w:textAlignment w:val="bottom"/>
            </w:pPr>
            <w:r>
              <w:rPr>
                <w:rFonts w:ascii="Arial" w:eastAsia="宋体" w:hAnsi="Arial" w:cs="Arial"/>
                <w:color w:val="000000"/>
                <w:sz w:val="14"/>
                <w:szCs w:val="14"/>
              </w:rPr>
              <w:t>1,588 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4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0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501" w14:textId="77777777" w:rsidR="00980E5F" w:rsidRDefault="00483613">
            <w:pPr>
              <w:jc w:val="right"/>
              <w:textAlignment w:val="bottom"/>
            </w:pPr>
            <w:r>
              <w:rPr>
                <w:rFonts w:ascii="Arial" w:eastAsia="宋体" w:hAnsi="Arial" w:cs="Arial"/>
                <w:color w:val="000000"/>
                <w:sz w:val="14"/>
                <w:szCs w:val="14"/>
              </w:rPr>
              <w:t>1,696 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02" w14:textId="77777777" w:rsidR="00980E5F" w:rsidRDefault="00980E5F">
            <w:pPr>
              <w:jc w:val="right"/>
              <w:rPr>
                <w:rFonts w:ascii="宋体"/>
              </w:rPr>
            </w:pPr>
          </w:p>
        </w:tc>
      </w:tr>
      <w:tr w:rsidR="00980E5F" w14:paraId="392C250C" w14:textId="77777777">
        <w:tc>
          <w:tcPr>
            <w:tcW w:w="0" w:type="auto"/>
            <w:gridSpan w:val="3"/>
            <w:shd w:val="clear" w:color="auto" w:fill="FFFFFF"/>
            <w:tcMar>
              <w:top w:w="40" w:type="dxa"/>
              <w:left w:w="20" w:type="dxa"/>
              <w:bottom w:w="40" w:type="dxa"/>
              <w:right w:w="20" w:type="dxa"/>
            </w:tcMar>
            <w:vAlign w:val="bottom"/>
          </w:tcPr>
          <w:p w14:paraId="392C2504" w14:textId="77777777" w:rsidR="00980E5F" w:rsidRDefault="00483613">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50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0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5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08"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5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0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50B" w14:textId="77777777" w:rsidR="00980E5F" w:rsidRDefault="00980E5F">
            <w:pPr>
              <w:rPr>
                <w:rFonts w:ascii="宋体"/>
              </w:rPr>
            </w:pPr>
          </w:p>
        </w:tc>
      </w:tr>
      <w:tr w:rsidR="00980E5F" w14:paraId="392C2519" w14:textId="77777777">
        <w:tc>
          <w:tcPr>
            <w:tcW w:w="0" w:type="auto"/>
            <w:gridSpan w:val="3"/>
            <w:shd w:val="clear" w:color="auto" w:fill="CCEEFF"/>
            <w:tcMar>
              <w:top w:w="40" w:type="dxa"/>
              <w:left w:w="20" w:type="dxa"/>
              <w:bottom w:w="40" w:type="dxa"/>
              <w:right w:w="20" w:type="dxa"/>
            </w:tcMar>
            <w:vAlign w:val="bottom"/>
          </w:tcPr>
          <w:p w14:paraId="392C250D" w14:textId="77777777" w:rsidR="00980E5F" w:rsidRDefault="00483613">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392C250E" w14:textId="77777777" w:rsidR="00980E5F" w:rsidRDefault="00483613">
            <w:pPr>
              <w:jc w:val="right"/>
              <w:textAlignment w:val="bottom"/>
            </w:pPr>
            <w:r>
              <w:rPr>
                <w:rFonts w:ascii="Arial" w:eastAsia="宋体" w:hAnsi="Arial" w:cs="Arial"/>
                <w:b/>
                <w:bCs/>
                <w:color w:val="000000"/>
                <w:sz w:val="14"/>
                <w:szCs w:val="14"/>
              </w:rPr>
              <w:t>19,511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11" w14:textId="77777777" w:rsidR="00980E5F" w:rsidRDefault="00483613">
            <w:pPr>
              <w:jc w:val="right"/>
              <w:textAlignment w:val="bottom"/>
            </w:pPr>
            <w:r>
              <w:rPr>
                <w:rFonts w:ascii="Arial" w:eastAsia="宋体" w:hAnsi="Arial" w:cs="Arial"/>
                <w:b/>
                <w:bCs/>
                <w:color w:val="000000"/>
                <w:sz w:val="14"/>
                <w:szCs w:val="14"/>
              </w:rPr>
              <w:t>19,619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14" w14:textId="77777777" w:rsidR="00980E5F" w:rsidRDefault="00483613">
            <w:pPr>
              <w:jc w:val="right"/>
              <w:textAlignment w:val="bottom"/>
            </w:pPr>
            <w:r>
              <w:rPr>
                <w:rFonts w:ascii="Arial" w:eastAsia="宋体" w:hAnsi="Arial" w:cs="Arial"/>
                <w:color w:val="000000"/>
                <w:sz w:val="14"/>
                <w:szCs w:val="14"/>
              </w:rPr>
              <w:t>17,810 </w:t>
            </w:r>
          </w:p>
        </w:tc>
        <w:tc>
          <w:tcPr>
            <w:tcW w:w="0" w:type="auto"/>
            <w:shd w:val="clear" w:color="auto" w:fill="CCEEFF"/>
            <w:tcMar>
              <w:top w:w="40" w:type="dxa"/>
              <w:left w:w="0" w:type="dxa"/>
              <w:bottom w:w="40" w:type="dxa"/>
              <w:right w:w="20" w:type="dxa"/>
            </w:tcMar>
            <w:vAlign w:val="bottom"/>
          </w:tcPr>
          <w:p w14:paraId="392C25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1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17" w14:textId="77777777" w:rsidR="00980E5F" w:rsidRDefault="00483613">
            <w:pPr>
              <w:jc w:val="right"/>
              <w:textAlignment w:val="bottom"/>
            </w:pPr>
            <w:r>
              <w:rPr>
                <w:rFonts w:ascii="Arial" w:eastAsia="宋体" w:hAnsi="Arial" w:cs="Arial"/>
                <w:color w:val="000000"/>
                <w:sz w:val="14"/>
                <w:szCs w:val="14"/>
              </w:rPr>
              <w:t>17,957 </w:t>
            </w:r>
          </w:p>
        </w:tc>
        <w:tc>
          <w:tcPr>
            <w:tcW w:w="0" w:type="auto"/>
            <w:shd w:val="clear" w:color="auto" w:fill="CCEEFF"/>
            <w:tcMar>
              <w:top w:w="40" w:type="dxa"/>
              <w:left w:w="0" w:type="dxa"/>
              <w:bottom w:w="40" w:type="dxa"/>
              <w:right w:w="20" w:type="dxa"/>
            </w:tcMar>
            <w:vAlign w:val="bottom"/>
          </w:tcPr>
          <w:p w14:paraId="392C2518" w14:textId="77777777" w:rsidR="00980E5F" w:rsidRDefault="00980E5F">
            <w:pPr>
              <w:jc w:val="right"/>
              <w:rPr>
                <w:rFonts w:ascii="宋体"/>
              </w:rPr>
            </w:pPr>
          </w:p>
        </w:tc>
      </w:tr>
      <w:tr w:rsidR="00980E5F" w14:paraId="392C2526" w14:textId="77777777">
        <w:tc>
          <w:tcPr>
            <w:tcW w:w="0" w:type="auto"/>
            <w:gridSpan w:val="3"/>
            <w:shd w:val="clear" w:color="auto" w:fill="FFFFFF"/>
            <w:tcMar>
              <w:top w:w="40" w:type="dxa"/>
              <w:left w:w="20" w:type="dxa"/>
              <w:bottom w:w="40" w:type="dxa"/>
              <w:right w:w="20" w:type="dxa"/>
            </w:tcMar>
            <w:vAlign w:val="bottom"/>
          </w:tcPr>
          <w:p w14:paraId="392C251A" w14:textId="77777777" w:rsidR="00980E5F" w:rsidRDefault="00483613">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392C251B" w14:textId="77777777" w:rsidR="00980E5F" w:rsidRDefault="00483613">
            <w:pPr>
              <w:jc w:val="right"/>
              <w:textAlignment w:val="bottom"/>
            </w:pPr>
            <w:r>
              <w:rPr>
                <w:rFonts w:ascii="Arial" w:eastAsia="宋体" w:hAnsi="Arial" w:cs="Arial"/>
                <w:b/>
                <w:bCs/>
                <w:color w:val="000000"/>
                <w:sz w:val="14"/>
                <w:szCs w:val="14"/>
              </w:rPr>
              <w:t>(1,065)</w:t>
            </w:r>
          </w:p>
        </w:tc>
        <w:tc>
          <w:tcPr>
            <w:tcW w:w="0" w:type="auto"/>
            <w:shd w:val="clear" w:color="auto" w:fill="FFFFFF"/>
            <w:tcMar>
              <w:top w:w="40" w:type="dxa"/>
              <w:left w:w="0" w:type="dxa"/>
              <w:bottom w:w="40" w:type="dxa"/>
              <w:right w:w="20" w:type="dxa"/>
            </w:tcMar>
            <w:vAlign w:val="bottom"/>
          </w:tcPr>
          <w:p w14:paraId="392C25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1E" w14:textId="77777777" w:rsidR="00980E5F" w:rsidRDefault="00483613">
            <w:pPr>
              <w:jc w:val="right"/>
              <w:textAlignment w:val="bottom"/>
            </w:pPr>
            <w:r>
              <w:rPr>
                <w:rFonts w:ascii="Arial" w:eastAsia="宋体" w:hAnsi="Arial" w:cs="Arial"/>
                <w:b/>
                <w:bCs/>
                <w:color w:val="000000"/>
                <w:sz w:val="14"/>
                <w:szCs w:val="14"/>
              </w:rPr>
              <w:t>(1,065)</w:t>
            </w:r>
          </w:p>
        </w:tc>
        <w:tc>
          <w:tcPr>
            <w:tcW w:w="0" w:type="auto"/>
            <w:shd w:val="clear" w:color="auto" w:fill="FFFFFF"/>
            <w:tcMar>
              <w:top w:w="40" w:type="dxa"/>
              <w:left w:w="0" w:type="dxa"/>
              <w:bottom w:w="40" w:type="dxa"/>
              <w:right w:w="20" w:type="dxa"/>
            </w:tcMar>
            <w:vAlign w:val="bottom"/>
          </w:tcPr>
          <w:p w14:paraId="392C25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21" w14:textId="77777777" w:rsidR="00980E5F" w:rsidRDefault="00483613">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392C25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24" w14:textId="77777777" w:rsidR="00980E5F" w:rsidRDefault="00483613">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392C2525" w14:textId="77777777" w:rsidR="00980E5F" w:rsidRDefault="00980E5F">
            <w:pPr>
              <w:jc w:val="right"/>
              <w:rPr>
                <w:rFonts w:ascii="宋体"/>
              </w:rPr>
            </w:pPr>
          </w:p>
        </w:tc>
      </w:tr>
      <w:tr w:rsidR="00980E5F" w14:paraId="392C2533" w14:textId="77777777">
        <w:tc>
          <w:tcPr>
            <w:tcW w:w="0" w:type="auto"/>
            <w:gridSpan w:val="3"/>
            <w:shd w:val="clear" w:color="auto" w:fill="CCEEFF"/>
            <w:tcMar>
              <w:top w:w="40" w:type="dxa"/>
              <w:left w:w="20" w:type="dxa"/>
              <w:bottom w:w="40" w:type="dxa"/>
              <w:right w:w="20" w:type="dxa"/>
            </w:tcMar>
            <w:vAlign w:val="bottom"/>
          </w:tcPr>
          <w:p w14:paraId="392C2527" w14:textId="77777777" w:rsidR="00980E5F" w:rsidRDefault="00483613">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392C2528" w14:textId="77777777" w:rsidR="00980E5F" w:rsidRDefault="00483613">
            <w:pPr>
              <w:jc w:val="right"/>
              <w:textAlignment w:val="bottom"/>
            </w:pPr>
            <w:r>
              <w:rPr>
                <w:rFonts w:ascii="Arial" w:eastAsia="宋体" w:hAnsi="Arial" w:cs="Arial"/>
                <w:b/>
                <w:bCs/>
                <w:color w:val="000000"/>
                <w:sz w:val="14"/>
                <w:szCs w:val="14"/>
              </w:rPr>
              <w:t>(207)</w:t>
            </w:r>
          </w:p>
        </w:tc>
        <w:tc>
          <w:tcPr>
            <w:tcW w:w="0" w:type="auto"/>
            <w:shd w:val="clear" w:color="auto" w:fill="CCEEFF"/>
            <w:tcMar>
              <w:top w:w="40" w:type="dxa"/>
              <w:left w:w="0" w:type="dxa"/>
              <w:bottom w:w="40" w:type="dxa"/>
              <w:right w:w="20" w:type="dxa"/>
            </w:tcMar>
            <w:vAlign w:val="bottom"/>
          </w:tcPr>
          <w:p w14:paraId="392C25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2B" w14:textId="77777777" w:rsidR="00980E5F" w:rsidRDefault="00483613">
            <w:pPr>
              <w:jc w:val="right"/>
              <w:textAlignment w:val="bottom"/>
            </w:pPr>
            <w:r>
              <w:rPr>
                <w:rFonts w:ascii="Arial" w:eastAsia="宋体" w:hAnsi="Arial" w:cs="Arial"/>
                <w:b/>
                <w:bCs/>
                <w:color w:val="000000"/>
                <w:sz w:val="14"/>
                <w:szCs w:val="14"/>
              </w:rPr>
              <w:t>(202)</w:t>
            </w:r>
          </w:p>
        </w:tc>
        <w:tc>
          <w:tcPr>
            <w:tcW w:w="0" w:type="auto"/>
            <w:shd w:val="clear" w:color="auto" w:fill="CCEEFF"/>
            <w:tcMar>
              <w:top w:w="40" w:type="dxa"/>
              <w:left w:w="0" w:type="dxa"/>
              <w:bottom w:w="40" w:type="dxa"/>
              <w:right w:w="20" w:type="dxa"/>
            </w:tcMar>
            <w:vAlign w:val="bottom"/>
          </w:tcPr>
          <w:p w14:paraId="392C25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2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2E" w14:textId="77777777" w:rsidR="00980E5F" w:rsidRDefault="00483613">
            <w:pPr>
              <w:jc w:val="right"/>
              <w:textAlignment w:val="bottom"/>
            </w:pPr>
            <w:r>
              <w:rPr>
                <w:rFonts w:ascii="Arial" w:eastAsia="宋体" w:hAnsi="Arial" w:cs="Arial"/>
                <w:color w:val="000000"/>
                <w:sz w:val="14"/>
                <w:szCs w:val="14"/>
              </w:rPr>
              <w:t>626 </w:t>
            </w:r>
          </w:p>
        </w:tc>
        <w:tc>
          <w:tcPr>
            <w:tcW w:w="0" w:type="auto"/>
            <w:shd w:val="clear" w:color="auto" w:fill="CCEEFF"/>
            <w:tcMar>
              <w:top w:w="40" w:type="dxa"/>
              <w:left w:w="0" w:type="dxa"/>
              <w:bottom w:w="40" w:type="dxa"/>
              <w:right w:w="20" w:type="dxa"/>
            </w:tcMar>
            <w:vAlign w:val="bottom"/>
          </w:tcPr>
          <w:p w14:paraId="392C25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31" w14:textId="77777777" w:rsidR="00980E5F" w:rsidRDefault="00483613">
            <w:pPr>
              <w:jc w:val="right"/>
              <w:textAlignment w:val="bottom"/>
            </w:pPr>
            <w:r>
              <w:rPr>
                <w:rFonts w:ascii="Arial" w:eastAsia="宋体" w:hAnsi="Arial" w:cs="Arial"/>
                <w:color w:val="000000"/>
                <w:sz w:val="14"/>
                <w:szCs w:val="14"/>
              </w:rPr>
              <w:t>587 </w:t>
            </w:r>
          </w:p>
        </w:tc>
        <w:tc>
          <w:tcPr>
            <w:tcW w:w="0" w:type="auto"/>
            <w:shd w:val="clear" w:color="auto" w:fill="CCEEFF"/>
            <w:tcMar>
              <w:top w:w="40" w:type="dxa"/>
              <w:left w:w="0" w:type="dxa"/>
              <w:bottom w:w="40" w:type="dxa"/>
              <w:right w:w="20" w:type="dxa"/>
            </w:tcMar>
            <w:vAlign w:val="bottom"/>
          </w:tcPr>
          <w:p w14:paraId="392C2532" w14:textId="77777777" w:rsidR="00980E5F" w:rsidRDefault="00980E5F">
            <w:pPr>
              <w:jc w:val="right"/>
              <w:rPr>
                <w:rFonts w:ascii="宋体"/>
              </w:rPr>
            </w:pPr>
          </w:p>
        </w:tc>
      </w:tr>
      <w:tr w:rsidR="00980E5F" w14:paraId="392C2544" w14:textId="77777777">
        <w:tc>
          <w:tcPr>
            <w:tcW w:w="0" w:type="auto"/>
            <w:gridSpan w:val="3"/>
            <w:shd w:val="clear" w:color="auto" w:fill="FFFFFF"/>
            <w:tcMar>
              <w:top w:w="40" w:type="dxa"/>
              <w:left w:w="20" w:type="dxa"/>
              <w:bottom w:w="40" w:type="dxa"/>
              <w:right w:w="20" w:type="dxa"/>
            </w:tcMar>
            <w:vAlign w:val="bottom"/>
          </w:tcPr>
          <w:p w14:paraId="392C2534" w14:textId="77777777" w:rsidR="00980E5F" w:rsidRDefault="00483613">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53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536" w14:textId="77777777" w:rsidR="00980E5F" w:rsidRDefault="00483613">
            <w:pPr>
              <w:jc w:val="right"/>
              <w:textAlignment w:val="bottom"/>
            </w:pPr>
            <w:r>
              <w:rPr>
                <w:rFonts w:ascii="Arial" w:eastAsia="宋体" w:hAnsi="Arial" w:cs="Arial"/>
                <w:b/>
                <w:bCs/>
                <w:color w:val="000000"/>
                <w:sz w:val="14"/>
                <w:szCs w:val="14"/>
              </w:rPr>
              <w:t>18,239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5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3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53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53A" w14:textId="77777777" w:rsidR="00980E5F" w:rsidRDefault="00483613">
            <w:pPr>
              <w:jc w:val="right"/>
              <w:textAlignment w:val="bottom"/>
            </w:pPr>
            <w:r>
              <w:rPr>
                <w:rFonts w:ascii="Arial" w:eastAsia="宋体" w:hAnsi="Arial" w:cs="Arial"/>
                <w:b/>
                <w:bCs/>
                <w:color w:val="000000"/>
                <w:sz w:val="14"/>
                <w:szCs w:val="14"/>
              </w:rPr>
              <w:t>18,352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5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3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53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53E" w14:textId="77777777" w:rsidR="00980E5F" w:rsidRDefault="00483613">
            <w:pPr>
              <w:jc w:val="right"/>
              <w:textAlignment w:val="bottom"/>
            </w:pPr>
            <w:r>
              <w:rPr>
                <w:rFonts w:ascii="Arial" w:eastAsia="宋体" w:hAnsi="Arial" w:cs="Arial"/>
                <w:color w:val="000000"/>
                <w:sz w:val="14"/>
                <w:szCs w:val="14"/>
              </w:rPr>
              <w:t>19,511 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5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4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54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542" w14:textId="77777777" w:rsidR="00980E5F" w:rsidRDefault="00483613">
            <w:pPr>
              <w:jc w:val="right"/>
              <w:textAlignment w:val="bottom"/>
            </w:pPr>
            <w:r>
              <w:rPr>
                <w:rFonts w:ascii="Arial" w:eastAsia="宋体" w:hAnsi="Arial" w:cs="Arial"/>
                <w:color w:val="000000"/>
                <w:sz w:val="14"/>
                <w:szCs w:val="14"/>
              </w:rPr>
              <w:t>19,619 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543" w14:textId="77777777" w:rsidR="00980E5F" w:rsidRDefault="00980E5F">
            <w:pPr>
              <w:jc w:val="right"/>
              <w:rPr>
                <w:rFonts w:ascii="宋体"/>
              </w:rPr>
            </w:pPr>
          </w:p>
        </w:tc>
      </w:tr>
    </w:tbl>
    <w:p w14:paraId="392C2545" w14:textId="77777777" w:rsidR="00980E5F" w:rsidRDefault="00483613">
      <w:pPr>
        <w:ind w:firstLine="450"/>
        <w:jc w:val="right"/>
      </w:pPr>
      <w:r>
        <w:rPr>
          <w:rFonts w:ascii="Arial" w:eastAsia="宋体" w:hAnsi="Arial" w:cs="Arial"/>
          <w:color w:val="000000"/>
          <w:sz w:val="18"/>
          <w:szCs w:val="18"/>
        </w:rPr>
        <w:t>State Street Corporation | 46</w:t>
      </w:r>
    </w:p>
    <w:p w14:paraId="392C2546" w14:textId="77777777" w:rsidR="00980E5F" w:rsidRDefault="00980E5F">
      <w:pPr>
        <w:ind w:firstLine="450"/>
        <w:jc w:val="center"/>
      </w:pPr>
    </w:p>
    <w:p w14:paraId="392C2547" w14:textId="77777777" w:rsidR="00980E5F" w:rsidRDefault="00483613">
      <w:r>
        <w:pict w14:anchorId="392CBAFC">
          <v:rect id="_x0000_i1070" style="width:415.3pt;height:1.5pt" o:hralign="center" o:hrstd="t" o:hr="t" fillcolor="#a0a0a0" stroked="f"/>
        </w:pict>
      </w:r>
    </w:p>
    <w:p w14:paraId="392C2548"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549" w14:textId="77777777" w:rsidR="00980E5F" w:rsidRDefault="00483613">
      <w:pPr>
        <w:ind w:firstLine="450"/>
        <w:jc w:val="center"/>
      </w:pPr>
      <w:r>
        <w:rPr>
          <w:rFonts w:ascii="Arial" w:eastAsia="宋体" w:hAnsi="Arial" w:cs="Arial"/>
          <w:b/>
          <w:bCs/>
          <w:color w:val="000000"/>
          <w:sz w:val="20"/>
          <w:szCs w:val="20"/>
        </w:rPr>
        <w:t>AND RESULTS OF OPE</w:t>
      </w:r>
      <w:r>
        <w:rPr>
          <w:rFonts w:ascii="Arial" w:eastAsia="宋体" w:hAnsi="Arial" w:cs="Arial"/>
          <w:b/>
          <w:bCs/>
          <w:color w:val="000000"/>
          <w:sz w:val="20"/>
          <w:szCs w:val="20"/>
        </w:rPr>
        <w:t>RATIONS</w:t>
      </w:r>
    </w:p>
    <w:p w14:paraId="392C254A" w14:textId="77777777" w:rsidR="00980E5F" w:rsidRDefault="00483613">
      <w:pPr>
        <w:ind w:firstLine="450"/>
        <w:jc w:val="both"/>
      </w:pPr>
      <w:r>
        <w:rPr>
          <w:rFonts w:ascii="Arial" w:eastAsia="宋体" w:hAnsi="Arial" w:cs="Arial"/>
          <w:color w:val="000000"/>
          <w:sz w:val="20"/>
          <w:szCs w:val="20"/>
        </w:rPr>
        <w:t>The following table presents a roll-forward of the Basel III advanced and standardized approaches RWA for the six months ended June 30,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960"/>
        <w:gridCol w:w="37"/>
        <w:gridCol w:w="99"/>
        <w:gridCol w:w="765"/>
        <w:gridCol w:w="37"/>
        <w:gridCol w:w="36"/>
        <w:gridCol w:w="36"/>
        <w:gridCol w:w="36"/>
        <w:gridCol w:w="99"/>
        <w:gridCol w:w="823"/>
        <w:gridCol w:w="37"/>
        <w:gridCol w:w="36"/>
        <w:gridCol w:w="36"/>
        <w:gridCol w:w="36"/>
        <w:gridCol w:w="99"/>
        <w:gridCol w:w="913"/>
        <w:gridCol w:w="37"/>
        <w:gridCol w:w="36"/>
        <w:gridCol w:w="36"/>
        <w:gridCol w:w="36"/>
        <w:gridCol w:w="99"/>
        <w:gridCol w:w="931"/>
        <w:gridCol w:w="37"/>
      </w:tblGrid>
      <w:tr w:rsidR="00980E5F" w14:paraId="392C2563" w14:textId="77777777">
        <w:tc>
          <w:tcPr>
            <w:tcW w:w="50" w:type="pct"/>
            <w:shd w:val="clear" w:color="auto" w:fill="auto"/>
            <w:vAlign w:val="bottom"/>
          </w:tcPr>
          <w:p w14:paraId="392C254B" w14:textId="77777777" w:rsidR="00980E5F" w:rsidRDefault="00980E5F">
            <w:pPr>
              <w:rPr>
                <w:rFonts w:ascii="宋体"/>
              </w:rPr>
            </w:pPr>
          </w:p>
        </w:tc>
        <w:tc>
          <w:tcPr>
            <w:tcW w:w="2452" w:type="pct"/>
            <w:shd w:val="clear" w:color="auto" w:fill="auto"/>
            <w:vAlign w:val="bottom"/>
          </w:tcPr>
          <w:p w14:paraId="392C254C" w14:textId="77777777" w:rsidR="00980E5F" w:rsidRDefault="00980E5F">
            <w:pPr>
              <w:rPr>
                <w:rFonts w:ascii="宋体"/>
              </w:rPr>
            </w:pPr>
          </w:p>
        </w:tc>
        <w:tc>
          <w:tcPr>
            <w:tcW w:w="5" w:type="pct"/>
            <w:shd w:val="clear" w:color="auto" w:fill="auto"/>
            <w:vAlign w:val="bottom"/>
          </w:tcPr>
          <w:p w14:paraId="392C254D" w14:textId="77777777" w:rsidR="00980E5F" w:rsidRDefault="00980E5F">
            <w:pPr>
              <w:rPr>
                <w:rFonts w:ascii="宋体"/>
              </w:rPr>
            </w:pPr>
          </w:p>
        </w:tc>
        <w:tc>
          <w:tcPr>
            <w:tcW w:w="50" w:type="pct"/>
            <w:shd w:val="clear" w:color="auto" w:fill="auto"/>
            <w:vAlign w:val="bottom"/>
          </w:tcPr>
          <w:p w14:paraId="392C254E" w14:textId="77777777" w:rsidR="00980E5F" w:rsidRDefault="00980E5F">
            <w:pPr>
              <w:rPr>
                <w:rFonts w:ascii="宋体"/>
              </w:rPr>
            </w:pPr>
          </w:p>
        </w:tc>
        <w:tc>
          <w:tcPr>
            <w:tcW w:w="493" w:type="pct"/>
            <w:shd w:val="clear" w:color="auto" w:fill="auto"/>
            <w:vAlign w:val="bottom"/>
          </w:tcPr>
          <w:p w14:paraId="392C254F" w14:textId="77777777" w:rsidR="00980E5F" w:rsidRDefault="00980E5F">
            <w:pPr>
              <w:rPr>
                <w:rFonts w:ascii="宋体"/>
              </w:rPr>
            </w:pPr>
          </w:p>
        </w:tc>
        <w:tc>
          <w:tcPr>
            <w:tcW w:w="5" w:type="pct"/>
            <w:shd w:val="clear" w:color="auto" w:fill="auto"/>
            <w:vAlign w:val="bottom"/>
          </w:tcPr>
          <w:p w14:paraId="392C2550" w14:textId="77777777" w:rsidR="00980E5F" w:rsidRDefault="00980E5F">
            <w:pPr>
              <w:rPr>
                <w:rFonts w:ascii="宋体"/>
              </w:rPr>
            </w:pPr>
          </w:p>
        </w:tc>
        <w:tc>
          <w:tcPr>
            <w:tcW w:w="5" w:type="pct"/>
            <w:shd w:val="clear" w:color="auto" w:fill="auto"/>
            <w:vAlign w:val="bottom"/>
          </w:tcPr>
          <w:p w14:paraId="392C2551" w14:textId="77777777" w:rsidR="00980E5F" w:rsidRDefault="00980E5F">
            <w:pPr>
              <w:rPr>
                <w:rFonts w:ascii="宋体"/>
              </w:rPr>
            </w:pPr>
          </w:p>
        </w:tc>
        <w:tc>
          <w:tcPr>
            <w:tcW w:w="19" w:type="pct"/>
            <w:shd w:val="clear" w:color="auto" w:fill="auto"/>
            <w:vAlign w:val="bottom"/>
          </w:tcPr>
          <w:p w14:paraId="392C2552" w14:textId="77777777" w:rsidR="00980E5F" w:rsidRDefault="00980E5F">
            <w:pPr>
              <w:rPr>
                <w:rFonts w:ascii="宋体"/>
              </w:rPr>
            </w:pPr>
          </w:p>
        </w:tc>
        <w:tc>
          <w:tcPr>
            <w:tcW w:w="5" w:type="pct"/>
            <w:shd w:val="clear" w:color="auto" w:fill="auto"/>
            <w:vAlign w:val="bottom"/>
          </w:tcPr>
          <w:p w14:paraId="392C2553" w14:textId="77777777" w:rsidR="00980E5F" w:rsidRDefault="00980E5F">
            <w:pPr>
              <w:rPr>
                <w:rFonts w:ascii="宋体"/>
              </w:rPr>
            </w:pPr>
          </w:p>
        </w:tc>
        <w:tc>
          <w:tcPr>
            <w:tcW w:w="50" w:type="pct"/>
            <w:shd w:val="clear" w:color="auto" w:fill="auto"/>
            <w:vAlign w:val="bottom"/>
          </w:tcPr>
          <w:p w14:paraId="392C2554" w14:textId="77777777" w:rsidR="00980E5F" w:rsidRDefault="00980E5F">
            <w:pPr>
              <w:rPr>
                <w:rFonts w:ascii="宋体"/>
              </w:rPr>
            </w:pPr>
          </w:p>
        </w:tc>
        <w:tc>
          <w:tcPr>
            <w:tcW w:w="463" w:type="pct"/>
            <w:shd w:val="clear" w:color="auto" w:fill="auto"/>
            <w:vAlign w:val="bottom"/>
          </w:tcPr>
          <w:p w14:paraId="392C2555" w14:textId="77777777" w:rsidR="00980E5F" w:rsidRDefault="00980E5F">
            <w:pPr>
              <w:rPr>
                <w:rFonts w:ascii="宋体"/>
              </w:rPr>
            </w:pPr>
          </w:p>
        </w:tc>
        <w:tc>
          <w:tcPr>
            <w:tcW w:w="5" w:type="pct"/>
            <w:shd w:val="clear" w:color="auto" w:fill="auto"/>
            <w:vAlign w:val="bottom"/>
          </w:tcPr>
          <w:p w14:paraId="392C2556" w14:textId="77777777" w:rsidR="00980E5F" w:rsidRDefault="00980E5F">
            <w:pPr>
              <w:rPr>
                <w:rFonts w:ascii="宋体"/>
              </w:rPr>
            </w:pPr>
          </w:p>
        </w:tc>
        <w:tc>
          <w:tcPr>
            <w:tcW w:w="5" w:type="pct"/>
            <w:shd w:val="clear" w:color="auto" w:fill="auto"/>
            <w:vAlign w:val="bottom"/>
          </w:tcPr>
          <w:p w14:paraId="392C2557" w14:textId="77777777" w:rsidR="00980E5F" w:rsidRDefault="00980E5F">
            <w:pPr>
              <w:rPr>
                <w:rFonts w:ascii="宋体"/>
              </w:rPr>
            </w:pPr>
          </w:p>
        </w:tc>
        <w:tc>
          <w:tcPr>
            <w:tcW w:w="19" w:type="pct"/>
            <w:shd w:val="clear" w:color="auto" w:fill="auto"/>
            <w:vAlign w:val="bottom"/>
          </w:tcPr>
          <w:p w14:paraId="392C2558" w14:textId="77777777" w:rsidR="00980E5F" w:rsidRDefault="00980E5F">
            <w:pPr>
              <w:rPr>
                <w:rFonts w:ascii="宋体"/>
              </w:rPr>
            </w:pPr>
          </w:p>
        </w:tc>
        <w:tc>
          <w:tcPr>
            <w:tcW w:w="5" w:type="pct"/>
            <w:shd w:val="clear" w:color="auto" w:fill="auto"/>
            <w:vAlign w:val="bottom"/>
          </w:tcPr>
          <w:p w14:paraId="392C2559" w14:textId="77777777" w:rsidR="00980E5F" w:rsidRDefault="00980E5F">
            <w:pPr>
              <w:rPr>
                <w:rFonts w:ascii="宋体"/>
              </w:rPr>
            </w:pPr>
          </w:p>
        </w:tc>
        <w:tc>
          <w:tcPr>
            <w:tcW w:w="50" w:type="pct"/>
            <w:shd w:val="clear" w:color="auto" w:fill="auto"/>
            <w:vAlign w:val="bottom"/>
          </w:tcPr>
          <w:p w14:paraId="392C255A" w14:textId="77777777" w:rsidR="00980E5F" w:rsidRDefault="00980E5F">
            <w:pPr>
              <w:rPr>
                <w:rFonts w:ascii="宋体"/>
              </w:rPr>
            </w:pPr>
          </w:p>
        </w:tc>
        <w:tc>
          <w:tcPr>
            <w:tcW w:w="617" w:type="pct"/>
            <w:shd w:val="clear" w:color="auto" w:fill="auto"/>
            <w:vAlign w:val="bottom"/>
          </w:tcPr>
          <w:p w14:paraId="392C255B" w14:textId="77777777" w:rsidR="00980E5F" w:rsidRDefault="00980E5F">
            <w:pPr>
              <w:rPr>
                <w:rFonts w:ascii="宋体"/>
              </w:rPr>
            </w:pPr>
          </w:p>
        </w:tc>
        <w:tc>
          <w:tcPr>
            <w:tcW w:w="5" w:type="pct"/>
            <w:shd w:val="clear" w:color="auto" w:fill="auto"/>
            <w:vAlign w:val="bottom"/>
          </w:tcPr>
          <w:p w14:paraId="392C255C" w14:textId="77777777" w:rsidR="00980E5F" w:rsidRDefault="00980E5F">
            <w:pPr>
              <w:rPr>
                <w:rFonts w:ascii="宋体"/>
              </w:rPr>
            </w:pPr>
          </w:p>
        </w:tc>
        <w:tc>
          <w:tcPr>
            <w:tcW w:w="5" w:type="pct"/>
            <w:shd w:val="clear" w:color="auto" w:fill="auto"/>
            <w:vAlign w:val="bottom"/>
          </w:tcPr>
          <w:p w14:paraId="392C255D" w14:textId="77777777" w:rsidR="00980E5F" w:rsidRDefault="00980E5F">
            <w:pPr>
              <w:rPr>
                <w:rFonts w:ascii="宋体"/>
              </w:rPr>
            </w:pPr>
          </w:p>
        </w:tc>
        <w:tc>
          <w:tcPr>
            <w:tcW w:w="19" w:type="pct"/>
            <w:shd w:val="clear" w:color="auto" w:fill="auto"/>
            <w:vAlign w:val="bottom"/>
          </w:tcPr>
          <w:p w14:paraId="392C255E" w14:textId="77777777" w:rsidR="00980E5F" w:rsidRDefault="00980E5F">
            <w:pPr>
              <w:rPr>
                <w:rFonts w:ascii="宋体"/>
              </w:rPr>
            </w:pPr>
          </w:p>
        </w:tc>
        <w:tc>
          <w:tcPr>
            <w:tcW w:w="5" w:type="pct"/>
            <w:shd w:val="clear" w:color="auto" w:fill="auto"/>
            <w:vAlign w:val="bottom"/>
          </w:tcPr>
          <w:p w14:paraId="392C255F" w14:textId="77777777" w:rsidR="00980E5F" w:rsidRDefault="00980E5F">
            <w:pPr>
              <w:rPr>
                <w:rFonts w:ascii="宋体"/>
              </w:rPr>
            </w:pPr>
          </w:p>
        </w:tc>
        <w:tc>
          <w:tcPr>
            <w:tcW w:w="50" w:type="pct"/>
            <w:shd w:val="clear" w:color="auto" w:fill="auto"/>
            <w:vAlign w:val="bottom"/>
          </w:tcPr>
          <w:p w14:paraId="392C2560" w14:textId="77777777" w:rsidR="00980E5F" w:rsidRDefault="00980E5F">
            <w:pPr>
              <w:rPr>
                <w:rFonts w:ascii="宋体"/>
              </w:rPr>
            </w:pPr>
          </w:p>
        </w:tc>
        <w:tc>
          <w:tcPr>
            <w:tcW w:w="610" w:type="pct"/>
            <w:shd w:val="clear" w:color="auto" w:fill="auto"/>
            <w:vAlign w:val="bottom"/>
          </w:tcPr>
          <w:p w14:paraId="392C2561" w14:textId="77777777" w:rsidR="00980E5F" w:rsidRDefault="00980E5F">
            <w:pPr>
              <w:rPr>
                <w:rFonts w:ascii="宋体"/>
              </w:rPr>
            </w:pPr>
          </w:p>
        </w:tc>
        <w:tc>
          <w:tcPr>
            <w:tcW w:w="5" w:type="pct"/>
            <w:shd w:val="clear" w:color="auto" w:fill="auto"/>
            <w:vAlign w:val="bottom"/>
          </w:tcPr>
          <w:p w14:paraId="392C2562" w14:textId="77777777" w:rsidR="00980E5F" w:rsidRDefault="00980E5F">
            <w:pPr>
              <w:rPr>
                <w:rFonts w:ascii="宋体"/>
              </w:rPr>
            </w:pPr>
          </w:p>
        </w:tc>
      </w:tr>
      <w:tr w:rsidR="00980E5F" w14:paraId="392C2565" w14:textId="77777777">
        <w:tc>
          <w:tcPr>
            <w:tcW w:w="0" w:type="auto"/>
            <w:gridSpan w:val="24"/>
            <w:shd w:val="clear" w:color="auto" w:fill="auto"/>
            <w:tcMar>
              <w:top w:w="40" w:type="dxa"/>
              <w:left w:w="20" w:type="dxa"/>
              <w:bottom w:w="40" w:type="dxa"/>
              <w:right w:w="20" w:type="dxa"/>
            </w:tcMar>
            <w:vAlign w:val="bottom"/>
          </w:tcPr>
          <w:p w14:paraId="392C2564" w14:textId="77777777" w:rsidR="00980E5F" w:rsidRDefault="00483613">
            <w:pPr>
              <w:textAlignment w:val="bottom"/>
            </w:pPr>
            <w:r>
              <w:rPr>
                <w:rFonts w:ascii="Arial" w:eastAsia="宋体" w:hAnsi="Arial" w:cs="Arial"/>
                <w:b/>
                <w:bCs/>
                <w:color w:val="000000"/>
                <w:sz w:val="16"/>
                <w:szCs w:val="16"/>
              </w:rPr>
              <w:t>TABLE 36: ADVANCED &amp; STANDARDIZED APPROACHES RISK-WEIGHTED ASSETS ROLL-FORWARD</w:t>
            </w:r>
          </w:p>
        </w:tc>
      </w:tr>
      <w:tr w:rsidR="00980E5F" w14:paraId="392C2576" w14:textId="77777777">
        <w:trPr>
          <w:hidden/>
        </w:trPr>
        <w:tc>
          <w:tcPr>
            <w:tcW w:w="0" w:type="auto"/>
            <w:gridSpan w:val="3"/>
            <w:shd w:val="clear" w:color="auto" w:fill="auto"/>
            <w:vAlign w:val="bottom"/>
          </w:tcPr>
          <w:p w14:paraId="392C2566" w14:textId="77777777" w:rsidR="00980E5F" w:rsidRDefault="00980E5F">
            <w:pPr>
              <w:rPr>
                <w:rFonts w:ascii="宋体"/>
                <w:vanish/>
              </w:rPr>
            </w:pPr>
          </w:p>
        </w:tc>
        <w:tc>
          <w:tcPr>
            <w:tcW w:w="0" w:type="auto"/>
            <w:gridSpan w:val="3"/>
            <w:shd w:val="clear" w:color="auto" w:fill="auto"/>
            <w:vAlign w:val="bottom"/>
          </w:tcPr>
          <w:p w14:paraId="392C2567" w14:textId="77777777" w:rsidR="00980E5F" w:rsidRDefault="00980E5F">
            <w:pPr>
              <w:rPr>
                <w:rFonts w:ascii="宋体"/>
                <w:vanish/>
              </w:rPr>
            </w:pPr>
          </w:p>
        </w:tc>
        <w:tc>
          <w:tcPr>
            <w:tcW w:w="0" w:type="auto"/>
            <w:gridSpan w:val="3"/>
            <w:shd w:val="clear" w:color="auto" w:fill="auto"/>
            <w:vAlign w:val="bottom"/>
          </w:tcPr>
          <w:p w14:paraId="392C2568" w14:textId="77777777" w:rsidR="00980E5F" w:rsidRDefault="00980E5F">
            <w:pPr>
              <w:rPr>
                <w:rFonts w:ascii="宋体"/>
                <w:vanish/>
              </w:rPr>
            </w:pPr>
          </w:p>
        </w:tc>
        <w:tc>
          <w:tcPr>
            <w:tcW w:w="0" w:type="auto"/>
            <w:gridSpan w:val="3"/>
            <w:shd w:val="clear" w:color="auto" w:fill="auto"/>
            <w:vAlign w:val="bottom"/>
          </w:tcPr>
          <w:p w14:paraId="392C2569" w14:textId="77777777" w:rsidR="00980E5F" w:rsidRDefault="00980E5F">
            <w:pPr>
              <w:rPr>
                <w:rFonts w:ascii="宋体"/>
                <w:vanish/>
              </w:rPr>
            </w:pPr>
          </w:p>
        </w:tc>
        <w:tc>
          <w:tcPr>
            <w:tcW w:w="0" w:type="auto"/>
            <w:shd w:val="clear" w:color="auto" w:fill="auto"/>
            <w:vAlign w:val="bottom"/>
          </w:tcPr>
          <w:p w14:paraId="392C256A" w14:textId="77777777" w:rsidR="00980E5F" w:rsidRDefault="00980E5F">
            <w:pPr>
              <w:rPr>
                <w:rFonts w:ascii="宋体"/>
              </w:rPr>
            </w:pPr>
          </w:p>
        </w:tc>
        <w:tc>
          <w:tcPr>
            <w:tcW w:w="0" w:type="auto"/>
            <w:shd w:val="clear" w:color="auto" w:fill="auto"/>
            <w:vAlign w:val="bottom"/>
          </w:tcPr>
          <w:p w14:paraId="392C256B" w14:textId="77777777" w:rsidR="00980E5F" w:rsidRDefault="00980E5F">
            <w:pPr>
              <w:rPr>
                <w:rFonts w:ascii="宋体"/>
              </w:rPr>
            </w:pPr>
          </w:p>
        </w:tc>
        <w:tc>
          <w:tcPr>
            <w:tcW w:w="0" w:type="auto"/>
            <w:shd w:val="clear" w:color="auto" w:fill="auto"/>
            <w:vAlign w:val="bottom"/>
          </w:tcPr>
          <w:p w14:paraId="392C256C" w14:textId="77777777" w:rsidR="00980E5F" w:rsidRDefault="00980E5F">
            <w:pPr>
              <w:rPr>
                <w:rFonts w:ascii="宋体"/>
              </w:rPr>
            </w:pPr>
          </w:p>
        </w:tc>
        <w:tc>
          <w:tcPr>
            <w:tcW w:w="0" w:type="auto"/>
            <w:shd w:val="clear" w:color="auto" w:fill="auto"/>
            <w:vAlign w:val="bottom"/>
          </w:tcPr>
          <w:p w14:paraId="392C256D" w14:textId="77777777" w:rsidR="00980E5F" w:rsidRDefault="00980E5F">
            <w:pPr>
              <w:rPr>
                <w:rFonts w:ascii="宋体"/>
              </w:rPr>
            </w:pPr>
          </w:p>
        </w:tc>
        <w:tc>
          <w:tcPr>
            <w:tcW w:w="0" w:type="auto"/>
            <w:shd w:val="clear" w:color="auto" w:fill="auto"/>
            <w:vAlign w:val="bottom"/>
          </w:tcPr>
          <w:p w14:paraId="392C256E" w14:textId="77777777" w:rsidR="00980E5F" w:rsidRDefault="00980E5F">
            <w:pPr>
              <w:rPr>
                <w:rFonts w:ascii="宋体"/>
              </w:rPr>
            </w:pPr>
          </w:p>
        </w:tc>
        <w:tc>
          <w:tcPr>
            <w:tcW w:w="0" w:type="auto"/>
            <w:shd w:val="clear" w:color="auto" w:fill="auto"/>
            <w:vAlign w:val="bottom"/>
          </w:tcPr>
          <w:p w14:paraId="392C256F" w14:textId="77777777" w:rsidR="00980E5F" w:rsidRDefault="00980E5F">
            <w:pPr>
              <w:rPr>
                <w:rFonts w:ascii="宋体"/>
              </w:rPr>
            </w:pPr>
          </w:p>
        </w:tc>
        <w:tc>
          <w:tcPr>
            <w:tcW w:w="0" w:type="auto"/>
            <w:shd w:val="clear" w:color="auto" w:fill="auto"/>
            <w:vAlign w:val="bottom"/>
          </w:tcPr>
          <w:p w14:paraId="392C2570" w14:textId="77777777" w:rsidR="00980E5F" w:rsidRDefault="00980E5F">
            <w:pPr>
              <w:rPr>
                <w:rFonts w:ascii="宋体"/>
              </w:rPr>
            </w:pPr>
          </w:p>
        </w:tc>
        <w:tc>
          <w:tcPr>
            <w:tcW w:w="0" w:type="auto"/>
            <w:shd w:val="clear" w:color="auto" w:fill="auto"/>
            <w:vAlign w:val="bottom"/>
          </w:tcPr>
          <w:p w14:paraId="392C2571" w14:textId="77777777" w:rsidR="00980E5F" w:rsidRDefault="00980E5F">
            <w:pPr>
              <w:rPr>
                <w:rFonts w:ascii="宋体"/>
              </w:rPr>
            </w:pPr>
          </w:p>
        </w:tc>
        <w:tc>
          <w:tcPr>
            <w:tcW w:w="0" w:type="auto"/>
            <w:shd w:val="clear" w:color="auto" w:fill="auto"/>
            <w:vAlign w:val="bottom"/>
          </w:tcPr>
          <w:p w14:paraId="392C2572" w14:textId="77777777" w:rsidR="00980E5F" w:rsidRDefault="00980E5F">
            <w:pPr>
              <w:rPr>
                <w:rFonts w:ascii="宋体"/>
              </w:rPr>
            </w:pPr>
          </w:p>
        </w:tc>
        <w:tc>
          <w:tcPr>
            <w:tcW w:w="0" w:type="auto"/>
            <w:shd w:val="clear" w:color="auto" w:fill="auto"/>
            <w:vAlign w:val="bottom"/>
          </w:tcPr>
          <w:p w14:paraId="392C2573" w14:textId="77777777" w:rsidR="00980E5F" w:rsidRDefault="00980E5F">
            <w:pPr>
              <w:rPr>
                <w:rFonts w:ascii="宋体"/>
              </w:rPr>
            </w:pPr>
          </w:p>
        </w:tc>
        <w:tc>
          <w:tcPr>
            <w:tcW w:w="0" w:type="auto"/>
            <w:shd w:val="clear" w:color="auto" w:fill="auto"/>
            <w:vAlign w:val="bottom"/>
          </w:tcPr>
          <w:p w14:paraId="392C2574" w14:textId="77777777" w:rsidR="00980E5F" w:rsidRDefault="00980E5F">
            <w:pPr>
              <w:rPr>
                <w:rFonts w:ascii="宋体"/>
              </w:rPr>
            </w:pPr>
          </w:p>
        </w:tc>
        <w:tc>
          <w:tcPr>
            <w:tcW w:w="0" w:type="auto"/>
            <w:shd w:val="clear" w:color="auto" w:fill="auto"/>
            <w:vAlign w:val="bottom"/>
          </w:tcPr>
          <w:p w14:paraId="392C2575" w14:textId="77777777" w:rsidR="00980E5F" w:rsidRDefault="00980E5F">
            <w:pPr>
              <w:rPr>
                <w:rFonts w:ascii="宋体"/>
              </w:rPr>
            </w:pPr>
          </w:p>
        </w:tc>
      </w:tr>
      <w:tr w:rsidR="00980E5F" w14:paraId="392C257F" w14:textId="77777777">
        <w:tc>
          <w:tcPr>
            <w:tcW w:w="0" w:type="auto"/>
            <w:gridSpan w:val="3"/>
            <w:shd w:val="clear" w:color="auto" w:fill="FFFFFF"/>
            <w:tcMar>
              <w:top w:w="40" w:type="dxa"/>
              <w:left w:w="20" w:type="dxa"/>
              <w:bottom w:w="40" w:type="dxa"/>
              <w:right w:w="20" w:type="dxa"/>
            </w:tcMar>
            <w:vAlign w:val="bottom"/>
          </w:tcPr>
          <w:p w14:paraId="392C2577"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392C2578" w14:textId="77777777" w:rsidR="00980E5F" w:rsidRDefault="00483613">
            <w:pPr>
              <w:jc w:val="center"/>
              <w:textAlignment w:val="bottom"/>
            </w:pPr>
            <w:r>
              <w:rPr>
                <w:rFonts w:ascii="Arial" w:eastAsia="宋体" w:hAnsi="Arial" w:cs="Arial"/>
                <w:b/>
                <w:bCs/>
                <w:color w:val="000000"/>
                <w:sz w:val="14"/>
                <w:szCs w:val="14"/>
              </w:rPr>
              <w:t>Basel III Advanced Approaches June 30, 2022</w:t>
            </w:r>
          </w:p>
        </w:tc>
        <w:tc>
          <w:tcPr>
            <w:tcW w:w="0" w:type="auto"/>
            <w:gridSpan w:val="3"/>
            <w:shd w:val="clear" w:color="auto" w:fill="FFFFFF"/>
            <w:tcMar>
              <w:top w:w="0" w:type="dxa"/>
              <w:left w:w="20" w:type="dxa"/>
              <w:bottom w:w="0" w:type="dxa"/>
              <w:right w:w="20" w:type="dxa"/>
            </w:tcMar>
            <w:vAlign w:val="bottom"/>
          </w:tcPr>
          <w:p w14:paraId="392C2579"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257A" w14:textId="77777777" w:rsidR="00980E5F" w:rsidRDefault="00483613">
            <w:pPr>
              <w:jc w:val="center"/>
              <w:textAlignment w:val="bottom"/>
            </w:pPr>
            <w:r>
              <w:rPr>
                <w:rFonts w:ascii="Arial" w:eastAsia="宋体" w:hAnsi="Arial" w:cs="Arial"/>
                <w:b/>
                <w:bCs/>
                <w:color w:val="000000"/>
                <w:sz w:val="14"/>
                <w:szCs w:val="14"/>
              </w:rPr>
              <w:t>Basel III Standardized Approach June 30, 2022</w:t>
            </w:r>
          </w:p>
        </w:tc>
        <w:tc>
          <w:tcPr>
            <w:tcW w:w="0" w:type="auto"/>
            <w:gridSpan w:val="3"/>
            <w:shd w:val="clear" w:color="auto" w:fill="FFFFFF"/>
            <w:tcMar>
              <w:top w:w="0" w:type="dxa"/>
              <w:left w:w="20" w:type="dxa"/>
              <w:bottom w:w="0" w:type="dxa"/>
              <w:right w:w="20" w:type="dxa"/>
            </w:tcMar>
            <w:vAlign w:val="bottom"/>
          </w:tcPr>
          <w:p w14:paraId="392C257B"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257C" w14:textId="77777777" w:rsidR="00980E5F" w:rsidRDefault="00483613">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Advanced Approaches December 31, 2021</w:t>
            </w:r>
          </w:p>
        </w:tc>
        <w:tc>
          <w:tcPr>
            <w:tcW w:w="0" w:type="auto"/>
            <w:gridSpan w:val="3"/>
            <w:shd w:val="clear" w:color="auto" w:fill="FFFFFF"/>
            <w:tcMar>
              <w:top w:w="0" w:type="dxa"/>
              <w:left w:w="20" w:type="dxa"/>
              <w:bottom w:w="0" w:type="dxa"/>
              <w:right w:w="20" w:type="dxa"/>
            </w:tcMar>
            <w:vAlign w:val="bottom"/>
          </w:tcPr>
          <w:p w14:paraId="392C257D"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257E" w14:textId="77777777" w:rsidR="00980E5F" w:rsidRDefault="00483613">
            <w:pPr>
              <w:jc w:val="center"/>
              <w:textAlignment w:val="bottom"/>
            </w:pPr>
            <w:r>
              <w:rPr>
                <w:rFonts w:ascii="Arial" w:eastAsia="宋体" w:hAnsi="Arial" w:cs="Arial"/>
                <w:b/>
                <w:bCs/>
                <w:color w:val="000000"/>
                <w:sz w:val="14"/>
                <w:szCs w:val="14"/>
              </w:rPr>
              <w:t>Basel III Standardized Approach December 31, 2021</w:t>
            </w:r>
          </w:p>
        </w:tc>
      </w:tr>
      <w:tr w:rsidR="00980E5F" w14:paraId="392C2590" w14:textId="77777777">
        <w:tc>
          <w:tcPr>
            <w:tcW w:w="0" w:type="auto"/>
            <w:gridSpan w:val="3"/>
            <w:shd w:val="clear" w:color="auto" w:fill="CCEEFF"/>
            <w:tcMar>
              <w:top w:w="40" w:type="dxa"/>
              <w:left w:w="20" w:type="dxa"/>
              <w:bottom w:w="40" w:type="dxa"/>
              <w:right w:w="20" w:type="dxa"/>
            </w:tcMar>
            <w:vAlign w:val="bottom"/>
          </w:tcPr>
          <w:p w14:paraId="392C2580" w14:textId="77777777" w:rsidR="00980E5F" w:rsidRDefault="00483613">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58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582" w14:textId="77777777" w:rsidR="00980E5F" w:rsidRDefault="00483613">
            <w:pPr>
              <w:jc w:val="right"/>
              <w:textAlignment w:val="bottom"/>
            </w:pPr>
            <w:r>
              <w:rPr>
                <w:rFonts w:ascii="Arial" w:eastAsia="宋体" w:hAnsi="Arial" w:cs="Arial"/>
                <w:b/>
                <w:bCs/>
                <w:color w:val="000000"/>
                <w:sz w:val="14"/>
                <w:szCs w:val="14"/>
              </w:rPr>
              <w:t>111,398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8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58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586" w14:textId="77777777" w:rsidR="00980E5F" w:rsidRDefault="00483613">
            <w:pPr>
              <w:jc w:val="right"/>
              <w:textAlignment w:val="bottom"/>
            </w:pPr>
            <w:r>
              <w:rPr>
                <w:rFonts w:ascii="Arial" w:eastAsia="宋体" w:hAnsi="Arial" w:cs="Arial"/>
                <w:b/>
                <w:bCs/>
                <w:color w:val="000000"/>
                <w:sz w:val="14"/>
                <w:szCs w:val="14"/>
              </w:rPr>
              <w:t>111,667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8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58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58A" w14:textId="77777777" w:rsidR="00980E5F" w:rsidRDefault="00483613">
            <w:pPr>
              <w:jc w:val="right"/>
              <w:textAlignment w:val="bottom"/>
            </w:pPr>
            <w:r>
              <w:rPr>
                <w:rFonts w:ascii="Arial" w:eastAsia="宋体" w:hAnsi="Arial" w:cs="Arial"/>
                <w:color w:val="000000"/>
                <w:sz w:val="14"/>
                <w:szCs w:val="14"/>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8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58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58E" w14:textId="77777777" w:rsidR="00980E5F" w:rsidRDefault="00483613">
            <w:pPr>
              <w:jc w:val="right"/>
              <w:textAlignment w:val="bottom"/>
            </w:pPr>
            <w:r>
              <w:rPr>
                <w:rFonts w:ascii="Arial" w:eastAsia="宋体" w:hAnsi="Arial" w:cs="Arial"/>
                <w:color w:val="000000"/>
                <w:sz w:val="14"/>
                <w:szCs w:val="14"/>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8F" w14:textId="77777777" w:rsidR="00980E5F" w:rsidRDefault="00980E5F">
            <w:pPr>
              <w:jc w:val="right"/>
              <w:rPr>
                <w:rFonts w:ascii="宋体"/>
              </w:rPr>
            </w:pPr>
          </w:p>
        </w:tc>
      </w:tr>
      <w:tr w:rsidR="00980E5F" w14:paraId="392C2599" w14:textId="77777777">
        <w:tc>
          <w:tcPr>
            <w:tcW w:w="0" w:type="auto"/>
            <w:gridSpan w:val="3"/>
            <w:shd w:val="clear" w:color="auto" w:fill="FFFFFF"/>
            <w:tcMar>
              <w:top w:w="40" w:type="dxa"/>
              <w:left w:w="20" w:type="dxa"/>
              <w:bottom w:w="40" w:type="dxa"/>
              <w:right w:w="20" w:type="dxa"/>
            </w:tcMar>
            <w:vAlign w:val="bottom"/>
          </w:tcPr>
          <w:p w14:paraId="392C2591" w14:textId="77777777" w:rsidR="00980E5F" w:rsidRDefault="00483613">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vAlign w:val="bottom"/>
          </w:tcPr>
          <w:p w14:paraId="392C25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598" w14:textId="77777777" w:rsidR="00980E5F" w:rsidRDefault="00980E5F">
            <w:pPr>
              <w:rPr>
                <w:rFonts w:ascii="宋体"/>
              </w:rPr>
            </w:pPr>
          </w:p>
        </w:tc>
      </w:tr>
      <w:tr w:rsidR="00980E5F" w14:paraId="392C25A6" w14:textId="77777777">
        <w:tc>
          <w:tcPr>
            <w:tcW w:w="0" w:type="auto"/>
            <w:gridSpan w:val="3"/>
            <w:shd w:val="clear" w:color="auto" w:fill="CCEEFF"/>
            <w:tcMar>
              <w:top w:w="40" w:type="dxa"/>
              <w:left w:w="155" w:type="dxa"/>
              <w:bottom w:w="40" w:type="dxa"/>
              <w:right w:w="20" w:type="dxa"/>
            </w:tcMar>
            <w:vAlign w:val="bottom"/>
          </w:tcPr>
          <w:p w14:paraId="392C259A" w14:textId="77777777" w:rsidR="00980E5F" w:rsidRDefault="00483613">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392C259B" w14:textId="77777777" w:rsidR="00980E5F" w:rsidRDefault="00483613">
            <w:pPr>
              <w:jc w:val="right"/>
              <w:textAlignment w:val="bottom"/>
            </w:pPr>
            <w:r>
              <w:rPr>
                <w:rFonts w:ascii="Arial" w:eastAsia="宋体" w:hAnsi="Arial" w:cs="Arial"/>
                <w:b/>
                <w:bCs/>
                <w:color w:val="000000"/>
                <w:sz w:val="14"/>
                <w:szCs w:val="14"/>
              </w:rPr>
              <w:t>(3,904)</w:t>
            </w:r>
          </w:p>
        </w:tc>
        <w:tc>
          <w:tcPr>
            <w:tcW w:w="0" w:type="auto"/>
            <w:shd w:val="clear" w:color="auto" w:fill="CCEEFF"/>
            <w:tcMar>
              <w:top w:w="40" w:type="dxa"/>
              <w:left w:w="0" w:type="dxa"/>
              <w:bottom w:w="40" w:type="dxa"/>
              <w:right w:w="20" w:type="dxa"/>
            </w:tcMar>
            <w:vAlign w:val="bottom"/>
          </w:tcPr>
          <w:p w14:paraId="392C25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9E" w14:textId="77777777" w:rsidR="00980E5F" w:rsidRDefault="00483613">
            <w:pPr>
              <w:jc w:val="right"/>
              <w:textAlignment w:val="bottom"/>
            </w:pPr>
            <w:r>
              <w:rPr>
                <w:rFonts w:ascii="Arial" w:eastAsia="宋体" w:hAnsi="Arial" w:cs="Arial"/>
                <w:b/>
                <w:bCs/>
                <w:color w:val="000000"/>
                <w:sz w:val="14"/>
                <w:szCs w:val="14"/>
              </w:rPr>
              <w:t>(2,796)</w:t>
            </w:r>
          </w:p>
        </w:tc>
        <w:tc>
          <w:tcPr>
            <w:tcW w:w="0" w:type="auto"/>
            <w:shd w:val="clear" w:color="auto" w:fill="CCEEFF"/>
            <w:tcMar>
              <w:top w:w="40" w:type="dxa"/>
              <w:left w:w="0" w:type="dxa"/>
              <w:bottom w:w="40" w:type="dxa"/>
              <w:right w:w="20" w:type="dxa"/>
            </w:tcMar>
            <w:vAlign w:val="bottom"/>
          </w:tcPr>
          <w:p w14:paraId="392C25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A1" w14:textId="77777777" w:rsidR="00980E5F" w:rsidRDefault="00483613">
            <w:pPr>
              <w:jc w:val="right"/>
              <w:textAlignment w:val="bottom"/>
            </w:pPr>
            <w:r>
              <w:rPr>
                <w:rFonts w:ascii="Arial" w:eastAsia="宋体" w:hAnsi="Arial" w:cs="Arial"/>
                <w:color w:val="000000"/>
                <w:sz w:val="14"/>
                <w:szCs w:val="14"/>
              </w:rPr>
              <w:t>(476)</w:t>
            </w:r>
          </w:p>
        </w:tc>
        <w:tc>
          <w:tcPr>
            <w:tcW w:w="0" w:type="auto"/>
            <w:shd w:val="clear" w:color="auto" w:fill="CCEEFF"/>
            <w:tcMar>
              <w:top w:w="40" w:type="dxa"/>
              <w:left w:w="0" w:type="dxa"/>
              <w:bottom w:w="40" w:type="dxa"/>
              <w:right w:w="20" w:type="dxa"/>
            </w:tcMar>
            <w:vAlign w:val="bottom"/>
          </w:tcPr>
          <w:p w14:paraId="392C25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A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A4" w14:textId="77777777" w:rsidR="00980E5F" w:rsidRDefault="00483613">
            <w:pPr>
              <w:jc w:val="right"/>
              <w:textAlignment w:val="bottom"/>
            </w:pPr>
            <w:r>
              <w:rPr>
                <w:rFonts w:ascii="Arial" w:eastAsia="宋体" w:hAnsi="Arial" w:cs="Arial"/>
                <w:color w:val="000000"/>
                <w:sz w:val="14"/>
                <w:szCs w:val="14"/>
              </w:rPr>
              <w:t>(707)</w:t>
            </w:r>
          </w:p>
        </w:tc>
        <w:tc>
          <w:tcPr>
            <w:tcW w:w="0" w:type="auto"/>
            <w:shd w:val="clear" w:color="auto" w:fill="CCEEFF"/>
            <w:tcMar>
              <w:top w:w="40" w:type="dxa"/>
              <w:left w:w="0" w:type="dxa"/>
              <w:bottom w:w="40" w:type="dxa"/>
              <w:right w:w="20" w:type="dxa"/>
            </w:tcMar>
            <w:vAlign w:val="bottom"/>
          </w:tcPr>
          <w:p w14:paraId="392C25A5" w14:textId="77777777" w:rsidR="00980E5F" w:rsidRDefault="00980E5F">
            <w:pPr>
              <w:jc w:val="right"/>
              <w:rPr>
                <w:rFonts w:ascii="宋体"/>
              </w:rPr>
            </w:pPr>
          </w:p>
        </w:tc>
      </w:tr>
      <w:tr w:rsidR="00980E5F" w14:paraId="392C25B3" w14:textId="77777777">
        <w:tc>
          <w:tcPr>
            <w:tcW w:w="0" w:type="auto"/>
            <w:gridSpan w:val="3"/>
            <w:shd w:val="clear" w:color="auto" w:fill="FFFFFF"/>
            <w:tcMar>
              <w:top w:w="40" w:type="dxa"/>
              <w:left w:w="155" w:type="dxa"/>
              <w:bottom w:w="40" w:type="dxa"/>
              <w:right w:w="20" w:type="dxa"/>
            </w:tcMar>
            <w:vAlign w:val="bottom"/>
          </w:tcPr>
          <w:p w14:paraId="392C25A7" w14:textId="77777777" w:rsidR="00980E5F" w:rsidRDefault="00483613">
            <w:pPr>
              <w:textAlignment w:val="bottom"/>
            </w:pPr>
            <w:r>
              <w:rPr>
                <w:rFonts w:ascii="Arial" w:eastAsia="宋体" w:hAnsi="Arial" w:cs="Arial"/>
                <w:color w:val="000000"/>
                <w:sz w:val="14"/>
                <w:szCs w:val="14"/>
              </w:rPr>
              <w:t>Net increase (decrease) in loans</w:t>
            </w:r>
          </w:p>
        </w:tc>
        <w:tc>
          <w:tcPr>
            <w:tcW w:w="0" w:type="auto"/>
            <w:gridSpan w:val="2"/>
            <w:shd w:val="clear" w:color="auto" w:fill="FFFFFF"/>
            <w:tcMar>
              <w:top w:w="40" w:type="dxa"/>
              <w:left w:w="20" w:type="dxa"/>
              <w:bottom w:w="40" w:type="dxa"/>
              <w:right w:w="0" w:type="dxa"/>
            </w:tcMar>
            <w:vAlign w:val="bottom"/>
          </w:tcPr>
          <w:p w14:paraId="392C25A8" w14:textId="77777777" w:rsidR="00980E5F" w:rsidRDefault="00483613">
            <w:pPr>
              <w:jc w:val="right"/>
              <w:textAlignment w:val="bottom"/>
            </w:pPr>
            <w:r>
              <w:rPr>
                <w:rFonts w:ascii="Arial" w:eastAsia="宋体" w:hAnsi="Arial" w:cs="Arial"/>
                <w:b/>
                <w:bCs/>
                <w:color w:val="000000"/>
                <w:sz w:val="14"/>
                <w:szCs w:val="14"/>
              </w:rPr>
              <w:t>(2,251)</w:t>
            </w:r>
          </w:p>
        </w:tc>
        <w:tc>
          <w:tcPr>
            <w:tcW w:w="0" w:type="auto"/>
            <w:shd w:val="clear" w:color="auto" w:fill="FFFFFF"/>
            <w:tcMar>
              <w:top w:w="40" w:type="dxa"/>
              <w:left w:w="0" w:type="dxa"/>
              <w:bottom w:w="40" w:type="dxa"/>
              <w:right w:w="20" w:type="dxa"/>
            </w:tcMar>
            <w:vAlign w:val="bottom"/>
          </w:tcPr>
          <w:p w14:paraId="392C25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AB" w14:textId="77777777" w:rsidR="00980E5F" w:rsidRDefault="00483613">
            <w:pPr>
              <w:jc w:val="right"/>
              <w:textAlignment w:val="bottom"/>
            </w:pPr>
            <w:r>
              <w:rPr>
                <w:rFonts w:ascii="Arial" w:eastAsia="宋体" w:hAnsi="Arial" w:cs="Arial"/>
                <w:b/>
                <w:bCs/>
                <w:color w:val="000000"/>
                <w:sz w:val="14"/>
                <w:szCs w:val="14"/>
              </w:rPr>
              <w:t>(2,292)</w:t>
            </w:r>
          </w:p>
        </w:tc>
        <w:tc>
          <w:tcPr>
            <w:tcW w:w="0" w:type="auto"/>
            <w:shd w:val="clear" w:color="auto" w:fill="FFFFFF"/>
            <w:tcMar>
              <w:top w:w="40" w:type="dxa"/>
              <w:left w:w="0" w:type="dxa"/>
              <w:bottom w:w="40" w:type="dxa"/>
              <w:right w:w="20" w:type="dxa"/>
            </w:tcMar>
            <w:vAlign w:val="bottom"/>
          </w:tcPr>
          <w:p w14:paraId="392C25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AE" w14:textId="77777777" w:rsidR="00980E5F" w:rsidRDefault="00483613">
            <w:pPr>
              <w:jc w:val="right"/>
              <w:textAlignment w:val="bottom"/>
            </w:pPr>
            <w:r>
              <w:rPr>
                <w:rFonts w:ascii="Arial" w:eastAsia="宋体" w:hAnsi="Arial" w:cs="Arial"/>
                <w:color w:val="000000"/>
                <w:sz w:val="14"/>
                <w:szCs w:val="14"/>
              </w:rPr>
              <w:t>2,017 </w:t>
            </w:r>
          </w:p>
        </w:tc>
        <w:tc>
          <w:tcPr>
            <w:tcW w:w="0" w:type="auto"/>
            <w:shd w:val="clear" w:color="auto" w:fill="FFFFFF"/>
            <w:tcMar>
              <w:top w:w="40" w:type="dxa"/>
              <w:left w:w="0" w:type="dxa"/>
              <w:bottom w:w="40" w:type="dxa"/>
              <w:right w:w="20" w:type="dxa"/>
            </w:tcMar>
            <w:vAlign w:val="bottom"/>
          </w:tcPr>
          <w:p w14:paraId="392C25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B1" w14:textId="77777777" w:rsidR="00980E5F" w:rsidRDefault="00483613">
            <w:pPr>
              <w:jc w:val="right"/>
              <w:textAlignment w:val="bottom"/>
            </w:pPr>
            <w:r>
              <w:rPr>
                <w:rFonts w:ascii="Arial" w:eastAsia="宋体" w:hAnsi="Arial" w:cs="Arial"/>
                <w:color w:val="000000"/>
                <w:sz w:val="14"/>
                <w:szCs w:val="14"/>
              </w:rPr>
              <w:t>946 </w:t>
            </w:r>
          </w:p>
        </w:tc>
        <w:tc>
          <w:tcPr>
            <w:tcW w:w="0" w:type="auto"/>
            <w:shd w:val="clear" w:color="auto" w:fill="FFFFFF"/>
            <w:tcMar>
              <w:top w:w="40" w:type="dxa"/>
              <w:left w:w="0" w:type="dxa"/>
              <w:bottom w:w="40" w:type="dxa"/>
              <w:right w:w="20" w:type="dxa"/>
            </w:tcMar>
            <w:vAlign w:val="bottom"/>
          </w:tcPr>
          <w:p w14:paraId="392C25B2" w14:textId="77777777" w:rsidR="00980E5F" w:rsidRDefault="00980E5F">
            <w:pPr>
              <w:jc w:val="right"/>
              <w:rPr>
                <w:rFonts w:ascii="宋体"/>
              </w:rPr>
            </w:pPr>
          </w:p>
        </w:tc>
      </w:tr>
      <w:tr w:rsidR="00980E5F" w14:paraId="392C25C0" w14:textId="77777777">
        <w:tc>
          <w:tcPr>
            <w:tcW w:w="0" w:type="auto"/>
            <w:gridSpan w:val="3"/>
            <w:shd w:val="clear" w:color="auto" w:fill="CCEEFF"/>
            <w:tcMar>
              <w:top w:w="40" w:type="dxa"/>
              <w:left w:w="155" w:type="dxa"/>
              <w:bottom w:w="40" w:type="dxa"/>
              <w:right w:w="20" w:type="dxa"/>
            </w:tcMar>
            <w:vAlign w:val="bottom"/>
          </w:tcPr>
          <w:p w14:paraId="392C25B4" w14:textId="77777777" w:rsidR="00980E5F" w:rsidRDefault="00483613">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392C25B5" w14:textId="77777777" w:rsidR="00980E5F" w:rsidRDefault="00483613">
            <w:pPr>
              <w:jc w:val="right"/>
              <w:textAlignment w:val="bottom"/>
            </w:pPr>
            <w:r>
              <w:rPr>
                <w:rFonts w:ascii="Arial" w:eastAsia="宋体" w:hAnsi="Arial" w:cs="Arial"/>
                <w:b/>
                <w:bCs/>
                <w:color w:val="000000"/>
                <w:sz w:val="14"/>
                <w:szCs w:val="14"/>
              </w:rPr>
              <w:t>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B8" w14:textId="77777777" w:rsidR="00980E5F" w:rsidRDefault="00483613">
            <w:pPr>
              <w:jc w:val="right"/>
              <w:textAlignment w:val="bottom"/>
            </w:pPr>
            <w:r>
              <w:rPr>
                <w:rFonts w:ascii="Arial" w:eastAsia="宋体" w:hAnsi="Arial" w:cs="Arial"/>
                <w:b/>
                <w:bCs/>
                <w:color w:val="000000"/>
                <w:sz w:val="14"/>
                <w:szCs w:val="14"/>
              </w:rPr>
              <w:t>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BB" w14:textId="77777777" w:rsidR="00980E5F" w:rsidRDefault="00483613">
            <w:pPr>
              <w:jc w:val="right"/>
              <w:textAlignment w:val="bottom"/>
            </w:pPr>
            <w:r>
              <w:rPr>
                <w:rFonts w:ascii="Arial" w:eastAsia="宋体" w:hAnsi="Arial" w:cs="Arial"/>
                <w:color w:val="000000"/>
                <w:sz w:val="14"/>
                <w:szCs w:val="14"/>
              </w:rPr>
              <w:t>(404)</w:t>
            </w:r>
          </w:p>
        </w:tc>
        <w:tc>
          <w:tcPr>
            <w:tcW w:w="0" w:type="auto"/>
            <w:shd w:val="clear" w:color="auto" w:fill="CCEEFF"/>
            <w:tcMar>
              <w:top w:w="40" w:type="dxa"/>
              <w:left w:w="0" w:type="dxa"/>
              <w:bottom w:w="40" w:type="dxa"/>
              <w:right w:w="20" w:type="dxa"/>
            </w:tcMar>
            <w:vAlign w:val="bottom"/>
          </w:tcPr>
          <w:p w14:paraId="392C25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BE" w14:textId="77777777" w:rsidR="00980E5F" w:rsidRDefault="00483613">
            <w:pPr>
              <w:jc w:val="right"/>
              <w:textAlignment w:val="bottom"/>
            </w:pPr>
            <w:r>
              <w:rPr>
                <w:rFonts w:ascii="Arial" w:eastAsia="宋体" w:hAnsi="Arial" w:cs="Arial"/>
                <w:color w:val="000000"/>
                <w:sz w:val="14"/>
                <w:szCs w:val="14"/>
              </w:rPr>
              <w:t>(489)</w:t>
            </w:r>
          </w:p>
        </w:tc>
        <w:tc>
          <w:tcPr>
            <w:tcW w:w="0" w:type="auto"/>
            <w:shd w:val="clear" w:color="auto" w:fill="CCEEFF"/>
            <w:tcMar>
              <w:top w:w="40" w:type="dxa"/>
              <w:left w:w="0" w:type="dxa"/>
              <w:bottom w:w="40" w:type="dxa"/>
              <w:right w:w="20" w:type="dxa"/>
            </w:tcMar>
            <w:vAlign w:val="bottom"/>
          </w:tcPr>
          <w:p w14:paraId="392C25BF" w14:textId="77777777" w:rsidR="00980E5F" w:rsidRDefault="00980E5F">
            <w:pPr>
              <w:jc w:val="right"/>
              <w:rPr>
                <w:rFonts w:ascii="宋体"/>
              </w:rPr>
            </w:pPr>
          </w:p>
        </w:tc>
      </w:tr>
      <w:tr w:rsidR="00980E5F" w14:paraId="392C25CD" w14:textId="77777777">
        <w:tc>
          <w:tcPr>
            <w:tcW w:w="0" w:type="auto"/>
            <w:gridSpan w:val="3"/>
            <w:shd w:val="clear" w:color="auto" w:fill="FFFFFF"/>
            <w:tcMar>
              <w:top w:w="40" w:type="dxa"/>
              <w:left w:w="155" w:type="dxa"/>
              <w:bottom w:w="40" w:type="dxa"/>
              <w:right w:w="20" w:type="dxa"/>
            </w:tcMar>
            <w:vAlign w:val="bottom"/>
          </w:tcPr>
          <w:p w14:paraId="392C25C1" w14:textId="77777777" w:rsidR="00980E5F" w:rsidRDefault="00483613">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392C25C2" w14:textId="77777777" w:rsidR="00980E5F" w:rsidRDefault="00483613">
            <w:pPr>
              <w:jc w:val="right"/>
              <w:textAlignment w:val="bottom"/>
            </w:pPr>
            <w:r>
              <w:rPr>
                <w:rFonts w:ascii="Arial" w:eastAsia="宋体" w:hAnsi="Arial" w:cs="Arial"/>
                <w:b/>
                <w:bCs/>
                <w:color w:val="000000"/>
                <w:sz w:val="14"/>
                <w:szCs w:val="14"/>
              </w:rPr>
              <w:t>(964)</w:t>
            </w:r>
          </w:p>
        </w:tc>
        <w:tc>
          <w:tcPr>
            <w:tcW w:w="0" w:type="auto"/>
            <w:shd w:val="clear" w:color="auto" w:fill="FFFFFF"/>
            <w:tcMar>
              <w:top w:w="40" w:type="dxa"/>
              <w:left w:w="0" w:type="dxa"/>
              <w:bottom w:w="40" w:type="dxa"/>
              <w:right w:w="20" w:type="dxa"/>
            </w:tcMar>
            <w:vAlign w:val="bottom"/>
          </w:tcPr>
          <w:p w14:paraId="392C25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C5" w14:textId="77777777" w:rsidR="00980E5F" w:rsidRDefault="00483613">
            <w:pPr>
              <w:jc w:val="right"/>
              <w:textAlignment w:val="bottom"/>
            </w:pPr>
            <w:r>
              <w:rPr>
                <w:rFonts w:ascii="Arial" w:eastAsia="宋体" w:hAnsi="Arial" w:cs="Arial"/>
                <w:b/>
                <w:bCs/>
                <w:color w:val="000000"/>
                <w:sz w:val="14"/>
                <w:szCs w:val="14"/>
              </w:rPr>
              <w:t>(6,773)</w:t>
            </w:r>
          </w:p>
        </w:tc>
        <w:tc>
          <w:tcPr>
            <w:tcW w:w="0" w:type="auto"/>
            <w:shd w:val="clear" w:color="auto" w:fill="FFFFFF"/>
            <w:tcMar>
              <w:top w:w="40" w:type="dxa"/>
              <w:left w:w="0" w:type="dxa"/>
              <w:bottom w:w="40" w:type="dxa"/>
              <w:right w:w="20" w:type="dxa"/>
            </w:tcMar>
            <w:vAlign w:val="bottom"/>
          </w:tcPr>
          <w:p w14:paraId="392C25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C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C8" w14:textId="77777777" w:rsidR="00980E5F" w:rsidRDefault="00483613">
            <w:pPr>
              <w:jc w:val="right"/>
              <w:textAlignment w:val="bottom"/>
            </w:pPr>
            <w:r>
              <w:rPr>
                <w:rFonts w:ascii="Arial" w:eastAsia="宋体" w:hAnsi="Arial" w:cs="Arial"/>
                <w:color w:val="000000"/>
                <w:sz w:val="14"/>
                <w:szCs w:val="14"/>
              </w:rPr>
              <w:t>(440)</w:t>
            </w:r>
          </w:p>
        </w:tc>
        <w:tc>
          <w:tcPr>
            <w:tcW w:w="0" w:type="auto"/>
            <w:shd w:val="clear" w:color="auto" w:fill="FFFFFF"/>
            <w:tcMar>
              <w:top w:w="40" w:type="dxa"/>
              <w:left w:w="0" w:type="dxa"/>
              <w:bottom w:w="40" w:type="dxa"/>
              <w:right w:w="20" w:type="dxa"/>
            </w:tcMar>
            <w:vAlign w:val="bottom"/>
          </w:tcPr>
          <w:p w14:paraId="392C25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CB" w14:textId="77777777" w:rsidR="00980E5F" w:rsidRDefault="00483613">
            <w:pPr>
              <w:jc w:val="right"/>
              <w:textAlignment w:val="bottom"/>
            </w:pPr>
            <w:r>
              <w:rPr>
                <w:rFonts w:ascii="Arial" w:eastAsia="宋体" w:hAnsi="Arial" w:cs="Arial"/>
                <w:color w:val="000000"/>
                <w:sz w:val="14"/>
                <w:szCs w:val="14"/>
              </w:rPr>
              <w:t>(1,658)</w:t>
            </w:r>
          </w:p>
        </w:tc>
        <w:tc>
          <w:tcPr>
            <w:tcW w:w="0" w:type="auto"/>
            <w:shd w:val="clear" w:color="auto" w:fill="FFFFFF"/>
            <w:tcMar>
              <w:top w:w="40" w:type="dxa"/>
              <w:left w:w="0" w:type="dxa"/>
              <w:bottom w:w="40" w:type="dxa"/>
              <w:right w:w="20" w:type="dxa"/>
            </w:tcMar>
            <w:vAlign w:val="bottom"/>
          </w:tcPr>
          <w:p w14:paraId="392C25CC" w14:textId="77777777" w:rsidR="00980E5F" w:rsidRDefault="00980E5F">
            <w:pPr>
              <w:jc w:val="right"/>
              <w:rPr>
                <w:rFonts w:ascii="宋体"/>
              </w:rPr>
            </w:pPr>
          </w:p>
        </w:tc>
      </w:tr>
      <w:tr w:rsidR="00980E5F" w14:paraId="392C25DA" w14:textId="77777777">
        <w:tc>
          <w:tcPr>
            <w:tcW w:w="0" w:type="auto"/>
            <w:gridSpan w:val="3"/>
            <w:shd w:val="clear" w:color="auto" w:fill="CCEEFF"/>
            <w:tcMar>
              <w:top w:w="40" w:type="dxa"/>
              <w:left w:w="20" w:type="dxa"/>
              <w:bottom w:w="40" w:type="dxa"/>
              <w:right w:w="20" w:type="dxa"/>
            </w:tcMar>
            <w:vAlign w:val="bottom"/>
          </w:tcPr>
          <w:p w14:paraId="392C25CE" w14:textId="77777777" w:rsidR="00980E5F" w:rsidRDefault="00483613">
            <w:pP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92C25CF" w14:textId="77777777" w:rsidR="00980E5F" w:rsidRDefault="00483613">
            <w:pPr>
              <w:jc w:val="right"/>
              <w:textAlignment w:val="bottom"/>
            </w:pPr>
            <w:r>
              <w:rPr>
                <w:rFonts w:ascii="Arial" w:eastAsia="宋体" w:hAnsi="Arial" w:cs="Arial"/>
                <w:b/>
                <w:bCs/>
                <w:color w:val="000000"/>
                <w:sz w:val="14"/>
                <w:szCs w:val="14"/>
              </w:rPr>
              <w:t>2,848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D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D2" w14:textId="77777777" w:rsidR="00980E5F" w:rsidRDefault="00483613">
            <w:pPr>
              <w:jc w:val="right"/>
              <w:textAlignment w:val="bottom"/>
            </w:pPr>
            <w:r>
              <w:rPr>
                <w:rFonts w:ascii="Arial" w:eastAsia="宋体" w:hAnsi="Arial" w:cs="Arial"/>
                <w:b/>
                <w:bCs/>
                <w:color w:val="000000"/>
                <w:sz w:val="14"/>
                <w:szCs w:val="14"/>
              </w:rPr>
              <w:t>11,658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5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D5" w14:textId="77777777" w:rsidR="00980E5F" w:rsidRDefault="00483613">
            <w:pPr>
              <w:jc w:val="right"/>
              <w:textAlignment w:val="bottom"/>
            </w:pPr>
            <w:r>
              <w:rPr>
                <w:rFonts w:ascii="Arial" w:eastAsia="宋体" w:hAnsi="Arial" w:cs="Arial"/>
                <w:color w:val="000000"/>
                <w:sz w:val="14"/>
                <w:szCs w:val="14"/>
              </w:rPr>
              <w:t>(1,353)</w:t>
            </w:r>
          </w:p>
        </w:tc>
        <w:tc>
          <w:tcPr>
            <w:tcW w:w="0" w:type="auto"/>
            <w:shd w:val="clear" w:color="auto" w:fill="CCEEFF"/>
            <w:tcMar>
              <w:top w:w="40" w:type="dxa"/>
              <w:left w:w="0" w:type="dxa"/>
              <w:bottom w:w="40" w:type="dxa"/>
              <w:right w:w="20" w:type="dxa"/>
            </w:tcMar>
            <w:vAlign w:val="bottom"/>
          </w:tcPr>
          <w:p w14:paraId="392C25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5D8" w14:textId="77777777" w:rsidR="00980E5F" w:rsidRDefault="00483613">
            <w:pPr>
              <w:jc w:val="right"/>
              <w:textAlignment w:val="bottom"/>
            </w:pPr>
            <w:r>
              <w:rPr>
                <w:rFonts w:ascii="Arial" w:eastAsia="宋体" w:hAnsi="Arial" w:cs="Arial"/>
                <w:color w:val="000000"/>
                <w:sz w:val="14"/>
                <w:szCs w:val="14"/>
              </w:rPr>
              <w:t>(863)</w:t>
            </w:r>
          </w:p>
        </w:tc>
        <w:tc>
          <w:tcPr>
            <w:tcW w:w="0" w:type="auto"/>
            <w:shd w:val="clear" w:color="auto" w:fill="CCEEFF"/>
            <w:tcMar>
              <w:top w:w="40" w:type="dxa"/>
              <w:left w:w="0" w:type="dxa"/>
              <w:bottom w:w="40" w:type="dxa"/>
              <w:right w:w="20" w:type="dxa"/>
            </w:tcMar>
            <w:vAlign w:val="bottom"/>
          </w:tcPr>
          <w:p w14:paraId="392C25D9" w14:textId="77777777" w:rsidR="00980E5F" w:rsidRDefault="00980E5F">
            <w:pPr>
              <w:jc w:val="right"/>
              <w:rPr>
                <w:rFonts w:ascii="宋体"/>
              </w:rPr>
            </w:pPr>
          </w:p>
        </w:tc>
      </w:tr>
      <w:tr w:rsidR="00980E5F" w14:paraId="392C25E7" w14:textId="77777777">
        <w:tc>
          <w:tcPr>
            <w:tcW w:w="0" w:type="auto"/>
            <w:gridSpan w:val="3"/>
            <w:shd w:val="clear" w:color="auto" w:fill="FFFFFF"/>
            <w:tcMar>
              <w:top w:w="40" w:type="dxa"/>
              <w:left w:w="20" w:type="dxa"/>
              <w:bottom w:w="40" w:type="dxa"/>
              <w:right w:w="20" w:type="dxa"/>
            </w:tcMar>
            <w:vAlign w:val="bottom"/>
          </w:tcPr>
          <w:p w14:paraId="392C25DB" w14:textId="77777777" w:rsidR="00980E5F" w:rsidRDefault="00483613">
            <w:pP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25DC" w14:textId="77777777" w:rsidR="00980E5F" w:rsidRDefault="00483613">
            <w:pPr>
              <w:jc w:val="right"/>
              <w:textAlignment w:val="bottom"/>
            </w:pPr>
            <w:r>
              <w:rPr>
                <w:rFonts w:ascii="Arial" w:eastAsia="宋体" w:hAnsi="Arial" w:cs="Arial"/>
                <w:b/>
                <w:bCs/>
                <w:color w:val="000000"/>
                <w:sz w:val="14"/>
                <w:szCs w:val="14"/>
              </w:rPr>
              <w:t>3,713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5D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D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DF" w14:textId="77777777" w:rsidR="00980E5F" w:rsidRDefault="00483613">
            <w:pPr>
              <w:jc w:val="right"/>
              <w:textAlignment w:val="bottom"/>
            </w:pPr>
            <w:r>
              <w:rPr>
                <w:rFonts w:ascii="Arial" w:eastAsia="宋体" w:hAnsi="Arial" w:cs="Arial"/>
                <w:b/>
                <w:bCs/>
                <w:color w:val="000000"/>
                <w:sz w:val="14"/>
                <w:szCs w:val="14"/>
              </w:rPr>
              <w:t>4,137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5E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E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E2" w14:textId="77777777" w:rsidR="00980E5F" w:rsidRDefault="00483613">
            <w:pPr>
              <w:jc w:val="right"/>
              <w:textAlignment w:val="bottom"/>
            </w:pPr>
            <w:r>
              <w:rPr>
                <w:rFonts w:ascii="Arial" w:eastAsia="宋体" w:hAnsi="Arial" w:cs="Arial"/>
                <w:color w:val="000000"/>
                <w:sz w:val="14"/>
                <w:szCs w:val="14"/>
              </w:rPr>
              <w:t>1,024 </w:t>
            </w:r>
          </w:p>
        </w:tc>
        <w:tc>
          <w:tcPr>
            <w:tcW w:w="0" w:type="auto"/>
            <w:shd w:val="clear" w:color="auto" w:fill="FFFFFF"/>
            <w:tcMar>
              <w:top w:w="40" w:type="dxa"/>
              <w:left w:w="0" w:type="dxa"/>
              <w:bottom w:w="40" w:type="dxa"/>
              <w:right w:w="20" w:type="dxa"/>
            </w:tcMar>
            <w:vAlign w:val="bottom"/>
          </w:tcPr>
          <w:p w14:paraId="392C25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E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E5" w14:textId="77777777" w:rsidR="00980E5F" w:rsidRDefault="00483613">
            <w:pPr>
              <w:jc w:val="right"/>
              <w:textAlignment w:val="bottom"/>
            </w:pPr>
            <w:r>
              <w:rPr>
                <w:rFonts w:ascii="Arial" w:eastAsia="宋体" w:hAnsi="Arial" w:cs="Arial"/>
                <w:color w:val="000000"/>
                <w:sz w:val="14"/>
                <w:szCs w:val="14"/>
              </w:rPr>
              <w:t>(2,567)</w:t>
            </w:r>
          </w:p>
        </w:tc>
        <w:tc>
          <w:tcPr>
            <w:tcW w:w="0" w:type="auto"/>
            <w:shd w:val="clear" w:color="auto" w:fill="FFFFFF"/>
            <w:tcMar>
              <w:top w:w="40" w:type="dxa"/>
              <w:left w:w="0" w:type="dxa"/>
              <w:bottom w:w="40" w:type="dxa"/>
              <w:right w:w="20" w:type="dxa"/>
            </w:tcMar>
            <w:vAlign w:val="bottom"/>
          </w:tcPr>
          <w:p w14:paraId="392C25E6" w14:textId="77777777" w:rsidR="00980E5F" w:rsidRDefault="00980E5F">
            <w:pPr>
              <w:jc w:val="right"/>
              <w:rPr>
                <w:rFonts w:ascii="宋体"/>
              </w:rPr>
            </w:pPr>
          </w:p>
        </w:tc>
      </w:tr>
      <w:tr w:rsidR="00980E5F" w14:paraId="392C25F4" w14:textId="77777777">
        <w:tc>
          <w:tcPr>
            <w:tcW w:w="0" w:type="auto"/>
            <w:gridSpan w:val="3"/>
            <w:shd w:val="clear" w:color="auto" w:fill="CCEEFF"/>
            <w:tcMar>
              <w:top w:w="40" w:type="dxa"/>
              <w:left w:w="20" w:type="dxa"/>
              <w:bottom w:w="40" w:type="dxa"/>
              <w:right w:w="20" w:type="dxa"/>
            </w:tcMar>
            <w:vAlign w:val="bottom"/>
          </w:tcPr>
          <w:p w14:paraId="392C25E8" w14:textId="77777777" w:rsidR="00980E5F" w:rsidRDefault="00483613">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5E9" w14:textId="77777777" w:rsidR="00980E5F" w:rsidRDefault="00483613">
            <w:pPr>
              <w:jc w:val="right"/>
              <w:textAlignment w:val="bottom"/>
            </w:pPr>
            <w:r>
              <w:rPr>
                <w:rFonts w:ascii="Arial" w:eastAsia="宋体" w:hAnsi="Arial" w:cs="Arial"/>
                <w:b/>
                <w:bCs/>
                <w:color w:val="000000"/>
                <w:sz w:val="14"/>
                <w:szCs w:val="14"/>
              </w:rPr>
              <w:t>(476)</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E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E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5EC" w14:textId="77777777" w:rsidR="00980E5F" w:rsidRDefault="00483613">
            <w:pPr>
              <w:jc w:val="right"/>
              <w:textAlignment w:val="bottom"/>
            </w:pPr>
            <w:r>
              <w:rPr>
                <w:rFonts w:ascii="Arial" w:eastAsia="宋体" w:hAnsi="Arial" w:cs="Arial"/>
                <w:b/>
                <w:bCs/>
                <w:color w:val="000000"/>
                <w:sz w:val="14"/>
                <w:szCs w:val="14"/>
              </w:rPr>
              <w:t>4,012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E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5EF" w14:textId="77777777" w:rsidR="00980E5F" w:rsidRDefault="00483613">
            <w:pPr>
              <w:jc w:val="right"/>
              <w:textAlignment w:val="bottom"/>
            </w:pPr>
            <w:r>
              <w:rPr>
                <w:rFonts w:ascii="Arial" w:eastAsia="宋体" w:hAnsi="Arial" w:cs="Arial"/>
                <w:color w:val="000000"/>
                <w:sz w:val="14"/>
                <w:szCs w:val="14"/>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5F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5F2" w14:textId="77777777" w:rsidR="00980E5F" w:rsidRDefault="00483613">
            <w:pPr>
              <w:jc w:val="right"/>
              <w:textAlignment w:val="bottom"/>
            </w:pPr>
            <w:r>
              <w:rPr>
                <w:rFonts w:ascii="Arial" w:eastAsia="宋体" w:hAnsi="Arial" w:cs="Arial"/>
                <w:color w:val="000000"/>
                <w:sz w:val="14"/>
                <w:szCs w:val="14"/>
              </w:rPr>
              <w:t>(5,338)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5F3" w14:textId="77777777" w:rsidR="00980E5F" w:rsidRDefault="00980E5F">
            <w:pPr>
              <w:jc w:val="right"/>
              <w:rPr>
                <w:rFonts w:ascii="宋体"/>
              </w:rPr>
            </w:pPr>
          </w:p>
        </w:tc>
      </w:tr>
      <w:tr w:rsidR="00980E5F" w14:paraId="392C2601" w14:textId="77777777">
        <w:tc>
          <w:tcPr>
            <w:tcW w:w="0" w:type="auto"/>
            <w:gridSpan w:val="3"/>
            <w:shd w:val="clear" w:color="auto" w:fill="FFFFFF"/>
            <w:tcMar>
              <w:top w:w="40" w:type="dxa"/>
              <w:left w:w="20" w:type="dxa"/>
              <w:bottom w:w="40" w:type="dxa"/>
              <w:right w:w="20" w:type="dxa"/>
            </w:tcMar>
            <w:vAlign w:val="bottom"/>
          </w:tcPr>
          <w:p w14:paraId="392C25F5" w14:textId="77777777" w:rsidR="00980E5F" w:rsidRDefault="00483613">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392C25F6" w14:textId="77777777" w:rsidR="00980E5F" w:rsidRDefault="00483613">
            <w:pPr>
              <w:jc w:val="right"/>
              <w:textAlignment w:val="bottom"/>
            </w:pPr>
            <w:r>
              <w:rPr>
                <w:rFonts w:ascii="Arial" w:eastAsia="宋体" w:hAnsi="Arial" w:cs="Arial"/>
                <w:b/>
                <w:bCs/>
                <w:color w:val="000000"/>
                <w:sz w:val="14"/>
                <w:szCs w:val="14"/>
              </w:rPr>
              <w:t>(275)</w:t>
            </w:r>
          </w:p>
        </w:tc>
        <w:tc>
          <w:tcPr>
            <w:tcW w:w="0" w:type="auto"/>
            <w:shd w:val="clear" w:color="auto" w:fill="FFFFFF"/>
            <w:tcMar>
              <w:top w:w="40" w:type="dxa"/>
              <w:left w:w="0" w:type="dxa"/>
              <w:bottom w:w="40" w:type="dxa"/>
              <w:right w:w="20" w:type="dxa"/>
            </w:tcMar>
            <w:vAlign w:val="bottom"/>
          </w:tcPr>
          <w:p w14:paraId="392C25F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F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F9" w14:textId="77777777" w:rsidR="00980E5F" w:rsidRDefault="00483613">
            <w:pPr>
              <w:jc w:val="right"/>
              <w:textAlignment w:val="bottom"/>
            </w:pPr>
            <w:r>
              <w:rPr>
                <w:rFonts w:ascii="Arial" w:eastAsia="宋体" w:hAnsi="Arial" w:cs="Arial"/>
                <w:b/>
                <w:bCs/>
                <w:color w:val="000000"/>
                <w:sz w:val="14"/>
                <w:szCs w:val="14"/>
              </w:rPr>
              <w:t>(275)</w:t>
            </w:r>
          </w:p>
        </w:tc>
        <w:tc>
          <w:tcPr>
            <w:tcW w:w="0" w:type="auto"/>
            <w:shd w:val="clear" w:color="auto" w:fill="FFFFFF"/>
            <w:tcMar>
              <w:top w:w="40" w:type="dxa"/>
              <w:left w:w="0" w:type="dxa"/>
              <w:bottom w:w="40" w:type="dxa"/>
              <w:right w:w="20" w:type="dxa"/>
            </w:tcMar>
            <w:vAlign w:val="bottom"/>
          </w:tcPr>
          <w:p w14:paraId="392C25F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F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FC" w14:textId="77777777" w:rsidR="00980E5F" w:rsidRDefault="00483613">
            <w:pPr>
              <w:jc w:val="right"/>
              <w:textAlignment w:val="bottom"/>
            </w:pPr>
            <w:r>
              <w:rPr>
                <w:rFonts w:ascii="Arial" w:eastAsia="宋体" w:hAnsi="Arial" w:cs="Arial"/>
                <w:color w:val="000000"/>
                <w:sz w:val="14"/>
                <w:szCs w:val="14"/>
              </w:rPr>
              <w:t>(75)</w:t>
            </w:r>
          </w:p>
        </w:tc>
        <w:tc>
          <w:tcPr>
            <w:tcW w:w="0" w:type="auto"/>
            <w:shd w:val="clear" w:color="auto" w:fill="FFFFFF"/>
            <w:tcMar>
              <w:top w:w="40" w:type="dxa"/>
              <w:left w:w="0" w:type="dxa"/>
              <w:bottom w:w="40" w:type="dxa"/>
              <w:right w:w="20" w:type="dxa"/>
            </w:tcMar>
            <w:vAlign w:val="bottom"/>
          </w:tcPr>
          <w:p w14:paraId="392C25F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5F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5FF" w14:textId="77777777" w:rsidR="00980E5F" w:rsidRDefault="00483613">
            <w:pPr>
              <w:jc w:val="right"/>
              <w:textAlignment w:val="bottom"/>
            </w:pPr>
            <w:r>
              <w:rPr>
                <w:rFonts w:ascii="Arial" w:eastAsia="宋体" w:hAnsi="Arial" w:cs="Arial"/>
                <w:color w:val="000000"/>
                <w:sz w:val="14"/>
                <w:szCs w:val="14"/>
              </w:rPr>
              <w:t>(75)</w:t>
            </w:r>
          </w:p>
        </w:tc>
        <w:tc>
          <w:tcPr>
            <w:tcW w:w="0" w:type="auto"/>
            <w:shd w:val="clear" w:color="auto" w:fill="FFFFFF"/>
            <w:tcMar>
              <w:top w:w="40" w:type="dxa"/>
              <w:left w:w="0" w:type="dxa"/>
              <w:bottom w:w="40" w:type="dxa"/>
              <w:right w:w="20" w:type="dxa"/>
            </w:tcMar>
            <w:vAlign w:val="bottom"/>
          </w:tcPr>
          <w:p w14:paraId="392C2600" w14:textId="77777777" w:rsidR="00980E5F" w:rsidRDefault="00980E5F">
            <w:pPr>
              <w:jc w:val="right"/>
              <w:rPr>
                <w:rFonts w:ascii="宋体"/>
              </w:rPr>
            </w:pPr>
          </w:p>
        </w:tc>
      </w:tr>
      <w:tr w:rsidR="00980E5F" w14:paraId="392C260C" w14:textId="77777777">
        <w:tc>
          <w:tcPr>
            <w:tcW w:w="0" w:type="auto"/>
            <w:gridSpan w:val="3"/>
            <w:shd w:val="clear" w:color="auto" w:fill="CCEEFF"/>
            <w:tcMar>
              <w:top w:w="40" w:type="dxa"/>
              <w:left w:w="20" w:type="dxa"/>
              <w:bottom w:w="40" w:type="dxa"/>
              <w:right w:w="20" w:type="dxa"/>
            </w:tcMar>
            <w:vAlign w:val="bottom"/>
          </w:tcPr>
          <w:p w14:paraId="392C2602" w14:textId="77777777" w:rsidR="00980E5F" w:rsidRDefault="00483613">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392C2603" w14:textId="77777777" w:rsidR="00980E5F" w:rsidRDefault="00483613">
            <w:pPr>
              <w:jc w:val="right"/>
              <w:textAlignment w:val="bottom"/>
            </w:pPr>
            <w:r>
              <w:rPr>
                <w:rFonts w:ascii="Arial" w:eastAsia="宋体" w:hAnsi="Arial" w:cs="Arial"/>
                <w:b/>
                <w:bCs/>
                <w:color w:val="000000"/>
                <w:sz w:val="14"/>
                <w:szCs w:val="14"/>
              </w:rPr>
              <w:t>(200)</w:t>
            </w:r>
          </w:p>
        </w:tc>
        <w:tc>
          <w:tcPr>
            <w:tcW w:w="0" w:type="auto"/>
            <w:shd w:val="clear" w:color="auto" w:fill="CCEEFF"/>
            <w:tcMar>
              <w:top w:w="40" w:type="dxa"/>
              <w:left w:w="0" w:type="dxa"/>
              <w:bottom w:w="40" w:type="dxa"/>
              <w:right w:w="20" w:type="dxa"/>
            </w:tcMar>
            <w:vAlign w:val="bottom"/>
          </w:tcPr>
          <w:p w14:paraId="392C26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05"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2606" w14:textId="77777777" w:rsidR="00980E5F" w:rsidRDefault="00483613">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vAlign w:val="bottom"/>
          </w:tcPr>
          <w:p w14:paraId="392C26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08" w14:textId="77777777" w:rsidR="00980E5F" w:rsidRDefault="00483613">
            <w:pPr>
              <w:jc w:val="right"/>
              <w:textAlignment w:val="bottom"/>
            </w:pPr>
            <w:r>
              <w:rPr>
                <w:rFonts w:ascii="Arial" w:eastAsia="宋体" w:hAnsi="Arial" w:cs="Arial"/>
                <w:color w:val="000000"/>
                <w:sz w:val="14"/>
                <w:szCs w:val="14"/>
              </w:rPr>
              <w:t>1,400 </w:t>
            </w:r>
          </w:p>
        </w:tc>
        <w:tc>
          <w:tcPr>
            <w:tcW w:w="0" w:type="auto"/>
            <w:shd w:val="clear" w:color="auto" w:fill="CCEEFF"/>
            <w:tcMar>
              <w:top w:w="40" w:type="dxa"/>
              <w:left w:w="0" w:type="dxa"/>
              <w:bottom w:w="40" w:type="dxa"/>
              <w:right w:w="20" w:type="dxa"/>
            </w:tcMar>
            <w:vAlign w:val="bottom"/>
          </w:tcPr>
          <w:p w14:paraId="392C26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0A"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260B" w14:textId="77777777" w:rsidR="00980E5F" w:rsidRDefault="00483613">
            <w:pPr>
              <w:jc w:val="right"/>
              <w:textAlignment w:val="bottom"/>
            </w:pPr>
            <w:r>
              <w:rPr>
                <w:rFonts w:ascii="Arial" w:eastAsia="宋体" w:hAnsi="Arial" w:cs="Arial"/>
                <w:color w:val="000000"/>
                <w:sz w:val="14"/>
                <w:szCs w:val="14"/>
              </w:rPr>
              <w:t>N/A</w:t>
            </w:r>
          </w:p>
        </w:tc>
      </w:tr>
      <w:tr w:rsidR="00980E5F" w14:paraId="392C261D" w14:textId="77777777">
        <w:tc>
          <w:tcPr>
            <w:tcW w:w="0" w:type="auto"/>
            <w:gridSpan w:val="3"/>
            <w:shd w:val="clear" w:color="auto" w:fill="FFFFFF"/>
            <w:tcMar>
              <w:top w:w="40" w:type="dxa"/>
              <w:left w:w="20" w:type="dxa"/>
              <w:bottom w:w="40" w:type="dxa"/>
              <w:right w:w="20" w:type="dxa"/>
            </w:tcMar>
            <w:vAlign w:val="bottom"/>
          </w:tcPr>
          <w:p w14:paraId="392C260D" w14:textId="77777777" w:rsidR="00980E5F" w:rsidRDefault="00483613">
            <w:pPr>
              <w:textAlignment w:val="bottom"/>
            </w:pPr>
            <w:r>
              <w:rPr>
                <w:rFonts w:ascii="Arial" w:eastAsia="宋体" w:hAnsi="Arial" w:cs="Arial"/>
                <w:color w:val="000000"/>
                <w:sz w:val="14"/>
                <w:szCs w:val="14"/>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60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60F" w14:textId="77777777" w:rsidR="00980E5F" w:rsidRDefault="00483613">
            <w:pPr>
              <w:jc w:val="right"/>
              <w:textAlignment w:val="bottom"/>
            </w:pPr>
            <w:r>
              <w:rPr>
                <w:rFonts w:ascii="Arial" w:eastAsia="宋体" w:hAnsi="Arial" w:cs="Arial"/>
                <w:b/>
                <w:bCs/>
                <w:color w:val="000000"/>
                <w:sz w:val="14"/>
                <w:szCs w:val="14"/>
              </w:rPr>
              <w:t>110,447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6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11"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61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613" w14:textId="77777777" w:rsidR="00980E5F" w:rsidRDefault="00483613">
            <w:pPr>
              <w:jc w:val="right"/>
              <w:textAlignment w:val="bottom"/>
            </w:pPr>
            <w:r>
              <w:rPr>
                <w:rFonts w:ascii="Arial" w:eastAsia="宋体" w:hAnsi="Arial" w:cs="Arial"/>
                <w:b/>
                <w:bCs/>
                <w:color w:val="000000"/>
                <w:sz w:val="14"/>
                <w:szCs w:val="14"/>
              </w:rPr>
              <w:t>115,404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6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1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61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617" w14:textId="77777777" w:rsidR="00980E5F" w:rsidRDefault="00483613">
            <w:pPr>
              <w:jc w:val="right"/>
              <w:textAlignment w:val="bottom"/>
            </w:pPr>
            <w:r>
              <w:rPr>
                <w:rFonts w:ascii="Arial" w:eastAsia="宋体" w:hAnsi="Arial" w:cs="Arial"/>
                <w:color w:val="000000"/>
                <w:sz w:val="14"/>
                <w:szCs w:val="14"/>
              </w:rPr>
              <w:t>111,398 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6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1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261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261B" w14:textId="77777777" w:rsidR="00980E5F" w:rsidRDefault="00483613">
            <w:pPr>
              <w:jc w:val="right"/>
              <w:textAlignment w:val="bottom"/>
            </w:pPr>
            <w:r>
              <w:rPr>
                <w:rFonts w:ascii="Arial" w:eastAsia="宋体" w:hAnsi="Arial" w:cs="Arial"/>
                <w:color w:val="000000"/>
                <w:sz w:val="14"/>
                <w:szCs w:val="14"/>
              </w:rPr>
              <w:t>111,667 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261C" w14:textId="77777777" w:rsidR="00980E5F" w:rsidRDefault="00980E5F">
            <w:pPr>
              <w:jc w:val="right"/>
              <w:rPr>
                <w:rFonts w:ascii="宋体"/>
              </w:rPr>
            </w:pPr>
          </w:p>
        </w:tc>
      </w:tr>
    </w:tbl>
    <w:p w14:paraId="392C261E"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980E5F" w14:paraId="392C2628" w14:textId="77777777">
        <w:tc>
          <w:tcPr>
            <w:tcW w:w="50" w:type="pct"/>
            <w:shd w:val="clear" w:color="auto" w:fill="auto"/>
            <w:vAlign w:val="bottom"/>
          </w:tcPr>
          <w:p w14:paraId="392C261F" w14:textId="77777777" w:rsidR="00980E5F" w:rsidRDefault="00980E5F">
            <w:pPr>
              <w:rPr>
                <w:rFonts w:ascii="宋体"/>
              </w:rPr>
            </w:pPr>
          </w:p>
        </w:tc>
        <w:tc>
          <w:tcPr>
            <w:tcW w:w="1348" w:type="pct"/>
            <w:shd w:val="clear" w:color="auto" w:fill="auto"/>
            <w:vAlign w:val="bottom"/>
          </w:tcPr>
          <w:p w14:paraId="392C2620" w14:textId="77777777" w:rsidR="00980E5F" w:rsidRDefault="00980E5F">
            <w:pPr>
              <w:rPr>
                <w:rFonts w:ascii="宋体"/>
              </w:rPr>
            </w:pPr>
          </w:p>
        </w:tc>
        <w:tc>
          <w:tcPr>
            <w:tcW w:w="5" w:type="pct"/>
            <w:shd w:val="clear" w:color="auto" w:fill="auto"/>
            <w:vAlign w:val="bottom"/>
          </w:tcPr>
          <w:p w14:paraId="392C2621" w14:textId="77777777" w:rsidR="00980E5F" w:rsidRDefault="00980E5F">
            <w:pPr>
              <w:rPr>
                <w:rFonts w:ascii="宋体"/>
              </w:rPr>
            </w:pPr>
          </w:p>
        </w:tc>
        <w:tc>
          <w:tcPr>
            <w:tcW w:w="50" w:type="pct"/>
            <w:shd w:val="clear" w:color="auto" w:fill="auto"/>
            <w:vAlign w:val="bottom"/>
          </w:tcPr>
          <w:p w14:paraId="392C2622" w14:textId="77777777" w:rsidR="00980E5F" w:rsidRDefault="00980E5F">
            <w:pPr>
              <w:rPr>
                <w:rFonts w:ascii="宋体"/>
              </w:rPr>
            </w:pPr>
          </w:p>
        </w:tc>
        <w:tc>
          <w:tcPr>
            <w:tcW w:w="2781" w:type="pct"/>
            <w:shd w:val="clear" w:color="auto" w:fill="auto"/>
            <w:vAlign w:val="bottom"/>
          </w:tcPr>
          <w:p w14:paraId="392C2623" w14:textId="77777777" w:rsidR="00980E5F" w:rsidRDefault="00980E5F">
            <w:pPr>
              <w:rPr>
                <w:rFonts w:ascii="宋体"/>
              </w:rPr>
            </w:pPr>
          </w:p>
        </w:tc>
        <w:tc>
          <w:tcPr>
            <w:tcW w:w="5" w:type="pct"/>
            <w:shd w:val="clear" w:color="auto" w:fill="auto"/>
            <w:vAlign w:val="bottom"/>
          </w:tcPr>
          <w:p w14:paraId="392C2624" w14:textId="77777777" w:rsidR="00980E5F" w:rsidRDefault="00980E5F">
            <w:pPr>
              <w:rPr>
                <w:rFonts w:ascii="宋体"/>
              </w:rPr>
            </w:pPr>
          </w:p>
        </w:tc>
        <w:tc>
          <w:tcPr>
            <w:tcW w:w="50" w:type="pct"/>
            <w:shd w:val="clear" w:color="auto" w:fill="auto"/>
            <w:vAlign w:val="bottom"/>
          </w:tcPr>
          <w:p w14:paraId="392C2625" w14:textId="77777777" w:rsidR="00980E5F" w:rsidRDefault="00980E5F">
            <w:pPr>
              <w:rPr>
                <w:rFonts w:ascii="宋体"/>
              </w:rPr>
            </w:pPr>
          </w:p>
        </w:tc>
        <w:tc>
          <w:tcPr>
            <w:tcW w:w="705" w:type="pct"/>
            <w:shd w:val="clear" w:color="auto" w:fill="auto"/>
            <w:vAlign w:val="bottom"/>
          </w:tcPr>
          <w:p w14:paraId="392C2626" w14:textId="77777777" w:rsidR="00980E5F" w:rsidRDefault="00980E5F">
            <w:pPr>
              <w:rPr>
                <w:rFonts w:ascii="宋体"/>
              </w:rPr>
            </w:pPr>
          </w:p>
        </w:tc>
        <w:tc>
          <w:tcPr>
            <w:tcW w:w="5" w:type="pct"/>
            <w:shd w:val="clear" w:color="auto" w:fill="auto"/>
            <w:vAlign w:val="bottom"/>
          </w:tcPr>
          <w:p w14:paraId="392C2627" w14:textId="77777777" w:rsidR="00980E5F" w:rsidRDefault="00980E5F">
            <w:pPr>
              <w:rPr>
                <w:rFonts w:ascii="宋体"/>
              </w:rPr>
            </w:pPr>
          </w:p>
        </w:tc>
      </w:tr>
      <w:tr w:rsidR="00980E5F" w14:paraId="392C262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26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2B" w14:textId="77777777" w:rsidR="00980E5F" w:rsidRDefault="00980E5F">
            <w:pPr>
              <w:rPr>
                <w:rFonts w:ascii="宋体"/>
              </w:rPr>
            </w:pPr>
          </w:p>
        </w:tc>
      </w:tr>
    </w:tbl>
    <w:p w14:paraId="392C262D" w14:textId="77777777" w:rsidR="00980E5F" w:rsidRDefault="00483613">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392C262E" w14:textId="77777777" w:rsidR="00980E5F" w:rsidRDefault="00483613">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392C262F" w14:textId="77777777" w:rsidR="00980E5F" w:rsidRDefault="00483613">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392C2630" w14:textId="77777777" w:rsidR="00980E5F" w:rsidRDefault="00483613">
      <w:pPr>
        <w:spacing w:before="60"/>
        <w:ind w:firstLine="450"/>
        <w:jc w:val="both"/>
      </w:pPr>
      <w:r>
        <w:rPr>
          <w:rFonts w:ascii="Arial" w:eastAsia="宋体" w:hAnsi="Arial" w:cs="Arial"/>
          <w:color w:val="000000"/>
          <w:sz w:val="20"/>
          <w:szCs w:val="20"/>
        </w:rPr>
        <w:t xml:space="preserve">As of June 30, 2022, total advanced approaches RWA decreased </w:t>
      </w:r>
      <w:r>
        <w:rPr>
          <w:rFonts w:ascii="Arial" w:eastAsia="宋体" w:hAnsi="Arial" w:cs="Arial"/>
          <w:color w:val="000000"/>
          <w:sz w:val="20"/>
          <w:szCs w:val="20"/>
        </w:rPr>
        <w:t>$0.95 billion compared to December 31, 2021, mainly driven by a decrease in credit risk RWA. The decrease in credit risk RWA was primarily driven by a net decrease in wholesale investment securities and loans RWA, partially offset by an increase in all oth</w:t>
      </w:r>
      <w:r>
        <w:rPr>
          <w:rFonts w:ascii="Arial" w:eastAsia="宋体" w:hAnsi="Arial" w:cs="Arial"/>
          <w:color w:val="000000"/>
          <w:sz w:val="20"/>
          <w:szCs w:val="20"/>
        </w:rPr>
        <w:t>er and OTC derivatives RWA.</w:t>
      </w:r>
    </w:p>
    <w:p w14:paraId="392C2631" w14:textId="77777777" w:rsidR="00980E5F" w:rsidRDefault="00483613">
      <w:pPr>
        <w:spacing w:before="60"/>
        <w:ind w:firstLine="450"/>
        <w:jc w:val="both"/>
      </w:pPr>
      <w:r>
        <w:rPr>
          <w:rFonts w:ascii="Arial" w:eastAsia="宋体" w:hAnsi="Arial" w:cs="Arial"/>
          <w:color w:val="000000"/>
          <w:sz w:val="20"/>
          <w:szCs w:val="20"/>
        </w:rPr>
        <w:t>As of June 30, 2022, total standardized approach RWA increased $3.74 billion compared to December 31, 2021, mainly driven by an increase in credit risk RWA. The increase in credit risk RWA was primarily driven by the implementat</w:t>
      </w:r>
      <w:r>
        <w:rPr>
          <w:rFonts w:ascii="Arial" w:eastAsia="宋体" w:hAnsi="Arial" w:cs="Arial"/>
          <w:color w:val="000000"/>
          <w:sz w:val="20"/>
          <w:szCs w:val="20"/>
        </w:rPr>
        <w:t>ion of SA-CCR, as expected, which was partially offset by lower repo-style transactions RWA.</w:t>
      </w:r>
    </w:p>
    <w:p w14:paraId="392C2632" w14:textId="77777777" w:rsidR="00980E5F" w:rsidRDefault="00483613">
      <w:pPr>
        <w:spacing w:before="60"/>
        <w:ind w:firstLine="450"/>
        <w:jc w:val="both"/>
      </w:pPr>
      <w:r>
        <w:rPr>
          <w:rFonts w:ascii="Arial" w:eastAsia="宋体" w:hAnsi="Arial" w:cs="Arial"/>
          <w:color w:val="000000"/>
          <w:sz w:val="20"/>
          <w:szCs w:val="20"/>
        </w:rPr>
        <w:t xml:space="preserve">The regulatory capital ratios as of June 30, 2022, presented in Table 34: Regulatory Capital Structure and Related Regulatory Capital Ratios, are calculated under </w:t>
      </w:r>
      <w:r>
        <w:rPr>
          <w:rFonts w:ascii="Arial" w:eastAsia="宋体" w:hAnsi="Arial" w:cs="Arial"/>
          <w:color w:val="000000"/>
          <w:sz w:val="20"/>
          <w:szCs w:val="20"/>
        </w:rPr>
        <w:t>the advanced approaches and standardized approach in conformity with the Basel III final rule. The advanced approaches-based ratios reflect calculations and determinations with respect to our capital and related matters as of June 30, 2022, based on our an</w:t>
      </w:r>
      <w:r>
        <w:rPr>
          <w:rFonts w:ascii="Arial" w:eastAsia="宋体" w:hAnsi="Arial" w:cs="Arial"/>
          <w:color w:val="000000"/>
          <w:sz w:val="20"/>
          <w:szCs w:val="20"/>
        </w:rPr>
        <w:t>d external data, quantitative formulae, statistical models, historical correlations and assumptions, collectively referred to as “advanced systems,” in effect and used by us for those purposes as of the time we first reported such ratios in a quarterly rep</w:t>
      </w:r>
      <w:r>
        <w:rPr>
          <w:rFonts w:ascii="Arial" w:eastAsia="宋体" w:hAnsi="Arial" w:cs="Arial"/>
          <w:color w:val="000000"/>
          <w:sz w:val="20"/>
          <w:szCs w:val="20"/>
        </w:rPr>
        <w:t xml:space="preserve">ort on Form 10-Q or an annual report on Form 10-K. Significant components of these advanced systems involve the exercise of judgment by us and our regulators, and our advanced systems may not, individually or collectively, precisely represent or calculate </w:t>
      </w:r>
      <w:r>
        <w:rPr>
          <w:rFonts w:ascii="Arial" w:eastAsia="宋体" w:hAnsi="Arial" w:cs="Arial"/>
          <w:color w:val="000000"/>
          <w:sz w:val="20"/>
          <w:szCs w:val="20"/>
        </w:rPr>
        <w:t>the scenarios, circumstances, outputs or other results for which they are designed or intended.</w:t>
      </w:r>
    </w:p>
    <w:p w14:paraId="392C2633" w14:textId="77777777" w:rsidR="00980E5F" w:rsidRDefault="00483613">
      <w:pPr>
        <w:spacing w:before="60"/>
        <w:ind w:firstLine="450"/>
        <w:jc w:val="both"/>
      </w:pPr>
      <w:r>
        <w:rPr>
          <w:rFonts w:ascii="Arial" w:eastAsia="宋体" w:hAnsi="Arial" w:cs="Arial"/>
          <w:color w:val="000000"/>
          <w:sz w:val="20"/>
          <w:szCs w:val="20"/>
        </w:rPr>
        <w:t>Our advanced systems are subject to update and periodic revalidation in response to changes in our business activities and our historical experiences, forces an</w:t>
      </w:r>
      <w:r>
        <w:rPr>
          <w:rFonts w:ascii="Arial" w:eastAsia="宋体" w:hAnsi="Arial" w:cs="Arial"/>
          <w:color w:val="000000"/>
          <w:sz w:val="20"/>
          <w:szCs w:val="20"/>
        </w:rPr>
        <w:t>d events experienced by the market broadly or by individual financial institutions, changes in regulations and regulatory interpretations and other factors, and are also subject to continuing regulatory review and approval. For example, a significant opera</w:t>
      </w:r>
      <w:r>
        <w:rPr>
          <w:rFonts w:ascii="Arial" w:eastAsia="宋体" w:hAnsi="Arial" w:cs="Arial"/>
          <w:color w:val="000000"/>
          <w:sz w:val="20"/>
          <w:szCs w:val="20"/>
        </w:rPr>
        <w:t xml:space="preserve">tional loss experienced by another financial institution, even if we do not experience a related loss, could result in a material change in the output of our advanced systems and a corresponding material change in our risk exposures, our total RWA and our </w:t>
      </w:r>
      <w:r>
        <w:rPr>
          <w:rFonts w:ascii="Arial" w:eastAsia="宋体" w:hAnsi="Arial" w:cs="Arial"/>
          <w:color w:val="000000"/>
          <w:sz w:val="20"/>
          <w:szCs w:val="20"/>
        </w:rPr>
        <w:t>capital ratios compared to prior periods. An operational loss that we experience could also result in a material change in our capital requirements for operational risk under the advanced approaches, depending on the severity of the loss event, its charact</w:t>
      </w:r>
      <w:r>
        <w:rPr>
          <w:rFonts w:ascii="Arial" w:eastAsia="宋体" w:hAnsi="Arial" w:cs="Arial"/>
          <w:color w:val="000000"/>
          <w:sz w:val="20"/>
          <w:szCs w:val="20"/>
        </w:rPr>
        <w:t>erization among the seven Basel-defined UOM, and the stability of the distributional approach for a particular UOM, and without direct correlation to the effects of the loss event, or the timing of such effects, on our results of operations.</w:t>
      </w:r>
    </w:p>
    <w:p w14:paraId="392C2634" w14:textId="77777777" w:rsidR="00980E5F" w:rsidRDefault="00483613">
      <w:pPr>
        <w:spacing w:before="60"/>
        <w:ind w:firstLine="450"/>
        <w:jc w:val="both"/>
      </w:pPr>
      <w:r>
        <w:rPr>
          <w:rFonts w:ascii="Arial" w:eastAsia="宋体" w:hAnsi="Arial" w:cs="Arial"/>
          <w:color w:val="000000"/>
          <w:sz w:val="20"/>
          <w:szCs w:val="20"/>
        </w:rPr>
        <w:t>Due to the inf</w:t>
      </w:r>
      <w:r>
        <w:rPr>
          <w:rFonts w:ascii="Arial" w:eastAsia="宋体" w:hAnsi="Arial" w:cs="Arial"/>
          <w:color w:val="000000"/>
          <w:sz w:val="20"/>
          <w:szCs w:val="20"/>
        </w:rPr>
        <w:t xml:space="preserve">luence of changes in these advanced systems, whether resulting from changes in data inputs, regulation or regulatory supervision or interpretation, specific to us or market activities or experiences or other updates or factors, we expect that our advanced </w:t>
      </w:r>
      <w:r>
        <w:rPr>
          <w:rFonts w:ascii="Arial" w:eastAsia="宋体" w:hAnsi="Arial" w:cs="Arial"/>
          <w:color w:val="000000"/>
          <w:sz w:val="20"/>
          <w:szCs w:val="20"/>
        </w:rPr>
        <w:t>systems and our capital ratios calculated in conformity with the Basel III final rule will change and may be volatile over time, and that those latter changes or volatility could be material as calculated and measured from period to period. The full effect</w:t>
      </w:r>
      <w:r>
        <w:rPr>
          <w:rFonts w:ascii="Arial" w:eastAsia="宋体" w:hAnsi="Arial" w:cs="Arial"/>
          <w:color w:val="000000"/>
          <w:sz w:val="20"/>
          <w:szCs w:val="20"/>
        </w:rPr>
        <w:t>s of the Basel III final rule on us and State Street Bank are therefore subject to further evaluation and also to further regulatory guidance, action or rule-making.</w:t>
      </w:r>
    </w:p>
    <w:p w14:paraId="392C2635" w14:textId="77777777" w:rsidR="00980E5F" w:rsidRDefault="00483613">
      <w:pPr>
        <w:ind w:firstLine="450"/>
        <w:jc w:val="right"/>
      </w:pPr>
      <w:r>
        <w:rPr>
          <w:rFonts w:ascii="Arial" w:eastAsia="宋体" w:hAnsi="Arial" w:cs="Arial"/>
          <w:color w:val="000000"/>
          <w:sz w:val="18"/>
          <w:szCs w:val="18"/>
        </w:rPr>
        <w:t>State Street Corporation | 47</w:t>
      </w:r>
    </w:p>
    <w:p w14:paraId="392C2636" w14:textId="77777777" w:rsidR="00980E5F" w:rsidRDefault="00980E5F">
      <w:pPr>
        <w:ind w:firstLine="450"/>
        <w:jc w:val="center"/>
      </w:pPr>
    </w:p>
    <w:p w14:paraId="392C2637" w14:textId="77777777" w:rsidR="00980E5F" w:rsidRDefault="00483613">
      <w:r>
        <w:pict w14:anchorId="392CBAFD">
          <v:rect id="_x0000_i1071" style="width:415.3pt;height:1.5pt" o:hralign="center" o:hrstd="t" o:hr="t" fillcolor="#a0a0a0" stroked="f"/>
        </w:pict>
      </w:r>
    </w:p>
    <w:p w14:paraId="392C2638" w14:textId="77777777" w:rsidR="00980E5F" w:rsidRDefault="00483613">
      <w:pPr>
        <w:ind w:firstLine="450"/>
        <w:jc w:val="center"/>
      </w:pPr>
      <w:r>
        <w:rPr>
          <w:rFonts w:ascii="Arial" w:eastAsia="宋体" w:hAnsi="Arial" w:cs="Arial"/>
          <w:b/>
          <w:bCs/>
          <w:color w:val="000000"/>
          <w:sz w:val="20"/>
          <w:szCs w:val="20"/>
        </w:rPr>
        <w:t>MANAGEMENT’S DISCUSSION AND ANALYSIS OF FINANCIAL CONDITI</w:t>
      </w:r>
      <w:r>
        <w:rPr>
          <w:rFonts w:ascii="Arial" w:eastAsia="宋体" w:hAnsi="Arial" w:cs="Arial"/>
          <w:b/>
          <w:bCs/>
          <w:color w:val="000000"/>
          <w:sz w:val="20"/>
          <w:szCs w:val="20"/>
        </w:rPr>
        <w:t>ON</w:t>
      </w:r>
    </w:p>
    <w:p w14:paraId="392C2639" w14:textId="77777777" w:rsidR="00980E5F" w:rsidRDefault="00483613">
      <w:pPr>
        <w:ind w:firstLine="450"/>
        <w:jc w:val="center"/>
      </w:pPr>
      <w:r>
        <w:rPr>
          <w:rFonts w:ascii="Arial" w:eastAsia="宋体" w:hAnsi="Arial" w:cs="Arial"/>
          <w:b/>
          <w:bCs/>
          <w:color w:val="000000"/>
          <w:sz w:val="20"/>
          <w:szCs w:val="20"/>
        </w:rPr>
        <w:t>AND RESULTS OF OPERATIONS</w:t>
      </w:r>
    </w:p>
    <w:p w14:paraId="392C263A" w14:textId="77777777" w:rsidR="00980E5F" w:rsidRDefault="00483613">
      <w:pPr>
        <w:spacing w:before="60"/>
        <w:textAlignment w:val="top"/>
      </w:pPr>
      <w:r>
        <w:rPr>
          <w:rFonts w:ascii="Arial" w:eastAsia="宋体" w:hAnsi="Arial" w:cs="Arial"/>
          <w:b/>
          <w:bCs/>
          <w:i/>
          <w:iCs/>
          <w:color w:val="000000"/>
          <w:sz w:val="20"/>
          <w:szCs w:val="20"/>
        </w:rPr>
        <w:t>Tier 1 and Supplementary Leverage Ratios</w:t>
      </w:r>
    </w:p>
    <w:p w14:paraId="392C263B" w14:textId="77777777" w:rsidR="00980E5F" w:rsidRDefault="00483613">
      <w:pPr>
        <w:spacing w:before="60"/>
        <w:ind w:firstLine="450"/>
        <w:jc w:val="both"/>
        <w:textAlignment w:val="top"/>
      </w:pPr>
      <w:r>
        <w:rPr>
          <w:rFonts w:ascii="Arial" w:eastAsia="宋体" w:hAnsi="Arial" w:cs="Arial"/>
          <w:color w:val="000000"/>
          <w:sz w:val="20"/>
          <w:szCs w:val="20"/>
        </w:rPr>
        <w:t xml:space="preserve">We are subject to a minimum Tier 1 leverage ratio and a supplementary leverage ratio. The Tier 1 leverage ratio is based on Tier 1 capital and adjusted quarterly average </w:t>
      </w:r>
      <w:r>
        <w:rPr>
          <w:rFonts w:ascii="Arial" w:eastAsia="宋体" w:hAnsi="Arial" w:cs="Arial"/>
          <w:color w:val="000000"/>
          <w:sz w:val="20"/>
          <w:szCs w:val="20"/>
        </w:rPr>
        <w:t>on-balance sheet assets. The Tier 1 leverage ratio differs from the SLR primarily in that the denominator of the Tier 1 leverage ratio is a quarterly average of on-balance sheet assets, while the SLR additionally includes off-balance sheet exposures. We mu</w:t>
      </w:r>
      <w:r>
        <w:rPr>
          <w:rFonts w:ascii="Arial" w:eastAsia="宋体" w:hAnsi="Arial" w:cs="Arial"/>
          <w:color w:val="000000"/>
          <w:sz w:val="20"/>
          <w:szCs w:val="20"/>
        </w:rPr>
        <w:t>st maintain a minimum Tier 1 leverage ratio of 4%.</w:t>
      </w:r>
    </w:p>
    <w:p w14:paraId="392C263C" w14:textId="77777777" w:rsidR="00980E5F" w:rsidRDefault="00483613">
      <w:pPr>
        <w:spacing w:before="60"/>
        <w:ind w:firstLine="450"/>
        <w:jc w:val="both"/>
        <w:textAlignment w:val="top"/>
      </w:pPr>
      <w:r>
        <w:rPr>
          <w:rFonts w:ascii="Arial" w:eastAsia="宋体" w:hAnsi="Arial" w:cs="Arial"/>
          <w:color w:val="000000"/>
          <w:sz w:val="20"/>
          <w:szCs w:val="20"/>
        </w:rPr>
        <w:t>We are also subject to a minimum SLR of 3%, and as a U.S. G-SIB, we must maintain a 2% SLR buffer in order to avoid any limitations on distributions to shareholders and discretionary bonus payments to cert</w:t>
      </w:r>
      <w:r>
        <w:rPr>
          <w:rFonts w:ascii="Arial" w:eastAsia="宋体" w:hAnsi="Arial" w:cs="Arial"/>
          <w:color w:val="000000"/>
          <w:sz w:val="20"/>
          <w:szCs w:val="20"/>
        </w:rPr>
        <w:t>ain executives. If we do not maintain this buffer, limitations on these distributions and discretionary bonus payments would be increasingly stringent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3902"/>
        <w:gridCol w:w="38"/>
        <w:gridCol w:w="104"/>
        <w:gridCol w:w="1574"/>
        <w:gridCol w:w="154"/>
        <w:gridCol w:w="36"/>
        <w:gridCol w:w="36"/>
        <w:gridCol w:w="36"/>
        <w:gridCol w:w="104"/>
        <w:gridCol w:w="2159"/>
        <w:gridCol w:w="154"/>
      </w:tblGrid>
      <w:tr w:rsidR="00980E5F" w14:paraId="392C2649" w14:textId="77777777">
        <w:tc>
          <w:tcPr>
            <w:tcW w:w="50" w:type="pct"/>
            <w:shd w:val="clear" w:color="auto" w:fill="auto"/>
            <w:vAlign w:val="bottom"/>
          </w:tcPr>
          <w:p w14:paraId="392C263D" w14:textId="77777777" w:rsidR="00980E5F" w:rsidRDefault="00980E5F">
            <w:pPr>
              <w:rPr>
                <w:rFonts w:ascii="宋体"/>
              </w:rPr>
            </w:pPr>
          </w:p>
        </w:tc>
        <w:tc>
          <w:tcPr>
            <w:tcW w:w="2414" w:type="pct"/>
            <w:shd w:val="clear" w:color="auto" w:fill="auto"/>
            <w:vAlign w:val="bottom"/>
          </w:tcPr>
          <w:p w14:paraId="392C263E" w14:textId="77777777" w:rsidR="00980E5F" w:rsidRDefault="00980E5F">
            <w:pPr>
              <w:rPr>
                <w:rFonts w:ascii="宋体"/>
              </w:rPr>
            </w:pPr>
          </w:p>
        </w:tc>
        <w:tc>
          <w:tcPr>
            <w:tcW w:w="5" w:type="pct"/>
            <w:shd w:val="clear" w:color="auto" w:fill="auto"/>
            <w:vAlign w:val="bottom"/>
          </w:tcPr>
          <w:p w14:paraId="392C263F" w14:textId="77777777" w:rsidR="00980E5F" w:rsidRDefault="00980E5F">
            <w:pPr>
              <w:rPr>
                <w:rFonts w:ascii="宋体"/>
              </w:rPr>
            </w:pPr>
          </w:p>
        </w:tc>
        <w:tc>
          <w:tcPr>
            <w:tcW w:w="50" w:type="pct"/>
            <w:shd w:val="clear" w:color="auto" w:fill="auto"/>
            <w:vAlign w:val="bottom"/>
          </w:tcPr>
          <w:p w14:paraId="392C2640" w14:textId="77777777" w:rsidR="00980E5F" w:rsidRDefault="00980E5F">
            <w:pPr>
              <w:rPr>
                <w:rFonts w:ascii="宋体"/>
              </w:rPr>
            </w:pPr>
          </w:p>
        </w:tc>
        <w:tc>
          <w:tcPr>
            <w:tcW w:w="994" w:type="pct"/>
            <w:shd w:val="clear" w:color="auto" w:fill="auto"/>
            <w:vAlign w:val="bottom"/>
          </w:tcPr>
          <w:p w14:paraId="392C2641" w14:textId="77777777" w:rsidR="00980E5F" w:rsidRDefault="00980E5F">
            <w:pPr>
              <w:rPr>
                <w:rFonts w:ascii="宋体"/>
              </w:rPr>
            </w:pPr>
          </w:p>
        </w:tc>
        <w:tc>
          <w:tcPr>
            <w:tcW w:w="5" w:type="pct"/>
            <w:shd w:val="clear" w:color="auto" w:fill="auto"/>
            <w:vAlign w:val="bottom"/>
          </w:tcPr>
          <w:p w14:paraId="392C2642" w14:textId="77777777" w:rsidR="00980E5F" w:rsidRDefault="00980E5F">
            <w:pPr>
              <w:rPr>
                <w:rFonts w:ascii="宋体"/>
              </w:rPr>
            </w:pPr>
          </w:p>
        </w:tc>
        <w:tc>
          <w:tcPr>
            <w:tcW w:w="5" w:type="pct"/>
            <w:shd w:val="clear" w:color="auto" w:fill="auto"/>
            <w:vAlign w:val="bottom"/>
          </w:tcPr>
          <w:p w14:paraId="392C2643" w14:textId="77777777" w:rsidR="00980E5F" w:rsidRDefault="00980E5F">
            <w:pPr>
              <w:rPr>
                <w:rFonts w:ascii="宋体"/>
              </w:rPr>
            </w:pPr>
          </w:p>
        </w:tc>
        <w:tc>
          <w:tcPr>
            <w:tcW w:w="67" w:type="pct"/>
            <w:shd w:val="clear" w:color="auto" w:fill="auto"/>
            <w:vAlign w:val="bottom"/>
          </w:tcPr>
          <w:p w14:paraId="392C2644" w14:textId="77777777" w:rsidR="00980E5F" w:rsidRDefault="00980E5F">
            <w:pPr>
              <w:rPr>
                <w:rFonts w:ascii="宋体"/>
              </w:rPr>
            </w:pPr>
          </w:p>
        </w:tc>
        <w:tc>
          <w:tcPr>
            <w:tcW w:w="5" w:type="pct"/>
            <w:shd w:val="clear" w:color="auto" w:fill="auto"/>
            <w:vAlign w:val="bottom"/>
          </w:tcPr>
          <w:p w14:paraId="392C2645" w14:textId="77777777" w:rsidR="00980E5F" w:rsidRDefault="00980E5F">
            <w:pPr>
              <w:rPr>
                <w:rFonts w:ascii="宋体"/>
              </w:rPr>
            </w:pPr>
          </w:p>
        </w:tc>
        <w:tc>
          <w:tcPr>
            <w:tcW w:w="50" w:type="pct"/>
            <w:shd w:val="clear" w:color="auto" w:fill="auto"/>
            <w:vAlign w:val="bottom"/>
          </w:tcPr>
          <w:p w14:paraId="392C2646" w14:textId="77777777" w:rsidR="00980E5F" w:rsidRDefault="00980E5F">
            <w:pPr>
              <w:rPr>
                <w:rFonts w:ascii="宋体"/>
              </w:rPr>
            </w:pPr>
          </w:p>
        </w:tc>
        <w:tc>
          <w:tcPr>
            <w:tcW w:w="1349" w:type="pct"/>
            <w:shd w:val="clear" w:color="auto" w:fill="auto"/>
            <w:vAlign w:val="bottom"/>
          </w:tcPr>
          <w:p w14:paraId="392C2647" w14:textId="77777777" w:rsidR="00980E5F" w:rsidRDefault="00980E5F">
            <w:pPr>
              <w:rPr>
                <w:rFonts w:ascii="宋体"/>
              </w:rPr>
            </w:pPr>
          </w:p>
        </w:tc>
        <w:tc>
          <w:tcPr>
            <w:tcW w:w="5" w:type="pct"/>
            <w:shd w:val="clear" w:color="auto" w:fill="auto"/>
            <w:vAlign w:val="bottom"/>
          </w:tcPr>
          <w:p w14:paraId="392C2648" w14:textId="77777777" w:rsidR="00980E5F" w:rsidRDefault="00980E5F">
            <w:pPr>
              <w:rPr>
                <w:rFonts w:ascii="宋体"/>
              </w:rPr>
            </w:pPr>
          </w:p>
        </w:tc>
      </w:tr>
      <w:tr w:rsidR="00980E5F" w14:paraId="392C264B" w14:textId="77777777">
        <w:tc>
          <w:tcPr>
            <w:tcW w:w="0" w:type="auto"/>
            <w:gridSpan w:val="12"/>
            <w:shd w:val="clear" w:color="auto" w:fill="auto"/>
            <w:tcMar>
              <w:top w:w="40" w:type="dxa"/>
              <w:left w:w="20" w:type="dxa"/>
              <w:bottom w:w="40" w:type="dxa"/>
              <w:right w:w="20" w:type="dxa"/>
            </w:tcMar>
            <w:vAlign w:val="bottom"/>
          </w:tcPr>
          <w:p w14:paraId="392C264A" w14:textId="77777777" w:rsidR="00980E5F" w:rsidRDefault="00483613">
            <w:pPr>
              <w:textAlignment w:val="bottom"/>
            </w:pPr>
            <w:r>
              <w:rPr>
                <w:rFonts w:ascii="Arial" w:eastAsia="宋体" w:hAnsi="Arial" w:cs="Arial"/>
                <w:b/>
                <w:bCs/>
                <w:color w:val="000000"/>
                <w:sz w:val="16"/>
                <w:szCs w:val="16"/>
              </w:rPr>
              <w:t xml:space="preserve">TABLE 37: TIER 1 AND SUPPLEMENTARY LEVERAGE </w:t>
            </w:r>
            <w:r>
              <w:rPr>
                <w:rFonts w:ascii="Arial" w:eastAsia="宋体" w:hAnsi="Arial" w:cs="Arial"/>
                <w:b/>
                <w:bCs/>
                <w:color w:val="000000"/>
                <w:sz w:val="16"/>
                <w:szCs w:val="16"/>
              </w:rPr>
              <w:t>RATIOS</w:t>
            </w:r>
          </w:p>
        </w:tc>
      </w:tr>
      <w:tr w:rsidR="00980E5F" w14:paraId="392C2650" w14:textId="77777777">
        <w:tc>
          <w:tcPr>
            <w:tcW w:w="0" w:type="auto"/>
            <w:gridSpan w:val="3"/>
            <w:shd w:val="clear" w:color="auto" w:fill="auto"/>
            <w:tcMar>
              <w:top w:w="40" w:type="dxa"/>
              <w:left w:w="20" w:type="dxa"/>
              <w:bottom w:w="40" w:type="dxa"/>
              <w:right w:w="20" w:type="dxa"/>
            </w:tcMar>
            <w:vAlign w:val="bottom"/>
          </w:tcPr>
          <w:p w14:paraId="392C264C"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shd w:val="clear" w:color="auto" w:fill="auto"/>
            <w:tcMar>
              <w:top w:w="40" w:type="dxa"/>
              <w:left w:w="20" w:type="dxa"/>
              <w:bottom w:w="40" w:type="dxa"/>
              <w:right w:w="20" w:type="dxa"/>
            </w:tcMar>
            <w:vAlign w:val="bottom"/>
          </w:tcPr>
          <w:p w14:paraId="392C264D"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C264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64F" w14:textId="77777777" w:rsidR="00980E5F" w:rsidRDefault="00483613">
            <w:pPr>
              <w:jc w:val="center"/>
              <w:textAlignment w:val="bottom"/>
            </w:pPr>
            <w:r>
              <w:rPr>
                <w:rFonts w:ascii="Arial" w:eastAsia="宋体" w:hAnsi="Arial" w:cs="Arial"/>
                <w:b/>
                <w:bCs/>
                <w:color w:val="000000"/>
                <w:sz w:val="14"/>
                <w:szCs w:val="14"/>
              </w:rPr>
              <w:t>December 31, 2021</w:t>
            </w:r>
          </w:p>
        </w:tc>
      </w:tr>
      <w:tr w:rsidR="00980E5F" w14:paraId="392C2655" w14:textId="77777777">
        <w:tc>
          <w:tcPr>
            <w:tcW w:w="0" w:type="auto"/>
            <w:gridSpan w:val="3"/>
            <w:shd w:val="clear" w:color="auto" w:fill="auto"/>
            <w:tcMar>
              <w:top w:w="40" w:type="dxa"/>
              <w:left w:w="20" w:type="dxa"/>
              <w:bottom w:w="40" w:type="dxa"/>
              <w:right w:w="20" w:type="dxa"/>
            </w:tcMar>
            <w:vAlign w:val="bottom"/>
          </w:tcPr>
          <w:p w14:paraId="392C2651" w14:textId="77777777" w:rsidR="00980E5F" w:rsidRDefault="00483613">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65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5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654" w14:textId="77777777" w:rsidR="00980E5F" w:rsidRDefault="00980E5F">
            <w:pPr>
              <w:rPr>
                <w:rFonts w:ascii="宋体"/>
              </w:rPr>
            </w:pPr>
          </w:p>
        </w:tc>
      </w:tr>
      <w:tr w:rsidR="00980E5F" w14:paraId="392C265E" w14:textId="77777777">
        <w:tc>
          <w:tcPr>
            <w:tcW w:w="0" w:type="auto"/>
            <w:gridSpan w:val="3"/>
            <w:shd w:val="clear" w:color="auto" w:fill="CCEEFF"/>
            <w:tcMar>
              <w:top w:w="40" w:type="dxa"/>
              <w:left w:w="20" w:type="dxa"/>
              <w:bottom w:w="40" w:type="dxa"/>
              <w:right w:w="20" w:type="dxa"/>
            </w:tcMar>
            <w:vAlign w:val="bottom"/>
          </w:tcPr>
          <w:p w14:paraId="392C2656" w14:textId="77777777" w:rsidR="00980E5F" w:rsidRDefault="00483613">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392C2657"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2658" w14:textId="77777777" w:rsidR="00980E5F" w:rsidRDefault="00483613">
            <w:pPr>
              <w:jc w:val="right"/>
              <w:textAlignment w:val="bottom"/>
            </w:pPr>
            <w:r>
              <w:rPr>
                <w:rFonts w:ascii="Arial" w:eastAsia="宋体" w:hAnsi="Arial" w:cs="Arial"/>
                <w:b/>
                <w:bCs/>
                <w:color w:val="000000"/>
                <w:sz w:val="15"/>
                <w:szCs w:val="15"/>
              </w:rPr>
              <w:t>16,858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5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65B"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265C" w14:textId="77777777" w:rsidR="00980E5F" w:rsidRDefault="00483613">
            <w:pPr>
              <w:jc w:val="right"/>
              <w:textAlignment w:val="bottom"/>
            </w:pPr>
            <w:r>
              <w:rPr>
                <w:rFonts w:ascii="Arial" w:eastAsia="宋体" w:hAnsi="Arial" w:cs="Arial"/>
                <w:color w:val="000000"/>
                <w:sz w:val="15"/>
                <w:szCs w:val="15"/>
              </w:rPr>
              <w:t>17,923 </w:t>
            </w:r>
          </w:p>
        </w:tc>
        <w:tc>
          <w:tcPr>
            <w:tcW w:w="0" w:type="auto"/>
            <w:shd w:val="clear" w:color="auto" w:fill="CCEEFF"/>
            <w:tcMar>
              <w:top w:w="40" w:type="dxa"/>
              <w:left w:w="0" w:type="dxa"/>
              <w:bottom w:w="40" w:type="dxa"/>
              <w:right w:w="20" w:type="dxa"/>
            </w:tcMar>
            <w:vAlign w:val="bottom"/>
          </w:tcPr>
          <w:p w14:paraId="392C265D" w14:textId="77777777" w:rsidR="00980E5F" w:rsidRDefault="00980E5F">
            <w:pPr>
              <w:jc w:val="right"/>
              <w:rPr>
                <w:rFonts w:ascii="宋体"/>
              </w:rPr>
            </w:pPr>
          </w:p>
        </w:tc>
      </w:tr>
      <w:tr w:rsidR="00980E5F" w14:paraId="392C2665" w14:textId="77777777">
        <w:tc>
          <w:tcPr>
            <w:tcW w:w="0" w:type="auto"/>
            <w:gridSpan w:val="3"/>
            <w:shd w:val="clear" w:color="auto" w:fill="FFFFFF"/>
            <w:tcMar>
              <w:top w:w="40" w:type="dxa"/>
              <w:left w:w="20" w:type="dxa"/>
              <w:bottom w:w="40" w:type="dxa"/>
              <w:right w:w="20" w:type="dxa"/>
            </w:tcMar>
            <w:vAlign w:val="bottom"/>
          </w:tcPr>
          <w:p w14:paraId="392C265F" w14:textId="77777777" w:rsidR="00980E5F" w:rsidRDefault="00483613">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392C2660" w14:textId="77777777" w:rsidR="00980E5F" w:rsidRDefault="00483613">
            <w:pPr>
              <w:jc w:val="right"/>
              <w:textAlignment w:val="bottom"/>
            </w:pPr>
            <w:r>
              <w:rPr>
                <w:rFonts w:ascii="Arial" w:eastAsia="宋体" w:hAnsi="Arial" w:cs="Arial"/>
                <w:b/>
                <w:bCs/>
                <w:color w:val="000000"/>
                <w:sz w:val="15"/>
                <w:szCs w:val="15"/>
              </w:rPr>
              <w:t>291,435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26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663" w14:textId="77777777" w:rsidR="00980E5F" w:rsidRDefault="00483613">
            <w:pPr>
              <w:jc w:val="right"/>
              <w:textAlignment w:val="bottom"/>
            </w:pPr>
            <w:r>
              <w:rPr>
                <w:rFonts w:ascii="Arial" w:eastAsia="宋体" w:hAnsi="Arial" w:cs="Arial"/>
                <w:color w:val="000000"/>
                <w:sz w:val="15"/>
                <w:szCs w:val="15"/>
              </w:rPr>
              <w:t>303,007 </w:t>
            </w:r>
          </w:p>
        </w:tc>
        <w:tc>
          <w:tcPr>
            <w:tcW w:w="0" w:type="auto"/>
            <w:shd w:val="clear" w:color="auto" w:fill="FFFFFF"/>
            <w:tcMar>
              <w:top w:w="40" w:type="dxa"/>
              <w:left w:w="0" w:type="dxa"/>
              <w:bottom w:w="40" w:type="dxa"/>
              <w:right w:w="20" w:type="dxa"/>
            </w:tcMar>
            <w:vAlign w:val="bottom"/>
          </w:tcPr>
          <w:p w14:paraId="392C2664" w14:textId="77777777" w:rsidR="00980E5F" w:rsidRDefault="00980E5F">
            <w:pPr>
              <w:jc w:val="right"/>
              <w:rPr>
                <w:rFonts w:ascii="宋体"/>
              </w:rPr>
            </w:pPr>
          </w:p>
        </w:tc>
      </w:tr>
      <w:tr w:rsidR="00980E5F" w14:paraId="392C266C" w14:textId="77777777">
        <w:tc>
          <w:tcPr>
            <w:tcW w:w="0" w:type="auto"/>
            <w:gridSpan w:val="3"/>
            <w:shd w:val="clear" w:color="auto" w:fill="CCEEFF"/>
            <w:tcMar>
              <w:top w:w="40" w:type="dxa"/>
              <w:left w:w="20" w:type="dxa"/>
              <w:bottom w:w="40" w:type="dxa"/>
              <w:right w:w="20" w:type="dxa"/>
            </w:tcMar>
            <w:vAlign w:val="bottom"/>
          </w:tcPr>
          <w:p w14:paraId="392C2666" w14:textId="77777777" w:rsidR="00980E5F" w:rsidRDefault="00483613">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392C2667" w14:textId="77777777" w:rsidR="00980E5F" w:rsidRDefault="00483613">
            <w:pPr>
              <w:jc w:val="right"/>
              <w:textAlignment w:val="bottom"/>
            </w:pPr>
            <w:r>
              <w:rPr>
                <w:rFonts w:ascii="Arial" w:eastAsia="宋体" w:hAnsi="Arial" w:cs="Arial"/>
                <w:b/>
                <w:bCs/>
                <w:color w:val="000000"/>
                <w:sz w:val="15"/>
                <w:szCs w:val="15"/>
              </w:rPr>
              <w:t>(8,909)</w:t>
            </w:r>
          </w:p>
        </w:tc>
        <w:tc>
          <w:tcPr>
            <w:tcW w:w="0" w:type="auto"/>
            <w:shd w:val="clear" w:color="auto" w:fill="CCEEFF"/>
            <w:tcMar>
              <w:top w:w="40" w:type="dxa"/>
              <w:left w:w="0" w:type="dxa"/>
              <w:bottom w:w="40" w:type="dxa"/>
              <w:right w:w="20" w:type="dxa"/>
            </w:tcMar>
            <w:vAlign w:val="bottom"/>
          </w:tcPr>
          <w:p w14:paraId="392C26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6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6A" w14:textId="77777777" w:rsidR="00980E5F" w:rsidRDefault="00483613">
            <w:pPr>
              <w:jc w:val="right"/>
              <w:textAlignment w:val="bottom"/>
            </w:pPr>
            <w:r>
              <w:rPr>
                <w:rFonts w:ascii="Arial" w:eastAsia="宋体" w:hAnsi="Arial" w:cs="Arial"/>
                <w:color w:val="000000"/>
                <w:sz w:val="15"/>
                <w:szCs w:val="15"/>
              </w:rPr>
              <w:t>(9,440)</w:t>
            </w:r>
          </w:p>
        </w:tc>
        <w:tc>
          <w:tcPr>
            <w:tcW w:w="0" w:type="auto"/>
            <w:shd w:val="clear" w:color="auto" w:fill="CCEEFF"/>
            <w:tcMar>
              <w:top w:w="40" w:type="dxa"/>
              <w:left w:w="0" w:type="dxa"/>
              <w:bottom w:w="40" w:type="dxa"/>
              <w:right w:w="20" w:type="dxa"/>
            </w:tcMar>
            <w:vAlign w:val="bottom"/>
          </w:tcPr>
          <w:p w14:paraId="392C266B" w14:textId="77777777" w:rsidR="00980E5F" w:rsidRDefault="00980E5F">
            <w:pPr>
              <w:jc w:val="right"/>
              <w:rPr>
                <w:rFonts w:ascii="宋体"/>
              </w:rPr>
            </w:pPr>
          </w:p>
        </w:tc>
      </w:tr>
      <w:tr w:rsidR="00980E5F" w14:paraId="392C2673" w14:textId="77777777">
        <w:tc>
          <w:tcPr>
            <w:tcW w:w="0" w:type="auto"/>
            <w:gridSpan w:val="3"/>
            <w:shd w:val="clear" w:color="auto" w:fill="FFFFFF"/>
            <w:tcMar>
              <w:top w:w="40" w:type="dxa"/>
              <w:left w:w="20" w:type="dxa"/>
              <w:bottom w:w="40" w:type="dxa"/>
              <w:right w:w="20" w:type="dxa"/>
            </w:tcMar>
            <w:vAlign w:val="bottom"/>
          </w:tcPr>
          <w:p w14:paraId="392C266D" w14:textId="77777777" w:rsidR="00980E5F" w:rsidRDefault="00483613">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66E" w14:textId="77777777" w:rsidR="00980E5F" w:rsidRDefault="00483613">
            <w:pPr>
              <w:jc w:val="right"/>
              <w:textAlignment w:val="bottom"/>
            </w:pPr>
            <w:r>
              <w:rPr>
                <w:rFonts w:ascii="Arial" w:eastAsia="宋体" w:hAnsi="Arial" w:cs="Arial"/>
                <w:b/>
                <w:bCs/>
                <w:color w:val="000000"/>
                <w:sz w:val="15"/>
                <w:szCs w:val="15"/>
              </w:rPr>
              <w:t>282,526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6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7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671" w14:textId="77777777" w:rsidR="00980E5F" w:rsidRDefault="00483613">
            <w:pPr>
              <w:jc w:val="right"/>
              <w:textAlignment w:val="bottom"/>
            </w:pPr>
            <w:r>
              <w:rPr>
                <w:rFonts w:ascii="Arial" w:eastAsia="宋体" w:hAnsi="Arial" w:cs="Arial"/>
                <w:color w:val="000000"/>
                <w:sz w:val="15"/>
                <w:szCs w:val="15"/>
              </w:rPr>
              <w:t>293,567 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672" w14:textId="77777777" w:rsidR="00980E5F" w:rsidRDefault="00980E5F">
            <w:pPr>
              <w:jc w:val="right"/>
              <w:rPr>
                <w:rFonts w:ascii="宋体"/>
              </w:rPr>
            </w:pPr>
          </w:p>
        </w:tc>
      </w:tr>
      <w:tr w:rsidR="00980E5F" w14:paraId="392C267A" w14:textId="77777777">
        <w:tc>
          <w:tcPr>
            <w:tcW w:w="0" w:type="auto"/>
            <w:gridSpan w:val="3"/>
            <w:shd w:val="clear" w:color="auto" w:fill="CCEEFF"/>
            <w:tcMar>
              <w:top w:w="40" w:type="dxa"/>
              <w:left w:w="20" w:type="dxa"/>
              <w:bottom w:w="40" w:type="dxa"/>
              <w:right w:w="20" w:type="dxa"/>
            </w:tcMar>
            <w:vAlign w:val="bottom"/>
          </w:tcPr>
          <w:p w14:paraId="392C2674" w14:textId="77777777" w:rsidR="00980E5F" w:rsidRDefault="00483613">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392C2675" w14:textId="77777777" w:rsidR="00980E5F" w:rsidRDefault="00483613">
            <w:pPr>
              <w:jc w:val="right"/>
              <w:textAlignment w:val="bottom"/>
            </w:pPr>
            <w:r>
              <w:rPr>
                <w:rFonts w:ascii="Arial" w:eastAsia="宋体" w:hAnsi="Arial" w:cs="Arial"/>
                <w:b/>
                <w:bCs/>
                <w:color w:val="000000"/>
                <w:sz w:val="15"/>
                <w:szCs w:val="15"/>
              </w:rPr>
              <w:t>44,486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7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78" w14:textId="77777777" w:rsidR="00980E5F" w:rsidRDefault="00483613">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392C2679" w14:textId="77777777" w:rsidR="00980E5F" w:rsidRDefault="00980E5F">
            <w:pPr>
              <w:jc w:val="right"/>
              <w:rPr>
                <w:rFonts w:ascii="宋体"/>
              </w:rPr>
            </w:pPr>
          </w:p>
        </w:tc>
      </w:tr>
      <w:tr w:rsidR="00980E5F" w14:paraId="392C2681" w14:textId="77777777">
        <w:tc>
          <w:tcPr>
            <w:tcW w:w="0" w:type="auto"/>
            <w:gridSpan w:val="3"/>
            <w:shd w:val="clear" w:color="auto" w:fill="FFFFFF"/>
            <w:tcMar>
              <w:top w:w="40" w:type="dxa"/>
              <w:left w:w="20" w:type="dxa"/>
              <w:bottom w:w="40" w:type="dxa"/>
              <w:right w:w="20" w:type="dxa"/>
            </w:tcMar>
            <w:vAlign w:val="bottom"/>
          </w:tcPr>
          <w:p w14:paraId="392C267B" w14:textId="77777777" w:rsidR="00980E5F" w:rsidRDefault="00483613">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392C267C" w14:textId="77777777" w:rsidR="00980E5F" w:rsidRDefault="00483613">
            <w:pPr>
              <w:jc w:val="right"/>
              <w:textAlignment w:val="bottom"/>
            </w:pPr>
            <w:r>
              <w:rPr>
                <w:rFonts w:ascii="Arial" w:eastAsia="宋体" w:hAnsi="Arial" w:cs="Arial"/>
                <w:b/>
                <w:bCs/>
                <w:color w:val="000000"/>
                <w:sz w:val="15"/>
                <w:szCs w:val="15"/>
              </w:rPr>
              <w:t>(72,383)</w:t>
            </w:r>
          </w:p>
        </w:tc>
        <w:tc>
          <w:tcPr>
            <w:tcW w:w="0" w:type="auto"/>
            <w:shd w:val="clear" w:color="auto" w:fill="FFFFFF"/>
            <w:tcMar>
              <w:top w:w="40" w:type="dxa"/>
              <w:left w:w="0" w:type="dxa"/>
              <w:bottom w:w="40" w:type="dxa"/>
              <w:right w:w="20" w:type="dxa"/>
            </w:tcMar>
            <w:vAlign w:val="bottom"/>
          </w:tcPr>
          <w:p w14:paraId="392C26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67F" w14:textId="77777777" w:rsidR="00980E5F" w:rsidRDefault="00483613">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392C2680" w14:textId="77777777" w:rsidR="00980E5F" w:rsidRDefault="00980E5F">
            <w:pPr>
              <w:jc w:val="right"/>
              <w:rPr>
                <w:rFonts w:ascii="宋体"/>
              </w:rPr>
            </w:pPr>
          </w:p>
        </w:tc>
      </w:tr>
      <w:tr w:rsidR="00980E5F" w14:paraId="392C268A" w14:textId="77777777">
        <w:tc>
          <w:tcPr>
            <w:tcW w:w="0" w:type="auto"/>
            <w:gridSpan w:val="3"/>
            <w:shd w:val="clear" w:color="auto" w:fill="CCEEFF"/>
            <w:tcMar>
              <w:top w:w="40" w:type="dxa"/>
              <w:left w:w="20" w:type="dxa"/>
              <w:bottom w:w="40" w:type="dxa"/>
              <w:right w:w="20" w:type="dxa"/>
            </w:tcMar>
            <w:vAlign w:val="bottom"/>
          </w:tcPr>
          <w:p w14:paraId="392C2682" w14:textId="77777777" w:rsidR="00980E5F" w:rsidRDefault="00483613">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683"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684" w14:textId="77777777" w:rsidR="00980E5F" w:rsidRDefault="00483613">
            <w:pPr>
              <w:jc w:val="right"/>
              <w:textAlignment w:val="bottom"/>
            </w:pPr>
            <w:r>
              <w:rPr>
                <w:rFonts w:ascii="Arial" w:eastAsia="宋体" w:hAnsi="Arial" w:cs="Arial"/>
                <w:b/>
                <w:bCs/>
                <w:color w:val="000000"/>
                <w:sz w:val="15"/>
                <w:szCs w:val="15"/>
              </w:rPr>
              <w:t>254,629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6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8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687"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688" w14:textId="77777777" w:rsidR="00980E5F" w:rsidRDefault="00483613">
            <w:pPr>
              <w:jc w:val="right"/>
              <w:textAlignment w:val="bottom"/>
            </w:pPr>
            <w:r>
              <w:rPr>
                <w:rFonts w:ascii="Arial" w:eastAsia="宋体" w:hAnsi="Arial" w:cs="Arial"/>
                <w:color w:val="000000"/>
                <w:sz w:val="15"/>
                <w:szCs w:val="15"/>
              </w:rPr>
              <w:t>242,439 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689" w14:textId="77777777" w:rsidR="00980E5F" w:rsidRDefault="00980E5F">
            <w:pPr>
              <w:jc w:val="right"/>
              <w:rPr>
                <w:rFonts w:ascii="宋体"/>
              </w:rPr>
            </w:pPr>
          </w:p>
        </w:tc>
      </w:tr>
      <w:tr w:rsidR="00980E5F" w14:paraId="392C2691" w14:textId="77777777">
        <w:tc>
          <w:tcPr>
            <w:tcW w:w="0" w:type="auto"/>
            <w:gridSpan w:val="3"/>
            <w:shd w:val="clear" w:color="auto" w:fill="FFFFFF"/>
            <w:tcMar>
              <w:top w:w="40" w:type="dxa"/>
              <w:left w:w="20" w:type="dxa"/>
              <w:bottom w:w="40" w:type="dxa"/>
              <w:right w:w="20" w:type="dxa"/>
            </w:tcMar>
            <w:vAlign w:val="bottom"/>
          </w:tcPr>
          <w:p w14:paraId="392C268B" w14:textId="77777777" w:rsidR="00980E5F" w:rsidRDefault="00483613">
            <w:pPr>
              <w:textAlignment w:val="bottom"/>
            </w:pPr>
            <w:r>
              <w:rPr>
                <w:rFonts w:ascii="Arial" w:eastAsia="宋体" w:hAnsi="Arial" w:cs="Arial"/>
                <w:color w:val="000000"/>
                <w:sz w:val="15"/>
                <w:szCs w:val="15"/>
              </w:rPr>
              <w:t xml:space="preserve">Tier 1 </w:t>
            </w:r>
            <w:r>
              <w:rPr>
                <w:rFonts w:ascii="Arial" w:eastAsia="宋体" w:hAnsi="Arial" w:cs="Arial"/>
                <w:color w:val="000000"/>
                <w:sz w:val="15"/>
                <w:szCs w:val="15"/>
              </w:rPr>
              <w:t>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268C" w14:textId="77777777" w:rsidR="00980E5F" w:rsidRDefault="00483613">
            <w:pPr>
              <w:jc w:val="right"/>
              <w:textAlignment w:val="bottom"/>
            </w:pPr>
            <w:r>
              <w:rPr>
                <w:rFonts w:ascii="Arial" w:eastAsia="宋体" w:hAnsi="Arial" w:cs="Arial"/>
                <w:b/>
                <w:bCs/>
                <w:color w:val="000000"/>
                <w:sz w:val="15"/>
                <w:szCs w:val="15"/>
              </w:rPr>
              <w:t>6.0</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268D" w14:textId="77777777" w:rsidR="00980E5F" w:rsidRDefault="00483613">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392C268E" w14:textId="77777777" w:rsidR="00980E5F" w:rsidRDefault="00980E5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268F" w14:textId="77777777" w:rsidR="00980E5F" w:rsidRDefault="00483613">
            <w:pPr>
              <w:jc w:val="right"/>
              <w:textAlignment w:val="bottom"/>
            </w:pPr>
            <w:r>
              <w:rPr>
                <w:rFonts w:ascii="Arial" w:eastAsia="宋体" w:hAnsi="Arial" w:cs="Arial"/>
                <w:color w:val="000000"/>
                <w:sz w:val="15"/>
                <w:szCs w:val="15"/>
              </w:rPr>
              <w:t>6.1 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2690" w14:textId="77777777" w:rsidR="00980E5F" w:rsidRDefault="00483613">
            <w:pPr>
              <w:jc w:val="right"/>
              <w:textAlignment w:val="bottom"/>
            </w:pPr>
            <w:r>
              <w:rPr>
                <w:rFonts w:ascii="Arial" w:eastAsia="宋体" w:hAnsi="Arial" w:cs="Arial"/>
                <w:color w:val="000000"/>
                <w:sz w:val="15"/>
                <w:szCs w:val="15"/>
              </w:rPr>
              <w:t>%</w:t>
            </w:r>
          </w:p>
        </w:tc>
      </w:tr>
      <w:tr w:rsidR="00980E5F" w14:paraId="392C2698" w14:textId="77777777">
        <w:tc>
          <w:tcPr>
            <w:tcW w:w="0" w:type="auto"/>
            <w:gridSpan w:val="3"/>
            <w:shd w:val="clear" w:color="auto" w:fill="CCEEFF"/>
            <w:tcMar>
              <w:top w:w="40" w:type="dxa"/>
              <w:left w:w="20" w:type="dxa"/>
              <w:bottom w:w="40" w:type="dxa"/>
              <w:right w:w="20" w:type="dxa"/>
            </w:tcMar>
            <w:vAlign w:val="bottom"/>
          </w:tcPr>
          <w:p w14:paraId="392C2692" w14:textId="77777777" w:rsidR="00980E5F" w:rsidRDefault="00483613">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392C2693" w14:textId="77777777" w:rsidR="00980E5F" w:rsidRDefault="00483613">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9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96" w14:textId="77777777" w:rsidR="00980E5F" w:rsidRDefault="00483613">
            <w:pPr>
              <w:jc w:val="right"/>
              <w:textAlignment w:val="bottom"/>
            </w:pPr>
            <w:r>
              <w:rPr>
                <w:rFonts w:ascii="Arial" w:eastAsia="宋体" w:hAnsi="Arial" w:cs="Arial"/>
                <w:color w:val="000000"/>
                <w:sz w:val="15"/>
                <w:szCs w:val="15"/>
              </w:rPr>
              <w:t>7.4 </w:t>
            </w:r>
          </w:p>
        </w:tc>
        <w:tc>
          <w:tcPr>
            <w:tcW w:w="0" w:type="auto"/>
            <w:shd w:val="clear" w:color="auto" w:fill="CCEEFF"/>
            <w:tcMar>
              <w:top w:w="40" w:type="dxa"/>
              <w:left w:w="0" w:type="dxa"/>
              <w:bottom w:w="40" w:type="dxa"/>
              <w:right w:w="20" w:type="dxa"/>
            </w:tcMar>
            <w:vAlign w:val="bottom"/>
          </w:tcPr>
          <w:p w14:paraId="392C2697" w14:textId="77777777" w:rsidR="00980E5F" w:rsidRDefault="00980E5F">
            <w:pPr>
              <w:jc w:val="right"/>
              <w:rPr>
                <w:rFonts w:ascii="宋体"/>
              </w:rPr>
            </w:pPr>
          </w:p>
        </w:tc>
      </w:tr>
      <w:tr w:rsidR="00980E5F" w14:paraId="392C269D" w14:textId="77777777">
        <w:trPr>
          <w:trHeight w:val="60"/>
        </w:trPr>
        <w:tc>
          <w:tcPr>
            <w:tcW w:w="0" w:type="auto"/>
            <w:gridSpan w:val="3"/>
            <w:shd w:val="clear" w:color="auto" w:fill="auto"/>
            <w:tcMar>
              <w:top w:w="0" w:type="dxa"/>
              <w:left w:w="20" w:type="dxa"/>
              <w:bottom w:w="0" w:type="dxa"/>
              <w:right w:w="20" w:type="dxa"/>
            </w:tcMar>
            <w:vAlign w:val="bottom"/>
          </w:tcPr>
          <w:p w14:paraId="392C269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69C" w14:textId="77777777" w:rsidR="00980E5F" w:rsidRDefault="00980E5F">
            <w:pPr>
              <w:rPr>
                <w:rFonts w:ascii="宋体"/>
              </w:rPr>
            </w:pPr>
          </w:p>
        </w:tc>
      </w:tr>
      <w:tr w:rsidR="00980E5F" w14:paraId="392C26A2" w14:textId="77777777">
        <w:tc>
          <w:tcPr>
            <w:tcW w:w="0" w:type="auto"/>
            <w:gridSpan w:val="3"/>
            <w:shd w:val="clear" w:color="auto" w:fill="FFFFFF"/>
            <w:tcMar>
              <w:top w:w="40" w:type="dxa"/>
              <w:left w:w="20" w:type="dxa"/>
              <w:bottom w:w="40" w:type="dxa"/>
              <w:right w:w="20" w:type="dxa"/>
            </w:tcMar>
            <w:vAlign w:val="bottom"/>
          </w:tcPr>
          <w:p w14:paraId="392C269E" w14:textId="77777777" w:rsidR="00980E5F" w:rsidRDefault="00483613">
            <w:pPr>
              <w:textAlignment w:val="bottom"/>
            </w:pPr>
            <w:r>
              <w:rPr>
                <w:rFonts w:ascii="Arial" w:eastAsia="宋体" w:hAnsi="Arial" w:cs="Arial"/>
                <w:b/>
                <w:bCs/>
                <w:color w:val="000000"/>
                <w:sz w:val="15"/>
                <w:szCs w:val="15"/>
              </w:rPr>
              <w:t>State Street Bank:</w:t>
            </w:r>
          </w:p>
        </w:tc>
        <w:tc>
          <w:tcPr>
            <w:tcW w:w="0" w:type="auto"/>
            <w:gridSpan w:val="3"/>
            <w:shd w:val="clear" w:color="auto" w:fill="FFFFFF"/>
            <w:tcMar>
              <w:top w:w="0" w:type="dxa"/>
              <w:left w:w="20" w:type="dxa"/>
              <w:bottom w:w="0" w:type="dxa"/>
              <w:right w:w="20" w:type="dxa"/>
            </w:tcMar>
            <w:vAlign w:val="bottom"/>
          </w:tcPr>
          <w:p w14:paraId="392C269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6A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6A1" w14:textId="77777777" w:rsidR="00980E5F" w:rsidRDefault="00980E5F">
            <w:pPr>
              <w:rPr>
                <w:rFonts w:ascii="宋体"/>
              </w:rPr>
            </w:pPr>
          </w:p>
        </w:tc>
      </w:tr>
      <w:tr w:rsidR="00980E5F" w14:paraId="392C26AB" w14:textId="77777777">
        <w:tc>
          <w:tcPr>
            <w:tcW w:w="0" w:type="auto"/>
            <w:gridSpan w:val="3"/>
            <w:shd w:val="clear" w:color="auto" w:fill="CCEEFF"/>
            <w:tcMar>
              <w:top w:w="40" w:type="dxa"/>
              <w:left w:w="20" w:type="dxa"/>
              <w:bottom w:w="40" w:type="dxa"/>
              <w:right w:w="20" w:type="dxa"/>
            </w:tcMar>
            <w:vAlign w:val="bottom"/>
          </w:tcPr>
          <w:p w14:paraId="392C26A3" w14:textId="77777777" w:rsidR="00980E5F" w:rsidRDefault="00483613">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392C26A4"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26A5" w14:textId="77777777" w:rsidR="00980E5F" w:rsidRDefault="00483613">
            <w:pPr>
              <w:jc w:val="right"/>
              <w:textAlignment w:val="bottom"/>
            </w:pPr>
            <w:r>
              <w:rPr>
                <w:rFonts w:ascii="Arial" w:eastAsia="宋体" w:hAnsi="Arial" w:cs="Arial"/>
                <w:b/>
                <w:bCs/>
                <w:color w:val="000000"/>
                <w:sz w:val="15"/>
                <w:szCs w:val="15"/>
              </w:rPr>
              <w:t>18,174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A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6A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26A9" w14:textId="77777777" w:rsidR="00980E5F" w:rsidRDefault="00483613">
            <w:pPr>
              <w:jc w:val="right"/>
              <w:textAlignment w:val="bottom"/>
            </w:pPr>
            <w:r>
              <w:rPr>
                <w:rFonts w:ascii="Arial" w:eastAsia="宋体" w:hAnsi="Arial" w:cs="Arial"/>
                <w:color w:val="000000"/>
                <w:sz w:val="15"/>
                <w:szCs w:val="15"/>
              </w:rPr>
              <w:t>18,845 </w:t>
            </w:r>
          </w:p>
        </w:tc>
        <w:tc>
          <w:tcPr>
            <w:tcW w:w="0" w:type="auto"/>
            <w:shd w:val="clear" w:color="auto" w:fill="CCEEFF"/>
            <w:tcMar>
              <w:top w:w="40" w:type="dxa"/>
              <w:left w:w="0" w:type="dxa"/>
              <w:bottom w:w="40" w:type="dxa"/>
              <w:right w:w="20" w:type="dxa"/>
            </w:tcMar>
            <w:vAlign w:val="bottom"/>
          </w:tcPr>
          <w:p w14:paraId="392C26AA" w14:textId="77777777" w:rsidR="00980E5F" w:rsidRDefault="00980E5F">
            <w:pPr>
              <w:jc w:val="right"/>
              <w:rPr>
                <w:rFonts w:ascii="宋体"/>
              </w:rPr>
            </w:pPr>
          </w:p>
        </w:tc>
      </w:tr>
      <w:tr w:rsidR="00980E5F" w14:paraId="392C26B2" w14:textId="77777777">
        <w:tc>
          <w:tcPr>
            <w:tcW w:w="0" w:type="auto"/>
            <w:gridSpan w:val="3"/>
            <w:shd w:val="clear" w:color="auto" w:fill="FFFFFF"/>
            <w:tcMar>
              <w:top w:w="40" w:type="dxa"/>
              <w:left w:w="20" w:type="dxa"/>
              <w:bottom w:w="40" w:type="dxa"/>
              <w:right w:w="20" w:type="dxa"/>
            </w:tcMar>
            <w:vAlign w:val="bottom"/>
          </w:tcPr>
          <w:p w14:paraId="392C26AC" w14:textId="77777777" w:rsidR="00980E5F" w:rsidRDefault="00483613">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392C26AD" w14:textId="77777777" w:rsidR="00980E5F" w:rsidRDefault="00483613">
            <w:pPr>
              <w:jc w:val="right"/>
              <w:textAlignment w:val="bottom"/>
            </w:pPr>
            <w:r>
              <w:rPr>
                <w:rFonts w:ascii="Arial" w:eastAsia="宋体" w:hAnsi="Arial" w:cs="Arial"/>
                <w:b/>
                <w:bCs/>
                <w:color w:val="000000"/>
                <w:sz w:val="15"/>
                <w:szCs w:val="15"/>
              </w:rPr>
              <w:t>288,139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26A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A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6B0" w14:textId="77777777" w:rsidR="00980E5F" w:rsidRDefault="00483613">
            <w:pPr>
              <w:jc w:val="right"/>
              <w:textAlignment w:val="bottom"/>
            </w:pPr>
            <w:r>
              <w:rPr>
                <w:rFonts w:ascii="Arial" w:eastAsia="宋体" w:hAnsi="Arial" w:cs="Arial"/>
                <w:color w:val="000000"/>
                <w:sz w:val="15"/>
                <w:szCs w:val="15"/>
              </w:rPr>
              <w:t>299,379 </w:t>
            </w:r>
          </w:p>
        </w:tc>
        <w:tc>
          <w:tcPr>
            <w:tcW w:w="0" w:type="auto"/>
            <w:shd w:val="clear" w:color="auto" w:fill="FFFFFF"/>
            <w:tcMar>
              <w:top w:w="40" w:type="dxa"/>
              <w:left w:w="0" w:type="dxa"/>
              <w:bottom w:w="40" w:type="dxa"/>
              <w:right w:w="20" w:type="dxa"/>
            </w:tcMar>
            <w:vAlign w:val="bottom"/>
          </w:tcPr>
          <w:p w14:paraId="392C26B1" w14:textId="77777777" w:rsidR="00980E5F" w:rsidRDefault="00980E5F">
            <w:pPr>
              <w:jc w:val="right"/>
              <w:rPr>
                <w:rFonts w:ascii="宋体"/>
              </w:rPr>
            </w:pPr>
          </w:p>
        </w:tc>
      </w:tr>
      <w:tr w:rsidR="00980E5F" w14:paraId="392C26B9" w14:textId="77777777">
        <w:tc>
          <w:tcPr>
            <w:tcW w:w="0" w:type="auto"/>
            <w:gridSpan w:val="3"/>
            <w:shd w:val="clear" w:color="auto" w:fill="CCEEFF"/>
            <w:tcMar>
              <w:top w:w="40" w:type="dxa"/>
              <w:left w:w="20" w:type="dxa"/>
              <w:bottom w:w="40" w:type="dxa"/>
              <w:right w:w="20" w:type="dxa"/>
            </w:tcMar>
            <w:vAlign w:val="bottom"/>
          </w:tcPr>
          <w:p w14:paraId="392C26B3" w14:textId="77777777" w:rsidR="00980E5F" w:rsidRDefault="00483613">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392C26B4" w14:textId="77777777" w:rsidR="00980E5F" w:rsidRDefault="00483613">
            <w:pPr>
              <w:jc w:val="right"/>
              <w:textAlignment w:val="bottom"/>
            </w:pPr>
            <w:r>
              <w:rPr>
                <w:rFonts w:ascii="Arial" w:eastAsia="宋体" w:hAnsi="Arial" w:cs="Arial"/>
                <w:b/>
                <w:bCs/>
                <w:color w:val="000000"/>
                <w:sz w:val="15"/>
                <w:szCs w:val="15"/>
              </w:rPr>
              <w:t>(8,474)</w:t>
            </w:r>
          </w:p>
        </w:tc>
        <w:tc>
          <w:tcPr>
            <w:tcW w:w="0" w:type="auto"/>
            <w:shd w:val="clear" w:color="auto" w:fill="CCEEFF"/>
            <w:tcMar>
              <w:top w:w="40" w:type="dxa"/>
              <w:left w:w="0" w:type="dxa"/>
              <w:bottom w:w="40" w:type="dxa"/>
              <w:right w:w="20" w:type="dxa"/>
            </w:tcMar>
            <w:vAlign w:val="bottom"/>
          </w:tcPr>
          <w:p w14:paraId="392C26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B7" w14:textId="77777777" w:rsidR="00980E5F" w:rsidRDefault="00483613">
            <w:pPr>
              <w:jc w:val="right"/>
              <w:textAlignment w:val="bottom"/>
            </w:pPr>
            <w:r>
              <w:rPr>
                <w:rFonts w:ascii="Arial" w:eastAsia="宋体" w:hAnsi="Arial" w:cs="Arial"/>
                <w:color w:val="000000"/>
                <w:sz w:val="15"/>
                <w:szCs w:val="15"/>
              </w:rPr>
              <w:t>(8,976)</w:t>
            </w:r>
          </w:p>
        </w:tc>
        <w:tc>
          <w:tcPr>
            <w:tcW w:w="0" w:type="auto"/>
            <w:shd w:val="clear" w:color="auto" w:fill="CCEEFF"/>
            <w:tcMar>
              <w:top w:w="40" w:type="dxa"/>
              <w:left w:w="0" w:type="dxa"/>
              <w:bottom w:w="40" w:type="dxa"/>
              <w:right w:w="20" w:type="dxa"/>
            </w:tcMar>
            <w:vAlign w:val="bottom"/>
          </w:tcPr>
          <w:p w14:paraId="392C26B8" w14:textId="77777777" w:rsidR="00980E5F" w:rsidRDefault="00980E5F">
            <w:pPr>
              <w:jc w:val="right"/>
              <w:rPr>
                <w:rFonts w:ascii="宋体"/>
              </w:rPr>
            </w:pPr>
          </w:p>
        </w:tc>
      </w:tr>
      <w:tr w:rsidR="00980E5F" w14:paraId="392C26C0" w14:textId="77777777">
        <w:tc>
          <w:tcPr>
            <w:tcW w:w="0" w:type="auto"/>
            <w:gridSpan w:val="3"/>
            <w:shd w:val="clear" w:color="auto" w:fill="FFFFFF"/>
            <w:tcMar>
              <w:top w:w="40" w:type="dxa"/>
              <w:left w:w="20" w:type="dxa"/>
              <w:bottom w:w="40" w:type="dxa"/>
              <w:right w:w="20" w:type="dxa"/>
            </w:tcMar>
            <w:vAlign w:val="bottom"/>
          </w:tcPr>
          <w:p w14:paraId="392C26BA" w14:textId="77777777" w:rsidR="00980E5F" w:rsidRDefault="00483613">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6BB" w14:textId="77777777" w:rsidR="00980E5F" w:rsidRDefault="00483613">
            <w:pPr>
              <w:jc w:val="right"/>
              <w:textAlignment w:val="bottom"/>
            </w:pPr>
            <w:r>
              <w:rPr>
                <w:rFonts w:ascii="Arial" w:eastAsia="宋体" w:hAnsi="Arial" w:cs="Arial"/>
                <w:b/>
                <w:bCs/>
                <w:color w:val="000000"/>
                <w:sz w:val="15"/>
                <w:szCs w:val="15"/>
              </w:rPr>
              <w:t>279,665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6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B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6BE" w14:textId="77777777" w:rsidR="00980E5F" w:rsidRDefault="00483613">
            <w:pPr>
              <w:jc w:val="right"/>
              <w:textAlignment w:val="bottom"/>
            </w:pPr>
            <w:r>
              <w:rPr>
                <w:rFonts w:ascii="Arial" w:eastAsia="宋体" w:hAnsi="Arial" w:cs="Arial"/>
                <w:color w:val="000000"/>
                <w:sz w:val="15"/>
                <w:szCs w:val="15"/>
              </w:rPr>
              <w:t>290,403 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6BF" w14:textId="77777777" w:rsidR="00980E5F" w:rsidRDefault="00980E5F">
            <w:pPr>
              <w:jc w:val="right"/>
              <w:rPr>
                <w:rFonts w:ascii="宋体"/>
              </w:rPr>
            </w:pPr>
          </w:p>
        </w:tc>
      </w:tr>
      <w:tr w:rsidR="00980E5F" w14:paraId="392C26C7" w14:textId="77777777">
        <w:tc>
          <w:tcPr>
            <w:tcW w:w="0" w:type="auto"/>
            <w:gridSpan w:val="3"/>
            <w:shd w:val="clear" w:color="auto" w:fill="CCEEFF"/>
            <w:tcMar>
              <w:top w:w="40" w:type="dxa"/>
              <w:left w:w="20" w:type="dxa"/>
              <w:bottom w:w="40" w:type="dxa"/>
              <w:right w:w="20" w:type="dxa"/>
            </w:tcMar>
            <w:vAlign w:val="bottom"/>
          </w:tcPr>
          <w:p w14:paraId="392C26C1" w14:textId="77777777" w:rsidR="00980E5F" w:rsidRDefault="00483613">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392C26C2" w14:textId="77777777" w:rsidR="00980E5F" w:rsidRDefault="00483613">
            <w:pPr>
              <w:jc w:val="right"/>
              <w:textAlignment w:val="bottom"/>
            </w:pPr>
            <w:r>
              <w:rPr>
                <w:rFonts w:ascii="Arial" w:eastAsia="宋体" w:hAnsi="Arial" w:cs="Arial"/>
                <w:b/>
                <w:bCs/>
                <w:color w:val="000000"/>
                <w:sz w:val="15"/>
                <w:szCs w:val="15"/>
              </w:rPr>
              <w:t>44,628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C5" w14:textId="77777777" w:rsidR="00980E5F" w:rsidRDefault="00483613">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392C26C6" w14:textId="77777777" w:rsidR="00980E5F" w:rsidRDefault="00980E5F">
            <w:pPr>
              <w:jc w:val="right"/>
              <w:rPr>
                <w:rFonts w:ascii="宋体"/>
              </w:rPr>
            </w:pPr>
          </w:p>
        </w:tc>
      </w:tr>
      <w:tr w:rsidR="00980E5F" w14:paraId="392C26CE" w14:textId="77777777">
        <w:tc>
          <w:tcPr>
            <w:tcW w:w="0" w:type="auto"/>
            <w:gridSpan w:val="3"/>
            <w:shd w:val="clear" w:color="auto" w:fill="FFFFFF"/>
            <w:tcMar>
              <w:top w:w="40" w:type="dxa"/>
              <w:left w:w="20" w:type="dxa"/>
              <w:bottom w:w="40" w:type="dxa"/>
              <w:right w:w="20" w:type="dxa"/>
            </w:tcMar>
            <w:vAlign w:val="bottom"/>
          </w:tcPr>
          <w:p w14:paraId="392C26C8" w14:textId="77777777" w:rsidR="00980E5F" w:rsidRDefault="00483613">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392C26C9" w14:textId="77777777" w:rsidR="00980E5F" w:rsidRDefault="00483613">
            <w:pPr>
              <w:jc w:val="right"/>
              <w:textAlignment w:val="bottom"/>
            </w:pPr>
            <w:r>
              <w:rPr>
                <w:rFonts w:ascii="Arial" w:eastAsia="宋体" w:hAnsi="Arial" w:cs="Arial"/>
                <w:b/>
                <w:bCs/>
                <w:color w:val="000000"/>
                <w:sz w:val="15"/>
                <w:szCs w:val="15"/>
              </w:rPr>
              <w:t>(72,383)</w:t>
            </w:r>
          </w:p>
        </w:tc>
        <w:tc>
          <w:tcPr>
            <w:tcW w:w="0" w:type="auto"/>
            <w:shd w:val="clear" w:color="auto" w:fill="FFFFFF"/>
            <w:tcMar>
              <w:top w:w="40" w:type="dxa"/>
              <w:left w:w="0" w:type="dxa"/>
              <w:bottom w:w="40" w:type="dxa"/>
              <w:right w:w="20" w:type="dxa"/>
            </w:tcMar>
            <w:vAlign w:val="bottom"/>
          </w:tcPr>
          <w:p w14:paraId="392C26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6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6CC" w14:textId="77777777" w:rsidR="00980E5F" w:rsidRDefault="00483613">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392C26CD" w14:textId="77777777" w:rsidR="00980E5F" w:rsidRDefault="00980E5F">
            <w:pPr>
              <w:jc w:val="right"/>
              <w:rPr>
                <w:rFonts w:ascii="宋体"/>
              </w:rPr>
            </w:pPr>
          </w:p>
        </w:tc>
      </w:tr>
      <w:tr w:rsidR="00980E5F" w14:paraId="392C26D7" w14:textId="77777777">
        <w:tc>
          <w:tcPr>
            <w:tcW w:w="0" w:type="auto"/>
            <w:gridSpan w:val="3"/>
            <w:shd w:val="clear" w:color="auto" w:fill="CCEEFF"/>
            <w:tcMar>
              <w:top w:w="40" w:type="dxa"/>
              <w:left w:w="20" w:type="dxa"/>
              <w:bottom w:w="40" w:type="dxa"/>
              <w:right w:w="20" w:type="dxa"/>
            </w:tcMar>
            <w:vAlign w:val="bottom"/>
          </w:tcPr>
          <w:p w14:paraId="392C26CF" w14:textId="77777777" w:rsidR="00980E5F" w:rsidRDefault="00483613">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6D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6D1" w14:textId="77777777" w:rsidR="00980E5F" w:rsidRDefault="00483613">
            <w:pPr>
              <w:jc w:val="right"/>
              <w:textAlignment w:val="bottom"/>
            </w:pPr>
            <w:r>
              <w:rPr>
                <w:rFonts w:ascii="Arial" w:eastAsia="宋体" w:hAnsi="Arial" w:cs="Arial"/>
                <w:b/>
                <w:bCs/>
                <w:color w:val="000000"/>
                <w:sz w:val="15"/>
                <w:szCs w:val="15"/>
              </w:rPr>
              <w:t>251,910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6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D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6D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6D5" w14:textId="77777777" w:rsidR="00980E5F" w:rsidRDefault="00483613">
            <w:pPr>
              <w:jc w:val="right"/>
              <w:textAlignment w:val="bottom"/>
            </w:pPr>
            <w:r>
              <w:rPr>
                <w:rFonts w:ascii="Arial" w:eastAsia="宋体" w:hAnsi="Arial" w:cs="Arial"/>
                <w:color w:val="000000"/>
                <w:sz w:val="15"/>
                <w:szCs w:val="15"/>
              </w:rPr>
              <w:t>239,275 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6D6" w14:textId="77777777" w:rsidR="00980E5F" w:rsidRDefault="00980E5F">
            <w:pPr>
              <w:jc w:val="right"/>
              <w:rPr>
                <w:rFonts w:ascii="宋体"/>
              </w:rPr>
            </w:pPr>
          </w:p>
        </w:tc>
      </w:tr>
      <w:tr w:rsidR="00980E5F" w14:paraId="392C26DE" w14:textId="77777777">
        <w:tc>
          <w:tcPr>
            <w:tcW w:w="0" w:type="auto"/>
            <w:gridSpan w:val="3"/>
            <w:shd w:val="clear" w:color="auto" w:fill="FFFFFF"/>
            <w:tcMar>
              <w:top w:w="40" w:type="dxa"/>
              <w:left w:w="20" w:type="dxa"/>
              <w:bottom w:w="40" w:type="dxa"/>
              <w:right w:w="20" w:type="dxa"/>
            </w:tcMar>
            <w:vAlign w:val="bottom"/>
          </w:tcPr>
          <w:p w14:paraId="392C26D8" w14:textId="77777777" w:rsidR="00980E5F" w:rsidRDefault="00483613">
            <w:pPr>
              <w:textAlignment w:val="bottom"/>
            </w:pPr>
            <w:r>
              <w:rPr>
                <w:rFonts w:ascii="Arial" w:eastAsia="宋体" w:hAnsi="Arial" w:cs="Arial"/>
                <w:color w:val="000000"/>
                <w:sz w:val="15"/>
                <w:szCs w:val="15"/>
              </w:rPr>
              <w:t>Tier 1 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26D9" w14:textId="77777777" w:rsidR="00980E5F" w:rsidRDefault="00483613">
            <w:pPr>
              <w:jc w:val="right"/>
              <w:textAlignment w:val="bottom"/>
            </w:pPr>
            <w:r>
              <w:rPr>
                <w:rFonts w:ascii="Arial" w:eastAsia="宋体" w:hAnsi="Arial" w:cs="Arial"/>
                <w:b/>
                <w:bCs/>
                <w:color w:val="000000"/>
                <w:sz w:val="15"/>
                <w:szCs w:val="15"/>
              </w:rPr>
              <w:t>6.5</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26DA" w14:textId="77777777" w:rsidR="00980E5F" w:rsidRDefault="00483613">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392C26DB" w14:textId="77777777" w:rsidR="00980E5F" w:rsidRDefault="00980E5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26DC" w14:textId="77777777" w:rsidR="00980E5F" w:rsidRDefault="00483613">
            <w:pPr>
              <w:jc w:val="right"/>
              <w:textAlignment w:val="bottom"/>
            </w:pPr>
            <w:r>
              <w:rPr>
                <w:rFonts w:ascii="Arial" w:eastAsia="宋体" w:hAnsi="Arial" w:cs="Arial"/>
                <w:color w:val="000000"/>
                <w:sz w:val="15"/>
                <w:szCs w:val="15"/>
              </w:rPr>
              <w:t>6.5 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26DD" w14:textId="77777777" w:rsidR="00980E5F" w:rsidRDefault="00483613">
            <w:pPr>
              <w:jc w:val="right"/>
              <w:textAlignment w:val="bottom"/>
            </w:pPr>
            <w:r>
              <w:rPr>
                <w:rFonts w:ascii="Arial" w:eastAsia="宋体" w:hAnsi="Arial" w:cs="Arial"/>
                <w:color w:val="000000"/>
                <w:sz w:val="15"/>
                <w:szCs w:val="15"/>
              </w:rPr>
              <w:t>%</w:t>
            </w:r>
          </w:p>
        </w:tc>
      </w:tr>
      <w:tr w:rsidR="00980E5F" w14:paraId="392C26E5" w14:textId="77777777">
        <w:tc>
          <w:tcPr>
            <w:tcW w:w="0" w:type="auto"/>
            <w:gridSpan w:val="3"/>
            <w:shd w:val="clear" w:color="auto" w:fill="CCEEFF"/>
            <w:tcMar>
              <w:top w:w="40" w:type="dxa"/>
              <w:left w:w="20" w:type="dxa"/>
              <w:bottom w:w="40" w:type="dxa"/>
              <w:right w:w="20" w:type="dxa"/>
            </w:tcMar>
            <w:vAlign w:val="bottom"/>
          </w:tcPr>
          <w:p w14:paraId="392C26DF" w14:textId="77777777" w:rsidR="00980E5F" w:rsidRDefault="00483613">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392C26E0" w14:textId="77777777" w:rsidR="00980E5F" w:rsidRDefault="00483613">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26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6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6E3" w14:textId="77777777" w:rsidR="00980E5F" w:rsidRDefault="00483613">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392C26E4" w14:textId="77777777" w:rsidR="00980E5F" w:rsidRDefault="00980E5F">
            <w:pPr>
              <w:jc w:val="right"/>
              <w:rPr>
                <w:rFonts w:ascii="宋体"/>
              </w:rPr>
            </w:pPr>
          </w:p>
        </w:tc>
      </w:tr>
    </w:tbl>
    <w:p w14:paraId="392C26E6" w14:textId="77777777" w:rsidR="00980E5F" w:rsidRDefault="00980E5F">
      <w:pPr>
        <w:textAlignment w:val="top"/>
      </w:pPr>
    </w:p>
    <w:p w14:paraId="392C26E7" w14:textId="77777777" w:rsidR="00980E5F" w:rsidRDefault="00483613">
      <w:pPr>
        <w:spacing w:before="60"/>
        <w:jc w:val="both"/>
        <w:textAlignment w:val="top"/>
      </w:pPr>
      <w:r>
        <w:rPr>
          <w:rFonts w:ascii="Arial" w:eastAsia="宋体" w:hAnsi="Arial" w:cs="Arial"/>
          <w:b/>
          <w:bCs/>
          <w:i/>
          <w:iCs/>
          <w:color w:val="000000"/>
          <w:sz w:val="20"/>
          <w:szCs w:val="20"/>
        </w:rPr>
        <w:t>Total Loss-Absorbing Capacity (TLAC)</w:t>
      </w:r>
    </w:p>
    <w:p w14:paraId="392C26E8" w14:textId="77777777" w:rsidR="00980E5F" w:rsidRDefault="00483613">
      <w:pPr>
        <w:ind w:firstLine="450"/>
        <w:jc w:val="both"/>
        <w:textAlignment w:val="top"/>
      </w:pPr>
      <w:r>
        <w:rPr>
          <w:rFonts w:ascii="Arial" w:eastAsia="宋体" w:hAnsi="Arial" w:cs="Arial"/>
          <w:color w:val="000000"/>
          <w:sz w:val="20"/>
          <w:szCs w:val="20"/>
        </w:rPr>
        <w:t xml:space="preserve">The Federal Reserve's final rule on TLAC, LTD and clean holding company requirements for U.S. domiciled G-SIBs, such as us, </w:t>
      </w:r>
      <w:r>
        <w:rPr>
          <w:rFonts w:ascii="Arial" w:eastAsia="宋体" w:hAnsi="Arial" w:cs="Arial"/>
          <w:color w:val="000000"/>
          <w:sz w:val="20"/>
          <w:szCs w:val="20"/>
        </w:rPr>
        <w:t>is intended to improve the resiliency and resolvability of certain U.S. banking organizations through enhanced prudential standards, and requires us, among other things, to comply with minimum requirements for external TLAC (combined eligible tier 1 regula</w:t>
      </w:r>
      <w:r>
        <w:rPr>
          <w:rFonts w:ascii="Arial" w:eastAsia="宋体" w:hAnsi="Arial" w:cs="Arial"/>
          <w:color w:val="000000"/>
          <w:sz w:val="20"/>
          <w:szCs w:val="20"/>
        </w:rPr>
        <w:t>tory capital and LTD) and LTD.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980E5F" w14:paraId="392C26EF" w14:textId="77777777">
        <w:tc>
          <w:tcPr>
            <w:tcW w:w="50" w:type="pct"/>
            <w:shd w:val="clear" w:color="auto" w:fill="auto"/>
            <w:vAlign w:val="bottom"/>
          </w:tcPr>
          <w:p w14:paraId="392C26E9" w14:textId="77777777" w:rsidR="00980E5F" w:rsidRDefault="00980E5F">
            <w:pPr>
              <w:rPr>
                <w:rFonts w:ascii="宋体"/>
              </w:rPr>
            </w:pPr>
          </w:p>
        </w:tc>
        <w:tc>
          <w:tcPr>
            <w:tcW w:w="1627" w:type="pct"/>
            <w:shd w:val="clear" w:color="auto" w:fill="auto"/>
            <w:vAlign w:val="bottom"/>
          </w:tcPr>
          <w:p w14:paraId="392C26EA" w14:textId="77777777" w:rsidR="00980E5F" w:rsidRDefault="00980E5F">
            <w:pPr>
              <w:rPr>
                <w:rFonts w:ascii="宋体"/>
              </w:rPr>
            </w:pPr>
          </w:p>
        </w:tc>
        <w:tc>
          <w:tcPr>
            <w:tcW w:w="5" w:type="pct"/>
            <w:shd w:val="clear" w:color="auto" w:fill="auto"/>
            <w:vAlign w:val="bottom"/>
          </w:tcPr>
          <w:p w14:paraId="392C26EB" w14:textId="77777777" w:rsidR="00980E5F" w:rsidRDefault="00980E5F">
            <w:pPr>
              <w:rPr>
                <w:rFonts w:ascii="宋体"/>
              </w:rPr>
            </w:pPr>
          </w:p>
        </w:tc>
        <w:tc>
          <w:tcPr>
            <w:tcW w:w="50" w:type="pct"/>
            <w:shd w:val="clear" w:color="auto" w:fill="auto"/>
            <w:vAlign w:val="bottom"/>
          </w:tcPr>
          <w:p w14:paraId="392C26EC" w14:textId="77777777" w:rsidR="00980E5F" w:rsidRDefault="00980E5F">
            <w:pPr>
              <w:rPr>
                <w:rFonts w:ascii="宋体"/>
              </w:rPr>
            </w:pPr>
          </w:p>
        </w:tc>
        <w:tc>
          <w:tcPr>
            <w:tcW w:w="3262" w:type="pct"/>
            <w:shd w:val="clear" w:color="auto" w:fill="auto"/>
            <w:vAlign w:val="bottom"/>
          </w:tcPr>
          <w:p w14:paraId="392C26ED" w14:textId="77777777" w:rsidR="00980E5F" w:rsidRDefault="00980E5F">
            <w:pPr>
              <w:rPr>
                <w:rFonts w:ascii="宋体"/>
              </w:rPr>
            </w:pPr>
          </w:p>
        </w:tc>
        <w:tc>
          <w:tcPr>
            <w:tcW w:w="5" w:type="pct"/>
            <w:shd w:val="clear" w:color="auto" w:fill="auto"/>
            <w:vAlign w:val="bottom"/>
          </w:tcPr>
          <w:p w14:paraId="392C26EE" w14:textId="77777777" w:rsidR="00980E5F" w:rsidRDefault="00980E5F">
            <w:pPr>
              <w:rPr>
                <w:rFonts w:ascii="宋体"/>
              </w:rPr>
            </w:pPr>
          </w:p>
        </w:tc>
      </w:tr>
      <w:tr w:rsidR="00980E5F" w14:paraId="392C26F2" w14:textId="77777777">
        <w:tc>
          <w:tcPr>
            <w:tcW w:w="0" w:type="auto"/>
            <w:gridSpan w:val="3"/>
            <w:shd w:val="clear" w:color="auto" w:fill="auto"/>
            <w:tcMar>
              <w:top w:w="0" w:type="dxa"/>
              <w:left w:w="20" w:type="dxa"/>
              <w:bottom w:w="0" w:type="dxa"/>
              <w:right w:w="20" w:type="dxa"/>
            </w:tcMar>
            <w:vAlign w:val="bottom"/>
          </w:tcPr>
          <w:p w14:paraId="392C26F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6F1" w14:textId="77777777" w:rsidR="00980E5F" w:rsidRDefault="00483613">
            <w:pPr>
              <w:textAlignment w:val="bottom"/>
            </w:pPr>
            <w:r>
              <w:rPr>
                <w:rFonts w:ascii="Arial" w:eastAsia="宋体" w:hAnsi="Arial" w:cs="Arial"/>
                <w:b/>
                <w:bCs/>
                <w:color w:val="000000"/>
                <w:sz w:val="16"/>
                <w:szCs w:val="16"/>
              </w:rPr>
              <w:t>Amount equal to:</w:t>
            </w:r>
          </w:p>
        </w:tc>
      </w:tr>
      <w:tr w:rsidR="00980E5F" w14:paraId="392C26F9"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392C26F3" w14:textId="77777777" w:rsidR="00980E5F" w:rsidRDefault="00483613">
            <w:pPr>
              <w:textAlignment w:val="center"/>
            </w:pPr>
            <w:r>
              <w:rPr>
                <w:rFonts w:ascii="Arial" w:eastAsia="宋体" w:hAnsi="Arial" w:cs="Arial"/>
                <w:color w:val="000000"/>
                <w:sz w:val="16"/>
                <w:szCs w:val="16"/>
              </w:rPr>
              <w:t>TLAC</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392C26F4" w14:textId="77777777" w:rsidR="00980E5F" w:rsidRDefault="00483613">
            <w:pPr>
              <w:textAlignment w:val="bottom"/>
            </w:pPr>
            <w:r>
              <w:rPr>
                <w:rFonts w:ascii="Arial" w:eastAsia="宋体" w:hAnsi="Arial" w:cs="Arial"/>
                <w:color w:val="000000"/>
                <w:sz w:val="16"/>
                <w:szCs w:val="16"/>
              </w:rPr>
              <w:t>Greater of:</w:t>
            </w:r>
          </w:p>
          <w:p w14:paraId="392C26F5" w14:textId="77777777" w:rsidR="00980E5F" w:rsidRDefault="00483613">
            <w:pPr>
              <w:ind w:hanging="360"/>
              <w:jc w:val="both"/>
              <w:textAlignment w:val="bottom"/>
            </w:pPr>
            <w:r>
              <w:rPr>
                <w:rFonts w:ascii="Arial" w:eastAsia="宋体" w:hAnsi="Arial" w:cs="Arial"/>
                <w:color w:val="000000"/>
                <w:sz w:val="16"/>
                <w:szCs w:val="16"/>
              </w:rPr>
              <w:t xml:space="preserve">•21.5% of total RWA (18.0% minimum plus 2.5% plus a G-SIB surcharge calculated for these purposes under Method 1 of 1.0% plus any applicable </w:t>
            </w:r>
            <w:r>
              <w:rPr>
                <w:rFonts w:ascii="Arial" w:eastAsia="宋体" w:hAnsi="Arial" w:cs="Arial"/>
                <w:color w:val="000000"/>
                <w:sz w:val="16"/>
                <w:szCs w:val="16"/>
              </w:rPr>
              <w:t>counter- cyclical buffer, which is currently 0%); and</w:t>
            </w:r>
          </w:p>
          <w:p w14:paraId="392C26F6" w14:textId="77777777" w:rsidR="00980E5F" w:rsidRDefault="00483613">
            <w:pPr>
              <w:jc w:val="both"/>
              <w:textAlignment w:val="bottom"/>
            </w:pPr>
            <w:r>
              <w:rPr>
                <w:rFonts w:ascii="Arial" w:eastAsia="宋体" w:hAnsi="Arial" w:cs="Arial"/>
                <w:color w:val="000000"/>
                <w:sz w:val="16"/>
                <w:szCs w:val="16"/>
              </w:rPr>
              <w:t> </w:t>
            </w:r>
          </w:p>
          <w:p w14:paraId="392C26F7" w14:textId="77777777" w:rsidR="00980E5F" w:rsidRDefault="00483613">
            <w:pPr>
              <w:ind w:hanging="360"/>
              <w:jc w:val="both"/>
              <w:textAlignment w:val="bottom"/>
            </w:pPr>
            <w:r>
              <w:rPr>
                <w:rFonts w:ascii="Arial" w:eastAsia="宋体" w:hAnsi="Arial" w:cs="Arial"/>
                <w:color w:val="000000"/>
                <w:sz w:val="16"/>
                <w:szCs w:val="16"/>
              </w:rPr>
              <w:t>•9.5% of total leverage exposure (7.5% minimum plus the SLR buffer of 2.0%), as defined by the SLR final rule.</w:t>
            </w:r>
          </w:p>
          <w:p w14:paraId="392C26F8" w14:textId="77777777" w:rsidR="00980E5F" w:rsidRDefault="00980E5F">
            <w:pPr>
              <w:textAlignment w:val="bottom"/>
            </w:pPr>
          </w:p>
        </w:tc>
      </w:tr>
      <w:tr w:rsidR="00980E5F" w14:paraId="392C2700"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392C26FA" w14:textId="77777777" w:rsidR="00980E5F" w:rsidRDefault="00483613">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392C26FB" w14:textId="77777777" w:rsidR="00980E5F" w:rsidRDefault="00483613">
            <w:pPr>
              <w:textAlignment w:val="bottom"/>
            </w:pPr>
            <w:r>
              <w:rPr>
                <w:rFonts w:ascii="Arial" w:eastAsia="宋体" w:hAnsi="Arial" w:cs="Arial"/>
                <w:color w:val="000000"/>
                <w:sz w:val="16"/>
                <w:szCs w:val="16"/>
              </w:rPr>
              <w:t>Greater of:</w:t>
            </w:r>
          </w:p>
          <w:p w14:paraId="392C26FC" w14:textId="77777777" w:rsidR="00980E5F" w:rsidRDefault="00483613">
            <w:pP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392C26FD" w14:textId="77777777" w:rsidR="00980E5F" w:rsidRDefault="00980E5F">
            <w:pPr>
              <w:jc w:val="both"/>
              <w:textAlignment w:val="bottom"/>
            </w:pPr>
          </w:p>
          <w:p w14:paraId="392C26FE" w14:textId="77777777" w:rsidR="00980E5F" w:rsidRDefault="00483613">
            <w:pPr>
              <w:ind w:hanging="360"/>
              <w:jc w:val="both"/>
              <w:textAlignment w:val="bottom"/>
            </w:pPr>
            <w:r>
              <w:rPr>
                <w:rFonts w:ascii="Arial" w:eastAsia="宋体" w:hAnsi="Arial" w:cs="Arial"/>
                <w:color w:val="000000"/>
                <w:sz w:val="16"/>
                <w:szCs w:val="16"/>
              </w:rPr>
              <w:t>•4.5% of total leverage exposure, as defined by the SLR final rule.</w:t>
            </w:r>
          </w:p>
          <w:p w14:paraId="392C26FF" w14:textId="77777777" w:rsidR="00980E5F" w:rsidRDefault="00980E5F">
            <w:pPr>
              <w:textAlignment w:val="bottom"/>
            </w:pPr>
          </w:p>
        </w:tc>
      </w:tr>
    </w:tbl>
    <w:p w14:paraId="392C2701" w14:textId="77777777" w:rsidR="00980E5F" w:rsidRDefault="00483613">
      <w:pPr>
        <w:ind w:firstLine="450"/>
        <w:jc w:val="both"/>
        <w:textAlignment w:val="top"/>
      </w:pPr>
      <w:r>
        <w:rPr>
          <w:rFonts w:ascii="Arial" w:eastAsia="宋体" w:hAnsi="Arial" w:cs="Arial"/>
          <w:color w:val="000000"/>
          <w:sz w:val="20"/>
          <w:szCs w:val="20"/>
        </w:rPr>
        <w:t xml:space="preserve">As of April 1, 2020, the TLAC and LTD requirements calibrated to the SLR </w:t>
      </w:r>
      <w:r>
        <w:rPr>
          <w:rFonts w:ascii="Arial" w:eastAsia="宋体" w:hAnsi="Arial" w:cs="Arial"/>
          <w:color w:val="000000"/>
          <w:sz w:val="20"/>
          <w:szCs w:val="20"/>
        </w:rPr>
        <w:t>denominator reflect the deduction of certain central bank balances as prescribed by the regulatory relief implemented under EGRRCPA.</w:t>
      </w:r>
    </w:p>
    <w:p w14:paraId="392C2702" w14:textId="77777777" w:rsidR="00980E5F" w:rsidRDefault="00483613">
      <w:pPr>
        <w:spacing w:before="60"/>
        <w:ind w:firstLine="450"/>
        <w:jc w:val="both"/>
        <w:textAlignment w:val="top"/>
      </w:pPr>
      <w:r>
        <w:rPr>
          <w:rFonts w:ascii="Arial" w:eastAsia="宋体" w:hAnsi="Arial" w:cs="Arial"/>
          <w:color w:val="000000"/>
          <w:sz w:val="20"/>
          <w:szCs w:val="20"/>
        </w:rPr>
        <w:t>The following table presents external TLAC and external LTD as of June 30, 2022:</w:t>
      </w:r>
    </w:p>
    <w:tbl>
      <w:tblPr>
        <w:tblW w:w="4984" w:type="pct"/>
        <w:tblCellMar>
          <w:top w:w="15" w:type="dxa"/>
          <w:left w:w="15" w:type="dxa"/>
          <w:bottom w:w="15" w:type="dxa"/>
          <w:right w:w="15" w:type="dxa"/>
        </w:tblCellMar>
        <w:tblLook w:val="04A0" w:firstRow="1" w:lastRow="0" w:firstColumn="1" w:lastColumn="0" w:noHBand="0" w:noVBand="1"/>
      </w:tblPr>
      <w:tblGrid>
        <w:gridCol w:w="39"/>
        <w:gridCol w:w="1482"/>
        <w:gridCol w:w="39"/>
        <w:gridCol w:w="38"/>
        <w:gridCol w:w="1483"/>
        <w:gridCol w:w="38"/>
        <w:gridCol w:w="104"/>
        <w:gridCol w:w="1121"/>
        <w:gridCol w:w="36"/>
        <w:gridCol w:w="36"/>
        <w:gridCol w:w="66"/>
        <w:gridCol w:w="36"/>
        <w:gridCol w:w="37"/>
        <w:gridCol w:w="936"/>
        <w:gridCol w:w="154"/>
        <w:gridCol w:w="36"/>
        <w:gridCol w:w="66"/>
        <w:gridCol w:w="36"/>
        <w:gridCol w:w="104"/>
        <w:gridCol w:w="1121"/>
        <w:gridCol w:w="36"/>
        <w:gridCol w:w="36"/>
        <w:gridCol w:w="66"/>
        <w:gridCol w:w="36"/>
        <w:gridCol w:w="37"/>
        <w:gridCol w:w="936"/>
        <w:gridCol w:w="154"/>
      </w:tblGrid>
      <w:tr w:rsidR="00980E5F" w14:paraId="392C271E" w14:textId="77777777">
        <w:tc>
          <w:tcPr>
            <w:tcW w:w="50" w:type="pct"/>
            <w:shd w:val="clear" w:color="auto" w:fill="auto"/>
            <w:vAlign w:val="bottom"/>
          </w:tcPr>
          <w:p w14:paraId="392C2703" w14:textId="77777777" w:rsidR="00980E5F" w:rsidRDefault="00980E5F">
            <w:pPr>
              <w:rPr>
                <w:rFonts w:ascii="宋体"/>
              </w:rPr>
            </w:pPr>
          </w:p>
        </w:tc>
        <w:tc>
          <w:tcPr>
            <w:tcW w:w="922" w:type="pct"/>
            <w:shd w:val="clear" w:color="auto" w:fill="auto"/>
            <w:vAlign w:val="bottom"/>
          </w:tcPr>
          <w:p w14:paraId="392C2704" w14:textId="77777777" w:rsidR="00980E5F" w:rsidRDefault="00980E5F">
            <w:pPr>
              <w:rPr>
                <w:rFonts w:ascii="宋体"/>
              </w:rPr>
            </w:pPr>
          </w:p>
        </w:tc>
        <w:tc>
          <w:tcPr>
            <w:tcW w:w="5" w:type="pct"/>
            <w:shd w:val="clear" w:color="auto" w:fill="auto"/>
            <w:vAlign w:val="bottom"/>
          </w:tcPr>
          <w:p w14:paraId="392C2705" w14:textId="77777777" w:rsidR="00980E5F" w:rsidRDefault="00980E5F">
            <w:pPr>
              <w:rPr>
                <w:rFonts w:ascii="宋体"/>
              </w:rPr>
            </w:pPr>
          </w:p>
        </w:tc>
        <w:tc>
          <w:tcPr>
            <w:tcW w:w="50" w:type="pct"/>
            <w:shd w:val="clear" w:color="auto" w:fill="auto"/>
            <w:vAlign w:val="bottom"/>
          </w:tcPr>
          <w:p w14:paraId="392C2706" w14:textId="77777777" w:rsidR="00980E5F" w:rsidRDefault="00980E5F">
            <w:pPr>
              <w:rPr>
                <w:rFonts w:ascii="宋体"/>
              </w:rPr>
            </w:pPr>
          </w:p>
        </w:tc>
        <w:tc>
          <w:tcPr>
            <w:tcW w:w="922" w:type="pct"/>
            <w:shd w:val="clear" w:color="auto" w:fill="auto"/>
            <w:vAlign w:val="bottom"/>
          </w:tcPr>
          <w:p w14:paraId="392C2707" w14:textId="77777777" w:rsidR="00980E5F" w:rsidRDefault="00980E5F">
            <w:pPr>
              <w:rPr>
                <w:rFonts w:ascii="宋体"/>
              </w:rPr>
            </w:pPr>
          </w:p>
        </w:tc>
        <w:tc>
          <w:tcPr>
            <w:tcW w:w="5" w:type="pct"/>
            <w:shd w:val="clear" w:color="auto" w:fill="auto"/>
            <w:vAlign w:val="bottom"/>
          </w:tcPr>
          <w:p w14:paraId="392C2708" w14:textId="77777777" w:rsidR="00980E5F" w:rsidRDefault="00980E5F">
            <w:pPr>
              <w:rPr>
                <w:rFonts w:ascii="宋体"/>
              </w:rPr>
            </w:pPr>
          </w:p>
        </w:tc>
        <w:tc>
          <w:tcPr>
            <w:tcW w:w="50" w:type="pct"/>
            <w:shd w:val="clear" w:color="auto" w:fill="auto"/>
            <w:vAlign w:val="bottom"/>
          </w:tcPr>
          <w:p w14:paraId="392C2709" w14:textId="77777777" w:rsidR="00980E5F" w:rsidRDefault="00980E5F">
            <w:pPr>
              <w:rPr>
                <w:rFonts w:ascii="宋体"/>
              </w:rPr>
            </w:pPr>
          </w:p>
        </w:tc>
        <w:tc>
          <w:tcPr>
            <w:tcW w:w="702" w:type="pct"/>
            <w:shd w:val="clear" w:color="auto" w:fill="auto"/>
            <w:vAlign w:val="bottom"/>
          </w:tcPr>
          <w:p w14:paraId="392C270A" w14:textId="77777777" w:rsidR="00980E5F" w:rsidRDefault="00980E5F">
            <w:pPr>
              <w:rPr>
                <w:rFonts w:ascii="宋体"/>
              </w:rPr>
            </w:pPr>
          </w:p>
        </w:tc>
        <w:tc>
          <w:tcPr>
            <w:tcW w:w="5" w:type="pct"/>
            <w:shd w:val="clear" w:color="auto" w:fill="auto"/>
            <w:vAlign w:val="bottom"/>
          </w:tcPr>
          <w:p w14:paraId="392C270B" w14:textId="77777777" w:rsidR="00980E5F" w:rsidRDefault="00980E5F">
            <w:pPr>
              <w:rPr>
                <w:rFonts w:ascii="宋体"/>
              </w:rPr>
            </w:pPr>
          </w:p>
        </w:tc>
        <w:tc>
          <w:tcPr>
            <w:tcW w:w="5" w:type="pct"/>
            <w:shd w:val="clear" w:color="auto" w:fill="auto"/>
            <w:vAlign w:val="bottom"/>
          </w:tcPr>
          <w:p w14:paraId="392C270C" w14:textId="77777777" w:rsidR="00980E5F" w:rsidRDefault="00980E5F">
            <w:pPr>
              <w:rPr>
                <w:rFonts w:ascii="宋体"/>
              </w:rPr>
            </w:pPr>
          </w:p>
        </w:tc>
        <w:tc>
          <w:tcPr>
            <w:tcW w:w="68" w:type="pct"/>
            <w:shd w:val="clear" w:color="auto" w:fill="auto"/>
            <w:vAlign w:val="bottom"/>
          </w:tcPr>
          <w:p w14:paraId="392C270D" w14:textId="77777777" w:rsidR="00980E5F" w:rsidRDefault="00980E5F">
            <w:pPr>
              <w:rPr>
                <w:rFonts w:ascii="宋体"/>
              </w:rPr>
            </w:pPr>
          </w:p>
        </w:tc>
        <w:tc>
          <w:tcPr>
            <w:tcW w:w="5" w:type="pct"/>
            <w:shd w:val="clear" w:color="auto" w:fill="auto"/>
            <w:vAlign w:val="bottom"/>
          </w:tcPr>
          <w:p w14:paraId="392C270E" w14:textId="77777777" w:rsidR="00980E5F" w:rsidRDefault="00980E5F">
            <w:pPr>
              <w:rPr>
                <w:rFonts w:ascii="宋体"/>
              </w:rPr>
            </w:pPr>
          </w:p>
        </w:tc>
        <w:tc>
          <w:tcPr>
            <w:tcW w:w="50" w:type="pct"/>
            <w:shd w:val="clear" w:color="auto" w:fill="auto"/>
            <w:vAlign w:val="bottom"/>
          </w:tcPr>
          <w:p w14:paraId="392C270F" w14:textId="77777777" w:rsidR="00980E5F" w:rsidRDefault="00980E5F">
            <w:pPr>
              <w:rPr>
                <w:rFonts w:ascii="宋体"/>
              </w:rPr>
            </w:pPr>
          </w:p>
        </w:tc>
        <w:tc>
          <w:tcPr>
            <w:tcW w:w="591" w:type="pct"/>
            <w:shd w:val="clear" w:color="auto" w:fill="auto"/>
            <w:vAlign w:val="bottom"/>
          </w:tcPr>
          <w:p w14:paraId="392C2710" w14:textId="77777777" w:rsidR="00980E5F" w:rsidRDefault="00980E5F">
            <w:pPr>
              <w:rPr>
                <w:rFonts w:ascii="宋体"/>
              </w:rPr>
            </w:pPr>
          </w:p>
        </w:tc>
        <w:tc>
          <w:tcPr>
            <w:tcW w:w="5" w:type="pct"/>
            <w:shd w:val="clear" w:color="auto" w:fill="auto"/>
            <w:vAlign w:val="bottom"/>
          </w:tcPr>
          <w:p w14:paraId="392C2711" w14:textId="77777777" w:rsidR="00980E5F" w:rsidRDefault="00980E5F">
            <w:pPr>
              <w:rPr>
                <w:rFonts w:ascii="宋体"/>
              </w:rPr>
            </w:pPr>
          </w:p>
        </w:tc>
        <w:tc>
          <w:tcPr>
            <w:tcW w:w="5" w:type="pct"/>
            <w:shd w:val="clear" w:color="auto" w:fill="auto"/>
            <w:vAlign w:val="bottom"/>
          </w:tcPr>
          <w:p w14:paraId="392C2712" w14:textId="77777777" w:rsidR="00980E5F" w:rsidRDefault="00980E5F">
            <w:pPr>
              <w:rPr>
                <w:rFonts w:ascii="宋体"/>
              </w:rPr>
            </w:pPr>
          </w:p>
        </w:tc>
        <w:tc>
          <w:tcPr>
            <w:tcW w:w="68" w:type="pct"/>
            <w:shd w:val="clear" w:color="auto" w:fill="auto"/>
            <w:vAlign w:val="bottom"/>
          </w:tcPr>
          <w:p w14:paraId="392C2713" w14:textId="77777777" w:rsidR="00980E5F" w:rsidRDefault="00980E5F">
            <w:pPr>
              <w:rPr>
                <w:rFonts w:ascii="宋体"/>
              </w:rPr>
            </w:pPr>
          </w:p>
        </w:tc>
        <w:tc>
          <w:tcPr>
            <w:tcW w:w="5" w:type="pct"/>
            <w:shd w:val="clear" w:color="auto" w:fill="auto"/>
            <w:vAlign w:val="bottom"/>
          </w:tcPr>
          <w:p w14:paraId="392C2714" w14:textId="77777777" w:rsidR="00980E5F" w:rsidRDefault="00980E5F">
            <w:pPr>
              <w:rPr>
                <w:rFonts w:ascii="宋体"/>
              </w:rPr>
            </w:pPr>
          </w:p>
        </w:tc>
        <w:tc>
          <w:tcPr>
            <w:tcW w:w="50" w:type="pct"/>
            <w:shd w:val="clear" w:color="auto" w:fill="auto"/>
            <w:vAlign w:val="bottom"/>
          </w:tcPr>
          <w:p w14:paraId="392C2715" w14:textId="77777777" w:rsidR="00980E5F" w:rsidRDefault="00980E5F">
            <w:pPr>
              <w:rPr>
                <w:rFonts w:ascii="宋体"/>
              </w:rPr>
            </w:pPr>
          </w:p>
        </w:tc>
        <w:tc>
          <w:tcPr>
            <w:tcW w:w="702" w:type="pct"/>
            <w:shd w:val="clear" w:color="auto" w:fill="auto"/>
            <w:vAlign w:val="bottom"/>
          </w:tcPr>
          <w:p w14:paraId="392C2716" w14:textId="77777777" w:rsidR="00980E5F" w:rsidRDefault="00980E5F">
            <w:pPr>
              <w:rPr>
                <w:rFonts w:ascii="宋体"/>
              </w:rPr>
            </w:pPr>
          </w:p>
        </w:tc>
        <w:tc>
          <w:tcPr>
            <w:tcW w:w="5" w:type="pct"/>
            <w:shd w:val="clear" w:color="auto" w:fill="auto"/>
            <w:vAlign w:val="bottom"/>
          </w:tcPr>
          <w:p w14:paraId="392C2717" w14:textId="77777777" w:rsidR="00980E5F" w:rsidRDefault="00980E5F">
            <w:pPr>
              <w:rPr>
                <w:rFonts w:ascii="宋体"/>
              </w:rPr>
            </w:pPr>
          </w:p>
        </w:tc>
        <w:tc>
          <w:tcPr>
            <w:tcW w:w="5" w:type="pct"/>
            <w:shd w:val="clear" w:color="auto" w:fill="auto"/>
            <w:vAlign w:val="bottom"/>
          </w:tcPr>
          <w:p w14:paraId="392C2718" w14:textId="77777777" w:rsidR="00980E5F" w:rsidRDefault="00980E5F">
            <w:pPr>
              <w:rPr>
                <w:rFonts w:ascii="宋体"/>
              </w:rPr>
            </w:pPr>
          </w:p>
        </w:tc>
        <w:tc>
          <w:tcPr>
            <w:tcW w:w="68" w:type="pct"/>
            <w:shd w:val="clear" w:color="auto" w:fill="auto"/>
            <w:vAlign w:val="bottom"/>
          </w:tcPr>
          <w:p w14:paraId="392C2719" w14:textId="77777777" w:rsidR="00980E5F" w:rsidRDefault="00980E5F">
            <w:pPr>
              <w:rPr>
                <w:rFonts w:ascii="宋体"/>
              </w:rPr>
            </w:pPr>
          </w:p>
        </w:tc>
        <w:tc>
          <w:tcPr>
            <w:tcW w:w="5" w:type="pct"/>
            <w:shd w:val="clear" w:color="auto" w:fill="auto"/>
            <w:vAlign w:val="bottom"/>
          </w:tcPr>
          <w:p w14:paraId="392C271A" w14:textId="77777777" w:rsidR="00980E5F" w:rsidRDefault="00980E5F">
            <w:pPr>
              <w:rPr>
                <w:rFonts w:ascii="宋体"/>
              </w:rPr>
            </w:pPr>
          </w:p>
        </w:tc>
        <w:tc>
          <w:tcPr>
            <w:tcW w:w="50" w:type="pct"/>
            <w:shd w:val="clear" w:color="auto" w:fill="auto"/>
            <w:vAlign w:val="bottom"/>
          </w:tcPr>
          <w:p w14:paraId="392C271B" w14:textId="77777777" w:rsidR="00980E5F" w:rsidRDefault="00980E5F">
            <w:pPr>
              <w:rPr>
                <w:rFonts w:ascii="宋体"/>
              </w:rPr>
            </w:pPr>
          </w:p>
        </w:tc>
        <w:tc>
          <w:tcPr>
            <w:tcW w:w="591" w:type="pct"/>
            <w:shd w:val="clear" w:color="auto" w:fill="auto"/>
            <w:vAlign w:val="bottom"/>
          </w:tcPr>
          <w:p w14:paraId="392C271C" w14:textId="77777777" w:rsidR="00980E5F" w:rsidRDefault="00980E5F">
            <w:pPr>
              <w:rPr>
                <w:rFonts w:ascii="宋体"/>
              </w:rPr>
            </w:pPr>
          </w:p>
        </w:tc>
        <w:tc>
          <w:tcPr>
            <w:tcW w:w="5" w:type="pct"/>
            <w:shd w:val="clear" w:color="auto" w:fill="auto"/>
            <w:vAlign w:val="bottom"/>
          </w:tcPr>
          <w:p w14:paraId="392C271D" w14:textId="77777777" w:rsidR="00980E5F" w:rsidRDefault="00980E5F">
            <w:pPr>
              <w:rPr>
                <w:rFonts w:ascii="宋体"/>
              </w:rPr>
            </w:pPr>
          </w:p>
        </w:tc>
      </w:tr>
      <w:tr w:rsidR="00980E5F" w14:paraId="392C2720" w14:textId="77777777">
        <w:tc>
          <w:tcPr>
            <w:tcW w:w="0" w:type="auto"/>
            <w:gridSpan w:val="27"/>
            <w:shd w:val="clear" w:color="auto" w:fill="auto"/>
            <w:tcMar>
              <w:top w:w="40" w:type="dxa"/>
              <w:left w:w="20" w:type="dxa"/>
              <w:bottom w:w="40" w:type="dxa"/>
              <w:right w:w="20" w:type="dxa"/>
            </w:tcMar>
            <w:vAlign w:val="bottom"/>
          </w:tcPr>
          <w:p w14:paraId="392C271F" w14:textId="77777777" w:rsidR="00980E5F" w:rsidRDefault="00483613">
            <w:pPr>
              <w:textAlignment w:val="bottom"/>
            </w:pPr>
            <w:r>
              <w:rPr>
                <w:rFonts w:ascii="Arial" w:eastAsia="宋体" w:hAnsi="Arial" w:cs="Arial"/>
                <w:b/>
                <w:bCs/>
                <w:color w:val="000000"/>
                <w:sz w:val="16"/>
                <w:szCs w:val="16"/>
              </w:rPr>
              <w:t>TABLE 38: TOTAL LOSS-ABSORBING CAPACITY</w:t>
            </w:r>
          </w:p>
        </w:tc>
      </w:tr>
      <w:tr w:rsidR="00980E5F" w14:paraId="392C2723" w14:textId="77777777">
        <w:tc>
          <w:tcPr>
            <w:tcW w:w="0" w:type="auto"/>
            <w:gridSpan w:val="6"/>
            <w:shd w:val="clear" w:color="auto" w:fill="auto"/>
            <w:tcMar>
              <w:top w:w="0" w:type="dxa"/>
              <w:left w:w="20" w:type="dxa"/>
              <w:bottom w:w="0" w:type="dxa"/>
              <w:right w:w="20" w:type="dxa"/>
            </w:tcMar>
            <w:vAlign w:val="bottom"/>
          </w:tcPr>
          <w:p w14:paraId="392C2721" w14:textId="77777777" w:rsidR="00980E5F" w:rsidRDefault="00980E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92C2722" w14:textId="77777777" w:rsidR="00980E5F" w:rsidRDefault="00483613">
            <w:pPr>
              <w:jc w:val="center"/>
              <w:textAlignment w:val="bottom"/>
            </w:pPr>
            <w:r>
              <w:rPr>
                <w:rFonts w:ascii="Arial" w:eastAsia="宋体" w:hAnsi="Arial" w:cs="Arial"/>
                <w:b/>
                <w:bCs/>
                <w:color w:val="000000"/>
                <w:sz w:val="15"/>
                <w:szCs w:val="15"/>
              </w:rPr>
              <w:t>As of June 30, 2022</w:t>
            </w:r>
          </w:p>
        </w:tc>
      </w:tr>
      <w:tr w:rsidR="00980E5F" w14:paraId="392C2728" w14:textId="77777777">
        <w:tc>
          <w:tcPr>
            <w:tcW w:w="0" w:type="auto"/>
            <w:gridSpan w:val="6"/>
            <w:shd w:val="clear" w:color="auto" w:fill="auto"/>
            <w:tcMar>
              <w:top w:w="40" w:type="dxa"/>
              <w:left w:w="20" w:type="dxa"/>
              <w:bottom w:w="40" w:type="dxa"/>
              <w:right w:w="20" w:type="dxa"/>
            </w:tcMar>
            <w:vAlign w:val="bottom"/>
          </w:tcPr>
          <w:p w14:paraId="392C2724" w14:textId="77777777" w:rsidR="00980E5F" w:rsidRDefault="00483613">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725" w14:textId="77777777" w:rsidR="00980E5F" w:rsidRDefault="00483613">
            <w:pPr>
              <w:jc w:val="center"/>
              <w:textAlignment w:val="bottom"/>
            </w:pPr>
            <w:r>
              <w:rPr>
                <w:rFonts w:ascii="Arial" w:eastAsia="宋体" w:hAnsi="Arial" w:cs="Arial"/>
                <w:b/>
                <w:bCs/>
                <w:color w:val="000000"/>
                <w:sz w:val="14"/>
                <w:szCs w:val="14"/>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6"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727" w14:textId="77777777" w:rsidR="00980E5F" w:rsidRDefault="00483613">
            <w:pPr>
              <w:jc w:val="center"/>
              <w:textAlignment w:val="bottom"/>
            </w:pPr>
            <w:r>
              <w:rPr>
                <w:rFonts w:ascii="Arial" w:eastAsia="宋体" w:hAnsi="Arial" w:cs="Arial"/>
                <w:b/>
                <w:bCs/>
                <w:color w:val="000000"/>
                <w:sz w:val="14"/>
                <w:szCs w:val="14"/>
              </w:rPr>
              <w:t>Requirement</w:t>
            </w:r>
          </w:p>
        </w:tc>
      </w:tr>
      <w:tr w:rsidR="00980E5F" w14:paraId="392C2731" w14:textId="77777777">
        <w:tc>
          <w:tcPr>
            <w:tcW w:w="0" w:type="auto"/>
            <w:gridSpan w:val="6"/>
            <w:shd w:val="clear" w:color="auto" w:fill="auto"/>
            <w:tcMar>
              <w:top w:w="40" w:type="dxa"/>
              <w:left w:w="20" w:type="dxa"/>
              <w:bottom w:w="40" w:type="dxa"/>
              <w:right w:w="20" w:type="dxa"/>
            </w:tcMar>
            <w:vAlign w:val="center"/>
          </w:tcPr>
          <w:p w14:paraId="392C2729" w14:textId="77777777" w:rsidR="00980E5F" w:rsidRDefault="00483613">
            <w:pPr>
              <w:textAlignment w:val="center"/>
            </w:pPr>
            <w:r>
              <w:rPr>
                <w:rFonts w:ascii="Arial" w:eastAsia="宋体" w:hAnsi="Arial" w:cs="Arial"/>
                <w:color w:val="000000"/>
                <w:sz w:val="15"/>
                <w:szCs w:val="15"/>
              </w:rPr>
              <w:t>Total loss-absorbing capacity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72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2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730" w14:textId="77777777" w:rsidR="00980E5F" w:rsidRDefault="00980E5F">
            <w:pPr>
              <w:rPr>
                <w:rFonts w:ascii="宋体"/>
              </w:rPr>
            </w:pPr>
          </w:p>
        </w:tc>
      </w:tr>
      <w:tr w:rsidR="00980E5F" w14:paraId="392C2740" w14:textId="77777777">
        <w:tc>
          <w:tcPr>
            <w:tcW w:w="0" w:type="auto"/>
            <w:gridSpan w:val="6"/>
            <w:shd w:val="clear" w:color="auto" w:fill="CCEEFF"/>
            <w:tcMar>
              <w:top w:w="40" w:type="dxa"/>
              <w:left w:w="155" w:type="dxa"/>
              <w:bottom w:w="40" w:type="dxa"/>
              <w:right w:w="20" w:type="dxa"/>
            </w:tcMar>
            <w:vAlign w:val="center"/>
          </w:tcPr>
          <w:p w14:paraId="392C2732" w14:textId="77777777" w:rsidR="00980E5F" w:rsidRDefault="00483613">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392C2733" w14:textId="77777777" w:rsidR="00980E5F" w:rsidRDefault="00483613">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392C2734" w14:textId="77777777" w:rsidR="00980E5F" w:rsidRDefault="00483613">
            <w:pPr>
              <w:jc w:val="right"/>
              <w:textAlignment w:val="center"/>
            </w:pPr>
            <w:r>
              <w:rPr>
                <w:rFonts w:ascii="Arial" w:eastAsia="宋体" w:hAnsi="Arial" w:cs="Arial"/>
                <w:b/>
                <w:bCs/>
                <w:color w:val="000000"/>
                <w:sz w:val="15"/>
                <w:szCs w:val="15"/>
              </w:rPr>
              <w:t>29,261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3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737" w14:textId="77777777" w:rsidR="00980E5F" w:rsidRDefault="00483613">
            <w:pPr>
              <w:jc w:val="right"/>
              <w:textAlignment w:val="center"/>
            </w:pPr>
            <w:r>
              <w:rPr>
                <w:rFonts w:ascii="Arial" w:eastAsia="宋体" w:hAnsi="Arial" w:cs="Arial"/>
                <w:b/>
                <w:bCs/>
                <w:color w:val="000000"/>
                <w:sz w:val="15"/>
                <w:szCs w:val="15"/>
              </w:rPr>
              <w:t>25.4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38" w14:textId="77777777" w:rsidR="00980E5F" w:rsidRDefault="00483613">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392C2739"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273A" w14:textId="77777777" w:rsidR="00980E5F" w:rsidRDefault="00483613">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392C273B" w14:textId="77777777" w:rsidR="00980E5F" w:rsidRDefault="00483613">
            <w:pPr>
              <w:jc w:val="right"/>
              <w:textAlignment w:val="center"/>
            </w:pPr>
            <w:r>
              <w:rPr>
                <w:rFonts w:ascii="Arial" w:eastAsia="宋体" w:hAnsi="Arial" w:cs="Arial"/>
                <w:b/>
                <w:bCs/>
                <w:color w:val="000000"/>
                <w:sz w:val="15"/>
                <w:szCs w:val="15"/>
              </w:rPr>
              <w:t>24,812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73E" w14:textId="77777777" w:rsidR="00980E5F" w:rsidRDefault="00483613">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3F" w14:textId="77777777" w:rsidR="00980E5F" w:rsidRDefault="00483613">
            <w:pPr>
              <w:jc w:val="right"/>
              <w:textAlignment w:val="center"/>
            </w:pPr>
            <w:r>
              <w:rPr>
                <w:rFonts w:ascii="Arial" w:eastAsia="宋体" w:hAnsi="Arial" w:cs="Arial"/>
                <w:b/>
                <w:bCs/>
                <w:color w:val="000000"/>
                <w:sz w:val="15"/>
                <w:szCs w:val="15"/>
              </w:rPr>
              <w:t>%</w:t>
            </w:r>
          </w:p>
        </w:tc>
      </w:tr>
      <w:tr w:rsidR="00980E5F" w14:paraId="392C274D" w14:textId="77777777">
        <w:tc>
          <w:tcPr>
            <w:tcW w:w="0" w:type="auto"/>
            <w:gridSpan w:val="6"/>
            <w:shd w:val="clear" w:color="auto" w:fill="FFFFFF"/>
            <w:tcMar>
              <w:top w:w="40" w:type="dxa"/>
              <w:left w:w="155" w:type="dxa"/>
              <w:bottom w:w="40" w:type="dxa"/>
              <w:right w:w="20" w:type="dxa"/>
            </w:tcMar>
            <w:vAlign w:val="center"/>
          </w:tcPr>
          <w:p w14:paraId="392C2741" w14:textId="77777777" w:rsidR="00980E5F" w:rsidRDefault="00483613">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392C2742" w14:textId="77777777" w:rsidR="00980E5F" w:rsidRDefault="00483613">
            <w:pPr>
              <w:jc w:val="right"/>
              <w:textAlignment w:val="center"/>
            </w:pPr>
            <w:r>
              <w:rPr>
                <w:rFonts w:ascii="Arial" w:eastAsia="宋体" w:hAnsi="Arial" w:cs="Arial"/>
                <w:b/>
                <w:bCs/>
                <w:color w:val="000000"/>
                <w:sz w:val="15"/>
                <w:szCs w:val="15"/>
              </w:rPr>
              <w:t>29,261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45" w14:textId="77777777" w:rsidR="00980E5F" w:rsidRDefault="00483613">
            <w:pPr>
              <w:jc w:val="right"/>
              <w:textAlignment w:val="center"/>
            </w:pPr>
            <w:r>
              <w:rPr>
                <w:rFonts w:ascii="Arial" w:eastAsia="宋体" w:hAnsi="Arial" w:cs="Arial"/>
                <w:b/>
                <w:bCs/>
                <w:color w:val="000000"/>
                <w:sz w:val="15"/>
                <w:szCs w:val="15"/>
              </w:rPr>
              <w:t>11.5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4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48" w14:textId="77777777" w:rsidR="00980E5F" w:rsidRDefault="00483613">
            <w:pPr>
              <w:jc w:val="right"/>
              <w:textAlignment w:val="center"/>
            </w:pPr>
            <w:r>
              <w:rPr>
                <w:rFonts w:ascii="Arial" w:eastAsia="宋体" w:hAnsi="Arial" w:cs="Arial"/>
                <w:b/>
                <w:bCs/>
                <w:color w:val="000000"/>
                <w:sz w:val="15"/>
                <w:szCs w:val="15"/>
              </w:rPr>
              <w:t>24,190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4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4B" w14:textId="77777777" w:rsidR="00980E5F" w:rsidRDefault="00483613">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4C" w14:textId="77777777" w:rsidR="00980E5F" w:rsidRDefault="00980E5F">
            <w:pPr>
              <w:jc w:val="right"/>
              <w:rPr>
                <w:rFonts w:ascii="宋体"/>
              </w:rPr>
            </w:pPr>
          </w:p>
        </w:tc>
      </w:tr>
      <w:tr w:rsidR="00980E5F" w14:paraId="392C2756" w14:textId="77777777">
        <w:tc>
          <w:tcPr>
            <w:tcW w:w="0" w:type="auto"/>
            <w:gridSpan w:val="6"/>
            <w:shd w:val="clear" w:color="auto" w:fill="CCEEFF"/>
            <w:tcMar>
              <w:top w:w="40" w:type="dxa"/>
              <w:left w:w="20" w:type="dxa"/>
              <w:bottom w:w="40" w:type="dxa"/>
              <w:right w:w="20" w:type="dxa"/>
            </w:tcMar>
            <w:vAlign w:val="center"/>
          </w:tcPr>
          <w:p w14:paraId="392C274E" w14:textId="77777777" w:rsidR="00980E5F" w:rsidRDefault="00483613">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392C274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755" w14:textId="77777777" w:rsidR="00980E5F" w:rsidRDefault="00980E5F">
            <w:pPr>
              <w:rPr>
                <w:rFonts w:ascii="宋体"/>
              </w:rPr>
            </w:pPr>
          </w:p>
        </w:tc>
      </w:tr>
      <w:tr w:rsidR="00980E5F" w14:paraId="392C2763" w14:textId="77777777">
        <w:tc>
          <w:tcPr>
            <w:tcW w:w="0" w:type="auto"/>
            <w:gridSpan w:val="6"/>
            <w:shd w:val="clear" w:color="auto" w:fill="FFFFFF"/>
            <w:tcMar>
              <w:top w:w="40" w:type="dxa"/>
              <w:left w:w="155" w:type="dxa"/>
              <w:bottom w:w="40" w:type="dxa"/>
              <w:right w:w="20" w:type="dxa"/>
            </w:tcMar>
            <w:vAlign w:val="center"/>
          </w:tcPr>
          <w:p w14:paraId="392C2757" w14:textId="77777777" w:rsidR="00980E5F" w:rsidRDefault="00483613">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392C2758" w14:textId="77777777" w:rsidR="00980E5F" w:rsidRDefault="00483613">
            <w:pPr>
              <w:jc w:val="right"/>
              <w:textAlignment w:val="center"/>
            </w:pPr>
            <w:r>
              <w:rPr>
                <w:rFonts w:ascii="Arial" w:eastAsia="宋体" w:hAnsi="Arial" w:cs="Arial"/>
                <w:b/>
                <w:bCs/>
                <w:color w:val="000000"/>
                <w:sz w:val="15"/>
                <w:szCs w:val="15"/>
              </w:rPr>
              <w:t>11,903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5B" w14:textId="77777777" w:rsidR="00980E5F" w:rsidRDefault="00483613">
            <w:pPr>
              <w:jc w:val="right"/>
              <w:textAlignment w:val="center"/>
            </w:pPr>
            <w:r>
              <w:rPr>
                <w:rFonts w:ascii="Arial" w:eastAsia="宋体" w:hAnsi="Arial" w:cs="Arial"/>
                <w:b/>
                <w:bCs/>
                <w:color w:val="000000"/>
                <w:sz w:val="15"/>
                <w:szCs w:val="15"/>
              </w:rPr>
              <w:t>10.3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5E" w14:textId="77777777" w:rsidR="00980E5F" w:rsidRDefault="00483613">
            <w:pPr>
              <w:jc w:val="right"/>
              <w:textAlignment w:val="center"/>
            </w:pPr>
            <w:r>
              <w:rPr>
                <w:rFonts w:ascii="Arial" w:eastAsia="宋体" w:hAnsi="Arial" w:cs="Arial"/>
                <w:b/>
                <w:bCs/>
                <w:color w:val="000000"/>
                <w:sz w:val="15"/>
                <w:szCs w:val="15"/>
              </w:rPr>
              <w:t>8,078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7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761" w14:textId="77777777" w:rsidR="00980E5F" w:rsidRDefault="00483613">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392C2762" w14:textId="77777777" w:rsidR="00980E5F" w:rsidRDefault="00980E5F">
            <w:pPr>
              <w:jc w:val="right"/>
              <w:rPr>
                <w:rFonts w:ascii="宋体"/>
              </w:rPr>
            </w:pPr>
          </w:p>
        </w:tc>
      </w:tr>
      <w:tr w:rsidR="00980E5F" w14:paraId="392C2770" w14:textId="77777777">
        <w:tc>
          <w:tcPr>
            <w:tcW w:w="0" w:type="auto"/>
            <w:gridSpan w:val="6"/>
            <w:shd w:val="clear" w:color="auto" w:fill="CCEEFF"/>
            <w:tcMar>
              <w:top w:w="40" w:type="dxa"/>
              <w:left w:w="155" w:type="dxa"/>
              <w:bottom w:w="40" w:type="dxa"/>
              <w:right w:w="20" w:type="dxa"/>
            </w:tcMar>
            <w:vAlign w:val="center"/>
          </w:tcPr>
          <w:p w14:paraId="392C2764" w14:textId="77777777" w:rsidR="00980E5F" w:rsidRDefault="00483613">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392C2765" w14:textId="77777777" w:rsidR="00980E5F" w:rsidRDefault="00483613">
            <w:pPr>
              <w:jc w:val="right"/>
              <w:textAlignment w:val="center"/>
            </w:pPr>
            <w:r>
              <w:rPr>
                <w:rFonts w:ascii="Arial" w:eastAsia="宋体" w:hAnsi="Arial" w:cs="Arial"/>
                <w:b/>
                <w:bCs/>
                <w:color w:val="000000"/>
                <w:sz w:val="15"/>
                <w:szCs w:val="15"/>
              </w:rPr>
              <w:t>11,903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768" w14:textId="77777777" w:rsidR="00980E5F" w:rsidRDefault="00483613">
            <w:pPr>
              <w:jc w:val="right"/>
              <w:textAlignment w:val="center"/>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6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76B" w14:textId="77777777" w:rsidR="00980E5F" w:rsidRDefault="00483613">
            <w:pPr>
              <w:jc w:val="right"/>
              <w:textAlignment w:val="center"/>
            </w:pPr>
            <w:r>
              <w:rPr>
                <w:rFonts w:ascii="Arial" w:eastAsia="宋体" w:hAnsi="Arial" w:cs="Arial"/>
                <w:b/>
                <w:bCs/>
                <w:color w:val="000000"/>
                <w:sz w:val="15"/>
                <w:szCs w:val="15"/>
              </w:rPr>
              <w:t>11,458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6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76E" w14:textId="77777777" w:rsidR="00980E5F" w:rsidRDefault="00483613">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392C276F" w14:textId="77777777" w:rsidR="00980E5F" w:rsidRDefault="00980E5F">
            <w:pPr>
              <w:jc w:val="right"/>
              <w:rPr>
                <w:rFonts w:ascii="宋体"/>
              </w:rPr>
            </w:pPr>
          </w:p>
        </w:tc>
      </w:tr>
    </w:tbl>
    <w:p w14:paraId="392C2771" w14:textId="77777777" w:rsidR="00980E5F" w:rsidRDefault="00483613">
      <w:pPr>
        <w:ind w:firstLine="450"/>
        <w:jc w:val="right"/>
      </w:pPr>
      <w:r>
        <w:rPr>
          <w:rFonts w:ascii="Arial" w:eastAsia="宋体" w:hAnsi="Arial" w:cs="Arial"/>
          <w:color w:val="000000"/>
          <w:sz w:val="18"/>
          <w:szCs w:val="18"/>
        </w:rPr>
        <w:t>State Street Corporation | 48</w:t>
      </w:r>
    </w:p>
    <w:p w14:paraId="392C2772" w14:textId="77777777" w:rsidR="00980E5F" w:rsidRDefault="00980E5F">
      <w:pPr>
        <w:ind w:firstLine="450"/>
        <w:jc w:val="center"/>
      </w:pPr>
    </w:p>
    <w:p w14:paraId="392C2773" w14:textId="77777777" w:rsidR="00980E5F" w:rsidRDefault="00483613">
      <w:r>
        <w:pict w14:anchorId="392CBAFE">
          <v:rect id="_x0000_i1072" style="width:415.3pt;height:1.5pt" o:hralign="center" o:hrstd="t" o:hr="t" fillcolor="#a0a0a0" stroked="f"/>
        </w:pict>
      </w:r>
    </w:p>
    <w:p w14:paraId="392C277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775" w14:textId="77777777" w:rsidR="00980E5F" w:rsidRDefault="00483613">
      <w:pPr>
        <w:ind w:firstLine="450"/>
        <w:jc w:val="center"/>
      </w:pPr>
      <w:r>
        <w:rPr>
          <w:rFonts w:ascii="Arial" w:eastAsia="宋体" w:hAnsi="Arial" w:cs="Arial"/>
          <w:b/>
          <w:bCs/>
          <w:color w:val="000000"/>
          <w:sz w:val="20"/>
          <w:szCs w:val="20"/>
        </w:rPr>
        <w:t>AND RESULTS OF OPERATIONS</w:t>
      </w:r>
    </w:p>
    <w:p w14:paraId="392C2776" w14:textId="77777777" w:rsidR="00980E5F" w:rsidRDefault="00483613">
      <w:pPr>
        <w:spacing w:before="60"/>
        <w:jc w:val="both"/>
        <w:textAlignment w:val="top"/>
      </w:pPr>
      <w:r>
        <w:rPr>
          <w:rFonts w:ascii="Arial" w:eastAsia="宋体" w:hAnsi="Arial" w:cs="Arial"/>
          <w:b/>
          <w:bCs/>
          <w:i/>
          <w:iCs/>
          <w:color w:val="000000"/>
          <w:sz w:val="20"/>
          <w:szCs w:val="20"/>
        </w:rPr>
        <w:t>Regulatory Developments</w:t>
      </w:r>
    </w:p>
    <w:p w14:paraId="392C2777" w14:textId="77777777" w:rsidR="00980E5F" w:rsidRDefault="00483613">
      <w:pPr>
        <w:spacing w:before="60"/>
        <w:ind w:firstLine="450"/>
        <w:jc w:val="both"/>
        <w:textAlignment w:val="top"/>
      </w:pPr>
      <w:r>
        <w:rPr>
          <w:rFonts w:ascii="Arial" w:eastAsia="宋体" w:hAnsi="Arial" w:cs="Arial"/>
          <w:color w:val="000000"/>
          <w:sz w:val="20"/>
          <w:szCs w:val="20"/>
        </w:rPr>
        <w:t xml:space="preserve">In April 2018, the Federal Reserve issued a proposed rule which </w:t>
      </w:r>
      <w:r>
        <w:rPr>
          <w:rFonts w:ascii="Arial" w:eastAsia="宋体" w:hAnsi="Arial" w:cs="Arial"/>
          <w:color w:val="000000"/>
          <w:sz w:val="20"/>
          <w:szCs w:val="20"/>
        </w:rPr>
        <w:t>would replace the current 2.0% SLR buffer for G-SIBs, with a buffer equal to 50% of their G-SIB surcharge. This proposal would also make conforming modifications to our TLAC and eligible LTD requirements applicable to G-SIBs. At this point in time, it is u</w:t>
      </w:r>
      <w:r>
        <w:rPr>
          <w:rFonts w:ascii="Arial" w:eastAsia="宋体" w:hAnsi="Arial" w:cs="Arial"/>
          <w:color w:val="000000"/>
          <w:sz w:val="20"/>
          <w:szCs w:val="20"/>
        </w:rPr>
        <w:t>nclear whether this proposal will be implemented as proposed.</w:t>
      </w:r>
    </w:p>
    <w:p w14:paraId="392C2778" w14:textId="77777777" w:rsidR="00980E5F" w:rsidRDefault="00483613">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that, among other things, implemented the standardized approach for counterparty credit risk (SA</w:t>
      </w:r>
      <w:r>
        <w:rPr>
          <w:rFonts w:ascii="Arial" w:eastAsia="宋体" w:hAnsi="Arial" w:cs="Arial"/>
          <w:color w:val="000000"/>
          <w:sz w:val="20"/>
          <w:szCs w:val="20"/>
        </w:rPr>
        <w:t xml:space="preserve">-CCR), a methodology for calculating the exposure amount for derivative contracts. Under the final rule, which became effective on January 1, 2022, we have the option to use the SA-CCR or the Internal Model Methodology (IMM) to measure the exposure amount </w:t>
      </w:r>
      <w:r>
        <w:rPr>
          <w:rFonts w:ascii="Arial" w:eastAsia="宋体" w:hAnsi="Arial" w:cs="Arial"/>
          <w:color w:val="000000"/>
          <w:sz w:val="20"/>
          <w:szCs w:val="20"/>
        </w:rPr>
        <w:t>of our cleared and uncleared derivative transactions under our advanced approaches calculation. We have elected to use the SA-CCR for purposes of our advanced approaches capital calculations. We are required to determine the amount of these exposures using</w:t>
      </w:r>
      <w:r>
        <w:rPr>
          <w:rFonts w:ascii="Arial" w:eastAsia="宋体" w:hAnsi="Arial" w:cs="Arial"/>
          <w:color w:val="000000"/>
          <w:sz w:val="20"/>
          <w:szCs w:val="20"/>
        </w:rPr>
        <w:t xml:space="preserve"> the SA-CCR under our standardized approach capital calculation. Additionally, we have to apply a revised formula to determine the RWA amount of our central counterparty default fund contributions.</w:t>
      </w:r>
    </w:p>
    <w:p w14:paraId="392C2779" w14:textId="77777777" w:rsidR="00980E5F" w:rsidRDefault="00483613">
      <w:pPr>
        <w:spacing w:before="60"/>
        <w:ind w:firstLine="450"/>
        <w:jc w:val="both"/>
        <w:textAlignment w:val="top"/>
      </w:pPr>
      <w:r>
        <w:rPr>
          <w:rFonts w:ascii="Arial" w:eastAsia="宋体" w:hAnsi="Arial" w:cs="Arial"/>
          <w:color w:val="000000"/>
          <w:sz w:val="20"/>
          <w:szCs w:val="20"/>
        </w:rPr>
        <w:t>On March 4, 2020, the U.S. federal banking agencies issued</w:t>
      </w:r>
      <w:r>
        <w:rPr>
          <w:rFonts w:ascii="Arial" w:eastAsia="宋体" w:hAnsi="Arial" w:cs="Arial"/>
          <w:color w:val="000000"/>
          <w:sz w:val="20"/>
          <w:szCs w:val="20"/>
        </w:rPr>
        <w:t xml:space="preserve"> the SCB final rule that replaces, under the standardized approach, the capital conservation buffer (2.5%) with a SCB calculated as the difference between an institution’s starting and lowest projected CET1 ratio under the CCAR severely adverse scenario pl</w:t>
      </w:r>
      <w:r>
        <w:rPr>
          <w:rFonts w:ascii="Arial" w:eastAsia="宋体" w:hAnsi="Arial" w:cs="Arial"/>
          <w:color w:val="000000"/>
          <w:sz w:val="20"/>
          <w:szCs w:val="20"/>
        </w:rPr>
        <w:t>us planned common stock dividend payments (as a percentage of RWA) from the fourth through seventh quarter of the CCAR planning horizon. Based on our results from the 2021 supervisory stress test, our SCB for the period of October 1, 2021 through September</w:t>
      </w:r>
      <w:r>
        <w:rPr>
          <w:rFonts w:ascii="Arial" w:eastAsia="宋体" w:hAnsi="Arial" w:cs="Arial"/>
          <w:color w:val="000000"/>
          <w:sz w:val="20"/>
          <w:szCs w:val="20"/>
        </w:rPr>
        <w:t xml:space="preserve"> 2022 is set at the minimum of 2.5% of RWA.</w:t>
      </w:r>
    </w:p>
    <w:p w14:paraId="392C277A" w14:textId="77777777" w:rsidR="00980E5F" w:rsidRDefault="00483613">
      <w:pPr>
        <w:spacing w:before="60"/>
        <w:ind w:firstLine="450"/>
        <w:jc w:val="both"/>
        <w:textAlignment w:val="top"/>
      </w:pPr>
      <w:r>
        <w:rPr>
          <w:rFonts w:ascii="Arial" w:eastAsia="宋体" w:hAnsi="Arial" w:cs="Arial"/>
          <w:color w:val="000000"/>
          <w:sz w:val="20"/>
          <w:szCs w:val="20"/>
        </w:rPr>
        <w:t>The Federal Reserve and other U.S. federal banking agencies issued an interim final rule effective in March 2020 and later finalized on a permanent basis on August 26, 2020, which revised the definition of eligib</w:t>
      </w:r>
      <w:r>
        <w:rPr>
          <w:rFonts w:ascii="Arial" w:eastAsia="宋体" w:hAnsi="Arial" w:cs="Arial"/>
          <w:color w:val="000000"/>
          <w:sz w:val="20"/>
          <w:szCs w:val="20"/>
        </w:rPr>
        <w:t xml:space="preserve">le retained income for all U.S. banking organizations. The revised definition of eligible retained income makes any automatic limitations on </w:t>
      </w:r>
    </w:p>
    <w:p w14:paraId="392C277B" w14:textId="77777777" w:rsidR="00980E5F" w:rsidRDefault="00483613">
      <w:pPr>
        <w:spacing w:before="60"/>
        <w:jc w:val="both"/>
        <w:textAlignment w:val="top"/>
      </w:pPr>
      <w:r>
        <w:rPr>
          <w:rFonts w:ascii="Arial" w:eastAsia="宋体" w:hAnsi="Arial" w:cs="Arial"/>
          <w:color w:val="000000"/>
          <w:sz w:val="20"/>
          <w:szCs w:val="20"/>
        </w:rPr>
        <w:t>capital distributions, where a banking organization's regulatory ratios were to decline below the respective minim</w:t>
      </w:r>
      <w:r>
        <w:rPr>
          <w:rFonts w:ascii="Arial" w:eastAsia="宋体" w:hAnsi="Arial" w:cs="Arial"/>
          <w:color w:val="000000"/>
          <w:sz w:val="20"/>
          <w:szCs w:val="20"/>
        </w:rPr>
        <w:t>um requirements, take effect on a more gradual basis.</w:t>
      </w:r>
    </w:p>
    <w:p w14:paraId="392C277C" w14:textId="77777777" w:rsidR="00980E5F" w:rsidRDefault="00483613">
      <w:pPr>
        <w:spacing w:before="60"/>
        <w:ind w:firstLine="450"/>
        <w:jc w:val="both"/>
        <w:textAlignment w:val="top"/>
      </w:pPr>
      <w:r>
        <w:rPr>
          <w:rFonts w:ascii="Arial" w:eastAsia="宋体" w:hAnsi="Arial" w:cs="Arial"/>
          <w:color w:val="000000"/>
          <w:sz w:val="20"/>
          <w:szCs w:val="20"/>
        </w:rPr>
        <w:t>On March 27, 2020, the BCBS announced the deferral of the implementation of the revisions to the Basel III framework to January 1, 2023. As of now, the U.S. federal banking agencies have not formally pr</w:t>
      </w:r>
      <w:r>
        <w:rPr>
          <w:rFonts w:ascii="Arial" w:eastAsia="宋体" w:hAnsi="Arial" w:cs="Arial"/>
          <w:color w:val="000000"/>
          <w:sz w:val="20"/>
          <w:szCs w:val="20"/>
        </w:rPr>
        <w:t>oposed the implementation of the BCBS revisions.</w:t>
      </w:r>
    </w:p>
    <w:p w14:paraId="392C277D" w14:textId="77777777" w:rsidR="00980E5F" w:rsidRDefault="00483613">
      <w:pPr>
        <w:spacing w:before="60"/>
        <w:ind w:firstLine="450"/>
        <w:jc w:val="both"/>
        <w:textAlignment w:val="top"/>
      </w:pPr>
      <w:r>
        <w:rPr>
          <w:rFonts w:ascii="Arial" w:eastAsia="宋体" w:hAnsi="Arial" w:cs="Arial"/>
          <w:color w:val="000000"/>
          <w:sz w:val="20"/>
          <w:szCs w:val="20"/>
        </w:rPr>
        <w:t>Effective April 1, 2020, the Federal Reserve and other U.S. federal banking agencies adopted a final rule as part of EGRRCPA that establishes a deduction for qualifying central bank deposits from a custodial</w:t>
      </w:r>
      <w:r>
        <w:rPr>
          <w:rFonts w:ascii="Arial" w:eastAsia="宋体" w:hAnsi="Arial" w:cs="Arial"/>
          <w:color w:val="000000"/>
          <w:sz w:val="20"/>
          <w:szCs w:val="20"/>
        </w:rPr>
        <w:t xml:space="preserve"> banking organization’s total leverage exposure equal to the lesser of (i) the total amount of funds the custodial banking organization and its consolidated subsidiaries have on deposit at qualifying central banks and (ii) the total amount of client funds </w:t>
      </w:r>
      <w:r>
        <w:rPr>
          <w:rFonts w:ascii="Arial" w:eastAsia="宋体" w:hAnsi="Arial" w:cs="Arial"/>
          <w:color w:val="000000"/>
          <w:sz w:val="20"/>
          <w:szCs w:val="20"/>
        </w:rPr>
        <w:t>on deposit at the custodial banking organization that are linked to fiduciary or custodial and safekeeping accounts. For the quarter ended June 30, 2022, we deducted $72.4 billion of average balances held on deposit at central banks from the denominator us</w:t>
      </w:r>
      <w:r>
        <w:rPr>
          <w:rFonts w:ascii="Arial" w:eastAsia="宋体" w:hAnsi="Arial" w:cs="Arial"/>
          <w:color w:val="000000"/>
          <w:sz w:val="20"/>
          <w:szCs w:val="20"/>
        </w:rPr>
        <w:t>ed in the calculation of our SLR, based on this custodial banking deduction.</w:t>
      </w:r>
    </w:p>
    <w:p w14:paraId="392C277E" w14:textId="77777777" w:rsidR="00980E5F" w:rsidRDefault="00483613">
      <w:pPr>
        <w:spacing w:before="60"/>
        <w:ind w:firstLine="450"/>
        <w:jc w:val="both"/>
        <w:textAlignment w:val="top"/>
      </w:pPr>
      <w:r>
        <w:rPr>
          <w:rFonts w:ascii="Arial" w:eastAsia="宋体" w:hAnsi="Arial" w:cs="Arial"/>
          <w:color w:val="000000"/>
          <w:sz w:val="20"/>
          <w:szCs w:val="20"/>
        </w:rPr>
        <w:t>On October 20, 2020, the Federal Reserve and other U.S. federal banking agencies issued a final rule that requires us and State Street Bank to make certain deductions from regulat</w:t>
      </w:r>
      <w:r>
        <w:rPr>
          <w:rFonts w:ascii="Arial" w:eastAsia="宋体" w:hAnsi="Arial" w:cs="Arial"/>
          <w:color w:val="000000"/>
          <w:sz w:val="20"/>
          <w:szCs w:val="20"/>
        </w:rPr>
        <w:t xml:space="preserve">ory capital for investments in certain unsecured debt instruments, including eligible LTD under the TLAC rule, issued by the Parent Company and other U.S. and foreign G-SIBs. The final rule became effective on April 1, 2021. </w:t>
      </w:r>
    </w:p>
    <w:p w14:paraId="392C277F" w14:textId="77777777" w:rsidR="00980E5F" w:rsidRDefault="00483613">
      <w:pPr>
        <w:spacing w:before="60"/>
        <w:ind w:firstLine="450"/>
        <w:jc w:val="both"/>
        <w:textAlignment w:val="top"/>
      </w:pPr>
      <w:r>
        <w:rPr>
          <w:rFonts w:ascii="Arial" w:eastAsia="宋体" w:hAnsi="Arial" w:cs="Arial"/>
          <w:color w:val="000000"/>
          <w:sz w:val="20"/>
          <w:szCs w:val="20"/>
        </w:rPr>
        <w:t>Our current SCB requirement is</w:t>
      </w:r>
      <w:r>
        <w:rPr>
          <w:rFonts w:ascii="Arial" w:eastAsia="宋体" w:hAnsi="Arial" w:cs="Arial"/>
          <w:color w:val="000000"/>
          <w:sz w:val="20"/>
          <w:szCs w:val="20"/>
        </w:rPr>
        <w:t xml:space="preserve"> 2.5% for the period from October 1, 2021 through September 30, 2022. On June 23, 2022, we were notified by the Federal Reserve of the results from the 2022 supervisory stress test. Our preliminary SCB calculated under the 2022 supervisory stress test was </w:t>
      </w:r>
      <w:r>
        <w:rPr>
          <w:rFonts w:ascii="Arial" w:eastAsia="宋体" w:hAnsi="Arial" w:cs="Arial"/>
          <w:color w:val="000000"/>
          <w:sz w:val="20"/>
          <w:szCs w:val="20"/>
        </w:rPr>
        <w:t>well below the 2.5% minimum, resulting in an SCB at that floor, which will go into effect starting October 1, 2022 and will run through September 30, 2023.</w:t>
      </w:r>
    </w:p>
    <w:p w14:paraId="392C2780" w14:textId="77777777" w:rsidR="00980E5F" w:rsidRDefault="00483613">
      <w:pPr>
        <w:spacing w:before="60"/>
        <w:ind w:firstLine="450"/>
        <w:jc w:val="both"/>
        <w:textAlignment w:val="top"/>
      </w:pPr>
      <w:r>
        <w:rPr>
          <w:rFonts w:ascii="Arial" w:eastAsia="宋体" w:hAnsi="Arial" w:cs="Arial"/>
          <w:color w:val="000000"/>
          <w:sz w:val="20"/>
          <w:szCs w:val="20"/>
        </w:rPr>
        <w:t>For additional information about our capital, refer to pages 113 to 121 included under Item 7, Manag</w:t>
      </w:r>
      <w:r>
        <w:rPr>
          <w:rFonts w:ascii="Arial" w:eastAsia="宋体" w:hAnsi="Arial" w:cs="Arial"/>
          <w:color w:val="000000"/>
          <w:sz w:val="20"/>
          <w:szCs w:val="20"/>
        </w:rPr>
        <w:t xml:space="preserve">ement's Discussion and Analysis of Financial Condition and Results of Operations, in our 2021 Form 10-K. </w:t>
      </w:r>
    </w:p>
    <w:p w14:paraId="392C2781" w14:textId="77777777" w:rsidR="00980E5F" w:rsidRDefault="00483613">
      <w:pPr>
        <w:ind w:firstLine="450"/>
        <w:jc w:val="right"/>
      </w:pPr>
      <w:r>
        <w:rPr>
          <w:rFonts w:ascii="Arial" w:eastAsia="宋体" w:hAnsi="Arial" w:cs="Arial"/>
          <w:color w:val="000000"/>
          <w:sz w:val="18"/>
          <w:szCs w:val="18"/>
        </w:rPr>
        <w:t>State Street Corporation | 49</w:t>
      </w:r>
    </w:p>
    <w:p w14:paraId="392C2782" w14:textId="77777777" w:rsidR="00980E5F" w:rsidRDefault="00980E5F">
      <w:pPr>
        <w:ind w:firstLine="450"/>
        <w:jc w:val="center"/>
      </w:pPr>
    </w:p>
    <w:p w14:paraId="392C2783" w14:textId="77777777" w:rsidR="00980E5F" w:rsidRDefault="00483613">
      <w:r>
        <w:pict w14:anchorId="392CBAFF">
          <v:rect id="_x0000_i1073" style="width:415.3pt;height:1.5pt" o:hralign="center" o:hrstd="t" o:hr="t" fillcolor="#a0a0a0" stroked="f"/>
        </w:pict>
      </w:r>
    </w:p>
    <w:p w14:paraId="392C2784"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785" w14:textId="77777777" w:rsidR="00980E5F" w:rsidRDefault="00483613">
      <w:pPr>
        <w:ind w:firstLine="450"/>
        <w:jc w:val="center"/>
      </w:pPr>
      <w:r>
        <w:rPr>
          <w:rFonts w:ascii="Arial" w:eastAsia="宋体" w:hAnsi="Arial" w:cs="Arial"/>
          <w:b/>
          <w:bCs/>
          <w:color w:val="000000"/>
          <w:sz w:val="20"/>
          <w:szCs w:val="20"/>
        </w:rPr>
        <w:t>AND RESULTS OF OPERATIONS</w:t>
      </w:r>
    </w:p>
    <w:p w14:paraId="392C2786" w14:textId="77777777" w:rsidR="00980E5F" w:rsidRDefault="00483613">
      <w:pPr>
        <w:spacing w:before="60"/>
      </w:pPr>
      <w:r>
        <w:rPr>
          <w:rFonts w:ascii="Arial" w:eastAsia="宋体" w:hAnsi="Arial" w:cs="Arial"/>
          <w:b/>
          <w:bCs/>
          <w:i/>
          <w:iCs/>
          <w:color w:val="000000"/>
          <w:sz w:val="20"/>
          <w:szCs w:val="20"/>
        </w:rPr>
        <w:t>Capital Actions</w:t>
      </w:r>
    </w:p>
    <w:p w14:paraId="392C2787" w14:textId="77777777" w:rsidR="00980E5F" w:rsidRDefault="00483613">
      <w:pPr>
        <w:spacing w:before="60"/>
      </w:pPr>
      <w:r>
        <w:rPr>
          <w:rFonts w:ascii="Arial" w:eastAsia="宋体" w:hAnsi="Arial" w:cs="Arial"/>
          <w:i/>
          <w:iCs/>
          <w:color w:val="000000"/>
          <w:sz w:val="20"/>
          <w:szCs w:val="20"/>
        </w:rPr>
        <w:t>Preferred Stock</w:t>
      </w:r>
    </w:p>
    <w:p w14:paraId="392C2788" w14:textId="77777777" w:rsidR="00980E5F" w:rsidRDefault="00483613">
      <w:pPr>
        <w:spacing w:before="60"/>
        <w:ind w:firstLine="450"/>
        <w:jc w:val="both"/>
      </w:pPr>
      <w:r>
        <w:rPr>
          <w:rFonts w:ascii="Arial" w:eastAsia="宋体" w:hAnsi="Arial" w:cs="Arial"/>
          <w:color w:val="000000"/>
          <w:sz w:val="20"/>
          <w:szCs w:val="20"/>
        </w:rPr>
        <w:t>The following table summarizes selected terms of each of the series of the preferred stock issued and outstanding as of June 30, 2022:</w:t>
      </w:r>
    </w:p>
    <w:tbl>
      <w:tblPr>
        <w:tblW w:w="5000" w:type="pct"/>
        <w:tblCellMar>
          <w:top w:w="15" w:type="dxa"/>
          <w:left w:w="15" w:type="dxa"/>
          <w:bottom w:w="15" w:type="dxa"/>
          <w:right w:w="15" w:type="dxa"/>
        </w:tblCellMar>
        <w:tblLook w:val="04A0" w:firstRow="1" w:lastRow="0" w:firstColumn="1" w:lastColumn="0" w:noHBand="0" w:noVBand="1"/>
      </w:tblPr>
      <w:tblGrid>
        <w:gridCol w:w="75"/>
        <w:gridCol w:w="453"/>
        <w:gridCol w:w="35"/>
        <w:gridCol w:w="36"/>
        <w:gridCol w:w="35"/>
        <w:gridCol w:w="35"/>
        <w:gridCol w:w="62"/>
        <w:gridCol w:w="517"/>
        <w:gridCol w:w="36"/>
        <w:gridCol w:w="36"/>
        <w:gridCol w:w="36"/>
        <w:gridCol w:w="36"/>
        <w:gridCol w:w="84"/>
        <w:gridCol w:w="529"/>
        <w:gridCol w:w="36"/>
        <w:gridCol w:w="36"/>
        <w:gridCol w:w="36"/>
        <w:gridCol w:w="36"/>
        <w:gridCol w:w="85"/>
        <w:gridCol w:w="586"/>
        <w:gridCol w:w="36"/>
        <w:gridCol w:w="36"/>
        <w:gridCol w:w="36"/>
        <w:gridCol w:w="36"/>
        <w:gridCol w:w="83"/>
        <w:gridCol w:w="527"/>
        <w:gridCol w:w="36"/>
        <w:gridCol w:w="36"/>
        <w:gridCol w:w="36"/>
        <w:gridCol w:w="36"/>
        <w:gridCol w:w="85"/>
        <w:gridCol w:w="549"/>
        <w:gridCol w:w="36"/>
        <w:gridCol w:w="36"/>
        <w:gridCol w:w="36"/>
        <w:gridCol w:w="36"/>
        <w:gridCol w:w="85"/>
        <w:gridCol w:w="549"/>
        <w:gridCol w:w="36"/>
        <w:gridCol w:w="36"/>
        <w:gridCol w:w="36"/>
        <w:gridCol w:w="36"/>
        <w:gridCol w:w="53"/>
        <w:gridCol w:w="585"/>
        <w:gridCol w:w="36"/>
        <w:gridCol w:w="36"/>
        <w:gridCol w:w="36"/>
        <w:gridCol w:w="36"/>
        <w:gridCol w:w="93"/>
        <w:gridCol w:w="676"/>
        <w:gridCol w:w="36"/>
        <w:gridCol w:w="36"/>
        <w:gridCol w:w="36"/>
        <w:gridCol w:w="36"/>
        <w:gridCol w:w="84"/>
        <w:gridCol w:w="425"/>
        <w:gridCol w:w="36"/>
        <w:gridCol w:w="36"/>
        <w:gridCol w:w="36"/>
        <w:gridCol w:w="36"/>
        <w:gridCol w:w="81"/>
        <w:gridCol w:w="597"/>
        <w:gridCol w:w="36"/>
      </w:tblGrid>
      <w:tr w:rsidR="00980E5F" w14:paraId="392C27C8" w14:textId="77777777">
        <w:tc>
          <w:tcPr>
            <w:tcW w:w="50" w:type="pct"/>
            <w:shd w:val="clear" w:color="auto" w:fill="auto"/>
            <w:vAlign w:val="bottom"/>
          </w:tcPr>
          <w:p w14:paraId="392C2789" w14:textId="77777777" w:rsidR="00980E5F" w:rsidRDefault="00980E5F">
            <w:pPr>
              <w:rPr>
                <w:rFonts w:ascii="宋体"/>
              </w:rPr>
            </w:pPr>
          </w:p>
        </w:tc>
        <w:tc>
          <w:tcPr>
            <w:tcW w:w="310" w:type="pct"/>
            <w:shd w:val="clear" w:color="auto" w:fill="auto"/>
            <w:vAlign w:val="bottom"/>
          </w:tcPr>
          <w:p w14:paraId="392C278A" w14:textId="77777777" w:rsidR="00980E5F" w:rsidRDefault="00980E5F">
            <w:pPr>
              <w:rPr>
                <w:rFonts w:ascii="宋体"/>
              </w:rPr>
            </w:pPr>
          </w:p>
        </w:tc>
        <w:tc>
          <w:tcPr>
            <w:tcW w:w="5" w:type="pct"/>
            <w:shd w:val="clear" w:color="auto" w:fill="auto"/>
            <w:vAlign w:val="bottom"/>
          </w:tcPr>
          <w:p w14:paraId="392C278B" w14:textId="77777777" w:rsidR="00980E5F" w:rsidRDefault="00980E5F">
            <w:pPr>
              <w:rPr>
                <w:rFonts w:ascii="宋体"/>
              </w:rPr>
            </w:pPr>
          </w:p>
        </w:tc>
        <w:tc>
          <w:tcPr>
            <w:tcW w:w="5" w:type="pct"/>
            <w:shd w:val="clear" w:color="auto" w:fill="auto"/>
            <w:vAlign w:val="bottom"/>
          </w:tcPr>
          <w:p w14:paraId="392C278C" w14:textId="77777777" w:rsidR="00980E5F" w:rsidRDefault="00980E5F">
            <w:pPr>
              <w:rPr>
                <w:rFonts w:ascii="宋体"/>
              </w:rPr>
            </w:pPr>
          </w:p>
        </w:tc>
        <w:tc>
          <w:tcPr>
            <w:tcW w:w="19" w:type="pct"/>
            <w:shd w:val="clear" w:color="auto" w:fill="auto"/>
            <w:vAlign w:val="bottom"/>
          </w:tcPr>
          <w:p w14:paraId="392C278D" w14:textId="77777777" w:rsidR="00980E5F" w:rsidRDefault="00980E5F">
            <w:pPr>
              <w:rPr>
                <w:rFonts w:ascii="宋体"/>
              </w:rPr>
            </w:pPr>
          </w:p>
        </w:tc>
        <w:tc>
          <w:tcPr>
            <w:tcW w:w="5" w:type="pct"/>
            <w:shd w:val="clear" w:color="auto" w:fill="auto"/>
            <w:vAlign w:val="bottom"/>
          </w:tcPr>
          <w:p w14:paraId="392C278E" w14:textId="77777777" w:rsidR="00980E5F" w:rsidRDefault="00980E5F">
            <w:pPr>
              <w:rPr>
                <w:rFonts w:ascii="宋体"/>
              </w:rPr>
            </w:pPr>
          </w:p>
        </w:tc>
        <w:tc>
          <w:tcPr>
            <w:tcW w:w="50" w:type="pct"/>
            <w:shd w:val="clear" w:color="auto" w:fill="auto"/>
            <w:vAlign w:val="bottom"/>
          </w:tcPr>
          <w:p w14:paraId="392C278F" w14:textId="77777777" w:rsidR="00980E5F" w:rsidRDefault="00980E5F">
            <w:pPr>
              <w:rPr>
                <w:rFonts w:ascii="宋体"/>
              </w:rPr>
            </w:pPr>
          </w:p>
        </w:tc>
        <w:tc>
          <w:tcPr>
            <w:tcW w:w="434" w:type="pct"/>
            <w:shd w:val="clear" w:color="auto" w:fill="auto"/>
            <w:vAlign w:val="bottom"/>
          </w:tcPr>
          <w:p w14:paraId="392C2790" w14:textId="77777777" w:rsidR="00980E5F" w:rsidRDefault="00980E5F">
            <w:pPr>
              <w:rPr>
                <w:rFonts w:ascii="宋体"/>
              </w:rPr>
            </w:pPr>
          </w:p>
        </w:tc>
        <w:tc>
          <w:tcPr>
            <w:tcW w:w="5" w:type="pct"/>
            <w:shd w:val="clear" w:color="auto" w:fill="auto"/>
            <w:vAlign w:val="bottom"/>
          </w:tcPr>
          <w:p w14:paraId="392C2791" w14:textId="77777777" w:rsidR="00980E5F" w:rsidRDefault="00980E5F">
            <w:pPr>
              <w:rPr>
                <w:rFonts w:ascii="宋体"/>
              </w:rPr>
            </w:pPr>
          </w:p>
        </w:tc>
        <w:tc>
          <w:tcPr>
            <w:tcW w:w="5" w:type="pct"/>
            <w:shd w:val="clear" w:color="auto" w:fill="auto"/>
            <w:vAlign w:val="bottom"/>
          </w:tcPr>
          <w:p w14:paraId="392C2792" w14:textId="77777777" w:rsidR="00980E5F" w:rsidRDefault="00980E5F">
            <w:pPr>
              <w:rPr>
                <w:rFonts w:ascii="宋体"/>
              </w:rPr>
            </w:pPr>
          </w:p>
        </w:tc>
        <w:tc>
          <w:tcPr>
            <w:tcW w:w="19" w:type="pct"/>
            <w:shd w:val="clear" w:color="auto" w:fill="auto"/>
            <w:vAlign w:val="bottom"/>
          </w:tcPr>
          <w:p w14:paraId="392C2793" w14:textId="77777777" w:rsidR="00980E5F" w:rsidRDefault="00980E5F">
            <w:pPr>
              <w:rPr>
                <w:rFonts w:ascii="宋体"/>
              </w:rPr>
            </w:pPr>
          </w:p>
        </w:tc>
        <w:tc>
          <w:tcPr>
            <w:tcW w:w="5" w:type="pct"/>
            <w:shd w:val="clear" w:color="auto" w:fill="auto"/>
            <w:vAlign w:val="bottom"/>
          </w:tcPr>
          <w:p w14:paraId="392C2794" w14:textId="77777777" w:rsidR="00980E5F" w:rsidRDefault="00980E5F">
            <w:pPr>
              <w:rPr>
                <w:rFonts w:ascii="宋体"/>
              </w:rPr>
            </w:pPr>
          </w:p>
        </w:tc>
        <w:tc>
          <w:tcPr>
            <w:tcW w:w="50" w:type="pct"/>
            <w:shd w:val="clear" w:color="auto" w:fill="auto"/>
            <w:vAlign w:val="bottom"/>
          </w:tcPr>
          <w:p w14:paraId="392C2795" w14:textId="77777777" w:rsidR="00980E5F" w:rsidRDefault="00980E5F">
            <w:pPr>
              <w:rPr>
                <w:rFonts w:ascii="宋体"/>
              </w:rPr>
            </w:pPr>
          </w:p>
        </w:tc>
        <w:tc>
          <w:tcPr>
            <w:tcW w:w="332" w:type="pct"/>
            <w:shd w:val="clear" w:color="auto" w:fill="auto"/>
            <w:vAlign w:val="bottom"/>
          </w:tcPr>
          <w:p w14:paraId="392C2796" w14:textId="77777777" w:rsidR="00980E5F" w:rsidRDefault="00980E5F">
            <w:pPr>
              <w:rPr>
                <w:rFonts w:ascii="宋体"/>
              </w:rPr>
            </w:pPr>
          </w:p>
        </w:tc>
        <w:tc>
          <w:tcPr>
            <w:tcW w:w="5" w:type="pct"/>
            <w:shd w:val="clear" w:color="auto" w:fill="auto"/>
            <w:vAlign w:val="bottom"/>
          </w:tcPr>
          <w:p w14:paraId="392C2797" w14:textId="77777777" w:rsidR="00980E5F" w:rsidRDefault="00980E5F">
            <w:pPr>
              <w:rPr>
                <w:rFonts w:ascii="宋体"/>
              </w:rPr>
            </w:pPr>
          </w:p>
        </w:tc>
        <w:tc>
          <w:tcPr>
            <w:tcW w:w="5" w:type="pct"/>
            <w:shd w:val="clear" w:color="auto" w:fill="auto"/>
            <w:vAlign w:val="bottom"/>
          </w:tcPr>
          <w:p w14:paraId="392C2798" w14:textId="77777777" w:rsidR="00980E5F" w:rsidRDefault="00980E5F">
            <w:pPr>
              <w:rPr>
                <w:rFonts w:ascii="宋体"/>
              </w:rPr>
            </w:pPr>
          </w:p>
        </w:tc>
        <w:tc>
          <w:tcPr>
            <w:tcW w:w="19" w:type="pct"/>
            <w:shd w:val="clear" w:color="auto" w:fill="auto"/>
            <w:vAlign w:val="bottom"/>
          </w:tcPr>
          <w:p w14:paraId="392C2799" w14:textId="77777777" w:rsidR="00980E5F" w:rsidRDefault="00980E5F">
            <w:pPr>
              <w:rPr>
                <w:rFonts w:ascii="宋体"/>
              </w:rPr>
            </w:pPr>
          </w:p>
        </w:tc>
        <w:tc>
          <w:tcPr>
            <w:tcW w:w="5" w:type="pct"/>
            <w:shd w:val="clear" w:color="auto" w:fill="auto"/>
            <w:vAlign w:val="bottom"/>
          </w:tcPr>
          <w:p w14:paraId="392C279A" w14:textId="77777777" w:rsidR="00980E5F" w:rsidRDefault="00980E5F">
            <w:pPr>
              <w:rPr>
                <w:rFonts w:ascii="宋体"/>
              </w:rPr>
            </w:pPr>
          </w:p>
        </w:tc>
        <w:tc>
          <w:tcPr>
            <w:tcW w:w="50" w:type="pct"/>
            <w:shd w:val="clear" w:color="auto" w:fill="auto"/>
            <w:vAlign w:val="bottom"/>
          </w:tcPr>
          <w:p w14:paraId="392C279B" w14:textId="77777777" w:rsidR="00980E5F" w:rsidRDefault="00980E5F">
            <w:pPr>
              <w:rPr>
                <w:rFonts w:ascii="宋体"/>
              </w:rPr>
            </w:pPr>
          </w:p>
        </w:tc>
        <w:tc>
          <w:tcPr>
            <w:tcW w:w="354" w:type="pct"/>
            <w:shd w:val="clear" w:color="auto" w:fill="auto"/>
            <w:vAlign w:val="bottom"/>
          </w:tcPr>
          <w:p w14:paraId="392C279C" w14:textId="77777777" w:rsidR="00980E5F" w:rsidRDefault="00980E5F">
            <w:pPr>
              <w:rPr>
                <w:rFonts w:ascii="宋体"/>
              </w:rPr>
            </w:pPr>
          </w:p>
        </w:tc>
        <w:tc>
          <w:tcPr>
            <w:tcW w:w="5" w:type="pct"/>
            <w:shd w:val="clear" w:color="auto" w:fill="auto"/>
            <w:vAlign w:val="bottom"/>
          </w:tcPr>
          <w:p w14:paraId="392C279D" w14:textId="77777777" w:rsidR="00980E5F" w:rsidRDefault="00980E5F">
            <w:pPr>
              <w:rPr>
                <w:rFonts w:ascii="宋体"/>
              </w:rPr>
            </w:pPr>
          </w:p>
        </w:tc>
        <w:tc>
          <w:tcPr>
            <w:tcW w:w="5" w:type="pct"/>
            <w:shd w:val="clear" w:color="auto" w:fill="auto"/>
            <w:vAlign w:val="bottom"/>
          </w:tcPr>
          <w:p w14:paraId="392C279E" w14:textId="77777777" w:rsidR="00980E5F" w:rsidRDefault="00980E5F">
            <w:pPr>
              <w:rPr>
                <w:rFonts w:ascii="宋体"/>
              </w:rPr>
            </w:pPr>
          </w:p>
        </w:tc>
        <w:tc>
          <w:tcPr>
            <w:tcW w:w="19" w:type="pct"/>
            <w:shd w:val="clear" w:color="auto" w:fill="auto"/>
            <w:vAlign w:val="bottom"/>
          </w:tcPr>
          <w:p w14:paraId="392C279F" w14:textId="77777777" w:rsidR="00980E5F" w:rsidRDefault="00980E5F">
            <w:pPr>
              <w:rPr>
                <w:rFonts w:ascii="宋体"/>
              </w:rPr>
            </w:pPr>
          </w:p>
        </w:tc>
        <w:tc>
          <w:tcPr>
            <w:tcW w:w="5" w:type="pct"/>
            <w:shd w:val="clear" w:color="auto" w:fill="auto"/>
            <w:vAlign w:val="bottom"/>
          </w:tcPr>
          <w:p w14:paraId="392C27A0" w14:textId="77777777" w:rsidR="00980E5F" w:rsidRDefault="00980E5F">
            <w:pPr>
              <w:rPr>
                <w:rFonts w:ascii="宋体"/>
              </w:rPr>
            </w:pPr>
          </w:p>
        </w:tc>
        <w:tc>
          <w:tcPr>
            <w:tcW w:w="50" w:type="pct"/>
            <w:shd w:val="clear" w:color="auto" w:fill="auto"/>
            <w:vAlign w:val="bottom"/>
          </w:tcPr>
          <w:p w14:paraId="392C27A1" w14:textId="77777777" w:rsidR="00980E5F" w:rsidRDefault="00980E5F">
            <w:pPr>
              <w:rPr>
                <w:rFonts w:ascii="宋体"/>
              </w:rPr>
            </w:pPr>
          </w:p>
        </w:tc>
        <w:tc>
          <w:tcPr>
            <w:tcW w:w="332" w:type="pct"/>
            <w:shd w:val="clear" w:color="auto" w:fill="auto"/>
            <w:vAlign w:val="bottom"/>
          </w:tcPr>
          <w:p w14:paraId="392C27A2" w14:textId="77777777" w:rsidR="00980E5F" w:rsidRDefault="00980E5F">
            <w:pPr>
              <w:rPr>
                <w:rFonts w:ascii="宋体"/>
              </w:rPr>
            </w:pPr>
          </w:p>
        </w:tc>
        <w:tc>
          <w:tcPr>
            <w:tcW w:w="5" w:type="pct"/>
            <w:shd w:val="clear" w:color="auto" w:fill="auto"/>
            <w:vAlign w:val="bottom"/>
          </w:tcPr>
          <w:p w14:paraId="392C27A3" w14:textId="77777777" w:rsidR="00980E5F" w:rsidRDefault="00980E5F">
            <w:pPr>
              <w:rPr>
                <w:rFonts w:ascii="宋体"/>
              </w:rPr>
            </w:pPr>
          </w:p>
        </w:tc>
        <w:tc>
          <w:tcPr>
            <w:tcW w:w="5" w:type="pct"/>
            <w:shd w:val="clear" w:color="auto" w:fill="auto"/>
            <w:vAlign w:val="bottom"/>
          </w:tcPr>
          <w:p w14:paraId="392C27A4" w14:textId="77777777" w:rsidR="00980E5F" w:rsidRDefault="00980E5F">
            <w:pPr>
              <w:rPr>
                <w:rFonts w:ascii="宋体"/>
              </w:rPr>
            </w:pPr>
          </w:p>
        </w:tc>
        <w:tc>
          <w:tcPr>
            <w:tcW w:w="19" w:type="pct"/>
            <w:shd w:val="clear" w:color="auto" w:fill="auto"/>
            <w:vAlign w:val="bottom"/>
          </w:tcPr>
          <w:p w14:paraId="392C27A5" w14:textId="77777777" w:rsidR="00980E5F" w:rsidRDefault="00980E5F">
            <w:pPr>
              <w:rPr>
                <w:rFonts w:ascii="宋体"/>
              </w:rPr>
            </w:pPr>
          </w:p>
        </w:tc>
        <w:tc>
          <w:tcPr>
            <w:tcW w:w="5" w:type="pct"/>
            <w:shd w:val="clear" w:color="auto" w:fill="auto"/>
            <w:vAlign w:val="bottom"/>
          </w:tcPr>
          <w:p w14:paraId="392C27A6" w14:textId="77777777" w:rsidR="00980E5F" w:rsidRDefault="00980E5F">
            <w:pPr>
              <w:rPr>
                <w:rFonts w:ascii="宋体"/>
              </w:rPr>
            </w:pPr>
          </w:p>
        </w:tc>
        <w:tc>
          <w:tcPr>
            <w:tcW w:w="50" w:type="pct"/>
            <w:shd w:val="clear" w:color="auto" w:fill="auto"/>
            <w:vAlign w:val="bottom"/>
          </w:tcPr>
          <w:p w14:paraId="392C27A7" w14:textId="77777777" w:rsidR="00980E5F" w:rsidRDefault="00980E5F">
            <w:pPr>
              <w:rPr>
                <w:rFonts w:ascii="宋体"/>
              </w:rPr>
            </w:pPr>
          </w:p>
        </w:tc>
        <w:tc>
          <w:tcPr>
            <w:tcW w:w="332" w:type="pct"/>
            <w:shd w:val="clear" w:color="auto" w:fill="auto"/>
            <w:vAlign w:val="bottom"/>
          </w:tcPr>
          <w:p w14:paraId="392C27A8" w14:textId="77777777" w:rsidR="00980E5F" w:rsidRDefault="00980E5F">
            <w:pPr>
              <w:rPr>
                <w:rFonts w:ascii="宋体"/>
              </w:rPr>
            </w:pPr>
          </w:p>
        </w:tc>
        <w:tc>
          <w:tcPr>
            <w:tcW w:w="5" w:type="pct"/>
            <w:shd w:val="clear" w:color="auto" w:fill="auto"/>
            <w:vAlign w:val="bottom"/>
          </w:tcPr>
          <w:p w14:paraId="392C27A9" w14:textId="77777777" w:rsidR="00980E5F" w:rsidRDefault="00980E5F">
            <w:pPr>
              <w:rPr>
                <w:rFonts w:ascii="宋体"/>
              </w:rPr>
            </w:pPr>
          </w:p>
        </w:tc>
        <w:tc>
          <w:tcPr>
            <w:tcW w:w="5" w:type="pct"/>
            <w:shd w:val="clear" w:color="auto" w:fill="auto"/>
            <w:vAlign w:val="bottom"/>
          </w:tcPr>
          <w:p w14:paraId="392C27AA" w14:textId="77777777" w:rsidR="00980E5F" w:rsidRDefault="00980E5F">
            <w:pPr>
              <w:rPr>
                <w:rFonts w:ascii="宋体"/>
              </w:rPr>
            </w:pPr>
          </w:p>
        </w:tc>
        <w:tc>
          <w:tcPr>
            <w:tcW w:w="19" w:type="pct"/>
            <w:shd w:val="clear" w:color="auto" w:fill="auto"/>
            <w:vAlign w:val="bottom"/>
          </w:tcPr>
          <w:p w14:paraId="392C27AB" w14:textId="77777777" w:rsidR="00980E5F" w:rsidRDefault="00980E5F">
            <w:pPr>
              <w:rPr>
                <w:rFonts w:ascii="宋体"/>
              </w:rPr>
            </w:pPr>
          </w:p>
        </w:tc>
        <w:tc>
          <w:tcPr>
            <w:tcW w:w="5" w:type="pct"/>
            <w:shd w:val="clear" w:color="auto" w:fill="auto"/>
            <w:vAlign w:val="bottom"/>
          </w:tcPr>
          <w:p w14:paraId="392C27AC" w14:textId="77777777" w:rsidR="00980E5F" w:rsidRDefault="00980E5F">
            <w:pPr>
              <w:rPr>
                <w:rFonts w:ascii="宋体"/>
              </w:rPr>
            </w:pPr>
          </w:p>
        </w:tc>
        <w:tc>
          <w:tcPr>
            <w:tcW w:w="50" w:type="pct"/>
            <w:shd w:val="clear" w:color="auto" w:fill="auto"/>
            <w:vAlign w:val="bottom"/>
          </w:tcPr>
          <w:p w14:paraId="392C27AD" w14:textId="77777777" w:rsidR="00980E5F" w:rsidRDefault="00980E5F">
            <w:pPr>
              <w:rPr>
                <w:rFonts w:ascii="宋体"/>
              </w:rPr>
            </w:pPr>
          </w:p>
        </w:tc>
        <w:tc>
          <w:tcPr>
            <w:tcW w:w="332" w:type="pct"/>
            <w:shd w:val="clear" w:color="auto" w:fill="auto"/>
            <w:vAlign w:val="bottom"/>
          </w:tcPr>
          <w:p w14:paraId="392C27AE" w14:textId="77777777" w:rsidR="00980E5F" w:rsidRDefault="00980E5F">
            <w:pPr>
              <w:rPr>
                <w:rFonts w:ascii="宋体"/>
              </w:rPr>
            </w:pPr>
          </w:p>
        </w:tc>
        <w:tc>
          <w:tcPr>
            <w:tcW w:w="5" w:type="pct"/>
            <w:shd w:val="clear" w:color="auto" w:fill="auto"/>
            <w:vAlign w:val="bottom"/>
          </w:tcPr>
          <w:p w14:paraId="392C27AF" w14:textId="77777777" w:rsidR="00980E5F" w:rsidRDefault="00980E5F">
            <w:pPr>
              <w:rPr>
                <w:rFonts w:ascii="宋体"/>
              </w:rPr>
            </w:pPr>
          </w:p>
        </w:tc>
        <w:tc>
          <w:tcPr>
            <w:tcW w:w="5" w:type="pct"/>
            <w:shd w:val="clear" w:color="auto" w:fill="auto"/>
            <w:vAlign w:val="bottom"/>
          </w:tcPr>
          <w:p w14:paraId="392C27B0" w14:textId="77777777" w:rsidR="00980E5F" w:rsidRDefault="00980E5F">
            <w:pPr>
              <w:rPr>
                <w:rFonts w:ascii="宋体"/>
              </w:rPr>
            </w:pPr>
          </w:p>
        </w:tc>
        <w:tc>
          <w:tcPr>
            <w:tcW w:w="19" w:type="pct"/>
            <w:shd w:val="clear" w:color="auto" w:fill="auto"/>
            <w:vAlign w:val="bottom"/>
          </w:tcPr>
          <w:p w14:paraId="392C27B1" w14:textId="77777777" w:rsidR="00980E5F" w:rsidRDefault="00980E5F">
            <w:pPr>
              <w:rPr>
                <w:rFonts w:ascii="宋体"/>
              </w:rPr>
            </w:pPr>
          </w:p>
        </w:tc>
        <w:tc>
          <w:tcPr>
            <w:tcW w:w="5" w:type="pct"/>
            <w:shd w:val="clear" w:color="auto" w:fill="auto"/>
            <w:vAlign w:val="bottom"/>
          </w:tcPr>
          <w:p w14:paraId="392C27B2" w14:textId="77777777" w:rsidR="00980E5F" w:rsidRDefault="00980E5F">
            <w:pPr>
              <w:rPr>
                <w:rFonts w:ascii="宋体"/>
              </w:rPr>
            </w:pPr>
          </w:p>
        </w:tc>
        <w:tc>
          <w:tcPr>
            <w:tcW w:w="50" w:type="pct"/>
            <w:shd w:val="clear" w:color="auto" w:fill="auto"/>
            <w:vAlign w:val="bottom"/>
          </w:tcPr>
          <w:p w14:paraId="392C27B3" w14:textId="77777777" w:rsidR="00980E5F" w:rsidRDefault="00980E5F">
            <w:pPr>
              <w:rPr>
                <w:rFonts w:ascii="宋体"/>
              </w:rPr>
            </w:pPr>
          </w:p>
        </w:tc>
        <w:tc>
          <w:tcPr>
            <w:tcW w:w="588" w:type="pct"/>
            <w:shd w:val="clear" w:color="auto" w:fill="auto"/>
            <w:vAlign w:val="bottom"/>
          </w:tcPr>
          <w:p w14:paraId="392C27B4" w14:textId="77777777" w:rsidR="00980E5F" w:rsidRDefault="00980E5F">
            <w:pPr>
              <w:rPr>
                <w:rFonts w:ascii="宋体"/>
              </w:rPr>
            </w:pPr>
          </w:p>
        </w:tc>
        <w:tc>
          <w:tcPr>
            <w:tcW w:w="5" w:type="pct"/>
            <w:shd w:val="clear" w:color="auto" w:fill="auto"/>
            <w:vAlign w:val="bottom"/>
          </w:tcPr>
          <w:p w14:paraId="392C27B5" w14:textId="77777777" w:rsidR="00980E5F" w:rsidRDefault="00980E5F">
            <w:pPr>
              <w:rPr>
                <w:rFonts w:ascii="宋体"/>
              </w:rPr>
            </w:pPr>
          </w:p>
        </w:tc>
        <w:tc>
          <w:tcPr>
            <w:tcW w:w="5" w:type="pct"/>
            <w:shd w:val="clear" w:color="auto" w:fill="auto"/>
            <w:vAlign w:val="bottom"/>
          </w:tcPr>
          <w:p w14:paraId="392C27B6" w14:textId="77777777" w:rsidR="00980E5F" w:rsidRDefault="00980E5F">
            <w:pPr>
              <w:rPr>
                <w:rFonts w:ascii="宋体"/>
              </w:rPr>
            </w:pPr>
          </w:p>
        </w:tc>
        <w:tc>
          <w:tcPr>
            <w:tcW w:w="19" w:type="pct"/>
            <w:shd w:val="clear" w:color="auto" w:fill="auto"/>
            <w:vAlign w:val="bottom"/>
          </w:tcPr>
          <w:p w14:paraId="392C27B7" w14:textId="77777777" w:rsidR="00980E5F" w:rsidRDefault="00980E5F">
            <w:pPr>
              <w:rPr>
                <w:rFonts w:ascii="宋体"/>
              </w:rPr>
            </w:pPr>
          </w:p>
        </w:tc>
        <w:tc>
          <w:tcPr>
            <w:tcW w:w="5" w:type="pct"/>
            <w:shd w:val="clear" w:color="auto" w:fill="auto"/>
            <w:vAlign w:val="bottom"/>
          </w:tcPr>
          <w:p w14:paraId="392C27B8" w14:textId="77777777" w:rsidR="00980E5F" w:rsidRDefault="00980E5F">
            <w:pPr>
              <w:rPr>
                <w:rFonts w:ascii="宋体"/>
              </w:rPr>
            </w:pPr>
          </w:p>
        </w:tc>
        <w:tc>
          <w:tcPr>
            <w:tcW w:w="50" w:type="pct"/>
            <w:shd w:val="clear" w:color="auto" w:fill="auto"/>
            <w:vAlign w:val="bottom"/>
          </w:tcPr>
          <w:p w14:paraId="392C27B9" w14:textId="77777777" w:rsidR="00980E5F" w:rsidRDefault="00980E5F">
            <w:pPr>
              <w:rPr>
                <w:rFonts w:ascii="宋体"/>
              </w:rPr>
            </w:pPr>
          </w:p>
        </w:tc>
        <w:tc>
          <w:tcPr>
            <w:tcW w:w="376" w:type="pct"/>
            <w:shd w:val="clear" w:color="auto" w:fill="auto"/>
            <w:vAlign w:val="bottom"/>
          </w:tcPr>
          <w:p w14:paraId="392C27BA" w14:textId="77777777" w:rsidR="00980E5F" w:rsidRDefault="00980E5F">
            <w:pPr>
              <w:rPr>
                <w:rFonts w:ascii="宋体"/>
              </w:rPr>
            </w:pPr>
          </w:p>
        </w:tc>
        <w:tc>
          <w:tcPr>
            <w:tcW w:w="5" w:type="pct"/>
            <w:shd w:val="clear" w:color="auto" w:fill="auto"/>
            <w:vAlign w:val="bottom"/>
          </w:tcPr>
          <w:p w14:paraId="392C27BB" w14:textId="77777777" w:rsidR="00980E5F" w:rsidRDefault="00980E5F">
            <w:pPr>
              <w:rPr>
                <w:rFonts w:ascii="宋体"/>
              </w:rPr>
            </w:pPr>
          </w:p>
        </w:tc>
        <w:tc>
          <w:tcPr>
            <w:tcW w:w="5" w:type="pct"/>
            <w:shd w:val="clear" w:color="auto" w:fill="auto"/>
            <w:vAlign w:val="bottom"/>
          </w:tcPr>
          <w:p w14:paraId="392C27BC" w14:textId="77777777" w:rsidR="00980E5F" w:rsidRDefault="00980E5F">
            <w:pPr>
              <w:rPr>
                <w:rFonts w:ascii="宋体"/>
              </w:rPr>
            </w:pPr>
          </w:p>
        </w:tc>
        <w:tc>
          <w:tcPr>
            <w:tcW w:w="19" w:type="pct"/>
            <w:shd w:val="clear" w:color="auto" w:fill="auto"/>
            <w:vAlign w:val="bottom"/>
          </w:tcPr>
          <w:p w14:paraId="392C27BD" w14:textId="77777777" w:rsidR="00980E5F" w:rsidRDefault="00980E5F">
            <w:pPr>
              <w:rPr>
                <w:rFonts w:ascii="宋体"/>
              </w:rPr>
            </w:pPr>
          </w:p>
        </w:tc>
        <w:tc>
          <w:tcPr>
            <w:tcW w:w="5" w:type="pct"/>
            <w:shd w:val="clear" w:color="auto" w:fill="auto"/>
            <w:vAlign w:val="bottom"/>
          </w:tcPr>
          <w:p w14:paraId="392C27BE" w14:textId="77777777" w:rsidR="00980E5F" w:rsidRDefault="00980E5F">
            <w:pPr>
              <w:rPr>
                <w:rFonts w:ascii="宋体"/>
              </w:rPr>
            </w:pPr>
          </w:p>
        </w:tc>
        <w:tc>
          <w:tcPr>
            <w:tcW w:w="50" w:type="pct"/>
            <w:shd w:val="clear" w:color="auto" w:fill="auto"/>
            <w:vAlign w:val="bottom"/>
          </w:tcPr>
          <w:p w14:paraId="392C27BF" w14:textId="77777777" w:rsidR="00980E5F" w:rsidRDefault="00980E5F">
            <w:pPr>
              <w:rPr>
                <w:rFonts w:ascii="宋体"/>
              </w:rPr>
            </w:pPr>
          </w:p>
        </w:tc>
        <w:tc>
          <w:tcPr>
            <w:tcW w:w="325" w:type="pct"/>
            <w:shd w:val="clear" w:color="auto" w:fill="auto"/>
            <w:vAlign w:val="bottom"/>
          </w:tcPr>
          <w:p w14:paraId="392C27C0" w14:textId="77777777" w:rsidR="00980E5F" w:rsidRDefault="00980E5F">
            <w:pPr>
              <w:rPr>
                <w:rFonts w:ascii="宋体"/>
              </w:rPr>
            </w:pPr>
          </w:p>
        </w:tc>
        <w:tc>
          <w:tcPr>
            <w:tcW w:w="5" w:type="pct"/>
            <w:shd w:val="clear" w:color="auto" w:fill="auto"/>
            <w:vAlign w:val="bottom"/>
          </w:tcPr>
          <w:p w14:paraId="392C27C1" w14:textId="77777777" w:rsidR="00980E5F" w:rsidRDefault="00980E5F">
            <w:pPr>
              <w:rPr>
                <w:rFonts w:ascii="宋体"/>
              </w:rPr>
            </w:pPr>
          </w:p>
        </w:tc>
        <w:tc>
          <w:tcPr>
            <w:tcW w:w="5" w:type="pct"/>
            <w:shd w:val="clear" w:color="auto" w:fill="auto"/>
            <w:vAlign w:val="bottom"/>
          </w:tcPr>
          <w:p w14:paraId="392C27C2" w14:textId="77777777" w:rsidR="00980E5F" w:rsidRDefault="00980E5F">
            <w:pPr>
              <w:rPr>
                <w:rFonts w:ascii="宋体"/>
              </w:rPr>
            </w:pPr>
          </w:p>
        </w:tc>
        <w:tc>
          <w:tcPr>
            <w:tcW w:w="19" w:type="pct"/>
            <w:shd w:val="clear" w:color="auto" w:fill="auto"/>
            <w:vAlign w:val="bottom"/>
          </w:tcPr>
          <w:p w14:paraId="392C27C3" w14:textId="77777777" w:rsidR="00980E5F" w:rsidRDefault="00980E5F">
            <w:pPr>
              <w:rPr>
                <w:rFonts w:ascii="宋体"/>
              </w:rPr>
            </w:pPr>
          </w:p>
        </w:tc>
        <w:tc>
          <w:tcPr>
            <w:tcW w:w="5" w:type="pct"/>
            <w:shd w:val="clear" w:color="auto" w:fill="auto"/>
            <w:vAlign w:val="bottom"/>
          </w:tcPr>
          <w:p w14:paraId="392C27C4" w14:textId="77777777" w:rsidR="00980E5F" w:rsidRDefault="00980E5F">
            <w:pPr>
              <w:rPr>
                <w:rFonts w:ascii="宋体"/>
              </w:rPr>
            </w:pPr>
          </w:p>
        </w:tc>
        <w:tc>
          <w:tcPr>
            <w:tcW w:w="50" w:type="pct"/>
            <w:shd w:val="clear" w:color="auto" w:fill="auto"/>
            <w:vAlign w:val="bottom"/>
          </w:tcPr>
          <w:p w14:paraId="392C27C5" w14:textId="77777777" w:rsidR="00980E5F" w:rsidRDefault="00980E5F">
            <w:pPr>
              <w:rPr>
                <w:rFonts w:ascii="宋体"/>
              </w:rPr>
            </w:pPr>
          </w:p>
        </w:tc>
        <w:tc>
          <w:tcPr>
            <w:tcW w:w="384" w:type="pct"/>
            <w:shd w:val="clear" w:color="auto" w:fill="auto"/>
            <w:vAlign w:val="bottom"/>
          </w:tcPr>
          <w:p w14:paraId="392C27C6" w14:textId="77777777" w:rsidR="00980E5F" w:rsidRDefault="00980E5F">
            <w:pPr>
              <w:rPr>
                <w:rFonts w:ascii="宋体"/>
              </w:rPr>
            </w:pPr>
          </w:p>
        </w:tc>
        <w:tc>
          <w:tcPr>
            <w:tcW w:w="5" w:type="pct"/>
            <w:shd w:val="clear" w:color="auto" w:fill="auto"/>
            <w:vAlign w:val="bottom"/>
          </w:tcPr>
          <w:p w14:paraId="392C27C7" w14:textId="77777777" w:rsidR="00980E5F" w:rsidRDefault="00980E5F">
            <w:pPr>
              <w:rPr>
                <w:rFonts w:ascii="宋体"/>
              </w:rPr>
            </w:pPr>
          </w:p>
        </w:tc>
      </w:tr>
      <w:tr w:rsidR="00980E5F" w14:paraId="392C27CA" w14:textId="77777777">
        <w:tc>
          <w:tcPr>
            <w:tcW w:w="0" w:type="auto"/>
            <w:gridSpan w:val="63"/>
            <w:shd w:val="clear" w:color="auto" w:fill="auto"/>
            <w:tcMar>
              <w:top w:w="40" w:type="dxa"/>
              <w:left w:w="20" w:type="dxa"/>
              <w:bottom w:w="40" w:type="dxa"/>
              <w:right w:w="20" w:type="dxa"/>
            </w:tcMar>
            <w:vAlign w:val="bottom"/>
          </w:tcPr>
          <w:p w14:paraId="392C27C9" w14:textId="77777777" w:rsidR="00980E5F" w:rsidRDefault="00483613">
            <w:pPr>
              <w:textAlignment w:val="bottom"/>
            </w:pPr>
            <w:r>
              <w:rPr>
                <w:rFonts w:ascii="Arial" w:eastAsia="宋体" w:hAnsi="Arial" w:cs="Arial"/>
                <w:b/>
                <w:bCs/>
                <w:color w:val="000000"/>
                <w:sz w:val="16"/>
                <w:szCs w:val="16"/>
              </w:rPr>
              <w:t>TABLE 39: PREFERRED STOCK ISSUED AND OUTSTANDING</w:t>
            </w:r>
          </w:p>
        </w:tc>
      </w:tr>
      <w:tr w:rsidR="00980E5F" w14:paraId="392C27E0" w14:textId="77777777">
        <w:tc>
          <w:tcPr>
            <w:tcW w:w="0" w:type="auto"/>
            <w:gridSpan w:val="3"/>
            <w:shd w:val="clear" w:color="auto" w:fill="auto"/>
            <w:tcMar>
              <w:top w:w="40" w:type="dxa"/>
              <w:left w:w="20" w:type="dxa"/>
              <w:bottom w:w="40" w:type="dxa"/>
              <w:right w:w="20" w:type="dxa"/>
            </w:tcMar>
            <w:vAlign w:val="bottom"/>
          </w:tcPr>
          <w:p w14:paraId="392C27CB" w14:textId="77777777" w:rsidR="00980E5F" w:rsidRDefault="00483613">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392C27C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CD" w14:textId="77777777" w:rsidR="00980E5F" w:rsidRDefault="00483613">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392C27C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CF" w14:textId="77777777" w:rsidR="00980E5F" w:rsidRDefault="00483613">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392C27D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1" w14:textId="77777777" w:rsidR="00980E5F" w:rsidRDefault="00483613">
            <w:pPr>
              <w:jc w:val="center"/>
              <w:textAlignment w:val="bottom"/>
            </w:pPr>
            <w:r>
              <w:rPr>
                <w:rFonts w:ascii="Arial" w:eastAsia="宋体" w:hAnsi="Arial" w:cs="Arial"/>
                <w:b/>
                <w:bCs/>
                <w:color w:val="000000"/>
                <w:sz w:val="12"/>
                <w:szCs w:val="12"/>
              </w:rPr>
              <w:t xml:space="preserve">Amount outstanding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392C27D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3" w14:textId="77777777" w:rsidR="00980E5F" w:rsidRDefault="00483613">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392C27D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5" w14:textId="77777777" w:rsidR="00980E5F" w:rsidRDefault="00483613">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392C27D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7" w14:textId="77777777" w:rsidR="00980E5F" w:rsidRDefault="00483613">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392C27D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9" w14:textId="77777777" w:rsidR="00980E5F" w:rsidRDefault="00483613">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392C27D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B" w14:textId="77777777" w:rsidR="00980E5F" w:rsidRDefault="00483613">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392C27D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D" w14:textId="77777777" w:rsidR="00980E5F" w:rsidRDefault="00483613">
            <w:pPr>
              <w:jc w:val="center"/>
              <w:textAlignment w:val="bottom"/>
            </w:pPr>
            <w:r>
              <w:rPr>
                <w:rFonts w:ascii="Arial" w:eastAsia="宋体" w:hAnsi="Arial" w:cs="Arial"/>
                <w:b/>
                <w:bCs/>
                <w:color w:val="000000"/>
                <w:sz w:val="12"/>
                <w:szCs w:val="12"/>
              </w:rPr>
              <w:t>Carrying Value as of J</w:t>
            </w:r>
            <w:r>
              <w:rPr>
                <w:rFonts w:ascii="Arial" w:eastAsia="宋体" w:hAnsi="Arial" w:cs="Arial"/>
                <w:b/>
                <w:bCs/>
                <w:color w:val="000000"/>
                <w:sz w:val="12"/>
                <w:szCs w:val="12"/>
              </w:rPr>
              <w:t xml:space="preserve">une 30, 2022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392C27D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27DF" w14:textId="77777777" w:rsidR="00980E5F" w:rsidRDefault="00483613">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980E5F" w14:paraId="392C27F6" w14:textId="77777777">
        <w:trPr>
          <w:hidden/>
        </w:trPr>
        <w:tc>
          <w:tcPr>
            <w:tcW w:w="0" w:type="auto"/>
            <w:gridSpan w:val="3"/>
            <w:shd w:val="clear" w:color="auto" w:fill="auto"/>
            <w:vAlign w:val="bottom"/>
          </w:tcPr>
          <w:p w14:paraId="392C27E1" w14:textId="77777777" w:rsidR="00980E5F" w:rsidRDefault="00980E5F">
            <w:pPr>
              <w:rPr>
                <w:rFonts w:ascii="宋体"/>
                <w:vanish/>
              </w:rPr>
            </w:pPr>
          </w:p>
        </w:tc>
        <w:tc>
          <w:tcPr>
            <w:tcW w:w="0" w:type="auto"/>
            <w:gridSpan w:val="3"/>
            <w:shd w:val="clear" w:color="auto" w:fill="auto"/>
            <w:vAlign w:val="bottom"/>
          </w:tcPr>
          <w:p w14:paraId="392C27E2" w14:textId="77777777" w:rsidR="00980E5F" w:rsidRDefault="00980E5F">
            <w:pPr>
              <w:rPr>
                <w:rFonts w:ascii="宋体"/>
                <w:vanish/>
              </w:rPr>
            </w:pPr>
          </w:p>
        </w:tc>
        <w:tc>
          <w:tcPr>
            <w:tcW w:w="0" w:type="auto"/>
            <w:gridSpan w:val="3"/>
            <w:shd w:val="clear" w:color="auto" w:fill="auto"/>
            <w:vAlign w:val="bottom"/>
          </w:tcPr>
          <w:p w14:paraId="392C27E3" w14:textId="77777777" w:rsidR="00980E5F" w:rsidRDefault="00980E5F">
            <w:pPr>
              <w:rPr>
                <w:rFonts w:ascii="宋体"/>
                <w:vanish/>
              </w:rPr>
            </w:pPr>
          </w:p>
        </w:tc>
        <w:tc>
          <w:tcPr>
            <w:tcW w:w="0" w:type="auto"/>
            <w:gridSpan w:val="3"/>
            <w:shd w:val="clear" w:color="auto" w:fill="auto"/>
            <w:vAlign w:val="bottom"/>
          </w:tcPr>
          <w:p w14:paraId="392C27E4" w14:textId="77777777" w:rsidR="00980E5F" w:rsidRDefault="00980E5F">
            <w:pPr>
              <w:rPr>
                <w:rFonts w:ascii="宋体"/>
                <w:vanish/>
              </w:rPr>
            </w:pPr>
          </w:p>
        </w:tc>
        <w:tc>
          <w:tcPr>
            <w:tcW w:w="0" w:type="auto"/>
            <w:gridSpan w:val="3"/>
            <w:shd w:val="clear" w:color="auto" w:fill="auto"/>
            <w:vAlign w:val="bottom"/>
          </w:tcPr>
          <w:p w14:paraId="392C27E5" w14:textId="77777777" w:rsidR="00980E5F" w:rsidRDefault="00980E5F">
            <w:pPr>
              <w:rPr>
                <w:rFonts w:ascii="宋体"/>
                <w:vanish/>
              </w:rPr>
            </w:pPr>
          </w:p>
        </w:tc>
        <w:tc>
          <w:tcPr>
            <w:tcW w:w="0" w:type="auto"/>
            <w:gridSpan w:val="3"/>
            <w:shd w:val="clear" w:color="auto" w:fill="auto"/>
            <w:vAlign w:val="bottom"/>
          </w:tcPr>
          <w:p w14:paraId="392C27E6" w14:textId="77777777" w:rsidR="00980E5F" w:rsidRDefault="00980E5F">
            <w:pPr>
              <w:rPr>
                <w:rFonts w:ascii="宋体"/>
                <w:vanish/>
              </w:rPr>
            </w:pPr>
          </w:p>
        </w:tc>
        <w:tc>
          <w:tcPr>
            <w:tcW w:w="0" w:type="auto"/>
            <w:gridSpan w:val="3"/>
            <w:shd w:val="clear" w:color="auto" w:fill="auto"/>
            <w:vAlign w:val="bottom"/>
          </w:tcPr>
          <w:p w14:paraId="392C27E7" w14:textId="77777777" w:rsidR="00980E5F" w:rsidRDefault="00980E5F">
            <w:pPr>
              <w:rPr>
                <w:rFonts w:ascii="宋体"/>
                <w:vanish/>
              </w:rPr>
            </w:pPr>
          </w:p>
        </w:tc>
        <w:tc>
          <w:tcPr>
            <w:tcW w:w="0" w:type="auto"/>
            <w:gridSpan w:val="3"/>
            <w:shd w:val="clear" w:color="auto" w:fill="auto"/>
            <w:vAlign w:val="bottom"/>
          </w:tcPr>
          <w:p w14:paraId="392C27E8" w14:textId="77777777" w:rsidR="00980E5F" w:rsidRDefault="00980E5F">
            <w:pPr>
              <w:rPr>
                <w:rFonts w:ascii="宋体"/>
                <w:vanish/>
              </w:rPr>
            </w:pPr>
          </w:p>
        </w:tc>
        <w:tc>
          <w:tcPr>
            <w:tcW w:w="0" w:type="auto"/>
            <w:gridSpan w:val="3"/>
            <w:shd w:val="clear" w:color="auto" w:fill="auto"/>
            <w:vAlign w:val="bottom"/>
          </w:tcPr>
          <w:p w14:paraId="392C27E9" w14:textId="77777777" w:rsidR="00980E5F" w:rsidRDefault="00980E5F">
            <w:pPr>
              <w:rPr>
                <w:rFonts w:ascii="宋体"/>
                <w:vanish/>
              </w:rPr>
            </w:pPr>
          </w:p>
        </w:tc>
        <w:tc>
          <w:tcPr>
            <w:tcW w:w="0" w:type="auto"/>
            <w:gridSpan w:val="3"/>
            <w:shd w:val="clear" w:color="auto" w:fill="auto"/>
            <w:vAlign w:val="bottom"/>
          </w:tcPr>
          <w:p w14:paraId="392C27EA" w14:textId="77777777" w:rsidR="00980E5F" w:rsidRDefault="00980E5F">
            <w:pPr>
              <w:rPr>
                <w:rFonts w:ascii="宋体"/>
                <w:vanish/>
              </w:rPr>
            </w:pPr>
          </w:p>
        </w:tc>
        <w:tc>
          <w:tcPr>
            <w:tcW w:w="0" w:type="auto"/>
            <w:gridSpan w:val="3"/>
            <w:shd w:val="clear" w:color="auto" w:fill="auto"/>
            <w:vAlign w:val="bottom"/>
          </w:tcPr>
          <w:p w14:paraId="392C27EB" w14:textId="77777777" w:rsidR="00980E5F" w:rsidRDefault="00980E5F">
            <w:pPr>
              <w:rPr>
                <w:rFonts w:ascii="宋体"/>
                <w:vanish/>
              </w:rPr>
            </w:pPr>
          </w:p>
        </w:tc>
        <w:tc>
          <w:tcPr>
            <w:tcW w:w="0" w:type="auto"/>
            <w:gridSpan w:val="3"/>
            <w:shd w:val="clear" w:color="auto" w:fill="auto"/>
            <w:vAlign w:val="bottom"/>
          </w:tcPr>
          <w:p w14:paraId="392C27EC" w14:textId="77777777" w:rsidR="00980E5F" w:rsidRDefault="00980E5F">
            <w:pPr>
              <w:rPr>
                <w:rFonts w:ascii="宋体"/>
                <w:vanish/>
              </w:rPr>
            </w:pPr>
          </w:p>
        </w:tc>
        <w:tc>
          <w:tcPr>
            <w:tcW w:w="0" w:type="auto"/>
            <w:gridSpan w:val="3"/>
            <w:shd w:val="clear" w:color="auto" w:fill="auto"/>
            <w:vAlign w:val="bottom"/>
          </w:tcPr>
          <w:p w14:paraId="392C27ED" w14:textId="77777777" w:rsidR="00980E5F" w:rsidRDefault="00980E5F">
            <w:pPr>
              <w:rPr>
                <w:rFonts w:ascii="宋体"/>
                <w:vanish/>
              </w:rPr>
            </w:pPr>
          </w:p>
        </w:tc>
        <w:tc>
          <w:tcPr>
            <w:tcW w:w="0" w:type="auto"/>
            <w:gridSpan w:val="3"/>
            <w:shd w:val="clear" w:color="auto" w:fill="auto"/>
            <w:vAlign w:val="bottom"/>
          </w:tcPr>
          <w:p w14:paraId="392C27EE" w14:textId="77777777" w:rsidR="00980E5F" w:rsidRDefault="00980E5F">
            <w:pPr>
              <w:rPr>
                <w:rFonts w:ascii="宋体"/>
                <w:vanish/>
              </w:rPr>
            </w:pPr>
          </w:p>
        </w:tc>
        <w:tc>
          <w:tcPr>
            <w:tcW w:w="0" w:type="auto"/>
            <w:gridSpan w:val="3"/>
            <w:shd w:val="clear" w:color="auto" w:fill="auto"/>
            <w:vAlign w:val="bottom"/>
          </w:tcPr>
          <w:p w14:paraId="392C27EF" w14:textId="77777777" w:rsidR="00980E5F" w:rsidRDefault="00980E5F">
            <w:pPr>
              <w:rPr>
                <w:rFonts w:ascii="宋体"/>
                <w:vanish/>
              </w:rPr>
            </w:pPr>
          </w:p>
        </w:tc>
        <w:tc>
          <w:tcPr>
            <w:tcW w:w="0" w:type="auto"/>
            <w:gridSpan w:val="3"/>
            <w:shd w:val="clear" w:color="auto" w:fill="auto"/>
            <w:vAlign w:val="bottom"/>
          </w:tcPr>
          <w:p w14:paraId="392C27F0" w14:textId="77777777" w:rsidR="00980E5F" w:rsidRDefault="00980E5F">
            <w:pPr>
              <w:rPr>
                <w:rFonts w:ascii="宋体"/>
                <w:vanish/>
              </w:rPr>
            </w:pPr>
          </w:p>
        </w:tc>
        <w:tc>
          <w:tcPr>
            <w:tcW w:w="0" w:type="auto"/>
            <w:gridSpan w:val="3"/>
            <w:shd w:val="clear" w:color="auto" w:fill="auto"/>
            <w:vAlign w:val="bottom"/>
          </w:tcPr>
          <w:p w14:paraId="392C27F1" w14:textId="77777777" w:rsidR="00980E5F" w:rsidRDefault="00980E5F">
            <w:pPr>
              <w:rPr>
                <w:rFonts w:ascii="宋体"/>
                <w:vanish/>
              </w:rPr>
            </w:pPr>
          </w:p>
        </w:tc>
        <w:tc>
          <w:tcPr>
            <w:tcW w:w="0" w:type="auto"/>
            <w:gridSpan w:val="3"/>
            <w:shd w:val="clear" w:color="auto" w:fill="auto"/>
            <w:vAlign w:val="bottom"/>
          </w:tcPr>
          <w:p w14:paraId="392C27F2" w14:textId="77777777" w:rsidR="00980E5F" w:rsidRDefault="00980E5F">
            <w:pPr>
              <w:rPr>
                <w:rFonts w:ascii="宋体"/>
                <w:vanish/>
              </w:rPr>
            </w:pPr>
          </w:p>
        </w:tc>
        <w:tc>
          <w:tcPr>
            <w:tcW w:w="0" w:type="auto"/>
            <w:gridSpan w:val="3"/>
            <w:shd w:val="clear" w:color="auto" w:fill="auto"/>
            <w:vAlign w:val="bottom"/>
          </w:tcPr>
          <w:p w14:paraId="392C27F3" w14:textId="77777777" w:rsidR="00980E5F" w:rsidRDefault="00980E5F">
            <w:pPr>
              <w:rPr>
                <w:rFonts w:ascii="宋体"/>
                <w:vanish/>
              </w:rPr>
            </w:pPr>
          </w:p>
        </w:tc>
        <w:tc>
          <w:tcPr>
            <w:tcW w:w="0" w:type="auto"/>
            <w:gridSpan w:val="3"/>
            <w:shd w:val="clear" w:color="auto" w:fill="auto"/>
            <w:vAlign w:val="bottom"/>
          </w:tcPr>
          <w:p w14:paraId="392C27F4" w14:textId="77777777" w:rsidR="00980E5F" w:rsidRDefault="00980E5F">
            <w:pPr>
              <w:rPr>
                <w:rFonts w:ascii="宋体"/>
                <w:vanish/>
              </w:rPr>
            </w:pPr>
          </w:p>
        </w:tc>
        <w:tc>
          <w:tcPr>
            <w:tcW w:w="0" w:type="auto"/>
            <w:gridSpan w:val="3"/>
            <w:shd w:val="clear" w:color="auto" w:fill="auto"/>
            <w:vAlign w:val="bottom"/>
          </w:tcPr>
          <w:p w14:paraId="392C27F5" w14:textId="77777777" w:rsidR="00980E5F" w:rsidRDefault="00980E5F">
            <w:pPr>
              <w:rPr>
                <w:rFonts w:ascii="宋体"/>
                <w:vanish/>
              </w:rPr>
            </w:pPr>
          </w:p>
        </w:tc>
      </w:tr>
      <w:tr w:rsidR="00980E5F" w14:paraId="392C281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7F7" w14:textId="77777777" w:rsidR="00980E5F" w:rsidRDefault="00483613">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392C27F8"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7F9" w14:textId="77777777" w:rsidR="00980E5F" w:rsidRDefault="00483613">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392C27F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C27FB" w14:textId="77777777" w:rsidR="00980E5F" w:rsidRDefault="00483613">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27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7F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27FE"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27FF" w14:textId="77777777" w:rsidR="00980E5F" w:rsidRDefault="00483613">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28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01"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802" w14:textId="77777777" w:rsidR="00980E5F" w:rsidRDefault="00483613">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392C280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2804"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2805" w14:textId="77777777" w:rsidR="00980E5F" w:rsidRDefault="00483613">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28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0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2808"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2809" w14:textId="77777777" w:rsidR="00980E5F" w:rsidRDefault="00483613">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28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0B"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80C" w14:textId="77777777" w:rsidR="00980E5F" w:rsidRDefault="00483613">
            <w:pPr>
              <w:textAlignment w:val="center"/>
            </w:pPr>
            <w:r>
              <w:rPr>
                <w:rFonts w:ascii="Arial" w:eastAsia="宋体" w:hAnsi="Arial" w:cs="Arial"/>
                <w:color w:val="000000"/>
                <w:sz w:val="12"/>
                <w:szCs w:val="12"/>
              </w:rPr>
              <w:t>5.9%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392C280D"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80E" w14:textId="77777777" w:rsidR="00980E5F" w:rsidRDefault="00483613">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392C280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2810"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2811" w14:textId="77777777" w:rsidR="00980E5F" w:rsidRDefault="00483613">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28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13"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2814" w14:textId="77777777" w:rsidR="00980E5F" w:rsidRDefault="00483613">
            <w:pPr>
              <w:textAlignment w:val="center"/>
            </w:pPr>
            <w:r>
              <w:rPr>
                <w:rFonts w:ascii="Arial" w:eastAsia="宋体" w:hAnsi="Arial" w:cs="Arial"/>
                <w:color w:val="000000"/>
                <w:sz w:val="12"/>
                <w:szCs w:val="12"/>
              </w:rPr>
              <w:t>March 15, 2024</w:t>
            </w:r>
          </w:p>
        </w:tc>
      </w:tr>
      <w:tr w:rsidR="00980E5F" w14:paraId="392C282F" w14:textId="77777777">
        <w:tc>
          <w:tcPr>
            <w:tcW w:w="0" w:type="auto"/>
            <w:gridSpan w:val="3"/>
            <w:shd w:val="clear" w:color="auto" w:fill="FFFFFF"/>
            <w:tcMar>
              <w:top w:w="40" w:type="dxa"/>
              <w:left w:w="20" w:type="dxa"/>
              <w:bottom w:w="40" w:type="dxa"/>
              <w:right w:w="20" w:type="dxa"/>
            </w:tcMar>
            <w:vAlign w:val="center"/>
          </w:tcPr>
          <w:p w14:paraId="392C2816" w14:textId="77777777" w:rsidR="00980E5F" w:rsidRDefault="00483613">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392C2817"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18" w14:textId="77777777" w:rsidR="00980E5F" w:rsidRDefault="00483613">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392C28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1A" w14:textId="77777777" w:rsidR="00980E5F" w:rsidRDefault="00483613">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392C28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1C"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1D" w14:textId="77777777" w:rsidR="00980E5F" w:rsidRDefault="00483613">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392C281E"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1F" w14:textId="77777777" w:rsidR="00980E5F" w:rsidRDefault="00483613">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392C28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21"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92C28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24" w14:textId="77777777" w:rsidR="00980E5F" w:rsidRDefault="00483613">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92C28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26"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27" w14:textId="77777777" w:rsidR="00980E5F" w:rsidRDefault="00483613">
            <w:pPr>
              <w:textAlignment w:val="center"/>
            </w:pPr>
            <w:r>
              <w:rPr>
                <w:rFonts w:ascii="Arial" w:eastAsia="宋体" w:hAnsi="Arial" w:cs="Arial"/>
                <w:color w:val="000000"/>
                <w:sz w:val="12"/>
                <w:szCs w:val="12"/>
              </w:rPr>
              <w:t>5.25% to but excluding September 15, 2020, then a floating rate equal to the three-month LIBOR plus 3.597%, or 5.426% effective June 15, 2022</w:t>
            </w:r>
          </w:p>
        </w:tc>
        <w:tc>
          <w:tcPr>
            <w:tcW w:w="0" w:type="auto"/>
            <w:gridSpan w:val="3"/>
            <w:shd w:val="clear" w:color="auto" w:fill="FFFFFF"/>
            <w:tcMar>
              <w:top w:w="0" w:type="dxa"/>
              <w:left w:w="20" w:type="dxa"/>
              <w:bottom w:w="0" w:type="dxa"/>
              <w:right w:w="20" w:type="dxa"/>
            </w:tcMar>
            <w:vAlign w:val="bottom"/>
          </w:tcPr>
          <w:p w14:paraId="392C2828"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29" w14:textId="77777777" w:rsidR="00980E5F" w:rsidRDefault="00483613">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392C28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2B" w14:textId="77777777" w:rsidR="00980E5F" w:rsidRDefault="00483613">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392C28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2D"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2E" w14:textId="77777777" w:rsidR="00980E5F" w:rsidRDefault="00483613">
            <w:pPr>
              <w:textAlignment w:val="center"/>
            </w:pPr>
            <w:r>
              <w:rPr>
                <w:rFonts w:ascii="Arial" w:eastAsia="宋体" w:hAnsi="Arial" w:cs="Arial"/>
                <w:color w:val="000000"/>
                <w:sz w:val="12"/>
                <w:szCs w:val="12"/>
              </w:rPr>
              <w:t>September 15, 2020</w:t>
            </w:r>
          </w:p>
        </w:tc>
      </w:tr>
      <w:tr w:rsidR="00980E5F" w14:paraId="392C2849" w14:textId="77777777">
        <w:tc>
          <w:tcPr>
            <w:tcW w:w="0" w:type="auto"/>
            <w:gridSpan w:val="3"/>
            <w:shd w:val="clear" w:color="auto" w:fill="CCEEFF"/>
            <w:tcMar>
              <w:top w:w="40" w:type="dxa"/>
              <w:left w:w="20" w:type="dxa"/>
              <w:bottom w:w="40" w:type="dxa"/>
              <w:right w:w="20" w:type="dxa"/>
            </w:tcMar>
            <w:vAlign w:val="center"/>
          </w:tcPr>
          <w:p w14:paraId="392C2830" w14:textId="77777777" w:rsidR="00980E5F" w:rsidRDefault="00483613">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392C2831"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32" w14:textId="77777777" w:rsidR="00980E5F" w:rsidRDefault="00483613">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392C28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834" w14:textId="77777777" w:rsidR="00980E5F" w:rsidRDefault="00483613">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392C28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36"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37" w14:textId="77777777" w:rsidR="00980E5F" w:rsidRDefault="00483613">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392C2838"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39" w14:textId="77777777" w:rsidR="00980E5F" w:rsidRDefault="00483613">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392C28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83B"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392C28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83E" w14:textId="77777777" w:rsidR="00980E5F" w:rsidRDefault="00483613">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392C28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40"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41" w14:textId="77777777" w:rsidR="00980E5F" w:rsidRDefault="00483613">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392C2842"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43" w14:textId="77777777" w:rsidR="00980E5F" w:rsidRDefault="00483613">
            <w:pPr>
              <w:textAlignment w:val="center"/>
            </w:pPr>
            <w:r>
              <w:rPr>
                <w:rFonts w:ascii="Arial" w:eastAsia="宋体" w:hAnsi="Arial" w:cs="Arial"/>
                <w:color w:val="000000"/>
                <w:sz w:val="12"/>
                <w:szCs w:val="12"/>
              </w:rPr>
              <w:t xml:space="preserve">Quarterly: March, June, </w:t>
            </w:r>
            <w:r>
              <w:rPr>
                <w:rFonts w:ascii="Arial" w:eastAsia="宋体" w:hAnsi="Arial" w:cs="Arial"/>
                <w:color w:val="000000"/>
                <w:sz w:val="12"/>
                <w:szCs w:val="12"/>
              </w:rPr>
              <w:t>September and December</w:t>
            </w:r>
          </w:p>
        </w:tc>
        <w:tc>
          <w:tcPr>
            <w:tcW w:w="0" w:type="auto"/>
            <w:gridSpan w:val="3"/>
            <w:shd w:val="clear" w:color="auto" w:fill="CCEEFF"/>
            <w:tcMar>
              <w:top w:w="0" w:type="dxa"/>
              <w:left w:w="20" w:type="dxa"/>
              <w:bottom w:w="0" w:type="dxa"/>
              <w:right w:w="20" w:type="dxa"/>
            </w:tcMar>
            <w:vAlign w:val="bottom"/>
          </w:tcPr>
          <w:p w14:paraId="392C28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2845" w14:textId="77777777" w:rsidR="00980E5F" w:rsidRDefault="00483613">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392C28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847"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2848" w14:textId="77777777" w:rsidR="00980E5F" w:rsidRDefault="00483613">
            <w:pPr>
              <w:textAlignment w:val="center"/>
            </w:pPr>
            <w:r>
              <w:rPr>
                <w:rFonts w:ascii="Arial" w:eastAsia="宋体" w:hAnsi="Arial" w:cs="Arial"/>
                <w:color w:val="000000"/>
                <w:sz w:val="12"/>
                <w:szCs w:val="12"/>
              </w:rPr>
              <w:t>March 15, 2026</w:t>
            </w:r>
          </w:p>
        </w:tc>
      </w:tr>
      <w:tr w:rsidR="00980E5F" w14:paraId="392C2863" w14:textId="77777777">
        <w:tc>
          <w:tcPr>
            <w:tcW w:w="0" w:type="auto"/>
            <w:gridSpan w:val="3"/>
            <w:shd w:val="clear" w:color="auto" w:fill="FFFFFF"/>
            <w:tcMar>
              <w:top w:w="40" w:type="dxa"/>
              <w:left w:w="20" w:type="dxa"/>
              <w:bottom w:w="40" w:type="dxa"/>
              <w:right w:w="20" w:type="dxa"/>
            </w:tcMar>
            <w:vAlign w:val="center"/>
          </w:tcPr>
          <w:p w14:paraId="392C284A" w14:textId="77777777" w:rsidR="00980E5F" w:rsidRDefault="00483613">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392C284B"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4C" w14:textId="77777777" w:rsidR="00980E5F" w:rsidRDefault="00483613">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392C284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4E" w14:textId="77777777" w:rsidR="00980E5F" w:rsidRDefault="00483613">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392C284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50"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51" w14:textId="77777777" w:rsidR="00980E5F" w:rsidRDefault="00483613">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392C2852"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53" w14:textId="77777777" w:rsidR="00980E5F" w:rsidRDefault="00483613">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392C28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55"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92C28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58" w14:textId="77777777" w:rsidR="00980E5F" w:rsidRDefault="00483613">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92C28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5A"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5B" w14:textId="77777777" w:rsidR="00980E5F" w:rsidRDefault="00483613">
            <w:pPr>
              <w:textAlignment w:val="center"/>
            </w:pPr>
            <w:r>
              <w:rPr>
                <w:rFonts w:ascii="Arial" w:eastAsia="宋体" w:hAnsi="Arial" w:cs="Arial"/>
                <w:color w:val="000000"/>
                <w:sz w:val="12"/>
                <w:szCs w:val="12"/>
              </w:rPr>
              <w:t xml:space="preserve">5.625% to but excluding December 15, 2023, then a floating rate equal to the </w:t>
            </w:r>
            <w:r>
              <w:rPr>
                <w:rFonts w:ascii="Arial" w:eastAsia="宋体" w:hAnsi="Arial" w:cs="Arial"/>
                <w:color w:val="000000"/>
                <w:sz w:val="12"/>
                <w:szCs w:val="12"/>
              </w:rPr>
              <w:t>three-month LIBOR plus 2.539%</w:t>
            </w:r>
          </w:p>
        </w:tc>
        <w:tc>
          <w:tcPr>
            <w:tcW w:w="0" w:type="auto"/>
            <w:gridSpan w:val="3"/>
            <w:shd w:val="clear" w:color="auto" w:fill="FFFFFF"/>
            <w:tcMar>
              <w:top w:w="0" w:type="dxa"/>
              <w:left w:w="20" w:type="dxa"/>
              <w:bottom w:w="0" w:type="dxa"/>
              <w:right w:w="20" w:type="dxa"/>
            </w:tcMar>
            <w:vAlign w:val="bottom"/>
          </w:tcPr>
          <w:p w14:paraId="392C285C"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5D" w14:textId="77777777" w:rsidR="00980E5F" w:rsidRDefault="00483613">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392C28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285F" w14:textId="77777777" w:rsidR="00980E5F" w:rsidRDefault="00483613">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392C28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861"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2862" w14:textId="77777777" w:rsidR="00980E5F" w:rsidRDefault="00483613">
            <w:pPr>
              <w:textAlignment w:val="center"/>
            </w:pPr>
            <w:r>
              <w:rPr>
                <w:rFonts w:ascii="Arial" w:eastAsia="宋体" w:hAnsi="Arial" w:cs="Arial"/>
                <w:color w:val="000000"/>
                <w:sz w:val="12"/>
                <w:szCs w:val="12"/>
              </w:rPr>
              <w:t>December 15, 2023</w:t>
            </w:r>
          </w:p>
        </w:tc>
      </w:tr>
    </w:tbl>
    <w:p w14:paraId="392C286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980E5F" w14:paraId="392C2871" w14:textId="77777777">
        <w:tc>
          <w:tcPr>
            <w:tcW w:w="50" w:type="pct"/>
            <w:shd w:val="clear" w:color="auto" w:fill="auto"/>
            <w:vAlign w:val="bottom"/>
          </w:tcPr>
          <w:p w14:paraId="392C2865" w14:textId="77777777" w:rsidR="00980E5F" w:rsidRDefault="00980E5F">
            <w:pPr>
              <w:rPr>
                <w:rFonts w:ascii="宋体"/>
              </w:rPr>
            </w:pPr>
          </w:p>
        </w:tc>
        <w:tc>
          <w:tcPr>
            <w:tcW w:w="1341" w:type="pct"/>
            <w:shd w:val="clear" w:color="auto" w:fill="auto"/>
            <w:vAlign w:val="bottom"/>
          </w:tcPr>
          <w:p w14:paraId="392C2866" w14:textId="77777777" w:rsidR="00980E5F" w:rsidRDefault="00980E5F">
            <w:pPr>
              <w:rPr>
                <w:rFonts w:ascii="宋体"/>
              </w:rPr>
            </w:pPr>
          </w:p>
        </w:tc>
        <w:tc>
          <w:tcPr>
            <w:tcW w:w="5" w:type="pct"/>
            <w:shd w:val="clear" w:color="auto" w:fill="auto"/>
            <w:vAlign w:val="bottom"/>
          </w:tcPr>
          <w:p w14:paraId="392C2867" w14:textId="77777777" w:rsidR="00980E5F" w:rsidRDefault="00980E5F">
            <w:pPr>
              <w:rPr>
                <w:rFonts w:ascii="宋体"/>
              </w:rPr>
            </w:pPr>
          </w:p>
        </w:tc>
        <w:tc>
          <w:tcPr>
            <w:tcW w:w="50" w:type="pct"/>
            <w:shd w:val="clear" w:color="auto" w:fill="auto"/>
            <w:vAlign w:val="bottom"/>
          </w:tcPr>
          <w:p w14:paraId="392C2868" w14:textId="77777777" w:rsidR="00980E5F" w:rsidRDefault="00980E5F">
            <w:pPr>
              <w:rPr>
                <w:rFonts w:ascii="宋体"/>
              </w:rPr>
            </w:pPr>
          </w:p>
        </w:tc>
        <w:tc>
          <w:tcPr>
            <w:tcW w:w="909" w:type="pct"/>
            <w:shd w:val="clear" w:color="auto" w:fill="auto"/>
            <w:vAlign w:val="bottom"/>
          </w:tcPr>
          <w:p w14:paraId="392C2869" w14:textId="77777777" w:rsidR="00980E5F" w:rsidRDefault="00980E5F">
            <w:pPr>
              <w:rPr>
                <w:rFonts w:ascii="宋体"/>
              </w:rPr>
            </w:pPr>
          </w:p>
        </w:tc>
        <w:tc>
          <w:tcPr>
            <w:tcW w:w="5" w:type="pct"/>
            <w:shd w:val="clear" w:color="auto" w:fill="auto"/>
            <w:vAlign w:val="bottom"/>
          </w:tcPr>
          <w:p w14:paraId="392C286A" w14:textId="77777777" w:rsidR="00980E5F" w:rsidRDefault="00980E5F">
            <w:pPr>
              <w:rPr>
                <w:rFonts w:ascii="宋体"/>
              </w:rPr>
            </w:pPr>
          </w:p>
        </w:tc>
        <w:tc>
          <w:tcPr>
            <w:tcW w:w="50" w:type="pct"/>
            <w:shd w:val="clear" w:color="auto" w:fill="auto"/>
            <w:vAlign w:val="bottom"/>
          </w:tcPr>
          <w:p w14:paraId="392C286B" w14:textId="77777777" w:rsidR="00980E5F" w:rsidRDefault="00980E5F">
            <w:pPr>
              <w:rPr>
                <w:rFonts w:ascii="宋体"/>
              </w:rPr>
            </w:pPr>
          </w:p>
        </w:tc>
        <w:tc>
          <w:tcPr>
            <w:tcW w:w="939" w:type="pct"/>
            <w:shd w:val="clear" w:color="auto" w:fill="auto"/>
            <w:vAlign w:val="bottom"/>
          </w:tcPr>
          <w:p w14:paraId="392C286C" w14:textId="77777777" w:rsidR="00980E5F" w:rsidRDefault="00980E5F">
            <w:pPr>
              <w:rPr>
                <w:rFonts w:ascii="宋体"/>
              </w:rPr>
            </w:pPr>
          </w:p>
        </w:tc>
        <w:tc>
          <w:tcPr>
            <w:tcW w:w="5" w:type="pct"/>
            <w:shd w:val="clear" w:color="auto" w:fill="auto"/>
            <w:vAlign w:val="bottom"/>
          </w:tcPr>
          <w:p w14:paraId="392C286D" w14:textId="77777777" w:rsidR="00980E5F" w:rsidRDefault="00980E5F">
            <w:pPr>
              <w:rPr>
                <w:rFonts w:ascii="宋体"/>
              </w:rPr>
            </w:pPr>
          </w:p>
        </w:tc>
        <w:tc>
          <w:tcPr>
            <w:tcW w:w="50" w:type="pct"/>
            <w:shd w:val="clear" w:color="auto" w:fill="auto"/>
            <w:vAlign w:val="bottom"/>
          </w:tcPr>
          <w:p w14:paraId="392C286E" w14:textId="77777777" w:rsidR="00980E5F" w:rsidRDefault="00980E5F">
            <w:pPr>
              <w:rPr>
                <w:rFonts w:ascii="宋体"/>
              </w:rPr>
            </w:pPr>
          </w:p>
        </w:tc>
        <w:tc>
          <w:tcPr>
            <w:tcW w:w="1589" w:type="pct"/>
            <w:shd w:val="clear" w:color="auto" w:fill="auto"/>
            <w:vAlign w:val="bottom"/>
          </w:tcPr>
          <w:p w14:paraId="392C286F" w14:textId="77777777" w:rsidR="00980E5F" w:rsidRDefault="00980E5F">
            <w:pPr>
              <w:rPr>
                <w:rFonts w:ascii="宋体"/>
              </w:rPr>
            </w:pPr>
          </w:p>
        </w:tc>
        <w:tc>
          <w:tcPr>
            <w:tcW w:w="5" w:type="pct"/>
            <w:shd w:val="clear" w:color="auto" w:fill="auto"/>
            <w:vAlign w:val="bottom"/>
          </w:tcPr>
          <w:p w14:paraId="392C2870" w14:textId="77777777" w:rsidR="00980E5F" w:rsidRDefault="00980E5F">
            <w:pPr>
              <w:rPr>
                <w:rFonts w:ascii="宋体"/>
              </w:rPr>
            </w:pPr>
          </w:p>
        </w:tc>
      </w:tr>
      <w:tr w:rsidR="00980E5F" w14:paraId="392C287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287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8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87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875" w14:textId="77777777" w:rsidR="00980E5F" w:rsidRDefault="00980E5F">
            <w:pPr>
              <w:rPr>
                <w:rFonts w:ascii="宋体"/>
              </w:rPr>
            </w:pPr>
          </w:p>
        </w:tc>
      </w:tr>
    </w:tbl>
    <w:p w14:paraId="392C2877" w14:textId="77777777" w:rsidR="00980E5F" w:rsidRDefault="00483613">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t>
      </w:r>
      <w:r>
        <w:rPr>
          <w:rFonts w:ascii="Arial" w:eastAsia="宋体" w:hAnsi="Arial" w:cs="Arial"/>
          <w:color w:val="000000"/>
          <w:sz w:val="12"/>
          <w:szCs w:val="12"/>
        </w:rPr>
        <w:t>whole, but not in part, prior to the redemption date upon the occurrence of a regulatory capital treatment event, as defined in the certificate of designation, at a redemption price equal to the liquidation price per share and liquidation price per deposit</w:t>
      </w:r>
      <w:r>
        <w:rPr>
          <w:rFonts w:ascii="Arial" w:eastAsia="宋体" w:hAnsi="Arial" w:cs="Arial"/>
          <w:color w:val="000000"/>
          <w:sz w:val="12"/>
          <w:szCs w:val="12"/>
        </w:rPr>
        <w:t>ary share plus any declared and unpaid dividends, without accumulation of any undeclared dividends.</w:t>
      </w:r>
    </w:p>
    <w:p w14:paraId="392C2878" w14:textId="77777777" w:rsidR="00980E5F" w:rsidRDefault="00483613">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w:t>
      </w:r>
      <w:r>
        <w:rPr>
          <w:rFonts w:ascii="Arial" w:eastAsia="宋体" w:hAnsi="Arial" w:cs="Arial"/>
          <w:color w:val="000000"/>
          <w:sz w:val="12"/>
          <w:szCs w:val="12"/>
        </w:rPr>
        <w:t xml:space="preserve"> or in part, at the liquidation price per share and liquidation price per depositary share plus any declared and unpaid dividends, without accumulation of any undeclared dividends.</w:t>
      </w:r>
    </w:p>
    <w:p w14:paraId="392C2879" w14:textId="77777777" w:rsidR="00980E5F" w:rsidRDefault="00483613">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w:t>
      </w:r>
      <w:r>
        <w:rPr>
          <w:rFonts w:ascii="Arial" w:eastAsia="宋体" w:hAnsi="Arial" w:cs="Arial"/>
          <w:color w:val="000000"/>
          <w:sz w:val="12"/>
          <w:szCs w:val="12"/>
        </w:rPr>
        <w:t>h succeeding dividend payment date.</w:t>
      </w:r>
    </w:p>
    <w:p w14:paraId="392C287A" w14:textId="77777777" w:rsidR="00980E5F" w:rsidRDefault="00483613">
      <w:pPr>
        <w:spacing w:before="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980E5F" w14:paraId="392C289F" w14:textId="77777777">
        <w:tc>
          <w:tcPr>
            <w:tcW w:w="50" w:type="pct"/>
            <w:shd w:val="clear" w:color="auto" w:fill="auto"/>
            <w:vAlign w:val="bottom"/>
          </w:tcPr>
          <w:p w14:paraId="392C287B" w14:textId="77777777" w:rsidR="00980E5F" w:rsidRDefault="00980E5F">
            <w:pPr>
              <w:rPr>
                <w:rFonts w:ascii="宋体"/>
              </w:rPr>
            </w:pPr>
          </w:p>
        </w:tc>
        <w:tc>
          <w:tcPr>
            <w:tcW w:w="1011" w:type="pct"/>
            <w:shd w:val="clear" w:color="auto" w:fill="auto"/>
            <w:vAlign w:val="bottom"/>
          </w:tcPr>
          <w:p w14:paraId="392C287C" w14:textId="77777777" w:rsidR="00980E5F" w:rsidRDefault="00980E5F">
            <w:pPr>
              <w:rPr>
                <w:rFonts w:ascii="宋体"/>
              </w:rPr>
            </w:pPr>
          </w:p>
        </w:tc>
        <w:tc>
          <w:tcPr>
            <w:tcW w:w="5" w:type="pct"/>
            <w:shd w:val="clear" w:color="auto" w:fill="auto"/>
            <w:vAlign w:val="bottom"/>
          </w:tcPr>
          <w:p w14:paraId="392C287D" w14:textId="77777777" w:rsidR="00980E5F" w:rsidRDefault="00980E5F">
            <w:pPr>
              <w:rPr>
                <w:rFonts w:ascii="宋体"/>
              </w:rPr>
            </w:pPr>
          </w:p>
        </w:tc>
        <w:tc>
          <w:tcPr>
            <w:tcW w:w="50" w:type="pct"/>
            <w:shd w:val="clear" w:color="auto" w:fill="auto"/>
            <w:vAlign w:val="bottom"/>
          </w:tcPr>
          <w:p w14:paraId="392C287E" w14:textId="77777777" w:rsidR="00980E5F" w:rsidRDefault="00980E5F">
            <w:pPr>
              <w:rPr>
                <w:rFonts w:ascii="宋体"/>
              </w:rPr>
            </w:pPr>
          </w:p>
        </w:tc>
        <w:tc>
          <w:tcPr>
            <w:tcW w:w="570" w:type="pct"/>
            <w:shd w:val="clear" w:color="auto" w:fill="auto"/>
            <w:vAlign w:val="bottom"/>
          </w:tcPr>
          <w:p w14:paraId="392C287F" w14:textId="77777777" w:rsidR="00980E5F" w:rsidRDefault="00980E5F">
            <w:pPr>
              <w:rPr>
                <w:rFonts w:ascii="宋体"/>
              </w:rPr>
            </w:pPr>
          </w:p>
        </w:tc>
        <w:tc>
          <w:tcPr>
            <w:tcW w:w="5" w:type="pct"/>
            <w:shd w:val="clear" w:color="auto" w:fill="auto"/>
            <w:vAlign w:val="bottom"/>
          </w:tcPr>
          <w:p w14:paraId="392C2880" w14:textId="77777777" w:rsidR="00980E5F" w:rsidRDefault="00980E5F">
            <w:pPr>
              <w:rPr>
                <w:rFonts w:ascii="宋体"/>
              </w:rPr>
            </w:pPr>
          </w:p>
        </w:tc>
        <w:tc>
          <w:tcPr>
            <w:tcW w:w="5" w:type="pct"/>
            <w:shd w:val="clear" w:color="auto" w:fill="auto"/>
            <w:vAlign w:val="bottom"/>
          </w:tcPr>
          <w:p w14:paraId="392C2881" w14:textId="77777777" w:rsidR="00980E5F" w:rsidRDefault="00980E5F">
            <w:pPr>
              <w:rPr>
                <w:rFonts w:ascii="宋体"/>
              </w:rPr>
            </w:pPr>
          </w:p>
        </w:tc>
        <w:tc>
          <w:tcPr>
            <w:tcW w:w="26" w:type="pct"/>
            <w:shd w:val="clear" w:color="auto" w:fill="auto"/>
            <w:vAlign w:val="bottom"/>
          </w:tcPr>
          <w:p w14:paraId="392C2882" w14:textId="77777777" w:rsidR="00980E5F" w:rsidRDefault="00980E5F">
            <w:pPr>
              <w:rPr>
                <w:rFonts w:ascii="宋体"/>
              </w:rPr>
            </w:pPr>
          </w:p>
        </w:tc>
        <w:tc>
          <w:tcPr>
            <w:tcW w:w="5" w:type="pct"/>
            <w:shd w:val="clear" w:color="auto" w:fill="auto"/>
            <w:vAlign w:val="bottom"/>
          </w:tcPr>
          <w:p w14:paraId="392C2883" w14:textId="77777777" w:rsidR="00980E5F" w:rsidRDefault="00980E5F">
            <w:pPr>
              <w:rPr>
                <w:rFonts w:ascii="宋体"/>
              </w:rPr>
            </w:pPr>
          </w:p>
        </w:tc>
        <w:tc>
          <w:tcPr>
            <w:tcW w:w="50" w:type="pct"/>
            <w:shd w:val="clear" w:color="auto" w:fill="auto"/>
            <w:vAlign w:val="bottom"/>
          </w:tcPr>
          <w:p w14:paraId="392C2884" w14:textId="77777777" w:rsidR="00980E5F" w:rsidRDefault="00980E5F">
            <w:pPr>
              <w:rPr>
                <w:rFonts w:ascii="宋体"/>
              </w:rPr>
            </w:pPr>
          </w:p>
        </w:tc>
        <w:tc>
          <w:tcPr>
            <w:tcW w:w="570" w:type="pct"/>
            <w:shd w:val="clear" w:color="auto" w:fill="auto"/>
            <w:vAlign w:val="bottom"/>
          </w:tcPr>
          <w:p w14:paraId="392C2885" w14:textId="77777777" w:rsidR="00980E5F" w:rsidRDefault="00980E5F">
            <w:pPr>
              <w:rPr>
                <w:rFonts w:ascii="宋体"/>
              </w:rPr>
            </w:pPr>
          </w:p>
        </w:tc>
        <w:tc>
          <w:tcPr>
            <w:tcW w:w="5" w:type="pct"/>
            <w:shd w:val="clear" w:color="auto" w:fill="auto"/>
            <w:vAlign w:val="bottom"/>
          </w:tcPr>
          <w:p w14:paraId="392C2886" w14:textId="77777777" w:rsidR="00980E5F" w:rsidRDefault="00980E5F">
            <w:pPr>
              <w:rPr>
                <w:rFonts w:ascii="宋体"/>
              </w:rPr>
            </w:pPr>
          </w:p>
        </w:tc>
        <w:tc>
          <w:tcPr>
            <w:tcW w:w="5" w:type="pct"/>
            <w:shd w:val="clear" w:color="auto" w:fill="auto"/>
            <w:vAlign w:val="bottom"/>
          </w:tcPr>
          <w:p w14:paraId="392C2887" w14:textId="77777777" w:rsidR="00980E5F" w:rsidRDefault="00980E5F">
            <w:pPr>
              <w:rPr>
                <w:rFonts w:ascii="宋体"/>
              </w:rPr>
            </w:pPr>
          </w:p>
        </w:tc>
        <w:tc>
          <w:tcPr>
            <w:tcW w:w="26" w:type="pct"/>
            <w:shd w:val="clear" w:color="auto" w:fill="auto"/>
            <w:vAlign w:val="bottom"/>
          </w:tcPr>
          <w:p w14:paraId="392C2888" w14:textId="77777777" w:rsidR="00980E5F" w:rsidRDefault="00980E5F">
            <w:pPr>
              <w:rPr>
                <w:rFonts w:ascii="宋体"/>
              </w:rPr>
            </w:pPr>
          </w:p>
        </w:tc>
        <w:tc>
          <w:tcPr>
            <w:tcW w:w="5" w:type="pct"/>
            <w:shd w:val="clear" w:color="auto" w:fill="auto"/>
            <w:vAlign w:val="bottom"/>
          </w:tcPr>
          <w:p w14:paraId="392C2889" w14:textId="77777777" w:rsidR="00980E5F" w:rsidRDefault="00980E5F">
            <w:pPr>
              <w:rPr>
                <w:rFonts w:ascii="宋体"/>
              </w:rPr>
            </w:pPr>
          </w:p>
        </w:tc>
        <w:tc>
          <w:tcPr>
            <w:tcW w:w="50" w:type="pct"/>
            <w:shd w:val="clear" w:color="auto" w:fill="auto"/>
            <w:vAlign w:val="bottom"/>
          </w:tcPr>
          <w:p w14:paraId="392C288A" w14:textId="77777777" w:rsidR="00980E5F" w:rsidRDefault="00980E5F">
            <w:pPr>
              <w:rPr>
                <w:rFonts w:ascii="宋体"/>
              </w:rPr>
            </w:pPr>
          </w:p>
        </w:tc>
        <w:tc>
          <w:tcPr>
            <w:tcW w:w="570" w:type="pct"/>
            <w:shd w:val="clear" w:color="auto" w:fill="auto"/>
            <w:vAlign w:val="bottom"/>
          </w:tcPr>
          <w:p w14:paraId="392C288B" w14:textId="77777777" w:rsidR="00980E5F" w:rsidRDefault="00980E5F">
            <w:pPr>
              <w:rPr>
                <w:rFonts w:ascii="宋体"/>
              </w:rPr>
            </w:pPr>
          </w:p>
        </w:tc>
        <w:tc>
          <w:tcPr>
            <w:tcW w:w="5" w:type="pct"/>
            <w:shd w:val="clear" w:color="auto" w:fill="auto"/>
            <w:vAlign w:val="bottom"/>
          </w:tcPr>
          <w:p w14:paraId="392C288C" w14:textId="77777777" w:rsidR="00980E5F" w:rsidRDefault="00980E5F">
            <w:pPr>
              <w:rPr>
                <w:rFonts w:ascii="宋体"/>
              </w:rPr>
            </w:pPr>
          </w:p>
        </w:tc>
        <w:tc>
          <w:tcPr>
            <w:tcW w:w="5" w:type="pct"/>
            <w:shd w:val="clear" w:color="auto" w:fill="auto"/>
            <w:vAlign w:val="bottom"/>
          </w:tcPr>
          <w:p w14:paraId="392C288D" w14:textId="77777777" w:rsidR="00980E5F" w:rsidRDefault="00980E5F">
            <w:pPr>
              <w:rPr>
                <w:rFonts w:ascii="宋体"/>
              </w:rPr>
            </w:pPr>
          </w:p>
        </w:tc>
        <w:tc>
          <w:tcPr>
            <w:tcW w:w="26" w:type="pct"/>
            <w:shd w:val="clear" w:color="auto" w:fill="auto"/>
            <w:vAlign w:val="bottom"/>
          </w:tcPr>
          <w:p w14:paraId="392C288E" w14:textId="77777777" w:rsidR="00980E5F" w:rsidRDefault="00980E5F">
            <w:pPr>
              <w:rPr>
                <w:rFonts w:ascii="宋体"/>
              </w:rPr>
            </w:pPr>
          </w:p>
        </w:tc>
        <w:tc>
          <w:tcPr>
            <w:tcW w:w="5" w:type="pct"/>
            <w:shd w:val="clear" w:color="auto" w:fill="auto"/>
            <w:vAlign w:val="bottom"/>
          </w:tcPr>
          <w:p w14:paraId="392C288F" w14:textId="77777777" w:rsidR="00980E5F" w:rsidRDefault="00980E5F">
            <w:pPr>
              <w:rPr>
                <w:rFonts w:ascii="宋体"/>
              </w:rPr>
            </w:pPr>
          </w:p>
        </w:tc>
        <w:tc>
          <w:tcPr>
            <w:tcW w:w="50" w:type="pct"/>
            <w:shd w:val="clear" w:color="auto" w:fill="auto"/>
            <w:vAlign w:val="bottom"/>
          </w:tcPr>
          <w:p w14:paraId="392C2890" w14:textId="77777777" w:rsidR="00980E5F" w:rsidRDefault="00980E5F">
            <w:pPr>
              <w:rPr>
                <w:rFonts w:ascii="宋体"/>
              </w:rPr>
            </w:pPr>
          </w:p>
        </w:tc>
        <w:tc>
          <w:tcPr>
            <w:tcW w:w="570" w:type="pct"/>
            <w:shd w:val="clear" w:color="auto" w:fill="auto"/>
            <w:vAlign w:val="bottom"/>
          </w:tcPr>
          <w:p w14:paraId="392C2891" w14:textId="77777777" w:rsidR="00980E5F" w:rsidRDefault="00980E5F">
            <w:pPr>
              <w:rPr>
                <w:rFonts w:ascii="宋体"/>
              </w:rPr>
            </w:pPr>
          </w:p>
        </w:tc>
        <w:tc>
          <w:tcPr>
            <w:tcW w:w="5" w:type="pct"/>
            <w:shd w:val="clear" w:color="auto" w:fill="auto"/>
            <w:vAlign w:val="bottom"/>
          </w:tcPr>
          <w:p w14:paraId="392C2892" w14:textId="77777777" w:rsidR="00980E5F" w:rsidRDefault="00980E5F">
            <w:pPr>
              <w:rPr>
                <w:rFonts w:ascii="宋体"/>
              </w:rPr>
            </w:pPr>
          </w:p>
        </w:tc>
        <w:tc>
          <w:tcPr>
            <w:tcW w:w="5" w:type="pct"/>
            <w:shd w:val="clear" w:color="auto" w:fill="auto"/>
            <w:vAlign w:val="bottom"/>
          </w:tcPr>
          <w:p w14:paraId="392C2893" w14:textId="77777777" w:rsidR="00980E5F" w:rsidRDefault="00980E5F">
            <w:pPr>
              <w:rPr>
                <w:rFonts w:ascii="宋体"/>
              </w:rPr>
            </w:pPr>
          </w:p>
        </w:tc>
        <w:tc>
          <w:tcPr>
            <w:tcW w:w="26" w:type="pct"/>
            <w:shd w:val="clear" w:color="auto" w:fill="auto"/>
            <w:vAlign w:val="bottom"/>
          </w:tcPr>
          <w:p w14:paraId="392C2894" w14:textId="77777777" w:rsidR="00980E5F" w:rsidRDefault="00980E5F">
            <w:pPr>
              <w:rPr>
                <w:rFonts w:ascii="宋体"/>
              </w:rPr>
            </w:pPr>
          </w:p>
        </w:tc>
        <w:tc>
          <w:tcPr>
            <w:tcW w:w="5" w:type="pct"/>
            <w:shd w:val="clear" w:color="auto" w:fill="auto"/>
            <w:vAlign w:val="bottom"/>
          </w:tcPr>
          <w:p w14:paraId="392C2895" w14:textId="77777777" w:rsidR="00980E5F" w:rsidRDefault="00980E5F">
            <w:pPr>
              <w:rPr>
                <w:rFonts w:ascii="宋体"/>
              </w:rPr>
            </w:pPr>
          </w:p>
        </w:tc>
        <w:tc>
          <w:tcPr>
            <w:tcW w:w="50" w:type="pct"/>
            <w:shd w:val="clear" w:color="auto" w:fill="auto"/>
            <w:vAlign w:val="bottom"/>
          </w:tcPr>
          <w:p w14:paraId="392C2896" w14:textId="77777777" w:rsidR="00980E5F" w:rsidRDefault="00980E5F">
            <w:pPr>
              <w:rPr>
                <w:rFonts w:ascii="宋体"/>
              </w:rPr>
            </w:pPr>
          </w:p>
        </w:tc>
        <w:tc>
          <w:tcPr>
            <w:tcW w:w="570" w:type="pct"/>
            <w:shd w:val="clear" w:color="auto" w:fill="auto"/>
            <w:vAlign w:val="bottom"/>
          </w:tcPr>
          <w:p w14:paraId="392C2897" w14:textId="77777777" w:rsidR="00980E5F" w:rsidRDefault="00980E5F">
            <w:pPr>
              <w:rPr>
                <w:rFonts w:ascii="宋体"/>
              </w:rPr>
            </w:pPr>
          </w:p>
        </w:tc>
        <w:tc>
          <w:tcPr>
            <w:tcW w:w="5" w:type="pct"/>
            <w:shd w:val="clear" w:color="auto" w:fill="auto"/>
            <w:vAlign w:val="bottom"/>
          </w:tcPr>
          <w:p w14:paraId="392C2898" w14:textId="77777777" w:rsidR="00980E5F" w:rsidRDefault="00980E5F">
            <w:pPr>
              <w:rPr>
                <w:rFonts w:ascii="宋体"/>
              </w:rPr>
            </w:pPr>
          </w:p>
        </w:tc>
        <w:tc>
          <w:tcPr>
            <w:tcW w:w="5" w:type="pct"/>
            <w:shd w:val="clear" w:color="auto" w:fill="auto"/>
            <w:vAlign w:val="bottom"/>
          </w:tcPr>
          <w:p w14:paraId="392C2899" w14:textId="77777777" w:rsidR="00980E5F" w:rsidRDefault="00980E5F">
            <w:pPr>
              <w:rPr>
                <w:rFonts w:ascii="宋体"/>
              </w:rPr>
            </w:pPr>
          </w:p>
        </w:tc>
        <w:tc>
          <w:tcPr>
            <w:tcW w:w="26" w:type="pct"/>
            <w:shd w:val="clear" w:color="auto" w:fill="auto"/>
            <w:vAlign w:val="bottom"/>
          </w:tcPr>
          <w:p w14:paraId="392C289A" w14:textId="77777777" w:rsidR="00980E5F" w:rsidRDefault="00980E5F">
            <w:pPr>
              <w:rPr>
                <w:rFonts w:ascii="宋体"/>
              </w:rPr>
            </w:pPr>
          </w:p>
        </w:tc>
        <w:tc>
          <w:tcPr>
            <w:tcW w:w="5" w:type="pct"/>
            <w:shd w:val="clear" w:color="auto" w:fill="auto"/>
            <w:vAlign w:val="bottom"/>
          </w:tcPr>
          <w:p w14:paraId="392C289B" w14:textId="77777777" w:rsidR="00980E5F" w:rsidRDefault="00980E5F">
            <w:pPr>
              <w:rPr>
                <w:rFonts w:ascii="宋体"/>
              </w:rPr>
            </w:pPr>
          </w:p>
        </w:tc>
        <w:tc>
          <w:tcPr>
            <w:tcW w:w="50" w:type="pct"/>
            <w:shd w:val="clear" w:color="auto" w:fill="auto"/>
            <w:vAlign w:val="bottom"/>
          </w:tcPr>
          <w:p w14:paraId="392C289C" w14:textId="77777777" w:rsidR="00980E5F" w:rsidRDefault="00980E5F">
            <w:pPr>
              <w:rPr>
                <w:rFonts w:ascii="宋体"/>
              </w:rPr>
            </w:pPr>
          </w:p>
        </w:tc>
        <w:tc>
          <w:tcPr>
            <w:tcW w:w="570" w:type="pct"/>
            <w:shd w:val="clear" w:color="auto" w:fill="auto"/>
            <w:vAlign w:val="bottom"/>
          </w:tcPr>
          <w:p w14:paraId="392C289D" w14:textId="77777777" w:rsidR="00980E5F" w:rsidRDefault="00980E5F">
            <w:pPr>
              <w:rPr>
                <w:rFonts w:ascii="宋体"/>
              </w:rPr>
            </w:pPr>
          </w:p>
        </w:tc>
        <w:tc>
          <w:tcPr>
            <w:tcW w:w="5" w:type="pct"/>
            <w:shd w:val="clear" w:color="auto" w:fill="auto"/>
            <w:vAlign w:val="bottom"/>
          </w:tcPr>
          <w:p w14:paraId="392C289E" w14:textId="77777777" w:rsidR="00980E5F" w:rsidRDefault="00980E5F">
            <w:pPr>
              <w:rPr>
                <w:rFonts w:ascii="宋体"/>
              </w:rPr>
            </w:pPr>
          </w:p>
        </w:tc>
      </w:tr>
      <w:tr w:rsidR="00980E5F" w14:paraId="392C28A1" w14:textId="77777777">
        <w:tc>
          <w:tcPr>
            <w:tcW w:w="0" w:type="auto"/>
            <w:gridSpan w:val="36"/>
            <w:shd w:val="clear" w:color="auto" w:fill="auto"/>
            <w:tcMar>
              <w:top w:w="40" w:type="dxa"/>
              <w:left w:w="20" w:type="dxa"/>
              <w:bottom w:w="40" w:type="dxa"/>
              <w:right w:w="20" w:type="dxa"/>
            </w:tcMar>
            <w:vAlign w:val="bottom"/>
          </w:tcPr>
          <w:p w14:paraId="392C28A0" w14:textId="77777777" w:rsidR="00980E5F" w:rsidRDefault="00483613">
            <w:pPr>
              <w:textAlignment w:val="bottom"/>
            </w:pPr>
            <w:r>
              <w:rPr>
                <w:rFonts w:ascii="Arial" w:eastAsia="宋体" w:hAnsi="Arial" w:cs="Arial"/>
                <w:b/>
                <w:bCs/>
                <w:color w:val="000000"/>
                <w:sz w:val="16"/>
                <w:szCs w:val="16"/>
              </w:rPr>
              <w:t>TABLE 40: PREFERRED STOCK DIVIDENDS</w:t>
            </w:r>
          </w:p>
        </w:tc>
      </w:tr>
      <w:tr w:rsidR="00980E5F" w14:paraId="392C28C2" w14:textId="77777777">
        <w:trPr>
          <w:hidden/>
        </w:trPr>
        <w:tc>
          <w:tcPr>
            <w:tcW w:w="0" w:type="auto"/>
            <w:gridSpan w:val="3"/>
            <w:shd w:val="clear" w:color="auto" w:fill="auto"/>
            <w:vAlign w:val="bottom"/>
          </w:tcPr>
          <w:p w14:paraId="392C28A2" w14:textId="77777777" w:rsidR="00980E5F" w:rsidRDefault="00980E5F">
            <w:pPr>
              <w:rPr>
                <w:rFonts w:ascii="宋体"/>
                <w:vanish/>
              </w:rPr>
            </w:pPr>
          </w:p>
        </w:tc>
        <w:tc>
          <w:tcPr>
            <w:tcW w:w="0" w:type="auto"/>
            <w:gridSpan w:val="3"/>
            <w:shd w:val="clear" w:color="auto" w:fill="auto"/>
            <w:vAlign w:val="bottom"/>
          </w:tcPr>
          <w:p w14:paraId="392C28A3" w14:textId="77777777" w:rsidR="00980E5F" w:rsidRDefault="00980E5F">
            <w:pPr>
              <w:rPr>
                <w:rFonts w:ascii="宋体"/>
                <w:vanish/>
              </w:rPr>
            </w:pPr>
          </w:p>
        </w:tc>
        <w:tc>
          <w:tcPr>
            <w:tcW w:w="0" w:type="auto"/>
            <w:shd w:val="clear" w:color="auto" w:fill="auto"/>
            <w:vAlign w:val="bottom"/>
          </w:tcPr>
          <w:p w14:paraId="392C28A4" w14:textId="77777777" w:rsidR="00980E5F" w:rsidRDefault="00980E5F">
            <w:pPr>
              <w:rPr>
                <w:rFonts w:ascii="宋体"/>
              </w:rPr>
            </w:pPr>
          </w:p>
        </w:tc>
        <w:tc>
          <w:tcPr>
            <w:tcW w:w="0" w:type="auto"/>
            <w:shd w:val="clear" w:color="auto" w:fill="auto"/>
            <w:vAlign w:val="bottom"/>
          </w:tcPr>
          <w:p w14:paraId="392C28A5" w14:textId="77777777" w:rsidR="00980E5F" w:rsidRDefault="00980E5F">
            <w:pPr>
              <w:rPr>
                <w:rFonts w:ascii="宋体"/>
              </w:rPr>
            </w:pPr>
          </w:p>
        </w:tc>
        <w:tc>
          <w:tcPr>
            <w:tcW w:w="0" w:type="auto"/>
            <w:shd w:val="clear" w:color="auto" w:fill="auto"/>
            <w:vAlign w:val="bottom"/>
          </w:tcPr>
          <w:p w14:paraId="392C28A6" w14:textId="77777777" w:rsidR="00980E5F" w:rsidRDefault="00980E5F">
            <w:pPr>
              <w:rPr>
                <w:rFonts w:ascii="宋体"/>
              </w:rPr>
            </w:pPr>
          </w:p>
        </w:tc>
        <w:tc>
          <w:tcPr>
            <w:tcW w:w="0" w:type="auto"/>
            <w:shd w:val="clear" w:color="auto" w:fill="auto"/>
            <w:vAlign w:val="bottom"/>
          </w:tcPr>
          <w:p w14:paraId="392C28A7" w14:textId="77777777" w:rsidR="00980E5F" w:rsidRDefault="00980E5F">
            <w:pPr>
              <w:rPr>
                <w:rFonts w:ascii="宋体"/>
              </w:rPr>
            </w:pPr>
          </w:p>
        </w:tc>
        <w:tc>
          <w:tcPr>
            <w:tcW w:w="0" w:type="auto"/>
            <w:shd w:val="clear" w:color="auto" w:fill="auto"/>
            <w:vAlign w:val="bottom"/>
          </w:tcPr>
          <w:p w14:paraId="392C28A8" w14:textId="77777777" w:rsidR="00980E5F" w:rsidRDefault="00980E5F">
            <w:pPr>
              <w:rPr>
                <w:rFonts w:ascii="宋体"/>
              </w:rPr>
            </w:pPr>
          </w:p>
        </w:tc>
        <w:tc>
          <w:tcPr>
            <w:tcW w:w="0" w:type="auto"/>
            <w:shd w:val="clear" w:color="auto" w:fill="auto"/>
            <w:vAlign w:val="bottom"/>
          </w:tcPr>
          <w:p w14:paraId="392C28A9" w14:textId="77777777" w:rsidR="00980E5F" w:rsidRDefault="00980E5F">
            <w:pPr>
              <w:rPr>
                <w:rFonts w:ascii="宋体"/>
              </w:rPr>
            </w:pPr>
          </w:p>
        </w:tc>
        <w:tc>
          <w:tcPr>
            <w:tcW w:w="0" w:type="auto"/>
            <w:shd w:val="clear" w:color="auto" w:fill="auto"/>
            <w:vAlign w:val="bottom"/>
          </w:tcPr>
          <w:p w14:paraId="392C28AA" w14:textId="77777777" w:rsidR="00980E5F" w:rsidRDefault="00980E5F">
            <w:pPr>
              <w:rPr>
                <w:rFonts w:ascii="宋体"/>
              </w:rPr>
            </w:pPr>
          </w:p>
        </w:tc>
        <w:tc>
          <w:tcPr>
            <w:tcW w:w="0" w:type="auto"/>
            <w:shd w:val="clear" w:color="auto" w:fill="auto"/>
            <w:vAlign w:val="bottom"/>
          </w:tcPr>
          <w:p w14:paraId="392C28AB" w14:textId="77777777" w:rsidR="00980E5F" w:rsidRDefault="00980E5F">
            <w:pPr>
              <w:rPr>
                <w:rFonts w:ascii="宋体"/>
              </w:rPr>
            </w:pPr>
          </w:p>
        </w:tc>
        <w:tc>
          <w:tcPr>
            <w:tcW w:w="0" w:type="auto"/>
            <w:shd w:val="clear" w:color="auto" w:fill="auto"/>
            <w:vAlign w:val="bottom"/>
          </w:tcPr>
          <w:p w14:paraId="392C28AC" w14:textId="77777777" w:rsidR="00980E5F" w:rsidRDefault="00980E5F">
            <w:pPr>
              <w:rPr>
                <w:rFonts w:ascii="宋体"/>
              </w:rPr>
            </w:pPr>
          </w:p>
        </w:tc>
        <w:tc>
          <w:tcPr>
            <w:tcW w:w="0" w:type="auto"/>
            <w:shd w:val="clear" w:color="auto" w:fill="auto"/>
            <w:vAlign w:val="bottom"/>
          </w:tcPr>
          <w:p w14:paraId="392C28AD" w14:textId="77777777" w:rsidR="00980E5F" w:rsidRDefault="00980E5F">
            <w:pPr>
              <w:rPr>
                <w:rFonts w:ascii="宋体"/>
              </w:rPr>
            </w:pPr>
          </w:p>
        </w:tc>
        <w:tc>
          <w:tcPr>
            <w:tcW w:w="0" w:type="auto"/>
            <w:shd w:val="clear" w:color="auto" w:fill="auto"/>
            <w:vAlign w:val="bottom"/>
          </w:tcPr>
          <w:p w14:paraId="392C28AE" w14:textId="77777777" w:rsidR="00980E5F" w:rsidRDefault="00980E5F">
            <w:pPr>
              <w:rPr>
                <w:rFonts w:ascii="宋体"/>
              </w:rPr>
            </w:pPr>
          </w:p>
        </w:tc>
        <w:tc>
          <w:tcPr>
            <w:tcW w:w="0" w:type="auto"/>
            <w:shd w:val="clear" w:color="auto" w:fill="auto"/>
            <w:vAlign w:val="bottom"/>
          </w:tcPr>
          <w:p w14:paraId="392C28AF" w14:textId="77777777" w:rsidR="00980E5F" w:rsidRDefault="00980E5F">
            <w:pPr>
              <w:rPr>
                <w:rFonts w:ascii="宋体"/>
              </w:rPr>
            </w:pPr>
          </w:p>
        </w:tc>
        <w:tc>
          <w:tcPr>
            <w:tcW w:w="0" w:type="auto"/>
            <w:shd w:val="clear" w:color="auto" w:fill="auto"/>
            <w:vAlign w:val="bottom"/>
          </w:tcPr>
          <w:p w14:paraId="392C28B0" w14:textId="77777777" w:rsidR="00980E5F" w:rsidRDefault="00980E5F">
            <w:pPr>
              <w:rPr>
                <w:rFonts w:ascii="宋体"/>
              </w:rPr>
            </w:pPr>
          </w:p>
        </w:tc>
        <w:tc>
          <w:tcPr>
            <w:tcW w:w="0" w:type="auto"/>
            <w:shd w:val="clear" w:color="auto" w:fill="auto"/>
            <w:vAlign w:val="bottom"/>
          </w:tcPr>
          <w:p w14:paraId="392C28B1" w14:textId="77777777" w:rsidR="00980E5F" w:rsidRDefault="00980E5F">
            <w:pPr>
              <w:rPr>
                <w:rFonts w:ascii="宋体"/>
              </w:rPr>
            </w:pPr>
          </w:p>
        </w:tc>
        <w:tc>
          <w:tcPr>
            <w:tcW w:w="0" w:type="auto"/>
            <w:shd w:val="clear" w:color="auto" w:fill="auto"/>
            <w:vAlign w:val="bottom"/>
          </w:tcPr>
          <w:p w14:paraId="392C28B2" w14:textId="77777777" w:rsidR="00980E5F" w:rsidRDefault="00980E5F">
            <w:pPr>
              <w:rPr>
                <w:rFonts w:ascii="宋体"/>
              </w:rPr>
            </w:pPr>
          </w:p>
        </w:tc>
        <w:tc>
          <w:tcPr>
            <w:tcW w:w="0" w:type="auto"/>
            <w:shd w:val="clear" w:color="auto" w:fill="auto"/>
            <w:vAlign w:val="bottom"/>
          </w:tcPr>
          <w:p w14:paraId="392C28B3" w14:textId="77777777" w:rsidR="00980E5F" w:rsidRDefault="00980E5F">
            <w:pPr>
              <w:rPr>
                <w:rFonts w:ascii="宋体"/>
              </w:rPr>
            </w:pPr>
          </w:p>
        </w:tc>
        <w:tc>
          <w:tcPr>
            <w:tcW w:w="0" w:type="auto"/>
            <w:shd w:val="clear" w:color="auto" w:fill="auto"/>
            <w:vAlign w:val="bottom"/>
          </w:tcPr>
          <w:p w14:paraId="392C28B4" w14:textId="77777777" w:rsidR="00980E5F" w:rsidRDefault="00980E5F">
            <w:pPr>
              <w:rPr>
                <w:rFonts w:ascii="宋体"/>
              </w:rPr>
            </w:pPr>
          </w:p>
        </w:tc>
        <w:tc>
          <w:tcPr>
            <w:tcW w:w="0" w:type="auto"/>
            <w:shd w:val="clear" w:color="auto" w:fill="auto"/>
            <w:vAlign w:val="bottom"/>
          </w:tcPr>
          <w:p w14:paraId="392C28B5" w14:textId="77777777" w:rsidR="00980E5F" w:rsidRDefault="00980E5F">
            <w:pPr>
              <w:rPr>
                <w:rFonts w:ascii="宋体"/>
              </w:rPr>
            </w:pPr>
          </w:p>
        </w:tc>
        <w:tc>
          <w:tcPr>
            <w:tcW w:w="0" w:type="auto"/>
            <w:shd w:val="clear" w:color="auto" w:fill="auto"/>
            <w:vAlign w:val="bottom"/>
          </w:tcPr>
          <w:p w14:paraId="392C28B6" w14:textId="77777777" w:rsidR="00980E5F" w:rsidRDefault="00980E5F">
            <w:pPr>
              <w:rPr>
                <w:rFonts w:ascii="宋体"/>
              </w:rPr>
            </w:pPr>
          </w:p>
        </w:tc>
        <w:tc>
          <w:tcPr>
            <w:tcW w:w="0" w:type="auto"/>
            <w:shd w:val="clear" w:color="auto" w:fill="auto"/>
            <w:vAlign w:val="bottom"/>
          </w:tcPr>
          <w:p w14:paraId="392C28B7" w14:textId="77777777" w:rsidR="00980E5F" w:rsidRDefault="00980E5F">
            <w:pPr>
              <w:rPr>
                <w:rFonts w:ascii="宋体"/>
              </w:rPr>
            </w:pPr>
          </w:p>
        </w:tc>
        <w:tc>
          <w:tcPr>
            <w:tcW w:w="0" w:type="auto"/>
            <w:shd w:val="clear" w:color="auto" w:fill="auto"/>
            <w:vAlign w:val="bottom"/>
          </w:tcPr>
          <w:p w14:paraId="392C28B8" w14:textId="77777777" w:rsidR="00980E5F" w:rsidRDefault="00980E5F">
            <w:pPr>
              <w:rPr>
                <w:rFonts w:ascii="宋体"/>
              </w:rPr>
            </w:pPr>
          </w:p>
        </w:tc>
        <w:tc>
          <w:tcPr>
            <w:tcW w:w="0" w:type="auto"/>
            <w:shd w:val="clear" w:color="auto" w:fill="auto"/>
            <w:vAlign w:val="bottom"/>
          </w:tcPr>
          <w:p w14:paraId="392C28B9" w14:textId="77777777" w:rsidR="00980E5F" w:rsidRDefault="00980E5F">
            <w:pPr>
              <w:rPr>
                <w:rFonts w:ascii="宋体"/>
              </w:rPr>
            </w:pPr>
          </w:p>
        </w:tc>
        <w:tc>
          <w:tcPr>
            <w:tcW w:w="0" w:type="auto"/>
            <w:shd w:val="clear" w:color="auto" w:fill="auto"/>
            <w:vAlign w:val="bottom"/>
          </w:tcPr>
          <w:p w14:paraId="392C28BA" w14:textId="77777777" w:rsidR="00980E5F" w:rsidRDefault="00980E5F">
            <w:pPr>
              <w:rPr>
                <w:rFonts w:ascii="宋体"/>
              </w:rPr>
            </w:pPr>
          </w:p>
        </w:tc>
        <w:tc>
          <w:tcPr>
            <w:tcW w:w="0" w:type="auto"/>
            <w:shd w:val="clear" w:color="auto" w:fill="auto"/>
            <w:vAlign w:val="bottom"/>
          </w:tcPr>
          <w:p w14:paraId="392C28BB" w14:textId="77777777" w:rsidR="00980E5F" w:rsidRDefault="00980E5F">
            <w:pPr>
              <w:rPr>
                <w:rFonts w:ascii="宋体"/>
              </w:rPr>
            </w:pPr>
          </w:p>
        </w:tc>
        <w:tc>
          <w:tcPr>
            <w:tcW w:w="0" w:type="auto"/>
            <w:shd w:val="clear" w:color="auto" w:fill="auto"/>
            <w:vAlign w:val="bottom"/>
          </w:tcPr>
          <w:p w14:paraId="392C28BC" w14:textId="77777777" w:rsidR="00980E5F" w:rsidRDefault="00980E5F">
            <w:pPr>
              <w:rPr>
                <w:rFonts w:ascii="宋体"/>
              </w:rPr>
            </w:pPr>
          </w:p>
        </w:tc>
        <w:tc>
          <w:tcPr>
            <w:tcW w:w="0" w:type="auto"/>
            <w:shd w:val="clear" w:color="auto" w:fill="auto"/>
            <w:vAlign w:val="bottom"/>
          </w:tcPr>
          <w:p w14:paraId="392C28BD" w14:textId="77777777" w:rsidR="00980E5F" w:rsidRDefault="00980E5F">
            <w:pPr>
              <w:rPr>
                <w:rFonts w:ascii="宋体"/>
              </w:rPr>
            </w:pPr>
          </w:p>
        </w:tc>
        <w:tc>
          <w:tcPr>
            <w:tcW w:w="0" w:type="auto"/>
            <w:shd w:val="clear" w:color="auto" w:fill="auto"/>
            <w:vAlign w:val="bottom"/>
          </w:tcPr>
          <w:p w14:paraId="392C28BE" w14:textId="77777777" w:rsidR="00980E5F" w:rsidRDefault="00980E5F">
            <w:pPr>
              <w:rPr>
                <w:rFonts w:ascii="宋体"/>
              </w:rPr>
            </w:pPr>
          </w:p>
        </w:tc>
        <w:tc>
          <w:tcPr>
            <w:tcW w:w="0" w:type="auto"/>
            <w:shd w:val="clear" w:color="auto" w:fill="auto"/>
            <w:vAlign w:val="bottom"/>
          </w:tcPr>
          <w:p w14:paraId="392C28BF" w14:textId="77777777" w:rsidR="00980E5F" w:rsidRDefault="00980E5F">
            <w:pPr>
              <w:rPr>
                <w:rFonts w:ascii="宋体"/>
              </w:rPr>
            </w:pPr>
          </w:p>
        </w:tc>
        <w:tc>
          <w:tcPr>
            <w:tcW w:w="0" w:type="auto"/>
            <w:shd w:val="clear" w:color="auto" w:fill="auto"/>
            <w:vAlign w:val="bottom"/>
          </w:tcPr>
          <w:p w14:paraId="392C28C0" w14:textId="77777777" w:rsidR="00980E5F" w:rsidRDefault="00980E5F">
            <w:pPr>
              <w:rPr>
                <w:rFonts w:ascii="宋体"/>
              </w:rPr>
            </w:pPr>
          </w:p>
        </w:tc>
        <w:tc>
          <w:tcPr>
            <w:tcW w:w="0" w:type="auto"/>
            <w:shd w:val="clear" w:color="auto" w:fill="auto"/>
            <w:vAlign w:val="bottom"/>
          </w:tcPr>
          <w:p w14:paraId="392C28C1" w14:textId="77777777" w:rsidR="00980E5F" w:rsidRDefault="00980E5F">
            <w:pPr>
              <w:rPr>
                <w:rFonts w:ascii="宋体"/>
              </w:rPr>
            </w:pPr>
          </w:p>
        </w:tc>
      </w:tr>
      <w:tr w:rsidR="00980E5F" w14:paraId="392C28DF" w14:textId="77777777">
        <w:trPr>
          <w:hidden/>
        </w:trPr>
        <w:tc>
          <w:tcPr>
            <w:tcW w:w="0" w:type="auto"/>
            <w:gridSpan w:val="3"/>
            <w:shd w:val="clear" w:color="auto" w:fill="auto"/>
            <w:vAlign w:val="bottom"/>
          </w:tcPr>
          <w:p w14:paraId="392C28C3" w14:textId="77777777" w:rsidR="00980E5F" w:rsidRDefault="00980E5F">
            <w:pPr>
              <w:rPr>
                <w:rFonts w:ascii="宋体"/>
                <w:vanish/>
              </w:rPr>
            </w:pPr>
          </w:p>
        </w:tc>
        <w:tc>
          <w:tcPr>
            <w:tcW w:w="0" w:type="auto"/>
            <w:gridSpan w:val="3"/>
            <w:shd w:val="clear" w:color="auto" w:fill="auto"/>
            <w:vAlign w:val="bottom"/>
          </w:tcPr>
          <w:p w14:paraId="392C28C4" w14:textId="77777777" w:rsidR="00980E5F" w:rsidRDefault="00980E5F">
            <w:pPr>
              <w:rPr>
                <w:rFonts w:ascii="宋体"/>
                <w:vanish/>
              </w:rPr>
            </w:pPr>
          </w:p>
        </w:tc>
        <w:tc>
          <w:tcPr>
            <w:tcW w:w="0" w:type="auto"/>
            <w:gridSpan w:val="3"/>
            <w:shd w:val="clear" w:color="auto" w:fill="auto"/>
            <w:vAlign w:val="bottom"/>
          </w:tcPr>
          <w:p w14:paraId="392C28C5" w14:textId="77777777" w:rsidR="00980E5F" w:rsidRDefault="00980E5F">
            <w:pPr>
              <w:rPr>
                <w:rFonts w:ascii="宋体"/>
                <w:vanish/>
              </w:rPr>
            </w:pPr>
          </w:p>
        </w:tc>
        <w:tc>
          <w:tcPr>
            <w:tcW w:w="0" w:type="auto"/>
            <w:gridSpan w:val="3"/>
            <w:shd w:val="clear" w:color="auto" w:fill="auto"/>
            <w:vAlign w:val="bottom"/>
          </w:tcPr>
          <w:p w14:paraId="392C28C6" w14:textId="77777777" w:rsidR="00980E5F" w:rsidRDefault="00980E5F">
            <w:pPr>
              <w:rPr>
                <w:rFonts w:ascii="宋体"/>
                <w:vanish/>
              </w:rPr>
            </w:pPr>
          </w:p>
        </w:tc>
        <w:tc>
          <w:tcPr>
            <w:tcW w:w="0" w:type="auto"/>
            <w:shd w:val="clear" w:color="auto" w:fill="auto"/>
            <w:vAlign w:val="bottom"/>
          </w:tcPr>
          <w:p w14:paraId="392C28C7" w14:textId="77777777" w:rsidR="00980E5F" w:rsidRDefault="00980E5F">
            <w:pPr>
              <w:rPr>
                <w:rFonts w:ascii="宋体"/>
              </w:rPr>
            </w:pPr>
          </w:p>
        </w:tc>
        <w:tc>
          <w:tcPr>
            <w:tcW w:w="0" w:type="auto"/>
            <w:shd w:val="clear" w:color="auto" w:fill="auto"/>
            <w:vAlign w:val="bottom"/>
          </w:tcPr>
          <w:p w14:paraId="392C28C8" w14:textId="77777777" w:rsidR="00980E5F" w:rsidRDefault="00980E5F">
            <w:pPr>
              <w:rPr>
                <w:rFonts w:ascii="宋体"/>
              </w:rPr>
            </w:pPr>
          </w:p>
        </w:tc>
        <w:tc>
          <w:tcPr>
            <w:tcW w:w="0" w:type="auto"/>
            <w:shd w:val="clear" w:color="auto" w:fill="auto"/>
            <w:vAlign w:val="bottom"/>
          </w:tcPr>
          <w:p w14:paraId="392C28C9" w14:textId="77777777" w:rsidR="00980E5F" w:rsidRDefault="00980E5F">
            <w:pPr>
              <w:rPr>
                <w:rFonts w:ascii="宋体"/>
              </w:rPr>
            </w:pPr>
          </w:p>
        </w:tc>
        <w:tc>
          <w:tcPr>
            <w:tcW w:w="0" w:type="auto"/>
            <w:shd w:val="clear" w:color="auto" w:fill="auto"/>
            <w:vAlign w:val="bottom"/>
          </w:tcPr>
          <w:p w14:paraId="392C28CA" w14:textId="77777777" w:rsidR="00980E5F" w:rsidRDefault="00980E5F">
            <w:pPr>
              <w:rPr>
                <w:rFonts w:ascii="宋体"/>
              </w:rPr>
            </w:pPr>
          </w:p>
        </w:tc>
        <w:tc>
          <w:tcPr>
            <w:tcW w:w="0" w:type="auto"/>
            <w:shd w:val="clear" w:color="auto" w:fill="auto"/>
            <w:vAlign w:val="bottom"/>
          </w:tcPr>
          <w:p w14:paraId="392C28CB" w14:textId="77777777" w:rsidR="00980E5F" w:rsidRDefault="00980E5F">
            <w:pPr>
              <w:rPr>
                <w:rFonts w:ascii="宋体"/>
              </w:rPr>
            </w:pPr>
          </w:p>
        </w:tc>
        <w:tc>
          <w:tcPr>
            <w:tcW w:w="0" w:type="auto"/>
            <w:shd w:val="clear" w:color="auto" w:fill="auto"/>
            <w:vAlign w:val="bottom"/>
          </w:tcPr>
          <w:p w14:paraId="392C28CC" w14:textId="77777777" w:rsidR="00980E5F" w:rsidRDefault="00980E5F">
            <w:pPr>
              <w:rPr>
                <w:rFonts w:ascii="宋体"/>
              </w:rPr>
            </w:pPr>
          </w:p>
        </w:tc>
        <w:tc>
          <w:tcPr>
            <w:tcW w:w="0" w:type="auto"/>
            <w:shd w:val="clear" w:color="auto" w:fill="auto"/>
            <w:vAlign w:val="bottom"/>
          </w:tcPr>
          <w:p w14:paraId="392C28CD" w14:textId="77777777" w:rsidR="00980E5F" w:rsidRDefault="00980E5F">
            <w:pPr>
              <w:rPr>
                <w:rFonts w:ascii="宋体"/>
              </w:rPr>
            </w:pPr>
          </w:p>
        </w:tc>
        <w:tc>
          <w:tcPr>
            <w:tcW w:w="0" w:type="auto"/>
            <w:shd w:val="clear" w:color="auto" w:fill="auto"/>
            <w:vAlign w:val="bottom"/>
          </w:tcPr>
          <w:p w14:paraId="392C28CE" w14:textId="77777777" w:rsidR="00980E5F" w:rsidRDefault="00980E5F">
            <w:pPr>
              <w:rPr>
                <w:rFonts w:ascii="宋体"/>
              </w:rPr>
            </w:pPr>
          </w:p>
        </w:tc>
        <w:tc>
          <w:tcPr>
            <w:tcW w:w="0" w:type="auto"/>
            <w:shd w:val="clear" w:color="auto" w:fill="auto"/>
            <w:vAlign w:val="bottom"/>
          </w:tcPr>
          <w:p w14:paraId="392C28CF" w14:textId="77777777" w:rsidR="00980E5F" w:rsidRDefault="00980E5F">
            <w:pPr>
              <w:rPr>
                <w:rFonts w:ascii="宋体"/>
              </w:rPr>
            </w:pPr>
          </w:p>
        </w:tc>
        <w:tc>
          <w:tcPr>
            <w:tcW w:w="0" w:type="auto"/>
            <w:shd w:val="clear" w:color="auto" w:fill="auto"/>
            <w:vAlign w:val="bottom"/>
          </w:tcPr>
          <w:p w14:paraId="392C28D0" w14:textId="77777777" w:rsidR="00980E5F" w:rsidRDefault="00980E5F">
            <w:pPr>
              <w:rPr>
                <w:rFonts w:ascii="宋体"/>
              </w:rPr>
            </w:pPr>
          </w:p>
        </w:tc>
        <w:tc>
          <w:tcPr>
            <w:tcW w:w="0" w:type="auto"/>
            <w:shd w:val="clear" w:color="auto" w:fill="auto"/>
            <w:vAlign w:val="bottom"/>
          </w:tcPr>
          <w:p w14:paraId="392C28D1" w14:textId="77777777" w:rsidR="00980E5F" w:rsidRDefault="00980E5F">
            <w:pPr>
              <w:rPr>
                <w:rFonts w:ascii="宋体"/>
              </w:rPr>
            </w:pPr>
          </w:p>
        </w:tc>
        <w:tc>
          <w:tcPr>
            <w:tcW w:w="0" w:type="auto"/>
            <w:shd w:val="clear" w:color="auto" w:fill="auto"/>
            <w:vAlign w:val="bottom"/>
          </w:tcPr>
          <w:p w14:paraId="392C28D2" w14:textId="77777777" w:rsidR="00980E5F" w:rsidRDefault="00980E5F">
            <w:pPr>
              <w:rPr>
                <w:rFonts w:ascii="宋体"/>
              </w:rPr>
            </w:pPr>
          </w:p>
        </w:tc>
        <w:tc>
          <w:tcPr>
            <w:tcW w:w="0" w:type="auto"/>
            <w:shd w:val="clear" w:color="auto" w:fill="auto"/>
            <w:vAlign w:val="bottom"/>
          </w:tcPr>
          <w:p w14:paraId="392C28D3" w14:textId="77777777" w:rsidR="00980E5F" w:rsidRDefault="00980E5F">
            <w:pPr>
              <w:rPr>
                <w:rFonts w:ascii="宋体"/>
              </w:rPr>
            </w:pPr>
          </w:p>
        </w:tc>
        <w:tc>
          <w:tcPr>
            <w:tcW w:w="0" w:type="auto"/>
            <w:shd w:val="clear" w:color="auto" w:fill="auto"/>
            <w:vAlign w:val="bottom"/>
          </w:tcPr>
          <w:p w14:paraId="392C28D4" w14:textId="77777777" w:rsidR="00980E5F" w:rsidRDefault="00980E5F">
            <w:pPr>
              <w:rPr>
                <w:rFonts w:ascii="宋体"/>
              </w:rPr>
            </w:pPr>
          </w:p>
        </w:tc>
        <w:tc>
          <w:tcPr>
            <w:tcW w:w="0" w:type="auto"/>
            <w:shd w:val="clear" w:color="auto" w:fill="auto"/>
            <w:vAlign w:val="bottom"/>
          </w:tcPr>
          <w:p w14:paraId="392C28D5" w14:textId="77777777" w:rsidR="00980E5F" w:rsidRDefault="00980E5F">
            <w:pPr>
              <w:rPr>
                <w:rFonts w:ascii="宋体"/>
              </w:rPr>
            </w:pPr>
          </w:p>
        </w:tc>
        <w:tc>
          <w:tcPr>
            <w:tcW w:w="0" w:type="auto"/>
            <w:shd w:val="clear" w:color="auto" w:fill="auto"/>
            <w:vAlign w:val="bottom"/>
          </w:tcPr>
          <w:p w14:paraId="392C28D6" w14:textId="77777777" w:rsidR="00980E5F" w:rsidRDefault="00980E5F">
            <w:pPr>
              <w:rPr>
                <w:rFonts w:ascii="宋体"/>
              </w:rPr>
            </w:pPr>
          </w:p>
        </w:tc>
        <w:tc>
          <w:tcPr>
            <w:tcW w:w="0" w:type="auto"/>
            <w:shd w:val="clear" w:color="auto" w:fill="auto"/>
            <w:vAlign w:val="bottom"/>
          </w:tcPr>
          <w:p w14:paraId="392C28D7" w14:textId="77777777" w:rsidR="00980E5F" w:rsidRDefault="00980E5F">
            <w:pPr>
              <w:rPr>
                <w:rFonts w:ascii="宋体"/>
              </w:rPr>
            </w:pPr>
          </w:p>
        </w:tc>
        <w:tc>
          <w:tcPr>
            <w:tcW w:w="0" w:type="auto"/>
            <w:shd w:val="clear" w:color="auto" w:fill="auto"/>
            <w:vAlign w:val="bottom"/>
          </w:tcPr>
          <w:p w14:paraId="392C28D8" w14:textId="77777777" w:rsidR="00980E5F" w:rsidRDefault="00980E5F">
            <w:pPr>
              <w:rPr>
                <w:rFonts w:ascii="宋体"/>
              </w:rPr>
            </w:pPr>
          </w:p>
        </w:tc>
        <w:tc>
          <w:tcPr>
            <w:tcW w:w="0" w:type="auto"/>
            <w:shd w:val="clear" w:color="auto" w:fill="auto"/>
            <w:vAlign w:val="bottom"/>
          </w:tcPr>
          <w:p w14:paraId="392C28D9" w14:textId="77777777" w:rsidR="00980E5F" w:rsidRDefault="00980E5F">
            <w:pPr>
              <w:rPr>
                <w:rFonts w:ascii="宋体"/>
              </w:rPr>
            </w:pPr>
          </w:p>
        </w:tc>
        <w:tc>
          <w:tcPr>
            <w:tcW w:w="0" w:type="auto"/>
            <w:shd w:val="clear" w:color="auto" w:fill="auto"/>
            <w:vAlign w:val="bottom"/>
          </w:tcPr>
          <w:p w14:paraId="392C28DA" w14:textId="77777777" w:rsidR="00980E5F" w:rsidRDefault="00980E5F">
            <w:pPr>
              <w:rPr>
                <w:rFonts w:ascii="宋体"/>
              </w:rPr>
            </w:pPr>
          </w:p>
        </w:tc>
        <w:tc>
          <w:tcPr>
            <w:tcW w:w="0" w:type="auto"/>
            <w:shd w:val="clear" w:color="auto" w:fill="auto"/>
            <w:vAlign w:val="bottom"/>
          </w:tcPr>
          <w:p w14:paraId="392C28DB" w14:textId="77777777" w:rsidR="00980E5F" w:rsidRDefault="00980E5F">
            <w:pPr>
              <w:rPr>
                <w:rFonts w:ascii="宋体"/>
              </w:rPr>
            </w:pPr>
          </w:p>
        </w:tc>
        <w:tc>
          <w:tcPr>
            <w:tcW w:w="0" w:type="auto"/>
            <w:shd w:val="clear" w:color="auto" w:fill="auto"/>
            <w:vAlign w:val="bottom"/>
          </w:tcPr>
          <w:p w14:paraId="392C28DC" w14:textId="77777777" w:rsidR="00980E5F" w:rsidRDefault="00980E5F">
            <w:pPr>
              <w:rPr>
                <w:rFonts w:ascii="宋体"/>
              </w:rPr>
            </w:pPr>
          </w:p>
        </w:tc>
        <w:tc>
          <w:tcPr>
            <w:tcW w:w="0" w:type="auto"/>
            <w:shd w:val="clear" w:color="auto" w:fill="auto"/>
            <w:vAlign w:val="bottom"/>
          </w:tcPr>
          <w:p w14:paraId="392C28DD" w14:textId="77777777" w:rsidR="00980E5F" w:rsidRDefault="00980E5F">
            <w:pPr>
              <w:rPr>
                <w:rFonts w:ascii="宋体"/>
              </w:rPr>
            </w:pPr>
          </w:p>
        </w:tc>
        <w:tc>
          <w:tcPr>
            <w:tcW w:w="0" w:type="auto"/>
            <w:shd w:val="clear" w:color="auto" w:fill="auto"/>
            <w:vAlign w:val="bottom"/>
          </w:tcPr>
          <w:p w14:paraId="392C28DE" w14:textId="77777777" w:rsidR="00980E5F" w:rsidRDefault="00980E5F">
            <w:pPr>
              <w:rPr>
                <w:rFonts w:ascii="宋体"/>
              </w:rPr>
            </w:pPr>
          </w:p>
        </w:tc>
      </w:tr>
      <w:tr w:rsidR="00980E5F" w14:paraId="392C28EC" w14:textId="77777777">
        <w:trPr>
          <w:hidden/>
        </w:trPr>
        <w:tc>
          <w:tcPr>
            <w:tcW w:w="0" w:type="auto"/>
            <w:gridSpan w:val="3"/>
            <w:shd w:val="clear" w:color="auto" w:fill="auto"/>
            <w:vAlign w:val="bottom"/>
          </w:tcPr>
          <w:p w14:paraId="392C28E0" w14:textId="77777777" w:rsidR="00980E5F" w:rsidRDefault="00980E5F">
            <w:pPr>
              <w:rPr>
                <w:rFonts w:ascii="宋体"/>
                <w:vanish/>
              </w:rPr>
            </w:pPr>
          </w:p>
        </w:tc>
        <w:tc>
          <w:tcPr>
            <w:tcW w:w="0" w:type="auto"/>
            <w:gridSpan w:val="3"/>
            <w:shd w:val="clear" w:color="auto" w:fill="auto"/>
            <w:vAlign w:val="bottom"/>
          </w:tcPr>
          <w:p w14:paraId="392C28E1" w14:textId="77777777" w:rsidR="00980E5F" w:rsidRDefault="00980E5F">
            <w:pPr>
              <w:rPr>
                <w:rFonts w:ascii="宋体"/>
                <w:vanish/>
              </w:rPr>
            </w:pPr>
          </w:p>
        </w:tc>
        <w:tc>
          <w:tcPr>
            <w:tcW w:w="0" w:type="auto"/>
            <w:gridSpan w:val="3"/>
            <w:shd w:val="clear" w:color="auto" w:fill="auto"/>
            <w:vAlign w:val="bottom"/>
          </w:tcPr>
          <w:p w14:paraId="392C28E2" w14:textId="77777777" w:rsidR="00980E5F" w:rsidRDefault="00980E5F">
            <w:pPr>
              <w:rPr>
                <w:rFonts w:ascii="宋体"/>
                <w:vanish/>
              </w:rPr>
            </w:pPr>
          </w:p>
        </w:tc>
        <w:tc>
          <w:tcPr>
            <w:tcW w:w="0" w:type="auto"/>
            <w:gridSpan w:val="3"/>
            <w:shd w:val="clear" w:color="auto" w:fill="auto"/>
            <w:vAlign w:val="bottom"/>
          </w:tcPr>
          <w:p w14:paraId="392C28E3" w14:textId="77777777" w:rsidR="00980E5F" w:rsidRDefault="00980E5F">
            <w:pPr>
              <w:rPr>
                <w:rFonts w:ascii="宋体"/>
                <w:vanish/>
              </w:rPr>
            </w:pPr>
          </w:p>
        </w:tc>
        <w:tc>
          <w:tcPr>
            <w:tcW w:w="0" w:type="auto"/>
            <w:gridSpan w:val="3"/>
            <w:shd w:val="clear" w:color="auto" w:fill="auto"/>
            <w:vAlign w:val="bottom"/>
          </w:tcPr>
          <w:p w14:paraId="392C28E4" w14:textId="77777777" w:rsidR="00980E5F" w:rsidRDefault="00980E5F">
            <w:pPr>
              <w:rPr>
                <w:rFonts w:ascii="宋体"/>
                <w:vanish/>
              </w:rPr>
            </w:pPr>
          </w:p>
        </w:tc>
        <w:tc>
          <w:tcPr>
            <w:tcW w:w="0" w:type="auto"/>
            <w:gridSpan w:val="3"/>
            <w:shd w:val="clear" w:color="auto" w:fill="auto"/>
            <w:vAlign w:val="bottom"/>
          </w:tcPr>
          <w:p w14:paraId="392C28E5" w14:textId="77777777" w:rsidR="00980E5F" w:rsidRDefault="00980E5F">
            <w:pPr>
              <w:rPr>
                <w:rFonts w:ascii="宋体"/>
                <w:vanish/>
              </w:rPr>
            </w:pPr>
          </w:p>
        </w:tc>
        <w:tc>
          <w:tcPr>
            <w:tcW w:w="0" w:type="auto"/>
            <w:gridSpan w:val="3"/>
            <w:shd w:val="clear" w:color="auto" w:fill="auto"/>
            <w:vAlign w:val="bottom"/>
          </w:tcPr>
          <w:p w14:paraId="392C28E6" w14:textId="77777777" w:rsidR="00980E5F" w:rsidRDefault="00980E5F">
            <w:pPr>
              <w:rPr>
                <w:rFonts w:ascii="宋体"/>
                <w:vanish/>
              </w:rPr>
            </w:pPr>
          </w:p>
        </w:tc>
        <w:tc>
          <w:tcPr>
            <w:tcW w:w="0" w:type="auto"/>
            <w:gridSpan w:val="3"/>
            <w:shd w:val="clear" w:color="auto" w:fill="auto"/>
            <w:vAlign w:val="bottom"/>
          </w:tcPr>
          <w:p w14:paraId="392C28E7" w14:textId="77777777" w:rsidR="00980E5F" w:rsidRDefault="00980E5F">
            <w:pPr>
              <w:rPr>
                <w:rFonts w:ascii="宋体"/>
                <w:vanish/>
              </w:rPr>
            </w:pPr>
          </w:p>
        </w:tc>
        <w:tc>
          <w:tcPr>
            <w:tcW w:w="0" w:type="auto"/>
            <w:gridSpan w:val="3"/>
            <w:shd w:val="clear" w:color="auto" w:fill="auto"/>
            <w:vAlign w:val="bottom"/>
          </w:tcPr>
          <w:p w14:paraId="392C28E8" w14:textId="77777777" w:rsidR="00980E5F" w:rsidRDefault="00980E5F">
            <w:pPr>
              <w:rPr>
                <w:rFonts w:ascii="宋体"/>
                <w:vanish/>
              </w:rPr>
            </w:pPr>
          </w:p>
        </w:tc>
        <w:tc>
          <w:tcPr>
            <w:tcW w:w="0" w:type="auto"/>
            <w:gridSpan w:val="3"/>
            <w:shd w:val="clear" w:color="auto" w:fill="auto"/>
            <w:vAlign w:val="bottom"/>
          </w:tcPr>
          <w:p w14:paraId="392C28E9" w14:textId="77777777" w:rsidR="00980E5F" w:rsidRDefault="00980E5F">
            <w:pPr>
              <w:rPr>
                <w:rFonts w:ascii="宋体"/>
                <w:vanish/>
              </w:rPr>
            </w:pPr>
          </w:p>
        </w:tc>
        <w:tc>
          <w:tcPr>
            <w:tcW w:w="0" w:type="auto"/>
            <w:gridSpan w:val="3"/>
            <w:shd w:val="clear" w:color="auto" w:fill="auto"/>
            <w:vAlign w:val="bottom"/>
          </w:tcPr>
          <w:p w14:paraId="392C28EA" w14:textId="77777777" w:rsidR="00980E5F" w:rsidRDefault="00980E5F">
            <w:pPr>
              <w:rPr>
                <w:rFonts w:ascii="宋体"/>
                <w:vanish/>
              </w:rPr>
            </w:pPr>
          </w:p>
        </w:tc>
        <w:tc>
          <w:tcPr>
            <w:tcW w:w="0" w:type="auto"/>
            <w:gridSpan w:val="3"/>
            <w:shd w:val="clear" w:color="auto" w:fill="auto"/>
            <w:vAlign w:val="bottom"/>
          </w:tcPr>
          <w:p w14:paraId="392C28EB" w14:textId="77777777" w:rsidR="00980E5F" w:rsidRDefault="00980E5F">
            <w:pPr>
              <w:rPr>
                <w:rFonts w:ascii="宋体"/>
                <w:vanish/>
              </w:rPr>
            </w:pPr>
          </w:p>
        </w:tc>
      </w:tr>
      <w:tr w:rsidR="00980E5F" w14:paraId="392C28F9" w14:textId="77777777">
        <w:trPr>
          <w:hidden/>
        </w:trPr>
        <w:tc>
          <w:tcPr>
            <w:tcW w:w="0" w:type="auto"/>
            <w:gridSpan w:val="3"/>
            <w:shd w:val="clear" w:color="auto" w:fill="auto"/>
            <w:vAlign w:val="bottom"/>
          </w:tcPr>
          <w:p w14:paraId="392C28ED" w14:textId="77777777" w:rsidR="00980E5F" w:rsidRDefault="00980E5F">
            <w:pPr>
              <w:rPr>
                <w:rFonts w:ascii="宋体"/>
                <w:vanish/>
              </w:rPr>
            </w:pPr>
          </w:p>
        </w:tc>
        <w:tc>
          <w:tcPr>
            <w:tcW w:w="0" w:type="auto"/>
            <w:gridSpan w:val="3"/>
            <w:shd w:val="clear" w:color="auto" w:fill="auto"/>
            <w:vAlign w:val="bottom"/>
          </w:tcPr>
          <w:p w14:paraId="392C28EE" w14:textId="77777777" w:rsidR="00980E5F" w:rsidRDefault="00980E5F">
            <w:pPr>
              <w:rPr>
                <w:rFonts w:ascii="宋体"/>
                <w:vanish/>
              </w:rPr>
            </w:pPr>
          </w:p>
        </w:tc>
        <w:tc>
          <w:tcPr>
            <w:tcW w:w="0" w:type="auto"/>
            <w:gridSpan w:val="3"/>
            <w:shd w:val="clear" w:color="auto" w:fill="auto"/>
            <w:vAlign w:val="bottom"/>
          </w:tcPr>
          <w:p w14:paraId="392C28EF" w14:textId="77777777" w:rsidR="00980E5F" w:rsidRDefault="00980E5F">
            <w:pPr>
              <w:rPr>
                <w:rFonts w:ascii="宋体"/>
                <w:vanish/>
              </w:rPr>
            </w:pPr>
          </w:p>
        </w:tc>
        <w:tc>
          <w:tcPr>
            <w:tcW w:w="0" w:type="auto"/>
            <w:gridSpan w:val="3"/>
            <w:shd w:val="clear" w:color="auto" w:fill="auto"/>
            <w:vAlign w:val="bottom"/>
          </w:tcPr>
          <w:p w14:paraId="392C28F0" w14:textId="77777777" w:rsidR="00980E5F" w:rsidRDefault="00980E5F">
            <w:pPr>
              <w:rPr>
                <w:rFonts w:ascii="宋体"/>
                <w:vanish/>
              </w:rPr>
            </w:pPr>
          </w:p>
        </w:tc>
        <w:tc>
          <w:tcPr>
            <w:tcW w:w="0" w:type="auto"/>
            <w:gridSpan w:val="3"/>
            <w:shd w:val="clear" w:color="auto" w:fill="auto"/>
            <w:vAlign w:val="bottom"/>
          </w:tcPr>
          <w:p w14:paraId="392C28F1" w14:textId="77777777" w:rsidR="00980E5F" w:rsidRDefault="00980E5F">
            <w:pPr>
              <w:rPr>
                <w:rFonts w:ascii="宋体"/>
                <w:vanish/>
              </w:rPr>
            </w:pPr>
          </w:p>
        </w:tc>
        <w:tc>
          <w:tcPr>
            <w:tcW w:w="0" w:type="auto"/>
            <w:gridSpan w:val="3"/>
            <w:shd w:val="clear" w:color="auto" w:fill="auto"/>
            <w:vAlign w:val="bottom"/>
          </w:tcPr>
          <w:p w14:paraId="392C28F2" w14:textId="77777777" w:rsidR="00980E5F" w:rsidRDefault="00980E5F">
            <w:pPr>
              <w:rPr>
                <w:rFonts w:ascii="宋体"/>
                <w:vanish/>
              </w:rPr>
            </w:pPr>
          </w:p>
        </w:tc>
        <w:tc>
          <w:tcPr>
            <w:tcW w:w="0" w:type="auto"/>
            <w:gridSpan w:val="3"/>
            <w:shd w:val="clear" w:color="auto" w:fill="auto"/>
            <w:vAlign w:val="bottom"/>
          </w:tcPr>
          <w:p w14:paraId="392C28F3" w14:textId="77777777" w:rsidR="00980E5F" w:rsidRDefault="00980E5F">
            <w:pPr>
              <w:rPr>
                <w:rFonts w:ascii="宋体"/>
                <w:vanish/>
              </w:rPr>
            </w:pPr>
          </w:p>
        </w:tc>
        <w:tc>
          <w:tcPr>
            <w:tcW w:w="0" w:type="auto"/>
            <w:gridSpan w:val="3"/>
            <w:shd w:val="clear" w:color="auto" w:fill="auto"/>
            <w:vAlign w:val="bottom"/>
          </w:tcPr>
          <w:p w14:paraId="392C28F4" w14:textId="77777777" w:rsidR="00980E5F" w:rsidRDefault="00980E5F">
            <w:pPr>
              <w:rPr>
                <w:rFonts w:ascii="宋体"/>
                <w:vanish/>
              </w:rPr>
            </w:pPr>
          </w:p>
        </w:tc>
        <w:tc>
          <w:tcPr>
            <w:tcW w:w="0" w:type="auto"/>
            <w:gridSpan w:val="3"/>
            <w:shd w:val="clear" w:color="auto" w:fill="auto"/>
            <w:vAlign w:val="bottom"/>
          </w:tcPr>
          <w:p w14:paraId="392C28F5" w14:textId="77777777" w:rsidR="00980E5F" w:rsidRDefault="00980E5F">
            <w:pPr>
              <w:rPr>
                <w:rFonts w:ascii="宋体"/>
                <w:vanish/>
              </w:rPr>
            </w:pPr>
          </w:p>
        </w:tc>
        <w:tc>
          <w:tcPr>
            <w:tcW w:w="0" w:type="auto"/>
            <w:gridSpan w:val="3"/>
            <w:shd w:val="clear" w:color="auto" w:fill="auto"/>
            <w:vAlign w:val="bottom"/>
          </w:tcPr>
          <w:p w14:paraId="392C28F6" w14:textId="77777777" w:rsidR="00980E5F" w:rsidRDefault="00980E5F">
            <w:pPr>
              <w:rPr>
                <w:rFonts w:ascii="宋体"/>
                <w:vanish/>
              </w:rPr>
            </w:pPr>
          </w:p>
        </w:tc>
        <w:tc>
          <w:tcPr>
            <w:tcW w:w="0" w:type="auto"/>
            <w:gridSpan w:val="3"/>
            <w:shd w:val="clear" w:color="auto" w:fill="auto"/>
            <w:vAlign w:val="bottom"/>
          </w:tcPr>
          <w:p w14:paraId="392C28F7" w14:textId="77777777" w:rsidR="00980E5F" w:rsidRDefault="00980E5F">
            <w:pPr>
              <w:rPr>
                <w:rFonts w:ascii="宋体"/>
                <w:vanish/>
              </w:rPr>
            </w:pPr>
          </w:p>
        </w:tc>
        <w:tc>
          <w:tcPr>
            <w:tcW w:w="0" w:type="auto"/>
            <w:gridSpan w:val="3"/>
            <w:shd w:val="clear" w:color="auto" w:fill="auto"/>
            <w:vAlign w:val="bottom"/>
          </w:tcPr>
          <w:p w14:paraId="392C28F8" w14:textId="77777777" w:rsidR="00980E5F" w:rsidRDefault="00980E5F">
            <w:pPr>
              <w:rPr>
                <w:rFonts w:ascii="宋体"/>
                <w:vanish/>
              </w:rPr>
            </w:pPr>
          </w:p>
        </w:tc>
      </w:tr>
      <w:tr w:rsidR="00980E5F" w14:paraId="392C2906" w14:textId="77777777">
        <w:trPr>
          <w:hidden/>
        </w:trPr>
        <w:tc>
          <w:tcPr>
            <w:tcW w:w="0" w:type="auto"/>
            <w:gridSpan w:val="3"/>
            <w:shd w:val="clear" w:color="auto" w:fill="auto"/>
            <w:vAlign w:val="bottom"/>
          </w:tcPr>
          <w:p w14:paraId="392C28FA" w14:textId="77777777" w:rsidR="00980E5F" w:rsidRDefault="00980E5F">
            <w:pPr>
              <w:rPr>
                <w:rFonts w:ascii="宋体"/>
                <w:vanish/>
              </w:rPr>
            </w:pPr>
          </w:p>
        </w:tc>
        <w:tc>
          <w:tcPr>
            <w:tcW w:w="0" w:type="auto"/>
            <w:gridSpan w:val="3"/>
            <w:shd w:val="clear" w:color="auto" w:fill="auto"/>
            <w:vAlign w:val="bottom"/>
          </w:tcPr>
          <w:p w14:paraId="392C28FB" w14:textId="77777777" w:rsidR="00980E5F" w:rsidRDefault="00980E5F">
            <w:pPr>
              <w:rPr>
                <w:rFonts w:ascii="宋体"/>
                <w:vanish/>
              </w:rPr>
            </w:pPr>
          </w:p>
        </w:tc>
        <w:tc>
          <w:tcPr>
            <w:tcW w:w="0" w:type="auto"/>
            <w:gridSpan w:val="3"/>
            <w:shd w:val="clear" w:color="auto" w:fill="auto"/>
            <w:vAlign w:val="bottom"/>
          </w:tcPr>
          <w:p w14:paraId="392C28FC" w14:textId="77777777" w:rsidR="00980E5F" w:rsidRDefault="00980E5F">
            <w:pPr>
              <w:rPr>
                <w:rFonts w:ascii="宋体"/>
                <w:vanish/>
              </w:rPr>
            </w:pPr>
          </w:p>
        </w:tc>
        <w:tc>
          <w:tcPr>
            <w:tcW w:w="0" w:type="auto"/>
            <w:gridSpan w:val="3"/>
            <w:shd w:val="clear" w:color="auto" w:fill="auto"/>
            <w:vAlign w:val="bottom"/>
          </w:tcPr>
          <w:p w14:paraId="392C28FD" w14:textId="77777777" w:rsidR="00980E5F" w:rsidRDefault="00980E5F">
            <w:pPr>
              <w:rPr>
                <w:rFonts w:ascii="宋体"/>
                <w:vanish/>
              </w:rPr>
            </w:pPr>
          </w:p>
        </w:tc>
        <w:tc>
          <w:tcPr>
            <w:tcW w:w="0" w:type="auto"/>
            <w:gridSpan w:val="3"/>
            <w:shd w:val="clear" w:color="auto" w:fill="auto"/>
            <w:vAlign w:val="bottom"/>
          </w:tcPr>
          <w:p w14:paraId="392C28FE" w14:textId="77777777" w:rsidR="00980E5F" w:rsidRDefault="00980E5F">
            <w:pPr>
              <w:rPr>
                <w:rFonts w:ascii="宋体"/>
                <w:vanish/>
              </w:rPr>
            </w:pPr>
          </w:p>
        </w:tc>
        <w:tc>
          <w:tcPr>
            <w:tcW w:w="0" w:type="auto"/>
            <w:gridSpan w:val="3"/>
            <w:shd w:val="clear" w:color="auto" w:fill="auto"/>
            <w:vAlign w:val="bottom"/>
          </w:tcPr>
          <w:p w14:paraId="392C28FF" w14:textId="77777777" w:rsidR="00980E5F" w:rsidRDefault="00980E5F">
            <w:pPr>
              <w:rPr>
                <w:rFonts w:ascii="宋体"/>
                <w:vanish/>
              </w:rPr>
            </w:pPr>
          </w:p>
        </w:tc>
        <w:tc>
          <w:tcPr>
            <w:tcW w:w="0" w:type="auto"/>
            <w:gridSpan w:val="3"/>
            <w:shd w:val="clear" w:color="auto" w:fill="auto"/>
            <w:vAlign w:val="bottom"/>
          </w:tcPr>
          <w:p w14:paraId="392C2900" w14:textId="77777777" w:rsidR="00980E5F" w:rsidRDefault="00980E5F">
            <w:pPr>
              <w:rPr>
                <w:rFonts w:ascii="宋体"/>
                <w:vanish/>
              </w:rPr>
            </w:pPr>
          </w:p>
        </w:tc>
        <w:tc>
          <w:tcPr>
            <w:tcW w:w="0" w:type="auto"/>
            <w:gridSpan w:val="3"/>
            <w:shd w:val="clear" w:color="auto" w:fill="auto"/>
            <w:vAlign w:val="bottom"/>
          </w:tcPr>
          <w:p w14:paraId="392C2901" w14:textId="77777777" w:rsidR="00980E5F" w:rsidRDefault="00980E5F">
            <w:pPr>
              <w:rPr>
                <w:rFonts w:ascii="宋体"/>
                <w:vanish/>
              </w:rPr>
            </w:pPr>
          </w:p>
        </w:tc>
        <w:tc>
          <w:tcPr>
            <w:tcW w:w="0" w:type="auto"/>
            <w:gridSpan w:val="3"/>
            <w:shd w:val="clear" w:color="auto" w:fill="auto"/>
            <w:vAlign w:val="bottom"/>
          </w:tcPr>
          <w:p w14:paraId="392C2902" w14:textId="77777777" w:rsidR="00980E5F" w:rsidRDefault="00980E5F">
            <w:pPr>
              <w:rPr>
                <w:rFonts w:ascii="宋体"/>
                <w:vanish/>
              </w:rPr>
            </w:pPr>
          </w:p>
        </w:tc>
        <w:tc>
          <w:tcPr>
            <w:tcW w:w="0" w:type="auto"/>
            <w:gridSpan w:val="3"/>
            <w:shd w:val="clear" w:color="auto" w:fill="auto"/>
            <w:vAlign w:val="bottom"/>
          </w:tcPr>
          <w:p w14:paraId="392C2903" w14:textId="77777777" w:rsidR="00980E5F" w:rsidRDefault="00980E5F">
            <w:pPr>
              <w:rPr>
                <w:rFonts w:ascii="宋体"/>
                <w:vanish/>
              </w:rPr>
            </w:pPr>
          </w:p>
        </w:tc>
        <w:tc>
          <w:tcPr>
            <w:tcW w:w="0" w:type="auto"/>
            <w:gridSpan w:val="3"/>
            <w:shd w:val="clear" w:color="auto" w:fill="auto"/>
            <w:vAlign w:val="bottom"/>
          </w:tcPr>
          <w:p w14:paraId="392C2904" w14:textId="77777777" w:rsidR="00980E5F" w:rsidRDefault="00980E5F">
            <w:pPr>
              <w:rPr>
                <w:rFonts w:ascii="宋体"/>
                <w:vanish/>
              </w:rPr>
            </w:pPr>
          </w:p>
        </w:tc>
        <w:tc>
          <w:tcPr>
            <w:tcW w:w="0" w:type="auto"/>
            <w:gridSpan w:val="3"/>
            <w:shd w:val="clear" w:color="auto" w:fill="auto"/>
            <w:vAlign w:val="bottom"/>
          </w:tcPr>
          <w:p w14:paraId="392C2905" w14:textId="77777777" w:rsidR="00980E5F" w:rsidRDefault="00980E5F">
            <w:pPr>
              <w:rPr>
                <w:rFonts w:ascii="宋体"/>
                <w:vanish/>
              </w:rPr>
            </w:pPr>
          </w:p>
        </w:tc>
      </w:tr>
      <w:tr w:rsidR="00980E5F" w14:paraId="392C2913" w14:textId="77777777">
        <w:trPr>
          <w:hidden/>
        </w:trPr>
        <w:tc>
          <w:tcPr>
            <w:tcW w:w="0" w:type="auto"/>
            <w:gridSpan w:val="3"/>
            <w:shd w:val="clear" w:color="auto" w:fill="auto"/>
            <w:vAlign w:val="bottom"/>
          </w:tcPr>
          <w:p w14:paraId="392C2907" w14:textId="77777777" w:rsidR="00980E5F" w:rsidRDefault="00980E5F">
            <w:pPr>
              <w:rPr>
                <w:rFonts w:ascii="宋体"/>
                <w:vanish/>
              </w:rPr>
            </w:pPr>
          </w:p>
        </w:tc>
        <w:tc>
          <w:tcPr>
            <w:tcW w:w="0" w:type="auto"/>
            <w:gridSpan w:val="3"/>
            <w:shd w:val="clear" w:color="auto" w:fill="auto"/>
            <w:vAlign w:val="bottom"/>
          </w:tcPr>
          <w:p w14:paraId="392C2908" w14:textId="77777777" w:rsidR="00980E5F" w:rsidRDefault="00980E5F">
            <w:pPr>
              <w:rPr>
                <w:rFonts w:ascii="宋体"/>
                <w:vanish/>
              </w:rPr>
            </w:pPr>
          </w:p>
        </w:tc>
        <w:tc>
          <w:tcPr>
            <w:tcW w:w="0" w:type="auto"/>
            <w:gridSpan w:val="3"/>
            <w:shd w:val="clear" w:color="auto" w:fill="auto"/>
            <w:vAlign w:val="bottom"/>
          </w:tcPr>
          <w:p w14:paraId="392C2909" w14:textId="77777777" w:rsidR="00980E5F" w:rsidRDefault="00980E5F">
            <w:pPr>
              <w:rPr>
                <w:rFonts w:ascii="宋体"/>
                <w:vanish/>
              </w:rPr>
            </w:pPr>
          </w:p>
        </w:tc>
        <w:tc>
          <w:tcPr>
            <w:tcW w:w="0" w:type="auto"/>
            <w:gridSpan w:val="3"/>
            <w:shd w:val="clear" w:color="auto" w:fill="auto"/>
            <w:vAlign w:val="bottom"/>
          </w:tcPr>
          <w:p w14:paraId="392C290A" w14:textId="77777777" w:rsidR="00980E5F" w:rsidRDefault="00980E5F">
            <w:pPr>
              <w:rPr>
                <w:rFonts w:ascii="宋体"/>
                <w:vanish/>
              </w:rPr>
            </w:pPr>
          </w:p>
        </w:tc>
        <w:tc>
          <w:tcPr>
            <w:tcW w:w="0" w:type="auto"/>
            <w:gridSpan w:val="3"/>
            <w:shd w:val="clear" w:color="auto" w:fill="auto"/>
            <w:vAlign w:val="bottom"/>
          </w:tcPr>
          <w:p w14:paraId="392C290B" w14:textId="77777777" w:rsidR="00980E5F" w:rsidRDefault="00980E5F">
            <w:pPr>
              <w:rPr>
                <w:rFonts w:ascii="宋体"/>
                <w:vanish/>
              </w:rPr>
            </w:pPr>
          </w:p>
        </w:tc>
        <w:tc>
          <w:tcPr>
            <w:tcW w:w="0" w:type="auto"/>
            <w:gridSpan w:val="3"/>
            <w:shd w:val="clear" w:color="auto" w:fill="auto"/>
            <w:vAlign w:val="bottom"/>
          </w:tcPr>
          <w:p w14:paraId="392C290C" w14:textId="77777777" w:rsidR="00980E5F" w:rsidRDefault="00980E5F">
            <w:pPr>
              <w:rPr>
                <w:rFonts w:ascii="宋体"/>
                <w:vanish/>
              </w:rPr>
            </w:pPr>
          </w:p>
        </w:tc>
        <w:tc>
          <w:tcPr>
            <w:tcW w:w="0" w:type="auto"/>
            <w:gridSpan w:val="3"/>
            <w:shd w:val="clear" w:color="auto" w:fill="auto"/>
            <w:vAlign w:val="bottom"/>
          </w:tcPr>
          <w:p w14:paraId="392C290D" w14:textId="77777777" w:rsidR="00980E5F" w:rsidRDefault="00980E5F">
            <w:pPr>
              <w:rPr>
                <w:rFonts w:ascii="宋体"/>
                <w:vanish/>
              </w:rPr>
            </w:pPr>
          </w:p>
        </w:tc>
        <w:tc>
          <w:tcPr>
            <w:tcW w:w="0" w:type="auto"/>
            <w:gridSpan w:val="3"/>
            <w:shd w:val="clear" w:color="auto" w:fill="auto"/>
            <w:vAlign w:val="bottom"/>
          </w:tcPr>
          <w:p w14:paraId="392C290E" w14:textId="77777777" w:rsidR="00980E5F" w:rsidRDefault="00980E5F">
            <w:pPr>
              <w:rPr>
                <w:rFonts w:ascii="宋体"/>
                <w:vanish/>
              </w:rPr>
            </w:pPr>
          </w:p>
        </w:tc>
        <w:tc>
          <w:tcPr>
            <w:tcW w:w="0" w:type="auto"/>
            <w:gridSpan w:val="3"/>
            <w:shd w:val="clear" w:color="auto" w:fill="auto"/>
            <w:vAlign w:val="bottom"/>
          </w:tcPr>
          <w:p w14:paraId="392C290F" w14:textId="77777777" w:rsidR="00980E5F" w:rsidRDefault="00980E5F">
            <w:pPr>
              <w:rPr>
                <w:rFonts w:ascii="宋体"/>
                <w:vanish/>
              </w:rPr>
            </w:pPr>
          </w:p>
        </w:tc>
        <w:tc>
          <w:tcPr>
            <w:tcW w:w="0" w:type="auto"/>
            <w:gridSpan w:val="3"/>
            <w:shd w:val="clear" w:color="auto" w:fill="auto"/>
            <w:vAlign w:val="bottom"/>
          </w:tcPr>
          <w:p w14:paraId="392C2910" w14:textId="77777777" w:rsidR="00980E5F" w:rsidRDefault="00980E5F">
            <w:pPr>
              <w:rPr>
                <w:rFonts w:ascii="宋体"/>
                <w:vanish/>
              </w:rPr>
            </w:pPr>
          </w:p>
        </w:tc>
        <w:tc>
          <w:tcPr>
            <w:tcW w:w="0" w:type="auto"/>
            <w:gridSpan w:val="3"/>
            <w:shd w:val="clear" w:color="auto" w:fill="auto"/>
            <w:vAlign w:val="bottom"/>
          </w:tcPr>
          <w:p w14:paraId="392C2911" w14:textId="77777777" w:rsidR="00980E5F" w:rsidRDefault="00980E5F">
            <w:pPr>
              <w:rPr>
                <w:rFonts w:ascii="宋体"/>
                <w:vanish/>
              </w:rPr>
            </w:pPr>
          </w:p>
        </w:tc>
        <w:tc>
          <w:tcPr>
            <w:tcW w:w="0" w:type="auto"/>
            <w:gridSpan w:val="3"/>
            <w:shd w:val="clear" w:color="auto" w:fill="auto"/>
            <w:vAlign w:val="bottom"/>
          </w:tcPr>
          <w:p w14:paraId="392C2912" w14:textId="77777777" w:rsidR="00980E5F" w:rsidRDefault="00980E5F">
            <w:pPr>
              <w:rPr>
                <w:rFonts w:ascii="宋体"/>
                <w:vanish/>
              </w:rPr>
            </w:pPr>
          </w:p>
        </w:tc>
      </w:tr>
      <w:tr w:rsidR="00980E5F" w14:paraId="392C2920" w14:textId="77777777">
        <w:trPr>
          <w:hidden/>
        </w:trPr>
        <w:tc>
          <w:tcPr>
            <w:tcW w:w="0" w:type="auto"/>
            <w:gridSpan w:val="3"/>
            <w:shd w:val="clear" w:color="auto" w:fill="auto"/>
            <w:vAlign w:val="bottom"/>
          </w:tcPr>
          <w:p w14:paraId="392C2914" w14:textId="77777777" w:rsidR="00980E5F" w:rsidRDefault="00980E5F">
            <w:pPr>
              <w:rPr>
                <w:rFonts w:ascii="宋体"/>
                <w:vanish/>
              </w:rPr>
            </w:pPr>
          </w:p>
        </w:tc>
        <w:tc>
          <w:tcPr>
            <w:tcW w:w="0" w:type="auto"/>
            <w:gridSpan w:val="3"/>
            <w:shd w:val="clear" w:color="auto" w:fill="auto"/>
            <w:vAlign w:val="bottom"/>
          </w:tcPr>
          <w:p w14:paraId="392C2915" w14:textId="77777777" w:rsidR="00980E5F" w:rsidRDefault="00980E5F">
            <w:pPr>
              <w:rPr>
                <w:rFonts w:ascii="宋体"/>
                <w:vanish/>
              </w:rPr>
            </w:pPr>
          </w:p>
        </w:tc>
        <w:tc>
          <w:tcPr>
            <w:tcW w:w="0" w:type="auto"/>
            <w:gridSpan w:val="3"/>
            <w:shd w:val="clear" w:color="auto" w:fill="auto"/>
            <w:vAlign w:val="bottom"/>
          </w:tcPr>
          <w:p w14:paraId="392C2916" w14:textId="77777777" w:rsidR="00980E5F" w:rsidRDefault="00980E5F">
            <w:pPr>
              <w:rPr>
                <w:rFonts w:ascii="宋体"/>
                <w:vanish/>
              </w:rPr>
            </w:pPr>
          </w:p>
        </w:tc>
        <w:tc>
          <w:tcPr>
            <w:tcW w:w="0" w:type="auto"/>
            <w:gridSpan w:val="3"/>
            <w:shd w:val="clear" w:color="auto" w:fill="auto"/>
            <w:vAlign w:val="bottom"/>
          </w:tcPr>
          <w:p w14:paraId="392C2917" w14:textId="77777777" w:rsidR="00980E5F" w:rsidRDefault="00980E5F">
            <w:pPr>
              <w:rPr>
                <w:rFonts w:ascii="宋体"/>
                <w:vanish/>
              </w:rPr>
            </w:pPr>
          </w:p>
        </w:tc>
        <w:tc>
          <w:tcPr>
            <w:tcW w:w="0" w:type="auto"/>
            <w:gridSpan w:val="3"/>
            <w:shd w:val="clear" w:color="auto" w:fill="auto"/>
            <w:vAlign w:val="bottom"/>
          </w:tcPr>
          <w:p w14:paraId="392C2918" w14:textId="77777777" w:rsidR="00980E5F" w:rsidRDefault="00980E5F">
            <w:pPr>
              <w:rPr>
                <w:rFonts w:ascii="宋体"/>
                <w:vanish/>
              </w:rPr>
            </w:pPr>
          </w:p>
        </w:tc>
        <w:tc>
          <w:tcPr>
            <w:tcW w:w="0" w:type="auto"/>
            <w:gridSpan w:val="3"/>
            <w:shd w:val="clear" w:color="auto" w:fill="auto"/>
            <w:vAlign w:val="bottom"/>
          </w:tcPr>
          <w:p w14:paraId="392C2919" w14:textId="77777777" w:rsidR="00980E5F" w:rsidRDefault="00980E5F">
            <w:pPr>
              <w:rPr>
                <w:rFonts w:ascii="宋体"/>
                <w:vanish/>
              </w:rPr>
            </w:pPr>
          </w:p>
        </w:tc>
        <w:tc>
          <w:tcPr>
            <w:tcW w:w="0" w:type="auto"/>
            <w:gridSpan w:val="3"/>
            <w:shd w:val="clear" w:color="auto" w:fill="auto"/>
            <w:vAlign w:val="bottom"/>
          </w:tcPr>
          <w:p w14:paraId="392C291A" w14:textId="77777777" w:rsidR="00980E5F" w:rsidRDefault="00980E5F">
            <w:pPr>
              <w:rPr>
                <w:rFonts w:ascii="宋体"/>
                <w:vanish/>
              </w:rPr>
            </w:pPr>
          </w:p>
        </w:tc>
        <w:tc>
          <w:tcPr>
            <w:tcW w:w="0" w:type="auto"/>
            <w:gridSpan w:val="3"/>
            <w:shd w:val="clear" w:color="auto" w:fill="auto"/>
            <w:vAlign w:val="bottom"/>
          </w:tcPr>
          <w:p w14:paraId="392C291B" w14:textId="77777777" w:rsidR="00980E5F" w:rsidRDefault="00980E5F">
            <w:pPr>
              <w:rPr>
                <w:rFonts w:ascii="宋体"/>
                <w:vanish/>
              </w:rPr>
            </w:pPr>
          </w:p>
        </w:tc>
        <w:tc>
          <w:tcPr>
            <w:tcW w:w="0" w:type="auto"/>
            <w:gridSpan w:val="3"/>
            <w:shd w:val="clear" w:color="auto" w:fill="auto"/>
            <w:vAlign w:val="bottom"/>
          </w:tcPr>
          <w:p w14:paraId="392C291C" w14:textId="77777777" w:rsidR="00980E5F" w:rsidRDefault="00980E5F">
            <w:pPr>
              <w:rPr>
                <w:rFonts w:ascii="宋体"/>
                <w:vanish/>
              </w:rPr>
            </w:pPr>
          </w:p>
        </w:tc>
        <w:tc>
          <w:tcPr>
            <w:tcW w:w="0" w:type="auto"/>
            <w:gridSpan w:val="3"/>
            <w:shd w:val="clear" w:color="auto" w:fill="auto"/>
            <w:vAlign w:val="bottom"/>
          </w:tcPr>
          <w:p w14:paraId="392C291D" w14:textId="77777777" w:rsidR="00980E5F" w:rsidRDefault="00980E5F">
            <w:pPr>
              <w:rPr>
                <w:rFonts w:ascii="宋体"/>
                <w:vanish/>
              </w:rPr>
            </w:pPr>
          </w:p>
        </w:tc>
        <w:tc>
          <w:tcPr>
            <w:tcW w:w="0" w:type="auto"/>
            <w:gridSpan w:val="3"/>
            <w:shd w:val="clear" w:color="auto" w:fill="auto"/>
            <w:vAlign w:val="bottom"/>
          </w:tcPr>
          <w:p w14:paraId="392C291E" w14:textId="77777777" w:rsidR="00980E5F" w:rsidRDefault="00980E5F">
            <w:pPr>
              <w:rPr>
                <w:rFonts w:ascii="宋体"/>
                <w:vanish/>
              </w:rPr>
            </w:pPr>
          </w:p>
        </w:tc>
        <w:tc>
          <w:tcPr>
            <w:tcW w:w="0" w:type="auto"/>
            <w:gridSpan w:val="3"/>
            <w:shd w:val="clear" w:color="auto" w:fill="auto"/>
            <w:vAlign w:val="bottom"/>
          </w:tcPr>
          <w:p w14:paraId="392C291F" w14:textId="77777777" w:rsidR="00980E5F" w:rsidRDefault="00980E5F">
            <w:pPr>
              <w:rPr>
                <w:rFonts w:ascii="宋体"/>
                <w:vanish/>
              </w:rPr>
            </w:pPr>
          </w:p>
        </w:tc>
      </w:tr>
      <w:tr w:rsidR="00980E5F" w14:paraId="392C292D" w14:textId="77777777">
        <w:trPr>
          <w:hidden/>
        </w:trPr>
        <w:tc>
          <w:tcPr>
            <w:tcW w:w="0" w:type="auto"/>
            <w:gridSpan w:val="3"/>
            <w:shd w:val="clear" w:color="auto" w:fill="auto"/>
            <w:vAlign w:val="bottom"/>
          </w:tcPr>
          <w:p w14:paraId="392C2921" w14:textId="77777777" w:rsidR="00980E5F" w:rsidRDefault="00980E5F">
            <w:pPr>
              <w:rPr>
                <w:rFonts w:ascii="宋体"/>
                <w:vanish/>
              </w:rPr>
            </w:pPr>
          </w:p>
        </w:tc>
        <w:tc>
          <w:tcPr>
            <w:tcW w:w="0" w:type="auto"/>
            <w:gridSpan w:val="3"/>
            <w:shd w:val="clear" w:color="auto" w:fill="auto"/>
            <w:vAlign w:val="bottom"/>
          </w:tcPr>
          <w:p w14:paraId="392C2922" w14:textId="77777777" w:rsidR="00980E5F" w:rsidRDefault="00980E5F">
            <w:pPr>
              <w:rPr>
                <w:rFonts w:ascii="宋体"/>
                <w:vanish/>
              </w:rPr>
            </w:pPr>
          </w:p>
        </w:tc>
        <w:tc>
          <w:tcPr>
            <w:tcW w:w="0" w:type="auto"/>
            <w:gridSpan w:val="3"/>
            <w:shd w:val="clear" w:color="auto" w:fill="auto"/>
            <w:vAlign w:val="bottom"/>
          </w:tcPr>
          <w:p w14:paraId="392C2923" w14:textId="77777777" w:rsidR="00980E5F" w:rsidRDefault="00980E5F">
            <w:pPr>
              <w:rPr>
                <w:rFonts w:ascii="宋体"/>
                <w:vanish/>
              </w:rPr>
            </w:pPr>
          </w:p>
        </w:tc>
        <w:tc>
          <w:tcPr>
            <w:tcW w:w="0" w:type="auto"/>
            <w:gridSpan w:val="3"/>
            <w:shd w:val="clear" w:color="auto" w:fill="auto"/>
            <w:vAlign w:val="bottom"/>
          </w:tcPr>
          <w:p w14:paraId="392C2924" w14:textId="77777777" w:rsidR="00980E5F" w:rsidRDefault="00980E5F">
            <w:pPr>
              <w:rPr>
                <w:rFonts w:ascii="宋体"/>
                <w:vanish/>
              </w:rPr>
            </w:pPr>
          </w:p>
        </w:tc>
        <w:tc>
          <w:tcPr>
            <w:tcW w:w="0" w:type="auto"/>
            <w:gridSpan w:val="3"/>
            <w:shd w:val="clear" w:color="auto" w:fill="auto"/>
            <w:vAlign w:val="bottom"/>
          </w:tcPr>
          <w:p w14:paraId="392C2925" w14:textId="77777777" w:rsidR="00980E5F" w:rsidRDefault="00980E5F">
            <w:pPr>
              <w:rPr>
                <w:rFonts w:ascii="宋体"/>
                <w:vanish/>
              </w:rPr>
            </w:pPr>
          </w:p>
        </w:tc>
        <w:tc>
          <w:tcPr>
            <w:tcW w:w="0" w:type="auto"/>
            <w:gridSpan w:val="3"/>
            <w:shd w:val="clear" w:color="auto" w:fill="auto"/>
            <w:vAlign w:val="bottom"/>
          </w:tcPr>
          <w:p w14:paraId="392C2926" w14:textId="77777777" w:rsidR="00980E5F" w:rsidRDefault="00980E5F">
            <w:pPr>
              <w:rPr>
                <w:rFonts w:ascii="宋体"/>
                <w:vanish/>
              </w:rPr>
            </w:pPr>
          </w:p>
        </w:tc>
        <w:tc>
          <w:tcPr>
            <w:tcW w:w="0" w:type="auto"/>
            <w:gridSpan w:val="3"/>
            <w:shd w:val="clear" w:color="auto" w:fill="auto"/>
            <w:vAlign w:val="bottom"/>
          </w:tcPr>
          <w:p w14:paraId="392C2927" w14:textId="77777777" w:rsidR="00980E5F" w:rsidRDefault="00980E5F">
            <w:pPr>
              <w:rPr>
                <w:rFonts w:ascii="宋体"/>
                <w:vanish/>
              </w:rPr>
            </w:pPr>
          </w:p>
        </w:tc>
        <w:tc>
          <w:tcPr>
            <w:tcW w:w="0" w:type="auto"/>
            <w:gridSpan w:val="3"/>
            <w:shd w:val="clear" w:color="auto" w:fill="auto"/>
            <w:vAlign w:val="bottom"/>
          </w:tcPr>
          <w:p w14:paraId="392C2928" w14:textId="77777777" w:rsidR="00980E5F" w:rsidRDefault="00980E5F">
            <w:pPr>
              <w:rPr>
                <w:rFonts w:ascii="宋体"/>
                <w:vanish/>
              </w:rPr>
            </w:pPr>
          </w:p>
        </w:tc>
        <w:tc>
          <w:tcPr>
            <w:tcW w:w="0" w:type="auto"/>
            <w:gridSpan w:val="3"/>
            <w:shd w:val="clear" w:color="auto" w:fill="auto"/>
            <w:vAlign w:val="bottom"/>
          </w:tcPr>
          <w:p w14:paraId="392C2929" w14:textId="77777777" w:rsidR="00980E5F" w:rsidRDefault="00980E5F">
            <w:pPr>
              <w:rPr>
                <w:rFonts w:ascii="宋体"/>
                <w:vanish/>
              </w:rPr>
            </w:pPr>
          </w:p>
        </w:tc>
        <w:tc>
          <w:tcPr>
            <w:tcW w:w="0" w:type="auto"/>
            <w:gridSpan w:val="3"/>
            <w:shd w:val="clear" w:color="auto" w:fill="auto"/>
            <w:vAlign w:val="bottom"/>
          </w:tcPr>
          <w:p w14:paraId="392C292A" w14:textId="77777777" w:rsidR="00980E5F" w:rsidRDefault="00980E5F">
            <w:pPr>
              <w:rPr>
                <w:rFonts w:ascii="宋体"/>
                <w:vanish/>
              </w:rPr>
            </w:pPr>
          </w:p>
        </w:tc>
        <w:tc>
          <w:tcPr>
            <w:tcW w:w="0" w:type="auto"/>
            <w:gridSpan w:val="3"/>
            <w:shd w:val="clear" w:color="auto" w:fill="auto"/>
            <w:vAlign w:val="bottom"/>
          </w:tcPr>
          <w:p w14:paraId="392C292B" w14:textId="77777777" w:rsidR="00980E5F" w:rsidRDefault="00980E5F">
            <w:pPr>
              <w:rPr>
                <w:rFonts w:ascii="宋体"/>
                <w:vanish/>
              </w:rPr>
            </w:pPr>
          </w:p>
        </w:tc>
        <w:tc>
          <w:tcPr>
            <w:tcW w:w="0" w:type="auto"/>
            <w:gridSpan w:val="3"/>
            <w:shd w:val="clear" w:color="auto" w:fill="auto"/>
            <w:vAlign w:val="bottom"/>
          </w:tcPr>
          <w:p w14:paraId="392C292C" w14:textId="77777777" w:rsidR="00980E5F" w:rsidRDefault="00980E5F">
            <w:pPr>
              <w:rPr>
                <w:rFonts w:ascii="宋体"/>
                <w:vanish/>
              </w:rPr>
            </w:pPr>
          </w:p>
        </w:tc>
      </w:tr>
      <w:tr w:rsidR="00980E5F" w14:paraId="392C293A" w14:textId="77777777">
        <w:trPr>
          <w:hidden/>
        </w:trPr>
        <w:tc>
          <w:tcPr>
            <w:tcW w:w="0" w:type="auto"/>
            <w:gridSpan w:val="3"/>
            <w:shd w:val="clear" w:color="auto" w:fill="auto"/>
            <w:vAlign w:val="bottom"/>
          </w:tcPr>
          <w:p w14:paraId="392C292E" w14:textId="77777777" w:rsidR="00980E5F" w:rsidRDefault="00980E5F">
            <w:pPr>
              <w:rPr>
                <w:rFonts w:ascii="宋体"/>
                <w:vanish/>
              </w:rPr>
            </w:pPr>
          </w:p>
        </w:tc>
        <w:tc>
          <w:tcPr>
            <w:tcW w:w="0" w:type="auto"/>
            <w:gridSpan w:val="3"/>
            <w:shd w:val="clear" w:color="auto" w:fill="auto"/>
            <w:vAlign w:val="bottom"/>
          </w:tcPr>
          <w:p w14:paraId="392C292F" w14:textId="77777777" w:rsidR="00980E5F" w:rsidRDefault="00980E5F">
            <w:pPr>
              <w:rPr>
                <w:rFonts w:ascii="宋体"/>
                <w:vanish/>
              </w:rPr>
            </w:pPr>
          </w:p>
        </w:tc>
        <w:tc>
          <w:tcPr>
            <w:tcW w:w="0" w:type="auto"/>
            <w:gridSpan w:val="3"/>
            <w:shd w:val="clear" w:color="auto" w:fill="auto"/>
            <w:vAlign w:val="bottom"/>
          </w:tcPr>
          <w:p w14:paraId="392C2930" w14:textId="77777777" w:rsidR="00980E5F" w:rsidRDefault="00980E5F">
            <w:pPr>
              <w:rPr>
                <w:rFonts w:ascii="宋体"/>
                <w:vanish/>
              </w:rPr>
            </w:pPr>
          </w:p>
        </w:tc>
        <w:tc>
          <w:tcPr>
            <w:tcW w:w="0" w:type="auto"/>
            <w:gridSpan w:val="3"/>
            <w:shd w:val="clear" w:color="auto" w:fill="auto"/>
            <w:vAlign w:val="bottom"/>
          </w:tcPr>
          <w:p w14:paraId="392C2931" w14:textId="77777777" w:rsidR="00980E5F" w:rsidRDefault="00980E5F">
            <w:pPr>
              <w:rPr>
                <w:rFonts w:ascii="宋体"/>
                <w:vanish/>
              </w:rPr>
            </w:pPr>
          </w:p>
        </w:tc>
        <w:tc>
          <w:tcPr>
            <w:tcW w:w="0" w:type="auto"/>
            <w:gridSpan w:val="3"/>
            <w:shd w:val="clear" w:color="auto" w:fill="auto"/>
            <w:vAlign w:val="bottom"/>
          </w:tcPr>
          <w:p w14:paraId="392C2932" w14:textId="77777777" w:rsidR="00980E5F" w:rsidRDefault="00980E5F">
            <w:pPr>
              <w:rPr>
                <w:rFonts w:ascii="宋体"/>
                <w:vanish/>
              </w:rPr>
            </w:pPr>
          </w:p>
        </w:tc>
        <w:tc>
          <w:tcPr>
            <w:tcW w:w="0" w:type="auto"/>
            <w:gridSpan w:val="3"/>
            <w:shd w:val="clear" w:color="auto" w:fill="auto"/>
            <w:vAlign w:val="bottom"/>
          </w:tcPr>
          <w:p w14:paraId="392C2933" w14:textId="77777777" w:rsidR="00980E5F" w:rsidRDefault="00980E5F">
            <w:pPr>
              <w:rPr>
                <w:rFonts w:ascii="宋体"/>
                <w:vanish/>
              </w:rPr>
            </w:pPr>
          </w:p>
        </w:tc>
        <w:tc>
          <w:tcPr>
            <w:tcW w:w="0" w:type="auto"/>
            <w:gridSpan w:val="3"/>
            <w:shd w:val="clear" w:color="auto" w:fill="auto"/>
            <w:vAlign w:val="bottom"/>
          </w:tcPr>
          <w:p w14:paraId="392C2934" w14:textId="77777777" w:rsidR="00980E5F" w:rsidRDefault="00980E5F">
            <w:pPr>
              <w:rPr>
                <w:rFonts w:ascii="宋体"/>
                <w:vanish/>
              </w:rPr>
            </w:pPr>
          </w:p>
        </w:tc>
        <w:tc>
          <w:tcPr>
            <w:tcW w:w="0" w:type="auto"/>
            <w:gridSpan w:val="3"/>
            <w:shd w:val="clear" w:color="auto" w:fill="auto"/>
            <w:vAlign w:val="bottom"/>
          </w:tcPr>
          <w:p w14:paraId="392C2935" w14:textId="77777777" w:rsidR="00980E5F" w:rsidRDefault="00980E5F">
            <w:pPr>
              <w:rPr>
                <w:rFonts w:ascii="宋体"/>
                <w:vanish/>
              </w:rPr>
            </w:pPr>
          </w:p>
        </w:tc>
        <w:tc>
          <w:tcPr>
            <w:tcW w:w="0" w:type="auto"/>
            <w:gridSpan w:val="3"/>
            <w:shd w:val="clear" w:color="auto" w:fill="auto"/>
            <w:vAlign w:val="bottom"/>
          </w:tcPr>
          <w:p w14:paraId="392C2936" w14:textId="77777777" w:rsidR="00980E5F" w:rsidRDefault="00980E5F">
            <w:pPr>
              <w:rPr>
                <w:rFonts w:ascii="宋体"/>
                <w:vanish/>
              </w:rPr>
            </w:pPr>
          </w:p>
        </w:tc>
        <w:tc>
          <w:tcPr>
            <w:tcW w:w="0" w:type="auto"/>
            <w:gridSpan w:val="3"/>
            <w:shd w:val="clear" w:color="auto" w:fill="auto"/>
            <w:vAlign w:val="bottom"/>
          </w:tcPr>
          <w:p w14:paraId="392C2937" w14:textId="77777777" w:rsidR="00980E5F" w:rsidRDefault="00980E5F">
            <w:pPr>
              <w:rPr>
                <w:rFonts w:ascii="宋体"/>
                <w:vanish/>
              </w:rPr>
            </w:pPr>
          </w:p>
        </w:tc>
        <w:tc>
          <w:tcPr>
            <w:tcW w:w="0" w:type="auto"/>
            <w:gridSpan w:val="3"/>
            <w:shd w:val="clear" w:color="auto" w:fill="auto"/>
            <w:vAlign w:val="bottom"/>
          </w:tcPr>
          <w:p w14:paraId="392C2938" w14:textId="77777777" w:rsidR="00980E5F" w:rsidRDefault="00980E5F">
            <w:pPr>
              <w:rPr>
                <w:rFonts w:ascii="宋体"/>
                <w:vanish/>
              </w:rPr>
            </w:pPr>
          </w:p>
        </w:tc>
        <w:tc>
          <w:tcPr>
            <w:tcW w:w="0" w:type="auto"/>
            <w:gridSpan w:val="3"/>
            <w:shd w:val="clear" w:color="auto" w:fill="auto"/>
            <w:vAlign w:val="bottom"/>
          </w:tcPr>
          <w:p w14:paraId="392C2939" w14:textId="77777777" w:rsidR="00980E5F" w:rsidRDefault="00980E5F">
            <w:pPr>
              <w:rPr>
                <w:rFonts w:ascii="宋体"/>
                <w:vanish/>
              </w:rPr>
            </w:pPr>
          </w:p>
        </w:tc>
      </w:tr>
      <w:tr w:rsidR="00980E5F" w14:paraId="392C2947" w14:textId="77777777">
        <w:trPr>
          <w:hidden/>
        </w:trPr>
        <w:tc>
          <w:tcPr>
            <w:tcW w:w="0" w:type="auto"/>
            <w:gridSpan w:val="3"/>
            <w:shd w:val="clear" w:color="auto" w:fill="auto"/>
            <w:vAlign w:val="bottom"/>
          </w:tcPr>
          <w:p w14:paraId="392C293B" w14:textId="77777777" w:rsidR="00980E5F" w:rsidRDefault="00980E5F">
            <w:pPr>
              <w:rPr>
                <w:rFonts w:ascii="宋体"/>
                <w:vanish/>
              </w:rPr>
            </w:pPr>
          </w:p>
        </w:tc>
        <w:tc>
          <w:tcPr>
            <w:tcW w:w="0" w:type="auto"/>
            <w:gridSpan w:val="3"/>
            <w:shd w:val="clear" w:color="auto" w:fill="auto"/>
            <w:vAlign w:val="bottom"/>
          </w:tcPr>
          <w:p w14:paraId="392C293C" w14:textId="77777777" w:rsidR="00980E5F" w:rsidRDefault="00980E5F">
            <w:pPr>
              <w:rPr>
                <w:rFonts w:ascii="宋体"/>
                <w:vanish/>
              </w:rPr>
            </w:pPr>
          </w:p>
        </w:tc>
        <w:tc>
          <w:tcPr>
            <w:tcW w:w="0" w:type="auto"/>
            <w:gridSpan w:val="3"/>
            <w:shd w:val="clear" w:color="auto" w:fill="auto"/>
            <w:vAlign w:val="bottom"/>
          </w:tcPr>
          <w:p w14:paraId="392C293D" w14:textId="77777777" w:rsidR="00980E5F" w:rsidRDefault="00980E5F">
            <w:pPr>
              <w:rPr>
                <w:rFonts w:ascii="宋体"/>
                <w:vanish/>
              </w:rPr>
            </w:pPr>
          </w:p>
        </w:tc>
        <w:tc>
          <w:tcPr>
            <w:tcW w:w="0" w:type="auto"/>
            <w:gridSpan w:val="3"/>
            <w:shd w:val="clear" w:color="auto" w:fill="auto"/>
            <w:vAlign w:val="bottom"/>
          </w:tcPr>
          <w:p w14:paraId="392C293E" w14:textId="77777777" w:rsidR="00980E5F" w:rsidRDefault="00980E5F">
            <w:pPr>
              <w:rPr>
                <w:rFonts w:ascii="宋体"/>
                <w:vanish/>
              </w:rPr>
            </w:pPr>
          </w:p>
        </w:tc>
        <w:tc>
          <w:tcPr>
            <w:tcW w:w="0" w:type="auto"/>
            <w:gridSpan w:val="3"/>
            <w:shd w:val="clear" w:color="auto" w:fill="auto"/>
            <w:vAlign w:val="bottom"/>
          </w:tcPr>
          <w:p w14:paraId="392C293F" w14:textId="77777777" w:rsidR="00980E5F" w:rsidRDefault="00980E5F">
            <w:pPr>
              <w:rPr>
                <w:rFonts w:ascii="宋体"/>
                <w:vanish/>
              </w:rPr>
            </w:pPr>
          </w:p>
        </w:tc>
        <w:tc>
          <w:tcPr>
            <w:tcW w:w="0" w:type="auto"/>
            <w:gridSpan w:val="3"/>
            <w:shd w:val="clear" w:color="auto" w:fill="auto"/>
            <w:vAlign w:val="bottom"/>
          </w:tcPr>
          <w:p w14:paraId="392C2940" w14:textId="77777777" w:rsidR="00980E5F" w:rsidRDefault="00980E5F">
            <w:pPr>
              <w:rPr>
                <w:rFonts w:ascii="宋体"/>
                <w:vanish/>
              </w:rPr>
            </w:pPr>
          </w:p>
        </w:tc>
        <w:tc>
          <w:tcPr>
            <w:tcW w:w="0" w:type="auto"/>
            <w:gridSpan w:val="3"/>
            <w:shd w:val="clear" w:color="auto" w:fill="auto"/>
            <w:vAlign w:val="bottom"/>
          </w:tcPr>
          <w:p w14:paraId="392C2941" w14:textId="77777777" w:rsidR="00980E5F" w:rsidRDefault="00980E5F">
            <w:pPr>
              <w:rPr>
                <w:rFonts w:ascii="宋体"/>
                <w:vanish/>
              </w:rPr>
            </w:pPr>
          </w:p>
        </w:tc>
        <w:tc>
          <w:tcPr>
            <w:tcW w:w="0" w:type="auto"/>
            <w:gridSpan w:val="3"/>
            <w:shd w:val="clear" w:color="auto" w:fill="auto"/>
            <w:vAlign w:val="bottom"/>
          </w:tcPr>
          <w:p w14:paraId="392C2942" w14:textId="77777777" w:rsidR="00980E5F" w:rsidRDefault="00980E5F">
            <w:pPr>
              <w:rPr>
                <w:rFonts w:ascii="宋体"/>
                <w:vanish/>
              </w:rPr>
            </w:pPr>
          </w:p>
        </w:tc>
        <w:tc>
          <w:tcPr>
            <w:tcW w:w="0" w:type="auto"/>
            <w:gridSpan w:val="3"/>
            <w:shd w:val="clear" w:color="auto" w:fill="auto"/>
            <w:vAlign w:val="bottom"/>
          </w:tcPr>
          <w:p w14:paraId="392C2943" w14:textId="77777777" w:rsidR="00980E5F" w:rsidRDefault="00980E5F">
            <w:pPr>
              <w:rPr>
                <w:rFonts w:ascii="宋体"/>
                <w:vanish/>
              </w:rPr>
            </w:pPr>
          </w:p>
        </w:tc>
        <w:tc>
          <w:tcPr>
            <w:tcW w:w="0" w:type="auto"/>
            <w:gridSpan w:val="3"/>
            <w:shd w:val="clear" w:color="auto" w:fill="auto"/>
            <w:vAlign w:val="bottom"/>
          </w:tcPr>
          <w:p w14:paraId="392C2944" w14:textId="77777777" w:rsidR="00980E5F" w:rsidRDefault="00980E5F">
            <w:pPr>
              <w:rPr>
                <w:rFonts w:ascii="宋体"/>
                <w:vanish/>
              </w:rPr>
            </w:pPr>
          </w:p>
        </w:tc>
        <w:tc>
          <w:tcPr>
            <w:tcW w:w="0" w:type="auto"/>
            <w:gridSpan w:val="3"/>
            <w:shd w:val="clear" w:color="auto" w:fill="auto"/>
            <w:vAlign w:val="bottom"/>
          </w:tcPr>
          <w:p w14:paraId="392C2945" w14:textId="77777777" w:rsidR="00980E5F" w:rsidRDefault="00980E5F">
            <w:pPr>
              <w:rPr>
                <w:rFonts w:ascii="宋体"/>
                <w:vanish/>
              </w:rPr>
            </w:pPr>
          </w:p>
        </w:tc>
        <w:tc>
          <w:tcPr>
            <w:tcW w:w="0" w:type="auto"/>
            <w:gridSpan w:val="3"/>
            <w:shd w:val="clear" w:color="auto" w:fill="auto"/>
            <w:vAlign w:val="bottom"/>
          </w:tcPr>
          <w:p w14:paraId="392C2946" w14:textId="77777777" w:rsidR="00980E5F" w:rsidRDefault="00980E5F">
            <w:pPr>
              <w:rPr>
                <w:rFonts w:ascii="宋体"/>
                <w:vanish/>
              </w:rPr>
            </w:pPr>
          </w:p>
        </w:tc>
      </w:tr>
      <w:tr w:rsidR="00980E5F" w14:paraId="392C2954" w14:textId="77777777">
        <w:trPr>
          <w:hidden/>
        </w:trPr>
        <w:tc>
          <w:tcPr>
            <w:tcW w:w="0" w:type="auto"/>
            <w:gridSpan w:val="3"/>
            <w:shd w:val="clear" w:color="auto" w:fill="auto"/>
            <w:vAlign w:val="bottom"/>
          </w:tcPr>
          <w:p w14:paraId="392C2948" w14:textId="77777777" w:rsidR="00980E5F" w:rsidRDefault="00980E5F">
            <w:pPr>
              <w:rPr>
                <w:rFonts w:ascii="宋体"/>
                <w:vanish/>
              </w:rPr>
            </w:pPr>
          </w:p>
        </w:tc>
        <w:tc>
          <w:tcPr>
            <w:tcW w:w="0" w:type="auto"/>
            <w:gridSpan w:val="3"/>
            <w:shd w:val="clear" w:color="auto" w:fill="auto"/>
            <w:vAlign w:val="bottom"/>
          </w:tcPr>
          <w:p w14:paraId="392C2949" w14:textId="77777777" w:rsidR="00980E5F" w:rsidRDefault="00980E5F">
            <w:pPr>
              <w:rPr>
                <w:rFonts w:ascii="宋体"/>
                <w:vanish/>
              </w:rPr>
            </w:pPr>
          </w:p>
        </w:tc>
        <w:tc>
          <w:tcPr>
            <w:tcW w:w="0" w:type="auto"/>
            <w:gridSpan w:val="3"/>
            <w:shd w:val="clear" w:color="auto" w:fill="auto"/>
            <w:vAlign w:val="bottom"/>
          </w:tcPr>
          <w:p w14:paraId="392C294A" w14:textId="77777777" w:rsidR="00980E5F" w:rsidRDefault="00980E5F">
            <w:pPr>
              <w:rPr>
                <w:rFonts w:ascii="宋体"/>
                <w:vanish/>
              </w:rPr>
            </w:pPr>
          </w:p>
        </w:tc>
        <w:tc>
          <w:tcPr>
            <w:tcW w:w="0" w:type="auto"/>
            <w:gridSpan w:val="3"/>
            <w:shd w:val="clear" w:color="auto" w:fill="auto"/>
            <w:vAlign w:val="bottom"/>
          </w:tcPr>
          <w:p w14:paraId="392C294B" w14:textId="77777777" w:rsidR="00980E5F" w:rsidRDefault="00980E5F">
            <w:pPr>
              <w:rPr>
                <w:rFonts w:ascii="宋体"/>
                <w:vanish/>
              </w:rPr>
            </w:pPr>
          </w:p>
        </w:tc>
        <w:tc>
          <w:tcPr>
            <w:tcW w:w="0" w:type="auto"/>
            <w:gridSpan w:val="3"/>
            <w:shd w:val="clear" w:color="auto" w:fill="auto"/>
            <w:vAlign w:val="bottom"/>
          </w:tcPr>
          <w:p w14:paraId="392C294C" w14:textId="77777777" w:rsidR="00980E5F" w:rsidRDefault="00980E5F">
            <w:pPr>
              <w:rPr>
                <w:rFonts w:ascii="宋体"/>
                <w:vanish/>
              </w:rPr>
            </w:pPr>
          </w:p>
        </w:tc>
        <w:tc>
          <w:tcPr>
            <w:tcW w:w="0" w:type="auto"/>
            <w:gridSpan w:val="3"/>
            <w:shd w:val="clear" w:color="auto" w:fill="auto"/>
            <w:vAlign w:val="bottom"/>
          </w:tcPr>
          <w:p w14:paraId="392C294D" w14:textId="77777777" w:rsidR="00980E5F" w:rsidRDefault="00980E5F">
            <w:pPr>
              <w:rPr>
                <w:rFonts w:ascii="宋体"/>
                <w:vanish/>
              </w:rPr>
            </w:pPr>
          </w:p>
        </w:tc>
        <w:tc>
          <w:tcPr>
            <w:tcW w:w="0" w:type="auto"/>
            <w:gridSpan w:val="3"/>
            <w:shd w:val="clear" w:color="auto" w:fill="auto"/>
            <w:vAlign w:val="bottom"/>
          </w:tcPr>
          <w:p w14:paraId="392C294E" w14:textId="77777777" w:rsidR="00980E5F" w:rsidRDefault="00980E5F">
            <w:pPr>
              <w:rPr>
                <w:rFonts w:ascii="宋体"/>
                <w:vanish/>
              </w:rPr>
            </w:pPr>
          </w:p>
        </w:tc>
        <w:tc>
          <w:tcPr>
            <w:tcW w:w="0" w:type="auto"/>
            <w:gridSpan w:val="3"/>
            <w:shd w:val="clear" w:color="auto" w:fill="auto"/>
            <w:vAlign w:val="bottom"/>
          </w:tcPr>
          <w:p w14:paraId="392C294F" w14:textId="77777777" w:rsidR="00980E5F" w:rsidRDefault="00980E5F">
            <w:pPr>
              <w:rPr>
                <w:rFonts w:ascii="宋体"/>
                <w:vanish/>
              </w:rPr>
            </w:pPr>
          </w:p>
        </w:tc>
        <w:tc>
          <w:tcPr>
            <w:tcW w:w="0" w:type="auto"/>
            <w:gridSpan w:val="3"/>
            <w:shd w:val="clear" w:color="auto" w:fill="auto"/>
            <w:vAlign w:val="bottom"/>
          </w:tcPr>
          <w:p w14:paraId="392C2950" w14:textId="77777777" w:rsidR="00980E5F" w:rsidRDefault="00980E5F">
            <w:pPr>
              <w:rPr>
                <w:rFonts w:ascii="宋体"/>
                <w:vanish/>
              </w:rPr>
            </w:pPr>
          </w:p>
        </w:tc>
        <w:tc>
          <w:tcPr>
            <w:tcW w:w="0" w:type="auto"/>
            <w:gridSpan w:val="3"/>
            <w:shd w:val="clear" w:color="auto" w:fill="auto"/>
            <w:vAlign w:val="bottom"/>
          </w:tcPr>
          <w:p w14:paraId="392C2951" w14:textId="77777777" w:rsidR="00980E5F" w:rsidRDefault="00980E5F">
            <w:pPr>
              <w:rPr>
                <w:rFonts w:ascii="宋体"/>
                <w:vanish/>
              </w:rPr>
            </w:pPr>
          </w:p>
        </w:tc>
        <w:tc>
          <w:tcPr>
            <w:tcW w:w="0" w:type="auto"/>
            <w:gridSpan w:val="3"/>
            <w:shd w:val="clear" w:color="auto" w:fill="auto"/>
            <w:vAlign w:val="bottom"/>
          </w:tcPr>
          <w:p w14:paraId="392C2952" w14:textId="77777777" w:rsidR="00980E5F" w:rsidRDefault="00980E5F">
            <w:pPr>
              <w:rPr>
                <w:rFonts w:ascii="宋体"/>
                <w:vanish/>
              </w:rPr>
            </w:pPr>
          </w:p>
        </w:tc>
        <w:tc>
          <w:tcPr>
            <w:tcW w:w="0" w:type="auto"/>
            <w:gridSpan w:val="3"/>
            <w:shd w:val="clear" w:color="auto" w:fill="auto"/>
            <w:vAlign w:val="bottom"/>
          </w:tcPr>
          <w:p w14:paraId="392C2953" w14:textId="77777777" w:rsidR="00980E5F" w:rsidRDefault="00980E5F">
            <w:pPr>
              <w:rPr>
                <w:rFonts w:ascii="宋体"/>
                <w:vanish/>
              </w:rPr>
            </w:pPr>
          </w:p>
        </w:tc>
      </w:tr>
      <w:tr w:rsidR="00980E5F" w14:paraId="392C2961" w14:textId="77777777">
        <w:trPr>
          <w:hidden/>
        </w:trPr>
        <w:tc>
          <w:tcPr>
            <w:tcW w:w="0" w:type="auto"/>
            <w:gridSpan w:val="3"/>
            <w:shd w:val="clear" w:color="auto" w:fill="auto"/>
            <w:vAlign w:val="bottom"/>
          </w:tcPr>
          <w:p w14:paraId="392C2955" w14:textId="77777777" w:rsidR="00980E5F" w:rsidRDefault="00980E5F">
            <w:pPr>
              <w:rPr>
                <w:rFonts w:ascii="宋体"/>
                <w:vanish/>
              </w:rPr>
            </w:pPr>
          </w:p>
        </w:tc>
        <w:tc>
          <w:tcPr>
            <w:tcW w:w="0" w:type="auto"/>
            <w:gridSpan w:val="3"/>
            <w:shd w:val="clear" w:color="auto" w:fill="auto"/>
            <w:vAlign w:val="bottom"/>
          </w:tcPr>
          <w:p w14:paraId="392C2956" w14:textId="77777777" w:rsidR="00980E5F" w:rsidRDefault="00980E5F">
            <w:pPr>
              <w:rPr>
                <w:rFonts w:ascii="宋体"/>
                <w:vanish/>
              </w:rPr>
            </w:pPr>
          </w:p>
        </w:tc>
        <w:tc>
          <w:tcPr>
            <w:tcW w:w="0" w:type="auto"/>
            <w:gridSpan w:val="3"/>
            <w:shd w:val="clear" w:color="auto" w:fill="auto"/>
            <w:vAlign w:val="bottom"/>
          </w:tcPr>
          <w:p w14:paraId="392C2957" w14:textId="77777777" w:rsidR="00980E5F" w:rsidRDefault="00980E5F">
            <w:pPr>
              <w:rPr>
                <w:rFonts w:ascii="宋体"/>
                <w:vanish/>
              </w:rPr>
            </w:pPr>
          </w:p>
        </w:tc>
        <w:tc>
          <w:tcPr>
            <w:tcW w:w="0" w:type="auto"/>
            <w:gridSpan w:val="3"/>
            <w:shd w:val="clear" w:color="auto" w:fill="auto"/>
            <w:vAlign w:val="bottom"/>
          </w:tcPr>
          <w:p w14:paraId="392C2958" w14:textId="77777777" w:rsidR="00980E5F" w:rsidRDefault="00980E5F">
            <w:pPr>
              <w:rPr>
                <w:rFonts w:ascii="宋体"/>
                <w:vanish/>
              </w:rPr>
            </w:pPr>
          </w:p>
        </w:tc>
        <w:tc>
          <w:tcPr>
            <w:tcW w:w="0" w:type="auto"/>
            <w:gridSpan w:val="3"/>
            <w:shd w:val="clear" w:color="auto" w:fill="auto"/>
            <w:vAlign w:val="bottom"/>
          </w:tcPr>
          <w:p w14:paraId="392C2959" w14:textId="77777777" w:rsidR="00980E5F" w:rsidRDefault="00980E5F">
            <w:pPr>
              <w:rPr>
                <w:rFonts w:ascii="宋体"/>
                <w:vanish/>
              </w:rPr>
            </w:pPr>
          </w:p>
        </w:tc>
        <w:tc>
          <w:tcPr>
            <w:tcW w:w="0" w:type="auto"/>
            <w:gridSpan w:val="3"/>
            <w:shd w:val="clear" w:color="auto" w:fill="auto"/>
            <w:vAlign w:val="bottom"/>
          </w:tcPr>
          <w:p w14:paraId="392C295A" w14:textId="77777777" w:rsidR="00980E5F" w:rsidRDefault="00980E5F">
            <w:pPr>
              <w:rPr>
                <w:rFonts w:ascii="宋体"/>
                <w:vanish/>
              </w:rPr>
            </w:pPr>
          </w:p>
        </w:tc>
        <w:tc>
          <w:tcPr>
            <w:tcW w:w="0" w:type="auto"/>
            <w:gridSpan w:val="3"/>
            <w:shd w:val="clear" w:color="auto" w:fill="auto"/>
            <w:vAlign w:val="bottom"/>
          </w:tcPr>
          <w:p w14:paraId="392C295B" w14:textId="77777777" w:rsidR="00980E5F" w:rsidRDefault="00980E5F">
            <w:pPr>
              <w:rPr>
                <w:rFonts w:ascii="宋体"/>
                <w:vanish/>
              </w:rPr>
            </w:pPr>
          </w:p>
        </w:tc>
        <w:tc>
          <w:tcPr>
            <w:tcW w:w="0" w:type="auto"/>
            <w:gridSpan w:val="3"/>
            <w:shd w:val="clear" w:color="auto" w:fill="auto"/>
            <w:vAlign w:val="bottom"/>
          </w:tcPr>
          <w:p w14:paraId="392C295C" w14:textId="77777777" w:rsidR="00980E5F" w:rsidRDefault="00980E5F">
            <w:pPr>
              <w:rPr>
                <w:rFonts w:ascii="宋体"/>
                <w:vanish/>
              </w:rPr>
            </w:pPr>
          </w:p>
        </w:tc>
        <w:tc>
          <w:tcPr>
            <w:tcW w:w="0" w:type="auto"/>
            <w:gridSpan w:val="3"/>
            <w:shd w:val="clear" w:color="auto" w:fill="auto"/>
            <w:vAlign w:val="bottom"/>
          </w:tcPr>
          <w:p w14:paraId="392C295D" w14:textId="77777777" w:rsidR="00980E5F" w:rsidRDefault="00980E5F">
            <w:pPr>
              <w:rPr>
                <w:rFonts w:ascii="宋体"/>
                <w:vanish/>
              </w:rPr>
            </w:pPr>
          </w:p>
        </w:tc>
        <w:tc>
          <w:tcPr>
            <w:tcW w:w="0" w:type="auto"/>
            <w:gridSpan w:val="3"/>
            <w:shd w:val="clear" w:color="auto" w:fill="auto"/>
            <w:vAlign w:val="bottom"/>
          </w:tcPr>
          <w:p w14:paraId="392C295E" w14:textId="77777777" w:rsidR="00980E5F" w:rsidRDefault="00980E5F">
            <w:pPr>
              <w:rPr>
                <w:rFonts w:ascii="宋体"/>
                <w:vanish/>
              </w:rPr>
            </w:pPr>
          </w:p>
        </w:tc>
        <w:tc>
          <w:tcPr>
            <w:tcW w:w="0" w:type="auto"/>
            <w:gridSpan w:val="3"/>
            <w:shd w:val="clear" w:color="auto" w:fill="auto"/>
            <w:vAlign w:val="bottom"/>
          </w:tcPr>
          <w:p w14:paraId="392C295F" w14:textId="77777777" w:rsidR="00980E5F" w:rsidRDefault="00980E5F">
            <w:pPr>
              <w:rPr>
                <w:rFonts w:ascii="宋体"/>
                <w:vanish/>
              </w:rPr>
            </w:pPr>
          </w:p>
        </w:tc>
        <w:tc>
          <w:tcPr>
            <w:tcW w:w="0" w:type="auto"/>
            <w:gridSpan w:val="3"/>
            <w:shd w:val="clear" w:color="auto" w:fill="auto"/>
            <w:vAlign w:val="bottom"/>
          </w:tcPr>
          <w:p w14:paraId="392C2960" w14:textId="77777777" w:rsidR="00980E5F" w:rsidRDefault="00980E5F">
            <w:pPr>
              <w:rPr>
                <w:rFonts w:ascii="宋体"/>
                <w:vanish/>
              </w:rPr>
            </w:pPr>
          </w:p>
        </w:tc>
      </w:tr>
      <w:tr w:rsidR="00980E5F" w14:paraId="392C2982" w14:textId="77777777">
        <w:trPr>
          <w:hidden/>
        </w:trPr>
        <w:tc>
          <w:tcPr>
            <w:tcW w:w="0" w:type="auto"/>
            <w:gridSpan w:val="3"/>
            <w:shd w:val="clear" w:color="auto" w:fill="auto"/>
            <w:vAlign w:val="bottom"/>
          </w:tcPr>
          <w:p w14:paraId="392C2962" w14:textId="77777777" w:rsidR="00980E5F" w:rsidRDefault="00980E5F">
            <w:pPr>
              <w:rPr>
                <w:rFonts w:ascii="宋体"/>
                <w:vanish/>
              </w:rPr>
            </w:pPr>
          </w:p>
        </w:tc>
        <w:tc>
          <w:tcPr>
            <w:tcW w:w="0" w:type="auto"/>
            <w:gridSpan w:val="3"/>
            <w:shd w:val="clear" w:color="auto" w:fill="auto"/>
            <w:vAlign w:val="bottom"/>
          </w:tcPr>
          <w:p w14:paraId="392C2963" w14:textId="77777777" w:rsidR="00980E5F" w:rsidRDefault="00980E5F">
            <w:pPr>
              <w:rPr>
                <w:rFonts w:ascii="宋体"/>
                <w:vanish/>
              </w:rPr>
            </w:pPr>
          </w:p>
        </w:tc>
        <w:tc>
          <w:tcPr>
            <w:tcW w:w="0" w:type="auto"/>
            <w:shd w:val="clear" w:color="auto" w:fill="auto"/>
            <w:vAlign w:val="bottom"/>
          </w:tcPr>
          <w:p w14:paraId="392C2964" w14:textId="77777777" w:rsidR="00980E5F" w:rsidRDefault="00980E5F">
            <w:pPr>
              <w:rPr>
                <w:rFonts w:ascii="宋体"/>
              </w:rPr>
            </w:pPr>
          </w:p>
        </w:tc>
        <w:tc>
          <w:tcPr>
            <w:tcW w:w="0" w:type="auto"/>
            <w:shd w:val="clear" w:color="auto" w:fill="auto"/>
            <w:vAlign w:val="bottom"/>
          </w:tcPr>
          <w:p w14:paraId="392C2965" w14:textId="77777777" w:rsidR="00980E5F" w:rsidRDefault="00980E5F">
            <w:pPr>
              <w:rPr>
                <w:rFonts w:ascii="宋体"/>
              </w:rPr>
            </w:pPr>
          </w:p>
        </w:tc>
        <w:tc>
          <w:tcPr>
            <w:tcW w:w="0" w:type="auto"/>
            <w:shd w:val="clear" w:color="auto" w:fill="auto"/>
            <w:vAlign w:val="bottom"/>
          </w:tcPr>
          <w:p w14:paraId="392C2966" w14:textId="77777777" w:rsidR="00980E5F" w:rsidRDefault="00980E5F">
            <w:pPr>
              <w:rPr>
                <w:rFonts w:ascii="宋体"/>
              </w:rPr>
            </w:pPr>
          </w:p>
        </w:tc>
        <w:tc>
          <w:tcPr>
            <w:tcW w:w="0" w:type="auto"/>
            <w:shd w:val="clear" w:color="auto" w:fill="auto"/>
            <w:vAlign w:val="bottom"/>
          </w:tcPr>
          <w:p w14:paraId="392C2967" w14:textId="77777777" w:rsidR="00980E5F" w:rsidRDefault="00980E5F">
            <w:pPr>
              <w:rPr>
                <w:rFonts w:ascii="宋体"/>
              </w:rPr>
            </w:pPr>
          </w:p>
        </w:tc>
        <w:tc>
          <w:tcPr>
            <w:tcW w:w="0" w:type="auto"/>
            <w:shd w:val="clear" w:color="auto" w:fill="auto"/>
            <w:vAlign w:val="bottom"/>
          </w:tcPr>
          <w:p w14:paraId="392C2968" w14:textId="77777777" w:rsidR="00980E5F" w:rsidRDefault="00980E5F">
            <w:pPr>
              <w:rPr>
                <w:rFonts w:ascii="宋体"/>
              </w:rPr>
            </w:pPr>
          </w:p>
        </w:tc>
        <w:tc>
          <w:tcPr>
            <w:tcW w:w="0" w:type="auto"/>
            <w:shd w:val="clear" w:color="auto" w:fill="auto"/>
            <w:vAlign w:val="bottom"/>
          </w:tcPr>
          <w:p w14:paraId="392C2969" w14:textId="77777777" w:rsidR="00980E5F" w:rsidRDefault="00980E5F">
            <w:pPr>
              <w:rPr>
                <w:rFonts w:ascii="宋体"/>
              </w:rPr>
            </w:pPr>
          </w:p>
        </w:tc>
        <w:tc>
          <w:tcPr>
            <w:tcW w:w="0" w:type="auto"/>
            <w:shd w:val="clear" w:color="auto" w:fill="auto"/>
            <w:vAlign w:val="bottom"/>
          </w:tcPr>
          <w:p w14:paraId="392C296A" w14:textId="77777777" w:rsidR="00980E5F" w:rsidRDefault="00980E5F">
            <w:pPr>
              <w:rPr>
                <w:rFonts w:ascii="宋体"/>
              </w:rPr>
            </w:pPr>
          </w:p>
        </w:tc>
        <w:tc>
          <w:tcPr>
            <w:tcW w:w="0" w:type="auto"/>
            <w:shd w:val="clear" w:color="auto" w:fill="auto"/>
            <w:vAlign w:val="bottom"/>
          </w:tcPr>
          <w:p w14:paraId="392C296B" w14:textId="77777777" w:rsidR="00980E5F" w:rsidRDefault="00980E5F">
            <w:pPr>
              <w:rPr>
                <w:rFonts w:ascii="宋体"/>
              </w:rPr>
            </w:pPr>
          </w:p>
        </w:tc>
        <w:tc>
          <w:tcPr>
            <w:tcW w:w="0" w:type="auto"/>
            <w:shd w:val="clear" w:color="auto" w:fill="auto"/>
            <w:vAlign w:val="bottom"/>
          </w:tcPr>
          <w:p w14:paraId="392C296C" w14:textId="77777777" w:rsidR="00980E5F" w:rsidRDefault="00980E5F">
            <w:pPr>
              <w:rPr>
                <w:rFonts w:ascii="宋体"/>
              </w:rPr>
            </w:pPr>
          </w:p>
        </w:tc>
        <w:tc>
          <w:tcPr>
            <w:tcW w:w="0" w:type="auto"/>
            <w:shd w:val="clear" w:color="auto" w:fill="auto"/>
            <w:vAlign w:val="bottom"/>
          </w:tcPr>
          <w:p w14:paraId="392C296D" w14:textId="77777777" w:rsidR="00980E5F" w:rsidRDefault="00980E5F">
            <w:pPr>
              <w:rPr>
                <w:rFonts w:ascii="宋体"/>
              </w:rPr>
            </w:pPr>
          </w:p>
        </w:tc>
        <w:tc>
          <w:tcPr>
            <w:tcW w:w="0" w:type="auto"/>
            <w:shd w:val="clear" w:color="auto" w:fill="auto"/>
            <w:vAlign w:val="bottom"/>
          </w:tcPr>
          <w:p w14:paraId="392C296E" w14:textId="77777777" w:rsidR="00980E5F" w:rsidRDefault="00980E5F">
            <w:pPr>
              <w:rPr>
                <w:rFonts w:ascii="宋体"/>
              </w:rPr>
            </w:pPr>
          </w:p>
        </w:tc>
        <w:tc>
          <w:tcPr>
            <w:tcW w:w="0" w:type="auto"/>
            <w:shd w:val="clear" w:color="auto" w:fill="auto"/>
            <w:vAlign w:val="bottom"/>
          </w:tcPr>
          <w:p w14:paraId="392C296F" w14:textId="77777777" w:rsidR="00980E5F" w:rsidRDefault="00980E5F">
            <w:pPr>
              <w:rPr>
                <w:rFonts w:ascii="宋体"/>
              </w:rPr>
            </w:pPr>
          </w:p>
        </w:tc>
        <w:tc>
          <w:tcPr>
            <w:tcW w:w="0" w:type="auto"/>
            <w:shd w:val="clear" w:color="auto" w:fill="auto"/>
            <w:vAlign w:val="bottom"/>
          </w:tcPr>
          <w:p w14:paraId="392C2970" w14:textId="77777777" w:rsidR="00980E5F" w:rsidRDefault="00980E5F">
            <w:pPr>
              <w:rPr>
                <w:rFonts w:ascii="宋体"/>
              </w:rPr>
            </w:pPr>
          </w:p>
        </w:tc>
        <w:tc>
          <w:tcPr>
            <w:tcW w:w="0" w:type="auto"/>
            <w:shd w:val="clear" w:color="auto" w:fill="auto"/>
            <w:vAlign w:val="bottom"/>
          </w:tcPr>
          <w:p w14:paraId="392C2971" w14:textId="77777777" w:rsidR="00980E5F" w:rsidRDefault="00980E5F">
            <w:pPr>
              <w:rPr>
                <w:rFonts w:ascii="宋体"/>
              </w:rPr>
            </w:pPr>
          </w:p>
        </w:tc>
        <w:tc>
          <w:tcPr>
            <w:tcW w:w="0" w:type="auto"/>
            <w:shd w:val="clear" w:color="auto" w:fill="auto"/>
            <w:vAlign w:val="bottom"/>
          </w:tcPr>
          <w:p w14:paraId="392C2972" w14:textId="77777777" w:rsidR="00980E5F" w:rsidRDefault="00980E5F">
            <w:pPr>
              <w:rPr>
                <w:rFonts w:ascii="宋体"/>
              </w:rPr>
            </w:pPr>
          </w:p>
        </w:tc>
        <w:tc>
          <w:tcPr>
            <w:tcW w:w="0" w:type="auto"/>
            <w:shd w:val="clear" w:color="auto" w:fill="auto"/>
            <w:vAlign w:val="bottom"/>
          </w:tcPr>
          <w:p w14:paraId="392C2973" w14:textId="77777777" w:rsidR="00980E5F" w:rsidRDefault="00980E5F">
            <w:pPr>
              <w:rPr>
                <w:rFonts w:ascii="宋体"/>
              </w:rPr>
            </w:pPr>
          </w:p>
        </w:tc>
        <w:tc>
          <w:tcPr>
            <w:tcW w:w="0" w:type="auto"/>
            <w:shd w:val="clear" w:color="auto" w:fill="auto"/>
            <w:vAlign w:val="bottom"/>
          </w:tcPr>
          <w:p w14:paraId="392C2974" w14:textId="77777777" w:rsidR="00980E5F" w:rsidRDefault="00980E5F">
            <w:pPr>
              <w:rPr>
                <w:rFonts w:ascii="宋体"/>
              </w:rPr>
            </w:pPr>
          </w:p>
        </w:tc>
        <w:tc>
          <w:tcPr>
            <w:tcW w:w="0" w:type="auto"/>
            <w:shd w:val="clear" w:color="auto" w:fill="auto"/>
            <w:vAlign w:val="bottom"/>
          </w:tcPr>
          <w:p w14:paraId="392C2975" w14:textId="77777777" w:rsidR="00980E5F" w:rsidRDefault="00980E5F">
            <w:pPr>
              <w:rPr>
                <w:rFonts w:ascii="宋体"/>
              </w:rPr>
            </w:pPr>
          </w:p>
        </w:tc>
        <w:tc>
          <w:tcPr>
            <w:tcW w:w="0" w:type="auto"/>
            <w:shd w:val="clear" w:color="auto" w:fill="auto"/>
            <w:vAlign w:val="bottom"/>
          </w:tcPr>
          <w:p w14:paraId="392C2976" w14:textId="77777777" w:rsidR="00980E5F" w:rsidRDefault="00980E5F">
            <w:pPr>
              <w:rPr>
                <w:rFonts w:ascii="宋体"/>
              </w:rPr>
            </w:pPr>
          </w:p>
        </w:tc>
        <w:tc>
          <w:tcPr>
            <w:tcW w:w="0" w:type="auto"/>
            <w:shd w:val="clear" w:color="auto" w:fill="auto"/>
            <w:vAlign w:val="bottom"/>
          </w:tcPr>
          <w:p w14:paraId="392C2977" w14:textId="77777777" w:rsidR="00980E5F" w:rsidRDefault="00980E5F">
            <w:pPr>
              <w:rPr>
                <w:rFonts w:ascii="宋体"/>
              </w:rPr>
            </w:pPr>
          </w:p>
        </w:tc>
        <w:tc>
          <w:tcPr>
            <w:tcW w:w="0" w:type="auto"/>
            <w:shd w:val="clear" w:color="auto" w:fill="auto"/>
            <w:vAlign w:val="bottom"/>
          </w:tcPr>
          <w:p w14:paraId="392C2978" w14:textId="77777777" w:rsidR="00980E5F" w:rsidRDefault="00980E5F">
            <w:pPr>
              <w:rPr>
                <w:rFonts w:ascii="宋体"/>
              </w:rPr>
            </w:pPr>
          </w:p>
        </w:tc>
        <w:tc>
          <w:tcPr>
            <w:tcW w:w="0" w:type="auto"/>
            <w:shd w:val="clear" w:color="auto" w:fill="auto"/>
            <w:vAlign w:val="bottom"/>
          </w:tcPr>
          <w:p w14:paraId="392C2979" w14:textId="77777777" w:rsidR="00980E5F" w:rsidRDefault="00980E5F">
            <w:pPr>
              <w:rPr>
                <w:rFonts w:ascii="宋体"/>
              </w:rPr>
            </w:pPr>
          </w:p>
        </w:tc>
        <w:tc>
          <w:tcPr>
            <w:tcW w:w="0" w:type="auto"/>
            <w:shd w:val="clear" w:color="auto" w:fill="auto"/>
            <w:vAlign w:val="bottom"/>
          </w:tcPr>
          <w:p w14:paraId="392C297A" w14:textId="77777777" w:rsidR="00980E5F" w:rsidRDefault="00980E5F">
            <w:pPr>
              <w:rPr>
                <w:rFonts w:ascii="宋体"/>
              </w:rPr>
            </w:pPr>
          </w:p>
        </w:tc>
        <w:tc>
          <w:tcPr>
            <w:tcW w:w="0" w:type="auto"/>
            <w:shd w:val="clear" w:color="auto" w:fill="auto"/>
            <w:vAlign w:val="bottom"/>
          </w:tcPr>
          <w:p w14:paraId="392C297B" w14:textId="77777777" w:rsidR="00980E5F" w:rsidRDefault="00980E5F">
            <w:pPr>
              <w:rPr>
                <w:rFonts w:ascii="宋体"/>
              </w:rPr>
            </w:pPr>
          </w:p>
        </w:tc>
        <w:tc>
          <w:tcPr>
            <w:tcW w:w="0" w:type="auto"/>
            <w:shd w:val="clear" w:color="auto" w:fill="auto"/>
            <w:vAlign w:val="bottom"/>
          </w:tcPr>
          <w:p w14:paraId="392C297C" w14:textId="77777777" w:rsidR="00980E5F" w:rsidRDefault="00980E5F">
            <w:pPr>
              <w:rPr>
                <w:rFonts w:ascii="宋体"/>
              </w:rPr>
            </w:pPr>
          </w:p>
        </w:tc>
        <w:tc>
          <w:tcPr>
            <w:tcW w:w="0" w:type="auto"/>
            <w:shd w:val="clear" w:color="auto" w:fill="auto"/>
            <w:vAlign w:val="bottom"/>
          </w:tcPr>
          <w:p w14:paraId="392C297D" w14:textId="77777777" w:rsidR="00980E5F" w:rsidRDefault="00980E5F">
            <w:pPr>
              <w:rPr>
                <w:rFonts w:ascii="宋体"/>
              </w:rPr>
            </w:pPr>
          </w:p>
        </w:tc>
        <w:tc>
          <w:tcPr>
            <w:tcW w:w="0" w:type="auto"/>
            <w:shd w:val="clear" w:color="auto" w:fill="auto"/>
            <w:vAlign w:val="bottom"/>
          </w:tcPr>
          <w:p w14:paraId="392C297E" w14:textId="77777777" w:rsidR="00980E5F" w:rsidRDefault="00980E5F">
            <w:pPr>
              <w:rPr>
                <w:rFonts w:ascii="宋体"/>
              </w:rPr>
            </w:pPr>
          </w:p>
        </w:tc>
        <w:tc>
          <w:tcPr>
            <w:tcW w:w="0" w:type="auto"/>
            <w:shd w:val="clear" w:color="auto" w:fill="auto"/>
            <w:vAlign w:val="bottom"/>
          </w:tcPr>
          <w:p w14:paraId="392C297F" w14:textId="77777777" w:rsidR="00980E5F" w:rsidRDefault="00980E5F">
            <w:pPr>
              <w:rPr>
                <w:rFonts w:ascii="宋体"/>
              </w:rPr>
            </w:pPr>
          </w:p>
        </w:tc>
        <w:tc>
          <w:tcPr>
            <w:tcW w:w="0" w:type="auto"/>
            <w:shd w:val="clear" w:color="auto" w:fill="auto"/>
            <w:vAlign w:val="bottom"/>
          </w:tcPr>
          <w:p w14:paraId="392C2980" w14:textId="77777777" w:rsidR="00980E5F" w:rsidRDefault="00980E5F">
            <w:pPr>
              <w:rPr>
                <w:rFonts w:ascii="宋体"/>
              </w:rPr>
            </w:pPr>
          </w:p>
        </w:tc>
        <w:tc>
          <w:tcPr>
            <w:tcW w:w="0" w:type="auto"/>
            <w:shd w:val="clear" w:color="auto" w:fill="auto"/>
            <w:vAlign w:val="bottom"/>
          </w:tcPr>
          <w:p w14:paraId="392C2981" w14:textId="77777777" w:rsidR="00980E5F" w:rsidRDefault="00980E5F">
            <w:pPr>
              <w:rPr>
                <w:rFonts w:ascii="宋体"/>
              </w:rPr>
            </w:pPr>
          </w:p>
        </w:tc>
      </w:tr>
      <w:tr w:rsidR="00980E5F" w14:paraId="392C299F" w14:textId="77777777">
        <w:trPr>
          <w:hidden/>
        </w:trPr>
        <w:tc>
          <w:tcPr>
            <w:tcW w:w="0" w:type="auto"/>
            <w:gridSpan w:val="3"/>
            <w:shd w:val="clear" w:color="auto" w:fill="auto"/>
            <w:vAlign w:val="bottom"/>
          </w:tcPr>
          <w:p w14:paraId="392C2983" w14:textId="77777777" w:rsidR="00980E5F" w:rsidRDefault="00980E5F">
            <w:pPr>
              <w:rPr>
                <w:rFonts w:ascii="宋体"/>
                <w:vanish/>
              </w:rPr>
            </w:pPr>
          </w:p>
        </w:tc>
        <w:tc>
          <w:tcPr>
            <w:tcW w:w="0" w:type="auto"/>
            <w:gridSpan w:val="3"/>
            <w:shd w:val="clear" w:color="auto" w:fill="auto"/>
            <w:vAlign w:val="bottom"/>
          </w:tcPr>
          <w:p w14:paraId="392C2984" w14:textId="77777777" w:rsidR="00980E5F" w:rsidRDefault="00980E5F">
            <w:pPr>
              <w:rPr>
                <w:rFonts w:ascii="宋体"/>
                <w:vanish/>
              </w:rPr>
            </w:pPr>
          </w:p>
        </w:tc>
        <w:tc>
          <w:tcPr>
            <w:tcW w:w="0" w:type="auto"/>
            <w:gridSpan w:val="3"/>
            <w:shd w:val="clear" w:color="auto" w:fill="auto"/>
            <w:vAlign w:val="bottom"/>
          </w:tcPr>
          <w:p w14:paraId="392C2985" w14:textId="77777777" w:rsidR="00980E5F" w:rsidRDefault="00980E5F">
            <w:pPr>
              <w:rPr>
                <w:rFonts w:ascii="宋体"/>
                <w:vanish/>
              </w:rPr>
            </w:pPr>
          </w:p>
        </w:tc>
        <w:tc>
          <w:tcPr>
            <w:tcW w:w="0" w:type="auto"/>
            <w:gridSpan w:val="3"/>
            <w:shd w:val="clear" w:color="auto" w:fill="auto"/>
            <w:vAlign w:val="bottom"/>
          </w:tcPr>
          <w:p w14:paraId="392C2986" w14:textId="77777777" w:rsidR="00980E5F" w:rsidRDefault="00980E5F">
            <w:pPr>
              <w:rPr>
                <w:rFonts w:ascii="宋体"/>
                <w:vanish/>
              </w:rPr>
            </w:pPr>
          </w:p>
        </w:tc>
        <w:tc>
          <w:tcPr>
            <w:tcW w:w="0" w:type="auto"/>
            <w:shd w:val="clear" w:color="auto" w:fill="auto"/>
            <w:vAlign w:val="bottom"/>
          </w:tcPr>
          <w:p w14:paraId="392C2987" w14:textId="77777777" w:rsidR="00980E5F" w:rsidRDefault="00980E5F">
            <w:pPr>
              <w:rPr>
                <w:rFonts w:ascii="宋体"/>
              </w:rPr>
            </w:pPr>
          </w:p>
        </w:tc>
        <w:tc>
          <w:tcPr>
            <w:tcW w:w="0" w:type="auto"/>
            <w:shd w:val="clear" w:color="auto" w:fill="auto"/>
            <w:vAlign w:val="bottom"/>
          </w:tcPr>
          <w:p w14:paraId="392C2988" w14:textId="77777777" w:rsidR="00980E5F" w:rsidRDefault="00980E5F">
            <w:pPr>
              <w:rPr>
                <w:rFonts w:ascii="宋体"/>
              </w:rPr>
            </w:pPr>
          </w:p>
        </w:tc>
        <w:tc>
          <w:tcPr>
            <w:tcW w:w="0" w:type="auto"/>
            <w:shd w:val="clear" w:color="auto" w:fill="auto"/>
            <w:vAlign w:val="bottom"/>
          </w:tcPr>
          <w:p w14:paraId="392C2989" w14:textId="77777777" w:rsidR="00980E5F" w:rsidRDefault="00980E5F">
            <w:pPr>
              <w:rPr>
                <w:rFonts w:ascii="宋体"/>
              </w:rPr>
            </w:pPr>
          </w:p>
        </w:tc>
        <w:tc>
          <w:tcPr>
            <w:tcW w:w="0" w:type="auto"/>
            <w:shd w:val="clear" w:color="auto" w:fill="auto"/>
            <w:vAlign w:val="bottom"/>
          </w:tcPr>
          <w:p w14:paraId="392C298A" w14:textId="77777777" w:rsidR="00980E5F" w:rsidRDefault="00980E5F">
            <w:pPr>
              <w:rPr>
                <w:rFonts w:ascii="宋体"/>
              </w:rPr>
            </w:pPr>
          </w:p>
        </w:tc>
        <w:tc>
          <w:tcPr>
            <w:tcW w:w="0" w:type="auto"/>
            <w:shd w:val="clear" w:color="auto" w:fill="auto"/>
            <w:vAlign w:val="bottom"/>
          </w:tcPr>
          <w:p w14:paraId="392C298B" w14:textId="77777777" w:rsidR="00980E5F" w:rsidRDefault="00980E5F">
            <w:pPr>
              <w:rPr>
                <w:rFonts w:ascii="宋体"/>
              </w:rPr>
            </w:pPr>
          </w:p>
        </w:tc>
        <w:tc>
          <w:tcPr>
            <w:tcW w:w="0" w:type="auto"/>
            <w:shd w:val="clear" w:color="auto" w:fill="auto"/>
            <w:vAlign w:val="bottom"/>
          </w:tcPr>
          <w:p w14:paraId="392C298C" w14:textId="77777777" w:rsidR="00980E5F" w:rsidRDefault="00980E5F">
            <w:pPr>
              <w:rPr>
                <w:rFonts w:ascii="宋体"/>
              </w:rPr>
            </w:pPr>
          </w:p>
        </w:tc>
        <w:tc>
          <w:tcPr>
            <w:tcW w:w="0" w:type="auto"/>
            <w:shd w:val="clear" w:color="auto" w:fill="auto"/>
            <w:vAlign w:val="bottom"/>
          </w:tcPr>
          <w:p w14:paraId="392C298D" w14:textId="77777777" w:rsidR="00980E5F" w:rsidRDefault="00980E5F">
            <w:pPr>
              <w:rPr>
                <w:rFonts w:ascii="宋体"/>
              </w:rPr>
            </w:pPr>
          </w:p>
        </w:tc>
        <w:tc>
          <w:tcPr>
            <w:tcW w:w="0" w:type="auto"/>
            <w:shd w:val="clear" w:color="auto" w:fill="auto"/>
            <w:vAlign w:val="bottom"/>
          </w:tcPr>
          <w:p w14:paraId="392C298E" w14:textId="77777777" w:rsidR="00980E5F" w:rsidRDefault="00980E5F">
            <w:pPr>
              <w:rPr>
                <w:rFonts w:ascii="宋体"/>
              </w:rPr>
            </w:pPr>
          </w:p>
        </w:tc>
        <w:tc>
          <w:tcPr>
            <w:tcW w:w="0" w:type="auto"/>
            <w:shd w:val="clear" w:color="auto" w:fill="auto"/>
            <w:vAlign w:val="bottom"/>
          </w:tcPr>
          <w:p w14:paraId="392C298F" w14:textId="77777777" w:rsidR="00980E5F" w:rsidRDefault="00980E5F">
            <w:pPr>
              <w:rPr>
                <w:rFonts w:ascii="宋体"/>
              </w:rPr>
            </w:pPr>
          </w:p>
        </w:tc>
        <w:tc>
          <w:tcPr>
            <w:tcW w:w="0" w:type="auto"/>
            <w:shd w:val="clear" w:color="auto" w:fill="auto"/>
            <w:vAlign w:val="bottom"/>
          </w:tcPr>
          <w:p w14:paraId="392C2990" w14:textId="77777777" w:rsidR="00980E5F" w:rsidRDefault="00980E5F">
            <w:pPr>
              <w:rPr>
                <w:rFonts w:ascii="宋体"/>
              </w:rPr>
            </w:pPr>
          </w:p>
        </w:tc>
        <w:tc>
          <w:tcPr>
            <w:tcW w:w="0" w:type="auto"/>
            <w:shd w:val="clear" w:color="auto" w:fill="auto"/>
            <w:vAlign w:val="bottom"/>
          </w:tcPr>
          <w:p w14:paraId="392C2991" w14:textId="77777777" w:rsidR="00980E5F" w:rsidRDefault="00980E5F">
            <w:pPr>
              <w:rPr>
                <w:rFonts w:ascii="宋体"/>
              </w:rPr>
            </w:pPr>
          </w:p>
        </w:tc>
        <w:tc>
          <w:tcPr>
            <w:tcW w:w="0" w:type="auto"/>
            <w:shd w:val="clear" w:color="auto" w:fill="auto"/>
            <w:vAlign w:val="bottom"/>
          </w:tcPr>
          <w:p w14:paraId="392C2992" w14:textId="77777777" w:rsidR="00980E5F" w:rsidRDefault="00980E5F">
            <w:pPr>
              <w:rPr>
                <w:rFonts w:ascii="宋体"/>
              </w:rPr>
            </w:pPr>
          </w:p>
        </w:tc>
        <w:tc>
          <w:tcPr>
            <w:tcW w:w="0" w:type="auto"/>
            <w:shd w:val="clear" w:color="auto" w:fill="auto"/>
            <w:vAlign w:val="bottom"/>
          </w:tcPr>
          <w:p w14:paraId="392C2993" w14:textId="77777777" w:rsidR="00980E5F" w:rsidRDefault="00980E5F">
            <w:pPr>
              <w:rPr>
                <w:rFonts w:ascii="宋体"/>
              </w:rPr>
            </w:pPr>
          </w:p>
        </w:tc>
        <w:tc>
          <w:tcPr>
            <w:tcW w:w="0" w:type="auto"/>
            <w:shd w:val="clear" w:color="auto" w:fill="auto"/>
            <w:vAlign w:val="bottom"/>
          </w:tcPr>
          <w:p w14:paraId="392C2994" w14:textId="77777777" w:rsidR="00980E5F" w:rsidRDefault="00980E5F">
            <w:pPr>
              <w:rPr>
                <w:rFonts w:ascii="宋体"/>
              </w:rPr>
            </w:pPr>
          </w:p>
        </w:tc>
        <w:tc>
          <w:tcPr>
            <w:tcW w:w="0" w:type="auto"/>
            <w:shd w:val="clear" w:color="auto" w:fill="auto"/>
            <w:vAlign w:val="bottom"/>
          </w:tcPr>
          <w:p w14:paraId="392C2995" w14:textId="77777777" w:rsidR="00980E5F" w:rsidRDefault="00980E5F">
            <w:pPr>
              <w:rPr>
                <w:rFonts w:ascii="宋体"/>
              </w:rPr>
            </w:pPr>
          </w:p>
        </w:tc>
        <w:tc>
          <w:tcPr>
            <w:tcW w:w="0" w:type="auto"/>
            <w:shd w:val="clear" w:color="auto" w:fill="auto"/>
            <w:vAlign w:val="bottom"/>
          </w:tcPr>
          <w:p w14:paraId="392C2996" w14:textId="77777777" w:rsidR="00980E5F" w:rsidRDefault="00980E5F">
            <w:pPr>
              <w:rPr>
                <w:rFonts w:ascii="宋体"/>
              </w:rPr>
            </w:pPr>
          </w:p>
        </w:tc>
        <w:tc>
          <w:tcPr>
            <w:tcW w:w="0" w:type="auto"/>
            <w:shd w:val="clear" w:color="auto" w:fill="auto"/>
            <w:vAlign w:val="bottom"/>
          </w:tcPr>
          <w:p w14:paraId="392C2997" w14:textId="77777777" w:rsidR="00980E5F" w:rsidRDefault="00980E5F">
            <w:pPr>
              <w:rPr>
                <w:rFonts w:ascii="宋体"/>
              </w:rPr>
            </w:pPr>
          </w:p>
        </w:tc>
        <w:tc>
          <w:tcPr>
            <w:tcW w:w="0" w:type="auto"/>
            <w:shd w:val="clear" w:color="auto" w:fill="auto"/>
            <w:vAlign w:val="bottom"/>
          </w:tcPr>
          <w:p w14:paraId="392C2998" w14:textId="77777777" w:rsidR="00980E5F" w:rsidRDefault="00980E5F">
            <w:pPr>
              <w:rPr>
                <w:rFonts w:ascii="宋体"/>
              </w:rPr>
            </w:pPr>
          </w:p>
        </w:tc>
        <w:tc>
          <w:tcPr>
            <w:tcW w:w="0" w:type="auto"/>
            <w:shd w:val="clear" w:color="auto" w:fill="auto"/>
            <w:vAlign w:val="bottom"/>
          </w:tcPr>
          <w:p w14:paraId="392C2999" w14:textId="77777777" w:rsidR="00980E5F" w:rsidRDefault="00980E5F">
            <w:pPr>
              <w:rPr>
                <w:rFonts w:ascii="宋体"/>
              </w:rPr>
            </w:pPr>
          </w:p>
        </w:tc>
        <w:tc>
          <w:tcPr>
            <w:tcW w:w="0" w:type="auto"/>
            <w:shd w:val="clear" w:color="auto" w:fill="auto"/>
            <w:vAlign w:val="bottom"/>
          </w:tcPr>
          <w:p w14:paraId="392C299A" w14:textId="77777777" w:rsidR="00980E5F" w:rsidRDefault="00980E5F">
            <w:pPr>
              <w:rPr>
                <w:rFonts w:ascii="宋体"/>
              </w:rPr>
            </w:pPr>
          </w:p>
        </w:tc>
        <w:tc>
          <w:tcPr>
            <w:tcW w:w="0" w:type="auto"/>
            <w:shd w:val="clear" w:color="auto" w:fill="auto"/>
            <w:vAlign w:val="bottom"/>
          </w:tcPr>
          <w:p w14:paraId="392C299B" w14:textId="77777777" w:rsidR="00980E5F" w:rsidRDefault="00980E5F">
            <w:pPr>
              <w:rPr>
                <w:rFonts w:ascii="宋体"/>
              </w:rPr>
            </w:pPr>
          </w:p>
        </w:tc>
        <w:tc>
          <w:tcPr>
            <w:tcW w:w="0" w:type="auto"/>
            <w:shd w:val="clear" w:color="auto" w:fill="auto"/>
            <w:vAlign w:val="bottom"/>
          </w:tcPr>
          <w:p w14:paraId="392C299C" w14:textId="77777777" w:rsidR="00980E5F" w:rsidRDefault="00980E5F">
            <w:pPr>
              <w:rPr>
                <w:rFonts w:ascii="宋体"/>
              </w:rPr>
            </w:pPr>
          </w:p>
        </w:tc>
        <w:tc>
          <w:tcPr>
            <w:tcW w:w="0" w:type="auto"/>
            <w:shd w:val="clear" w:color="auto" w:fill="auto"/>
            <w:vAlign w:val="bottom"/>
          </w:tcPr>
          <w:p w14:paraId="392C299D" w14:textId="77777777" w:rsidR="00980E5F" w:rsidRDefault="00980E5F">
            <w:pPr>
              <w:rPr>
                <w:rFonts w:ascii="宋体"/>
              </w:rPr>
            </w:pPr>
          </w:p>
        </w:tc>
        <w:tc>
          <w:tcPr>
            <w:tcW w:w="0" w:type="auto"/>
            <w:shd w:val="clear" w:color="auto" w:fill="auto"/>
            <w:vAlign w:val="bottom"/>
          </w:tcPr>
          <w:p w14:paraId="392C299E" w14:textId="77777777" w:rsidR="00980E5F" w:rsidRDefault="00980E5F">
            <w:pPr>
              <w:rPr>
                <w:rFonts w:ascii="宋体"/>
              </w:rPr>
            </w:pPr>
          </w:p>
        </w:tc>
      </w:tr>
      <w:tr w:rsidR="00980E5F" w14:paraId="392C29AC" w14:textId="77777777">
        <w:trPr>
          <w:hidden/>
        </w:trPr>
        <w:tc>
          <w:tcPr>
            <w:tcW w:w="0" w:type="auto"/>
            <w:gridSpan w:val="3"/>
            <w:shd w:val="clear" w:color="auto" w:fill="auto"/>
            <w:vAlign w:val="bottom"/>
          </w:tcPr>
          <w:p w14:paraId="392C29A0" w14:textId="77777777" w:rsidR="00980E5F" w:rsidRDefault="00980E5F">
            <w:pPr>
              <w:rPr>
                <w:rFonts w:ascii="宋体"/>
                <w:vanish/>
              </w:rPr>
            </w:pPr>
          </w:p>
        </w:tc>
        <w:tc>
          <w:tcPr>
            <w:tcW w:w="0" w:type="auto"/>
            <w:gridSpan w:val="3"/>
            <w:shd w:val="clear" w:color="auto" w:fill="auto"/>
            <w:vAlign w:val="bottom"/>
          </w:tcPr>
          <w:p w14:paraId="392C29A1" w14:textId="77777777" w:rsidR="00980E5F" w:rsidRDefault="00980E5F">
            <w:pPr>
              <w:rPr>
                <w:rFonts w:ascii="宋体"/>
                <w:vanish/>
              </w:rPr>
            </w:pPr>
          </w:p>
        </w:tc>
        <w:tc>
          <w:tcPr>
            <w:tcW w:w="0" w:type="auto"/>
            <w:gridSpan w:val="3"/>
            <w:shd w:val="clear" w:color="auto" w:fill="auto"/>
            <w:vAlign w:val="bottom"/>
          </w:tcPr>
          <w:p w14:paraId="392C29A2" w14:textId="77777777" w:rsidR="00980E5F" w:rsidRDefault="00980E5F">
            <w:pPr>
              <w:rPr>
                <w:rFonts w:ascii="宋体"/>
                <w:vanish/>
              </w:rPr>
            </w:pPr>
          </w:p>
        </w:tc>
        <w:tc>
          <w:tcPr>
            <w:tcW w:w="0" w:type="auto"/>
            <w:gridSpan w:val="3"/>
            <w:shd w:val="clear" w:color="auto" w:fill="auto"/>
            <w:vAlign w:val="bottom"/>
          </w:tcPr>
          <w:p w14:paraId="392C29A3" w14:textId="77777777" w:rsidR="00980E5F" w:rsidRDefault="00980E5F">
            <w:pPr>
              <w:rPr>
                <w:rFonts w:ascii="宋体"/>
                <w:vanish/>
              </w:rPr>
            </w:pPr>
          </w:p>
        </w:tc>
        <w:tc>
          <w:tcPr>
            <w:tcW w:w="0" w:type="auto"/>
            <w:gridSpan w:val="3"/>
            <w:shd w:val="clear" w:color="auto" w:fill="auto"/>
            <w:vAlign w:val="bottom"/>
          </w:tcPr>
          <w:p w14:paraId="392C29A4" w14:textId="77777777" w:rsidR="00980E5F" w:rsidRDefault="00980E5F">
            <w:pPr>
              <w:rPr>
                <w:rFonts w:ascii="宋体"/>
                <w:vanish/>
              </w:rPr>
            </w:pPr>
          </w:p>
        </w:tc>
        <w:tc>
          <w:tcPr>
            <w:tcW w:w="0" w:type="auto"/>
            <w:gridSpan w:val="3"/>
            <w:shd w:val="clear" w:color="auto" w:fill="auto"/>
            <w:vAlign w:val="bottom"/>
          </w:tcPr>
          <w:p w14:paraId="392C29A5" w14:textId="77777777" w:rsidR="00980E5F" w:rsidRDefault="00980E5F">
            <w:pPr>
              <w:rPr>
                <w:rFonts w:ascii="宋体"/>
                <w:vanish/>
              </w:rPr>
            </w:pPr>
          </w:p>
        </w:tc>
        <w:tc>
          <w:tcPr>
            <w:tcW w:w="0" w:type="auto"/>
            <w:gridSpan w:val="3"/>
            <w:shd w:val="clear" w:color="auto" w:fill="auto"/>
            <w:vAlign w:val="bottom"/>
          </w:tcPr>
          <w:p w14:paraId="392C29A6" w14:textId="77777777" w:rsidR="00980E5F" w:rsidRDefault="00980E5F">
            <w:pPr>
              <w:rPr>
                <w:rFonts w:ascii="宋体"/>
                <w:vanish/>
              </w:rPr>
            </w:pPr>
          </w:p>
        </w:tc>
        <w:tc>
          <w:tcPr>
            <w:tcW w:w="0" w:type="auto"/>
            <w:gridSpan w:val="3"/>
            <w:shd w:val="clear" w:color="auto" w:fill="auto"/>
            <w:vAlign w:val="bottom"/>
          </w:tcPr>
          <w:p w14:paraId="392C29A7" w14:textId="77777777" w:rsidR="00980E5F" w:rsidRDefault="00980E5F">
            <w:pPr>
              <w:rPr>
                <w:rFonts w:ascii="宋体"/>
                <w:vanish/>
              </w:rPr>
            </w:pPr>
          </w:p>
        </w:tc>
        <w:tc>
          <w:tcPr>
            <w:tcW w:w="0" w:type="auto"/>
            <w:gridSpan w:val="3"/>
            <w:shd w:val="clear" w:color="auto" w:fill="auto"/>
            <w:vAlign w:val="bottom"/>
          </w:tcPr>
          <w:p w14:paraId="392C29A8" w14:textId="77777777" w:rsidR="00980E5F" w:rsidRDefault="00980E5F">
            <w:pPr>
              <w:rPr>
                <w:rFonts w:ascii="宋体"/>
                <w:vanish/>
              </w:rPr>
            </w:pPr>
          </w:p>
        </w:tc>
        <w:tc>
          <w:tcPr>
            <w:tcW w:w="0" w:type="auto"/>
            <w:gridSpan w:val="3"/>
            <w:shd w:val="clear" w:color="auto" w:fill="auto"/>
            <w:vAlign w:val="bottom"/>
          </w:tcPr>
          <w:p w14:paraId="392C29A9" w14:textId="77777777" w:rsidR="00980E5F" w:rsidRDefault="00980E5F">
            <w:pPr>
              <w:rPr>
                <w:rFonts w:ascii="宋体"/>
                <w:vanish/>
              </w:rPr>
            </w:pPr>
          </w:p>
        </w:tc>
        <w:tc>
          <w:tcPr>
            <w:tcW w:w="0" w:type="auto"/>
            <w:gridSpan w:val="3"/>
            <w:shd w:val="clear" w:color="auto" w:fill="auto"/>
            <w:vAlign w:val="bottom"/>
          </w:tcPr>
          <w:p w14:paraId="392C29AA" w14:textId="77777777" w:rsidR="00980E5F" w:rsidRDefault="00980E5F">
            <w:pPr>
              <w:rPr>
                <w:rFonts w:ascii="宋体"/>
                <w:vanish/>
              </w:rPr>
            </w:pPr>
          </w:p>
        </w:tc>
        <w:tc>
          <w:tcPr>
            <w:tcW w:w="0" w:type="auto"/>
            <w:gridSpan w:val="3"/>
            <w:shd w:val="clear" w:color="auto" w:fill="auto"/>
            <w:vAlign w:val="bottom"/>
          </w:tcPr>
          <w:p w14:paraId="392C29AB" w14:textId="77777777" w:rsidR="00980E5F" w:rsidRDefault="00980E5F">
            <w:pPr>
              <w:rPr>
                <w:rFonts w:ascii="宋体"/>
                <w:vanish/>
              </w:rPr>
            </w:pPr>
          </w:p>
        </w:tc>
      </w:tr>
      <w:tr w:rsidR="00980E5F" w14:paraId="392C29B9" w14:textId="77777777">
        <w:trPr>
          <w:hidden/>
        </w:trPr>
        <w:tc>
          <w:tcPr>
            <w:tcW w:w="0" w:type="auto"/>
            <w:gridSpan w:val="3"/>
            <w:shd w:val="clear" w:color="auto" w:fill="auto"/>
            <w:vAlign w:val="bottom"/>
          </w:tcPr>
          <w:p w14:paraId="392C29AD" w14:textId="77777777" w:rsidR="00980E5F" w:rsidRDefault="00980E5F">
            <w:pPr>
              <w:rPr>
                <w:rFonts w:ascii="宋体"/>
                <w:vanish/>
              </w:rPr>
            </w:pPr>
          </w:p>
        </w:tc>
        <w:tc>
          <w:tcPr>
            <w:tcW w:w="0" w:type="auto"/>
            <w:gridSpan w:val="3"/>
            <w:shd w:val="clear" w:color="auto" w:fill="auto"/>
            <w:vAlign w:val="bottom"/>
          </w:tcPr>
          <w:p w14:paraId="392C29AE" w14:textId="77777777" w:rsidR="00980E5F" w:rsidRDefault="00980E5F">
            <w:pPr>
              <w:rPr>
                <w:rFonts w:ascii="宋体"/>
                <w:vanish/>
              </w:rPr>
            </w:pPr>
          </w:p>
        </w:tc>
        <w:tc>
          <w:tcPr>
            <w:tcW w:w="0" w:type="auto"/>
            <w:gridSpan w:val="3"/>
            <w:shd w:val="clear" w:color="auto" w:fill="auto"/>
            <w:vAlign w:val="bottom"/>
          </w:tcPr>
          <w:p w14:paraId="392C29AF" w14:textId="77777777" w:rsidR="00980E5F" w:rsidRDefault="00980E5F">
            <w:pPr>
              <w:rPr>
                <w:rFonts w:ascii="宋体"/>
                <w:vanish/>
              </w:rPr>
            </w:pPr>
          </w:p>
        </w:tc>
        <w:tc>
          <w:tcPr>
            <w:tcW w:w="0" w:type="auto"/>
            <w:gridSpan w:val="3"/>
            <w:shd w:val="clear" w:color="auto" w:fill="auto"/>
            <w:vAlign w:val="bottom"/>
          </w:tcPr>
          <w:p w14:paraId="392C29B0" w14:textId="77777777" w:rsidR="00980E5F" w:rsidRDefault="00980E5F">
            <w:pPr>
              <w:rPr>
                <w:rFonts w:ascii="宋体"/>
                <w:vanish/>
              </w:rPr>
            </w:pPr>
          </w:p>
        </w:tc>
        <w:tc>
          <w:tcPr>
            <w:tcW w:w="0" w:type="auto"/>
            <w:gridSpan w:val="3"/>
            <w:shd w:val="clear" w:color="auto" w:fill="auto"/>
            <w:vAlign w:val="bottom"/>
          </w:tcPr>
          <w:p w14:paraId="392C29B1" w14:textId="77777777" w:rsidR="00980E5F" w:rsidRDefault="00980E5F">
            <w:pPr>
              <w:rPr>
                <w:rFonts w:ascii="宋体"/>
                <w:vanish/>
              </w:rPr>
            </w:pPr>
          </w:p>
        </w:tc>
        <w:tc>
          <w:tcPr>
            <w:tcW w:w="0" w:type="auto"/>
            <w:gridSpan w:val="3"/>
            <w:shd w:val="clear" w:color="auto" w:fill="auto"/>
            <w:vAlign w:val="bottom"/>
          </w:tcPr>
          <w:p w14:paraId="392C29B2" w14:textId="77777777" w:rsidR="00980E5F" w:rsidRDefault="00980E5F">
            <w:pPr>
              <w:rPr>
                <w:rFonts w:ascii="宋体"/>
                <w:vanish/>
              </w:rPr>
            </w:pPr>
          </w:p>
        </w:tc>
        <w:tc>
          <w:tcPr>
            <w:tcW w:w="0" w:type="auto"/>
            <w:gridSpan w:val="3"/>
            <w:shd w:val="clear" w:color="auto" w:fill="auto"/>
            <w:vAlign w:val="bottom"/>
          </w:tcPr>
          <w:p w14:paraId="392C29B3" w14:textId="77777777" w:rsidR="00980E5F" w:rsidRDefault="00980E5F">
            <w:pPr>
              <w:rPr>
                <w:rFonts w:ascii="宋体"/>
                <w:vanish/>
              </w:rPr>
            </w:pPr>
          </w:p>
        </w:tc>
        <w:tc>
          <w:tcPr>
            <w:tcW w:w="0" w:type="auto"/>
            <w:gridSpan w:val="3"/>
            <w:shd w:val="clear" w:color="auto" w:fill="auto"/>
            <w:vAlign w:val="bottom"/>
          </w:tcPr>
          <w:p w14:paraId="392C29B4" w14:textId="77777777" w:rsidR="00980E5F" w:rsidRDefault="00980E5F">
            <w:pPr>
              <w:rPr>
                <w:rFonts w:ascii="宋体"/>
                <w:vanish/>
              </w:rPr>
            </w:pPr>
          </w:p>
        </w:tc>
        <w:tc>
          <w:tcPr>
            <w:tcW w:w="0" w:type="auto"/>
            <w:gridSpan w:val="3"/>
            <w:shd w:val="clear" w:color="auto" w:fill="auto"/>
            <w:vAlign w:val="bottom"/>
          </w:tcPr>
          <w:p w14:paraId="392C29B5" w14:textId="77777777" w:rsidR="00980E5F" w:rsidRDefault="00980E5F">
            <w:pPr>
              <w:rPr>
                <w:rFonts w:ascii="宋体"/>
                <w:vanish/>
              </w:rPr>
            </w:pPr>
          </w:p>
        </w:tc>
        <w:tc>
          <w:tcPr>
            <w:tcW w:w="0" w:type="auto"/>
            <w:gridSpan w:val="3"/>
            <w:shd w:val="clear" w:color="auto" w:fill="auto"/>
            <w:vAlign w:val="bottom"/>
          </w:tcPr>
          <w:p w14:paraId="392C29B6" w14:textId="77777777" w:rsidR="00980E5F" w:rsidRDefault="00980E5F">
            <w:pPr>
              <w:rPr>
                <w:rFonts w:ascii="宋体"/>
                <w:vanish/>
              </w:rPr>
            </w:pPr>
          </w:p>
        </w:tc>
        <w:tc>
          <w:tcPr>
            <w:tcW w:w="0" w:type="auto"/>
            <w:gridSpan w:val="3"/>
            <w:shd w:val="clear" w:color="auto" w:fill="auto"/>
            <w:vAlign w:val="bottom"/>
          </w:tcPr>
          <w:p w14:paraId="392C29B7" w14:textId="77777777" w:rsidR="00980E5F" w:rsidRDefault="00980E5F">
            <w:pPr>
              <w:rPr>
                <w:rFonts w:ascii="宋体"/>
                <w:vanish/>
              </w:rPr>
            </w:pPr>
          </w:p>
        </w:tc>
        <w:tc>
          <w:tcPr>
            <w:tcW w:w="0" w:type="auto"/>
            <w:gridSpan w:val="3"/>
            <w:shd w:val="clear" w:color="auto" w:fill="auto"/>
            <w:vAlign w:val="bottom"/>
          </w:tcPr>
          <w:p w14:paraId="392C29B8" w14:textId="77777777" w:rsidR="00980E5F" w:rsidRDefault="00980E5F">
            <w:pPr>
              <w:rPr>
                <w:rFonts w:ascii="宋体"/>
                <w:vanish/>
              </w:rPr>
            </w:pPr>
          </w:p>
        </w:tc>
      </w:tr>
      <w:tr w:rsidR="00980E5F" w14:paraId="392C29C6" w14:textId="77777777">
        <w:trPr>
          <w:hidden/>
        </w:trPr>
        <w:tc>
          <w:tcPr>
            <w:tcW w:w="0" w:type="auto"/>
            <w:gridSpan w:val="3"/>
            <w:shd w:val="clear" w:color="auto" w:fill="auto"/>
            <w:vAlign w:val="bottom"/>
          </w:tcPr>
          <w:p w14:paraId="392C29BA" w14:textId="77777777" w:rsidR="00980E5F" w:rsidRDefault="00980E5F">
            <w:pPr>
              <w:rPr>
                <w:rFonts w:ascii="宋体"/>
                <w:vanish/>
              </w:rPr>
            </w:pPr>
          </w:p>
        </w:tc>
        <w:tc>
          <w:tcPr>
            <w:tcW w:w="0" w:type="auto"/>
            <w:gridSpan w:val="3"/>
            <w:shd w:val="clear" w:color="auto" w:fill="auto"/>
            <w:vAlign w:val="bottom"/>
          </w:tcPr>
          <w:p w14:paraId="392C29BB" w14:textId="77777777" w:rsidR="00980E5F" w:rsidRDefault="00980E5F">
            <w:pPr>
              <w:rPr>
                <w:rFonts w:ascii="宋体"/>
                <w:vanish/>
              </w:rPr>
            </w:pPr>
          </w:p>
        </w:tc>
        <w:tc>
          <w:tcPr>
            <w:tcW w:w="0" w:type="auto"/>
            <w:gridSpan w:val="3"/>
            <w:shd w:val="clear" w:color="auto" w:fill="auto"/>
            <w:vAlign w:val="bottom"/>
          </w:tcPr>
          <w:p w14:paraId="392C29BC" w14:textId="77777777" w:rsidR="00980E5F" w:rsidRDefault="00980E5F">
            <w:pPr>
              <w:rPr>
                <w:rFonts w:ascii="宋体"/>
                <w:vanish/>
              </w:rPr>
            </w:pPr>
          </w:p>
        </w:tc>
        <w:tc>
          <w:tcPr>
            <w:tcW w:w="0" w:type="auto"/>
            <w:gridSpan w:val="3"/>
            <w:shd w:val="clear" w:color="auto" w:fill="auto"/>
            <w:vAlign w:val="bottom"/>
          </w:tcPr>
          <w:p w14:paraId="392C29BD" w14:textId="77777777" w:rsidR="00980E5F" w:rsidRDefault="00980E5F">
            <w:pPr>
              <w:rPr>
                <w:rFonts w:ascii="宋体"/>
                <w:vanish/>
              </w:rPr>
            </w:pPr>
          </w:p>
        </w:tc>
        <w:tc>
          <w:tcPr>
            <w:tcW w:w="0" w:type="auto"/>
            <w:gridSpan w:val="3"/>
            <w:shd w:val="clear" w:color="auto" w:fill="auto"/>
            <w:vAlign w:val="bottom"/>
          </w:tcPr>
          <w:p w14:paraId="392C29BE" w14:textId="77777777" w:rsidR="00980E5F" w:rsidRDefault="00980E5F">
            <w:pPr>
              <w:rPr>
                <w:rFonts w:ascii="宋体"/>
                <w:vanish/>
              </w:rPr>
            </w:pPr>
          </w:p>
        </w:tc>
        <w:tc>
          <w:tcPr>
            <w:tcW w:w="0" w:type="auto"/>
            <w:gridSpan w:val="3"/>
            <w:shd w:val="clear" w:color="auto" w:fill="auto"/>
            <w:vAlign w:val="bottom"/>
          </w:tcPr>
          <w:p w14:paraId="392C29BF" w14:textId="77777777" w:rsidR="00980E5F" w:rsidRDefault="00980E5F">
            <w:pPr>
              <w:rPr>
                <w:rFonts w:ascii="宋体"/>
                <w:vanish/>
              </w:rPr>
            </w:pPr>
          </w:p>
        </w:tc>
        <w:tc>
          <w:tcPr>
            <w:tcW w:w="0" w:type="auto"/>
            <w:gridSpan w:val="3"/>
            <w:shd w:val="clear" w:color="auto" w:fill="auto"/>
            <w:vAlign w:val="bottom"/>
          </w:tcPr>
          <w:p w14:paraId="392C29C0" w14:textId="77777777" w:rsidR="00980E5F" w:rsidRDefault="00980E5F">
            <w:pPr>
              <w:rPr>
                <w:rFonts w:ascii="宋体"/>
                <w:vanish/>
              </w:rPr>
            </w:pPr>
          </w:p>
        </w:tc>
        <w:tc>
          <w:tcPr>
            <w:tcW w:w="0" w:type="auto"/>
            <w:gridSpan w:val="3"/>
            <w:shd w:val="clear" w:color="auto" w:fill="auto"/>
            <w:vAlign w:val="bottom"/>
          </w:tcPr>
          <w:p w14:paraId="392C29C1" w14:textId="77777777" w:rsidR="00980E5F" w:rsidRDefault="00980E5F">
            <w:pPr>
              <w:rPr>
                <w:rFonts w:ascii="宋体"/>
                <w:vanish/>
              </w:rPr>
            </w:pPr>
          </w:p>
        </w:tc>
        <w:tc>
          <w:tcPr>
            <w:tcW w:w="0" w:type="auto"/>
            <w:gridSpan w:val="3"/>
            <w:shd w:val="clear" w:color="auto" w:fill="auto"/>
            <w:vAlign w:val="bottom"/>
          </w:tcPr>
          <w:p w14:paraId="392C29C2" w14:textId="77777777" w:rsidR="00980E5F" w:rsidRDefault="00980E5F">
            <w:pPr>
              <w:rPr>
                <w:rFonts w:ascii="宋体"/>
                <w:vanish/>
              </w:rPr>
            </w:pPr>
          </w:p>
        </w:tc>
        <w:tc>
          <w:tcPr>
            <w:tcW w:w="0" w:type="auto"/>
            <w:gridSpan w:val="3"/>
            <w:shd w:val="clear" w:color="auto" w:fill="auto"/>
            <w:vAlign w:val="bottom"/>
          </w:tcPr>
          <w:p w14:paraId="392C29C3" w14:textId="77777777" w:rsidR="00980E5F" w:rsidRDefault="00980E5F">
            <w:pPr>
              <w:rPr>
                <w:rFonts w:ascii="宋体"/>
                <w:vanish/>
              </w:rPr>
            </w:pPr>
          </w:p>
        </w:tc>
        <w:tc>
          <w:tcPr>
            <w:tcW w:w="0" w:type="auto"/>
            <w:gridSpan w:val="3"/>
            <w:shd w:val="clear" w:color="auto" w:fill="auto"/>
            <w:vAlign w:val="bottom"/>
          </w:tcPr>
          <w:p w14:paraId="392C29C4" w14:textId="77777777" w:rsidR="00980E5F" w:rsidRDefault="00980E5F">
            <w:pPr>
              <w:rPr>
                <w:rFonts w:ascii="宋体"/>
                <w:vanish/>
              </w:rPr>
            </w:pPr>
          </w:p>
        </w:tc>
        <w:tc>
          <w:tcPr>
            <w:tcW w:w="0" w:type="auto"/>
            <w:gridSpan w:val="3"/>
            <w:shd w:val="clear" w:color="auto" w:fill="auto"/>
            <w:vAlign w:val="bottom"/>
          </w:tcPr>
          <w:p w14:paraId="392C29C5" w14:textId="77777777" w:rsidR="00980E5F" w:rsidRDefault="00980E5F">
            <w:pPr>
              <w:rPr>
                <w:rFonts w:ascii="宋体"/>
                <w:vanish/>
              </w:rPr>
            </w:pPr>
          </w:p>
        </w:tc>
      </w:tr>
      <w:tr w:rsidR="00980E5F" w14:paraId="392C29D3" w14:textId="77777777">
        <w:trPr>
          <w:hidden/>
        </w:trPr>
        <w:tc>
          <w:tcPr>
            <w:tcW w:w="0" w:type="auto"/>
            <w:gridSpan w:val="3"/>
            <w:shd w:val="clear" w:color="auto" w:fill="auto"/>
            <w:vAlign w:val="bottom"/>
          </w:tcPr>
          <w:p w14:paraId="392C29C7" w14:textId="77777777" w:rsidR="00980E5F" w:rsidRDefault="00980E5F">
            <w:pPr>
              <w:rPr>
                <w:rFonts w:ascii="宋体"/>
                <w:vanish/>
              </w:rPr>
            </w:pPr>
          </w:p>
        </w:tc>
        <w:tc>
          <w:tcPr>
            <w:tcW w:w="0" w:type="auto"/>
            <w:gridSpan w:val="3"/>
            <w:shd w:val="clear" w:color="auto" w:fill="auto"/>
            <w:vAlign w:val="bottom"/>
          </w:tcPr>
          <w:p w14:paraId="392C29C8" w14:textId="77777777" w:rsidR="00980E5F" w:rsidRDefault="00980E5F">
            <w:pPr>
              <w:rPr>
                <w:rFonts w:ascii="宋体"/>
                <w:vanish/>
              </w:rPr>
            </w:pPr>
          </w:p>
        </w:tc>
        <w:tc>
          <w:tcPr>
            <w:tcW w:w="0" w:type="auto"/>
            <w:gridSpan w:val="3"/>
            <w:shd w:val="clear" w:color="auto" w:fill="auto"/>
            <w:vAlign w:val="bottom"/>
          </w:tcPr>
          <w:p w14:paraId="392C29C9" w14:textId="77777777" w:rsidR="00980E5F" w:rsidRDefault="00980E5F">
            <w:pPr>
              <w:rPr>
                <w:rFonts w:ascii="宋体"/>
                <w:vanish/>
              </w:rPr>
            </w:pPr>
          </w:p>
        </w:tc>
        <w:tc>
          <w:tcPr>
            <w:tcW w:w="0" w:type="auto"/>
            <w:gridSpan w:val="3"/>
            <w:shd w:val="clear" w:color="auto" w:fill="auto"/>
            <w:vAlign w:val="bottom"/>
          </w:tcPr>
          <w:p w14:paraId="392C29CA" w14:textId="77777777" w:rsidR="00980E5F" w:rsidRDefault="00980E5F">
            <w:pPr>
              <w:rPr>
                <w:rFonts w:ascii="宋体"/>
                <w:vanish/>
              </w:rPr>
            </w:pPr>
          </w:p>
        </w:tc>
        <w:tc>
          <w:tcPr>
            <w:tcW w:w="0" w:type="auto"/>
            <w:gridSpan w:val="3"/>
            <w:shd w:val="clear" w:color="auto" w:fill="auto"/>
            <w:vAlign w:val="bottom"/>
          </w:tcPr>
          <w:p w14:paraId="392C29CB" w14:textId="77777777" w:rsidR="00980E5F" w:rsidRDefault="00980E5F">
            <w:pPr>
              <w:rPr>
                <w:rFonts w:ascii="宋体"/>
                <w:vanish/>
              </w:rPr>
            </w:pPr>
          </w:p>
        </w:tc>
        <w:tc>
          <w:tcPr>
            <w:tcW w:w="0" w:type="auto"/>
            <w:gridSpan w:val="3"/>
            <w:shd w:val="clear" w:color="auto" w:fill="auto"/>
            <w:vAlign w:val="bottom"/>
          </w:tcPr>
          <w:p w14:paraId="392C29CC" w14:textId="77777777" w:rsidR="00980E5F" w:rsidRDefault="00980E5F">
            <w:pPr>
              <w:rPr>
                <w:rFonts w:ascii="宋体"/>
                <w:vanish/>
              </w:rPr>
            </w:pPr>
          </w:p>
        </w:tc>
        <w:tc>
          <w:tcPr>
            <w:tcW w:w="0" w:type="auto"/>
            <w:gridSpan w:val="3"/>
            <w:shd w:val="clear" w:color="auto" w:fill="auto"/>
            <w:vAlign w:val="bottom"/>
          </w:tcPr>
          <w:p w14:paraId="392C29CD" w14:textId="77777777" w:rsidR="00980E5F" w:rsidRDefault="00980E5F">
            <w:pPr>
              <w:rPr>
                <w:rFonts w:ascii="宋体"/>
                <w:vanish/>
              </w:rPr>
            </w:pPr>
          </w:p>
        </w:tc>
        <w:tc>
          <w:tcPr>
            <w:tcW w:w="0" w:type="auto"/>
            <w:gridSpan w:val="3"/>
            <w:shd w:val="clear" w:color="auto" w:fill="auto"/>
            <w:vAlign w:val="bottom"/>
          </w:tcPr>
          <w:p w14:paraId="392C29CE" w14:textId="77777777" w:rsidR="00980E5F" w:rsidRDefault="00980E5F">
            <w:pPr>
              <w:rPr>
                <w:rFonts w:ascii="宋体"/>
                <w:vanish/>
              </w:rPr>
            </w:pPr>
          </w:p>
        </w:tc>
        <w:tc>
          <w:tcPr>
            <w:tcW w:w="0" w:type="auto"/>
            <w:gridSpan w:val="3"/>
            <w:shd w:val="clear" w:color="auto" w:fill="auto"/>
            <w:vAlign w:val="bottom"/>
          </w:tcPr>
          <w:p w14:paraId="392C29CF" w14:textId="77777777" w:rsidR="00980E5F" w:rsidRDefault="00980E5F">
            <w:pPr>
              <w:rPr>
                <w:rFonts w:ascii="宋体"/>
                <w:vanish/>
              </w:rPr>
            </w:pPr>
          </w:p>
        </w:tc>
        <w:tc>
          <w:tcPr>
            <w:tcW w:w="0" w:type="auto"/>
            <w:gridSpan w:val="3"/>
            <w:shd w:val="clear" w:color="auto" w:fill="auto"/>
            <w:vAlign w:val="bottom"/>
          </w:tcPr>
          <w:p w14:paraId="392C29D0" w14:textId="77777777" w:rsidR="00980E5F" w:rsidRDefault="00980E5F">
            <w:pPr>
              <w:rPr>
                <w:rFonts w:ascii="宋体"/>
                <w:vanish/>
              </w:rPr>
            </w:pPr>
          </w:p>
        </w:tc>
        <w:tc>
          <w:tcPr>
            <w:tcW w:w="0" w:type="auto"/>
            <w:gridSpan w:val="3"/>
            <w:shd w:val="clear" w:color="auto" w:fill="auto"/>
            <w:vAlign w:val="bottom"/>
          </w:tcPr>
          <w:p w14:paraId="392C29D1" w14:textId="77777777" w:rsidR="00980E5F" w:rsidRDefault="00980E5F">
            <w:pPr>
              <w:rPr>
                <w:rFonts w:ascii="宋体"/>
                <w:vanish/>
              </w:rPr>
            </w:pPr>
          </w:p>
        </w:tc>
        <w:tc>
          <w:tcPr>
            <w:tcW w:w="0" w:type="auto"/>
            <w:gridSpan w:val="3"/>
            <w:shd w:val="clear" w:color="auto" w:fill="auto"/>
            <w:vAlign w:val="bottom"/>
          </w:tcPr>
          <w:p w14:paraId="392C29D2" w14:textId="77777777" w:rsidR="00980E5F" w:rsidRDefault="00980E5F">
            <w:pPr>
              <w:rPr>
                <w:rFonts w:ascii="宋体"/>
                <w:vanish/>
              </w:rPr>
            </w:pPr>
          </w:p>
        </w:tc>
      </w:tr>
      <w:tr w:rsidR="00980E5F" w14:paraId="392C29E0" w14:textId="77777777">
        <w:trPr>
          <w:hidden/>
        </w:trPr>
        <w:tc>
          <w:tcPr>
            <w:tcW w:w="0" w:type="auto"/>
            <w:gridSpan w:val="3"/>
            <w:shd w:val="clear" w:color="auto" w:fill="auto"/>
            <w:vAlign w:val="bottom"/>
          </w:tcPr>
          <w:p w14:paraId="392C29D4" w14:textId="77777777" w:rsidR="00980E5F" w:rsidRDefault="00980E5F">
            <w:pPr>
              <w:rPr>
                <w:rFonts w:ascii="宋体"/>
                <w:vanish/>
              </w:rPr>
            </w:pPr>
          </w:p>
        </w:tc>
        <w:tc>
          <w:tcPr>
            <w:tcW w:w="0" w:type="auto"/>
            <w:gridSpan w:val="3"/>
            <w:shd w:val="clear" w:color="auto" w:fill="auto"/>
            <w:vAlign w:val="bottom"/>
          </w:tcPr>
          <w:p w14:paraId="392C29D5" w14:textId="77777777" w:rsidR="00980E5F" w:rsidRDefault="00980E5F">
            <w:pPr>
              <w:rPr>
                <w:rFonts w:ascii="宋体"/>
                <w:vanish/>
              </w:rPr>
            </w:pPr>
          </w:p>
        </w:tc>
        <w:tc>
          <w:tcPr>
            <w:tcW w:w="0" w:type="auto"/>
            <w:gridSpan w:val="3"/>
            <w:shd w:val="clear" w:color="auto" w:fill="auto"/>
            <w:vAlign w:val="bottom"/>
          </w:tcPr>
          <w:p w14:paraId="392C29D6" w14:textId="77777777" w:rsidR="00980E5F" w:rsidRDefault="00980E5F">
            <w:pPr>
              <w:rPr>
                <w:rFonts w:ascii="宋体"/>
                <w:vanish/>
              </w:rPr>
            </w:pPr>
          </w:p>
        </w:tc>
        <w:tc>
          <w:tcPr>
            <w:tcW w:w="0" w:type="auto"/>
            <w:gridSpan w:val="3"/>
            <w:shd w:val="clear" w:color="auto" w:fill="auto"/>
            <w:vAlign w:val="bottom"/>
          </w:tcPr>
          <w:p w14:paraId="392C29D7" w14:textId="77777777" w:rsidR="00980E5F" w:rsidRDefault="00980E5F">
            <w:pPr>
              <w:rPr>
                <w:rFonts w:ascii="宋体"/>
                <w:vanish/>
              </w:rPr>
            </w:pPr>
          </w:p>
        </w:tc>
        <w:tc>
          <w:tcPr>
            <w:tcW w:w="0" w:type="auto"/>
            <w:gridSpan w:val="3"/>
            <w:shd w:val="clear" w:color="auto" w:fill="auto"/>
            <w:vAlign w:val="bottom"/>
          </w:tcPr>
          <w:p w14:paraId="392C29D8" w14:textId="77777777" w:rsidR="00980E5F" w:rsidRDefault="00980E5F">
            <w:pPr>
              <w:rPr>
                <w:rFonts w:ascii="宋体"/>
                <w:vanish/>
              </w:rPr>
            </w:pPr>
          </w:p>
        </w:tc>
        <w:tc>
          <w:tcPr>
            <w:tcW w:w="0" w:type="auto"/>
            <w:gridSpan w:val="3"/>
            <w:shd w:val="clear" w:color="auto" w:fill="auto"/>
            <w:vAlign w:val="bottom"/>
          </w:tcPr>
          <w:p w14:paraId="392C29D9" w14:textId="77777777" w:rsidR="00980E5F" w:rsidRDefault="00980E5F">
            <w:pPr>
              <w:rPr>
                <w:rFonts w:ascii="宋体"/>
                <w:vanish/>
              </w:rPr>
            </w:pPr>
          </w:p>
        </w:tc>
        <w:tc>
          <w:tcPr>
            <w:tcW w:w="0" w:type="auto"/>
            <w:gridSpan w:val="3"/>
            <w:shd w:val="clear" w:color="auto" w:fill="auto"/>
            <w:vAlign w:val="bottom"/>
          </w:tcPr>
          <w:p w14:paraId="392C29DA" w14:textId="77777777" w:rsidR="00980E5F" w:rsidRDefault="00980E5F">
            <w:pPr>
              <w:rPr>
                <w:rFonts w:ascii="宋体"/>
                <w:vanish/>
              </w:rPr>
            </w:pPr>
          </w:p>
        </w:tc>
        <w:tc>
          <w:tcPr>
            <w:tcW w:w="0" w:type="auto"/>
            <w:gridSpan w:val="3"/>
            <w:shd w:val="clear" w:color="auto" w:fill="auto"/>
            <w:vAlign w:val="bottom"/>
          </w:tcPr>
          <w:p w14:paraId="392C29DB" w14:textId="77777777" w:rsidR="00980E5F" w:rsidRDefault="00980E5F">
            <w:pPr>
              <w:rPr>
                <w:rFonts w:ascii="宋体"/>
                <w:vanish/>
              </w:rPr>
            </w:pPr>
          </w:p>
        </w:tc>
        <w:tc>
          <w:tcPr>
            <w:tcW w:w="0" w:type="auto"/>
            <w:gridSpan w:val="3"/>
            <w:shd w:val="clear" w:color="auto" w:fill="auto"/>
            <w:vAlign w:val="bottom"/>
          </w:tcPr>
          <w:p w14:paraId="392C29DC" w14:textId="77777777" w:rsidR="00980E5F" w:rsidRDefault="00980E5F">
            <w:pPr>
              <w:rPr>
                <w:rFonts w:ascii="宋体"/>
                <w:vanish/>
              </w:rPr>
            </w:pPr>
          </w:p>
        </w:tc>
        <w:tc>
          <w:tcPr>
            <w:tcW w:w="0" w:type="auto"/>
            <w:gridSpan w:val="3"/>
            <w:shd w:val="clear" w:color="auto" w:fill="auto"/>
            <w:vAlign w:val="bottom"/>
          </w:tcPr>
          <w:p w14:paraId="392C29DD" w14:textId="77777777" w:rsidR="00980E5F" w:rsidRDefault="00980E5F">
            <w:pPr>
              <w:rPr>
                <w:rFonts w:ascii="宋体"/>
                <w:vanish/>
              </w:rPr>
            </w:pPr>
          </w:p>
        </w:tc>
        <w:tc>
          <w:tcPr>
            <w:tcW w:w="0" w:type="auto"/>
            <w:gridSpan w:val="3"/>
            <w:shd w:val="clear" w:color="auto" w:fill="auto"/>
            <w:vAlign w:val="bottom"/>
          </w:tcPr>
          <w:p w14:paraId="392C29DE" w14:textId="77777777" w:rsidR="00980E5F" w:rsidRDefault="00980E5F">
            <w:pPr>
              <w:rPr>
                <w:rFonts w:ascii="宋体"/>
                <w:vanish/>
              </w:rPr>
            </w:pPr>
          </w:p>
        </w:tc>
        <w:tc>
          <w:tcPr>
            <w:tcW w:w="0" w:type="auto"/>
            <w:gridSpan w:val="3"/>
            <w:shd w:val="clear" w:color="auto" w:fill="auto"/>
            <w:vAlign w:val="bottom"/>
          </w:tcPr>
          <w:p w14:paraId="392C29DF" w14:textId="77777777" w:rsidR="00980E5F" w:rsidRDefault="00980E5F">
            <w:pPr>
              <w:rPr>
                <w:rFonts w:ascii="宋体"/>
                <w:vanish/>
              </w:rPr>
            </w:pPr>
          </w:p>
        </w:tc>
      </w:tr>
      <w:tr w:rsidR="00980E5F" w14:paraId="392C29ED" w14:textId="77777777">
        <w:trPr>
          <w:hidden/>
        </w:trPr>
        <w:tc>
          <w:tcPr>
            <w:tcW w:w="0" w:type="auto"/>
            <w:gridSpan w:val="3"/>
            <w:shd w:val="clear" w:color="auto" w:fill="auto"/>
            <w:vAlign w:val="bottom"/>
          </w:tcPr>
          <w:p w14:paraId="392C29E1" w14:textId="77777777" w:rsidR="00980E5F" w:rsidRDefault="00980E5F">
            <w:pPr>
              <w:rPr>
                <w:rFonts w:ascii="宋体"/>
                <w:vanish/>
              </w:rPr>
            </w:pPr>
          </w:p>
        </w:tc>
        <w:tc>
          <w:tcPr>
            <w:tcW w:w="0" w:type="auto"/>
            <w:gridSpan w:val="3"/>
            <w:shd w:val="clear" w:color="auto" w:fill="auto"/>
            <w:vAlign w:val="bottom"/>
          </w:tcPr>
          <w:p w14:paraId="392C29E2" w14:textId="77777777" w:rsidR="00980E5F" w:rsidRDefault="00980E5F">
            <w:pPr>
              <w:rPr>
                <w:rFonts w:ascii="宋体"/>
                <w:vanish/>
              </w:rPr>
            </w:pPr>
          </w:p>
        </w:tc>
        <w:tc>
          <w:tcPr>
            <w:tcW w:w="0" w:type="auto"/>
            <w:gridSpan w:val="3"/>
            <w:shd w:val="clear" w:color="auto" w:fill="auto"/>
            <w:vAlign w:val="bottom"/>
          </w:tcPr>
          <w:p w14:paraId="392C29E3" w14:textId="77777777" w:rsidR="00980E5F" w:rsidRDefault="00980E5F">
            <w:pPr>
              <w:rPr>
                <w:rFonts w:ascii="宋体"/>
                <w:vanish/>
              </w:rPr>
            </w:pPr>
          </w:p>
        </w:tc>
        <w:tc>
          <w:tcPr>
            <w:tcW w:w="0" w:type="auto"/>
            <w:gridSpan w:val="3"/>
            <w:shd w:val="clear" w:color="auto" w:fill="auto"/>
            <w:vAlign w:val="bottom"/>
          </w:tcPr>
          <w:p w14:paraId="392C29E4" w14:textId="77777777" w:rsidR="00980E5F" w:rsidRDefault="00980E5F">
            <w:pPr>
              <w:rPr>
                <w:rFonts w:ascii="宋体"/>
                <w:vanish/>
              </w:rPr>
            </w:pPr>
          </w:p>
        </w:tc>
        <w:tc>
          <w:tcPr>
            <w:tcW w:w="0" w:type="auto"/>
            <w:gridSpan w:val="3"/>
            <w:shd w:val="clear" w:color="auto" w:fill="auto"/>
            <w:vAlign w:val="bottom"/>
          </w:tcPr>
          <w:p w14:paraId="392C29E5" w14:textId="77777777" w:rsidR="00980E5F" w:rsidRDefault="00980E5F">
            <w:pPr>
              <w:rPr>
                <w:rFonts w:ascii="宋体"/>
                <w:vanish/>
              </w:rPr>
            </w:pPr>
          </w:p>
        </w:tc>
        <w:tc>
          <w:tcPr>
            <w:tcW w:w="0" w:type="auto"/>
            <w:gridSpan w:val="3"/>
            <w:shd w:val="clear" w:color="auto" w:fill="auto"/>
            <w:vAlign w:val="bottom"/>
          </w:tcPr>
          <w:p w14:paraId="392C29E6" w14:textId="77777777" w:rsidR="00980E5F" w:rsidRDefault="00980E5F">
            <w:pPr>
              <w:rPr>
                <w:rFonts w:ascii="宋体"/>
                <w:vanish/>
              </w:rPr>
            </w:pPr>
          </w:p>
        </w:tc>
        <w:tc>
          <w:tcPr>
            <w:tcW w:w="0" w:type="auto"/>
            <w:gridSpan w:val="3"/>
            <w:shd w:val="clear" w:color="auto" w:fill="auto"/>
            <w:vAlign w:val="bottom"/>
          </w:tcPr>
          <w:p w14:paraId="392C29E7" w14:textId="77777777" w:rsidR="00980E5F" w:rsidRDefault="00980E5F">
            <w:pPr>
              <w:rPr>
                <w:rFonts w:ascii="宋体"/>
                <w:vanish/>
              </w:rPr>
            </w:pPr>
          </w:p>
        </w:tc>
        <w:tc>
          <w:tcPr>
            <w:tcW w:w="0" w:type="auto"/>
            <w:gridSpan w:val="3"/>
            <w:shd w:val="clear" w:color="auto" w:fill="auto"/>
            <w:vAlign w:val="bottom"/>
          </w:tcPr>
          <w:p w14:paraId="392C29E8" w14:textId="77777777" w:rsidR="00980E5F" w:rsidRDefault="00980E5F">
            <w:pPr>
              <w:rPr>
                <w:rFonts w:ascii="宋体"/>
                <w:vanish/>
              </w:rPr>
            </w:pPr>
          </w:p>
        </w:tc>
        <w:tc>
          <w:tcPr>
            <w:tcW w:w="0" w:type="auto"/>
            <w:gridSpan w:val="3"/>
            <w:shd w:val="clear" w:color="auto" w:fill="auto"/>
            <w:vAlign w:val="bottom"/>
          </w:tcPr>
          <w:p w14:paraId="392C29E9" w14:textId="77777777" w:rsidR="00980E5F" w:rsidRDefault="00980E5F">
            <w:pPr>
              <w:rPr>
                <w:rFonts w:ascii="宋体"/>
                <w:vanish/>
              </w:rPr>
            </w:pPr>
          </w:p>
        </w:tc>
        <w:tc>
          <w:tcPr>
            <w:tcW w:w="0" w:type="auto"/>
            <w:gridSpan w:val="3"/>
            <w:shd w:val="clear" w:color="auto" w:fill="auto"/>
            <w:vAlign w:val="bottom"/>
          </w:tcPr>
          <w:p w14:paraId="392C29EA" w14:textId="77777777" w:rsidR="00980E5F" w:rsidRDefault="00980E5F">
            <w:pPr>
              <w:rPr>
                <w:rFonts w:ascii="宋体"/>
                <w:vanish/>
              </w:rPr>
            </w:pPr>
          </w:p>
        </w:tc>
        <w:tc>
          <w:tcPr>
            <w:tcW w:w="0" w:type="auto"/>
            <w:gridSpan w:val="3"/>
            <w:shd w:val="clear" w:color="auto" w:fill="auto"/>
            <w:vAlign w:val="bottom"/>
          </w:tcPr>
          <w:p w14:paraId="392C29EB" w14:textId="77777777" w:rsidR="00980E5F" w:rsidRDefault="00980E5F">
            <w:pPr>
              <w:rPr>
                <w:rFonts w:ascii="宋体"/>
                <w:vanish/>
              </w:rPr>
            </w:pPr>
          </w:p>
        </w:tc>
        <w:tc>
          <w:tcPr>
            <w:tcW w:w="0" w:type="auto"/>
            <w:gridSpan w:val="3"/>
            <w:shd w:val="clear" w:color="auto" w:fill="auto"/>
            <w:vAlign w:val="bottom"/>
          </w:tcPr>
          <w:p w14:paraId="392C29EC" w14:textId="77777777" w:rsidR="00980E5F" w:rsidRDefault="00980E5F">
            <w:pPr>
              <w:rPr>
                <w:rFonts w:ascii="宋体"/>
                <w:vanish/>
              </w:rPr>
            </w:pPr>
          </w:p>
        </w:tc>
      </w:tr>
      <w:tr w:rsidR="00980E5F" w14:paraId="392C29FA" w14:textId="77777777">
        <w:trPr>
          <w:hidden/>
        </w:trPr>
        <w:tc>
          <w:tcPr>
            <w:tcW w:w="0" w:type="auto"/>
            <w:gridSpan w:val="3"/>
            <w:shd w:val="clear" w:color="auto" w:fill="auto"/>
            <w:vAlign w:val="bottom"/>
          </w:tcPr>
          <w:p w14:paraId="392C29EE" w14:textId="77777777" w:rsidR="00980E5F" w:rsidRDefault="00980E5F">
            <w:pPr>
              <w:rPr>
                <w:rFonts w:ascii="宋体"/>
                <w:vanish/>
              </w:rPr>
            </w:pPr>
          </w:p>
        </w:tc>
        <w:tc>
          <w:tcPr>
            <w:tcW w:w="0" w:type="auto"/>
            <w:gridSpan w:val="3"/>
            <w:shd w:val="clear" w:color="auto" w:fill="auto"/>
            <w:vAlign w:val="bottom"/>
          </w:tcPr>
          <w:p w14:paraId="392C29EF" w14:textId="77777777" w:rsidR="00980E5F" w:rsidRDefault="00980E5F">
            <w:pPr>
              <w:rPr>
                <w:rFonts w:ascii="宋体"/>
                <w:vanish/>
              </w:rPr>
            </w:pPr>
          </w:p>
        </w:tc>
        <w:tc>
          <w:tcPr>
            <w:tcW w:w="0" w:type="auto"/>
            <w:gridSpan w:val="3"/>
            <w:shd w:val="clear" w:color="auto" w:fill="auto"/>
            <w:vAlign w:val="bottom"/>
          </w:tcPr>
          <w:p w14:paraId="392C29F0" w14:textId="77777777" w:rsidR="00980E5F" w:rsidRDefault="00980E5F">
            <w:pPr>
              <w:rPr>
                <w:rFonts w:ascii="宋体"/>
                <w:vanish/>
              </w:rPr>
            </w:pPr>
          </w:p>
        </w:tc>
        <w:tc>
          <w:tcPr>
            <w:tcW w:w="0" w:type="auto"/>
            <w:gridSpan w:val="3"/>
            <w:shd w:val="clear" w:color="auto" w:fill="auto"/>
            <w:vAlign w:val="bottom"/>
          </w:tcPr>
          <w:p w14:paraId="392C29F1" w14:textId="77777777" w:rsidR="00980E5F" w:rsidRDefault="00980E5F">
            <w:pPr>
              <w:rPr>
                <w:rFonts w:ascii="宋体"/>
                <w:vanish/>
              </w:rPr>
            </w:pPr>
          </w:p>
        </w:tc>
        <w:tc>
          <w:tcPr>
            <w:tcW w:w="0" w:type="auto"/>
            <w:gridSpan w:val="3"/>
            <w:shd w:val="clear" w:color="auto" w:fill="auto"/>
            <w:vAlign w:val="bottom"/>
          </w:tcPr>
          <w:p w14:paraId="392C29F2" w14:textId="77777777" w:rsidR="00980E5F" w:rsidRDefault="00980E5F">
            <w:pPr>
              <w:rPr>
                <w:rFonts w:ascii="宋体"/>
                <w:vanish/>
              </w:rPr>
            </w:pPr>
          </w:p>
        </w:tc>
        <w:tc>
          <w:tcPr>
            <w:tcW w:w="0" w:type="auto"/>
            <w:gridSpan w:val="3"/>
            <w:shd w:val="clear" w:color="auto" w:fill="auto"/>
            <w:vAlign w:val="bottom"/>
          </w:tcPr>
          <w:p w14:paraId="392C29F3" w14:textId="77777777" w:rsidR="00980E5F" w:rsidRDefault="00980E5F">
            <w:pPr>
              <w:rPr>
                <w:rFonts w:ascii="宋体"/>
                <w:vanish/>
              </w:rPr>
            </w:pPr>
          </w:p>
        </w:tc>
        <w:tc>
          <w:tcPr>
            <w:tcW w:w="0" w:type="auto"/>
            <w:gridSpan w:val="3"/>
            <w:shd w:val="clear" w:color="auto" w:fill="auto"/>
            <w:vAlign w:val="bottom"/>
          </w:tcPr>
          <w:p w14:paraId="392C29F4" w14:textId="77777777" w:rsidR="00980E5F" w:rsidRDefault="00980E5F">
            <w:pPr>
              <w:rPr>
                <w:rFonts w:ascii="宋体"/>
                <w:vanish/>
              </w:rPr>
            </w:pPr>
          </w:p>
        </w:tc>
        <w:tc>
          <w:tcPr>
            <w:tcW w:w="0" w:type="auto"/>
            <w:gridSpan w:val="3"/>
            <w:shd w:val="clear" w:color="auto" w:fill="auto"/>
            <w:vAlign w:val="bottom"/>
          </w:tcPr>
          <w:p w14:paraId="392C29F5" w14:textId="77777777" w:rsidR="00980E5F" w:rsidRDefault="00980E5F">
            <w:pPr>
              <w:rPr>
                <w:rFonts w:ascii="宋体"/>
                <w:vanish/>
              </w:rPr>
            </w:pPr>
          </w:p>
        </w:tc>
        <w:tc>
          <w:tcPr>
            <w:tcW w:w="0" w:type="auto"/>
            <w:gridSpan w:val="3"/>
            <w:shd w:val="clear" w:color="auto" w:fill="auto"/>
            <w:vAlign w:val="bottom"/>
          </w:tcPr>
          <w:p w14:paraId="392C29F6" w14:textId="77777777" w:rsidR="00980E5F" w:rsidRDefault="00980E5F">
            <w:pPr>
              <w:rPr>
                <w:rFonts w:ascii="宋体"/>
                <w:vanish/>
              </w:rPr>
            </w:pPr>
          </w:p>
        </w:tc>
        <w:tc>
          <w:tcPr>
            <w:tcW w:w="0" w:type="auto"/>
            <w:gridSpan w:val="3"/>
            <w:shd w:val="clear" w:color="auto" w:fill="auto"/>
            <w:vAlign w:val="bottom"/>
          </w:tcPr>
          <w:p w14:paraId="392C29F7" w14:textId="77777777" w:rsidR="00980E5F" w:rsidRDefault="00980E5F">
            <w:pPr>
              <w:rPr>
                <w:rFonts w:ascii="宋体"/>
                <w:vanish/>
              </w:rPr>
            </w:pPr>
          </w:p>
        </w:tc>
        <w:tc>
          <w:tcPr>
            <w:tcW w:w="0" w:type="auto"/>
            <w:gridSpan w:val="3"/>
            <w:shd w:val="clear" w:color="auto" w:fill="auto"/>
            <w:vAlign w:val="bottom"/>
          </w:tcPr>
          <w:p w14:paraId="392C29F8" w14:textId="77777777" w:rsidR="00980E5F" w:rsidRDefault="00980E5F">
            <w:pPr>
              <w:rPr>
                <w:rFonts w:ascii="宋体"/>
                <w:vanish/>
              </w:rPr>
            </w:pPr>
          </w:p>
        </w:tc>
        <w:tc>
          <w:tcPr>
            <w:tcW w:w="0" w:type="auto"/>
            <w:gridSpan w:val="3"/>
            <w:shd w:val="clear" w:color="auto" w:fill="auto"/>
            <w:vAlign w:val="bottom"/>
          </w:tcPr>
          <w:p w14:paraId="392C29F9" w14:textId="77777777" w:rsidR="00980E5F" w:rsidRDefault="00980E5F">
            <w:pPr>
              <w:rPr>
                <w:rFonts w:ascii="宋体"/>
                <w:vanish/>
              </w:rPr>
            </w:pPr>
          </w:p>
        </w:tc>
      </w:tr>
      <w:tr w:rsidR="00980E5F" w14:paraId="392C2A07" w14:textId="77777777">
        <w:trPr>
          <w:hidden/>
        </w:trPr>
        <w:tc>
          <w:tcPr>
            <w:tcW w:w="0" w:type="auto"/>
            <w:gridSpan w:val="3"/>
            <w:shd w:val="clear" w:color="auto" w:fill="auto"/>
            <w:vAlign w:val="bottom"/>
          </w:tcPr>
          <w:p w14:paraId="392C29FB" w14:textId="77777777" w:rsidR="00980E5F" w:rsidRDefault="00980E5F">
            <w:pPr>
              <w:rPr>
                <w:rFonts w:ascii="宋体"/>
                <w:vanish/>
              </w:rPr>
            </w:pPr>
          </w:p>
        </w:tc>
        <w:tc>
          <w:tcPr>
            <w:tcW w:w="0" w:type="auto"/>
            <w:gridSpan w:val="3"/>
            <w:shd w:val="clear" w:color="auto" w:fill="auto"/>
            <w:vAlign w:val="bottom"/>
          </w:tcPr>
          <w:p w14:paraId="392C29FC" w14:textId="77777777" w:rsidR="00980E5F" w:rsidRDefault="00980E5F">
            <w:pPr>
              <w:rPr>
                <w:rFonts w:ascii="宋体"/>
                <w:vanish/>
              </w:rPr>
            </w:pPr>
          </w:p>
        </w:tc>
        <w:tc>
          <w:tcPr>
            <w:tcW w:w="0" w:type="auto"/>
            <w:gridSpan w:val="3"/>
            <w:shd w:val="clear" w:color="auto" w:fill="auto"/>
            <w:vAlign w:val="bottom"/>
          </w:tcPr>
          <w:p w14:paraId="392C29FD" w14:textId="77777777" w:rsidR="00980E5F" w:rsidRDefault="00980E5F">
            <w:pPr>
              <w:rPr>
                <w:rFonts w:ascii="宋体"/>
                <w:vanish/>
              </w:rPr>
            </w:pPr>
          </w:p>
        </w:tc>
        <w:tc>
          <w:tcPr>
            <w:tcW w:w="0" w:type="auto"/>
            <w:gridSpan w:val="3"/>
            <w:shd w:val="clear" w:color="auto" w:fill="auto"/>
            <w:vAlign w:val="bottom"/>
          </w:tcPr>
          <w:p w14:paraId="392C29FE" w14:textId="77777777" w:rsidR="00980E5F" w:rsidRDefault="00980E5F">
            <w:pPr>
              <w:rPr>
                <w:rFonts w:ascii="宋体"/>
                <w:vanish/>
              </w:rPr>
            </w:pPr>
          </w:p>
        </w:tc>
        <w:tc>
          <w:tcPr>
            <w:tcW w:w="0" w:type="auto"/>
            <w:gridSpan w:val="3"/>
            <w:shd w:val="clear" w:color="auto" w:fill="auto"/>
            <w:vAlign w:val="bottom"/>
          </w:tcPr>
          <w:p w14:paraId="392C29FF" w14:textId="77777777" w:rsidR="00980E5F" w:rsidRDefault="00980E5F">
            <w:pPr>
              <w:rPr>
                <w:rFonts w:ascii="宋体"/>
                <w:vanish/>
              </w:rPr>
            </w:pPr>
          </w:p>
        </w:tc>
        <w:tc>
          <w:tcPr>
            <w:tcW w:w="0" w:type="auto"/>
            <w:gridSpan w:val="3"/>
            <w:shd w:val="clear" w:color="auto" w:fill="auto"/>
            <w:vAlign w:val="bottom"/>
          </w:tcPr>
          <w:p w14:paraId="392C2A00" w14:textId="77777777" w:rsidR="00980E5F" w:rsidRDefault="00980E5F">
            <w:pPr>
              <w:rPr>
                <w:rFonts w:ascii="宋体"/>
                <w:vanish/>
              </w:rPr>
            </w:pPr>
          </w:p>
        </w:tc>
        <w:tc>
          <w:tcPr>
            <w:tcW w:w="0" w:type="auto"/>
            <w:gridSpan w:val="3"/>
            <w:shd w:val="clear" w:color="auto" w:fill="auto"/>
            <w:vAlign w:val="bottom"/>
          </w:tcPr>
          <w:p w14:paraId="392C2A01" w14:textId="77777777" w:rsidR="00980E5F" w:rsidRDefault="00980E5F">
            <w:pPr>
              <w:rPr>
                <w:rFonts w:ascii="宋体"/>
                <w:vanish/>
              </w:rPr>
            </w:pPr>
          </w:p>
        </w:tc>
        <w:tc>
          <w:tcPr>
            <w:tcW w:w="0" w:type="auto"/>
            <w:gridSpan w:val="3"/>
            <w:shd w:val="clear" w:color="auto" w:fill="auto"/>
            <w:vAlign w:val="bottom"/>
          </w:tcPr>
          <w:p w14:paraId="392C2A02" w14:textId="77777777" w:rsidR="00980E5F" w:rsidRDefault="00980E5F">
            <w:pPr>
              <w:rPr>
                <w:rFonts w:ascii="宋体"/>
                <w:vanish/>
              </w:rPr>
            </w:pPr>
          </w:p>
        </w:tc>
        <w:tc>
          <w:tcPr>
            <w:tcW w:w="0" w:type="auto"/>
            <w:gridSpan w:val="3"/>
            <w:shd w:val="clear" w:color="auto" w:fill="auto"/>
            <w:vAlign w:val="bottom"/>
          </w:tcPr>
          <w:p w14:paraId="392C2A03" w14:textId="77777777" w:rsidR="00980E5F" w:rsidRDefault="00980E5F">
            <w:pPr>
              <w:rPr>
                <w:rFonts w:ascii="宋体"/>
                <w:vanish/>
              </w:rPr>
            </w:pPr>
          </w:p>
        </w:tc>
        <w:tc>
          <w:tcPr>
            <w:tcW w:w="0" w:type="auto"/>
            <w:gridSpan w:val="3"/>
            <w:shd w:val="clear" w:color="auto" w:fill="auto"/>
            <w:vAlign w:val="bottom"/>
          </w:tcPr>
          <w:p w14:paraId="392C2A04" w14:textId="77777777" w:rsidR="00980E5F" w:rsidRDefault="00980E5F">
            <w:pPr>
              <w:rPr>
                <w:rFonts w:ascii="宋体"/>
                <w:vanish/>
              </w:rPr>
            </w:pPr>
          </w:p>
        </w:tc>
        <w:tc>
          <w:tcPr>
            <w:tcW w:w="0" w:type="auto"/>
            <w:gridSpan w:val="3"/>
            <w:shd w:val="clear" w:color="auto" w:fill="auto"/>
            <w:vAlign w:val="bottom"/>
          </w:tcPr>
          <w:p w14:paraId="392C2A05" w14:textId="77777777" w:rsidR="00980E5F" w:rsidRDefault="00980E5F">
            <w:pPr>
              <w:rPr>
                <w:rFonts w:ascii="宋体"/>
                <w:vanish/>
              </w:rPr>
            </w:pPr>
          </w:p>
        </w:tc>
        <w:tc>
          <w:tcPr>
            <w:tcW w:w="0" w:type="auto"/>
            <w:gridSpan w:val="3"/>
            <w:shd w:val="clear" w:color="auto" w:fill="auto"/>
            <w:vAlign w:val="bottom"/>
          </w:tcPr>
          <w:p w14:paraId="392C2A06" w14:textId="77777777" w:rsidR="00980E5F" w:rsidRDefault="00980E5F">
            <w:pPr>
              <w:rPr>
                <w:rFonts w:ascii="宋体"/>
                <w:vanish/>
              </w:rPr>
            </w:pPr>
          </w:p>
        </w:tc>
      </w:tr>
      <w:tr w:rsidR="00980E5F" w14:paraId="392C2A14" w14:textId="77777777">
        <w:trPr>
          <w:hidden/>
        </w:trPr>
        <w:tc>
          <w:tcPr>
            <w:tcW w:w="0" w:type="auto"/>
            <w:gridSpan w:val="3"/>
            <w:shd w:val="clear" w:color="auto" w:fill="auto"/>
            <w:vAlign w:val="bottom"/>
          </w:tcPr>
          <w:p w14:paraId="392C2A08" w14:textId="77777777" w:rsidR="00980E5F" w:rsidRDefault="00980E5F">
            <w:pPr>
              <w:rPr>
                <w:rFonts w:ascii="宋体"/>
                <w:vanish/>
              </w:rPr>
            </w:pPr>
          </w:p>
        </w:tc>
        <w:tc>
          <w:tcPr>
            <w:tcW w:w="0" w:type="auto"/>
            <w:gridSpan w:val="3"/>
            <w:shd w:val="clear" w:color="auto" w:fill="auto"/>
            <w:vAlign w:val="bottom"/>
          </w:tcPr>
          <w:p w14:paraId="392C2A09" w14:textId="77777777" w:rsidR="00980E5F" w:rsidRDefault="00980E5F">
            <w:pPr>
              <w:rPr>
                <w:rFonts w:ascii="宋体"/>
                <w:vanish/>
              </w:rPr>
            </w:pPr>
          </w:p>
        </w:tc>
        <w:tc>
          <w:tcPr>
            <w:tcW w:w="0" w:type="auto"/>
            <w:gridSpan w:val="3"/>
            <w:shd w:val="clear" w:color="auto" w:fill="auto"/>
            <w:vAlign w:val="bottom"/>
          </w:tcPr>
          <w:p w14:paraId="392C2A0A" w14:textId="77777777" w:rsidR="00980E5F" w:rsidRDefault="00980E5F">
            <w:pPr>
              <w:rPr>
                <w:rFonts w:ascii="宋体"/>
                <w:vanish/>
              </w:rPr>
            </w:pPr>
          </w:p>
        </w:tc>
        <w:tc>
          <w:tcPr>
            <w:tcW w:w="0" w:type="auto"/>
            <w:gridSpan w:val="3"/>
            <w:shd w:val="clear" w:color="auto" w:fill="auto"/>
            <w:vAlign w:val="bottom"/>
          </w:tcPr>
          <w:p w14:paraId="392C2A0B" w14:textId="77777777" w:rsidR="00980E5F" w:rsidRDefault="00980E5F">
            <w:pPr>
              <w:rPr>
                <w:rFonts w:ascii="宋体"/>
                <w:vanish/>
              </w:rPr>
            </w:pPr>
          </w:p>
        </w:tc>
        <w:tc>
          <w:tcPr>
            <w:tcW w:w="0" w:type="auto"/>
            <w:gridSpan w:val="3"/>
            <w:shd w:val="clear" w:color="auto" w:fill="auto"/>
            <w:vAlign w:val="bottom"/>
          </w:tcPr>
          <w:p w14:paraId="392C2A0C" w14:textId="77777777" w:rsidR="00980E5F" w:rsidRDefault="00980E5F">
            <w:pPr>
              <w:rPr>
                <w:rFonts w:ascii="宋体"/>
                <w:vanish/>
              </w:rPr>
            </w:pPr>
          </w:p>
        </w:tc>
        <w:tc>
          <w:tcPr>
            <w:tcW w:w="0" w:type="auto"/>
            <w:gridSpan w:val="3"/>
            <w:shd w:val="clear" w:color="auto" w:fill="auto"/>
            <w:vAlign w:val="bottom"/>
          </w:tcPr>
          <w:p w14:paraId="392C2A0D" w14:textId="77777777" w:rsidR="00980E5F" w:rsidRDefault="00980E5F">
            <w:pPr>
              <w:rPr>
                <w:rFonts w:ascii="宋体"/>
                <w:vanish/>
              </w:rPr>
            </w:pPr>
          </w:p>
        </w:tc>
        <w:tc>
          <w:tcPr>
            <w:tcW w:w="0" w:type="auto"/>
            <w:gridSpan w:val="3"/>
            <w:shd w:val="clear" w:color="auto" w:fill="auto"/>
            <w:vAlign w:val="bottom"/>
          </w:tcPr>
          <w:p w14:paraId="392C2A0E" w14:textId="77777777" w:rsidR="00980E5F" w:rsidRDefault="00980E5F">
            <w:pPr>
              <w:rPr>
                <w:rFonts w:ascii="宋体"/>
                <w:vanish/>
              </w:rPr>
            </w:pPr>
          </w:p>
        </w:tc>
        <w:tc>
          <w:tcPr>
            <w:tcW w:w="0" w:type="auto"/>
            <w:gridSpan w:val="3"/>
            <w:shd w:val="clear" w:color="auto" w:fill="auto"/>
            <w:vAlign w:val="bottom"/>
          </w:tcPr>
          <w:p w14:paraId="392C2A0F" w14:textId="77777777" w:rsidR="00980E5F" w:rsidRDefault="00980E5F">
            <w:pPr>
              <w:rPr>
                <w:rFonts w:ascii="宋体"/>
                <w:vanish/>
              </w:rPr>
            </w:pPr>
          </w:p>
        </w:tc>
        <w:tc>
          <w:tcPr>
            <w:tcW w:w="0" w:type="auto"/>
            <w:gridSpan w:val="3"/>
            <w:shd w:val="clear" w:color="auto" w:fill="auto"/>
            <w:vAlign w:val="bottom"/>
          </w:tcPr>
          <w:p w14:paraId="392C2A10" w14:textId="77777777" w:rsidR="00980E5F" w:rsidRDefault="00980E5F">
            <w:pPr>
              <w:rPr>
                <w:rFonts w:ascii="宋体"/>
                <w:vanish/>
              </w:rPr>
            </w:pPr>
          </w:p>
        </w:tc>
        <w:tc>
          <w:tcPr>
            <w:tcW w:w="0" w:type="auto"/>
            <w:gridSpan w:val="3"/>
            <w:shd w:val="clear" w:color="auto" w:fill="auto"/>
            <w:vAlign w:val="bottom"/>
          </w:tcPr>
          <w:p w14:paraId="392C2A11" w14:textId="77777777" w:rsidR="00980E5F" w:rsidRDefault="00980E5F">
            <w:pPr>
              <w:rPr>
                <w:rFonts w:ascii="宋体"/>
                <w:vanish/>
              </w:rPr>
            </w:pPr>
          </w:p>
        </w:tc>
        <w:tc>
          <w:tcPr>
            <w:tcW w:w="0" w:type="auto"/>
            <w:gridSpan w:val="3"/>
            <w:shd w:val="clear" w:color="auto" w:fill="auto"/>
            <w:vAlign w:val="bottom"/>
          </w:tcPr>
          <w:p w14:paraId="392C2A12" w14:textId="77777777" w:rsidR="00980E5F" w:rsidRDefault="00980E5F">
            <w:pPr>
              <w:rPr>
                <w:rFonts w:ascii="宋体"/>
                <w:vanish/>
              </w:rPr>
            </w:pPr>
          </w:p>
        </w:tc>
        <w:tc>
          <w:tcPr>
            <w:tcW w:w="0" w:type="auto"/>
            <w:gridSpan w:val="3"/>
            <w:shd w:val="clear" w:color="auto" w:fill="auto"/>
            <w:vAlign w:val="bottom"/>
          </w:tcPr>
          <w:p w14:paraId="392C2A13" w14:textId="77777777" w:rsidR="00980E5F" w:rsidRDefault="00980E5F">
            <w:pPr>
              <w:rPr>
                <w:rFonts w:ascii="宋体"/>
                <w:vanish/>
              </w:rPr>
            </w:pPr>
          </w:p>
        </w:tc>
      </w:tr>
    </w:tbl>
    <w:p w14:paraId="392C2A15" w14:textId="77777777" w:rsidR="00980E5F" w:rsidRDefault="00980E5F">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1669"/>
        <w:gridCol w:w="37"/>
        <w:gridCol w:w="99"/>
        <w:gridCol w:w="889"/>
        <w:gridCol w:w="36"/>
        <w:gridCol w:w="36"/>
        <w:gridCol w:w="36"/>
        <w:gridCol w:w="36"/>
        <w:gridCol w:w="99"/>
        <w:gridCol w:w="865"/>
        <w:gridCol w:w="36"/>
        <w:gridCol w:w="36"/>
        <w:gridCol w:w="36"/>
        <w:gridCol w:w="36"/>
        <w:gridCol w:w="99"/>
        <w:gridCol w:w="865"/>
        <w:gridCol w:w="36"/>
        <w:gridCol w:w="36"/>
        <w:gridCol w:w="36"/>
        <w:gridCol w:w="36"/>
        <w:gridCol w:w="99"/>
        <w:gridCol w:w="852"/>
        <w:gridCol w:w="36"/>
        <w:gridCol w:w="36"/>
        <w:gridCol w:w="36"/>
        <w:gridCol w:w="36"/>
        <w:gridCol w:w="99"/>
        <w:gridCol w:w="866"/>
        <w:gridCol w:w="36"/>
        <w:gridCol w:w="36"/>
        <w:gridCol w:w="36"/>
        <w:gridCol w:w="36"/>
        <w:gridCol w:w="99"/>
        <w:gridCol w:w="867"/>
        <w:gridCol w:w="36"/>
      </w:tblGrid>
      <w:tr w:rsidR="00980E5F" w14:paraId="392C2A3A" w14:textId="77777777">
        <w:tc>
          <w:tcPr>
            <w:tcW w:w="50" w:type="pct"/>
            <w:shd w:val="clear" w:color="auto" w:fill="auto"/>
            <w:vAlign w:val="bottom"/>
          </w:tcPr>
          <w:p w14:paraId="392C2A16" w14:textId="77777777" w:rsidR="00980E5F" w:rsidRDefault="00980E5F">
            <w:pPr>
              <w:rPr>
                <w:rFonts w:ascii="宋体"/>
              </w:rPr>
            </w:pPr>
          </w:p>
        </w:tc>
        <w:tc>
          <w:tcPr>
            <w:tcW w:w="1031" w:type="pct"/>
            <w:shd w:val="clear" w:color="auto" w:fill="auto"/>
            <w:vAlign w:val="bottom"/>
          </w:tcPr>
          <w:p w14:paraId="392C2A17" w14:textId="77777777" w:rsidR="00980E5F" w:rsidRDefault="00980E5F">
            <w:pPr>
              <w:rPr>
                <w:rFonts w:ascii="宋体"/>
              </w:rPr>
            </w:pPr>
          </w:p>
        </w:tc>
        <w:tc>
          <w:tcPr>
            <w:tcW w:w="5" w:type="pct"/>
            <w:shd w:val="clear" w:color="auto" w:fill="auto"/>
            <w:vAlign w:val="bottom"/>
          </w:tcPr>
          <w:p w14:paraId="392C2A18" w14:textId="77777777" w:rsidR="00980E5F" w:rsidRDefault="00980E5F">
            <w:pPr>
              <w:rPr>
                <w:rFonts w:ascii="宋体"/>
              </w:rPr>
            </w:pPr>
          </w:p>
        </w:tc>
        <w:tc>
          <w:tcPr>
            <w:tcW w:w="50" w:type="pct"/>
            <w:shd w:val="clear" w:color="auto" w:fill="auto"/>
            <w:vAlign w:val="bottom"/>
          </w:tcPr>
          <w:p w14:paraId="392C2A19" w14:textId="77777777" w:rsidR="00980E5F" w:rsidRDefault="00980E5F">
            <w:pPr>
              <w:rPr>
                <w:rFonts w:ascii="宋体"/>
              </w:rPr>
            </w:pPr>
          </w:p>
        </w:tc>
        <w:tc>
          <w:tcPr>
            <w:tcW w:w="561" w:type="pct"/>
            <w:shd w:val="clear" w:color="auto" w:fill="auto"/>
            <w:vAlign w:val="bottom"/>
          </w:tcPr>
          <w:p w14:paraId="392C2A1A" w14:textId="77777777" w:rsidR="00980E5F" w:rsidRDefault="00980E5F">
            <w:pPr>
              <w:rPr>
                <w:rFonts w:ascii="宋体"/>
              </w:rPr>
            </w:pPr>
          </w:p>
        </w:tc>
        <w:tc>
          <w:tcPr>
            <w:tcW w:w="5" w:type="pct"/>
            <w:shd w:val="clear" w:color="auto" w:fill="auto"/>
            <w:vAlign w:val="bottom"/>
          </w:tcPr>
          <w:p w14:paraId="392C2A1B" w14:textId="77777777" w:rsidR="00980E5F" w:rsidRDefault="00980E5F">
            <w:pPr>
              <w:rPr>
                <w:rFonts w:ascii="宋体"/>
              </w:rPr>
            </w:pPr>
          </w:p>
        </w:tc>
        <w:tc>
          <w:tcPr>
            <w:tcW w:w="5" w:type="pct"/>
            <w:shd w:val="clear" w:color="auto" w:fill="auto"/>
            <w:vAlign w:val="bottom"/>
          </w:tcPr>
          <w:p w14:paraId="392C2A1C" w14:textId="77777777" w:rsidR="00980E5F" w:rsidRDefault="00980E5F">
            <w:pPr>
              <w:rPr>
                <w:rFonts w:ascii="宋体"/>
              </w:rPr>
            </w:pPr>
          </w:p>
        </w:tc>
        <w:tc>
          <w:tcPr>
            <w:tcW w:w="26" w:type="pct"/>
            <w:shd w:val="clear" w:color="auto" w:fill="auto"/>
            <w:vAlign w:val="bottom"/>
          </w:tcPr>
          <w:p w14:paraId="392C2A1D" w14:textId="77777777" w:rsidR="00980E5F" w:rsidRDefault="00980E5F">
            <w:pPr>
              <w:rPr>
                <w:rFonts w:ascii="宋体"/>
              </w:rPr>
            </w:pPr>
          </w:p>
        </w:tc>
        <w:tc>
          <w:tcPr>
            <w:tcW w:w="5" w:type="pct"/>
            <w:shd w:val="clear" w:color="auto" w:fill="auto"/>
            <w:vAlign w:val="bottom"/>
          </w:tcPr>
          <w:p w14:paraId="392C2A1E" w14:textId="77777777" w:rsidR="00980E5F" w:rsidRDefault="00980E5F">
            <w:pPr>
              <w:rPr>
                <w:rFonts w:ascii="宋体"/>
              </w:rPr>
            </w:pPr>
          </w:p>
        </w:tc>
        <w:tc>
          <w:tcPr>
            <w:tcW w:w="50" w:type="pct"/>
            <w:shd w:val="clear" w:color="auto" w:fill="auto"/>
            <w:vAlign w:val="bottom"/>
          </w:tcPr>
          <w:p w14:paraId="392C2A1F" w14:textId="77777777" w:rsidR="00980E5F" w:rsidRDefault="00980E5F">
            <w:pPr>
              <w:rPr>
                <w:rFonts w:ascii="宋体"/>
              </w:rPr>
            </w:pPr>
          </w:p>
        </w:tc>
        <w:tc>
          <w:tcPr>
            <w:tcW w:w="569" w:type="pct"/>
            <w:shd w:val="clear" w:color="auto" w:fill="auto"/>
            <w:vAlign w:val="bottom"/>
          </w:tcPr>
          <w:p w14:paraId="392C2A20" w14:textId="77777777" w:rsidR="00980E5F" w:rsidRDefault="00980E5F">
            <w:pPr>
              <w:rPr>
                <w:rFonts w:ascii="宋体"/>
              </w:rPr>
            </w:pPr>
          </w:p>
        </w:tc>
        <w:tc>
          <w:tcPr>
            <w:tcW w:w="5" w:type="pct"/>
            <w:shd w:val="clear" w:color="auto" w:fill="auto"/>
            <w:vAlign w:val="bottom"/>
          </w:tcPr>
          <w:p w14:paraId="392C2A21" w14:textId="77777777" w:rsidR="00980E5F" w:rsidRDefault="00980E5F">
            <w:pPr>
              <w:rPr>
                <w:rFonts w:ascii="宋体"/>
              </w:rPr>
            </w:pPr>
          </w:p>
        </w:tc>
        <w:tc>
          <w:tcPr>
            <w:tcW w:w="5" w:type="pct"/>
            <w:shd w:val="clear" w:color="auto" w:fill="auto"/>
            <w:vAlign w:val="bottom"/>
          </w:tcPr>
          <w:p w14:paraId="392C2A22" w14:textId="77777777" w:rsidR="00980E5F" w:rsidRDefault="00980E5F">
            <w:pPr>
              <w:rPr>
                <w:rFonts w:ascii="宋体"/>
              </w:rPr>
            </w:pPr>
          </w:p>
        </w:tc>
        <w:tc>
          <w:tcPr>
            <w:tcW w:w="26" w:type="pct"/>
            <w:shd w:val="clear" w:color="auto" w:fill="auto"/>
            <w:vAlign w:val="bottom"/>
          </w:tcPr>
          <w:p w14:paraId="392C2A23" w14:textId="77777777" w:rsidR="00980E5F" w:rsidRDefault="00980E5F">
            <w:pPr>
              <w:rPr>
                <w:rFonts w:ascii="宋体"/>
              </w:rPr>
            </w:pPr>
          </w:p>
        </w:tc>
        <w:tc>
          <w:tcPr>
            <w:tcW w:w="5" w:type="pct"/>
            <w:shd w:val="clear" w:color="auto" w:fill="auto"/>
            <w:vAlign w:val="bottom"/>
          </w:tcPr>
          <w:p w14:paraId="392C2A24" w14:textId="77777777" w:rsidR="00980E5F" w:rsidRDefault="00980E5F">
            <w:pPr>
              <w:rPr>
                <w:rFonts w:ascii="宋体"/>
              </w:rPr>
            </w:pPr>
          </w:p>
        </w:tc>
        <w:tc>
          <w:tcPr>
            <w:tcW w:w="50" w:type="pct"/>
            <w:shd w:val="clear" w:color="auto" w:fill="auto"/>
            <w:vAlign w:val="bottom"/>
          </w:tcPr>
          <w:p w14:paraId="392C2A25" w14:textId="77777777" w:rsidR="00980E5F" w:rsidRDefault="00980E5F">
            <w:pPr>
              <w:rPr>
                <w:rFonts w:ascii="宋体"/>
              </w:rPr>
            </w:pPr>
          </w:p>
        </w:tc>
        <w:tc>
          <w:tcPr>
            <w:tcW w:w="569" w:type="pct"/>
            <w:shd w:val="clear" w:color="auto" w:fill="auto"/>
            <w:vAlign w:val="bottom"/>
          </w:tcPr>
          <w:p w14:paraId="392C2A26" w14:textId="77777777" w:rsidR="00980E5F" w:rsidRDefault="00980E5F">
            <w:pPr>
              <w:rPr>
                <w:rFonts w:ascii="宋体"/>
              </w:rPr>
            </w:pPr>
          </w:p>
        </w:tc>
        <w:tc>
          <w:tcPr>
            <w:tcW w:w="5" w:type="pct"/>
            <w:shd w:val="clear" w:color="auto" w:fill="auto"/>
            <w:vAlign w:val="bottom"/>
          </w:tcPr>
          <w:p w14:paraId="392C2A27" w14:textId="77777777" w:rsidR="00980E5F" w:rsidRDefault="00980E5F">
            <w:pPr>
              <w:rPr>
                <w:rFonts w:ascii="宋体"/>
              </w:rPr>
            </w:pPr>
          </w:p>
        </w:tc>
        <w:tc>
          <w:tcPr>
            <w:tcW w:w="5" w:type="pct"/>
            <w:shd w:val="clear" w:color="auto" w:fill="auto"/>
            <w:vAlign w:val="bottom"/>
          </w:tcPr>
          <w:p w14:paraId="392C2A28" w14:textId="77777777" w:rsidR="00980E5F" w:rsidRDefault="00980E5F">
            <w:pPr>
              <w:rPr>
                <w:rFonts w:ascii="宋体"/>
              </w:rPr>
            </w:pPr>
          </w:p>
        </w:tc>
        <w:tc>
          <w:tcPr>
            <w:tcW w:w="26" w:type="pct"/>
            <w:shd w:val="clear" w:color="auto" w:fill="auto"/>
            <w:vAlign w:val="bottom"/>
          </w:tcPr>
          <w:p w14:paraId="392C2A29" w14:textId="77777777" w:rsidR="00980E5F" w:rsidRDefault="00980E5F">
            <w:pPr>
              <w:rPr>
                <w:rFonts w:ascii="宋体"/>
              </w:rPr>
            </w:pPr>
          </w:p>
        </w:tc>
        <w:tc>
          <w:tcPr>
            <w:tcW w:w="5" w:type="pct"/>
            <w:shd w:val="clear" w:color="auto" w:fill="auto"/>
            <w:vAlign w:val="bottom"/>
          </w:tcPr>
          <w:p w14:paraId="392C2A2A" w14:textId="77777777" w:rsidR="00980E5F" w:rsidRDefault="00980E5F">
            <w:pPr>
              <w:rPr>
                <w:rFonts w:ascii="宋体"/>
              </w:rPr>
            </w:pPr>
          </w:p>
        </w:tc>
        <w:tc>
          <w:tcPr>
            <w:tcW w:w="50" w:type="pct"/>
            <w:shd w:val="clear" w:color="auto" w:fill="auto"/>
            <w:vAlign w:val="bottom"/>
          </w:tcPr>
          <w:p w14:paraId="392C2A2B" w14:textId="77777777" w:rsidR="00980E5F" w:rsidRDefault="00980E5F">
            <w:pPr>
              <w:rPr>
                <w:rFonts w:ascii="宋体"/>
              </w:rPr>
            </w:pPr>
          </w:p>
        </w:tc>
        <w:tc>
          <w:tcPr>
            <w:tcW w:w="561" w:type="pct"/>
            <w:shd w:val="clear" w:color="auto" w:fill="auto"/>
            <w:vAlign w:val="bottom"/>
          </w:tcPr>
          <w:p w14:paraId="392C2A2C" w14:textId="77777777" w:rsidR="00980E5F" w:rsidRDefault="00980E5F">
            <w:pPr>
              <w:rPr>
                <w:rFonts w:ascii="宋体"/>
              </w:rPr>
            </w:pPr>
          </w:p>
        </w:tc>
        <w:tc>
          <w:tcPr>
            <w:tcW w:w="5" w:type="pct"/>
            <w:shd w:val="clear" w:color="auto" w:fill="auto"/>
            <w:vAlign w:val="bottom"/>
          </w:tcPr>
          <w:p w14:paraId="392C2A2D" w14:textId="77777777" w:rsidR="00980E5F" w:rsidRDefault="00980E5F">
            <w:pPr>
              <w:rPr>
                <w:rFonts w:ascii="宋体"/>
              </w:rPr>
            </w:pPr>
          </w:p>
        </w:tc>
        <w:tc>
          <w:tcPr>
            <w:tcW w:w="5" w:type="pct"/>
            <w:shd w:val="clear" w:color="auto" w:fill="auto"/>
            <w:vAlign w:val="bottom"/>
          </w:tcPr>
          <w:p w14:paraId="392C2A2E" w14:textId="77777777" w:rsidR="00980E5F" w:rsidRDefault="00980E5F">
            <w:pPr>
              <w:rPr>
                <w:rFonts w:ascii="宋体"/>
              </w:rPr>
            </w:pPr>
          </w:p>
        </w:tc>
        <w:tc>
          <w:tcPr>
            <w:tcW w:w="26" w:type="pct"/>
            <w:shd w:val="clear" w:color="auto" w:fill="auto"/>
            <w:vAlign w:val="bottom"/>
          </w:tcPr>
          <w:p w14:paraId="392C2A2F" w14:textId="77777777" w:rsidR="00980E5F" w:rsidRDefault="00980E5F">
            <w:pPr>
              <w:rPr>
                <w:rFonts w:ascii="宋体"/>
              </w:rPr>
            </w:pPr>
          </w:p>
        </w:tc>
        <w:tc>
          <w:tcPr>
            <w:tcW w:w="5" w:type="pct"/>
            <w:shd w:val="clear" w:color="auto" w:fill="auto"/>
            <w:vAlign w:val="bottom"/>
          </w:tcPr>
          <w:p w14:paraId="392C2A30" w14:textId="77777777" w:rsidR="00980E5F" w:rsidRDefault="00980E5F">
            <w:pPr>
              <w:rPr>
                <w:rFonts w:ascii="宋体"/>
              </w:rPr>
            </w:pPr>
          </w:p>
        </w:tc>
        <w:tc>
          <w:tcPr>
            <w:tcW w:w="50" w:type="pct"/>
            <w:shd w:val="clear" w:color="auto" w:fill="auto"/>
            <w:vAlign w:val="bottom"/>
          </w:tcPr>
          <w:p w14:paraId="392C2A31" w14:textId="77777777" w:rsidR="00980E5F" w:rsidRDefault="00980E5F">
            <w:pPr>
              <w:rPr>
                <w:rFonts w:ascii="宋体"/>
              </w:rPr>
            </w:pPr>
          </w:p>
        </w:tc>
        <w:tc>
          <w:tcPr>
            <w:tcW w:w="569" w:type="pct"/>
            <w:shd w:val="clear" w:color="auto" w:fill="auto"/>
            <w:vAlign w:val="bottom"/>
          </w:tcPr>
          <w:p w14:paraId="392C2A32" w14:textId="77777777" w:rsidR="00980E5F" w:rsidRDefault="00980E5F">
            <w:pPr>
              <w:rPr>
                <w:rFonts w:ascii="宋体"/>
              </w:rPr>
            </w:pPr>
          </w:p>
        </w:tc>
        <w:tc>
          <w:tcPr>
            <w:tcW w:w="5" w:type="pct"/>
            <w:shd w:val="clear" w:color="auto" w:fill="auto"/>
            <w:vAlign w:val="bottom"/>
          </w:tcPr>
          <w:p w14:paraId="392C2A33" w14:textId="77777777" w:rsidR="00980E5F" w:rsidRDefault="00980E5F">
            <w:pPr>
              <w:rPr>
                <w:rFonts w:ascii="宋体"/>
              </w:rPr>
            </w:pPr>
          </w:p>
        </w:tc>
        <w:tc>
          <w:tcPr>
            <w:tcW w:w="5" w:type="pct"/>
            <w:shd w:val="clear" w:color="auto" w:fill="auto"/>
            <w:vAlign w:val="bottom"/>
          </w:tcPr>
          <w:p w14:paraId="392C2A34" w14:textId="77777777" w:rsidR="00980E5F" w:rsidRDefault="00980E5F">
            <w:pPr>
              <w:rPr>
                <w:rFonts w:ascii="宋体"/>
              </w:rPr>
            </w:pPr>
          </w:p>
        </w:tc>
        <w:tc>
          <w:tcPr>
            <w:tcW w:w="26" w:type="pct"/>
            <w:shd w:val="clear" w:color="auto" w:fill="auto"/>
            <w:vAlign w:val="bottom"/>
          </w:tcPr>
          <w:p w14:paraId="392C2A35" w14:textId="77777777" w:rsidR="00980E5F" w:rsidRDefault="00980E5F">
            <w:pPr>
              <w:rPr>
                <w:rFonts w:ascii="宋体"/>
              </w:rPr>
            </w:pPr>
          </w:p>
        </w:tc>
        <w:tc>
          <w:tcPr>
            <w:tcW w:w="5" w:type="pct"/>
            <w:shd w:val="clear" w:color="auto" w:fill="auto"/>
            <w:vAlign w:val="bottom"/>
          </w:tcPr>
          <w:p w14:paraId="392C2A36" w14:textId="77777777" w:rsidR="00980E5F" w:rsidRDefault="00980E5F">
            <w:pPr>
              <w:rPr>
                <w:rFonts w:ascii="宋体"/>
              </w:rPr>
            </w:pPr>
          </w:p>
        </w:tc>
        <w:tc>
          <w:tcPr>
            <w:tcW w:w="50" w:type="pct"/>
            <w:shd w:val="clear" w:color="auto" w:fill="auto"/>
            <w:vAlign w:val="bottom"/>
          </w:tcPr>
          <w:p w14:paraId="392C2A37" w14:textId="77777777" w:rsidR="00980E5F" w:rsidRDefault="00980E5F">
            <w:pPr>
              <w:rPr>
                <w:rFonts w:ascii="宋体"/>
              </w:rPr>
            </w:pPr>
          </w:p>
        </w:tc>
        <w:tc>
          <w:tcPr>
            <w:tcW w:w="569" w:type="pct"/>
            <w:shd w:val="clear" w:color="auto" w:fill="auto"/>
            <w:vAlign w:val="bottom"/>
          </w:tcPr>
          <w:p w14:paraId="392C2A38" w14:textId="77777777" w:rsidR="00980E5F" w:rsidRDefault="00980E5F">
            <w:pPr>
              <w:rPr>
                <w:rFonts w:ascii="宋体"/>
              </w:rPr>
            </w:pPr>
          </w:p>
        </w:tc>
        <w:tc>
          <w:tcPr>
            <w:tcW w:w="5" w:type="pct"/>
            <w:shd w:val="clear" w:color="auto" w:fill="auto"/>
            <w:vAlign w:val="bottom"/>
          </w:tcPr>
          <w:p w14:paraId="392C2A39" w14:textId="77777777" w:rsidR="00980E5F" w:rsidRDefault="00980E5F">
            <w:pPr>
              <w:rPr>
                <w:rFonts w:ascii="宋体"/>
              </w:rPr>
            </w:pPr>
          </w:p>
        </w:tc>
      </w:tr>
      <w:tr w:rsidR="00980E5F" w14:paraId="392C2A5D" w14:textId="77777777">
        <w:trPr>
          <w:hidden/>
        </w:trPr>
        <w:tc>
          <w:tcPr>
            <w:tcW w:w="0" w:type="auto"/>
            <w:gridSpan w:val="3"/>
            <w:shd w:val="clear" w:color="auto" w:fill="auto"/>
            <w:vAlign w:val="bottom"/>
          </w:tcPr>
          <w:p w14:paraId="392C2A3B" w14:textId="77777777" w:rsidR="00980E5F" w:rsidRDefault="00980E5F">
            <w:pPr>
              <w:rPr>
                <w:rFonts w:ascii="宋体"/>
                <w:vanish/>
              </w:rPr>
            </w:pPr>
          </w:p>
        </w:tc>
        <w:tc>
          <w:tcPr>
            <w:tcW w:w="0" w:type="auto"/>
            <w:shd w:val="clear" w:color="auto" w:fill="auto"/>
            <w:vAlign w:val="bottom"/>
          </w:tcPr>
          <w:p w14:paraId="392C2A3C" w14:textId="77777777" w:rsidR="00980E5F" w:rsidRDefault="00980E5F">
            <w:pPr>
              <w:rPr>
                <w:rFonts w:ascii="宋体"/>
              </w:rPr>
            </w:pPr>
          </w:p>
        </w:tc>
        <w:tc>
          <w:tcPr>
            <w:tcW w:w="0" w:type="auto"/>
            <w:shd w:val="clear" w:color="auto" w:fill="auto"/>
            <w:vAlign w:val="bottom"/>
          </w:tcPr>
          <w:p w14:paraId="392C2A3D" w14:textId="77777777" w:rsidR="00980E5F" w:rsidRDefault="00980E5F">
            <w:pPr>
              <w:rPr>
                <w:rFonts w:ascii="宋体"/>
              </w:rPr>
            </w:pPr>
          </w:p>
        </w:tc>
        <w:tc>
          <w:tcPr>
            <w:tcW w:w="0" w:type="auto"/>
            <w:shd w:val="clear" w:color="auto" w:fill="auto"/>
            <w:vAlign w:val="bottom"/>
          </w:tcPr>
          <w:p w14:paraId="392C2A3E" w14:textId="77777777" w:rsidR="00980E5F" w:rsidRDefault="00980E5F">
            <w:pPr>
              <w:rPr>
                <w:rFonts w:ascii="宋体"/>
              </w:rPr>
            </w:pPr>
          </w:p>
        </w:tc>
        <w:tc>
          <w:tcPr>
            <w:tcW w:w="0" w:type="auto"/>
            <w:shd w:val="clear" w:color="auto" w:fill="auto"/>
            <w:vAlign w:val="bottom"/>
          </w:tcPr>
          <w:p w14:paraId="392C2A3F" w14:textId="77777777" w:rsidR="00980E5F" w:rsidRDefault="00980E5F">
            <w:pPr>
              <w:rPr>
                <w:rFonts w:ascii="宋体"/>
              </w:rPr>
            </w:pPr>
          </w:p>
        </w:tc>
        <w:tc>
          <w:tcPr>
            <w:tcW w:w="0" w:type="auto"/>
            <w:shd w:val="clear" w:color="auto" w:fill="auto"/>
            <w:vAlign w:val="bottom"/>
          </w:tcPr>
          <w:p w14:paraId="392C2A40" w14:textId="77777777" w:rsidR="00980E5F" w:rsidRDefault="00980E5F">
            <w:pPr>
              <w:rPr>
                <w:rFonts w:ascii="宋体"/>
              </w:rPr>
            </w:pPr>
          </w:p>
        </w:tc>
        <w:tc>
          <w:tcPr>
            <w:tcW w:w="0" w:type="auto"/>
            <w:shd w:val="clear" w:color="auto" w:fill="auto"/>
            <w:vAlign w:val="bottom"/>
          </w:tcPr>
          <w:p w14:paraId="392C2A41" w14:textId="77777777" w:rsidR="00980E5F" w:rsidRDefault="00980E5F">
            <w:pPr>
              <w:rPr>
                <w:rFonts w:ascii="宋体"/>
              </w:rPr>
            </w:pPr>
          </w:p>
        </w:tc>
        <w:tc>
          <w:tcPr>
            <w:tcW w:w="0" w:type="auto"/>
            <w:shd w:val="clear" w:color="auto" w:fill="auto"/>
            <w:vAlign w:val="bottom"/>
          </w:tcPr>
          <w:p w14:paraId="392C2A42" w14:textId="77777777" w:rsidR="00980E5F" w:rsidRDefault="00980E5F">
            <w:pPr>
              <w:rPr>
                <w:rFonts w:ascii="宋体"/>
              </w:rPr>
            </w:pPr>
          </w:p>
        </w:tc>
        <w:tc>
          <w:tcPr>
            <w:tcW w:w="0" w:type="auto"/>
            <w:shd w:val="clear" w:color="auto" w:fill="auto"/>
            <w:vAlign w:val="bottom"/>
          </w:tcPr>
          <w:p w14:paraId="392C2A43" w14:textId="77777777" w:rsidR="00980E5F" w:rsidRDefault="00980E5F">
            <w:pPr>
              <w:rPr>
                <w:rFonts w:ascii="宋体"/>
              </w:rPr>
            </w:pPr>
          </w:p>
        </w:tc>
        <w:tc>
          <w:tcPr>
            <w:tcW w:w="0" w:type="auto"/>
            <w:shd w:val="clear" w:color="auto" w:fill="auto"/>
            <w:vAlign w:val="bottom"/>
          </w:tcPr>
          <w:p w14:paraId="392C2A44" w14:textId="77777777" w:rsidR="00980E5F" w:rsidRDefault="00980E5F">
            <w:pPr>
              <w:rPr>
                <w:rFonts w:ascii="宋体"/>
              </w:rPr>
            </w:pPr>
          </w:p>
        </w:tc>
        <w:tc>
          <w:tcPr>
            <w:tcW w:w="0" w:type="auto"/>
            <w:shd w:val="clear" w:color="auto" w:fill="auto"/>
            <w:vAlign w:val="bottom"/>
          </w:tcPr>
          <w:p w14:paraId="392C2A45" w14:textId="77777777" w:rsidR="00980E5F" w:rsidRDefault="00980E5F">
            <w:pPr>
              <w:rPr>
                <w:rFonts w:ascii="宋体"/>
              </w:rPr>
            </w:pPr>
          </w:p>
        </w:tc>
        <w:tc>
          <w:tcPr>
            <w:tcW w:w="0" w:type="auto"/>
            <w:shd w:val="clear" w:color="auto" w:fill="auto"/>
            <w:vAlign w:val="bottom"/>
          </w:tcPr>
          <w:p w14:paraId="392C2A46" w14:textId="77777777" w:rsidR="00980E5F" w:rsidRDefault="00980E5F">
            <w:pPr>
              <w:rPr>
                <w:rFonts w:ascii="宋体"/>
              </w:rPr>
            </w:pPr>
          </w:p>
        </w:tc>
        <w:tc>
          <w:tcPr>
            <w:tcW w:w="0" w:type="auto"/>
            <w:shd w:val="clear" w:color="auto" w:fill="auto"/>
            <w:vAlign w:val="bottom"/>
          </w:tcPr>
          <w:p w14:paraId="392C2A47" w14:textId="77777777" w:rsidR="00980E5F" w:rsidRDefault="00980E5F">
            <w:pPr>
              <w:rPr>
                <w:rFonts w:ascii="宋体"/>
              </w:rPr>
            </w:pPr>
          </w:p>
        </w:tc>
        <w:tc>
          <w:tcPr>
            <w:tcW w:w="0" w:type="auto"/>
            <w:shd w:val="clear" w:color="auto" w:fill="auto"/>
            <w:vAlign w:val="bottom"/>
          </w:tcPr>
          <w:p w14:paraId="392C2A48" w14:textId="77777777" w:rsidR="00980E5F" w:rsidRDefault="00980E5F">
            <w:pPr>
              <w:rPr>
                <w:rFonts w:ascii="宋体"/>
              </w:rPr>
            </w:pPr>
          </w:p>
        </w:tc>
        <w:tc>
          <w:tcPr>
            <w:tcW w:w="0" w:type="auto"/>
            <w:shd w:val="clear" w:color="auto" w:fill="auto"/>
            <w:vAlign w:val="bottom"/>
          </w:tcPr>
          <w:p w14:paraId="392C2A49" w14:textId="77777777" w:rsidR="00980E5F" w:rsidRDefault="00980E5F">
            <w:pPr>
              <w:rPr>
                <w:rFonts w:ascii="宋体"/>
              </w:rPr>
            </w:pPr>
          </w:p>
        </w:tc>
        <w:tc>
          <w:tcPr>
            <w:tcW w:w="0" w:type="auto"/>
            <w:shd w:val="clear" w:color="auto" w:fill="auto"/>
            <w:vAlign w:val="bottom"/>
          </w:tcPr>
          <w:p w14:paraId="392C2A4A" w14:textId="77777777" w:rsidR="00980E5F" w:rsidRDefault="00980E5F">
            <w:pPr>
              <w:rPr>
                <w:rFonts w:ascii="宋体"/>
              </w:rPr>
            </w:pPr>
          </w:p>
        </w:tc>
        <w:tc>
          <w:tcPr>
            <w:tcW w:w="0" w:type="auto"/>
            <w:shd w:val="clear" w:color="auto" w:fill="auto"/>
            <w:vAlign w:val="bottom"/>
          </w:tcPr>
          <w:p w14:paraId="392C2A4B" w14:textId="77777777" w:rsidR="00980E5F" w:rsidRDefault="00980E5F">
            <w:pPr>
              <w:rPr>
                <w:rFonts w:ascii="宋体"/>
              </w:rPr>
            </w:pPr>
          </w:p>
        </w:tc>
        <w:tc>
          <w:tcPr>
            <w:tcW w:w="0" w:type="auto"/>
            <w:shd w:val="clear" w:color="auto" w:fill="auto"/>
            <w:vAlign w:val="bottom"/>
          </w:tcPr>
          <w:p w14:paraId="392C2A4C" w14:textId="77777777" w:rsidR="00980E5F" w:rsidRDefault="00980E5F">
            <w:pPr>
              <w:rPr>
                <w:rFonts w:ascii="宋体"/>
              </w:rPr>
            </w:pPr>
          </w:p>
        </w:tc>
        <w:tc>
          <w:tcPr>
            <w:tcW w:w="0" w:type="auto"/>
            <w:shd w:val="clear" w:color="auto" w:fill="auto"/>
            <w:vAlign w:val="bottom"/>
          </w:tcPr>
          <w:p w14:paraId="392C2A4D" w14:textId="77777777" w:rsidR="00980E5F" w:rsidRDefault="00980E5F">
            <w:pPr>
              <w:rPr>
                <w:rFonts w:ascii="宋体"/>
              </w:rPr>
            </w:pPr>
          </w:p>
        </w:tc>
        <w:tc>
          <w:tcPr>
            <w:tcW w:w="0" w:type="auto"/>
            <w:shd w:val="clear" w:color="auto" w:fill="auto"/>
            <w:vAlign w:val="bottom"/>
          </w:tcPr>
          <w:p w14:paraId="392C2A4E" w14:textId="77777777" w:rsidR="00980E5F" w:rsidRDefault="00980E5F">
            <w:pPr>
              <w:rPr>
                <w:rFonts w:ascii="宋体"/>
              </w:rPr>
            </w:pPr>
          </w:p>
        </w:tc>
        <w:tc>
          <w:tcPr>
            <w:tcW w:w="0" w:type="auto"/>
            <w:shd w:val="clear" w:color="auto" w:fill="auto"/>
            <w:vAlign w:val="bottom"/>
          </w:tcPr>
          <w:p w14:paraId="392C2A4F" w14:textId="77777777" w:rsidR="00980E5F" w:rsidRDefault="00980E5F">
            <w:pPr>
              <w:rPr>
                <w:rFonts w:ascii="宋体"/>
              </w:rPr>
            </w:pPr>
          </w:p>
        </w:tc>
        <w:tc>
          <w:tcPr>
            <w:tcW w:w="0" w:type="auto"/>
            <w:shd w:val="clear" w:color="auto" w:fill="auto"/>
            <w:vAlign w:val="bottom"/>
          </w:tcPr>
          <w:p w14:paraId="392C2A50" w14:textId="77777777" w:rsidR="00980E5F" w:rsidRDefault="00980E5F">
            <w:pPr>
              <w:rPr>
                <w:rFonts w:ascii="宋体"/>
              </w:rPr>
            </w:pPr>
          </w:p>
        </w:tc>
        <w:tc>
          <w:tcPr>
            <w:tcW w:w="0" w:type="auto"/>
            <w:shd w:val="clear" w:color="auto" w:fill="auto"/>
            <w:vAlign w:val="bottom"/>
          </w:tcPr>
          <w:p w14:paraId="392C2A51" w14:textId="77777777" w:rsidR="00980E5F" w:rsidRDefault="00980E5F">
            <w:pPr>
              <w:rPr>
                <w:rFonts w:ascii="宋体"/>
              </w:rPr>
            </w:pPr>
          </w:p>
        </w:tc>
        <w:tc>
          <w:tcPr>
            <w:tcW w:w="0" w:type="auto"/>
            <w:shd w:val="clear" w:color="auto" w:fill="auto"/>
            <w:vAlign w:val="bottom"/>
          </w:tcPr>
          <w:p w14:paraId="392C2A52" w14:textId="77777777" w:rsidR="00980E5F" w:rsidRDefault="00980E5F">
            <w:pPr>
              <w:rPr>
                <w:rFonts w:ascii="宋体"/>
              </w:rPr>
            </w:pPr>
          </w:p>
        </w:tc>
        <w:tc>
          <w:tcPr>
            <w:tcW w:w="0" w:type="auto"/>
            <w:shd w:val="clear" w:color="auto" w:fill="auto"/>
            <w:vAlign w:val="bottom"/>
          </w:tcPr>
          <w:p w14:paraId="392C2A53" w14:textId="77777777" w:rsidR="00980E5F" w:rsidRDefault="00980E5F">
            <w:pPr>
              <w:rPr>
                <w:rFonts w:ascii="宋体"/>
              </w:rPr>
            </w:pPr>
          </w:p>
        </w:tc>
        <w:tc>
          <w:tcPr>
            <w:tcW w:w="0" w:type="auto"/>
            <w:shd w:val="clear" w:color="auto" w:fill="auto"/>
            <w:vAlign w:val="bottom"/>
          </w:tcPr>
          <w:p w14:paraId="392C2A54" w14:textId="77777777" w:rsidR="00980E5F" w:rsidRDefault="00980E5F">
            <w:pPr>
              <w:rPr>
                <w:rFonts w:ascii="宋体"/>
              </w:rPr>
            </w:pPr>
          </w:p>
        </w:tc>
        <w:tc>
          <w:tcPr>
            <w:tcW w:w="0" w:type="auto"/>
            <w:shd w:val="clear" w:color="auto" w:fill="auto"/>
            <w:vAlign w:val="bottom"/>
          </w:tcPr>
          <w:p w14:paraId="392C2A55" w14:textId="77777777" w:rsidR="00980E5F" w:rsidRDefault="00980E5F">
            <w:pPr>
              <w:rPr>
                <w:rFonts w:ascii="宋体"/>
              </w:rPr>
            </w:pPr>
          </w:p>
        </w:tc>
        <w:tc>
          <w:tcPr>
            <w:tcW w:w="0" w:type="auto"/>
            <w:shd w:val="clear" w:color="auto" w:fill="auto"/>
            <w:vAlign w:val="bottom"/>
          </w:tcPr>
          <w:p w14:paraId="392C2A56" w14:textId="77777777" w:rsidR="00980E5F" w:rsidRDefault="00980E5F">
            <w:pPr>
              <w:rPr>
                <w:rFonts w:ascii="宋体"/>
              </w:rPr>
            </w:pPr>
          </w:p>
        </w:tc>
        <w:tc>
          <w:tcPr>
            <w:tcW w:w="0" w:type="auto"/>
            <w:shd w:val="clear" w:color="auto" w:fill="auto"/>
            <w:vAlign w:val="bottom"/>
          </w:tcPr>
          <w:p w14:paraId="392C2A57" w14:textId="77777777" w:rsidR="00980E5F" w:rsidRDefault="00980E5F">
            <w:pPr>
              <w:rPr>
                <w:rFonts w:ascii="宋体"/>
              </w:rPr>
            </w:pPr>
          </w:p>
        </w:tc>
        <w:tc>
          <w:tcPr>
            <w:tcW w:w="0" w:type="auto"/>
            <w:shd w:val="clear" w:color="auto" w:fill="auto"/>
            <w:vAlign w:val="bottom"/>
          </w:tcPr>
          <w:p w14:paraId="392C2A58" w14:textId="77777777" w:rsidR="00980E5F" w:rsidRDefault="00980E5F">
            <w:pPr>
              <w:rPr>
                <w:rFonts w:ascii="宋体"/>
              </w:rPr>
            </w:pPr>
          </w:p>
        </w:tc>
        <w:tc>
          <w:tcPr>
            <w:tcW w:w="0" w:type="auto"/>
            <w:shd w:val="clear" w:color="auto" w:fill="auto"/>
            <w:vAlign w:val="bottom"/>
          </w:tcPr>
          <w:p w14:paraId="392C2A59" w14:textId="77777777" w:rsidR="00980E5F" w:rsidRDefault="00980E5F">
            <w:pPr>
              <w:rPr>
                <w:rFonts w:ascii="宋体"/>
              </w:rPr>
            </w:pPr>
          </w:p>
        </w:tc>
        <w:tc>
          <w:tcPr>
            <w:tcW w:w="0" w:type="auto"/>
            <w:shd w:val="clear" w:color="auto" w:fill="auto"/>
            <w:vAlign w:val="bottom"/>
          </w:tcPr>
          <w:p w14:paraId="392C2A5A" w14:textId="77777777" w:rsidR="00980E5F" w:rsidRDefault="00980E5F">
            <w:pPr>
              <w:rPr>
                <w:rFonts w:ascii="宋体"/>
              </w:rPr>
            </w:pPr>
          </w:p>
        </w:tc>
        <w:tc>
          <w:tcPr>
            <w:tcW w:w="0" w:type="auto"/>
            <w:shd w:val="clear" w:color="auto" w:fill="auto"/>
            <w:vAlign w:val="bottom"/>
          </w:tcPr>
          <w:p w14:paraId="392C2A5B" w14:textId="77777777" w:rsidR="00980E5F" w:rsidRDefault="00980E5F">
            <w:pPr>
              <w:rPr>
                <w:rFonts w:ascii="宋体"/>
              </w:rPr>
            </w:pPr>
          </w:p>
        </w:tc>
        <w:tc>
          <w:tcPr>
            <w:tcW w:w="0" w:type="auto"/>
            <w:shd w:val="clear" w:color="auto" w:fill="auto"/>
            <w:vAlign w:val="bottom"/>
          </w:tcPr>
          <w:p w14:paraId="392C2A5C" w14:textId="77777777" w:rsidR="00980E5F" w:rsidRDefault="00980E5F">
            <w:pPr>
              <w:rPr>
                <w:rFonts w:ascii="宋体"/>
              </w:rPr>
            </w:pPr>
          </w:p>
        </w:tc>
      </w:tr>
      <w:tr w:rsidR="00980E5F" w14:paraId="392C2A60" w14:textId="77777777">
        <w:tc>
          <w:tcPr>
            <w:tcW w:w="0" w:type="auto"/>
            <w:gridSpan w:val="3"/>
            <w:shd w:val="clear" w:color="auto" w:fill="auto"/>
            <w:tcMar>
              <w:top w:w="0" w:type="dxa"/>
              <w:left w:w="20" w:type="dxa"/>
              <w:bottom w:w="0" w:type="dxa"/>
              <w:right w:w="20" w:type="dxa"/>
            </w:tcMar>
            <w:vAlign w:val="bottom"/>
          </w:tcPr>
          <w:p w14:paraId="392C2A5E"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2A5F" w14:textId="77777777" w:rsidR="00980E5F" w:rsidRDefault="00483613">
            <w:pPr>
              <w:jc w:val="center"/>
              <w:textAlignment w:val="bottom"/>
            </w:pPr>
            <w:r>
              <w:rPr>
                <w:rFonts w:ascii="Arial" w:eastAsia="宋体" w:hAnsi="Arial" w:cs="Arial"/>
                <w:b/>
                <w:bCs/>
                <w:color w:val="000000"/>
                <w:sz w:val="13"/>
                <w:szCs w:val="13"/>
              </w:rPr>
              <w:t>Three Months Ended June 30,</w:t>
            </w:r>
          </w:p>
        </w:tc>
      </w:tr>
      <w:tr w:rsidR="00980E5F" w14:paraId="392C2A65" w14:textId="77777777">
        <w:tc>
          <w:tcPr>
            <w:tcW w:w="0" w:type="auto"/>
            <w:gridSpan w:val="3"/>
            <w:shd w:val="clear" w:color="auto" w:fill="auto"/>
            <w:tcMar>
              <w:top w:w="0" w:type="dxa"/>
              <w:left w:w="20" w:type="dxa"/>
              <w:bottom w:w="0" w:type="dxa"/>
              <w:right w:w="20" w:type="dxa"/>
            </w:tcMar>
            <w:vAlign w:val="bottom"/>
          </w:tcPr>
          <w:p w14:paraId="392C2A61"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2A62"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63"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2A64" w14:textId="77777777" w:rsidR="00980E5F" w:rsidRDefault="00483613">
            <w:pPr>
              <w:jc w:val="center"/>
              <w:textAlignment w:val="bottom"/>
            </w:pPr>
            <w:r>
              <w:rPr>
                <w:rFonts w:ascii="Arial" w:eastAsia="宋体" w:hAnsi="Arial" w:cs="Arial"/>
                <w:b/>
                <w:bCs/>
                <w:color w:val="000000"/>
                <w:sz w:val="13"/>
                <w:szCs w:val="13"/>
              </w:rPr>
              <w:t>2021</w:t>
            </w:r>
          </w:p>
        </w:tc>
      </w:tr>
      <w:tr w:rsidR="00980E5F" w14:paraId="392C2A72" w14:textId="77777777">
        <w:tc>
          <w:tcPr>
            <w:tcW w:w="0" w:type="auto"/>
            <w:gridSpan w:val="3"/>
            <w:shd w:val="clear" w:color="auto" w:fill="auto"/>
            <w:tcMar>
              <w:top w:w="40" w:type="dxa"/>
              <w:left w:w="20" w:type="dxa"/>
              <w:bottom w:w="40" w:type="dxa"/>
              <w:right w:w="20" w:type="dxa"/>
            </w:tcMar>
            <w:vAlign w:val="bottom"/>
          </w:tcPr>
          <w:p w14:paraId="392C2A66" w14:textId="77777777" w:rsidR="00980E5F" w:rsidRDefault="00483613">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67" w14:textId="77777777" w:rsidR="00980E5F" w:rsidRDefault="00483613">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6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69" w14:textId="77777777" w:rsidR="00980E5F" w:rsidRDefault="00483613">
            <w:pPr>
              <w:jc w:val="center"/>
              <w:textAlignment w:val="bottom"/>
            </w:pPr>
            <w:r>
              <w:rPr>
                <w:rFonts w:ascii="Arial" w:eastAsia="宋体" w:hAnsi="Arial" w:cs="Arial"/>
                <w:b/>
                <w:bCs/>
                <w:color w:val="000000"/>
                <w:sz w:val="13"/>
                <w:szCs w:val="13"/>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6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6B" w14:textId="77777777" w:rsidR="00980E5F" w:rsidRDefault="00483613">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392C2A6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6D" w14:textId="77777777" w:rsidR="00980E5F" w:rsidRDefault="00483613">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6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6F" w14:textId="77777777" w:rsidR="00980E5F" w:rsidRDefault="00483613">
            <w:pPr>
              <w:jc w:val="center"/>
              <w:textAlignment w:val="bottom"/>
            </w:pPr>
            <w:r>
              <w:rPr>
                <w:rFonts w:ascii="Arial" w:eastAsia="宋体" w:hAnsi="Arial" w:cs="Arial"/>
                <w:b/>
                <w:bCs/>
                <w:color w:val="000000"/>
                <w:sz w:val="13"/>
                <w:szCs w:val="13"/>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A71" w14:textId="77777777" w:rsidR="00980E5F" w:rsidRDefault="00483613">
            <w:pPr>
              <w:jc w:val="center"/>
              <w:textAlignment w:val="bottom"/>
            </w:pPr>
            <w:r>
              <w:rPr>
                <w:rFonts w:ascii="Arial" w:eastAsia="宋体" w:hAnsi="Arial" w:cs="Arial"/>
                <w:b/>
                <w:bCs/>
                <w:color w:val="000000"/>
                <w:sz w:val="13"/>
                <w:szCs w:val="13"/>
              </w:rPr>
              <w:t>Total</w:t>
            </w:r>
          </w:p>
        </w:tc>
      </w:tr>
      <w:tr w:rsidR="00980E5F" w14:paraId="392C2A7F" w14:textId="77777777">
        <w:tc>
          <w:tcPr>
            <w:tcW w:w="0" w:type="auto"/>
            <w:gridSpan w:val="3"/>
            <w:shd w:val="clear" w:color="auto" w:fill="auto"/>
            <w:tcMar>
              <w:top w:w="40" w:type="dxa"/>
              <w:left w:w="20" w:type="dxa"/>
              <w:bottom w:w="40" w:type="dxa"/>
              <w:right w:w="20" w:type="dxa"/>
            </w:tcMar>
            <w:vAlign w:val="bottom"/>
          </w:tcPr>
          <w:p w14:paraId="392C2A73" w14:textId="77777777" w:rsidR="00980E5F" w:rsidRDefault="00483613">
            <w:pPr>
              <w:textAlignment w:val="bottom"/>
            </w:pPr>
            <w:r>
              <w:rPr>
                <w:rFonts w:ascii="Arial" w:eastAsia="宋体" w:hAnsi="Arial" w:cs="Arial"/>
                <w:b/>
                <w:bCs/>
                <w:color w:val="000000"/>
                <w:sz w:val="13"/>
                <w:szCs w:val="13"/>
              </w:rPr>
              <w:t>Pref</w:t>
            </w:r>
            <w:r>
              <w:rPr>
                <w:rFonts w:ascii="Arial" w:eastAsia="宋体" w:hAnsi="Arial" w:cs="Arial"/>
                <w:b/>
                <w:bCs/>
                <w:color w:val="000000"/>
                <w:sz w:val="13"/>
                <w:szCs w:val="13"/>
              </w:rPr>
              <w:t>erred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7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7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7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7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7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A7E" w14:textId="77777777" w:rsidR="00980E5F" w:rsidRDefault="00980E5F">
            <w:pPr>
              <w:rPr>
                <w:rFonts w:ascii="宋体"/>
              </w:rPr>
            </w:pPr>
          </w:p>
        </w:tc>
      </w:tr>
      <w:tr w:rsidR="00980E5F" w14:paraId="392C2A8C" w14:textId="77777777">
        <w:trPr>
          <w:hidden/>
        </w:trPr>
        <w:tc>
          <w:tcPr>
            <w:tcW w:w="0" w:type="auto"/>
            <w:gridSpan w:val="3"/>
            <w:shd w:val="clear" w:color="auto" w:fill="auto"/>
            <w:vAlign w:val="bottom"/>
          </w:tcPr>
          <w:p w14:paraId="392C2A80" w14:textId="77777777" w:rsidR="00980E5F" w:rsidRDefault="00980E5F">
            <w:pPr>
              <w:rPr>
                <w:rFonts w:ascii="宋体"/>
                <w:vanish/>
              </w:rPr>
            </w:pPr>
          </w:p>
        </w:tc>
        <w:tc>
          <w:tcPr>
            <w:tcW w:w="0" w:type="auto"/>
            <w:gridSpan w:val="3"/>
            <w:shd w:val="clear" w:color="auto" w:fill="auto"/>
            <w:vAlign w:val="bottom"/>
          </w:tcPr>
          <w:p w14:paraId="392C2A81" w14:textId="77777777" w:rsidR="00980E5F" w:rsidRDefault="00980E5F">
            <w:pPr>
              <w:rPr>
                <w:rFonts w:ascii="宋体"/>
                <w:vanish/>
              </w:rPr>
            </w:pPr>
          </w:p>
        </w:tc>
        <w:tc>
          <w:tcPr>
            <w:tcW w:w="0" w:type="auto"/>
            <w:gridSpan w:val="3"/>
            <w:shd w:val="clear" w:color="auto" w:fill="auto"/>
            <w:vAlign w:val="bottom"/>
          </w:tcPr>
          <w:p w14:paraId="392C2A82" w14:textId="77777777" w:rsidR="00980E5F" w:rsidRDefault="00980E5F">
            <w:pPr>
              <w:rPr>
                <w:rFonts w:ascii="宋体"/>
                <w:vanish/>
              </w:rPr>
            </w:pPr>
          </w:p>
        </w:tc>
        <w:tc>
          <w:tcPr>
            <w:tcW w:w="0" w:type="auto"/>
            <w:gridSpan w:val="3"/>
            <w:shd w:val="clear" w:color="auto" w:fill="auto"/>
            <w:vAlign w:val="bottom"/>
          </w:tcPr>
          <w:p w14:paraId="392C2A83" w14:textId="77777777" w:rsidR="00980E5F" w:rsidRDefault="00980E5F">
            <w:pPr>
              <w:rPr>
                <w:rFonts w:ascii="宋体"/>
                <w:vanish/>
              </w:rPr>
            </w:pPr>
          </w:p>
        </w:tc>
        <w:tc>
          <w:tcPr>
            <w:tcW w:w="0" w:type="auto"/>
            <w:gridSpan w:val="3"/>
            <w:shd w:val="clear" w:color="auto" w:fill="auto"/>
            <w:vAlign w:val="bottom"/>
          </w:tcPr>
          <w:p w14:paraId="392C2A84" w14:textId="77777777" w:rsidR="00980E5F" w:rsidRDefault="00980E5F">
            <w:pPr>
              <w:rPr>
                <w:rFonts w:ascii="宋体"/>
                <w:vanish/>
              </w:rPr>
            </w:pPr>
          </w:p>
        </w:tc>
        <w:tc>
          <w:tcPr>
            <w:tcW w:w="0" w:type="auto"/>
            <w:gridSpan w:val="3"/>
            <w:shd w:val="clear" w:color="auto" w:fill="auto"/>
            <w:vAlign w:val="bottom"/>
          </w:tcPr>
          <w:p w14:paraId="392C2A85" w14:textId="77777777" w:rsidR="00980E5F" w:rsidRDefault="00980E5F">
            <w:pPr>
              <w:rPr>
                <w:rFonts w:ascii="宋体"/>
                <w:vanish/>
              </w:rPr>
            </w:pPr>
          </w:p>
        </w:tc>
        <w:tc>
          <w:tcPr>
            <w:tcW w:w="0" w:type="auto"/>
            <w:gridSpan w:val="3"/>
            <w:shd w:val="clear" w:color="auto" w:fill="auto"/>
            <w:vAlign w:val="bottom"/>
          </w:tcPr>
          <w:p w14:paraId="392C2A86" w14:textId="77777777" w:rsidR="00980E5F" w:rsidRDefault="00980E5F">
            <w:pPr>
              <w:rPr>
                <w:rFonts w:ascii="宋体"/>
                <w:vanish/>
              </w:rPr>
            </w:pPr>
          </w:p>
        </w:tc>
        <w:tc>
          <w:tcPr>
            <w:tcW w:w="0" w:type="auto"/>
            <w:gridSpan w:val="3"/>
            <w:shd w:val="clear" w:color="auto" w:fill="auto"/>
            <w:vAlign w:val="bottom"/>
          </w:tcPr>
          <w:p w14:paraId="392C2A87" w14:textId="77777777" w:rsidR="00980E5F" w:rsidRDefault="00980E5F">
            <w:pPr>
              <w:rPr>
                <w:rFonts w:ascii="宋体"/>
                <w:vanish/>
              </w:rPr>
            </w:pPr>
          </w:p>
        </w:tc>
        <w:tc>
          <w:tcPr>
            <w:tcW w:w="0" w:type="auto"/>
            <w:gridSpan w:val="3"/>
            <w:shd w:val="clear" w:color="auto" w:fill="auto"/>
            <w:vAlign w:val="bottom"/>
          </w:tcPr>
          <w:p w14:paraId="392C2A88" w14:textId="77777777" w:rsidR="00980E5F" w:rsidRDefault="00980E5F">
            <w:pPr>
              <w:rPr>
                <w:rFonts w:ascii="宋体"/>
                <w:vanish/>
              </w:rPr>
            </w:pPr>
          </w:p>
        </w:tc>
        <w:tc>
          <w:tcPr>
            <w:tcW w:w="0" w:type="auto"/>
            <w:gridSpan w:val="3"/>
            <w:shd w:val="clear" w:color="auto" w:fill="auto"/>
            <w:vAlign w:val="bottom"/>
          </w:tcPr>
          <w:p w14:paraId="392C2A89" w14:textId="77777777" w:rsidR="00980E5F" w:rsidRDefault="00980E5F">
            <w:pPr>
              <w:rPr>
                <w:rFonts w:ascii="宋体"/>
                <w:vanish/>
              </w:rPr>
            </w:pPr>
          </w:p>
        </w:tc>
        <w:tc>
          <w:tcPr>
            <w:tcW w:w="0" w:type="auto"/>
            <w:gridSpan w:val="3"/>
            <w:shd w:val="clear" w:color="auto" w:fill="auto"/>
            <w:vAlign w:val="bottom"/>
          </w:tcPr>
          <w:p w14:paraId="392C2A8A" w14:textId="77777777" w:rsidR="00980E5F" w:rsidRDefault="00980E5F">
            <w:pPr>
              <w:rPr>
                <w:rFonts w:ascii="宋体"/>
                <w:vanish/>
              </w:rPr>
            </w:pPr>
          </w:p>
        </w:tc>
        <w:tc>
          <w:tcPr>
            <w:tcW w:w="0" w:type="auto"/>
            <w:gridSpan w:val="3"/>
            <w:shd w:val="clear" w:color="auto" w:fill="auto"/>
            <w:vAlign w:val="bottom"/>
          </w:tcPr>
          <w:p w14:paraId="392C2A8B" w14:textId="77777777" w:rsidR="00980E5F" w:rsidRDefault="00980E5F">
            <w:pPr>
              <w:rPr>
                <w:rFonts w:ascii="宋体"/>
                <w:vanish/>
              </w:rPr>
            </w:pPr>
          </w:p>
        </w:tc>
      </w:tr>
      <w:tr w:rsidR="00980E5F" w14:paraId="392C2AA5" w14:textId="77777777">
        <w:tc>
          <w:tcPr>
            <w:tcW w:w="0" w:type="auto"/>
            <w:gridSpan w:val="3"/>
            <w:shd w:val="clear" w:color="auto" w:fill="CCEEFF"/>
            <w:tcMar>
              <w:top w:w="40" w:type="dxa"/>
              <w:left w:w="20" w:type="dxa"/>
              <w:bottom w:w="40" w:type="dxa"/>
              <w:right w:w="20" w:type="dxa"/>
            </w:tcMar>
            <w:vAlign w:val="bottom"/>
          </w:tcPr>
          <w:p w14:paraId="392C2A8D" w14:textId="77777777" w:rsidR="00980E5F" w:rsidRDefault="00483613">
            <w:pPr>
              <w:textAlignment w:val="bottom"/>
            </w:pPr>
            <w:r>
              <w:rPr>
                <w:rFonts w:ascii="Arial" w:eastAsia="宋体" w:hAnsi="Arial" w:cs="Arial"/>
                <w:color w:val="000000"/>
                <w:sz w:val="13"/>
                <w:szCs w:val="13"/>
              </w:rPr>
              <w:t>Series D</w:t>
            </w:r>
          </w:p>
        </w:tc>
        <w:tc>
          <w:tcPr>
            <w:tcW w:w="0" w:type="auto"/>
            <w:shd w:val="clear" w:color="auto" w:fill="CCEEFF"/>
            <w:tcMar>
              <w:top w:w="40" w:type="dxa"/>
              <w:left w:w="20" w:type="dxa"/>
              <w:bottom w:w="40" w:type="dxa"/>
              <w:right w:w="0" w:type="dxa"/>
            </w:tcMar>
            <w:vAlign w:val="bottom"/>
          </w:tcPr>
          <w:p w14:paraId="392C2A8E"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2A8F" w14:textId="77777777" w:rsidR="00980E5F" w:rsidRDefault="00483613">
            <w:pPr>
              <w:jc w:val="right"/>
              <w:textAlignment w:val="bottom"/>
            </w:pPr>
            <w:r>
              <w:rPr>
                <w:rFonts w:ascii="Arial" w:eastAsia="宋体" w:hAnsi="Arial" w:cs="Arial"/>
                <w:b/>
                <w:bCs/>
                <w:color w:val="000000"/>
                <w:sz w:val="13"/>
                <w:szCs w:val="13"/>
              </w:rPr>
              <w:t>1,475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9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A92"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2A93" w14:textId="77777777" w:rsidR="00980E5F" w:rsidRDefault="00483613">
            <w:pPr>
              <w:jc w:val="right"/>
              <w:textAlignment w:val="bottom"/>
            </w:pPr>
            <w:r>
              <w:rPr>
                <w:rFonts w:ascii="Arial" w:eastAsia="宋体" w:hAnsi="Arial" w:cs="Arial"/>
                <w:b/>
                <w:bCs/>
                <w:color w:val="000000"/>
                <w:sz w:val="13"/>
                <w:szCs w:val="13"/>
              </w:rPr>
              <w:t>0.37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9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A96"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2A97" w14:textId="77777777" w:rsidR="00980E5F" w:rsidRDefault="00483613">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9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A9A"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2A9B" w14:textId="77777777" w:rsidR="00980E5F" w:rsidRDefault="00483613">
            <w:pPr>
              <w:jc w:val="right"/>
              <w:textAlignment w:val="bottom"/>
            </w:pPr>
            <w:r>
              <w:rPr>
                <w:rFonts w:ascii="Arial" w:eastAsia="宋体" w:hAnsi="Arial" w:cs="Arial"/>
                <w:color w:val="000000"/>
                <w:sz w:val="13"/>
                <w:szCs w:val="13"/>
              </w:rPr>
              <w:t>1,475 </w:t>
            </w:r>
          </w:p>
        </w:tc>
        <w:tc>
          <w:tcPr>
            <w:tcW w:w="0" w:type="auto"/>
            <w:shd w:val="clear" w:color="auto" w:fill="CCEEFF"/>
            <w:tcMar>
              <w:top w:w="40" w:type="dxa"/>
              <w:left w:w="0" w:type="dxa"/>
              <w:bottom w:w="40" w:type="dxa"/>
              <w:right w:w="20" w:type="dxa"/>
            </w:tcMar>
            <w:vAlign w:val="bottom"/>
          </w:tcPr>
          <w:p w14:paraId="392C2A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9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A9E"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2A9F" w14:textId="77777777" w:rsidR="00980E5F" w:rsidRDefault="00483613">
            <w:pPr>
              <w:jc w:val="right"/>
              <w:textAlignment w:val="bottom"/>
            </w:pPr>
            <w:r>
              <w:rPr>
                <w:rFonts w:ascii="Arial" w:eastAsia="宋体" w:hAnsi="Arial" w:cs="Arial"/>
                <w:color w:val="000000"/>
                <w:sz w:val="13"/>
                <w:szCs w:val="13"/>
              </w:rPr>
              <w:t>0.37 </w:t>
            </w:r>
          </w:p>
        </w:tc>
        <w:tc>
          <w:tcPr>
            <w:tcW w:w="0" w:type="auto"/>
            <w:shd w:val="clear" w:color="auto" w:fill="CCEEFF"/>
            <w:tcMar>
              <w:top w:w="40" w:type="dxa"/>
              <w:left w:w="0" w:type="dxa"/>
              <w:bottom w:w="40" w:type="dxa"/>
              <w:right w:w="20" w:type="dxa"/>
            </w:tcMar>
            <w:vAlign w:val="bottom"/>
          </w:tcPr>
          <w:p w14:paraId="392C2A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A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AA2"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2AA3" w14:textId="77777777" w:rsidR="00980E5F" w:rsidRDefault="00483613">
            <w:pPr>
              <w:jc w:val="right"/>
              <w:textAlignment w:val="bottom"/>
            </w:pPr>
            <w:r>
              <w:rPr>
                <w:rFonts w:ascii="Arial" w:eastAsia="宋体" w:hAnsi="Arial" w:cs="Arial"/>
                <w:color w:val="000000"/>
                <w:sz w:val="13"/>
                <w:szCs w:val="13"/>
              </w:rPr>
              <w:t>11 </w:t>
            </w:r>
          </w:p>
        </w:tc>
        <w:tc>
          <w:tcPr>
            <w:tcW w:w="0" w:type="auto"/>
            <w:shd w:val="clear" w:color="auto" w:fill="CCEEFF"/>
            <w:tcMar>
              <w:top w:w="40" w:type="dxa"/>
              <w:left w:w="0" w:type="dxa"/>
              <w:bottom w:w="40" w:type="dxa"/>
              <w:right w:w="20" w:type="dxa"/>
            </w:tcMar>
            <w:vAlign w:val="bottom"/>
          </w:tcPr>
          <w:p w14:paraId="392C2AA4" w14:textId="77777777" w:rsidR="00980E5F" w:rsidRDefault="00980E5F">
            <w:pPr>
              <w:jc w:val="right"/>
              <w:rPr>
                <w:rFonts w:ascii="宋体"/>
              </w:rPr>
            </w:pPr>
          </w:p>
        </w:tc>
      </w:tr>
      <w:tr w:rsidR="00980E5F" w14:paraId="392C2AB2" w14:textId="77777777">
        <w:trPr>
          <w:hidden/>
        </w:trPr>
        <w:tc>
          <w:tcPr>
            <w:tcW w:w="0" w:type="auto"/>
            <w:gridSpan w:val="3"/>
            <w:shd w:val="clear" w:color="auto" w:fill="auto"/>
            <w:vAlign w:val="bottom"/>
          </w:tcPr>
          <w:p w14:paraId="392C2AA6" w14:textId="77777777" w:rsidR="00980E5F" w:rsidRDefault="00980E5F">
            <w:pPr>
              <w:rPr>
                <w:rFonts w:ascii="宋体"/>
                <w:vanish/>
              </w:rPr>
            </w:pPr>
          </w:p>
        </w:tc>
        <w:tc>
          <w:tcPr>
            <w:tcW w:w="0" w:type="auto"/>
            <w:gridSpan w:val="3"/>
            <w:shd w:val="clear" w:color="auto" w:fill="auto"/>
            <w:vAlign w:val="bottom"/>
          </w:tcPr>
          <w:p w14:paraId="392C2AA7" w14:textId="77777777" w:rsidR="00980E5F" w:rsidRDefault="00980E5F">
            <w:pPr>
              <w:rPr>
                <w:rFonts w:ascii="宋体"/>
                <w:vanish/>
              </w:rPr>
            </w:pPr>
          </w:p>
        </w:tc>
        <w:tc>
          <w:tcPr>
            <w:tcW w:w="0" w:type="auto"/>
            <w:gridSpan w:val="3"/>
            <w:shd w:val="clear" w:color="auto" w:fill="auto"/>
            <w:vAlign w:val="bottom"/>
          </w:tcPr>
          <w:p w14:paraId="392C2AA8" w14:textId="77777777" w:rsidR="00980E5F" w:rsidRDefault="00980E5F">
            <w:pPr>
              <w:rPr>
                <w:rFonts w:ascii="宋体"/>
                <w:vanish/>
              </w:rPr>
            </w:pPr>
          </w:p>
        </w:tc>
        <w:tc>
          <w:tcPr>
            <w:tcW w:w="0" w:type="auto"/>
            <w:gridSpan w:val="3"/>
            <w:shd w:val="clear" w:color="auto" w:fill="auto"/>
            <w:vAlign w:val="bottom"/>
          </w:tcPr>
          <w:p w14:paraId="392C2AA9" w14:textId="77777777" w:rsidR="00980E5F" w:rsidRDefault="00980E5F">
            <w:pPr>
              <w:rPr>
                <w:rFonts w:ascii="宋体"/>
                <w:vanish/>
              </w:rPr>
            </w:pPr>
          </w:p>
        </w:tc>
        <w:tc>
          <w:tcPr>
            <w:tcW w:w="0" w:type="auto"/>
            <w:gridSpan w:val="3"/>
            <w:shd w:val="clear" w:color="auto" w:fill="auto"/>
            <w:vAlign w:val="bottom"/>
          </w:tcPr>
          <w:p w14:paraId="392C2AAA" w14:textId="77777777" w:rsidR="00980E5F" w:rsidRDefault="00980E5F">
            <w:pPr>
              <w:rPr>
                <w:rFonts w:ascii="宋体"/>
                <w:vanish/>
              </w:rPr>
            </w:pPr>
          </w:p>
        </w:tc>
        <w:tc>
          <w:tcPr>
            <w:tcW w:w="0" w:type="auto"/>
            <w:gridSpan w:val="3"/>
            <w:shd w:val="clear" w:color="auto" w:fill="auto"/>
            <w:vAlign w:val="bottom"/>
          </w:tcPr>
          <w:p w14:paraId="392C2AAB" w14:textId="77777777" w:rsidR="00980E5F" w:rsidRDefault="00980E5F">
            <w:pPr>
              <w:rPr>
                <w:rFonts w:ascii="宋体"/>
                <w:vanish/>
              </w:rPr>
            </w:pPr>
          </w:p>
        </w:tc>
        <w:tc>
          <w:tcPr>
            <w:tcW w:w="0" w:type="auto"/>
            <w:gridSpan w:val="3"/>
            <w:shd w:val="clear" w:color="auto" w:fill="auto"/>
            <w:vAlign w:val="bottom"/>
          </w:tcPr>
          <w:p w14:paraId="392C2AAC" w14:textId="77777777" w:rsidR="00980E5F" w:rsidRDefault="00980E5F">
            <w:pPr>
              <w:rPr>
                <w:rFonts w:ascii="宋体"/>
                <w:vanish/>
              </w:rPr>
            </w:pPr>
          </w:p>
        </w:tc>
        <w:tc>
          <w:tcPr>
            <w:tcW w:w="0" w:type="auto"/>
            <w:gridSpan w:val="3"/>
            <w:shd w:val="clear" w:color="auto" w:fill="auto"/>
            <w:vAlign w:val="bottom"/>
          </w:tcPr>
          <w:p w14:paraId="392C2AAD" w14:textId="77777777" w:rsidR="00980E5F" w:rsidRDefault="00980E5F">
            <w:pPr>
              <w:rPr>
                <w:rFonts w:ascii="宋体"/>
                <w:vanish/>
              </w:rPr>
            </w:pPr>
          </w:p>
        </w:tc>
        <w:tc>
          <w:tcPr>
            <w:tcW w:w="0" w:type="auto"/>
            <w:gridSpan w:val="3"/>
            <w:shd w:val="clear" w:color="auto" w:fill="auto"/>
            <w:vAlign w:val="bottom"/>
          </w:tcPr>
          <w:p w14:paraId="392C2AAE" w14:textId="77777777" w:rsidR="00980E5F" w:rsidRDefault="00980E5F">
            <w:pPr>
              <w:rPr>
                <w:rFonts w:ascii="宋体"/>
                <w:vanish/>
              </w:rPr>
            </w:pPr>
          </w:p>
        </w:tc>
        <w:tc>
          <w:tcPr>
            <w:tcW w:w="0" w:type="auto"/>
            <w:gridSpan w:val="3"/>
            <w:shd w:val="clear" w:color="auto" w:fill="auto"/>
            <w:vAlign w:val="bottom"/>
          </w:tcPr>
          <w:p w14:paraId="392C2AAF" w14:textId="77777777" w:rsidR="00980E5F" w:rsidRDefault="00980E5F">
            <w:pPr>
              <w:rPr>
                <w:rFonts w:ascii="宋体"/>
                <w:vanish/>
              </w:rPr>
            </w:pPr>
          </w:p>
        </w:tc>
        <w:tc>
          <w:tcPr>
            <w:tcW w:w="0" w:type="auto"/>
            <w:gridSpan w:val="3"/>
            <w:shd w:val="clear" w:color="auto" w:fill="auto"/>
            <w:vAlign w:val="bottom"/>
          </w:tcPr>
          <w:p w14:paraId="392C2AB0" w14:textId="77777777" w:rsidR="00980E5F" w:rsidRDefault="00980E5F">
            <w:pPr>
              <w:rPr>
                <w:rFonts w:ascii="宋体"/>
                <w:vanish/>
              </w:rPr>
            </w:pPr>
          </w:p>
        </w:tc>
        <w:tc>
          <w:tcPr>
            <w:tcW w:w="0" w:type="auto"/>
            <w:gridSpan w:val="3"/>
            <w:shd w:val="clear" w:color="auto" w:fill="auto"/>
            <w:vAlign w:val="bottom"/>
          </w:tcPr>
          <w:p w14:paraId="392C2AB1" w14:textId="77777777" w:rsidR="00980E5F" w:rsidRDefault="00980E5F">
            <w:pPr>
              <w:rPr>
                <w:rFonts w:ascii="宋体"/>
                <w:vanish/>
              </w:rPr>
            </w:pPr>
          </w:p>
        </w:tc>
      </w:tr>
      <w:tr w:rsidR="00980E5F" w14:paraId="392C2AC5" w14:textId="77777777">
        <w:tc>
          <w:tcPr>
            <w:tcW w:w="0" w:type="auto"/>
            <w:gridSpan w:val="3"/>
            <w:shd w:val="clear" w:color="auto" w:fill="FFFFFF"/>
            <w:tcMar>
              <w:top w:w="40" w:type="dxa"/>
              <w:left w:w="20" w:type="dxa"/>
              <w:bottom w:w="40" w:type="dxa"/>
              <w:right w:w="20" w:type="dxa"/>
            </w:tcMar>
            <w:vAlign w:val="bottom"/>
          </w:tcPr>
          <w:p w14:paraId="392C2AB3" w14:textId="77777777" w:rsidR="00980E5F" w:rsidRDefault="00483613">
            <w:pPr>
              <w:textAlignment w:val="bottom"/>
            </w:pPr>
            <w:r>
              <w:rPr>
                <w:rFonts w:ascii="Arial" w:eastAsia="宋体" w:hAnsi="Arial" w:cs="Arial"/>
                <w:color w:val="000000"/>
                <w:sz w:val="13"/>
                <w:szCs w:val="13"/>
              </w:rPr>
              <w:t>Series F</w:t>
            </w:r>
          </w:p>
        </w:tc>
        <w:tc>
          <w:tcPr>
            <w:tcW w:w="0" w:type="auto"/>
            <w:gridSpan w:val="2"/>
            <w:shd w:val="clear" w:color="auto" w:fill="FFFFFF"/>
            <w:tcMar>
              <w:top w:w="40" w:type="dxa"/>
              <w:left w:w="20" w:type="dxa"/>
              <w:bottom w:w="40" w:type="dxa"/>
              <w:right w:w="0" w:type="dxa"/>
            </w:tcMar>
            <w:vAlign w:val="bottom"/>
          </w:tcPr>
          <w:p w14:paraId="392C2AB4" w14:textId="77777777" w:rsidR="00980E5F" w:rsidRDefault="00483613">
            <w:pPr>
              <w:jc w:val="right"/>
              <w:textAlignment w:val="bottom"/>
            </w:pPr>
            <w:r>
              <w:rPr>
                <w:rFonts w:ascii="Arial" w:eastAsia="宋体" w:hAnsi="Arial" w:cs="Arial"/>
                <w:b/>
                <w:bCs/>
                <w:color w:val="000000"/>
                <w:sz w:val="13"/>
                <w:szCs w:val="13"/>
              </w:rPr>
              <w:t>1,130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B7" w14:textId="77777777" w:rsidR="00980E5F" w:rsidRDefault="00483613">
            <w:pPr>
              <w:jc w:val="right"/>
              <w:textAlignment w:val="bottom"/>
            </w:pPr>
            <w:r>
              <w:rPr>
                <w:rFonts w:ascii="Arial" w:eastAsia="宋体" w:hAnsi="Arial" w:cs="Arial"/>
                <w:b/>
                <w:bCs/>
                <w:color w:val="000000"/>
                <w:sz w:val="13"/>
                <w:szCs w:val="13"/>
              </w:rPr>
              <w:t>11.30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BA" w14:textId="77777777" w:rsidR="00980E5F" w:rsidRDefault="00483613">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BD" w14:textId="77777777" w:rsidR="00980E5F" w:rsidRDefault="00483613">
            <w:pPr>
              <w:jc w:val="right"/>
              <w:textAlignment w:val="bottom"/>
            </w:pPr>
            <w:r>
              <w:rPr>
                <w:rFonts w:ascii="Arial" w:eastAsia="宋体" w:hAnsi="Arial" w:cs="Arial"/>
                <w:color w:val="000000"/>
                <w:sz w:val="13"/>
                <w:szCs w:val="13"/>
              </w:rPr>
              <w:t>966 </w:t>
            </w:r>
          </w:p>
        </w:tc>
        <w:tc>
          <w:tcPr>
            <w:tcW w:w="0" w:type="auto"/>
            <w:shd w:val="clear" w:color="auto" w:fill="FFFFFF"/>
            <w:tcMar>
              <w:top w:w="40" w:type="dxa"/>
              <w:left w:w="0" w:type="dxa"/>
              <w:bottom w:w="40" w:type="dxa"/>
              <w:right w:w="20" w:type="dxa"/>
            </w:tcMar>
            <w:vAlign w:val="bottom"/>
          </w:tcPr>
          <w:p w14:paraId="392C2A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C0" w14:textId="77777777" w:rsidR="00980E5F" w:rsidRDefault="00483613">
            <w:pPr>
              <w:jc w:val="right"/>
              <w:textAlignment w:val="bottom"/>
            </w:pPr>
            <w:r>
              <w:rPr>
                <w:rFonts w:ascii="Arial" w:eastAsia="宋体" w:hAnsi="Arial" w:cs="Arial"/>
                <w:color w:val="000000"/>
                <w:sz w:val="13"/>
                <w:szCs w:val="13"/>
              </w:rPr>
              <w:t>9.66 </w:t>
            </w:r>
          </w:p>
        </w:tc>
        <w:tc>
          <w:tcPr>
            <w:tcW w:w="0" w:type="auto"/>
            <w:shd w:val="clear" w:color="auto" w:fill="FFFFFF"/>
            <w:tcMar>
              <w:top w:w="40" w:type="dxa"/>
              <w:left w:w="0" w:type="dxa"/>
              <w:bottom w:w="40" w:type="dxa"/>
              <w:right w:w="20" w:type="dxa"/>
            </w:tcMar>
            <w:vAlign w:val="bottom"/>
          </w:tcPr>
          <w:p w14:paraId="392C2A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C3" w14:textId="77777777" w:rsidR="00980E5F" w:rsidRDefault="00483613">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392C2AC4" w14:textId="77777777" w:rsidR="00980E5F" w:rsidRDefault="00980E5F">
            <w:pPr>
              <w:jc w:val="right"/>
              <w:rPr>
                <w:rFonts w:ascii="宋体"/>
              </w:rPr>
            </w:pPr>
          </w:p>
        </w:tc>
      </w:tr>
      <w:tr w:rsidR="00980E5F" w14:paraId="392C2AD8" w14:textId="77777777">
        <w:tc>
          <w:tcPr>
            <w:tcW w:w="0" w:type="auto"/>
            <w:gridSpan w:val="3"/>
            <w:shd w:val="clear" w:color="auto" w:fill="CCEEFF"/>
            <w:tcMar>
              <w:top w:w="40" w:type="dxa"/>
              <w:left w:w="20" w:type="dxa"/>
              <w:bottom w:w="40" w:type="dxa"/>
              <w:right w:w="20" w:type="dxa"/>
            </w:tcMar>
            <w:vAlign w:val="bottom"/>
          </w:tcPr>
          <w:p w14:paraId="392C2AC6" w14:textId="77777777" w:rsidR="00980E5F" w:rsidRDefault="00483613">
            <w:pPr>
              <w:textAlignment w:val="bottom"/>
            </w:pPr>
            <w:r>
              <w:rPr>
                <w:rFonts w:ascii="Arial" w:eastAsia="宋体" w:hAnsi="Arial" w:cs="Arial"/>
                <w:color w:val="000000"/>
                <w:sz w:val="13"/>
                <w:szCs w:val="13"/>
              </w:rPr>
              <w:t>Series G</w:t>
            </w:r>
          </w:p>
        </w:tc>
        <w:tc>
          <w:tcPr>
            <w:tcW w:w="0" w:type="auto"/>
            <w:gridSpan w:val="2"/>
            <w:shd w:val="clear" w:color="auto" w:fill="CCEEFF"/>
            <w:tcMar>
              <w:top w:w="40" w:type="dxa"/>
              <w:left w:w="20" w:type="dxa"/>
              <w:bottom w:w="40" w:type="dxa"/>
              <w:right w:w="0" w:type="dxa"/>
            </w:tcMar>
            <w:vAlign w:val="bottom"/>
          </w:tcPr>
          <w:p w14:paraId="392C2AC7" w14:textId="77777777" w:rsidR="00980E5F" w:rsidRDefault="00483613">
            <w:pPr>
              <w:jc w:val="right"/>
              <w:textAlignment w:val="bottom"/>
            </w:pPr>
            <w:r>
              <w:rPr>
                <w:rFonts w:ascii="Arial" w:eastAsia="宋体" w:hAnsi="Arial" w:cs="Arial"/>
                <w:b/>
                <w:bCs/>
                <w:color w:val="000000"/>
                <w:sz w:val="13"/>
                <w:szCs w:val="13"/>
              </w:rPr>
              <w:t>1,338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ACA" w14:textId="77777777" w:rsidR="00980E5F" w:rsidRDefault="00483613">
            <w:pPr>
              <w:jc w:val="right"/>
              <w:textAlignment w:val="bottom"/>
            </w:pPr>
            <w:r>
              <w:rPr>
                <w:rFonts w:ascii="Arial" w:eastAsia="宋体" w:hAnsi="Arial" w:cs="Arial"/>
                <w:b/>
                <w:bCs/>
                <w:color w:val="000000"/>
                <w:sz w:val="13"/>
                <w:szCs w:val="13"/>
              </w:rPr>
              <w:t>0.33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ACD" w14:textId="77777777" w:rsidR="00980E5F" w:rsidRDefault="00483613">
            <w:pPr>
              <w:jc w:val="right"/>
              <w:textAlignment w:val="bottom"/>
            </w:pPr>
            <w:r>
              <w:rPr>
                <w:rFonts w:ascii="Arial" w:eastAsia="宋体" w:hAnsi="Arial" w:cs="Arial"/>
                <w:b/>
                <w:bCs/>
                <w:color w:val="000000"/>
                <w:sz w:val="13"/>
                <w:szCs w:val="13"/>
              </w:rPr>
              <w:t>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2A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C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AD0" w14:textId="77777777" w:rsidR="00980E5F" w:rsidRDefault="00483613">
            <w:pPr>
              <w:jc w:val="right"/>
              <w:textAlignment w:val="bottom"/>
            </w:pPr>
            <w:r>
              <w:rPr>
                <w:rFonts w:ascii="Arial" w:eastAsia="宋体" w:hAnsi="Arial" w:cs="Arial"/>
                <w:color w:val="000000"/>
                <w:sz w:val="13"/>
                <w:szCs w:val="13"/>
              </w:rPr>
              <w:t>1,338 </w:t>
            </w:r>
          </w:p>
        </w:tc>
        <w:tc>
          <w:tcPr>
            <w:tcW w:w="0" w:type="auto"/>
            <w:shd w:val="clear" w:color="auto" w:fill="CCEEFF"/>
            <w:tcMar>
              <w:top w:w="40" w:type="dxa"/>
              <w:left w:w="0" w:type="dxa"/>
              <w:bottom w:w="40" w:type="dxa"/>
              <w:right w:w="20" w:type="dxa"/>
            </w:tcMar>
            <w:vAlign w:val="bottom"/>
          </w:tcPr>
          <w:p w14:paraId="392C2A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D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AD3" w14:textId="77777777" w:rsidR="00980E5F" w:rsidRDefault="00483613">
            <w:pPr>
              <w:jc w:val="right"/>
              <w:textAlignment w:val="bottom"/>
            </w:pPr>
            <w:r>
              <w:rPr>
                <w:rFonts w:ascii="Arial" w:eastAsia="宋体" w:hAnsi="Arial" w:cs="Arial"/>
                <w:color w:val="000000"/>
                <w:sz w:val="13"/>
                <w:szCs w:val="13"/>
              </w:rPr>
              <w:t>0.33 </w:t>
            </w:r>
          </w:p>
        </w:tc>
        <w:tc>
          <w:tcPr>
            <w:tcW w:w="0" w:type="auto"/>
            <w:shd w:val="clear" w:color="auto" w:fill="CCEEFF"/>
            <w:tcMar>
              <w:top w:w="40" w:type="dxa"/>
              <w:left w:w="0" w:type="dxa"/>
              <w:bottom w:w="40" w:type="dxa"/>
              <w:right w:w="20" w:type="dxa"/>
            </w:tcMar>
            <w:vAlign w:val="bottom"/>
          </w:tcPr>
          <w:p w14:paraId="392C2A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D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AD6" w14:textId="77777777" w:rsidR="00980E5F" w:rsidRDefault="00483613">
            <w:pPr>
              <w:jc w:val="right"/>
              <w:textAlignment w:val="bottom"/>
            </w:pPr>
            <w:r>
              <w:rPr>
                <w:rFonts w:ascii="Arial" w:eastAsia="宋体" w:hAnsi="Arial" w:cs="Arial"/>
                <w:color w:val="000000"/>
                <w:sz w:val="13"/>
                <w:szCs w:val="13"/>
              </w:rPr>
              <w:t>7 </w:t>
            </w:r>
          </w:p>
        </w:tc>
        <w:tc>
          <w:tcPr>
            <w:tcW w:w="0" w:type="auto"/>
            <w:shd w:val="clear" w:color="auto" w:fill="CCEEFF"/>
            <w:tcMar>
              <w:top w:w="40" w:type="dxa"/>
              <w:left w:w="0" w:type="dxa"/>
              <w:bottom w:w="40" w:type="dxa"/>
              <w:right w:w="20" w:type="dxa"/>
            </w:tcMar>
            <w:vAlign w:val="bottom"/>
          </w:tcPr>
          <w:p w14:paraId="392C2AD7" w14:textId="77777777" w:rsidR="00980E5F" w:rsidRDefault="00980E5F">
            <w:pPr>
              <w:jc w:val="right"/>
              <w:rPr>
                <w:rFonts w:ascii="宋体"/>
              </w:rPr>
            </w:pPr>
          </w:p>
        </w:tc>
      </w:tr>
      <w:tr w:rsidR="00980E5F" w14:paraId="392C2AEB" w14:textId="77777777">
        <w:tc>
          <w:tcPr>
            <w:tcW w:w="0" w:type="auto"/>
            <w:gridSpan w:val="3"/>
            <w:shd w:val="clear" w:color="auto" w:fill="FFFFFF"/>
            <w:tcMar>
              <w:top w:w="40" w:type="dxa"/>
              <w:left w:w="20" w:type="dxa"/>
              <w:bottom w:w="40" w:type="dxa"/>
              <w:right w:w="20" w:type="dxa"/>
            </w:tcMar>
            <w:vAlign w:val="bottom"/>
          </w:tcPr>
          <w:p w14:paraId="392C2AD9" w14:textId="77777777" w:rsidR="00980E5F" w:rsidRDefault="00483613">
            <w:pPr>
              <w:textAlignment w:val="bottom"/>
            </w:pPr>
            <w:r>
              <w:rPr>
                <w:rFonts w:ascii="Arial" w:eastAsia="宋体" w:hAnsi="Arial" w:cs="Arial"/>
                <w:color w:val="000000"/>
                <w:sz w:val="13"/>
                <w:szCs w:val="13"/>
              </w:rPr>
              <w:t>Series H</w:t>
            </w:r>
          </w:p>
        </w:tc>
        <w:tc>
          <w:tcPr>
            <w:tcW w:w="0" w:type="auto"/>
            <w:gridSpan w:val="2"/>
            <w:shd w:val="clear" w:color="auto" w:fill="FFFFFF"/>
            <w:tcMar>
              <w:top w:w="40" w:type="dxa"/>
              <w:left w:w="20" w:type="dxa"/>
              <w:bottom w:w="40" w:type="dxa"/>
              <w:right w:w="0" w:type="dxa"/>
            </w:tcMar>
            <w:vAlign w:val="bottom"/>
          </w:tcPr>
          <w:p w14:paraId="392C2ADA" w14:textId="77777777" w:rsidR="00980E5F" w:rsidRDefault="00483613">
            <w:pPr>
              <w:jc w:val="right"/>
              <w:textAlignment w:val="bottom"/>
            </w:pPr>
            <w:r>
              <w:rPr>
                <w:rFonts w:ascii="Arial" w:eastAsia="宋体" w:hAnsi="Arial" w:cs="Arial"/>
                <w:b/>
                <w:bCs/>
                <w:color w:val="000000"/>
                <w:sz w:val="13"/>
                <w:szCs w:val="13"/>
              </w:rPr>
              <w:t>2,813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D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DD" w14:textId="77777777" w:rsidR="00980E5F" w:rsidRDefault="00483613">
            <w:pPr>
              <w:jc w:val="right"/>
              <w:textAlignment w:val="bottom"/>
            </w:pPr>
            <w:r>
              <w:rPr>
                <w:rFonts w:ascii="Arial" w:eastAsia="宋体" w:hAnsi="Arial" w:cs="Arial"/>
                <w:b/>
                <w:bCs/>
                <w:color w:val="000000"/>
                <w:sz w:val="13"/>
                <w:szCs w:val="13"/>
              </w:rPr>
              <w:t>28.13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E0" w14:textId="77777777" w:rsidR="00980E5F" w:rsidRDefault="00483613">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2A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E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E3" w14:textId="77777777" w:rsidR="00980E5F" w:rsidRDefault="00483613">
            <w:pPr>
              <w:jc w:val="right"/>
              <w:textAlignment w:val="bottom"/>
            </w:pPr>
            <w:r>
              <w:rPr>
                <w:rFonts w:ascii="Arial" w:eastAsia="宋体" w:hAnsi="Arial" w:cs="Arial"/>
                <w:color w:val="000000"/>
                <w:sz w:val="13"/>
                <w:szCs w:val="13"/>
              </w:rPr>
              <w:t>2,813 </w:t>
            </w:r>
          </w:p>
        </w:tc>
        <w:tc>
          <w:tcPr>
            <w:tcW w:w="0" w:type="auto"/>
            <w:shd w:val="clear" w:color="auto" w:fill="FFFFFF"/>
            <w:tcMar>
              <w:top w:w="40" w:type="dxa"/>
              <w:left w:w="0" w:type="dxa"/>
              <w:bottom w:w="40" w:type="dxa"/>
              <w:right w:w="20" w:type="dxa"/>
            </w:tcMar>
            <w:vAlign w:val="bottom"/>
          </w:tcPr>
          <w:p w14:paraId="392C2A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E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E6" w14:textId="77777777" w:rsidR="00980E5F" w:rsidRDefault="00483613">
            <w:pPr>
              <w:jc w:val="right"/>
              <w:textAlignment w:val="bottom"/>
            </w:pPr>
            <w:r>
              <w:rPr>
                <w:rFonts w:ascii="Arial" w:eastAsia="宋体" w:hAnsi="Arial" w:cs="Arial"/>
                <w:color w:val="000000"/>
                <w:sz w:val="13"/>
                <w:szCs w:val="13"/>
              </w:rPr>
              <w:t>28.13 </w:t>
            </w:r>
          </w:p>
        </w:tc>
        <w:tc>
          <w:tcPr>
            <w:tcW w:w="0" w:type="auto"/>
            <w:shd w:val="clear" w:color="auto" w:fill="FFFFFF"/>
            <w:tcMar>
              <w:top w:w="40" w:type="dxa"/>
              <w:left w:w="0" w:type="dxa"/>
              <w:bottom w:w="40" w:type="dxa"/>
              <w:right w:w="20" w:type="dxa"/>
            </w:tcMar>
            <w:vAlign w:val="bottom"/>
          </w:tcPr>
          <w:p w14:paraId="392C2AE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AE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AE9" w14:textId="77777777" w:rsidR="00980E5F" w:rsidRDefault="00483613">
            <w:pPr>
              <w:jc w:val="right"/>
              <w:textAlignment w:val="bottom"/>
            </w:pPr>
            <w:r>
              <w:rPr>
                <w:rFonts w:ascii="Arial" w:eastAsia="宋体" w:hAnsi="Arial" w:cs="Arial"/>
                <w:color w:val="000000"/>
                <w:sz w:val="13"/>
                <w:szCs w:val="13"/>
              </w:rPr>
              <w:t>14 </w:t>
            </w:r>
          </w:p>
        </w:tc>
        <w:tc>
          <w:tcPr>
            <w:tcW w:w="0" w:type="auto"/>
            <w:shd w:val="clear" w:color="auto" w:fill="FFFFFF"/>
            <w:tcMar>
              <w:top w:w="40" w:type="dxa"/>
              <w:left w:w="0" w:type="dxa"/>
              <w:bottom w:w="40" w:type="dxa"/>
              <w:right w:w="20" w:type="dxa"/>
            </w:tcMar>
            <w:vAlign w:val="bottom"/>
          </w:tcPr>
          <w:p w14:paraId="392C2AEA" w14:textId="77777777" w:rsidR="00980E5F" w:rsidRDefault="00980E5F">
            <w:pPr>
              <w:jc w:val="right"/>
              <w:rPr>
                <w:rFonts w:ascii="宋体"/>
              </w:rPr>
            </w:pPr>
          </w:p>
        </w:tc>
      </w:tr>
      <w:tr w:rsidR="00980E5F" w14:paraId="392C2AFC" w14:textId="77777777">
        <w:tc>
          <w:tcPr>
            <w:tcW w:w="0" w:type="auto"/>
            <w:gridSpan w:val="3"/>
            <w:shd w:val="clear" w:color="auto" w:fill="CCEEFF"/>
            <w:tcMar>
              <w:top w:w="40" w:type="dxa"/>
              <w:left w:w="20" w:type="dxa"/>
              <w:bottom w:w="40" w:type="dxa"/>
              <w:right w:w="20" w:type="dxa"/>
            </w:tcMar>
            <w:vAlign w:val="bottom"/>
          </w:tcPr>
          <w:p w14:paraId="392C2AEC" w14:textId="77777777" w:rsidR="00980E5F" w:rsidRDefault="00483613">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392C2AE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E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E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F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AF1"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AF2" w14:textId="77777777" w:rsidR="00980E5F" w:rsidRDefault="00483613">
            <w:pPr>
              <w:jc w:val="right"/>
              <w:textAlignment w:val="bottom"/>
            </w:pPr>
            <w:r>
              <w:rPr>
                <w:rFonts w:ascii="Arial" w:eastAsia="宋体" w:hAnsi="Arial" w:cs="Arial"/>
                <w:b/>
                <w:bCs/>
                <w:color w:val="000000"/>
                <w:sz w:val="13"/>
                <w:szCs w:val="13"/>
              </w:rPr>
              <w:t>35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A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AF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F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AF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AF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AFA" w14:textId="77777777" w:rsidR="00980E5F" w:rsidRDefault="00483613">
            <w:pPr>
              <w:jc w:val="right"/>
              <w:textAlignment w:val="bottom"/>
            </w:pPr>
            <w:r>
              <w:rPr>
                <w:rFonts w:ascii="Arial" w:eastAsia="宋体" w:hAnsi="Arial" w:cs="Arial"/>
                <w:color w:val="000000"/>
                <w:sz w:val="13"/>
                <w:szCs w:val="13"/>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AFB" w14:textId="77777777" w:rsidR="00980E5F" w:rsidRDefault="00980E5F">
            <w:pPr>
              <w:jc w:val="right"/>
              <w:rPr>
                <w:rFonts w:ascii="宋体"/>
              </w:rPr>
            </w:pPr>
          </w:p>
        </w:tc>
      </w:tr>
      <w:tr w:rsidR="00980E5F" w14:paraId="392C2B09" w14:textId="77777777">
        <w:trPr>
          <w:trHeight w:val="60"/>
        </w:trPr>
        <w:tc>
          <w:tcPr>
            <w:tcW w:w="0" w:type="auto"/>
            <w:gridSpan w:val="3"/>
            <w:shd w:val="clear" w:color="auto" w:fill="auto"/>
            <w:tcMar>
              <w:top w:w="0" w:type="dxa"/>
              <w:left w:w="20" w:type="dxa"/>
              <w:bottom w:w="0" w:type="dxa"/>
              <w:right w:w="20" w:type="dxa"/>
            </w:tcMar>
            <w:vAlign w:val="bottom"/>
          </w:tcPr>
          <w:p w14:paraId="392C2A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A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1"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B0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0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2B08" w14:textId="77777777" w:rsidR="00980E5F" w:rsidRDefault="00980E5F">
            <w:pPr>
              <w:rPr>
                <w:rFonts w:ascii="宋体"/>
              </w:rPr>
            </w:pPr>
          </w:p>
        </w:tc>
      </w:tr>
      <w:tr w:rsidR="00980E5F" w14:paraId="392C2B0C" w14:textId="77777777">
        <w:tc>
          <w:tcPr>
            <w:tcW w:w="0" w:type="auto"/>
            <w:gridSpan w:val="3"/>
            <w:shd w:val="clear" w:color="auto" w:fill="auto"/>
            <w:tcMar>
              <w:top w:w="0" w:type="dxa"/>
              <w:left w:w="20" w:type="dxa"/>
              <w:bottom w:w="0" w:type="dxa"/>
              <w:right w:w="20" w:type="dxa"/>
            </w:tcMar>
            <w:vAlign w:val="bottom"/>
          </w:tcPr>
          <w:p w14:paraId="392C2B0A"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2B0B" w14:textId="77777777" w:rsidR="00980E5F" w:rsidRDefault="00483613">
            <w:pPr>
              <w:jc w:val="center"/>
              <w:textAlignment w:val="bottom"/>
            </w:pPr>
            <w:r>
              <w:rPr>
                <w:rFonts w:ascii="Arial" w:eastAsia="宋体" w:hAnsi="Arial" w:cs="Arial"/>
                <w:b/>
                <w:bCs/>
                <w:color w:val="000000"/>
                <w:sz w:val="14"/>
                <w:szCs w:val="14"/>
              </w:rPr>
              <w:t>Six Months Ended June 30,</w:t>
            </w:r>
          </w:p>
        </w:tc>
      </w:tr>
      <w:tr w:rsidR="00980E5F" w14:paraId="392C2B11" w14:textId="77777777">
        <w:tc>
          <w:tcPr>
            <w:tcW w:w="0" w:type="auto"/>
            <w:gridSpan w:val="3"/>
            <w:shd w:val="clear" w:color="auto" w:fill="auto"/>
            <w:tcMar>
              <w:top w:w="0" w:type="dxa"/>
              <w:left w:w="20" w:type="dxa"/>
              <w:bottom w:w="0" w:type="dxa"/>
              <w:right w:w="20" w:type="dxa"/>
            </w:tcMar>
            <w:vAlign w:val="bottom"/>
          </w:tcPr>
          <w:p w14:paraId="392C2B0D"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2B0E"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B0F"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2B10" w14:textId="77777777" w:rsidR="00980E5F" w:rsidRDefault="00483613">
            <w:pPr>
              <w:jc w:val="center"/>
              <w:textAlignment w:val="bottom"/>
            </w:pPr>
            <w:r>
              <w:rPr>
                <w:rFonts w:ascii="Arial" w:eastAsia="宋体" w:hAnsi="Arial" w:cs="Arial"/>
                <w:b/>
                <w:bCs/>
                <w:color w:val="000000"/>
                <w:sz w:val="14"/>
                <w:szCs w:val="14"/>
              </w:rPr>
              <w:t>2021</w:t>
            </w:r>
          </w:p>
        </w:tc>
      </w:tr>
      <w:tr w:rsidR="00980E5F" w14:paraId="392C2B1E" w14:textId="77777777">
        <w:tc>
          <w:tcPr>
            <w:tcW w:w="0" w:type="auto"/>
            <w:gridSpan w:val="3"/>
            <w:shd w:val="clear" w:color="auto" w:fill="auto"/>
            <w:tcMar>
              <w:top w:w="40" w:type="dxa"/>
              <w:left w:w="20" w:type="dxa"/>
              <w:bottom w:w="40" w:type="dxa"/>
              <w:right w:w="20" w:type="dxa"/>
            </w:tcMar>
            <w:vAlign w:val="bottom"/>
          </w:tcPr>
          <w:p w14:paraId="392C2B12" w14:textId="77777777" w:rsidR="00980E5F" w:rsidRDefault="00483613">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3"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B1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5" w14:textId="77777777" w:rsidR="00980E5F" w:rsidRDefault="00483613">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B1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7"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2B1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9"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B1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B" w14:textId="77777777" w:rsidR="00980E5F" w:rsidRDefault="00483613">
            <w:pPr>
              <w:jc w:val="center"/>
              <w:textAlignment w:val="bottom"/>
            </w:pPr>
            <w:r>
              <w:rPr>
                <w:rFonts w:ascii="Arial" w:eastAsia="宋体" w:hAnsi="Arial" w:cs="Arial"/>
                <w:b/>
                <w:bCs/>
                <w:color w:val="000000"/>
                <w:sz w:val="14"/>
                <w:szCs w:val="14"/>
              </w:rPr>
              <w:t xml:space="preserve">Dividends </w:t>
            </w:r>
            <w:r>
              <w:rPr>
                <w:rFonts w:ascii="Arial" w:eastAsia="宋体" w:hAnsi="Arial" w:cs="Arial"/>
                <w:b/>
                <w:bCs/>
                <w:color w:val="000000"/>
                <w:sz w:val="14"/>
                <w:szCs w:val="14"/>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B1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B1D"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2B2B" w14:textId="77777777">
        <w:tc>
          <w:tcPr>
            <w:tcW w:w="0" w:type="auto"/>
            <w:gridSpan w:val="3"/>
            <w:shd w:val="clear" w:color="auto" w:fill="FFFFFF"/>
            <w:tcMar>
              <w:top w:w="40" w:type="dxa"/>
              <w:left w:w="20" w:type="dxa"/>
              <w:bottom w:w="40" w:type="dxa"/>
              <w:right w:w="20" w:type="dxa"/>
            </w:tcMar>
            <w:vAlign w:val="bottom"/>
          </w:tcPr>
          <w:p w14:paraId="392C2B1F" w14:textId="77777777" w:rsidR="00980E5F" w:rsidRDefault="00483613">
            <w:pPr>
              <w:textAlignment w:val="bottom"/>
            </w:pPr>
            <w:r>
              <w:rPr>
                <w:rFonts w:ascii="Arial" w:eastAsia="宋体" w:hAnsi="Arial" w:cs="Arial"/>
                <w:b/>
                <w:bCs/>
                <w:color w:val="000000"/>
                <w:sz w:val="14"/>
                <w:szCs w:val="14"/>
              </w:rPr>
              <w:t xml:space="preserve">Preferred </w:t>
            </w:r>
            <w:r>
              <w:rPr>
                <w:rFonts w:ascii="Arial" w:eastAsia="宋体" w:hAnsi="Arial" w:cs="Arial"/>
                <w:b/>
                <w:bCs/>
                <w:color w:val="000000"/>
                <w:sz w:val="14"/>
                <w:szCs w:val="14"/>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B2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B2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B2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B2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B2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2B2A" w14:textId="77777777" w:rsidR="00980E5F" w:rsidRDefault="00980E5F">
            <w:pPr>
              <w:rPr>
                <w:rFonts w:ascii="宋体"/>
              </w:rPr>
            </w:pPr>
          </w:p>
        </w:tc>
      </w:tr>
      <w:tr w:rsidR="00980E5F" w14:paraId="392C2B38" w14:textId="77777777">
        <w:trPr>
          <w:hidden/>
        </w:trPr>
        <w:tc>
          <w:tcPr>
            <w:tcW w:w="0" w:type="auto"/>
            <w:gridSpan w:val="3"/>
            <w:shd w:val="clear" w:color="auto" w:fill="auto"/>
            <w:vAlign w:val="bottom"/>
          </w:tcPr>
          <w:p w14:paraId="392C2B2C" w14:textId="77777777" w:rsidR="00980E5F" w:rsidRDefault="00980E5F">
            <w:pPr>
              <w:rPr>
                <w:rFonts w:ascii="宋体"/>
                <w:vanish/>
              </w:rPr>
            </w:pPr>
          </w:p>
        </w:tc>
        <w:tc>
          <w:tcPr>
            <w:tcW w:w="0" w:type="auto"/>
            <w:gridSpan w:val="3"/>
            <w:shd w:val="clear" w:color="auto" w:fill="auto"/>
            <w:vAlign w:val="bottom"/>
          </w:tcPr>
          <w:p w14:paraId="392C2B2D" w14:textId="77777777" w:rsidR="00980E5F" w:rsidRDefault="00980E5F">
            <w:pPr>
              <w:rPr>
                <w:rFonts w:ascii="宋体"/>
                <w:vanish/>
              </w:rPr>
            </w:pPr>
          </w:p>
        </w:tc>
        <w:tc>
          <w:tcPr>
            <w:tcW w:w="0" w:type="auto"/>
            <w:gridSpan w:val="3"/>
            <w:shd w:val="clear" w:color="auto" w:fill="auto"/>
            <w:vAlign w:val="bottom"/>
          </w:tcPr>
          <w:p w14:paraId="392C2B2E" w14:textId="77777777" w:rsidR="00980E5F" w:rsidRDefault="00980E5F">
            <w:pPr>
              <w:rPr>
                <w:rFonts w:ascii="宋体"/>
                <w:vanish/>
              </w:rPr>
            </w:pPr>
          </w:p>
        </w:tc>
        <w:tc>
          <w:tcPr>
            <w:tcW w:w="0" w:type="auto"/>
            <w:gridSpan w:val="3"/>
            <w:shd w:val="clear" w:color="auto" w:fill="auto"/>
            <w:vAlign w:val="bottom"/>
          </w:tcPr>
          <w:p w14:paraId="392C2B2F" w14:textId="77777777" w:rsidR="00980E5F" w:rsidRDefault="00980E5F">
            <w:pPr>
              <w:rPr>
                <w:rFonts w:ascii="宋体"/>
                <w:vanish/>
              </w:rPr>
            </w:pPr>
          </w:p>
        </w:tc>
        <w:tc>
          <w:tcPr>
            <w:tcW w:w="0" w:type="auto"/>
            <w:gridSpan w:val="3"/>
            <w:shd w:val="clear" w:color="auto" w:fill="auto"/>
            <w:vAlign w:val="bottom"/>
          </w:tcPr>
          <w:p w14:paraId="392C2B30" w14:textId="77777777" w:rsidR="00980E5F" w:rsidRDefault="00980E5F">
            <w:pPr>
              <w:rPr>
                <w:rFonts w:ascii="宋体"/>
                <w:vanish/>
              </w:rPr>
            </w:pPr>
          </w:p>
        </w:tc>
        <w:tc>
          <w:tcPr>
            <w:tcW w:w="0" w:type="auto"/>
            <w:gridSpan w:val="3"/>
            <w:shd w:val="clear" w:color="auto" w:fill="auto"/>
            <w:vAlign w:val="bottom"/>
          </w:tcPr>
          <w:p w14:paraId="392C2B31" w14:textId="77777777" w:rsidR="00980E5F" w:rsidRDefault="00980E5F">
            <w:pPr>
              <w:rPr>
                <w:rFonts w:ascii="宋体"/>
                <w:vanish/>
              </w:rPr>
            </w:pPr>
          </w:p>
        </w:tc>
        <w:tc>
          <w:tcPr>
            <w:tcW w:w="0" w:type="auto"/>
            <w:gridSpan w:val="3"/>
            <w:shd w:val="clear" w:color="auto" w:fill="auto"/>
            <w:vAlign w:val="bottom"/>
          </w:tcPr>
          <w:p w14:paraId="392C2B32" w14:textId="77777777" w:rsidR="00980E5F" w:rsidRDefault="00980E5F">
            <w:pPr>
              <w:rPr>
                <w:rFonts w:ascii="宋体"/>
                <w:vanish/>
              </w:rPr>
            </w:pPr>
          </w:p>
        </w:tc>
        <w:tc>
          <w:tcPr>
            <w:tcW w:w="0" w:type="auto"/>
            <w:gridSpan w:val="3"/>
            <w:shd w:val="clear" w:color="auto" w:fill="auto"/>
            <w:vAlign w:val="bottom"/>
          </w:tcPr>
          <w:p w14:paraId="392C2B33" w14:textId="77777777" w:rsidR="00980E5F" w:rsidRDefault="00980E5F">
            <w:pPr>
              <w:rPr>
                <w:rFonts w:ascii="宋体"/>
                <w:vanish/>
              </w:rPr>
            </w:pPr>
          </w:p>
        </w:tc>
        <w:tc>
          <w:tcPr>
            <w:tcW w:w="0" w:type="auto"/>
            <w:gridSpan w:val="3"/>
            <w:shd w:val="clear" w:color="auto" w:fill="auto"/>
            <w:vAlign w:val="bottom"/>
          </w:tcPr>
          <w:p w14:paraId="392C2B34" w14:textId="77777777" w:rsidR="00980E5F" w:rsidRDefault="00980E5F">
            <w:pPr>
              <w:rPr>
                <w:rFonts w:ascii="宋体"/>
                <w:vanish/>
              </w:rPr>
            </w:pPr>
          </w:p>
        </w:tc>
        <w:tc>
          <w:tcPr>
            <w:tcW w:w="0" w:type="auto"/>
            <w:gridSpan w:val="3"/>
            <w:shd w:val="clear" w:color="auto" w:fill="auto"/>
            <w:vAlign w:val="bottom"/>
          </w:tcPr>
          <w:p w14:paraId="392C2B35" w14:textId="77777777" w:rsidR="00980E5F" w:rsidRDefault="00980E5F">
            <w:pPr>
              <w:rPr>
                <w:rFonts w:ascii="宋体"/>
                <w:vanish/>
              </w:rPr>
            </w:pPr>
          </w:p>
        </w:tc>
        <w:tc>
          <w:tcPr>
            <w:tcW w:w="0" w:type="auto"/>
            <w:gridSpan w:val="3"/>
            <w:shd w:val="clear" w:color="auto" w:fill="auto"/>
            <w:vAlign w:val="bottom"/>
          </w:tcPr>
          <w:p w14:paraId="392C2B36" w14:textId="77777777" w:rsidR="00980E5F" w:rsidRDefault="00980E5F">
            <w:pPr>
              <w:rPr>
                <w:rFonts w:ascii="宋体"/>
                <w:vanish/>
              </w:rPr>
            </w:pPr>
          </w:p>
        </w:tc>
        <w:tc>
          <w:tcPr>
            <w:tcW w:w="0" w:type="auto"/>
            <w:gridSpan w:val="3"/>
            <w:shd w:val="clear" w:color="auto" w:fill="auto"/>
            <w:vAlign w:val="bottom"/>
          </w:tcPr>
          <w:p w14:paraId="392C2B37" w14:textId="77777777" w:rsidR="00980E5F" w:rsidRDefault="00980E5F">
            <w:pPr>
              <w:rPr>
                <w:rFonts w:ascii="宋体"/>
                <w:vanish/>
              </w:rPr>
            </w:pPr>
          </w:p>
        </w:tc>
      </w:tr>
      <w:tr w:rsidR="00980E5F" w14:paraId="392C2B51" w14:textId="77777777">
        <w:tc>
          <w:tcPr>
            <w:tcW w:w="0" w:type="auto"/>
            <w:gridSpan w:val="3"/>
            <w:shd w:val="clear" w:color="auto" w:fill="CCEEFF"/>
            <w:tcMar>
              <w:top w:w="40" w:type="dxa"/>
              <w:left w:w="20" w:type="dxa"/>
              <w:bottom w:w="40" w:type="dxa"/>
              <w:right w:w="20" w:type="dxa"/>
            </w:tcMar>
            <w:vAlign w:val="bottom"/>
          </w:tcPr>
          <w:p w14:paraId="392C2B39" w14:textId="77777777" w:rsidR="00980E5F" w:rsidRDefault="00483613">
            <w:pPr>
              <w:textAlignment w:val="bottom"/>
            </w:pPr>
            <w:r>
              <w:rPr>
                <w:rFonts w:ascii="Arial" w:eastAsia="宋体" w:hAnsi="Arial" w:cs="Arial"/>
                <w:color w:val="000000"/>
                <w:sz w:val="14"/>
                <w:szCs w:val="14"/>
              </w:rPr>
              <w:t>Series D</w:t>
            </w:r>
          </w:p>
        </w:tc>
        <w:tc>
          <w:tcPr>
            <w:tcW w:w="0" w:type="auto"/>
            <w:shd w:val="clear" w:color="auto" w:fill="CCEEFF"/>
            <w:tcMar>
              <w:top w:w="40" w:type="dxa"/>
              <w:left w:w="20" w:type="dxa"/>
              <w:bottom w:w="40" w:type="dxa"/>
              <w:right w:w="0" w:type="dxa"/>
            </w:tcMar>
            <w:vAlign w:val="bottom"/>
          </w:tcPr>
          <w:p w14:paraId="392C2B3A"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2B3B" w14:textId="77777777" w:rsidR="00980E5F" w:rsidRDefault="00483613">
            <w:pPr>
              <w:jc w:val="right"/>
              <w:textAlignment w:val="bottom"/>
            </w:pPr>
            <w:r>
              <w:rPr>
                <w:rFonts w:ascii="Arial" w:eastAsia="宋体" w:hAnsi="Arial" w:cs="Arial"/>
                <w:b/>
                <w:bCs/>
                <w:color w:val="000000"/>
                <w:sz w:val="14"/>
                <w:szCs w:val="14"/>
              </w:rPr>
              <w:t>2,950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3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B3E"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2B3F" w14:textId="77777777" w:rsidR="00980E5F" w:rsidRDefault="00483613">
            <w:pPr>
              <w:jc w:val="right"/>
              <w:textAlignment w:val="bottom"/>
            </w:pPr>
            <w:r>
              <w:rPr>
                <w:rFonts w:ascii="Arial" w:eastAsia="宋体" w:hAnsi="Arial" w:cs="Arial"/>
                <w:b/>
                <w:bCs/>
                <w:color w:val="000000"/>
                <w:sz w:val="14"/>
                <w:szCs w:val="14"/>
              </w:rPr>
              <w:t>0.74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4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B42"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2B43" w14:textId="77777777" w:rsidR="00980E5F" w:rsidRDefault="00483613">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4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B4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2B47" w14:textId="77777777" w:rsidR="00980E5F" w:rsidRDefault="00483613">
            <w:pPr>
              <w:jc w:val="right"/>
              <w:textAlignment w:val="bottom"/>
            </w:pPr>
            <w:r>
              <w:rPr>
                <w:rFonts w:ascii="Arial" w:eastAsia="宋体" w:hAnsi="Arial" w:cs="Arial"/>
                <w:color w:val="000000"/>
                <w:sz w:val="14"/>
                <w:szCs w:val="14"/>
              </w:rPr>
              <w:t>2,950 </w:t>
            </w:r>
          </w:p>
        </w:tc>
        <w:tc>
          <w:tcPr>
            <w:tcW w:w="0" w:type="auto"/>
            <w:shd w:val="clear" w:color="auto" w:fill="CCEEFF"/>
            <w:tcMar>
              <w:top w:w="40" w:type="dxa"/>
              <w:left w:w="0" w:type="dxa"/>
              <w:bottom w:w="40" w:type="dxa"/>
              <w:right w:w="20" w:type="dxa"/>
            </w:tcMar>
            <w:vAlign w:val="bottom"/>
          </w:tcPr>
          <w:p w14:paraId="392C2B4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4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B4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2B4B" w14:textId="77777777" w:rsidR="00980E5F" w:rsidRDefault="00483613">
            <w:pPr>
              <w:jc w:val="right"/>
              <w:textAlignment w:val="bottom"/>
            </w:pPr>
            <w:r>
              <w:rPr>
                <w:rFonts w:ascii="Arial" w:eastAsia="宋体" w:hAnsi="Arial" w:cs="Arial"/>
                <w:color w:val="000000"/>
                <w:sz w:val="14"/>
                <w:szCs w:val="14"/>
              </w:rPr>
              <w:t>0.74 </w:t>
            </w:r>
          </w:p>
        </w:tc>
        <w:tc>
          <w:tcPr>
            <w:tcW w:w="0" w:type="auto"/>
            <w:shd w:val="clear" w:color="auto" w:fill="CCEEFF"/>
            <w:tcMar>
              <w:top w:w="40" w:type="dxa"/>
              <w:left w:w="0" w:type="dxa"/>
              <w:bottom w:w="40" w:type="dxa"/>
              <w:right w:w="20" w:type="dxa"/>
            </w:tcMar>
            <w:vAlign w:val="bottom"/>
          </w:tcPr>
          <w:p w14:paraId="392C2B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4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B4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2B4F" w14:textId="77777777" w:rsidR="00980E5F" w:rsidRDefault="00483613">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392C2B50" w14:textId="77777777" w:rsidR="00980E5F" w:rsidRDefault="00980E5F">
            <w:pPr>
              <w:jc w:val="right"/>
              <w:rPr>
                <w:rFonts w:ascii="宋体"/>
              </w:rPr>
            </w:pPr>
          </w:p>
        </w:tc>
      </w:tr>
      <w:tr w:rsidR="00980E5F" w14:paraId="392C2B5E" w14:textId="77777777">
        <w:trPr>
          <w:hidden/>
        </w:trPr>
        <w:tc>
          <w:tcPr>
            <w:tcW w:w="0" w:type="auto"/>
            <w:gridSpan w:val="3"/>
            <w:shd w:val="clear" w:color="auto" w:fill="auto"/>
            <w:vAlign w:val="bottom"/>
          </w:tcPr>
          <w:p w14:paraId="392C2B52" w14:textId="77777777" w:rsidR="00980E5F" w:rsidRDefault="00980E5F">
            <w:pPr>
              <w:rPr>
                <w:rFonts w:ascii="宋体"/>
                <w:vanish/>
              </w:rPr>
            </w:pPr>
          </w:p>
        </w:tc>
        <w:tc>
          <w:tcPr>
            <w:tcW w:w="0" w:type="auto"/>
            <w:gridSpan w:val="3"/>
            <w:shd w:val="clear" w:color="auto" w:fill="auto"/>
            <w:vAlign w:val="bottom"/>
          </w:tcPr>
          <w:p w14:paraId="392C2B53" w14:textId="77777777" w:rsidR="00980E5F" w:rsidRDefault="00980E5F">
            <w:pPr>
              <w:rPr>
                <w:rFonts w:ascii="宋体"/>
                <w:vanish/>
              </w:rPr>
            </w:pPr>
          </w:p>
        </w:tc>
        <w:tc>
          <w:tcPr>
            <w:tcW w:w="0" w:type="auto"/>
            <w:gridSpan w:val="3"/>
            <w:shd w:val="clear" w:color="auto" w:fill="auto"/>
            <w:vAlign w:val="bottom"/>
          </w:tcPr>
          <w:p w14:paraId="392C2B54" w14:textId="77777777" w:rsidR="00980E5F" w:rsidRDefault="00980E5F">
            <w:pPr>
              <w:rPr>
                <w:rFonts w:ascii="宋体"/>
                <w:vanish/>
              </w:rPr>
            </w:pPr>
          </w:p>
        </w:tc>
        <w:tc>
          <w:tcPr>
            <w:tcW w:w="0" w:type="auto"/>
            <w:gridSpan w:val="3"/>
            <w:shd w:val="clear" w:color="auto" w:fill="auto"/>
            <w:vAlign w:val="bottom"/>
          </w:tcPr>
          <w:p w14:paraId="392C2B55" w14:textId="77777777" w:rsidR="00980E5F" w:rsidRDefault="00980E5F">
            <w:pPr>
              <w:rPr>
                <w:rFonts w:ascii="宋体"/>
                <w:vanish/>
              </w:rPr>
            </w:pPr>
          </w:p>
        </w:tc>
        <w:tc>
          <w:tcPr>
            <w:tcW w:w="0" w:type="auto"/>
            <w:gridSpan w:val="3"/>
            <w:shd w:val="clear" w:color="auto" w:fill="auto"/>
            <w:vAlign w:val="bottom"/>
          </w:tcPr>
          <w:p w14:paraId="392C2B56" w14:textId="77777777" w:rsidR="00980E5F" w:rsidRDefault="00980E5F">
            <w:pPr>
              <w:rPr>
                <w:rFonts w:ascii="宋体"/>
                <w:vanish/>
              </w:rPr>
            </w:pPr>
          </w:p>
        </w:tc>
        <w:tc>
          <w:tcPr>
            <w:tcW w:w="0" w:type="auto"/>
            <w:gridSpan w:val="3"/>
            <w:shd w:val="clear" w:color="auto" w:fill="auto"/>
            <w:vAlign w:val="bottom"/>
          </w:tcPr>
          <w:p w14:paraId="392C2B57" w14:textId="77777777" w:rsidR="00980E5F" w:rsidRDefault="00980E5F">
            <w:pPr>
              <w:rPr>
                <w:rFonts w:ascii="宋体"/>
                <w:vanish/>
              </w:rPr>
            </w:pPr>
          </w:p>
        </w:tc>
        <w:tc>
          <w:tcPr>
            <w:tcW w:w="0" w:type="auto"/>
            <w:gridSpan w:val="3"/>
            <w:shd w:val="clear" w:color="auto" w:fill="auto"/>
            <w:vAlign w:val="bottom"/>
          </w:tcPr>
          <w:p w14:paraId="392C2B58" w14:textId="77777777" w:rsidR="00980E5F" w:rsidRDefault="00980E5F">
            <w:pPr>
              <w:rPr>
                <w:rFonts w:ascii="宋体"/>
                <w:vanish/>
              </w:rPr>
            </w:pPr>
          </w:p>
        </w:tc>
        <w:tc>
          <w:tcPr>
            <w:tcW w:w="0" w:type="auto"/>
            <w:gridSpan w:val="3"/>
            <w:shd w:val="clear" w:color="auto" w:fill="auto"/>
            <w:vAlign w:val="bottom"/>
          </w:tcPr>
          <w:p w14:paraId="392C2B59" w14:textId="77777777" w:rsidR="00980E5F" w:rsidRDefault="00980E5F">
            <w:pPr>
              <w:rPr>
                <w:rFonts w:ascii="宋体"/>
                <w:vanish/>
              </w:rPr>
            </w:pPr>
          </w:p>
        </w:tc>
        <w:tc>
          <w:tcPr>
            <w:tcW w:w="0" w:type="auto"/>
            <w:gridSpan w:val="3"/>
            <w:shd w:val="clear" w:color="auto" w:fill="auto"/>
            <w:vAlign w:val="bottom"/>
          </w:tcPr>
          <w:p w14:paraId="392C2B5A" w14:textId="77777777" w:rsidR="00980E5F" w:rsidRDefault="00980E5F">
            <w:pPr>
              <w:rPr>
                <w:rFonts w:ascii="宋体"/>
                <w:vanish/>
              </w:rPr>
            </w:pPr>
          </w:p>
        </w:tc>
        <w:tc>
          <w:tcPr>
            <w:tcW w:w="0" w:type="auto"/>
            <w:gridSpan w:val="3"/>
            <w:shd w:val="clear" w:color="auto" w:fill="auto"/>
            <w:vAlign w:val="bottom"/>
          </w:tcPr>
          <w:p w14:paraId="392C2B5B" w14:textId="77777777" w:rsidR="00980E5F" w:rsidRDefault="00980E5F">
            <w:pPr>
              <w:rPr>
                <w:rFonts w:ascii="宋体"/>
                <w:vanish/>
              </w:rPr>
            </w:pPr>
          </w:p>
        </w:tc>
        <w:tc>
          <w:tcPr>
            <w:tcW w:w="0" w:type="auto"/>
            <w:gridSpan w:val="3"/>
            <w:shd w:val="clear" w:color="auto" w:fill="auto"/>
            <w:vAlign w:val="bottom"/>
          </w:tcPr>
          <w:p w14:paraId="392C2B5C" w14:textId="77777777" w:rsidR="00980E5F" w:rsidRDefault="00980E5F">
            <w:pPr>
              <w:rPr>
                <w:rFonts w:ascii="宋体"/>
                <w:vanish/>
              </w:rPr>
            </w:pPr>
          </w:p>
        </w:tc>
        <w:tc>
          <w:tcPr>
            <w:tcW w:w="0" w:type="auto"/>
            <w:gridSpan w:val="3"/>
            <w:shd w:val="clear" w:color="auto" w:fill="auto"/>
            <w:vAlign w:val="bottom"/>
          </w:tcPr>
          <w:p w14:paraId="392C2B5D" w14:textId="77777777" w:rsidR="00980E5F" w:rsidRDefault="00980E5F">
            <w:pPr>
              <w:rPr>
                <w:rFonts w:ascii="宋体"/>
                <w:vanish/>
              </w:rPr>
            </w:pPr>
          </w:p>
        </w:tc>
      </w:tr>
      <w:tr w:rsidR="00980E5F" w14:paraId="392C2B71" w14:textId="77777777">
        <w:tc>
          <w:tcPr>
            <w:tcW w:w="0" w:type="auto"/>
            <w:gridSpan w:val="3"/>
            <w:shd w:val="clear" w:color="auto" w:fill="FFFFFF"/>
            <w:tcMar>
              <w:top w:w="40" w:type="dxa"/>
              <w:left w:w="20" w:type="dxa"/>
              <w:bottom w:w="40" w:type="dxa"/>
              <w:right w:w="20" w:type="dxa"/>
            </w:tcMar>
            <w:vAlign w:val="bottom"/>
          </w:tcPr>
          <w:p w14:paraId="392C2B5F" w14:textId="77777777" w:rsidR="00980E5F" w:rsidRDefault="00483613">
            <w:pPr>
              <w:textAlignment w:val="bottom"/>
            </w:pPr>
            <w:r>
              <w:rPr>
                <w:rFonts w:ascii="Arial" w:eastAsia="宋体" w:hAnsi="Arial" w:cs="Arial"/>
                <w:color w:val="000000"/>
                <w:sz w:val="14"/>
                <w:szCs w:val="14"/>
              </w:rPr>
              <w:t>Series F</w:t>
            </w:r>
          </w:p>
        </w:tc>
        <w:tc>
          <w:tcPr>
            <w:tcW w:w="0" w:type="auto"/>
            <w:gridSpan w:val="2"/>
            <w:shd w:val="clear" w:color="auto" w:fill="FFFFFF"/>
            <w:tcMar>
              <w:top w:w="40" w:type="dxa"/>
              <w:left w:w="20" w:type="dxa"/>
              <w:bottom w:w="40" w:type="dxa"/>
              <w:right w:w="0" w:type="dxa"/>
            </w:tcMar>
            <w:vAlign w:val="bottom"/>
          </w:tcPr>
          <w:p w14:paraId="392C2B60" w14:textId="77777777" w:rsidR="00980E5F" w:rsidRDefault="00483613">
            <w:pPr>
              <w:jc w:val="right"/>
              <w:textAlignment w:val="bottom"/>
            </w:pPr>
            <w:r>
              <w:rPr>
                <w:rFonts w:ascii="Arial" w:eastAsia="宋体" w:hAnsi="Arial" w:cs="Arial"/>
                <w:b/>
                <w:bCs/>
                <w:color w:val="000000"/>
                <w:sz w:val="14"/>
                <w:szCs w:val="14"/>
              </w:rPr>
              <w:t>2,080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63" w14:textId="77777777" w:rsidR="00980E5F" w:rsidRDefault="00483613">
            <w:pPr>
              <w:jc w:val="right"/>
              <w:textAlignment w:val="bottom"/>
            </w:pPr>
            <w:r>
              <w:rPr>
                <w:rFonts w:ascii="Arial" w:eastAsia="宋体" w:hAnsi="Arial" w:cs="Arial"/>
                <w:b/>
                <w:bCs/>
                <w:color w:val="000000"/>
                <w:sz w:val="14"/>
                <w:szCs w:val="14"/>
              </w:rPr>
              <w:t>20.80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66"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69" w14:textId="77777777" w:rsidR="00980E5F" w:rsidRDefault="00483613">
            <w:pPr>
              <w:jc w:val="right"/>
              <w:textAlignment w:val="bottom"/>
            </w:pPr>
            <w:r>
              <w:rPr>
                <w:rFonts w:ascii="Arial" w:eastAsia="宋体" w:hAnsi="Arial" w:cs="Arial"/>
                <w:color w:val="000000"/>
                <w:sz w:val="14"/>
                <w:szCs w:val="14"/>
              </w:rPr>
              <w:t>1,919 </w:t>
            </w:r>
          </w:p>
        </w:tc>
        <w:tc>
          <w:tcPr>
            <w:tcW w:w="0" w:type="auto"/>
            <w:shd w:val="clear" w:color="auto" w:fill="FFFFFF"/>
            <w:tcMar>
              <w:top w:w="40" w:type="dxa"/>
              <w:left w:w="0" w:type="dxa"/>
              <w:bottom w:w="40" w:type="dxa"/>
              <w:right w:w="20" w:type="dxa"/>
            </w:tcMar>
            <w:vAlign w:val="bottom"/>
          </w:tcPr>
          <w:p w14:paraId="392C2B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6C" w14:textId="77777777" w:rsidR="00980E5F" w:rsidRDefault="00483613">
            <w:pPr>
              <w:jc w:val="right"/>
              <w:textAlignment w:val="bottom"/>
            </w:pPr>
            <w:r>
              <w:rPr>
                <w:rFonts w:ascii="Arial" w:eastAsia="宋体" w:hAnsi="Arial" w:cs="Arial"/>
                <w:color w:val="000000"/>
                <w:sz w:val="14"/>
                <w:szCs w:val="14"/>
              </w:rPr>
              <w:t>19.19 </w:t>
            </w:r>
          </w:p>
        </w:tc>
        <w:tc>
          <w:tcPr>
            <w:tcW w:w="0" w:type="auto"/>
            <w:shd w:val="clear" w:color="auto" w:fill="FFFFFF"/>
            <w:tcMar>
              <w:top w:w="40" w:type="dxa"/>
              <w:left w:w="0" w:type="dxa"/>
              <w:bottom w:w="40" w:type="dxa"/>
              <w:right w:w="20" w:type="dxa"/>
            </w:tcMar>
            <w:vAlign w:val="bottom"/>
          </w:tcPr>
          <w:p w14:paraId="392C2B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6F"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2B70" w14:textId="77777777" w:rsidR="00980E5F" w:rsidRDefault="00980E5F">
            <w:pPr>
              <w:jc w:val="right"/>
              <w:rPr>
                <w:rFonts w:ascii="宋体"/>
              </w:rPr>
            </w:pPr>
          </w:p>
        </w:tc>
      </w:tr>
      <w:tr w:rsidR="00980E5F" w14:paraId="392C2B84" w14:textId="77777777">
        <w:tc>
          <w:tcPr>
            <w:tcW w:w="0" w:type="auto"/>
            <w:gridSpan w:val="3"/>
            <w:shd w:val="clear" w:color="auto" w:fill="CCEEFF"/>
            <w:tcMar>
              <w:top w:w="40" w:type="dxa"/>
              <w:left w:w="20" w:type="dxa"/>
              <w:bottom w:w="40" w:type="dxa"/>
              <w:right w:w="20" w:type="dxa"/>
            </w:tcMar>
            <w:vAlign w:val="bottom"/>
          </w:tcPr>
          <w:p w14:paraId="392C2B72" w14:textId="77777777" w:rsidR="00980E5F" w:rsidRDefault="00483613">
            <w:pPr>
              <w:textAlignment w:val="bottom"/>
            </w:pPr>
            <w:r>
              <w:rPr>
                <w:rFonts w:ascii="Arial" w:eastAsia="宋体" w:hAnsi="Arial" w:cs="Arial"/>
                <w:color w:val="000000"/>
                <w:sz w:val="14"/>
                <w:szCs w:val="14"/>
              </w:rPr>
              <w:t>Series G</w:t>
            </w:r>
          </w:p>
        </w:tc>
        <w:tc>
          <w:tcPr>
            <w:tcW w:w="0" w:type="auto"/>
            <w:gridSpan w:val="2"/>
            <w:shd w:val="clear" w:color="auto" w:fill="CCEEFF"/>
            <w:tcMar>
              <w:top w:w="40" w:type="dxa"/>
              <w:left w:w="20" w:type="dxa"/>
              <w:bottom w:w="40" w:type="dxa"/>
              <w:right w:w="0" w:type="dxa"/>
            </w:tcMar>
            <w:vAlign w:val="bottom"/>
          </w:tcPr>
          <w:p w14:paraId="392C2B73" w14:textId="77777777" w:rsidR="00980E5F" w:rsidRDefault="00483613">
            <w:pPr>
              <w:jc w:val="right"/>
              <w:textAlignment w:val="bottom"/>
            </w:pPr>
            <w:r>
              <w:rPr>
                <w:rFonts w:ascii="Arial" w:eastAsia="宋体" w:hAnsi="Arial" w:cs="Arial"/>
                <w:b/>
                <w:bCs/>
                <w:color w:val="000000"/>
                <w:sz w:val="14"/>
                <w:szCs w:val="14"/>
              </w:rPr>
              <w:t>2,676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B76" w14:textId="77777777" w:rsidR="00980E5F" w:rsidRDefault="00483613">
            <w:pPr>
              <w:jc w:val="right"/>
              <w:textAlignment w:val="bottom"/>
            </w:pPr>
            <w:r>
              <w:rPr>
                <w:rFonts w:ascii="Arial" w:eastAsia="宋体" w:hAnsi="Arial" w:cs="Arial"/>
                <w:b/>
                <w:bCs/>
                <w:color w:val="000000"/>
                <w:sz w:val="14"/>
                <w:szCs w:val="14"/>
              </w:rPr>
              <w:t>0.66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B79"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2B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7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B7C" w14:textId="77777777" w:rsidR="00980E5F" w:rsidRDefault="00483613">
            <w:pPr>
              <w:jc w:val="right"/>
              <w:textAlignment w:val="bottom"/>
            </w:pPr>
            <w:r>
              <w:rPr>
                <w:rFonts w:ascii="Arial" w:eastAsia="宋体" w:hAnsi="Arial" w:cs="Arial"/>
                <w:color w:val="000000"/>
                <w:sz w:val="14"/>
                <w:szCs w:val="14"/>
              </w:rPr>
              <w:t>2,676 </w:t>
            </w:r>
          </w:p>
        </w:tc>
        <w:tc>
          <w:tcPr>
            <w:tcW w:w="0" w:type="auto"/>
            <w:shd w:val="clear" w:color="auto" w:fill="CCEEFF"/>
            <w:tcMar>
              <w:top w:w="40" w:type="dxa"/>
              <w:left w:w="0" w:type="dxa"/>
              <w:bottom w:w="40" w:type="dxa"/>
              <w:right w:w="20" w:type="dxa"/>
            </w:tcMar>
            <w:vAlign w:val="bottom"/>
          </w:tcPr>
          <w:p w14:paraId="392C2B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B7F" w14:textId="77777777" w:rsidR="00980E5F" w:rsidRDefault="00483613">
            <w:pPr>
              <w:jc w:val="right"/>
              <w:textAlignment w:val="bottom"/>
            </w:pPr>
            <w:r>
              <w:rPr>
                <w:rFonts w:ascii="Arial" w:eastAsia="宋体" w:hAnsi="Arial" w:cs="Arial"/>
                <w:color w:val="000000"/>
                <w:sz w:val="14"/>
                <w:szCs w:val="14"/>
              </w:rPr>
              <w:t>0.66 </w:t>
            </w:r>
          </w:p>
        </w:tc>
        <w:tc>
          <w:tcPr>
            <w:tcW w:w="0" w:type="auto"/>
            <w:shd w:val="clear" w:color="auto" w:fill="CCEEFF"/>
            <w:tcMar>
              <w:top w:w="40" w:type="dxa"/>
              <w:left w:w="0" w:type="dxa"/>
              <w:bottom w:w="40" w:type="dxa"/>
              <w:right w:w="20" w:type="dxa"/>
            </w:tcMar>
            <w:vAlign w:val="bottom"/>
          </w:tcPr>
          <w:p w14:paraId="392C2B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8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B82"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392C2B83" w14:textId="77777777" w:rsidR="00980E5F" w:rsidRDefault="00980E5F">
            <w:pPr>
              <w:jc w:val="right"/>
              <w:rPr>
                <w:rFonts w:ascii="宋体"/>
              </w:rPr>
            </w:pPr>
          </w:p>
        </w:tc>
      </w:tr>
      <w:tr w:rsidR="00980E5F" w14:paraId="392C2B97" w14:textId="77777777">
        <w:tc>
          <w:tcPr>
            <w:tcW w:w="0" w:type="auto"/>
            <w:gridSpan w:val="3"/>
            <w:shd w:val="clear" w:color="auto" w:fill="FFFFFF"/>
            <w:tcMar>
              <w:top w:w="40" w:type="dxa"/>
              <w:left w:w="20" w:type="dxa"/>
              <w:bottom w:w="40" w:type="dxa"/>
              <w:right w:w="20" w:type="dxa"/>
            </w:tcMar>
            <w:vAlign w:val="bottom"/>
          </w:tcPr>
          <w:p w14:paraId="392C2B85" w14:textId="77777777" w:rsidR="00980E5F" w:rsidRDefault="00483613">
            <w:pPr>
              <w:textAlignment w:val="bottom"/>
            </w:pPr>
            <w:r>
              <w:rPr>
                <w:rFonts w:ascii="Arial" w:eastAsia="宋体" w:hAnsi="Arial" w:cs="Arial"/>
                <w:color w:val="000000"/>
                <w:sz w:val="14"/>
                <w:szCs w:val="14"/>
              </w:rPr>
              <w:t>Series H</w:t>
            </w:r>
          </w:p>
        </w:tc>
        <w:tc>
          <w:tcPr>
            <w:tcW w:w="0" w:type="auto"/>
            <w:gridSpan w:val="2"/>
            <w:shd w:val="clear" w:color="auto" w:fill="FFFFFF"/>
            <w:tcMar>
              <w:top w:w="40" w:type="dxa"/>
              <w:left w:w="20" w:type="dxa"/>
              <w:bottom w:w="40" w:type="dxa"/>
              <w:right w:w="0" w:type="dxa"/>
            </w:tcMar>
            <w:vAlign w:val="bottom"/>
          </w:tcPr>
          <w:p w14:paraId="392C2B86" w14:textId="77777777" w:rsidR="00980E5F" w:rsidRDefault="00483613">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89" w14:textId="77777777" w:rsidR="00980E5F" w:rsidRDefault="00483613">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8C"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2B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8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8F" w14:textId="77777777" w:rsidR="00980E5F" w:rsidRDefault="00483613">
            <w:pPr>
              <w:jc w:val="right"/>
              <w:textAlignment w:val="bottom"/>
            </w:pPr>
            <w:r>
              <w:rPr>
                <w:rFonts w:ascii="Arial" w:eastAsia="宋体" w:hAnsi="Arial" w:cs="Arial"/>
                <w:color w:val="000000"/>
                <w:sz w:val="14"/>
                <w:szCs w:val="14"/>
              </w:rPr>
              <w:t>2,813 </w:t>
            </w:r>
          </w:p>
        </w:tc>
        <w:tc>
          <w:tcPr>
            <w:tcW w:w="0" w:type="auto"/>
            <w:shd w:val="clear" w:color="auto" w:fill="FFFFFF"/>
            <w:tcMar>
              <w:top w:w="40" w:type="dxa"/>
              <w:left w:w="0" w:type="dxa"/>
              <w:bottom w:w="40" w:type="dxa"/>
              <w:right w:w="20" w:type="dxa"/>
            </w:tcMar>
            <w:vAlign w:val="bottom"/>
          </w:tcPr>
          <w:p w14:paraId="392C2B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9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92" w14:textId="77777777" w:rsidR="00980E5F" w:rsidRDefault="00483613">
            <w:pPr>
              <w:jc w:val="right"/>
              <w:textAlignment w:val="bottom"/>
            </w:pPr>
            <w:r>
              <w:rPr>
                <w:rFonts w:ascii="Arial" w:eastAsia="宋体" w:hAnsi="Arial" w:cs="Arial"/>
                <w:color w:val="000000"/>
                <w:sz w:val="14"/>
                <w:szCs w:val="14"/>
              </w:rPr>
              <w:t>28.13 </w:t>
            </w:r>
          </w:p>
        </w:tc>
        <w:tc>
          <w:tcPr>
            <w:tcW w:w="0" w:type="auto"/>
            <w:shd w:val="clear" w:color="auto" w:fill="FFFFFF"/>
            <w:tcMar>
              <w:top w:w="40" w:type="dxa"/>
              <w:left w:w="0" w:type="dxa"/>
              <w:bottom w:w="40" w:type="dxa"/>
              <w:right w:w="20" w:type="dxa"/>
            </w:tcMar>
            <w:vAlign w:val="bottom"/>
          </w:tcPr>
          <w:p w14:paraId="392C2B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B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B95"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92C2B96" w14:textId="77777777" w:rsidR="00980E5F" w:rsidRDefault="00980E5F">
            <w:pPr>
              <w:jc w:val="right"/>
              <w:rPr>
                <w:rFonts w:ascii="宋体"/>
              </w:rPr>
            </w:pPr>
          </w:p>
        </w:tc>
      </w:tr>
      <w:tr w:rsidR="00980E5F" w14:paraId="392C2BA8" w14:textId="77777777">
        <w:tc>
          <w:tcPr>
            <w:tcW w:w="0" w:type="auto"/>
            <w:gridSpan w:val="3"/>
            <w:shd w:val="clear" w:color="auto" w:fill="CCEEFF"/>
            <w:tcMar>
              <w:top w:w="40" w:type="dxa"/>
              <w:left w:w="20" w:type="dxa"/>
              <w:bottom w:w="40" w:type="dxa"/>
              <w:right w:w="20" w:type="dxa"/>
            </w:tcMar>
            <w:vAlign w:val="bottom"/>
          </w:tcPr>
          <w:p w14:paraId="392C2B98" w14:textId="77777777" w:rsidR="00980E5F" w:rsidRDefault="00483613">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vAlign w:val="bottom"/>
          </w:tcPr>
          <w:p w14:paraId="392C2B9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9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9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9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2B9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2B9E" w14:textId="77777777" w:rsidR="00980E5F" w:rsidRDefault="00483613">
            <w:pPr>
              <w:jc w:val="right"/>
              <w:textAlignment w:val="bottom"/>
            </w:pPr>
            <w:r>
              <w:rPr>
                <w:rFonts w:ascii="Arial" w:eastAsia="宋体" w:hAnsi="Arial" w:cs="Arial"/>
                <w:b/>
                <w:bCs/>
                <w:color w:val="000000"/>
                <w:sz w:val="14"/>
                <w:szCs w:val="14"/>
              </w:rPr>
              <w:t>55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2B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BA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A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A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A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2BA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2BA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2BA6" w14:textId="77777777" w:rsidR="00980E5F" w:rsidRDefault="00483613">
            <w:pPr>
              <w:jc w:val="right"/>
              <w:textAlignment w:val="bottom"/>
            </w:pPr>
            <w:r>
              <w:rPr>
                <w:rFonts w:ascii="Arial" w:eastAsia="宋体" w:hAnsi="Arial" w:cs="Arial"/>
                <w:color w:val="000000"/>
                <w:sz w:val="14"/>
                <w:szCs w:val="14"/>
              </w:rPr>
              <w:t>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2BA7" w14:textId="77777777" w:rsidR="00980E5F" w:rsidRDefault="00980E5F">
            <w:pPr>
              <w:jc w:val="right"/>
              <w:rPr>
                <w:rFonts w:ascii="宋体"/>
              </w:rPr>
            </w:pPr>
          </w:p>
        </w:tc>
      </w:tr>
    </w:tbl>
    <w:p w14:paraId="392C2BA9" w14:textId="77777777" w:rsidR="00980E5F" w:rsidRDefault="00483613">
      <w:pPr>
        <w:spacing w:before="60"/>
      </w:pPr>
      <w:r>
        <w:rPr>
          <w:rFonts w:ascii="Arial" w:eastAsia="宋体" w:hAnsi="Arial" w:cs="Arial"/>
          <w:i/>
          <w:iCs/>
          <w:color w:val="000000"/>
          <w:sz w:val="20"/>
          <w:szCs w:val="20"/>
        </w:rPr>
        <w:t>Common Stock</w:t>
      </w:r>
    </w:p>
    <w:p w14:paraId="392C2BAA" w14:textId="77777777" w:rsidR="00980E5F" w:rsidRDefault="00483613">
      <w:pPr>
        <w:spacing w:before="60"/>
        <w:ind w:firstLine="450"/>
        <w:jc w:val="both"/>
      </w:pPr>
      <w:r>
        <w:rPr>
          <w:rFonts w:ascii="Arial" w:eastAsia="宋体" w:hAnsi="Arial" w:cs="Arial"/>
          <w:color w:val="000000"/>
          <w:sz w:val="20"/>
          <w:szCs w:val="20"/>
        </w:rPr>
        <w:t xml:space="preserve">In September 2021, we completed a public offering of approximately 21.7 million shares of our common stock. The offering price was $87.60 per share and net proceeds totaled approximately </w:t>
      </w:r>
      <w:r>
        <w:rPr>
          <w:rFonts w:ascii="Arial" w:eastAsia="宋体" w:hAnsi="Arial" w:cs="Arial"/>
          <w:color w:val="000000"/>
          <w:sz w:val="20"/>
          <w:szCs w:val="20"/>
        </w:rPr>
        <w:t>$1.9 billion. We expect to use these net proceeds to finance our proposed acquisition of the BBH Investor Services business.</w:t>
      </w:r>
    </w:p>
    <w:p w14:paraId="392C2BAB" w14:textId="77777777" w:rsidR="00980E5F" w:rsidRDefault="00483613">
      <w:pPr>
        <w:ind w:firstLine="450"/>
        <w:jc w:val="right"/>
      </w:pPr>
      <w:r>
        <w:rPr>
          <w:rFonts w:ascii="Arial" w:eastAsia="宋体" w:hAnsi="Arial" w:cs="Arial"/>
          <w:color w:val="000000"/>
          <w:sz w:val="18"/>
          <w:szCs w:val="18"/>
        </w:rPr>
        <w:t>State Street Corporation | 50</w:t>
      </w:r>
    </w:p>
    <w:p w14:paraId="392C2BAC" w14:textId="77777777" w:rsidR="00980E5F" w:rsidRDefault="00980E5F">
      <w:pPr>
        <w:ind w:firstLine="450"/>
        <w:jc w:val="center"/>
      </w:pPr>
    </w:p>
    <w:p w14:paraId="392C2BAD" w14:textId="77777777" w:rsidR="00980E5F" w:rsidRDefault="00483613">
      <w:r>
        <w:pict w14:anchorId="392CBB00">
          <v:rect id="_x0000_i1074" style="width:415.3pt;height:1.5pt" o:hralign="center" o:hrstd="t" o:hr="t" fillcolor="#a0a0a0" stroked="f"/>
        </w:pict>
      </w:r>
    </w:p>
    <w:p w14:paraId="392C2BAE"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BAF" w14:textId="77777777" w:rsidR="00980E5F" w:rsidRDefault="00483613">
      <w:pPr>
        <w:ind w:firstLine="450"/>
        <w:jc w:val="center"/>
      </w:pPr>
      <w:r>
        <w:rPr>
          <w:rFonts w:ascii="Arial" w:eastAsia="宋体" w:hAnsi="Arial" w:cs="Arial"/>
          <w:b/>
          <w:bCs/>
          <w:color w:val="000000"/>
          <w:sz w:val="20"/>
          <w:szCs w:val="20"/>
        </w:rPr>
        <w:t>AND RESULTS OF OPERATIONS</w:t>
      </w:r>
    </w:p>
    <w:p w14:paraId="392C2BB0" w14:textId="77777777" w:rsidR="00980E5F" w:rsidRDefault="00483613">
      <w:pPr>
        <w:spacing w:before="60"/>
        <w:ind w:firstLine="450"/>
        <w:jc w:val="both"/>
      </w:pPr>
      <w:r>
        <w:rPr>
          <w:rFonts w:ascii="Arial" w:eastAsia="宋体" w:hAnsi="Arial" w:cs="Arial"/>
          <w:color w:val="000000"/>
          <w:sz w:val="20"/>
          <w:szCs w:val="20"/>
        </w:rPr>
        <w:t xml:space="preserve">In December </w:t>
      </w:r>
      <w:r>
        <w:rPr>
          <w:rFonts w:ascii="Arial" w:eastAsia="宋体" w:hAnsi="Arial" w:cs="Arial"/>
          <w:color w:val="000000"/>
          <w:sz w:val="20"/>
          <w:szCs w:val="20"/>
        </w:rPr>
        <w:t>2020, the Federal Reserve issued results of 2020 resubmission stress tests and authorized us to continue to pay common stock dividends at current levels and to resume repurchasing common shares in the first quarter of 2021. In January 2021, our Board autho</w:t>
      </w:r>
      <w:r>
        <w:rPr>
          <w:rFonts w:ascii="Arial" w:eastAsia="宋体" w:hAnsi="Arial" w:cs="Arial"/>
          <w:color w:val="000000"/>
          <w:sz w:val="20"/>
          <w:szCs w:val="20"/>
        </w:rPr>
        <w:t>rized a common share repurchase program for the repurchase of up to $475 million of our common stock through March 31, 2021. We repurchased $475 million of our common stock in the first quarter of 2021. In April 2021, our Board authorized a common share re</w:t>
      </w:r>
      <w:r>
        <w:rPr>
          <w:rFonts w:ascii="Arial" w:eastAsia="宋体" w:hAnsi="Arial" w:cs="Arial"/>
          <w:color w:val="000000"/>
          <w:sz w:val="20"/>
          <w:szCs w:val="20"/>
        </w:rPr>
        <w:t>purchase program for the repurchase of up to $425 million of our common stock through June 30, 2021, in compliance with the limit set by the Federal Reserve. We repurchased $425 million of our common stock in the second quarter of 2021. In July 2021, our B</w:t>
      </w:r>
      <w:r>
        <w:rPr>
          <w:rFonts w:ascii="Arial" w:eastAsia="宋体" w:hAnsi="Arial" w:cs="Arial"/>
          <w:color w:val="000000"/>
          <w:sz w:val="20"/>
          <w:szCs w:val="20"/>
        </w:rPr>
        <w:t>oard authorized a share repurchase program for the repurchase of up to $3.0 billion of our common stock through the end of 2022.</w:t>
      </w:r>
    </w:p>
    <w:p w14:paraId="392C2BB1" w14:textId="77777777" w:rsidR="00980E5F" w:rsidRDefault="00483613">
      <w:pPr>
        <w:spacing w:before="60"/>
        <w:ind w:firstLine="450"/>
        <w:jc w:val="both"/>
      </w:pPr>
      <w:r>
        <w:rPr>
          <w:rFonts w:ascii="Arial" w:eastAsia="宋体" w:hAnsi="Arial" w:cs="Arial"/>
          <w:color w:val="000000"/>
          <w:sz w:val="20"/>
          <w:szCs w:val="20"/>
        </w:rPr>
        <w:t>In connection with our proposed acquisition of the BBH Investor Services business, we did not repurchase any common stock durin</w:t>
      </w:r>
      <w:r>
        <w:rPr>
          <w:rFonts w:ascii="Arial" w:eastAsia="宋体" w:hAnsi="Arial" w:cs="Arial"/>
          <w:color w:val="000000"/>
          <w:sz w:val="20"/>
          <w:szCs w:val="20"/>
        </w:rPr>
        <w:t xml:space="preserve">g the last half of 2021, as well as during the first half of 2022. In June 2022, we announced our intention to resume our common share repurchases during the fourth quarter of 2022 in an amount reflecting interest rate levels and market conditions at that </w:t>
      </w:r>
      <w:r>
        <w:rPr>
          <w:rFonts w:ascii="Arial" w:eastAsia="宋体" w:hAnsi="Arial" w:cs="Arial"/>
          <w:color w:val="000000"/>
          <w:sz w:val="20"/>
          <w:szCs w:val="20"/>
        </w:rPr>
        <w:t xml:space="preserve">time. Additionally, in July 2022, we declared third quarter common stock dividends of $0.63 per share, representing a 10% increase on a per share basis from both the third quarter 2021 and second quarter of 2022. </w:t>
      </w:r>
    </w:p>
    <w:p w14:paraId="392C2BB2" w14:textId="77777777" w:rsidR="00980E5F" w:rsidRDefault="00483613">
      <w:pPr>
        <w:spacing w:before="60"/>
        <w:ind w:firstLine="450"/>
      </w:pPr>
      <w:r>
        <w:rPr>
          <w:rFonts w:ascii="Arial" w:eastAsia="宋体" w:hAnsi="Arial" w:cs="Arial"/>
          <w:color w:val="000000"/>
          <w:sz w:val="20"/>
          <w:szCs w:val="20"/>
        </w:rPr>
        <w:t>The table below presents the activity unde</w:t>
      </w:r>
      <w:r>
        <w:rPr>
          <w:rFonts w:ascii="Arial" w:eastAsia="宋体" w:hAnsi="Arial" w:cs="Arial"/>
          <w:color w:val="000000"/>
          <w:sz w:val="20"/>
          <w:szCs w:val="20"/>
        </w:rPr>
        <w:t>r our common share repurchase program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6"/>
        <w:gridCol w:w="38"/>
        <w:gridCol w:w="1184"/>
        <w:gridCol w:w="38"/>
        <w:gridCol w:w="37"/>
        <w:gridCol w:w="37"/>
        <w:gridCol w:w="37"/>
        <w:gridCol w:w="95"/>
        <w:gridCol w:w="1145"/>
        <w:gridCol w:w="38"/>
        <w:gridCol w:w="36"/>
        <w:gridCol w:w="36"/>
        <w:gridCol w:w="36"/>
        <w:gridCol w:w="94"/>
        <w:gridCol w:w="1146"/>
        <w:gridCol w:w="37"/>
        <w:gridCol w:w="36"/>
        <w:gridCol w:w="36"/>
        <w:gridCol w:w="36"/>
        <w:gridCol w:w="38"/>
        <w:gridCol w:w="1170"/>
        <w:gridCol w:w="36"/>
        <w:gridCol w:w="36"/>
        <w:gridCol w:w="36"/>
        <w:gridCol w:w="36"/>
        <w:gridCol w:w="94"/>
        <w:gridCol w:w="1187"/>
        <w:gridCol w:w="37"/>
        <w:gridCol w:w="36"/>
        <w:gridCol w:w="36"/>
        <w:gridCol w:w="36"/>
        <w:gridCol w:w="94"/>
        <w:gridCol w:w="1187"/>
        <w:gridCol w:w="37"/>
      </w:tblGrid>
      <w:tr w:rsidR="00980E5F" w14:paraId="392C2BD5" w14:textId="77777777">
        <w:trPr>
          <w:hidden/>
        </w:trPr>
        <w:tc>
          <w:tcPr>
            <w:tcW w:w="0" w:type="auto"/>
            <w:shd w:val="clear" w:color="auto" w:fill="auto"/>
            <w:vAlign w:val="bottom"/>
          </w:tcPr>
          <w:p w14:paraId="392C2BB3" w14:textId="77777777" w:rsidR="00980E5F" w:rsidRDefault="00980E5F">
            <w:pPr>
              <w:rPr>
                <w:rFonts w:ascii="宋体"/>
                <w:vanish/>
              </w:rPr>
            </w:pPr>
          </w:p>
        </w:tc>
        <w:tc>
          <w:tcPr>
            <w:tcW w:w="50" w:type="pct"/>
            <w:shd w:val="clear" w:color="auto" w:fill="auto"/>
            <w:vAlign w:val="bottom"/>
          </w:tcPr>
          <w:p w14:paraId="392C2BB4" w14:textId="77777777" w:rsidR="00980E5F" w:rsidRDefault="00980E5F">
            <w:pPr>
              <w:rPr>
                <w:rFonts w:ascii="宋体"/>
              </w:rPr>
            </w:pPr>
          </w:p>
        </w:tc>
        <w:tc>
          <w:tcPr>
            <w:tcW w:w="747" w:type="pct"/>
            <w:shd w:val="clear" w:color="auto" w:fill="auto"/>
            <w:vAlign w:val="bottom"/>
          </w:tcPr>
          <w:p w14:paraId="392C2BB5" w14:textId="77777777" w:rsidR="00980E5F" w:rsidRDefault="00980E5F">
            <w:pPr>
              <w:rPr>
                <w:rFonts w:ascii="宋体"/>
              </w:rPr>
            </w:pPr>
          </w:p>
        </w:tc>
        <w:tc>
          <w:tcPr>
            <w:tcW w:w="5" w:type="pct"/>
            <w:shd w:val="clear" w:color="auto" w:fill="auto"/>
            <w:vAlign w:val="bottom"/>
          </w:tcPr>
          <w:p w14:paraId="392C2BB6" w14:textId="77777777" w:rsidR="00980E5F" w:rsidRDefault="00980E5F">
            <w:pPr>
              <w:rPr>
                <w:rFonts w:ascii="宋体"/>
              </w:rPr>
            </w:pPr>
          </w:p>
        </w:tc>
        <w:tc>
          <w:tcPr>
            <w:tcW w:w="5" w:type="pct"/>
            <w:shd w:val="clear" w:color="auto" w:fill="auto"/>
            <w:vAlign w:val="bottom"/>
          </w:tcPr>
          <w:p w14:paraId="392C2BB7" w14:textId="77777777" w:rsidR="00980E5F" w:rsidRDefault="00980E5F">
            <w:pPr>
              <w:rPr>
                <w:rFonts w:ascii="宋体"/>
              </w:rPr>
            </w:pPr>
          </w:p>
        </w:tc>
        <w:tc>
          <w:tcPr>
            <w:tcW w:w="26" w:type="pct"/>
            <w:shd w:val="clear" w:color="auto" w:fill="auto"/>
            <w:vAlign w:val="bottom"/>
          </w:tcPr>
          <w:p w14:paraId="392C2BB8" w14:textId="77777777" w:rsidR="00980E5F" w:rsidRDefault="00980E5F">
            <w:pPr>
              <w:rPr>
                <w:rFonts w:ascii="宋体"/>
              </w:rPr>
            </w:pPr>
          </w:p>
        </w:tc>
        <w:tc>
          <w:tcPr>
            <w:tcW w:w="5" w:type="pct"/>
            <w:shd w:val="clear" w:color="auto" w:fill="auto"/>
            <w:vAlign w:val="bottom"/>
          </w:tcPr>
          <w:p w14:paraId="392C2BB9" w14:textId="77777777" w:rsidR="00980E5F" w:rsidRDefault="00980E5F">
            <w:pPr>
              <w:rPr>
                <w:rFonts w:ascii="宋体"/>
              </w:rPr>
            </w:pPr>
          </w:p>
        </w:tc>
        <w:tc>
          <w:tcPr>
            <w:tcW w:w="50" w:type="pct"/>
            <w:shd w:val="clear" w:color="auto" w:fill="auto"/>
            <w:vAlign w:val="bottom"/>
          </w:tcPr>
          <w:p w14:paraId="392C2BBA" w14:textId="77777777" w:rsidR="00980E5F" w:rsidRDefault="00980E5F">
            <w:pPr>
              <w:rPr>
                <w:rFonts w:ascii="宋体"/>
              </w:rPr>
            </w:pPr>
          </w:p>
        </w:tc>
        <w:tc>
          <w:tcPr>
            <w:tcW w:w="747" w:type="pct"/>
            <w:shd w:val="clear" w:color="auto" w:fill="auto"/>
            <w:vAlign w:val="bottom"/>
          </w:tcPr>
          <w:p w14:paraId="392C2BBB" w14:textId="77777777" w:rsidR="00980E5F" w:rsidRDefault="00980E5F">
            <w:pPr>
              <w:rPr>
                <w:rFonts w:ascii="宋体"/>
              </w:rPr>
            </w:pPr>
          </w:p>
        </w:tc>
        <w:tc>
          <w:tcPr>
            <w:tcW w:w="5" w:type="pct"/>
            <w:shd w:val="clear" w:color="auto" w:fill="auto"/>
            <w:vAlign w:val="bottom"/>
          </w:tcPr>
          <w:p w14:paraId="392C2BBC" w14:textId="77777777" w:rsidR="00980E5F" w:rsidRDefault="00980E5F">
            <w:pPr>
              <w:rPr>
                <w:rFonts w:ascii="宋体"/>
              </w:rPr>
            </w:pPr>
          </w:p>
        </w:tc>
        <w:tc>
          <w:tcPr>
            <w:tcW w:w="5" w:type="pct"/>
            <w:shd w:val="clear" w:color="auto" w:fill="auto"/>
            <w:vAlign w:val="bottom"/>
          </w:tcPr>
          <w:p w14:paraId="392C2BBD" w14:textId="77777777" w:rsidR="00980E5F" w:rsidRDefault="00980E5F">
            <w:pPr>
              <w:rPr>
                <w:rFonts w:ascii="宋体"/>
              </w:rPr>
            </w:pPr>
          </w:p>
        </w:tc>
        <w:tc>
          <w:tcPr>
            <w:tcW w:w="26" w:type="pct"/>
            <w:shd w:val="clear" w:color="auto" w:fill="auto"/>
            <w:vAlign w:val="bottom"/>
          </w:tcPr>
          <w:p w14:paraId="392C2BBE" w14:textId="77777777" w:rsidR="00980E5F" w:rsidRDefault="00980E5F">
            <w:pPr>
              <w:rPr>
                <w:rFonts w:ascii="宋体"/>
              </w:rPr>
            </w:pPr>
          </w:p>
        </w:tc>
        <w:tc>
          <w:tcPr>
            <w:tcW w:w="5" w:type="pct"/>
            <w:shd w:val="clear" w:color="auto" w:fill="auto"/>
            <w:vAlign w:val="bottom"/>
          </w:tcPr>
          <w:p w14:paraId="392C2BBF" w14:textId="77777777" w:rsidR="00980E5F" w:rsidRDefault="00980E5F">
            <w:pPr>
              <w:rPr>
                <w:rFonts w:ascii="宋体"/>
              </w:rPr>
            </w:pPr>
          </w:p>
        </w:tc>
        <w:tc>
          <w:tcPr>
            <w:tcW w:w="50" w:type="pct"/>
            <w:shd w:val="clear" w:color="auto" w:fill="auto"/>
            <w:vAlign w:val="bottom"/>
          </w:tcPr>
          <w:p w14:paraId="392C2BC0" w14:textId="77777777" w:rsidR="00980E5F" w:rsidRDefault="00980E5F">
            <w:pPr>
              <w:rPr>
                <w:rFonts w:ascii="宋体"/>
              </w:rPr>
            </w:pPr>
          </w:p>
        </w:tc>
        <w:tc>
          <w:tcPr>
            <w:tcW w:w="747" w:type="pct"/>
            <w:shd w:val="clear" w:color="auto" w:fill="auto"/>
            <w:vAlign w:val="bottom"/>
          </w:tcPr>
          <w:p w14:paraId="392C2BC1" w14:textId="77777777" w:rsidR="00980E5F" w:rsidRDefault="00980E5F">
            <w:pPr>
              <w:rPr>
                <w:rFonts w:ascii="宋体"/>
              </w:rPr>
            </w:pPr>
          </w:p>
        </w:tc>
        <w:tc>
          <w:tcPr>
            <w:tcW w:w="5" w:type="pct"/>
            <w:shd w:val="clear" w:color="auto" w:fill="auto"/>
            <w:vAlign w:val="bottom"/>
          </w:tcPr>
          <w:p w14:paraId="392C2BC2" w14:textId="77777777" w:rsidR="00980E5F" w:rsidRDefault="00980E5F">
            <w:pPr>
              <w:rPr>
                <w:rFonts w:ascii="宋体"/>
              </w:rPr>
            </w:pPr>
          </w:p>
        </w:tc>
        <w:tc>
          <w:tcPr>
            <w:tcW w:w="5" w:type="pct"/>
            <w:shd w:val="clear" w:color="auto" w:fill="auto"/>
            <w:vAlign w:val="bottom"/>
          </w:tcPr>
          <w:p w14:paraId="392C2BC3" w14:textId="77777777" w:rsidR="00980E5F" w:rsidRDefault="00980E5F">
            <w:pPr>
              <w:rPr>
                <w:rFonts w:ascii="宋体"/>
              </w:rPr>
            </w:pPr>
          </w:p>
        </w:tc>
        <w:tc>
          <w:tcPr>
            <w:tcW w:w="41" w:type="pct"/>
            <w:shd w:val="clear" w:color="auto" w:fill="auto"/>
            <w:vAlign w:val="bottom"/>
          </w:tcPr>
          <w:p w14:paraId="392C2BC4" w14:textId="77777777" w:rsidR="00980E5F" w:rsidRDefault="00980E5F">
            <w:pPr>
              <w:rPr>
                <w:rFonts w:ascii="宋体"/>
              </w:rPr>
            </w:pPr>
          </w:p>
        </w:tc>
        <w:tc>
          <w:tcPr>
            <w:tcW w:w="5" w:type="pct"/>
            <w:shd w:val="clear" w:color="auto" w:fill="auto"/>
            <w:vAlign w:val="bottom"/>
          </w:tcPr>
          <w:p w14:paraId="392C2BC5" w14:textId="77777777" w:rsidR="00980E5F" w:rsidRDefault="00980E5F">
            <w:pPr>
              <w:rPr>
                <w:rFonts w:ascii="宋体"/>
              </w:rPr>
            </w:pPr>
          </w:p>
        </w:tc>
        <w:tc>
          <w:tcPr>
            <w:tcW w:w="50" w:type="pct"/>
            <w:shd w:val="clear" w:color="auto" w:fill="auto"/>
            <w:vAlign w:val="bottom"/>
          </w:tcPr>
          <w:p w14:paraId="392C2BC6" w14:textId="77777777" w:rsidR="00980E5F" w:rsidRDefault="00980E5F">
            <w:pPr>
              <w:rPr>
                <w:rFonts w:ascii="宋体"/>
              </w:rPr>
            </w:pPr>
          </w:p>
        </w:tc>
        <w:tc>
          <w:tcPr>
            <w:tcW w:w="747" w:type="pct"/>
            <w:shd w:val="clear" w:color="auto" w:fill="auto"/>
            <w:vAlign w:val="bottom"/>
          </w:tcPr>
          <w:p w14:paraId="392C2BC7" w14:textId="77777777" w:rsidR="00980E5F" w:rsidRDefault="00980E5F">
            <w:pPr>
              <w:rPr>
                <w:rFonts w:ascii="宋体"/>
              </w:rPr>
            </w:pPr>
          </w:p>
        </w:tc>
        <w:tc>
          <w:tcPr>
            <w:tcW w:w="5" w:type="pct"/>
            <w:shd w:val="clear" w:color="auto" w:fill="auto"/>
            <w:vAlign w:val="bottom"/>
          </w:tcPr>
          <w:p w14:paraId="392C2BC8" w14:textId="77777777" w:rsidR="00980E5F" w:rsidRDefault="00980E5F">
            <w:pPr>
              <w:rPr>
                <w:rFonts w:ascii="宋体"/>
              </w:rPr>
            </w:pPr>
          </w:p>
        </w:tc>
        <w:tc>
          <w:tcPr>
            <w:tcW w:w="5" w:type="pct"/>
            <w:shd w:val="clear" w:color="auto" w:fill="auto"/>
            <w:vAlign w:val="bottom"/>
          </w:tcPr>
          <w:p w14:paraId="392C2BC9" w14:textId="77777777" w:rsidR="00980E5F" w:rsidRDefault="00980E5F">
            <w:pPr>
              <w:rPr>
                <w:rFonts w:ascii="宋体"/>
              </w:rPr>
            </w:pPr>
          </w:p>
        </w:tc>
        <w:tc>
          <w:tcPr>
            <w:tcW w:w="19" w:type="pct"/>
            <w:shd w:val="clear" w:color="auto" w:fill="auto"/>
            <w:vAlign w:val="bottom"/>
          </w:tcPr>
          <w:p w14:paraId="392C2BCA" w14:textId="77777777" w:rsidR="00980E5F" w:rsidRDefault="00980E5F">
            <w:pPr>
              <w:rPr>
                <w:rFonts w:ascii="宋体"/>
              </w:rPr>
            </w:pPr>
          </w:p>
        </w:tc>
        <w:tc>
          <w:tcPr>
            <w:tcW w:w="5" w:type="pct"/>
            <w:shd w:val="clear" w:color="auto" w:fill="auto"/>
            <w:vAlign w:val="bottom"/>
          </w:tcPr>
          <w:p w14:paraId="392C2BCB" w14:textId="77777777" w:rsidR="00980E5F" w:rsidRDefault="00980E5F">
            <w:pPr>
              <w:rPr>
                <w:rFonts w:ascii="宋体"/>
              </w:rPr>
            </w:pPr>
          </w:p>
        </w:tc>
        <w:tc>
          <w:tcPr>
            <w:tcW w:w="50" w:type="pct"/>
            <w:shd w:val="clear" w:color="auto" w:fill="auto"/>
            <w:vAlign w:val="bottom"/>
          </w:tcPr>
          <w:p w14:paraId="392C2BCC" w14:textId="77777777" w:rsidR="00980E5F" w:rsidRDefault="00980E5F">
            <w:pPr>
              <w:rPr>
                <w:rFonts w:ascii="宋体"/>
              </w:rPr>
            </w:pPr>
          </w:p>
        </w:tc>
        <w:tc>
          <w:tcPr>
            <w:tcW w:w="747" w:type="pct"/>
            <w:shd w:val="clear" w:color="auto" w:fill="auto"/>
            <w:vAlign w:val="bottom"/>
          </w:tcPr>
          <w:p w14:paraId="392C2BCD" w14:textId="77777777" w:rsidR="00980E5F" w:rsidRDefault="00980E5F">
            <w:pPr>
              <w:rPr>
                <w:rFonts w:ascii="宋体"/>
              </w:rPr>
            </w:pPr>
          </w:p>
        </w:tc>
        <w:tc>
          <w:tcPr>
            <w:tcW w:w="5" w:type="pct"/>
            <w:shd w:val="clear" w:color="auto" w:fill="auto"/>
            <w:vAlign w:val="bottom"/>
          </w:tcPr>
          <w:p w14:paraId="392C2BCE" w14:textId="77777777" w:rsidR="00980E5F" w:rsidRDefault="00980E5F">
            <w:pPr>
              <w:rPr>
                <w:rFonts w:ascii="宋体"/>
              </w:rPr>
            </w:pPr>
          </w:p>
        </w:tc>
        <w:tc>
          <w:tcPr>
            <w:tcW w:w="5" w:type="pct"/>
            <w:shd w:val="clear" w:color="auto" w:fill="auto"/>
            <w:vAlign w:val="bottom"/>
          </w:tcPr>
          <w:p w14:paraId="392C2BCF" w14:textId="77777777" w:rsidR="00980E5F" w:rsidRDefault="00980E5F">
            <w:pPr>
              <w:rPr>
                <w:rFonts w:ascii="宋体"/>
              </w:rPr>
            </w:pPr>
          </w:p>
        </w:tc>
        <w:tc>
          <w:tcPr>
            <w:tcW w:w="19" w:type="pct"/>
            <w:shd w:val="clear" w:color="auto" w:fill="auto"/>
            <w:vAlign w:val="bottom"/>
          </w:tcPr>
          <w:p w14:paraId="392C2BD0" w14:textId="77777777" w:rsidR="00980E5F" w:rsidRDefault="00980E5F">
            <w:pPr>
              <w:rPr>
                <w:rFonts w:ascii="宋体"/>
              </w:rPr>
            </w:pPr>
          </w:p>
        </w:tc>
        <w:tc>
          <w:tcPr>
            <w:tcW w:w="5" w:type="pct"/>
            <w:shd w:val="clear" w:color="auto" w:fill="auto"/>
            <w:vAlign w:val="bottom"/>
          </w:tcPr>
          <w:p w14:paraId="392C2BD1" w14:textId="77777777" w:rsidR="00980E5F" w:rsidRDefault="00980E5F">
            <w:pPr>
              <w:rPr>
                <w:rFonts w:ascii="宋体"/>
              </w:rPr>
            </w:pPr>
          </w:p>
        </w:tc>
        <w:tc>
          <w:tcPr>
            <w:tcW w:w="50" w:type="pct"/>
            <w:shd w:val="clear" w:color="auto" w:fill="auto"/>
            <w:vAlign w:val="bottom"/>
          </w:tcPr>
          <w:p w14:paraId="392C2BD2" w14:textId="77777777" w:rsidR="00980E5F" w:rsidRDefault="00980E5F">
            <w:pPr>
              <w:rPr>
                <w:rFonts w:ascii="宋体"/>
              </w:rPr>
            </w:pPr>
          </w:p>
        </w:tc>
        <w:tc>
          <w:tcPr>
            <w:tcW w:w="747" w:type="pct"/>
            <w:shd w:val="clear" w:color="auto" w:fill="auto"/>
            <w:vAlign w:val="bottom"/>
          </w:tcPr>
          <w:p w14:paraId="392C2BD3" w14:textId="77777777" w:rsidR="00980E5F" w:rsidRDefault="00980E5F">
            <w:pPr>
              <w:rPr>
                <w:rFonts w:ascii="宋体"/>
              </w:rPr>
            </w:pPr>
          </w:p>
        </w:tc>
        <w:tc>
          <w:tcPr>
            <w:tcW w:w="5" w:type="pct"/>
            <w:shd w:val="clear" w:color="auto" w:fill="auto"/>
            <w:vAlign w:val="bottom"/>
          </w:tcPr>
          <w:p w14:paraId="392C2BD4" w14:textId="77777777" w:rsidR="00980E5F" w:rsidRDefault="00980E5F">
            <w:pPr>
              <w:rPr>
                <w:rFonts w:ascii="宋体"/>
              </w:rPr>
            </w:pPr>
          </w:p>
        </w:tc>
      </w:tr>
      <w:tr w:rsidR="00980E5F" w14:paraId="392C2BDE" w14:textId="77777777">
        <w:trPr>
          <w:hidden/>
        </w:trPr>
        <w:tc>
          <w:tcPr>
            <w:tcW w:w="0" w:type="auto"/>
            <w:shd w:val="clear" w:color="auto" w:fill="auto"/>
            <w:vAlign w:val="bottom"/>
          </w:tcPr>
          <w:p w14:paraId="392C2BD6" w14:textId="77777777" w:rsidR="00980E5F" w:rsidRDefault="00980E5F">
            <w:pPr>
              <w:rPr>
                <w:rFonts w:ascii="宋体"/>
                <w:vanish/>
              </w:rPr>
            </w:pPr>
          </w:p>
        </w:tc>
        <w:tc>
          <w:tcPr>
            <w:tcW w:w="0" w:type="auto"/>
            <w:gridSpan w:val="15"/>
            <w:shd w:val="clear" w:color="auto" w:fill="auto"/>
            <w:tcMar>
              <w:top w:w="40" w:type="dxa"/>
              <w:left w:w="20" w:type="dxa"/>
              <w:bottom w:w="40" w:type="dxa"/>
              <w:right w:w="20" w:type="dxa"/>
            </w:tcMar>
            <w:vAlign w:val="bottom"/>
          </w:tcPr>
          <w:p w14:paraId="392C2BD7" w14:textId="77777777" w:rsidR="00980E5F" w:rsidRDefault="00483613">
            <w:pPr>
              <w:textAlignment w:val="bottom"/>
            </w:pPr>
            <w:r>
              <w:rPr>
                <w:rFonts w:ascii="Arial" w:eastAsia="宋体" w:hAnsi="Arial" w:cs="Arial"/>
                <w:b/>
                <w:bCs/>
                <w:color w:val="000000"/>
                <w:sz w:val="16"/>
                <w:szCs w:val="16"/>
              </w:rPr>
              <w:t>TABLE 41: SHARES REPURCHASED</w:t>
            </w:r>
          </w:p>
        </w:tc>
        <w:tc>
          <w:tcPr>
            <w:tcW w:w="0" w:type="auto"/>
            <w:gridSpan w:val="3"/>
            <w:shd w:val="clear" w:color="auto" w:fill="auto"/>
            <w:tcMar>
              <w:top w:w="0" w:type="dxa"/>
              <w:left w:w="20" w:type="dxa"/>
              <w:bottom w:w="0" w:type="dxa"/>
              <w:right w:w="20" w:type="dxa"/>
            </w:tcMar>
            <w:vAlign w:val="bottom"/>
          </w:tcPr>
          <w:p w14:paraId="392C2B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BDD" w14:textId="77777777" w:rsidR="00980E5F" w:rsidRDefault="00980E5F">
            <w:pPr>
              <w:rPr>
                <w:rFonts w:ascii="宋体"/>
              </w:rPr>
            </w:pPr>
          </w:p>
        </w:tc>
      </w:tr>
      <w:tr w:rsidR="00980E5F" w14:paraId="392C2BFB" w14:textId="77777777">
        <w:trPr>
          <w:hidden/>
        </w:trPr>
        <w:tc>
          <w:tcPr>
            <w:tcW w:w="0" w:type="auto"/>
            <w:shd w:val="clear" w:color="auto" w:fill="auto"/>
            <w:vAlign w:val="bottom"/>
          </w:tcPr>
          <w:p w14:paraId="392C2BDF" w14:textId="77777777" w:rsidR="00980E5F" w:rsidRDefault="00980E5F">
            <w:pPr>
              <w:rPr>
                <w:rFonts w:ascii="宋体"/>
                <w:vanish/>
              </w:rPr>
            </w:pPr>
          </w:p>
        </w:tc>
        <w:tc>
          <w:tcPr>
            <w:tcW w:w="0" w:type="auto"/>
            <w:gridSpan w:val="3"/>
            <w:shd w:val="clear" w:color="auto" w:fill="auto"/>
            <w:vAlign w:val="bottom"/>
          </w:tcPr>
          <w:p w14:paraId="392C2BE0" w14:textId="77777777" w:rsidR="00980E5F" w:rsidRDefault="00980E5F">
            <w:pPr>
              <w:rPr>
                <w:rFonts w:ascii="宋体"/>
                <w:vanish/>
              </w:rPr>
            </w:pPr>
          </w:p>
        </w:tc>
        <w:tc>
          <w:tcPr>
            <w:tcW w:w="0" w:type="auto"/>
            <w:gridSpan w:val="3"/>
            <w:shd w:val="clear" w:color="auto" w:fill="auto"/>
            <w:vAlign w:val="bottom"/>
          </w:tcPr>
          <w:p w14:paraId="392C2BE1" w14:textId="77777777" w:rsidR="00980E5F" w:rsidRDefault="00980E5F">
            <w:pPr>
              <w:rPr>
                <w:rFonts w:ascii="宋体"/>
                <w:vanish/>
              </w:rPr>
            </w:pPr>
          </w:p>
        </w:tc>
        <w:tc>
          <w:tcPr>
            <w:tcW w:w="0" w:type="auto"/>
            <w:gridSpan w:val="3"/>
            <w:shd w:val="clear" w:color="auto" w:fill="auto"/>
            <w:vAlign w:val="bottom"/>
          </w:tcPr>
          <w:p w14:paraId="392C2BE2" w14:textId="77777777" w:rsidR="00980E5F" w:rsidRDefault="00980E5F">
            <w:pPr>
              <w:rPr>
                <w:rFonts w:ascii="宋体"/>
                <w:vanish/>
              </w:rPr>
            </w:pPr>
          </w:p>
        </w:tc>
        <w:tc>
          <w:tcPr>
            <w:tcW w:w="0" w:type="auto"/>
            <w:shd w:val="clear" w:color="auto" w:fill="auto"/>
            <w:vAlign w:val="bottom"/>
          </w:tcPr>
          <w:p w14:paraId="392C2BE3" w14:textId="77777777" w:rsidR="00980E5F" w:rsidRDefault="00980E5F">
            <w:pPr>
              <w:rPr>
                <w:rFonts w:ascii="宋体"/>
              </w:rPr>
            </w:pPr>
          </w:p>
        </w:tc>
        <w:tc>
          <w:tcPr>
            <w:tcW w:w="0" w:type="auto"/>
            <w:shd w:val="clear" w:color="auto" w:fill="auto"/>
            <w:vAlign w:val="bottom"/>
          </w:tcPr>
          <w:p w14:paraId="392C2BE4" w14:textId="77777777" w:rsidR="00980E5F" w:rsidRDefault="00980E5F">
            <w:pPr>
              <w:rPr>
                <w:rFonts w:ascii="宋体"/>
              </w:rPr>
            </w:pPr>
          </w:p>
        </w:tc>
        <w:tc>
          <w:tcPr>
            <w:tcW w:w="0" w:type="auto"/>
            <w:shd w:val="clear" w:color="auto" w:fill="auto"/>
            <w:vAlign w:val="bottom"/>
          </w:tcPr>
          <w:p w14:paraId="392C2BE5" w14:textId="77777777" w:rsidR="00980E5F" w:rsidRDefault="00980E5F">
            <w:pPr>
              <w:rPr>
                <w:rFonts w:ascii="宋体"/>
              </w:rPr>
            </w:pPr>
          </w:p>
        </w:tc>
        <w:tc>
          <w:tcPr>
            <w:tcW w:w="0" w:type="auto"/>
            <w:shd w:val="clear" w:color="auto" w:fill="auto"/>
            <w:vAlign w:val="bottom"/>
          </w:tcPr>
          <w:p w14:paraId="392C2BE6" w14:textId="77777777" w:rsidR="00980E5F" w:rsidRDefault="00980E5F">
            <w:pPr>
              <w:rPr>
                <w:rFonts w:ascii="宋体"/>
              </w:rPr>
            </w:pPr>
          </w:p>
        </w:tc>
        <w:tc>
          <w:tcPr>
            <w:tcW w:w="0" w:type="auto"/>
            <w:shd w:val="clear" w:color="auto" w:fill="auto"/>
            <w:vAlign w:val="bottom"/>
          </w:tcPr>
          <w:p w14:paraId="392C2BE7" w14:textId="77777777" w:rsidR="00980E5F" w:rsidRDefault="00980E5F">
            <w:pPr>
              <w:rPr>
                <w:rFonts w:ascii="宋体"/>
              </w:rPr>
            </w:pPr>
          </w:p>
        </w:tc>
        <w:tc>
          <w:tcPr>
            <w:tcW w:w="0" w:type="auto"/>
            <w:shd w:val="clear" w:color="auto" w:fill="auto"/>
            <w:vAlign w:val="bottom"/>
          </w:tcPr>
          <w:p w14:paraId="392C2BE8" w14:textId="77777777" w:rsidR="00980E5F" w:rsidRDefault="00980E5F">
            <w:pPr>
              <w:rPr>
                <w:rFonts w:ascii="宋体"/>
              </w:rPr>
            </w:pPr>
          </w:p>
        </w:tc>
        <w:tc>
          <w:tcPr>
            <w:tcW w:w="0" w:type="auto"/>
            <w:shd w:val="clear" w:color="auto" w:fill="auto"/>
            <w:vAlign w:val="bottom"/>
          </w:tcPr>
          <w:p w14:paraId="392C2BE9" w14:textId="77777777" w:rsidR="00980E5F" w:rsidRDefault="00980E5F">
            <w:pPr>
              <w:rPr>
                <w:rFonts w:ascii="宋体"/>
              </w:rPr>
            </w:pPr>
          </w:p>
        </w:tc>
        <w:tc>
          <w:tcPr>
            <w:tcW w:w="0" w:type="auto"/>
            <w:shd w:val="clear" w:color="auto" w:fill="auto"/>
            <w:vAlign w:val="bottom"/>
          </w:tcPr>
          <w:p w14:paraId="392C2BEA" w14:textId="77777777" w:rsidR="00980E5F" w:rsidRDefault="00980E5F">
            <w:pPr>
              <w:rPr>
                <w:rFonts w:ascii="宋体"/>
              </w:rPr>
            </w:pPr>
          </w:p>
        </w:tc>
        <w:tc>
          <w:tcPr>
            <w:tcW w:w="0" w:type="auto"/>
            <w:shd w:val="clear" w:color="auto" w:fill="auto"/>
            <w:vAlign w:val="bottom"/>
          </w:tcPr>
          <w:p w14:paraId="392C2BEB" w14:textId="77777777" w:rsidR="00980E5F" w:rsidRDefault="00980E5F">
            <w:pPr>
              <w:rPr>
                <w:rFonts w:ascii="宋体"/>
              </w:rPr>
            </w:pPr>
          </w:p>
        </w:tc>
        <w:tc>
          <w:tcPr>
            <w:tcW w:w="0" w:type="auto"/>
            <w:shd w:val="clear" w:color="auto" w:fill="auto"/>
            <w:vAlign w:val="bottom"/>
          </w:tcPr>
          <w:p w14:paraId="392C2BEC" w14:textId="77777777" w:rsidR="00980E5F" w:rsidRDefault="00980E5F">
            <w:pPr>
              <w:rPr>
                <w:rFonts w:ascii="宋体"/>
              </w:rPr>
            </w:pPr>
          </w:p>
        </w:tc>
        <w:tc>
          <w:tcPr>
            <w:tcW w:w="0" w:type="auto"/>
            <w:shd w:val="clear" w:color="auto" w:fill="auto"/>
            <w:vAlign w:val="bottom"/>
          </w:tcPr>
          <w:p w14:paraId="392C2BED" w14:textId="77777777" w:rsidR="00980E5F" w:rsidRDefault="00980E5F">
            <w:pPr>
              <w:rPr>
                <w:rFonts w:ascii="宋体"/>
              </w:rPr>
            </w:pPr>
          </w:p>
        </w:tc>
        <w:tc>
          <w:tcPr>
            <w:tcW w:w="0" w:type="auto"/>
            <w:shd w:val="clear" w:color="auto" w:fill="auto"/>
            <w:vAlign w:val="bottom"/>
          </w:tcPr>
          <w:p w14:paraId="392C2BEE" w14:textId="77777777" w:rsidR="00980E5F" w:rsidRDefault="00980E5F">
            <w:pPr>
              <w:rPr>
                <w:rFonts w:ascii="宋体"/>
              </w:rPr>
            </w:pPr>
          </w:p>
        </w:tc>
        <w:tc>
          <w:tcPr>
            <w:tcW w:w="0" w:type="auto"/>
            <w:shd w:val="clear" w:color="auto" w:fill="auto"/>
            <w:vAlign w:val="bottom"/>
          </w:tcPr>
          <w:p w14:paraId="392C2BEF" w14:textId="77777777" w:rsidR="00980E5F" w:rsidRDefault="00980E5F">
            <w:pPr>
              <w:rPr>
                <w:rFonts w:ascii="宋体"/>
              </w:rPr>
            </w:pPr>
          </w:p>
        </w:tc>
        <w:tc>
          <w:tcPr>
            <w:tcW w:w="0" w:type="auto"/>
            <w:shd w:val="clear" w:color="auto" w:fill="auto"/>
            <w:vAlign w:val="bottom"/>
          </w:tcPr>
          <w:p w14:paraId="392C2BF0" w14:textId="77777777" w:rsidR="00980E5F" w:rsidRDefault="00980E5F">
            <w:pPr>
              <w:rPr>
                <w:rFonts w:ascii="宋体"/>
              </w:rPr>
            </w:pPr>
          </w:p>
        </w:tc>
        <w:tc>
          <w:tcPr>
            <w:tcW w:w="0" w:type="auto"/>
            <w:shd w:val="clear" w:color="auto" w:fill="auto"/>
            <w:vAlign w:val="bottom"/>
          </w:tcPr>
          <w:p w14:paraId="392C2BF1" w14:textId="77777777" w:rsidR="00980E5F" w:rsidRDefault="00980E5F">
            <w:pPr>
              <w:rPr>
                <w:rFonts w:ascii="宋体"/>
              </w:rPr>
            </w:pPr>
          </w:p>
        </w:tc>
        <w:tc>
          <w:tcPr>
            <w:tcW w:w="0" w:type="auto"/>
            <w:shd w:val="clear" w:color="auto" w:fill="auto"/>
            <w:vAlign w:val="bottom"/>
          </w:tcPr>
          <w:p w14:paraId="392C2BF2" w14:textId="77777777" w:rsidR="00980E5F" w:rsidRDefault="00980E5F">
            <w:pPr>
              <w:rPr>
                <w:rFonts w:ascii="宋体"/>
              </w:rPr>
            </w:pPr>
          </w:p>
        </w:tc>
        <w:tc>
          <w:tcPr>
            <w:tcW w:w="0" w:type="auto"/>
            <w:shd w:val="clear" w:color="auto" w:fill="auto"/>
            <w:vAlign w:val="bottom"/>
          </w:tcPr>
          <w:p w14:paraId="392C2BF3" w14:textId="77777777" w:rsidR="00980E5F" w:rsidRDefault="00980E5F">
            <w:pPr>
              <w:rPr>
                <w:rFonts w:ascii="宋体"/>
              </w:rPr>
            </w:pPr>
          </w:p>
        </w:tc>
        <w:tc>
          <w:tcPr>
            <w:tcW w:w="0" w:type="auto"/>
            <w:shd w:val="clear" w:color="auto" w:fill="auto"/>
            <w:vAlign w:val="bottom"/>
          </w:tcPr>
          <w:p w14:paraId="392C2BF4" w14:textId="77777777" w:rsidR="00980E5F" w:rsidRDefault="00980E5F">
            <w:pPr>
              <w:rPr>
                <w:rFonts w:ascii="宋体"/>
              </w:rPr>
            </w:pPr>
          </w:p>
        </w:tc>
        <w:tc>
          <w:tcPr>
            <w:tcW w:w="0" w:type="auto"/>
            <w:shd w:val="clear" w:color="auto" w:fill="auto"/>
            <w:vAlign w:val="bottom"/>
          </w:tcPr>
          <w:p w14:paraId="392C2BF5" w14:textId="77777777" w:rsidR="00980E5F" w:rsidRDefault="00980E5F">
            <w:pPr>
              <w:rPr>
                <w:rFonts w:ascii="宋体"/>
              </w:rPr>
            </w:pPr>
          </w:p>
        </w:tc>
        <w:tc>
          <w:tcPr>
            <w:tcW w:w="0" w:type="auto"/>
            <w:shd w:val="clear" w:color="auto" w:fill="auto"/>
            <w:vAlign w:val="bottom"/>
          </w:tcPr>
          <w:p w14:paraId="392C2BF6" w14:textId="77777777" w:rsidR="00980E5F" w:rsidRDefault="00980E5F">
            <w:pPr>
              <w:rPr>
                <w:rFonts w:ascii="宋体"/>
              </w:rPr>
            </w:pPr>
          </w:p>
        </w:tc>
        <w:tc>
          <w:tcPr>
            <w:tcW w:w="0" w:type="auto"/>
            <w:shd w:val="clear" w:color="auto" w:fill="auto"/>
            <w:vAlign w:val="bottom"/>
          </w:tcPr>
          <w:p w14:paraId="392C2BF7" w14:textId="77777777" w:rsidR="00980E5F" w:rsidRDefault="00980E5F">
            <w:pPr>
              <w:rPr>
                <w:rFonts w:ascii="宋体"/>
              </w:rPr>
            </w:pPr>
          </w:p>
        </w:tc>
        <w:tc>
          <w:tcPr>
            <w:tcW w:w="0" w:type="auto"/>
            <w:shd w:val="clear" w:color="auto" w:fill="auto"/>
            <w:vAlign w:val="bottom"/>
          </w:tcPr>
          <w:p w14:paraId="392C2BF8" w14:textId="77777777" w:rsidR="00980E5F" w:rsidRDefault="00980E5F">
            <w:pPr>
              <w:rPr>
                <w:rFonts w:ascii="宋体"/>
              </w:rPr>
            </w:pPr>
          </w:p>
        </w:tc>
        <w:tc>
          <w:tcPr>
            <w:tcW w:w="0" w:type="auto"/>
            <w:shd w:val="clear" w:color="auto" w:fill="auto"/>
            <w:vAlign w:val="bottom"/>
          </w:tcPr>
          <w:p w14:paraId="392C2BF9" w14:textId="77777777" w:rsidR="00980E5F" w:rsidRDefault="00980E5F">
            <w:pPr>
              <w:rPr>
                <w:rFonts w:ascii="宋体"/>
              </w:rPr>
            </w:pPr>
          </w:p>
        </w:tc>
        <w:tc>
          <w:tcPr>
            <w:tcW w:w="0" w:type="auto"/>
            <w:shd w:val="clear" w:color="auto" w:fill="auto"/>
            <w:vAlign w:val="bottom"/>
          </w:tcPr>
          <w:p w14:paraId="392C2BFA" w14:textId="77777777" w:rsidR="00980E5F" w:rsidRDefault="00980E5F">
            <w:pPr>
              <w:rPr>
                <w:rFonts w:ascii="宋体"/>
              </w:rPr>
            </w:pPr>
          </w:p>
        </w:tc>
      </w:tr>
      <w:tr w:rsidR="00980E5F" w14:paraId="392C2C08" w14:textId="77777777">
        <w:trPr>
          <w:hidden/>
        </w:trPr>
        <w:tc>
          <w:tcPr>
            <w:tcW w:w="0" w:type="auto"/>
            <w:shd w:val="clear" w:color="auto" w:fill="auto"/>
            <w:vAlign w:val="bottom"/>
          </w:tcPr>
          <w:p w14:paraId="392C2BFC" w14:textId="77777777" w:rsidR="00980E5F" w:rsidRDefault="00980E5F">
            <w:pPr>
              <w:rPr>
                <w:rFonts w:ascii="宋体"/>
                <w:vanish/>
              </w:rPr>
            </w:pPr>
          </w:p>
        </w:tc>
        <w:tc>
          <w:tcPr>
            <w:tcW w:w="0" w:type="auto"/>
            <w:gridSpan w:val="3"/>
            <w:shd w:val="clear" w:color="auto" w:fill="auto"/>
            <w:vAlign w:val="bottom"/>
          </w:tcPr>
          <w:p w14:paraId="392C2BFD" w14:textId="77777777" w:rsidR="00980E5F" w:rsidRDefault="00980E5F">
            <w:pPr>
              <w:rPr>
                <w:rFonts w:ascii="宋体"/>
                <w:vanish/>
              </w:rPr>
            </w:pPr>
          </w:p>
        </w:tc>
        <w:tc>
          <w:tcPr>
            <w:tcW w:w="0" w:type="auto"/>
            <w:gridSpan w:val="3"/>
            <w:shd w:val="clear" w:color="auto" w:fill="auto"/>
            <w:vAlign w:val="bottom"/>
          </w:tcPr>
          <w:p w14:paraId="392C2BFE" w14:textId="77777777" w:rsidR="00980E5F" w:rsidRDefault="00980E5F">
            <w:pPr>
              <w:rPr>
                <w:rFonts w:ascii="宋体"/>
                <w:vanish/>
              </w:rPr>
            </w:pPr>
          </w:p>
        </w:tc>
        <w:tc>
          <w:tcPr>
            <w:tcW w:w="0" w:type="auto"/>
            <w:gridSpan w:val="3"/>
            <w:shd w:val="clear" w:color="auto" w:fill="auto"/>
            <w:vAlign w:val="bottom"/>
          </w:tcPr>
          <w:p w14:paraId="392C2BFF" w14:textId="77777777" w:rsidR="00980E5F" w:rsidRDefault="00980E5F">
            <w:pPr>
              <w:rPr>
                <w:rFonts w:ascii="宋体"/>
                <w:vanish/>
              </w:rPr>
            </w:pPr>
          </w:p>
        </w:tc>
        <w:tc>
          <w:tcPr>
            <w:tcW w:w="0" w:type="auto"/>
            <w:gridSpan w:val="3"/>
            <w:shd w:val="clear" w:color="auto" w:fill="auto"/>
            <w:vAlign w:val="bottom"/>
          </w:tcPr>
          <w:p w14:paraId="392C2C00" w14:textId="77777777" w:rsidR="00980E5F" w:rsidRDefault="00980E5F">
            <w:pPr>
              <w:rPr>
                <w:rFonts w:ascii="宋体"/>
                <w:vanish/>
              </w:rPr>
            </w:pPr>
          </w:p>
        </w:tc>
        <w:tc>
          <w:tcPr>
            <w:tcW w:w="0" w:type="auto"/>
            <w:gridSpan w:val="3"/>
            <w:shd w:val="clear" w:color="auto" w:fill="auto"/>
            <w:vAlign w:val="bottom"/>
          </w:tcPr>
          <w:p w14:paraId="392C2C01" w14:textId="77777777" w:rsidR="00980E5F" w:rsidRDefault="00980E5F">
            <w:pPr>
              <w:rPr>
                <w:rFonts w:ascii="宋体"/>
                <w:vanish/>
              </w:rPr>
            </w:pPr>
          </w:p>
        </w:tc>
        <w:tc>
          <w:tcPr>
            <w:tcW w:w="0" w:type="auto"/>
            <w:gridSpan w:val="3"/>
            <w:shd w:val="clear" w:color="auto" w:fill="auto"/>
            <w:vAlign w:val="bottom"/>
          </w:tcPr>
          <w:p w14:paraId="392C2C02" w14:textId="77777777" w:rsidR="00980E5F" w:rsidRDefault="00980E5F">
            <w:pPr>
              <w:rPr>
                <w:rFonts w:ascii="宋体"/>
                <w:vanish/>
              </w:rPr>
            </w:pPr>
          </w:p>
        </w:tc>
        <w:tc>
          <w:tcPr>
            <w:tcW w:w="0" w:type="auto"/>
            <w:gridSpan w:val="3"/>
            <w:shd w:val="clear" w:color="auto" w:fill="auto"/>
            <w:vAlign w:val="bottom"/>
          </w:tcPr>
          <w:p w14:paraId="392C2C03" w14:textId="77777777" w:rsidR="00980E5F" w:rsidRDefault="00980E5F">
            <w:pPr>
              <w:rPr>
                <w:rFonts w:ascii="宋体"/>
                <w:vanish/>
              </w:rPr>
            </w:pPr>
          </w:p>
        </w:tc>
        <w:tc>
          <w:tcPr>
            <w:tcW w:w="0" w:type="auto"/>
            <w:gridSpan w:val="3"/>
            <w:shd w:val="clear" w:color="auto" w:fill="auto"/>
            <w:vAlign w:val="bottom"/>
          </w:tcPr>
          <w:p w14:paraId="392C2C04" w14:textId="77777777" w:rsidR="00980E5F" w:rsidRDefault="00980E5F">
            <w:pPr>
              <w:rPr>
                <w:rFonts w:ascii="宋体"/>
                <w:vanish/>
              </w:rPr>
            </w:pPr>
          </w:p>
        </w:tc>
        <w:tc>
          <w:tcPr>
            <w:tcW w:w="0" w:type="auto"/>
            <w:gridSpan w:val="3"/>
            <w:shd w:val="clear" w:color="auto" w:fill="auto"/>
            <w:vAlign w:val="bottom"/>
          </w:tcPr>
          <w:p w14:paraId="392C2C05" w14:textId="77777777" w:rsidR="00980E5F" w:rsidRDefault="00980E5F">
            <w:pPr>
              <w:rPr>
                <w:rFonts w:ascii="宋体"/>
                <w:vanish/>
              </w:rPr>
            </w:pPr>
          </w:p>
        </w:tc>
        <w:tc>
          <w:tcPr>
            <w:tcW w:w="0" w:type="auto"/>
            <w:gridSpan w:val="3"/>
            <w:shd w:val="clear" w:color="auto" w:fill="auto"/>
            <w:vAlign w:val="bottom"/>
          </w:tcPr>
          <w:p w14:paraId="392C2C06" w14:textId="77777777" w:rsidR="00980E5F" w:rsidRDefault="00980E5F">
            <w:pPr>
              <w:rPr>
                <w:rFonts w:ascii="宋体"/>
                <w:vanish/>
              </w:rPr>
            </w:pPr>
          </w:p>
        </w:tc>
        <w:tc>
          <w:tcPr>
            <w:tcW w:w="0" w:type="auto"/>
            <w:gridSpan w:val="3"/>
            <w:shd w:val="clear" w:color="auto" w:fill="auto"/>
            <w:vAlign w:val="bottom"/>
          </w:tcPr>
          <w:p w14:paraId="392C2C07" w14:textId="77777777" w:rsidR="00980E5F" w:rsidRDefault="00980E5F">
            <w:pPr>
              <w:rPr>
                <w:rFonts w:ascii="宋体"/>
                <w:vanish/>
              </w:rPr>
            </w:pPr>
          </w:p>
        </w:tc>
      </w:tr>
      <w:tr w:rsidR="00980E5F" w14:paraId="392C2C15" w14:textId="77777777">
        <w:trPr>
          <w:hidden/>
        </w:trPr>
        <w:tc>
          <w:tcPr>
            <w:tcW w:w="0" w:type="auto"/>
            <w:shd w:val="clear" w:color="auto" w:fill="auto"/>
            <w:vAlign w:val="bottom"/>
          </w:tcPr>
          <w:p w14:paraId="392C2C09" w14:textId="77777777" w:rsidR="00980E5F" w:rsidRDefault="00980E5F">
            <w:pPr>
              <w:rPr>
                <w:rFonts w:ascii="宋体"/>
                <w:vanish/>
              </w:rPr>
            </w:pPr>
          </w:p>
        </w:tc>
        <w:tc>
          <w:tcPr>
            <w:tcW w:w="0" w:type="auto"/>
            <w:gridSpan w:val="3"/>
            <w:shd w:val="clear" w:color="auto" w:fill="auto"/>
            <w:vAlign w:val="bottom"/>
          </w:tcPr>
          <w:p w14:paraId="392C2C0A" w14:textId="77777777" w:rsidR="00980E5F" w:rsidRDefault="00980E5F">
            <w:pPr>
              <w:rPr>
                <w:rFonts w:ascii="宋体"/>
                <w:vanish/>
              </w:rPr>
            </w:pPr>
          </w:p>
        </w:tc>
        <w:tc>
          <w:tcPr>
            <w:tcW w:w="0" w:type="auto"/>
            <w:gridSpan w:val="3"/>
            <w:shd w:val="clear" w:color="auto" w:fill="auto"/>
            <w:vAlign w:val="bottom"/>
          </w:tcPr>
          <w:p w14:paraId="392C2C0B" w14:textId="77777777" w:rsidR="00980E5F" w:rsidRDefault="00980E5F">
            <w:pPr>
              <w:rPr>
                <w:rFonts w:ascii="宋体"/>
                <w:vanish/>
              </w:rPr>
            </w:pPr>
          </w:p>
        </w:tc>
        <w:tc>
          <w:tcPr>
            <w:tcW w:w="0" w:type="auto"/>
            <w:gridSpan w:val="3"/>
            <w:shd w:val="clear" w:color="auto" w:fill="auto"/>
            <w:vAlign w:val="bottom"/>
          </w:tcPr>
          <w:p w14:paraId="392C2C0C" w14:textId="77777777" w:rsidR="00980E5F" w:rsidRDefault="00980E5F">
            <w:pPr>
              <w:rPr>
                <w:rFonts w:ascii="宋体"/>
                <w:vanish/>
              </w:rPr>
            </w:pPr>
          </w:p>
        </w:tc>
        <w:tc>
          <w:tcPr>
            <w:tcW w:w="0" w:type="auto"/>
            <w:gridSpan w:val="3"/>
            <w:shd w:val="clear" w:color="auto" w:fill="auto"/>
            <w:vAlign w:val="bottom"/>
          </w:tcPr>
          <w:p w14:paraId="392C2C0D" w14:textId="77777777" w:rsidR="00980E5F" w:rsidRDefault="00980E5F">
            <w:pPr>
              <w:rPr>
                <w:rFonts w:ascii="宋体"/>
                <w:vanish/>
              </w:rPr>
            </w:pPr>
          </w:p>
        </w:tc>
        <w:tc>
          <w:tcPr>
            <w:tcW w:w="0" w:type="auto"/>
            <w:gridSpan w:val="3"/>
            <w:shd w:val="clear" w:color="auto" w:fill="auto"/>
            <w:vAlign w:val="bottom"/>
          </w:tcPr>
          <w:p w14:paraId="392C2C0E" w14:textId="77777777" w:rsidR="00980E5F" w:rsidRDefault="00980E5F">
            <w:pPr>
              <w:rPr>
                <w:rFonts w:ascii="宋体"/>
                <w:vanish/>
              </w:rPr>
            </w:pPr>
          </w:p>
        </w:tc>
        <w:tc>
          <w:tcPr>
            <w:tcW w:w="0" w:type="auto"/>
            <w:gridSpan w:val="3"/>
            <w:shd w:val="clear" w:color="auto" w:fill="auto"/>
            <w:vAlign w:val="bottom"/>
          </w:tcPr>
          <w:p w14:paraId="392C2C0F" w14:textId="77777777" w:rsidR="00980E5F" w:rsidRDefault="00980E5F">
            <w:pPr>
              <w:rPr>
                <w:rFonts w:ascii="宋体"/>
                <w:vanish/>
              </w:rPr>
            </w:pPr>
          </w:p>
        </w:tc>
        <w:tc>
          <w:tcPr>
            <w:tcW w:w="0" w:type="auto"/>
            <w:gridSpan w:val="3"/>
            <w:shd w:val="clear" w:color="auto" w:fill="auto"/>
            <w:vAlign w:val="bottom"/>
          </w:tcPr>
          <w:p w14:paraId="392C2C10" w14:textId="77777777" w:rsidR="00980E5F" w:rsidRDefault="00980E5F">
            <w:pPr>
              <w:rPr>
                <w:rFonts w:ascii="宋体"/>
                <w:vanish/>
              </w:rPr>
            </w:pPr>
          </w:p>
        </w:tc>
        <w:tc>
          <w:tcPr>
            <w:tcW w:w="0" w:type="auto"/>
            <w:gridSpan w:val="3"/>
            <w:shd w:val="clear" w:color="auto" w:fill="auto"/>
            <w:vAlign w:val="bottom"/>
          </w:tcPr>
          <w:p w14:paraId="392C2C11" w14:textId="77777777" w:rsidR="00980E5F" w:rsidRDefault="00980E5F">
            <w:pPr>
              <w:rPr>
                <w:rFonts w:ascii="宋体"/>
                <w:vanish/>
              </w:rPr>
            </w:pPr>
          </w:p>
        </w:tc>
        <w:tc>
          <w:tcPr>
            <w:tcW w:w="0" w:type="auto"/>
            <w:gridSpan w:val="3"/>
            <w:shd w:val="clear" w:color="auto" w:fill="auto"/>
            <w:vAlign w:val="bottom"/>
          </w:tcPr>
          <w:p w14:paraId="392C2C12" w14:textId="77777777" w:rsidR="00980E5F" w:rsidRDefault="00980E5F">
            <w:pPr>
              <w:rPr>
                <w:rFonts w:ascii="宋体"/>
                <w:vanish/>
              </w:rPr>
            </w:pPr>
          </w:p>
        </w:tc>
        <w:tc>
          <w:tcPr>
            <w:tcW w:w="0" w:type="auto"/>
            <w:gridSpan w:val="3"/>
            <w:shd w:val="clear" w:color="auto" w:fill="auto"/>
            <w:vAlign w:val="bottom"/>
          </w:tcPr>
          <w:p w14:paraId="392C2C13" w14:textId="77777777" w:rsidR="00980E5F" w:rsidRDefault="00980E5F">
            <w:pPr>
              <w:rPr>
                <w:rFonts w:ascii="宋体"/>
                <w:vanish/>
              </w:rPr>
            </w:pPr>
          </w:p>
        </w:tc>
        <w:tc>
          <w:tcPr>
            <w:tcW w:w="0" w:type="auto"/>
            <w:gridSpan w:val="3"/>
            <w:shd w:val="clear" w:color="auto" w:fill="auto"/>
            <w:vAlign w:val="bottom"/>
          </w:tcPr>
          <w:p w14:paraId="392C2C14" w14:textId="77777777" w:rsidR="00980E5F" w:rsidRDefault="00980E5F">
            <w:pPr>
              <w:rPr>
                <w:rFonts w:ascii="宋体"/>
                <w:vanish/>
              </w:rPr>
            </w:pPr>
          </w:p>
        </w:tc>
      </w:tr>
      <w:tr w:rsidR="00980E5F" w14:paraId="392C2C22" w14:textId="77777777">
        <w:trPr>
          <w:hidden/>
        </w:trPr>
        <w:tc>
          <w:tcPr>
            <w:tcW w:w="0" w:type="auto"/>
            <w:shd w:val="clear" w:color="auto" w:fill="auto"/>
            <w:vAlign w:val="bottom"/>
          </w:tcPr>
          <w:p w14:paraId="392C2C16" w14:textId="77777777" w:rsidR="00980E5F" w:rsidRDefault="00980E5F">
            <w:pPr>
              <w:rPr>
                <w:rFonts w:ascii="宋体"/>
                <w:vanish/>
              </w:rPr>
            </w:pPr>
          </w:p>
        </w:tc>
        <w:tc>
          <w:tcPr>
            <w:tcW w:w="0" w:type="auto"/>
            <w:gridSpan w:val="3"/>
            <w:shd w:val="clear" w:color="auto" w:fill="auto"/>
            <w:vAlign w:val="bottom"/>
          </w:tcPr>
          <w:p w14:paraId="392C2C17" w14:textId="77777777" w:rsidR="00980E5F" w:rsidRDefault="00980E5F">
            <w:pPr>
              <w:rPr>
                <w:rFonts w:ascii="宋体"/>
                <w:vanish/>
              </w:rPr>
            </w:pPr>
          </w:p>
        </w:tc>
        <w:tc>
          <w:tcPr>
            <w:tcW w:w="0" w:type="auto"/>
            <w:gridSpan w:val="3"/>
            <w:shd w:val="clear" w:color="auto" w:fill="auto"/>
            <w:vAlign w:val="bottom"/>
          </w:tcPr>
          <w:p w14:paraId="392C2C18" w14:textId="77777777" w:rsidR="00980E5F" w:rsidRDefault="00980E5F">
            <w:pPr>
              <w:rPr>
                <w:rFonts w:ascii="宋体"/>
                <w:vanish/>
              </w:rPr>
            </w:pPr>
          </w:p>
        </w:tc>
        <w:tc>
          <w:tcPr>
            <w:tcW w:w="0" w:type="auto"/>
            <w:gridSpan w:val="3"/>
            <w:shd w:val="clear" w:color="auto" w:fill="auto"/>
            <w:vAlign w:val="bottom"/>
          </w:tcPr>
          <w:p w14:paraId="392C2C19" w14:textId="77777777" w:rsidR="00980E5F" w:rsidRDefault="00980E5F">
            <w:pPr>
              <w:rPr>
                <w:rFonts w:ascii="宋体"/>
                <w:vanish/>
              </w:rPr>
            </w:pPr>
          </w:p>
        </w:tc>
        <w:tc>
          <w:tcPr>
            <w:tcW w:w="0" w:type="auto"/>
            <w:gridSpan w:val="3"/>
            <w:shd w:val="clear" w:color="auto" w:fill="auto"/>
            <w:vAlign w:val="bottom"/>
          </w:tcPr>
          <w:p w14:paraId="392C2C1A" w14:textId="77777777" w:rsidR="00980E5F" w:rsidRDefault="00980E5F">
            <w:pPr>
              <w:rPr>
                <w:rFonts w:ascii="宋体"/>
                <w:vanish/>
              </w:rPr>
            </w:pPr>
          </w:p>
        </w:tc>
        <w:tc>
          <w:tcPr>
            <w:tcW w:w="0" w:type="auto"/>
            <w:gridSpan w:val="3"/>
            <w:shd w:val="clear" w:color="auto" w:fill="auto"/>
            <w:vAlign w:val="bottom"/>
          </w:tcPr>
          <w:p w14:paraId="392C2C1B" w14:textId="77777777" w:rsidR="00980E5F" w:rsidRDefault="00980E5F">
            <w:pPr>
              <w:rPr>
                <w:rFonts w:ascii="宋体"/>
                <w:vanish/>
              </w:rPr>
            </w:pPr>
          </w:p>
        </w:tc>
        <w:tc>
          <w:tcPr>
            <w:tcW w:w="0" w:type="auto"/>
            <w:gridSpan w:val="3"/>
            <w:shd w:val="clear" w:color="auto" w:fill="auto"/>
            <w:vAlign w:val="bottom"/>
          </w:tcPr>
          <w:p w14:paraId="392C2C1C" w14:textId="77777777" w:rsidR="00980E5F" w:rsidRDefault="00980E5F">
            <w:pPr>
              <w:rPr>
                <w:rFonts w:ascii="宋体"/>
                <w:vanish/>
              </w:rPr>
            </w:pPr>
          </w:p>
        </w:tc>
        <w:tc>
          <w:tcPr>
            <w:tcW w:w="0" w:type="auto"/>
            <w:gridSpan w:val="3"/>
            <w:shd w:val="clear" w:color="auto" w:fill="auto"/>
            <w:vAlign w:val="bottom"/>
          </w:tcPr>
          <w:p w14:paraId="392C2C1D" w14:textId="77777777" w:rsidR="00980E5F" w:rsidRDefault="00980E5F">
            <w:pPr>
              <w:rPr>
                <w:rFonts w:ascii="宋体"/>
                <w:vanish/>
              </w:rPr>
            </w:pPr>
          </w:p>
        </w:tc>
        <w:tc>
          <w:tcPr>
            <w:tcW w:w="0" w:type="auto"/>
            <w:gridSpan w:val="3"/>
            <w:shd w:val="clear" w:color="auto" w:fill="auto"/>
            <w:vAlign w:val="bottom"/>
          </w:tcPr>
          <w:p w14:paraId="392C2C1E" w14:textId="77777777" w:rsidR="00980E5F" w:rsidRDefault="00980E5F">
            <w:pPr>
              <w:rPr>
                <w:rFonts w:ascii="宋体"/>
                <w:vanish/>
              </w:rPr>
            </w:pPr>
          </w:p>
        </w:tc>
        <w:tc>
          <w:tcPr>
            <w:tcW w:w="0" w:type="auto"/>
            <w:gridSpan w:val="3"/>
            <w:shd w:val="clear" w:color="auto" w:fill="auto"/>
            <w:vAlign w:val="bottom"/>
          </w:tcPr>
          <w:p w14:paraId="392C2C1F" w14:textId="77777777" w:rsidR="00980E5F" w:rsidRDefault="00980E5F">
            <w:pPr>
              <w:rPr>
                <w:rFonts w:ascii="宋体"/>
                <w:vanish/>
              </w:rPr>
            </w:pPr>
          </w:p>
        </w:tc>
        <w:tc>
          <w:tcPr>
            <w:tcW w:w="0" w:type="auto"/>
            <w:gridSpan w:val="3"/>
            <w:shd w:val="clear" w:color="auto" w:fill="auto"/>
            <w:vAlign w:val="bottom"/>
          </w:tcPr>
          <w:p w14:paraId="392C2C20" w14:textId="77777777" w:rsidR="00980E5F" w:rsidRDefault="00980E5F">
            <w:pPr>
              <w:rPr>
                <w:rFonts w:ascii="宋体"/>
                <w:vanish/>
              </w:rPr>
            </w:pPr>
          </w:p>
        </w:tc>
        <w:tc>
          <w:tcPr>
            <w:tcW w:w="0" w:type="auto"/>
            <w:gridSpan w:val="3"/>
            <w:shd w:val="clear" w:color="auto" w:fill="auto"/>
            <w:vAlign w:val="bottom"/>
          </w:tcPr>
          <w:p w14:paraId="392C2C21" w14:textId="77777777" w:rsidR="00980E5F" w:rsidRDefault="00980E5F">
            <w:pPr>
              <w:rPr>
                <w:rFonts w:ascii="宋体"/>
                <w:vanish/>
              </w:rPr>
            </w:pPr>
          </w:p>
        </w:tc>
      </w:tr>
      <w:tr w:rsidR="00980E5F" w14:paraId="392C2C27" w14:textId="77777777">
        <w:trPr>
          <w:hidden/>
        </w:trPr>
        <w:tc>
          <w:tcPr>
            <w:tcW w:w="0" w:type="auto"/>
            <w:shd w:val="clear" w:color="auto" w:fill="auto"/>
            <w:vAlign w:val="bottom"/>
          </w:tcPr>
          <w:p w14:paraId="392C2C23" w14:textId="77777777" w:rsidR="00980E5F" w:rsidRDefault="00980E5F">
            <w:pPr>
              <w:rPr>
                <w:rFonts w:ascii="宋体"/>
                <w:vanish/>
              </w:rPr>
            </w:pPr>
          </w:p>
        </w:tc>
        <w:tc>
          <w:tcPr>
            <w:tcW w:w="0" w:type="auto"/>
            <w:gridSpan w:val="15"/>
            <w:shd w:val="clear" w:color="auto" w:fill="auto"/>
            <w:tcMar>
              <w:top w:w="40" w:type="dxa"/>
              <w:left w:w="20" w:type="dxa"/>
              <w:bottom w:w="40" w:type="dxa"/>
              <w:right w:w="20" w:type="dxa"/>
            </w:tcMar>
            <w:vAlign w:val="bottom"/>
          </w:tcPr>
          <w:p w14:paraId="392C2C24" w14:textId="77777777" w:rsidR="00980E5F" w:rsidRDefault="00483613">
            <w:pPr>
              <w:jc w:val="center"/>
              <w:textAlignment w:val="bottom"/>
            </w:pPr>
            <w:r>
              <w:rPr>
                <w:rFonts w:ascii="Arial" w:eastAsia="宋体" w:hAnsi="Arial" w:cs="Arial"/>
                <w:b/>
                <w:bCs/>
                <w:color w:val="000000"/>
                <w:sz w:val="13"/>
                <w:szCs w:val="13"/>
              </w:rPr>
              <w:t xml:space="preserve">Three Months Ended June </w:t>
            </w:r>
            <w:r>
              <w:rPr>
                <w:rFonts w:ascii="Arial" w:eastAsia="宋体" w:hAnsi="Arial" w:cs="Arial"/>
                <w:b/>
                <w:bCs/>
                <w:color w:val="000000"/>
                <w:sz w:val="13"/>
                <w:szCs w:val="13"/>
              </w:rPr>
              <w:t>30, 2021</w:t>
            </w:r>
          </w:p>
        </w:tc>
        <w:tc>
          <w:tcPr>
            <w:tcW w:w="0" w:type="auto"/>
            <w:gridSpan w:val="3"/>
            <w:shd w:val="clear" w:color="auto" w:fill="auto"/>
            <w:tcMar>
              <w:top w:w="0" w:type="dxa"/>
              <w:left w:w="20" w:type="dxa"/>
              <w:bottom w:w="0" w:type="dxa"/>
              <w:right w:w="20" w:type="dxa"/>
            </w:tcMar>
            <w:vAlign w:val="bottom"/>
          </w:tcPr>
          <w:p w14:paraId="392C2C25"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2C26" w14:textId="77777777" w:rsidR="00980E5F" w:rsidRDefault="00483613">
            <w:pPr>
              <w:jc w:val="center"/>
              <w:textAlignment w:val="bottom"/>
            </w:pPr>
            <w:r>
              <w:rPr>
                <w:rFonts w:ascii="Arial" w:eastAsia="宋体" w:hAnsi="Arial" w:cs="Arial"/>
                <w:b/>
                <w:bCs/>
                <w:color w:val="000000"/>
                <w:sz w:val="13"/>
                <w:szCs w:val="13"/>
              </w:rPr>
              <w:t>Six Months Ended June 30, 2021</w:t>
            </w:r>
          </w:p>
        </w:tc>
      </w:tr>
      <w:tr w:rsidR="00980E5F" w14:paraId="392C2C34" w14:textId="77777777">
        <w:trPr>
          <w:hidden/>
        </w:trPr>
        <w:tc>
          <w:tcPr>
            <w:tcW w:w="0" w:type="auto"/>
            <w:shd w:val="clear" w:color="auto" w:fill="auto"/>
            <w:vAlign w:val="bottom"/>
          </w:tcPr>
          <w:p w14:paraId="392C2C28"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29" w14:textId="77777777" w:rsidR="00980E5F" w:rsidRDefault="00483613">
            <w:pP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2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2B" w14:textId="77777777" w:rsidR="00980E5F" w:rsidRDefault="00483613">
            <w:pP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2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2D" w14:textId="77777777" w:rsidR="00980E5F" w:rsidRDefault="00483613">
            <w:pP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c>
          <w:tcPr>
            <w:tcW w:w="0" w:type="auto"/>
            <w:gridSpan w:val="3"/>
            <w:shd w:val="clear" w:color="auto" w:fill="auto"/>
            <w:tcMar>
              <w:top w:w="0" w:type="dxa"/>
              <w:left w:w="20" w:type="dxa"/>
              <w:bottom w:w="0" w:type="dxa"/>
              <w:right w:w="20" w:type="dxa"/>
            </w:tcMar>
            <w:vAlign w:val="bottom"/>
          </w:tcPr>
          <w:p w14:paraId="392C2C2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2F" w14:textId="77777777" w:rsidR="00980E5F" w:rsidRDefault="00483613">
            <w:pP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3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31" w14:textId="77777777" w:rsidR="00980E5F" w:rsidRDefault="00483613">
            <w:pP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3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33" w14:textId="77777777" w:rsidR="00980E5F" w:rsidRDefault="00483613">
            <w:pP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r>
      <w:tr w:rsidR="00980E5F" w14:paraId="392C2C4B" w14:textId="77777777">
        <w:trPr>
          <w:hidden/>
        </w:trPr>
        <w:tc>
          <w:tcPr>
            <w:tcW w:w="0" w:type="auto"/>
            <w:shd w:val="clear" w:color="auto" w:fill="auto"/>
            <w:vAlign w:val="bottom"/>
          </w:tcPr>
          <w:p w14:paraId="392C2C35"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C36" w14:textId="77777777" w:rsidR="00980E5F" w:rsidRDefault="00483613">
            <w:pPr>
              <w:jc w:val="right"/>
              <w:textAlignment w:val="bottom"/>
            </w:pPr>
            <w:r>
              <w:rPr>
                <w:rFonts w:ascii="Arial" w:eastAsia="宋体" w:hAnsi="Arial" w:cs="Arial"/>
                <w:color w:val="000000"/>
                <w:sz w:val="13"/>
                <w:szCs w:val="13"/>
              </w:rPr>
              <w:t>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3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3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3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3A" w14:textId="77777777" w:rsidR="00980E5F" w:rsidRDefault="00483613">
            <w:pPr>
              <w:jc w:val="right"/>
              <w:textAlignment w:val="bottom"/>
            </w:pPr>
            <w:r>
              <w:rPr>
                <w:rFonts w:ascii="Arial" w:eastAsia="宋体" w:hAnsi="Arial" w:cs="Arial"/>
                <w:color w:val="000000"/>
                <w:sz w:val="13"/>
                <w:szCs w:val="13"/>
              </w:rPr>
              <w:t>84.71 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3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3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3E" w14:textId="77777777" w:rsidR="00980E5F" w:rsidRDefault="00483613">
            <w:pPr>
              <w:jc w:val="right"/>
              <w:textAlignment w:val="bottom"/>
            </w:pPr>
            <w:r>
              <w:rPr>
                <w:rFonts w:ascii="Arial" w:eastAsia="宋体" w:hAnsi="Arial" w:cs="Arial"/>
                <w:color w:val="000000"/>
                <w:sz w:val="13"/>
                <w:szCs w:val="13"/>
              </w:rPr>
              <w:t>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4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C41" w14:textId="77777777" w:rsidR="00980E5F" w:rsidRDefault="00483613">
            <w:pPr>
              <w:jc w:val="right"/>
              <w:textAlignment w:val="bottom"/>
            </w:pPr>
            <w:r>
              <w:rPr>
                <w:rFonts w:ascii="Arial" w:eastAsia="宋体" w:hAnsi="Arial" w:cs="Arial"/>
                <w:color w:val="000000"/>
                <w:sz w:val="13"/>
                <w:szCs w:val="13"/>
              </w:rPr>
              <w:t>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4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44"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45" w14:textId="77777777" w:rsidR="00980E5F" w:rsidRDefault="00483613">
            <w:pPr>
              <w:jc w:val="right"/>
              <w:textAlignment w:val="bottom"/>
            </w:pPr>
            <w:r>
              <w:rPr>
                <w:rFonts w:ascii="Arial" w:eastAsia="宋体" w:hAnsi="Arial" w:cs="Arial"/>
                <w:color w:val="000000"/>
                <w:sz w:val="13"/>
                <w:szCs w:val="13"/>
              </w:rPr>
              <w:t>80.00 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4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48"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49" w14:textId="77777777" w:rsidR="00980E5F" w:rsidRDefault="00483613">
            <w:pPr>
              <w:jc w:val="right"/>
              <w:textAlignment w:val="bottom"/>
            </w:pPr>
            <w:r>
              <w:rPr>
                <w:rFonts w:ascii="Arial" w:eastAsia="宋体" w:hAnsi="Arial" w:cs="Arial"/>
                <w:color w:val="000000"/>
                <w:sz w:val="13"/>
                <w:szCs w:val="13"/>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4A" w14:textId="77777777" w:rsidR="00980E5F" w:rsidRDefault="00980E5F">
            <w:pPr>
              <w:jc w:val="right"/>
              <w:rPr>
                <w:rFonts w:ascii="宋体"/>
              </w:rPr>
            </w:pPr>
          </w:p>
        </w:tc>
      </w:tr>
      <w:tr w:rsidR="00980E5F" w14:paraId="392C2C58" w14:textId="77777777">
        <w:trPr>
          <w:hidden/>
        </w:trPr>
        <w:tc>
          <w:tcPr>
            <w:tcW w:w="0" w:type="auto"/>
            <w:shd w:val="clear" w:color="auto" w:fill="auto"/>
            <w:vAlign w:val="bottom"/>
          </w:tcPr>
          <w:p w14:paraId="392C2C4C" w14:textId="77777777" w:rsidR="00980E5F" w:rsidRDefault="00980E5F">
            <w:pPr>
              <w:rPr>
                <w:rFonts w:ascii="宋体"/>
                <w:vanish/>
              </w:rPr>
            </w:pPr>
          </w:p>
        </w:tc>
        <w:tc>
          <w:tcPr>
            <w:tcW w:w="0" w:type="auto"/>
            <w:gridSpan w:val="3"/>
            <w:shd w:val="clear" w:color="auto" w:fill="auto"/>
            <w:vAlign w:val="bottom"/>
          </w:tcPr>
          <w:p w14:paraId="392C2C4D" w14:textId="77777777" w:rsidR="00980E5F" w:rsidRDefault="00980E5F">
            <w:pPr>
              <w:rPr>
                <w:rFonts w:ascii="宋体"/>
                <w:vanish/>
              </w:rPr>
            </w:pPr>
          </w:p>
        </w:tc>
        <w:tc>
          <w:tcPr>
            <w:tcW w:w="0" w:type="auto"/>
            <w:gridSpan w:val="3"/>
            <w:shd w:val="clear" w:color="auto" w:fill="auto"/>
            <w:vAlign w:val="bottom"/>
          </w:tcPr>
          <w:p w14:paraId="392C2C4E" w14:textId="77777777" w:rsidR="00980E5F" w:rsidRDefault="00980E5F">
            <w:pPr>
              <w:rPr>
                <w:rFonts w:ascii="宋体"/>
                <w:vanish/>
              </w:rPr>
            </w:pPr>
          </w:p>
        </w:tc>
        <w:tc>
          <w:tcPr>
            <w:tcW w:w="0" w:type="auto"/>
            <w:gridSpan w:val="3"/>
            <w:shd w:val="clear" w:color="auto" w:fill="auto"/>
            <w:vAlign w:val="bottom"/>
          </w:tcPr>
          <w:p w14:paraId="392C2C4F" w14:textId="77777777" w:rsidR="00980E5F" w:rsidRDefault="00980E5F">
            <w:pPr>
              <w:rPr>
                <w:rFonts w:ascii="宋体"/>
                <w:vanish/>
              </w:rPr>
            </w:pPr>
          </w:p>
        </w:tc>
        <w:tc>
          <w:tcPr>
            <w:tcW w:w="0" w:type="auto"/>
            <w:gridSpan w:val="3"/>
            <w:shd w:val="clear" w:color="auto" w:fill="auto"/>
            <w:vAlign w:val="bottom"/>
          </w:tcPr>
          <w:p w14:paraId="392C2C50" w14:textId="77777777" w:rsidR="00980E5F" w:rsidRDefault="00980E5F">
            <w:pPr>
              <w:rPr>
                <w:rFonts w:ascii="宋体"/>
                <w:vanish/>
              </w:rPr>
            </w:pPr>
          </w:p>
        </w:tc>
        <w:tc>
          <w:tcPr>
            <w:tcW w:w="0" w:type="auto"/>
            <w:gridSpan w:val="3"/>
            <w:shd w:val="clear" w:color="auto" w:fill="auto"/>
            <w:vAlign w:val="bottom"/>
          </w:tcPr>
          <w:p w14:paraId="392C2C51" w14:textId="77777777" w:rsidR="00980E5F" w:rsidRDefault="00980E5F">
            <w:pPr>
              <w:rPr>
                <w:rFonts w:ascii="宋体"/>
                <w:vanish/>
              </w:rPr>
            </w:pPr>
          </w:p>
        </w:tc>
        <w:tc>
          <w:tcPr>
            <w:tcW w:w="0" w:type="auto"/>
            <w:gridSpan w:val="3"/>
            <w:shd w:val="clear" w:color="auto" w:fill="auto"/>
            <w:vAlign w:val="bottom"/>
          </w:tcPr>
          <w:p w14:paraId="392C2C52" w14:textId="77777777" w:rsidR="00980E5F" w:rsidRDefault="00980E5F">
            <w:pPr>
              <w:rPr>
                <w:rFonts w:ascii="宋体"/>
                <w:vanish/>
              </w:rPr>
            </w:pPr>
          </w:p>
        </w:tc>
        <w:tc>
          <w:tcPr>
            <w:tcW w:w="0" w:type="auto"/>
            <w:gridSpan w:val="3"/>
            <w:shd w:val="clear" w:color="auto" w:fill="auto"/>
            <w:vAlign w:val="bottom"/>
          </w:tcPr>
          <w:p w14:paraId="392C2C53" w14:textId="77777777" w:rsidR="00980E5F" w:rsidRDefault="00980E5F">
            <w:pPr>
              <w:rPr>
                <w:rFonts w:ascii="宋体"/>
                <w:vanish/>
              </w:rPr>
            </w:pPr>
          </w:p>
        </w:tc>
        <w:tc>
          <w:tcPr>
            <w:tcW w:w="0" w:type="auto"/>
            <w:gridSpan w:val="3"/>
            <w:shd w:val="clear" w:color="auto" w:fill="auto"/>
            <w:vAlign w:val="bottom"/>
          </w:tcPr>
          <w:p w14:paraId="392C2C54" w14:textId="77777777" w:rsidR="00980E5F" w:rsidRDefault="00980E5F">
            <w:pPr>
              <w:rPr>
                <w:rFonts w:ascii="宋体"/>
                <w:vanish/>
              </w:rPr>
            </w:pPr>
          </w:p>
        </w:tc>
        <w:tc>
          <w:tcPr>
            <w:tcW w:w="0" w:type="auto"/>
            <w:gridSpan w:val="3"/>
            <w:shd w:val="clear" w:color="auto" w:fill="auto"/>
            <w:vAlign w:val="bottom"/>
          </w:tcPr>
          <w:p w14:paraId="392C2C55" w14:textId="77777777" w:rsidR="00980E5F" w:rsidRDefault="00980E5F">
            <w:pPr>
              <w:rPr>
                <w:rFonts w:ascii="宋体"/>
                <w:vanish/>
              </w:rPr>
            </w:pPr>
          </w:p>
        </w:tc>
        <w:tc>
          <w:tcPr>
            <w:tcW w:w="0" w:type="auto"/>
            <w:gridSpan w:val="3"/>
            <w:shd w:val="clear" w:color="auto" w:fill="auto"/>
            <w:vAlign w:val="bottom"/>
          </w:tcPr>
          <w:p w14:paraId="392C2C56" w14:textId="77777777" w:rsidR="00980E5F" w:rsidRDefault="00980E5F">
            <w:pPr>
              <w:rPr>
                <w:rFonts w:ascii="宋体"/>
                <w:vanish/>
              </w:rPr>
            </w:pPr>
          </w:p>
        </w:tc>
        <w:tc>
          <w:tcPr>
            <w:tcW w:w="0" w:type="auto"/>
            <w:gridSpan w:val="3"/>
            <w:shd w:val="clear" w:color="auto" w:fill="auto"/>
            <w:vAlign w:val="bottom"/>
          </w:tcPr>
          <w:p w14:paraId="392C2C57" w14:textId="77777777" w:rsidR="00980E5F" w:rsidRDefault="00980E5F">
            <w:pPr>
              <w:rPr>
                <w:rFonts w:ascii="宋体"/>
                <w:vanish/>
              </w:rPr>
            </w:pPr>
          </w:p>
        </w:tc>
      </w:tr>
      <w:tr w:rsidR="00980E5F" w14:paraId="392C2C65" w14:textId="77777777">
        <w:trPr>
          <w:hidden/>
        </w:trPr>
        <w:tc>
          <w:tcPr>
            <w:tcW w:w="0" w:type="auto"/>
            <w:shd w:val="clear" w:color="auto" w:fill="auto"/>
            <w:vAlign w:val="bottom"/>
          </w:tcPr>
          <w:p w14:paraId="392C2C59" w14:textId="77777777" w:rsidR="00980E5F" w:rsidRDefault="00980E5F">
            <w:pPr>
              <w:rPr>
                <w:rFonts w:ascii="宋体"/>
                <w:vanish/>
              </w:rPr>
            </w:pPr>
          </w:p>
        </w:tc>
        <w:tc>
          <w:tcPr>
            <w:tcW w:w="0" w:type="auto"/>
            <w:gridSpan w:val="3"/>
            <w:shd w:val="clear" w:color="auto" w:fill="auto"/>
            <w:vAlign w:val="bottom"/>
          </w:tcPr>
          <w:p w14:paraId="392C2C5A" w14:textId="77777777" w:rsidR="00980E5F" w:rsidRDefault="00980E5F">
            <w:pPr>
              <w:rPr>
                <w:rFonts w:ascii="宋体"/>
                <w:vanish/>
              </w:rPr>
            </w:pPr>
          </w:p>
        </w:tc>
        <w:tc>
          <w:tcPr>
            <w:tcW w:w="0" w:type="auto"/>
            <w:gridSpan w:val="3"/>
            <w:shd w:val="clear" w:color="auto" w:fill="auto"/>
            <w:vAlign w:val="bottom"/>
          </w:tcPr>
          <w:p w14:paraId="392C2C5B" w14:textId="77777777" w:rsidR="00980E5F" w:rsidRDefault="00980E5F">
            <w:pPr>
              <w:rPr>
                <w:rFonts w:ascii="宋体"/>
                <w:vanish/>
              </w:rPr>
            </w:pPr>
          </w:p>
        </w:tc>
        <w:tc>
          <w:tcPr>
            <w:tcW w:w="0" w:type="auto"/>
            <w:gridSpan w:val="3"/>
            <w:shd w:val="clear" w:color="auto" w:fill="auto"/>
            <w:vAlign w:val="bottom"/>
          </w:tcPr>
          <w:p w14:paraId="392C2C5C" w14:textId="77777777" w:rsidR="00980E5F" w:rsidRDefault="00980E5F">
            <w:pPr>
              <w:rPr>
                <w:rFonts w:ascii="宋体"/>
                <w:vanish/>
              </w:rPr>
            </w:pPr>
          </w:p>
        </w:tc>
        <w:tc>
          <w:tcPr>
            <w:tcW w:w="0" w:type="auto"/>
            <w:gridSpan w:val="3"/>
            <w:shd w:val="clear" w:color="auto" w:fill="auto"/>
            <w:vAlign w:val="bottom"/>
          </w:tcPr>
          <w:p w14:paraId="392C2C5D" w14:textId="77777777" w:rsidR="00980E5F" w:rsidRDefault="00980E5F">
            <w:pPr>
              <w:rPr>
                <w:rFonts w:ascii="宋体"/>
                <w:vanish/>
              </w:rPr>
            </w:pPr>
          </w:p>
        </w:tc>
        <w:tc>
          <w:tcPr>
            <w:tcW w:w="0" w:type="auto"/>
            <w:gridSpan w:val="3"/>
            <w:shd w:val="clear" w:color="auto" w:fill="auto"/>
            <w:vAlign w:val="bottom"/>
          </w:tcPr>
          <w:p w14:paraId="392C2C5E" w14:textId="77777777" w:rsidR="00980E5F" w:rsidRDefault="00980E5F">
            <w:pPr>
              <w:rPr>
                <w:rFonts w:ascii="宋体"/>
                <w:vanish/>
              </w:rPr>
            </w:pPr>
          </w:p>
        </w:tc>
        <w:tc>
          <w:tcPr>
            <w:tcW w:w="0" w:type="auto"/>
            <w:gridSpan w:val="3"/>
            <w:shd w:val="clear" w:color="auto" w:fill="auto"/>
            <w:vAlign w:val="bottom"/>
          </w:tcPr>
          <w:p w14:paraId="392C2C5F" w14:textId="77777777" w:rsidR="00980E5F" w:rsidRDefault="00980E5F">
            <w:pPr>
              <w:rPr>
                <w:rFonts w:ascii="宋体"/>
                <w:vanish/>
              </w:rPr>
            </w:pPr>
          </w:p>
        </w:tc>
        <w:tc>
          <w:tcPr>
            <w:tcW w:w="0" w:type="auto"/>
            <w:gridSpan w:val="3"/>
            <w:shd w:val="clear" w:color="auto" w:fill="auto"/>
            <w:vAlign w:val="bottom"/>
          </w:tcPr>
          <w:p w14:paraId="392C2C60" w14:textId="77777777" w:rsidR="00980E5F" w:rsidRDefault="00980E5F">
            <w:pPr>
              <w:rPr>
                <w:rFonts w:ascii="宋体"/>
                <w:vanish/>
              </w:rPr>
            </w:pPr>
          </w:p>
        </w:tc>
        <w:tc>
          <w:tcPr>
            <w:tcW w:w="0" w:type="auto"/>
            <w:gridSpan w:val="3"/>
            <w:shd w:val="clear" w:color="auto" w:fill="auto"/>
            <w:vAlign w:val="bottom"/>
          </w:tcPr>
          <w:p w14:paraId="392C2C61" w14:textId="77777777" w:rsidR="00980E5F" w:rsidRDefault="00980E5F">
            <w:pPr>
              <w:rPr>
                <w:rFonts w:ascii="宋体"/>
                <w:vanish/>
              </w:rPr>
            </w:pPr>
          </w:p>
        </w:tc>
        <w:tc>
          <w:tcPr>
            <w:tcW w:w="0" w:type="auto"/>
            <w:gridSpan w:val="3"/>
            <w:shd w:val="clear" w:color="auto" w:fill="auto"/>
            <w:vAlign w:val="bottom"/>
          </w:tcPr>
          <w:p w14:paraId="392C2C62" w14:textId="77777777" w:rsidR="00980E5F" w:rsidRDefault="00980E5F">
            <w:pPr>
              <w:rPr>
                <w:rFonts w:ascii="宋体"/>
                <w:vanish/>
              </w:rPr>
            </w:pPr>
          </w:p>
        </w:tc>
        <w:tc>
          <w:tcPr>
            <w:tcW w:w="0" w:type="auto"/>
            <w:gridSpan w:val="3"/>
            <w:shd w:val="clear" w:color="auto" w:fill="auto"/>
            <w:vAlign w:val="bottom"/>
          </w:tcPr>
          <w:p w14:paraId="392C2C63" w14:textId="77777777" w:rsidR="00980E5F" w:rsidRDefault="00980E5F">
            <w:pPr>
              <w:rPr>
                <w:rFonts w:ascii="宋体"/>
                <w:vanish/>
              </w:rPr>
            </w:pPr>
          </w:p>
        </w:tc>
        <w:tc>
          <w:tcPr>
            <w:tcW w:w="0" w:type="auto"/>
            <w:gridSpan w:val="3"/>
            <w:shd w:val="clear" w:color="auto" w:fill="auto"/>
            <w:vAlign w:val="bottom"/>
          </w:tcPr>
          <w:p w14:paraId="392C2C64" w14:textId="77777777" w:rsidR="00980E5F" w:rsidRDefault="00980E5F">
            <w:pPr>
              <w:rPr>
                <w:rFonts w:ascii="宋体"/>
                <w:vanish/>
              </w:rPr>
            </w:pPr>
          </w:p>
        </w:tc>
      </w:tr>
    </w:tbl>
    <w:p w14:paraId="392C2C66" w14:textId="77777777" w:rsidR="00980E5F" w:rsidRDefault="00483613">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60"/>
        <w:gridCol w:w="36"/>
        <w:gridCol w:w="99"/>
        <w:gridCol w:w="1643"/>
        <w:gridCol w:w="37"/>
        <w:gridCol w:w="36"/>
        <w:gridCol w:w="36"/>
        <w:gridCol w:w="36"/>
        <w:gridCol w:w="99"/>
        <w:gridCol w:w="975"/>
        <w:gridCol w:w="37"/>
        <w:gridCol w:w="36"/>
        <w:gridCol w:w="36"/>
        <w:gridCol w:w="36"/>
        <w:gridCol w:w="99"/>
        <w:gridCol w:w="1599"/>
        <w:gridCol w:w="37"/>
        <w:gridCol w:w="36"/>
        <w:gridCol w:w="36"/>
        <w:gridCol w:w="36"/>
        <w:gridCol w:w="99"/>
        <w:gridCol w:w="954"/>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2C87" w14:textId="77777777">
        <w:tc>
          <w:tcPr>
            <w:tcW w:w="50" w:type="pct"/>
            <w:shd w:val="clear" w:color="auto" w:fill="auto"/>
            <w:vAlign w:val="bottom"/>
          </w:tcPr>
          <w:p w14:paraId="392C2C67" w14:textId="77777777" w:rsidR="00980E5F" w:rsidRDefault="00980E5F">
            <w:pPr>
              <w:rPr>
                <w:rFonts w:ascii="宋体"/>
              </w:rPr>
            </w:pPr>
          </w:p>
        </w:tc>
        <w:tc>
          <w:tcPr>
            <w:tcW w:w="946" w:type="pct"/>
            <w:shd w:val="clear" w:color="auto" w:fill="auto"/>
            <w:vAlign w:val="bottom"/>
          </w:tcPr>
          <w:p w14:paraId="392C2C68" w14:textId="77777777" w:rsidR="00980E5F" w:rsidRDefault="00980E5F">
            <w:pPr>
              <w:rPr>
                <w:rFonts w:ascii="宋体"/>
              </w:rPr>
            </w:pPr>
          </w:p>
        </w:tc>
        <w:tc>
          <w:tcPr>
            <w:tcW w:w="5" w:type="pct"/>
            <w:shd w:val="clear" w:color="auto" w:fill="auto"/>
            <w:vAlign w:val="bottom"/>
          </w:tcPr>
          <w:p w14:paraId="392C2C69" w14:textId="77777777" w:rsidR="00980E5F" w:rsidRDefault="00980E5F">
            <w:pPr>
              <w:rPr>
                <w:rFonts w:ascii="宋体"/>
              </w:rPr>
            </w:pPr>
          </w:p>
        </w:tc>
        <w:tc>
          <w:tcPr>
            <w:tcW w:w="50" w:type="pct"/>
            <w:shd w:val="clear" w:color="auto" w:fill="auto"/>
            <w:vAlign w:val="bottom"/>
          </w:tcPr>
          <w:p w14:paraId="392C2C6A" w14:textId="77777777" w:rsidR="00980E5F" w:rsidRDefault="00980E5F">
            <w:pPr>
              <w:rPr>
                <w:rFonts w:ascii="宋体"/>
              </w:rPr>
            </w:pPr>
          </w:p>
        </w:tc>
        <w:tc>
          <w:tcPr>
            <w:tcW w:w="1129" w:type="pct"/>
            <w:shd w:val="clear" w:color="auto" w:fill="auto"/>
            <w:vAlign w:val="bottom"/>
          </w:tcPr>
          <w:p w14:paraId="392C2C6B" w14:textId="77777777" w:rsidR="00980E5F" w:rsidRDefault="00980E5F">
            <w:pPr>
              <w:rPr>
                <w:rFonts w:ascii="宋体"/>
              </w:rPr>
            </w:pPr>
          </w:p>
        </w:tc>
        <w:tc>
          <w:tcPr>
            <w:tcW w:w="5" w:type="pct"/>
            <w:shd w:val="clear" w:color="auto" w:fill="auto"/>
            <w:vAlign w:val="bottom"/>
          </w:tcPr>
          <w:p w14:paraId="392C2C6C" w14:textId="77777777" w:rsidR="00980E5F" w:rsidRDefault="00980E5F">
            <w:pPr>
              <w:rPr>
                <w:rFonts w:ascii="宋体"/>
              </w:rPr>
            </w:pPr>
          </w:p>
        </w:tc>
        <w:tc>
          <w:tcPr>
            <w:tcW w:w="5" w:type="pct"/>
            <w:shd w:val="clear" w:color="auto" w:fill="auto"/>
            <w:vAlign w:val="bottom"/>
          </w:tcPr>
          <w:p w14:paraId="392C2C6D" w14:textId="77777777" w:rsidR="00980E5F" w:rsidRDefault="00980E5F">
            <w:pPr>
              <w:rPr>
                <w:rFonts w:ascii="宋体"/>
              </w:rPr>
            </w:pPr>
          </w:p>
        </w:tc>
        <w:tc>
          <w:tcPr>
            <w:tcW w:w="26" w:type="pct"/>
            <w:shd w:val="clear" w:color="auto" w:fill="auto"/>
            <w:vAlign w:val="bottom"/>
          </w:tcPr>
          <w:p w14:paraId="392C2C6E" w14:textId="77777777" w:rsidR="00980E5F" w:rsidRDefault="00980E5F">
            <w:pPr>
              <w:rPr>
                <w:rFonts w:ascii="宋体"/>
              </w:rPr>
            </w:pPr>
          </w:p>
        </w:tc>
        <w:tc>
          <w:tcPr>
            <w:tcW w:w="5" w:type="pct"/>
            <w:shd w:val="clear" w:color="auto" w:fill="auto"/>
            <w:vAlign w:val="bottom"/>
          </w:tcPr>
          <w:p w14:paraId="392C2C6F" w14:textId="77777777" w:rsidR="00980E5F" w:rsidRDefault="00980E5F">
            <w:pPr>
              <w:rPr>
                <w:rFonts w:ascii="宋体"/>
              </w:rPr>
            </w:pPr>
          </w:p>
        </w:tc>
        <w:tc>
          <w:tcPr>
            <w:tcW w:w="50" w:type="pct"/>
            <w:shd w:val="clear" w:color="auto" w:fill="auto"/>
            <w:vAlign w:val="bottom"/>
          </w:tcPr>
          <w:p w14:paraId="392C2C70" w14:textId="77777777" w:rsidR="00980E5F" w:rsidRDefault="00980E5F">
            <w:pPr>
              <w:rPr>
                <w:rFonts w:ascii="宋体"/>
              </w:rPr>
            </w:pPr>
          </w:p>
        </w:tc>
        <w:tc>
          <w:tcPr>
            <w:tcW w:w="712" w:type="pct"/>
            <w:shd w:val="clear" w:color="auto" w:fill="auto"/>
            <w:vAlign w:val="bottom"/>
          </w:tcPr>
          <w:p w14:paraId="392C2C71" w14:textId="77777777" w:rsidR="00980E5F" w:rsidRDefault="00980E5F">
            <w:pPr>
              <w:rPr>
                <w:rFonts w:ascii="宋体"/>
              </w:rPr>
            </w:pPr>
          </w:p>
        </w:tc>
        <w:tc>
          <w:tcPr>
            <w:tcW w:w="5" w:type="pct"/>
            <w:shd w:val="clear" w:color="auto" w:fill="auto"/>
            <w:vAlign w:val="bottom"/>
          </w:tcPr>
          <w:p w14:paraId="392C2C72" w14:textId="77777777" w:rsidR="00980E5F" w:rsidRDefault="00980E5F">
            <w:pPr>
              <w:rPr>
                <w:rFonts w:ascii="宋体"/>
              </w:rPr>
            </w:pPr>
          </w:p>
        </w:tc>
        <w:tc>
          <w:tcPr>
            <w:tcW w:w="5" w:type="pct"/>
            <w:shd w:val="clear" w:color="auto" w:fill="auto"/>
            <w:vAlign w:val="bottom"/>
          </w:tcPr>
          <w:p w14:paraId="392C2C73" w14:textId="77777777" w:rsidR="00980E5F" w:rsidRDefault="00980E5F">
            <w:pPr>
              <w:rPr>
                <w:rFonts w:ascii="宋体"/>
              </w:rPr>
            </w:pPr>
          </w:p>
        </w:tc>
        <w:tc>
          <w:tcPr>
            <w:tcW w:w="26" w:type="pct"/>
            <w:shd w:val="clear" w:color="auto" w:fill="auto"/>
            <w:vAlign w:val="bottom"/>
          </w:tcPr>
          <w:p w14:paraId="392C2C74" w14:textId="77777777" w:rsidR="00980E5F" w:rsidRDefault="00980E5F">
            <w:pPr>
              <w:rPr>
                <w:rFonts w:ascii="宋体"/>
              </w:rPr>
            </w:pPr>
          </w:p>
        </w:tc>
        <w:tc>
          <w:tcPr>
            <w:tcW w:w="5" w:type="pct"/>
            <w:shd w:val="clear" w:color="auto" w:fill="auto"/>
            <w:vAlign w:val="bottom"/>
          </w:tcPr>
          <w:p w14:paraId="392C2C75" w14:textId="77777777" w:rsidR="00980E5F" w:rsidRDefault="00980E5F">
            <w:pPr>
              <w:rPr>
                <w:rFonts w:ascii="宋体"/>
              </w:rPr>
            </w:pPr>
          </w:p>
        </w:tc>
        <w:tc>
          <w:tcPr>
            <w:tcW w:w="50" w:type="pct"/>
            <w:shd w:val="clear" w:color="auto" w:fill="auto"/>
            <w:vAlign w:val="bottom"/>
          </w:tcPr>
          <w:p w14:paraId="392C2C76" w14:textId="77777777" w:rsidR="00980E5F" w:rsidRDefault="00980E5F">
            <w:pPr>
              <w:rPr>
                <w:rFonts w:ascii="宋体"/>
              </w:rPr>
            </w:pPr>
          </w:p>
        </w:tc>
        <w:tc>
          <w:tcPr>
            <w:tcW w:w="1129" w:type="pct"/>
            <w:shd w:val="clear" w:color="auto" w:fill="auto"/>
            <w:vAlign w:val="bottom"/>
          </w:tcPr>
          <w:p w14:paraId="392C2C77" w14:textId="77777777" w:rsidR="00980E5F" w:rsidRDefault="00980E5F">
            <w:pPr>
              <w:rPr>
                <w:rFonts w:ascii="宋体"/>
              </w:rPr>
            </w:pPr>
          </w:p>
        </w:tc>
        <w:tc>
          <w:tcPr>
            <w:tcW w:w="5" w:type="pct"/>
            <w:shd w:val="clear" w:color="auto" w:fill="auto"/>
            <w:vAlign w:val="bottom"/>
          </w:tcPr>
          <w:p w14:paraId="392C2C78" w14:textId="77777777" w:rsidR="00980E5F" w:rsidRDefault="00980E5F">
            <w:pPr>
              <w:rPr>
                <w:rFonts w:ascii="宋体"/>
              </w:rPr>
            </w:pPr>
          </w:p>
        </w:tc>
        <w:tc>
          <w:tcPr>
            <w:tcW w:w="5" w:type="pct"/>
            <w:shd w:val="clear" w:color="auto" w:fill="auto"/>
            <w:vAlign w:val="bottom"/>
          </w:tcPr>
          <w:p w14:paraId="392C2C79" w14:textId="77777777" w:rsidR="00980E5F" w:rsidRDefault="00980E5F">
            <w:pPr>
              <w:rPr>
                <w:rFonts w:ascii="宋体"/>
              </w:rPr>
            </w:pPr>
          </w:p>
        </w:tc>
        <w:tc>
          <w:tcPr>
            <w:tcW w:w="26" w:type="pct"/>
            <w:shd w:val="clear" w:color="auto" w:fill="auto"/>
            <w:vAlign w:val="bottom"/>
          </w:tcPr>
          <w:p w14:paraId="392C2C7A" w14:textId="77777777" w:rsidR="00980E5F" w:rsidRDefault="00980E5F">
            <w:pPr>
              <w:rPr>
                <w:rFonts w:ascii="宋体"/>
              </w:rPr>
            </w:pPr>
          </w:p>
        </w:tc>
        <w:tc>
          <w:tcPr>
            <w:tcW w:w="5" w:type="pct"/>
            <w:shd w:val="clear" w:color="auto" w:fill="auto"/>
            <w:vAlign w:val="bottom"/>
          </w:tcPr>
          <w:p w14:paraId="392C2C7B" w14:textId="77777777" w:rsidR="00980E5F" w:rsidRDefault="00980E5F">
            <w:pPr>
              <w:rPr>
                <w:rFonts w:ascii="宋体"/>
              </w:rPr>
            </w:pPr>
          </w:p>
        </w:tc>
        <w:tc>
          <w:tcPr>
            <w:tcW w:w="50" w:type="pct"/>
            <w:shd w:val="clear" w:color="auto" w:fill="auto"/>
            <w:vAlign w:val="bottom"/>
          </w:tcPr>
          <w:p w14:paraId="392C2C7C" w14:textId="77777777" w:rsidR="00980E5F" w:rsidRDefault="00980E5F">
            <w:pPr>
              <w:rPr>
                <w:rFonts w:ascii="宋体"/>
              </w:rPr>
            </w:pPr>
          </w:p>
        </w:tc>
        <w:tc>
          <w:tcPr>
            <w:tcW w:w="698" w:type="pct"/>
            <w:shd w:val="clear" w:color="auto" w:fill="auto"/>
            <w:vAlign w:val="bottom"/>
          </w:tcPr>
          <w:p w14:paraId="392C2C7D" w14:textId="77777777" w:rsidR="00980E5F" w:rsidRDefault="00980E5F">
            <w:pPr>
              <w:rPr>
                <w:rFonts w:ascii="宋体"/>
              </w:rPr>
            </w:pPr>
          </w:p>
        </w:tc>
        <w:tc>
          <w:tcPr>
            <w:tcW w:w="5" w:type="pct"/>
            <w:shd w:val="clear" w:color="auto" w:fill="auto"/>
            <w:vAlign w:val="bottom"/>
          </w:tcPr>
          <w:p w14:paraId="392C2C7E" w14:textId="77777777" w:rsidR="00980E5F" w:rsidRDefault="00980E5F">
            <w:pPr>
              <w:rPr>
                <w:rFonts w:ascii="宋体"/>
              </w:rPr>
            </w:pPr>
          </w:p>
        </w:tc>
        <w:tc>
          <w:tcPr>
            <w:tcW w:w="0" w:type="auto"/>
            <w:gridSpan w:val="3"/>
            <w:shd w:val="clear" w:color="auto" w:fill="auto"/>
            <w:vAlign w:val="bottom"/>
          </w:tcPr>
          <w:p w14:paraId="392C2C7F" w14:textId="77777777" w:rsidR="00980E5F" w:rsidRDefault="00980E5F">
            <w:pPr>
              <w:rPr>
                <w:rFonts w:ascii="宋体"/>
                <w:vanish/>
              </w:rPr>
            </w:pPr>
          </w:p>
        </w:tc>
        <w:tc>
          <w:tcPr>
            <w:tcW w:w="0" w:type="auto"/>
            <w:gridSpan w:val="3"/>
            <w:shd w:val="clear" w:color="auto" w:fill="auto"/>
            <w:vAlign w:val="bottom"/>
          </w:tcPr>
          <w:p w14:paraId="392C2C80" w14:textId="77777777" w:rsidR="00980E5F" w:rsidRDefault="00980E5F">
            <w:pPr>
              <w:rPr>
                <w:rFonts w:ascii="宋体"/>
                <w:vanish/>
              </w:rPr>
            </w:pPr>
          </w:p>
        </w:tc>
        <w:tc>
          <w:tcPr>
            <w:tcW w:w="0" w:type="auto"/>
            <w:gridSpan w:val="3"/>
            <w:shd w:val="clear" w:color="auto" w:fill="auto"/>
            <w:vAlign w:val="bottom"/>
          </w:tcPr>
          <w:p w14:paraId="392C2C81" w14:textId="77777777" w:rsidR="00980E5F" w:rsidRDefault="00980E5F">
            <w:pPr>
              <w:rPr>
                <w:rFonts w:ascii="宋体"/>
                <w:vanish/>
              </w:rPr>
            </w:pPr>
          </w:p>
        </w:tc>
        <w:tc>
          <w:tcPr>
            <w:tcW w:w="0" w:type="auto"/>
            <w:gridSpan w:val="3"/>
            <w:shd w:val="clear" w:color="auto" w:fill="auto"/>
            <w:vAlign w:val="bottom"/>
          </w:tcPr>
          <w:p w14:paraId="392C2C82" w14:textId="77777777" w:rsidR="00980E5F" w:rsidRDefault="00980E5F">
            <w:pPr>
              <w:rPr>
                <w:rFonts w:ascii="宋体"/>
                <w:vanish/>
              </w:rPr>
            </w:pPr>
          </w:p>
        </w:tc>
        <w:tc>
          <w:tcPr>
            <w:tcW w:w="0" w:type="auto"/>
            <w:gridSpan w:val="3"/>
            <w:shd w:val="clear" w:color="auto" w:fill="auto"/>
            <w:vAlign w:val="bottom"/>
          </w:tcPr>
          <w:p w14:paraId="392C2C83" w14:textId="77777777" w:rsidR="00980E5F" w:rsidRDefault="00980E5F">
            <w:pPr>
              <w:rPr>
                <w:rFonts w:ascii="宋体"/>
                <w:vanish/>
              </w:rPr>
            </w:pPr>
          </w:p>
        </w:tc>
        <w:tc>
          <w:tcPr>
            <w:tcW w:w="0" w:type="auto"/>
            <w:gridSpan w:val="3"/>
            <w:shd w:val="clear" w:color="auto" w:fill="auto"/>
            <w:vAlign w:val="bottom"/>
          </w:tcPr>
          <w:p w14:paraId="392C2C84" w14:textId="77777777" w:rsidR="00980E5F" w:rsidRDefault="00980E5F">
            <w:pPr>
              <w:rPr>
                <w:rFonts w:ascii="宋体"/>
                <w:vanish/>
              </w:rPr>
            </w:pPr>
          </w:p>
        </w:tc>
        <w:tc>
          <w:tcPr>
            <w:tcW w:w="0" w:type="auto"/>
            <w:gridSpan w:val="3"/>
            <w:shd w:val="clear" w:color="auto" w:fill="auto"/>
            <w:vAlign w:val="bottom"/>
          </w:tcPr>
          <w:p w14:paraId="392C2C85" w14:textId="77777777" w:rsidR="00980E5F" w:rsidRDefault="00980E5F">
            <w:pPr>
              <w:rPr>
                <w:rFonts w:ascii="宋体"/>
                <w:vanish/>
              </w:rPr>
            </w:pPr>
          </w:p>
        </w:tc>
        <w:tc>
          <w:tcPr>
            <w:tcW w:w="0" w:type="auto"/>
            <w:gridSpan w:val="3"/>
            <w:shd w:val="clear" w:color="auto" w:fill="auto"/>
            <w:vAlign w:val="bottom"/>
          </w:tcPr>
          <w:p w14:paraId="392C2C86" w14:textId="77777777" w:rsidR="00980E5F" w:rsidRDefault="00980E5F">
            <w:pPr>
              <w:rPr>
                <w:rFonts w:ascii="宋体"/>
                <w:vanish/>
              </w:rPr>
            </w:pPr>
          </w:p>
        </w:tc>
      </w:tr>
      <w:tr w:rsidR="00980E5F" w14:paraId="392C2C91" w14:textId="77777777">
        <w:tc>
          <w:tcPr>
            <w:tcW w:w="0" w:type="auto"/>
            <w:gridSpan w:val="24"/>
            <w:shd w:val="clear" w:color="auto" w:fill="auto"/>
            <w:tcMar>
              <w:top w:w="40" w:type="dxa"/>
              <w:left w:w="20" w:type="dxa"/>
              <w:bottom w:w="40" w:type="dxa"/>
              <w:right w:w="20" w:type="dxa"/>
            </w:tcMar>
            <w:vAlign w:val="bottom"/>
          </w:tcPr>
          <w:p w14:paraId="392C2C88" w14:textId="77777777" w:rsidR="00980E5F" w:rsidRDefault="00483613">
            <w:pPr>
              <w:textAlignment w:val="bottom"/>
            </w:pPr>
            <w:r>
              <w:rPr>
                <w:rFonts w:ascii="Arial" w:eastAsia="宋体" w:hAnsi="Arial" w:cs="Arial"/>
                <w:b/>
                <w:bCs/>
                <w:color w:val="000000"/>
                <w:sz w:val="16"/>
                <w:szCs w:val="16"/>
              </w:rPr>
              <w:t>TABLE 42: COMMON STOCK DIVIDENDS</w:t>
            </w:r>
          </w:p>
        </w:tc>
        <w:tc>
          <w:tcPr>
            <w:tcW w:w="0" w:type="auto"/>
            <w:gridSpan w:val="3"/>
            <w:shd w:val="clear" w:color="auto" w:fill="auto"/>
            <w:vAlign w:val="bottom"/>
          </w:tcPr>
          <w:p w14:paraId="392C2C89" w14:textId="77777777" w:rsidR="00980E5F" w:rsidRDefault="00980E5F">
            <w:pPr>
              <w:rPr>
                <w:rFonts w:ascii="宋体"/>
                <w:vanish/>
              </w:rPr>
            </w:pPr>
          </w:p>
        </w:tc>
        <w:tc>
          <w:tcPr>
            <w:tcW w:w="0" w:type="auto"/>
            <w:gridSpan w:val="3"/>
            <w:shd w:val="clear" w:color="auto" w:fill="auto"/>
            <w:vAlign w:val="bottom"/>
          </w:tcPr>
          <w:p w14:paraId="392C2C8A" w14:textId="77777777" w:rsidR="00980E5F" w:rsidRDefault="00980E5F">
            <w:pPr>
              <w:rPr>
                <w:rFonts w:ascii="宋体"/>
                <w:vanish/>
              </w:rPr>
            </w:pPr>
          </w:p>
        </w:tc>
        <w:tc>
          <w:tcPr>
            <w:tcW w:w="0" w:type="auto"/>
            <w:gridSpan w:val="3"/>
            <w:shd w:val="clear" w:color="auto" w:fill="auto"/>
            <w:vAlign w:val="bottom"/>
          </w:tcPr>
          <w:p w14:paraId="392C2C8B" w14:textId="77777777" w:rsidR="00980E5F" w:rsidRDefault="00980E5F">
            <w:pPr>
              <w:rPr>
                <w:rFonts w:ascii="宋体"/>
                <w:vanish/>
              </w:rPr>
            </w:pPr>
          </w:p>
        </w:tc>
        <w:tc>
          <w:tcPr>
            <w:tcW w:w="0" w:type="auto"/>
            <w:gridSpan w:val="3"/>
            <w:shd w:val="clear" w:color="auto" w:fill="auto"/>
            <w:vAlign w:val="bottom"/>
          </w:tcPr>
          <w:p w14:paraId="392C2C8C" w14:textId="77777777" w:rsidR="00980E5F" w:rsidRDefault="00980E5F">
            <w:pPr>
              <w:rPr>
                <w:rFonts w:ascii="宋体"/>
                <w:vanish/>
              </w:rPr>
            </w:pPr>
          </w:p>
        </w:tc>
        <w:tc>
          <w:tcPr>
            <w:tcW w:w="0" w:type="auto"/>
            <w:gridSpan w:val="3"/>
            <w:shd w:val="clear" w:color="auto" w:fill="auto"/>
            <w:vAlign w:val="bottom"/>
          </w:tcPr>
          <w:p w14:paraId="392C2C8D" w14:textId="77777777" w:rsidR="00980E5F" w:rsidRDefault="00980E5F">
            <w:pPr>
              <w:rPr>
                <w:rFonts w:ascii="宋体"/>
                <w:vanish/>
              </w:rPr>
            </w:pPr>
          </w:p>
        </w:tc>
        <w:tc>
          <w:tcPr>
            <w:tcW w:w="0" w:type="auto"/>
            <w:gridSpan w:val="3"/>
            <w:shd w:val="clear" w:color="auto" w:fill="auto"/>
            <w:vAlign w:val="bottom"/>
          </w:tcPr>
          <w:p w14:paraId="392C2C8E" w14:textId="77777777" w:rsidR="00980E5F" w:rsidRDefault="00980E5F">
            <w:pPr>
              <w:rPr>
                <w:rFonts w:ascii="宋体"/>
                <w:vanish/>
              </w:rPr>
            </w:pPr>
          </w:p>
        </w:tc>
        <w:tc>
          <w:tcPr>
            <w:tcW w:w="0" w:type="auto"/>
            <w:gridSpan w:val="3"/>
            <w:shd w:val="clear" w:color="auto" w:fill="auto"/>
            <w:vAlign w:val="bottom"/>
          </w:tcPr>
          <w:p w14:paraId="392C2C8F" w14:textId="77777777" w:rsidR="00980E5F" w:rsidRDefault="00980E5F">
            <w:pPr>
              <w:rPr>
                <w:rFonts w:ascii="宋体"/>
                <w:vanish/>
              </w:rPr>
            </w:pPr>
          </w:p>
        </w:tc>
        <w:tc>
          <w:tcPr>
            <w:tcW w:w="0" w:type="auto"/>
            <w:gridSpan w:val="3"/>
            <w:shd w:val="clear" w:color="auto" w:fill="auto"/>
            <w:vAlign w:val="bottom"/>
          </w:tcPr>
          <w:p w14:paraId="392C2C90" w14:textId="77777777" w:rsidR="00980E5F" w:rsidRDefault="00980E5F">
            <w:pPr>
              <w:rPr>
                <w:rFonts w:ascii="宋体"/>
                <w:vanish/>
              </w:rPr>
            </w:pPr>
          </w:p>
        </w:tc>
      </w:tr>
      <w:tr w:rsidR="00980E5F" w14:paraId="392C2CA8" w14:textId="77777777">
        <w:tc>
          <w:tcPr>
            <w:tcW w:w="0" w:type="auto"/>
            <w:gridSpan w:val="3"/>
            <w:shd w:val="clear" w:color="auto" w:fill="auto"/>
            <w:tcMar>
              <w:top w:w="0" w:type="dxa"/>
              <w:left w:w="20" w:type="dxa"/>
              <w:bottom w:w="0" w:type="dxa"/>
              <w:right w:w="20" w:type="dxa"/>
            </w:tcMar>
            <w:vAlign w:val="bottom"/>
          </w:tcPr>
          <w:p w14:paraId="392C2C92" w14:textId="77777777" w:rsidR="00980E5F" w:rsidRDefault="00980E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92C2C93"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gridSpan w:val="3"/>
            <w:shd w:val="clear" w:color="auto" w:fill="auto"/>
            <w:vAlign w:val="bottom"/>
          </w:tcPr>
          <w:p w14:paraId="392C2C94" w14:textId="77777777" w:rsidR="00980E5F" w:rsidRDefault="00980E5F">
            <w:pPr>
              <w:rPr>
                <w:rFonts w:ascii="宋体"/>
                <w:vanish/>
              </w:rPr>
            </w:pPr>
          </w:p>
        </w:tc>
        <w:tc>
          <w:tcPr>
            <w:tcW w:w="0" w:type="auto"/>
            <w:gridSpan w:val="3"/>
            <w:shd w:val="clear" w:color="auto" w:fill="auto"/>
            <w:vAlign w:val="bottom"/>
          </w:tcPr>
          <w:p w14:paraId="392C2C95" w14:textId="77777777" w:rsidR="00980E5F" w:rsidRDefault="00980E5F">
            <w:pPr>
              <w:rPr>
                <w:rFonts w:ascii="宋体"/>
                <w:vanish/>
              </w:rPr>
            </w:pPr>
          </w:p>
        </w:tc>
        <w:tc>
          <w:tcPr>
            <w:tcW w:w="0" w:type="auto"/>
            <w:shd w:val="clear" w:color="auto" w:fill="auto"/>
            <w:vAlign w:val="bottom"/>
          </w:tcPr>
          <w:p w14:paraId="392C2C96" w14:textId="77777777" w:rsidR="00980E5F" w:rsidRDefault="00980E5F">
            <w:pPr>
              <w:rPr>
                <w:rFonts w:ascii="宋体"/>
              </w:rPr>
            </w:pPr>
          </w:p>
        </w:tc>
        <w:tc>
          <w:tcPr>
            <w:tcW w:w="0" w:type="auto"/>
            <w:shd w:val="clear" w:color="auto" w:fill="auto"/>
            <w:vAlign w:val="bottom"/>
          </w:tcPr>
          <w:p w14:paraId="392C2C97" w14:textId="77777777" w:rsidR="00980E5F" w:rsidRDefault="00980E5F">
            <w:pPr>
              <w:rPr>
                <w:rFonts w:ascii="宋体"/>
              </w:rPr>
            </w:pPr>
          </w:p>
        </w:tc>
        <w:tc>
          <w:tcPr>
            <w:tcW w:w="0" w:type="auto"/>
            <w:shd w:val="clear" w:color="auto" w:fill="auto"/>
            <w:vAlign w:val="bottom"/>
          </w:tcPr>
          <w:p w14:paraId="392C2C98" w14:textId="77777777" w:rsidR="00980E5F" w:rsidRDefault="00980E5F">
            <w:pPr>
              <w:rPr>
                <w:rFonts w:ascii="宋体"/>
              </w:rPr>
            </w:pPr>
          </w:p>
        </w:tc>
        <w:tc>
          <w:tcPr>
            <w:tcW w:w="0" w:type="auto"/>
            <w:shd w:val="clear" w:color="auto" w:fill="auto"/>
            <w:vAlign w:val="bottom"/>
          </w:tcPr>
          <w:p w14:paraId="392C2C99" w14:textId="77777777" w:rsidR="00980E5F" w:rsidRDefault="00980E5F">
            <w:pPr>
              <w:rPr>
                <w:rFonts w:ascii="宋体"/>
              </w:rPr>
            </w:pPr>
          </w:p>
        </w:tc>
        <w:tc>
          <w:tcPr>
            <w:tcW w:w="0" w:type="auto"/>
            <w:shd w:val="clear" w:color="auto" w:fill="auto"/>
            <w:vAlign w:val="bottom"/>
          </w:tcPr>
          <w:p w14:paraId="392C2C9A" w14:textId="77777777" w:rsidR="00980E5F" w:rsidRDefault="00980E5F">
            <w:pPr>
              <w:rPr>
                <w:rFonts w:ascii="宋体"/>
              </w:rPr>
            </w:pPr>
          </w:p>
        </w:tc>
        <w:tc>
          <w:tcPr>
            <w:tcW w:w="0" w:type="auto"/>
            <w:shd w:val="clear" w:color="auto" w:fill="auto"/>
            <w:vAlign w:val="bottom"/>
          </w:tcPr>
          <w:p w14:paraId="392C2C9B" w14:textId="77777777" w:rsidR="00980E5F" w:rsidRDefault="00980E5F">
            <w:pPr>
              <w:rPr>
                <w:rFonts w:ascii="宋体"/>
              </w:rPr>
            </w:pPr>
          </w:p>
        </w:tc>
        <w:tc>
          <w:tcPr>
            <w:tcW w:w="0" w:type="auto"/>
            <w:shd w:val="clear" w:color="auto" w:fill="auto"/>
            <w:vAlign w:val="bottom"/>
          </w:tcPr>
          <w:p w14:paraId="392C2C9C" w14:textId="77777777" w:rsidR="00980E5F" w:rsidRDefault="00980E5F">
            <w:pPr>
              <w:rPr>
                <w:rFonts w:ascii="宋体"/>
              </w:rPr>
            </w:pPr>
          </w:p>
        </w:tc>
        <w:tc>
          <w:tcPr>
            <w:tcW w:w="0" w:type="auto"/>
            <w:shd w:val="clear" w:color="auto" w:fill="auto"/>
            <w:vAlign w:val="bottom"/>
          </w:tcPr>
          <w:p w14:paraId="392C2C9D" w14:textId="77777777" w:rsidR="00980E5F" w:rsidRDefault="00980E5F">
            <w:pPr>
              <w:rPr>
                <w:rFonts w:ascii="宋体"/>
              </w:rPr>
            </w:pPr>
          </w:p>
        </w:tc>
        <w:tc>
          <w:tcPr>
            <w:tcW w:w="0" w:type="auto"/>
            <w:shd w:val="clear" w:color="auto" w:fill="auto"/>
            <w:vAlign w:val="bottom"/>
          </w:tcPr>
          <w:p w14:paraId="392C2C9E" w14:textId="77777777" w:rsidR="00980E5F" w:rsidRDefault="00980E5F">
            <w:pPr>
              <w:rPr>
                <w:rFonts w:ascii="宋体"/>
              </w:rPr>
            </w:pPr>
          </w:p>
        </w:tc>
        <w:tc>
          <w:tcPr>
            <w:tcW w:w="0" w:type="auto"/>
            <w:shd w:val="clear" w:color="auto" w:fill="auto"/>
            <w:vAlign w:val="bottom"/>
          </w:tcPr>
          <w:p w14:paraId="392C2C9F" w14:textId="77777777" w:rsidR="00980E5F" w:rsidRDefault="00980E5F">
            <w:pPr>
              <w:rPr>
                <w:rFonts w:ascii="宋体"/>
              </w:rPr>
            </w:pPr>
          </w:p>
        </w:tc>
        <w:tc>
          <w:tcPr>
            <w:tcW w:w="0" w:type="auto"/>
            <w:shd w:val="clear" w:color="auto" w:fill="auto"/>
            <w:vAlign w:val="bottom"/>
          </w:tcPr>
          <w:p w14:paraId="392C2CA0" w14:textId="77777777" w:rsidR="00980E5F" w:rsidRDefault="00980E5F">
            <w:pPr>
              <w:rPr>
                <w:rFonts w:ascii="宋体"/>
              </w:rPr>
            </w:pPr>
          </w:p>
        </w:tc>
        <w:tc>
          <w:tcPr>
            <w:tcW w:w="0" w:type="auto"/>
            <w:shd w:val="clear" w:color="auto" w:fill="auto"/>
            <w:vAlign w:val="bottom"/>
          </w:tcPr>
          <w:p w14:paraId="392C2CA1" w14:textId="77777777" w:rsidR="00980E5F" w:rsidRDefault="00980E5F">
            <w:pPr>
              <w:rPr>
                <w:rFonts w:ascii="宋体"/>
              </w:rPr>
            </w:pPr>
          </w:p>
        </w:tc>
        <w:tc>
          <w:tcPr>
            <w:tcW w:w="0" w:type="auto"/>
            <w:shd w:val="clear" w:color="auto" w:fill="auto"/>
            <w:vAlign w:val="bottom"/>
          </w:tcPr>
          <w:p w14:paraId="392C2CA2" w14:textId="77777777" w:rsidR="00980E5F" w:rsidRDefault="00980E5F">
            <w:pPr>
              <w:rPr>
                <w:rFonts w:ascii="宋体"/>
              </w:rPr>
            </w:pPr>
          </w:p>
        </w:tc>
        <w:tc>
          <w:tcPr>
            <w:tcW w:w="0" w:type="auto"/>
            <w:shd w:val="clear" w:color="auto" w:fill="auto"/>
            <w:vAlign w:val="bottom"/>
          </w:tcPr>
          <w:p w14:paraId="392C2CA3" w14:textId="77777777" w:rsidR="00980E5F" w:rsidRDefault="00980E5F">
            <w:pPr>
              <w:rPr>
                <w:rFonts w:ascii="宋体"/>
              </w:rPr>
            </w:pPr>
          </w:p>
        </w:tc>
        <w:tc>
          <w:tcPr>
            <w:tcW w:w="0" w:type="auto"/>
            <w:shd w:val="clear" w:color="auto" w:fill="auto"/>
            <w:vAlign w:val="bottom"/>
          </w:tcPr>
          <w:p w14:paraId="392C2CA4" w14:textId="77777777" w:rsidR="00980E5F" w:rsidRDefault="00980E5F">
            <w:pPr>
              <w:rPr>
                <w:rFonts w:ascii="宋体"/>
              </w:rPr>
            </w:pPr>
          </w:p>
        </w:tc>
        <w:tc>
          <w:tcPr>
            <w:tcW w:w="0" w:type="auto"/>
            <w:shd w:val="clear" w:color="auto" w:fill="auto"/>
            <w:vAlign w:val="bottom"/>
          </w:tcPr>
          <w:p w14:paraId="392C2CA5" w14:textId="77777777" w:rsidR="00980E5F" w:rsidRDefault="00980E5F">
            <w:pPr>
              <w:rPr>
                <w:rFonts w:ascii="宋体"/>
              </w:rPr>
            </w:pPr>
          </w:p>
        </w:tc>
        <w:tc>
          <w:tcPr>
            <w:tcW w:w="0" w:type="auto"/>
            <w:shd w:val="clear" w:color="auto" w:fill="auto"/>
            <w:vAlign w:val="bottom"/>
          </w:tcPr>
          <w:p w14:paraId="392C2CA6" w14:textId="77777777" w:rsidR="00980E5F" w:rsidRDefault="00980E5F">
            <w:pPr>
              <w:rPr>
                <w:rFonts w:ascii="宋体"/>
              </w:rPr>
            </w:pPr>
          </w:p>
        </w:tc>
        <w:tc>
          <w:tcPr>
            <w:tcW w:w="0" w:type="auto"/>
            <w:shd w:val="clear" w:color="auto" w:fill="auto"/>
            <w:vAlign w:val="bottom"/>
          </w:tcPr>
          <w:p w14:paraId="392C2CA7" w14:textId="77777777" w:rsidR="00980E5F" w:rsidRDefault="00980E5F">
            <w:pPr>
              <w:rPr>
                <w:rFonts w:ascii="宋体"/>
              </w:rPr>
            </w:pPr>
          </w:p>
        </w:tc>
      </w:tr>
      <w:tr w:rsidR="00980E5F" w14:paraId="392C2CB5" w14:textId="77777777">
        <w:tc>
          <w:tcPr>
            <w:tcW w:w="0" w:type="auto"/>
            <w:gridSpan w:val="3"/>
            <w:shd w:val="clear" w:color="auto" w:fill="auto"/>
            <w:tcMar>
              <w:top w:w="0" w:type="dxa"/>
              <w:left w:w="20" w:type="dxa"/>
              <w:bottom w:w="0" w:type="dxa"/>
              <w:right w:w="20" w:type="dxa"/>
            </w:tcMar>
            <w:vAlign w:val="bottom"/>
          </w:tcPr>
          <w:p w14:paraId="392C2CA9"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CAA"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AB"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CAC"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C2CAD" w14:textId="77777777" w:rsidR="00980E5F" w:rsidRDefault="00980E5F">
            <w:pPr>
              <w:rPr>
                <w:rFonts w:ascii="宋体"/>
                <w:vanish/>
              </w:rPr>
            </w:pPr>
          </w:p>
        </w:tc>
        <w:tc>
          <w:tcPr>
            <w:tcW w:w="0" w:type="auto"/>
            <w:gridSpan w:val="3"/>
            <w:shd w:val="clear" w:color="auto" w:fill="auto"/>
            <w:vAlign w:val="bottom"/>
          </w:tcPr>
          <w:p w14:paraId="392C2CAE" w14:textId="77777777" w:rsidR="00980E5F" w:rsidRDefault="00980E5F">
            <w:pPr>
              <w:rPr>
                <w:rFonts w:ascii="宋体"/>
                <w:vanish/>
              </w:rPr>
            </w:pPr>
          </w:p>
        </w:tc>
        <w:tc>
          <w:tcPr>
            <w:tcW w:w="0" w:type="auto"/>
            <w:gridSpan w:val="3"/>
            <w:shd w:val="clear" w:color="auto" w:fill="auto"/>
            <w:vAlign w:val="bottom"/>
          </w:tcPr>
          <w:p w14:paraId="392C2CAF" w14:textId="77777777" w:rsidR="00980E5F" w:rsidRDefault="00980E5F">
            <w:pPr>
              <w:rPr>
                <w:rFonts w:ascii="宋体"/>
                <w:vanish/>
              </w:rPr>
            </w:pPr>
          </w:p>
        </w:tc>
        <w:tc>
          <w:tcPr>
            <w:tcW w:w="0" w:type="auto"/>
            <w:gridSpan w:val="3"/>
            <w:shd w:val="clear" w:color="auto" w:fill="auto"/>
            <w:vAlign w:val="bottom"/>
          </w:tcPr>
          <w:p w14:paraId="392C2CB0" w14:textId="77777777" w:rsidR="00980E5F" w:rsidRDefault="00980E5F">
            <w:pPr>
              <w:rPr>
                <w:rFonts w:ascii="宋体"/>
                <w:vanish/>
              </w:rPr>
            </w:pPr>
          </w:p>
        </w:tc>
        <w:tc>
          <w:tcPr>
            <w:tcW w:w="0" w:type="auto"/>
            <w:gridSpan w:val="3"/>
            <w:shd w:val="clear" w:color="auto" w:fill="auto"/>
            <w:vAlign w:val="bottom"/>
          </w:tcPr>
          <w:p w14:paraId="392C2CB1" w14:textId="77777777" w:rsidR="00980E5F" w:rsidRDefault="00980E5F">
            <w:pPr>
              <w:rPr>
                <w:rFonts w:ascii="宋体"/>
                <w:vanish/>
              </w:rPr>
            </w:pPr>
          </w:p>
        </w:tc>
        <w:tc>
          <w:tcPr>
            <w:tcW w:w="0" w:type="auto"/>
            <w:gridSpan w:val="3"/>
            <w:shd w:val="clear" w:color="auto" w:fill="auto"/>
            <w:vAlign w:val="bottom"/>
          </w:tcPr>
          <w:p w14:paraId="392C2CB2" w14:textId="77777777" w:rsidR="00980E5F" w:rsidRDefault="00980E5F">
            <w:pPr>
              <w:rPr>
                <w:rFonts w:ascii="宋体"/>
                <w:vanish/>
              </w:rPr>
            </w:pPr>
          </w:p>
        </w:tc>
        <w:tc>
          <w:tcPr>
            <w:tcW w:w="0" w:type="auto"/>
            <w:gridSpan w:val="3"/>
            <w:shd w:val="clear" w:color="auto" w:fill="auto"/>
            <w:vAlign w:val="bottom"/>
          </w:tcPr>
          <w:p w14:paraId="392C2CB3" w14:textId="77777777" w:rsidR="00980E5F" w:rsidRDefault="00980E5F">
            <w:pPr>
              <w:rPr>
                <w:rFonts w:ascii="宋体"/>
                <w:vanish/>
              </w:rPr>
            </w:pPr>
          </w:p>
        </w:tc>
        <w:tc>
          <w:tcPr>
            <w:tcW w:w="0" w:type="auto"/>
            <w:gridSpan w:val="3"/>
            <w:shd w:val="clear" w:color="auto" w:fill="auto"/>
            <w:vAlign w:val="bottom"/>
          </w:tcPr>
          <w:p w14:paraId="392C2CB4" w14:textId="77777777" w:rsidR="00980E5F" w:rsidRDefault="00980E5F">
            <w:pPr>
              <w:rPr>
                <w:rFonts w:ascii="宋体"/>
                <w:vanish/>
              </w:rPr>
            </w:pPr>
          </w:p>
        </w:tc>
      </w:tr>
      <w:tr w:rsidR="00980E5F" w14:paraId="392C2CC6" w14:textId="77777777">
        <w:tc>
          <w:tcPr>
            <w:tcW w:w="0" w:type="auto"/>
            <w:gridSpan w:val="3"/>
            <w:shd w:val="clear" w:color="auto" w:fill="auto"/>
            <w:tcMar>
              <w:top w:w="0" w:type="dxa"/>
              <w:left w:w="20" w:type="dxa"/>
              <w:bottom w:w="0" w:type="dxa"/>
              <w:right w:w="20" w:type="dxa"/>
            </w:tcMar>
            <w:vAlign w:val="bottom"/>
          </w:tcPr>
          <w:p w14:paraId="392C2CB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B7" w14:textId="77777777" w:rsidR="00980E5F" w:rsidRDefault="00483613">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B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B9" w14:textId="77777777" w:rsidR="00980E5F" w:rsidRDefault="00483613">
            <w:pPr>
              <w:jc w:val="center"/>
              <w:textAlignment w:val="bottom"/>
            </w:pPr>
            <w:r>
              <w:rPr>
                <w:rFonts w:ascii="Arial" w:eastAsia="宋体" w:hAnsi="Arial" w:cs="Arial"/>
                <w:b/>
                <w:bCs/>
                <w:color w:val="000000"/>
                <w:sz w:val="13"/>
                <w:szCs w:val="13"/>
              </w:rPr>
              <w:t>Total (In millions)</w:t>
            </w:r>
          </w:p>
        </w:tc>
        <w:tc>
          <w:tcPr>
            <w:tcW w:w="0" w:type="auto"/>
            <w:gridSpan w:val="3"/>
            <w:shd w:val="clear" w:color="auto" w:fill="auto"/>
            <w:tcMar>
              <w:top w:w="0" w:type="dxa"/>
              <w:left w:w="20" w:type="dxa"/>
              <w:bottom w:w="0" w:type="dxa"/>
              <w:right w:w="20" w:type="dxa"/>
            </w:tcMar>
            <w:vAlign w:val="bottom"/>
          </w:tcPr>
          <w:p w14:paraId="392C2CB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BB" w14:textId="77777777" w:rsidR="00980E5F" w:rsidRDefault="00483613">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CB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CBD" w14:textId="77777777" w:rsidR="00980E5F" w:rsidRDefault="00483613">
            <w:pPr>
              <w:jc w:val="center"/>
              <w:textAlignment w:val="bottom"/>
            </w:pPr>
            <w:r>
              <w:rPr>
                <w:rFonts w:ascii="Arial" w:eastAsia="宋体" w:hAnsi="Arial" w:cs="Arial"/>
                <w:b/>
                <w:bCs/>
                <w:color w:val="000000"/>
                <w:sz w:val="13"/>
                <w:szCs w:val="13"/>
              </w:rPr>
              <w:t>Total (In millions)</w:t>
            </w:r>
          </w:p>
        </w:tc>
        <w:tc>
          <w:tcPr>
            <w:tcW w:w="0" w:type="auto"/>
            <w:gridSpan w:val="3"/>
            <w:shd w:val="clear" w:color="auto" w:fill="auto"/>
            <w:vAlign w:val="bottom"/>
          </w:tcPr>
          <w:p w14:paraId="392C2CBE" w14:textId="77777777" w:rsidR="00980E5F" w:rsidRDefault="00980E5F">
            <w:pPr>
              <w:rPr>
                <w:rFonts w:ascii="宋体"/>
                <w:vanish/>
              </w:rPr>
            </w:pPr>
          </w:p>
        </w:tc>
        <w:tc>
          <w:tcPr>
            <w:tcW w:w="0" w:type="auto"/>
            <w:gridSpan w:val="3"/>
            <w:shd w:val="clear" w:color="auto" w:fill="auto"/>
            <w:vAlign w:val="bottom"/>
          </w:tcPr>
          <w:p w14:paraId="392C2CBF" w14:textId="77777777" w:rsidR="00980E5F" w:rsidRDefault="00980E5F">
            <w:pPr>
              <w:rPr>
                <w:rFonts w:ascii="宋体"/>
                <w:vanish/>
              </w:rPr>
            </w:pPr>
          </w:p>
        </w:tc>
        <w:tc>
          <w:tcPr>
            <w:tcW w:w="0" w:type="auto"/>
            <w:gridSpan w:val="3"/>
            <w:shd w:val="clear" w:color="auto" w:fill="auto"/>
            <w:vAlign w:val="bottom"/>
          </w:tcPr>
          <w:p w14:paraId="392C2CC0" w14:textId="77777777" w:rsidR="00980E5F" w:rsidRDefault="00980E5F">
            <w:pPr>
              <w:rPr>
                <w:rFonts w:ascii="宋体"/>
                <w:vanish/>
              </w:rPr>
            </w:pPr>
          </w:p>
        </w:tc>
        <w:tc>
          <w:tcPr>
            <w:tcW w:w="0" w:type="auto"/>
            <w:gridSpan w:val="3"/>
            <w:shd w:val="clear" w:color="auto" w:fill="auto"/>
            <w:vAlign w:val="bottom"/>
          </w:tcPr>
          <w:p w14:paraId="392C2CC1" w14:textId="77777777" w:rsidR="00980E5F" w:rsidRDefault="00980E5F">
            <w:pPr>
              <w:rPr>
                <w:rFonts w:ascii="宋体"/>
                <w:vanish/>
              </w:rPr>
            </w:pPr>
          </w:p>
        </w:tc>
        <w:tc>
          <w:tcPr>
            <w:tcW w:w="0" w:type="auto"/>
            <w:gridSpan w:val="3"/>
            <w:shd w:val="clear" w:color="auto" w:fill="auto"/>
            <w:vAlign w:val="bottom"/>
          </w:tcPr>
          <w:p w14:paraId="392C2CC2" w14:textId="77777777" w:rsidR="00980E5F" w:rsidRDefault="00980E5F">
            <w:pPr>
              <w:rPr>
                <w:rFonts w:ascii="宋体"/>
                <w:vanish/>
              </w:rPr>
            </w:pPr>
          </w:p>
        </w:tc>
        <w:tc>
          <w:tcPr>
            <w:tcW w:w="0" w:type="auto"/>
            <w:gridSpan w:val="3"/>
            <w:shd w:val="clear" w:color="auto" w:fill="auto"/>
            <w:vAlign w:val="bottom"/>
          </w:tcPr>
          <w:p w14:paraId="392C2CC3" w14:textId="77777777" w:rsidR="00980E5F" w:rsidRDefault="00980E5F">
            <w:pPr>
              <w:rPr>
                <w:rFonts w:ascii="宋体"/>
                <w:vanish/>
              </w:rPr>
            </w:pPr>
          </w:p>
        </w:tc>
        <w:tc>
          <w:tcPr>
            <w:tcW w:w="0" w:type="auto"/>
            <w:gridSpan w:val="3"/>
            <w:shd w:val="clear" w:color="auto" w:fill="auto"/>
            <w:vAlign w:val="bottom"/>
          </w:tcPr>
          <w:p w14:paraId="392C2CC4" w14:textId="77777777" w:rsidR="00980E5F" w:rsidRDefault="00980E5F">
            <w:pPr>
              <w:rPr>
                <w:rFonts w:ascii="宋体"/>
                <w:vanish/>
              </w:rPr>
            </w:pPr>
          </w:p>
        </w:tc>
        <w:tc>
          <w:tcPr>
            <w:tcW w:w="0" w:type="auto"/>
            <w:gridSpan w:val="3"/>
            <w:shd w:val="clear" w:color="auto" w:fill="auto"/>
            <w:vAlign w:val="bottom"/>
          </w:tcPr>
          <w:p w14:paraId="392C2CC5" w14:textId="77777777" w:rsidR="00980E5F" w:rsidRDefault="00980E5F">
            <w:pPr>
              <w:rPr>
                <w:rFonts w:ascii="宋体"/>
                <w:vanish/>
              </w:rPr>
            </w:pPr>
          </w:p>
        </w:tc>
      </w:tr>
      <w:tr w:rsidR="00980E5F" w14:paraId="392C2CE7" w14:textId="77777777">
        <w:trPr>
          <w:hidden/>
        </w:trPr>
        <w:tc>
          <w:tcPr>
            <w:tcW w:w="0" w:type="auto"/>
            <w:gridSpan w:val="3"/>
            <w:shd w:val="clear" w:color="auto" w:fill="auto"/>
            <w:vAlign w:val="bottom"/>
          </w:tcPr>
          <w:p w14:paraId="392C2CC7" w14:textId="77777777" w:rsidR="00980E5F" w:rsidRDefault="00980E5F">
            <w:pPr>
              <w:rPr>
                <w:rFonts w:ascii="宋体"/>
                <w:vanish/>
              </w:rPr>
            </w:pPr>
          </w:p>
        </w:tc>
        <w:tc>
          <w:tcPr>
            <w:tcW w:w="0" w:type="auto"/>
            <w:gridSpan w:val="3"/>
            <w:shd w:val="clear" w:color="auto" w:fill="auto"/>
            <w:vAlign w:val="bottom"/>
          </w:tcPr>
          <w:p w14:paraId="392C2CC8" w14:textId="77777777" w:rsidR="00980E5F" w:rsidRDefault="00980E5F">
            <w:pPr>
              <w:rPr>
                <w:rFonts w:ascii="宋体"/>
                <w:vanish/>
              </w:rPr>
            </w:pPr>
          </w:p>
        </w:tc>
        <w:tc>
          <w:tcPr>
            <w:tcW w:w="0" w:type="auto"/>
            <w:gridSpan w:val="3"/>
            <w:shd w:val="clear" w:color="auto" w:fill="auto"/>
            <w:vAlign w:val="bottom"/>
          </w:tcPr>
          <w:p w14:paraId="392C2CC9" w14:textId="77777777" w:rsidR="00980E5F" w:rsidRDefault="00980E5F">
            <w:pPr>
              <w:rPr>
                <w:rFonts w:ascii="宋体"/>
                <w:vanish/>
              </w:rPr>
            </w:pPr>
          </w:p>
        </w:tc>
        <w:tc>
          <w:tcPr>
            <w:tcW w:w="0" w:type="auto"/>
            <w:gridSpan w:val="3"/>
            <w:shd w:val="clear" w:color="auto" w:fill="auto"/>
            <w:vAlign w:val="bottom"/>
          </w:tcPr>
          <w:p w14:paraId="392C2CCA" w14:textId="77777777" w:rsidR="00980E5F" w:rsidRDefault="00980E5F">
            <w:pPr>
              <w:rPr>
                <w:rFonts w:ascii="宋体"/>
                <w:vanish/>
              </w:rPr>
            </w:pPr>
          </w:p>
        </w:tc>
        <w:tc>
          <w:tcPr>
            <w:tcW w:w="0" w:type="auto"/>
            <w:gridSpan w:val="3"/>
            <w:shd w:val="clear" w:color="auto" w:fill="auto"/>
            <w:vAlign w:val="bottom"/>
          </w:tcPr>
          <w:p w14:paraId="392C2CCB" w14:textId="77777777" w:rsidR="00980E5F" w:rsidRDefault="00980E5F">
            <w:pPr>
              <w:rPr>
                <w:rFonts w:ascii="宋体"/>
                <w:vanish/>
              </w:rPr>
            </w:pPr>
          </w:p>
        </w:tc>
        <w:tc>
          <w:tcPr>
            <w:tcW w:w="0" w:type="auto"/>
            <w:gridSpan w:val="3"/>
            <w:shd w:val="clear" w:color="auto" w:fill="auto"/>
            <w:vAlign w:val="bottom"/>
          </w:tcPr>
          <w:p w14:paraId="392C2CCC" w14:textId="77777777" w:rsidR="00980E5F" w:rsidRDefault="00980E5F">
            <w:pPr>
              <w:rPr>
                <w:rFonts w:ascii="宋体"/>
                <w:vanish/>
              </w:rPr>
            </w:pPr>
          </w:p>
        </w:tc>
        <w:tc>
          <w:tcPr>
            <w:tcW w:w="0" w:type="auto"/>
            <w:gridSpan w:val="3"/>
            <w:shd w:val="clear" w:color="auto" w:fill="auto"/>
            <w:vAlign w:val="bottom"/>
          </w:tcPr>
          <w:p w14:paraId="392C2CCD" w14:textId="77777777" w:rsidR="00980E5F" w:rsidRDefault="00980E5F">
            <w:pPr>
              <w:rPr>
                <w:rFonts w:ascii="宋体"/>
                <w:vanish/>
              </w:rPr>
            </w:pPr>
          </w:p>
        </w:tc>
        <w:tc>
          <w:tcPr>
            <w:tcW w:w="0" w:type="auto"/>
            <w:gridSpan w:val="3"/>
            <w:shd w:val="clear" w:color="auto" w:fill="auto"/>
            <w:vAlign w:val="bottom"/>
          </w:tcPr>
          <w:p w14:paraId="392C2CCE" w14:textId="77777777" w:rsidR="00980E5F" w:rsidRDefault="00980E5F">
            <w:pPr>
              <w:rPr>
                <w:rFonts w:ascii="宋体"/>
                <w:vanish/>
              </w:rPr>
            </w:pPr>
          </w:p>
        </w:tc>
        <w:tc>
          <w:tcPr>
            <w:tcW w:w="0" w:type="auto"/>
            <w:shd w:val="clear" w:color="auto" w:fill="auto"/>
            <w:vAlign w:val="bottom"/>
          </w:tcPr>
          <w:p w14:paraId="392C2CCF" w14:textId="77777777" w:rsidR="00980E5F" w:rsidRDefault="00980E5F">
            <w:pPr>
              <w:rPr>
                <w:rFonts w:ascii="宋体"/>
              </w:rPr>
            </w:pPr>
          </w:p>
        </w:tc>
        <w:tc>
          <w:tcPr>
            <w:tcW w:w="0" w:type="auto"/>
            <w:shd w:val="clear" w:color="auto" w:fill="auto"/>
            <w:vAlign w:val="bottom"/>
          </w:tcPr>
          <w:p w14:paraId="392C2CD0" w14:textId="77777777" w:rsidR="00980E5F" w:rsidRDefault="00980E5F">
            <w:pPr>
              <w:rPr>
                <w:rFonts w:ascii="宋体"/>
              </w:rPr>
            </w:pPr>
          </w:p>
        </w:tc>
        <w:tc>
          <w:tcPr>
            <w:tcW w:w="0" w:type="auto"/>
            <w:shd w:val="clear" w:color="auto" w:fill="auto"/>
            <w:vAlign w:val="bottom"/>
          </w:tcPr>
          <w:p w14:paraId="392C2CD1" w14:textId="77777777" w:rsidR="00980E5F" w:rsidRDefault="00980E5F">
            <w:pPr>
              <w:rPr>
                <w:rFonts w:ascii="宋体"/>
              </w:rPr>
            </w:pPr>
          </w:p>
        </w:tc>
        <w:tc>
          <w:tcPr>
            <w:tcW w:w="0" w:type="auto"/>
            <w:shd w:val="clear" w:color="auto" w:fill="auto"/>
            <w:vAlign w:val="bottom"/>
          </w:tcPr>
          <w:p w14:paraId="392C2CD2" w14:textId="77777777" w:rsidR="00980E5F" w:rsidRDefault="00980E5F">
            <w:pPr>
              <w:rPr>
                <w:rFonts w:ascii="宋体"/>
              </w:rPr>
            </w:pPr>
          </w:p>
        </w:tc>
        <w:tc>
          <w:tcPr>
            <w:tcW w:w="0" w:type="auto"/>
            <w:shd w:val="clear" w:color="auto" w:fill="auto"/>
            <w:vAlign w:val="bottom"/>
          </w:tcPr>
          <w:p w14:paraId="392C2CD3" w14:textId="77777777" w:rsidR="00980E5F" w:rsidRDefault="00980E5F">
            <w:pPr>
              <w:rPr>
                <w:rFonts w:ascii="宋体"/>
              </w:rPr>
            </w:pPr>
          </w:p>
        </w:tc>
        <w:tc>
          <w:tcPr>
            <w:tcW w:w="0" w:type="auto"/>
            <w:shd w:val="clear" w:color="auto" w:fill="auto"/>
            <w:vAlign w:val="bottom"/>
          </w:tcPr>
          <w:p w14:paraId="392C2CD4" w14:textId="77777777" w:rsidR="00980E5F" w:rsidRDefault="00980E5F">
            <w:pPr>
              <w:rPr>
                <w:rFonts w:ascii="宋体"/>
              </w:rPr>
            </w:pPr>
          </w:p>
        </w:tc>
        <w:tc>
          <w:tcPr>
            <w:tcW w:w="0" w:type="auto"/>
            <w:shd w:val="clear" w:color="auto" w:fill="auto"/>
            <w:vAlign w:val="bottom"/>
          </w:tcPr>
          <w:p w14:paraId="392C2CD5" w14:textId="77777777" w:rsidR="00980E5F" w:rsidRDefault="00980E5F">
            <w:pPr>
              <w:rPr>
                <w:rFonts w:ascii="宋体"/>
              </w:rPr>
            </w:pPr>
          </w:p>
        </w:tc>
        <w:tc>
          <w:tcPr>
            <w:tcW w:w="0" w:type="auto"/>
            <w:shd w:val="clear" w:color="auto" w:fill="auto"/>
            <w:vAlign w:val="bottom"/>
          </w:tcPr>
          <w:p w14:paraId="392C2CD6" w14:textId="77777777" w:rsidR="00980E5F" w:rsidRDefault="00980E5F">
            <w:pPr>
              <w:rPr>
                <w:rFonts w:ascii="宋体"/>
              </w:rPr>
            </w:pPr>
          </w:p>
        </w:tc>
        <w:tc>
          <w:tcPr>
            <w:tcW w:w="0" w:type="auto"/>
            <w:shd w:val="clear" w:color="auto" w:fill="auto"/>
            <w:vAlign w:val="bottom"/>
          </w:tcPr>
          <w:p w14:paraId="392C2CD7" w14:textId="77777777" w:rsidR="00980E5F" w:rsidRDefault="00980E5F">
            <w:pPr>
              <w:rPr>
                <w:rFonts w:ascii="宋体"/>
              </w:rPr>
            </w:pPr>
          </w:p>
        </w:tc>
        <w:tc>
          <w:tcPr>
            <w:tcW w:w="0" w:type="auto"/>
            <w:shd w:val="clear" w:color="auto" w:fill="auto"/>
            <w:vAlign w:val="bottom"/>
          </w:tcPr>
          <w:p w14:paraId="392C2CD8" w14:textId="77777777" w:rsidR="00980E5F" w:rsidRDefault="00980E5F">
            <w:pPr>
              <w:rPr>
                <w:rFonts w:ascii="宋体"/>
              </w:rPr>
            </w:pPr>
          </w:p>
        </w:tc>
        <w:tc>
          <w:tcPr>
            <w:tcW w:w="0" w:type="auto"/>
            <w:shd w:val="clear" w:color="auto" w:fill="auto"/>
            <w:vAlign w:val="bottom"/>
          </w:tcPr>
          <w:p w14:paraId="392C2CD9" w14:textId="77777777" w:rsidR="00980E5F" w:rsidRDefault="00980E5F">
            <w:pPr>
              <w:rPr>
                <w:rFonts w:ascii="宋体"/>
              </w:rPr>
            </w:pPr>
          </w:p>
        </w:tc>
        <w:tc>
          <w:tcPr>
            <w:tcW w:w="0" w:type="auto"/>
            <w:shd w:val="clear" w:color="auto" w:fill="auto"/>
            <w:vAlign w:val="bottom"/>
          </w:tcPr>
          <w:p w14:paraId="392C2CDA" w14:textId="77777777" w:rsidR="00980E5F" w:rsidRDefault="00980E5F">
            <w:pPr>
              <w:rPr>
                <w:rFonts w:ascii="宋体"/>
              </w:rPr>
            </w:pPr>
          </w:p>
        </w:tc>
        <w:tc>
          <w:tcPr>
            <w:tcW w:w="0" w:type="auto"/>
            <w:shd w:val="clear" w:color="auto" w:fill="auto"/>
            <w:vAlign w:val="bottom"/>
          </w:tcPr>
          <w:p w14:paraId="392C2CDB" w14:textId="77777777" w:rsidR="00980E5F" w:rsidRDefault="00980E5F">
            <w:pPr>
              <w:rPr>
                <w:rFonts w:ascii="宋体"/>
              </w:rPr>
            </w:pPr>
          </w:p>
        </w:tc>
        <w:tc>
          <w:tcPr>
            <w:tcW w:w="0" w:type="auto"/>
            <w:shd w:val="clear" w:color="auto" w:fill="auto"/>
            <w:vAlign w:val="bottom"/>
          </w:tcPr>
          <w:p w14:paraId="392C2CDC" w14:textId="77777777" w:rsidR="00980E5F" w:rsidRDefault="00980E5F">
            <w:pPr>
              <w:rPr>
                <w:rFonts w:ascii="宋体"/>
              </w:rPr>
            </w:pPr>
          </w:p>
        </w:tc>
        <w:tc>
          <w:tcPr>
            <w:tcW w:w="0" w:type="auto"/>
            <w:shd w:val="clear" w:color="auto" w:fill="auto"/>
            <w:vAlign w:val="bottom"/>
          </w:tcPr>
          <w:p w14:paraId="392C2CDD" w14:textId="77777777" w:rsidR="00980E5F" w:rsidRDefault="00980E5F">
            <w:pPr>
              <w:rPr>
                <w:rFonts w:ascii="宋体"/>
              </w:rPr>
            </w:pPr>
          </w:p>
        </w:tc>
        <w:tc>
          <w:tcPr>
            <w:tcW w:w="0" w:type="auto"/>
            <w:shd w:val="clear" w:color="auto" w:fill="auto"/>
            <w:vAlign w:val="bottom"/>
          </w:tcPr>
          <w:p w14:paraId="392C2CDE" w14:textId="77777777" w:rsidR="00980E5F" w:rsidRDefault="00980E5F">
            <w:pPr>
              <w:rPr>
                <w:rFonts w:ascii="宋体"/>
              </w:rPr>
            </w:pPr>
          </w:p>
        </w:tc>
        <w:tc>
          <w:tcPr>
            <w:tcW w:w="0" w:type="auto"/>
            <w:shd w:val="clear" w:color="auto" w:fill="auto"/>
            <w:vAlign w:val="bottom"/>
          </w:tcPr>
          <w:p w14:paraId="392C2CDF" w14:textId="77777777" w:rsidR="00980E5F" w:rsidRDefault="00980E5F">
            <w:pPr>
              <w:rPr>
                <w:rFonts w:ascii="宋体"/>
              </w:rPr>
            </w:pPr>
          </w:p>
        </w:tc>
        <w:tc>
          <w:tcPr>
            <w:tcW w:w="0" w:type="auto"/>
            <w:shd w:val="clear" w:color="auto" w:fill="auto"/>
            <w:vAlign w:val="bottom"/>
          </w:tcPr>
          <w:p w14:paraId="392C2CE0" w14:textId="77777777" w:rsidR="00980E5F" w:rsidRDefault="00980E5F">
            <w:pPr>
              <w:rPr>
                <w:rFonts w:ascii="宋体"/>
              </w:rPr>
            </w:pPr>
          </w:p>
        </w:tc>
        <w:tc>
          <w:tcPr>
            <w:tcW w:w="0" w:type="auto"/>
            <w:shd w:val="clear" w:color="auto" w:fill="auto"/>
            <w:vAlign w:val="bottom"/>
          </w:tcPr>
          <w:p w14:paraId="392C2CE1" w14:textId="77777777" w:rsidR="00980E5F" w:rsidRDefault="00980E5F">
            <w:pPr>
              <w:rPr>
                <w:rFonts w:ascii="宋体"/>
              </w:rPr>
            </w:pPr>
          </w:p>
        </w:tc>
        <w:tc>
          <w:tcPr>
            <w:tcW w:w="0" w:type="auto"/>
            <w:shd w:val="clear" w:color="auto" w:fill="auto"/>
            <w:vAlign w:val="bottom"/>
          </w:tcPr>
          <w:p w14:paraId="392C2CE2" w14:textId="77777777" w:rsidR="00980E5F" w:rsidRDefault="00980E5F">
            <w:pPr>
              <w:rPr>
                <w:rFonts w:ascii="宋体"/>
              </w:rPr>
            </w:pPr>
          </w:p>
        </w:tc>
        <w:tc>
          <w:tcPr>
            <w:tcW w:w="0" w:type="auto"/>
            <w:shd w:val="clear" w:color="auto" w:fill="auto"/>
            <w:vAlign w:val="bottom"/>
          </w:tcPr>
          <w:p w14:paraId="392C2CE3" w14:textId="77777777" w:rsidR="00980E5F" w:rsidRDefault="00980E5F">
            <w:pPr>
              <w:rPr>
                <w:rFonts w:ascii="宋体"/>
              </w:rPr>
            </w:pPr>
          </w:p>
        </w:tc>
        <w:tc>
          <w:tcPr>
            <w:tcW w:w="0" w:type="auto"/>
            <w:shd w:val="clear" w:color="auto" w:fill="auto"/>
            <w:vAlign w:val="bottom"/>
          </w:tcPr>
          <w:p w14:paraId="392C2CE4" w14:textId="77777777" w:rsidR="00980E5F" w:rsidRDefault="00980E5F">
            <w:pPr>
              <w:rPr>
                <w:rFonts w:ascii="宋体"/>
              </w:rPr>
            </w:pPr>
          </w:p>
        </w:tc>
        <w:tc>
          <w:tcPr>
            <w:tcW w:w="0" w:type="auto"/>
            <w:shd w:val="clear" w:color="auto" w:fill="auto"/>
            <w:vAlign w:val="bottom"/>
          </w:tcPr>
          <w:p w14:paraId="392C2CE5" w14:textId="77777777" w:rsidR="00980E5F" w:rsidRDefault="00980E5F">
            <w:pPr>
              <w:rPr>
                <w:rFonts w:ascii="宋体"/>
              </w:rPr>
            </w:pPr>
          </w:p>
        </w:tc>
        <w:tc>
          <w:tcPr>
            <w:tcW w:w="0" w:type="auto"/>
            <w:shd w:val="clear" w:color="auto" w:fill="auto"/>
            <w:vAlign w:val="bottom"/>
          </w:tcPr>
          <w:p w14:paraId="392C2CE6" w14:textId="77777777" w:rsidR="00980E5F" w:rsidRDefault="00980E5F">
            <w:pPr>
              <w:rPr>
                <w:rFonts w:ascii="宋体"/>
              </w:rPr>
            </w:pPr>
          </w:p>
        </w:tc>
      </w:tr>
      <w:tr w:rsidR="00980E5F" w14:paraId="392C2D00" w14:textId="77777777">
        <w:tc>
          <w:tcPr>
            <w:tcW w:w="0" w:type="auto"/>
            <w:gridSpan w:val="3"/>
            <w:shd w:val="clear" w:color="auto" w:fill="CCEEFF"/>
            <w:tcMar>
              <w:top w:w="40" w:type="dxa"/>
              <w:left w:w="20" w:type="dxa"/>
              <w:bottom w:w="40" w:type="dxa"/>
              <w:right w:w="20" w:type="dxa"/>
            </w:tcMar>
            <w:vAlign w:val="bottom"/>
          </w:tcPr>
          <w:p w14:paraId="392C2CE8" w14:textId="77777777" w:rsidR="00980E5F" w:rsidRDefault="00483613">
            <w:pPr>
              <w:textAlignment w:val="bottom"/>
            </w:pPr>
            <w:r>
              <w:rPr>
                <w:rFonts w:ascii="Arial" w:eastAsia="宋体" w:hAnsi="Arial" w:cs="Arial"/>
                <w:color w:val="000000"/>
                <w:sz w:val="13"/>
                <w:szCs w:val="13"/>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CE9"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EA" w14:textId="77777777" w:rsidR="00980E5F" w:rsidRDefault="00483613">
            <w:pPr>
              <w:jc w:val="right"/>
              <w:textAlignment w:val="bottom"/>
            </w:pPr>
            <w:r>
              <w:rPr>
                <w:rFonts w:ascii="Arial" w:eastAsia="宋体" w:hAnsi="Arial" w:cs="Arial"/>
                <w:b/>
                <w:bCs/>
                <w:color w:val="000000"/>
                <w:sz w:val="13"/>
                <w:szCs w:val="13"/>
              </w:rPr>
              <w:t>0.57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E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ED"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EE" w14:textId="77777777" w:rsidR="00980E5F" w:rsidRDefault="00483613">
            <w:pPr>
              <w:jc w:val="right"/>
              <w:textAlignment w:val="bottom"/>
            </w:pPr>
            <w:r>
              <w:rPr>
                <w:rFonts w:ascii="Arial" w:eastAsia="宋体" w:hAnsi="Arial" w:cs="Arial"/>
                <w:b/>
                <w:bCs/>
                <w:color w:val="000000"/>
                <w:sz w:val="13"/>
                <w:szCs w:val="13"/>
              </w:rPr>
              <w:t>210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F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F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F2" w14:textId="77777777" w:rsidR="00980E5F" w:rsidRDefault="00483613">
            <w:pPr>
              <w:jc w:val="right"/>
              <w:textAlignment w:val="bottom"/>
            </w:pPr>
            <w:r>
              <w:rPr>
                <w:rFonts w:ascii="Arial" w:eastAsia="宋体" w:hAnsi="Arial" w:cs="Arial"/>
                <w:color w:val="000000"/>
                <w:sz w:val="13"/>
                <w:szCs w:val="13"/>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CF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CF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CF6" w14:textId="77777777" w:rsidR="00980E5F" w:rsidRDefault="00483613">
            <w:pPr>
              <w:jc w:val="right"/>
              <w:textAlignment w:val="bottom"/>
            </w:pPr>
            <w:r>
              <w:rPr>
                <w:rFonts w:ascii="Arial" w:eastAsia="宋体" w:hAnsi="Arial" w:cs="Arial"/>
                <w:color w:val="000000"/>
                <w:sz w:val="13"/>
                <w:szCs w:val="13"/>
              </w:rPr>
              <w:t>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CF7" w14:textId="77777777" w:rsidR="00980E5F" w:rsidRDefault="00980E5F">
            <w:pPr>
              <w:jc w:val="right"/>
              <w:rPr>
                <w:rFonts w:ascii="宋体"/>
              </w:rPr>
            </w:pPr>
          </w:p>
        </w:tc>
        <w:tc>
          <w:tcPr>
            <w:tcW w:w="0" w:type="auto"/>
            <w:gridSpan w:val="3"/>
            <w:shd w:val="clear" w:color="auto" w:fill="auto"/>
            <w:vAlign w:val="bottom"/>
          </w:tcPr>
          <w:p w14:paraId="392C2CF8" w14:textId="77777777" w:rsidR="00980E5F" w:rsidRDefault="00980E5F">
            <w:pPr>
              <w:rPr>
                <w:rFonts w:ascii="宋体"/>
                <w:vanish/>
              </w:rPr>
            </w:pPr>
          </w:p>
        </w:tc>
        <w:tc>
          <w:tcPr>
            <w:tcW w:w="0" w:type="auto"/>
            <w:gridSpan w:val="3"/>
            <w:shd w:val="clear" w:color="auto" w:fill="auto"/>
            <w:vAlign w:val="bottom"/>
          </w:tcPr>
          <w:p w14:paraId="392C2CF9" w14:textId="77777777" w:rsidR="00980E5F" w:rsidRDefault="00980E5F">
            <w:pPr>
              <w:rPr>
                <w:rFonts w:ascii="宋体"/>
                <w:vanish/>
              </w:rPr>
            </w:pPr>
          </w:p>
        </w:tc>
        <w:tc>
          <w:tcPr>
            <w:tcW w:w="0" w:type="auto"/>
            <w:gridSpan w:val="3"/>
            <w:shd w:val="clear" w:color="auto" w:fill="auto"/>
            <w:vAlign w:val="bottom"/>
          </w:tcPr>
          <w:p w14:paraId="392C2CFA" w14:textId="77777777" w:rsidR="00980E5F" w:rsidRDefault="00980E5F">
            <w:pPr>
              <w:rPr>
                <w:rFonts w:ascii="宋体"/>
                <w:vanish/>
              </w:rPr>
            </w:pPr>
          </w:p>
        </w:tc>
        <w:tc>
          <w:tcPr>
            <w:tcW w:w="0" w:type="auto"/>
            <w:gridSpan w:val="3"/>
            <w:shd w:val="clear" w:color="auto" w:fill="auto"/>
            <w:vAlign w:val="bottom"/>
          </w:tcPr>
          <w:p w14:paraId="392C2CFB" w14:textId="77777777" w:rsidR="00980E5F" w:rsidRDefault="00980E5F">
            <w:pPr>
              <w:rPr>
                <w:rFonts w:ascii="宋体"/>
                <w:vanish/>
              </w:rPr>
            </w:pPr>
          </w:p>
        </w:tc>
        <w:tc>
          <w:tcPr>
            <w:tcW w:w="0" w:type="auto"/>
            <w:gridSpan w:val="3"/>
            <w:shd w:val="clear" w:color="auto" w:fill="auto"/>
            <w:vAlign w:val="bottom"/>
          </w:tcPr>
          <w:p w14:paraId="392C2CFC" w14:textId="77777777" w:rsidR="00980E5F" w:rsidRDefault="00980E5F">
            <w:pPr>
              <w:rPr>
                <w:rFonts w:ascii="宋体"/>
                <w:vanish/>
              </w:rPr>
            </w:pPr>
          </w:p>
        </w:tc>
        <w:tc>
          <w:tcPr>
            <w:tcW w:w="0" w:type="auto"/>
            <w:gridSpan w:val="3"/>
            <w:shd w:val="clear" w:color="auto" w:fill="auto"/>
            <w:vAlign w:val="bottom"/>
          </w:tcPr>
          <w:p w14:paraId="392C2CFD" w14:textId="77777777" w:rsidR="00980E5F" w:rsidRDefault="00980E5F">
            <w:pPr>
              <w:rPr>
                <w:rFonts w:ascii="宋体"/>
                <w:vanish/>
              </w:rPr>
            </w:pPr>
          </w:p>
        </w:tc>
        <w:tc>
          <w:tcPr>
            <w:tcW w:w="0" w:type="auto"/>
            <w:gridSpan w:val="3"/>
            <w:shd w:val="clear" w:color="auto" w:fill="auto"/>
            <w:vAlign w:val="bottom"/>
          </w:tcPr>
          <w:p w14:paraId="392C2CFE" w14:textId="77777777" w:rsidR="00980E5F" w:rsidRDefault="00980E5F">
            <w:pPr>
              <w:rPr>
                <w:rFonts w:ascii="宋体"/>
                <w:vanish/>
              </w:rPr>
            </w:pPr>
          </w:p>
        </w:tc>
        <w:tc>
          <w:tcPr>
            <w:tcW w:w="0" w:type="auto"/>
            <w:gridSpan w:val="3"/>
            <w:shd w:val="clear" w:color="auto" w:fill="auto"/>
            <w:vAlign w:val="bottom"/>
          </w:tcPr>
          <w:p w14:paraId="392C2CFF" w14:textId="77777777" w:rsidR="00980E5F" w:rsidRDefault="00980E5F">
            <w:pPr>
              <w:rPr>
                <w:rFonts w:ascii="宋体"/>
                <w:vanish/>
              </w:rPr>
            </w:pPr>
          </w:p>
        </w:tc>
      </w:tr>
      <w:tr w:rsidR="00980E5F" w14:paraId="392C2D11" w14:textId="77777777">
        <w:trPr>
          <w:trHeight w:val="60"/>
        </w:trPr>
        <w:tc>
          <w:tcPr>
            <w:tcW w:w="0" w:type="auto"/>
            <w:gridSpan w:val="3"/>
            <w:shd w:val="clear" w:color="auto" w:fill="auto"/>
            <w:tcMar>
              <w:top w:w="0" w:type="dxa"/>
              <w:left w:w="20" w:type="dxa"/>
              <w:bottom w:w="0" w:type="dxa"/>
              <w:right w:w="20" w:type="dxa"/>
            </w:tcMar>
            <w:vAlign w:val="bottom"/>
          </w:tcPr>
          <w:p w14:paraId="392C2D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08" w14:textId="77777777" w:rsidR="00980E5F" w:rsidRDefault="00980E5F">
            <w:pPr>
              <w:rPr>
                <w:rFonts w:ascii="宋体"/>
              </w:rPr>
            </w:pPr>
          </w:p>
        </w:tc>
        <w:tc>
          <w:tcPr>
            <w:tcW w:w="0" w:type="auto"/>
            <w:gridSpan w:val="3"/>
            <w:shd w:val="clear" w:color="auto" w:fill="auto"/>
            <w:vAlign w:val="bottom"/>
          </w:tcPr>
          <w:p w14:paraId="392C2D09" w14:textId="77777777" w:rsidR="00980E5F" w:rsidRDefault="00980E5F">
            <w:pPr>
              <w:rPr>
                <w:rFonts w:ascii="宋体"/>
                <w:vanish/>
              </w:rPr>
            </w:pPr>
          </w:p>
        </w:tc>
        <w:tc>
          <w:tcPr>
            <w:tcW w:w="0" w:type="auto"/>
            <w:gridSpan w:val="3"/>
            <w:shd w:val="clear" w:color="auto" w:fill="auto"/>
            <w:vAlign w:val="bottom"/>
          </w:tcPr>
          <w:p w14:paraId="392C2D0A" w14:textId="77777777" w:rsidR="00980E5F" w:rsidRDefault="00980E5F">
            <w:pPr>
              <w:rPr>
                <w:rFonts w:ascii="宋体"/>
                <w:vanish/>
              </w:rPr>
            </w:pPr>
          </w:p>
        </w:tc>
        <w:tc>
          <w:tcPr>
            <w:tcW w:w="0" w:type="auto"/>
            <w:gridSpan w:val="3"/>
            <w:shd w:val="clear" w:color="auto" w:fill="auto"/>
            <w:vAlign w:val="bottom"/>
          </w:tcPr>
          <w:p w14:paraId="392C2D0B" w14:textId="77777777" w:rsidR="00980E5F" w:rsidRDefault="00980E5F">
            <w:pPr>
              <w:rPr>
                <w:rFonts w:ascii="宋体"/>
                <w:vanish/>
              </w:rPr>
            </w:pPr>
          </w:p>
        </w:tc>
        <w:tc>
          <w:tcPr>
            <w:tcW w:w="0" w:type="auto"/>
            <w:gridSpan w:val="3"/>
            <w:shd w:val="clear" w:color="auto" w:fill="auto"/>
            <w:vAlign w:val="bottom"/>
          </w:tcPr>
          <w:p w14:paraId="392C2D0C" w14:textId="77777777" w:rsidR="00980E5F" w:rsidRDefault="00980E5F">
            <w:pPr>
              <w:rPr>
                <w:rFonts w:ascii="宋体"/>
                <w:vanish/>
              </w:rPr>
            </w:pPr>
          </w:p>
        </w:tc>
        <w:tc>
          <w:tcPr>
            <w:tcW w:w="0" w:type="auto"/>
            <w:gridSpan w:val="3"/>
            <w:shd w:val="clear" w:color="auto" w:fill="auto"/>
            <w:vAlign w:val="bottom"/>
          </w:tcPr>
          <w:p w14:paraId="392C2D0D" w14:textId="77777777" w:rsidR="00980E5F" w:rsidRDefault="00980E5F">
            <w:pPr>
              <w:rPr>
                <w:rFonts w:ascii="宋体"/>
                <w:vanish/>
              </w:rPr>
            </w:pPr>
          </w:p>
        </w:tc>
        <w:tc>
          <w:tcPr>
            <w:tcW w:w="0" w:type="auto"/>
            <w:gridSpan w:val="3"/>
            <w:shd w:val="clear" w:color="auto" w:fill="auto"/>
            <w:vAlign w:val="bottom"/>
          </w:tcPr>
          <w:p w14:paraId="392C2D0E" w14:textId="77777777" w:rsidR="00980E5F" w:rsidRDefault="00980E5F">
            <w:pPr>
              <w:rPr>
                <w:rFonts w:ascii="宋体"/>
                <w:vanish/>
              </w:rPr>
            </w:pPr>
          </w:p>
        </w:tc>
        <w:tc>
          <w:tcPr>
            <w:tcW w:w="0" w:type="auto"/>
            <w:gridSpan w:val="3"/>
            <w:shd w:val="clear" w:color="auto" w:fill="auto"/>
            <w:vAlign w:val="bottom"/>
          </w:tcPr>
          <w:p w14:paraId="392C2D0F" w14:textId="77777777" w:rsidR="00980E5F" w:rsidRDefault="00980E5F">
            <w:pPr>
              <w:rPr>
                <w:rFonts w:ascii="宋体"/>
                <w:vanish/>
              </w:rPr>
            </w:pPr>
          </w:p>
        </w:tc>
        <w:tc>
          <w:tcPr>
            <w:tcW w:w="0" w:type="auto"/>
            <w:gridSpan w:val="3"/>
            <w:shd w:val="clear" w:color="auto" w:fill="auto"/>
            <w:vAlign w:val="bottom"/>
          </w:tcPr>
          <w:p w14:paraId="392C2D10" w14:textId="77777777" w:rsidR="00980E5F" w:rsidRDefault="00980E5F">
            <w:pPr>
              <w:rPr>
                <w:rFonts w:ascii="宋体"/>
                <w:vanish/>
              </w:rPr>
            </w:pPr>
          </w:p>
        </w:tc>
      </w:tr>
      <w:tr w:rsidR="00980E5F" w14:paraId="392C2D2E" w14:textId="77777777">
        <w:trPr>
          <w:hidden/>
        </w:trPr>
        <w:tc>
          <w:tcPr>
            <w:tcW w:w="0" w:type="auto"/>
            <w:gridSpan w:val="3"/>
            <w:shd w:val="clear" w:color="auto" w:fill="auto"/>
            <w:vAlign w:val="bottom"/>
          </w:tcPr>
          <w:p w14:paraId="392C2D12" w14:textId="77777777" w:rsidR="00980E5F" w:rsidRDefault="00980E5F">
            <w:pPr>
              <w:rPr>
                <w:rFonts w:ascii="宋体"/>
                <w:vanish/>
              </w:rPr>
            </w:pPr>
          </w:p>
        </w:tc>
        <w:tc>
          <w:tcPr>
            <w:tcW w:w="0" w:type="auto"/>
            <w:gridSpan w:val="3"/>
            <w:shd w:val="clear" w:color="auto" w:fill="auto"/>
            <w:vAlign w:val="bottom"/>
          </w:tcPr>
          <w:p w14:paraId="392C2D13" w14:textId="77777777" w:rsidR="00980E5F" w:rsidRDefault="00980E5F">
            <w:pPr>
              <w:rPr>
                <w:rFonts w:ascii="宋体"/>
                <w:vanish/>
              </w:rPr>
            </w:pPr>
          </w:p>
        </w:tc>
        <w:tc>
          <w:tcPr>
            <w:tcW w:w="0" w:type="auto"/>
            <w:gridSpan w:val="3"/>
            <w:shd w:val="clear" w:color="auto" w:fill="auto"/>
            <w:vAlign w:val="bottom"/>
          </w:tcPr>
          <w:p w14:paraId="392C2D14" w14:textId="77777777" w:rsidR="00980E5F" w:rsidRDefault="00980E5F">
            <w:pPr>
              <w:rPr>
                <w:rFonts w:ascii="宋体"/>
                <w:vanish/>
              </w:rPr>
            </w:pPr>
          </w:p>
        </w:tc>
        <w:tc>
          <w:tcPr>
            <w:tcW w:w="0" w:type="auto"/>
            <w:gridSpan w:val="3"/>
            <w:shd w:val="clear" w:color="auto" w:fill="auto"/>
            <w:vAlign w:val="bottom"/>
          </w:tcPr>
          <w:p w14:paraId="392C2D15" w14:textId="77777777" w:rsidR="00980E5F" w:rsidRDefault="00980E5F">
            <w:pPr>
              <w:rPr>
                <w:rFonts w:ascii="宋体"/>
                <w:vanish/>
              </w:rPr>
            </w:pPr>
          </w:p>
        </w:tc>
        <w:tc>
          <w:tcPr>
            <w:tcW w:w="0" w:type="auto"/>
            <w:gridSpan w:val="3"/>
            <w:shd w:val="clear" w:color="auto" w:fill="auto"/>
            <w:vAlign w:val="bottom"/>
          </w:tcPr>
          <w:p w14:paraId="392C2D16" w14:textId="77777777" w:rsidR="00980E5F" w:rsidRDefault="00980E5F">
            <w:pPr>
              <w:rPr>
                <w:rFonts w:ascii="宋体"/>
                <w:vanish/>
              </w:rPr>
            </w:pPr>
          </w:p>
        </w:tc>
        <w:tc>
          <w:tcPr>
            <w:tcW w:w="0" w:type="auto"/>
            <w:gridSpan w:val="3"/>
            <w:shd w:val="clear" w:color="auto" w:fill="auto"/>
            <w:vAlign w:val="bottom"/>
          </w:tcPr>
          <w:p w14:paraId="392C2D17" w14:textId="77777777" w:rsidR="00980E5F" w:rsidRDefault="00980E5F">
            <w:pPr>
              <w:rPr>
                <w:rFonts w:ascii="宋体"/>
                <w:vanish/>
              </w:rPr>
            </w:pPr>
          </w:p>
        </w:tc>
        <w:tc>
          <w:tcPr>
            <w:tcW w:w="0" w:type="auto"/>
            <w:gridSpan w:val="3"/>
            <w:shd w:val="clear" w:color="auto" w:fill="auto"/>
            <w:vAlign w:val="bottom"/>
          </w:tcPr>
          <w:p w14:paraId="392C2D18" w14:textId="77777777" w:rsidR="00980E5F" w:rsidRDefault="00980E5F">
            <w:pPr>
              <w:rPr>
                <w:rFonts w:ascii="宋体"/>
                <w:vanish/>
              </w:rPr>
            </w:pPr>
          </w:p>
        </w:tc>
        <w:tc>
          <w:tcPr>
            <w:tcW w:w="0" w:type="auto"/>
            <w:gridSpan w:val="3"/>
            <w:shd w:val="clear" w:color="auto" w:fill="auto"/>
            <w:vAlign w:val="bottom"/>
          </w:tcPr>
          <w:p w14:paraId="392C2D19" w14:textId="77777777" w:rsidR="00980E5F" w:rsidRDefault="00980E5F">
            <w:pPr>
              <w:rPr>
                <w:rFonts w:ascii="宋体"/>
                <w:vanish/>
              </w:rPr>
            </w:pPr>
          </w:p>
        </w:tc>
        <w:tc>
          <w:tcPr>
            <w:tcW w:w="0" w:type="auto"/>
            <w:gridSpan w:val="3"/>
            <w:shd w:val="clear" w:color="auto" w:fill="auto"/>
            <w:vAlign w:val="bottom"/>
          </w:tcPr>
          <w:p w14:paraId="392C2D1A" w14:textId="77777777" w:rsidR="00980E5F" w:rsidRDefault="00980E5F">
            <w:pPr>
              <w:rPr>
                <w:rFonts w:ascii="宋体"/>
                <w:vanish/>
              </w:rPr>
            </w:pPr>
          </w:p>
        </w:tc>
        <w:tc>
          <w:tcPr>
            <w:tcW w:w="0" w:type="auto"/>
            <w:gridSpan w:val="3"/>
            <w:shd w:val="clear" w:color="auto" w:fill="auto"/>
            <w:vAlign w:val="bottom"/>
          </w:tcPr>
          <w:p w14:paraId="392C2D1B" w14:textId="77777777" w:rsidR="00980E5F" w:rsidRDefault="00980E5F">
            <w:pPr>
              <w:rPr>
                <w:rFonts w:ascii="宋体"/>
                <w:vanish/>
              </w:rPr>
            </w:pPr>
          </w:p>
        </w:tc>
        <w:tc>
          <w:tcPr>
            <w:tcW w:w="0" w:type="auto"/>
            <w:shd w:val="clear" w:color="auto" w:fill="auto"/>
            <w:vAlign w:val="bottom"/>
          </w:tcPr>
          <w:p w14:paraId="392C2D1C" w14:textId="77777777" w:rsidR="00980E5F" w:rsidRDefault="00980E5F">
            <w:pPr>
              <w:rPr>
                <w:rFonts w:ascii="宋体"/>
              </w:rPr>
            </w:pPr>
          </w:p>
        </w:tc>
        <w:tc>
          <w:tcPr>
            <w:tcW w:w="0" w:type="auto"/>
            <w:shd w:val="clear" w:color="auto" w:fill="auto"/>
            <w:vAlign w:val="bottom"/>
          </w:tcPr>
          <w:p w14:paraId="392C2D1D" w14:textId="77777777" w:rsidR="00980E5F" w:rsidRDefault="00980E5F">
            <w:pPr>
              <w:rPr>
                <w:rFonts w:ascii="宋体"/>
              </w:rPr>
            </w:pPr>
          </w:p>
        </w:tc>
        <w:tc>
          <w:tcPr>
            <w:tcW w:w="0" w:type="auto"/>
            <w:shd w:val="clear" w:color="auto" w:fill="auto"/>
            <w:vAlign w:val="bottom"/>
          </w:tcPr>
          <w:p w14:paraId="392C2D1E" w14:textId="77777777" w:rsidR="00980E5F" w:rsidRDefault="00980E5F">
            <w:pPr>
              <w:rPr>
                <w:rFonts w:ascii="宋体"/>
              </w:rPr>
            </w:pPr>
          </w:p>
        </w:tc>
        <w:tc>
          <w:tcPr>
            <w:tcW w:w="0" w:type="auto"/>
            <w:shd w:val="clear" w:color="auto" w:fill="auto"/>
            <w:vAlign w:val="bottom"/>
          </w:tcPr>
          <w:p w14:paraId="392C2D1F" w14:textId="77777777" w:rsidR="00980E5F" w:rsidRDefault="00980E5F">
            <w:pPr>
              <w:rPr>
                <w:rFonts w:ascii="宋体"/>
              </w:rPr>
            </w:pPr>
          </w:p>
        </w:tc>
        <w:tc>
          <w:tcPr>
            <w:tcW w:w="0" w:type="auto"/>
            <w:shd w:val="clear" w:color="auto" w:fill="auto"/>
            <w:vAlign w:val="bottom"/>
          </w:tcPr>
          <w:p w14:paraId="392C2D20" w14:textId="77777777" w:rsidR="00980E5F" w:rsidRDefault="00980E5F">
            <w:pPr>
              <w:rPr>
                <w:rFonts w:ascii="宋体"/>
              </w:rPr>
            </w:pPr>
          </w:p>
        </w:tc>
        <w:tc>
          <w:tcPr>
            <w:tcW w:w="0" w:type="auto"/>
            <w:shd w:val="clear" w:color="auto" w:fill="auto"/>
            <w:vAlign w:val="bottom"/>
          </w:tcPr>
          <w:p w14:paraId="392C2D21" w14:textId="77777777" w:rsidR="00980E5F" w:rsidRDefault="00980E5F">
            <w:pPr>
              <w:rPr>
                <w:rFonts w:ascii="宋体"/>
              </w:rPr>
            </w:pPr>
          </w:p>
        </w:tc>
        <w:tc>
          <w:tcPr>
            <w:tcW w:w="0" w:type="auto"/>
            <w:shd w:val="clear" w:color="auto" w:fill="auto"/>
            <w:vAlign w:val="bottom"/>
          </w:tcPr>
          <w:p w14:paraId="392C2D22" w14:textId="77777777" w:rsidR="00980E5F" w:rsidRDefault="00980E5F">
            <w:pPr>
              <w:rPr>
                <w:rFonts w:ascii="宋体"/>
              </w:rPr>
            </w:pPr>
          </w:p>
        </w:tc>
        <w:tc>
          <w:tcPr>
            <w:tcW w:w="0" w:type="auto"/>
            <w:shd w:val="clear" w:color="auto" w:fill="auto"/>
            <w:vAlign w:val="bottom"/>
          </w:tcPr>
          <w:p w14:paraId="392C2D23" w14:textId="77777777" w:rsidR="00980E5F" w:rsidRDefault="00980E5F">
            <w:pPr>
              <w:rPr>
                <w:rFonts w:ascii="宋体"/>
              </w:rPr>
            </w:pPr>
          </w:p>
        </w:tc>
        <w:tc>
          <w:tcPr>
            <w:tcW w:w="0" w:type="auto"/>
            <w:shd w:val="clear" w:color="auto" w:fill="auto"/>
            <w:vAlign w:val="bottom"/>
          </w:tcPr>
          <w:p w14:paraId="392C2D24" w14:textId="77777777" w:rsidR="00980E5F" w:rsidRDefault="00980E5F">
            <w:pPr>
              <w:rPr>
                <w:rFonts w:ascii="宋体"/>
              </w:rPr>
            </w:pPr>
          </w:p>
        </w:tc>
        <w:tc>
          <w:tcPr>
            <w:tcW w:w="0" w:type="auto"/>
            <w:shd w:val="clear" w:color="auto" w:fill="auto"/>
            <w:vAlign w:val="bottom"/>
          </w:tcPr>
          <w:p w14:paraId="392C2D25" w14:textId="77777777" w:rsidR="00980E5F" w:rsidRDefault="00980E5F">
            <w:pPr>
              <w:rPr>
                <w:rFonts w:ascii="宋体"/>
              </w:rPr>
            </w:pPr>
          </w:p>
        </w:tc>
        <w:tc>
          <w:tcPr>
            <w:tcW w:w="0" w:type="auto"/>
            <w:shd w:val="clear" w:color="auto" w:fill="auto"/>
            <w:vAlign w:val="bottom"/>
          </w:tcPr>
          <w:p w14:paraId="392C2D26" w14:textId="77777777" w:rsidR="00980E5F" w:rsidRDefault="00980E5F">
            <w:pPr>
              <w:rPr>
                <w:rFonts w:ascii="宋体"/>
              </w:rPr>
            </w:pPr>
          </w:p>
        </w:tc>
        <w:tc>
          <w:tcPr>
            <w:tcW w:w="0" w:type="auto"/>
            <w:shd w:val="clear" w:color="auto" w:fill="auto"/>
            <w:vAlign w:val="bottom"/>
          </w:tcPr>
          <w:p w14:paraId="392C2D27" w14:textId="77777777" w:rsidR="00980E5F" w:rsidRDefault="00980E5F">
            <w:pPr>
              <w:rPr>
                <w:rFonts w:ascii="宋体"/>
              </w:rPr>
            </w:pPr>
          </w:p>
        </w:tc>
        <w:tc>
          <w:tcPr>
            <w:tcW w:w="0" w:type="auto"/>
            <w:shd w:val="clear" w:color="auto" w:fill="auto"/>
            <w:vAlign w:val="bottom"/>
          </w:tcPr>
          <w:p w14:paraId="392C2D28" w14:textId="77777777" w:rsidR="00980E5F" w:rsidRDefault="00980E5F">
            <w:pPr>
              <w:rPr>
                <w:rFonts w:ascii="宋体"/>
              </w:rPr>
            </w:pPr>
          </w:p>
        </w:tc>
        <w:tc>
          <w:tcPr>
            <w:tcW w:w="0" w:type="auto"/>
            <w:shd w:val="clear" w:color="auto" w:fill="auto"/>
            <w:vAlign w:val="bottom"/>
          </w:tcPr>
          <w:p w14:paraId="392C2D29" w14:textId="77777777" w:rsidR="00980E5F" w:rsidRDefault="00980E5F">
            <w:pPr>
              <w:rPr>
                <w:rFonts w:ascii="宋体"/>
              </w:rPr>
            </w:pPr>
          </w:p>
        </w:tc>
        <w:tc>
          <w:tcPr>
            <w:tcW w:w="0" w:type="auto"/>
            <w:shd w:val="clear" w:color="auto" w:fill="auto"/>
            <w:vAlign w:val="bottom"/>
          </w:tcPr>
          <w:p w14:paraId="392C2D2A" w14:textId="77777777" w:rsidR="00980E5F" w:rsidRDefault="00980E5F">
            <w:pPr>
              <w:rPr>
                <w:rFonts w:ascii="宋体"/>
              </w:rPr>
            </w:pPr>
          </w:p>
        </w:tc>
        <w:tc>
          <w:tcPr>
            <w:tcW w:w="0" w:type="auto"/>
            <w:shd w:val="clear" w:color="auto" w:fill="auto"/>
            <w:vAlign w:val="bottom"/>
          </w:tcPr>
          <w:p w14:paraId="392C2D2B" w14:textId="77777777" w:rsidR="00980E5F" w:rsidRDefault="00980E5F">
            <w:pPr>
              <w:rPr>
                <w:rFonts w:ascii="宋体"/>
              </w:rPr>
            </w:pPr>
          </w:p>
        </w:tc>
        <w:tc>
          <w:tcPr>
            <w:tcW w:w="0" w:type="auto"/>
            <w:shd w:val="clear" w:color="auto" w:fill="auto"/>
            <w:vAlign w:val="bottom"/>
          </w:tcPr>
          <w:p w14:paraId="392C2D2C" w14:textId="77777777" w:rsidR="00980E5F" w:rsidRDefault="00980E5F">
            <w:pPr>
              <w:rPr>
                <w:rFonts w:ascii="宋体"/>
              </w:rPr>
            </w:pPr>
          </w:p>
        </w:tc>
        <w:tc>
          <w:tcPr>
            <w:tcW w:w="0" w:type="auto"/>
            <w:shd w:val="clear" w:color="auto" w:fill="auto"/>
            <w:vAlign w:val="bottom"/>
          </w:tcPr>
          <w:p w14:paraId="392C2D2D" w14:textId="77777777" w:rsidR="00980E5F" w:rsidRDefault="00980E5F">
            <w:pPr>
              <w:rPr>
                <w:rFonts w:ascii="宋体"/>
              </w:rPr>
            </w:pPr>
          </w:p>
        </w:tc>
      </w:tr>
      <w:tr w:rsidR="00980E5F" w14:paraId="392C2D47" w14:textId="77777777">
        <w:trPr>
          <w:hidden/>
        </w:trPr>
        <w:tc>
          <w:tcPr>
            <w:tcW w:w="0" w:type="auto"/>
            <w:gridSpan w:val="3"/>
            <w:shd w:val="clear" w:color="auto" w:fill="auto"/>
            <w:vAlign w:val="bottom"/>
          </w:tcPr>
          <w:p w14:paraId="392C2D2F" w14:textId="77777777" w:rsidR="00980E5F" w:rsidRDefault="00980E5F">
            <w:pPr>
              <w:rPr>
                <w:rFonts w:ascii="宋体"/>
                <w:vanish/>
              </w:rPr>
            </w:pPr>
          </w:p>
        </w:tc>
        <w:tc>
          <w:tcPr>
            <w:tcW w:w="0" w:type="auto"/>
            <w:gridSpan w:val="3"/>
            <w:shd w:val="clear" w:color="auto" w:fill="auto"/>
            <w:vAlign w:val="bottom"/>
          </w:tcPr>
          <w:p w14:paraId="392C2D30" w14:textId="77777777" w:rsidR="00980E5F" w:rsidRDefault="00980E5F">
            <w:pPr>
              <w:rPr>
                <w:rFonts w:ascii="宋体"/>
                <w:vanish/>
              </w:rPr>
            </w:pPr>
          </w:p>
        </w:tc>
        <w:tc>
          <w:tcPr>
            <w:tcW w:w="0" w:type="auto"/>
            <w:gridSpan w:val="3"/>
            <w:shd w:val="clear" w:color="auto" w:fill="auto"/>
            <w:vAlign w:val="bottom"/>
          </w:tcPr>
          <w:p w14:paraId="392C2D31" w14:textId="77777777" w:rsidR="00980E5F" w:rsidRDefault="00980E5F">
            <w:pPr>
              <w:rPr>
                <w:rFonts w:ascii="宋体"/>
                <w:vanish/>
              </w:rPr>
            </w:pPr>
          </w:p>
        </w:tc>
        <w:tc>
          <w:tcPr>
            <w:tcW w:w="0" w:type="auto"/>
            <w:gridSpan w:val="3"/>
            <w:shd w:val="clear" w:color="auto" w:fill="auto"/>
            <w:vAlign w:val="bottom"/>
          </w:tcPr>
          <w:p w14:paraId="392C2D32" w14:textId="77777777" w:rsidR="00980E5F" w:rsidRDefault="00980E5F">
            <w:pPr>
              <w:rPr>
                <w:rFonts w:ascii="宋体"/>
                <w:vanish/>
              </w:rPr>
            </w:pPr>
          </w:p>
        </w:tc>
        <w:tc>
          <w:tcPr>
            <w:tcW w:w="0" w:type="auto"/>
            <w:gridSpan w:val="3"/>
            <w:shd w:val="clear" w:color="auto" w:fill="auto"/>
            <w:vAlign w:val="bottom"/>
          </w:tcPr>
          <w:p w14:paraId="392C2D33" w14:textId="77777777" w:rsidR="00980E5F" w:rsidRDefault="00980E5F">
            <w:pPr>
              <w:rPr>
                <w:rFonts w:ascii="宋体"/>
                <w:vanish/>
              </w:rPr>
            </w:pPr>
          </w:p>
        </w:tc>
        <w:tc>
          <w:tcPr>
            <w:tcW w:w="0" w:type="auto"/>
            <w:gridSpan w:val="3"/>
            <w:shd w:val="clear" w:color="auto" w:fill="auto"/>
            <w:vAlign w:val="bottom"/>
          </w:tcPr>
          <w:p w14:paraId="392C2D34" w14:textId="77777777" w:rsidR="00980E5F" w:rsidRDefault="00980E5F">
            <w:pPr>
              <w:rPr>
                <w:rFonts w:ascii="宋体"/>
                <w:vanish/>
              </w:rPr>
            </w:pPr>
          </w:p>
        </w:tc>
        <w:tc>
          <w:tcPr>
            <w:tcW w:w="0" w:type="auto"/>
            <w:gridSpan w:val="3"/>
            <w:shd w:val="clear" w:color="auto" w:fill="auto"/>
            <w:vAlign w:val="bottom"/>
          </w:tcPr>
          <w:p w14:paraId="392C2D35" w14:textId="77777777" w:rsidR="00980E5F" w:rsidRDefault="00980E5F">
            <w:pPr>
              <w:rPr>
                <w:rFonts w:ascii="宋体"/>
                <w:vanish/>
              </w:rPr>
            </w:pPr>
          </w:p>
        </w:tc>
        <w:tc>
          <w:tcPr>
            <w:tcW w:w="0" w:type="auto"/>
            <w:gridSpan w:val="3"/>
            <w:shd w:val="clear" w:color="auto" w:fill="auto"/>
            <w:vAlign w:val="bottom"/>
          </w:tcPr>
          <w:p w14:paraId="392C2D36" w14:textId="77777777" w:rsidR="00980E5F" w:rsidRDefault="00980E5F">
            <w:pPr>
              <w:rPr>
                <w:rFonts w:ascii="宋体"/>
                <w:vanish/>
              </w:rPr>
            </w:pPr>
          </w:p>
        </w:tc>
        <w:tc>
          <w:tcPr>
            <w:tcW w:w="0" w:type="auto"/>
            <w:gridSpan w:val="3"/>
            <w:shd w:val="clear" w:color="auto" w:fill="auto"/>
            <w:vAlign w:val="bottom"/>
          </w:tcPr>
          <w:p w14:paraId="392C2D37" w14:textId="77777777" w:rsidR="00980E5F" w:rsidRDefault="00980E5F">
            <w:pPr>
              <w:rPr>
                <w:rFonts w:ascii="宋体"/>
                <w:vanish/>
              </w:rPr>
            </w:pPr>
          </w:p>
        </w:tc>
        <w:tc>
          <w:tcPr>
            <w:tcW w:w="0" w:type="auto"/>
            <w:gridSpan w:val="3"/>
            <w:shd w:val="clear" w:color="auto" w:fill="auto"/>
            <w:vAlign w:val="bottom"/>
          </w:tcPr>
          <w:p w14:paraId="392C2D38" w14:textId="77777777" w:rsidR="00980E5F" w:rsidRDefault="00980E5F">
            <w:pPr>
              <w:rPr>
                <w:rFonts w:ascii="宋体"/>
                <w:vanish/>
              </w:rPr>
            </w:pPr>
          </w:p>
        </w:tc>
        <w:tc>
          <w:tcPr>
            <w:tcW w:w="0" w:type="auto"/>
            <w:gridSpan w:val="3"/>
            <w:shd w:val="clear" w:color="auto" w:fill="auto"/>
            <w:vAlign w:val="bottom"/>
          </w:tcPr>
          <w:p w14:paraId="392C2D39" w14:textId="77777777" w:rsidR="00980E5F" w:rsidRDefault="00980E5F">
            <w:pPr>
              <w:rPr>
                <w:rFonts w:ascii="宋体"/>
                <w:vanish/>
              </w:rPr>
            </w:pPr>
          </w:p>
        </w:tc>
        <w:tc>
          <w:tcPr>
            <w:tcW w:w="0" w:type="auto"/>
            <w:gridSpan w:val="3"/>
            <w:shd w:val="clear" w:color="auto" w:fill="auto"/>
            <w:vAlign w:val="bottom"/>
          </w:tcPr>
          <w:p w14:paraId="392C2D3A" w14:textId="77777777" w:rsidR="00980E5F" w:rsidRDefault="00980E5F">
            <w:pPr>
              <w:rPr>
                <w:rFonts w:ascii="宋体"/>
                <w:vanish/>
              </w:rPr>
            </w:pPr>
          </w:p>
        </w:tc>
        <w:tc>
          <w:tcPr>
            <w:tcW w:w="0" w:type="auto"/>
            <w:shd w:val="clear" w:color="auto" w:fill="auto"/>
            <w:vAlign w:val="bottom"/>
          </w:tcPr>
          <w:p w14:paraId="392C2D3B" w14:textId="77777777" w:rsidR="00980E5F" w:rsidRDefault="00980E5F">
            <w:pPr>
              <w:rPr>
                <w:rFonts w:ascii="宋体"/>
              </w:rPr>
            </w:pPr>
          </w:p>
        </w:tc>
        <w:tc>
          <w:tcPr>
            <w:tcW w:w="0" w:type="auto"/>
            <w:shd w:val="clear" w:color="auto" w:fill="auto"/>
            <w:vAlign w:val="bottom"/>
          </w:tcPr>
          <w:p w14:paraId="392C2D3C" w14:textId="77777777" w:rsidR="00980E5F" w:rsidRDefault="00980E5F">
            <w:pPr>
              <w:rPr>
                <w:rFonts w:ascii="宋体"/>
              </w:rPr>
            </w:pPr>
          </w:p>
        </w:tc>
        <w:tc>
          <w:tcPr>
            <w:tcW w:w="0" w:type="auto"/>
            <w:shd w:val="clear" w:color="auto" w:fill="auto"/>
            <w:vAlign w:val="bottom"/>
          </w:tcPr>
          <w:p w14:paraId="392C2D3D" w14:textId="77777777" w:rsidR="00980E5F" w:rsidRDefault="00980E5F">
            <w:pPr>
              <w:rPr>
                <w:rFonts w:ascii="宋体"/>
              </w:rPr>
            </w:pPr>
          </w:p>
        </w:tc>
        <w:tc>
          <w:tcPr>
            <w:tcW w:w="0" w:type="auto"/>
            <w:shd w:val="clear" w:color="auto" w:fill="auto"/>
            <w:vAlign w:val="bottom"/>
          </w:tcPr>
          <w:p w14:paraId="392C2D3E" w14:textId="77777777" w:rsidR="00980E5F" w:rsidRDefault="00980E5F">
            <w:pPr>
              <w:rPr>
                <w:rFonts w:ascii="宋体"/>
              </w:rPr>
            </w:pPr>
          </w:p>
        </w:tc>
        <w:tc>
          <w:tcPr>
            <w:tcW w:w="0" w:type="auto"/>
            <w:shd w:val="clear" w:color="auto" w:fill="auto"/>
            <w:vAlign w:val="bottom"/>
          </w:tcPr>
          <w:p w14:paraId="392C2D3F" w14:textId="77777777" w:rsidR="00980E5F" w:rsidRDefault="00980E5F">
            <w:pPr>
              <w:rPr>
                <w:rFonts w:ascii="宋体"/>
              </w:rPr>
            </w:pPr>
          </w:p>
        </w:tc>
        <w:tc>
          <w:tcPr>
            <w:tcW w:w="0" w:type="auto"/>
            <w:shd w:val="clear" w:color="auto" w:fill="auto"/>
            <w:vAlign w:val="bottom"/>
          </w:tcPr>
          <w:p w14:paraId="392C2D40" w14:textId="77777777" w:rsidR="00980E5F" w:rsidRDefault="00980E5F">
            <w:pPr>
              <w:rPr>
                <w:rFonts w:ascii="宋体"/>
              </w:rPr>
            </w:pPr>
          </w:p>
        </w:tc>
        <w:tc>
          <w:tcPr>
            <w:tcW w:w="0" w:type="auto"/>
            <w:shd w:val="clear" w:color="auto" w:fill="auto"/>
            <w:vAlign w:val="bottom"/>
          </w:tcPr>
          <w:p w14:paraId="392C2D41" w14:textId="77777777" w:rsidR="00980E5F" w:rsidRDefault="00980E5F">
            <w:pPr>
              <w:rPr>
                <w:rFonts w:ascii="宋体"/>
              </w:rPr>
            </w:pPr>
          </w:p>
        </w:tc>
        <w:tc>
          <w:tcPr>
            <w:tcW w:w="0" w:type="auto"/>
            <w:shd w:val="clear" w:color="auto" w:fill="auto"/>
            <w:vAlign w:val="bottom"/>
          </w:tcPr>
          <w:p w14:paraId="392C2D42" w14:textId="77777777" w:rsidR="00980E5F" w:rsidRDefault="00980E5F">
            <w:pPr>
              <w:rPr>
                <w:rFonts w:ascii="宋体"/>
              </w:rPr>
            </w:pPr>
          </w:p>
        </w:tc>
        <w:tc>
          <w:tcPr>
            <w:tcW w:w="0" w:type="auto"/>
            <w:shd w:val="clear" w:color="auto" w:fill="auto"/>
            <w:vAlign w:val="bottom"/>
          </w:tcPr>
          <w:p w14:paraId="392C2D43" w14:textId="77777777" w:rsidR="00980E5F" w:rsidRDefault="00980E5F">
            <w:pPr>
              <w:rPr>
                <w:rFonts w:ascii="宋体"/>
              </w:rPr>
            </w:pPr>
          </w:p>
        </w:tc>
        <w:tc>
          <w:tcPr>
            <w:tcW w:w="0" w:type="auto"/>
            <w:shd w:val="clear" w:color="auto" w:fill="auto"/>
            <w:vAlign w:val="bottom"/>
          </w:tcPr>
          <w:p w14:paraId="392C2D44" w14:textId="77777777" w:rsidR="00980E5F" w:rsidRDefault="00980E5F">
            <w:pPr>
              <w:rPr>
                <w:rFonts w:ascii="宋体"/>
              </w:rPr>
            </w:pPr>
          </w:p>
        </w:tc>
        <w:tc>
          <w:tcPr>
            <w:tcW w:w="0" w:type="auto"/>
            <w:shd w:val="clear" w:color="auto" w:fill="auto"/>
            <w:vAlign w:val="bottom"/>
          </w:tcPr>
          <w:p w14:paraId="392C2D45" w14:textId="77777777" w:rsidR="00980E5F" w:rsidRDefault="00980E5F">
            <w:pPr>
              <w:rPr>
                <w:rFonts w:ascii="宋体"/>
              </w:rPr>
            </w:pPr>
          </w:p>
        </w:tc>
        <w:tc>
          <w:tcPr>
            <w:tcW w:w="0" w:type="auto"/>
            <w:shd w:val="clear" w:color="auto" w:fill="auto"/>
            <w:vAlign w:val="bottom"/>
          </w:tcPr>
          <w:p w14:paraId="392C2D46" w14:textId="77777777" w:rsidR="00980E5F" w:rsidRDefault="00980E5F">
            <w:pPr>
              <w:rPr>
                <w:rFonts w:ascii="宋体"/>
              </w:rPr>
            </w:pPr>
          </w:p>
        </w:tc>
      </w:tr>
      <w:tr w:rsidR="00980E5F" w14:paraId="392C2D58" w14:textId="77777777">
        <w:trPr>
          <w:hidden/>
        </w:trPr>
        <w:tc>
          <w:tcPr>
            <w:tcW w:w="0" w:type="auto"/>
            <w:gridSpan w:val="3"/>
            <w:shd w:val="clear" w:color="auto" w:fill="auto"/>
            <w:vAlign w:val="bottom"/>
          </w:tcPr>
          <w:p w14:paraId="392C2D48" w14:textId="77777777" w:rsidR="00980E5F" w:rsidRDefault="00980E5F">
            <w:pPr>
              <w:rPr>
                <w:rFonts w:ascii="宋体"/>
                <w:vanish/>
              </w:rPr>
            </w:pPr>
          </w:p>
        </w:tc>
        <w:tc>
          <w:tcPr>
            <w:tcW w:w="0" w:type="auto"/>
            <w:gridSpan w:val="3"/>
            <w:shd w:val="clear" w:color="auto" w:fill="auto"/>
            <w:vAlign w:val="bottom"/>
          </w:tcPr>
          <w:p w14:paraId="392C2D49" w14:textId="77777777" w:rsidR="00980E5F" w:rsidRDefault="00980E5F">
            <w:pPr>
              <w:rPr>
                <w:rFonts w:ascii="宋体"/>
                <w:vanish/>
              </w:rPr>
            </w:pPr>
          </w:p>
        </w:tc>
        <w:tc>
          <w:tcPr>
            <w:tcW w:w="0" w:type="auto"/>
            <w:gridSpan w:val="3"/>
            <w:shd w:val="clear" w:color="auto" w:fill="auto"/>
            <w:vAlign w:val="bottom"/>
          </w:tcPr>
          <w:p w14:paraId="392C2D4A" w14:textId="77777777" w:rsidR="00980E5F" w:rsidRDefault="00980E5F">
            <w:pPr>
              <w:rPr>
                <w:rFonts w:ascii="宋体"/>
                <w:vanish/>
              </w:rPr>
            </w:pPr>
          </w:p>
        </w:tc>
        <w:tc>
          <w:tcPr>
            <w:tcW w:w="0" w:type="auto"/>
            <w:gridSpan w:val="3"/>
            <w:shd w:val="clear" w:color="auto" w:fill="auto"/>
            <w:vAlign w:val="bottom"/>
          </w:tcPr>
          <w:p w14:paraId="392C2D4B" w14:textId="77777777" w:rsidR="00980E5F" w:rsidRDefault="00980E5F">
            <w:pPr>
              <w:rPr>
                <w:rFonts w:ascii="宋体"/>
                <w:vanish/>
              </w:rPr>
            </w:pPr>
          </w:p>
        </w:tc>
        <w:tc>
          <w:tcPr>
            <w:tcW w:w="0" w:type="auto"/>
            <w:gridSpan w:val="3"/>
            <w:shd w:val="clear" w:color="auto" w:fill="auto"/>
            <w:vAlign w:val="bottom"/>
          </w:tcPr>
          <w:p w14:paraId="392C2D4C" w14:textId="77777777" w:rsidR="00980E5F" w:rsidRDefault="00980E5F">
            <w:pPr>
              <w:rPr>
                <w:rFonts w:ascii="宋体"/>
                <w:vanish/>
              </w:rPr>
            </w:pPr>
          </w:p>
        </w:tc>
        <w:tc>
          <w:tcPr>
            <w:tcW w:w="0" w:type="auto"/>
            <w:gridSpan w:val="3"/>
            <w:shd w:val="clear" w:color="auto" w:fill="auto"/>
            <w:vAlign w:val="bottom"/>
          </w:tcPr>
          <w:p w14:paraId="392C2D4D" w14:textId="77777777" w:rsidR="00980E5F" w:rsidRDefault="00980E5F">
            <w:pPr>
              <w:rPr>
                <w:rFonts w:ascii="宋体"/>
                <w:vanish/>
              </w:rPr>
            </w:pPr>
          </w:p>
        </w:tc>
        <w:tc>
          <w:tcPr>
            <w:tcW w:w="0" w:type="auto"/>
            <w:gridSpan w:val="3"/>
            <w:shd w:val="clear" w:color="auto" w:fill="auto"/>
            <w:vAlign w:val="bottom"/>
          </w:tcPr>
          <w:p w14:paraId="392C2D4E" w14:textId="77777777" w:rsidR="00980E5F" w:rsidRDefault="00980E5F">
            <w:pPr>
              <w:rPr>
                <w:rFonts w:ascii="宋体"/>
                <w:vanish/>
              </w:rPr>
            </w:pPr>
          </w:p>
        </w:tc>
        <w:tc>
          <w:tcPr>
            <w:tcW w:w="0" w:type="auto"/>
            <w:gridSpan w:val="3"/>
            <w:shd w:val="clear" w:color="auto" w:fill="auto"/>
            <w:vAlign w:val="bottom"/>
          </w:tcPr>
          <w:p w14:paraId="392C2D4F" w14:textId="77777777" w:rsidR="00980E5F" w:rsidRDefault="00980E5F">
            <w:pPr>
              <w:rPr>
                <w:rFonts w:ascii="宋体"/>
                <w:vanish/>
              </w:rPr>
            </w:pPr>
          </w:p>
        </w:tc>
        <w:tc>
          <w:tcPr>
            <w:tcW w:w="0" w:type="auto"/>
            <w:gridSpan w:val="3"/>
            <w:shd w:val="clear" w:color="auto" w:fill="auto"/>
            <w:vAlign w:val="bottom"/>
          </w:tcPr>
          <w:p w14:paraId="392C2D50" w14:textId="77777777" w:rsidR="00980E5F" w:rsidRDefault="00980E5F">
            <w:pPr>
              <w:rPr>
                <w:rFonts w:ascii="宋体"/>
                <w:vanish/>
              </w:rPr>
            </w:pPr>
          </w:p>
        </w:tc>
        <w:tc>
          <w:tcPr>
            <w:tcW w:w="0" w:type="auto"/>
            <w:gridSpan w:val="3"/>
            <w:shd w:val="clear" w:color="auto" w:fill="auto"/>
            <w:vAlign w:val="bottom"/>
          </w:tcPr>
          <w:p w14:paraId="392C2D51" w14:textId="77777777" w:rsidR="00980E5F" w:rsidRDefault="00980E5F">
            <w:pPr>
              <w:rPr>
                <w:rFonts w:ascii="宋体"/>
                <w:vanish/>
              </w:rPr>
            </w:pPr>
          </w:p>
        </w:tc>
        <w:tc>
          <w:tcPr>
            <w:tcW w:w="0" w:type="auto"/>
            <w:gridSpan w:val="3"/>
            <w:shd w:val="clear" w:color="auto" w:fill="auto"/>
            <w:vAlign w:val="bottom"/>
          </w:tcPr>
          <w:p w14:paraId="392C2D52" w14:textId="77777777" w:rsidR="00980E5F" w:rsidRDefault="00980E5F">
            <w:pPr>
              <w:rPr>
                <w:rFonts w:ascii="宋体"/>
                <w:vanish/>
              </w:rPr>
            </w:pPr>
          </w:p>
        </w:tc>
        <w:tc>
          <w:tcPr>
            <w:tcW w:w="0" w:type="auto"/>
            <w:gridSpan w:val="3"/>
            <w:shd w:val="clear" w:color="auto" w:fill="auto"/>
            <w:vAlign w:val="bottom"/>
          </w:tcPr>
          <w:p w14:paraId="392C2D53" w14:textId="77777777" w:rsidR="00980E5F" w:rsidRDefault="00980E5F">
            <w:pPr>
              <w:rPr>
                <w:rFonts w:ascii="宋体"/>
                <w:vanish/>
              </w:rPr>
            </w:pPr>
          </w:p>
        </w:tc>
        <w:tc>
          <w:tcPr>
            <w:tcW w:w="0" w:type="auto"/>
            <w:gridSpan w:val="3"/>
            <w:shd w:val="clear" w:color="auto" w:fill="auto"/>
            <w:vAlign w:val="bottom"/>
          </w:tcPr>
          <w:p w14:paraId="392C2D54" w14:textId="77777777" w:rsidR="00980E5F" w:rsidRDefault="00980E5F">
            <w:pPr>
              <w:rPr>
                <w:rFonts w:ascii="宋体"/>
                <w:vanish/>
              </w:rPr>
            </w:pPr>
          </w:p>
        </w:tc>
        <w:tc>
          <w:tcPr>
            <w:tcW w:w="0" w:type="auto"/>
            <w:gridSpan w:val="3"/>
            <w:shd w:val="clear" w:color="auto" w:fill="auto"/>
            <w:vAlign w:val="bottom"/>
          </w:tcPr>
          <w:p w14:paraId="392C2D55" w14:textId="77777777" w:rsidR="00980E5F" w:rsidRDefault="00980E5F">
            <w:pPr>
              <w:rPr>
                <w:rFonts w:ascii="宋体"/>
                <w:vanish/>
              </w:rPr>
            </w:pPr>
          </w:p>
        </w:tc>
        <w:tc>
          <w:tcPr>
            <w:tcW w:w="0" w:type="auto"/>
            <w:gridSpan w:val="3"/>
            <w:shd w:val="clear" w:color="auto" w:fill="auto"/>
            <w:vAlign w:val="bottom"/>
          </w:tcPr>
          <w:p w14:paraId="392C2D56" w14:textId="77777777" w:rsidR="00980E5F" w:rsidRDefault="00980E5F">
            <w:pPr>
              <w:rPr>
                <w:rFonts w:ascii="宋体"/>
                <w:vanish/>
              </w:rPr>
            </w:pPr>
          </w:p>
        </w:tc>
        <w:tc>
          <w:tcPr>
            <w:tcW w:w="0" w:type="auto"/>
            <w:gridSpan w:val="3"/>
            <w:shd w:val="clear" w:color="auto" w:fill="auto"/>
            <w:vAlign w:val="bottom"/>
          </w:tcPr>
          <w:p w14:paraId="392C2D57" w14:textId="77777777" w:rsidR="00980E5F" w:rsidRDefault="00980E5F">
            <w:pPr>
              <w:rPr>
                <w:rFonts w:ascii="宋体"/>
                <w:vanish/>
              </w:rPr>
            </w:pPr>
          </w:p>
        </w:tc>
      </w:tr>
      <w:tr w:rsidR="00980E5F" w14:paraId="392C2D71" w14:textId="77777777">
        <w:trPr>
          <w:hidden/>
        </w:trPr>
        <w:tc>
          <w:tcPr>
            <w:tcW w:w="0" w:type="auto"/>
            <w:gridSpan w:val="3"/>
            <w:shd w:val="clear" w:color="auto" w:fill="auto"/>
            <w:vAlign w:val="bottom"/>
          </w:tcPr>
          <w:p w14:paraId="392C2D59" w14:textId="77777777" w:rsidR="00980E5F" w:rsidRDefault="00980E5F">
            <w:pPr>
              <w:rPr>
                <w:rFonts w:ascii="宋体"/>
                <w:vanish/>
              </w:rPr>
            </w:pPr>
          </w:p>
        </w:tc>
        <w:tc>
          <w:tcPr>
            <w:tcW w:w="0" w:type="auto"/>
            <w:gridSpan w:val="3"/>
            <w:shd w:val="clear" w:color="auto" w:fill="auto"/>
            <w:vAlign w:val="bottom"/>
          </w:tcPr>
          <w:p w14:paraId="392C2D5A" w14:textId="77777777" w:rsidR="00980E5F" w:rsidRDefault="00980E5F">
            <w:pPr>
              <w:rPr>
                <w:rFonts w:ascii="宋体"/>
                <w:vanish/>
              </w:rPr>
            </w:pPr>
          </w:p>
        </w:tc>
        <w:tc>
          <w:tcPr>
            <w:tcW w:w="0" w:type="auto"/>
            <w:gridSpan w:val="3"/>
            <w:shd w:val="clear" w:color="auto" w:fill="auto"/>
            <w:vAlign w:val="bottom"/>
          </w:tcPr>
          <w:p w14:paraId="392C2D5B" w14:textId="77777777" w:rsidR="00980E5F" w:rsidRDefault="00980E5F">
            <w:pPr>
              <w:rPr>
                <w:rFonts w:ascii="宋体"/>
                <w:vanish/>
              </w:rPr>
            </w:pPr>
          </w:p>
        </w:tc>
        <w:tc>
          <w:tcPr>
            <w:tcW w:w="0" w:type="auto"/>
            <w:gridSpan w:val="3"/>
            <w:shd w:val="clear" w:color="auto" w:fill="auto"/>
            <w:vAlign w:val="bottom"/>
          </w:tcPr>
          <w:p w14:paraId="392C2D5C" w14:textId="77777777" w:rsidR="00980E5F" w:rsidRDefault="00980E5F">
            <w:pPr>
              <w:rPr>
                <w:rFonts w:ascii="宋体"/>
                <w:vanish/>
              </w:rPr>
            </w:pPr>
          </w:p>
        </w:tc>
        <w:tc>
          <w:tcPr>
            <w:tcW w:w="0" w:type="auto"/>
            <w:gridSpan w:val="3"/>
            <w:shd w:val="clear" w:color="auto" w:fill="auto"/>
            <w:vAlign w:val="bottom"/>
          </w:tcPr>
          <w:p w14:paraId="392C2D5D" w14:textId="77777777" w:rsidR="00980E5F" w:rsidRDefault="00980E5F">
            <w:pPr>
              <w:rPr>
                <w:rFonts w:ascii="宋体"/>
                <w:vanish/>
              </w:rPr>
            </w:pPr>
          </w:p>
        </w:tc>
        <w:tc>
          <w:tcPr>
            <w:tcW w:w="0" w:type="auto"/>
            <w:gridSpan w:val="3"/>
            <w:shd w:val="clear" w:color="auto" w:fill="auto"/>
            <w:vAlign w:val="bottom"/>
          </w:tcPr>
          <w:p w14:paraId="392C2D5E" w14:textId="77777777" w:rsidR="00980E5F" w:rsidRDefault="00980E5F">
            <w:pPr>
              <w:rPr>
                <w:rFonts w:ascii="宋体"/>
                <w:vanish/>
              </w:rPr>
            </w:pPr>
          </w:p>
        </w:tc>
        <w:tc>
          <w:tcPr>
            <w:tcW w:w="0" w:type="auto"/>
            <w:gridSpan w:val="3"/>
            <w:shd w:val="clear" w:color="auto" w:fill="auto"/>
            <w:vAlign w:val="bottom"/>
          </w:tcPr>
          <w:p w14:paraId="392C2D5F" w14:textId="77777777" w:rsidR="00980E5F" w:rsidRDefault="00980E5F">
            <w:pPr>
              <w:rPr>
                <w:rFonts w:ascii="宋体"/>
                <w:vanish/>
              </w:rPr>
            </w:pPr>
          </w:p>
        </w:tc>
        <w:tc>
          <w:tcPr>
            <w:tcW w:w="0" w:type="auto"/>
            <w:gridSpan w:val="3"/>
            <w:shd w:val="clear" w:color="auto" w:fill="auto"/>
            <w:vAlign w:val="bottom"/>
          </w:tcPr>
          <w:p w14:paraId="392C2D60" w14:textId="77777777" w:rsidR="00980E5F" w:rsidRDefault="00980E5F">
            <w:pPr>
              <w:rPr>
                <w:rFonts w:ascii="宋体"/>
                <w:vanish/>
              </w:rPr>
            </w:pPr>
          </w:p>
        </w:tc>
        <w:tc>
          <w:tcPr>
            <w:tcW w:w="0" w:type="auto"/>
            <w:gridSpan w:val="3"/>
            <w:shd w:val="clear" w:color="auto" w:fill="auto"/>
            <w:vAlign w:val="bottom"/>
          </w:tcPr>
          <w:p w14:paraId="392C2D61" w14:textId="77777777" w:rsidR="00980E5F" w:rsidRDefault="00980E5F">
            <w:pPr>
              <w:rPr>
                <w:rFonts w:ascii="宋体"/>
                <w:vanish/>
              </w:rPr>
            </w:pPr>
          </w:p>
        </w:tc>
        <w:tc>
          <w:tcPr>
            <w:tcW w:w="0" w:type="auto"/>
            <w:gridSpan w:val="3"/>
            <w:shd w:val="clear" w:color="auto" w:fill="auto"/>
            <w:vAlign w:val="bottom"/>
          </w:tcPr>
          <w:p w14:paraId="392C2D62" w14:textId="77777777" w:rsidR="00980E5F" w:rsidRDefault="00980E5F">
            <w:pPr>
              <w:rPr>
                <w:rFonts w:ascii="宋体"/>
                <w:vanish/>
              </w:rPr>
            </w:pPr>
          </w:p>
        </w:tc>
        <w:tc>
          <w:tcPr>
            <w:tcW w:w="0" w:type="auto"/>
            <w:gridSpan w:val="3"/>
            <w:shd w:val="clear" w:color="auto" w:fill="auto"/>
            <w:vAlign w:val="bottom"/>
          </w:tcPr>
          <w:p w14:paraId="392C2D63" w14:textId="77777777" w:rsidR="00980E5F" w:rsidRDefault="00980E5F">
            <w:pPr>
              <w:rPr>
                <w:rFonts w:ascii="宋体"/>
                <w:vanish/>
              </w:rPr>
            </w:pPr>
          </w:p>
        </w:tc>
        <w:tc>
          <w:tcPr>
            <w:tcW w:w="0" w:type="auto"/>
            <w:gridSpan w:val="3"/>
            <w:shd w:val="clear" w:color="auto" w:fill="auto"/>
            <w:vAlign w:val="bottom"/>
          </w:tcPr>
          <w:p w14:paraId="392C2D64" w14:textId="77777777" w:rsidR="00980E5F" w:rsidRDefault="00980E5F">
            <w:pPr>
              <w:rPr>
                <w:rFonts w:ascii="宋体"/>
                <w:vanish/>
              </w:rPr>
            </w:pPr>
          </w:p>
        </w:tc>
        <w:tc>
          <w:tcPr>
            <w:tcW w:w="0" w:type="auto"/>
            <w:shd w:val="clear" w:color="auto" w:fill="auto"/>
            <w:vAlign w:val="bottom"/>
          </w:tcPr>
          <w:p w14:paraId="392C2D65" w14:textId="77777777" w:rsidR="00980E5F" w:rsidRDefault="00980E5F">
            <w:pPr>
              <w:rPr>
                <w:rFonts w:ascii="宋体"/>
              </w:rPr>
            </w:pPr>
          </w:p>
        </w:tc>
        <w:tc>
          <w:tcPr>
            <w:tcW w:w="0" w:type="auto"/>
            <w:shd w:val="clear" w:color="auto" w:fill="auto"/>
            <w:vAlign w:val="bottom"/>
          </w:tcPr>
          <w:p w14:paraId="392C2D66" w14:textId="77777777" w:rsidR="00980E5F" w:rsidRDefault="00980E5F">
            <w:pPr>
              <w:rPr>
                <w:rFonts w:ascii="宋体"/>
              </w:rPr>
            </w:pPr>
          </w:p>
        </w:tc>
        <w:tc>
          <w:tcPr>
            <w:tcW w:w="0" w:type="auto"/>
            <w:shd w:val="clear" w:color="auto" w:fill="auto"/>
            <w:vAlign w:val="bottom"/>
          </w:tcPr>
          <w:p w14:paraId="392C2D67" w14:textId="77777777" w:rsidR="00980E5F" w:rsidRDefault="00980E5F">
            <w:pPr>
              <w:rPr>
                <w:rFonts w:ascii="宋体"/>
              </w:rPr>
            </w:pPr>
          </w:p>
        </w:tc>
        <w:tc>
          <w:tcPr>
            <w:tcW w:w="0" w:type="auto"/>
            <w:shd w:val="clear" w:color="auto" w:fill="auto"/>
            <w:vAlign w:val="bottom"/>
          </w:tcPr>
          <w:p w14:paraId="392C2D68" w14:textId="77777777" w:rsidR="00980E5F" w:rsidRDefault="00980E5F">
            <w:pPr>
              <w:rPr>
                <w:rFonts w:ascii="宋体"/>
              </w:rPr>
            </w:pPr>
          </w:p>
        </w:tc>
        <w:tc>
          <w:tcPr>
            <w:tcW w:w="0" w:type="auto"/>
            <w:shd w:val="clear" w:color="auto" w:fill="auto"/>
            <w:vAlign w:val="bottom"/>
          </w:tcPr>
          <w:p w14:paraId="392C2D69" w14:textId="77777777" w:rsidR="00980E5F" w:rsidRDefault="00980E5F">
            <w:pPr>
              <w:rPr>
                <w:rFonts w:ascii="宋体"/>
              </w:rPr>
            </w:pPr>
          </w:p>
        </w:tc>
        <w:tc>
          <w:tcPr>
            <w:tcW w:w="0" w:type="auto"/>
            <w:shd w:val="clear" w:color="auto" w:fill="auto"/>
            <w:vAlign w:val="bottom"/>
          </w:tcPr>
          <w:p w14:paraId="392C2D6A" w14:textId="77777777" w:rsidR="00980E5F" w:rsidRDefault="00980E5F">
            <w:pPr>
              <w:rPr>
                <w:rFonts w:ascii="宋体"/>
              </w:rPr>
            </w:pPr>
          </w:p>
        </w:tc>
        <w:tc>
          <w:tcPr>
            <w:tcW w:w="0" w:type="auto"/>
            <w:shd w:val="clear" w:color="auto" w:fill="auto"/>
            <w:vAlign w:val="bottom"/>
          </w:tcPr>
          <w:p w14:paraId="392C2D6B" w14:textId="77777777" w:rsidR="00980E5F" w:rsidRDefault="00980E5F">
            <w:pPr>
              <w:rPr>
                <w:rFonts w:ascii="宋体"/>
              </w:rPr>
            </w:pPr>
          </w:p>
        </w:tc>
        <w:tc>
          <w:tcPr>
            <w:tcW w:w="0" w:type="auto"/>
            <w:shd w:val="clear" w:color="auto" w:fill="auto"/>
            <w:vAlign w:val="bottom"/>
          </w:tcPr>
          <w:p w14:paraId="392C2D6C" w14:textId="77777777" w:rsidR="00980E5F" w:rsidRDefault="00980E5F">
            <w:pPr>
              <w:rPr>
                <w:rFonts w:ascii="宋体"/>
              </w:rPr>
            </w:pPr>
          </w:p>
        </w:tc>
        <w:tc>
          <w:tcPr>
            <w:tcW w:w="0" w:type="auto"/>
            <w:shd w:val="clear" w:color="auto" w:fill="auto"/>
            <w:vAlign w:val="bottom"/>
          </w:tcPr>
          <w:p w14:paraId="392C2D6D" w14:textId="77777777" w:rsidR="00980E5F" w:rsidRDefault="00980E5F">
            <w:pPr>
              <w:rPr>
                <w:rFonts w:ascii="宋体"/>
              </w:rPr>
            </w:pPr>
          </w:p>
        </w:tc>
        <w:tc>
          <w:tcPr>
            <w:tcW w:w="0" w:type="auto"/>
            <w:shd w:val="clear" w:color="auto" w:fill="auto"/>
            <w:vAlign w:val="bottom"/>
          </w:tcPr>
          <w:p w14:paraId="392C2D6E" w14:textId="77777777" w:rsidR="00980E5F" w:rsidRDefault="00980E5F">
            <w:pPr>
              <w:rPr>
                <w:rFonts w:ascii="宋体"/>
              </w:rPr>
            </w:pPr>
          </w:p>
        </w:tc>
        <w:tc>
          <w:tcPr>
            <w:tcW w:w="0" w:type="auto"/>
            <w:shd w:val="clear" w:color="auto" w:fill="auto"/>
            <w:vAlign w:val="bottom"/>
          </w:tcPr>
          <w:p w14:paraId="392C2D6F" w14:textId="77777777" w:rsidR="00980E5F" w:rsidRDefault="00980E5F">
            <w:pPr>
              <w:rPr>
                <w:rFonts w:ascii="宋体"/>
              </w:rPr>
            </w:pPr>
          </w:p>
        </w:tc>
        <w:tc>
          <w:tcPr>
            <w:tcW w:w="0" w:type="auto"/>
            <w:shd w:val="clear" w:color="auto" w:fill="auto"/>
            <w:vAlign w:val="bottom"/>
          </w:tcPr>
          <w:p w14:paraId="392C2D70" w14:textId="77777777" w:rsidR="00980E5F" w:rsidRDefault="00980E5F">
            <w:pPr>
              <w:rPr>
                <w:rFonts w:ascii="宋体"/>
              </w:rPr>
            </w:pPr>
          </w:p>
        </w:tc>
      </w:tr>
      <w:tr w:rsidR="00980E5F" w14:paraId="392C2D82" w14:textId="77777777">
        <w:trPr>
          <w:hidden/>
        </w:trPr>
        <w:tc>
          <w:tcPr>
            <w:tcW w:w="0" w:type="auto"/>
            <w:gridSpan w:val="3"/>
            <w:shd w:val="clear" w:color="auto" w:fill="auto"/>
            <w:vAlign w:val="bottom"/>
          </w:tcPr>
          <w:p w14:paraId="392C2D72" w14:textId="77777777" w:rsidR="00980E5F" w:rsidRDefault="00980E5F">
            <w:pPr>
              <w:rPr>
                <w:rFonts w:ascii="宋体"/>
                <w:vanish/>
              </w:rPr>
            </w:pPr>
          </w:p>
        </w:tc>
        <w:tc>
          <w:tcPr>
            <w:tcW w:w="0" w:type="auto"/>
            <w:gridSpan w:val="3"/>
            <w:shd w:val="clear" w:color="auto" w:fill="auto"/>
            <w:vAlign w:val="bottom"/>
          </w:tcPr>
          <w:p w14:paraId="392C2D73" w14:textId="77777777" w:rsidR="00980E5F" w:rsidRDefault="00980E5F">
            <w:pPr>
              <w:rPr>
                <w:rFonts w:ascii="宋体"/>
                <w:vanish/>
              </w:rPr>
            </w:pPr>
          </w:p>
        </w:tc>
        <w:tc>
          <w:tcPr>
            <w:tcW w:w="0" w:type="auto"/>
            <w:gridSpan w:val="3"/>
            <w:shd w:val="clear" w:color="auto" w:fill="auto"/>
            <w:vAlign w:val="bottom"/>
          </w:tcPr>
          <w:p w14:paraId="392C2D74" w14:textId="77777777" w:rsidR="00980E5F" w:rsidRDefault="00980E5F">
            <w:pPr>
              <w:rPr>
                <w:rFonts w:ascii="宋体"/>
                <w:vanish/>
              </w:rPr>
            </w:pPr>
          </w:p>
        </w:tc>
        <w:tc>
          <w:tcPr>
            <w:tcW w:w="0" w:type="auto"/>
            <w:gridSpan w:val="3"/>
            <w:shd w:val="clear" w:color="auto" w:fill="auto"/>
            <w:vAlign w:val="bottom"/>
          </w:tcPr>
          <w:p w14:paraId="392C2D75" w14:textId="77777777" w:rsidR="00980E5F" w:rsidRDefault="00980E5F">
            <w:pPr>
              <w:rPr>
                <w:rFonts w:ascii="宋体"/>
                <w:vanish/>
              </w:rPr>
            </w:pPr>
          </w:p>
        </w:tc>
        <w:tc>
          <w:tcPr>
            <w:tcW w:w="0" w:type="auto"/>
            <w:gridSpan w:val="3"/>
            <w:shd w:val="clear" w:color="auto" w:fill="auto"/>
            <w:vAlign w:val="bottom"/>
          </w:tcPr>
          <w:p w14:paraId="392C2D76" w14:textId="77777777" w:rsidR="00980E5F" w:rsidRDefault="00980E5F">
            <w:pPr>
              <w:rPr>
                <w:rFonts w:ascii="宋体"/>
                <w:vanish/>
              </w:rPr>
            </w:pPr>
          </w:p>
        </w:tc>
        <w:tc>
          <w:tcPr>
            <w:tcW w:w="0" w:type="auto"/>
            <w:gridSpan w:val="3"/>
            <w:shd w:val="clear" w:color="auto" w:fill="auto"/>
            <w:vAlign w:val="bottom"/>
          </w:tcPr>
          <w:p w14:paraId="392C2D77" w14:textId="77777777" w:rsidR="00980E5F" w:rsidRDefault="00980E5F">
            <w:pPr>
              <w:rPr>
                <w:rFonts w:ascii="宋体"/>
                <w:vanish/>
              </w:rPr>
            </w:pPr>
          </w:p>
        </w:tc>
        <w:tc>
          <w:tcPr>
            <w:tcW w:w="0" w:type="auto"/>
            <w:gridSpan w:val="3"/>
            <w:shd w:val="clear" w:color="auto" w:fill="auto"/>
            <w:vAlign w:val="bottom"/>
          </w:tcPr>
          <w:p w14:paraId="392C2D78" w14:textId="77777777" w:rsidR="00980E5F" w:rsidRDefault="00980E5F">
            <w:pPr>
              <w:rPr>
                <w:rFonts w:ascii="宋体"/>
                <w:vanish/>
              </w:rPr>
            </w:pPr>
          </w:p>
        </w:tc>
        <w:tc>
          <w:tcPr>
            <w:tcW w:w="0" w:type="auto"/>
            <w:gridSpan w:val="3"/>
            <w:shd w:val="clear" w:color="auto" w:fill="auto"/>
            <w:vAlign w:val="bottom"/>
          </w:tcPr>
          <w:p w14:paraId="392C2D79" w14:textId="77777777" w:rsidR="00980E5F" w:rsidRDefault="00980E5F">
            <w:pPr>
              <w:rPr>
                <w:rFonts w:ascii="宋体"/>
                <w:vanish/>
              </w:rPr>
            </w:pPr>
          </w:p>
        </w:tc>
        <w:tc>
          <w:tcPr>
            <w:tcW w:w="0" w:type="auto"/>
            <w:gridSpan w:val="3"/>
            <w:shd w:val="clear" w:color="auto" w:fill="auto"/>
            <w:vAlign w:val="bottom"/>
          </w:tcPr>
          <w:p w14:paraId="392C2D7A" w14:textId="77777777" w:rsidR="00980E5F" w:rsidRDefault="00980E5F">
            <w:pPr>
              <w:rPr>
                <w:rFonts w:ascii="宋体"/>
                <w:vanish/>
              </w:rPr>
            </w:pPr>
          </w:p>
        </w:tc>
        <w:tc>
          <w:tcPr>
            <w:tcW w:w="0" w:type="auto"/>
            <w:gridSpan w:val="3"/>
            <w:shd w:val="clear" w:color="auto" w:fill="auto"/>
            <w:vAlign w:val="bottom"/>
          </w:tcPr>
          <w:p w14:paraId="392C2D7B" w14:textId="77777777" w:rsidR="00980E5F" w:rsidRDefault="00980E5F">
            <w:pPr>
              <w:rPr>
                <w:rFonts w:ascii="宋体"/>
                <w:vanish/>
              </w:rPr>
            </w:pPr>
          </w:p>
        </w:tc>
        <w:tc>
          <w:tcPr>
            <w:tcW w:w="0" w:type="auto"/>
            <w:gridSpan w:val="3"/>
            <w:shd w:val="clear" w:color="auto" w:fill="auto"/>
            <w:vAlign w:val="bottom"/>
          </w:tcPr>
          <w:p w14:paraId="392C2D7C" w14:textId="77777777" w:rsidR="00980E5F" w:rsidRDefault="00980E5F">
            <w:pPr>
              <w:rPr>
                <w:rFonts w:ascii="宋体"/>
                <w:vanish/>
              </w:rPr>
            </w:pPr>
          </w:p>
        </w:tc>
        <w:tc>
          <w:tcPr>
            <w:tcW w:w="0" w:type="auto"/>
            <w:gridSpan w:val="3"/>
            <w:shd w:val="clear" w:color="auto" w:fill="auto"/>
            <w:vAlign w:val="bottom"/>
          </w:tcPr>
          <w:p w14:paraId="392C2D7D" w14:textId="77777777" w:rsidR="00980E5F" w:rsidRDefault="00980E5F">
            <w:pPr>
              <w:rPr>
                <w:rFonts w:ascii="宋体"/>
                <w:vanish/>
              </w:rPr>
            </w:pPr>
          </w:p>
        </w:tc>
        <w:tc>
          <w:tcPr>
            <w:tcW w:w="0" w:type="auto"/>
            <w:gridSpan w:val="3"/>
            <w:shd w:val="clear" w:color="auto" w:fill="auto"/>
            <w:vAlign w:val="bottom"/>
          </w:tcPr>
          <w:p w14:paraId="392C2D7E" w14:textId="77777777" w:rsidR="00980E5F" w:rsidRDefault="00980E5F">
            <w:pPr>
              <w:rPr>
                <w:rFonts w:ascii="宋体"/>
                <w:vanish/>
              </w:rPr>
            </w:pPr>
          </w:p>
        </w:tc>
        <w:tc>
          <w:tcPr>
            <w:tcW w:w="0" w:type="auto"/>
            <w:gridSpan w:val="3"/>
            <w:shd w:val="clear" w:color="auto" w:fill="auto"/>
            <w:vAlign w:val="bottom"/>
          </w:tcPr>
          <w:p w14:paraId="392C2D7F" w14:textId="77777777" w:rsidR="00980E5F" w:rsidRDefault="00980E5F">
            <w:pPr>
              <w:rPr>
                <w:rFonts w:ascii="宋体"/>
                <w:vanish/>
              </w:rPr>
            </w:pPr>
          </w:p>
        </w:tc>
        <w:tc>
          <w:tcPr>
            <w:tcW w:w="0" w:type="auto"/>
            <w:gridSpan w:val="3"/>
            <w:shd w:val="clear" w:color="auto" w:fill="auto"/>
            <w:vAlign w:val="bottom"/>
          </w:tcPr>
          <w:p w14:paraId="392C2D80" w14:textId="77777777" w:rsidR="00980E5F" w:rsidRDefault="00980E5F">
            <w:pPr>
              <w:rPr>
                <w:rFonts w:ascii="宋体"/>
                <w:vanish/>
              </w:rPr>
            </w:pPr>
          </w:p>
        </w:tc>
        <w:tc>
          <w:tcPr>
            <w:tcW w:w="0" w:type="auto"/>
            <w:gridSpan w:val="3"/>
            <w:shd w:val="clear" w:color="auto" w:fill="auto"/>
            <w:vAlign w:val="bottom"/>
          </w:tcPr>
          <w:p w14:paraId="392C2D81" w14:textId="77777777" w:rsidR="00980E5F" w:rsidRDefault="00980E5F">
            <w:pPr>
              <w:rPr>
                <w:rFonts w:ascii="宋体"/>
                <w:vanish/>
              </w:rPr>
            </w:pPr>
          </w:p>
        </w:tc>
      </w:tr>
      <w:tr w:rsidR="00980E5F" w14:paraId="392C2D93" w14:textId="77777777">
        <w:trPr>
          <w:trHeight w:val="60"/>
        </w:trPr>
        <w:tc>
          <w:tcPr>
            <w:tcW w:w="0" w:type="auto"/>
            <w:gridSpan w:val="3"/>
            <w:shd w:val="clear" w:color="auto" w:fill="auto"/>
            <w:tcMar>
              <w:top w:w="0" w:type="dxa"/>
              <w:left w:w="20" w:type="dxa"/>
              <w:bottom w:w="0" w:type="dxa"/>
              <w:right w:w="20" w:type="dxa"/>
            </w:tcMar>
            <w:vAlign w:val="bottom"/>
          </w:tcPr>
          <w:p w14:paraId="392C2D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8A" w14:textId="77777777" w:rsidR="00980E5F" w:rsidRDefault="00980E5F">
            <w:pPr>
              <w:rPr>
                <w:rFonts w:ascii="宋体"/>
              </w:rPr>
            </w:pPr>
          </w:p>
        </w:tc>
        <w:tc>
          <w:tcPr>
            <w:tcW w:w="0" w:type="auto"/>
            <w:gridSpan w:val="3"/>
            <w:shd w:val="clear" w:color="auto" w:fill="auto"/>
            <w:vAlign w:val="bottom"/>
          </w:tcPr>
          <w:p w14:paraId="392C2D8B" w14:textId="77777777" w:rsidR="00980E5F" w:rsidRDefault="00980E5F">
            <w:pPr>
              <w:rPr>
                <w:rFonts w:ascii="宋体"/>
                <w:vanish/>
              </w:rPr>
            </w:pPr>
          </w:p>
        </w:tc>
        <w:tc>
          <w:tcPr>
            <w:tcW w:w="0" w:type="auto"/>
            <w:gridSpan w:val="3"/>
            <w:shd w:val="clear" w:color="auto" w:fill="auto"/>
            <w:vAlign w:val="bottom"/>
          </w:tcPr>
          <w:p w14:paraId="392C2D8C" w14:textId="77777777" w:rsidR="00980E5F" w:rsidRDefault="00980E5F">
            <w:pPr>
              <w:rPr>
                <w:rFonts w:ascii="宋体"/>
                <w:vanish/>
              </w:rPr>
            </w:pPr>
          </w:p>
        </w:tc>
        <w:tc>
          <w:tcPr>
            <w:tcW w:w="0" w:type="auto"/>
            <w:gridSpan w:val="3"/>
            <w:shd w:val="clear" w:color="auto" w:fill="auto"/>
            <w:vAlign w:val="bottom"/>
          </w:tcPr>
          <w:p w14:paraId="392C2D8D" w14:textId="77777777" w:rsidR="00980E5F" w:rsidRDefault="00980E5F">
            <w:pPr>
              <w:rPr>
                <w:rFonts w:ascii="宋体"/>
                <w:vanish/>
              </w:rPr>
            </w:pPr>
          </w:p>
        </w:tc>
        <w:tc>
          <w:tcPr>
            <w:tcW w:w="0" w:type="auto"/>
            <w:gridSpan w:val="3"/>
            <w:shd w:val="clear" w:color="auto" w:fill="auto"/>
            <w:vAlign w:val="bottom"/>
          </w:tcPr>
          <w:p w14:paraId="392C2D8E" w14:textId="77777777" w:rsidR="00980E5F" w:rsidRDefault="00980E5F">
            <w:pPr>
              <w:rPr>
                <w:rFonts w:ascii="宋体"/>
                <w:vanish/>
              </w:rPr>
            </w:pPr>
          </w:p>
        </w:tc>
        <w:tc>
          <w:tcPr>
            <w:tcW w:w="0" w:type="auto"/>
            <w:gridSpan w:val="3"/>
            <w:shd w:val="clear" w:color="auto" w:fill="auto"/>
            <w:vAlign w:val="bottom"/>
          </w:tcPr>
          <w:p w14:paraId="392C2D8F" w14:textId="77777777" w:rsidR="00980E5F" w:rsidRDefault="00980E5F">
            <w:pPr>
              <w:rPr>
                <w:rFonts w:ascii="宋体"/>
                <w:vanish/>
              </w:rPr>
            </w:pPr>
          </w:p>
        </w:tc>
        <w:tc>
          <w:tcPr>
            <w:tcW w:w="0" w:type="auto"/>
            <w:gridSpan w:val="3"/>
            <w:shd w:val="clear" w:color="auto" w:fill="auto"/>
            <w:vAlign w:val="bottom"/>
          </w:tcPr>
          <w:p w14:paraId="392C2D90" w14:textId="77777777" w:rsidR="00980E5F" w:rsidRDefault="00980E5F">
            <w:pPr>
              <w:rPr>
                <w:rFonts w:ascii="宋体"/>
                <w:vanish/>
              </w:rPr>
            </w:pPr>
          </w:p>
        </w:tc>
        <w:tc>
          <w:tcPr>
            <w:tcW w:w="0" w:type="auto"/>
            <w:gridSpan w:val="3"/>
            <w:shd w:val="clear" w:color="auto" w:fill="auto"/>
            <w:vAlign w:val="bottom"/>
          </w:tcPr>
          <w:p w14:paraId="392C2D91" w14:textId="77777777" w:rsidR="00980E5F" w:rsidRDefault="00980E5F">
            <w:pPr>
              <w:rPr>
                <w:rFonts w:ascii="宋体"/>
                <w:vanish/>
              </w:rPr>
            </w:pPr>
          </w:p>
        </w:tc>
        <w:tc>
          <w:tcPr>
            <w:tcW w:w="0" w:type="auto"/>
            <w:gridSpan w:val="3"/>
            <w:shd w:val="clear" w:color="auto" w:fill="auto"/>
            <w:vAlign w:val="bottom"/>
          </w:tcPr>
          <w:p w14:paraId="392C2D92" w14:textId="77777777" w:rsidR="00980E5F" w:rsidRDefault="00980E5F">
            <w:pPr>
              <w:rPr>
                <w:rFonts w:ascii="宋体"/>
                <w:vanish/>
              </w:rPr>
            </w:pPr>
          </w:p>
        </w:tc>
      </w:tr>
      <w:tr w:rsidR="00980E5F" w14:paraId="392C2D9E" w14:textId="77777777">
        <w:tc>
          <w:tcPr>
            <w:tcW w:w="0" w:type="auto"/>
            <w:gridSpan w:val="3"/>
            <w:shd w:val="clear" w:color="auto" w:fill="auto"/>
            <w:tcMar>
              <w:top w:w="0" w:type="dxa"/>
              <w:left w:w="20" w:type="dxa"/>
              <w:bottom w:w="0" w:type="dxa"/>
              <w:right w:w="20" w:type="dxa"/>
            </w:tcMar>
            <w:vAlign w:val="bottom"/>
          </w:tcPr>
          <w:p w14:paraId="392C2D94" w14:textId="77777777" w:rsidR="00980E5F" w:rsidRDefault="00980E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92C2D95"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vAlign w:val="bottom"/>
          </w:tcPr>
          <w:p w14:paraId="392C2D96" w14:textId="77777777" w:rsidR="00980E5F" w:rsidRDefault="00980E5F">
            <w:pPr>
              <w:rPr>
                <w:rFonts w:ascii="宋体"/>
                <w:vanish/>
              </w:rPr>
            </w:pPr>
          </w:p>
        </w:tc>
        <w:tc>
          <w:tcPr>
            <w:tcW w:w="0" w:type="auto"/>
            <w:gridSpan w:val="3"/>
            <w:shd w:val="clear" w:color="auto" w:fill="auto"/>
            <w:vAlign w:val="bottom"/>
          </w:tcPr>
          <w:p w14:paraId="392C2D97" w14:textId="77777777" w:rsidR="00980E5F" w:rsidRDefault="00980E5F">
            <w:pPr>
              <w:rPr>
                <w:rFonts w:ascii="宋体"/>
                <w:vanish/>
              </w:rPr>
            </w:pPr>
          </w:p>
        </w:tc>
        <w:tc>
          <w:tcPr>
            <w:tcW w:w="0" w:type="auto"/>
            <w:gridSpan w:val="3"/>
            <w:shd w:val="clear" w:color="auto" w:fill="auto"/>
            <w:vAlign w:val="bottom"/>
          </w:tcPr>
          <w:p w14:paraId="392C2D98" w14:textId="77777777" w:rsidR="00980E5F" w:rsidRDefault="00980E5F">
            <w:pPr>
              <w:rPr>
                <w:rFonts w:ascii="宋体"/>
                <w:vanish/>
              </w:rPr>
            </w:pPr>
          </w:p>
        </w:tc>
        <w:tc>
          <w:tcPr>
            <w:tcW w:w="0" w:type="auto"/>
            <w:gridSpan w:val="3"/>
            <w:shd w:val="clear" w:color="auto" w:fill="auto"/>
            <w:vAlign w:val="bottom"/>
          </w:tcPr>
          <w:p w14:paraId="392C2D99" w14:textId="77777777" w:rsidR="00980E5F" w:rsidRDefault="00980E5F">
            <w:pPr>
              <w:rPr>
                <w:rFonts w:ascii="宋体"/>
                <w:vanish/>
              </w:rPr>
            </w:pPr>
          </w:p>
        </w:tc>
        <w:tc>
          <w:tcPr>
            <w:tcW w:w="0" w:type="auto"/>
            <w:gridSpan w:val="3"/>
            <w:shd w:val="clear" w:color="auto" w:fill="auto"/>
            <w:vAlign w:val="bottom"/>
          </w:tcPr>
          <w:p w14:paraId="392C2D9A" w14:textId="77777777" w:rsidR="00980E5F" w:rsidRDefault="00980E5F">
            <w:pPr>
              <w:rPr>
                <w:rFonts w:ascii="宋体"/>
                <w:vanish/>
              </w:rPr>
            </w:pPr>
          </w:p>
        </w:tc>
        <w:tc>
          <w:tcPr>
            <w:tcW w:w="0" w:type="auto"/>
            <w:gridSpan w:val="3"/>
            <w:shd w:val="clear" w:color="auto" w:fill="auto"/>
            <w:vAlign w:val="bottom"/>
          </w:tcPr>
          <w:p w14:paraId="392C2D9B" w14:textId="77777777" w:rsidR="00980E5F" w:rsidRDefault="00980E5F">
            <w:pPr>
              <w:rPr>
                <w:rFonts w:ascii="宋体"/>
                <w:vanish/>
              </w:rPr>
            </w:pPr>
          </w:p>
        </w:tc>
        <w:tc>
          <w:tcPr>
            <w:tcW w:w="0" w:type="auto"/>
            <w:gridSpan w:val="3"/>
            <w:shd w:val="clear" w:color="auto" w:fill="auto"/>
            <w:vAlign w:val="bottom"/>
          </w:tcPr>
          <w:p w14:paraId="392C2D9C" w14:textId="77777777" w:rsidR="00980E5F" w:rsidRDefault="00980E5F">
            <w:pPr>
              <w:rPr>
                <w:rFonts w:ascii="宋体"/>
                <w:vanish/>
              </w:rPr>
            </w:pPr>
          </w:p>
        </w:tc>
        <w:tc>
          <w:tcPr>
            <w:tcW w:w="0" w:type="auto"/>
            <w:gridSpan w:val="3"/>
            <w:shd w:val="clear" w:color="auto" w:fill="auto"/>
            <w:vAlign w:val="bottom"/>
          </w:tcPr>
          <w:p w14:paraId="392C2D9D" w14:textId="77777777" w:rsidR="00980E5F" w:rsidRDefault="00980E5F">
            <w:pPr>
              <w:rPr>
                <w:rFonts w:ascii="宋体"/>
                <w:vanish/>
              </w:rPr>
            </w:pPr>
          </w:p>
        </w:tc>
      </w:tr>
      <w:tr w:rsidR="00980E5F" w14:paraId="392C2DAB" w14:textId="77777777">
        <w:tc>
          <w:tcPr>
            <w:tcW w:w="0" w:type="auto"/>
            <w:gridSpan w:val="3"/>
            <w:shd w:val="clear" w:color="auto" w:fill="auto"/>
            <w:tcMar>
              <w:top w:w="0" w:type="dxa"/>
              <w:left w:w="20" w:type="dxa"/>
              <w:bottom w:w="0" w:type="dxa"/>
              <w:right w:w="20" w:type="dxa"/>
            </w:tcMar>
            <w:vAlign w:val="bottom"/>
          </w:tcPr>
          <w:p w14:paraId="392C2D9F"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DA0"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DA1"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2DA2"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392C2DA3" w14:textId="77777777" w:rsidR="00980E5F" w:rsidRDefault="00980E5F">
            <w:pPr>
              <w:rPr>
                <w:rFonts w:ascii="宋体"/>
                <w:vanish/>
              </w:rPr>
            </w:pPr>
          </w:p>
        </w:tc>
        <w:tc>
          <w:tcPr>
            <w:tcW w:w="0" w:type="auto"/>
            <w:gridSpan w:val="3"/>
            <w:shd w:val="clear" w:color="auto" w:fill="auto"/>
            <w:vAlign w:val="bottom"/>
          </w:tcPr>
          <w:p w14:paraId="392C2DA4" w14:textId="77777777" w:rsidR="00980E5F" w:rsidRDefault="00980E5F">
            <w:pPr>
              <w:rPr>
                <w:rFonts w:ascii="宋体"/>
                <w:vanish/>
              </w:rPr>
            </w:pPr>
          </w:p>
        </w:tc>
        <w:tc>
          <w:tcPr>
            <w:tcW w:w="0" w:type="auto"/>
            <w:gridSpan w:val="3"/>
            <w:shd w:val="clear" w:color="auto" w:fill="auto"/>
            <w:vAlign w:val="bottom"/>
          </w:tcPr>
          <w:p w14:paraId="392C2DA5" w14:textId="77777777" w:rsidR="00980E5F" w:rsidRDefault="00980E5F">
            <w:pPr>
              <w:rPr>
                <w:rFonts w:ascii="宋体"/>
                <w:vanish/>
              </w:rPr>
            </w:pPr>
          </w:p>
        </w:tc>
        <w:tc>
          <w:tcPr>
            <w:tcW w:w="0" w:type="auto"/>
            <w:gridSpan w:val="3"/>
            <w:shd w:val="clear" w:color="auto" w:fill="auto"/>
            <w:vAlign w:val="bottom"/>
          </w:tcPr>
          <w:p w14:paraId="392C2DA6" w14:textId="77777777" w:rsidR="00980E5F" w:rsidRDefault="00980E5F">
            <w:pPr>
              <w:rPr>
                <w:rFonts w:ascii="宋体"/>
                <w:vanish/>
              </w:rPr>
            </w:pPr>
          </w:p>
        </w:tc>
        <w:tc>
          <w:tcPr>
            <w:tcW w:w="0" w:type="auto"/>
            <w:gridSpan w:val="3"/>
            <w:shd w:val="clear" w:color="auto" w:fill="auto"/>
            <w:vAlign w:val="bottom"/>
          </w:tcPr>
          <w:p w14:paraId="392C2DA7" w14:textId="77777777" w:rsidR="00980E5F" w:rsidRDefault="00980E5F">
            <w:pPr>
              <w:rPr>
                <w:rFonts w:ascii="宋体"/>
                <w:vanish/>
              </w:rPr>
            </w:pPr>
          </w:p>
        </w:tc>
        <w:tc>
          <w:tcPr>
            <w:tcW w:w="0" w:type="auto"/>
            <w:gridSpan w:val="3"/>
            <w:shd w:val="clear" w:color="auto" w:fill="auto"/>
            <w:vAlign w:val="bottom"/>
          </w:tcPr>
          <w:p w14:paraId="392C2DA8" w14:textId="77777777" w:rsidR="00980E5F" w:rsidRDefault="00980E5F">
            <w:pPr>
              <w:rPr>
                <w:rFonts w:ascii="宋体"/>
                <w:vanish/>
              </w:rPr>
            </w:pPr>
          </w:p>
        </w:tc>
        <w:tc>
          <w:tcPr>
            <w:tcW w:w="0" w:type="auto"/>
            <w:gridSpan w:val="3"/>
            <w:shd w:val="clear" w:color="auto" w:fill="auto"/>
            <w:vAlign w:val="bottom"/>
          </w:tcPr>
          <w:p w14:paraId="392C2DA9" w14:textId="77777777" w:rsidR="00980E5F" w:rsidRDefault="00980E5F">
            <w:pPr>
              <w:rPr>
                <w:rFonts w:ascii="宋体"/>
                <w:vanish/>
              </w:rPr>
            </w:pPr>
          </w:p>
        </w:tc>
        <w:tc>
          <w:tcPr>
            <w:tcW w:w="0" w:type="auto"/>
            <w:gridSpan w:val="3"/>
            <w:shd w:val="clear" w:color="auto" w:fill="auto"/>
            <w:vAlign w:val="bottom"/>
          </w:tcPr>
          <w:p w14:paraId="392C2DAA" w14:textId="77777777" w:rsidR="00980E5F" w:rsidRDefault="00980E5F">
            <w:pPr>
              <w:rPr>
                <w:rFonts w:ascii="宋体"/>
                <w:vanish/>
              </w:rPr>
            </w:pPr>
          </w:p>
        </w:tc>
      </w:tr>
      <w:tr w:rsidR="00980E5F" w14:paraId="392C2DBC" w14:textId="77777777">
        <w:tc>
          <w:tcPr>
            <w:tcW w:w="0" w:type="auto"/>
            <w:gridSpan w:val="3"/>
            <w:shd w:val="clear" w:color="auto" w:fill="auto"/>
            <w:tcMar>
              <w:top w:w="0" w:type="dxa"/>
              <w:left w:w="20" w:type="dxa"/>
              <w:bottom w:w="0" w:type="dxa"/>
              <w:right w:w="20" w:type="dxa"/>
            </w:tcMar>
            <w:vAlign w:val="bottom"/>
          </w:tcPr>
          <w:p w14:paraId="392C2DA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DAD"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DA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DAF" w14:textId="77777777" w:rsidR="00980E5F" w:rsidRDefault="00483613">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392C2DB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DB1"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DB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DB3" w14:textId="77777777" w:rsidR="00980E5F" w:rsidRDefault="00483613">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vAlign w:val="bottom"/>
          </w:tcPr>
          <w:p w14:paraId="392C2DB4" w14:textId="77777777" w:rsidR="00980E5F" w:rsidRDefault="00980E5F">
            <w:pPr>
              <w:rPr>
                <w:rFonts w:ascii="宋体"/>
                <w:vanish/>
              </w:rPr>
            </w:pPr>
          </w:p>
        </w:tc>
        <w:tc>
          <w:tcPr>
            <w:tcW w:w="0" w:type="auto"/>
            <w:gridSpan w:val="3"/>
            <w:shd w:val="clear" w:color="auto" w:fill="auto"/>
            <w:vAlign w:val="bottom"/>
          </w:tcPr>
          <w:p w14:paraId="392C2DB5" w14:textId="77777777" w:rsidR="00980E5F" w:rsidRDefault="00980E5F">
            <w:pPr>
              <w:rPr>
                <w:rFonts w:ascii="宋体"/>
                <w:vanish/>
              </w:rPr>
            </w:pPr>
          </w:p>
        </w:tc>
        <w:tc>
          <w:tcPr>
            <w:tcW w:w="0" w:type="auto"/>
            <w:gridSpan w:val="3"/>
            <w:shd w:val="clear" w:color="auto" w:fill="auto"/>
            <w:vAlign w:val="bottom"/>
          </w:tcPr>
          <w:p w14:paraId="392C2DB6" w14:textId="77777777" w:rsidR="00980E5F" w:rsidRDefault="00980E5F">
            <w:pPr>
              <w:rPr>
                <w:rFonts w:ascii="宋体"/>
                <w:vanish/>
              </w:rPr>
            </w:pPr>
          </w:p>
        </w:tc>
        <w:tc>
          <w:tcPr>
            <w:tcW w:w="0" w:type="auto"/>
            <w:gridSpan w:val="3"/>
            <w:shd w:val="clear" w:color="auto" w:fill="auto"/>
            <w:vAlign w:val="bottom"/>
          </w:tcPr>
          <w:p w14:paraId="392C2DB7" w14:textId="77777777" w:rsidR="00980E5F" w:rsidRDefault="00980E5F">
            <w:pPr>
              <w:rPr>
                <w:rFonts w:ascii="宋体"/>
                <w:vanish/>
              </w:rPr>
            </w:pPr>
          </w:p>
        </w:tc>
        <w:tc>
          <w:tcPr>
            <w:tcW w:w="0" w:type="auto"/>
            <w:gridSpan w:val="3"/>
            <w:shd w:val="clear" w:color="auto" w:fill="auto"/>
            <w:vAlign w:val="bottom"/>
          </w:tcPr>
          <w:p w14:paraId="392C2DB8" w14:textId="77777777" w:rsidR="00980E5F" w:rsidRDefault="00980E5F">
            <w:pPr>
              <w:rPr>
                <w:rFonts w:ascii="宋体"/>
                <w:vanish/>
              </w:rPr>
            </w:pPr>
          </w:p>
        </w:tc>
        <w:tc>
          <w:tcPr>
            <w:tcW w:w="0" w:type="auto"/>
            <w:gridSpan w:val="3"/>
            <w:shd w:val="clear" w:color="auto" w:fill="auto"/>
            <w:vAlign w:val="bottom"/>
          </w:tcPr>
          <w:p w14:paraId="392C2DB9" w14:textId="77777777" w:rsidR="00980E5F" w:rsidRDefault="00980E5F">
            <w:pPr>
              <w:rPr>
                <w:rFonts w:ascii="宋体"/>
                <w:vanish/>
              </w:rPr>
            </w:pPr>
          </w:p>
        </w:tc>
        <w:tc>
          <w:tcPr>
            <w:tcW w:w="0" w:type="auto"/>
            <w:gridSpan w:val="3"/>
            <w:shd w:val="clear" w:color="auto" w:fill="auto"/>
            <w:vAlign w:val="bottom"/>
          </w:tcPr>
          <w:p w14:paraId="392C2DBA" w14:textId="77777777" w:rsidR="00980E5F" w:rsidRDefault="00980E5F">
            <w:pPr>
              <w:rPr>
                <w:rFonts w:ascii="宋体"/>
                <w:vanish/>
              </w:rPr>
            </w:pPr>
          </w:p>
        </w:tc>
        <w:tc>
          <w:tcPr>
            <w:tcW w:w="0" w:type="auto"/>
            <w:gridSpan w:val="3"/>
            <w:shd w:val="clear" w:color="auto" w:fill="auto"/>
            <w:vAlign w:val="bottom"/>
          </w:tcPr>
          <w:p w14:paraId="392C2DBB" w14:textId="77777777" w:rsidR="00980E5F" w:rsidRDefault="00980E5F">
            <w:pPr>
              <w:rPr>
                <w:rFonts w:ascii="宋体"/>
                <w:vanish/>
              </w:rPr>
            </w:pPr>
          </w:p>
        </w:tc>
      </w:tr>
      <w:tr w:rsidR="00980E5F" w14:paraId="392C2DD5" w14:textId="77777777">
        <w:tc>
          <w:tcPr>
            <w:tcW w:w="0" w:type="auto"/>
            <w:gridSpan w:val="3"/>
            <w:shd w:val="clear" w:color="auto" w:fill="CCEEFF"/>
            <w:tcMar>
              <w:top w:w="40" w:type="dxa"/>
              <w:left w:w="20" w:type="dxa"/>
              <w:bottom w:w="40" w:type="dxa"/>
              <w:right w:w="20" w:type="dxa"/>
            </w:tcMar>
            <w:vAlign w:val="bottom"/>
          </w:tcPr>
          <w:p w14:paraId="392C2DBD" w14:textId="77777777" w:rsidR="00980E5F" w:rsidRDefault="00483613">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2DB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DBF" w14:textId="77777777" w:rsidR="00980E5F" w:rsidRDefault="00483613">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D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DC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DC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DC3" w14:textId="77777777" w:rsidR="00980E5F" w:rsidRDefault="00483613">
            <w:pPr>
              <w:jc w:val="right"/>
              <w:textAlignment w:val="bottom"/>
            </w:pPr>
            <w:r>
              <w:rPr>
                <w:rFonts w:ascii="Arial" w:eastAsia="宋体" w:hAnsi="Arial" w:cs="Arial"/>
                <w:b/>
                <w:bCs/>
                <w:color w:val="000000"/>
                <w:sz w:val="14"/>
                <w:szCs w:val="14"/>
              </w:rPr>
              <w:t>419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D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DC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DC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DC7" w14:textId="77777777" w:rsidR="00980E5F" w:rsidRDefault="00483613">
            <w:pPr>
              <w:jc w:val="right"/>
              <w:textAlignment w:val="bottom"/>
            </w:pPr>
            <w:r>
              <w:rPr>
                <w:rFonts w:ascii="Arial" w:eastAsia="宋体" w:hAnsi="Arial" w:cs="Arial"/>
                <w:color w:val="000000"/>
                <w:sz w:val="14"/>
                <w:szCs w:val="14"/>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D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DC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2DC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2DCB" w14:textId="77777777" w:rsidR="00980E5F" w:rsidRDefault="00483613">
            <w:pPr>
              <w:jc w:val="right"/>
              <w:textAlignment w:val="bottom"/>
            </w:pPr>
            <w:r>
              <w:rPr>
                <w:rFonts w:ascii="Arial" w:eastAsia="宋体" w:hAnsi="Arial" w:cs="Arial"/>
                <w:color w:val="000000"/>
                <w:sz w:val="14"/>
                <w:szCs w:val="14"/>
              </w:rPr>
              <w:t>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DCC" w14:textId="77777777" w:rsidR="00980E5F" w:rsidRDefault="00980E5F">
            <w:pPr>
              <w:jc w:val="right"/>
              <w:rPr>
                <w:rFonts w:ascii="宋体"/>
              </w:rPr>
            </w:pPr>
          </w:p>
        </w:tc>
        <w:tc>
          <w:tcPr>
            <w:tcW w:w="0" w:type="auto"/>
            <w:gridSpan w:val="3"/>
            <w:shd w:val="clear" w:color="auto" w:fill="auto"/>
            <w:vAlign w:val="bottom"/>
          </w:tcPr>
          <w:p w14:paraId="392C2DCD" w14:textId="77777777" w:rsidR="00980E5F" w:rsidRDefault="00980E5F">
            <w:pPr>
              <w:rPr>
                <w:rFonts w:ascii="宋体"/>
                <w:vanish/>
              </w:rPr>
            </w:pPr>
          </w:p>
        </w:tc>
        <w:tc>
          <w:tcPr>
            <w:tcW w:w="0" w:type="auto"/>
            <w:gridSpan w:val="3"/>
            <w:shd w:val="clear" w:color="auto" w:fill="auto"/>
            <w:vAlign w:val="bottom"/>
          </w:tcPr>
          <w:p w14:paraId="392C2DCE" w14:textId="77777777" w:rsidR="00980E5F" w:rsidRDefault="00980E5F">
            <w:pPr>
              <w:rPr>
                <w:rFonts w:ascii="宋体"/>
                <w:vanish/>
              </w:rPr>
            </w:pPr>
          </w:p>
        </w:tc>
        <w:tc>
          <w:tcPr>
            <w:tcW w:w="0" w:type="auto"/>
            <w:gridSpan w:val="3"/>
            <w:shd w:val="clear" w:color="auto" w:fill="auto"/>
            <w:vAlign w:val="bottom"/>
          </w:tcPr>
          <w:p w14:paraId="392C2DCF" w14:textId="77777777" w:rsidR="00980E5F" w:rsidRDefault="00980E5F">
            <w:pPr>
              <w:rPr>
                <w:rFonts w:ascii="宋体"/>
                <w:vanish/>
              </w:rPr>
            </w:pPr>
          </w:p>
        </w:tc>
        <w:tc>
          <w:tcPr>
            <w:tcW w:w="0" w:type="auto"/>
            <w:gridSpan w:val="3"/>
            <w:shd w:val="clear" w:color="auto" w:fill="auto"/>
            <w:vAlign w:val="bottom"/>
          </w:tcPr>
          <w:p w14:paraId="392C2DD0" w14:textId="77777777" w:rsidR="00980E5F" w:rsidRDefault="00980E5F">
            <w:pPr>
              <w:rPr>
                <w:rFonts w:ascii="宋体"/>
                <w:vanish/>
              </w:rPr>
            </w:pPr>
          </w:p>
        </w:tc>
        <w:tc>
          <w:tcPr>
            <w:tcW w:w="0" w:type="auto"/>
            <w:gridSpan w:val="3"/>
            <w:shd w:val="clear" w:color="auto" w:fill="auto"/>
            <w:vAlign w:val="bottom"/>
          </w:tcPr>
          <w:p w14:paraId="392C2DD1" w14:textId="77777777" w:rsidR="00980E5F" w:rsidRDefault="00980E5F">
            <w:pPr>
              <w:rPr>
                <w:rFonts w:ascii="宋体"/>
                <w:vanish/>
              </w:rPr>
            </w:pPr>
          </w:p>
        </w:tc>
        <w:tc>
          <w:tcPr>
            <w:tcW w:w="0" w:type="auto"/>
            <w:gridSpan w:val="3"/>
            <w:shd w:val="clear" w:color="auto" w:fill="auto"/>
            <w:vAlign w:val="bottom"/>
          </w:tcPr>
          <w:p w14:paraId="392C2DD2" w14:textId="77777777" w:rsidR="00980E5F" w:rsidRDefault="00980E5F">
            <w:pPr>
              <w:rPr>
                <w:rFonts w:ascii="宋体"/>
                <w:vanish/>
              </w:rPr>
            </w:pPr>
          </w:p>
        </w:tc>
        <w:tc>
          <w:tcPr>
            <w:tcW w:w="0" w:type="auto"/>
            <w:gridSpan w:val="3"/>
            <w:shd w:val="clear" w:color="auto" w:fill="auto"/>
            <w:vAlign w:val="bottom"/>
          </w:tcPr>
          <w:p w14:paraId="392C2DD3" w14:textId="77777777" w:rsidR="00980E5F" w:rsidRDefault="00980E5F">
            <w:pPr>
              <w:rPr>
                <w:rFonts w:ascii="宋体"/>
                <w:vanish/>
              </w:rPr>
            </w:pPr>
          </w:p>
        </w:tc>
        <w:tc>
          <w:tcPr>
            <w:tcW w:w="0" w:type="auto"/>
            <w:gridSpan w:val="3"/>
            <w:shd w:val="clear" w:color="auto" w:fill="auto"/>
            <w:vAlign w:val="bottom"/>
          </w:tcPr>
          <w:p w14:paraId="392C2DD4" w14:textId="77777777" w:rsidR="00980E5F" w:rsidRDefault="00980E5F">
            <w:pPr>
              <w:rPr>
                <w:rFonts w:ascii="宋体"/>
                <w:vanish/>
              </w:rPr>
            </w:pPr>
          </w:p>
        </w:tc>
      </w:tr>
      <w:tr w:rsidR="00980E5F" w14:paraId="392C2DE6" w14:textId="77777777">
        <w:trPr>
          <w:trHeight w:val="60"/>
        </w:trPr>
        <w:tc>
          <w:tcPr>
            <w:tcW w:w="0" w:type="auto"/>
            <w:gridSpan w:val="3"/>
            <w:shd w:val="clear" w:color="auto" w:fill="auto"/>
            <w:tcMar>
              <w:top w:w="0" w:type="dxa"/>
              <w:left w:w="20" w:type="dxa"/>
              <w:bottom w:w="0" w:type="dxa"/>
              <w:right w:w="20" w:type="dxa"/>
            </w:tcMar>
            <w:vAlign w:val="bottom"/>
          </w:tcPr>
          <w:p w14:paraId="392C2DD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DD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DD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D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DD" w14:textId="77777777" w:rsidR="00980E5F" w:rsidRDefault="00980E5F">
            <w:pPr>
              <w:rPr>
                <w:rFonts w:ascii="宋体"/>
              </w:rPr>
            </w:pPr>
          </w:p>
        </w:tc>
        <w:tc>
          <w:tcPr>
            <w:tcW w:w="0" w:type="auto"/>
            <w:gridSpan w:val="3"/>
            <w:shd w:val="clear" w:color="auto" w:fill="auto"/>
            <w:vAlign w:val="bottom"/>
          </w:tcPr>
          <w:p w14:paraId="392C2DDE" w14:textId="77777777" w:rsidR="00980E5F" w:rsidRDefault="00980E5F">
            <w:pPr>
              <w:rPr>
                <w:rFonts w:ascii="宋体"/>
                <w:vanish/>
              </w:rPr>
            </w:pPr>
          </w:p>
        </w:tc>
        <w:tc>
          <w:tcPr>
            <w:tcW w:w="0" w:type="auto"/>
            <w:gridSpan w:val="3"/>
            <w:shd w:val="clear" w:color="auto" w:fill="auto"/>
            <w:vAlign w:val="bottom"/>
          </w:tcPr>
          <w:p w14:paraId="392C2DDF" w14:textId="77777777" w:rsidR="00980E5F" w:rsidRDefault="00980E5F">
            <w:pPr>
              <w:rPr>
                <w:rFonts w:ascii="宋体"/>
                <w:vanish/>
              </w:rPr>
            </w:pPr>
          </w:p>
        </w:tc>
        <w:tc>
          <w:tcPr>
            <w:tcW w:w="0" w:type="auto"/>
            <w:gridSpan w:val="3"/>
            <w:shd w:val="clear" w:color="auto" w:fill="auto"/>
            <w:vAlign w:val="bottom"/>
          </w:tcPr>
          <w:p w14:paraId="392C2DE0" w14:textId="77777777" w:rsidR="00980E5F" w:rsidRDefault="00980E5F">
            <w:pPr>
              <w:rPr>
                <w:rFonts w:ascii="宋体"/>
                <w:vanish/>
              </w:rPr>
            </w:pPr>
          </w:p>
        </w:tc>
        <w:tc>
          <w:tcPr>
            <w:tcW w:w="0" w:type="auto"/>
            <w:gridSpan w:val="3"/>
            <w:shd w:val="clear" w:color="auto" w:fill="auto"/>
            <w:vAlign w:val="bottom"/>
          </w:tcPr>
          <w:p w14:paraId="392C2DE1" w14:textId="77777777" w:rsidR="00980E5F" w:rsidRDefault="00980E5F">
            <w:pPr>
              <w:rPr>
                <w:rFonts w:ascii="宋体"/>
                <w:vanish/>
              </w:rPr>
            </w:pPr>
          </w:p>
        </w:tc>
        <w:tc>
          <w:tcPr>
            <w:tcW w:w="0" w:type="auto"/>
            <w:gridSpan w:val="3"/>
            <w:shd w:val="clear" w:color="auto" w:fill="auto"/>
            <w:vAlign w:val="bottom"/>
          </w:tcPr>
          <w:p w14:paraId="392C2DE2" w14:textId="77777777" w:rsidR="00980E5F" w:rsidRDefault="00980E5F">
            <w:pPr>
              <w:rPr>
                <w:rFonts w:ascii="宋体"/>
                <w:vanish/>
              </w:rPr>
            </w:pPr>
          </w:p>
        </w:tc>
        <w:tc>
          <w:tcPr>
            <w:tcW w:w="0" w:type="auto"/>
            <w:gridSpan w:val="3"/>
            <w:shd w:val="clear" w:color="auto" w:fill="auto"/>
            <w:vAlign w:val="bottom"/>
          </w:tcPr>
          <w:p w14:paraId="392C2DE3" w14:textId="77777777" w:rsidR="00980E5F" w:rsidRDefault="00980E5F">
            <w:pPr>
              <w:rPr>
                <w:rFonts w:ascii="宋体"/>
                <w:vanish/>
              </w:rPr>
            </w:pPr>
          </w:p>
        </w:tc>
        <w:tc>
          <w:tcPr>
            <w:tcW w:w="0" w:type="auto"/>
            <w:gridSpan w:val="3"/>
            <w:shd w:val="clear" w:color="auto" w:fill="auto"/>
            <w:vAlign w:val="bottom"/>
          </w:tcPr>
          <w:p w14:paraId="392C2DE4" w14:textId="77777777" w:rsidR="00980E5F" w:rsidRDefault="00980E5F">
            <w:pPr>
              <w:rPr>
                <w:rFonts w:ascii="宋体"/>
                <w:vanish/>
              </w:rPr>
            </w:pPr>
          </w:p>
        </w:tc>
        <w:tc>
          <w:tcPr>
            <w:tcW w:w="0" w:type="auto"/>
            <w:gridSpan w:val="3"/>
            <w:shd w:val="clear" w:color="auto" w:fill="auto"/>
            <w:vAlign w:val="bottom"/>
          </w:tcPr>
          <w:p w14:paraId="392C2DE5" w14:textId="77777777" w:rsidR="00980E5F" w:rsidRDefault="00980E5F">
            <w:pPr>
              <w:rPr>
                <w:rFonts w:ascii="宋体"/>
                <w:vanish/>
              </w:rPr>
            </w:pPr>
          </w:p>
        </w:tc>
      </w:tr>
      <w:tr w:rsidR="00980E5F" w14:paraId="392C2DF7" w14:textId="77777777">
        <w:trPr>
          <w:trHeight w:val="60"/>
        </w:trPr>
        <w:tc>
          <w:tcPr>
            <w:tcW w:w="0" w:type="auto"/>
            <w:gridSpan w:val="3"/>
            <w:shd w:val="clear" w:color="auto" w:fill="auto"/>
            <w:tcMar>
              <w:top w:w="0" w:type="dxa"/>
              <w:left w:w="20" w:type="dxa"/>
              <w:bottom w:w="0" w:type="dxa"/>
              <w:right w:w="20" w:type="dxa"/>
            </w:tcMar>
            <w:vAlign w:val="bottom"/>
          </w:tcPr>
          <w:p w14:paraId="392C2D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EE" w14:textId="77777777" w:rsidR="00980E5F" w:rsidRDefault="00980E5F">
            <w:pPr>
              <w:rPr>
                <w:rFonts w:ascii="宋体"/>
              </w:rPr>
            </w:pPr>
          </w:p>
        </w:tc>
        <w:tc>
          <w:tcPr>
            <w:tcW w:w="0" w:type="auto"/>
            <w:gridSpan w:val="3"/>
            <w:shd w:val="clear" w:color="auto" w:fill="auto"/>
            <w:vAlign w:val="bottom"/>
          </w:tcPr>
          <w:p w14:paraId="392C2DEF" w14:textId="77777777" w:rsidR="00980E5F" w:rsidRDefault="00980E5F">
            <w:pPr>
              <w:rPr>
                <w:rFonts w:ascii="宋体"/>
                <w:vanish/>
              </w:rPr>
            </w:pPr>
          </w:p>
        </w:tc>
        <w:tc>
          <w:tcPr>
            <w:tcW w:w="0" w:type="auto"/>
            <w:gridSpan w:val="3"/>
            <w:shd w:val="clear" w:color="auto" w:fill="auto"/>
            <w:vAlign w:val="bottom"/>
          </w:tcPr>
          <w:p w14:paraId="392C2DF0" w14:textId="77777777" w:rsidR="00980E5F" w:rsidRDefault="00980E5F">
            <w:pPr>
              <w:rPr>
                <w:rFonts w:ascii="宋体"/>
                <w:vanish/>
              </w:rPr>
            </w:pPr>
          </w:p>
        </w:tc>
        <w:tc>
          <w:tcPr>
            <w:tcW w:w="0" w:type="auto"/>
            <w:gridSpan w:val="3"/>
            <w:shd w:val="clear" w:color="auto" w:fill="auto"/>
            <w:vAlign w:val="bottom"/>
          </w:tcPr>
          <w:p w14:paraId="392C2DF1" w14:textId="77777777" w:rsidR="00980E5F" w:rsidRDefault="00980E5F">
            <w:pPr>
              <w:rPr>
                <w:rFonts w:ascii="宋体"/>
                <w:vanish/>
              </w:rPr>
            </w:pPr>
          </w:p>
        </w:tc>
        <w:tc>
          <w:tcPr>
            <w:tcW w:w="0" w:type="auto"/>
            <w:gridSpan w:val="3"/>
            <w:shd w:val="clear" w:color="auto" w:fill="auto"/>
            <w:vAlign w:val="bottom"/>
          </w:tcPr>
          <w:p w14:paraId="392C2DF2" w14:textId="77777777" w:rsidR="00980E5F" w:rsidRDefault="00980E5F">
            <w:pPr>
              <w:rPr>
                <w:rFonts w:ascii="宋体"/>
                <w:vanish/>
              </w:rPr>
            </w:pPr>
          </w:p>
        </w:tc>
        <w:tc>
          <w:tcPr>
            <w:tcW w:w="0" w:type="auto"/>
            <w:gridSpan w:val="3"/>
            <w:shd w:val="clear" w:color="auto" w:fill="auto"/>
            <w:vAlign w:val="bottom"/>
          </w:tcPr>
          <w:p w14:paraId="392C2DF3" w14:textId="77777777" w:rsidR="00980E5F" w:rsidRDefault="00980E5F">
            <w:pPr>
              <w:rPr>
                <w:rFonts w:ascii="宋体"/>
                <w:vanish/>
              </w:rPr>
            </w:pPr>
          </w:p>
        </w:tc>
        <w:tc>
          <w:tcPr>
            <w:tcW w:w="0" w:type="auto"/>
            <w:gridSpan w:val="3"/>
            <w:shd w:val="clear" w:color="auto" w:fill="auto"/>
            <w:vAlign w:val="bottom"/>
          </w:tcPr>
          <w:p w14:paraId="392C2DF4" w14:textId="77777777" w:rsidR="00980E5F" w:rsidRDefault="00980E5F">
            <w:pPr>
              <w:rPr>
                <w:rFonts w:ascii="宋体"/>
                <w:vanish/>
              </w:rPr>
            </w:pPr>
          </w:p>
        </w:tc>
        <w:tc>
          <w:tcPr>
            <w:tcW w:w="0" w:type="auto"/>
            <w:gridSpan w:val="3"/>
            <w:shd w:val="clear" w:color="auto" w:fill="auto"/>
            <w:vAlign w:val="bottom"/>
          </w:tcPr>
          <w:p w14:paraId="392C2DF5" w14:textId="77777777" w:rsidR="00980E5F" w:rsidRDefault="00980E5F">
            <w:pPr>
              <w:rPr>
                <w:rFonts w:ascii="宋体"/>
                <w:vanish/>
              </w:rPr>
            </w:pPr>
          </w:p>
        </w:tc>
        <w:tc>
          <w:tcPr>
            <w:tcW w:w="0" w:type="auto"/>
            <w:gridSpan w:val="3"/>
            <w:shd w:val="clear" w:color="auto" w:fill="auto"/>
            <w:vAlign w:val="bottom"/>
          </w:tcPr>
          <w:p w14:paraId="392C2DF6" w14:textId="77777777" w:rsidR="00980E5F" w:rsidRDefault="00980E5F">
            <w:pPr>
              <w:rPr>
                <w:rFonts w:ascii="宋体"/>
                <w:vanish/>
              </w:rPr>
            </w:pPr>
          </w:p>
        </w:tc>
      </w:tr>
      <w:tr w:rsidR="00980E5F" w14:paraId="392C2E08" w14:textId="77777777">
        <w:trPr>
          <w:trHeight w:val="60"/>
        </w:trPr>
        <w:tc>
          <w:tcPr>
            <w:tcW w:w="0" w:type="auto"/>
            <w:gridSpan w:val="3"/>
            <w:shd w:val="clear" w:color="auto" w:fill="auto"/>
            <w:tcMar>
              <w:top w:w="0" w:type="dxa"/>
              <w:left w:w="20" w:type="dxa"/>
              <w:bottom w:w="0" w:type="dxa"/>
              <w:right w:w="20" w:type="dxa"/>
            </w:tcMar>
            <w:vAlign w:val="bottom"/>
          </w:tcPr>
          <w:p w14:paraId="392C2DF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DFF" w14:textId="77777777" w:rsidR="00980E5F" w:rsidRDefault="00980E5F">
            <w:pPr>
              <w:rPr>
                <w:rFonts w:ascii="宋体"/>
              </w:rPr>
            </w:pPr>
          </w:p>
        </w:tc>
        <w:tc>
          <w:tcPr>
            <w:tcW w:w="0" w:type="auto"/>
            <w:gridSpan w:val="3"/>
            <w:shd w:val="clear" w:color="auto" w:fill="auto"/>
            <w:vAlign w:val="bottom"/>
          </w:tcPr>
          <w:p w14:paraId="392C2E00" w14:textId="77777777" w:rsidR="00980E5F" w:rsidRDefault="00980E5F">
            <w:pPr>
              <w:rPr>
                <w:rFonts w:ascii="宋体"/>
                <w:vanish/>
              </w:rPr>
            </w:pPr>
          </w:p>
        </w:tc>
        <w:tc>
          <w:tcPr>
            <w:tcW w:w="0" w:type="auto"/>
            <w:gridSpan w:val="3"/>
            <w:shd w:val="clear" w:color="auto" w:fill="auto"/>
            <w:vAlign w:val="bottom"/>
          </w:tcPr>
          <w:p w14:paraId="392C2E01" w14:textId="77777777" w:rsidR="00980E5F" w:rsidRDefault="00980E5F">
            <w:pPr>
              <w:rPr>
                <w:rFonts w:ascii="宋体"/>
                <w:vanish/>
              </w:rPr>
            </w:pPr>
          </w:p>
        </w:tc>
        <w:tc>
          <w:tcPr>
            <w:tcW w:w="0" w:type="auto"/>
            <w:gridSpan w:val="3"/>
            <w:shd w:val="clear" w:color="auto" w:fill="auto"/>
            <w:vAlign w:val="bottom"/>
          </w:tcPr>
          <w:p w14:paraId="392C2E02" w14:textId="77777777" w:rsidR="00980E5F" w:rsidRDefault="00980E5F">
            <w:pPr>
              <w:rPr>
                <w:rFonts w:ascii="宋体"/>
                <w:vanish/>
              </w:rPr>
            </w:pPr>
          </w:p>
        </w:tc>
        <w:tc>
          <w:tcPr>
            <w:tcW w:w="0" w:type="auto"/>
            <w:gridSpan w:val="3"/>
            <w:shd w:val="clear" w:color="auto" w:fill="auto"/>
            <w:vAlign w:val="bottom"/>
          </w:tcPr>
          <w:p w14:paraId="392C2E03" w14:textId="77777777" w:rsidR="00980E5F" w:rsidRDefault="00980E5F">
            <w:pPr>
              <w:rPr>
                <w:rFonts w:ascii="宋体"/>
                <w:vanish/>
              </w:rPr>
            </w:pPr>
          </w:p>
        </w:tc>
        <w:tc>
          <w:tcPr>
            <w:tcW w:w="0" w:type="auto"/>
            <w:gridSpan w:val="3"/>
            <w:shd w:val="clear" w:color="auto" w:fill="auto"/>
            <w:vAlign w:val="bottom"/>
          </w:tcPr>
          <w:p w14:paraId="392C2E04" w14:textId="77777777" w:rsidR="00980E5F" w:rsidRDefault="00980E5F">
            <w:pPr>
              <w:rPr>
                <w:rFonts w:ascii="宋体"/>
                <w:vanish/>
              </w:rPr>
            </w:pPr>
          </w:p>
        </w:tc>
        <w:tc>
          <w:tcPr>
            <w:tcW w:w="0" w:type="auto"/>
            <w:gridSpan w:val="3"/>
            <w:shd w:val="clear" w:color="auto" w:fill="auto"/>
            <w:vAlign w:val="bottom"/>
          </w:tcPr>
          <w:p w14:paraId="392C2E05" w14:textId="77777777" w:rsidR="00980E5F" w:rsidRDefault="00980E5F">
            <w:pPr>
              <w:rPr>
                <w:rFonts w:ascii="宋体"/>
                <w:vanish/>
              </w:rPr>
            </w:pPr>
          </w:p>
        </w:tc>
        <w:tc>
          <w:tcPr>
            <w:tcW w:w="0" w:type="auto"/>
            <w:gridSpan w:val="3"/>
            <w:shd w:val="clear" w:color="auto" w:fill="auto"/>
            <w:vAlign w:val="bottom"/>
          </w:tcPr>
          <w:p w14:paraId="392C2E06" w14:textId="77777777" w:rsidR="00980E5F" w:rsidRDefault="00980E5F">
            <w:pPr>
              <w:rPr>
                <w:rFonts w:ascii="宋体"/>
                <w:vanish/>
              </w:rPr>
            </w:pPr>
          </w:p>
        </w:tc>
        <w:tc>
          <w:tcPr>
            <w:tcW w:w="0" w:type="auto"/>
            <w:gridSpan w:val="3"/>
            <w:shd w:val="clear" w:color="auto" w:fill="auto"/>
            <w:vAlign w:val="bottom"/>
          </w:tcPr>
          <w:p w14:paraId="392C2E07" w14:textId="77777777" w:rsidR="00980E5F" w:rsidRDefault="00980E5F">
            <w:pPr>
              <w:rPr>
                <w:rFonts w:ascii="宋体"/>
                <w:vanish/>
              </w:rPr>
            </w:pPr>
          </w:p>
        </w:tc>
      </w:tr>
    </w:tbl>
    <w:p w14:paraId="392C2E09" w14:textId="77777777" w:rsidR="00980E5F" w:rsidRDefault="00483613">
      <w:pPr>
        <w:ind w:firstLine="450"/>
        <w:jc w:val="both"/>
      </w:pPr>
      <w:r>
        <w:rPr>
          <w:rFonts w:ascii="Arial" w:eastAsia="宋体" w:hAnsi="Arial" w:cs="Arial"/>
          <w:color w:val="000000"/>
          <w:sz w:val="20"/>
          <w:szCs w:val="20"/>
        </w:rPr>
        <w:t xml:space="preserve">Federal and state banking </w:t>
      </w:r>
      <w:r>
        <w:rPr>
          <w:rFonts w:ascii="Arial" w:eastAsia="宋体" w:hAnsi="Arial" w:cs="Arial"/>
          <w:color w:val="000000"/>
          <w:sz w:val="20"/>
          <w:szCs w:val="20"/>
        </w:rPr>
        <w:t xml:space="preserve">regulations place certain restrictions on dividends paid by subsidiary banks to the parent holding company. In addition, banking regulators have the authority to prohibit bank holding companies from paying dividends. For information concerning limitations </w:t>
      </w:r>
      <w:r>
        <w:rPr>
          <w:rFonts w:ascii="Arial" w:eastAsia="宋体" w:hAnsi="Arial" w:cs="Arial"/>
          <w:color w:val="000000"/>
          <w:sz w:val="20"/>
          <w:szCs w:val="20"/>
        </w:rPr>
        <w:t>on dividends from our subsidiary banks, refer to pages 54 to 56 in "Related Stockholder Matters" included under Item 5, Market for Registrant’s Common Equity, Related Stockholder Matters and Issuer Purchases of Equity Securities, in our 2021 Form 10-K, and</w:t>
      </w:r>
      <w:r>
        <w:rPr>
          <w:rFonts w:ascii="Arial" w:eastAsia="宋体" w:hAnsi="Arial" w:cs="Arial"/>
          <w:color w:val="000000"/>
          <w:sz w:val="20"/>
          <w:szCs w:val="20"/>
        </w:rPr>
        <w:t xml:space="preserve"> to pages 169 to 171 in Note 15 to the consolidated financial statements included under Item 8. Our common stock and preferred stock dividends, including the declaration, timing and amount thereof, are subject to consideration and approval by the Board at </w:t>
      </w:r>
      <w:r>
        <w:rPr>
          <w:rFonts w:ascii="Arial" w:eastAsia="宋体" w:hAnsi="Arial" w:cs="Arial"/>
          <w:color w:val="000000"/>
          <w:sz w:val="20"/>
          <w:szCs w:val="20"/>
        </w:rPr>
        <w:t>the relevant times.</w:t>
      </w:r>
    </w:p>
    <w:p w14:paraId="392C2E0A" w14:textId="77777777" w:rsidR="00980E5F" w:rsidRDefault="00483613">
      <w:pPr>
        <w:spacing w:before="60"/>
        <w:ind w:firstLine="450"/>
        <w:jc w:val="both"/>
      </w:pPr>
      <w:r>
        <w:rPr>
          <w:rFonts w:ascii="Arial" w:eastAsia="宋体" w:hAnsi="Arial" w:cs="Arial"/>
          <w:color w:val="000000"/>
          <w:sz w:val="20"/>
          <w:szCs w:val="20"/>
        </w:rPr>
        <w:t>Stock purchases may be made using various types of transactions, including open-market purchases, accelerated share repurchases or other transactions off the market, and may be made under Rule 10b5-1 trading programs. The timing and amo</w:t>
      </w:r>
      <w:r>
        <w:rPr>
          <w:rFonts w:ascii="Arial" w:eastAsia="宋体" w:hAnsi="Arial" w:cs="Arial"/>
          <w:color w:val="000000"/>
          <w:sz w:val="20"/>
          <w:szCs w:val="20"/>
        </w:rPr>
        <w:t>unt of any stock purchases and the type of transaction will depend on several factors, including our capital position and financial performance, investment opportunities, market conditions and the amount of common stock issued as part of employee compensat</w:t>
      </w:r>
      <w:r>
        <w:rPr>
          <w:rFonts w:ascii="Arial" w:eastAsia="宋体" w:hAnsi="Arial" w:cs="Arial"/>
          <w:color w:val="000000"/>
          <w:sz w:val="20"/>
          <w:szCs w:val="20"/>
        </w:rPr>
        <w:t>ion programs. The common share repurchase program does not have specific price targets and may be suspended at any time.</w:t>
      </w:r>
    </w:p>
    <w:p w14:paraId="392C2E0B" w14:textId="77777777" w:rsidR="00980E5F" w:rsidRDefault="00483613">
      <w:pPr>
        <w:ind w:firstLine="450"/>
        <w:jc w:val="right"/>
      </w:pPr>
      <w:r>
        <w:rPr>
          <w:rFonts w:ascii="Arial" w:eastAsia="宋体" w:hAnsi="Arial" w:cs="Arial"/>
          <w:color w:val="000000"/>
          <w:sz w:val="18"/>
          <w:szCs w:val="18"/>
        </w:rPr>
        <w:t>State Street Corporation | 51</w:t>
      </w:r>
    </w:p>
    <w:p w14:paraId="392C2E0C" w14:textId="77777777" w:rsidR="00980E5F" w:rsidRDefault="00980E5F">
      <w:pPr>
        <w:ind w:firstLine="450"/>
        <w:jc w:val="center"/>
      </w:pPr>
    </w:p>
    <w:p w14:paraId="392C2E0D" w14:textId="77777777" w:rsidR="00980E5F" w:rsidRDefault="00483613">
      <w:r>
        <w:pict w14:anchorId="392CBB01">
          <v:rect id="_x0000_i1075" style="width:415.3pt;height:1.5pt" o:hralign="center" o:hrstd="t" o:hr="t" fillcolor="#a0a0a0" stroked="f"/>
        </w:pict>
      </w:r>
    </w:p>
    <w:p w14:paraId="392C2E0E" w14:textId="77777777" w:rsidR="00980E5F" w:rsidRDefault="00483613">
      <w:pPr>
        <w:ind w:firstLine="450"/>
        <w:jc w:val="center"/>
      </w:pPr>
      <w:r>
        <w:rPr>
          <w:rFonts w:ascii="Arial" w:eastAsia="宋体" w:hAnsi="Arial" w:cs="Arial"/>
          <w:b/>
          <w:bCs/>
          <w:color w:val="000000"/>
          <w:sz w:val="20"/>
          <w:szCs w:val="20"/>
        </w:rPr>
        <w:t>MANAGEMENT’S DISCUSSION AND ANALYSIS OF FINANCIAL CONDITION</w:t>
      </w:r>
    </w:p>
    <w:p w14:paraId="392C2E0F" w14:textId="77777777" w:rsidR="00980E5F" w:rsidRDefault="00483613">
      <w:pPr>
        <w:ind w:firstLine="450"/>
        <w:jc w:val="center"/>
      </w:pPr>
      <w:r>
        <w:rPr>
          <w:rFonts w:ascii="Arial" w:eastAsia="宋体" w:hAnsi="Arial" w:cs="Arial"/>
          <w:b/>
          <w:bCs/>
          <w:color w:val="000000"/>
          <w:sz w:val="20"/>
          <w:szCs w:val="20"/>
        </w:rPr>
        <w:t>AND RESULTS OF OPERATIONS</w:t>
      </w:r>
    </w:p>
    <w:p w14:paraId="392C2E10" w14:textId="77777777" w:rsidR="00980E5F" w:rsidRDefault="00483613">
      <w:pPr>
        <w:spacing w:before="90"/>
      </w:pPr>
      <w:r>
        <w:rPr>
          <w:rFonts w:ascii="Arial" w:eastAsia="宋体" w:hAnsi="Arial" w:cs="Arial"/>
          <w:b/>
          <w:bCs/>
          <w:color w:val="000000"/>
          <w:sz w:val="20"/>
          <w:szCs w:val="20"/>
        </w:rPr>
        <w:t>OFF-BALANCE SHEET ARRANGEMENTS</w:t>
      </w:r>
    </w:p>
    <w:p w14:paraId="392C2E11" w14:textId="77777777" w:rsidR="00980E5F" w:rsidRDefault="00483613">
      <w:pPr>
        <w:spacing w:before="60"/>
        <w:ind w:firstLine="450"/>
        <w:jc w:val="both"/>
      </w:pPr>
      <w:r>
        <w:rPr>
          <w:rFonts w:ascii="Arial" w:eastAsia="宋体" w:hAnsi="Arial" w:cs="Arial"/>
          <w:color w:val="000000"/>
          <w:sz w:val="20"/>
          <w:szCs w:val="20"/>
        </w:rPr>
        <w:t>On behalf of clients enrolled in our securities lending program, we lend securities to banks, broker/dealers and other institutions. In most circumstances, we indemnify our clients for the fair market value of those securitie</w:t>
      </w:r>
      <w:r>
        <w:rPr>
          <w:rFonts w:ascii="Arial" w:eastAsia="宋体" w:hAnsi="Arial" w:cs="Arial"/>
          <w:color w:val="000000"/>
          <w:sz w:val="20"/>
          <w:szCs w:val="20"/>
        </w:rPr>
        <w:t>s against a failure of the borrower to return such securities. Though these transactions are collateralized, the substantial volume of these activities necessitates detailed credit-based underwriting and monitoring processes. The aggregate amount of indemn</w:t>
      </w:r>
      <w:r>
        <w:rPr>
          <w:rFonts w:ascii="Arial" w:eastAsia="宋体" w:hAnsi="Arial" w:cs="Arial"/>
          <w:color w:val="000000"/>
          <w:sz w:val="20"/>
          <w:szCs w:val="20"/>
        </w:rPr>
        <w:t xml:space="preserve">ified securities on loan totaled </w:t>
      </w:r>
      <w:r>
        <w:rPr>
          <w:rFonts w:ascii="Arial" w:eastAsia="宋体" w:hAnsi="Arial" w:cs="Arial"/>
          <w:color w:val="000000"/>
          <w:sz w:val="20"/>
          <w:szCs w:val="20"/>
          <w:shd w:val="clear" w:color="auto" w:fill="FFFFFF"/>
        </w:rPr>
        <w:t>$345.24 billion</w:t>
      </w:r>
      <w:r>
        <w:rPr>
          <w:rFonts w:ascii="Arial" w:eastAsia="宋体" w:hAnsi="Arial" w:cs="Arial"/>
          <w:color w:val="000000"/>
          <w:sz w:val="20"/>
          <w:szCs w:val="20"/>
        </w:rPr>
        <w:t xml:space="preserve"> and $385.74 billion as of June 30, 2022 and December 31, 2021, respectively. We require the borrower to provide collateral in an amount in excess of 100% of the fair market value of the securities borrowed. </w:t>
      </w:r>
      <w:r>
        <w:rPr>
          <w:rFonts w:ascii="Arial" w:eastAsia="宋体" w:hAnsi="Arial" w:cs="Arial"/>
          <w:color w:val="000000"/>
          <w:sz w:val="20"/>
          <w:szCs w:val="20"/>
        </w:rPr>
        <w:t>We hold the collateral received in connection with these securities lending services as agent, and the collateral is not recorded in our consolidated statement of condition. We revalue the securities on loan and the collateral daily to determine if additio</w:t>
      </w:r>
      <w:r>
        <w:rPr>
          <w:rFonts w:ascii="Arial" w:eastAsia="宋体" w:hAnsi="Arial" w:cs="Arial"/>
          <w:color w:val="000000"/>
          <w:sz w:val="20"/>
          <w:szCs w:val="20"/>
        </w:rPr>
        <w:t xml:space="preserve">nal collateral is necessary or if excess collateral is required to be returned to the borrower. We held, as agent, cash and securities totaling </w:t>
      </w:r>
      <w:r>
        <w:rPr>
          <w:rFonts w:ascii="Arial" w:eastAsia="宋体" w:hAnsi="Arial" w:cs="Arial"/>
          <w:color w:val="000000"/>
          <w:sz w:val="20"/>
          <w:szCs w:val="20"/>
          <w:shd w:val="clear" w:color="auto" w:fill="FFFFFF"/>
        </w:rPr>
        <w:t>$361.38 billion and $404.12 billion as collateral for indemnified securities on loan as of June 30, 2022 and Dec</w:t>
      </w:r>
      <w:r>
        <w:rPr>
          <w:rFonts w:ascii="Arial" w:eastAsia="宋体" w:hAnsi="Arial" w:cs="Arial"/>
          <w:color w:val="000000"/>
          <w:sz w:val="20"/>
          <w:szCs w:val="20"/>
          <w:shd w:val="clear" w:color="auto" w:fill="FFFFFF"/>
        </w:rPr>
        <w:t>ember 31, 2021, respectively.</w:t>
      </w:r>
    </w:p>
    <w:p w14:paraId="392C2E12" w14:textId="77777777" w:rsidR="00980E5F" w:rsidRDefault="00483613">
      <w:pPr>
        <w:spacing w:before="40"/>
        <w:ind w:firstLine="450"/>
        <w:jc w:val="both"/>
      </w:pPr>
      <w:r>
        <w:rPr>
          <w:rFonts w:ascii="Arial" w:eastAsia="宋体" w:hAnsi="Arial" w:cs="Arial"/>
          <w:color w:val="000000"/>
          <w:sz w:val="20"/>
          <w:szCs w:val="20"/>
          <w:shd w:val="clear" w:color="auto" w:fill="FFFFFF"/>
        </w:rPr>
        <w:t>The cash collateral held by us as agent is invested on behalf of our clients. In certain cases, the cash collateral is invested in third-party repurchase agreements, for which we indemnify the client against loss of the princi</w:t>
      </w:r>
      <w:r>
        <w:rPr>
          <w:rFonts w:ascii="Arial" w:eastAsia="宋体" w:hAnsi="Arial" w:cs="Arial"/>
          <w:color w:val="000000"/>
          <w:sz w:val="20"/>
          <w:szCs w:val="20"/>
          <w:shd w:val="clear" w:color="auto" w:fill="FFFFFF"/>
        </w:rPr>
        <w:t>pal invested. We require the counterparty to the indemnified repurchase agreement to provide collateral in an amount in excess of 100% of the amount of the repurchase agreement. In our role as agent, the indemnified repurchase agreements and the related co</w:t>
      </w:r>
      <w:r>
        <w:rPr>
          <w:rFonts w:ascii="Arial" w:eastAsia="宋体" w:hAnsi="Arial" w:cs="Arial"/>
          <w:color w:val="000000"/>
          <w:sz w:val="20"/>
          <w:szCs w:val="20"/>
          <w:shd w:val="clear" w:color="auto" w:fill="FFFFFF"/>
        </w:rPr>
        <w:t xml:space="preserve">llateral held by us are not recorded in our consolidated statement of condition. Of the collateral of $361.38 billion and $404.12 billion, referenced above, $64.18 billion and $61.56 billion was invested in indemnified repurchase agreements as of June 30, </w:t>
      </w:r>
      <w:r>
        <w:rPr>
          <w:rFonts w:ascii="Arial" w:eastAsia="宋体" w:hAnsi="Arial" w:cs="Arial"/>
          <w:color w:val="000000"/>
          <w:sz w:val="20"/>
          <w:szCs w:val="20"/>
          <w:shd w:val="clear" w:color="auto" w:fill="FFFFFF"/>
        </w:rPr>
        <w:t xml:space="preserve">2022 and December 31, 2021, respectively. We or our agents held $69.17 billion and $67.01 billion as collateral for indemnified investments in </w:t>
      </w:r>
      <w:r>
        <w:rPr>
          <w:rFonts w:ascii="Arial" w:eastAsia="宋体" w:hAnsi="Arial" w:cs="Arial"/>
          <w:color w:val="000000"/>
          <w:sz w:val="20"/>
          <w:szCs w:val="20"/>
        </w:rPr>
        <w:t>repurchase agreements as of June 30, 2022 and December 31, 2021, respectively.</w:t>
      </w:r>
    </w:p>
    <w:p w14:paraId="392C2E13" w14:textId="77777777" w:rsidR="00980E5F" w:rsidRDefault="00483613">
      <w:pPr>
        <w:spacing w:before="40"/>
        <w:ind w:firstLine="450"/>
        <w:jc w:val="both"/>
      </w:pPr>
      <w:r>
        <w:rPr>
          <w:rFonts w:ascii="Arial" w:eastAsia="宋体" w:hAnsi="Arial" w:cs="Arial"/>
          <w:color w:val="000000"/>
          <w:sz w:val="20"/>
          <w:szCs w:val="20"/>
        </w:rPr>
        <w:t>Additional information about our s</w:t>
      </w:r>
      <w:r>
        <w:rPr>
          <w:rFonts w:ascii="Arial" w:eastAsia="宋体" w:hAnsi="Arial" w:cs="Arial"/>
          <w:color w:val="000000"/>
          <w:sz w:val="20"/>
          <w:szCs w:val="20"/>
        </w:rPr>
        <w:t>ecurities finance activities and other off-balance sheet arrangements is provided in Notes 7, 9 and 11 to the consolidated financial statements in this Form 10-Q.</w:t>
      </w:r>
    </w:p>
    <w:p w14:paraId="392C2E14" w14:textId="77777777" w:rsidR="00980E5F" w:rsidRDefault="00483613">
      <w:pPr>
        <w:spacing w:before="90" w:after="60"/>
        <w:jc w:val="both"/>
      </w:pPr>
      <w:r>
        <w:rPr>
          <w:rFonts w:ascii="Arial" w:eastAsia="宋体" w:hAnsi="Arial" w:cs="Arial"/>
          <w:b/>
          <w:bCs/>
          <w:color w:val="000000"/>
          <w:sz w:val="20"/>
          <w:szCs w:val="20"/>
        </w:rPr>
        <w:t>RECENT ACCOUNTING DEVELOPMENTS</w:t>
      </w:r>
    </w:p>
    <w:p w14:paraId="392C2E15" w14:textId="77777777" w:rsidR="00980E5F" w:rsidRDefault="00483613">
      <w:pPr>
        <w:spacing w:before="60" w:after="60"/>
        <w:ind w:firstLine="450"/>
        <w:jc w:val="both"/>
      </w:pPr>
      <w:r>
        <w:rPr>
          <w:rFonts w:ascii="Arial" w:eastAsia="宋体" w:hAnsi="Arial" w:cs="Arial"/>
          <w:color w:val="000000"/>
          <w:sz w:val="20"/>
          <w:szCs w:val="20"/>
        </w:rPr>
        <w:t xml:space="preserve">Information with respect to recent accounting developments is </w:t>
      </w:r>
      <w:r>
        <w:rPr>
          <w:rFonts w:ascii="Arial" w:eastAsia="宋体" w:hAnsi="Arial" w:cs="Arial"/>
          <w:color w:val="000000"/>
          <w:sz w:val="20"/>
          <w:szCs w:val="20"/>
        </w:rPr>
        <w:t xml:space="preserve">provided in Note 1 to the consolidated financial statements in this Form 10-Q. </w:t>
      </w:r>
    </w:p>
    <w:p w14:paraId="392C2E16" w14:textId="77777777" w:rsidR="00980E5F" w:rsidRDefault="00483613">
      <w:pPr>
        <w:ind w:firstLine="450"/>
        <w:jc w:val="right"/>
      </w:pPr>
      <w:r>
        <w:rPr>
          <w:rFonts w:ascii="Arial" w:eastAsia="宋体" w:hAnsi="Arial" w:cs="Arial"/>
          <w:color w:val="000000"/>
          <w:sz w:val="18"/>
          <w:szCs w:val="18"/>
        </w:rPr>
        <w:t>State Street Corporation | 52</w:t>
      </w:r>
    </w:p>
    <w:p w14:paraId="392C2E17" w14:textId="77777777" w:rsidR="00980E5F" w:rsidRDefault="00980E5F">
      <w:pPr>
        <w:ind w:firstLine="450"/>
        <w:jc w:val="center"/>
      </w:pPr>
    </w:p>
    <w:p w14:paraId="392C2E18" w14:textId="77777777" w:rsidR="00980E5F" w:rsidRDefault="00483613">
      <w:r>
        <w:pict w14:anchorId="392CBB02">
          <v:rect id="_x0000_i1076" style="width:415.3pt;height:1.5pt" o:hralign="center" o:hrstd="t" o:hr="t" fillcolor="#a0a0a0" stroked="f"/>
        </w:pict>
      </w:r>
    </w:p>
    <w:p w14:paraId="392C2E19" w14:textId="77777777" w:rsidR="00980E5F" w:rsidRDefault="00980E5F">
      <w:pPr>
        <w:ind w:firstLine="450"/>
      </w:pPr>
    </w:p>
    <w:p w14:paraId="392C2E1A" w14:textId="77777777" w:rsidR="00980E5F" w:rsidRDefault="00483613">
      <w:pPr>
        <w:spacing w:before="90" w:after="60"/>
        <w:jc w:val="both"/>
      </w:pPr>
      <w:r>
        <w:rPr>
          <w:rFonts w:ascii="Arial" w:eastAsia="宋体" w:hAnsi="Arial" w:cs="Arial"/>
          <w:b/>
          <w:bCs/>
          <w:color w:val="000000"/>
          <w:sz w:val="20"/>
          <w:szCs w:val="20"/>
        </w:rPr>
        <w:t>QUANTITATIVE AND QUALITATIVE DISCLOSURES ABOUT MARKET RISK</w:t>
      </w:r>
    </w:p>
    <w:p w14:paraId="392C2E1B" w14:textId="77777777" w:rsidR="00980E5F" w:rsidRDefault="00483613">
      <w:pPr>
        <w:spacing w:before="90"/>
        <w:ind w:firstLine="450"/>
        <w:jc w:val="both"/>
      </w:pPr>
      <w:r>
        <w:rPr>
          <w:rFonts w:ascii="Arial" w:eastAsia="宋体" w:hAnsi="Arial" w:cs="Arial"/>
          <w:color w:val="000000"/>
          <w:sz w:val="20"/>
          <w:szCs w:val="20"/>
        </w:rPr>
        <w:t>The information provided under “Market Risk Management” in "Financial Condition" in</w:t>
      </w:r>
      <w:r>
        <w:rPr>
          <w:rFonts w:ascii="Arial" w:eastAsia="宋体" w:hAnsi="Arial" w:cs="Arial"/>
          <w:color w:val="000000"/>
          <w:sz w:val="20"/>
          <w:szCs w:val="20"/>
        </w:rPr>
        <w:t xml:space="preserve"> our Management's Discussion and Analysis in this Form 10-Q, is incorporated by reference herein. </w:t>
      </w:r>
    </w:p>
    <w:p w14:paraId="392C2E1C" w14:textId="77777777" w:rsidR="00980E5F" w:rsidRDefault="00483613">
      <w:pPr>
        <w:spacing w:before="90"/>
        <w:ind w:firstLine="450"/>
        <w:jc w:val="both"/>
      </w:pPr>
      <w:r>
        <w:rPr>
          <w:rFonts w:ascii="Arial" w:eastAsia="宋体" w:hAnsi="Arial" w:cs="Arial"/>
          <w:color w:val="000000"/>
          <w:sz w:val="20"/>
          <w:szCs w:val="20"/>
        </w:rPr>
        <w:t>For more information on our market risk refer to pages 103 to 110 included under Item 7, Management's Discussion and Analysis of Financial Condition and Resu</w:t>
      </w:r>
      <w:r>
        <w:rPr>
          <w:rFonts w:ascii="Arial" w:eastAsia="宋体" w:hAnsi="Arial" w:cs="Arial"/>
          <w:color w:val="000000"/>
          <w:sz w:val="20"/>
          <w:szCs w:val="20"/>
        </w:rPr>
        <w:t>lts of Operations, in our 2021 Form 10-K.</w:t>
      </w:r>
    </w:p>
    <w:p w14:paraId="392C2E1D" w14:textId="77777777" w:rsidR="00980E5F" w:rsidRDefault="00483613">
      <w:pPr>
        <w:spacing w:before="180"/>
        <w:jc w:val="both"/>
      </w:pPr>
      <w:r>
        <w:rPr>
          <w:rFonts w:ascii="Arial" w:eastAsia="宋体" w:hAnsi="Arial" w:cs="Arial"/>
          <w:b/>
          <w:bCs/>
          <w:color w:val="000000"/>
          <w:sz w:val="20"/>
          <w:szCs w:val="20"/>
        </w:rPr>
        <w:t>CONTROLS AND PROCEDURES</w:t>
      </w:r>
    </w:p>
    <w:p w14:paraId="392C2E1E" w14:textId="77777777" w:rsidR="00980E5F" w:rsidRDefault="00483613">
      <w:pPr>
        <w:spacing w:before="60"/>
        <w:ind w:firstLine="450"/>
        <w:jc w:val="both"/>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basis required to be dis</w:t>
      </w:r>
      <w:r>
        <w:rPr>
          <w:rFonts w:ascii="Arial" w:eastAsia="宋体" w:hAnsi="Arial" w:cs="Arial"/>
          <w:color w:val="000000"/>
          <w:sz w:val="20"/>
          <w:szCs w:val="20"/>
        </w:rPr>
        <w:t xml:space="preserve">closed in our reports filed or submitted under the Securities Exchange Act of 1934 is recorded, processed, summarized and reported within the time periods specified in the SEC's rules and forms, and that such information is accumulated and communicated to </w:t>
      </w:r>
      <w:r>
        <w:rPr>
          <w:rFonts w:ascii="Arial" w:eastAsia="宋体" w:hAnsi="Arial" w:cs="Arial"/>
          <w:color w:val="000000"/>
          <w:sz w:val="20"/>
          <w:szCs w:val="20"/>
        </w:rPr>
        <w:t>our management, including our Chief Executive Officer and Chief Financial Officer, as appropriate, to allow timely decisions regarding required disclosure. For the quarter ended June 30, 2022, our management carried out an evaluation, with the participatio</w:t>
      </w:r>
      <w:r>
        <w:rPr>
          <w:rFonts w:ascii="Arial" w:eastAsia="宋体" w:hAnsi="Arial" w:cs="Arial"/>
          <w:color w:val="000000"/>
          <w:sz w:val="20"/>
          <w:szCs w:val="20"/>
        </w:rPr>
        <w:t>n of the Chief Executive Officer and Chief Financial Officer, of the effectiveness of the design and operation of our disclosure controls and procedures. Based on the evaluation of these disclosure controls and procedures, the Chief Executive Officer and C</w:t>
      </w:r>
      <w:r>
        <w:rPr>
          <w:rFonts w:ascii="Arial" w:eastAsia="宋体" w:hAnsi="Arial" w:cs="Arial"/>
          <w:color w:val="000000"/>
          <w:sz w:val="20"/>
          <w:szCs w:val="20"/>
        </w:rPr>
        <w:t xml:space="preserve">hief Financial Officer concluded that our disclosure controls and procedures were effective as of June 30, 2022. </w:t>
      </w:r>
    </w:p>
    <w:p w14:paraId="392C2E1F" w14:textId="77777777" w:rsidR="00980E5F" w:rsidRDefault="00483613">
      <w:pPr>
        <w:spacing w:before="60"/>
        <w:ind w:firstLine="450"/>
        <w:jc w:val="both"/>
      </w:pPr>
      <w:r>
        <w:rPr>
          <w:rFonts w:ascii="Arial" w:eastAsia="宋体" w:hAnsi="Arial" w:cs="Arial"/>
          <w:color w:val="000000"/>
          <w:sz w:val="20"/>
          <w:szCs w:val="20"/>
        </w:rPr>
        <w:t>We have established and maintain internal control over financial reporting as a process designed to provide reasonable assurance regarding the</w:t>
      </w:r>
      <w:r>
        <w:rPr>
          <w:rFonts w:ascii="Arial" w:eastAsia="宋体" w:hAnsi="Arial" w:cs="Arial"/>
          <w:color w:val="000000"/>
          <w:sz w:val="20"/>
          <w:szCs w:val="20"/>
        </w:rPr>
        <w:t xml:space="preserve"> reliability of financial reporting and the preparation of consolidated financial statements for external purposes in conformity with U.S. GAAP. In the ordinary course of business, we routinely enhance our internal controls and procedures for financial rep</w:t>
      </w:r>
      <w:r>
        <w:rPr>
          <w:rFonts w:ascii="Arial" w:eastAsia="宋体" w:hAnsi="Arial" w:cs="Arial"/>
          <w:color w:val="000000"/>
          <w:sz w:val="20"/>
          <w:szCs w:val="20"/>
        </w:rPr>
        <w:t>orting by either upgrading our current systems or implementing new systems. Changes have been made and may be made to our internal controls and procedures for financial reporting as a result of these efforts. During the quarter ended June 30, 2022, no chan</w:t>
      </w:r>
      <w:r>
        <w:rPr>
          <w:rFonts w:ascii="Arial" w:eastAsia="宋体" w:hAnsi="Arial" w:cs="Arial"/>
          <w:color w:val="000000"/>
          <w:sz w:val="20"/>
          <w:szCs w:val="20"/>
        </w:rPr>
        <w:t xml:space="preserve">ge occurred in our internal control over financial reporting that has materially affected, or is reasonably likely to materially affect, our internal control over financial reporting. </w:t>
      </w:r>
    </w:p>
    <w:p w14:paraId="392C2E20" w14:textId="77777777" w:rsidR="00980E5F" w:rsidRDefault="00980E5F">
      <w:pPr>
        <w:spacing w:before="90" w:after="60"/>
        <w:jc w:val="both"/>
        <w:textAlignment w:val="top"/>
      </w:pPr>
    </w:p>
    <w:p w14:paraId="392C2E21" w14:textId="77777777" w:rsidR="00980E5F" w:rsidRDefault="00980E5F">
      <w:pPr>
        <w:spacing w:before="100"/>
        <w:ind w:firstLine="450"/>
        <w:textAlignment w:val="top"/>
      </w:pPr>
    </w:p>
    <w:p w14:paraId="392C2E22" w14:textId="77777777" w:rsidR="00980E5F" w:rsidRDefault="00483613">
      <w:pPr>
        <w:ind w:firstLine="450"/>
        <w:jc w:val="right"/>
      </w:pPr>
      <w:r>
        <w:rPr>
          <w:rFonts w:ascii="Arial" w:eastAsia="宋体" w:hAnsi="Arial" w:cs="Arial"/>
          <w:color w:val="000000"/>
          <w:sz w:val="18"/>
          <w:szCs w:val="18"/>
        </w:rPr>
        <w:t>State Street Corporation | 53</w:t>
      </w:r>
    </w:p>
    <w:p w14:paraId="392C2E23" w14:textId="77777777" w:rsidR="00980E5F" w:rsidRDefault="00980E5F">
      <w:pPr>
        <w:ind w:firstLine="450"/>
        <w:jc w:val="center"/>
      </w:pPr>
    </w:p>
    <w:p w14:paraId="392C2E24" w14:textId="77777777" w:rsidR="00980E5F" w:rsidRDefault="00483613">
      <w:r>
        <w:pict w14:anchorId="392CBB03">
          <v:rect id="_x0000_i1077" style="width:415.3pt;height:1.5pt" o:hralign="center" o:hrstd="t" o:hr="t" fillcolor="#a0a0a0" stroked="f"/>
        </w:pict>
      </w:r>
    </w:p>
    <w:p w14:paraId="392C2E25" w14:textId="77777777" w:rsidR="00980E5F" w:rsidRDefault="00980E5F">
      <w:pPr>
        <w:ind w:firstLine="450"/>
      </w:pPr>
    </w:p>
    <w:p w14:paraId="392C2E26" w14:textId="77777777" w:rsidR="00980E5F" w:rsidRDefault="00483613">
      <w:pPr>
        <w:ind w:firstLine="450"/>
        <w:jc w:val="center"/>
      </w:pPr>
      <w:r>
        <w:rPr>
          <w:rFonts w:ascii="Arial" w:eastAsia="宋体" w:hAnsi="Arial" w:cs="Arial"/>
          <w:b/>
          <w:bCs/>
          <w:color w:val="000000"/>
          <w:sz w:val="20"/>
          <w:szCs w:val="20"/>
        </w:rPr>
        <w:t>STATE STREET CORPORATION</w:t>
      </w:r>
    </w:p>
    <w:p w14:paraId="392C2E27" w14:textId="77777777" w:rsidR="00980E5F" w:rsidRDefault="00483613">
      <w:pPr>
        <w:ind w:firstLine="450"/>
        <w:jc w:val="center"/>
      </w:pPr>
      <w:r>
        <w:rPr>
          <w:rFonts w:ascii="Arial" w:eastAsia="宋体" w:hAnsi="Arial" w:cs="Arial"/>
          <w:b/>
          <w:bCs/>
          <w:color w:val="000000"/>
          <w:sz w:val="20"/>
          <w:szCs w:val="20"/>
        </w:rPr>
        <w:t>CONSOLIDATED STATEMENT OF INCOME</w:t>
      </w:r>
    </w:p>
    <w:p w14:paraId="392C2E28"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513"/>
        <w:gridCol w:w="39"/>
        <w:gridCol w:w="122"/>
        <w:gridCol w:w="929"/>
        <w:gridCol w:w="36"/>
        <w:gridCol w:w="36"/>
        <w:gridCol w:w="36"/>
        <w:gridCol w:w="36"/>
        <w:gridCol w:w="122"/>
        <w:gridCol w:w="929"/>
        <w:gridCol w:w="36"/>
        <w:gridCol w:w="36"/>
        <w:gridCol w:w="36"/>
        <w:gridCol w:w="36"/>
        <w:gridCol w:w="122"/>
        <w:gridCol w:w="929"/>
        <w:gridCol w:w="36"/>
        <w:gridCol w:w="36"/>
        <w:gridCol w:w="36"/>
        <w:gridCol w:w="36"/>
        <w:gridCol w:w="122"/>
        <w:gridCol w:w="929"/>
        <w:gridCol w:w="36"/>
        <w:gridCol w:w="36"/>
        <w:gridCol w:w="36"/>
      </w:tblGrid>
      <w:tr w:rsidR="00980E5F" w14:paraId="392C2E43" w14:textId="77777777">
        <w:tc>
          <w:tcPr>
            <w:tcW w:w="50" w:type="pct"/>
            <w:shd w:val="clear" w:color="auto" w:fill="auto"/>
            <w:vAlign w:val="bottom"/>
          </w:tcPr>
          <w:p w14:paraId="392C2E29" w14:textId="77777777" w:rsidR="00980E5F" w:rsidRDefault="00980E5F">
            <w:pPr>
              <w:rPr>
                <w:rFonts w:ascii="宋体"/>
              </w:rPr>
            </w:pPr>
          </w:p>
        </w:tc>
        <w:tc>
          <w:tcPr>
            <w:tcW w:w="2196" w:type="pct"/>
            <w:shd w:val="clear" w:color="auto" w:fill="auto"/>
            <w:vAlign w:val="bottom"/>
          </w:tcPr>
          <w:p w14:paraId="392C2E2A" w14:textId="77777777" w:rsidR="00980E5F" w:rsidRDefault="00980E5F">
            <w:pPr>
              <w:rPr>
                <w:rFonts w:ascii="宋体"/>
              </w:rPr>
            </w:pPr>
          </w:p>
        </w:tc>
        <w:tc>
          <w:tcPr>
            <w:tcW w:w="5" w:type="pct"/>
            <w:shd w:val="clear" w:color="auto" w:fill="auto"/>
            <w:vAlign w:val="bottom"/>
          </w:tcPr>
          <w:p w14:paraId="392C2E2B" w14:textId="77777777" w:rsidR="00980E5F" w:rsidRDefault="00980E5F">
            <w:pPr>
              <w:rPr>
                <w:rFonts w:ascii="宋体"/>
              </w:rPr>
            </w:pPr>
          </w:p>
        </w:tc>
        <w:tc>
          <w:tcPr>
            <w:tcW w:w="50" w:type="pct"/>
            <w:shd w:val="clear" w:color="auto" w:fill="auto"/>
            <w:vAlign w:val="bottom"/>
          </w:tcPr>
          <w:p w14:paraId="392C2E2C" w14:textId="77777777" w:rsidR="00980E5F" w:rsidRDefault="00980E5F">
            <w:pPr>
              <w:rPr>
                <w:rFonts w:ascii="宋体"/>
              </w:rPr>
            </w:pPr>
          </w:p>
        </w:tc>
        <w:tc>
          <w:tcPr>
            <w:tcW w:w="610" w:type="pct"/>
            <w:shd w:val="clear" w:color="auto" w:fill="auto"/>
            <w:vAlign w:val="bottom"/>
          </w:tcPr>
          <w:p w14:paraId="392C2E2D" w14:textId="77777777" w:rsidR="00980E5F" w:rsidRDefault="00980E5F">
            <w:pPr>
              <w:rPr>
                <w:rFonts w:ascii="宋体"/>
              </w:rPr>
            </w:pPr>
          </w:p>
        </w:tc>
        <w:tc>
          <w:tcPr>
            <w:tcW w:w="5" w:type="pct"/>
            <w:shd w:val="clear" w:color="auto" w:fill="auto"/>
            <w:vAlign w:val="bottom"/>
          </w:tcPr>
          <w:p w14:paraId="392C2E2E" w14:textId="77777777" w:rsidR="00980E5F" w:rsidRDefault="00980E5F">
            <w:pPr>
              <w:rPr>
                <w:rFonts w:ascii="宋体"/>
              </w:rPr>
            </w:pPr>
          </w:p>
        </w:tc>
        <w:tc>
          <w:tcPr>
            <w:tcW w:w="5" w:type="pct"/>
            <w:shd w:val="clear" w:color="auto" w:fill="auto"/>
            <w:vAlign w:val="bottom"/>
          </w:tcPr>
          <w:p w14:paraId="392C2E2F" w14:textId="77777777" w:rsidR="00980E5F" w:rsidRDefault="00980E5F">
            <w:pPr>
              <w:rPr>
                <w:rFonts w:ascii="宋体"/>
              </w:rPr>
            </w:pPr>
          </w:p>
        </w:tc>
        <w:tc>
          <w:tcPr>
            <w:tcW w:w="19" w:type="pct"/>
            <w:shd w:val="clear" w:color="auto" w:fill="auto"/>
            <w:vAlign w:val="bottom"/>
          </w:tcPr>
          <w:p w14:paraId="392C2E30" w14:textId="77777777" w:rsidR="00980E5F" w:rsidRDefault="00980E5F">
            <w:pPr>
              <w:rPr>
                <w:rFonts w:ascii="宋体"/>
              </w:rPr>
            </w:pPr>
          </w:p>
        </w:tc>
        <w:tc>
          <w:tcPr>
            <w:tcW w:w="5" w:type="pct"/>
            <w:shd w:val="clear" w:color="auto" w:fill="auto"/>
            <w:vAlign w:val="bottom"/>
          </w:tcPr>
          <w:p w14:paraId="392C2E31" w14:textId="77777777" w:rsidR="00980E5F" w:rsidRDefault="00980E5F">
            <w:pPr>
              <w:rPr>
                <w:rFonts w:ascii="宋体"/>
              </w:rPr>
            </w:pPr>
          </w:p>
        </w:tc>
        <w:tc>
          <w:tcPr>
            <w:tcW w:w="50" w:type="pct"/>
            <w:shd w:val="clear" w:color="auto" w:fill="auto"/>
            <w:vAlign w:val="bottom"/>
          </w:tcPr>
          <w:p w14:paraId="392C2E32" w14:textId="77777777" w:rsidR="00980E5F" w:rsidRDefault="00980E5F">
            <w:pPr>
              <w:rPr>
                <w:rFonts w:ascii="宋体"/>
              </w:rPr>
            </w:pPr>
          </w:p>
        </w:tc>
        <w:tc>
          <w:tcPr>
            <w:tcW w:w="610" w:type="pct"/>
            <w:shd w:val="clear" w:color="auto" w:fill="auto"/>
            <w:vAlign w:val="bottom"/>
          </w:tcPr>
          <w:p w14:paraId="392C2E33" w14:textId="77777777" w:rsidR="00980E5F" w:rsidRDefault="00980E5F">
            <w:pPr>
              <w:rPr>
                <w:rFonts w:ascii="宋体"/>
              </w:rPr>
            </w:pPr>
          </w:p>
        </w:tc>
        <w:tc>
          <w:tcPr>
            <w:tcW w:w="5" w:type="pct"/>
            <w:shd w:val="clear" w:color="auto" w:fill="auto"/>
            <w:vAlign w:val="bottom"/>
          </w:tcPr>
          <w:p w14:paraId="392C2E34" w14:textId="77777777" w:rsidR="00980E5F" w:rsidRDefault="00980E5F">
            <w:pPr>
              <w:rPr>
                <w:rFonts w:ascii="宋体"/>
              </w:rPr>
            </w:pPr>
          </w:p>
        </w:tc>
        <w:tc>
          <w:tcPr>
            <w:tcW w:w="5" w:type="pct"/>
            <w:shd w:val="clear" w:color="auto" w:fill="auto"/>
            <w:vAlign w:val="bottom"/>
          </w:tcPr>
          <w:p w14:paraId="392C2E35" w14:textId="77777777" w:rsidR="00980E5F" w:rsidRDefault="00980E5F">
            <w:pPr>
              <w:rPr>
                <w:rFonts w:ascii="宋体"/>
              </w:rPr>
            </w:pPr>
          </w:p>
        </w:tc>
        <w:tc>
          <w:tcPr>
            <w:tcW w:w="19" w:type="pct"/>
            <w:shd w:val="clear" w:color="auto" w:fill="auto"/>
            <w:vAlign w:val="bottom"/>
          </w:tcPr>
          <w:p w14:paraId="392C2E36" w14:textId="77777777" w:rsidR="00980E5F" w:rsidRDefault="00980E5F">
            <w:pPr>
              <w:rPr>
                <w:rFonts w:ascii="宋体"/>
              </w:rPr>
            </w:pPr>
          </w:p>
        </w:tc>
        <w:tc>
          <w:tcPr>
            <w:tcW w:w="5" w:type="pct"/>
            <w:shd w:val="clear" w:color="auto" w:fill="auto"/>
            <w:vAlign w:val="bottom"/>
          </w:tcPr>
          <w:p w14:paraId="392C2E37" w14:textId="77777777" w:rsidR="00980E5F" w:rsidRDefault="00980E5F">
            <w:pPr>
              <w:rPr>
                <w:rFonts w:ascii="宋体"/>
              </w:rPr>
            </w:pPr>
          </w:p>
        </w:tc>
        <w:tc>
          <w:tcPr>
            <w:tcW w:w="50" w:type="pct"/>
            <w:shd w:val="clear" w:color="auto" w:fill="auto"/>
            <w:vAlign w:val="bottom"/>
          </w:tcPr>
          <w:p w14:paraId="392C2E38" w14:textId="77777777" w:rsidR="00980E5F" w:rsidRDefault="00980E5F">
            <w:pPr>
              <w:rPr>
                <w:rFonts w:ascii="宋体"/>
              </w:rPr>
            </w:pPr>
          </w:p>
        </w:tc>
        <w:tc>
          <w:tcPr>
            <w:tcW w:w="610" w:type="pct"/>
            <w:shd w:val="clear" w:color="auto" w:fill="auto"/>
            <w:vAlign w:val="bottom"/>
          </w:tcPr>
          <w:p w14:paraId="392C2E39" w14:textId="77777777" w:rsidR="00980E5F" w:rsidRDefault="00980E5F">
            <w:pPr>
              <w:rPr>
                <w:rFonts w:ascii="宋体"/>
              </w:rPr>
            </w:pPr>
          </w:p>
        </w:tc>
        <w:tc>
          <w:tcPr>
            <w:tcW w:w="5" w:type="pct"/>
            <w:shd w:val="clear" w:color="auto" w:fill="auto"/>
            <w:vAlign w:val="bottom"/>
          </w:tcPr>
          <w:p w14:paraId="392C2E3A" w14:textId="77777777" w:rsidR="00980E5F" w:rsidRDefault="00980E5F">
            <w:pPr>
              <w:rPr>
                <w:rFonts w:ascii="宋体"/>
              </w:rPr>
            </w:pPr>
          </w:p>
        </w:tc>
        <w:tc>
          <w:tcPr>
            <w:tcW w:w="5" w:type="pct"/>
            <w:shd w:val="clear" w:color="auto" w:fill="auto"/>
            <w:vAlign w:val="bottom"/>
          </w:tcPr>
          <w:p w14:paraId="392C2E3B" w14:textId="77777777" w:rsidR="00980E5F" w:rsidRDefault="00980E5F">
            <w:pPr>
              <w:rPr>
                <w:rFonts w:ascii="宋体"/>
              </w:rPr>
            </w:pPr>
          </w:p>
        </w:tc>
        <w:tc>
          <w:tcPr>
            <w:tcW w:w="19" w:type="pct"/>
            <w:shd w:val="clear" w:color="auto" w:fill="auto"/>
            <w:vAlign w:val="bottom"/>
          </w:tcPr>
          <w:p w14:paraId="392C2E3C" w14:textId="77777777" w:rsidR="00980E5F" w:rsidRDefault="00980E5F">
            <w:pPr>
              <w:rPr>
                <w:rFonts w:ascii="宋体"/>
              </w:rPr>
            </w:pPr>
          </w:p>
        </w:tc>
        <w:tc>
          <w:tcPr>
            <w:tcW w:w="5" w:type="pct"/>
            <w:shd w:val="clear" w:color="auto" w:fill="auto"/>
            <w:vAlign w:val="bottom"/>
          </w:tcPr>
          <w:p w14:paraId="392C2E3D" w14:textId="77777777" w:rsidR="00980E5F" w:rsidRDefault="00980E5F">
            <w:pPr>
              <w:rPr>
                <w:rFonts w:ascii="宋体"/>
              </w:rPr>
            </w:pPr>
          </w:p>
        </w:tc>
        <w:tc>
          <w:tcPr>
            <w:tcW w:w="50" w:type="pct"/>
            <w:shd w:val="clear" w:color="auto" w:fill="auto"/>
            <w:vAlign w:val="bottom"/>
          </w:tcPr>
          <w:p w14:paraId="392C2E3E" w14:textId="77777777" w:rsidR="00980E5F" w:rsidRDefault="00980E5F">
            <w:pPr>
              <w:rPr>
                <w:rFonts w:ascii="宋体"/>
              </w:rPr>
            </w:pPr>
          </w:p>
        </w:tc>
        <w:tc>
          <w:tcPr>
            <w:tcW w:w="610" w:type="pct"/>
            <w:shd w:val="clear" w:color="auto" w:fill="auto"/>
            <w:vAlign w:val="bottom"/>
          </w:tcPr>
          <w:p w14:paraId="392C2E3F" w14:textId="77777777" w:rsidR="00980E5F" w:rsidRDefault="00980E5F">
            <w:pPr>
              <w:rPr>
                <w:rFonts w:ascii="宋体"/>
              </w:rPr>
            </w:pPr>
          </w:p>
        </w:tc>
        <w:tc>
          <w:tcPr>
            <w:tcW w:w="5" w:type="pct"/>
            <w:shd w:val="clear" w:color="auto" w:fill="auto"/>
            <w:vAlign w:val="bottom"/>
          </w:tcPr>
          <w:p w14:paraId="392C2E40" w14:textId="77777777" w:rsidR="00980E5F" w:rsidRDefault="00980E5F">
            <w:pPr>
              <w:rPr>
                <w:rFonts w:ascii="宋体"/>
              </w:rPr>
            </w:pPr>
          </w:p>
        </w:tc>
        <w:tc>
          <w:tcPr>
            <w:tcW w:w="0" w:type="auto"/>
            <w:shd w:val="clear" w:color="auto" w:fill="auto"/>
            <w:vAlign w:val="bottom"/>
          </w:tcPr>
          <w:p w14:paraId="392C2E41" w14:textId="77777777" w:rsidR="00980E5F" w:rsidRDefault="00980E5F">
            <w:pPr>
              <w:rPr>
                <w:rFonts w:ascii="宋体"/>
                <w:vanish/>
              </w:rPr>
            </w:pPr>
          </w:p>
        </w:tc>
        <w:tc>
          <w:tcPr>
            <w:tcW w:w="0" w:type="auto"/>
            <w:shd w:val="clear" w:color="auto" w:fill="auto"/>
            <w:vAlign w:val="bottom"/>
          </w:tcPr>
          <w:p w14:paraId="392C2E42" w14:textId="77777777" w:rsidR="00980E5F" w:rsidRDefault="00980E5F">
            <w:pPr>
              <w:rPr>
                <w:rFonts w:ascii="宋体"/>
                <w:vanish/>
              </w:rPr>
            </w:pPr>
          </w:p>
        </w:tc>
      </w:tr>
      <w:tr w:rsidR="00980E5F" w14:paraId="392C2E4A" w14:textId="77777777">
        <w:tc>
          <w:tcPr>
            <w:tcW w:w="0" w:type="auto"/>
            <w:gridSpan w:val="3"/>
            <w:shd w:val="clear" w:color="auto" w:fill="auto"/>
            <w:tcMar>
              <w:top w:w="0" w:type="dxa"/>
              <w:left w:w="20" w:type="dxa"/>
              <w:bottom w:w="0" w:type="dxa"/>
              <w:right w:w="20" w:type="dxa"/>
            </w:tcMar>
            <w:vAlign w:val="bottom"/>
          </w:tcPr>
          <w:p w14:paraId="392C2E44"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2E45" w14:textId="77777777" w:rsidR="00980E5F" w:rsidRDefault="00483613">
            <w:pPr>
              <w:jc w:val="center"/>
              <w:textAlignment w:val="bottom"/>
            </w:pPr>
            <w:r>
              <w:rPr>
                <w:rFonts w:ascii="Arial" w:eastAsia="宋体" w:hAnsi="Arial" w:cs="Arial"/>
                <w:b/>
                <w:bCs/>
                <w:color w:val="000000"/>
                <w:sz w:val="18"/>
                <w:szCs w:val="18"/>
              </w:rPr>
              <w:t>Three Months Ended June 30,</w:t>
            </w:r>
          </w:p>
        </w:tc>
        <w:tc>
          <w:tcPr>
            <w:tcW w:w="0" w:type="auto"/>
            <w:gridSpan w:val="3"/>
            <w:shd w:val="clear" w:color="auto" w:fill="auto"/>
            <w:tcMar>
              <w:top w:w="0" w:type="dxa"/>
              <w:left w:w="20" w:type="dxa"/>
              <w:bottom w:w="0" w:type="dxa"/>
              <w:right w:w="20" w:type="dxa"/>
            </w:tcMar>
            <w:vAlign w:val="bottom"/>
          </w:tcPr>
          <w:p w14:paraId="392C2E4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2E47" w14:textId="77777777" w:rsidR="00980E5F" w:rsidRDefault="00483613">
            <w:pPr>
              <w:jc w:val="center"/>
              <w:textAlignment w:val="bottom"/>
            </w:pPr>
            <w:r>
              <w:rPr>
                <w:rFonts w:ascii="Arial" w:eastAsia="宋体" w:hAnsi="Arial" w:cs="Arial"/>
                <w:b/>
                <w:bCs/>
                <w:color w:val="000000"/>
                <w:sz w:val="18"/>
                <w:szCs w:val="18"/>
              </w:rPr>
              <w:t>Six Months Ended June 30,</w:t>
            </w:r>
          </w:p>
        </w:tc>
        <w:tc>
          <w:tcPr>
            <w:tcW w:w="0" w:type="auto"/>
            <w:shd w:val="clear" w:color="auto" w:fill="auto"/>
            <w:vAlign w:val="bottom"/>
          </w:tcPr>
          <w:p w14:paraId="392C2E48" w14:textId="77777777" w:rsidR="00980E5F" w:rsidRDefault="00980E5F">
            <w:pPr>
              <w:rPr>
                <w:rFonts w:ascii="宋体"/>
                <w:vanish/>
              </w:rPr>
            </w:pPr>
          </w:p>
        </w:tc>
        <w:tc>
          <w:tcPr>
            <w:tcW w:w="0" w:type="auto"/>
            <w:shd w:val="clear" w:color="auto" w:fill="auto"/>
            <w:vAlign w:val="bottom"/>
          </w:tcPr>
          <w:p w14:paraId="392C2E49" w14:textId="77777777" w:rsidR="00980E5F" w:rsidRDefault="00980E5F">
            <w:pPr>
              <w:rPr>
                <w:rFonts w:ascii="宋体"/>
                <w:vanish/>
              </w:rPr>
            </w:pPr>
          </w:p>
        </w:tc>
      </w:tr>
      <w:tr w:rsidR="00980E5F" w14:paraId="392C2E55" w14:textId="77777777">
        <w:tc>
          <w:tcPr>
            <w:tcW w:w="0" w:type="auto"/>
            <w:gridSpan w:val="3"/>
            <w:shd w:val="clear" w:color="auto" w:fill="auto"/>
            <w:tcMar>
              <w:top w:w="40" w:type="dxa"/>
              <w:left w:w="20" w:type="dxa"/>
              <w:bottom w:w="40" w:type="dxa"/>
              <w:right w:w="20" w:type="dxa"/>
            </w:tcMar>
            <w:vAlign w:val="bottom"/>
          </w:tcPr>
          <w:p w14:paraId="392C2E4B" w14:textId="77777777" w:rsidR="00980E5F" w:rsidRDefault="00483613">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E4C" w14:textId="77777777" w:rsidR="00980E5F" w:rsidRDefault="00483613">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4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E4E" w14:textId="77777777" w:rsidR="00980E5F" w:rsidRDefault="00483613">
            <w:pPr>
              <w:jc w:val="center"/>
              <w:textAlignment w:val="bottom"/>
            </w:pPr>
            <w:r>
              <w:rPr>
                <w:rFonts w:ascii="Arial" w:eastAsia="宋体" w:hAnsi="Arial" w:cs="Arial"/>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392C2E4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E50" w14:textId="77777777" w:rsidR="00980E5F" w:rsidRDefault="00483613">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5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2E52" w14:textId="77777777" w:rsidR="00980E5F" w:rsidRDefault="00483613">
            <w:pPr>
              <w:jc w:val="center"/>
              <w:textAlignment w:val="bottom"/>
            </w:pPr>
            <w:r>
              <w:rPr>
                <w:rFonts w:ascii="Arial" w:eastAsia="宋体" w:hAnsi="Arial" w:cs="Arial"/>
                <w:b/>
                <w:bCs/>
                <w:color w:val="000000"/>
                <w:sz w:val="18"/>
                <w:szCs w:val="18"/>
              </w:rPr>
              <w:t>2021</w:t>
            </w:r>
          </w:p>
        </w:tc>
        <w:tc>
          <w:tcPr>
            <w:tcW w:w="0" w:type="auto"/>
            <w:shd w:val="clear" w:color="auto" w:fill="auto"/>
            <w:vAlign w:val="bottom"/>
          </w:tcPr>
          <w:p w14:paraId="392C2E53" w14:textId="77777777" w:rsidR="00980E5F" w:rsidRDefault="00980E5F">
            <w:pPr>
              <w:rPr>
                <w:rFonts w:ascii="宋体"/>
                <w:vanish/>
              </w:rPr>
            </w:pPr>
          </w:p>
        </w:tc>
        <w:tc>
          <w:tcPr>
            <w:tcW w:w="0" w:type="auto"/>
            <w:shd w:val="clear" w:color="auto" w:fill="auto"/>
            <w:vAlign w:val="bottom"/>
          </w:tcPr>
          <w:p w14:paraId="392C2E54" w14:textId="77777777" w:rsidR="00980E5F" w:rsidRDefault="00980E5F">
            <w:pPr>
              <w:rPr>
                <w:rFonts w:ascii="宋体"/>
                <w:vanish/>
              </w:rPr>
            </w:pPr>
          </w:p>
        </w:tc>
      </w:tr>
      <w:tr w:rsidR="00980E5F" w14:paraId="392C2E60" w14:textId="77777777">
        <w:tc>
          <w:tcPr>
            <w:tcW w:w="0" w:type="auto"/>
            <w:gridSpan w:val="3"/>
            <w:shd w:val="clear" w:color="auto" w:fill="auto"/>
            <w:tcMar>
              <w:top w:w="40" w:type="dxa"/>
              <w:left w:w="20" w:type="dxa"/>
              <w:bottom w:w="40" w:type="dxa"/>
              <w:right w:w="20" w:type="dxa"/>
            </w:tcMar>
            <w:vAlign w:val="bottom"/>
          </w:tcPr>
          <w:p w14:paraId="392C2E56" w14:textId="77777777" w:rsidR="00980E5F" w:rsidRDefault="00483613">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5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E5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E5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2E5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2E5D" w14:textId="77777777" w:rsidR="00980E5F" w:rsidRDefault="00980E5F">
            <w:pPr>
              <w:rPr>
                <w:rFonts w:ascii="宋体"/>
              </w:rPr>
            </w:pPr>
          </w:p>
        </w:tc>
        <w:tc>
          <w:tcPr>
            <w:tcW w:w="0" w:type="auto"/>
            <w:shd w:val="clear" w:color="auto" w:fill="auto"/>
            <w:vAlign w:val="bottom"/>
          </w:tcPr>
          <w:p w14:paraId="392C2E5E" w14:textId="77777777" w:rsidR="00980E5F" w:rsidRDefault="00980E5F">
            <w:pPr>
              <w:rPr>
                <w:rFonts w:ascii="宋体"/>
                <w:vanish/>
              </w:rPr>
            </w:pPr>
          </w:p>
        </w:tc>
        <w:tc>
          <w:tcPr>
            <w:tcW w:w="0" w:type="auto"/>
            <w:shd w:val="clear" w:color="auto" w:fill="auto"/>
            <w:vAlign w:val="bottom"/>
          </w:tcPr>
          <w:p w14:paraId="392C2E5F" w14:textId="77777777" w:rsidR="00980E5F" w:rsidRDefault="00980E5F">
            <w:pPr>
              <w:rPr>
                <w:rFonts w:ascii="宋体"/>
                <w:vanish/>
              </w:rPr>
            </w:pPr>
          </w:p>
        </w:tc>
      </w:tr>
      <w:tr w:rsidR="00980E5F" w14:paraId="392C2E6B" w14:textId="77777777">
        <w:trPr>
          <w:hidden/>
        </w:trPr>
        <w:tc>
          <w:tcPr>
            <w:tcW w:w="0" w:type="auto"/>
            <w:gridSpan w:val="3"/>
            <w:shd w:val="clear" w:color="auto" w:fill="auto"/>
            <w:vAlign w:val="bottom"/>
          </w:tcPr>
          <w:p w14:paraId="392C2E61" w14:textId="77777777" w:rsidR="00980E5F" w:rsidRDefault="00980E5F">
            <w:pPr>
              <w:rPr>
                <w:rFonts w:ascii="宋体"/>
                <w:vanish/>
              </w:rPr>
            </w:pPr>
          </w:p>
        </w:tc>
        <w:tc>
          <w:tcPr>
            <w:tcW w:w="0" w:type="auto"/>
            <w:gridSpan w:val="3"/>
            <w:shd w:val="clear" w:color="auto" w:fill="auto"/>
            <w:vAlign w:val="bottom"/>
          </w:tcPr>
          <w:p w14:paraId="392C2E62" w14:textId="77777777" w:rsidR="00980E5F" w:rsidRDefault="00980E5F">
            <w:pPr>
              <w:rPr>
                <w:rFonts w:ascii="宋体"/>
                <w:vanish/>
              </w:rPr>
            </w:pPr>
          </w:p>
        </w:tc>
        <w:tc>
          <w:tcPr>
            <w:tcW w:w="0" w:type="auto"/>
            <w:gridSpan w:val="3"/>
            <w:shd w:val="clear" w:color="auto" w:fill="auto"/>
            <w:vAlign w:val="bottom"/>
          </w:tcPr>
          <w:p w14:paraId="392C2E63" w14:textId="77777777" w:rsidR="00980E5F" w:rsidRDefault="00980E5F">
            <w:pPr>
              <w:rPr>
                <w:rFonts w:ascii="宋体"/>
                <w:vanish/>
              </w:rPr>
            </w:pPr>
          </w:p>
        </w:tc>
        <w:tc>
          <w:tcPr>
            <w:tcW w:w="0" w:type="auto"/>
            <w:gridSpan w:val="3"/>
            <w:shd w:val="clear" w:color="auto" w:fill="auto"/>
            <w:vAlign w:val="bottom"/>
          </w:tcPr>
          <w:p w14:paraId="392C2E64" w14:textId="77777777" w:rsidR="00980E5F" w:rsidRDefault="00980E5F">
            <w:pPr>
              <w:rPr>
                <w:rFonts w:ascii="宋体"/>
                <w:vanish/>
              </w:rPr>
            </w:pPr>
          </w:p>
        </w:tc>
        <w:tc>
          <w:tcPr>
            <w:tcW w:w="0" w:type="auto"/>
            <w:gridSpan w:val="3"/>
            <w:shd w:val="clear" w:color="auto" w:fill="auto"/>
            <w:vAlign w:val="bottom"/>
          </w:tcPr>
          <w:p w14:paraId="392C2E65" w14:textId="77777777" w:rsidR="00980E5F" w:rsidRDefault="00980E5F">
            <w:pPr>
              <w:rPr>
                <w:rFonts w:ascii="宋体"/>
                <w:vanish/>
              </w:rPr>
            </w:pPr>
          </w:p>
        </w:tc>
        <w:tc>
          <w:tcPr>
            <w:tcW w:w="0" w:type="auto"/>
            <w:gridSpan w:val="3"/>
            <w:shd w:val="clear" w:color="auto" w:fill="auto"/>
            <w:vAlign w:val="bottom"/>
          </w:tcPr>
          <w:p w14:paraId="392C2E66" w14:textId="77777777" w:rsidR="00980E5F" w:rsidRDefault="00980E5F">
            <w:pPr>
              <w:rPr>
                <w:rFonts w:ascii="宋体"/>
                <w:vanish/>
              </w:rPr>
            </w:pPr>
          </w:p>
        </w:tc>
        <w:tc>
          <w:tcPr>
            <w:tcW w:w="0" w:type="auto"/>
            <w:gridSpan w:val="3"/>
            <w:shd w:val="clear" w:color="auto" w:fill="auto"/>
            <w:vAlign w:val="bottom"/>
          </w:tcPr>
          <w:p w14:paraId="392C2E67" w14:textId="77777777" w:rsidR="00980E5F" w:rsidRDefault="00980E5F">
            <w:pPr>
              <w:rPr>
                <w:rFonts w:ascii="宋体"/>
                <w:vanish/>
              </w:rPr>
            </w:pPr>
          </w:p>
        </w:tc>
        <w:tc>
          <w:tcPr>
            <w:tcW w:w="0" w:type="auto"/>
            <w:gridSpan w:val="3"/>
            <w:shd w:val="clear" w:color="auto" w:fill="auto"/>
            <w:vAlign w:val="bottom"/>
          </w:tcPr>
          <w:p w14:paraId="392C2E68" w14:textId="77777777" w:rsidR="00980E5F" w:rsidRDefault="00980E5F">
            <w:pPr>
              <w:rPr>
                <w:rFonts w:ascii="宋体"/>
                <w:vanish/>
              </w:rPr>
            </w:pPr>
          </w:p>
        </w:tc>
        <w:tc>
          <w:tcPr>
            <w:tcW w:w="0" w:type="auto"/>
            <w:shd w:val="clear" w:color="auto" w:fill="auto"/>
            <w:vAlign w:val="bottom"/>
          </w:tcPr>
          <w:p w14:paraId="392C2E69" w14:textId="77777777" w:rsidR="00980E5F" w:rsidRDefault="00980E5F">
            <w:pPr>
              <w:rPr>
                <w:rFonts w:ascii="宋体"/>
                <w:vanish/>
              </w:rPr>
            </w:pPr>
          </w:p>
        </w:tc>
        <w:tc>
          <w:tcPr>
            <w:tcW w:w="0" w:type="auto"/>
            <w:shd w:val="clear" w:color="auto" w:fill="auto"/>
            <w:vAlign w:val="bottom"/>
          </w:tcPr>
          <w:p w14:paraId="392C2E6A" w14:textId="77777777" w:rsidR="00980E5F" w:rsidRDefault="00980E5F">
            <w:pPr>
              <w:rPr>
                <w:rFonts w:ascii="宋体"/>
                <w:vanish/>
              </w:rPr>
            </w:pPr>
          </w:p>
        </w:tc>
      </w:tr>
      <w:tr w:rsidR="00980E5F" w14:paraId="392C2E76" w14:textId="77777777">
        <w:trPr>
          <w:hidden/>
        </w:trPr>
        <w:tc>
          <w:tcPr>
            <w:tcW w:w="0" w:type="auto"/>
            <w:gridSpan w:val="3"/>
            <w:shd w:val="clear" w:color="auto" w:fill="auto"/>
            <w:vAlign w:val="bottom"/>
          </w:tcPr>
          <w:p w14:paraId="392C2E6C" w14:textId="77777777" w:rsidR="00980E5F" w:rsidRDefault="00980E5F">
            <w:pPr>
              <w:rPr>
                <w:rFonts w:ascii="宋体"/>
                <w:vanish/>
              </w:rPr>
            </w:pPr>
          </w:p>
        </w:tc>
        <w:tc>
          <w:tcPr>
            <w:tcW w:w="0" w:type="auto"/>
            <w:gridSpan w:val="3"/>
            <w:shd w:val="clear" w:color="auto" w:fill="auto"/>
            <w:vAlign w:val="bottom"/>
          </w:tcPr>
          <w:p w14:paraId="392C2E6D" w14:textId="77777777" w:rsidR="00980E5F" w:rsidRDefault="00980E5F">
            <w:pPr>
              <w:rPr>
                <w:rFonts w:ascii="宋体"/>
                <w:vanish/>
              </w:rPr>
            </w:pPr>
          </w:p>
        </w:tc>
        <w:tc>
          <w:tcPr>
            <w:tcW w:w="0" w:type="auto"/>
            <w:gridSpan w:val="3"/>
            <w:shd w:val="clear" w:color="auto" w:fill="auto"/>
            <w:vAlign w:val="bottom"/>
          </w:tcPr>
          <w:p w14:paraId="392C2E6E" w14:textId="77777777" w:rsidR="00980E5F" w:rsidRDefault="00980E5F">
            <w:pPr>
              <w:rPr>
                <w:rFonts w:ascii="宋体"/>
                <w:vanish/>
              </w:rPr>
            </w:pPr>
          </w:p>
        </w:tc>
        <w:tc>
          <w:tcPr>
            <w:tcW w:w="0" w:type="auto"/>
            <w:gridSpan w:val="3"/>
            <w:shd w:val="clear" w:color="auto" w:fill="auto"/>
            <w:vAlign w:val="bottom"/>
          </w:tcPr>
          <w:p w14:paraId="392C2E6F" w14:textId="77777777" w:rsidR="00980E5F" w:rsidRDefault="00980E5F">
            <w:pPr>
              <w:rPr>
                <w:rFonts w:ascii="宋体"/>
                <w:vanish/>
              </w:rPr>
            </w:pPr>
          </w:p>
        </w:tc>
        <w:tc>
          <w:tcPr>
            <w:tcW w:w="0" w:type="auto"/>
            <w:gridSpan w:val="3"/>
            <w:shd w:val="clear" w:color="auto" w:fill="auto"/>
            <w:vAlign w:val="bottom"/>
          </w:tcPr>
          <w:p w14:paraId="392C2E70" w14:textId="77777777" w:rsidR="00980E5F" w:rsidRDefault="00980E5F">
            <w:pPr>
              <w:rPr>
                <w:rFonts w:ascii="宋体"/>
                <w:vanish/>
              </w:rPr>
            </w:pPr>
          </w:p>
        </w:tc>
        <w:tc>
          <w:tcPr>
            <w:tcW w:w="0" w:type="auto"/>
            <w:gridSpan w:val="3"/>
            <w:shd w:val="clear" w:color="auto" w:fill="auto"/>
            <w:vAlign w:val="bottom"/>
          </w:tcPr>
          <w:p w14:paraId="392C2E71" w14:textId="77777777" w:rsidR="00980E5F" w:rsidRDefault="00980E5F">
            <w:pPr>
              <w:rPr>
                <w:rFonts w:ascii="宋体"/>
                <w:vanish/>
              </w:rPr>
            </w:pPr>
          </w:p>
        </w:tc>
        <w:tc>
          <w:tcPr>
            <w:tcW w:w="0" w:type="auto"/>
            <w:gridSpan w:val="3"/>
            <w:shd w:val="clear" w:color="auto" w:fill="auto"/>
            <w:vAlign w:val="bottom"/>
          </w:tcPr>
          <w:p w14:paraId="392C2E72" w14:textId="77777777" w:rsidR="00980E5F" w:rsidRDefault="00980E5F">
            <w:pPr>
              <w:rPr>
                <w:rFonts w:ascii="宋体"/>
                <w:vanish/>
              </w:rPr>
            </w:pPr>
          </w:p>
        </w:tc>
        <w:tc>
          <w:tcPr>
            <w:tcW w:w="0" w:type="auto"/>
            <w:gridSpan w:val="3"/>
            <w:shd w:val="clear" w:color="auto" w:fill="auto"/>
            <w:vAlign w:val="bottom"/>
          </w:tcPr>
          <w:p w14:paraId="392C2E73" w14:textId="77777777" w:rsidR="00980E5F" w:rsidRDefault="00980E5F">
            <w:pPr>
              <w:rPr>
                <w:rFonts w:ascii="宋体"/>
                <w:vanish/>
              </w:rPr>
            </w:pPr>
          </w:p>
        </w:tc>
        <w:tc>
          <w:tcPr>
            <w:tcW w:w="0" w:type="auto"/>
            <w:shd w:val="clear" w:color="auto" w:fill="auto"/>
            <w:vAlign w:val="bottom"/>
          </w:tcPr>
          <w:p w14:paraId="392C2E74" w14:textId="77777777" w:rsidR="00980E5F" w:rsidRDefault="00980E5F">
            <w:pPr>
              <w:rPr>
                <w:rFonts w:ascii="宋体"/>
                <w:vanish/>
              </w:rPr>
            </w:pPr>
          </w:p>
        </w:tc>
        <w:tc>
          <w:tcPr>
            <w:tcW w:w="0" w:type="auto"/>
            <w:shd w:val="clear" w:color="auto" w:fill="auto"/>
            <w:vAlign w:val="bottom"/>
          </w:tcPr>
          <w:p w14:paraId="392C2E75" w14:textId="77777777" w:rsidR="00980E5F" w:rsidRDefault="00980E5F">
            <w:pPr>
              <w:rPr>
                <w:rFonts w:ascii="宋体"/>
                <w:vanish/>
              </w:rPr>
            </w:pPr>
          </w:p>
        </w:tc>
      </w:tr>
      <w:tr w:rsidR="00980E5F" w14:paraId="392C2E89" w14:textId="77777777">
        <w:tc>
          <w:tcPr>
            <w:tcW w:w="0" w:type="auto"/>
            <w:gridSpan w:val="3"/>
            <w:shd w:val="clear" w:color="auto" w:fill="CCEEFF"/>
            <w:tcMar>
              <w:top w:w="40" w:type="dxa"/>
              <w:left w:w="20" w:type="dxa"/>
              <w:bottom w:w="40" w:type="dxa"/>
              <w:right w:w="20" w:type="dxa"/>
            </w:tcMar>
            <w:vAlign w:val="bottom"/>
          </w:tcPr>
          <w:p w14:paraId="392C2E77" w14:textId="77777777" w:rsidR="00980E5F" w:rsidRDefault="00483613">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392C2E78"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92C2E79" w14:textId="77777777" w:rsidR="00980E5F" w:rsidRDefault="00483613">
            <w:pPr>
              <w:jc w:val="right"/>
              <w:textAlignment w:val="bottom"/>
            </w:pPr>
            <w:r>
              <w:rPr>
                <w:rFonts w:ascii="Arial" w:eastAsia="宋体" w:hAnsi="Arial" w:cs="Arial"/>
                <w:b/>
                <w:bCs/>
                <w:color w:val="000000"/>
                <w:sz w:val="18"/>
                <w:szCs w:val="18"/>
              </w:rPr>
              <w:t>1,297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7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E7C" w14:textId="77777777" w:rsidR="00980E5F" w:rsidRDefault="004836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92C2E7D" w14:textId="77777777" w:rsidR="00980E5F" w:rsidRDefault="00483613">
            <w:pPr>
              <w:jc w:val="right"/>
              <w:textAlignment w:val="bottom"/>
            </w:pPr>
            <w:r>
              <w:rPr>
                <w:rFonts w:ascii="Arial" w:eastAsia="宋体" w:hAnsi="Arial" w:cs="Arial"/>
                <w:color w:val="000000"/>
                <w:sz w:val="18"/>
                <w:szCs w:val="18"/>
              </w:rPr>
              <w:t>1,394 </w:t>
            </w:r>
          </w:p>
        </w:tc>
        <w:tc>
          <w:tcPr>
            <w:tcW w:w="0" w:type="auto"/>
            <w:shd w:val="clear" w:color="auto" w:fill="CCEEFF"/>
            <w:tcMar>
              <w:top w:w="40" w:type="dxa"/>
              <w:left w:w="0" w:type="dxa"/>
              <w:bottom w:w="40" w:type="dxa"/>
              <w:right w:w="20" w:type="dxa"/>
            </w:tcMar>
            <w:vAlign w:val="bottom"/>
          </w:tcPr>
          <w:p w14:paraId="392C2E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7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E80"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92C2E81" w14:textId="77777777" w:rsidR="00980E5F" w:rsidRDefault="00483613">
            <w:pPr>
              <w:jc w:val="right"/>
              <w:textAlignment w:val="bottom"/>
            </w:pPr>
            <w:r>
              <w:rPr>
                <w:rFonts w:ascii="Arial" w:eastAsia="宋体" w:hAnsi="Arial" w:cs="Arial"/>
                <w:b/>
                <w:bCs/>
                <w:color w:val="000000"/>
                <w:sz w:val="18"/>
                <w:szCs w:val="18"/>
              </w:rPr>
              <w:t>2,665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8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2E84" w14:textId="77777777" w:rsidR="00980E5F" w:rsidRDefault="004836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92C2E85" w14:textId="77777777" w:rsidR="00980E5F" w:rsidRDefault="00483613">
            <w:pPr>
              <w:jc w:val="right"/>
              <w:textAlignment w:val="bottom"/>
            </w:pPr>
            <w:r>
              <w:rPr>
                <w:rFonts w:ascii="Arial" w:eastAsia="宋体" w:hAnsi="Arial" w:cs="Arial"/>
                <w:color w:val="000000"/>
                <w:sz w:val="18"/>
                <w:szCs w:val="18"/>
              </w:rPr>
              <w:t>2,763 </w:t>
            </w:r>
          </w:p>
        </w:tc>
        <w:tc>
          <w:tcPr>
            <w:tcW w:w="0" w:type="auto"/>
            <w:shd w:val="clear" w:color="auto" w:fill="CCEEFF"/>
            <w:tcMar>
              <w:top w:w="40" w:type="dxa"/>
              <w:left w:w="0" w:type="dxa"/>
              <w:bottom w:w="40" w:type="dxa"/>
              <w:right w:w="20" w:type="dxa"/>
            </w:tcMar>
            <w:vAlign w:val="bottom"/>
          </w:tcPr>
          <w:p w14:paraId="392C2E86" w14:textId="77777777" w:rsidR="00980E5F" w:rsidRDefault="00980E5F">
            <w:pPr>
              <w:jc w:val="right"/>
              <w:rPr>
                <w:rFonts w:ascii="宋体"/>
              </w:rPr>
            </w:pPr>
          </w:p>
        </w:tc>
        <w:tc>
          <w:tcPr>
            <w:tcW w:w="0" w:type="auto"/>
            <w:shd w:val="clear" w:color="auto" w:fill="auto"/>
            <w:vAlign w:val="bottom"/>
          </w:tcPr>
          <w:p w14:paraId="392C2E87" w14:textId="77777777" w:rsidR="00980E5F" w:rsidRDefault="00980E5F">
            <w:pPr>
              <w:rPr>
                <w:rFonts w:ascii="宋体"/>
                <w:vanish/>
              </w:rPr>
            </w:pPr>
          </w:p>
        </w:tc>
        <w:tc>
          <w:tcPr>
            <w:tcW w:w="0" w:type="auto"/>
            <w:shd w:val="clear" w:color="auto" w:fill="auto"/>
            <w:vAlign w:val="bottom"/>
          </w:tcPr>
          <w:p w14:paraId="392C2E88" w14:textId="77777777" w:rsidR="00980E5F" w:rsidRDefault="00980E5F">
            <w:pPr>
              <w:rPr>
                <w:rFonts w:ascii="宋体"/>
                <w:vanish/>
              </w:rPr>
            </w:pPr>
          </w:p>
        </w:tc>
      </w:tr>
      <w:tr w:rsidR="00980E5F" w14:paraId="392C2E98" w14:textId="77777777">
        <w:tc>
          <w:tcPr>
            <w:tcW w:w="0" w:type="auto"/>
            <w:gridSpan w:val="3"/>
            <w:shd w:val="clear" w:color="auto" w:fill="FFFFFF"/>
            <w:tcMar>
              <w:top w:w="40" w:type="dxa"/>
              <w:left w:w="20" w:type="dxa"/>
              <w:bottom w:w="40" w:type="dxa"/>
              <w:right w:w="20" w:type="dxa"/>
            </w:tcMar>
            <w:vAlign w:val="bottom"/>
          </w:tcPr>
          <w:p w14:paraId="392C2E8A" w14:textId="77777777" w:rsidR="00980E5F" w:rsidRDefault="00483613">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392C2E8B" w14:textId="77777777" w:rsidR="00980E5F" w:rsidRDefault="00483613">
            <w:pPr>
              <w:jc w:val="right"/>
              <w:textAlignment w:val="bottom"/>
            </w:pPr>
            <w:r>
              <w:rPr>
                <w:rFonts w:ascii="Arial" w:eastAsia="宋体" w:hAnsi="Arial" w:cs="Arial"/>
                <w:b/>
                <w:bCs/>
                <w:color w:val="000000"/>
                <w:sz w:val="18"/>
                <w:szCs w:val="18"/>
              </w:rPr>
              <w:t>490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E8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8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8E" w14:textId="77777777" w:rsidR="00980E5F" w:rsidRDefault="00483613">
            <w:pPr>
              <w:jc w:val="right"/>
              <w:textAlignment w:val="bottom"/>
            </w:pPr>
            <w:r>
              <w:rPr>
                <w:rFonts w:ascii="Arial" w:eastAsia="宋体" w:hAnsi="Arial" w:cs="Arial"/>
                <w:color w:val="000000"/>
                <w:sz w:val="18"/>
                <w:szCs w:val="18"/>
              </w:rPr>
              <w:t>504 </w:t>
            </w:r>
          </w:p>
        </w:tc>
        <w:tc>
          <w:tcPr>
            <w:tcW w:w="0" w:type="auto"/>
            <w:shd w:val="clear" w:color="auto" w:fill="FFFFFF"/>
            <w:tcMar>
              <w:top w:w="40" w:type="dxa"/>
              <w:left w:w="0" w:type="dxa"/>
              <w:bottom w:w="40" w:type="dxa"/>
              <w:right w:w="20" w:type="dxa"/>
            </w:tcMar>
            <w:vAlign w:val="bottom"/>
          </w:tcPr>
          <w:p w14:paraId="392C2E8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9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91" w14:textId="77777777" w:rsidR="00980E5F" w:rsidRDefault="00483613">
            <w:pPr>
              <w:jc w:val="right"/>
              <w:textAlignment w:val="bottom"/>
            </w:pPr>
            <w:r>
              <w:rPr>
                <w:rFonts w:ascii="Arial" w:eastAsia="宋体" w:hAnsi="Arial" w:cs="Arial"/>
                <w:b/>
                <w:bCs/>
                <w:color w:val="000000"/>
                <w:sz w:val="18"/>
                <w:szCs w:val="18"/>
              </w:rPr>
              <w:t>1,010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E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94" w14:textId="77777777" w:rsidR="00980E5F" w:rsidRDefault="00483613">
            <w:pPr>
              <w:jc w:val="right"/>
              <w:textAlignment w:val="bottom"/>
            </w:pPr>
            <w:r>
              <w:rPr>
                <w:rFonts w:ascii="Arial" w:eastAsia="宋体" w:hAnsi="Arial" w:cs="Arial"/>
                <w:color w:val="000000"/>
                <w:sz w:val="18"/>
                <w:szCs w:val="18"/>
              </w:rPr>
              <w:t>997 </w:t>
            </w:r>
          </w:p>
        </w:tc>
        <w:tc>
          <w:tcPr>
            <w:tcW w:w="0" w:type="auto"/>
            <w:shd w:val="clear" w:color="auto" w:fill="FFFFFF"/>
            <w:tcMar>
              <w:top w:w="40" w:type="dxa"/>
              <w:left w:w="0" w:type="dxa"/>
              <w:bottom w:w="40" w:type="dxa"/>
              <w:right w:w="20" w:type="dxa"/>
            </w:tcMar>
            <w:vAlign w:val="bottom"/>
          </w:tcPr>
          <w:p w14:paraId="392C2E95" w14:textId="77777777" w:rsidR="00980E5F" w:rsidRDefault="00980E5F">
            <w:pPr>
              <w:jc w:val="right"/>
              <w:rPr>
                <w:rFonts w:ascii="宋体"/>
              </w:rPr>
            </w:pPr>
          </w:p>
        </w:tc>
        <w:tc>
          <w:tcPr>
            <w:tcW w:w="0" w:type="auto"/>
            <w:shd w:val="clear" w:color="auto" w:fill="auto"/>
            <w:vAlign w:val="bottom"/>
          </w:tcPr>
          <w:p w14:paraId="392C2E96" w14:textId="77777777" w:rsidR="00980E5F" w:rsidRDefault="00980E5F">
            <w:pPr>
              <w:rPr>
                <w:rFonts w:ascii="宋体"/>
                <w:vanish/>
              </w:rPr>
            </w:pPr>
          </w:p>
        </w:tc>
        <w:tc>
          <w:tcPr>
            <w:tcW w:w="0" w:type="auto"/>
            <w:shd w:val="clear" w:color="auto" w:fill="auto"/>
            <w:vAlign w:val="bottom"/>
          </w:tcPr>
          <w:p w14:paraId="392C2E97" w14:textId="77777777" w:rsidR="00980E5F" w:rsidRDefault="00980E5F">
            <w:pPr>
              <w:rPr>
                <w:rFonts w:ascii="宋体"/>
                <w:vanish/>
              </w:rPr>
            </w:pPr>
          </w:p>
        </w:tc>
      </w:tr>
      <w:tr w:rsidR="00980E5F" w14:paraId="392C2EA7" w14:textId="77777777">
        <w:tc>
          <w:tcPr>
            <w:tcW w:w="0" w:type="auto"/>
            <w:gridSpan w:val="3"/>
            <w:shd w:val="clear" w:color="auto" w:fill="CCEEFF"/>
            <w:tcMar>
              <w:top w:w="40" w:type="dxa"/>
              <w:left w:w="20" w:type="dxa"/>
              <w:bottom w:w="40" w:type="dxa"/>
              <w:right w:w="20" w:type="dxa"/>
            </w:tcMar>
            <w:vAlign w:val="bottom"/>
          </w:tcPr>
          <w:p w14:paraId="392C2E99" w14:textId="77777777" w:rsidR="00980E5F" w:rsidRDefault="00483613">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392C2E9A" w14:textId="77777777" w:rsidR="00980E5F" w:rsidRDefault="00483613">
            <w:pPr>
              <w:jc w:val="right"/>
              <w:textAlignment w:val="bottom"/>
            </w:pPr>
            <w:r>
              <w:rPr>
                <w:rFonts w:ascii="Arial" w:eastAsia="宋体" w:hAnsi="Arial" w:cs="Arial"/>
                <w:b/>
                <w:bCs/>
                <w:color w:val="000000"/>
                <w:sz w:val="18"/>
                <w:szCs w:val="18"/>
              </w:rPr>
              <w:t>331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9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9D" w14:textId="77777777" w:rsidR="00980E5F" w:rsidRDefault="00483613">
            <w:pPr>
              <w:jc w:val="right"/>
              <w:textAlignment w:val="bottom"/>
            </w:pPr>
            <w:r>
              <w:rPr>
                <w:rFonts w:ascii="Arial" w:eastAsia="宋体" w:hAnsi="Arial" w:cs="Arial"/>
                <w:color w:val="000000"/>
                <w:sz w:val="18"/>
                <w:szCs w:val="18"/>
              </w:rPr>
              <w:t>286 </w:t>
            </w:r>
          </w:p>
        </w:tc>
        <w:tc>
          <w:tcPr>
            <w:tcW w:w="0" w:type="auto"/>
            <w:shd w:val="clear" w:color="auto" w:fill="CCEEFF"/>
            <w:tcMar>
              <w:top w:w="40" w:type="dxa"/>
              <w:left w:w="0" w:type="dxa"/>
              <w:bottom w:w="40" w:type="dxa"/>
              <w:right w:w="20" w:type="dxa"/>
            </w:tcMar>
            <w:vAlign w:val="bottom"/>
          </w:tcPr>
          <w:p w14:paraId="392C2E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9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A0" w14:textId="77777777" w:rsidR="00980E5F" w:rsidRDefault="00483613">
            <w:pPr>
              <w:jc w:val="right"/>
              <w:textAlignment w:val="bottom"/>
            </w:pPr>
            <w:r>
              <w:rPr>
                <w:rFonts w:ascii="Arial" w:eastAsia="宋体" w:hAnsi="Arial" w:cs="Arial"/>
                <w:b/>
                <w:bCs/>
                <w:color w:val="000000"/>
                <w:sz w:val="18"/>
                <w:szCs w:val="18"/>
              </w:rPr>
              <w:t>690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A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A3" w14:textId="77777777" w:rsidR="00980E5F" w:rsidRDefault="00483613">
            <w:pPr>
              <w:jc w:val="right"/>
              <w:textAlignment w:val="bottom"/>
            </w:pPr>
            <w:r>
              <w:rPr>
                <w:rFonts w:ascii="Arial" w:eastAsia="宋体" w:hAnsi="Arial" w:cs="Arial"/>
                <w:color w:val="000000"/>
                <w:sz w:val="18"/>
                <w:szCs w:val="18"/>
              </w:rPr>
              <w:t>632 </w:t>
            </w:r>
          </w:p>
        </w:tc>
        <w:tc>
          <w:tcPr>
            <w:tcW w:w="0" w:type="auto"/>
            <w:shd w:val="clear" w:color="auto" w:fill="CCEEFF"/>
            <w:tcMar>
              <w:top w:w="40" w:type="dxa"/>
              <w:left w:w="0" w:type="dxa"/>
              <w:bottom w:w="40" w:type="dxa"/>
              <w:right w:w="20" w:type="dxa"/>
            </w:tcMar>
            <w:vAlign w:val="bottom"/>
          </w:tcPr>
          <w:p w14:paraId="392C2EA4" w14:textId="77777777" w:rsidR="00980E5F" w:rsidRDefault="00980E5F">
            <w:pPr>
              <w:jc w:val="right"/>
              <w:rPr>
                <w:rFonts w:ascii="宋体"/>
              </w:rPr>
            </w:pPr>
          </w:p>
        </w:tc>
        <w:tc>
          <w:tcPr>
            <w:tcW w:w="0" w:type="auto"/>
            <w:shd w:val="clear" w:color="auto" w:fill="auto"/>
            <w:vAlign w:val="bottom"/>
          </w:tcPr>
          <w:p w14:paraId="392C2EA5" w14:textId="77777777" w:rsidR="00980E5F" w:rsidRDefault="00980E5F">
            <w:pPr>
              <w:rPr>
                <w:rFonts w:ascii="宋体"/>
                <w:vanish/>
              </w:rPr>
            </w:pPr>
          </w:p>
        </w:tc>
        <w:tc>
          <w:tcPr>
            <w:tcW w:w="0" w:type="auto"/>
            <w:shd w:val="clear" w:color="auto" w:fill="auto"/>
            <w:vAlign w:val="bottom"/>
          </w:tcPr>
          <w:p w14:paraId="392C2EA6" w14:textId="77777777" w:rsidR="00980E5F" w:rsidRDefault="00980E5F">
            <w:pPr>
              <w:rPr>
                <w:rFonts w:ascii="宋体"/>
                <w:vanish/>
              </w:rPr>
            </w:pPr>
          </w:p>
        </w:tc>
      </w:tr>
      <w:tr w:rsidR="00980E5F" w14:paraId="392C2EB6" w14:textId="77777777">
        <w:tc>
          <w:tcPr>
            <w:tcW w:w="0" w:type="auto"/>
            <w:gridSpan w:val="3"/>
            <w:shd w:val="clear" w:color="auto" w:fill="FFFFFF"/>
            <w:tcMar>
              <w:top w:w="40" w:type="dxa"/>
              <w:left w:w="20" w:type="dxa"/>
              <w:bottom w:w="40" w:type="dxa"/>
              <w:right w:w="20" w:type="dxa"/>
            </w:tcMar>
            <w:vAlign w:val="bottom"/>
          </w:tcPr>
          <w:p w14:paraId="392C2EA8" w14:textId="77777777" w:rsidR="00980E5F" w:rsidRDefault="00483613">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392C2EA9" w14:textId="77777777" w:rsidR="00980E5F" w:rsidRDefault="00483613">
            <w:pPr>
              <w:jc w:val="right"/>
              <w:textAlignment w:val="bottom"/>
            </w:pPr>
            <w:r>
              <w:rPr>
                <w:rFonts w:ascii="Arial" w:eastAsia="宋体" w:hAnsi="Arial" w:cs="Arial"/>
                <w:b/>
                <w:bCs/>
                <w:color w:val="000000"/>
                <w:sz w:val="18"/>
                <w:szCs w:val="18"/>
              </w:rPr>
              <w:t>107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EA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A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AC" w14:textId="77777777" w:rsidR="00980E5F" w:rsidRDefault="00483613">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392C2E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AF" w14:textId="77777777" w:rsidR="00980E5F" w:rsidRDefault="00483613">
            <w:pPr>
              <w:jc w:val="right"/>
              <w:textAlignment w:val="bottom"/>
            </w:pPr>
            <w:r>
              <w:rPr>
                <w:rFonts w:ascii="Arial" w:eastAsia="宋体" w:hAnsi="Arial" w:cs="Arial"/>
                <w:b/>
                <w:bCs/>
                <w:color w:val="000000"/>
                <w:sz w:val="18"/>
                <w:szCs w:val="18"/>
              </w:rPr>
              <w:t>203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E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B2" w14:textId="77777777" w:rsidR="00980E5F" w:rsidRDefault="00483613">
            <w:pPr>
              <w:jc w:val="right"/>
              <w:textAlignment w:val="bottom"/>
            </w:pPr>
            <w:r>
              <w:rPr>
                <w:rFonts w:ascii="Arial" w:eastAsia="宋体" w:hAnsi="Arial" w:cs="Arial"/>
                <w:color w:val="000000"/>
                <w:sz w:val="18"/>
                <w:szCs w:val="18"/>
              </w:rPr>
              <w:t>208 </w:t>
            </w:r>
          </w:p>
        </w:tc>
        <w:tc>
          <w:tcPr>
            <w:tcW w:w="0" w:type="auto"/>
            <w:shd w:val="clear" w:color="auto" w:fill="FFFFFF"/>
            <w:tcMar>
              <w:top w:w="40" w:type="dxa"/>
              <w:left w:w="0" w:type="dxa"/>
              <w:bottom w:w="40" w:type="dxa"/>
              <w:right w:w="20" w:type="dxa"/>
            </w:tcMar>
            <w:vAlign w:val="bottom"/>
          </w:tcPr>
          <w:p w14:paraId="392C2EB3" w14:textId="77777777" w:rsidR="00980E5F" w:rsidRDefault="00980E5F">
            <w:pPr>
              <w:jc w:val="right"/>
              <w:rPr>
                <w:rFonts w:ascii="宋体"/>
              </w:rPr>
            </w:pPr>
          </w:p>
        </w:tc>
        <w:tc>
          <w:tcPr>
            <w:tcW w:w="0" w:type="auto"/>
            <w:shd w:val="clear" w:color="auto" w:fill="auto"/>
            <w:vAlign w:val="bottom"/>
          </w:tcPr>
          <w:p w14:paraId="392C2EB4" w14:textId="77777777" w:rsidR="00980E5F" w:rsidRDefault="00980E5F">
            <w:pPr>
              <w:rPr>
                <w:rFonts w:ascii="宋体"/>
                <w:vanish/>
              </w:rPr>
            </w:pPr>
          </w:p>
        </w:tc>
        <w:tc>
          <w:tcPr>
            <w:tcW w:w="0" w:type="auto"/>
            <w:shd w:val="clear" w:color="auto" w:fill="auto"/>
            <w:vAlign w:val="bottom"/>
          </w:tcPr>
          <w:p w14:paraId="392C2EB5" w14:textId="77777777" w:rsidR="00980E5F" w:rsidRDefault="00980E5F">
            <w:pPr>
              <w:rPr>
                <w:rFonts w:ascii="宋体"/>
                <w:vanish/>
              </w:rPr>
            </w:pPr>
          </w:p>
        </w:tc>
      </w:tr>
      <w:tr w:rsidR="00980E5F" w14:paraId="392C2EC1" w14:textId="77777777">
        <w:trPr>
          <w:hidden/>
        </w:trPr>
        <w:tc>
          <w:tcPr>
            <w:tcW w:w="0" w:type="auto"/>
            <w:gridSpan w:val="3"/>
            <w:shd w:val="clear" w:color="auto" w:fill="auto"/>
            <w:vAlign w:val="bottom"/>
          </w:tcPr>
          <w:p w14:paraId="392C2EB7" w14:textId="77777777" w:rsidR="00980E5F" w:rsidRDefault="00980E5F">
            <w:pPr>
              <w:rPr>
                <w:rFonts w:ascii="宋体"/>
                <w:vanish/>
              </w:rPr>
            </w:pPr>
          </w:p>
        </w:tc>
        <w:tc>
          <w:tcPr>
            <w:tcW w:w="0" w:type="auto"/>
            <w:gridSpan w:val="3"/>
            <w:shd w:val="clear" w:color="auto" w:fill="auto"/>
            <w:vAlign w:val="bottom"/>
          </w:tcPr>
          <w:p w14:paraId="392C2EB8" w14:textId="77777777" w:rsidR="00980E5F" w:rsidRDefault="00980E5F">
            <w:pPr>
              <w:rPr>
                <w:rFonts w:ascii="宋体"/>
                <w:vanish/>
              </w:rPr>
            </w:pPr>
          </w:p>
        </w:tc>
        <w:tc>
          <w:tcPr>
            <w:tcW w:w="0" w:type="auto"/>
            <w:gridSpan w:val="3"/>
            <w:shd w:val="clear" w:color="auto" w:fill="auto"/>
            <w:vAlign w:val="bottom"/>
          </w:tcPr>
          <w:p w14:paraId="392C2EB9" w14:textId="77777777" w:rsidR="00980E5F" w:rsidRDefault="00980E5F">
            <w:pPr>
              <w:rPr>
                <w:rFonts w:ascii="宋体"/>
                <w:vanish/>
              </w:rPr>
            </w:pPr>
          </w:p>
        </w:tc>
        <w:tc>
          <w:tcPr>
            <w:tcW w:w="0" w:type="auto"/>
            <w:gridSpan w:val="3"/>
            <w:shd w:val="clear" w:color="auto" w:fill="auto"/>
            <w:vAlign w:val="bottom"/>
          </w:tcPr>
          <w:p w14:paraId="392C2EBA" w14:textId="77777777" w:rsidR="00980E5F" w:rsidRDefault="00980E5F">
            <w:pPr>
              <w:rPr>
                <w:rFonts w:ascii="宋体"/>
                <w:vanish/>
              </w:rPr>
            </w:pPr>
          </w:p>
        </w:tc>
        <w:tc>
          <w:tcPr>
            <w:tcW w:w="0" w:type="auto"/>
            <w:gridSpan w:val="3"/>
            <w:shd w:val="clear" w:color="auto" w:fill="auto"/>
            <w:vAlign w:val="bottom"/>
          </w:tcPr>
          <w:p w14:paraId="392C2EBB" w14:textId="77777777" w:rsidR="00980E5F" w:rsidRDefault="00980E5F">
            <w:pPr>
              <w:rPr>
                <w:rFonts w:ascii="宋体"/>
                <w:vanish/>
              </w:rPr>
            </w:pPr>
          </w:p>
        </w:tc>
        <w:tc>
          <w:tcPr>
            <w:tcW w:w="0" w:type="auto"/>
            <w:gridSpan w:val="3"/>
            <w:shd w:val="clear" w:color="auto" w:fill="auto"/>
            <w:vAlign w:val="bottom"/>
          </w:tcPr>
          <w:p w14:paraId="392C2EBC" w14:textId="77777777" w:rsidR="00980E5F" w:rsidRDefault="00980E5F">
            <w:pPr>
              <w:rPr>
                <w:rFonts w:ascii="宋体"/>
                <w:vanish/>
              </w:rPr>
            </w:pPr>
          </w:p>
        </w:tc>
        <w:tc>
          <w:tcPr>
            <w:tcW w:w="0" w:type="auto"/>
            <w:gridSpan w:val="3"/>
            <w:shd w:val="clear" w:color="auto" w:fill="auto"/>
            <w:vAlign w:val="bottom"/>
          </w:tcPr>
          <w:p w14:paraId="392C2EBD" w14:textId="77777777" w:rsidR="00980E5F" w:rsidRDefault="00980E5F">
            <w:pPr>
              <w:rPr>
                <w:rFonts w:ascii="宋体"/>
                <w:vanish/>
              </w:rPr>
            </w:pPr>
          </w:p>
        </w:tc>
        <w:tc>
          <w:tcPr>
            <w:tcW w:w="0" w:type="auto"/>
            <w:gridSpan w:val="3"/>
            <w:shd w:val="clear" w:color="auto" w:fill="auto"/>
            <w:vAlign w:val="bottom"/>
          </w:tcPr>
          <w:p w14:paraId="392C2EBE" w14:textId="77777777" w:rsidR="00980E5F" w:rsidRDefault="00980E5F">
            <w:pPr>
              <w:rPr>
                <w:rFonts w:ascii="宋体"/>
                <w:vanish/>
              </w:rPr>
            </w:pPr>
          </w:p>
        </w:tc>
        <w:tc>
          <w:tcPr>
            <w:tcW w:w="0" w:type="auto"/>
            <w:shd w:val="clear" w:color="auto" w:fill="auto"/>
            <w:vAlign w:val="bottom"/>
          </w:tcPr>
          <w:p w14:paraId="392C2EBF" w14:textId="77777777" w:rsidR="00980E5F" w:rsidRDefault="00980E5F">
            <w:pPr>
              <w:rPr>
                <w:rFonts w:ascii="宋体"/>
                <w:vanish/>
              </w:rPr>
            </w:pPr>
          </w:p>
        </w:tc>
        <w:tc>
          <w:tcPr>
            <w:tcW w:w="0" w:type="auto"/>
            <w:shd w:val="clear" w:color="auto" w:fill="auto"/>
            <w:vAlign w:val="bottom"/>
          </w:tcPr>
          <w:p w14:paraId="392C2EC0" w14:textId="77777777" w:rsidR="00980E5F" w:rsidRDefault="00980E5F">
            <w:pPr>
              <w:rPr>
                <w:rFonts w:ascii="宋体"/>
                <w:vanish/>
              </w:rPr>
            </w:pPr>
          </w:p>
        </w:tc>
      </w:tr>
      <w:tr w:rsidR="00980E5F" w14:paraId="392C2ECC" w14:textId="77777777">
        <w:trPr>
          <w:hidden/>
        </w:trPr>
        <w:tc>
          <w:tcPr>
            <w:tcW w:w="0" w:type="auto"/>
            <w:gridSpan w:val="3"/>
            <w:shd w:val="clear" w:color="auto" w:fill="auto"/>
            <w:vAlign w:val="bottom"/>
          </w:tcPr>
          <w:p w14:paraId="392C2EC2" w14:textId="77777777" w:rsidR="00980E5F" w:rsidRDefault="00980E5F">
            <w:pPr>
              <w:rPr>
                <w:rFonts w:ascii="宋体"/>
                <w:vanish/>
              </w:rPr>
            </w:pPr>
          </w:p>
        </w:tc>
        <w:tc>
          <w:tcPr>
            <w:tcW w:w="0" w:type="auto"/>
            <w:gridSpan w:val="3"/>
            <w:shd w:val="clear" w:color="auto" w:fill="auto"/>
            <w:vAlign w:val="bottom"/>
          </w:tcPr>
          <w:p w14:paraId="392C2EC3" w14:textId="77777777" w:rsidR="00980E5F" w:rsidRDefault="00980E5F">
            <w:pPr>
              <w:rPr>
                <w:rFonts w:ascii="宋体"/>
                <w:vanish/>
              </w:rPr>
            </w:pPr>
          </w:p>
        </w:tc>
        <w:tc>
          <w:tcPr>
            <w:tcW w:w="0" w:type="auto"/>
            <w:gridSpan w:val="3"/>
            <w:shd w:val="clear" w:color="auto" w:fill="auto"/>
            <w:vAlign w:val="bottom"/>
          </w:tcPr>
          <w:p w14:paraId="392C2EC4" w14:textId="77777777" w:rsidR="00980E5F" w:rsidRDefault="00980E5F">
            <w:pPr>
              <w:rPr>
                <w:rFonts w:ascii="宋体"/>
                <w:vanish/>
              </w:rPr>
            </w:pPr>
          </w:p>
        </w:tc>
        <w:tc>
          <w:tcPr>
            <w:tcW w:w="0" w:type="auto"/>
            <w:gridSpan w:val="3"/>
            <w:shd w:val="clear" w:color="auto" w:fill="auto"/>
            <w:vAlign w:val="bottom"/>
          </w:tcPr>
          <w:p w14:paraId="392C2EC5" w14:textId="77777777" w:rsidR="00980E5F" w:rsidRDefault="00980E5F">
            <w:pPr>
              <w:rPr>
                <w:rFonts w:ascii="宋体"/>
                <w:vanish/>
              </w:rPr>
            </w:pPr>
          </w:p>
        </w:tc>
        <w:tc>
          <w:tcPr>
            <w:tcW w:w="0" w:type="auto"/>
            <w:gridSpan w:val="3"/>
            <w:shd w:val="clear" w:color="auto" w:fill="auto"/>
            <w:vAlign w:val="bottom"/>
          </w:tcPr>
          <w:p w14:paraId="392C2EC6" w14:textId="77777777" w:rsidR="00980E5F" w:rsidRDefault="00980E5F">
            <w:pPr>
              <w:rPr>
                <w:rFonts w:ascii="宋体"/>
                <w:vanish/>
              </w:rPr>
            </w:pPr>
          </w:p>
        </w:tc>
        <w:tc>
          <w:tcPr>
            <w:tcW w:w="0" w:type="auto"/>
            <w:gridSpan w:val="3"/>
            <w:shd w:val="clear" w:color="auto" w:fill="auto"/>
            <w:vAlign w:val="bottom"/>
          </w:tcPr>
          <w:p w14:paraId="392C2EC7" w14:textId="77777777" w:rsidR="00980E5F" w:rsidRDefault="00980E5F">
            <w:pPr>
              <w:rPr>
                <w:rFonts w:ascii="宋体"/>
                <w:vanish/>
              </w:rPr>
            </w:pPr>
          </w:p>
        </w:tc>
        <w:tc>
          <w:tcPr>
            <w:tcW w:w="0" w:type="auto"/>
            <w:gridSpan w:val="3"/>
            <w:shd w:val="clear" w:color="auto" w:fill="auto"/>
            <w:vAlign w:val="bottom"/>
          </w:tcPr>
          <w:p w14:paraId="392C2EC8" w14:textId="77777777" w:rsidR="00980E5F" w:rsidRDefault="00980E5F">
            <w:pPr>
              <w:rPr>
                <w:rFonts w:ascii="宋体"/>
                <w:vanish/>
              </w:rPr>
            </w:pPr>
          </w:p>
        </w:tc>
        <w:tc>
          <w:tcPr>
            <w:tcW w:w="0" w:type="auto"/>
            <w:gridSpan w:val="3"/>
            <w:shd w:val="clear" w:color="auto" w:fill="auto"/>
            <w:vAlign w:val="bottom"/>
          </w:tcPr>
          <w:p w14:paraId="392C2EC9" w14:textId="77777777" w:rsidR="00980E5F" w:rsidRDefault="00980E5F">
            <w:pPr>
              <w:rPr>
                <w:rFonts w:ascii="宋体"/>
                <w:vanish/>
              </w:rPr>
            </w:pPr>
          </w:p>
        </w:tc>
        <w:tc>
          <w:tcPr>
            <w:tcW w:w="0" w:type="auto"/>
            <w:shd w:val="clear" w:color="auto" w:fill="auto"/>
            <w:vAlign w:val="bottom"/>
          </w:tcPr>
          <w:p w14:paraId="392C2ECA" w14:textId="77777777" w:rsidR="00980E5F" w:rsidRDefault="00980E5F">
            <w:pPr>
              <w:rPr>
                <w:rFonts w:ascii="宋体"/>
                <w:vanish/>
              </w:rPr>
            </w:pPr>
          </w:p>
        </w:tc>
        <w:tc>
          <w:tcPr>
            <w:tcW w:w="0" w:type="auto"/>
            <w:shd w:val="clear" w:color="auto" w:fill="auto"/>
            <w:vAlign w:val="bottom"/>
          </w:tcPr>
          <w:p w14:paraId="392C2ECB" w14:textId="77777777" w:rsidR="00980E5F" w:rsidRDefault="00980E5F">
            <w:pPr>
              <w:rPr>
                <w:rFonts w:ascii="宋体"/>
                <w:vanish/>
              </w:rPr>
            </w:pPr>
          </w:p>
        </w:tc>
      </w:tr>
      <w:tr w:rsidR="00980E5F" w14:paraId="392C2EDB" w14:textId="77777777">
        <w:tc>
          <w:tcPr>
            <w:tcW w:w="0" w:type="auto"/>
            <w:gridSpan w:val="3"/>
            <w:shd w:val="clear" w:color="auto" w:fill="CCEEFF"/>
            <w:tcMar>
              <w:top w:w="40" w:type="dxa"/>
              <w:left w:w="20" w:type="dxa"/>
              <w:bottom w:w="40" w:type="dxa"/>
              <w:right w:w="20" w:type="dxa"/>
            </w:tcMar>
            <w:vAlign w:val="bottom"/>
          </w:tcPr>
          <w:p w14:paraId="392C2ECD" w14:textId="77777777" w:rsidR="00980E5F" w:rsidRDefault="00483613">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392C2ECE" w14:textId="77777777" w:rsidR="00980E5F" w:rsidRDefault="00483613">
            <w:pPr>
              <w:jc w:val="right"/>
              <w:textAlignment w:val="bottom"/>
            </w:pPr>
            <w:r>
              <w:rPr>
                <w:rFonts w:ascii="Arial" w:eastAsia="宋体" w:hAnsi="Arial" w:cs="Arial"/>
                <w:b/>
                <w:bCs/>
                <w:color w:val="000000"/>
                <w:sz w:val="18"/>
                <w:szCs w:val="18"/>
              </w:rPr>
              <w:t>188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D1" w14:textId="77777777" w:rsidR="00980E5F" w:rsidRDefault="00483613">
            <w:pPr>
              <w:jc w:val="right"/>
              <w:textAlignment w:val="bottom"/>
            </w:pPr>
            <w:r>
              <w:rPr>
                <w:rFonts w:ascii="Arial" w:eastAsia="宋体" w:hAnsi="Arial" w:cs="Arial"/>
                <w:color w:val="000000"/>
                <w:sz w:val="18"/>
                <w:szCs w:val="18"/>
              </w:rPr>
              <w:t>211 </w:t>
            </w:r>
          </w:p>
        </w:tc>
        <w:tc>
          <w:tcPr>
            <w:tcW w:w="0" w:type="auto"/>
            <w:shd w:val="clear" w:color="auto" w:fill="CCEEFF"/>
            <w:tcMar>
              <w:top w:w="40" w:type="dxa"/>
              <w:left w:w="0" w:type="dxa"/>
              <w:bottom w:w="40" w:type="dxa"/>
              <w:right w:w="20" w:type="dxa"/>
            </w:tcMar>
            <w:vAlign w:val="bottom"/>
          </w:tcPr>
          <w:p w14:paraId="392C2E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D4" w14:textId="77777777" w:rsidR="00980E5F" w:rsidRDefault="00483613">
            <w:pPr>
              <w:jc w:val="right"/>
              <w:textAlignment w:val="bottom"/>
            </w:pPr>
            <w:r>
              <w:rPr>
                <w:rFonts w:ascii="Arial" w:eastAsia="宋体" w:hAnsi="Arial" w:cs="Arial"/>
                <w:b/>
                <w:bCs/>
                <w:color w:val="000000"/>
                <w:sz w:val="18"/>
                <w:szCs w:val="18"/>
              </w:rPr>
              <w:t>389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E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D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ED7" w14:textId="77777777" w:rsidR="00980E5F" w:rsidRDefault="00483613">
            <w:pPr>
              <w:jc w:val="right"/>
              <w:textAlignment w:val="bottom"/>
            </w:pPr>
            <w:r>
              <w:rPr>
                <w:rFonts w:ascii="Arial" w:eastAsia="宋体" w:hAnsi="Arial" w:cs="Arial"/>
                <w:color w:val="000000"/>
                <w:sz w:val="18"/>
                <w:szCs w:val="18"/>
              </w:rPr>
              <w:t>371 </w:t>
            </w:r>
          </w:p>
        </w:tc>
        <w:tc>
          <w:tcPr>
            <w:tcW w:w="0" w:type="auto"/>
            <w:shd w:val="clear" w:color="auto" w:fill="CCEEFF"/>
            <w:tcMar>
              <w:top w:w="40" w:type="dxa"/>
              <w:left w:w="0" w:type="dxa"/>
              <w:bottom w:w="40" w:type="dxa"/>
              <w:right w:w="20" w:type="dxa"/>
            </w:tcMar>
            <w:vAlign w:val="bottom"/>
          </w:tcPr>
          <w:p w14:paraId="392C2ED8" w14:textId="77777777" w:rsidR="00980E5F" w:rsidRDefault="00980E5F">
            <w:pPr>
              <w:jc w:val="right"/>
              <w:rPr>
                <w:rFonts w:ascii="宋体"/>
              </w:rPr>
            </w:pPr>
          </w:p>
        </w:tc>
        <w:tc>
          <w:tcPr>
            <w:tcW w:w="0" w:type="auto"/>
            <w:shd w:val="clear" w:color="auto" w:fill="auto"/>
            <w:vAlign w:val="bottom"/>
          </w:tcPr>
          <w:p w14:paraId="392C2ED9" w14:textId="77777777" w:rsidR="00980E5F" w:rsidRDefault="00980E5F">
            <w:pPr>
              <w:rPr>
                <w:rFonts w:ascii="宋体"/>
                <w:vanish/>
              </w:rPr>
            </w:pPr>
          </w:p>
        </w:tc>
        <w:tc>
          <w:tcPr>
            <w:tcW w:w="0" w:type="auto"/>
            <w:shd w:val="clear" w:color="auto" w:fill="auto"/>
            <w:vAlign w:val="bottom"/>
          </w:tcPr>
          <w:p w14:paraId="392C2EDA" w14:textId="77777777" w:rsidR="00980E5F" w:rsidRDefault="00980E5F">
            <w:pPr>
              <w:rPr>
                <w:rFonts w:ascii="宋体"/>
                <w:vanish/>
              </w:rPr>
            </w:pPr>
          </w:p>
        </w:tc>
      </w:tr>
      <w:tr w:rsidR="00980E5F" w14:paraId="392C2EEA" w14:textId="77777777">
        <w:tc>
          <w:tcPr>
            <w:tcW w:w="0" w:type="auto"/>
            <w:gridSpan w:val="3"/>
            <w:shd w:val="clear" w:color="auto" w:fill="FFFFFF"/>
            <w:tcMar>
              <w:top w:w="40" w:type="dxa"/>
              <w:left w:w="20" w:type="dxa"/>
              <w:bottom w:w="40" w:type="dxa"/>
              <w:right w:w="20" w:type="dxa"/>
            </w:tcMar>
            <w:vAlign w:val="bottom"/>
          </w:tcPr>
          <w:p w14:paraId="392C2EDC" w14:textId="77777777" w:rsidR="00980E5F" w:rsidRDefault="00483613">
            <w:pPr>
              <w:textAlignment w:val="bottom"/>
            </w:pPr>
            <w:r>
              <w:rPr>
                <w:rFonts w:ascii="Arial" w:eastAsia="宋体" w:hAnsi="Arial" w:cs="Arial"/>
                <w:color w:val="000000"/>
                <w:sz w:val="18"/>
                <w:szCs w:val="18"/>
              </w:rPr>
              <w:t>Other fee revenue</w:t>
            </w:r>
          </w:p>
        </w:tc>
        <w:tc>
          <w:tcPr>
            <w:tcW w:w="0" w:type="auto"/>
            <w:gridSpan w:val="2"/>
            <w:shd w:val="clear" w:color="auto" w:fill="FFFFFF"/>
            <w:tcMar>
              <w:top w:w="40" w:type="dxa"/>
              <w:left w:w="20" w:type="dxa"/>
              <w:bottom w:w="40" w:type="dxa"/>
              <w:right w:w="0" w:type="dxa"/>
            </w:tcMar>
            <w:vAlign w:val="bottom"/>
          </w:tcPr>
          <w:p w14:paraId="392C2EDD" w14:textId="77777777" w:rsidR="00980E5F" w:rsidRDefault="00483613">
            <w:pPr>
              <w:jc w:val="right"/>
              <w:textAlignment w:val="bottom"/>
            </w:pPr>
            <w:r>
              <w:rPr>
                <w:rFonts w:ascii="Arial" w:eastAsia="宋体" w:hAnsi="Arial" w:cs="Arial"/>
                <w:b/>
                <w:bCs/>
                <w:color w:val="000000"/>
                <w:sz w:val="18"/>
                <w:szCs w:val="18"/>
              </w:rPr>
              <w:t>(43)</w:t>
            </w:r>
          </w:p>
        </w:tc>
        <w:tc>
          <w:tcPr>
            <w:tcW w:w="0" w:type="auto"/>
            <w:shd w:val="clear" w:color="auto" w:fill="FFFFFF"/>
            <w:tcMar>
              <w:top w:w="40" w:type="dxa"/>
              <w:left w:w="0" w:type="dxa"/>
              <w:bottom w:w="40" w:type="dxa"/>
              <w:right w:w="20" w:type="dxa"/>
            </w:tcMar>
            <w:vAlign w:val="bottom"/>
          </w:tcPr>
          <w:p w14:paraId="392C2E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E0" w14:textId="77777777" w:rsidR="00980E5F" w:rsidRDefault="00483613">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392C2E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E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E3" w14:textId="77777777" w:rsidR="00980E5F" w:rsidRDefault="00483613">
            <w:pPr>
              <w:jc w:val="right"/>
              <w:textAlignment w:val="bottom"/>
            </w:pPr>
            <w:r>
              <w:rPr>
                <w:rFonts w:ascii="Arial" w:eastAsia="宋体" w:hAnsi="Arial" w:cs="Arial"/>
                <w:b/>
                <w:bCs/>
                <w:color w:val="000000"/>
                <w:sz w:val="18"/>
                <w:szCs w:val="18"/>
              </w:rPr>
              <w:t>(14)</w:t>
            </w:r>
          </w:p>
        </w:tc>
        <w:tc>
          <w:tcPr>
            <w:tcW w:w="0" w:type="auto"/>
            <w:shd w:val="clear" w:color="auto" w:fill="FFFFFF"/>
            <w:tcMar>
              <w:top w:w="40" w:type="dxa"/>
              <w:left w:w="0" w:type="dxa"/>
              <w:bottom w:w="40" w:type="dxa"/>
              <w:right w:w="20" w:type="dxa"/>
            </w:tcMar>
            <w:vAlign w:val="bottom"/>
          </w:tcPr>
          <w:p w14:paraId="392C2E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EE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EE6" w14:textId="77777777" w:rsidR="00980E5F" w:rsidRDefault="00483613">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392C2EE7" w14:textId="77777777" w:rsidR="00980E5F" w:rsidRDefault="00980E5F">
            <w:pPr>
              <w:jc w:val="right"/>
              <w:rPr>
                <w:rFonts w:ascii="宋体"/>
              </w:rPr>
            </w:pPr>
          </w:p>
        </w:tc>
        <w:tc>
          <w:tcPr>
            <w:tcW w:w="0" w:type="auto"/>
            <w:shd w:val="clear" w:color="auto" w:fill="auto"/>
            <w:vAlign w:val="bottom"/>
          </w:tcPr>
          <w:p w14:paraId="392C2EE8" w14:textId="77777777" w:rsidR="00980E5F" w:rsidRDefault="00980E5F">
            <w:pPr>
              <w:rPr>
                <w:rFonts w:ascii="宋体"/>
                <w:vanish/>
              </w:rPr>
            </w:pPr>
          </w:p>
        </w:tc>
        <w:tc>
          <w:tcPr>
            <w:tcW w:w="0" w:type="auto"/>
            <w:shd w:val="clear" w:color="auto" w:fill="auto"/>
            <w:vAlign w:val="bottom"/>
          </w:tcPr>
          <w:p w14:paraId="392C2EE9" w14:textId="77777777" w:rsidR="00980E5F" w:rsidRDefault="00980E5F">
            <w:pPr>
              <w:rPr>
                <w:rFonts w:ascii="宋体"/>
                <w:vanish/>
              </w:rPr>
            </w:pPr>
          </w:p>
        </w:tc>
      </w:tr>
      <w:tr w:rsidR="00980E5F" w14:paraId="392C2EF9" w14:textId="77777777">
        <w:tc>
          <w:tcPr>
            <w:tcW w:w="0" w:type="auto"/>
            <w:gridSpan w:val="3"/>
            <w:shd w:val="clear" w:color="auto" w:fill="CCEEFF"/>
            <w:tcMar>
              <w:top w:w="40" w:type="dxa"/>
              <w:left w:w="20" w:type="dxa"/>
              <w:bottom w:w="40" w:type="dxa"/>
              <w:right w:w="20" w:type="dxa"/>
            </w:tcMar>
            <w:vAlign w:val="bottom"/>
          </w:tcPr>
          <w:p w14:paraId="392C2EEB" w14:textId="77777777" w:rsidR="00980E5F" w:rsidRDefault="00483613">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EEC" w14:textId="77777777" w:rsidR="00980E5F" w:rsidRDefault="00483613">
            <w:pPr>
              <w:jc w:val="right"/>
              <w:textAlignment w:val="bottom"/>
            </w:pPr>
            <w:r>
              <w:rPr>
                <w:rFonts w:ascii="Arial" w:eastAsia="宋体" w:hAnsi="Arial" w:cs="Arial"/>
                <w:b/>
                <w:bCs/>
                <w:color w:val="000000"/>
                <w:sz w:val="18"/>
                <w:szCs w:val="18"/>
              </w:rPr>
              <w:t>2,370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E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E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EEF" w14:textId="77777777" w:rsidR="00980E5F" w:rsidRDefault="00483613">
            <w:pPr>
              <w:jc w:val="right"/>
              <w:textAlignment w:val="bottom"/>
            </w:pPr>
            <w:r>
              <w:rPr>
                <w:rFonts w:ascii="Arial" w:eastAsia="宋体" w:hAnsi="Arial" w:cs="Arial"/>
                <w:color w:val="000000"/>
                <w:sz w:val="18"/>
                <w:szCs w:val="18"/>
              </w:rPr>
              <w:t>2,514 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E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F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EF2" w14:textId="77777777" w:rsidR="00980E5F" w:rsidRDefault="00483613">
            <w:pPr>
              <w:jc w:val="right"/>
              <w:textAlignment w:val="bottom"/>
            </w:pPr>
            <w:r>
              <w:rPr>
                <w:rFonts w:ascii="Arial" w:eastAsia="宋体" w:hAnsi="Arial" w:cs="Arial"/>
                <w:b/>
                <w:bCs/>
                <w:color w:val="000000"/>
                <w:sz w:val="18"/>
                <w:szCs w:val="18"/>
              </w:rPr>
              <w:t>4,943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E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EF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EF5" w14:textId="77777777" w:rsidR="00980E5F" w:rsidRDefault="00483613">
            <w:pPr>
              <w:jc w:val="right"/>
              <w:textAlignment w:val="bottom"/>
            </w:pPr>
            <w:r>
              <w:rPr>
                <w:rFonts w:ascii="Arial" w:eastAsia="宋体" w:hAnsi="Arial" w:cs="Arial"/>
                <w:color w:val="000000"/>
                <w:sz w:val="18"/>
                <w:szCs w:val="18"/>
              </w:rPr>
              <w:t>4,997 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EF6" w14:textId="77777777" w:rsidR="00980E5F" w:rsidRDefault="00980E5F">
            <w:pPr>
              <w:jc w:val="right"/>
              <w:rPr>
                <w:rFonts w:ascii="宋体"/>
              </w:rPr>
            </w:pPr>
          </w:p>
        </w:tc>
        <w:tc>
          <w:tcPr>
            <w:tcW w:w="0" w:type="auto"/>
            <w:shd w:val="clear" w:color="auto" w:fill="auto"/>
            <w:vAlign w:val="bottom"/>
          </w:tcPr>
          <w:p w14:paraId="392C2EF7" w14:textId="77777777" w:rsidR="00980E5F" w:rsidRDefault="00980E5F">
            <w:pPr>
              <w:rPr>
                <w:rFonts w:ascii="宋体"/>
                <w:vanish/>
              </w:rPr>
            </w:pPr>
          </w:p>
        </w:tc>
        <w:tc>
          <w:tcPr>
            <w:tcW w:w="0" w:type="auto"/>
            <w:shd w:val="clear" w:color="auto" w:fill="auto"/>
            <w:vAlign w:val="bottom"/>
          </w:tcPr>
          <w:p w14:paraId="392C2EF8" w14:textId="77777777" w:rsidR="00980E5F" w:rsidRDefault="00980E5F">
            <w:pPr>
              <w:rPr>
                <w:rFonts w:ascii="宋体"/>
                <w:vanish/>
              </w:rPr>
            </w:pPr>
          </w:p>
        </w:tc>
      </w:tr>
      <w:tr w:rsidR="00980E5F" w14:paraId="392C2F04" w14:textId="77777777">
        <w:tc>
          <w:tcPr>
            <w:tcW w:w="0" w:type="auto"/>
            <w:gridSpan w:val="3"/>
            <w:shd w:val="clear" w:color="auto" w:fill="FFFFFF"/>
            <w:tcMar>
              <w:top w:w="40" w:type="dxa"/>
              <w:left w:w="20" w:type="dxa"/>
              <w:bottom w:w="40" w:type="dxa"/>
              <w:right w:w="20" w:type="dxa"/>
            </w:tcMar>
            <w:vAlign w:val="bottom"/>
          </w:tcPr>
          <w:p w14:paraId="392C2EFA" w14:textId="77777777" w:rsidR="00980E5F" w:rsidRDefault="00483613">
            <w:pPr>
              <w:textAlignment w:val="bottom"/>
            </w:pPr>
            <w:r>
              <w:rPr>
                <w:rFonts w:ascii="Arial" w:eastAsia="宋体" w:hAnsi="Arial" w:cs="Arial"/>
                <w:b/>
                <w:bCs/>
                <w:color w:val="000000"/>
                <w:sz w:val="18"/>
                <w:szCs w:val="18"/>
              </w:rPr>
              <w:t>Net interest income:</w:t>
            </w:r>
          </w:p>
        </w:tc>
        <w:tc>
          <w:tcPr>
            <w:tcW w:w="0" w:type="auto"/>
            <w:gridSpan w:val="3"/>
            <w:shd w:val="clear" w:color="auto" w:fill="FFFFFF"/>
            <w:tcMar>
              <w:top w:w="0" w:type="dxa"/>
              <w:left w:w="20" w:type="dxa"/>
              <w:bottom w:w="0" w:type="dxa"/>
              <w:right w:w="20" w:type="dxa"/>
            </w:tcMar>
            <w:vAlign w:val="bottom"/>
          </w:tcPr>
          <w:p w14:paraId="392C2E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EF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EF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E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EF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0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01" w14:textId="77777777" w:rsidR="00980E5F" w:rsidRDefault="00980E5F">
            <w:pPr>
              <w:rPr>
                <w:rFonts w:ascii="宋体"/>
              </w:rPr>
            </w:pPr>
          </w:p>
        </w:tc>
        <w:tc>
          <w:tcPr>
            <w:tcW w:w="0" w:type="auto"/>
            <w:shd w:val="clear" w:color="auto" w:fill="auto"/>
            <w:vAlign w:val="bottom"/>
          </w:tcPr>
          <w:p w14:paraId="392C2F02" w14:textId="77777777" w:rsidR="00980E5F" w:rsidRDefault="00980E5F">
            <w:pPr>
              <w:rPr>
                <w:rFonts w:ascii="宋体"/>
                <w:vanish/>
              </w:rPr>
            </w:pPr>
          </w:p>
        </w:tc>
        <w:tc>
          <w:tcPr>
            <w:tcW w:w="0" w:type="auto"/>
            <w:shd w:val="clear" w:color="auto" w:fill="auto"/>
            <w:vAlign w:val="bottom"/>
          </w:tcPr>
          <w:p w14:paraId="392C2F03" w14:textId="77777777" w:rsidR="00980E5F" w:rsidRDefault="00980E5F">
            <w:pPr>
              <w:rPr>
                <w:rFonts w:ascii="宋体"/>
                <w:vanish/>
              </w:rPr>
            </w:pPr>
          </w:p>
        </w:tc>
      </w:tr>
      <w:tr w:rsidR="00980E5F" w14:paraId="392C2F13" w14:textId="77777777">
        <w:tc>
          <w:tcPr>
            <w:tcW w:w="0" w:type="auto"/>
            <w:gridSpan w:val="3"/>
            <w:shd w:val="clear" w:color="auto" w:fill="CCEEFF"/>
            <w:tcMar>
              <w:top w:w="40" w:type="dxa"/>
              <w:left w:w="20" w:type="dxa"/>
              <w:bottom w:w="40" w:type="dxa"/>
              <w:right w:w="20" w:type="dxa"/>
            </w:tcMar>
            <w:vAlign w:val="bottom"/>
          </w:tcPr>
          <w:p w14:paraId="392C2F05" w14:textId="77777777" w:rsidR="00980E5F" w:rsidRDefault="00483613">
            <w:pPr>
              <w:textAlignment w:val="bottom"/>
            </w:pPr>
            <w:r>
              <w:rPr>
                <w:rFonts w:ascii="Arial" w:eastAsia="宋体" w:hAnsi="Arial" w:cs="Arial"/>
                <w:color w:val="000000"/>
                <w:sz w:val="18"/>
                <w:szCs w:val="18"/>
              </w:rPr>
              <w:t>Interest income</w:t>
            </w:r>
          </w:p>
        </w:tc>
        <w:tc>
          <w:tcPr>
            <w:tcW w:w="0" w:type="auto"/>
            <w:gridSpan w:val="2"/>
            <w:shd w:val="clear" w:color="auto" w:fill="CCEEFF"/>
            <w:tcMar>
              <w:top w:w="40" w:type="dxa"/>
              <w:left w:w="20" w:type="dxa"/>
              <w:bottom w:w="40" w:type="dxa"/>
              <w:right w:w="0" w:type="dxa"/>
            </w:tcMar>
            <w:vAlign w:val="bottom"/>
          </w:tcPr>
          <w:p w14:paraId="392C2F06" w14:textId="77777777" w:rsidR="00980E5F" w:rsidRDefault="00483613">
            <w:pPr>
              <w:jc w:val="right"/>
              <w:textAlignment w:val="bottom"/>
            </w:pPr>
            <w:r>
              <w:rPr>
                <w:rFonts w:ascii="Arial" w:eastAsia="宋体" w:hAnsi="Arial" w:cs="Arial"/>
                <w:b/>
                <w:bCs/>
                <w:color w:val="000000"/>
                <w:sz w:val="18"/>
                <w:szCs w:val="18"/>
              </w:rPr>
              <w:t>704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0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09" w14:textId="77777777" w:rsidR="00980E5F" w:rsidRDefault="00483613">
            <w:pPr>
              <w:jc w:val="right"/>
              <w:textAlignment w:val="bottom"/>
            </w:pPr>
            <w:r>
              <w:rPr>
                <w:rFonts w:ascii="Arial" w:eastAsia="宋体" w:hAnsi="Arial" w:cs="Arial"/>
                <w:color w:val="000000"/>
                <w:sz w:val="18"/>
                <w:szCs w:val="18"/>
              </w:rPr>
              <w:t>467 </w:t>
            </w:r>
          </w:p>
        </w:tc>
        <w:tc>
          <w:tcPr>
            <w:tcW w:w="0" w:type="auto"/>
            <w:shd w:val="clear" w:color="auto" w:fill="CCEEFF"/>
            <w:tcMar>
              <w:top w:w="40" w:type="dxa"/>
              <w:left w:w="0" w:type="dxa"/>
              <w:bottom w:w="40" w:type="dxa"/>
              <w:right w:w="20" w:type="dxa"/>
            </w:tcMar>
            <w:vAlign w:val="bottom"/>
          </w:tcPr>
          <w:p w14:paraId="392C2F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0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0C" w14:textId="77777777" w:rsidR="00980E5F" w:rsidRDefault="00483613">
            <w:pPr>
              <w:jc w:val="right"/>
              <w:textAlignment w:val="bottom"/>
            </w:pPr>
            <w:r>
              <w:rPr>
                <w:rFonts w:ascii="Arial" w:eastAsia="宋体" w:hAnsi="Arial" w:cs="Arial"/>
                <w:b/>
                <w:bCs/>
                <w:color w:val="000000"/>
                <w:sz w:val="18"/>
                <w:szCs w:val="18"/>
              </w:rPr>
              <w:t>1,225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0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0F" w14:textId="77777777" w:rsidR="00980E5F" w:rsidRDefault="00483613">
            <w:pPr>
              <w:jc w:val="right"/>
              <w:textAlignment w:val="bottom"/>
            </w:pPr>
            <w:r>
              <w:rPr>
                <w:rFonts w:ascii="Arial" w:eastAsia="宋体" w:hAnsi="Arial" w:cs="Arial"/>
                <w:color w:val="000000"/>
                <w:sz w:val="18"/>
                <w:szCs w:val="18"/>
              </w:rPr>
              <w:t>938 </w:t>
            </w:r>
          </w:p>
        </w:tc>
        <w:tc>
          <w:tcPr>
            <w:tcW w:w="0" w:type="auto"/>
            <w:shd w:val="clear" w:color="auto" w:fill="CCEEFF"/>
            <w:tcMar>
              <w:top w:w="40" w:type="dxa"/>
              <w:left w:w="0" w:type="dxa"/>
              <w:bottom w:w="40" w:type="dxa"/>
              <w:right w:w="20" w:type="dxa"/>
            </w:tcMar>
            <w:vAlign w:val="bottom"/>
          </w:tcPr>
          <w:p w14:paraId="392C2F10" w14:textId="77777777" w:rsidR="00980E5F" w:rsidRDefault="00980E5F">
            <w:pPr>
              <w:jc w:val="right"/>
              <w:rPr>
                <w:rFonts w:ascii="宋体"/>
              </w:rPr>
            </w:pPr>
          </w:p>
        </w:tc>
        <w:tc>
          <w:tcPr>
            <w:tcW w:w="0" w:type="auto"/>
            <w:shd w:val="clear" w:color="auto" w:fill="auto"/>
            <w:vAlign w:val="bottom"/>
          </w:tcPr>
          <w:p w14:paraId="392C2F11" w14:textId="77777777" w:rsidR="00980E5F" w:rsidRDefault="00980E5F">
            <w:pPr>
              <w:rPr>
                <w:rFonts w:ascii="宋体"/>
                <w:vanish/>
              </w:rPr>
            </w:pPr>
          </w:p>
        </w:tc>
        <w:tc>
          <w:tcPr>
            <w:tcW w:w="0" w:type="auto"/>
            <w:shd w:val="clear" w:color="auto" w:fill="auto"/>
            <w:vAlign w:val="bottom"/>
          </w:tcPr>
          <w:p w14:paraId="392C2F12" w14:textId="77777777" w:rsidR="00980E5F" w:rsidRDefault="00980E5F">
            <w:pPr>
              <w:rPr>
                <w:rFonts w:ascii="宋体"/>
                <w:vanish/>
              </w:rPr>
            </w:pPr>
          </w:p>
        </w:tc>
      </w:tr>
      <w:tr w:rsidR="00980E5F" w14:paraId="392C2F22" w14:textId="77777777">
        <w:tc>
          <w:tcPr>
            <w:tcW w:w="0" w:type="auto"/>
            <w:gridSpan w:val="3"/>
            <w:shd w:val="clear" w:color="auto" w:fill="FFFFFF"/>
            <w:tcMar>
              <w:top w:w="40" w:type="dxa"/>
              <w:left w:w="20" w:type="dxa"/>
              <w:bottom w:w="40" w:type="dxa"/>
              <w:right w:w="20" w:type="dxa"/>
            </w:tcMar>
            <w:vAlign w:val="bottom"/>
          </w:tcPr>
          <w:p w14:paraId="392C2F14" w14:textId="77777777" w:rsidR="00980E5F" w:rsidRDefault="00483613">
            <w:pPr>
              <w:textAlignment w:val="bottom"/>
            </w:pPr>
            <w:r>
              <w:rPr>
                <w:rFonts w:ascii="Arial" w:eastAsia="宋体" w:hAnsi="Arial" w:cs="Arial"/>
                <w:color w:val="000000"/>
                <w:sz w:val="18"/>
                <w:szCs w:val="18"/>
              </w:rPr>
              <w:t>Interest expense</w:t>
            </w:r>
          </w:p>
        </w:tc>
        <w:tc>
          <w:tcPr>
            <w:tcW w:w="0" w:type="auto"/>
            <w:gridSpan w:val="2"/>
            <w:shd w:val="clear" w:color="auto" w:fill="FFFFFF"/>
            <w:tcMar>
              <w:top w:w="40" w:type="dxa"/>
              <w:left w:w="20" w:type="dxa"/>
              <w:bottom w:w="40" w:type="dxa"/>
              <w:right w:w="0" w:type="dxa"/>
            </w:tcMar>
            <w:vAlign w:val="bottom"/>
          </w:tcPr>
          <w:p w14:paraId="392C2F15" w14:textId="77777777" w:rsidR="00980E5F" w:rsidRDefault="00483613">
            <w:pPr>
              <w:jc w:val="right"/>
              <w:textAlignment w:val="bottom"/>
            </w:pPr>
            <w:r>
              <w:rPr>
                <w:rFonts w:ascii="Arial" w:eastAsia="宋体" w:hAnsi="Arial" w:cs="Arial"/>
                <w:b/>
                <w:bCs/>
                <w:color w:val="000000"/>
                <w:sz w:val="18"/>
                <w:szCs w:val="18"/>
              </w:rPr>
              <w:t>120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1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1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18" w14:textId="77777777" w:rsidR="00980E5F" w:rsidRDefault="0048361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1B" w14:textId="77777777" w:rsidR="00980E5F" w:rsidRDefault="00483613">
            <w:pPr>
              <w:jc w:val="right"/>
              <w:textAlignment w:val="bottom"/>
            </w:pPr>
            <w:r>
              <w:rPr>
                <w:rFonts w:ascii="Arial" w:eastAsia="宋体" w:hAnsi="Arial" w:cs="Arial"/>
                <w:b/>
                <w:bCs/>
                <w:color w:val="000000"/>
                <w:sz w:val="18"/>
                <w:szCs w:val="18"/>
              </w:rPr>
              <w:t>132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1E" w14:textId="77777777" w:rsidR="00980E5F" w:rsidRDefault="00483613">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392C2F1F" w14:textId="77777777" w:rsidR="00980E5F" w:rsidRDefault="00980E5F">
            <w:pPr>
              <w:jc w:val="right"/>
              <w:rPr>
                <w:rFonts w:ascii="宋体"/>
              </w:rPr>
            </w:pPr>
          </w:p>
        </w:tc>
        <w:tc>
          <w:tcPr>
            <w:tcW w:w="0" w:type="auto"/>
            <w:shd w:val="clear" w:color="auto" w:fill="auto"/>
            <w:vAlign w:val="bottom"/>
          </w:tcPr>
          <w:p w14:paraId="392C2F20" w14:textId="77777777" w:rsidR="00980E5F" w:rsidRDefault="00980E5F">
            <w:pPr>
              <w:rPr>
                <w:rFonts w:ascii="宋体"/>
                <w:vanish/>
              </w:rPr>
            </w:pPr>
          </w:p>
        </w:tc>
        <w:tc>
          <w:tcPr>
            <w:tcW w:w="0" w:type="auto"/>
            <w:shd w:val="clear" w:color="auto" w:fill="auto"/>
            <w:vAlign w:val="bottom"/>
          </w:tcPr>
          <w:p w14:paraId="392C2F21" w14:textId="77777777" w:rsidR="00980E5F" w:rsidRDefault="00980E5F">
            <w:pPr>
              <w:rPr>
                <w:rFonts w:ascii="宋体"/>
                <w:vanish/>
              </w:rPr>
            </w:pPr>
          </w:p>
        </w:tc>
      </w:tr>
      <w:tr w:rsidR="00980E5F" w14:paraId="392C2F31" w14:textId="77777777">
        <w:tc>
          <w:tcPr>
            <w:tcW w:w="0" w:type="auto"/>
            <w:gridSpan w:val="3"/>
            <w:shd w:val="clear" w:color="auto" w:fill="CCEEFF"/>
            <w:tcMar>
              <w:top w:w="40" w:type="dxa"/>
              <w:left w:w="20" w:type="dxa"/>
              <w:bottom w:w="40" w:type="dxa"/>
              <w:right w:w="20" w:type="dxa"/>
            </w:tcMar>
            <w:vAlign w:val="bottom"/>
          </w:tcPr>
          <w:p w14:paraId="392C2F23" w14:textId="77777777" w:rsidR="00980E5F" w:rsidRDefault="00483613">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24" w14:textId="77777777" w:rsidR="00980E5F" w:rsidRDefault="00483613">
            <w:pPr>
              <w:jc w:val="right"/>
              <w:textAlignment w:val="bottom"/>
            </w:pPr>
            <w:r>
              <w:rPr>
                <w:rFonts w:ascii="Arial" w:eastAsia="宋体" w:hAnsi="Arial" w:cs="Arial"/>
                <w:b/>
                <w:bCs/>
                <w:color w:val="000000"/>
                <w:sz w:val="18"/>
                <w:szCs w:val="18"/>
              </w:rPr>
              <w:t>584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2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27" w14:textId="77777777" w:rsidR="00980E5F" w:rsidRDefault="00483613">
            <w:pPr>
              <w:jc w:val="right"/>
              <w:textAlignment w:val="bottom"/>
            </w:pPr>
            <w:r>
              <w:rPr>
                <w:rFonts w:ascii="Arial" w:eastAsia="宋体" w:hAnsi="Arial" w:cs="Arial"/>
                <w:color w:val="000000"/>
                <w:sz w:val="18"/>
                <w:szCs w:val="18"/>
              </w:rPr>
              <w:t>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2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2A" w14:textId="77777777" w:rsidR="00980E5F" w:rsidRDefault="00483613">
            <w:pPr>
              <w:jc w:val="right"/>
              <w:textAlignment w:val="bottom"/>
            </w:pPr>
            <w:r>
              <w:rPr>
                <w:rFonts w:ascii="Arial" w:eastAsia="宋体" w:hAnsi="Arial" w:cs="Arial"/>
                <w:b/>
                <w:bCs/>
                <w:color w:val="000000"/>
                <w:sz w:val="18"/>
                <w:szCs w:val="18"/>
              </w:rPr>
              <w:t>1,093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2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2D" w14:textId="77777777" w:rsidR="00980E5F" w:rsidRDefault="00483613">
            <w:pPr>
              <w:jc w:val="right"/>
              <w:textAlignment w:val="bottom"/>
            </w:pPr>
            <w:r>
              <w:rPr>
                <w:rFonts w:ascii="Arial" w:eastAsia="宋体" w:hAnsi="Arial" w:cs="Arial"/>
                <w:color w:val="000000"/>
                <w:sz w:val="18"/>
                <w:szCs w:val="18"/>
              </w:rPr>
              <w:t>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2E" w14:textId="77777777" w:rsidR="00980E5F" w:rsidRDefault="00980E5F">
            <w:pPr>
              <w:jc w:val="right"/>
              <w:rPr>
                <w:rFonts w:ascii="宋体"/>
              </w:rPr>
            </w:pPr>
          </w:p>
        </w:tc>
        <w:tc>
          <w:tcPr>
            <w:tcW w:w="0" w:type="auto"/>
            <w:shd w:val="clear" w:color="auto" w:fill="auto"/>
            <w:vAlign w:val="bottom"/>
          </w:tcPr>
          <w:p w14:paraId="392C2F2F" w14:textId="77777777" w:rsidR="00980E5F" w:rsidRDefault="00980E5F">
            <w:pPr>
              <w:rPr>
                <w:rFonts w:ascii="宋体"/>
                <w:vanish/>
              </w:rPr>
            </w:pPr>
          </w:p>
        </w:tc>
        <w:tc>
          <w:tcPr>
            <w:tcW w:w="0" w:type="auto"/>
            <w:shd w:val="clear" w:color="auto" w:fill="auto"/>
            <w:vAlign w:val="bottom"/>
          </w:tcPr>
          <w:p w14:paraId="392C2F30" w14:textId="77777777" w:rsidR="00980E5F" w:rsidRDefault="00980E5F">
            <w:pPr>
              <w:rPr>
                <w:rFonts w:ascii="宋体"/>
                <w:vanish/>
              </w:rPr>
            </w:pPr>
          </w:p>
        </w:tc>
      </w:tr>
      <w:tr w:rsidR="00980E5F" w14:paraId="392C2F3C" w14:textId="77777777">
        <w:tc>
          <w:tcPr>
            <w:tcW w:w="0" w:type="auto"/>
            <w:gridSpan w:val="3"/>
            <w:shd w:val="clear" w:color="auto" w:fill="FFFFFF"/>
            <w:tcMar>
              <w:top w:w="40" w:type="dxa"/>
              <w:left w:w="20" w:type="dxa"/>
              <w:bottom w:w="40" w:type="dxa"/>
              <w:right w:w="20" w:type="dxa"/>
            </w:tcMar>
            <w:vAlign w:val="bottom"/>
          </w:tcPr>
          <w:p w14:paraId="392C2F32" w14:textId="77777777" w:rsidR="00980E5F" w:rsidRDefault="00483613">
            <w:pPr>
              <w:textAlignment w:val="bottom"/>
            </w:pPr>
            <w:r>
              <w:rPr>
                <w:rFonts w:ascii="Arial" w:eastAsia="宋体" w:hAnsi="Arial" w:cs="Arial"/>
                <w:b/>
                <w:bCs/>
                <w:color w:val="000000"/>
                <w:sz w:val="18"/>
                <w:szCs w:val="18"/>
              </w:rPr>
              <w:t>Other income:</w:t>
            </w:r>
          </w:p>
        </w:tc>
        <w:tc>
          <w:tcPr>
            <w:tcW w:w="0" w:type="auto"/>
            <w:gridSpan w:val="3"/>
            <w:shd w:val="clear" w:color="auto" w:fill="FFFFFF"/>
            <w:tcMar>
              <w:top w:w="0" w:type="dxa"/>
              <w:left w:w="20" w:type="dxa"/>
              <w:bottom w:w="0" w:type="dxa"/>
              <w:right w:w="20" w:type="dxa"/>
            </w:tcMar>
            <w:vAlign w:val="bottom"/>
          </w:tcPr>
          <w:p w14:paraId="392C2F3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39" w14:textId="77777777" w:rsidR="00980E5F" w:rsidRDefault="00980E5F">
            <w:pPr>
              <w:rPr>
                <w:rFonts w:ascii="宋体"/>
              </w:rPr>
            </w:pPr>
          </w:p>
        </w:tc>
        <w:tc>
          <w:tcPr>
            <w:tcW w:w="0" w:type="auto"/>
            <w:shd w:val="clear" w:color="auto" w:fill="auto"/>
            <w:vAlign w:val="bottom"/>
          </w:tcPr>
          <w:p w14:paraId="392C2F3A" w14:textId="77777777" w:rsidR="00980E5F" w:rsidRDefault="00980E5F">
            <w:pPr>
              <w:rPr>
                <w:rFonts w:ascii="宋体"/>
                <w:vanish/>
              </w:rPr>
            </w:pPr>
          </w:p>
        </w:tc>
        <w:tc>
          <w:tcPr>
            <w:tcW w:w="0" w:type="auto"/>
            <w:shd w:val="clear" w:color="auto" w:fill="auto"/>
            <w:vAlign w:val="bottom"/>
          </w:tcPr>
          <w:p w14:paraId="392C2F3B" w14:textId="77777777" w:rsidR="00980E5F" w:rsidRDefault="00980E5F">
            <w:pPr>
              <w:rPr>
                <w:rFonts w:ascii="宋体"/>
                <w:vanish/>
              </w:rPr>
            </w:pPr>
          </w:p>
        </w:tc>
      </w:tr>
      <w:tr w:rsidR="00980E5F" w14:paraId="392C2F47" w14:textId="77777777">
        <w:trPr>
          <w:hidden/>
        </w:trPr>
        <w:tc>
          <w:tcPr>
            <w:tcW w:w="0" w:type="auto"/>
            <w:gridSpan w:val="3"/>
            <w:shd w:val="clear" w:color="auto" w:fill="auto"/>
            <w:vAlign w:val="bottom"/>
          </w:tcPr>
          <w:p w14:paraId="392C2F3D" w14:textId="77777777" w:rsidR="00980E5F" w:rsidRDefault="00980E5F">
            <w:pPr>
              <w:rPr>
                <w:rFonts w:ascii="宋体"/>
                <w:vanish/>
              </w:rPr>
            </w:pPr>
          </w:p>
        </w:tc>
        <w:tc>
          <w:tcPr>
            <w:tcW w:w="0" w:type="auto"/>
            <w:gridSpan w:val="3"/>
            <w:shd w:val="clear" w:color="auto" w:fill="auto"/>
            <w:vAlign w:val="bottom"/>
          </w:tcPr>
          <w:p w14:paraId="392C2F3E" w14:textId="77777777" w:rsidR="00980E5F" w:rsidRDefault="00980E5F">
            <w:pPr>
              <w:rPr>
                <w:rFonts w:ascii="宋体"/>
                <w:vanish/>
              </w:rPr>
            </w:pPr>
          </w:p>
        </w:tc>
        <w:tc>
          <w:tcPr>
            <w:tcW w:w="0" w:type="auto"/>
            <w:gridSpan w:val="3"/>
            <w:shd w:val="clear" w:color="auto" w:fill="auto"/>
            <w:vAlign w:val="bottom"/>
          </w:tcPr>
          <w:p w14:paraId="392C2F3F" w14:textId="77777777" w:rsidR="00980E5F" w:rsidRDefault="00980E5F">
            <w:pPr>
              <w:rPr>
                <w:rFonts w:ascii="宋体"/>
                <w:vanish/>
              </w:rPr>
            </w:pPr>
          </w:p>
        </w:tc>
        <w:tc>
          <w:tcPr>
            <w:tcW w:w="0" w:type="auto"/>
            <w:gridSpan w:val="3"/>
            <w:shd w:val="clear" w:color="auto" w:fill="auto"/>
            <w:vAlign w:val="bottom"/>
          </w:tcPr>
          <w:p w14:paraId="392C2F40" w14:textId="77777777" w:rsidR="00980E5F" w:rsidRDefault="00980E5F">
            <w:pPr>
              <w:rPr>
                <w:rFonts w:ascii="宋体"/>
                <w:vanish/>
              </w:rPr>
            </w:pPr>
          </w:p>
        </w:tc>
        <w:tc>
          <w:tcPr>
            <w:tcW w:w="0" w:type="auto"/>
            <w:gridSpan w:val="3"/>
            <w:shd w:val="clear" w:color="auto" w:fill="auto"/>
            <w:vAlign w:val="bottom"/>
          </w:tcPr>
          <w:p w14:paraId="392C2F41" w14:textId="77777777" w:rsidR="00980E5F" w:rsidRDefault="00980E5F">
            <w:pPr>
              <w:rPr>
                <w:rFonts w:ascii="宋体"/>
                <w:vanish/>
              </w:rPr>
            </w:pPr>
          </w:p>
        </w:tc>
        <w:tc>
          <w:tcPr>
            <w:tcW w:w="0" w:type="auto"/>
            <w:gridSpan w:val="3"/>
            <w:shd w:val="clear" w:color="auto" w:fill="auto"/>
            <w:vAlign w:val="bottom"/>
          </w:tcPr>
          <w:p w14:paraId="392C2F42" w14:textId="77777777" w:rsidR="00980E5F" w:rsidRDefault="00980E5F">
            <w:pPr>
              <w:rPr>
                <w:rFonts w:ascii="宋体"/>
                <w:vanish/>
              </w:rPr>
            </w:pPr>
          </w:p>
        </w:tc>
        <w:tc>
          <w:tcPr>
            <w:tcW w:w="0" w:type="auto"/>
            <w:gridSpan w:val="3"/>
            <w:shd w:val="clear" w:color="auto" w:fill="auto"/>
            <w:vAlign w:val="bottom"/>
          </w:tcPr>
          <w:p w14:paraId="392C2F43" w14:textId="77777777" w:rsidR="00980E5F" w:rsidRDefault="00980E5F">
            <w:pPr>
              <w:rPr>
                <w:rFonts w:ascii="宋体"/>
                <w:vanish/>
              </w:rPr>
            </w:pPr>
          </w:p>
        </w:tc>
        <w:tc>
          <w:tcPr>
            <w:tcW w:w="0" w:type="auto"/>
            <w:gridSpan w:val="3"/>
            <w:shd w:val="clear" w:color="auto" w:fill="auto"/>
            <w:vAlign w:val="bottom"/>
          </w:tcPr>
          <w:p w14:paraId="392C2F44" w14:textId="77777777" w:rsidR="00980E5F" w:rsidRDefault="00980E5F">
            <w:pPr>
              <w:rPr>
                <w:rFonts w:ascii="宋体"/>
                <w:vanish/>
              </w:rPr>
            </w:pPr>
          </w:p>
        </w:tc>
        <w:tc>
          <w:tcPr>
            <w:tcW w:w="0" w:type="auto"/>
            <w:shd w:val="clear" w:color="auto" w:fill="auto"/>
            <w:vAlign w:val="bottom"/>
          </w:tcPr>
          <w:p w14:paraId="392C2F45" w14:textId="77777777" w:rsidR="00980E5F" w:rsidRDefault="00980E5F">
            <w:pPr>
              <w:rPr>
                <w:rFonts w:ascii="宋体"/>
                <w:vanish/>
              </w:rPr>
            </w:pPr>
          </w:p>
        </w:tc>
        <w:tc>
          <w:tcPr>
            <w:tcW w:w="0" w:type="auto"/>
            <w:shd w:val="clear" w:color="auto" w:fill="auto"/>
            <w:vAlign w:val="bottom"/>
          </w:tcPr>
          <w:p w14:paraId="392C2F46" w14:textId="77777777" w:rsidR="00980E5F" w:rsidRDefault="00980E5F">
            <w:pPr>
              <w:rPr>
                <w:rFonts w:ascii="宋体"/>
                <w:vanish/>
              </w:rPr>
            </w:pPr>
          </w:p>
        </w:tc>
      </w:tr>
      <w:tr w:rsidR="00980E5F" w14:paraId="392C2F52" w14:textId="77777777">
        <w:trPr>
          <w:hidden/>
        </w:trPr>
        <w:tc>
          <w:tcPr>
            <w:tcW w:w="0" w:type="auto"/>
            <w:gridSpan w:val="3"/>
            <w:shd w:val="clear" w:color="auto" w:fill="auto"/>
            <w:vAlign w:val="bottom"/>
          </w:tcPr>
          <w:p w14:paraId="392C2F48" w14:textId="77777777" w:rsidR="00980E5F" w:rsidRDefault="00980E5F">
            <w:pPr>
              <w:rPr>
                <w:rFonts w:ascii="宋体"/>
                <w:vanish/>
              </w:rPr>
            </w:pPr>
          </w:p>
        </w:tc>
        <w:tc>
          <w:tcPr>
            <w:tcW w:w="0" w:type="auto"/>
            <w:gridSpan w:val="3"/>
            <w:shd w:val="clear" w:color="auto" w:fill="auto"/>
            <w:vAlign w:val="bottom"/>
          </w:tcPr>
          <w:p w14:paraId="392C2F49" w14:textId="77777777" w:rsidR="00980E5F" w:rsidRDefault="00980E5F">
            <w:pPr>
              <w:rPr>
                <w:rFonts w:ascii="宋体"/>
                <w:vanish/>
              </w:rPr>
            </w:pPr>
          </w:p>
        </w:tc>
        <w:tc>
          <w:tcPr>
            <w:tcW w:w="0" w:type="auto"/>
            <w:gridSpan w:val="3"/>
            <w:shd w:val="clear" w:color="auto" w:fill="auto"/>
            <w:vAlign w:val="bottom"/>
          </w:tcPr>
          <w:p w14:paraId="392C2F4A" w14:textId="77777777" w:rsidR="00980E5F" w:rsidRDefault="00980E5F">
            <w:pPr>
              <w:rPr>
                <w:rFonts w:ascii="宋体"/>
                <w:vanish/>
              </w:rPr>
            </w:pPr>
          </w:p>
        </w:tc>
        <w:tc>
          <w:tcPr>
            <w:tcW w:w="0" w:type="auto"/>
            <w:gridSpan w:val="3"/>
            <w:shd w:val="clear" w:color="auto" w:fill="auto"/>
            <w:vAlign w:val="bottom"/>
          </w:tcPr>
          <w:p w14:paraId="392C2F4B" w14:textId="77777777" w:rsidR="00980E5F" w:rsidRDefault="00980E5F">
            <w:pPr>
              <w:rPr>
                <w:rFonts w:ascii="宋体"/>
                <w:vanish/>
              </w:rPr>
            </w:pPr>
          </w:p>
        </w:tc>
        <w:tc>
          <w:tcPr>
            <w:tcW w:w="0" w:type="auto"/>
            <w:gridSpan w:val="3"/>
            <w:shd w:val="clear" w:color="auto" w:fill="auto"/>
            <w:vAlign w:val="bottom"/>
          </w:tcPr>
          <w:p w14:paraId="392C2F4C" w14:textId="77777777" w:rsidR="00980E5F" w:rsidRDefault="00980E5F">
            <w:pPr>
              <w:rPr>
                <w:rFonts w:ascii="宋体"/>
                <w:vanish/>
              </w:rPr>
            </w:pPr>
          </w:p>
        </w:tc>
        <w:tc>
          <w:tcPr>
            <w:tcW w:w="0" w:type="auto"/>
            <w:gridSpan w:val="3"/>
            <w:shd w:val="clear" w:color="auto" w:fill="auto"/>
            <w:vAlign w:val="bottom"/>
          </w:tcPr>
          <w:p w14:paraId="392C2F4D" w14:textId="77777777" w:rsidR="00980E5F" w:rsidRDefault="00980E5F">
            <w:pPr>
              <w:rPr>
                <w:rFonts w:ascii="宋体"/>
                <w:vanish/>
              </w:rPr>
            </w:pPr>
          </w:p>
        </w:tc>
        <w:tc>
          <w:tcPr>
            <w:tcW w:w="0" w:type="auto"/>
            <w:gridSpan w:val="3"/>
            <w:shd w:val="clear" w:color="auto" w:fill="auto"/>
            <w:vAlign w:val="bottom"/>
          </w:tcPr>
          <w:p w14:paraId="392C2F4E" w14:textId="77777777" w:rsidR="00980E5F" w:rsidRDefault="00980E5F">
            <w:pPr>
              <w:rPr>
                <w:rFonts w:ascii="宋体"/>
                <w:vanish/>
              </w:rPr>
            </w:pPr>
          </w:p>
        </w:tc>
        <w:tc>
          <w:tcPr>
            <w:tcW w:w="0" w:type="auto"/>
            <w:gridSpan w:val="3"/>
            <w:shd w:val="clear" w:color="auto" w:fill="auto"/>
            <w:vAlign w:val="bottom"/>
          </w:tcPr>
          <w:p w14:paraId="392C2F4F" w14:textId="77777777" w:rsidR="00980E5F" w:rsidRDefault="00980E5F">
            <w:pPr>
              <w:rPr>
                <w:rFonts w:ascii="宋体"/>
                <w:vanish/>
              </w:rPr>
            </w:pPr>
          </w:p>
        </w:tc>
        <w:tc>
          <w:tcPr>
            <w:tcW w:w="0" w:type="auto"/>
            <w:shd w:val="clear" w:color="auto" w:fill="auto"/>
            <w:vAlign w:val="bottom"/>
          </w:tcPr>
          <w:p w14:paraId="392C2F50" w14:textId="77777777" w:rsidR="00980E5F" w:rsidRDefault="00980E5F">
            <w:pPr>
              <w:rPr>
                <w:rFonts w:ascii="宋体"/>
                <w:vanish/>
              </w:rPr>
            </w:pPr>
          </w:p>
        </w:tc>
        <w:tc>
          <w:tcPr>
            <w:tcW w:w="0" w:type="auto"/>
            <w:shd w:val="clear" w:color="auto" w:fill="auto"/>
            <w:vAlign w:val="bottom"/>
          </w:tcPr>
          <w:p w14:paraId="392C2F51" w14:textId="77777777" w:rsidR="00980E5F" w:rsidRDefault="00980E5F">
            <w:pPr>
              <w:rPr>
                <w:rFonts w:ascii="宋体"/>
                <w:vanish/>
              </w:rPr>
            </w:pPr>
          </w:p>
        </w:tc>
      </w:tr>
      <w:tr w:rsidR="00980E5F" w14:paraId="392C2F5D" w14:textId="77777777">
        <w:trPr>
          <w:hidden/>
        </w:trPr>
        <w:tc>
          <w:tcPr>
            <w:tcW w:w="0" w:type="auto"/>
            <w:gridSpan w:val="3"/>
            <w:shd w:val="clear" w:color="auto" w:fill="auto"/>
            <w:vAlign w:val="bottom"/>
          </w:tcPr>
          <w:p w14:paraId="392C2F53" w14:textId="77777777" w:rsidR="00980E5F" w:rsidRDefault="00980E5F">
            <w:pPr>
              <w:rPr>
                <w:rFonts w:ascii="宋体"/>
                <w:vanish/>
              </w:rPr>
            </w:pPr>
          </w:p>
        </w:tc>
        <w:tc>
          <w:tcPr>
            <w:tcW w:w="0" w:type="auto"/>
            <w:gridSpan w:val="3"/>
            <w:shd w:val="clear" w:color="auto" w:fill="auto"/>
            <w:vAlign w:val="bottom"/>
          </w:tcPr>
          <w:p w14:paraId="392C2F54" w14:textId="77777777" w:rsidR="00980E5F" w:rsidRDefault="00980E5F">
            <w:pPr>
              <w:rPr>
                <w:rFonts w:ascii="宋体"/>
                <w:vanish/>
              </w:rPr>
            </w:pPr>
          </w:p>
        </w:tc>
        <w:tc>
          <w:tcPr>
            <w:tcW w:w="0" w:type="auto"/>
            <w:gridSpan w:val="3"/>
            <w:shd w:val="clear" w:color="auto" w:fill="auto"/>
            <w:vAlign w:val="bottom"/>
          </w:tcPr>
          <w:p w14:paraId="392C2F55" w14:textId="77777777" w:rsidR="00980E5F" w:rsidRDefault="00980E5F">
            <w:pPr>
              <w:rPr>
                <w:rFonts w:ascii="宋体"/>
                <w:vanish/>
              </w:rPr>
            </w:pPr>
          </w:p>
        </w:tc>
        <w:tc>
          <w:tcPr>
            <w:tcW w:w="0" w:type="auto"/>
            <w:gridSpan w:val="3"/>
            <w:shd w:val="clear" w:color="auto" w:fill="auto"/>
            <w:vAlign w:val="bottom"/>
          </w:tcPr>
          <w:p w14:paraId="392C2F56" w14:textId="77777777" w:rsidR="00980E5F" w:rsidRDefault="00980E5F">
            <w:pPr>
              <w:rPr>
                <w:rFonts w:ascii="宋体"/>
                <w:vanish/>
              </w:rPr>
            </w:pPr>
          </w:p>
        </w:tc>
        <w:tc>
          <w:tcPr>
            <w:tcW w:w="0" w:type="auto"/>
            <w:gridSpan w:val="3"/>
            <w:shd w:val="clear" w:color="auto" w:fill="auto"/>
            <w:vAlign w:val="bottom"/>
          </w:tcPr>
          <w:p w14:paraId="392C2F57" w14:textId="77777777" w:rsidR="00980E5F" w:rsidRDefault="00980E5F">
            <w:pPr>
              <w:rPr>
                <w:rFonts w:ascii="宋体"/>
                <w:vanish/>
              </w:rPr>
            </w:pPr>
          </w:p>
        </w:tc>
        <w:tc>
          <w:tcPr>
            <w:tcW w:w="0" w:type="auto"/>
            <w:gridSpan w:val="3"/>
            <w:shd w:val="clear" w:color="auto" w:fill="auto"/>
            <w:vAlign w:val="bottom"/>
          </w:tcPr>
          <w:p w14:paraId="392C2F58" w14:textId="77777777" w:rsidR="00980E5F" w:rsidRDefault="00980E5F">
            <w:pPr>
              <w:rPr>
                <w:rFonts w:ascii="宋体"/>
                <w:vanish/>
              </w:rPr>
            </w:pPr>
          </w:p>
        </w:tc>
        <w:tc>
          <w:tcPr>
            <w:tcW w:w="0" w:type="auto"/>
            <w:gridSpan w:val="3"/>
            <w:shd w:val="clear" w:color="auto" w:fill="auto"/>
            <w:vAlign w:val="bottom"/>
          </w:tcPr>
          <w:p w14:paraId="392C2F59" w14:textId="77777777" w:rsidR="00980E5F" w:rsidRDefault="00980E5F">
            <w:pPr>
              <w:rPr>
                <w:rFonts w:ascii="宋体"/>
                <w:vanish/>
              </w:rPr>
            </w:pPr>
          </w:p>
        </w:tc>
        <w:tc>
          <w:tcPr>
            <w:tcW w:w="0" w:type="auto"/>
            <w:gridSpan w:val="3"/>
            <w:shd w:val="clear" w:color="auto" w:fill="auto"/>
            <w:vAlign w:val="bottom"/>
          </w:tcPr>
          <w:p w14:paraId="392C2F5A" w14:textId="77777777" w:rsidR="00980E5F" w:rsidRDefault="00980E5F">
            <w:pPr>
              <w:rPr>
                <w:rFonts w:ascii="宋体"/>
                <w:vanish/>
              </w:rPr>
            </w:pPr>
          </w:p>
        </w:tc>
        <w:tc>
          <w:tcPr>
            <w:tcW w:w="0" w:type="auto"/>
            <w:shd w:val="clear" w:color="auto" w:fill="auto"/>
            <w:vAlign w:val="bottom"/>
          </w:tcPr>
          <w:p w14:paraId="392C2F5B" w14:textId="77777777" w:rsidR="00980E5F" w:rsidRDefault="00980E5F">
            <w:pPr>
              <w:rPr>
                <w:rFonts w:ascii="宋体"/>
                <w:vanish/>
              </w:rPr>
            </w:pPr>
          </w:p>
        </w:tc>
        <w:tc>
          <w:tcPr>
            <w:tcW w:w="0" w:type="auto"/>
            <w:shd w:val="clear" w:color="auto" w:fill="auto"/>
            <w:vAlign w:val="bottom"/>
          </w:tcPr>
          <w:p w14:paraId="392C2F5C" w14:textId="77777777" w:rsidR="00980E5F" w:rsidRDefault="00980E5F">
            <w:pPr>
              <w:rPr>
                <w:rFonts w:ascii="宋体"/>
                <w:vanish/>
              </w:rPr>
            </w:pPr>
          </w:p>
        </w:tc>
      </w:tr>
      <w:tr w:rsidR="00980E5F" w14:paraId="392C2F6C" w14:textId="77777777">
        <w:tc>
          <w:tcPr>
            <w:tcW w:w="0" w:type="auto"/>
            <w:gridSpan w:val="3"/>
            <w:shd w:val="clear" w:color="auto" w:fill="CCEEFF"/>
            <w:tcMar>
              <w:top w:w="40" w:type="dxa"/>
              <w:left w:w="20" w:type="dxa"/>
              <w:bottom w:w="40" w:type="dxa"/>
              <w:right w:w="20" w:type="dxa"/>
            </w:tcMar>
            <w:vAlign w:val="bottom"/>
          </w:tcPr>
          <w:p w14:paraId="392C2F5E" w14:textId="77777777" w:rsidR="00980E5F" w:rsidRDefault="00483613">
            <w:pPr>
              <w:textAlignment w:val="bottom"/>
            </w:pPr>
            <w:r>
              <w:rPr>
                <w:rFonts w:ascii="Arial" w:eastAsia="宋体" w:hAnsi="Arial" w:cs="Arial"/>
                <w:color w:val="000000"/>
                <w:sz w:val="18"/>
                <w:szCs w:val="18"/>
              </w:rPr>
              <w:t xml:space="preserve">Gains (losses) related to investment </w:t>
            </w:r>
            <w:r>
              <w:rPr>
                <w:rFonts w:ascii="Arial" w:eastAsia="宋体" w:hAnsi="Arial" w:cs="Arial"/>
                <w:color w:val="000000"/>
                <w:sz w:val="18"/>
                <w:szCs w:val="18"/>
              </w:rPr>
              <w:t>securities, net</w:t>
            </w:r>
          </w:p>
        </w:tc>
        <w:tc>
          <w:tcPr>
            <w:tcW w:w="0" w:type="auto"/>
            <w:gridSpan w:val="2"/>
            <w:shd w:val="clear" w:color="auto" w:fill="CCEEFF"/>
            <w:tcMar>
              <w:top w:w="40" w:type="dxa"/>
              <w:left w:w="20" w:type="dxa"/>
              <w:bottom w:w="40" w:type="dxa"/>
              <w:right w:w="0" w:type="dxa"/>
            </w:tcMar>
            <w:vAlign w:val="bottom"/>
          </w:tcPr>
          <w:p w14:paraId="392C2F5F" w14:textId="77777777" w:rsidR="00980E5F" w:rsidRDefault="00483613">
            <w:pPr>
              <w:jc w:val="right"/>
              <w:textAlignment w:val="bottom"/>
            </w:pPr>
            <w:r>
              <w:rPr>
                <w:rFonts w:ascii="Arial" w:eastAsia="宋体" w:hAnsi="Arial" w:cs="Arial"/>
                <w:b/>
                <w:bCs/>
                <w:color w:val="000000"/>
                <w:sz w:val="18"/>
                <w:szCs w:val="18"/>
              </w:rPr>
              <w:t>(1)</w:t>
            </w:r>
          </w:p>
        </w:tc>
        <w:tc>
          <w:tcPr>
            <w:tcW w:w="0" w:type="auto"/>
            <w:shd w:val="clear" w:color="auto" w:fill="CCEEFF"/>
            <w:tcMar>
              <w:top w:w="40" w:type="dxa"/>
              <w:left w:w="0" w:type="dxa"/>
              <w:bottom w:w="40" w:type="dxa"/>
              <w:right w:w="20" w:type="dxa"/>
            </w:tcMar>
            <w:vAlign w:val="bottom"/>
          </w:tcPr>
          <w:p w14:paraId="392C2F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62" w14:textId="77777777" w:rsidR="00980E5F" w:rsidRDefault="004836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65" w14:textId="77777777" w:rsidR="00980E5F" w:rsidRDefault="00483613">
            <w:pPr>
              <w:jc w:val="right"/>
              <w:textAlignment w:val="bottom"/>
            </w:pPr>
            <w:r>
              <w:rPr>
                <w:rFonts w:ascii="Arial" w:eastAsia="宋体" w:hAnsi="Arial" w:cs="Arial"/>
                <w:b/>
                <w:bCs/>
                <w:color w:val="000000"/>
                <w:sz w:val="18"/>
                <w:szCs w:val="18"/>
              </w:rPr>
              <w:t>(2)</w:t>
            </w:r>
          </w:p>
        </w:tc>
        <w:tc>
          <w:tcPr>
            <w:tcW w:w="0" w:type="auto"/>
            <w:shd w:val="clear" w:color="auto" w:fill="CCEEFF"/>
            <w:tcMar>
              <w:top w:w="40" w:type="dxa"/>
              <w:left w:w="0" w:type="dxa"/>
              <w:bottom w:w="40" w:type="dxa"/>
              <w:right w:w="20" w:type="dxa"/>
            </w:tcMar>
            <w:vAlign w:val="bottom"/>
          </w:tcPr>
          <w:p w14:paraId="392C2F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68" w14:textId="77777777" w:rsidR="00980E5F" w:rsidRDefault="004836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69" w14:textId="77777777" w:rsidR="00980E5F" w:rsidRDefault="00980E5F">
            <w:pPr>
              <w:jc w:val="right"/>
              <w:rPr>
                <w:rFonts w:ascii="宋体"/>
              </w:rPr>
            </w:pPr>
          </w:p>
        </w:tc>
        <w:tc>
          <w:tcPr>
            <w:tcW w:w="0" w:type="auto"/>
            <w:shd w:val="clear" w:color="auto" w:fill="auto"/>
            <w:vAlign w:val="bottom"/>
          </w:tcPr>
          <w:p w14:paraId="392C2F6A" w14:textId="77777777" w:rsidR="00980E5F" w:rsidRDefault="00980E5F">
            <w:pPr>
              <w:rPr>
                <w:rFonts w:ascii="宋体"/>
                <w:vanish/>
              </w:rPr>
            </w:pPr>
          </w:p>
        </w:tc>
        <w:tc>
          <w:tcPr>
            <w:tcW w:w="0" w:type="auto"/>
            <w:shd w:val="clear" w:color="auto" w:fill="auto"/>
            <w:vAlign w:val="bottom"/>
          </w:tcPr>
          <w:p w14:paraId="392C2F6B" w14:textId="77777777" w:rsidR="00980E5F" w:rsidRDefault="00980E5F">
            <w:pPr>
              <w:rPr>
                <w:rFonts w:ascii="宋体"/>
                <w:vanish/>
              </w:rPr>
            </w:pPr>
          </w:p>
        </w:tc>
      </w:tr>
      <w:tr w:rsidR="00980E5F" w14:paraId="392C2F7B" w14:textId="77777777">
        <w:tc>
          <w:tcPr>
            <w:tcW w:w="0" w:type="auto"/>
            <w:gridSpan w:val="3"/>
            <w:shd w:val="clear" w:color="auto" w:fill="FFFFFF"/>
            <w:tcMar>
              <w:top w:w="40" w:type="dxa"/>
              <w:left w:w="20" w:type="dxa"/>
              <w:bottom w:w="40" w:type="dxa"/>
              <w:right w:w="20" w:type="dxa"/>
            </w:tcMar>
            <w:vAlign w:val="bottom"/>
          </w:tcPr>
          <w:p w14:paraId="392C2F6D" w14:textId="77777777" w:rsidR="00980E5F" w:rsidRDefault="00483613">
            <w:pPr>
              <w:textAlignment w:val="bottom"/>
            </w:pPr>
            <w:r>
              <w:rPr>
                <w:rFonts w:ascii="Arial" w:eastAsia="宋体" w:hAnsi="Arial" w:cs="Arial"/>
                <w:color w:val="000000"/>
                <w:sz w:val="18"/>
                <w:szCs w:val="18"/>
              </w:rPr>
              <w:t>Other income</w:t>
            </w:r>
          </w:p>
        </w:tc>
        <w:tc>
          <w:tcPr>
            <w:tcW w:w="0" w:type="auto"/>
            <w:gridSpan w:val="2"/>
            <w:shd w:val="clear" w:color="auto" w:fill="FFFFFF"/>
            <w:tcMar>
              <w:top w:w="40" w:type="dxa"/>
              <w:left w:w="20" w:type="dxa"/>
              <w:bottom w:w="40" w:type="dxa"/>
              <w:right w:w="0" w:type="dxa"/>
            </w:tcMar>
            <w:vAlign w:val="bottom"/>
          </w:tcPr>
          <w:p w14:paraId="392C2F6E" w14:textId="77777777" w:rsidR="00980E5F" w:rsidRDefault="00483613">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7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71" w14:textId="77777777" w:rsidR="00980E5F" w:rsidRDefault="00483613">
            <w:pPr>
              <w:jc w:val="right"/>
              <w:textAlignment w:val="bottom"/>
            </w:pPr>
            <w:r>
              <w:rPr>
                <w:rFonts w:ascii="Arial" w:eastAsia="宋体" w:hAnsi="Arial" w:cs="Arial"/>
                <w:color w:val="000000"/>
                <w:sz w:val="18"/>
                <w:szCs w:val="18"/>
              </w:rPr>
              <w:t>53 </w:t>
            </w:r>
          </w:p>
        </w:tc>
        <w:tc>
          <w:tcPr>
            <w:tcW w:w="0" w:type="auto"/>
            <w:shd w:val="clear" w:color="auto" w:fill="FFFFFF"/>
            <w:tcMar>
              <w:top w:w="40" w:type="dxa"/>
              <w:left w:w="0" w:type="dxa"/>
              <w:bottom w:w="40" w:type="dxa"/>
              <w:right w:w="20" w:type="dxa"/>
            </w:tcMar>
            <w:vAlign w:val="bottom"/>
          </w:tcPr>
          <w:p w14:paraId="392C2F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74" w14:textId="77777777" w:rsidR="00980E5F" w:rsidRDefault="00483613">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77" w14:textId="77777777" w:rsidR="00980E5F" w:rsidRDefault="00483613">
            <w:pPr>
              <w:jc w:val="right"/>
              <w:textAlignment w:val="bottom"/>
            </w:pPr>
            <w:r>
              <w:rPr>
                <w:rFonts w:ascii="Arial" w:eastAsia="宋体" w:hAnsi="Arial" w:cs="Arial"/>
                <w:color w:val="000000"/>
                <w:sz w:val="18"/>
                <w:szCs w:val="18"/>
              </w:rPr>
              <w:t>53 </w:t>
            </w:r>
          </w:p>
        </w:tc>
        <w:tc>
          <w:tcPr>
            <w:tcW w:w="0" w:type="auto"/>
            <w:shd w:val="clear" w:color="auto" w:fill="FFFFFF"/>
            <w:tcMar>
              <w:top w:w="40" w:type="dxa"/>
              <w:left w:w="0" w:type="dxa"/>
              <w:bottom w:w="40" w:type="dxa"/>
              <w:right w:w="20" w:type="dxa"/>
            </w:tcMar>
            <w:vAlign w:val="bottom"/>
          </w:tcPr>
          <w:p w14:paraId="392C2F78" w14:textId="77777777" w:rsidR="00980E5F" w:rsidRDefault="00980E5F">
            <w:pPr>
              <w:jc w:val="right"/>
              <w:rPr>
                <w:rFonts w:ascii="宋体"/>
              </w:rPr>
            </w:pPr>
          </w:p>
        </w:tc>
        <w:tc>
          <w:tcPr>
            <w:tcW w:w="0" w:type="auto"/>
            <w:shd w:val="clear" w:color="auto" w:fill="auto"/>
            <w:vAlign w:val="bottom"/>
          </w:tcPr>
          <w:p w14:paraId="392C2F79" w14:textId="77777777" w:rsidR="00980E5F" w:rsidRDefault="00980E5F">
            <w:pPr>
              <w:rPr>
                <w:rFonts w:ascii="宋体"/>
                <w:vanish/>
              </w:rPr>
            </w:pPr>
          </w:p>
        </w:tc>
        <w:tc>
          <w:tcPr>
            <w:tcW w:w="0" w:type="auto"/>
            <w:shd w:val="clear" w:color="auto" w:fill="auto"/>
            <w:vAlign w:val="bottom"/>
          </w:tcPr>
          <w:p w14:paraId="392C2F7A" w14:textId="77777777" w:rsidR="00980E5F" w:rsidRDefault="00980E5F">
            <w:pPr>
              <w:rPr>
                <w:rFonts w:ascii="宋体"/>
                <w:vanish/>
              </w:rPr>
            </w:pPr>
          </w:p>
        </w:tc>
      </w:tr>
      <w:tr w:rsidR="00980E5F" w14:paraId="392C2F8A" w14:textId="77777777">
        <w:tc>
          <w:tcPr>
            <w:tcW w:w="0" w:type="auto"/>
            <w:gridSpan w:val="3"/>
            <w:shd w:val="clear" w:color="auto" w:fill="CCEEFF"/>
            <w:tcMar>
              <w:top w:w="40" w:type="dxa"/>
              <w:left w:w="20" w:type="dxa"/>
              <w:bottom w:w="40" w:type="dxa"/>
              <w:right w:w="20" w:type="dxa"/>
            </w:tcMar>
            <w:vAlign w:val="bottom"/>
          </w:tcPr>
          <w:p w14:paraId="392C2F7C" w14:textId="77777777" w:rsidR="00980E5F" w:rsidRDefault="00483613">
            <w:pPr>
              <w:textAlignment w:val="bottom"/>
            </w:pPr>
            <w:r>
              <w:rPr>
                <w:rFonts w:ascii="Arial" w:eastAsia="宋体" w:hAnsi="Arial" w:cs="Arial"/>
                <w:color w:val="000000"/>
                <w:sz w:val="18"/>
                <w:szCs w:val="18"/>
              </w:rPr>
              <w:t>Total other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7D" w14:textId="77777777" w:rsidR="00980E5F" w:rsidRDefault="00483613">
            <w:pPr>
              <w:jc w:val="right"/>
              <w:textAlignment w:val="bottom"/>
            </w:pPr>
            <w:r>
              <w:rPr>
                <w:rFonts w:ascii="Arial" w:eastAsia="宋体" w:hAnsi="Arial" w:cs="Arial"/>
                <w:b/>
                <w:bCs/>
                <w:color w:val="000000"/>
                <w:sz w:val="18"/>
                <w:szCs w:val="18"/>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7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80" w14:textId="77777777" w:rsidR="00980E5F" w:rsidRDefault="00483613">
            <w:pPr>
              <w:jc w:val="right"/>
              <w:textAlignment w:val="bottom"/>
            </w:pPr>
            <w:r>
              <w:rPr>
                <w:rFonts w:ascii="Arial" w:eastAsia="宋体" w:hAnsi="Arial" w:cs="Arial"/>
                <w:color w:val="000000"/>
                <w:sz w:val="18"/>
                <w:szCs w:val="18"/>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8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83" w14:textId="77777777" w:rsidR="00980E5F" w:rsidRDefault="00483613">
            <w:pPr>
              <w:jc w:val="right"/>
              <w:textAlignment w:val="bottom"/>
            </w:pPr>
            <w:r>
              <w:rPr>
                <w:rFonts w:ascii="Arial" w:eastAsia="宋体" w:hAnsi="Arial" w:cs="Arial"/>
                <w:b/>
                <w:bCs/>
                <w:color w:val="000000"/>
                <w:sz w:val="18"/>
                <w:szCs w:val="18"/>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8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2F86" w14:textId="77777777" w:rsidR="00980E5F" w:rsidRDefault="00483613">
            <w:pPr>
              <w:jc w:val="right"/>
              <w:textAlignment w:val="bottom"/>
            </w:pPr>
            <w:r>
              <w:rPr>
                <w:rFonts w:ascii="Arial" w:eastAsia="宋体" w:hAnsi="Arial" w:cs="Arial"/>
                <w:color w:val="000000"/>
                <w:sz w:val="18"/>
                <w:szCs w:val="18"/>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2F87" w14:textId="77777777" w:rsidR="00980E5F" w:rsidRDefault="00980E5F">
            <w:pPr>
              <w:jc w:val="right"/>
              <w:rPr>
                <w:rFonts w:ascii="宋体"/>
              </w:rPr>
            </w:pPr>
          </w:p>
        </w:tc>
        <w:tc>
          <w:tcPr>
            <w:tcW w:w="0" w:type="auto"/>
            <w:shd w:val="clear" w:color="auto" w:fill="auto"/>
            <w:vAlign w:val="bottom"/>
          </w:tcPr>
          <w:p w14:paraId="392C2F88" w14:textId="77777777" w:rsidR="00980E5F" w:rsidRDefault="00980E5F">
            <w:pPr>
              <w:rPr>
                <w:rFonts w:ascii="宋体"/>
                <w:vanish/>
              </w:rPr>
            </w:pPr>
          </w:p>
        </w:tc>
        <w:tc>
          <w:tcPr>
            <w:tcW w:w="0" w:type="auto"/>
            <w:shd w:val="clear" w:color="auto" w:fill="auto"/>
            <w:vAlign w:val="bottom"/>
          </w:tcPr>
          <w:p w14:paraId="392C2F89" w14:textId="77777777" w:rsidR="00980E5F" w:rsidRDefault="00980E5F">
            <w:pPr>
              <w:rPr>
                <w:rFonts w:ascii="宋体"/>
                <w:vanish/>
              </w:rPr>
            </w:pPr>
          </w:p>
        </w:tc>
      </w:tr>
      <w:tr w:rsidR="00980E5F" w14:paraId="392C2F99" w14:textId="77777777">
        <w:tc>
          <w:tcPr>
            <w:tcW w:w="0" w:type="auto"/>
            <w:gridSpan w:val="3"/>
            <w:shd w:val="clear" w:color="auto" w:fill="FFFFFF"/>
            <w:tcMar>
              <w:top w:w="40" w:type="dxa"/>
              <w:left w:w="20" w:type="dxa"/>
              <w:bottom w:w="40" w:type="dxa"/>
              <w:right w:w="20" w:type="dxa"/>
            </w:tcMar>
            <w:vAlign w:val="bottom"/>
          </w:tcPr>
          <w:p w14:paraId="392C2F8B" w14:textId="77777777" w:rsidR="00980E5F" w:rsidRDefault="00483613">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F8C" w14:textId="77777777" w:rsidR="00980E5F" w:rsidRDefault="00483613">
            <w:pPr>
              <w:jc w:val="right"/>
              <w:textAlignment w:val="bottom"/>
            </w:pPr>
            <w:r>
              <w:rPr>
                <w:rFonts w:ascii="Arial" w:eastAsia="宋体" w:hAnsi="Arial" w:cs="Arial"/>
                <w:b/>
                <w:bCs/>
                <w:color w:val="000000"/>
                <w:sz w:val="18"/>
                <w:szCs w:val="18"/>
              </w:rPr>
              <w:t>2,953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F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8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F8F" w14:textId="77777777" w:rsidR="00980E5F" w:rsidRDefault="00483613">
            <w:pPr>
              <w:jc w:val="right"/>
              <w:textAlignment w:val="bottom"/>
            </w:pPr>
            <w:r>
              <w:rPr>
                <w:rFonts w:ascii="Arial" w:eastAsia="宋体" w:hAnsi="Arial" w:cs="Arial"/>
                <w:color w:val="000000"/>
                <w:sz w:val="18"/>
                <w:szCs w:val="18"/>
              </w:rPr>
              <w:t>3,034 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F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9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F92" w14:textId="77777777" w:rsidR="00980E5F" w:rsidRDefault="00483613">
            <w:pPr>
              <w:jc w:val="right"/>
              <w:textAlignment w:val="bottom"/>
            </w:pPr>
            <w:r>
              <w:rPr>
                <w:rFonts w:ascii="Arial" w:eastAsia="宋体" w:hAnsi="Arial" w:cs="Arial"/>
                <w:b/>
                <w:bCs/>
                <w:color w:val="000000"/>
                <w:sz w:val="18"/>
                <w:szCs w:val="18"/>
              </w:rPr>
              <w:t>6,034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F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9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2F95" w14:textId="77777777" w:rsidR="00980E5F" w:rsidRDefault="00483613">
            <w:pPr>
              <w:jc w:val="right"/>
              <w:textAlignment w:val="bottom"/>
            </w:pPr>
            <w:r>
              <w:rPr>
                <w:rFonts w:ascii="Arial" w:eastAsia="宋体" w:hAnsi="Arial" w:cs="Arial"/>
                <w:color w:val="000000"/>
                <w:sz w:val="18"/>
                <w:szCs w:val="18"/>
              </w:rPr>
              <w:t>5,984 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2F96" w14:textId="77777777" w:rsidR="00980E5F" w:rsidRDefault="00980E5F">
            <w:pPr>
              <w:jc w:val="right"/>
              <w:rPr>
                <w:rFonts w:ascii="宋体"/>
              </w:rPr>
            </w:pPr>
          </w:p>
        </w:tc>
        <w:tc>
          <w:tcPr>
            <w:tcW w:w="0" w:type="auto"/>
            <w:shd w:val="clear" w:color="auto" w:fill="auto"/>
            <w:vAlign w:val="bottom"/>
          </w:tcPr>
          <w:p w14:paraId="392C2F97" w14:textId="77777777" w:rsidR="00980E5F" w:rsidRDefault="00980E5F">
            <w:pPr>
              <w:rPr>
                <w:rFonts w:ascii="宋体"/>
                <w:vanish/>
              </w:rPr>
            </w:pPr>
          </w:p>
        </w:tc>
        <w:tc>
          <w:tcPr>
            <w:tcW w:w="0" w:type="auto"/>
            <w:shd w:val="clear" w:color="auto" w:fill="auto"/>
            <w:vAlign w:val="bottom"/>
          </w:tcPr>
          <w:p w14:paraId="392C2F98" w14:textId="77777777" w:rsidR="00980E5F" w:rsidRDefault="00980E5F">
            <w:pPr>
              <w:rPr>
                <w:rFonts w:ascii="宋体"/>
                <w:vanish/>
              </w:rPr>
            </w:pPr>
          </w:p>
        </w:tc>
      </w:tr>
      <w:tr w:rsidR="00980E5F" w14:paraId="392C2FA8" w14:textId="77777777">
        <w:tc>
          <w:tcPr>
            <w:tcW w:w="0" w:type="auto"/>
            <w:gridSpan w:val="3"/>
            <w:shd w:val="clear" w:color="auto" w:fill="CCEEFF"/>
            <w:tcMar>
              <w:top w:w="40" w:type="dxa"/>
              <w:left w:w="20" w:type="dxa"/>
              <w:bottom w:w="40" w:type="dxa"/>
              <w:right w:w="20" w:type="dxa"/>
            </w:tcMar>
            <w:vAlign w:val="bottom"/>
          </w:tcPr>
          <w:p w14:paraId="392C2F9A" w14:textId="77777777" w:rsidR="00980E5F" w:rsidRDefault="00483613">
            <w:pPr>
              <w:textAlignment w:val="bottom"/>
            </w:pPr>
            <w:r>
              <w:rPr>
                <w:rFonts w:ascii="Arial" w:eastAsia="宋体" w:hAnsi="Arial" w:cs="Arial"/>
                <w:color w:val="000000"/>
                <w:sz w:val="18"/>
                <w:szCs w:val="18"/>
              </w:rPr>
              <w:t>Provision for credit losses</w:t>
            </w:r>
          </w:p>
        </w:tc>
        <w:tc>
          <w:tcPr>
            <w:tcW w:w="0" w:type="auto"/>
            <w:gridSpan w:val="2"/>
            <w:shd w:val="clear" w:color="auto" w:fill="CCEEFF"/>
            <w:tcMar>
              <w:top w:w="40" w:type="dxa"/>
              <w:left w:w="20" w:type="dxa"/>
              <w:bottom w:w="40" w:type="dxa"/>
              <w:right w:w="0" w:type="dxa"/>
            </w:tcMar>
            <w:vAlign w:val="bottom"/>
          </w:tcPr>
          <w:p w14:paraId="392C2F9B" w14:textId="77777777" w:rsidR="00980E5F" w:rsidRDefault="00483613">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9E" w14:textId="77777777" w:rsidR="00980E5F" w:rsidRDefault="00483613">
            <w:pPr>
              <w:jc w:val="right"/>
              <w:textAlignment w:val="bottom"/>
            </w:pPr>
            <w:r>
              <w:rPr>
                <w:rFonts w:ascii="Arial" w:eastAsia="宋体" w:hAnsi="Arial" w:cs="Arial"/>
                <w:color w:val="000000"/>
                <w:sz w:val="18"/>
                <w:szCs w:val="18"/>
              </w:rPr>
              <w:t>(15)</w:t>
            </w:r>
          </w:p>
        </w:tc>
        <w:tc>
          <w:tcPr>
            <w:tcW w:w="0" w:type="auto"/>
            <w:shd w:val="clear" w:color="auto" w:fill="CCEEFF"/>
            <w:tcMar>
              <w:top w:w="40" w:type="dxa"/>
              <w:left w:w="0" w:type="dxa"/>
              <w:bottom w:w="40" w:type="dxa"/>
              <w:right w:w="20" w:type="dxa"/>
            </w:tcMar>
            <w:vAlign w:val="bottom"/>
          </w:tcPr>
          <w:p w14:paraId="392C2F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A1" w14:textId="77777777" w:rsidR="00980E5F" w:rsidRDefault="00483613">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A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A4" w14:textId="77777777" w:rsidR="00980E5F" w:rsidRDefault="00483613">
            <w:pPr>
              <w:jc w:val="right"/>
              <w:textAlignment w:val="bottom"/>
            </w:pPr>
            <w:r>
              <w:rPr>
                <w:rFonts w:ascii="Arial" w:eastAsia="宋体" w:hAnsi="Arial" w:cs="Arial"/>
                <w:color w:val="000000"/>
                <w:sz w:val="18"/>
                <w:szCs w:val="18"/>
              </w:rPr>
              <w:t>(24)</w:t>
            </w:r>
          </w:p>
        </w:tc>
        <w:tc>
          <w:tcPr>
            <w:tcW w:w="0" w:type="auto"/>
            <w:shd w:val="clear" w:color="auto" w:fill="CCEEFF"/>
            <w:tcMar>
              <w:top w:w="40" w:type="dxa"/>
              <w:left w:w="0" w:type="dxa"/>
              <w:bottom w:w="40" w:type="dxa"/>
              <w:right w:w="20" w:type="dxa"/>
            </w:tcMar>
            <w:vAlign w:val="bottom"/>
          </w:tcPr>
          <w:p w14:paraId="392C2FA5" w14:textId="77777777" w:rsidR="00980E5F" w:rsidRDefault="00980E5F">
            <w:pPr>
              <w:jc w:val="right"/>
              <w:rPr>
                <w:rFonts w:ascii="宋体"/>
              </w:rPr>
            </w:pPr>
          </w:p>
        </w:tc>
        <w:tc>
          <w:tcPr>
            <w:tcW w:w="0" w:type="auto"/>
            <w:shd w:val="clear" w:color="auto" w:fill="auto"/>
            <w:vAlign w:val="bottom"/>
          </w:tcPr>
          <w:p w14:paraId="392C2FA6" w14:textId="77777777" w:rsidR="00980E5F" w:rsidRDefault="00980E5F">
            <w:pPr>
              <w:rPr>
                <w:rFonts w:ascii="宋体"/>
                <w:vanish/>
              </w:rPr>
            </w:pPr>
          </w:p>
        </w:tc>
        <w:tc>
          <w:tcPr>
            <w:tcW w:w="0" w:type="auto"/>
            <w:shd w:val="clear" w:color="auto" w:fill="auto"/>
            <w:vAlign w:val="bottom"/>
          </w:tcPr>
          <w:p w14:paraId="392C2FA7" w14:textId="77777777" w:rsidR="00980E5F" w:rsidRDefault="00980E5F">
            <w:pPr>
              <w:rPr>
                <w:rFonts w:ascii="宋体"/>
                <w:vanish/>
              </w:rPr>
            </w:pPr>
          </w:p>
        </w:tc>
      </w:tr>
      <w:tr w:rsidR="00980E5F" w14:paraId="392C2FB3" w14:textId="77777777">
        <w:tc>
          <w:tcPr>
            <w:tcW w:w="0" w:type="auto"/>
            <w:gridSpan w:val="3"/>
            <w:shd w:val="clear" w:color="auto" w:fill="FFFFFF"/>
            <w:tcMar>
              <w:top w:w="40" w:type="dxa"/>
              <w:left w:w="20" w:type="dxa"/>
              <w:bottom w:w="40" w:type="dxa"/>
              <w:right w:w="20" w:type="dxa"/>
            </w:tcMar>
            <w:vAlign w:val="bottom"/>
          </w:tcPr>
          <w:p w14:paraId="392C2FA9" w14:textId="77777777" w:rsidR="00980E5F" w:rsidRDefault="00483613">
            <w:pPr>
              <w:textAlignment w:val="bottom"/>
            </w:pPr>
            <w:r>
              <w:rPr>
                <w:rFonts w:ascii="Arial" w:eastAsia="宋体" w:hAnsi="Arial" w:cs="Arial"/>
                <w:b/>
                <w:bCs/>
                <w:color w:val="000000"/>
                <w:sz w:val="18"/>
                <w:szCs w:val="18"/>
              </w:rPr>
              <w:t>Expenses:</w:t>
            </w:r>
          </w:p>
        </w:tc>
        <w:tc>
          <w:tcPr>
            <w:tcW w:w="0" w:type="auto"/>
            <w:gridSpan w:val="3"/>
            <w:shd w:val="clear" w:color="auto" w:fill="FFFFFF"/>
            <w:tcMar>
              <w:top w:w="0" w:type="dxa"/>
              <w:left w:w="20" w:type="dxa"/>
              <w:bottom w:w="0" w:type="dxa"/>
              <w:right w:w="20" w:type="dxa"/>
            </w:tcMar>
            <w:vAlign w:val="bottom"/>
          </w:tcPr>
          <w:p w14:paraId="392C2FA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A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A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A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A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2FB0" w14:textId="77777777" w:rsidR="00980E5F" w:rsidRDefault="00980E5F">
            <w:pPr>
              <w:rPr>
                <w:rFonts w:ascii="宋体"/>
              </w:rPr>
            </w:pPr>
          </w:p>
        </w:tc>
        <w:tc>
          <w:tcPr>
            <w:tcW w:w="0" w:type="auto"/>
            <w:shd w:val="clear" w:color="auto" w:fill="auto"/>
            <w:vAlign w:val="bottom"/>
          </w:tcPr>
          <w:p w14:paraId="392C2FB1" w14:textId="77777777" w:rsidR="00980E5F" w:rsidRDefault="00980E5F">
            <w:pPr>
              <w:rPr>
                <w:rFonts w:ascii="宋体"/>
                <w:vanish/>
              </w:rPr>
            </w:pPr>
          </w:p>
        </w:tc>
        <w:tc>
          <w:tcPr>
            <w:tcW w:w="0" w:type="auto"/>
            <w:shd w:val="clear" w:color="auto" w:fill="auto"/>
            <w:vAlign w:val="bottom"/>
          </w:tcPr>
          <w:p w14:paraId="392C2FB2" w14:textId="77777777" w:rsidR="00980E5F" w:rsidRDefault="00980E5F">
            <w:pPr>
              <w:rPr>
                <w:rFonts w:ascii="宋体"/>
                <w:vanish/>
              </w:rPr>
            </w:pPr>
          </w:p>
        </w:tc>
      </w:tr>
      <w:tr w:rsidR="00980E5F" w14:paraId="392C2FC2" w14:textId="77777777">
        <w:tc>
          <w:tcPr>
            <w:tcW w:w="0" w:type="auto"/>
            <w:gridSpan w:val="3"/>
            <w:shd w:val="clear" w:color="auto" w:fill="CCEEFF"/>
            <w:tcMar>
              <w:top w:w="40" w:type="dxa"/>
              <w:left w:w="20" w:type="dxa"/>
              <w:bottom w:w="40" w:type="dxa"/>
              <w:right w:w="20" w:type="dxa"/>
            </w:tcMar>
            <w:vAlign w:val="bottom"/>
          </w:tcPr>
          <w:p w14:paraId="392C2FB4" w14:textId="77777777" w:rsidR="00980E5F" w:rsidRDefault="00483613">
            <w:pPr>
              <w:textAlignment w:val="bottom"/>
            </w:pPr>
            <w:r>
              <w:rPr>
                <w:rFonts w:ascii="Arial" w:eastAsia="宋体" w:hAnsi="Arial" w:cs="Arial"/>
                <w:color w:val="000000"/>
                <w:sz w:val="18"/>
                <w:szCs w:val="18"/>
              </w:rPr>
              <w:t>Compensation and employee benefits</w:t>
            </w:r>
          </w:p>
        </w:tc>
        <w:tc>
          <w:tcPr>
            <w:tcW w:w="0" w:type="auto"/>
            <w:gridSpan w:val="2"/>
            <w:shd w:val="clear" w:color="auto" w:fill="CCEEFF"/>
            <w:tcMar>
              <w:top w:w="40" w:type="dxa"/>
              <w:left w:w="20" w:type="dxa"/>
              <w:bottom w:w="40" w:type="dxa"/>
              <w:right w:w="0" w:type="dxa"/>
            </w:tcMar>
            <w:vAlign w:val="bottom"/>
          </w:tcPr>
          <w:p w14:paraId="392C2FB5" w14:textId="77777777" w:rsidR="00980E5F" w:rsidRDefault="00483613">
            <w:pPr>
              <w:jc w:val="right"/>
              <w:textAlignment w:val="bottom"/>
            </w:pPr>
            <w:r>
              <w:rPr>
                <w:rFonts w:ascii="Arial" w:eastAsia="宋体" w:hAnsi="Arial" w:cs="Arial"/>
                <w:b/>
                <w:bCs/>
                <w:color w:val="000000"/>
                <w:sz w:val="18"/>
                <w:szCs w:val="18"/>
              </w:rPr>
              <w:t>1,046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B8" w14:textId="77777777" w:rsidR="00980E5F" w:rsidRDefault="00483613">
            <w:pPr>
              <w:jc w:val="right"/>
              <w:textAlignment w:val="bottom"/>
            </w:pPr>
            <w:r>
              <w:rPr>
                <w:rFonts w:ascii="Arial" w:eastAsia="宋体" w:hAnsi="Arial" w:cs="Arial"/>
                <w:color w:val="000000"/>
                <w:sz w:val="18"/>
                <w:szCs w:val="18"/>
              </w:rPr>
              <w:t>1,077 </w:t>
            </w:r>
          </w:p>
        </w:tc>
        <w:tc>
          <w:tcPr>
            <w:tcW w:w="0" w:type="auto"/>
            <w:shd w:val="clear" w:color="auto" w:fill="CCEEFF"/>
            <w:tcMar>
              <w:top w:w="40" w:type="dxa"/>
              <w:left w:w="0" w:type="dxa"/>
              <w:bottom w:w="40" w:type="dxa"/>
              <w:right w:w="20" w:type="dxa"/>
            </w:tcMar>
            <w:vAlign w:val="bottom"/>
          </w:tcPr>
          <w:p w14:paraId="392C2F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BB" w14:textId="77777777" w:rsidR="00980E5F" w:rsidRDefault="00483613">
            <w:pPr>
              <w:jc w:val="right"/>
              <w:textAlignment w:val="bottom"/>
            </w:pPr>
            <w:r>
              <w:rPr>
                <w:rFonts w:ascii="Arial" w:eastAsia="宋体" w:hAnsi="Arial" w:cs="Arial"/>
                <w:b/>
                <w:bCs/>
                <w:color w:val="000000"/>
                <w:sz w:val="18"/>
                <w:szCs w:val="18"/>
              </w:rPr>
              <w:t>2,278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BE" w14:textId="77777777" w:rsidR="00980E5F" w:rsidRDefault="00483613">
            <w:pPr>
              <w:jc w:val="right"/>
              <w:textAlignment w:val="bottom"/>
            </w:pPr>
            <w:r>
              <w:rPr>
                <w:rFonts w:ascii="Arial" w:eastAsia="宋体" w:hAnsi="Arial" w:cs="Arial"/>
                <w:color w:val="000000"/>
                <w:sz w:val="18"/>
                <w:szCs w:val="18"/>
              </w:rPr>
              <w:t>2,319 </w:t>
            </w:r>
          </w:p>
        </w:tc>
        <w:tc>
          <w:tcPr>
            <w:tcW w:w="0" w:type="auto"/>
            <w:shd w:val="clear" w:color="auto" w:fill="CCEEFF"/>
            <w:tcMar>
              <w:top w:w="40" w:type="dxa"/>
              <w:left w:w="0" w:type="dxa"/>
              <w:bottom w:w="40" w:type="dxa"/>
              <w:right w:w="20" w:type="dxa"/>
            </w:tcMar>
            <w:vAlign w:val="bottom"/>
          </w:tcPr>
          <w:p w14:paraId="392C2FBF" w14:textId="77777777" w:rsidR="00980E5F" w:rsidRDefault="00980E5F">
            <w:pPr>
              <w:jc w:val="right"/>
              <w:rPr>
                <w:rFonts w:ascii="宋体"/>
              </w:rPr>
            </w:pPr>
          </w:p>
        </w:tc>
        <w:tc>
          <w:tcPr>
            <w:tcW w:w="0" w:type="auto"/>
            <w:shd w:val="clear" w:color="auto" w:fill="auto"/>
            <w:vAlign w:val="bottom"/>
          </w:tcPr>
          <w:p w14:paraId="392C2FC0" w14:textId="77777777" w:rsidR="00980E5F" w:rsidRDefault="00980E5F">
            <w:pPr>
              <w:rPr>
                <w:rFonts w:ascii="宋体"/>
                <w:vanish/>
              </w:rPr>
            </w:pPr>
          </w:p>
        </w:tc>
        <w:tc>
          <w:tcPr>
            <w:tcW w:w="0" w:type="auto"/>
            <w:shd w:val="clear" w:color="auto" w:fill="auto"/>
            <w:vAlign w:val="bottom"/>
          </w:tcPr>
          <w:p w14:paraId="392C2FC1" w14:textId="77777777" w:rsidR="00980E5F" w:rsidRDefault="00980E5F">
            <w:pPr>
              <w:rPr>
                <w:rFonts w:ascii="宋体"/>
                <w:vanish/>
              </w:rPr>
            </w:pPr>
          </w:p>
        </w:tc>
      </w:tr>
      <w:tr w:rsidR="00980E5F" w14:paraId="392C2FD1" w14:textId="77777777">
        <w:tc>
          <w:tcPr>
            <w:tcW w:w="0" w:type="auto"/>
            <w:gridSpan w:val="3"/>
            <w:shd w:val="clear" w:color="auto" w:fill="FFFFFF"/>
            <w:tcMar>
              <w:top w:w="40" w:type="dxa"/>
              <w:left w:w="20" w:type="dxa"/>
              <w:bottom w:w="40" w:type="dxa"/>
              <w:right w:w="20" w:type="dxa"/>
            </w:tcMar>
            <w:vAlign w:val="bottom"/>
          </w:tcPr>
          <w:p w14:paraId="392C2FC3" w14:textId="77777777" w:rsidR="00980E5F" w:rsidRDefault="00483613">
            <w:pPr>
              <w:textAlignment w:val="bottom"/>
            </w:pPr>
            <w:r>
              <w:rPr>
                <w:rFonts w:ascii="Arial" w:eastAsia="宋体" w:hAnsi="Arial" w:cs="Arial"/>
                <w:color w:val="000000"/>
                <w:sz w:val="18"/>
                <w:szCs w:val="18"/>
              </w:rPr>
              <w:t>Information systems and communications</w:t>
            </w:r>
          </w:p>
        </w:tc>
        <w:tc>
          <w:tcPr>
            <w:tcW w:w="0" w:type="auto"/>
            <w:gridSpan w:val="2"/>
            <w:shd w:val="clear" w:color="auto" w:fill="FFFFFF"/>
            <w:tcMar>
              <w:top w:w="40" w:type="dxa"/>
              <w:left w:w="20" w:type="dxa"/>
              <w:bottom w:w="40" w:type="dxa"/>
              <w:right w:w="0" w:type="dxa"/>
            </w:tcMar>
            <w:vAlign w:val="bottom"/>
          </w:tcPr>
          <w:p w14:paraId="392C2FC4" w14:textId="77777777" w:rsidR="00980E5F" w:rsidRDefault="00483613">
            <w:pPr>
              <w:jc w:val="right"/>
              <w:textAlignment w:val="bottom"/>
            </w:pPr>
            <w:r>
              <w:rPr>
                <w:rFonts w:ascii="Arial" w:eastAsia="宋体" w:hAnsi="Arial" w:cs="Arial"/>
                <w:b/>
                <w:bCs/>
                <w:color w:val="000000"/>
                <w:sz w:val="18"/>
                <w:szCs w:val="18"/>
              </w:rPr>
              <w:t>392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C7" w14:textId="77777777" w:rsidR="00980E5F" w:rsidRDefault="00483613">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392C2F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CA" w14:textId="77777777" w:rsidR="00980E5F" w:rsidRDefault="00483613">
            <w:pPr>
              <w:jc w:val="right"/>
              <w:textAlignment w:val="bottom"/>
            </w:pPr>
            <w:r>
              <w:rPr>
                <w:rFonts w:ascii="Arial" w:eastAsia="宋体" w:hAnsi="Arial" w:cs="Arial"/>
                <w:b/>
                <w:bCs/>
                <w:color w:val="000000"/>
                <w:sz w:val="18"/>
                <w:szCs w:val="18"/>
              </w:rPr>
              <w:t>815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CD" w14:textId="77777777" w:rsidR="00980E5F" w:rsidRDefault="00483613">
            <w:pPr>
              <w:jc w:val="right"/>
              <w:textAlignment w:val="bottom"/>
            </w:pPr>
            <w:r>
              <w:rPr>
                <w:rFonts w:ascii="Arial" w:eastAsia="宋体" w:hAnsi="Arial" w:cs="Arial"/>
                <w:color w:val="000000"/>
                <w:sz w:val="18"/>
                <w:szCs w:val="18"/>
              </w:rPr>
              <w:t>819 </w:t>
            </w:r>
          </w:p>
        </w:tc>
        <w:tc>
          <w:tcPr>
            <w:tcW w:w="0" w:type="auto"/>
            <w:shd w:val="clear" w:color="auto" w:fill="FFFFFF"/>
            <w:tcMar>
              <w:top w:w="40" w:type="dxa"/>
              <w:left w:w="0" w:type="dxa"/>
              <w:bottom w:w="40" w:type="dxa"/>
              <w:right w:w="20" w:type="dxa"/>
            </w:tcMar>
            <w:vAlign w:val="bottom"/>
          </w:tcPr>
          <w:p w14:paraId="392C2FCE" w14:textId="77777777" w:rsidR="00980E5F" w:rsidRDefault="00980E5F">
            <w:pPr>
              <w:jc w:val="right"/>
              <w:rPr>
                <w:rFonts w:ascii="宋体"/>
              </w:rPr>
            </w:pPr>
          </w:p>
        </w:tc>
        <w:tc>
          <w:tcPr>
            <w:tcW w:w="0" w:type="auto"/>
            <w:shd w:val="clear" w:color="auto" w:fill="auto"/>
            <w:vAlign w:val="bottom"/>
          </w:tcPr>
          <w:p w14:paraId="392C2FCF" w14:textId="77777777" w:rsidR="00980E5F" w:rsidRDefault="00980E5F">
            <w:pPr>
              <w:rPr>
                <w:rFonts w:ascii="宋体"/>
                <w:vanish/>
              </w:rPr>
            </w:pPr>
          </w:p>
        </w:tc>
        <w:tc>
          <w:tcPr>
            <w:tcW w:w="0" w:type="auto"/>
            <w:shd w:val="clear" w:color="auto" w:fill="auto"/>
            <w:vAlign w:val="bottom"/>
          </w:tcPr>
          <w:p w14:paraId="392C2FD0" w14:textId="77777777" w:rsidR="00980E5F" w:rsidRDefault="00980E5F">
            <w:pPr>
              <w:rPr>
                <w:rFonts w:ascii="宋体"/>
                <w:vanish/>
              </w:rPr>
            </w:pPr>
          </w:p>
        </w:tc>
      </w:tr>
      <w:tr w:rsidR="00980E5F" w14:paraId="392C2FE0" w14:textId="77777777">
        <w:tc>
          <w:tcPr>
            <w:tcW w:w="0" w:type="auto"/>
            <w:gridSpan w:val="3"/>
            <w:shd w:val="clear" w:color="auto" w:fill="CCEEFF"/>
            <w:tcMar>
              <w:top w:w="40" w:type="dxa"/>
              <w:left w:w="20" w:type="dxa"/>
              <w:bottom w:w="40" w:type="dxa"/>
              <w:right w:w="20" w:type="dxa"/>
            </w:tcMar>
            <w:vAlign w:val="bottom"/>
          </w:tcPr>
          <w:p w14:paraId="392C2FD2" w14:textId="77777777" w:rsidR="00980E5F" w:rsidRDefault="00483613">
            <w:pPr>
              <w:textAlignment w:val="bottom"/>
            </w:pPr>
            <w:r>
              <w:rPr>
                <w:rFonts w:ascii="Arial" w:eastAsia="宋体" w:hAnsi="Arial" w:cs="Arial"/>
                <w:color w:val="000000"/>
                <w:sz w:val="18"/>
                <w:szCs w:val="18"/>
              </w:rPr>
              <w:t>Transaction processing services</w:t>
            </w:r>
          </w:p>
        </w:tc>
        <w:tc>
          <w:tcPr>
            <w:tcW w:w="0" w:type="auto"/>
            <w:gridSpan w:val="2"/>
            <w:shd w:val="clear" w:color="auto" w:fill="CCEEFF"/>
            <w:tcMar>
              <w:top w:w="40" w:type="dxa"/>
              <w:left w:w="20" w:type="dxa"/>
              <w:bottom w:w="40" w:type="dxa"/>
              <w:right w:w="0" w:type="dxa"/>
            </w:tcMar>
            <w:vAlign w:val="bottom"/>
          </w:tcPr>
          <w:p w14:paraId="392C2FD3" w14:textId="77777777" w:rsidR="00980E5F" w:rsidRDefault="00483613">
            <w:pPr>
              <w:jc w:val="right"/>
              <w:textAlignment w:val="bottom"/>
            </w:pPr>
            <w:r>
              <w:rPr>
                <w:rFonts w:ascii="Arial" w:eastAsia="宋体" w:hAnsi="Arial" w:cs="Arial"/>
                <w:b/>
                <w:bCs/>
                <w:color w:val="000000"/>
                <w:sz w:val="18"/>
                <w:szCs w:val="18"/>
              </w:rPr>
              <w:t>240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D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D6" w14:textId="77777777" w:rsidR="00980E5F" w:rsidRDefault="00483613">
            <w:pPr>
              <w:jc w:val="right"/>
              <w:textAlignment w:val="bottom"/>
            </w:pPr>
            <w:r>
              <w:rPr>
                <w:rFonts w:ascii="Arial" w:eastAsia="宋体" w:hAnsi="Arial" w:cs="Arial"/>
                <w:color w:val="000000"/>
                <w:sz w:val="18"/>
                <w:szCs w:val="18"/>
              </w:rPr>
              <w:t>263 </w:t>
            </w:r>
          </w:p>
        </w:tc>
        <w:tc>
          <w:tcPr>
            <w:tcW w:w="0" w:type="auto"/>
            <w:shd w:val="clear" w:color="auto" w:fill="CCEEFF"/>
            <w:tcMar>
              <w:top w:w="40" w:type="dxa"/>
              <w:left w:w="0" w:type="dxa"/>
              <w:bottom w:w="40" w:type="dxa"/>
              <w:right w:w="20" w:type="dxa"/>
            </w:tcMar>
            <w:vAlign w:val="bottom"/>
          </w:tcPr>
          <w:p w14:paraId="392C2F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D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D9" w14:textId="77777777" w:rsidR="00980E5F" w:rsidRDefault="00483613">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D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DC" w14:textId="77777777" w:rsidR="00980E5F" w:rsidRDefault="00483613">
            <w:pPr>
              <w:jc w:val="right"/>
              <w:textAlignment w:val="bottom"/>
            </w:pPr>
            <w:r>
              <w:rPr>
                <w:rFonts w:ascii="Arial" w:eastAsia="宋体" w:hAnsi="Arial" w:cs="Arial"/>
                <w:color w:val="000000"/>
                <w:sz w:val="18"/>
                <w:szCs w:val="18"/>
              </w:rPr>
              <w:t>533 </w:t>
            </w:r>
          </w:p>
        </w:tc>
        <w:tc>
          <w:tcPr>
            <w:tcW w:w="0" w:type="auto"/>
            <w:shd w:val="clear" w:color="auto" w:fill="CCEEFF"/>
            <w:tcMar>
              <w:top w:w="40" w:type="dxa"/>
              <w:left w:w="0" w:type="dxa"/>
              <w:bottom w:w="40" w:type="dxa"/>
              <w:right w:w="20" w:type="dxa"/>
            </w:tcMar>
            <w:vAlign w:val="bottom"/>
          </w:tcPr>
          <w:p w14:paraId="392C2FDD" w14:textId="77777777" w:rsidR="00980E5F" w:rsidRDefault="00980E5F">
            <w:pPr>
              <w:jc w:val="right"/>
              <w:rPr>
                <w:rFonts w:ascii="宋体"/>
              </w:rPr>
            </w:pPr>
          </w:p>
        </w:tc>
        <w:tc>
          <w:tcPr>
            <w:tcW w:w="0" w:type="auto"/>
            <w:shd w:val="clear" w:color="auto" w:fill="auto"/>
            <w:vAlign w:val="bottom"/>
          </w:tcPr>
          <w:p w14:paraId="392C2FDE" w14:textId="77777777" w:rsidR="00980E5F" w:rsidRDefault="00980E5F">
            <w:pPr>
              <w:rPr>
                <w:rFonts w:ascii="宋体"/>
                <w:vanish/>
              </w:rPr>
            </w:pPr>
          </w:p>
        </w:tc>
        <w:tc>
          <w:tcPr>
            <w:tcW w:w="0" w:type="auto"/>
            <w:shd w:val="clear" w:color="auto" w:fill="auto"/>
            <w:vAlign w:val="bottom"/>
          </w:tcPr>
          <w:p w14:paraId="392C2FDF" w14:textId="77777777" w:rsidR="00980E5F" w:rsidRDefault="00980E5F">
            <w:pPr>
              <w:rPr>
                <w:rFonts w:ascii="宋体"/>
                <w:vanish/>
              </w:rPr>
            </w:pPr>
          </w:p>
        </w:tc>
      </w:tr>
      <w:tr w:rsidR="00980E5F" w14:paraId="392C2FEF" w14:textId="77777777">
        <w:tc>
          <w:tcPr>
            <w:tcW w:w="0" w:type="auto"/>
            <w:gridSpan w:val="3"/>
            <w:shd w:val="clear" w:color="auto" w:fill="FFFFFF"/>
            <w:tcMar>
              <w:top w:w="40" w:type="dxa"/>
              <w:left w:w="20" w:type="dxa"/>
              <w:bottom w:w="40" w:type="dxa"/>
              <w:right w:w="20" w:type="dxa"/>
            </w:tcMar>
            <w:vAlign w:val="bottom"/>
          </w:tcPr>
          <w:p w14:paraId="392C2FE1" w14:textId="77777777" w:rsidR="00980E5F" w:rsidRDefault="00483613">
            <w:pPr>
              <w:textAlignment w:val="bottom"/>
            </w:pPr>
            <w:r>
              <w:rPr>
                <w:rFonts w:ascii="Arial" w:eastAsia="宋体" w:hAnsi="Arial" w:cs="Arial"/>
                <w:color w:val="000000"/>
                <w:sz w:val="18"/>
                <w:szCs w:val="18"/>
              </w:rPr>
              <w:t>Occupancy</w:t>
            </w:r>
          </w:p>
        </w:tc>
        <w:tc>
          <w:tcPr>
            <w:tcW w:w="0" w:type="auto"/>
            <w:gridSpan w:val="2"/>
            <w:shd w:val="clear" w:color="auto" w:fill="FFFFFF"/>
            <w:tcMar>
              <w:top w:w="40" w:type="dxa"/>
              <w:left w:w="20" w:type="dxa"/>
              <w:bottom w:w="40" w:type="dxa"/>
              <w:right w:w="0" w:type="dxa"/>
            </w:tcMar>
            <w:vAlign w:val="bottom"/>
          </w:tcPr>
          <w:p w14:paraId="392C2FE2" w14:textId="77777777" w:rsidR="00980E5F" w:rsidRDefault="00483613">
            <w:pPr>
              <w:jc w:val="right"/>
              <w:textAlignment w:val="bottom"/>
            </w:pPr>
            <w:r>
              <w:rPr>
                <w:rFonts w:ascii="Arial" w:eastAsia="宋体" w:hAnsi="Arial" w:cs="Arial"/>
                <w:b/>
                <w:bCs/>
                <w:color w:val="000000"/>
                <w:sz w:val="18"/>
                <w:szCs w:val="18"/>
              </w:rPr>
              <w:t>96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E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E5" w14:textId="77777777" w:rsidR="00980E5F" w:rsidRDefault="00483613">
            <w:pPr>
              <w:jc w:val="right"/>
              <w:textAlignment w:val="bottom"/>
            </w:pPr>
            <w:r>
              <w:rPr>
                <w:rFonts w:ascii="Arial" w:eastAsia="宋体" w:hAnsi="Arial" w:cs="Arial"/>
                <w:color w:val="000000"/>
                <w:sz w:val="18"/>
                <w:szCs w:val="18"/>
              </w:rPr>
              <w:t>100 </w:t>
            </w:r>
          </w:p>
        </w:tc>
        <w:tc>
          <w:tcPr>
            <w:tcW w:w="0" w:type="auto"/>
            <w:shd w:val="clear" w:color="auto" w:fill="FFFFFF"/>
            <w:tcMar>
              <w:top w:w="40" w:type="dxa"/>
              <w:left w:w="0" w:type="dxa"/>
              <w:bottom w:w="40" w:type="dxa"/>
              <w:right w:w="20" w:type="dxa"/>
            </w:tcMar>
            <w:vAlign w:val="bottom"/>
          </w:tcPr>
          <w:p w14:paraId="392C2F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E8" w14:textId="77777777" w:rsidR="00980E5F" w:rsidRDefault="00483613">
            <w:pPr>
              <w:jc w:val="right"/>
              <w:textAlignment w:val="bottom"/>
            </w:pPr>
            <w:r>
              <w:rPr>
                <w:rFonts w:ascii="Arial" w:eastAsia="宋体" w:hAnsi="Arial" w:cs="Arial"/>
                <w:b/>
                <w:bCs/>
                <w:color w:val="000000"/>
                <w:sz w:val="18"/>
                <w:szCs w:val="18"/>
              </w:rPr>
              <w:t>191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2F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2F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2FEB" w14:textId="77777777" w:rsidR="00980E5F" w:rsidRDefault="00483613">
            <w:pPr>
              <w:jc w:val="right"/>
              <w:textAlignment w:val="bottom"/>
            </w:pPr>
            <w:r>
              <w:rPr>
                <w:rFonts w:ascii="Arial" w:eastAsia="宋体" w:hAnsi="Arial" w:cs="Arial"/>
                <w:color w:val="000000"/>
                <w:sz w:val="18"/>
                <w:szCs w:val="18"/>
              </w:rPr>
              <w:t>209 </w:t>
            </w:r>
          </w:p>
        </w:tc>
        <w:tc>
          <w:tcPr>
            <w:tcW w:w="0" w:type="auto"/>
            <w:shd w:val="clear" w:color="auto" w:fill="FFFFFF"/>
            <w:tcMar>
              <w:top w:w="40" w:type="dxa"/>
              <w:left w:w="0" w:type="dxa"/>
              <w:bottom w:w="40" w:type="dxa"/>
              <w:right w:w="20" w:type="dxa"/>
            </w:tcMar>
            <w:vAlign w:val="bottom"/>
          </w:tcPr>
          <w:p w14:paraId="392C2FEC" w14:textId="77777777" w:rsidR="00980E5F" w:rsidRDefault="00980E5F">
            <w:pPr>
              <w:jc w:val="right"/>
              <w:rPr>
                <w:rFonts w:ascii="宋体"/>
              </w:rPr>
            </w:pPr>
          </w:p>
        </w:tc>
        <w:tc>
          <w:tcPr>
            <w:tcW w:w="0" w:type="auto"/>
            <w:shd w:val="clear" w:color="auto" w:fill="auto"/>
            <w:vAlign w:val="bottom"/>
          </w:tcPr>
          <w:p w14:paraId="392C2FED" w14:textId="77777777" w:rsidR="00980E5F" w:rsidRDefault="00980E5F">
            <w:pPr>
              <w:rPr>
                <w:rFonts w:ascii="宋体"/>
                <w:vanish/>
              </w:rPr>
            </w:pPr>
          </w:p>
        </w:tc>
        <w:tc>
          <w:tcPr>
            <w:tcW w:w="0" w:type="auto"/>
            <w:shd w:val="clear" w:color="auto" w:fill="auto"/>
            <w:vAlign w:val="bottom"/>
          </w:tcPr>
          <w:p w14:paraId="392C2FEE" w14:textId="77777777" w:rsidR="00980E5F" w:rsidRDefault="00980E5F">
            <w:pPr>
              <w:rPr>
                <w:rFonts w:ascii="宋体"/>
                <w:vanish/>
              </w:rPr>
            </w:pPr>
          </w:p>
        </w:tc>
      </w:tr>
      <w:tr w:rsidR="00980E5F" w14:paraId="392C2FFE" w14:textId="77777777">
        <w:tc>
          <w:tcPr>
            <w:tcW w:w="0" w:type="auto"/>
            <w:gridSpan w:val="3"/>
            <w:shd w:val="clear" w:color="auto" w:fill="CCEEFF"/>
            <w:tcMar>
              <w:top w:w="40" w:type="dxa"/>
              <w:left w:w="20" w:type="dxa"/>
              <w:bottom w:w="40" w:type="dxa"/>
              <w:right w:w="20" w:type="dxa"/>
            </w:tcMar>
            <w:vAlign w:val="bottom"/>
          </w:tcPr>
          <w:p w14:paraId="392C2FF0" w14:textId="77777777" w:rsidR="00980E5F" w:rsidRDefault="00483613">
            <w:pPr>
              <w:textAlignment w:val="bottom"/>
            </w:pPr>
            <w:r>
              <w:rPr>
                <w:rFonts w:ascii="Arial" w:eastAsia="宋体" w:hAnsi="Arial" w:cs="Arial"/>
                <w:color w:val="000000"/>
                <w:sz w:val="18"/>
                <w:szCs w:val="18"/>
              </w:rPr>
              <w:t>Acquisition and restructuring costs</w:t>
            </w:r>
          </w:p>
        </w:tc>
        <w:tc>
          <w:tcPr>
            <w:tcW w:w="0" w:type="auto"/>
            <w:gridSpan w:val="2"/>
            <w:shd w:val="clear" w:color="auto" w:fill="CCEEFF"/>
            <w:tcMar>
              <w:top w:w="40" w:type="dxa"/>
              <w:left w:w="20" w:type="dxa"/>
              <w:bottom w:w="40" w:type="dxa"/>
              <w:right w:w="0" w:type="dxa"/>
            </w:tcMar>
            <w:vAlign w:val="bottom"/>
          </w:tcPr>
          <w:p w14:paraId="392C2FF1" w14:textId="77777777" w:rsidR="00980E5F" w:rsidRDefault="00483613">
            <w:pPr>
              <w:jc w:val="right"/>
              <w:textAlignment w:val="bottom"/>
            </w:pPr>
            <w:r>
              <w:rPr>
                <w:rFonts w:ascii="Arial" w:eastAsia="宋体" w:hAnsi="Arial" w:cs="Arial"/>
                <w:b/>
                <w:bCs/>
                <w:color w:val="000000"/>
                <w:sz w:val="18"/>
                <w:szCs w:val="18"/>
              </w:rPr>
              <w:t>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F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F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F4" w14:textId="77777777" w:rsidR="00980E5F" w:rsidRDefault="00483613">
            <w:pPr>
              <w:jc w:val="right"/>
              <w:textAlignment w:val="bottom"/>
            </w:pPr>
            <w:r>
              <w:rPr>
                <w:rFonts w:ascii="Arial" w:eastAsia="宋体" w:hAnsi="Arial" w:cs="Arial"/>
                <w:color w:val="000000"/>
                <w:sz w:val="18"/>
                <w:szCs w:val="18"/>
              </w:rPr>
              <w:t>11 </w:t>
            </w:r>
          </w:p>
        </w:tc>
        <w:tc>
          <w:tcPr>
            <w:tcW w:w="0" w:type="auto"/>
            <w:shd w:val="clear" w:color="auto" w:fill="CCEEFF"/>
            <w:tcMar>
              <w:top w:w="40" w:type="dxa"/>
              <w:left w:w="0" w:type="dxa"/>
              <w:bottom w:w="40" w:type="dxa"/>
              <w:right w:w="20" w:type="dxa"/>
            </w:tcMar>
            <w:vAlign w:val="bottom"/>
          </w:tcPr>
          <w:p w14:paraId="392C2F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F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F7" w14:textId="77777777" w:rsidR="00980E5F" w:rsidRDefault="00483613">
            <w:pPr>
              <w:jc w:val="right"/>
              <w:textAlignment w:val="bottom"/>
            </w:pPr>
            <w:r>
              <w:rPr>
                <w:rFonts w:ascii="Arial" w:eastAsia="宋体" w:hAnsi="Arial" w:cs="Arial"/>
                <w:b/>
                <w:bCs/>
                <w:color w:val="000000"/>
                <w:sz w:val="18"/>
                <w:szCs w:val="18"/>
              </w:rPr>
              <w:t>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2F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2F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2FFA" w14:textId="77777777" w:rsidR="00980E5F" w:rsidRDefault="00483613">
            <w:pPr>
              <w:jc w:val="right"/>
              <w:textAlignment w:val="bottom"/>
            </w:pPr>
            <w:r>
              <w:rPr>
                <w:rFonts w:ascii="Arial" w:eastAsia="宋体" w:hAnsi="Arial" w:cs="Arial"/>
                <w:color w:val="000000"/>
                <w:sz w:val="18"/>
                <w:szCs w:val="18"/>
              </w:rPr>
              <w:t>21 </w:t>
            </w:r>
          </w:p>
        </w:tc>
        <w:tc>
          <w:tcPr>
            <w:tcW w:w="0" w:type="auto"/>
            <w:shd w:val="clear" w:color="auto" w:fill="CCEEFF"/>
            <w:tcMar>
              <w:top w:w="40" w:type="dxa"/>
              <w:left w:w="0" w:type="dxa"/>
              <w:bottom w:w="40" w:type="dxa"/>
              <w:right w:w="20" w:type="dxa"/>
            </w:tcMar>
            <w:vAlign w:val="bottom"/>
          </w:tcPr>
          <w:p w14:paraId="392C2FFB" w14:textId="77777777" w:rsidR="00980E5F" w:rsidRDefault="00980E5F">
            <w:pPr>
              <w:jc w:val="right"/>
              <w:rPr>
                <w:rFonts w:ascii="宋体"/>
              </w:rPr>
            </w:pPr>
          </w:p>
        </w:tc>
        <w:tc>
          <w:tcPr>
            <w:tcW w:w="0" w:type="auto"/>
            <w:shd w:val="clear" w:color="auto" w:fill="auto"/>
            <w:vAlign w:val="bottom"/>
          </w:tcPr>
          <w:p w14:paraId="392C2FFC" w14:textId="77777777" w:rsidR="00980E5F" w:rsidRDefault="00980E5F">
            <w:pPr>
              <w:rPr>
                <w:rFonts w:ascii="宋体"/>
                <w:vanish/>
              </w:rPr>
            </w:pPr>
          </w:p>
        </w:tc>
        <w:tc>
          <w:tcPr>
            <w:tcW w:w="0" w:type="auto"/>
            <w:shd w:val="clear" w:color="auto" w:fill="auto"/>
            <w:vAlign w:val="bottom"/>
          </w:tcPr>
          <w:p w14:paraId="392C2FFD" w14:textId="77777777" w:rsidR="00980E5F" w:rsidRDefault="00980E5F">
            <w:pPr>
              <w:rPr>
                <w:rFonts w:ascii="宋体"/>
                <w:vanish/>
              </w:rPr>
            </w:pPr>
          </w:p>
        </w:tc>
      </w:tr>
      <w:tr w:rsidR="00980E5F" w14:paraId="392C300D" w14:textId="77777777">
        <w:tc>
          <w:tcPr>
            <w:tcW w:w="0" w:type="auto"/>
            <w:gridSpan w:val="3"/>
            <w:shd w:val="clear" w:color="auto" w:fill="FFFFFF"/>
            <w:tcMar>
              <w:top w:w="40" w:type="dxa"/>
              <w:left w:w="20" w:type="dxa"/>
              <w:bottom w:w="40" w:type="dxa"/>
              <w:right w:w="20" w:type="dxa"/>
            </w:tcMar>
            <w:vAlign w:val="bottom"/>
          </w:tcPr>
          <w:p w14:paraId="392C2FFF" w14:textId="77777777" w:rsidR="00980E5F" w:rsidRDefault="00483613">
            <w:pPr>
              <w:textAlignment w:val="bottom"/>
            </w:pPr>
            <w:r>
              <w:rPr>
                <w:rFonts w:ascii="Arial" w:eastAsia="宋体" w:hAnsi="Arial" w:cs="Arial"/>
                <w:color w:val="000000"/>
                <w:sz w:val="18"/>
                <w:szCs w:val="18"/>
              </w:rPr>
              <w:t>Amortization of other intangible assets</w:t>
            </w:r>
          </w:p>
        </w:tc>
        <w:tc>
          <w:tcPr>
            <w:tcW w:w="0" w:type="auto"/>
            <w:gridSpan w:val="2"/>
            <w:shd w:val="clear" w:color="auto" w:fill="FFFFFF"/>
            <w:tcMar>
              <w:top w:w="40" w:type="dxa"/>
              <w:left w:w="20" w:type="dxa"/>
              <w:bottom w:w="40" w:type="dxa"/>
              <w:right w:w="0" w:type="dxa"/>
            </w:tcMar>
            <w:vAlign w:val="bottom"/>
          </w:tcPr>
          <w:p w14:paraId="392C3000" w14:textId="77777777" w:rsidR="00980E5F" w:rsidRDefault="00483613">
            <w:pPr>
              <w:jc w:val="right"/>
              <w:textAlignment w:val="bottom"/>
            </w:pPr>
            <w:r>
              <w:rPr>
                <w:rFonts w:ascii="Arial" w:eastAsia="宋体" w:hAnsi="Arial" w:cs="Arial"/>
                <w:b/>
                <w:bCs/>
                <w:color w:val="000000"/>
                <w:sz w:val="18"/>
                <w:szCs w:val="18"/>
              </w:rPr>
              <w:t>60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0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0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03" w14:textId="77777777" w:rsidR="00980E5F" w:rsidRDefault="00483613">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392C300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0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06" w14:textId="77777777" w:rsidR="00980E5F" w:rsidRDefault="00483613">
            <w:pPr>
              <w:jc w:val="right"/>
              <w:textAlignment w:val="bottom"/>
            </w:pPr>
            <w:r>
              <w:rPr>
                <w:rFonts w:ascii="Arial" w:eastAsia="宋体" w:hAnsi="Arial" w:cs="Arial"/>
                <w:b/>
                <w:bCs/>
                <w:color w:val="000000"/>
                <w:sz w:val="18"/>
                <w:szCs w:val="18"/>
              </w:rPr>
              <w:t>121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09" w14:textId="77777777" w:rsidR="00980E5F" w:rsidRDefault="00483613">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392C300A" w14:textId="77777777" w:rsidR="00980E5F" w:rsidRDefault="00980E5F">
            <w:pPr>
              <w:jc w:val="right"/>
              <w:rPr>
                <w:rFonts w:ascii="宋体"/>
              </w:rPr>
            </w:pPr>
          </w:p>
        </w:tc>
        <w:tc>
          <w:tcPr>
            <w:tcW w:w="0" w:type="auto"/>
            <w:shd w:val="clear" w:color="auto" w:fill="auto"/>
            <w:vAlign w:val="bottom"/>
          </w:tcPr>
          <w:p w14:paraId="392C300B" w14:textId="77777777" w:rsidR="00980E5F" w:rsidRDefault="00980E5F">
            <w:pPr>
              <w:rPr>
                <w:rFonts w:ascii="宋体"/>
                <w:vanish/>
              </w:rPr>
            </w:pPr>
          </w:p>
        </w:tc>
        <w:tc>
          <w:tcPr>
            <w:tcW w:w="0" w:type="auto"/>
            <w:shd w:val="clear" w:color="auto" w:fill="auto"/>
            <w:vAlign w:val="bottom"/>
          </w:tcPr>
          <w:p w14:paraId="392C300C" w14:textId="77777777" w:rsidR="00980E5F" w:rsidRDefault="00980E5F">
            <w:pPr>
              <w:rPr>
                <w:rFonts w:ascii="宋体"/>
                <w:vanish/>
              </w:rPr>
            </w:pPr>
          </w:p>
        </w:tc>
      </w:tr>
      <w:tr w:rsidR="00980E5F" w14:paraId="392C301C" w14:textId="77777777">
        <w:tc>
          <w:tcPr>
            <w:tcW w:w="0" w:type="auto"/>
            <w:gridSpan w:val="3"/>
            <w:shd w:val="clear" w:color="auto" w:fill="CCEEFF"/>
            <w:tcMar>
              <w:top w:w="40" w:type="dxa"/>
              <w:left w:w="20" w:type="dxa"/>
              <w:bottom w:w="40" w:type="dxa"/>
              <w:right w:w="20" w:type="dxa"/>
            </w:tcMar>
            <w:vAlign w:val="bottom"/>
          </w:tcPr>
          <w:p w14:paraId="392C300E" w14:textId="77777777" w:rsidR="00980E5F" w:rsidRDefault="00483613">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392C300F" w14:textId="77777777" w:rsidR="00980E5F" w:rsidRDefault="00483613">
            <w:pPr>
              <w:jc w:val="right"/>
              <w:textAlignment w:val="bottom"/>
            </w:pPr>
            <w:r>
              <w:rPr>
                <w:rFonts w:ascii="Arial" w:eastAsia="宋体" w:hAnsi="Arial" w:cs="Arial"/>
                <w:b/>
                <w:bCs/>
                <w:color w:val="000000"/>
                <w:sz w:val="18"/>
                <w:szCs w:val="18"/>
              </w:rPr>
              <w:t>262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1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12" w14:textId="77777777" w:rsidR="00980E5F" w:rsidRDefault="00483613">
            <w:pPr>
              <w:jc w:val="right"/>
              <w:textAlignment w:val="bottom"/>
            </w:pPr>
            <w:r>
              <w:rPr>
                <w:rFonts w:ascii="Arial" w:eastAsia="宋体" w:hAnsi="Arial" w:cs="Arial"/>
                <w:color w:val="000000"/>
                <w:sz w:val="18"/>
                <w:szCs w:val="18"/>
              </w:rPr>
              <w:t>199 </w:t>
            </w:r>
          </w:p>
        </w:tc>
        <w:tc>
          <w:tcPr>
            <w:tcW w:w="0" w:type="auto"/>
            <w:shd w:val="clear" w:color="auto" w:fill="CCEEFF"/>
            <w:tcMar>
              <w:top w:w="40" w:type="dxa"/>
              <w:left w:w="0" w:type="dxa"/>
              <w:bottom w:w="40" w:type="dxa"/>
              <w:right w:w="20" w:type="dxa"/>
            </w:tcMar>
            <w:vAlign w:val="bottom"/>
          </w:tcPr>
          <w:p w14:paraId="392C30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1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15" w14:textId="77777777" w:rsidR="00980E5F" w:rsidRDefault="00483613">
            <w:pPr>
              <w:jc w:val="right"/>
              <w:textAlignment w:val="bottom"/>
            </w:pPr>
            <w:r>
              <w:rPr>
                <w:rFonts w:ascii="Arial" w:eastAsia="宋体" w:hAnsi="Arial" w:cs="Arial"/>
                <w:b/>
                <w:bCs/>
                <w:color w:val="000000"/>
                <w:sz w:val="18"/>
                <w:szCs w:val="18"/>
              </w:rPr>
              <w:t>505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1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18" w14:textId="77777777" w:rsidR="00980E5F" w:rsidRDefault="00483613">
            <w:pPr>
              <w:jc w:val="right"/>
              <w:textAlignment w:val="bottom"/>
            </w:pPr>
            <w:r>
              <w:rPr>
                <w:rFonts w:ascii="Arial" w:eastAsia="宋体" w:hAnsi="Arial" w:cs="Arial"/>
                <w:color w:val="000000"/>
                <w:sz w:val="18"/>
                <w:szCs w:val="18"/>
              </w:rPr>
              <w:t>421 </w:t>
            </w:r>
          </w:p>
        </w:tc>
        <w:tc>
          <w:tcPr>
            <w:tcW w:w="0" w:type="auto"/>
            <w:shd w:val="clear" w:color="auto" w:fill="CCEEFF"/>
            <w:tcMar>
              <w:top w:w="40" w:type="dxa"/>
              <w:left w:w="0" w:type="dxa"/>
              <w:bottom w:w="40" w:type="dxa"/>
              <w:right w:w="20" w:type="dxa"/>
            </w:tcMar>
            <w:vAlign w:val="bottom"/>
          </w:tcPr>
          <w:p w14:paraId="392C3019" w14:textId="77777777" w:rsidR="00980E5F" w:rsidRDefault="00980E5F">
            <w:pPr>
              <w:jc w:val="right"/>
              <w:rPr>
                <w:rFonts w:ascii="宋体"/>
              </w:rPr>
            </w:pPr>
          </w:p>
        </w:tc>
        <w:tc>
          <w:tcPr>
            <w:tcW w:w="0" w:type="auto"/>
            <w:shd w:val="clear" w:color="auto" w:fill="auto"/>
            <w:vAlign w:val="bottom"/>
          </w:tcPr>
          <w:p w14:paraId="392C301A" w14:textId="77777777" w:rsidR="00980E5F" w:rsidRDefault="00980E5F">
            <w:pPr>
              <w:rPr>
                <w:rFonts w:ascii="宋体"/>
                <w:vanish/>
              </w:rPr>
            </w:pPr>
          </w:p>
        </w:tc>
        <w:tc>
          <w:tcPr>
            <w:tcW w:w="0" w:type="auto"/>
            <w:shd w:val="clear" w:color="auto" w:fill="auto"/>
            <w:vAlign w:val="bottom"/>
          </w:tcPr>
          <w:p w14:paraId="392C301B" w14:textId="77777777" w:rsidR="00980E5F" w:rsidRDefault="00980E5F">
            <w:pPr>
              <w:rPr>
                <w:rFonts w:ascii="宋体"/>
                <w:vanish/>
              </w:rPr>
            </w:pPr>
          </w:p>
        </w:tc>
      </w:tr>
      <w:tr w:rsidR="00980E5F" w14:paraId="392C302B" w14:textId="77777777">
        <w:tc>
          <w:tcPr>
            <w:tcW w:w="0" w:type="auto"/>
            <w:gridSpan w:val="3"/>
            <w:shd w:val="clear" w:color="auto" w:fill="FFFFFF"/>
            <w:tcMar>
              <w:top w:w="40" w:type="dxa"/>
              <w:left w:w="20" w:type="dxa"/>
              <w:bottom w:w="40" w:type="dxa"/>
              <w:right w:w="20" w:type="dxa"/>
            </w:tcMar>
            <w:vAlign w:val="bottom"/>
          </w:tcPr>
          <w:p w14:paraId="392C301D" w14:textId="77777777" w:rsidR="00980E5F" w:rsidRDefault="00483613">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01E" w14:textId="77777777" w:rsidR="00980E5F" w:rsidRDefault="00483613">
            <w:pPr>
              <w:jc w:val="right"/>
              <w:textAlignment w:val="bottom"/>
            </w:pPr>
            <w:r>
              <w:rPr>
                <w:rFonts w:ascii="Arial" w:eastAsia="宋体" w:hAnsi="Arial" w:cs="Arial"/>
                <w:b/>
                <w:bCs/>
                <w:color w:val="000000"/>
                <w:sz w:val="18"/>
                <w:szCs w:val="18"/>
              </w:rPr>
              <w:t>2,108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0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2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021" w14:textId="77777777" w:rsidR="00980E5F" w:rsidRDefault="00483613">
            <w:pPr>
              <w:jc w:val="right"/>
              <w:textAlignment w:val="bottom"/>
            </w:pPr>
            <w:r>
              <w:rPr>
                <w:rFonts w:ascii="Arial" w:eastAsia="宋体" w:hAnsi="Arial" w:cs="Arial"/>
                <w:color w:val="000000"/>
                <w:sz w:val="18"/>
                <w:szCs w:val="18"/>
              </w:rPr>
              <w:t>2,111 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0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2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024" w14:textId="77777777" w:rsidR="00980E5F" w:rsidRDefault="00483613">
            <w:pPr>
              <w:jc w:val="right"/>
              <w:textAlignment w:val="bottom"/>
            </w:pPr>
            <w:r>
              <w:rPr>
                <w:rFonts w:ascii="Arial" w:eastAsia="宋体" w:hAnsi="Arial" w:cs="Arial"/>
                <w:b/>
                <w:bCs/>
                <w:color w:val="000000"/>
                <w:sz w:val="18"/>
                <w:szCs w:val="18"/>
              </w:rPr>
              <w:t>4,435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0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2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027" w14:textId="77777777" w:rsidR="00980E5F" w:rsidRDefault="00483613">
            <w:pPr>
              <w:jc w:val="right"/>
              <w:textAlignment w:val="bottom"/>
            </w:pPr>
            <w:r>
              <w:rPr>
                <w:rFonts w:ascii="Arial" w:eastAsia="宋体" w:hAnsi="Arial" w:cs="Arial"/>
                <w:color w:val="000000"/>
                <w:sz w:val="18"/>
                <w:szCs w:val="18"/>
              </w:rPr>
              <w:t>4,443 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028" w14:textId="77777777" w:rsidR="00980E5F" w:rsidRDefault="00980E5F">
            <w:pPr>
              <w:jc w:val="right"/>
              <w:rPr>
                <w:rFonts w:ascii="宋体"/>
              </w:rPr>
            </w:pPr>
          </w:p>
        </w:tc>
        <w:tc>
          <w:tcPr>
            <w:tcW w:w="0" w:type="auto"/>
            <w:shd w:val="clear" w:color="auto" w:fill="auto"/>
            <w:vAlign w:val="bottom"/>
          </w:tcPr>
          <w:p w14:paraId="392C3029" w14:textId="77777777" w:rsidR="00980E5F" w:rsidRDefault="00980E5F">
            <w:pPr>
              <w:rPr>
                <w:rFonts w:ascii="宋体"/>
                <w:vanish/>
              </w:rPr>
            </w:pPr>
          </w:p>
        </w:tc>
        <w:tc>
          <w:tcPr>
            <w:tcW w:w="0" w:type="auto"/>
            <w:shd w:val="clear" w:color="auto" w:fill="auto"/>
            <w:vAlign w:val="bottom"/>
          </w:tcPr>
          <w:p w14:paraId="392C302A" w14:textId="77777777" w:rsidR="00980E5F" w:rsidRDefault="00980E5F">
            <w:pPr>
              <w:rPr>
                <w:rFonts w:ascii="宋体"/>
                <w:vanish/>
              </w:rPr>
            </w:pPr>
          </w:p>
        </w:tc>
      </w:tr>
      <w:tr w:rsidR="00980E5F" w14:paraId="392C303A" w14:textId="77777777">
        <w:tc>
          <w:tcPr>
            <w:tcW w:w="0" w:type="auto"/>
            <w:gridSpan w:val="3"/>
            <w:shd w:val="clear" w:color="auto" w:fill="CCEEFF"/>
            <w:tcMar>
              <w:top w:w="40" w:type="dxa"/>
              <w:left w:w="20" w:type="dxa"/>
              <w:bottom w:w="40" w:type="dxa"/>
              <w:right w:w="20" w:type="dxa"/>
            </w:tcMar>
            <w:vAlign w:val="bottom"/>
          </w:tcPr>
          <w:p w14:paraId="392C302C" w14:textId="77777777" w:rsidR="00980E5F" w:rsidRDefault="00483613">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02D" w14:textId="77777777" w:rsidR="00980E5F" w:rsidRDefault="00483613">
            <w:pPr>
              <w:jc w:val="right"/>
              <w:textAlignment w:val="bottom"/>
            </w:pPr>
            <w:r>
              <w:rPr>
                <w:rFonts w:ascii="Arial" w:eastAsia="宋体" w:hAnsi="Arial" w:cs="Arial"/>
                <w:b/>
                <w:bCs/>
                <w:color w:val="000000"/>
                <w:sz w:val="18"/>
                <w:szCs w:val="18"/>
              </w:rPr>
              <w:t>835</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2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030" w14:textId="77777777" w:rsidR="00980E5F" w:rsidRDefault="00483613">
            <w:pPr>
              <w:jc w:val="right"/>
              <w:textAlignment w:val="bottom"/>
            </w:pPr>
            <w:r>
              <w:rPr>
                <w:rFonts w:ascii="Arial" w:eastAsia="宋体" w:hAnsi="Arial" w:cs="Arial"/>
                <w:color w:val="000000"/>
                <w:sz w:val="18"/>
                <w:szCs w:val="18"/>
              </w:rPr>
              <w:t>938 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3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033" w14:textId="77777777" w:rsidR="00980E5F" w:rsidRDefault="00483613">
            <w:pPr>
              <w:jc w:val="right"/>
              <w:textAlignment w:val="bottom"/>
            </w:pPr>
            <w:r>
              <w:rPr>
                <w:rFonts w:ascii="Arial" w:eastAsia="宋体" w:hAnsi="Arial" w:cs="Arial"/>
                <w:b/>
                <w:bCs/>
                <w:color w:val="000000"/>
                <w:sz w:val="18"/>
                <w:szCs w:val="18"/>
              </w:rPr>
              <w:t>1,589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3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036" w14:textId="77777777" w:rsidR="00980E5F" w:rsidRDefault="00483613">
            <w:pPr>
              <w:jc w:val="right"/>
              <w:textAlignment w:val="bottom"/>
            </w:pPr>
            <w:r>
              <w:rPr>
                <w:rFonts w:ascii="Arial" w:eastAsia="宋体" w:hAnsi="Arial" w:cs="Arial"/>
                <w:color w:val="000000"/>
                <w:sz w:val="18"/>
                <w:szCs w:val="18"/>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37" w14:textId="77777777" w:rsidR="00980E5F" w:rsidRDefault="00980E5F">
            <w:pPr>
              <w:jc w:val="right"/>
              <w:rPr>
                <w:rFonts w:ascii="宋体"/>
              </w:rPr>
            </w:pPr>
          </w:p>
        </w:tc>
        <w:tc>
          <w:tcPr>
            <w:tcW w:w="0" w:type="auto"/>
            <w:shd w:val="clear" w:color="auto" w:fill="auto"/>
            <w:vAlign w:val="bottom"/>
          </w:tcPr>
          <w:p w14:paraId="392C3038" w14:textId="77777777" w:rsidR="00980E5F" w:rsidRDefault="00980E5F">
            <w:pPr>
              <w:rPr>
                <w:rFonts w:ascii="宋体"/>
                <w:vanish/>
              </w:rPr>
            </w:pPr>
          </w:p>
        </w:tc>
        <w:tc>
          <w:tcPr>
            <w:tcW w:w="0" w:type="auto"/>
            <w:shd w:val="clear" w:color="auto" w:fill="auto"/>
            <w:vAlign w:val="bottom"/>
          </w:tcPr>
          <w:p w14:paraId="392C3039" w14:textId="77777777" w:rsidR="00980E5F" w:rsidRDefault="00980E5F">
            <w:pPr>
              <w:rPr>
                <w:rFonts w:ascii="宋体"/>
                <w:vanish/>
              </w:rPr>
            </w:pPr>
          </w:p>
        </w:tc>
      </w:tr>
      <w:tr w:rsidR="00980E5F" w14:paraId="392C3049" w14:textId="77777777">
        <w:tc>
          <w:tcPr>
            <w:tcW w:w="0" w:type="auto"/>
            <w:gridSpan w:val="3"/>
            <w:shd w:val="clear" w:color="auto" w:fill="FFFFFF"/>
            <w:tcMar>
              <w:top w:w="40" w:type="dxa"/>
              <w:left w:w="20" w:type="dxa"/>
              <w:bottom w:w="40" w:type="dxa"/>
              <w:right w:w="20" w:type="dxa"/>
            </w:tcMar>
            <w:vAlign w:val="bottom"/>
          </w:tcPr>
          <w:p w14:paraId="392C303B" w14:textId="77777777" w:rsidR="00980E5F" w:rsidRDefault="00483613">
            <w:pPr>
              <w:textAlignment w:val="bottom"/>
            </w:pPr>
            <w:r>
              <w:rPr>
                <w:rFonts w:ascii="Arial" w:eastAsia="宋体" w:hAnsi="Arial" w:cs="Arial"/>
                <w:color w:val="000000"/>
                <w:sz w:val="18"/>
                <w:szCs w:val="18"/>
              </w:rPr>
              <w:t xml:space="preserve">Income tax expense </w:t>
            </w:r>
          </w:p>
        </w:tc>
        <w:tc>
          <w:tcPr>
            <w:tcW w:w="0" w:type="auto"/>
            <w:gridSpan w:val="2"/>
            <w:shd w:val="clear" w:color="auto" w:fill="FFFFFF"/>
            <w:tcMar>
              <w:top w:w="40" w:type="dxa"/>
              <w:left w:w="20" w:type="dxa"/>
              <w:bottom w:w="40" w:type="dxa"/>
              <w:right w:w="0" w:type="dxa"/>
            </w:tcMar>
            <w:vAlign w:val="bottom"/>
          </w:tcPr>
          <w:p w14:paraId="392C303C" w14:textId="77777777" w:rsidR="00980E5F" w:rsidRDefault="00483613">
            <w:pPr>
              <w:jc w:val="right"/>
              <w:textAlignment w:val="bottom"/>
            </w:pPr>
            <w:r>
              <w:rPr>
                <w:rFonts w:ascii="Arial" w:eastAsia="宋体" w:hAnsi="Arial" w:cs="Arial"/>
                <w:b/>
                <w:bCs/>
                <w:color w:val="000000"/>
                <w:sz w:val="18"/>
                <w:szCs w:val="18"/>
              </w:rPr>
              <w:t>88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3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3F" w14:textId="77777777" w:rsidR="00980E5F" w:rsidRDefault="00483613">
            <w:pPr>
              <w:jc w:val="right"/>
              <w:textAlignment w:val="bottom"/>
            </w:pPr>
            <w:r>
              <w:rPr>
                <w:rFonts w:ascii="Arial" w:eastAsia="宋体" w:hAnsi="Arial" w:cs="Arial"/>
                <w:color w:val="000000"/>
                <w:sz w:val="18"/>
                <w:szCs w:val="18"/>
              </w:rPr>
              <w:t>175 </w:t>
            </w:r>
          </w:p>
        </w:tc>
        <w:tc>
          <w:tcPr>
            <w:tcW w:w="0" w:type="auto"/>
            <w:shd w:val="clear" w:color="auto" w:fill="FFFFFF"/>
            <w:tcMar>
              <w:top w:w="40" w:type="dxa"/>
              <w:left w:w="0" w:type="dxa"/>
              <w:bottom w:w="40" w:type="dxa"/>
              <w:right w:w="20" w:type="dxa"/>
            </w:tcMar>
            <w:vAlign w:val="bottom"/>
          </w:tcPr>
          <w:p w14:paraId="392C304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4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42" w14:textId="77777777" w:rsidR="00980E5F" w:rsidRDefault="00483613">
            <w:pPr>
              <w:jc w:val="right"/>
              <w:textAlignment w:val="bottom"/>
            </w:pPr>
            <w:r>
              <w:rPr>
                <w:rFonts w:ascii="Arial" w:eastAsia="宋体" w:hAnsi="Arial" w:cs="Arial"/>
                <w:b/>
                <w:bCs/>
                <w:color w:val="000000"/>
                <w:sz w:val="18"/>
                <w:szCs w:val="18"/>
              </w:rPr>
              <w:t>238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45" w14:textId="77777777" w:rsidR="00980E5F" w:rsidRDefault="00483613">
            <w:pPr>
              <w:jc w:val="right"/>
              <w:textAlignment w:val="bottom"/>
            </w:pPr>
            <w:r>
              <w:rPr>
                <w:rFonts w:ascii="Arial" w:eastAsia="宋体" w:hAnsi="Arial" w:cs="Arial"/>
                <w:color w:val="000000"/>
                <w:sz w:val="18"/>
                <w:szCs w:val="18"/>
              </w:rPr>
              <w:t>283 </w:t>
            </w:r>
          </w:p>
        </w:tc>
        <w:tc>
          <w:tcPr>
            <w:tcW w:w="0" w:type="auto"/>
            <w:shd w:val="clear" w:color="auto" w:fill="FFFFFF"/>
            <w:tcMar>
              <w:top w:w="40" w:type="dxa"/>
              <w:left w:w="0" w:type="dxa"/>
              <w:bottom w:w="40" w:type="dxa"/>
              <w:right w:w="20" w:type="dxa"/>
            </w:tcMar>
            <w:vAlign w:val="bottom"/>
          </w:tcPr>
          <w:p w14:paraId="392C3046" w14:textId="77777777" w:rsidR="00980E5F" w:rsidRDefault="00980E5F">
            <w:pPr>
              <w:jc w:val="right"/>
              <w:rPr>
                <w:rFonts w:ascii="宋体"/>
              </w:rPr>
            </w:pPr>
          </w:p>
        </w:tc>
        <w:tc>
          <w:tcPr>
            <w:tcW w:w="0" w:type="auto"/>
            <w:shd w:val="clear" w:color="auto" w:fill="auto"/>
            <w:vAlign w:val="bottom"/>
          </w:tcPr>
          <w:p w14:paraId="392C3047" w14:textId="77777777" w:rsidR="00980E5F" w:rsidRDefault="00980E5F">
            <w:pPr>
              <w:rPr>
                <w:rFonts w:ascii="宋体"/>
                <w:vanish/>
              </w:rPr>
            </w:pPr>
          </w:p>
        </w:tc>
        <w:tc>
          <w:tcPr>
            <w:tcW w:w="0" w:type="auto"/>
            <w:shd w:val="clear" w:color="auto" w:fill="auto"/>
            <w:vAlign w:val="bottom"/>
          </w:tcPr>
          <w:p w14:paraId="392C3048" w14:textId="77777777" w:rsidR="00980E5F" w:rsidRDefault="00980E5F">
            <w:pPr>
              <w:rPr>
                <w:rFonts w:ascii="宋体"/>
                <w:vanish/>
              </w:rPr>
            </w:pPr>
          </w:p>
        </w:tc>
      </w:tr>
      <w:tr w:rsidR="00980E5F" w14:paraId="392C3054" w14:textId="77777777">
        <w:trPr>
          <w:hidden/>
        </w:trPr>
        <w:tc>
          <w:tcPr>
            <w:tcW w:w="0" w:type="auto"/>
            <w:gridSpan w:val="3"/>
            <w:shd w:val="clear" w:color="auto" w:fill="auto"/>
            <w:vAlign w:val="bottom"/>
          </w:tcPr>
          <w:p w14:paraId="392C304A" w14:textId="77777777" w:rsidR="00980E5F" w:rsidRDefault="00980E5F">
            <w:pPr>
              <w:rPr>
                <w:rFonts w:ascii="宋体"/>
                <w:vanish/>
              </w:rPr>
            </w:pPr>
          </w:p>
        </w:tc>
        <w:tc>
          <w:tcPr>
            <w:tcW w:w="0" w:type="auto"/>
            <w:gridSpan w:val="3"/>
            <w:shd w:val="clear" w:color="auto" w:fill="auto"/>
            <w:vAlign w:val="bottom"/>
          </w:tcPr>
          <w:p w14:paraId="392C304B" w14:textId="77777777" w:rsidR="00980E5F" w:rsidRDefault="00980E5F">
            <w:pPr>
              <w:rPr>
                <w:rFonts w:ascii="宋体"/>
                <w:vanish/>
              </w:rPr>
            </w:pPr>
          </w:p>
        </w:tc>
        <w:tc>
          <w:tcPr>
            <w:tcW w:w="0" w:type="auto"/>
            <w:gridSpan w:val="3"/>
            <w:shd w:val="clear" w:color="auto" w:fill="auto"/>
            <w:vAlign w:val="bottom"/>
          </w:tcPr>
          <w:p w14:paraId="392C304C" w14:textId="77777777" w:rsidR="00980E5F" w:rsidRDefault="00980E5F">
            <w:pPr>
              <w:rPr>
                <w:rFonts w:ascii="宋体"/>
                <w:vanish/>
              </w:rPr>
            </w:pPr>
          </w:p>
        </w:tc>
        <w:tc>
          <w:tcPr>
            <w:tcW w:w="0" w:type="auto"/>
            <w:gridSpan w:val="3"/>
            <w:shd w:val="clear" w:color="auto" w:fill="auto"/>
            <w:vAlign w:val="bottom"/>
          </w:tcPr>
          <w:p w14:paraId="392C304D" w14:textId="77777777" w:rsidR="00980E5F" w:rsidRDefault="00980E5F">
            <w:pPr>
              <w:rPr>
                <w:rFonts w:ascii="宋体"/>
                <w:vanish/>
              </w:rPr>
            </w:pPr>
          </w:p>
        </w:tc>
        <w:tc>
          <w:tcPr>
            <w:tcW w:w="0" w:type="auto"/>
            <w:gridSpan w:val="3"/>
            <w:shd w:val="clear" w:color="auto" w:fill="auto"/>
            <w:vAlign w:val="bottom"/>
          </w:tcPr>
          <w:p w14:paraId="392C304E" w14:textId="77777777" w:rsidR="00980E5F" w:rsidRDefault="00980E5F">
            <w:pPr>
              <w:rPr>
                <w:rFonts w:ascii="宋体"/>
                <w:vanish/>
              </w:rPr>
            </w:pPr>
          </w:p>
        </w:tc>
        <w:tc>
          <w:tcPr>
            <w:tcW w:w="0" w:type="auto"/>
            <w:gridSpan w:val="3"/>
            <w:shd w:val="clear" w:color="auto" w:fill="auto"/>
            <w:vAlign w:val="bottom"/>
          </w:tcPr>
          <w:p w14:paraId="392C304F" w14:textId="77777777" w:rsidR="00980E5F" w:rsidRDefault="00980E5F">
            <w:pPr>
              <w:rPr>
                <w:rFonts w:ascii="宋体"/>
                <w:vanish/>
              </w:rPr>
            </w:pPr>
          </w:p>
        </w:tc>
        <w:tc>
          <w:tcPr>
            <w:tcW w:w="0" w:type="auto"/>
            <w:gridSpan w:val="3"/>
            <w:shd w:val="clear" w:color="auto" w:fill="auto"/>
            <w:vAlign w:val="bottom"/>
          </w:tcPr>
          <w:p w14:paraId="392C3050" w14:textId="77777777" w:rsidR="00980E5F" w:rsidRDefault="00980E5F">
            <w:pPr>
              <w:rPr>
                <w:rFonts w:ascii="宋体"/>
                <w:vanish/>
              </w:rPr>
            </w:pPr>
          </w:p>
        </w:tc>
        <w:tc>
          <w:tcPr>
            <w:tcW w:w="0" w:type="auto"/>
            <w:gridSpan w:val="3"/>
            <w:shd w:val="clear" w:color="auto" w:fill="auto"/>
            <w:vAlign w:val="bottom"/>
          </w:tcPr>
          <w:p w14:paraId="392C3051" w14:textId="77777777" w:rsidR="00980E5F" w:rsidRDefault="00980E5F">
            <w:pPr>
              <w:rPr>
                <w:rFonts w:ascii="宋体"/>
                <w:vanish/>
              </w:rPr>
            </w:pPr>
          </w:p>
        </w:tc>
        <w:tc>
          <w:tcPr>
            <w:tcW w:w="0" w:type="auto"/>
            <w:shd w:val="clear" w:color="auto" w:fill="auto"/>
            <w:vAlign w:val="bottom"/>
          </w:tcPr>
          <w:p w14:paraId="392C3052" w14:textId="77777777" w:rsidR="00980E5F" w:rsidRDefault="00980E5F">
            <w:pPr>
              <w:rPr>
                <w:rFonts w:ascii="宋体"/>
                <w:vanish/>
              </w:rPr>
            </w:pPr>
          </w:p>
        </w:tc>
        <w:tc>
          <w:tcPr>
            <w:tcW w:w="0" w:type="auto"/>
            <w:shd w:val="clear" w:color="auto" w:fill="auto"/>
            <w:vAlign w:val="bottom"/>
          </w:tcPr>
          <w:p w14:paraId="392C3053" w14:textId="77777777" w:rsidR="00980E5F" w:rsidRDefault="00980E5F">
            <w:pPr>
              <w:rPr>
                <w:rFonts w:ascii="宋体"/>
                <w:vanish/>
              </w:rPr>
            </w:pPr>
          </w:p>
        </w:tc>
      </w:tr>
      <w:tr w:rsidR="00980E5F" w14:paraId="392C3067" w14:textId="77777777">
        <w:tc>
          <w:tcPr>
            <w:tcW w:w="0" w:type="auto"/>
            <w:gridSpan w:val="3"/>
            <w:shd w:val="clear" w:color="auto" w:fill="CCEEFF"/>
            <w:tcMar>
              <w:top w:w="40" w:type="dxa"/>
              <w:left w:w="20" w:type="dxa"/>
              <w:bottom w:w="40" w:type="dxa"/>
              <w:right w:w="20" w:type="dxa"/>
            </w:tcMar>
            <w:vAlign w:val="bottom"/>
          </w:tcPr>
          <w:p w14:paraId="392C3055" w14:textId="77777777" w:rsidR="00980E5F" w:rsidRDefault="00483613">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056"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057" w14:textId="77777777" w:rsidR="00980E5F" w:rsidRDefault="00483613">
            <w:pPr>
              <w:jc w:val="right"/>
              <w:textAlignment w:val="bottom"/>
            </w:pPr>
            <w:r>
              <w:rPr>
                <w:rFonts w:ascii="Arial" w:eastAsia="宋体" w:hAnsi="Arial" w:cs="Arial"/>
                <w:b/>
                <w:bCs/>
                <w:color w:val="000000"/>
                <w:sz w:val="18"/>
                <w:szCs w:val="18"/>
              </w:rPr>
              <w:t>747</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5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5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05A"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05B" w14:textId="77777777" w:rsidR="00980E5F" w:rsidRDefault="00483613">
            <w:pPr>
              <w:jc w:val="right"/>
              <w:textAlignment w:val="bottom"/>
            </w:pPr>
            <w:r>
              <w:rPr>
                <w:rFonts w:ascii="Arial" w:eastAsia="宋体" w:hAnsi="Arial" w:cs="Arial"/>
                <w:color w:val="000000"/>
                <w:sz w:val="18"/>
                <w:szCs w:val="18"/>
              </w:rPr>
              <w:t>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5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05E"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05F" w14:textId="77777777" w:rsidR="00980E5F" w:rsidRDefault="00483613">
            <w:pPr>
              <w:jc w:val="right"/>
              <w:textAlignment w:val="bottom"/>
            </w:pPr>
            <w:r>
              <w:rPr>
                <w:rFonts w:ascii="Arial" w:eastAsia="宋体" w:hAnsi="Arial" w:cs="Arial"/>
                <w:b/>
                <w:bCs/>
                <w:color w:val="000000"/>
                <w:sz w:val="18"/>
                <w:szCs w:val="18"/>
              </w:rPr>
              <w:t>1,351</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6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062"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063" w14:textId="77777777" w:rsidR="00980E5F" w:rsidRDefault="00483613">
            <w:pPr>
              <w:jc w:val="right"/>
              <w:textAlignment w:val="bottom"/>
            </w:pPr>
            <w:r>
              <w:rPr>
                <w:rFonts w:ascii="Arial" w:eastAsia="宋体" w:hAnsi="Arial" w:cs="Arial"/>
                <w:color w:val="000000"/>
                <w:sz w:val="18"/>
                <w:szCs w:val="18"/>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064" w14:textId="77777777" w:rsidR="00980E5F" w:rsidRDefault="00980E5F">
            <w:pPr>
              <w:jc w:val="right"/>
              <w:rPr>
                <w:rFonts w:ascii="宋体"/>
              </w:rPr>
            </w:pPr>
          </w:p>
        </w:tc>
        <w:tc>
          <w:tcPr>
            <w:tcW w:w="0" w:type="auto"/>
            <w:shd w:val="clear" w:color="auto" w:fill="auto"/>
            <w:vAlign w:val="bottom"/>
          </w:tcPr>
          <w:p w14:paraId="392C3065" w14:textId="77777777" w:rsidR="00980E5F" w:rsidRDefault="00980E5F">
            <w:pPr>
              <w:rPr>
                <w:rFonts w:ascii="宋体"/>
                <w:vanish/>
              </w:rPr>
            </w:pPr>
          </w:p>
        </w:tc>
        <w:tc>
          <w:tcPr>
            <w:tcW w:w="0" w:type="auto"/>
            <w:shd w:val="clear" w:color="auto" w:fill="auto"/>
            <w:vAlign w:val="bottom"/>
          </w:tcPr>
          <w:p w14:paraId="392C3066" w14:textId="77777777" w:rsidR="00980E5F" w:rsidRDefault="00980E5F">
            <w:pPr>
              <w:rPr>
                <w:rFonts w:ascii="宋体"/>
                <w:vanish/>
              </w:rPr>
            </w:pPr>
          </w:p>
        </w:tc>
      </w:tr>
      <w:tr w:rsidR="00980E5F" w14:paraId="392C307A" w14:textId="77777777">
        <w:tc>
          <w:tcPr>
            <w:tcW w:w="0" w:type="auto"/>
            <w:gridSpan w:val="3"/>
            <w:shd w:val="clear" w:color="auto" w:fill="FFFFFF"/>
            <w:tcMar>
              <w:top w:w="40" w:type="dxa"/>
              <w:left w:w="20" w:type="dxa"/>
              <w:bottom w:w="40" w:type="dxa"/>
              <w:right w:w="20" w:type="dxa"/>
            </w:tcMar>
            <w:vAlign w:val="bottom"/>
          </w:tcPr>
          <w:p w14:paraId="392C3068" w14:textId="77777777" w:rsidR="00980E5F" w:rsidRDefault="00483613">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FFFFFF"/>
            <w:tcMar>
              <w:top w:w="40" w:type="dxa"/>
              <w:left w:w="20" w:type="dxa"/>
              <w:bottom w:w="40" w:type="dxa"/>
              <w:right w:w="0" w:type="dxa"/>
            </w:tcMar>
            <w:vAlign w:val="bottom"/>
          </w:tcPr>
          <w:p w14:paraId="392C3069" w14:textId="77777777" w:rsidR="00980E5F" w:rsidRDefault="00483613">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306A" w14:textId="77777777" w:rsidR="00980E5F" w:rsidRDefault="00483613">
            <w:pPr>
              <w:jc w:val="right"/>
              <w:textAlignment w:val="bottom"/>
            </w:pPr>
            <w:r>
              <w:rPr>
                <w:rFonts w:ascii="Arial" w:eastAsia="宋体" w:hAnsi="Arial" w:cs="Arial"/>
                <w:b/>
                <w:bCs/>
                <w:color w:val="000000"/>
                <w:sz w:val="18"/>
                <w:szCs w:val="18"/>
              </w:rPr>
              <w:t>712</w:t>
            </w: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30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6C"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306D" w14:textId="77777777" w:rsidR="00980E5F" w:rsidRDefault="00483613">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306E" w14:textId="77777777" w:rsidR="00980E5F" w:rsidRDefault="00483613">
            <w:pPr>
              <w:jc w:val="right"/>
              <w:textAlignment w:val="bottom"/>
            </w:pPr>
            <w:r>
              <w:rPr>
                <w:rFonts w:ascii="Arial" w:eastAsia="宋体" w:hAnsi="Arial" w:cs="Arial"/>
                <w:color w:val="000000"/>
                <w:sz w:val="18"/>
                <w:szCs w:val="18"/>
              </w:rPr>
              <w:t>728 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306F" w14:textId="77777777" w:rsidR="00980E5F" w:rsidRDefault="00980E5F">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3070"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3071" w14:textId="77777777" w:rsidR="00980E5F" w:rsidRDefault="00483613">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3072" w14:textId="77777777" w:rsidR="00980E5F" w:rsidRDefault="00483613">
            <w:pPr>
              <w:jc w:val="right"/>
              <w:textAlignment w:val="bottom"/>
            </w:pPr>
            <w:r>
              <w:rPr>
                <w:rFonts w:ascii="Arial" w:eastAsia="宋体" w:hAnsi="Arial" w:cs="Arial"/>
                <w:b/>
                <w:bCs/>
                <w:color w:val="000000"/>
                <w:sz w:val="18"/>
                <w:szCs w:val="18"/>
              </w:rPr>
              <w:t>1,295</w:t>
            </w: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307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74"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3075" w14:textId="77777777" w:rsidR="00980E5F" w:rsidRDefault="00483613">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3076" w14:textId="77777777" w:rsidR="00980E5F" w:rsidRDefault="00483613">
            <w:pPr>
              <w:jc w:val="right"/>
              <w:textAlignment w:val="bottom"/>
            </w:pPr>
            <w:r>
              <w:rPr>
                <w:rFonts w:ascii="Arial" w:eastAsia="宋体" w:hAnsi="Arial" w:cs="Arial"/>
                <w:color w:val="000000"/>
                <w:sz w:val="18"/>
                <w:szCs w:val="18"/>
              </w:rPr>
              <w:t>1,217 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3077" w14:textId="77777777" w:rsidR="00980E5F" w:rsidRDefault="00980E5F">
            <w:pPr>
              <w:jc w:val="right"/>
              <w:rPr>
                <w:rFonts w:ascii="宋体"/>
              </w:rPr>
            </w:pPr>
          </w:p>
        </w:tc>
        <w:tc>
          <w:tcPr>
            <w:tcW w:w="0" w:type="auto"/>
            <w:shd w:val="clear" w:color="auto" w:fill="auto"/>
            <w:vAlign w:val="bottom"/>
          </w:tcPr>
          <w:p w14:paraId="392C3078" w14:textId="77777777" w:rsidR="00980E5F" w:rsidRDefault="00980E5F">
            <w:pPr>
              <w:rPr>
                <w:rFonts w:ascii="宋体"/>
                <w:vanish/>
              </w:rPr>
            </w:pPr>
          </w:p>
        </w:tc>
        <w:tc>
          <w:tcPr>
            <w:tcW w:w="0" w:type="auto"/>
            <w:shd w:val="clear" w:color="auto" w:fill="auto"/>
            <w:vAlign w:val="bottom"/>
          </w:tcPr>
          <w:p w14:paraId="392C3079" w14:textId="77777777" w:rsidR="00980E5F" w:rsidRDefault="00980E5F">
            <w:pPr>
              <w:rPr>
                <w:rFonts w:ascii="宋体"/>
                <w:vanish/>
              </w:rPr>
            </w:pPr>
          </w:p>
        </w:tc>
      </w:tr>
      <w:tr w:rsidR="00980E5F" w14:paraId="392C3085" w14:textId="77777777">
        <w:tc>
          <w:tcPr>
            <w:tcW w:w="0" w:type="auto"/>
            <w:gridSpan w:val="3"/>
            <w:shd w:val="clear" w:color="auto" w:fill="CCEEFF"/>
            <w:tcMar>
              <w:top w:w="40" w:type="dxa"/>
              <w:left w:w="20" w:type="dxa"/>
              <w:bottom w:w="40" w:type="dxa"/>
              <w:right w:w="20" w:type="dxa"/>
            </w:tcMar>
            <w:vAlign w:val="bottom"/>
          </w:tcPr>
          <w:p w14:paraId="392C307B" w14:textId="77777777" w:rsidR="00980E5F" w:rsidRDefault="00483613">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07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07D"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07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07F"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08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081"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082" w14:textId="77777777" w:rsidR="00980E5F" w:rsidRDefault="00980E5F">
            <w:pPr>
              <w:rPr>
                <w:rFonts w:ascii="宋体"/>
              </w:rPr>
            </w:pPr>
          </w:p>
        </w:tc>
        <w:tc>
          <w:tcPr>
            <w:tcW w:w="0" w:type="auto"/>
            <w:shd w:val="clear" w:color="auto" w:fill="auto"/>
            <w:vAlign w:val="bottom"/>
          </w:tcPr>
          <w:p w14:paraId="392C3083" w14:textId="77777777" w:rsidR="00980E5F" w:rsidRDefault="00980E5F">
            <w:pPr>
              <w:rPr>
                <w:rFonts w:ascii="宋体"/>
                <w:vanish/>
              </w:rPr>
            </w:pPr>
          </w:p>
        </w:tc>
        <w:tc>
          <w:tcPr>
            <w:tcW w:w="0" w:type="auto"/>
            <w:shd w:val="clear" w:color="auto" w:fill="auto"/>
            <w:vAlign w:val="bottom"/>
          </w:tcPr>
          <w:p w14:paraId="392C3084" w14:textId="77777777" w:rsidR="00980E5F" w:rsidRDefault="00980E5F">
            <w:pPr>
              <w:rPr>
                <w:rFonts w:ascii="宋体"/>
                <w:vanish/>
              </w:rPr>
            </w:pPr>
          </w:p>
        </w:tc>
      </w:tr>
      <w:tr w:rsidR="00980E5F" w14:paraId="392C3098" w14:textId="77777777">
        <w:tc>
          <w:tcPr>
            <w:tcW w:w="0" w:type="auto"/>
            <w:gridSpan w:val="3"/>
            <w:shd w:val="clear" w:color="auto" w:fill="FFFFFF"/>
            <w:tcMar>
              <w:top w:w="40" w:type="dxa"/>
              <w:left w:w="20" w:type="dxa"/>
              <w:bottom w:w="40" w:type="dxa"/>
              <w:right w:w="20" w:type="dxa"/>
            </w:tcMar>
            <w:vAlign w:val="bottom"/>
          </w:tcPr>
          <w:p w14:paraId="392C3086" w14:textId="77777777" w:rsidR="00980E5F" w:rsidRDefault="00483613">
            <w:pPr>
              <w:textAlignment w:val="bottom"/>
            </w:pPr>
            <w:r>
              <w:rPr>
                <w:rFonts w:ascii="Arial" w:eastAsia="宋体" w:hAnsi="Arial" w:cs="Arial"/>
                <w:color w:val="000000"/>
                <w:sz w:val="18"/>
                <w:szCs w:val="18"/>
              </w:rPr>
              <w:t>Basic</w:t>
            </w:r>
          </w:p>
        </w:tc>
        <w:tc>
          <w:tcPr>
            <w:tcW w:w="0" w:type="auto"/>
            <w:shd w:val="clear" w:color="auto" w:fill="FFFFFF"/>
            <w:tcMar>
              <w:top w:w="40" w:type="dxa"/>
              <w:left w:w="20" w:type="dxa"/>
              <w:bottom w:w="40" w:type="dxa"/>
              <w:right w:w="0" w:type="dxa"/>
            </w:tcMar>
            <w:vAlign w:val="bottom"/>
          </w:tcPr>
          <w:p w14:paraId="392C3087"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392C3088" w14:textId="77777777" w:rsidR="00980E5F" w:rsidRDefault="00483613">
            <w:pPr>
              <w:jc w:val="right"/>
              <w:textAlignment w:val="bottom"/>
            </w:pPr>
            <w:r>
              <w:rPr>
                <w:rFonts w:ascii="Arial" w:eastAsia="宋体" w:hAnsi="Arial" w:cs="Arial"/>
                <w:b/>
                <w:bCs/>
                <w:color w:val="000000"/>
                <w:sz w:val="18"/>
                <w:szCs w:val="18"/>
              </w:rPr>
              <w:t>1.94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8A"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08B" w14:textId="77777777" w:rsidR="00980E5F" w:rsidRDefault="004836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92C308C" w14:textId="77777777" w:rsidR="00980E5F" w:rsidRDefault="00483613">
            <w:pPr>
              <w:jc w:val="right"/>
              <w:textAlignment w:val="bottom"/>
            </w:pPr>
            <w:r>
              <w:rPr>
                <w:rFonts w:ascii="Arial" w:eastAsia="宋体" w:hAnsi="Arial" w:cs="Arial"/>
                <w:color w:val="000000"/>
                <w:sz w:val="18"/>
                <w:szCs w:val="18"/>
              </w:rPr>
              <w:t>2.11 </w:t>
            </w:r>
          </w:p>
        </w:tc>
        <w:tc>
          <w:tcPr>
            <w:tcW w:w="0" w:type="auto"/>
            <w:shd w:val="clear" w:color="auto" w:fill="FFFFFF"/>
            <w:tcMar>
              <w:top w:w="40" w:type="dxa"/>
              <w:left w:w="0" w:type="dxa"/>
              <w:bottom w:w="40" w:type="dxa"/>
              <w:right w:w="20" w:type="dxa"/>
            </w:tcMar>
            <w:vAlign w:val="bottom"/>
          </w:tcPr>
          <w:p w14:paraId="392C30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8E"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08F"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392C3090" w14:textId="77777777" w:rsidR="00980E5F" w:rsidRDefault="00483613">
            <w:pPr>
              <w:jc w:val="right"/>
              <w:textAlignment w:val="bottom"/>
            </w:pPr>
            <w:r>
              <w:rPr>
                <w:rFonts w:ascii="Arial" w:eastAsia="宋体" w:hAnsi="Arial" w:cs="Arial"/>
                <w:b/>
                <w:bCs/>
                <w:color w:val="000000"/>
                <w:sz w:val="18"/>
                <w:szCs w:val="18"/>
              </w:rPr>
              <w:t>3.53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92"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093" w14:textId="77777777" w:rsidR="00980E5F" w:rsidRDefault="004836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92C3094" w14:textId="77777777" w:rsidR="00980E5F" w:rsidRDefault="00483613">
            <w:pPr>
              <w:jc w:val="right"/>
              <w:textAlignment w:val="bottom"/>
            </w:pPr>
            <w:r>
              <w:rPr>
                <w:rFonts w:ascii="Arial" w:eastAsia="宋体" w:hAnsi="Arial" w:cs="Arial"/>
                <w:color w:val="000000"/>
                <w:sz w:val="18"/>
                <w:szCs w:val="18"/>
              </w:rPr>
              <w:t>3.49 </w:t>
            </w:r>
          </w:p>
        </w:tc>
        <w:tc>
          <w:tcPr>
            <w:tcW w:w="0" w:type="auto"/>
            <w:shd w:val="clear" w:color="auto" w:fill="FFFFFF"/>
            <w:tcMar>
              <w:top w:w="40" w:type="dxa"/>
              <w:left w:w="0" w:type="dxa"/>
              <w:bottom w:w="40" w:type="dxa"/>
              <w:right w:w="20" w:type="dxa"/>
            </w:tcMar>
            <w:vAlign w:val="bottom"/>
          </w:tcPr>
          <w:p w14:paraId="392C3095" w14:textId="77777777" w:rsidR="00980E5F" w:rsidRDefault="00980E5F">
            <w:pPr>
              <w:jc w:val="right"/>
              <w:rPr>
                <w:rFonts w:ascii="宋体"/>
              </w:rPr>
            </w:pPr>
          </w:p>
        </w:tc>
        <w:tc>
          <w:tcPr>
            <w:tcW w:w="0" w:type="auto"/>
            <w:shd w:val="clear" w:color="auto" w:fill="auto"/>
            <w:vAlign w:val="bottom"/>
          </w:tcPr>
          <w:p w14:paraId="392C3096" w14:textId="77777777" w:rsidR="00980E5F" w:rsidRDefault="00980E5F">
            <w:pPr>
              <w:rPr>
                <w:rFonts w:ascii="宋体"/>
                <w:vanish/>
              </w:rPr>
            </w:pPr>
          </w:p>
        </w:tc>
        <w:tc>
          <w:tcPr>
            <w:tcW w:w="0" w:type="auto"/>
            <w:shd w:val="clear" w:color="auto" w:fill="auto"/>
            <w:vAlign w:val="bottom"/>
          </w:tcPr>
          <w:p w14:paraId="392C3097" w14:textId="77777777" w:rsidR="00980E5F" w:rsidRDefault="00980E5F">
            <w:pPr>
              <w:rPr>
                <w:rFonts w:ascii="宋体"/>
                <w:vanish/>
              </w:rPr>
            </w:pPr>
          </w:p>
        </w:tc>
      </w:tr>
      <w:tr w:rsidR="00980E5F" w14:paraId="392C30A7" w14:textId="77777777">
        <w:tc>
          <w:tcPr>
            <w:tcW w:w="0" w:type="auto"/>
            <w:gridSpan w:val="3"/>
            <w:shd w:val="clear" w:color="auto" w:fill="CCEEFF"/>
            <w:tcMar>
              <w:top w:w="40" w:type="dxa"/>
              <w:left w:w="20" w:type="dxa"/>
              <w:bottom w:w="40" w:type="dxa"/>
              <w:right w:w="20" w:type="dxa"/>
            </w:tcMar>
            <w:vAlign w:val="bottom"/>
          </w:tcPr>
          <w:p w14:paraId="392C3099" w14:textId="77777777" w:rsidR="00980E5F" w:rsidRDefault="00483613">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392C309A" w14:textId="77777777" w:rsidR="00980E5F" w:rsidRDefault="00483613">
            <w:pPr>
              <w:jc w:val="right"/>
              <w:textAlignment w:val="bottom"/>
            </w:pPr>
            <w:r>
              <w:rPr>
                <w:rFonts w:ascii="Arial" w:eastAsia="宋体" w:hAnsi="Arial" w:cs="Arial"/>
                <w:b/>
                <w:bCs/>
                <w:color w:val="000000"/>
                <w:sz w:val="18"/>
                <w:szCs w:val="18"/>
              </w:rPr>
              <w:t>1.91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9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9D" w14:textId="77777777" w:rsidR="00980E5F" w:rsidRDefault="00483613">
            <w:pPr>
              <w:jc w:val="right"/>
              <w:textAlignment w:val="bottom"/>
            </w:pPr>
            <w:r>
              <w:rPr>
                <w:rFonts w:ascii="Arial" w:eastAsia="宋体" w:hAnsi="Arial" w:cs="Arial"/>
                <w:color w:val="000000"/>
                <w:sz w:val="18"/>
                <w:szCs w:val="18"/>
              </w:rPr>
              <w:t>2.07 </w:t>
            </w:r>
          </w:p>
        </w:tc>
        <w:tc>
          <w:tcPr>
            <w:tcW w:w="0" w:type="auto"/>
            <w:shd w:val="clear" w:color="auto" w:fill="CCEEFF"/>
            <w:tcMar>
              <w:top w:w="40" w:type="dxa"/>
              <w:left w:w="0" w:type="dxa"/>
              <w:bottom w:w="40" w:type="dxa"/>
              <w:right w:w="20" w:type="dxa"/>
            </w:tcMar>
            <w:vAlign w:val="bottom"/>
          </w:tcPr>
          <w:p w14:paraId="392C30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9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A0" w14:textId="77777777" w:rsidR="00980E5F" w:rsidRDefault="00483613">
            <w:pPr>
              <w:jc w:val="right"/>
              <w:textAlignment w:val="bottom"/>
            </w:pPr>
            <w:r>
              <w:rPr>
                <w:rFonts w:ascii="Arial" w:eastAsia="宋体" w:hAnsi="Arial" w:cs="Arial"/>
                <w:b/>
                <w:bCs/>
                <w:color w:val="000000"/>
                <w:sz w:val="18"/>
                <w:szCs w:val="18"/>
              </w:rPr>
              <w:t>3.48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A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A3" w14:textId="77777777" w:rsidR="00980E5F" w:rsidRDefault="00483613">
            <w:pPr>
              <w:jc w:val="right"/>
              <w:textAlignment w:val="bottom"/>
            </w:pPr>
            <w:r>
              <w:rPr>
                <w:rFonts w:ascii="Arial" w:eastAsia="宋体" w:hAnsi="Arial" w:cs="Arial"/>
                <w:color w:val="000000"/>
                <w:sz w:val="18"/>
                <w:szCs w:val="18"/>
              </w:rPr>
              <w:t>3.44 </w:t>
            </w:r>
          </w:p>
        </w:tc>
        <w:tc>
          <w:tcPr>
            <w:tcW w:w="0" w:type="auto"/>
            <w:shd w:val="clear" w:color="auto" w:fill="CCEEFF"/>
            <w:tcMar>
              <w:top w:w="40" w:type="dxa"/>
              <w:left w:w="0" w:type="dxa"/>
              <w:bottom w:w="40" w:type="dxa"/>
              <w:right w:w="20" w:type="dxa"/>
            </w:tcMar>
            <w:vAlign w:val="bottom"/>
          </w:tcPr>
          <w:p w14:paraId="392C30A4" w14:textId="77777777" w:rsidR="00980E5F" w:rsidRDefault="00980E5F">
            <w:pPr>
              <w:jc w:val="right"/>
              <w:rPr>
                <w:rFonts w:ascii="宋体"/>
              </w:rPr>
            </w:pPr>
          </w:p>
        </w:tc>
        <w:tc>
          <w:tcPr>
            <w:tcW w:w="0" w:type="auto"/>
            <w:shd w:val="clear" w:color="auto" w:fill="auto"/>
            <w:vAlign w:val="bottom"/>
          </w:tcPr>
          <w:p w14:paraId="392C30A5" w14:textId="77777777" w:rsidR="00980E5F" w:rsidRDefault="00980E5F">
            <w:pPr>
              <w:rPr>
                <w:rFonts w:ascii="宋体"/>
                <w:vanish/>
              </w:rPr>
            </w:pPr>
          </w:p>
        </w:tc>
        <w:tc>
          <w:tcPr>
            <w:tcW w:w="0" w:type="auto"/>
            <w:shd w:val="clear" w:color="auto" w:fill="auto"/>
            <w:vAlign w:val="bottom"/>
          </w:tcPr>
          <w:p w14:paraId="392C30A6" w14:textId="77777777" w:rsidR="00980E5F" w:rsidRDefault="00980E5F">
            <w:pPr>
              <w:rPr>
                <w:rFonts w:ascii="宋体"/>
                <w:vanish/>
              </w:rPr>
            </w:pPr>
          </w:p>
        </w:tc>
      </w:tr>
      <w:tr w:rsidR="00980E5F" w14:paraId="392C30B2" w14:textId="77777777">
        <w:tc>
          <w:tcPr>
            <w:tcW w:w="0" w:type="auto"/>
            <w:gridSpan w:val="3"/>
            <w:shd w:val="clear" w:color="auto" w:fill="FFFFFF"/>
            <w:tcMar>
              <w:top w:w="40" w:type="dxa"/>
              <w:left w:w="20" w:type="dxa"/>
              <w:bottom w:w="40" w:type="dxa"/>
              <w:right w:w="20" w:type="dxa"/>
            </w:tcMar>
            <w:vAlign w:val="bottom"/>
          </w:tcPr>
          <w:p w14:paraId="392C30A8" w14:textId="77777777" w:rsidR="00980E5F" w:rsidRDefault="00483613">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FFFFFF"/>
            <w:tcMar>
              <w:top w:w="0" w:type="dxa"/>
              <w:left w:w="20" w:type="dxa"/>
              <w:bottom w:w="0" w:type="dxa"/>
              <w:right w:w="20" w:type="dxa"/>
            </w:tcMar>
            <w:vAlign w:val="bottom"/>
          </w:tcPr>
          <w:p w14:paraId="392C30A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0AF" w14:textId="77777777" w:rsidR="00980E5F" w:rsidRDefault="00980E5F">
            <w:pPr>
              <w:rPr>
                <w:rFonts w:ascii="宋体"/>
              </w:rPr>
            </w:pPr>
          </w:p>
        </w:tc>
        <w:tc>
          <w:tcPr>
            <w:tcW w:w="0" w:type="auto"/>
            <w:shd w:val="clear" w:color="auto" w:fill="auto"/>
            <w:vAlign w:val="bottom"/>
          </w:tcPr>
          <w:p w14:paraId="392C30B0" w14:textId="77777777" w:rsidR="00980E5F" w:rsidRDefault="00980E5F">
            <w:pPr>
              <w:rPr>
                <w:rFonts w:ascii="宋体"/>
                <w:vanish/>
              </w:rPr>
            </w:pPr>
          </w:p>
        </w:tc>
        <w:tc>
          <w:tcPr>
            <w:tcW w:w="0" w:type="auto"/>
            <w:shd w:val="clear" w:color="auto" w:fill="auto"/>
            <w:vAlign w:val="bottom"/>
          </w:tcPr>
          <w:p w14:paraId="392C30B1" w14:textId="77777777" w:rsidR="00980E5F" w:rsidRDefault="00980E5F">
            <w:pPr>
              <w:rPr>
                <w:rFonts w:ascii="宋体"/>
                <w:vanish/>
              </w:rPr>
            </w:pPr>
          </w:p>
        </w:tc>
      </w:tr>
      <w:tr w:rsidR="00980E5F" w14:paraId="392C30C1" w14:textId="77777777">
        <w:tc>
          <w:tcPr>
            <w:tcW w:w="0" w:type="auto"/>
            <w:gridSpan w:val="3"/>
            <w:shd w:val="clear" w:color="auto" w:fill="CCEEFF"/>
            <w:tcMar>
              <w:top w:w="40" w:type="dxa"/>
              <w:left w:w="20" w:type="dxa"/>
              <w:bottom w:w="40" w:type="dxa"/>
              <w:right w:w="20" w:type="dxa"/>
            </w:tcMar>
            <w:vAlign w:val="bottom"/>
          </w:tcPr>
          <w:p w14:paraId="392C30B3" w14:textId="77777777" w:rsidR="00980E5F" w:rsidRDefault="00483613">
            <w:pPr>
              <w:textAlignment w:val="bottom"/>
            </w:pPr>
            <w:r>
              <w:rPr>
                <w:rFonts w:ascii="Arial" w:eastAsia="宋体" w:hAnsi="Arial" w:cs="Arial"/>
                <w:color w:val="000000"/>
                <w:sz w:val="18"/>
                <w:szCs w:val="18"/>
              </w:rPr>
              <w:t>Basic</w:t>
            </w:r>
          </w:p>
        </w:tc>
        <w:tc>
          <w:tcPr>
            <w:tcW w:w="0" w:type="auto"/>
            <w:gridSpan w:val="2"/>
            <w:shd w:val="clear" w:color="auto" w:fill="CCEEFF"/>
            <w:tcMar>
              <w:top w:w="40" w:type="dxa"/>
              <w:left w:w="20" w:type="dxa"/>
              <w:bottom w:w="40" w:type="dxa"/>
              <w:right w:w="0" w:type="dxa"/>
            </w:tcMar>
            <w:vAlign w:val="bottom"/>
          </w:tcPr>
          <w:p w14:paraId="392C30B4" w14:textId="77777777" w:rsidR="00980E5F" w:rsidRDefault="00483613">
            <w:pPr>
              <w:jc w:val="right"/>
              <w:textAlignment w:val="bottom"/>
            </w:pPr>
            <w:r>
              <w:rPr>
                <w:rFonts w:ascii="Arial" w:eastAsia="宋体" w:hAnsi="Arial" w:cs="Arial"/>
                <w:b/>
                <w:bCs/>
                <w:color w:val="000000"/>
                <w:sz w:val="18"/>
                <w:szCs w:val="18"/>
              </w:rPr>
              <w:t>367,375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B7" w14:textId="77777777" w:rsidR="00980E5F" w:rsidRDefault="00483613">
            <w:pPr>
              <w:jc w:val="right"/>
              <w:textAlignment w:val="bottom"/>
            </w:pPr>
            <w:r>
              <w:rPr>
                <w:rFonts w:ascii="Arial" w:eastAsia="宋体" w:hAnsi="Arial" w:cs="Arial"/>
                <w:color w:val="000000"/>
                <w:sz w:val="18"/>
                <w:szCs w:val="18"/>
              </w:rPr>
              <w:t>345,889 </w:t>
            </w:r>
          </w:p>
        </w:tc>
        <w:tc>
          <w:tcPr>
            <w:tcW w:w="0" w:type="auto"/>
            <w:shd w:val="clear" w:color="auto" w:fill="CCEEFF"/>
            <w:tcMar>
              <w:top w:w="40" w:type="dxa"/>
              <w:left w:w="0" w:type="dxa"/>
              <w:bottom w:w="40" w:type="dxa"/>
              <w:right w:w="20" w:type="dxa"/>
            </w:tcMar>
            <w:vAlign w:val="bottom"/>
          </w:tcPr>
          <w:p w14:paraId="392C30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B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BA" w14:textId="77777777" w:rsidR="00980E5F" w:rsidRDefault="00483613">
            <w:pPr>
              <w:jc w:val="right"/>
              <w:textAlignment w:val="bottom"/>
            </w:pPr>
            <w:r>
              <w:rPr>
                <w:rFonts w:ascii="Arial" w:eastAsia="宋体" w:hAnsi="Arial" w:cs="Arial"/>
                <w:b/>
                <w:bCs/>
                <w:color w:val="000000"/>
                <w:sz w:val="18"/>
                <w:szCs w:val="18"/>
              </w:rPr>
              <w:t>366,961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B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0BD" w14:textId="77777777" w:rsidR="00980E5F" w:rsidRDefault="00483613">
            <w:pPr>
              <w:jc w:val="right"/>
              <w:textAlignment w:val="bottom"/>
            </w:pPr>
            <w:r>
              <w:rPr>
                <w:rFonts w:ascii="Arial" w:eastAsia="宋体" w:hAnsi="Arial" w:cs="Arial"/>
                <w:color w:val="000000"/>
                <w:sz w:val="18"/>
                <w:szCs w:val="18"/>
              </w:rPr>
              <w:t>348,303 </w:t>
            </w:r>
          </w:p>
        </w:tc>
        <w:tc>
          <w:tcPr>
            <w:tcW w:w="0" w:type="auto"/>
            <w:shd w:val="clear" w:color="auto" w:fill="CCEEFF"/>
            <w:tcMar>
              <w:top w:w="40" w:type="dxa"/>
              <w:left w:w="0" w:type="dxa"/>
              <w:bottom w:w="40" w:type="dxa"/>
              <w:right w:w="20" w:type="dxa"/>
            </w:tcMar>
            <w:vAlign w:val="bottom"/>
          </w:tcPr>
          <w:p w14:paraId="392C30BE" w14:textId="77777777" w:rsidR="00980E5F" w:rsidRDefault="00980E5F">
            <w:pPr>
              <w:jc w:val="right"/>
              <w:rPr>
                <w:rFonts w:ascii="宋体"/>
              </w:rPr>
            </w:pPr>
          </w:p>
        </w:tc>
        <w:tc>
          <w:tcPr>
            <w:tcW w:w="0" w:type="auto"/>
            <w:shd w:val="clear" w:color="auto" w:fill="auto"/>
            <w:vAlign w:val="bottom"/>
          </w:tcPr>
          <w:p w14:paraId="392C30BF" w14:textId="77777777" w:rsidR="00980E5F" w:rsidRDefault="00980E5F">
            <w:pPr>
              <w:rPr>
                <w:rFonts w:ascii="宋体"/>
                <w:vanish/>
              </w:rPr>
            </w:pPr>
          </w:p>
        </w:tc>
        <w:tc>
          <w:tcPr>
            <w:tcW w:w="0" w:type="auto"/>
            <w:shd w:val="clear" w:color="auto" w:fill="auto"/>
            <w:vAlign w:val="bottom"/>
          </w:tcPr>
          <w:p w14:paraId="392C30C0" w14:textId="77777777" w:rsidR="00980E5F" w:rsidRDefault="00980E5F">
            <w:pPr>
              <w:rPr>
                <w:rFonts w:ascii="宋体"/>
                <w:vanish/>
              </w:rPr>
            </w:pPr>
          </w:p>
        </w:tc>
      </w:tr>
      <w:tr w:rsidR="00980E5F" w14:paraId="392C30D0" w14:textId="77777777">
        <w:tc>
          <w:tcPr>
            <w:tcW w:w="0" w:type="auto"/>
            <w:gridSpan w:val="3"/>
            <w:shd w:val="clear" w:color="auto" w:fill="FFFFFF"/>
            <w:tcMar>
              <w:top w:w="40" w:type="dxa"/>
              <w:left w:w="20" w:type="dxa"/>
              <w:bottom w:w="40" w:type="dxa"/>
              <w:right w:w="20" w:type="dxa"/>
            </w:tcMar>
            <w:vAlign w:val="bottom"/>
          </w:tcPr>
          <w:p w14:paraId="392C30C2" w14:textId="77777777" w:rsidR="00980E5F" w:rsidRDefault="00483613">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392C30C3" w14:textId="77777777" w:rsidR="00980E5F" w:rsidRDefault="00483613">
            <w:pPr>
              <w:jc w:val="right"/>
              <w:textAlignment w:val="bottom"/>
            </w:pPr>
            <w:r>
              <w:rPr>
                <w:rFonts w:ascii="Arial" w:eastAsia="宋体" w:hAnsi="Arial" w:cs="Arial"/>
                <w:b/>
                <w:bCs/>
                <w:color w:val="000000"/>
                <w:sz w:val="18"/>
                <w:szCs w:val="18"/>
              </w:rPr>
              <w:t>372,123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C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C6" w14:textId="77777777" w:rsidR="00980E5F" w:rsidRDefault="00483613">
            <w:pPr>
              <w:jc w:val="right"/>
              <w:textAlignment w:val="bottom"/>
            </w:pPr>
            <w:r>
              <w:rPr>
                <w:rFonts w:ascii="Arial" w:eastAsia="宋体" w:hAnsi="Arial" w:cs="Arial"/>
                <w:color w:val="000000"/>
                <w:sz w:val="18"/>
                <w:szCs w:val="18"/>
              </w:rPr>
              <w:t>351,582 </w:t>
            </w:r>
          </w:p>
        </w:tc>
        <w:tc>
          <w:tcPr>
            <w:tcW w:w="0" w:type="auto"/>
            <w:shd w:val="clear" w:color="auto" w:fill="FFFFFF"/>
            <w:tcMar>
              <w:top w:w="40" w:type="dxa"/>
              <w:left w:w="0" w:type="dxa"/>
              <w:bottom w:w="40" w:type="dxa"/>
              <w:right w:w="20" w:type="dxa"/>
            </w:tcMar>
            <w:vAlign w:val="bottom"/>
          </w:tcPr>
          <w:p w14:paraId="392C30C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C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C9" w14:textId="77777777" w:rsidR="00980E5F" w:rsidRDefault="00483613">
            <w:pPr>
              <w:jc w:val="right"/>
              <w:textAlignment w:val="bottom"/>
            </w:pPr>
            <w:r>
              <w:rPr>
                <w:rFonts w:ascii="Arial" w:eastAsia="宋体" w:hAnsi="Arial" w:cs="Arial"/>
                <w:b/>
                <w:bCs/>
                <w:color w:val="000000"/>
                <w:sz w:val="18"/>
                <w:szCs w:val="18"/>
              </w:rPr>
              <w:t>372,080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0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0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0CC" w14:textId="77777777" w:rsidR="00980E5F" w:rsidRDefault="00483613">
            <w:pPr>
              <w:jc w:val="right"/>
              <w:textAlignment w:val="bottom"/>
            </w:pPr>
            <w:r>
              <w:rPr>
                <w:rFonts w:ascii="Arial" w:eastAsia="宋体" w:hAnsi="Arial" w:cs="Arial"/>
                <w:color w:val="000000"/>
                <w:sz w:val="18"/>
                <w:szCs w:val="18"/>
              </w:rPr>
              <w:t>353,434 </w:t>
            </w:r>
          </w:p>
        </w:tc>
        <w:tc>
          <w:tcPr>
            <w:tcW w:w="0" w:type="auto"/>
            <w:shd w:val="clear" w:color="auto" w:fill="FFFFFF"/>
            <w:tcMar>
              <w:top w:w="40" w:type="dxa"/>
              <w:left w:w="0" w:type="dxa"/>
              <w:bottom w:w="40" w:type="dxa"/>
              <w:right w:w="20" w:type="dxa"/>
            </w:tcMar>
            <w:vAlign w:val="bottom"/>
          </w:tcPr>
          <w:p w14:paraId="392C30CD" w14:textId="77777777" w:rsidR="00980E5F" w:rsidRDefault="00980E5F">
            <w:pPr>
              <w:jc w:val="right"/>
              <w:rPr>
                <w:rFonts w:ascii="宋体"/>
              </w:rPr>
            </w:pPr>
          </w:p>
        </w:tc>
        <w:tc>
          <w:tcPr>
            <w:tcW w:w="0" w:type="auto"/>
            <w:shd w:val="clear" w:color="auto" w:fill="auto"/>
            <w:vAlign w:val="bottom"/>
          </w:tcPr>
          <w:p w14:paraId="392C30CE" w14:textId="77777777" w:rsidR="00980E5F" w:rsidRDefault="00980E5F">
            <w:pPr>
              <w:rPr>
                <w:rFonts w:ascii="宋体"/>
                <w:vanish/>
              </w:rPr>
            </w:pPr>
          </w:p>
        </w:tc>
        <w:tc>
          <w:tcPr>
            <w:tcW w:w="0" w:type="auto"/>
            <w:shd w:val="clear" w:color="auto" w:fill="auto"/>
            <w:vAlign w:val="bottom"/>
          </w:tcPr>
          <w:p w14:paraId="392C30CF" w14:textId="77777777" w:rsidR="00980E5F" w:rsidRDefault="00980E5F">
            <w:pPr>
              <w:rPr>
                <w:rFonts w:ascii="宋体"/>
                <w:vanish/>
              </w:rPr>
            </w:pPr>
          </w:p>
        </w:tc>
      </w:tr>
      <w:tr w:rsidR="00980E5F" w14:paraId="392C30E3" w14:textId="77777777">
        <w:tc>
          <w:tcPr>
            <w:tcW w:w="0" w:type="auto"/>
            <w:gridSpan w:val="3"/>
            <w:shd w:val="clear" w:color="auto" w:fill="CCEEFF"/>
            <w:tcMar>
              <w:top w:w="40" w:type="dxa"/>
              <w:left w:w="20" w:type="dxa"/>
              <w:bottom w:w="40" w:type="dxa"/>
              <w:right w:w="20" w:type="dxa"/>
            </w:tcMar>
            <w:vAlign w:val="bottom"/>
          </w:tcPr>
          <w:p w14:paraId="392C30D1" w14:textId="77777777" w:rsidR="00980E5F" w:rsidRDefault="00483613">
            <w:pPr>
              <w:textAlignment w:val="bottom"/>
            </w:pPr>
            <w:r>
              <w:rPr>
                <w:rFonts w:ascii="Arial" w:eastAsia="宋体" w:hAnsi="Arial" w:cs="Arial"/>
                <w:b/>
                <w:bCs/>
                <w:color w:val="000000"/>
                <w:sz w:val="18"/>
                <w:szCs w:val="18"/>
              </w:rPr>
              <w:t>Cash dividends declared per common share</w:t>
            </w:r>
          </w:p>
        </w:tc>
        <w:tc>
          <w:tcPr>
            <w:tcW w:w="0" w:type="auto"/>
            <w:shd w:val="clear" w:color="auto" w:fill="CCEEFF"/>
            <w:tcMar>
              <w:top w:w="40" w:type="dxa"/>
              <w:left w:w="20" w:type="dxa"/>
              <w:bottom w:w="40" w:type="dxa"/>
              <w:right w:w="0" w:type="dxa"/>
            </w:tcMar>
            <w:vAlign w:val="bottom"/>
          </w:tcPr>
          <w:p w14:paraId="392C30D2"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92C30D3" w14:textId="77777777" w:rsidR="00980E5F" w:rsidRDefault="00483613">
            <w:pPr>
              <w:jc w:val="right"/>
              <w:textAlignment w:val="bottom"/>
            </w:pPr>
            <w:r>
              <w:rPr>
                <w:rFonts w:ascii="Arial" w:eastAsia="宋体" w:hAnsi="Arial" w:cs="Arial"/>
                <w:b/>
                <w:bCs/>
                <w:color w:val="000000"/>
                <w:sz w:val="18"/>
                <w:szCs w:val="18"/>
              </w:rPr>
              <w:t>.57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D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0D6" w14:textId="77777777" w:rsidR="00980E5F" w:rsidRDefault="004836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92C30D7" w14:textId="77777777" w:rsidR="00980E5F" w:rsidRDefault="00483613">
            <w:pPr>
              <w:jc w:val="right"/>
              <w:textAlignment w:val="bottom"/>
            </w:pPr>
            <w:r>
              <w:rPr>
                <w:rFonts w:ascii="Arial" w:eastAsia="宋体" w:hAnsi="Arial" w:cs="Arial"/>
                <w:color w:val="000000"/>
                <w:sz w:val="18"/>
                <w:szCs w:val="18"/>
              </w:rPr>
              <w:t>.52 </w:t>
            </w:r>
          </w:p>
        </w:tc>
        <w:tc>
          <w:tcPr>
            <w:tcW w:w="0" w:type="auto"/>
            <w:shd w:val="clear" w:color="auto" w:fill="CCEEFF"/>
            <w:tcMar>
              <w:top w:w="40" w:type="dxa"/>
              <w:left w:w="0" w:type="dxa"/>
              <w:bottom w:w="40" w:type="dxa"/>
              <w:right w:w="20" w:type="dxa"/>
            </w:tcMar>
            <w:vAlign w:val="bottom"/>
          </w:tcPr>
          <w:p w14:paraId="392C30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D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0DA"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92C30DB" w14:textId="77777777" w:rsidR="00980E5F" w:rsidRDefault="00483613">
            <w:pPr>
              <w:jc w:val="right"/>
              <w:textAlignment w:val="bottom"/>
            </w:pPr>
            <w:r>
              <w:rPr>
                <w:rFonts w:ascii="Arial" w:eastAsia="宋体" w:hAnsi="Arial" w:cs="Arial"/>
                <w:b/>
                <w:bCs/>
                <w:color w:val="000000"/>
                <w:sz w:val="18"/>
                <w:szCs w:val="18"/>
              </w:rPr>
              <w:t>1.14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0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0D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0DE" w14:textId="77777777" w:rsidR="00980E5F" w:rsidRDefault="004836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92C30DF" w14:textId="77777777" w:rsidR="00980E5F" w:rsidRDefault="00483613">
            <w:pPr>
              <w:jc w:val="right"/>
              <w:textAlignment w:val="bottom"/>
            </w:pPr>
            <w:r>
              <w:rPr>
                <w:rFonts w:ascii="Arial" w:eastAsia="宋体" w:hAnsi="Arial" w:cs="Arial"/>
                <w:color w:val="000000"/>
                <w:sz w:val="18"/>
                <w:szCs w:val="18"/>
              </w:rPr>
              <w:t>1.04 </w:t>
            </w:r>
          </w:p>
        </w:tc>
        <w:tc>
          <w:tcPr>
            <w:tcW w:w="0" w:type="auto"/>
            <w:shd w:val="clear" w:color="auto" w:fill="CCEEFF"/>
            <w:tcMar>
              <w:top w:w="40" w:type="dxa"/>
              <w:left w:w="0" w:type="dxa"/>
              <w:bottom w:w="40" w:type="dxa"/>
              <w:right w:w="20" w:type="dxa"/>
            </w:tcMar>
            <w:vAlign w:val="bottom"/>
          </w:tcPr>
          <w:p w14:paraId="392C30E0" w14:textId="77777777" w:rsidR="00980E5F" w:rsidRDefault="00980E5F">
            <w:pPr>
              <w:jc w:val="right"/>
              <w:rPr>
                <w:rFonts w:ascii="宋体"/>
              </w:rPr>
            </w:pPr>
          </w:p>
        </w:tc>
        <w:tc>
          <w:tcPr>
            <w:tcW w:w="0" w:type="auto"/>
            <w:shd w:val="clear" w:color="auto" w:fill="auto"/>
            <w:vAlign w:val="bottom"/>
          </w:tcPr>
          <w:p w14:paraId="392C30E1" w14:textId="77777777" w:rsidR="00980E5F" w:rsidRDefault="00980E5F">
            <w:pPr>
              <w:rPr>
                <w:rFonts w:ascii="宋体"/>
                <w:vanish/>
              </w:rPr>
            </w:pPr>
          </w:p>
        </w:tc>
        <w:tc>
          <w:tcPr>
            <w:tcW w:w="0" w:type="auto"/>
            <w:shd w:val="clear" w:color="auto" w:fill="auto"/>
            <w:vAlign w:val="bottom"/>
          </w:tcPr>
          <w:p w14:paraId="392C30E2" w14:textId="77777777" w:rsidR="00980E5F" w:rsidRDefault="00980E5F">
            <w:pPr>
              <w:rPr>
                <w:rFonts w:ascii="宋体"/>
                <w:vanish/>
              </w:rPr>
            </w:pPr>
          </w:p>
        </w:tc>
      </w:tr>
      <w:tr w:rsidR="00980E5F" w14:paraId="392C30EE" w14:textId="77777777">
        <w:trPr>
          <w:hidden/>
        </w:trPr>
        <w:tc>
          <w:tcPr>
            <w:tcW w:w="0" w:type="auto"/>
            <w:gridSpan w:val="3"/>
            <w:shd w:val="clear" w:color="auto" w:fill="auto"/>
            <w:vAlign w:val="bottom"/>
          </w:tcPr>
          <w:p w14:paraId="392C30E4" w14:textId="77777777" w:rsidR="00980E5F" w:rsidRDefault="00980E5F">
            <w:pPr>
              <w:rPr>
                <w:rFonts w:ascii="宋体"/>
                <w:vanish/>
              </w:rPr>
            </w:pPr>
          </w:p>
        </w:tc>
        <w:tc>
          <w:tcPr>
            <w:tcW w:w="0" w:type="auto"/>
            <w:gridSpan w:val="3"/>
            <w:shd w:val="clear" w:color="auto" w:fill="auto"/>
            <w:vAlign w:val="bottom"/>
          </w:tcPr>
          <w:p w14:paraId="392C30E5" w14:textId="77777777" w:rsidR="00980E5F" w:rsidRDefault="00980E5F">
            <w:pPr>
              <w:rPr>
                <w:rFonts w:ascii="宋体"/>
                <w:vanish/>
              </w:rPr>
            </w:pPr>
          </w:p>
        </w:tc>
        <w:tc>
          <w:tcPr>
            <w:tcW w:w="0" w:type="auto"/>
            <w:gridSpan w:val="3"/>
            <w:shd w:val="clear" w:color="auto" w:fill="auto"/>
            <w:vAlign w:val="bottom"/>
          </w:tcPr>
          <w:p w14:paraId="392C30E6" w14:textId="77777777" w:rsidR="00980E5F" w:rsidRDefault="00980E5F">
            <w:pPr>
              <w:rPr>
                <w:rFonts w:ascii="宋体"/>
                <w:vanish/>
              </w:rPr>
            </w:pPr>
          </w:p>
        </w:tc>
        <w:tc>
          <w:tcPr>
            <w:tcW w:w="0" w:type="auto"/>
            <w:gridSpan w:val="3"/>
            <w:shd w:val="clear" w:color="auto" w:fill="auto"/>
            <w:vAlign w:val="bottom"/>
          </w:tcPr>
          <w:p w14:paraId="392C30E7" w14:textId="77777777" w:rsidR="00980E5F" w:rsidRDefault="00980E5F">
            <w:pPr>
              <w:rPr>
                <w:rFonts w:ascii="宋体"/>
                <w:vanish/>
              </w:rPr>
            </w:pPr>
          </w:p>
        </w:tc>
        <w:tc>
          <w:tcPr>
            <w:tcW w:w="0" w:type="auto"/>
            <w:gridSpan w:val="3"/>
            <w:shd w:val="clear" w:color="auto" w:fill="auto"/>
            <w:vAlign w:val="bottom"/>
          </w:tcPr>
          <w:p w14:paraId="392C30E8" w14:textId="77777777" w:rsidR="00980E5F" w:rsidRDefault="00980E5F">
            <w:pPr>
              <w:rPr>
                <w:rFonts w:ascii="宋体"/>
                <w:vanish/>
              </w:rPr>
            </w:pPr>
          </w:p>
        </w:tc>
        <w:tc>
          <w:tcPr>
            <w:tcW w:w="0" w:type="auto"/>
            <w:gridSpan w:val="3"/>
            <w:shd w:val="clear" w:color="auto" w:fill="auto"/>
            <w:vAlign w:val="bottom"/>
          </w:tcPr>
          <w:p w14:paraId="392C30E9" w14:textId="77777777" w:rsidR="00980E5F" w:rsidRDefault="00980E5F">
            <w:pPr>
              <w:rPr>
                <w:rFonts w:ascii="宋体"/>
                <w:vanish/>
              </w:rPr>
            </w:pPr>
          </w:p>
        </w:tc>
        <w:tc>
          <w:tcPr>
            <w:tcW w:w="0" w:type="auto"/>
            <w:gridSpan w:val="3"/>
            <w:shd w:val="clear" w:color="auto" w:fill="auto"/>
            <w:vAlign w:val="bottom"/>
          </w:tcPr>
          <w:p w14:paraId="392C30EA" w14:textId="77777777" w:rsidR="00980E5F" w:rsidRDefault="00980E5F">
            <w:pPr>
              <w:rPr>
                <w:rFonts w:ascii="宋体"/>
                <w:vanish/>
              </w:rPr>
            </w:pPr>
          </w:p>
        </w:tc>
        <w:tc>
          <w:tcPr>
            <w:tcW w:w="0" w:type="auto"/>
            <w:gridSpan w:val="3"/>
            <w:shd w:val="clear" w:color="auto" w:fill="auto"/>
            <w:vAlign w:val="bottom"/>
          </w:tcPr>
          <w:p w14:paraId="392C30EB" w14:textId="77777777" w:rsidR="00980E5F" w:rsidRDefault="00980E5F">
            <w:pPr>
              <w:rPr>
                <w:rFonts w:ascii="宋体"/>
                <w:vanish/>
              </w:rPr>
            </w:pPr>
          </w:p>
        </w:tc>
        <w:tc>
          <w:tcPr>
            <w:tcW w:w="0" w:type="auto"/>
            <w:shd w:val="clear" w:color="auto" w:fill="auto"/>
            <w:vAlign w:val="bottom"/>
          </w:tcPr>
          <w:p w14:paraId="392C30EC" w14:textId="77777777" w:rsidR="00980E5F" w:rsidRDefault="00980E5F">
            <w:pPr>
              <w:rPr>
                <w:rFonts w:ascii="宋体"/>
                <w:vanish/>
              </w:rPr>
            </w:pPr>
          </w:p>
        </w:tc>
        <w:tc>
          <w:tcPr>
            <w:tcW w:w="0" w:type="auto"/>
            <w:shd w:val="clear" w:color="auto" w:fill="auto"/>
            <w:vAlign w:val="bottom"/>
          </w:tcPr>
          <w:p w14:paraId="392C30ED" w14:textId="77777777" w:rsidR="00980E5F" w:rsidRDefault="00980E5F">
            <w:pPr>
              <w:rPr>
                <w:rFonts w:ascii="宋体"/>
                <w:vanish/>
              </w:rPr>
            </w:pPr>
          </w:p>
        </w:tc>
      </w:tr>
      <w:tr w:rsidR="00980E5F" w14:paraId="392C30F9" w14:textId="77777777">
        <w:trPr>
          <w:hidden/>
        </w:trPr>
        <w:tc>
          <w:tcPr>
            <w:tcW w:w="0" w:type="auto"/>
            <w:gridSpan w:val="3"/>
            <w:shd w:val="clear" w:color="auto" w:fill="auto"/>
            <w:vAlign w:val="bottom"/>
          </w:tcPr>
          <w:p w14:paraId="392C30EF" w14:textId="77777777" w:rsidR="00980E5F" w:rsidRDefault="00980E5F">
            <w:pPr>
              <w:rPr>
                <w:rFonts w:ascii="宋体"/>
                <w:vanish/>
              </w:rPr>
            </w:pPr>
          </w:p>
        </w:tc>
        <w:tc>
          <w:tcPr>
            <w:tcW w:w="0" w:type="auto"/>
            <w:gridSpan w:val="3"/>
            <w:shd w:val="clear" w:color="auto" w:fill="auto"/>
            <w:vAlign w:val="bottom"/>
          </w:tcPr>
          <w:p w14:paraId="392C30F0" w14:textId="77777777" w:rsidR="00980E5F" w:rsidRDefault="00980E5F">
            <w:pPr>
              <w:rPr>
                <w:rFonts w:ascii="宋体"/>
                <w:vanish/>
              </w:rPr>
            </w:pPr>
          </w:p>
        </w:tc>
        <w:tc>
          <w:tcPr>
            <w:tcW w:w="0" w:type="auto"/>
            <w:gridSpan w:val="3"/>
            <w:shd w:val="clear" w:color="auto" w:fill="auto"/>
            <w:vAlign w:val="bottom"/>
          </w:tcPr>
          <w:p w14:paraId="392C30F1" w14:textId="77777777" w:rsidR="00980E5F" w:rsidRDefault="00980E5F">
            <w:pPr>
              <w:rPr>
                <w:rFonts w:ascii="宋体"/>
                <w:vanish/>
              </w:rPr>
            </w:pPr>
          </w:p>
        </w:tc>
        <w:tc>
          <w:tcPr>
            <w:tcW w:w="0" w:type="auto"/>
            <w:gridSpan w:val="3"/>
            <w:shd w:val="clear" w:color="auto" w:fill="auto"/>
            <w:vAlign w:val="bottom"/>
          </w:tcPr>
          <w:p w14:paraId="392C30F2" w14:textId="77777777" w:rsidR="00980E5F" w:rsidRDefault="00980E5F">
            <w:pPr>
              <w:rPr>
                <w:rFonts w:ascii="宋体"/>
                <w:vanish/>
              </w:rPr>
            </w:pPr>
          </w:p>
        </w:tc>
        <w:tc>
          <w:tcPr>
            <w:tcW w:w="0" w:type="auto"/>
            <w:gridSpan w:val="3"/>
            <w:shd w:val="clear" w:color="auto" w:fill="auto"/>
            <w:vAlign w:val="bottom"/>
          </w:tcPr>
          <w:p w14:paraId="392C30F3" w14:textId="77777777" w:rsidR="00980E5F" w:rsidRDefault="00980E5F">
            <w:pPr>
              <w:rPr>
                <w:rFonts w:ascii="宋体"/>
                <w:vanish/>
              </w:rPr>
            </w:pPr>
          </w:p>
        </w:tc>
        <w:tc>
          <w:tcPr>
            <w:tcW w:w="0" w:type="auto"/>
            <w:gridSpan w:val="3"/>
            <w:shd w:val="clear" w:color="auto" w:fill="auto"/>
            <w:vAlign w:val="bottom"/>
          </w:tcPr>
          <w:p w14:paraId="392C30F4" w14:textId="77777777" w:rsidR="00980E5F" w:rsidRDefault="00980E5F">
            <w:pPr>
              <w:rPr>
                <w:rFonts w:ascii="宋体"/>
                <w:vanish/>
              </w:rPr>
            </w:pPr>
          </w:p>
        </w:tc>
        <w:tc>
          <w:tcPr>
            <w:tcW w:w="0" w:type="auto"/>
            <w:gridSpan w:val="3"/>
            <w:shd w:val="clear" w:color="auto" w:fill="auto"/>
            <w:vAlign w:val="bottom"/>
          </w:tcPr>
          <w:p w14:paraId="392C30F5" w14:textId="77777777" w:rsidR="00980E5F" w:rsidRDefault="00980E5F">
            <w:pPr>
              <w:rPr>
                <w:rFonts w:ascii="宋体"/>
                <w:vanish/>
              </w:rPr>
            </w:pPr>
          </w:p>
        </w:tc>
        <w:tc>
          <w:tcPr>
            <w:tcW w:w="0" w:type="auto"/>
            <w:gridSpan w:val="3"/>
            <w:shd w:val="clear" w:color="auto" w:fill="auto"/>
            <w:vAlign w:val="bottom"/>
          </w:tcPr>
          <w:p w14:paraId="392C30F6" w14:textId="77777777" w:rsidR="00980E5F" w:rsidRDefault="00980E5F">
            <w:pPr>
              <w:rPr>
                <w:rFonts w:ascii="宋体"/>
                <w:vanish/>
              </w:rPr>
            </w:pPr>
          </w:p>
        </w:tc>
        <w:tc>
          <w:tcPr>
            <w:tcW w:w="0" w:type="auto"/>
            <w:shd w:val="clear" w:color="auto" w:fill="auto"/>
            <w:vAlign w:val="bottom"/>
          </w:tcPr>
          <w:p w14:paraId="392C30F7" w14:textId="77777777" w:rsidR="00980E5F" w:rsidRDefault="00980E5F">
            <w:pPr>
              <w:rPr>
                <w:rFonts w:ascii="宋体"/>
                <w:vanish/>
              </w:rPr>
            </w:pPr>
          </w:p>
        </w:tc>
        <w:tc>
          <w:tcPr>
            <w:tcW w:w="0" w:type="auto"/>
            <w:shd w:val="clear" w:color="auto" w:fill="auto"/>
            <w:vAlign w:val="bottom"/>
          </w:tcPr>
          <w:p w14:paraId="392C30F8" w14:textId="77777777" w:rsidR="00980E5F" w:rsidRDefault="00980E5F">
            <w:pPr>
              <w:rPr>
                <w:rFonts w:ascii="宋体"/>
                <w:vanish/>
              </w:rPr>
            </w:pPr>
          </w:p>
        </w:tc>
      </w:tr>
      <w:tr w:rsidR="00980E5F" w14:paraId="392C3104" w14:textId="77777777">
        <w:trPr>
          <w:hidden/>
        </w:trPr>
        <w:tc>
          <w:tcPr>
            <w:tcW w:w="0" w:type="auto"/>
            <w:gridSpan w:val="3"/>
            <w:shd w:val="clear" w:color="auto" w:fill="auto"/>
            <w:vAlign w:val="bottom"/>
          </w:tcPr>
          <w:p w14:paraId="392C30FA" w14:textId="77777777" w:rsidR="00980E5F" w:rsidRDefault="00980E5F">
            <w:pPr>
              <w:rPr>
                <w:rFonts w:ascii="宋体"/>
                <w:vanish/>
              </w:rPr>
            </w:pPr>
          </w:p>
        </w:tc>
        <w:tc>
          <w:tcPr>
            <w:tcW w:w="0" w:type="auto"/>
            <w:gridSpan w:val="3"/>
            <w:shd w:val="clear" w:color="auto" w:fill="auto"/>
            <w:vAlign w:val="bottom"/>
          </w:tcPr>
          <w:p w14:paraId="392C30FB" w14:textId="77777777" w:rsidR="00980E5F" w:rsidRDefault="00980E5F">
            <w:pPr>
              <w:rPr>
                <w:rFonts w:ascii="宋体"/>
                <w:vanish/>
              </w:rPr>
            </w:pPr>
          </w:p>
        </w:tc>
        <w:tc>
          <w:tcPr>
            <w:tcW w:w="0" w:type="auto"/>
            <w:gridSpan w:val="3"/>
            <w:shd w:val="clear" w:color="auto" w:fill="auto"/>
            <w:vAlign w:val="bottom"/>
          </w:tcPr>
          <w:p w14:paraId="392C30FC" w14:textId="77777777" w:rsidR="00980E5F" w:rsidRDefault="00980E5F">
            <w:pPr>
              <w:rPr>
                <w:rFonts w:ascii="宋体"/>
                <w:vanish/>
              </w:rPr>
            </w:pPr>
          </w:p>
        </w:tc>
        <w:tc>
          <w:tcPr>
            <w:tcW w:w="0" w:type="auto"/>
            <w:gridSpan w:val="3"/>
            <w:shd w:val="clear" w:color="auto" w:fill="auto"/>
            <w:vAlign w:val="bottom"/>
          </w:tcPr>
          <w:p w14:paraId="392C30FD" w14:textId="77777777" w:rsidR="00980E5F" w:rsidRDefault="00980E5F">
            <w:pPr>
              <w:rPr>
                <w:rFonts w:ascii="宋体"/>
                <w:vanish/>
              </w:rPr>
            </w:pPr>
          </w:p>
        </w:tc>
        <w:tc>
          <w:tcPr>
            <w:tcW w:w="0" w:type="auto"/>
            <w:gridSpan w:val="3"/>
            <w:shd w:val="clear" w:color="auto" w:fill="auto"/>
            <w:vAlign w:val="bottom"/>
          </w:tcPr>
          <w:p w14:paraId="392C30FE" w14:textId="77777777" w:rsidR="00980E5F" w:rsidRDefault="00980E5F">
            <w:pPr>
              <w:rPr>
                <w:rFonts w:ascii="宋体"/>
                <w:vanish/>
              </w:rPr>
            </w:pPr>
          </w:p>
        </w:tc>
        <w:tc>
          <w:tcPr>
            <w:tcW w:w="0" w:type="auto"/>
            <w:gridSpan w:val="3"/>
            <w:shd w:val="clear" w:color="auto" w:fill="auto"/>
            <w:vAlign w:val="bottom"/>
          </w:tcPr>
          <w:p w14:paraId="392C30FF" w14:textId="77777777" w:rsidR="00980E5F" w:rsidRDefault="00980E5F">
            <w:pPr>
              <w:rPr>
                <w:rFonts w:ascii="宋体"/>
                <w:vanish/>
              </w:rPr>
            </w:pPr>
          </w:p>
        </w:tc>
        <w:tc>
          <w:tcPr>
            <w:tcW w:w="0" w:type="auto"/>
            <w:gridSpan w:val="3"/>
            <w:shd w:val="clear" w:color="auto" w:fill="auto"/>
            <w:vAlign w:val="bottom"/>
          </w:tcPr>
          <w:p w14:paraId="392C3100" w14:textId="77777777" w:rsidR="00980E5F" w:rsidRDefault="00980E5F">
            <w:pPr>
              <w:rPr>
                <w:rFonts w:ascii="宋体"/>
                <w:vanish/>
              </w:rPr>
            </w:pPr>
          </w:p>
        </w:tc>
        <w:tc>
          <w:tcPr>
            <w:tcW w:w="0" w:type="auto"/>
            <w:gridSpan w:val="3"/>
            <w:shd w:val="clear" w:color="auto" w:fill="auto"/>
            <w:vAlign w:val="bottom"/>
          </w:tcPr>
          <w:p w14:paraId="392C3101" w14:textId="77777777" w:rsidR="00980E5F" w:rsidRDefault="00980E5F">
            <w:pPr>
              <w:rPr>
                <w:rFonts w:ascii="宋体"/>
                <w:vanish/>
              </w:rPr>
            </w:pPr>
          </w:p>
        </w:tc>
        <w:tc>
          <w:tcPr>
            <w:tcW w:w="0" w:type="auto"/>
            <w:shd w:val="clear" w:color="auto" w:fill="auto"/>
            <w:vAlign w:val="bottom"/>
          </w:tcPr>
          <w:p w14:paraId="392C3102" w14:textId="77777777" w:rsidR="00980E5F" w:rsidRDefault="00980E5F">
            <w:pPr>
              <w:rPr>
                <w:rFonts w:ascii="宋体"/>
                <w:vanish/>
              </w:rPr>
            </w:pPr>
          </w:p>
        </w:tc>
        <w:tc>
          <w:tcPr>
            <w:tcW w:w="0" w:type="auto"/>
            <w:shd w:val="clear" w:color="auto" w:fill="auto"/>
            <w:vAlign w:val="bottom"/>
          </w:tcPr>
          <w:p w14:paraId="392C3103" w14:textId="77777777" w:rsidR="00980E5F" w:rsidRDefault="00980E5F">
            <w:pPr>
              <w:rPr>
                <w:rFonts w:ascii="宋体"/>
                <w:vanish/>
              </w:rPr>
            </w:pPr>
          </w:p>
        </w:tc>
      </w:tr>
    </w:tbl>
    <w:p w14:paraId="392C3105" w14:textId="77777777" w:rsidR="00980E5F" w:rsidRDefault="00980E5F">
      <w:pPr>
        <w:spacing w:before="90"/>
      </w:pPr>
    </w:p>
    <w:p w14:paraId="392C3106" w14:textId="77777777" w:rsidR="00980E5F" w:rsidRDefault="00980E5F">
      <w:pPr>
        <w:ind w:firstLine="450"/>
      </w:pPr>
    </w:p>
    <w:p w14:paraId="392C3107" w14:textId="77777777" w:rsidR="00980E5F" w:rsidRDefault="00980E5F">
      <w:pPr>
        <w:ind w:firstLine="450"/>
      </w:pPr>
    </w:p>
    <w:p w14:paraId="392C3108" w14:textId="77777777" w:rsidR="00980E5F" w:rsidRDefault="00980E5F">
      <w:pPr>
        <w:ind w:firstLine="450"/>
      </w:pPr>
    </w:p>
    <w:p w14:paraId="392C3109" w14:textId="77777777" w:rsidR="00980E5F" w:rsidRDefault="00980E5F">
      <w:pPr>
        <w:ind w:firstLine="450"/>
      </w:pPr>
    </w:p>
    <w:p w14:paraId="392C310A" w14:textId="77777777" w:rsidR="00980E5F" w:rsidRDefault="00980E5F">
      <w:pPr>
        <w:ind w:firstLine="450"/>
      </w:pPr>
    </w:p>
    <w:p w14:paraId="392C310B" w14:textId="77777777" w:rsidR="00980E5F" w:rsidRDefault="00980E5F">
      <w:pPr>
        <w:ind w:firstLine="450"/>
      </w:pPr>
    </w:p>
    <w:p w14:paraId="392C310C" w14:textId="77777777" w:rsidR="00980E5F" w:rsidRDefault="00980E5F">
      <w:pPr>
        <w:spacing w:before="90"/>
      </w:pPr>
    </w:p>
    <w:p w14:paraId="392C310D" w14:textId="77777777" w:rsidR="00980E5F" w:rsidRDefault="00483613">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392C310E" w14:textId="77777777" w:rsidR="00980E5F" w:rsidRDefault="00483613">
      <w:pPr>
        <w:ind w:firstLine="450"/>
        <w:jc w:val="right"/>
      </w:pPr>
      <w:r>
        <w:rPr>
          <w:rFonts w:ascii="Arial" w:eastAsia="宋体" w:hAnsi="Arial" w:cs="Arial"/>
          <w:color w:val="000000"/>
          <w:sz w:val="18"/>
          <w:szCs w:val="18"/>
        </w:rPr>
        <w:t>State Street Corporation | 54</w:t>
      </w:r>
    </w:p>
    <w:p w14:paraId="392C310F" w14:textId="77777777" w:rsidR="00980E5F" w:rsidRDefault="00980E5F">
      <w:pPr>
        <w:ind w:firstLine="450"/>
        <w:jc w:val="center"/>
      </w:pPr>
    </w:p>
    <w:p w14:paraId="392C3110" w14:textId="77777777" w:rsidR="00980E5F" w:rsidRDefault="00483613">
      <w:r>
        <w:pict w14:anchorId="392CBB04">
          <v:rect id="_x0000_i1078" style="width:415.3pt;height:1.5pt" o:hralign="center" o:hrstd="t" o:hr="t" fillcolor="#a0a0a0" stroked="f"/>
        </w:pict>
      </w:r>
    </w:p>
    <w:p w14:paraId="392C3111" w14:textId="77777777" w:rsidR="00980E5F" w:rsidRDefault="00980E5F">
      <w:pPr>
        <w:ind w:firstLine="450"/>
      </w:pPr>
    </w:p>
    <w:p w14:paraId="392C3112" w14:textId="77777777" w:rsidR="00980E5F" w:rsidRDefault="00980E5F">
      <w:pPr>
        <w:ind w:firstLine="450"/>
        <w:jc w:val="center"/>
      </w:pPr>
    </w:p>
    <w:p w14:paraId="392C3113" w14:textId="77777777" w:rsidR="00980E5F" w:rsidRDefault="00483613">
      <w:pPr>
        <w:ind w:firstLine="450"/>
        <w:jc w:val="center"/>
      </w:pPr>
      <w:r>
        <w:rPr>
          <w:rFonts w:ascii="Arial" w:eastAsia="宋体" w:hAnsi="Arial" w:cs="Arial"/>
          <w:b/>
          <w:bCs/>
          <w:color w:val="000000"/>
          <w:sz w:val="20"/>
          <w:szCs w:val="20"/>
        </w:rPr>
        <w:t>STATE STREET CORPORATION</w:t>
      </w:r>
    </w:p>
    <w:p w14:paraId="392C3114" w14:textId="77777777" w:rsidR="00980E5F" w:rsidRDefault="00483613">
      <w:pPr>
        <w:ind w:firstLine="450"/>
        <w:jc w:val="center"/>
      </w:pPr>
      <w:r>
        <w:rPr>
          <w:rFonts w:ascii="Arial" w:eastAsia="宋体" w:hAnsi="Arial" w:cs="Arial"/>
          <w:b/>
          <w:bCs/>
          <w:color w:val="000000"/>
          <w:sz w:val="20"/>
          <w:szCs w:val="20"/>
        </w:rPr>
        <w:t>CONSOLIDATED STATEMENT OF COMPREHENSIVE INCOME (LOSS)</w:t>
      </w:r>
    </w:p>
    <w:p w14:paraId="392C3115"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1"/>
        <w:gridCol w:w="1101"/>
        <w:gridCol w:w="36"/>
        <w:gridCol w:w="36"/>
        <w:gridCol w:w="36"/>
        <w:gridCol w:w="36"/>
        <w:gridCol w:w="121"/>
        <w:gridCol w:w="1065"/>
        <w:gridCol w:w="36"/>
        <w:gridCol w:w="36"/>
        <w:gridCol w:w="36"/>
        <w:gridCol w:w="36"/>
        <w:gridCol w:w="36"/>
        <w:gridCol w:w="36"/>
        <w:gridCol w:w="36"/>
      </w:tblGrid>
      <w:tr w:rsidR="00980E5F" w14:paraId="392C3124" w14:textId="77777777">
        <w:tc>
          <w:tcPr>
            <w:tcW w:w="50" w:type="pct"/>
            <w:shd w:val="clear" w:color="auto" w:fill="auto"/>
            <w:vAlign w:val="bottom"/>
          </w:tcPr>
          <w:p w14:paraId="392C3116" w14:textId="77777777" w:rsidR="00980E5F" w:rsidRDefault="00980E5F">
            <w:pPr>
              <w:rPr>
                <w:rFonts w:ascii="宋体"/>
              </w:rPr>
            </w:pPr>
          </w:p>
        </w:tc>
        <w:tc>
          <w:tcPr>
            <w:tcW w:w="3387" w:type="pct"/>
            <w:shd w:val="clear" w:color="auto" w:fill="auto"/>
            <w:vAlign w:val="bottom"/>
          </w:tcPr>
          <w:p w14:paraId="392C3117" w14:textId="77777777" w:rsidR="00980E5F" w:rsidRDefault="00980E5F">
            <w:pPr>
              <w:rPr>
                <w:rFonts w:ascii="宋体"/>
              </w:rPr>
            </w:pPr>
          </w:p>
        </w:tc>
        <w:tc>
          <w:tcPr>
            <w:tcW w:w="5" w:type="pct"/>
            <w:shd w:val="clear" w:color="auto" w:fill="auto"/>
            <w:vAlign w:val="bottom"/>
          </w:tcPr>
          <w:p w14:paraId="392C3118" w14:textId="77777777" w:rsidR="00980E5F" w:rsidRDefault="00980E5F">
            <w:pPr>
              <w:rPr>
                <w:rFonts w:ascii="宋体"/>
              </w:rPr>
            </w:pPr>
          </w:p>
        </w:tc>
        <w:tc>
          <w:tcPr>
            <w:tcW w:w="50" w:type="pct"/>
            <w:shd w:val="clear" w:color="auto" w:fill="auto"/>
            <w:vAlign w:val="bottom"/>
          </w:tcPr>
          <w:p w14:paraId="392C3119" w14:textId="77777777" w:rsidR="00980E5F" w:rsidRDefault="00980E5F">
            <w:pPr>
              <w:rPr>
                <w:rFonts w:ascii="宋体"/>
              </w:rPr>
            </w:pPr>
          </w:p>
        </w:tc>
        <w:tc>
          <w:tcPr>
            <w:tcW w:w="705" w:type="pct"/>
            <w:shd w:val="clear" w:color="auto" w:fill="auto"/>
            <w:vAlign w:val="bottom"/>
          </w:tcPr>
          <w:p w14:paraId="392C311A" w14:textId="77777777" w:rsidR="00980E5F" w:rsidRDefault="00980E5F">
            <w:pPr>
              <w:rPr>
                <w:rFonts w:ascii="宋体"/>
              </w:rPr>
            </w:pPr>
          </w:p>
        </w:tc>
        <w:tc>
          <w:tcPr>
            <w:tcW w:w="5" w:type="pct"/>
            <w:shd w:val="clear" w:color="auto" w:fill="auto"/>
            <w:vAlign w:val="bottom"/>
          </w:tcPr>
          <w:p w14:paraId="392C311B" w14:textId="77777777" w:rsidR="00980E5F" w:rsidRDefault="00980E5F">
            <w:pPr>
              <w:rPr>
                <w:rFonts w:ascii="宋体"/>
              </w:rPr>
            </w:pPr>
          </w:p>
        </w:tc>
        <w:tc>
          <w:tcPr>
            <w:tcW w:w="5" w:type="pct"/>
            <w:shd w:val="clear" w:color="auto" w:fill="auto"/>
            <w:vAlign w:val="bottom"/>
          </w:tcPr>
          <w:p w14:paraId="392C311C" w14:textId="77777777" w:rsidR="00980E5F" w:rsidRDefault="00980E5F">
            <w:pPr>
              <w:rPr>
                <w:rFonts w:ascii="宋体"/>
              </w:rPr>
            </w:pPr>
          </w:p>
        </w:tc>
        <w:tc>
          <w:tcPr>
            <w:tcW w:w="26" w:type="pct"/>
            <w:shd w:val="clear" w:color="auto" w:fill="auto"/>
            <w:vAlign w:val="bottom"/>
          </w:tcPr>
          <w:p w14:paraId="392C311D" w14:textId="77777777" w:rsidR="00980E5F" w:rsidRDefault="00980E5F">
            <w:pPr>
              <w:rPr>
                <w:rFonts w:ascii="宋体"/>
              </w:rPr>
            </w:pPr>
          </w:p>
        </w:tc>
        <w:tc>
          <w:tcPr>
            <w:tcW w:w="5" w:type="pct"/>
            <w:shd w:val="clear" w:color="auto" w:fill="auto"/>
            <w:vAlign w:val="bottom"/>
          </w:tcPr>
          <w:p w14:paraId="392C311E" w14:textId="77777777" w:rsidR="00980E5F" w:rsidRDefault="00980E5F">
            <w:pPr>
              <w:rPr>
                <w:rFonts w:ascii="宋体"/>
              </w:rPr>
            </w:pPr>
          </w:p>
        </w:tc>
        <w:tc>
          <w:tcPr>
            <w:tcW w:w="50" w:type="pct"/>
            <w:shd w:val="clear" w:color="auto" w:fill="auto"/>
            <w:vAlign w:val="bottom"/>
          </w:tcPr>
          <w:p w14:paraId="392C311F" w14:textId="77777777" w:rsidR="00980E5F" w:rsidRDefault="00980E5F">
            <w:pPr>
              <w:rPr>
                <w:rFonts w:ascii="宋体"/>
              </w:rPr>
            </w:pPr>
          </w:p>
        </w:tc>
        <w:tc>
          <w:tcPr>
            <w:tcW w:w="705" w:type="pct"/>
            <w:shd w:val="clear" w:color="auto" w:fill="auto"/>
            <w:vAlign w:val="bottom"/>
          </w:tcPr>
          <w:p w14:paraId="392C3120" w14:textId="77777777" w:rsidR="00980E5F" w:rsidRDefault="00980E5F">
            <w:pPr>
              <w:rPr>
                <w:rFonts w:ascii="宋体"/>
              </w:rPr>
            </w:pPr>
          </w:p>
        </w:tc>
        <w:tc>
          <w:tcPr>
            <w:tcW w:w="5" w:type="pct"/>
            <w:shd w:val="clear" w:color="auto" w:fill="auto"/>
            <w:vAlign w:val="bottom"/>
          </w:tcPr>
          <w:p w14:paraId="392C3121" w14:textId="77777777" w:rsidR="00980E5F" w:rsidRDefault="00980E5F">
            <w:pPr>
              <w:rPr>
                <w:rFonts w:ascii="宋体"/>
              </w:rPr>
            </w:pPr>
          </w:p>
        </w:tc>
        <w:tc>
          <w:tcPr>
            <w:tcW w:w="0" w:type="auto"/>
            <w:gridSpan w:val="3"/>
            <w:shd w:val="clear" w:color="auto" w:fill="auto"/>
            <w:vAlign w:val="bottom"/>
          </w:tcPr>
          <w:p w14:paraId="392C3122" w14:textId="77777777" w:rsidR="00980E5F" w:rsidRDefault="00980E5F">
            <w:pPr>
              <w:rPr>
                <w:rFonts w:ascii="宋体"/>
                <w:vanish/>
              </w:rPr>
            </w:pPr>
          </w:p>
        </w:tc>
        <w:tc>
          <w:tcPr>
            <w:tcW w:w="0" w:type="auto"/>
            <w:gridSpan w:val="3"/>
            <w:shd w:val="clear" w:color="auto" w:fill="auto"/>
            <w:vAlign w:val="bottom"/>
          </w:tcPr>
          <w:p w14:paraId="392C3123" w14:textId="77777777" w:rsidR="00980E5F" w:rsidRDefault="00980E5F">
            <w:pPr>
              <w:rPr>
                <w:rFonts w:ascii="宋体"/>
                <w:vanish/>
              </w:rPr>
            </w:pPr>
          </w:p>
        </w:tc>
      </w:tr>
      <w:tr w:rsidR="00980E5F" w14:paraId="392C312D" w14:textId="77777777">
        <w:tc>
          <w:tcPr>
            <w:tcW w:w="0" w:type="auto"/>
            <w:gridSpan w:val="3"/>
            <w:shd w:val="clear" w:color="auto" w:fill="auto"/>
            <w:tcMar>
              <w:top w:w="0" w:type="dxa"/>
              <w:left w:w="20" w:type="dxa"/>
              <w:bottom w:w="0" w:type="dxa"/>
              <w:right w:w="20" w:type="dxa"/>
            </w:tcMar>
            <w:vAlign w:val="bottom"/>
          </w:tcPr>
          <w:p w14:paraId="392C3125"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3126" w14:textId="77777777" w:rsidR="00980E5F" w:rsidRDefault="00483613">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June 30,</w:t>
            </w:r>
          </w:p>
        </w:tc>
        <w:tc>
          <w:tcPr>
            <w:tcW w:w="0" w:type="auto"/>
            <w:shd w:val="clear" w:color="auto" w:fill="auto"/>
            <w:vAlign w:val="bottom"/>
          </w:tcPr>
          <w:p w14:paraId="392C3127" w14:textId="77777777" w:rsidR="00980E5F" w:rsidRDefault="00980E5F">
            <w:pPr>
              <w:rPr>
                <w:rFonts w:ascii="宋体"/>
              </w:rPr>
            </w:pPr>
          </w:p>
        </w:tc>
        <w:tc>
          <w:tcPr>
            <w:tcW w:w="0" w:type="auto"/>
            <w:shd w:val="clear" w:color="auto" w:fill="auto"/>
            <w:vAlign w:val="bottom"/>
          </w:tcPr>
          <w:p w14:paraId="392C3128" w14:textId="77777777" w:rsidR="00980E5F" w:rsidRDefault="00980E5F">
            <w:pPr>
              <w:rPr>
                <w:rFonts w:ascii="宋体"/>
              </w:rPr>
            </w:pPr>
          </w:p>
        </w:tc>
        <w:tc>
          <w:tcPr>
            <w:tcW w:w="0" w:type="auto"/>
            <w:shd w:val="clear" w:color="auto" w:fill="auto"/>
            <w:vAlign w:val="bottom"/>
          </w:tcPr>
          <w:p w14:paraId="392C3129" w14:textId="77777777" w:rsidR="00980E5F" w:rsidRDefault="00980E5F">
            <w:pPr>
              <w:rPr>
                <w:rFonts w:ascii="宋体"/>
              </w:rPr>
            </w:pPr>
          </w:p>
        </w:tc>
        <w:tc>
          <w:tcPr>
            <w:tcW w:w="0" w:type="auto"/>
            <w:shd w:val="clear" w:color="auto" w:fill="auto"/>
            <w:vAlign w:val="bottom"/>
          </w:tcPr>
          <w:p w14:paraId="392C312A" w14:textId="77777777" w:rsidR="00980E5F" w:rsidRDefault="00980E5F">
            <w:pPr>
              <w:rPr>
                <w:rFonts w:ascii="宋体"/>
              </w:rPr>
            </w:pPr>
          </w:p>
        </w:tc>
        <w:tc>
          <w:tcPr>
            <w:tcW w:w="0" w:type="auto"/>
            <w:shd w:val="clear" w:color="auto" w:fill="auto"/>
            <w:vAlign w:val="bottom"/>
          </w:tcPr>
          <w:p w14:paraId="392C312B" w14:textId="77777777" w:rsidR="00980E5F" w:rsidRDefault="00980E5F">
            <w:pPr>
              <w:rPr>
                <w:rFonts w:ascii="宋体"/>
              </w:rPr>
            </w:pPr>
          </w:p>
        </w:tc>
        <w:tc>
          <w:tcPr>
            <w:tcW w:w="0" w:type="auto"/>
            <w:shd w:val="clear" w:color="auto" w:fill="auto"/>
            <w:vAlign w:val="bottom"/>
          </w:tcPr>
          <w:p w14:paraId="392C312C" w14:textId="77777777" w:rsidR="00980E5F" w:rsidRDefault="00980E5F">
            <w:pPr>
              <w:rPr>
                <w:rFonts w:ascii="宋体"/>
              </w:rPr>
            </w:pPr>
          </w:p>
        </w:tc>
      </w:tr>
      <w:tr w:rsidR="00980E5F" w14:paraId="392C3134" w14:textId="77777777">
        <w:tc>
          <w:tcPr>
            <w:tcW w:w="0" w:type="auto"/>
            <w:gridSpan w:val="3"/>
            <w:shd w:val="clear" w:color="auto" w:fill="auto"/>
            <w:tcMar>
              <w:top w:w="40" w:type="dxa"/>
              <w:left w:w="20" w:type="dxa"/>
              <w:bottom w:w="40" w:type="dxa"/>
              <w:right w:w="20" w:type="dxa"/>
            </w:tcMar>
            <w:vAlign w:val="bottom"/>
          </w:tcPr>
          <w:p w14:paraId="392C312E" w14:textId="77777777" w:rsidR="00980E5F" w:rsidRDefault="00483613">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12F" w14:textId="77777777" w:rsidR="00980E5F" w:rsidRDefault="00483613">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13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131" w14:textId="77777777" w:rsidR="00980E5F" w:rsidRDefault="00483613">
            <w:pPr>
              <w:jc w:val="center"/>
              <w:textAlignment w:val="bottom"/>
            </w:pPr>
            <w:r>
              <w:rPr>
                <w:rFonts w:ascii="Arial" w:eastAsia="宋体" w:hAnsi="Arial" w:cs="Arial"/>
                <w:b/>
                <w:bCs/>
                <w:color w:val="000000"/>
                <w:sz w:val="18"/>
                <w:szCs w:val="18"/>
              </w:rPr>
              <w:t>2021</w:t>
            </w:r>
          </w:p>
        </w:tc>
        <w:tc>
          <w:tcPr>
            <w:tcW w:w="0" w:type="auto"/>
            <w:gridSpan w:val="3"/>
            <w:shd w:val="clear" w:color="auto" w:fill="auto"/>
            <w:vAlign w:val="bottom"/>
          </w:tcPr>
          <w:p w14:paraId="392C3132" w14:textId="77777777" w:rsidR="00980E5F" w:rsidRDefault="00980E5F">
            <w:pPr>
              <w:rPr>
                <w:rFonts w:ascii="宋体"/>
                <w:vanish/>
              </w:rPr>
            </w:pPr>
          </w:p>
        </w:tc>
        <w:tc>
          <w:tcPr>
            <w:tcW w:w="0" w:type="auto"/>
            <w:gridSpan w:val="3"/>
            <w:shd w:val="clear" w:color="auto" w:fill="auto"/>
            <w:vAlign w:val="bottom"/>
          </w:tcPr>
          <w:p w14:paraId="392C3133" w14:textId="77777777" w:rsidR="00980E5F" w:rsidRDefault="00980E5F">
            <w:pPr>
              <w:rPr>
                <w:rFonts w:ascii="宋体"/>
                <w:vanish/>
              </w:rPr>
            </w:pPr>
          </w:p>
        </w:tc>
      </w:tr>
      <w:tr w:rsidR="00980E5F" w14:paraId="392C313F" w14:textId="77777777">
        <w:tc>
          <w:tcPr>
            <w:tcW w:w="0" w:type="auto"/>
            <w:gridSpan w:val="3"/>
            <w:shd w:val="clear" w:color="auto" w:fill="CCEEFF"/>
            <w:tcMar>
              <w:top w:w="40" w:type="dxa"/>
              <w:left w:w="20" w:type="dxa"/>
              <w:bottom w:w="40" w:type="dxa"/>
              <w:right w:w="20" w:type="dxa"/>
            </w:tcMar>
            <w:vAlign w:val="bottom"/>
          </w:tcPr>
          <w:p w14:paraId="392C3135" w14:textId="77777777" w:rsidR="00980E5F" w:rsidRDefault="00483613">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136"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37" w14:textId="77777777" w:rsidR="00980E5F" w:rsidRDefault="00483613">
            <w:pPr>
              <w:jc w:val="right"/>
              <w:textAlignment w:val="bottom"/>
            </w:pPr>
            <w:r>
              <w:rPr>
                <w:rFonts w:ascii="Arial" w:eastAsia="宋体" w:hAnsi="Arial" w:cs="Arial"/>
                <w:b/>
                <w:bCs/>
                <w:color w:val="000000"/>
                <w:sz w:val="18"/>
                <w:szCs w:val="18"/>
              </w:rPr>
              <w:t>747</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3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13A"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3B" w14:textId="77777777" w:rsidR="00980E5F" w:rsidRDefault="00483613">
            <w:pPr>
              <w:jc w:val="right"/>
              <w:textAlignment w:val="bottom"/>
            </w:pPr>
            <w:r>
              <w:rPr>
                <w:rFonts w:ascii="Arial" w:eastAsia="宋体" w:hAnsi="Arial" w:cs="Arial"/>
                <w:color w:val="000000"/>
                <w:sz w:val="18"/>
                <w:szCs w:val="18"/>
              </w:rPr>
              <w:t>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3C" w14:textId="77777777" w:rsidR="00980E5F" w:rsidRDefault="00980E5F">
            <w:pPr>
              <w:jc w:val="right"/>
              <w:rPr>
                <w:rFonts w:ascii="宋体"/>
              </w:rPr>
            </w:pPr>
          </w:p>
        </w:tc>
        <w:tc>
          <w:tcPr>
            <w:tcW w:w="0" w:type="auto"/>
            <w:gridSpan w:val="3"/>
            <w:shd w:val="clear" w:color="auto" w:fill="auto"/>
            <w:vAlign w:val="bottom"/>
          </w:tcPr>
          <w:p w14:paraId="392C313D" w14:textId="77777777" w:rsidR="00980E5F" w:rsidRDefault="00980E5F">
            <w:pPr>
              <w:rPr>
                <w:rFonts w:ascii="宋体"/>
                <w:vanish/>
              </w:rPr>
            </w:pPr>
          </w:p>
        </w:tc>
        <w:tc>
          <w:tcPr>
            <w:tcW w:w="0" w:type="auto"/>
            <w:gridSpan w:val="3"/>
            <w:shd w:val="clear" w:color="auto" w:fill="auto"/>
            <w:vAlign w:val="bottom"/>
          </w:tcPr>
          <w:p w14:paraId="392C313E" w14:textId="77777777" w:rsidR="00980E5F" w:rsidRDefault="00980E5F">
            <w:pPr>
              <w:rPr>
                <w:rFonts w:ascii="宋体"/>
                <w:vanish/>
              </w:rPr>
            </w:pPr>
          </w:p>
        </w:tc>
      </w:tr>
      <w:tr w:rsidR="00980E5F" w14:paraId="392C3146" w14:textId="77777777">
        <w:tc>
          <w:tcPr>
            <w:tcW w:w="0" w:type="auto"/>
            <w:gridSpan w:val="3"/>
            <w:shd w:val="clear" w:color="auto" w:fill="FFFFFF"/>
            <w:tcMar>
              <w:top w:w="40" w:type="dxa"/>
              <w:left w:w="20" w:type="dxa"/>
              <w:bottom w:w="40" w:type="dxa"/>
              <w:right w:w="20" w:type="dxa"/>
            </w:tcMar>
            <w:vAlign w:val="bottom"/>
          </w:tcPr>
          <w:p w14:paraId="392C3140" w14:textId="77777777" w:rsidR="00980E5F" w:rsidRDefault="00483613">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392C31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14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143" w14:textId="77777777" w:rsidR="00980E5F" w:rsidRDefault="00980E5F">
            <w:pPr>
              <w:rPr>
                <w:rFonts w:ascii="宋体"/>
              </w:rPr>
            </w:pPr>
          </w:p>
        </w:tc>
        <w:tc>
          <w:tcPr>
            <w:tcW w:w="0" w:type="auto"/>
            <w:gridSpan w:val="3"/>
            <w:shd w:val="clear" w:color="auto" w:fill="auto"/>
            <w:vAlign w:val="bottom"/>
          </w:tcPr>
          <w:p w14:paraId="392C3144" w14:textId="77777777" w:rsidR="00980E5F" w:rsidRDefault="00980E5F">
            <w:pPr>
              <w:rPr>
                <w:rFonts w:ascii="宋体"/>
                <w:vanish/>
              </w:rPr>
            </w:pPr>
          </w:p>
        </w:tc>
        <w:tc>
          <w:tcPr>
            <w:tcW w:w="0" w:type="auto"/>
            <w:gridSpan w:val="3"/>
            <w:shd w:val="clear" w:color="auto" w:fill="auto"/>
            <w:vAlign w:val="bottom"/>
          </w:tcPr>
          <w:p w14:paraId="392C3145" w14:textId="77777777" w:rsidR="00980E5F" w:rsidRDefault="00980E5F">
            <w:pPr>
              <w:rPr>
                <w:rFonts w:ascii="宋体"/>
                <w:vanish/>
              </w:rPr>
            </w:pPr>
          </w:p>
        </w:tc>
      </w:tr>
      <w:tr w:rsidR="00980E5F" w14:paraId="392C314F" w14:textId="77777777">
        <w:tc>
          <w:tcPr>
            <w:tcW w:w="0" w:type="auto"/>
            <w:gridSpan w:val="3"/>
            <w:shd w:val="clear" w:color="auto" w:fill="CCEEFF"/>
            <w:tcMar>
              <w:top w:w="40" w:type="dxa"/>
              <w:left w:w="20" w:type="dxa"/>
              <w:bottom w:w="40" w:type="dxa"/>
              <w:right w:w="20" w:type="dxa"/>
            </w:tcMar>
            <w:vAlign w:val="bottom"/>
          </w:tcPr>
          <w:p w14:paraId="392C3147" w14:textId="77777777" w:rsidR="00980E5F" w:rsidRDefault="00483613">
            <w:pPr>
              <w:jc w:val="both"/>
              <w:textAlignment w:val="bottom"/>
            </w:pPr>
            <w:r>
              <w:rPr>
                <w:rFonts w:ascii="Arial" w:eastAsia="宋体" w:hAnsi="Arial" w:cs="Arial"/>
                <w:color w:val="000000"/>
                <w:sz w:val="18"/>
                <w:szCs w:val="18"/>
              </w:rPr>
              <w:t>Foreign currency translation, net of related taxes of $53 and ($8), respectively</w:t>
            </w:r>
          </w:p>
        </w:tc>
        <w:tc>
          <w:tcPr>
            <w:tcW w:w="0" w:type="auto"/>
            <w:gridSpan w:val="2"/>
            <w:shd w:val="clear" w:color="auto" w:fill="CCEEFF"/>
            <w:tcMar>
              <w:top w:w="40" w:type="dxa"/>
              <w:left w:w="20" w:type="dxa"/>
              <w:bottom w:w="40" w:type="dxa"/>
              <w:right w:w="0" w:type="dxa"/>
            </w:tcMar>
            <w:vAlign w:val="bottom"/>
          </w:tcPr>
          <w:p w14:paraId="392C3148" w14:textId="77777777" w:rsidR="00980E5F" w:rsidRDefault="00483613">
            <w:pPr>
              <w:jc w:val="right"/>
              <w:textAlignment w:val="bottom"/>
            </w:pPr>
            <w:r>
              <w:rPr>
                <w:rFonts w:ascii="Arial" w:eastAsia="宋体" w:hAnsi="Arial" w:cs="Arial"/>
                <w:b/>
                <w:bCs/>
                <w:color w:val="000000"/>
                <w:sz w:val="18"/>
                <w:szCs w:val="18"/>
              </w:rPr>
              <w:t>(446)</w:t>
            </w:r>
          </w:p>
        </w:tc>
        <w:tc>
          <w:tcPr>
            <w:tcW w:w="0" w:type="auto"/>
            <w:shd w:val="clear" w:color="auto" w:fill="CCEEFF"/>
            <w:tcMar>
              <w:top w:w="40" w:type="dxa"/>
              <w:left w:w="0" w:type="dxa"/>
              <w:bottom w:w="40" w:type="dxa"/>
              <w:right w:w="20" w:type="dxa"/>
            </w:tcMar>
            <w:vAlign w:val="bottom"/>
          </w:tcPr>
          <w:p w14:paraId="392C31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4B" w14:textId="77777777" w:rsidR="00980E5F" w:rsidRDefault="00483613">
            <w:pPr>
              <w:jc w:val="right"/>
              <w:textAlignment w:val="bottom"/>
            </w:pPr>
            <w:r>
              <w:rPr>
                <w:rFonts w:ascii="Arial" w:eastAsia="宋体" w:hAnsi="Arial" w:cs="Arial"/>
                <w:color w:val="000000"/>
                <w:sz w:val="18"/>
                <w:szCs w:val="18"/>
              </w:rPr>
              <w:t>49 </w:t>
            </w:r>
          </w:p>
        </w:tc>
        <w:tc>
          <w:tcPr>
            <w:tcW w:w="0" w:type="auto"/>
            <w:shd w:val="clear" w:color="auto" w:fill="CCEEFF"/>
            <w:tcMar>
              <w:top w:w="40" w:type="dxa"/>
              <w:left w:w="0" w:type="dxa"/>
              <w:bottom w:w="40" w:type="dxa"/>
              <w:right w:w="20" w:type="dxa"/>
            </w:tcMar>
            <w:vAlign w:val="bottom"/>
          </w:tcPr>
          <w:p w14:paraId="392C314C" w14:textId="77777777" w:rsidR="00980E5F" w:rsidRDefault="00980E5F">
            <w:pPr>
              <w:jc w:val="right"/>
              <w:rPr>
                <w:rFonts w:ascii="宋体"/>
              </w:rPr>
            </w:pPr>
          </w:p>
        </w:tc>
        <w:tc>
          <w:tcPr>
            <w:tcW w:w="0" w:type="auto"/>
            <w:gridSpan w:val="3"/>
            <w:shd w:val="clear" w:color="auto" w:fill="auto"/>
            <w:vAlign w:val="bottom"/>
          </w:tcPr>
          <w:p w14:paraId="392C314D" w14:textId="77777777" w:rsidR="00980E5F" w:rsidRDefault="00980E5F">
            <w:pPr>
              <w:rPr>
                <w:rFonts w:ascii="宋体"/>
                <w:vanish/>
              </w:rPr>
            </w:pPr>
          </w:p>
        </w:tc>
        <w:tc>
          <w:tcPr>
            <w:tcW w:w="0" w:type="auto"/>
            <w:gridSpan w:val="3"/>
            <w:shd w:val="clear" w:color="auto" w:fill="auto"/>
            <w:vAlign w:val="bottom"/>
          </w:tcPr>
          <w:p w14:paraId="392C314E" w14:textId="77777777" w:rsidR="00980E5F" w:rsidRDefault="00980E5F">
            <w:pPr>
              <w:rPr>
                <w:rFonts w:ascii="宋体"/>
                <w:vanish/>
              </w:rPr>
            </w:pPr>
          </w:p>
        </w:tc>
      </w:tr>
      <w:tr w:rsidR="00980E5F" w14:paraId="392C3158" w14:textId="77777777">
        <w:tc>
          <w:tcPr>
            <w:tcW w:w="0" w:type="auto"/>
            <w:gridSpan w:val="3"/>
            <w:shd w:val="clear" w:color="auto" w:fill="FFFFFF"/>
            <w:tcMar>
              <w:top w:w="40" w:type="dxa"/>
              <w:left w:w="20" w:type="dxa"/>
              <w:bottom w:w="40" w:type="dxa"/>
              <w:right w:w="20" w:type="dxa"/>
            </w:tcMar>
            <w:vAlign w:val="bottom"/>
          </w:tcPr>
          <w:p w14:paraId="392C3150" w14:textId="77777777" w:rsidR="00980E5F" w:rsidRDefault="00483613">
            <w:pPr>
              <w:jc w:val="both"/>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unrealized losses on available-for-sale securities, net of reclassification adjustment and net of related taxes of ($233) and ($14), respectively</w:t>
            </w:r>
          </w:p>
        </w:tc>
        <w:tc>
          <w:tcPr>
            <w:tcW w:w="0" w:type="auto"/>
            <w:gridSpan w:val="2"/>
            <w:shd w:val="clear" w:color="auto" w:fill="FFFFFF"/>
            <w:tcMar>
              <w:top w:w="40" w:type="dxa"/>
              <w:left w:w="20" w:type="dxa"/>
              <w:bottom w:w="40" w:type="dxa"/>
              <w:right w:w="0" w:type="dxa"/>
            </w:tcMar>
            <w:vAlign w:val="bottom"/>
          </w:tcPr>
          <w:p w14:paraId="392C3151" w14:textId="77777777" w:rsidR="00980E5F" w:rsidRDefault="00483613">
            <w:pPr>
              <w:jc w:val="right"/>
              <w:textAlignment w:val="bottom"/>
            </w:pPr>
            <w:r>
              <w:rPr>
                <w:rFonts w:ascii="Arial" w:eastAsia="宋体" w:hAnsi="Arial" w:cs="Arial"/>
                <w:b/>
                <w:bCs/>
                <w:color w:val="000000"/>
                <w:sz w:val="18"/>
                <w:szCs w:val="18"/>
              </w:rPr>
              <w:t>(618)</w:t>
            </w:r>
          </w:p>
        </w:tc>
        <w:tc>
          <w:tcPr>
            <w:tcW w:w="0" w:type="auto"/>
            <w:shd w:val="clear" w:color="auto" w:fill="FFFFFF"/>
            <w:tcMar>
              <w:top w:w="40" w:type="dxa"/>
              <w:left w:w="0" w:type="dxa"/>
              <w:bottom w:w="40" w:type="dxa"/>
              <w:right w:w="20" w:type="dxa"/>
            </w:tcMar>
            <w:vAlign w:val="bottom"/>
          </w:tcPr>
          <w:p w14:paraId="392C31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154" w14:textId="77777777" w:rsidR="00980E5F" w:rsidRDefault="00483613">
            <w:pPr>
              <w:jc w:val="right"/>
              <w:textAlignment w:val="bottom"/>
            </w:pPr>
            <w:r>
              <w:rPr>
                <w:rFonts w:ascii="Arial" w:eastAsia="宋体" w:hAnsi="Arial" w:cs="Arial"/>
                <w:color w:val="000000"/>
                <w:sz w:val="18"/>
                <w:szCs w:val="18"/>
              </w:rPr>
              <w:t>(35)</w:t>
            </w:r>
          </w:p>
        </w:tc>
        <w:tc>
          <w:tcPr>
            <w:tcW w:w="0" w:type="auto"/>
            <w:shd w:val="clear" w:color="auto" w:fill="FFFFFF"/>
            <w:tcMar>
              <w:top w:w="40" w:type="dxa"/>
              <w:left w:w="0" w:type="dxa"/>
              <w:bottom w:w="40" w:type="dxa"/>
              <w:right w:w="20" w:type="dxa"/>
            </w:tcMar>
            <w:vAlign w:val="bottom"/>
          </w:tcPr>
          <w:p w14:paraId="392C3155" w14:textId="77777777" w:rsidR="00980E5F" w:rsidRDefault="00980E5F">
            <w:pPr>
              <w:jc w:val="right"/>
              <w:rPr>
                <w:rFonts w:ascii="宋体"/>
              </w:rPr>
            </w:pPr>
          </w:p>
        </w:tc>
        <w:tc>
          <w:tcPr>
            <w:tcW w:w="0" w:type="auto"/>
            <w:gridSpan w:val="3"/>
            <w:shd w:val="clear" w:color="auto" w:fill="auto"/>
            <w:vAlign w:val="bottom"/>
          </w:tcPr>
          <w:p w14:paraId="392C3156" w14:textId="77777777" w:rsidR="00980E5F" w:rsidRDefault="00980E5F">
            <w:pPr>
              <w:rPr>
                <w:rFonts w:ascii="宋体"/>
                <w:vanish/>
              </w:rPr>
            </w:pPr>
          </w:p>
        </w:tc>
        <w:tc>
          <w:tcPr>
            <w:tcW w:w="0" w:type="auto"/>
            <w:gridSpan w:val="3"/>
            <w:shd w:val="clear" w:color="auto" w:fill="auto"/>
            <w:vAlign w:val="bottom"/>
          </w:tcPr>
          <w:p w14:paraId="392C3157" w14:textId="77777777" w:rsidR="00980E5F" w:rsidRDefault="00980E5F">
            <w:pPr>
              <w:rPr>
                <w:rFonts w:ascii="宋体"/>
                <w:vanish/>
              </w:rPr>
            </w:pPr>
          </w:p>
        </w:tc>
      </w:tr>
      <w:tr w:rsidR="00980E5F" w14:paraId="392C3161" w14:textId="77777777">
        <w:tc>
          <w:tcPr>
            <w:tcW w:w="0" w:type="auto"/>
            <w:gridSpan w:val="3"/>
            <w:shd w:val="clear" w:color="auto" w:fill="CCEEFF"/>
            <w:tcMar>
              <w:top w:w="40" w:type="dxa"/>
              <w:left w:w="20" w:type="dxa"/>
              <w:bottom w:w="40" w:type="dxa"/>
              <w:right w:w="20" w:type="dxa"/>
            </w:tcMar>
            <w:vAlign w:val="bottom"/>
          </w:tcPr>
          <w:p w14:paraId="392C3159" w14:textId="77777777" w:rsidR="00980E5F" w:rsidRDefault="00483613">
            <w:pPr>
              <w:jc w:val="both"/>
              <w:textAlignment w:val="bottom"/>
            </w:pPr>
            <w:r>
              <w:rPr>
                <w:rFonts w:ascii="Arial" w:eastAsia="宋体" w:hAnsi="Arial" w:cs="Arial"/>
                <w:color w:val="000000"/>
                <w:sz w:val="18"/>
                <w:szCs w:val="18"/>
              </w:rPr>
              <w:t xml:space="preserve">Net unrealized gains (losses) on available-for-sale securities designated in fair value </w:t>
            </w:r>
            <w:r>
              <w:rPr>
                <w:rFonts w:ascii="Arial" w:eastAsia="宋体" w:hAnsi="Arial" w:cs="Arial"/>
                <w:color w:val="000000"/>
                <w:sz w:val="18"/>
                <w:szCs w:val="18"/>
              </w:rPr>
              <w:t>hedges, net of related taxes of $42 and ($5), respectively</w:t>
            </w:r>
          </w:p>
        </w:tc>
        <w:tc>
          <w:tcPr>
            <w:tcW w:w="0" w:type="auto"/>
            <w:gridSpan w:val="2"/>
            <w:shd w:val="clear" w:color="auto" w:fill="CCEEFF"/>
            <w:tcMar>
              <w:top w:w="40" w:type="dxa"/>
              <w:left w:w="20" w:type="dxa"/>
              <w:bottom w:w="40" w:type="dxa"/>
              <w:right w:w="0" w:type="dxa"/>
            </w:tcMar>
            <w:vAlign w:val="bottom"/>
          </w:tcPr>
          <w:p w14:paraId="392C315A" w14:textId="77777777" w:rsidR="00980E5F" w:rsidRDefault="00483613">
            <w:pPr>
              <w:jc w:val="right"/>
              <w:textAlignment w:val="bottom"/>
            </w:pPr>
            <w:r>
              <w:rPr>
                <w:rFonts w:ascii="Arial" w:eastAsia="宋体" w:hAnsi="Arial" w:cs="Arial"/>
                <w:b/>
                <w:bCs/>
                <w:color w:val="000000"/>
                <w:sz w:val="18"/>
                <w:szCs w:val="18"/>
              </w:rPr>
              <w:t>113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1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5D" w14:textId="77777777" w:rsidR="00980E5F" w:rsidRDefault="00483613">
            <w:pPr>
              <w:jc w:val="right"/>
              <w:textAlignment w:val="bottom"/>
            </w:pPr>
            <w:r>
              <w:rPr>
                <w:rFonts w:ascii="Arial" w:eastAsia="宋体" w:hAnsi="Arial" w:cs="Arial"/>
                <w:color w:val="000000"/>
                <w:sz w:val="18"/>
                <w:szCs w:val="18"/>
              </w:rPr>
              <w:t>(16)</w:t>
            </w:r>
          </w:p>
        </w:tc>
        <w:tc>
          <w:tcPr>
            <w:tcW w:w="0" w:type="auto"/>
            <w:shd w:val="clear" w:color="auto" w:fill="CCEEFF"/>
            <w:tcMar>
              <w:top w:w="40" w:type="dxa"/>
              <w:left w:w="0" w:type="dxa"/>
              <w:bottom w:w="40" w:type="dxa"/>
              <w:right w:w="20" w:type="dxa"/>
            </w:tcMar>
            <w:vAlign w:val="bottom"/>
          </w:tcPr>
          <w:p w14:paraId="392C315E" w14:textId="77777777" w:rsidR="00980E5F" w:rsidRDefault="00980E5F">
            <w:pPr>
              <w:jc w:val="right"/>
              <w:rPr>
                <w:rFonts w:ascii="宋体"/>
              </w:rPr>
            </w:pPr>
          </w:p>
        </w:tc>
        <w:tc>
          <w:tcPr>
            <w:tcW w:w="0" w:type="auto"/>
            <w:gridSpan w:val="3"/>
            <w:shd w:val="clear" w:color="auto" w:fill="auto"/>
            <w:vAlign w:val="bottom"/>
          </w:tcPr>
          <w:p w14:paraId="392C315F" w14:textId="77777777" w:rsidR="00980E5F" w:rsidRDefault="00980E5F">
            <w:pPr>
              <w:rPr>
                <w:rFonts w:ascii="宋体"/>
                <w:vanish/>
              </w:rPr>
            </w:pPr>
          </w:p>
        </w:tc>
        <w:tc>
          <w:tcPr>
            <w:tcW w:w="0" w:type="auto"/>
            <w:gridSpan w:val="3"/>
            <w:shd w:val="clear" w:color="auto" w:fill="auto"/>
            <w:vAlign w:val="bottom"/>
          </w:tcPr>
          <w:p w14:paraId="392C3160" w14:textId="77777777" w:rsidR="00980E5F" w:rsidRDefault="00980E5F">
            <w:pPr>
              <w:rPr>
                <w:rFonts w:ascii="宋体"/>
                <w:vanish/>
              </w:rPr>
            </w:pPr>
          </w:p>
        </w:tc>
      </w:tr>
      <w:tr w:rsidR="00980E5F" w14:paraId="392C3168" w14:textId="77777777">
        <w:trPr>
          <w:hidden/>
        </w:trPr>
        <w:tc>
          <w:tcPr>
            <w:tcW w:w="0" w:type="auto"/>
            <w:gridSpan w:val="3"/>
            <w:shd w:val="clear" w:color="auto" w:fill="auto"/>
            <w:vAlign w:val="bottom"/>
          </w:tcPr>
          <w:p w14:paraId="392C3162" w14:textId="77777777" w:rsidR="00980E5F" w:rsidRDefault="00980E5F">
            <w:pPr>
              <w:rPr>
                <w:rFonts w:ascii="宋体"/>
                <w:vanish/>
              </w:rPr>
            </w:pPr>
          </w:p>
        </w:tc>
        <w:tc>
          <w:tcPr>
            <w:tcW w:w="0" w:type="auto"/>
            <w:gridSpan w:val="3"/>
            <w:shd w:val="clear" w:color="auto" w:fill="auto"/>
            <w:vAlign w:val="bottom"/>
          </w:tcPr>
          <w:p w14:paraId="392C3163" w14:textId="77777777" w:rsidR="00980E5F" w:rsidRDefault="00980E5F">
            <w:pPr>
              <w:rPr>
                <w:rFonts w:ascii="宋体"/>
                <w:vanish/>
              </w:rPr>
            </w:pPr>
          </w:p>
        </w:tc>
        <w:tc>
          <w:tcPr>
            <w:tcW w:w="0" w:type="auto"/>
            <w:gridSpan w:val="3"/>
            <w:shd w:val="clear" w:color="auto" w:fill="auto"/>
            <w:vAlign w:val="bottom"/>
          </w:tcPr>
          <w:p w14:paraId="392C3164" w14:textId="77777777" w:rsidR="00980E5F" w:rsidRDefault="00980E5F">
            <w:pPr>
              <w:rPr>
                <w:rFonts w:ascii="宋体"/>
                <w:vanish/>
              </w:rPr>
            </w:pPr>
          </w:p>
        </w:tc>
        <w:tc>
          <w:tcPr>
            <w:tcW w:w="0" w:type="auto"/>
            <w:gridSpan w:val="3"/>
            <w:shd w:val="clear" w:color="auto" w:fill="auto"/>
            <w:vAlign w:val="bottom"/>
          </w:tcPr>
          <w:p w14:paraId="392C3165" w14:textId="77777777" w:rsidR="00980E5F" w:rsidRDefault="00980E5F">
            <w:pPr>
              <w:rPr>
                <w:rFonts w:ascii="宋体"/>
                <w:vanish/>
              </w:rPr>
            </w:pPr>
          </w:p>
        </w:tc>
        <w:tc>
          <w:tcPr>
            <w:tcW w:w="0" w:type="auto"/>
            <w:gridSpan w:val="3"/>
            <w:shd w:val="clear" w:color="auto" w:fill="auto"/>
            <w:vAlign w:val="bottom"/>
          </w:tcPr>
          <w:p w14:paraId="392C3166" w14:textId="77777777" w:rsidR="00980E5F" w:rsidRDefault="00980E5F">
            <w:pPr>
              <w:rPr>
                <w:rFonts w:ascii="宋体"/>
                <w:vanish/>
              </w:rPr>
            </w:pPr>
          </w:p>
        </w:tc>
        <w:tc>
          <w:tcPr>
            <w:tcW w:w="0" w:type="auto"/>
            <w:gridSpan w:val="3"/>
            <w:shd w:val="clear" w:color="auto" w:fill="auto"/>
            <w:vAlign w:val="bottom"/>
          </w:tcPr>
          <w:p w14:paraId="392C3167" w14:textId="77777777" w:rsidR="00980E5F" w:rsidRDefault="00980E5F">
            <w:pPr>
              <w:rPr>
                <w:rFonts w:ascii="宋体"/>
                <w:vanish/>
              </w:rPr>
            </w:pPr>
          </w:p>
        </w:tc>
      </w:tr>
      <w:tr w:rsidR="00980E5F" w14:paraId="392C3171" w14:textId="77777777">
        <w:tc>
          <w:tcPr>
            <w:tcW w:w="0" w:type="auto"/>
            <w:gridSpan w:val="3"/>
            <w:shd w:val="clear" w:color="auto" w:fill="FFFFFF"/>
            <w:tcMar>
              <w:top w:w="40" w:type="dxa"/>
              <w:left w:w="20" w:type="dxa"/>
              <w:bottom w:w="40" w:type="dxa"/>
              <w:right w:w="20" w:type="dxa"/>
            </w:tcMar>
            <w:vAlign w:val="bottom"/>
          </w:tcPr>
          <w:p w14:paraId="392C3169" w14:textId="77777777" w:rsidR="00980E5F" w:rsidRDefault="00483613">
            <w:pPr>
              <w:jc w:val="both"/>
              <w:textAlignment w:val="bottom"/>
            </w:pPr>
            <w:r>
              <w:rPr>
                <w:rFonts w:ascii="Arial" w:eastAsia="宋体" w:hAnsi="Arial" w:cs="Arial"/>
                <w:color w:val="000000"/>
                <w:sz w:val="18"/>
                <w:szCs w:val="18"/>
              </w:rPr>
              <w:t>Net unrealized losses on cash flow hedges, net of related taxes of ($17) and ($4), respectively</w:t>
            </w:r>
          </w:p>
        </w:tc>
        <w:tc>
          <w:tcPr>
            <w:tcW w:w="0" w:type="auto"/>
            <w:gridSpan w:val="2"/>
            <w:shd w:val="clear" w:color="auto" w:fill="FFFFFF"/>
            <w:tcMar>
              <w:top w:w="40" w:type="dxa"/>
              <w:left w:w="20" w:type="dxa"/>
              <w:bottom w:w="40" w:type="dxa"/>
              <w:right w:w="0" w:type="dxa"/>
            </w:tcMar>
            <w:vAlign w:val="bottom"/>
          </w:tcPr>
          <w:p w14:paraId="392C316A" w14:textId="77777777" w:rsidR="00980E5F" w:rsidRDefault="00483613">
            <w:pPr>
              <w:jc w:val="right"/>
              <w:textAlignment w:val="bottom"/>
            </w:pPr>
            <w:r>
              <w:rPr>
                <w:rFonts w:ascii="Arial" w:eastAsia="宋体" w:hAnsi="Arial" w:cs="Arial"/>
                <w:b/>
                <w:bCs/>
                <w:color w:val="000000"/>
                <w:sz w:val="18"/>
                <w:szCs w:val="18"/>
              </w:rPr>
              <w:t>(40)</w:t>
            </w:r>
          </w:p>
        </w:tc>
        <w:tc>
          <w:tcPr>
            <w:tcW w:w="0" w:type="auto"/>
            <w:shd w:val="clear" w:color="auto" w:fill="FFFFFF"/>
            <w:tcMar>
              <w:top w:w="40" w:type="dxa"/>
              <w:left w:w="0" w:type="dxa"/>
              <w:bottom w:w="40" w:type="dxa"/>
              <w:right w:w="20" w:type="dxa"/>
            </w:tcMar>
            <w:vAlign w:val="bottom"/>
          </w:tcPr>
          <w:p w14:paraId="392C31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16D" w14:textId="77777777" w:rsidR="00980E5F" w:rsidRDefault="00483613">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392C316E" w14:textId="77777777" w:rsidR="00980E5F" w:rsidRDefault="00980E5F">
            <w:pPr>
              <w:jc w:val="right"/>
              <w:rPr>
                <w:rFonts w:ascii="宋体"/>
              </w:rPr>
            </w:pPr>
          </w:p>
        </w:tc>
        <w:tc>
          <w:tcPr>
            <w:tcW w:w="0" w:type="auto"/>
            <w:gridSpan w:val="3"/>
            <w:shd w:val="clear" w:color="auto" w:fill="auto"/>
            <w:vAlign w:val="bottom"/>
          </w:tcPr>
          <w:p w14:paraId="392C316F" w14:textId="77777777" w:rsidR="00980E5F" w:rsidRDefault="00980E5F">
            <w:pPr>
              <w:rPr>
                <w:rFonts w:ascii="宋体"/>
                <w:vanish/>
              </w:rPr>
            </w:pPr>
          </w:p>
        </w:tc>
        <w:tc>
          <w:tcPr>
            <w:tcW w:w="0" w:type="auto"/>
            <w:gridSpan w:val="3"/>
            <w:shd w:val="clear" w:color="auto" w:fill="auto"/>
            <w:vAlign w:val="bottom"/>
          </w:tcPr>
          <w:p w14:paraId="392C3170" w14:textId="77777777" w:rsidR="00980E5F" w:rsidRDefault="00980E5F">
            <w:pPr>
              <w:rPr>
                <w:rFonts w:ascii="宋体"/>
                <w:vanish/>
              </w:rPr>
            </w:pPr>
          </w:p>
        </w:tc>
      </w:tr>
      <w:tr w:rsidR="00980E5F" w14:paraId="392C317A" w14:textId="77777777">
        <w:tc>
          <w:tcPr>
            <w:tcW w:w="0" w:type="auto"/>
            <w:gridSpan w:val="3"/>
            <w:shd w:val="clear" w:color="auto" w:fill="CCEEFF"/>
            <w:tcMar>
              <w:top w:w="40" w:type="dxa"/>
              <w:left w:w="20" w:type="dxa"/>
              <w:bottom w:w="40" w:type="dxa"/>
              <w:right w:w="20" w:type="dxa"/>
            </w:tcMar>
            <w:vAlign w:val="bottom"/>
          </w:tcPr>
          <w:p w14:paraId="392C3172" w14:textId="77777777" w:rsidR="00980E5F" w:rsidRDefault="00483613">
            <w:pPr>
              <w:jc w:val="both"/>
              <w:textAlignment w:val="bottom"/>
            </w:pPr>
            <w:r>
              <w:rPr>
                <w:rFonts w:ascii="Arial" w:eastAsia="宋体" w:hAnsi="Arial" w:cs="Arial"/>
                <w:color w:val="000000"/>
                <w:sz w:val="18"/>
                <w:szCs w:val="18"/>
              </w:rPr>
              <w:t xml:space="preserve">Net unrealized gains on retirement plans, net of related </w:t>
            </w:r>
            <w:r>
              <w:rPr>
                <w:rFonts w:ascii="Arial" w:eastAsia="宋体" w:hAnsi="Arial" w:cs="Arial"/>
                <w:color w:val="000000"/>
                <w:sz w:val="18"/>
                <w:szCs w:val="18"/>
              </w:rPr>
              <w:t>taxes of $1 and $1, respectively</w:t>
            </w:r>
          </w:p>
        </w:tc>
        <w:tc>
          <w:tcPr>
            <w:tcW w:w="0" w:type="auto"/>
            <w:gridSpan w:val="2"/>
            <w:shd w:val="clear" w:color="auto" w:fill="CCEEFF"/>
            <w:tcMar>
              <w:top w:w="40" w:type="dxa"/>
              <w:left w:w="20" w:type="dxa"/>
              <w:bottom w:w="40" w:type="dxa"/>
              <w:right w:w="0" w:type="dxa"/>
            </w:tcMar>
            <w:vAlign w:val="bottom"/>
          </w:tcPr>
          <w:p w14:paraId="392C3173" w14:textId="77777777" w:rsidR="00980E5F" w:rsidRDefault="00483613">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1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76" w14:textId="77777777" w:rsidR="00980E5F" w:rsidRDefault="00483613">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392C3177" w14:textId="77777777" w:rsidR="00980E5F" w:rsidRDefault="00980E5F">
            <w:pPr>
              <w:jc w:val="right"/>
              <w:rPr>
                <w:rFonts w:ascii="宋体"/>
              </w:rPr>
            </w:pPr>
          </w:p>
        </w:tc>
        <w:tc>
          <w:tcPr>
            <w:tcW w:w="0" w:type="auto"/>
            <w:gridSpan w:val="3"/>
            <w:shd w:val="clear" w:color="auto" w:fill="auto"/>
            <w:vAlign w:val="bottom"/>
          </w:tcPr>
          <w:p w14:paraId="392C3178" w14:textId="77777777" w:rsidR="00980E5F" w:rsidRDefault="00980E5F">
            <w:pPr>
              <w:rPr>
                <w:rFonts w:ascii="宋体"/>
                <w:vanish/>
              </w:rPr>
            </w:pPr>
          </w:p>
        </w:tc>
        <w:tc>
          <w:tcPr>
            <w:tcW w:w="0" w:type="auto"/>
            <w:gridSpan w:val="3"/>
            <w:shd w:val="clear" w:color="auto" w:fill="auto"/>
            <w:vAlign w:val="bottom"/>
          </w:tcPr>
          <w:p w14:paraId="392C3179" w14:textId="77777777" w:rsidR="00980E5F" w:rsidRDefault="00980E5F">
            <w:pPr>
              <w:rPr>
                <w:rFonts w:ascii="宋体"/>
                <w:vanish/>
              </w:rPr>
            </w:pPr>
          </w:p>
        </w:tc>
      </w:tr>
      <w:tr w:rsidR="00980E5F" w14:paraId="392C3183" w14:textId="77777777">
        <w:tc>
          <w:tcPr>
            <w:tcW w:w="0" w:type="auto"/>
            <w:gridSpan w:val="3"/>
            <w:shd w:val="clear" w:color="auto" w:fill="FFFFFF"/>
            <w:tcMar>
              <w:top w:w="40" w:type="dxa"/>
              <w:left w:w="20" w:type="dxa"/>
              <w:bottom w:w="40" w:type="dxa"/>
              <w:right w:w="20" w:type="dxa"/>
            </w:tcMar>
            <w:vAlign w:val="bottom"/>
          </w:tcPr>
          <w:p w14:paraId="392C317B" w14:textId="77777777" w:rsidR="00980E5F" w:rsidRDefault="00483613">
            <w:pPr>
              <w:textAlignment w:val="bottom"/>
            </w:pPr>
            <w:r>
              <w:rPr>
                <w:rFonts w:ascii="Arial" w:eastAsia="宋体" w:hAnsi="Arial" w:cs="Arial"/>
                <w:b/>
                <w:bCs/>
                <w:color w:val="000000"/>
                <w:sz w:val="18"/>
                <w:szCs w:val="18"/>
              </w:rPr>
              <w:t>Other comprehensive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17C" w14:textId="77777777" w:rsidR="00980E5F" w:rsidRDefault="00483613">
            <w:pPr>
              <w:jc w:val="right"/>
              <w:textAlignment w:val="bottom"/>
            </w:pPr>
            <w:r>
              <w:rPr>
                <w:rFonts w:ascii="Arial" w:eastAsia="宋体" w:hAnsi="Arial" w:cs="Arial"/>
                <w:b/>
                <w:bCs/>
                <w:color w:val="000000"/>
                <w:sz w:val="18"/>
                <w:szCs w:val="18"/>
              </w:rPr>
              <w:t>(989)</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1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7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17F" w14:textId="77777777" w:rsidR="00980E5F" w:rsidRDefault="00483613">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180" w14:textId="77777777" w:rsidR="00980E5F" w:rsidRDefault="00980E5F">
            <w:pPr>
              <w:jc w:val="right"/>
              <w:rPr>
                <w:rFonts w:ascii="宋体"/>
              </w:rPr>
            </w:pPr>
          </w:p>
        </w:tc>
        <w:tc>
          <w:tcPr>
            <w:tcW w:w="0" w:type="auto"/>
            <w:gridSpan w:val="3"/>
            <w:shd w:val="clear" w:color="auto" w:fill="auto"/>
            <w:vAlign w:val="bottom"/>
          </w:tcPr>
          <w:p w14:paraId="392C3181" w14:textId="77777777" w:rsidR="00980E5F" w:rsidRDefault="00980E5F">
            <w:pPr>
              <w:rPr>
                <w:rFonts w:ascii="宋体"/>
                <w:vanish/>
              </w:rPr>
            </w:pPr>
          </w:p>
        </w:tc>
        <w:tc>
          <w:tcPr>
            <w:tcW w:w="0" w:type="auto"/>
            <w:gridSpan w:val="3"/>
            <w:shd w:val="clear" w:color="auto" w:fill="auto"/>
            <w:vAlign w:val="bottom"/>
          </w:tcPr>
          <w:p w14:paraId="392C3182" w14:textId="77777777" w:rsidR="00980E5F" w:rsidRDefault="00980E5F">
            <w:pPr>
              <w:rPr>
                <w:rFonts w:ascii="宋体"/>
                <w:vanish/>
              </w:rPr>
            </w:pPr>
          </w:p>
        </w:tc>
      </w:tr>
      <w:tr w:rsidR="00980E5F" w14:paraId="392C318E" w14:textId="77777777">
        <w:tc>
          <w:tcPr>
            <w:tcW w:w="0" w:type="auto"/>
            <w:gridSpan w:val="3"/>
            <w:shd w:val="clear" w:color="auto" w:fill="CCEEFF"/>
            <w:tcMar>
              <w:top w:w="40" w:type="dxa"/>
              <w:left w:w="20" w:type="dxa"/>
              <w:bottom w:w="40" w:type="dxa"/>
              <w:right w:w="20" w:type="dxa"/>
            </w:tcMar>
            <w:vAlign w:val="bottom"/>
          </w:tcPr>
          <w:p w14:paraId="392C3184" w14:textId="77777777" w:rsidR="00980E5F" w:rsidRDefault="00483613">
            <w:pPr>
              <w:textAlignment w:val="bottom"/>
            </w:pPr>
            <w:r>
              <w:rPr>
                <w:rFonts w:ascii="Arial" w:eastAsia="宋体" w:hAnsi="Arial" w:cs="Arial"/>
                <w:b/>
                <w:bCs/>
                <w:color w:val="000000"/>
                <w:sz w:val="18"/>
                <w:szCs w:val="18"/>
              </w:rPr>
              <w:t>Total comprehensive income (loss)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185"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86" w14:textId="77777777" w:rsidR="00980E5F" w:rsidRDefault="00483613">
            <w:pPr>
              <w:jc w:val="right"/>
              <w:textAlignment w:val="bottom"/>
            </w:pPr>
            <w:r>
              <w:rPr>
                <w:rFonts w:ascii="Arial" w:eastAsia="宋体" w:hAnsi="Arial" w:cs="Arial"/>
                <w:b/>
                <w:bCs/>
                <w:color w:val="000000"/>
                <w:sz w:val="18"/>
                <w:szCs w:val="18"/>
              </w:rPr>
              <w:t>(242)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8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189"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8A" w14:textId="77777777" w:rsidR="00980E5F" w:rsidRDefault="00483613">
            <w:pPr>
              <w:jc w:val="right"/>
              <w:textAlignment w:val="bottom"/>
            </w:pPr>
            <w:r>
              <w:rPr>
                <w:rFonts w:ascii="Arial" w:eastAsia="宋体" w:hAnsi="Arial" w:cs="Arial"/>
                <w:color w:val="000000"/>
                <w:sz w:val="18"/>
                <w:szCs w:val="18"/>
              </w:rPr>
              <w:t>759 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8B" w14:textId="77777777" w:rsidR="00980E5F" w:rsidRDefault="00980E5F">
            <w:pPr>
              <w:jc w:val="right"/>
              <w:rPr>
                <w:rFonts w:ascii="宋体"/>
              </w:rPr>
            </w:pPr>
          </w:p>
        </w:tc>
        <w:tc>
          <w:tcPr>
            <w:tcW w:w="0" w:type="auto"/>
            <w:gridSpan w:val="3"/>
            <w:shd w:val="clear" w:color="auto" w:fill="auto"/>
            <w:vAlign w:val="bottom"/>
          </w:tcPr>
          <w:p w14:paraId="392C318C" w14:textId="77777777" w:rsidR="00980E5F" w:rsidRDefault="00980E5F">
            <w:pPr>
              <w:rPr>
                <w:rFonts w:ascii="宋体"/>
                <w:vanish/>
              </w:rPr>
            </w:pPr>
          </w:p>
        </w:tc>
        <w:tc>
          <w:tcPr>
            <w:tcW w:w="0" w:type="auto"/>
            <w:gridSpan w:val="3"/>
            <w:shd w:val="clear" w:color="auto" w:fill="auto"/>
            <w:vAlign w:val="bottom"/>
          </w:tcPr>
          <w:p w14:paraId="392C318D" w14:textId="77777777" w:rsidR="00980E5F" w:rsidRDefault="00980E5F">
            <w:pPr>
              <w:rPr>
                <w:rFonts w:ascii="宋体"/>
                <w:vanish/>
              </w:rPr>
            </w:pPr>
          </w:p>
        </w:tc>
      </w:tr>
      <w:tr w:rsidR="00980E5F" w14:paraId="392C3195" w14:textId="77777777">
        <w:trPr>
          <w:trHeight w:val="300"/>
        </w:trPr>
        <w:tc>
          <w:tcPr>
            <w:tcW w:w="0" w:type="auto"/>
            <w:gridSpan w:val="3"/>
            <w:shd w:val="clear" w:color="auto" w:fill="auto"/>
            <w:tcMar>
              <w:top w:w="0" w:type="dxa"/>
              <w:left w:w="20" w:type="dxa"/>
              <w:bottom w:w="0" w:type="dxa"/>
              <w:right w:w="20" w:type="dxa"/>
            </w:tcMar>
            <w:vAlign w:val="bottom"/>
          </w:tcPr>
          <w:p w14:paraId="392C318F"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319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191"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3192" w14:textId="77777777" w:rsidR="00980E5F" w:rsidRDefault="00980E5F">
            <w:pPr>
              <w:rPr>
                <w:rFonts w:ascii="宋体"/>
              </w:rPr>
            </w:pPr>
          </w:p>
        </w:tc>
        <w:tc>
          <w:tcPr>
            <w:tcW w:w="0" w:type="auto"/>
            <w:gridSpan w:val="3"/>
            <w:shd w:val="clear" w:color="auto" w:fill="auto"/>
            <w:vAlign w:val="bottom"/>
          </w:tcPr>
          <w:p w14:paraId="392C3193" w14:textId="77777777" w:rsidR="00980E5F" w:rsidRDefault="00980E5F">
            <w:pPr>
              <w:rPr>
                <w:rFonts w:ascii="宋体"/>
                <w:vanish/>
              </w:rPr>
            </w:pPr>
          </w:p>
        </w:tc>
        <w:tc>
          <w:tcPr>
            <w:tcW w:w="0" w:type="auto"/>
            <w:gridSpan w:val="3"/>
            <w:shd w:val="clear" w:color="auto" w:fill="auto"/>
            <w:vAlign w:val="bottom"/>
          </w:tcPr>
          <w:p w14:paraId="392C3194" w14:textId="77777777" w:rsidR="00980E5F" w:rsidRDefault="00980E5F">
            <w:pPr>
              <w:rPr>
                <w:rFonts w:ascii="宋体"/>
                <w:vanish/>
              </w:rPr>
            </w:pPr>
          </w:p>
        </w:tc>
      </w:tr>
      <w:tr w:rsidR="00980E5F" w14:paraId="392C319E" w14:textId="77777777">
        <w:tc>
          <w:tcPr>
            <w:tcW w:w="0" w:type="auto"/>
            <w:gridSpan w:val="3"/>
            <w:shd w:val="clear" w:color="auto" w:fill="auto"/>
            <w:tcMar>
              <w:top w:w="0" w:type="dxa"/>
              <w:left w:w="20" w:type="dxa"/>
              <w:bottom w:w="0" w:type="dxa"/>
              <w:right w:w="20" w:type="dxa"/>
            </w:tcMar>
            <w:vAlign w:val="bottom"/>
          </w:tcPr>
          <w:p w14:paraId="392C319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3197" w14:textId="77777777" w:rsidR="00980E5F" w:rsidRDefault="00483613">
            <w:pPr>
              <w:jc w:val="center"/>
              <w:textAlignment w:val="bottom"/>
            </w:pPr>
            <w:r>
              <w:rPr>
                <w:rFonts w:ascii="Arial" w:eastAsia="宋体" w:hAnsi="Arial" w:cs="Arial"/>
                <w:b/>
                <w:bCs/>
                <w:color w:val="000000"/>
                <w:sz w:val="18"/>
                <w:szCs w:val="18"/>
              </w:rPr>
              <w:t>Six Months Ended June 30,</w:t>
            </w:r>
          </w:p>
        </w:tc>
        <w:tc>
          <w:tcPr>
            <w:tcW w:w="0" w:type="auto"/>
            <w:shd w:val="clear" w:color="auto" w:fill="auto"/>
            <w:vAlign w:val="bottom"/>
          </w:tcPr>
          <w:p w14:paraId="392C3198" w14:textId="77777777" w:rsidR="00980E5F" w:rsidRDefault="00980E5F">
            <w:pPr>
              <w:rPr>
                <w:rFonts w:ascii="宋体"/>
              </w:rPr>
            </w:pPr>
          </w:p>
        </w:tc>
        <w:tc>
          <w:tcPr>
            <w:tcW w:w="0" w:type="auto"/>
            <w:shd w:val="clear" w:color="auto" w:fill="auto"/>
            <w:vAlign w:val="bottom"/>
          </w:tcPr>
          <w:p w14:paraId="392C3199" w14:textId="77777777" w:rsidR="00980E5F" w:rsidRDefault="00980E5F">
            <w:pPr>
              <w:rPr>
                <w:rFonts w:ascii="宋体"/>
              </w:rPr>
            </w:pPr>
          </w:p>
        </w:tc>
        <w:tc>
          <w:tcPr>
            <w:tcW w:w="0" w:type="auto"/>
            <w:shd w:val="clear" w:color="auto" w:fill="auto"/>
            <w:vAlign w:val="bottom"/>
          </w:tcPr>
          <w:p w14:paraId="392C319A" w14:textId="77777777" w:rsidR="00980E5F" w:rsidRDefault="00980E5F">
            <w:pPr>
              <w:rPr>
                <w:rFonts w:ascii="宋体"/>
              </w:rPr>
            </w:pPr>
          </w:p>
        </w:tc>
        <w:tc>
          <w:tcPr>
            <w:tcW w:w="0" w:type="auto"/>
            <w:shd w:val="clear" w:color="auto" w:fill="auto"/>
            <w:vAlign w:val="bottom"/>
          </w:tcPr>
          <w:p w14:paraId="392C319B" w14:textId="77777777" w:rsidR="00980E5F" w:rsidRDefault="00980E5F">
            <w:pPr>
              <w:rPr>
                <w:rFonts w:ascii="宋体"/>
              </w:rPr>
            </w:pPr>
          </w:p>
        </w:tc>
        <w:tc>
          <w:tcPr>
            <w:tcW w:w="0" w:type="auto"/>
            <w:shd w:val="clear" w:color="auto" w:fill="auto"/>
            <w:vAlign w:val="bottom"/>
          </w:tcPr>
          <w:p w14:paraId="392C319C" w14:textId="77777777" w:rsidR="00980E5F" w:rsidRDefault="00980E5F">
            <w:pPr>
              <w:rPr>
                <w:rFonts w:ascii="宋体"/>
              </w:rPr>
            </w:pPr>
          </w:p>
        </w:tc>
        <w:tc>
          <w:tcPr>
            <w:tcW w:w="0" w:type="auto"/>
            <w:shd w:val="clear" w:color="auto" w:fill="auto"/>
            <w:vAlign w:val="bottom"/>
          </w:tcPr>
          <w:p w14:paraId="392C319D" w14:textId="77777777" w:rsidR="00980E5F" w:rsidRDefault="00980E5F">
            <w:pPr>
              <w:rPr>
                <w:rFonts w:ascii="宋体"/>
              </w:rPr>
            </w:pPr>
          </w:p>
        </w:tc>
      </w:tr>
      <w:tr w:rsidR="00980E5F" w14:paraId="392C31A5" w14:textId="77777777">
        <w:tc>
          <w:tcPr>
            <w:tcW w:w="0" w:type="auto"/>
            <w:gridSpan w:val="3"/>
            <w:shd w:val="clear" w:color="auto" w:fill="auto"/>
            <w:tcMar>
              <w:top w:w="40" w:type="dxa"/>
              <w:left w:w="20" w:type="dxa"/>
              <w:bottom w:w="40" w:type="dxa"/>
              <w:right w:w="20" w:type="dxa"/>
            </w:tcMar>
            <w:vAlign w:val="bottom"/>
          </w:tcPr>
          <w:p w14:paraId="392C319F" w14:textId="77777777" w:rsidR="00980E5F" w:rsidRDefault="00483613">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1A0" w14:textId="77777777" w:rsidR="00980E5F" w:rsidRDefault="00483613">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1A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1A2" w14:textId="77777777" w:rsidR="00980E5F" w:rsidRDefault="00483613">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392C31A3" w14:textId="77777777" w:rsidR="00980E5F" w:rsidRDefault="00980E5F">
            <w:pPr>
              <w:rPr>
                <w:rFonts w:ascii="宋体"/>
                <w:vanish/>
              </w:rPr>
            </w:pPr>
          </w:p>
        </w:tc>
        <w:tc>
          <w:tcPr>
            <w:tcW w:w="0" w:type="auto"/>
            <w:gridSpan w:val="3"/>
            <w:shd w:val="clear" w:color="auto" w:fill="auto"/>
            <w:vAlign w:val="bottom"/>
          </w:tcPr>
          <w:p w14:paraId="392C31A4" w14:textId="77777777" w:rsidR="00980E5F" w:rsidRDefault="00980E5F">
            <w:pPr>
              <w:rPr>
                <w:rFonts w:ascii="宋体"/>
                <w:vanish/>
              </w:rPr>
            </w:pPr>
          </w:p>
        </w:tc>
      </w:tr>
      <w:tr w:rsidR="00980E5F" w14:paraId="392C31B0" w14:textId="77777777">
        <w:tc>
          <w:tcPr>
            <w:tcW w:w="0" w:type="auto"/>
            <w:gridSpan w:val="3"/>
            <w:shd w:val="clear" w:color="auto" w:fill="CCEEFF"/>
            <w:tcMar>
              <w:top w:w="40" w:type="dxa"/>
              <w:left w:w="20" w:type="dxa"/>
              <w:bottom w:w="40" w:type="dxa"/>
              <w:right w:w="20" w:type="dxa"/>
            </w:tcMar>
            <w:vAlign w:val="bottom"/>
          </w:tcPr>
          <w:p w14:paraId="392C31A6" w14:textId="77777777" w:rsidR="00980E5F" w:rsidRDefault="00483613">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1A7"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A8" w14:textId="77777777" w:rsidR="00980E5F" w:rsidRDefault="00483613">
            <w:pPr>
              <w:jc w:val="right"/>
              <w:textAlignment w:val="bottom"/>
            </w:pPr>
            <w:r>
              <w:rPr>
                <w:rFonts w:ascii="Arial" w:eastAsia="宋体" w:hAnsi="Arial" w:cs="Arial"/>
                <w:b/>
                <w:bCs/>
                <w:color w:val="000000"/>
                <w:sz w:val="18"/>
                <w:szCs w:val="18"/>
              </w:rPr>
              <w:t>1,351</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A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1AB"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1AC" w14:textId="77777777" w:rsidR="00980E5F" w:rsidRDefault="00483613">
            <w:pPr>
              <w:jc w:val="right"/>
              <w:textAlignment w:val="bottom"/>
            </w:pPr>
            <w:r>
              <w:rPr>
                <w:rFonts w:ascii="Arial" w:eastAsia="宋体" w:hAnsi="Arial" w:cs="Arial"/>
                <w:color w:val="000000"/>
                <w:sz w:val="18"/>
                <w:szCs w:val="18"/>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1AD" w14:textId="77777777" w:rsidR="00980E5F" w:rsidRDefault="00980E5F">
            <w:pPr>
              <w:jc w:val="right"/>
              <w:rPr>
                <w:rFonts w:ascii="宋体"/>
              </w:rPr>
            </w:pPr>
          </w:p>
        </w:tc>
        <w:tc>
          <w:tcPr>
            <w:tcW w:w="0" w:type="auto"/>
            <w:gridSpan w:val="3"/>
            <w:shd w:val="clear" w:color="auto" w:fill="auto"/>
            <w:vAlign w:val="bottom"/>
          </w:tcPr>
          <w:p w14:paraId="392C31AE" w14:textId="77777777" w:rsidR="00980E5F" w:rsidRDefault="00980E5F">
            <w:pPr>
              <w:rPr>
                <w:rFonts w:ascii="宋体"/>
                <w:vanish/>
              </w:rPr>
            </w:pPr>
          </w:p>
        </w:tc>
        <w:tc>
          <w:tcPr>
            <w:tcW w:w="0" w:type="auto"/>
            <w:gridSpan w:val="3"/>
            <w:shd w:val="clear" w:color="auto" w:fill="auto"/>
            <w:vAlign w:val="bottom"/>
          </w:tcPr>
          <w:p w14:paraId="392C31AF" w14:textId="77777777" w:rsidR="00980E5F" w:rsidRDefault="00980E5F">
            <w:pPr>
              <w:rPr>
                <w:rFonts w:ascii="宋体"/>
                <w:vanish/>
              </w:rPr>
            </w:pPr>
          </w:p>
        </w:tc>
      </w:tr>
      <w:tr w:rsidR="00980E5F" w14:paraId="392C31B7" w14:textId="77777777">
        <w:tc>
          <w:tcPr>
            <w:tcW w:w="0" w:type="auto"/>
            <w:gridSpan w:val="3"/>
            <w:shd w:val="clear" w:color="auto" w:fill="FFFFFF"/>
            <w:tcMar>
              <w:top w:w="40" w:type="dxa"/>
              <w:left w:w="20" w:type="dxa"/>
              <w:bottom w:w="40" w:type="dxa"/>
              <w:right w:w="20" w:type="dxa"/>
            </w:tcMar>
            <w:vAlign w:val="bottom"/>
          </w:tcPr>
          <w:p w14:paraId="392C31B1" w14:textId="77777777" w:rsidR="00980E5F" w:rsidRDefault="00483613">
            <w:pPr>
              <w:textAlignment w:val="bottom"/>
            </w:pPr>
            <w:r>
              <w:rPr>
                <w:rFonts w:ascii="Arial" w:eastAsia="宋体" w:hAnsi="Arial" w:cs="Arial"/>
                <w:b/>
                <w:bCs/>
                <w:color w:val="000000"/>
                <w:sz w:val="18"/>
                <w:szCs w:val="18"/>
              </w:rPr>
              <w:t xml:space="preserve">Other </w:t>
            </w:r>
            <w:r>
              <w:rPr>
                <w:rFonts w:ascii="Arial" w:eastAsia="宋体" w:hAnsi="Arial" w:cs="Arial"/>
                <w:b/>
                <w:bCs/>
                <w:color w:val="000000"/>
                <w:sz w:val="18"/>
                <w:szCs w:val="18"/>
              </w:rPr>
              <w:t>comprehensive income (loss), net of related taxes:</w:t>
            </w:r>
          </w:p>
        </w:tc>
        <w:tc>
          <w:tcPr>
            <w:tcW w:w="0" w:type="auto"/>
            <w:gridSpan w:val="3"/>
            <w:shd w:val="clear" w:color="auto" w:fill="FFFFFF"/>
            <w:tcMar>
              <w:top w:w="0" w:type="dxa"/>
              <w:left w:w="20" w:type="dxa"/>
              <w:bottom w:w="0" w:type="dxa"/>
              <w:right w:w="20" w:type="dxa"/>
            </w:tcMar>
            <w:vAlign w:val="bottom"/>
          </w:tcPr>
          <w:p w14:paraId="392C31B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1B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1B4" w14:textId="77777777" w:rsidR="00980E5F" w:rsidRDefault="00980E5F">
            <w:pPr>
              <w:rPr>
                <w:rFonts w:ascii="宋体"/>
              </w:rPr>
            </w:pPr>
          </w:p>
        </w:tc>
        <w:tc>
          <w:tcPr>
            <w:tcW w:w="0" w:type="auto"/>
            <w:gridSpan w:val="3"/>
            <w:shd w:val="clear" w:color="auto" w:fill="auto"/>
            <w:vAlign w:val="bottom"/>
          </w:tcPr>
          <w:p w14:paraId="392C31B5" w14:textId="77777777" w:rsidR="00980E5F" w:rsidRDefault="00980E5F">
            <w:pPr>
              <w:rPr>
                <w:rFonts w:ascii="宋体"/>
                <w:vanish/>
              </w:rPr>
            </w:pPr>
          </w:p>
        </w:tc>
        <w:tc>
          <w:tcPr>
            <w:tcW w:w="0" w:type="auto"/>
            <w:gridSpan w:val="3"/>
            <w:shd w:val="clear" w:color="auto" w:fill="auto"/>
            <w:vAlign w:val="bottom"/>
          </w:tcPr>
          <w:p w14:paraId="392C31B6" w14:textId="77777777" w:rsidR="00980E5F" w:rsidRDefault="00980E5F">
            <w:pPr>
              <w:rPr>
                <w:rFonts w:ascii="宋体"/>
                <w:vanish/>
              </w:rPr>
            </w:pPr>
          </w:p>
        </w:tc>
      </w:tr>
      <w:tr w:rsidR="00980E5F" w14:paraId="392C31C0" w14:textId="77777777">
        <w:tc>
          <w:tcPr>
            <w:tcW w:w="0" w:type="auto"/>
            <w:gridSpan w:val="3"/>
            <w:shd w:val="clear" w:color="auto" w:fill="CCEEFF"/>
            <w:tcMar>
              <w:top w:w="40" w:type="dxa"/>
              <w:left w:w="20" w:type="dxa"/>
              <w:bottom w:w="40" w:type="dxa"/>
              <w:right w:w="20" w:type="dxa"/>
            </w:tcMar>
            <w:vAlign w:val="bottom"/>
          </w:tcPr>
          <w:p w14:paraId="392C31B8" w14:textId="77777777" w:rsidR="00980E5F" w:rsidRDefault="00483613">
            <w:pPr>
              <w:jc w:val="both"/>
              <w:textAlignment w:val="bottom"/>
            </w:pPr>
            <w:r>
              <w:rPr>
                <w:rFonts w:ascii="Arial" w:eastAsia="宋体" w:hAnsi="Arial" w:cs="Arial"/>
                <w:color w:val="000000"/>
                <w:sz w:val="18"/>
                <w:szCs w:val="18"/>
              </w:rPr>
              <w:t>Foreign currency translation, net of related taxes of $63 and $45, respectively</w:t>
            </w:r>
          </w:p>
        </w:tc>
        <w:tc>
          <w:tcPr>
            <w:tcW w:w="0" w:type="auto"/>
            <w:gridSpan w:val="2"/>
            <w:shd w:val="clear" w:color="auto" w:fill="CCEEFF"/>
            <w:tcMar>
              <w:top w:w="40" w:type="dxa"/>
              <w:left w:w="20" w:type="dxa"/>
              <w:bottom w:w="40" w:type="dxa"/>
              <w:right w:w="0" w:type="dxa"/>
            </w:tcMar>
            <w:vAlign w:val="bottom"/>
          </w:tcPr>
          <w:p w14:paraId="392C31B9" w14:textId="77777777" w:rsidR="00980E5F" w:rsidRDefault="00483613">
            <w:pPr>
              <w:jc w:val="right"/>
              <w:textAlignment w:val="bottom"/>
            </w:pPr>
            <w:r>
              <w:rPr>
                <w:rFonts w:ascii="Arial" w:eastAsia="宋体" w:hAnsi="Arial" w:cs="Arial"/>
                <w:b/>
                <w:bCs/>
                <w:color w:val="000000"/>
                <w:sz w:val="18"/>
                <w:szCs w:val="18"/>
              </w:rPr>
              <w:t>(544)</w:t>
            </w:r>
          </w:p>
        </w:tc>
        <w:tc>
          <w:tcPr>
            <w:tcW w:w="0" w:type="auto"/>
            <w:shd w:val="clear" w:color="auto" w:fill="CCEEFF"/>
            <w:tcMar>
              <w:top w:w="40" w:type="dxa"/>
              <w:left w:w="0" w:type="dxa"/>
              <w:bottom w:w="40" w:type="dxa"/>
              <w:right w:w="20" w:type="dxa"/>
            </w:tcMar>
            <w:vAlign w:val="bottom"/>
          </w:tcPr>
          <w:p w14:paraId="392C31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BC" w14:textId="77777777" w:rsidR="00980E5F" w:rsidRDefault="00483613">
            <w:pPr>
              <w:jc w:val="right"/>
              <w:textAlignment w:val="bottom"/>
            </w:pPr>
            <w:r>
              <w:rPr>
                <w:rFonts w:ascii="Arial" w:eastAsia="宋体" w:hAnsi="Arial" w:cs="Arial"/>
                <w:color w:val="000000"/>
                <w:sz w:val="18"/>
                <w:szCs w:val="18"/>
              </w:rPr>
              <w:t>(151)</w:t>
            </w:r>
          </w:p>
        </w:tc>
        <w:tc>
          <w:tcPr>
            <w:tcW w:w="0" w:type="auto"/>
            <w:shd w:val="clear" w:color="auto" w:fill="CCEEFF"/>
            <w:tcMar>
              <w:top w:w="40" w:type="dxa"/>
              <w:left w:w="0" w:type="dxa"/>
              <w:bottom w:w="40" w:type="dxa"/>
              <w:right w:w="20" w:type="dxa"/>
            </w:tcMar>
            <w:vAlign w:val="bottom"/>
          </w:tcPr>
          <w:p w14:paraId="392C31BD" w14:textId="77777777" w:rsidR="00980E5F" w:rsidRDefault="00980E5F">
            <w:pPr>
              <w:jc w:val="right"/>
              <w:rPr>
                <w:rFonts w:ascii="宋体"/>
              </w:rPr>
            </w:pPr>
          </w:p>
        </w:tc>
        <w:tc>
          <w:tcPr>
            <w:tcW w:w="0" w:type="auto"/>
            <w:gridSpan w:val="3"/>
            <w:shd w:val="clear" w:color="auto" w:fill="auto"/>
            <w:vAlign w:val="bottom"/>
          </w:tcPr>
          <w:p w14:paraId="392C31BE" w14:textId="77777777" w:rsidR="00980E5F" w:rsidRDefault="00980E5F">
            <w:pPr>
              <w:rPr>
                <w:rFonts w:ascii="宋体"/>
                <w:vanish/>
              </w:rPr>
            </w:pPr>
          </w:p>
        </w:tc>
        <w:tc>
          <w:tcPr>
            <w:tcW w:w="0" w:type="auto"/>
            <w:gridSpan w:val="3"/>
            <w:shd w:val="clear" w:color="auto" w:fill="auto"/>
            <w:vAlign w:val="bottom"/>
          </w:tcPr>
          <w:p w14:paraId="392C31BF" w14:textId="77777777" w:rsidR="00980E5F" w:rsidRDefault="00980E5F">
            <w:pPr>
              <w:rPr>
                <w:rFonts w:ascii="宋体"/>
                <w:vanish/>
              </w:rPr>
            </w:pPr>
          </w:p>
        </w:tc>
      </w:tr>
      <w:tr w:rsidR="00980E5F" w14:paraId="392C31C9" w14:textId="77777777">
        <w:tc>
          <w:tcPr>
            <w:tcW w:w="0" w:type="auto"/>
            <w:gridSpan w:val="3"/>
            <w:shd w:val="clear" w:color="auto" w:fill="FFFFFF"/>
            <w:tcMar>
              <w:top w:w="40" w:type="dxa"/>
              <w:left w:w="20" w:type="dxa"/>
              <w:bottom w:w="40" w:type="dxa"/>
              <w:right w:w="20" w:type="dxa"/>
            </w:tcMar>
            <w:vAlign w:val="bottom"/>
          </w:tcPr>
          <w:p w14:paraId="392C31C1" w14:textId="77777777" w:rsidR="00980E5F" w:rsidRDefault="00483613">
            <w:pPr>
              <w:jc w:val="both"/>
              <w:textAlignment w:val="bottom"/>
            </w:pPr>
            <w:r>
              <w:rPr>
                <w:rFonts w:ascii="Arial" w:eastAsia="宋体" w:hAnsi="Arial" w:cs="Arial"/>
                <w:color w:val="000000"/>
                <w:sz w:val="18"/>
                <w:szCs w:val="18"/>
              </w:rPr>
              <w:t xml:space="preserve">Net unrealized losses on available-for-sale securities, net of reclassification adjustment and net </w:t>
            </w:r>
            <w:r>
              <w:rPr>
                <w:rFonts w:ascii="Arial" w:eastAsia="宋体" w:hAnsi="Arial" w:cs="Arial"/>
                <w:color w:val="000000"/>
                <w:sz w:val="18"/>
                <w:szCs w:val="18"/>
              </w:rPr>
              <w:t>of related taxes of ($764) and ($175), respectively</w:t>
            </w:r>
          </w:p>
        </w:tc>
        <w:tc>
          <w:tcPr>
            <w:tcW w:w="0" w:type="auto"/>
            <w:gridSpan w:val="2"/>
            <w:shd w:val="clear" w:color="auto" w:fill="FFFFFF"/>
            <w:tcMar>
              <w:top w:w="40" w:type="dxa"/>
              <w:left w:w="20" w:type="dxa"/>
              <w:bottom w:w="40" w:type="dxa"/>
              <w:right w:w="0" w:type="dxa"/>
            </w:tcMar>
            <w:vAlign w:val="bottom"/>
          </w:tcPr>
          <w:p w14:paraId="392C31C2" w14:textId="77777777" w:rsidR="00980E5F" w:rsidRDefault="00483613">
            <w:pPr>
              <w:jc w:val="right"/>
              <w:textAlignment w:val="bottom"/>
            </w:pPr>
            <w:r>
              <w:rPr>
                <w:rFonts w:ascii="Arial" w:eastAsia="宋体" w:hAnsi="Arial" w:cs="Arial"/>
                <w:b/>
                <w:bCs/>
                <w:color w:val="000000"/>
                <w:sz w:val="18"/>
                <w:szCs w:val="18"/>
              </w:rPr>
              <w:t>(2,063)</w:t>
            </w:r>
          </w:p>
        </w:tc>
        <w:tc>
          <w:tcPr>
            <w:tcW w:w="0" w:type="auto"/>
            <w:shd w:val="clear" w:color="auto" w:fill="FFFFFF"/>
            <w:tcMar>
              <w:top w:w="40" w:type="dxa"/>
              <w:left w:w="0" w:type="dxa"/>
              <w:bottom w:w="40" w:type="dxa"/>
              <w:right w:w="20" w:type="dxa"/>
            </w:tcMar>
            <w:vAlign w:val="bottom"/>
          </w:tcPr>
          <w:p w14:paraId="392C31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1C5" w14:textId="77777777" w:rsidR="00980E5F" w:rsidRDefault="00483613">
            <w:pPr>
              <w:jc w:val="right"/>
              <w:textAlignment w:val="bottom"/>
            </w:pPr>
            <w:r>
              <w:rPr>
                <w:rFonts w:ascii="Arial" w:eastAsia="宋体" w:hAnsi="Arial" w:cs="Arial"/>
                <w:color w:val="000000"/>
                <w:sz w:val="18"/>
                <w:szCs w:val="18"/>
              </w:rPr>
              <w:t>(460)</w:t>
            </w:r>
          </w:p>
        </w:tc>
        <w:tc>
          <w:tcPr>
            <w:tcW w:w="0" w:type="auto"/>
            <w:shd w:val="clear" w:color="auto" w:fill="FFFFFF"/>
            <w:tcMar>
              <w:top w:w="40" w:type="dxa"/>
              <w:left w:w="0" w:type="dxa"/>
              <w:bottom w:w="40" w:type="dxa"/>
              <w:right w:w="20" w:type="dxa"/>
            </w:tcMar>
            <w:vAlign w:val="bottom"/>
          </w:tcPr>
          <w:p w14:paraId="392C31C6" w14:textId="77777777" w:rsidR="00980E5F" w:rsidRDefault="00980E5F">
            <w:pPr>
              <w:jc w:val="right"/>
              <w:rPr>
                <w:rFonts w:ascii="宋体"/>
              </w:rPr>
            </w:pPr>
          </w:p>
        </w:tc>
        <w:tc>
          <w:tcPr>
            <w:tcW w:w="0" w:type="auto"/>
            <w:gridSpan w:val="3"/>
            <w:shd w:val="clear" w:color="auto" w:fill="auto"/>
            <w:vAlign w:val="bottom"/>
          </w:tcPr>
          <w:p w14:paraId="392C31C7" w14:textId="77777777" w:rsidR="00980E5F" w:rsidRDefault="00980E5F">
            <w:pPr>
              <w:rPr>
                <w:rFonts w:ascii="宋体"/>
                <w:vanish/>
              </w:rPr>
            </w:pPr>
          </w:p>
        </w:tc>
        <w:tc>
          <w:tcPr>
            <w:tcW w:w="0" w:type="auto"/>
            <w:gridSpan w:val="3"/>
            <w:shd w:val="clear" w:color="auto" w:fill="auto"/>
            <w:vAlign w:val="bottom"/>
          </w:tcPr>
          <w:p w14:paraId="392C31C8" w14:textId="77777777" w:rsidR="00980E5F" w:rsidRDefault="00980E5F">
            <w:pPr>
              <w:rPr>
                <w:rFonts w:ascii="宋体"/>
                <w:vanish/>
              </w:rPr>
            </w:pPr>
          </w:p>
        </w:tc>
      </w:tr>
      <w:tr w:rsidR="00980E5F" w14:paraId="392C31D2" w14:textId="77777777">
        <w:tc>
          <w:tcPr>
            <w:tcW w:w="0" w:type="auto"/>
            <w:gridSpan w:val="3"/>
            <w:shd w:val="clear" w:color="auto" w:fill="CCEEFF"/>
            <w:tcMar>
              <w:top w:w="40" w:type="dxa"/>
              <w:left w:w="20" w:type="dxa"/>
              <w:bottom w:w="40" w:type="dxa"/>
              <w:right w:w="20" w:type="dxa"/>
            </w:tcMar>
            <w:vAlign w:val="bottom"/>
          </w:tcPr>
          <w:p w14:paraId="392C31CA" w14:textId="77777777" w:rsidR="00980E5F" w:rsidRDefault="00483613">
            <w:pPr>
              <w:jc w:val="both"/>
              <w:textAlignment w:val="bottom"/>
            </w:pPr>
            <w:r>
              <w:rPr>
                <w:rFonts w:ascii="Arial" w:eastAsia="宋体" w:hAnsi="Arial" w:cs="Arial"/>
                <w:color w:val="000000"/>
                <w:sz w:val="18"/>
                <w:szCs w:val="18"/>
              </w:rPr>
              <w:t>Net unrealized gains (losses) on available-for-sale securities designated in fair value hedges, net of related taxes of $99 and ($1), respectively</w:t>
            </w:r>
          </w:p>
        </w:tc>
        <w:tc>
          <w:tcPr>
            <w:tcW w:w="0" w:type="auto"/>
            <w:gridSpan w:val="2"/>
            <w:shd w:val="clear" w:color="auto" w:fill="CCEEFF"/>
            <w:tcMar>
              <w:top w:w="40" w:type="dxa"/>
              <w:left w:w="20" w:type="dxa"/>
              <w:bottom w:w="40" w:type="dxa"/>
              <w:right w:w="0" w:type="dxa"/>
            </w:tcMar>
            <w:vAlign w:val="bottom"/>
          </w:tcPr>
          <w:p w14:paraId="392C31CB" w14:textId="77777777" w:rsidR="00980E5F" w:rsidRDefault="00483613">
            <w:pPr>
              <w:jc w:val="right"/>
              <w:textAlignment w:val="bottom"/>
            </w:pPr>
            <w:r>
              <w:rPr>
                <w:rFonts w:ascii="Arial" w:eastAsia="宋体" w:hAnsi="Arial" w:cs="Arial"/>
                <w:b/>
                <w:bCs/>
                <w:color w:val="000000"/>
                <w:sz w:val="18"/>
                <w:szCs w:val="18"/>
              </w:rPr>
              <w:t>270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1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CE" w14:textId="77777777" w:rsidR="00980E5F" w:rsidRDefault="00483613">
            <w:pPr>
              <w:jc w:val="right"/>
              <w:textAlignment w:val="bottom"/>
            </w:pPr>
            <w:r>
              <w:rPr>
                <w:rFonts w:ascii="Arial" w:eastAsia="宋体" w:hAnsi="Arial" w:cs="Arial"/>
                <w:color w:val="000000"/>
                <w:sz w:val="18"/>
                <w:szCs w:val="18"/>
              </w:rPr>
              <w:t>(4)</w:t>
            </w:r>
          </w:p>
        </w:tc>
        <w:tc>
          <w:tcPr>
            <w:tcW w:w="0" w:type="auto"/>
            <w:shd w:val="clear" w:color="auto" w:fill="CCEEFF"/>
            <w:tcMar>
              <w:top w:w="40" w:type="dxa"/>
              <w:left w:w="0" w:type="dxa"/>
              <w:bottom w:w="40" w:type="dxa"/>
              <w:right w:w="20" w:type="dxa"/>
            </w:tcMar>
            <w:vAlign w:val="bottom"/>
          </w:tcPr>
          <w:p w14:paraId="392C31CF" w14:textId="77777777" w:rsidR="00980E5F" w:rsidRDefault="00980E5F">
            <w:pPr>
              <w:jc w:val="right"/>
              <w:rPr>
                <w:rFonts w:ascii="宋体"/>
              </w:rPr>
            </w:pPr>
          </w:p>
        </w:tc>
        <w:tc>
          <w:tcPr>
            <w:tcW w:w="0" w:type="auto"/>
            <w:gridSpan w:val="3"/>
            <w:shd w:val="clear" w:color="auto" w:fill="auto"/>
            <w:vAlign w:val="bottom"/>
          </w:tcPr>
          <w:p w14:paraId="392C31D0" w14:textId="77777777" w:rsidR="00980E5F" w:rsidRDefault="00980E5F">
            <w:pPr>
              <w:rPr>
                <w:rFonts w:ascii="宋体"/>
                <w:vanish/>
              </w:rPr>
            </w:pPr>
          </w:p>
        </w:tc>
        <w:tc>
          <w:tcPr>
            <w:tcW w:w="0" w:type="auto"/>
            <w:gridSpan w:val="3"/>
            <w:shd w:val="clear" w:color="auto" w:fill="auto"/>
            <w:vAlign w:val="bottom"/>
          </w:tcPr>
          <w:p w14:paraId="392C31D1" w14:textId="77777777" w:rsidR="00980E5F" w:rsidRDefault="00980E5F">
            <w:pPr>
              <w:rPr>
                <w:rFonts w:ascii="宋体"/>
                <w:vanish/>
              </w:rPr>
            </w:pPr>
          </w:p>
        </w:tc>
      </w:tr>
      <w:tr w:rsidR="00980E5F" w14:paraId="392C31D9" w14:textId="77777777">
        <w:trPr>
          <w:hidden/>
        </w:trPr>
        <w:tc>
          <w:tcPr>
            <w:tcW w:w="0" w:type="auto"/>
            <w:gridSpan w:val="3"/>
            <w:shd w:val="clear" w:color="auto" w:fill="auto"/>
            <w:vAlign w:val="bottom"/>
          </w:tcPr>
          <w:p w14:paraId="392C31D3" w14:textId="77777777" w:rsidR="00980E5F" w:rsidRDefault="00980E5F">
            <w:pPr>
              <w:rPr>
                <w:rFonts w:ascii="宋体"/>
                <w:vanish/>
              </w:rPr>
            </w:pPr>
          </w:p>
        </w:tc>
        <w:tc>
          <w:tcPr>
            <w:tcW w:w="0" w:type="auto"/>
            <w:gridSpan w:val="3"/>
            <w:shd w:val="clear" w:color="auto" w:fill="auto"/>
            <w:vAlign w:val="bottom"/>
          </w:tcPr>
          <w:p w14:paraId="392C31D4" w14:textId="77777777" w:rsidR="00980E5F" w:rsidRDefault="00980E5F">
            <w:pPr>
              <w:rPr>
                <w:rFonts w:ascii="宋体"/>
                <w:vanish/>
              </w:rPr>
            </w:pPr>
          </w:p>
        </w:tc>
        <w:tc>
          <w:tcPr>
            <w:tcW w:w="0" w:type="auto"/>
            <w:gridSpan w:val="3"/>
            <w:shd w:val="clear" w:color="auto" w:fill="auto"/>
            <w:vAlign w:val="bottom"/>
          </w:tcPr>
          <w:p w14:paraId="392C31D5" w14:textId="77777777" w:rsidR="00980E5F" w:rsidRDefault="00980E5F">
            <w:pPr>
              <w:rPr>
                <w:rFonts w:ascii="宋体"/>
                <w:vanish/>
              </w:rPr>
            </w:pPr>
          </w:p>
        </w:tc>
        <w:tc>
          <w:tcPr>
            <w:tcW w:w="0" w:type="auto"/>
            <w:gridSpan w:val="3"/>
            <w:shd w:val="clear" w:color="auto" w:fill="auto"/>
            <w:vAlign w:val="bottom"/>
          </w:tcPr>
          <w:p w14:paraId="392C31D6" w14:textId="77777777" w:rsidR="00980E5F" w:rsidRDefault="00980E5F">
            <w:pPr>
              <w:rPr>
                <w:rFonts w:ascii="宋体"/>
                <w:vanish/>
              </w:rPr>
            </w:pPr>
          </w:p>
        </w:tc>
        <w:tc>
          <w:tcPr>
            <w:tcW w:w="0" w:type="auto"/>
            <w:gridSpan w:val="3"/>
            <w:shd w:val="clear" w:color="auto" w:fill="auto"/>
            <w:vAlign w:val="bottom"/>
          </w:tcPr>
          <w:p w14:paraId="392C31D7" w14:textId="77777777" w:rsidR="00980E5F" w:rsidRDefault="00980E5F">
            <w:pPr>
              <w:rPr>
                <w:rFonts w:ascii="宋体"/>
                <w:vanish/>
              </w:rPr>
            </w:pPr>
          </w:p>
        </w:tc>
        <w:tc>
          <w:tcPr>
            <w:tcW w:w="0" w:type="auto"/>
            <w:gridSpan w:val="3"/>
            <w:shd w:val="clear" w:color="auto" w:fill="auto"/>
            <w:vAlign w:val="bottom"/>
          </w:tcPr>
          <w:p w14:paraId="392C31D8" w14:textId="77777777" w:rsidR="00980E5F" w:rsidRDefault="00980E5F">
            <w:pPr>
              <w:rPr>
                <w:rFonts w:ascii="宋体"/>
                <w:vanish/>
              </w:rPr>
            </w:pPr>
          </w:p>
        </w:tc>
      </w:tr>
      <w:tr w:rsidR="00980E5F" w14:paraId="392C31E2" w14:textId="77777777">
        <w:tc>
          <w:tcPr>
            <w:tcW w:w="0" w:type="auto"/>
            <w:gridSpan w:val="3"/>
            <w:shd w:val="clear" w:color="auto" w:fill="FFFFFF"/>
            <w:tcMar>
              <w:top w:w="40" w:type="dxa"/>
              <w:left w:w="20" w:type="dxa"/>
              <w:bottom w:w="40" w:type="dxa"/>
              <w:right w:w="20" w:type="dxa"/>
            </w:tcMar>
            <w:vAlign w:val="bottom"/>
          </w:tcPr>
          <w:p w14:paraId="392C31DA" w14:textId="77777777" w:rsidR="00980E5F" w:rsidRDefault="00483613">
            <w:pPr>
              <w:jc w:val="both"/>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unrealized losses on cash flow hedges, net of related taxes of ($89) and ($4), respectively</w:t>
            </w:r>
          </w:p>
        </w:tc>
        <w:tc>
          <w:tcPr>
            <w:tcW w:w="0" w:type="auto"/>
            <w:gridSpan w:val="2"/>
            <w:shd w:val="clear" w:color="auto" w:fill="FFFFFF"/>
            <w:tcMar>
              <w:top w:w="40" w:type="dxa"/>
              <w:left w:w="20" w:type="dxa"/>
              <w:bottom w:w="40" w:type="dxa"/>
              <w:right w:w="0" w:type="dxa"/>
            </w:tcMar>
            <w:vAlign w:val="bottom"/>
          </w:tcPr>
          <w:p w14:paraId="392C31DB" w14:textId="77777777" w:rsidR="00980E5F" w:rsidRDefault="00483613">
            <w:pPr>
              <w:jc w:val="right"/>
              <w:textAlignment w:val="bottom"/>
            </w:pPr>
            <w:r>
              <w:rPr>
                <w:rFonts w:ascii="Arial" w:eastAsia="宋体" w:hAnsi="Arial" w:cs="Arial"/>
                <w:b/>
                <w:bCs/>
                <w:color w:val="000000"/>
                <w:sz w:val="18"/>
                <w:szCs w:val="18"/>
              </w:rPr>
              <w:t>(234)</w:t>
            </w:r>
          </w:p>
        </w:tc>
        <w:tc>
          <w:tcPr>
            <w:tcW w:w="0" w:type="auto"/>
            <w:shd w:val="clear" w:color="auto" w:fill="FFFFFF"/>
            <w:tcMar>
              <w:top w:w="40" w:type="dxa"/>
              <w:left w:w="0" w:type="dxa"/>
              <w:bottom w:w="40" w:type="dxa"/>
              <w:right w:w="20" w:type="dxa"/>
            </w:tcMar>
            <w:vAlign w:val="bottom"/>
          </w:tcPr>
          <w:p w14:paraId="392C31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1DE" w14:textId="77777777" w:rsidR="00980E5F" w:rsidRDefault="00483613">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392C31DF" w14:textId="77777777" w:rsidR="00980E5F" w:rsidRDefault="00980E5F">
            <w:pPr>
              <w:jc w:val="right"/>
              <w:rPr>
                <w:rFonts w:ascii="宋体"/>
              </w:rPr>
            </w:pPr>
          </w:p>
        </w:tc>
        <w:tc>
          <w:tcPr>
            <w:tcW w:w="0" w:type="auto"/>
            <w:gridSpan w:val="3"/>
            <w:shd w:val="clear" w:color="auto" w:fill="auto"/>
            <w:vAlign w:val="bottom"/>
          </w:tcPr>
          <w:p w14:paraId="392C31E0" w14:textId="77777777" w:rsidR="00980E5F" w:rsidRDefault="00980E5F">
            <w:pPr>
              <w:rPr>
                <w:rFonts w:ascii="宋体"/>
                <w:vanish/>
              </w:rPr>
            </w:pPr>
          </w:p>
        </w:tc>
        <w:tc>
          <w:tcPr>
            <w:tcW w:w="0" w:type="auto"/>
            <w:gridSpan w:val="3"/>
            <w:shd w:val="clear" w:color="auto" w:fill="auto"/>
            <w:vAlign w:val="bottom"/>
          </w:tcPr>
          <w:p w14:paraId="392C31E1" w14:textId="77777777" w:rsidR="00980E5F" w:rsidRDefault="00980E5F">
            <w:pPr>
              <w:rPr>
                <w:rFonts w:ascii="宋体"/>
                <w:vanish/>
              </w:rPr>
            </w:pPr>
          </w:p>
        </w:tc>
      </w:tr>
      <w:tr w:rsidR="00980E5F" w14:paraId="392C31EB" w14:textId="77777777">
        <w:tc>
          <w:tcPr>
            <w:tcW w:w="0" w:type="auto"/>
            <w:gridSpan w:val="3"/>
            <w:shd w:val="clear" w:color="auto" w:fill="CCEEFF"/>
            <w:tcMar>
              <w:top w:w="40" w:type="dxa"/>
              <w:left w:w="20" w:type="dxa"/>
              <w:bottom w:w="40" w:type="dxa"/>
              <w:right w:w="20" w:type="dxa"/>
            </w:tcMar>
            <w:vAlign w:val="bottom"/>
          </w:tcPr>
          <w:p w14:paraId="392C31E3" w14:textId="77777777" w:rsidR="00980E5F" w:rsidRDefault="00483613">
            <w:pPr>
              <w:jc w:val="both"/>
              <w:textAlignment w:val="bottom"/>
            </w:pPr>
            <w:r>
              <w:rPr>
                <w:rFonts w:ascii="Arial" w:eastAsia="宋体" w:hAnsi="Arial" w:cs="Arial"/>
                <w:color w:val="000000"/>
                <w:sz w:val="18"/>
                <w:szCs w:val="18"/>
              </w:rPr>
              <w:t>Net unrealized gains on retirement plans, net of related taxes of $7 and $4, respectively</w:t>
            </w:r>
          </w:p>
        </w:tc>
        <w:tc>
          <w:tcPr>
            <w:tcW w:w="0" w:type="auto"/>
            <w:gridSpan w:val="2"/>
            <w:shd w:val="clear" w:color="auto" w:fill="CCEEFF"/>
            <w:tcMar>
              <w:top w:w="40" w:type="dxa"/>
              <w:left w:w="20" w:type="dxa"/>
              <w:bottom w:w="40" w:type="dxa"/>
              <w:right w:w="0" w:type="dxa"/>
            </w:tcMar>
            <w:vAlign w:val="bottom"/>
          </w:tcPr>
          <w:p w14:paraId="392C31E4" w14:textId="77777777" w:rsidR="00980E5F" w:rsidRDefault="00483613">
            <w:pPr>
              <w:jc w:val="right"/>
              <w:textAlignment w:val="bottom"/>
            </w:pPr>
            <w:r>
              <w:rPr>
                <w:rFonts w:ascii="Arial" w:eastAsia="宋体" w:hAnsi="Arial" w:cs="Arial"/>
                <w:b/>
                <w:bCs/>
                <w:color w:val="000000"/>
                <w:sz w:val="18"/>
                <w:szCs w:val="18"/>
              </w:rPr>
              <w:t>17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1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E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1E7" w14:textId="77777777" w:rsidR="00980E5F" w:rsidRDefault="00483613">
            <w:pPr>
              <w:jc w:val="right"/>
              <w:textAlignment w:val="bottom"/>
            </w:pPr>
            <w:r>
              <w:rPr>
                <w:rFonts w:ascii="Arial" w:eastAsia="宋体" w:hAnsi="Arial" w:cs="Arial"/>
                <w:color w:val="000000"/>
                <w:sz w:val="18"/>
                <w:szCs w:val="18"/>
              </w:rPr>
              <w:t>10 </w:t>
            </w:r>
          </w:p>
        </w:tc>
        <w:tc>
          <w:tcPr>
            <w:tcW w:w="0" w:type="auto"/>
            <w:shd w:val="clear" w:color="auto" w:fill="CCEEFF"/>
            <w:tcMar>
              <w:top w:w="40" w:type="dxa"/>
              <w:left w:w="0" w:type="dxa"/>
              <w:bottom w:w="40" w:type="dxa"/>
              <w:right w:w="20" w:type="dxa"/>
            </w:tcMar>
            <w:vAlign w:val="bottom"/>
          </w:tcPr>
          <w:p w14:paraId="392C31E8" w14:textId="77777777" w:rsidR="00980E5F" w:rsidRDefault="00980E5F">
            <w:pPr>
              <w:jc w:val="right"/>
              <w:rPr>
                <w:rFonts w:ascii="宋体"/>
              </w:rPr>
            </w:pPr>
          </w:p>
        </w:tc>
        <w:tc>
          <w:tcPr>
            <w:tcW w:w="0" w:type="auto"/>
            <w:gridSpan w:val="3"/>
            <w:shd w:val="clear" w:color="auto" w:fill="auto"/>
            <w:vAlign w:val="bottom"/>
          </w:tcPr>
          <w:p w14:paraId="392C31E9" w14:textId="77777777" w:rsidR="00980E5F" w:rsidRDefault="00980E5F">
            <w:pPr>
              <w:rPr>
                <w:rFonts w:ascii="宋体"/>
                <w:vanish/>
              </w:rPr>
            </w:pPr>
          </w:p>
        </w:tc>
        <w:tc>
          <w:tcPr>
            <w:tcW w:w="0" w:type="auto"/>
            <w:gridSpan w:val="3"/>
            <w:shd w:val="clear" w:color="auto" w:fill="auto"/>
            <w:vAlign w:val="bottom"/>
          </w:tcPr>
          <w:p w14:paraId="392C31EA" w14:textId="77777777" w:rsidR="00980E5F" w:rsidRDefault="00980E5F">
            <w:pPr>
              <w:rPr>
                <w:rFonts w:ascii="宋体"/>
                <w:vanish/>
              </w:rPr>
            </w:pPr>
          </w:p>
        </w:tc>
      </w:tr>
      <w:tr w:rsidR="00980E5F" w14:paraId="392C31F4" w14:textId="77777777">
        <w:tc>
          <w:tcPr>
            <w:tcW w:w="0" w:type="auto"/>
            <w:gridSpan w:val="3"/>
            <w:shd w:val="clear" w:color="auto" w:fill="FFFFFF"/>
            <w:tcMar>
              <w:top w:w="40" w:type="dxa"/>
              <w:left w:w="20" w:type="dxa"/>
              <w:bottom w:w="40" w:type="dxa"/>
              <w:right w:w="20" w:type="dxa"/>
            </w:tcMar>
            <w:vAlign w:val="bottom"/>
          </w:tcPr>
          <w:p w14:paraId="392C31EC" w14:textId="77777777" w:rsidR="00980E5F" w:rsidRDefault="00483613">
            <w:pPr>
              <w:textAlignment w:val="bottom"/>
            </w:pPr>
            <w:r>
              <w:rPr>
                <w:rFonts w:ascii="Arial" w:eastAsia="宋体" w:hAnsi="Arial" w:cs="Arial"/>
                <w:b/>
                <w:bCs/>
                <w:color w:val="000000"/>
                <w:sz w:val="18"/>
                <w:szCs w:val="18"/>
              </w:rPr>
              <w:t>Other comprehensive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1ED" w14:textId="77777777" w:rsidR="00980E5F" w:rsidRDefault="00483613">
            <w:pPr>
              <w:jc w:val="right"/>
              <w:textAlignment w:val="bottom"/>
            </w:pPr>
            <w:r>
              <w:rPr>
                <w:rFonts w:ascii="Arial" w:eastAsia="宋体" w:hAnsi="Arial" w:cs="Arial"/>
                <w:b/>
                <w:bCs/>
                <w:color w:val="000000"/>
                <w:sz w:val="18"/>
                <w:szCs w:val="18"/>
              </w:rPr>
              <w:t>(2,554)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1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1E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1F0" w14:textId="77777777" w:rsidR="00980E5F" w:rsidRDefault="00483613">
            <w:pPr>
              <w:jc w:val="right"/>
              <w:textAlignment w:val="bottom"/>
            </w:pPr>
            <w:r>
              <w:rPr>
                <w:rFonts w:ascii="Arial" w:eastAsia="宋体" w:hAnsi="Arial" w:cs="Arial"/>
                <w:color w:val="000000"/>
                <w:sz w:val="18"/>
                <w:szCs w:val="18"/>
              </w:rPr>
              <w:t>(609)</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1F1" w14:textId="77777777" w:rsidR="00980E5F" w:rsidRDefault="00980E5F">
            <w:pPr>
              <w:jc w:val="right"/>
              <w:rPr>
                <w:rFonts w:ascii="宋体"/>
              </w:rPr>
            </w:pPr>
          </w:p>
        </w:tc>
        <w:tc>
          <w:tcPr>
            <w:tcW w:w="0" w:type="auto"/>
            <w:gridSpan w:val="3"/>
            <w:shd w:val="clear" w:color="auto" w:fill="auto"/>
            <w:vAlign w:val="bottom"/>
          </w:tcPr>
          <w:p w14:paraId="392C31F2" w14:textId="77777777" w:rsidR="00980E5F" w:rsidRDefault="00980E5F">
            <w:pPr>
              <w:rPr>
                <w:rFonts w:ascii="宋体"/>
                <w:vanish/>
              </w:rPr>
            </w:pPr>
          </w:p>
        </w:tc>
        <w:tc>
          <w:tcPr>
            <w:tcW w:w="0" w:type="auto"/>
            <w:gridSpan w:val="3"/>
            <w:shd w:val="clear" w:color="auto" w:fill="auto"/>
            <w:vAlign w:val="bottom"/>
          </w:tcPr>
          <w:p w14:paraId="392C31F3" w14:textId="77777777" w:rsidR="00980E5F" w:rsidRDefault="00980E5F">
            <w:pPr>
              <w:rPr>
                <w:rFonts w:ascii="宋体"/>
                <w:vanish/>
              </w:rPr>
            </w:pPr>
          </w:p>
        </w:tc>
      </w:tr>
      <w:tr w:rsidR="00980E5F" w14:paraId="392C31FF" w14:textId="77777777">
        <w:tc>
          <w:tcPr>
            <w:tcW w:w="0" w:type="auto"/>
            <w:gridSpan w:val="3"/>
            <w:shd w:val="clear" w:color="auto" w:fill="CCEEFF"/>
            <w:tcMar>
              <w:top w:w="40" w:type="dxa"/>
              <w:left w:w="20" w:type="dxa"/>
              <w:bottom w:w="40" w:type="dxa"/>
              <w:right w:w="20" w:type="dxa"/>
            </w:tcMar>
            <w:vAlign w:val="bottom"/>
          </w:tcPr>
          <w:p w14:paraId="392C31F5" w14:textId="77777777" w:rsidR="00980E5F" w:rsidRDefault="00483613">
            <w:pPr>
              <w:textAlignment w:val="bottom"/>
            </w:pPr>
            <w:r>
              <w:rPr>
                <w:rFonts w:ascii="Arial" w:eastAsia="宋体" w:hAnsi="Arial" w:cs="Arial"/>
                <w:b/>
                <w:bCs/>
                <w:color w:val="000000"/>
                <w:sz w:val="18"/>
                <w:szCs w:val="18"/>
              </w:rPr>
              <w:t>Total comprehensive income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31F6"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31F7" w14:textId="77777777" w:rsidR="00980E5F" w:rsidRDefault="00483613">
            <w:pPr>
              <w:jc w:val="right"/>
              <w:textAlignment w:val="bottom"/>
            </w:pPr>
            <w:r>
              <w:rPr>
                <w:rFonts w:ascii="Arial" w:eastAsia="宋体" w:hAnsi="Arial" w:cs="Arial"/>
                <w:b/>
                <w:bCs/>
                <w:color w:val="000000"/>
                <w:sz w:val="18"/>
                <w:szCs w:val="18"/>
              </w:rPr>
              <w:t>(1,203)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31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1F9"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31FA"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31FB" w14:textId="77777777" w:rsidR="00980E5F" w:rsidRDefault="00483613">
            <w:pPr>
              <w:jc w:val="right"/>
              <w:textAlignment w:val="bottom"/>
            </w:pPr>
            <w:r>
              <w:rPr>
                <w:rFonts w:ascii="Arial" w:eastAsia="宋体" w:hAnsi="Arial" w:cs="Arial"/>
                <w:color w:val="000000"/>
                <w:sz w:val="18"/>
                <w:szCs w:val="18"/>
              </w:rPr>
              <w:t>673 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31FC" w14:textId="77777777" w:rsidR="00980E5F" w:rsidRDefault="00980E5F">
            <w:pPr>
              <w:jc w:val="right"/>
              <w:rPr>
                <w:rFonts w:ascii="宋体"/>
              </w:rPr>
            </w:pPr>
          </w:p>
        </w:tc>
        <w:tc>
          <w:tcPr>
            <w:tcW w:w="0" w:type="auto"/>
            <w:gridSpan w:val="3"/>
            <w:shd w:val="clear" w:color="auto" w:fill="auto"/>
            <w:vAlign w:val="bottom"/>
          </w:tcPr>
          <w:p w14:paraId="392C31FD" w14:textId="77777777" w:rsidR="00980E5F" w:rsidRDefault="00980E5F">
            <w:pPr>
              <w:rPr>
                <w:rFonts w:ascii="宋体"/>
                <w:vanish/>
              </w:rPr>
            </w:pPr>
          </w:p>
        </w:tc>
        <w:tc>
          <w:tcPr>
            <w:tcW w:w="0" w:type="auto"/>
            <w:gridSpan w:val="3"/>
            <w:shd w:val="clear" w:color="auto" w:fill="auto"/>
            <w:vAlign w:val="bottom"/>
          </w:tcPr>
          <w:p w14:paraId="392C31FE" w14:textId="77777777" w:rsidR="00980E5F" w:rsidRDefault="00980E5F">
            <w:pPr>
              <w:rPr>
                <w:rFonts w:ascii="宋体"/>
                <w:vanish/>
              </w:rPr>
            </w:pPr>
          </w:p>
        </w:tc>
      </w:tr>
    </w:tbl>
    <w:p w14:paraId="392C3200" w14:textId="77777777" w:rsidR="00980E5F" w:rsidRDefault="00980E5F">
      <w:pPr>
        <w:ind w:firstLine="450"/>
        <w:jc w:val="center"/>
      </w:pPr>
    </w:p>
    <w:p w14:paraId="392C3201" w14:textId="77777777" w:rsidR="00980E5F" w:rsidRDefault="00980E5F">
      <w:pPr>
        <w:spacing w:before="90"/>
        <w:ind w:firstLine="450"/>
        <w:jc w:val="center"/>
      </w:pPr>
    </w:p>
    <w:p w14:paraId="392C3202" w14:textId="77777777" w:rsidR="00980E5F" w:rsidRDefault="00980E5F">
      <w:pPr>
        <w:spacing w:before="90"/>
        <w:ind w:firstLine="450"/>
        <w:jc w:val="center"/>
      </w:pPr>
    </w:p>
    <w:p w14:paraId="392C3203" w14:textId="77777777" w:rsidR="00980E5F" w:rsidRDefault="00980E5F">
      <w:pPr>
        <w:ind w:firstLine="450"/>
      </w:pPr>
    </w:p>
    <w:p w14:paraId="392C3204" w14:textId="77777777" w:rsidR="00980E5F" w:rsidRDefault="00980E5F">
      <w:pPr>
        <w:ind w:firstLine="450"/>
      </w:pPr>
    </w:p>
    <w:p w14:paraId="392C3205" w14:textId="77777777" w:rsidR="00980E5F" w:rsidRDefault="00980E5F">
      <w:pPr>
        <w:spacing w:before="60"/>
        <w:ind w:firstLine="450"/>
      </w:pPr>
    </w:p>
    <w:p w14:paraId="392C3206" w14:textId="77777777" w:rsidR="00980E5F" w:rsidRDefault="00980E5F">
      <w:pPr>
        <w:spacing w:before="60"/>
        <w:ind w:firstLine="450"/>
      </w:pPr>
    </w:p>
    <w:p w14:paraId="392C3207" w14:textId="77777777" w:rsidR="00980E5F" w:rsidRDefault="00980E5F">
      <w:pPr>
        <w:spacing w:before="60"/>
        <w:ind w:firstLine="450"/>
      </w:pPr>
    </w:p>
    <w:p w14:paraId="392C3208" w14:textId="77777777" w:rsidR="00980E5F" w:rsidRDefault="00980E5F">
      <w:pPr>
        <w:spacing w:before="60"/>
        <w:ind w:firstLine="450"/>
      </w:pPr>
    </w:p>
    <w:p w14:paraId="392C3209" w14:textId="77777777" w:rsidR="00980E5F" w:rsidRDefault="00980E5F">
      <w:pPr>
        <w:spacing w:before="60"/>
        <w:ind w:firstLine="450"/>
      </w:pPr>
    </w:p>
    <w:p w14:paraId="392C320A" w14:textId="77777777" w:rsidR="00980E5F" w:rsidRDefault="00980E5F">
      <w:pPr>
        <w:spacing w:before="60"/>
        <w:ind w:firstLine="450"/>
      </w:pPr>
    </w:p>
    <w:p w14:paraId="392C320B" w14:textId="77777777" w:rsidR="00980E5F" w:rsidRDefault="00980E5F">
      <w:pPr>
        <w:spacing w:before="60"/>
        <w:ind w:firstLine="450"/>
      </w:pPr>
    </w:p>
    <w:p w14:paraId="392C320C" w14:textId="77777777" w:rsidR="00980E5F" w:rsidRDefault="00980E5F">
      <w:pPr>
        <w:spacing w:before="60"/>
        <w:ind w:firstLine="450"/>
      </w:pPr>
    </w:p>
    <w:p w14:paraId="392C320D" w14:textId="77777777" w:rsidR="00980E5F" w:rsidRDefault="00980E5F">
      <w:pPr>
        <w:spacing w:before="60"/>
        <w:ind w:firstLine="450"/>
      </w:pPr>
    </w:p>
    <w:p w14:paraId="392C320E" w14:textId="77777777" w:rsidR="00980E5F" w:rsidRDefault="00980E5F">
      <w:pPr>
        <w:spacing w:before="60"/>
        <w:ind w:firstLine="450"/>
      </w:pPr>
    </w:p>
    <w:p w14:paraId="392C320F" w14:textId="77777777" w:rsidR="00980E5F" w:rsidRDefault="00980E5F">
      <w:pPr>
        <w:spacing w:before="60"/>
        <w:ind w:firstLine="450"/>
      </w:pPr>
    </w:p>
    <w:p w14:paraId="392C3210" w14:textId="77777777" w:rsidR="00980E5F" w:rsidRDefault="00483613">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392C3211" w14:textId="77777777" w:rsidR="00980E5F" w:rsidRDefault="00483613">
      <w:pPr>
        <w:ind w:firstLine="450"/>
        <w:jc w:val="right"/>
      </w:pPr>
      <w:r>
        <w:rPr>
          <w:rFonts w:ascii="Arial" w:eastAsia="宋体" w:hAnsi="Arial" w:cs="Arial"/>
          <w:color w:val="000000"/>
          <w:sz w:val="18"/>
          <w:szCs w:val="18"/>
        </w:rPr>
        <w:t>State Street Corporation | 55</w:t>
      </w:r>
    </w:p>
    <w:p w14:paraId="392C3212" w14:textId="77777777" w:rsidR="00980E5F" w:rsidRDefault="00980E5F">
      <w:pPr>
        <w:ind w:firstLine="450"/>
        <w:jc w:val="center"/>
      </w:pPr>
    </w:p>
    <w:p w14:paraId="392C3213" w14:textId="77777777" w:rsidR="00980E5F" w:rsidRDefault="00483613">
      <w:r>
        <w:pict w14:anchorId="392CBB05">
          <v:rect id="_x0000_i1079" style="width:415.3pt;height:1.5pt" o:hralign="center" o:hrstd="t" o:hr="t" fillcolor="#a0a0a0" stroked="f"/>
        </w:pict>
      </w:r>
    </w:p>
    <w:p w14:paraId="392C3214" w14:textId="77777777" w:rsidR="00980E5F" w:rsidRDefault="00980E5F">
      <w:pPr>
        <w:ind w:firstLine="450"/>
      </w:pPr>
    </w:p>
    <w:p w14:paraId="392C3215" w14:textId="77777777" w:rsidR="00980E5F" w:rsidRDefault="00483613">
      <w:pPr>
        <w:ind w:firstLine="450"/>
        <w:jc w:val="center"/>
      </w:pPr>
      <w:r>
        <w:rPr>
          <w:rFonts w:ascii="Arial" w:eastAsia="宋体" w:hAnsi="Arial" w:cs="Arial"/>
          <w:b/>
          <w:bCs/>
          <w:color w:val="000000"/>
          <w:sz w:val="20"/>
          <w:szCs w:val="20"/>
        </w:rPr>
        <w:t>STATE STREET CORPORATION</w:t>
      </w:r>
    </w:p>
    <w:p w14:paraId="392C3216" w14:textId="77777777" w:rsidR="00980E5F" w:rsidRDefault="00483613">
      <w:pP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6"/>
        <w:gridCol w:w="36"/>
        <w:gridCol w:w="36"/>
        <w:gridCol w:w="36"/>
        <w:gridCol w:w="122"/>
        <w:gridCol w:w="1365"/>
        <w:gridCol w:w="36"/>
      </w:tblGrid>
      <w:tr w:rsidR="00980E5F" w14:paraId="392C3223" w14:textId="77777777">
        <w:trPr>
          <w:jc w:val="center"/>
        </w:trPr>
        <w:tc>
          <w:tcPr>
            <w:tcW w:w="50" w:type="pct"/>
            <w:shd w:val="clear" w:color="auto" w:fill="auto"/>
            <w:vAlign w:val="bottom"/>
          </w:tcPr>
          <w:p w14:paraId="392C3217" w14:textId="77777777" w:rsidR="00980E5F" w:rsidRDefault="00980E5F">
            <w:pPr>
              <w:rPr>
                <w:rFonts w:ascii="宋体"/>
              </w:rPr>
            </w:pPr>
          </w:p>
        </w:tc>
        <w:tc>
          <w:tcPr>
            <w:tcW w:w="3066" w:type="pct"/>
            <w:shd w:val="clear" w:color="auto" w:fill="auto"/>
            <w:vAlign w:val="bottom"/>
          </w:tcPr>
          <w:p w14:paraId="392C3218" w14:textId="77777777" w:rsidR="00980E5F" w:rsidRDefault="00980E5F">
            <w:pPr>
              <w:rPr>
                <w:rFonts w:ascii="宋体"/>
              </w:rPr>
            </w:pPr>
          </w:p>
        </w:tc>
        <w:tc>
          <w:tcPr>
            <w:tcW w:w="5" w:type="pct"/>
            <w:shd w:val="clear" w:color="auto" w:fill="auto"/>
            <w:vAlign w:val="bottom"/>
          </w:tcPr>
          <w:p w14:paraId="392C3219" w14:textId="77777777" w:rsidR="00980E5F" w:rsidRDefault="00980E5F">
            <w:pPr>
              <w:rPr>
                <w:rFonts w:ascii="宋体"/>
              </w:rPr>
            </w:pPr>
          </w:p>
        </w:tc>
        <w:tc>
          <w:tcPr>
            <w:tcW w:w="50" w:type="pct"/>
            <w:shd w:val="clear" w:color="auto" w:fill="auto"/>
            <w:vAlign w:val="bottom"/>
          </w:tcPr>
          <w:p w14:paraId="392C321A" w14:textId="77777777" w:rsidR="00980E5F" w:rsidRDefault="00980E5F">
            <w:pPr>
              <w:rPr>
                <w:rFonts w:ascii="宋体"/>
              </w:rPr>
            </w:pPr>
          </w:p>
        </w:tc>
        <w:tc>
          <w:tcPr>
            <w:tcW w:w="866" w:type="pct"/>
            <w:shd w:val="clear" w:color="auto" w:fill="auto"/>
            <w:vAlign w:val="bottom"/>
          </w:tcPr>
          <w:p w14:paraId="392C321B" w14:textId="77777777" w:rsidR="00980E5F" w:rsidRDefault="00980E5F">
            <w:pPr>
              <w:rPr>
                <w:rFonts w:ascii="宋体"/>
              </w:rPr>
            </w:pPr>
          </w:p>
        </w:tc>
        <w:tc>
          <w:tcPr>
            <w:tcW w:w="5" w:type="pct"/>
            <w:shd w:val="clear" w:color="auto" w:fill="auto"/>
            <w:vAlign w:val="bottom"/>
          </w:tcPr>
          <w:p w14:paraId="392C321C" w14:textId="77777777" w:rsidR="00980E5F" w:rsidRDefault="00980E5F">
            <w:pPr>
              <w:rPr>
                <w:rFonts w:ascii="宋体"/>
              </w:rPr>
            </w:pPr>
          </w:p>
        </w:tc>
        <w:tc>
          <w:tcPr>
            <w:tcW w:w="5" w:type="pct"/>
            <w:shd w:val="clear" w:color="auto" w:fill="auto"/>
            <w:vAlign w:val="bottom"/>
          </w:tcPr>
          <w:p w14:paraId="392C321D" w14:textId="77777777" w:rsidR="00980E5F" w:rsidRDefault="00980E5F">
            <w:pPr>
              <w:rPr>
                <w:rFonts w:ascii="宋体"/>
              </w:rPr>
            </w:pPr>
          </w:p>
        </w:tc>
        <w:tc>
          <w:tcPr>
            <w:tcW w:w="26" w:type="pct"/>
            <w:shd w:val="clear" w:color="auto" w:fill="auto"/>
            <w:vAlign w:val="bottom"/>
          </w:tcPr>
          <w:p w14:paraId="392C321E" w14:textId="77777777" w:rsidR="00980E5F" w:rsidRDefault="00980E5F">
            <w:pPr>
              <w:rPr>
                <w:rFonts w:ascii="宋体"/>
              </w:rPr>
            </w:pPr>
          </w:p>
        </w:tc>
        <w:tc>
          <w:tcPr>
            <w:tcW w:w="5" w:type="pct"/>
            <w:shd w:val="clear" w:color="auto" w:fill="auto"/>
            <w:vAlign w:val="bottom"/>
          </w:tcPr>
          <w:p w14:paraId="392C321F" w14:textId="77777777" w:rsidR="00980E5F" w:rsidRDefault="00980E5F">
            <w:pPr>
              <w:rPr>
                <w:rFonts w:ascii="宋体"/>
              </w:rPr>
            </w:pPr>
          </w:p>
        </w:tc>
        <w:tc>
          <w:tcPr>
            <w:tcW w:w="50" w:type="pct"/>
            <w:shd w:val="clear" w:color="auto" w:fill="auto"/>
            <w:vAlign w:val="bottom"/>
          </w:tcPr>
          <w:p w14:paraId="392C3220" w14:textId="77777777" w:rsidR="00980E5F" w:rsidRDefault="00980E5F">
            <w:pPr>
              <w:rPr>
                <w:rFonts w:ascii="宋体"/>
              </w:rPr>
            </w:pPr>
          </w:p>
        </w:tc>
        <w:tc>
          <w:tcPr>
            <w:tcW w:w="866" w:type="pct"/>
            <w:shd w:val="clear" w:color="auto" w:fill="auto"/>
            <w:vAlign w:val="bottom"/>
          </w:tcPr>
          <w:p w14:paraId="392C3221" w14:textId="77777777" w:rsidR="00980E5F" w:rsidRDefault="00980E5F">
            <w:pPr>
              <w:rPr>
                <w:rFonts w:ascii="宋体"/>
              </w:rPr>
            </w:pPr>
          </w:p>
        </w:tc>
        <w:tc>
          <w:tcPr>
            <w:tcW w:w="5" w:type="pct"/>
            <w:shd w:val="clear" w:color="auto" w:fill="auto"/>
            <w:vAlign w:val="bottom"/>
          </w:tcPr>
          <w:p w14:paraId="392C3222" w14:textId="77777777" w:rsidR="00980E5F" w:rsidRDefault="00980E5F">
            <w:pPr>
              <w:rPr>
                <w:rFonts w:ascii="宋体"/>
              </w:rPr>
            </w:pPr>
          </w:p>
        </w:tc>
      </w:tr>
      <w:tr w:rsidR="00980E5F" w14:paraId="392C3228" w14:textId="77777777">
        <w:trPr>
          <w:jc w:val="center"/>
        </w:trPr>
        <w:tc>
          <w:tcPr>
            <w:tcW w:w="0" w:type="auto"/>
            <w:gridSpan w:val="3"/>
            <w:shd w:val="clear" w:color="auto" w:fill="auto"/>
            <w:tcMar>
              <w:top w:w="0" w:type="dxa"/>
              <w:left w:w="20" w:type="dxa"/>
              <w:bottom w:w="0" w:type="dxa"/>
              <w:right w:w="20" w:type="dxa"/>
            </w:tcMar>
            <w:vAlign w:val="bottom"/>
          </w:tcPr>
          <w:p w14:paraId="392C322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3225" w14:textId="77777777" w:rsidR="00980E5F" w:rsidRDefault="00483613">
            <w:pPr>
              <w:jc w:val="center"/>
              <w:textAlignment w:val="bottom"/>
            </w:pPr>
            <w:r>
              <w:rPr>
                <w:rFonts w:ascii="Arial" w:eastAsia="宋体" w:hAnsi="Arial" w:cs="Arial"/>
                <w:b/>
                <w:bCs/>
                <w:color w:val="000000"/>
                <w:sz w:val="18"/>
                <w:szCs w:val="18"/>
              </w:rPr>
              <w:t>June 30, 2022</w:t>
            </w:r>
          </w:p>
        </w:tc>
        <w:tc>
          <w:tcPr>
            <w:tcW w:w="0" w:type="auto"/>
            <w:gridSpan w:val="3"/>
            <w:shd w:val="clear" w:color="auto" w:fill="auto"/>
            <w:tcMar>
              <w:top w:w="0" w:type="dxa"/>
              <w:left w:w="20" w:type="dxa"/>
              <w:bottom w:w="0" w:type="dxa"/>
              <w:right w:w="20" w:type="dxa"/>
            </w:tcMar>
            <w:vAlign w:val="bottom"/>
          </w:tcPr>
          <w:p w14:paraId="392C322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3227" w14:textId="77777777" w:rsidR="00980E5F" w:rsidRDefault="00483613">
            <w:pPr>
              <w:jc w:val="center"/>
              <w:textAlignment w:val="bottom"/>
            </w:pPr>
            <w:r>
              <w:rPr>
                <w:rFonts w:ascii="Arial" w:eastAsia="宋体" w:hAnsi="Arial" w:cs="Arial"/>
                <w:b/>
                <w:bCs/>
                <w:color w:val="000000"/>
                <w:sz w:val="18"/>
                <w:szCs w:val="18"/>
              </w:rPr>
              <w:t>December 31, 2021</w:t>
            </w:r>
          </w:p>
        </w:tc>
      </w:tr>
      <w:tr w:rsidR="00980E5F" w14:paraId="392C3231" w14:textId="77777777">
        <w:trPr>
          <w:jc w:val="center"/>
          <w:hidden/>
        </w:trPr>
        <w:tc>
          <w:tcPr>
            <w:tcW w:w="0" w:type="auto"/>
            <w:gridSpan w:val="3"/>
            <w:shd w:val="clear" w:color="auto" w:fill="auto"/>
            <w:vAlign w:val="bottom"/>
          </w:tcPr>
          <w:p w14:paraId="392C3229" w14:textId="77777777" w:rsidR="00980E5F" w:rsidRDefault="00980E5F">
            <w:pPr>
              <w:rPr>
                <w:rFonts w:ascii="宋体"/>
                <w:vanish/>
              </w:rPr>
            </w:pPr>
          </w:p>
        </w:tc>
        <w:tc>
          <w:tcPr>
            <w:tcW w:w="0" w:type="auto"/>
            <w:gridSpan w:val="3"/>
            <w:shd w:val="clear" w:color="auto" w:fill="auto"/>
            <w:vAlign w:val="bottom"/>
          </w:tcPr>
          <w:p w14:paraId="392C322A" w14:textId="77777777" w:rsidR="00980E5F" w:rsidRDefault="00980E5F">
            <w:pPr>
              <w:rPr>
                <w:rFonts w:ascii="宋体"/>
                <w:vanish/>
              </w:rPr>
            </w:pPr>
          </w:p>
        </w:tc>
        <w:tc>
          <w:tcPr>
            <w:tcW w:w="0" w:type="auto"/>
            <w:shd w:val="clear" w:color="auto" w:fill="auto"/>
            <w:vAlign w:val="bottom"/>
          </w:tcPr>
          <w:p w14:paraId="392C322B" w14:textId="77777777" w:rsidR="00980E5F" w:rsidRDefault="00980E5F">
            <w:pPr>
              <w:rPr>
                <w:rFonts w:ascii="宋体"/>
              </w:rPr>
            </w:pPr>
          </w:p>
        </w:tc>
        <w:tc>
          <w:tcPr>
            <w:tcW w:w="0" w:type="auto"/>
            <w:shd w:val="clear" w:color="auto" w:fill="auto"/>
            <w:vAlign w:val="bottom"/>
          </w:tcPr>
          <w:p w14:paraId="392C322C" w14:textId="77777777" w:rsidR="00980E5F" w:rsidRDefault="00980E5F">
            <w:pPr>
              <w:rPr>
                <w:rFonts w:ascii="宋体"/>
              </w:rPr>
            </w:pPr>
          </w:p>
        </w:tc>
        <w:tc>
          <w:tcPr>
            <w:tcW w:w="0" w:type="auto"/>
            <w:shd w:val="clear" w:color="auto" w:fill="auto"/>
            <w:vAlign w:val="bottom"/>
          </w:tcPr>
          <w:p w14:paraId="392C322D" w14:textId="77777777" w:rsidR="00980E5F" w:rsidRDefault="00980E5F">
            <w:pPr>
              <w:rPr>
                <w:rFonts w:ascii="宋体"/>
              </w:rPr>
            </w:pPr>
          </w:p>
        </w:tc>
        <w:tc>
          <w:tcPr>
            <w:tcW w:w="0" w:type="auto"/>
            <w:shd w:val="clear" w:color="auto" w:fill="auto"/>
            <w:vAlign w:val="bottom"/>
          </w:tcPr>
          <w:p w14:paraId="392C322E" w14:textId="77777777" w:rsidR="00980E5F" w:rsidRDefault="00980E5F">
            <w:pPr>
              <w:rPr>
                <w:rFonts w:ascii="宋体"/>
              </w:rPr>
            </w:pPr>
          </w:p>
        </w:tc>
        <w:tc>
          <w:tcPr>
            <w:tcW w:w="0" w:type="auto"/>
            <w:shd w:val="clear" w:color="auto" w:fill="auto"/>
            <w:vAlign w:val="bottom"/>
          </w:tcPr>
          <w:p w14:paraId="392C322F" w14:textId="77777777" w:rsidR="00980E5F" w:rsidRDefault="00980E5F">
            <w:pPr>
              <w:rPr>
                <w:rFonts w:ascii="宋体"/>
              </w:rPr>
            </w:pPr>
          </w:p>
        </w:tc>
        <w:tc>
          <w:tcPr>
            <w:tcW w:w="0" w:type="auto"/>
            <w:shd w:val="clear" w:color="auto" w:fill="auto"/>
            <w:vAlign w:val="bottom"/>
          </w:tcPr>
          <w:p w14:paraId="392C3230" w14:textId="77777777" w:rsidR="00980E5F" w:rsidRDefault="00980E5F">
            <w:pPr>
              <w:rPr>
                <w:rFonts w:ascii="宋体"/>
              </w:rPr>
            </w:pPr>
          </w:p>
        </w:tc>
      </w:tr>
      <w:tr w:rsidR="00980E5F" w14:paraId="392C3236" w14:textId="77777777">
        <w:trPr>
          <w:jc w:val="center"/>
        </w:trPr>
        <w:tc>
          <w:tcPr>
            <w:tcW w:w="0" w:type="auto"/>
            <w:gridSpan w:val="3"/>
            <w:shd w:val="clear" w:color="auto" w:fill="auto"/>
            <w:tcMar>
              <w:top w:w="40" w:type="dxa"/>
              <w:left w:w="20" w:type="dxa"/>
              <w:bottom w:w="40" w:type="dxa"/>
              <w:right w:w="20" w:type="dxa"/>
            </w:tcMar>
            <w:vAlign w:val="bottom"/>
          </w:tcPr>
          <w:p w14:paraId="392C3232" w14:textId="77777777" w:rsidR="00980E5F" w:rsidRDefault="00483613">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233" w14:textId="77777777" w:rsidR="00980E5F" w:rsidRDefault="00483613">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vAlign w:val="bottom"/>
          </w:tcPr>
          <w:p w14:paraId="392C323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235" w14:textId="77777777" w:rsidR="00980E5F" w:rsidRDefault="00980E5F">
            <w:pPr>
              <w:rPr>
                <w:rFonts w:ascii="宋体"/>
              </w:rPr>
            </w:pPr>
          </w:p>
        </w:tc>
      </w:tr>
      <w:tr w:rsidR="00980E5F" w14:paraId="392C323B" w14:textId="77777777">
        <w:trPr>
          <w:jc w:val="center"/>
        </w:trPr>
        <w:tc>
          <w:tcPr>
            <w:tcW w:w="0" w:type="auto"/>
            <w:gridSpan w:val="3"/>
            <w:shd w:val="clear" w:color="auto" w:fill="auto"/>
            <w:tcMar>
              <w:top w:w="40" w:type="dxa"/>
              <w:left w:w="20" w:type="dxa"/>
              <w:bottom w:w="40" w:type="dxa"/>
              <w:right w:w="20" w:type="dxa"/>
            </w:tcMar>
            <w:vAlign w:val="bottom"/>
          </w:tcPr>
          <w:p w14:paraId="392C3237" w14:textId="77777777" w:rsidR="00980E5F" w:rsidRDefault="00483613">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392C323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2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23A" w14:textId="77777777" w:rsidR="00980E5F" w:rsidRDefault="00980E5F">
            <w:pPr>
              <w:rPr>
                <w:rFonts w:ascii="宋体"/>
              </w:rPr>
            </w:pPr>
          </w:p>
        </w:tc>
      </w:tr>
      <w:tr w:rsidR="00980E5F" w14:paraId="392C3244" w14:textId="77777777">
        <w:trPr>
          <w:jc w:val="center"/>
        </w:trPr>
        <w:tc>
          <w:tcPr>
            <w:tcW w:w="0" w:type="auto"/>
            <w:gridSpan w:val="3"/>
            <w:shd w:val="clear" w:color="auto" w:fill="CCEEFF"/>
            <w:tcMar>
              <w:top w:w="40" w:type="dxa"/>
              <w:left w:w="20" w:type="dxa"/>
              <w:bottom w:w="40" w:type="dxa"/>
              <w:right w:w="20" w:type="dxa"/>
            </w:tcMar>
            <w:vAlign w:val="bottom"/>
          </w:tcPr>
          <w:p w14:paraId="392C323C" w14:textId="77777777" w:rsidR="00980E5F" w:rsidRDefault="00483613">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392C323D"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392C323E" w14:textId="77777777" w:rsidR="00980E5F" w:rsidRDefault="00483613">
            <w:pPr>
              <w:jc w:val="right"/>
              <w:textAlignment w:val="bottom"/>
            </w:pPr>
            <w:r>
              <w:rPr>
                <w:rFonts w:ascii="Arial" w:eastAsia="宋体" w:hAnsi="Arial" w:cs="Arial"/>
                <w:b/>
                <w:bCs/>
                <w:color w:val="000000"/>
                <w:sz w:val="18"/>
                <w:szCs w:val="18"/>
              </w:rPr>
              <w:t>3,515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4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241" w14:textId="77777777" w:rsidR="00980E5F" w:rsidRDefault="004836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92C3242" w14:textId="77777777" w:rsidR="00980E5F" w:rsidRDefault="00483613">
            <w:pPr>
              <w:jc w:val="right"/>
              <w:textAlignment w:val="bottom"/>
            </w:pPr>
            <w:r>
              <w:rPr>
                <w:rFonts w:ascii="Arial" w:eastAsia="宋体" w:hAnsi="Arial" w:cs="Arial"/>
                <w:color w:val="000000"/>
                <w:sz w:val="18"/>
                <w:szCs w:val="18"/>
              </w:rPr>
              <w:t>3,631 </w:t>
            </w:r>
          </w:p>
        </w:tc>
        <w:tc>
          <w:tcPr>
            <w:tcW w:w="0" w:type="auto"/>
            <w:shd w:val="clear" w:color="auto" w:fill="CCEEFF"/>
            <w:tcMar>
              <w:top w:w="40" w:type="dxa"/>
              <w:left w:w="0" w:type="dxa"/>
              <w:bottom w:w="40" w:type="dxa"/>
              <w:right w:w="20" w:type="dxa"/>
            </w:tcMar>
            <w:vAlign w:val="bottom"/>
          </w:tcPr>
          <w:p w14:paraId="392C3243" w14:textId="77777777" w:rsidR="00980E5F" w:rsidRDefault="00980E5F">
            <w:pPr>
              <w:jc w:val="right"/>
              <w:rPr>
                <w:rFonts w:ascii="宋体"/>
              </w:rPr>
            </w:pPr>
          </w:p>
        </w:tc>
      </w:tr>
      <w:tr w:rsidR="00980E5F" w14:paraId="392C324B" w14:textId="77777777">
        <w:trPr>
          <w:jc w:val="center"/>
        </w:trPr>
        <w:tc>
          <w:tcPr>
            <w:tcW w:w="0" w:type="auto"/>
            <w:gridSpan w:val="3"/>
            <w:shd w:val="clear" w:color="auto" w:fill="FFFFFF"/>
            <w:tcMar>
              <w:top w:w="40" w:type="dxa"/>
              <w:left w:w="20" w:type="dxa"/>
              <w:bottom w:w="40" w:type="dxa"/>
              <w:right w:w="20" w:type="dxa"/>
            </w:tcMar>
            <w:vAlign w:val="bottom"/>
          </w:tcPr>
          <w:p w14:paraId="392C3245" w14:textId="77777777" w:rsidR="00980E5F" w:rsidRDefault="00483613">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392C3246" w14:textId="77777777" w:rsidR="00980E5F" w:rsidRDefault="00483613">
            <w:pPr>
              <w:jc w:val="right"/>
              <w:textAlignment w:val="bottom"/>
            </w:pPr>
            <w:r>
              <w:rPr>
                <w:rFonts w:ascii="Arial" w:eastAsia="宋体" w:hAnsi="Arial" w:cs="Arial"/>
                <w:b/>
                <w:bCs/>
                <w:color w:val="000000"/>
                <w:sz w:val="18"/>
                <w:szCs w:val="18"/>
              </w:rPr>
              <w:t>91,360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49" w14:textId="77777777" w:rsidR="00980E5F" w:rsidRDefault="00483613">
            <w:pPr>
              <w:jc w:val="right"/>
              <w:textAlignment w:val="bottom"/>
            </w:pPr>
            <w:r>
              <w:rPr>
                <w:rFonts w:ascii="Arial" w:eastAsia="宋体" w:hAnsi="Arial" w:cs="Arial"/>
                <w:color w:val="000000"/>
                <w:sz w:val="18"/>
                <w:szCs w:val="18"/>
              </w:rPr>
              <w:t>106,358 </w:t>
            </w:r>
          </w:p>
        </w:tc>
        <w:tc>
          <w:tcPr>
            <w:tcW w:w="0" w:type="auto"/>
            <w:shd w:val="clear" w:color="auto" w:fill="FFFFFF"/>
            <w:tcMar>
              <w:top w:w="40" w:type="dxa"/>
              <w:left w:w="0" w:type="dxa"/>
              <w:bottom w:w="40" w:type="dxa"/>
              <w:right w:w="20" w:type="dxa"/>
            </w:tcMar>
            <w:vAlign w:val="bottom"/>
          </w:tcPr>
          <w:p w14:paraId="392C324A" w14:textId="77777777" w:rsidR="00980E5F" w:rsidRDefault="00980E5F">
            <w:pPr>
              <w:jc w:val="right"/>
              <w:rPr>
                <w:rFonts w:ascii="宋体"/>
              </w:rPr>
            </w:pPr>
          </w:p>
        </w:tc>
      </w:tr>
      <w:tr w:rsidR="00980E5F" w14:paraId="392C3252" w14:textId="77777777">
        <w:trPr>
          <w:jc w:val="center"/>
        </w:trPr>
        <w:tc>
          <w:tcPr>
            <w:tcW w:w="0" w:type="auto"/>
            <w:gridSpan w:val="3"/>
            <w:shd w:val="clear" w:color="auto" w:fill="CCEEFF"/>
            <w:tcMar>
              <w:top w:w="40" w:type="dxa"/>
              <w:left w:w="20" w:type="dxa"/>
              <w:bottom w:w="40" w:type="dxa"/>
              <w:right w:w="20" w:type="dxa"/>
            </w:tcMar>
            <w:vAlign w:val="bottom"/>
          </w:tcPr>
          <w:p w14:paraId="392C324C" w14:textId="77777777" w:rsidR="00980E5F" w:rsidRDefault="00483613">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92C324D" w14:textId="77777777" w:rsidR="00980E5F" w:rsidRDefault="00483613">
            <w:pPr>
              <w:jc w:val="right"/>
              <w:textAlignment w:val="bottom"/>
            </w:pPr>
            <w:r>
              <w:rPr>
                <w:rFonts w:ascii="Arial" w:eastAsia="宋体" w:hAnsi="Arial" w:cs="Arial"/>
                <w:b/>
                <w:bCs/>
                <w:color w:val="000000"/>
                <w:sz w:val="18"/>
                <w:szCs w:val="18"/>
              </w:rPr>
              <w:t>5,203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4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50" w14:textId="77777777" w:rsidR="00980E5F" w:rsidRDefault="00483613">
            <w:pPr>
              <w:jc w:val="right"/>
              <w:textAlignment w:val="bottom"/>
            </w:pPr>
            <w:r>
              <w:rPr>
                <w:rFonts w:ascii="Arial" w:eastAsia="宋体" w:hAnsi="Arial" w:cs="Arial"/>
                <w:color w:val="000000"/>
                <w:sz w:val="18"/>
                <w:szCs w:val="18"/>
              </w:rPr>
              <w:t>3,012 </w:t>
            </w:r>
          </w:p>
        </w:tc>
        <w:tc>
          <w:tcPr>
            <w:tcW w:w="0" w:type="auto"/>
            <w:shd w:val="clear" w:color="auto" w:fill="CCEEFF"/>
            <w:tcMar>
              <w:top w:w="40" w:type="dxa"/>
              <w:left w:w="0" w:type="dxa"/>
              <w:bottom w:w="40" w:type="dxa"/>
              <w:right w:w="20" w:type="dxa"/>
            </w:tcMar>
            <w:vAlign w:val="bottom"/>
          </w:tcPr>
          <w:p w14:paraId="392C3251" w14:textId="77777777" w:rsidR="00980E5F" w:rsidRDefault="00980E5F">
            <w:pPr>
              <w:jc w:val="right"/>
              <w:rPr>
                <w:rFonts w:ascii="宋体"/>
              </w:rPr>
            </w:pPr>
          </w:p>
        </w:tc>
      </w:tr>
      <w:tr w:rsidR="00980E5F" w14:paraId="392C3259" w14:textId="77777777">
        <w:trPr>
          <w:jc w:val="center"/>
        </w:trPr>
        <w:tc>
          <w:tcPr>
            <w:tcW w:w="0" w:type="auto"/>
            <w:gridSpan w:val="3"/>
            <w:shd w:val="clear" w:color="auto" w:fill="FFFFFF"/>
            <w:tcMar>
              <w:top w:w="40" w:type="dxa"/>
              <w:left w:w="20" w:type="dxa"/>
              <w:bottom w:w="40" w:type="dxa"/>
              <w:right w:w="20" w:type="dxa"/>
            </w:tcMar>
            <w:vAlign w:val="bottom"/>
          </w:tcPr>
          <w:p w14:paraId="392C3253" w14:textId="77777777" w:rsidR="00980E5F" w:rsidRDefault="00483613">
            <w:pPr>
              <w:textAlignment w:val="bottom"/>
            </w:pPr>
            <w:r>
              <w:rPr>
                <w:rFonts w:ascii="Arial" w:eastAsia="宋体" w:hAnsi="Arial" w:cs="Arial"/>
                <w:color w:val="000000"/>
                <w:sz w:val="18"/>
                <w:szCs w:val="18"/>
              </w:rPr>
              <w:t xml:space="preserve">Trading </w:t>
            </w:r>
            <w:r>
              <w:rPr>
                <w:rFonts w:ascii="Arial" w:eastAsia="宋体" w:hAnsi="Arial" w:cs="Arial"/>
                <w:color w:val="000000"/>
                <w:sz w:val="18"/>
                <w:szCs w:val="18"/>
              </w:rPr>
              <w:t>account assets</w:t>
            </w:r>
          </w:p>
        </w:tc>
        <w:tc>
          <w:tcPr>
            <w:tcW w:w="0" w:type="auto"/>
            <w:gridSpan w:val="2"/>
            <w:shd w:val="clear" w:color="auto" w:fill="FFFFFF"/>
            <w:tcMar>
              <w:top w:w="40" w:type="dxa"/>
              <w:left w:w="20" w:type="dxa"/>
              <w:bottom w:w="40" w:type="dxa"/>
              <w:right w:w="0" w:type="dxa"/>
            </w:tcMar>
            <w:vAlign w:val="bottom"/>
          </w:tcPr>
          <w:p w14:paraId="392C3254" w14:textId="77777777" w:rsidR="00980E5F" w:rsidRDefault="00483613">
            <w:pPr>
              <w:jc w:val="right"/>
              <w:textAlignment w:val="bottom"/>
            </w:pPr>
            <w:r>
              <w:rPr>
                <w:rFonts w:ascii="Arial" w:eastAsia="宋体" w:hAnsi="Arial" w:cs="Arial"/>
                <w:b/>
                <w:bCs/>
                <w:color w:val="000000"/>
                <w:sz w:val="18"/>
                <w:szCs w:val="18"/>
              </w:rPr>
              <w:t>728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5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57" w14:textId="77777777" w:rsidR="00980E5F" w:rsidRDefault="00483613">
            <w:pPr>
              <w:jc w:val="right"/>
              <w:textAlignment w:val="bottom"/>
            </w:pPr>
            <w:r>
              <w:rPr>
                <w:rFonts w:ascii="Arial" w:eastAsia="宋体" w:hAnsi="Arial" w:cs="Arial"/>
                <w:color w:val="000000"/>
                <w:sz w:val="18"/>
                <w:szCs w:val="18"/>
              </w:rPr>
              <w:t>758 </w:t>
            </w:r>
          </w:p>
        </w:tc>
        <w:tc>
          <w:tcPr>
            <w:tcW w:w="0" w:type="auto"/>
            <w:shd w:val="clear" w:color="auto" w:fill="FFFFFF"/>
            <w:tcMar>
              <w:top w:w="40" w:type="dxa"/>
              <w:left w:w="0" w:type="dxa"/>
              <w:bottom w:w="40" w:type="dxa"/>
              <w:right w:w="20" w:type="dxa"/>
            </w:tcMar>
            <w:vAlign w:val="bottom"/>
          </w:tcPr>
          <w:p w14:paraId="392C3258" w14:textId="77777777" w:rsidR="00980E5F" w:rsidRDefault="00980E5F">
            <w:pPr>
              <w:jc w:val="right"/>
              <w:rPr>
                <w:rFonts w:ascii="宋体"/>
              </w:rPr>
            </w:pPr>
          </w:p>
        </w:tc>
      </w:tr>
      <w:tr w:rsidR="00980E5F" w14:paraId="392C3260" w14:textId="77777777">
        <w:trPr>
          <w:jc w:val="center"/>
        </w:trPr>
        <w:tc>
          <w:tcPr>
            <w:tcW w:w="0" w:type="auto"/>
            <w:gridSpan w:val="3"/>
            <w:shd w:val="clear" w:color="auto" w:fill="CCEEFF"/>
            <w:tcMar>
              <w:top w:w="40" w:type="dxa"/>
              <w:left w:w="20" w:type="dxa"/>
              <w:bottom w:w="40" w:type="dxa"/>
              <w:right w:w="20" w:type="dxa"/>
            </w:tcMar>
            <w:vAlign w:val="bottom"/>
          </w:tcPr>
          <w:p w14:paraId="392C325A" w14:textId="77777777" w:rsidR="00980E5F" w:rsidRDefault="00483613">
            <w:pPr>
              <w:jc w:val="both"/>
              <w:textAlignment w:val="bottom"/>
            </w:pPr>
            <w:r>
              <w:rPr>
                <w:rFonts w:ascii="Arial" w:eastAsia="宋体" w:hAnsi="Arial" w:cs="Arial"/>
                <w:color w:val="000000"/>
                <w:sz w:val="18"/>
                <w:szCs w:val="18"/>
              </w:rPr>
              <w:t>Investment securities available-for-sale (less allowance for credit losses of $2 and $2)</w:t>
            </w:r>
          </w:p>
        </w:tc>
        <w:tc>
          <w:tcPr>
            <w:tcW w:w="0" w:type="auto"/>
            <w:gridSpan w:val="2"/>
            <w:shd w:val="clear" w:color="auto" w:fill="CCEEFF"/>
            <w:tcMar>
              <w:top w:w="40" w:type="dxa"/>
              <w:left w:w="20" w:type="dxa"/>
              <w:bottom w:w="40" w:type="dxa"/>
              <w:right w:w="0" w:type="dxa"/>
            </w:tcMar>
            <w:vAlign w:val="bottom"/>
          </w:tcPr>
          <w:p w14:paraId="392C325B" w14:textId="77777777" w:rsidR="00980E5F" w:rsidRDefault="00483613">
            <w:pPr>
              <w:jc w:val="right"/>
              <w:textAlignment w:val="bottom"/>
            </w:pPr>
            <w:r>
              <w:rPr>
                <w:rFonts w:ascii="Arial" w:eastAsia="宋体" w:hAnsi="Arial" w:cs="Arial"/>
                <w:b/>
                <w:bCs/>
                <w:color w:val="000000"/>
                <w:sz w:val="18"/>
                <w:szCs w:val="18"/>
              </w:rPr>
              <w:t>45,454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5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5E" w14:textId="77777777" w:rsidR="00980E5F" w:rsidRDefault="00483613">
            <w:pPr>
              <w:jc w:val="right"/>
              <w:textAlignment w:val="bottom"/>
            </w:pPr>
            <w:r>
              <w:rPr>
                <w:rFonts w:ascii="Arial" w:eastAsia="宋体" w:hAnsi="Arial" w:cs="Arial"/>
                <w:color w:val="000000"/>
                <w:sz w:val="18"/>
                <w:szCs w:val="18"/>
              </w:rPr>
              <w:t>73,399 </w:t>
            </w:r>
          </w:p>
        </w:tc>
        <w:tc>
          <w:tcPr>
            <w:tcW w:w="0" w:type="auto"/>
            <w:shd w:val="clear" w:color="auto" w:fill="CCEEFF"/>
            <w:tcMar>
              <w:top w:w="40" w:type="dxa"/>
              <w:left w:w="0" w:type="dxa"/>
              <w:bottom w:w="40" w:type="dxa"/>
              <w:right w:w="20" w:type="dxa"/>
            </w:tcMar>
            <w:vAlign w:val="bottom"/>
          </w:tcPr>
          <w:p w14:paraId="392C325F" w14:textId="77777777" w:rsidR="00980E5F" w:rsidRDefault="00980E5F">
            <w:pPr>
              <w:jc w:val="right"/>
              <w:rPr>
                <w:rFonts w:ascii="宋体"/>
              </w:rPr>
            </w:pPr>
          </w:p>
        </w:tc>
      </w:tr>
      <w:tr w:rsidR="00980E5F" w14:paraId="392C3265" w14:textId="77777777">
        <w:trPr>
          <w:jc w:val="center"/>
          <w:hidden/>
        </w:trPr>
        <w:tc>
          <w:tcPr>
            <w:tcW w:w="0" w:type="auto"/>
            <w:gridSpan w:val="3"/>
            <w:shd w:val="clear" w:color="auto" w:fill="auto"/>
            <w:vAlign w:val="bottom"/>
          </w:tcPr>
          <w:p w14:paraId="392C3261" w14:textId="77777777" w:rsidR="00980E5F" w:rsidRDefault="00980E5F">
            <w:pPr>
              <w:rPr>
                <w:rFonts w:ascii="宋体"/>
                <w:vanish/>
              </w:rPr>
            </w:pPr>
          </w:p>
        </w:tc>
        <w:tc>
          <w:tcPr>
            <w:tcW w:w="0" w:type="auto"/>
            <w:gridSpan w:val="3"/>
            <w:shd w:val="clear" w:color="auto" w:fill="auto"/>
            <w:vAlign w:val="bottom"/>
          </w:tcPr>
          <w:p w14:paraId="392C3262" w14:textId="77777777" w:rsidR="00980E5F" w:rsidRDefault="00980E5F">
            <w:pPr>
              <w:rPr>
                <w:rFonts w:ascii="宋体"/>
                <w:vanish/>
              </w:rPr>
            </w:pPr>
          </w:p>
        </w:tc>
        <w:tc>
          <w:tcPr>
            <w:tcW w:w="0" w:type="auto"/>
            <w:gridSpan w:val="3"/>
            <w:shd w:val="clear" w:color="auto" w:fill="auto"/>
            <w:vAlign w:val="bottom"/>
          </w:tcPr>
          <w:p w14:paraId="392C3263" w14:textId="77777777" w:rsidR="00980E5F" w:rsidRDefault="00980E5F">
            <w:pPr>
              <w:rPr>
                <w:rFonts w:ascii="宋体"/>
                <w:vanish/>
              </w:rPr>
            </w:pPr>
          </w:p>
        </w:tc>
        <w:tc>
          <w:tcPr>
            <w:tcW w:w="0" w:type="auto"/>
            <w:gridSpan w:val="3"/>
            <w:shd w:val="clear" w:color="auto" w:fill="auto"/>
            <w:vAlign w:val="bottom"/>
          </w:tcPr>
          <w:p w14:paraId="392C3264" w14:textId="77777777" w:rsidR="00980E5F" w:rsidRDefault="00980E5F">
            <w:pPr>
              <w:rPr>
                <w:rFonts w:ascii="宋体"/>
                <w:vanish/>
              </w:rPr>
            </w:pPr>
          </w:p>
        </w:tc>
      </w:tr>
      <w:tr w:rsidR="00980E5F" w14:paraId="392C326C" w14:textId="77777777">
        <w:trPr>
          <w:jc w:val="center"/>
        </w:trPr>
        <w:tc>
          <w:tcPr>
            <w:tcW w:w="0" w:type="auto"/>
            <w:gridSpan w:val="3"/>
            <w:shd w:val="clear" w:color="auto" w:fill="FFFFFF"/>
            <w:tcMar>
              <w:top w:w="40" w:type="dxa"/>
              <w:left w:w="20" w:type="dxa"/>
              <w:bottom w:w="40" w:type="dxa"/>
              <w:right w:w="20" w:type="dxa"/>
            </w:tcMar>
            <w:vAlign w:val="bottom"/>
          </w:tcPr>
          <w:p w14:paraId="392C3266" w14:textId="77777777" w:rsidR="00980E5F" w:rsidRDefault="00483613">
            <w:pPr>
              <w:jc w:val="both"/>
              <w:textAlignment w:val="bottom"/>
            </w:pPr>
            <w:r>
              <w:rPr>
                <w:rFonts w:ascii="Arial" w:eastAsia="宋体" w:hAnsi="Arial" w:cs="Arial"/>
                <w:color w:val="000000"/>
                <w:sz w:val="18"/>
                <w:szCs w:val="18"/>
              </w:rPr>
              <w:t xml:space="preserve">Investment securities held-to-maturity (less allowance for credit losses of $0 and $0) (fair value of </w:t>
            </w:r>
            <w:r>
              <w:rPr>
                <w:rFonts w:ascii="Arial" w:eastAsia="宋体" w:hAnsi="Arial" w:cs="Arial"/>
                <w:color w:val="000000"/>
                <w:sz w:val="18"/>
                <w:szCs w:val="18"/>
              </w:rPr>
              <w:t>$60,103 and $42,271)</w:t>
            </w:r>
          </w:p>
        </w:tc>
        <w:tc>
          <w:tcPr>
            <w:tcW w:w="0" w:type="auto"/>
            <w:gridSpan w:val="2"/>
            <w:shd w:val="clear" w:color="auto" w:fill="FFFFFF"/>
            <w:tcMar>
              <w:top w:w="40" w:type="dxa"/>
              <w:left w:w="20" w:type="dxa"/>
              <w:bottom w:w="40" w:type="dxa"/>
              <w:right w:w="0" w:type="dxa"/>
            </w:tcMar>
            <w:vAlign w:val="bottom"/>
          </w:tcPr>
          <w:p w14:paraId="392C3267" w14:textId="77777777" w:rsidR="00980E5F" w:rsidRDefault="00483613">
            <w:pPr>
              <w:jc w:val="right"/>
              <w:textAlignment w:val="bottom"/>
            </w:pPr>
            <w:r>
              <w:rPr>
                <w:rFonts w:ascii="Arial" w:eastAsia="宋体" w:hAnsi="Arial" w:cs="Arial"/>
                <w:b/>
                <w:bCs/>
                <w:color w:val="000000"/>
                <w:sz w:val="18"/>
                <w:szCs w:val="18"/>
              </w:rPr>
              <w:t>64,261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6A" w14:textId="77777777" w:rsidR="00980E5F" w:rsidRDefault="00483613">
            <w:pPr>
              <w:jc w:val="right"/>
              <w:textAlignment w:val="bottom"/>
            </w:pPr>
            <w:r>
              <w:rPr>
                <w:rFonts w:ascii="Arial" w:eastAsia="宋体" w:hAnsi="Arial" w:cs="Arial"/>
                <w:color w:val="000000"/>
                <w:sz w:val="18"/>
                <w:szCs w:val="18"/>
              </w:rPr>
              <w:t>42,430 </w:t>
            </w:r>
          </w:p>
        </w:tc>
        <w:tc>
          <w:tcPr>
            <w:tcW w:w="0" w:type="auto"/>
            <w:shd w:val="clear" w:color="auto" w:fill="FFFFFF"/>
            <w:tcMar>
              <w:top w:w="40" w:type="dxa"/>
              <w:left w:w="0" w:type="dxa"/>
              <w:bottom w:w="40" w:type="dxa"/>
              <w:right w:w="20" w:type="dxa"/>
            </w:tcMar>
            <w:vAlign w:val="bottom"/>
          </w:tcPr>
          <w:p w14:paraId="392C326B" w14:textId="77777777" w:rsidR="00980E5F" w:rsidRDefault="00980E5F">
            <w:pPr>
              <w:jc w:val="right"/>
              <w:rPr>
                <w:rFonts w:ascii="宋体"/>
              </w:rPr>
            </w:pPr>
          </w:p>
        </w:tc>
      </w:tr>
      <w:tr w:rsidR="00980E5F" w14:paraId="392C3273" w14:textId="77777777">
        <w:trPr>
          <w:jc w:val="center"/>
        </w:trPr>
        <w:tc>
          <w:tcPr>
            <w:tcW w:w="0" w:type="auto"/>
            <w:gridSpan w:val="3"/>
            <w:shd w:val="clear" w:color="auto" w:fill="CCEEFF"/>
            <w:tcMar>
              <w:top w:w="40" w:type="dxa"/>
              <w:left w:w="20" w:type="dxa"/>
              <w:bottom w:w="40" w:type="dxa"/>
              <w:right w:w="20" w:type="dxa"/>
            </w:tcMar>
            <w:vAlign w:val="bottom"/>
          </w:tcPr>
          <w:p w14:paraId="392C326D" w14:textId="77777777" w:rsidR="00980E5F" w:rsidRDefault="00483613">
            <w:pPr>
              <w:textAlignment w:val="bottom"/>
            </w:pPr>
            <w:r>
              <w:rPr>
                <w:rFonts w:ascii="Arial" w:eastAsia="宋体" w:hAnsi="Arial" w:cs="Arial"/>
                <w:color w:val="000000"/>
                <w:sz w:val="18"/>
                <w:szCs w:val="18"/>
              </w:rPr>
              <w:t>Loans (less allowance for credit losses on loans of $95 and $87)</w:t>
            </w:r>
          </w:p>
        </w:tc>
        <w:tc>
          <w:tcPr>
            <w:tcW w:w="0" w:type="auto"/>
            <w:gridSpan w:val="2"/>
            <w:shd w:val="clear" w:color="auto" w:fill="CCEEFF"/>
            <w:tcMar>
              <w:top w:w="40" w:type="dxa"/>
              <w:left w:w="20" w:type="dxa"/>
              <w:bottom w:w="40" w:type="dxa"/>
              <w:right w:w="0" w:type="dxa"/>
            </w:tcMar>
            <w:vAlign w:val="bottom"/>
          </w:tcPr>
          <w:p w14:paraId="392C326E" w14:textId="77777777" w:rsidR="00980E5F" w:rsidRDefault="00483613">
            <w:pPr>
              <w:jc w:val="right"/>
              <w:textAlignment w:val="bottom"/>
            </w:pPr>
            <w:r>
              <w:rPr>
                <w:rFonts w:ascii="Arial" w:eastAsia="宋体" w:hAnsi="Arial" w:cs="Arial"/>
                <w:b/>
                <w:bCs/>
                <w:color w:val="000000"/>
                <w:sz w:val="18"/>
                <w:szCs w:val="18"/>
              </w:rPr>
              <w:t>33,470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7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71" w14:textId="77777777" w:rsidR="00980E5F" w:rsidRDefault="00483613">
            <w:pPr>
              <w:jc w:val="right"/>
              <w:textAlignment w:val="bottom"/>
            </w:pPr>
            <w:r>
              <w:rPr>
                <w:rFonts w:ascii="Arial" w:eastAsia="宋体" w:hAnsi="Arial" w:cs="Arial"/>
                <w:color w:val="000000"/>
                <w:sz w:val="18"/>
                <w:szCs w:val="18"/>
              </w:rPr>
              <w:t>32,445 </w:t>
            </w:r>
          </w:p>
        </w:tc>
        <w:tc>
          <w:tcPr>
            <w:tcW w:w="0" w:type="auto"/>
            <w:shd w:val="clear" w:color="auto" w:fill="CCEEFF"/>
            <w:tcMar>
              <w:top w:w="40" w:type="dxa"/>
              <w:left w:w="0" w:type="dxa"/>
              <w:bottom w:w="40" w:type="dxa"/>
              <w:right w:w="20" w:type="dxa"/>
            </w:tcMar>
            <w:vAlign w:val="bottom"/>
          </w:tcPr>
          <w:p w14:paraId="392C3272" w14:textId="77777777" w:rsidR="00980E5F" w:rsidRDefault="00980E5F">
            <w:pPr>
              <w:jc w:val="right"/>
              <w:rPr>
                <w:rFonts w:ascii="宋体"/>
              </w:rPr>
            </w:pPr>
          </w:p>
        </w:tc>
      </w:tr>
      <w:tr w:rsidR="00980E5F" w14:paraId="392C327A" w14:textId="77777777">
        <w:trPr>
          <w:jc w:val="center"/>
        </w:trPr>
        <w:tc>
          <w:tcPr>
            <w:tcW w:w="0" w:type="auto"/>
            <w:gridSpan w:val="3"/>
            <w:shd w:val="clear" w:color="auto" w:fill="FFFFFF"/>
            <w:tcMar>
              <w:top w:w="40" w:type="dxa"/>
              <w:left w:w="20" w:type="dxa"/>
              <w:bottom w:w="40" w:type="dxa"/>
              <w:right w:w="20" w:type="dxa"/>
            </w:tcMar>
            <w:vAlign w:val="bottom"/>
          </w:tcPr>
          <w:p w14:paraId="392C3274" w14:textId="77777777" w:rsidR="00980E5F" w:rsidRDefault="00483613">
            <w:pPr>
              <w:jc w:val="both"/>
              <w:textAlignment w:val="bottom"/>
            </w:pPr>
            <w:r>
              <w:rPr>
                <w:rFonts w:ascii="Arial" w:eastAsia="宋体" w:hAnsi="Arial" w:cs="Arial"/>
                <w:color w:val="000000"/>
                <w:sz w:val="18"/>
                <w:szCs w:val="18"/>
              </w:rPr>
              <w:t>Premises and equipment (net of accumulated depreciation of $5,652 and $5,391)</w:t>
            </w:r>
          </w:p>
        </w:tc>
        <w:tc>
          <w:tcPr>
            <w:tcW w:w="0" w:type="auto"/>
            <w:gridSpan w:val="2"/>
            <w:shd w:val="clear" w:color="auto" w:fill="FFFFFF"/>
            <w:tcMar>
              <w:top w:w="40" w:type="dxa"/>
              <w:left w:w="20" w:type="dxa"/>
              <w:bottom w:w="40" w:type="dxa"/>
              <w:right w:w="0" w:type="dxa"/>
            </w:tcMar>
            <w:vAlign w:val="bottom"/>
          </w:tcPr>
          <w:p w14:paraId="392C3275" w14:textId="77777777" w:rsidR="00980E5F" w:rsidRDefault="00483613">
            <w:pPr>
              <w:jc w:val="right"/>
              <w:textAlignment w:val="bottom"/>
            </w:pPr>
            <w:r>
              <w:rPr>
                <w:rFonts w:ascii="Arial" w:eastAsia="宋体" w:hAnsi="Arial" w:cs="Arial"/>
                <w:b/>
                <w:bCs/>
                <w:color w:val="000000"/>
                <w:sz w:val="18"/>
                <w:szCs w:val="18"/>
              </w:rPr>
              <w:t>2,240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7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78" w14:textId="77777777" w:rsidR="00980E5F" w:rsidRDefault="00483613">
            <w:pPr>
              <w:jc w:val="right"/>
              <w:textAlignment w:val="bottom"/>
            </w:pPr>
            <w:r>
              <w:rPr>
                <w:rFonts w:ascii="Arial" w:eastAsia="宋体" w:hAnsi="Arial" w:cs="Arial"/>
                <w:color w:val="000000"/>
                <w:sz w:val="18"/>
                <w:szCs w:val="18"/>
              </w:rPr>
              <w:t>2,261 </w:t>
            </w:r>
          </w:p>
        </w:tc>
        <w:tc>
          <w:tcPr>
            <w:tcW w:w="0" w:type="auto"/>
            <w:shd w:val="clear" w:color="auto" w:fill="FFFFFF"/>
            <w:tcMar>
              <w:top w:w="40" w:type="dxa"/>
              <w:left w:w="0" w:type="dxa"/>
              <w:bottom w:w="40" w:type="dxa"/>
              <w:right w:w="20" w:type="dxa"/>
            </w:tcMar>
            <w:vAlign w:val="bottom"/>
          </w:tcPr>
          <w:p w14:paraId="392C3279" w14:textId="77777777" w:rsidR="00980E5F" w:rsidRDefault="00980E5F">
            <w:pPr>
              <w:jc w:val="right"/>
              <w:rPr>
                <w:rFonts w:ascii="宋体"/>
              </w:rPr>
            </w:pPr>
          </w:p>
        </w:tc>
      </w:tr>
      <w:tr w:rsidR="00980E5F" w14:paraId="392C3281" w14:textId="77777777">
        <w:trPr>
          <w:jc w:val="center"/>
        </w:trPr>
        <w:tc>
          <w:tcPr>
            <w:tcW w:w="0" w:type="auto"/>
            <w:gridSpan w:val="3"/>
            <w:shd w:val="clear" w:color="auto" w:fill="CCEEFF"/>
            <w:tcMar>
              <w:top w:w="40" w:type="dxa"/>
              <w:left w:w="20" w:type="dxa"/>
              <w:bottom w:w="40" w:type="dxa"/>
              <w:right w:w="20" w:type="dxa"/>
            </w:tcMar>
            <w:vAlign w:val="bottom"/>
          </w:tcPr>
          <w:p w14:paraId="392C327B" w14:textId="77777777" w:rsidR="00980E5F" w:rsidRDefault="00483613">
            <w:pPr>
              <w:textAlignment w:val="bottom"/>
            </w:pPr>
            <w:r>
              <w:rPr>
                <w:rFonts w:ascii="Arial" w:eastAsia="宋体" w:hAnsi="Arial" w:cs="Arial"/>
                <w:color w:val="000000"/>
                <w:sz w:val="18"/>
                <w:szCs w:val="18"/>
              </w:rPr>
              <w:t xml:space="preserve">Accrued interest and fees </w:t>
            </w:r>
            <w:r>
              <w:rPr>
                <w:rFonts w:ascii="Arial" w:eastAsia="宋体" w:hAnsi="Arial" w:cs="Arial"/>
                <w:color w:val="000000"/>
                <w:sz w:val="18"/>
                <w:szCs w:val="18"/>
              </w:rPr>
              <w:t>receivable</w:t>
            </w:r>
          </w:p>
        </w:tc>
        <w:tc>
          <w:tcPr>
            <w:tcW w:w="0" w:type="auto"/>
            <w:gridSpan w:val="2"/>
            <w:shd w:val="clear" w:color="auto" w:fill="CCEEFF"/>
            <w:tcMar>
              <w:top w:w="40" w:type="dxa"/>
              <w:left w:w="20" w:type="dxa"/>
              <w:bottom w:w="40" w:type="dxa"/>
              <w:right w:w="0" w:type="dxa"/>
            </w:tcMar>
            <w:vAlign w:val="bottom"/>
          </w:tcPr>
          <w:p w14:paraId="392C327C" w14:textId="77777777" w:rsidR="00980E5F" w:rsidRDefault="00483613">
            <w:pPr>
              <w:jc w:val="right"/>
              <w:textAlignment w:val="bottom"/>
            </w:pPr>
            <w:r>
              <w:rPr>
                <w:rFonts w:ascii="Arial" w:eastAsia="宋体" w:hAnsi="Arial" w:cs="Arial"/>
                <w:b/>
                <w:bCs/>
                <w:color w:val="000000"/>
                <w:sz w:val="18"/>
                <w:szCs w:val="18"/>
              </w:rPr>
              <w:t>3,403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7F" w14:textId="77777777" w:rsidR="00980E5F" w:rsidRDefault="00483613">
            <w:pPr>
              <w:jc w:val="right"/>
              <w:textAlignment w:val="bottom"/>
            </w:pPr>
            <w:r>
              <w:rPr>
                <w:rFonts w:ascii="Arial" w:eastAsia="宋体" w:hAnsi="Arial" w:cs="Arial"/>
                <w:color w:val="000000"/>
                <w:sz w:val="18"/>
                <w:szCs w:val="18"/>
              </w:rPr>
              <w:t>3,278 </w:t>
            </w:r>
          </w:p>
        </w:tc>
        <w:tc>
          <w:tcPr>
            <w:tcW w:w="0" w:type="auto"/>
            <w:shd w:val="clear" w:color="auto" w:fill="CCEEFF"/>
            <w:tcMar>
              <w:top w:w="40" w:type="dxa"/>
              <w:left w:w="0" w:type="dxa"/>
              <w:bottom w:w="40" w:type="dxa"/>
              <w:right w:w="20" w:type="dxa"/>
            </w:tcMar>
            <w:vAlign w:val="bottom"/>
          </w:tcPr>
          <w:p w14:paraId="392C3280" w14:textId="77777777" w:rsidR="00980E5F" w:rsidRDefault="00980E5F">
            <w:pPr>
              <w:jc w:val="right"/>
              <w:rPr>
                <w:rFonts w:ascii="宋体"/>
              </w:rPr>
            </w:pPr>
          </w:p>
        </w:tc>
      </w:tr>
      <w:tr w:rsidR="00980E5F" w14:paraId="392C3286" w14:textId="77777777">
        <w:trPr>
          <w:jc w:val="center"/>
          <w:hidden/>
        </w:trPr>
        <w:tc>
          <w:tcPr>
            <w:tcW w:w="0" w:type="auto"/>
            <w:gridSpan w:val="3"/>
            <w:shd w:val="clear" w:color="auto" w:fill="auto"/>
            <w:vAlign w:val="bottom"/>
          </w:tcPr>
          <w:p w14:paraId="392C3282" w14:textId="77777777" w:rsidR="00980E5F" w:rsidRDefault="00980E5F">
            <w:pPr>
              <w:rPr>
                <w:rFonts w:ascii="宋体"/>
                <w:vanish/>
              </w:rPr>
            </w:pPr>
          </w:p>
        </w:tc>
        <w:tc>
          <w:tcPr>
            <w:tcW w:w="0" w:type="auto"/>
            <w:gridSpan w:val="3"/>
            <w:shd w:val="clear" w:color="auto" w:fill="auto"/>
            <w:vAlign w:val="bottom"/>
          </w:tcPr>
          <w:p w14:paraId="392C3283" w14:textId="77777777" w:rsidR="00980E5F" w:rsidRDefault="00980E5F">
            <w:pPr>
              <w:rPr>
                <w:rFonts w:ascii="宋体"/>
                <w:vanish/>
              </w:rPr>
            </w:pPr>
          </w:p>
        </w:tc>
        <w:tc>
          <w:tcPr>
            <w:tcW w:w="0" w:type="auto"/>
            <w:gridSpan w:val="3"/>
            <w:shd w:val="clear" w:color="auto" w:fill="auto"/>
            <w:vAlign w:val="bottom"/>
          </w:tcPr>
          <w:p w14:paraId="392C3284" w14:textId="77777777" w:rsidR="00980E5F" w:rsidRDefault="00980E5F">
            <w:pPr>
              <w:rPr>
                <w:rFonts w:ascii="宋体"/>
                <w:vanish/>
              </w:rPr>
            </w:pPr>
          </w:p>
        </w:tc>
        <w:tc>
          <w:tcPr>
            <w:tcW w:w="0" w:type="auto"/>
            <w:gridSpan w:val="3"/>
            <w:shd w:val="clear" w:color="auto" w:fill="auto"/>
            <w:vAlign w:val="bottom"/>
          </w:tcPr>
          <w:p w14:paraId="392C3285" w14:textId="77777777" w:rsidR="00980E5F" w:rsidRDefault="00980E5F">
            <w:pPr>
              <w:rPr>
                <w:rFonts w:ascii="宋体"/>
                <w:vanish/>
              </w:rPr>
            </w:pPr>
          </w:p>
        </w:tc>
      </w:tr>
      <w:tr w:rsidR="00980E5F" w14:paraId="392C328D" w14:textId="77777777">
        <w:trPr>
          <w:jc w:val="center"/>
        </w:trPr>
        <w:tc>
          <w:tcPr>
            <w:tcW w:w="0" w:type="auto"/>
            <w:gridSpan w:val="3"/>
            <w:shd w:val="clear" w:color="auto" w:fill="FFFFFF"/>
            <w:tcMar>
              <w:top w:w="40" w:type="dxa"/>
              <w:left w:w="20" w:type="dxa"/>
              <w:bottom w:w="40" w:type="dxa"/>
              <w:right w:w="20" w:type="dxa"/>
            </w:tcMar>
            <w:vAlign w:val="bottom"/>
          </w:tcPr>
          <w:p w14:paraId="392C3287" w14:textId="77777777" w:rsidR="00980E5F" w:rsidRDefault="00483613">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392C3288" w14:textId="77777777" w:rsidR="00980E5F" w:rsidRDefault="00483613">
            <w:pPr>
              <w:jc w:val="right"/>
              <w:textAlignment w:val="bottom"/>
            </w:pPr>
            <w:r>
              <w:rPr>
                <w:rFonts w:ascii="Arial" w:eastAsia="宋体" w:hAnsi="Arial" w:cs="Arial"/>
                <w:b/>
                <w:bCs/>
                <w:color w:val="000000"/>
                <w:sz w:val="18"/>
                <w:szCs w:val="18"/>
              </w:rPr>
              <w:t>7,465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8B" w14:textId="77777777" w:rsidR="00980E5F" w:rsidRDefault="00483613">
            <w:pPr>
              <w:jc w:val="right"/>
              <w:textAlignment w:val="bottom"/>
            </w:pPr>
            <w:r>
              <w:rPr>
                <w:rFonts w:ascii="Arial" w:eastAsia="宋体" w:hAnsi="Arial" w:cs="Arial"/>
                <w:color w:val="000000"/>
                <w:sz w:val="18"/>
                <w:szCs w:val="18"/>
              </w:rPr>
              <w:t>7,621 </w:t>
            </w:r>
          </w:p>
        </w:tc>
        <w:tc>
          <w:tcPr>
            <w:tcW w:w="0" w:type="auto"/>
            <w:shd w:val="clear" w:color="auto" w:fill="FFFFFF"/>
            <w:tcMar>
              <w:top w:w="40" w:type="dxa"/>
              <w:left w:w="0" w:type="dxa"/>
              <w:bottom w:w="40" w:type="dxa"/>
              <w:right w:w="20" w:type="dxa"/>
            </w:tcMar>
            <w:vAlign w:val="bottom"/>
          </w:tcPr>
          <w:p w14:paraId="392C328C" w14:textId="77777777" w:rsidR="00980E5F" w:rsidRDefault="00980E5F">
            <w:pPr>
              <w:jc w:val="right"/>
              <w:rPr>
                <w:rFonts w:ascii="宋体"/>
              </w:rPr>
            </w:pPr>
          </w:p>
        </w:tc>
      </w:tr>
      <w:tr w:rsidR="00980E5F" w14:paraId="392C3294" w14:textId="77777777">
        <w:trPr>
          <w:jc w:val="center"/>
        </w:trPr>
        <w:tc>
          <w:tcPr>
            <w:tcW w:w="0" w:type="auto"/>
            <w:gridSpan w:val="3"/>
            <w:shd w:val="clear" w:color="auto" w:fill="CCEEFF"/>
            <w:tcMar>
              <w:top w:w="40" w:type="dxa"/>
              <w:left w:w="20" w:type="dxa"/>
              <w:bottom w:w="40" w:type="dxa"/>
              <w:right w:w="20" w:type="dxa"/>
            </w:tcMar>
            <w:vAlign w:val="bottom"/>
          </w:tcPr>
          <w:p w14:paraId="392C328E" w14:textId="77777777" w:rsidR="00980E5F" w:rsidRDefault="00483613">
            <w:pPr>
              <w:textAlignment w:val="bottom"/>
            </w:pPr>
            <w:r>
              <w:rPr>
                <w:rFonts w:ascii="Arial" w:eastAsia="宋体" w:hAnsi="Arial" w:cs="Arial"/>
                <w:color w:val="000000"/>
                <w:sz w:val="18"/>
                <w:szCs w:val="18"/>
              </w:rPr>
              <w:t>Other intangible assets</w:t>
            </w:r>
          </w:p>
        </w:tc>
        <w:tc>
          <w:tcPr>
            <w:tcW w:w="0" w:type="auto"/>
            <w:gridSpan w:val="2"/>
            <w:shd w:val="clear" w:color="auto" w:fill="CCEEFF"/>
            <w:tcMar>
              <w:top w:w="40" w:type="dxa"/>
              <w:left w:w="20" w:type="dxa"/>
              <w:bottom w:w="40" w:type="dxa"/>
              <w:right w:w="0" w:type="dxa"/>
            </w:tcMar>
            <w:vAlign w:val="bottom"/>
          </w:tcPr>
          <w:p w14:paraId="392C328F" w14:textId="77777777" w:rsidR="00980E5F" w:rsidRDefault="00483613">
            <w:pPr>
              <w:jc w:val="right"/>
              <w:textAlignment w:val="bottom"/>
            </w:pPr>
            <w:r>
              <w:rPr>
                <w:rFonts w:ascii="Arial" w:eastAsia="宋体" w:hAnsi="Arial" w:cs="Arial"/>
                <w:b/>
                <w:bCs/>
                <w:color w:val="000000"/>
                <w:sz w:val="18"/>
                <w:szCs w:val="18"/>
              </w:rPr>
              <w:t>1,654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9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92" w14:textId="77777777" w:rsidR="00980E5F" w:rsidRDefault="00483613">
            <w:pPr>
              <w:jc w:val="right"/>
              <w:textAlignment w:val="bottom"/>
            </w:pPr>
            <w:r>
              <w:rPr>
                <w:rFonts w:ascii="Arial" w:eastAsia="宋体" w:hAnsi="Arial" w:cs="Arial"/>
                <w:color w:val="000000"/>
                <w:sz w:val="18"/>
                <w:szCs w:val="18"/>
              </w:rPr>
              <w:t>1,816 </w:t>
            </w:r>
          </w:p>
        </w:tc>
        <w:tc>
          <w:tcPr>
            <w:tcW w:w="0" w:type="auto"/>
            <w:shd w:val="clear" w:color="auto" w:fill="CCEEFF"/>
            <w:tcMar>
              <w:top w:w="40" w:type="dxa"/>
              <w:left w:w="0" w:type="dxa"/>
              <w:bottom w:w="40" w:type="dxa"/>
              <w:right w:w="20" w:type="dxa"/>
            </w:tcMar>
            <w:vAlign w:val="bottom"/>
          </w:tcPr>
          <w:p w14:paraId="392C3293" w14:textId="77777777" w:rsidR="00980E5F" w:rsidRDefault="00980E5F">
            <w:pPr>
              <w:jc w:val="right"/>
              <w:rPr>
                <w:rFonts w:ascii="宋体"/>
              </w:rPr>
            </w:pPr>
          </w:p>
        </w:tc>
      </w:tr>
      <w:tr w:rsidR="00980E5F" w14:paraId="392C329B" w14:textId="77777777">
        <w:trPr>
          <w:jc w:val="center"/>
        </w:trPr>
        <w:tc>
          <w:tcPr>
            <w:tcW w:w="0" w:type="auto"/>
            <w:gridSpan w:val="3"/>
            <w:shd w:val="clear" w:color="auto" w:fill="FFFFFF"/>
            <w:tcMar>
              <w:top w:w="40" w:type="dxa"/>
              <w:left w:w="20" w:type="dxa"/>
              <w:bottom w:w="40" w:type="dxa"/>
              <w:right w:w="20" w:type="dxa"/>
            </w:tcMar>
            <w:vAlign w:val="bottom"/>
          </w:tcPr>
          <w:p w14:paraId="392C3295" w14:textId="77777777" w:rsidR="00980E5F" w:rsidRDefault="00483613">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392C3296" w14:textId="77777777" w:rsidR="00980E5F" w:rsidRDefault="00483613">
            <w:pPr>
              <w:jc w:val="right"/>
              <w:textAlignment w:val="bottom"/>
            </w:pPr>
            <w:r>
              <w:rPr>
                <w:rFonts w:ascii="Arial" w:eastAsia="宋体" w:hAnsi="Arial" w:cs="Arial"/>
                <w:b/>
                <w:bCs/>
                <w:color w:val="000000"/>
                <w:sz w:val="18"/>
                <w:szCs w:val="18"/>
              </w:rPr>
              <w:t>41,470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99" w14:textId="77777777" w:rsidR="00980E5F" w:rsidRDefault="00483613">
            <w:pPr>
              <w:jc w:val="right"/>
              <w:textAlignment w:val="bottom"/>
            </w:pPr>
            <w:r>
              <w:rPr>
                <w:rFonts w:ascii="Arial" w:eastAsia="宋体" w:hAnsi="Arial" w:cs="Arial"/>
                <w:color w:val="000000"/>
                <w:sz w:val="18"/>
                <w:szCs w:val="18"/>
              </w:rPr>
              <w:t>37,615 </w:t>
            </w:r>
          </w:p>
        </w:tc>
        <w:tc>
          <w:tcPr>
            <w:tcW w:w="0" w:type="auto"/>
            <w:shd w:val="clear" w:color="auto" w:fill="FFFFFF"/>
            <w:tcMar>
              <w:top w:w="40" w:type="dxa"/>
              <w:left w:w="0" w:type="dxa"/>
              <w:bottom w:w="40" w:type="dxa"/>
              <w:right w:w="20" w:type="dxa"/>
            </w:tcMar>
            <w:vAlign w:val="bottom"/>
          </w:tcPr>
          <w:p w14:paraId="392C329A" w14:textId="77777777" w:rsidR="00980E5F" w:rsidRDefault="00980E5F">
            <w:pPr>
              <w:jc w:val="right"/>
              <w:rPr>
                <w:rFonts w:ascii="宋体"/>
              </w:rPr>
            </w:pPr>
          </w:p>
        </w:tc>
      </w:tr>
      <w:tr w:rsidR="00980E5F" w14:paraId="392C32A4" w14:textId="77777777">
        <w:trPr>
          <w:jc w:val="center"/>
        </w:trPr>
        <w:tc>
          <w:tcPr>
            <w:tcW w:w="0" w:type="auto"/>
            <w:gridSpan w:val="3"/>
            <w:shd w:val="clear" w:color="auto" w:fill="CCEEFF"/>
            <w:tcMar>
              <w:top w:w="40" w:type="dxa"/>
              <w:left w:w="20" w:type="dxa"/>
              <w:bottom w:w="40" w:type="dxa"/>
              <w:right w:w="20" w:type="dxa"/>
            </w:tcMar>
            <w:vAlign w:val="bottom"/>
          </w:tcPr>
          <w:p w14:paraId="392C329C" w14:textId="77777777" w:rsidR="00980E5F" w:rsidRDefault="00483613">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29D"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29E" w14:textId="77777777" w:rsidR="00980E5F" w:rsidRDefault="00483613">
            <w:pPr>
              <w:jc w:val="right"/>
              <w:textAlignment w:val="bottom"/>
            </w:pPr>
            <w:r>
              <w:rPr>
                <w:rFonts w:ascii="Arial" w:eastAsia="宋体" w:hAnsi="Arial" w:cs="Arial"/>
                <w:b/>
                <w:bCs/>
                <w:color w:val="000000"/>
                <w:sz w:val="18"/>
                <w:szCs w:val="18"/>
              </w:rPr>
              <w:t>300,223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2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A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2A1"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2A2" w14:textId="77777777" w:rsidR="00980E5F" w:rsidRDefault="00483613">
            <w:pPr>
              <w:jc w:val="right"/>
              <w:textAlignment w:val="bottom"/>
            </w:pPr>
            <w:r>
              <w:rPr>
                <w:rFonts w:ascii="Arial" w:eastAsia="宋体" w:hAnsi="Arial" w:cs="Arial"/>
                <w:color w:val="000000"/>
                <w:sz w:val="18"/>
                <w:szCs w:val="18"/>
              </w:rPr>
              <w:t>314,624 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2A3" w14:textId="77777777" w:rsidR="00980E5F" w:rsidRDefault="00980E5F">
            <w:pPr>
              <w:jc w:val="right"/>
              <w:rPr>
                <w:rFonts w:ascii="宋体"/>
              </w:rPr>
            </w:pPr>
          </w:p>
        </w:tc>
      </w:tr>
      <w:tr w:rsidR="00980E5F" w14:paraId="392C32A9" w14:textId="77777777">
        <w:trPr>
          <w:jc w:val="center"/>
        </w:trPr>
        <w:tc>
          <w:tcPr>
            <w:tcW w:w="0" w:type="auto"/>
            <w:gridSpan w:val="3"/>
            <w:shd w:val="clear" w:color="auto" w:fill="FFFFFF"/>
            <w:tcMar>
              <w:top w:w="40" w:type="dxa"/>
              <w:left w:w="20" w:type="dxa"/>
              <w:bottom w:w="40" w:type="dxa"/>
              <w:right w:w="20" w:type="dxa"/>
            </w:tcMar>
            <w:vAlign w:val="bottom"/>
          </w:tcPr>
          <w:p w14:paraId="392C32A5" w14:textId="77777777" w:rsidR="00980E5F" w:rsidRDefault="00483613">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32A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2A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32A8" w14:textId="77777777" w:rsidR="00980E5F" w:rsidRDefault="00980E5F">
            <w:pPr>
              <w:rPr>
                <w:rFonts w:ascii="宋体"/>
              </w:rPr>
            </w:pPr>
          </w:p>
        </w:tc>
      </w:tr>
      <w:tr w:rsidR="00980E5F" w14:paraId="392C32AE" w14:textId="77777777">
        <w:trPr>
          <w:jc w:val="center"/>
        </w:trPr>
        <w:tc>
          <w:tcPr>
            <w:tcW w:w="0" w:type="auto"/>
            <w:gridSpan w:val="3"/>
            <w:shd w:val="clear" w:color="auto" w:fill="CCEEFF"/>
            <w:tcMar>
              <w:top w:w="40" w:type="dxa"/>
              <w:left w:w="20" w:type="dxa"/>
              <w:bottom w:w="40" w:type="dxa"/>
              <w:right w:w="20" w:type="dxa"/>
            </w:tcMar>
            <w:vAlign w:val="bottom"/>
          </w:tcPr>
          <w:p w14:paraId="392C32AA" w14:textId="77777777" w:rsidR="00980E5F" w:rsidRDefault="00483613">
            <w:pPr>
              <w:textAlignment w:val="bottom"/>
            </w:pPr>
            <w:r>
              <w:rPr>
                <w:rFonts w:ascii="Arial" w:eastAsia="宋体" w:hAnsi="Arial" w:cs="Arial"/>
                <w:color w:val="000000"/>
                <w:sz w:val="18"/>
                <w:szCs w:val="18"/>
              </w:rPr>
              <w:t>Deposits:</w:t>
            </w:r>
          </w:p>
        </w:tc>
        <w:tc>
          <w:tcPr>
            <w:tcW w:w="0" w:type="auto"/>
            <w:gridSpan w:val="3"/>
            <w:shd w:val="clear" w:color="auto" w:fill="CCEEFF"/>
            <w:tcMar>
              <w:top w:w="0" w:type="dxa"/>
              <w:left w:w="20" w:type="dxa"/>
              <w:bottom w:w="0" w:type="dxa"/>
              <w:right w:w="20" w:type="dxa"/>
            </w:tcMar>
            <w:vAlign w:val="bottom"/>
          </w:tcPr>
          <w:p w14:paraId="392C32A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2A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2AD" w14:textId="77777777" w:rsidR="00980E5F" w:rsidRDefault="00980E5F">
            <w:pPr>
              <w:rPr>
                <w:rFonts w:ascii="宋体"/>
              </w:rPr>
            </w:pPr>
          </w:p>
        </w:tc>
      </w:tr>
      <w:tr w:rsidR="00980E5F" w14:paraId="392C32B7" w14:textId="77777777">
        <w:trPr>
          <w:jc w:val="center"/>
        </w:trPr>
        <w:tc>
          <w:tcPr>
            <w:tcW w:w="0" w:type="auto"/>
            <w:gridSpan w:val="3"/>
            <w:shd w:val="clear" w:color="auto" w:fill="FFFFFF"/>
            <w:tcMar>
              <w:top w:w="40" w:type="dxa"/>
              <w:left w:w="245" w:type="dxa"/>
              <w:bottom w:w="40" w:type="dxa"/>
              <w:right w:w="20" w:type="dxa"/>
            </w:tcMar>
            <w:vAlign w:val="bottom"/>
          </w:tcPr>
          <w:p w14:paraId="392C32AF" w14:textId="77777777" w:rsidR="00980E5F" w:rsidRDefault="00483613">
            <w:pPr>
              <w:textAlignment w:val="bottom"/>
            </w:pPr>
            <w:r>
              <w:rPr>
                <w:rFonts w:ascii="Arial" w:eastAsia="宋体" w:hAnsi="Arial" w:cs="Arial"/>
                <w:color w:val="000000"/>
                <w:sz w:val="18"/>
                <w:szCs w:val="18"/>
              </w:rPr>
              <w:t>Non-interest-bearing</w:t>
            </w:r>
          </w:p>
        </w:tc>
        <w:tc>
          <w:tcPr>
            <w:tcW w:w="0" w:type="auto"/>
            <w:shd w:val="clear" w:color="auto" w:fill="FFFFFF"/>
            <w:tcMar>
              <w:top w:w="40" w:type="dxa"/>
              <w:left w:w="20" w:type="dxa"/>
              <w:bottom w:w="40" w:type="dxa"/>
              <w:right w:w="0" w:type="dxa"/>
            </w:tcMar>
            <w:vAlign w:val="bottom"/>
          </w:tcPr>
          <w:p w14:paraId="392C32B0" w14:textId="77777777" w:rsidR="00980E5F" w:rsidRDefault="00483613">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392C32B1" w14:textId="77777777" w:rsidR="00980E5F" w:rsidRDefault="00483613">
            <w:pPr>
              <w:jc w:val="right"/>
              <w:textAlignment w:val="bottom"/>
            </w:pPr>
            <w:r>
              <w:rPr>
                <w:rFonts w:ascii="Arial" w:eastAsia="宋体" w:hAnsi="Arial" w:cs="Arial"/>
                <w:b/>
                <w:bCs/>
                <w:color w:val="000000"/>
                <w:sz w:val="18"/>
                <w:szCs w:val="18"/>
              </w:rPr>
              <w:t>55,062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B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2B4" w14:textId="77777777" w:rsidR="00980E5F" w:rsidRDefault="004836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92C32B5" w14:textId="77777777" w:rsidR="00980E5F" w:rsidRDefault="00483613">
            <w:pPr>
              <w:jc w:val="right"/>
              <w:textAlignment w:val="bottom"/>
            </w:pPr>
            <w:r>
              <w:rPr>
                <w:rFonts w:ascii="Arial" w:eastAsia="宋体" w:hAnsi="Arial" w:cs="Arial"/>
                <w:color w:val="000000"/>
                <w:sz w:val="18"/>
                <w:szCs w:val="18"/>
              </w:rPr>
              <w:t>56,461 </w:t>
            </w:r>
          </w:p>
        </w:tc>
        <w:tc>
          <w:tcPr>
            <w:tcW w:w="0" w:type="auto"/>
            <w:shd w:val="clear" w:color="auto" w:fill="FFFFFF"/>
            <w:tcMar>
              <w:top w:w="40" w:type="dxa"/>
              <w:left w:w="0" w:type="dxa"/>
              <w:bottom w:w="40" w:type="dxa"/>
              <w:right w:w="20" w:type="dxa"/>
            </w:tcMar>
            <w:vAlign w:val="bottom"/>
          </w:tcPr>
          <w:p w14:paraId="392C32B6" w14:textId="77777777" w:rsidR="00980E5F" w:rsidRDefault="00980E5F">
            <w:pPr>
              <w:jc w:val="right"/>
              <w:rPr>
                <w:rFonts w:ascii="宋体"/>
              </w:rPr>
            </w:pPr>
          </w:p>
        </w:tc>
      </w:tr>
      <w:tr w:rsidR="00980E5F" w14:paraId="392C32BE" w14:textId="77777777">
        <w:trPr>
          <w:jc w:val="center"/>
        </w:trPr>
        <w:tc>
          <w:tcPr>
            <w:tcW w:w="0" w:type="auto"/>
            <w:gridSpan w:val="3"/>
            <w:shd w:val="clear" w:color="auto" w:fill="CCEEFF"/>
            <w:tcMar>
              <w:top w:w="40" w:type="dxa"/>
              <w:left w:w="245" w:type="dxa"/>
              <w:bottom w:w="40" w:type="dxa"/>
              <w:right w:w="20" w:type="dxa"/>
            </w:tcMar>
            <w:vAlign w:val="bottom"/>
          </w:tcPr>
          <w:p w14:paraId="392C32B8" w14:textId="77777777" w:rsidR="00980E5F" w:rsidRDefault="00483613">
            <w:pPr>
              <w:textAlignment w:val="bottom"/>
            </w:pPr>
            <w:r>
              <w:rPr>
                <w:rFonts w:ascii="Arial" w:eastAsia="宋体" w:hAnsi="Arial" w:cs="Arial"/>
                <w:color w:val="000000"/>
                <w:sz w:val="18"/>
                <w:szCs w:val="18"/>
              </w:rPr>
              <w:t>Interest-bearing - U.S.</w:t>
            </w:r>
          </w:p>
        </w:tc>
        <w:tc>
          <w:tcPr>
            <w:tcW w:w="0" w:type="auto"/>
            <w:gridSpan w:val="2"/>
            <w:shd w:val="clear" w:color="auto" w:fill="CCEEFF"/>
            <w:tcMar>
              <w:top w:w="40" w:type="dxa"/>
              <w:left w:w="20" w:type="dxa"/>
              <w:bottom w:w="40" w:type="dxa"/>
              <w:right w:w="0" w:type="dxa"/>
            </w:tcMar>
            <w:vAlign w:val="bottom"/>
          </w:tcPr>
          <w:p w14:paraId="392C32B9" w14:textId="77777777" w:rsidR="00980E5F" w:rsidRDefault="00483613">
            <w:pPr>
              <w:jc w:val="right"/>
              <w:textAlignment w:val="bottom"/>
            </w:pPr>
            <w:r>
              <w:rPr>
                <w:rFonts w:ascii="Arial" w:eastAsia="宋体" w:hAnsi="Arial" w:cs="Arial"/>
                <w:b/>
                <w:bCs/>
                <w:color w:val="000000"/>
                <w:sz w:val="18"/>
                <w:szCs w:val="18"/>
              </w:rPr>
              <w:t>107,262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BC" w14:textId="77777777" w:rsidR="00980E5F" w:rsidRDefault="00483613">
            <w:pPr>
              <w:jc w:val="right"/>
              <w:textAlignment w:val="bottom"/>
            </w:pPr>
            <w:r>
              <w:rPr>
                <w:rFonts w:ascii="Arial" w:eastAsia="宋体" w:hAnsi="Arial" w:cs="Arial"/>
                <w:color w:val="000000"/>
                <w:sz w:val="18"/>
                <w:szCs w:val="18"/>
              </w:rPr>
              <w:t>102,985 </w:t>
            </w:r>
          </w:p>
        </w:tc>
        <w:tc>
          <w:tcPr>
            <w:tcW w:w="0" w:type="auto"/>
            <w:shd w:val="clear" w:color="auto" w:fill="CCEEFF"/>
            <w:tcMar>
              <w:top w:w="40" w:type="dxa"/>
              <w:left w:w="0" w:type="dxa"/>
              <w:bottom w:w="40" w:type="dxa"/>
              <w:right w:w="20" w:type="dxa"/>
            </w:tcMar>
            <w:vAlign w:val="bottom"/>
          </w:tcPr>
          <w:p w14:paraId="392C32BD" w14:textId="77777777" w:rsidR="00980E5F" w:rsidRDefault="00980E5F">
            <w:pPr>
              <w:jc w:val="right"/>
              <w:rPr>
                <w:rFonts w:ascii="宋体"/>
              </w:rPr>
            </w:pPr>
          </w:p>
        </w:tc>
      </w:tr>
      <w:tr w:rsidR="00980E5F" w14:paraId="392C32C5" w14:textId="77777777">
        <w:trPr>
          <w:jc w:val="center"/>
        </w:trPr>
        <w:tc>
          <w:tcPr>
            <w:tcW w:w="0" w:type="auto"/>
            <w:gridSpan w:val="3"/>
            <w:shd w:val="clear" w:color="auto" w:fill="FFFFFF"/>
            <w:tcMar>
              <w:top w:w="40" w:type="dxa"/>
              <w:left w:w="245" w:type="dxa"/>
              <w:bottom w:w="40" w:type="dxa"/>
              <w:right w:w="20" w:type="dxa"/>
            </w:tcMar>
            <w:vAlign w:val="bottom"/>
          </w:tcPr>
          <w:p w14:paraId="392C32BF" w14:textId="77777777" w:rsidR="00980E5F" w:rsidRDefault="00483613">
            <w:pPr>
              <w:textAlignment w:val="bottom"/>
            </w:pPr>
            <w:r>
              <w:rPr>
                <w:rFonts w:ascii="Arial" w:eastAsia="宋体" w:hAnsi="Arial" w:cs="Arial"/>
                <w:color w:val="000000"/>
                <w:sz w:val="18"/>
                <w:szCs w:val="18"/>
              </w:rPr>
              <w:t>Interest-bearing - non-U.S.</w:t>
            </w:r>
          </w:p>
        </w:tc>
        <w:tc>
          <w:tcPr>
            <w:tcW w:w="0" w:type="auto"/>
            <w:gridSpan w:val="2"/>
            <w:shd w:val="clear" w:color="auto" w:fill="FFFFFF"/>
            <w:tcMar>
              <w:top w:w="40" w:type="dxa"/>
              <w:left w:w="20" w:type="dxa"/>
              <w:bottom w:w="40" w:type="dxa"/>
              <w:right w:w="0" w:type="dxa"/>
            </w:tcMar>
            <w:vAlign w:val="bottom"/>
          </w:tcPr>
          <w:p w14:paraId="392C32C0" w14:textId="77777777" w:rsidR="00980E5F" w:rsidRDefault="00483613">
            <w:pPr>
              <w:jc w:val="right"/>
              <w:textAlignment w:val="bottom"/>
            </w:pPr>
            <w:r>
              <w:rPr>
                <w:rFonts w:ascii="Arial" w:eastAsia="宋体" w:hAnsi="Arial" w:cs="Arial"/>
                <w:b/>
                <w:bCs/>
                <w:color w:val="000000"/>
                <w:sz w:val="18"/>
                <w:szCs w:val="18"/>
              </w:rPr>
              <w:t>79,589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C3" w14:textId="77777777" w:rsidR="00980E5F" w:rsidRDefault="00483613">
            <w:pPr>
              <w:jc w:val="right"/>
              <w:textAlignment w:val="bottom"/>
            </w:pPr>
            <w:r>
              <w:rPr>
                <w:rFonts w:ascii="Arial" w:eastAsia="宋体" w:hAnsi="Arial" w:cs="Arial"/>
                <w:color w:val="000000"/>
                <w:sz w:val="18"/>
                <w:szCs w:val="18"/>
              </w:rPr>
              <w:t>95,589 </w:t>
            </w:r>
          </w:p>
        </w:tc>
        <w:tc>
          <w:tcPr>
            <w:tcW w:w="0" w:type="auto"/>
            <w:shd w:val="clear" w:color="auto" w:fill="FFFFFF"/>
            <w:tcMar>
              <w:top w:w="40" w:type="dxa"/>
              <w:left w:w="0" w:type="dxa"/>
              <w:bottom w:w="40" w:type="dxa"/>
              <w:right w:w="20" w:type="dxa"/>
            </w:tcMar>
            <w:vAlign w:val="bottom"/>
          </w:tcPr>
          <w:p w14:paraId="392C32C4" w14:textId="77777777" w:rsidR="00980E5F" w:rsidRDefault="00980E5F">
            <w:pPr>
              <w:jc w:val="right"/>
              <w:rPr>
                <w:rFonts w:ascii="宋体"/>
              </w:rPr>
            </w:pPr>
          </w:p>
        </w:tc>
      </w:tr>
      <w:tr w:rsidR="00980E5F" w14:paraId="392C32CC" w14:textId="77777777">
        <w:trPr>
          <w:jc w:val="center"/>
        </w:trPr>
        <w:tc>
          <w:tcPr>
            <w:tcW w:w="0" w:type="auto"/>
            <w:gridSpan w:val="3"/>
            <w:shd w:val="clear" w:color="auto" w:fill="CCEEFF"/>
            <w:tcMar>
              <w:top w:w="40" w:type="dxa"/>
              <w:left w:w="20" w:type="dxa"/>
              <w:bottom w:w="40" w:type="dxa"/>
              <w:right w:w="20" w:type="dxa"/>
            </w:tcMar>
            <w:vAlign w:val="bottom"/>
          </w:tcPr>
          <w:p w14:paraId="392C32C6" w14:textId="77777777" w:rsidR="00980E5F" w:rsidRDefault="00483613">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2C7" w14:textId="77777777" w:rsidR="00980E5F" w:rsidRDefault="00483613">
            <w:pPr>
              <w:jc w:val="right"/>
              <w:textAlignment w:val="bottom"/>
            </w:pPr>
            <w:r>
              <w:rPr>
                <w:rFonts w:ascii="Arial" w:eastAsia="宋体" w:hAnsi="Arial" w:cs="Arial"/>
                <w:b/>
                <w:bCs/>
                <w:color w:val="000000"/>
                <w:sz w:val="18"/>
                <w:szCs w:val="18"/>
              </w:rPr>
              <w:t>241,913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2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C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2CA" w14:textId="77777777" w:rsidR="00980E5F" w:rsidRDefault="00483613">
            <w:pPr>
              <w:jc w:val="right"/>
              <w:textAlignment w:val="bottom"/>
            </w:pPr>
            <w:r>
              <w:rPr>
                <w:rFonts w:ascii="Arial" w:eastAsia="宋体" w:hAnsi="Arial" w:cs="Arial"/>
                <w:color w:val="000000"/>
                <w:sz w:val="18"/>
                <w:szCs w:val="18"/>
              </w:rPr>
              <w:t>255,035 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2CB" w14:textId="77777777" w:rsidR="00980E5F" w:rsidRDefault="00980E5F">
            <w:pPr>
              <w:jc w:val="right"/>
              <w:rPr>
                <w:rFonts w:ascii="宋体"/>
              </w:rPr>
            </w:pPr>
          </w:p>
        </w:tc>
      </w:tr>
      <w:tr w:rsidR="00980E5F" w14:paraId="392C32D3" w14:textId="77777777">
        <w:trPr>
          <w:jc w:val="center"/>
        </w:trPr>
        <w:tc>
          <w:tcPr>
            <w:tcW w:w="0" w:type="auto"/>
            <w:gridSpan w:val="3"/>
            <w:shd w:val="clear" w:color="auto" w:fill="FFFFFF"/>
            <w:tcMar>
              <w:top w:w="40" w:type="dxa"/>
              <w:left w:w="20" w:type="dxa"/>
              <w:bottom w:w="40" w:type="dxa"/>
              <w:right w:w="20" w:type="dxa"/>
            </w:tcMar>
            <w:vAlign w:val="bottom"/>
          </w:tcPr>
          <w:p w14:paraId="392C32CD" w14:textId="77777777" w:rsidR="00980E5F" w:rsidRDefault="00483613">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32CE" w14:textId="77777777" w:rsidR="00980E5F" w:rsidRDefault="00483613">
            <w:pPr>
              <w:jc w:val="right"/>
              <w:textAlignment w:val="bottom"/>
            </w:pPr>
            <w:r>
              <w:rPr>
                <w:rFonts w:ascii="Arial" w:eastAsia="宋体" w:hAnsi="Arial" w:cs="Arial"/>
                <w:b/>
                <w:bCs/>
                <w:color w:val="000000"/>
                <w:sz w:val="18"/>
                <w:szCs w:val="18"/>
              </w:rPr>
              <w:t>951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D1" w14:textId="77777777" w:rsidR="00980E5F" w:rsidRDefault="00483613">
            <w:pPr>
              <w:jc w:val="right"/>
              <w:textAlignment w:val="bottom"/>
            </w:pPr>
            <w:r>
              <w:rPr>
                <w:rFonts w:ascii="Arial" w:eastAsia="宋体" w:hAnsi="Arial" w:cs="Arial"/>
                <w:color w:val="000000"/>
                <w:sz w:val="18"/>
                <w:szCs w:val="18"/>
              </w:rPr>
              <w:t>1,575 </w:t>
            </w:r>
          </w:p>
        </w:tc>
        <w:tc>
          <w:tcPr>
            <w:tcW w:w="0" w:type="auto"/>
            <w:shd w:val="clear" w:color="auto" w:fill="FFFFFF"/>
            <w:tcMar>
              <w:top w:w="40" w:type="dxa"/>
              <w:left w:w="0" w:type="dxa"/>
              <w:bottom w:w="40" w:type="dxa"/>
              <w:right w:w="20" w:type="dxa"/>
            </w:tcMar>
            <w:vAlign w:val="bottom"/>
          </w:tcPr>
          <w:p w14:paraId="392C32D2" w14:textId="77777777" w:rsidR="00980E5F" w:rsidRDefault="00980E5F">
            <w:pPr>
              <w:jc w:val="right"/>
              <w:rPr>
                <w:rFonts w:ascii="宋体"/>
              </w:rPr>
            </w:pPr>
          </w:p>
        </w:tc>
      </w:tr>
      <w:tr w:rsidR="00980E5F" w14:paraId="392C32D8" w14:textId="77777777">
        <w:trPr>
          <w:jc w:val="center"/>
          <w:hidden/>
        </w:trPr>
        <w:tc>
          <w:tcPr>
            <w:tcW w:w="0" w:type="auto"/>
            <w:gridSpan w:val="3"/>
            <w:shd w:val="clear" w:color="auto" w:fill="auto"/>
            <w:vAlign w:val="bottom"/>
          </w:tcPr>
          <w:p w14:paraId="392C32D4" w14:textId="77777777" w:rsidR="00980E5F" w:rsidRDefault="00980E5F">
            <w:pPr>
              <w:rPr>
                <w:rFonts w:ascii="宋体"/>
                <w:vanish/>
              </w:rPr>
            </w:pPr>
          </w:p>
        </w:tc>
        <w:tc>
          <w:tcPr>
            <w:tcW w:w="0" w:type="auto"/>
            <w:gridSpan w:val="3"/>
            <w:shd w:val="clear" w:color="auto" w:fill="auto"/>
            <w:vAlign w:val="bottom"/>
          </w:tcPr>
          <w:p w14:paraId="392C32D5" w14:textId="77777777" w:rsidR="00980E5F" w:rsidRDefault="00980E5F">
            <w:pPr>
              <w:rPr>
                <w:rFonts w:ascii="宋体"/>
                <w:vanish/>
              </w:rPr>
            </w:pPr>
          </w:p>
        </w:tc>
        <w:tc>
          <w:tcPr>
            <w:tcW w:w="0" w:type="auto"/>
            <w:gridSpan w:val="3"/>
            <w:shd w:val="clear" w:color="auto" w:fill="auto"/>
            <w:vAlign w:val="bottom"/>
          </w:tcPr>
          <w:p w14:paraId="392C32D6" w14:textId="77777777" w:rsidR="00980E5F" w:rsidRDefault="00980E5F">
            <w:pPr>
              <w:rPr>
                <w:rFonts w:ascii="宋体"/>
                <w:vanish/>
              </w:rPr>
            </w:pPr>
          </w:p>
        </w:tc>
        <w:tc>
          <w:tcPr>
            <w:tcW w:w="0" w:type="auto"/>
            <w:gridSpan w:val="3"/>
            <w:shd w:val="clear" w:color="auto" w:fill="auto"/>
            <w:vAlign w:val="bottom"/>
          </w:tcPr>
          <w:p w14:paraId="392C32D7" w14:textId="77777777" w:rsidR="00980E5F" w:rsidRDefault="00980E5F">
            <w:pPr>
              <w:rPr>
                <w:rFonts w:ascii="宋体"/>
                <w:vanish/>
              </w:rPr>
            </w:pPr>
          </w:p>
        </w:tc>
      </w:tr>
      <w:tr w:rsidR="00980E5F" w14:paraId="392C32DF" w14:textId="77777777">
        <w:trPr>
          <w:jc w:val="center"/>
        </w:trPr>
        <w:tc>
          <w:tcPr>
            <w:tcW w:w="0" w:type="auto"/>
            <w:gridSpan w:val="3"/>
            <w:shd w:val="clear" w:color="auto" w:fill="CCEEFF"/>
            <w:tcMar>
              <w:top w:w="40" w:type="dxa"/>
              <w:left w:w="20" w:type="dxa"/>
              <w:bottom w:w="40" w:type="dxa"/>
              <w:right w:w="20" w:type="dxa"/>
            </w:tcMar>
            <w:vAlign w:val="bottom"/>
          </w:tcPr>
          <w:p w14:paraId="392C32D9" w14:textId="77777777" w:rsidR="00980E5F" w:rsidRDefault="00483613">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392C32DA" w14:textId="77777777" w:rsidR="00980E5F" w:rsidRDefault="00483613">
            <w:pPr>
              <w:jc w:val="right"/>
              <w:textAlignment w:val="bottom"/>
            </w:pPr>
            <w:r>
              <w:rPr>
                <w:rFonts w:ascii="Arial" w:eastAsia="宋体" w:hAnsi="Arial" w:cs="Arial"/>
                <w:b/>
                <w:bCs/>
                <w:color w:val="000000"/>
                <w:sz w:val="18"/>
                <w:szCs w:val="18"/>
              </w:rPr>
              <w:t>73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D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DD" w14:textId="77777777" w:rsidR="00980E5F" w:rsidRDefault="00483613">
            <w:pPr>
              <w:jc w:val="right"/>
              <w:textAlignment w:val="bottom"/>
            </w:pPr>
            <w:r>
              <w:rPr>
                <w:rFonts w:ascii="Arial" w:eastAsia="宋体" w:hAnsi="Arial" w:cs="Arial"/>
                <w:color w:val="000000"/>
                <w:sz w:val="18"/>
                <w:szCs w:val="18"/>
              </w:rPr>
              <w:t>128 </w:t>
            </w:r>
          </w:p>
        </w:tc>
        <w:tc>
          <w:tcPr>
            <w:tcW w:w="0" w:type="auto"/>
            <w:shd w:val="clear" w:color="auto" w:fill="CCEEFF"/>
            <w:tcMar>
              <w:top w:w="40" w:type="dxa"/>
              <w:left w:w="0" w:type="dxa"/>
              <w:bottom w:w="40" w:type="dxa"/>
              <w:right w:w="20" w:type="dxa"/>
            </w:tcMar>
            <w:vAlign w:val="bottom"/>
          </w:tcPr>
          <w:p w14:paraId="392C32DE" w14:textId="77777777" w:rsidR="00980E5F" w:rsidRDefault="00980E5F">
            <w:pPr>
              <w:jc w:val="right"/>
              <w:rPr>
                <w:rFonts w:ascii="宋体"/>
              </w:rPr>
            </w:pPr>
          </w:p>
        </w:tc>
      </w:tr>
      <w:tr w:rsidR="00980E5F" w14:paraId="392C32E6" w14:textId="77777777">
        <w:trPr>
          <w:jc w:val="center"/>
        </w:trPr>
        <w:tc>
          <w:tcPr>
            <w:tcW w:w="0" w:type="auto"/>
            <w:gridSpan w:val="3"/>
            <w:shd w:val="clear" w:color="auto" w:fill="FFFFFF"/>
            <w:tcMar>
              <w:top w:w="40" w:type="dxa"/>
              <w:left w:w="20" w:type="dxa"/>
              <w:bottom w:w="40" w:type="dxa"/>
              <w:right w:w="20" w:type="dxa"/>
            </w:tcMar>
            <w:vAlign w:val="bottom"/>
          </w:tcPr>
          <w:p w14:paraId="392C32E0" w14:textId="77777777" w:rsidR="00980E5F" w:rsidRDefault="00483613">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expenses and other liabilities</w:t>
            </w:r>
          </w:p>
        </w:tc>
        <w:tc>
          <w:tcPr>
            <w:tcW w:w="0" w:type="auto"/>
            <w:gridSpan w:val="2"/>
            <w:shd w:val="clear" w:color="auto" w:fill="FFFFFF"/>
            <w:tcMar>
              <w:top w:w="40" w:type="dxa"/>
              <w:left w:w="20" w:type="dxa"/>
              <w:bottom w:w="40" w:type="dxa"/>
              <w:right w:w="0" w:type="dxa"/>
            </w:tcMar>
            <w:vAlign w:val="bottom"/>
          </w:tcPr>
          <w:p w14:paraId="392C32E1" w14:textId="77777777" w:rsidR="00980E5F" w:rsidRDefault="00483613">
            <w:pPr>
              <w:jc w:val="right"/>
              <w:textAlignment w:val="bottom"/>
            </w:pPr>
            <w:r>
              <w:rPr>
                <w:rFonts w:ascii="Arial" w:eastAsia="宋体" w:hAnsi="Arial" w:cs="Arial"/>
                <w:b/>
                <w:bCs/>
                <w:color w:val="000000"/>
                <w:sz w:val="18"/>
                <w:szCs w:val="18"/>
              </w:rPr>
              <w:t>17,989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2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2E4" w14:textId="77777777" w:rsidR="00980E5F" w:rsidRDefault="00483613">
            <w:pPr>
              <w:jc w:val="right"/>
              <w:textAlignment w:val="bottom"/>
            </w:pPr>
            <w:r>
              <w:rPr>
                <w:rFonts w:ascii="Arial" w:eastAsia="宋体" w:hAnsi="Arial" w:cs="Arial"/>
                <w:color w:val="000000"/>
                <w:sz w:val="18"/>
                <w:szCs w:val="18"/>
              </w:rPr>
              <w:t>17,048 </w:t>
            </w:r>
          </w:p>
        </w:tc>
        <w:tc>
          <w:tcPr>
            <w:tcW w:w="0" w:type="auto"/>
            <w:shd w:val="clear" w:color="auto" w:fill="FFFFFF"/>
            <w:tcMar>
              <w:top w:w="40" w:type="dxa"/>
              <w:left w:w="0" w:type="dxa"/>
              <w:bottom w:w="40" w:type="dxa"/>
              <w:right w:w="20" w:type="dxa"/>
            </w:tcMar>
            <w:vAlign w:val="bottom"/>
          </w:tcPr>
          <w:p w14:paraId="392C32E5" w14:textId="77777777" w:rsidR="00980E5F" w:rsidRDefault="00980E5F">
            <w:pPr>
              <w:jc w:val="right"/>
              <w:rPr>
                <w:rFonts w:ascii="宋体"/>
              </w:rPr>
            </w:pPr>
          </w:p>
        </w:tc>
      </w:tr>
      <w:tr w:rsidR="00980E5F" w14:paraId="392C32ED" w14:textId="77777777">
        <w:trPr>
          <w:jc w:val="center"/>
        </w:trPr>
        <w:tc>
          <w:tcPr>
            <w:tcW w:w="0" w:type="auto"/>
            <w:gridSpan w:val="3"/>
            <w:shd w:val="clear" w:color="auto" w:fill="CCEEFF"/>
            <w:tcMar>
              <w:top w:w="40" w:type="dxa"/>
              <w:left w:w="20" w:type="dxa"/>
              <w:bottom w:w="40" w:type="dxa"/>
              <w:right w:w="20" w:type="dxa"/>
            </w:tcMar>
            <w:vAlign w:val="bottom"/>
          </w:tcPr>
          <w:p w14:paraId="392C32E7" w14:textId="77777777" w:rsidR="00980E5F" w:rsidRDefault="00483613">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392C32E8" w14:textId="77777777" w:rsidR="00980E5F" w:rsidRDefault="00483613">
            <w:pPr>
              <w:jc w:val="right"/>
              <w:textAlignment w:val="bottom"/>
            </w:pPr>
            <w:r>
              <w:rPr>
                <w:rFonts w:ascii="Arial" w:eastAsia="宋体" w:hAnsi="Arial" w:cs="Arial"/>
                <w:b/>
                <w:bCs/>
                <w:color w:val="000000"/>
                <w:sz w:val="18"/>
                <w:szCs w:val="18"/>
              </w:rPr>
              <w:t>13,530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2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2E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2EB" w14:textId="77777777" w:rsidR="00980E5F" w:rsidRDefault="00483613">
            <w:pPr>
              <w:jc w:val="right"/>
              <w:textAlignment w:val="bottom"/>
            </w:pPr>
            <w:r>
              <w:rPr>
                <w:rFonts w:ascii="Arial" w:eastAsia="宋体" w:hAnsi="Arial" w:cs="Arial"/>
                <w:color w:val="000000"/>
                <w:sz w:val="18"/>
                <w:szCs w:val="18"/>
              </w:rPr>
              <w:t>13,475 </w:t>
            </w:r>
          </w:p>
        </w:tc>
        <w:tc>
          <w:tcPr>
            <w:tcW w:w="0" w:type="auto"/>
            <w:shd w:val="clear" w:color="auto" w:fill="CCEEFF"/>
            <w:tcMar>
              <w:top w:w="40" w:type="dxa"/>
              <w:left w:w="0" w:type="dxa"/>
              <w:bottom w:w="40" w:type="dxa"/>
              <w:right w:w="20" w:type="dxa"/>
            </w:tcMar>
            <w:vAlign w:val="bottom"/>
          </w:tcPr>
          <w:p w14:paraId="392C32EC" w14:textId="77777777" w:rsidR="00980E5F" w:rsidRDefault="00980E5F">
            <w:pPr>
              <w:jc w:val="right"/>
              <w:rPr>
                <w:rFonts w:ascii="宋体"/>
              </w:rPr>
            </w:pPr>
          </w:p>
        </w:tc>
      </w:tr>
      <w:tr w:rsidR="00980E5F" w14:paraId="392C32F4" w14:textId="77777777">
        <w:trPr>
          <w:jc w:val="center"/>
        </w:trPr>
        <w:tc>
          <w:tcPr>
            <w:tcW w:w="0" w:type="auto"/>
            <w:gridSpan w:val="3"/>
            <w:shd w:val="clear" w:color="auto" w:fill="FFFFFF"/>
            <w:tcMar>
              <w:top w:w="40" w:type="dxa"/>
              <w:left w:w="20" w:type="dxa"/>
              <w:bottom w:w="40" w:type="dxa"/>
              <w:right w:w="20" w:type="dxa"/>
            </w:tcMar>
            <w:vAlign w:val="bottom"/>
          </w:tcPr>
          <w:p w14:paraId="392C32EE" w14:textId="77777777" w:rsidR="00980E5F" w:rsidRDefault="00483613">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2EF" w14:textId="77777777" w:rsidR="00980E5F" w:rsidRDefault="00483613">
            <w:pPr>
              <w:jc w:val="right"/>
              <w:textAlignment w:val="bottom"/>
            </w:pPr>
            <w:r>
              <w:rPr>
                <w:rFonts w:ascii="Arial" w:eastAsia="宋体" w:hAnsi="Arial" w:cs="Arial"/>
                <w:b/>
                <w:bCs/>
                <w:color w:val="000000"/>
                <w:sz w:val="18"/>
                <w:szCs w:val="18"/>
              </w:rPr>
              <w:t>274,456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2F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2F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2F2" w14:textId="77777777" w:rsidR="00980E5F" w:rsidRDefault="00483613">
            <w:pPr>
              <w:jc w:val="right"/>
              <w:textAlignment w:val="bottom"/>
            </w:pPr>
            <w:r>
              <w:rPr>
                <w:rFonts w:ascii="Arial" w:eastAsia="宋体" w:hAnsi="Arial" w:cs="Arial"/>
                <w:color w:val="000000"/>
                <w:sz w:val="18"/>
                <w:szCs w:val="18"/>
              </w:rPr>
              <w:t>287,261 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2F3" w14:textId="77777777" w:rsidR="00980E5F" w:rsidRDefault="00980E5F">
            <w:pPr>
              <w:jc w:val="right"/>
              <w:rPr>
                <w:rFonts w:ascii="宋体"/>
              </w:rPr>
            </w:pPr>
          </w:p>
        </w:tc>
      </w:tr>
      <w:tr w:rsidR="00980E5F" w14:paraId="392C32F9" w14:textId="77777777">
        <w:trPr>
          <w:jc w:val="center"/>
        </w:trPr>
        <w:tc>
          <w:tcPr>
            <w:tcW w:w="0" w:type="auto"/>
            <w:gridSpan w:val="3"/>
            <w:shd w:val="clear" w:color="auto" w:fill="CCEEFF"/>
            <w:tcMar>
              <w:top w:w="40" w:type="dxa"/>
              <w:left w:w="20" w:type="dxa"/>
              <w:bottom w:w="40" w:type="dxa"/>
              <w:right w:w="20" w:type="dxa"/>
            </w:tcMar>
            <w:vAlign w:val="bottom"/>
          </w:tcPr>
          <w:p w14:paraId="392C32F5" w14:textId="77777777" w:rsidR="00980E5F" w:rsidRDefault="00483613">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vAlign w:val="bottom"/>
          </w:tcPr>
          <w:p w14:paraId="392C32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2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2F8" w14:textId="77777777" w:rsidR="00980E5F" w:rsidRDefault="00980E5F">
            <w:pPr>
              <w:rPr>
                <w:rFonts w:ascii="宋体"/>
              </w:rPr>
            </w:pPr>
          </w:p>
        </w:tc>
      </w:tr>
      <w:tr w:rsidR="00980E5F" w14:paraId="392C32FE" w14:textId="77777777">
        <w:trPr>
          <w:jc w:val="center"/>
        </w:trPr>
        <w:tc>
          <w:tcPr>
            <w:tcW w:w="0" w:type="auto"/>
            <w:gridSpan w:val="3"/>
            <w:shd w:val="clear" w:color="auto" w:fill="FFFFFF"/>
            <w:tcMar>
              <w:top w:w="40" w:type="dxa"/>
              <w:left w:w="20" w:type="dxa"/>
              <w:bottom w:w="40" w:type="dxa"/>
              <w:right w:w="20" w:type="dxa"/>
            </w:tcMar>
            <w:vAlign w:val="bottom"/>
          </w:tcPr>
          <w:p w14:paraId="392C32FA" w14:textId="77777777" w:rsidR="00980E5F" w:rsidRDefault="00483613">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392C32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2F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2FD" w14:textId="77777777" w:rsidR="00980E5F" w:rsidRDefault="00980E5F">
            <w:pPr>
              <w:rPr>
                <w:rFonts w:ascii="宋体"/>
              </w:rPr>
            </w:pPr>
          </w:p>
        </w:tc>
      </w:tr>
      <w:tr w:rsidR="00980E5F" w14:paraId="392C3303" w14:textId="77777777">
        <w:trPr>
          <w:jc w:val="center"/>
        </w:trPr>
        <w:tc>
          <w:tcPr>
            <w:tcW w:w="0" w:type="auto"/>
            <w:gridSpan w:val="3"/>
            <w:shd w:val="clear" w:color="auto" w:fill="CCEEFF"/>
            <w:tcMar>
              <w:top w:w="40" w:type="dxa"/>
              <w:left w:w="20" w:type="dxa"/>
              <w:bottom w:w="40" w:type="dxa"/>
              <w:right w:w="20" w:type="dxa"/>
            </w:tcMar>
            <w:vAlign w:val="bottom"/>
          </w:tcPr>
          <w:p w14:paraId="392C32FF" w14:textId="77777777" w:rsidR="00980E5F" w:rsidRDefault="00483613">
            <w:pPr>
              <w:textAlignment w:val="bottom"/>
            </w:pPr>
            <w:r>
              <w:rPr>
                <w:rFonts w:ascii="Arial" w:eastAsia="宋体" w:hAnsi="Arial" w:cs="Arial"/>
                <w:color w:val="000000"/>
                <w:sz w:val="18"/>
                <w:szCs w:val="18"/>
              </w:rPr>
              <w:t xml:space="preserve">Preferred stock, no par, </w:t>
            </w:r>
            <w:r>
              <w:rPr>
                <w:rFonts w:ascii="Arial" w:eastAsia="宋体" w:hAnsi="Arial" w:cs="Arial"/>
                <w:color w:val="000000"/>
                <w:sz w:val="18"/>
                <w:szCs w:val="18"/>
              </w:rPr>
              <w:t>3,500,000 shares authorized:</w:t>
            </w:r>
          </w:p>
        </w:tc>
        <w:tc>
          <w:tcPr>
            <w:tcW w:w="0" w:type="auto"/>
            <w:gridSpan w:val="3"/>
            <w:shd w:val="clear" w:color="auto" w:fill="CCEEFF"/>
            <w:tcMar>
              <w:top w:w="0" w:type="dxa"/>
              <w:left w:w="20" w:type="dxa"/>
              <w:bottom w:w="0" w:type="dxa"/>
              <w:right w:w="20" w:type="dxa"/>
            </w:tcMar>
            <w:vAlign w:val="bottom"/>
          </w:tcPr>
          <w:p w14:paraId="392C33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30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302" w14:textId="77777777" w:rsidR="00980E5F" w:rsidRDefault="00980E5F">
            <w:pPr>
              <w:rPr>
                <w:rFonts w:ascii="宋体"/>
              </w:rPr>
            </w:pPr>
          </w:p>
        </w:tc>
      </w:tr>
      <w:tr w:rsidR="00980E5F" w14:paraId="392C3308" w14:textId="77777777">
        <w:trPr>
          <w:jc w:val="center"/>
          <w:hidden/>
        </w:trPr>
        <w:tc>
          <w:tcPr>
            <w:tcW w:w="0" w:type="auto"/>
            <w:gridSpan w:val="3"/>
            <w:shd w:val="clear" w:color="auto" w:fill="auto"/>
            <w:vAlign w:val="bottom"/>
          </w:tcPr>
          <w:p w14:paraId="392C3304" w14:textId="77777777" w:rsidR="00980E5F" w:rsidRDefault="00980E5F">
            <w:pPr>
              <w:rPr>
                <w:rFonts w:ascii="宋体"/>
                <w:vanish/>
              </w:rPr>
            </w:pPr>
          </w:p>
        </w:tc>
        <w:tc>
          <w:tcPr>
            <w:tcW w:w="0" w:type="auto"/>
            <w:gridSpan w:val="3"/>
            <w:shd w:val="clear" w:color="auto" w:fill="auto"/>
            <w:vAlign w:val="bottom"/>
          </w:tcPr>
          <w:p w14:paraId="392C3305" w14:textId="77777777" w:rsidR="00980E5F" w:rsidRDefault="00980E5F">
            <w:pPr>
              <w:rPr>
                <w:rFonts w:ascii="宋体"/>
                <w:vanish/>
              </w:rPr>
            </w:pPr>
          </w:p>
        </w:tc>
        <w:tc>
          <w:tcPr>
            <w:tcW w:w="0" w:type="auto"/>
            <w:gridSpan w:val="3"/>
            <w:shd w:val="clear" w:color="auto" w:fill="auto"/>
            <w:vAlign w:val="bottom"/>
          </w:tcPr>
          <w:p w14:paraId="392C3306" w14:textId="77777777" w:rsidR="00980E5F" w:rsidRDefault="00980E5F">
            <w:pPr>
              <w:rPr>
                <w:rFonts w:ascii="宋体"/>
                <w:vanish/>
              </w:rPr>
            </w:pPr>
          </w:p>
        </w:tc>
        <w:tc>
          <w:tcPr>
            <w:tcW w:w="0" w:type="auto"/>
            <w:gridSpan w:val="3"/>
            <w:shd w:val="clear" w:color="auto" w:fill="auto"/>
            <w:vAlign w:val="bottom"/>
          </w:tcPr>
          <w:p w14:paraId="392C3307" w14:textId="77777777" w:rsidR="00980E5F" w:rsidRDefault="00980E5F">
            <w:pPr>
              <w:rPr>
                <w:rFonts w:ascii="宋体"/>
                <w:vanish/>
              </w:rPr>
            </w:pPr>
          </w:p>
        </w:tc>
      </w:tr>
      <w:tr w:rsidR="00980E5F" w14:paraId="392C330F" w14:textId="77777777">
        <w:trPr>
          <w:jc w:val="center"/>
        </w:trPr>
        <w:tc>
          <w:tcPr>
            <w:tcW w:w="0" w:type="auto"/>
            <w:gridSpan w:val="3"/>
            <w:shd w:val="clear" w:color="auto" w:fill="FFFFFF"/>
            <w:tcMar>
              <w:top w:w="40" w:type="dxa"/>
              <w:left w:w="20" w:type="dxa"/>
              <w:bottom w:w="40" w:type="dxa"/>
              <w:right w:w="20" w:type="dxa"/>
            </w:tcMar>
            <w:vAlign w:val="bottom"/>
          </w:tcPr>
          <w:p w14:paraId="392C3309" w14:textId="77777777" w:rsidR="00980E5F" w:rsidRDefault="00483613">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FFFFFF"/>
            <w:tcMar>
              <w:top w:w="40" w:type="dxa"/>
              <w:left w:w="20" w:type="dxa"/>
              <w:bottom w:w="40" w:type="dxa"/>
              <w:right w:w="0" w:type="dxa"/>
            </w:tcMar>
            <w:vAlign w:val="bottom"/>
          </w:tcPr>
          <w:p w14:paraId="392C330A" w14:textId="77777777" w:rsidR="00980E5F" w:rsidRDefault="00483613">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30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30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30D" w14:textId="77777777" w:rsidR="00980E5F" w:rsidRDefault="00483613">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392C330E" w14:textId="77777777" w:rsidR="00980E5F" w:rsidRDefault="00980E5F">
            <w:pPr>
              <w:jc w:val="right"/>
              <w:rPr>
                <w:rFonts w:ascii="宋体"/>
              </w:rPr>
            </w:pPr>
          </w:p>
        </w:tc>
      </w:tr>
      <w:tr w:rsidR="00980E5F" w14:paraId="392C3314" w14:textId="77777777">
        <w:trPr>
          <w:jc w:val="center"/>
          <w:hidden/>
        </w:trPr>
        <w:tc>
          <w:tcPr>
            <w:tcW w:w="0" w:type="auto"/>
            <w:gridSpan w:val="3"/>
            <w:shd w:val="clear" w:color="auto" w:fill="auto"/>
            <w:vAlign w:val="bottom"/>
          </w:tcPr>
          <w:p w14:paraId="392C3310" w14:textId="77777777" w:rsidR="00980E5F" w:rsidRDefault="00980E5F">
            <w:pPr>
              <w:rPr>
                <w:rFonts w:ascii="宋体"/>
                <w:vanish/>
              </w:rPr>
            </w:pPr>
          </w:p>
        </w:tc>
        <w:tc>
          <w:tcPr>
            <w:tcW w:w="0" w:type="auto"/>
            <w:gridSpan w:val="3"/>
            <w:shd w:val="clear" w:color="auto" w:fill="auto"/>
            <w:vAlign w:val="bottom"/>
          </w:tcPr>
          <w:p w14:paraId="392C3311" w14:textId="77777777" w:rsidR="00980E5F" w:rsidRDefault="00980E5F">
            <w:pPr>
              <w:rPr>
                <w:rFonts w:ascii="宋体"/>
                <w:vanish/>
              </w:rPr>
            </w:pPr>
          </w:p>
        </w:tc>
        <w:tc>
          <w:tcPr>
            <w:tcW w:w="0" w:type="auto"/>
            <w:gridSpan w:val="3"/>
            <w:shd w:val="clear" w:color="auto" w:fill="auto"/>
            <w:vAlign w:val="bottom"/>
          </w:tcPr>
          <w:p w14:paraId="392C3312" w14:textId="77777777" w:rsidR="00980E5F" w:rsidRDefault="00980E5F">
            <w:pPr>
              <w:rPr>
                <w:rFonts w:ascii="宋体"/>
                <w:vanish/>
              </w:rPr>
            </w:pPr>
          </w:p>
        </w:tc>
        <w:tc>
          <w:tcPr>
            <w:tcW w:w="0" w:type="auto"/>
            <w:gridSpan w:val="3"/>
            <w:shd w:val="clear" w:color="auto" w:fill="auto"/>
            <w:vAlign w:val="bottom"/>
          </w:tcPr>
          <w:p w14:paraId="392C3313" w14:textId="77777777" w:rsidR="00980E5F" w:rsidRDefault="00980E5F">
            <w:pPr>
              <w:rPr>
                <w:rFonts w:ascii="宋体"/>
                <w:vanish/>
              </w:rPr>
            </w:pPr>
          </w:p>
        </w:tc>
      </w:tr>
      <w:tr w:rsidR="00980E5F" w14:paraId="392C331B" w14:textId="77777777">
        <w:trPr>
          <w:jc w:val="center"/>
        </w:trPr>
        <w:tc>
          <w:tcPr>
            <w:tcW w:w="0" w:type="auto"/>
            <w:gridSpan w:val="3"/>
            <w:shd w:val="clear" w:color="auto" w:fill="CCEEFF"/>
            <w:tcMar>
              <w:top w:w="40" w:type="dxa"/>
              <w:left w:w="20" w:type="dxa"/>
              <w:bottom w:w="40" w:type="dxa"/>
              <w:right w:w="20" w:type="dxa"/>
            </w:tcMar>
            <w:vAlign w:val="bottom"/>
          </w:tcPr>
          <w:p w14:paraId="392C3315" w14:textId="77777777" w:rsidR="00980E5F" w:rsidRDefault="00483613">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392C3316" w14:textId="77777777" w:rsidR="00980E5F" w:rsidRDefault="00483613">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3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1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319" w14:textId="77777777" w:rsidR="00980E5F" w:rsidRDefault="00483613">
            <w:pPr>
              <w:jc w:val="right"/>
              <w:textAlignment w:val="bottom"/>
            </w:pPr>
            <w:r>
              <w:rPr>
                <w:rFonts w:ascii="Arial" w:eastAsia="宋体" w:hAnsi="Arial" w:cs="Arial"/>
                <w:color w:val="000000"/>
                <w:sz w:val="18"/>
                <w:szCs w:val="18"/>
              </w:rPr>
              <w:t>247 </w:t>
            </w:r>
          </w:p>
        </w:tc>
        <w:tc>
          <w:tcPr>
            <w:tcW w:w="0" w:type="auto"/>
            <w:shd w:val="clear" w:color="auto" w:fill="CCEEFF"/>
            <w:tcMar>
              <w:top w:w="40" w:type="dxa"/>
              <w:left w:w="0" w:type="dxa"/>
              <w:bottom w:w="40" w:type="dxa"/>
              <w:right w:w="20" w:type="dxa"/>
            </w:tcMar>
            <w:vAlign w:val="bottom"/>
          </w:tcPr>
          <w:p w14:paraId="392C331A" w14:textId="77777777" w:rsidR="00980E5F" w:rsidRDefault="00980E5F">
            <w:pPr>
              <w:jc w:val="right"/>
              <w:rPr>
                <w:rFonts w:ascii="宋体"/>
              </w:rPr>
            </w:pPr>
          </w:p>
        </w:tc>
      </w:tr>
      <w:tr w:rsidR="00980E5F" w14:paraId="392C3322" w14:textId="77777777">
        <w:trPr>
          <w:jc w:val="center"/>
        </w:trPr>
        <w:tc>
          <w:tcPr>
            <w:tcW w:w="0" w:type="auto"/>
            <w:gridSpan w:val="3"/>
            <w:shd w:val="clear" w:color="auto" w:fill="FFFFFF"/>
            <w:tcMar>
              <w:top w:w="40" w:type="dxa"/>
              <w:left w:w="20" w:type="dxa"/>
              <w:bottom w:w="40" w:type="dxa"/>
              <w:right w:w="20" w:type="dxa"/>
            </w:tcMar>
            <w:vAlign w:val="bottom"/>
          </w:tcPr>
          <w:p w14:paraId="392C331C" w14:textId="77777777" w:rsidR="00980E5F" w:rsidRDefault="00483613">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392C331D" w14:textId="77777777" w:rsidR="00980E5F" w:rsidRDefault="00483613">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3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31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320" w14:textId="77777777" w:rsidR="00980E5F" w:rsidRDefault="00483613">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392C3321" w14:textId="77777777" w:rsidR="00980E5F" w:rsidRDefault="00980E5F">
            <w:pPr>
              <w:jc w:val="right"/>
              <w:rPr>
                <w:rFonts w:ascii="宋体"/>
              </w:rPr>
            </w:pPr>
          </w:p>
        </w:tc>
      </w:tr>
      <w:tr w:rsidR="00980E5F" w14:paraId="392C3329" w14:textId="77777777">
        <w:trPr>
          <w:jc w:val="center"/>
        </w:trPr>
        <w:tc>
          <w:tcPr>
            <w:tcW w:w="0" w:type="auto"/>
            <w:gridSpan w:val="3"/>
            <w:shd w:val="clear" w:color="auto" w:fill="CCEEFF"/>
            <w:tcMar>
              <w:top w:w="40" w:type="dxa"/>
              <w:left w:w="20" w:type="dxa"/>
              <w:bottom w:w="40" w:type="dxa"/>
              <w:right w:w="20" w:type="dxa"/>
            </w:tcMar>
            <w:vAlign w:val="bottom"/>
          </w:tcPr>
          <w:p w14:paraId="392C3323" w14:textId="77777777" w:rsidR="00980E5F" w:rsidRDefault="00483613">
            <w:pPr>
              <w:textAlignment w:val="bottom"/>
            </w:pPr>
            <w:r>
              <w:rPr>
                <w:rFonts w:ascii="Arial" w:eastAsia="宋体" w:hAnsi="Arial" w:cs="Arial"/>
                <w:color w:val="000000"/>
                <w:sz w:val="18"/>
                <w:szCs w:val="18"/>
              </w:rPr>
              <w:t xml:space="preserve">Series H, 5,000 shares </w:t>
            </w:r>
            <w:r>
              <w:rPr>
                <w:rFonts w:ascii="Arial" w:eastAsia="宋体" w:hAnsi="Arial" w:cs="Arial"/>
                <w:color w:val="000000"/>
                <w:sz w:val="18"/>
                <w:szCs w:val="18"/>
              </w:rPr>
              <w:t>issued and outstanding</w:t>
            </w:r>
          </w:p>
        </w:tc>
        <w:tc>
          <w:tcPr>
            <w:tcW w:w="0" w:type="auto"/>
            <w:gridSpan w:val="2"/>
            <w:shd w:val="clear" w:color="auto" w:fill="CCEEFF"/>
            <w:tcMar>
              <w:top w:w="40" w:type="dxa"/>
              <w:left w:w="20" w:type="dxa"/>
              <w:bottom w:w="40" w:type="dxa"/>
              <w:right w:w="0" w:type="dxa"/>
            </w:tcMar>
            <w:vAlign w:val="bottom"/>
          </w:tcPr>
          <w:p w14:paraId="392C3324" w14:textId="77777777" w:rsidR="00980E5F" w:rsidRDefault="00483613">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3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327" w14:textId="77777777" w:rsidR="00980E5F" w:rsidRDefault="00483613">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392C3328" w14:textId="77777777" w:rsidR="00980E5F" w:rsidRDefault="00980E5F">
            <w:pPr>
              <w:jc w:val="right"/>
              <w:rPr>
                <w:rFonts w:ascii="宋体"/>
              </w:rPr>
            </w:pPr>
          </w:p>
        </w:tc>
      </w:tr>
      <w:tr w:rsidR="00980E5F" w14:paraId="392C332E" w14:textId="77777777">
        <w:trPr>
          <w:jc w:val="center"/>
        </w:trPr>
        <w:tc>
          <w:tcPr>
            <w:tcW w:w="0" w:type="auto"/>
            <w:gridSpan w:val="3"/>
            <w:shd w:val="clear" w:color="auto" w:fill="FFFFFF"/>
            <w:tcMar>
              <w:top w:w="40" w:type="dxa"/>
              <w:left w:w="20" w:type="dxa"/>
              <w:bottom w:w="40" w:type="dxa"/>
              <w:right w:w="20" w:type="dxa"/>
            </w:tcMar>
            <w:vAlign w:val="bottom"/>
          </w:tcPr>
          <w:p w14:paraId="392C332A" w14:textId="77777777" w:rsidR="00980E5F" w:rsidRDefault="00483613">
            <w:pP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FFFFFF"/>
            <w:tcMar>
              <w:top w:w="0" w:type="dxa"/>
              <w:left w:w="20" w:type="dxa"/>
              <w:bottom w:w="0" w:type="dxa"/>
              <w:right w:w="20" w:type="dxa"/>
            </w:tcMar>
            <w:vAlign w:val="bottom"/>
          </w:tcPr>
          <w:p w14:paraId="392C332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3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32D" w14:textId="77777777" w:rsidR="00980E5F" w:rsidRDefault="00980E5F">
            <w:pPr>
              <w:rPr>
                <w:rFonts w:ascii="宋体"/>
              </w:rPr>
            </w:pPr>
          </w:p>
        </w:tc>
      </w:tr>
      <w:tr w:rsidR="00980E5F" w14:paraId="392C3335" w14:textId="77777777">
        <w:trPr>
          <w:jc w:val="center"/>
        </w:trPr>
        <w:tc>
          <w:tcPr>
            <w:tcW w:w="0" w:type="auto"/>
            <w:gridSpan w:val="3"/>
            <w:shd w:val="clear" w:color="auto" w:fill="CCEEFF"/>
            <w:tcMar>
              <w:top w:w="40" w:type="dxa"/>
              <w:left w:w="20" w:type="dxa"/>
              <w:bottom w:w="40" w:type="dxa"/>
              <w:right w:w="20" w:type="dxa"/>
            </w:tcMar>
            <w:vAlign w:val="bottom"/>
          </w:tcPr>
          <w:p w14:paraId="392C332F" w14:textId="77777777" w:rsidR="00980E5F" w:rsidRDefault="00483613">
            <w:pPr>
              <w:jc w:val="both"/>
              <w:textAlignment w:val="bottom"/>
            </w:pPr>
            <w:r>
              <w:rPr>
                <w:rFonts w:ascii="Arial" w:eastAsia="宋体" w:hAnsi="Arial" w:cs="Arial"/>
                <w:color w:val="000000"/>
                <w:sz w:val="18"/>
                <w:szCs w:val="18"/>
              </w:rPr>
              <w:t>503,879,642 and 503,879,642 shares issued, and 367,619,353 and 365,982,820</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392C3330" w14:textId="77777777" w:rsidR="00980E5F" w:rsidRDefault="00483613">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3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3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333" w14:textId="77777777" w:rsidR="00980E5F" w:rsidRDefault="00483613">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392C3334" w14:textId="77777777" w:rsidR="00980E5F" w:rsidRDefault="00980E5F">
            <w:pPr>
              <w:jc w:val="right"/>
              <w:rPr>
                <w:rFonts w:ascii="宋体"/>
              </w:rPr>
            </w:pPr>
          </w:p>
        </w:tc>
      </w:tr>
      <w:tr w:rsidR="00980E5F" w14:paraId="392C333C" w14:textId="77777777">
        <w:trPr>
          <w:jc w:val="center"/>
        </w:trPr>
        <w:tc>
          <w:tcPr>
            <w:tcW w:w="0" w:type="auto"/>
            <w:gridSpan w:val="3"/>
            <w:shd w:val="clear" w:color="auto" w:fill="FFFFFF"/>
            <w:tcMar>
              <w:top w:w="40" w:type="dxa"/>
              <w:left w:w="20" w:type="dxa"/>
              <w:bottom w:w="40" w:type="dxa"/>
              <w:right w:w="20" w:type="dxa"/>
            </w:tcMar>
            <w:vAlign w:val="bottom"/>
          </w:tcPr>
          <w:p w14:paraId="392C3336" w14:textId="77777777" w:rsidR="00980E5F" w:rsidRDefault="00483613">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392C3337" w14:textId="77777777" w:rsidR="00980E5F" w:rsidRDefault="00483613">
            <w:pPr>
              <w:jc w:val="right"/>
              <w:textAlignment w:val="bottom"/>
            </w:pPr>
            <w:r>
              <w:rPr>
                <w:rFonts w:ascii="Arial" w:eastAsia="宋体" w:hAnsi="Arial" w:cs="Arial"/>
                <w:b/>
                <w:bCs/>
                <w:color w:val="000000"/>
                <w:sz w:val="18"/>
                <w:szCs w:val="18"/>
              </w:rPr>
              <w:t>10,757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92C33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3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33A" w14:textId="77777777" w:rsidR="00980E5F" w:rsidRDefault="00483613">
            <w:pPr>
              <w:jc w:val="right"/>
              <w:textAlignment w:val="bottom"/>
            </w:pPr>
            <w:r>
              <w:rPr>
                <w:rFonts w:ascii="Arial" w:eastAsia="宋体" w:hAnsi="Arial" w:cs="Arial"/>
                <w:color w:val="000000"/>
                <w:sz w:val="18"/>
                <w:szCs w:val="18"/>
              </w:rPr>
              <w:t>10,787 </w:t>
            </w:r>
          </w:p>
        </w:tc>
        <w:tc>
          <w:tcPr>
            <w:tcW w:w="0" w:type="auto"/>
            <w:shd w:val="clear" w:color="auto" w:fill="FFFFFF"/>
            <w:tcMar>
              <w:top w:w="40" w:type="dxa"/>
              <w:left w:w="0" w:type="dxa"/>
              <w:bottom w:w="40" w:type="dxa"/>
              <w:right w:w="20" w:type="dxa"/>
            </w:tcMar>
            <w:vAlign w:val="bottom"/>
          </w:tcPr>
          <w:p w14:paraId="392C333B" w14:textId="77777777" w:rsidR="00980E5F" w:rsidRDefault="00980E5F">
            <w:pPr>
              <w:jc w:val="right"/>
              <w:rPr>
                <w:rFonts w:ascii="宋体"/>
              </w:rPr>
            </w:pPr>
          </w:p>
        </w:tc>
      </w:tr>
      <w:tr w:rsidR="00980E5F" w14:paraId="392C3343" w14:textId="77777777">
        <w:trPr>
          <w:jc w:val="center"/>
        </w:trPr>
        <w:tc>
          <w:tcPr>
            <w:tcW w:w="0" w:type="auto"/>
            <w:gridSpan w:val="3"/>
            <w:shd w:val="clear" w:color="auto" w:fill="CCEEFF"/>
            <w:tcMar>
              <w:top w:w="40" w:type="dxa"/>
              <w:left w:w="20" w:type="dxa"/>
              <w:bottom w:w="40" w:type="dxa"/>
              <w:right w:w="20" w:type="dxa"/>
            </w:tcMar>
            <w:vAlign w:val="bottom"/>
          </w:tcPr>
          <w:p w14:paraId="392C333D" w14:textId="77777777" w:rsidR="00980E5F" w:rsidRDefault="00483613">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392C333E" w14:textId="77777777" w:rsidR="00980E5F" w:rsidRDefault="00483613">
            <w:pPr>
              <w:jc w:val="right"/>
              <w:textAlignment w:val="bottom"/>
            </w:pPr>
            <w:r>
              <w:rPr>
                <w:rFonts w:ascii="Arial" w:eastAsia="宋体" w:hAnsi="Arial" w:cs="Arial"/>
                <w:b/>
                <w:bCs/>
                <w:color w:val="000000"/>
                <w:sz w:val="18"/>
                <w:szCs w:val="18"/>
              </w:rPr>
              <w:t>26,115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92C33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341" w14:textId="77777777" w:rsidR="00980E5F" w:rsidRDefault="00483613">
            <w:pPr>
              <w:jc w:val="right"/>
              <w:textAlignment w:val="bottom"/>
            </w:pPr>
            <w:r>
              <w:rPr>
                <w:rFonts w:ascii="Arial" w:eastAsia="宋体" w:hAnsi="Arial" w:cs="Arial"/>
                <w:color w:val="000000"/>
                <w:sz w:val="18"/>
                <w:szCs w:val="18"/>
              </w:rPr>
              <w:t>25,238 </w:t>
            </w:r>
          </w:p>
        </w:tc>
        <w:tc>
          <w:tcPr>
            <w:tcW w:w="0" w:type="auto"/>
            <w:shd w:val="clear" w:color="auto" w:fill="CCEEFF"/>
            <w:tcMar>
              <w:top w:w="40" w:type="dxa"/>
              <w:left w:w="0" w:type="dxa"/>
              <w:bottom w:w="40" w:type="dxa"/>
              <w:right w:w="20" w:type="dxa"/>
            </w:tcMar>
            <w:vAlign w:val="bottom"/>
          </w:tcPr>
          <w:p w14:paraId="392C3342" w14:textId="77777777" w:rsidR="00980E5F" w:rsidRDefault="00980E5F">
            <w:pPr>
              <w:jc w:val="right"/>
              <w:rPr>
                <w:rFonts w:ascii="宋体"/>
              </w:rPr>
            </w:pPr>
          </w:p>
        </w:tc>
      </w:tr>
      <w:tr w:rsidR="00980E5F" w14:paraId="392C334A" w14:textId="77777777">
        <w:trPr>
          <w:jc w:val="center"/>
        </w:trPr>
        <w:tc>
          <w:tcPr>
            <w:tcW w:w="0" w:type="auto"/>
            <w:gridSpan w:val="3"/>
            <w:shd w:val="clear" w:color="auto" w:fill="FFFFFF"/>
            <w:tcMar>
              <w:top w:w="40" w:type="dxa"/>
              <w:left w:w="20" w:type="dxa"/>
              <w:bottom w:w="40" w:type="dxa"/>
              <w:right w:w="20" w:type="dxa"/>
            </w:tcMar>
            <w:vAlign w:val="bottom"/>
          </w:tcPr>
          <w:p w14:paraId="392C3344" w14:textId="77777777" w:rsidR="00980E5F" w:rsidRDefault="00483613">
            <w:pPr>
              <w:textAlignment w:val="bottom"/>
            </w:pPr>
            <w:r>
              <w:rPr>
                <w:rFonts w:ascii="Arial" w:eastAsia="宋体" w:hAnsi="Arial" w:cs="Arial"/>
                <w:color w:val="000000"/>
                <w:sz w:val="18"/>
                <w:szCs w:val="18"/>
              </w:rPr>
              <w:t>Accumulated other comprehensive income (loss)</w:t>
            </w:r>
          </w:p>
        </w:tc>
        <w:tc>
          <w:tcPr>
            <w:tcW w:w="0" w:type="auto"/>
            <w:gridSpan w:val="2"/>
            <w:shd w:val="clear" w:color="auto" w:fill="FFFFFF"/>
            <w:tcMar>
              <w:top w:w="40" w:type="dxa"/>
              <w:left w:w="20" w:type="dxa"/>
              <w:bottom w:w="40" w:type="dxa"/>
              <w:right w:w="0" w:type="dxa"/>
            </w:tcMar>
            <w:vAlign w:val="bottom"/>
          </w:tcPr>
          <w:p w14:paraId="392C3345" w14:textId="77777777" w:rsidR="00980E5F" w:rsidRDefault="00483613">
            <w:pPr>
              <w:jc w:val="right"/>
              <w:textAlignment w:val="bottom"/>
            </w:pPr>
            <w:r>
              <w:rPr>
                <w:rFonts w:ascii="Arial" w:eastAsia="宋体" w:hAnsi="Arial" w:cs="Arial"/>
                <w:b/>
                <w:bCs/>
                <w:color w:val="000000"/>
                <w:sz w:val="18"/>
                <w:szCs w:val="18"/>
              </w:rPr>
              <w:t>(3,687)</w:t>
            </w:r>
          </w:p>
        </w:tc>
        <w:tc>
          <w:tcPr>
            <w:tcW w:w="0" w:type="auto"/>
            <w:shd w:val="clear" w:color="auto" w:fill="FFFFFF"/>
            <w:tcMar>
              <w:top w:w="40" w:type="dxa"/>
              <w:left w:w="0" w:type="dxa"/>
              <w:bottom w:w="40" w:type="dxa"/>
              <w:right w:w="20" w:type="dxa"/>
            </w:tcMar>
            <w:vAlign w:val="bottom"/>
          </w:tcPr>
          <w:p w14:paraId="392C33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34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348" w14:textId="77777777" w:rsidR="00980E5F" w:rsidRDefault="00483613">
            <w:pPr>
              <w:jc w:val="right"/>
              <w:textAlignment w:val="bottom"/>
            </w:pPr>
            <w:r>
              <w:rPr>
                <w:rFonts w:ascii="Arial" w:eastAsia="宋体" w:hAnsi="Arial" w:cs="Arial"/>
                <w:color w:val="000000"/>
                <w:sz w:val="18"/>
                <w:szCs w:val="18"/>
              </w:rPr>
              <w:t>(1,133)</w:t>
            </w:r>
          </w:p>
        </w:tc>
        <w:tc>
          <w:tcPr>
            <w:tcW w:w="0" w:type="auto"/>
            <w:shd w:val="clear" w:color="auto" w:fill="FFFFFF"/>
            <w:tcMar>
              <w:top w:w="40" w:type="dxa"/>
              <w:left w:w="0" w:type="dxa"/>
              <w:bottom w:w="40" w:type="dxa"/>
              <w:right w:w="20" w:type="dxa"/>
            </w:tcMar>
            <w:vAlign w:val="bottom"/>
          </w:tcPr>
          <w:p w14:paraId="392C3349" w14:textId="77777777" w:rsidR="00980E5F" w:rsidRDefault="00980E5F">
            <w:pPr>
              <w:jc w:val="right"/>
              <w:rPr>
                <w:rFonts w:ascii="宋体"/>
              </w:rPr>
            </w:pPr>
          </w:p>
        </w:tc>
      </w:tr>
      <w:tr w:rsidR="00980E5F" w14:paraId="392C3351" w14:textId="77777777">
        <w:trPr>
          <w:jc w:val="center"/>
        </w:trPr>
        <w:tc>
          <w:tcPr>
            <w:tcW w:w="0" w:type="auto"/>
            <w:gridSpan w:val="3"/>
            <w:shd w:val="clear" w:color="auto" w:fill="CCEEFF"/>
            <w:tcMar>
              <w:top w:w="40" w:type="dxa"/>
              <w:left w:w="20" w:type="dxa"/>
              <w:bottom w:w="40" w:type="dxa"/>
              <w:right w:w="20" w:type="dxa"/>
            </w:tcMar>
            <w:vAlign w:val="bottom"/>
          </w:tcPr>
          <w:p w14:paraId="392C334B" w14:textId="77777777" w:rsidR="00980E5F" w:rsidRDefault="00483613">
            <w:pPr>
              <w:textAlignment w:val="bottom"/>
            </w:pPr>
            <w:r>
              <w:rPr>
                <w:rFonts w:ascii="Arial" w:eastAsia="宋体" w:hAnsi="Arial" w:cs="Arial"/>
                <w:color w:val="000000"/>
                <w:sz w:val="18"/>
                <w:szCs w:val="18"/>
              </w:rPr>
              <w:t>Treasury stock, at cost (136,260,289 and 137,896,822 shares)</w:t>
            </w:r>
          </w:p>
        </w:tc>
        <w:tc>
          <w:tcPr>
            <w:tcW w:w="0" w:type="auto"/>
            <w:gridSpan w:val="2"/>
            <w:shd w:val="clear" w:color="auto" w:fill="CCEEFF"/>
            <w:tcMar>
              <w:top w:w="40" w:type="dxa"/>
              <w:left w:w="20" w:type="dxa"/>
              <w:bottom w:w="40" w:type="dxa"/>
              <w:right w:w="0" w:type="dxa"/>
            </w:tcMar>
            <w:vAlign w:val="bottom"/>
          </w:tcPr>
          <w:p w14:paraId="392C334C" w14:textId="77777777" w:rsidR="00980E5F" w:rsidRDefault="00483613">
            <w:pPr>
              <w:jc w:val="right"/>
              <w:textAlignment w:val="bottom"/>
            </w:pPr>
            <w:r>
              <w:rPr>
                <w:rFonts w:ascii="Arial" w:eastAsia="宋体" w:hAnsi="Arial" w:cs="Arial"/>
                <w:b/>
                <w:bCs/>
                <w:color w:val="000000"/>
                <w:sz w:val="18"/>
                <w:szCs w:val="18"/>
              </w:rPr>
              <w:t>(9,898)</w:t>
            </w:r>
          </w:p>
        </w:tc>
        <w:tc>
          <w:tcPr>
            <w:tcW w:w="0" w:type="auto"/>
            <w:shd w:val="clear" w:color="auto" w:fill="CCEEFF"/>
            <w:tcMar>
              <w:top w:w="40" w:type="dxa"/>
              <w:left w:w="0" w:type="dxa"/>
              <w:bottom w:w="40" w:type="dxa"/>
              <w:right w:w="20" w:type="dxa"/>
            </w:tcMar>
            <w:vAlign w:val="bottom"/>
          </w:tcPr>
          <w:p w14:paraId="392C33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4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34F" w14:textId="77777777" w:rsidR="00980E5F" w:rsidRDefault="00483613">
            <w:pPr>
              <w:jc w:val="right"/>
              <w:textAlignment w:val="bottom"/>
            </w:pPr>
            <w:r>
              <w:rPr>
                <w:rFonts w:ascii="Arial" w:eastAsia="宋体" w:hAnsi="Arial" w:cs="Arial"/>
                <w:color w:val="000000"/>
                <w:sz w:val="18"/>
                <w:szCs w:val="18"/>
              </w:rPr>
              <w:t>(10,009)</w:t>
            </w:r>
          </w:p>
        </w:tc>
        <w:tc>
          <w:tcPr>
            <w:tcW w:w="0" w:type="auto"/>
            <w:shd w:val="clear" w:color="auto" w:fill="CCEEFF"/>
            <w:tcMar>
              <w:top w:w="40" w:type="dxa"/>
              <w:left w:w="0" w:type="dxa"/>
              <w:bottom w:w="40" w:type="dxa"/>
              <w:right w:w="20" w:type="dxa"/>
            </w:tcMar>
            <w:vAlign w:val="bottom"/>
          </w:tcPr>
          <w:p w14:paraId="392C3350" w14:textId="77777777" w:rsidR="00980E5F" w:rsidRDefault="00980E5F">
            <w:pPr>
              <w:jc w:val="right"/>
              <w:rPr>
                <w:rFonts w:ascii="宋体"/>
              </w:rPr>
            </w:pPr>
          </w:p>
        </w:tc>
      </w:tr>
      <w:tr w:rsidR="00980E5F" w14:paraId="392C3358" w14:textId="77777777">
        <w:trPr>
          <w:jc w:val="center"/>
        </w:trPr>
        <w:tc>
          <w:tcPr>
            <w:tcW w:w="0" w:type="auto"/>
            <w:gridSpan w:val="3"/>
            <w:shd w:val="clear" w:color="auto" w:fill="FFFFFF"/>
            <w:tcMar>
              <w:top w:w="40" w:type="dxa"/>
              <w:left w:w="20" w:type="dxa"/>
              <w:bottom w:w="40" w:type="dxa"/>
              <w:right w:w="20" w:type="dxa"/>
            </w:tcMar>
            <w:vAlign w:val="bottom"/>
          </w:tcPr>
          <w:p w14:paraId="392C3352" w14:textId="77777777" w:rsidR="00980E5F" w:rsidRDefault="00483613">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353" w14:textId="77777777" w:rsidR="00980E5F" w:rsidRDefault="00483613">
            <w:pPr>
              <w:jc w:val="right"/>
              <w:textAlignment w:val="bottom"/>
            </w:pPr>
            <w:r>
              <w:rPr>
                <w:rFonts w:ascii="Arial" w:eastAsia="宋体" w:hAnsi="Arial" w:cs="Arial"/>
                <w:b/>
                <w:bCs/>
                <w:color w:val="000000"/>
                <w:sz w:val="18"/>
                <w:szCs w:val="18"/>
              </w:rPr>
              <w:t>25,767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3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35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356" w14:textId="77777777" w:rsidR="00980E5F" w:rsidRDefault="00483613">
            <w:pPr>
              <w:jc w:val="right"/>
              <w:textAlignment w:val="bottom"/>
            </w:pPr>
            <w:r>
              <w:rPr>
                <w:rFonts w:ascii="Arial" w:eastAsia="宋体" w:hAnsi="Arial" w:cs="Arial"/>
                <w:color w:val="000000"/>
                <w:sz w:val="18"/>
                <w:szCs w:val="18"/>
              </w:rPr>
              <w:t>27,363 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357" w14:textId="77777777" w:rsidR="00980E5F" w:rsidRDefault="00980E5F">
            <w:pPr>
              <w:jc w:val="right"/>
              <w:rPr>
                <w:rFonts w:ascii="宋体"/>
              </w:rPr>
            </w:pPr>
          </w:p>
        </w:tc>
      </w:tr>
      <w:tr w:rsidR="00980E5F" w14:paraId="392C335D" w14:textId="77777777">
        <w:trPr>
          <w:jc w:val="center"/>
          <w:hidden/>
        </w:trPr>
        <w:tc>
          <w:tcPr>
            <w:tcW w:w="0" w:type="auto"/>
            <w:gridSpan w:val="3"/>
            <w:shd w:val="clear" w:color="auto" w:fill="auto"/>
            <w:vAlign w:val="bottom"/>
          </w:tcPr>
          <w:p w14:paraId="392C3359" w14:textId="77777777" w:rsidR="00980E5F" w:rsidRDefault="00980E5F">
            <w:pPr>
              <w:rPr>
                <w:rFonts w:ascii="宋体"/>
                <w:vanish/>
              </w:rPr>
            </w:pPr>
          </w:p>
        </w:tc>
        <w:tc>
          <w:tcPr>
            <w:tcW w:w="0" w:type="auto"/>
            <w:gridSpan w:val="3"/>
            <w:shd w:val="clear" w:color="auto" w:fill="auto"/>
            <w:vAlign w:val="bottom"/>
          </w:tcPr>
          <w:p w14:paraId="392C335A" w14:textId="77777777" w:rsidR="00980E5F" w:rsidRDefault="00980E5F">
            <w:pPr>
              <w:rPr>
                <w:rFonts w:ascii="宋体"/>
                <w:vanish/>
              </w:rPr>
            </w:pPr>
          </w:p>
        </w:tc>
        <w:tc>
          <w:tcPr>
            <w:tcW w:w="0" w:type="auto"/>
            <w:gridSpan w:val="3"/>
            <w:shd w:val="clear" w:color="auto" w:fill="auto"/>
            <w:vAlign w:val="bottom"/>
          </w:tcPr>
          <w:p w14:paraId="392C335B" w14:textId="77777777" w:rsidR="00980E5F" w:rsidRDefault="00980E5F">
            <w:pPr>
              <w:rPr>
                <w:rFonts w:ascii="宋体"/>
                <w:vanish/>
              </w:rPr>
            </w:pPr>
          </w:p>
        </w:tc>
        <w:tc>
          <w:tcPr>
            <w:tcW w:w="0" w:type="auto"/>
            <w:gridSpan w:val="3"/>
            <w:shd w:val="clear" w:color="auto" w:fill="auto"/>
            <w:vAlign w:val="bottom"/>
          </w:tcPr>
          <w:p w14:paraId="392C335C" w14:textId="77777777" w:rsidR="00980E5F" w:rsidRDefault="00980E5F">
            <w:pPr>
              <w:rPr>
                <w:rFonts w:ascii="宋体"/>
                <w:vanish/>
              </w:rPr>
            </w:pPr>
          </w:p>
        </w:tc>
      </w:tr>
      <w:tr w:rsidR="00980E5F" w14:paraId="392C3362" w14:textId="77777777">
        <w:trPr>
          <w:jc w:val="center"/>
          <w:hidden/>
        </w:trPr>
        <w:tc>
          <w:tcPr>
            <w:tcW w:w="0" w:type="auto"/>
            <w:gridSpan w:val="3"/>
            <w:shd w:val="clear" w:color="auto" w:fill="auto"/>
            <w:vAlign w:val="bottom"/>
          </w:tcPr>
          <w:p w14:paraId="392C335E" w14:textId="77777777" w:rsidR="00980E5F" w:rsidRDefault="00980E5F">
            <w:pPr>
              <w:rPr>
                <w:rFonts w:ascii="宋体"/>
                <w:vanish/>
              </w:rPr>
            </w:pPr>
          </w:p>
        </w:tc>
        <w:tc>
          <w:tcPr>
            <w:tcW w:w="0" w:type="auto"/>
            <w:gridSpan w:val="3"/>
            <w:shd w:val="clear" w:color="auto" w:fill="auto"/>
            <w:vAlign w:val="bottom"/>
          </w:tcPr>
          <w:p w14:paraId="392C335F" w14:textId="77777777" w:rsidR="00980E5F" w:rsidRDefault="00980E5F">
            <w:pPr>
              <w:rPr>
                <w:rFonts w:ascii="宋体"/>
                <w:vanish/>
              </w:rPr>
            </w:pPr>
          </w:p>
        </w:tc>
        <w:tc>
          <w:tcPr>
            <w:tcW w:w="0" w:type="auto"/>
            <w:gridSpan w:val="3"/>
            <w:shd w:val="clear" w:color="auto" w:fill="auto"/>
            <w:vAlign w:val="bottom"/>
          </w:tcPr>
          <w:p w14:paraId="392C3360" w14:textId="77777777" w:rsidR="00980E5F" w:rsidRDefault="00980E5F">
            <w:pPr>
              <w:rPr>
                <w:rFonts w:ascii="宋体"/>
                <w:vanish/>
              </w:rPr>
            </w:pPr>
          </w:p>
        </w:tc>
        <w:tc>
          <w:tcPr>
            <w:tcW w:w="0" w:type="auto"/>
            <w:gridSpan w:val="3"/>
            <w:shd w:val="clear" w:color="auto" w:fill="auto"/>
            <w:vAlign w:val="bottom"/>
          </w:tcPr>
          <w:p w14:paraId="392C3361" w14:textId="77777777" w:rsidR="00980E5F" w:rsidRDefault="00980E5F">
            <w:pPr>
              <w:rPr>
                <w:rFonts w:ascii="宋体"/>
                <w:vanish/>
              </w:rPr>
            </w:pPr>
          </w:p>
        </w:tc>
      </w:tr>
      <w:tr w:rsidR="00980E5F" w14:paraId="392C336B" w14:textId="77777777">
        <w:trPr>
          <w:jc w:val="center"/>
        </w:trPr>
        <w:tc>
          <w:tcPr>
            <w:tcW w:w="0" w:type="auto"/>
            <w:gridSpan w:val="3"/>
            <w:shd w:val="clear" w:color="auto" w:fill="CCEEFF"/>
            <w:tcMar>
              <w:top w:w="40" w:type="dxa"/>
              <w:left w:w="20" w:type="dxa"/>
              <w:bottom w:w="40" w:type="dxa"/>
              <w:right w:w="20" w:type="dxa"/>
            </w:tcMar>
            <w:vAlign w:val="bottom"/>
          </w:tcPr>
          <w:p w14:paraId="392C3363" w14:textId="77777777" w:rsidR="00980E5F" w:rsidRDefault="00483613">
            <w:pPr>
              <w:textAlignment w:val="bottom"/>
            </w:pPr>
            <w:r>
              <w:rPr>
                <w:rFonts w:ascii="Arial" w:eastAsia="宋体" w:hAnsi="Arial" w:cs="Arial"/>
                <w:b/>
                <w:bCs/>
                <w:color w:val="000000"/>
                <w:sz w:val="18"/>
                <w:szCs w:val="18"/>
              </w:rPr>
              <w:t xml:space="preserve">Total liabilities and </w:t>
            </w:r>
            <w:r>
              <w:rPr>
                <w:rFonts w:ascii="Arial" w:eastAsia="宋体" w:hAnsi="Arial" w:cs="Arial"/>
                <w:b/>
                <w:bCs/>
                <w:color w:val="000000"/>
                <w:sz w:val="18"/>
                <w:szCs w:val="18"/>
              </w:rPr>
              <w:t>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3364" w14:textId="77777777" w:rsidR="00980E5F" w:rsidRDefault="00483613">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3365" w14:textId="77777777" w:rsidR="00980E5F" w:rsidRDefault="00483613">
            <w:pPr>
              <w:jc w:val="right"/>
              <w:textAlignment w:val="bottom"/>
            </w:pPr>
            <w:r>
              <w:rPr>
                <w:rFonts w:ascii="Arial" w:eastAsia="宋体" w:hAnsi="Arial" w:cs="Arial"/>
                <w:b/>
                <w:bCs/>
                <w:color w:val="000000"/>
                <w:sz w:val="18"/>
                <w:szCs w:val="18"/>
              </w:rPr>
              <w:t>300,223</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33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36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3368" w14:textId="77777777" w:rsidR="00980E5F" w:rsidRDefault="0048361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3369" w14:textId="77777777" w:rsidR="00980E5F" w:rsidRDefault="00483613">
            <w:pPr>
              <w:jc w:val="right"/>
              <w:textAlignment w:val="bottom"/>
            </w:pPr>
            <w:r>
              <w:rPr>
                <w:rFonts w:ascii="Arial" w:eastAsia="宋体" w:hAnsi="Arial" w:cs="Arial"/>
                <w:color w:val="000000"/>
                <w:sz w:val="18"/>
                <w:szCs w:val="18"/>
              </w:rPr>
              <w:t>314,624 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336A" w14:textId="77777777" w:rsidR="00980E5F" w:rsidRDefault="00980E5F">
            <w:pPr>
              <w:jc w:val="right"/>
              <w:rPr>
                <w:rFonts w:ascii="宋体"/>
              </w:rPr>
            </w:pPr>
          </w:p>
        </w:tc>
      </w:tr>
    </w:tbl>
    <w:p w14:paraId="392C336C" w14:textId="77777777" w:rsidR="00980E5F" w:rsidRDefault="00980E5F">
      <w:pPr>
        <w:ind w:firstLine="450"/>
        <w:jc w:val="center"/>
      </w:pPr>
    </w:p>
    <w:p w14:paraId="392C336D" w14:textId="77777777" w:rsidR="00980E5F" w:rsidRDefault="00980E5F">
      <w:pPr>
        <w:ind w:firstLine="450"/>
      </w:pPr>
    </w:p>
    <w:p w14:paraId="392C336E" w14:textId="77777777" w:rsidR="00980E5F" w:rsidRDefault="00980E5F">
      <w:pPr>
        <w:ind w:firstLine="450"/>
      </w:pPr>
    </w:p>
    <w:p w14:paraId="392C336F" w14:textId="77777777" w:rsidR="00980E5F" w:rsidRDefault="00980E5F">
      <w:pPr>
        <w:ind w:firstLine="450"/>
      </w:pPr>
    </w:p>
    <w:p w14:paraId="392C3370" w14:textId="77777777" w:rsidR="00980E5F" w:rsidRDefault="00980E5F">
      <w:pPr>
        <w:ind w:firstLine="450"/>
      </w:pPr>
    </w:p>
    <w:p w14:paraId="392C3371" w14:textId="77777777" w:rsidR="00980E5F" w:rsidRDefault="00980E5F">
      <w:pPr>
        <w:ind w:firstLine="450"/>
      </w:pPr>
    </w:p>
    <w:p w14:paraId="392C3372" w14:textId="77777777" w:rsidR="00980E5F" w:rsidRDefault="00980E5F">
      <w:pPr>
        <w:ind w:firstLine="450"/>
      </w:pPr>
    </w:p>
    <w:p w14:paraId="392C3373" w14:textId="77777777" w:rsidR="00980E5F" w:rsidRDefault="00980E5F">
      <w:pPr>
        <w:ind w:firstLine="450"/>
      </w:pPr>
    </w:p>
    <w:p w14:paraId="392C3374" w14:textId="77777777" w:rsidR="00980E5F" w:rsidRDefault="00483613">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392C3375" w14:textId="77777777" w:rsidR="00980E5F" w:rsidRDefault="00483613">
      <w:pPr>
        <w:ind w:firstLine="450"/>
        <w:jc w:val="right"/>
      </w:pPr>
      <w:r>
        <w:rPr>
          <w:rFonts w:ascii="Arial" w:eastAsia="宋体" w:hAnsi="Arial" w:cs="Arial"/>
          <w:color w:val="000000"/>
          <w:sz w:val="18"/>
          <w:szCs w:val="18"/>
        </w:rPr>
        <w:t>State Street Corporation | 56</w:t>
      </w:r>
    </w:p>
    <w:p w14:paraId="392C3376" w14:textId="77777777" w:rsidR="00980E5F" w:rsidRDefault="00980E5F">
      <w:pPr>
        <w:ind w:firstLine="450"/>
        <w:jc w:val="center"/>
      </w:pPr>
    </w:p>
    <w:p w14:paraId="392C3377" w14:textId="77777777" w:rsidR="00980E5F" w:rsidRDefault="00483613">
      <w:r>
        <w:pict w14:anchorId="392CBB06">
          <v:rect id="_x0000_i1080" style="width:415.3pt;height:1.5pt" o:hralign="center" o:hrstd="t" o:hr="t" fillcolor="#a0a0a0" stroked="f"/>
        </w:pict>
      </w:r>
    </w:p>
    <w:p w14:paraId="392C3378" w14:textId="77777777" w:rsidR="00980E5F" w:rsidRDefault="00980E5F">
      <w:pPr>
        <w:ind w:firstLine="450"/>
      </w:pPr>
    </w:p>
    <w:p w14:paraId="392C3379" w14:textId="77777777" w:rsidR="00980E5F" w:rsidRDefault="00483613">
      <w:pPr>
        <w:ind w:firstLine="450"/>
        <w:jc w:val="center"/>
      </w:pPr>
      <w:r>
        <w:rPr>
          <w:rFonts w:ascii="Arial" w:eastAsia="宋体" w:hAnsi="Arial" w:cs="Arial"/>
          <w:b/>
          <w:bCs/>
          <w:color w:val="000000"/>
          <w:sz w:val="20"/>
          <w:szCs w:val="20"/>
        </w:rPr>
        <w:t>STATE STREET CORPORATION</w:t>
      </w:r>
    </w:p>
    <w:p w14:paraId="392C337A" w14:textId="77777777" w:rsidR="00980E5F" w:rsidRDefault="00483613">
      <w:pPr>
        <w:ind w:firstLine="450"/>
        <w:jc w:val="center"/>
      </w:pPr>
      <w:r>
        <w:rPr>
          <w:rFonts w:ascii="Arial" w:eastAsia="宋体" w:hAnsi="Arial" w:cs="Arial"/>
          <w:b/>
          <w:bCs/>
          <w:color w:val="000000"/>
          <w:sz w:val="20"/>
          <w:szCs w:val="20"/>
        </w:rPr>
        <w:t xml:space="preserve">CONSOLIDATED STATEMENT OF CHANGES IN </w:t>
      </w:r>
      <w:r>
        <w:rPr>
          <w:rFonts w:ascii="Arial" w:eastAsia="宋体" w:hAnsi="Arial" w:cs="Arial"/>
          <w:b/>
          <w:bCs/>
          <w:color w:val="000000"/>
          <w:sz w:val="20"/>
          <w:szCs w:val="20"/>
        </w:rPr>
        <w:t>SHAREHOLDERS' EQUITY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1028"/>
        <w:gridCol w:w="37"/>
        <w:gridCol w:w="105"/>
        <w:gridCol w:w="566"/>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85"/>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980E5F" w14:paraId="392C33B1" w14:textId="77777777">
        <w:trPr>
          <w:jc w:val="center"/>
        </w:trPr>
        <w:tc>
          <w:tcPr>
            <w:tcW w:w="50" w:type="pct"/>
            <w:shd w:val="clear" w:color="auto" w:fill="auto"/>
            <w:vAlign w:val="bottom"/>
          </w:tcPr>
          <w:p w14:paraId="392C337B" w14:textId="77777777" w:rsidR="00980E5F" w:rsidRDefault="00980E5F">
            <w:pPr>
              <w:rPr>
                <w:rFonts w:ascii="宋体"/>
              </w:rPr>
            </w:pPr>
          </w:p>
        </w:tc>
        <w:tc>
          <w:tcPr>
            <w:tcW w:w="1152" w:type="pct"/>
            <w:shd w:val="clear" w:color="auto" w:fill="auto"/>
            <w:vAlign w:val="bottom"/>
          </w:tcPr>
          <w:p w14:paraId="392C337C" w14:textId="77777777" w:rsidR="00980E5F" w:rsidRDefault="00980E5F">
            <w:pPr>
              <w:rPr>
                <w:rFonts w:ascii="宋体"/>
              </w:rPr>
            </w:pPr>
          </w:p>
        </w:tc>
        <w:tc>
          <w:tcPr>
            <w:tcW w:w="5" w:type="pct"/>
            <w:shd w:val="clear" w:color="auto" w:fill="auto"/>
            <w:vAlign w:val="bottom"/>
          </w:tcPr>
          <w:p w14:paraId="392C337D" w14:textId="77777777" w:rsidR="00980E5F" w:rsidRDefault="00980E5F">
            <w:pPr>
              <w:rPr>
                <w:rFonts w:ascii="宋体"/>
              </w:rPr>
            </w:pPr>
          </w:p>
        </w:tc>
        <w:tc>
          <w:tcPr>
            <w:tcW w:w="50" w:type="pct"/>
            <w:shd w:val="clear" w:color="auto" w:fill="auto"/>
            <w:vAlign w:val="bottom"/>
          </w:tcPr>
          <w:p w14:paraId="392C337E" w14:textId="77777777" w:rsidR="00980E5F" w:rsidRDefault="00980E5F">
            <w:pPr>
              <w:rPr>
                <w:rFonts w:ascii="宋体"/>
              </w:rPr>
            </w:pPr>
          </w:p>
        </w:tc>
        <w:tc>
          <w:tcPr>
            <w:tcW w:w="318" w:type="pct"/>
            <w:shd w:val="clear" w:color="auto" w:fill="auto"/>
            <w:vAlign w:val="bottom"/>
          </w:tcPr>
          <w:p w14:paraId="392C337F" w14:textId="77777777" w:rsidR="00980E5F" w:rsidRDefault="00980E5F">
            <w:pPr>
              <w:rPr>
                <w:rFonts w:ascii="宋体"/>
              </w:rPr>
            </w:pPr>
          </w:p>
        </w:tc>
        <w:tc>
          <w:tcPr>
            <w:tcW w:w="5" w:type="pct"/>
            <w:shd w:val="clear" w:color="auto" w:fill="auto"/>
            <w:vAlign w:val="bottom"/>
          </w:tcPr>
          <w:p w14:paraId="392C3380" w14:textId="77777777" w:rsidR="00980E5F" w:rsidRDefault="00980E5F">
            <w:pPr>
              <w:rPr>
                <w:rFonts w:ascii="宋体"/>
              </w:rPr>
            </w:pPr>
          </w:p>
        </w:tc>
        <w:tc>
          <w:tcPr>
            <w:tcW w:w="5" w:type="pct"/>
            <w:shd w:val="clear" w:color="auto" w:fill="auto"/>
            <w:vAlign w:val="bottom"/>
          </w:tcPr>
          <w:p w14:paraId="392C3381" w14:textId="77777777" w:rsidR="00980E5F" w:rsidRDefault="00980E5F">
            <w:pPr>
              <w:rPr>
                <w:rFonts w:ascii="宋体"/>
              </w:rPr>
            </w:pPr>
          </w:p>
        </w:tc>
        <w:tc>
          <w:tcPr>
            <w:tcW w:w="26" w:type="pct"/>
            <w:shd w:val="clear" w:color="auto" w:fill="auto"/>
            <w:vAlign w:val="bottom"/>
          </w:tcPr>
          <w:p w14:paraId="392C3382" w14:textId="77777777" w:rsidR="00980E5F" w:rsidRDefault="00980E5F">
            <w:pPr>
              <w:rPr>
                <w:rFonts w:ascii="宋体"/>
              </w:rPr>
            </w:pPr>
          </w:p>
        </w:tc>
        <w:tc>
          <w:tcPr>
            <w:tcW w:w="5" w:type="pct"/>
            <w:shd w:val="clear" w:color="auto" w:fill="auto"/>
            <w:vAlign w:val="bottom"/>
          </w:tcPr>
          <w:p w14:paraId="392C3383" w14:textId="77777777" w:rsidR="00980E5F" w:rsidRDefault="00980E5F">
            <w:pPr>
              <w:rPr>
                <w:rFonts w:ascii="宋体"/>
              </w:rPr>
            </w:pPr>
          </w:p>
        </w:tc>
        <w:tc>
          <w:tcPr>
            <w:tcW w:w="50" w:type="pct"/>
            <w:shd w:val="clear" w:color="auto" w:fill="auto"/>
            <w:vAlign w:val="bottom"/>
          </w:tcPr>
          <w:p w14:paraId="392C3384" w14:textId="77777777" w:rsidR="00980E5F" w:rsidRDefault="00980E5F">
            <w:pPr>
              <w:rPr>
                <w:rFonts w:ascii="宋体"/>
              </w:rPr>
            </w:pPr>
          </w:p>
        </w:tc>
        <w:tc>
          <w:tcPr>
            <w:tcW w:w="318" w:type="pct"/>
            <w:shd w:val="clear" w:color="auto" w:fill="auto"/>
            <w:vAlign w:val="bottom"/>
          </w:tcPr>
          <w:p w14:paraId="392C3385" w14:textId="77777777" w:rsidR="00980E5F" w:rsidRDefault="00980E5F">
            <w:pPr>
              <w:rPr>
                <w:rFonts w:ascii="宋体"/>
              </w:rPr>
            </w:pPr>
          </w:p>
        </w:tc>
        <w:tc>
          <w:tcPr>
            <w:tcW w:w="5" w:type="pct"/>
            <w:shd w:val="clear" w:color="auto" w:fill="auto"/>
            <w:vAlign w:val="bottom"/>
          </w:tcPr>
          <w:p w14:paraId="392C3386" w14:textId="77777777" w:rsidR="00980E5F" w:rsidRDefault="00980E5F">
            <w:pPr>
              <w:rPr>
                <w:rFonts w:ascii="宋体"/>
              </w:rPr>
            </w:pPr>
          </w:p>
        </w:tc>
        <w:tc>
          <w:tcPr>
            <w:tcW w:w="5" w:type="pct"/>
            <w:shd w:val="clear" w:color="auto" w:fill="auto"/>
            <w:vAlign w:val="bottom"/>
          </w:tcPr>
          <w:p w14:paraId="392C3387" w14:textId="77777777" w:rsidR="00980E5F" w:rsidRDefault="00980E5F">
            <w:pPr>
              <w:rPr>
                <w:rFonts w:ascii="宋体"/>
              </w:rPr>
            </w:pPr>
          </w:p>
        </w:tc>
        <w:tc>
          <w:tcPr>
            <w:tcW w:w="26" w:type="pct"/>
            <w:shd w:val="clear" w:color="auto" w:fill="auto"/>
            <w:vAlign w:val="bottom"/>
          </w:tcPr>
          <w:p w14:paraId="392C3388" w14:textId="77777777" w:rsidR="00980E5F" w:rsidRDefault="00980E5F">
            <w:pPr>
              <w:rPr>
                <w:rFonts w:ascii="宋体"/>
              </w:rPr>
            </w:pPr>
          </w:p>
        </w:tc>
        <w:tc>
          <w:tcPr>
            <w:tcW w:w="5" w:type="pct"/>
            <w:shd w:val="clear" w:color="auto" w:fill="auto"/>
            <w:vAlign w:val="bottom"/>
          </w:tcPr>
          <w:p w14:paraId="392C3389" w14:textId="77777777" w:rsidR="00980E5F" w:rsidRDefault="00980E5F">
            <w:pPr>
              <w:rPr>
                <w:rFonts w:ascii="宋体"/>
              </w:rPr>
            </w:pPr>
          </w:p>
        </w:tc>
        <w:tc>
          <w:tcPr>
            <w:tcW w:w="50" w:type="pct"/>
            <w:shd w:val="clear" w:color="auto" w:fill="auto"/>
            <w:vAlign w:val="bottom"/>
          </w:tcPr>
          <w:p w14:paraId="392C338A" w14:textId="77777777" w:rsidR="00980E5F" w:rsidRDefault="00980E5F">
            <w:pPr>
              <w:rPr>
                <w:rFonts w:ascii="宋体"/>
              </w:rPr>
            </w:pPr>
          </w:p>
        </w:tc>
        <w:tc>
          <w:tcPr>
            <w:tcW w:w="274" w:type="pct"/>
            <w:shd w:val="clear" w:color="auto" w:fill="auto"/>
            <w:vAlign w:val="bottom"/>
          </w:tcPr>
          <w:p w14:paraId="392C338B" w14:textId="77777777" w:rsidR="00980E5F" w:rsidRDefault="00980E5F">
            <w:pPr>
              <w:rPr>
                <w:rFonts w:ascii="宋体"/>
              </w:rPr>
            </w:pPr>
          </w:p>
        </w:tc>
        <w:tc>
          <w:tcPr>
            <w:tcW w:w="5" w:type="pct"/>
            <w:shd w:val="clear" w:color="auto" w:fill="auto"/>
            <w:vAlign w:val="bottom"/>
          </w:tcPr>
          <w:p w14:paraId="392C338C" w14:textId="77777777" w:rsidR="00980E5F" w:rsidRDefault="00980E5F">
            <w:pPr>
              <w:rPr>
                <w:rFonts w:ascii="宋体"/>
              </w:rPr>
            </w:pPr>
          </w:p>
        </w:tc>
        <w:tc>
          <w:tcPr>
            <w:tcW w:w="5" w:type="pct"/>
            <w:shd w:val="clear" w:color="auto" w:fill="auto"/>
            <w:vAlign w:val="bottom"/>
          </w:tcPr>
          <w:p w14:paraId="392C338D" w14:textId="77777777" w:rsidR="00980E5F" w:rsidRDefault="00980E5F">
            <w:pPr>
              <w:rPr>
                <w:rFonts w:ascii="宋体"/>
              </w:rPr>
            </w:pPr>
          </w:p>
        </w:tc>
        <w:tc>
          <w:tcPr>
            <w:tcW w:w="26" w:type="pct"/>
            <w:shd w:val="clear" w:color="auto" w:fill="auto"/>
            <w:vAlign w:val="bottom"/>
          </w:tcPr>
          <w:p w14:paraId="392C338E" w14:textId="77777777" w:rsidR="00980E5F" w:rsidRDefault="00980E5F">
            <w:pPr>
              <w:rPr>
                <w:rFonts w:ascii="宋体"/>
              </w:rPr>
            </w:pPr>
          </w:p>
        </w:tc>
        <w:tc>
          <w:tcPr>
            <w:tcW w:w="5" w:type="pct"/>
            <w:shd w:val="clear" w:color="auto" w:fill="auto"/>
            <w:vAlign w:val="bottom"/>
          </w:tcPr>
          <w:p w14:paraId="392C338F" w14:textId="77777777" w:rsidR="00980E5F" w:rsidRDefault="00980E5F">
            <w:pPr>
              <w:rPr>
                <w:rFonts w:ascii="宋体"/>
              </w:rPr>
            </w:pPr>
          </w:p>
        </w:tc>
        <w:tc>
          <w:tcPr>
            <w:tcW w:w="50" w:type="pct"/>
            <w:shd w:val="clear" w:color="auto" w:fill="auto"/>
            <w:vAlign w:val="bottom"/>
          </w:tcPr>
          <w:p w14:paraId="392C3390" w14:textId="77777777" w:rsidR="00980E5F" w:rsidRDefault="00980E5F">
            <w:pPr>
              <w:rPr>
                <w:rFonts w:ascii="宋体"/>
              </w:rPr>
            </w:pPr>
          </w:p>
        </w:tc>
        <w:tc>
          <w:tcPr>
            <w:tcW w:w="296" w:type="pct"/>
            <w:shd w:val="clear" w:color="auto" w:fill="auto"/>
            <w:vAlign w:val="bottom"/>
          </w:tcPr>
          <w:p w14:paraId="392C3391" w14:textId="77777777" w:rsidR="00980E5F" w:rsidRDefault="00980E5F">
            <w:pPr>
              <w:rPr>
                <w:rFonts w:ascii="宋体"/>
              </w:rPr>
            </w:pPr>
          </w:p>
        </w:tc>
        <w:tc>
          <w:tcPr>
            <w:tcW w:w="5" w:type="pct"/>
            <w:shd w:val="clear" w:color="auto" w:fill="auto"/>
            <w:vAlign w:val="bottom"/>
          </w:tcPr>
          <w:p w14:paraId="392C3392" w14:textId="77777777" w:rsidR="00980E5F" w:rsidRDefault="00980E5F">
            <w:pPr>
              <w:rPr>
                <w:rFonts w:ascii="宋体"/>
              </w:rPr>
            </w:pPr>
          </w:p>
        </w:tc>
        <w:tc>
          <w:tcPr>
            <w:tcW w:w="5" w:type="pct"/>
            <w:shd w:val="clear" w:color="auto" w:fill="auto"/>
            <w:vAlign w:val="bottom"/>
          </w:tcPr>
          <w:p w14:paraId="392C3393" w14:textId="77777777" w:rsidR="00980E5F" w:rsidRDefault="00980E5F">
            <w:pPr>
              <w:rPr>
                <w:rFonts w:ascii="宋体"/>
              </w:rPr>
            </w:pPr>
          </w:p>
        </w:tc>
        <w:tc>
          <w:tcPr>
            <w:tcW w:w="26" w:type="pct"/>
            <w:shd w:val="clear" w:color="auto" w:fill="auto"/>
            <w:vAlign w:val="bottom"/>
          </w:tcPr>
          <w:p w14:paraId="392C3394" w14:textId="77777777" w:rsidR="00980E5F" w:rsidRDefault="00980E5F">
            <w:pPr>
              <w:rPr>
                <w:rFonts w:ascii="宋体"/>
              </w:rPr>
            </w:pPr>
          </w:p>
        </w:tc>
        <w:tc>
          <w:tcPr>
            <w:tcW w:w="5" w:type="pct"/>
            <w:shd w:val="clear" w:color="auto" w:fill="auto"/>
            <w:vAlign w:val="bottom"/>
          </w:tcPr>
          <w:p w14:paraId="392C3395" w14:textId="77777777" w:rsidR="00980E5F" w:rsidRDefault="00980E5F">
            <w:pPr>
              <w:rPr>
                <w:rFonts w:ascii="宋体"/>
              </w:rPr>
            </w:pPr>
          </w:p>
        </w:tc>
        <w:tc>
          <w:tcPr>
            <w:tcW w:w="50" w:type="pct"/>
            <w:shd w:val="clear" w:color="auto" w:fill="auto"/>
            <w:vAlign w:val="bottom"/>
          </w:tcPr>
          <w:p w14:paraId="392C3396" w14:textId="77777777" w:rsidR="00980E5F" w:rsidRDefault="00980E5F">
            <w:pPr>
              <w:rPr>
                <w:rFonts w:ascii="宋体"/>
              </w:rPr>
            </w:pPr>
          </w:p>
        </w:tc>
        <w:tc>
          <w:tcPr>
            <w:tcW w:w="296" w:type="pct"/>
            <w:shd w:val="clear" w:color="auto" w:fill="auto"/>
            <w:vAlign w:val="bottom"/>
          </w:tcPr>
          <w:p w14:paraId="392C3397" w14:textId="77777777" w:rsidR="00980E5F" w:rsidRDefault="00980E5F">
            <w:pPr>
              <w:rPr>
                <w:rFonts w:ascii="宋体"/>
              </w:rPr>
            </w:pPr>
          </w:p>
        </w:tc>
        <w:tc>
          <w:tcPr>
            <w:tcW w:w="5" w:type="pct"/>
            <w:shd w:val="clear" w:color="auto" w:fill="auto"/>
            <w:vAlign w:val="bottom"/>
          </w:tcPr>
          <w:p w14:paraId="392C3398" w14:textId="77777777" w:rsidR="00980E5F" w:rsidRDefault="00980E5F">
            <w:pPr>
              <w:rPr>
                <w:rFonts w:ascii="宋体"/>
              </w:rPr>
            </w:pPr>
          </w:p>
        </w:tc>
        <w:tc>
          <w:tcPr>
            <w:tcW w:w="5" w:type="pct"/>
            <w:shd w:val="clear" w:color="auto" w:fill="auto"/>
            <w:vAlign w:val="bottom"/>
          </w:tcPr>
          <w:p w14:paraId="392C3399" w14:textId="77777777" w:rsidR="00980E5F" w:rsidRDefault="00980E5F">
            <w:pPr>
              <w:rPr>
                <w:rFonts w:ascii="宋体"/>
              </w:rPr>
            </w:pPr>
          </w:p>
        </w:tc>
        <w:tc>
          <w:tcPr>
            <w:tcW w:w="26" w:type="pct"/>
            <w:shd w:val="clear" w:color="auto" w:fill="auto"/>
            <w:vAlign w:val="bottom"/>
          </w:tcPr>
          <w:p w14:paraId="392C339A" w14:textId="77777777" w:rsidR="00980E5F" w:rsidRDefault="00980E5F">
            <w:pPr>
              <w:rPr>
                <w:rFonts w:ascii="宋体"/>
              </w:rPr>
            </w:pPr>
          </w:p>
        </w:tc>
        <w:tc>
          <w:tcPr>
            <w:tcW w:w="5" w:type="pct"/>
            <w:shd w:val="clear" w:color="auto" w:fill="auto"/>
            <w:vAlign w:val="bottom"/>
          </w:tcPr>
          <w:p w14:paraId="392C339B" w14:textId="77777777" w:rsidR="00980E5F" w:rsidRDefault="00980E5F">
            <w:pPr>
              <w:rPr>
                <w:rFonts w:ascii="宋体"/>
              </w:rPr>
            </w:pPr>
          </w:p>
        </w:tc>
        <w:tc>
          <w:tcPr>
            <w:tcW w:w="50" w:type="pct"/>
            <w:shd w:val="clear" w:color="auto" w:fill="auto"/>
            <w:vAlign w:val="bottom"/>
          </w:tcPr>
          <w:p w14:paraId="392C339C" w14:textId="77777777" w:rsidR="00980E5F" w:rsidRDefault="00980E5F">
            <w:pPr>
              <w:rPr>
                <w:rFonts w:ascii="宋体"/>
              </w:rPr>
            </w:pPr>
          </w:p>
        </w:tc>
        <w:tc>
          <w:tcPr>
            <w:tcW w:w="508" w:type="pct"/>
            <w:shd w:val="clear" w:color="auto" w:fill="auto"/>
            <w:vAlign w:val="bottom"/>
          </w:tcPr>
          <w:p w14:paraId="392C339D" w14:textId="77777777" w:rsidR="00980E5F" w:rsidRDefault="00980E5F">
            <w:pPr>
              <w:rPr>
                <w:rFonts w:ascii="宋体"/>
              </w:rPr>
            </w:pPr>
          </w:p>
        </w:tc>
        <w:tc>
          <w:tcPr>
            <w:tcW w:w="5" w:type="pct"/>
            <w:shd w:val="clear" w:color="auto" w:fill="auto"/>
            <w:vAlign w:val="bottom"/>
          </w:tcPr>
          <w:p w14:paraId="392C339E" w14:textId="77777777" w:rsidR="00980E5F" w:rsidRDefault="00980E5F">
            <w:pPr>
              <w:rPr>
                <w:rFonts w:ascii="宋体"/>
              </w:rPr>
            </w:pPr>
          </w:p>
        </w:tc>
        <w:tc>
          <w:tcPr>
            <w:tcW w:w="5" w:type="pct"/>
            <w:shd w:val="clear" w:color="auto" w:fill="auto"/>
            <w:vAlign w:val="bottom"/>
          </w:tcPr>
          <w:p w14:paraId="392C339F" w14:textId="77777777" w:rsidR="00980E5F" w:rsidRDefault="00980E5F">
            <w:pPr>
              <w:rPr>
                <w:rFonts w:ascii="宋体"/>
              </w:rPr>
            </w:pPr>
          </w:p>
        </w:tc>
        <w:tc>
          <w:tcPr>
            <w:tcW w:w="26" w:type="pct"/>
            <w:shd w:val="clear" w:color="auto" w:fill="auto"/>
            <w:vAlign w:val="bottom"/>
          </w:tcPr>
          <w:p w14:paraId="392C33A0" w14:textId="77777777" w:rsidR="00980E5F" w:rsidRDefault="00980E5F">
            <w:pPr>
              <w:rPr>
                <w:rFonts w:ascii="宋体"/>
              </w:rPr>
            </w:pPr>
          </w:p>
        </w:tc>
        <w:tc>
          <w:tcPr>
            <w:tcW w:w="5" w:type="pct"/>
            <w:shd w:val="clear" w:color="auto" w:fill="auto"/>
            <w:vAlign w:val="bottom"/>
          </w:tcPr>
          <w:p w14:paraId="392C33A1" w14:textId="77777777" w:rsidR="00980E5F" w:rsidRDefault="00980E5F">
            <w:pPr>
              <w:rPr>
                <w:rFonts w:ascii="宋体"/>
              </w:rPr>
            </w:pPr>
          </w:p>
        </w:tc>
        <w:tc>
          <w:tcPr>
            <w:tcW w:w="50" w:type="pct"/>
            <w:shd w:val="clear" w:color="auto" w:fill="auto"/>
            <w:vAlign w:val="bottom"/>
          </w:tcPr>
          <w:p w14:paraId="392C33A2" w14:textId="77777777" w:rsidR="00980E5F" w:rsidRDefault="00980E5F">
            <w:pPr>
              <w:rPr>
                <w:rFonts w:ascii="宋体"/>
              </w:rPr>
            </w:pPr>
          </w:p>
        </w:tc>
        <w:tc>
          <w:tcPr>
            <w:tcW w:w="376" w:type="pct"/>
            <w:shd w:val="clear" w:color="auto" w:fill="auto"/>
            <w:vAlign w:val="bottom"/>
          </w:tcPr>
          <w:p w14:paraId="392C33A3" w14:textId="77777777" w:rsidR="00980E5F" w:rsidRDefault="00980E5F">
            <w:pPr>
              <w:rPr>
                <w:rFonts w:ascii="宋体"/>
              </w:rPr>
            </w:pPr>
          </w:p>
        </w:tc>
        <w:tc>
          <w:tcPr>
            <w:tcW w:w="5" w:type="pct"/>
            <w:shd w:val="clear" w:color="auto" w:fill="auto"/>
            <w:vAlign w:val="bottom"/>
          </w:tcPr>
          <w:p w14:paraId="392C33A4" w14:textId="77777777" w:rsidR="00980E5F" w:rsidRDefault="00980E5F">
            <w:pPr>
              <w:rPr>
                <w:rFonts w:ascii="宋体"/>
              </w:rPr>
            </w:pPr>
          </w:p>
        </w:tc>
        <w:tc>
          <w:tcPr>
            <w:tcW w:w="5" w:type="pct"/>
            <w:shd w:val="clear" w:color="auto" w:fill="auto"/>
            <w:vAlign w:val="bottom"/>
          </w:tcPr>
          <w:p w14:paraId="392C33A5" w14:textId="77777777" w:rsidR="00980E5F" w:rsidRDefault="00980E5F">
            <w:pPr>
              <w:rPr>
                <w:rFonts w:ascii="宋体"/>
              </w:rPr>
            </w:pPr>
          </w:p>
        </w:tc>
        <w:tc>
          <w:tcPr>
            <w:tcW w:w="26" w:type="pct"/>
            <w:shd w:val="clear" w:color="auto" w:fill="auto"/>
            <w:vAlign w:val="bottom"/>
          </w:tcPr>
          <w:p w14:paraId="392C33A6" w14:textId="77777777" w:rsidR="00980E5F" w:rsidRDefault="00980E5F">
            <w:pPr>
              <w:rPr>
                <w:rFonts w:ascii="宋体"/>
              </w:rPr>
            </w:pPr>
          </w:p>
        </w:tc>
        <w:tc>
          <w:tcPr>
            <w:tcW w:w="5" w:type="pct"/>
            <w:shd w:val="clear" w:color="auto" w:fill="auto"/>
            <w:vAlign w:val="bottom"/>
          </w:tcPr>
          <w:p w14:paraId="392C33A7" w14:textId="77777777" w:rsidR="00980E5F" w:rsidRDefault="00980E5F">
            <w:pPr>
              <w:rPr>
                <w:rFonts w:ascii="宋体"/>
              </w:rPr>
            </w:pPr>
          </w:p>
        </w:tc>
        <w:tc>
          <w:tcPr>
            <w:tcW w:w="50" w:type="pct"/>
            <w:shd w:val="clear" w:color="auto" w:fill="auto"/>
            <w:vAlign w:val="bottom"/>
          </w:tcPr>
          <w:p w14:paraId="392C33A8" w14:textId="77777777" w:rsidR="00980E5F" w:rsidRDefault="00980E5F">
            <w:pPr>
              <w:rPr>
                <w:rFonts w:ascii="宋体"/>
              </w:rPr>
            </w:pPr>
          </w:p>
        </w:tc>
        <w:tc>
          <w:tcPr>
            <w:tcW w:w="318" w:type="pct"/>
            <w:shd w:val="clear" w:color="auto" w:fill="auto"/>
            <w:vAlign w:val="bottom"/>
          </w:tcPr>
          <w:p w14:paraId="392C33A9" w14:textId="77777777" w:rsidR="00980E5F" w:rsidRDefault="00980E5F">
            <w:pPr>
              <w:rPr>
                <w:rFonts w:ascii="宋体"/>
              </w:rPr>
            </w:pPr>
          </w:p>
        </w:tc>
        <w:tc>
          <w:tcPr>
            <w:tcW w:w="5" w:type="pct"/>
            <w:shd w:val="clear" w:color="auto" w:fill="auto"/>
            <w:vAlign w:val="bottom"/>
          </w:tcPr>
          <w:p w14:paraId="392C33AA" w14:textId="77777777" w:rsidR="00980E5F" w:rsidRDefault="00980E5F">
            <w:pPr>
              <w:rPr>
                <w:rFonts w:ascii="宋体"/>
              </w:rPr>
            </w:pPr>
          </w:p>
        </w:tc>
        <w:tc>
          <w:tcPr>
            <w:tcW w:w="5" w:type="pct"/>
            <w:shd w:val="clear" w:color="auto" w:fill="auto"/>
            <w:vAlign w:val="bottom"/>
          </w:tcPr>
          <w:p w14:paraId="392C33AB" w14:textId="77777777" w:rsidR="00980E5F" w:rsidRDefault="00980E5F">
            <w:pPr>
              <w:rPr>
                <w:rFonts w:ascii="宋体"/>
              </w:rPr>
            </w:pPr>
          </w:p>
        </w:tc>
        <w:tc>
          <w:tcPr>
            <w:tcW w:w="26" w:type="pct"/>
            <w:shd w:val="clear" w:color="auto" w:fill="auto"/>
            <w:vAlign w:val="bottom"/>
          </w:tcPr>
          <w:p w14:paraId="392C33AC" w14:textId="77777777" w:rsidR="00980E5F" w:rsidRDefault="00980E5F">
            <w:pPr>
              <w:rPr>
                <w:rFonts w:ascii="宋体"/>
              </w:rPr>
            </w:pPr>
          </w:p>
        </w:tc>
        <w:tc>
          <w:tcPr>
            <w:tcW w:w="5" w:type="pct"/>
            <w:shd w:val="clear" w:color="auto" w:fill="auto"/>
            <w:vAlign w:val="bottom"/>
          </w:tcPr>
          <w:p w14:paraId="392C33AD" w14:textId="77777777" w:rsidR="00980E5F" w:rsidRDefault="00980E5F">
            <w:pPr>
              <w:rPr>
                <w:rFonts w:ascii="宋体"/>
              </w:rPr>
            </w:pPr>
          </w:p>
        </w:tc>
        <w:tc>
          <w:tcPr>
            <w:tcW w:w="50" w:type="pct"/>
            <w:shd w:val="clear" w:color="auto" w:fill="auto"/>
            <w:vAlign w:val="bottom"/>
          </w:tcPr>
          <w:p w14:paraId="392C33AE" w14:textId="77777777" w:rsidR="00980E5F" w:rsidRDefault="00980E5F">
            <w:pPr>
              <w:rPr>
                <w:rFonts w:ascii="宋体"/>
              </w:rPr>
            </w:pPr>
          </w:p>
        </w:tc>
        <w:tc>
          <w:tcPr>
            <w:tcW w:w="296" w:type="pct"/>
            <w:shd w:val="clear" w:color="auto" w:fill="auto"/>
            <w:vAlign w:val="bottom"/>
          </w:tcPr>
          <w:p w14:paraId="392C33AF" w14:textId="77777777" w:rsidR="00980E5F" w:rsidRDefault="00980E5F">
            <w:pPr>
              <w:rPr>
                <w:rFonts w:ascii="宋体"/>
              </w:rPr>
            </w:pPr>
          </w:p>
        </w:tc>
        <w:tc>
          <w:tcPr>
            <w:tcW w:w="5" w:type="pct"/>
            <w:shd w:val="clear" w:color="auto" w:fill="auto"/>
            <w:vAlign w:val="bottom"/>
          </w:tcPr>
          <w:p w14:paraId="392C33B0" w14:textId="77777777" w:rsidR="00980E5F" w:rsidRDefault="00980E5F">
            <w:pPr>
              <w:rPr>
                <w:rFonts w:ascii="宋体"/>
              </w:rPr>
            </w:pPr>
          </w:p>
        </w:tc>
      </w:tr>
      <w:tr w:rsidR="00980E5F" w14:paraId="392C33C5"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392C33B2" w14:textId="77777777" w:rsidR="00980E5F" w:rsidRDefault="00483613">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392C33B3" w14:textId="77777777" w:rsidR="00980E5F" w:rsidRDefault="00483613">
            <w:pPr>
              <w:jc w:val="center"/>
              <w:textAlignment w:val="bottom"/>
            </w:pPr>
            <w:r>
              <w:rPr>
                <w:rFonts w:ascii="Arial" w:eastAsia="宋体" w:hAnsi="Arial" w:cs="Arial"/>
                <w:b/>
                <w:bCs/>
                <w:color w:val="000000"/>
                <w:sz w:val="14"/>
                <w:szCs w:val="14"/>
              </w:rPr>
              <w:t>Preferred</w:t>
            </w:r>
          </w:p>
          <w:p w14:paraId="392C33B4" w14:textId="77777777" w:rsidR="00980E5F" w:rsidRDefault="00483613">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392C33B5"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33B6" w14:textId="77777777" w:rsidR="00980E5F" w:rsidRDefault="00483613">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392C33B7"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33B8" w14:textId="77777777" w:rsidR="00980E5F" w:rsidRDefault="00483613">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392C33B9"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33BA" w14:textId="77777777" w:rsidR="00980E5F" w:rsidRDefault="00483613">
            <w:pPr>
              <w:jc w:val="center"/>
              <w:textAlignment w:val="bottom"/>
            </w:pPr>
            <w:r>
              <w:rPr>
                <w:rFonts w:ascii="Arial" w:eastAsia="宋体" w:hAnsi="Arial" w:cs="Arial"/>
                <w:b/>
                <w:bCs/>
                <w:color w:val="000000"/>
                <w:sz w:val="14"/>
                <w:szCs w:val="14"/>
              </w:rPr>
              <w:t>Retained</w:t>
            </w:r>
          </w:p>
          <w:p w14:paraId="392C33BB" w14:textId="77777777" w:rsidR="00980E5F" w:rsidRDefault="00483613">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392C33BC"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33BD" w14:textId="77777777" w:rsidR="00980E5F" w:rsidRDefault="00483613">
            <w:pPr>
              <w:jc w:val="center"/>
              <w:textAlignment w:val="bottom"/>
            </w:pPr>
            <w:r>
              <w:rPr>
                <w:rFonts w:ascii="Arial" w:eastAsia="宋体" w:hAnsi="Arial" w:cs="Arial"/>
                <w:b/>
                <w:bCs/>
                <w:color w:val="000000"/>
                <w:sz w:val="14"/>
                <w:szCs w:val="14"/>
              </w:rPr>
              <w:t>Accumulated</w:t>
            </w:r>
          </w:p>
          <w:p w14:paraId="392C33BE" w14:textId="77777777" w:rsidR="00980E5F" w:rsidRDefault="00483613">
            <w:pPr>
              <w:jc w:val="center"/>
              <w:textAlignment w:val="bottom"/>
            </w:pPr>
            <w:r>
              <w:rPr>
                <w:rFonts w:ascii="Arial" w:eastAsia="宋体" w:hAnsi="Arial" w:cs="Arial"/>
                <w:b/>
                <w:bCs/>
                <w:color w:val="000000"/>
                <w:sz w:val="14"/>
                <w:szCs w:val="14"/>
              </w:rPr>
              <w:t>Other</w:t>
            </w:r>
          </w:p>
          <w:p w14:paraId="392C33BF" w14:textId="77777777" w:rsidR="00980E5F" w:rsidRDefault="00483613">
            <w:pPr>
              <w:jc w:val="center"/>
              <w:textAlignment w:val="bottom"/>
            </w:pPr>
            <w:r>
              <w:rPr>
                <w:rFonts w:ascii="Arial" w:eastAsia="宋体" w:hAnsi="Arial" w:cs="Arial"/>
                <w:b/>
                <w:bCs/>
                <w:color w:val="000000"/>
                <w:sz w:val="14"/>
                <w:szCs w:val="14"/>
              </w:rPr>
              <w:t>Comprehensive</w:t>
            </w:r>
          </w:p>
          <w:p w14:paraId="392C33C0" w14:textId="77777777" w:rsidR="00980E5F" w:rsidRDefault="00483613">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392C33C1"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33C2" w14:textId="77777777" w:rsidR="00980E5F" w:rsidRDefault="00483613">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392C33C3"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33C4"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33D8" w14:textId="77777777">
        <w:trPr>
          <w:trHeight w:val="460"/>
          <w:jc w:val="center"/>
        </w:trPr>
        <w:tc>
          <w:tcPr>
            <w:tcW w:w="0" w:type="auto"/>
            <w:gridSpan w:val="3"/>
            <w:vMerge/>
            <w:shd w:val="clear" w:color="auto" w:fill="auto"/>
            <w:tcMar>
              <w:top w:w="40" w:type="dxa"/>
              <w:left w:w="20" w:type="dxa"/>
              <w:bottom w:w="40" w:type="dxa"/>
              <w:right w:w="20" w:type="dxa"/>
            </w:tcMar>
            <w:vAlign w:val="bottom"/>
          </w:tcPr>
          <w:p w14:paraId="392C33C6"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33C7" w14:textId="77777777" w:rsidR="00980E5F" w:rsidRDefault="00980E5F">
            <w:pPr>
              <w:rPr>
                <w:rFonts w:ascii="宋体"/>
              </w:rPr>
            </w:pPr>
          </w:p>
        </w:tc>
        <w:tc>
          <w:tcPr>
            <w:tcW w:w="0" w:type="auto"/>
            <w:gridSpan w:val="3"/>
            <w:vMerge/>
            <w:shd w:val="clear" w:color="auto" w:fill="auto"/>
            <w:tcMar>
              <w:top w:w="0" w:type="dxa"/>
              <w:left w:w="20" w:type="dxa"/>
              <w:bottom w:w="0" w:type="dxa"/>
              <w:right w:w="20" w:type="dxa"/>
            </w:tcMar>
            <w:vAlign w:val="bottom"/>
          </w:tcPr>
          <w:p w14:paraId="392C33C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3C9" w14:textId="77777777" w:rsidR="00980E5F" w:rsidRDefault="00483613">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3C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3CB" w14:textId="77777777" w:rsidR="00980E5F" w:rsidRDefault="00483613">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392C33CC"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33CD"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33CE"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33C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3D0"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33D1" w14:textId="77777777" w:rsidR="00980E5F" w:rsidRDefault="00980E5F">
            <w:pPr>
              <w:rPr>
                <w:rFonts w:ascii="宋体"/>
              </w:rPr>
            </w:pPr>
          </w:p>
        </w:tc>
        <w:tc>
          <w:tcPr>
            <w:tcW w:w="0" w:type="auto"/>
            <w:gridSpan w:val="3"/>
            <w:vMerge/>
            <w:shd w:val="clear" w:color="auto" w:fill="auto"/>
            <w:tcMar>
              <w:top w:w="0" w:type="dxa"/>
              <w:left w:w="20" w:type="dxa"/>
              <w:bottom w:w="0" w:type="dxa"/>
              <w:right w:w="20" w:type="dxa"/>
            </w:tcMar>
            <w:vAlign w:val="bottom"/>
          </w:tcPr>
          <w:p w14:paraId="392C33D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3D3" w14:textId="77777777" w:rsidR="00980E5F" w:rsidRDefault="00483613">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3D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3D5" w14:textId="77777777" w:rsidR="00980E5F" w:rsidRDefault="00483613">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392C33D6"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33D7" w14:textId="77777777" w:rsidR="00980E5F" w:rsidRDefault="00980E5F">
            <w:pPr>
              <w:jc w:val="center"/>
              <w:rPr>
                <w:rFonts w:ascii="宋体"/>
              </w:rPr>
            </w:pPr>
          </w:p>
        </w:tc>
      </w:tr>
      <w:tr w:rsidR="00980E5F" w14:paraId="392C33EB" w14:textId="77777777">
        <w:trPr>
          <w:jc w:val="center"/>
          <w:hidden/>
        </w:trPr>
        <w:tc>
          <w:tcPr>
            <w:tcW w:w="0" w:type="auto"/>
            <w:gridSpan w:val="3"/>
            <w:shd w:val="clear" w:color="auto" w:fill="auto"/>
            <w:vAlign w:val="bottom"/>
          </w:tcPr>
          <w:p w14:paraId="392C33D9" w14:textId="77777777" w:rsidR="00980E5F" w:rsidRDefault="00980E5F">
            <w:pPr>
              <w:rPr>
                <w:rFonts w:ascii="宋体"/>
                <w:vanish/>
              </w:rPr>
            </w:pPr>
          </w:p>
        </w:tc>
        <w:tc>
          <w:tcPr>
            <w:tcW w:w="0" w:type="auto"/>
            <w:gridSpan w:val="3"/>
            <w:shd w:val="clear" w:color="auto" w:fill="auto"/>
            <w:vAlign w:val="bottom"/>
          </w:tcPr>
          <w:p w14:paraId="392C33DA" w14:textId="77777777" w:rsidR="00980E5F" w:rsidRDefault="00980E5F">
            <w:pPr>
              <w:rPr>
                <w:rFonts w:ascii="宋体"/>
                <w:vanish/>
              </w:rPr>
            </w:pPr>
          </w:p>
        </w:tc>
        <w:tc>
          <w:tcPr>
            <w:tcW w:w="0" w:type="auto"/>
            <w:gridSpan w:val="3"/>
            <w:shd w:val="clear" w:color="auto" w:fill="auto"/>
            <w:vAlign w:val="bottom"/>
          </w:tcPr>
          <w:p w14:paraId="392C33DB" w14:textId="77777777" w:rsidR="00980E5F" w:rsidRDefault="00980E5F">
            <w:pPr>
              <w:rPr>
                <w:rFonts w:ascii="宋体"/>
                <w:vanish/>
              </w:rPr>
            </w:pPr>
          </w:p>
        </w:tc>
        <w:tc>
          <w:tcPr>
            <w:tcW w:w="0" w:type="auto"/>
            <w:gridSpan w:val="3"/>
            <w:shd w:val="clear" w:color="auto" w:fill="auto"/>
            <w:vAlign w:val="bottom"/>
          </w:tcPr>
          <w:p w14:paraId="392C33DC" w14:textId="77777777" w:rsidR="00980E5F" w:rsidRDefault="00980E5F">
            <w:pPr>
              <w:rPr>
                <w:rFonts w:ascii="宋体"/>
                <w:vanish/>
              </w:rPr>
            </w:pPr>
          </w:p>
        </w:tc>
        <w:tc>
          <w:tcPr>
            <w:tcW w:w="0" w:type="auto"/>
            <w:gridSpan w:val="3"/>
            <w:shd w:val="clear" w:color="auto" w:fill="auto"/>
            <w:vAlign w:val="bottom"/>
          </w:tcPr>
          <w:p w14:paraId="392C33DD" w14:textId="77777777" w:rsidR="00980E5F" w:rsidRDefault="00980E5F">
            <w:pPr>
              <w:rPr>
                <w:rFonts w:ascii="宋体"/>
                <w:vanish/>
              </w:rPr>
            </w:pPr>
          </w:p>
        </w:tc>
        <w:tc>
          <w:tcPr>
            <w:tcW w:w="0" w:type="auto"/>
            <w:gridSpan w:val="3"/>
            <w:shd w:val="clear" w:color="auto" w:fill="auto"/>
            <w:vAlign w:val="bottom"/>
          </w:tcPr>
          <w:p w14:paraId="392C33DE" w14:textId="77777777" w:rsidR="00980E5F" w:rsidRDefault="00980E5F">
            <w:pPr>
              <w:rPr>
                <w:rFonts w:ascii="宋体"/>
                <w:vanish/>
              </w:rPr>
            </w:pPr>
          </w:p>
        </w:tc>
        <w:tc>
          <w:tcPr>
            <w:tcW w:w="0" w:type="auto"/>
            <w:gridSpan w:val="3"/>
            <w:shd w:val="clear" w:color="auto" w:fill="auto"/>
            <w:vAlign w:val="bottom"/>
          </w:tcPr>
          <w:p w14:paraId="392C33DF" w14:textId="77777777" w:rsidR="00980E5F" w:rsidRDefault="00980E5F">
            <w:pPr>
              <w:rPr>
                <w:rFonts w:ascii="宋体"/>
                <w:vanish/>
              </w:rPr>
            </w:pPr>
          </w:p>
        </w:tc>
        <w:tc>
          <w:tcPr>
            <w:tcW w:w="0" w:type="auto"/>
            <w:gridSpan w:val="3"/>
            <w:shd w:val="clear" w:color="auto" w:fill="auto"/>
            <w:vAlign w:val="bottom"/>
          </w:tcPr>
          <w:p w14:paraId="392C33E0" w14:textId="77777777" w:rsidR="00980E5F" w:rsidRDefault="00980E5F">
            <w:pPr>
              <w:rPr>
                <w:rFonts w:ascii="宋体"/>
                <w:vanish/>
              </w:rPr>
            </w:pPr>
          </w:p>
        </w:tc>
        <w:tc>
          <w:tcPr>
            <w:tcW w:w="0" w:type="auto"/>
            <w:gridSpan w:val="3"/>
            <w:shd w:val="clear" w:color="auto" w:fill="auto"/>
            <w:vAlign w:val="bottom"/>
          </w:tcPr>
          <w:p w14:paraId="392C33E1" w14:textId="77777777" w:rsidR="00980E5F" w:rsidRDefault="00980E5F">
            <w:pPr>
              <w:rPr>
                <w:rFonts w:ascii="宋体"/>
                <w:vanish/>
              </w:rPr>
            </w:pPr>
          </w:p>
        </w:tc>
        <w:tc>
          <w:tcPr>
            <w:tcW w:w="0" w:type="auto"/>
            <w:gridSpan w:val="3"/>
            <w:shd w:val="clear" w:color="auto" w:fill="auto"/>
            <w:vAlign w:val="bottom"/>
          </w:tcPr>
          <w:p w14:paraId="392C33E2" w14:textId="77777777" w:rsidR="00980E5F" w:rsidRDefault="00980E5F">
            <w:pPr>
              <w:rPr>
                <w:rFonts w:ascii="宋体"/>
                <w:vanish/>
              </w:rPr>
            </w:pPr>
          </w:p>
        </w:tc>
        <w:tc>
          <w:tcPr>
            <w:tcW w:w="0" w:type="auto"/>
            <w:gridSpan w:val="3"/>
            <w:shd w:val="clear" w:color="auto" w:fill="auto"/>
            <w:vAlign w:val="bottom"/>
          </w:tcPr>
          <w:p w14:paraId="392C33E3" w14:textId="77777777" w:rsidR="00980E5F" w:rsidRDefault="00980E5F">
            <w:pPr>
              <w:rPr>
                <w:rFonts w:ascii="宋体"/>
                <w:vanish/>
              </w:rPr>
            </w:pPr>
          </w:p>
        </w:tc>
        <w:tc>
          <w:tcPr>
            <w:tcW w:w="0" w:type="auto"/>
            <w:gridSpan w:val="3"/>
            <w:shd w:val="clear" w:color="auto" w:fill="auto"/>
            <w:vAlign w:val="bottom"/>
          </w:tcPr>
          <w:p w14:paraId="392C33E4" w14:textId="77777777" w:rsidR="00980E5F" w:rsidRDefault="00980E5F">
            <w:pPr>
              <w:rPr>
                <w:rFonts w:ascii="宋体"/>
                <w:vanish/>
              </w:rPr>
            </w:pPr>
          </w:p>
        </w:tc>
        <w:tc>
          <w:tcPr>
            <w:tcW w:w="0" w:type="auto"/>
            <w:gridSpan w:val="3"/>
            <w:shd w:val="clear" w:color="auto" w:fill="auto"/>
            <w:vAlign w:val="bottom"/>
          </w:tcPr>
          <w:p w14:paraId="392C33E5" w14:textId="77777777" w:rsidR="00980E5F" w:rsidRDefault="00980E5F">
            <w:pPr>
              <w:rPr>
                <w:rFonts w:ascii="宋体"/>
                <w:vanish/>
              </w:rPr>
            </w:pPr>
          </w:p>
        </w:tc>
        <w:tc>
          <w:tcPr>
            <w:tcW w:w="0" w:type="auto"/>
            <w:gridSpan w:val="3"/>
            <w:shd w:val="clear" w:color="auto" w:fill="auto"/>
            <w:vAlign w:val="bottom"/>
          </w:tcPr>
          <w:p w14:paraId="392C33E6" w14:textId="77777777" w:rsidR="00980E5F" w:rsidRDefault="00980E5F">
            <w:pPr>
              <w:rPr>
                <w:rFonts w:ascii="宋体"/>
                <w:vanish/>
              </w:rPr>
            </w:pPr>
          </w:p>
        </w:tc>
        <w:tc>
          <w:tcPr>
            <w:tcW w:w="0" w:type="auto"/>
            <w:gridSpan w:val="3"/>
            <w:shd w:val="clear" w:color="auto" w:fill="auto"/>
            <w:vAlign w:val="bottom"/>
          </w:tcPr>
          <w:p w14:paraId="392C33E7" w14:textId="77777777" w:rsidR="00980E5F" w:rsidRDefault="00980E5F">
            <w:pPr>
              <w:rPr>
                <w:rFonts w:ascii="宋体"/>
                <w:vanish/>
              </w:rPr>
            </w:pPr>
          </w:p>
        </w:tc>
        <w:tc>
          <w:tcPr>
            <w:tcW w:w="0" w:type="auto"/>
            <w:gridSpan w:val="3"/>
            <w:shd w:val="clear" w:color="auto" w:fill="auto"/>
            <w:vAlign w:val="bottom"/>
          </w:tcPr>
          <w:p w14:paraId="392C33E8" w14:textId="77777777" w:rsidR="00980E5F" w:rsidRDefault="00980E5F">
            <w:pPr>
              <w:rPr>
                <w:rFonts w:ascii="宋体"/>
                <w:vanish/>
              </w:rPr>
            </w:pPr>
          </w:p>
        </w:tc>
        <w:tc>
          <w:tcPr>
            <w:tcW w:w="0" w:type="auto"/>
            <w:gridSpan w:val="3"/>
            <w:shd w:val="clear" w:color="auto" w:fill="auto"/>
            <w:vAlign w:val="bottom"/>
          </w:tcPr>
          <w:p w14:paraId="392C33E9" w14:textId="77777777" w:rsidR="00980E5F" w:rsidRDefault="00980E5F">
            <w:pPr>
              <w:rPr>
                <w:rFonts w:ascii="宋体"/>
                <w:vanish/>
              </w:rPr>
            </w:pPr>
          </w:p>
        </w:tc>
        <w:tc>
          <w:tcPr>
            <w:tcW w:w="0" w:type="auto"/>
            <w:gridSpan w:val="3"/>
            <w:shd w:val="clear" w:color="auto" w:fill="auto"/>
            <w:vAlign w:val="bottom"/>
          </w:tcPr>
          <w:p w14:paraId="392C33EA" w14:textId="77777777" w:rsidR="00980E5F" w:rsidRDefault="00980E5F">
            <w:pPr>
              <w:rPr>
                <w:rFonts w:ascii="宋体"/>
                <w:vanish/>
              </w:rPr>
            </w:pPr>
          </w:p>
        </w:tc>
      </w:tr>
      <w:tr w:rsidR="00980E5F" w14:paraId="392C33FE" w14:textId="77777777">
        <w:trPr>
          <w:jc w:val="center"/>
          <w:hidden/>
        </w:trPr>
        <w:tc>
          <w:tcPr>
            <w:tcW w:w="0" w:type="auto"/>
            <w:gridSpan w:val="3"/>
            <w:shd w:val="clear" w:color="auto" w:fill="auto"/>
            <w:vAlign w:val="bottom"/>
          </w:tcPr>
          <w:p w14:paraId="392C33EC" w14:textId="77777777" w:rsidR="00980E5F" w:rsidRDefault="00980E5F">
            <w:pPr>
              <w:rPr>
                <w:rFonts w:ascii="宋体"/>
                <w:vanish/>
              </w:rPr>
            </w:pPr>
          </w:p>
        </w:tc>
        <w:tc>
          <w:tcPr>
            <w:tcW w:w="0" w:type="auto"/>
            <w:gridSpan w:val="3"/>
            <w:shd w:val="clear" w:color="auto" w:fill="auto"/>
            <w:vAlign w:val="bottom"/>
          </w:tcPr>
          <w:p w14:paraId="392C33ED" w14:textId="77777777" w:rsidR="00980E5F" w:rsidRDefault="00980E5F">
            <w:pPr>
              <w:rPr>
                <w:rFonts w:ascii="宋体"/>
                <w:vanish/>
              </w:rPr>
            </w:pPr>
          </w:p>
        </w:tc>
        <w:tc>
          <w:tcPr>
            <w:tcW w:w="0" w:type="auto"/>
            <w:gridSpan w:val="3"/>
            <w:shd w:val="clear" w:color="auto" w:fill="auto"/>
            <w:vAlign w:val="bottom"/>
          </w:tcPr>
          <w:p w14:paraId="392C33EE" w14:textId="77777777" w:rsidR="00980E5F" w:rsidRDefault="00980E5F">
            <w:pPr>
              <w:rPr>
                <w:rFonts w:ascii="宋体"/>
                <w:vanish/>
              </w:rPr>
            </w:pPr>
          </w:p>
        </w:tc>
        <w:tc>
          <w:tcPr>
            <w:tcW w:w="0" w:type="auto"/>
            <w:gridSpan w:val="3"/>
            <w:shd w:val="clear" w:color="auto" w:fill="auto"/>
            <w:vAlign w:val="bottom"/>
          </w:tcPr>
          <w:p w14:paraId="392C33EF" w14:textId="77777777" w:rsidR="00980E5F" w:rsidRDefault="00980E5F">
            <w:pPr>
              <w:rPr>
                <w:rFonts w:ascii="宋体"/>
                <w:vanish/>
              </w:rPr>
            </w:pPr>
          </w:p>
        </w:tc>
        <w:tc>
          <w:tcPr>
            <w:tcW w:w="0" w:type="auto"/>
            <w:gridSpan w:val="3"/>
            <w:shd w:val="clear" w:color="auto" w:fill="auto"/>
            <w:vAlign w:val="bottom"/>
          </w:tcPr>
          <w:p w14:paraId="392C33F0" w14:textId="77777777" w:rsidR="00980E5F" w:rsidRDefault="00980E5F">
            <w:pPr>
              <w:rPr>
                <w:rFonts w:ascii="宋体"/>
                <w:vanish/>
              </w:rPr>
            </w:pPr>
          </w:p>
        </w:tc>
        <w:tc>
          <w:tcPr>
            <w:tcW w:w="0" w:type="auto"/>
            <w:gridSpan w:val="3"/>
            <w:shd w:val="clear" w:color="auto" w:fill="auto"/>
            <w:vAlign w:val="bottom"/>
          </w:tcPr>
          <w:p w14:paraId="392C33F1" w14:textId="77777777" w:rsidR="00980E5F" w:rsidRDefault="00980E5F">
            <w:pPr>
              <w:rPr>
                <w:rFonts w:ascii="宋体"/>
                <w:vanish/>
              </w:rPr>
            </w:pPr>
          </w:p>
        </w:tc>
        <w:tc>
          <w:tcPr>
            <w:tcW w:w="0" w:type="auto"/>
            <w:gridSpan w:val="3"/>
            <w:shd w:val="clear" w:color="auto" w:fill="auto"/>
            <w:vAlign w:val="bottom"/>
          </w:tcPr>
          <w:p w14:paraId="392C33F2" w14:textId="77777777" w:rsidR="00980E5F" w:rsidRDefault="00980E5F">
            <w:pPr>
              <w:rPr>
                <w:rFonts w:ascii="宋体"/>
                <w:vanish/>
              </w:rPr>
            </w:pPr>
          </w:p>
        </w:tc>
        <w:tc>
          <w:tcPr>
            <w:tcW w:w="0" w:type="auto"/>
            <w:gridSpan w:val="3"/>
            <w:shd w:val="clear" w:color="auto" w:fill="auto"/>
            <w:vAlign w:val="bottom"/>
          </w:tcPr>
          <w:p w14:paraId="392C33F3" w14:textId="77777777" w:rsidR="00980E5F" w:rsidRDefault="00980E5F">
            <w:pPr>
              <w:rPr>
                <w:rFonts w:ascii="宋体"/>
                <w:vanish/>
              </w:rPr>
            </w:pPr>
          </w:p>
        </w:tc>
        <w:tc>
          <w:tcPr>
            <w:tcW w:w="0" w:type="auto"/>
            <w:gridSpan w:val="3"/>
            <w:shd w:val="clear" w:color="auto" w:fill="auto"/>
            <w:vAlign w:val="bottom"/>
          </w:tcPr>
          <w:p w14:paraId="392C33F4" w14:textId="77777777" w:rsidR="00980E5F" w:rsidRDefault="00980E5F">
            <w:pPr>
              <w:rPr>
                <w:rFonts w:ascii="宋体"/>
                <w:vanish/>
              </w:rPr>
            </w:pPr>
          </w:p>
        </w:tc>
        <w:tc>
          <w:tcPr>
            <w:tcW w:w="0" w:type="auto"/>
            <w:gridSpan w:val="3"/>
            <w:shd w:val="clear" w:color="auto" w:fill="auto"/>
            <w:vAlign w:val="bottom"/>
          </w:tcPr>
          <w:p w14:paraId="392C33F5" w14:textId="77777777" w:rsidR="00980E5F" w:rsidRDefault="00980E5F">
            <w:pPr>
              <w:rPr>
                <w:rFonts w:ascii="宋体"/>
                <w:vanish/>
              </w:rPr>
            </w:pPr>
          </w:p>
        </w:tc>
        <w:tc>
          <w:tcPr>
            <w:tcW w:w="0" w:type="auto"/>
            <w:gridSpan w:val="3"/>
            <w:shd w:val="clear" w:color="auto" w:fill="auto"/>
            <w:vAlign w:val="bottom"/>
          </w:tcPr>
          <w:p w14:paraId="392C33F6" w14:textId="77777777" w:rsidR="00980E5F" w:rsidRDefault="00980E5F">
            <w:pPr>
              <w:rPr>
                <w:rFonts w:ascii="宋体"/>
                <w:vanish/>
              </w:rPr>
            </w:pPr>
          </w:p>
        </w:tc>
        <w:tc>
          <w:tcPr>
            <w:tcW w:w="0" w:type="auto"/>
            <w:gridSpan w:val="3"/>
            <w:shd w:val="clear" w:color="auto" w:fill="auto"/>
            <w:vAlign w:val="bottom"/>
          </w:tcPr>
          <w:p w14:paraId="392C33F7" w14:textId="77777777" w:rsidR="00980E5F" w:rsidRDefault="00980E5F">
            <w:pPr>
              <w:rPr>
                <w:rFonts w:ascii="宋体"/>
                <w:vanish/>
              </w:rPr>
            </w:pPr>
          </w:p>
        </w:tc>
        <w:tc>
          <w:tcPr>
            <w:tcW w:w="0" w:type="auto"/>
            <w:gridSpan w:val="3"/>
            <w:shd w:val="clear" w:color="auto" w:fill="auto"/>
            <w:vAlign w:val="bottom"/>
          </w:tcPr>
          <w:p w14:paraId="392C33F8" w14:textId="77777777" w:rsidR="00980E5F" w:rsidRDefault="00980E5F">
            <w:pPr>
              <w:rPr>
                <w:rFonts w:ascii="宋体"/>
                <w:vanish/>
              </w:rPr>
            </w:pPr>
          </w:p>
        </w:tc>
        <w:tc>
          <w:tcPr>
            <w:tcW w:w="0" w:type="auto"/>
            <w:gridSpan w:val="3"/>
            <w:shd w:val="clear" w:color="auto" w:fill="auto"/>
            <w:vAlign w:val="bottom"/>
          </w:tcPr>
          <w:p w14:paraId="392C33F9" w14:textId="77777777" w:rsidR="00980E5F" w:rsidRDefault="00980E5F">
            <w:pPr>
              <w:rPr>
                <w:rFonts w:ascii="宋体"/>
                <w:vanish/>
              </w:rPr>
            </w:pPr>
          </w:p>
        </w:tc>
        <w:tc>
          <w:tcPr>
            <w:tcW w:w="0" w:type="auto"/>
            <w:gridSpan w:val="3"/>
            <w:shd w:val="clear" w:color="auto" w:fill="auto"/>
            <w:vAlign w:val="bottom"/>
          </w:tcPr>
          <w:p w14:paraId="392C33FA" w14:textId="77777777" w:rsidR="00980E5F" w:rsidRDefault="00980E5F">
            <w:pPr>
              <w:rPr>
                <w:rFonts w:ascii="宋体"/>
                <w:vanish/>
              </w:rPr>
            </w:pPr>
          </w:p>
        </w:tc>
        <w:tc>
          <w:tcPr>
            <w:tcW w:w="0" w:type="auto"/>
            <w:gridSpan w:val="3"/>
            <w:shd w:val="clear" w:color="auto" w:fill="auto"/>
            <w:vAlign w:val="bottom"/>
          </w:tcPr>
          <w:p w14:paraId="392C33FB" w14:textId="77777777" w:rsidR="00980E5F" w:rsidRDefault="00980E5F">
            <w:pPr>
              <w:rPr>
                <w:rFonts w:ascii="宋体"/>
                <w:vanish/>
              </w:rPr>
            </w:pPr>
          </w:p>
        </w:tc>
        <w:tc>
          <w:tcPr>
            <w:tcW w:w="0" w:type="auto"/>
            <w:gridSpan w:val="3"/>
            <w:shd w:val="clear" w:color="auto" w:fill="auto"/>
            <w:vAlign w:val="bottom"/>
          </w:tcPr>
          <w:p w14:paraId="392C33FC" w14:textId="77777777" w:rsidR="00980E5F" w:rsidRDefault="00980E5F">
            <w:pPr>
              <w:rPr>
                <w:rFonts w:ascii="宋体"/>
                <w:vanish/>
              </w:rPr>
            </w:pPr>
          </w:p>
        </w:tc>
        <w:tc>
          <w:tcPr>
            <w:tcW w:w="0" w:type="auto"/>
            <w:gridSpan w:val="3"/>
            <w:shd w:val="clear" w:color="auto" w:fill="auto"/>
            <w:vAlign w:val="bottom"/>
          </w:tcPr>
          <w:p w14:paraId="392C33FD" w14:textId="77777777" w:rsidR="00980E5F" w:rsidRDefault="00980E5F">
            <w:pPr>
              <w:rPr>
                <w:rFonts w:ascii="宋体"/>
                <w:vanish/>
              </w:rPr>
            </w:pPr>
          </w:p>
        </w:tc>
      </w:tr>
      <w:tr w:rsidR="00980E5F" w14:paraId="392C3411" w14:textId="77777777">
        <w:trPr>
          <w:jc w:val="center"/>
          <w:hidden/>
        </w:trPr>
        <w:tc>
          <w:tcPr>
            <w:tcW w:w="0" w:type="auto"/>
            <w:gridSpan w:val="3"/>
            <w:shd w:val="clear" w:color="auto" w:fill="auto"/>
            <w:vAlign w:val="bottom"/>
          </w:tcPr>
          <w:p w14:paraId="392C33FF" w14:textId="77777777" w:rsidR="00980E5F" w:rsidRDefault="00980E5F">
            <w:pPr>
              <w:rPr>
                <w:rFonts w:ascii="宋体"/>
                <w:vanish/>
              </w:rPr>
            </w:pPr>
          </w:p>
        </w:tc>
        <w:tc>
          <w:tcPr>
            <w:tcW w:w="0" w:type="auto"/>
            <w:gridSpan w:val="3"/>
            <w:shd w:val="clear" w:color="auto" w:fill="auto"/>
            <w:vAlign w:val="bottom"/>
          </w:tcPr>
          <w:p w14:paraId="392C3400" w14:textId="77777777" w:rsidR="00980E5F" w:rsidRDefault="00980E5F">
            <w:pPr>
              <w:rPr>
                <w:rFonts w:ascii="宋体"/>
                <w:vanish/>
              </w:rPr>
            </w:pPr>
          </w:p>
        </w:tc>
        <w:tc>
          <w:tcPr>
            <w:tcW w:w="0" w:type="auto"/>
            <w:gridSpan w:val="3"/>
            <w:shd w:val="clear" w:color="auto" w:fill="auto"/>
            <w:vAlign w:val="bottom"/>
          </w:tcPr>
          <w:p w14:paraId="392C3401" w14:textId="77777777" w:rsidR="00980E5F" w:rsidRDefault="00980E5F">
            <w:pPr>
              <w:rPr>
                <w:rFonts w:ascii="宋体"/>
                <w:vanish/>
              </w:rPr>
            </w:pPr>
          </w:p>
        </w:tc>
        <w:tc>
          <w:tcPr>
            <w:tcW w:w="0" w:type="auto"/>
            <w:gridSpan w:val="3"/>
            <w:shd w:val="clear" w:color="auto" w:fill="auto"/>
            <w:vAlign w:val="bottom"/>
          </w:tcPr>
          <w:p w14:paraId="392C3402" w14:textId="77777777" w:rsidR="00980E5F" w:rsidRDefault="00980E5F">
            <w:pPr>
              <w:rPr>
                <w:rFonts w:ascii="宋体"/>
                <w:vanish/>
              </w:rPr>
            </w:pPr>
          </w:p>
        </w:tc>
        <w:tc>
          <w:tcPr>
            <w:tcW w:w="0" w:type="auto"/>
            <w:gridSpan w:val="3"/>
            <w:shd w:val="clear" w:color="auto" w:fill="auto"/>
            <w:vAlign w:val="bottom"/>
          </w:tcPr>
          <w:p w14:paraId="392C3403" w14:textId="77777777" w:rsidR="00980E5F" w:rsidRDefault="00980E5F">
            <w:pPr>
              <w:rPr>
                <w:rFonts w:ascii="宋体"/>
                <w:vanish/>
              </w:rPr>
            </w:pPr>
          </w:p>
        </w:tc>
        <w:tc>
          <w:tcPr>
            <w:tcW w:w="0" w:type="auto"/>
            <w:gridSpan w:val="3"/>
            <w:shd w:val="clear" w:color="auto" w:fill="auto"/>
            <w:vAlign w:val="bottom"/>
          </w:tcPr>
          <w:p w14:paraId="392C3404" w14:textId="77777777" w:rsidR="00980E5F" w:rsidRDefault="00980E5F">
            <w:pPr>
              <w:rPr>
                <w:rFonts w:ascii="宋体"/>
                <w:vanish/>
              </w:rPr>
            </w:pPr>
          </w:p>
        </w:tc>
        <w:tc>
          <w:tcPr>
            <w:tcW w:w="0" w:type="auto"/>
            <w:gridSpan w:val="3"/>
            <w:shd w:val="clear" w:color="auto" w:fill="auto"/>
            <w:vAlign w:val="bottom"/>
          </w:tcPr>
          <w:p w14:paraId="392C3405" w14:textId="77777777" w:rsidR="00980E5F" w:rsidRDefault="00980E5F">
            <w:pPr>
              <w:rPr>
                <w:rFonts w:ascii="宋体"/>
                <w:vanish/>
              </w:rPr>
            </w:pPr>
          </w:p>
        </w:tc>
        <w:tc>
          <w:tcPr>
            <w:tcW w:w="0" w:type="auto"/>
            <w:gridSpan w:val="3"/>
            <w:shd w:val="clear" w:color="auto" w:fill="auto"/>
            <w:vAlign w:val="bottom"/>
          </w:tcPr>
          <w:p w14:paraId="392C3406" w14:textId="77777777" w:rsidR="00980E5F" w:rsidRDefault="00980E5F">
            <w:pPr>
              <w:rPr>
                <w:rFonts w:ascii="宋体"/>
                <w:vanish/>
              </w:rPr>
            </w:pPr>
          </w:p>
        </w:tc>
        <w:tc>
          <w:tcPr>
            <w:tcW w:w="0" w:type="auto"/>
            <w:gridSpan w:val="3"/>
            <w:shd w:val="clear" w:color="auto" w:fill="auto"/>
            <w:vAlign w:val="bottom"/>
          </w:tcPr>
          <w:p w14:paraId="392C3407" w14:textId="77777777" w:rsidR="00980E5F" w:rsidRDefault="00980E5F">
            <w:pPr>
              <w:rPr>
                <w:rFonts w:ascii="宋体"/>
                <w:vanish/>
              </w:rPr>
            </w:pPr>
          </w:p>
        </w:tc>
        <w:tc>
          <w:tcPr>
            <w:tcW w:w="0" w:type="auto"/>
            <w:gridSpan w:val="3"/>
            <w:shd w:val="clear" w:color="auto" w:fill="auto"/>
            <w:vAlign w:val="bottom"/>
          </w:tcPr>
          <w:p w14:paraId="392C3408" w14:textId="77777777" w:rsidR="00980E5F" w:rsidRDefault="00980E5F">
            <w:pPr>
              <w:rPr>
                <w:rFonts w:ascii="宋体"/>
                <w:vanish/>
              </w:rPr>
            </w:pPr>
          </w:p>
        </w:tc>
        <w:tc>
          <w:tcPr>
            <w:tcW w:w="0" w:type="auto"/>
            <w:gridSpan w:val="3"/>
            <w:shd w:val="clear" w:color="auto" w:fill="auto"/>
            <w:vAlign w:val="bottom"/>
          </w:tcPr>
          <w:p w14:paraId="392C3409" w14:textId="77777777" w:rsidR="00980E5F" w:rsidRDefault="00980E5F">
            <w:pPr>
              <w:rPr>
                <w:rFonts w:ascii="宋体"/>
                <w:vanish/>
              </w:rPr>
            </w:pPr>
          </w:p>
        </w:tc>
        <w:tc>
          <w:tcPr>
            <w:tcW w:w="0" w:type="auto"/>
            <w:gridSpan w:val="3"/>
            <w:shd w:val="clear" w:color="auto" w:fill="auto"/>
            <w:vAlign w:val="bottom"/>
          </w:tcPr>
          <w:p w14:paraId="392C340A" w14:textId="77777777" w:rsidR="00980E5F" w:rsidRDefault="00980E5F">
            <w:pPr>
              <w:rPr>
                <w:rFonts w:ascii="宋体"/>
                <w:vanish/>
              </w:rPr>
            </w:pPr>
          </w:p>
        </w:tc>
        <w:tc>
          <w:tcPr>
            <w:tcW w:w="0" w:type="auto"/>
            <w:gridSpan w:val="3"/>
            <w:shd w:val="clear" w:color="auto" w:fill="auto"/>
            <w:vAlign w:val="bottom"/>
          </w:tcPr>
          <w:p w14:paraId="392C340B" w14:textId="77777777" w:rsidR="00980E5F" w:rsidRDefault="00980E5F">
            <w:pPr>
              <w:rPr>
                <w:rFonts w:ascii="宋体"/>
                <w:vanish/>
              </w:rPr>
            </w:pPr>
          </w:p>
        </w:tc>
        <w:tc>
          <w:tcPr>
            <w:tcW w:w="0" w:type="auto"/>
            <w:gridSpan w:val="3"/>
            <w:shd w:val="clear" w:color="auto" w:fill="auto"/>
            <w:vAlign w:val="bottom"/>
          </w:tcPr>
          <w:p w14:paraId="392C340C" w14:textId="77777777" w:rsidR="00980E5F" w:rsidRDefault="00980E5F">
            <w:pPr>
              <w:rPr>
                <w:rFonts w:ascii="宋体"/>
                <w:vanish/>
              </w:rPr>
            </w:pPr>
          </w:p>
        </w:tc>
        <w:tc>
          <w:tcPr>
            <w:tcW w:w="0" w:type="auto"/>
            <w:gridSpan w:val="3"/>
            <w:shd w:val="clear" w:color="auto" w:fill="auto"/>
            <w:vAlign w:val="bottom"/>
          </w:tcPr>
          <w:p w14:paraId="392C340D" w14:textId="77777777" w:rsidR="00980E5F" w:rsidRDefault="00980E5F">
            <w:pPr>
              <w:rPr>
                <w:rFonts w:ascii="宋体"/>
                <w:vanish/>
              </w:rPr>
            </w:pPr>
          </w:p>
        </w:tc>
        <w:tc>
          <w:tcPr>
            <w:tcW w:w="0" w:type="auto"/>
            <w:gridSpan w:val="3"/>
            <w:shd w:val="clear" w:color="auto" w:fill="auto"/>
            <w:vAlign w:val="bottom"/>
          </w:tcPr>
          <w:p w14:paraId="392C340E" w14:textId="77777777" w:rsidR="00980E5F" w:rsidRDefault="00980E5F">
            <w:pPr>
              <w:rPr>
                <w:rFonts w:ascii="宋体"/>
                <w:vanish/>
              </w:rPr>
            </w:pPr>
          </w:p>
        </w:tc>
        <w:tc>
          <w:tcPr>
            <w:tcW w:w="0" w:type="auto"/>
            <w:gridSpan w:val="3"/>
            <w:shd w:val="clear" w:color="auto" w:fill="auto"/>
            <w:vAlign w:val="bottom"/>
          </w:tcPr>
          <w:p w14:paraId="392C340F" w14:textId="77777777" w:rsidR="00980E5F" w:rsidRDefault="00980E5F">
            <w:pPr>
              <w:rPr>
                <w:rFonts w:ascii="宋体"/>
                <w:vanish/>
              </w:rPr>
            </w:pPr>
          </w:p>
        </w:tc>
        <w:tc>
          <w:tcPr>
            <w:tcW w:w="0" w:type="auto"/>
            <w:gridSpan w:val="3"/>
            <w:shd w:val="clear" w:color="auto" w:fill="auto"/>
            <w:vAlign w:val="bottom"/>
          </w:tcPr>
          <w:p w14:paraId="392C3410" w14:textId="77777777" w:rsidR="00980E5F" w:rsidRDefault="00980E5F">
            <w:pPr>
              <w:rPr>
                <w:rFonts w:ascii="宋体"/>
                <w:vanish/>
              </w:rPr>
            </w:pPr>
          </w:p>
        </w:tc>
      </w:tr>
      <w:tr w:rsidR="00980E5F" w14:paraId="392C3424" w14:textId="77777777">
        <w:trPr>
          <w:jc w:val="center"/>
          <w:hidden/>
        </w:trPr>
        <w:tc>
          <w:tcPr>
            <w:tcW w:w="0" w:type="auto"/>
            <w:gridSpan w:val="3"/>
            <w:shd w:val="clear" w:color="auto" w:fill="auto"/>
            <w:vAlign w:val="bottom"/>
          </w:tcPr>
          <w:p w14:paraId="392C3412" w14:textId="77777777" w:rsidR="00980E5F" w:rsidRDefault="00980E5F">
            <w:pPr>
              <w:rPr>
                <w:rFonts w:ascii="宋体"/>
                <w:vanish/>
              </w:rPr>
            </w:pPr>
          </w:p>
        </w:tc>
        <w:tc>
          <w:tcPr>
            <w:tcW w:w="0" w:type="auto"/>
            <w:gridSpan w:val="3"/>
            <w:shd w:val="clear" w:color="auto" w:fill="auto"/>
            <w:vAlign w:val="bottom"/>
          </w:tcPr>
          <w:p w14:paraId="392C3413" w14:textId="77777777" w:rsidR="00980E5F" w:rsidRDefault="00980E5F">
            <w:pPr>
              <w:rPr>
                <w:rFonts w:ascii="宋体"/>
                <w:vanish/>
              </w:rPr>
            </w:pPr>
          </w:p>
        </w:tc>
        <w:tc>
          <w:tcPr>
            <w:tcW w:w="0" w:type="auto"/>
            <w:gridSpan w:val="3"/>
            <w:shd w:val="clear" w:color="auto" w:fill="auto"/>
            <w:vAlign w:val="bottom"/>
          </w:tcPr>
          <w:p w14:paraId="392C3414" w14:textId="77777777" w:rsidR="00980E5F" w:rsidRDefault="00980E5F">
            <w:pPr>
              <w:rPr>
                <w:rFonts w:ascii="宋体"/>
                <w:vanish/>
              </w:rPr>
            </w:pPr>
          </w:p>
        </w:tc>
        <w:tc>
          <w:tcPr>
            <w:tcW w:w="0" w:type="auto"/>
            <w:gridSpan w:val="3"/>
            <w:shd w:val="clear" w:color="auto" w:fill="auto"/>
            <w:vAlign w:val="bottom"/>
          </w:tcPr>
          <w:p w14:paraId="392C3415" w14:textId="77777777" w:rsidR="00980E5F" w:rsidRDefault="00980E5F">
            <w:pPr>
              <w:rPr>
                <w:rFonts w:ascii="宋体"/>
                <w:vanish/>
              </w:rPr>
            </w:pPr>
          </w:p>
        </w:tc>
        <w:tc>
          <w:tcPr>
            <w:tcW w:w="0" w:type="auto"/>
            <w:gridSpan w:val="3"/>
            <w:shd w:val="clear" w:color="auto" w:fill="auto"/>
            <w:vAlign w:val="bottom"/>
          </w:tcPr>
          <w:p w14:paraId="392C3416" w14:textId="77777777" w:rsidR="00980E5F" w:rsidRDefault="00980E5F">
            <w:pPr>
              <w:rPr>
                <w:rFonts w:ascii="宋体"/>
                <w:vanish/>
              </w:rPr>
            </w:pPr>
          </w:p>
        </w:tc>
        <w:tc>
          <w:tcPr>
            <w:tcW w:w="0" w:type="auto"/>
            <w:gridSpan w:val="3"/>
            <w:shd w:val="clear" w:color="auto" w:fill="auto"/>
            <w:vAlign w:val="bottom"/>
          </w:tcPr>
          <w:p w14:paraId="392C3417" w14:textId="77777777" w:rsidR="00980E5F" w:rsidRDefault="00980E5F">
            <w:pPr>
              <w:rPr>
                <w:rFonts w:ascii="宋体"/>
                <w:vanish/>
              </w:rPr>
            </w:pPr>
          </w:p>
        </w:tc>
        <w:tc>
          <w:tcPr>
            <w:tcW w:w="0" w:type="auto"/>
            <w:gridSpan w:val="3"/>
            <w:shd w:val="clear" w:color="auto" w:fill="auto"/>
            <w:vAlign w:val="bottom"/>
          </w:tcPr>
          <w:p w14:paraId="392C3418" w14:textId="77777777" w:rsidR="00980E5F" w:rsidRDefault="00980E5F">
            <w:pPr>
              <w:rPr>
                <w:rFonts w:ascii="宋体"/>
                <w:vanish/>
              </w:rPr>
            </w:pPr>
          </w:p>
        </w:tc>
        <w:tc>
          <w:tcPr>
            <w:tcW w:w="0" w:type="auto"/>
            <w:gridSpan w:val="3"/>
            <w:shd w:val="clear" w:color="auto" w:fill="auto"/>
            <w:vAlign w:val="bottom"/>
          </w:tcPr>
          <w:p w14:paraId="392C3419" w14:textId="77777777" w:rsidR="00980E5F" w:rsidRDefault="00980E5F">
            <w:pPr>
              <w:rPr>
                <w:rFonts w:ascii="宋体"/>
                <w:vanish/>
              </w:rPr>
            </w:pPr>
          </w:p>
        </w:tc>
        <w:tc>
          <w:tcPr>
            <w:tcW w:w="0" w:type="auto"/>
            <w:gridSpan w:val="3"/>
            <w:shd w:val="clear" w:color="auto" w:fill="auto"/>
            <w:vAlign w:val="bottom"/>
          </w:tcPr>
          <w:p w14:paraId="392C341A" w14:textId="77777777" w:rsidR="00980E5F" w:rsidRDefault="00980E5F">
            <w:pPr>
              <w:rPr>
                <w:rFonts w:ascii="宋体"/>
                <w:vanish/>
              </w:rPr>
            </w:pPr>
          </w:p>
        </w:tc>
        <w:tc>
          <w:tcPr>
            <w:tcW w:w="0" w:type="auto"/>
            <w:gridSpan w:val="3"/>
            <w:shd w:val="clear" w:color="auto" w:fill="auto"/>
            <w:vAlign w:val="bottom"/>
          </w:tcPr>
          <w:p w14:paraId="392C341B" w14:textId="77777777" w:rsidR="00980E5F" w:rsidRDefault="00980E5F">
            <w:pPr>
              <w:rPr>
                <w:rFonts w:ascii="宋体"/>
                <w:vanish/>
              </w:rPr>
            </w:pPr>
          </w:p>
        </w:tc>
        <w:tc>
          <w:tcPr>
            <w:tcW w:w="0" w:type="auto"/>
            <w:gridSpan w:val="3"/>
            <w:shd w:val="clear" w:color="auto" w:fill="auto"/>
            <w:vAlign w:val="bottom"/>
          </w:tcPr>
          <w:p w14:paraId="392C341C" w14:textId="77777777" w:rsidR="00980E5F" w:rsidRDefault="00980E5F">
            <w:pPr>
              <w:rPr>
                <w:rFonts w:ascii="宋体"/>
                <w:vanish/>
              </w:rPr>
            </w:pPr>
          </w:p>
        </w:tc>
        <w:tc>
          <w:tcPr>
            <w:tcW w:w="0" w:type="auto"/>
            <w:gridSpan w:val="3"/>
            <w:shd w:val="clear" w:color="auto" w:fill="auto"/>
            <w:vAlign w:val="bottom"/>
          </w:tcPr>
          <w:p w14:paraId="392C341D" w14:textId="77777777" w:rsidR="00980E5F" w:rsidRDefault="00980E5F">
            <w:pPr>
              <w:rPr>
                <w:rFonts w:ascii="宋体"/>
                <w:vanish/>
              </w:rPr>
            </w:pPr>
          </w:p>
        </w:tc>
        <w:tc>
          <w:tcPr>
            <w:tcW w:w="0" w:type="auto"/>
            <w:gridSpan w:val="3"/>
            <w:shd w:val="clear" w:color="auto" w:fill="auto"/>
            <w:vAlign w:val="bottom"/>
          </w:tcPr>
          <w:p w14:paraId="392C341E" w14:textId="77777777" w:rsidR="00980E5F" w:rsidRDefault="00980E5F">
            <w:pPr>
              <w:rPr>
                <w:rFonts w:ascii="宋体"/>
                <w:vanish/>
              </w:rPr>
            </w:pPr>
          </w:p>
        </w:tc>
        <w:tc>
          <w:tcPr>
            <w:tcW w:w="0" w:type="auto"/>
            <w:gridSpan w:val="3"/>
            <w:shd w:val="clear" w:color="auto" w:fill="auto"/>
            <w:vAlign w:val="bottom"/>
          </w:tcPr>
          <w:p w14:paraId="392C341F" w14:textId="77777777" w:rsidR="00980E5F" w:rsidRDefault="00980E5F">
            <w:pPr>
              <w:rPr>
                <w:rFonts w:ascii="宋体"/>
                <w:vanish/>
              </w:rPr>
            </w:pPr>
          </w:p>
        </w:tc>
        <w:tc>
          <w:tcPr>
            <w:tcW w:w="0" w:type="auto"/>
            <w:gridSpan w:val="3"/>
            <w:shd w:val="clear" w:color="auto" w:fill="auto"/>
            <w:vAlign w:val="bottom"/>
          </w:tcPr>
          <w:p w14:paraId="392C3420" w14:textId="77777777" w:rsidR="00980E5F" w:rsidRDefault="00980E5F">
            <w:pPr>
              <w:rPr>
                <w:rFonts w:ascii="宋体"/>
                <w:vanish/>
              </w:rPr>
            </w:pPr>
          </w:p>
        </w:tc>
        <w:tc>
          <w:tcPr>
            <w:tcW w:w="0" w:type="auto"/>
            <w:gridSpan w:val="3"/>
            <w:shd w:val="clear" w:color="auto" w:fill="auto"/>
            <w:vAlign w:val="bottom"/>
          </w:tcPr>
          <w:p w14:paraId="392C3421" w14:textId="77777777" w:rsidR="00980E5F" w:rsidRDefault="00980E5F">
            <w:pPr>
              <w:rPr>
                <w:rFonts w:ascii="宋体"/>
                <w:vanish/>
              </w:rPr>
            </w:pPr>
          </w:p>
        </w:tc>
        <w:tc>
          <w:tcPr>
            <w:tcW w:w="0" w:type="auto"/>
            <w:gridSpan w:val="3"/>
            <w:shd w:val="clear" w:color="auto" w:fill="auto"/>
            <w:vAlign w:val="bottom"/>
          </w:tcPr>
          <w:p w14:paraId="392C3422" w14:textId="77777777" w:rsidR="00980E5F" w:rsidRDefault="00980E5F">
            <w:pPr>
              <w:rPr>
                <w:rFonts w:ascii="宋体"/>
                <w:vanish/>
              </w:rPr>
            </w:pPr>
          </w:p>
        </w:tc>
        <w:tc>
          <w:tcPr>
            <w:tcW w:w="0" w:type="auto"/>
            <w:gridSpan w:val="3"/>
            <w:shd w:val="clear" w:color="auto" w:fill="auto"/>
            <w:vAlign w:val="bottom"/>
          </w:tcPr>
          <w:p w14:paraId="392C3423" w14:textId="77777777" w:rsidR="00980E5F" w:rsidRDefault="00980E5F">
            <w:pPr>
              <w:rPr>
                <w:rFonts w:ascii="宋体"/>
                <w:vanish/>
              </w:rPr>
            </w:pPr>
          </w:p>
        </w:tc>
      </w:tr>
      <w:tr w:rsidR="00980E5F" w14:paraId="392C3437" w14:textId="77777777">
        <w:trPr>
          <w:jc w:val="center"/>
          <w:hidden/>
        </w:trPr>
        <w:tc>
          <w:tcPr>
            <w:tcW w:w="0" w:type="auto"/>
            <w:gridSpan w:val="3"/>
            <w:shd w:val="clear" w:color="auto" w:fill="auto"/>
            <w:vAlign w:val="bottom"/>
          </w:tcPr>
          <w:p w14:paraId="392C3425" w14:textId="77777777" w:rsidR="00980E5F" w:rsidRDefault="00980E5F">
            <w:pPr>
              <w:rPr>
                <w:rFonts w:ascii="宋体"/>
                <w:vanish/>
              </w:rPr>
            </w:pPr>
          </w:p>
        </w:tc>
        <w:tc>
          <w:tcPr>
            <w:tcW w:w="0" w:type="auto"/>
            <w:gridSpan w:val="3"/>
            <w:shd w:val="clear" w:color="auto" w:fill="auto"/>
            <w:vAlign w:val="bottom"/>
          </w:tcPr>
          <w:p w14:paraId="392C3426" w14:textId="77777777" w:rsidR="00980E5F" w:rsidRDefault="00980E5F">
            <w:pPr>
              <w:rPr>
                <w:rFonts w:ascii="宋体"/>
                <w:vanish/>
              </w:rPr>
            </w:pPr>
          </w:p>
        </w:tc>
        <w:tc>
          <w:tcPr>
            <w:tcW w:w="0" w:type="auto"/>
            <w:gridSpan w:val="3"/>
            <w:shd w:val="clear" w:color="auto" w:fill="auto"/>
            <w:vAlign w:val="bottom"/>
          </w:tcPr>
          <w:p w14:paraId="392C3427" w14:textId="77777777" w:rsidR="00980E5F" w:rsidRDefault="00980E5F">
            <w:pPr>
              <w:rPr>
                <w:rFonts w:ascii="宋体"/>
                <w:vanish/>
              </w:rPr>
            </w:pPr>
          </w:p>
        </w:tc>
        <w:tc>
          <w:tcPr>
            <w:tcW w:w="0" w:type="auto"/>
            <w:gridSpan w:val="3"/>
            <w:shd w:val="clear" w:color="auto" w:fill="auto"/>
            <w:vAlign w:val="bottom"/>
          </w:tcPr>
          <w:p w14:paraId="392C3428" w14:textId="77777777" w:rsidR="00980E5F" w:rsidRDefault="00980E5F">
            <w:pPr>
              <w:rPr>
                <w:rFonts w:ascii="宋体"/>
                <w:vanish/>
              </w:rPr>
            </w:pPr>
          </w:p>
        </w:tc>
        <w:tc>
          <w:tcPr>
            <w:tcW w:w="0" w:type="auto"/>
            <w:gridSpan w:val="3"/>
            <w:shd w:val="clear" w:color="auto" w:fill="auto"/>
            <w:vAlign w:val="bottom"/>
          </w:tcPr>
          <w:p w14:paraId="392C3429" w14:textId="77777777" w:rsidR="00980E5F" w:rsidRDefault="00980E5F">
            <w:pPr>
              <w:rPr>
                <w:rFonts w:ascii="宋体"/>
                <w:vanish/>
              </w:rPr>
            </w:pPr>
          </w:p>
        </w:tc>
        <w:tc>
          <w:tcPr>
            <w:tcW w:w="0" w:type="auto"/>
            <w:gridSpan w:val="3"/>
            <w:shd w:val="clear" w:color="auto" w:fill="auto"/>
            <w:vAlign w:val="bottom"/>
          </w:tcPr>
          <w:p w14:paraId="392C342A" w14:textId="77777777" w:rsidR="00980E5F" w:rsidRDefault="00980E5F">
            <w:pPr>
              <w:rPr>
                <w:rFonts w:ascii="宋体"/>
                <w:vanish/>
              </w:rPr>
            </w:pPr>
          </w:p>
        </w:tc>
        <w:tc>
          <w:tcPr>
            <w:tcW w:w="0" w:type="auto"/>
            <w:gridSpan w:val="3"/>
            <w:shd w:val="clear" w:color="auto" w:fill="auto"/>
            <w:vAlign w:val="bottom"/>
          </w:tcPr>
          <w:p w14:paraId="392C342B" w14:textId="77777777" w:rsidR="00980E5F" w:rsidRDefault="00980E5F">
            <w:pPr>
              <w:rPr>
                <w:rFonts w:ascii="宋体"/>
                <w:vanish/>
              </w:rPr>
            </w:pPr>
          </w:p>
        </w:tc>
        <w:tc>
          <w:tcPr>
            <w:tcW w:w="0" w:type="auto"/>
            <w:gridSpan w:val="3"/>
            <w:shd w:val="clear" w:color="auto" w:fill="auto"/>
            <w:vAlign w:val="bottom"/>
          </w:tcPr>
          <w:p w14:paraId="392C342C" w14:textId="77777777" w:rsidR="00980E5F" w:rsidRDefault="00980E5F">
            <w:pPr>
              <w:rPr>
                <w:rFonts w:ascii="宋体"/>
                <w:vanish/>
              </w:rPr>
            </w:pPr>
          </w:p>
        </w:tc>
        <w:tc>
          <w:tcPr>
            <w:tcW w:w="0" w:type="auto"/>
            <w:gridSpan w:val="3"/>
            <w:shd w:val="clear" w:color="auto" w:fill="auto"/>
            <w:vAlign w:val="bottom"/>
          </w:tcPr>
          <w:p w14:paraId="392C342D" w14:textId="77777777" w:rsidR="00980E5F" w:rsidRDefault="00980E5F">
            <w:pPr>
              <w:rPr>
                <w:rFonts w:ascii="宋体"/>
                <w:vanish/>
              </w:rPr>
            </w:pPr>
          </w:p>
        </w:tc>
        <w:tc>
          <w:tcPr>
            <w:tcW w:w="0" w:type="auto"/>
            <w:gridSpan w:val="3"/>
            <w:shd w:val="clear" w:color="auto" w:fill="auto"/>
            <w:vAlign w:val="bottom"/>
          </w:tcPr>
          <w:p w14:paraId="392C342E" w14:textId="77777777" w:rsidR="00980E5F" w:rsidRDefault="00980E5F">
            <w:pPr>
              <w:rPr>
                <w:rFonts w:ascii="宋体"/>
                <w:vanish/>
              </w:rPr>
            </w:pPr>
          </w:p>
        </w:tc>
        <w:tc>
          <w:tcPr>
            <w:tcW w:w="0" w:type="auto"/>
            <w:gridSpan w:val="3"/>
            <w:shd w:val="clear" w:color="auto" w:fill="auto"/>
            <w:vAlign w:val="bottom"/>
          </w:tcPr>
          <w:p w14:paraId="392C342F" w14:textId="77777777" w:rsidR="00980E5F" w:rsidRDefault="00980E5F">
            <w:pPr>
              <w:rPr>
                <w:rFonts w:ascii="宋体"/>
                <w:vanish/>
              </w:rPr>
            </w:pPr>
          </w:p>
        </w:tc>
        <w:tc>
          <w:tcPr>
            <w:tcW w:w="0" w:type="auto"/>
            <w:gridSpan w:val="3"/>
            <w:shd w:val="clear" w:color="auto" w:fill="auto"/>
            <w:vAlign w:val="bottom"/>
          </w:tcPr>
          <w:p w14:paraId="392C3430" w14:textId="77777777" w:rsidR="00980E5F" w:rsidRDefault="00980E5F">
            <w:pPr>
              <w:rPr>
                <w:rFonts w:ascii="宋体"/>
                <w:vanish/>
              </w:rPr>
            </w:pPr>
          </w:p>
        </w:tc>
        <w:tc>
          <w:tcPr>
            <w:tcW w:w="0" w:type="auto"/>
            <w:gridSpan w:val="3"/>
            <w:shd w:val="clear" w:color="auto" w:fill="auto"/>
            <w:vAlign w:val="bottom"/>
          </w:tcPr>
          <w:p w14:paraId="392C3431" w14:textId="77777777" w:rsidR="00980E5F" w:rsidRDefault="00980E5F">
            <w:pPr>
              <w:rPr>
                <w:rFonts w:ascii="宋体"/>
                <w:vanish/>
              </w:rPr>
            </w:pPr>
          </w:p>
        </w:tc>
        <w:tc>
          <w:tcPr>
            <w:tcW w:w="0" w:type="auto"/>
            <w:gridSpan w:val="3"/>
            <w:shd w:val="clear" w:color="auto" w:fill="auto"/>
            <w:vAlign w:val="bottom"/>
          </w:tcPr>
          <w:p w14:paraId="392C3432" w14:textId="77777777" w:rsidR="00980E5F" w:rsidRDefault="00980E5F">
            <w:pPr>
              <w:rPr>
                <w:rFonts w:ascii="宋体"/>
                <w:vanish/>
              </w:rPr>
            </w:pPr>
          </w:p>
        </w:tc>
        <w:tc>
          <w:tcPr>
            <w:tcW w:w="0" w:type="auto"/>
            <w:gridSpan w:val="3"/>
            <w:shd w:val="clear" w:color="auto" w:fill="auto"/>
            <w:vAlign w:val="bottom"/>
          </w:tcPr>
          <w:p w14:paraId="392C3433" w14:textId="77777777" w:rsidR="00980E5F" w:rsidRDefault="00980E5F">
            <w:pPr>
              <w:rPr>
                <w:rFonts w:ascii="宋体"/>
                <w:vanish/>
              </w:rPr>
            </w:pPr>
          </w:p>
        </w:tc>
        <w:tc>
          <w:tcPr>
            <w:tcW w:w="0" w:type="auto"/>
            <w:gridSpan w:val="3"/>
            <w:shd w:val="clear" w:color="auto" w:fill="auto"/>
            <w:vAlign w:val="bottom"/>
          </w:tcPr>
          <w:p w14:paraId="392C3434" w14:textId="77777777" w:rsidR="00980E5F" w:rsidRDefault="00980E5F">
            <w:pPr>
              <w:rPr>
                <w:rFonts w:ascii="宋体"/>
                <w:vanish/>
              </w:rPr>
            </w:pPr>
          </w:p>
        </w:tc>
        <w:tc>
          <w:tcPr>
            <w:tcW w:w="0" w:type="auto"/>
            <w:gridSpan w:val="3"/>
            <w:shd w:val="clear" w:color="auto" w:fill="auto"/>
            <w:vAlign w:val="bottom"/>
          </w:tcPr>
          <w:p w14:paraId="392C3435" w14:textId="77777777" w:rsidR="00980E5F" w:rsidRDefault="00980E5F">
            <w:pPr>
              <w:rPr>
                <w:rFonts w:ascii="宋体"/>
                <w:vanish/>
              </w:rPr>
            </w:pPr>
          </w:p>
        </w:tc>
        <w:tc>
          <w:tcPr>
            <w:tcW w:w="0" w:type="auto"/>
            <w:gridSpan w:val="3"/>
            <w:shd w:val="clear" w:color="auto" w:fill="auto"/>
            <w:vAlign w:val="bottom"/>
          </w:tcPr>
          <w:p w14:paraId="392C3436" w14:textId="77777777" w:rsidR="00980E5F" w:rsidRDefault="00980E5F">
            <w:pPr>
              <w:rPr>
                <w:rFonts w:ascii="宋体"/>
                <w:vanish/>
              </w:rPr>
            </w:pPr>
          </w:p>
        </w:tc>
      </w:tr>
      <w:tr w:rsidR="00980E5F" w14:paraId="392C344A" w14:textId="77777777">
        <w:trPr>
          <w:jc w:val="center"/>
          <w:hidden/>
        </w:trPr>
        <w:tc>
          <w:tcPr>
            <w:tcW w:w="0" w:type="auto"/>
            <w:gridSpan w:val="3"/>
            <w:shd w:val="clear" w:color="auto" w:fill="auto"/>
            <w:vAlign w:val="bottom"/>
          </w:tcPr>
          <w:p w14:paraId="392C3438" w14:textId="77777777" w:rsidR="00980E5F" w:rsidRDefault="00980E5F">
            <w:pPr>
              <w:rPr>
                <w:rFonts w:ascii="宋体"/>
                <w:vanish/>
              </w:rPr>
            </w:pPr>
          </w:p>
        </w:tc>
        <w:tc>
          <w:tcPr>
            <w:tcW w:w="0" w:type="auto"/>
            <w:gridSpan w:val="3"/>
            <w:shd w:val="clear" w:color="auto" w:fill="auto"/>
            <w:vAlign w:val="bottom"/>
          </w:tcPr>
          <w:p w14:paraId="392C3439" w14:textId="77777777" w:rsidR="00980E5F" w:rsidRDefault="00980E5F">
            <w:pPr>
              <w:rPr>
                <w:rFonts w:ascii="宋体"/>
                <w:vanish/>
              </w:rPr>
            </w:pPr>
          </w:p>
        </w:tc>
        <w:tc>
          <w:tcPr>
            <w:tcW w:w="0" w:type="auto"/>
            <w:gridSpan w:val="3"/>
            <w:shd w:val="clear" w:color="auto" w:fill="auto"/>
            <w:vAlign w:val="bottom"/>
          </w:tcPr>
          <w:p w14:paraId="392C343A" w14:textId="77777777" w:rsidR="00980E5F" w:rsidRDefault="00980E5F">
            <w:pPr>
              <w:rPr>
                <w:rFonts w:ascii="宋体"/>
                <w:vanish/>
              </w:rPr>
            </w:pPr>
          </w:p>
        </w:tc>
        <w:tc>
          <w:tcPr>
            <w:tcW w:w="0" w:type="auto"/>
            <w:gridSpan w:val="3"/>
            <w:shd w:val="clear" w:color="auto" w:fill="auto"/>
            <w:vAlign w:val="bottom"/>
          </w:tcPr>
          <w:p w14:paraId="392C343B" w14:textId="77777777" w:rsidR="00980E5F" w:rsidRDefault="00980E5F">
            <w:pPr>
              <w:rPr>
                <w:rFonts w:ascii="宋体"/>
                <w:vanish/>
              </w:rPr>
            </w:pPr>
          </w:p>
        </w:tc>
        <w:tc>
          <w:tcPr>
            <w:tcW w:w="0" w:type="auto"/>
            <w:gridSpan w:val="3"/>
            <w:shd w:val="clear" w:color="auto" w:fill="auto"/>
            <w:vAlign w:val="bottom"/>
          </w:tcPr>
          <w:p w14:paraId="392C343C" w14:textId="77777777" w:rsidR="00980E5F" w:rsidRDefault="00980E5F">
            <w:pPr>
              <w:rPr>
                <w:rFonts w:ascii="宋体"/>
                <w:vanish/>
              </w:rPr>
            </w:pPr>
          </w:p>
        </w:tc>
        <w:tc>
          <w:tcPr>
            <w:tcW w:w="0" w:type="auto"/>
            <w:gridSpan w:val="3"/>
            <w:shd w:val="clear" w:color="auto" w:fill="auto"/>
            <w:vAlign w:val="bottom"/>
          </w:tcPr>
          <w:p w14:paraId="392C343D" w14:textId="77777777" w:rsidR="00980E5F" w:rsidRDefault="00980E5F">
            <w:pPr>
              <w:rPr>
                <w:rFonts w:ascii="宋体"/>
                <w:vanish/>
              </w:rPr>
            </w:pPr>
          </w:p>
        </w:tc>
        <w:tc>
          <w:tcPr>
            <w:tcW w:w="0" w:type="auto"/>
            <w:gridSpan w:val="3"/>
            <w:shd w:val="clear" w:color="auto" w:fill="auto"/>
            <w:vAlign w:val="bottom"/>
          </w:tcPr>
          <w:p w14:paraId="392C343E" w14:textId="77777777" w:rsidR="00980E5F" w:rsidRDefault="00980E5F">
            <w:pPr>
              <w:rPr>
                <w:rFonts w:ascii="宋体"/>
                <w:vanish/>
              </w:rPr>
            </w:pPr>
          </w:p>
        </w:tc>
        <w:tc>
          <w:tcPr>
            <w:tcW w:w="0" w:type="auto"/>
            <w:gridSpan w:val="3"/>
            <w:shd w:val="clear" w:color="auto" w:fill="auto"/>
            <w:vAlign w:val="bottom"/>
          </w:tcPr>
          <w:p w14:paraId="392C343F" w14:textId="77777777" w:rsidR="00980E5F" w:rsidRDefault="00980E5F">
            <w:pPr>
              <w:rPr>
                <w:rFonts w:ascii="宋体"/>
                <w:vanish/>
              </w:rPr>
            </w:pPr>
          </w:p>
        </w:tc>
        <w:tc>
          <w:tcPr>
            <w:tcW w:w="0" w:type="auto"/>
            <w:gridSpan w:val="3"/>
            <w:shd w:val="clear" w:color="auto" w:fill="auto"/>
            <w:vAlign w:val="bottom"/>
          </w:tcPr>
          <w:p w14:paraId="392C3440" w14:textId="77777777" w:rsidR="00980E5F" w:rsidRDefault="00980E5F">
            <w:pPr>
              <w:rPr>
                <w:rFonts w:ascii="宋体"/>
                <w:vanish/>
              </w:rPr>
            </w:pPr>
          </w:p>
        </w:tc>
        <w:tc>
          <w:tcPr>
            <w:tcW w:w="0" w:type="auto"/>
            <w:gridSpan w:val="3"/>
            <w:shd w:val="clear" w:color="auto" w:fill="auto"/>
            <w:vAlign w:val="bottom"/>
          </w:tcPr>
          <w:p w14:paraId="392C3441" w14:textId="77777777" w:rsidR="00980E5F" w:rsidRDefault="00980E5F">
            <w:pPr>
              <w:rPr>
                <w:rFonts w:ascii="宋体"/>
                <w:vanish/>
              </w:rPr>
            </w:pPr>
          </w:p>
        </w:tc>
        <w:tc>
          <w:tcPr>
            <w:tcW w:w="0" w:type="auto"/>
            <w:gridSpan w:val="3"/>
            <w:shd w:val="clear" w:color="auto" w:fill="auto"/>
            <w:vAlign w:val="bottom"/>
          </w:tcPr>
          <w:p w14:paraId="392C3442" w14:textId="77777777" w:rsidR="00980E5F" w:rsidRDefault="00980E5F">
            <w:pPr>
              <w:rPr>
                <w:rFonts w:ascii="宋体"/>
                <w:vanish/>
              </w:rPr>
            </w:pPr>
          </w:p>
        </w:tc>
        <w:tc>
          <w:tcPr>
            <w:tcW w:w="0" w:type="auto"/>
            <w:gridSpan w:val="3"/>
            <w:shd w:val="clear" w:color="auto" w:fill="auto"/>
            <w:vAlign w:val="bottom"/>
          </w:tcPr>
          <w:p w14:paraId="392C3443" w14:textId="77777777" w:rsidR="00980E5F" w:rsidRDefault="00980E5F">
            <w:pPr>
              <w:rPr>
                <w:rFonts w:ascii="宋体"/>
                <w:vanish/>
              </w:rPr>
            </w:pPr>
          </w:p>
        </w:tc>
        <w:tc>
          <w:tcPr>
            <w:tcW w:w="0" w:type="auto"/>
            <w:gridSpan w:val="3"/>
            <w:shd w:val="clear" w:color="auto" w:fill="auto"/>
            <w:vAlign w:val="bottom"/>
          </w:tcPr>
          <w:p w14:paraId="392C3444" w14:textId="77777777" w:rsidR="00980E5F" w:rsidRDefault="00980E5F">
            <w:pPr>
              <w:rPr>
                <w:rFonts w:ascii="宋体"/>
                <w:vanish/>
              </w:rPr>
            </w:pPr>
          </w:p>
        </w:tc>
        <w:tc>
          <w:tcPr>
            <w:tcW w:w="0" w:type="auto"/>
            <w:gridSpan w:val="3"/>
            <w:shd w:val="clear" w:color="auto" w:fill="auto"/>
            <w:vAlign w:val="bottom"/>
          </w:tcPr>
          <w:p w14:paraId="392C3445" w14:textId="77777777" w:rsidR="00980E5F" w:rsidRDefault="00980E5F">
            <w:pPr>
              <w:rPr>
                <w:rFonts w:ascii="宋体"/>
                <w:vanish/>
              </w:rPr>
            </w:pPr>
          </w:p>
        </w:tc>
        <w:tc>
          <w:tcPr>
            <w:tcW w:w="0" w:type="auto"/>
            <w:gridSpan w:val="3"/>
            <w:shd w:val="clear" w:color="auto" w:fill="auto"/>
            <w:vAlign w:val="bottom"/>
          </w:tcPr>
          <w:p w14:paraId="392C3446" w14:textId="77777777" w:rsidR="00980E5F" w:rsidRDefault="00980E5F">
            <w:pPr>
              <w:rPr>
                <w:rFonts w:ascii="宋体"/>
                <w:vanish/>
              </w:rPr>
            </w:pPr>
          </w:p>
        </w:tc>
        <w:tc>
          <w:tcPr>
            <w:tcW w:w="0" w:type="auto"/>
            <w:gridSpan w:val="3"/>
            <w:shd w:val="clear" w:color="auto" w:fill="auto"/>
            <w:vAlign w:val="bottom"/>
          </w:tcPr>
          <w:p w14:paraId="392C3447" w14:textId="77777777" w:rsidR="00980E5F" w:rsidRDefault="00980E5F">
            <w:pPr>
              <w:rPr>
                <w:rFonts w:ascii="宋体"/>
                <w:vanish/>
              </w:rPr>
            </w:pPr>
          </w:p>
        </w:tc>
        <w:tc>
          <w:tcPr>
            <w:tcW w:w="0" w:type="auto"/>
            <w:gridSpan w:val="3"/>
            <w:shd w:val="clear" w:color="auto" w:fill="auto"/>
            <w:vAlign w:val="bottom"/>
          </w:tcPr>
          <w:p w14:paraId="392C3448" w14:textId="77777777" w:rsidR="00980E5F" w:rsidRDefault="00980E5F">
            <w:pPr>
              <w:rPr>
                <w:rFonts w:ascii="宋体"/>
                <w:vanish/>
              </w:rPr>
            </w:pPr>
          </w:p>
        </w:tc>
        <w:tc>
          <w:tcPr>
            <w:tcW w:w="0" w:type="auto"/>
            <w:gridSpan w:val="3"/>
            <w:shd w:val="clear" w:color="auto" w:fill="auto"/>
            <w:vAlign w:val="bottom"/>
          </w:tcPr>
          <w:p w14:paraId="392C3449" w14:textId="77777777" w:rsidR="00980E5F" w:rsidRDefault="00980E5F">
            <w:pPr>
              <w:rPr>
                <w:rFonts w:ascii="宋体"/>
                <w:vanish/>
              </w:rPr>
            </w:pPr>
          </w:p>
        </w:tc>
      </w:tr>
      <w:tr w:rsidR="00980E5F" w14:paraId="392C345D" w14:textId="77777777">
        <w:trPr>
          <w:jc w:val="center"/>
          <w:hidden/>
        </w:trPr>
        <w:tc>
          <w:tcPr>
            <w:tcW w:w="0" w:type="auto"/>
            <w:gridSpan w:val="3"/>
            <w:shd w:val="clear" w:color="auto" w:fill="auto"/>
            <w:vAlign w:val="bottom"/>
          </w:tcPr>
          <w:p w14:paraId="392C344B" w14:textId="77777777" w:rsidR="00980E5F" w:rsidRDefault="00980E5F">
            <w:pPr>
              <w:rPr>
                <w:rFonts w:ascii="宋体"/>
                <w:vanish/>
              </w:rPr>
            </w:pPr>
          </w:p>
        </w:tc>
        <w:tc>
          <w:tcPr>
            <w:tcW w:w="0" w:type="auto"/>
            <w:gridSpan w:val="3"/>
            <w:shd w:val="clear" w:color="auto" w:fill="auto"/>
            <w:vAlign w:val="bottom"/>
          </w:tcPr>
          <w:p w14:paraId="392C344C" w14:textId="77777777" w:rsidR="00980E5F" w:rsidRDefault="00980E5F">
            <w:pPr>
              <w:rPr>
                <w:rFonts w:ascii="宋体"/>
                <w:vanish/>
              </w:rPr>
            </w:pPr>
          </w:p>
        </w:tc>
        <w:tc>
          <w:tcPr>
            <w:tcW w:w="0" w:type="auto"/>
            <w:gridSpan w:val="3"/>
            <w:shd w:val="clear" w:color="auto" w:fill="auto"/>
            <w:vAlign w:val="bottom"/>
          </w:tcPr>
          <w:p w14:paraId="392C344D" w14:textId="77777777" w:rsidR="00980E5F" w:rsidRDefault="00980E5F">
            <w:pPr>
              <w:rPr>
                <w:rFonts w:ascii="宋体"/>
                <w:vanish/>
              </w:rPr>
            </w:pPr>
          </w:p>
        </w:tc>
        <w:tc>
          <w:tcPr>
            <w:tcW w:w="0" w:type="auto"/>
            <w:gridSpan w:val="3"/>
            <w:shd w:val="clear" w:color="auto" w:fill="auto"/>
            <w:vAlign w:val="bottom"/>
          </w:tcPr>
          <w:p w14:paraId="392C344E" w14:textId="77777777" w:rsidR="00980E5F" w:rsidRDefault="00980E5F">
            <w:pPr>
              <w:rPr>
                <w:rFonts w:ascii="宋体"/>
                <w:vanish/>
              </w:rPr>
            </w:pPr>
          </w:p>
        </w:tc>
        <w:tc>
          <w:tcPr>
            <w:tcW w:w="0" w:type="auto"/>
            <w:gridSpan w:val="3"/>
            <w:shd w:val="clear" w:color="auto" w:fill="auto"/>
            <w:vAlign w:val="bottom"/>
          </w:tcPr>
          <w:p w14:paraId="392C344F" w14:textId="77777777" w:rsidR="00980E5F" w:rsidRDefault="00980E5F">
            <w:pPr>
              <w:rPr>
                <w:rFonts w:ascii="宋体"/>
                <w:vanish/>
              </w:rPr>
            </w:pPr>
          </w:p>
        </w:tc>
        <w:tc>
          <w:tcPr>
            <w:tcW w:w="0" w:type="auto"/>
            <w:gridSpan w:val="3"/>
            <w:shd w:val="clear" w:color="auto" w:fill="auto"/>
            <w:vAlign w:val="bottom"/>
          </w:tcPr>
          <w:p w14:paraId="392C3450" w14:textId="77777777" w:rsidR="00980E5F" w:rsidRDefault="00980E5F">
            <w:pPr>
              <w:rPr>
                <w:rFonts w:ascii="宋体"/>
                <w:vanish/>
              </w:rPr>
            </w:pPr>
          </w:p>
        </w:tc>
        <w:tc>
          <w:tcPr>
            <w:tcW w:w="0" w:type="auto"/>
            <w:gridSpan w:val="3"/>
            <w:shd w:val="clear" w:color="auto" w:fill="auto"/>
            <w:vAlign w:val="bottom"/>
          </w:tcPr>
          <w:p w14:paraId="392C3451" w14:textId="77777777" w:rsidR="00980E5F" w:rsidRDefault="00980E5F">
            <w:pPr>
              <w:rPr>
                <w:rFonts w:ascii="宋体"/>
                <w:vanish/>
              </w:rPr>
            </w:pPr>
          </w:p>
        </w:tc>
        <w:tc>
          <w:tcPr>
            <w:tcW w:w="0" w:type="auto"/>
            <w:gridSpan w:val="3"/>
            <w:shd w:val="clear" w:color="auto" w:fill="auto"/>
            <w:vAlign w:val="bottom"/>
          </w:tcPr>
          <w:p w14:paraId="392C3452" w14:textId="77777777" w:rsidR="00980E5F" w:rsidRDefault="00980E5F">
            <w:pPr>
              <w:rPr>
                <w:rFonts w:ascii="宋体"/>
                <w:vanish/>
              </w:rPr>
            </w:pPr>
          </w:p>
        </w:tc>
        <w:tc>
          <w:tcPr>
            <w:tcW w:w="0" w:type="auto"/>
            <w:gridSpan w:val="3"/>
            <w:shd w:val="clear" w:color="auto" w:fill="auto"/>
            <w:vAlign w:val="bottom"/>
          </w:tcPr>
          <w:p w14:paraId="392C3453" w14:textId="77777777" w:rsidR="00980E5F" w:rsidRDefault="00980E5F">
            <w:pPr>
              <w:rPr>
                <w:rFonts w:ascii="宋体"/>
                <w:vanish/>
              </w:rPr>
            </w:pPr>
          </w:p>
        </w:tc>
        <w:tc>
          <w:tcPr>
            <w:tcW w:w="0" w:type="auto"/>
            <w:gridSpan w:val="3"/>
            <w:shd w:val="clear" w:color="auto" w:fill="auto"/>
            <w:vAlign w:val="bottom"/>
          </w:tcPr>
          <w:p w14:paraId="392C3454" w14:textId="77777777" w:rsidR="00980E5F" w:rsidRDefault="00980E5F">
            <w:pPr>
              <w:rPr>
                <w:rFonts w:ascii="宋体"/>
                <w:vanish/>
              </w:rPr>
            </w:pPr>
          </w:p>
        </w:tc>
        <w:tc>
          <w:tcPr>
            <w:tcW w:w="0" w:type="auto"/>
            <w:gridSpan w:val="3"/>
            <w:shd w:val="clear" w:color="auto" w:fill="auto"/>
            <w:vAlign w:val="bottom"/>
          </w:tcPr>
          <w:p w14:paraId="392C3455" w14:textId="77777777" w:rsidR="00980E5F" w:rsidRDefault="00980E5F">
            <w:pPr>
              <w:rPr>
                <w:rFonts w:ascii="宋体"/>
                <w:vanish/>
              </w:rPr>
            </w:pPr>
          </w:p>
        </w:tc>
        <w:tc>
          <w:tcPr>
            <w:tcW w:w="0" w:type="auto"/>
            <w:gridSpan w:val="3"/>
            <w:shd w:val="clear" w:color="auto" w:fill="auto"/>
            <w:vAlign w:val="bottom"/>
          </w:tcPr>
          <w:p w14:paraId="392C3456" w14:textId="77777777" w:rsidR="00980E5F" w:rsidRDefault="00980E5F">
            <w:pPr>
              <w:rPr>
                <w:rFonts w:ascii="宋体"/>
                <w:vanish/>
              </w:rPr>
            </w:pPr>
          </w:p>
        </w:tc>
        <w:tc>
          <w:tcPr>
            <w:tcW w:w="0" w:type="auto"/>
            <w:gridSpan w:val="3"/>
            <w:shd w:val="clear" w:color="auto" w:fill="auto"/>
            <w:vAlign w:val="bottom"/>
          </w:tcPr>
          <w:p w14:paraId="392C3457" w14:textId="77777777" w:rsidR="00980E5F" w:rsidRDefault="00980E5F">
            <w:pPr>
              <w:rPr>
                <w:rFonts w:ascii="宋体"/>
                <w:vanish/>
              </w:rPr>
            </w:pPr>
          </w:p>
        </w:tc>
        <w:tc>
          <w:tcPr>
            <w:tcW w:w="0" w:type="auto"/>
            <w:gridSpan w:val="3"/>
            <w:shd w:val="clear" w:color="auto" w:fill="auto"/>
            <w:vAlign w:val="bottom"/>
          </w:tcPr>
          <w:p w14:paraId="392C3458" w14:textId="77777777" w:rsidR="00980E5F" w:rsidRDefault="00980E5F">
            <w:pPr>
              <w:rPr>
                <w:rFonts w:ascii="宋体"/>
                <w:vanish/>
              </w:rPr>
            </w:pPr>
          </w:p>
        </w:tc>
        <w:tc>
          <w:tcPr>
            <w:tcW w:w="0" w:type="auto"/>
            <w:gridSpan w:val="3"/>
            <w:shd w:val="clear" w:color="auto" w:fill="auto"/>
            <w:vAlign w:val="bottom"/>
          </w:tcPr>
          <w:p w14:paraId="392C3459" w14:textId="77777777" w:rsidR="00980E5F" w:rsidRDefault="00980E5F">
            <w:pPr>
              <w:rPr>
                <w:rFonts w:ascii="宋体"/>
                <w:vanish/>
              </w:rPr>
            </w:pPr>
          </w:p>
        </w:tc>
        <w:tc>
          <w:tcPr>
            <w:tcW w:w="0" w:type="auto"/>
            <w:gridSpan w:val="3"/>
            <w:shd w:val="clear" w:color="auto" w:fill="auto"/>
            <w:vAlign w:val="bottom"/>
          </w:tcPr>
          <w:p w14:paraId="392C345A" w14:textId="77777777" w:rsidR="00980E5F" w:rsidRDefault="00980E5F">
            <w:pPr>
              <w:rPr>
                <w:rFonts w:ascii="宋体"/>
                <w:vanish/>
              </w:rPr>
            </w:pPr>
          </w:p>
        </w:tc>
        <w:tc>
          <w:tcPr>
            <w:tcW w:w="0" w:type="auto"/>
            <w:gridSpan w:val="3"/>
            <w:shd w:val="clear" w:color="auto" w:fill="auto"/>
            <w:vAlign w:val="bottom"/>
          </w:tcPr>
          <w:p w14:paraId="392C345B" w14:textId="77777777" w:rsidR="00980E5F" w:rsidRDefault="00980E5F">
            <w:pPr>
              <w:rPr>
                <w:rFonts w:ascii="宋体"/>
                <w:vanish/>
              </w:rPr>
            </w:pPr>
          </w:p>
        </w:tc>
        <w:tc>
          <w:tcPr>
            <w:tcW w:w="0" w:type="auto"/>
            <w:gridSpan w:val="3"/>
            <w:shd w:val="clear" w:color="auto" w:fill="auto"/>
            <w:vAlign w:val="bottom"/>
          </w:tcPr>
          <w:p w14:paraId="392C345C" w14:textId="77777777" w:rsidR="00980E5F" w:rsidRDefault="00980E5F">
            <w:pPr>
              <w:rPr>
                <w:rFonts w:ascii="宋体"/>
                <w:vanish/>
              </w:rPr>
            </w:pPr>
          </w:p>
        </w:tc>
      </w:tr>
      <w:tr w:rsidR="00980E5F" w14:paraId="392C3470" w14:textId="77777777">
        <w:trPr>
          <w:jc w:val="center"/>
          <w:hidden/>
        </w:trPr>
        <w:tc>
          <w:tcPr>
            <w:tcW w:w="0" w:type="auto"/>
            <w:gridSpan w:val="3"/>
            <w:shd w:val="clear" w:color="auto" w:fill="auto"/>
            <w:vAlign w:val="bottom"/>
          </w:tcPr>
          <w:p w14:paraId="392C345E" w14:textId="77777777" w:rsidR="00980E5F" w:rsidRDefault="00980E5F">
            <w:pPr>
              <w:rPr>
                <w:rFonts w:ascii="宋体"/>
                <w:vanish/>
              </w:rPr>
            </w:pPr>
          </w:p>
        </w:tc>
        <w:tc>
          <w:tcPr>
            <w:tcW w:w="0" w:type="auto"/>
            <w:gridSpan w:val="3"/>
            <w:shd w:val="clear" w:color="auto" w:fill="auto"/>
            <w:vAlign w:val="bottom"/>
          </w:tcPr>
          <w:p w14:paraId="392C345F" w14:textId="77777777" w:rsidR="00980E5F" w:rsidRDefault="00980E5F">
            <w:pPr>
              <w:rPr>
                <w:rFonts w:ascii="宋体"/>
                <w:vanish/>
              </w:rPr>
            </w:pPr>
          </w:p>
        </w:tc>
        <w:tc>
          <w:tcPr>
            <w:tcW w:w="0" w:type="auto"/>
            <w:gridSpan w:val="3"/>
            <w:shd w:val="clear" w:color="auto" w:fill="auto"/>
            <w:vAlign w:val="bottom"/>
          </w:tcPr>
          <w:p w14:paraId="392C3460" w14:textId="77777777" w:rsidR="00980E5F" w:rsidRDefault="00980E5F">
            <w:pPr>
              <w:rPr>
                <w:rFonts w:ascii="宋体"/>
                <w:vanish/>
              </w:rPr>
            </w:pPr>
          </w:p>
        </w:tc>
        <w:tc>
          <w:tcPr>
            <w:tcW w:w="0" w:type="auto"/>
            <w:gridSpan w:val="3"/>
            <w:shd w:val="clear" w:color="auto" w:fill="auto"/>
            <w:vAlign w:val="bottom"/>
          </w:tcPr>
          <w:p w14:paraId="392C3461" w14:textId="77777777" w:rsidR="00980E5F" w:rsidRDefault="00980E5F">
            <w:pPr>
              <w:rPr>
                <w:rFonts w:ascii="宋体"/>
                <w:vanish/>
              </w:rPr>
            </w:pPr>
          </w:p>
        </w:tc>
        <w:tc>
          <w:tcPr>
            <w:tcW w:w="0" w:type="auto"/>
            <w:gridSpan w:val="3"/>
            <w:shd w:val="clear" w:color="auto" w:fill="auto"/>
            <w:vAlign w:val="bottom"/>
          </w:tcPr>
          <w:p w14:paraId="392C3462" w14:textId="77777777" w:rsidR="00980E5F" w:rsidRDefault="00980E5F">
            <w:pPr>
              <w:rPr>
                <w:rFonts w:ascii="宋体"/>
                <w:vanish/>
              </w:rPr>
            </w:pPr>
          </w:p>
        </w:tc>
        <w:tc>
          <w:tcPr>
            <w:tcW w:w="0" w:type="auto"/>
            <w:gridSpan w:val="3"/>
            <w:shd w:val="clear" w:color="auto" w:fill="auto"/>
            <w:vAlign w:val="bottom"/>
          </w:tcPr>
          <w:p w14:paraId="392C3463" w14:textId="77777777" w:rsidR="00980E5F" w:rsidRDefault="00980E5F">
            <w:pPr>
              <w:rPr>
                <w:rFonts w:ascii="宋体"/>
                <w:vanish/>
              </w:rPr>
            </w:pPr>
          </w:p>
        </w:tc>
        <w:tc>
          <w:tcPr>
            <w:tcW w:w="0" w:type="auto"/>
            <w:gridSpan w:val="3"/>
            <w:shd w:val="clear" w:color="auto" w:fill="auto"/>
            <w:vAlign w:val="bottom"/>
          </w:tcPr>
          <w:p w14:paraId="392C3464" w14:textId="77777777" w:rsidR="00980E5F" w:rsidRDefault="00980E5F">
            <w:pPr>
              <w:rPr>
                <w:rFonts w:ascii="宋体"/>
                <w:vanish/>
              </w:rPr>
            </w:pPr>
          </w:p>
        </w:tc>
        <w:tc>
          <w:tcPr>
            <w:tcW w:w="0" w:type="auto"/>
            <w:gridSpan w:val="3"/>
            <w:shd w:val="clear" w:color="auto" w:fill="auto"/>
            <w:vAlign w:val="bottom"/>
          </w:tcPr>
          <w:p w14:paraId="392C3465" w14:textId="77777777" w:rsidR="00980E5F" w:rsidRDefault="00980E5F">
            <w:pPr>
              <w:rPr>
                <w:rFonts w:ascii="宋体"/>
                <w:vanish/>
              </w:rPr>
            </w:pPr>
          </w:p>
        </w:tc>
        <w:tc>
          <w:tcPr>
            <w:tcW w:w="0" w:type="auto"/>
            <w:gridSpan w:val="3"/>
            <w:shd w:val="clear" w:color="auto" w:fill="auto"/>
            <w:vAlign w:val="bottom"/>
          </w:tcPr>
          <w:p w14:paraId="392C3466" w14:textId="77777777" w:rsidR="00980E5F" w:rsidRDefault="00980E5F">
            <w:pPr>
              <w:rPr>
                <w:rFonts w:ascii="宋体"/>
                <w:vanish/>
              </w:rPr>
            </w:pPr>
          </w:p>
        </w:tc>
        <w:tc>
          <w:tcPr>
            <w:tcW w:w="0" w:type="auto"/>
            <w:gridSpan w:val="3"/>
            <w:shd w:val="clear" w:color="auto" w:fill="auto"/>
            <w:vAlign w:val="bottom"/>
          </w:tcPr>
          <w:p w14:paraId="392C3467" w14:textId="77777777" w:rsidR="00980E5F" w:rsidRDefault="00980E5F">
            <w:pPr>
              <w:rPr>
                <w:rFonts w:ascii="宋体"/>
                <w:vanish/>
              </w:rPr>
            </w:pPr>
          </w:p>
        </w:tc>
        <w:tc>
          <w:tcPr>
            <w:tcW w:w="0" w:type="auto"/>
            <w:gridSpan w:val="3"/>
            <w:shd w:val="clear" w:color="auto" w:fill="auto"/>
            <w:vAlign w:val="bottom"/>
          </w:tcPr>
          <w:p w14:paraId="392C3468" w14:textId="77777777" w:rsidR="00980E5F" w:rsidRDefault="00980E5F">
            <w:pPr>
              <w:rPr>
                <w:rFonts w:ascii="宋体"/>
                <w:vanish/>
              </w:rPr>
            </w:pPr>
          </w:p>
        </w:tc>
        <w:tc>
          <w:tcPr>
            <w:tcW w:w="0" w:type="auto"/>
            <w:gridSpan w:val="3"/>
            <w:shd w:val="clear" w:color="auto" w:fill="auto"/>
            <w:vAlign w:val="bottom"/>
          </w:tcPr>
          <w:p w14:paraId="392C3469" w14:textId="77777777" w:rsidR="00980E5F" w:rsidRDefault="00980E5F">
            <w:pPr>
              <w:rPr>
                <w:rFonts w:ascii="宋体"/>
                <w:vanish/>
              </w:rPr>
            </w:pPr>
          </w:p>
        </w:tc>
        <w:tc>
          <w:tcPr>
            <w:tcW w:w="0" w:type="auto"/>
            <w:gridSpan w:val="3"/>
            <w:shd w:val="clear" w:color="auto" w:fill="auto"/>
            <w:vAlign w:val="bottom"/>
          </w:tcPr>
          <w:p w14:paraId="392C346A" w14:textId="77777777" w:rsidR="00980E5F" w:rsidRDefault="00980E5F">
            <w:pPr>
              <w:rPr>
                <w:rFonts w:ascii="宋体"/>
                <w:vanish/>
              </w:rPr>
            </w:pPr>
          </w:p>
        </w:tc>
        <w:tc>
          <w:tcPr>
            <w:tcW w:w="0" w:type="auto"/>
            <w:gridSpan w:val="3"/>
            <w:shd w:val="clear" w:color="auto" w:fill="auto"/>
            <w:vAlign w:val="bottom"/>
          </w:tcPr>
          <w:p w14:paraId="392C346B" w14:textId="77777777" w:rsidR="00980E5F" w:rsidRDefault="00980E5F">
            <w:pPr>
              <w:rPr>
                <w:rFonts w:ascii="宋体"/>
                <w:vanish/>
              </w:rPr>
            </w:pPr>
          </w:p>
        </w:tc>
        <w:tc>
          <w:tcPr>
            <w:tcW w:w="0" w:type="auto"/>
            <w:gridSpan w:val="3"/>
            <w:shd w:val="clear" w:color="auto" w:fill="auto"/>
            <w:vAlign w:val="bottom"/>
          </w:tcPr>
          <w:p w14:paraId="392C346C" w14:textId="77777777" w:rsidR="00980E5F" w:rsidRDefault="00980E5F">
            <w:pPr>
              <w:rPr>
                <w:rFonts w:ascii="宋体"/>
                <w:vanish/>
              </w:rPr>
            </w:pPr>
          </w:p>
        </w:tc>
        <w:tc>
          <w:tcPr>
            <w:tcW w:w="0" w:type="auto"/>
            <w:gridSpan w:val="3"/>
            <w:shd w:val="clear" w:color="auto" w:fill="auto"/>
            <w:vAlign w:val="bottom"/>
          </w:tcPr>
          <w:p w14:paraId="392C346D" w14:textId="77777777" w:rsidR="00980E5F" w:rsidRDefault="00980E5F">
            <w:pPr>
              <w:rPr>
                <w:rFonts w:ascii="宋体"/>
                <w:vanish/>
              </w:rPr>
            </w:pPr>
          </w:p>
        </w:tc>
        <w:tc>
          <w:tcPr>
            <w:tcW w:w="0" w:type="auto"/>
            <w:gridSpan w:val="3"/>
            <w:shd w:val="clear" w:color="auto" w:fill="auto"/>
            <w:vAlign w:val="bottom"/>
          </w:tcPr>
          <w:p w14:paraId="392C346E" w14:textId="77777777" w:rsidR="00980E5F" w:rsidRDefault="00980E5F">
            <w:pPr>
              <w:rPr>
                <w:rFonts w:ascii="宋体"/>
                <w:vanish/>
              </w:rPr>
            </w:pPr>
          </w:p>
        </w:tc>
        <w:tc>
          <w:tcPr>
            <w:tcW w:w="0" w:type="auto"/>
            <w:gridSpan w:val="3"/>
            <w:shd w:val="clear" w:color="auto" w:fill="auto"/>
            <w:vAlign w:val="bottom"/>
          </w:tcPr>
          <w:p w14:paraId="392C346F" w14:textId="77777777" w:rsidR="00980E5F" w:rsidRDefault="00980E5F">
            <w:pPr>
              <w:rPr>
                <w:rFonts w:ascii="宋体"/>
                <w:vanish/>
              </w:rPr>
            </w:pPr>
          </w:p>
        </w:tc>
      </w:tr>
      <w:tr w:rsidR="00980E5F" w14:paraId="392C3483" w14:textId="77777777">
        <w:trPr>
          <w:jc w:val="center"/>
          <w:hidden/>
        </w:trPr>
        <w:tc>
          <w:tcPr>
            <w:tcW w:w="0" w:type="auto"/>
            <w:gridSpan w:val="3"/>
            <w:shd w:val="clear" w:color="auto" w:fill="auto"/>
            <w:vAlign w:val="bottom"/>
          </w:tcPr>
          <w:p w14:paraId="392C3471" w14:textId="77777777" w:rsidR="00980E5F" w:rsidRDefault="00980E5F">
            <w:pPr>
              <w:rPr>
                <w:rFonts w:ascii="宋体"/>
                <w:vanish/>
              </w:rPr>
            </w:pPr>
          </w:p>
        </w:tc>
        <w:tc>
          <w:tcPr>
            <w:tcW w:w="0" w:type="auto"/>
            <w:gridSpan w:val="3"/>
            <w:shd w:val="clear" w:color="auto" w:fill="auto"/>
            <w:vAlign w:val="bottom"/>
          </w:tcPr>
          <w:p w14:paraId="392C3472" w14:textId="77777777" w:rsidR="00980E5F" w:rsidRDefault="00980E5F">
            <w:pPr>
              <w:rPr>
                <w:rFonts w:ascii="宋体"/>
                <w:vanish/>
              </w:rPr>
            </w:pPr>
          </w:p>
        </w:tc>
        <w:tc>
          <w:tcPr>
            <w:tcW w:w="0" w:type="auto"/>
            <w:gridSpan w:val="3"/>
            <w:shd w:val="clear" w:color="auto" w:fill="auto"/>
            <w:vAlign w:val="bottom"/>
          </w:tcPr>
          <w:p w14:paraId="392C3473" w14:textId="77777777" w:rsidR="00980E5F" w:rsidRDefault="00980E5F">
            <w:pPr>
              <w:rPr>
                <w:rFonts w:ascii="宋体"/>
                <w:vanish/>
              </w:rPr>
            </w:pPr>
          </w:p>
        </w:tc>
        <w:tc>
          <w:tcPr>
            <w:tcW w:w="0" w:type="auto"/>
            <w:gridSpan w:val="3"/>
            <w:shd w:val="clear" w:color="auto" w:fill="auto"/>
            <w:vAlign w:val="bottom"/>
          </w:tcPr>
          <w:p w14:paraId="392C3474" w14:textId="77777777" w:rsidR="00980E5F" w:rsidRDefault="00980E5F">
            <w:pPr>
              <w:rPr>
                <w:rFonts w:ascii="宋体"/>
                <w:vanish/>
              </w:rPr>
            </w:pPr>
          </w:p>
        </w:tc>
        <w:tc>
          <w:tcPr>
            <w:tcW w:w="0" w:type="auto"/>
            <w:gridSpan w:val="3"/>
            <w:shd w:val="clear" w:color="auto" w:fill="auto"/>
            <w:vAlign w:val="bottom"/>
          </w:tcPr>
          <w:p w14:paraId="392C3475" w14:textId="77777777" w:rsidR="00980E5F" w:rsidRDefault="00980E5F">
            <w:pPr>
              <w:rPr>
                <w:rFonts w:ascii="宋体"/>
                <w:vanish/>
              </w:rPr>
            </w:pPr>
          </w:p>
        </w:tc>
        <w:tc>
          <w:tcPr>
            <w:tcW w:w="0" w:type="auto"/>
            <w:gridSpan w:val="3"/>
            <w:shd w:val="clear" w:color="auto" w:fill="auto"/>
            <w:vAlign w:val="bottom"/>
          </w:tcPr>
          <w:p w14:paraId="392C3476" w14:textId="77777777" w:rsidR="00980E5F" w:rsidRDefault="00980E5F">
            <w:pPr>
              <w:rPr>
                <w:rFonts w:ascii="宋体"/>
                <w:vanish/>
              </w:rPr>
            </w:pPr>
          </w:p>
        </w:tc>
        <w:tc>
          <w:tcPr>
            <w:tcW w:w="0" w:type="auto"/>
            <w:gridSpan w:val="3"/>
            <w:shd w:val="clear" w:color="auto" w:fill="auto"/>
            <w:vAlign w:val="bottom"/>
          </w:tcPr>
          <w:p w14:paraId="392C3477" w14:textId="77777777" w:rsidR="00980E5F" w:rsidRDefault="00980E5F">
            <w:pPr>
              <w:rPr>
                <w:rFonts w:ascii="宋体"/>
                <w:vanish/>
              </w:rPr>
            </w:pPr>
          </w:p>
        </w:tc>
        <w:tc>
          <w:tcPr>
            <w:tcW w:w="0" w:type="auto"/>
            <w:gridSpan w:val="3"/>
            <w:shd w:val="clear" w:color="auto" w:fill="auto"/>
            <w:vAlign w:val="bottom"/>
          </w:tcPr>
          <w:p w14:paraId="392C3478" w14:textId="77777777" w:rsidR="00980E5F" w:rsidRDefault="00980E5F">
            <w:pPr>
              <w:rPr>
                <w:rFonts w:ascii="宋体"/>
                <w:vanish/>
              </w:rPr>
            </w:pPr>
          </w:p>
        </w:tc>
        <w:tc>
          <w:tcPr>
            <w:tcW w:w="0" w:type="auto"/>
            <w:gridSpan w:val="3"/>
            <w:shd w:val="clear" w:color="auto" w:fill="auto"/>
            <w:vAlign w:val="bottom"/>
          </w:tcPr>
          <w:p w14:paraId="392C3479" w14:textId="77777777" w:rsidR="00980E5F" w:rsidRDefault="00980E5F">
            <w:pPr>
              <w:rPr>
                <w:rFonts w:ascii="宋体"/>
                <w:vanish/>
              </w:rPr>
            </w:pPr>
          </w:p>
        </w:tc>
        <w:tc>
          <w:tcPr>
            <w:tcW w:w="0" w:type="auto"/>
            <w:gridSpan w:val="3"/>
            <w:shd w:val="clear" w:color="auto" w:fill="auto"/>
            <w:vAlign w:val="bottom"/>
          </w:tcPr>
          <w:p w14:paraId="392C347A" w14:textId="77777777" w:rsidR="00980E5F" w:rsidRDefault="00980E5F">
            <w:pPr>
              <w:rPr>
                <w:rFonts w:ascii="宋体"/>
                <w:vanish/>
              </w:rPr>
            </w:pPr>
          </w:p>
        </w:tc>
        <w:tc>
          <w:tcPr>
            <w:tcW w:w="0" w:type="auto"/>
            <w:gridSpan w:val="3"/>
            <w:shd w:val="clear" w:color="auto" w:fill="auto"/>
            <w:vAlign w:val="bottom"/>
          </w:tcPr>
          <w:p w14:paraId="392C347B" w14:textId="77777777" w:rsidR="00980E5F" w:rsidRDefault="00980E5F">
            <w:pPr>
              <w:rPr>
                <w:rFonts w:ascii="宋体"/>
                <w:vanish/>
              </w:rPr>
            </w:pPr>
          </w:p>
        </w:tc>
        <w:tc>
          <w:tcPr>
            <w:tcW w:w="0" w:type="auto"/>
            <w:gridSpan w:val="3"/>
            <w:shd w:val="clear" w:color="auto" w:fill="auto"/>
            <w:vAlign w:val="bottom"/>
          </w:tcPr>
          <w:p w14:paraId="392C347C" w14:textId="77777777" w:rsidR="00980E5F" w:rsidRDefault="00980E5F">
            <w:pPr>
              <w:rPr>
                <w:rFonts w:ascii="宋体"/>
                <w:vanish/>
              </w:rPr>
            </w:pPr>
          </w:p>
        </w:tc>
        <w:tc>
          <w:tcPr>
            <w:tcW w:w="0" w:type="auto"/>
            <w:gridSpan w:val="3"/>
            <w:shd w:val="clear" w:color="auto" w:fill="auto"/>
            <w:vAlign w:val="bottom"/>
          </w:tcPr>
          <w:p w14:paraId="392C347D" w14:textId="77777777" w:rsidR="00980E5F" w:rsidRDefault="00980E5F">
            <w:pPr>
              <w:rPr>
                <w:rFonts w:ascii="宋体"/>
                <w:vanish/>
              </w:rPr>
            </w:pPr>
          </w:p>
        </w:tc>
        <w:tc>
          <w:tcPr>
            <w:tcW w:w="0" w:type="auto"/>
            <w:gridSpan w:val="3"/>
            <w:shd w:val="clear" w:color="auto" w:fill="auto"/>
            <w:vAlign w:val="bottom"/>
          </w:tcPr>
          <w:p w14:paraId="392C347E" w14:textId="77777777" w:rsidR="00980E5F" w:rsidRDefault="00980E5F">
            <w:pPr>
              <w:rPr>
                <w:rFonts w:ascii="宋体"/>
                <w:vanish/>
              </w:rPr>
            </w:pPr>
          </w:p>
        </w:tc>
        <w:tc>
          <w:tcPr>
            <w:tcW w:w="0" w:type="auto"/>
            <w:gridSpan w:val="3"/>
            <w:shd w:val="clear" w:color="auto" w:fill="auto"/>
            <w:vAlign w:val="bottom"/>
          </w:tcPr>
          <w:p w14:paraId="392C347F" w14:textId="77777777" w:rsidR="00980E5F" w:rsidRDefault="00980E5F">
            <w:pPr>
              <w:rPr>
                <w:rFonts w:ascii="宋体"/>
                <w:vanish/>
              </w:rPr>
            </w:pPr>
          </w:p>
        </w:tc>
        <w:tc>
          <w:tcPr>
            <w:tcW w:w="0" w:type="auto"/>
            <w:gridSpan w:val="3"/>
            <w:shd w:val="clear" w:color="auto" w:fill="auto"/>
            <w:vAlign w:val="bottom"/>
          </w:tcPr>
          <w:p w14:paraId="392C3480" w14:textId="77777777" w:rsidR="00980E5F" w:rsidRDefault="00980E5F">
            <w:pPr>
              <w:rPr>
                <w:rFonts w:ascii="宋体"/>
                <w:vanish/>
              </w:rPr>
            </w:pPr>
          </w:p>
        </w:tc>
        <w:tc>
          <w:tcPr>
            <w:tcW w:w="0" w:type="auto"/>
            <w:gridSpan w:val="3"/>
            <w:shd w:val="clear" w:color="auto" w:fill="auto"/>
            <w:vAlign w:val="bottom"/>
          </w:tcPr>
          <w:p w14:paraId="392C3481" w14:textId="77777777" w:rsidR="00980E5F" w:rsidRDefault="00980E5F">
            <w:pPr>
              <w:rPr>
                <w:rFonts w:ascii="宋体"/>
                <w:vanish/>
              </w:rPr>
            </w:pPr>
          </w:p>
        </w:tc>
        <w:tc>
          <w:tcPr>
            <w:tcW w:w="0" w:type="auto"/>
            <w:gridSpan w:val="3"/>
            <w:shd w:val="clear" w:color="auto" w:fill="auto"/>
            <w:vAlign w:val="bottom"/>
          </w:tcPr>
          <w:p w14:paraId="392C3482" w14:textId="77777777" w:rsidR="00980E5F" w:rsidRDefault="00980E5F">
            <w:pPr>
              <w:rPr>
                <w:rFonts w:ascii="宋体"/>
                <w:vanish/>
              </w:rPr>
            </w:pPr>
          </w:p>
        </w:tc>
      </w:tr>
      <w:tr w:rsidR="00980E5F" w14:paraId="392C3496" w14:textId="77777777">
        <w:trPr>
          <w:jc w:val="center"/>
          <w:hidden/>
        </w:trPr>
        <w:tc>
          <w:tcPr>
            <w:tcW w:w="0" w:type="auto"/>
            <w:gridSpan w:val="3"/>
            <w:shd w:val="clear" w:color="auto" w:fill="auto"/>
            <w:vAlign w:val="bottom"/>
          </w:tcPr>
          <w:p w14:paraId="392C3484" w14:textId="77777777" w:rsidR="00980E5F" w:rsidRDefault="00980E5F">
            <w:pPr>
              <w:rPr>
                <w:rFonts w:ascii="宋体"/>
                <w:vanish/>
              </w:rPr>
            </w:pPr>
          </w:p>
        </w:tc>
        <w:tc>
          <w:tcPr>
            <w:tcW w:w="0" w:type="auto"/>
            <w:gridSpan w:val="3"/>
            <w:shd w:val="clear" w:color="auto" w:fill="auto"/>
            <w:vAlign w:val="bottom"/>
          </w:tcPr>
          <w:p w14:paraId="392C3485" w14:textId="77777777" w:rsidR="00980E5F" w:rsidRDefault="00980E5F">
            <w:pPr>
              <w:rPr>
                <w:rFonts w:ascii="宋体"/>
                <w:vanish/>
              </w:rPr>
            </w:pPr>
          </w:p>
        </w:tc>
        <w:tc>
          <w:tcPr>
            <w:tcW w:w="0" w:type="auto"/>
            <w:gridSpan w:val="3"/>
            <w:shd w:val="clear" w:color="auto" w:fill="auto"/>
            <w:vAlign w:val="bottom"/>
          </w:tcPr>
          <w:p w14:paraId="392C3486" w14:textId="77777777" w:rsidR="00980E5F" w:rsidRDefault="00980E5F">
            <w:pPr>
              <w:rPr>
                <w:rFonts w:ascii="宋体"/>
                <w:vanish/>
              </w:rPr>
            </w:pPr>
          </w:p>
        </w:tc>
        <w:tc>
          <w:tcPr>
            <w:tcW w:w="0" w:type="auto"/>
            <w:gridSpan w:val="3"/>
            <w:shd w:val="clear" w:color="auto" w:fill="auto"/>
            <w:vAlign w:val="bottom"/>
          </w:tcPr>
          <w:p w14:paraId="392C3487" w14:textId="77777777" w:rsidR="00980E5F" w:rsidRDefault="00980E5F">
            <w:pPr>
              <w:rPr>
                <w:rFonts w:ascii="宋体"/>
                <w:vanish/>
              </w:rPr>
            </w:pPr>
          </w:p>
        </w:tc>
        <w:tc>
          <w:tcPr>
            <w:tcW w:w="0" w:type="auto"/>
            <w:gridSpan w:val="3"/>
            <w:shd w:val="clear" w:color="auto" w:fill="auto"/>
            <w:vAlign w:val="bottom"/>
          </w:tcPr>
          <w:p w14:paraId="392C3488" w14:textId="77777777" w:rsidR="00980E5F" w:rsidRDefault="00980E5F">
            <w:pPr>
              <w:rPr>
                <w:rFonts w:ascii="宋体"/>
                <w:vanish/>
              </w:rPr>
            </w:pPr>
          </w:p>
        </w:tc>
        <w:tc>
          <w:tcPr>
            <w:tcW w:w="0" w:type="auto"/>
            <w:gridSpan w:val="3"/>
            <w:shd w:val="clear" w:color="auto" w:fill="auto"/>
            <w:vAlign w:val="bottom"/>
          </w:tcPr>
          <w:p w14:paraId="392C3489" w14:textId="77777777" w:rsidR="00980E5F" w:rsidRDefault="00980E5F">
            <w:pPr>
              <w:rPr>
                <w:rFonts w:ascii="宋体"/>
                <w:vanish/>
              </w:rPr>
            </w:pPr>
          </w:p>
        </w:tc>
        <w:tc>
          <w:tcPr>
            <w:tcW w:w="0" w:type="auto"/>
            <w:gridSpan w:val="3"/>
            <w:shd w:val="clear" w:color="auto" w:fill="auto"/>
            <w:vAlign w:val="bottom"/>
          </w:tcPr>
          <w:p w14:paraId="392C348A" w14:textId="77777777" w:rsidR="00980E5F" w:rsidRDefault="00980E5F">
            <w:pPr>
              <w:rPr>
                <w:rFonts w:ascii="宋体"/>
                <w:vanish/>
              </w:rPr>
            </w:pPr>
          </w:p>
        </w:tc>
        <w:tc>
          <w:tcPr>
            <w:tcW w:w="0" w:type="auto"/>
            <w:gridSpan w:val="3"/>
            <w:shd w:val="clear" w:color="auto" w:fill="auto"/>
            <w:vAlign w:val="bottom"/>
          </w:tcPr>
          <w:p w14:paraId="392C348B" w14:textId="77777777" w:rsidR="00980E5F" w:rsidRDefault="00980E5F">
            <w:pPr>
              <w:rPr>
                <w:rFonts w:ascii="宋体"/>
                <w:vanish/>
              </w:rPr>
            </w:pPr>
          </w:p>
        </w:tc>
        <w:tc>
          <w:tcPr>
            <w:tcW w:w="0" w:type="auto"/>
            <w:gridSpan w:val="3"/>
            <w:shd w:val="clear" w:color="auto" w:fill="auto"/>
            <w:vAlign w:val="bottom"/>
          </w:tcPr>
          <w:p w14:paraId="392C348C" w14:textId="77777777" w:rsidR="00980E5F" w:rsidRDefault="00980E5F">
            <w:pPr>
              <w:rPr>
                <w:rFonts w:ascii="宋体"/>
                <w:vanish/>
              </w:rPr>
            </w:pPr>
          </w:p>
        </w:tc>
        <w:tc>
          <w:tcPr>
            <w:tcW w:w="0" w:type="auto"/>
            <w:gridSpan w:val="3"/>
            <w:shd w:val="clear" w:color="auto" w:fill="auto"/>
            <w:vAlign w:val="bottom"/>
          </w:tcPr>
          <w:p w14:paraId="392C348D" w14:textId="77777777" w:rsidR="00980E5F" w:rsidRDefault="00980E5F">
            <w:pPr>
              <w:rPr>
                <w:rFonts w:ascii="宋体"/>
                <w:vanish/>
              </w:rPr>
            </w:pPr>
          </w:p>
        </w:tc>
        <w:tc>
          <w:tcPr>
            <w:tcW w:w="0" w:type="auto"/>
            <w:gridSpan w:val="3"/>
            <w:shd w:val="clear" w:color="auto" w:fill="auto"/>
            <w:vAlign w:val="bottom"/>
          </w:tcPr>
          <w:p w14:paraId="392C348E" w14:textId="77777777" w:rsidR="00980E5F" w:rsidRDefault="00980E5F">
            <w:pPr>
              <w:rPr>
                <w:rFonts w:ascii="宋体"/>
                <w:vanish/>
              </w:rPr>
            </w:pPr>
          </w:p>
        </w:tc>
        <w:tc>
          <w:tcPr>
            <w:tcW w:w="0" w:type="auto"/>
            <w:gridSpan w:val="3"/>
            <w:shd w:val="clear" w:color="auto" w:fill="auto"/>
            <w:vAlign w:val="bottom"/>
          </w:tcPr>
          <w:p w14:paraId="392C348F" w14:textId="77777777" w:rsidR="00980E5F" w:rsidRDefault="00980E5F">
            <w:pPr>
              <w:rPr>
                <w:rFonts w:ascii="宋体"/>
                <w:vanish/>
              </w:rPr>
            </w:pPr>
          </w:p>
        </w:tc>
        <w:tc>
          <w:tcPr>
            <w:tcW w:w="0" w:type="auto"/>
            <w:gridSpan w:val="3"/>
            <w:shd w:val="clear" w:color="auto" w:fill="auto"/>
            <w:vAlign w:val="bottom"/>
          </w:tcPr>
          <w:p w14:paraId="392C3490" w14:textId="77777777" w:rsidR="00980E5F" w:rsidRDefault="00980E5F">
            <w:pPr>
              <w:rPr>
                <w:rFonts w:ascii="宋体"/>
                <w:vanish/>
              </w:rPr>
            </w:pPr>
          </w:p>
        </w:tc>
        <w:tc>
          <w:tcPr>
            <w:tcW w:w="0" w:type="auto"/>
            <w:gridSpan w:val="3"/>
            <w:shd w:val="clear" w:color="auto" w:fill="auto"/>
            <w:vAlign w:val="bottom"/>
          </w:tcPr>
          <w:p w14:paraId="392C3491" w14:textId="77777777" w:rsidR="00980E5F" w:rsidRDefault="00980E5F">
            <w:pPr>
              <w:rPr>
                <w:rFonts w:ascii="宋体"/>
                <w:vanish/>
              </w:rPr>
            </w:pPr>
          </w:p>
        </w:tc>
        <w:tc>
          <w:tcPr>
            <w:tcW w:w="0" w:type="auto"/>
            <w:gridSpan w:val="3"/>
            <w:shd w:val="clear" w:color="auto" w:fill="auto"/>
            <w:vAlign w:val="bottom"/>
          </w:tcPr>
          <w:p w14:paraId="392C3492" w14:textId="77777777" w:rsidR="00980E5F" w:rsidRDefault="00980E5F">
            <w:pPr>
              <w:rPr>
                <w:rFonts w:ascii="宋体"/>
                <w:vanish/>
              </w:rPr>
            </w:pPr>
          </w:p>
        </w:tc>
        <w:tc>
          <w:tcPr>
            <w:tcW w:w="0" w:type="auto"/>
            <w:gridSpan w:val="3"/>
            <w:shd w:val="clear" w:color="auto" w:fill="auto"/>
            <w:vAlign w:val="bottom"/>
          </w:tcPr>
          <w:p w14:paraId="392C3493" w14:textId="77777777" w:rsidR="00980E5F" w:rsidRDefault="00980E5F">
            <w:pPr>
              <w:rPr>
                <w:rFonts w:ascii="宋体"/>
                <w:vanish/>
              </w:rPr>
            </w:pPr>
          </w:p>
        </w:tc>
        <w:tc>
          <w:tcPr>
            <w:tcW w:w="0" w:type="auto"/>
            <w:gridSpan w:val="3"/>
            <w:shd w:val="clear" w:color="auto" w:fill="auto"/>
            <w:vAlign w:val="bottom"/>
          </w:tcPr>
          <w:p w14:paraId="392C3494" w14:textId="77777777" w:rsidR="00980E5F" w:rsidRDefault="00980E5F">
            <w:pPr>
              <w:rPr>
                <w:rFonts w:ascii="宋体"/>
                <w:vanish/>
              </w:rPr>
            </w:pPr>
          </w:p>
        </w:tc>
        <w:tc>
          <w:tcPr>
            <w:tcW w:w="0" w:type="auto"/>
            <w:gridSpan w:val="3"/>
            <w:shd w:val="clear" w:color="auto" w:fill="auto"/>
            <w:vAlign w:val="bottom"/>
          </w:tcPr>
          <w:p w14:paraId="392C3495" w14:textId="77777777" w:rsidR="00980E5F" w:rsidRDefault="00980E5F">
            <w:pPr>
              <w:rPr>
                <w:rFonts w:ascii="宋体"/>
                <w:vanish/>
              </w:rPr>
            </w:pPr>
          </w:p>
        </w:tc>
      </w:tr>
      <w:tr w:rsidR="00980E5F" w14:paraId="392C34A9" w14:textId="77777777">
        <w:trPr>
          <w:jc w:val="center"/>
          <w:hidden/>
        </w:trPr>
        <w:tc>
          <w:tcPr>
            <w:tcW w:w="0" w:type="auto"/>
            <w:gridSpan w:val="3"/>
            <w:shd w:val="clear" w:color="auto" w:fill="auto"/>
            <w:vAlign w:val="bottom"/>
          </w:tcPr>
          <w:p w14:paraId="392C3497" w14:textId="77777777" w:rsidR="00980E5F" w:rsidRDefault="00980E5F">
            <w:pPr>
              <w:rPr>
                <w:rFonts w:ascii="宋体"/>
                <w:vanish/>
              </w:rPr>
            </w:pPr>
          </w:p>
        </w:tc>
        <w:tc>
          <w:tcPr>
            <w:tcW w:w="0" w:type="auto"/>
            <w:gridSpan w:val="3"/>
            <w:shd w:val="clear" w:color="auto" w:fill="auto"/>
            <w:vAlign w:val="bottom"/>
          </w:tcPr>
          <w:p w14:paraId="392C3498" w14:textId="77777777" w:rsidR="00980E5F" w:rsidRDefault="00980E5F">
            <w:pPr>
              <w:rPr>
                <w:rFonts w:ascii="宋体"/>
                <w:vanish/>
              </w:rPr>
            </w:pPr>
          </w:p>
        </w:tc>
        <w:tc>
          <w:tcPr>
            <w:tcW w:w="0" w:type="auto"/>
            <w:gridSpan w:val="3"/>
            <w:shd w:val="clear" w:color="auto" w:fill="auto"/>
            <w:vAlign w:val="bottom"/>
          </w:tcPr>
          <w:p w14:paraId="392C3499" w14:textId="77777777" w:rsidR="00980E5F" w:rsidRDefault="00980E5F">
            <w:pPr>
              <w:rPr>
                <w:rFonts w:ascii="宋体"/>
                <w:vanish/>
              </w:rPr>
            </w:pPr>
          </w:p>
        </w:tc>
        <w:tc>
          <w:tcPr>
            <w:tcW w:w="0" w:type="auto"/>
            <w:gridSpan w:val="3"/>
            <w:shd w:val="clear" w:color="auto" w:fill="auto"/>
            <w:vAlign w:val="bottom"/>
          </w:tcPr>
          <w:p w14:paraId="392C349A" w14:textId="77777777" w:rsidR="00980E5F" w:rsidRDefault="00980E5F">
            <w:pPr>
              <w:rPr>
                <w:rFonts w:ascii="宋体"/>
                <w:vanish/>
              </w:rPr>
            </w:pPr>
          </w:p>
        </w:tc>
        <w:tc>
          <w:tcPr>
            <w:tcW w:w="0" w:type="auto"/>
            <w:gridSpan w:val="3"/>
            <w:shd w:val="clear" w:color="auto" w:fill="auto"/>
            <w:vAlign w:val="bottom"/>
          </w:tcPr>
          <w:p w14:paraId="392C349B" w14:textId="77777777" w:rsidR="00980E5F" w:rsidRDefault="00980E5F">
            <w:pPr>
              <w:rPr>
                <w:rFonts w:ascii="宋体"/>
                <w:vanish/>
              </w:rPr>
            </w:pPr>
          </w:p>
        </w:tc>
        <w:tc>
          <w:tcPr>
            <w:tcW w:w="0" w:type="auto"/>
            <w:gridSpan w:val="3"/>
            <w:shd w:val="clear" w:color="auto" w:fill="auto"/>
            <w:vAlign w:val="bottom"/>
          </w:tcPr>
          <w:p w14:paraId="392C349C" w14:textId="77777777" w:rsidR="00980E5F" w:rsidRDefault="00980E5F">
            <w:pPr>
              <w:rPr>
                <w:rFonts w:ascii="宋体"/>
                <w:vanish/>
              </w:rPr>
            </w:pPr>
          </w:p>
        </w:tc>
        <w:tc>
          <w:tcPr>
            <w:tcW w:w="0" w:type="auto"/>
            <w:gridSpan w:val="3"/>
            <w:shd w:val="clear" w:color="auto" w:fill="auto"/>
            <w:vAlign w:val="bottom"/>
          </w:tcPr>
          <w:p w14:paraId="392C349D" w14:textId="77777777" w:rsidR="00980E5F" w:rsidRDefault="00980E5F">
            <w:pPr>
              <w:rPr>
                <w:rFonts w:ascii="宋体"/>
                <w:vanish/>
              </w:rPr>
            </w:pPr>
          </w:p>
        </w:tc>
        <w:tc>
          <w:tcPr>
            <w:tcW w:w="0" w:type="auto"/>
            <w:gridSpan w:val="3"/>
            <w:shd w:val="clear" w:color="auto" w:fill="auto"/>
            <w:vAlign w:val="bottom"/>
          </w:tcPr>
          <w:p w14:paraId="392C349E" w14:textId="77777777" w:rsidR="00980E5F" w:rsidRDefault="00980E5F">
            <w:pPr>
              <w:rPr>
                <w:rFonts w:ascii="宋体"/>
                <w:vanish/>
              </w:rPr>
            </w:pPr>
          </w:p>
        </w:tc>
        <w:tc>
          <w:tcPr>
            <w:tcW w:w="0" w:type="auto"/>
            <w:gridSpan w:val="3"/>
            <w:shd w:val="clear" w:color="auto" w:fill="auto"/>
            <w:vAlign w:val="bottom"/>
          </w:tcPr>
          <w:p w14:paraId="392C349F" w14:textId="77777777" w:rsidR="00980E5F" w:rsidRDefault="00980E5F">
            <w:pPr>
              <w:rPr>
                <w:rFonts w:ascii="宋体"/>
                <w:vanish/>
              </w:rPr>
            </w:pPr>
          </w:p>
        </w:tc>
        <w:tc>
          <w:tcPr>
            <w:tcW w:w="0" w:type="auto"/>
            <w:gridSpan w:val="3"/>
            <w:shd w:val="clear" w:color="auto" w:fill="auto"/>
            <w:vAlign w:val="bottom"/>
          </w:tcPr>
          <w:p w14:paraId="392C34A0" w14:textId="77777777" w:rsidR="00980E5F" w:rsidRDefault="00980E5F">
            <w:pPr>
              <w:rPr>
                <w:rFonts w:ascii="宋体"/>
                <w:vanish/>
              </w:rPr>
            </w:pPr>
          </w:p>
        </w:tc>
        <w:tc>
          <w:tcPr>
            <w:tcW w:w="0" w:type="auto"/>
            <w:gridSpan w:val="3"/>
            <w:shd w:val="clear" w:color="auto" w:fill="auto"/>
            <w:vAlign w:val="bottom"/>
          </w:tcPr>
          <w:p w14:paraId="392C34A1" w14:textId="77777777" w:rsidR="00980E5F" w:rsidRDefault="00980E5F">
            <w:pPr>
              <w:rPr>
                <w:rFonts w:ascii="宋体"/>
                <w:vanish/>
              </w:rPr>
            </w:pPr>
          </w:p>
        </w:tc>
        <w:tc>
          <w:tcPr>
            <w:tcW w:w="0" w:type="auto"/>
            <w:gridSpan w:val="3"/>
            <w:shd w:val="clear" w:color="auto" w:fill="auto"/>
            <w:vAlign w:val="bottom"/>
          </w:tcPr>
          <w:p w14:paraId="392C34A2" w14:textId="77777777" w:rsidR="00980E5F" w:rsidRDefault="00980E5F">
            <w:pPr>
              <w:rPr>
                <w:rFonts w:ascii="宋体"/>
                <w:vanish/>
              </w:rPr>
            </w:pPr>
          </w:p>
        </w:tc>
        <w:tc>
          <w:tcPr>
            <w:tcW w:w="0" w:type="auto"/>
            <w:gridSpan w:val="3"/>
            <w:shd w:val="clear" w:color="auto" w:fill="auto"/>
            <w:vAlign w:val="bottom"/>
          </w:tcPr>
          <w:p w14:paraId="392C34A3" w14:textId="77777777" w:rsidR="00980E5F" w:rsidRDefault="00980E5F">
            <w:pPr>
              <w:rPr>
                <w:rFonts w:ascii="宋体"/>
                <w:vanish/>
              </w:rPr>
            </w:pPr>
          </w:p>
        </w:tc>
        <w:tc>
          <w:tcPr>
            <w:tcW w:w="0" w:type="auto"/>
            <w:gridSpan w:val="3"/>
            <w:shd w:val="clear" w:color="auto" w:fill="auto"/>
            <w:vAlign w:val="bottom"/>
          </w:tcPr>
          <w:p w14:paraId="392C34A4" w14:textId="77777777" w:rsidR="00980E5F" w:rsidRDefault="00980E5F">
            <w:pPr>
              <w:rPr>
                <w:rFonts w:ascii="宋体"/>
                <w:vanish/>
              </w:rPr>
            </w:pPr>
          </w:p>
        </w:tc>
        <w:tc>
          <w:tcPr>
            <w:tcW w:w="0" w:type="auto"/>
            <w:gridSpan w:val="3"/>
            <w:shd w:val="clear" w:color="auto" w:fill="auto"/>
            <w:vAlign w:val="bottom"/>
          </w:tcPr>
          <w:p w14:paraId="392C34A5" w14:textId="77777777" w:rsidR="00980E5F" w:rsidRDefault="00980E5F">
            <w:pPr>
              <w:rPr>
                <w:rFonts w:ascii="宋体"/>
                <w:vanish/>
              </w:rPr>
            </w:pPr>
          </w:p>
        </w:tc>
        <w:tc>
          <w:tcPr>
            <w:tcW w:w="0" w:type="auto"/>
            <w:gridSpan w:val="3"/>
            <w:shd w:val="clear" w:color="auto" w:fill="auto"/>
            <w:vAlign w:val="bottom"/>
          </w:tcPr>
          <w:p w14:paraId="392C34A6" w14:textId="77777777" w:rsidR="00980E5F" w:rsidRDefault="00980E5F">
            <w:pPr>
              <w:rPr>
                <w:rFonts w:ascii="宋体"/>
                <w:vanish/>
              </w:rPr>
            </w:pPr>
          </w:p>
        </w:tc>
        <w:tc>
          <w:tcPr>
            <w:tcW w:w="0" w:type="auto"/>
            <w:gridSpan w:val="3"/>
            <w:shd w:val="clear" w:color="auto" w:fill="auto"/>
            <w:vAlign w:val="bottom"/>
          </w:tcPr>
          <w:p w14:paraId="392C34A7" w14:textId="77777777" w:rsidR="00980E5F" w:rsidRDefault="00980E5F">
            <w:pPr>
              <w:rPr>
                <w:rFonts w:ascii="宋体"/>
                <w:vanish/>
              </w:rPr>
            </w:pPr>
          </w:p>
        </w:tc>
        <w:tc>
          <w:tcPr>
            <w:tcW w:w="0" w:type="auto"/>
            <w:gridSpan w:val="3"/>
            <w:shd w:val="clear" w:color="auto" w:fill="auto"/>
            <w:vAlign w:val="bottom"/>
          </w:tcPr>
          <w:p w14:paraId="392C34A8" w14:textId="77777777" w:rsidR="00980E5F" w:rsidRDefault="00980E5F">
            <w:pPr>
              <w:rPr>
                <w:rFonts w:ascii="宋体"/>
                <w:vanish/>
              </w:rPr>
            </w:pPr>
          </w:p>
        </w:tc>
      </w:tr>
      <w:tr w:rsidR="00980E5F" w14:paraId="392C34BC" w14:textId="77777777">
        <w:trPr>
          <w:jc w:val="center"/>
          <w:hidden/>
        </w:trPr>
        <w:tc>
          <w:tcPr>
            <w:tcW w:w="0" w:type="auto"/>
            <w:gridSpan w:val="3"/>
            <w:shd w:val="clear" w:color="auto" w:fill="auto"/>
            <w:vAlign w:val="bottom"/>
          </w:tcPr>
          <w:p w14:paraId="392C34AA" w14:textId="77777777" w:rsidR="00980E5F" w:rsidRDefault="00980E5F">
            <w:pPr>
              <w:rPr>
                <w:rFonts w:ascii="宋体"/>
                <w:vanish/>
              </w:rPr>
            </w:pPr>
          </w:p>
        </w:tc>
        <w:tc>
          <w:tcPr>
            <w:tcW w:w="0" w:type="auto"/>
            <w:gridSpan w:val="3"/>
            <w:shd w:val="clear" w:color="auto" w:fill="auto"/>
            <w:vAlign w:val="bottom"/>
          </w:tcPr>
          <w:p w14:paraId="392C34AB" w14:textId="77777777" w:rsidR="00980E5F" w:rsidRDefault="00980E5F">
            <w:pPr>
              <w:rPr>
                <w:rFonts w:ascii="宋体"/>
                <w:vanish/>
              </w:rPr>
            </w:pPr>
          </w:p>
        </w:tc>
        <w:tc>
          <w:tcPr>
            <w:tcW w:w="0" w:type="auto"/>
            <w:gridSpan w:val="3"/>
            <w:shd w:val="clear" w:color="auto" w:fill="auto"/>
            <w:vAlign w:val="bottom"/>
          </w:tcPr>
          <w:p w14:paraId="392C34AC" w14:textId="77777777" w:rsidR="00980E5F" w:rsidRDefault="00980E5F">
            <w:pPr>
              <w:rPr>
                <w:rFonts w:ascii="宋体"/>
                <w:vanish/>
              </w:rPr>
            </w:pPr>
          </w:p>
        </w:tc>
        <w:tc>
          <w:tcPr>
            <w:tcW w:w="0" w:type="auto"/>
            <w:gridSpan w:val="3"/>
            <w:shd w:val="clear" w:color="auto" w:fill="auto"/>
            <w:vAlign w:val="bottom"/>
          </w:tcPr>
          <w:p w14:paraId="392C34AD" w14:textId="77777777" w:rsidR="00980E5F" w:rsidRDefault="00980E5F">
            <w:pPr>
              <w:rPr>
                <w:rFonts w:ascii="宋体"/>
                <w:vanish/>
              </w:rPr>
            </w:pPr>
          </w:p>
        </w:tc>
        <w:tc>
          <w:tcPr>
            <w:tcW w:w="0" w:type="auto"/>
            <w:gridSpan w:val="3"/>
            <w:shd w:val="clear" w:color="auto" w:fill="auto"/>
            <w:vAlign w:val="bottom"/>
          </w:tcPr>
          <w:p w14:paraId="392C34AE" w14:textId="77777777" w:rsidR="00980E5F" w:rsidRDefault="00980E5F">
            <w:pPr>
              <w:rPr>
                <w:rFonts w:ascii="宋体"/>
                <w:vanish/>
              </w:rPr>
            </w:pPr>
          </w:p>
        </w:tc>
        <w:tc>
          <w:tcPr>
            <w:tcW w:w="0" w:type="auto"/>
            <w:gridSpan w:val="3"/>
            <w:shd w:val="clear" w:color="auto" w:fill="auto"/>
            <w:vAlign w:val="bottom"/>
          </w:tcPr>
          <w:p w14:paraId="392C34AF" w14:textId="77777777" w:rsidR="00980E5F" w:rsidRDefault="00980E5F">
            <w:pPr>
              <w:rPr>
                <w:rFonts w:ascii="宋体"/>
                <w:vanish/>
              </w:rPr>
            </w:pPr>
          </w:p>
        </w:tc>
        <w:tc>
          <w:tcPr>
            <w:tcW w:w="0" w:type="auto"/>
            <w:gridSpan w:val="3"/>
            <w:shd w:val="clear" w:color="auto" w:fill="auto"/>
            <w:vAlign w:val="bottom"/>
          </w:tcPr>
          <w:p w14:paraId="392C34B0" w14:textId="77777777" w:rsidR="00980E5F" w:rsidRDefault="00980E5F">
            <w:pPr>
              <w:rPr>
                <w:rFonts w:ascii="宋体"/>
                <w:vanish/>
              </w:rPr>
            </w:pPr>
          </w:p>
        </w:tc>
        <w:tc>
          <w:tcPr>
            <w:tcW w:w="0" w:type="auto"/>
            <w:gridSpan w:val="3"/>
            <w:shd w:val="clear" w:color="auto" w:fill="auto"/>
            <w:vAlign w:val="bottom"/>
          </w:tcPr>
          <w:p w14:paraId="392C34B1" w14:textId="77777777" w:rsidR="00980E5F" w:rsidRDefault="00980E5F">
            <w:pPr>
              <w:rPr>
                <w:rFonts w:ascii="宋体"/>
                <w:vanish/>
              </w:rPr>
            </w:pPr>
          </w:p>
        </w:tc>
        <w:tc>
          <w:tcPr>
            <w:tcW w:w="0" w:type="auto"/>
            <w:gridSpan w:val="3"/>
            <w:shd w:val="clear" w:color="auto" w:fill="auto"/>
            <w:vAlign w:val="bottom"/>
          </w:tcPr>
          <w:p w14:paraId="392C34B2" w14:textId="77777777" w:rsidR="00980E5F" w:rsidRDefault="00980E5F">
            <w:pPr>
              <w:rPr>
                <w:rFonts w:ascii="宋体"/>
                <w:vanish/>
              </w:rPr>
            </w:pPr>
          </w:p>
        </w:tc>
        <w:tc>
          <w:tcPr>
            <w:tcW w:w="0" w:type="auto"/>
            <w:gridSpan w:val="3"/>
            <w:shd w:val="clear" w:color="auto" w:fill="auto"/>
            <w:vAlign w:val="bottom"/>
          </w:tcPr>
          <w:p w14:paraId="392C34B3" w14:textId="77777777" w:rsidR="00980E5F" w:rsidRDefault="00980E5F">
            <w:pPr>
              <w:rPr>
                <w:rFonts w:ascii="宋体"/>
                <w:vanish/>
              </w:rPr>
            </w:pPr>
          </w:p>
        </w:tc>
        <w:tc>
          <w:tcPr>
            <w:tcW w:w="0" w:type="auto"/>
            <w:gridSpan w:val="3"/>
            <w:shd w:val="clear" w:color="auto" w:fill="auto"/>
            <w:vAlign w:val="bottom"/>
          </w:tcPr>
          <w:p w14:paraId="392C34B4" w14:textId="77777777" w:rsidR="00980E5F" w:rsidRDefault="00980E5F">
            <w:pPr>
              <w:rPr>
                <w:rFonts w:ascii="宋体"/>
                <w:vanish/>
              </w:rPr>
            </w:pPr>
          </w:p>
        </w:tc>
        <w:tc>
          <w:tcPr>
            <w:tcW w:w="0" w:type="auto"/>
            <w:gridSpan w:val="3"/>
            <w:shd w:val="clear" w:color="auto" w:fill="auto"/>
            <w:vAlign w:val="bottom"/>
          </w:tcPr>
          <w:p w14:paraId="392C34B5" w14:textId="77777777" w:rsidR="00980E5F" w:rsidRDefault="00980E5F">
            <w:pPr>
              <w:rPr>
                <w:rFonts w:ascii="宋体"/>
                <w:vanish/>
              </w:rPr>
            </w:pPr>
          </w:p>
        </w:tc>
        <w:tc>
          <w:tcPr>
            <w:tcW w:w="0" w:type="auto"/>
            <w:gridSpan w:val="3"/>
            <w:shd w:val="clear" w:color="auto" w:fill="auto"/>
            <w:vAlign w:val="bottom"/>
          </w:tcPr>
          <w:p w14:paraId="392C34B6" w14:textId="77777777" w:rsidR="00980E5F" w:rsidRDefault="00980E5F">
            <w:pPr>
              <w:rPr>
                <w:rFonts w:ascii="宋体"/>
                <w:vanish/>
              </w:rPr>
            </w:pPr>
          </w:p>
        </w:tc>
        <w:tc>
          <w:tcPr>
            <w:tcW w:w="0" w:type="auto"/>
            <w:gridSpan w:val="3"/>
            <w:shd w:val="clear" w:color="auto" w:fill="auto"/>
            <w:vAlign w:val="bottom"/>
          </w:tcPr>
          <w:p w14:paraId="392C34B7" w14:textId="77777777" w:rsidR="00980E5F" w:rsidRDefault="00980E5F">
            <w:pPr>
              <w:rPr>
                <w:rFonts w:ascii="宋体"/>
                <w:vanish/>
              </w:rPr>
            </w:pPr>
          </w:p>
        </w:tc>
        <w:tc>
          <w:tcPr>
            <w:tcW w:w="0" w:type="auto"/>
            <w:gridSpan w:val="3"/>
            <w:shd w:val="clear" w:color="auto" w:fill="auto"/>
            <w:vAlign w:val="bottom"/>
          </w:tcPr>
          <w:p w14:paraId="392C34B8" w14:textId="77777777" w:rsidR="00980E5F" w:rsidRDefault="00980E5F">
            <w:pPr>
              <w:rPr>
                <w:rFonts w:ascii="宋体"/>
                <w:vanish/>
              </w:rPr>
            </w:pPr>
          </w:p>
        </w:tc>
        <w:tc>
          <w:tcPr>
            <w:tcW w:w="0" w:type="auto"/>
            <w:gridSpan w:val="3"/>
            <w:shd w:val="clear" w:color="auto" w:fill="auto"/>
            <w:vAlign w:val="bottom"/>
          </w:tcPr>
          <w:p w14:paraId="392C34B9" w14:textId="77777777" w:rsidR="00980E5F" w:rsidRDefault="00980E5F">
            <w:pPr>
              <w:rPr>
                <w:rFonts w:ascii="宋体"/>
                <w:vanish/>
              </w:rPr>
            </w:pPr>
          </w:p>
        </w:tc>
        <w:tc>
          <w:tcPr>
            <w:tcW w:w="0" w:type="auto"/>
            <w:gridSpan w:val="3"/>
            <w:shd w:val="clear" w:color="auto" w:fill="auto"/>
            <w:vAlign w:val="bottom"/>
          </w:tcPr>
          <w:p w14:paraId="392C34BA" w14:textId="77777777" w:rsidR="00980E5F" w:rsidRDefault="00980E5F">
            <w:pPr>
              <w:rPr>
                <w:rFonts w:ascii="宋体"/>
                <w:vanish/>
              </w:rPr>
            </w:pPr>
          </w:p>
        </w:tc>
        <w:tc>
          <w:tcPr>
            <w:tcW w:w="0" w:type="auto"/>
            <w:gridSpan w:val="3"/>
            <w:shd w:val="clear" w:color="auto" w:fill="auto"/>
            <w:vAlign w:val="bottom"/>
          </w:tcPr>
          <w:p w14:paraId="392C34BB" w14:textId="77777777" w:rsidR="00980E5F" w:rsidRDefault="00980E5F">
            <w:pPr>
              <w:rPr>
                <w:rFonts w:ascii="宋体"/>
                <w:vanish/>
              </w:rPr>
            </w:pPr>
          </w:p>
        </w:tc>
      </w:tr>
      <w:tr w:rsidR="00980E5F" w14:paraId="392C34CF" w14:textId="77777777">
        <w:trPr>
          <w:jc w:val="center"/>
          <w:hidden/>
        </w:trPr>
        <w:tc>
          <w:tcPr>
            <w:tcW w:w="0" w:type="auto"/>
            <w:gridSpan w:val="3"/>
            <w:shd w:val="clear" w:color="auto" w:fill="auto"/>
            <w:vAlign w:val="bottom"/>
          </w:tcPr>
          <w:p w14:paraId="392C34BD" w14:textId="77777777" w:rsidR="00980E5F" w:rsidRDefault="00980E5F">
            <w:pPr>
              <w:rPr>
                <w:rFonts w:ascii="宋体"/>
                <w:vanish/>
              </w:rPr>
            </w:pPr>
          </w:p>
        </w:tc>
        <w:tc>
          <w:tcPr>
            <w:tcW w:w="0" w:type="auto"/>
            <w:gridSpan w:val="3"/>
            <w:shd w:val="clear" w:color="auto" w:fill="auto"/>
            <w:vAlign w:val="bottom"/>
          </w:tcPr>
          <w:p w14:paraId="392C34BE" w14:textId="77777777" w:rsidR="00980E5F" w:rsidRDefault="00980E5F">
            <w:pPr>
              <w:rPr>
                <w:rFonts w:ascii="宋体"/>
                <w:vanish/>
              </w:rPr>
            </w:pPr>
          </w:p>
        </w:tc>
        <w:tc>
          <w:tcPr>
            <w:tcW w:w="0" w:type="auto"/>
            <w:gridSpan w:val="3"/>
            <w:shd w:val="clear" w:color="auto" w:fill="auto"/>
            <w:vAlign w:val="bottom"/>
          </w:tcPr>
          <w:p w14:paraId="392C34BF" w14:textId="77777777" w:rsidR="00980E5F" w:rsidRDefault="00980E5F">
            <w:pPr>
              <w:rPr>
                <w:rFonts w:ascii="宋体"/>
                <w:vanish/>
              </w:rPr>
            </w:pPr>
          </w:p>
        </w:tc>
        <w:tc>
          <w:tcPr>
            <w:tcW w:w="0" w:type="auto"/>
            <w:gridSpan w:val="3"/>
            <w:shd w:val="clear" w:color="auto" w:fill="auto"/>
            <w:vAlign w:val="bottom"/>
          </w:tcPr>
          <w:p w14:paraId="392C34C0" w14:textId="77777777" w:rsidR="00980E5F" w:rsidRDefault="00980E5F">
            <w:pPr>
              <w:rPr>
                <w:rFonts w:ascii="宋体"/>
                <w:vanish/>
              </w:rPr>
            </w:pPr>
          </w:p>
        </w:tc>
        <w:tc>
          <w:tcPr>
            <w:tcW w:w="0" w:type="auto"/>
            <w:gridSpan w:val="3"/>
            <w:shd w:val="clear" w:color="auto" w:fill="auto"/>
            <w:vAlign w:val="bottom"/>
          </w:tcPr>
          <w:p w14:paraId="392C34C1" w14:textId="77777777" w:rsidR="00980E5F" w:rsidRDefault="00980E5F">
            <w:pPr>
              <w:rPr>
                <w:rFonts w:ascii="宋体"/>
                <w:vanish/>
              </w:rPr>
            </w:pPr>
          </w:p>
        </w:tc>
        <w:tc>
          <w:tcPr>
            <w:tcW w:w="0" w:type="auto"/>
            <w:gridSpan w:val="3"/>
            <w:shd w:val="clear" w:color="auto" w:fill="auto"/>
            <w:vAlign w:val="bottom"/>
          </w:tcPr>
          <w:p w14:paraId="392C34C2" w14:textId="77777777" w:rsidR="00980E5F" w:rsidRDefault="00980E5F">
            <w:pPr>
              <w:rPr>
                <w:rFonts w:ascii="宋体"/>
                <w:vanish/>
              </w:rPr>
            </w:pPr>
          </w:p>
        </w:tc>
        <w:tc>
          <w:tcPr>
            <w:tcW w:w="0" w:type="auto"/>
            <w:gridSpan w:val="3"/>
            <w:shd w:val="clear" w:color="auto" w:fill="auto"/>
            <w:vAlign w:val="bottom"/>
          </w:tcPr>
          <w:p w14:paraId="392C34C3" w14:textId="77777777" w:rsidR="00980E5F" w:rsidRDefault="00980E5F">
            <w:pPr>
              <w:rPr>
                <w:rFonts w:ascii="宋体"/>
                <w:vanish/>
              </w:rPr>
            </w:pPr>
          </w:p>
        </w:tc>
        <w:tc>
          <w:tcPr>
            <w:tcW w:w="0" w:type="auto"/>
            <w:gridSpan w:val="3"/>
            <w:shd w:val="clear" w:color="auto" w:fill="auto"/>
            <w:vAlign w:val="bottom"/>
          </w:tcPr>
          <w:p w14:paraId="392C34C4" w14:textId="77777777" w:rsidR="00980E5F" w:rsidRDefault="00980E5F">
            <w:pPr>
              <w:rPr>
                <w:rFonts w:ascii="宋体"/>
                <w:vanish/>
              </w:rPr>
            </w:pPr>
          </w:p>
        </w:tc>
        <w:tc>
          <w:tcPr>
            <w:tcW w:w="0" w:type="auto"/>
            <w:gridSpan w:val="3"/>
            <w:shd w:val="clear" w:color="auto" w:fill="auto"/>
            <w:vAlign w:val="bottom"/>
          </w:tcPr>
          <w:p w14:paraId="392C34C5" w14:textId="77777777" w:rsidR="00980E5F" w:rsidRDefault="00980E5F">
            <w:pPr>
              <w:rPr>
                <w:rFonts w:ascii="宋体"/>
                <w:vanish/>
              </w:rPr>
            </w:pPr>
          </w:p>
        </w:tc>
        <w:tc>
          <w:tcPr>
            <w:tcW w:w="0" w:type="auto"/>
            <w:gridSpan w:val="3"/>
            <w:shd w:val="clear" w:color="auto" w:fill="auto"/>
            <w:vAlign w:val="bottom"/>
          </w:tcPr>
          <w:p w14:paraId="392C34C6" w14:textId="77777777" w:rsidR="00980E5F" w:rsidRDefault="00980E5F">
            <w:pPr>
              <w:rPr>
                <w:rFonts w:ascii="宋体"/>
                <w:vanish/>
              </w:rPr>
            </w:pPr>
          </w:p>
        </w:tc>
        <w:tc>
          <w:tcPr>
            <w:tcW w:w="0" w:type="auto"/>
            <w:gridSpan w:val="3"/>
            <w:shd w:val="clear" w:color="auto" w:fill="auto"/>
            <w:vAlign w:val="bottom"/>
          </w:tcPr>
          <w:p w14:paraId="392C34C7" w14:textId="77777777" w:rsidR="00980E5F" w:rsidRDefault="00980E5F">
            <w:pPr>
              <w:rPr>
                <w:rFonts w:ascii="宋体"/>
                <w:vanish/>
              </w:rPr>
            </w:pPr>
          </w:p>
        </w:tc>
        <w:tc>
          <w:tcPr>
            <w:tcW w:w="0" w:type="auto"/>
            <w:gridSpan w:val="3"/>
            <w:shd w:val="clear" w:color="auto" w:fill="auto"/>
            <w:vAlign w:val="bottom"/>
          </w:tcPr>
          <w:p w14:paraId="392C34C8" w14:textId="77777777" w:rsidR="00980E5F" w:rsidRDefault="00980E5F">
            <w:pPr>
              <w:rPr>
                <w:rFonts w:ascii="宋体"/>
                <w:vanish/>
              </w:rPr>
            </w:pPr>
          </w:p>
        </w:tc>
        <w:tc>
          <w:tcPr>
            <w:tcW w:w="0" w:type="auto"/>
            <w:gridSpan w:val="3"/>
            <w:shd w:val="clear" w:color="auto" w:fill="auto"/>
            <w:vAlign w:val="bottom"/>
          </w:tcPr>
          <w:p w14:paraId="392C34C9" w14:textId="77777777" w:rsidR="00980E5F" w:rsidRDefault="00980E5F">
            <w:pPr>
              <w:rPr>
                <w:rFonts w:ascii="宋体"/>
                <w:vanish/>
              </w:rPr>
            </w:pPr>
          </w:p>
        </w:tc>
        <w:tc>
          <w:tcPr>
            <w:tcW w:w="0" w:type="auto"/>
            <w:gridSpan w:val="3"/>
            <w:shd w:val="clear" w:color="auto" w:fill="auto"/>
            <w:vAlign w:val="bottom"/>
          </w:tcPr>
          <w:p w14:paraId="392C34CA" w14:textId="77777777" w:rsidR="00980E5F" w:rsidRDefault="00980E5F">
            <w:pPr>
              <w:rPr>
                <w:rFonts w:ascii="宋体"/>
                <w:vanish/>
              </w:rPr>
            </w:pPr>
          </w:p>
        </w:tc>
        <w:tc>
          <w:tcPr>
            <w:tcW w:w="0" w:type="auto"/>
            <w:gridSpan w:val="3"/>
            <w:shd w:val="clear" w:color="auto" w:fill="auto"/>
            <w:vAlign w:val="bottom"/>
          </w:tcPr>
          <w:p w14:paraId="392C34CB" w14:textId="77777777" w:rsidR="00980E5F" w:rsidRDefault="00980E5F">
            <w:pPr>
              <w:rPr>
                <w:rFonts w:ascii="宋体"/>
                <w:vanish/>
              </w:rPr>
            </w:pPr>
          </w:p>
        </w:tc>
        <w:tc>
          <w:tcPr>
            <w:tcW w:w="0" w:type="auto"/>
            <w:gridSpan w:val="3"/>
            <w:shd w:val="clear" w:color="auto" w:fill="auto"/>
            <w:vAlign w:val="bottom"/>
          </w:tcPr>
          <w:p w14:paraId="392C34CC" w14:textId="77777777" w:rsidR="00980E5F" w:rsidRDefault="00980E5F">
            <w:pPr>
              <w:rPr>
                <w:rFonts w:ascii="宋体"/>
                <w:vanish/>
              </w:rPr>
            </w:pPr>
          </w:p>
        </w:tc>
        <w:tc>
          <w:tcPr>
            <w:tcW w:w="0" w:type="auto"/>
            <w:gridSpan w:val="3"/>
            <w:shd w:val="clear" w:color="auto" w:fill="auto"/>
            <w:vAlign w:val="bottom"/>
          </w:tcPr>
          <w:p w14:paraId="392C34CD" w14:textId="77777777" w:rsidR="00980E5F" w:rsidRDefault="00980E5F">
            <w:pPr>
              <w:rPr>
                <w:rFonts w:ascii="宋体"/>
                <w:vanish/>
              </w:rPr>
            </w:pPr>
          </w:p>
        </w:tc>
        <w:tc>
          <w:tcPr>
            <w:tcW w:w="0" w:type="auto"/>
            <w:gridSpan w:val="3"/>
            <w:shd w:val="clear" w:color="auto" w:fill="auto"/>
            <w:vAlign w:val="bottom"/>
          </w:tcPr>
          <w:p w14:paraId="392C34CE" w14:textId="77777777" w:rsidR="00980E5F" w:rsidRDefault="00980E5F">
            <w:pPr>
              <w:rPr>
                <w:rFonts w:ascii="宋体"/>
                <w:vanish/>
              </w:rPr>
            </w:pPr>
          </w:p>
        </w:tc>
      </w:tr>
      <w:tr w:rsidR="00980E5F" w14:paraId="392C34E2" w14:textId="77777777">
        <w:trPr>
          <w:jc w:val="center"/>
          <w:hidden/>
        </w:trPr>
        <w:tc>
          <w:tcPr>
            <w:tcW w:w="0" w:type="auto"/>
            <w:gridSpan w:val="3"/>
            <w:shd w:val="clear" w:color="auto" w:fill="auto"/>
            <w:vAlign w:val="bottom"/>
          </w:tcPr>
          <w:p w14:paraId="392C34D0" w14:textId="77777777" w:rsidR="00980E5F" w:rsidRDefault="00980E5F">
            <w:pPr>
              <w:rPr>
                <w:rFonts w:ascii="宋体"/>
                <w:vanish/>
              </w:rPr>
            </w:pPr>
          </w:p>
        </w:tc>
        <w:tc>
          <w:tcPr>
            <w:tcW w:w="0" w:type="auto"/>
            <w:gridSpan w:val="3"/>
            <w:shd w:val="clear" w:color="auto" w:fill="auto"/>
            <w:vAlign w:val="bottom"/>
          </w:tcPr>
          <w:p w14:paraId="392C34D1" w14:textId="77777777" w:rsidR="00980E5F" w:rsidRDefault="00980E5F">
            <w:pPr>
              <w:rPr>
                <w:rFonts w:ascii="宋体"/>
                <w:vanish/>
              </w:rPr>
            </w:pPr>
          </w:p>
        </w:tc>
        <w:tc>
          <w:tcPr>
            <w:tcW w:w="0" w:type="auto"/>
            <w:gridSpan w:val="3"/>
            <w:shd w:val="clear" w:color="auto" w:fill="auto"/>
            <w:vAlign w:val="bottom"/>
          </w:tcPr>
          <w:p w14:paraId="392C34D2" w14:textId="77777777" w:rsidR="00980E5F" w:rsidRDefault="00980E5F">
            <w:pPr>
              <w:rPr>
                <w:rFonts w:ascii="宋体"/>
                <w:vanish/>
              </w:rPr>
            </w:pPr>
          </w:p>
        </w:tc>
        <w:tc>
          <w:tcPr>
            <w:tcW w:w="0" w:type="auto"/>
            <w:gridSpan w:val="3"/>
            <w:shd w:val="clear" w:color="auto" w:fill="auto"/>
            <w:vAlign w:val="bottom"/>
          </w:tcPr>
          <w:p w14:paraId="392C34D3" w14:textId="77777777" w:rsidR="00980E5F" w:rsidRDefault="00980E5F">
            <w:pPr>
              <w:rPr>
                <w:rFonts w:ascii="宋体"/>
                <w:vanish/>
              </w:rPr>
            </w:pPr>
          </w:p>
        </w:tc>
        <w:tc>
          <w:tcPr>
            <w:tcW w:w="0" w:type="auto"/>
            <w:gridSpan w:val="3"/>
            <w:shd w:val="clear" w:color="auto" w:fill="auto"/>
            <w:vAlign w:val="bottom"/>
          </w:tcPr>
          <w:p w14:paraId="392C34D4" w14:textId="77777777" w:rsidR="00980E5F" w:rsidRDefault="00980E5F">
            <w:pPr>
              <w:rPr>
                <w:rFonts w:ascii="宋体"/>
                <w:vanish/>
              </w:rPr>
            </w:pPr>
          </w:p>
        </w:tc>
        <w:tc>
          <w:tcPr>
            <w:tcW w:w="0" w:type="auto"/>
            <w:gridSpan w:val="3"/>
            <w:shd w:val="clear" w:color="auto" w:fill="auto"/>
            <w:vAlign w:val="bottom"/>
          </w:tcPr>
          <w:p w14:paraId="392C34D5" w14:textId="77777777" w:rsidR="00980E5F" w:rsidRDefault="00980E5F">
            <w:pPr>
              <w:rPr>
                <w:rFonts w:ascii="宋体"/>
                <w:vanish/>
              </w:rPr>
            </w:pPr>
          </w:p>
        </w:tc>
        <w:tc>
          <w:tcPr>
            <w:tcW w:w="0" w:type="auto"/>
            <w:gridSpan w:val="3"/>
            <w:shd w:val="clear" w:color="auto" w:fill="auto"/>
            <w:vAlign w:val="bottom"/>
          </w:tcPr>
          <w:p w14:paraId="392C34D6" w14:textId="77777777" w:rsidR="00980E5F" w:rsidRDefault="00980E5F">
            <w:pPr>
              <w:rPr>
                <w:rFonts w:ascii="宋体"/>
                <w:vanish/>
              </w:rPr>
            </w:pPr>
          </w:p>
        </w:tc>
        <w:tc>
          <w:tcPr>
            <w:tcW w:w="0" w:type="auto"/>
            <w:gridSpan w:val="3"/>
            <w:shd w:val="clear" w:color="auto" w:fill="auto"/>
            <w:vAlign w:val="bottom"/>
          </w:tcPr>
          <w:p w14:paraId="392C34D7" w14:textId="77777777" w:rsidR="00980E5F" w:rsidRDefault="00980E5F">
            <w:pPr>
              <w:rPr>
                <w:rFonts w:ascii="宋体"/>
                <w:vanish/>
              </w:rPr>
            </w:pPr>
          </w:p>
        </w:tc>
        <w:tc>
          <w:tcPr>
            <w:tcW w:w="0" w:type="auto"/>
            <w:gridSpan w:val="3"/>
            <w:shd w:val="clear" w:color="auto" w:fill="auto"/>
            <w:vAlign w:val="bottom"/>
          </w:tcPr>
          <w:p w14:paraId="392C34D8" w14:textId="77777777" w:rsidR="00980E5F" w:rsidRDefault="00980E5F">
            <w:pPr>
              <w:rPr>
                <w:rFonts w:ascii="宋体"/>
                <w:vanish/>
              </w:rPr>
            </w:pPr>
          </w:p>
        </w:tc>
        <w:tc>
          <w:tcPr>
            <w:tcW w:w="0" w:type="auto"/>
            <w:gridSpan w:val="3"/>
            <w:shd w:val="clear" w:color="auto" w:fill="auto"/>
            <w:vAlign w:val="bottom"/>
          </w:tcPr>
          <w:p w14:paraId="392C34D9" w14:textId="77777777" w:rsidR="00980E5F" w:rsidRDefault="00980E5F">
            <w:pPr>
              <w:rPr>
                <w:rFonts w:ascii="宋体"/>
                <w:vanish/>
              </w:rPr>
            </w:pPr>
          </w:p>
        </w:tc>
        <w:tc>
          <w:tcPr>
            <w:tcW w:w="0" w:type="auto"/>
            <w:gridSpan w:val="3"/>
            <w:shd w:val="clear" w:color="auto" w:fill="auto"/>
            <w:vAlign w:val="bottom"/>
          </w:tcPr>
          <w:p w14:paraId="392C34DA" w14:textId="77777777" w:rsidR="00980E5F" w:rsidRDefault="00980E5F">
            <w:pPr>
              <w:rPr>
                <w:rFonts w:ascii="宋体"/>
                <w:vanish/>
              </w:rPr>
            </w:pPr>
          </w:p>
        </w:tc>
        <w:tc>
          <w:tcPr>
            <w:tcW w:w="0" w:type="auto"/>
            <w:gridSpan w:val="3"/>
            <w:shd w:val="clear" w:color="auto" w:fill="auto"/>
            <w:vAlign w:val="bottom"/>
          </w:tcPr>
          <w:p w14:paraId="392C34DB" w14:textId="77777777" w:rsidR="00980E5F" w:rsidRDefault="00980E5F">
            <w:pPr>
              <w:rPr>
                <w:rFonts w:ascii="宋体"/>
                <w:vanish/>
              </w:rPr>
            </w:pPr>
          </w:p>
        </w:tc>
        <w:tc>
          <w:tcPr>
            <w:tcW w:w="0" w:type="auto"/>
            <w:gridSpan w:val="3"/>
            <w:shd w:val="clear" w:color="auto" w:fill="auto"/>
            <w:vAlign w:val="bottom"/>
          </w:tcPr>
          <w:p w14:paraId="392C34DC" w14:textId="77777777" w:rsidR="00980E5F" w:rsidRDefault="00980E5F">
            <w:pPr>
              <w:rPr>
                <w:rFonts w:ascii="宋体"/>
                <w:vanish/>
              </w:rPr>
            </w:pPr>
          </w:p>
        </w:tc>
        <w:tc>
          <w:tcPr>
            <w:tcW w:w="0" w:type="auto"/>
            <w:gridSpan w:val="3"/>
            <w:shd w:val="clear" w:color="auto" w:fill="auto"/>
            <w:vAlign w:val="bottom"/>
          </w:tcPr>
          <w:p w14:paraId="392C34DD" w14:textId="77777777" w:rsidR="00980E5F" w:rsidRDefault="00980E5F">
            <w:pPr>
              <w:rPr>
                <w:rFonts w:ascii="宋体"/>
                <w:vanish/>
              </w:rPr>
            </w:pPr>
          </w:p>
        </w:tc>
        <w:tc>
          <w:tcPr>
            <w:tcW w:w="0" w:type="auto"/>
            <w:gridSpan w:val="3"/>
            <w:shd w:val="clear" w:color="auto" w:fill="auto"/>
            <w:vAlign w:val="bottom"/>
          </w:tcPr>
          <w:p w14:paraId="392C34DE" w14:textId="77777777" w:rsidR="00980E5F" w:rsidRDefault="00980E5F">
            <w:pPr>
              <w:rPr>
                <w:rFonts w:ascii="宋体"/>
                <w:vanish/>
              </w:rPr>
            </w:pPr>
          </w:p>
        </w:tc>
        <w:tc>
          <w:tcPr>
            <w:tcW w:w="0" w:type="auto"/>
            <w:gridSpan w:val="3"/>
            <w:shd w:val="clear" w:color="auto" w:fill="auto"/>
            <w:vAlign w:val="bottom"/>
          </w:tcPr>
          <w:p w14:paraId="392C34DF" w14:textId="77777777" w:rsidR="00980E5F" w:rsidRDefault="00980E5F">
            <w:pPr>
              <w:rPr>
                <w:rFonts w:ascii="宋体"/>
                <w:vanish/>
              </w:rPr>
            </w:pPr>
          </w:p>
        </w:tc>
        <w:tc>
          <w:tcPr>
            <w:tcW w:w="0" w:type="auto"/>
            <w:gridSpan w:val="3"/>
            <w:shd w:val="clear" w:color="auto" w:fill="auto"/>
            <w:vAlign w:val="bottom"/>
          </w:tcPr>
          <w:p w14:paraId="392C34E0" w14:textId="77777777" w:rsidR="00980E5F" w:rsidRDefault="00980E5F">
            <w:pPr>
              <w:rPr>
                <w:rFonts w:ascii="宋体"/>
                <w:vanish/>
              </w:rPr>
            </w:pPr>
          </w:p>
        </w:tc>
        <w:tc>
          <w:tcPr>
            <w:tcW w:w="0" w:type="auto"/>
            <w:gridSpan w:val="3"/>
            <w:shd w:val="clear" w:color="auto" w:fill="auto"/>
            <w:vAlign w:val="bottom"/>
          </w:tcPr>
          <w:p w14:paraId="392C34E1" w14:textId="77777777" w:rsidR="00980E5F" w:rsidRDefault="00980E5F">
            <w:pPr>
              <w:rPr>
                <w:rFonts w:ascii="宋体"/>
                <w:vanish/>
              </w:rPr>
            </w:pPr>
          </w:p>
        </w:tc>
      </w:tr>
      <w:tr w:rsidR="00980E5F" w14:paraId="392C34F5" w14:textId="77777777">
        <w:trPr>
          <w:jc w:val="center"/>
          <w:hidden/>
        </w:trPr>
        <w:tc>
          <w:tcPr>
            <w:tcW w:w="0" w:type="auto"/>
            <w:gridSpan w:val="3"/>
            <w:shd w:val="clear" w:color="auto" w:fill="auto"/>
            <w:vAlign w:val="bottom"/>
          </w:tcPr>
          <w:p w14:paraId="392C34E3" w14:textId="77777777" w:rsidR="00980E5F" w:rsidRDefault="00980E5F">
            <w:pPr>
              <w:rPr>
                <w:rFonts w:ascii="宋体"/>
                <w:vanish/>
              </w:rPr>
            </w:pPr>
          </w:p>
        </w:tc>
        <w:tc>
          <w:tcPr>
            <w:tcW w:w="0" w:type="auto"/>
            <w:gridSpan w:val="3"/>
            <w:shd w:val="clear" w:color="auto" w:fill="auto"/>
            <w:vAlign w:val="bottom"/>
          </w:tcPr>
          <w:p w14:paraId="392C34E4" w14:textId="77777777" w:rsidR="00980E5F" w:rsidRDefault="00980E5F">
            <w:pPr>
              <w:rPr>
                <w:rFonts w:ascii="宋体"/>
                <w:vanish/>
              </w:rPr>
            </w:pPr>
          </w:p>
        </w:tc>
        <w:tc>
          <w:tcPr>
            <w:tcW w:w="0" w:type="auto"/>
            <w:gridSpan w:val="3"/>
            <w:shd w:val="clear" w:color="auto" w:fill="auto"/>
            <w:vAlign w:val="bottom"/>
          </w:tcPr>
          <w:p w14:paraId="392C34E5" w14:textId="77777777" w:rsidR="00980E5F" w:rsidRDefault="00980E5F">
            <w:pPr>
              <w:rPr>
                <w:rFonts w:ascii="宋体"/>
                <w:vanish/>
              </w:rPr>
            </w:pPr>
          </w:p>
        </w:tc>
        <w:tc>
          <w:tcPr>
            <w:tcW w:w="0" w:type="auto"/>
            <w:gridSpan w:val="3"/>
            <w:shd w:val="clear" w:color="auto" w:fill="auto"/>
            <w:vAlign w:val="bottom"/>
          </w:tcPr>
          <w:p w14:paraId="392C34E6" w14:textId="77777777" w:rsidR="00980E5F" w:rsidRDefault="00980E5F">
            <w:pPr>
              <w:rPr>
                <w:rFonts w:ascii="宋体"/>
                <w:vanish/>
              </w:rPr>
            </w:pPr>
          </w:p>
        </w:tc>
        <w:tc>
          <w:tcPr>
            <w:tcW w:w="0" w:type="auto"/>
            <w:gridSpan w:val="3"/>
            <w:shd w:val="clear" w:color="auto" w:fill="auto"/>
            <w:vAlign w:val="bottom"/>
          </w:tcPr>
          <w:p w14:paraId="392C34E7" w14:textId="77777777" w:rsidR="00980E5F" w:rsidRDefault="00980E5F">
            <w:pPr>
              <w:rPr>
                <w:rFonts w:ascii="宋体"/>
                <w:vanish/>
              </w:rPr>
            </w:pPr>
          </w:p>
        </w:tc>
        <w:tc>
          <w:tcPr>
            <w:tcW w:w="0" w:type="auto"/>
            <w:gridSpan w:val="3"/>
            <w:shd w:val="clear" w:color="auto" w:fill="auto"/>
            <w:vAlign w:val="bottom"/>
          </w:tcPr>
          <w:p w14:paraId="392C34E8" w14:textId="77777777" w:rsidR="00980E5F" w:rsidRDefault="00980E5F">
            <w:pPr>
              <w:rPr>
                <w:rFonts w:ascii="宋体"/>
                <w:vanish/>
              </w:rPr>
            </w:pPr>
          </w:p>
        </w:tc>
        <w:tc>
          <w:tcPr>
            <w:tcW w:w="0" w:type="auto"/>
            <w:gridSpan w:val="3"/>
            <w:shd w:val="clear" w:color="auto" w:fill="auto"/>
            <w:vAlign w:val="bottom"/>
          </w:tcPr>
          <w:p w14:paraId="392C34E9" w14:textId="77777777" w:rsidR="00980E5F" w:rsidRDefault="00980E5F">
            <w:pPr>
              <w:rPr>
                <w:rFonts w:ascii="宋体"/>
                <w:vanish/>
              </w:rPr>
            </w:pPr>
          </w:p>
        </w:tc>
        <w:tc>
          <w:tcPr>
            <w:tcW w:w="0" w:type="auto"/>
            <w:gridSpan w:val="3"/>
            <w:shd w:val="clear" w:color="auto" w:fill="auto"/>
            <w:vAlign w:val="bottom"/>
          </w:tcPr>
          <w:p w14:paraId="392C34EA" w14:textId="77777777" w:rsidR="00980E5F" w:rsidRDefault="00980E5F">
            <w:pPr>
              <w:rPr>
                <w:rFonts w:ascii="宋体"/>
                <w:vanish/>
              </w:rPr>
            </w:pPr>
          </w:p>
        </w:tc>
        <w:tc>
          <w:tcPr>
            <w:tcW w:w="0" w:type="auto"/>
            <w:gridSpan w:val="3"/>
            <w:shd w:val="clear" w:color="auto" w:fill="auto"/>
            <w:vAlign w:val="bottom"/>
          </w:tcPr>
          <w:p w14:paraId="392C34EB" w14:textId="77777777" w:rsidR="00980E5F" w:rsidRDefault="00980E5F">
            <w:pPr>
              <w:rPr>
                <w:rFonts w:ascii="宋体"/>
                <w:vanish/>
              </w:rPr>
            </w:pPr>
          </w:p>
        </w:tc>
        <w:tc>
          <w:tcPr>
            <w:tcW w:w="0" w:type="auto"/>
            <w:gridSpan w:val="3"/>
            <w:shd w:val="clear" w:color="auto" w:fill="auto"/>
            <w:vAlign w:val="bottom"/>
          </w:tcPr>
          <w:p w14:paraId="392C34EC" w14:textId="77777777" w:rsidR="00980E5F" w:rsidRDefault="00980E5F">
            <w:pPr>
              <w:rPr>
                <w:rFonts w:ascii="宋体"/>
                <w:vanish/>
              </w:rPr>
            </w:pPr>
          </w:p>
        </w:tc>
        <w:tc>
          <w:tcPr>
            <w:tcW w:w="0" w:type="auto"/>
            <w:gridSpan w:val="3"/>
            <w:shd w:val="clear" w:color="auto" w:fill="auto"/>
            <w:vAlign w:val="bottom"/>
          </w:tcPr>
          <w:p w14:paraId="392C34ED" w14:textId="77777777" w:rsidR="00980E5F" w:rsidRDefault="00980E5F">
            <w:pPr>
              <w:rPr>
                <w:rFonts w:ascii="宋体"/>
                <w:vanish/>
              </w:rPr>
            </w:pPr>
          </w:p>
        </w:tc>
        <w:tc>
          <w:tcPr>
            <w:tcW w:w="0" w:type="auto"/>
            <w:gridSpan w:val="3"/>
            <w:shd w:val="clear" w:color="auto" w:fill="auto"/>
            <w:vAlign w:val="bottom"/>
          </w:tcPr>
          <w:p w14:paraId="392C34EE" w14:textId="77777777" w:rsidR="00980E5F" w:rsidRDefault="00980E5F">
            <w:pPr>
              <w:rPr>
                <w:rFonts w:ascii="宋体"/>
                <w:vanish/>
              </w:rPr>
            </w:pPr>
          </w:p>
        </w:tc>
        <w:tc>
          <w:tcPr>
            <w:tcW w:w="0" w:type="auto"/>
            <w:gridSpan w:val="3"/>
            <w:shd w:val="clear" w:color="auto" w:fill="auto"/>
            <w:vAlign w:val="bottom"/>
          </w:tcPr>
          <w:p w14:paraId="392C34EF" w14:textId="77777777" w:rsidR="00980E5F" w:rsidRDefault="00980E5F">
            <w:pPr>
              <w:rPr>
                <w:rFonts w:ascii="宋体"/>
                <w:vanish/>
              </w:rPr>
            </w:pPr>
          </w:p>
        </w:tc>
        <w:tc>
          <w:tcPr>
            <w:tcW w:w="0" w:type="auto"/>
            <w:gridSpan w:val="3"/>
            <w:shd w:val="clear" w:color="auto" w:fill="auto"/>
            <w:vAlign w:val="bottom"/>
          </w:tcPr>
          <w:p w14:paraId="392C34F0" w14:textId="77777777" w:rsidR="00980E5F" w:rsidRDefault="00980E5F">
            <w:pPr>
              <w:rPr>
                <w:rFonts w:ascii="宋体"/>
                <w:vanish/>
              </w:rPr>
            </w:pPr>
          </w:p>
        </w:tc>
        <w:tc>
          <w:tcPr>
            <w:tcW w:w="0" w:type="auto"/>
            <w:gridSpan w:val="3"/>
            <w:shd w:val="clear" w:color="auto" w:fill="auto"/>
            <w:vAlign w:val="bottom"/>
          </w:tcPr>
          <w:p w14:paraId="392C34F1" w14:textId="77777777" w:rsidR="00980E5F" w:rsidRDefault="00980E5F">
            <w:pPr>
              <w:rPr>
                <w:rFonts w:ascii="宋体"/>
                <w:vanish/>
              </w:rPr>
            </w:pPr>
          </w:p>
        </w:tc>
        <w:tc>
          <w:tcPr>
            <w:tcW w:w="0" w:type="auto"/>
            <w:gridSpan w:val="3"/>
            <w:shd w:val="clear" w:color="auto" w:fill="auto"/>
            <w:vAlign w:val="bottom"/>
          </w:tcPr>
          <w:p w14:paraId="392C34F2" w14:textId="77777777" w:rsidR="00980E5F" w:rsidRDefault="00980E5F">
            <w:pPr>
              <w:rPr>
                <w:rFonts w:ascii="宋体"/>
                <w:vanish/>
              </w:rPr>
            </w:pPr>
          </w:p>
        </w:tc>
        <w:tc>
          <w:tcPr>
            <w:tcW w:w="0" w:type="auto"/>
            <w:gridSpan w:val="3"/>
            <w:shd w:val="clear" w:color="auto" w:fill="auto"/>
            <w:vAlign w:val="bottom"/>
          </w:tcPr>
          <w:p w14:paraId="392C34F3" w14:textId="77777777" w:rsidR="00980E5F" w:rsidRDefault="00980E5F">
            <w:pPr>
              <w:rPr>
                <w:rFonts w:ascii="宋体"/>
                <w:vanish/>
              </w:rPr>
            </w:pPr>
          </w:p>
        </w:tc>
        <w:tc>
          <w:tcPr>
            <w:tcW w:w="0" w:type="auto"/>
            <w:gridSpan w:val="3"/>
            <w:shd w:val="clear" w:color="auto" w:fill="auto"/>
            <w:vAlign w:val="bottom"/>
          </w:tcPr>
          <w:p w14:paraId="392C34F4" w14:textId="77777777" w:rsidR="00980E5F" w:rsidRDefault="00980E5F">
            <w:pPr>
              <w:rPr>
                <w:rFonts w:ascii="宋体"/>
                <w:vanish/>
              </w:rPr>
            </w:pPr>
          </w:p>
        </w:tc>
      </w:tr>
      <w:tr w:rsidR="00980E5F" w14:paraId="392C3508" w14:textId="77777777">
        <w:trPr>
          <w:jc w:val="center"/>
          <w:hidden/>
        </w:trPr>
        <w:tc>
          <w:tcPr>
            <w:tcW w:w="0" w:type="auto"/>
            <w:gridSpan w:val="3"/>
            <w:shd w:val="clear" w:color="auto" w:fill="auto"/>
            <w:vAlign w:val="bottom"/>
          </w:tcPr>
          <w:p w14:paraId="392C34F6" w14:textId="77777777" w:rsidR="00980E5F" w:rsidRDefault="00980E5F">
            <w:pPr>
              <w:rPr>
                <w:rFonts w:ascii="宋体"/>
                <w:vanish/>
              </w:rPr>
            </w:pPr>
          </w:p>
        </w:tc>
        <w:tc>
          <w:tcPr>
            <w:tcW w:w="0" w:type="auto"/>
            <w:gridSpan w:val="3"/>
            <w:shd w:val="clear" w:color="auto" w:fill="auto"/>
            <w:vAlign w:val="bottom"/>
          </w:tcPr>
          <w:p w14:paraId="392C34F7" w14:textId="77777777" w:rsidR="00980E5F" w:rsidRDefault="00980E5F">
            <w:pPr>
              <w:rPr>
                <w:rFonts w:ascii="宋体"/>
                <w:vanish/>
              </w:rPr>
            </w:pPr>
          </w:p>
        </w:tc>
        <w:tc>
          <w:tcPr>
            <w:tcW w:w="0" w:type="auto"/>
            <w:gridSpan w:val="3"/>
            <w:shd w:val="clear" w:color="auto" w:fill="auto"/>
            <w:vAlign w:val="bottom"/>
          </w:tcPr>
          <w:p w14:paraId="392C34F8" w14:textId="77777777" w:rsidR="00980E5F" w:rsidRDefault="00980E5F">
            <w:pPr>
              <w:rPr>
                <w:rFonts w:ascii="宋体"/>
                <w:vanish/>
              </w:rPr>
            </w:pPr>
          </w:p>
        </w:tc>
        <w:tc>
          <w:tcPr>
            <w:tcW w:w="0" w:type="auto"/>
            <w:gridSpan w:val="3"/>
            <w:shd w:val="clear" w:color="auto" w:fill="auto"/>
            <w:vAlign w:val="bottom"/>
          </w:tcPr>
          <w:p w14:paraId="392C34F9" w14:textId="77777777" w:rsidR="00980E5F" w:rsidRDefault="00980E5F">
            <w:pPr>
              <w:rPr>
                <w:rFonts w:ascii="宋体"/>
                <w:vanish/>
              </w:rPr>
            </w:pPr>
          </w:p>
        </w:tc>
        <w:tc>
          <w:tcPr>
            <w:tcW w:w="0" w:type="auto"/>
            <w:gridSpan w:val="3"/>
            <w:shd w:val="clear" w:color="auto" w:fill="auto"/>
            <w:vAlign w:val="bottom"/>
          </w:tcPr>
          <w:p w14:paraId="392C34FA" w14:textId="77777777" w:rsidR="00980E5F" w:rsidRDefault="00980E5F">
            <w:pPr>
              <w:rPr>
                <w:rFonts w:ascii="宋体"/>
                <w:vanish/>
              </w:rPr>
            </w:pPr>
          </w:p>
        </w:tc>
        <w:tc>
          <w:tcPr>
            <w:tcW w:w="0" w:type="auto"/>
            <w:gridSpan w:val="3"/>
            <w:shd w:val="clear" w:color="auto" w:fill="auto"/>
            <w:vAlign w:val="bottom"/>
          </w:tcPr>
          <w:p w14:paraId="392C34FB" w14:textId="77777777" w:rsidR="00980E5F" w:rsidRDefault="00980E5F">
            <w:pPr>
              <w:rPr>
                <w:rFonts w:ascii="宋体"/>
                <w:vanish/>
              </w:rPr>
            </w:pPr>
          </w:p>
        </w:tc>
        <w:tc>
          <w:tcPr>
            <w:tcW w:w="0" w:type="auto"/>
            <w:gridSpan w:val="3"/>
            <w:shd w:val="clear" w:color="auto" w:fill="auto"/>
            <w:vAlign w:val="bottom"/>
          </w:tcPr>
          <w:p w14:paraId="392C34FC" w14:textId="77777777" w:rsidR="00980E5F" w:rsidRDefault="00980E5F">
            <w:pPr>
              <w:rPr>
                <w:rFonts w:ascii="宋体"/>
                <w:vanish/>
              </w:rPr>
            </w:pPr>
          </w:p>
        </w:tc>
        <w:tc>
          <w:tcPr>
            <w:tcW w:w="0" w:type="auto"/>
            <w:gridSpan w:val="3"/>
            <w:shd w:val="clear" w:color="auto" w:fill="auto"/>
            <w:vAlign w:val="bottom"/>
          </w:tcPr>
          <w:p w14:paraId="392C34FD" w14:textId="77777777" w:rsidR="00980E5F" w:rsidRDefault="00980E5F">
            <w:pPr>
              <w:rPr>
                <w:rFonts w:ascii="宋体"/>
                <w:vanish/>
              </w:rPr>
            </w:pPr>
          </w:p>
        </w:tc>
        <w:tc>
          <w:tcPr>
            <w:tcW w:w="0" w:type="auto"/>
            <w:gridSpan w:val="3"/>
            <w:shd w:val="clear" w:color="auto" w:fill="auto"/>
            <w:vAlign w:val="bottom"/>
          </w:tcPr>
          <w:p w14:paraId="392C34FE" w14:textId="77777777" w:rsidR="00980E5F" w:rsidRDefault="00980E5F">
            <w:pPr>
              <w:rPr>
                <w:rFonts w:ascii="宋体"/>
                <w:vanish/>
              </w:rPr>
            </w:pPr>
          </w:p>
        </w:tc>
        <w:tc>
          <w:tcPr>
            <w:tcW w:w="0" w:type="auto"/>
            <w:gridSpan w:val="3"/>
            <w:shd w:val="clear" w:color="auto" w:fill="auto"/>
            <w:vAlign w:val="bottom"/>
          </w:tcPr>
          <w:p w14:paraId="392C34FF" w14:textId="77777777" w:rsidR="00980E5F" w:rsidRDefault="00980E5F">
            <w:pPr>
              <w:rPr>
                <w:rFonts w:ascii="宋体"/>
                <w:vanish/>
              </w:rPr>
            </w:pPr>
          </w:p>
        </w:tc>
        <w:tc>
          <w:tcPr>
            <w:tcW w:w="0" w:type="auto"/>
            <w:gridSpan w:val="3"/>
            <w:shd w:val="clear" w:color="auto" w:fill="auto"/>
            <w:vAlign w:val="bottom"/>
          </w:tcPr>
          <w:p w14:paraId="392C3500" w14:textId="77777777" w:rsidR="00980E5F" w:rsidRDefault="00980E5F">
            <w:pPr>
              <w:rPr>
                <w:rFonts w:ascii="宋体"/>
                <w:vanish/>
              </w:rPr>
            </w:pPr>
          </w:p>
        </w:tc>
        <w:tc>
          <w:tcPr>
            <w:tcW w:w="0" w:type="auto"/>
            <w:gridSpan w:val="3"/>
            <w:shd w:val="clear" w:color="auto" w:fill="auto"/>
            <w:vAlign w:val="bottom"/>
          </w:tcPr>
          <w:p w14:paraId="392C3501" w14:textId="77777777" w:rsidR="00980E5F" w:rsidRDefault="00980E5F">
            <w:pPr>
              <w:rPr>
                <w:rFonts w:ascii="宋体"/>
                <w:vanish/>
              </w:rPr>
            </w:pPr>
          </w:p>
        </w:tc>
        <w:tc>
          <w:tcPr>
            <w:tcW w:w="0" w:type="auto"/>
            <w:gridSpan w:val="3"/>
            <w:shd w:val="clear" w:color="auto" w:fill="auto"/>
            <w:vAlign w:val="bottom"/>
          </w:tcPr>
          <w:p w14:paraId="392C3502" w14:textId="77777777" w:rsidR="00980E5F" w:rsidRDefault="00980E5F">
            <w:pPr>
              <w:rPr>
                <w:rFonts w:ascii="宋体"/>
                <w:vanish/>
              </w:rPr>
            </w:pPr>
          </w:p>
        </w:tc>
        <w:tc>
          <w:tcPr>
            <w:tcW w:w="0" w:type="auto"/>
            <w:gridSpan w:val="3"/>
            <w:shd w:val="clear" w:color="auto" w:fill="auto"/>
            <w:vAlign w:val="bottom"/>
          </w:tcPr>
          <w:p w14:paraId="392C3503" w14:textId="77777777" w:rsidR="00980E5F" w:rsidRDefault="00980E5F">
            <w:pPr>
              <w:rPr>
                <w:rFonts w:ascii="宋体"/>
                <w:vanish/>
              </w:rPr>
            </w:pPr>
          </w:p>
        </w:tc>
        <w:tc>
          <w:tcPr>
            <w:tcW w:w="0" w:type="auto"/>
            <w:gridSpan w:val="3"/>
            <w:shd w:val="clear" w:color="auto" w:fill="auto"/>
            <w:vAlign w:val="bottom"/>
          </w:tcPr>
          <w:p w14:paraId="392C3504" w14:textId="77777777" w:rsidR="00980E5F" w:rsidRDefault="00980E5F">
            <w:pPr>
              <w:rPr>
                <w:rFonts w:ascii="宋体"/>
                <w:vanish/>
              </w:rPr>
            </w:pPr>
          </w:p>
        </w:tc>
        <w:tc>
          <w:tcPr>
            <w:tcW w:w="0" w:type="auto"/>
            <w:gridSpan w:val="3"/>
            <w:shd w:val="clear" w:color="auto" w:fill="auto"/>
            <w:vAlign w:val="bottom"/>
          </w:tcPr>
          <w:p w14:paraId="392C3505" w14:textId="77777777" w:rsidR="00980E5F" w:rsidRDefault="00980E5F">
            <w:pPr>
              <w:rPr>
                <w:rFonts w:ascii="宋体"/>
                <w:vanish/>
              </w:rPr>
            </w:pPr>
          </w:p>
        </w:tc>
        <w:tc>
          <w:tcPr>
            <w:tcW w:w="0" w:type="auto"/>
            <w:gridSpan w:val="3"/>
            <w:shd w:val="clear" w:color="auto" w:fill="auto"/>
            <w:vAlign w:val="bottom"/>
          </w:tcPr>
          <w:p w14:paraId="392C3506" w14:textId="77777777" w:rsidR="00980E5F" w:rsidRDefault="00980E5F">
            <w:pPr>
              <w:rPr>
                <w:rFonts w:ascii="宋体"/>
                <w:vanish/>
              </w:rPr>
            </w:pPr>
          </w:p>
        </w:tc>
        <w:tc>
          <w:tcPr>
            <w:tcW w:w="0" w:type="auto"/>
            <w:gridSpan w:val="3"/>
            <w:shd w:val="clear" w:color="auto" w:fill="auto"/>
            <w:vAlign w:val="bottom"/>
          </w:tcPr>
          <w:p w14:paraId="392C3507" w14:textId="77777777" w:rsidR="00980E5F" w:rsidRDefault="00980E5F">
            <w:pPr>
              <w:rPr>
                <w:rFonts w:ascii="宋体"/>
                <w:vanish/>
              </w:rPr>
            </w:pPr>
          </w:p>
        </w:tc>
      </w:tr>
      <w:tr w:rsidR="00980E5F" w14:paraId="392C351B" w14:textId="77777777">
        <w:trPr>
          <w:jc w:val="center"/>
          <w:hidden/>
        </w:trPr>
        <w:tc>
          <w:tcPr>
            <w:tcW w:w="0" w:type="auto"/>
            <w:gridSpan w:val="3"/>
            <w:shd w:val="clear" w:color="auto" w:fill="auto"/>
            <w:vAlign w:val="bottom"/>
          </w:tcPr>
          <w:p w14:paraId="392C3509" w14:textId="77777777" w:rsidR="00980E5F" w:rsidRDefault="00980E5F">
            <w:pPr>
              <w:rPr>
                <w:rFonts w:ascii="宋体"/>
                <w:vanish/>
              </w:rPr>
            </w:pPr>
          </w:p>
        </w:tc>
        <w:tc>
          <w:tcPr>
            <w:tcW w:w="0" w:type="auto"/>
            <w:gridSpan w:val="3"/>
            <w:shd w:val="clear" w:color="auto" w:fill="auto"/>
            <w:vAlign w:val="bottom"/>
          </w:tcPr>
          <w:p w14:paraId="392C350A" w14:textId="77777777" w:rsidR="00980E5F" w:rsidRDefault="00980E5F">
            <w:pPr>
              <w:rPr>
                <w:rFonts w:ascii="宋体"/>
                <w:vanish/>
              </w:rPr>
            </w:pPr>
          </w:p>
        </w:tc>
        <w:tc>
          <w:tcPr>
            <w:tcW w:w="0" w:type="auto"/>
            <w:gridSpan w:val="3"/>
            <w:shd w:val="clear" w:color="auto" w:fill="auto"/>
            <w:vAlign w:val="bottom"/>
          </w:tcPr>
          <w:p w14:paraId="392C350B" w14:textId="77777777" w:rsidR="00980E5F" w:rsidRDefault="00980E5F">
            <w:pPr>
              <w:rPr>
                <w:rFonts w:ascii="宋体"/>
                <w:vanish/>
              </w:rPr>
            </w:pPr>
          </w:p>
        </w:tc>
        <w:tc>
          <w:tcPr>
            <w:tcW w:w="0" w:type="auto"/>
            <w:gridSpan w:val="3"/>
            <w:shd w:val="clear" w:color="auto" w:fill="auto"/>
            <w:vAlign w:val="bottom"/>
          </w:tcPr>
          <w:p w14:paraId="392C350C" w14:textId="77777777" w:rsidR="00980E5F" w:rsidRDefault="00980E5F">
            <w:pPr>
              <w:rPr>
                <w:rFonts w:ascii="宋体"/>
                <w:vanish/>
              </w:rPr>
            </w:pPr>
          </w:p>
        </w:tc>
        <w:tc>
          <w:tcPr>
            <w:tcW w:w="0" w:type="auto"/>
            <w:gridSpan w:val="3"/>
            <w:shd w:val="clear" w:color="auto" w:fill="auto"/>
            <w:vAlign w:val="bottom"/>
          </w:tcPr>
          <w:p w14:paraId="392C350D" w14:textId="77777777" w:rsidR="00980E5F" w:rsidRDefault="00980E5F">
            <w:pPr>
              <w:rPr>
                <w:rFonts w:ascii="宋体"/>
                <w:vanish/>
              </w:rPr>
            </w:pPr>
          </w:p>
        </w:tc>
        <w:tc>
          <w:tcPr>
            <w:tcW w:w="0" w:type="auto"/>
            <w:gridSpan w:val="3"/>
            <w:shd w:val="clear" w:color="auto" w:fill="auto"/>
            <w:vAlign w:val="bottom"/>
          </w:tcPr>
          <w:p w14:paraId="392C350E" w14:textId="77777777" w:rsidR="00980E5F" w:rsidRDefault="00980E5F">
            <w:pPr>
              <w:rPr>
                <w:rFonts w:ascii="宋体"/>
                <w:vanish/>
              </w:rPr>
            </w:pPr>
          </w:p>
        </w:tc>
        <w:tc>
          <w:tcPr>
            <w:tcW w:w="0" w:type="auto"/>
            <w:gridSpan w:val="3"/>
            <w:shd w:val="clear" w:color="auto" w:fill="auto"/>
            <w:vAlign w:val="bottom"/>
          </w:tcPr>
          <w:p w14:paraId="392C350F" w14:textId="77777777" w:rsidR="00980E5F" w:rsidRDefault="00980E5F">
            <w:pPr>
              <w:rPr>
                <w:rFonts w:ascii="宋体"/>
                <w:vanish/>
              </w:rPr>
            </w:pPr>
          </w:p>
        </w:tc>
        <w:tc>
          <w:tcPr>
            <w:tcW w:w="0" w:type="auto"/>
            <w:gridSpan w:val="3"/>
            <w:shd w:val="clear" w:color="auto" w:fill="auto"/>
            <w:vAlign w:val="bottom"/>
          </w:tcPr>
          <w:p w14:paraId="392C3510" w14:textId="77777777" w:rsidR="00980E5F" w:rsidRDefault="00980E5F">
            <w:pPr>
              <w:rPr>
                <w:rFonts w:ascii="宋体"/>
                <w:vanish/>
              </w:rPr>
            </w:pPr>
          </w:p>
        </w:tc>
        <w:tc>
          <w:tcPr>
            <w:tcW w:w="0" w:type="auto"/>
            <w:gridSpan w:val="3"/>
            <w:shd w:val="clear" w:color="auto" w:fill="auto"/>
            <w:vAlign w:val="bottom"/>
          </w:tcPr>
          <w:p w14:paraId="392C3511" w14:textId="77777777" w:rsidR="00980E5F" w:rsidRDefault="00980E5F">
            <w:pPr>
              <w:rPr>
                <w:rFonts w:ascii="宋体"/>
                <w:vanish/>
              </w:rPr>
            </w:pPr>
          </w:p>
        </w:tc>
        <w:tc>
          <w:tcPr>
            <w:tcW w:w="0" w:type="auto"/>
            <w:gridSpan w:val="3"/>
            <w:shd w:val="clear" w:color="auto" w:fill="auto"/>
            <w:vAlign w:val="bottom"/>
          </w:tcPr>
          <w:p w14:paraId="392C3512" w14:textId="77777777" w:rsidR="00980E5F" w:rsidRDefault="00980E5F">
            <w:pPr>
              <w:rPr>
                <w:rFonts w:ascii="宋体"/>
                <w:vanish/>
              </w:rPr>
            </w:pPr>
          </w:p>
        </w:tc>
        <w:tc>
          <w:tcPr>
            <w:tcW w:w="0" w:type="auto"/>
            <w:gridSpan w:val="3"/>
            <w:shd w:val="clear" w:color="auto" w:fill="auto"/>
            <w:vAlign w:val="bottom"/>
          </w:tcPr>
          <w:p w14:paraId="392C3513" w14:textId="77777777" w:rsidR="00980E5F" w:rsidRDefault="00980E5F">
            <w:pPr>
              <w:rPr>
                <w:rFonts w:ascii="宋体"/>
                <w:vanish/>
              </w:rPr>
            </w:pPr>
          </w:p>
        </w:tc>
        <w:tc>
          <w:tcPr>
            <w:tcW w:w="0" w:type="auto"/>
            <w:gridSpan w:val="3"/>
            <w:shd w:val="clear" w:color="auto" w:fill="auto"/>
            <w:vAlign w:val="bottom"/>
          </w:tcPr>
          <w:p w14:paraId="392C3514" w14:textId="77777777" w:rsidR="00980E5F" w:rsidRDefault="00980E5F">
            <w:pPr>
              <w:rPr>
                <w:rFonts w:ascii="宋体"/>
                <w:vanish/>
              </w:rPr>
            </w:pPr>
          </w:p>
        </w:tc>
        <w:tc>
          <w:tcPr>
            <w:tcW w:w="0" w:type="auto"/>
            <w:gridSpan w:val="3"/>
            <w:shd w:val="clear" w:color="auto" w:fill="auto"/>
            <w:vAlign w:val="bottom"/>
          </w:tcPr>
          <w:p w14:paraId="392C3515" w14:textId="77777777" w:rsidR="00980E5F" w:rsidRDefault="00980E5F">
            <w:pPr>
              <w:rPr>
                <w:rFonts w:ascii="宋体"/>
                <w:vanish/>
              </w:rPr>
            </w:pPr>
          </w:p>
        </w:tc>
        <w:tc>
          <w:tcPr>
            <w:tcW w:w="0" w:type="auto"/>
            <w:gridSpan w:val="3"/>
            <w:shd w:val="clear" w:color="auto" w:fill="auto"/>
            <w:vAlign w:val="bottom"/>
          </w:tcPr>
          <w:p w14:paraId="392C3516" w14:textId="77777777" w:rsidR="00980E5F" w:rsidRDefault="00980E5F">
            <w:pPr>
              <w:rPr>
                <w:rFonts w:ascii="宋体"/>
                <w:vanish/>
              </w:rPr>
            </w:pPr>
          </w:p>
        </w:tc>
        <w:tc>
          <w:tcPr>
            <w:tcW w:w="0" w:type="auto"/>
            <w:gridSpan w:val="3"/>
            <w:shd w:val="clear" w:color="auto" w:fill="auto"/>
            <w:vAlign w:val="bottom"/>
          </w:tcPr>
          <w:p w14:paraId="392C3517" w14:textId="77777777" w:rsidR="00980E5F" w:rsidRDefault="00980E5F">
            <w:pPr>
              <w:rPr>
                <w:rFonts w:ascii="宋体"/>
                <w:vanish/>
              </w:rPr>
            </w:pPr>
          </w:p>
        </w:tc>
        <w:tc>
          <w:tcPr>
            <w:tcW w:w="0" w:type="auto"/>
            <w:gridSpan w:val="3"/>
            <w:shd w:val="clear" w:color="auto" w:fill="auto"/>
            <w:vAlign w:val="bottom"/>
          </w:tcPr>
          <w:p w14:paraId="392C3518" w14:textId="77777777" w:rsidR="00980E5F" w:rsidRDefault="00980E5F">
            <w:pPr>
              <w:rPr>
                <w:rFonts w:ascii="宋体"/>
                <w:vanish/>
              </w:rPr>
            </w:pPr>
          </w:p>
        </w:tc>
        <w:tc>
          <w:tcPr>
            <w:tcW w:w="0" w:type="auto"/>
            <w:gridSpan w:val="3"/>
            <w:shd w:val="clear" w:color="auto" w:fill="auto"/>
            <w:vAlign w:val="bottom"/>
          </w:tcPr>
          <w:p w14:paraId="392C3519" w14:textId="77777777" w:rsidR="00980E5F" w:rsidRDefault="00980E5F">
            <w:pPr>
              <w:rPr>
                <w:rFonts w:ascii="宋体"/>
                <w:vanish/>
              </w:rPr>
            </w:pPr>
          </w:p>
        </w:tc>
        <w:tc>
          <w:tcPr>
            <w:tcW w:w="0" w:type="auto"/>
            <w:gridSpan w:val="3"/>
            <w:shd w:val="clear" w:color="auto" w:fill="auto"/>
            <w:vAlign w:val="bottom"/>
          </w:tcPr>
          <w:p w14:paraId="392C351A" w14:textId="77777777" w:rsidR="00980E5F" w:rsidRDefault="00980E5F">
            <w:pPr>
              <w:rPr>
                <w:rFonts w:ascii="宋体"/>
                <w:vanish/>
              </w:rPr>
            </w:pPr>
          </w:p>
        </w:tc>
      </w:tr>
      <w:tr w:rsidR="00980E5F" w14:paraId="392C352E" w14:textId="77777777">
        <w:trPr>
          <w:jc w:val="center"/>
          <w:hidden/>
        </w:trPr>
        <w:tc>
          <w:tcPr>
            <w:tcW w:w="0" w:type="auto"/>
            <w:gridSpan w:val="3"/>
            <w:shd w:val="clear" w:color="auto" w:fill="auto"/>
            <w:vAlign w:val="bottom"/>
          </w:tcPr>
          <w:p w14:paraId="392C351C" w14:textId="77777777" w:rsidR="00980E5F" w:rsidRDefault="00980E5F">
            <w:pPr>
              <w:rPr>
                <w:rFonts w:ascii="宋体"/>
                <w:vanish/>
              </w:rPr>
            </w:pPr>
          </w:p>
        </w:tc>
        <w:tc>
          <w:tcPr>
            <w:tcW w:w="0" w:type="auto"/>
            <w:gridSpan w:val="3"/>
            <w:shd w:val="clear" w:color="auto" w:fill="auto"/>
            <w:vAlign w:val="bottom"/>
          </w:tcPr>
          <w:p w14:paraId="392C351D" w14:textId="77777777" w:rsidR="00980E5F" w:rsidRDefault="00980E5F">
            <w:pPr>
              <w:rPr>
                <w:rFonts w:ascii="宋体"/>
                <w:vanish/>
              </w:rPr>
            </w:pPr>
          </w:p>
        </w:tc>
        <w:tc>
          <w:tcPr>
            <w:tcW w:w="0" w:type="auto"/>
            <w:gridSpan w:val="3"/>
            <w:shd w:val="clear" w:color="auto" w:fill="auto"/>
            <w:vAlign w:val="bottom"/>
          </w:tcPr>
          <w:p w14:paraId="392C351E" w14:textId="77777777" w:rsidR="00980E5F" w:rsidRDefault="00980E5F">
            <w:pPr>
              <w:rPr>
                <w:rFonts w:ascii="宋体"/>
                <w:vanish/>
              </w:rPr>
            </w:pPr>
          </w:p>
        </w:tc>
        <w:tc>
          <w:tcPr>
            <w:tcW w:w="0" w:type="auto"/>
            <w:gridSpan w:val="3"/>
            <w:shd w:val="clear" w:color="auto" w:fill="auto"/>
            <w:vAlign w:val="bottom"/>
          </w:tcPr>
          <w:p w14:paraId="392C351F" w14:textId="77777777" w:rsidR="00980E5F" w:rsidRDefault="00980E5F">
            <w:pPr>
              <w:rPr>
                <w:rFonts w:ascii="宋体"/>
                <w:vanish/>
              </w:rPr>
            </w:pPr>
          </w:p>
        </w:tc>
        <w:tc>
          <w:tcPr>
            <w:tcW w:w="0" w:type="auto"/>
            <w:gridSpan w:val="3"/>
            <w:shd w:val="clear" w:color="auto" w:fill="auto"/>
            <w:vAlign w:val="bottom"/>
          </w:tcPr>
          <w:p w14:paraId="392C3520" w14:textId="77777777" w:rsidR="00980E5F" w:rsidRDefault="00980E5F">
            <w:pPr>
              <w:rPr>
                <w:rFonts w:ascii="宋体"/>
                <w:vanish/>
              </w:rPr>
            </w:pPr>
          </w:p>
        </w:tc>
        <w:tc>
          <w:tcPr>
            <w:tcW w:w="0" w:type="auto"/>
            <w:gridSpan w:val="3"/>
            <w:shd w:val="clear" w:color="auto" w:fill="auto"/>
            <w:vAlign w:val="bottom"/>
          </w:tcPr>
          <w:p w14:paraId="392C3521" w14:textId="77777777" w:rsidR="00980E5F" w:rsidRDefault="00980E5F">
            <w:pPr>
              <w:rPr>
                <w:rFonts w:ascii="宋体"/>
                <w:vanish/>
              </w:rPr>
            </w:pPr>
          </w:p>
        </w:tc>
        <w:tc>
          <w:tcPr>
            <w:tcW w:w="0" w:type="auto"/>
            <w:gridSpan w:val="3"/>
            <w:shd w:val="clear" w:color="auto" w:fill="auto"/>
            <w:vAlign w:val="bottom"/>
          </w:tcPr>
          <w:p w14:paraId="392C3522" w14:textId="77777777" w:rsidR="00980E5F" w:rsidRDefault="00980E5F">
            <w:pPr>
              <w:rPr>
                <w:rFonts w:ascii="宋体"/>
                <w:vanish/>
              </w:rPr>
            </w:pPr>
          </w:p>
        </w:tc>
        <w:tc>
          <w:tcPr>
            <w:tcW w:w="0" w:type="auto"/>
            <w:gridSpan w:val="3"/>
            <w:shd w:val="clear" w:color="auto" w:fill="auto"/>
            <w:vAlign w:val="bottom"/>
          </w:tcPr>
          <w:p w14:paraId="392C3523" w14:textId="77777777" w:rsidR="00980E5F" w:rsidRDefault="00980E5F">
            <w:pPr>
              <w:rPr>
                <w:rFonts w:ascii="宋体"/>
                <w:vanish/>
              </w:rPr>
            </w:pPr>
          </w:p>
        </w:tc>
        <w:tc>
          <w:tcPr>
            <w:tcW w:w="0" w:type="auto"/>
            <w:gridSpan w:val="3"/>
            <w:shd w:val="clear" w:color="auto" w:fill="auto"/>
            <w:vAlign w:val="bottom"/>
          </w:tcPr>
          <w:p w14:paraId="392C3524" w14:textId="77777777" w:rsidR="00980E5F" w:rsidRDefault="00980E5F">
            <w:pPr>
              <w:rPr>
                <w:rFonts w:ascii="宋体"/>
                <w:vanish/>
              </w:rPr>
            </w:pPr>
          </w:p>
        </w:tc>
        <w:tc>
          <w:tcPr>
            <w:tcW w:w="0" w:type="auto"/>
            <w:gridSpan w:val="3"/>
            <w:shd w:val="clear" w:color="auto" w:fill="auto"/>
            <w:vAlign w:val="bottom"/>
          </w:tcPr>
          <w:p w14:paraId="392C3525" w14:textId="77777777" w:rsidR="00980E5F" w:rsidRDefault="00980E5F">
            <w:pPr>
              <w:rPr>
                <w:rFonts w:ascii="宋体"/>
                <w:vanish/>
              </w:rPr>
            </w:pPr>
          </w:p>
        </w:tc>
        <w:tc>
          <w:tcPr>
            <w:tcW w:w="0" w:type="auto"/>
            <w:gridSpan w:val="3"/>
            <w:shd w:val="clear" w:color="auto" w:fill="auto"/>
            <w:vAlign w:val="bottom"/>
          </w:tcPr>
          <w:p w14:paraId="392C3526" w14:textId="77777777" w:rsidR="00980E5F" w:rsidRDefault="00980E5F">
            <w:pPr>
              <w:rPr>
                <w:rFonts w:ascii="宋体"/>
                <w:vanish/>
              </w:rPr>
            </w:pPr>
          </w:p>
        </w:tc>
        <w:tc>
          <w:tcPr>
            <w:tcW w:w="0" w:type="auto"/>
            <w:gridSpan w:val="3"/>
            <w:shd w:val="clear" w:color="auto" w:fill="auto"/>
            <w:vAlign w:val="bottom"/>
          </w:tcPr>
          <w:p w14:paraId="392C3527" w14:textId="77777777" w:rsidR="00980E5F" w:rsidRDefault="00980E5F">
            <w:pPr>
              <w:rPr>
                <w:rFonts w:ascii="宋体"/>
                <w:vanish/>
              </w:rPr>
            </w:pPr>
          </w:p>
        </w:tc>
        <w:tc>
          <w:tcPr>
            <w:tcW w:w="0" w:type="auto"/>
            <w:gridSpan w:val="3"/>
            <w:shd w:val="clear" w:color="auto" w:fill="auto"/>
            <w:vAlign w:val="bottom"/>
          </w:tcPr>
          <w:p w14:paraId="392C3528" w14:textId="77777777" w:rsidR="00980E5F" w:rsidRDefault="00980E5F">
            <w:pPr>
              <w:rPr>
                <w:rFonts w:ascii="宋体"/>
                <w:vanish/>
              </w:rPr>
            </w:pPr>
          </w:p>
        </w:tc>
        <w:tc>
          <w:tcPr>
            <w:tcW w:w="0" w:type="auto"/>
            <w:gridSpan w:val="3"/>
            <w:shd w:val="clear" w:color="auto" w:fill="auto"/>
            <w:vAlign w:val="bottom"/>
          </w:tcPr>
          <w:p w14:paraId="392C3529" w14:textId="77777777" w:rsidR="00980E5F" w:rsidRDefault="00980E5F">
            <w:pPr>
              <w:rPr>
                <w:rFonts w:ascii="宋体"/>
                <w:vanish/>
              </w:rPr>
            </w:pPr>
          </w:p>
        </w:tc>
        <w:tc>
          <w:tcPr>
            <w:tcW w:w="0" w:type="auto"/>
            <w:gridSpan w:val="3"/>
            <w:shd w:val="clear" w:color="auto" w:fill="auto"/>
            <w:vAlign w:val="bottom"/>
          </w:tcPr>
          <w:p w14:paraId="392C352A" w14:textId="77777777" w:rsidR="00980E5F" w:rsidRDefault="00980E5F">
            <w:pPr>
              <w:rPr>
                <w:rFonts w:ascii="宋体"/>
                <w:vanish/>
              </w:rPr>
            </w:pPr>
          </w:p>
        </w:tc>
        <w:tc>
          <w:tcPr>
            <w:tcW w:w="0" w:type="auto"/>
            <w:gridSpan w:val="3"/>
            <w:shd w:val="clear" w:color="auto" w:fill="auto"/>
            <w:vAlign w:val="bottom"/>
          </w:tcPr>
          <w:p w14:paraId="392C352B" w14:textId="77777777" w:rsidR="00980E5F" w:rsidRDefault="00980E5F">
            <w:pPr>
              <w:rPr>
                <w:rFonts w:ascii="宋体"/>
                <w:vanish/>
              </w:rPr>
            </w:pPr>
          </w:p>
        </w:tc>
        <w:tc>
          <w:tcPr>
            <w:tcW w:w="0" w:type="auto"/>
            <w:gridSpan w:val="3"/>
            <w:shd w:val="clear" w:color="auto" w:fill="auto"/>
            <w:vAlign w:val="bottom"/>
          </w:tcPr>
          <w:p w14:paraId="392C352C" w14:textId="77777777" w:rsidR="00980E5F" w:rsidRDefault="00980E5F">
            <w:pPr>
              <w:rPr>
                <w:rFonts w:ascii="宋体"/>
                <w:vanish/>
              </w:rPr>
            </w:pPr>
          </w:p>
        </w:tc>
        <w:tc>
          <w:tcPr>
            <w:tcW w:w="0" w:type="auto"/>
            <w:gridSpan w:val="3"/>
            <w:shd w:val="clear" w:color="auto" w:fill="auto"/>
            <w:vAlign w:val="bottom"/>
          </w:tcPr>
          <w:p w14:paraId="392C352D" w14:textId="77777777" w:rsidR="00980E5F" w:rsidRDefault="00980E5F">
            <w:pPr>
              <w:rPr>
                <w:rFonts w:ascii="宋体"/>
                <w:vanish/>
              </w:rPr>
            </w:pPr>
          </w:p>
        </w:tc>
      </w:tr>
      <w:tr w:rsidR="00980E5F" w14:paraId="392C3541" w14:textId="77777777">
        <w:trPr>
          <w:jc w:val="center"/>
          <w:hidden/>
        </w:trPr>
        <w:tc>
          <w:tcPr>
            <w:tcW w:w="0" w:type="auto"/>
            <w:gridSpan w:val="3"/>
            <w:shd w:val="clear" w:color="auto" w:fill="auto"/>
            <w:vAlign w:val="bottom"/>
          </w:tcPr>
          <w:p w14:paraId="392C352F" w14:textId="77777777" w:rsidR="00980E5F" w:rsidRDefault="00980E5F">
            <w:pPr>
              <w:rPr>
                <w:rFonts w:ascii="宋体"/>
                <w:vanish/>
              </w:rPr>
            </w:pPr>
          </w:p>
        </w:tc>
        <w:tc>
          <w:tcPr>
            <w:tcW w:w="0" w:type="auto"/>
            <w:gridSpan w:val="3"/>
            <w:shd w:val="clear" w:color="auto" w:fill="auto"/>
            <w:vAlign w:val="bottom"/>
          </w:tcPr>
          <w:p w14:paraId="392C3530" w14:textId="77777777" w:rsidR="00980E5F" w:rsidRDefault="00980E5F">
            <w:pPr>
              <w:rPr>
                <w:rFonts w:ascii="宋体"/>
                <w:vanish/>
              </w:rPr>
            </w:pPr>
          </w:p>
        </w:tc>
        <w:tc>
          <w:tcPr>
            <w:tcW w:w="0" w:type="auto"/>
            <w:gridSpan w:val="3"/>
            <w:shd w:val="clear" w:color="auto" w:fill="auto"/>
            <w:vAlign w:val="bottom"/>
          </w:tcPr>
          <w:p w14:paraId="392C3531" w14:textId="77777777" w:rsidR="00980E5F" w:rsidRDefault="00980E5F">
            <w:pPr>
              <w:rPr>
                <w:rFonts w:ascii="宋体"/>
                <w:vanish/>
              </w:rPr>
            </w:pPr>
          </w:p>
        </w:tc>
        <w:tc>
          <w:tcPr>
            <w:tcW w:w="0" w:type="auto"/>
            <w:gridSpan w:val="3"/>
            <w:shd w:val="clear" w:color="auto" w:fill="auto"/>
            <w:vAlign w:val="bottom"/>
          </w:tcPr>
          <w:p w14:paraId="392C3532" w14:textId="77777777" w:rsidR="00980E5F" w:rsidRDefault="00980E5F">
            <w:pPr>
              <w:rPr>
                <w:rFonts w:ascii="宋体"/>
                <w:vanish/>
              </w:rPr>
            </w:pPr>
          </w:p>
        </w:tc>
        <w:tc>
          <w:tcPr>
            <w:tcW w:w="0" w:type="auto"/>
            <w:gridSpan w:val="3"/>
            <w:shd w:val="clear" w:color="auto" w:fill="auto"/>
            <w:vAlign w:val="bottom"/>
          </w:tcPr>
          <w:p w14:paraId="392C3533" w14:textId="77777777" w:rsidR="00980E5F" w:rsidRDefault="00980E5F">
            <w:pPr>
              <w:rPr>
                <w:rFonts w:ascii="宋体"/>
                <w:vanish/>
              </w:rPr>
            </w:pPr>
          </w:p>
        </w:tc>
        <w:tc>
          <w:tcPr>
            <w:tcW w:w="0" w:type="auto"/>
            <w:gridSpan w:val="3"/>
            <w:shd w:val="clear" w:color="auto" w:fill="auto"/>
            <w:vAlign w:val="bottom"/>
          </w:tcPr>
          <w:p w14:paraId="392C3534" w14:textId="77777777" w:rsidR="00980E5F" w:rsidRDefault="00980E5F">
            <w:pPr>
              <w:rPr>
                <w:rFonts w:ascii="宋体"/>
                <w:vanish/>
              </w:rPr>
            </w:pPr>
          </w:p>
        </w:tc>
        <w:tc>
          <w:tcPr>
            <w:tcW w:w="0" w:type="auto"/>
            <w:gridSpan w:val="3"/>
            <w:shd w:val="clear" w:color="auto" w:fill="auto"/>
            <w:vAlign w:val="bottom"/>
          </w:tcPr>
          <w:p w14:paraId="392C3535" w14:textId="77777777" w:rsidR="00980E5F" w:rsidRDefault="00980E5F">
            <w:pPr>
              <w:rPr>
                <w:rFonts w:ascii="宋体"/>
                <w:vanish/>
              </w:rPr>
            </w:pPr>
          </w:p>
        </w:tc>
        <w:tc>
          <w:tcPr>
            <w:tcW w:w="0" w:type="auto"/>
            <w:gridSpan w:val="3"/>
            <w:shd w:val="clear" w:color="auto" w:fill="auto"/>
            <w:vAlign w:val="bottom"/>
          </w:tcPr>
          <w:p w14:paraId="392C3536" w14:textId="77777777" w:rsidR="00980E5F" w:rsidRDefault="00980E5F">
            <w:pPr>
              <w:rPr>
                <w:rFonts w:ascii="宋体"/>
                <w:vanish/>
              </w:rPr>
            </w:pPr>
          </w:p>
        </w:tc>
        <w:tc>
          <w:tcPr>
            <w:tcW w:w="0" w:type="auto"/>
            <w:gridSpan w:val="3"/>
            <w:shd w:val="clear" w:color="auto" w:fill="auto"/>
            <w:vAlign w:val="bottom"/>
          </w:tcPr>
          <w:p w14:paraId="392C3537" w14:textId="77777777" w:rsidR="00980E5F" w:rsidRDefault="00980E5F">
            <w:pPr>
              <w:rPr>
                <w:rFonts w:ascii="宋体"/>
                <w:vanish/>
              </w:rPr>
            </w:pPr>
          </w:p>
        </w:tc>
        <w:tc>
          <w:tcPr>
            <w:tcW w:w="0" w:type="auto"/>
            <w:gridSpan w:val="3"/>
            <w:shd w:val="clear" w:color="auto" w:fill="auto"/>
            <w:vAlign w:val="bottom"/>
          </w:tcPr>
          <w:p w14:paraId="392C3538" w14:textId="77777777" w:rsidR="00980E5F" w:rsidRDefault="00980E5F">
            <w:pPr>
              <w:rPr>
                <w:rFonts w:ascii="宋体"/>
                <w:vanish/>
              </w:rPr>
            </w:pPr>
          </w:p>
        </w:tc>
        <w:tc>
          <w:tcPr>
            <w:tcW w:w="0" w:type="auto"/>
            <w:gridSpan w:val="3"/>
            <w:shd w:val="clear" w:color="auto" w:fill="auto"/>
            <w:vAlign w:val="bottom"/>
          </w:tcPr>
          <w:p w14:paraId="392C3539" w14:textId="77777777" w:rsidR="00980E5F" w:rsidRDefault="00980E5F">
            <w:pPr>
              <w:rPr>
                <w:rFonts w:ascii="宋体"/>
                <w:vanish/>
              </w:rPr>
            </w:pPr>
          </w:p>
        </w:tc>
        <w:tc>
          <w:tcPr>
            <w:tcW w:w="0" w:type="auto"/>
            <w:gridSpan w:val="3"/>
            <w:shd w:val="clear" w:color="auto" w:fill="auto"/>
            <w:vAlign w:val="bottom"/>
          </w:tcPr>
          <w:p w14:paraId="392C353A" w14:textId="77777777" w:rsidR="00980E5F" w:rsidRDefault="00980E5F">
            <w:pPr>
              <w:rPr>
                <w:rFonts w:ascii="宋体"/>
                <w:vanish/>
              </w:rPr>
            </w:pPr>
          </w:p>
        </w:tc>
        <w:tc>
          <w:tcPr>
            <w:tcW w:w="0" w:type="auto"/>
            <w:gridSpan w:val="3"/>
            <w:shd w:val="clear" w:color="auto" w:fill="auto"/>
            <w:vAlign w:val="bottom"/>
          </w:tcPr>
          <w:p w14:paraId="392C353B" w14:textId="77777777" w:rsidR="00980E5F" w:rsidRDefault="00980E5F">
            <w:pPr>
              <w:rPr>
                <w:rFonts w:ascii="宋体"/>
                <w:vanish/>
              </w:rPr>
            </w:pPr>
          </w:p>
        </w:tc>
        <w:tc>
          <w:tcPr>
            <w:tcW w:w="0" w:type="auto"/>
            <w:gridSpan w:val="3"/>
            <w:shd w:val="clear" w:color="auto" w:fill="auto"/>
            <w:vAlign w:val="bottom"/>
          </w:tcPr>
          <w:p w14:paraId="392C353C" w14:textId="77777777" w:rsidR="00980E5F" w:rsidRDefault="00980E5F">
            <w:pPr>
              <w:rPr>
                <w:rFonts w:ascii="宋体"/>
                <w:vanish/>
              </w:rPr>
            </w:pPr>
          </w:p>
        </w:tc>
        <w:tc>
          <w:tcPr>
            <w:tcW w:w="0" w:type="auto"/>
            <w:gridSpan w:val="3"/>
            <w:shd w:val="clear" w:color="auto" w:fill="auto"/>
            <w:vAlign w:val="bottom"/>
          </w:tcPr>
          <w:p w14:paraId="392C353D" w14:textId="77777777" w:rsidR="00980E5F" w:rsidRDefault="00980E5F">
            <w:pPr>
              <w:rPr>
                <w:rFonts w:ascii="宋体"/>
                <w:vanish/>
              </w:rPr>
            </w:pPr>
          </w:p>
        </w:tc>
        <w:tc>
          <w:tcPr>
            <w:tcW w:w="0" w:type="auto"/>
            <w:gridSpan w:val="3"/>
            <w:shd w:val="clear" w:color="auto" w:fill="auto"/>
            <w:vAlign w:val="bottom"/>
          </w:tcPr>
          <w:p w14:paraId="392C353E" w14:textId="77777777" w:rsidR="00980E5F" w:rsidRDefault="00980E5F">
            <w:pPr>
              <w:rPr>
                <w:rFonts w:ascii="宋体"/>
                <w:vanish/>
              </w:rPr>
            </w:pPr>
          </w:p>
        </w:tc>
        <w:tc>
          <w:tcPr>
            <w:tcW w:w="0" w:type="auto"/>
            <w:gridSpan w:val="3"/>
            <w:shd w:val="clear" w:color="auto" w:fill="auto"/>
            <w:vAlign w:val="bottom"/>
          </w:tcPr>
          <w:p w14:paraId="392C353F" w14:textId="77777777" w:rsidR="00980E5F" w:rsidRDefault="00980E5F">
            <w:pPr>
              <w:rPr>
                <w:rFonts w:ascii="宋体"/>
                <w:vanish/>
              </w:rPr>
            </w:pPr>
          </w:p>
        </w:tc>
        <w:tc>
          <w:tcPr>
            <w:tcW w:w="0" w:type="auto"/>
            <w:gridSpan w:val="3"/>
            <w:shd w:val="clear" w:color="auto" w:fill="auto"/>
            <w:vAlign w:val="bottom"/>
          </w:tcPr>
          <w:p w14:paraId="392C3540" w14:textId="77777777" w:rsidR="00980E5F" w:rsidRDefault="00980E5F">
            <w:pPr>
              <w:rPr>
                <w:rFonts w:ascii="宋体"/>
                <w:vanish/>
              </w:rPr>
            </w:pPr>
          </w:p>
        </w:tc>
      </w:tr>
      <w:tr w:rsidR="00980E5F" w14:paraId="392C3554" w14:textId="77777777">
        <w:trPr>
          <w:jc w:val="center"/>
          <w:hidden/>
        </w:trPr>
        <w:tc>
          <w:tcPr>
            <w:tcW w:w="0" w:type="auto"/>
            <w:gridSpan w:val="3"/>
            <w:shd w:val="clear" w:color="auto" w:fill="auto"/>
            <w:vAlign w:val="bottom"/>
          </w:tcPr>
          <w:p w14:paraId="392C3542" w14:textId="77777777" w:rsidR="00980E5F" w:rsidRDefault="00980E5F">
            <w:pPr>
              <w:rPr>
                <w:rFonts w:ascii="宋体"/>
                <w:vanish/>
              </w:rPr>
            </w:pPr>
          </w:p>
        </w:tc>
        <w:tc>
          <w:tcPr>
            <w:tcW w:w="0" w:type="auto"/>
            <w:gridSpan w:val="3"/>
            <w:shd w:val="clear" w:color="auto" w:fill="auto"/>
            <w:vAlign w:val="bottom"/>
          </w:tcPr>
          <w:p w14:paraId="392C3543" w14:textId="77777777" w:rsidR="00980E5F" w:rsidRDefault="00980E5F">
            <w:pPr>
              <w:rPr>
                <w:rFonts w:ascii="宋体"/>
                <w:vanish/>
              </w:rPr>
            </w:pPr>
          </w:p>
        </w:tc>
        <w:tc>
          <w:tcPr>
            <w:tcW w:w="0" w:type="auto"/>
            <w:gridSpan w:val="3"/>
            <w:shd w:val="clear" w:color="auto" w:fill="auto"/>
            <w:vAlign w:val="bottom"/>
          </w:tcPr>
          <w:p w14:paraId="392C3544" w14:textId="77777777" w:rsidR="00980E5F" w:rsidRDefault="00980E5F">
            <w:pPr>
              <w:rPr>
                <w:rFonts w:ascii="宋体"/>
                <w:vanish/>
              </w:rPr>
            </w:pPr>
          </w:p>
        </w:tc>
        <w:tc>
          <w:tcPr>
            <w:tcW w:w="0" w:type="auto"/>
            <w:gridSpan w:val="3"/>
            <w:shd w:val="clear" w:color="auto" w:fill="auto"/>
            <w:vAlign w:val="bottom"/>
          </w:tcPr>
          <w:p w14:paraId="392C3545" w14:textId="77777777" w:rsidR="00980E5F" w:rsidRDefault="00980E5F">
            <w:pPr>
              <w:rPr>
                <w:rFonts w:ascii="宋体"/>
                <w:vanish/>
              </w:rPr>
            </w:pPr>
          </w:p>
        </w:tc>
        <w:tc>
          <w:tcPr>
            <w:tcW w:w="0" w:type="auto"/>
            <w:gridSpan w:val="3"/>
            <w:shd w:val="clear" w:color="auto" w:fill="auto"/>
            <w:vAlign w:val="bottom"/>
          </w:tcPr>
          <w:p w14:paraId="392C3546" w14:textId="77777777" w:rsidR="00980E5F" w:rsidRDefault="00980E5F">
            <w:pPr>
              <w:rPr>
                <w:rFonts w:ascii="宋体"/>
                <w:vanish/>
              </w:rPr>
            </w:pPr>
          </w:p>
        </w:tc>
        <w:tc>
          <w:tcPr>
            <w:tcW w:w="0" w:type="auto"/>
            <w:gridSpan w:val="3"/>
            <w:shd w:val="clear" w:color="auto" w:fill="auto"/>
            <w:vAlign w:val="bottom"/>
          </w:tcPr>
          <w:p w14:paraId="392C3547" w14:textId="77777777" w:rsidR="00980E5F" w:rsidRDefault="00980E5F">
            <w:pPr>
              <w:rPr>
                <w:rFonts w:ascii="宋体"/>
                <w:vanish/>
              </w:rPr>
            </w:pPr>
          </w:p>
        </w:tc>
        <w:tc>
          <w:tcPr>
            <w:tcW w:w="0" w:type="auto"/>
            <w:gridSpan w:val="3"/>
            <w:shd w:val="clear" w:color="auto" w:fill="auto"/>
            <w:vAlign w:val="bottom"/>
          </w:tcPr>
          <w:p w14:paraId="392C3548" w14:textId="77777777" w:rsidR="00980E5F" w:rsidRDefault="00980E5F">
            <w:pPr>
              <w:rPr>
                <w:rFonts w:ascii="宋体"/>
                <w:vanish/>
              </w:rPr>
            </w:pPr>
          </w:p>
        </w:tc>
        <w:tc>
          <w:tcPr>
            <w:tcW w:w="0" w:type="auto"/>
            <w:gridSpan w:val="3"/>
            <w:shd w:val="clear" w:color="auto" w:fill="auto"/>
            <w:vAlign w:val="bottom"/>
          </w:tcPr>
          <w:p w14:paraId="392C3549" w14:textId="77777777" w:rsidR="00980E5F" w:rsidRDefault="00980E5F">
            <w:pPr>
              <w:rPr>
                <w:rFonts w:ascii="宋体"/>
                <w:vanish/>
              </w:rPr>
            </w:pPr>
          </w:p>
        </w:tc>
        <w:tc>
          <w:tcPr>
            <w:tcW w:w="0" w:type="auto"/>
            <w:gridSpan w:val="3"/>
            <w:shd w:val="clear" w:color="auto" w:fill="auto"/>
            <w:vAlign w:val="bottom"/>
          </w:tcPr>
          <w:p w14:paraId="392C354A" w14:textId="77777777" w:rsidR="00980E5F" w:rsidRDefault="00980E5F">
            <w:pPr>
              <w:rPr>
                <w:rFonts w:ascii="宋体"/>
                <w:vanish/>
              </w:rPr>
            </w:pPr>
          </w:p>
        </w:tc>
        <w:tc>
          <w:tcPr>
            <w:tcW w:w="0" w:type="auto"/>
            <w:gridSpan w:val="3"/>
            <w:shd w:val="clear" w:color="auto" w:fill="auto"/>
            <w:vAlign w:val="bottom"/>
          </w:tcPr>
          <w:p w14:paraId="392C354B" w14:textId="77777777" w:rsidR="00980E5F" w:rsidRDefault="00980E5F">
            <w:pPr>
              <w:rPr>
                <w:rFonts w:ascii="宋体"/>
                <w:vanish/>
              </w:rPr>
            </w:pPr>
          </w:p>
        </w:tc>
        <w:tc>
          <w:tcPr>
            <w:tcW w:w="0" w:type="auto"/>
            <w:gridSpan w:val="3"/>
            <w:shd w:val="clear" w:color="auto" w:fill="auto"/>
            <w:vAlign w:val="bottom"/>
          </w:tcPr>
          <w:p w14:paraId="392C354C" w14:textId="77777777" w:rsidR="00980E5F" w:rsidRDefault="00980E5F">
            <w:pPr>
              <w:rPr>
                <w:rFonts w:ascii="宋体"/>
                <w:vanish/>
              </w:rPr>
            </w:pPr>
          </w:p>
        </w:tc>
        <w:tc>
          <w:tcPr>
            <w:tcW w:w="0" w:type="auto"/>
            <w:gridSpan w:val="3"/>
            <w:shd w:val="clear" w:color="auto" w:fill="auto"/>
            <w:vAlign w:val="bottom"/>
          </w:tcPr>
          <w:p w14:paraId="392C354D" w14:textId="77777777" w:rsidR="00980E5F" w:rsidRDefault="00980E5F">
            <w:pPr>
              <w:rPr>
                <w:rFonts w:ascii="宋体"/>
                <w:vanish/>
              </w:rPr>
            </w:pPr>
          </w:p>
        </w:tc>
        <w:tc>
          <w:tcPr>
            <w:tcW w:w="0" w:type="auto"/>
            <w:gridSpan w:val="3"/>
            <w:shd w:val="clear" w:color="auto" w:fill="auto"/>
            <w:vAlign w:val="bottom"/>
          </w:tcPr>
          <w:p w14:paraId="392C354E" w14:textId="77777777" w:rsidR="00980E5F" w:rsidRDefault="00980E5F">
            <w:pPr>
              <w:rPr>
                <w:rFonts w:ascii="宋体"/>
                <w:vanish/>
              </w:rPr>
            </w:pPr>
          </w:p>
        </w:tc>
        <w:tc>
          <w:tcPr>
            <w:tcW w:w="0" w:type="auto"/>
            <w:gridSpan w:val="3"/>
            <w:shd w:val="clear" w:color="auto" w:fill="auto"/>
            <w:vAlign w:val="bottom"/>
          </w:tcPr>
          <w:p w14:paraId="392C354F" w14:textId="77777777" w:rsidR="00980E5F" w:rsidRDefault="00980E5F">
            <w:pPr>
              <w:rPr>
                <w:rFonts w:ascii="宋体"/>
                <w:vanish/>
              </w:rPr>
            </w:pPr>
          </w:p>
        </w:tc>
        <w:tc>
          <w:tcPr>
            <w:tcW w:w="0" w:type="auto"/>
            <w:gridSpan w:val="3"/>
            <w:shd w:val="clear" w:color="auto" w:fill="auto"/>
            <w:vAlign w:val="bottom"/>
          </w:tcPr>
          <w:p w14:paraId="392C3550" w14:textId="77777777" w:rsidR="00980E5F" w:rsidRDefault="00980E5F">
            <w:pPr>
              <w:rPr>
                <w:rFonts w:ascii="宋体"/>
                <w:vanish/>
              </w:rPr>
            </w:pPr>
          </w:p>
        </w:tc>
        <w:tc>
          <w:tcPr>
            <w:tcW w:w="0" w:type="auto"/>
            <w:gridSpan w:val="3"/>
            <w:shd w:val="clear" w:color="auto" w:fill="auto"/>
            <w:vAlign w:val="bottom"/>
          </w:tcPr>
          <w:p w14:paraId="392C3551" w14:textId="77777777" w:rsidR="00980E5F" w:rsidRDefault="00980E5F">
            <w:pPr>
              <w:rPr>
                <w:rFonts w:ascii="宋体"/>
                <w:vanish/>
              </w:rPr>
            </w:pPr>
          </w:p>
        </w:tc>
        <w:tc>
          <w:tcPr>
            <w:tcW w:w="0" w:type="auto"/>
            <w:gridSpan w:val="3"/>
            <w:shd w:val="clear" w:color="auto" w:fill="auto"/>
            <w:vAlign w:val="bottom"/>
          </w:tcPr>
          <w:p w14:paraId="392C3552" w14:textId="77777777" w:rsidR="00980E5F" w:rsidRDefault="00980E5F">
            <w:pPr>
              <w:rPr>
                <w:rFonts w:ascii="宋体"/>
                <w:vanish/>
              </w:rPr>
            </w:pPr>
          </w:p>
        </w:tc>
        <w:tc>
          <w:tcPr>
            <w:tcW w:w="0" w:type="auto"/>
            <w:gridSpan w:val="3"/>
            <w:shd w:val="clear" w:color="auto" w:fill="auto"/>
            <w:vAlign w:val="bottom"/>
          </w:tcPr>
          <w:p w14:paraId="392C3553" w14:textId="77777777" w:rsidR="00980E5F" w:rsidRDefault="00980E5F">
            <w:pPr>
              <w:rPr>
                <w:rFonts w:ascii="宋体"/>
                <w:vanish/>
              </w:rPr>
            </w:pPr>
          </w:p>
        </w:tc>
      </w:tr>
      <w:tr w:rsidR="00980E5F" w14:paraId="392C3567" w14:textId="77777777">
        <w:trPr>
          <w:jc w:val="center"/>
          <w:hidden/>
        </w:trPr>
        <w:tc>
          <w:tcPr>
            <w:tcW w:w="0" w:type="auto"/>
            <w:gridSpan w:val="3"/>
            <w:shd w:val="clear" w:color="auto" w:fill="auto"/>
            <w:vAlign w:val="bottom"/>
          </w:tcPr>
          <w:p w14:paraId="392C3555" w14:textId="77777777" w:rsidR="00980E5F" w:rsidRDefault="00980E5F">
            <w:pPr>
              <w:rPr>
                <w:rFonts w:ascii="宋体"/>
                <w:vanish/>
              </w:rPr>
            </w:pPr>
          </w:p>
        </w:tc>
        <w:tc>
          <w:tcPr>
            <w:tcW w:w="0" w:type="auto"/>
            <w:gridSpan w:val="3"/>
            <w:shd w:val="clear" w:color="auto" w:fill="auto"/>
            <w:vAlign w:val="bottom"/>
          </w:tcPr>
          <w:p w14:paraId="392C3556" w14:textId="77777777" w:rsidR="00980E5F" w:rsidRDefault="00980E5F">
            <w:pPr>
              <w:rPr>
                <w:rFonts w:ascii="宋体"/>
                <w:vanish/>
              </w:rPr>
            </w:pPr>
          </w:p>
        </w:tc>
        <w:tc>
          <w:tcPr>
            <w:tcW w:w="0" w:type="auto"/>
            <w:gridSpan w:val="3"/>
            <w:shd w:val="clear" w:color="auto" w:fill="auto"/>
            <w:vAlign w:val="bottom"/>
          </w:tcPr>
          <w:p w14:paraId="392C3557" w14:textId="77777777" w:rsidR="00980E5F" w:rsidRDefault="00980E5F">
            <w:pPr>
              <w:rPr>
                <w:rFonts w:ascii="宋体"/>
                <w:vanish/>
              </w:rPr>
            </w:pPr>
          </w:p>
        </w:tc>
        <w:tc>
          <w:tcPr>
            <w:tcW w:w="0" w:type="auto"/>
            <w:gridSpan w:val="3"/>
            <w:shd w:val="clear" w:color="auto" w:fill="auto"/>
            <w:vAlign w:val="bottom"/>
          </w:tcPr>
          <w:p w14:paraId="392C3558" w14:textId="77777777" w:rsidR="00980E5F" w:rsidRDefault="00980E5F">
            <w:pPr>
              <w:rPr>
                <w:rFonts w:ascii="宋体"/>
                <w:vanish/>
              </w:rPr>
            </w:pPr>
          </w:p>
        </w:tc>
        <w:tc>
          <w:tcPr>
            <w:tcW w:w="0" w:type="auto"/>
            <w:gridSpan w:val="3"/>
            <w:shd w:val="clear" w:color="auto" w:fill="auto"/>
            <w:vAlign w:val="bottom"/>
          </w:tcPr>
          <w:p w14:paraId="392C3559" w14:textId="77777777" w:rsidR="00980E5F" w:rsidRDefault="00980E5F">
            <w:pPr>
              <w:rPr>
                <w:rFonts w:ascii="宋体"/>
                <w:vanish/>
              </w:rPr>
            </w:pPr>
          </w:p>
        </w:tc>
        <w:tc>
          <w:tcPr>
            <w:tcW w:w="0" w:type="auto"/>
            <w:gridSpan w:val="3"/>
            <w:shd w:val="clear" w:color="auto" w:fill="auto"/>
            <w:vAlign w:val="bottom"/>
          </w:tcPr>
          <w:p w14:paraId="392C355A" w14:textId="77777777" w:rsidR="00980E5F" w:rsidRDefault="00980E5F">
            <w:pPr>
              <w:rPr>
                <w:rFonts w:ascii="宋体"/>
                <w:vanish/>
              </w:rPr>
            </w:pPr>
          </w:p>
        </w:tc>
        <w:tc>
          <w:tcPr>
            <w:tcW w:w="0" w:type="auto"/>
            <w:gridSpan w:val="3"/>
            <w:shd w:val="clear" w:color="auto" w:fill="auto"/>
            <w:vAlign w:val="bottom"/>
          </w:tcPr>
          <w:p w14:paraId="392C355B" w14:textId="77777777" w:rsidR="00980E5F" w:rsidRDefault="00980E5F">
            <w:pPr>
              <w:rPr>
                <w:rFonts w:ascii="宋体"/>
                <w:vanish/>
              </w:rPr>
            </w:pPr>
          </w:p>
        </w:tc>
        <w:tc>
          <w:tcPr>
            <w:tcW w:w="0" w:type="auto"/>
            <w:gridSpan w:val="3"/>
            <w:shd w:val="clear" w:color="auto" w:fill="auto"/>
            <w:vAlign w:val="bottom"/>
          </w:tcPr>
          <w:p w14:paraId="392C355C" w14:textId="77777777" w:rsidR="00980E5F" w:rsidRDefault="00980E5F">
            <w:pPr>
              <w:rPr>
                <w:rFonts w:ascii="宋体"/>
                <w:vanish/>
              </w:rPr>
            </w:pPr>
          </w:p>
        </w:tc>
        <w:tc>
          <w:tcPr>
            <w:tcW w:w="0" w:type="auto"/>
            <w:gridSpan w:val="3"/>
            <w:shd w:val="clear" w:color="auto" w:fill="auto"/>
            <w:vAlign w:val="bottom"/>
          </w:tcPr>
          <w:p w14:paraId="392C355D" w14:textId="77777777" w:rsidR="00980E5F" w:rsidRDefault="00980E5F">
            <w:pPr>
              <w:rPr>
                <w:rFonts w:ascii="宋体"/>
                <w:vanish/>
              </w:rPr>
            </w:pPr>
          </w:p>
        </w:tc>
        <w:tc>
          <w:tcPr>
            <w:tcW w:w="0" w:type="auto"/>
            <w:gridSpan w:val="3"/>
            <w:shd w:val="clear" w:color="auto" w:fill="auto"/>
            <w:vAlign w:val="bottom"/>
          </w:tcPr>
          <w:p w14:paraId="392C355E" w14:textId="77777777" w:rsidR="00980E5F" w:rsidRDefault="00980E5F">
            <w:pPr>
              <w:rPr>
                <w:rFonts w:ascii="宋体"/>
                <w:vanish/>
              </w:rPr>
            </w:pPr>
          </w:p>
        </w:tc>
        <w:tc>
          <w:tcPr>
            <w:tcW w:w="0" w:type="auto"/>
            <w:gridSpan w:val="3"/>
            <w:shd w:val="clear" w:color="auto" w:fill="auto"/>
            <w:vAlign w:val="bottom"/>
          </w:tcPr>
          <w:p w14:paraId="392C355F" w14:textId="77777777" w:rsidR="00980E5F" w:rsidRDefault="00980E5F">
            <w:pPr>
              <w:rPr>
                <w:rFonts w:ascii="宋体"/>
                <w:vanish/>
              </w:rPr>
            </w:pPr>
          </w:p>
        </w:tc>
        <w:tc>
          <w:tcPr>
            <w:tcW w:w="0" w:type="auto"/>
            <w:gridSpan w:val="3"/>
            <w:shd w:val="clear" w:color="auto" w:fill="auto"/>
            <w:vAlign w:val="bottom"/>
          </w:tcPr>
          <w:p w14:paraId="392C3560" w14:textId="77777777" w:rsidR="00980E5F" w:rsidRDefault="00980E5F">
            <w:pPr>
              <w:rPr>
                <w:rFonts w:ascii="宋体"/>
                <w:vanish/>
              </w:rPr>
            </w:pPr>
          </w:p>
        </w:tc>
        <w:tc>
          <w:tcPr>
            <w:tcW w:w="0" w:type="auto"/>
            <w:gridSpan w:val="3"/>
            <w:shd w:val="clear" w:color="auto" w:fill="auto"/>
            <w:vAlign w:val="bottom"/>
          </w:tcPr>
          <w:p w14:paraId="392C3561" w14:textId="77777777" w:rsidR="00980E5F" w:rsidRDefault="00980E5F">
            <w:pPr>
              <w:rPr>
                <w:rFonts w:ascii="宋体"/>
                <w:vanish/>
              </w:rPr>
            </w:pPr>
          </w:p>
        </w:tc>
        <w:tc>
          <w:tcPr>
            <w:tcW w:w="0" w:type="auto"/>
            <w:gridSpan w:val="3"/>
            <w:shd w:val="clear" w:color="auto" w:fill="auto"/>
            <w:vAlign w:val="bottom"/>
          </w:tcPr>
          <w:p w14:paraId="392C3562" w14:textId="77777777" w:rsidR="00980E5F" w:rsidRDefault="00980E5F">
            <w:pPr>
              <w:rPr>
                <w:rFonts w:ascii="宋体"/>
                <w:vanish/>
              </w:rPr>
            </w:pPr>
          </w:p>
        </w:tc>
        <w:tc>
          <w:tcPr>
            <w:tcW w:w="0" w:type="auto"/>
            <w:gridSpan w:val="3"/>
            <w:shd w:val="clear" w:color="auto" w:fill="auto"/>
            <w:vAlign w:val="bottom"/>
          </w:tcPr>
          <w:p w14:paraId="392C3563" w14:textId="77777777" w:rsidR="00980E5F" w:rsidRDefault="00980E5F">
            <w:pPr>
              <w:rPr>
                <w:rFonts w:ascii="宋体"/>
                <w:vanish/>
              </w:rPr>
            </w:pPr>
          </w:p>
        </w:tc>
        <w:tc>
          <w:tcPr>
            <w:tcW w:w="0" w:type="auto"/>
            <w:gridSpan w:val="3"/>
            <w:shd w:val="clear" w:color="auto" w:fill="auto"/>
            <w:vAlign w:val="bottom"/>
          </w:tcPr>
          <w:p w14:paraId="392C3564" w14:textId="77777777" w:rsidR="00980E5F" w:rsidRDefault="00980E5F">
            <w:pPr>
              <w:rPr>
                <w:rFonts w:ascii="宋体"/>
                <w:vanish/>
              </w:rPr>
            </w:pPr>
          </w:p>
        </w:tc>
        <w:tc>
          <w:tcPr>
            <w:tcW w:w="0" w:type="auto"/>
            <w:gridSpan w:val="3"/>
            <w:shd w:val="clear" w:color="auto" w:fill="auto"/>
            <w:vAlign w:val="bottom"/>
          </w:tcPr>
          <w:p w14:paraId="392C3565" w14:textId="77777777" w:rsidR="00980E5F" w:rsidRDefault="00980E5F">
            <w:pPr>
              <w:rPr>
                <w:rFonts w:ascii="宋体"/>
                <w:vanish/>
              </w:rPr>
            </w:pPr>
          </w:p>
        </w:tc>
        <w:tc>
          <w:tcPr>
            <w:tcW w:w="0" w:type="auto"/>
            <w:gridSpan w:val="3"/>
            <w:shd w:val="clear" w:color="auto" w:fill="auto"/>
            <w:vAlign w:val="bottom"/>
          </w:tcPr>
          <w:p w14:paraId="392C3566" w14:textId="77777777" w:rsidR="00980E5F" w:rsidRDefault="00980E5F">
            <w:pPr>
              <w:rPr>
                <w:rFonts w:ascii="宋体"/>
                <w:vanish/>
              </w:rPr>
            </w:pPr>
          </w:p>
        </w:tc>
      </w:tr>
      <w:tr w:rsidR="00980E5F" w14:paraId="392C357A" w14:textId="77777777">
        <w:trPr>
          <w:jc w:val="center"/>
          <w:hidden/>
        </w:trPr>
        <w:tc>
          <w:tcPr>
            <w:tcW w:w="0" w:type="auto"/>
            <w:gridSpan w:val="3"/>
            <w:shd w:val="clear" w:color="auto" w:fill="auto"/>
            <w:vAlign w:val="bottom"/>
          </w:tcPr>
          <w:p w14:paraId="392C3568" w14:textId="77777777" w:rsidR="00980E5F" w:rsidRDefault="00980E5F">
            <w:pPr>
              <w:rPr>
                <w:rFonts w:ascii="宋体"/>
                <w:vanish/>
              </w:rPr>
            </w:pPr>
          </w:p>
        </w:tc>
        <w:tc>
          <w:tcPr>
            <w:tcW w:w="0" w:type="auto"/>
            <w:gridSpan w:val="3"/>
            <w:shd w:val="clear" w:color="auto" w:fill="auto"/>
            <w:vAlign w:val="bottom"/>
          </w:tcPr>
          <w:p w14:paraId="392C3569" w14:textId="77777777" w:rsidR="00980E5F" w:rsidRDefault="00980E5F">
            <w:pPr>
              <w:rPr>
                <w:rFonts w:ascii="宋体"/>
                <w:vanish/>
              </w:rPr>
            </w:pPr>
          </w:p>
        </w:tc>
        <w:tc>
          <w:tcPr>
            <w:tcW w:w="0" w:type="auto"/>
            <w:gridSpan w:val="3"/>
            <w:shd w:val="clear" w:color="auto" w:fill="auto"/>
            <w:vAlign w:val="bottom"/>
          </w:tcPr>
          <w:p w14:paraId="392C356A" w14:textId="77777777" w:rsidR="00980E5F" w:rsidRDefault="00980E5F">
            <w:pPr>
              <w:rPr>
                <w:rFonts w:ascii="宋体"/>
                <w:vanish/>
              </w:rPr>
            </w:pPr>
          </w:p>
        </w:tc>
        <w:tc>
          <w:tcPr>
            <w:tcW w:w="0" w:type="auto"/>
            <w:gridSpan w:val="3"/>
            <w:shd w:val="clear" w:color="auto" w:fill="auto"/>
            <w:vAlign w:val="bottom"/>
          </w:tcPr>
          <w:p w14:paraId="392C356B" w14:textId="77777777" w:rsidR="00980E5F" w:rsidRDefault="00980E5F">
            <w:pPr>
              <w:rPr>
                <w:rFonts w:ascii="宋体"/>
                <w:vanish/>
              </w:rPr>
            </w:pPr>
          </w:p>
        </w:tc>
        <w:tc>
          <w:tcPr>
            <w:tcW w:w="0" w:type="auto"/>
            <w:gridSpan w:val="3"/>
            <w:shd w:val="clear" w:color="auto" w:fill="auto"/>
            <w:vAlign w:val="bottom"/>
          </w:tcPr>
          <w:p w14:paraId="392C356C" w14:textId="77777777" w:rsidR="00980E5F" w:rsidRDefault="00980E5F">
            <w:pPr>
              <w:rPr>
                <w:rFonts w:ascii="宋体"/>
                <w:vanish/>
              </w:rPr>
            </w:pPr>
          </w:p>
        </w:tc>
        <w:tc>
          <w:tcPr>
            <w:tcW w:w="0" w:type="auto"/>
            <w:gridSpan w:val="3"/>
            <w:shd w:val="clear" w:color="auto" w:fill="auto"/>
            <w:vAlign w:val="bottom"/>
          </w:tcPr>
          <w:p w14:paraId="392C356D" w14:textId="77777777" w:rsidR="00980E5F" w:rsidRDefault="00980E5F">
            <w:pPr>
              <w:rPr>
                <w:rFonts w:ascii="宋体"/>
                <w:vanish/>
              </w:rPr>
            </w:pPr>
          </w:p>
        </w:tc>
        <w:tc>
          <w:tcPr>
            <w:tcW w:w="0" w:type="auto"/>
            <w:gridSpan w:val="3"/>
            <w:shd w:val="clear" w:color="auto" w:fill="auto"/>
            <w:vAlign w:val="bottom"/>
          </w:tcPr>
          <w:p w14:paraId="392C356E" w14:textId="77777777" w:rsidR="00980E5F" w:rsidRDefault="00980E5F">
            <w:pPr>
              <w:rPr>
                <w:rFonts w:ascii="宋体"/>
                <w:vanish/>
              </w:rPr>
            </w:pPr>
          </w:p>
        </w:tc>
        <w:tc>
          <w:tcPr>
            <w:tcW w:w="0" w:type="auto"/>
            <w:gridSpan w:val="3"/>
            <w:shd w:val="clear" w:color="auto" w:fill="auto"/>
            <w:vAlign w:val="bottom"/>
          </w:tcPr>
          <w:p w14:paraId="392C356F" w14:textId="77777777" w:rsidR="00980E5F" w:rsidRDefault="00980E5F">
            <w:pPr>
              <w:rPr>
                <w:rFonts w:ascii="宋体"/>
                <w:vanish/>
              </w:rPr>
            </w:pPr>
          </w:p>
        </w:tc>
        <w:tc>
          <w:tcPr>
            <w:tcW w:w="0" w:type="auto"/>
            <w:gridSpan w:val="3"/>
            <w:shd w:val="clear" w:color="auto" w:fill="auto"/>
            <w:vAlign w:val="bottom"/>
          </w:tcPr>
          <w:p w14:paraId="392C3570" w14:textId="77777777" w:rsidR="00980E5F" w:rsidRDefault="00980E5F">
            <w:pPr>
              <w:rPr>
                <w:rFonts w:ascii="宋体"/>
                <w:vanish/>
              </w:rPr>
            </w:pPr>
          </w:p>
        </w:tc>
        <w:tc>
          <w:tcPr>
            <w:tcW w:w="0" w:type="auto"/>
            <w:gridSpan w:val="3"/>
            <w:shd w:val="clear" w:color="auto" w:fill="auto"/>
            <w:vAlign w:val="bottom"/>
          </w:tcPr>
          <w:p w14:paraId="392C3571" w14:textId="77777777" w:rsidR="00980E5F" w:rsidRDefault="00980E5F">
            <w:pPr>
              <w:rPr>
                <w:rFonts w:ascii="宋体"/>
                <w:vanish/>
              </w:rPr>
            </w:pPr>
          </w:p>
        </w:tc>
        <w:tc>
          <w:tcPr>
            <w:tcW w:w="0" w:type="auto"/>
            <w:gridSpan w:val="3"/>
            <w:shd w:val="clear" w:color="auto" w:fill="auto"/>
            <w:vAlign w:val="bottom"/>
          </w:tcPr>
          <w:p w14:paraId="392C3572" w14:textId="77777777" w:rsidR="00980E5F" w:rsidRDefault="00980E5F">
            <w:pPr>
              <w:rPr>
                <w:rFonts w:ascii="宋体"/>
                <w:vanish/>
              </w:rPr>
            </w:pPr>
          </w:p>
        </w:tc>
        <w:tc>
          <w:tcPr>
            <w:tcW w:w="0" w:type="auto"/>
            <w:gridSpan w:val="3"/>
            <w:shd w:val="clear" w:color="auto" w:fill="auto"/>
            <w:vAlign w:val="bottom"/>
          </w:tcPr>
          <w:p w14:paraId="392C3573" w14:textId="77777777" w:rsidR="00980E5F" w:rsidRDefault="00980E5F">
            <w:pPr>
              <w:rPr>
                <w:rFonts w:ascii="宋体"/>
                <w:vanish/>
              </w:rPr>
            </w:pPr>
          </w:p>
        </w:tc>
        <w:tc>
          <w:tcPr>
            <w:tcW w:w="0" w:type="auto"/>
            <w:gridSpan w:val="3"/>
            <w:shd w:val="clear" w:color="auto" w:fill="auto"/>
            <w:vAlign w:val="bottom"/>
          </w:tcPr>
          <w:p w14:paraId="392C3574" w14:textId="77777777" w:rsidR="00980E5F" w:rsidRDefault="00980E5F">
            <w:pPr>
              <w:rPr>
                <w:rFonts w:ascii="宋体"/>
                <w:vanish/>
              </w:rPr>
            </w:pPr>
          </w:p>
        </w:tc>
        <w:tc>
          <w:tcPr>
            <w:tcW w:w="0" w:type="auto"/>
            <w:gridSpan w:val="3"/>
            <w:shd w:val="clear" w:color="auto" w:fill="auto"/>
            <w:vAlign w:val="bottom"/>
          </w:tcPr>
          <w:p w14:paraId="392C3575" w14:textId="77777777" w:rsidR="00980E5F" w:rsidRDefault="00980E5F">
            <w:pPr>
              <w:rPr>
                <w:rFonts w:ascii="宋体"/>
                <w:vanish/>
              </w:rPr>
            </w:pPr>
          </w:p>
        </w:tc>
        <w:tc>
          <w:tcPr>
            <w:tcW w:w="0" w:type="auto"/>
            <w:gridSpan w:val="3"/>
            <w:shd w:val="clear" w:color="auto" w:fill="auto"/>
            <w:vAlign w:val="bottom"/>
          </w:tcPr>
          <w:p w14:paraId="392C3576" w14:textId="77777777" w:rsidR="00980E5F" w:rsidRDefault="00980E5F">
            <w:pPr>
              <w:rPr>
                <w:rFonts w:ascii="宋体"/>
                <w:vanish/>
              </w:rPr>
            </w:pPr>
          </w:p>
        </w:tc>
        <w:tc>
          <w:tcPr>
            <w:tcW w:w="0" w:type="auto"/>
            <w:gridSpan w:val="3"/>
            <w:shd w:val="clear" w:color="auto" w:fill="auto"/>
            <w:vAlign w:val="bottom"/>
          </w:tcPr>
          <w:p w14:paraId="392C3577" w14:textId="77777777" w:rsidR="00980E5F" w:rsidRDefault="00980E5F">
            <w:pPr>
              <w:rPr>
                <w:rFonts w:ascii="宋体"/>
                <w:vanish/>
              </w:rPr>
            </w:pPr>
          </w:p>
        </w:tc>
        <w:tc>
          <w:tcPr>
            <w:tcW w:w="0" w:type="auto"/>
            <w:gridSpan w:val="3"/>
            <w:shd w:val="clear" w:color="auto" w:fill="auto"/>
            <w:vAlign w:val="bottom"/>
          </w:tcPr>
          <w:p w14:paraId="392C3578" w14:textId="77777777" w:rsidR="00980E5F" w:rsidRDefault="00980E5F">
            <w:pPr>
              <w:rPr>
                <w:rFonts w:ascii="宋体"/>
                <w:vanish/>
              </w:rPr>
            </w:pPr>
          </w:p>
        </w:tc>
        <w:tc>
          <w:tcPr>
            <w:tcW w:w="0" w:type="auto"/>
            <w:gridSpan w:val="3"/>
            <w:shd w:val="clear" w:color="auto" w:fill="auto"/>
            <w:vAlign w:val="bottom"/>
          </w:tcPr>
          <w:p w14:paraId="392C3579" w14:textId="77777777" w:rsidR="00980E5F" w:rsidRDefault="00980E5F">
            <w:pPr>
              <w:rPr>
                <w:rFonts w:ascii="宋体"/>
                <w:vanish/>
              </w:rPr>
            </w:pPr>
          </w:p>
        </w:tc>
      </w:tr>
      <w:tr w:rsidR="00980E5F" w14:paraId="392C358D" w14:textId="77777777">
        <w:trPr>
          <w:jc w:val="center"/>
          <w:hidden/>
        </w:trPr>
        <w:tc>
          <w:tcPr>
            <w:tcW w:w="0" w:type="auto"/>
            <w:gridSpan w:val="3"/>
            <w:shd w:val="clear" w:color="auto" w:fill="auto"/>
            <w:vAlign w:val="bottom"/>
          </w:tcPr>
          <w:p w14:paraId="392C357B" w14:textId="77777777" w:rsidR="00980E5F" w:rsidRDefault="00980E5F">
            <w:pPr>
              <w:rPr>
                <w:rFonts w:ascii="宋体"/>
                <w:vanish/>
              </w:rPr>
            </w:pPr>
          </w:p>
        </w:tc>
        <w:tc>
          <w:tcPr>
            <w:tcW w:w="0" w:type="auto"/>
            <w:gridSpan w:val="3"/>
            <w:shd w:val="clear" w:color="auto" w:fill="auto"/>
            <w:vAlign w:val="bottom"/>
          </w:tcPr>
          <w:p w14:paraId="392C357C" w14:textId="77777777" w:rsidR="00980E5F" w:rsidRDefault="00980E5F">
            <w:pPr>
              <w:rPr>
                <w:rFonts w:ascii="宋体"/>
                <w:vanish/>
              </w:rPr>
            </w:pPr>
          </w:p>
        </w:tc>
        <w:tc>
          <w:tcPr>
            <w:tcW w:w="0" w:type="auto"/>
            <w:gridSpan w:val="3"/>
            <w:shd w:val="clear" w:color="auto" w:fill="auto"/>
            <w:vAlign w:val="bottom"/>
          </w:tcPr>
          <w:p w14:paraId="392C357D" w14:textId="77777777" w:rsidR="00980E5F" w:rsidRDefault="00980E5F">
            <w:pPr>
              <w:rPr>
                <w:rFonts w:ascii="宋体"/>
                <w:vanish/>
              </w:rPr>
            </w:pPr>
          </w:p>
        </w:tc>
        <w:tc>
          <w:tcPr>
            <w:tcW w:w="0" w:type="auto"/>
            <w:gridSpan w:val="3"/>
            <w:shd w:val="clear" w:color="auto" w:fill="auto"/>
            <w:vAlign w:val="bottom"/>
          </w:tcPr>
          <w:p w14:paraId="392C357E" w14:textId="77777777" w:rsidR="00980E5F" w:rsidRDefault="00980E5F">
            <w:pPr>
              <w:rPr>
                <w:rFonts w:ascii="宋体"/>
                <w:vanish/>
              </w:rPr>
            </w:pPr>
          </w:p>
        </w:tc>
        <w:tc>
          <w:tcPr>
            <w:tcW w:w="0" w:type="auto"/>
            <w:gridSpan w:val="3"/>
            <w:shd w:val="clear" w:color="auto" w:fill="auto"/>
            <w:vAlign w:val="bottom"/>
          </w:tcPr>
          <w:p w14:paraId="392C357F" w14:textId="77777777" w:rsidR="00980E5F" w:rsidRDefault="00980E5F">
            <w:pPr>
              <w:rPr>
                <w:rFonts w:ascii="宋体"/>
                <w:vanish/>
              </w:rPr>
            </w:pPr>
          </w:p>
        </w:tc>
        <w:tc>
          <w:tcPr>
            <w:tcW w:w="0" w:type="auto"/>
            <w:gridSpan w:val="3"/>
            <w:shd w:val="clear" w:color="auto" w:fill="auto"/>
            <w:vAlign w:val="bottom"/>
          </w:tcPr>
          <w:p w14:paraId="392C3580" w14:textId="77777777" w:rsidR="00980E5F" w:rsidRDefault="00980E5F">
            <w:pPr>
              <w:rPr>
                <w:rFonts w:ascii="宋体"/>
                <w:vanish/>
              </w:rPr>
            </w:pPr>
          </w:p>
        </w:tc>
        <w:tc>
          <w:tcPr>
            <w:tcW w:w="0" w:type="auto"/>
            <w:gridSpan w:val="3"/>
            <w:shd w:val="clear" w:color="auto" w:fill="auto"/>
            <w:vAlign w:val="bottom"/>
          </w:tcPr>
          <w:p w14:paraId="392C3581" w14:textId="77777777" w:rsidR="00980E5F" w:rsidRDefault="00980E5F">
            <w:pPr>
              <w:rPr>
                <w:rFonts w:ascii="宋体"/>
                <w:vanish/>
              </w:rPr>
            </w:pPr>
          </w:p>
        </w:tc>
        <w:tc>
          <w:tcPr>
            <w:tcW w:w="0" w:type="auto"/>
            <w:gridSpan w:val="3"/>
            <w:shd w:val="clear" w:color="auto" w:fill="auto"/>
            <w:vAlign w:val="bottom"/>
          </w:tcPr>
          <w:p w14:paraId="392C3582" w14:textId="77777777" w:rsidR="00980E5F" w:rsidRDefault="00980E5F">
            <w:pPr>
              <w:rPr>
                <w:rFonts w:ascii="宋体"/>
                <w:vanish/>
              </w:rPr>
            </w:pPr>
          </w:p>
        </w:tc>
        <w:tc>
          <w:tcPr>
            <w:tcW w:w="0" w:type="auto"/>
            <w:gridSpan w:val="3"/>
            <w:shd w:val="clear" w:color="auto" w:fill="auto"/>
            <w:vAlign w:val="bottom"/>
          </w:tcPr>
          <w:p w14:paraId="392C3583" w14:textId="77777777" w:rsidR="00980E5F" w:rsidRDefault="00980E5F">
            <w:pPr>
              <w:rPr>
                <w:rFonts w:ascii="宋体"/>
                <w:vanish/>
              </w:rPr>
            </w:pPr>
          </w:p>
        </w:tc>
        <w:tc>
          <w:tcPr>
            <w:tcW w:w="0" w:type="auto"/>
            <w:gridSpan w:val="3"/>
            <w:shd w:val="clear" w:color="auto" w:fill="auto"/>
            <w:vAlign w:val="bottom"/>
          </w:tcPr>
          <w:p w14:paraId="392C3584" w14:textId="77777777" w:rsidR="00980E5F" w:rsidRDefault="00980E5F">
            <w:pPr>
              <w:rPr>
                <w:rFonts w:ascii="宋体"/>
                <w:vanish/>
              </w:rPr>
            </w:pPr>
          </w:p>
        </w:tc>
        <w:tc>
          <w:tcPr>
            <w:tcW w:w="0" w:type="auto"/>
            <w:gridSpan w:val="3"/>
            <w:shd w:val="clear" w:color="auto" w:fill="auto"/>
            <w:vAlign w:val="bottom"/>
          </w:tcPr>
          <w:p w14:paraId="392C3585" w14:textId="77777777" w:rsidR="00980E5F" w:rsidRDefault="00980E5F">
            <w:pPr>
              <w:rPr>
                <w:rFonts w:ascii="宋体"/>
                <w:vanish/>
              </w:rPr>
            </w:pPr>
          </w:p>
        </w:tc>
        <w:tc>
          <w:tcPr>
            <w:tcW w:w="0" w:type="auto"/>
            <w:gridSpan w:val="3"/>
            <w:shd w:val="clear" w:color="auto" w:fill="auto"/>
            <w:vAlign w:val="bottom"/>
          </w:tcPr>
          <w:p w14:paraId="392C3586" w14:textId="77777777" w:rsidR="00980E5F" w:rsidRDefault="00980E5F">
            <w:pPr>
              <w:rPr>
                <w:rFonts w:ascii="宋体"/>
                <w:vanish/>
              </w:rPr>
            </w:pPr>
          </w:p>
        </w:tc>
        <w:tc>
          <w:tcPr>
            <w:tcW w:w="0" w:type="auto"/>
            <w:gridSpan w:val="3"/>
            <w:shd w:val="clear" w:color="auto" w:fill="auto"/>
            <w:vAlign w:val="bottom"/>
          </w:tcPr>
          <w:p w14:paraId="392C3587" w14:textId="77777777" w:rsidR="00980E5F" w:rsidRDefault="00980E5F">
            <w:pPr>
              <w:rPr>
                <w:rFonts w:ascii="宋体"/>
                <w:vanish/>
              </w:rPr>
            </w:pPr>
          </w:p>
        </w:tc>
        <w:tc>
          <w:tcPr>
            <w:tcW w:w="0" w:type="auto"/>
            <w:gridSpan w:val="3"/>
            <w:shd w:val="clear" w:color="auto" w:fill="auto"/>
            <w:vAlign w:val="bottom"/>
          </w:tcPr>
          <w:p w14:paraId="392C3588" w14:textId="77777777" w:rsidR="00980E5F" w:rsidRDefault="00980E5F">
            <w:pPr>
              <w:rPr>
                <w:rFonts w:ascii="宋体"/>
                <w:vanish/>
              </w:rPr>
            </w:pPr>
          </w:p>
        </w:tc>
        <w:tc>
          <w:tcPr>
            <w:tcW w:w="0" w:type="auto"/>
            <w:gridSpan w:val="3"/>
            <w:shd w:val="clear" w:color="auto" w:fill="auto"/>
            <w:vAlign w:val="bottom"/>
          </w:tcPr>
          <w:p w14:paraId="392C3589" w14:textId="77777777" w:rsidR="00980E5F" w:rsidRDefault="00980E5F">
            <w:pPr>
              <w:rPr>
                <w:rFonts w:ascii="宋体"/>
                <w:vanish/>
              </w:rPr>
            </w:pPr>
          </w:p>
        </w:tc>
        <w:tc>
          <w:tcPr>
            <w:tcW w:w="0" w:type="auto"/>
            <w:gridSpan w:val="3"/>
            <w:shd w:val="clear" w:color="auto" w:fill="auto"/>
            <w:vAlign w:val="bottom"/>
          </w:tcPr>
          <w:p w14:paraId="392C358A" w14:textId="77777777" w:rsidR="00980E5F" w:rsidRDefault="00980E5F">
            <w:pPr>
              <w:rPr>
                <w:rFonts w:ascii="宋体"/>
                <w:vanish/>
              </w:rPr>
            </w:pPr>
          </w:p>
        </w:tc>
        <w:tc>
          <w:tcPr>
            <w:tcW w:w="0" w:type="auto"/>
            <w:gridSpan w:val="3"/>
            <w:shd w:val="clear" w:color="auto" w:fill="auto"/>
            <w:vAlign w:val="bottom"/>
          </w:tcPr>
          <w:p w14:paraId="392C358B" w14:textId="77777777" w:rsidR="00980E5F" w:rsidRDefault="00980E5F">
            <w:pPr>
              <w:rPr>
                <w:rFonts w:ascii="宋体"/>
                <w:vanish/>
              </w:rPr>
            </w:pPr>
          </w:p>
        </w:tc>
        <w:tc>
          <w:tcPr>
            <w:tcW w:w="0" w:type="auto"/>
            <w:gridSpan w:val="3"/>
            <w:shd w:val="clear" w:color="auto" w:fill="auto"/>
            <w:vAlign w:val="bottom"/>
          </w:tcPr>
          <w:p w14:paraId="392C358C" w14:textId="77777777" w:rsidR="00980E5F" w:rsidRDefault="00980E5F">
            <w:pPr>
              <w:rPr>
                <w:rFonts w:ascii="宋体"/>
                <w:vanish/>
              </w:rPr>
            </w:pPr>
          </w:p>
        </w:tc>
      </w:tr>
      <w:tr w:rsidR="00980E5F" w14:paraId="392C35A0" w14:textId="77777777">
        <w:trPr>
          <w:jc w:val="center"/>
          <w:hidden/>
        </w:trPr>
        <w:tc>
          <w:tcPr>
            <w:tcW w:w="0" w:type="auto"/>
            <w:gridSpan w:val="3"/>
            <w:shd w:val="clear" w:color="auto" w:fill="auto"/>
            <w:vAlign w:val="bottom"/>
          </w:tcPr>
          <w:p w14:paraId="392C358E" w14:textId="77777777" w:rsidR="00980E5F" w:rsidRDefault="00980E5F">
            <w:pPr>
              <w:rPr>
                <w:rFonts w:ascii="宋体"/>
                <w:vanish/>
              </w:rPr>
            </w:pPr>
          </w:p>
        </w:tc>
        <w:tc>
          <w:tcPr>
            <w:tcW w:w="0" w:type="auto"/>
            <w:gridSpan w:val="3"/>
            <w:shd w:val="clear" w:color="auto" w:fill="auto"/>
            <w:vAlign w:val="bottom"/>
          </w:tcPr>
          <w:p w14:paraId="392C358F" w14:textId="77777777" w:rsidR="00980E5F" w:rsidRDefault="00980E5F">
            <w:pPr>
              <w:rPr>
                <w:rFonts w:ascii="宋体"/>
                <w:vanish/>
              </w:rPr>
            </w:pPr>
          </w:p>
        </w:tc>
        <w:tc>
          <w:tcPr>
            <w:tcW w:w="0" w:type="auto"/>
            <w:gridSpan w:val="3"/>
            <w:shd w:val="clear" w:color="auto" w:fill="auto"/>
            <w:vAlign w:val="bottom"/>
          </w:tcPr>
          <w:p w14:paraId="392C3590" w14:textId="77777777" w:rsidR="00980E5F" w:rsidRDefault="00980E5F">
            <w:pPr>
              <w:rPr>
                <w:rFonts w:ascii="宋体"/>
                <w:vanish/>
              </w:rPr>
            </w:pPr>
          </w:p>
        </w:tc>
        <w:tc>
          <w:tcPr>
            <w:tcW w:w="0" w:type="auto"/>
            <w:gridSpan w:val="3"/>
            <w:shd w:val="clear" w:color="auto" w:fill="auto"/>
            <w:vAlign w:val="bottom"/>
          </w:tcPr>
          <w:p w14:paraId="392C3591" w14:textId="77777777" w:rsidR="00980E5F" w:rsidRDefault="00980E5F">
            <w:pPr>
              <w:rPr>
                <w:rFonts w:ascii="宋体"/>
                <w:vanish/>
              </w:rPr>
            </w:pPr>
          </w:p>
        </w:tc>
        <w:tc>
          <w:tcPr>
            <w:tcW w:w="0" w:type="auto"/>
            <w:gridSpan w:val="3"/>
            <w:shd w:val="clear" w:color="auto" w:fill="auto"/>
            <w:vAlign w:val="bottom"/>
          </w:tcPr>
          <w:p w14:paraId="392C3592" w14:textId="77777777" w:rsidR="00980E5F" w:rsidRDefault="00980E5F">
            <w:pPr>
              <w:rPr>
                <w:rFonts w:ascii="宋体"/>
                <w:vanish/>
              </w:rPr>
            </w:pPr>
          </w:p>
        </w:tc>
        <w:tc>
          <w:tcPr>
            <w:tcW w:w="0" w:type="auto"/>
            <w:gridSpan w:val="3"/>
            <w:shd w:val="clear" w:color="auto" w:fill="auto"/>
            <w:vAlign w:val="bottom"/>
          </w:tcPr>
          <w:p w14:paraId="392C3593" w14:textId="77777777" w:rsidR="00980E5F" w:rsidRDefault="00980E5F">
            <w:pPr>
              <w:rPr>
                <w:rFonts w:ascii="宋体"/>
                <w:vanish/>
              </w:rPr>
            </w:pPr>
          </w:p>
        </w:tc>
        <w:tc>
          <w:tcPr>
            <w:tcW w:w="0" w:type="auto"/>
            <w:gridSpan w:val="3"/>
            <w:shd w:val="clear" w:color="auto" w:fill="auto"/>
            <w:vAlign w:val="bottom"/>
          </w:tcPr>
          <w:p w14:paraId="392C3594" w14:textId="77777777" w:rsidR="00980E5F" w:rsidRDefault="00980E5F">
            <w:pPr>
              <w:rPr>
                <w:rFonts w:ascii="宋体"/>
                <w:vanish/>
              </w:rPr>
            </w:pPr>
          </w:p>
        </w:tc>
        <w:tc>
          <w:tcPr>
            <w:tcW w:w="0" w:type="auto"/>
            <w:gridSpan w:val="3"/>
            <w:shd w:val="clear" w:color="auto" w:fill="auto"/>
            <w:vAlign w:val="bottom"/>
          </w:tcPr>
          <w:p w14:paraId="392C3595" w14:textId="77777777" w:rsidR="00980E5F" w:rsidRDefault="00980E5F">
            <w:pPr>
              <w:rPr>
                <w:rFonts w:ascii="宋体"/>
                <w:vanish/>
              </w:rPr>
            </w:pPr>
          </w:p>
        </w:tc>
        <w:tc>
          <w:tcPr>
            <w:tcW w:w="0" w:type="auto"/>
            <w:gridSpan w:val="3"/>
            <w:shd w:val="clear" w:color="auto" w:fill="auto"/>
            <w:vAlign w:val="bottom"/>
          </w:tcPr>
          <w:p w14:paraId="392C3596" w14:textId="77777777" w:rsidR="00980E5F" w:rsidRDefault="00980E5F">
            <w:pPr>
              <w:rPr>
                <w:rFonts w:ascii="宋体"/>
                <w:vanish/>
              </w:rPr>
            </w:pPr>
          </w:p>
        </w:tc>
        <w:tc>
          <w:tcPr>
            <w:tcW w:w="0" w:type="auto"/>
            <w:gridSpan w:val="3"/>
            <w:shd w:val="clear" w:color="auto" w:fill="auto"/>
            <w:vAlign w:val="bottom"/>
          </w:tcPr>
          <w:p w14:paraId="392C3597" w14:textId="77777777" w:rsidR="00980E5F" w:rsidRDefault="00980E5F">
            <w:pPr>
              <w:rPr>
                <w:rFonts w:ascii="宋体"/>
                <w:vanish/>
              </w:rPr>
            </w:pPr>
          </w:p>
        </w:tc>
        <w:tc>
          <w:tcPr>
            <w:tcW w:w="0" w:type="auto"/>
            <w:gridSpan w:val="3"/>
            <w:shd w:val="clear" w:color="auto" w:fill="auto"/>
            <w:vAlign w:val="bottom"/>
          </w:tcPr>
          <w:p w14:paraId="392C3598" w14:textId="77777777" w:rsidR="00980E5F" w:rsidRDefault="00980E5F">
            <w:pPr>
              <w:rPr>
                <w:rFonts w:ascii="宋体"/>
                <w:vanish/>
              </w:rPr>
            </w:pPr>
          </w:p>
        </w:tc>
        <w:tc>
          <w:tcPr>
            <w:tcW w:w="0" w:type="auto"/>
            <w:gridSpan w:val="3"/>
            <w:shd w:val="clear" w:color="auto" w:fill="auto"/>
            <w:vAlign w:val="bottom"/>
          </w:tcPr>
          <w:p w14:paraId="392C3599" w14:textId="77777777" w:rsidR="00980E5F" w:rsidRDefault="00980E5F">
            <w:pPr>
              <w:rPr>
                <w:rFonts w:ascii="宋体"/>
                <w:vanish/>
              </w:rPr>
            </w:pPr>
          </w:p>
        </w:tc>
        <w:tc>
          <w:tcPr>
            <w:tcW w:w="0" w:type="auto"/>
            <w:gridSpan w:val="3"/>
            <w:shd w:val="clear" w:color="auto" w:fill="auto"/>
            <w:vAlign w:val="bottom"/>
          </w:tcPr>
          <w:p w14:paraId="392C359A" w14:textId="77777777" w:rsidR="00980E5F" w:rsidRDefault="00980E5F">
            <w:pPr>
              <w:rPr>
                <w:rFonts w:ascii="宋体"/>
                <w:vanish/>
              </w:rPr>
            </w:pPr>
          </w:p>
        </w:tc>
        <w:tc>
          <w:tcPr>
            <w:tcW w:w="0" w:type="auto"/>
            <w:gridSpan w:val="3"/>
            <w:shd w:val="clear" w:color="auto" w:fill="auto"/>
            <w:vAlign w:val="bottom"/>
          </w:tcPr>
          <w:p w14:paraId="392C359B" w14:textId="77777777" w:rsidR="00980E5F" w:rsidRDefault="00980E5F">
            <w:pPr>
              <w:rPr>
                <w:rFonts w:ascii="宋体"/>
                <w:vanish/>
              </w:rPr>
            </w:pPr>
          </w:p>
        </w:tc>
        <w:tc>
          <w:tcPr>
            <w:tcW w:w="0" w:type="auto"/>
            <w:gridSpan w:val="3"/>
            <w:shd w:val="clear" w:color="auto" w:fill="auto"/>
            <w:vAlign w:val="bottom"/>
          </w:tcPr>
          <w:p w14:paraId="392C359C" w14:textId="77777777" w:rsidR="00980E5F" w:rsidRDefault="00980E5F">
            <w:pPr>
              <w:rPr>
                <w:rFonts w:ascii="宋体"/>
                <w:vanish/>
              </w:rPr>
            </w:pPr>
          </w:p>
        </w:tc>
        <w:tc>
          <w:tcPr>
            <w:tcW w:w="0" w:type="auto"/>
            <w:gridSpan w:val="3"/>
            <w:shd w:val="clear" w:color="auto" w:fill="auto"/>
            <w:vAlign w:val="bottom"/>
          </w:tcPr>
          <w:p w14:paraId="392C359D" w14:textId="77777777" w:rsidR="00980E5F" w:rsidRDefault="00980E5F">
            <w:pPr>
              <w:rPr>
                <w:rFonts w:ascii="宋体"/>
                <w:vanish/>
              </w:rPr>
            </w:pPr>
          </w:p>
        </w:tc>
        <w:tc>
          <w:tcPr>
            <w:tcW w:w="0" w:type="auto"/>
            <w:gridSpan w:val="3"/>
            <w:shd w:val="clear" w:color="auto" w:fill="auto"/>
            <w:vAlign w:val="bottom"/>
          </w:tcPr>
          <w:p w14:paraId="392C359E" w14:textId="77777777" w:rsidR="00980E5F" w:rsidRDefault="00980E5F">
            <w:pPr>
              <w:rPr>
                <w:rFonts w:ascii="宋体"/>
                <w:vanish/>
              </w:rPr>
            </w:pPr>
          </w:p>
        </w:tc>
        <w:tc>
          <w:tcPr>
            <w:tcW w:w="0" w:type="auto"/>
            <w:gridSpan w:val="3"/>
            <w:shd w:val="clear" w:color="auto" w:fill="auto"/>
            <w:vAlign w:val="bottom"/>
          </w:tcPr>
          <w:p w14:paraId="392C359F" w14:textId="77777777" w:rsidR="00980E5F" w:rsidRDefault="00980E5F">
            <w:pPr>
              <w:rPr>
                <w:rFonts w:ascii="宋体"/>
                <w:vanish/>
              </w:rPr>
            </w:pPr>
          </w:p>
        </w:tc>
      </w:tr>
      <w:tr w:rsidR="00980E5F" w14:paraId="392C35B3" w14:textId="77777777">
        <w:trPr>
          <w:jc w:val="center"/>
          <w:hidden/>
        </w:trPr>
        <w:tc>
          <w:tcPr>
            <w:tcW w:w="0" w:type="auto"/>
            <w:gridSpan w:val="3"/>
            <w:shd w:val="clear" w:color="auto" w:fill="auto"/>
            <w:vAlign w:val="bottom"/>
          </w:tcPr>
          <w:p w14:paraId="392C35A1" w14:textId="77777777" w:rsidR="00980E5F" w:rsidRDefault="00980E5F">
            <w:pPr>
              <w:rPr>
                <w:rFonts w:ascii="宋体"/>
                <w:vanish/>
              </w:rPr>
            </w:pPr>
          </w:p>
        </w:tc>
        <w:tc>
          <w:tcPr>
            <w:tcW w:w="0" w:type="auto"/>
            <w:gridSpan w:val="3"/>
            <w:shd w:val="clear" w:color="auto" w:fill="auto"/>
            <w:vAlign w:val="bottom"/>
          </w:tcPr>
          <w:p w14:paraId="392C35A2" w14:textId="77777777" w:rsidR="00980E5F" w:rsidRDefault="00980E5F">
            <w:pPr>
              <w:rPr>
                <w:rFonts w:ascii="宋体"/>
                <w:vanish/>
              </w:rPr>
            </w:pPr>
          </w:p>
        </w:tc>
        <w:tc>
          <w:tcPr>
            <w:tcW w:w="0" w:type="auto"/>
            <w:gridSpan w:val="3"/>
            <w:shd w:val="clear" w:color="auto" w:fill="auto"/>
            <w:vAlign w:val="bottom"/>
          </w:tcPr>
          <w:p w14:paraId="392C35A3" w14:textId="77777777" w:rsidR="00980E5F" w:rsidRDefault="00980E5F">
            <w:pPr>
              <w:rPr>
                <w:rFonts w:ascii="宋体"/>
                <w:vanish/>
              </w:rPr>
            </w:pPr>
          </w:p>
        </w:tc>
        <w:tc>
          <w:tcPr>
            <w:tcW w:w="0" w:type="auto"/>
            <w:gridSpan w:val="3"/>
            <w:shd w:val="clear" w:color="auto" w:fill="auto"/>
            <w:vAlign w:val="bottom"/>
          </w:tcPr>
          <w:p w14:paraId="392C35A4" w14:textId="77777777" w:rsidR="00980E5F" w:rsidRDefault="00980E5F">
            <w:pPr>
              <w:rPr>
                <w:rFonts w:ascii="宋体"/>
                <w:vanish/>
              </w:rPr>
            </w:pPr>
          </w:p>
        </w:tc>
        <w:tc>
          <w:tcPr>
            <w:tcW w:w="0" w:type="auto"/>
            <w:gridSpan w:val="3"/>
            <w:shd w:val="clear" w:color="auto" w:fill="auto"/>
            <w:vAlign w:val="bottom"/>
          </w:tcPr>
          <w:p w14:paraId="392C35A5" w14:textId="77777777" w:rsidR="00980E5F" w:rsidRDefault="00980E5F">
            <w:pPr>
              <w:rPr>
                <w:rFonts w:ascii="宋体"/>
                <w:vanish/>
              </w:rPr>
            </w:pPr>
          </w:p>
        </w:tc>
        <w:tc>
          <w:tcPr>
            <w:tcW w:w="0" w:type="auto"/>
            <w:gridSpan w:val="3"/>
            <w:shd w:val="clear" w:color="auto" w:fill="auto"/>
            <w:vAlign w:val="bottom"/>
          </w:tcPr>
          <w:p w14:paraId="392C35A6" w14:textId="77777777" w:rsidR="00980E5F" w:rsidRDefault="00980E5F">
            <w:pPr>
              <w:rPr>
                <w:rFonts w:ascii="宋体"/>
                <w:vanish/>
              </w:rPr>
            </w:pPr>
          </w:p>
        </w:tc>
        <w:tc>
          <w:tcPr>
            <w:tcW w:w="0" w:type="auto"/>
            <w:gridSpan w:val="3"/>
            <w:shd w:val="clear" w:color="auto" w:fill="auto"/>
            <w:vAlign w:val="bottom"/>
          </w:tcPr>
          <w:p w14:paraId="392C35A7" w14:textId="77777777" w:rsidR="00980E5F" w:rsidRDefault="00980E5F">
            <w:pPr>
              <w:rPr>
                <w:rFonts w:ascii="宋体"/>
                <w:vanish/>
              </w:rPr>
            </w:pPr>
          </w:p>
        </w:tc>
        <w:tc>
          <w:tcPr>
            <w:tcW w:w="0" w:type="auto"/>
            <w:gridSpan w:val="3"/>
            <w:shd w:val="clear" w:color="auto" w:fill="auto"/>
            <w:vAlign w:val="bottom"/>
          </w:tcPr>
          <w:p w14:paraId="392C35A8" w14:textId="77777777" w:rsidR="00980E5F" w:rsidRDefault="00980E5F">
            <w:pPr>
              <w:rPr>
                <w:rFonts w:ascii="宋体"/>
                <w:vanish/>
              </w:rPr>
            </w:pPr>
          </w:p>
        </w:tc>
        <w:tc>
          <w:tcPr>
            <w:tcW w:w="0" w:type="auto"/>
            <w:gridSpan w:val="3"/>
            <w:shd w:val="clear" w:color="auto" w:fill="auto"/>
            <w:vAlign w:val="bottom"/>
          </w:tcPr>
          <w:p w14:paraId="392C35A9" w14:textId="77777777" w:rsidR="00980E5F" w:rsidRDefault="00980E5F">
            <w:pPr>
              <w:rPr>
                <w:rFonts w:ascii="宋体"/>
                <w:vanish/>
              </w:rPr>
            </w:pPr>
          </w:p>
        </w:tc>
        <w:tc>
          <w:tcPr>
            <w:tcW w:w="0" w:type="auto"/>
            <w:gridSpan w:val="3"/>
            <w:shd w:val="clear" w:color="auto" w:fill="auto"/>
            <w:vAlign w:val="bottom"/>
          </w:tcPr>
          <w:p w14:paraId="392C35AA" w14:textId="77777777" w:rsidR="00980E5F" w:rsidRDefault="00980E5F">
            <w:pPr>
              <w:rPr>
                <w:rFonts w:ascii="宋体"/>
                <w:vanish/>
              </w:rPr>
            </w:pPr>
          </w:p>
        </w:tc>
        <w:tc>
          <w:tcPr>
            <w:tcW w:w="0" w:type="auto"/>
            <w:gridSpan w:val="3"/>
            <w:shd w:val="clear" w:color="auto" w:fill="auto"/>
            <w:vAlign w:val="bottom"/>
          </w:tcPr>
          <w:p w14:paraId="392C35AB" w14:textId="77777777" w:rsidR="00980E5F" w:rsidRDefault="00980E5F">
            <w:pPr>
              <w:rPr>
                <w:rFonts w:ascii="宋体"/>
                <w:vanish/>
              </w:rPr>
            </w:pPr>
          </w:p>
        </w:tc>
        <w:tc>
          <w:tcPr>
            <w:tcW w:w="0" w:type="auto"/>
            <w:gridSpan w:val="3"/>
            <w:shd w:val="clear" w:color="auto" w:fill="auto"/>
            <w:vAlign w:val="bottom"/>
          </w:tcPr>
          <w:p w14:paraId="392C35AC" w14:textId="77777777" w:rsidR="00980E5F" w:rsidRDefault="00980E5F">
            <w:pPr>
              <w:rPr>
                <w:rFonts w:ascii="宋体"/>
                <w:vanish/>
              </w:rPr>
            </w:pPr>
          </w:p>
        </w:tc>
        <w:tc>
          <w:tcPr>
            <w:tcW w:w="0" w:type="auto"/>
            <w:gridSpan w:val="3"/>
            <w:shd w:val="clear" w:color="auto" w:fill="auto"/>
            <w:vAlign w:val="bottom"/>
          </w:tcPr>
          <w:p w14:paraId="392C35AD" w14:textId="77777777" w:rsidR="00980E5F" w:rsidRDefault="00980E5F">
            <w:pPr>
              <w:rPr>
                <w:rFonts w:ascii="宋体"/>
                <w:vanish/>
              </w:rPr>
            </w:pPr>
          </w:p>
        </w:tc>
        <w:tc>
          <w:tcPr>
            <w:tcW w:w="0" w:type="auto"/>
            <w:gridSpan w:val="3"/>
            <w:shd w:val="clear" w:color="auto" w:fill="auto"/>
            <w:vAlign w:val="bottom"/>
          </w:tcPr>
          <w:p w14:paraId="392C35AE" w14:textId="77777777" w:rsidR="00980E5F" w:rsidRDefault="00980E5F">
            <w:pPr>
              <w:rPr>
                <w:rFonts w:ascii="宋体"/>
                <w:vanish/>
              </w:rPr>
            </w:pPr>
          </w:p>
        </w:tc>
        <w:tc>
          <w:tcPr>
            <w:tcW w:w="0" w:type="auto"/>
            <w:gridSpan w:val="3"/>
            <w:shd w:val="clear" w:color="auto" w:fill="auto"/>
            <w:vAlign w:val="bottom"/>
          </w:tcPr>
          <w:p w14:paraId="392C35AF" w14:textId="77777777" w:rsidR="00980E5F" w:rsidRDefault="00980E5F">
            <w:pPr>
              <w:rPr>
                <w:rFonts w:ascii="宋体"/>
                <w:vanish/>
              </w:rPr>
            </w:pPr>
          </w:p>
        </w:tc>
        <w:tc>
          <w:tcPr>
            <w:tcW w:w="0" w:type="auto"/>
            <w:gridSpan w:val="3"/>
            <w:shd w:val="clear" w:color="auto" w:fill="auto"/>
            <w:vAlign w:val="bottom"/>
          </w:tcPr>
          <w:p w14:paraId="392C35B0" w14:textId="77777777" w:rsidR="00980E5F" w:rsidRDefault="00980E5F">
            <w:pPr>
              <w:rPr>
                <w:rFonts w:ascii="宋体"/>
                <w:vanish/>
              </w:rPr>
            </w:pPr>
          </w:p>
        </w:tc>
        <w:tc>
          <w:tcPr>
            <w:tcW w:w="0" w:type="auto"/>
            <w:gridSpan w:val="3"/>
            <w:shd w:val="clear" w:color="auto" w:fill="auto"/>
            <w:vAlign w:val="bottom"/>
          </w:tcPr>
          <w:p w14:paraId="392C35B1" w14:textId="77777777" w:rsidR="00980E5F" w:rsidRDefault="00980E5F">
            <w:pPr>
              <w:rPr>
                <w:rFonts w:ascii="宋体"/>
                <w:vanish/>
              </w:rPr>
            </w:pPr>
          </w:p>
        </w:tc>
        <w:tc>
          <w:tcPr>
            <w:tcW w:w="0" w:type="auto"/>
            <w:gridSpan w:val="3"/>
            <w:shd w:val="clear" w:color="auto" w:fill="auto"/>
            <w:vAlign w:val="bottom"/>
          </w:tcPr>
          <w:p w14:paraId="392C35B2" w14:textId="77777777" w:rsidR="00980E5F" w:rsidRDefault="00980E5F">
            <w:pPr>
              <w:rPr>
                <w:rFonts w:ascii="宋体"/>
                <w:vanish/>
              </w:rPr>
            </w:pPr>
          </w:p>
        </w:tc>
      </w:tr>
      <w:tr w:rsidR="00980E5F" w14:paraId="392C35C6" w14:textId="77777777">
        <w:trPr>
          <w:jc w:val="center"/>
          <w:hidden/>
        </w:trPr>
        <w:tc>
          <w:tcPr>
            <w:tcW w:w="0" w:type="auto"/>
            <w:gridSpan w:val="3"/>
            <w:shd w:val="clear" w:color="auto" w:fill="auto"/>
            <w:vAlign w:val="bottom"/>
          </w:tcPr>
          <w:p w14:paraId="392C35B4" w14:textId="77777777" w:rsidR="00980E5F" w:rsidRDefault="00980E5F">
            <w:pPr>
              <w:rPr>
                <w:rFonts w:ascii="宋体"/>
                <w:vanish/>
              </w:rPr>
            </w:pPr>
          </w:p>
        </w:tc>
        <w:tc>
          <w:tcPr>
            <w:tcW w:w="0" w:type="auto"/>
            <w:gridSpan w:val="3"/>
            <w:shd w:val="clear" w:color="auto" w:fill="auto"/>
            <w:vAlign w:val="bottom"/>
          </w:tcPr>
          <w:p w14:paraId="392C35B5" w14:textId="77777777" w:rsidR="00980E5F" w:rsidRDefault="00980E5F">
            <w:pPr>
              <w:rPr>
                <w:rFonts w:ascii="宋体"/>
                <w:vanish/>
              </w:rPr>
            </w:pPr>
          </w:p>
        </w:tc>
        <w:tc>
          <w:tcPr>
            <w:tcW w:w="0" w:type="auto"/>
            <w:gridSpan w:val="3"/>
            <w:shd w:val="clear" w:color="auto" w:fill="auto"/>
            <w:vAlign w:val="bottom"/>
          </w:tcPr>
          <w:p w14:paraId="392C35B6" w14:textId="77777777" w:rsidR="00980E5F" w:rsidRDefault="00980E5F">
            <w:pPr>
              <w:rPr>
                <w:rFonts w:ascii="宋体"/>
                <w:vanish/>
              </w:rPr>
            </w:pPr>
          </w:p>
        </w:tc>
        <w:tc>
          <w:tcPr>
            <w:tcW w:w="0" w:type="auto"/>
            <w:gridSpan w:val="3"/>
            <w:shd w:val="clear" w:color="auto" w:fill="auto"/>
            <w:vAlign w:val="bottom"/>
          </w:tcPr>
          <w:p w14:paraId="392C35B7" w14:textId="77777777" w:rsidR="00980E5F" w:rsidRDefault="00980E5F">
            <w:pPr>
              <w:rPr>
                <w:rFonts w:ascii="宋体"/>
                <w:vanish/>
              </w:rPr>
            </w:pPr>
          </w:p>
        </w:tc>
        <w:tc>
          <w:tcPr>
            <w:tcW w:w="0" w:type="auto"/>
            <w:gridSpan w:val="3"/>
            <w:shd w:val="clear" w:color="auto" w:fill="auto"/>
            <w:vAlign w:val="bottom"/>
          </w:tcPr>
          <w:p w14:paraId="392C35B8" w14:textId="77777777" w:rsidR="00980E5F" w:rsidRDefault="00980E5F">
            <w:pPr>
              <w:rPr>
                <w:rFonts w:ascii="宋体"/>
                <w:vanish/>
              </w:rPr>
            </w:pPr>
          </w:p>
        </w:tc>
        <w:tc>
          <w:tcPr>
            <w:tcW w:w="0" w:type="auto"/>
            <w:gridSpan w:val="3"/>
            <w:shd w:val="clear" w:color="auto" w:fill="auto"/>
            <w:vAlign w:val="bottom"/>
          </w:tcPr>
          <w:p w14:paraId="392C35B9" w14:textId="77777777" w:rsidR="00980E5F" w:rsidRDefault="00980E5F">
            <w:pPr>
              <w:rPr>
                <w:rFonts w:ascii="宋体"/>
                <w:vanish/>
              </w:rPr>
            </w:pPr>
          </w:p>
        </w:tc>
        <w:tc>
          <w:tcPr>
            <w:tcW w:w="0" w:type="auto"/>
            <w:gridSpan w:val="3"/>
            <w:shd w:val="clear" w:color="auto" w:fill="auto"/>
            <w:vAlign w:val="bottom"/>
          </w:tcPr>
          <w:p w14:paraId="392C35BA" w14:textId="77777777" w:rsidR="00980E5F" w:rsidRDefault="00980E5F">
            <w:pPr>
              <w:rPr>
                <w:rFonts w:ascii="宋体"/>
                <w:vanish/>
              </w:rPr>
            </w:pPr>
          </w:p>
        </w:tc>
        <w:tc>
          <w:tcPr>
            <w:tcW w:w="0" w:type="auto"/>
            <w:gridSpan w:val="3"/>
            <w:shd w:val="clear" w:color="auto" w:fill="auto"/>
            <w:vAlign w:val="bottom"/>
          </w:tcPr>
          <w:p w14:paraId="392C35BB" w14:textId="77777777" w:rsidR="00980E5F" w:rsidRDefault="00980E5F">
            <w:pPr>
              <w:rPr>
                <w:rFonts w:ascii="宋体"/>
                <w:vanish/>
              </w:rPr>
            </w:pPr>
          </w:p>
        </w:tc>
        <w:tc>
          <w:tcPr>
            <w:tcW w:w="0" w:type="auto"/>
            <w:gridSpan w:val="3"/>
            <w:shd w:val="clear" w:color="auto" w:fill="auto"/>
            <w:vAlign w:val="bottom"/>
          </w:tcPr>
          <w:p w14:paraId="392C35BC" w14:textId="77777777" w:rsidR="00980E5F" w:rsidRDefault="00980E5F">
            <w:pPr>
              <w:rPr>
                <w:rFonts w:ascii="宋体"/>
                <w:vanish/>
              </w:rPr>
            </w:pPr>
          </w:p>
        </w:tc>
        <w:tc>
          <w:tcPr>
            <w:tcW w:w="0" w:type="auto"/>
            <w:gridSpan w:val="3"/>
            <w:shd w:val="clear" w:color="auto" w:fill="auto"/>
            <w:vAlign w:val="bottom"/>
          </w:tcPr>
          <w:p w14:paraId="392C35BD" w14:textId="77777777" w:rsidR="00980E5F" w:rsidRDefault="00980E5F">
            <w:pPr>
              <w:rPr>
                <w:rFonts w:ascii="宋体"/>
                <w:vanish/>
              </w:rPr>
            </w:pPr>
          </w:p>
        </w:tc>
        <w:tc>
          <w:tcPr>
            <w:tcW w:w="0" w:type="auto"/>
            <w:gridSpan w:val="3"/>
            <w:shd w:val="clear" w:color="auto" w:fill="auto"/>
            <w:vAlign w:val="bottom"/>
          </w:tcPr>
          <w:p w14:paraId="392C35BE" w14:textId="77777777" w:rsidR="00980E5F" w:rsidRDefault="00980E5F">
            <w:pPr>
              <w:rPr>
                <w:rFonts w:ascii="宋体"/>
                <w:vanish/>
              </w:rPr>
            </w:pPr>
          </w:p>
        </w:tc>
        <w:tc>
          <w:tcPr>
            <w:tcW w:w="0" w:type="auto"/>
            <w:gridSpan w:val="3"/>
            <w:shd w:val="clear" w:color="auto" w:fill="auto"/>
            <w:vAlign w:val="bottom"/>
          </w:tcPr>
          <w:p w14:paraId="392C35BF" w14:textId="77777777" w:rsidR="00980E5F" w:rsidRDefault="00980E5F">
            <w:pPr>
              <w:rPr>
                <w:rFonts w:ascii="宋体"/>
                <w:vanish/>
              </w:rPr>
            </w:pPr>
          </w:p>
        </w:tc>
        <w:tc>
          <w:tcPr>
            <w:tcW w:w="0" w:type="auto"/>
            <w:gridSpan w:val="3"/>
            <w:shd w:val="clear" w:color="auto" w:fill="auto"/>
            <w:vAlign w:val="bottom"/>
          </w:tcPr>
          <w:p w14:paraId="392C35C0" w14:textId="77777777" w:rsidR="00980E5F" w:rsidRDefault="00980E5F">
            <w:pPr>
              <w:rPr>
                <w:rFonts w:ascii="宋体"/>
                <w:vanish/>
              </w:rPr>
            </w:pPr>
          </w:p>
        </w:tc>
        <w:tc>
          <w:tcPr>
            <w:tcW w:w="0" w:type="auto"/>
            <w:gridSpan w:val="3"/>
            <w:shd w:val="clear" w:color="auto" w:fill="auto"/>
            <w:vAlign w:val="bottom"/>
          </w:tcPr>
          <w:p w14:paraId="392C35C1" w14:textId="77777777" w:rsidR="00980E5F" w:rsidRDefault="00980E5F">
            <w:pPr>
              <w:rPr>
                <w:rFonts w:ascii="宋体"/>
                <w:vanish/>
              </w:rPr>
            </w:pPr>
          </w:p>
        </w:tc>
        <w:tc>
          <w:tcPr>
            <w:tcW w:w="0" w:type="auto"/>
            <w:gridSpan w:val="3"/>
            <w:shd w:val="clear" w:color="auto" w:fill="auto"/>
            <w:vAlign w:val="bottom"/>
          </w:tcPr>
          <w:p w14:paraId="392C35C2" w14:textId="77777777" w:rsidR="00980E5F" w:rsidRDefault="00980E5F">
            <w:pPr>
              <w:rPr>
                <w:rFonts w:ascii="宋体"/>
                <w:vanish/>
              </w:rPr>
            </w:pPr>
          </w:p>
        </w:tc>
        <w:tc>
          <w:tcPr>
            <w:tcW w:w="0" w:type="auto"/>
            <w:gridSpan w:val="3"/>
            <w:shd w:val="clear" w:color="auto" w:fill="auto"/>
            <w:vAlign w:val="bottom"/>
          </w:tcPr>
          <w:p w14:paraId="392C35C3" w14:textId="77777777" w:rsidR="00980E5F" w:rsidRDefault="00980E5F">
            <w:pPr>
              <w:rPr>
                <w:rFonts w:ascii="宋体"/>
                <w:vanish/>
              </w:rPr>
            </w:pPr>
          </w:p>
        </w:tc>
        <w:tc>
          <w:tcPr>
            <w:tcW w:w="0" w:type="auto"/>
            <w:gridSpan w:val="3"/>
            <w:shd w:val="clear" w:color="auto" w:fill="auto"/>
            <w:vAlign w:val="bottom"/>
          </w:tcPr>
          <w:p w14:paraId="392C35C4" w14:textId="77777777" w:rsidR="00980E5F" w:rsidRDefault="00980E5F">
            <w:pPr>
              <w:rPr>
                <w:rFonts w:ascii="宋体"/>
                <w:vanish/>
              </w:rPr>
            </w:pPr>
          </w:p>
        </w:tc>
        <w:tc>
          <w:tcPr>
            <w:tcW w:w="0" w:type="auto"/>
            <w:gridSpan w:val="3"/>
            <w:shd w:val="clear" w:color="auto" w:fill="auto"/>
            <w:vAlign w:val="bottom"/>
          </w:tcPr>
          <w:p w14:paraId="392C35C5" w14:textId="77777777" w:rsidR="00980E5F" w:rsidRDefault="00980E5F">
            <w:pPr>
              <w:rPr>
                <w:rFonts w:ascii="宋体"/>
                <w:vanish/>
              </w:rPr>
            </w:pPr>
          </w:p>
        </w:tc>
      </w:tr>
      <w:tr w:rsidR="00980E5F" w14:paraId="392C35D9" w14:textId="77777777">
        <w:trPr>
          <w:jc w:val="center"/>
          <w:hidden/>
        </w:trPr>
        <w:tc>
          <w:tcPr>
            <w:tcW w:w="0" w:type="auto"/>
            <w:gridSpan w:val="3"/>
            <w:shd w:val="clear" w:color="auto" w:fill="auto"/>
            <w:vAlign w:val="bottom"/>
          </w:tcPr>
          <w:p w14:paraId="392C35C7" w14:textId="77777777" w:rsidR="00980E5F" w:rsidRDefault="00980E5F">
            <w:pPr>
              <w:rPr>
                <w:rFonts w:ascii="宋体"/>
                <w:vanish/>
              </w:rPr>
            </w:pPr>
          </w:p>
        </w:tc>
        <w:tc>
          <w:tcPr>
            <w:tcW w:w="0" w:type="auto"/>
            <w:gridSpan w:val="3"/>
            <w:shd w:val="clear" w:color="auto" w:fill="auto"/>
            <w:vAlign w:val="bottom"/>
          </w:tcPr>
          <w:p w14:paraId="392C35C8" w14:textId="77777777" w:rsidR="00980E5F" w:rsidRDefault="00980E5F">
            <w:pPr>
              <w:rPr>
                <w:rFonts w:ascii="宋体"/>
                <w:vanish/>
              </w:rPr>
            </w:pPr>
          </w:p>
        </w:tc>
        <w:tc>
          <w:tcPr>
            <w:tcW w:w="0" w:type="auto"/>
            <w:gridSpan w:val="3"/>
            <w:shd w:val="clear" w:color="auto" w:fill="auto"/>
            <w:vAlign w:val="bottom"/>
          </w:tcPr>
          <w:p w14:paraId="392C35C9" w14:textId="77777777" w:rsidR="00980E5F" w:rsidRDefault="00980E5F">
            <w:pPr>
              <w:rPr>
                <w:rFonts w:ascii="宋体"/>
                <w:vanish/>
              </w:rPr>
            </w:pPr>
          </w:p>
        </w:tc>
        <w:tc>
          <w:tcPr>
            <w:tcW w:w="0" w:type="auto"/>
            <w:gridSpan w:val="3"/>
            <w:shd w:val="clear" w:color="auto" w:fill="auto"/>
            <w:vAlign w:val="bottom"/>
          </w:tcPr>
          <w:p w14:paraId="392C35CA" w14:textId="77777777" w:rsidR="00980E5F" w:rsidRDefault="00980E5F">
            <w:pPr>
              <w:rPr>
                <w:rFonts w:ascii="宋体"/>
                <w:vanish/>
              </w:rPr>
            </w:pPr>
          </w:p>
        </w:tc>
        <w:tc>
          <w:tcPr>
            <w:tcW w:w="0" w:type="auto"/>
            <w:gridSpan w:val="3"/>
            <w:shd w:val="clear" w:color="auto" w:fill="auto"/>
            <w:vAlign w:val="bottom"/>
          </w:tcPr>
          <w:p w14:paraId="392C35CB" w14:textId="77777777" w:rsidR="00980E5F" w:rsidRDefault="00980E5F">
            <w:pPr>
              <w:rPr>
                <w:rFonts w:ascii="宋体"/>
                <w:vanish/>
              </w:rPr>
            </w:pPr>
          </w:p>
        </w:tc>
        <w:tc>
          <w:tcPr>
            <w:tcW w:w="0" w:type="auto"/>
            <w:gridSpan w:val="3"/>
            <w:shd w:val="clear" w:color="auto" w:fill="auto"/>
            <w:vAlign w:val="bottom"/>
          </w:tcPr>
          <w:p w14:paraId="392C35CC" w14:textId="77777777" w:rsidR="00980E5F" w:rsidRDefault="00980E5F">
            <w:pPr>
              <w:rPr>
                <w:rFonts w:ascii="宋体"/>
                <w:vanish/>
              </w:rPr>
            </w:pPr>
          </w:p>
        </w:tc>
        <w:tc>
          <w:tcPr>
            <w:tcW w:w="0" w:type="auto"/>
            <w:gridSpan w:val="3"/>
            <w:shd w:val="clear" w:color="auto" w:fill="auto"/>
            <w:vAlign w:val="bottom"/>
          </w:tcPr>
          <w:p w14:paraId="392C35CD" w14:textId="77777777" w:rsidR="00980E5F" w:rsidRDefault="00980E5F">
            <w:pPr>
              <w:rPr>
                <w:rFonts w:ascii="宋体"/>
                <w:vanish/>
              </w:rPr>
            </w:pPr>
          </w:p>
        </w:tc>
        <w:tc>
          <w:tcPr>
            <w:tcW w:w="0" w:type="auto"/>
            <w:gridSpan w:val="3"/>
            <w:shd w:val="clear" w:color="auto" w:fill="auto"/>
            <w:vAlign w:val="bottom"/>
          </w:tcPr>
          <w:p w14:paraId="392C35CE" w14:textId="77777777" w:rsidR="00980E5F" w:rsidRDefault="00980E5F">
            <w:pPr>
              <w:rPr>
                <w:rFonts w:ascii="宋体"/>
                <w:vanish/>
              </w:rPr>
            </w:pPr>
          </w:p>
        </w:tc>
        <w:tc>
          <w:tcPr>
            <w:tcW w:w="0" w:type="auto"/>
            <w:gridSpan w:val="3"/>
            <w:shd w:val="clear" w:color="auto" w:fill="auto"/>
            <w:vAlign w:val="bottom"/>
          </w:tcPr>
          <w:p w14:paraId="392C35CF" w14:textId="77777777" w:rsidR="00980E5F" w:rsidRDefault="00980E5F">
            <w:pPr>
              <w:rPr>
                <w:rFonts w:ascii="宋体"/>
                <w:vanish/>
              </w:rPr>
            </w:pPr>
          </w:p>
        </w:tc>
        <w:tc>
          <w:tcPr>
            <w:tcW w:w="0" w:type="auto"/>
            <w:gridSpan w:val="3"/>
            <w:shd w:val="clear" w:color="auto" w:fill="auto"/>
            <w:vAlign w:val="bottom"/>
          </w:tcPr>
          <w:p w14:paraId="392C35D0" w14:textId="77777777" w:rsidR="00980E5F" w:rsidRDefault="00980E5F">
            <w:pPr>
              <w:rPr>
                <w:rFonts w:ascii="宋体"/>
                <w:vanish/>
              </w:rPr>
            </w:pPr>
          </w:p>
        </w:tc>
        <w:tc>
          <w:tcPr>
            <w:tcW w:w="0" w:type="auto"/>
            <w:gridSpan w:val="3"/>
            <w:shd w:val="clear" w:color="auto" w:fill="auto"/>
            <w:vAlign w:val="bottom"/>
          </w:tcPr>
          <w:p w14:paraId="392C35D1" w14:textId="77777777" w:rsidR="00980E5F" w:rsidRDefault="00980E5F">
            <w:pPr>
              <w:rPr>
                <w:rFonts w:ascii="宋体"/>
                <w:vanish/>
              </w:rPr>
            </w:pPr>
          </w:p>
        </w:tc>
        <w:tc>
          <w:tcPr>
            <w:tcW w:w="0" w:type="auto"/>
            <w:gridSpan w:val="3"/>
            <w:shd w:val="clear" w:color="auto" w:fill="auto"/>
            <w:vAlign w:val="bottom"/>
          </w:tcPr>
          <w:p w14:paraId="392C35D2" w14:textId="77777777" w:rsidR="00980E5F" w:rsidRDefault="00980E5F">
            <w:pPr>
              <w:rPr>
                <w:rFonts w:ascii="宋体"/>
                <w:vanish/>
              </w:rPr>
            </w:pPr>
          </w:p>
        </w:tc>
        <w:tc>
          <w:tcPr>
            <w:tcW w:w="0" w:type="auto"/>
            <w:gridSpan w:val="3"/>
            <w:shd w:val="clear" w:color="auto" w:fill="auto"/>
            <w:vAlign w:val="bottom"/>
          </w:tcPr>
          <w:p w14:paraId="392C35D3" w14:textId="77777777" w:rsidR="00980E5F" w:rsidRDefault="00980E5F">
            <w:pPr>
              <w:rPr>
                <w:rFonts w:ascii="宋体"/>
                <w:vanish/>
              </w:rPr>
            </w:pPr>
          </w:p>
        </w:tc>
        <w:tc>
          <w:tcPr>
            <w:tcW w:w="0" w:type="auto"/>
            <w:gridSpan w:val="3"/>
            <w:shd w:val="clear" w:color="auto" w:fill="auto"/>
            <w:vAlign w:val="bottom"/>
          </w:tcPr>
          <w:p w14:paraId="392C35D4" w14:textId="77777777" w:rsidR="00980E5F" w:rsidRDefault="00980E5F">
            <w:pPr>
              <w:rPr>
                <w:rFonts w:ascii="宋体"/>
                <w:vanish/>
              </w:rPr>
            </w:pPr>
          </w:p>
        </w:tc>
        <w:tc>
          <w:tcPr>
            <w:tcW w:w="0" w:type="auto"/>
            <w:gridSpan w:val="3"/>
            <w:shd w:val="clear" w:color="auto" w:fill="auto"/>
            <w:vAlign w:val="bottom"/>
          </w:tcPr>
          <w:p w14:paraId="392C35D5" w14:textId="77777777" w:rsidR="00980E5F" w:rsidRDefault="00980E5F">
            <w:pPr>
              <w:rPr>
                <w:rFonts w:ascii="宋体"/>
                <w:vanish/>
              </w:rPr>
            </w:pPr>
          </w:p>
        </w:tc>
        <w:tc>
          <w:tcPr>
            <w:tcW w:w="0" w:type="auto"/>
            <w:gridSpan w:val="3"/>
            <w:shd w:val="clear" w:color="auto" w:fill="auto"/>
            <w:vAlign w:val="bottom"/>
          </w:tcPr>
          <w:p w14:paraId="392C35D6" w14:textId="77777777" w:rsidR="00980E5F" w:rsidRDefault="00980E5F">
            <w:pPr>
              <w:rPr>
                <w:rFonts w:ascii="宋体"/>
                <w:vanish/>
              </w:rPr>
            </w:pPr>
          </w:p>
        </w:tc>
        <w:tc>
          <w:tcPr>
            <w:tcW w:w="0" w:type="auto"/>
            <w:gridSpan w:val="3"/>
            <w:shd w:val="clear" w:color="auto" w:fill="auto"/>
            <w:vAlign w:val="bottom"/>
          </w:tcPr>
          <w:p w14:paraId="392C35D7" w14:textId="77777777" w:rsidR="00980E5F" w:rsidRDefault="00980E5F">
            <w:pPr>
              <w:rPr>
                <w:rFonts w:ascii="宋体"/>
                <w:vanish/>
              </w:rPr>
            </w:pPr>
          </w:p>
        </w:tc>
        <w:tc>
          <w:tcPr>
            <w:tcW w:w="0" w:type="auto"/>
            <w:gridSpan w:val="3"/>
            <w:shd w:val="clear" w:color="auto" w:fill="auto"/>
            <w:vAlign w:val="bottom"/>
          </w:tcPr>
          <w:p w14:paraId="392C35D8" w14:textId="77777777" w:rsidR="00980E5F" w:rsidRDefault="00980E5F">
            <w:pPr>
              <w:rPr>
                <w:rFonts w:ascii="宋体"/>
                <w:vanish/>
              </w:rPr>
            </w:pPr>
          </w:p>
        </w:tc>
      </w:tr>
      <w:tr w:rsidR="00980E5F" w14:paraId="392C35EC" w14:textId="77777777">
        <w:trPr>
          <w:jc w:val="center"/>
          <w:hidden/>
        </w:trPr>
        <w:tc>
          <w:tcPr>
            <w:tcW w:w="0" w:type="auto"/>
            <w:gridSpan w:val="3"/>
            <w:shd w:val="clear" w:color="auto" w:fill="auto"/>
            <w:vAlign w:val="bottom"/>
          </w:tcPr>
          <w:p w14:paraId="392C35DA" w14:textId="77777777" w:rsidR="00980E5F" w:rsidRDefault="00980E5F">
            <w:pPr>
              <w:rPr>
                <w:rFonts w:ascii="宋体"/>
                <w:vanish/>
              </w:rPr>
            </w:pPr>
          </w:p>
        </w:tc>
        <w:tc>
          <w:tcPr>
            <w:tcW w:w="0" w:type="auto"/>
            <w:gridSpan w:val="3"/>
            <w:shd w:val="clear" w:color="auto" w:fill="auto"/>
            <w:vAlign w:val="bottom"/>
          </w:tcPr>
          <w:p w14:paraId="392C35DB" w14:textId="77777777" w:rsidR="00980E5F" w:rsidRDefault="00980E5F">
            <w:pPr>
              <w:rPr>
                <w:rFonts w:ascii="宋体"/>
                <w:vanish/>
              </w:rPr>
            </w:pPr>
          </w:p>
        </w:tc>
        <w:tc>
          <w:tcPr>
            <w:tcW w:w="0" w:type="auto"/>
            <w:gridSpan w:val="3"/>
            <w:shd w:val="clear" w:color="auto" w:fill="auto"/>
            <w:vAlign w:val="bottom"/>
          </w:tcPr>
          <w:p w14:paraId="392C35DC" w14:textId="77777777" w:rsidR="00980E5F" w:rsidRDefault="00980E5F">
            <w:pPr>
              <w:rPr>
                <w:rFonts w:ascii="宋体"/>
                <w:vanish/>
              </w:rPr>
            </w:pPr>
          </w:p>
        </w:tc>
        <w:tc>
          <w:tcPr>
            <w:tcW w:w="0" w:type="auto"/>
            <w:gridSpan w:val="3"/>
            <w:shd w:val="clear" w:color="auto" w:fill="auto"/>
            <w:vAlign w:val="bottom"/>
          </w:tcPr>
          <w:p w14:paraId="392C35DD" w14:textId="77777777" w:rsidR="00980E5F" w:rsidRDefault="00980E5F">
            <w:pPr>
              <w:rPr>
                <w:rFonts w:ascii="宋体"/>
                <w:vanish/>
              </w:rPr>
            </w:pPr>
          </w:p>
        </w:tc>
        <w:tc>
          <w:tcPr>
            <w:tcW w:w="0" w:type="auto"/>
            <w:gridSpan w:val="3"/>
            <w:shd w:val="clear" w:color="auto" w:fill="auto"/>
            <w:vAlign w:val="bottom"/>
          </w:tcPr>
          <w:p w14:paraId="392C35DE" w14:textId="77777777" w:rsidR="00980E5F" w:rsidRDefault="00980E5F">
            <w:pPr>
              <w:rPr>
                <w:rFonts w:ascii="宋体"/>
                <w:vanish/>
              </w:rPr>
            </w:pPr>
          </w:p>
        </w:tc>
        <w:tc>
          <w:tcPr>
            <w:tcW w:w="0" w:type="auto"/>
            <w:gridSpan w:val="3"/>
            <w:shd w:val="clear" w:color="auto" w:fill="auto"/>
            <w:vAlign w:val="bottom"/>
          </w:tcPr>
          <w:p w14:paraId="392C35DF" w14:textId="77777777" w:rsidR="00980E5F" w:rsidRDefault="00980E5F">
            <w:pPr>
              <w:rPr>
                <w:rFonts w:ascii="宋体"/>
                <w:vanish/>
              </w:rPr>
            </w:pPr>
          </w:p>
        </w:tc>
        <w:tc>
          <w:tcPr>
            <w:tcW w:w="0" w:type="auto"/>
            <w:gridSpan w:val="3"/>
            <w:shd w:val="clear" w:color="auto" w:fill="auto"/>
            <w:vAlign w:val="bottom"/>
          </w:tcPr>
          <w:p w14:paraId="392C35E0" w14:textId="77777777" w:rsidR="00980E5F" w:rsidRDefault="00980E5F">
            <w:pPr>
              <w:rPr>
                <w:rFonts w:ascii="宋体"/>
                <w:vanish/>
              </w:rPr>
            </w:pPr>
          </w:p>
        </w:tc>
        <w:tc>
          <w:tcPr>
            <w:tcW w:w="0" w:type="auto"/>
            <w:gridSpan w:val="3"/>
            <w:shd w:val="clear" w:color="auto" w:fill="auto"/>
            <w:vAlign w:val="bottom"/>
          </w:tcPr>
          <w:p w14:paraId="392C35E1" w14:textId="77777777" w:rsidR="00980E5F" w:rsidRDefault="00980E5F">
            <w:pPr>
              <w:rPr>
                <w:rFonts w:ascii="宋体"/>
                <w:vanish/>
              </w:rPr>
            </w:pPr>
          </w:p>
        </w:tc>
        <w:tc>
          <w:tcPr>
            <w:tcW w:w="0" w:type="auto"/>
            <w:gridSpan w:val="3"/>
            <w:shd w:val="clear" w:color="auto" w:fill="auto"/>
            <w:vAlign w:val="bottom"/>
          </w:tcPr>
          <w:p w14:paraId="392C35E2" w14:textId="77777777" w:rsidR="00980E5F" w:rsidRDefault="00980E5F">
            <w:pPr>
              <w:rPr>
                <w:rFonts w:ascii="宋体"/>
                <w:vanish/>
              </w:rPr>
            </w:pPr>
          </w:p>
        </w:tc>
        <w:tc>
          <w:tcPr>
            <w:tcW w:w="0" w:type="auto"/>
            <w:gridSpan w:val="3"/>
            <w:shd w:val="clear" w:color="auto" w:fill="auto"/>
            <w:vAlign w:val="bottom"/>
          </w:tcPr>
          <w:p w14:paraId="392C35E3" w14:textId="77777777" w:rsidR="00980E5F" w:rsidRDefault="00980E5F">
            <w:pPr>
              <w:rPr>
                <w:rFonts w:ascii="宋体"/>
                <w:vanish/>
              </w:rPr>
            </w:pPr>
          </w:p>
        </w:tc>
        <w:tc>
          <w:tcPr>
            <w:tcW w:w="0" w:type="auto"/>
            <w:gridSpan w:val="3"/>
            <w:shd w:val="clear" w:color="auto" w:fill="auto"/>
            <w:vAlign w:val="bottom"/>
          </w:tcPr>
          <w:p w14:paraId="392C35E4" w14:textId="77777777" w:rsidR="00980E5F" w:rsidRDefault="00980E5F">
            <w:pPr>
              <w:rPr>
                <w:rFonts w:ascii="宋体"/>
                <w:vanish/>
              </w:rPr>
            </w:pPr>
          </w:p>
        </w:tc>
        <w:tc>
          <w:tcPr>
            <w:tcW w:w="0" w:type="auto"/>
            <w:gridSpan w:val="3"/>
            <w:shd w:val="clear" w:color="auto" w:fill="auto"/>
            <w:vAlign w:val="bottom"/>
          </w:tcPr>
          <w:p w14:paraId="392C35E5" w14:textId="77777777" w:rsidR="00980E5F" w:rsidRDefault="00980E5F">
            <w:pPr>
              <w:rPr>
                <w:rFonts w:ascii="宋体"/>
                <w:vanish/>
              </w:rPr>
            </w:pPr>
          </w:p>
        </w:tc>
        <w:tc>
          <w:tcPr>
            <w:tcW w:w="0" w:type="auto"/>
            <w:gridSpan w:val="3"/>
            <w:shd w:val="clear" w:color="auto" w:fill="auto"/>
            <w:vAlign w:val="bottom"/>
          </w:tcPr>
          <w:p w14:paraId="392C35E6" w14:textId="77777777" w:rsidR="00980E5F" w:rsidRDefault="00980E5F">
            <w:pPr>
              <w:rPr>
                <w:rFonts w:ascii="宋体"/>
                <w:vanish/>
              </w:rPr>
            </w:pPr>
          </w:p>
        </w:tc>
        <w:tc>
          <w:tcPr>
            <w:tcW w:w="0" w:type="auto"/>
            <w:gridSpan w:val="3"/>
            <w:shd w:val="clear" w:color="auto" w:fill="auto"/>
            <w:vAlign w:val="bottom"/>
          </w:tcPr>
          <w:p w14:paraId="392C35E7" w14:textId="77777777" w:rsidR="00980E5F" w:rsidRDefault="00980E5F">
            <w:pPr>
              <w:rPr>
                <w:rFonts w:ascii="宋体"/>
                <w:vanish/>
              </w:rPr>
            </w:pPr>
          </w:p>
        </w:tc>
        <w:tc>
          <w:tcPr>
            <w:tcW w:w="0" w:type="auto"/>
            <w:gridSpan w:val="3"/>
            <w:shd w:val="clear" w:color="auto" w:fill="auto"/>
            <w:vAlign w:val="bottom"/>
          </w:tcPr>
          <w:p w14:paraId="392C35E8" w14:textId="77777777" w:rsidR="00980E5F" w:rsidRDefault="00980E5F">
            <w:pPr>
              <w:rPr>
                <w:rFonts w:ascii="宋体"/>
                <w:vanish/>
              </w:rPr>
            </w:pPr>
          </w:p>
        </w:tc>
        <w:tc>
          <w:tcPr>
            <w:tcW w:w="0" w:type="auto"/>
            <w:gridSpan w:val="3"/>
            <w:shd w:val="clear" w:color="auto" w:fill="auto"/>
            <w:vAlign w:val="bottom"/>
          </w:tcPr>
          <w:p w14:paraId="392C35E9" w14:textId="77777777" w:rsidR="00980E5F" w:rsidRDefault="00980E5F">
            <w:pPr>
              <w:rPr>
                <w:rFonts w:ascii="宋体"/>
                <w:vanish/>
              </w:rPr>
            </w:pPr>
          </w:p>
        </w:tc>
        <w:tc>
          <w:tcPr>
            <w:tcW w:w="0" w:type="auto"/>
            <w:gridSpan w:val="3"/>
            <w:shd w:val="clear" w:color="auto" w:fill="auto"/>
            <w:vAlign w:val="bottom"/>
          </w:tcPr>
          <w:p w14:paraId="392C35EA" w14:textId="77777777" w:rsidR="00980E5F" w:rsidRDefault="00980E5F">
            <w:pPr>
              <w:rPr>
                <w:rFonts w:ascii="宋体"/>
                <w:vanish/>
              </w:rPr>
            </w:pPr>
          </w:p>
        </w:tc>
        <w:tc>
          <w:tcPr>
            <w:tcW w:w="0" w:type="auto"/>
            <w:gridSpan w:val="3"/>
            <w:shd w:val="clear" w:color="auto" w:fill="auto"/>
            <w:vAlign w:val="bottom"/>
          </w:tcPr>
          <w:p w14:paraId="392C35EB" w14:textId="77777777" w:rsidR="00980E5F" w:rsidRDefault="00980E5F">
            <w:pPr>
              <w:rPr>
                <w:rFonts w:ascii="宋体"/>
                <w:vanish/>
              </w:rPr>
            </w:pPr>
          </w:p>
        </w:tc>
      </w:tr>
      <w:tr w:rsidR="00980E5F" w14:paraId="392C35FF" w14:textId="77777777">
        <w:trPr>
          <w:jc w:val="center"/>
          <w:hidden/>
        </w:trPr>
        <w:tc>
          <w:tcPr>
            <w:tcW w:w="0" w:type="auto"/>
            <w:gridSpan w:val="3"/>
            <w:shd w:val="clear" w:color="auto" w:fill="auto"/>
            <w:vAlign w:val="bottom"/>
          </w:tcPr>
          <w:p w14:paraId="392C35ED" w14:textId="77777777" w:rsidR="00980E5F" w:rsidRDefault="00980E5F">
            <w:pPr>
              <w:rPr>
                <w:rFonts w:ascii="宋体"/>
                <w:vanish/>
              </w:rPr>
            </w:pPr>
          </w:p>
        </w:tc>
        <w:tc>
          <w:tcPr>
            <w:tcW w:w="0" w:type="auto"/>
            <w:gridSpan w:val="3"/>
            <w:shd w:val="clear" w:color="auto" w:fill="auto"/>
            <w:vAlign w:val="bottom"/>
          </w:tcPr>
          <w:p w14:paraId="392C35EE" w14:textId="77777777" w:rsidR="00980E5F" w:rsidRDefault="00980E5F">
            <w:pPr>
              <w:rPr>
                <w:rFonts w:ascii="宋体"/>
                <w:vanish/>
              </w:rPr>
            </w:pPr>
          </w:p>
        </w:tc>
        <w:tc>
          <w:tcPr>
            <w:tcW w:w="0" w:type="auto"/>
            <w:gridSpan w:val="3"/>
            <w:shd w:val="clear" w:color="auto" w:fill="auto"/>
            <w:vAlign w:val="bottom"/>
          </w:tcPr>
          <w:p w14:paraId="392C35EF" w14:textId="77777777" w:rsidR="00980E5F" w:rsidRDefault="00980E5F">
            <w:pPr>
              <w:rPr>
                <w:rFonts w:ascii="宋体"/>
                <w:vanish/>
              </w:rPr>
            </w:pPr>
          </w:p>
        </w:tc>
        <w:tc>
          <w:tcPr>
            <w:tcW w:w="0" w:type="auto"/>
            <w:gridSpan w:val="3"/>
            <w:shd w:val="clear" w:color="auto" w:fill="auto"/>
            <w:vAlign w:val="bottom"/>
          </w:tcPr>
          <w:p w14:paraId="392C35F0" w14:textId="77777777" w:rsidR="00980E5F" w:rsidRDefault="00980E5F">
            <w:pPr>
              <w:rPr>
                <w:rFonts w:ascii="宋体"/>
                <w:vanish/>
              </w:rPr>
            </w:pPr>
          </w:p>
        </w:tc>
        <w:tc>
          <w:tcPr>
            <w:tcW w:w="0" w:type="auto"/>
            <w:gridSpan w:val="3"/>
            <w:shd w:val="clear" w:color="auto" w:fill="auto"/>
            <w:vAlign w:val="bottom"/>
          </w:tcPr>
          <w:p w14:paraId="392C35F1" w14:textId="77777777" w:rsidR="00980E5F" w:rsidRDefault="00980E5F">
            <w:pPr>
              <w:rPr>
                <w:rFonts w:ascii="宋体"/>
                <w:vanish/>
              </w:rPr>
            </w:pPr>
          </w:p>
        </w:tc>
        <w:tc>
          <w:tcPr>
            <w:tcW w:w="0" w:type="auto"/>
            <w:gridSpan w:val="3"/>
            <w:shd w:val="clear" w:color="auto" w:fill="auto"/>
            <w:vAlign w:val="bottom"/>
          </w:tcPr>
          <w:p w14:paraId="392C35F2" w14:textId="77777777" w:rsidR="00980E5F" w:rsidRDefault="00980E5F">
            <w:pPr>
              <w:rPr>
                <w:rFonts w:ascii="宋体"/>
                <w:vanish/>
              </w:rPr>
            </w:pPr>
          </w:p>
        </w:tc>
        <w:tc>
          <w:tcPr>
            <w:tcW w:w="0" w:type="auto"/>
            <w:gridSpan w:val="3"/>
            <w:shd w:val="clear" w:color="auto" w:fill="auto"/>
            <w:vAlign w:val="bottom"/>
          </w:tcPr>
          <w:p w14:paraId="392C35F3" w14:textId="77777777" w:rsidR="00980E5F" w:rsidRDefault="00980E5F">
            <w:pPr>
              <w:rPr>
                <w:rFonts w:ascii="宋体"/>
                <w:vanish/>
              </w:rPr>
            </w:pPr>
          </w:p>
        </w:tc>
        <w:tc>
          <w:tcPr>
            <w:tcW w:w="0" w:type="auto"/>
            <w:gridSpan w:val="3"/>
            <w:shd w:val="clear" w:color="auto" w:fill="auto"/>
            <w:vAlign w:val="bottom"/>
          </w:tcPr>
          <w:p w14:paraId="392C35F4" w14:textId="77777777" w:rsidR="00980E5F" w:rsidRDefault="00980E5F">
            <w:pPr>
              <w:rPr>
                <w:rFonts w:ascii="宋体"/>
                <w:vanish/>
              </w:rPr>
            </w:pPr>
          </w:p>
        </w:tc>
        <w:tc>
          <w:tcPr>
            <w:tcW w:w="0" w:type="auto"/>
            <w:gridSpan w:val="3"/>
            <w:shd w:val="clear" w:color="auto" w:fill="auto"/>
            <w:vAlign w:val="bottom"/>
          </w:tcPr>
          <w:p w14:paraId="392C35F5" w14:textId="77777777" w:rsidR="00980E5F" w:rsidRDefault="00980E5F">
            <w:pPr>
              <w:rPr>
                <w:rFonts w:ascii="宋体"/>
                <w:vanish/>
              </w:rPr>
            </w:pPr>
          </w:p>
        </w:tc>
        <w:tc>
          <w:tcPr>
            <w:tcW w:w="0" w:type="auto"/>
            <w:gridSpan w:val="3"/>
            <w:shd w:val="clear" w:color="auto" w:fill="auto"/>
            <w:vAlign w:val="bottom"/>
          </w:tcPr>
          <w:p w14:paraId="392C35F6" w14:textId="77777777" w:rsidR="00980E5F" w:rsidRDefault="00980E5F">
            <w:pPr>
              <w:rPr>
                <w:rFonts w:ascii="宋体"/>
                <w:vanish/>
              </w:rPr>
            </w:pPr>
          </w:p>
        </w:tc>
        <w:tc>
          <w:tcPr>
            <w:tcW w:w="0" w:type="auto"/>
            <w:gridSpan w:val="3"/>
            <w:shd w:val="clear" w:color="auto" w:fill="auto"/>
            <w:vAlign w:val="bottom"/>
          </w:tcPr>
          <w:p w14:paraId="392C35F7" w14:textId="77777777" w:rsidR="00980E5F" w:rsidRDefault="00980E5F">
            <w:pPr>
              <w:rPr>
                <w:rFonts w:ascii="宋体"/>
                <w:vanish/>
              </w:rPr>
            </w:pPr>
          </w:p>
        </w:tc>
        <w:tc>
          <w:tcPr>
            <w:tcW w:w="0" w:type="auto"/>
            <w:gridSpan w:val="3"/>
            <w:shd w:val="clear" w:color="auto" w:fill="auto"/>
            <w:vAlign w:val="bottom"/>
          </w:tcPr>
          <w:p w14:paraId="392C35F8" w14:textId="77777777" w:rsidR="00980E5F" w:rsidRDefault="00980E5F">
            <w:pPr>
              <w:rPr>
                <w:rFonts w:ascii="宋体"/>
                <w:vanish/>
              </w:rPr>
            </w:pPr>
          </w:p>
        </w:tc>
        <w:tc>
          <w:tcPr>
            <w:tcW w:w="0" w:type="auto"/>
            <w:gridSpan w:val="3"/>
            <w:shd w:val="clear" w:color="auto" w:fill="auto"/>
            <w:vAlign w:val="bottom"/>
          </w:tcPr>
          <w:p w14:paraId="392C35F9" w14:textId="77777777" w:rsidR="00980E5F" w:rsidRDefault="00980E5F">
            <w:pPr>
              <w:rPr>
                <w:rFonts w:ascii="宋体"/>
                <w:vanish/>
              </w:rPr>
            </w:pPr>
          </w:p>
        </w:tc>
        <w:tc>
          <w:tcPr>
            <w:tcW w:w="0" w:type="auto"/>
            <w:gridSpan w:val="3"/>
            <w:shd w:val="clear" w:color="auto" w:fill="auto"/>
            <w:vAlign w:val="bottom"/>
          </w:tcPr>
          <w:p w14:paraId="392C35FA" w14:textId="77777777" w:rsidR="00980E5F" w:rsidRDefault="00980E5F">
            <w:pPr>
              <w:rPr>
                <w:rFonts w:ascii="宋体"/>
                <w:vanish/>
              </w:rPr>
            </w:pPr>
          </w:p>
        </w:tc>
        <w:tc>
          <w:tcPr>
            <w:tcW w:w="0" w:type="auto"/>
            <w:gridSpan w:val="3"/>
            <w:shd w:val="clear" w:color="auto" w:fill="auto"/>
            <w:vAlign w:val="bottom"/>
          </w:tcPr>
          <w:p w14:paraId="392C35FB" w14:textId="77777777" w:rsidR="00980E5F" w:rsidRDefault="00980E5F">
            <w:pPr>
              <w:rPr>
                <w:rFonts w:ascii="宋体"/>
                <w:vanish/>
              </w:rPr>
            </w:pPr>
          </w:p>
        </w:tc>
        <w:tc>
          <w:tcPr>
            <w:tcW w:w="0" w:type="auto"/>
            <w:gridSpan w:val="3"/>
            <w:shd w:val="clear" w:color="auto" w:fill="auto"/>
            <w:vAlign w:val="bottom"/>
          </w:tcPr>
          <w:p w14:paraId="392C35FC" w14:textId="77777777" w:rsidR="00980E5F" w:rsidRDefault="00980E5F">
            <w:pPr>
              <w:rPr>
                <w:rFonts w:ascii="宋体"/>
                <w:vanish/>
              </w:rPr>
            </w:pPr>
          </w:p>
        </w:tc>
        <w:tc>
          <w:tcPr>
            <w:tcW w:w="0" w:type="auto"/>
            <w:gridSpan w:val="3"/>
            <w:shd w:val="clear" w:color="auto" w:fill="auto"/>
            <w:vAlign w:val="bottom"/>
          </w:tcPr>
          <w:p w14:paraId="392C35FD" w14:textId="77777777" w:rsidR="00980E5F" w:rsidRDefault="00980E5F">
            <w:pPr>
              <w:rPr>
                <w:rFonts w:ascii="宋体"/>
                <w:vanish/>
              </w:rPr>
            </w:pPr>
          </w:p>
        </w:tc>
        <w:tc>
          <w:tcPr>
            <w:tcW w:w="0" w:type="auto"/>
            <w:gridSpan w:val="3"/>
            <w:shd w:val="clear" w:color="auto" w:fill="auto"/>
            <w:vAlign w:val="bottom"/>
          </w:tcPr>
          <w:p w14:paraId="392C35FE" w14:textId="77777777" w:rsidR="00980E5F" w:rsidRDefault="00980E5F">
            <w:pPr>
              <w:rPr>
                <w:rFonts w:ascii="宋体"/>
                <w:vanish/>
              </w:rPr>
            </w:pPr>
          </w:p>
        </w:tc>
      </w:tr>
      <w:tr w:rsidR="00980E5F" w14:paraId="392C3612" w14:textId="77777777">
        <w:trPr>
          <w:jc w:val="center"/>
          <w:hidden/>
        </w:trPr>
        <w:tc>
          <w:tcPr>
            <w:tcW w:w="0" w:type="auto"/>
            <w:gridSpan w:val="3"/>
            <w:shd w:val="clear" w:color="auto" w:fill="auto"/>
            <w:vAlign w:val="bottom"/>
          </w:tcPr>
          <w:p w14:paraId="392C3600" w14:textId="77777777" w:rsidR="00980E5F" w:rsidRDefault="00980E5F">
            <w:pPr>
              <w:rPr>
                <w:rFonts w:ascii="宋体"/>
                <w:vanish/>
              </w:rPr>
            </w:pPr>
          </w:p>
        </w:tc>
        <w:tc>
          <w:tcPr>
            <w:tcW w:w="0" w:type="auto"/>
            <w:gridSpan w:val="3"/>
            <w:shd w:val="clear" w:color="auto" w:fill="auto"/>
            <w:vAlign w:val="bottom"/>
          </w:tcPr>
          <w:p w14:paraId="392C3601" w14:textId="77777777" w:rsidR="00980E5F" w:rsidRDefault="00980E5F">
            <w:pPr>
              <w:rPr>
                <w:rFonts w:ascii="宋体"/>
                <w:vanish/>
              </w:rPr>
            </w:pPr>
          </w:p>
        </w:tc>
        <w:tc>
          <w:tcPr>
            <w:tcW w:w="0" w:type="auto"/>
            <w:gridSpan w:val="3"/>
            <w:shd w:val="clear" w:color="auto" w:fill="auto"/>
            <w:vAlign w:val="bottom"/>
          </w:tcPr>
          <w:p w14:paraId="392C3602" w14:textId="77777777" w:rsidR="00980E5F" w:rsidRDefault="00980E5F">
            <w:pPr>
              <w:rPr>
                <w:rFonts w:ascii="宋体"/>
                <w:vanish/>
              </w:rPr>
            </w:pPr>
          </w:p>
        </w:tc>
        <w:tc>
          <w:tcPr>
            <w:tcW w:w="0" w:type="auto"/>
            <w:gridSpan w:val="3"/>
            <w:shd w:val="clear" w:color="auto" w:fill="auto"/>
            <w:vAlign w:val="bottom"/>
          </w:tcPr>
          <w:p w14:paraId="392C3603" w14:textId="77777777" w:rsidR="00980E5F" w:rsidRDefault="00980E5F">
            <w:pPr>
              <w:rPr>
                <w:rFonts w:ascii="宋体"/>
                <w:vanish/>
              </w:rPr>
            </w:pPr>
          </w:p>
        </w:tc>
        <w:tc>
          <w:tcPr>
            <w:tcW w:w="0" w:type="auto"/>
            <w:gridSpan w:val="3"/>
            <w:shd w:val="clear" w:color="auto" w:fill="auto"/>
            <w:vAlign w:val="bottom"/>
          </w:tcPr>
          <w:p w14:paraId="392C3604" w14:textId="77777777" w:rsidR="00980E5F" w:rsidRDefault="00980E5F">
            <w:pPr>
              <w:rPr>
                <w:rFonts w:ascii="宋体"/>
                <w:vanish/>
              </w:rPr>
            </w:pPr>
          </w:p>
        </w:tc>
        <w:tc>
          <w:tcPr>
            <w:tcW w:w="0" w:type="auto"/>
            <w:gridSpan w:val="3"/>
            <w:shd w:val="clear" w:color="auto" w:fill="auto"/>
            <w:vAlign w:val="bottom"/>
          </w:tcPr>
          <w:p w14:paraId="392C3605" w14:textId="77777777" w:rsidR="00980E5F" w:rsidRDefault="00980E5F">
            <w:pPr>
              <w:rPr>
                <w:rFonts w:ascii="宋体"/>
                <w:vanish/>
              </w:rPr>
            </w:pPr>
          </w:p>
        </w:tc>
        <w:tc>
          <w:tcPr>
            <w:tcW w:w="0" w:type="auto"/>
            <w:gridSpan w:val="3"/>
            <w:shd w:val="clear" w:color="auto" w:fill="auto"/>
            <w:vAlign w:val="bottom"/>
          </w:tcPr>
          <w:p w14:paraId="392C3606" w14:textId="77777777" w:rsidR="00980E5F" w:rsidRDefault="00980E5F">
            <w:pPr>
              <w:rPr>
                <w:rFonts w:ascii="宋体"/>
                <w:vanish/>
              </w:rPr>
            </w:pPr>
          </w:p>
        </w:tc>
        <w:tc>
          <w:tcPr>
            <w:tcW w:w="0" w:type="auto"/>
            <w:gridSpan w:val="3"/>
            <w:shd w:val="clear" w:color="auto" w:fill="auto"/>
            <w:vAlign w:val="bottom"/>
          </w:tcPr>
          <w:p w14:paraId="392C3607" w14:textId="77777777" w:rsidR="00980E5F" w:rsidRDefault="00980E5F">
            <w:pPr>
              <w:rPr>
                <w:rFonts w:ascii="宋体"/>
                <w:vanish/>
              </w:rPr>
            </w:pPr>
          </w:p>
        </w:tc>
        <w:tc>
          <w:tcPr>
            <w:tcW w:w="0" w:type="auto"/>
            <w:gridSpan w:val="3"/>
            <w:shd w:val="clear" w:color="auto" w:fill="auto"/>
            <w:vAlign w:val="bottom"/>
          </w:tcPr>
          <w:p w14:paraId="392C3608" w14:textId="77777777" w:rsidR="00980E5F" w:rsidRDefault="00980E5F">
            <w:pPr>
              <w:rPr>
                <w:rFonts w:ascii="宋体"/>
                <w:vanish/>
              </w:rPr>
            </w:pPr>
          </w:p>
        </w:tc>
        <w:tc>
          <w:tcPr>
            <w:tcW w:w="0" w:type="auto"/>
            <w:gridSpan w:val="3"/>
            <w:shd w:val="clear" w:color="auto" w:fill="auto"/>
            <w:vAlign w:val="bottom"/>
          </w:tcPr>
          <w:p w14:paraId="392C3609" w14:textId="77777777" w:rsidR="00980E5F" w:rsidRDefault="00980E5F">
            <w:pPr>
              <w:rPr>
                <w:rFonts w:ascii="宋体"/>
                <w:vanish/>
              </w:rPr>
            </w:pPr>
          </w:p>
        </w:tc>
        <w:tc>
          <w:tcPr>
            <w:tcW w:w="0" w:type="auto"/>
            <w:gridSpan w:val="3"/>
            <w:shd w:val="clear" w:color="auto" w:fill="auto"/>
            <w:vAlign w:val="bottom"/>
          </w:tcPr>
          <w:p w14:paraId="392C360A" w14:textId="77777777" w:rsidR="00980E5F" w:rsidRDefault="00980E5F">
            <w:pPr>
              <w:rPr>
                <w:rFonts w:ascii="宋体"/>
                <w:vanish/>
              </w:rPr>
            </w:pPr>
          </w:p>
        </w:tc>
        <w:tc>
          <w:tcPr>
            <w:tcW w:w="0" w:type="auto"/>
            <w:gridSpan w:val="3"/>
            <w:shd w:val="clear" w:color="auto" w:fill="auto"/>
            <w:vAlign w:val="bottom"/>
          </w:tcPr>
          <w:p w14:paraId="392C360B" w14:textId="77777777" w:rsidR="00980E5F" w:rsidRDefault="00980E5F">
            <w:pPr>
              <w:rPr>
                <w:rFonts w:ascii="宋体"/>
                <w:vanish/>
              </w:rPr>
            </w:pPr>
          </w:p>
        </w:tc>
        <w:tc>
          <w:tcPr>
            <w:tcW w:w="0" w:type="auto"/>
            <w:gridSpan w:val="3"/>
            <w:shd w:val="clear" w:color="auto" w:fill="auto"/>
            <w:vAlign w:val="bottom"/>
          </w:tcPr>
          <w:p w14:paraId="392C360C" w14:textId="77777777" w:rsidR="00980E5F" w:rsidRDefault="00980E5F">
            <w:pPr>
              <w:rPr>
                <w:rFonts w:ascii="宋体"/>
                <w:vanish/>
              </w:rPr>
            </w:pPr>
          </w:p>
        </w:tc>
        <w:tc>
          <w:tcPr>
            <w:tcW w:w="0" w:type="auto"/>
            <w:gridSpan w:val="3"/>
            <w:shd w:val="clear" w:color="auto" w:fill="auto"/>
            <w:vAlign w:val="bottom"/>
          </w:tcPr>
          <w:p w14:paraId="392C360D" w14:textId="77777777" w:rsidR="00980E5F" w:rsidRDefault="00980E5F">
            <w:pPr>
              <w:rPr>
                <w:rFonts w:ascii="宋体"/>
                <w:vanish/>
              </w:rPr>
            </w:pPr>
          </w:p>
        </w:tc>
        <w:tc>
          <w:tcPr>
            <w:tcW w:w="0" w:type="auto"/>
            <w:gridSpan w:val="3"/>
            <w:shd w:val="clear" w:color="auto" w:fill="auto"/>
            <w:vAlign w:val="bottom"/>
          </w:tcPr>
          <w:p w14:paraId="392C360E" w14:textId="77777777" w:rsidR="00980E5F" w:rsidRDefault="00980E5F">
            <w:pPr>
              <w:rPr>
                <w:rFonts w:ascii="宋体"/>
                <w:vanish/>
              </w:rPr>
            </w:pPr>
          </w:p>
        </w:tc>
        <w:tc>
          <w:tcPr>
            <w:tcW w:w="0" w:type="auto"/>
            <w:gridSpan w:val="3"/>
            <w:shd w:val="clear" w:color="auto" w:fill="auto"/>
            <w:vAlign w:val="bottom"/>
          </w:tcPr>
          <w:p w14:paraId="392C360F" w14:textId="77777777" w:rsidR="00980E5F" w:rsidRDefault="00980E5F">
            <w:pPr>
              <w:rPr>
                <w:rFonts w:ascii="宋体"/>
                <w:vanish/>
              </w:rPr>
            </w:pPr>
          </w:p>
        </w:tc>
        <w:tc>
          <w:tcPr>
            <w:tcW w:w="0" w:type="auto"/>
            <w:gridSpan w:val="3"/>
            <w:shd w:val="clear" w:color="auto" w:fill="auto"/>
            <w:vAlign w:val="bottom"/>
          </w:tcPr>
          <w:p w14:paraId="392C3610" w14:textId="77777777" w:rsidR="00980E5F" w:rsidRDefault="00980E5F">
            <w:pPr>
              <w:rPr>
                <w:rFonts w:ascii="宋体"/>
                <w:vanish/>
              </w:rPr>
            </w:pPr>
          </w:p>
        </w:tc>
        <w:tc>
          <w:tcPr>
            <w:tcW w:w="0" w:type="auto"/>
            <w:gridSpan w:val="3"/>
            <w:shd w:val="clear" w:color="auto" w:fill="auto"/>
            <w:vAlign w:val="bottom"/>
          </w:tcPr>
          <w:p w14:paraId="392C3611" w14:textId="77777777" w:rsidR="00980E5F" w:rsidRDefault="00980E5F">
            <w:pPr>
              <w:rPr>
                <w:rFonts w:ascii="宋体"/>
                <w:vanish/>
              </w:rPr>
            </w:pPr>
          </w:p>
        </w:tc>
      </w:tr>
      <w:tr w:rsidR="00980E5F" w14:paraId="392C3625" w14:textId="77777777">
        <w:trPr>
          <w:jc w:val="center"/>
          <w:hidden/>
        </w:trPr>
        <w:tc>
          <w:tcPr>
            <w:tcW w:w="0" w:type="auto"/>
            <w:gridSpan w:val="3"/>
            <w:shd w:val="clear" w:color="auto" w:fill="auto"/>
            <w:vAlign w:val="bottom"/>
          </w:tcPr>
          <w:p w14:paraId="392C3613" w14:textId="77777777" w:rsidR="00980E5F" w:rsidRDefault="00980E5F">
            <w:pPr>
              <w:rPr>
                <w:rFonts w:ascii="宋体"/>
                <w:vanish/>
              </w:rPr>
            </w:pPr>
          </w:p>
        </w:tc>
        <w:tc>
          <w:tcPr>
            <w:tcW w:w="0" w:type="auto"/>
            <w:gridSpan w:val="3"/>
            <w:shd w:val="clear" w:color="auto" w:fill="auto"/>
            <w:vAlign w:val="bottom"/>
          </w:tcPr>
          <w:p w14:paraId="392C3614" w14:textId="77777777" w:rsidR="00980E5F" w:rsidRDefault="00980E5F">
            <w:pPr>
              <w:rPr>
                <w:rFonts w:ascii="宋体"/>
                <w:vanish/>
              </w:rPr>
            </w:pPr>
          </w:p>
        </w:tc>
        <w:tc>
          <w:tcPr>
            <w:tcW w:w="0" w:type="auto"/>
            <w:gridSpan w:val="3"/>
            <w:shd w:val="clear" w:color="auto" w:fill="auto"/>
            <w:vAlign w:val="bottom"/>
          </w:tcPr>
          <w:p w14:paraId="392C3615" w14:textId="77777777" w:rsidR="00980E5F" w:rsidRDefault="00980E5F">
            <w:pPr>
              <w:rPr>
                <w:rFonts w:ascii="宋体"/>
                <w:vanish/>
              </w:rPr>
            </w:pPr>
          </w:p>
        </w:tc>
        <w:tc>
          <w:tcPr>
            <w:tcW w:w="0" w:type="auto"/>
            <w:gridSpan w:val="3"/>
            <w:shd w:val="clear" w:color="auto" w:fill="auto"/>
            <w:vAlign w:val="bottom"/>
          </w:tcPr>
          <w:p w14:paraId="392C3616" w14:textId="77777777" w:rsidR="00980E5F" w:rsidRDefault="00980E5F">
            <w:pPr>
              <w:rPr>
                <w:rFonts w:ascii="宋体"/>
                <w:vanish/>
              </w:rPr>
            </w:pPr>
          </w:p>
        </w:tc>
        <w:tc>
          <w:tcPr>
            <w:tcW w:w="0" w:type="auto"/>
            <w:gridSpan w:val="3"/>
            <w:shd w:val="clear" w:color="auto" w:fill="auto"/>
            <w:vAlign w:val="bottom"/>
          </w:tcPr>
          <w:p w14:paraId="392C3617" w14:textId="77777777" w:rsidR="00980E5F" w:rsidRDefault="00980E5F">
            <w:pPr>
              <w:rPr>
                <w:rFonts w:ascii="宋体"/>
                <w:vanish/>
              </w:rPr>
            </w:pPr>
          </w:p>
        </w:tc>
        <w:tc>
          <w:tcPr>
            <w:tcW w:w="0" w:type="auto"/>
            <w:gridSpan w:val="3"/>
            <w:shd w:val="clear" w:color="auto" w:fill="auto"/>
            <w:vAlign w:val="bottom"/>
          </w:tcPr>
          <w:p w14:paraId="392C3618" w14:textId="77777777" w:rsidR="00980E5F" w:rsidRDefault="00980E5F">
            <w:pPr>
              <w:rPr>
                <w:rFonts w:ascii="宋体"/>
                <w:vanish/>
              </w:rPr>
            </w:pPr>
          </w:p>
        </w:tc>
        <w:tc>
          <w:tcPr>
            <w:tcW w:w="0" w:type="auto"/>
            <w:gridSpan w:val="3"/>
            <w:shd w:val="clear" w:color="auto" w:fill="auto"/>
            <w:vAlign w:val="bottom"/>
          </w:tcPr>
          <w:p w14:paraId="392C3619" w14:textId="77777777" w:rsidR="00980E5F" w:rsidRDefault="00980E5F">
            <w:pPr>
              <w:rPr>
                <w:rFonts w:ascii="宋体"/>
                <w:vanish/>
              </w:rPr>
            </w:pPr>
          </w:p>
        </w:tc>
        <w:tc>
          <w:tcPr>
            <w:tcW w:w="0" w:type="auto"/>
            <w:gridSpan w:val="3"/>
            <w:shd w:val="clear" w:color="auto" w:fill="auto"/>
            <w:vAlign w:val="bottom"/>
          </w:tcPr>
          <w:p w14:paraId="392C361A" w14:textId="77777777" w:rsidR="00980E5F" w:rsidRDefault="00980E5F">
            <w:pPr>
              <w:rPr>
                <w:rFonts w:ascii="宋体"/>
                <w:vanish/>
              </w:rPr>
            </w:pPr>
          </w:p>
        </w:tc>
        <w:tc>
          <w:tcPr>
            <w:tcW w:w="0" w:type="auto"/>
            <w:gridSpan w:val="3"/>
            <w:shd w:val="clear" w:color="auto" w:fill="auto"/>
            <w:vAlign w:val="bottom"/>
          </w:tcPr>
          <w:p w14:paraId="392C361B" w14:textId="77777777" w:rsidR="00980E5F" w:rsidRDefault="00980E5F">
            <w:pPr>
              <w:rPr>
                <w:rFonts w:ascii="宋体"/>
                <w:vanish/>
              </w:rPr>
            </w:pPr>
          </w:p>
        </w:tc>
        <w:tc>
          <w:tcPr>
            <w:tcW w:w="0" w:type="auto"/>
            <w:gridSpan w:val="3"/>
            <w:shd w:val="clear" w:color="auto" w:fill="auto"/>
            <w:vAlign w:val="bottom"/>
          </w:tcPr>
          <w:p w14:paraId="392C361C" w14:textId="77777777" w:rsidR="00980E5F" w:rsidRDefault="00980E5F">
            <w:pPr>
              <w:rPr>
                <w:rFonts w:ascii="宋体"/>
                <w:vanish/>
              </w:rPr>
            </w:pPr>
          </w:p>
        </w:tc>
        <w:tc>
          <w:tcPr>
            <w:tcW w:w="0" w:type="auto"/>
            <w:gridSpan w:val="3"/>
            <w:shd w:val="clear" w:color="auto" w:fill="auto"/>
            <w:vAlign w:val="bottom"/>
          </w:tcPr>
          <w:p w14:paraId="392C361D" w14:textId="77777777" w:rsidR="00980E5F" w:rsidRDefault="00980E5F">
            <w:pPr>
              <w:rPr>
                <w:rFonts w:ascii="宋体"/>
                <w:vanish/>
              </w:rPr>
            </w:pPr>
          </w:p>
        </w:tc>
        <w:tc>
          <w:tcPr>
            <w:tcW w:w="0" w:type="auto"/>
            <w:gridSpan w:val="3"/>
            <w:shd w:val="clear" w:color="auto" w:fill="auto"/>
            <w:vAlign w:val="bottom"/>
          </w:tcPr>
          <w:p w14:paraId="392C361E" w14:textId="77777777" w:rsidR="00980E5F" w:rsidRDefault="00980E5F">
            <w:pPr>
              <w:rPr>
                <w:rFonts w:ascii="宋体"/>
                <w:vanish/>
              </w:rPr>
            </w:pPr>
          </w:p>
        </w:tc>
        <w:tc>
          <w:tcPr>
            <w:tcW w:w="0" w:type="auto"/>
            <w:gridSpan w:val="3"/>
            <w:shd w:val="clear" w:color="auto" w:fill="auto"/>
            <w:vAlign w:val="bottom"/>
          </w:tcPr>
          <w:p w14:paraId="392C361F" w14:textId="77777777" w:rsidR="00980E5F" w:rsidRDefault="00980E5F">
            <w:pPr>
              <w:rPr>
                <w:rFonts w:ascii="宋体"/>
                <w:vanish/>
              </w:rPr>
            </w:pPr>
          </w:p>
        </w:tc>
        <w:tc>
          <w:tcPr>
            <w:tcW w:w="0" w:type="auto"/>
            <w:gridSpan w:val="3"/>
            <w:shd w:val="clear" w:color="auto" w:fill="auto"/>
            <w:vAlign w:val="bottom"/>
          </w:tcPr>
          <w:p w14:paraId="392C3620" w14:textId="77777777" w:rsidR="00980E5F" w:rsidRDefault="00980E5F">
            <w:pPr>
              <w:rPr>
                <w:rFonts w:ascii="宋体"/>
                <w:vanish/>
              </w:rPr>
            </w:pPr>
          </w:p>
        </w:tc>
        <w:tc>
          <w:tcPr>
            <w:tcW w:w="0" w:type="auto"/>
            <w:gridSpan w:val="3"/>
            <w:shd w:val="clear" w:color="auto" w:fill="auto"/>
            <w:vAlign w:val="bottom"/>
          </w:tcPr>
          <w:p w14:paraId="392C3621" w14:textId="77777777" w:rsidR="00980E5F" w:rsidRDefault="00980E5F">
            <w:pPr>
              <w:rPr>
                <w:rFonts w:ascii="宋体"/>
                <w:vanish/>
              </w:rPr>
            </w:pPr>
          </w:p>
        </w:tc>
        <w:tc>
          <w:tcPr>
            <w:tcW w:w="0" w:type="auto"/>
            <w:gridSpan w:val="3"/>
            <w:shd w:val="clear" w:color="auto" w:fill="auto"/>
            <w:vAlign w:val="bottom"/>
          </w:tcPr>
          <w:p w14:paraId="392C3622" w14:textId="77777777" w:rsidR="00980E5F" w:rsidRDefault="00980E5F">
            <w:pPr>
              <w:rPr>
                <w:rFonts w:ascii="宋体"/>
                <w:vanish/>
              </w:rPr>
            </w:pPr>
          </w:p>
        </w:tc>
        <w:tc>
          <w:tcPr>
            <w:tcW w:w="0" w:type="auto"/>
            <w:gridSpan w:val="3"/>
            <w:shd w:val="clear" w:color="auto" w:fill="auto"/>
            <w:vAlign w:val="bottom"/>
          </w:tcPr>
          <w:p w14:paraId="392C3623" w14:textId="77777777" w:rsidR="00980E5F" w:rsidRDefault="00980E5F">
            <w:pPr>
              <w:rPr>
                <w:rFonts w:ascii="宋体"/>
                <w:vanish/>
              </w:rPr>
            </w:pPr>
          </w:p>
        </w:tc>
        <w:tc>
          <w:tcPr>
            <w:tcW w:w="0" w:type="auto"/>
            <w:gridSpan w:val="3"/>
            <w:shd w:val="clear" w:color="auto" w:fill="auto"/>
            <w:vAlign w:val="bottom"/>
          </w:tcPr>
          <w:p w14:paraId="392C3624" w14:textId="77777777" w:rsidR="00980E5F" w:rsidRDefault="00980E5F">
            <w:pPr>
              <w:rPr>
                <w:rFonts w:ascii="宋体"/>
                <w:vanish/>
              </w:rPr>
            </w:pPr>
          </w:p>
        </w:tc>
      </w:tr>
      <w:tr w:rsidR="00980E5F" w14:paraId="392C3638" w14:textId="77777777">
        <w:trPr>
          <w:jc w:val="center"/>
          <w:hidden/>
        </w:trPr>
        <w:tc>
          <w:tcPr>
            <w:tcW w:w="0" w:type="auto"/>
            <w:gridSpan w:val="3"/>
            <w:shd w:val="clear" w:color="auto" w:fill="auto"/>
            <w:vAlign w:val="bottom"/>
          </w:tcPr>
          <w:p w14:paraId="392C3626" w14:textId="77777777" w:rsidR="00980E5F" w:rsidRDefault="00980E5F">
            <w:pPr>
              <w:rPr>
                <w:rFonts w:ascii="宋体"/>
                <w:vanish/>
              </w:rPr>
            </w:pPr>
          </w:p>
        </w:tc>
        <w:tc>
          <w:tcPr>
            <w:tcW w:w="0" w:type="auto"/>
            <w:gridSpan w:val="3"/>
            <w:shd w:val="clear" w:color="auto" w:fill="auto"/>
            <w:vAlign w:val="bottom"/>
          </w:tcPr>
          <w:p w14:paraId="392C3627" w14:textId="77777777" w:rsidR="00980E5F" w:rsidRDefault="00980E5F">
            <w:pPr>
              <w:rPr>
                <w:rFonts w:ascii="宋体"/>
                <w:vanish/>
              </w:rPr>
            </w:pPr>
          </w:p>
        </w:tc>
        <w:tc>
          <w:tcPr>
            <w:tcW w:w="0" w:type="auto"/>
            <w:gridSpan w:val="3"/>
            <w:shd w:val="clear" w:color="auto" w:fill="auto"/>
            <w:vAlign w:val="bottom"/>
          </w:tcPr>
          <w:p w14:paraId="392C3628" w14:textId="77777777" w:rsidR="00980E5F" w:rsidRDefault="00980E5F">
            <w:pPr>
              <w:rPr>
                <w:rFonts w:ascii="宋体"/>
                <w:vanish/>
              </w:rPr>
            </w:pPr>
          </w:p>
        </w:tc>
        <w:tc>
          <w:tcPr>
            <w:tcW w:w="0" w:type="auto"/>
            <w:gridSpan w:val="3"/>
            <w:shd w:val="clear" w:color="auto" w:fill="auto"/>
            <w:vAlign w:val="bottom"/>
          </w:tcPr>
          <w:p w14:paraId="392C3629" w14:textId="77777777" w:rsidR="00980E5F" w:rsidRDefault="00980E5F">
            <w:pPr>
              <w:rPr>
                <w:rFonts w:ascii="宋体"/>
                <w:vanish/>
              </w:rPr>
            </w:pPr>
          </w:p>
        </w:tc>
        <w:tc>
          <w:tcPr>
            <w:tcW w:w="0" w:type="auto"/>
            <w:gridSpan w:val="3"/>
            <w:shd w:val="clear" w:color="auto" w:fill="auto"/>
            <w:vAlign w:val="bottom"/>
          </w:tcPr>
          <w:p w14:paraId="392C362A" w14:textId="77777777" w:rsidR="00980E5F" w:rsidRDefault="00980E5F">
            <w:pPr>
              <w:rPr>
                <w:rFonts w:ascii="宋体"/>
                <w:vanish/>
              </w:rPr>
            </w:pPr>
          </w:p>
        </w:tc>
        <w:tc>
          <w:tcPr>
            <w:tcW w:w="0" w:type="auto"/>
            <w:gridSpan w:val="3"/>
            <w:shd w:val="clear" w:color="auto" w:fill="auto"/>
            <w:vAlign w:val="bottom"/>
          </w:tcPr>
          <w:p w14:paraId="392C362B" w14:textId="77777777" w:rsidR="00980E5F" w:rsidRDefault="00980E5F">
            <w:pPr>
              <w:rPr>
                <w:rFonts w:ascii="宋体"/>
                <w:vanish/>
              </w:rPr>
            </w:pPr>
          </w:p>
        </w:tc>
        <w:tc>
          <w:tcPr>
            <w:tcW w:w="0" w:type="auto"/>
            <w:gridSpan w:val="3"/>
            <w:shd w:val="clear" w:color="auto" w:fill="auto"/>
            <w:vAlign w:val="bottom"/>
          </w:tcPr>
          <w:p w14:paraId="392C362C" w14:textId="77777777" w:rsidR="00980E5F" w:rsidRDefault="00980E5F">
            <w:pPr>
              <w:rPr>
                <w:rFonts w:ascii="宋体"/>
                <w:vanish/>
              </w:rPr>
            </w:pPr>
          </w:p>
        </w:tc>
        <w:tc>
          <w:tcPr>
            <w:tcW w:w="0" w:type="auto"/>
            <w:gridSpan w:val="3"/>
            <w:shd w:val="clear" w:color="auto" w:fill="auto"/>
            <w:vAlign w:val="bottom"/>
          </w:tcPr>
          <w:p w14:paraId="392C362D" w14:textId="77777777" w:rsidR="00980E5F" w:rsidRDefault="00980E5F">
            <w:pPr>
              <w:rPr>
                <w:rFonts w:ascii="宋体"/>
                <w:vanish/>
              </w:rPr>
            </w:pPr>
          </w:p>
        </w:tc>
        <w:tc>
          <w:tcPr>
            <w:tcW w:w="0" w:type="auto"/>
            <w:gridSpan w:val="3"/>
            <w:shd w:val="clear" w:color="auto" w:fill="auto"/>
            <w:vAlign w:val="bottom"/>
          </w:tcPr>
          <w:p w14:paraId="392C362E" w14:textId="77777777" w:rsidR="00980E5F" w:rsidRDefault="00980E5F">
            <w:pPr>
              <w:rPr>
                <w:rFonts w:ascii="宋体"/>
                <w:vanish/>
              </w:rPr>
            </w:pPr>
          </w:p>
        </w:tc>
        <w:tc>
          <w:tcPr>
            <w:tcW w:w="0" w:type="auto"/>
            <w:gridSpan w:val="3"/>
            <w:shd w:val="clear" w:color="auto" w:fill="auto"/>
            <w:vAlign w:val="bottom"/>
          </w:tcPr>
          <w:p w14:paraId="392C362F" w14:textId="77777777" w:rsidR="00980E5F" w:rsidRDefault="00980E5F">
            <w:pPr>
              <w:rPr>
                <w:rFonts w:ascii="宋体"/>
                <w:vanish/>
              </w:rPr>
            </w:pPr>
          </w:p>
        </w:tc>
        <w:tc>
          <w:tcPr>
            <w:tcW w:w="0" w:type="auto"/>
            <w:gridSpan w:val="3"/>
            <w:shd w:val="clear" w:color="auto" w:fill="auto"/>
            <w:vAlign w:val="bottom"/>
          </w:tcPr>
          <w:p w14:paraId="392C3630" w14:textId="77777777" w:rsidR="00980E5F" w:rsidRDefault="00980E5F">
            <w:pPr>
              <w:rPr>
                <w:rFonts w:ascii="宋体"/>
                <w:vanish/>
              </w:rPr>
            </w:pPr>
          </w:p>
        </w:tc>
        <w:tc>
          <w:tcPr>
            <w:tcW w:w="0" w:type="auto"/>
            <w:gridSpan w:val="3"/>
            <w:shd w:val="clear" w:color="auto" w:fill="auto"/>
            <w:vAlign w:val="bottom"/>
          </w:tcPr>
          <w:p w14:paraId="392C3631" w14:textId="77777777" w:rsidR="00980E5F" w:rsidRDefault="00980E5F">
            <w:pPr>
              <w:rPr>
                <w:rFonts w:ascii="宋体"/>
                <w:vanish/>
              </w:rPr>
            </w:pPr>
          </w:p>
        </w:tc>
        <w:tc>
          <w:tcPr>
            <w:tcW w:w="0" w:type="auto"/>
            <w:gridSpan w:val="3"/>
            <w:shd w:val="clear" w:color="auto" w:fill="auto"/>
            <w:vAlign w:val="bottom"/>
          </w:tcPr>
          <w:p w14:paraId="392C3632" w14:textId="77777777" w:rsidR="00980E5F" w:rsidRDefault="00980E5F">
            <w:pPr>
              <w:rPr>
                <w:rFonts w:ascii="宋体"/>
                <w:vanish/>
              </w:rPr>
            </w:pPr>
          </w:p>
        </w:tc>
        <w:tc>
          <w:tcPr>
            <w:tcW w:w="0" w:type="auto"/>
            <w:gridSpan w:val="3"/>
            <w:shd w:val="clear" w:color="auto" w:fill="auto"/>
            <w:vAlign w:val="bottom"/>
          </w:tcPr>
          <w:p w14:paraId="392C3633" w14:textId="77777777" w:rsidR="00980E5F" w:rsidRDefault="00980E5F">
            <w:pPr>
              <w:rPr>
                <w:rFonts w:ascii="宋体"/>
                <w:vanish/>
              </w:rPr>
            </w:pPr>
          </w:p>
        </w:tc>
        <w:tc>
          <w:tcPr>
            <w:tcW w:w="0" w:type="auto"/>
            <w:gridSpan w:val="3"/>
            <w:shd w:val="clear" w:color="auto" w:fill="auto"/>
            <w:vAlign w:val="bottom"/>
          </w:tcPr>
          <w:p w14:paraId="392C3634" w14:textId="77777777" w:rsidR="00980E5F" w:rsidRDefault="00980E5F">
            <w:pPr>
              <w:rPr>
                <w:rFonts w:ascii="宋体"/>
                <w:vanish/>
              </w:rPr>
            </w:pPr>
          </w:p>
        </w:tc>
        <w:tc>
          <w:tcPr>
            <w:tcW w:w="0" w:type="auto"/>
            <w:gridSpan w:val="3"/>
            <w:shd w:val="clear" w:color="auto" w:fill="auto"/>
            <w:vAlign w:val="bottom"/>
          </w:tcPr>
          <w:p w14:paraId="392C3635" w14:textId="77777777" w:rsidR="00980E5F" w:rsidRDefault="00980E5F">
            <w:pPr>
              <w:rPr>
                <w:rFonts w:ascii="宋体"/>
                <w:vanish/>
              </w:rPr>
            </w:pPr>
          </w:p>
        </w:tc>
        <w:tc>
          <w:tcPr>
            <w:tcW w:w="0" w:type="auto"/>
            <w:gridSpan w:val="3"/>
            <w:shd w:val="clear" w:color="auto" w:fill="auto"/>
            <w:vAlign w:val="bottom"/>
          </w:tcPr>
          <w:p w14:paraId="392C3636" w14:textId="77777777" w:rsidR="00980E5F" w:rsidRDefault="00980E5F">
            <w:pPr>
              <w:rPr>
                <w:rFonts w:ascii="宋体"/>
                <w:vanish/>
              </w:rPr>
            </w:pPr>
          </w:p>
        </w:tc>
        <w:tc>
          <w:tcPr>
            <w:tcW w:w="0" w:type="auto"/>
            <w:gridSpan w:val="3"/>
            <w:shd w:val="clear" w:color="auto" w:fill="auto"/>
            <w:vAlign w:val="bottom"/>
          </w:tcPr>
          <w:p w14:paraId="392C3637" w14:textId="77777777" w:rsidR="00980E5F" w:rsidRDefault="00980E5F">
            <w:pPr>
              <w:rPr>
                <w:rFonts w:ascii="宋体"/>
                <w:vanish/>
              </w:rPr>
            </w:pPr>
          </w:p>
        </w:tc>
      </w:tr>
      <w:tr w:rsidR="00980E5F" w14:paraId="392C364B" w14:textId="77777777">
        <w:trPr>
          <w:jc w:val="center"/>
          <w:hidden/>
        </w:trPr>
        <w:tc>
          <w:tcPr>
            <w:tcW w:w="0" w:type="auto"/>
            <w:gridSpan w:val="3"/>
            <w:shd w:val="clear" w:color="auto" w:fill="auto"/>
            <w:vAlign w:val="bottom"/>
          </w:tcPr>
          <w:p w14:paraId="392C3639" w14:textId="77777777" w:rsidR="00980E5F" w:rsidRDefault="00980E5F">
            <w:pPr>
              <w:rPr>
                <w:rFonts w:ascii="宋体"/>
                <w:vanish/>
              </w:rPr>
            </w:pPr>
          </w:p>
        </w:tc>
        <w:tc>
          <w:tcPr>
            <w:tcW w:w="0" w:type="auto"/>
            <w:gridSpan w:val="3"/>
            <w:shd w:val="clear" w:color="auto" w:fill="auto"/>
            <w:vAlign w:val="bottom"/>
          </w:tcPr>
          <w:p w14:paraId="392C363A" w14:textId="77777777" w:rsidR="00980E5F" w:rsidRDefault="00980E5F">
            <w:pPr>
              <w:rPr>
                <w:rFonts w:ascii="宋体"/>
                <w:vanish/>
              </w:rPr>
            </w:pPr>
          </w:p>
        </w:tc>
        <w:tc>
          <w:tcPr>
            <w:tcW w:w="0" w:type="auto"/>
            <w:gridSpan w:val="3"/>
            <w:shd w:val="clear" w:color="auto" w:fill="auto"/>
            <w:vAlign w:val="bottom"/>
          </w:tcPr>
          <w:p w14:paraId="392C363B" w14:textId="77777777" w:rsidR="00980E5F" w:rsidRDefault="00980E5F">
            <w:pPr>
              <w:rPr>
                <w:rFonts w:ascii="宋体"/>
                <w:vanish/>
              </w:rPr>
            </w:pPr>
          </w:p>
        </w:tc>
        <w:tc>
          <w:tcPr>
            <w:tcW w:w="0" w:type="auto"/>
            <w:gridSpan w:val="3"/>
            <w:shd w:val="clear" w:color="auto" w:fill="auto"/>
            <w:vAlign w:val="bottom"/>
          </w:tcPr>
          <w:p w14:paraId="392C363C" w14:textId="77777777" w:rsidR="00980E5F" w:rsidRDefault="00980E5F">
            <w:pPr>
              <w:rPr>
                <w:rFonts w:ascii="宋体"/>
                <w:vanish/>
              </w:rPr>
            </w:pPr>
          </w:p>
        </w:tc>
        <w:tc>
          <w:tcPr>
            <w:tcW w:w="0" w:type="auto"/>
            <w:gridSpan w:val="3"/>
            <w:shd w:val="clear" w:color="auto" w:fill="auto"/>
            <w:vAlign w:val="bottom"/>
          </w:tcPr>
          <w:p w14:paraId="392C363D" w14:textId="77777777" w:rsidR="00980E5F" w:rsidRDefault="00980E5F">
            <w:pPr>
              <w:rPr>
                <w:rFonts w:ascii="宋体"/>
                <w:vanish/>
              </w:rPr>
            </w:pPr>
          </w:p>
        </w:tc>
        <w:tc>
          <w:tcPr>
            <w:tcW w:w="0" w:type="auto"/>
            <w:gridSpan w:val="3"/>
            <w:shd w:val="clear" w:color="auto" w:fill="auto"/>
            <w:vAlign w:val="bottom"/>
          </w:tcPr>
          <w:p w14:paraId="392C363E" w14:textId="77777777" w:rsidR="00980E5F" w:rsidRDefault="00980E5F">
            <w:pPr>
              <w:rPr>
                <w:rFonts w:ascii="宋体"/>
                <w:vanish/>
              </w:rPr>
            </w:pPr>
          </w:p>
        </w:tc>
        <w:tc>
          <w:tcPr>
            <w:tcW w:w="0" w:type="auto"/>
            <w:gridSpan w:val="3"/>
            <w:shd w:val="clear" w:color="auto" w:fill="auto"/>
            <w:vAlign w:val="bottom"/>
          </w:tcPr>
          <w:p w14:paraId="392C363F" w14:textId="77777777" w:rsidR="00980E5F" w:rsidRDefault="00980E5F">
            <w:pPr>
              <w:rPr>
                <w:rFonts w:ascii="宋体"/>
                <w:vanish/>
              </w:rPr>
            </w:pPr>
          </w:p>
        </w:tc>
        <w:tc>
          <w:tcPr>
            <w:tcW w:w="0" w:type="auto"/>
            <w:gridSpan w:val="3"/>
            <w:shd w:val="clear" w:color="auto" w:fill="auto"/>
            <w:vAlign w:val="bottom"/>
          </w:tcPr>
          <w:p w14:paraId="392C3640" w14:textId="77777777" w:rsidR="00980E5F" w:rsidRDefault="00980E5F">
            <w:pPr>
              <w:rPr>
                <w:rFonts w:ascii="宋体"/>
                <w:vanish/>
              </w:rPr>
            </w:pPr>
          </w:p>
        </w:tc>
        <w:tc>
          <w:tcPr>
            <w:tcW w:w="0" w:type="auto"/>
            <w:gridSpan w:val="3"/>
            <w:shd w:val="clear" w:color="auto" w:fill="auto"/>
            <w:vAlign w:val="bottom"/>
          </w:tcPr>
          <w:p w14:paraId="392C3641" w14:textId="77777777" w:rsidR="00980E5F" w:rsidRDefault="00980E5F">
            <w:pPr>
              <w:rPr>
                <w:rFonts w:ascii="宋体"/>
                <w:vanish/>
              </w:rPr>
            </w:pPr>
          </w:p>
        </w:tc>
        <w:tc>
          <w:tcPr>
            <w:tcW w:w="0" w:type="auto"/>
            <w:gridSpan w:val="3"/>
            <w:shd w:val="clear" w:color="auto" w:fill="auto"/>
            <w:vAlign w:val="bottom"/>
          </w:tcPr>
          <w:p w14:paraId="392C3642" w14:textId="77777777" w:rsidR="00980E5F" w:rsidRDefault="00980E5F">
            <w:pPr>
              <w:rPr>
                <w:rFonts w:ascii="宋体"/>
                <w:vanish/>
              </w:rPr>
            </w:pPr>
          </w:p>
        </w:tc>
        <w:tc>
          <w:tcPr>
            <w:tcW w:w="0" w:type="auto"/>
            <w:gridSpan w:val="3"/>
            <w:shd w:val="clear" w:color="auto" w:fill="auto"/>
            <w:vAlign w:val="bottom"/>
          </w:tcPr>
          <w:p w14:paraId="392C3643" w14:textId="77777777" w:rsidR="00980E5F" w:rsidRDefault="00980E5F">
            <w:pPr>
              <w:rPr>
                <w:rFonts w:ascii="宋体"/>
                <w:vanish/>
              </w:rPr>
            </w:pPr>
          </w:p>
        </w:tc>
        <w:tc>
          <w:tcPr>
            <w:tcW w:w="0" w:type="auto"/>
            <w:gridSpan w:val="3"/>
            <w:shd w:val="clear" w:color="auto" w:fill="auto"/>
            <w:vAlign w:val="bottom"/>
          </w:tcPr>
          <w:p w14:paraId="392C3644" w14:textId="77777777" w:rsidR="00980E5F" w:rsidRDefault="00980E5F">
            <w:pPr>
              <w:rPr>
                <w:rFonts w:ascii="宋体"/>
                <w:vanish/>
              </w:rPr>
            </w:pPr>
          </w:p>
        </w:tc>
        <w:tc>
          <w:tcPr>
            <w:tcW w:w="0" w:type="auto"/>
            <w:gridSpan w:val="3"/>
            <w:shd w:val="clear" w:color="auto" w:fill="auto"/>
            <w:vAlign w:val="bottom"/>
          </w:tcPr>
          <w:p w14:paraId="392C3645" w14:textId="77777777" w:rsidR="00980E5F" w:rsidRDefault="00980E5F">
            <w:pPr>
              <w:rPr>
                <w:rFonts w:ascii="宋体"/>
                <w:vanish/>
              </w:rPr>
            </w:pPr>
          </w:p>
        </w:tc>
        <w:tc>
          <w:tcPr>
            <w:tcW w:w="0" w:type="auto"/>
            <w:gridSpan w:val="3"/>
            <w:shd w:val="clear" w:color="auto" w:fill="auto"/>
            <w:vAlign w:val="bottom"/>
          </w:tcPr>
          <w:p w14:paraId="392C3646" w14:textId="77777777" w:rsidR="00980E5F" w:rsidRDefault="00980E5F">
            <w:pPr>
              <w:rPr>
                <w:rFonts w:ascii="宋体"/>
                <w:vanish/>
              </w:rPr>
            </w:pPr>
          </w:p>
        </w:tc>
        <w:tc>
          <w:tcPr>
            <w:tcW w:w="0" w:type="auto"/>
            <w:gridSpan w:val="3"/>
            <w:shd w:val="clear" w:color="auto" w:fill="auto"/>
            <w:vAlign w:val="bottom"/>
          </w:tcPr>
          <w:p w14:paraId="392C3647" w14:textId="77777777" w:rsidR="00980E5F" w:rsidRDefault="00980E5F">
            <w:pPr>
              <w:rPr>
                <w:rFonts w:ascii="宋体"/>
                <w:vanish/>
              </w:rPr>
            </w:pPr>
          </w:p>
        </w:tc>
        <w:tc>
          <w:tcPr>
            <w:tcW w:w="0" w:type="auto"/>
            <w:gridSpan w:val="3"/>
            <w:shd w:val="clear" w:color="auto" w:fill="auto"/>
            <w:vAlign w:val="bottom"/>
          </w:tcPr>
          <w:p w14:paraId="392C3648" w14:textId="77777777" w:rsidR="00980E5F" w:rsidRDefault="00980E5F">
            <w:pPr>
              <w:rPr>
                <w:rFonts w:ascii="宋体"/>
                <w:vanish/>
              </w:rPr>
            </w:pPr>
          </w:p>
        </w:tc>
        <w:tc>
          <w:tcPr>
            <w:tcW w:w="0" w:type="auto"/>
            <w:gridSpan w:val="3"/>
            <w:shd w:val="clear" w:color="auto" w:fill="auto"/>
            <w:vAlign w:val="bottom"/>
          </w:tcPr>
          <w:p w14:paraId="392C3649" w14:textId="77777777" w:rsidR="00980E5F" w:rsidRDefault="00980E5F">
            <w:pPr>
              <w:rPr>
                <w:rFonts w:ascii="宋体"/>
                <w:vanish/>
              </w:rPr>
            </w:pPr>
          </w:p>
        </w:tc>
        <w:tc>
          <w:tcPr>
            <w:tcW w:w="0" w:type="auto"/>
            <w:gridSpan w:val="3"/>
            <w:shd w:val="clear" w:color="auto" w:fill="auto"/>
            <w:vAlign w:val="bottom"/>
          </w:tcPr>
          <w:p w14:paraId="392C364A" w14:textId="77777777" w:rsidR="00980E5F" w:rsidRDefault="00980E5F">
            <w:pPr>
              <w:rPr>
                <w:rFonts w:ascii="宋体"/>
                <w:vanish/>
              </w:rPr>
            </w:pPr>
          </w:p>
        </w:tc>
      </w:tr>
      <w:tr w:rsidR="00980E5F" w14:paraId="392C365E" w14:textId="77777777">
        <w:trPr>
          <w:jc w:val="center"/>
          <w:hidden/>
        </w:trPr>
        <w:tc>
          <w:tcPr>
            <w:tcW w:w="0" w:type="auto"/>
            <w:gridSpan w:val="3"/>
            <w:shd w:val="clear" w:color="auto" w:fill="auto"/>
            <w:vAlign w:val="bottom"/>
          </w:tcPr>
          <w:p w14:paraId="392C364C" w14:textId="77777777" w:rsidR="00980E5F" w:rsidRDefault="00980E5F">
            <w:pPr>
              <w:rPr>
                <w:rFonts w:ascii="宋体"/>
                <w:vanish/>
              </w:rPr>
            </w:pPr>
          </w:p>
        </w:tc>
        <w:tc>
          <w:tcPr>
            <w:tcW w:w="0" w:type="auto"/>
            <w:gridSpan w:val="3"/>
            <w:shd w:val="clear" w:color="auto" w:fill="auto"/>
            <w:vAlign w:val="bottom"/>
          </w:tcPr>
          <w:p w14:paraId="392C364D" w14:textId="77777777" w:rsidR="00980E5F" w:rsidRDefault="00980E5F">
            <w:pPr>
              <w:rPr>
                <w:rFonts w:ascii="宋体"/>
                <w:vanish/>
              </w:rPr>
            </w:pPr>
          </w:p>
        </w:tc>
        <w:tc>
          <w:tcPr>
            <w:tcW w:w="0" w:type="auto"/>
            <w:gridSpan w:val="3"/>
            <w:shd w:val="clear" w:color="auto" w:fill="auto"/>
            <w:vAlign w:val="bottom"/>
          </w:tcPr>
          <w:p w14:paraId="392C364E" w14:textId="77777777" w:rsidR="00980E5F" w:rsidRDefault="00980E5F">
            <w:pPr>
              <w:rPr>
                <w:rFonts w:ascii="宋体"/>
                <w:vanish/>
              </w:rPr>
            </w:pPr>
          </w:p>
        </w:tc>
        <w:tc>
          <w:tcPr>
            <w:tcW w:w="0" w:type="auto"/>
            <w:gridSpan w:val="3"/>
            <w:shd w:val="clear" w:color="auto" w:fill="auto"/>
            <w:vAlign w:val="bottom"/>
          </w:tcPr>
          <w:p w14:paraId="392C364F" w14:textId="77777777" w:rsidR="00980E5F" w:rsidRDefault="00980E5F">
            <w:pPr>
              <w:rPr>
                <w:rFonts w:ascii="宋体"/>
                <w:vanish/>
              </w:rPr>
            </w:pPr>
          </w:p>
        </w:tc>
        <w:tc>
          <w:tcPr>
            <w:tcW w:w="0" w:type="auto"/>
            <w:gridSpan w:val="3"/>
            <w:shd w:val="clear" w:color="auto" w:fill="auto"/>
            <w:vAlign w:val="bottom"/>
          </w:tcPr>
          <w:p w14:paraId="392C3650" w14:textId="77777777" w:rsidR="00980E5F" w:rsidRDefault="00980E5F">
            <w:pPr>
              <w:rPr>
                <w:rFonts w:ascii="宋体"/>
                <w:vanish/>
              </w:rPr>
            </w:pPr>
          </w:p>
        </w:tc>
        <w:tc>
          <w:tcPr>
            <w:tcW w:w="0" w:type="auto"/>
            <w:gridSpan w:val="3"/>
            <w:shd w:val="clear" w:color="auto" w:fill="auto"/>
            <w:vAlign w:val="bottom"/>
          </w:tcPr>
          <w:p w14:paraId="392C3651" w14:textId="77777777" w:rsidR="00980E5F" w:rsidRDefault="00980E5F">
            <w:pPr>
              <w:rPr>
                <w:rFonts w:ascii="宋体"/>
                <w:vanish/>
              </w:rPr>
            </w:pPr>
          </w:p>
        </w:tc>
        <w:tc>
          <w:tcPr>
            <w:tcW w:w="0" w:type="auto"/>
            <w:gridSpan w:val="3"/>
            <w:shd w:val="clear" w:color="auto" w:fill="auto"/>
            <w:vAlign w:val="bottom"/>
          </w:tcPr>
          <w:p w14:paraId="392C3652" w14:textId="77777777" w:rsidR="00980E5F" w:rsidRDefault="00980E5F">
            <w:pPr>
              <w:rPr>
                <w:rFonts w:ascii="宋体"/>
                <w:vanish/>
              </w:rPr>
            </w:pPr>
          </w:p>
        </w:tc>
        <w:tc>
          <w:tcPr>
            <w:tcW w:w="0" w:type="auto"/>
            <w:gridSpan w:val="3"/>
            <w:shd w:val="clear" w:color="auto" w:fill="auto"/>
            <w:vAlign w:val="bottom"/>
          </w:tcPr>
          <w:p w14:paraId="392C3653" w14:textId="77777777" w:rsidR="00980E5F" w:rsidRDefault="00980E5F">
            <w:pPr>
              <w:rPr>
                <w:rFonts w:ascii="宋体"/>
                <w:vanish/>
              </w:rPr>
            </w:pPr>
          </w:p>
        </w:tc>
        <w:tc>
          <w:tcPr>
            <w:tcW w:w="0" w:type="auto"/>
            <w:gridSpan w:val="3"/>
            <w:shd w:val="clear" w:color="auto" w:fill="auto"/>
            <w:vAlign w:val="bottom"/>
          </w:tcPr>
          <w:p w14:paraId="392C3654" w14:textId="77777777" w:rsidR="00980E5F" w:rsidRDefault="00980E5F">
            <w:pPr>
              <w:rPr>
                <w:rFonts w:ascii="宋体"/>
                <w:vanish/>
              </w:rPr>
            </w:pPr>
          </w:p>
        </w:tc>
        <w:tc>
          <w:tcPr>
            <w:tcW w:w="0" w:type="auto"/>
            <w:gridSpan w:val="3"/>
            <w:shd w:val="clear" w:color="auto" w:fill="auto"/>
            <w:vAlign w:val="bottom"/>
          </w:tcPr>
          <w:p w14:paraId="392C3655" w14:textId="77777777" w:rsidR="00980E5F" w:rsidRDefault="00980E5F">
            <w:pPr>
              <w:rPr>
                <w:rFonts w:ascii="宋体"/>
                <w:vanish/>
              </w:rPr>
            </w:pPr>
          </w:p>
        </w:tc>
        <w:tc>
          <w:tcPr>
            <w:tcW w:w="0" w:type="auto"/>
            <w:gridSpan w:val="3"/>
            <w:shd w:val="clear" w:color="auto" w:fill="auto"/>
            <w:vAlign w:val="bottom"/>
          </w:tcPr>
          <w:p w14:paraId="392C3656" w14:textId="77777777" w:rsidR="00980E5F" w:rsidRDefault="00980E5F">
            <w:pPr>
              <w:rPr>
                <w:rFonts w:ascii="宋体"/>
                <w:vanish/>
              </w:rPr>
            </w:pPr>
          </w:p>
        </w:tc>
        <w:tc>
          <w:tcPr>
            <w:tcW w:w="0" w:type="auto"/>
            <w:gridSpan w:val="3"/>
            <w:shd w:val="clear" w:color="auto" w:fill="auto"/>
            <w:vAlign w:val="bottom"/>
          </w:tcPr>
          <w:p w14:paraId="392C3657" w14:textId="77777777" w:rsidR="00980E5F" w:rsidRDefault="00980E5F">
            <w:pPr>
              <w:rPr>
                <w:rFonts w:ascii="宋体"/>
                <w:vanish/>
              </w:rPr>
            </w:pPr>
          </w:p>
        </w:tc>
        <w:tc>
          <w:tcPr>
            <w:tcW w:w="0" w:type="auto"/>
            <w:gridSpan w:val="3"/>
            <w:shd w:val="clear" w:color="auto" w:fill="auto"/>
            <w:vAlign w:val="bottom"/>
          </w:tcPr>
          <w:p w14:paraId="392C3658" w14:textId="77777777" w:rsidR="00980E5F" w:rsidRDefault="00980E5F">
            <w:pPr>
              <w:rPr>
                <w:rFonts w:ascii="宋体"/>
                <w:vanish/>
              </w:rPr>
            </w:pPr>
          </w:p>
        </w:tc>
        <w:tc>
          <w:tcPr>
            <w:tcW w:w="0" w:type="auto"/>
            <w:gridSpan w:val="3"/>
            <w:shd w:val="clear" w:color="auto" w:fill="auto"/>
            <w:vAlign w:val="bottom"/>
          </w:tcPr>
          <w:p w14:paraId="392C3659" w14:textId="77777777" w:rsidR="00980E5F" w:rsidRDefault="00980E5F">
            <w:pPr>
              <w:rPr>
                <w:rFonts w:ascii="宋体"/>
                <w:vanish/>
              </w:rPr>
            </w:pPr>
          </w:p>
        </w:tc>
        <w:tc>
          <w:tcPr>
            <w:tcW w:w="0" w:type="auto"/>
            <w:gridSpan w:val="3"/>
            <w:shd w:val="clear" w:color="auto" w:fill="auto"/>
            <w:vAlign w:val="bottom"/>
          </w:tcPr>
          <w:p w14:paraId="392C365A" w14:textId="77777777" w:rsidR="00980E5F" w:rsidRDefault="00980E5F">
            <w:pPr>
              <w:rPr>
                <w:rFonts w:ascii="宋体"/>
                <w:vanish/>
              </w:rPr>
            </w:pPr>
          </w:p>
        </w:tc>
        <w:tc>
          <w:tcPr>
            <w:tcW w:w="0" w:type="auto"/>
            <w:gridSpan w:val="3"/>
            <w:shd w:val="clear" w:color="auto" w:fill="auto"/>
            <w:vAlign w:val="bottom"/>
          </w:tcPr>
          <w:p w14:paraId="392C365B" w14:textId="77777777" w:rsidR="00980E5F" w:rsidRDefault="00980E5F">
            <w:pPr>
              <w:rPr>
                <w:rFonts w:ascii="宋体"/>
                <w:vanish/>
              </w:rPr>
            </w:pPr>
          </w:p>
        </w:tc>
        <w:tc>
          <w:tcPr>
            <w:tcW w:w="0" w:type="auto"/>
            <w:gridSpan w:val="3"/>
            <w:shd w:val="clear" w:color="auto" w:fill="auto"/>
            <w:vAlign w:val="bottom"/>
          </w:tcPr>
          <w:p w14:paraId="392C365C" w14:textId="77777777" w:rsidR="00980E5F" w:rsidRDefault="00980E5F">
            <w:pPr>
              <w:rPr>
                <w:rFonts w:ascii="宋体"/>
                <w:vanish/>
              </w:rPr>
            </w:pPr>
          </w:p>
        </w:tc>
        <w:tc>
          <w:tcPr>
            <w:tcW w:w="0" w:type="auto"/>
            <w:gridSpan w:val="3"/>
            <w:shd w:val="clear" w:color="auto" w:fill="auto"/>
            <w:vAlign w:val="bottom"/>
          </w:tcPr>
          <w:p w14:paraId="392C365D" w14:textId="77777777" w:rsidR="00980E5F" w:rsidRDefault="00980E5F">
            <w:pPr>
              <w:rPr>
                <w:rFonts w:ascii="宋体"/>
                <w:vanish/>
              </w:rPr>
            </w:pPr>
          </w:p>
        </w:tc>
      </w:tr>
      <w:tr w:rsidR="00980E5F" w14:paraId="392C3671" w14:textId="77777777">
        <w:trPr>
          <w:jc w:val="center"/>
          <w:hidden/>
        </w:trPr>
        <w:tc>
          <w:tcPr>
            <w:tcW w:w="0" w:type="auto"/>
            <w:gridSpan w:val="3"/>
            <w:shd w:val="clear" w:color="auto" w:fill="auto"/>
            <w:vAlign w:val="bottom"/>
          </w:tcPr>
          <w:p w14:paraId="392C365F" w14:textId="77777777" w:rsidR="00980E5F" w:rsidRDefault="00980E5F">
            <w:pPr>
              <w:rPr>
                <w:rFonts w:ascii="宋体"/>
                <w:vanish/>
              </w:rPr>
            </w:pPr>
          </w:p>
        </w:tc>
        <w:tc>
          <w:tcPr>
            <w:tcW w:w="0" w:type="auto"/>
            <w:gridSpan w:val="3"/>
            <w:shd w:val="clear" w:color="auto" w:fill="auto"/>
            <w:vAlign w:val="bottom"/>
          </w:tcPr>
          <w:p w14:paraId="392C3660" w14:textId="77777777" w:rsidR="00980E5F" w:rsidRDefault="00980E5F">
            <w:pPr>
              <w:rPr>
                <w:rFonts w:ascii="宋体"/>
                <w:vanish/>
              </w:rPr>
            </w:pPr>
          </w:p>
        </w:tc>
        <w:tc>
          <w:tcPr>
            <w:tcW w:w="0" w:type="auto"/>
            <w:gridSpan w:val="3"/>
            <w:shd w:val="clear" w:color="auto" w:fill="auto"/>
            <w:vAlign w:val="bottom"/>
          </w:tcPr>
          <w:p w14:paraId="392C3661" w14:textId="77777777" w:rsidR="00980E5F" w:rsidRDefault="00980E5F">
            <w:pPr>
              <w:rPr>
                <w:rFonts w:ascii="宋体"/>
                <w:vanish/>
              </w:rPr>
            </w:pPr>
          </w:p>
        </w:tc>
        <w:tc>
          <w:tcPr>
            <w:tcW w:w="0" w:type="auto"/>
            <w:gridSpan w:val="3"/>
            <w:shd w:val="clear" w:color="auto" w:fill="auto"/>
            <w:vAlign w:val="bottom"/>
          </w:tcPr>
          <w:p w14:paraId="392C3662" w14:textId="77777777" w:rsidR="00980E5F" w:rsidRDefault="00980E5F">
            <w:pPr>
              <w:rPr>
                <w:rFonts w:ascii="宋体"/>
                <w:vanish/>
              </w:rPr>
            </w:pPr>
          </w:p>
        </w:tc>
        <w:tc>
          <w:tcPr>
            <w:tcW w:w="0" w:type="auto"/>
            <w:gridSpan w:val="3"/>
            <w:shd w:val="clear" w:color="auto" w:fill="auto"/>
            <w:vAlign w:val="bottom"/>
          </w:tcPr>
          <w:p w14:paraId="392C3663" w14:textId="77777777" w:rsidR="00980E5F" w:rsidRDefault="00980E5F">
            <w:pPr>
              <w:rPr>
                <w:rFonts w:ascii="宋体"/>
                <w:vanish/>
              </w:rPr>
            </w:pPr>
          </w:p>
        </w:tc>
        <w:tc>
          <w:tcPr>
            <w:tcW w:w="0" w:type="auto"/>
            <w:gridSpan w:val="3"/>
            <w:shd w:val="clear" w:color="auto" w:fill="auto"/>
            <w:vAlign w:val="bottom"/>
          </w:tcPr>
          <w:p w14:paraId="392C3664" w14:textId="77777777" w:rsidR="00980E5F" w:rsidRDefault="00980E5F">
            <w:pPr>
              <w:rPr>
                <w:rFonts w:ascii="宋体"/>
                <w:vanish/>
              </w:rPr>
            </w:pPr>
          </w:p>
        </w:tc>
        <w:tc>
          <w:tcPr>
            <w:tcW w:w="0" w:type="auto"/>
            <w:gridSpan w:val="3"/>
            <w:shd w:val="clear" w:color="auto" w:fill="auto"/>
            <w:vAlign w:val="bottom"/>
          </w:tcPr>
          <w:p w14:paraId="392C3665" w14:textId="77777777" w:rsidR="00980E5F" w:rsidRDefault="00980E5F">
            <w:pPr>
              <w:rPr>
                <w:rFonts w:ascii="宋体"/>
                <w:vanish/>
              </w:rPr>
            </w:pPr>
          </w:p>
        </w:tc>
        <w:tc>
          <w:tcPr>
            <w:tcW w:w="0" w:type="auto"/>
            <w:gridSpan w:val="3"/>
            <w:shd w:val="clear" w:color="auto" w:fill="auto"/>
            <w:vAlign w:val="bottom"/>
          </w:tcPr>
          <w:p w14:paraId="392C3666" w14:textId="77777777" w:rsidR="00980E5F" w:rsidRDefault="00980E5F">
            <w:pPr>
              <w:rPr>
                <w:rFonts w:ascii="宋体"/>
                <w:vanish/>
              </w:rPr>
            </w:pPr>
          </w:p>
        </w:tc>
        <w:tc>
          <w:tcPr>
            <w:tcW w:w="0" w:type="auto"/>
            <w:gridSpan w:val="3"/>
            <w:shd w:val="clear" w:color="auto" w:fill="auto"/>
            <w:vAlign w:val="bottom"/>
          </w:tcPr>
          <w:p w14:paraId="392C3667" w14:textId="77777777" w:rsidR="00980E5F" w:rsidRDefault="00980E5F">
            <w:pPr>
              <w:rPr>
                <w:rFonts w:ascii="宋体"/>
                <w:vanish/>
              </w:rPr>
            </w:pPr>
          </w:p>
        </w:tc>
        <w:tc>
          <w:tcPr>
            <w:tcW w:w="0" w:type="auto"/>
            <w:gridSpan w:val="3"/>
            <w:shd w:val="clear" w:color="auto" w:fill="auto"/>
            <w:vAlign w:val="bottom"/>
          </w:tcPr>
          <w:p w14:paraId="392C3668" w14:textId="77777777" w:rsidR="00980E5F" w:rsidRDefault="00980E5F">
            <w:pPr>
              <w:rPr>
                <w:rFonts w:ascii="宋体"/>
                <w:vanish/>
              </w:rPr>
            </w:pPr>
          </w:p>
        </w:tc>
        <w:tc>
          <w:tcPr>
            <w:tcW w:w="0" w:type="auto"/>
            <w:gridSpan w:val="3"/>
            <w:shd w:val="clear" w:color="auto" w:fill="auto"/>
            <w:vAlign w:val="bottom"/>
          </w:tcPr>
          <w:p w14:paraId="392C3669" w14:textId="77777777" w:rsidR="00980E5F" w:rsidRDefault="00980E5F">
            <w:pPr>
              <w:rPr>
                <w:rFonts w:ascii="宋体"/>
                <w:vanish/>
              </w:rPr>
            </w:pPr>
          </w:p>
        </w:tc>
        <w:tc>
          <w:tcPr>
            <w:tcW w:w="0" w:type="auto"/>
            <w:gridSpan w:val="3"/>
            <w:shd w:val="clear" w:color="auto" w:fill="auto"/>
            <w:vAlign w:val="bottom"/>
          </w:tcPr>
          <w:p w14:paraId="392C366A" w14:textId="77777777" w:rsidR="00980E5F" w:rsidRDefault="00980E5F">
            <w:pPr>
              <w:rPr>
                <w:rFonts w:ascii="宋体"/>
                <w:vanish/>
              </w:rPr>
            </w:pPr>
          </w:p>
        </w:tc>
        <w:tc>
          <w:tcPr>
            <w:tcW w:w="0" w:type="auto"/>
            <w:gridSpan w:val="3"/>
            <w:shd w:val="clear" w:color="auto" w:fill="auto"/>
            <w:vAlign w:val="bottom"/>
          </w:tcPr>
          <w:p w14:paraId="392C366B" w14:textId="77777777" w:rsidR="00980E5F" w:rsidRDefault="00980E5F">
            <w:pPr>
              <w:rPr>
                <w:rFonts w:ascii="宋体"/>
                <w:vanish/>
              </w:rPr>
            </w:pPr>
          </w:p>
        </w:tc>
        <w:tc>
          <w:tcPr>
            <w:tcW w:w="0" w:type="auto"/>
            <w:gridSpan w:val="3"/>
            <w:shd w:val="clear" w:color="auto" w:fill="auto"/>
            <w:vAlign w:val="bottom"/>
          </w:tcPr>
          <w:p w14:paraId="392C366C" w14:textId="77777777" w:rsidR="00980E5F" w:rsidRDefault="00980E5F">
            <w:pPr>
              <w:rPr>
                <w:rFonts w:ascii="宋体"/>
                <w:vanish/>
              </w:rPr>
            </w:pPr>
          </w:p>
        </w:tc>
        <w:tc>
          <w:tcPr>
            <w:tcW w:w="0" w:type="auto"/>
            <w:gridSpan w:val="3"/>
            <w:shd w:val="clear" w:color="auto" w:fill="auto"/>
            <w:vAlign w:val="bottom"/>
          </w:tcPr>
          <w:p w14:paraId="392C366D" w14:textId="77777777" w:rsidR="00980E5F" w:rsidRDefault="00980E5F">
            <w:pPr>
              <w:rPr>
                <w:rFonts w:ascii="宋体"/>
                <w:vanish/>
              </w:rPr>
            </w:pPr>
          </w:p>
        </w:tc>
        <w:tc>
          <w:tcPr>
            <w:tcW w:w="0" w:type="auto"/>
            <w:gridSpan w:val="3"/>
            <w:shd w:val="clear" w:color="auto" w:fill="auto"/>
            <w:vAlign w:val="bottom"/>
          </w:tcPr>
          <w:p w14:paraId="392C366E" w14:textId="77777777" w:rsidR="00980E5F" w:rsidRDefault="00980E5F">
            <w:pPr>
              <w:rPr>
                <w:rFonts w:ascii="宋体"/>
                <w:vanish/>
              </w:rPr>
            </w:pPr>
          </w:p>
        </w:tc>
        <w:tc>
          <w:tcPr>
            <w:tcW w:w="0" w:type="auto"/>
            <w:gridSpan w:val="3"/>
            <w:shd w:val="clear" w:color="auto" w:fill="auto"/>
            <w:vAlign w:val="bottom"/>
          </w:tcPr>
          <w:p w14:paraId="392C366F" w14:textId="77777777" w:rsidR="00980E5F" w:rsidRDefault="00980E5F">
            <w:pPr>
              <w:rPr>
                <w:rFonts w:ascii="宋体"/>
                <w:vanish/>
              </w:rPr>
            </w:pPr>
          </w:p>
        </w:tc>
        <w:tc>
          <w:tcPr>
            <w:tcW w:w="0" w:type="auto"/>
            <w:gridSpan w:val="3"/>
            <w:shd w:val="clear" w:color="auto" w:fill="auto"/>
            <w:vAlign w:val="bottom"/>
          </w:tcPr>
          <w:p w14:paraId="392C3670" w14:textId="77777777" w:rsidR="00980E5F" w:rsidRDefault="00980E5F">
            <w:pPr>
              <w:rPr>
                <w:rFonts w:ascii="宋体"/>
                <w:vanish/>
              </w:rPr>
            </w:pPr>
          </w:p>
        </w:tc>
      </w:tr>
      <w:tr w:rsidR="00980E5F" w14:paraId="392C3684" w14:textId="77777777">
        <w:trPr>
          <w:jc w:val="center"/>
          <w:hidden/>
        </w:trPr>
        <w:tc>
          <w:tcPr>
            <w:tcW w:w="0" w:type="auto"/>
            <w:gridSpan w:val="3"/>
            <w:shd w:val="clear" w:color="auto" w:fill="auto"/>
            <w:vAlign w:val="bottom"/>
          </w:tcPr>
          <w:p w14:paraId="392C3672" w14:textId="77777777" w:rsidR="00980E5F" w:rsidRDefault="00980E5F">
            <w:pPr>
              <w:rPr>
                <w:rFonts w:ascii="宋体"/>
                <w:vanish/>
              </w:rPr>
            </w:pPr>
          </w:p>
        </w:tc>
        <w:tc>
          <w:tcPr>
            <w:tcW w:w="0" w:type="auto"/>
            <w:gridSpan w:val="3"/>
            <w:shd w:val="clear" w:color="auto" w:fill="auto"/>
            <w:vAlign w:val="bottom"/>
          </w:tcPr>
          <w:p w14:paraId="392C3673" w14:textId="77777777" w:rsidR="00980E5F" w:rsidRDefault="00980E5F">
            <w:pPr>
              <w:rPr>
                <w:rFonts w:ascii="宋体"/>
                <w:vanish/>
              </w:rPr>
            </w:pPr>
          </w:p>
        </w:tc>
        <w:tc>
          <w:tcPr>
            <w:tcW w:w="0" w:type="auto"/>
            <w:gridSpan w:val="3"/>
            <w:shd w:val="clear" w:color="auto" w:fill="auto"/>
            <w:vAlign w:val="bottom"/>
          </w:tcPr>
          <w:p w14:paraId="392C3674" w14:textId="77777777" w:rsidR="00980E5F" w:rsidRDefault="00980E5F">
            <w:pPr>
              <w:rPr>
                <w:rFonts w:ascii="宋体"/>
                <w:vanish/>
              </w:rPr>
            </w:pPr>
          </w:p>
        </w:tc>
        <w:tc>
          <w:tcPr>
            <w:tcW w:w="0" w:type="auto"/>
            <w:gridSpan w:val="3"/>
            <w:shd w:val="clear" w:color="auto" w:fill="auto"/>
            <w:vAlign w:val="bottom"/>
          </w:tcPr>
          <w:p w14:paraId="392C3675" w14:textId="77777777" w:rsidR="00980E5F" w:rsidRDefault="00980E5F">
            <w:pPr>
              <w:rPr>
                <w:rFonts w:ascii="宋体"/>
                <w:vanish/>
              </w:rPr>
            </w:pPr>
          </w:p>
        </w:tc>
        <w:tc>
          <w:tcPr>
            <w:tcW w:w="0" w:type="auto"/>
            <w:gridSpan w:val="3"/>
            <w:shd w:val="clear" w:color="auto" w:fill="auto"/>
            <w:vAlign w:val="bottom"/>
          </w:tcPr>
          <w:p w14:paraId="392C3676" w14:textId="77777777" w:rsidR="00980E5F" w:rsidRDefault="00980E5F">
            <w:pPr>
              <w:rPr>
                <w:rFonts w:ascii="宋体"/>
                <w:vanish/>
              </w:rPr>
            </w:pPr>
          </w:p>
        </w:tc>
        <w:tc>
          <w:tcPr>
            <w:tcW w:w="0" w:type="auto"/>
            <w:gridSpan w:val="3"/>
            <w:shd w:val="clear" w:color="auto" w:fill="auto"/>
            <w:vAlign w:val="bottom"/>
          </w:tcPr>
          <w:p w14:paraId="392C3677" w14:textId="77777777" w:rsidR="00980E5F" w:rsidRDefault="00980E5F">
            <w:pPr>
              <w:rPr>
                <w:rFonts w:ascii="宋体"/>
                <w:vanish/>
              </w:rPr>
            </w:pPr>
          </w:p>
        </w:tc>
        <w:tc>
          <w:tcPr>
            <w:tcW w:w="0" w:type="auto"/>
            <w:gridSpan w:val="3"/>
            <w:shd w:val="clear" w:color="auto" w:fill="auto"/>
            <w:vAlign w:val="bottom"/>
          </w:tcPr>
          <w:p w14:paraId="392C3678" w14:textId="77777777" w:rsidR="00980E5F" w:rsidRDefault="00980E5F">
            <w:pPr>
              <w:rPr>
                <w:rFonts w:ascii="宋体"/>
                <w:vanish/>
              </w:rPr>
            </w:pPr>
          </w:p>
        </w:tc>
        <w:tc>
          <w:tcPr>
            <w:tcW w:w="0" w:type="auto"/>
            <w:gridSpan w:val="3"/>
            <w:shd w:val="clear" w:color="auto" w:fill="auto"/>
            <w:vAlign w:val="bottom"/>
          </w:tcPr>
          <w:p w14:paraId="392C3679" w14:textId="77777777" w:rsidR="00980E5F" w:rsidRDefault="00980E5F">
            <w:pPr>
              <w:rPr>
                <w:rFonts w:ascii="宋体"/>
                <w:vanish/>
              </w:rPr>
            </w:pPr>
          </w:p>
        </w:tc>
        <w:tc>
          <w:tcPr>
            <w:tcW w:w="0" w:type="auto"/>
            <w:gridSpan w:val="3"/>
            <w:shd w:val="clear" w:color="auto" w:fill="auto"/>
            <w:vAlign w:val="bottom"/>
          </w:tcPr>
          <w:p w14:paraId="392C367A" w14:textId="77777777" w:rsidR="00980E5F" w:rsidRDefault="00980E5F">
            <w:pPr>
              <w:rPr>
                <w:rFonts w:ascii="宋体"/>
                <w:vanish/>
              </w:rPr>
            </w:pPr>
          </w:p>
        </w:tc>
        <w:tc>
          <w:tcPr>
            <w:tcW w:w="0" w:type="auto"/>
            <w:gridSpan w:val="3"/>
            <w:shd w:val="clear" w:color="auto" w:fill="auto"/>
            <w:vAlign w:val="bottom"/>
          </w:tcPr>
          <w:p w14:paraId="392C367B" w14:textId="77777777" w:rsidR="00980E5F" w:rsidRDefault="00980E5F">
            <w:pPr>
              <w:rPr>
                <w:rFonts w:ascii="宋体"/>
                <w:vanish/>
              </w:rPr>
            </w:pPr>
          </w:p>
        </w:tc>
        <w:tc>
          <w:tcPr>
            <w:tcW w:w="0" w:type="auto"/>
            <w:gridSpan w:val="3"/>
            <w:shd w:val="clear" w:color="auto" w:fill="auto"/>
            <w:vAlign w:val="bottom"/>
          </w:tcPr>
          <w:p w14:paraId="392C367C" w14:textId="77777777" w:rsidR="00980E5F" w:rsidRDefault="00980E5F">
            <w:pPr>
              <w:rPr>
                <w:rFonts w:ascii="宋体"/>
                <w:vanish/>
              </w:rPr>
            </w:pPr>
          </w:p>
        </w:tc>
        <w:tc>
          <w:tcPr>
            <w:tcW w:w="0" w:type="auto"/>
            <w:gridSpan w:val="3"/>
            <w:shd w:val="clear" w:color="auto" w:fill="auto"/>
            <w:vAlign w:val="bottom"/>
          </w:tcPr>
          <w:p w14:paraId="392C367D" w14:textId="77777777" w:rsidR="00980E5F" w:rsidRDefault="00980E5F">
            <w:pPr>
              <w:rPr>
                <w:rFonts w:ascii="宋体"/>
                <w:vanish/>
              </w:rPr>
            </w:pPr>
          </w:p>
        </w:tc>
        <w:tc>
          <w:tcPr>
            <w:tcW w:w="0" w:type="auto"/>
            <w:gridSpan w:val="3"/>
            <w:shd w:val="clear" w:color="auto" w:fill="auto"/>
            <w:vAlign w:val="bottom"/>
          </w:tcPr>
          <w:p w14:paraId="392C367E" w14:textId="77777777" w:rsidR="00980E5F" w:rsidRDefault="00980E5F">
            <w:pPr>
              <w:rPr>
                <w:rFonts w:ascii="宋体"/>
                <w:vanish/>
              </w:rPr>
            </w:pPr>
          </w:p>
        </w:tc>
        <w:tc>
          <w:tcPr>
            <w:tcW w:w="0" w:type="auto"/>
            <w:gridSpan w:val="3"/>
            <w:shd w:val="clear" w:color="auto" w:fill="auto"/>
            <w:vAlign w:val="bottom"/>
          </w:tcPr>
          <w:p w14:paraId="392C367F" w14:textId="77777777" w:rsidR="00980E5F" w:rsidRDefault="00980E5F">
            <w:pPr>
              <w:rPr>
                <w:rFonts w:ascii="宋体"/>
                <w:vanish/>
              </w:rPr>
            </w:pPr>
          </w:p>
        </w:tc>
        <w:tc>
          <w:tcPr>
            <w:tcW w:w="0" w:type="auto"/>
            <w:gridSpan w:val="3"/>
            <w:shd w:val="clear" w:color="auto" w:fill="auto"/>
            <w:vAlign w:val="bottom"/>
          </w:tcPr>
          <w:p w14:paraId="392C3680" w14:textId="77777777" w:rsidR="00980E5F" w:rsidRDefault="00980E5F">
            <w:pPr>
              <w:rPr>
                <w:rFonts w:ascii="宋体"/>
                <w:vanish/>
              </w:rPr>
            </w:pPr>
          </w:p>
        </w:tc>
        <w:tc>
          <w:tcPr>
            <w:tcW w:w="0" w:type="auto"/>
            <w:gridSpan w:val="3"/>
            <w:shd w:val="clear" w:color="auto" w:fill="auto"/>
            <w:vAlign w:val="bottom"/>
          </w:tcPr>
          <w:p w14:paraId="392C3681" w14:textId="77777777" w:rsidR="00980E5F" w:rsidRDefault="00980E5F">
            <w:pPr>
              <w:rPr>
                <w:rFonts w:ascii="宋体"/>
                <w:vanish/>
              </w:rPr>
            </w:pPr>
          </w:p>
        </w:tc>
        <w:tc>
          <w:tcPr>
            <w:tcW w:w="0" w:type="auto"/>
            <w:gridSpan w:val="3"/>
            <w:shd w:val="clear" w:color="auto" w:fill="auto"/>
            <w:vAlign w:val="bottom"/>
          </w:tcPr>
          <w:p w14:paraId="392C3682" w14:textId="77777777" w:rsidR="00980E5F" w:rsidRDefault="00980E5F">
            <w:pPr>
              <w:rPr>
                <w:rFonts w:ascii="宋体"/>
                <w:vanish/>
              </w:rPr>
            </w:pPr>
          </w:p>
        </w:tc>
        <w:tc>
          <w:tcPr>
            <w:tcW w:w="0" w:type="auto"/>
            <w:gridSpan w:val="3"/>
            <w:shd w:val="clear" w:color="auto" w:fill="auto"/>
            <w:vAlign w:val="bottom"/>
          </w:tcPr>
          <w:p w14:paraId="392C3683" w14:textId="77777777" w:rsidR="00980E5F" w:rsidRDefault="00980E5F">
            <w:pPr>
              <w:rPr>
                <w:rFonts w:ascii="宋体"/>
                <w:vanish/>
              </w:rPr>
            </w:pPr>
          </w:p>
        </w:tc>
      </w:tr>
      <w:tr w:rsidR="00980E5F" w14:paraId="392C3697" w14:textId="77777777">
        <w:trPr>
          <w:jc w:val="center"/>
          <w:hidden/>
        </w:trPr>
        <w:tc>
          <w:tcPr>
            <w:tcW w:w="0" w:type="auto"/>
            <w:gridSpan w:val="3"/>
            <w:shd w:val="clear" w:color="auto" w:fill="auto"/>
            <w:vAlign w:val="bottom"/>
          </w:tcPr>
          <w:p w14:paraId="392C3685" w14:textId="77777777" w:rsidR="00980E5F" w:rsidRDefault="00980E5F">
            <w:pPr>
              <w:rPr>
                <w:rFonts w:ascii="宋体"/>
                <w:vanish/>
              </w:rPr>
            </w:pPr>
          </w:p>
        </w:tc>
        <w:tc>
          <w:tcPr>
            <w:tcW w:w="0" w:type="auto"/>
            <w:gridSpan w:val="3"/>
            <w:shd w:val="clear" w:color="auto" w:fill="auto"/>
            <w:vAlign w:val="bottom"/>
          </w:tcPr>
          <w:p w14:paraId="392C3686" w14:textId="77777777" w:rsidR="00980E5F" w:rsidRDefault="00980E5F">
            <w:pPr>
              <w:rPr>
                <w:rFonts w:ascii="宋体"/>
                <w:vanish/>
              </w:rPr>
            </w:pPr>
          </w:p>
        </w:tc>
        <w:tc>
          <w:tcPr>
            <w:tcW w:w="0" w:type="auto"/>
            <w:gridSpan w:val="3"/>
            <w:shd w:val="clear" w:color="auto" w:fill="auto"/>
            <w:vAlign w:val="bottom"/>
          </w:tcPr>
          <w:p w14:paraId="392C3687" w14:textId="77777777" w:rsidR="00980E5F" w:rsidRDefault="00980E5F">
            <w:pPr>
              <w:rPr>
                <w:rFonts w:ascii="宋体"/>
                <w:vanish/>
              </w:rPr>
            </w:pPr>
          </w:p>
        </w:tc>
        <w:tc>
          <w:tcPr>
            <w:tcW w:w="0" w:type="auto"/>
            <w:gridSpan w:val="3"/>
            <w:shd w:val="clear" w:color="auto" w:fill="auto"/>
            <w:vAlign w:val="bottom"/>
          </w:tcPr>
          <w:p w14:paraId="392C3688" w14:textId="77777777" w:rsidR="00980E5F" w:rsidRDefault="00980E5F">
            <w:pPr>
              <w:rPr>
                <w:rFonts w:ascii="宋体"/>
                <w:vanish/>
              </w:rPr>
            </w:pPr>
          </w:p>
        </w:tc>
        <w:tc>
          <w:tcPr>
            <w:tcW w:w="0" w:type="auto"/>
            <w:gridSpan w:val="3"/>
            <w:shd w:val="clear" w:color="auto" w:fill="auto"/>
            <w:vAlign w:val="bottom"/>
          </w:tcPr>
          <w:p w14:paraId="392C3689" w14:textId="77777777" w:rsidR="00980E5F" w:rsidRDefault="00980E5F">
            <w:pPr>
              <w:rPr>
                <w:rFonts w:ascii="宋体"/>
                <w:vanish/>
              </w:rPr>
            </w:pPr>
          </w:p>
        </w:tc>
        <w:tc>
          <w:tcPr>
            <w:tcW w:w="0" w:type="auto"/>
            <w:gridSpan w:val="3"/>
            <w:shd w:val="clear" w:color="auto" w:fill="auto"/>
            <w:vAlign w:val="bottom"/>
          </w:tcPr>
          <w:p w14:paraId="392C368A" w14:textId="77777777" w:rsidR="00980E5F" w:rsidRDefault="00980E5F">
            <w:pPr>
              <w:rPr>
                <w:rFonts w:ascii="宋体"/>
                <w:vanish/>
              </w:rPr>
            </w:pPr>
          </w:p>
        </w:tc>
        <w:tc>
          <w:tcPr>
            <w:tcW w:w="0" w:type="auto"/>
            <w:gridSpan w:val="3"/>
            <w:shd w:val="clear" w:color="auto" w:fill="auto"/>
            <w:vAlign w:val="bottom"/>
          </w:tcPr>
          <w:p w14:paraId="392C368B" w14:textId="77777777" w:rsidR="00980E5F" w:rsidRDefault="00980E5F">
            <w:pPr>
              <w:rPr>
                <w:rFonts w:ascii="宋体"/>
                <w:vanish/>
              </w:rPr>
            </w:pPr>
          </w:p>
        </w:tc>
        <w:tc>
          <w:tcPr>
            <w:tcW w:w="0" w:type="auto"/>
            <w:gridSpan w:val="3"/>
            <w:shd w:val="clear" w:color="auto" w:fill="auto"/>
            <w:vAlign w:val="bottom"/>
          </w:tcPr>
          <w:p w14:paraId="392C368C" w14:textId="77777777" w:rsidR="00980E5F" w:rsidRDefault="00980E5F">
            <w:pPr>
              <w:rPr>
                <w:rFonts w:ascii="宋体"/>
                <w:vanish/>
              </w:rPr>
            </w:pPr>
          </w:p>
        </w:tc>
        <w:tc>
          <w:tcPr>
            <w:tcW w:w="0" w:type="auto"/>
            <w:gridSpan w:val="3"/>
            <w:shd w:val="clear" w:color="auto" w:fill="auto"/>
            <w:vAlign w:val="bottom"/>
          </w:tcPr>
          <w:p w14:paraId="392C368D" w14:textId="77777777" w:rsidR="00980E5F" w:rsidRDefault="00980E5F">
            <w:pPr>
              <w:rPr>
                <w:rFonts w:ascii="宋体"/>
                <w:vanish/>
              </w:rPr>
            </w:pPr>
          </w:p>
        </w:tc>
        <w:tc>
          <w:tcPr>
            <w:tcW w:w="0" w:type="auto"/>
            <w:gridSpan w:val="3"/>
            <w:shd w:val="clear" w:color="auto" w:fill="auto"/>
            <w:vAlign w:val="bottom"/>
          </w:tcPr>
          <w:p w14:paraId="392C368E" w14:textId="77777777" w:rsidR="00980E5F" w:rsidRDefault="00980E5F">
            <w:pPr>
              <w:rPr>
                <w:rFonts w:ascii="宋体"/>
                <w:vanish/>
              </w:rPr>
            </w:pPr>
          </w:p>
        </w:tc>
        <w:tc>
          <w:tcPr>
            <w:tcW w:w="0" w:type="auto"/>
            <w:gridSpan w:val="3"/>
            <w:shd w:val="clear" w:color="auto" w:fill="auto"/>
            <w:vAlign w:val="bottom"/>
          </w:tcPr>
          <w:p w14:paraId="392C368F" w14:textId="77777777" w:rsidR="00980E5F" w:rsidRDefault="00980E5F">
            <w:pPr>
              <w:rPr>
                <w:rFonts w:ascii="宋体"/>
                <w:vanish/>
              </w:rPr>
            </w:pPr>
          </w:p>
        </w:tc>
        <w:tc>
          <w:tcPr>
            <w:tcW w:w="0" w:type="auto"/>
            <w:gridSpan w:val="3"/>
            <w:shd w:val="clear" w:color="auto" w:fill="auto"/>
            <w:vAlign w:val="bottom"/>
          </w:tcPr>
          <w:p w14:paraId="392C3690" w14:textId="77777777" w:rsidR="00980E5F" w:rsidRDefault="00980E5F">
            <w:pPr>
              <w:rPr>
                <w:rFonts w:ascii="宋体"/>
                <w:vanish/>
              </w:rPr>
            </w:pPr>
          </w:p>
        </w:tc>
        <w:tc>
          <w:tcPr>
            <w:tcW w:w="0" w:type="auto"/>
            <w:gridSpan w:val="3"/>
            <w:shd w:val="clear" w:color="auto" w:fill="auto"/>
            <w:vAlign w:val="bottom"/>
          </w:tcPr>
          <w:p w14:paraId="392C3691" w14:textId="77777777" w:rsidR="00980E5F" w:rsidRDefault="00980E5F">
            <w:pPr>
              <w:rPr>
                <w:rFonts w:ascii="宋体"/>
                <w:vanish/>
              </w:rPr>
            </w:pPr>
          </w:p>
        </w:tc>
        <w:tc>
          <w:tcPr>
            <w:tcW w:w="0" w:type="auto"/>
            <w:gridSpan w:val="3"/>
            <w:shd w:val="clear" w:color="auto" w:fill="auto"/>
            <w:vAlign w:val="bottom"/>
          </w:tcPr>
          <w:p w14:paraId="392C3692" w14:textId="77777777" w:rsidR="00980E5F" w:rsidRDefault="00980E5F">
            <w:pPr>
              <w:rPr>
                <w:rFonts w:ascii="宋体"/>
                <w:vanish/>
              </w:rPr>
            </w:pPr>
          </w:p>
        </w:tc>
        <w:tc>
          <w:tcPr>
            <w:tcW w:w="0" w:type="auto"/>
            <w:gridSpan w:val="3"/>
            <w:shd w:val="clear" w:color="auto" w:fill="auto"/>
            <w:vAlign w:val="bottom"/>
          </w:tcPr>
          <w:p w14:paraId="392C3693" w14:textId="77777777" w:rsidR="00980E5F" w:rsidRDefault="00980E5F">
            <w:pPr>
              <w:rPr>
                <w:rFonts w:ascii="宋体"/>
                <w:vanish/>
              </w:rPr>
            </w:pPr>
          </w:p>
        </w:tc>
        <w:tc>
          <w:tcPr>
            <w:tcW w:w="0" w:type="auto"/>
            <w:gridSpan w:val="3"/>
            <w:shd w:val="clear" w:color="auto" w:fill="auto"/>
            <w:vAlign w:val="bottom"/>
          </w:tcPr>
          <w:p w14:paraId="392C3694" w14:textId="77777777" w:rsidR="00980E5F" w:rsidRDefault="00980E5F">
            <w:pPr>
              <w:rPr>
                <w:rFonts w:ascii="宋体"/>
                <w:vanish/>
              </w:rPr>
            </w:pPr>
          </w:p>
        </w:tc>
        <w:tc>
          <w:tcPr>
            <w:tcW w:w="0" w:type="auto"/>
            <w:gridSpan w:val="3"/>
            <w:shd w:val="clear" w:color="auto" w:fill="auto"/>
            <w:vAlign w:val="bottom"/>
          </w:tcPr>
          <w:p w14:paraId="392C3695" w14:textId="77777777" w:rsidR="00980E5F" w:rsidRDefault="00980E5F">
            <w:pPr>
              <w:rPr>
                <w:rFonts w:ascii="宋体"/>
                <w:vanish/>
              </w:rPr>
            </w:pPr>
          </w:p>
        </w:tc>
        <w:tc>
          <w:tcPr>
            <w:tcW w:w="0" w:type="auto"/>
            <w:gridSpan w:val="3"/>
            <w:shd w:val="clear" w:color="auto" w:fill="auto"/>
            <w:vAlign w:val="bottom"/>
          </w:tcPr>
          <w:p w14:paraId="392C3696" w14:textId="77777777" w:rsidR="00980E5F" w:rsidRDefault="00980E5F">
            <w:pPr>
              <w:rPr>
                <w:rFonts w:ascii="宋体"/>
                <w:vanish/>
              </w:rPr>
            </w:pPr>
          </w:p>
        </w:tc>
      </w:tr>
      <w:tr w:rsidR="00980E5F" w14:paraId="392C36AA" w14:textId="77777777">
        <w:trPr>
          <w:jc w:val="center"/>
          <w:hidden/>
        </w:trPr>
        <w:tc>
          <w:tcPr>
            <w:tcW w:w="0" w:type="auto"/>
            <w:gridSpan w:val="3"/>
            <w:shd w:val="clear" w:color="auto" w:fill="auto"/>
            <w:vAlign w:val="bottom"/>
          </w:tcPr>
          <w:p w14:paraId="392C3698" w14:textId="77777777" w:rsidR="00980E5F" w:rsidRDefault="00980E5F">
            <w:pPr>
              <w:rPr>
                <w:rFonts w:ascii="宋体"/>
                <w:vanish/>
              </w:rPr>
            </w:pPr>
          </w:p>
        </w:tc>
        <w:tc>
          <w:tcPr>
            <w:tcW w:w="0" w:type="auto"/>
            <w:gridSpan w:val="3"/>
            <w:shd w:val="clear" w:color="auto" w:fill="auto"/>
            <w:vAlign w:val="bottom"/>
          </w:tcPr>
          <w:p w14:paraId="392C3699" w14:textId="77777777" w:rsidR="00980E5F" w:rsidRDefault="00980E5F">
            <w:pPr>
              <w:rPr>
                <w:rFonts w:ascii="宋体"/>
                <w:vanish/>
              </w:rPr>
            </w:pPr>
          </w:p>
        </w:tc>
        <w:tc>
          <w:tcPr>
            <w:tcW w:w="0" w:type="auto"/>
            <w:gridSpan w:val="3"/>
            <w:shd w:val="clear" w:color="auto" w:fill="auto"/>
            <w:vAlign w:val="bottom"/>
          </w:tcPr>
          <w:p w14:paraId="392C369A" w14:textId="77777777" w:rsidR="00980E5F" w:rsidRDefault="00980E5F">
            <w:pPr>
              <w:rPr>
                <w:rFonts w:ascii="宋体"/>
                <w:vanish/>
              </w:rPr>
            </w:pPr>
          </w:p>
        </w:tc>
        <w:tc>
          <w:tcPr>
            <w:tcW w:w="0" w:type="auto"/>
            <w:gridSpan w:val="3"/>
            <w:shd w:val="clear" w:color="auto" w:fill="auto"/>
            <w:vAlign w:val="bottom"/>
          </w:tcPr>
          <w:p w14:paraId="392C369B" w14:textId="77777777" w:rsidR="00980E5F" w:rsidRDefault="00980E5F">
            <w:pPr>
              <w:rPr>
                <w:rFonts w:ascii="宋体"/>
                <w:vanish/>
              </w:rPr>
            </w:pPr>
          </w:p>
        </w:tc>
        <w:tc>
          <w:tcPr>
            <w:tcW w:w="0" w:type="auto"/>
            <w:gridSpan w:val="3"/>
            <w:shd w:val="clear" w:color="auto" w:fill="auto"/>
            <w:vAlign w:val="bottom"/>
          </w:tcPr>
          <w:p w14:paraId="392C369C" w14:textId="77777777" w:rsidR="00980E5F" w:rsidRDefault="00980E5F">
            <w:pPr>
              <w:rPr>
                <w:rFonts w:ascii="宋体"/>
                <w:vanish/>
              </w:rPr>
            </w:pPr>
          </w:p>
        </w:tc>
        <w:tc>
          <w:tcPr>
            <w:tcW w:w="0" w:type="auto"/>
            <w:gridSpan w:val="3"/>
            <w:shd w:val="clear" w:color="auto" w:fill="auto"/>
            <w:vAlign w:val="bottom"/>
          </w:tcPr>
          <w:p w14:paraId="392C369D" w14:textId="77777777" w:rsidR="00980E5F" w:rsidRDefault="00980E5F">
            <w:pPr>
              <w:rPr>
                <w:rFonts w:ascii="宋体"/>
                <w:vanish/>
              </w:rPr>
            </w:pPr>
          </w:p>
        </w:tc>
        <w:tc>
          <w:tcPr>
            <w:tcW w:w="0" w:type="auto"/>
            <w:gridSpan w:val="3"/>
            <w:shd w:val="clear" w:color="auto" w:fill="auto"/>
            <w:vAlign w:val="bottom"/>
          </w:tcPr>
          <w:p w14:paraId="392C369E" w14:textId="77777777" w:rsidR="00980E5F" w:rsidRDefault="00980E5F">
            <w:pPr>
              <w:rPr>
                <w:rFonts w:ascii="宋体"/>
                <w:vanish/>
              </w:rPr>
            </w:pPr>
          </w:p>
        </w:tc>
        <w:tc>
          <w:tcPr>
            <w:tcW w:w="0" w:type="auto"/>
            <w:gridSpan w:val="3"/>
            <w:shd w:val="clear" w:color="auto" w:fill="auto"/>
            <w:vAlign w:val="bottom"/>
          </w:tcPr>
          <w:p w14:paraId="392C369F" w14:textId="77777777" w:rsidR="00980E5F" w:rsidRDefault="00980E5F">
            <w:pPr>
              <w:rPr>
                <w:rFonts w:ascii="宋体"/>
                <w:vanish/>
              </w:rPr>
            </w:pPr>
          </w:p>
        </w:tc>
        <w:tc>
          <w:tcPr>
            <w:tcW w:w="0" w:type="auto"/>
            <w:gridSpan w:val="3"/>
            <w:shd w:val="clear" w:color="auto" w:fill="auto"/>
            <w:vAlign w:val="bottom"/>
          </w:tcPr>
          <w:p w14:paraId="392C36A0" w14:textId="77777777" w:rsidR="00980E5F" w:rsidRDefault="00980E5F">
            <w:pPr>
              <w:rPr>
                <w:rFonts w:ascii="宋体"/>
                <w:vanish/>
              </w:rPr>
            </w:pPr>
          </w:p>
        </w:tc>
        <w:tc>
          <w:tcPr>
            <w:tcW w:w="0" w:type="auto"/>
            <w:gridSpan w:val="3"/>
            <w:shd w:val="clear" w:color="auto" w:fill="auto"/>
            <w:vAlign w:val="bottom"/>
          </w:tcPr>
          <w:p w14:paraId="392C36A1" w14:textId="77777777" w:rsidR="00980E5F" w:rsidRDefault="00980E5F">
            <w:pPr>
              <w:rPr>
                <w:rFonts w:ascii="宋体"/>
                <w:vanish/>
              </w:rPr>
            </w:pPr>
          </w:p>
        </w:tc>
        <w:tc>
          <w:tcPr>
            <w:tcW w:w="0" w:type="auto"/>
            <w:gridSpan w:val="3"/>
            <w:shd w:val="clear" w:color="auto" w:fill="auto"/>
            <w:vAlign w:val="bottom"/>
          </w:tcPr>
          <w:p w14:paraId="392C36A2" w14:textId="77777777" w:rsidR="00980E5F" w:rsidRDefault="00980E5F">
            <w:pPr>
              <w:rPr>
                <w:rFonts w:ascii="宋体"/>
                <w:vanish/>
              </w:rPr>
            </w:pPr>
          </w:p>
        </w:tc>
        <w:tc>
          <w:tcPr>
            <w:tcW w:w="0" w:type="auto"/>
            <w:gridSpan w:val="3"/>
            <w:shd w:val="clear" w:color="auto" w:fill="auto"/>
            <w:vAlign w:val="bottom"/>
          </w:tcPr>
          <w:p w14:paraId="392C36A3" w14:textId="77777777" w:rsidR="00980E5F" w:rsidRDefault="00980E5F">
            <w:pPr>
              <w:rPr>
                <w:rFonts w:ascii="宋体"/>
                <w:vanish/>
              </w:rPr>
            </w:pPr>
          </w:p>
        </w:tc>
        <w:tc>
          <w:tcPr>
            <w:tcW w:w="0" w:type="auto"/>
            <w:gridSpan w:val="3"/>
            <w:shd w:val="clear" w:color="auto" w:fill="auto"/>
            <w:vAlign w:val="bottom"/>
          </w:tcPr>
          <w:p w14:paraId="392C36A4" w14:textId="77777777" w:rsidR="00980E5F" w:rsidRDefault="00980E5F">
            <w:pPr>
              <w:rPr>
                <w:rFonts w:ascii="宋体"/>
                <w:vanish/>
              </w:rPr>
            </w:pPr>
          </w:p>
        </w:tc>
        <w:tc>
          <w:tcPr>
            <w:tcW w:w="0" w:type="auto"/>
            <w:gridSpan w:val="3"/>
            <w:shd w:val="clear" w:color="auto" w:fill="auto"/>
            <w:vAlign w:val="bottom"/>
          </w:tcPr>
          <w:p w14:paraId="392C36A5" w14:textId="77777777" w:rsidR="00980E5F" w:rsidRDefault="00980E5F">
            <w:pPr>
              <w:rPr>
                <w:rFonts w:ascii="宋体"/>
                <w:vanish/>
              </w:rPr>
            </w:pPr>
          </w:p>
        </w:tc>
        <w:tc>
          <w:tcPr>
            <w:tcW w:w="0" w:type="auto"/>
            <w:gridSpan w:val="3"/>
            <w:shd w:val="clear" w:color="auto" w:fill="auto"/>
            <w:vAlign w:val="bottom"/>
          </w:tcPr>
          <w:p w14:paraId="392C36A6" w14:textId="77777777" w:rsidR="00980E5F" w:rsidRDefault="00980E5F">
            <w:pPr>
              <w:rPr>
                <w:rFonts w:ascii="宋体"/>
                <w:vanish/>
              </w:rPr>
            </w:pPr>
          </w:p>
        </w:tc>
        <w:tc>
          <w:tcPr>
            <w:tcW w:w="0" w:type="auto"/>
            <w:gridSpan w:val="3"/>
            <w:shd w:val="clear" w:color="auto" w:fill="auto"/>
            <w:vAlign w:val="bottom"/>
          </w:tcPr>
          <w:p w14:paraId="392C36A7" w14:textId="77777777" w:rsidR="00980E5F" w:rsidRDefault="00980E5F">
            <w:pPr>
              <w:rPr>
                <w:rFonts w:ascii="宋体"/>
                <w:vanish/>
              </w:rPr>
            </w:pPr>
          </w:p>
        </w:tc>
        <w:tc>
          <w:tcPr>
            <w:tcW w:w="0" w:type="auto"/>
            <w:gridSpan w:val="3"/>
            <w:shd w:val="clear" w:color="auto" w:fill="auto"/>
            <w:vAlign w:val="bottom"/>
          </w:tcPr>
          <w:p w14:paraId="392C36A8" w14:textId="77777777" w:rsidR="00980E5F" w:rsidRDefault="00980E5F">
            <w:pPr>
              <w:rPr>
                <w:rFonts w:ascii="宋体"/>
                <w:vanish/>
              </w:rPr>
            </w:pPr>
          </w:p>
        </w:tc>
        <w:tc>
          <w:tcPr>
            <w:tcW w:w="0" w:type="auto"/>
            <w:gridSpan w:val="3"/>
            <w:shd w:val="clear" w:color="auto" w:fill="auto"/>
            <w:vAlign w:val="bottom"/>
          </w:tcPr>
          <w:p w14:paraId="392C36A9" w14:textId="77777777" w:rsidR="00980E5F" w:rsidRDefault="00980E5F">
            <w:pPr>
              <w:rPr>
                <w:rFonts w:ascii="宋体"/>
                <w:vanish/>
              </w:rPr>
            </w:pPr>
          </w:p>
        </w:tc>
      </w:tr>
      <w:tr w:rsidR="00980E5F" w14:paraId="392C36BD" w14:textId="77777777">
        <w:trPr>
          <w:jc w:val="center"/>
          <w:hidden/>
        </w:trPr>
        <w:tc>
          <w:tcPr>
            <w:tcW w:w="0" w:type="auto"/>
            <w:gridSpan w:val="3"/>
            <w:shd w:val="clear" w:color="auto" w:fill="auto"/>
            <w:vAlign w:val="bottom"/>
          </w:tcPr>
          <w:p w14:paraId="392C36AB" w14:textId="77777777" w:rsidR="00980E5F" w:rsidRDefault="00980E5F">
            <w:pPr>
              <w:rPr>
                <w:rFonts w:ascii="宋体"/>
                <w:vanish/>
              </w:rPr>
            </w:pPr>
          </w:p>
        </w:tc>
        <w:tc>
          <w:tcPr>
            <w:tcW w:w="0" w:type="auto"/>
            <w:gridSpan w:val="3"/>
            <w:shd w:val="clear" w:color="auto" w:fill="auto"/>
            <w:vAlign w:val="bottom"/>
          </w:tcPr>
          <w:p w14:paraId="392C36AC" w14:textId="77777777" w:rsidR="00980E5F" w:rsidRDefault="00980E5F">
            <w:pPr>
              <w:rPr>
                <w:rFonts w:ascii="宋体"/>
                <w:vanish/>
              </w:rPr>
            </w:pPr>
          </w:p>
        </w:tc>
        <w:tc>
          <w:tcPr>
            <w:tcW w:w="0" w:type="auto"/>
            <w:gridSpan w:val="3"/>
            <w:shd w:val="clear" w:color="auto" w:fill="auto"/>
            <w:vAlign w:val="bottom"/>
          </w:tcPr>
          <w:p w14:paraId="392C36AD" w14:textId="77777777" w:rsidR="00980E5F" w:rsidRDefault="00980E5F">
            <w:pPr>
              <w:rPr>
                <w:rFonts w:ascii="宋体"/>
                <w:vanish/>
              </w:rPr>
            </w:pPr>
          </w:p>
        </w:tc>
        <w:tc>
          <w:tcPr>
            <w:tcW w:w="0" w:type="auto"/>
            <w:gridSpan w:val="3"/>
            <w:shd w:val="clear" w:color="auto" w:fill="auto"/>
            <w:vAlign w:val="bottom"/>
          </w:tcPr>
          <w:p w14:paraId="392C36AE" w14:textId="77777777" w:rsidR="00980E5F" w:rsidRDefault="00980E5F">
            <w:pPr>
              <w:rPr>
                <w:rFonts w:ascii="宋体"/>
                <w:vanish/>
              </w:rPr>
            </w:pPr>
          </w:p>
        </w:tc>
        <w:tc>
          <w:tcPr>
            <w:tcW w:w="0" w:type="auto"/>
            <w:gridSpan w:val="3"/>
            <w:shd w:val="clear" w:color="auto" w:fill="auto"/>
            <w:vAlign w:val="bottom"/>
          </w:tcPr>
          <w:p w14:paraId="392C36AF" w14:textId="77777777" w:rsidR="00980E5F" w:rsidRDefault="00980E5F">
            <w:pPr>
              <w:rPr>
                <w:rFonts w:ascii="宋体"/>
                <w:vanish/>
              </w:rPr>
            </w:pPr>
          </w:p>
        </w:tc>
        <w:tc>
          <w:tcPr>
            <w:tcW w:w="0" w:type="auto"/>
            <w:gridSpan w:val="3"/>
            <w:shd w:val="clear" w:color="auto" w:fill="auto"/>
            <w:vAlign w:val="bottom"/>
          </w:tcPr>
          <w:p w14:paraId="392C36B0" w14:textId="77777777" w:rsidR="00980E5F" w:rsidRDefault="00980E5F">
            <w:pPr>
              <w:rPr>
                <w:rFonts w:ascii="宋体"/>
                <w:vanish/>
              </w:rPr>
            </w:pPr>
          </w:p>
        </w:tc>
        <w:tc>
          <w:tcPr>
            <w:tcW w:w="0" w:type="auto"/>
            <w:gridSpan w:val="3"/>
            <w:shd w:val="clear" w:color="auto" w:fill="auto"/>
            <w:vAlign w:val="bottom"/>
          </w:tcPr>
          <w:p w14:paraId="392C36B1" w14:textId="77777777" w:rsidR="00980E5F" w:rsidRDefault="00980E5F">
            <w:pPr>
              <w:rPr>
                <w:rFonts w:ascii="宋体"/>
                <w:vanish/>
              </w:rPr>
            </w:pPr>
          </w:p>
        </w:tc>
        <w:tc>
          <w:tcPr>
            <w:tcW w:w="0" w:type="auto"/>
            <w:gridSpan w:val="3"/>
            <w:shd w:val="clear" w:color="auto" w:fill="auto"/>
            <w:vAlign w:val="bottom"/>
          </w:tcPr>
          <w:p w14:paraId="392C36B2" w14:textId="77777777" w:rsidR="00980E5F" w:rsidRDefault="00980E5F">
            <w:pPr>
              <w:rPr>
                <w:rFonts w:ascii="宋体"/>
                <w:vanish/>
              </w:rPr>
            </w:pPr>
          </w:p>
        </w:tc>
        <w:tc>
          <w:tcPr>
            <w:tcW w:w="0" w:type="auto"/>
            <w:gridSpan w:val="3"/>
            <w:shd w:val="clear" w:color="auto" w:fill="auto"/>
            <w:vAlign w:val="bottom"/>
          </w:tcPr>
          <w:p w14:paraId="392C36B3" w14:textId="77777777" w:rsidR="00980E5F" w:rsidRDefault="00980E5F">
            <w:pPr>
              <w:rPr>
                <w:rFonts w:ascii="宋体"/>
                <w:vanish/>
              </w:rPr>
            </w:pPr>
          </w:p>
        </w:tc>
        <w:tc>
          <w:tcPr>
            <w:tcW w:w="0" w:type="auto"/>
            <w:gridSpan w:val="3"/>
            <w:shd w:val="clear" w:color="auto" w:fill="auto"/>
            <w:vAlign w:val="bottom"/>
          </w:tcPr>
          <w:p w14:paraId="392C36B4" w14:textId="77777777" w:rsidR="00980E5F" w:rsidRDefault="00980E5F">
            <w:pPr>
              <w:rPr>
                <w:rFonts w:ascii="宋体"/>
                <w:vanish/>
              </w:rPr>
            </w:pPr>
          </w:p>
        </w:tc>
        <w:tc>
          <w:tcPr>
            <w:tcW w:w="0" w:type="auto"/>
            <w:gridSpan w:val="3"/>
            <w:shd w:val="clear" w:color="auto" w:fill="auto"/>
            <w:vAlign w:val="bottom"/>
          </w:tcPr>
          <w:p w14:paraId="392C36B5" w14:textId="77777777" w:rsidR="00980E5F" w:rsidRDefault="00980E5F">
            <w:pPr>
              <w:rPr>
                <w:rFonts w:ascii="宋体"/>
                <w:vanish/>
              </w:rPr>
            </w:pPr>
          </w:p>
        </w:tc>
        <w:tc>
          <w:tcPr>
            <w:tcW w:w="0" w:type="auto"/>
            <w:gridSpan w:val="3"/>
            <w:shd w:val="clear" w:color="auto" w:fill="auto"/>
            <w:vAlign w:val="bottom"/>
          </w:tcPr>
          <w:p w14:paraId="392C36B6" w14:textId="77777777" w:rsidR="00980E5F" w:rsidRDefault="00980E5F">
            <w:pPr>
              <w:rPr>
                <w:rFonts w:ascii="宋体"/>
                <w:vanish/>
              </w:rPr>
            </w:pPr>
          </w:p>
        </w:tc>
        <w:tc>
          <w:tcPr>
            <w:tcW w:w="0" w:type="auto"/>
            <w:gridSpan w:val="3"/>
            <w:shd w:val="clear" w:color="auto" w:fill="auto"/>
            <w:vAlign w:val="bottom"/>
          </w:tcPr>
          <w:p w14:paraId="392C36B7" w14:textId="77777777" w:rsidR="00980E5F" w:rsidRDefault="00980E5F">
            <w:pPr>
              <w:rPr>
                <w:rFonts w:ascii="宋体"/>
                <w:vanish/>
              </w:rPr>
            </w:pPr>
          </w:p>
        </w:tc>
        <w:tc>
          <w:tcPr>
            <w:tcW w:w="0" w:type="auto"/>
            <w:gridSpan w:val="3"/>
            <w:shd w:val="clear" w:color="auto" w:fill="auto"/>
            <w:vAlign w:val="bottom"/>
          </w:tcPr>
          <w:p w14:paraId="392C36B8" w14:textId="77777777" w:rsidR="00980E5F" w:rsidRDefault="00980E5F">
            <w:pPr>
              <w:rPr>
                <w:rFonts w:ascii="宋体"/>
                <w:vanish/>
              </w:rPr>
            </w:pPr>
          </w:p>
        </w:tc>
        <w:tc>
          <w:tcPr>
            <w:tcW w:w="0" w:type="auto"/>
            <w:gridSpan w:val="3"/>
            <w:shd w:val="clear" w:color="auto" w:fill="auto"/>
            <w:vAlign w:val="bottom"/>
          </w:tcPr>
          <w:p w14:paraId="392C36B9" w14:textId="77777777" w:rsidR="00980E5F" w:rsidRDefault="00980E5F">
            <w:pPr>
              <w:rPr>
                <w:rFonts w:ascii="宋体"/>
                <w:vanish/>
              </w:rPr>
            </w:pPr>
          </w:p>
        </w:tc>
        <w:tc>
          <w:tcPr>
            <w:tcW w:w="0" w:type="auto"/>
            <w:gridSpan w:val="3"/>
            <w:shd w:val="clear" w:color="auto" w:fill="auto"/>
            <w:vAlign w:val="bottom"/>
          </w:tcPr>
          <w:p w14:paraId="392C36BA" w14:textId="77777777" w:rsidR="00980E5F" w:rsidRDefault="00980E5F">
            <w:pPr>
              <w:rPr>
                <w:rFonts w:ascii="宋体"/>
                <w:vanish/>
              </w:rPr>
            </w:pPr>
          </w:p>
        </w:tc>
        <w:tc>
          <w:tcPr>
            <w:tcW w:w="0" w:type="auto"/>
            <w:gridSpan w:val="3"/>
            <w:shd w:val="clear" w:color="auto" w:fill="auto"/>
            <w:vAlign w:val="bottom"/>
          </w:tcPr>
          <w:p w14:paraId="392C36BB" w14:textId="77777777" w:rsidR="00980E5F" w:rsidRDefault="00980E5F">
            <w:pPr>
              <w:rPr>
                <w:rFonts w:ascii="宋体"/>
                <w:vanish/>
              </w:rPr>
            </w:pPr>
          </w:p>
        </w:tc>
        <w:tc>
          <w:tcPr>
            <w:tcW w:w="0" w:type="auto"/>
            <w:gridSpan w:val="3"/>
            <w:shd w:val="clear" w:color="auto" w:fill="auto"/>
            <w:vAlign w:val="bottom"/>
          </w:tcPr>
          <w:p w14:paraId="392C36BC" w14:textId="77777777" w:rsidR="00980E5F" w:rsidRDefault="00980E5F">
            <w:pPr>
              <w:rPr>
                <w:rFonts w:ascii="宋体"/>
                <w:vanish/>
              </w:rPr>
            </w:pPr>
          </w:p>
        </w:tc>
      </w:tr>
      <w:tr w:rsidR="00980E5F" w14:paraId="392C36D0" w14:textId="77777777">
        <w:trPr>
          <w:jc w:val="center"/>
          <w:hidden/>
        </w:trPr>
        <w:tc>
          <w:tcPr>
            <w:tcW w:w="0" w:type="auto"/>
            <w:gridSpan w:val="3"/>
            <w:shd w:val="clear" w:color="auto" w:fill="auto"/>
            <w:vAlign w:val="bottom"/>
          </w:tcPr>
          <w:p w14:paraId="392C36BE" w14:textId="77777777" w:rsidR="00980E5F" w:rsidRDefault="00980E5F">
            <w:pPr>
              <w:rPr>
                <w:rFonts w:ascii="宋体"/>
                <w:vanish/>
              </w:rPr>
            </w:pPr>
          </w:p>
        </w:tc>
        <w:tc>
          <w:tcPr>
            <w:tcW w:w="0" w:type="auto"/>
            <w:gridSpan w:val="3"/>
            <w:shd w:val="clear" w:color="auto" w:fill="auto"/>
            <w:vAlign w:val="bottom"/>
          </w:tcPr>
          <w:p w14:paraId="392C36BF" w14:textId="77777777" w:rsidR="00980E5F" w:rsidRDefault="00980E5F">
            <w:pPr>
              <w:rPr>
                <w:rFonts w:ascii="宋体"/>
                <w:vanish/>
              </w:rPr>
            </w:pPr>
          </w:p>
        </w:tc>
        <w:tc>
          <w:tcPr>
            <w:tcW w:w="0" w:type="auto"/>
            <w:gridSpan w:val="3"/>
            <w:shd w:val="clear" w:color="auto" w:fill="auto"/>
            <w:vAlign w:val="bottom"/>
          </w:tcPr>
          <w:p w14:paraId="392C36C0" w14:textId="77777777" w:rsidR="00980E5F" w:rsidRDefault="00980E5F">
            <w:pPr>
              <w:rPr>
                <w:rFonts w:ascii="宋体"/>
                <w:vanish/>
              </w:rPr>
            </w:pPr>
          </w:p>
        </w:tc>
        <w:tc>
          <w:tcPr>
            <w:tcW w:w="0" w:type="auto"/>
            <w:gridSpan w:val="3"/>
            <w:shd w:val="clear" w:color="auto" w:fill="auto"/>
            <w:vAlign w:val="bottom"/>
          </w:tcPr>
          <w:p w14:paraId="392C36C1" w14:textId="77777777" w:rsidR="00980E5F" w:rsidRDefault="00980E5F">
            <w:pPr>
              <w:rPr>
                <w:rFonts w:ascii="宋体"/>
                <w:vanish/>
              </w:rPr>
            </w:pPr>
          </w:p>
        </w:tc>
        <w:tc>
          <w:tcPr>
            <w:tcW w:w="0" w:type="auto"/>
            <w:gridSpan w:val="3"/>
            <w:shd w:val="clear" w:color="auto" w:fill="auto"/>
            <w:vAlign w:val="bottom"/>
          </w:tcPr>
          <w:p w14:paraId="392C36C2" w14:textId="77777777" w:rsidR="00980E5F" w:rsidRDefault="00980E5F">
            <w:pPr>
              <w:rPr>
                <w:rFonts w:ascii="宋体"/>
                <w:vanish/>
              </w:rPr>
            </w:pPr>
          </w:p>
        </w:tc>
        <w:tc>
          <w:tcPr>
            <w:tcW w:w="0" w:type="auto"/>
            <w:gridSpan w:val="3"/>
            <w:shd w:val="clear" w:color="auto" w:fill="auto"/>
            <w:vAlign w:val="bottom"/>
          </w:tcPr>
          <w:p w14:paraId="392C36C3" w14:textId="77777777" w:rsidR="00980E5F" w:rsidRDefault="00980E5F">
            <w:pPr>
              <w:rPr>
                <w:rFonts w:ascii="宋体"/>
                <w:vanish/>
              </w:rPr>
            </w:pPr>
          </w:p>
        </w:tc>
        <w:tc>
          <w:tcPr>
            <w:tcW w:w="0" w:type="auto"/>
            <w:gridSpan w:val="3"/>
            <w:shd w:val="clear" w:color="auto" w:fill="auto"/>
            <w:vAlign w:val="bottom"/>
          </w:tcPr>
          <w:p w14:paraId="392C36C4" w14:textId="77777777" w:rsidR="00980E5F" w:rsidRDefault="00980E5F">
            <w:pPr>
              <w:rPr>
                <w:rFonts w:ascii="宋体"/>
                <w:vanish/>
              </w:rPr>
            </w:pPr>
          </w:p>
        </w:tc>
        <w:tc>
          <w:tcPr>
            <w:tcW w:w="0" w:type="auto"/>
            <w:gridSpan w:val="3"/>
            <w:shd w:val="clear" w:color="auto" w:fill="auto"/>
            <w:vAlign w:val="bottom"/>
          </w:tcPr>
          <w:p w14:paraId="392C36C5" w14:textId="77777777" w:rsidR="00980E5F" w:rsidRDefault="00980E5F">
            <w:pPr>
              <w:rPr>
                <w:rFonts w:ascii="宋体"/>
                <w:vanish/>
              </w:rPr>
            </w:pPr>
          </w:p>
        </w:tc>
        <w:tc>
          <w:tcPr>
            <w:tcW w:w="0" w:type="auto"/>
            <w:gridSpan w:val="3"/>
            <w:shd w:val="clear" w:color="auto" w:fill="auto"/>
            <w:vAlign w:val="bottom"/>
          </w:tcPr>
          <w:p w14:paraId="392C36C6" w14:textId="77777777" w:rsidR="00980E5F" w:rsidRDefault="00980E5F">
            <w:pPr>
              <w:rPr>
                <w:rFonts w:ascii="宋体"/>
                <w:vanish/>
              </w:rPr>
            </w:pPr>
          </w:p>
        </w:tc>
        <w:tc>
          <w:tcPr>
            <w:tcW w:w="0" w:type="auto"/>
            <w:gridSpan w:val="3"/>
            <w:shd w:val="clear" w:color="auto" w:fill="auto"/>
            <w:vAlign w:val="bottom"/>
          </w:tcPr>
          <w:p w14:paraId="392C36C7" w14:textId="77777777" w:rsidR="00980E5F" w:rsidRDefault="00980E5F">
            <w:pPr>
              <w:rPr>
                <w:rFonts w:ascii="宋体"/>
                <w:vanish/>
              </w:rPr>
            </w:pPr>
          </w:p>
        </w:tc>
        <w:tc>
          <w:tcPr>
            <w:tcW w:w="0" w:type="auto"/>
            <w:gridSpan w:val="3"/>
            <w:shd w:val="clear" w:color="auto" w:fill="auto"/>
            <w:vAlign w:val="bottom"/>
          </w:tcPr>
          <w:p w14:paraId="392C36C8" w14:textId="77777777" w:rsidR="00980E5F" w:rsidRDefault="00980E5F">
            <w:pPr>
              <w:rPr>
                <w:rFonts w:ascii="宋体"/>
                <w:vanish/>
              </w:rPr>
            </w:pPr>
          </w:p>
        </w:tc>
        <w:tc>
          <w:tcPr>
            <w:tcW w:w="0" w:type="auto"/>
            <w:gridSpan w:val="3"/>
            <w:shd w:val="clear" w:color="auto" w:fill="auto"/>
            <w:vAlign w:val="bottom"/>
          </w:tcPr>
          <w:p w14:paraId="392C36C9" w14:textId="77777777" w:rsidR="00980E5F" w:rsidRDefault="00980E5F">
            <w:pPr>
              <w:rPr>
                <w:rFonts w:ascii="宋体"/>
                <w:vanish/>
              </w:rPr>
            </w:pPr>
          </w:p>
        </w:tc>
        <w:tc>
          <w:tcPr>
            <w:tcW w:w="0" w:type="auto"/>
            <w:gridSpan w:val="3"/>
            <w:shd w:val="clear" w:color="auto" w:fill="auto"/>
            <w:vAlign w:val="bottom"/>
          </w:tcPr>
          <w:p w14:paraId="392C36CA" w14:textId="77777777" w:rsidR="00980E5F" w:rsidRDefault="00980E5F">
            <w:pPr>
              <w:rPr>
                <w:rFonts w:ascii="宋体"/>
                <w:vanish/>
              </w:rPr>
            </w:pPr>
          </w:p>
        </w:tc>
        <w:tc>
          <w:tcPr>
            <w:tcW w:w="0" w:type="auto"/>
            <w:gridSpan w:val="3"/>
            <w:shd w:val="clear" w:color="auto" w:fill="auto"/>
            <w:vAlign w:val="bottom"/>
          </w:tcPr>
          <w:p w14:paraId="392C36CB" w14:textId="77777777" w:rsidR="00980E5F" w:rsidRDefault="00980E5F">
            <w:pPr>
              <w:rPr>
                <w:rFonts w:ascii="宋体"/>
                <w:vanish/>
              </w:rPr>
            </w:pPr>
          </w:p>
        </w:tc>
        <w:tc>
          <w:tcPr>
            <w:tcW w:w="0" w:type="auto"/>
            <w:gridSpan w:val="3"/>
            <w:shd w:val="clear" w:color="auto" w:fill="auto"/>
            <w:vAlign w:val="bottom"/>
          </w:tcPr>
          <w:p w14:paraId="392C36CC" w14:textId="77777777" w:rsidR="00980E5F" w:rsidRDefault="00980E5F">
            <w:pPr>
              <w:rPr>
                <w:rFonts w:ascii="宋体"/>
                <w:vanish/>
              </w:rPr>
            </w:pPr>
          </w:p>
        </w:tc>
        <w:tc>
          <w:tcPr>
            <w:tcW w:w="0" w:type="auto"/>
            <w:gridSpan w:val="3"/>
            <w:shd w:val="clear" w:color="auto" w:fill="auto"/>
            <w:vAlign w:val="bottom"/>
          </w:tcPr>
          <w:p w14:paraId="392C36CD" w14:textId="77777777" w:rsidR="00980E5F" w:rsidRDefault="00980E5F">
            <w:pPr>
              <w:rPr>
                <w:rFonts w:ascii="宋体"/>
                <w:vanish/>
              </w:rPr>
            </w:pPr>
          </w:p>
        </w:tc>
        <w:tc>
          <w:tcPr>
            <w:tcW w:w="0" w:type="auto"/>
            <w:gridSpan w:val="3"/>
            <w:shd w:val="clear" w:color="auto" w:fill="auto"/>
            <w:vAlign w:val="bottom"/>
          </w:tcPr>
          <w:p w14:paraId="392C36CE" w14:textId="77777777" w:rsidR="00980E5F" w:rsidRDefault="00980E5F">
            <w:pPr>
              <w:rPr>
                <w:rFonts w:ascii="宋体"/>
                <w:vanish/>
              </w:rPr>
            </w:pPr>
          </w:p>
        </w:tc>
        <w:tc>
          <w:tcPr>
            <w:tcW w:w="0" w:type="auto"/>
            <w:gridSpan w:val="3"/>
            <w:shd w:val="clear" w:color="auto" w:fill="auto"/>
            <w:vAlign w:val="bottom"/>
          </w:tcPr>
          <w:p w14:paraId="392C36CF" w14:textId="77777777" w:rsidR="00980E5F" w:rsidRDefault="00980E5F">
            <w:pPr>
              <w:rPr>
                <w:rFonts w:ascii="宋体"/>
                <w:vanish/>
              </w:rPr>
            </w:pPr>
          </w:p>
        </w:tc>
      </w:tr>
      <w:tr w:rsidR="00980E5F" w14:paraId="392C36E3" w14:textId="77777777">
        <w:trPr>
          <w:jc w:val="center"/>
          <w:hidden/>
        </w:trPr>
        <w:tc>
          <w:tcPr>
            <w:tcW w:w="0" w:type="auto"/>
            <w:gridSpan w:val="3"/>
            <w:shd w:val="clear" w:color="auto" w:fill="auto"/>
            <w:vAlign w:val="bottom"/>
          </w:tcPr>
          <w:p w14:paraId="392C36D1" w14:textId="77777777" w:rsidR="00980E5F" w:rsidRDefault="00980E5F">
            <w:pPr>
              <w:rPr>
                <w:rFonts w:ascii="宋体"/>
                <w:vanish/>
              </w:rPr>
            </w:pPr>
          </w:p>
        </w:tc>
        <w:tc>
          <w:tcPr>
            <w:tcW w:w="0" w:type="auto"/>
            <w:gridSpan w:val="3"/>
            <w:shd w:val="clear" w:color="auto" w:fill="auto"/>
            <w:vAlign w:val="bottom"/>
          </w:tcPr>
          <w:p w14:paraId="392C36D2" w14:textId="77777777" w:rsidR="00980E5F" w:rsidRDefault="00980E5F">
            <w:pPr>
              <w:rPr>
                <w:rFonts w:ascii="宋体"/>
                <w:vanish/>
              </w:rPr>
            </w:pPr>
          </w:p>
        </w:tc>
        <w:tc>
          <w:tcPr>
            <w:tcW w:w="0" w:type="auto"/>
            <w:gridSpan w:val="3"/>
            <w:shd w:val="clear" w:color="auto" w:fill="auto"/>
            <w:vAlign w:val="bottom"/>
          </w:tcPr>
          <w:p w14:paraId="392C36D3" w14:textId="77777777" w:rsidR="00980E5F" w:rsidRDefault="00980E5F">
            <w:pPr>
              <w:rPr>
                <w:rFonts w:ascii="宋体"/>
                <w:vanish/>
              </w:rPr>
            </w:pPr>
          </w:p>
        </w:tc>
        <w:tc>
          <w:tcPr>
            <w:tcW w:w="0" w:type="auto"/>
            <w:gridSpan w:val="3"/>
            <w:shd w:val="clear" w:color="auto" w:fill="auto"/>
            <w:vAlign w:val="bottom"/>
          </w:tcPr>
          <w:p w14:paraId="392C36D4" w14:textId="77777777" w:rsidR="00980E5F" w:rsidRDefault="00980E5F">
            <w:pPr>
              <w:rPr>
                <w:rFonts w:ascii="宋体"/>
                <w:vanish/>
              </w:rPr>
            </w:pPr>
          </w:p>
        </w:tc>
        <w:tc>
          <w:tcPr>
            <w:tcW w:w="0" w:type="auto"/>
            <w:gridSpan w:val="3"/>
            <w:shd w:val="clear" w:color="auto" w:fill="auto"/>
            <w:vAlign w:val="bottom"/>
          </w:tcPr>
          <w:p w14:paraId="392C36D5" w14:textId="77777777" w:rsidR="00980E5F" w:rsidRDefault="00980E5F">
            <w:pPr>
              <w:rPr>
                <w:rFonts w:ascii="宋体"/>
                <w:vanish/>
              </w:rPr>
            </w:pPr>
          </w:p>
        </w:tc>
        <w:tc>
          <w:tcPr>
            <w:tcW w:w="0" w:type="auto"/>
            <w:gridSpan w:val="3"/>
            <w:shd w:val="clear" w:color="auto" w:fill="auto"/>
            <w:vAlign w:val="bottom"/>
          </w:tcPr>
          <w:p w14:paraId="392C36D6" w14:textId="77777777" w:rsidR="00980E5F" w:rsidRDefault="00980E5F">
            <w:pPr>
              <w:rPr>
                <w:rFonts w:ascii="宋体"/>
                <w:vanish/>
              </w:rPr>
            </w:pPr>
          </w:p>
        </w:tc>
        <w:tc>
          <w:tcPr>
            <w:tcW w:w="0" w:type="auto"/>
            <w:gridSpan w:val="3"/>
            <w:shd w:val="clear" w:color="auto" w:fill="auto"/>
            <w:vAlign w:val="bottom"/>
          </w:tcPr>
          <w:p w14:paraId="392C36D7" w14:textId="77777777" w:rsidR="00980E5F" w:rsidRDefault="00980E5F">
            <w:pPr>
              <w:rPr>
                <w:rFonts w:ascii="宋体"/>
                <w:vanish/>
              </w:rPr>
            </w:pPr>
          </w:p>
        </w:tc>
        <w:tc>
          <w:tcPr>
            <w:tcW w:w="0" w:type="auto"/>
            <w:gridSpan w:val="3"/>
            <w:shd w:val="clear" w:color="auto" w:fill="auto"/>
            <w:vAlign w:val="bottom"/>
          </w:tcPr>
          <w:p w14:paraId="392C36D8" w14:textId="77777777" w:rsidR="00980E5F" w:rsidRDefault="00980E5F">
            <w:pPr>
              <w:rPr>
                <w:rFonts w:ascii="宋体"/>
                <w:vanish/>
              </w:rPr>
            </w:pPr>
          </w:p>
        </w:tc>
        <w:tc>
          <w:tcPr>
            <w:tcW w:w="0" w:type="auto"/>
            <w:gridSpan w:val="3"/>
            <w:shd w:val="clear" w:color="auto" w:fill="auto"/>
            <w:vAlign w:val="bottom"/>
          </w:tcPr>
          <w:p w14:paraId="392C36D9" w14:textId="77777777" w:rsidR="00980E5F" w:rsidRDefault="00980E5F">
            <w:pPr>
              <w:rPr>
                <w:rFonts w:ascii="宋体"/>
                <w:vanish/>
              </w:rPr>
            </w:pPr>
          </w:p>
        </w:tc>
        <w:tc>
          <w:tcPr>
            <w:tcW w:w="0" w:type="auto"/>
            <w:gridSpan w:val="3"/>
            <w:shd w:val="clear" w:color="auto" w:fill="auto"/>
            <w:vAlign w:val="bottom"/>
          </w:tcPr>
          <w:p w14:paraId="392C36DA" w14:textId="77777777" w:rsidR="00980E5F" w:rsidRDefault="00980E5F">
            <w:pPr>
              <w:rPr>
                <w:rFonts w:ascii="宋体"/>
                <w:vanish/>
              </w:rPr>
            </w:pPr>
          </w:p>
        </w:tc>
        <w:tc>
          <w:tcPr>
            <w:tcW w:w="0" w:type="auto"/>
            <w:gridSpan w:val="3"/>
            <w:shd w:val="clear" w:color="auto" w:fill="auto"/>
            <w:vAlign w:val="bottom"/>
          </w:tcPr>
          <w:p w14:paraId="392C36DB" w14:textId="77777777" w:rsidR="00980E5F" w:rsidRDefault="00980E5F">
            <w:pPr>
              <w:rPr>
                <w:rFonts w:ascii="宋体"/>
                <w:vanish/>
              </w:rPr>
            </w:pPr>
          </w:p>
        </w:tc>
        <w:tc>
          <w:tcPr>
            <w:tcW w:w="0" w:type="auto"/>
            <w:gridSpan w:val="3"/>
            <w:shd w:val="clear" w:color="auto" w:fill="auto"/>
            <w:vAlign w:val="bottom"/>
          </w:tcPr>
          <w:p w14:paraId="392C36DC" w14:textId="77777777" w:rsidR="00980E5F" w:rsidRDefault="00980E5F">
            <w:pPr>
              <w:rPr>
                <w:rFonts w:ascii="宋体"/>
                <w:vanish/>
              </w:rPr>
            </w:pPr>
          </w:p>
        </w:tc>
        <w:tc>
          <w:tcPr>
            <w:tcW w:w="0" w:type="auto"/>
            <w:gridSpan w:val="3"/>
            <w:shd w:val="clear" w:color="auto" w:fill="auto"/>
            <w:vAlign w:val="bottom"/>
          </w:tcPr>
          <w:p w14:paraId="392C36DD" w14:textId="77777777" w:rsidR="00980E5F" w:rsidRDefault="00980E5F">
            <w:pPr>
              <w:rPr>
                <w:rFonts w:ascii="宋体"/>
                <w:vanish/>
              </w:rPr>
            </w:pPr>
          </w:p>
        </w:tc>
        <w:tc>
          <w:tcPr>
            <w:tcW w:w="0" w:type="auto"/>
            <w:gridSpan w:val="3"/>
            <w:shd w:val="clear" w:color="auto" w:fill="auto"/>
            <w:vAlign w:val="bottom"/>
          </w:tcPr>
          <w:p w14:paraId="392C36DE" w14:textId="77777777" w:rsidR="00980E5F" w:rsidRDefault="00980E5F">
            <w:pPr>
              <w:rPr>
                <w:rFonts w:ascii="宋体"/>
                <w:vanish/>
              </w:rPr>
            </w:pPr>
          </w:p>
        </w:tc>
        <w:tc>
          <w:tcPr>
            <w:tcW w:w="0" w:type="auto"/>
            <w:gridSpan w:val="3"/>
            <w:shd w:val="clear" w:color="auto" w:fill="auto"/>
            <w:vAlign w:val="bottom"/>
          </w:tcPr>
          <w:p w14:paraId="392C36DF" w14:textId="77777777" w:rsidR="00980E5F" w:rsidRDefault="00980E5F">
            <w:pPr>
              <w:rPr>
                <w:rFonts w:ascii="宋体"/>
                <w:vanish/>
              </w:rPr>
            </w:pPr>
          </w:p>
        </w:tc>
        <w:tc>
          <w:tcPr>
            <w:tcW w:w="0" w:type="auto"/>
            <w:gridSpan w:val="3"/>
            <w:shd w:val="clear" w:color="auto" w:fill="auto"/>
            <w:vAlign w:val="bottom"/>
          </w:tcPr>
          <w:p w14:paraId="392C36E0" w14:textId="77777777" w:rsidR="00980E5F" w:rsidRDefault="00980E5F">
            <w:pPr>
              <w:rPr>
                <w:rFonts w:ascii="宋体"/>
                <w:vanish/>
              </w:rPr>
            </w:pPr>
          </w:p>
        </w:tc>
        <w:tc>
          <w:tcPr>
            <w:tcW w:w="0" w:type="auto"/>
            <w:gridSpan w:val="3"/>
            <w:shd w:val="clear" w:color="auto" w:fill="auto"/>
            <w:vAlign w:val="bottom"/>
          </w:tcPr>
          <w:p w14:paraId="392C36E1" w14:textId="77777777" w:rsidR="00980E5F" w:rsidRDefault="00980E5F">
            <w:pPr>
              <w:rPr>
                <w:rFonts w:ascii="宋体"/>
                <w:vanish/>
              </w:rPr>
            </w:pPr>
          </w:p>
        </w:tc>
        <w:tc>
          <w:tcPr>
            <w:tcW w:w="0" w:type="auto"/>
            <w:gridSpan w:val="3"/>
            <w:shd w:val="clear" w:color="auto" w:fill="auto"/>
            <w:vAlign w:val="bottom"/>
          </w:tcPr>
          <w:p w14:paraId="392C36E2" w14:textId="77777777" w:rsidR="00980E5F" w:rsidRDefault="00980E5F">
            <w:pPr>
              <w:rPr>
                <w:rFonts w:ascii="宋体"/>
                <w:vanish/>
              </w:rPr>
            </w:pPr>
          </w:p>
        </w:tc>
      </w:tr>
      <w:tr w:rsidR="00980E5F" w14:paraId="392C36F6" w14:textId="77777777">
        <w:trPr>
          <w:jc w:val="center"/>
          <w:hidden/>
        </w:trPr>
        <w:tc>
          <w:tcPr>
            <w:tcW w:w="0" w:type="auto"/>
            <w:gridSpan w:val="3"/>
            <w:shd w:val="clear" w:color="auto" w:fill="auto"/>
            <w:vAlign w:val="bottom"/>
          </w:tcPr>
          <w:p w14:paraId="392C36E4" w14:textId="77777777" w:rsidR="00980E5F" w:rsidRDefault="00980E5F">
            <w:pPr>
              <w:rPr>
                <w:rFonts w:ascii="宋体"/>
                <w:vanish/>
              </w:rPr>
            </w:pPr>
          </w:p>
        </w:tc>
        <w:tc>
          <w:tcPr>
            <w:tcW w:w="0" w:type="auto"/>
            <w:gridSpan w:val="3"/>
            <w:shd w:val="clear" w:color="auto" w:fill="auto"/>
            <w:vAlign w:val="bottom"/>
          </w:tcPr>
          <w:p w14:paraId="392C36E5" w14:textId="77777777" w:rsidR="00980E5F" w:rsidRDefault="00980E5F">
            <w:pPr>
              <w:rPr>
                <w:rFonts w:ascii="宋体"/>
                <w:vanish/>
              </w:rPr>
            </w:pPr>
          </w:p>
        </w:tc>
        <w:tc>
          <w:tcPr>
            <w:tcW w:w="0" w:type="auto"/>
            <w:gridSpan w:val="3"/>
            <w:shd w:val="clear" w:color="auto" w:fill="auto"/>
            <w:vAlign w:val="bottom"/>
          </w:tcPr>
          <w:p w14:paraId="392C36E6" w14:textId="77777777" w:rsidR="00980E5F" w:rsidRDefault="00980E5F">
            <w:pPr>
              <w:rPr>
                <w:rFonts w:ascii="宋体"/>
                <w:vanish/>
              </w:rPr>
            </w:pPr>
          </w:p>
        </w:tc>
        <w:tc>
          <w:tcPr>
            <w:tcW w:w="0" w:type="auto"/>
            <w:gridSpan w:val="3"/>
            <w:shd w:val="clear" w:color="auto" w:fill="auto"/>
            <w:vAlign w:val="bottom"/>
          </w:tcPr>
          <w:p w14:paraId="392C36E7" w14:textId="77777777" w:rsidR="00980E5F" w:rsidRDefault="00980E5F">
            <w:pPr>
              <w:rPr>
                <w:rFonts w:ascii="宋体"/>
                <w:vanish/>
              </w:rPr>
            </w:pPr>
          </w:p>
        </w:tc>
        <w:tc>
          <w:tcPr>
            <w:tcW w:w="0" w:type="auto"/>
            <w:gridSpan w:val="3"/>
            <w:shd w:val="clear" w:color="auto" w:fill="auto"/>
            <w:vAlign w:val="bottom"/>
          </w:tcPr>
          <w:p w14:paraId="392C36E8" w14:textId="77777777" w:rsidR="00980E5F" w:rsidRDefault="00980E5F">
            <w:pPr>
              <w:rPr>
                <w:rFonts w:ascii="宋体"/>
                <w:vanish/>
              </w:rPr>
            </w:pPr>
          </w:p>
        </w:tc>
        <w:tc>
          <w:tcPr>
            <w:tcW w:w="0" w:type="auto"/>
            <w:gridSpan w:val="3"/>
            <w:shd w:val="clear" w:color="auto" w:fill="auto"/>
            <w:vAlign w:val="bottom"/>
          </w:tcPr>
          <w:p w14:paraId="392C36E9" w14:textId="77777777" w:rsidR="00980E5F" w:rsidRDefault="00980E5F">
            <w:pPr>
              <w:rPr>
                <w:rFonts w:ascii="宋体"/>
                <w:vanish/>
              </w:rPr>
            </w:pPr>
          </w:p>
        </w:tc>
        <w:tc>
          <w:tcPr>
            <w:tcW w:w="0" w:type="auto"/>
            <w:gridSpan w:val="3"/>
            <w:shd w:val="clear" w:color="auto" w:fill="auto"/>
            <w:vAlign w:val="bottom"/>
          </w:tcPr>
          <w:p w14:paraId="392C36EA" w14:textId="77777777" w:rsidR="00980E5F" w:rsidRDefault="00980E5F">
            <w:pPr>
              <w:rPr>
                <w:rFonts w:ascii="宋体"/>
                <w:vanish/>
              </w:rPr>
            </w:pPr>
          </w:p>
        </w:tc>
        <w:tc>
          <w:tcPr>
            <w:tcW w:w="0" w:type="auto"/>
            <w:gridSpan w:val="3"/>
            <w:shd w:val="clear" w:color="auto" w:fill="auto"/>
            <w:vAlign w:val="bottom"/>
          </w:tcPr>
          <w:p w14:paraId="392C36EB" w14:textId="77777777" w:rsidR="00980E5F" w:rsidRDefault="00980E5F">
            <w:pPr>
              <w:rPr>
                <w:rFonts w:ascii="宋体"/>
                <w:vanish/>
              </w:rPr>
            </w:pPr>
          </w:p>
        </w:tc>
        <w:tc>
          <w:tcPr>
            <w:tcW w:w="0" w:type="auto"/>
            <w:gridSpan w:val="3"/>
            <w:shd w:val="clear" w:color="auto" w:fill="auto"/>
            <w:vAlign w:val="bottom"/>
          </w:tcPr>
          <w:p w14:paraId="392C36EC" w14:textId="77777777" w:rsidR="00980E5F" w:rsidRDefault="00980E5F">
            <w:pPr>
              <w:rPr>
                <w:rFonts w:ascii="宋体"/>
                <w:vanish/>
              </w:rPr>
            </w:pPr>
          </w:p>
        </w:tc>
        <w:tc>
          <w:tcPr>
            <w:tcW w:w="0" w:type="auto"/>
            <w:gridSpan w:val="3"/>
            <w:shd w:val="clear" w:color="auto" w:fill="auto"/>
            <w:vAlign w:val="bottom"/>
          </w:tcPr>
          <w:p w14:paraId="392C36ED" w14:textId="77777777" w:rsidR="00980E5F" w:rsidRDefault="00980E5F">
            <w:pPr>
              <w:rPr>
                <w:rFonts w:ascii="宋体"/>
                <w:vanish/>
              </w:rPr>
            </w:pPr>
          </w:p>
        </w:tc>
        <w:tc>
          <w:tcPr>
            <w:tcW w:w="0" w:type="auto"/>
            <w:gridSpan w:val="3"/>
            <w:shd w:val="clear" w:color="auto" w:fill="auto"/>
            <w:vAlign w:val="bottom"/>
          </w:tcPr>
          <w:p w14:paraId="392C36EE" w14:textId="77777777" w:rsidR="00980E5F" w:rsidRDefault="00980E5F">
            <w:pPr>
              <w:rPr>
                <w:rFonts w:ascii="宋体"/>
                <w:vanish/>
              </w:rPr>
            </w:pPr>
          </w:p>
        </w:tc>
        <w:tc>
          <w:tcPr>
            <w:tcW w:w="0" w:type="auto"/>
            <w:gridSpan w:val="3"/>
            <w:shd w:val="clear" w:color="auto" w:fill="auto"/>
            <w:vAlign w:val="bottom"/>
          </w:tcPr>
          <w:p w14:paraId="392C36EF" w14:textId="77777777" w:rsidR="00980E5F" w:rsidRDefault="00980E5F">
            <w:pPr>
              <w:rPr>
                <w:rFonts w:ascii="宋体"/>
                <w:vanish/>
              </w:rPr>
            </w:pPr>
          </w:p>
        </w:tc>
        <w:tc>
          <w:tcPr>
            <w:tcW w:w="0" w:type="auto"/>
            <w:gridSpan w:val="3"/>
            <w:shd w:val="clear" w:color="auto" w:fill="auto"/>
            <w:vAlign w:val="bottom"/>
          </w:tcPr>
          <w:p w14:paraId="392C36F0" w14:textId="77777777" w:rsidR="00980E5F" w:rsidRDefault="00980E5F">
            <w:pPr>
              <w:rPr>
                <w:rFonts w:ascii="宋体"/>
                <w:vanish/>
              </w:rPr>
            </w:pPr>
          </w:p>
        </w:tc>
        <w:tc>
          <w:tcPr>
            <w:tcW w:w="0" w:type="auto"/>
            <w:gridSpan w:val="3"/>
            <w:shd w:val="clear" w:color="auto" w:fill="auto"/>
            <w:vAlign w:val="bottom"/>
          </w:tcPr>
          <w:p w14:paraId="392C36F1" w14:textId="77777777" w:rsidR="00980E5F" w:rsidRDefault="00980E5F">
            <w:pPr>
              <w:rPr>
                <w:rFonts w:ascii="宋体"/>
                <w:vanish/>
              </w:rPr>
            </w:pPr>
          </w:p>
        </w:tc>
        <w:tc>
          <w:tcPr>
            <w:tcW w:w="0" w:type="auto"/>
            <w:gridSpan w:val="3"/>
            <w:shd w:val="clear" w:color="auto" w:fill="auto"/>
            <w:vAlign w:val="bottom"/>
          </w:tcPr>
          <w:p w14:paraId="392C36F2" w14:textId="77777777" w:rsidR="00980E5F" w:rsidRDefault="00980E5F">
            <w:pPr>
              <w:rPr>
                <w:rFonts w:ascii="宋体"/>
                <w:vanish/>
              </w:rPr>
            </w:pPr>
          </w:p>
        </w:tc>
        <w:tc>
          <w:tcPr>
            <w:tcW w:w="0" w:type="auto"/>
            <w:gridSpan w:val="3"/>
            <w:shd w:val="clear" w:color="auto" w:fill="auto"/>
            <w:vAlign w:val="bottom"/>
          </w:tcPr>
          <w:p w14:paraId="392C36F3" w14:textId="77777777" w:rsidR="00980E5F" w:rsidRDefault="00980E5F">
            <w:pPr>
              <w:rPr>
                <w:rFonts w:ascii="宋体"/>
                <w:vanish/>
              </w:rPr>
            </w:pPr>
          </w:p>
        </w:tc>
        <w:tc>
          <w:tcPr>
            <w:tcW w:w="0" w:type="auto"/>
            <w:gridSpan w:val="3"/>
            <w:shd w:val="clear" w:color="auto" w:fill="auto"/>
            <w:vAlign w:val="bottom"/>
          </w:tcPr>
          <w:p w14:paraId="392C36F4" w14:textId="77777777" w:rsidR="00980E5F" w:rsidRDefault="00980E5F">
            <w:pPr>
              <w:rPr>
                <w:rFonts w:ascii="宋体"/>
                <w:vanish/>
              </w:rPr>
            </w:pPr>
          </w:p>
        </w:tc>
        <w:tc>
          <w:tcPr>
            <w:tcW w:w="0" w:type="auto"/>
            <w:gridSpan w:val="3"/>
            <w:shd w:val="clear" w:color="auto" w:fill="auto"/>
            <w:vAlign w:val="bottom"/>
          </w:tcPr>
          <w:p w14:paraId="392C36F5" w14:textId="77777777" w:rsidR="00980E5F" w:rsidRDefault="00980E5F">
            <w:pPr>
              <w:rPr>
                <w:rFonts w:ascii="宋体"/>
                <w:vanish/>
              </w:rPr>
            </w:pPr>
          </w:p>
        </w:tc>
      </w:tr>
      <w:tr w:rsidR="00980E5F" w14:paraId="392C3709" w14:textId="77777777">
        <w:trPr>
          <w:jc w:val="center"/>
          <w:hidden/>
        </w:trPr>
        <w:tc>
          <w:tcPr>
            <w:tcW w:w="0" w:type="auto"/>
            <w:gridSpan w:val="3"/>
            <w:shd w:val="clear" w:color="auto" w:fill="auto"/>
            <w:vAlign w:val="bottom"/>
          </w:tcPr>
          <w:p w14:paraId="392C36F7" w14:textId="77777777" w:rsidR="00980E5F" w:rsidRDefault="00980E5F">
            <w:pPr>
              <w:rPr>
                <w:rFonts w:ascii="宋体"/>
                <w:vanish/>
              </w:rPr>
            </w:pPr>
          </w:p>
        </w:tc>
        <w:tc>
          <w:tcPr>
            <w:tcW w:w="0" w:type="auto"/>
            <w:gridSpan w:val="3"/>
            <w:shd w:val="clear" w:color="auto" w:fill="auto"/>
            <w:vAlign w:val="bottom"/>
          </w:tcPr>
          <w:p w14:paraId="392C36F8" w14:textId="77777777" w:rsidR="00980E5F" w:rsidRDefault="00980E5F">
            <w:pPr>
              <w:rPr>
                <w:rFonts w:ascii="宋体"/>
                <w:vanish/>
              </w:rPr>
            </w:pPr>
          </w:p>
        </w:tc>
        <w:tc>
          <w:tcPr>
            <w:tcW w:w="0" w:type="auto"/>
            <w:gridSpan w:val="3"/>
            <w:shd w:val="clear" w:color="auto" w:fill="auto"/>
            <w:vAlign w:val="bottom"/>
          </w:tcPr>
          <w:p w14:paraId="392C36F9" w14:textId="77777777" w:rsidR="00980E5F" w:rsidRDefault="00980E5F">
            <w:pPr>
              <w:rPr>
                <w:rFonts w:ascii="宋体"/>
                <w:vanish/>
              </w:rPr>
            </w:pPr>
          </w:p>
        </w:tc>
        <w:tc>
          <w:tcPr>
            <w:tcW w:w="0" w:type="auto"/>
            <w:gridSpan w:val="3"/>
            <w:shd w:val="clear" w:color="auto" w:fill="auto"/>
            <w:vAlign w:val="bottom"/>
          </w:tcPr>
          <w:p w14:paraId="392C36FA" w14:textId="77777777" w:rsidR="00980E5F" w:rsidRDefault="00980E5F">
            <w:pPr>
              <w:rPr>
                <w:rFonts w:ascii="宋体"/>
                <w:vanish/>
              </w:rPr>
            </w:pPr>
          </w:p>
        </w:tc>
        <w:tc>
          <w:tcPr>
            <w:tcW w:w="0" w:type="auto"/>
            <w:gridSpan w:val="3"/>
            <w:shd w:val="clear" w:color="auto" w:fill="auto"/>
            <w:vAlign w:val="bottom"/>
          </w:tcPr>
          <w:p w14:paraId="392C36FB" w14:textId="77777777" w:rsidR="00980E5F" w:rsidRDefault="00980E5F">
            <w:pPr>
              <w:rPr>
                <w:rFonts w:ascii="宋体"/>
                <w:vanish/>
              </w:rPr>
            </w:pPr>
          </w:p>
        </w:tc>
        <w:tc>
          <w:tcPr>
            <w:tcW w:w="0" w:type="auto"/>
            <w:gridSpan w:val="3"/>
            <w:shd w:val="clear" w:color="auto" w:fill="auto"/>
            <w:vAlign w:val="bottom"/>
          </w:tcPr>
          <w:p w14:paraId="392C36FC" w14:textId="77777777" w:rsidR="00980E5F" w:rsidRDefault="00980E5F">
            <w:pPr>
              <w:rPr>
                <w:rFonts w:ascii="宋体"/>
                <w:vanish/>
              </w:rPr>
            </w:pPr>
          </w:p>
        </w:tc>
        <w:tc>
          <w:tcPr>
            <w:tcW w:w="0" w:type="auto"/>
            <w:gridSpan w:val="3"/>
            <w:shd w:val="clear" w:color="auto" w:fill="auto"/>
            <w:vAlign w:val="bottom"/>
          </w:tcPr>
          <w:p w14:paraId="392C36FD" w14:textId="77777777" w:rsidR="00980E5F" w:rsidRDefault="00980E5F">
            <w:pPr>
              <w:rPr>
                <w:rFonts w:ascii="宋体"/>
                <w:vanish/>
              </w:rPr>
            </w:pPr>
          </w:p>
        </w:tc>
        <w:tc>
          <w:tcPr>
            <w:tcW w:w="0" w:type="auto"/>
            <w:gridSpan w:val="3"/>
            <w:shd w:val="clear" w:color="auto" w:fill="auto"/>
            <w:vAlign w:val="bottom"/>
          </w:tcPr>
          <w:p w14:paraId="392C36FE" w14:textId="77777777" w:rsidR="00980E5F" w:rsidRDefault="00980E5F">
            <w:pPr>
              <w:rPr>
                <w:rFonts w:ascii="宋体"/>
                <w:vanish/>
              </w:rPr>
            </w:pPr>
          </w:p>
        </w:tc>
        <w:tc>
          <w:tcPr>
            <w:tcW w:w="0" w:type="auto"/>
            <w:gridSpan w:val="3"/>
            <w:shd w:val="clear" w:color="auto" w:fill="auto"/>
            <w:vAlign w:val="bottom"/>
          </w:tcPr>
          <w:p w14:paraId="392C36FF" w14:textId="77777777" w:rsidR="00980E5F" w:rsidRDefault="00980E5F">
            <w:pPr>
              <w:rPr>
                <w:rFonts w:ascii="宋体"/>
                <w:vanish/>
              </w:rPr>
            </w:pPr>
          </w:p>
        </w:tc>
        <w:tc>
          <w:tcPr>
            <w:tcW w:w="0" w:type="auto"/>
            <w:gridSpan w:val="3"/>
            <w:shd w:val="clear" w:color="auto" w:fill="auto"/>
            <w:vAlign w:val="bottom"/>
          </w:tcPr>
          <w:p w14:paraId="392C3700" w14:textId="77777777" w:rsidR="00980E5F" w:rsidRDefault="00980E5F">
            <w:pPr>
              <w:rPr>
                <w:rFonts w:ascii="宋体"/>
                <w:vanish/>
              </w:rPr>
            </w:pPr>
          </w:p>
        </w:tc>
        <w:tc>
          <w:tcPr>
            <w:tcW w:w="0" w:type="auto"/>
            <w:gridSpan w:val="3"/>
            <w:shd w:val="clear" w:color="auto" w:fill="auto"/>
            <w:vAlign w:val="bottom"/>
          </w:tcPr>
          <w:p w14:paraId="392C3701" w14:textId="77777777" w:rsidR="00980E5F" w:rsidRDefault="00980E5F">
            <w:pPr>
              <w:rPr>
                <w:rFonts w:ascii="宋体"/>
                <w:vanish/>
              </w:rPr>
            </w:pPr>
          </w:p>
        </w:tc>
        <w:tc>
          <w:tcPr>
            <w:tcW w:w="0" w:type="auto"/>
            <w:gridSpan w:val="3"/>
            <w:shd w:val="clear" w:color="auto" w:fill="auto"/>
            <w:vAlign w:val="bottom"/>
          </w:tcPr>
          <w:p w14:paraId="392C3702" w14:textId="77777777" w:rsidR="00980E5F" w:rsidRDefault="00980E5F">
            <w:pPr>
              <w:rPr>
                <w:rFonts w:ascii="宋体"/>
                <w:vanish/>
              </w:rPr>
            </w:pPr>
          </w:p>
        </w:tc>
        <w:tc>
          <w:tcPr>
            <w:tcW w:w="0" w:type="auto"/>
            <w:gridSpan w:val="3"/>
            <w:shd w:val="clear" w:color="auto" w:fill="auto"/>
            <w:vAlign w:val="bottom"/>
          </w:tcPr>
          <w:p w14:paraId="392C3703" w14:textId="77777777" w:rsidR="00980E5F" w:rsidRDefault="00980E5F">
            <w:pPr>
              <w:rPr>
                <w:rFonts w:ascii="宋体"/>
                <w:vanish/>
              </w:rPr>
            </w:pPr>
          </w:p>
        </w:tc>
        <w:tc>
          <w:tcPr>
            <w:tcW w:w="0" w:type="auto"/>
            <w:gridSpan w:val="3"/>
            <w:shd w:val="clear" w:color="auto" w:fill="auto"/>
            <w:vAlign w:val="bottom"/>
          </w:tcPr>
          <w:p w14:paraId="392C3704" w14:textId="77777777" w:rsidR="00980E5F" w:rsidRDefault="00980E5F">
            <w:pPr>
              <w:rPr>
                <w:rFonts w:ascii="宋体"/>
                <w:vanish/>
              </w:rPr>
            </w:pPr>
          </w:p>
        </w:tc>
        <w:tc>
          <w:tcPr>
            <w:tcW w:w="0" w:type="auto"/>
            <w:gridSpan w:val="3"/>
            <w:shd w:val="clear" w:color="auto" w:fill="auto"/>
            <w:vAlign w:val="bottom"/>
          </w:tcPr>
          <w:p w14:paraId="392C3705" w14:textId="77777777" w:rsidR="00980E5F" w:rsidRDefault="00980E5F">
            <w:pPr>
              <w:rPr>
                <w:rFonts w:ascii="宋体"/>
                <w:vanish/>
              </w:rPr>
            </w:pPr>
          </w:p>
        </w:tc>
        <w:tc>
          <w:tcPr>
            <w:tcW w:w="0" w:type="auto"/>
            <w:gridSpan w:val="3"/>
            <w:shd w:val="clear" w:color="auto" w:fill="auto"/>
            <w:vAlign w:val="bottom"/>
          </w:tcPr>
          <w:p w14:paraId="392C3706" w14:textId="77777777" w:rsidR="00980E5F" w:rsidRDefault="00980E5F">
            <w:pPr>
              <w:rPr>
                <w:rFonts w:ascii="宋体"/>
                <w:vanish/>
              </w:rPr>
            </w:pPr>
          </w:p>
        </w:tc>
        <w:tc>
          <w:tcPr>
            <w:tcW w:w="0" w:type="auto"/>
            <w:gridSpan w:val="3"/>
            <w:shd w:val="clear" w:color="auto" w:fill="auto"/>
            <w:vAlign w:val="bottom"/>
          </w:tcPr>
          <w:p w14:paraId="392C3707" w14:textId="77777777" w:rsidR="00980E5F" w:rsidRDefault="00980E5F">
            <w:pPr>
              <w:rPr>
                <w:rFonts w:ascii="宋体"/>
                <w:vanish/>
              </w:rPr>
            </w:pPr>
          </w:p>
        </w:tc>
        <w:tc>
          <w:tcPr>
            <w:tcW w:w="0" w:type="auto"/>
            <w:gridSpan w:val="3"/>
            <w:shd w:val="clear" w:color="auto" w:fill="auto"/>
            <w:vAlign w:val="bottom"/>
          </w:tcPr>
          <w:p w14:paraId="392C3708" w14:textId="77777777" w:rsidR="00980E5F" w:rsidRDefault="00980E5F">
            <w:pPr>
              <w:rPr>
                <w:rFonts w:ascii="宋体"/>
                <w:vanish/>
              </w:rPr>
            </w:pPr>
          </w:p>
        </w:tc>
      </w:tr>
      <w:tr w:rsidR="00980E5F" w14:paraId="392C371C" w14:textId="77777777">
        <w:trPr>
          <w:jc w:val="center"/>
          <w:hidden/>
        </w:trPr>
        <w:tc>
          <w:tcPr>
            <w:tcW w:w="0" w:type="auto"/>
            <w:gridSpan w:val="3"/>
            <w:shd w:val="clear" w:color="auto" w:fill="auto"/>
            <w:vAlign w:val="bottom"/>
          </w:tcPr>
          <w:p w14:paraId="392C370A" w14:textId="77777777" w:rsidR="00980E5F" w:rsidRDefault="00980E5F">
            <w:pPr>
              <w:rPr>
                <w:rFonts w:ascii="宋体"/>
                <w:vanish/>
              </w:rPr>
            </w:pPr>
          </w:p>
        </w:tc>
        <w:tc>
          <w:tcPr>
            <w:tcW w:w="0" w:type="auto"/>
            <w:gridSpan w:val="3"/>
            <w:shd w:val="clear" w:color="auto" w:fill="auto"/>
            <w:vAlign w:val="bottom"/>
          </w:tcPr>
          <w:p w14:paraId="392C370B" w14:textId="77777777" w:rsidR="00980E5F" w:rsidRDefault="00980E5F">
            <w:pPr>
              <w:rPr>
                <w:rFonts w:ascii="宋体"/>
                <w:vanish/>
              </w:rPr>
            </w:pPr>
          </w:p>
        </w:tc>
        <w:tc>
          <w:tcPr>
            <w:tcW w:w="0" w:type="auto"/>
            <w:gridSpan w:val="3"/>
            <w:shd w:val="clear" w:color="auto" w:fill="auto"/>
            <w:vAlign w:val="bottom"/>
          </w:tcPr>
          <w:p w14:paraId="392C370C" w14:textId="77777777" w:rsidR="00980E5F" w:rsidRDefault="00980E5F">
            <w:pPr>
              <w:rPr>
                <w:rFonts w:ascii="宋体"/>
                <w:vanish/>
              </w:rPr>
            </w:pPr>
          </w:p>
        </w:tc>
        <w:tc>
          <w:tcPr>
            <w:tcW w:w="0" w:type="auto"/>
            <w:gridSpan w:val="3"/>
            <w:shd w:val="clear" w:color="auto" w:fill="auto"/>
            <w:vAlign w:val="bottom"/>
          </w:tcPr>
          <w:p w14:paraId="392C370D" w14:textId="77777777" w:rsidR="00980E5F" w:rsidRDefault="00980E5F">
            <w:pPr>
              <w:rPr>
                <w:rFonts w:ascii="宋体"/>
                <w:vanish/>
              </w:rPr>
            </w:pPr>
          </w:p>
        </w:tc>
        <w:tc>
          <w:tcPr>
            <w:tcW w:w="0" w:type="auto"/>
            <w:gridSpan w:val="3"/>
            <w:shd w:val="clear" w:color="auto" w:fill="auto"/>
            <w:vAlign w:val="bottom"/>
          </w:tcPr>
          <w:p w14:paraId="392C370E" w14:textId="77777777" w:rsidR="00980E5F" w:rsidRDefault="00980E5F">
            <w:pPr>
              <w:rPr>
                <w:rFonts w:ascii="宋体"/>
                <w:vanish/>
              </w:rPr>
            </w:pPr>
          </w:p>
        </w:tc>
        <w:tc>
          <w:tcPr>
            <w:tcW w:w="0" w:type="auto"/>
            <w:gridSpan w:val="3"/>
            <w:shd w:val="clear" w:color="auto" w:fill="auto"/>
            <w:vAlign w:val="bottom"/>
          </w:tcPr>
          <w:p w14:paraId="392C370F" w14:textId="77777777" w:rsidR="00980E5F" w:rsidRDefault="00980E5F">
            <w:pPr>
              <w:rPr>
                <w:rFonts w:ascii="宋体"/>
                <w:vanish/>
              </w:rPr>
            </w:pPr>
          </w:p>
        </w:tc>
        <w:tc>
          <w:tcPr>
            <w:tcW w:w="0" w:type="auto"/>
            <w:gridSpan w:val="3"/>
            <w:shd w:val="clear" w:color="auto" w:fill="auto"/>
            <w:vAlign w:val="bottom"/>
          </w:tcPr>
          <w:p w14:paraId="392C3710" w14:textId="77777777" w:rsidR="00980E5F" w:rsidRDefault="00980E5F">
            <w:pPr>
              <w:rPr>
                <w:rFonts w:ascii="宋体"/>
                <w:vanish/>
              </w:rPr>
            </w:pPr>
          </w:p>
        </w:tc>
        <w:tc>
          <w:tcPr>
            <w:tcW w:w="0" w:type="auto"/>
            <w:gridSpan w:val="3"/>
            <w:shd w:val="clear" w:color="auto" w:fill="auto"/>
            <w:vAlign w:val="bottom"/>
          </w:tcPr>
          <w:p w14:paraId="392C3711" w14:textId="77777777" w:rsidR="00980E5F" w:rsidRDefault="00980E5F">
            <w:pPr>
              <w:rPr>
                <w:rFonts w:ascii="宋体"/>
                <w:vanish/>
              </w:rPr>
            </w:pPr>
          </w:p>
        </w:tc>
        <w:tc>
          <w:tcPr>
            <w:tcW w:w="0" w:type="auto"/>
            <w:gridSpan w:val="3"/>
            <w:shd w:val="clear" w:color="auto" w:fill="auto"/>
            <w:vAlign w:val="bottom"/>
          </w:tcPr>
          <w:p w14:paraId="392C3712" w14:textId="77777777" w:rsidR="00980E5F" w:rsidRDefault="00980E5F">
            <w:pPr>
              <w:rPr>
                <w:rFonts w:ascii="宋体"/>
                <w:vanish/>
              </w:rPr>
            </w:pPr>
          </w:p>
        </w:tc>
        <w:tc>
          <w:tcPr>
            <w:tcW w:w="0" w:type="auto"/>
            <w:gridSpan w:val="3"/>
            <w:shd w:val="clear" w:color="auto" w:fill="auto"/>
            <w:vAlign w:val="bottom"/>
          </w:tcPr>
          <w:p w14:paraId="392C3713" w14:textId="77777777" w:rsidR="00980E5F" w:rsidRDefault="00980E5F">
            <w:pPr>
              <w:rPr>
                <w:rFonts w:ascii="宋体"/>
                <w:vanish/>
              </w:rPr>
            </w:pPr>
          </w:p>
        </w:tc>
        <w:tc>
          <w:tcPr>
            <w:tcW w:w="0" w:type="auto"/>
            <w:gridSpan w:val="3"/>
            <w:shd w:val="clear" w:color="auto" w:fill="auto"/>
            <w:vAlign w:val="bottom"/>
          </w:tcPr>
          <w:p w14:paraId="392C3714" w14:textId="77777777" w:rsidR="00980E5F" w:rsidRDefault="00980E5F">
            <w:pPr>
              <w:rPr>
                <w:rFonts w:ascii="宋体"/>
                <w:vanish/>
              </w:rPr>
            </w:pPr>
          </w:p>
        </w:tc>
        <w:tc>
          <w:tcPr>
            <w:tcW w:w="0" w:type="auto"/>
            <w:gridSpan w:val="3"/>
            <w:shd w:val="clear" w:color="auto" w:fill="auto"/>
            <w:vAlign w:val="bottom"/>
          </w:tcPr>
          <w:p w14:paraId="392C3715" w14:textId="77777777" w:rsidR="00980E5F" w:rsidRDefault="00980E5F">
            <w:pPr>
              <w:rPr>
                <w:rFonts w:ascii="宋体"/>
                <w:vanish/>
              </w:rPr>
            </w:pPr>
          </w:p>
        </w:tc>
        <w:tc>
          <w:tcPr>
            <w:tcW w:w="0" w:type="auto"/>
            <w:gridSpan w:val="3"/>
            <w:shd w:val="clear" w:color="auto" w:fill="auto"/>
            <w:vAlign w:val="bottom"/>
          </w:tcPr>
          <w:p w14:paraId="392C3716" w14:textId="77777777" w:rsidR="00980E5F" w:rsidRDefault="00980E5F">
            <w:pPr>
              <w:rPr>
                <w:rFonts w:ascii="宋体"/>
                <w:vanish/>
              </w:rPr>
            </w:pPr>
          </w:p>
        </w:tc>
        <w:tc>
          <w:tcPr>
            <w:tcW w:w="0" w:type="auto"/>
            <w:gridSpan w:val="3"/>
            <w:shd w:val="clear" w:color="auto" w:fill="auto"/>
            <w:vAlign w:val="bottom"/>
          </w:tcPr>
          <w:p w14:paraId="392C3717" w14:textId="77777777" w:rsidR="00980E5F" w:rsidRDefault="00980E5F">
            <w:pPr>
              <w:rPr>
                <w:rFonts w:ascii="宋体"/>
                <w:vanish/>
              </w:rPr>
            </w:pPr>
          </w:p>
        </w:tc>
        <w:tc>
          <w:tcPr>
            <w:tcW w:w="0" w:type="auto"/>
            <w:gridSpan w:val="3"/>
            <w:shd w:val="clear" w:color="auto" w:fill="auto"/>
            <w:vAlign w:val="bottom"/>
          </w:tcPr>
          <w:p w14:paraId="392C3718" w14:textId="77777777" w:rsidR="00980E5F" w:rsidRDefault="00980E5F">
            <w:pPr>
              <w:rPr>
                <w:rFonts w:ascii="宋体"/>
                <w:vanish/>
              </w:rPr>
            </w:pPr>
          </w:p>
        </w:tc>
        <w:tc>
          <w:tcPr>
            <w:tcW w:w="0" w:type="auto"/>
            <w:gridSpan w:val="3"/>
            <w:shd w:val="clear" w:color="auto" w:fill="auto"/>
            <w:vAlign w:val="bottom"/>
          </w:tcPr>
          <w:p w14:paraId="392C3719" w14:textId="77777777" w:rsidR="00980E5F" w:rsidRDefault="00980E5F">
            <w:pPr>
              <w:rPr>
                <w:rFonts w:ascii="宋体"/>
                <w:vanish/>
              </w:rPr>
            </w:pPr>
          </w:p>
        </w:tc>
        <w:tc>
          <w:tcPr>
            <w:tcW w:w="0" w:type="auto"/>
            <w:gridSpan w:val="3"/>
            <w:shd w:val="clear" w:color="auto" w:fill="auto"/>
            <w:vAlign w:val="bottom"/>
          </w:tcPr>
          <w:p w14:paraId="392C371A" w14:textId="77777777" w:rsidR="00980E5F" w:rsidRDefault="00980E5F">
            <w:pPr>
              <w:rPr>
                <w:rFonts w:ascii="宋体"/>
                <w:vanish/>
              </w:rPr>
            </w:pPr>
          </w:p>
        </w:tc>
        <w:tc>
          <w:tcPr>
            <w:tcW w:w="0" w:type="auto"/>
            <w:gridSpan w:val="3"/>
            <w:shd w:val="clear" w:color="auto" w:fill="auto"/>
            <w:vAlign w:val="bottom"/>
          </w:tcPr>
          <w:p w14:paraId="392C371B" w14:textId="77777777" w:rsidR="00980E5F" w:rsidRDefault="00980E5F">
            <w:pPr>
              <w:rPr>
                <w:rFonts w:ascii="宋体"/>
                <w:vanish/>
              </w:rPr>
            </w:pPr>
          </w:p>
        </w:tc>
      </w:tr>
      <w:tr w:rsidR="00980E5F" w14:paraId="392C372F" w14:textId="77777777">
        <w:trPr>
          <w:jc w:val="center"/>
          <w:hidden/>
        </w:trPr>
        <w:tc>
          <w:tcPr>
            <w:tcW w:w="0" w:type="auto"/>
            <w:gridSpan w:val="3"/>
            <w:shd w:val="clear" w:color="auto" w:fill="auto"/>
            <w:vAlign w:val="bottom"/>
          </w:tcPr>
          <w:p w14:paraId="392C371D" w14:textId="77777777" w:rsidR="00980E5F" w:rsidRDefault="00980E5F">
            <w:pPr>
              <w:rPr>
                <w:rFonts w:ascii="宋体"/>
                <w:vanish/>
              </w:rPr>
            </w:pPr>
          </w:p>
        </w:tc>
        <w:tc>
          <w:tcPr>
            <w:tcW w:w="0" w:type="auto"/>
            <w:gridSpan w:val="3"/>
            <w:shd w:val="clear" w:color="auto" w:fill="auto"/>
            <w:vAlign w:val="bottom"/>
          </w:tcPr>
          <w:p w14:paraId="392C371E" w14:textId="77777777" w:rsidR="00980E5F" w:rsidRDefault="00980E5F">
            <w:pPr>
              <w:rPr>
                <w:rFonts w:ascii="宋体"/>
                <w:vanish/>
              </w:rPr>
            </w:pPr>
          </w:p>
        </w:tc>
        <w:tc>
          <w:tcPr>
            <w:tcW w:w="0" w:type="auto"/>
            <w:gridSpan w:val="3"/>
            <w:shd w:val="clear" w:color="auto" w:fill="auto"/>
            <w:vAlign w:val="bottom"/>
          </w:tcPr>
          <w:p w14:paraId="392C371F" w14:textId="77777777" w:rsidR="00980E5F" w:rsidRDefault="00980E5F">
            <w:pPr>
              <w:rPr>
                <w:rFonts w:ascii="宋体"/>
                <w:vanish/>
              </w:rPr>
            </w:pPr>
          </w:p>
        </w:tc>
        <w:tc>
          <w:tcPr>
            <w:tcW w:w="0" w:type="auto"/>
            <w:gridSpan w:val="3"/>
            <w:shd w:val="clear" w:color="auto" w:fill="auto"/>
            <w:vAlign w:val="bottom"/>
          </w:tcPr>
          <w:p w14:paraId="392C3720" w14:textId="77777777" w:rsidR="00980E5F" w:rsidRDefault="00980E5F">
            <w:pPr>
              <w:rPr>
                <w:rFonts w:ascii="宋体"/>
                <w:vanish/>
              </w:rPr>
            </w:pPr>
          </w:p>
        </w:tc>
        <w:tc>
          <w:tcPr>
            <w:tcW w:w="0" w:type="auto"/>
            <w:gridSpan w:val="3"/>
            <w:shd w:val="clear" w:color="auto" w:fill="auto"/>
            <w:vAlign w:val="bottom"/>
          </w:tcPr>
          <w:p w14:paraId="392C3721" w14:textId="77777777" w:rsidR="00980E5F" w:rsidRDefault="00980E5F">
            <w:pPr>
              <w:rPr>
                <w:rFonts w:ascii="宋体"/>
                <w:vanish/>
              </w:rPr>
            </w:pPr>
          </w:p>
        </w:tc>
        <w:tc>
          <w:tcPr>
            <w:tcW w:w="0" w:type="auto"/>
            <w:gridSpan w:val="3"/>
            <w:shd w:val="clear" w:color="auto" w:fill="auto"/>
            <w:vAlign w:val="bottom"/>
          </w:tcPr>
          <w:p w14:paraId="392C3722" w14:textId="77777777" w:rsidR="00980E5F" w:rsidRDefault="00980E5F">
            <w:pPr>
              <w:rPr>
                <w:rFonts w:ascii="宋体"/>
                <w:vanish/>
              </w:rPr>
            </w:pPr>
          </w:p>
        </w:tc>
        <w:tc>
          <w:tcPr>
            <w:tcW w:w="0" w:type="auto"/>
            <w:gridSpan w:val="3"/>
            <w:shd w:val="clear" w:color="auto" w:fill="auto"/>
            <w:vAlign w:val="bottom"/>
          </w:tcPr>
          <w:p w14:paraId="392C3723" w14:textId="77777777" w:rsidR="00980E5F" w:rsidRDefault="00980E5F">
            <w:pPr>
              <w:rPr>
                <w:rFonts w:ascii="宋体"/>
                <w:vanish/>
              </w:rPr>
            </w:pPr>
          </w:p>
        </w:tc>
        <w:tc>
          <w:tcPr>
            <w:tcW w:w="0" w:type="auto"/>
            <w:gridSpan w:val="3"/>
            <w:shd w:val="clear" w:color="auto" w:fill="auto"/>
            <w:vAlign w:val="bottom"/>
          </w:tcPr>
          <w:p w14:paraId="392C3724" w14:textId="77777777" w:rsidR="00980E5F" w:rsidRDefault="00980E5F">
            <w:pPr>
              <w:rPr>
                <w:rFonts w:ascii="宋体"/>
                <w:vanish/>
              </w:rPr>
            </w:pPr>
          </w:p>
        </w:tc>
        <w:tc>
          <w:tcPr>
            <w:tcW w:w="0" w:type="auto"/>
            <w:gridSpan w:val="3"/>
            <w:shd w:val="clear" w:color="auto" w:fill="auto"/>
            <w:vAlign w:val="bottom"/>
          </w:tcPr>
          <w:p w14:paraId="392C3725" w14:textId="77777777" w:rsidR="00980E5F" w:rsidRDefault="00980E5F">
            <w:pPr>
              <w:rPr>
                <w:rFonts w:ascii="宋体"/>
                <w:vanish/>
              </w:rPr>
            </w:pPr>
          </w:p>
        </w:tc>
        <w:tc>
          <w:tcPr>
            <w:tcW w:w="0" w:type="auto"/>
            <w:gridSpan w:val="3"/>
            <w:shd w:val="clear" w:color="auto" w:fill="auto"/>
            <w:vAlign w:val="bottom"/>
          </w:tcPr>
          <w:p w14:paraId="392C3726" w14:textId="77777777" w:rsidR="00980E5F" w:rsidRDefault="00980E5F">
            <w:pPr>
              <w:rPr>
                <w:rFonts w:ascii="宋体"/>
                <w:vanish/>
              </w:rPr>
            </w:pPr>
          </w:p>
        </w:tc>
        <w:tc>
          <w:tcPr>
            <w:tcW w:w="0" w:type="auto"/>
            <w:gridSpan w:val="3"/>
            <w:shd w:val="clear" w:color="auto" w:fill="auto"/>
            <w:vAlign w:val="bottom"/>
          </w:tcPr>
          <w:p w14:paraId="392C3727" w14:textId="77777777" w:rsidR="00980E5F" w:rsidRDefault="00980E5F">
            <w:pPr>
              <w:rPr>
                <w:rFonts w:ascii="宋体"/>
                <w:vanish/>
              </w:rPr>
            </w:pPr>
          </w:p>
        </w:tc>
        <w:tc>
          <w:tcPr>
            <w:tcW w:w="0" w:type="auto"/>
            <w:gridSpan w:val="3"/>
            <w:shd w:val="clear" w:color="auto" w:fill="auto"/>
            <w:vAlign w:val="bottom"/>
          </w:tcPr>
          <w:p w14:paraId="392C3728" w14:textId="77777777" w:rsidR="00980E5F" w:rsidRDefault="00980E5F">
            <w:pPr>
              <w:rPr>
                <w:rFonts w:ascii="宋体"/>
                <w:vanish/>
              </w:rPr>
            </w:pPr>
          </w:p>
        </w:tc>
        <w:tc>
          <w:tcPr>
            <w:tcW w:w="0" w:type="auto"/>
            <w:gridSpan w:val="3"/>
            <w:shd w:val="clear" w:color="auto" w:fill="auto"/>
            <w:vAlign w:val="bottom"/>
          </w:tcPr>
          <w:p w14:paraId="392C3729" w14:textId="77777777" w:rsidR="00980E5F" w:rsidRDefault="00980E5F">
            <w:pPr>
              <w:rPr>
                <w:rFonts w:ascii="宋体"/>
                <w:vanish/>
              </w:rPr>
            </w:pPr>
          </w:p>
        </w:tc>
        <w:tc>
          <w:tcPr>
            <w:tcW w:w="0" w:type="auto"/>
            <w:gridSpan w:val="3"/>
            <w:shd w:val="clear" w:color="auto" w:fill="auto"/>
            <w:vAlign w:val="bottom"/>
          </w:tcPr>
          <w:p w14:paraId="392C372A" w14:textId="77777777" w:rsidR="00980E5F" w:rsidRDefault="00980E5F">
            <w:pPr>
              <w:rPr>
                <w:rFonts w:ascii="宋体"/>
                <w:vanish/>
              </w:rPr>
            </w:pPr>
          </w:p>
        </w:tc>
        <w:tc>
          <w:tcPr>
            <w:tcW w:w="0" w:type="auto"/>
            <w:gridSpan w:val="3"/>
            <w:shd w:val="clear" w:color="auto" w:fill="auto"/>
            <w:vAlign w:val="bottom"/>
          </w:tcPr>
          <w:p w14:paraId="392C372B" w14:textId="77777777" w:rsidR="00980E5F" w:rsidRDefault="00980E5F">
            <w:pPr>
              <w:rPr>
                <w:rFonts w:ascii="宋体"/>
                <w:vanish/>
              </w:rPr>
            </w:pPr>
          </w:p>
        </w:tc>
        <w:tc>
          <w:tcPr>
            <w:tcW w:w="0" w:type="auto"/>
            <w:gridSpan w:val="3"/>
            <w:shd w:val="clear" w:color="auto" w:fill="auto"/>
            <w:vAlign w:val="bottom"/>
          </w:tcPr>
          <w:p w14:paraId="392C372C" w14:textId="77777777" w:rsidR="00980E5F" w:rsidRDefault="00980E5F">
            <w:pPr>
              <w:rPr>
                <w:rFonts w:ascii="宋体"/>
                <w:vanish/>
              </w:rPr>
            </w:pPr>
          </w:p>
        </w:tc>
        <w:tc>
          <w:tcPr>
            <w:tcW w:w="0" w:type="auto"/>
            <w:gridSpan w:val="3"/>
            <w:shd w:val="clear" w:color="auto" w:fill="auto"/>
            <w:vAlign w:val="bottom"/>
          </w:tcPr>
          <w:p w14:paraId="392C372D" w14:textId="77777777" w:rsidR="00980E5F" w:rsidRDefault="00980E5F">
            <w:pPr>
              <w:rPr>
                <w:rFonts w:ascii="宋体"/>
                <w:vanish/>
              </w:rPr>
            </w:pPr>
          </w:p>
        </w:tc>
        <w:tc>
          <w:tcPr>
            <w:tcW w:w="0" w:type="auto"/>
            <w:gridSpan w:val="3"/>
            <w:shd w:val="clear" w:color="auto" w:fill="auto"/>
            <w:vAlign w:val="bottom"/>
          </w:tcPr>
          <w:p w14:paraId="392C372E" w14:textId="77777777" w:rsidR="00980E5F" w:rsidRDefault="00980E5F">
            <w:pPr>
              <w:rPr>
                <w:rFonts w:ascii="宋体"/>
                <w:vanish/>
              </w:rPr>
            </w:pPr>
          </w:p>
        </w:tc>
      </w:tr>
      <w:tr w:rsidR="00980E5F" w14:paraId="392C3742" w14:textId="77777777">
        <w:trPr>
          <w:jc w:val="center"/>
          <w:hidden/>
        </w:trPr>
        <w:tc>
          <w:tcPr>
            <w:tcW w:w="0" w:type="auto"/>
            <w:gridSpan w:val="3"/>
            <w:shd w:val="clear" w:color="auto" w:fill="auto"/>
            <w:vAlign w:val="bottom"/>
          </w:tcPr>
          <w:p w14:paraId="392C3730" w14:textId="77777777" w:rsidR="00980E5F" w:rsidRDefault="00980E5F">
            <w:pPr>
              <w:rPr>
                <w:rFonts w:ascii="宋体"/>
                <w:vanish/>
              </w:rPr>
            </w:pPr>
          </w:p>
        </w:tc>
        <w:tc>
          <w:tcPr>
            <w:tcW w:w="0" w:type="auto"/>
            <w:gridSpan w:val="3"/>
            <w:shd w:val="clear" w:color="auto" w:fill="auto"/>
            <w:vAlign w:val="bottom"/>
          </w:tcPr>
          <w:p w14:paraId="392C3731" w14:textId="77777777" w:rsidR="00980E5F" w:rsidRDefault="00980E5F">
            <w:pPr>
              <w:rPr>
                <w:rFonts w:ascii="宋体"/>
                <w:vanish/>
              </w:rPr>
            </w:pPr>
          </w:p>
        </w:tc>
        <w:tc>
          <w:tcPr>
            <w:tcW w:w="0" w:type="auto"/>
            <w:gridSpan w:val="3"/>
            <w:shd w:val="clear" w:color="auto" w:fill="auto"/>
            <w:vAlign w:val="bottom"/>
          </w:tcPr>
          <w:p w14:paraId="392C3732" w14:textId="77777777" w:rsidR="00980E5F" w:rsidRDefault="00980E5F">
            <w:pPr>
              <w:rPr>
                <w:rFonts w:ascii="宋体"/>
                <w:vanish/>
              </w:rPr>
            </w:pPr>
          </w:p>
        </w:tc>
        <w:tc>
          <w:tcPr>
            <w:tcW w:w="0" w:type="auto"/>
            <w:gridSpan w:val="3"/>
            <w:shd w:val="clear" w:color="auto" w:fill="auto"/>
            <w:vAlign w:val="bottom"/>
          </w:tcPr>
          <w:p w14:paraId="392C3733" w14:textId="77777777" w:rsidR="00980E5F" w:rsidRDefault="00980E5F">
            <w:pPr>
              <w:rPr>
                <w:rFonts w:ascii="宋体"/>
                <w:vanish/>
              </w:rPr>
            </w:pPr>
          </w:p>
        </w:tc>
        <w:tc>
          <w:tcPr>
            <w:tcW w:w="0" w:type="auto"/>
            <w:gridSpan w:val="3"/>
            <w:shd w:val="clear" w:color="auto" w:fill="auto"/>
            <w:vAlign w:val="bottom"/>
          </w:tcPr>
          <w:p w14:paraId="392C3734" w14:textId="77777777" w:rsidR="00980E5F" w:rsidRDefault="00980E5F">
            <w:pPr>
              <w:rPr>
                <w:rFonts w:ascii="宋体"/>
                <w:vanish/>
              </w:rPr>
            </w:pPr>
          </w:p>
        </w:tc>
        <w:tc>
          <w:tcPr>
            <w:tcW w:w="0" w:type="auto"/>
            <w:gridSpan w:val="3"/>
            <w:shd w:val="clear" w:color="auto" w:fill="auto"/>
            <w:vAlign w:val="bottom"/>
          </w:tcPr>
          <w:p w14:paraId="392C3735" w14:textId="77777777" w:rsidR="00980E5F" w:rsidRDefault="00980E5F">
            <w:pPr>
              <w:rPr>
                <w:rFonts w:ascii="宋体"/>
                <w:vanish/>
              </w:rPr>
            </w:pPr>
          </w:p>
        </w:tc>
        <w:tc>
          <w:tcPr>
            <w:tcW w:w="0" w:type="auto"/>
            <w:gridSpan w:val="3"/>
            <w:shd w:val="clear" w:color="auto" w:fill="auto"/>
            <w:vAlign w:val="bottom"/>
          </w:tcPr>
          <w:p w14:paraId="392C3736" w14:textId="77777777" w:rsidR="00980E5F" w:rsidRDefault="00980E5F">
            <w:pPr>
              <w:rPr>
                <w:rFonts w:ascii="宋体"/>
                <w:vanish/>
              </w:rPr>
            </w:pPr>
          </w:p>
        </w:tc>
        <w:tc>
          <w:tcPr>
            <w:tcW w:w="0" w:type="auto"/>
            <w:gridSpan w:val="3"/>
            <w:shd w:val="clear" w:color="auto" w:fill="auto"/>
            <w:vAlign w:val="bottom"/>
          </w:tcPr>
          <w:p w14:paraId="392C3737" w14:textId="77777777" w:rsidR="00980E5F" w:rsidRDefault="00980E5F">
            <w:pPr>
              <w:rPr>
                <w:rFonts w:ascii="宋体"/>
                <w:vanish/>
              </w:rPr>
            </w:pPr>
          </w:p>
        </w:tc>
        <w:tc>
          <w:tcPr>
            <w:tcW w:w="0" w:type="auto"/>
            <w:gridSpan w:val="3"/>
            <w:shd w:val="clear" w:color="auto" w:fill="auto"/>
            <w:vAlign w:val="bottom"/>
          </w:tcPr>
          <w:p w14:paraId="392C3738" w14:textId="77777777" w:rsidR="00980E5F" w:rsidRDefault="00980E5F">
            <w:pPr>
              <w:rPr>
                <w:rFonts w:ascii="宋体"/>
                <w:vanish/>
              </w:rPr>
            </w:pPr>
          </w:p>
        </w:tc>
        <w:tc>
          <w:tcPr>
            <w:tcW w:w="0" w:type="auto"/>
            <w:gridSpan w:val="3"/>
            <w:shd w:val="clear" w:color="auto" w:fill="auto"/>
            <w:vAlign w:val="bottom"/>
          </w:tcPr>
          <w:p w14:paraId="392C3739" w14:textId="77777777" w:rsidR="00980E5F" w:rsidRDefault="00980E5F">
            <w:pPr>
              <w:rPr>
                <w:rFonts w:ascii="宋体"/>
                <w:vanish/>
              </w:rPr>
            </w:pPr>
          </w:p>
        </w:tc>
        <w:tc>
          <w:tcPr>
            <w:tcW w:w="0" w:type="auto"/>
            <w:gridSpan w:val="3"/>
            <w:shd w:val="clear" w:color="auto" w:fill="auto"/>
            <w:vAlign w:val="bottom"/>
          </w:tcPr>
          <w:p w14:paraId="392C373A" w14:textId="77777777" w:rsidR="00980E5F" w:rsidRDefault="00980E5F">
            <w:pPr>
              <w:rPr>
                <w:rFonts w:ascii="宋体"/>
                <w:vanish/>
              </w:rPr>
            </w:pPr>
          </w:p>
        </w:tc>
        <w:tc>
          <w:tcPr>
            <w:tcW w:w="0" w:type="auto"/>
            <w:gridSpan w:val="3"/>
            <w:shd w:val="clear" w:color="auto" w:fill="auto"/>
            <w:vAlign w:val="bottom"/>
          </w:tcPr>
          <w:p w14:paraId="392C373B" w14:textId="77777777" w:rsidR="00980E5F" w:rsidRDefault="00980E5F">
            <w:pPr>
              <w:rPr>
                <w:rFonts w:ascii="宋体"/>
                <w:vanish/>
              </w:rPr>
            </w:pPr>
          </w:p>
        </w:tc>
        <w:tc>
          <w:tcPr>
            <w:tcW w:w="0" w:type="auto"/>
            <w:gridSpan w:val="3"/>
            <w:shd w:val="clear" w:color="auto" w:fill="auto"/>
            <w:vAlign w:val="bottom"/>
          </w:tcPr>
          <w:p w14:paraId="392C373C" w14:textId="77777777" w:rsidR="00980E5F" w:rsidRDefault="00980E5F">
            <w:pPr>
              <w:rPr>
                <w:rFonts w:ascii="宋体"/>
                <w:vanish/>
              </w:rPr>
            </w:pPr>
          </w:p>
        </w:tc>
        <w:tc>
          <w:tcPr>
            <w:tcW w:w="0" w:type="auto"/>
            <w:gridSpan w:val="3"/>
            <w:shd w:val="clear" w:color="auto" w:fill="auto"/>
            <w:vAlign w:val="bottom"/>
          </w:tcPr>
          <w:p w14:paraId="392C373D" w14:textId="77777777" w:rsidR="00980E5F" w:rsidRDefault="00980E5F">
            <w:pPr>
              <w:rPr>
                <w:rFonts w:ascii="宋体"/>
                <w:vanish/>
              </w:rPr>
            </w:pPr>
          </w:p>
        </w:tc>
        <w:tc>
          <w:tcPr>
            <w:tcW w:w="0" w:type="auto"/>
            <w:gridSpan w:val="3"/>
            <w:shd w:val="clear" w:color="auto" w:fill="auto"/>
            <w:vAlign w:val="bottom"/>
          </w:tcPr>
          <w:p w14:paraId="392C373E" w14:textId="77777777" w:rsidR="00980E5F" w:rsidRDefault="00980E5F">
            <w:pPr>
              <w:rPr>
                <w:rFonts w:ascii="宋体"/>
                <w:vanish/>
              </w:rPr>
            </w:pPr>
          </w:p>
        </w:tc>
        <w:tc>
          <w:tcPr>
            <w:tcW w:w="0" w:type="auto"/>
            <w:gridSpan w:val="3"/>
            <w:shd w:val="clear" w:color="auto" w:fill="auto"/>
            <w:vAlign w:val="bottom"/>
          </w:tcPr>
          <w:p w14:paraId="392C373F" w14:textId="77777777" w:rsidR="00980E5F" w:rsidRDefault="00980E5F">
            <w:pPr>
              <w:rPr>
                <w:rFonts w:ascii="宋体"/>
                <w:vanish/>
              </w:rPr>
            </w:pPr>
          </w:p>
        </w:tc>
        <w:tc>
          <w:tcPr>
            <w:tcW w:w="0" w:type="auto"/>
            <w:gridSpan w:val="3"/>
            <w:shd w:val="clear" w:color="auto" w:fill="auto"/>
            <w:vAlign w:val="bottom"/>
          </w:tcPr>
          <w:p w14:paraId="392C3740" w14:textId="77777777" w:rsidR="00980E5F" w:rsidRDefault="00980E5F">
            <w:pPr>
              <w:rPr>
                <w:rFonts w:ascii="宋体"/>
                <w:vanish/>
              </w:rPr>
            </w:pPr>
          </w:p>
        </w:tc>
        <w:tc>
          <w:tcPr>
            <w:tcW w:w="0" w:type="auto"/>
            <w:gridSpan w:val="3"/>
            <w:shd w:val="clear" w:color="auto" w:fill="auto"/>
            <w:vAlign w:val="bottom"/>
          </w:tcPr>
          <w:p w14:paraId="392C3741" w14:textId="77777777" w:rsidR="00980E5F" w:rsidRDefault="00980E5F">
            <w:pPr>
              <w:rPr>
                <w:rFonts w:ascii="宋体"/>
                <w:vanish/>
              </w:rPr>
            </w:pPr>
          </w:p>
        </w:tc>
      </w:tr>
      <w:tr w:rsidR="00980E5F" w14:paraId="392C3755" w14:textId="77777777">
        <w:trPr>
          <w:jc w:val="center"/>
          <w:hidden/>
        </w:trPr>
        <w:tc>
          <w:tcPr>
            <w:tcW w:w="0" w:type="auto"/>
            <w:gridSpan w:val="3"/>
            <w:shd w:val="clear" w:color="auto" w:fill="auto"/>
            <w:vAlign w:val="bottom"/>
          </w:tcPr>
          <w:p w14:paraId="392C3743" w14:textId="77777777" w:rsidR="00980E5F" w:rsidRDefault="00980E5F">
            <w:pPr>
              <w:rPr>
                <w:rFonts w:ascii="宋体"/>
                <w:vanish/>
              </w:rPr>
            </w:pPr>
          </w:p>
        </w:tc>
        <w:tc>
          <w:tcPr>
            <w:tcW w:w="0" w:type="auto"/>
            <w:gridSpan w:val="3"/>
            <w:shd w:val="clear" w:color="auto" w:fill="auto"/>
            <w:vAlign w:val="bottom"/>
          </w:tcPr>
          <w:p w14:paraId="392C3744" w14:textId="77777777" w:rsidR="00980E5F" w:rsidRDefault="00980E5F">
            <w:pPr>
              <w:rPr>
                <w:rFonts w:ascii="宋体"/>
                <w:vanish/>
              </w:rPr>
            </w:pPr>
          </w:p>
        </w:tc>
        <w:tc>
          <w:tcPr>
            <w:tcW w:w="0" w:type="auto"/>
            <w:gridSpan w:val="3"/>
            <w:shd w:val="clear" w:color="auto" w:fill="auto"/>
            <w:vAlign w:val="bottom"/>
          </w:tcPr>
          <w:p w14:paraId="392C3745" w14:textId="77777777" w:rsidR="00980E5F" w:rsidRDefault="00980E5F">
            <w:pPr>
              <w:rPr>
                <w:rFonts w:ascii="宋体"/>
                <w:vanish/>
              </w:rPr>
            </w:pPr>
          </w:p>
        </w:tc>
        <w:tc>
          <w:tcPr>
            <w:tcW w:w="0" w:type="auto"/>
            <w:gridSpan w:val="3"/>
            <w:shd w:val="clear" w:color="auto" w:fill="auto"/>
            <w:vAlign w:val="bottom"/>
          </w:tcPr>
          <w:p w14:paraId="392C3746" w14:textId="77777777" w:rsidR="00980E5F" w:rsidRDefault="00980E5F">
            <w:pPr>
              <w:rPr>
                <w:rFonts w:ascii="宋体"/>
                <w:vanish/>
              </w:rPr>
            </w:pPr>
          </w:p>
        </w:tc>
        <w:tc>
          <w:tcPr>
            <w:tcW w:w="0" w:type="auto"/>
            <w:gridSpan w:val="3"/>
            <w:shd w:val="clear" w:color="auto" w:fill="auto"/>
            <w:vAlign w:val="bottom"/>
          </w:tcPr>
          <w:p w14:paraId="392C3747" w14:textId="77777777" w:rsidR="00980E5F" w:rsidRDefault="00980E5F">
            <w:pPr>
              <w:rPr>
                <w:rFonts w:ascii="宋体"/>
                <w:vanish/>
              </w:rPr>
            </w:pPr>
          </w:p>
        </w:tc>
        <w:tc>
          <w:tcPr>
            <w:tcW w:w="0" w:type="auto"/>
            <w:gridSpan w:val="3"/>
            <w:shd w:val="clear" w:color="auto" w:fill="auto"/>
            <w:vAlign w:val="bottom"/>
          </w:tcPr>
          <w:p w14:paraId="392C3748" w14:textId="77777777" w:rsidR="00980E5F" w:rsidRDefault="00980E5F">
            <w:pPr>
              <w:rPr>
                <w:rFonts w:ascii="宋体"/>
                <w:vanish/>
              </w:rPr>
            </w:pPr>
          </w:p>
        </w:tc>
        <w:tc>
          <w:tcPr>
            <w:tcW w:w="0" w:type="auto"/>
            <w:gridSpan w:val="3"/>
            <w:shd w:val="clear" w:color="auto" w:fill="auto"/>
            <w:vAlign w:val="bottom"/>
          </w:tcPr>
          <w:p w14:paraId="392C3749" w14:textId="77777777" w:rsidR="00980E5F" w:rsidRDefault="00980E5F">
            <w:pPr>
              <w:rPr>
                <w:rFonts w:ascii="宋体"/>
                <w:vanish/>
              </w:rPr>
            </w:pPr>
          </w:p>
        </w:tc>
        <w:tc>
          <w:tcPr>
            <w:tcW w:w="0" w:type="auto"/>
            <w:gridSpan w:val="3"/>
            <w:shd w:val="clear" w:color="auto" w:fill="auto"/>
            <w:vAlign w:val="bottom"/>
          </w:tcPr>
          <w:p w14:paraId="392C374A" w14:textId="77777777" w:rsidR="00980E5F" w:rsidRDefault="00980E5F">
            <w:pPr>
              <w:rPr>
                <w:rFonts w:ascii="宋体"/>
                <w:vanish/>
              </w:rPr>
            </w:pPr>
          </w:p>
        </w:tc>
        <w:tc>
          <w:tcPr>
            <w:tcW w:w="0" w:type="auto"/>
            <w:gridSpan w:val="3"/>
            <w:shd w:val="clear" w:color="auto" w:fill="auto"/>
            <w:vAlign w:val="bottom"/>
          </w:tcPr>
          <w:p w14:paraId="392C374B" w14:textId="77777777" w:rsidR="00980E5F" w:rsidRDefault="00980E5F">
            <w:pPr>
              <w:rPr>
                <w:rFonts w:ascii="宋体"/>
                <w:vanish/>
              </w:rPr>
            </w:pPr>
          </w:p>
        </w:tc>
        <w:tc>
          <w:tcPr>
            <w:tcW w:w="0" w:type="auto"/>
            <w:gridSpan w:val="3"/>
            <w:shd w:val="clear" w:color="auto" w:fill="auto"/>
            <w:vAlign w:val="bottom"/>
          </w:tcPr>
          <w:p w14:paraId="392C374C" w14:textId="77777777" w:rsidR="00980E5F" w:rsidRDefault="00980E5F">
            <w:pPr>
              <w:rPr>
                <w:rFonts w:ascii="宋体"/>
                <w:vanish/>
              </w:rPr>
            </w:pPr>
          </w:p>
        </w:tc>
        <w:tc>
          <w:tcPr>
            <w:tcW w:w="0" w:type="auto"/>
            <w:gridSpan w:val="3"/>
            <w:shd w:val="clear" w:color="auto" w:fill="auto"/>
            <w:vAlign w:val="bottom"/>
          </w:tcPr>
          <w:p w14:paraId="392C374D" w14:textId="77777777" w:rsidR="00980E5F" w:rsidRDefault="00980E5F">
            <w:pPr>
              <w:rPr>
                <w:rFonts w:ascii="宋体"/>
                <w:vanish/>
              </w:rPr>
            </w:pPr>
          </w:p>
        </w:tc>
        <w:tc>
          <w:tcPr>
            <w:tcW w:w="0" w:type="auto"/>
            <w:gridSpan w:val="3"/>
            <w:shd w:val="clear" w:color="auto" w:fill="auto"/>
            <w:vAlign w:val="bottom"/>
          </w:tcPr>
          <w:p w14:paraId="392C374E" w14:textId="77777777" w:rsidR="00980E5F" w:rsidRDefault="00980E5F">
            <w:pPr>
              <w:rPr>
                <w:rFonts w:ascii="宋体"/>
                <w:vanish/>
              </w:rPr>
            </w:pPr>
          </w:p>
        </w:tc>
        <w:tc>
          <w:tcPr>
            <w:tcW w:w="0" w:type="auto"/>
            <w:gridSpan w:val="3"/>
            <w:shd w:val="clear" w:color="auto" w:fill="auto"/>
            <w:vAlign w:val="bottom"/>
          </w:tcPr>
          <w:p w14:paraId="392C374F" w14:textId="77777777" w:rsidR="00980E5F" w:rsidRDefault="00980E5F">
            <w:pPr>
              <w:rPr>
                <w:rFonts w:ascii="宋体"/>
                <w:vanish/>
              </w:rPr>
            </w:pPr>
          </w:p>
        </w:tc>
        <w:tc>
          <w:tcPr>
            <w:tcW w:w="0" w:type="auto"/>
            <w:gridSpan w:val="3"/>
            <w:shd w:val="clear" w:color="auto" w:fill="auto"/>
            <w:vAlign w:val="bottom"/>
          </w:tcPr>
          <w:p w14:paraId="392C3750" w14:textId="77777777" w:rsidR="00980E5F" w:rsidRDefault="00980E5F">
            <w:pPr>
              <w:rPr>
                <w:rFonts w:ascii="宋体"/>
                <w:vanish/>
              </w:rPr>
            </w:pPr>
          </w:p>
        </w:tc>
        <w:tc>
          <w:tcPr>
            <w:tcW w:w="0" w:type="auto"/>
            <w:gridSpan w:val="3"/>
            <w:shd w:val="clear" w:color="auto" w:fill="auto"/>
            <w:vAlign w:val="bottom"/>
          </w:tcPr>
          <w:p w14:paraId="392C3751" w14:textId="77777777" w:rsidR="00980E5F" w:rsidRDefault="00980E5F">
            <w:pPr>
              <w:rPr>
                <w:rFonts w:ascii="宋体"/>
                <w:vanish/>
              </w:rPr>
            </w:pPr>
          </w:p>
        </w:tc>
        <w:tc>
          <w:tcPr>
            <w:tcW w:w="0" w:type="auto"/>
            <w:gridSpan w:val="3"/>
            <w:shd w:val="clear" w:color="auto" w:fill="auto"/>
            <w:vAlign w:val="bottom"/>
          </w:tcPr>
          <w:p w14:paraId="392C3752" w14:textId="77777777" w:rsidR="00980E5F" w:rsidRDefault="00980E5F">
            <w:pPr>
              <w:rPr>
                <w:rFonts w:ascii="宋体"/>
                <w:vanish/>
              </w:rPr>
            </w:pPr>
          </w:p>
        </w:tc>
        <w:tc>
          <w:tcPr>
            <w:tcW w:w="0" w:type="auto"/>
            <w:gridSpan w:val="3"/>
            <w:shd w:val="clear" w:color="auto" w:fill="auto"/>
            <w:vAlign w:val="bottom"/>
          </w:tcPr>
          <w:p w14:paraId="392C3753" w14:textId="77777777" w:rsidR="00980E5F" w:rsidRDefault="00980E5F">
            <w:pPr>
              <w:rPr>
                <w:rFonts w:ascii="宋体"/>
                <w:vanish/>
              </w:rPr>
            </w:pPr>
          </w:p>
        </w:tc>
        <w:tc>
          <w:tcPr>
            <w:tcW w:w="0" w:type="auto"/>
            <w:gridSpan w:val="3"/>
            <w:shd w:val="clear" w:color="auto" w:fill="auto"/>
            <w:vAlign w:val="bottom"/>
          </w:tcPr>
          <w:p w14:paraId="392C3754" w14:textId="77777777" w:rsidR="00980E5F" w:rsidRDefault="00980E5F">
            <w:pPr>
              <w:rPr>
                <w:rFonts w:ascii="宋体"/>
                <w:vanish/>
              </w:rPr>
            </w:pPr>
          </w:p>
        </w:tc>
      </w:tr>
      <w:tr w:rsidR="00980E5F" w14:paraId="392C3768" w14:textId="77777777">
        <w:trPr>
          <w:jc w:val="center"/>
          <w:hidden/>
        </w:trPr>
        <w:tc>
          <w:tcPr>
            <w:tcW w:w="0" w:type="auto"/>
            <w:gridSpan w:val="3"/>
            <w:shd w:val="clear" w:color="auto" w:fill="auto"/>
            <w:vAlign w:val="bottom"/>
          </w:tcPr>
          <w:p w14:paraId="392C3756" w14:textId="77777777" w:rsidR="00980E5F" w:rsidRDefault="00980E5F">
            <w:pPr>
              <w:rPr>
                <w:rFonts w:ascii="宋体"/>
                <w:vanish/>
              </w:rPr>
            </w:pPr>
          </w:p>
        </w:tc>
        <w:tc>
          <w:tcPr>
            <w:tcW w:w="0" w:type="auto"/>
            <w:gridSpan w:val="3"/>
            <w:shd w:val="clear" w:color="auto" w:fill="auto"/>
            <w:vAlign w:val="bottom"/>
          </w:tcPr>
          <w:p w14:paraId="392C3757" w14:textId="77777777" w:rsidR="00980E5F" w:rsidRDefault="00980E5F">
            <w:pPr>
              <w:rPr>
                <w:rFonts w:ascii="宋体"/>
                <w:vanish/>
              </w:rPr>
            </w:pPr>
          </w:p>
        </w:tc>
        <w:tc>
          <w:tcPr>
            <w:tcW w:w="0" w:type="auto"/>
            <w:gridSpan w:val="3"/>
            <w:shd w:val="clear" w:color="auto" w:fill="auto"/>
            <w:vAlign w:val="bottom"/>
          </w:tcPr>
          <w:p w14:paraId="392C3758" w14:textId="77777777" w:rsidR="00980E5F" w:rsidRDefault="00980E5F">
            <w:pPr>
              <w:rPr>
                <w:rFonts w:ascii="宋体"/>
                <w:vanish/>
              </w:rPr>
            </w:pPr>
          </w:p>
        </w:tc>
        <w:tc>
          <w:tcPr>
            <w:tcW w:w="0" w:type="auto"/>
            <w:gridSpan w:val="3"/>
            <w:shd w:val="clear" w:color="auto" w:fill="auto"/>
            <w:vAlign w:val="bottom"/>
          </w:tcPr>
          <w:p w14:paraId="392C3759" w14:textId="77777777" w:rsidR="00980E5F" w:rsidRDefault="00980E5F">
            <w:pPr>
              <w:rPr>
                <w:rFonts w:ascii="宋体"/>
                <w:vanish/>
              </w:rPr>
            </w:pPr>
          </w:p>
        </w:tc>
        <w:tc>
          <w:tcPr>
            <w:tcW w:w="0" w:type="auto"/>
            <w:gridSpan w:val="3"/>
            <w:shd w:val="clear" w:color="auto" w:fill="auto"/>
            <w:vAlign w:val="bottom"/>
          </w:tcPr>
          <w:p w14:paraId="392C375A" w14:textId="77777777" w:rsidR="00980E5F" w:rsidRDefault="00980E5F">
            <w:pPr>
              <w:rPr>
                <w:rFonts w:ascii="宋体"/>
                <w:vanish/>
              </w:rPr>
            </w:pPr>
          </w:p>
        </w:tc>
        <w:tc>
          <w:tcPr>
            <w:tcW w:w="0" w:type="auto"/>
            <w:gridSpan w:val="3"/>
            <w:shd w:val="clear" w:color="auto" w:fill="auto"/>
            <w:vAlign w:val="bottom"/>
          </w:tcPr>
          <w:p w14:paraId="392C375B" w14:textId="77777777" w:rsidR="00980E5F" w:rsidRDefault="00980E5F">
            <w:pPr>
              <w:rPr>
                <w:rFonts w:ascii="宋体"/>
                <w:vanish/>
              </w:rPr>
            </w:pPr>
          </w:p>
        </w:tc>
        <w:tc>
          <w:tcPr>
            <w:tcW w:w="0" w:type="auto"/>
            <w:gridSpan w:val="3"/>
            <w:shd w:val="clear" w:color="auto" w:fill="auto"/>
            <w:vAlign w:val="bottom"/>
          </w:tcPr>
          <w:p w14:paraId="392C375C" w14:textId="77777777" w:rsidR="00980E5F" w:rsidRDefault="00980E5F">
            <w:pPr>
              <w:rPr>
                <w:rFonts w:ascii="宋体"/>
                <w:vanish/>
              </w:rPr>
            </w:pPr>
          </w:p>
        </w:tc>
        <w:tc>
          <w:tcPr>
            <w:tcW w:w="0" w:type="auto"/>
            <w:gridSpan w:val="3"/>
            <w:shd w:val="clear" w:color="auto" w:fill="auto"/>
            <w:vAlign w:val="bottom"/>
          </w:tcPr>
          <w:p w14:paraId="392C375D" w14:textId="77777777" w:rsidR="00980E5F" w:rsidRDefault="00980E5F">
            <w:pPr>
              <w:rPr>
                <w:rFonts w:ascii="宋体"/>
                <w:vanish/>
              </w:rPr>
            </w:pPr>
          </w:p>
        </w:tc>
        <w:tc>
          <w:tcPr>
            <w:tcW w:w="0" w:type="auto"/>
            <w:gridSpan w:val="3"/>
            <w:shd w:val="clear" w:color="auto" w:fill="auto"/>
            <w:vAlign w:val="bottom"/>
          </w:tcPr>
          <w:p w14:paraId="392C375E" w14:textId="77777777" w:rsidR="00980E5F" w:rsidRDefault="00980E5F">
            <w:pPr>
              <w:rPr>
                <w:rFonts w:ascii="宋体"/>
                <w:vanish/>
              </w:rPr>
            </w:pPr>
          </w:p>
        </w:tc>
        <w:tc>
          <w:tcPr>
            <w:tcW w:w="0" w:type="auto"/>
            <w:gridSpan w:val="3"/>
            <w:shd w:val="clear" w:color="auto" w:fill="auto"/>
            <w:vAlign w:val="bottom"/>
          </w:tcPr>
          <w:p w14:paraId="392C375F" w14:textId="77777777" w:rsidR="00980E5F" w:rsidRDefault="00980E5F">
            <w:pPr>
              <w:rPr>
                <w:rFonts w:ascii="宋体"/>
                <w:vanish/>
              </w:rPr>
            </w:pPr>
          </w:p>
        </w:tc>
        <w:tc>
          <w:tcPr>
            <w:tcW w:w="0" w:type="auto"/>
            <w:gridSpan w:val="3"/>
            <w:shd w:val="clear" w:color="auto" w:fill="auto"/>
            <w:vAlign w:val="bottom"/>
          </w:tcPr>
          <w:p w14:paraId="392C3760" w14:textId="77777777" w:rsidR="00980E5F" w:rsidRDefault="00980E5F">
            <w:pPr>
              <w:rPr>
                <w:rFonts w:ascii="宋体"/>
                <w:vanish/>
              </w:rPr>
            </w:pPr>
          </w:p>
        </w:tc>
        <w:tc>
          <w:tcPr>
            <w:tcW w:w="0" w:type="auto"/>
            <w:gridSpan w:val="3"/>
            <w:shd w:val="clear" w:color="auto" w:fill="auto"/>
            <w:vAlign w:val="bottom"/>
          </w:tcPr>
          <w:p w14:paraId="392C3761" w14:textId="77777777" w:rsidR="00980E5F" w:rsidRDefault="00980E5F">
            <w:pPr>
              <w:rPr>
                <w:rFonts w:ascii="宋体"/>
                <w:vanish/>
              </w:rPr>
            </w:pPr>
          </w:p>
        </w:tc>
        <w:tc>
          <w:tcPr>
            <w:tcW w:w="0" w:type="auto"/>
            <w:gridSpan w:val="3"/>
            <w:shd w:val="clear" w:color="auto" w:fill="auto"/>
            <w:vAlign w:val="bottom"/>
          </w:tcPr>
          <w:p w14:paraId="392C3762" w14:textId="77777777" w:rsidR="00980E5F" w:rsidRDefault="00980E5F">
            <w:pPr>
              <w:rPr>
                <w:rFonts w:ascii="宋体"/>
                <w:vanish/>
              </w:rPr>
            </w:pPr>
          </w:p>
        </w:tc>
        <w:tc>
          <w:tcPr>
            <w:tcW w:w="0" w:type="auto"/>
            <w:gridSpan w:val="3"/>
            <w:shd w:val="clear" w:color="auto" w:fill="auto"/>
            <w:vAlign w:val="bottom"/>
          </w:tcPr>
          <w:p w14:paraId="392C3763" w14:textId="77777777" w:rsidR="00980E5F" w:rsidRDefault="00980E5F">
            <w:pPr>
              <w:rPr>
                <w:rFonts w:ascii="宋体"/>
                <w:vanish/>
              </w:rPr>
            </w:pPr>
          </w:p>
        </w:tc>
        <w:tc>
          <w:tcPr>
            <w:tcW w:w="0" w:type="auto"/>
            <w:gridSpan w:val="3"/>
            <w:shd w:val="clear" w:color="auto" w:fill="auto"/>
            <w:vAlign w:val="bottom"/>
          </w:tcPr>
          <w:p w14:paraId="392C3764" w14:textId="77777777" w:rsidR="00980E5F" w:rsidRDefault="00980E5F">
            <w:pPr>
              <w:rPr>
                <w:rFonts w:ascii="宋体"/>
                <w:vanish/>
              </w:rPr>
            </w:pPr>
          </w:p>
        </w:tc>
        <w:tc>
          <w:tcPr>
            <w:tcW w:w="0" w:type="auto"/>
            <w:gridSpan w:val="3"/>
            <w:shd w:val="clear" w:color="auto" w:fill="auto"/>
            <w:vAlign w:val="bottom"/>
          </w:tcPr>
          <w:p w14:paraId="392C3765" w14:textId="77777777" w:rsidR="00980E5F" w:rsidRDefault="00980E5F">
            <w:pPr>
              <w:rPr>
                <w:rFonts w:ascii="宋体"/>
                <w:vanish/>
              </w:rPr>
            </w:pPr>
          </w:p>
        </w:tc>
        <w:tc>
          <w:tcPr>
            <w:tcW w:w="0" w:type="auto"/>
            <w:gridSpan w:val="3"/>
            <w:shd w:val="clear" w:color="auto" w:fill="auto"/>
            <w:vAlign w:val="bottom"/>
          </w:tcPr>
          <w:p w14:paraId="392C3766" w14:textId="77777777" w:rsidR="00980E5F" w:rsidRDefault="00980E5F">
            <w:pPr>
              <w:rPr>
                <w:rFonts w:ascii="宋体"/>
                <w:vanish/>
              </w:rPr>
            </w:pPr>
          </w:p>
        </w:tc>
        <w:tc>
          <w:tcPr>
            <w:tcW w:w="0" w:type="auto"/>
            <w:gridSpan w:val="3"/>
            <w:shd w:val="clear" w:color="auto" w:fill="auto"/>
            <w:vAlign w:val="bottom"/>
          </w:tcPr>
          <w:p w14:paraId="392C3767" w14:textId="77777777" w:rsidR="00980E5F" w:rsidRDefault="00980E5F">
            <w:pPr>
              <w:rPr>
                <w:rFonts w:ascii="宋体"/>
                <w:vanish/>
              </w:rPr>
            </w:pPr>
          </w:p>
        </w:tc>
      </w:tr>
      <w:tr w:rsidR="00980E5F" w14:paraId="392C377B" w14:textId="77777777">
        <w:trPr>
          <w:jc w:val="center"/>
          <w:hidden/>
        </w:trPr>
        <w:tc>
          <w:tcPr>
            <w:tcW w:w="0" w:type="auto"/>
            <w:gridSpan w:val="3"/>
            <w:shd w:val="clear" w:color="auto" w:fill="auto"/>
            <w:vAlign w:val="bottom"/>
          </w:tcPr>
          <w:p w14:paraId="392C3769" w14:textId="77777777" w:rsidR="00980E5F" w:rsidRDefault="00980E5F">
            <w:pPr>
              <w:rPr>
                <w:rFonts w:ascii="宋体"/>
                <w:vanish/>
              </w:rPr>
            </w:pPr>
          </w:p>
        </w:tc>
        <w:tc>
          <w:tcPr>
            <w:tcW w:w="0" w:type="auto"/>
            <w:gridSpan w:val="3"/>
            <w:shd w:val="clear" w:color="auto" w:fill="auto"/>
            <w:vAlign w:val="bottom"/>
          </w:tcPr>
          <w:p w14:paraId="392C376A" w14:textId="77777777" w:rsidR="00980E5F" w:rsidRDefault="00980E5F">
            <w:pPr>
              <w:rPr>
                <w:rFonts w:ascii="宋体"/>
                <w:vanish/>
              </w:rPr>
            </w:pPr>
          </w:p>
        </w:tc>
        <w:tc>
          <w:tcPr>
            <w:tcW w:w="0" w:type="auto"/>
            <w:gridSpan w:val="3"/>
            <w:shd w:val="clear" w:color="auto" w:fill="auto"/>
            <w:vAlign w:val="bottom"/>
          </w:tcPr>
          <w:p w14:paraId="392C376B" w14:textId="77777777" w:rsidR="00980E5F" w:rsidRDefault="00980E5F">
            <w:pPr>
              <w:rPr>
                <w:rFonts w:ascii="宋体"/>
                <w:vanish/>
              </w:rPr>
            </w:pPr>
          </w:p>
        </w:tc>
        <w:tc>
          <w:tcPr>
            <w:tcW w:w="0" w:type="auto"/>
            <w:gridSpan w:val="3"/>
            <w:shd w:val="clear" w:color="auto" w:fill="auto"/>
            <w:vAlign w:val="bottom"/>
          </w:tcPr>
          <w:p w14:paraId="392C376C" w14:textId="77777777" w:rsidR="00980E5F" w:rsidRDefault="00980E5F">
            <w:pPr>
              <w:rPr>
                <w:rFonts w:ascii="宋体"/>
                <w:vanish/>
              </w:rPr>
            </w:pPr>
          </w:p>
        </w:tc>
        <w:tc>
          <w:tcPr>
            <w:tcW w:w="0" w:type="auto"/>
            <w:gridSpan w:val="3"/>
            <w:shd w:val="clear" w:color="auto" w:fill="auto"/>
            <w:vAlign w:val="bottom"/>
          </w:tcPr>
          <w:p w14:paraId="392C376D" w14:textId="77777777" w:rsidR="00980E5F" w:rsidRDefault="00980E5F">
            <w:pPr>
              <w:rPr>
                <w:rFonts w:ascii="宋体"/>
                <w:vanish/>
              </w:rPr>
            </w:pPr>
          </w:p>
        </w:tc>
        <w:tc>
          <w:tcPr>
            <w:tcW w:w="0" w:type="auto"/>
            <w:gridSpan w:val="3"/>
            <w:shd w:val="clear" w:color="auto" w:fill="auto"/>
            <w:vAlign w:val="bottom"/>
          </w:tcPr>
          <w:p w14:paraId="392C376E" w14:textId="77777777" w:rsidR="00980E5F" w:rsidRDefault="00980E5F">
            <w:pPr>
              <w:rPr>
                <w:rFonts w:ascii="宋体"/>
                <w:vanish/>
              </w:rPr>
            </w:pPr>
          </w:p>
        </w:tc>
        <w:tc>
          <w:tcPr>
            <w:tcW w:w="0" w:type="auto"/>
            <w:gridSpan w:val="3"/>
            <w:shd w:val="clear" w:color="auto" w:fill="auto"/>
            <w:vAlign w:val="bottom"/>
          </w:tcPr>
          <w:p w14:paraId="392C376F" w14:textId="77777777" w:rsidR="00980E5F" w:rsidRDefault="00980E5F">
            <w:pPr>
              <w:rPr>
                <w:rFonts w:ascii="宋体"/>
                <w:vanish/>
              </w:rPr>
            </w:pPr>
          </w:p>
        </w:tc>
        <w:tc>
          <w:tcPr>
            <w:tcW w:w="0" w:type="auto"/>
            <w:gridSpan w:val="3"/>
            <w:shd w:val="clear" w:color="auto" w:fill="auto"/>
            <w:vAlign w:val="bottom"/>
          </w:tcPr>
          <w:p w14:paraId="392C3770" w14:textId="77777777" w:rsidR="00980E5F" w:rsidRDefault="00980E5F">
            <w:pPr>
              <w:rPr>
                <w:rFonts w:ascii="宋体"/>
                <w:vanish/>
              </w:rPr>
            </w:pPr>
          </w:p>
        </w:tc>
        <w:tc>
          <w:tcPr>
            <w:tcW w:w="0" w:type="auto"/>
            <w:gridSpan w:val="3"/>
            <w:shd w:val="clear" w:color="auto" w:fill="auto"/>
            <w:vAlign w:val="bottom"/>
          </w:tcPr>
          <w:p w14:paraId="392C3771" w14:textId="77777777" w:rsidR="00980E5F" w:rsidRDefault="00980E5F">
            <w:pPr>
              <w:rPr>
                <w:rFonts w:ascii="宋体"/>
                <w:vanish/>
              </w:rPr>
            </w:pPr>
          </w:p>
        </w:tc>
        <w:tc>
          <w:tcPr>
            <w:tcW w:w="0" w:type="auto"/>
            <w:gridSpan w:val="3"/>
            <w:shd w:val="clear" w:color="auto" w:fill="auto"/>
            <w:vAlign w:val="bottom"/>
          </w:tcPr>
          <w:p w14:paraId="392C3772" w14:textId="77777777" w:rsidR="00980E5F" w:rsidRDefault="00980E5F">
            <w:pPr>
              <w:rPr>
                <w:rFonts w:ascii="宋体"/>
                <w:vanish/>
              </w:rPr>
            </w:pPr>
          </w:p>
        </w:tc>
        <w:tc>
          <w:tcPr>
            <w:tcW w:w="0" w:type="auto"/>
            <w:gridSpan w:val="3"/>
            <w:shd w:val="clear" w:color="auto" w:fill="auto"/>
            <w:vAlign w:val="bottom"/>
          </w:tcPr>
          <w:p w14:paraId="392C3773" w14:textId="77777777" w:rsidR="00980E5F" w:rsidRDefault="00980E5F">
            <w:pPr>
              <w:rPr>
                <w:rFonts w:ascii="宋体"/>
                <w:vanish/>
              </w:rPr>
            </w:pPr>
          </w:p>
        </w:tc>
        <w:tc>
          <w:tcPr>
            <w:tcW w:w="0" w:type="auto"/>
            <w:gridSpan w:val="3"/>
            <w:shd w:val="clear" w:color="auto" w:fill="auto"/>
            <w:vAlign w:val="bottom"/>
          </w:tcPr>
          <w:p w14:paraId="392C3774" w14:textId="77777777" w:rsidR="00980E5F" w:rsidRDefault="00980E5F">
            <w:pPr>
              <w:rPr>
                <w:rFonts w:ascii="宋体"/>
                <w:vanish/>
              </w:rPr>
            </w:pPr>
          </w:p>
        </w:tc>
        <w:tc>
          <w:tcPr>
            <w:tcW w:w="0" w:type="auto"/>
            <w:gridSpan w:val="3"/>
            <w:shd w:val="clear" w:color="auto" w:fill="auto"/>
            <w:vAlign w:val="bottom"/>
          </w:tcPr>
          <w:p w14:paraId="392C3775" w14:textId="77777777" w:rsidR="00980E5F" w:rsidRDefault="00980E5F">
            <w:pPr>
              <w:rPr>
                <w:rFonts w:ascii="宋体"/>
                <w:vanish/>
              </w:rPr>
            </w:pPr>
          </w:p>
        </w:tc>
        <w:tc>
          <w:tcPr>
            <w:tcW w:w="0" w:type="auto"/>
            <w:gridSpan w:val="3"/>
            <w:shd w:val="clear" w:color="auto" w:fill="auto"/>
            <w:vAlign w:val="bottom"/>
          </w:tcPr>
          <w:p w14:paraId="392C3776" w14:textId="77777777" w:rsidR="00980E5F" w:rsidRDefault="00980E5F">
            <w:pPr>
              <w:rPr>
                <w:rFonts w:ascii="宋体"/>
                <w:vanish/>
              </w:rPr>
            </w:pPr>
          </w:p>
        </w:tc>
        <w:tc>
          <w:tcPr>
            <w:tcW w:w="0" w:type="auto"/>
            <w:gridSpan w:val="3"/>
            <w:shd w:val="clear" w:color="auto" w:fill="auto"/>
            <w:vAlign w:val="bottom"/>
          </w:tcPr>
          <w:p w14:paraId="392C3777" w14:textId="77777777" w:rsidR="00980E5F" w:rsidRDefault="00980E5F">
            <w:pPr>
              <w:rPr>
                <w:rFonts w:ascii="宋体"/>
                <w:vanish/>
              </w:rPr>
            </w:pPr>
          </w:p>
        </w:tc>
        <w:tc>
          <w:tcPr>
            <w:tcW w:w="0" w:type="auto"/>
            <w:gridSpan w:val="3"/>
            <w:shd w:val="clear" w:color="auto" w:fill="auto"/>
            <w:vAlign w:val="bottom"/>
          </w:tcPr>
          <w:p w14:paraId="392C3778" w14:textId="77777777" w:rsidR="00980E5F" w:rsidRDefault="00980E5F">
            <w:pPr>
              <w:rPr>
                <w:rFonts w:ascii="宋体"/>
                <w:vanish/>
              </w:rPr>
            </w:pPr>
          </w:p>
        </w:tc>
        <w:tc>
          <w:tcPr>
            <w:tcW w:w="0" w:type="auto"/>
            <w:gridSpan w:val="3"/>
            <w:shd w:val="clear" w:color="auto" w:fill="auto"/>
            <w:vAlign w:val="bottom"/>
          </w:tcPr>
          <w:p w14:paraId="392C3779" w14:textId="77777777" w:rsidR="00980E5F" w:rsidRDefault="00980E5F">
            <w:pPr>
              <w:rPr>
                <w:rFonts w:ascii="宋体"/>
                <w:vanish/>
              </w:rPr>
            </w:pPr>
          </w:p>
        </w:tc>
        <w:tc>
          <w:tcPr>
            <w:tcW w:w="0" w:type="auto"/>
            <w:gridSpan w:val="3"/>
            <w:shd w:val="clear" w:color="auto" w:fill="auto"/>
            <w:vAlign w:val="bottom"/>
          </w:tcPr>
          <w:p w14:paraId="392C377A" w14:textId="77777777" w:rsidR="00980E5F" w:rsidRDefault="00980E5F">
            <w:pPr>
              <w:rPr>
                <w:rFonts w:ascii="宋体"/>
                <w:vanish/>
              </w:rPr>
            </w:pPr>
          </w:p>
        </w:tc>
      </w:tr>
      <w:tr w:rsidR="00980E5F" w14:paraId="392C378E" w14:textId="77777777">
        <w:trPr>
          <w:jc w:val="center"/>
          <w:hidden/>
        </w:trPr>
        <w:tc>
          <w:tcPr>
            <w:tcW w:w="0" w:type="auto"/>
            <w:gridSpan w:val="3"/>
            <w:shd w:val="clear" w:color="auto" w:fill="auto"/>
            <w:vAlign w:val="bottom"/>
          </w:tcPr>
          <w:p w14:paraId="392C377C" w14:textId="77777777" w:rsidR="00980E5F" w:rsidRDefault="00980E5F">
            <w:pPr>
              <w:rPr>
                <w:rFonts w:ascii="宋体"/>
                <w:vanish/>
              </w:rPr>
            </w:pPr>
          </w:p>
        </w:tc>
        <w:tc>
          <w:tcPr>
            <w:tcW w:w="0" w:type="auto"/>
            <w:gridSpan w:val="3"/>
            <w:shd w:val="clear" w:color="auto" w:fill="auto"/>
            <w:vAlign w:val="bottom"/>
          </w:tcPr>
          <w:p w14:paraId="392C377D" w14:textId="77777777" w:rsidR="00980E5F" w:rsidRDefault="00980E5F">
            <w:pPr>
              <w:rPr>
                <w:rFonts w:ascii="宋体"/>
                <w:vanish/>
              </w:rPr>
            </w:pPr>
          </w:p>
        </w:tc>
        <w:tc>
          <w:tcPr>
            <w:tcW w:w="0" w:type="auto"/>
            <w:gridSpan w:val="3"/>
            <w:shd w:val="clear" w:color="auto" w:fill="auto"/>
            <w:vAlign w:val="bottom"/>
          </w:tcPr>
          <w:p w14:paraId="392C377E" w14:textId="77777777" w:rsidR="00980E5F" w:rsidRDefault="00980E5F">
            <w:pPr>
              <w:rPr>
                <w:rFonts w:ascii="宋体"/>
                <w:vanish/>
              </w:rPr>
            </w:pPr>
          </w:p>
        </w:tc>
        <w:tc>
          <w:tcPr>
            <w:tcW w:w="0" w:type="auto"/>
            <w:gridSpan w:val="3"/>
            <w:shd w:val="clear" w:color="auto" w:fill="auto"/>
            <w:vAlign w:val="bottom"/>
          </w:tcPr>
          <w:p w14:paraId="392C377F" w14:textId="77777777" w:rsidR="00980E5F" w:rsidRDefault="00980E5F">
            <w:pPr>
              <w:rPr>
                <w:rFonts w:ascii="宋体"/>
                <w:vanish/>
              </w:rPr>
            </w:pPr>
          </w:p>
        </w:tc>
        <w:tc>
          <w:tcPr>
            <w:tcW w:w="0" w:type="auto"/>
            <w:gridSpan w:val="3"/>
            <w:shd w:val="clear" w:color="auto" w:fill="auto"/>
            <w:vAlign w:val="bottom"/>
          </w:tcPr>
          <w:p w14:paraId="392C3780" w14:textId="77777777" w:rsidR="00980E5F" w:rsidRDefault="00980E5F">
            <w:pPr>
              <w:rPr>
                <w:rFonts w:ascii="宋体"/>
                <w:vanish/>
              </w:rPr>
            </w:pPr>
          </w:p>
        </w:tc>
        <w:tc>
          <w:tcPr>
            <w:tcW w:w="0" w:type="auto"/>
            <w:gridSpan w:val="3"/>
            <w:shd w:val="clear" w:color="auto" w:fill="auto"/>
            <w:vAlign w:val="bottom"/>
          </w:tcPr>
          <w:p w14:paraId="392C3781" w14:textId="77777777" w:rsidR="00980E5F" w:rsidRDefault="00980E5F">
            <w:pPr>
              <w:rPr>
                <w:rFonts w:ascii="宋体"/>
                <w:vanish/>
              </w:rPr>
            </w:pPr>
          </w:p>
        </w:tc>
        <w:tc>
          <w:tcPr>
            <w:tcW w:w="0" w:type="auto"/>
            <w:gridSpan w:val="3"/>
            <w:shd w:val="clear" w:color="auto" w:fill="auto"/>
            <w:vAlign w:val="bottom"/>
          </w:tcPr>
          <w:p w14:paraId="392C3782" w14:textId="77777777" w:rsidR="00980E5F" w:rsidRDefault="00980E5F">
            <w:pPr>
              <w:rPr>
                <w:rFonts w:ascii="宋体"/>
                <w:vanish/>
              </w:rPr>
            </w:pPr>
          </w:p>
        </w:tc>
        <w:tc>
          <w:tcPr>
            <w:tcW w:w="0" w:type="auto"/>
            <w:gridSpan w:val="3"/>
            <w:shd w:val="clear" w:color="auto" w:fill="auto"/>
            <w:vAlign w:val="bottom"/>
          </w:tcPr>
          <w:p w14:paraId="392C3783" w14:textId="77777777" w:rsidR="00980E5F" w:rsidRDefault="00980E5F">
            <w:pPr>
              <w:rPr>
                <w:rFonts w:ascii="宋体"/>
                <w:vanish/>
              </w:rPr>
            </w:pPr>
          </w:p>
        </w:tc>
        <w:tc>
          <w:tcPr>
            <w:tcW w:w="0" w:type="auto"/>
            <w:gridSpan w:val="3"/>
            <w:shd w:val="clear" w:color="auto" w:fill="auto"/>
            <w:vAlign w:val="bottom"/>
          </w:tcPr>
          <w:p w14:paraId="392C3784" w14:textId="77777777" w:rsidR="00980E5F" w:rsidRDefault="00980E5F">
            <w:pPr>
              <w:rPr>
                <w:rFonts w:ascii="宋体"/>
                <w:vanish/>
              </w:rPr>
            </w:pPr>
          </w:p>
        </w:tc>
        <w:tc>
          <w:tcPr>
            <w:tcW w:w="0" w:type="auto"/>
            <w:gridSpan w:val="3"/>
            <w:shd w:val="clear" w:color="auto" w:fill="auto"/>
            <w:vAlign w:val="bottom"/>
          </w:tcPr>
          <w:p w14:paraId="392C3785" w14:textId="77777777" w:rsidR="00980E5F" w:rsidRDefault="00980E5F">
            <w:pPr>
              <w:rPr>
                <w:rFonts w:ascii="宋体"/>
                <w:vanish/>
              </w:rPr>
            </w:pPr>
          </w:p>
        </w:tc>
        <w:tc>
          <w:tcPr>
            <w:tcW w:w="0" w:type="auto"/>
            <w:gridSpan w:val="3"/>
            <w:shd w:val="clear" w:color="auto" w:fill="auto"/>
            <w:vAlign w:val="bottom"/>
          </w:tcPr>
          <w:p w14:paraId="392C3786" w14:textId="77777777" w:rsidR="00980E5F" w:rsidRDefault="00980E5F">
            <w:pPr>
              <w:rPr>
                <w:rFonts w:ascii="宋体"/>
                <w:vanish/>
              </w:rPr>
            </w:pPr>
          </w:p>
        </w:tc>
        <w:tc>
          <w:tcPr>
            <w:tcW w:w="0" w:type="auto"/>
            <w:gridSpan w:val="3"/>
            <w:shd w:val="clear" w:color="auto" w:fill="auto"/>
            <w:vAlign w:val="bottom"/>
          </w:tcPr>
          <w:p w14:paraId="392C3787" w14:textId="77777777" w:rsidR="00980E5F" w:rsidRDefault="00980E5F">
            <w:pPr>
              <w:rPr>
                <w:rFonts w:ascii="宋体"/>
                <w:vanish/>
              </w:rPr>
            </w:pPr>
          </w:p>
        </w:tc>
        <w:tc>
          <w:tcPr>
            <w:tcW w:w="0" w:type="auto"/>
            <w:gridSpan w:val="3"/>
            <w:shd w:val="clear" w:color="auto" w:fill="auto"/>
            <w:vAlign w:val="bottom"/>
          </w:tcPr>
          <w:p w14:paraId="392C3788" w14:textId="77777777" w:rsidR="00980E5F" w:rsidRDefault="00980E5F">
            <w:pPr>
              <w:rPr>
                <w:rFonts w:ascii="宋体"/>
                <w:vanish/>
              </w:rPr>
            </w:pPr>
          </w:p>
        </w:tc>
        <w:tc>
          <w:tcPr>
            <w:tcW w:w="0" w:type="auto"/>
            <w:gridSpan w:val="3"/>
            <w:shd w:val="clear" w:color="auto" w:fill="auto"/>
            <w:vAlign w:val="bottom"/>
          </w:tcPr>
          <w:p w14:paraId="392C3789" w14:textId="77777777" w:rsidR="00980E5F" w:rsidRDefault="00980E5F">
            <w:pPr>
              <w:rPr>
                <w:rFonts w:ascii="宋体"/>
                <w:vanish/>
              </w:rPr>
            </w:pPr>
          </w:p>
        </w:tc>
        <w:tc>
          <w:tcPr>
            <w:tcW w:w="0" w:type="auto"/>
            <w:gridSpan w:val="3"/>
            <w:shd w:val="clear" w:color="auto" w:fill="auto"/>
            <w:vAlign w:val="bottom"/>
          </w:tcPr>
          <w:p w14:paraId="392C378A" w14:textId="77777777" w:rsidR="00980E5F" w:rsidRDefault="00980E5F">
            <w:pPr>
              <w:rPr>
                <w:rFonts w:ascii="宋体"/>
                <w:vanish/>
              </w:rPr>
            </w:pPr>
          </w:p>
        </w:tc>
        <w:tc>
          <w:tcPr>
            <w:tcW w:w="0" w:type="auto"/>
            <w:gridSpan w:val="3"/>
            <w:shd w:val="clear" w:color="auto" w:fill="auto"/>
            <w:vAlign w:val="bottom"/>
          </w:tcPr>
          <w:p w14:paraId="392C378B" w14:textId="77777777" w:rsidR="00980E5F" w:rsidRDefault="00980E5F">
            <w:pPr>
              <w:rPr>
                <w:rFonts w:ascii="宋体"/>
                <w:vanish/>
              </w:rPr>
            </w:pPr>
          </w:p>
        </w:tc>
        <w:tc>
          <w:tcPr>
            <w:tcW w:w="0" w:type="auto"/>
            <w:gridSpan w:val="3"/>
            <w:shd w:val="clear" w:color="auto" w:fill="auto"/>
            <w:vAlign w:val="bottom"/>
          </w:tcPr>
          <w:p w14:paraId="392C378C" w14:textId="77777777" w:rsidR="00980E5F" w:rsidRDefault="00980E5F">
            <w:pPr>
              <w:rPr>
                <w:rFonts w:ascii="宋体"/>
                <w:vanish/>
              </w:rPr>
            </w:pPr>
          </w:p>
        </w:tc>
        <w:tc>
          <w:tcPr>
            <w:tcW w:w="0" w:type="auto"/>
            <w:gridSpan w:val="3"/>
            <w:shd w:val="clear" w:color="auto" w:fill="auto"/>
            <w:vAlign w:val="bottom"/>
          </w:tcPr>
          <w:p w14:paraId="392C378D" w14:textId="77777777" w:rsidR="00980E5F" w:rsidRDefault="00980E5F">
            <w:pPr>
              <w:rPr>
                <w:rFonts w:ascii="宋体"/>
                <w:vanish/>
              </w:rPr>
            </w:pPr>
          </w:p>
        </w:tc>
      </w:tr>
      <w:tr w:rsidR="00980E5F" w14:paraId="392C37A1" w14:textId="77777777">
        <w:trPr>
          <w:jc w:val="center"/>
          <w:hidden/>
        </w:trPr>
        <w:tc>
          <w:tcPr>
            <w:tcW w:w="0" w:type="auto"/>
            <w:gridSpan w:val="3"/>
            <w:shd w:val="clear" w:color="auto" w:fill="auto"/>
            <w:vAlign w:val="bottom"/>
          </w:tcPr>
          <w:p w14:paraId="392C378F" w14:textId="77777777" w:rsidR="00980E5F" w:rsidRDefault="00980E5F">
            <w:pPr>
              <w:rPr>
                <w:rFonts w:ascii="宋体"/>
                <w:vanish/>
              </w:rPr>
            </w:pPr>
          </w:p>
        </w:tc>
        <w:tc>
          <w:tcPr>
            <w:tcW w:w="0" w:type="auto"/>
            <w:gridSpan w:val="3"/>
            <w:shd w:val="clear" w:color="auto" w:fill="auto"/>
            <w:vAlign w:val="bottom"/>
          </w:tcPr>
          <w:p w14:paraId="392C3790" w14:textId="77777777" w:rsidR="00980E5F" w:rsidRDefault="00980E5F">
            <w:pPr>
              <w:rPr>
                <w:rFonts w:ascii="宋体"/>
                <w:vanish/>
              </w:rPr>
            </w:pPr>
          </w:p>
        </w:tc>
        <w:tc>
          <w:tcPr>
            <w:tcW w:w="0" w:type="auto"/>
            <w:gridSpan w:val="3"/>
            <w:shd w:val="clear" w:color="auto" w:fill="auto"/>
            <w:vAlign w:val="bottom"/>
          </w:tcPr>
          <w:p w14:paraId="392C3791" w14:textId="77777777" w:rsidR="00980E5F" w:rsidRDefault="00980E5F">
            <w:pPr>
              <w:rPr>
                <w:rFonts w:ascii="宋体"/>
                <w:vanish/>
              </w:rPr>
            </w:pPr>
          </w:p>
        </w:tc>
        <w:tc>
          <w:tcPr>
            <w:tcW w:w="0" w:type="auto"/>
            <w:gridSpan w:val="3"/>
            <w:shd w:val="clear" w:color="auto" w:fill="auto"/>
            <w:vAlign w:val="bottom"/>
          </w:tcPr>
          <w:p w14:paraId="392C3792" w14:textId="77777777" w:rsidR="00980E5F" w:rsidRDefault="00980E5F">
            <w:pPr>
              <w:rPr>
                <w:rFonts w:ascii="宋体"/>
                <w:vanish/>
              </w:rPr>
            </w:pPr>
          </w:p>
        </w:tc>
        <w:tc>
          <w:tcPr>
            <w:tcW w:w="0" w:type="auto"/>
            <w:gridSpan w:val="3"/>
            <w:shd w:val="clear" w:color="auto" w:fill="auto"/>
            <w:vAlign w:val="bottom"/>
          </w:tcPr>
          <w:p w14:paraId="392C3793" w14:textId="77777777" w:rsidR="00980E5F" w:rsidRDefault="00980E5F">
            <w:pPr>
              <w:rPr>
                <w:rFonts w:ascii="宋体"/>
                <w:vanish/>
              </w:rPr>
            </w:pPr>
          </w:p>
        </w:tc>
        <w:tc>
          <w:tcPr>
            <w:tcW w:w="0" w:type="auto"/>
            <w:gridSpan w:val="3"/>
            <w:shd w:val="clear" w:color="auto" w:fill="auto"/>
            <w:vAlign w:val="bottom"/>
          </w:tcPr>
          <w:p w14:paraId="392C3794" w14:textId="77777777" w:rsidR="00980E5F" w:rsidRDefault="00980E5F">
            <w:pPr>
              <w:rPr>
                <w:rFonts w:ascii="宋体"/>
                <w:vanish/>
              </w:rPr>
            </w:pPr>
          </w:p>
        </w:tc>
        <w:tc>
          <w:tcPr>
            <w:tcW w:w="0" w:type="auto"/>
            <w:gridSpan w:val="3"/>
            <w:shd w:val="clear" w:color="auto" w:fill="auto"/>
            <w:vAlign w:val="bottom"/>
          </w:tcPr>
          <w:p w14:paraId="392C3795" w14:textId="77777777" w:rsidR="00980E5F" w:rsidRDefault="00980E5F">
            <w:pPr>
              <w:rPr>
                <w:rFonts w:ascii="宋体"/>
                <w:vanish/>
              </w:rPr>
            </w:pPr>
          </w:p>
        </w:tc>
        <w:tc>
          <w:tcPr>
            <w:tcW w:w="0" w:type="auto"/>
            <w:gridSpan w:val="3"/>
            <w:shd w:val="clear" w:color="auto" w:fill="auto"/>
            <w:vAlign w:val="bottom"/>
          </w:tcPr>
          <w:p w14:paraId="392C3796" w14:textId="77777777" w:rsidR="00980E5F" w:rsidRDefault="00980E5F">
            <w:pPr>
              <w:rPr>
                <w:rFonts w:ascii="宋体"/>
                <w:vanish/>
              </w:rPr>
            </w:pPr>
          </w:p>
        </w:tc>
        <w:tc>
          <w:tcPr>
            <w:tcW w:w="0" w:type="auto"/>
            <w:gridSpan w:val="3"/>
            <w:shd w:val="clear" w:color="auto" w:fill="auto"/>
            <w:vAlign w:val="bottom"/>
          </w:tcPr>
          <w:p w14:paraId="392C3797" w14:textId="77777777" w:rsidR="00980E5F" w:rsidRDefault="00980E5F">
            <w:pPr>
              <w:rPr>
                <w:rFonts w:ascii="宋体"/>
                <w:vanish/>
              </w:rPr>
            </w:pPr>
          </w:p>
        </w:tc>
        <w:tc>
          <w:tcPr>
            <w:tcW w:w="0" w:type="auto"/>
            <w:gridSpan w:val="3"/>
            <w:shd w:val="clear" w:color="auto" w:fill="auto"/>
            <w:vAlign w:val="bottom"/>
          </w:tcPr>
          <w:p w14:paraId="392C3798" w14:textId="77777777" w:rsidR="00980E5F" w:rsidRDefault="00980E5F">
            <w:pPr>
              <w:rPr>
                <w:rFonts w:ascii="宋体"/>
                <w:vanish/>
              </w:rPr>
            </w:pPr>
          </w:p>
        </w:tc>
        <w:tc>
          <w:tcPr>
            <w:tcW w:w="0" w:type="auto"/>
            <w:gridSpan w:val="3"/>
            <w:shd w:val="clear" w:color="auto" w:fill="auto"/>
            <w:vAlign w:val="bottom"/>
          </w:tcPr>
          <w:p w14:paraId="392C3799" w14:textId="77777777" w:rsidR="00980E5F" w:rsidRDefault="00980E5F">
            <w:pPr>
              <w:rPr>
                <w:rFonts w:ascii="宋体"/>
                <w:vanish/>
              </w:rPr>
            </w:pPr>
          </w:p>
        </w:tc>
        <w:tc>
          <w:tcPr>
            <w:tcW w:w="0" w:type="auto"/>
            <w:gridSpan w:val="3"/>
            <w:shd w:val="clear" w:color="auto" w:fill="auto"/>
            <w:vAlign w:val="bottom"/>
          </w:tcPr>
          <w:p w14:paraId="392C379A" w14:textId="77777777" w:rsidR="00980E5F" w:rsidRDefault="00980E5F">
            <w:pPr>
              <w:rPr>
                <w:rFonts w:ascii="宋体"/>
                <w:vanish/>
              </w:rPr>
            </w:pPr>
          </w:p>
        </w:tc>
        <w:tc>
          <w:tcPr>
            <w:tcW w:w="0" w:type="auto"/>
            <w:gridSpan w:val="3"/>
            <w:shd w:val="clear" w:color="auto" w:fill="auto"/>
            <w:vAlign w:val="bottom"/>
          </w:tcPr>
          <w:p w14:paraId="392C379B" w14:textId="77777777" w:rsidR="00980E5F" w:rsidRDefault="00980E5F">
            <w:pPr>
              <w:rPr>
                <w:rFonts w:ascii="宋体"/>
                <w:vanish/>
              </w:rPr>
            </w:pPr>
          </w:p>
        </w:tc>
        <w:tc>
          <w:tcPr>
            <w:tcW w:w="0" w:type="auto"/>
            <w:gridSpan w:val="3"/>
            <w:shd w:val="clear" w:color="auto" w:fill="auto"/>
            <w:vAlign w:val="bottom"/>
          </w:tcPr>
          <w:p w14:paraId="392C379C" w14:textId="77777777" w:rsidR="00980E5F" w:rsidRDefault="00980E5F">
            <w:pPr>
              <w:rPr>
                <w:rFonts w:ascii="宋体"/>
                <w:vanish/>
              </w:rPr>
            </w:pPr>
          </w:p>
        </w:tc>
        <w:tc>
          <w:tcPr>
            <w:tcW w:w="0" w:type="auto"/>
            <w:gridSpan w:val="3"/>
            <w:shd w:val="clear" w:color="auto" w:fill="auto"/>
            <w:vAlign w:val="bottom"/>
          </w:tcPr>
          <w:p w14:paraId="392C379D" w14:textId="77777777" w:rsidR="00980E5F" w:rsidRDefault="00980E5F">
            <w:pPr>
              <w:rPr>
                <w:rFonts w:ascii="宋体"/>
                <w:vanish/>
              </w:rPr>
            </w:pPr>
          </w:p>
        </w:tc>
        <w:tc>
          <w:tcPr>
            <w:tcW w:w="0" w:type="auto"/>
            <w:gridSpan w:val="3"/>
            <w:shd w:val="clear" w:color="auto" w:fill="auto"/>
            <w:vAlign w:val="bottom"/>
          </w:tcPr>
          <w:p w14:paraId="392C379E" w14:textId="77777777" w:rsidR="00980E5F" w:rsidRDefault="00980E5F">
            <w:pPr>
              <w:rPr>
                <w:rFonts w:ascii="宋体"/>
                <w:vanish/>
              </w:rPr>
            </w:pPr>
          </w:p>
        </w:tc>
        <w:tc>
          <w:tcPr>
            <w:tcW w:w="0" w:type="auto"/>
            <w:gridSpan w:val="3"/>
            <w:shd w:val="clear" w:color="auto" w:fill="auto"/>
            <w:vAlign w:val="bottom"/>
          </w:tcPr>
          <w:p w14:paraId="392C379F" w14:textId="77777777" w:rsidR="00980E5F" w:rsidRDefault="00980E5F">
            <w:pPr>
              <w:rPr>
                <w:rFonts w:ascii="宋体"/>
                <w:vanish/>
              </w:rPr>
            </w:pPr>
          </w:p>
        </w:tc>
        <w:tc>
          <w:tcPr>
            <w:tcW w:w="0" w:type="auto"/>
            <w:gridSpan w:val="3"/>
            <w:shd w:val="clear" w:color="auto" w:fill="auto"/>
            <w:vAlign w:val="bottom"/>
          </w:tcPr>
          <w:p w14:paraId="392C37A0" w14:textId="77777777" w:rsidR="00980E5F" w:rsidRDefault="00980E5F">
            <w:pPr>
              <w:rPr>
                <w:rFonts w:ascii="宋体"/>
                <w:vanish/>
              </w:rPr>
            </w:pPr>
          </w:p>
        </w:tc>
      </w:tr>
      <w:tr w:rsidR="00980E5F" w14:paraId="392C37B4" w14:textId="77777777">
        <w:trPr>
          <w:jc w:val="center"/>
          <w:hidden/>
        </w:trPr>
        <w:tc>
          <w:tcPr>
            <w:tcW w:w="0" w:type="auto"/>
            <w:gridSpan w:val="3"/>
            <w:shd w:val="clear" w:color="auto" w:fill="auto"/>
            <w:vAlign w:val="bottom"/>
          </w:tcPr>
          <w:p w14:paraId="392C37A2" w14:textId="77777777" w:rsidR="00980E5F" w:rsidRDefault="00980E5F">
            <w:pPr>
              <w:rPr>
                <w:rFonts w:ascii="宋体"/>
                <w:vanish/>
              </w:rPr>
            </w:pPr>
          </w:p>
        </w:tc>
        <w:tc>
          <w:tcPr>
            <w:tcW w:w="0" w:type="auto"/>
            <w:gridSpan w:val="3"/>
            <w:shd w:val="clear" w:color="auto" w:fill="auto"/>
            <w:vAlign w:val="bottom"/>
          </w:tcPr>
          <w:p w14:paraId="392C37A3" w14:textId="77777777" w:rsidR="00980E5F" w:rsidRDefault="00980E5F">
            <w:pPr>
              <w:rPr>
                <w:rFonts w:ascii="宋体"/>
                <w:vanish/>
              </w:rPr>
            </w:pPr>
          </w:p>
        </w:tc>
        <w:tc>
          <w:tcPr>
            <w:tcW w:w="0" w:type="auto"/>
            <w:gridSpan w:val="3"/>
            <w:shd w:val="clear" w:color="auto" w:fill="auto"/>
            <w:vAlign w:val="bottom"/>
          </w:tcPr>
          <w:p w14:paraId="392C37A4" w14:textId="77777777" w:rsidR="00980E5F" w:rsidRDefault="00980E5F">
            <w:pPr>
              <w:rPr>
                <w:rFonts w:ascii="宋体"/>
                <w:vanish/>
              </w:rPr>
            </w:pPr>
          </w:p>
        </w:tc>
        <w:tc>
          <w:tcPr>
            <w:tcW w:w="0" w:type="auto"/>
            <w:gridSpan w:val="3"/>
            <w:shd w:val="clear" w:color="auto" w:fill="auto"/>
            <w:vAlign w:val="bottom"/>
          </w:tcPr>
          <w:p w14:paraId="392C37A5" w14:textId="77777777" w:rsidR="00980E5F" w:rsidRDefault="00980E5F">
            <w:pPr>
              <w:rPr>
                <w:rFonts w:ascii="宋体"/>
                <w:vanish/>
              </w:rPr>
            </w:pPr>
          </w:p>
        </w:tc>
        <w:tc>
          <w:tcPr>
            <w:tcW w:w="0" w:type="auto"/>
            <w:gridSpan w:val="3"/>
            <w:shd w:val="clear" w:color="auto" w:fill="auto"/>
            <w:vAlign w:val="bottom"/>
          </w:tcPr>
          <w:p w14:paraId="392C37A6" w14:textId="77777777" w:rsidR="00980E5F" w:rsidRDefault="00980E5F">
            <w:pPr>
              <w:rPr>
                <w:rFonts w:ascii="宋体"/>
                <w:vanish/>
              </w:rPr>
            </w:pPr>
          </w:p>
        </w:tc>
        <w:tc>
          <w:tcPr>
            <w:tcW w:w="0" w:type="auto"/>
            <w:gridSpan w:val="3"/>
            <w:shd w:val="clear" w:color="auto" w:fill="auto"/>
            <w:vAlign w:val="bottom"/>
          </w:tcPr>
          <w:p w14:paraId="392C37A7" w14:textId="77777777" w:rsidR="00980E5F" w:rsidRDefault="00980E5F">
            <w:pPr>
              <w:rPr>
                <w:rFonts w:ascii="宋体"/>
                <w:vanish/>
              </w:rPr>
            </w:pPr>
          </w:p>
        </w:tc>
        <w:tc>
          <w:tcPr>
            <w:tcW w:w="0" w:type="auto"/>
            <w:gridSpan w:val="3"/>
            <w:shd w:val="clear" w:color="auto" w:fill="auto"/>
            <w:vAlign w:val="bottom"/>
          </w:tcPr>
          <w:p w14:paraId="392C37A8" w14:textId="77777777" w:rsidR="00980E5F" w:rsidRDefault="00980E5F">
            <w:pPr>
              <w:rPr>
                <w:rFonts w:ascii="宋体"/>
                <w:vanish/>
              </w:rPr>
            </w:pPr>
          </w:p>
        </w:tc>
        <w:tc>
          <w:tcPr>
            <w:tcW w:w="0" w:type="auto"/>
            <w:gridSpan w:val="3"/>
            <w:shd w:val="clear" w:color="auto" w:fill="auto"/>
            <w:vAlign w:val="bottom"/>
          </w:tcPr>
          <w:p w14:paraId="392C37A9" w14:textId="77777777" w:rsidR="00980E5F" w:rsidRDefault="00980E5F">
            <w:pPr>
              <w:rPr>
                <w:rFonts w:ascii="宋体"/>
                <w:vanish/>
              </w:rPr>
            </w:pPr>
          </w:p>
        </w:tc>
        <w:tc>
          <w:tcPr>
            <w:tcW w:w="0" w:type="auto"/>
            <w:gridSpan w:val="3"/>
            <w:shd w:val="clear" w:color="auto" w:fill="auto"/>
            <w:vAlign w:val="bottom"/>
          </w:tcPr>
          <w:p w14:paraId="392C37AA" w14:textId="77777777" w:rsidR="00980E5F" w:rsidRDefault="00980E5F">
            <w:pPr>
              <w:rPr>
                <w:rFonts w:ascii="宋体"/>
                <w:vanish/>
              </w:rPr>
            </w:pPr>
          </w:p>
        </w:tc>
        <w:tc>
          <w:tcPr>
            <w:tcW w:w="0" w:type="auto"/>
            <w:gridSpan w:val="3"/>
            <w:shd w:val="clear" w:color="auto" w:fill="auto"/>
            <w:vAlign w:val="bottom"/>
          </w:tcPr>
          <w:p w14:paraId="392C37AB" w14:textId="77777777" w:rsidR="00980E5F" w:rsidRDefault="00980E5F">
            <w:pPr>
              <w:rPr>
                <w:rFonts w:ascii="宋体"/>
                <w:vanish/>
              </w:rPr>
            </w:pPr>
          </w:p>
        </w:tc>
        <w:tc>
          <w:tcPr>
            <w:tcW w:w="0" w:type="auto"/>
            <w:gridSpan w:val="3"/>
            <w:shd w:val="clear" w:color="auto" w:fill="auto"/>
            <w:vAlign w:val="bottom"/>
          </w:tcPr>
          <w:p w14:paraId="392C37AC" w14:textId="77777777" w:rsidR="00980E5F" w:rsidRDefault="00980E5F">
            <w:pPr>
              <w:rPr>
                <w:rFonts w:ascii="宋体"/>
                <w:vanish/>
              </w:rPr>
            </w:pPr>
          </w:p>
        </w:tc>
        <w:tc>
          <w:tcPr>
            <w:tcW w:w="0" w:type="auto"/>
            <w:gridSpan w:val="3"/>
            <w:shd w:val="clear" w:color="auto" w:fill="auto"/>
            <w:vAlign w:val="bottom"/>
          </w:tcPr>
          <w:p w14:paraId="392C37AD" w14:textId="77777777" w:rsidR="00980E5F" w:rsidRDefault="00980E5F">
            <w:pPr>
              <w:rPr>
                <w:rFonts w:ascii="宋体"/>
                <w:vanish/>
              </w:rPr>
            </w:pPr>
          </w:p>
        </w:tc>
        <w:tc>
          <w:tcPr>
            <w:tcW w:w="0" w:type="auto"/>
            <w:gridSpan w:val="3"/>
            <w:shd w:val="clear" w:color="auto" w:fill="auto"/>
            <w:vAlign w:val="bottom"/>
          </w:tcPr>
          <w:p w14:paraId="392C37AE" w14:textId="77777777" w:rsidR="00980E5F" w:rsidRDefault="00980E5F">
            <w:pPr>
              <w:rPr>
                <w:rFonts w:ascii="宋体"/>
                <w:vanish/>
              </w:rPr>
            </w:pPr>
          </w:p>
        </w:tc>
        <w:tc>
          <w:tcPr>
            <w:tcW w:w="0" w:type="auto"/>
            <w:gridSpan w:val="3"/>
            <w:shd w:val="clear" w:color="auto" w:fill="auto"/>
            <w:vAlign w:val="bottom"/>
          </w:tcPr>
          <w:p w14:paraId="392C37AF" w14:textId="77777777" w:rsidR="00980E5F" w:rsidRDefault="00980E5F">
            <w:pPr>
              <w:rPr>
                <w:rFonts w:ascii="宋体"/>
                <w:vanish/>
              </w:rPr>
            </w:pPr>
          </w:p>
        </w:tc>
        <w:tc>
          <w:tcPr>
            <w:tcW w:w="0" w:type="auto"/>
            <w:gridSpan w:val="3"/>
            <w:shd w:val="clear" w:color="auto" w:fill="auto"/>
            <w:vAlign w:val="bottom"/>
          </w:tcPr>
          <w:p w14:paraId="392C37B0" w14:textId="77777777" w:rsidR="00980E5F" w:rsidRDefault="00980E5F">
            <w:pPr>
              <w:rPr>
                <w:rFonts w:ascii="宋体"/>
                <w:vanish/>
              </w:rPr>
            </w:pPr>
          </w:p>
        </w:tc>
        <w:tc>
          <w:tcPr>
            <w:tcW w:w="0" w:type="auto"/>
            <w:gridSpan w:val="3"/>
            <w:shd w:val="clear" w:color="auto" w:fill="auto"/>
            <w:vAlign w:val="bottom"/>
          </w:tcPr>
          <w:p w14:paraId="392C37B1" w14:textId="77777777" w:rsidR="00980E5F" w:rsidRDefault="00980E5F">
            <w:pPr>
              <w:rPr>
                <w:rFonts w:ascii="宋体"/>
                <w:vanish/>
              </w:rPr>
            </w:pPr>
          </w:p>
        </w:tc>
        <w:tc>
          <w:tcPr>
            <w:tcW w:w="0" w:type="auto"/>
            <w:gridSpan w:val="3"/>
            <w:shd w:val="clear" w:color="auto" w:fill="auto"/>
            <w:vAlign w:val="bottom"/>
          </w:tcPr>
          <w:p w14:paraId="392C37B2" w14:textId="77777777" w:rsidR="00980E5F" w:rsidRDefault="00980E5F">
            <w:pPr>
              <w:rPr>
                <w:rFonts w:ascii="宋体"/>
                <w:vanish/>
              </w:rPr>
            </w:pPr>
          </w:p>
        </w:tc>
        <w:tc>
          <w:tcPr>
            <w:tcW w:w="0" w:type="auto"/>
            <w:gridSpan w:val="3"/>
            <w:shd w:val="clear" w:color="auto" w:fill="auto"/>
            <w:vAlign w:val="bottom"/>
          </w:tcPr>
          <w:p w14:paraId="392C37B3" w14:textId="77777777" w:rsidR="00980E5F" w:rsidRDefault="00980E5F">
            <w:pPr>
              <w:rPr>
                <w:rFonts w:ascii="宋体"/>
                <w:vanish/>
              </w:rPr>
            </w:pPr>
          </w:p>
        </w:tc>
      </w:tr>
      <w:tr w:rsidR="00980E5F" w14:paraId="392C37C7" w14:textId="77777777">
        <w:trPr>
          <w:jc w:val="center"/>
          <w:hidden/>
        </w:trPr>
        <w:tc>
          <w:tcPr>
            <w:tcW w:w="0" w:type="auto"/>
            <w:gridSpan w:val="3"/>
            <w:shd w:val="clear" w:color="auto" w:fill="auto"/>
            <w:vAlign w:val="bottom"/>
          </w:tcPr>
          <w:p w14:paraId="392C37B5" w14:textId="77777777" w:rsidR="00980E5F" w:rsidRDefault="00980E5F">
            <w:pPr>
              <w:rPr>
                <w:rFonts w:ascii="宋体"/>
                <w:vanish/>
              </w:rPr>
            </w:pPr>
          </w:p>
        </w:tc>
        <w:tc>
          <w:tcPr>
            <w:tcW w:w="0" w:type="auto"/>
            <w:gridSpan w:val="3"/>
            <w:shd w:val="clear" w:color="auto" w:fill="auto"/>
            <w:vAlign w:val="bottom"/>
          </w:tcPr>
          <w:p w14:paraId="392C37B6" w14:textId="77777777" w:rsidR="00980E5F" w:rsidRDefault="00980E5F">
            <w:pPr>
              <w:rPr>
                <w:rFonts w:ascii="宋体"/>
                <w:vanish/>
              </w:rPr>
            </w:pPr>
          </w:p>
        </w:tc>
        <w:tc>
          <w:tcPr>
            <w:tcW w:w="0" w:type="auto"/>
            <w:gridSpan w:val="3"/>
            <w:shd w:val="clear" w:color="auto" w:fill="auto"/>
            <w:vAlign w:val="bottom"/>
          </w:tcPr>
          <w:p w14:paraId="392C37B7" w14:textId="77777777" w:rsidR="00980E5F" w:rsidRDefault="00980E5F">
            <w:pPr>
              <w:rPr>
                <w:rFonts w:ascii="宋体"/>
                <w:vanish/>
              </w:rPr>
            </w:pPr>
          </w:p>
        </w:tc>
        <w:tc>
          <w:tcPr>
            <w:tcW w:w="0" w:type="auto"/>
            <w:gridSpan w:val="3"/>
            <w:shd w:val="clear" w:color="auto" w:fill="auto"/>
            <w:vAlign w:val="bottom"/>
          </w:tcPr>
          <w:p w14:paraId="392C37B8" w14:textId="77777777" w:rsidR="00980E5F" w:rsidRDefault="00980E5F">
            <w:pPr>
              <w:rPr>
                <w:rFonts w:ascii="宋体"/>
                <w:vanish/>
              </w:rPr>
            </w:pPr>
          </w:p>
        </w:tc>
        <w:tc>
          <w:tcPr>
            <w:tcW w:w="0" w:type="auto"/>
            <w:gridSpan w:val="3"/>
            <w:shd w:val="clear" w:color="auto" w:fill="auto"/>
            <w:vAlign w:val="bottom"/>
          </w:tcPr>
          <w:p w14:paraId="392C37B9" w14:textId="77777777" w:rsidR="00980E5F" w:rsidRDefault="00980E5F">
            <w:pPr>
              <w:rPr>
                <w:rFonts w:ascii="宋体"/>
                <w:vanish/>
              </w:rPr>
            </w:pPr>
          </w:p>
        </w:tc>
        <w:tc>
          <w:tcPr>
            <w:tcW w:w="0" w:type="auto"/>
            <w:gridSpan w:val="3"/>
            <w:shd w:val="clear" w:color="auto" w:fill="auto"/>
            <w:vAlign w:val="bottom"/>
          </w:tcPr>
          <w:p w14:paraId="392C37BA" w14:textId="77777777" w:rsidR="00980E5F" w:rsidRDefault="00980E5F">
            <w:pPr>
              <w:rPr>
                <w:rFonts w:ascii="宋体"/>
                <w:vanish/>
              </w:rPr>
            </w:pPr>
          </w:p>
        </w:tc>
        <w:tc>
          <w:tcPr>
            <w:tcW w:w="0" w:type="auto"/>
            <w:gridSpan w:val="3"/>
            <w:shd w:val="clear" w:color="auto" w:fill="auto"/>
            <w:vAlign w:val="bottom"/>
          </w:tcPr>
          <w:p w14:paraId="392C37BB" w14:textId="77777777" w:rsidR="00980E5F" w:rsidRDefault="00980E5F">
            <w:pPr>
              <w:rPr>
                <w:rFonts w:ascii="宋体"/>
                <w:vanish/>
              </w:rPr>
            </w:pPr>
          </w:p>
        </w:tc>
        <w:tc>
          <w:tcPr>
            <w:tcW w:w="0" w:type="auto"/>
            <w:gridSpan w:val="3"/>
            <w:shd w:val="clear" w:color="auto" w:fill="auto"/>
            <w:vAlign w:val="bottom"/>
          </w:tcPr>
          <w:p w14:paraId="392C37BC" w14:textId="77777777" w:rsidR="00980E5F" w:rsidRDefault="00980E5F">
            <w:pPr>
              <w:rPr>
                <w:rFonts w:ascii="宋体"/>
                <w:vanish/>
              </w:rPr>
            </w:pPr>
          </w:p>
        </w:tc>
        <w:tc>
          <w:tcPr>
            <w:tcW w:w="0" w:type="auto"/>
            <w:gridSpan w:val="3"/>
            <w:shd w:val="clear" w:color="auto" w:fill="auto"/>
            <w:vAlign w:val="bottom"/>
          </w:tcPr>
          <w:p w14:paraId="392C37BD" w14:textId="77777777" w:rsidR="00980E5F" w:rsidRDefault="00980E5F">
            <w:pPr>
              <w:rPr>
                <w:rFonts w:ascii="宋体"/>
                <w:vanish/>
              </w:rPr>
            </w:pPr>
          </w:p>
        </w:tc>
        <w:tc>
          <w:tcPr>
            <w:tcW w:w="0" w:type="auto"/>
            <w:gridSpan w:val="3"/>
            <w:shd w:val="clear" w:color="auto" w:fill="auto"/>
            <w:vAlign w:val="bottom"/>
          </w:tcPr>
          <w:p w14:paraId="392C37BE" w14:textId="77777777" w:rsidR="00980E5F" w:rsidRDefault="00980E5F">
            <w:pPr>
              <w:rPr>
                <w:rFonts w:ascii="宋体"/>
                <w:vanish/>
              </w:rPr>
            </w:pPr>
          </w:p>
        </w:tc>
        <w:tc>
          <w:tcPr>
            <w:tcW w:w="0" w:type="auto"/>
            <w:gridSpan w:val="3"/>
            <w:shd w:val="clear" w:color="auto" w:fill="auto"/>
            <w:vAlign w:val="bottom"/>
          </w:tcPr>
          <w:p w14:paraId="392C37BF" w14:textId="77777777" w:rsidR="00980E5F" w:rsidRDefault="00980E5F">
            <w:pPr>
              <w:rPr>
                <w:rFonts w:ascii="宋体"/>
                <w:vanish/>
              </w:rPr>
            </w:pPr>
          </w:p>
        </w:tc>
        <w:tc>
          <w:tcPr>
            <w:tcW w:w="0" w:type="auto"/>
            <w:gridSpan w:val="3"/>
            <w:shd w:val="clear" w:color="auto" w:fill="auto"/>
            <w:vAlign w:val="bottom"/>
          </w:tcPr>
          <w:p w14:paraId="392C37C0" w14:textId="77777777" w:rsidR="00980E5F" w:rsidRDefault="00980E5F">
            <w:pPr>
              <w:rPr>
                <w:rFonts w:ascii="宋体"/>
                <w:vanish/>
              </w:rPr>
            </w:pPr>
          </w:p>
        </w:tc>
        <w:tc>
          <w:tcPr>
            <w:tcW w:w="0" w:type="auto"/>
            <w:gridSpan w:val="3"/>
            <w:shd w:val="clear" w:color="auto" w:fill="auto"/>
            <w:vAlign w:val="bottom"/>
          </w:tcPr>
          <w:p w14:paraId="392C37C1" w14:textId="77777777" w:rsidR="00980E5F" w:rsidRDefault="00980E5F">
            <w:pPr>
              <w:rPr>
                <w:rFonts w:ascii="宋体"/>
                <w:vanish/>
              </w:rPr>
            </w:pPr>
          </w:p>
        </w:tc>
        <w:tc>
          <w:tcPr>
            <w:tcW w:w="0" w:type="auto"/>
            <w:gridSpan w:val="3"/>
            <w:shd w:val="clear" w:color="auto" w:fill="auto"/>
            <w:vAlign w:val="bottom"/>
          </w:tcPr>
          <w:p w14:paraId="392C37C2" w14:textId="77777777" w:rsidR="00980E5F" w:rsidRDefault="00980E5F">
            <w:pPr>
              <w:rPr>
                <w:rFonts w:ascii="宋体"/>
                <w:vanish/>
              </w:rPr>
            </w:pPr>
          </w:p>
        </w:tc>
        <w:tc>
          <w:tcPr>
            <w:tcW w:w="0" w:type="auto"/>
            <w:gridSpan w:val="3"/>
            <w:shd w:val="clear" w:color="auto" w:fill="auto"/>
            <w:vAlign w:val="bottom"/>
          </w:tcPr>
          <w:p w14:paraId="392C37C3" w14:textId="77777777" w:rsidR="00980E5F" w:rsidRDefault="00980E5F">
            <w:pPr>
              <w:rPr>
                <w:rFonts w:ascii="宋体"/>
                <w:vanish/>
              </w:rPr>
            </w:pPr>
          </w:p>
        </w:tc>
        <w:tc>
          <w:tcPr>
            <w:tcW w:w="0" w:type="auto"/>
            <w:gridSpan w:val="3"/>
            <w:shd w:val="clear" w:color="auto" w:fill="auto"/>
            <w:vAlign w:val="bottom"/>
          </w:tcPr>
          <w:p w14:paraId="392C37C4" w14:textId="77777777" w:rsidR="00980E5F" w:rsidRDefault="00980E5F">
            <w:pPr>
              <w:rPr>
                <w:rFonts w:ascii="宋体"/>
                <w:vanish/>
              </w:rPr>
            </w:pPr>
          </w:p>
        </w:tc>
        <w:tc>
          <w:tcPr>
            <w:tcW w:w="0" w:type="auto"/>
            <w:gridSpan w:val="3"/>
            <w:shd w:val="clear" w:color="auto" w:fill="auto"/>
            <w:vAlign w:val="bottom"/>
          </w:tcPr>
          <w:p w14:paraId="392C37C5" w14:textId="77777777" w:rsidR="00980E5F" w:rsidRDefault="00980E5F">
            <w:pPr>
              <w:rPr>
                <w:rFonts w:ascii="宋体"/>
                <w:vanish/>
              </w:rPr>
            </w:pPr>
          </w:p>
        </w:tc>
        <w:tc>
          <w:tcPr>
            <w:tcW w:w="0" w:type="auto"/>
            <w:gridSpan w:val="3"/>
            <w:shd w:val="clear" w:color="auto" w:fill="auto"/>
            <w:vAlign w:val="bottom"/>
          </w:tcPr>
          <w:p w14:paraId="392C37C6" w14:textId="77777777" w:rsidR="00980E5F" w:rsidRDefault="00980E5F">
            <w:pPr>
              <w:rPr>
                <w:rFonts w:ascii="宋体"/>
                <w:vanish/>
              </w:rPr>
            </w:pPr>
          </w:p>
        </w:tc>
      </w:tr>
      <w:tr w:rsidR="00980E5F" w14:paraId="392C37DA" w14:textId="77777777">
        <w:trPr>
          <w:jc w:val="center"/>
          <w:hidden/>
        </w:trPr>
        <w:tc>
          <w:tcPr>
            <w:tcW w:w="0" w:type="auto"/>
            <w:gridSpan w:val="3"/>
            <w:shd w:val="clear" w:color="auto" w:fill="auto"/>
            <w:vAlign w:val="bottom"/>
          </w:tcPr>
          <w:p w14:paraId="392C37C8" w14:textId="77777777" w:rsidR="00980E5F" w:rsidRDefault="00980E5F">
            <w:pPr>
              <w:rPr>
                <w:rFonts w:ascii="宋体"/>
                <w:vanish/>
              </w:rPr>
            </w:pPr>
          </w:p>
        </w:tc>
        <w:tc>
          <w:tcPr>
            <w:tcW w:w="0" w:type="auto"/>
            <w:gridSpan w:val="3"/>
            <w:shd w:val="clear" w:color="auto" w:fill="auto"/>
            <w:vAlign w:val="bottom"/>
          </w:tcPr>
          <w:p w14:paraId="392C37C9" w14:textId="77777777" w:rsidR="00980E5F" w:rsidRDefault="00980E5F">
            <w:pPr>
              <w:rPr>
                <w:rFonts w:ascii="宋体"/>
                <w:vanish/>
              </w:rPr>
            </w:pPr>
          </w:p>
        </w:tc>
        <w:tc>
          <w:tcPr>
            <w:tcW w:w="0" w:type="auto"/>
            <w:gridSpan w:val="3"/>
            <w:shd w:val="clear" w:color="auto" w:fill="auto"/>
            <w:vAlign w:val="bottom"/>
          </w:tcPr>
          <w:p w14:paraId="392C37CA" w14:textId="77777777" w:rsidR="00980E5F" w:rsidRDefault="00980E5F">
            <w:pPr>
              <w:rPr>
                <w:rFonts w:ascii="宋体"/>
                <w:vanish/>
              </w:rPr>
            </w:pPr>
          </w:p>
        </w:tc>
        <w:tc>
          <w:tcPr>
            <w:tcW w:w="0" w:type="auto"/>
            <w:gridSpan w:val="3"/>
            <w:shd w:val="clear" w:color="auto" w:fill="auto"/>
            <w:vAlign w:val="bottom"/>
          </w:tcPr>
          <w:p w14:paraId="392C37CB" w14:textId="77777777" w:rsidR="00980E5F" w:rsidRDefault="00980E5F">
            <w:pPr>
              <w:rPr>
                <w:rFonts w:ascii="宋体"/>
                <w:vanish/>
              </w:rPr>
            </w:pPr>
          </w:p>
        </w:tc>
        <w:tc>
          <w:tcPr>
            <w:tcW w:w="0" w:type="auto"/>
            <w:gridSpan w:val="3"/>
            <w:shd w:val="clear" w:color="auto" w:fill="auto"/>
            <w:vAlign w:val="bottom"/>
          </w:tcPr>
          <w:p w14:paraId="392C37CC" w14:textId="77777777" w:rsidR="00980E5F" w:rsidRDefault="00980E5F">
            <w:pPr>
              <w:rPr>
                <w:rFonts w:ascii="宋体"/>
                <w:vanish/>
              </w:rPr>
            </w:pPr>
          </w:p>
        </w:tc>
        <w:tc>
          <w:tcPr>
            <w:tcW w:w="0" w:type="auto"/>
            <w:gridSpan w:val="3"/>
            <w:shd w:val="clear" w:color="auto" w:fill="auto"/>
            <w:vAlign w:val="bottom"/>
          </w:tcPr>
          <w:p w14:paraId="392C37CD" w14:textId="77777777" w:rsidR="00980E5F" w:rsidRDefault="00980E5F">
            <w:pPr>
              <w:rPr>
                <w:rFonts w:ascii="宋体"/>
                <w:vanish/>
              </w:rPr>
            </w:pPr>
          </w:p>
        </w:tc>
        <w:tc>
          <w:tcPr>
            <w:tcW w:w="0" w:type="auto"/>
            <w:gridSpan w:val="3"/>
            <w:shd w:val="clear" w:color="auto" w:fill="auto"/>
            <w:vAlign w:val="bottom"/>
          </w:tcPr>
          <w:p w14:paraId="392C37CE" w14:textId="77777777" w:rsidR="00980E5F" w:rsidRDefault="00980E5F">
            <w:pPr>
              <w:rPr>
                <w:rFonts w:ascii="宋体"/>
                <w:vanish/>
              </w:rPr>
            </w:pPr>
          </w:p>
        </w:tc>
        <w:tc>
          <w:tcPr>
            <w:tcW w:w="0" w:type="auto"/>
            <w:gridSpan w:val="3"/>
            <w:shd w:val="clear" w:color="auto" w:fill="auto"/>
            <w:vAlign w:val="bottom"/>
          </w:tcPr>
          <w:p w14:paraId="392C37CF" w14:textId="77777777" w:rsidR="00980E5F" w:rsidRDefault="00980E5F">
            <w:pPr>
              <w:rPr>
                <w:rFonts w:ascii="宋体"/>
                <w:vanish/>
              </w:rPr>
            </w:pPr>
          </w:p>
        </w:tc>
        <w:tc>
          <w:tcPr>
            <w:tcW w:w="0" w:type="auto"/>
            <w:gridSpan w:val="3"/>
            <w:shd w:val="clear" w:color="auto" w:fill="auto"/>
            <w:vAlign w:val="bottom"/>
          </w:tcPr>
          <w:p w14:paraId="392C37D0" w14:textId="77777777" w:rsidR="00980E5F" w:rsidRDefault="00980E5F">
            <w:pPr>
              <w:rPr>
                <w:rFonts w:ascii="宋体"/>
                <w:vanish/>
              </w:rPr>
            </w:pPr>
          </w:p>
        </w:tc>
        <w:tc>
          <w:tcPr>
            <w:tcW w:w="0" w:type="auto"/>
            <w:gridSpan w:val="3"/>
            <w:shd w:val="clear" w:color="auto" w:fill="auto"/>
            <w:vAlign w:val="bottom"/>
          </w:tcPr>
          <w:p w14:paraId="392C37D1" w14:textId="77777777" w:rsidR="00980E5F" w:rsidRDefault="00980E5F">
            <w:pPr>
              <w:rPr>
                <w:rFonts w:ascii="宋体"/>
                <w:vanish/>
              </w:rPr>
            </w:pPr>
          </w:p>
        </w:tc>
        <w:tc>
          <w:tcPr>
            <w:tcW w:w="0" w:type="auto"/>
            <w:gridSpan w:val="3"/>
            <w:shd w:val="clear" w:color="auto" w:fill="auto"/>
            <w:vAlign w:val="bottom"/>
          </w:tcPr>
          <w:p w14:paraId="392C37D2" w14:textId="77777777" w:rsidR="00980E5F" w:rsidRDefault="00980E5F">
            <w:pPr>
              <w:rPr>
                <w:rFonts w:ascii="宋体"/>
                <w:vanish/>
              </w:rPr>
            </w:pPr>
          </w:p>
        </w:tc>
        <w:tc>
          <w:tcPr>
            <w:tcW w:w="0" w:type="auto"/>
            <w:gridSpan w:val="3"/>
            <w:shd w:val="clear" w:color="auto" w:fill="auto"/>
            <w:vAlign w:val="bottom"/>
          </w:tcPr>
          <w:p w14:paraId="392C37D3" w14:textId="77777777" w:rsidR="00980E5F" w:rsidRDefault="00980E5F">
            <w:pPr>
              <w:rPr>
                <w:rFonts w:ascii="宋体"/>
                <w:vanish/>
              </w:rPr>
            </w:pPr>
          </w:p>
        </w:tc>
        <w:tc>
          <w:tcPr>
            <w:tcW w:w="0" w:type="auto"/>
            <w:gridSpan w:val="3"/>
            <w:shd w:val="clear" w:color="auto" w:fill="auto"/>
            <w:vAlign w:val="bottom"/>
          </w:tcPr>
          <w:p w14:paraId="392C37D4" w14:textId="77777777" w:rsidR="00980E5F" w:rsidRDefault="00980E5F">
            <w:pPr>
              <w:rPr>
                <w:rFonts w:ascii="宋体"/>
                <w:vanish/>
              </w:rPr>
            </w:pPr>
          </w:p>
        </w:tc>
        <w:tc>
          <w:tcPr>
            <w:tcW w:w="0" w:type="auto"/>
            <w:gridSpan w:val="3"/>
            <w:shd w:val="clear" w:color="auto" w:fill="auto"/>
            <w:vAlign w:val="bottom"/>
          </w:tcPr>
          <w:p w14:paraId="392C37D5" w14:textId="77777777" w:rsidR="00980E5F" w:rsidRDefault="00980E5F">
            <w:pPr>
              <w:rPr>
                <w:rFonts w:ascii="宋体"/>
                <w:vanish/>
              </w:rPr>
            </w:pPr>
          </w:p>
        </w:tc>
        <w:tc>
          <w:tcPr>
            <w:tcW w:w="0" w:type="auto"/>
            <w:gridSpan w:val="3"/>
            <w:shd w:val="clear" w:color="auto" w:fill="auto"/>
            <w:vAlign w:val="bottom"/>
          </w:tcPr>
          <w:p w14:paraId="392C37D6" w14:textId="77777777" w:rsidR="00980E5F" w:rsidRDefault="00980E5F">
            <w:pPr>
              <w:rPr>
                <w:rFonts w:ascii="宋体"/>
                <w:vanish/>
              </w:rPr>
            </w:pPr>
          </w:p>
        </w:tc>
        <w:tc>
          <w:tcPr>
            <w:tcW w:w="0" w:type="auto"/>
            <w:gridSpan w:val="3"/>
            <w:shd w:val="clear" w:color="auto" w:fill="auto"/>
            <w:vAlign w:val="bottom"/>
          </w:tcPr>
          <w:p w14:paraId="392C37D7" w14:textId="77777777" w:rsidR="00980E5F" w:rsidRDefault="00980E5F">
            <w:pPr>
              <w:rPr>
                <w:rFonts w:ascii="宋体"/>
                <w:vanish/>
              </w:rPr>
            </w:pPr>
          </w:p>
        </w:tc>
        <w:tc>
          <w:tcPr>
            <w:tcW w:w="0" w:type="auto"/>
            <w:gridSpan w:val="3"/>
            <w:shd w:val="clear" w:color="auto" w:fill="auto"/>
            <w:vAlign w:val="bottom"/>
          </w:tcPr>
          <w:p w14:paraId="392C37D8" w14:textId="77777777" w:rsidR="00980E5F" w:rsidRDefault="00980E5F">
            <w:pPr>
              <w:rPr>
                <w:rFonts w:ascii="宋体"/>
                <w:vanish/>
              </w:rPr>
            </w:pPr>
          </w:p>
        </w:tc>
        <w:tc>
          <w:tcPr>
            <w:tcW w:w="0" w:type="auto"/>
            <w:gridSpan w:val="3"/>
            <w:shd w:val="clear" w:color="auto" w:fill="auto"/>
            <w:vAlign w:val="bottom"/>
          </w:tcPr>
          <w:p w14:paraId="392C37D9" w14:textId="77777777" w:rsidR="00980E5F" w:rsidRDefault="00980E5F">
            <w:pPr>
              <w:rPr>
                <w:rFonts w:ascii="宋体"/>
                <w:vanish/>
              </w:rPr>
            </w:pPr>
          </w:p>
        </w:tc>
      </w:tr>
      <w:tr w:rsidR="00980E5F" w14:paraId="392C37ED" w14:textId="77777777">
        <w:trPr>
          <w:jc w:val="center"/>
          <w:hidden/>
        </w:trPr>
        <w:tc>
          <w:tcPr>
            <w:tcW w:w="0" w:type="auto"/>
            <w:gridSpan w:val="3"/>
            <w:shd w:val="clear" w:color="auto" w:fill="auto"/>
            <w:vAlign w:val="bottom"/>
          </w:tcPr>
          <w:p w14:paraId="392C37DB" w14:textId="77777777" w:rsidR="00980E5F" w:rsidRDefault="00980E5F">
            <w:pPr>
              <w:rPr>
                <w:rFonts w:ascii="宋体"/>
                <w:vanish/>
              </w:rPr>
            </w:pPr>
          </w:p>
        </w:tc>
        <w:tc>
          <w:tcPr>
            <w:tcW w:w="0" w:type="auto"/>
            <w:gridSpan w:val="3"/>
            <w:shd w:val="clear" w:color="auto" w:fill="auto"/>
            <w:vAlign w:val="bottom"/>
          </w:tcPr>
          <w:p w14:paraId="392C37DC" w14:textId="77777777" w:rsidR="00980E5F" w:rsidRDefault="00980E5F">
            <w:pPr>
              <w:rPr>
                <w:rFonts w:ascii="宋体"/>
                <w:vanish/>
              </w:rPr>
            </w:pPr>
          </w:p>
        </w:tc>
        <w:tc>
          <w:tcPr>
            <w:tcW w:w="0" w:type="auto"/>
            <w:gridSpan w:val="3"/>
            <w:shd w:val="clear" w:color="auto" w:fill="auto"/>
            <w:vAlign w:val="bottom"/>
          </w:tcPr>
          <w:p w14:paraId="392C37DD" w14:textId="77777777" w:rsidR="00980E5F" w:rsidRDefault="00980E5F">
            <w:pPr>
              <w:rPr>
                <w:rFonts w:ascii="宋体"/>
                <w:vanish/>
              </w:rPr>
            </w:pPr>
          </w:p>
        </w:tc>
        <w:tc>
          <w:tcPr>
            <w:tcW w:w="0" w:type="auto"/>
            <w:gridSpan w:val="3"/>
            <w:shd w:val="clear" w:color="auto" w:fill="auto"/>
            <w:vAlign w:val="bottom"/>
          </w:tcPr>
          <w:p w14:paraId="392C37DE" w14:textId="77777777" w:rsidR="00980E5F" w:rsidRDefault="00980E5F">
            <w:pPr>
              <w:rPr>
                <w:rFonts w:ascii="宋体"/>
                <w:vanish/>
              </w:rPr>
            </w:pPr>
          </w:p>
        </w:tc>
        <w:tc>
          <w:tcPr>
            <w:tcW w:w="0" w:type="auto"/>
            <w:gridSpan w:val="3"/>
            <w:shd w:val="clear" w:color="auto" w:fill="auto"/>
            <w:vAlign w:val="bottom"/>
          </w:tcPr>
          <w:p w14:paraId="392C37DF" w14:textId="77777777" w:rsidR="00980E5F" w:rsidRDefault="00980E5F">
            <w:pPr>
              <w:rPr>
                <w:rFonts w:ascii="宋体"/>
                <w:vanish/>
              </w:rPr>
            </w:pPr>
          </w:p>
        </w:tc>
        <w:tc>
          <w:tcPr>
            <w:tcW w:w="0" w:type="auto"/>
            <w:gridSpan w:val="3"/>
            <w:shd w:val="clear" w:color="auto" w:fill="auto"/>
            <w:vAlign w:val="bottom"/>
          </w:tcPr>
          <w:p w14:paraId="392C37E0" w14:textId="77777777" w:rsidR="00980E5F" w:rsidRDefault="00980E5F">
            <w:pPr>
              <w:rPr>
                <w:rFonts w:ascii="宋体"/>
                <w:vanish/>
              </w:rPr>
            </w:pPr>
          </w:p>
        </w:tc>
        <w:tc>
          <w:tcPr>
            <w:tcW w:w="0" w:type="auto"/>
            <w:gridSpan w:val="3"/>
            <w:shd w:val="clear" w:color="auto" w:fill="auto"/>
            <w:vAlign w:val="bottom"/>
          </w:tcPr>
          <w:p w14:paraId="392C37E1" w14:textId="77777777" w:rsidR="00980E5F" w:rsidRDefault="00980E5F">
            <w:pPr>
              <w:rPr>
                <w:rFonts w:ascii="宋体"/>
                <w:vanish/>
              </w:rPr>
            </w:pPr>
          </w:p>
        </w:tc>
        <w:tc>
          <w:tcPr>
            <w:tcW w:w="0" w:type="auto"/>
            <w:gridSpan w:val="3"/>
            <w:shd w:val="clear" w:color="auto" w:fill="auto"/>
            <w:vAlign w:val="bottom"/>
          </w:tcPr>
          <w:p w14:paraId="392C37E2" w14:textId="77777777" w:rsidR="00980E5F" w:rsidRDefault="00980E5F">
            <w:pPr>
              <w:rPr>
                <w:rFonts w:ascii="宋体"/>
                <w:vanish/>
              </w:rPr>
            </w:pPr>
          </w:p>
        </w:tc>
        <w:tc>
          <w:tcPr>
            <w:tcW w:w="0" w:type="auto"/>
            <w:gridSpan w:val="3"/>
            <w:shd w:val="clear" w:color="auto" w:fill="auto"/>
            <w:vAlign w:val="bottom"/>
          </w:tcPr>
          <w:p w14:paraId="392C37E3" w14:textId="77777777" w:rsidR="00980E5F" w:rsidRDefault="00980E5F">
            <w:pPr>
              <w:rPr>
                <w:rFonts w:ascii="宋体"/>
                <w:vanish/>
              </w:rPr>
            </w:pPr>
          </w:p>
        </w:tc>
        <w:tc>
          <w:tcPr>
            <w:tcW w:w="0" w:type="auto"/>
            <w:gridSpan w:val="3"/>
            <w:shd w:val="clear" w:color="auto" w:fill="auto"/>
            <w:vAlign w:val="bottom"/>
          </w:tcPr>
          <w:p w14:paraId="392C37E4" w14:textId="77777777" w:rsidR="00980E5F" w:rsidRDefault="00980E5F">
            <w:pPr>
              <w:rPr>
                <w:rFonts w:ascii="宋体"/>
                <w:vanish/>
              </w:rPr>
            </w:pPr>
          </w:p>
        </w:tc>
        <w:tc>
          <w:tcPr>
            <w:tcW w:w="0" w:type="auto"/>
            <w:gridSpan w:val="3"/>
            <w:shd w:val="clear" w:color="auto" w:fill="auto"/>
            <w:vAlign w:val="bottom"/>
          </w:tcPr>
          <w:p w14:paraId="392C37E5" w14:textId="77777777" w:rsidR="00980E5F" w:rsidRDefault="00980E5F">
            <w:pPr>
              <w:rPr>
                <w:rFonts w:ascii="宋体"/>
                <w:vanish/>
              </w:rPr>
            </w:pPr>
          </w:p>
        </w:tc>
        <w:tc>
          <w:tcPr>
            <w:tcW w:w="0" w:type="auto"/>
            <w:gridSpan w:val="3"/>
            <w:shd w:val="clear" w:color="auto" w:fill="auto"/>
            <w:vAlign w:val="bottom"/>
          </w:tcPr>
          <w:p w14:paraId="392C37E6" w14:textId="77777777" w:rsidR="00980E5F" w:rsidRDefault="00980E5F">
            <w:pPr>
              <w:rPr>
                <w:rFonts w:ascii="宋体"/>
                <w:vanish/>
              </w:rPr>
            </w:pPr>
          </w:p>
        </w:tc>
        <w:tc>
          <w:tcPr>
            <w:tcW w:w="0" w:type="auto"/>
            <w:gridSpan w:val="3"/>
            <w:shd w:val="clear" w:color="auto" w:fill="auto"/>
            <w:vAlign w:val="bottom"/>
          </w:tcPr>
          <w:p w14:paraId="392C37E7" w14:textId="77777777" w:rsidR="00980E5F" w:rsidRDefault="00980E5F">
            <w:pPr>
              <w:rPr>
                <w:rFonts w:ascii="宋体"/>
                <w:vanish/>
              </w:rPr>
            </w:pPr>
          </w:p>
        </w:tc>
        <w:tc>
          <w:tcPr>
            <w:tcW w:w="0" w:type="auto"/>
            <w:gridSpan w:val="3"/>
            <w:shd w:val="clear" w:color="auto" w:fill="auto"/>
            <w:vAlign w:val="bottom"/>
          </w:tcPr>
          <w:p w14:paraId="392C37E8" w14:textId="77777777" w:rsidR="00980E5F" w:rsidRDefault="00980E5F">
            <w:pPr>
              <w:rPr>
                <w:rFonts w:ascii="宋体"/>
                <w:vanish/>
              </w:rPr>
            </w:pPr>
          </w:p>
        </w:tc>
        <w:tc>
          <w:tcPr>
            <w:tcW w:w="0" w:type="auto"/>
            <w:gridSpan w:val="3"/>
            <w:shd w:val="clear" w:color="auto" w:fill="auto"/>
            <w:vAlign w:val="bottom"/>
          </w:tcPr>
          <w:p w14:paraId="392C37E9" w14:textId="77777777" w:rsidR="00980E5F" w:rsidRDefault="00980E5F">
            <w:pPr>
              <w:rPr>
                <w:rFonts w:ascii="宋体"/>
                <w:vanish/>
              </w:rPr>
            </w:pPr>
          </w:p>
        </w:tc>
        <w:tc>
          <w:tcPr>
            <w:tcW w:w="0" w:type="auto"/>
            <w:gridSpan w:val="3"/>
            <w:shd w:val="clear" w:color="auto" w:fill="auto"/>
            <w:vAlign w:val="bottom"/>
          </w:tcPr>
          <w:p w14:paraId="392C37EA" w14:textId="77777777" w:rsidR="00980E5F" w:rsidRDefault="00980E5F">
            <w:pPr>
              <w:rPr>
                <w:rFonts w:ascii="宋体"/>
                <w:vanish/>
              </w:rPr>
            </w:pPr>
          </w:p>
        </w:tc>
        <w:tc>
          <w:tcPr>
            <w:tcW w:w="0" w:type="auto"/>
            <w:gridSpan w:val="3"/>
            <w:shd w:val="clear" w:color="auto" w:fill="auto"/>
            <w:vAlign w:val="bottom"/>
          </w:tcPr>
          <w:p w14:paraId="392C37EB" w14:textId="77777777" w:rsidR="00980E5F" w:rsidRDefault="00980E5F">
            <w:pPr>
              <w:rPr>
                <w:rFonts w:ascii="宋体"/>
                <w:vanish/>
              </w:rPr>
            </w:pPr>
          </w:p>
        </w:tc>
        <w:tc>
          <w:tcPr>
            <w:tcW w:w="0" w:type="auto"/>
            <w:gridSpan w:val="3"/>
            <w:shd w:val="clear" w:color="auto" w:fill="auto"/>
            <w:vAlign w:val="bottom"/>
          </w:tcPr>
          <w:p w14:paraId="392C37EC" w14:textId="77777777" w:rsidR="00980E5F" w:rsidRDefault="00980E5F">
            <w:pPr>
              <w:rPr>
                <w:rFonts w:ascii="宋体"/>
                <w:vanish/>
              </w:rPr>
            </w:pPr>
          </w:p>
        </w:tc>
      </w:tr>
      <w:tr w:rsidR="00980E5F" w14:paraId="392C3800" w14:textId="77777777">
        <w:trPr>
          <w:jc w:val="center"/>
          <w:hidden/>
        </w:trPr>
        <w:tc>
          <w:tcPr>
            <w:tcW w:w="0" w:type="auto"/>
            <w:gridSpan w:val="3"/>
            <w:shd w:val="clear" w:color="auto" w:fill="auto"/>
            <w:vAlign w:val="bottom"/>
          </w:tcPr>
          <w:p w14:paraId="392C37EE" w14:textId="77777777" w:rsidR="00980E5F" w:rsidRDefault="00980E5F">
            <w:pPr>
              <w:rPr>
                <w:rFonts w:ascii="宋体"/>
                <w:vanish/>
              </w:rPr>
            </w:pPr>
          </w:p>
        </w:tc>
        <w:tc>
          <w:tcPr>
            <w:tcW w:w="0" w:type="auto"/>
            <w:gridSpan w:val="3"/>
            <w:shd w:val="clear" w:color="auto" w:fill="auto"/>
            <w:vAlign w:val="bottom"/>
          </w:tcPr>
          <w:p w14:paraId="392C37EF" w14:textId="77777777" w:rsidR="00980E5F" w:rsidRDefault="00980E5F">
            <w:pPr>
              <w:rPr>
                <w:rFonts w:ascii="宋体"/>
                <w:vanish/>
              </w:rPr>
            </w:pPr>
          </w:p>
        </w:tc>
        <w:tc>
          <w:tcPr>
            <w:tcW w:w="0" w:type="auto"/>
            <w:gridSpan w:val="3"/>
            <w:shd w:val="clear" w:color="auto" w:fill="auto"/>
            <w:vAlign w:val="bottom"/>
          </w:tcPr>
          <w:p w14:paraId="392C37F0" w14:textId="77777777" w:rsidR="00980E5F" w:rsidRDefault="00980E5F">
            <w:pPr>
              <w:rPr>
                <w:rFonts w:ascii="宋体"/>
                <w:vanish/>
              </w:rPr>
            </w:pPr>
          </w:p>
        </w:tc>
        <w:tc>
          <w:tcPr>
            <w:tcW w:w="0" w:type="auto"/>
            <w:gridSpan w:val="3"/>
            <w:shd w:val="clear" w:color="auto" w:fill="auto"/>
            <w:vAlign w:val="bottom"/>
          </w:tcPr>
          <w:p w14:paraId="392C37F1" w14:textId="77777777" w:rsidR="00980E5F" w:rsidRDefault="00980E5F">
            <w:pPr>
              <w:rPr>
                <w:rFonts w:ascii="宋体"/>
                <w:vanish/>
              </w:rPr>
            </w:pPr>
          </w:p>
        </w:tc>
        <w:tc>
          <w:tcPr>
            <w:tcW w:w="0" w:type="auto"/>
            <w:gridSpan w:val="3"/>
            <w:shd w:val="clear" w:color="auto" w:fill="auto"/>
            <w:vAlign w:val="bottom"/>
          </w:tcPr>
          <w:p w14:paraId="392C37F2" w14:textId="77777777" w:rsidR="00980E5F" w:rsidRDefault="00980E5F">
            <w:pPr>
              <w:rPr>
                <w:rFonts w:ascii="宋体"/>
                <w:vanish/>
              </w:rPr>
            </w:pPr>
          </w:p>
        </w:tc>
        <w:tc>
          <w:tcPr>
            <w:tcW w:w="0" w:type="auto"/>
            <w:gridSpan w:val="3"/>
            <w:shd w:val="clear" w:color="auto" w:fill="auto"/>
            <w:vAlign w:val="bottom"/>
          </w:tcPr>
          <w:p w14:paraId="392C37F3" w14:textId="77777777" w:rsidR="00980E5F" w:rsidRDefault="00980E5F">
            <w:pPr>
              <w:rPr>
                <w:rFonts w:ascii="宋体"/>
                <w:vanish/>
              </w:rPr>
            </w:pPr>
          </w:p>
        </w:tc>
        <w:tc>
          <w:tcPr>
            <w:tcW w:w="0" w:type="auto"/>
            <w:gridSpan w:val="3"/>
            <w:shd w:val="clear" w:color="auto" w:fill="auto"/>
            <w:vAlign w:val="bottom"/>
          </w:tcPr>
          <w:p w14:paraId="392C37F4" w14:textId="77777777" w:rsidR="00980E5F" w:rsidRDefault="00980E5F">
            <w:pPr>
              <w:rPr>
                <w:rFonts w:ascii="宋体"/>
                <w:vanish/>
              </w:rPr>
            </w:pPr>
          </w:p>
        </w:tc>
        <w:tc>
          <w:tcPr>
            <w:tcW w:w="0" w:type="auto"/>
            <w:gridSpan w:val="3"/>
            <w:shd w:val="clear" w:color="auto" w:fill="auto"/>
            <w:vAlign w:val="bottom"/>
          </w:tcPr>
          <w:p w14:paraId="392C37F5" w14:textId="77777777" w:rsidR="00980E5F" w:rsidRDefault="00980E5F">
            <w:pPr>
              <w:rPr>
                <w:rFonts w:ascii="宋体"/>
                <w:vanish/>
              </w:rPr>
            </w:pPr>
          </w:p>
        </w:tc>
        <w:tc>
          <w:tcPr>
            <w:tcW w:w="0" w:type="auto"/>
            <w:gridSpan w:val="3"/>
            <w:shd w:val="clear" w:color="auto" w:fill="auto"/>
            <w:vAlign w:val="bottom"/>
          </w:tcPr>
          <w:p w14:paraId="392C37F6" w14:textId="77777777" w:rsidR="00980E5F" w:rsidRDefault="00980E5F">
            <w:pPr>
              <w:rPr>
                <w:rFonts w:ascii="宋体"/>
                <w:vanish/>
              </w:rPr>
            </w:pPr>
          </w:p>
        </w:tc>
        <w:tc>
          <w:tcPr>
            <w:tcW w:w="0" w:type="auto"/>
            <w:gridSpan w:val="3"/>
            <w:shd w:val="clear" w:color="auto" w:fill="auto"/>
            <w:vAlign w:val="bottom"/>
          </w:tcPr>
          <w:p w14:paraId="392C37F7" w14:textId="77777777" w:rsidR="00980E5F" w:rsidRDefault="00980E5F">
            <w:pPr>
              <w:rPr>
                <w:rFonts w:ascii="宋体"/>
                <w:vanish/>
              </w:rPr>
            </w:pPr>
          </w:p>
        </w:tc>
        <w:tc>
          <w:tcPr>
            <w:tcW w:w="0" w:type="auto"/>
            <w:gridSpan w:val="3"/>
            <w:shd w:val="clear" w:color="auto" w:fill="auto"/>
            <w:vAlign w:val="bottom"/>
          </w:tcPr>
          <w:p w14:paraId="392C37F8" w14:textId="77777777" w:rsidR="00980E5F" w:rsidRDefault="00980E5F">
            <w:pPr>
              <w:rPr>
                <w:rFonts w:ascii="宋体"/>
                <w:vanish/>
              </w:rPr>
            </w:pPr>
          </w:p>
        </w:tc>
        <w:tc>
          <w:tcPr>
            <w:tcW w:w="0" w:type="auto"/>
            <w:gridSpan w:val="3"/>
            <w:shd w:val="clear" w:color="auto" w:fill="auto"/>
            <w:vAlign w:val="bottom"/>
          </w:tcPr>
          <w:p w14:paraId="392C37F9" w14:textId="77777777" w:rsidR="00980E5F" w:rsidRDefault="00980E5F">
            <w:pPr>
              <w:rPr>
                <w:rFonts w:ascii="宋体"/>
                <w:vanish/>
              </w:rPr>
            </w:pPr>
          </w:p>
        </w:tc>
        <w:tc>
          <w:tcPr>
            <w:tcW w:w="0" w:type="auto"/>
            <w:gridSpan w:val="3"/>
            <w:shd w:val="clear" w:color="auto" w:fill="auto"/>
            <w:vAlign w:val="bottom"/>
          </w:tcPr>
          <w:p w14:paraId="392C37FA" w14:textId="77777777" w:rsidR="00980E5F" w:rsidRDefault="00980E5F">
            <w:pPr>
              <w:rPr>
                <w:rFonts w:ascii="宋体"/>
                <w:vanish/>
              </w:rPr>
            </w:pPr>
          </w:p>
        </w:tc>
        <w:tc>
          <w:tcPr>
            <w:tcW w:w="0" w:type="auto"/>
            <w:gridSpan w:val="3"/>
            <w:shd w:val="clear" w:color="auto" w:fill="auto"/>
            <w:vAlign w:val="bottom"/>
          </w:tcPr>
          <w:p w14:paraId="392C37FB" w14:textId="77777777" w:rsidR="00980E5F" w:rsidRDefault="00980E5F">
            <w:pPr>
              <w:rPr>
                <w:rFonts w:ascii="宋体"/>
                <w:vanish/>
              </w:rPr>
            </w:pPr>
          </w:p>
        </w:tc>
        <w:tc>
          <w:tcPr>
            <w:tcW w:w="0" w:type="auto"/>
            <w:gridSpan w:val="3"/>
            <w:shd w:val="clear" w:color="auto" w:fill="auto"/>
            <w:vAlign w:val="bottom"/>
          </w:tcPr>
          <w:p w14:paraId="392C37FC" w14:textId="77777777" w:rsidR="00980E5F" w:rsidRDefault="00980E5F">
            <w:pPr>
              <w:rPr>
                <w:rFonts w:ascii="宋体"/>
                <w:vanish/>
              </w:rPr>
            </w:pPr>
          </w:p>
        </w:tc>
        <w:tc>
          <w:tcPr>
            <w:tcW w:w="0" w:type="auto"/>
            <w:gridSpan w:val="3"/>
            <w:shd w:val="clear" w:color="auto" w:fill="auto"/>
            <w:vAlign w:val="bottom"/>
          </w:tcPr>
          <w:p w14:paraId="392C37FD" w14:textId="77777777" w:rsidR="00980E5F" w:rsidRDefault="00980E5F">
            <w:pPr>
              <w:rPr>
                <w:rFonts w:ascii="宋体"/>
                <w:vanish/>
              </w:rPr>
            </w:pPr>
          </w:p>
        </w:tc>
        <w:tc>
          <w:tcPr>
            <w:tcW w:w="0" w:type="auto"/>
            <w:gridSpan w:val="3"/>
            <w:shd w:val="clear" w:color="auto" w:fill="auto"/>
            <w:vAlign w:val="bottom"/>
          </w:tcPr>
          <w:p w14:paraId="392C37FE" w14:textId="77777777" w:rsidR="00980E5F" w:rsidRDefault="00980E5F">
            <w:pPr>
              <w:rPr>
                <w:rFonts w:ascii="宋体"/>
                <w:vanish/>
              </w:rPr>
            </w:pPr>
          </w:p>
        </w:tc>
        <w:tc>
          <w:tcPr>
            <w:tcW w:w="0" w:type="auto"/>
            <w:gridSpan w:val="3"/>
            <w:shd w:val="clear" w:color="auto" w:fill="auto"/>
            <w:vAlign w:val="bottom"/>
          </w:tcPr>
          <w:p w14:paraId="392C37FF" w14:textId="77777777" w:rsidR="00980E5F" w:rsidRDefault="00980E5F">
            <w:pPr>
              <w:rPr>
                <w:rFonts w:ascii="宋体"/>
                <w:vanish/>
              </w:rPr>
            </w:pPr>
          </w:p>
        </w:tc>
      </w:tr>
      <w:tr w:rsidR="00980E5F" w14:paraId="392C3813" w14:textId="77777777">
        <w:trPr>
          <w:jc w:val="center"/>
          <w:hidden/>
        </w:trPr>
        <w:tc>
          <w:tcPr>
            <w:tcW w:w="0" w:type="auto"/>
            <w:gridSpan w:val="3"/>
            <w:shd w:val="clear" w:color="auto" w:fill="auto"/>
            <w:vAlign w:val="bottom"/>
          </w:tcPr>
          <w:p w14:paraId="392C3801" w14:textId="77777777" w:rsidR="00980E5F" w:rsidRDefault="00980E5F">
            <w:pPr>
              <w:rPr>
                <w:rFonts w:ascii="宋体"/>
                <w:vanish/>
              </w:rPr>
            </w:pPr>
          </w:p>
        </w:tc>
        <w:tc>
          <w:tcPr>
            <w:tcW w:w="0" w:type="auto"/>
            <w:gridSpan w:val="3"/>
            <w:shd w:val="clear" w:color="auto" w:fill="auto"/>
            <w:vAlign w:val="bottom"/>
          </w:tcPr>
          <w:p w14:paraId="392C3802" w14:textId="77777777" w:rsidR="00980E5F" w:rsidRDefault="00980E5F">
            <w:pPr>
              <w:rPr>
                <w:rFonts w:ascii="宋体"/>
                <w:vanish/>
              </w:rPr>
            </w:pPr>
          </w:p>
        </w:tc>
        <w:tc>
          <w:tcPr>
            <w:tcW w:w="0" w:type="auto"/>
            <w:gridSpan w:val="3"/>
            <w:shd w:val="clear" w:color="auto" w:fill="auto"/>
            <w:vAlign w:val="bottom"/>
          </w:tcPr>
          <w:p w14:paraId="392C3803" w14:textId="77777777" w:rsidR="00980E5F" w:rsidRDefault="00980E5F">
            <w:pPr>
              <w:rPr>
                <w:rFonts w:ascii="宋体"/>
                <w:vanish/>
              </w:rPr>
            </w:pPr>
          </w:p>
        </w:tc>
        <w:tc>
          <w:tcPr>
            <w:tcW w:w="0" w:type="auto"/>
            <w:gridSpan w:val="3"/>
            <w:shd w:val="clear" w:color="auto" w:fill="auto"/>
            <w:vAlign w:val="bottom"/>
          </w:tcPr>
          <w:p w14:paraId="392C3804" w14:textId="77777777" w:rsidR="00980E5F" w:rsidRDefault="00980E5F">
            <w:pPr>
              <w:rPr>
                <w:rFonts w:ascii="宋体"/>
                <w:vanish/>
              </w:rPr>
            </w:pPr>
          </w:p>
        </w:tc>
        <w:tc>
          <w:tcPr>
            <w:tcW w:w="0" w:type="auto"/>
            <w:gridSpan w:val="3"/>
            <w:shd w:val="clear" w:color="auto" w:fill="auto"/>
            <w:vAlign w:val="bottom"/>
          </w:tcPr>
          <w:p w14:paraId="392C3805" w14:textId="77777777" w:rsidR="00980E5F" w:rsidRDefault="00980E5F">
            <w:pPr>
              <w:rPr>
                <w:rFonts w:ascii="宋体"/>
                <w:vanish/>
              </w:rPr>
            </w:pPr>
          </w:p>
        </w:tc>
        <w:tc>
          <w:tcPr>
            <w:tcW w:w="0" w:type="auto"/>
            <w:gridSpan w:val="3"/>
            <w:shd w:val="clear" w:color="auto" w:fill="auto"/>
            <w:vAlign w:val="bottom"/>
          </w:tcPr>
          <w:p w14:paraId="392C3806" w14:textId="77777777" w:rsidR="00980E5F" w:rsidRDefault="00980E5F">
            <w:pPr>
              <w:rPr>
                <w:rFonts w:ascii="宋体"/>
                <w:vanish/>
              </w:rPr>
            </w:pPr>
          </w:p>
        </w:tc>
        <w:tc>
          <w:tcPr>
            <w:tcW w:w="0" w:type="auto"/>
            <w:gridSpan w:val="3"/>
            <w:shd w:val="clear" w:color="auto" w:fill="auto"/>
            <w:vAlign w:val="bottom"/>
          </w:tcPr>
          <w:p w14:paraId="392C3807" w14:textId="77777777" w:rsidR="00980E5F" w:rsidRDefault="00980E5F">
            <w:pPr>
              <w:rPr>
                <w:rFonts w:ascii="宋体"/>
                <w:vanish/>
              </w:rPr>
            </w:pPr>
          </w:p>
        </w:tc>
        <w:tc>
          <w:tcPr>
            <w:tcW w:w="0" w:type="auto"/>
            <w:gridSpan w:val="3"/>
            <w:shd w:val="clear" w:color="auto" w:fill="auto"/>
            <w:vAlign w:val="bottom"/>
          </w:tcPr>
          <w:p w14:paraId="392C3808" w14:textId="77777777" w:rsidR="00980E5F" w:rsidRDefault="00980E5F">
            <w:pPr>
              <w:rPr>
                <w:rFonts w:ascii="宋体"/>
                <w:vanish/>
              </w:rPr>
            </w:pPr>
          </w:p>
        </w:tc>
        <w:tc>
          <w:tcPr>
            <w:tcW w:w="0" w:type="auto"/>
            <w:gridSpan w:val="3"/>
            <w:shd w:val="clear" w:color="auto" w:fill="auto"/>
            <w:vAlign w:val="bottom"/>
          </w:tcPr>
          <w:p w14:paraId="392C3809" w14:textId="77777777" w:rsidR="00980E5F" w:rsidRDefault="00980E5F">
            <w:pPr>
              <w:rPr>
                <w:rFonts w:ascii="宋体"/>
                <w:vanish/>
              </w:rPr>
            </w:pPr>
          </w:p>
        </w:tc>
        <w:tc>
          <w:tcPr>
            <w:tcW w:w="0" w:type="auto"/>
            <w:gridSpan w:val="3"/>
            <w:shd w:val="clear" w:color="auto" w:fill="auto"/>
            <w:vAlign w:val="bottom"/>
          </w:tcPr>
          <w:p w14:paraId="392C380A" w14:textId="77777777" w:rsidR="00980E5F" w:rsidRDefault="00980E5F">
            <w:pPr>
              <w:rPr>
                <w:rFonts w:ascii="宋体"/>
                <w:vanish/>
              </w:rPr>
            </w:pPr>
          </w:p>
        </w:tc>
        <w:tc>
          <w:tcPr>
            <w:tcW w:w="0" w:type="auto"/>
            <w:gridSpan w:val="3"/>
            <w:shd w:val="clear" w:color="auto" w:fill="auto"/>
            <w:vAlign w:val="bottom"/>
          </w:tcPr>
          <w:p w14:paraId="392C380B" w14:textId="77777777" w:rsidR="00980E5F" w:rsidRDefault="00980E5F">
            <w:pPr>
              <w:rPr>
                <w:rFonts w:ascii="宋体"/>
                <w:vanish/>
              </w:rPr>
            </w:pPr>
          </w:p>
        </w:tc>
        <w:tc>
          <w:tcPr>
            <w:tcW w:w="0" w:type="auto"/>
            <w:gridSpan w:val="3"/>
            <w:shd w:val="clear" w:color="auto" w:fill="auto"/>
            <w:vAlign w:val="bottom"/>
          </w:tcPr>
          <w:p w14:paraId="392C380C" w14:textId="77777777" w:rsidR="00980E5F" w:rsidRDefault="00980E5F">
            <w:pPr>
              <w:rPr>
                <w:rFonts w:ascii="宋体"/>
                <w:vanish/>
              </w:rPr>
            </w:pPr>
          </w:p>
        </w:tc>
        <w:tc>
          <w:tcPr>
            <w:tcW w:w="0" w:type="auto"/>
            <w:gridSpan w:val="3"/>
            <w:shd w:val="clear" w:color="auto" w:fill="auto"/>
            <w:vAlign w:val="bottom"/>
          </w:tcPr>
          <w:p w14:paraId="392C380D" w14:textId="77777777" w:rsidR="00980E5F" w:rsidRDefault="00980E5F">
            <w:pPr>
              <w:rPr>
                <w:rFonts w:ascii="宋体"/>
                <w:vanish/>
              </w:rPr>
            </w:pPr>
          </w:p>
        </w:tc>
        <w:tc>
          <w:tcPr>
            <w:tcW w:w="0" w:type="auto"/>
            <w:gridSpan w:val="3"/>
            <w:shd w:val="clear" w:color="auto" w:fill="auto"/>
            <w:vAlign w:val="bottom"/>
          </w:tcPr>
          <w:p w14:paraId="392C380E" w14:textId="77777777" w:rsidR="00980E5F" w:rsidRDefault="00980E5F">
            <w:pPr>
              <w:rPr>
                <w:rFonts w:ascii="宋体"/>
                <w:vanish/>
              </w:rPr>
            </w:pPr>
          </w:p>
        </w:tc>
        <w:tc>
          <w:tcPr>
            <w:tcW w:w="0" w:type="auto"/>
            <w:gridSpan w:val="3"/>
            <w:shd w:val="clear" w:color="auto" w:fill="auto"/>
            <w:vAlign w:val="bottom"/>
          </w:tcPr>
          <w:p w14:paraId="392C380F" w14:textId="77777777" w:rsidR="00980E5F" w:rsidRDefault="00980E5F">
            <w:pPr>
              <w:rPr>
                <w:rFonts w:ascii="宋体"/>
                <w:vanish/>
              </w:rPr>
            </w:pPr>
          </w:p>
        </w:tc>
        <w:tc>
          <w:tcPr>
            <w:tcW w:w="0" w:type="auto"/>
            <w:gridSpan w:val="3"/>
            <w:shd w:val="clear" w:color="auto" w:fill="auto"/>
            <w:vAlign w:val="bottom"/>
          </w:tcPr>
          <w:p w14:paraId="392C3810" w14:textId="77777777" w:rsidR="00980E5F" w:rsidRDefault="00980E5F">
            <w:pPr>
              <w:rPr>
                <w:rFonts w:ascii="宋体"/>
                <w:vanish/>
              </w:rPr>
            </w:pPr>
          </w:p>
        </w:tc>
        <w:tc>
          <w:tcPr>
            <w:tcW w:w="0" w:type="auto"/>
            <w:gridSpan w:val="3"/>
            <w:shd w:val="clear" w:color="auto" w:fill="auto"/>
            <w:vAlign w:val="bottom"/>
          </w:tcPr>
          <w:p w14:paraId="392C3811" w14:textId="77777777" w:rsidR="00980E5F" w:rsidRDefault="00980E5F">
            <w:pPr>
              <w:rPr>
                <w:rFonts w:ascii="宋体"/>
                <w:vanish/>
              </w:rPr>
            </w:pPr>
          </w:p>
        </w:tc>
        <w:tc>
          <w:tcPr>
            <w:tcW w:w="0" w:type="auto"/>
            <w:gridSpan w:val="3"/>
            <w:shd w:val="clear" w:color="auto" w:fill="auto"/>
            <w:vAlign w:val="bottom"/>
          </w:tcPr>
          <w:p w14:paraId="392C3812" w14:textId="77777777" w:rsidR="00980E5F" w:rsidRDefault="00980E5F">
            <w:pPr>
              <w:rPr>
                <w:rFonts w:ascii="宋体"/>
                <w:vanish/>
              </w:rPr>
            </w:pPr>
          </w:p>
        </w:tc>
      </w:tr>
      <w:tr w:rsidR="00980E5F" w14:paraId="392C3826" w14:textId="77777777">
        <w:trPr>
          <w:jc w:val="center"/>
          <w:hidden/>
        </w:trPr>
        <w:tc>
          <w:tcPr>
            <w:tcW w:w="0" w:type="auto"/>
            <w:gridSpan w:val="3"/>
            <w:shd w:val="clear" w:color="auto" w:fill="auto"/>
            <w:vAlign w:val="bottom"/>
          </w:tcPr>
          <w:p w14:paraId="392C3814" w14:textId="77777777" w:rsidR="00980E5F" w:rsidRDefault="00980E5F">
            <w:pPr>
              <w:rPr>
                <w:rFonts w:ascii="宋体"/>
                <w:vanish/>
              </w:rPr>
            </w:pPr>
          </w:p>
        </w:tc>
        <w:tc>
          <w:tcPr>
            <w:tcW w:w="0" w:type="auto"/>
            <w:gridSpan w:val="3"/>
            <w:shd w:val="clear" w:color="auto" w:fill="auto"/>
            <w:vAlign w:val="bottom"/>
          </w:tcPr>
          <w:p w14:paraId="392C3815" w14:textId="77777777" w:rsidR="00980E5F" w:rsidRDefault="00980E5F">
            <w:pPr>
              <w:rPr>
                <w:rFonts w:ascii="宋体"/>
                <w:vanish/>
              </w:rPr>
            </w:pPr>
          </w:p>
        </w:tc>
        <w:tc>
          <w:tcPr>
            <w:tcW w:w="0" w:type="auto"/>
            <w:gridSpan w:val="3"/>
            <w:shd w:val="clear" w:color="auto" w:fill="auto"/>
            <w:vAlign w:val="bottom"/>
          </w:tcPr>
          <w:p w14:paraId="392C3816" w14:textId="77777777" w:rsidR="00980E5F" w:rsidRDefault="00980E5F">
            <w:pPr>
              <w:rPr>
                <w:rFonts w:ascii="宋体"/>
                <w:vanish/>
              </w:rPr>
            </w:pPr>
          </w:p>
        </w:tc>
        <w:tc>
          <w:tcPr>
            <w:tcW w:w="0" w:type="auto"/>
            <w:gridSpan w:val="3"/>
            <w:shd w:val="clear" w:color="auto" w:fill="auto"/>
            <w:vAlign w:val="bottom"/>
          </w:tcPr>
          <w:p w14:paraId="392C3817" w14:textId="77777777" w:rsidR="00980E5F" w:rsidRDefault="00980E5F">
            <w:pPr>
              <w:rPr>
                <w:rFonts w:ascii="宋体"/>
                <w:vanish/>
              </w:rPr>
            </w:pPr>
          </w:p>
        </w:tc>
        <w:tc>
          <w:tcPr>
            <w:tcW w:w="0" w:type="auto"/>
            <w:gridSpan w:val="3"/>
            <w:shd w:val="clear" w:color="auto" w:fill="auto"/>
            <w:vAlign w:val="bottom"/>
          </w:tcPr>
          <w:p w14:paraId="392C3818" w14:textId="77777777" w:rsidR="00980E5F" w:rsidRDefault="00980E5F">
            <w:pPr>
              <w:rPr>
                <w:rFonts w:ascii="宋体"/>
                <w:vanish/>
              </w:rPr>
            </w:pPr>
          </w:p>
        </w:tc>
        <w:tc>
          <w:tcPr>
            <w:tcW w:w="0" w:type="auto"/>
            <w:gridSpan w:val="3"/>
            <w:shd w:val="clear" w:color="auto" w:fill="auto"/>
            <w:vAlign w:val="bottom"/>
          </w:tcPr>
          <w:p w14:paraId="392C3819" w14:textId="77777777" w:rsidR="00980E5F" w:rsidRDefault="00980E5F">
            <w:pPr>
              <w:rPr>
                <w:rFonts w:ascii="宋体"/>
                <w:vanish/>
              </w:rPr>
            </w:pPr>
          </w:p>
        </w:tc>
        <w:tc>
          <w:tcPr>
            <w:tcW w:w="0" w:type="auto"/>
            <w:gridSpan w:val="3"/>
            <w:shd w:val="clear" w:color="auto" w:fill="auto"/>
            <w:vAlign w:val="bottom"/>
          </w:tcPr>
          <w:p w14:paraId="392C381A" w14:textId="77777777" w:rsidR="00980E5F" w:rsidRDefault="00980E5F">
            <w:pPr>
              <w:rPr>
                <w:rFonts w:ascii="宋体"/>
                <w:vanish/>
              </w:rPr>
            </w:pPr>
          </w:p>
        </w:tc>
        <w:tc>
          <w:tcPr>
            <w:tcW w:w="0" w:type="auto"/>
            <w:gridSpan w:val="3"/>
            <w:shd w:val="clear" w:color="auto" w:fill="auto"/>
            <w:vAlign w:val="bottom"/>
          </w:tcPr>
          <w:p w14:paraId="392C381B" w14:textId="77777777" w:rsidR="00980E5F" w:rsidRDefault="00980E5F">
            <w:pPr>
              <w:rPr>
                <w:rFonts w:ascii="宋体"/>
                <w:vanish/>
              </w:rPr>
            </w:pPr>
          </w:p>
        </w:tc>
        <w:tc>
          <w:tcPr>
            <w:tcW w:w="0" w:type="auto"/>
            <w:gridSpan w:val="3"/>
            <w:shd w:val="clear" w:color="auto" w:fill="auto"/>
            <w:vAlign w:val="bottom"/>
          </w:tcPr>
          <w:p w14:paraId="392C381C" w14:textId="77777777" w:rsidR="00980E5F" w:rsidRDefault="00980E5F">
            <w:pPr>
              <w:rPr>
                <w:rFonts w:ascii="宋体"/>
                <w:vanish/>
              </w:rPr>
            </w:pPr>
          </w:p>
        </w:tc>
        <w:tc>
          <w:tcPr>
            <w:tcW w:w="0" w:type="auto"/>
            <w:gridSpan w:val="3"/>
            <w:shd w:val="clear" w:color="auto" w:fill="auto"/>
            <w:vAlign w:val="bottom"/>
          </w:tcPr>
          <w:p w14:paraId="392C381D" w14:textId="77777777" w:rsidR="00980E5F" w:rsidRDefault="00980E5F">
            <w:pPr>
              <w:rPr>
                <w:rFonts w:ascii="宋体"/>
                <w:vanish/>
              </w:rPr>
            </w:pPr>
          </w:p>
        </w:tc>
        <w:tc>
          <w:tcPr>
            <w:tcW w:w="0" w:type="auto"/>
            <w:gridSpan w:val="3"/>
            <w:shd w:val="clear" w:color="auto" w:fill="auto"/>
            <w:vAlign w:val="bottom"/>
          </w:tcPr>
          <w:p w14:paraId="392C381E" w14:textId="77777777" w:rsidR="00980E5F" w:rsidRDefault="00980E5F">
            <w:pPr>
              <w:rPr>
                <w:rFonts w:ascii="宋体"/>
                <w:vanish/>
              </w:rPr>
            </w:pPr>
          </w:p>
        </w:tc>
        <w:tc>
          <w:tcPr>
            <w:tcW w:w="0" w:type="auto"/>
            <w:gridSpan w:val="3"/>
            <w:shd w:val="clear" w:color="auto" w:fill="auto"/>
            <w:vAlign w:val="bottom"/>
          </w:tcPr>
          <w:p w14:paraId="392C381F" w14:textId="77777777" w:rsidR="00980E5F" w:rsidRDefault="00980E5F">
            <w:pPr>
              <w:rPr>
                <w:rFonts w:ascii="宋体"/>
                <w:vanish/>
              </w:rPr>
            </w:pPr>
          </w:p>
        </w:tc>
        <w:tc>
          <w:tcPr>
            <w:tcW w:w="0" w:type="auto"/>
            <w:gridSpan w:val="3"/>
            <w:shd w:val="clear" w:color="auto" w:fill="auto"/>
            <w:vAlign w:val="bottom"/>
          </w:tcPr>
          <w:p w14:paraId="392C3820" w14:textId="77777777" w:rsidR="00980E5F" w:rsidRDefault="00980E5F">
            <w:pPr>
              <w:rPr>
                <w:rFonts w:ascii="宋体"/>
                <w:vanish/>
              </w:rPr>
            </w:pPr>
          </w:p>
        </w:tc>
        <w:tc>
          <w:tcPr>
            <w:tcW w:w="0" w:type="auto"/>
            <w:gridSpan w:val="3"/>
            <w:shd w:val="clear" w:color="auto" w:fill="auto"/>
            <w:vAlign w:val="bottom"/>
          </w:tcPr>
          <w:p w14:paraId="392C3821" w14:textId="77777777" w:rsidR="00980E5F" w:rsidRDefault="00980E5F">
            <w:pPr>
              <w:rPr>
                <w:rFonts w:ascii="宋体"/>
                <w:vanish/>
              </w:rPr>
            </w:pPr>
          </w:p>
        </w:tc>
        <w:tc>
          <w:tcPr>
            <w:tcW w:w="0" w:type="auto"/>
            <w:gridSpan w:val="3"/>
            <w:shd w:val="clear" w:color="auto" w:fill="auto"/>
            <w:vAlign w:val="bottom"/>
          </w:tcPr>
          <w:p w14:paraId="392C3822" w14:textId="77777777" w:rsidR="00980E5F" w:rsidRDefault="00980E5F">
            <w:pPr>
              <w:rPr>
                <w:rFonts w:ascii="宋体"/>
                <w:vanish/>
              </w:rPr>
            </w:pPr>
          </w:p>
        </w:tc>
        <w:tc>
          <w:tcPr>
            <w:tcW w:w="0" w:type="auto"/>
            <w:gridSpan w:val="3"/>
            <w:shd w:val="clear" w:color="auto" w:fill="auto"/>
            <w:vAlign w:val="bottom"/>
          </w:tcPr>
          <w:p w14:paraId="392C3823" w14:textId="77777777" w:rsidR="00980E5F" w:rsidRDefault="00980E5F">
            <w:pPr>
              <w:rPr>
                <w:rFonts w:ascii="宋体"/>
                <w:vanish/>
              </w:rPr>
            </w:pPr>
          </w:p>
        </w:tc>
        <w:tc>
          <w:tcPr>
            <w:tcW w:w="0" w:type="auto"/>
            <w:gridSpan w:val="3"/>
            <w:shd w:val="clear" w:color="auto" w:fill="auto"/>
            <w:vAlign w:val="bottom"/>
          </w:tcPr>
          <w:p w14:paraId="392C3824" w14:textId="77777777" w:rsidR="00980E5F" w:rsidRDefault="00980E5F">
            <w:pPr>
              <w:rPr>
                <w:rFonts w:ascii="宋体"/>
                <w:vanish/>
              </w:rPr>
            </w:pPr>
          </w:p>
        </w:tc>
        <w:tc>
          <w:tcPr>
            <w:tcW w:w="0" w:type="auto"/>
            <w:gridSpan w:val="3"/>
            <w:shd w:val="clear" w:color="auto" w:fill="auto"/>
            <w:vAlign w:val="bottom"/>
          </w:tcPr>
          <w:p w14:paraId="392C3825" w14:textId="77777777" w:rsidR="00980E5F" w:rsidRDefault="00980E5F">
            <w:pPr>
              <w:rPr>
                <w:rFonts w:ascii="宋体"/>
                <w:vanish/>
              </w:rPr>
            </w:pPr>
          </w:p>
        </w:tc>
      </w:tr>
      <w:tr w:rsidR="00980E5F" w14:paraId="392C3839" w14:textId="77777777">
        <w:trPr>
          <w:jc w:val="center"/>
          <w:hidden/>
        </w:trPr>
        <w:tc>
          <w:tcPr>
            <w:tcW w:w="0" w:type="auto"/>
            <w:gridSpan w:val="3"/>
            <w:shd w:val="clear" w:color="auto" w:fill="auto"/>
            <w:vAlign w:val="bottom"/>
          </w:tcPr>
          <w:p w14:paraId="392C3827" w14:textId="77777777" w:rsidR="00980E5F" w:rsidRDefault="00980E5F">
            <w:pPr>
              <w:rPr>
                <w:rFonts w:ascii="宋体"/>
                <w:vanish/>
              </w:rPr>
            </w:pPr>
          </w:p>
        </w:tc>
        <w:tc>
          <w:tcPr>
            <w:tcW w:w="0" w:type="auto"/>
            <w:gridSpan w:val="3"/>
            <w:shd w:val="clear" w:color="auto" w:fill="auto"/>
            <w:vAlign w:val="bottom"/>
          </w:tcPr>
          <w:p w14:paraId="392C3828" w14:textId="77777777" w:rsidR="00980E5F" w:rsidRDefault="00980E5F">
            <w:pPr>
              <w:rPr>
                <w:rFonts w:ascii="宋体"/>
                <w:vanish/>
              </w:rPr>
            </w:pPr>
          </w:p>
        </w:tc>
        <w:tc>
          <w:tcPr>
            <w:tcW w:w="0" w:type="auto"/>
            <w:gridSpan w:val="3"/>
            <w:shd w:val="clear" w:color="auto" w:fill="auto"/>
            <w:vAlign w:val="bottom"/>
          </w:tcPr>
          <w:p w14:paraId="392C3829" w14:textId="77777777" w:rsidR="00980E5F" w:rsidRDefault="00980E5F">
            <w:pPr>
              <w:rPr>
                <w:rFonts w:ascii="宋体"/>
                <w:vanish/>
              </w:rPr>
            </w:pPr>
          </w:p>
        </w:tc>
        <w:tc>
          <w:tcPr>
            <w:tcW w:w="0" w:type="auto"/>
            <w:gridSpan w:val="3"/>
            <w:shd w:val="clear" w:color="auto" w:fill="auto"/>
            <w:vAlign w:val="bottom"/>
          </w:tcPr>
          <w:p w14:paraId="392C382A" w14:textId="77777777" w:rsidR="00980E5F" w:rsidRDefault="00980E5F">
            <w:pPr>
              <w:rPr>
                <w:rFonts w:ascii="宋体"/>
                <w:vanish/>
              </w:rPr>
            </w:pPr>
          </w:p>
        </w:tc>
        <w:tc>
          <w:tcPr>
            <w:tcW w:w="0" w:type="auto"/>
            <w:gridSpan w:val="3"/>
            <w:shd w:val="clear" w:color="auto" w:fill="auto"/>
            <w:vAlign w:val="bottom"/>
          </w:tcPr>
          <w:p w14:paraId="392C382B" w14:textId="77777777" w:rsidR="00980E5F" w:rsidRDefault="00980E5F">
            <w:pPr>
              <w:rPr>
                <w:rFonts w:ascii="宋体"/>
                <w:vanish/>
              </w:rPr>
            </w:pPr>
          </w:p>
        </w:tc>
        <w:tc>
          <w:tcPr>
            <w:tcW w:w="0" w:type="auto"/>
            <w:gridSpan w:val="3"/>
            <w:shd w:val="clear" w:color="auto" w:fill="auto"/>
            <w:vAlign w:val="bottom"/>
          </w:tcPr>
          <w:p w14:paraId="392C382C" w14:textId="77777777" w:rsidR="00980E5F" w:rsidRDefault="00980E5F">
            <w:pPr>
              <w:rPr>
                <w:rFonts w:ascii="宋体"/>
                <w:vanish/>
              </w:rPr>
            </w:pPr>
          </w:p>
        </w:tc>
        <w:tc>
          <w:tcPr>
            <w:tcW w:w="0" w:type="auto"/>
            <w:gridSpan w:val="3"/>
            <w:shd w:val="clear" w:color="auto" w:fill="auto"/>
            <w:vAlign w:val="bottom"/>
          </w:tcPr>
          <w:p w14:paraId="392C382D" w14:textId="77777777" w:rsidR="00980E5F" w:rsidRDefault="00980E5F">
            <w:pPr>
              <w:rPr>
                <w:rFonts w:ascii="宋体"/>
                <w:vanish/>
              </w:rPr>
            </w:pPr>
          </w:p>
        </w:tc>
        <w:tc>
          <w:tcPr>
            <w:tcW w:w="0" w:type="auto"/>
            <w:gridSpan w:val="3"/>
            <w:shd w:val="clear" w:color="auto" w:fill="auto"/>
            <w:vAlign w:val="bottom"/>
          </w:tcPr>
          <w:p w14:paraId="392C382E" w14:textId="77777777" w:rsidR="00980E5F" w:rsidRDefault="00980E5F">
            <w:pPr>
              <w:rPr>
                <w:rFonts w:ascii="宋体"/>
                <w:vanish/>
              </w:rPr>
            </w:pPr>
          </w:p>
        </w:tc>
        <w:tc>
          <w:tcPr>
            <w:tcW w:w="0" w:type="auto"/>
            <w:gridSpan w:val="3"/>
            <w:shd w:val="clear" w:color="auto" w:fill="auto"/>
            <w:vAlign w:val="bottom"/>
          </w:tcPr>
          <w:p w14:paraId="392C382F" w14:textId="77777777" w:rsidR="00980E5F" w:rsidRDefault="00980E5F">
            <w:pPr>
              <w:rPr>
                <w:rFonts w:ascii="宋体"/>
                <w:vanish/>
              </w:rPr>
            </w:pPr>
          </w:p>
        </w:tc>
        <w:tc>
          <w:tcPr>
            <w:tcW w:w="0" w:type="auto"/>
            <w:gridSpan w:val="3"/>
            <w:shd w:val="clear" w:color="auto" w:fill="auto"/>
            <w:vAlign w:val="bottom"/>
          </w:tcPr>
          <w:p w14:paraId="392C3830" w14:textId="77777777" w:rsidR="00980E5F" w:rsidRDefault="00980E5F">
            <w:pPr>
              <w:rPr>
                <w:rFonts w:ascii="宋体"/>
                <w:vanish/>
              </w:rPr>
            </w:pPr>
          </w:p>
        </w:tc>
        <w:tc>
          <w:tcPr>
            <w:tcW w:w="0" w:type="auto"/>
            <w:gridSpan w:val="3"/>
            <w:shd w:val="clear" w:color="auto" w:fill="auto"/>
            <w:vAlign w:val="bottom"/>
          </w:tcPr>
          <w:p w14:paraId="392C3831" w14:textId="77777777" w:rsidR="00980E5F" w:rsidRDefault="00980E5F">
            <w:pPr>
              <w:rPr>
                <w:rFonts w:ascii="宋体"/>
                <w:vanish/>
              </w:rPr>
            </w:pPr>
          </w:p>
        </w:tc>
        <w:tc>
          <w:tcPr>
            <w:tcW w:w="0" w:type="auto"/>
            <w:gridSpan w:val="3"/>
            <w:shd w:val="clear" w:color="auto" w:fill="auto"/>
            <w:vAlign w:val="bottom"/>
          </w:tcPr>
          <w:p w14:paraId="392C3832" w14:textId="77777777" w:rsidR="00980E5F" w:rsidRDefault="00980E5F">
            <w:pPr>
              <w:rPr>
                <w:rFonts w:ascii="宋体"/>
                <w:vanish/>
              </w:rPr>
            </w:pPr>
          </w:p>
        </w:tc>
        <w:tc>
          <w:tcPr>
            <w:tcW w:w="0" w:type="auto"/>
            <w:gridSpan w:val="3"/>
            <w:shd w:val="clear" w:color="auto" w:fill="auto"/>
            <w:vAlign w:val="bottom"/>
          </w:tcPr>
          <w:p w14:paraId="392C3833" w14:textId="77777777" w:rsidR="00980E5F" w:rsidRDefault="00980E5F">
            <w:pPr>
              <w:rPr>
                <w:rFonts w:ascii="宋体"/>
                <w:vanish/>
              </w:rPr>
            </w:pPr>
          </w:p>
        </w:tc>
        <w:tc>
          <w:tcPr>
            <w:tcW w:w="0" w:type="auto"/>
            <w:gridSpan w:val="3"/>
            <w:shd w:val="clear" w:color="auto" w:fill="auto"/>
            <w:vAlign w:val="bottom"/>
          </w:tcPr>
          <w:p w14:paraId="392C3834" w14:textId="77777777" w:rsidR="00980E5F" w:rsidRDefault="00980E5F">
            <w:pPr>
              <w:rPr>
                <w:rFonts w:ascii="宋体"/>
                <w:vanish/>
              </w:rPr>
            </w:pPr>
          </w:p>
        </w:tc>
        <w:tc>
          <w:tcPr>
            <w:tcW w:w="0" w:type="auto"/>
            <w:gridSpan w:val="3"/>
            <w:shd w:val="clear" w:color="auto" w:fill="auto"/>
            <w:vAlign w:val="bottom"/>
          </w:tcPr>
          <w:p w14:paraId="392C3835" w14:textId="77777777" w:rsidR="00980E5F" w:rsidRDefault="00980E5F">
            <w:pPr>
              <w:rPr>
                <w:rFonts w:ascii="宋体"/>
                <w:vanish/>
              </w:rPr>
            </w:pPr>
          </w:p>
        </w:tc>
        <w:tc>
          <w:tcPr>
            <w:tcW w:w="0" w:type="auto"/>
            <w:gridSpan w:val="3"/>
            <w:shd w:val="clear" w:color="auto" w:fill="auto"/>
            <w:vAlign w:val="bottom"/>
          </w:tcPr>
          <w:p w14:paraId="392C3836" w14:textId="77777777" w:rsidR="00980E5F" w:rsidRDefault="00980E5F">
            <w:pPr>
              <w:rPr>
                <w:rFonts w:ascii="宋体"/>
                <w:vanish/>
              </w:rPr>
            </w:pPr>
          </w:p>
        </w:tc>
        <w:tc>
          <w:tcPr>
            <w:tcW w:w="0" w:type="auto"/>
            <w:gridSpan w:val="3"/>
            <w:shd w:val="clear" w:color="auto" w:fill="auto"/>
            <w:vAlign w:val="bottom"/>
          </w:tcPr>
          <w:p w14:paraId="392C3837" w14:textId="77777777" w:rsidR="00980E5F" w:rsidRDefault="00980E5F">
            <w:pPr>
              <w:rPr>
                <w:rFonts w:ascii="宋体"/>
                <w:vanish/>
              </w:rPr>
            </w:pPr>
          </w:p>
        </w:tc>
        <w:tc>
          <w:tcPr>
            <w:tcW w:w="0" w:type="auto"/>
            <w:gridSpan w:val="3"/>
            <w:shd w:val="clear" w:color="auto" w:fill="auto"/>
            <w:vAlign w:val="bottom"/>
          </w:tcPr>
          <w:p w14:paraId="392C3838" w14:textId="77777777" w:rsidR="00980E5F" w:rsidRDefault="00980E5F">
            <w:pPr>
              <w:rPr>
                <w:rFonts w:ascii="宋体"/>
                <w:vanish/>
              </w:rPr>
            </w:pPr>
          </w:p>
        </w:tc>
      </w:tr>
      <w:tr w:rsidR="00980E5F" w14:paraId="392C384C" w14:textId="77777777">
        <w:trPr>
          <w:jc w:val="center"/>
          <w:hidden/>
        </w:trPr>
        <w:tc>
          <w:tcPr>
            <w:tcW w:w="0" w:type="auto"/>
            <w:gridSpan w:val="3"/>
            <w:shd w:val="clear" w:color="auto" w:fill="auto"/>
            <w:vAlign w:val="bottom"/>
          </w:tcPr>
          <w:p w14:paraId="392C383A" w14:textId="77777777" w:rsidR="00980E5F" w:rsidRDefault="00980E5F">
            <w:pPr>
              <w:rPr>
                <w:rFonts w:ascii="宋体"/>
                <w:vanish/>
              </w:rPr>
            </w:pPr>
          </w:p>
        </w:tc>
        <w:tc>
          <w:tcPr>
            <w:tcW w:w="0" w:type="auto"/>
            <w:gridSpan w:val="3"/>
            <w:shd w:val="clear" w:color="auto" w:fill="auto"/>
            <w:vAlign w:val="bottom"/>
          </w:tcPr>
          <w:p w14:paraId="392C383B" w14:textId="77777777" w:rsidR="00980E5F" w:rsidRDefault="00980E5F">
            <w:pPr>
              <w:rPr>
                <w:rFonts w:ascii="宋体"/>
                <w:vanish/>
              </w:rPr>
            </w:pPr>
          </w:p>
        </w:tc>
        <w:tc>
          <w:tcPr>
            <w:tcW w:w="0" w:type="auto"/>
            <w:gridSpan w:val="3"/>
            <w:shd w:val="clear" w:color="auto" w:fill="auto"/>
            <w:vAlign w:val="bottom"/>
          </w:tcPr>
          <w:p w14:paraId="392C383C" w14:textId="77777777" w:rsidR="00980E5F" w:rsidRDefault="00980E5F">
            <w:pPr>
              <w:rPr>
                <w:rFonts w:ascii="宋体"/>
                <w:vanish/>
              </w:rPr>
            </w:pPr>
          </w:p>
        </w:tc>
        <w:tc>
          <w:tcPr>
            <w:tcW w:w="0" w:type="auto"/>
            <w:gridSpan w:val="3"/>
            <w:shd w:val="clear" w:color="auto" w:fill="auto"/>
            <w:vAlign w:val="bottom"/>
          </w:tcPr>
          <w:p w14:paraId="392C383D" w14:textId="77777777" w:rsidR="00980E5F" w:rsidRDefault="00980E5F">
            <w:pPr>
              <w:rPr>
                <w:rFonts w:ascii="宋体"/>
                <w:vanish/>
              </w:rPr>
            </w:pPr>
          </w:p>
        </w:tc>
        <w:tc>
          <w:tcPr>
            <w:tcW w:w="0" w:type="auto"/>
            <w:gridSpan w:val="3"/>
            <w:shd w:val="clear" w:color="auto" w:fill="auto"/>
            <w:vAlign w:val="bottom"/>
          </w:tcPr>
          <w:p w14:paraId="392C383E" w14:textId="77777777" w:rsidR="00980E5F" w:rsidRDefault="00980E5F">
            <w:pPr>
              <w:rPr>
                <w:rFonts w:ascii="宋体"/>
                <w:vanish/>
              </w:rPr>
            </w:pPr>
          </w:p>
        </w:tc>
        <w:tc>
          <w:tcPr>
            <w:tcW w:w="0" w:type="auto"/>
            <w:gridSpan w:val="3"/>
            <w:shd w:val="clear" w:color="auto" w:fill="auto"/>
            <w:vAlign w:val="bottom"/>
          </w:tcPr>
          <w:p w14:paraId="392C383F" w14:textId="77777777" w:rsidR="00980E5F" w:rsidRDefault="00980E5F">
            <w:pPr>
              <w:rPr>
                <w:rFonts w:ascii="宋体"/>
                <w:vanish/>
              </w:rPr>
            </w:pPr>
          </w:p>
        </w:tc>
        <w:tc>
          <w:tcPr>
            <w:tcW w:w="0" w:type="auto"/>
            <w:gridSpan w:val="3"/>
            <w:shd w:val="clear" w:color="auto" w:fill="auto"/>
            <w:vAlign w:val="bottom"/>
          </w:tcPr>
          <w:p w14:paraId="392C3840" w14:textId="77777777" w:rsidR="00980E5F" w:rsidRDefault="00980E5F">
            <w:pPr>
              <w:rPr>
                <w:rFonts w:ascii="宋体"/>
                <w:vanish/>
              </w:rPr>
            </w:pPr>
          </w:p>
        </w:tc>
        <w:tc>
          <w:tcPr>
            <w:tcW w:w="0" w:type="auto"/>
            <w:gridSpan w:val="3"/>
            <w:shd w:val="clear" w:color="auto" w:fill="auto"/>
            <w:vAlign w:val="bottom"/>
          </w:tcPr>
          <w:p w14:paraId="392C3841" w14:textId="77777777" w:rsidR="00980E5F" w:rsidRDefault="00980E5F">
            <w:pPr>
              <w:rPr>
                <w:rFonts w:ascii="宋体"/>
                <w:vanish/>
              </w:rPr>
            </w:pPr>
          </w:p>
        </w:tc>
        <w:tc>
          <w:tcPr>
            <w:tcW w:w="0" w:type="auto"/>
            <w:gridSpan w:val="3"/>
            <w:shd w:val="clear" w:color="auto" w:fill="auto"/>
            <w:vAlign w:val="bottom"/>
          </w:tcPr>
          <w:p w14:paraId="392C3842" w14:textId="77777777" w:rsidR="00980E5F" w:rsidRDefault="00980E5F">
            <w:pPr>
              <w:rPr>
                <w:rFonts w:ascii="宋体"/>
                <w:vanish/>
              </w:rPr>
            </w:pPr>
          </w:p>
        </w:tc>
        <w:tc>
          <w:tcPr>
            <w:tcW w:w="0" w:type="auto"/>
            <w:gridSpan w:val="3"/>
            <w:shd w:val="clear" w:color="auto" w:fill="auto"/>
            <w:vAlign w:val="bottom"/>
          </w:tcPr>
          <w:p w14:paraId="392C3843" w14:textId="77777777" w:rsidR="00980E5F" w:rsidRDefault="00980E5F">
            <w:pPr>
              <w:rPr>
                <w:rFonts w:ascii="宋体"/>
                <w:vanish/>
              </w:rPr>
            </w:pPr>
          </w:p>
        </w:tc>
        <w:tc>
          <w:tcPr>
            <w:tcW w:w="0" w:type="auto"/>
            <w:gridSpan w:val="3"/>
            <w:shd w:val="clear" w:color="auto" w:fill="auto"/>
            <w:vAlign w:val="bottom"/>
          </w:tcPr>
          <w:p w14:paraId="392C3844" w14:textId="77777777" w:rsidR="00980E5F" w:rsidRDefault="00980E5F">
            <w:pPr>
              <w:rPr>
                <w:rFonts w:ascii="宋体"/>
                <w:vanish/>
              </w:rPr>
            </w:pPr>
          </w:p>
        </w:tc>
        <w:tc>
          <w:tcPr>
            <w:tcW w:w="0" w:type="auto"/>
            <w:gridSpan w:val="3"/>
            <w:shd w:val="clear" w:color="auto" w:fill="auto"/>
            <w:vAlign w:val="bottom"/>
          </w:tcPr>
          <w:p w14:paraId="392C3845" w14:textId="77777777" w:rsidR="00980E5F" w:rsidRDefault="00980E5F">
            <w:pPr>
              <w:rPr>
                <w:rFonts w:ascii="宋体"/>
                <w:vanish/>
              </w:rPr>
            </w:pPr>
          </w:p>
        </w:tc>
        <w:tc>
          <w:tcPr>
            <w:tcW w:w="0" w:type="auto"/>
            <w:gridSpan w:val="3"/>
            <w:shd w:val="clear" w:color="auto" w:fill="auto"/>
            <w:vAlign w:val="bottom"/>
          </w:tcPr>
          <w:p w14:paraId="392C3846" w14:textId="77777777" w:rsidR="00980E5F" w:rsidRDefault="00980E5F">
            <w:pPr>
              <w:rPr>
                <w:rFonts w:ascii="宋体"/>
                <w:vanish/>
              </w:rPr>
            </w:pPr>
          </w:p>
        </w:tc>
        <w:tc>
          <w:tcPr>
            <w:tcW w:w="0" w:type="auto"/>
            <w:gridSpan w:val="3"/>
            <w:shd w:val="clear" w:color="auto" w:fill="auto"/>
            <w:vAlign w:val="bottom"/>
          </w:tcPr>
          <w:p w14:paraId="392C3847" w14:textId="77777777" w:rsidR="00980E5F" w:rsidRDefault="00980E5F">
            <w:pPr>
              <w:rPr>
                <w:rFonts w:ascii="宋体"/>
                <w:vanish/>
              </w:rPr>
            </w:pPr>
          </w:p>
        </w:tc>
        <w:tc>
          <w:tcPr>
            <w:tcW w:w="0" w:type="auto"/>
            <w:gridSpan w:val="3"/>
            <w:shd w:val="clear" w:color="auto" w:fill="auto"/>
            <w:vAlign w:val="bottom"/>
          </w:tcPr>
          <w:p w14:paraId="392C3848" w14:textId="77777777" w:rsidR="00980E5F" w:rsidRDefault="00980E5F">
            <w:pPr>
              <w:rPr>
                <w:rFonts w:ascii="宋体"/>
                <w:vanish/>
              </w:rPr>
            </w:pPr>
          </w:p>
        </w:tc>
        <w:tc>
          <w:tcPr>
            <w:tcW w:w="0" w:type="auto"/>
            <w:gridSpan w:val="3"/>
            <w:shd w:val="clear" w:color="auto" w:fill="auto"/>
            <w:vAlign w:val="bottom"/>
          </w:tcPr>
          <w:p w14:paraId="392C3849" w14:textId="77777777" w:rsidR="00980E5F" w:rsidRDefault="00980E5F">
            <w:pPr>
              <w:rPr>
                <w:rFonts w:ascii="宋体"/>
                <w:vanish/>
              </w:rPr>
            </w:pPr>
          </w:p>
        </w:tc>
        <w:tc>
          <w:tcPr>
            <w:tcW w:w="0" w:type="auto"/>
            <w:gridSpan w:val="3"/>
            <w:shd w:val="clear" w:color="auto" w:fill="auto"/>
            <w:vAlign w:val="bottom"/>
          </w:tcPr>
          <w:p w14:paraId="392C384A" w14:textId="77777777" w:rsidR="00980E5F" w:rsidRDefault="00980E5F">
            <w:pPr>
              <w:rPr>
                <w:rFonts w:ascii="宋体"/>
                <w:vanish/>
              </w:rPr>
            </w:pPr>
          </w:p>
        </w:tc>
        <w:tc>
          <w:tcPr>
            <w:tcW w:w="0" w:type="auto"/>
            <w:gridSpan w:val="3"/>
            <w:shd w:val="clear" w:color="auto" w:fill="auto"/>
            <w:vAlign w:val="bottom"/>
          </w:tcPr>
          <w:p w14:paraId="392C384B" w14:textId="77777777" w:rsidR="00980E5F" w:rsidRDefault="00980E5F">
            <w:pPr>
              <w:rPr>
                <w:rFonts w:ascii="宋体"/>
                <w:vanish/>
              </w:rPr>
            </w:pPr>
          </w:p>
        </w:tc>
      </w:tr>
      <w:tr w:rsidR="00980E5F" w14:paraId="392C385F" w14:textId="77777777">
        <w:trPr>
          <w:jc w:val="center"/>
          <w:hidden/>
        </w:trPr>
        <w:tc>
          <w:tcPr>
            <w:tcW w:w="0" w:type="auto"/>
            <w:gridSpan w:val="3"/>
            <w:shd w:val="clear" w:color="auto" w:fill="auto"/>
            <w:vAlign w:val="bottom"/>
          </w:tcPr>
          <w:p w14:paraId="392C384D" w14:textId="77777777" w:rsidR="00980E5F" w:rsidRDefault="00980E5F">
            <w:pPr>
              <w:rPr>
                <w:rFonts w:ascii="宋体"/>
                <w:vanish/>
              </w:rPr>
            </w:pPr>
          </w:p>
        </w:tc>
        <w:tc>
          <w:tcPr>
            <w:tcW w:w="0" w:type="auto"/>
            <w:gridSpan w:val="3"/>
            <w:shd w:val="clear" w:color="auto" w:fill="auto"/>
            <w:vAlign w:val="bottom"/>
          </w:tcPr>
          <w:p w14:paraId="392C384E" w14:textId="77777777" w:rsidR="00980E5F" w:rsidRDefault="00980E5F">
            <w:pPr>
              <w:rPr>
                <w:rFonts w:ascii="宋体"/>
                <w:vanish/>
              </w:rPr>
            </w:pPr>
          </w:p>
        </w:tc>
        <w:tc>
          <w:tcPr>
            <w:tcW w:w="0" w:type="auto"/>
            <w:gridSpan w:val="3"/>
            <w:shd w:val="clear" w:color="auto" w:fill="auto"/>
            <w:vAlign w:val="bottom"/>
          </w:tcPr>
          <w:p w14:paraId="392C384F" w14:textId="77777777" w:rsidR="00980E5F" w:rsidRDefault="00980E5F">
            <w:pPr>
              <w:rPr>
                <w:rFonts w:ascii="宋体"/>
                <w:vanish/>
              </w:rPr>
            </w:pPr>
          </w:p>
        </w:tc>
        <w:tc>
          <w:tcPr>
            <w:tcW w:w="0" w:type="auto"/>
            <w:gridSpan w:val="3"/>
            <w:shd w:val="clear" w:color="auto" w:fill="auto"/>
            <w:vAlign w:val="bottom"/>
          </w:tcPr>
          <w:p w14:paraId="392C3850" w14:textId="77777777" w:rsidR="00980E5F" w:rsidRDefault="00980E5F">
            <w:pPr>
              <w:rPr>
                <w:rFonts w:ascii="宋体"/>
                <w:vanish/>
              </w:rPr>
            </w:pPr>
          </w:p>
        </w:tc>
        <w:tc>
          <w:tcPr>
            <w:tcW w:w="0" w:type="auto"/>
            <w:gridSpan w:val="3"/>
            <w:shd w:val="clear" w:color="auto" w:fill="auto"/>
            <w:vAlign w:val="bottom"/>
          </w:tcPr>
          <w:p w14:paraId="392C3851" w14:textId="77777777" w:rsidR="00980E5F" w:rsidRDefault="00980E5F">
            <w:pPr>
              <w:rPr>
                <w:rFonts w:ascii="宋体"/>
                <w:vanish/>
              </w:rPr>
            </w:pPr>
          </w:p>
        </w:tc>
        <w:tc>
          <w:tcPr>
            <w:tcW w:w="0" w:type="auto"/>
            <w:gridSpan w:val="3"/>
            <w:shd w:val="clear" w:color="auto" w:fill="auto"/>
            <w:vAlign w:val="bottom"/>
          </w:tcPr>
          <w:p w14:paraId="392C3852" w14:textId="77777777" w:rsidR="00980E5F" w:rsidRDefault="00980E5F">
            <w:pPr>
              <w:rPr>
                <w:rFonts w:ascii="宋体"/>
                <w:vanish/>
              </w:rPr>
            </w:pPr>
          </w:p>
        </w:tc>
        <w:tc>
          <w:tcPr>
            <w:tcW w:w="0" w:type="auto"/>
            <w:gridSpan w:val="3"/>
            <w:shd w:val="clear" w:color="auto" w:fill="auto"/>
            <w:vAlign w:val="bottom"/>
          </w:tcPr>
          <w:p w14:paraId="392C3853" w14:textId="77777777" w:rsidR="00980E5F" w:rsidRDefault="00980E5F">
            <w:pPr>
              <w:rPr>
                <w:rFonts w:ascii="宋体"/>
                <w:vanish/>
              </w:rPr>
            </w:pPr>
          </w:p>
        </w:tc>
        <w:tc>
          <w:tcPr>
            <w:tcW w:w="0" w:type="auto"/>
            <w:gridSpan w:val="3"/>
            <w:shd w:val="clear" w:color="auto" w:fill="auto"/>
            <w:vAlign w:val="bottom"/>
          </w:tcPr>
          <w:p w14:paraId="392C3854" w14:textId="77777777" w:rsidR="00980E5F" w:rsidRDefault="00980E5F">
            <w:pPr>
              <w:rPr>
                <w:rFonts w:ascii="宋体"/>
                <w:vanish/>
              </w:rPr>
            </w:pPr>
          </w:p>
        </w:tc>
        <w:tc>
          <w:tcPr>
            <w:tcW w:w="0" w:type="auto"/>
            <w:gridSpan w:val="3"/>
            <w:shd w:val="clear" w:color="auto" w:fill="auto"/>
            <w:vAlign w:val="bottom"/>
          </w:tcPr>
          <w:p w14:paraId="392C3855" w14:textId="77777777" w:rsidR="00980E5F" w:rsidRDefault="00980E5F">
            <w:pPr>
              <w:rPr>
                <w:rFonts w:ascii="宋体"/>
                <w:vanish/>
              </w:rPr>
            </w:pPr>
          </w:p>
        </w:tc>
        <w:tc>
          <w:tcPr>
            <w:tcW w:w="0" w:type="auto"/>
            <w:gridSpan w:val="3"/>
            <w:shd w:val="clear" w:color="auto" w:fill="auto"/>
            <w:vAlign w:val="bottom"/>
          </w:tcPr>
          <w:p w14:paraId="392C3856" w14:textId="77777777" w:rsidR="00980E5F" w:rsidRDefault="00980E5F">
            <w:pPr>
              <w:rPr>
                <w:rFonts w:ascii="宋体"/>
                <w:vanish/>
              </w:rPr>
            </w:pPr>
          </w:p>
        </w:tc>
        <w:tc>
          <w:tcPr>
            <w:tcW w:w="0" w:type="auto"/>
            <w:gridSpan w:val="3"/>
            <w:shd w:val="clear" w:color="auto" w:fill="auto"/>
            <w:vAlign w:val="bottom"/>
          </w:tcPr>
          <w:p w14:paraId="392C3857" w14:textId="77777777" w:rsidR="00980E5F" w:rsidRDefault="00980E5F">
            <w:pPr>
              <w:rPr>
                <w:rFonts w:ascii="宋体"/>
                <w:vanish/>
              </w:rPr>
            </w:pPr>
          </w:p>
        </w:tc>
        <w:tc>
          <w:tcPr>
            <w:tcW w:w="0" w:type="auto"/>
            <w:gridSpan w:val="3"/>
            <w:shd w:val="clear" w:color="auto" w:fill="auto"/>
            <w:vAlign w:val="bottom"/>
          </w:tcPr>
          <w:p w14:paraId="392C3858" w14:textId="77777777" w:rsidR="00980E5F" w:rsidRDefault="00980E5F">
            <w:pPr>
              <w:rPr>
                <w:rFonts w:ascii="宋体"/>
                <w:vanish/>
              </w:rPr>
            </w:pPr>
          </w:p>
        </w:tc>
        <w:tc>
          <w:tcPr>
            <w:tcW w:w="0" w:type="auto"/>
            <w:gridSpan w:val="3"/>
            <w:shd w:val="clear" w:color="auto" w:fill="auto"/>
            <w:vAlign w:val="bottom"/>
          </w:tcPr>
          <w:p w14:paraId="392C3859" w14:textId="77777777" w:rsidR="00980E5F" w:rsidRDefault="00980E5F">
            <w:pPr>
              <w:rPr>
                <w:rFonts w:ascii="宋体"/>
                <w:vanish/>
              </w:rPr>
            </w:pPr>
          </w:p>
        </w:tc>
        <w:tc>
          <w:tcPr>
            <w:tcW w:w="0" w:type="auto"/>
            <w:gridSpan w:val="3"/>
            <w:shd w:val="clear" w:color="auto" w:fill="auto"/>
            <w:vAlign w:val="bottom"/>
          </w:tcPr>
          <w:p w14:paraId="392C385A" w14:textId="77777777" w:rsidR="00980E5F" w:rsidRDefault="00980E5F">
            <w:pPr>
              <w:rPr>
                <w:rFonts w:ascii="宋体"/>
                <w:vanish/>
              </w:rPr>
            </w:pPr>
          </w:p>
        </w:tc>
        <w:tc>
          <w:tcPr>
            <w:tcW w:w="0" w:type="auto"/>
            <w:gridSpan w:val="3"/>
            <w:shd w:val="clear" w:color="auto" w:fill="auto"/>
            <w:vAlign w:val="bottom"/>
          </w:tcPr>
          <w:p w14:paraId="392C385B" w14:textId="77777777" w:rsidR="00980E5F" w:rsidRDefault="00980E5F">
            <w:pPr>
              <w:rPr>
                <w:rFonts w:ascii="宋体"/>
                <w:vanish/>
              </w:rPr>
            </w:pPr>
          </w:p>
        </w:tc>
        <w:tc>
          <w:tcPr>
            <w:tcW w:w="0" w:type="auto"/>
            <w:gridSpan w:val="3"/>
            <w:shd w:val="clear" w:color="auto" w:fill="auto"/>
            <w:vAlign w:val="bottom"/>
          </w:tcPr>
          <w:p w14:paraId="392C385C" w14:textId="77777777" w:rsidR="00980E5F" w:rsidRDefault="00980E5F">
            <w:pPr>
              <w:rPr>
                <w:rFonts w:ascii="宋体"/>
                <w:vanish/>
              </w:rPr>
            </w:pPr>
          </w:p>
        </w:tc>
        <w:tc>
          <w:tcPr>
            <w:tcW w:w="0" w:type="auto"/>
            <w:gridSpan w:val="3"/>
            <w:shd w:val="clear" w:color="auto" w:fill="auto"/>
            <w:vAlign w:val="bottom"/>
          </w:tcPr>
          <w:p w14:paraId="392C385D" w14:textId="77777777" w:rsidR="00980E5F" w:rsidRDefault="00980E5F">
            <w:pPr>
              <w:rPr>
                <w:rFonts w:ascii="宋体"/>
                <w:vanish/>
              </w:rPr>
            </w:pPr>
          </w:p>
        </w:tc>
        <w:tc>
          <w:tcPr>
            <w:tcW w:w="0" w:type="auto"/>
            <w:gridSpan w:val="3"/>
            <w:shd w:val="clear" w:color="auto" w:fill="auto"/>
            <w:vAlign w:val="bottom"/>
          </w:tcPr>
          <w:p w14:paraId="392C385E" w14:textId="77777777" w:rsidR="00980E5F" w:rsidRDefault="00980E5F">
            <w:pPr>
              <w:rPr>
                <w:rFonts w:ascii="宋体"/>
                <w:vanish/>
              </w:rPr>
            </w:pPr>
          </w:p>
        </w:tc>
      </w:tr>
      <w:tr w:rsidR="00980E5F" w14:paraId="392C3872" w14:textId="77777777">
        <w:trPr>
          <w:jc w:val="center"/>
          <w:hidden/>
        </w:trPr>
        <w:tc>
          <w:tcPr>
            <w:tcW w:w="0" w:type="auto"/>
            <w:gridSpan w:val="3"/>
            <w:shd w:val="clear" w:color="auto" w:fill="auto"/>
            <w:vAlign w:val="bottom"/>
          </w:tcPr>
          <w:p w14:paraId="392C3860" w14:textId="77777777" w:rsidR="00980E5F" w:rsidRDefault="00980E5F">
            <w:pPr>
              <w:rPr>
                <w:rFonts w:ascii="宋体"/>
                <w:vanish/>
              </w:rPr>
            </w:pPr>
          </w:p>
        </w:tc>
        <w:tc>
          <w:tcPr>
            <w:tcW w:w="0" w:type="auto"/>
            <w:gridSpan w:val="3"/>
            <w:shd w:val="clear" w:color="auto" w:fill="auto"/>
            <w:vAlign w:val="bottom"/>
          </w:tcPr>
          <w:p w14:paraId="392C3861" w14:textId="77777777" w:rsidR="00980E5F" w:rsidRDefault="00980E5F">
            <w:pPr>
              <w:rPr>
                <w:rFonts w:ascii="宋体"/>
                <w:vanish/>
              </w:rPr>
            </w:pPr>
          </w:p>
        </w:tc>
        <w:tc>
          <w:tcPr>
            <w:tcW w:w="0" w:type="auto"/>
            <w:gridSpan w:val="3"/>
            <w:shd w:val="clear" w:color="auto" w:fill="auto"/>
            <w:vAlign w:val="bottom"/>
          </w:tcPr>
          <w:p w14:paraId="392C3862" w14:textId="77777777" w:rsidR="00980E5F" w:rsidRDefault="00980E5F">
            <w:pPr>
              <w:rPr>
                <w:rFonts w:ascii="宋体"/>
                <w:vanish/>
              </w:rPr>
            </w:pPr>
          </w:p>
        </w:tc>
        <w:tc>
          <w:tcPr>
            <w:tcW w:w="0" w:type="auto"/>
            <w:gridSpan w:val="3"/>
            <w:shd w:val="clear" w:color="auto" w:fill="auto"/>
            <w:vAlign w:val="bottom"/>
          </w:tcPr>
          <w:p w14:paraId="392C3863" w14:textId="77777777" w:rsidR="00980E5F" w:rsidRDefault="00980E5F">
            <w:pPr>
              <w:rPr>
                <w:rFonts w:ascii="宋体"/>
                <w:vanish/>
              </w:rPr>
            </w:pPr>
          </w:p>
        </w:tc>
        <w:tc>
          <w:tcPr>
            <w:tcW w:w="0" w:type="auto"/>
            <w:gridSpan w:val="3"/>
            <w:shd w:val="clear" w:color="auto" w:fill="auto"/>
            <w:vAlign w:val="bottom"/>
          </w:tcPr>
          <w:p w14:paraId="392C3864" w14:textId="77777777" w:rsidR="00980E5F" w:rsidRDefault="00980E5F">
            <w:pPr>
              <w:rPr>
                <w:rFonts w:ascii="宋体"/>
                <w:vanish/>
              </w:rPr>
            </w:pPr>
          </w:p>
        </w:tc>
        <w:tc>
          <w:tcPr>
            <w:tcW w:w="0" w:type="auto"/>
            <w:gridSpan w:val="3"/>
            <w:shd w:val="clear" w:color="auto" w:fill="auto"/>
            <w:vAlign w:val="bottom"/>
          </w:tcPr>
          <w:p w14:paraId="392C3865" w14:textId="77777777" w:rsidR="00980E5F" w:rsidRDefault="00980E5F">
            <w:pPr>
              <w:rPr>
                <w:rFonts w:ascii="宋体"/>
                <w:vanish/>
              </w:rPr>
            </w:pPr>
          </w:p>
        </w:tc>
        <w:tc>
          <w:tcPr>
            <w:tcW w:w="0" w:type="auto"/>
            <w:gridSpan w:val="3"/>
            <w:shd w:val="clear" w:color="auto" w:fill="auto"/>
            <w:vAlign w:val="bottom"/>
          </w:tcPr>
          <w:p w14:paraId="392C3866" w14:textId="77777777" w:rsidR="00980E5F" w:rsidRDefault="00980E5F">
            <w:pPr>
              <w:rPr>
                <w:rFonts w:ascii="宋体"/>
                <w:vanish/>
              </w:rPr>
            </w:pPr>
          </w:p>
        </w:tc>
        <w:tc>
          <w:tcPr>
            <w:tcW w:w="0" w:type="auto"/>
            <w:gridSpan w:val="3"/>
            <w:shd w:val="clear" w:color="auto" w:fill="auto"/>
            <w:vAlign w:val="bottom"/>
          </w:tcPr>
          <w:p w14:paraId="392C3867" w14:textId="77777777" w:rsidR="00980E5F" w:rsidRDefault="00980E5F">
            <w:pPr>
              <w:rPr>
                <w:rFonts w:ascii="宋体"/>
                <w:vanish/>
              </w:rPr>
            </w:pPr>
          </w:p>
        </w:tc>
        <w:tc>
          <w:tcPr>
            <w:tcW w:w="0" w:type="auto"/>
            <w:gridSpan w:val="3"/>
            <w:shd w:val="clear" w:color="auto" w:fill="auto"/>
            <w:vAlign w:val="bottom"/>
          </w:tcPr>
          <w:p w14:paraId="392C3868" w14:textId="77777777" w:rsidR="00980E5F" w:rsidRDefault="00980E5F">
            <w:pPr>
              <w:rPr>
                <w:rFonts w:ascii="宋体"/>
                <w:vanish/>
              </w:rPr>
            </w:pPr>
          </w:p>
        </w:tc>
        <w:tc>
          <w:tcPr>
            <w:tcW w:w="0" w:type="auto"/>
            <w:gridSpan w:val="3"/>
            <w:shd w:val="clear" w:color="auto" w:fill="auto"/>
            <w:vAlign w:val="bottom"/>
          </w:tcPr>
          <w:p w14:paraId="392C3869" w14:textId="77777777" w:rsidR="00980E5F" w:rsidRDefault="00980E5F">
            <w:pPr>
              <w:rPr>
                <w:rFonts w:ascii="宋体"/>
                <w:vanish/>
              </w:rPr>
            </w:pPr>
          </w:p>
        </w:tc>
        <w:tc>
          <w:tcPr>
            <w:tcW w:w="0" w:type="auto"/>
            <w:gridSpan w:val="3"/>
            <w:shd w:val="clear" w:color="auto" w:fill="auto"/>
            <w:vAlign w:val="bottom"/>
          </w:tcPr>
          <w:p w14:paraId="392C386A" w14:textId="77777777" w:rsidR="00980E5F" w:rsidRDefault="00980E5F">
            <w:pPr>
              <w:rPr>
                <w:rFonts w:ascii="宋体"/>
                <w:vanish/>
              </w:rPr>
            </w:pPr>
          </w:p>
        </w:tc>
        <w:tc>
          <w:tcPr>
            <w:tcW w:w="0" w:type="auto"/>
            <w:gridSpan w:val="3"/>
            <w:shd w:val="clear" w:color="auto" w:fill="auto"/>
            <w:vAlign w:val="bottom"/>
          </w:tcPr>
          <w:p w14:paraId="392C386B" w14:textId="77777777" w:rsidR="00980E5F" w:rsidRDefault="00980E5F">
            <w:pPr>
              <w:rPr>
                <w:rFonts w:ascii="宋体"/>
                <w:vanish/>
              </w:rPr>
            </w:pPr>
          </w:p>
        </w:tc>
        <w:tc>
          <w:tcPr>
            <w:tcW w:w="0" w:type="auto"/>
            <w:gridSpan w:val="3"/>
            <w:shd w:val="clear" w:color="auto" w:fill="auto"/>
            <w:vAlign w:val="bottom"/>
          </w:tcPr>
          <w:p w14:paraId="392C386C" w14:textId="77777777" w:rsidR="00980E5F" w:rsidRDefault="00980E5F">
            <w:pPr>
              <w:rPr>
                <w:rFonts w:ascii="宋体"/>
                <w:vanish/>
              </w:rPr>
            </w:pPr>
          </w:p>
        </w:tc>
        <w:tc>
          <w:tcPr>
            <w:tcW w:w="0" w:type="auto"/>
            <w:gridSpan w:val="3"/>
            <w:shd w:val="clear" w:color="auto" w:fill="auto"/>
            <w:vAlign w:val="bottom"/>
          </w:tcPr>
          <w:p w14:paraId="392C386D" w14:textId="77777777" w:rsidR="00980E5F" w:rsidRDefault="00980E5F">
            <w:pPr>
              <w:rPr>
                <w:rFonts w:ascii="宋体"/>
                <w:vanish/>
              </w:rPr>
            </w:pPr>
          </w:p>
        </w:tc>
        <w:tc>
          <w:tcPr>
            <w:tcW w:w="0" w:type="auto"/>
            <w:gridSpan w:val="3"/>
            <w:shd w:val="clear" w:color="auto" w:fill="auto"/>
            <w:vAlign w:val="bottom"/>
          </w:tcPr>
          <w:p w14:paraId="392C386E" w14:textId="77777777" w:rsidR="00980E5F" w:rsidRDefault="00980E5F">
            <w:pPr>
              <w:rPr>
                <w:rFonts w:ascii="宋体"/>
                <w:vanish/>
              </w:rPr>
            </w:pPr>
          </w:p>
        </w:tc>
        <w:tc>
          <w:tcPr>
            <w:tcW w:w="0" w:type="auto"/>
            <w:gridSpan w:val="3"/>
            <w:shd w:val="clear" w:color="auto" w:fill="auto"/>
            <w:vAlign w:val="bottom"/>
          </w:tcPr>
          <w:p w14:paraId="392C386F" w14:textId="77777777" w:rsidR="00980E5F" w:rsidRDefault="00980E5F">
            <w:pPr>
              <w:rPr>
                <w:rFonts w:ascii="宋体"/>
                <w:vanish/>
              </w:rPr>
            </w:pPr>
          </w:p>
        </w:tc>
        <w:tc>
          <w:tcPr>
            <w:tcW w:w="0" w:type="auto"/>
            <w:gridSpan w:val="3"/>
            <w:shd w:val="clear" w:color="auto" w:fill="auto"/>
            <w:vAlign w:val="bottom"/>
          </w:tcPr>
          <w:p w14:paraId="392C3870" w14:textId="77777777" w:rsidR="00980E5F" w:rsidRDefault="00980E5F">
            <w:pPr>
              <w:rPr>
                <w:rFonts w:ascii="宋体"/>
                <w:vanish/>
              </w:rPr>
            </w:pPr>
          </w:p>
        </w:tc>
        <w:tc>
          <w:tcPr>
            <w:tcW w:w="0" w:type="auto"/>
            <w:gridSpan w:val="3"/>
            <w:shd w:val="clear" w:color="auto" w:fill="auto"/>
            <w:vAlign w:val="bottom"/>
          </w:tcPr>
          <w:p w14:paraId="392C3871" w14:textId="77777777" w:rsidR="00980E5F" w:rsidRDefault="00980E5F">
            <w:pPr>
              <w:rPr>
                <w:rFonts w:ascii="宋体"/>
                <w:vanish/>
              </w:rPr>
            </w:pPr>
          </w:p>
        </w:tc>
      </w:tr>
      <w:tr w:rsidR="00980E5F" w14:paraId="392C3885" w14:textId="77777777">
        <w:trPr>
          <w:jc w:val="center"/>
          <w:hidden/>
        </w:trPr>
        <w:tc>
          <w:tcPr>
            <w:tcW w:w="0" w:type="auto"/>
            <w:gridSpan w:val="3"/>
            <w:shd w:val="clear" w:color="auto" w:fill="auto"/>
            <w:vAlign w:val="bottom"/>
          </w:tcPr>
          <w:p w14:paraId="392C3873" w14:textId="77777777" w:rsidR="00980E5F" w:rsidRDefault="00980E5F">
            <w:pPr>
              <w:rPr>
                <w:rFonts w:ascii="宋体"/>
                <w:vanish/>
              </w:rPr>
            </w:pPr>
          </w:p>
        </w:tc>
        <w:tc>
          <w:tcPr>
            <w:tcW w:w="0" w:type="auto"/>
            <w:gridSpan w:val="3"/>
            <w:shd w:val="clear" w:color="auto" w:fill="auto"/>
            <w:vAlign w:val="bottom"/>
          </w:tcPr>
          <w:p w14:paraId="392C3874" w14:textId="77777777" w:rsidR="00980E5F" w:rsidRDefault="00980E5F">
            <w:pPr>
              <w:rPr>
                <w:rFonts w:ascii="宋体"/>
                <w:vanish/>
              </w:rPr>
            </w:pPr>
          </w:p>
        </w:tc>
        <w:tc>
          <w:tcPr>
            <w:tcW w:w="0" w:type="auto"/>
            <w:gridSpan w:val="3"/>
            <w:shd w:val="clear" w:color="auto" w:fill="auto"/>
            <w:vAlign w:val="bottom"/>
          </w:tcPr>
          <w:p w14:paraId="392C3875" w14:textId="77777777" w:rsidR="00980E5F" w:rsidRDefault="00980E5F">
            <w:pPr>
              <w:rPr>
                <w:rFonts w:ascii="宋体"/>
                <w:vanish/>
              </w:rPr>
            </w:pPr>
          </w:p>
        </w:tc>
        <w:tc>
          <w:tcPr>
            <w:tcW w:w="0" w:type="auto"/>
            <w:gridSpan w:val="3"/>
            <w:shd w:val="clear" w:color="auto" w:fill="auto"/>
            <w:vAlign w:val="bottom"/>
          </w:tcPr>
          <w:p w14:paraId="392C3876" w14:textId="77777777" w:rsidR="00980E5F" w:rsidRDefault="00980E5F">
            <w:pPr>
              <w:rPr>
                <w:rFonts w:ascii="宋体"/>
                <w:vanish/>
              </w:rPr>
            </w:pPr>
          </w:p>
        </w:tc>
        <w:tc>
          <w:tcPr>
            <w:tcW w:w="0" w:type="auto"/>
            <w:gridSpan w:val="3"/>
            <w:shd w:val="clear" w:color="auto" w:fill="auto"/>
            <w:vAlign w:val="bottom"/>
          </w:tcPr>
          <w:p w14:paraId="392C3877" w14:textId="77777777" w:rsidR="00980E5F" w:rsidRDefault="00980E5F">
            <w:pPr>
              <w:rPr>
                <w:rFonts w:ascii="宋体"/>
                <w:vanish/>
              </w:rPr>
            </w:pPr>
          </w:p>
        </w:tc>
        <w:tc>
          <w:tcPr>
            <w:tcW w:w="0" w:type="auto"/>
            <w:gridSpan w:val="3"/>
            <w:shd w:val="clear" w:color="auto" w:fill="auto"/>
            <w:vAlign w:val="bottom"/>
          </w:tcPr>
          <w:p w14:paraId="392C3878" w14:textId="77777777" w:rsidR="00980E5F" w:rsidRDefault="00980E5F">
            <w:pPr>
              <w:rPr>
                <w:rFonts w:ascii="宋体"/>
                <w:vanish/>
              </w:rPr>
            </w:pPr>
          </w:p>
        </w:tc>
        <w:tc>
          <w:tcPr>
            <w:tcW w:w="0" w:type="auto"/>
            <w:gridSpan w:val="3"/>
            <w:shd w:val="clear" w:color="auto" w:fill="auto"/>
            <w:vAlign w:val="bottom"/>
          </w:tcPr>
          <w:p w14:paraId="392C3879" w14:textId="77777777" w:rsidR="00980E5F" w:rsidRDefault="00980E5F">
            <w:pPr>
              <w:rPr>
                <w:rFonts w:ascii="宋体"/>
                <w:vanish/>
              </w:rPr>
            </w:pPr>
          </w:p>
        </w:tc>
        <w:tc>
          <w:tcPr>
            <w:tcW w:w="0" w:type="auto"/>
            <w:gridSpan w:val="3"/>
            <w:shd w:val="clear" w:color="auto" w:fill="auto"/>
            <w:vAlign w:val="bottom"/>
          </w:tcPr>
          <w:p w14:paraId="392C387A" w14:textId="77777777" w:rsidR="00980E5F" w:rsidRDefault="00980E5F">
            <w:pPr>
              <w:rPr>
                <w:rFonts w:ascii="宋体"/>
                <w:vanish/>
              </w:rPr>
            </w:pPr>
          </w:p>
        </w:tc>
        <w:tc>
          <w:tcPr>
            <w:tcW w:w="0" w:type="auto"/>
            <w:gridSpan w:val="3"/>
            <w:shd w:val="clear" w:color="auto" w:fill="auto"/>
            <w:vAlign w:val="bottom"/>
          </w:tcPr>
          <w:p w14:paraId="392C387B" w14:textId="77777777" w:rsidR="00980E5F" w:rsidRDefault="00980E5F">
            <w:pPr>
              <w:rPr>
                <w:rFonts w:ascii="宋体"/>
                <w:vanish/>
              </w:rPr>
            </w:pPr>
          </w:p>
        </w:tc>
        <w:tc>
          <w:tcPr>
            <w:tcW w:w="0" w:type="auto"/>
            <w:gridSpan w:val="3"/>
            <w:shd w:val="clear" w:color="auto" w:fill="auto"/>
            <w:vAlign w:val="bottom"/>
          </w:tcPr>
          <w:p w14:paraId="392C387C" w14:textId="77777777" w:rsidR="00980E5F" w:rsidRDefault="00980E5F">
            <w:pPr>
              <w:rPr>
                <w:rFonts w:ascii="宋体"/>
                <w:vanish/>
              </w:rPr>
            </w:pPr>
          </w:p>
        </w:tc>
        <w:tc>
          <w:tcPr>
            <w:tcW w:w="0" w:type="auto"/>
            <w:gridSpan w:val="3"/>
            <w:shd w:val="clear" w:color="auto" w:fill="auto"/>
            <w:vAlign w:val="bottom"/>
          </w:tcPr>
          <w:p w14:paraId="392C387D" w14:textId="77777777" w:rsidR="00980E5F" w:rsidRDefault="00980E5F">
            <w:pPr>
              <w:rPr>
                <w:rFonts w:ascii="宋体"/>
                <w:vanish/>
              </w:rPr>
            </w:pPr>
          </w:p>
        </w:tc>
        <w:tc>
          <w:tcPr>
            <w:tcW w:w="0" w:type="auto"/>
            <w:gridSpan w:val="3"/>
            <w:shd w:val="clear" w:color="auto" w:fill="auto"/>
            <w:vAlign w:val="bottom"/>
          </w:tcPr>
          <w:p w14:paraId="392C387E" w14:textId="77777777" w:rsidR="00980E5F" w:rsidRDefault="00980E5F">
            <w:pPr>
              <w:rPr>
                <w:rFonts w:ascii="宋体"/>
                <w:vanish/>
              </w:rPr>
            </w:pPr>
          </w:p>
        </w:tc>
        <w:tc>
          <w:tcPr>
            <w:tcW w:w="0" w:type="auto"/>
            <w:gridSpan w:val="3"/>
            <w:shd w:val="clear" w:color="auto" w:fill="auto"/>
            <w:vAlign w:val="bottom"/>
          </w:tcPr>
          <w:p w14:paraId="392C387F" w14:textId="77777777" w:rsidR="00980E5F" w:rsidRDefault="00980E5F">
            <w:pPr>
              <w:rPr>
                <w:rFonts w:ascii="宋体"/>
                <w:vanish/>
              </w:rPr>
            </w:pPr>
          </w:p>
        </w:tc>
        <w:tc>
          <w:tcPr>
            <w:tcW w:w="0" w:type="auto"/>
            <w:gridSpan w:val="3"/>
            <w:shd w:val="clear" w:color="auto" w:fill="auto"/>
            <w:vAlign w:val="bottom"/>
          </w:tcPr>
          <w:p w14:paraId="392C3880" w14:textId="77777777" w:rsidR="00980E5F" w:rsidRDefault="00980E5F">
            <w:pPr>
              <w:rPr>
                <w:rFonts w:ascii="宋体"/>
                <w:vanish/>
              </w:rPr>
            </w:pPr>
          </w:p>
        </w:tc>
        <w:tc>
          <w:tcPr>
            <w:tcW w:w="0" w:type="auto"/>
            <w:gridSpan w:val="3"/>
            <w:shd w:val="clear" w:color="auto" w:fill="auto"/>
            <w:vAlign w:val="bottom"/>
          </w:tcPr>
          <w:p w14:paraId="392C3881" w14:textId="77777777" w:rsidR="00980E5F" w:rsidRDefault="00980E5F">
            <w:pPr>
              <w:rPr>
                <w:rFonts w:ascii="宋体"/>
                <w:vanish/>
              </w:rPr>
            </w:pPr>
          </w:p>
        </w:tc>
        <w:tc>
          <w:tcPr>
            <w:tcW w:w="0" w:type="auto"/>
            <w:gridSpan w:val="3"/>
            <w:shd w:val="clear" w:color="auto" w:fill="auto"/>
            <w:vAlign w:val="bottom"/>
          </w:tcPr>
          <w:p w14:paraId="392C3882" w14:textId="77777777" w:rsidR="00980E5F" w:rsidRDefault="00980E5F">
            <w:pPr>
              <w:rPr>
                <w:rFonts w:ascii="宋体"/>
                <w:vanish/>
              </w:rPr>
            </w:pPr>
          </w:p>
        </w:tc>
        <w:tc>
          <w:tcPr>
            <w:tcW w:w="0" w:type="auto"/>
            <w:gridSpan w:val="3"/>
            <w:shd w:val="clear" w:color="auto" w:fill="auto"/>
            <w:vAlign w:val="bottom"/>
          </w:tcPr>
          <w:p w14:paraId="392C3883" w14:textId="77777777" w:rsidR="00980E5F" w:rsidRDefault="00980E5F">
            <w:pPr>
              <w:rPr>
                <w:rFonts w:ascii="宋体"/>
                <w:vanish/>
              </w:rPr>
            </w:pPr>
          </w:p>
        </w:tc>
        <w:tc>
          <w:tcPr>
            <w:tcW w:w="0" w:type="auto"/>
            <w:gridSpan w:val="3"/>
            <w:shd w:val="clear" w:color="auto" w:fill="auto"/>
            <w:vAlign w:val="bottom"/>
          </w:tcPr>
          <w:p w14:paraId="392C3884" w14:textId="77777777" w:rsidR="00980E5F" w:rsidRDefault="00980E5F">
            <w:pPr>
              <w:rPr>
                <w:rFonts w:ascii="宋体"/>
                <w:vanish/>
              </w:rPr>
            </w:pPr>
          </w:p>
        </w:tc>
      </w:tr>
      <w:tr w:rsidR="00980E5F" w14:paraId="392C3898" w14:textId="77777777">
        <w:trPr>
          <w:jc w:val="center"/>
          <w:hidden/>
        </w:trPr>
        <w:tc>
          <w:tcPr>
            <w:tcW w:w="0" w:type="auto"/>
            <w:gridSpan w:val="3"/>
            <w:shd w:val="clear" w:color="auto" w:fill="auto"/>
            <w:vAlign w:val="bottom"/>
          </w:tcPr>
          <w:p w14:paraId="392C3886" w14:textId="77777777" w:rsidR="00980E5F" w:rsidRDefault="00980E5F">
            <w:pPr>
              <w:rPr>
                <w:rFonts w:ascii="宋体"/>
                <w:vanish/>
              </w:rPr>
            </w:pPr>
          </w:p>
        </w:tc>
        <w:tc>
          <w:tcPr>
            <w:tcW w:w="0" w:type="auto"/>
            <w:gridSpan w:val="3"/>
            <w:shd w:val="clear" w:color="auto" w:fill="auto"/>
            <w:vAlign w:val="bottom"/>
          </w:tcPr>
          <w:p w14:paraId="392C3887" w14:textId="77777777" w:rsidR="00980E5F" w:rsidRDefault="00980E5F">
            <w:pPr>
              <w:rPr>
                <w:rFonts w:ascii="宋体"/>
                <w:vanish/>
              </w:rPr>
            </w:pPr>
          </w:p>
        </w:tc>
        <w:tc>
          <w:tcPr>
            <w:tcW w:w="0" w:type="auto"/>
            <w:gridSpan w:val="3"/>
            <w:shd w:val="clear" w:color="auto" w:fill="auto"/>
            <w:vAlign w:val="bottom"/>
          </w:tcPr>
          <w:p w14:paraId="392C3888" w14:textId="77777777" w:rsidR="00980E5F" w:rsidRDefault="00980E5F">
            <w:pPr>
              <w:rPr>
                <w:rFonts w:ascii="宋体"/>
                <w:vanish/>
              </w:rPr>
            </w:pPr>
          </w:p>
        </w:tc>
        <w:tc>
          <w:tcPr>
            <w:tcW w:w="0" w:type="auto"/>
            <w:gridSpan w:val="3"/>
            <w:shd w:val="clear" w:color="auto" w:fill="auto"/>
            <w:vAlign w:val="bottom"/>
          </w:tcPr>
          <w:p w14:paraId="392C3889" w14:textId="77777777" w:rsidR="00980E5F" w:rsidRDefault="00980E5F">
            <w:pPr>
              <w:rPr>
                <w:rFonts w:ascii="宋体"/>
                <w:vanish/>
              </w:rPr>
            </w:pPr>
          </w:p>
        </w:tc>
        <w:tc>
          <w:tcPr>
            <w:tcW w:w="0" w:type="auto"/>
            <w:gridSpan w:val="3"/>
            <w:shd w:val="clear" w:color="auto" w:fill="auto"/>
            <w:vAlign w:val="bottom"/>
          </w:tcPr>
          <w:p w14:paraId="392C388A" w14:textId="77777777" w:rsidR="00980E5F" w:rsidRDefault="00980E5F">
            <w:pPr>
              <w:rPr>
                <w:rFonts w:ascii="宋体"/>
                <w:vanish/>
              </w:rPr>
            </w:pPr>
          </w:p>
        </w:tc>
        <w:tc>
          <w:tcPr>
            <w:tcW w:w="0" w:type="auto"/>
            <w:gridSpan w:val="3"/>
            <w:shd w:val="clear" w:color="auto" w:fill="auto"/>
            <w:vAlign w:val="bottom"/>
          </w:tcPr>
          <w:p w14:paraId="392C388B" w14:textId="77777777" w:rsidR="00980E5F" w:rsidRDefault="00980E5F">
            <w:pPr>
              <w:rPr>
                <w:rFonts w:ascii="宋体"/>
                <w:vanish/>
              </w:rPr>
            </w:pPr>
          </w:p>
        </w:tc>
        <w:tc>
          <w:tcPr>
            <w:tcW w:w="0" w:type="auto"/>
            <w:gridSpan w:val="3"/>
            <w:shd w:val="clear" w:color="auto" w:fill="auto"/>
            <w:vAlign w:val="bottom"/>
          </w:tcPr>
          <w:p w14:paraId="392C388C" w14:textId="77777777" w:rsidR="00980E5F" w:rsidRDefault="00980E5F">
            <w:pPr>
              <w:rPr>
                <w:rFonts w:ascii="宋体"/>
                <w:vanish/>
              </w:rPr>
            </w:pPr>
          </w:p>
        </w:tc>
        <w:tc>
          <w:tcPr>
            <w:tcW w:w="0" w:type="auto"/>
            <w:gridSpan w:val="3"/>
            <w:shd w:val="clear" w:color="auto" w:fill="auto"/>
            <w:vAlign w:val="bottom"/>
          </w:tcPr>
          <w:p w14:paraId="392C388D" w14:textId="77777777" w:rsidR="00980E5F" w:rsidRDefault="00980E5F">
            <w:pPr>
              <w:rPr>
                <w:rFonts w:ascii="宋体"/>
                <w:vanish/>
              </w:rPr>
            </w:pPr>
          </w:p>
        </w:tc>
        <w:tc>
          <w:tcPr>
            <w:tcW w:w="0" w:type="auto"/>
            <w:gridSpan w:val="3"/>
            <w:shd w:val="clear" w:color="auto" w:fill="auto"/>
            <w:vAlign w:val="bottom"/>
          </w:tcPr>
          <w:p w14:paraId="392C388E" w14:textId="77777777" w:rsidR="00980E5F" w:rsidRDefault="00980E5F">
            <w:pPr>
              <w:rPr>
                <w:rFonts w:ascii="宋体"/>
                <w:vanish/>
              </w:rPr>
            </w:pPr>
          </w:p>
        </w:tc>
        <w:tc>
          <w:tcPr>
            <w:tcW w:w="0" w:type="auto"/>
            <w:gridSpan w:val="3"/>
            <w:shd w:val="clear" w:color="auto" w:fill="auto"/>
            <w:vAlign w:val="bottom"/>
          </w:tcPr>
          <w:p w14:paraId="392C388F" w14:textId="77777777" w:rsidR="00980E5F" w:rsidRDefault="00980E5F">
            <w:pPr>
              <w:rPr>
                <w:rFonts w:ascii="宋体"/>
                <w:vanish/>
              </w:rPr>
            </w:pPr>
          </w:p>
        </w:tc>
        <w:tc>
          <w:tcPr>
            <w:tcW w:w="0" w:type="auto"/>
            <w:gridSpan w:val="3"/>
            <w:shd w:val="clear" w:color="auto" w:fill="auto"/>
            <w:vAlign w:val="bottom"/>
          </w:tcPr>
          <w:p w14:paraId="392C3890" w14:textId="77777777" w:rsidR="00980E5F" w:rsidRDefault="00980E5F">
            <w:pPr>
              <w:rPr>
                <w:rFonts w:ascii="宋体"/>
                <w:vanish/>
              </w:rPr>
            </w:pPr>
          </w:p>
        </w:tc>
        <w:tc>
          <w:tcPr>
            <w:tcW w:w="0" w:type="auto"/>
            <w:gridSpan w:val="3"/>
            <w:shd w:val="clear" w:color="auto" w:fill="auto"/>
            <w:vAlign w:val="bottom"/>
          </w:tcPr>
          <w:p w14:paraId="392C3891" w14:textId="77777777" w:rsidR="00980E5F" w:rsidRDefault="00980E5F">
            <w:pPr>
              <w:rPr>
                <w:rFonts w:ascii="宋体"/>
                <w:vanish/>
              </w:rPr>
            </w:pPr>
          </w:p>
        </w:tc>
        <w:tc>
          <w:tcPr>
            <w:tcW w:w="0" w:type="auto"/>
            <w:gridSpan w:val="3"/>
            <w:shd w:val="clear" w:color="auto" w:fill="auto"/>
            <w:vAlign w:val="bottom"/>
          </w:tcPr>
          <w:p w14:paraId="392C3892" w14:textId="77777777" w:rsidR="00980E5F" w:rsidRDefault="00980E5F">
            <w:pPr>
              <w:rPr>
                <w:rFonts w:ascii="宋体"/>
                <w:vanish/>
              </w:rPr>
            </w:pPr>
          </w:p>
        </w:tc>
        <w:tc>
          <w:tcPr>
            <w:tcW w:w="0" w:type="auto"/>
            <w:gridSpan w:val="3"/>
            <w:shd w:val="clear" w:color="auto" w:fill="auto"/>
            <w:vAlign w:val="bottom"/>
          </w:tcPr>
          <w:p w14:paraId="392C3893" w14:textId="77777777" w:rsidR="00980E5F" w:rsidRDefault="00980E5F">
            <w:pPr>
              <w:rPr>
                <w:rFonts w:ascii="宋体"/>
                <w:vanish/>
              </w:rPr>
            </w:pPr>
          </w:p>
        </w:tc>
        <w:tc>
          <w:tcPr>
            <w:tcW w:w="0" w:type="auto"/>
            <w:gridSpan w:val="3"/>
            <w:shd w:val="clear" w:color="auto" w:fill="auto"/>
            <w:vAlign w:val="bottom"/>
          </w:tcPr>
          <w:p w14:paraId="392C3894" w14:textId="77777777" w:rsidR="00980E5F" w:rsidRDefault="00980E5F">
            <w:pPr>
              <w:rPr>
                <w:rFonts w:ascii="宋体"/>
                <w:vanish/>
              </w:rPr>
            </w:pPr>
          </w:p>
        </w:tc>
        <w:tc>
          <w:tcPr>
            <w:tcW w:w="0" w:type="auto"/>
            <w:gridSpan w:val="3"/>
            <w:shd w:val="clear" w:color="auto" w:fill="auto"/>
            <w:vAlign w:val="bottom"/>
          </w:tcPr>
          <w:p w14:paraId="392C3895" w14:textId="77777777" w:rsidR="00980E5F" w:rsidRDefault="00980E5F">
            <w:pPr>
              <w:rPr>
                <w:rFonts w:ascii="宋体"/>
                <w:vanish/>
              </w:rPr>
            </w:pPr>
          </w:p>
        </w:tc>
        <w:tc>
          <w:tcPr>
            <w:tcW w:w="0" w:type="auto"/>
            <w:gridSpan w:val="3"/>
            <w:shd w:val="clear" w:color="auto" w:fill="auto"/>
            <w:vAlign w:val="bottom"/>
          </w:tcPr>
          <w:p w14:paraId="392C3896" w14:textId="77777777" w:rsidR="00980E5F" w:rsidRDefault="00980E5F">
            <w:pPr>
              <w:rPr>
                <w:rFonts w:ascii="宋体"/>
                <w:vanish/>
              </w:rPr>
            </w:pPr>
          </w:p>
        </w:tc>
        <w:tc>
          <w:tcPr>
            <w:tcW w:w="0" w:type="auto"/>
            <w:gridSpan w:val="3"/>
            <w:shd w:val="clear" w:color="auto" w:fill="auto"/>
            <w:vAlign w:val="bottom"/>
          </w:tcPr>
          <w:p w14:paraId="392C3897" w14:textId="77777777" w:rsidR="00980E5F" w:rsidRDefault="00980E5F">
            <w:pPr>
              <w:rPr>
                <w:rFonts w:ascii="宋体"/>
                <w:vanish/>
              </w:rPr>
            </w:pPr>
          </w:p>
        </w:tc>
      </w:tr>
      <w:tr w:rsidR="00980E5F" w14:paraId="392C38AB" w14:textId="77777777">
        <w:trPr>
          <w:jc w:val="center"/>
          <w:hidden/>
        </w:trPr>
        <w:tc>
          <w:tcPr>
            <w:tcW w:w="0" w:type="auto"/>
            <w:gridSpan w:val="3"/>
            <w:shd w:val="clear" w:color="auto" w:fill="auto"/>
            <w:vAlign w:val="bottom"/>
          </w:tcPr>
          <w:p w14:paraId="392C3899" w14:textId="77777777" w:rsidR="00980E5F" w:rsidRDefault="00980E5F">
            <w:pPr>
              <w:rPr>
                <w:rFonts w:ascii="宋体"/>
                <w:vanish/>
              </w:rPr>
            </w:pPr>
          </w:p>
        </w:tc>
        <w:tc>
          <w:tcPr>
            <w:tcW w:w="0" w:type="auto"/>
            <w:gridSpan w:val="3"/>
            <w:shd w:val="clear" w:color="auto" w:fill="auto"/>
            <w:vAlign w:val="bottom"/>
          </w:tcPr>
          <w:p w14:paraId="392C389A" w14:textId="77777777" w:rsidR="00980E5F" w:rsidRDefault="00980E5F">
            <w:pPr>
              <w:rPr>
                <w:rFonts w:ascii="宋体"/>
                <w:vanish/>
              </w:rPr>
            </w:pPr>
          </w:p>
        </w:tc>
        <w:tc>
          <w:tcPr>
            <w:tcW w:w="0" w:type="auto"/>
            <w:gridSpan w:val="3"/>
            <w:shd w:val="clear" w:color="auto" w:fill="auto"/>
            <w:vAlign w:val="bottom"/>
          </w:tcPr>
          <w:p w14:paraId="392C389B" w14:textId="77777777" w:rsidR="00980E5F" w:rsidRDefault="00980E5F">
            <w:pPr>
              <w:rPr>
                <w:rFonts w:ascii="宋体"/>
                <w:vanish/>
              </w:rPr>
            </w:pPr>
          </w:p>
        </w:tc>
        <w:tc>
          <w:tcPr>
            <w:tcW w:w="0" w:type="auto"/>
            <w:gridSpan w:val="3"/>
            <w:shd w:val="clear" w:color="auto" w:fill="auto"/>
            <w:vAlign w:val="bottom"/>
          </w:tcPr>
          <w:p w14:paraId="392C389C" w14:textId="77777777" w:rsidR="00980E5F" w:rsidRDefault="00980E5F">
            <w:pPr>
              <w:rPr>
                <w:rFonts w:ascii="宋体"/>
                <w:vanish/>
              </w:rPr>
            </w:pPr>
          </w:p>
        </w:tc>
        <w:tc>
          <w:tcPr>
            <w:tcW w:w="0" w:type="auto"/>
            <w:gridSpan w:val="3"/>
            <w:shd w:val="clear" w:color="auto" w:fill="auto"/>
            <w:vAlign w:val="bottom"/>
          </w:tcPr>
          <w:p w14:paraId="392C389D" w14:textId="77777777" w:rsidR="00980E5F" w:rsidRDefault="00980E5F">
            <w:pPr>
              <w:rPr>
                <w:rFonts w:ascii="宋体"/>
                <w:vanish/>
              </w:rPr>
            </w:pPr>
          </w:p>
        </w:tc>
        <w:tc>
          <w:tcPr>
            <w:tcW w:w="0" w:type="auto"/>
            <w:gridSpan w:val="3"/>
            <w:shd w:val="clear" w:color="auto" w:fill="auto"/>
            <w:vAlign w:val="bottom"/>
          </w:tcPr>
          <w:p w14:paraId="392C389E" w14:textId="77777777" w:rsidR="00980E5F" w:rsidRDefault="00980E5F">
            <w:pPr>
              <w:rPr>
                <w:rFonts w:ascii="宋体"/>
                <w:vanish/>
              </w:rPr>
            </w:pPr>
          </w:p>
        </w:tc>
        <w:tc>
          <w:tcPr>
            <w:tcW w:w="0" w:type="auto"/>
            <w:gridSpan w:val="3"/>
            <w:shd w:val="clear" w:color="auto" w:fill="auto"/>
            <w:vAlign w:val="bottom"/>
          </w:tcPr>
          <w:p w14:paraId="392C389F" w14:textId="77777777" w:rsidR="00980E5F" w:rsidRDefault="00980E5F">
            <w:pPr>
              <w:rPr>
                <w:rFonts w:ascii="宋体"/>
                <w:vanish/>
              </w:rPr>
            </w:pPr>
          </w:p>
        </w:tc>
        <w:tc>
          <w:tcPr>
            <w:tcW w:w="0" w:type="auto"/>
            <w:gridSpan w:val="3"/>
            <w:shd w:val="clear" w:color="auto" w:fill="auto"/>
            <w:vAlign w:val="bottom"/>
          </w:tcPr>
          <w:p w14:paraId="392C38A0" w14:textId="77777777" w:rsidR="00980E5F" w:rsidRDefault="00980E5F">
            <w:pPr>
              <w:rPr>
                <w:rFonts w:ascii="宋体"/>
                <w:vanish/>
              </w:rPr>
            </w:pPr>
          </w:p>
        </w:tc>
        <w:tc>
          <w:tcPr>
            <w:tcW w:w="0" w:type="auto"/>
            <w:gridSpan w:val="3"/>
            <w:shd w:val="clear" w:color="auto" w:fill="auto"/>
            <w:vAlign w:val="bottom"/>
          </w:tcPr>
          <w:p w14:paraId="392C38A1" w14:textId="77777777" w:rsidR="00980E5F" w:rsidRDefault="00980E5F">
            <w:pPr>
              <w:rPr>
                <w:rFonts w:ascii="宋体"/>
                <w:vanish/>
              </w:rPr>
            </w:pPr>
          </w:p>
        </w:tc>
        <w:tc>
          <w:tcPr>
            <w:tcW w:w="0" w:type="auto"/>
            <w:gridSpan w:val="3"/>
            <w:shd w:val="clear" w:color="auto" w:fill="auto"/>
            <w:vAlign w:val="bottom"/>
          </w:tcPr>
          <w:p w14:paraId="392C38A2" w14:textId="77777777" w:rsidR="00980E5F" w:rsidRDefault="00980E5F">
            <w:pPr>
              <w:rPr>
                <w:rFonts w:ascii="宋体"/>
                <w:vanish/>
              </w:rPr>
            </w:pPr>
          </w:p>
        </w:tc>
        <w:tc>
          <w:tcPr>
            <w:tcW w:w="0" w:type="auto"/>
            <w:gridSpan w:val="3"/>
            <w:shd w:val="clear" w:color="auto" w:fill="auto"/>
            <w:vAlign w:val="bottom"/>
          </w:tcPr>
          <w:p w14:paraId="392C38A3" w14:textId="77777777" w:rsidR="00980E5F" w:rsidRDefault="00980E5F">
            <w:pPr>
              <w:rPr>
                <w:rFonts w:ascii="宋体"/>
                <w:vanish/>
              </w:rPr>
            </w:pPr>
          </w:p>
        </w:tc>
        <w:tc>
          <w:tcPr>
            <w:tcW w:w="0" w:type="auto"/>
            <w:gridSpan w:val="3"/>
            <w:shd w:val="clear" w:color="auto" w:fill="auto"/>
            <w:vAlign w:val="bottom"/>
          </w:tcPr>
          <w:p w14:paraId="392C38A4" w14:textId="77777777" w:rsidR="00980E5F" w:rsidRDefault="00980E5F">
            <w:pPr>
              <w:rPr>
                <w:rFonts w:ascii="宋体"/>
                <w:vanish/>
              </w:rPr>
            </w:pPr>
          </w:p>
        </w:tc>
        <w:tc>
          <w:tcPr>
            <w:tcW w:w="0" w:type="auto"/>
            <w:gridSpan w:val="3"/>
            <w:shd w:val="clear" w:color="auto" w:fill="auto"/>
            <w:vAlign w:val="bottom"/>
          </w:tcPr>
          <w:p w14:paraId="392C38A5" w14:textId="77777777" w:rsidR="00980E5F" w:rsidRDefault="00980E5F">
            <w:pPr>
              <w:rPr>
                <w:rFonts w:ascii="宋体"/>
                <w:vanish/>
              </w:rPr>
            </w:pPr>
          </w:p>
        </w:tc>
        <w:tc>
          <w:tcPr>
            <w:tcW w:w="0" w:type="auto"/>
            <w:gridSpan w:val="3"/>
            <w:shd w:val="clear" w:color="auto" w:fill="auto"/>
            <w:vAlign w:val="bottom"/>
          </w:tcPr>
          <w:p w14:paraId="392C38A6" w14:textId="77777777" w:rsidR="00980E5F" w:rsidRDefault="00980E5F">
            <w:pPr>
              <w:rPr>
                <w:rFonts w:ascii="宋体"/>
                <w:vanish/>
              </w:rPr>
            </w:pPr>
          </w:p>
        </w:tc>
        <w:tc>
          <w:tcPr>
            <w:tcW w:w="0" w:type="auto"/>
            <w:gridSpan w:val="3"/>
            <w:shd w:val="clear" w:color="auto" w:fill="auto"/>
            <w:vAlign w:val="bottom"/>
          </w:tcPr>
          <w:p w14:paraId="392C38A7" w14:textId="77777777" w:rsidR="00980E5F" w:rsidRDefault="00980E5F">
            <w:pPr>
              <w:rPr>
                <w:rFonts w:ascii="宋体"/>
                <w:vanish/>
              </w:rPr>
            </w:pPr>
          </w:p>
        </w:tc>
        <w:tc>
          <w:tcPr>
            <w:tcW w:w="0" w:type="auto"/>
            <w:gridSpan w:val="3"/>
            <w:shd w:val="clear" w:color="auto" w:fill="auto"/>
            <w:vAlign w:val="bottom"/>
          </w:tcPr>
          <w:p w14:paraId="392C38A8" w14:textId="77777777" w:rsidR="00980E5F" w:rsidRDefault="00980E5F">
            <w:pPr>
              <w:rPr>
                <w:rFonts w:ascii="宋体"/>
                <w:vanish/>
              </w:rPr>
            </w:pPr>
          </w:p>
        </w:tc>
        <w:tc>
          <w:tcPr>
            <w:tcW w:w="0" w:type="auto"/>
            <w:gridSpan w:val="3"/>
            <w:shd w:val="clear" w:color="auto" w:fill="auto"/>
            <w:vAlign w:val="bottom"/>
          </w:tcPr>
          <w:p w14:paraId="392C38A9" w14:textId="77777777" w:rsidR="00980E5F" w:rsidRDefault="00980E5F">
            <w:pPr>
              <w:rPr>
                <w:rFonts w:ascii="宋体"/>
                <w:vanish/>
              </w:rPr>
            </w:pPr>
          </w:p>
        </w:tc>
        <w:tc>
          <w:tcPr>
            <w:tcW w:w="0" w:type="auto"/>
            <w:gridSpan w:val="3"/>
            <w:shd w:val="clear" w:color="auto" w:fill="auto"/>
            <w:vAlign w:val="bottom"/>
          </w:tcPr>
          <w:p w14:paraId="392C38AA" w14:textId="77777777" w:rsidR="00980E5F" w:rsidRDefault="00980E5F">
            <w:pPr>
              <w:rPr>
                <w:rFonts w:ascii="宋体"/>
                <w:vanish/>
              </w:rPr>
            </w:pPr>
          </w:p>
        </w:tc>
      </w:tr>
      <w:tr w:rsidR="00980E5F" w14:paraId="392C38BE" w14:textId="77777777">
        <w:trPr>
          <w:trHeight w:val="60"/>
          <w:jc w:val="center"/>
        </w:trPr>
        <w:tc>
          <w:tcPr>
            <w:tcW w:w="0" w:type="auto"/>
            <w:gridSpan w:val="3"/>
            <w:shd w:val="clear" w:color="auto" w:fill="auto"/>
            <w:tcMar>
              <w:top w:w="0" w:type="dxa"/>
              <w:left w:w="20" w:type="dxa"/>
              <w:bottom w:w="0" w:type="dxa"/>
              <w:right w:w="20" w:type="dxa"/>
            </w:tcMar>
            <w:vAlign w:val="bottom"/>
          </w:tcPr>
          <w:p w14:paraId="392C38A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A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8B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8BD" w14:textId="77777777" w:rsidR="00980E5F" w:rsidRDefault="00980E5F">
            <w:pPr>
              <w:rPr>
                <w:rFonts w:ascii="宋体"/>
              </w:rPr>
            </w:pPr>
          </w:p>
        </w:tc>
      </w:tr>
      <w:tr w:rsidR="00483613" w14:paraId="392C38E1" w14:textId="77777777">
        <w:trPr>
          <w:jc w:val="center"/>
        </w:trPr>
        <w:tc>
          <w:tcPr>
            <w:tcW w:w="0" w:type="auto"/>
            <w:gridSpan w:val="3"/>
            <w:shd w:val="clear" w:color="auto" w:fill="CCEEFF"/>
            <w:tcMar>
              <w:top w:w="40" w:type="dxa"/>
              <w:left w:w="20" w:type="dxa"/>
              <w:bottom w:w="40" w:type="dxa"/>
              <w:right w:w="20" w:type="dxa"/>
            </w:tcMar>
            <w:vAlign w:val="bottom"/>
          </w:tcPr>
          <w:p w14:paraId="392C38BF" w14:textId="77777777" w:rsidR="00980E5F" w:rsidRDefault="00483613">
            <w:pPr>
              <w:textAlignment w:val="bottom"/>
            </w:pPr>
            <w:r>
              <w:rPr>
                <w:rFonts w:ascii="Arial" w:eastAsia="宋体" w:hAnsi="Arial" w:cs="Arial"/>
                <w:b/>
                <w:bCs/>
                <w:color w:val="000000"/>
                <w:sz w:val="15"/>
                <w:szCs w:val="15"/>
              </w:rPr>
              <w:t>Balance at December 31, 2020</w:t>
            </w:r>
          </w:p>
        </w:tc>
        <w:tc>
          <w:tcPr>
            <w:tcW w:w="0" w:type="auto"/>
            <w:shd w:val="clear" w:color="auto" w:fill="CCEEFF"/>
            <w:tcMar>
              <w:top w:w="40" w:type="dxa"/>
              <w:left w:w="20" w:type="dxa"/>
              <w:bottom w:w="40" w:type="dxa"/>
              <w:right w:w="0" w:type="dxa"/>
            </w:tcMar>
            <w:vAlign w:val="bottom"/>
          </w:tcPr>
          <w:p w14:paraId="392C38C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C1" w14:textId="77777777" w:rsidR="00980E5F" w:rsidRDefault="00483613">
            <w:pPr>
              <w:jc w:val="right"/>
              <w:textAlignment w:val="bottom"/>
            </w:pPr>
            <w:r>
              <w:rPr>
                <w:rFonts w:ascii="Arial" w:eastAsia="宋体" w:hAnsi="Arial" w:cs="Arial"/>
                <w:color w:val="000000"/>
                <w:sz w:val="15"/>
                <w:szCs w:val="15"/>
              </w:rPr>
              <w:t>2,471 </w:t>
            </w:r>
          </w:p>
        </w:tc>
        <w:tc>
          <w:tcPr>
            <w:tcW w:w="0" w:type="auto"/>
            <w:shd w:val="clear" w:color="auto" w:fill="CCEEFF"/>
            <w:tcMar>
              <w:top w:w="40" w:type="dxa"/>
              <w:left w:w="0" w:type="dxa"/>
              <w:bottom w:w="40" w:type="dxa"/>
              <w:right w:w="20" w:type="dxa"/>
            </w:tcMar>
            <w:vAlign w:val="bottom"/>
          </w:tcPr>
          <w:p w14:paraId="392C38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8C4" w14:textId="77777777" w:rsidR="00980E5F" w:rsidRDefault="00483613">
            <w:pPr>
              <w:jc w:val="right"/>
              <w:textAlignment w:val="bottom"/>
            </w:pPr>
            <w:r>
              <w:rPr>
                <w:rFonts w:ascii="Arial" w:eastAsia="宋体" w:hAnsi="Arial" w:cs="Arial"/>
                <w:color w:val="000000"/>
                <w:sz w:val="15"/>
                <w:szCs w:val="15"/>
              </w:rPr>
              <w:t>503,880 </w:t>
            </w:r>
          </w:p>
        </w:tc>
        <w:tc>
          <w:tcPr>
            <w:tcW w:w="0" w:type="auto"/>
            <w:shd w:val="clear" w:color="auto" w:fill="CCEEFF"/>
            <w:tcMar>
              <w:top w:w="40" w:type="dxa"/>
              <w:left w:w="0" w:type="dxa"/>
              <w:bottom w:w="40" w:type="dxa"/>
              <w:right w:w="20" w:type="dxa"/>
            </w:tcMar>
            <w:vAlign w:val="bottom"/>
          </w:tcPr>
          <w:p w14:paraId="392C38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C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C7"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C8" w14:textId="77777777" w:rsidR="00980E5F" w:rsidRDefault="00483613">
            <w:pPr>
              <w:jc w:val="right"/>
              <w:textAlignment w:val="bottom"/>
            </w:pPr>
            <w:r>
              <w:rPr>
                <w:rFonts w:ascii="Arial" w:eastAsia="宋体" w:hAnsi="Arial" w:cs="Arial"/>
                <w:color w:val="000000"/>
                <w:sz w:val="15"/>
                <w:szCs w:val="15"/>
              </w:rPr>
              <w:t>504 </w:t>
            </w:r>
          </w:p>
        </w:tc>
        <w:tc>
          <w:tcPr>
            <w:tcW w:w="0" w:type="auto"/>
            <w:shd w:val="clear" w:color="auto" w:fill="CCEEFF"/>
            <w:tcMar>
              <w:top w:w="40" w:type="dxa"/>
              <w:left w:w="0" w:type="dxa"/>
              <w:bottom w:w="40" w:type="dxa"/>
              <w:right w:w="20" w:type="dxa"/>
            </w:tcMar>
            <w:vAlign w:val="bottom"/>
          </w:tcPr>
          <w:p w14:paraId="392C38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C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CB"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CC" w14:textId="77777777" w:rsidR="00980E5F" w:rsidRDefault="00483613">
            <w:pPr>
              <w:jc w:val="right"/>
              <w:textAlignment w:val="bottom"/>
            </w:pPr>
            <w:r>
              <w:rPr>
                <w:rFonts w:ascii="Arial" w:eastAsia="宋体" w:hAnsi="Arial" w:cs="Arial"/>
                <w:color w:val="000000"/>
                <w:sz w:val="15"/>
                <w:szCs w:val="15"/>
              </w:rPr>
              <w:t>10,205 </w:t>
            </w:r>
          </w:p>
        </w:tc>
        <w:tc>
          <w:tcPr>
            <w:tcW w:w="0" w:type="auto"/>
            <w:shd w:val="clear" w:color="auto" w:fill="CCEEFF"/>
            <w:tcMar>
              <w:top w:w="40" w:type="dxa"/>
              <w:left w:w="0" w:type="dxa"/>
              <w:bottom w:w="40" w:type="dxa"/>
              <w:right w:w="20" w:type="dxa"/>
            </w:tcMar>
            <w:vAlign w:val="bottom"/>
          </w:tcPr>
          <w:p w14:paraId="392C38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C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CF"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D0" w14:textId="77777777" w:rsidR="00980E5F" w:rsidRDefault="00483613">
            <w:pPr>
              <w:jc w:val="right"/>
              <w:textAlignment w:val="bottom"/>
            </w:pPr>
            <w:r>
              <w:rPr>
                <w:rFonts w:ascii="Arial" w:eastAsia="宋体" w:hAnsi="Arial" w:cs="Arial"/>
                <w:color w:val="000000"/>
                <w:sz w:val="15"/>
                <w:szCs w:val="15"/>
              </w:rPr>
              <w:t>23,442 </w:t>
            </w:r>
          </w:p>
        </w:tc>
        <w:tc>
          <w:tcPr>
            <w:tcW w:w="0" w:type="auto"/>
            <w:shd w:val="clear" w:color="auto" w:fill="CCEEFF"/>
            <w:tcMar>
              <w:top w:w="40" w:type="dxa"/>
              <w:left w:w="0" w:type="dxa"/>
              <w:bottom w:w="40" w:type="dxa"/>
              <w:right w:w="20" w:type="dxa"/>
            </w:tcMar>
            <w:vAlign w:val="bottom"/>
          </w:tcPr>
          <w:p w14:paraId="392C38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D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D3"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D4" w14:textId="77777777" w:rsidR="00980E5F" w:rsidRDefault="00483613">
            <w:pPr>
              <w:jc w:val="right"/>
              <w:textAlignment w:val="bottom"/>
            </w:pPr>
            <w:r>
              <w:rPr>
                <w:rFonts w:ascii="Arial" w:eastAsia="宋体" w:hAnsi="Arial" w:cs="Arial"/>
                <w:color w:val="000000"/>
                <w:sz w:val="15"/>
                <w:szCs w:val="15"/>
              </w:rPr>
              <w:t>187 </w:t>
            </w:r>
          </w:p>
        </w:tc>
        <w:tc>
          <w:tcPr>
            <w:tcW w:w="0" w:type="auto"/>
            <w:shd w:val="clear" w:color="auto" w:fill="CCEEFF"/>
            <w:tcMar>
              <w:top w:w="40" w:type="dxa"/>
              <w:left w:w="0" w:type="dxa"/>
              <w:bottom w:w="40" w:type="dxa"/>
              <w:right w:w="20" w:type="dxa"/>
            </w:tcMar>
            <w:vAlign w:val="bottom"/>
          </w:tcPr>
          <w:p w14:paraId="392C38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D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8D7" w14:textId="77777777" w:rsidR="00980E5F" w:rsidRDefault="00483613">
            <w:pPr>
              <w:jc w:val="right"/>
              <w:textAlignment w:val="bottom"/>
            </w:pPr>
            <w:r>
              <w:rPr>
                <w:rFonts w:ascii="Arial" w:eastAsia="宋体" w:hAnsi="Arial" w:cs="Arial"/>
                <w:color w:val="000000"/>
                <w:sz w:val="15"/>
                <w:szCs w:val="15"/>
              </w:rPr>
              <w:t>150,723 </w:t>
            </w:r>
          </w:p>
        </w:tc>
        <w:tc>
          <w:tcPr>
            <w:tcW w:w="0" w:type="auto"/>
            <w:shd w:val="clear" w:color="auto" w:fill="CCEEFF"/>
            <w:tcMar>
              <w:top w:w="40" w:type="dxa"/>
              <w:left w:w="0" w:type="dxa"/>
              <w:bottom w:w="40" w:type="dxa"/>
              <w:right w:w="20" w:type="dxa"/>
            </w:tcMar>
            <w:vAlign w:val="bottom"/>
          </w:tcPr>
          <w:p w14:paraId="392C38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D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DA"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DB" w14:textId="77777777" w:rsidR="00980E5F" w:rsidRDefault="00483613">
            <w:pPr>
              <w:jc w:val="right"/>
              <w:textAlignment w:val="bottom"/>
            </w:pPr>
            <w:r>
              <w:rPr>
                <w:rFonts w:ascii="Arial" w:eastAsia="宋体" w:hAnsi="Arial" w:cs="Arial"/>
                <w:color w:val="000000"/>
                <w:sz w:val="15"/>
                <w:szCs w:val="15"/>
              </w:rPr>
              <w:t>(10,609)</w:t>
            </w:r>
          </w:p>
        </w:tc>
        <w:tc>
          <w:tcPr>
            <w:tcW w:w="0" w:type="auto"/>
            <w:shd w:val="clear" w:color="auto" w:fill="CCEEFF"/>
            <w:tcMar>
              <w:top w:w="40" w:type="dxa"/>
              <w:left w:w="0" w:type="dxa"/>
              <w:bottom w:w="40" w:type="dxa"/>
              <w:right w:w="20" w:type="dxa"/>
            </w:tcMar>
            <w:vAlign w:val="bottom"/>
          </w:tcPr>
          <w:p w14:paraId="392C38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8D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8DE"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8DF" w14:textId="77777777" w:rsidR="00980E5F" w:rsidRDefault="00483613">
            <w:pPr>
              <w:jc w:val="right"/>
              <w:textAlignment w:val="bottom"/>
            </w:pPr>
            <w:r>
              <w:rPr>
                <w:rFonts w:ascii="Arial" w:eastAsia="宋体" w:hAnsi="Arial" w:cs="Arial"/>
                <w:color w:val="000000"/>
                <w:sz w:val="15"/>
                <w:szCs w:val="15"/>
              </w:rPr>
              <w:t>26,200 </w:t>
            </w:r>
          </w:p>
        </w:tc>
        <w:tc>
          <w:tcPr>
            <w:tcW w:w="0" w:type="auto"/>
            <w:shd w:val="clear" w:color="auto" w:fill="CCEEFF"/>
            <w:tcMar>
              <w:top w:w="40" w:type="dxa"/>
              <w:left w:w="0" w:type="dxa"/>
              <w:bottom w:w="40" w:type="dxa"/>
              <w:right w:w="20" w:type="dxa"/>
            </w:tcMar>
            <w:vAlign w:val="bottom"/>
          </w:tcPr>
          <w:p w14:paraId="392C38E0" w14:textId="77777777" w:rsidR="00980E5F" w:rsidRDefault="00980E5F">
            <w:pPr>
              <w:jc w:val="right"/>
              <w:rPr>
                <w:rFonts w:ascii="宋体"/>
              </w:rPr>
            </w:pPr>
          </w:p>
        </w:tc>
      </w:tr>
      <w:tr w:rsidR="00980E5F" w14:paraId="392C38F6" w14:textId="77777777">
        <w:trPr>
          <w:jc w:val="center"/>
        </w:trPr>
        <w:tc>
          <w:tcPr>
            <w:tcW w:w="0" w:type="auto"/>
            <w:gridSpan w:val="3"/>
            <w:shd w:val="clear" w:color="auto" w:fill="FFFFFF"/>
            <w:tcMar>
              <w:top w:w="40" w:type="dxa"/>
              <w:left w:w="20" w:type="dxa"/>
              <w:bottom w:w="40" w:type="dxa"/>
              <w:right w:w="20" w:type="dxa"/>
            </w:tcMar>
            <w:vAlign w:val="bottom"/>
          </w:tcPr>
          <w:p w14:paraId="392C38E2" w14:textId="77777777" w:rsidR="00980E5F" w:rsidRDefault="00483613">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vAlign w:val="bottom"/>
          </w:tcPr>
          <w:p w14:paraId="392C38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8EB" w14:textId="77777777" w:rsidR="00980E5F" w:rsidRDefault="00483613">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392C38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8E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F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F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8F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8F4" w14:textId="77777777" w:rsidR="00980E5F" w:rsidRDefault="00483613">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392C38F5" w14:textId="77777777" w:rsidR="00980E5F" w:rsidRDefault="00980E5F">
            <w:pPr>
              <w:jc w:val="right"/>
              <w:rPr>
                <w:rFonts w:ascii="宋体"/>
              </w:rPr>
            </w:pPr>
          </w:p>
        </w:tc>
      </w:tr>
      <w:tr w:rsidR="00980E5F" w14:paraId="392C390B" w14:textId="77777777">
        <w:trPr>
          <w:jc w:val="center"/>
        </w:trPr>
        <w:tc>
          <w:tcPr>
            <w:tcW w:w="0" w:type="auto"/>
            <w:gridSpan w:val="3"/>
            <w:shd w:val="clear" w:color="auto" w:fill="CCEEFF"/>
            <w:tcMar>
              <w:top w:w="40" w:type="dxa"/>
              <w:left w:w="20" w:type="dxa"/>
              <w:bottom w:w="40" w:type="dxa"/>
              <w:right w:w="20" w:type="dxa"/>
            </w:tcMar>
            <w:vAlign w:val="bottom"/>
          </w:tcPr>
          <w:p w14:paraId="392C38F7" w14:textId="77777777" w:rsidR="00980E5F" w:rsidRDefault="00483613">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392C38F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8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02" w14:textId="77777777" w:rsidR="00980E5F" w:rsidRDefault="00483613">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392C39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0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0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09" w14:textId="77777777" w:rsidR="00980E5F" w:rsidRDefault="00483613">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392C390A" w14:textId="77777777" w:rsidR="00980E5F" w:rsidRDefault="00980E5F">
            <w:pPr>
              <w:jc w:val="right"/>
              <w:rPr>
                <w:rFonts w:ascii="宋体"/>
              </w:rPr>
            </w:pPr>
          </w:p>
        </w:tc>
      </w:tr>
      <w:tr w:rsidR="00980E5F" w14:paraId="392C3921" w14:textId="77777777">
        <w:trPr>
          <w:jc w:val="center"/>
        </w:trPr>
        <w:tc>
          <w:tcPr>
            <w:tcW w:w="0" w:type="auto"/>
            <w:gridSpan w:val="3"/>
            <w:shd w:val="clear" w:color="auto" w:fill="FFFFFF"/>
            <w:tcMar>
              <w:top w:w="40" w:type="dxa"/>
              <w:left w:w="20" w:type="dxa"/>
              <w:bottom w:w="40" w:type="dxa"/>
              <w:right w:w="20" w:type="dxa"/>
            </w:tcMar>
            <w:vAlign w:val="bottom"/>
          </w:tcPr>
          <w:p w14:paraId="392C390C" w14:textId="77777777" w:rsidR="00980E5F" w:rsidRDefault="00483613">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392C390D" w14:textId="77777777" w:rsidR="00980E5F" w:rsidRDefault="00483613">
            <w:pPr>
              <w:jc w:val="right"/>
              <w:textAlignment w:val="bottom"/>
            </w:pPr>
            <w:r>
              <w:rPr>
                <w:rFonts w:ascii="Arial" w:eastAsia="宋体" w:hAnsi="Arial" w:cs="Arial"/>
                <w:color w:val="000000"/>
                <w:sz w:val="15"/>
                <w:szCs w:val="15"/>
              </w:rPr>
              <w:t>(495)</w:t>
            </w:r>
          </w:p>
        </w:tc>
        <w:tc>
          <w:tcPr>
            <w:tcW w:w="0" w:type="auto"/>
            <w:shd w:val="clear" w:color="auto" w:fill="FFFFFF"/>
            <w:tcMar>
              <w:top w:w="40" w:type="dxa"/>
              <w:left w:w="0" w:type="dxa"/>
              <w:bottom w:w="40" w:type="dxa"/>
              <w:right w:w="20" w:type="dxa"/>
            </w:tcMar>
            <w:vAlign w:val="bottom"/>
          </w:tcPr>
          <w:p w14:paraId="392C390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16" w14:textId="77777777" w:rsidR="00980E5F" w:rsidRDefault="00483613">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392C39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1F" w14:textId="77777777" w:rsidR="00980E5F" w:rsidRDefault="00483613">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392C3920" w14:textId="77777777" w:rsidR="00980E5F" w:rsidRDefault="00980E5F">
            <w:pPr>
              <w:jc w:val="right"/>
              <w:rPr>
                <w:rFonts w:ascii="宋体"/>
              </w:rPr>
            </w:pPr>
          </w:p>
        </w:tc>
      </w:tr>
      <w:tr w:rsidR="00980E5F" w14:paraId="392C3934" w14:textId="77777777">
        <w:trPr>
          <w:jc w:val="center"/>
        </w:trPr>
        <w:tc>
          <w:tcPr>
            <w:tcW w:w="0" w:type="auto"/>
            <w:gridSpan w:val="3"/>
            <w:shd w:val="clear" w:color="auto" w:fill="CCEEFF"/>
            <w:tcMar>
              <w:top w:w="40" w:type="dxa"/>
              <w:left w:w="20" w:type="dxa"/>
              <w:bottom w:w="40" w:type="dxa"/>
              <w:right w:w="20" w:type="dxa"/>
            </w:tcMar>
            <w:vAlign w:val="bottom"/>
          </w:tcPr>
          <w:p w14:paraId="392C3922" w14:textId="77777777" w:rsidR="00980E5F" w:rsidRDefault="00483613">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392C392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3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3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33" w14:textId="77777777" w:rsidR="00980E5F" w:rsidRDefault="00980E5F">
            <w:pPr>
              <w:rPr>
                <w:rFonts w:ascii="宋体"/>
              </w:rPr>
            </w:pPr>
          </w:p>
        </w:tc>
      </w:tr>
      <w:tr w:rsidR="00980E5F" w14:paraId="392C3949" w14:textId="77777777">
        <w:trPr>
          <w:jc w:val="center"/>
        </w:trPr>
        <w:tc>
          <w:tcPr>
            <w:tcW w:w="0" w:type="auto"/>
            <w:gridSpan w:val="3"/>
            <w:shd w:val="clear" w:color="auto" w:fill="FFFFFF"/>
            <w:tcMar>
              <w:top w:w="40" w:type="dxa"/>
              <w:left w:w="20" w:type="dxa"/>
              <w:bottom w:w="40" w:type="dxa"/>
              <w:right w:w="20" w:type="dxa"/>
            </w:tcMar>
            <w:vAlign w:val="bottom"/>
          </w:tcPr>
          <w:p w14:paraId="392C3935" w14:textId="77777777" w:rsidR="00980E5F" w:rsidRDefault="00483613">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392C393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3E" w14:textId="77777777" w:rsidR="00980E5F" w:rsidRDefault="00483613">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392C39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4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4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47" w14:textId="77777777" w:rsidR="00980E5F" w:rsidRDefault="00483613">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392C3948" w14:textId="77777777" w:rsidR="00980E5F" w:rsidRDefault="00980E5F">
            <w:pPr>
              <w:jc w:val="right"/>
              <w:rPr>
                <w:rFonts w:ascii="宋体"/>
              </w:rPr>
            </w:pPr>
          </w:p>
        </w:tc>
      </w:tr>
      <w:tr w:rsidR="00980E5F" w14:paraId="392C395E" w14:textId="77777777">
        <w:trPr>
          <w:jc w:val="center"/>
        </w:trPr>
        <w:tc>
          <w:tcPr>
            <w:tcW w:w="0" w:type="auto"/>
            <w:gridSpan w:val="3"/>
            <w:shd w:val="clear" w:color="auto" w:fill="CCEEFF"/>
            <w:tcMar>
              <w:top w:w="40" w:type="dxa"/>
              <w:left w:w="140" w:type="dxa"/>
              <w:bottom w:w="40" w:type="dxa"/>
              <w:right w:w="20" w:type="dxa"/>
            </w:tcMar>
            <w:vAlign w:val="bottom"/>
          </w:tcPr>
          <w:p w14:paraId="392C394A" w14:textId="77777777" w:rsidR="00980E5F" w:rsidRDefault="00483613">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392C394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4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4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4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4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53" w14:textId="77777777" w:rsidR="00980E5F" w:rsidRDefault="00483613">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392C39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5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5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5C" w14:textId="77777777" w:rsidR="00980E5F" w:rsidRDefault="00483613">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392C395D" w14:textId="77777777" w:rsidR="00980E5F" w:rsidRDefault="00980E5F">
            <w:pPr>
              <w:jc w:val="right"/>
              <w:rPr>
                <w:rFonts w:ascii="宋体"/>
              </w:rPr>
            </w:pPr>
          </w:p>
        </w:tc>
      </w:tr>
      <w:tr w:rsidR="00980E5F" w14:paraId="392C3974" w14:textId="77777777">
        <w:trPr>
          <w:jc w:val="center"/>
        </w:trPr>
        <w:tc>
          <w:tcPr>
            <w:tcW w:w="0" w:type="auto"/>
            <w:gridSpan w:val="3"/>
            <w:shd w:val="clear" w:color="auto" w:fill="FFFFFF"/>
            <w:tcMar>
              <w:top w:w="40" w:type="dxa"/>
              <w:left w:w="20" w:type="dxa"/>
              <w:bottom w:w="40" w:type="dxa"/>
              <w:right w:w="20" w:type="dxa"/>
            </w:tcMar>
            <w:vAlign w:val="bottom"/>
          </w:tcPr>
          <w:p w14:paraId="392C395F" w14:textId="77777777" w:rsidR="00980E5F" w:rsidRDefault="00483613">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392C396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6C" w14:textId="77777777" w:rsidR="00980E5F" w:rsidRDefault="00483613">
            <w:pPr>
              <w:jc w:val="right"/>
              <w:textAlignment w:val="bottom"/>
            </w:pPr>
            <w:r>
              <w:rPr>
                <w:rFonts w:ascii="Arial" w:eastAsia="宋体" w:hAnsi="Arial" w:cs="Arial"/>
                <w:color w:val="000000"/>
                <w:sz w:val="15"/>
                <w:szCs w:val="15"/>
              </w:rPr>
              <w:t>6,233 </w:t>
            </w:r>
          </w:p>
        </w:tc>
        <w:tc>
          <w:tcPr>
            <w:tcW w:w="0" w:type="auto"/>
            <w:shd w:val="clear" w:color="auto" w:fill="FFFFFF"/>
            <w:tcMar>
              <w:top w:w="40" w:type="dxa"/>
              <w:left w:w="0" w:type="dxa"/>
              <w:bottom w:w="40" w:type="dxa"/>
              <w:right w:w="20" w:type="dxa"/>
            </w:tcMar>
            <w:vAlign w:val="bottom"/>
          </w:tcPr>
          <w:p w14:paraId="392C39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6F" w14:textId="77777777" w:rsidR="00980E5F" w:rsidRDefault="00483613">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392C39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7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72" w14:textId="77777777" w:rsidR="00980E5F" w:rsidRDefault="00483613">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392C3973" w14:textId="77777777" w:rsidR="00980E5F" w:rsidRDefault="00980E5F">
            <w:pPr>
              <w:jc w:val="right"/>
              <w:rPr>
                <w:rFonts w:ascii="宋体"/>
              </w:rPr>
            </w:pPr>
          </w:p>
        </w:tc>
      </w:tr>
      <w:tr w:rsidR="00980E5F" w14:paraId="392C398B" w14:textId="77777777">
        <w:trPr>
          <w:jc w:val="center"/>
        </w:trPr>
        <w:tc>
          <w:tcPr>
            <w:tcW w:w="0" w:type="auto"/>
            <w:gridSpan w:val="3"/>
            <w:shd w:val="clear" w:color="auto" w:fill="CCEEFF"/>
            <w:tcMar>
              <w:top w:w="40" w:type="dxa"/>
              <w:left w:w="20" w:type="dxa"/>
              <w:bottom w:w="40" w:type="dxa"/>
              <w:right w:w="20" w:type="dxa"/>
            </w:tcMar>
            <w:vAlign w:val="bottom"/>
          </w:tcPr>
          <w:p w14:paraId="392C3975" w14:textId="77777777" w:rsidR="00980E5F" w:rsidRDefault="00483613">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392C397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7C" w14:textId="77777777" w:rsidR="00980E5F" w:rsidRDefault="00483613">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392C39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7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7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8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8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8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83" w14:textId="77777777" w:rsidR="00980E5F" w:rsidRDefault="00483613">
            <w:pPr>
              <w:jc w:val="right"/>
              <w:textAlignment w:val="bottom"/>
            </w:pPr>
            <w:r>
              <w:rPr>
                <w:rFonts w:ascii="Arial" w:eastAsia="宋体" w:hAnsi="Arial" w:cs="Arial"/>
                <w:color w:val="000000"/>
                <w:sz w:val="15"/>
                <w:szCs w:val="15"/>
              </w:rPr>
              <w:t>(1,111)</w:t>
            </w:r>
          </w:p>
        </w:tc>
        <w:tc>
          <w:tcPr>
            <w:tcW w:w="0" w:type="auto"/>
            <w:shd w:val="clear" w:color="auto" w:fill="CCEEFF"/>
            <w:tcMar>
              <w:top w:w="40" w:type="dxa"/>
              <w:left w:w="0" w:type="dxa"/>
              <w:bottom w:w="40" w:type="dxa"/>
              <w:right w:w="20" w:type="dxa"/>
            </w:tcMar>
            <w:vAlign w:val="bottom"/>
          </w:tcPr>
          <w:p w14:paraId="392C39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8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86" w14:textId="77777777" w:rsidR="00980E5F" w:rsidRDefault="00483613">
            <w:pPr>
              <w:jc w:val="right"/>
              <w:textAlignment w:val="bottom"/>
            </w:pPr>
            <w:r>
              <w:rPr>
                <w:rFonts w:ascii="Arial" w:eastAsia="宋体" w:hAnsi="Arial" w:cs="Arial"/>
                <w:color w:val="000000"/>
                <w:sz w:val="15"/>
                <w:szCs w:val="15"/>
              </w:rPr>
              <w:t>49 </w:t>
            </w:r>
          </w:p>
        </w:tc>
        <w:tc>
          <w:tcPr>
            <w:tcW w:w="0" w:type="auto"/>
            <w:shd w:val="clear" w:color="auto" w:fill="CCEEFF"/>
            <w:tcMar>
              <w:top w:w="40" w:type="dxa"/>
              <w:left w:w="0" w:type="dxa"/>
              <w:bottom w:w="40" w:type="dxa"/>
              <w:right w:w="20" w:type="dxa"/>
            </w:tcMar>
            <w:vAlign w:val="bottom"/>
          </w:tcPr>
          <w:p w14:paraId="392C39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8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89" w14:textId="77777777" w:rsidR="00980E5F" w:rsidRDefault="00483613">
            <w:pPr>
              <w:jc w:val="right"/>
              <w:textAlignment w:val="bottom"/>
            </w:pPr>
            <w:r>
              <w:rPr>
                <w:rFonts w:ascii="Arial" w:eastAsia="宋体" w:hAnsi="Arial" w:cs="Arial"/>
                <w:color w:val="000000"/>
                <w:sz w:val="15"/>
                <w:szCs w:val="15"/>
              </w:rPr>
              <w:t>71 </w:t>
            </w:r>
          </w:p>
        </w:tc>
        <w:tc>
          <w:tcPr>
            <w:tcW w:w="0" w:type="auto"/>
            <w:shd w:val="clear" w:color="auto" w:fill="CCEEFF"/>
            <w:tcMar>
              <w:top w:w="40" w:type="dxa"/>
              <w:left w:w="0" w:type="dxa"/>
              <w:bottom w:w="40" w:type="dxa"/>
              <w:right w:w="20" w:type="dxa"/>
            </w:tcMar>
            <w:vAlign w:val="bottom"/>
          </w:tcPr>
          <w:p w14:paraId="392C398A" w14:textId="77777777" w:rsidR="00980E5F" w:rsidRDefault="00980E5F">
            <w:pPr>
              <w:jc w:val="right"/>
              <w:rPr>
                <w:rFonts w:ascii="宋体"/>
              </w:rPr>
            </w:pPr>
          </w:p>
        </w:tc>
      </w:tr>
      <w:tr w:rsidR="00980E5F" w14:paraId="392C39A1" w14:textId="77777777">
        <w:trPr>
          <w:jc w:val="center"/>
        </w:trPr>
        <w:tc>
          <w:tcPr>
            <w:tcW w:w="0" w:type="auto"/>
            <w:gridSpan w:val="3"/>
            <w:shd w:val="clear" w:color="auto" w:fill="FFFFFF"/>
            <w:tcMar>
              <w:top w:w="40" w:type="dxa"/>
              <w:left w:w="20" w:type="dxa"/>
              <w:bottom w:w="40" w:type="dxa"/>
              <w:right w:w="20" w:type="dxa"/>
            </w:tcMar>
            <w:vAlign w:val="bottom"/>
          </w:tcPr>
          <w:p w14:paraId="392C398C" w14:textId="77777777" w:rsidR="00980E5F" w:rsidRDefault="00483613">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392C398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8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8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95"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39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9A"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39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9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9F"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39A0" w14:textId="77777777" w:rsidR="00980E5F" w:rsidRDefault="00980E5F">
            <w:pPr>
              <w:jc w:val="right"/>
              <w:rPr>
                <w:rFonts w:ascii="宋体"/>
              </w:rPr>
            </w:pPr>
          </w:p>
        </w:tc>
      </w:tr>
      <w:tr w:rsidR="00483613" w14:paraId="392C39C4" w14:textId="77777777">
        <w:trPr>
          <w:jc w:val="center"/>
        </w:trPr>
        <w:tc>
          <w:tcPr>
            <w:tcW w:w="0" w:type="auto"/>
            <w:gridSpan w:val="3"/>
            <w:shd w:val="clear" w:color="auto" w:fill="CCEEFF"/>
            <w:tcMar>
              <w:top w:w="40" w:type="dxa"/>
              <w:left w:w="20" w:type="dxa"/>
              <w:bottom w:w="40" w:type="dxa"/>
              <w:right w:w="20" w:type="dxa"/>
            </w:tcMar>
            <w:vAlign w:val="bottom"/>
          </w:tcPr>
          <w:p w14:paraId="392C39A2" w14:textId="77777777" w:rsidR="00980E5F" w:rsidRDefault="00483613">
            <w:pPr>
              <w:textAlignment w:val="bottom"/>
            </w:pPr>
            <w:r>
              <w:rPr>
                <w:rFonts w:ascii="Arial" w:eastAsia="宋体" w:hAnsi="Arial" w:cs="Arial"/>
                <w:b/>
                <w:bCs/>
                <w:color w:val="000000"/>
                <w:sz w:val="15"/>
                <w:szCs w:val="15"/>
              </w:rPr>
              <w:t>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39A3"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A4" w14:textId="77777777" w:rsidR="00980E5F" w:rsidRDefault="00483613">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A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9A7" w14:textId="77777777" w:rsidR="00980E5F" w:rsidRDefault="00483613">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A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AA"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AB" w14:textId="77777777" w:rsidR="00980E5F" w:rsidRDefault="00483613">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A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AE"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AF" w14:textId="77777777" w:rsidR="00980E5F" w:rsidRDefault="00483613">
            <w:pPr>
              <w:jc w:val="right"/>
              <w:textAlignment w:val="bottom"/>
            </w:pPr>
            <w:r>
              <w:rPr>
                <w:rFonts w:ascii="Arial" w:eastAsia="宋体" w:hAnsi="Arial" w:cs="Arial"/>
                <w:color w:val="000000"/>
                <w:sz w:val="15"/>
                <w:szCs w:val="15"/>
              </w:rPr>
              <w:t>10,227 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B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B2"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B3" w14:textId="77777777" w:rsidR="00980E5F" w:rsidRDefault="00483613">
            <w:pPr>
              <w:jc w:val="right"/>
              <w:textAlignment w:val="bottom"/>
            </w:pPr>
            <w:r>
              <w:rPr>
                <w:rFonts w:ascii="Arial" w:eastAsia="宋体" w:hAnsi="Arial" w:cs="Arial"/>
                <w:color w:val="000000"/>
                <w:sz w:val="15"/>
                <w:szCs w:val="15"/>
              </w:rPr>
              <w:t>23,751 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B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B6"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B7" w14:textId="77777777" w:rsidR="00980E5F" w:rsidRDefault="00483613">
            <w:pPr>
              <w:jc w:val="right"/>
              <w:textAlignment w:val="bottom"/>
            </w:pPr>
            <w:r>
              <w:rPr>
                <w:rFonts w:ascii="Arial" w:eastAsia="宋体" w:hAnsi="Arial" w:cs="Arial"/>
                <w:color w:val="000000"/>
                <w:sz w:val="15"/>
                <w:szCs w:val="15"/>
              </w:rPr>
              <w:t>(418)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B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9BA" w14:textId="77777777" w:rsidR="00980E5F" w:rsidRDefault="00483613">
            <w:pPr>
              <w:jc w:val="right"/>
              <w:textAlignment w:val="bottom"/>
            </w:pPr>
            <w:r>
              <w:rPr>
                <w:rFonts w:ascii="Arial" w:eastAsia="宋体" w:hAnsi="Arial" w:cs="Arial"/>
                <w:color w:val="000000"/>
                <w:sz w:val="15"/>
                <w:szCs w:val="15"/>
              </w:rPr>
              <w:t>155,847 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B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BD"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BE" w14:textId="77777777" w:rsidR="00980E5F" w:rsidRDefault="00483613">
            <w:pPr>
              <w:jc w:val="right"/>
              <w:textAlignment w:val="bottom"/>
            </w:pPr>
            <w:r>
              <w:rPr>
                <w:rFonts w:ascii="Arial" w:eastAsia="宋体" w:hAnsi="Arial" w:cs="Arial"/>
                <w:color w:val="000000"/>
                <w:sz w:val="15"/>
                <w:szCs w:val="15"/>
              </w:rPr>
              <w:t>(11,035)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C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39C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39C2" w14:textId="77777777" w:rsidR="00980E5F" w:rsidRDefault="00483613">
            <w:pPr>
              <w:jc w:val="right"/>
              <w:textAlignment w:val="bottom"/>
            </w:pPr>
            <w:r>
              <w:rPr>
                <w:rFonts w:ascii="Arial" w:eastAsia="宋体" w:hAnsi="Arial" w:cs="Arial"/>
                <w:color w:val="000000"/>
                <w:sz w:val="15"/>
                <w:szCs w:val="15"/>
              </w:rPr>
              <w:t>25,005 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9C3" w14:textId="77777777" w:rsidR="00980E5F" w:rsidRDefault="00980E5F">
            <w:pPr>
              <w:jc w:val="right"/>
              <w:rPr>
                <w:rFonts w:ascii="宋体"/>
              </w:rPr>
            </w:pPr>
          </w:p>
        </w:tc>
      </w:tr>
      <w:tr w:rsidR="00980E5F" w14:paraId="392C39D9" w14:textId="77777777">
        <w:trPr>
          <w:jc w:val="center"/>
        </w:trPr>
        <w:tc>
          <w:tcPr>
            <w:tcW w:w="0" w:type="auto"/>
            <w:gridSpan w:val="3"/>
            <w:shd w:val="clear" w:color="auto" w:fill="FFFFFF"/>
            <w:tcMar>
              <w:top w:w="40" w:type="dxa"/>
              <w:left w:w="20" w:type="dxa"/>
              <w:bottom w:w="40" w:type="dxa"/>
              <w:right w:w="20" w:type="dxa"/>
            </w:tcMar>
            <w:vAlign w:val="bottom"/>
          </w:tcPr>
          <w:p w14:paraId="392C39C5" w14:textId="77777777" w:rsidR="00980E5F" w:rsidRDefault="00483613">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FFFFFF"/>
            <w:tcMar>
              <w:top w:w="0" w:type="dxa"/>
              <w:left w:w="20" w:type="dxa"/>
              <w:bottom w:w="0" w:type="dxa"/>
              <w:right w:w="20" w:type="dxa"/>
            </w:tcMar>
            <w:vAlign w:val="bottom"/>
          </w:tcPr>
          <w:p w14:paraId="392C39C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CE" w14:textId="77777777" w:rsidR="00980E5F" w:rsidRDefault="00483613">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392C39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9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9D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9D7" w14:textId="77777777" w:rsidR="00980E5F" w:rsidRDefault="00483613">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392C39D8" w14:textId="77777777" w:rsidR="00980E5F" w:rsidRDefault="00980E5F">
            <w:pPr>
              <w:jc w:val="right"/>
              <w:rPr>
                <w:rFonts w:ascii="宋体"/>
              </w:rPr>
            </w:pPr>
          </w:p>
        </w:tc>
      </w:tr>
      <w:tr w:rsidR="00980E5F" w14:paraId="392C39EE" w14:textId="77777777">
        <w:trPr>
          <w:jc w:val="center"/>
        </w:trPr>
        <w:tc>
          <w:tcPr>
            <w:tcW w:w="0" w:type="auto"/>
            <w:gridSpan w:val="3"/>
            <w:shd w:val="clear" w:color="auto" w:fill="CCEEFF"/>
            <w:tcMar>
              <w:top w:w="40" w:type="dxa"/>
              <w:left w:w="20" w:type="dxa"/>
              <w:bottom w:w="40" w:type="dxa"/>
              <w:right w:w="20" w:type="dxa"/>
            </w:tcMar>
            <w:vAlign w:val="bottom"/>
          </w:tcPr>
          <w:p w14:paraId="392C39DA" w14:textId="77777777" w:rsidR="00980E5F" w:rsidRDefault="00483613">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392C39D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D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D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D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D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E5" w14:textId="77777777" w:rsidR="00980E5F" w:rsidRDefault="00483613">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392C39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9E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9E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9EC" w14:textId="77777777" w:rsidR="00980E5F" w:rsidRDefault="00483613">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392C39ED" w14:textId="77777777" w:rsidR="00980E5F" w:rsidRDefault="00980E5F">
            <w:pPr>
              <w:jc w:val="right"/>
              <w:rPr>
                <w:rFonts w:ascii="宋体"/>
              </w:rPr>
            </w:pPr>
          </w:p>
        </w:tc>
      </w:tr>
      <w:tr w:rsidR="00980E5F" w14:paraId="392C3A01" w14:textId="77777777">
        <w:trPr>
          <w:jc w:val="center"/>
          <w:hidden/>
        </w:trPr>
        <w:tc>
          <w:tcPr>
            <w:tcW w:w="0" w:type="auto"/>
            <w:gridSpan w:val="3"/>
            <w:shd w:val="clear" w:color="auto" w:fill="auto"/>
            <w:vAlign w:val="bottom"/>
          </w:tcPr>
          <w:p w14:paraId="392C39EF" w14:textId="77777777" w:rsidR="00980E5F" w:rsidRDefault="00980E5F">
            <w:pPr>
              <w:rPr>
                <w:rFonts w:ascii="宋体"/>
                <w:vanish/>
              </w:rPr>
            </w:pPr>
          </w:p>
        </w:tc>
        <w:tc>
          <w:tcPr>
            <w:tcW w:w="0" w:type="auto"/>
            <w:gridSpan w:val="3"/>
            <w:shd w:val="clear" w:color="auto" w:fill="auto"/>
            <w:vAlign w:val="bottom"/>
          </w:tcPr>
          <w:p w14:paraId="392C39F0" w14:textId="77777777" w:rsidR="00980E5F" w:rsidRDefault="00980E5F">
            <w:pPr>
              <w:rPr>
                <w:rFonts w:ascii="宋体"/>
                <w:vanish/>
              </w:rPr>
            </w:pPr>
          </w:p>
        </w:tc>
        <w:tc>
          <w:tcPr>
            <w:tcW w:w="0" w:type="auto"/>
            <w:gridSpan w:val="3"/>
            <w:shd w:val="clear" w:color="auto" w:fill="auto"/>
            <w:vAlign w:val="bottom"/>
          </w:tcPr>
          <w:p w14:paraId="392C39F1" w14:textId="77777777" w:rsidR="00980E5F" w:rsidRDefault="00980E5F">
            <w:pPr>
              <w:rPr>
                <w:rFonts w:ascii="宋体"/>
                <w:vanish/>
              </w:rPr>
            </w:pPr>
          </w:p>
        </w:tc>
        <w:tc>
          <w:tcPr>
            <w:tcW w:w="0" w:type="auto"/>
            <w:gridSpan w:val="3"/>
            <w:shd w:val="clear" w:color="auto" w:fill="auto"/>
            <w:vAlign w:val="bottom"/>
          </w:tcPr>
          <w:p w14:paraId="392C39F2" w14:textId="77777777" w:rsidR="00980E5F" w:rsidRDefault="00980E5F">
            <w:pPr>
              <w:rPr>
                <w:rFonts w:ascii="宋体"/>
                <w:vanish/>
              </w:rPr>
            </w:pPr>
          </w:p>
        </w:tc>
        <w:tc>
          <w:tcPr>
            <w:tcW w:w="0" w:type="auto"/>
            <w:gridSpan w:val="3"/>
            <w:shd w:val="clear" w:color="auto" w:fill="auto"/>
            <w:vAlign w:val="bottom"/>
          </w:tcPr>
          <w:p w14:paraId="392C39F3" w14:textId="77777777" w:rsidR="00980E5F" w:rsidRDefault="00980E5F">
            <w:pPr>
              <w:rPr>
                <w:rFonts w:ascii="宋体"/>
                <w:vanish/>
              </w:rPr>
            </w:pPr>
          </w:p>
        </w:tc>
        <w:tc>
          <w:tcPr>
            <w:tcW w:w="0" w:type="auto"/>
            <w:gridSpan w:val="3"/>
            <w:shd w:val="clear" w:color="auto" w:fill="auto"/>
            <w:vAlign w:val="bottom"/>
          </w:tcPr>
          <w:p w14:paraId="392C39F4" w14:textId="77777777" w:rsidR="00980E5F" w:rsidRDefault="00980E5F">
            <w:pPr>
              <w:rPr>
                <w:rFonts w:ascii="宋体"/>
                <w:vanish/>
              </w:rPr>
            </w:pPr>
          </w:p>
        </w:tc>
        <w:tc>
          <w:tcPr>
            <w:tcW w:w="0" w:type="auto"/>
            <w:gridSpan w:val="3"/>
            <w:shd w:val="clear" w:color="auto" w:fill="auto"/>
            <w:vAlign w:val="bottom"/>
          </w:tcPr>
          <w:p w14:paraId="392C39F5" w14:textId="77777777" w:rsidR="00980E5F" w:rsidRDefault="00980E5F">
            <w:pPr>
              <w:rPr>
                <w:rFonts w:ascii="宋体"/>
                <w:vanish/>
              </w:rPr>
            </w:pPr>
          </w:p>
        </w:tc>
        <w:tc>
          <w:tcPr>
            <w:tcW w:w="0" w:type="auto"/>
            <w:gridSpan w:val="3"/>
            <w:shd w:val="clear" w:color="auto" w:fill="auto"/>
            <w:vAlign w:val="bottom"/>
          </w:tcPr>
          <w:p w14:paraId="392C39F6" w14:textId="77777777" w:rsidR="00980E5F" w:rsidRDefault="00980E5F">
            <w:pPr>
              <w:rPr>
                <w:rFonts w:ascii="宋体"/>
                <w:vanish/>
              </w:rPr>
            </w:pPr>
          </w:p>
        </w:tc>
        <w:tc>
          <w:tcPr>
            <w:tcW w:w="0" w:type="auto"/>
            <w:gridSpan w:val="3"/>
            <w:shd w:val="clear" w:color="auto" w:fill="auto"/>
            <w:vAlign w:val="bottom"/>
          </w:tcPr>
          <w:p w14:paraId="392C39F7" w14:textId="77777777" w:rsidR="00980E5F" w:rsidRDefault="00980E5F">
            <w:pPr>
              <w:rPr>
                <w:rFonts w:ascii="宋体"/>
                <w:vanish/>
              </w:rPr>
            </w:pPr>
          </w:p>
        </w:tc>
        <w:tc>
          <w:tcPr>
            <w:tcW w:w="0" w:type="auto"/>
            <w:gridSpan w:val="3"/>
            <w:shd w:val="clear" w:color="auto" w:fill="auto"/>
            <w:vAlign w:val="bottom"/>
          </w:tcPr>
          <w:p w14:paraId="392C39F8" w14:textId="77777777" w:rsidR="00980E5F" w:rsidRDefault="00980E5F">
            <w:pPr>
              <w:rPr>
                <w:rFonts w:ascii="宋体"/>
                <w:vanish/>
              </w:rPr>
            </w:pPr>
          </w:p>
        </w:tc>
        <w:tc>
          <w:tcPr>
            <w:tcW w:w="0" w:type="auto"/>
            <w:gridSpan w:val="3"/>
            <w:shd w:val="clear" w:color="auto" w:fill="auto"/>
            <w:vAlign w:val="bottom"/>
          </w:tcPr>
          <w:p w14:paraId="392C39F9" w14:textId="77777777" w:rsidR="00980E5F" w:rsidRDefault="00980E5F">
            <w:pPr>
              <w:rPr>
                <w:rFonts w:ascii="宋体"/>
                <w:vanish/>
              </w:rPr>
            </w:pPr>
          </w:p>
        </w:tc>
        <w:tc>
          <w:tcPr>
            <w:tcW w:w="0" w:type="auto"/>
            <w:gridSpan w:val="3"/>
            <w:shd w:val="clear" w:color="auto" w:fill="auto"/>
            <w:vAlign w:val="bottom"/>
          </w:tcPr>
          <w:p w14:paraId="392C39FA" w14:textId="77777777" w:rsidR="00980E5F" w:rsidRDefault="00980E5F">
            <w:pPr>
              <w:rPr>
                <w:rFonts w:ascii="宋体"/>
                <w:vanish/>
              </w:rPr>
            </w:pPr>
          </w:p>
        </w:tc>
        <w:tc>
          <w:tcPr>
            <w:tcW w:w="0" w:type="auto"/>
            <w:gridSpan w:val="3"/>
            <w:shd w:val="clear" w:color="auto" w:fill="auto"/>
            <w:vAlign w:val="bottom"/>
          </w:tcPr>
          <w:p w14:paraId="392C39FB" w14:textId="77777777" w:rsidR="00980E5F" w:rsidRDefault="00980E5F">
            <w:pPr>
              <w:rPr>
                <w:rFonts w:ascii="宋体"/>
                <w:vanish/>
              </w:rPr>
            </w:pPr>
          </w:p>
        </w:tc>
        <w:tc>
          <w:tcPr>
            <w:tcW w:w="0" w:type="auto"/>
            <w:gridSpan w:val="3"/>
            <w:shd w:val="clear" w:color="auto" w:fill="auto"/>
            <w:vAlign w:val="bottom"/>
          </w:tcPr>
          <w:p w14:paraId="392C39FC" w14:textId="77777777" w:rsidR="00980E5F" w:rsidRDefault="00980E5F">
            <w:pPr>
              <w:rPr>
                <w:rFonts w:ascii="宋体"/>
                <w:vanish/>
              </w:rPr>
            </w:pPr>
          </w:p>
        </w:tc>
        <w:tc>
          <w:tcPr>
            <w:tcW w:w="0" w:type="auto"/>
            <w:gridSpan w:val="3"/>
            <w:shd w:val="clear" w:color="auto" w:fill="auto"/>
            <w:vAlign w:val="bottom"/>
          </w:tcPr>
          <w:p w14:paraId="392C39FD" w14:textId="77777777" w:rsidR="00980E5F" w:rsidRDefault="00980E5F">
            <w:pPr>
              <w:rPr>
                <w:rFonts w:ascii="宋体"/>
                <w:vanish/>
              </w:rPr>
            </w:pPr>
          </w:p>
        </w:tc>
        <w:tc>
          <w:tcPr>
            <w:tcW w:w="0" w:type="auto"/>
            <w:gridSpan w:val="3"/>
            <w:shd w:val="clear" w:color="auto" w:fill="auto"/>
            <w:vAlign w:val="bottom"/>
          </w:tcPr>
          <w:p w14:paraId="392C39FE" w14:textId="77777777" w:rsidR="00980E5F" w:rsidRDefault="00980E5F">
            <w:pPr>
              <w:rPr>
                <w:rFonts w:ascii="宋体"/>
                <w:vanish/>
              </w:rPr>
            </w:pPr>
          </w:p>
        </w:tc>
        <w:tc>
          <w:tcPr>
            <w:tcW w:w="0" w:type="auto"/>
            <w:gridSpan w:val="3"/>
            <w:shd w:val="clear" w:color="auto" w:fill="auto"/>
            <w:vAlign w:val="bottom"/>
          </w:tcPr>
          <w:p w14:paraId="392C39FF" w14:textId="77777777" w:rsidR="00980E5F" w:rsidRDefault="00980E5F">
            <w:pPr>
              <w:rPr>
                <w:rFonts w:ascii="宋体"/>
                <w:vanish/>
              </w:rPr>
            </w:pPr>
          </w:p>
        </w:tc>
        <w:tc>
          <w:tcPr>
            <w:tcW w:w="0" w:type="auto"/>
            <w:gridSpan w:val="3"/>
            <w:shd w:val="clear" w:color="auto" w:fill="auto"/>
            <w:vAlign w:val="bottom"/>
          </w:tcPr>
          <w:p w14:paraId="392C3A00" w14:textId="77777777" w:rsidR="00980E5F" w:rsidRDefault="00980E5F">
            <w:pPr>
              <w:rPr>
                <w:rFonts w:ascii="宋体"/>
                <w:vanish/>
              </w:rPr>
            </w:pPr>
          </w:p>
        </w:tc>
      </w:tr>
      <w:tr w:rsidR="00980E5F" w14:paraId="392C3A14" w14:textId="77777777">
        <w:trPr>
          <w:jc w:val="center"/>
        </w:trPr>
        <w:tc>
          <w:tcPr>
            <w:tcW w:w="0" w:type="auto"/>
            <w:gridSpan w:val="3"/>
            <w:shd w:val="clear" w:color="auto" w:fill="FFFFFF"/>
            <w:tcMar>
              <w:top w:w="40" w:type="dxa"/>
              <w:left w:w="20" w:type="dxa"/>
              <w:bottom w:w="40" w:type="dxa"/>
              <w:right w:w="20" w:type="dxa"/>
            </w:tcMar>
            <w:vAlign w:val="bottom"/>
          </w:tcPr>
          <w:p w14:paraId="392C3A02" w14:textId="77777777" w:rsidR="00980E5F" w:rsidRDefault="00483613">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392C3A0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13" w14:textId="77777777" w:rsidR="00980E5F" w:rsidRDefault="00980E5F">
            <w:pPr>
              <w:rPr>
                <w:rFonts w:ascii="宋体"/>
              </w:rPr>
            </w:pPr>
          </w:p>
        </w:tc>
      </w:tr>
      <w:tr w:rsidR="00980E5F" w14:paraId="392C3A29" w14:textId="77777777">
        <w:trPr>
          <w:jc w:val="center"/>
        </w:trPr>
        <w:tc>
          <w:tcPr>
            <w:tcW w:w="0" w:type="auto"/>
            <w:gridSpan w:val="3"/>
            <w:shd w:val="clear" w:color="auto" w:fill="CCEEFF"/>
            <w:tcMar>
              <w:top w:w="40" w:type="dxa"/>
              <w:left w:w="20" w:type="dxa"/>
              <w:bottom w:w="40" w:type="dxa"/>
              <w:right w:w="20" w:type="dxa"/>
            </w:tcMar>
            <w:vAlign w:val="bottom"/>
          </w:tcPr>
          <w:p w14:paraId="392C3A15" w14:textId="77777777" w:rsidR="00980E5F" w:rsidRDefault="00483613">
            <w:pPr>
              <w:textAlignment w:val="bottom"/>
            </w:pPr>
            <w:r>
              <w:rPr>
                <w:rFonts w:ascii="Arial" w:eastAsia="宋体" w:hAnsi="Arial" w:cs="Arial"/>
                <w:color w:val="000000"/>
                <w:sz w:val="15"/>
                <w:szCs w:val="15"/>
              </w:rPr>
              <w:t>Common stock -$0.52 per share</w:t>
            </w:r>
          </w:p>
        </w:tc>
        <w:tc>
          <w:tcPr>
            <w:tcW w:w="0" w:type="auto"/>
            <w:gridSpan w:val="3"/>
            <w:shd w:val="clear" w:color="auto" w:fill="CCEEFF"/>
            <w:tcMar>
              <w:top w:w="0" w:type="dxa"/>
              <w:left w:w="20" w:type="dxa"/>
              <w:bottom w:w="0" w:type="dxa"/>
              <w:right w:w="20" w:type="dxa"/>
            </w:tcMar>
            <w:vAlign w:val="bottom"/>
          </w:tcPr>
          <w:p w14:paraId="392C3A1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1E" w14:textId="77777777" w:rsidR="00980E5F" w:rsidRDefault="00483613">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392C3A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A2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27" w14:textId="77777777" w:rsidR="00980E5F" w:rsidRDefault="00483613">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392C3A28" w14:textId="77777777" w:rsidR="00980E5F" w:rsidRDefault="00980E5F">
            <w:pPr>
              <w:jc w:val="right"/>
              <w:rPr>
                <w:rFonts w:ascii="宋体"/>
              </w:rPr>
            </w:pPr>
          </w:p>
        </w:tc>
      </w:tr>
      <w:tr w:rsidR="00980E5F" w14:paraId="392C3A3E" w14:textId="77777777">
        <w:trPr>
          <w:jc w:val="center"/>
        </w:trPr>
        <w:tc>
          <w:tcPr>
            <w:tcW w:w="0" w:type="auto"/>
            <w:gridSpan w:val="3"/>
            <w:shd w:val="clear" w:color="auto" w:fill="FFFFFF"/>
            <w:tcMar>
              <w:top w:w="40" w:type="dxa"/>
              <w:left w:w="140" w:type="dxa"/>
              <w:bottom w:w="40" w:type="dxa"/>
              <w:right w:w="20" w:type="dxa"/>
            </w:tcMar>
            <w:vAlign w:val="bottom"/>
          </w:tcPr>
          <w:p w14:paraId="392C3A2A" w14:textId="77777777" w:rsidR="00980E5F" w:rsidRDefault="00483613">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392C3A2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2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2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2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33" w14:textId="77777777" w:rsidR="00980E5F" w:rsidRDefault="00483613">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392C3A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3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3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3C" w14:textId="77777777" w:rsidR="00980E5F" w:rsidRDefault="00483613">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392C3A3D" w14:textId="77777777" w:rsidR="00980E5F" w:rsidRDefault="00980E5F">
            <w:pPr>
              <w:jc w:val="right"/>
              <w:rPr>
                <w:rFonts w:ascii="宋体"/>
              </w:rPr>
            </w:pPr>
          </w:p>
        </w:tc>
      </w:tr>
      <w:tr w:rsidR="00980E5F" w14:paraId="392C3A54" w14:textId="77777777">
        <w:trPr>
          <w:jc w:val="center"/>
        </w:trPr>
        <w:tc>
          <w:tcPr>
            <w:tcW w:w="0" w:type="auto"/>
            <w:gridSpan w:val="3"/>
            <w:shd w:val="clear" w:color="auto" w:fill="CCEEFF"/>
            <w:tcMar>
              <w:top w:w="40" w:type="dxa"/>
              <w:left w:w="20" w:type="dxa"/>
              <w:bottom w:w="40" w:type="dxa"/>
              <w:right w:w="20" w:type="dxa"/>
            </w:tcMar>
            <w:vAlign w:val="bottom"/>
          </w:tcPr>
          <w:p w14:paraId="392C3A3F" w14:textId="77777777" w:rsidR="00980E5F" w:rsidRDefault="00483613">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392C3A4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4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4C" w14:textId="77777777" w:rsidR="00980E5F" w:rsidRDefault="00483613">
            <w:pPr>
              <w:jc w:val="right"/>
              <w:textAlignment w:val="bottom"/>
            </w:pPr>
            <w:r>
              <w:rPr>
                <w:rFonts w:ascii="Arial" w:eastAsia="宋体" w:hAnsi="Arial" w:cs="Arial"/>
                <w:color w:val="000000"/>
                <w:sz w:val="15"/>
                <w:szCs w:val="15"/>
              </w:rPr>
              <w:t>5,017 </w:t>
            </w:r>
          </w:p>
        </w:tc>
        <w:tc>
          <w:tcPr>
            <w:tcW w:w="0" w:type="auto"/>
            <w:shd w:val="clear" w:color="auto" w:fill="CCEEFF"/>
            <w:tcMar>
              <w:top w:w="40" w:type="dxa"/>
              <w:left w:w="0" w:type="dxa"/>
              <w:bottom w:w="40" w:type="dxa"/>
              <w:right w:w="20" w:type="dxa"/>
            </w:tcMar>
            <w:vAlign w:val="bottom"/>
          </w:tcPr>
          <w:p w14:paraId="392C3A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A4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4F" w14:textId="77777777" w:rsidR="00980E5F" w:rsidRDefault="00483613">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392C3A5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A5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52" w14:textId="77777777" w:rsidR="00980E5F" w:rsidRDefault="00483613">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392C3A53" w14:textId="77777777" w:rsidR="00980E5F" w:rsidRDefault="00980E5F">
            <w:pPr>
              <w:jc w:val="right"/>
              <w:rPr>
                <w:rFonts w:ascii="宋体"/>
              </w:rPr>
            </w:pPr>
          </w:p>
        </w:tc>
      </w:tr>
      <w:tr w:rsidR="00980E5F" w14:paraId="392C3A6B" w14:textId="77777777">
        <w:trPr>
          <w:jc w:val="center"/>
        </w:trPr>
        <w:tc>
          <w:tcPr>
            <w:tcW w:w="0" w:type="auto"/>
            <w:gridSpan w:val="3"/>
            <w:shd w:val="clear" w:color="auto" w:fill="FFFFFF"/>
            <w:tcMar>
              <w:top w:w="40" w:type="dxa"/>
              <w:left w:w="20" w:type="dxa"/>
              <w:bottom w:w="40" w:type="dxa"/>
              <w:right w:w="20" w:type="dxa"/>
            </w:tcMar>
            <w:vAlign w:val="bottom"/>
          </w:tcPr>
          <w:p w14:paraId="392C3A55" w14:textId="77777777" w:rsidR="00980E5F" w:rsidRDefault="00483613">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392C3A5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5C" w14:textId="77777777" w:rsidR="00980E5F" w:rsidRDefault="00483613">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392C3A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5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5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6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6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A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63" w14:textId="77777777" w:rsidR="00980E5F" w:rsidRDefault="00483613">
            <w:pPr>
              <w:jc w:val="right"/>
              <w:textAlignment w:val="bottom"/>
            </w:pPr>
            <w:r>
              <w:rPr>
                <w:rFonts w:ascii="Arial" w:eastAsia="宋体" w:hAnsi="Arial" w:cs="Arial"/>
                <w:color w:val="000000"/>
                <w:sz w:val="15"/>
                <w:szCs w:val="15"/>
              </w:rPr>
              <w:t>(487)</w:t>
            </w:r>
          </w:p>
        </w:tc>
        <w:tc>
          <w:tcPr>
            <w:tcW w:w="0" w:type="auto"/>
            <w:shd w:val="clear" w:color="auto" w:fill="FFFFFF"/>
            <w:tcMar>
              <w:top w:w="40" w:type="dxa"/>
              <w:left w:w="0" w:type="dxa"/>
              <w:bottom w:w="40" w:type="dxa"/>
              <w:right w:w="20" w:type="dxa"/>
            </w:tcMar>
            <w:vAlign w:val="bottom"/>
          </w:tcPr>
          <w:p w14:paraId="392C3A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66" w14:textId="77777777" w:rsidR="00980E5F" w:rsidRDefault="00483613">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392C3A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A69" w14:textId="77777777" w:rsidR="00980E5F" w:rsidRDefault="00483613">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392C3A6A" w14:textId="77777777" w:rsidR="00980E5F" w:rsidRDefault="00980E5F">
            <w:pPr>
              <w:jc w:val="right"/>
              <w:rPr>
                <w:rFonts w:ascii="宋体"/>
              </w:rPr>
            </w:pPr>
          </w:p>
        </w:tc>
      </w:tr>
      <w:tr w:rsidR="00980E5F" w14:paraId="392C3A80" w14:textId="77777777">
        <w:trPr>
          <w:jc w:val="center"/>
        </w:trPr>
        <w:tc>
          <w:tcPr>
            <w:tcW w:w="0" w:type="auto"/>
            <w:gridSpan w:val="3"/>
            <w:shd w:val="clear" w:color="auto" w:fill="CCEEFF"/>
            <w:tcMar>
              <w:top w:w="40" w:type="dxa"/>
              <w:left w:w="20" w:type="dxa"/>
              <w:bottom w:w="40" w:type="dxa"/>
              <w:right w:w="20" w:type="dxa"/>
            </w:tcMar>
            <w:vAlign w:val="bottom"/>
          </w:tcPr>
          <w:p w14:paraId="392C3A6C" w14:textId="77777777" w:rsidR="00980E5F" w:rsidRDefault="00483613">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392C3A6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6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6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75"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C3A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A7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A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A7E"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C3A7F" w14:textId="77777777" w:rsidR="00980E5F" w:rsidRDefault="00980E5F">
            <w:pPr>
              <w:jc w:val="right"/>
              <w:rPr>
                <w:rFonts w:ascii="宋体"/>
              </w:rPr>
            </w:pPr>
          </w:p>
        </w:tc>
      </w:tr>
      <w:tr w:rsidR="00483613" w14:paraId="392C3AA3" w14:textId="77777777">
        <w:trPr>
          <w:jc w:val="center"/>
        </w:trPr>
        <w:tc>
          <w:tcPr>
            <w:tcW w:w="0" w:type="auto"/>
            <w:gridSpan w:val="3"/>
            <w:shd w:val="clear" w:color="auto" w:fill="FFFFFF"/>
            <w:tcMar>
              <w:top w:w="40" w:type="dxa"/>
              <w:left w:w="20" w:type="dxa"/>
              <w:bottom w:w="40" w:type="dxa"/>
              <w:right w:w="20" w:type="dxa"/>
            </w:tcMar>
            <w:vAlign w:val="bottom"/>
          </w:tcPr>
          <w:p w14:paraId="392C3A81" w14:textId="77777777" w:rsidR="00980E5F" w:rsidRDefault="00483613">
            <w:pPr>
              <w:textAlignment w:val="bottom"/>
            </w:pPr>
            <w:r>
              <w:rPr>
                <w:rFonts w:ascii="Arial" w:eastAsia="宋体" w:hAnsi="Arial" w:cs="Arial"/>
                <w:b/>
                <w:bCs/>
                <w:color w:val="000000"/>
                <w:sz w:val="15"/>
                <w:szCs w:val="15"/>
              </w:rPr>
              <w:t>Balance at June 30,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3A82"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83" w14:textId="77777777" w:rsidR="00980E5F" w:rsidRDefault="00483613">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8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A86" w14:textId="77777777" w:rsidR="00980E5F" w:rsidRDefault="00483613">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88"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89"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8A" w14:textId="77777777" w:rsidR="00980E5F" w:rsidRDefault="00483613">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8C"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8D"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8E" w14:textId="77777777" w:rsidR="00980E5F" w:rsidRDefault="00483613">
            <w:pPr>
              <w:jc w:val="right"/>
              <w:textAlignment w:val="bottom"/>
            </w:pPr>
            <w:r>
              <w:rPr>
                <w:rFonts w:ascii="Arial" w:eastAsia="宋体" w:hAnsi="Arial" w:cs="Arial"/>
                <w:color w:val="000000"/>
                <w:sz w:val="15"/>
                <w:szCs w:val="15"/>
              </w:rPr>
              <w:t>10,246 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8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90"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9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92" w14:textId="77777777" w:rsidR="00980E5F" w:rsidRDefault="00483613">
            <w:pPr>
              <w:jc w:val="right"/>
              <w:textAlignment w:val="bottom"/>
            </w:pPr>
            <w:r>
              <w:rPr>
                <w:rFonts w:ascii="Arial" w:eastAsia="宋体" w:hAnsi="Arial" w:cs="Arial"/>
                <w:color w:val="000000"/>
                <w:sz w:val="15"/>
                <w:szCs w:val="15"/>
              </w:rPr>
              <w:t>24,300 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94"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95"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96" w14:textId="77777777" w:rsidR="00980E5F" w:rsidRDefault="00483613">
            <w:pPr>
              <w:jc w:val="right"/>
              <w:textAlignment w:val="bottom"/>
            </w:pPr>
            <w:r>
              <w:rPr>
                <w:rFonts w:ascii="Arial" w:eastAsia="宋体" w:hAnsi="Arial" w:cs="Arial"/>
                <w:color w:val="000000"/>
                <w:sz w:val="15"/>
                <w:szCs w:val="15"/>
              </w:rPr>
              <w:t>(422)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9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A99" w14:textId="77777777" w:rsidR="00980E5F" w:rsidRDefault="00483613">
            <w:pPr>
              <w:jc w:val="right"/>
              <w:textAlignment w:val="bottom"/>
            </w:pPr>
            <w:r>
              <w:rPr>
                <w:rFonts w:ascii="Arial" w:eastAsia="宋体" w:hAnsi="Arial" w:cs="Arial"/>
                <w:color w:val="000000"/>
                <w:sz w:val="15"/>
                <w:szCs w:val="15"/>
              </w:rPr>
              <w:t>160,377 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9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9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9D" w14:textId="77777777" w:rsidR="00980E5F" w:rsidRDefault="00483613">
            <w:pPr>
              <w:jc w:val="right"/>
              <w:textAlignment w:val="bottom"/>
            </w:pPr>
            <w:r>
              <w:rPr>
                <w:rFonts w:ascii="Arial" w:eastAsia="宋体" w:hAnsi="Arial" w:cs="Arial"/>
                <w:color w:val="000000"/>
                <w:sz w:val="15"/>
                <w:szCs w:val="15"/>
              </w:rPr>
              <w:t>(11,437)</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A9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AA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AA1" w14:textId="77777777" w:rsidR="00980E5F" w:rsidRDefault="00483613">
            <w:pPr>
              <w:jc w:val="right"/>
              <w:textAlignment w:val="bottom"/>
            </w:pPr>
            <w:r>
              <w:rPr>
                <w:rFonts w:ascii="Arial" w:eastAsia="宋体" w:hAnsi="Arial" w:cs="Arial"/>
                <w:color w:val="000000"/>
                <w:sz w:val="15"/>
                <w:szCs w:val="15"/>
              </w:rPr>
              <w:t>25,167 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AA2" w14:textId="77777777" w:rsidR="00980E5F" w:rsidRDefault="00980E5F">
            <w:pPr>
              <w:jc w:val="right"/>
              <w:rPr>
                <w:rFonts w:ascii="宋体"/>
              </w:rPr>
            </w:pPr>
          </w:p>
        </w:tc>
      </w:tr>
      <w:tr w:rsidR="00980E5F" w14:paraId="392C3AB6" w14:textId="77777777">
        <w:trPr>
          <w:jc w:val="center"/>
          <w:hidden/>
        </w:trPr>
        <w:tc>
          <w:tcPr>
            <w:tcW w:w="0" w:type="auto"/>
            <w:gridSpan w:val="3"/>
            <w:shd w:val="clear" w:color="auto" w:fill="auto"/>
            <w:vAlign w:val="bottom"/>
          </w:tcPr>
          <w:p w14:paraId="392C3AA4" w14:textId="77777777" w:rsidR="00980E5F" w:rsidRDefault="00980E5F">
            <w:pPr>
              <w:rPr>
                <w:rFonts w:ascii="宋体"/>
                <w:vanish/>
              </w:rPr>
            </w:pPr>
          </w:p>
        </w:tc>
        <w:tc>
          <w:tcPr>
            <w:tcW w:w="0" w:type="auto"/>
            <w:gridSpan w:val="3"/>
            <w:shd w:val="clear" w:color="auto" w:fill="auto"/>
            <w:vAlign w:val="bottom"/>
          </w:tcPr>
          <w:p w14:paraId="392C3AA5" w14:textId="77777777" w:rsidR="00980E5F" w:rsidRDefault="00980E5F">
            <w:pPr>
              <w:rPr>
                <w:rFonts w:ascii="宋体"/>
                <w:vanish/>
              </w:rPr>
            </w:pPr>
          </w:p>
        </w:tc>
        <w:tc>
          <w:tcPr>
            <w:tcW w:w="0" w:type="auto"/>
            <w:gridSpan w:val="3"/>
            <w:shd w:val="clear" w:color="auto" w:fill="auto"/>
            <w:vAlign w:val="bottom"/>
          </w:tcPr>
          <w:p w14:paraId="392C3AA6" w14:textId="77777777" w:rsidR="00980E5F" w:rsidRDefault="00980E5F">
            <w:pPr>
              <w:rPr>
                <w:rFonts w:ascii="宋体"/>
                <w:vanish/>
              </w:rPr>
            </w:pPr>
          </w:p>
        </w:tc>
        <w:tc>
          <w:tcPr>
            <w:tcW w:w="0" w:type="auto"/>
            <w:gridSpan w:val="3"/>
            <w:shd w:val="clear" w:color="auto" w:fill="auto"/>
            <w:vAlign w:val="bottom"/>
          </w:tcPr>
          <w:p w14:paraId="392C3AA7" w14:textId="77777777" w:rsidR="00980E5F" w:rsidRDefault="00980E5F">
            <w:pPr>
              <w:rPr>
                <w:rFonts w:ascii="宋体"/>
                <w:vanish/>
              </w:rPr>
            </w:pPr>
          </w:p>
        </w:tc>
        <w:tc>
          <w:tcPr>
            <w:tcW w:w="0" w:type="auto"/>
            <w:gridSpan w:val="3"/>
            <w:shd w:val="clear" w:color="auto" w:fill="auto"/>
            <w:vAlign w:val="bottom"/>
          </w:tcPr>
          <w:p w14:paraId="392C3AA8" w14:textId="77777777" w:rsidR="00980E5F" w:rsidRDefault="00980E5F">
            <w:pPr>
              <w:rPr>
                <w:rFonts w:ascii="宋体"/>
                <w:vanish/>
              </w:rPr>
            </w:pPr>
          </w:p>
        </w:tc>
        <w:tc>
          <w:tcPr>
            <w:tcW w:w="0" w:type="auto"/>
            <w:gridSpan w:val="3"/>
            <w:shd w:val="clear" w:color="auto" w:fill="auto"/>
            <w:vAlign w:val="bottom"/>
          </w:tcPr>
          <w:p w14:paraId="392C3AA9" w14:textId="77777777" w:rsidR="00980E5F" w:rsidRDefault="00980E5F">
            <w:pPr>
              <w:rPr>
                <w:rFonts w:ascii="宋体"/>
                <w:vanish/>
              </w:rPr>
            </w:pPr>
          </w:p>
        </w:tc>
        <w:tc>
          <w:tcPr>
            <w:tcW w:w="0" w:type="auto"/>
            <w:gridSpan w:val="3"/>
            <w:shd w:val="clear" w:color="auto" w:fill="auto"/>
            <w:vAlign w:val="bottom"/>
          </w:tcPr>
          <w:p w14:paraId="392C3AAA" w14:textId="77777777" w:rsidR="00980E5F" w:rsidRDefault="00980E5F">
            <w:pPr>
              <w:rPr>
                <w:rFonts w:ascii="宋体"/>
                <w:vanish/>
              </w:rPr>
            </w:pPr>
          </w:p>
        </w:tc>
        <w:tc>
          <w:tcPr>
            <w:tcW w:w="0" w:type="auto"/>
            <w:gridSpan w:val="3"/>
            <w:shd w:val="clear" w:color="auto" w:fill="auto"/>
            <w:vAlign w:val="bottom"/>
          </w:tcPr>
          <w:p w14:paraId="392C3AAB" w14:textId="77777777" w:rsidR="00980E5F" w:rsidRDefault="00980E5F">
            <w:pPr>
              <w:rPr>
                <w:rFonts w:ascii="宋体"/>
                <w:vanish/>
              </w:rPr>
            </w:pPr>
          </w:p>
        </w:tc>
        <w:tc>
          <w:tcPr>
            <w:tcW w:w="0" w:type="auto"/>
            <w:gridSpan w:val="3"/>
            <w:shd w:val="clear" w:color="auto" w:fill="auto"/>
            <w:vAlign w:val="bottom"/>
          </w:tcPr>
          <w:p w14:paraId="392C3AAC" w14:textId="77777777" w:rsidR="00980E5F" w:rsidRDefault="00980E5F">
            <w:pPr>
              <w:rPr>
                <w:rFonts w:ascii="宋体"/>
                <w:vanish/>
              </w:rPr>
            </w:pPr>
          </w:p>
        </w:tc>
        <w:tc>
          <w:tcPr>
            <w:tcW w:w="0" w:type="auto"/>
            <w:gridSpan w:val="3"/>
            <w:shd w:val="clear" w:color="auto" w:fill="auto"/>
            <w:vAlign w:val="bottom"/>
          </w:tcPr>
          <w:p w14:paraId="392C3AAD" w14:textId="77777777" w:rsidR="00980E5F" w:rsidRDefault="00980E5F">
            <w:pPr>
              <w:rPr>
                <w:rFonts w:ascii="宋体"/>
                <w:vanish/>
              </w:rPr>
            </w:pPr>
          </w:p>
        </w:tc>
        <w:tc>
          <w:tcPr>
            <w:tcW w:w="0" w:type="auto"/>
            <w:gridSpan w:val="3"/>
            <w:shd w:val="clear" w:color="auto" w:fill="auto"/>
            <w:vAlign w:val="bottom"/>
          </w:tcPr>
          <w:p w14:paraId="392C3AAE" w14:textId="77777777" w:rsidR="00980E5F" w:rsidRDefault="00980E5F">
            <w:pPr>
              <w:rPr>
                <w:rFonts w:ascii="宋体"/>
                <w:vanish/>
              </w:rPr>
            </w:pPr>
          </w:p>
        </w:tc>
        <w:tc>
          <w:tcPr>
            <w:tcW w:w="0" w:type="auto"/>
            <w:gridSpan w:val="3"/>
            <w:shd w:val="clear" w:color="auto" w:fill="auto"/>
            <w:vAlign w:val="bottom"/>
          </w:tcPr>
          <w:p w14:paraId="392C3AAF" w14:textId="77777777" w:rsidR="00980E5F" w:rsidRDefault="00980E5F">
            <w:pPr>
              <w:rPr>
                <w:rFonts w:ascii="宋体"/>
                <w:vanish/>
              </w:rPr>
            </w:pPr>
          </w:p>
        </w:tc>
        <w:tc>
          <w:tcPr>
            <w:tcW w:w="0" w:type="auto"/>
            <w:gridSpan w:val="3"/>
            <w:shd w:val="clear" w:color="auto" w:fill="auto"/>
            <w:vAlign w:val="bottom"/>
          </w:tcPr>
          <w:p w14:paraId="392C3AB0" w14:textId="77777777" w:rsidR="00980E5F" w:rsidRDefault="00980E5F">
            <w:pPr>
              <w:rPr>
                <w:rFonts w:ascii="宋体"/>
                <w:vanish/>
              </w:rPr>
            </w:pPr>
          </w:p>
        </w:tc>
        <w:tc>
          <w:tcPr>
            <w:tcW w:w="0" w:type="auto"/>
            <w:gridSpan w:val="3"/>
            <w:shd w:val="clear" w:color="auto" w:fill="auto"/>
            <w:vAlign w:val="bottom"/>
          </w:tcPr>
          <w:p w14:paraId="392C3AB1" w14:textId="77777777" w:rsidR="00980E5F" w:rsidRDefault="00980E5F">
            <w:pPr>
              <w:rPr>
                <w:rFonts w:ascii="宋体"/>
                <w:vanish/>
              </w:rPr>
            </w:pPr>
          </w:p>
        </w:tc>
        <w:tc>
          <w:tcPr>
            <w:tcW w:w="0" w:type="auto"/>
            <w:gridSpan w:val="3"/>
            <w:shd w:val="clear" w:color="auto" w:fill="auto"/>
            <w:vAlign w:val="bottom"/>
          </w:tcPr>
          <w:p w14:paraId="392C3AB2" w14:textId="77777777" w:rsidR="00980E5F" w:rsidRDefault="00980E5F">
            <w:pPr>
              <w:rPr>
                <w:rFonts w:ascii="宋体"/>
                <w:vanish/>
              </w:rPr>
            </w:pPr>
          </w:p>
        </w:tc>
        <w:tc>
          <w:tcPr>
            <w:tcW w:w="0" w:type="auto"/>
            <w:gridSpan w:val="3"/>
            <w:shd w:val="clear" w:color="auto" w:fill="auto"/>
            <w:vAlign w:val="bottom"/>
          </w:tcPr>
          <w:p w14:paraId="392C3AB3" w14:textId="77777777" w:rsidR="00980E5F" w:rsidRDefault="00980E5F">
            <w:pPr>
              <w:rPr>
                <w:rFonts w:ascii="宋体"/>
                <w:vanish/>
              </w:rPr>
            </w:pPr>
          </w:p>
        </w:tc>
        <w:tc>
          <w:tcPr>
            <w:tcW w:w="0" w:type="auto"/>
            <w:gridSpan w:val="3"/>
            <w:shd w:val="clear" w:color="auto" w:fill="auto"/>
            <w:vAlign w:val="bottom"/>
          </w:tcPr>
          <w:p w14:paraId="392C3AB4" w14:textId="77777777" w:rsidR="00980E5F" w:rsidRDefault="00980E5F">
            <w:pPr>
              <w:rPr>
                <w:rFonts w:ascii="宋体"/>
                <w:vanish/>
              </w:rPr>
            </w:pPr>
          </w:p>
        </w:tc>
        <w:tc>
          <w:tcPr>
            <w:tcW w:w="0" w:type="auto"/>
            <w:gridSpan w:val="3"/>
            <w:shd w:val="clear" w:color="auto" w:fill="auto"/>
            <w:vAlign w:val="bottom"/>
          </w:tcPr>
          <w:p w14:paraId="392C3AB5" w14:textId="77777777" w:rsidR="00980E5F" w:rsidRDefault="00980E5F">
            <w:pPr>
              <w:rPr>
                <w:rFonts w:ascii="宋体"/>
                <w:vanish/>
              </w:rPr>
            </w:pPr>
          </w:p>
        </w:tc>
      </w:tr>
      <w:tr w:rsidR="00980E5F" w14:paraId="392C3AC9" w14:textId="77777777">
        <w:trPr>
          <w:jc w:val="center"/>
          <w:hidden/>
        </w:trPr>
        <w:tc>
          <w:tcPr>
            <w:tcW w:w="0" w:type="auto"/>
            <w:gridSpan w:val="3"/>
            <w:shd w:val="clear" w:color="auto" w:fill="auto"/>
            <w:vAlign w:val="bottom"/>
          </w:tcPr>
          <w:p w14:paraId="392C3AB7" w14:textId="77777777" w:rsidR="00980E5F" w:rsidRDefault="00980E5F">
            <w:pPr>
              <w:rPr>
                <w:rFonts w:ascii="宋体"/>
                <w:vanish/>
              </w:rPr>
            </w:pPr>
          </w:p>
        </w:tc>
        <w:tc>
          <w:tcPr>
            <w:tcW w:w="0" w:type="auto"/>
            <w:gridSpan w:val="3"/>
            <w:shd w:val="clear" w:color="auto" w:fill="auto"/>
            <w:vAlign w:val="bottom"/>
          </w:tcPr>
          <w:p w14:paraId="392C3AB8" w14:textId="77777777" w:rsidR="00980E5F" w:rsidRDefault="00980E5F">
            <w:pPr>
              <w:rPr>
                <w:rFonts w:ascii="宋体"/>
                <w:vanish/>
              </w:rPr>
            </w:pPr>
          </w:p>
        </w:tc>
        <w:tc>
          <w:tcPr>
            <w:tcW w:w="0" w:type="auto"/>
            <w:gridSpan w:val="3"/>
            <w:shd w:val="clear" w:color="auto" w:fill="auto"/>
            <w:vAlign w:val="bottom"/>
          </w:tcPr>
          <w:p w14:paraId="392C3AB9" w14:textId="77777777" w:rsidR="00980E5F" w:rsidRDefault="00980E5F">
            <w:pPr>
              <w:rPr>
                <w:rFonts w:ascii="宋体"/>
                <w:vanish/>
              </w:rPr>
            </w:pPr>
          </w:p>
        </w:tc>
        <w:tc>
          <w:tcPr>
            <w:tcW w:w="0" w:type="auto"/>
            <w:gridSpan w:val="3"/>
            <w:shd w:val="clear" w:color="auto" w:fill="auto"/>
            <w:vAlign w:val="bottom"/>
          </w:tcPr>
          <w:p w14:paraId="392C3ABA" w14:textId="77777777" w:rsidR="00980E5F" w:rsidRDefault="00980E5F">
            <w:pPr>
              <w:rPr>
                <w:rFonts w:ascii="宋体"/>
                <w:vanish/>
              </w:rPr>
            </w:pPr>
          </w:p>
        </w:tc>
        <w:tc>
          <w:tcPr>
            <w:tcW w:w="0" w:type="auto"/>
            <w:gridSpan w:val="3"/>
            <w:shd w:val="clear" w:color="auto" w:fill="auto"/>
            <w:vAlign w:val="bottom"/>
          </w:tcPr>
          <w:p w14:paraId="392C3ABB" w14:textId="77777777" w:rsidR="00980E5F" w:rsidRDefault="00980E5F">
            <w:pPr>
              <w:rPr>
                <w:rFonts w:ascii="宋体"/>
                <w:vanish/>
              </w:rPr>
            </w:pPr>
          </w:p>
        </w:tc>
        <w:tc>
          <w:tcPr>
            <w:tcW w:w="0" w:type="auto"/>
            <w:gridSpan w:val="3"/>
            <w:shd w:val="clear" w:color="auto" w:fill="auto"/>
            <w:vAlign w:val="bottom"/>
          </w:tcPr>
          <w:p w14:paraId="392C3ABC" w14:textId="77777777" w:rsidR="00980E5F" w:rsidRDefault="00980E5F">
            <w:pPr>
              <w:rPr>
                <w:rFonts w:ascii="宋体"/>
                <w:vanish/>
              </w:rPr>
            </w:pPr>
          </w:p>
        </w:tc>
        <w:tc>
          <w:tcPr>
            <w:tcW w:w="0" w:type="auto"/>
            <w:gridSpan w:val="3"/>
            <w:shd w:val="clear" w:color="auto" w:fill="auto"/>
            <w:vAlign w:val="bottom"/>
          </w:tcPr>
          <w:p w14:paraId="392C3ABD" w14:textId="77777777" w:rsidR="00980E5F" w:rsidRDefault="00980E5F">
            <w:pPr>
              <w:rPr>
                <w:rFonts w:ascii="宋体"/>
                <w:vanish/>
              </w:rPr>
            </w:pPr>
          </w:p>
        </w:tc>
        <w:tc>
          <w:tcPr>
            <w:tcW w:w="0" w:type="auto"/>
            <w:gridSpan w:val="3"/>
            <w:shd w:val="clear" w:color="auto" w:fill="auto"/>
            <w:vAlign w:val="bottom"/>
          </w:tcPr>
          <w:p w14:paraId="392C3ABE" w14:textId="77777777" w:rsidR="00980E5F" w:rsidRDefault="00980E5F">
            <w:pPr>
              <w:rPr>
                <w:rFonts w:ascii="宋体"/>
                <w:vanish/>
              </w:rPr>
            </w:pPr>
          </w:p>
        </w:tc>
        <w:tc>
          <w:tcPr>
            <w:tcW w:w="0" w:type="auto"/>
            <w:gridSpan w:val="3"/>
            <w:shd w:val="clear" w:color="auto" w:fill="auto"/>
            <w:vAlign w:val="bottom"/>
          </w:tcPr>
          <w:p w14:paraId="392C3ABF" w14:textId="77777777" w:rsidR="00980E5F" w:rsidRDefault="00980E5F">
            <w:pPr>
              <w:rPr>
                <w:rFonts w:ascii="宋体"/>
                <w:vanish/>
              </w:rPr>
            </w:pPr>
          </w:p>
        </w:tc>
        <w:tc>
          <w:tcPr>
            <w:tcW w:w="0" w:type="auto"/>
            <w:gridSpan w:val="3"/>
            <w:shd w:val="clear" w:color="auto" w:fill="auto"/>
            <w:vAlign w:val="bottom"/>
          </w:tcPr>
          <w:p w14:paraId="392C3AC0" w14:textId="77777777" w:rsidR="00980E5F" w:rsidRDefault="00980E5F">
            <w:pPr>
              <w:rPr>
                <w:rFonts w:ascii="宋体"/>
                <w:vanish/>
              </w:rPr>
            </w:pPr>
          </w:p>
        </w:tc>
        <w:tc>
          <w:tcPr>
            <w:tcW w:w="0" w:type="auto"/>
            <w:gridSpan w:val="3"/>
            <w:shd w:val="clear" w:color="auto" w:fill="auto"/>
            <w:vAlign w:val="bottom"/>
          </w:tcPr>
          <w:p w14:paraId="392C3AC1" w14:textId="77777777" w:rsidR="00980E5F" w:rsidRDefault="00980E5F">
            <w:pPr>
              <w:rPr>
                <w:rFonts w:ascii="宋体"/>
                <w:vanish/>
              </w:rPr>
            </w:pPr>
          </w:p>
        </w:tc>
        <w:tc>
          <w:tcPr>
            <w:tcW w:w="0" w:type="auto"/>
            <w:gridSpan w:val="3"/>
            <w:shd w:val="clear" w:color="auto" w:fill="auto"/>
            <w:vAlign w:val="bottom"/>
          </w:tcPr>
          <w:p w14:paraId="392C3AC2" w14:textId="77777777" w:rsidR="00980E5F" w:rsidRDefault="00980E5F">
            <w:pPr>
              <w:rPr>
                <w:rFonts w:ascii="宋体"/>
                <w:vanish/>
              </w:rPr>
            </w:pPr>
          </w:p>
        </w:tc>
        <w:tc>
          <w:tcPr>
            <w:tcW w:w="0" w:type="auto"/>
            <w:gridSpan w:val="3"/>
            <w:shd w:val="clear" w:color="auto" w:fill="auto"/>
            <w:vAlign w:val="bottom"/>
          </w:tcPr>
          <w:p w14:paraId="392C3AC3" w14:textId="77777777" w:rsidR="00980E5F" w:rsidRDefault="00980E5F">
            <w:pPr>
              <w:rPr>
                <w:rFonts w:ascii="宋体"/>
                <w:vanish/>
              </w:rPr>
            </w:pPr>
          </w:p>
        </w:tc>
        <w:tc>
          <w:tcPr>
            <w:tcW w:w="0" w:type="auto"/>
            <w:gridSpan w:val="3"/>
            <w:shd w:val="clear" w:color="auto" w:fill="auto"/>
            <w:vAlign w:val="bottom"/>
          </w:tcPr>
          <w:p w14:paraId="392C3AC4" w14:textId="77777777" w:rsidR="00980E5F" w:rsidRDefault="00980E5F">
            <w:pPr>
              <w:rPr>
                <w:rFonts w:ascii="宋体"/>
                <w:vanish/>
              </w:rPr>
            </w:pPr>
          </w:p>
        </w:tc>
        <w:tc>
          <w:tcPr>
            <w:tcW w:w="0" w:type="auto"/>
            <w:gridSpan w:val="3"/>
            <w:shd w:val="clear" w:color="auto" w:fill="auto"/>
            <w:vAlign w:val="bottom"/>
          </w:tcPr>
          <w:p w14:paraId="392C3AC5" w14:textId="77777777" w:rsidR="00980E5F" w:rsidRDefault="00980E5F">
            <w:pPr>
              <w:rPr>
                <w:rFonts w:ascii="宋体"/>
                <w:vanish/>
              </w:rPr>
            </w:pPr>
          </w:p>
        </w:tc>
        <w:tc>
          <w:tcPr>
            <w:tcW w:w="0" w:type="auto"/>
            <w:gridSpan w:val="3"/>
            <w:shd w:val="clear" w:color="auto" w:fill="auto"/>
            <w:vAlign w:val="bottom"/>
          </w:tcPr>
          <w:p w14:paraId="392C3AC6" w14:textId="77777777" w:rsidR="00980E5F" w:rsidRDefault="00980E5F">
            <w:pPr>
              <w:rPr>
                <w:rFonts w:ascii="宋体"/>
                <w:vanish/>
              </w:rPr>
            </w:pPr>
          </w:p>
        </w:tc>
        <w:tc>
          <w:tcPr>
            <w:tcW w:w="0" w:type="auto"/>
            <w:gridSpan w:val="3"/>
            <w:shd w:val="clear" w:color="auto" w:fill="auto"/>
            <w:vAlign w:val="bottom"/>
          </w:tcPr>
          <w:p w14:paraId="392C3AC7" w14:textId="77777777" w:rsidR="00980E5F" w:rsidRDefault="00980E5F">
            <w:pPr>
              <w:rPr>
                <w:rFonts w:ascii="宋体"/>
                <w:vanish/>
              </w:rPr>
            </w:pPr>
          </w:p>
        </w:tc>
        <w:tc>
          <w:tcPr>
            <w:tcW w:w="0" w:type="auto"/>
            <w:gridSpan w:val="3"/>
            <w:shd w:val="clear" w:color="auto" w:fill="auto"/>
            <w:vAlign w:val="bottom"/>
          </w:tcPr>
          <w:p w14:paraId="392C3AC8" w14:textId="77777777" w:rsidR="00980E5F" w:rsidRDefault="00980E5F">
            <w:pPr>
              <w:rPr>
                <w:rFonts w:ascii="宋体"/>
                <w:vanish/>
              </w:rPr>
            </w:pPr>
          </w:p>
        </w:tc>
      </w:tr>
      <w:tr w:rsidR="00980E5F" w14:paraId="392C3ADC" w14:textId="77777777">
        <w:trPr>
          <w:jc w:val="center"/>
          <w:hidden/>
        </w:trPr>
        <w:tc>
          <w:tcPr>
            <w:tcW w:w="0" w:type="auto"/>
            <w:gridSpan w:val="3"/>
            <w:shd w:val="clear" w:color="auto" w:fill="auto"/>
            <w:vAlign w:val="bottom"/>
          </w:tcPr>
          <w:p w14:paraId="392C3ACA" w14:textId="77777777" w:rsidR="00980E5F" w:rsidRDefault="00980E5F">
            <w:pPr>
              <w:rPr>
                <w:rFonts w:ascii="宋体"/>
                <w:vanish/>
              </w:rPr>
            </w:pPr>
          </w:p>
        </w:tc>
        <w:tc>
          <w:tcPr>
            <w:tcW w:w="0" w:type="auto"/>
            <w:gridSpan w:val="3"/>
            <w:shd w:val="clear" w:color="auto" w:fill="auto"/>
            <w:vAlign w:val="bottom"/>
          </w:tcPr>
          <w:p w14:paraId="392C3ACB" w14:textId="77777777" w:rsidR="00980E5F" w:rsidRDefault="00980E5F">
            <w:pPr>
              <w:rPr>
                <w:rFonts w:ascii="宋体"/>
                <w:vanish/>
              </w:rPr>
            </w:pPr>
          </w:p>
        </w:tc>
        <w:tc>
          <w:tcPr>
            <w:tcW w:w="0" w:type="auto"/>
            <w:gridSpan w:val="3"/>
            <w:shd w:val="clear" w:color="auto" w:fill="auto"/>
            <w:vAlign w:val="bottom"/>
          </w:tcPr>
          <w:p w14:paraId="392C3ACC" w14:textId="77777777" w:rsidR="00980E5F" w:rsidRDefault="00980E5F">
            <w:pPr>
              <w:rPr>
                <w:rFonts w:ascii="宋体"/>
                <w:vanish/>
              </w:rPr>
            </w:pPr>
          </w:p>
        </w:tc>
        <w:tc>
          <w:tcPr>
            <w:tcW w:w="0" w:type="auto"/>
            <w:gridSpan w:val="3"/>
            <w:shd w:val="clear" w:color="auto" w:fill="auto"/>
            <w:vAlign w:val="bottom"/>
          </w:tcPr>
          <w:p w14:paraId="392C3ACD" w14:textId="77777777" w:rsidR="00980E5F" w:rsidRDefault="00980E5F">
            <w:pPr>
              <w:rPr>
                <w:rFonts w:ascii="宋体"/>
                <w:vanish/>
              </w:rPr>
            </w:pPr>
          </w:p>
        </w:tc>
        <w:tc>
          <w:tcPr>
            <w:tcW w:w="0" w:type="auto"/>
            <w:gridSpan w:val="3"/>
            <w:shd w:val="clear" w:color="auto" w:fill="auto"/>
            <w:vAlign w:val="bottom"/>
          </w:tcPr>
          <w:p w14:paraId="392C3ACE" w14:textId="77777777" w:rsidR="00980E5F" w:rsidRDefault="00980E5F">
            <w:pPr>
              <w:rPr>
                <w:rFonts w:ascii="宋体"/>
                <w:vanish/>
              </w:rPr>
            </w:pPr>
          </w:p>
        </w:tc>
        <w:tc>
          <w:tcPr>
            <w:tcW w:w="0" w:type="auto"/>
            <w:gridSpan w:val="3"/>
            <w:shd w:val="clear" w:color="auto" w:fill="auto"/>
            <w:vAlign w:val="bottom"/>
          </w:tcPr>
          <w:p w14:paraId="392C3ACF" w14:textId="77777777" w:rsidR="00980E5F" w:rsidRDefault="00980E5F">
            <w:pPr>
              <w:rPr>
                <w:rFonts w:ascii="宋体"/>
                <w:vanish/>
              </w:rPr>
            </w:pPr>
          </w:p>
        </w:tc>
        <w:tc>
          <w:tcPr>
            <w:tcW w:w="0" w:type="auto"/>
            <w:gridSpan w:val="3"/>
            <w:shd w:val="clear" w:color="auto" w:fill="auto"/>
            <w:vAlign w:val="bottom"/>
          </w:tcPr>
          <w:p w14:paraId="392C3AD0" w14:textId="77777777" w:rsidR="00980E5F" w:rsidRDefault="00980E5F">
            <w:pPr>
              <w:rPr>
                <w:rFonts w:ascii="宋体"/>
                <w:vanish/>
              </w:rPr>
            </w:pPr>
          </w:p>
        </w:tc>
        <w:tc>
          <w:tcPr>
            <w:tcW w:w="0" w:type="auto"/>
            <w:gridSpan w:val="3"/>
            <w:shd w:val="clear" w:color="auto" w:fill="auto"/>
            <w:vAlign w:val="bottom"/>
          </w:tcPr>
          <w:p w14:paraId="392C3AD1" w14:textId="77777777" w:rsidR="00980E5F" w:rsidRDefault="00980E5F">
            <w:pPr>
              <w:rPr>
                <w:rFonts w:ascii="宋体"/>
                <w:vanish/>
              </w:rPr>
            </w:pPr>
          </w:p>
        </w:tc>
        <w:tc>
          <w:tcPr>
            <w:tcW w:w="0" w:type="auto"/>
            <w:gridSpan w:val="3"/>
            <w:shd w:val="clear" w:color="auto" w:fill="auto"/>
            <w:vAlign w:val="bottom"/>
          </w:tcPr>
          <w:p w14:paraId="392C3AD2" w14:textId="77777777" w:rsidR="00980E5F" w:rsidRDefault="00980E5F">
            <w:pPr>
              <w:rPr>
                <w:rFonts w:ascii="宋体"/>
                <w:vanish/>
              </w:rPr>
            </w:pPr>
          </w:p>
        </w:tc>
        <w:tc>
          <w:tcPr>
            <w:tcW w:w="0" w:type="auto"/>
            <w:gridSpan w:val="3"/>
            <w:shd w:val="clear" w:color="auto" w:fill="auto"/>
            <w:vAlign w:val="bottom"/>
          </w:tcPr>
          <w:p w14:paraId="392C3AD3" w14:textId="77777777" w:rsidR="00980E5F" w:rsidRDefault="00980E5F">
            <w:pPr>
              <w:rPr>
                <w:rFonts w:ascii="宋体"/>
                <w:vanish/>
              </w:rPr>
            </w:pPr>
          </w:p>
        </w:tc>
        <w:tc>
          <w:tcPr>
            <w:tcW w:w="0" w:type="auto"/>
            <w:gridSpan w:val="3"/>
            <w:shd w:val="clear" w:color="auto" w:fill="auto"/>
            <w:vAlign w:val="bottom"/>
          </w:tcPr>
          <w:p w14:paraId="392C3AD4" w14:textId="77777777" w:rsidR="00980E5F" w:rsidRDefault="00980E5F">
            <w:pPr>
              <w:rPr>
                <w:rFonts w:ascii="宋体"/>
                <w:vanish/>
              </w:rPr>
            </w:pPr>
          </w:p>
        </w:tc>
        <w:tc>
          <w:tcPr>
            <w:tcW w:w="0" w:type="auto"/>
            <w:gridSpan w:val="3"/>
            <w:shd w:val="clear" w:color="auto" w:fill="auto"/>
            <w:vAlign w:val="bottom"/>
          </w:tcPr>
          <w:p w14:paraId="392C3AD5" w14:textId="77777777" w:rsidR="00980E5F" w:rsidRDefault="00980E5F">
            <w:pPr>
              <w:rPr>
                <w:rFonts w:ascii="宋体"/>
                <w:vanish/>
              </w:rPr>
            </w:pPr>
          </w:p>
        </w:tc>
        <w:tc>
          <w:tcPr>
            <w:tcW w:w="0" w:type="auto"/>
            <w:gridSpan w:val="3"/>
            <w:shd w:val="clear" w:color="auto" w:fill="auto"/>
            <w:vAlign w:val="bottom"/>
          </w:tcPr>
          <w:p w14:paraId="392C3AD6" w14:textId="77777777" w:rsidR="00980E5F" w:rsidRDefault="00980E5F">
            <w:pPr>
              <w:rPr>
                <w:rFonts w:ascii="宋体"/>
                <w:vanish/>
              </w:rPr>
            </w:pPr>
          </w:p>
        </w:tc>
        <w:tc>
          <w:tcPr>
            <w:tcW w:w="0" w:type="auto"/>
            <w:gridSpan w:val="3"/>
            <w:shd w:val="clear" w:color="auto" w:fill="auto"/>
            <w:vAlign w:val="bottom"/>
          </w:tcPr>
          <w:p w14:paraId="392C3AD7" w14:textId="77777777" w:rsidR="00980E5F" w:rsidRDefault="00980E5F">
            <w:pPr>
              <w:rPr>
                <w:rFonts w:ascii="宋体"/>
                <w:vanish/>
              </w:rPr>
            </w:pPr>
          </w:p>
        </w:tc>
        <w:tc>
          <w:tcPr>
            <w:tcW w:w="0" w:type="auto"/>
            <w:gridSpan w:val="3"/>
            <w:shd w:val="clear" w:color="auto" w:fill="auto"/>
            <w:vAlign w:val="bottom"/>
          </w:tcPr>
          <w:p w14:paraId="392C3AD8" w14:textId="77777777" w:rsidR="00980E5F" w:rsidRDefault="00980E5F">
            <w:pPr>
              <w:rPr>
                <w:rFonts w:ascii="宋体"/>
                <w:vanish/>
              </w:rPr>
            </w:pPr>
          </w:p>
        </w:tc>
        <w:tc>
          <w:tcPr>
            <w:tcW w:w="0" w:type="auto"/>
            <w:gridSpan w:val="3"/>
            <w:shd w:val="clear" w:color="auto" w:fill="auto"/>
            <w:vAlign w:val="bottom"/>
          </w:tcPr>
          <w:p w14:paraId="392C3AD9" w14:textId="77777777" w:rsidR="00980E5F" w:rsidRDefault="00980E5F">
            <w:pPr>
              <w:rPr>
                <w:rFonts w:ascii="宋体"/>
                <w:vanish/>
              </w:rPr>
            </w:pPr>
          </w:p>
        </w:tc>
        <w:tc>
          <w:tcPr>
            <w:tcW w:w="0" w:type="auto"/>
            <w:gridSpan w:val="3"/>
            <w:shd w:val="clear" w:color="auto" w:fill="auto"/>
            <w:vAlign w:val="bottom"/>
          </w:tcPr>
          <w:p w14:paraId="392C3ADA" w14:textId="77777777" w:rsidR="00980E5F" w:rsidRDefault="00980E5F">
            <w:pPr>
              <w:rPr>
                <w:rFonts w:ascii="宋体"/>
                <w:vanish/>
              </w:rPr>
            </w:pPr>
          </w:p>
        </w:tc>
        <w:tc>
          <w:tcPr>
            <w:tcW w:w="0" w:type="auto"/>
            <w:gridSpan w:val="3"/>
            <w:shd w:val="clear" w:color="auto" w:fill="auto"/>
            <w:vAlign w:val="bottom"/>
          </w:tcPr>
          <w:p w14:paraId="392C3ADB" w14:textId="77777777" w:rsidR="00980E5F" w:rsidRDefault="00980E5F">
            <w:pPr>
              <w:rPr>
                <w:rFonts w:ascii="宋体"/>
                <w:vanish/>
              </w:rPr>
            </w:pPr>
          </w:p>
        </w:tc>
      </w:tr>
      <w:tr w:rsidR="00980E5F" w14:paraId="392C3AEF" w14:textId="77777777">
        <w:trPr>
          <w:jc w:val="center"/>
          <w:hidden/>
        </w:trPr>
        <w:tc>
          <w:tcPr>
            <w:tcW w:w="0" w:type="auto"/>
            <w:gridSpan w:val="3"/>
            <w:shd w:val="clear" w:color="auto" w:fill="auto"/>
            <w:vAlign w:val="bottom"/>
          </w:tcPr>
          <w:p w14:paraId="392C3ADD" w14:textId="77777777" w:rsidR="00980E5F" w:rsidRDefault="00980E5F">
            <w:pPr>
              <w:rPr>
                <w:rFonts w:ascii="宋体"/>
                <w:vanish/>
              </w:rPr>
            </w:pPr>
          </w:p>
        </w:tc>
        <w:tc>
          <w:tcPr>
            <w:tcW w:w="0" w:type="auto"/>
            <w:gridSpan w:val="3"/>
            <w:shd w:val="clear" w:color="auto" w:fill="auto"/>
            <w:vAlign w:val="bottom"/>
          </w:tcPr>
          <w:p w14:paraId="392C3ADE" w14:textId="77777777" w:rsidR="00980E5F" w:rsidRDefault="00980E5F">
            <w:pPr>
              <w:rPr>
                <w:rFonts w:ascii="宋体"/>
                <w:vanish/>
              </w:rPr>
            </w:pPr>
          </w:p>
        </w:tc>
        <w:tc>
          <w:tcPr>
            <w:tcW w:w="0" w:type="auto"/>
            <w:gridSpan w:val="3"/>
            <w:shd w:val="clear" w:color="auto" w:fill="auto"/>
            <w:vAlign w:val="bottom"/>
          </w:tcPr>
          <w:p w14:paraId="392C3ADF" w14:textId="77777777" w:rsidR="00980E5F" w:rsidRDefault="00980E5F">
            <w:pPr>
              <w:rPr>
                <w:rFonts w:ascii="宋体"/>
                <w:vanish/>
              </w:rPr>
            </w:pPr>
          </w:p>
        </w:tc>
        <w:tc>
          <w:tcPr>
            <w:tcW w:w="0" w:type="auto"/>
            <w:gridSpan w:val="3"/>
            <w:shd w:val="clear" w:color="auto" w:fill="auto"/>
            <w:vAlign w:val="bottom"/>
          </w:tcPr>
          <w:p w14:paraId="392C3AE0" w14:textId="77777777" w:rsidR="00980E5F" w:rsidRDefault="00980E5F">
            <w:pPr>
              <w:rPr>
                <w:rFonts w:ascii="宋体"/>
                <w:vanish/>
              </w:rPr>
            </w:pPr>
          </w:p>
        </w:tc>
        <w:tc>
          <w:tcPr>
            <w:tcW w:w="0" w:type="auto"/>
            <w:gridSpan w:val="3"/>
            <w:shd w:val="clear" w:color="auto" w:fill="auto"/>
            <w:vAlign w:val="bottom"/>
          </w:tcPr>
          <w:p w14:paraId="392C3AE1" w14:textId="77777777" w:rsidR="00980E5F" w:rsidRDefault="00980E5F">
            <w:pPr>
              <w:rPr>
                <w:rFonts w:ascii="宋体"/>
                <w:vanish/>
              </w:rPr>
            </w:pPr>
          </w:p>
        </w:tc>
        <w:tc>
          <w:tcPr>
            <w:tcW w:w="0" w:type="auto"/>
            <w:gridSpan w:val="3"/>
            <w:shd w:val="clear" w:color="auto" w:fill="auto"/>
            <w:vAlign w:val="bottom"/>
          </w:tcPr>
          <w:p w14:paraId="392C3AE2" w14:textId="77777777" w:rsidR="00980E5F" w:rsidRDefault="00980E5F">
            <w:pPr>
              <w:rPr>
                <w:rFonts w:ascii="宋体"/>
                <w:vanish/>
              </w:rPr>
            </w:pPr>
          </w:p>
        </w:tc>
        <w:tc>
          <w:tcPr>
            <w:tcW w:w="0" w:type="auto"/>
            <w:gridSpan w:val="3"/>
            <w:shd w:val="clear" w:color="auto" w:fill="auto"/>
            <w:vAlign w:val="bottom"/>
          </w:tcPr>
          <w:p w14:paraId="392C3AE3" w14:textId="77777777" w:rsidR="00980E5F" w:rsidRDefault="00980E5F">
            <w:pPr>
              <w:rPr>
                <w:rFonts w:ascii="宋体"/>
                <w:vanish/>
              </w:rPr>
            </w:pPr>
          </w:p>
        </w:tc>
        <w:tc>
          <w:tcPr>
            <w:tcW w:w="0" w:type="auto"/>
            <w:gridSpan w:val="3"/>
            <w:shd w:val="clear" w:color="auto" w:fill="auto"/>
            <w:vAlign w:val="bottom"/>
          </w:tcPr>
          <w:p w14:paraId="392C3AE4" w14:textId="77777777" w:rsidR="00980E5F" w:rsidRDefault="00980E5F">
            <w:pPr>
              <w:rPr>
                <w:rFonts w:ascii="宋体"/>
                <w:vanish/>
              </w:rPr>
            </w:pPr>
          </w:p>
        </w:tc>
        <w:tc>
          <w:tcPr>
            <w:tcW w:w="0" w:type="auto"/>
            <w:gridSpan w:val="3"/>
            <w:shd w:val="clear" w:color="auto" w:fill="auto"/>
            <w:vAlign w:val="bottom"/>
          </w:tcPr>
          <w:p w14:paraId="392C3AE5" w14:textId="77777777" w:rsidR="00980E5F" w:rsidRDefault="00980E5F">
            <w:pPr>
              <w:rPr>
                <w:rFonts w:ascii="宋体"/>
                <w:vanish/>
              </w:rPr>
            </w:pPr>
          </w:p>
        </w:tc>
        <w:tc>
          <w:tcPr>
            <w:tcW w:w="0" w:type="auto"/>
            <w:gridSpan w:val="3"/>
            <w:shd w:val="clear" w:color="auto" w:fill="auto"/>
            <w:vAlign w:val="bottom"/>
          </w:tcPr>
          <w:p w14:paraId="392C3AE6" w14:textId="77777777" w:rsidR="00980E5F" w:rsidRDefault="00980E5F">
            <w:pPr>
              <w:rPr>
                <w:rFonts w:ascii="宋体"/>
                <w:vanish/>
              </w:rPr>
            </w:pPr>
          </w:p>
        </w:tc>
        <w:tc>
          <w:tcPr>
            <w:tcW w:w="0" w:type="auto"/>
            <w:gridSpan w:val="3"/>
            <w:shd w:val="clear" w:color="auto" w:fill="auto"/>
            <w:vAlign w:val="bottom"/>
          </w:tcPr>
          <w:p w14:paraId="392C3AE7" w14:textId="77777777" w:rsidR="00980E5F" w:rsidRDefault="00980E5F">
            <w:pPr>
              <w:rPr>
                <w:rFonts w:ascii="宋体"/>
                <w:vanish/>
              </w:rPr>
            </w:pPr>
          </w:p>
        </w:tc>
        <w:tc>
          <w:tcPr>
            <w:tcW w:w="0" w:type="auto"/>
            <w:gridSpan w:val="3"/>
            <w:shd w:val="clear" w:color="auto" w:fill="auto"/>
            <w:vAlign w:val="bottom"/>
          </w:tcPr>
          <w:p w14:paraId="392C3AE8" w14:textId="77777777" w:rsidR="00980E5F" w:rsidRDefault="00980E5F">
            <w:pPr>
              <w:rPr>
                <w:rFonts w:ascii="宋体"/>
                <w:vanish/>
              </w:rPr>
            </w:pPr>
          </w:p>
        </w:tc>
        <w:tc>
          <w:tcPr>
            <w:tcW w:w="0" w:type="auto"/>
            <w:gridSpan w:val="3"/>
            <w:shd w:val="clear" w:color="auto" w:fill="auto"/>
            <w:vAlign w:val="bottom"/>
          </w:tcPr>
          <w:p w14:paraId="392C3AE9" w14:textId="77777777" w:rsidR="00980E5F" w:rsidRDefault="00980E5F">
            <w:pPr>
              <w:rPr>
                <w:rFonts w:ascii="宋体"/>
                <w:vanish/>
              </w:rPr>
            </w:pPr>
          </w:p>
        </w:tc>
        <w:tc>
          <w:tcPr>
            <w:tcW w:w="0" w:type="auto"/>
            <w:gridSpan w:val="3"/>
            <w:shd w:val="clear" w:color="auto" w:fill="auto"/>
            <w:vAlign w:val="bottom"/>
          </w:tcPr>
          <w:p w14:paraId="392C3AEA" w14:textId="77777777" w:rsidR="00980E5F" w:rsidRDefault="00980E5F">
            <w:pPr>
              <w:rPr>
                <w:rFonts w:ascii="宋体"/>
                <w:vanish/>
              </w:rPr>
            </w:pPr>
          </w:p>
        </w:tc>
        <w:tc>
          <w:tcPr>
            <w:tcW w:w="0" w:type="auto"/>
            <w:gridSpan w:val="3"/>
            <w:shd w:val="clear" w:color="auto" w:fill="auto"/>
            <w:vAlign w:val="bottom"/>
          </w:tcPr>
          <w:p w14:paraId="392C3AEB" w14:textId="77777777" w:rsidR="00980E5F" w:rsidRDefault="00980E5F">
            <w:pPr>
              <w:rPr>
                <w:rFonts w:ascii="宋体"/>
                <w:vanish/>
              </w:rPr>
            </w:pPr>
          </w:p>
        </w:tc>
        <w:tc>
          <w:tcPr>
            <w:tcW w:w="0" w:type="auto"/>
            <w:gridSpan w:val="3"/>
            <w:shd w:val="clear" w:color="auto" w:fill="auto"/>
            <w:vAlign w:val="bottom"/>
          </w:tcPr>
          <w:p w14:paraId="392C3AEC" w14:textId="77777777" w:rsidR="00980E5F" w:rsidRDefault="00980E5F">
            <w:pPr>
              <w:rPr>
                <w:rFonts w:ascii="宋体"/>
                <w:vanish/>
              </w:rPr>
            </w:pPr>
          </w:p>
        </w:tc>
        <w:tc>
          <w:tcPr>
            <w:tcW w:w="0" w:type="auto"/>
            <w:gridSpan w:val="3"/>
            <w:shd w:val="clear" w:color="auto" w:fill="auto"/>
            <w:vAlign w:val="bottom"/>
          </w:tcPr>
          <w:p w14:paraId="392C3AED" w14:textId="77777777" w:rsidR="00980E5F" w:rsidRDefault="00980E5F">
            <w:pPr>
              <w:rPr>
                <w:rFonts w:ascii="宋体"/>
                <w:vanish/>
              </w:rPr>
            </w:pPr>
          </w:p>
        </w:tc>
        <w:tc>
          <w:tcPr>
            <w:tcW w:w="0" w:type="auto"/>
            <w:gridSpan w:val="3"/>
            <w:shd w:val="clear" w:color="auto" w:fill="auto"/>
            <w:vAlign w:val="bottom"/>
          </w:tcPr>
          <w:p w14:paraId="392C3AEE" w14:textId="77777777" w:rsidR="00980E5F" w:rsidRDefault="00980E5F">
            <w:pPr>
              <w:rPr>
                <w:rFonts w:ascii="宋体"/>
                <w:vanish/>
              </w:rPr>
            </w:pPr>
          </w:p>
        </w:tc>
      </w:tr>
      <w:tr w:rsidR="00980E5F" w14:paraId="392C3B02" w14:textId="77777777">
        <w:trPr>
          <w:jc w:val="center"/>
          <w:hidden/>
        </w:trPr>
        <w:tc>
          <w:tcPr>
            <w:tcW w:w="0" w:type="auto"/>
            <w:gridSpan w:val="3"/>
            <w:shd w:val="clear" w:color="auto" w:fill="auto"/>
            <w:vAlign w:val="bottom"/>
          </w:tcPr>
          <w:p w14:paraId="392C3AF0" w14:textId="77777777" w:rsidR="00980E5F" w:rsidRDefault="00980E5F">
            <w:pPr>
              <w:rPr>
                <w:rFonts w:ascii="宋体"/>
                <w:vanish/>
              </w:rPr>
            </w:pPr>
          </w:p>
        </w:tc>
        <w:tc>
          <w:tcPr>
            <w:tcW w:w="0" w:type="auto"/>
            <w:gridSpan w:val="3"/>
            <w:shd w:val="clear" w:color="auto" w:fill="auto"/>
            <w:vAlign w:val="bottom"/>
          </w:tcPr>
          <w:p w14:paraId="392C3AF1" w14:textId="77777777" w:rsidR="00980E5F" w:rsidRDefault="00980E5F">
            <w:pPr>
              <w:rPr>
                <w:rFonts w:ascii="宋体"/>
                <w:vanish/>
              </w:rPr>
            </w:pPr>
          </w:p>
        </w:tc>
        <w:tc>
          <w:tcPr>
            <w:tcW w:w="0" w:type="auto"/>
            <w:gridSpan w:val="3"/>
            <w:shd w:val="clear" w:color="auto" w:fill="auto"/>
            <w:vAlign w:val="bottom"/>
          </w:tcPr>
          <w:p w14:paraId="392C3AF2" w14:textId="77777777" w:rsidR="00980E5F" w:rsidRDefault="00980E5F">
            <w:pPr>
              <w:rPr>
                <w:rFonts w:ascii="宋体"/>
                <w:vanish/>
              </w:rPr>
            </w:pPr>
          </w:p>
        </w:tc>
        <w:tc>
          <w:tcPr>
            <w:tcW w:w="0" w:type="auto"/>
            <w:gridSpan w:val="3"/>
            <w:shd w:val="clear" w:color="auto" w:fill="auto"/>
            <w:vAlign w:val="bottom"/>
          </w:tcPr>
          <w:p w14:paraId="392C3AF3" w14:textId="77777777" w:rsidR="00980E5F" w:rsidRDefault="00980E5F">
            <w:pPr>
              <w:rPr>
                <w:rFonts w:ascii="宋体"/>
                <w:vanish/>
              </w:rPr>
            </w:pPr>
          </w:p>
        </w:tc>
        <w:tc>
          <w:tcPr>
            <w:tcW w:w="0" w:type="auto"/>
            <w:gridSpan w:val="3"/>
            <w:shd w:val="clear" w:color="auto" w:fill="auto"/>
            <w:vAlign w:val="bottom"/>
          </w:tcPr>
          <w:p w14:paraId="392C3AF4" w14:textId="77777777" w:rsidR="00980E5F" w:rsidRDefault="00980E5F">
            <w:pPr>
              <w:rPr>
                <w:rFonts w:ascii="宋体"/>
                <w:vanish/>
              </w:rPr>
            </w:pPr>
          </w:p>
        </w:tc>
        <w:tc>
          <w:tcPr>
            <w:tcW w:w="0" w:type="auto"/>
            <w:gridSpan w:val="3"/>
            <w:shd w:val="clear" w:color="auto" w:fill="auto"/>
            <w:vAlign w:val="bottom"/>
          </w:tcPr>
          <w:p w14:paraId="392C3AF5" w14:textId="77777777" w:rsidR="00980E5F" w:rsidRDefault="00980E5F">
            <w:pPr>
              <w:rPr>
                <w:rFonts w:ascii="宋体"/>
                <w:vanish/>
              </w:rPr>
            </w:pPr>
          </w:p>
        </w:tc>
        <w:tc>
          <w:tcPr>
            <w:tcW w:w="0" w:type="auto"/>
            <w:gridSpan w:val="3"/>
            <w:shd w:val="clear" w:color="auto" w:fill="auto"/>
            <w:vAlign w:val="bottom"/>
          </w:tcPr>
          <w:p w14:paraId="392C3AF6" w14:textId="77777777" w:rsidR="00980E5F" w:rsidRDefault="00980E5F">
            <w:pPr>
              <w:rPr>
                <w:rFonts w:ascii="宋体"/>
                <w:vanish/>
              </w:rPr>
            </w:pPr>
          </w:p>
        </w:tc>
        <w:tc>
          <w:tcPr>
            <w:tcW w:w="0" w:type="auto"/>
            <w:gridSpan w:val="3"/>
            <w:shd w:val="clear" w:color="auto" w:fill="auto"/>
            <w:vAlign w:val="bottom"/>
          </w:tcPr>
          <w:p w14:paraId="392C3AF7" w14:textId="77777777" w:rsidR="00980E5F" w:rsidRDefault="00980E5F">
            <w:pPr>
              <w:rPr>
                <w:rFonts w:ascii="宋体"/>
                <w:vanish/>
              </w:rPr>
            </w:pPr>
          </w:p>
        </w:tc>
        <w:tc>
          <w:tcPr>
            <w:tcW w:w="0" w:type="auto"/>
            <w:gridSpan w:val="3"/>
            <w:shd w:val="clear" w:color="auto" w:fill="auto"/>
            <w:vAlign w:val="bottom"/>
          </w:tcPr>
          <w:p w14:paraId="392C3AF8" w14:textId="77777777" w:rsidR="00980E5F" w:rsidRDefault="00980E5F">
            <w:pPr>
              <w:rPr>
                <w:rFonts w:ascii="宋体"/>
                <w:vanish/>
              </w:rPr>
            </w:pPr>
          </w:p>
        </w:tc>
        <w:tc>
          <w:tcPr>
            <w:tcW w:w="0" w:type="auto"/>
            <w:gridSpan w:val="3"/>
            <w:shd w:val="clear" w:color="auto" w:fill="auto"/>
            <w:vAlign w:val="bottom"/>
          </w:tcPr>
          <w:p w14:paraId="392C3AF9" w14:textId="77777777" w:rsidR="00980E5F" w:rsidRDefault="00980E5F">
            <w:pPr>
              <w:rPr>
                <w:rFonts w:ascii="宋体"/>
                <w:vanish/>
              </w:rPr>
            </w:pPr>
          </w:p>
        </w:tc>
        <w:tc>
          <w:tcPr>
            <w:tcW w:w="0" w:type="auto"/>
            <w:gridSpan w:val="3"/>
            <w:shd w:val="clear" w:color="auto" w:fill="auto"/>
            <w:vAlign w:val="bottom"/>
          </w:tcPr>
          <w:p w14:paraId="392C3AFA" w14:textId="77777777" w:rsidR="00980E5F" w:rsidRDefault="00980E5F">
            <w:pPr>
              <w:rPr>
                <w:rFonts w:ascii="宋体"/>
                <w:vanish/>
              </w:rPr>
            </w:pPr>
          </w:p>
        </w:tc>
        <w:tc>
          <w:tcPr>
            <w:tcW w:w="0" w:type="auto"/>
            <w:gridSpan w:val="3"/>
            <w:shd w:val="clear" w:color="auto" w:fill="auto"/>
            <w:vAlign w:val="bottom"/>
          </w:tcPr>
          <w:p w14:paraId="392C3AFB" w14:textId="77777777" w:rsidR="00980E5F" w:rsidRDefault="00980E5F">
            <w:pPr>
              <w:rPr>
                <w:rFonts w:ascii="宋体"/>
                <w:vanish/>
              </w:rPr>
            </w:pPr>
          </w:p>
        </w:tc>
        <w:tc>
          <w:tcPr>
            <w:tcW w:w="0" w:type="auto"/>
            <w:gridSpan w:val="3"/>
            <w:shd w:val="clear" w:color="auto" w:fill="auto"/>
            <w:vAlign w:val="bottom"/>
          </w:tcPr>
          <w:p w14:paraId="392C3AFC" w14:textId="77777777" w:rsidR="00980E5F" w:rsidRDefault="00980E5F">
            <w:pPr>
              <w:rPr>
                <w:rFonts w:ascii="宋体"/>
                <w:vanish/>
              </w:rPr>
            </w:pPr>
          </w:p>
        </w:tc>
        <w:tc>
          <w:tcPr>
            <w:tcW w:w="0" w:type="auto"/>
            <w:gridSpan w:val="3"/>
            <w:shd w:val="clear" w:color="auto" w:fill="auto"/>
            <w:vAlign w:val="bottom"/>
          </w:tcPr>
          <w:p w14:paraId="392C3AFD" w14:textId="77777777" w:rsidR="00980E5F" w:rsidRDefault="00980E5F">
            <w:pPr>
              <w:rPr>
                <w:rFonts w:ascii="宋体"/>
                <w:vanish/>
              </w:rPr>
            </w:pPr>
          </w:p>
        </w:tc>
        <w:tc>
          <w:tcPr>
            <w:tcW w:w="0" w:type="auto"/>
            <w:gridSpan w:val="3"/>
            <w:shd w:val="clear" w:color="auto" w:fill="auto"/>
            <w:vAlign w:val="bottom"/>
          </w:tcPr>
          <w:p w14:paraId="392C3AFE" w14:textId="77777777" w:rsidR="00980E5F" w:rsidRDefault="00980E5F">
            <w:pPr>
              <w:rPr>
                <w:rFonts w:ascii="宋体"/>
                <w:vanish/>
              </w:rPr>
            </w:pPr>
          </w:p>
        </w:tc>
        <w:tc>
          <w:tcPr>
            <w:tcW w:w="0" w:type="auto"/>
            <w:gridSpan w:val="3"/>
            <w:shd w:val="clear" w:color="auto" w:fill="auto"/>
            <w:vAlign w:val="bottom"/>
          </w:tcPr>
          <w:p w14:paraId="392C3AFF" w14:textId="77777777" w:rsidR="00980E5F" w:rsidRDefault="00980E5F">
            <w:pPr>
              <w:rPr>
                <w:rFonts w:ascii="宋体"/>
                <w:vanish/>
              </w:rPr>
            </w:pPr>
          </w:p>
        </w:tc>
        <w:tc>
          <w:tcPr>
            <w:tcW w:w="0" w:type="auto"/>
            <w:gridSpan w:val="3"/>
            <w:shd w:val="clear" w:color="auto" w:fill="auto"/>
            <w:vAlign w:val="bottom"/>
          </w:tcPr>
          <w:p w14:paraId="392C3B00" w14:textId="77777777" w:rsidR="00980E5F" w:rsidRDefault="00980E5F">
            <w:pPr>
              <w:rPr>
                <w:rFonts w:ascii="宋体"/>
                <w:vanish/>
              </w:rPr>
            </w:pPr>
          </w:p>
        </w:tc>
        <w:tc>
          <w:tcPr>
            <w:tcW w:w="0" w:type="auto"/>
            <w:gridSpan w:val="3"/>
            <w:shd w:val="clear" w:color="auto" w:fill="auto"/>
            <w:vAlign w:val="bottom"/>
          </w:tcPr>
          <w:p w14:paraId="392C3B01" w14:textId="77777777" w:rsidR="00980E5F" w:rsidRDefault="00980E5F">
            <w:pPr>
              <w:rPr>
                <w:rFonts w:ascii="宋体"/>
                <w:vanish/>
              </w:rPr>
            </w:pPr>
          </w:p>
        </w:tc>
      </w:tr>
      <w:tr w:rsidR="00980E5F" w14:paraId="392C3B15" w14:textId="77777777">
        <w:trPr>
          <w:jc w:val="center"/>
          <w:hidden/>
        </w:trPr>
        <w:tc>
          <w:tcPr>
            <w:tcW w:w="0" w:type="auto"/>
            <w:gridSpan w:val="3"/>
            <w:shd w:val="clear" w:color="auto" w:fill="auto"/>
            <w:vAlign w:val="bottom"/>
          </w:tcPr>
          <w:p w14:paraId="392C3B03" w14:textId="77777777" w:rsidR="00980E5F" w:rsidRDefault="00980E5F">
            <w:pPr>
              <w:rPr>
                <w:rFonts w:ascii="宋体"/>
                <w:vanish/>
              </w:rPr>
            </w:pPr>
          </w:p>
        </w:tc>
        <w:tc>
          <w:tcPr>
            <w:tcW w:w="0" w:type="auto"/>
            <w:gridSpan w:val="3"/>
            <w:shd w:val="clear" w:color="auto" w:fill="auto"/>
            <w:vAlign w:val="bottom"/>
          </w:tcPr>
          <w:p w14:paraId="392C3B04" w14:textId="77777777" w:rsidR="00980E5F" w:rsidRDefault="00980E5F">
            <w:pPr>
              <w:rPr>
                <w:rFonts w:ascii="宋体"/>
                <w:vanish/>
              </w:rPr>
            </w:pPr>
          </w:p>
        </w:tc>
        <w:tc>
          <w:tcPr>
            <w:tcW w:w="0" w:type="auto"/>
            <w:gridSpan w:val="3"/>
            <w:shd w:val="clear" w:color="auto" w:fill="auto"/>
            <w:vAlign w:val="bottom"/>
          </w:tcPr>
          <w:p w14:paraId="392C3B05" w14:textId="77777777" w:rsidR="00980E5F" w:rsidRDefault="00980E5F">
            <w:pPr>
              <w:rPr>
                <w:rFonts w:ascii="宋体"/>
                <w:vanish/>
              </w:rPr>
            </w:pPr>
          </w:p>
        </w:tc>
        <w:tc>
          <w:tcPr>
            <w:tcW w:w="0" w:type="auto"/>
            <w:gridSpan w:val="3"/>
            <w:shd w:val="clear" w:color="auto" w:fill="auto"/>
            <w:vAlign w:val="bottom"/>
          </w:tcPr>
          <w:p w14:paraId="392C3B06" w14:textId="77777777" w:rsidR="00980E5F" w:rsidRDefault="00980E5F">
            <w:pPr>
              <w:rPr>
                <w:rFonts w:ascii="宋体"/>
                <w:vanish/>
              </w:rPr>
            </w:pPr>
          </w:p>
        </w:tc>
        <w:tc>
          <w:tcPr>
            <w:tcW w:w="0" w:type="auto"/>
            <w:gridSpan w:val="3"/>
            <w:shd w:val="clear" w:color="auto" w:fill="auto"/>
            <w:vAlign w:val="bottom"/>
          </w:tcPr>
          <w:p w14:paraId="392C3B07" w14:textId="77777777" w:rsidR="00980E5F" w:rsidRDefault="00980E5F">
            <w:pPr>
              <w:rPr>
                <w:rFonts w:ascii="宋体"/>
                <w:vanish/>
              </w:rPr>
            </w:pPr>
          </w:p>
        </w:tc>
        <w:tc>
          <w:tcPr>
            <w:tcW w:w="0" w:type="auto"/>
            <w:gridSpan w:val="3"/>
            <w:shd w:val="clear" w:color="auto" w:fill="auto"/>
            <w:vAlign w:val="bottom"/>
          </w:tcPr>
          <w:p w14:paraId="392C3B08" w14:textId="77777777" w:rsidR="00980E5F" w:rsidRDefault="00980E5F">
            <w:pPr>
              <w:rPr>
                <w:rFonts w:ascii="宋体"/>
                <w:vanish/>
              </w:rPr>
            </w:pPr>
          </w:p>
        </w:tc>
        <w:tc>
          <w:tcPr>
            <w:tcW w:w="0" w:type="auto"/>
            <w:gridSpan w:val="3"/>
            <w:shd w:val="clear" w:color="auto" w:fill="auto"/>
            <w:vAlign w:val="bottom"/>
          </w:tcPr>
          <w:p w14:paraId="392C3B09" w14:textId="77777777" w:rsidR="00980E5F" w:rsidRDefault="00980E5F">
            <w:pPr>
              <w:rPr>
                <w:rFonts w:ascii="宋体"/>
                <w:vanish/>
              </w:rPr>
            </w:pPr>
          </w:p>
        </w:tc>
        <w:tc>
          <w:tcPr>
            <w:tcW w:w="0" w:type="auto"/>
            <w:gridSpan w:val="3"/>
            <w:shd w:val="clear" w:color="auto" w:fill="auto"/>
            <w:vAlign w:val="bottom"/>
          </w:tcPr>
          <w:p w14:paraId="392C3B0A" w14:textId="77777777" w:rsidR="00980E5F" w:rsidRDefault="00980E5F">
            <w:pPr>
              <w:rPr>
                <w:rFonts w:ascii="宋体"/>
                <w:vanish/>
              </w:rPr>
            </w:pPr>
          </w:p>
        </w:tc>
        <w:tc>
          <w:tcPr>
            <w:tcW w:w="0" w:type="auto"/>
            <w:gridSpan w:val="3"/>
            <w:shd w:val="clear" w:color="auto" w:fill="auto"/>
            <w:vAlign w:val="bottom"/>
          </w:tcPr>
          <w:p w14:paraId="392C3B0B" w14:textId="77777777" w:rsidR="00980E5F" w:rsidRDefault="00980E5F">
            <w:pPr>
              <w:rPr>
                <w:rFonts w:ascii="宋体"/>
                <w:vanish/>
              </w:rPr>
            </w:pPr>
          </w:p>
        </w:tc>
        <w:tc>
          <w:tcPr>
            <w:tcW w:w="0" w:type="auto"/>
            <w:gridSpan w:val="3"/>
            <w:shd w:val="clear" w:color="auto" w:fill="auto"/>
            <w:vAlign w:val="bottom"/>
          </w:tcPr>
          <w:p w14:paraId="392C3B0C" w14:textId="77777777" w:rsidR="00980E5F" w:rsidRDefault="00980E5F">
            <w:pPr>
              <w:rPr>
                <w:rFonts w:ascii="宋体"/>
                <w:vanish/>
              </w:rPr>
            </w:pPr>
          </w:p>
        </w:tc>
        <w:tc>
          <w:tcPr>
            <w:tcW w:w="0" w:type="auto"/>
            <w:gridSpan w:val="3"/>
            <w:shd w:val="clear" w:color="auto" w:fill="auto"/>
            <w:vAlign w:val="bottom"/>
          </w:tcPr>
          <w:p w14:paraId="392C3B0D" w14:textId="77777777" w:rsidR="00980E5F" w:rsidRDefault="00980E5F">
            <w:pPr>
              <w:rPr>
                <w:rFonts w:ascii="宋体"/>
                <w:vanish/>
              </w:rPr>
            </w:pPr>
          </w:p>
        </w:tc>
        <w:tc>
          <w:tcPr>
            <w:tcW w:w="0" w:type="auto"/>
            <w:gridSpan w:val="3"/>
            <w:shd w:val="clear" w:color="auto" w:fill="auto"/>
            <w:vAlign w:val="bottom"/>
          </w:tcPr>
          <w:p w14:paraId="392C3B0E" w14:textId="77777777" w:rsidR="00980E5F" w:rsidRDefault="00980E5F">
            <w:pPr>
              <w:rPr>
                <w:rFonts w:ascii="宋体"/>
                <w:vanish/>
              </w:rPr>
            </w:pPr>
          </w:p>
        </w:tc>
        <w:tc>
          <w:tcPr>
            <w:tcW w:w="0" w:type="auto"/>
            <w:gridSpan w:val="3"/>
            <w:shd w:val="clear" w:color="auto" w:fill="auto"/>
            <w:vAlign w:val="bottom"/>
          </w:tcPr>
          <w:p w14:paraId="392C3B0F" w14:textId="77777777" w:rsidR="00980E5F" w:rsidRDefault="00980E5F">
            <w:pPr>
              <w:rPr>
                <w:rFonts w:ascii="宋体"/>
                <w:vanish/>
              </w:rPr>
            </w:pPr>
          </w:p>
        </w:tc>
        <w:tc>
          <w:tcPr>
            <w:tcW w:w="0" w:type="auto"/>
            <w:gridSpan w:val="3"/>
            <w:shd w:val="clear" w:color="auto" w:fill="auto"/>
            <w:vAlign w:val="bottom"/>
          </w:tcPr>
          <w:p w14:paraId="392C3B10" w14:textId="77777777" w:rsidR="00980E5F" w:rsidRDefault="00980E5F">
            <w:pPr>
              <w:rPr>
                <w:rFonts w:ascii="宋体"/>
                <w:vanish/>
              </w:rPr>
            </w:pPr>
          </w:p>
        </w:tc>
        <w:tc>
          <w:tcPr>
            <w:tcW w:w="0" w:type="auto"/>
            <w:gridSpan w:val="3"/>
            <w:shd w:val="clear" w:color="auto" w:fill="auto"/>
            <w:vAlign w:val="bottom"/>
          </w:tcPr>
          <w:p w14:paraId="392C3B11" w14:textId="77777777" w:rsidR="00980E5F" w:rsidRDefault="00980E5F">
            <w:pPr>
              <w:rPr>
                <w:rFonts w:ascii="宋体"/>
                <w:vanish/>
              </w:rPr>
            </w:pPr>
          </w:p>
        </w:tc>
        <w:tc>
          <w:tcPr>
            <w:tcW w:w="0" w:type="auto"/>
            <w:gridSpan w:val="3"/>
            <w:shd w:val="clear" w:color="auto" w:fill="auto"/>
            <w:vAlign w:val="bottom"/>
          </w:tcPr>
          <w:p w14:paraId="392C3B12" w14:textId="77777777" w:rsidR="00980E5F" w:rsidRDefault="00980E5F">
            <w:pPr>
              <w:rPr>
                <w:rFonts w:ascii="宋体"/>
                <w:vanish/>
              </w:rPr>
            </w:pPr>
          </w:p>
        </w:tc>
        <w:tc>
          <w:tcPr>
            <w:tcW w:w="0" w:type="auto"/>
            <w:gridSpan w:val="3"/>
            <w:shd w:val="clear" w:color="auto" w:fill="auto"/>
            <w:vAlign w:val="bottom"/>
          </w:tcPr>
          <w:p w14:paraId="392C3B13" w14:textId="77777777" w:rsidR="00980E5F" w:rsidRDefault="00980E5F">
            <w:pPr>
              <w:rPr>
                <w:rFonts w:ascii="宋体"/>
                <w:vanish/>
              </w:rPr>
            </w:pPr>
          </w:p>
        </w:tc>
        <w:tc>
          <w:tcPr>
            <w:tcW w:w="0" w:type="auto"/>
            <w:gridSpan w:val="3"/>
            <w:shd w:val="clear" w:color="auto" w:fill="auto"/>
            <w:vAlign w:val="bottom"/>
          </w:tcPr>
          <w:p w14:paraId="392C3B14" w14:textId="77777777" w:rsidR="00980E5F" w:rsidRDefault="00980E5F">
            <w:pPr>
              <w:rPr>
                <w:rFonts w:ascii="宋体"/>
                <w:vanish/>
              </w:rPr>
            </w:pPr>
          </w:p>
        </w:tc>
      </w:tr>
      <w:tr w:rsidR="00980E5F" w14:paraId="392C3B28" w14:textId="77777777">
        <w:trPr>
          <w:jc w:val="center"/>
          <w:hidden/>
        </w:trPr>
        <w:tc>
          <w:tcPr>
            <w:tcW w:w="0" w:type="auto"/>
            <w:gridSpan w:val="3"/>
            <w:shd w:val="clear" w:color="auto" w:fill="auto"/>
            <w:vAlign w:val="bottom"/>
          </w:tcPr>
          <w:p w14:paraId="392C3B16" w14:textId="77777777" w:rsidR="00980E5F" w:rsidRDefault="00980E5F">
            <w:pPr>
              <w:rPr>
                <w:rFonts w:ascii="宋体"/>
                <w:vanish/>
              </w:rPr>
            </w:pPr>
          </w:p>
        </w:tc>
        <w:tc>
          <w:tcPr>
            <w:tcW w:w="0" w:type="auto"/>
            <w:gridSpan w:val="3"/>
            <w:shd w:val="clear" w:color="auto" w:fill="auto"/>
            <w:vAlign w:val="bottom"/>
          </w:tcPr>
          <w:p w14:paraId="392C3B17" w14:textId="77777777" w:rsidR="00980E5F" w:rsidRDefault="00980E5F">
            <w:pPr>
              <w:rPr>
                <w:rFonts w:ascii="宋体"/>
                <w:vanish/>
              </w:rPr>
            </w:pPr>
          </w:p>
        </w:tc>
        <w:tc>
          <w:tcPr>
            <w:tcW w:w="0" w:type="auto"/>
            <w:gridSpan w:val="3"/>
            <w:shd w:val="clear" w:color="auto" w:fill="auto"/>
            <w:vAlign w:val="bottom"/>
          </w:tcPr>
          <w:p w14:paraId="392C3B18" w14:textId="77777777" w:rsidR="00980E5F" w:rsidRDefault="00980E5F">
            <w:pPr>
              <w:rPr>
                <w:rFonts w:ascii="宋体"/>
                <w:vanish/>
              </w:rPr>
            </w:pPr>
          </w:p>
        </w:tc>
        <w:tc>
          <w:tcPr>
            <w:tcW w:w="0" w:type="auto"/>
            <w:gridSpan w:val="3"/>
            <w:shd w:val="clear" w:color="auto" w:fill="auto"/>
            <w:vAlign w:val="bottom"/>
          </w:tcPr>
          <w:p w14:paraId="392C3B19" w14:textId="77777777" w:rsidR="00980E5F" w:rsidRDefault="00980E5F">
            <w:pPr>
              <w:rPr>
                <w:rFonts w:ascii="宋体"/>
                <w:vanish/>
              </w:rPr>
            </w:pPr>
          </w:p>
        </w:tc>
        <w:tc>
          <w:tcPr>
            <w:tcW w:w="0" w:type="auto"/>
            <w:gridSpan w:val="3"/>
            <w:shd w:val="clear" w:color="auto" w:fill="auto"/>
            <w:vAlign w:val="bottom"/>
          </w:tcPr>
          <w:p w14:paraId="392C3B1A" w14:textId="77777777" w:rsidR="00980E5F" w:rsidRDefault="00980E5F">
            <w:pPr>
              <w:rPr>
                <w:rFonts w:ascii="宋体"/>
                <w:vanish/>
              </w:rPr>
            </w:pPr>
          </w:p>
        </w:tc>
        <w:tc>
          <w:tcPr>
            <w:tcW w:w="0" w:type="auto"/>
            <w:gridSpan w:val="3"/>
            <w:shd w:val="clear" w:color="auto" w:fill="auto"/>
            <w:vAlign w:val="bottom"/>
          </w:tcPr>
          <w:p w14:paraId="392C3B1B" w14:textId="77777777" w:rsidR="00980E5F" w:rsidRDefault="00980E5F">
            <w:pPr>
              <w:rPr>
                <w:rFonts w:ascii="宋体"/>
                <w:vanish/>
              </w:rPr>
            </w:pPr>
          </w:p>
        </w:tc>
        <w:tc>
          <w:tcPr>
            <w:tcW w:w="0" w:type="auto"/>
            <w:gridSpan w:val="3"/>
            <w:shd w:val="clear" w:color="auto" w:fill="auto"/>
            <w:vAlign w:val="bottom"/>
          </w:tcPr>
          <w:p w14:paraId="392C3B1C" w14:textId="77777777" w:rsidR="00980E5F" w:rsidRDefault="00980E5F">
            <w:pPr>
              <w:rPr>
                <w:rFonts w:ascii="宋体"/>
                <w:vanish/>
              </w:rPr>
            </w:pPr>
          </w:p>
        </w:tc>
        <w:tc>
          <w:tcPr>
            <w:tcW w:w="0" w:type="auto"/>
            <w:gridSpan w:val="3"/>
            <w:shd w:val="clear" w:color="auto" w:fill="auto"/>
            <w:vAlign w:val="bottom"/>
          </w:tcPr>
          <w:p w14:paraId="392C3B1D" w14:textId="77777777" w:rsidR="00980E5F" w:rsidRDefault="00980E5F">
            <w:pPr>
              <w:rPr>
                <w:rFonts w:ascii="宋体"/>
                <w:vanish/>
              </w:rPr>
            </w:pPr>
          </w:p>
        </w:tc>
        <w:tc>
          <w:tcPr>
            <w:tcW w:w="0" w:type="auto"/>
            <w:gridSpan w:val="3"/>
            <w:shd w:val="clear" w:color="auto" w:fill="auto"/>
            <w:vAlign w:val="bottom"/>
          </w:tcPr>
          <w:p w14:paraId="392C3B1E" w14:textId="77777777" w:rsidR="00980E5F" w:rsidRDefault="00980E5F">
            <w:pPr>
              <w:rPr>
                <w:rFonts w:ascii="宋体"/>
                <w:vanish/>
              </w:rPr>
            </w:pPr>
          </w:p>
        </w:tc>
        <w:tc>
          <w:tcPr>
            <w:tcW w:w="0" w:type="auto"/>
            <w:gridSpan w:val="3"/>
            <w:shd w:val="clear" w:color="auto" w:fill="auto"/>
            <w:vAlign w:val="bottom"/>
          </w:tcPr>
          <w:p w14:paraId="392C3B1F" w14:textId="77777777" w:rsidR="00980E5F" w:rsidRDefault="00980E5F">
            <w:pPr>
              <w:rPr>
                <w:rFonts w:ascii="宋体"/>
                <w:vanish/>
              </w:rPr>
            </w:pPr>
          </w:p>
        </w:tc>
        <w:tc>
          <w:tcPr>
            <w:tcW w:w="0" w:type="auto"/>
            <w:gridSpan w:val="3"/>
            <w:shd w:val="clear" w:color="auto" w:fill="auto"/>
            <w:vAlign w:val="bottom"/>
          </w:tcPr>
          <w:p w14:paraId="392C3B20" w14:textId="77777777" w:rsidR="00980E5F" w:rsidRDefault="00980E5F">
            <w:pPr>
              <w:rPr>
                <w:rFonts w:ascii="宋体"/>
                <w:vanish/>
              </w:rPr>
            </w:pPr>
          </w:p>
        </w:tc>
        <w:tc>
          <w:tcPr>
            <w:tcW w:w="0" w:type="auto"/>
            <w:gridSpan w:val="3"/>
            <w:shd w:val="clear" w:color="auto" w:fill="auto"/>
            <w:vAlign w:val="bottom"/>
          </w:tcPr>
          <w:p w14:paraId="392C3B21" w14:textId="77777777" w:rsidR="00980E5F" w:rsidRDefault="00980E5F">
            <w:pPr>
              <w:rPr>
                <w:rFonts w:ascii="宋体"/>
                <w:vanish/>
              </w:rPr>
            </w:pPr>
          </w:p>
        </w:tc>
        <w:tc>
          <w:tcPr>
            <w:tcW w:w="0" w:type="auto"/>
            <w:gridSpan w:val="3"/>
            <w:shd w:val="clear" w:color="auto" w:fill="auto"/>
            <w:vAlign w:val="bottom"/>
          </w:tcPr>
          <w:p w14:paraId="392C3B22" w14:textId="77777777" w:rsidR="00980E5F" w:rsidRDefault="00980E5F">
            <w:pPr>
              <w:rPr>
                <w:rFonts w:ascii="宋体"/>
                <w:vanish/>
              </w:rPr>
            </w:pPr>
          </w:p>
        </w:tc>
        <w:tc>
          <w:tcPr>
            <w:tcW w:w="0" w:type="auto"/>
            <w:gridSpan w:val="3"/>
            <w:shd w:val="clear" w:color="auto" w:fill="auto"/>
            <w:vAlign w:val="bottom"/>
          </w:tcPr>
          <w:p w14:paraId="392C3B23" w14:textId="77777777" w:rsidR="00980E5F" w:rsidRDefault="00980E5F">
            <w:pPr>
              <w:rPr>
                <w:rFonts w:ascii="宋体"/>
                <w:vanish/>
              </w:rPr>
            </w:pPr>
          </w:p>
        </w:tc>
        <w:tc>
          <w:tcPr>
            <w:tcW w:w="0" w:type="auto"/>
            <w:gridSpan w:val="3"/>
            <w:shd w:val="clear" w:color="auto" w:fill="auto"/>
            <w:vAlign w:val="bottom"/>
          </w:tcPr>
          <w:p w14:paraId="392C3B24" w14:textId="77777777" w:rsidR="00980E5F" w:rsidRDefault="00980E5F">
            <w:pPr>
              <w:rPr>
                <w:rFonts w:ascii="宋体"/>
                <w:vanish/>
              </w:rPr>
            </w:pPr>
          </w:p>
        </w:tc>
        <w:tc>
          <w:tcPr>
            <w:tcW w:w="0" w:type="auto"/>
            <w:gridSpan w:val="3"/>
            <w:shd w:val="clear" w:color="auto" w:fill="auto"/>
            <w:vAlign w:val="bottom"/>
          </w:tcPr>
          <w:p w14:paraId="392C3B25" w14:textId="77777777" w:rsidR="00980E5F" w:rsidRDefault="00980E5F">
            <w:pPr>
              <w:rPr>
                <w:rFonts w:ascii="宋体"/>
                <w:vanish/>
              </w:rPr>
            </w:pPr>
          </w:p>
        </w:tc>
        <w:tc>
          <w:tcPr>
            <w:tcW w:w="0" w:type="auto"/>
            <w:gridSpan w:val="3"/>
            <w:shd w:val="clear" w:color="auto" w:fill="auto"/>
            <w:vAlign w:val="bottom"/>
          </w:tcPr>
          <w:p w14:paraId="392C3B26" w14:textId="77777777" w:rsidR="00980E5F" w:rsidRDefault="00980E5F">
            <w:pPr>
              <w:rPr>
                <w:rFonts w:ascii="宋体"/>
                <w:vanish/>
              </w:rPr>
            </w:pPr>
          </w:p>
        </w:tc>
        <w:tc>
          <w:tcPr>
            <w:tcW w:w="0" w:type="auto"/>
            <w:gridSpan w:val="3"/>
            <w:shd w:val="clear" w:color="auto" w:fill="auto"/>
            <w:vAlign w:val="bottom"/>
          </w:tcPr>
          <w:p w14:paraId="392C3B27" w14:textId="77777777" w:rsidR="00980E5F" w:rsidRDefault="00980E5F">
            <w:pPr>
              <w:rPr>
                <w:rFonts w:ascii="宋体"/>
                <w:vanish/>
              </w:rPr>
            </w:pPr>
          </w:p>
        </w:tc>
      </w:tr>
      <w:tr w:rsidR="00980E5F" w14:paraId="392C3B3B" w14:textId="77777777">
        <w:trPr>
          <w:jc w:val="center"/>
          <w:hidden/>
        </w:trPr>
        <w:tc>
          <w:tcPr>
            <w:tcW w:w="0" w:type="auto"/>
            <w:gridSpan w:val="3"/>
            <w:shd w:val="clear" w:color="auto" w:fill="auto"/>
            <w:vAlign w:val="bottom"/>
          </w:tcPr>
          <w:p w14:paraId="392C3B29" w14:textId="77777777" w:rsidR="00980E5F" w:rsidRDefault="00980E5F">
            <w:pPr>
              <w:rPr>
                <w:rFonts w:ascii="宋体"/>
                <w:vanish/>
              </w:rPr>
            </w:pPr>
          </w:p>
        </w:tc>
        <w:tc>
          <w:tcPr>
            <w:tcW w:w="0" w:type="auto"/>
            <w:gridSpan w:val="3"/>
            <w:shd w:val="clear" w:color="auto" w:fill="auto"/>
            <w:vAlign w:val="bottom"/>
          </w:tcPr>
          <w:p w14:paraId="392C3B2A" w14:textId="77777777" w:rsidR="00980E5F" w:rsidRDefault="00980E5F">
            <w:pPr>
              <w:rPr>
                <w:rFonts w:ascii="宋体"/>
                <w:vanish/>
              </w:rPr>
            </w:pPr>
          </w:p>
        </w:tc>
        <w:tc>
          <w:tcPr>
            <w:tcW w:w="0" w:type="auto"/>
            <w:gridSpan w:val="3"/>
            <w:shd w:val="clear" w:color="auto" w:fill="auto"/>
            <w:vAlign w:val="bottom"/>
          </w:tcPr>
          <w:p w14:paraId="392C3B2B" w14:textId="77777777" w:rsidR="00980E5F" w:rsidRDefault="00980E5F">
            <w:pPr>
              <w:rPr>
                <w:rFonts w:ascii="宋体"/>
                <w:vanish/>
              </w:rPr>
            </w:pPr>
          </w:p>
        </w:tc>
        <w:tc>
          <w:tcPr>
            <w:tcW w:w="0" w:type="auto"/>
            <w:gridSpan w:val="3"/>
            <w:shd w:val="clear" w:color="auto" w:fill="auto"/>
            <w:vAlign w:val="bottom"/>
          </w:tcPr>
          <w:p w14:paraId="392C3B2C" w14:textId="77777777" w:rsidR="00980E5F" w:rsidRDefault="00980E5F">
            <w:pPr>
              <w:rPr>
                <w:rFonts w:ascii="宋体"/>
                <w:vanish/>
              </w:rPr>
            </w:pPr>
          </w:p>
        </w:tc>
        <w:tc>
          <w:tcPr>
            <w:tcW w:w="0" w:type="auto"/>
            <w:gridSpan w:val="3"/>
            <w:shd w:val="clear" w:color="auto" w:fill="auto"/>
            <w:vAlign w:val="bottom"/>
          </w:tcPr>
          <w:p w14:paraId="392C3B2D" w14:textId="77777777" w:rsidR="00980E5F" w:rsidRDefault="00980E5F">
            <w:pPr>
              <w:rPr>
                <w:rFonts w:ascii="宋体"/>
                <w:vanish/>
              </w:rPr>
            </w:pPr>
          </w:p>
        </w:tc>
        <w:tc>
          <w:tcPr>
            <w:tcW w:w="0" w:type="auto"/>
            <w:gridSpan w:val="3"/>
            <w:shd w:val="clear" w:color="auto" w:fill="auto"/>
            <w:vAlign w:val="bottom"/>
          </w:tcPr>
          <w:p w14:paraId="392C3B2E" w14:textId="77777777" w:rsidR="00980E5F" w:rsidRDefault="00980E5F">
            <w:pPr>
              <w:rPr>
                <w:rFonts w:ascii="宋体"/>
                <w:vanish/>
              </w:rPr>
            </w:pPr>
          </w:p>
        </w:tc>
        <w:tc>
          <w:tcPr>
            <w:tcW w:w="0" w:type="auto"/>
            <w:gridSpan w:val="3"/>
            <w:shd w:val="clear" w:color="auto" w:fill="auto"/>
            <w:vAlign w:val="bottom"/>
          </w:tcPr>
          <w:p w14:paraId="392C3B2F" w14:textId="77777777" w:rsidR="00980E5F" w:rsidRDefault="00980E5F">
            <w:pPr>
              <w:rPr>
                <w:rFonts w:ascii="宋体"/>
                <w:vanish/>
              </w:rPr>
            </w:pPr>
          </w:p>
        </w:tc>
        <w:tc>
          <w:tcPr>
            <w:tcW w:w="0" w:type="auto"/>
            <w:gridSpan w:val="3"/>
            <w:shd w:val="clear" w:color="auto" w:fill="auto"/>
            <w:vAlign w:val="bottom"/>
          </w:tcPr>
          <w:p w14:paraId="392C3B30" w14:textId="77777777" w:rsidR="00980E5F" w:rsidRDefault="00980E5F">
            <w:pPr>
              <w:rPr>
                <w:rFonts w:ascii="宋体"/>
                <w:vanish/>
              </w:rPr>
            </w:pPr>
          </w:p>
        </w:tc>
        <w:tc>
          <w:tcPr>
            <w:tcW w:w="0" w:type="auto"/>
            <w:gridSpan w:val="3"/>
            <w:shd w:val="clear" w:color="auto" w:fill="auto"/>
            <w:vAlign w:val="bottom"/>
          </w:tcPr>
          <w:p w14:paraId="392C3B31" w14:textId="77777777" w:rsidR="00980E5F" w:rsidRDefault="00980E5F">
            <w:pPr>
              <w:rPr>
                <w:rFonts w:ascii="宋体"/>
                <w:vanish/>
              </w:rPr>
            </w:pPr>
          </w:p>
        </w:tc>
        <w:tc>
          <w:tcPr>
            <w:tcW w:w="0" w:type="auto"/>
            <w:gridSpan w:val="3"/>
            <w:shd w:val="clear" w:color="auto" w:fill="auto"/>
            <w:vAlign w:val="bottom"/>
          </w:tcPr>
          <w:p w14:paraId="392C3B32" w14:textId="77777777" w:rsidR="00980E5F" w:rsidRDefault="00980E5F">
            <w:pPr>
              <w:rPr>
                <w:rFonts w:ascii="宋体"/>
                <w:vanish/>
              </w:rPr>
            </w:pPr>
          </w:p>
        </w:tc>
        <w:tc>
          <w:tcPr>
            <w:tcW w:w="0" w:type="auto"/>
            <w:gridSpan w:val="3"/>
            <w:shd w:val="clear" w:color="auto" w:fill="auto"/>
            <w:vAlign w:val="bottom"/>
          </w:tcPr>
          <w:p w14:paraId="392C3B33" w14:textId="77777777" w:rsidR="00980E5F" w:rsidRDefault="00980E5F">
            <w:pPr>
              <w:rPr>
                <w:rFonts w:ascii="宋体"/>
                <w:vanish/>
              </w:rPr>
            </w:pPr>
          </w:p>
        </w:tc>
        <w:tc>
          <w:tcPr>
            <w:tcW w:w="0" w:type="auto"/>
            <w:gridSpan w:val="3"/>
            <w:shd w:val="clear" w:color="auto" w:fill="auto"/>
            <w:vAlign w:val="bottom"/>
          </w:tcPr>
          <w:p w14:paraId="392C3B34" w14:textId="77777777" w:rsidR="00980E5F" w:rsidRDefault="00980E5F">
            <w:pPr>
              <w:rPr>
                <w:rFonts w:ascii="宋体"/>
                <w:vanish/>
              </w:rPr>
            </w:pPr>
          </w:p>
        </w:tc>
        <w:tc>
          <w:tcPr>
            <w:tcW w:w="0" w:type="auto"/>
            <w:gridSpan w:val="3"/>
            <w:shd w:val="clear" w:color="auto" w:fill="auto"/>
            <w:vAlign w:val="bottom"/>
          </w:tcPr>
          <w:p w14:paraId="392C3B35" w14:textId="77777777" w:rsidR="00980E5F" w:rsidRDefault="00980E5F">
            <w:pPr>
              <w:rPr>
                <w:rFonts w:ascii="宋体"/>
                <w:vanish/>
              </w:rPr>
            </w:pPr>
          </w:p>
        </w:tc>
        <w:tc>
          <w:tcPr>
            <w:tcW w:w="0" w:type="auto"/>
            <w:gridSpan w:val="3"/>
            <w:shd w:val="clear" w:color="auto" w:fill="auto"/>
            <w:vAlign w:val="bottom"/>
          </w:tcPr>
          <w:p w14:paraId="392C3B36" w14:textId="77777777" w:rsidR="00980E5F" w:rsidRDefault="00980E5F">
            <w:pPr>
              <w:rPr>
                <w:rFonts w:ascii="宋体"/>
                <w:vanish/>
              </w:rPr>
            </w:pPr>
          </w:p>
        </w:tc>
        <w:tc>
          <w:tcPr>
            <w:tcW w:w="0" w:type="auto"/>
            <w:gridSpan w:val="3"/>
            <w:shd w:val="clear" w:color="auto" w:fill="auto"/>
            <w:vAlign w:val="bottom"/>
          </w:tcPr>
          <w:p w14:paraId="392C3B37" w14:textId="77777777" w:rsidR="00980E5F" w:rsidRDefault="00980E5F">
            <w:pPr>
              <w:rPr>
                <w:rFonts w:ascii="宋体"/>
                <w:vanish/>
              </w:rPr>
            </w:pPr>
          </w:p>
        </w:tc>
        <w:tc>
          <w:tcPr>
            <w:tcW w:w="0" w:type="auto"/>
            <w:gridSpan w:val="3"/>
            <w:shd w:val="clear" w:color="auto" w:fill="auto"/>
            <w:vAlign w:val="bottom"/>
          </w:tcPr>
          <w:p w14:paraId="392C3B38" w14:textId="77777777" w:rsidR="00980E5F" w:rsidRDefault="00980E5F">
            <w:pPr>
              <w:rPr>
                <w:rFonts w:ascii="宋体"/>
                <w:vanish/>
              </w:rPr>
            </w:pPr>
          </w:p>
        </w:tc>
        <w:tc>
          <w:tcPr>
            <w:tcW w:w="0" w:type="auto"/>
            <w:gridSpan w:val="3"/>
            <w:shd w:val="clear" w:color="auto" w:fill="auto"/>
            <w:vAlign w:val="bottom"/>
          </w:tcPr>
          <w:p w14:paraId="392C3B39" w14:textId="77777777" w:rsidR="00980E5F" w:rsidRDefault="00980E5F">
            <w:pPr>
              <w:rPr>
                <w:rFonts w:ascii="宋体"/>
                <w:vanish/>
              </w:rPr>
            </w:pPr>
          </w:p>
        </w:tc>
        <w:tc>
          <w:tcPr>
            <w:tcW w:w="0" w:type="auto"/>
            <w:gridSpan w:val="3"/>
            <w:shd w:val="clear" w:color="auto" w:fill="auto"/>
            <w:vAlign w:val="bottom"/>
          </w:tcPr>
          <w:p w14:paraId="392C3B3A" w14:textId="77777777" w:rsidR="00980E5F" w:rsidRDefault="00980E5F">
            <w:pPr>
              <w:rPr>
                <w:rFonts w:ascii="宋体"/>
                <w:vanish/>
              </w:rPr>
            </w:pPr>
          </w:p>
        </w:tc>
      </w:tr>
      <w:tr w:rsidR="00980E5F" w14:paraId="392C3B4E" w14:textId="77777777">
        <w:trPr>
          <w:jc w:val="center"/>
          <w:hidden/>
        </w:trPr>
        <w:tc>
          <w:tcPr>
            <w:tcW w:w="0" w:type="auto"/>
            <w:gridSpan w:val="3"/>
            <w:shd w:val="clear" w:color="auto" w:fill="auto"/>
            <w:vAlign w:val="bottom"/>
          </w:tcPr>
          <w:p w14:paraId="392C3B3C" w14:textId="77777777" w:rsidR="00980E5F" w:rsidRDefault="00980E5F">
            <w:pPr>
              <w:rPr>
                <w:rFonts w:ascii="宋体"/>
                <w:vanish/>
              </w:rPr>
            </w:pPr>
          </w:p>
        </w:tc>
        <w:tc>
          <w:tcPr>
            <w:tcW w:w="0" w:type="auto"/>
            <w:gridSpan w:val="3"/>
            <w:shd w:val="clear" w:color="auto" w:fill="auto"/>
            <w:vAlign w:val="bottom"/>
          </w:tcPr>
          <w:p w14:paraId="392C3B3D" w14:textId="77777777" w:rsidR="00980E5F" w:rsidRDefault="00980E5F">
            <w:pPr>
              <w:rPr>
                <w:rFonts w:ascii="宋体"/>
                <w:vanish/>
              </w:rPr>
            </w:pPr>
          </w:p>
        </w:tc>
        <w:tc>
          <w:tcPr>
            <w:tcW w:w="0" w:type="auto"/>
            <w:gridSpan w:val="3"/>
            <w:shd w:val="clear" w:color="auto" w:fill="auto"/>
            <w:vAlign w:val="bottom"/>
          </w:tcPr>
          <w:p w14:paraId="392C3B3E" w14:textId="77777777" w:rsidR="00980E5F" w:rsidRDefault="00980E5F">
            <w:pPr>
              <w:rPr>
                <w:rFonts w:ascii="宋体"/>
                <w:vanish/>
              </w:rPr>
            </w:pPr>
          </w:p>
        </w:tc>
        <w:tc>
          <w:tcPr>
            <w:tcW w:w="0" w:type="auto"/>
            <w:gridSpan w:val="3"/>
            <w:shd w:val="clear" w:color="auto" w:fill="auto"/>
            <w:vAlign w:val="bottom"/>
          </w:tcPr>
          <w:p w14:paraId="392C3B3F" w14:textId="77777777" w:rsidR="00980E5F" w:rsidRDefault="00980E5F">
            <w:pPr>
              <w:rPr>
                <w:rFonts w:ascii="宋体"/>
                <w:vanish/>
              </w:rPr>
            </w:pPr>
          </w:p>
        </w:tc>
        <w:tc>
          <w:tcPr>
            <w:tcW w:w="0" w:type="auto"/>
            <w:gridSpan w:val="3"/>
            <w:shd w:val="clear" w:color="auto" w:fill="auto"/>
            <w:vAlign w:val="bottom"/>
          </w:tcPr>
          <w:p w14:paraId="392C3B40" w14:textId="77777777" w:rsidR="00980E5F" w:rsidRDefault="00980E5F">
            <w:pPr>
              <w:rPr>
                <w:rFonts w:ascii="宋体"/>
                <w:vanish/>
              </w:rPr>
            </w:pPr>
          </w:p>
        </w:tc>
        <w:tc>
          <w:tcPr>
            <w:tcW w:w="0" w:type="auto"/>
            <w:gridSpan w:val="3"/>
            <w:shd w:val="clear" w:color="auto" w:fill="auto"/>
            <w:vAlign w:val="bottom"/>
          </w:tcPr>
          <w:p w14:paraId="392C3B41" w14:textId="77777777" w:rsidR="00980E5F" w:rsidRDefault="00980E5F">
            <w:pPr>
              <w:rPr>
                <w:rFonts w:ascii="宋体"/>
                <w:vanish/>
              </w:rPr>
            </w:pPr>
          </w:p>
        </w:tc>
        <w:tc>
          <w:tcPr>
            <w:tcW w:w="0" w:type="auto"/>
            <w:gridSpan w:val="3"/>
            <w:shd w:val="clear" w:color="auto" w:fill="auto"/>
            <w:vAlign w:val="bottom"/>
          </w:tcPr>
          <w:p w14:paraId="392C3B42" w14:textId="77777777" w:rsidR="00980E5F" w:rsidRDefault="00980E5F">
            <w:pPr>
              <w:rPr>
                <w:rFonts w:ascii="宋体"/>
                <w:vanish/>
              </w:rPr>
            </w:pPr>
          </w:p>
        </w:tc>
        <w:tc>
          <w:tcPr>
            <w:tcW w:w="0" w:type="auto"/>
            <w:gridSpan w:val="3"/>
            <w:shd w:val="clear" w:color="auto" w:fill="auto"/>
            <w:vAlign w:val="bottom"/>
          </w:tcPr>
          <w:p w14:paraId="392C3B43" w14:textId="77777777" w:rsidR="00980E5F" w:rsidRDefault="00980E5F">
            <w:pPr>
              <w:rPr>
                <w:rFonts w:ascii="宋体"/>
                <w:vanish/>
              </w:rPr>
            </w:pPr>
          </w:p>
        </w:tc>
        <w:tc>
          <w:tcPr>
            <w:tcW w:w="0" w:type="auto"/>
            <w:gridSpan w:val="3"/>
            <w:shd w:val="clear" w:color="auto" w:fill="auto"/>
            <w:vAlign w:val="bottom"/>
          </w:tcPr>
          <w:p w14:paraId="392C3B44" w14:textId="77777777" w:rsidR="00980E5F" w:rsidRDefault="00980E5F">
            <w:pPr>
              <w:rPr>
                <w:rFonts w:ascii="宋体"/>
                <w:vanish/>
              </w:rPr>
            </w:pPr>
          </w:p>
        </w:tc>
        <w:tc>
          <w:tcPr>
            <w:tcW w:w="0" w:type="auto"/>
            <w:gridSpan w:val="3"/>
            <w:shd w:val="clear" w:color="auto" w:fill="auto"/>
            <w:vAlign w:val="bottom"/>
          </w:tcPr>
          <w:p w14:paraId="392C3B45" w14:textId="77777777" w:rsidR="00980E5F" w:rsidRDefault="00980E5F">
            <w:pPr>
              <w:rPr>
                <w:rFonts w:ascii="宋体"/>
                <w:vanish/>
              </w:rPr>
            </w:pPr>
          </w:p>
        </w:tc>
        <w:tc>
          <w:tcPr>
            <w:tcW w:w="0" w:type="auto"/>
            <w:gridSpan w:val="3"/>
            <w:shd w:val="clear" w:color="auto" w:fill="auto"/>
            <w:vAlign w:val="bottom"/>
          </w:tcPr>
          <w:p w14:paraId="392C3B46" w14:textId="77777777" w:rsidR="00980E5F" w:rsidRDefault="00980E5F">
            <w:pPr>
              <w:rPr>
                <w:rFonts w:ascii="宋体"/>
                <w:vanish/>
              </w:rPr>
            </w:pPr>
          </w:p>
        </w:tc>
        <w:tc>
          <w:tcPr>
            <w:tcW w:w="0" w:type="auto"/>
            <w:gridSpan w:val="3"/>
            <w:shd w:val="clear" w:color="auto" w:fill="auto"/>
            <w:vAlign w:val="bottom"/>
          </w:tcPr>
          <w:p w14:paraId="392C3B47" w14:textId="77777777" w:rsidR="00980E5F" w:rsidRDefault="00980E5F">
            <w:pPr>
              <w:rPr>
                <w:rFonts w:ascii="宋体"/>
                <w:vanish/>
              </w:rPr>
            </w:pPr>
          </w:p>
        </w:tc>
        <w:tc>
          <w:tcPr>
            <w:tcW w:w="0" w:type="auto"/>
            <w:gridSpan w:val="3"/>
            <w:shd w:val="clear" w:color="auto" w:fill="auto"/>
            <w:vAlign w:val="bottom"/>
          </w:tcPr>
          <w:p w14:paraId="392C3B48" w14:textId="77777777" w:rsidR="00980E5F" w:rsidRDefault="00980E5F">
            <w:pPr>
              <w:rPr>
                <w:rFonts w:ascii="宋体"/>
                <w:vanish/>
              </w:rPr>
            </w:pPr>
          </w:p>
        </w:tc>
        <w:tc>
          <w:tcPr>
            <w:tcW w:w="0" w:type="auto"/>
            <w:gridSpan w:val="3"/>
            <w:shd w:val="clear" w:color="auto" w:fill="auto"/>
            <w:vAlign w:val="bottom"/>
          </w:tcPr>
          <w:p w14:paraId="392C3B49" w14:textId="77777777" w:rsidR="00980E5F" w:rsidRDefault="00980E5F">
            <w:pPr>
              <w:rPr>
                <w:rFonts w:ascii="宋体"/>
                <w:vanish/>
              </w:rPr>
            </w:pPr>
          </w:p>
        </w:tc>
        <w:tc>
          <w:tcPr>
            <w:tcW w:w="0" w:type="auto"/>
            <w:gridSpan w:val="3"/>
            <w:shd w:val="clear" w:color="auto" w:fill="auto"/>
            <w:vAlign w:val="bottom"/>
          </w:tcPr>
          <w:p w14:paraId="392C3B4A" w14:textId="77777777" w:rsidR="00980E5F" w:rsidRDefault="00980E5F">
            <w:pPr>
              <w:rPr>
                <w:rFonts w:ascii="宋体"/>
                <w:vanish/>
              </w:rPr>
            </w:pPr>
          </w:p>
        </w:tc>
        <w:tc>
          <w:tcPr>
            <w:tcW w:w="0" w:type="auto"/>
            <w:gridSpan w:val="3"/>
            <w:shd w:val="clear" w:color="auto" w:fill="auto"/>
            <w:vAlign w:val="bottom"/>
          </w:tcPr>
          <w:p w14:paraId="392C3B4B" w14:textId="77777777" w:rsidR="00980E5F" w:rsidRDefault="00980E5F">
            <w:pPr>
              <w:rPr>
                <w:rFonts w:ascii="宋体"/>
                <w:vanish/>
              </w:rPr>
            </w:pPr>
          </w:p>
        </w:tc>
        <w:tc>
          <w:tcPr>
            <w:tcW w:w="0" w:type="auto"/>
            <w:gridSpan w:val="3"/>
            <w:shd w:val="clear" w:color="auto" w:fill="auto"/>
            <w:vAlign w:val="bottom"/>
          </w:tcPr>
          <w:p w14:paraId="392C3B4C" w14:textId="77777777" w:rsidR="00980E5F" w:rsidRDefault="00980E5F">
            <w:pPr>
              <w:rPr>
                <w:rFonts w:ascii="宋体"/>
                <w:vanish/>
              </w:rPr>
            </w:pPr>
          </w:p>
        </w:tc>
        <w:tc>
          <w:tcPr>
            <w:tcW w:w="0" w:type="auto"/>
            <w:gridSpan w:val="3"/>
            <w:shd w:val="clear" w:color="auto" w:fill="auto"/>
            <w:vAlign w:val="bottom"/>
          </w:tcPr>
          <w:p w14:paraId="392C3B4D" w14:textId="77777777" w:rsidR="00980E5F" w:rsidRDefault="00980E5F">
            <w:pPr>
              <w:rPr>
                <w:rFonts w:ascii="宋体"/>
                <w:vanish/>
              </w:rPr>
            </w:pPr>
          </w:p>
        </w:tc>
      </w:tr>
      <w:tr w:rsidR="00980E5F" w14:paraId="392C3B61" w14:textId="77777777">
        <w:trPr>
          <w:jc w:val="center"/>
          <w:hidden/>
        </w:trPr>
        <w:tc>
          <w:tcPr>
            <w:tcW w:w="0" w:type="auto"/>
            <w:gridSpan w:val="3"/>
            <w:shd w:val="clear" w:color="auto" w:fill="auto"/>
            <w:vAlign w:val="bottom"/>
          </w:tcPr>
          <w:p w14:paraId="392C3B4F" w14:textId="77777777" w:rsidR="00980E5F" w:rsidRDefault="00980E5F">
            <w:pPr>
              <w:rPr>
                <w:rFonts w:ascii="宋体"/>
                <w:vanish/>
              </w:rPr>
            </w:pPr>
          </w:p>
        </w:tc>
        <w:tc>
          <w:tcPr>
            <w:tcW w:w="0" w:type="auto"/>
            <w:gridSpan w:val="3"/>
            <w:shd w:val="clear" w:color="auto" w:fill="auto"/>
            <w:vAlign w:val="bottom"/>
          </w:tcPr>
          <w:p w14:paraId="392C3B50" w14:textId="77777777" w:rsidR="00980E5F" w:rsidRDefault="00980E5F">
            <w:pPr>
              <w:rPr>
                <w:rFonts w:ascii="宋体"/>
                <w:vanish/>
              </w:rPr>
            </w:pPr>
          </w:p>
        </w:tc>
        <w:tc>
          <w:tcPr>
            <w:tcW w:w="0" w:type="auto"/>
            <w:gridSpan w:val="3"/>
            <w:shd w:val="clear" w:color="auto" w:fill="auto"/>
            <w:vAlign w:val="bottom"/>
          </w:tcPr>
          <w:p w14:paraId="392C3B51" w14:textId="77777777" w:rsidR="00980E5F" w:rsidRDefault="00980E5F">
            <w:pPr>
              <w:rPr>
                <w:rFonts w:ascii="宋体"/>
                <w:vanish/>
              </w:rPr>
            </w:pPr>
          </w:p>
        </w:tc>
        <w:tc>
          <w:tcPr>
            <w:tcW w:w="0" w:type="auto"/>
            <w:gridSpan w:val="3"/>
            <w:shd w:val="clear" w:color="auto" w:fill="auto"/>
            <w:vAlign w:val="bottom"/>
          </w:tcPr>
          <w:p w14:paraId="392C3B52" w14:textId="77777777" w:rsidR="00980E5F" w:rsidRDefault="00980E5F">
            <w:pPr>
              <w:rPr>
                <w:rFonts w:ascii="宋体"/>
                <w:vanish/>
              </w:rPr>
            </w:pPr>
          </w:p>
        </w:tc>
        <w:tc>
          <w:tcPr>
            <w:tcW w:w="0" w:type="auto"/>
            <w:gridSpan w:val="3"/>
            <w:shd w:val="clear" w:color="auto" w:fill="auto"/>
            <w:vAlign w:val="bottom"/>
          </w:tcPr>
          <w:p w14:paraId="392C3B53" w14:textId="77777777" w:rsidR="00980E5F" w:rsidRDefault="00980E5F">
            <w:pPr>
              <w:rPr>
                <w:rFonts w:ascii="宋体"/>
                <w:vanish/>
              </w:rPr>
            </w:pPr>
          </w:p>
        </w:tc>
        <w:tc>
          <w:tcPr>
            <w:tcW w:w="0" w:type="auto"/>
            <w:gridSpan w:val="3"/>
            <w:shd w:val="clear" w:color="auto" w:fill="auto"/>
            <w:vAlign w:val="bottom"/>
          </w:tcPr>
          <w:p w14:paraId="392C3B54" w14:textId="77777777" w:rsidR="00980E5F" w:rsidRDefault="00980E5F">
            <w:pPr>
              <w:rPr>
                <w:rFonts w:ascii="宋体"/>
                <w:vanish/>
              </w:rPr>
            </w:pPr>
          </w:p>
        </w:tc>
        <w:tc>
          <w:tcPr>
            <w:tcW w:w="0" w:type="auto"/>
            <w:gridSpan w:val="3"/>
            <w:shd w:val="clear" w:color="auto" w:fill="auto"/>
            <w:vAlign w:val="bottom"/>
          </w:tcPr>
          <w:p w14:paraId="392C3B55" w14:textId="77777777" w:rsidR="00980E5F" w:rsidRDefault="00980E5F">
            <w:pPr>
              <w:rPr>
                <w:rFonts w:ascii="宋体"/>
                <w:vanish/>
              </w:rPr>
            </w:pPr>
          </w:p>
        </w:tc>
        <w:tc>
          <w:tcPr>
            <w:tcW w:w="0" w:type="auto"/>
            <w:gridSpan w:val="3"/>
            <w:shd w:val="clear" w:color="auto" w:fill="auto"/>
            <w:vAlign w:val="bottom"/>
          </w:tcPr>
          <w:p w14:paraId="392C3B56" w14:textId="77777777" w:rsidR="00980E5F" w:rsidRDefault="00980E5F">
            <w:pPr>
              <w:rPr>
                <w:rFonts w:ascii="宋体"/>
                <w:vanish/>
              </w:rPr>
            </w:pPr>
          </w:p>
        </w:tc>
        <w:tc>
          <w:tcPr>
            <w:tcW w:w="0" w:type="auto"/>
            <w:gridSpan w:val="3"/>
            <w:shd w:val="clear" w:color="auto" w:fill="auto"/>
            <w:vAlign w:val="bottom"/>
          </w:tcPr>
          <w:p w14:paraId="392C3B57" w14:textId="77777777" w:rsidR="00980E5F" w:rsidRDefault="00980E5F">
            <w:pPr>
              <w:rPr>
                <w:rFonts w:ascii="宋体"/>
                <w:vanish/>
              </w:rPr>
            </w:pPr>
          </w:p>
        </w:tc>
        <w:tc>
          <w:tcPr>
            <w:tcW w:w="0" w:type="auto"/>
            <w:gridSpan w:val="3"/>
            <w:shd w:val="clear" w:color="auto" w:fill="auto"/>
            <w:vAlign w:val="bottom"/>
          </w:tcPr>
          <w:p w14:paraId="392C3B58" w14:textId="77777777" w:rsidR="00980E5F" w:rsidRDefault="00980E5F">
            <w:pPr>
              <w:rPr>
                <w:rFonts w:ascii="宋体"/>
                <w:vanish/>
              </w:rPr>
            </w:pPr>
          </w:p>
        </w:tc>
        <w:tc>
          <w:tcPr>
            <w:tcW w:w="0" w:type="auto"/>
            <w:gridSpan w:val="3"/>
            <w:shd w:val="clear" w:color="auto" w:fill="auto"/>
            <w:vAlign w:val="bottom"/>
          </w:tcPr>
          <w:p w14:paraId="392C3B59" w14:textId="77777777" w:rsidR="00980E5F" w:rsidRDefault="00980E5F">
            <w:pPr>
              <w:rPr>
                <w:rFonts w:ascii="宋体"/>
                <w:vanish/>
              </w:rPr>
            </w:pPr>
          </w:p>
        </w:tc>
        <w:tc>
          <w:tcPr>
            <w:tcW w:w="0" w:type="auto"/>
            <w:gridSpan w:val="3"/>
            <w:shd w:val="clear" w:color="auto" w:fill="auto"/>
            <w:vAlign w:val="bottom"/>
          </w:tcPr>
          <w:p w14:paraId="392C3B5A" w14:textId="77777777" w:rsidR="00980E5F" w:rsidRDefault="00980E5F">
            <w:pPr>
              <w:rPr>
                <w:rFonts w:ascii="宋体"/>
                <w:vanish/>
              </w:rPr>
            </w:pPr>
          </w:p>
        </w:tc>
        <w:tc>
          <w:tcPr>
            <w:tcW w:w="0" w:type="auto"/>
            <w:gridSpan w:val="3"/>
            <w:shd w:val="clear" w:color="auto" w:fill="auto"/>
            <w:vAlign w:val="bottom"/>
          </w:tcPr>
          <w:p w14:paraId="392C3B5B" w14:textId="77777777" w:rsidR="00980E5F" w:rsidRDefault="00980E5F">
            <w:pPr>
              <w:rPr>
                <w:rFonts w:ascii="宋体"/>
                <w:vanish/>
              </w:rPr>
            </w:pPr>
          </w:p>
        </w:tc>
        <w:tc>
          <w:tcPr>
            <w:tcW w:w="0" w:type="auto"/>
            <w:gridSpan w:val="3"/>
            <w:shd w:val="clear" w:color="auto" w:fill="auto"/>
            <w:vAlign w:val="bottom"/>
          </w:tcPr>
          <w:p w14:paraId="392C3B5C" w14:textId="77777777" w:rsidR="00980E5F" w:rsidRDefault="00980E5F">
            <w:pPr>
              <w:rPr>
                <w:rFonts w:ascii="宋体"/>
                <w:vanish/>
              </w:rPr>
            </w:pPr>
          </w:p>
        </w:tc>
        <w:tc>
          <w:tcPr>
            <w:tcW w:w="0" w:type="auto"/>
            <w:gridSpan w:val="3"/>
            <w:shd w:val="clear" w:color="auto" w:fill="auto"/>
            <w:vAlign w:val="bottom"/>
          </w:tcPr>
          <w:p w14:paraId="392C3B5D" w14:textId="77777777" w:rsidR="00980E5F" w:rsidRDefault="00980E5F">
            <w:pPr>
              <w:rPr>
                <w:rFonts w:ascii="宋体"/>
                <w:vanish/>
              </w:rPr>
            </w:pPr>
          </w:p>
        </w:tc>
        <w:tc>
          <w:tcPr>
            <w:tcW w:w="0" w:type="auto"/>
            <w:gridSpan w:val="3"/>
            <w:shd w:val="clear" w:color="auto" w:fill="auto"/>
            <w:vAlign w:val="bottom"/>
          </w:tcPr>
          <w:p w14:paraId="392C3B5E" w14:textId="77777777" w:rsidR="00980E5F" w:rsidRDefault="00980E5F">
            <w:pPr>
              <w:rPr>
                <w:rFonts w:ascii="宋体"/>
                <w:vanish/>
              </w:rPr>
            </w:pPr>
          </w:p>
        </w:tc>
        <w:tc>
          <w:tcPr>
            <w:tcW w:w="0" w:type="auto"/>
            <w:gridSpan w:val="3"/>
            <w:shd w:val="clear" w:color="auto" w:fill="auto"/>
            <w:vAlign w:val="bottom"/>
          </w:tcPr>
          <w:p w14:paraId="392C3B5F" w14:textId="77777777" w:rsidR="00980E5F" w:rsidRDefault="00980E5F">
            <w:pPr>
              <w:rPr>
                <w:rFonts w:ascii="宋体"/>
                <w:vanish/>
              </w:rPr>
            </w:pPr>
          </w:p>
        </w:tc>
        <w:tc>
          <w:tcPr>
            <w:tcW w:w="0" w:type="auto"/>
            <w:gridSpan w:val="3"/>
            <w:shd w:val="clear" w:color="auto" w:fill="auto"/>
            <w:vAlign w:val="bottom"/>
          </w:tcPr>
          <w:p w14:paraId="392C3B60" w14:textId="77777777" w:rsidR="00980E5F" w:rsidRDefault="00980E5F">
            <w:pPr>
              <w:rPr>
                <w:rFonts w:ascii="宋体"/>
                <w:vanish/>
              </w:rPr>
            </w:pPr>
          </w:p>
        </w:tc>
      </w:tr>
      <w:tr w:rsidR="00980E5F" w14:paraId="392C3B74" w14:textId="77777777">
        <w:trPr>
          <w:jc w:val="center"/>
          <w:hidden/>
        </w:trPr>
        <w:tc>
          <w:tcPr>
            <w:tcW w:w="0" w:type="auto"/>
            <w:gridSpan w:val="3"/>
            <w:shd w:val="clear" w:color="auto" w:fill="auto"/>
            <w:vAlign w:val="bottom"/>
          </w:tcPr>
          <w:p w14:paraId="392C3B62" w14:textId="77777777" w:rsidR="00980E5F" w:rsidRDefault="00980E5F">
            <w:pPr>
              <w:rPr>
                <w:rFonts w:ascii="宋体"/>
                <w:vanish/>
              </w:rPr>
            </w:pPr>
          </w:p>
        </w:tc>
        <w:tc>
          <w:tcPr>
            <w:tcW w:w="0" w:type="auto"/>
            <w:gridSpan w:val="3"/>
            <w:shd w:val="clear" w:color="auto" w:fill="auto"/>
            <w:vAlign w:val="bottom"/>
          </w:tcPr>
          <w:p w14:paraId="392C3B63" w14:textId="77777777" w:rsidR="00980E5F" w:rsidRDefault="00980E5F">
            <w:pPr>
              <w:rPr>
                <w:rFonts w:ascii="宋体"/>
                <w:vanish/>
              </w:rPr>
            </w:pPr>
          </w:p>
        </w:tc>
        <w:tc>
          <w:tcPr>
            <w:tcW w:w="0" w:type="auto"/>
            <w:gridSpan w:val="3"/>
            <w:shd w:val="clear" w:color="auto" w:fill="auto"/>
            <w:vAlign w:val="bottom"/>
          </w:tcPr>
          <w:p w14:paraId="392C3B64" w14:textId="77777777" w:rsidR="00980E5F" w:rsidRDefault="00980E5F">
            <w:pPr>
              <w:rPr>
                <w:rFonts w:ascii="宋体"/>
                <w:vanish/>
              </w:rPr>
            </w:pPr>
          </w:p>
        </w:tc>
        <w:tc>
          <w:tcPr>
            <w:tcW w:w="0" w:type="auto"/>
            <w:gridSpan w:val="3"/>
            <w:shd w:val="clear" w:color="auto" w:fill="auto"/>
            <w:vAlign w:val="bottom"/>
          </w:tcPr>
          <w:p w14:paraId="392C3B65" w14:textId="77777777" w:rsidR="00980E5F" w:rsidRDefault="00980E5F">
            <w:pPr>
              <w:rPr>
                <w:rFonts w:ascii="宋体"/>
                <w:vanish/>
              </w:rPr>
            </w:pPr>
          </w:p>
        </w:tc>
        <w:tc>
          <w:tcPr>
            <w:tcW w:w="0" w:type="auto"/>
            <w:gridSpan w:val="3"/>
            <w:shd w:val="clear" w:color="auto" w:fill="auto"/>
            <w:vAlign w:val="bottom"/>
          </w:tcPr>
          <w:p w14:paraId="392C3B66" w14:textId="77777777" w:rsidR="00980E5F" w:rsidRDefault="00980E5F">
            <w:pPr>
              <w:rPr>
                <w:rFonts w:ascii="宋体"/>
                <w:vanish/>
              </w:rPr>
            </w:pPr>
          </w:p>
        </w:tc>
        <w:tc>
          <w:tcPr>
            <w:tcW w:w="0" w:type="auto"/>
            <w:gridSpan w:val="3"/>
            <w:shd w:val="clear" w:color="auto" w:fill="auto"/>
            <w:vAlign w:val="bottom"/>
          </w:tcPr>
          <w:p w14:paraId="392C3B67" w14:textId="77777777" w:rsidR="00980E5F" w:rsidRDefault="00980E5F">
            <w:pPr>
              <w:rPr>
                <w:rFonts w:ascii="宋体"/>
                <w:vanish/>
              </w:rPr>
            </w:pPr>
          </w:p>
        </w:tc>
        <w:tc>
          <w:tcPr>
            <w:tcW w:w="0" w:type="auto"/>
            <w:gridSpan w:val="3"/>
            <w:shd w:val="clear" w:color="auto" w:fill="auto"/>
            <w:vAlign w:val="bottom"/>
          </w:tcPr>
          <w:p w14:paraId="392C3B68" w14:textId="77777777" w:rsidR="00980E5F" w:rsidRDefault="00980E5F">
            <w:pPr>
              <w:rPr>
                <w:rFonts w:ascii="宋体"/>
                <w:vanish/>
              </w:rPr>
            </w:pPr>
          </w:p>
        </w:tc>
        <w:tc>
          <w:tcPr>
            <w:tcW w:w="0" w:type="auto"/>
            <w:gridSpan w:val="3"/>
            <w:shd w:val="clear" w:color="auto" w:fill="auto"/>
            <w:vAlign w:val="bottom"/>
          </w:tcPr>
          <w:p w14:paraId="392C3B69" w14:textId="77777777" w:rsidR="00980E5F" w:rsidRDefault="00980E5F">
            <w:pPr>
              <w:rPr>
                <w:rFonts w:ascii="宋体"/>
                <w:vanish/>
              </w:rPr>
            </w:pPr>
          </w:p>
        </w:tc>
        <w:tc>
          <w:tcPr>
            <w:tcW w:w="0" w:type="auto"/>
            <w:gridSpan w:val="3"/>
            <w:shd w:val="clear" w:color="auto" w:fill="auto"/>
            <w:vAlign w:val="bottom"/>
          </w:tcPr>
          <w:p w14:paraId="392C3B6A" w14:textId="77777777" w:rsidR="00980E5F" w:rsidRDefault="00980E5F">
            <w:pPr>
              <w:rPr>
                <w:rFonts w:ascii="宋体"/>
                <w:vanish/>
              </w:rPr>
            </w:pPr>
          </w:p>
        </w:tc>
        <w:tc>
          <w:tcPr>
            <w:tcW w:w="0" w:type="auto"/>
            <w:gridSpan w:val="3"/>
            <w:shd w:val="clear" w:color="auto" w:fill="auto"/>
            <w:vAlign w:val="bottom"/>
          </w:tcPr>
          <w:p w14:paraId="392C3B6B" w14:textId="77777777" w:rsidR="00980E5F" w:rsidRDefault="00980E5F">
            <w:pPr>
              <w:rPr>
                <w:rFonts w:ascii="宋体"/>
                <w:vanish/>
              </w:rPr>
            </w:pPr>
          </w:p>
        </w:tc>
        <w:tc>
          <w:tcPr>
            <w:tcW w:w="0" w:type="auto"/>
            <w:gridSpan w:val="3"/>
            <w:shd w:val="clear" w:color="auto" w:fill="auto"/>
            <w:vAlign w:val="bottom"/>
          </w:tcPr>
          <w:p w14:paraId="392C3B6C" w14:textId="77777777" w:rsidR="00980E5F" w:rsidRDefault="00980E5F">
            <w:pPr>
              <w:rPr>
                <w:rFonts w:ascii="宋体"/>
                <w:vanish/>
              </w:rPr>
            </w:pPr>
          </w:p>
        </w:tc>
        <w:tc>
          <w:tcPr>
            <w:tcW w:w="0" w:type="auto"/>
            <w:gridSpan w:val="3"/>
            <w:shd w:val="clear" w:color="auto" w:fill="auto"/>
            <w:vAlign w:val="bottom"/>
          </w:tcPr>
          <w:p w14:paraId="392C3B6D" w14:textId="77777777" w:rsidR="00980E5F" w:rsidRDefault="00980E5F">
            <w:pPr>
              <w:rPr>
                <w:rFonts w:ascii="宋体"/>
                <w:vanish/>
              </w:rPr>
            </w:pPr>
          </w:p>
        </w:tc>
        <w:tc>
          <w:tcPr>
            <w:tcW w:w="0" w:type="auto"/>
            <w:gridSpan w:val="3"/>
            <w:shd w:val="clear" w:color="auto" w:fill="auto"/>
            <w:vAlign w:val="bottom"/>
          </w:tcPr>
          <w:p w14:paraId="392C3B6E" w14:textId="77777777" w:rsidR="00980E5F" w:rsidRDefault="00980E5F">
            <w:pPr>
              <w:rPr>
                <w:rFonts w:ascii="宋体"/>
                <w:vanish/>
              </w:rPr>
            </w:pPr>
          </w:p>
        </w:tc>
        <w:tc>
          <w:tcPr>
            <w:tcW w:w="0" w:type="auto"/>
            <w:gridSpan w:val="3"/>
            <w:shd w:val="clear" w:color="auto" w:fill="auto"/>
            <w:vAlign w:val="bottom"/>
          </w:tcPr>
          <w:p w14:paraId="392C3B6F" w14:textId="77777777" w:rsidR="00980E5F" w:rsidRDefault="00980E5F">
            <w:pPr>
              <w:rPr>
                <w:rFonts w:ascii="宋体"/>
                <w:vanish/>
              </w:rPr>
            </w:pPr>
          </w:p>
        </w:tc>
        <w:tc>
          <w:tcPr>
            <w:tcW w:w="0" w:type="auto"/>
            <w:gridSpan w:val="3"/>
            <w:shd w:val="clear" w:color="auto" w:fill="auto"/>
            <w:vAlign w:val="bottom"/>
          </w:tcPr>
          <w:p w14:paraId="392C3B70" w14:textId="77777777" w:rsidR="00980E5F" w:rsidRDefault="00980E5F">
            <w:pPr>
              <w:rPr>
                <w:rFonts w:ascii="宋体"/>
                <w:vanish/>
              </w:rPr>
            </w:pPr>
          </w:p>
        </w:tc>
        <w:tc>
          <w:tcPr>
            <w:tcW w:w="0" w:type="auto"/>
            <w:gridSpan w:val="3"/>
            <w:shd w:val="clear" w:color="auto" w:fill="auto"/>
            <w:vAlign w:val="bottom"/>
          </w:tcPr>
          <w:p w14:paraId="392C3B71" w14:textId="77777777" w:rsidR="00980E5F" w:rsidRDefault="00980E5F">
            <w:pPr>
              <w:rPr>
                <w:rFonts w:ascii="宋体"/>
                <w:vanish/>
              </w:rPr>
            </w:pPr>
          </w:p>
        </w:tc>
        <w:tc>
          <w:tcPr>
            <w:tcW w:w="0" w:type="auto"/>
            <w:gridSpan w:val="3"/>
            <w:shd w:val="clear" w:color="auto" w:fill="auto"/>
            <w:vAlign w:val="bottom"/>
          </w:tcPr>
          <w:p w14:paraId="392C3B72" w14:textId="77777777" w:rsidR="00980E5F" w:rsidRDefault="00980E5F">
            <w:pPr>
              <w:rPr>
                <w:rFonts w:ascii="宋体"/>
                <w:vanish/>
              </w:rPr>
            </w:pPr>
          </w:p>
        </w:tc>
        <w:tc>
          <w:tcPr>
            <w:tcW w:w="0" w:type="auto"/>
            <w:gridSpan w:val="3"/>
            <w:shd w:val="clear" w:color="auto" w:fill="auto"/>
            <w:vAlign w:val="bottom"/>
          </w:tcPr>
          <w:p w14:paraId="392C3B73" w14:textId="77777777" w:rsidR="00980E5F" w:rsidRDefault="00980E5F">
            <w:pPr>
              <w:rPr>
                <w:rFonts w:ascii="宋体"/>
                <w:vanish/>
              </w:rPr>
            </w:pPr>
          </w:p>
        </w:tc>
      </w:tr>
      <w:tr w:rsidR="00980E5F" w14:paraId="392C3B87" w14:textId="77777777">
        <w:trPr>
          <w:trHeight w:val="220"/>
          <w:jc w:val="center"/>
        </w:trPr>
        <w:tc>
          <w:tcPr>
            <w:tcW w:w="0" w:type="auto"/>
            <w:gridSpan w:val="3"/>
            <w:shd w:val="clear" w:color="auto" w:fill="CCEEFF"/>
            <w:tcMar>
              <w:top w:w="0" w:type="dxa"/>
              <w:left w:w="20" w:type="dxa"/>
              <w:bottom w:w="0" w:type="dxa"/>
              <w:right w:w="20" w:type="dxa"/>
            </w:tcMar>
            <w:vAlign w:val="bottom"/>
          </w:tcPr>
          <w:p w14:paraId="392C3B75"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7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77"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7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79"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7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7B"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7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7D"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7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7F"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8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81"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8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83"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8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85"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3B86" w14:textId="77777777" w:rsidR="00980E5F" w:rsidRDefault="00980E5F">
            <w:pPr>
              <w:rPr>
                <w:rFonts w:ascii="宋体"/>
              </w:rPr>
            </w:pPr>
          </w:p>
        </w:tc>
      </w:tr>
      <w:tr w:rsidR="00483613" w14:paraId="392C3BA9" w14:textId="77777777">
        <w:trPr>
          <w:jc w:val="center"/>
        </w:trPr>
        <w:tc>
          <w:tcPr>
            <w:tcW w:w="0" w:type="auto"/>
            <w:gridSpan w:val="3"/>
            <w:shd w:val="clear" w:color="auto" w:fill="FFFFFF"/>
            <w:tcMar>
              <w:top w:w="40" w:type="dxa"/>
              <w:left w:w="20" w:type="dxa"/>
              <w:bottom w:w="40" w:type="dxa"/>
              <w:right w:w="20" w:type="dxa"/>
            </w:tcMar>
            <w:vAlign w:val="bottom"/>
          </w:tcPr>
          <w:p w14:paraId="392C3B88" w14:textId="77777777" w:rsidR="00980E5F" w:rsidRDefault="00483613">
            <w:pPr>
              <w:textAlignment w:val="bottom"/>
            </w:pPr>
            <w:r>
              <w:rPr>
                <w:rFonts w:ascii="Arial" w:eastAsia="宋体" w:hAnsi="Arial" w:cs="Arial"/>
                <w:b/>
                <w:bCs/>
                <w:color w:val="000000"/>
                <w:sz w:val="15"/>
                <w:szCs w:val="15"/>
              </w:rPr>
              <w:t>Balance at December 31, 2021</w:t>
            </w:r>
          </w:p>
        </w:tc>
        <w:tc>
          <w:tcPr>
            <w:tcW w:w="0" w:type="auto"/>
            <w:shd w:val="clear" w:color="auto" w:fill="FFFFFF"/>
            <w:tcMar>
              <w:top w:w="40" w:type="dxa"/>
              <w:left w:w="20" w:type="dxa"/>
              <w:bottom w:w="40" w:type="dxa"/>
              <w:right w:w="0" w:type="dxa"/>
            </w:tcMar>
            <w:vAlign w:val="bottom"/>
          </w:tcPr>
          <w:p w14:paraId="392C3B8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8A" w14:textId="77777777" w:rsidR="00980E5F" w:rsidRDefault="00483613">
            <w:pPr>
              <w:jc w:val="right"/>
              <w:textAlignment w:val="bottom"/>
            </w:pPr>
            <w:r>
              <w:rPr>
                <w:rFonts w:ascii="Arial" w:eastAsia="宋体" w:hAnsi="Arial" w:cs="Arial"/>
                <w:color w:val="000000"/>
                <w:sz w:val="15"/>
                <w:szCs w:val="15"/>
              </w:rPr>
              <w:t>1,976 </w:t>
            </w:r>
          </w:p>
        </w:tc>
        <w:tc>
          <w:tcPr>
            <w:tcW w:w="0" w:type="auto"/>
            <w:shd w:val="clear" w:color="auto" w:fill="FFFFFF"/>
            <w:tcMar>
              <w:top w:w="40" w:type="dxa"/>
              <w:left w:w="0" w:type="dxa"/>
              <w:bottom w:w="40" w:type="dxa"/>
              <w:right w:w="20" w:type="dxa"/>
            </w:tcMar>
            <w:vAlign w:val="bottom"/>
          </w:tcPr>
          <w:p w14:paraId="392C3B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B8D" w14:textId="77777777" w:rsidR="00980E5F" w:rsidRDefault="00483613">
            <w:pPr>
              <w:jc w:val="right"/>
              <w:textAlignment w:val="bottom"/>
            </w:pPr>
            <w:r>
              <w:rPr>
                <w:rFonts w:ascii="Arial" w:eastAsia="宋体" w:hAnsi="Arial" w:cs="Arial"/>
                <w:color w:val="000000"/>
                <w:sz w:val="15"/>
                <w:szCs w:val="15"/>
              </w:rPr>
              <w:t>503,880 </w:t>
            </w:r>
          </w:p>
        </w:tc>
        <w:tc>
          <w:tcPr>
            <w:tcW w:w="0" w:type="auto"/>
            <w:shd w:val="clear" w:color="auto" w:fill="FFFFFF"/>
            <w:tcMar>
              <w:top w:w="40" w:type="dxa"/>
              <w:left w:w="0" w:type="dxa"/>
              <w:bottom w:w="40" w:type="dxa"/>
              <w:right w:w="20" w:type="dxa"/>
            </w:tcMar>
            <w:vAlign w:val="bottom"/>
          </w:tcPr>
          <w:p w14:paraId="392C3B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8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B9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91" w14:textId="77777777" w:rsidR="00980E5F" w:rsidRDefault="00483613">
            <w:pPr>
              <w:jc w:val="right"/>
              <w:textAlignment w:val="bottom"/>
            </w:pPr>
            <w:r>
              <w:rPr>
                <w:rFonts w:ascii="Arial" w:eastAsia="宋体" w:hAnsi="Arial" w:cs="Arial"/>
                <w:color w:val="000000"/>
                <w:sz w:val="15"/>
                <w:szCs w:val="15"/>
              </w:rPr>
              <w:t>504 </w:t>
            </w:r>
          </w:p>
        </w:tc>
        <w:tc>
          <w:tcPr>
            <w:tcW w:w="0" w:type="auto"/>
            <w:shd w:val="clear" w:color="auto" w:fill="FFFFFF"/>
            <w:tcMar>
              <w:top w:w="40" w:type="dxa"/>
              <w:left w:w="0" w:type="dxa"/>
              <w:bottom w:w="40" w:type="dxa"/>
              <w:right w:w="20" w:type="dxa"/>
            </w:tcMar>
            <w:vAlign w:val="bottom"/>
          </w:tcPr>
          <w:p w14:paraId="392C3B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9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B94"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95" w14:textId="77777777" w:rsidR="00980E5F" w:rsidRDefault="00483613">
            <w:pPr>
              <w:jc w:val="right"/>
              <w:textAlignment w:val="bottom"/>
            </w:pPr>
            <w:r>
              <w:rPr>
                <w:rFonts w:ascii="Arial" w:eastAsia="宋体" w:hAnsi="Arial" w:cs="Arial"/>
                <w:color w:val="000000"/>
                <w:sz w:val="15"/>
                <w:szCs w:val="15"/>
              </w:rPr>
              <w:t>10,787 </w:t>
            </w:r>
          </w:p>
        </w:tc>
        <w:tc>
          <w:tcPr>
            <w:tcW w:w="0" w:type="auto"/>
            <w:shd w:val="clear" w:color="auto" w:fill="FFFFFF"/>
            <w:tcMar>
              <w:top w:w="40" w:type="dxa"/>
              <w:left w:w="0" w:type="dxa"/>
              <w:bottom w:w="40" w:type="dxa"/>
              <w:right w:w="20" w:type="dxa"/>
            </w:tcMar>
            <w:vAlign w:val="bottom"/>
          </w:tcPr>
          <w:p w14:paraId="392C3B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97"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B9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99" w14:textId="77777777" w:rsidR="00980E5F" w:rsidRDefault="00483613">
            <w:pPr>
              <w:jc w:val="right"/>
              <w:textAlignment w:val="bottom"/>
            </w:pPr>
            <w:r>
              <w:rPr>
                <w:rFonts w:ascii="Arial" w:eastAsia="宋体" w:hAnsi="Arial" w:cs="Arial"/>
                <w:color w:val="000000"/>
                <w:sz w:val="15"/>
                <w:szCs w:val="15"/>
              </w:rPr>
              <w:t>25,238 </w:t>
            </w:r>
          </w:p>
        </w:tc>
        <w:tc>
          <w:tcPr>
            <w:tcW w:w="0" w:type="auto"/>
            <w:shd w:val="clear" w:color="auto" w:fill="FFFFFF"/>
            <w:tcMar>
              <w:top w:w="40" w:type="dxa"/>
              <w:left w:w="0" w:type="dxa"/>
              <w:bottom w:w="40" w:type="dxa"/>
              <w:right w:w="20" w:type="dxa"/>
            </w:tcMar>
            <w:vAlign w:val="bottom"/>
          </w:tcPr>
          <w:p w14:paraId="392C3B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9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B9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9D" w14:textId="77777777" w:rsidR="00980E5F" w:rsidRDefault="00483613">
            <w:pPr>
              <w:jc w:val="right"/>
              <w:textAlignment w:val="bottom"/>
            </w:pPr>
            <w:r>
              <w:rPr>
                <w:rFonts w:ascii="Arial" w:eastAsia="宋体" w:hAnsi="Arial" w:cs="Arial"/>
                <w:color w:val="000000"/>
                <w:sz w:val="15"/>
                <w:szCs w:val="15"/>
              </w:rPr>
              <w:t>(1,133)</w:t>
            </w:r>
          </w:p>
        </w:tc>
        <w:tc>
          <w:tcPr>
            <w:tcW w:w="0" w:type="auto"/>
            <w:shd w:val="clear" w:color="auto" w:fill="FFFFFF"/>
            <w:tcMar>
              <w:top w:w="40" w:type="dxa"/>
              <w:left w:w="0" w:type="dxa"/>
              <w:bottom w:w="40" w:type="dxa"/>
              <w:right w:w="20" w:type="dxa"/>
            </w:tcMar>
            <w:vAlign w:val="bottom"/>
          </w:tcPr>
          <w:p w14:paraId="392C3B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9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BA0" w14:textId="77777777" w:rsidR="00980E5F" w:rsidRDefault="00483613">
            <w:pPr>
              <w:jc w:val="right"/>
              <w:textAlignment w:val="bottom"/>
            </w:pPr>
            <w:r>
              <w:rPr>
                <w:rFonts w:ascii="Arial" w:eastAsia="宋体" w:hAnsi="Arial" w:cs="Arial"/>
                <w:color w:val="000000"/>
                <w:sz w:val="15"/>
                <w:szCs w:val="15"/>
              </w:rPr>
              <w:t>137,897 </w:t>
            </w:r>
          </w:p>
        </w:tc>
        <w:tc>
          <w:tcPr>
            <w:tcW w:w="0" w:type="auto"/>
            <w:shd w:val="clear" w:color="auto" w:fill="FFFFFF"/>
            <w:tcMar>
              <w:top w:w="40" w:type="dxa"/>
              <w:left w:w="0" w:type="dxa"/>
              <w:bottom w:w="40" w:type="dxa"/>
              <w:right w:w="20" w:type="dxa"/>
            </w:tcMar>
            <w:vAlign w:val="bottom"/>
          </w:tcPr>
          <w:p w14:paraId="392C3BA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A2"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3BA3" w14:textId="77777777" w:rsidR="00980E5F" w:rsidRDefault="00483613">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392C3BA4" w14:textId="77777777" w:rsidR="00980E5F" w:rsidRDefault="00483613">
            <w:pPr>
              <w:jc w:val="right"/>
              <w:textAlignment w:val="bottom"/>
            </w:pPr>
            <w:r>
              <w:rPr>
                <w:rFonts w:ascii="Arial" w:eastAsia="宋体" w:hAnsi="Arial" w:cs="Arial"/>
                <w:color w:val="000000"/>
                <w:sz w:val="15"/>
                <w:szCs w:val="15"/>
              </w:rPr>
              <w:t>(10,009)</w:t>
            </w:r>
          </w:p>
        </w:tc>
        <w:tc>
          <w:tcPr>
            <w:tcW w:w="0" w:type="auto"/>
            <w:shd w:val="clear" w:color="auto" w:fill="FFFFFF"/>
            <w:tcMar>
              <w:top w:w="40" w:type="dxa"/>
              <w:left w:w="0" w:type="dxa"/>
              <w:bottom w:w="40" w:type="dxa"/>
              <w:right w:w="20" w:type="dxa"/>
            </w:tcMar>
            <w:vAlign w:val="bottom"/>
          </w:tcPr>
          <w:p w14:paraId="392C3B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BA7" w14:textId="77777777" w:rsidR="00980E5F" w:rsidRDefault="00483613">
            <w:pPr>
              <w:jc w:val="right"/>
              <w:textAlignment w:val="bottom"/>
            </w:pPr>
            <w:r>
              <w:rPr>
                <w:rFonts w:ascii="Arial" w:eastAsia="宋体" w:hAnsi="Arial" w:cs="Arial"/>
                <w:color w:val="000000"/>
                <w:sz w:val="15"/>
                <w:szCs w:val="15"/>
              </w:rPr>
              <w:t>27,363 </w:t>
            </w:r>
          </w:p>
        </w:tc>
        <w:tc>
          <w:tcPr>
            <w:tcW w:w="0" w:type="auto"/>
            <w:shd w:val="clear" w:color="auto" w:fill="FFFFFF"/>
            <w:tcMar>
              <w:top w:w="40" w:type="dxa"/>
              <w:left w:w="0" w:type="dxa"/>
              <w:bottom w:w="40" w:type="dxa"/>
              <w:right w:w="20" w:type="dxa"/>
            </w:tcMar>
            <w:vAlign w:val="bottom"/>
          </w:tcPr>
          <w:p w14:paraId="392C3BA8" w14:textId="77777777" w:rsidR="00980E5F" w:rsidRDefault="00980E5F">
            <w:pPr>
              <w:jc w:val="right"/>
              <w:rPr>
                <w:rFonts w:ascii="宋体"/>
              </w:rPr>
            </w:pPr>
          </w:p>
        </w:tc>
      </w:tr>
      <w:tr w:rsidR="00980E5F" w14:paraId="392C3BBE" w14:textId="77777777">
        <w:trPr>
          <w:jc w:val="center"/>
        </w:trPr>
        <w:tc>
          <w:tcPr>
            <w:tcW w:w="0" w:type="auto"/>
            <w:gridSpan w:val="3"/>
            <w:shd w:val="clear" w:color="auto" w:fill="CCEEFF"/>
            <w:tcMar>
              <w:top w:w="40" w:type="dxa"/>
              <w:left w:w="20" w:type="dxa"/>
              <w:bottom w:w="40" w:type="dxa"/>
              <w:right w:w="20" w:type="dxa"/>
            </w:tcMar>
            <w:vAlign w:val="bottom"/>
          </w:tcPr>
          <w:p w14:paraId="392C3BAA" w14:textId="77777777" w:rsidR="00980E5F" w:rsidRDefault="00483613">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vAlign w:val="bottom"/>
          </w:tcPr>
          <w:p w14:paraId="392C3BA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A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A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A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A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BB3" w14:textId="77777777" w:rsidR="00980E5F" w:rsidRDefault="00483613">
            <w:pPr>
              <w:jc w:val="right"/>
              <w:textAlignment w:val="bottom"/>
            </w:pPr>
            <w:r>
              <w:rPr>
                <w:rFonts w:ascii="Arial" w:eastAsia="宋体" w:hAnsi="Arial" w:cs="Arial"/>
                <w:color w:val="000000"/>
                <w:sz w:val="15"/>
                <w:szCs w:val="15"/>
              </w:rPr>
              <w:t>604 </w:t>
            </w:r>
          </w:p>
        </w:tc>
        <w:tc>
          <w:tcPr>
            <w:tcW w:w="0" w:type="auto"/>
            <w:shd w:val="clear" w:color="auto" w:fill="CCEEFF"/>
            <w:tcMar>
              <w:top w:w="40" w:type="dxa"/>
              <w:left w:w="0" w:type="dxa"/>
              <w:bottom w:w="40" w:type="dxa"/>
              <w:right w:w="20" w:type="dxa"/>
            </w:tcMar>
            <w:vAlign w:val="bottom"/>
          </w:tcPr>
          <w:p w14:paraId="392C3B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BB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BBC" w14:textId="77777777" w:rsidR="00980E5F" w:rsidRDefault="00483613">
            <w:pPr>
              <w:jc w:val="right"/>
              <w:textAlignment w:val="bottom"/>
            </w:pPr>
            <w:r>
              <w:rPr>
                <w:rFonts w:ascii="Arial" w:eastAsia="宋体" w:hAnsi="Arial" w:cs="Arial"/>
                <w:color w:val="000000"/>
                <w:sz w:val="15"/>
                <w:szCs w:val="15"/>
              </w:rPr>
              <w:t>604 </w:t>
            </w:r>
          </w:p>
        </w:tc>
        <w:tc>
          <w:tcPr>
            <w:tcW w:w="0" w:type="auto"/>
            <w:shd w:val="clear" w:color="auto" w:fill="CCEEFF"/>
            <w:tcMar>
              <w:top w:w="40" w:type="dxa"/>
              <w:left w:w="0" w:type="dxa"/>
              <w:bottom w:w="40" w:type="dxa"/>
              <w:right w:w="20" w:type="dxa"/>
            </w:tcMar>
            <w:vAlign w:val="bottom"/>
          </w:tcPr>
          <w:p w14:paraId="392C3BBD" w14:textId="77777777" w:rsidR="00980E5F" w:rsidRDefault="00980E5F">
            <w:pPr>
              <w:jc w:val="right"/>
              <w:rPr>
                <w:rFonts w:ascii="宋体"/>
              </w:rPr>
            </w:pPr>
          </w:p>
        </w:tc>
      </w:tr>
      <w:tr w:rsidR="00980E5F" w14:paraId="392C3BD3" w14:textId="77777777">
        <w:trPr>
          <w:jc w:val="center"/>
        </w:trPr>
        <w:tc>
          <w:tcPr>
            <w:tcW w:w="0" w:type="auto"/>
            <w:gridSpan w:val="3"/>
            <w:shd w:val="clear" w:color="auto" w:fill="FFFFFF"/>
            <w:tcMar>
              <w:top w:w="40" w:type="dxa"/>
              <w:left w:w="20" w:type="dxa"/>
              <w:bottom w:w="40" w:type="dxa"/>
              <w:right w:w="20" w:type="dxa"/>
            </w:tcMar>
            <w:vAlign w:val="bottom"/>
          </w:tcPr>
          <w:p w14:paraId="392C3BBF" w14:textId="77777777" w:rsidR="00980E5F" w:rsidRDefault="00483613">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392C3BC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BCA" w14:textId="77777777" w:rsidR="00980E5F" w:rsidRDefault="00483613">
            <w:pPr>
              <w:jc w:val="right"/>
              <w:textAlignment w:val="bottom"/>
            </w:pPr>
            <w:r>
              <w:rPr>
                <w:rFonts w:ascii="Arial" w:eastAsia="宋体" w:hAnsi="Arial" w:cs="Arial"/>
                <w:color w:val="000000"/>
                <w:sz w:val="15"/>
                <w:szCs w:val="15"/>
              </w:rPr>
              <w:t>(1,565)</w:t>
            </w:r>
          </w:p>
        </w:tc>
        <w:tc>
          <w:tcPr>
            <w:tcW w:w="0" w:type="auto"/>
            <w:shd w:val="clear" w:color="auto" w:fill="FFFFFF"/>
            <w:tcMar>
              <w:top w:w="40" w:type="dxa"/>
              <w:left w:w="0" w:type="dxa"/>
              <w:bottom w:w="40" w:type="dxa"/>
              <w:right w:w="20" w:type="dxa"/>
            </w:tcMar>
            <w:vAlign w:val="bottom"/>
          </w:tcPr>
          <w:p w14:paraId="392C3B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BC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C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BD1" w14:textId="77777777" w:rsidR="00980E5F" w:rsidRDefault="00483613">
            <w:pPr>
              <w:jc w:val="right"/>
              <w:textAlignment w:val="bottom"/>
            </w:pPr>
            <w:r>
              <w:rPr>
                <w:rFonts w:ascii="Arial" w:eastAsia="宋体" w:hAnsi="Arial" w:cs="Arial"/>
                <w:color w:val="000000"/>
                <w:sz w:val="15"/>
                <w:szCs w:val="15"/>
              </w:rPr>
              <w:t>(1,565)</w:t>
            </w:r>
          </w:p>
        </w:tc>
        <w:tc>
          <w:tcPr>
            <w:tcW w:w="0" w:type="auto"/>
            <w:shd w:val="clear" w:color="auto" w:fill="FFFFFF"/>
            <w:tcMar>
              <w:top w:w="40" w:type="dxa"/>
              <w:left w:w="0" w:type="dxa"/>
              <w:bottom w:w="40" w:type="dxa"/>
              <w:right w:w="20" w:type="dxa"/>
            </w:tcMar>
            <w:vAlign w:val="bottom"/>
          </w:tcPr>
          <w:p w14:paraId="392C3BD2" w14:textId="77777777" w:rsidR="00980E5F" w:rsidRDefault="00980E5F">
            <w:pPr>
              <w:jc w:val="right"/>
              <w:rPr>
                <w:rFonts w:ascii="宋体"/>
              </w:rPr>
            </w:pPr>
          </w:p>
        </w:tc>
      </w:tr>
      <w:tr w:rsidR="00980E5F" w14:paraId="392C3BE6" w14:textId="77777777">
        <w:trPr>
          <w:jc w:val="center"/>
          <w:hidden/>
        </w:trPr>
        <w:tc>
          <w:tcPr>
            <w:tcW w:w="0" w:type="auto"/>
            <w:gridSpan w:val="3"/>
            <w:shd w:val="clear" w:color="auto" w:fill="auto"/>
            <w:vAlign w:val="bottom"/>
          </w:tcPr>
          <w:p w14:paraId="392C3BD4" w14:textId="77777777" w:rsidR="00980E5F" w:rsidRDefault="00980E5F">
            <w:pPr>
              <w:rPr>
                <w:rFonts w:ascii="宋体"/>
                <w:vanish/>
              </w:rPr>
            </w:pPr>
          </w:p>
        </w:tc>
        <w:tc>
          <w:tcPr>
            <w:tcW w:w="0" w:type="auto"/>
            <w:gridSpan w:val="3"/>
            <w:shd w:val="clear" w:color="auto" w:fill="auto"/>
            <w:vAlign w:val="bottom"/>
          </w:tcPr>
          <w:p w14:paraId="392C3BD5" w14:textId="77777777" w:rsidR="00980E5F" w:rsidRDefault="00980E5F">
            <w:pPr>
              <w:rPr>
                <w:rFonts w:ascii="宋体"/>
                <w:vanish/>
              </w:rPr>
            </w:pPr>
          </w:p>
        </w:tc>
        <w:tc>
          <w:tcPr>
            <w:tcW w:w="0" w:type="auto"/>
            <w:gridSpan w:val="3"/>
            <w:shd w:val="clear" w:color="auto" w:fill="auto"/>
            <w:vAlign w:val="bottom"/>
          </w:tcPr>
          <w:p w14:paraId="392C3BD6" w14:textId="77777777" w:rsidR="00980E5F" w:rsidRDefault="00980E5F">
            <w:pPr>
              <w:rPr>
                <w:rFonts w:ascii="宋体"/>
                <w:vanish/>
              </w:rPr>
            </w:pPr>
          </w:p>
        </w:tc>
        <w:tc>
          <w:tcPr>
            <w:tcW w:w="0" w:type="auto"/>
            <w:gridSpan w:val="3"/>
            <w:shd w:val="clear" w:color="auto" w:fill="auto"/>
            <w:vAlign w:val="bottom"/>
          </w:tcPr>
          <w:p w14:paraId="392C3BD7" w14:textId="77777777" w:rsidR="00980E5F" w:rsidRDefault="00980E5F">
            <w:pPr>
              <w:rPr>
                <w:rFonts w:ascii="宋体"/>
                <w:vanish/>
              </w:rPr>
            </w:pPr>
          </w:p>
        </w:tc>
        <w:tc>
          <w:tcPr>
            <w:tcW w:w="0" w:type="auto"/>
            <w:gridSpan w:val="3"/>
            <w:shd w:val="clear" w:color="auto" w:fill="auto"/>
            <w:vAlign w:val="bottom"/>
          </w:tcPr>
          <w:p w14:paraId="392C3BD8" w14:textId="77777777" w:rsidR="00980E5F" w:rsidRDefault="00980E5F">
            <w:pPr>
              <w:rPr>
                <w:rFonts w:ascii="宋体"/>
                <w:vanish/>
              </w:rPr>
            </w:pPr>
          </w:p>
        </w:tc>
        <w:tc>
          <w:tcPr>
            <w:tcW w:w="0" w:type="auto"/>
            <w:gridSpan w:val="3"/>
            <w:shd w:val="clear" w:color="auto" w:fill="auto"/>
            <w:vAlign w:val="bottom"/>
          </w:tcPr>
          <w:p w14:paraId="392C3BD9" w14:textId="77777777" w:rsidR="00980E5F" w:rsidRDefault="00980E5F">
            <w:pPr>
              <w:rPr>
                <w:rFonts w:ascii="宋体"/>
                <w:vanish/>
              </w:rPr>
            </w:pPr>
          </w:p>
        </w:tc>
        <w:tc>
          <w:tcPr>
            <w:tcW w:w="0" w:type="auto"/>
            <w:gridSpan w:val="3"/>
            <w:shd w:val="clear" w:color="auto" w:fill="auto"/>
            <w:vAlign w:val="bottom"/>
          </w:tcPr>
          <w:p w14:paraId="392C3BDA" w14:textId="77777777" w:rsidR="00980E5F" w:rsidRDefault="00980E5F">
            <w:pPr>
              <w:rPr>
                <w:rFonts w:ascii="宋体"/>
                <w:vanish/>
              </w:rPr>
            </w:pPr>
          </w:p>
        </w:tc>
        <w:tc>
          <w:tcPr>
            <w:tcW w:w="0" w:type="auto"/>
            <w:gridSpan w:val="3"/>
            <w:shd w:val="clear" w:color="auto" w:fill="auto"/>
            <w:vAlign w:val="bottom"/>
          </w:tcPr>
          <w:p w14:paraId="392C3BDB" w14:textId="77777777" w:rsidR="00980E5F" w:rsidRDefault="00980E5F">
            <w:pPr>
              <w:rPr>
                <w:rFonts w:ascii="宋体"/>
                <w:vanish/>
              </w:rPr>
            </w:pPr>
          </w:p>
        </w:tc>
        <w:tc>
          <w:tcPr>
            <w:tcW w:w="0" w:type="auto"/>
            <w:gridSpan w:val="3"/>
            <w:shd w:val="clear" w:color="auto" w:fill="auto"/>
            <w:vAlign w:val="bottom"/>
          </w:tcPr>
          <w:p w14:paraId="392C3BDC" w14:textId="77777777" w:rsidR="00980E5F" w:rsidRDefault="00980E5F">
            <w:pPr>
              <w:rPr>
                <w:rFonts w:ascii="宋体"/>
                <w:vanish/>
              </w:rPr>
            </w:pPr>
          </w:p>
        </w:tc>
        <w:tc>
          <w:tcPr>
            <w:tcW w:w="0" w:type="auto"/>
            <w:gridSpan w:val="3"/>
            <w:shd w:val="clear" w:color="auto" w:fill="auto"/>
            <w:vAlign w:val="bottom"/>
          </w:tcPr>
          <w:p w14:paraId="392C3BDD" w14:textId="77777777" w:rsidR="00980E5F" w:rsidRDefault="00980E5F">
            <w:pPr>
              <w:rPr>
                <w:rFonts w:ascii="宋体"/>
                <w:vanish/>
              </w:rPr>
            </w:pPr>
          </w:p>
        </w:tc>
        <w:tc>
          <w:tcPr>
            <w:tcW w:w="0" w:type="auto"/>
            <w:gridSpan w:val="3"/>
            <w:shd w:val="clear" w:color="auto" w:fill="auto"/>
            <w:vAlign w:val="bottom"/>
          </w:tcPr>
          <w:p w14:paraId="392C3BDE" w14:textId="77777777" w:rsidR="00980E5F" w:rsidRDefault="00980E5F">
            <w:pPr>
              <w:rPr>
                <w:rFonts w:ascii="宋体"/>
                <w:vanish/>
              </w:rPr>
            </w:pPr>
          </w:p>
        </w:tc>
        <w:tc>
          <w:tcPr>
            <w:tcW w:w="0" w:type="auto"/>
            <w:gridSpan w:val="3"/>
            <w:shd w:val="clear" w:color="auto" w:fill="auto"/>
            <w:vAlign w:val="bottom"/>
          </w:tcPr>
          <w:p w14:paraId="392C3BDF" w14:textId="77777777" w:rsidR="00980E5F" w:rsidRDefault="00980E5F">
            <w:pPr>
              <w:rPr>
                <w:rFonts w:ascii="宋体"/>
                <w:vanish/>
              </w:rPr>
            </w:pPr>
          </w:p>
        </w:tc>
        <w:tc>
          <w:tcPr>
            <w:tcW w:w="0" w:type="auto"/>
            <w:gridSpan w:val="3"/>
            <w:shd w:val="clear" w:color="auto" w:fill="auto"/>
            <w:vAlign w:val="bottom"/>
          </w:tcPr>
          <w:p w14:paraId="392C3BE0" w14:textId="77777777" w:rsidR="00980E5F" w:rsidRDefault="00980E5F">
            <w:pPr>
              <w:rPr>
                <w:rFonts w:ascii="宋体"/>
                <w:vanish/>
              </w:rPr>
            </w:pPr>
          </w:p>
        </w:tc>
        <w:tc>
          <w:tcPr>
            <w:tcW w:w="0" w:type="auto"/>
            <w:gridSpan w:val="3"/>
            <w:shd w:val="clear" w:color="auto" w:fill="auto"/>
            <w:vAlign w:val="bottom"/>
          </w:tcPr>
          <w:p w14:paraId="392C3BE1" w14:textId="77777777" w:rsidR="00980E5F" w:rsidRDefault="00980E5F">
            <w:pPr>
              <w:rPr>
                <w:rFonts w:ascii="宋体"/>
                <w:vanish/>
              </w:rPr>
            </w:pPr>
          </w:p>
        </w:tc>
        <w:tc>
          <w:tcPr>
            <w:tcW w:w="0" w:type="auto"/>
            <w:gridSpan w:val="3"/>
            <w:shd w:val="clear" w:color="auto" w:fill="auto"/>
            <w:vAlign w:val="bottom"/>
          </w:tcPr>
          <w:p w14:paraId="392C3BE2" w14:textId="77777777" w:rsidR="00980E5F" w:rsidRDefault="00980E5F">
            <w:pPr>
              <w:rPr>
                <w:rFonts w:ascii="宋体"/>
                <w:vanish/>
              </w:rPr>
            </w:pPr>
          </w:p>
        </w:tc>
        <w:tc>
          <w:tcPr>
            <w:tcW w:w="0" w:type="auto"/>
            <w:gridSpan w:val="3"/>
            <w:shd w:val="clear" w:color="auto" w:fill="auto"/>
            <w:vAlign w:val="bottom"/>
          </w:tcPr>
          <w:p w14:paraId="392C3BE3" w14:textId="77777777" w:rsidR="00980E5F" w:rsidRDefault="00980E5F">
            <w:pPr>
              <w:rPr>
                <w:rFonts w:ascii="宋体"/>
                <w:vanish/>
              </w:rPr>
            </w:pPr>
          </w:p>
        </w:tc>
        <w:tc>
          <w:tcPr>
            <w:tcW w:w="0" w:type="auto"/>
            <w:gridSpan w:val="3"/>
            <w:shd w:val="clear" w:color="auto" w:fill="auto"/>
            <w:vAlign w:val="bottom"/>
          </w:tcPr>
          <w:p w14:paraId="392C3BE4" w14:textId="77777777" w:rsidR="00980E5F" w:rsidRDefault="00980E5F">
            <w:pPr>
              <w:rPr>
                <w:rFonts w:ascii="宋体"/>
                <w:vanish/>
              </w:rPr>
            </w:pPr>
          </w:p>
        </w:tc>
        <w:tc>
          <w:tcPr>
            <w:tcW w:w="0" w:type="auto"/>
            <w:gridSpan w:val="3"/>
            <w:shd w:val="clear" w:color="auto" w:fill="auto"/>
            <w:vAlign w:val="bottom"/>
          </w:tcPr>
          <w:p w14:paraId="392C3BE5" w14:textId="77777777" w:rsidR="00980E5F" w:rsidRDefault="00980E5F">
            <w:pPr>
              <w:rPr>
                <w:rFonts w:ascii="宋体"/>
                <w:vanish/>
              </w:rPr>
            </w:pPr>
          </w:p>
        </w:tc>
      </w:tr>
      <w:tr w:rsidR="00980E5F" w14:paraId="392C3BF9" w14:textId="77777777">
        <w:trPr>
          <w:jc w:val="center"/>
        </w:trPr>
        <w:tc>
          <w:tcPr>
            <w:tcW w:w="0" w:type="auto"/>
            <w:gridSpan w:val="3"/>
            <w:shd w:val="clear" w:color="auto" w:fill="CCEEFF"/>
            <w:tcMar>
              <w:top w:w="40" w:type="dxa"/>
              <w:left w:w="20" w:type="dxa"/>
              <w:bottom w:w="40" w:type="dxa"/>
              <w:right w:w="20" w:type="dxa"/>
            </w:tcMar>
            <w:vAlign w:val="bottom"/>
          </w:tcPr>
          <w:p w14:paraId="392C3BE7" w14:textId="77777777" w:rsidR="00980E5F" w:rsidRDefault="00483613">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392C3BE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E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BF8" w14:textId="77777777" w:rsidR="00980E5F" w:rsidRDefault="00980E5F">
            <w:pPr>
              <w:rPr>
                <w:rFonts w:ascii="宋体"/>
              </w:rPr>
            </w:pPr>
          </w:p>
        </w:tc>
      </w:tr>
      <w:tr w:rsidR="00980E5F" w14:paraId="392C3C0E" w14:textId="77777777">
        <w:trPr>
          <w:jc w:val="center"/>
        </w:trPr>
        <w:tc>
          <w:tcPr>
            <w:tcW w:w="0" w:type="auto"/>
            <w:gridSpan w:val="3"/>
            <w:shd w:val="clear" w:color="auto" w:fill="FFFFFF"/>
            <w:tcMar>
              <w:top w:w="40" w:type="dxa"/>
              <w:left w:w="20" w:type="dxa"/>
              <w:bottom w:w="40" w:type="dxa"/>
              <w:right w:w="20" w:type="dxa"/>
            </w:tcMar>
            <w:vAlign w:val="bottom"/>
          </w:tcPr>
          <w:p w14:paraId="392C3BFA" w14:textId="77777777" w:rsidR="00980E5F" w:rsidRDefault="00483613">
            <w:pPr>
              <w:textAlignment w:val="bottom"/>
            </w:pPr>
            <w:r>
              <w:rPr>
                <w:rFonts w:ascii="Arial" w:eastAsia="宋体" w:hAnsi="Arial" w:cs="Arial"/>
                <w:color w:val="000000"/>
                <w:sz w:val="15"/>
                <w:szCs w:val="15"/>
              </w:rPr>
              <w:t>Common stock - $0.57 per share</w:t>
            </w:r>
          </w:p>
        </w:tc>
        <w:tc>
          <w:tcPr>
            <w:tcW w:w="0" w:type="auto"/>
            <w:gridSpan w:val="3"/>
            <w:shd w:val="clear" w:color="auto" w:fill="FFFFFF"/>
            <w:tcMar>
              <w:top w:w="0" w:type="dxa"/>
              <w:left w:w="20" w:type="dxa"/>
              <w:bottom w:w="0" w:type="dxa"/>
              <w:right w:w="20" w:type="dxa"/>
            </w:tcMar>
            <w:vAlign w:val="bottom"/>
          </w:tcPr>
          <w:p w14:paraId="392C3B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F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F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BF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03" w14:textId="77777777" w:rsidR="00980E5F" w:rsidRDefault="00483613">
            <w:pPr>
              <w:jc w:val="right"/>
              <w:textAlignment w:val="bottom"/>
            </w:pPr>
            <w:r>
              <w:rPr>
                <w:rFonts w:ascii="Arial" w:eastAsia="宋体" w:hAnsi="Arial" w:cs="Arial"/>
                <w:color w:val="000000"/>
                <w:sz w:val="15"/>
                <w:szCs w:val="15"/>
              </w:rPr>
              <w:t>(209)</w:t>
            </w:r>
          </w:p>
        </w:tc>
        <w:tc>
          <w:tcPr>
            <w:tcW w:w="0" w:type="auto"/>
            <w:shd w:val="clear" w:color="auto" w:fill="FFFFFF"/>
            <w:tcMar>
              <w:top w:w="40" w:type="dxa"/>
              <w:left w:w="0" w:type="dxa"/>
              <w:bottom w:w="40" w:type="dxa"/>
              <w:right w:w="20" w:type="dxa"/>
            </w:tcMar>
            <w:vAlign w:val="bottom"/>
          </w:tcPr>
          <w:p w14:paraId="392C3C0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0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0C" w14:textId="77777777" w:rsidR="00980E5F" w:rsidRDefault="00483613">
            <w:pPr>
              <w:jc w:val="right"/>
              <w:textAlignment w:val="bottom"/>
            </w:pPr>
            <w:r>
              <w:rPr>
                <w:rFonts w:ascii="Arial" w:eastAsia="宋体" w:hAnsi="Arial" w:cs="Arial"/>
                <w:color w:val="000000"/>
                <w:sz w:val="15"/>
                <w:szCs w:val="15"/>
              </w:rPr>
              <w:t>(209)</w:t>
            </w:r>
          </w:p>
        </w:tc>
        <w:tc>
          <w:tcPr>
            <w:tcW w:w="0" w:type="auto"/>
            <w:shd w:val="clear" w:color="auto" w:fill="FFFFFF"/>
            <w:tcMar>
              <w:top w:w="40" w:type="dxa"/>
              <w:left w:w="0" w:type="dxa"/>
              <w:bottom w:w="40" w:type="dxa"/>
              <w:right w:w="20" w:type="dxa"/>
            </w:tcMar>
            <w:vAlign w:val="bottom"/>
          </w:tcPr>
          <w:p w14:paraId="392C3C0D" w14:textId="77777777" w:rsidR="00980E5F" w:rsidRDefault="00980E5F">
            <w:pPr>
              <w:jc w:val="right"/>
              <w:rPr>
                <w:rFonts w:ascii="宋体"/>
              </w:rPr>
            </w:pPr>
          </w:p>
        </w:tc>
      </w:tr>
      <w:tr w:rsidR="00980E5F" w14:paraId="392C3C23" w14:textId="77777777">
        <w:trPr>
          <w:jc w:val="center"/>
        </w:trPr>
        <w:tc>
          <w:tcPr>
            <w:tcW w:w="0" w:type="auto"/>
            <w:gridSpan w:val="3"/>
            <w:shd w:val="clear" w:color="auto" w:fill="CCEEFF"/>
            <w:tcMar>
              <w:top w:w="40" w:type="dxa"/>
              <w:left w:w="140" w:type="dxa"/>
              <w:bottom w:w="40" w:type="dxa"/>
              <w:right w:w="20" w:type="dxa"/>
            </w:tcMar>
            <w:vAlign w:val="bottom"/>
          </w:tcPr>
          <w:p w14:paraId="392C3C0F" w14:textId="77777777" w:rsidR="00980E5F" w:rsidRDefault="00483613">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392C3C1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18" w14:textId="77777777" w:rsidR="00980E5F" w:rsidRDefault="00483613">
            <w:pPr>
              <w:jc w:val="right"/>
              <w:textAlignment w:val="bottom"/>
            </w:pPr>
            <w:r>
              <w:rPr>
                <w:rFonts w:ascii="Arial" w:eastAsia="宋体" w:hAnsi="Arial" w:cs="Arial"/>
                <w:color w:val="000000"/>
                <w:sz w:val="15"/>
                <w:szCs w:val="15"/>
              </w:rPr>
              <w:t>(20)</w:t>
            </w:r>
          </w:p>
        </w:tc>
        <w:tc>
          <w:tcPr>
            <w:tcW w:w="0" w:type="auto"/>
            <w:shd w:val="clear" w:color="auto" w:fill="CCEEFF"/>
            <w:tcMar>
              <w:top w:w="40" w:type="dxa"/>
              <w:left w:w="0" w:type="dxa"/>
              <w:bottom w:w="40" w:type="dxa"/>
              <w:right w:w="20" w:type="dxa"/>
            </w:tcMar>
            <w:vAlign w:val="bottom"/>
          </w:tcPr>
          <w:p w14:paraId="392C3C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1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1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2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21" w14:textId="77777777" w:rsidR="00980E5F" w:rsidRDefault="00483613">
            <w:pPr>
              <w:jc w:val="right"/>
              <w:textAlignment w:val="bottom"/>
            </w:pPr>
            <w:r>
              <w:rPr>
                <w:rFonts w:ascii="Arial" w:eastAsia="宋体" w:hAnsi="Arial" w:cs="Arial"/>
                <w:color w:val="000000"/>
                <w:sz w:val="15"/>
                <w:szCs w:val="15"/>
              </w:rPr>
              <w:t>(20)</w:t>
            </w:r>
          </w:p>
        </w:tc>
        <w:tc>
          <w:tcPr>
            <w:tcW w:w="0" w:type="auto"/>
            <w:shd w:val="clear" w:color="auto" w:fill="CCEEFF"/>
            <w:tcMar>
              <w:top w:w="40" w:type="dxa"/>
              <w:left w:w="0" w:type="dxa"/>
              <w:bottom w:w="40" w:type="dxa"/>
              <w:right w:w="20" w:type="dxa"/>
            </w:tcMar>
            <w:vAlign w:val="bottom"/>
          </w:tcPr>
          <w:p w14:paraId="392C3C22" w14:textId="77777777" w:rsidR="00980E5F" w:rsidRDefault="00980E5F">
            <w:pPr>
              <w:jc w:val="right"/>
              <w:rPr>
                <w:rFonts w:ascii="宋体"/>
              </w:rPr>
            </w:pPr>
          </w:p>
        </w:tc>
      </w:tr>
      <w:tr w:rsidR="00980E5F" w14:paraId="392C3C36" w14:textId="77777777">
        <w:trPr>
          <w:jc w:val="center"/>
          <w:hidden/>
        </w:trPr>
        <w:tc>
          <w:tcPr>
            <w:tcW w:w="0" w:type="auto"/>
            <w:gridSpan w:val="3"/>
            <w:shd w:val="clear" w:color="auto" w:fill="auto"/>
            <w:vAlign w:val="bottom"/>
          </w:tcPr>
          <w:p w14:paraId="392C3C24" w14:textId="77777777" w:rsidR="00980E5F" w:rsidRDefault="00980E5F">
            <w:pPr>
              <w:rPr>
                <w:rFonts w:ascii="宋体"/>
                <w:vanish/>
              </w:rPr>
            </w:pPr>
          </w:p>
        </w:tc>
        <w:tc>
          <w:tcPr>
            <w:tcW w:w="0" w:type="auto"/>
            <w:gridSpan w:val="3"/>
            <w:shd w:val="clear" w:color="auto" w:fill="auto"/>
            <w:vAlign w:val="bottom"/>
          </w:tcPr>
          <w:p w14:paraId="392C3C25" w14:textId="77777777" w:rsidR="00980E5F" w:rsidRDefault="00980E5F">
            <w:pPr>
              <w:rPr>
                <w:rFonts w:ascii="宋体"/>
                <w:vanish/>
              </w:rPr>
            </w:pPr>
          </w:p>
        </w:tc>
        <w:tc>
          <w:tcPr>
            <w:tcW w:w="0" w:type="auto"/>
            <w:gridSpan w:val="3"/>
            <w:shd w:val="clear" w:color="auto" w:fill="auto"/>
            <w:vAlign w:val="bottom"/>
          </w:tcPr>
          <w:p w14:paraId="392C3C26" w14:textId="77777777" w:rsidR="00980E5F" w:rsidRDefault="00980E5F">
            <w:pPr>
              <w:rPr>
                <w:rFonts w:ascii="宋体"/>
                <w:vanish/>
              </w:rPr>
            </w:pPr>
          </w:p>
        </w:tc>
        <w:tc>
          <w:tcPr>
            <w:tcW w:w="0" w:type="auto"/>
            <w:gridSpan w:val="3"/>
            <w:shd w:val="clear" w:color="auto" w:fill="auto"/>
            <w:vAlign w:val="bottom"/>
          </w:tcPr>
          <w:p w14:paraId="392C3C27" w14:textId="77777777" w:rsidR="00980E5F" w:rsidRDefault="00980E5F">
            <w:pPr>
              <w:rPr>
                <w:rFonts w:ascii="宋体"/>
                <w:vanish/>
              </w:rPr>
            </w:pPr>
          </w:p>
        </w:tc>
        <w:tc>
          <w:tcPr>
            <w:tcW w:w="0" w:type="auto"/>
            <w:gridSpan w:val="3"/>
            <w:shd w:val="clear" w:color="auto" w:fill="auto"/>
            <w:vAlign w:val="bottom"/>
          </w:tcPr>
          <w:p w14:paraId="392C3C28" w14:textId="77777777" w:rsidR="00980E5F" w:rsidRDefault="00980E5F">
            <w:pPr>
              <w:rPr>
                <w:rFonts w:ascii="宋体"/>
                <w:vanish/>
              </w:rPr>
            </w:pPr>
          </w:p>
        </w:tc>
        <w:tc>
          <w:tcPr>
            <w:tcW w:w="0" w:type="auto"/>
            <w:gridSpan w:val="3"/>
            <w:shd w:val="clear" w:color="auto" w:fill="auto"/>
            <w:vAlign w:val="bottom"/>
          </w:tcPr>
          <w:p w14:paraId="392C3C29" w14:textId="77777777" w:rsidR="00980E5F" w:rsidRDefault="00980E5F">
            <w:pPr>
              <w:rPr>
                <w:rFonts w:ascii="宋体"/>
                <w:vanish/>
              </w:rPr>
            </w:pPr>
          </w:p>
        </w:tc>
        <w:tc>
          <w:tcPr>
            <w:tcW w:w="0" w:type="auto"/>
            <w:gridSpan w:val="3"/>
            <w:shd w:val="clear" w:color="auto" w:fill="auto"/>
            <w:vAlign w:val="bottom"/>
          </w:tcPr>
          <w:p w14:paraId="392C3C2A" w14:textId="77777777" w:rsidR="00980E5F" w:rsidRDefault="00980E5F">
            <w:pPr>
              <w:rPr>
                <w:rFonts w:ascii="宋体"/>
                <w:vanish/>
              </w:rPr>
            </w:pPr>
          </w:p>
        </w:tc>
        <w:tc>
          <w:tcPr>
            <w:tcW w:w="0" w:type="auto"/>
            <w:gridSpan w:val="3"/>
            <w:shd w:val="clear" w:color="auto" w:fill="auto"/>
            <w:vAlign w:val="bottom"/>
          </w:tcPr>
          <w:p w14:paraId="392C3C2B" w14:textId="77777777" w:rsidR="00980E5F" w:rsidRDefault="00980E5F">
            <w:pPr>
              <w:rPr>
                <w:rFonts w:ascii="宋体"/>
                <w:vanish/>
              </w:rPr>
            </w:pPr>
          </w:p>
        </w:tc>
        <w:tc>
          <w:tcPr>
            <w:tcW w:w="0" w:type="auto"/>
            <w:gridSpan w:val="3"/>
            <w:shd w:val="clear" w:color="auto" w:fill="auto"/>
            <w:vAlign w:val="bottom"/>
          </w:tcPr>
          <w:p w14:paraId="392C3C2C" w14:textId="77777777" w:rsidR="00980E5F" w:rsidRDefault="00980E5F">
            <w:pPr>
              <w:rPr>
                <w:rFonts w:ascii="宋体"/>
                <w:vanish/>
              </w:rPr>
            </w:pPr>
          </w:p>
        </w:tc>
        <w:tc>
          <w:tcPr>
            <w:tcW w:w="0" w:type="auto"/>
            <w:gridSpan w:val="3"/>
            <w:shd w:val="clear" w:color="auto" w:fill="auto"/>
            <w:vAlign w:val="bottom"/>
          </w:tcPr>
          <w:p w14:paraId="392C3C2D" w14:textId="77777777" w:rsidR="00980E5F" w:rsidRDefault="00980E5F">
            <w:pPr>
              <w:rPr>
                <w:rFonts w:ascii="宋体"/>
                <w:vanish/>
              </w:rPr>
            </w:pPr>
          </w:p>
        </w:tc>
        <w:tc>
          <w:tcPr>
            <w:tcW w:w="0" w:type="auto"/>
            <w:gridSpan w:val="3"/>
            <w:shd w:val="clear" w:color="auto" w:fill="auto"/>
            <w:vAlign w:val="bottom"/>
          </w:tcPr>
          <w:p w14:paraId="392C3C2E" w14:textId="77777777" w:rsidR="00980E5F" w:rsidRDefault="00980E5F">
            <w:pPr>
              <w:rPr>
                <w:rFonts w:ascii="宋体"/>
                <w:vanish/>
              </w:rPr>
            </w:pPr>
          </w:p>
        </w:tc>
        <w:tc>
          <w:tcPr>
            <w:tcW w:w="0" w:type="auto"/>
            <w:gridSpan w:val="3"/>
            <w:shd w:val="clear" w:color="auto" w:fill="auto"/>
            <w:vAlign w:val="bottom"/>
          </w:tcPr>
          <w:p w14:paraId="392C3C2F" w14:textId="77777777" w:rsidR="00980E5F" w:rsidRDefault="00980E5F">
            <w:pPr>
              <w:rPr>
                <w:rFonts w:ascii="宋体"/>
                <w:vanish/>
              </w:rPr>
            </w:pPr>
          </w:p>
        </w:tc>
        <w:tc>
          <w:tcPr>
            <w:tcW w:w="0" w:type="auto"/>
            <w:gridSpan w:val="3"/>
            <w:shd w:val="clear" w:color="auto" w:fill="auto"/>
            <w:vAlign w:val="bottom"/>
          </w:tcPr>
          <w:p w14:paraId="392C3C30" w14:textId="77777777" w:rsidR="00980E5F" w:rsidRDefault="00980E5F">
            <w:pPr>
              <w:rPr>
                <w:rFonts w:ascii="宋体"/>
                <w:vanish/>
              </w:rPr>
            </w:pPr>
          </w:p>
        </w:tc>
        <w:tc>
          <w:tcPr>
            <w:tcW w:w="0" w:type="auto"/>
            <w:gridSpan w:val="3"/>
            <w:shd w:val="clear" w:color="auto" w:fill="auto"/>
            <w:vAlign w:val="bottom"/>
          </w:tcPr>
          <w:p w14:paraId="392C3C31" w14:textId="77777777" w:rsidR="00980E5F" w:rsidRDefault="00980E5F">
            <w:pPr>
              <w:rPr>
                <w:rFonts w:ascii="宋体"/>
                <w:vanish/>
              </w:rPr>
            </w:pPr>
          </w:p>
        </w:tc>
        <w:tc>
          <w:tcPr>
            <w:tcW w:w="0" w:type="auto"/>
            <w:gridSpan w:val="3"/>
            <w:shd w:val="clear" w:color="auto" w:fill="auto"/>
            <w:vAlign w:val="bottom"/>
          </w:tcPr>
          <w:p w14:paraId="392C3C32" w14:textId="77777777" w:rsidR="00980E5F" w:rsidRDefault="00980E5F">
            <w:pPr>
              <w:rPr>
                <w:rFonts w:ascii="宋体"/>
                <w:vanish/>
              </w:rPr>
            </w:pPr>
          </w:p>
        </w:tc>
        <w:tc>
          <w:tcPr>
            <w:tcW w:w="0" w:type="auto"/>
            <w:gridSpan w:val="3"/>
            <w:shd w:val="clear" w:color="auto" w:fill="auto"/>
            <w:vAlign w:val="bottom"/>
          </w:tcPr>
          <w:p w14:paraId="392C3C33" w14:textId="77777777" w:rsidR="00980E5F" w:rsidRDefault="00980E5F">
            <w:pPr>
              <w:rPr>
                <w:rFonts w:ascii="宋体"/>
                <w:vanish/>
              </w:rPr>
            </w:pPr>
          </w:p>
        </w:tc>
        <w:tc>
          <w:tcPr>
            <w:tcW w:w="0" w:type="auto"/>
            <w:gridSpan w:val="3"/>
            <w:shd w:val="clear" w:color="auto" w:fill="auto"/>
            <w:vAlign w:val="bottom"/>
          </w:tcPr>
          <w:p w14:paraId="392C3C34" w14:textId="77777777" w:rsidR="00980E5F" w:rsidRDefault="00980E5F">
            <w:pPr>
              <w:rPr>
                <w:rFonts w:ascii="宋体"/>
                <w:vanish/>
              </w:rPr>
            </w:pPr>
          </w:p>
        </w:tc>
        <w:tc>
          <w:tcPr>
            <w:tcW w:w="0" w:type="auto"/>
            <w:gridSpan w:val="3"/>
            <w:shd w:val="clear" w:color="auto" w:fill="auto"/>
            <w:vAlign w:val="bottom"/>
          </w:tcPr>
          <w:p w14:paraId="392C3C35" w14:textId="77777777" w:rsidR="00980E5F" w:rsidRDefault="00980E5F">
            <w:pPr>
              <w:rPr>
                <w:rFonts w:ascii="宋体"/>
                <w:vanish/>
              </w:rPr>
            </w:pPr>
          </w:p>
        </w:tc>
      </w:tr>
      <w:tr w:rsidR="00980E5F" w14:paraId="392C3C4D" w14:textId="77777777">
        <w:trPr>
          <w:jc w:val="center"/>
        </w:trPr>
        <w:tc>
          <w:tcPr>
            <w:tcW w:w="0" w:type="auto"/>
            <w:gridSpan w:val="3"/>
            <w:shd w:val="clear" w:color="auto" w:fill="FFFFFF"/>
            <w:tcMar>
              <w:top w:w="40" w:type="dxa"/>
              <w:left w:w="20" w:type="dxa"/>
              <w:bottom w:w="40" w:type="dxa"/>
              <w:right w:w="20" w:type="dxa"/>
            </w:tcMar>
            <w:vAlign w:val="bottom"/>
          </w:tcPr>
          <w:p w14:paraId="392C3C37" w14:textId="77777777" w:rsidR="00980E5F" w:rsidRDefault="00483613">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392C3C3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3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3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3E" w14:textId="77777777" w:rsidR="00980E5F" w:rsidRDefault="00483613">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392C3C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4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4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4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45" w14:textId="77777777" w:rsidR="00980E5F" w:rsidRDefault="00483613">
            <w:pPr>
              <w:jc w:val="right"/>
              <w:textAlignment w:val="bottom"/>
            </w:pPr>
            <w:r>
              <w:rPr>
                <w:rFonts w:ascii="Arial" w:eastAsia="宋体" w:hAnsi="Arial" w:cs="Arial"/>
                <w:color w:val="000000"/>
                <w:sz w:val="15"/>
                <w:szCs w:val="15"/>
              </w:rPr>
              <w:t>(1,132)</w:t>
            </w:r>
          </w:p>
        </w:tc>
        <w:tc>
          <w:tcPr>
            <w:tcW w:w="0" w:type="auto"/>
            <w:shd w:val="clear" w:color="auto" w:fill="FFFFFF"/>
            <w:tcMar>
              <w:top w:w="40" w:type="dxa"/>
              <w:left w:w="0" w:type="dxa"/>
              <w:bottom w:w="40" w:type="dxa"/>
              <w:right w:w="20" w:type="dxa"/>
            </w:tcMar>
            <w:vAlign w:val="bottom"/>
          </w:tcPr>
          <w:p w14:paraId="392C3C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4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48" w14:textId="77777777" w:rsidR="00980E5F" w:rsidRDefault="00483613">
            <w:pPr>
              <w:jc w:val="right"/>
              <w:textAlignment w:val="bottom"/>
            </w:pPr>
            <w:r>
              <w:rPr>
                <w:rFonts w:ascii="Arial" w:eastAsia="宋体" w:hAnsi="Arial" w:cs="Arial"/>
                <w:color w:val="000000"/>
                <w:sz w:val="15"/>
                <w:szCs w:val="15"/>
              </w:rPr>
              <w:t>77 </w:t>
            </w:r>
          </w:p>
        </w:tc>
        <w:tc>
          <w:tcPr>
            <w:tcW w:w="0" w:type="auto"/>
            <w:shd w:val="clear" w:color="auto" w:fill="FFFFFF"/>
            <w:tcMar>
              <w:top w:w="40" w:type="dxa"/>
              <w:left w:w="0" w:type="dxa"/>
              <w:bottom w:w="40" w:type="dxa"/>
              <w:right w:w="20" w:type="dxa"/>
            </w:tcMar>
            <w:vAlign w:val="bottom"/>
          </w:tcPr>
          <w:p w14:paraId="392C3C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4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4B" w14:textId="77777777" w:rsidR="00980E5F" w:rsidRDefault="00483613">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392C3C4C" w14:textId="77777777" w:rsidR="00980E5F" w:rsidRDefault="00980E5F">
            <w:pPr>
              <w:jc w:val="right"/>
              <w:rPr>
                <w:rFonts w:ascii="宋体"/>
              </w:rPr>
            </w:pPr>
          </w:p>
        </w:tc>
      </w:tr>
      <w:tr w:rsidR="00980E5F" w14:paraId="392C3C64" w14:textId="77777777">
        <w:trPr>
          <w:jc w:val="center"/>
        </w:trPr>
        <w:tc>
          <w:tcPr>
            <w:tcW w:w="0" w:type="auto"/>
            <w:gridSpan w:val="3"/>
            <w:shd w:val="clear" w:color="auto" w:fill="CCEEFF"/>
            <w:tcMar>
              <w:top w:w="40" w:type="dxa"/>
              <w:left w:w="20" w:type="dxa"/>
              <w:bottom w:w="40" w:type="dxa"/>
              <w:right w:w="20" w:type="dxa"/>
            </w:tcMar>
            <w:vAlign w:val="bottom"/>
          </w:tcPr>
          <w:p w14:paraId="392C3C4E" w14:textId="77777777" w:rsidR="00980E5F" w:rsidRDefault="00483613">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392C3C4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55" w14:textId="77777777" w:rsidR="00980E5F" w:rsidRDefault="00483613">
            <w:pPr>
              <w:jc w:val="right"/>
              <w:textAlignment w:val="bottom"/>
            </w:pPr>
            <w:r>
              <w:rPr>
                <w:rFonts w:ascii="Arial" w:eastAsia="宋体" w:hAnsi="Arial" w:cs="Arial"/>
                <w:color w:val="000000"/>
                <w:sz w:val="15"/>
                <w:szCs w:val="15"/>
              </w:rPr>
              <w:t>(14)</w:t>
            </w:r>
          </w:p>
        </w:tc>
        <w:tc>
          <w:tcPr>
            <w:tcW w:w="0" w:type="auto"/>
            <w:shd w:val="clear" w:color="auto" w:fill="CCEEFF"/>
            <w:tcMar>
              <w:top w:w="40" w:type="dxa"/>
              <w:left w:w="0" w:type="dxa"/>
              <w:bottom w:w="40" w:type="dxa"/>
              <w:right w:w="20" w:type="dxa"/>
            </w:tcMar>
            <w:vAlign w:val="bottom"/>
          </w:tcPr>
          <w:p w14:paraId="392C3C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5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58" w14:textId="77777777" w:rsidR="00980E5F" w:rsidRDefault="00483613">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392C3C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5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5D"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C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5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6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6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62" w14:textId="77777777" w:rsidR="00980E5F" w:rsidRDefault="00483613">
            <w:pPr>
              <w:jc w:val="right"/>
              <w:textAlignment w:val="bottom"/>
            </w:pPr>
            <w:r>
              <w:rPr>
                <w:rFonts w:ascii="Arial" w:eastAsia="宋体" w:hAnsi="Arial" w:cs="Arial"/>
                <w:color w:val="000000"/>
                <w:sz w:val="15"/>
                <w:szCs w:val="15"/>
              </w:rPr>
              <w:t>(15)</w:t>
            </w:r>
          </w:p>
        </w:tc>
        <w:tc>
          <w:tcPr>
            <w:tcW w:w="0" w:type="auto"/>
            <w:shd w:val="clear" w:color="auto" w:fill="CCEEFF"/>
            <w:tcMar>
              <w:top w:w="40" w:type="dxa"/>
              <w:left w:w="0" w:type="dxa"/>
              <w:bottom w:w="40" w:type="dxa"/>
              <w:right w:w="20" w:type="dxa"/>
            </w:tcMar>
            <w:vAlign w:val="bottom"/>
          </w:tcPr>
          <w:p w14:paraId="392C3C63" w14:textId="77777777" w:rsidR="00980E5F" w:rsidRDefault="00980E5F">
            <w:pPr>
              <w:jc w:val="right"/>
              <w:rPr>
                <w:rFonts w:ascii="宋体"/>
              </w:rPr>
            </w:pPr>
          </w:p>
        </w:tc>
      </w:tr>
      <w:tr w:rsidR="00483613" w14:paraId="392C3C87" w14:textId="77777777">
        <w:trPr>
          <w:jc w:val="center"/>
        </w:trPr>
        <w:tc>
          <w:tcPr>
            <w:tcW w:w="0" w:type="auto"/>
            <w:gridSpan w:val="3"/>
            <w:shd w:val="clear" w:color="auto" w:fill="FFFFFF"/>
            <w:tcMar>
              <w:top w:w="40" w:type="dxa"/>
              <w:left w:w="20" w:type="dxa"/>
              <w:bottom w:w="40" w:type="dxa"/>
              <w:right w:w="20" w:type="dxa"/>
            </w:tcMar>
            <w:vAlign w:val="bottom"/>
          </w:tcPr>
          <w:p w14:paraId="392C3C65" w14:textId="77777777" w:rsidR="00980E5F" w:rsidRDefault="00483613">
            <w:pPr>
              <w:textAlignment w:val="bottom"/>
            </w:pPr>
            <w:r>
              <w:rPr>
                <w:rFonts w:ascii="Arial" w:eastAsia="宋体" w:hAnsi="Arial" w:cs="Arial"/>
                <w:b/>
                <w:bCs/>
                <w:color w:val="000000"/>
                <w:sz w:val="15"/>
                <w:szCs w:val="15"/>
              </w:rPr>
              <w:t>Balance at March 31, 2022</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3C66"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67" w14:textId="77777777" w:rsidR="00980E5F" w:rsidRDefault="00483613">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6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C6A" w14:textId="77777777" w:rsidR="00980E5F" w:rsidRDefault="00483613">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6C"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6D"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6E" w14:textId="77777777" w:rsidR="00980E5F" w:rsidRDefault="00483613">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70"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7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72" w14:textId="77777777" w:rsidR="00980E5F" w:rsidRDefault="00483613">
            <w:pPr>
              <w:jc w:val="right"/>
              <w:textAlignment w:val="bottom"/>
            </w:pPr>
            <w:r>
              <w:rPr>
                <w:rFonts w:ascii="Arial" w:eastAsia="宋体" w:hAnsi="Arial" w:cs="Arial"/>
                <w:color w:val="000000"/>
                <w:sz w:val="15"/>
                <w:szCs w:val="15"/>
              </w:rPr>
              <w:t>10,762 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7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74"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75"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76" w14:textId="77777777" w:rsidR="00980E5F" w:rsidRDefault="00483613">
            <w:pPr>
              <w:jc w:val="right"/>
              <w:textAlignment w:val="bottom"/>
            </w:pPr>
            <w:r>
              <w:rPr>
                <w:rFonts w:ascii="Arial" w:eastAsia="宋体" w:hAnsi="Arial" w:cs="Arial"/>
                <w:color w:val="000000"/>
                <w:sz w:val="15"/>
                <w:szCs w:val="15"/>
              </w:rPr>
              <w:t>25,612 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78"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79"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7A" w14:textId="77777777" w:rsidR="00980E5F" w:rsidRDefault="00483613">
            <w:pPr>
              <w:jc w:val="right"/>
              <w:textAlignment w:val="bottom"/>
            </w:pPr>
            <w:r>
              <w:rPr>
                <w:rFonts w:ascii="Arial" w:eastAsia="宋体" w:hAnsi="Arial" w:cs="Arial"/>
                <w:color w:val="000000"/>
                <w:sz w:val="15"/>
                <w:szCs w:val="15"/>
              </w:rPr>
              <w:t>(2,698)</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7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C7D" w14:textId="77777777" w:rsidR="00980E5F" w:rsidRDefault="00483613">
            <w:pPr>
              <w:jc w:val="right"/>
              <w:textAlignment w:val="bottom"/>
            </w:pPr>
            <w:r>
              <w:rPr>
                <w:rFonts w:ascii="Arial" w:eastAsia="宋体" w:hAnsi="Arial" w:cs="Arial"/>
                <w:color w:val="000000"/>
                <w:sz w:val="15"/>
                <w:szCs w:val="15"/>
              </w:rPr>
              <w:t>136,765 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7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8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81" w14:textId="77777777" w:rsidR="00980E5F" w:rsidRDefault="00483613">
            <w:pPr>
              <w:jc w:val="right"/>
              <w:textAlignment w:val="bottom"/>
            </w:pPr>
            <w:r>
              <w:rPr>
                <w:rFonts w:ascii="Arial" w:eastAsia="宋体" w:hAnsi="Arial" w:cs="Arial"/>
                <w:color w:val="000000"/>
                <w:sz w:val="15"/>
                <w:szCs w:val="15"/>
              </w:rPr>
              <w:t>(9,932)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8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C8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C85" w14:textId="77777777" w:rsidR="00980E5F" w:rsidRDefault="00483613">
            <w:pPr>
              <w:jc w:val="right"/>
              <w:textAlignment w:val="bottom"/>
            </w:pPr>
            <w:r>
              <w:rPr>
                <w:rFonts w:ascii="Arial" w:eastAsia="宋体" w:hAnsi="Arial" w:cs="Arial"/>
                <w:color w:val="000000"/>
                <w:sz w:val="15"/>
                <w:szCs w:val="15"/>
              </w:rPr>
              <w:t>26,224 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C86" w14:textId="77777777" w:rsidR="00980E5F" w:rsidRDefault="00980E5F">
            <w:pPr>
              <w:jc w:val="right"/>
              <w:rPr>
                <w:rFonts w:ascii="宋体"/>
              </w:rPr>
            </w:pPr>
          </w:p>
        </w:tc>
      </w:tr>
      <w:tr w:rsidR="00980E5F" w14:paraId="392C3C9C" w14:textId="77777777">
        <w:trPr>
          <w:jc w:val="center"/>
        </w:trPr>
        <w:tc>
          <w:tcPr>
            <w:tcW w:w="0" w:type="auto"/>
            <w:gridSpan w:val="3"/>
            <w:shd w:val="clear" w:color="auto" w:fill="CCEEFF"/>
            <w:tcMar>
              <w:top w:w="40" w:type="dxa"/>
              <w:left w:w="20" w:type="dxa"/>
              <w:bottom w:w="40" w:type="dxa"/>
              <w:right w:w="20" w:type="dxa"/>
            </w:tcMar>
            <w:vAlign w:val="bottom"/>
          </w:tcPr>
          <w:p w14:paraId="392C3C88" w14:textId="77777777" w:rsidR="00980E5F" w:rsidRDefault="00483613">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392C3C8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8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91" w14:textId="77777777" w:rsidR="00980E5F" w:rsidRDefault="00483613">
            <w:pPr>
              <w:jc w:val="right"/>
              <w:textAlignment w:val="bottom"/>
            </w:pPr>
            <w:r>
              <w:rPr>
                <w:rFonts w:ascii="Arial" w:eastAsia="宋体" w:hAnsi="Arial" w:cs="Arial"/>
                <w:b/>
                <w:bCs/>
                <w:color w:val="000000"/>
                <w:sz w:val="15"/>
                <w:szCs w:val="15"/>
              </w:rPr>
              <w:t>747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C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9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9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9A" w14:textId="77777777" w:rsidR="00980E5F" w:rsidRDefault="00483613">
            <w:pPr>
              <w:jc w:val="right"/>
              <w:textAlignment w:val="bottom"/>
            </w:pPr>
            <w:r>
              <w:rPr>
                <w:rFonts w:ascii="Arial" w:eastAsia="宋体" w:hAnsi="Arial" w:cs="Arial"/>
                <w:b/>
                <w:bCs/>
                <w:color w:val="000000"/>
                <w:sz w:val="15"/>
                <w:szCs w:val="15"/>
              </w:rPr>
              <w:t>747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C9B" w14:textId="77777777" w:rsidR="00980E5F" w:rsidRDefault="00980E5F">
            <w:pPr>
              <w:jc w:val="right"/>
              <w:rPr>
                <w:rFonts w:ascii="宋体"/>
              </w:rPr>
            </w:pPr>
          </w:p>
        </w:tc>
      </w:tr>
      <w:tr w:rsidR="00980E5F" w14:paraId="392C3CB1" w14:textId="77777777">
        <w:trPr>
          <w:jc w:val="center"/>
        </w:trPr>
        <w:tc>
          <w:tcPr>
            <w:tcW w:w="0" w:type="auto"/>
            <w:gridSpan w:val="3"/>
            <w:shd w:val="clear" w:color="auto" w:fill="FFFFFF"/>
            <w:tcMar>
              <w:top w:w="40" w:type="dxa"/>
              <w:left w:w="20" w:type="dxa"/>
              <w:bottom w:w="40" w:type="dxa"/>
              <w:right w:w="20" w:type="dxa"/>
            </w:tcMar>
            <w:vAlign w:val="bottom"/>
          </w:tcPr>
          <w:p w14:paraId="392C3C9D" w14:textId="77777777" w:rsidR="00980E5F" w:rsidRDefault="00483613">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392C3C9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9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A8" w14:textId="77777777" w:rsidR="00980E5F" w:rsidRDefault="00483613">
            <w:pPr>
              <w:jc w:val="right"/>
              <w:textAlignment w:val="bottom"/>
            </w:pPr>
            <w:r>
              <w:rPr>
                <w:rFonts w:ascii="Arial" w:eastAsia="宋体" w:hAnsi="Arial" w:cs="Arial"/>
                <w:b/>
                <w:bCs/>
                <w:color w:val="000000"/>
                <w:sz w:val="15"/>
                <w:szCs w:val="15"/>
              </w:rPr>
              <w:t>(989)</w:t>
            </w:r>
          </w:p>
        </w:tc>
        <w:tc>
          <w:tcPr>
            <w:tcW w:w="0" w:type="auto"/>
            <w:shd w:val="clear" w:color="auto" w:fill="FFFFFF"/>
            <w:tcMar>
              <w:top w:w="40" w:type="dxa"/>
              <w:left w:w="0" w:type="dxa"/>
              <w:bottom w:w="40" w:type="dxa"/>
              <w:right w:w="20" w:type="dxa"/>
            </w:tcMar>
            <w:vAlign w:val="bottom"/>
          </w:tcPr>
          <w:p w14:paraId="392C3C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A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AF" w14:textId="77777777" w:rsidR="00980E5F" w:rsidRDefault="00483613">
            <w:pPr>
              <w:jc w:val="right"/>
              <w:textAlignment w:val="bottom"/>
            </w:pPr>
            <w:r>
              <w:rPr>
                <w:rFonts w:ascii="Arial" w:eastAsia="宋体" w:hAnsi="Arial" w:cs="Arial"/>
                <w:b/>
                <w:bCs/>
                <w:color w:val="000000"/>
                <w:sz w:val="15"/>
                <w:szCs w:val="15"/>
              </w:rPr>
              <w:t>(989)</w:t>
            </w:r>
          </w:p>
        </w:tc>
        <w:tc>
          <w:tcPr>
            <w:tcW w:w="0" w:type="auto"/>
            <w:shd w:val="clear" w:color="auto" w:fill="FFFFFF"/>
            <w:tcMar>
              <w:top w:w="40" w:type="dxa"/>
              <w:left w:w="0" w:type="dxa"/>
              <w:bottom w:w="40" w:type="dxa"/>
              <w:right w:w="20" w:type="dxa"/>
            </w:tcMar>
            <w:vAlign w:val="bottom"/>
          </w:tcPr>
          <w:p w14:paraId="392C3CB0" w14:textId="77777777" w:rsidR="00980E5F" w:rsidRDefault="00980E5F">
            <w:pPr>
              <w:jc w:val="right"/>
              <w:rPr>
                <w:rFonts w:ascii="宋体"/>
              </w:rPr>
            </w:pPr>
          </w:p>
        </w:tc>
      </w:tr>
      <w:tr w:rsidR="00980E5F" w14:paraId="392C3CC4" w14:textId="77777777">
        <w:trPr>
          <w:jc w:val="center"/>
          <w:hidden/>
        </w:trPr>
        <w:tc>
          <w:tcPr>
            <w:tcW w:w="0" w:type="auto"/>
            <w:gridSpan w:val="3"/>
            <w:shd w:val="clear" w:color="auto" w:fill="auto"/>
            <w:vAlign w:val="bottom"/>
          </w:tcPr>
          <w:p w14:paraId="392C3CB2" w14:textId="77777777" w:rsidR="00980E5F" w:rsidRDefault="00980E5F">
            <w:pPr>
              <w:rPr>
                <w:rFonts w:ascii="宋体"/>
                <w:vanish/>
              </w:rPr>
            </w:pPr>
          </w:p>
        </w:tc>
        <w:tc>
          <w:tcPr>
            <w:tcW w:w="0" w:type="auto"/>
            <w:gridSpan w:val="3"/>
            <w:shd w:val="clear" w:color="auto" w:fill="auto"/>
            <w:vAlign w:val="bottom"/>
          </w:tcPr>
          <w:p w14:paraId="392C3CB3" w14:textId="77777777" w:rsidR="00980E5F" w:rsidRDefault="00980E5F">
            <w:pPr>
              <w:rPr>
                <w:rFonts w:ascii="宋体"/>
                <w:vanish/>
              </w:rPr>
            </w:pPr>
          </w:p>
        </w:tc>
        <w:tc>
          <w:tcPr>
            <w:tcW w:w="0" w:type="auto"/>
            <w:gridSpan w:val="3"/>
            <w:shd w:val="clear" w:color="auto" w:fill="auto"/>
            <w:vAlign w:val="bottom"/>
          </w:tcPr>
          <w:p w14:paraId="392C3CB4" w14:textId="77777777" w:rsidR="00980E5F" w:rsidRDefault="00980E5F">
            <w:pPr>
              <w:rPr>
                <w:rFonts w:ascii="宋体"/>
                <w:vanish/>
              </w:rPr>
            </w:pPr>
          </w:p>
        </w:tc>
        <w:tc>
          <w:tcPr>
            <w:tcW w:w="0" w:type="auto"/>
            <w:gridSpan w:val="3"/>
            <w:shd w:val="clear" w:color="auto" w:fill="auto"/>
            <w:vAlign w:val="bottom"/>
          </w:tcPr>
          <w:p w14:paraId="392C3CB5" w14:textId="77777777" w:rsidR="00980E5F" w:rsidRDefault="00980E5F">
            <w:pPr>
              <w:rPr>
                <w:rFonts w:ascii="宋体"/>
                <w:vanish/>
              </w:rPr>
            </w:pPr>
          </w:p>
        </w:tc>
        <w:tc>
          <w:tcPr>
            <w:tcW w:w="0" w:type="auto"/>
            <w:gridSpan w:val="3"/>
            <w:shd w:val="clear" w:color="auto" w:fill="auto"/>
            <w:vAlign w:val="bottom"/>
          </w:tcPr>
          <w:p w14:paraId="392C3CB6" w14:textId="77777777" w:rsidR="00980E5F" w:rsidRDefault="00980E5F">
            <w:pPr>
              <w:rPr>
                <w:rFonts w:ascii="宋体"/>
                <w:vanish/>
              </w:rPr>
            </w:pPr>
          </w:p>
        </w:tc>
        <w:tc>
          <w:tcPr>
            <w:tcW w:w="0" w:type="auto"/>
            <w:gridSpan w:val="3"/>
            <w:shd w:val="clear" w:color="auto" w:fill="auto"/>
            <w:vAlign w:val="bottom"/>
          </w:tcPr>
          <w:p w14:paraId="392C3CB7" w14:textId="77777777" w:rsidR="00980E5F" w:rsidRDefault="00980E5F">
            <w:pPr>
              <w:rPr>
                <w:rFonts w:ascii="宋体"/>
                <w:vanish/>
              </w:rPr>
            </w:pPr>
          </w:p>
        </w:tc>
        <w:tc>
          <w:tcPr>
            <w:tcW w:w="0" w:type="auto"/>
            <w:gridSpan w:val="3"/>
            <w:shd w:val="clear" w:color="auto" w:fill="auto"/>
            <w:vAlign w:val="bottom"/>
          </w:tcPr>
          <w:p w14:paraId="392C3CB8" w14:textId="77777777" w:rsidR="00980E5F" w:rsidRDefault="00980E5F">
            <w:pPr>
              <w:rPr>
                <w:rFonts w:ascii="宋体"/>
                <w:vanish/>
              </w:rPr>
            </w:pPr>
          </w:p>
        </w:tc>
        <w:tc>
          <w:tcPr>
            <w:tcW w:w="0" w:type="auto"/>
            <w:gridSpan w:val="3"/>
            <w:shd w:val="clear" w:color="auto" w:fill="auto"/>
            <w:vAlign w:val="bottom"/>
          </w:tcPr>
          <w:p w14:paraId="392C3CB9" w14:textId="77777777" w:rsidR="00980E5F" w:rsidRDefault="00980E5F">
            <w:pPr>
              <w:rPr>
                <w:rFonts w:ascii="宋体"/>
                <w:vanish/>
              </w:rPr>
            </w:pPr>
          </w:p>
        </w:tc>
        <w:tc>
          <w:tcPr>
            <w:tcW w:w="0" w:type="auto"/>
            <w:gridSpan w:val="3"/>
            <w:shd w:val="clear" w:color="auto" w:fill="auto"/>
            <w:vAlign w:val="bottom"/>
          </w:tcPr>
          <w:p w14:paraId="392C3CBA" w14:textId="77777777" w:rsidR="00980E5F" w:rsidRDefault="00980E5F">
            <w:pPr>
              <w:rPr>
                <w:rFonts w:ascii="宋体"/>
                <w:vanish/>
              </w:rPr>
            </w:pPr>
          </w:p>
        </w:tc>
        <w:tc>
          <w:tcPr>
            <w:tcW w:w="0" w:type="auto"/>
            <w:gridSpan w:val="3"/>
            <w:shd w:val="clear" w:color="auto" w:fill="auto"/>
            <w:vAlign w:val="bottom"/>
          </w:tcPr>
          <w:p w14:paraId="392C3CBB" w14:textId="77777777" w:rsidR="00980E5F" w:rsidRDefault="00980E5F">
            <w:pPr>
              <w:rPr>
                <w:rFonts w:ascii="宋体"/>
                <w:vanish/>
              </w:rPr>
            </w:pPr>
          </w:p>
        </w:tc>
        <w:tc>
          <w:tcPr>
            <w:tcW w:w="0" w:type="auto"/>
            <w:gridSpan w:val="3"/>
            <w:shd w:val="clear" w:color="auto" w:fill="auto"/>
            <w:vAlign w:val="bottom"/>
          </w:tcPr>
          <w:p w14:paraId="392C3CBC" w14:textId="77777777" w:rsidR="00980E5F" w:rsidRDefault="00980E5F">
            <w:pPr>
              <w:rPr>
                <w:rFonts w:ascii="宋体"/>
                <w:vanish/>
              </w:rPr>
            </w:pPr>
          </w:p>
        </w:tc>
        <w:tc>
          <w:tcPr>
            <w:tcW w:w="0" w:type="auto"/>
            <w:gridSpan w:val="3"/>
            <w:shd w:val="clear" w:color="auto" w:fill="auto"/>
            <w:vAlign w:val="bottom"/>
          </w:tcPr>
          <w:p w14:paraId="392C3CBD" w14:textId="77777777" w:rsidR="00980E5F" w:rsidRDefault="00980E5F">
            <w:pPr>
              <w:rPr>
                <w:rFonts w:ascii="宋体"/>
                <w:vanish/>
              </w:rPr>
            </w:pPr>
          </w:p>
        </w:tc>
        <w:tc>
          <w:tcPr>
            <w:tcW w:w="0" w:type="auto"/>
            <w:gridSpan w:val="3"/>
            <w:shd w:val="clear" w:color="auto" w:fill="auto"/>
            <w:vAlign w:val="bottom"/>
          </w:tcPr>
          <w:p w14:paraId="392C3CBE" w14:textId="77777777" w:rsidR="00980E5F" w:rsidRDefault="00980E5F">
            <w:pPr>
              <w:rPr>
                <w:rFonts w:ascii="宋体"/>
                <w:vanish/>
              </w:rPr>
            </w:pPr>
          </w:p>
        </w:tc>
        <w:tc>
          <w:tcPr>
            <w:tcW w:w="0" w:type="auto"/>
            <w:gridSpan w:val="3"/>
            <w:shd w:val="clear" w:color="auto" w:fill="auto"/>
            <w:vAlign w:val="bottom"/>
          </w:tcPr>
          <w:p w14:paraId="392C3CBF" w14:textId="77777777" w:rsidR="00980E5F" w:rsidRDefault="00980E5F">
            <w:pPr>
              <w:rPr>
                <w:rFonts w:ascii="宋体"/>
                <w:vanish/>
              </w:rPr>
            </w:pPr>
          </w:p>
        </w:tc>
        <w:tc>
          <w:tcPr>
            <w:tcW w:w="0" w:type="auto"/>
            <w:gridSpan w:val="3"/>
            <w:shd w:val="clear" w:color="auto" w:fill="auto"/>
            <w:vAlign w:val="bottom"/>
          </w:tcPr>
          <w:p w14:paraId="392C3CC0" w14:textId="77777777" w:rsidR="00980E5F" w:rsidRDefault="00980E5F">
            <w:pPr>
              <w:rPr>
                <w:rFonts w:ascii="宋体"/>
                <w:vanish/>
              </w:rPr>
            </w:pPr>
          </w:p>
        </w:tc>
        <w:tc>
          <w:tcPr>
            <w:tcW w:w="0" w:type="auto"/>
            <w:gridSpan w:val="3"/>
            <w:shd w:val="clear" w:color="auto" w:fill="auto"/>
            <w:vAlign w:val="bottom"/>
          </w:tcPr>
          <w:p w14:paraId="392C3CC1" w14:textId="77777777" w:rsidR="00980E5F" w:rsidRDefault="00980E5F">
            <w:pPr>
              <w:rPr>
                <w:rFonts w:ascii="宋体"/>
                <w:vanish/>
              </w:rPr>
            </w:pPr>
          </w:p>
        </w:tc>
        <w:tc>
          <w:tcPr>
            <w:tcW w:w="0" w:type="auto"/>
            <w:gridSpan w:val="3"/>
            <w:shd w:val="clear" w:color="auto" w:fill="auto"/>
            <w:vAlign w:val="bottom"/>
          </w:tcPr>
          <w:p w14:paraId="392C3CC2" w14:textId="77777777" w:rsidR="00980E5F" w:rsidRDefault="00980E5F">
            <w:pPr>
              <w:rPr>
                <w:rFonts w:ascii="宋体"/>
                <w:vanish/>
              </w:rPr>
            </w:pPr>
          </w:p>
        </w:tc>
        <w:tc>
          <w:tcPr>
            <w:tcW w:w="0" w:type="auto"/>
            <w:gridSpan w:val="3"/>
            <w:shd w:val="clear" w:color="auto" w:fill="auto"/>
            <w:vAlign w:val="bottom"/>
          </w:tcPr>
          <w:p w14:paraId="392C3CC3" w14:textId="77777777" w:rsidR="00980E5F" w:rsidRDefault="00980E5F">
            <w:pPr>
              <w:rPr>
                <w:rFonts w:ascii="宋体"/>
                <w:vanish/>
              </w:rPr>
            </w:pPr>
          </w:p>
        </w:tc>
      </w:tr>
      <w:tr w:rsidR="00980E5F" w14:paraId="392C3CD7" w14:textId="77777777">
        <w:trPr>
          <w:jc w:val="center"/>
        </w:trPr>
        <w:tc>
          <w:tcPr>
            <w:tcW w:w="0" w:type="auto"/>
            <w:gridSpan w:val="3"/>
            <w:shd w:val="clear" w:color="auto" w:fill="CCEEFF"/>
            <w:tcMar>
              <w:top w:w="40" w:type="dxa"/>
              <w:left w:w="20" w:type="dxa"/>
              <w:bottom w:w="40" w:type="dxa"/>
              <w:right w:w="20" w:type="dxa"/>
            </w:tcMar>
            <w:vAlign w:val="bottom"/>
          </w:tcPr>
          <w:p w14:paraId="392C3CC5" w14:textId="77777777" w:rsidR="00980E5F" w:rsidRDefault="00483613">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392C3CC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C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D6" w14:textId="77777777" w:rsidR="00980E5F" w:rsidRDefault="00980E5F">
            <w:pPr>
              <w:rPr>
                <w:rFonts w:ascii="宋体"/>
              </w:rPr>
            </w:pPr>
          </w:p>
        </w:tc>
      </w:tr>
      <w:tr w:rsidR="00980E5F" w14:paraId="392C3CEC" w14:textId="77777777">
        <w:trPr>
          <w:jc w:val="center"/>
        </w:trPr>
        <w:tc>
          <w:tcPr>
            <w:tcW w:w="0" w:type="auto"/>
            <w:gridSpan w:val="3"/>
            <w:shd w:val="clear" w:color="auto" w:fill="FFFFFF"/>
            <w:tcMar>
              <w:top w:w="40" w:type="dxa"/>
              <w:left w:w="20" w:type="dxa"/>
              <w:bottom w:w="40" w:type="dxa"/>
              <w:right w:w="20" w:type="dxa"/>
            </w:tcMar>
            <w:vAlign w:val="bottom"/>
          </w:tcPr>
          <w:p w14:paraId="392C3CD8" w14:textId="77777777" w:rsidR="00980E5F" w:rsidRDefault="00483613">
            <w:pPr>
              <w:textAlignment w:val="bottom"/>
            </w:pPr>
            <w:r>
              <w:rPr>
                <w:rFonts w:ascii="Arial" w:eastAsia="宋体" w:hAnsi="Arial" w:cs="Arial"/>
                <w:color w:val="000000"/>
                <w:sz w:val="15"/>
                <w:szCs w:val="15"/>
              </w:rPr>
              <w:t>Common stock - $0.57 per share</w:t>
            </w:r>
          </w:p>
        </w:tc>
        <w:tc>
          <w:tcPr>
            <w:tcW w:w="0" w:type="auto"/>
            <w:gridSpan w:val="3"/>
            <w:shd w:val="clear" w:color="auto" w:fill="FFFFFF"/>
            <w:tcMar>
              <w:top w:w="0" w:type="dxa"/>
              <w:left w:w="20" w:type="dxa"/>
              <w:bottom w:w="0" w:type="dxa"/>
              <w:right w:w="20" w:type="dxa"/>
            </w:tcMar>
            <w:vAlign w:val="bottom"/>
          </w:tcPr>
          <w:p w14:paraId="392C3CD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D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E1" w14:textId="77777777" w:rsidR="00980E5F" w:rsidRDefault="00483613">
            <w:pPr>
              <w:jc w:val="right"/>
              <w:textAlignment w:val="bottom"/>
            </w:pPr>
            <w:r>
              <w:rPr>
                <w:rFonts w:ascii="Arial" w:eastAsia="宋体" w:hAnsi="Arial" w:cs="Arial"/>
                <w:b/>
                <w:bCs/>
                <w:color w:val="000000"/>
                <w:sz w:val="15"/>
                <w:szCs w:val="15"/>
              </w:rPr>
              <w:t>(210)</w:t>
            </w:r>
          </w:p>
        </w:tc>
        <w:tc>
          <w:tcPr>
            <w:tcW w:w="0" w:type="auto"/>
            <w:shd w:val="clear" w:color="auto" w:fill="FFFFFF"/>
            <w:tcMar>
              <w:top w:w="40" w:type="dxa"/>
              <w:left w:w="0" w:type="dxa"/>
              <w:bottom w:w="40" w:type="dxa"/>
              <w:right w:w="20" w:type="dxa"/>
            </w:tcMar>
            <w:vAlign w:val="bottom"/>
          </w:tcPr>
          <w:p w14:paraId="392C3C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C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C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CEA" w14:textId="77777777" w:rsidR="00980E5F" w:rsidRDefault="00483613">
            <w:pPr>
              <w:jc w:val="right"/>
              <w:textAlignment w:val="bottom"/>
            </w:pPr>
            <w:r>
              <w:rPr>
                <w:rFonts w:ascii="Arial" w:eastAsia="宋体" w:hAnsi="Arial" w:cs="Arial"/>
                <w:b/>
                <w:bCs/>
                <w:color w:val="000000"/>
                <w:sz w:val="15"/>
                <w:szCs w:val="15"/>
              </w:rPr>
              <w:t>(210)</w:t>
            </w:r>
          </w:p>
        </w:tc>
        <w:tc>
          <w:tcPr>
            <w:tcW w:w="0" w:type="auto"/>
            <w:shd w:val="clear" w:color="auto" w:fill="FFFFFF"/>
            <w:tcMar>
              <w:top w:w="40" w:type="dxa"/>
              <w:left w:w="0" w:type="dxa"/>
              <w:bottom w:w="40" w:type="dxa"/>
              <w:right w:w="20" w:type="dxa"/>
            </w:tcMar>
            <w:vAlign w:val="bottom"/>
          </w:tcPr>
          <w:p w14:paraId="392C3CEB" w14:textId="77777777" w:rsidR="00980E5F" w:rsidRDefault="00980E5F">
            <w:pPr>
              <w:jc w:val="right"/>
              <w:rPr>
                <w:rFonts w:ascii="宋体"/>
              </w:rPr>
            </w:pPr>
          </w:p>
        </w:tc>
      </w:tr>
      <w:tr w:rsidR="00980E5F" w14:paraId="392C3D01" w14:textId="77777777">
        <w:trPr>
          <w:jc w:val="center"/>
        </w:trPr>
        <w:tc>
          <w:tcPr>
            <w:tcW w:w="0" w:type="auto"/>
            <w:gridSpan w:val="3"/>
            <w:shd w:val="clear" w:color="auto" w:fill="CCEEFF"/>
            <w:tcMar>
              <w:top w:w="40" w:type="dxa"/>
              <w:left w:w="140" w:type="dxa"/>
              <w:bottom w:w="40" w:type="dxa"/>
              <w:right w:w="20" w:type="dxa"/>
            </w:tcMar>
            <w:vAlign w:val="bottom"/>
          </w:tcPr>
          <w:p w14:paraId="392C3CED" w14:textId="77777777" w:rsidR="00980E5F" w:rsidRDefault="00483613">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392C3CE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E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F6" w14:textId="77777777" w:rsidR="00980E5F" w:rsidRDefault="00483613">
            <w:pPr>
              <w:jc w:val="right"/>
              <w:textAlignment w:val="bottom"/>
            </w:pPr>
            <w:r>
              <w:rPr>
                <w:rFonts w:ascii="Arial" w:eastAsia="宋体" w:hAnsi="Arial" w:cs="Arial"/>
                <w:b/>
                <w:bCs/>
                <w:color w:val="000000"/>
                <w:sz w:val="15"/>
                <w:szCs w:val="15"/>
              </w:rPr>
              <w:t>(35)</w:t>
            </w:r>
          </w:p>
        </w:tc>
        <w:tc>
          <w:tcPr>
            <w:tcW w:w="0" w:type="auto"/>
            <w:shd w:val="clear" w:color="auto" w:fill="CCEEFF"/>
            <w:tcMar>
              <w:top w:w="40" w:type="dxa"/>
              <w:left w:w="0" w:type="dxa"/>
              <w:bottom w:w="40" w:type="dxa"/>
              <w:right w:w="20" w:type="dxa"/>
            </w:tcMar>
            <w:vAlign w:val="bottom"/>
          </w:tcPr>
          <w:p w14:paraId="392C3C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CF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C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CFF" w14:textId="77777777" w:rsidR="00980E5F" w:rsidRDefault="00483613">
            <w:pPr>
              <w:jc w:val="right"/>
              <w:textAlignment w:val="bottom"/>
            </w:pPr>
            <w:r>
              <w:rPr>
                <w:rFonts w:ascii="Arial" w:eastAsia="宋体" w:hAnsi="Arial" w:cs="Arial"/>
                <w:b/>
                <w:bCs/>
                <w:color w:val="000000"/>
                <w:sz w:val="15"/>
                <w:szCs w:val="15"/>
              </w:rPr>
              <w:t>(35)</w:t>
            </w:r>
          </w:p>
        </w:tc>
        <w:tc>
          <w:tcPr>
            <w:tcW w:w="0" w:type="auto"/>
            <w:shd w:val="clear" w:color="auto" w:fill="CCEEFF"/>
            <w:tcMar>
              <w:top w:w="40" w:type="dxa"/>
              <w:left w:w="0" w:type="dxa"/>
              <w:bottom w:w="40" w:type="dxa"/>
              <w:right w:w="20" w:type="dxa"/>
            </w:tcMar>
            <w:vAlign w:val="bottom"/>
          </w:tcPr>
          <w:p w14:paraId="392C3D00" w14:textId="77777777" w:rsidR="00980E5F" w:rsidRDefault="00980E5F">
            <w:pPr>
              <w:jc w:val="right"/>
              <w:rPr>
                <w:rFonts w:ascii="宋体"/>
              </w:rPr>
            </w:pPr>
          </w:p>
        </w:tc>
      </w:tr>
      <w:tr w:rsidR="00980E5F" w14:paraId="392C3D14" w14:textId="77777777">
        <w:trPr>
          <w:jc w:val="center"/>
          <w:hidden/>
        </w:trPr>
        <w:tc>
          <w:tcPr>
            <w:tcW w:w="0" w:type="auto"/>
            <w:gridSpan w:val="3"/>
            <w:shd w:val="clear" w:color="auto" w:fill="auto"/>
            <w:vAlign w:val="bottom"/>
          </w:tcPr>
          <w:p w14:paraId="392C3D02" w14:textId="77777777" w:rsidR="00980E5F" w:rsidRDefault="00980E5F">
            <w:pPr>
              <w:rPr>
                <w:rFonts w:ascii="宋体"/>
                <w:vanish/>
              </w:rPr>
            </w:pPr>
          </w:p>
        </w:tc>
        <w:tc>
          <w:tcPr>
            <w:tcW w:w="0" w:type="auto"/>
            <w:gridSpan w:val="3"/>
            <w:shd w:val="clear" w:color="auto" w:fill="auto"/>
            <w:vAlign w:val="bottom"/>
          </w:tcPr>
          <w:p w14:paraId="392C3D03" w14:textId="77777777" w:rsidR="00980E5F" w:rsidRDefault="00980E5F">
            <w:pPr>
              <w:rPr>
                <w:rFonts w:ascii="宋体"/>
                <w:vanish/>
              </w:rPr>
            </w:pPr>
          </w:p>
        </w:tc>
        <w:tc>
          <w:tcPr>
            <w:tcW w:w="0" w:type="auto"/>
            <w:gridSpan w:val="3"/>
            <w:shd w:val="clear" w:color="auto" w:fill="auto"/>
            <w:vAlign w:val="bottom"/>
          </w:tcPr>
          <w:p w14:paraId="392C3D04" w14:textId="77777777" w:rsidR="00980E5F" w:rsidRDefault="00980E5F">
            <w:pPr>
              <w:rPr>
                <w:rFonts w:ascii="宋体"/>
                <w:vanish/>
              </w:rPr>
            </w:pPr>
          </w:p>
        </w:tc>
        <w:tc>
          <w:tcPr>
            <w:tcW w:w="0" w:type="auto"/>
            <w:gridSpan w:val="3"/>
            <w:shd w:val="clear" w:color="auto" w:fill="auto"/>
            <w:vAlign w:val="bottom"/>
          </w:tcPr>
          <w:p w14:paraId="392C3D05" w14:textId="77777777" w:rsidR="00980E5F" w:rsidRDefault="00980E5F">
            <w:pPr>
              <w:rPr>
                <w:rFonts w:ascii="宋体"/>
                <w:vanish/>
              </w:rPr>
            </w:pPr>
          </w:p>
        </w:tc>
        <w:tc>
          <w:tcPr>
            <w:tcW w:w="0" w:type="auto"/>
            <w:gridSpan w:val="3"/>
            <w:shd w:val="clear" w:color="auto" w:fill="auto"/>
            <w:vAlign w:val="bottom"/>
          </w:tcPr>
          <w:p w14:paraId="392C3D06" w14:textId="77777777" w:rsidR="00980E5F" w:rsidRDefault="00980E5F">
            <w:pPr>
              <w:rPr>
                <w:rFonts w:ascii="宋体"/>
                <w:vanish/>
              </w:rPr>
            </w:pPr>
          </w:p>
        </w:tc>
        <w:tc>
          <w:tcPr>
            <w:tcW w:w="0" w:type="auto"/>
            <w:gridSpan w:val="3"/>
            <w:shd w:val="clear" w:color="auto" w:fill="auto"/>
            <w:vAlign w:val="bottom"/>
          </w:tcPr>
          <w:p w14:paraId="392C3D07" w14:textId="77777777" w:rsidR="00980E5F" w:rsidRDefault="00980E5F">
            <w:pPr>
              <w:rPr>
                <w:rFonts w:ascii="宋体"/>
                <w:vanish/>
              </w:rPr>
            </w:pPr>
          </w:p>
        </w:tc>
        <w:tc>
          <w:tcPr>
            <w:tcW w:w="0" w:type="auto"/>
            <w:gridSpan w:val="3"/>
            <w:shd w:val="clear" w:color="auto" w:fill="auto"/>
            <w:vAlign w:val="bottom"/>
          </w:tcPr>
          <w:p w14:paraId="392C3D08" w14:textId="77777777" w:rsidR="00980E5F" w:rsidRDefault="00980E5F">
            <w:pPr>
              <w:rPr>
                <w:rFonts w:ascii="宋体"/>
                <w:vanish/>
              </w:rPr>
            </w:pPr>
          </w:p>
        </w:tc>
        <w:tc>
          <w:tcPr>
            <w:tcW w:w="0" w:type="auto"/>
            <w:gridSpan w:val="3"/>
            <w:shd w:val="clear" w:color="auto" w:fill="auto"/>
            <w:vAlign w:val="bottom"/>
          </w:tcPr>
          <w:p w14:paraId="392C3D09" w14:textId="77777777" w:rsidR="00980E5F" w:rsidRDefault="00980E5F">
            <w:pPr>
              <w:rPr>
                <w:rFonts w:ascii="宋体"/>
                <w:vanish/>
              </w:rPr>
            </w:pPr>
          </w:p>
        </w:tc>
        <w:tc>
          <w:tcPr>
            <w:tcW w:w="0" w:type="auto"/>
            <w:gridSpan w:val="3"/>
            <w:shd w:val="clear" w:color="auto" w:fill="auto"/>
            <w:vAlign w:val="bottom"/>
          </w:tcPr>
          <w:p w14:paraId="392C3D0A" w14:textId="77777777" w:rsidR="00980E5F" w:rsidRDefault="00980E5F">
            <w:pPr>
              <w:rPr>
                <w:rFonts w:ascii="宋体"/>
                <w:vanish/>
              </w:rPr>
            </w:pPr>
          </w:p>
        </w:tc>
        <w:tc>
          <w:tcPr>
            <w:tcW w:w="0" w:type="auto"/>
            <w:gridSpan w:val="3"/>
            <w:shd w:val="clear" w:color="auto" w:fill="auto"/>
            <w:vAlign w:val="bottom"/>
          </w:tcPr>
          <w:p w14:paraId="392C3D0B" w14:textId="77777777" w:rsidR="00980E5F" w:rsidRDefault="00980E5F">
            <w:pPr>
              <w:rPr>
                <w:rFonts w:ascii="宋体"/>
                <w:vanish/>
              </w:rPr>
            </w:pPr>
          </w:p>
        </w:tc>
        <w:tc>
          <w:tcPr>
            <w:tcW w:w="0" w:type="auto"/>
            <w:gridSpan w:val="3"/>
            <w:shd w:val="clear" w:color="auto" w:fill="auto"/>
            <w:vAlign w:val="bottom"/>
          </w:tcPr>
          <w:p w14:paraId="392C3D0C" w14:textId="77777777" w:rsidR="00980E5F" w:rsidRDefault="00980E5F">
            <w:pPr>
              <w:rPr>
                <w:rFonts w:ascii="宋体"/>
                <w:vanish/>
              </w:rPr>
            </w:pPr>
          </w:p>
        </w:tc>
        <w:tc>
          <w:tcPr>
            <w:tcW w:w="0" w:type="auto"/>
            <w:gridSpan w:val="3"/>
            <w:shd w:val="clear" w:color="auto" w:fill="auto"/>
            <w:vAlign w:val="bottom"/>
          </w:tcPr>
          <w:p w14:paraId="392C3D0D" w14:textId="77777777" w:rsidR="00980E5F" w:rsidRDefault="00980E5F">
            <w:pPr>
              <w:rPr>
                <w:rFonts w:ascii="宋体"/>
                <w:vanish/>
              </w:rPr>
            </w:pPr>
          </w:p>
        </w:tc>
        <w:tc>
          <w:tcPr>
            <w:tcW w:w="0" w:type="auto"/>
            <w:gridSpan w:val="3"/>
            <w:shd w:val="clear" w:color="auto" w:fill="auto"/>
            <w:vAlign w:val="bottom"/>
          </w:tcPr>
          <w:p w14:paraId="392C3D0E" w14:textId="77777777" w:rsidR="00980E5F" w:rsidRDefault="00980E5F">
            <w:pPr>
              <w:rPr>
                <w:rFonts w:ascii="宋体"/>
                <w:vanish/>
              </w:rPr>
            </w:pPr>
          </w:p>
        </w:tc>
        <w:tc>
          <w:tcPr>
            <w:tcW w:w="0" w:type="auto"/>
            <w:gridSpan w:val="3"/>
            <w:shd w:val="clear" w:color="auto" w:fill="auto"/>
            <w:vAlign w:val="bottom"/>
          </w:tcPr>
          <w:p w14:paraId="392C3D0F" w14:textId="77777777" w:rsidR="00980E5F" w:rsidRDefault="00980E5F">
            <w:pPr>
              <w:rPr>
                <w:rFonts w:ascii="宋体"/>
                <w:vanish/>
              </w:rPr>
            </w:pPr>
          </w:p>
        </w:tc>
        <w:tc>
          <w:tcPr>
            <w:tcW w:w="0" w:type="auto"/>
            <w:gridSpan w:val="3"/>
            <w:shd w:val="clear" w:color="auto" w:fill="auto"/>
            <w:vAlign w:val="bottom"/>
          </w:tcPr>
          <w:p w14:paraId="392C3D10" w14:textId="77777777" w:rsidR="00980E5F" w:rsidRDefault="00980E5F">
            <w:pPr>
              <w:rPr>
                <w:rFonts w:ascii="宋体"/>
                <w:vanish/>
              </w:rPr>
            </w:pPr>
          </w:p>
        </w:tc>
        <w:tc>
          <w:tcPr>
            <w:tcW w:w="0" w:type="auto"/>
            <w:gridSpan w:val="3"/>
            <w:shd w:val="clear" w:color="auto" w:fill="auto"/>
            <w:vAlign w:val="bottom"/>
          </w:tcPr>
          <w:p w14:paraId="392C3D11" w14:textId="77777777" w:rsidR="00980E5F" w:rsidRDefault="00980E5F">
            <w:pPr>
              <w:rPr>
                <w:rFonts w:ascii="宋体"/>
                <w:vanish/>
              </w:rPr>
            </w:pPr>
          </w:p>
        </w:tc>
        <w:tc>
          <w:tcPr>
            <w:tcW w:w="0" w:type="auto"/>
            <w:gridSpan w:val="3"/>
            <w:shd w:val="clear" w:color="auto" w:fill="auto"/>
            <w:vAlign w:val="bottom"/>
          </w:tcPr>
          <w:p w14:paraId="392C3D12" w14:textId="77777777" w:rsidR="00980E5F" w:rsidRDefault="00980E5F">
            <w:pPr>
              <w:rPr>
                <w:rFonts w:ascii="宋体"/>
                <w:vanish/>
              </w:rPr>
            </w:pPr>
          </w:p>
        </w:tc>
        <w:tc>
          <w:tcPr>
            <w:tcW w:w="0" w:type="auto"/>
            <w:gridSpan w:val="3"/>
            <w:shd w:val="clear" w:color="auto" w:fill="auto"/>
            <w:vAlign w:val="bottom"/>
          </w:tcPr>
          <w:p w14:paraId="392C3D13" w14:textId="77777777" w:rsidR="00980E5F" w:rsidRDefault="00980E5F">
            <w:pPr>
              <w:rPr>
                <w:rFonts w:ascii="宋体"/>
                <w:vanish/>
              </w:rPr>
            </w:pPr>
          </w:p>
        </w:tc>
      </w:tr>
      <w:tr w:rsidR="00980E5F" w14:paraId="392C3D2B" w14:textId="77777777">
        <w:trPr>
          <w:jc w:val="center"/>
        </w:trPr>
        <w:tc>
          <w:tcPr>
            <w:tcW w:w="0" w:type="auto"/>
            <w:gridSpan w:val="3"/>
            <w:shd w:val="clear" w:color="auto" w:fill="FFFFFF"/>
            <w:tcMar>
              <w:top w:w="40" w:type="dxa"/>
              <w:left w:w="20" w:type="dxa"/>
              <w:bottom w:w="40" w:type="dxa"/>
              <w:right w:w="20" w:type="dxa"/>
            </w:tcMar>
            <w:vAlign w:val="bottom"/>
          </w:tcPr>
          <w:p w14:paraId="392C3D15" w14:textId="77777777" w:rsidR="00980E5F" w:rsidRDefault="00483613">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392C3D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1C" w14:textId="77777777" w:rsidR="00980E5F" w:rsidRDefault="00483613">
            <w:pPr>
              <w:jc w:val="right"/>
              <w:textAlignment w:val="bottom"/>
            </w:pPr>
            <w:r>
              <w:rPr>
                <w:rFonts w:ascii="Arial" w:eastAsia="宋体" w:hAnsi="Arial" w:cs="Arial"/>
                <w:b/>
                <w:bCs/>
                <w:color w:val="000000"/>
                <w:sz w:val="15"/>
                <w:szCs w:val="15"/>
              </w:rPr>
              <w:t>(5)</w:t>
            </w:r>
          </w:p>
        </w:tc>
        <w:tc>
          <w:tcPr>
            <w:tcW w:w="0" w:type="auto"/>
            <w:shd w:val="clear" w:color="auto" w:fill="FFFFFF"/>
            <w:tcMar>
              <w:top w:w="40" w:type="dxa"/>
              <w:left w:w="0" w:type="dxa"/>
              <w:bottom w:w="40" w:type="dxa"/>
              <w:right w:w="20" w:type="dxa"/>
            </w:tcMar>
            <w:vAlign w:val="bottom"/>
          </w:tcPr>
          <w:p w14:paraId="392C3D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2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23" w14:textId="77777777" w:rsidR="00980E5F" w:rsidRDefault="00483613">
            <w:pPr>
              <w:jc w:val="right"/>
              <w:textAlignment w:val="bottom"/>
            </w:pPr>
            <w:r>
              <w:rPr>
                <w:rFonts w:ascii="Arial" w:eastAsia="宋体" w:hAnsi="Arial" w:cs="Arial"/>
                <w:b/>
                <w:bCs/>
                <w:color w:val="000000"/>
                <w:sz w:val="15"/>
                <w:szCs w:val="15"/>
              </w:rPr>
              <w:t>(505)</w:t>
            </w:r>
          </w:p>
        </w:tc>
        <w:tc>
          <w:tcPr>
            <w:tcW w:w="0" w:type="auto"/>
            <w:shd w:val="clear" w:color="auto" w:fill="FFFFFF"/>
            <w:tcMar>
              <w:top w:w="40" w:type="dxa"/>
              <w:left w:w="0" w:type="dxa"/>
              <w:bottom w:w="40" w:type="dxa"/>
              <w:right w:w="20" w:type="dxa"/>
            </w:tcMar>
            <w:vAlign w:val="bottom"/>
          </w:tcPr>
          <w:p w14:paraId="392C3D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26" w14:textId="77777777" w:rsidR="00980E5F" w:rsidRDefault="00483613">
            <w:pPr>
              <w:jc w:val="right"/>
              <w:textAlignment w:val="bottom"/>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29" w14:textId="77777777" w:rsidR="00980E5F" w:rsidRDefault="00483613">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2A" w14:textId="77777777" w:rsidR="00980E5F" w:rsidRDefault="00980E5F">
            <w:pPr>
              <w:jc w:val="right"/>
              <w:rPr>
                <w:rFonts w:ascii="宋体"/>
              </w:rPr>
            </w:pPr>
          </w:p>
        </w:tc>
      </w:tr>
      <w:tr w:rsidR="00980E5F" w14:paraId="392C3D40" w14:textId="77777777">
        <w:trPr>
          <w:jc w:val="center"/>
        </w:trPr>
        <w:tc>
          <w:tcPr>
            <w:tcW w:w="0" w:type="auto"/>
            <w:gridSpan w:val="3"/>
            <w:shd w:val="clear" w:color="auto" w:fill="CCEEFF"/>
            <w:tcMar>
              <w:top w:w="40" w:type="dxa"/>
              <w:left w:w="20" w:type="dxa"/>
              <w:bottom w:w="40" w:type="dxa"/>
              <w:right w:w="20" w:type="dxa"/>
            </w:tcMar>
            <w:vAlign w:val="bottom"/>
          </w:tcPr>
          <w:p w14:paraId="392C3D2C" w14:textId="77777777" w:rsidR="00980E5F" w:rsidRDefault="00483613">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392C3D2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2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35"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3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D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3E"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3F" w14:textId="77777777" w:rsidR="00980E5F" w:rsidRDefault="00980E5F">
            <w:pPr>
              <w:jc w:val="right"/>
              <w:rPr>
                <w:rFonts w:ascii="宋体"/>
              </w:rPr>
            </w:pPr>
          </w:p>
        </w:tc>
      </w:tr>
      <w:tr w:rsidR="00483613" w14:paraId="392C3D63" w14:textId="77777777">
        <w:trPr>
          <w:jc w:val="center"/>
        </w:trPr>
        <w:tc>
          <w:tcPr>
            <w:tcW w:w="0" w:type="auto"/>
            <w:gridSpan w:val="3"/>
            <w:shd w:val="clear" w:color="auto" w:fill="FFFFFF"/>
            <w:tcMar>
              <w:top w:w="40" w:type="dxa"/>
              <w:left w:w="20" w:type="dxa"/>
              <w:bottom w:w="40" w:type="dxa"/>
              <w:right w:w="20" w:type="dxa"/>
            </w:tcMar>
            <w:vAlign w:val="bottom"/>
          </w:tcPr>
          <w:p w14:paraId="392C3D41" w14:textId="77777777" w:rsidR="00980E5F" w:rsidRDefault="00483613">
            <w:pPr>
              <w:textAlignment w:val="bottom"/>
            </w:pPr>
            <w:r>
              <w:rPr>
                <w:rFonts w:ascii="Arial" w:eastAsia="宋体" w:hAnsi="Arial" w:cs="Arial"/>
                <w:b/>
                <w:bCs/>
                <w:color w:val="000000"/>
                <w:sz w:val="15"/>
                <w:szCs w:val="15"/>
              </w:rPr>
              <w:t>Balance at June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42"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43" w14:textId="77777777" w:rsidR="00980E5F" w:rsidRDefault="00483613">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45"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46" w14:textId="77777777" w:rsidR="00980E5F" w:rsidRDefault="00483613">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4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49"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4A" w14:textId="77777777" w:rsidR="00980E5F" w:rsidRDefault="00483613">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4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4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4E" w14:textId="77777777" w:rsidR="00980E5F" w:rsidRDefault="00483613">
            <w:pPr>
              <w:jc w:val="right"/>
              <w:textAlignment w:val="bottom"/>
            </w:pPr>
            <w:r>
              <w:rPr>
                <w:rFonts w:ascii="Arial" w:eastAsia="宋体" w:hAnsi="Arial" w:cs="Arial"/>
                <w:b/>
                <w:bCs/>
                <w:color w:val="000000"/>
                <w:sz w:val="15"/>
                <w:szCs w:val="15"/>
              </w:rPr>
              <w:t>10,757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4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5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51"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52" w14:textId="77777777" w:rsidR="00980E5F" w:rsidRDefault="00483613">
            <w:pPr>
              <w:jc w:val="right"/>
              <w:textAlignment w:val="bottom"/>
            </w:pPr>
            <w:r>
              <w:rPr>
                <w:rFonts w:ascii="Arial" w:eastAsia="宋体" w:hAnsi="Arial" w:cs="Arial"/>
                <w:b/>
                <w:bCs/>
                <w:color w:val="000000"/>
                <w:sz w:val="15"/>
                <w:szCs w:val="15"/>
              </w:rPr>
              <w:t>26,115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54"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55"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56" w14:textId="77777777" w:rsidR="00980E5F" w:rsidRDefault="00483613">
            <w:pPr>
              <w:jc w:val="right"/>
              <w:textAlignment w:val="bottom"/>
            </w:pPr>
            <w:r>
              <w:rPr>
                <w:rFonts w:ascii="Arial" w:eastAsia="宋体" w:hAnsi="Arial" w:cs="Arial"/>
                <w:b/>
                <w:bCs/>
                <w:color w:val="000000"/>
                <w:sz w:val="15"/>
                <w:szCs w:val="15"/>
              </w:rPr>
              <w:t>(3,687)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58" w14:textId="77777777" w:rsidR="00980E5F" w:rsidRDefault="00980E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59" w14:textId="77777777" w:rsidR="00980E5F" w:rsidRDefault="00483613">
            <w:pPr>
              <w:jc w:val="right"/>
              <w:textAlignment w:val="bottom"/>
            </w:pPr>
            <w:r>
              <w:rPr>
                <w:rFonts w:ascii="Arial" w:eastAsia="宋体" w:hAnsi="Arial" w:cs="Arial"/>
                <w:b/>
                <w:bCs/>
                <w:color w:val="000000"/>
                <w:sz w:val="15"/>
                <w:szCs w:val="15"/>
              </w:rPr>
              <w:t>136,260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5B"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5C"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5D" w14:textId="77777777" w:rsidR="00980E5F" w:rsidRDefault="00483613">
            <w:pPr>
              <w:jc w:val="right"/>
              <w:textAlignment w:val="bottom"/>
            </w:pPr>
            <w:r>
              <w:rPr>
                <w:rFonts w:ascii="Arial" w:eastAsia="宋体" w:hAnsi="Arial" w:cs="Arial"/>
                <w:b/>
                <w:bCs/>
                <w:color w:val="000000"/>
                <w:sz w:val="15"/>
                <w:szCs w:val="15"/>
              </w:rPr>
              <w:t>(9,898)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5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3D6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3D61" w14:textId="77777777" w:rsidR="00980E5F" w:rsidRDefault="00483613">
            <w:pPr>
              <w:jc w:val="right"/>
              <w:textAlignment w:val="bottom"/>
            </w:pPr>
            <w:r>
              <w:rPr>
                <w:rFonts w:ascii="Arial" w:eastAsia="宋体" w:hAnsi="Arial" w:cs="Arial"/>
                <w:b/>
                <w:bCs/>
                <w:color w:val="000000"/>
                <w:sz w:val="15"/>
                <w:szCs w:val="15"/>
              </w:rPr>
              <w:t>25,767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3D62" w14:textId="77777777" w:rsidR="00980E5F" w:rsidRDefault="00980E5F">
            <w:pPr>
              <w:jc w:val="right"/>
              <w:rPr>
                <w:rFonts w:ascii="宋体"/>
              </w:rPr>
            </w:pPr>
          </w:p>
        </w:tc>
      </w:tr>
    </w:tbl>
    <w:p w14:paraId="392C3D64" w14:textId="77777777" w:rsidR="00980E5F" w:rsidRDefault="00980E5F">
      <w:pPr>
        <w:spacing w:before="90"/>
        <w:jc w:val="both"/>
      </w:pPr>
    </w:p>
    <w:p w14:paraId="392C3D65" w14:textId="77777777" w:rsidR="00980E5F" w:rsidRDefault="00980E5F">
      <w:pPr>
        <w:ind w:firstLine="450"/>
      </w:pPr>
    </w:p>
    <w:p w14:paraId="392C3D66" w14:textId="77777777" w:rsidR="00980E5F" w:rsidRDefault="00980E5F">
      <w:pPr>
        <w:ind w:firstLine="450"/>
      </w:pPr>
    </w:p>
    <w:p w14:paraId="392C3D67" w14:textId="77777777" w:rsidR="00980E5F" w:rsidRDefault="00980E5F">
      <w:pPr>
        <w:ind w:firstLine="450"/>
      </w:pPr>
    </w:p>
    <w:p w14:paraId="392C3D68" w14:textId="77777777" w:rsidR="00980E5F" w:rsidRDefault="00980E5F">
      <w:pPr>
        <w:ind w:firstLine="450"/>
      </w:pPr>
    </w:p>
    <w:p w14:paraId="392C3D69" w14:textId="77777777" w:rsidR="00980E5F" w:rsidRDefault="00980E5F">
      <w:pPr>
        <w:ind w:firstLine="450"/>
      </w:pPr>
    </w:p>
    <w:p w14:paraId="392C3D6A" w14:textId="77777777" w:rsidR="00980E5F" w:rsidRDefault="00980E5F">
      <w:pPr>
        <w:ind w:firstLine="450"/>
      </w:pPr>
    </w:p>
    <w:p w14:paraId="392C3D6B" w14:textId="77777777" w:rsidR="00980E5F" w:rsidRDefault="00980E5F">
      <w:pPr>
        <w:ind w:firstLine="450"/>
      </w:pPr>
    </w:p>
    <w:p w14:paraId="392C3D6C" w14:textId="77777777" w:rsidR="00980E5F" w:rsidRDefault="00980E5F">
      <w:pPr>
        <w:ind w:firstLine="450"/>
      </w:pPr>
    </w:p>
    <w:p w14:paraId="392C3D6D" w14:textId="77777777" w:rsidR="00980E5F" w:rsidRDefault="00980E5F">
      <w:pPr>
        <w:ind w:firstLine="450"/>
      </w:pPr>
    </w:p>
    <w:p w14:paraId="392C3D6E" w14:textId="77777777" w:rsidR="00980E5F" w:rsidRDefault="00980E5F">
      <w:pPr>
        <w:ind w:firstLine="450"/>
      </w:pPr>
    </w:p>
    <w:p w14:paraId="392C3D6F" w14:textId="77777777" w:rsidR="00980E5F" w:rsidRDefault="00980E5F">
      <w:pPr>
        <w:ind w:firstLine="450"/>
      </w:pPr>
    </w:p>
    <w:p w14:paraId="392C3D70" w14:textId="77777777" w:rsidR="00980E5F" w:rsidRDefault="00980E5F">
      <w:pPr>
        <w:ind w:firstLine="450"/>
      </w:pPr>
    </w:p>
    <w:p w14:paraId="392C3D71" w14:textId="77777777" w:rsidR="00980E5F" w:rsidRDefault="00980E5F">
      <w:pPr>
        <w:ind w:firstLine="450"/>
      </w:pPr>
    </w:p>
    <w:p w14:paraId="392C3D72" w14:textId="77777777" w:rsidR="00980E5F" w:rsidRDefault="00980E5F">
      <w:pPr>
        <w:ind w:firstLine="450"/>
      </w:pPr>
    </w:p>
    <w:p w14:paraId="392C3D73" w14:textId="77777777" w:rsidR="00980E5F" w:rsidRDefault="00980E5F">
      <w:pPr>
        <w:ind w:firstLine="450"/>
      </w:pPr>
    </w:p>
    <w:p w14:paraId="392C3D74" w14:textId="77777777" w:rsidR="00980E5F" w:rsidRDefault="00980E5F">
      <w:pPr>
        <w:ind w:firstLine="450"/>
      </w:pPr>
    </w:p>
    <w:p w14:paraId="392C3D75" w14:textId="77777777" w:rsidR="00980E5F" w:rsidRDefault="00483613">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392C3D76" w14:textId="77777777" w:rsidR="00980E5F" w:rsidRDefault="00483613">
      <w:pPr>
        <w:ind w:firstLine="450"/>
        <w:jc w:val="right"/>
      </w:pPr>
      <w:r>
        <w:rPr>
          <w:rFonts w:ascii="Arial" w:eastAsia="宋体" w:hAnsi="Arial" w:cs="Arial"/>
          <w:color w:val="000000"/>
          <w:sz w:val="18"/>
          <w:szCs w:val="18"/>
        </w:rPr>
        <w:t>State Street Corporation | 57</w:t>
      </w:r>
    </w:p>
    <w:p w14:paraId="392C3D77" w14:textId="77777777" w:rsidR="00980E5F" w:rsidRDefault="00980E5F">
      <w:pPr>
        <w:ind w:firstLine="450"/>
        <w:jc w:val="center"/>
      </w:pPr>
    </w:p>
    <w:p w14:paraId="392C3D78" w14:textId="77777777" w:rsidR="00980E5F" w:rsidRDefault="00483613">
      <w:r>
        <w:pict w14:anchorId="392CBB07">
          <v:rect id="_x0000_i1081" style="width:415.3pt;height:1.5pt" o:hralign="center" o:hrstd="t" o:hr="t" fillcolor="#a0a0a0" stroked="f"/>
        </w:pict>
      </w:r>
    </w:p>
    <w:p w14:paraId="392C3D79" w14:textId="77777777" w:rsidR="00980E5F" w:rsidRDefault="00980E5F">
      <w:pPr>
        <w:ind w:firstLine="450"/>
      </w:pPr>
    </w:p>
    <w:p w14:paraId="392C3D7A" w14:textId="77777777" w:rsidR="00980E5F" w:rsidRDefault="00483613">
      <w:pPr>
        <w:ind w:firstLine="450"/>
        <w:jc w:val="center"/>
      </w:pPr>
      <w:r>
        <w:rPr>
          <w:rFonts w:ascii="Arial" w:eastAsia="宋体" w:hAnsi="Arial" w:cs="Arial"/>
          <w:b/>
          <w:bCs/>
          <w:color w:val="000000"/>
          <w:sz w:val="20"/>
          <w:szCs w:val="20"/>
        </w:rPr>
        <w:t>STATE STREET CORPORATION</w:t>
      </w:r>
    </w:p>
    <w:p w14:paraId="392C3D7B" w14:textId="77777777" w:rsidR="00980E5F" w:rsidRDefault="00483613">
      <w:pPr>
        <w:ind w:firstLine="450"/>
        <w:jc w:val="center"/>
      </w:pPr>
      <w:r>
        <w:rPr>
          <w:rFonts w:ascii="Arial" w:eastAsia="宋体" w:hAnsi="Arial" w:cs="Arial"/>
          <w:b/>
          <w:bCs/>
          <w:color w:val="000000"/>
          <w:sz w:val="20"/>
          <w:szCs w:val="20"/>
        </w:rPr>
        <w:t xml:space="preserve">CONSOLIDATED STATEMENT OF CASH FLOWS </w:t>
      </w:r>
    </w:p>
    <w:p w14:paraId="392C3D7C" w14:textId="77777777" w:rsidR="00980E5F" w:rsidRDefault="00483613">
      <w:pPr>
        <w:ind w:firstLine="45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39"/>
        <w:gridCol w:w="40"/>
        <w:gridCol w:w="105"/>
        <w:gridCol w:w="976"/>
        <w:gridCol w:w="36"/>
        <w:gridCol w:w="36"/>
        <w:gridCol w:w="36"/>
        <w:gridCol w:w="36"/>
        <w:gridCol w:w="105"/>
        <w:gridCol w:w="932"/>
        <w:gridCol w:w="36"/>
        <w:gridCol w:w="36"/>
        <w:gridCol w:w="36"/>
        <w:gridCol w:w="36"/>
        <w:gridCol w:w="36"/>
        <w:gridCol w:w="36"/>
        <w:gridCol w:w="36"/>
      </w:tblGrid>
      <w:tr w:rsidR="00980E5F" w14:paraId="392C3D8B" w14:textId="77777777">
        <w:trPr>
          <w:jc w:val="center"/>
        </w:trPr>
        <w:tc>
          <w:tcPr>
            <w:tcW w:w="50" w:type="pct"/>
            <w:shd w:val="clear" w:color="auto" w:fill="auto"/>
            <w:vAlign w:val="bottom"/>
          </w:tcPr>
          <w:p w14:paraId="392C3D7D" w14:textId="77777777" w:rsidR="00980E5F" w:rsidRDefault="00980E5F">
            <w:pPr>
              <w:rPr>
                <w:rFonts w:ascii="宋体"/>
              </w:rPr>
            </w:pPr>
          </w:p>
        </w:tc>
        <w:tc>
          <w:tcPr>
            <w:tcW w:w="3556" w:type="pct"/>
            <w:shd w:val="clear" w:color="auto" w:fill="auto"/>
            <w:vAlign w:val="bottom"/>
          </w:tcPr>
          <w:p w14:paraId="392C3D7E" w14:textId="77777777" w:rsidR="00980E5F" w:rsidRDefault="00980E5F">
            <w:pPr>
              <w:rPr>
                <w:rFonts w:ascii="宋体"/>
              </w:rPr>
            </w:pPr>
          </w:p>
        </w:tc>
        <w:tc>
          <w:tcPr>
            <w:tcW w:w="5" w:type="pct"/>
            <w:shd w:val="clear" w:color="auto" w:fill="auto"/>
            <w:vAlign w:val="bottom"/>
          </w:tcPr>
          <w:p w14:paraId="392C3D7F" w14:textId="77777777" w:rsidR="00980E5F" w:rsidRDefault="00980E5F">
            <w:pPr>
              <w:rPr>
                <w:rFonts w:ascii="宋体"/>
              </w:rPr>
            </w:pPr>
          </w:p>
        </w:tc>
        <w:tc>
          <w:tcPr>
            <w:tcW w:w="50" w:type="pct"/>
            <w:shd w:val="clear" w:color="auto" w:fill="auto"/>
            <w:vAlign w:val="bottom"/>
          </w:tcPr>
          <w:p w14:paraId="392C3D80" w14:textId="77777777" w:rsidR="00980E5F" w:rsidRDefault="00980E5F">
            <w:pPr>
              <w:rPr>
                <w:rFonts w:ascii="宋体"/>
              </w:rPr>
            </w:pPr>
          </w:p>
        </w:tc>
        <w:tc>
          <w:tcPr>
            <w:tcW w:w="624" w:type="pct"/>
            <w:shd w:val="clear" w:color="auto" w:fill="auto"/>
            <w:vAlign w:val="bottom"/>
          </w:tcPr>
          <w:p w14:paraId="392C3D81" w14:textId="77777777" w:rsidR="00980E5F" w:rsidRDefault="00980E5F">
            <w:pPr>
              <w:rPr>
                <w:rFonts w:ascii="宋体"/>
              </w:rPr>
            </w:pPr>
          </w:p>
        </w:tc>
        <w:tc>
          <w:tcPr>
            <w:tcW w:w="5" w:type="pct"/>
            <w:shd w:val="clear" w:color="auto" w:fill="auto"/>
            <w:vAlign w:val="bottom"/>
          </w:tcPr>
          <w:p w14:paraId="392C3D82" w14:textId="77777777" w:rsidR="00980E5F" w:rsidRDefault="00980E5F">
            <w:pPr>
              <w:rPr>
                <w:rFonts w:ascii="宋体"/>
              </w:rPr>
            </w:pPr>
          </w:p>
        </w:tc>
        <w:tc>
          <w:tcPr>
            <w:tcW w:w="5" w:type="pct"/>
            <w:shd w:val="clear" w:color="auto" w:fill="auto"/>
            <w:vAlign w:val="bottom"/>
          </w:tcPr>
          <w:p w14:paraId="392C3D83" w14:textId="77777777" w:rsidR="00980E5F" w:rsidRDefault="00980E5F">
            <w:pPr>
              <w:rPr>
                <w:rFonts w:ascii="宋体"/>
              </w:rPr>
            </w:pPr>
          </w:p>
        </w:tc>
        <w:tc>
          <w:tcPr>
            <w:tcW w:w="26" w:type="pct"/>
            <w:shd w:val="clear" w:color="auto" w:fill="auto"/>
            <w:vAlign w:val="bottom"/>
          </w:tcPr>
          <w:p w14:paraId="392C3D84" w14:textId="77777777" w:rsidR="00980E5F" w:rsidRDefault="00980E5F">
            <w:pPr>
              <w:rPr>
                <w:rFonts w:ascii="宋体"/>
              </w:rPr>
            </w:pPr>
          </w:p>
        </w:tc>
        <w:tc>
          <w:tcPr>
            <w:tcW w:w="5" w:type="pct"/>
            <w:shd w:val="clear" w:color="auto" w:fill="auto"/>
            <w:vAlign w:val="bottom"/>
          </w:tcPr>
          <w:p w14:paraId="392C3D85" w14:textId="77777777" w:rsidR="00980E5F" w:rsidRDefault="00980E5F">
            <w:pPr>
              <w:rPr>
                <w:rFonts w:ascii="宋体"/>
              </w:rPr>
            </w:pPr>
          </w:p>
        </w:tc>
        <w:tc>
          <w:tcPr>
            <w:tcW w:w="50" w:type="pct"/>
            <w:shd w:val="clear" w:color="auto" w:fill="auto"/>
            <w:vAlign w:val="bottom"/>
          </w:tcPr>
          <w:p w14:paraId="392C3D86" w14:textId="77777777" w:rsidR="00980E5F" w:rsidRDefault="00980E5F">
            <w:pPr>
              <w:rPr>
                <w:rFonts w:ascii="宋体"/>
              </w:rPr>
            </w:pPr>
          </w:p>
        </w:tc>
        <w:tc>
          <w:tcPr>
            <w:tcW w:w="617" w:type="pct"/>
            <w:shd w:val="clear" w:color="auto" w:fill="auto"/>
            <w:vAlign w:val="bottom"/>
          </w:tcPr>
          <w:p w14:paraId="392C3D87" w14:textId="77777777" w:rsidR="00980E5F" w:rsidRDefault="00980E5F">
            <w:pPr>
              <w:rPr>
                <w:rFonts w:ascii="宋体"/>
              </w:rPr>
            </w:pPr>
          </w:p>
        </w:tc>
        <w:tc>
          <w:tcPr>
            <w:tcW w:w="5" w:type="pct"/>
            <w:shd w:val="clear" w:color="auto" w:fill="auto"/>
            <w:vAlign w:val="bottom"/>
          </w:tcPr>
          <w:p w14:paraId="392C3D88" w14:textId="77777777" w:rsidR="00980E5F" w:rsidRDefault="00980E5F">
            <w:pPr>
              <w:rPr>
                <w:rFonts w:ascii="宋体"/>
              </w:rPr>
            </w:pPr>
          </w:p>
        </w:tc>
        <w:tc>
          <w:tcPr>
            <w:tcW w:w="0" w:type="auto"/>
            <w:gridSpan w:val="3"/>
            <w:shd w:val="clear" w:color="auto" w:fill="auto"/>
            <w:vAlign w:val="bottom"/>
          </w:tcPr>
          <w:p w14:paraId="392C3D89" w14:textId="77777777" w:rsidR="00980E5F" w:rsidRDefault="00980E5F">
            <w:pPr>
              <w:rPr>
                <w:rFonts w:ascii="宋体"/>
                <w:vanish/>
              </w:rPr>
            </w:pPr>
          </w:p>
        </w:tc>
        <w:tc>
          <w:tcPr>
            <w:tcW w:w="0" w:type="auto"/>
            <w:gridSpan w:val="3"/>
            <w:shd w:val="clear" w:color="auto" w:fill="auto"/>
            <w:vAlign w:val="bottom"/>
          </w:tcPr>
          <w:p w14:paraId="392C3D8A" w14:textId="77777777" w:rsidR="00980E5F" w:rsidRDefault="00980E5F">
            <w:pPr>
              <w:rPr>
                <w:rFonts w:ascii="宋体"/>
                <w:vanish/>
              </w:rPr>
            </w:pPr>
          </w:p>
        </w:tc>
      </w:tr>
      <w:tr w:rsidR="00980E5F" w14:paraId="392C3D94" w14:textId="77777777">
        <w:trPr>
          <w:jc w:val="center"/>
        </w:trPr>
        <w:tc>
          <w:tcPr>
            <w:tcW w:w="0" w:type="auto"/>
            <w:gridSpan w:val="3"/>
            <w:shd w:val="clear" w:color="auto" w:fill="auto"/>
            <w:tcMar>
              <w:top w:w="0" w:type="dxa"/>
              <w:left w:w="20" w:type="dxa"/>
              <w:bottom w:w="0" w:type="dxa"/>
              <w:right w:w="20" w:type="dxa"/>
            </w:tcMar>
            <w:vAlign w:val="bottom"/>
          </w:tcPr>
          <w:p w14:paraId="392C3D8C"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3D8D" w14:textId="77777777" w:rsidR="00980E5F" w:rsidRDefault="00483613">
            <w:pPr>
              <w:jc w:val="center"/>
              <w:textAlignment w:val="bottom"/>
            </w:pPr>
            <w:r>
              <w:rPr>
                <w:rFonts w:ascii="Arial" w:eastAsia="宋体" w:hAnsi="Arial" w:cs="Arial"/>
                <w:b/>
                <w:bCs/>
                <w:color w:val="000000"/>
                <w:sz w:val="15"/>
                <w:szCs w:val="15"/>
              </w:rPr>
              <w:t>Six Months Ended June 30,</w:t>
            </w:r>
          </w:p>
        </w:tc>
        <w:tc>
          <w:tcPr>
            <w:tcW w:w="0" w:type="auto"/>
            <w:shd w:val="clear" w:color="auto" w:fill="auto"/>
            <w:vAlign w:val="bottom"/>
          </w:tcPr>
          <w:p w14:paraId="392C3D8E" w14:textId="77777777" w:rsidR="00980E5F" w:rsidRDefault="00980E5F">
            <w:pPr>
              <w:rPr>
                <w:rFonts w:ascii="宋体"/>
              </w:rPr>
            </w:pPr>
          </w:p>
        </w:tc>
        <w:tc>
          <w:tcPr>
            <w:tcW w:w="0" w:type="auto"/>
            <w:shd w:val="clear" w:color="auto" w:fill="auto"/>
            <w:vAlign w:val="bottom"/>
          </w:tcPr>
          <w:p w14:paraId="392C3D8F" w14:textId="77777777" w:rsidR="00980E5F" w:rsidRDefault="00980E5F">
            <w:pPr>
              <w:rPr>
                <w:rFonts w:ascii="宋体"/>
              </w:rPr>
            </w:pPr>
          </w:p>
        </w:tc>
        <w:tc>
          <w:tcPr>
            <w:tcW w:w="0" w:type="auto"/>
            <w:shd w:val="clear" w:color="auto" w:fill="auto"/>
            <w:vAlign w:val="bottom"/>
          </w:tcPr>
          <w:p w14:paraId="392C3D90" w14:textId="77777777" w:rsidR="00980E5F" w:rsidRDefault="00980E5F">
            <w:pPr>
              <w:rPr>
                <w:rFonts w:ascii="宋体"/>
              </w:rPr>
            </w:pPr>
          </w:p>
        </w:tc>
        <w:tc>
          <w:tcPr>
            <w:tcW w:w="0" w:type="auto"/>
            <w:shd w:val="clear" w:color="auto" w:fill="auto"/>
            <w:vAlign w:val="bottom"/>
          </w:tcPr>
          <w:p w14:paraId="392C3D91" w14:textId="77777777" w:rsidR="00980E5F" w:rsidRDefault="00980E5F">
            <w:pPr>
              <w:rPr>
                <w:rFonts w:ascii="宋体"/>
              </w:rPr>
            </w:pPr>
          </w:p>
        </w:tc>
        <w:tc>
          <w:tcPr>
            <w:tcW w:w="0" w:type="auto"/>
            <w:shd w:val="clear" w:color="auto" w:fill="auto"/>
            <w:vAlign w:val="bottom"/>
          </w:tcPr>
          <w:p w14:paraId="392C3D92" w14:textId="77777777" w:rsidR="00980E5F" w:rsidRDefault="00980E5F">
            <w:pPr>
              <w:rPr>
                <w:rFonts w:ascii="宋体"/>
              </w:rPr>
            </w:pPr>
          </w:p>
        </w:tc>
        <w:tc>
          <w:tcPr>
            <w:tcW w:w="0" w:type="auto"/>
            <w:shd w:val="clear" w:color="auto" w:fill="auto"/>
            <w:vAlign w:val="bottom"/>
          </w:tcPr>
          <w:p w14:paraId="392C3D93" w14:textId="77777777" w:rsidR="00980E5F" w:rsidRDefault="00980E5F">
            <w:pPr>
              <w:rPr>
                <w:rFonts w:ascii="宋体"/>
              </w:rPr>
            </w:pPr>
          </w:p>
        </w:tc>
      </w:tr>
      <w:tr w:rsidR="00980E5F" w14:paraId="392C3D9B" w14:textId="77777777">
        <w:trPr>
          <w:jc w:val="center"/>
        </w:trPr>
        <w:tc>
          <w:tcPr>
            <w:tcW w:w="0" w:type="auto"/>
            <w:gridSpan w:val="3"/>
            <w:shd w:val="clear" w:color="auto" w:fill="auto"/>
            <w:tcMar>
              <w:top w:w="40" w:type="dxa"/>
              <w:left w:w="20" w:type="dxa"/>
              <w:bottom w:w="40" w:type="dxa"/>
              <w:right w:w="20" w:type="dxa"/>
            </w:tcMar>
            <w:vAlign w:val="bottom"/>
          </w:tcPr>
          <w:p w14:paraId="392C3D95"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D96"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D9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3D98" w14:textId="77777777" w:rsidR="00980E5F" w:rsidRDefault="00483613">
            <w:pPr>
              <w:jc w:val="center"/>
              <w:textAlignment w:val="bottom"/>
            </w:pPr>
            <w:r>
              <w:rPr>
                <w:rFonts w:ascii="Arial" w:eastAsia="宋体" w:hAnsi="Arial" w:cs="Arial"/>
                <w:b/>
                <w:bCs/>
                <w:color w:val="000000"/>
                <w:sz w:val="15"/>
                <w:szCs w:val="15"/>
              </w:rPr>
              <w:t>2021</w:t>
            </w:r>
          </w:p>
        </w:tc>
        <w:tc>
          <w:tcPr>
            <w:tcW w:w="0" w:type="auto"/>
            <w:gridSpan w:val="3"/>
            <w:shd w:val="clear" w:color="auto" w:fill="auto"/>
            <w:vAlign w:val="bottom"/>
          </w:tcPr>
          <w:p w14:paraId="392C3D99" w14:textId="77777777" w:rsidR="00980E5F" w:rsidRDefault="00980E5F">
            <w:pPr>
              <w:rPr>
                <w:rFonts w:ascii="宋体"/>
                <w:vanish/>
              </w:rPr>
            </w:pPr>
          </w:p>
        </w:tc>
        <w:tc>
          <w:tcPr>
            <w:tcW w:w="0" w:type="auto"/>
            <w:gridSpan w:val="3"/>
            <w:shd w:val="clear" w:color="auto" w:fill="auto"/>
            <w:vAlign w:val="bottom"/>
          </w:tcPr>
          <w:p w14:paraId="392C3D9A" w14:textId="77777777" w:rsidR="00980E5F" w:rsidRDefault="00980E5F">
            <w:pPr>
              <w:rPr>
                <w:rFonts w:ascii="宋体"/>
                <w:vanish/>
              </w:rPr>
            </w:pPr>
          </w:p>
        </w:tc>
      </w:tr>
      <w:tr w:rsidR="00980E5F" w14:paraId="392C3DA2" w14:textId="77777777">
        <w:trPr>
          <w:jc w:val="center"/>
        </w:trPr>
        <w:tc>
          <w:tcPr>
            <w:tcW w:w="0" w:type="auto"/>
            <w:gridSpan w:val="3"/>
            <w:shd w:val="clear" w:color="auto" w:fill="auto"/>
            <w:tcMar>
              <w:top w:w="40" w:type="dxa"/>
              <w:left w:w="20" w:type="dxa"/>
              <w:bottom w:w="40" w:type="dxa"/>
              <w:right w:w="20" w:type="dxa"/>
            </w:tcMar>
            <w:vAlign w:val="bottom"/>
          </w:tcPr>
          <w:p w14:paraId="392C3D9C" w14:textId="77777777" w:rsidR="00980E5F" w:rsidRDefault="00483613">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D9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D9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3D9F" w14:textId="77777777" w:rsidR="00980E5F" w:rsidRDefault="00980E5F">
            <w:pPr>
              <w:rPr>
                <w:rFonts w:ascii="宋体"/>
              </w:rPr>
            </w:pPr>
          </w:p>
        </w:tc>
        <w:tc>
          <w:tcPr>
            <w:tcW w:w="0" w:type="auto"/>
            <w:gridSpan w:val="3"/>
            <w:shd w:val="clear" w:color="auto" w:fill="auto"/>
            <w:vAlign w:val="bottom"/>
          </w:tcPr>
          <w:p w14:paraId="392C3DA0" w14:textId="77777777" w:rsidR="00980E5F" w:rsidRDefault="00980E5F">
            <w:pPr>
              <w:rPr>
                <w:rFonts w:ascii="宋体"/>
                <w:vanish/>
              </w:rPr>
            </w:pPr>
          </w:p>
        </w:tc>
        <w:tc>
          <w:tcPr>
            <w:tcW w:w="0" w:type="auto"/>
            <w:gridSpan w:val="3"/>
            <w:shd w:val="clear" w:color="auto" w:fill="auto"/>
            <w:vAlign w:val="bottom"/>
          </w:tcPr>
          <w:p w14:paraId="392C3DA1" w14:textId="77777777" w:rsidR="00980E5F" w:rsidRDefault="00980E5F">
            <w:pPr>
              <w:rPr>
                <w:rFonts w:ascii="宋体"/>
                <w:vanish/>
              </w:rPr>
            </w:pPr>
          </w:p>
        </w:tc>
      </w:tr>
      <w:tr w:rsidR="00980E5F" w14:paraId="392C3DAD" w14:textId="77777777">
        <w:trPr>
          <w:jc w:val="center"/>
        </w:trPr>
        <w:tc>
          <w:tcPr>
            <w:tcW w:w="0" w:type="auto"/>
            <w:gridSpan w:val="3"/>
            <w:shd w:val="clear" w:color="auto" w:fill="CCEEFF"/>
            <w:tcMar>
              <w:top w:w="40" w:type="dxa"/>
              <w:left w:w="20" w:type="dxa"/>
              <w:bottom w:w="40" w:type="dxa"/>
              <w:right w:w="20" w:type="dxa"/>
            </w:tcMar>
            <w:vAlign w:val="bottom"/>
          </w:tcPr>
          <w:p w14:paraId="392C3DA3" w14:textId="77777777" w:rsidR="00980E5F" w:rsidRDefault="00483613">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392C3DA4"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3DA5" w14:textId="77777777" w:rsidR="00980E5F" w:rsidRDefault="00483613">
            <w:pPr>
              <w:jc w:val="right"/>
              <w:textAlignment w:val="bottom"/>
            </w:pPr>
            <w:r>
              <w:rPr>
                <w:rFonts w:ascii="Arial" w:eastAsia="宋体" w:hAnsi="Arial" w:cs="Arial"/>
                <w:b/>
                <w:bCs/>
                <w:color w:val="000000"/>
                <w:sz w:val="15"/>
                <w:szCs w:val="15"/>
              </w:rPr>
              <w:t>1,351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A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3DA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3DA9" w14:textId="77777777" w:rsidR="00980E5F" w:rsidRDefault="00483613">
            <w:pPr>
              <w:jc w:val="right"/>
              <w:textAlignment w:val="bottom"/>
            </w:pPr>
            <w:r>
              <w:rPr>
                <w:rFonts w:ascii="Arial" w:eastAsia="宋体" w:hAnsi="Arial" w:cs="Arial"/>
                <w:color w:val="000000"/>
                <w:sz w:val="15"/>
                <w:szCs w:val="15"/>
              </w:rPr>
              <w:t>1,282 </w:t>
            </w:r>
          </w:p>
        </w:tc>
        <w:tc>
          <w:tcPr>
            <w:tcW w:w="0" w:type="auto"/>
            <w:shd w:val="clear" w:color="auto" w:fill="CCEEFF"/>
            <w:tcMar>
              <w:top w:w="40" w:type="dxa"/>
              <w:left w:w="0" w:type="dxa"/>
              <w:bottom w:w="40" w:type="dxa"/>
              <w:right w:w="20" w:type="dxa"/>
            </w:tcMar>
            <w:vAlign w:val="bottom"/>
          </w:tcPr>
          <w:p w14:paraId="392C3DAA" w14:textId="77777777" w:rsidR="00980E5F" w:rsidRDefault="00980E5F">
            <w:pPr>
              <w:jc w:val="right"/>
              <w:rPr>
                <w:rFonts w:ascii="宋体"/>
              </w:rPr>
            </w:pPr>
          </w:p>
        </w:tc>
        <w:tc>
          <w:tcPr>
            <w:tcW w:w="0" w:type="auto"/>
            <w:gridSpan w:val="3"/>
            <w:shd w:val="clear" w:color="auto" w:fill="auto"/>
            <w:vAlign w:val="bottom"/>
          </w:tcPr>
          <w:p w14:paraId="392C3DAB" w14:textId="77777777" w:rsidR="00980E5F" w:rsidRDefault="00980E5F">
            <w:pPr>
              <w:rPr>
                <w:rFonts w:ascii="宋体"/>
                <w:vanish/>
              </w:rPr>
            </w:pPr>
          </w:p>
        </w:tc>
        <w:tc>
          <w:tcPr>
            <w:tcW w:w="0" w:type="auto"/>
            <w:gridSpan w:val="3"/>
            <w:shd w:val="clear" w:color="auto" w:fill="auto"/>
            <w:vAlign w:val="bottom"/>
          </w:tcPr>
          <w:p w14:paraId="392C3DAC" w14:textId="77777777" w:rsidR="00980E5F" w:rsidRDefault="00980E5F">
            <w:pPr>
              <w:rPr>
                <w:rFonts w:ascii="宋体"/>
                <w:vanish/>
              </w:rPr>
            </w:pPr>
          </w:p>
        </w:tc>
      </w:tr>
      <w:tr w:rsidR="00980E5F" w14:paraId="392C3DB4" w14:textId="77777777">
        <w:trPr>
          <w:jc w:val="center"/>
        </w:trPr>
        <w:tc>
          <w:tcPr>
            <w:tcW w:w="0" w:type="auto"/>
            <w:gridSpan w:val="3"/>
            <w:shd w:val="clear" w:color="auto" w:fill="FFFFFF"/>
            <w:tcMar>
              <w:top w:w="40" w:type="dxa"/>
              <w:left w:w="20" w:type="dxa"/>
              <w:bottom w:w="40" w:type="dxa"/>
              <w:right w:w="20" w:type="dxa"/>
            </w:tcMar>
            <w:vAlign w:val="bottom"/>
          </w:tcPr>
          <w:p w14:paraId="392C3DAE" w14:textId="77777777" w:rsidR="00980E5F" w:rsidRDefault="00483613">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392C3DA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B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DB1" w14:textId="77777777" w:rsidR="00980E5F" w:rsidRDefault="00980E5F">
            <w:pPr>
              <w:rPr>
                <w:rFonts w:ascii="宋体"/>
              </w:rPr>
            </w:pPr>
          </w:p>
        </w:tc>
        <w:tc>
          <w:tcPr>
            <w:tcW w:w="0" w:type="auto"/>
            <w:gridSpan w:val="3"/>
            <w:shd w:val="clear" w:color="auto" w:fill="auto"/>
            <w:vAlign w:val="bottom"/>
          </w:tcPr>
          <w:p w14:paraId="392C3DB2" w14:textId="77777777" w:rsidR="00980E5F" w:rsidRDefault="00980E5F">
            <w:pPr>
              <w:rPr>
                <w:rFonts w:ascii="宋体"/>
                <w:vanish/>
              </w:rPr>
            </w:pPr>
          </w:p>
        </w:tc>
        <w:tc>
          <w:tcPr>
            <w:tcW w:w="0" w:type="auto"/>
            <w:gridSpan w:val="3"/>
            <w:shd w:val="clear" w:color="auto" w:fill="auto"/>
            <w:vAlign w:val="bottom"/>
          </w:tcPr>
          <w:p w14:paraId="392C3DB3" w14:textId="77777777" w:rsidR="00980E5F" w:rsidRDefault="00980E5F">
            <w:pPr>
              <w:rPr>
                <w:rFonts w:ascii="宋体"/>
                <w:vanish/>
              </w:rPr>
            </w:pPr>
          </w:p>
        </w:tc>
      </w:tr>
      <w:tr w:rsidR="00980E5F" w14:paraId="392C3DBD" w14:textId="77777777">
        <w:trPr>
          <w:jc w:val="center"/>
        </w:trPr>
        <w:tc>
          <w:tcPr>
            <w:tcW w:w="0" w:type="auto"/>
            <w:gridSpan w:val="3"/>
            <w:shd w:val="clear" w:color="auto" w:fill="CCEEFF"/>
            <w:tcMar>
              <w:top w:w="40" w:type="dxa"/>
              <w:left w:w="20" w:type="dxa"/>
              <w:bottom w:w="40" w:type="dxa"/>
              <w:right w:w="20" w:type="dxa"/>
            </w:tcMar>
            <w:vAlign w:val="bottom"/>
          </w:tcPr>
          <w:p w14:paraId="392C3DB5" w14:textId="77777777" w:rsidR="00980E5F" w:rsidRDefault="00483613">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392C3DB6" w14:textId="77777777" w:rsidR="00980E5F" w:rsidRDefault="00483613">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B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B9" w14:textId="77777777" w:rsidR="00980E5F" w:rsidRDefault="00483613">
            <w:pPr>
              <w:jc w:val="right"/>
              <w:textAlignment w:val="bottom"/>
            </w:pPr>
            <w:r>
              <w:rPr>
                <w:rFonts w:ascii="Arial" w:eastAsia="宋体" w:hAnsi="Arial" w:cs="Arial"/>
                <w:color w:val="000000"/>
                <w:sz w:val="15"/>
                <w:szCs w:val="15"/>
              </w:rPr>
              <w:t>(15)</w:t>
            </w:r>
          </w:p>
        </w:tc>
        <w:tc>
          <w:tcPr>
            <w:tcW w:w="0" w:type="auto"/>
            <w:shd w:val="clear" w:color="auto" w:fill="CCEEFF"/>
            <w:tcMar>
              <w:top w:w="40" w:type="dxa"/>
              <w:left w:w="0" w:type="dxa"/>
              <w:bottom w:w="40" w:type="dxa"/>
              <w:right w:w="20" w:type="dxa"/>
            </w:tcMar>
            <w:vAlign w:val="bottom"/>
          </w:tcPr>
          <w:p w14:paraId="392C3DBA" w14:textId="77777777" w:rsidR="00980E5F" w:rsidRDefault="00980E5F">
            <w:pPr>
              <w:jc w:val="right"/>
              <w:rPr>
                <w:rFonts w:ascii="宋体"/>
              </w:rPr>
            </w:pPr>
          </w:p>
        </w:tc>
        <w:tc>
          <w:tcPr>
            <w:tcW w:w="0" w:type="auto"/>
            <w:gridSpan w:val="3"/>
            <w:shd w:val="clear" w:color="auto" w:fill="auto"/>
            <w:vAlign w:val="bottom"/>
          </w:tcPr>
          <w:p w14:paraId="392C3DBB" w14:textId="77777777" w:rsidR="00980E5F" w:rsidRDefault="00980E5F">
            <w:pPr>
              <w:rPr>
                <w:rFonts w:ascii="宋体"/>
                <w:vanish/>
              </w:rPr>
            </w:pPr>
          </w:p>
        </w:tc>
        <w:tc>
          <w:tcPr>
            <w:tcW w:w="0" w:type="auto"/>
            <w:gridSpan w:val="3"/>
            <w:shd w:val="clear" w:color="auto" w:fill="auto"/>
            <w:vAlign w:val="bottom"/>
          </w:tcPr>
          <w:p w14:paraId="392C3DBC" w14:textId="77777777" w:rsidR="00980E5F" w:rsidRDefault="00980E5F">
            <w:pPr>
              <w:rPr>
                <w:rFonts w:ascii="宋体"/>
                <w:vanish/>
              </w:rPr>
            </w:pPr>
          </w:p>
        </w:tc>
      </w:tr>
      <w:tr w:rsidR="00980E5F" w14:paraId="392C3DC6" w14:textId="77777777">
        <w:trPr>
          <w:jc w:val="center"/>
        </w:trPr>
        <w:tc>
          <w:tcPr>
            <w:tcW w:w="0" w:type="auto"/>
            <w:gridSpan w:val="3"/>
            <w:shd w:val="clear" w:color="auto" w:fill="FFFFFF"/>
            <w:tcMar>
              <w:top w:w="40" w:type="dxa"/>
              <w:left w:w="20" w:type="dxa"/>
              <w:bottom w:w="40" w:type="dxa"/>
              <w:right w:w="20" w:type="dxa"/>
            </w:tcMar>
            <w:vAlign w:val="bottom"/>
          </w:tcPr>
          <w:p w14:paraId="392C3DBE" w14:textId="77777777" w:rsidR="00980E5F" w:rsidRDefault="00483613">
            <w:pPr>
              <w:textAlignment w:val="bottom"/>
            </w:pPr>
            <w:r>
              <w:rPr>
                <w:rFonts w:ascii="Arial" w:eastAsia="宋体" w:hAnsi="Arial" w:cs="Arial"/>
                <w:color w:val="000000"/>
                <w:sz w:val="15"/>
                <w:szCs w:val="15"/>
              </w:rPr>
              <w:t xml:space="preserve">Amortization of other </w:t>
            </w:r>
            <w:r>
              <w:rPr>
                <w:rFonts w:ascii="Arial" w:eastAsia="宋体" w:hAnsi="Arial" w:cs="Arial"/>
                <w:color w:val="000000"/>
                <w:sz w:val="15"/>
                <w:szCs w:val="15"/>
              </w:rPr>
              <w:t>intangible assets</w:t>
            </w:r>
          </w:p>
        </w:tc>
        <w:tc>
          <w:tcPr>
            <w:tcW w:w="0" w:type="auto"/>
            <w:gridSpan w:val="2"/>
            <w:shd w:val="clear" w:color="auto" w:fill="FFFFFF"/>
            <w:tcMar>
              <w:top w:w="40" w:type="dxa"/>
              <w:left w:w="20" w:type="dxa"/>
              <w:bottom w:w="40" w:type="dxa"/>
              <w:right w:w="0" w:type="dxa"/>
            </w:tcMar>
            <w:vAlign w:val="bottom"/>
          </w:tcPr>
          <w:p w14:paraId="392C3DBF" w14:textId="77777777" w:rsidR="00980E5F" w:rsidRDefault="00483613">
            <w:pPr>
              <w:jc w:val="right"/>
              <w:textAlignment w:val="bottom"/>
            </w:pPr>
            <w:r>
              <w:rPr>
                <w:rFonts w:ascii="Arial" w:eastAsia="宋体" w:hAnsi="Arial" w:cs="Arial"/>
                <w:b/>
                <w:bCs/>
                <w:color w:val="000000"/>
                <w:sz w:val="15"/>
                <w:szCs w:val="15"/>
              </w:rPr>
              <w:t>121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C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C2" w14:textId="77777777" w:rsidR="00980E5F" w:rsidRDefault="00483613">
            <w:pPr>
              <w:jc w:val="right"/>
              <w:textAlignment w:val="bottom"/>
            </w:pPr>
            <w:r>
              <w:rPr>
                <w:rFonts w:ascii="Arial" w:eastAsia="宋体" w:hAnsi="Arial" w:cs="Arial"/>
                <w:color w:val="000000"/>
                <w:sz w:val="15"/>
                <w:szCs w:val="15"/>
              </w:rPr>
              <w:t>121 </w:t>
            </w:r>
          </w:p>
        </w:tc>
        <w:tc>
          <w:tcPr>
            <w:tcW w:w="0" w:type="auto"/>
            <w:shd w:val="clear" w:color="auto" w:fill="FFFFFF"/>
            <w:tcMar>
              <w:top w:w="40" w:type="dxa"/>
              <w:left w:w="0" w:type="dxa"/>
              <w:bottom w:w="40" w:type="dxa"/>
              <w:right w:w="20" w:type="dxa"/>
            </w:tcMar>
            <w:vAlign w:val="bottom"/>
          </w:tcPr>
          <w:p w14:paraId="392C3DC3" w14:textId="77777777" w:rsidR="00980E5F" w:rsidRDefault="00980E5F">
            <w:pPr>
              <w:jc w:val="right"/>
              <w:rPr>
                <w:rFonts w:ascii="宋体"/>
              </w:rPr>
            </w:pPr>
          </w:p>
        </w:tc>
        <w:tc>
          <w:tcPr>
            <w:tcW w:w="0" w:type="auto"/>
            <w:gridSpan w:val="3"/>
            <w:shd w:val="clear" w:color="auto" w:fill="auto"/>
            <w:vAlign w:val="bottom"/>
          </w:tcPr>
          <w:p w14:paraId="392C3DC4" w14:textId="77777777" w:rsidR="00980E5F" w:rsidRDefault="00980E5F">
            <w:pPr>
              <w:rPr>
                <w:rFonts w:ascii="宋体"/>
                <w:vanish/>
              </w:rPr>
            </w:pPr>
          </w:p>
        </w:tc>
        <w:tc>
          <w:tcPr>
            <w:tcW w:w="0" w:type="auto"/>
            <w:gridSpan w:val="3"/>
            <w:shd w:val="clear" w:color="auto" w:fill="auto"/>
            <w:vAlign w:val="bottom"/>
          </w:tcPr>
          <w:p w14:paraId="392C3DC5" w14:textId="77777777" w:rsidR="00980E5F" w:rsidRDefault="00980E5F">
            <w:pPr>
              <w:rPr>
                <w:rFonts w:ascii="宋体"/>
                <w:vanish/>
              </w:rPr>
            </w:pPr>
          </w:p>
        </w:tc>
      </w:tr>
      <w:tr w:rsidR="00980E5F" w14:paraId="392C3DCF" w14:textId="77777777">
        <w:trPr>
          <w:jc w:val="center"/>
        </w:trPr>
        <w:tc>
          <w:tcPr>
            <w:tcW w:w="0" w:type="auto"/>
            <w:gridSpan w:val="3"/>
            <w:shd w:val="clear" w:color="auto" w:fill="CCEEFF"/>
            <w:tcMar>
              <w:top w:w="40" w:type="dxa"/>
              <w:left w:w="20" w:type="dxa"/>
              <w:bottom w:w="40" w:type="dxa"/>
              <w:right w:w="20" w:type="dxa"/>
            </w:tcMar>
            <w:vAlign w:val="bottom"/>
          </w:tcPr>
          <w:p w14:paraId="392C3DC7" w14:textId="77777777" w:rsidR="00980E5F" w:rsidRDefault="00483613">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392C3DC8" w14:textId="77777777" w:rsidR="00980E5F" w:rsidRDefault="00483613">
            <w:pPr>
              <w:jc w:val="right"/>
              <w:textAlignment w:val="bottom"/>
            </w:pPr>
            <w:r>
              <w:rPr>
                <w:rFonts w:ascii="Arial" w:eastAsia="宋体" w:hAnsi="Arial" w:cs="Arial"/>
                <w:b/>
                <w:bCs/>
                <w:color w:val="000000"/>
                <w:sz w:val="15"/>
                <w:szCs w:val="15"/>
              </w:rPr>
              <w:t>420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CB" w14:textId="77777777" w:rsidR="00980E5F" w:rsidRDefault="00483613">
            <w:pPr>
              <w:jc w:val="right"/>
              <w:textAlignment w:val="bottom"/>
            </w:pPr>
            <w:r>
              <w:rPr>
                <w:rFonts w:ascii="Arial" w:eastAsia="宋体" w:hAnsi="Arial" w:cs="Arial"/>
                <w:color w:val="000000"/>
                <w:sz w:val="15"/>
                <w:szCs w:val="15"/>
              </w:rPr>
              <w:t>700 </w:t>
            </w:r>
          </w:p>
        </w:tc>
        <w:tc>
          <w:tcPr>
            <w:tcW w:w="0" w:type="auto"/>
            <w:shd w:val="clear" w:color="auto" w:fill="CCEEFF"/>
            <w:tcMar>
              <w:top w:w="40" w:type="dxa"/>
              <w:left w:w="0" w:type="dxa"/>
              <w:bottom w:w="40" w:type="dxa"/>
              <w:right w:w="20" w:type="dxa"/>
            </w:tcMar>
            <w:vAlign w:val="bottom"/>
          </w:tcPr>
          <w:p w14:paraId="392C3DCC" w14:textId="77777777" w:rsidR="00980E5F" w:rsidRDefault="00980E5F">
            <w:pPr>
              <w:jc w:val="right"/>
              <w:rPr>
                <w:rFonts w:ascii="宋体"/>
              </w:rPr>
            </w:pPr>
          </w:p>
        </w:tc>
        <w:tc>
          <w:tcPr>
            <w:tcW w:w="0" w:type="auto"/>
            <w:gridSpan w:val="3"/>
            <w:shd w:val="clear" w:color="auto" w:fill="auto"/>
            <w:vAlign w:val="bottom"/>
          </w:tcPr>
          <w:p w14:paraId="392C3DCD" w14:textId="77777777" w:rsidR="00980E5F" w:rsidRDefault="00980E5F">
            <w:pPr>
              <w:rPr>
                <w:rFonts w:ascii="宋体"/>
                <w:vanish/>
              </w:rPr>
            </w:pPr>
          </w:p>
        </w:tc>
        <w:tc>
          <w:tcPr>
            <w:tcW w:w="0" w:type="auto"/>
            <w:gridSpan w:val="3"/>
            <w:shd w:val="clear" w:color="auto" w:fill="auto"/>
            <w:vAlign w:val="bottom"/>
          </w:tcPr>
          <w:p w14:paraId="392C3DCE" w14:textId="77777777" w:rsidR="00980E5F" w:rsidRDefault="00980E5F">
            <w:pPr>
              <w:rPr>
                <w:rFonts w:ascii="宋体"/>
                <w:vanish/>
              </w:rPr>
            </w:pPr>
          </w:p>
        </w:tc>
      </w:tr>
      <w:tr w:rsidR="00980E5F" w14:paraId="392C3DD8" w14:textId="77777777">
        <w:trPr>
          <w:jc w:val="center"/>
        </w:trPr>
        <w:tc>
          <w:tcPr>
            <w:tcW w:w="0" w:type="auto"/>
            <w:gridSpan w:val="3"/>
            <w:shd w:val="clear" w:color="auto" w:fill="FFFFFF"/>
            <w:tcMar>
              <w:top w:w="40" w:type="dxa"/>
              <w:left w:w="20" w:type="dxa"/>
              <w:bottom w:w="40" w:type="dxa"/>
              <w:right w:w="20" w:type="dxa"/>
            </w:tcMar>
            <w:vAlign w:val="bottom"/>
          </w:tcPr>
          <w:p w14:paraId="392C3DD0" w14:textId="77777777" w:rsidR="00980E5F" w:rsidRDefault="00483613">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392C3DD1"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D4"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D5" w14:textId="77777777" w:rsidR="00980E5F" w:rsidRDefault="00980E5F">
            <w:pPr>
              <w:jc w:val="right"/>
              <w:rPr>
                <w:rFonts w:ascii="宋体"/>
              </w:rPr>
            </w:pPr>
          </w:p>
        </w:tc>
        <w:tc>
          <w:tcPr>
            <w:tcW w:w="0" w:type="auto"/>
            <w:gridSpan w:val="3"/>
            <w:shd w:val="clear" w:color="auto" w:fill="auto"/>
            <w:vAlign w:val="bottom"/>
          </w:tcPr>
          <w:p w14:paraId="392C3DD6" w14:textId="77777777" w:rsidR="00980E5F" w:rsidRDefault="00980E5F">
            <w:pPr>
              <w:rPr>
                <w:rFonts w:ascii="宋体"/>
                <w:vanish/>
              </w:rPr>
            </w:pPr>
          </w:p>
        </w:tc>
        <w:tc>
          <w:tcPr>
            <w:tcW w:w="0" w:type="auto"/>
            <w:gridSpan w:val="3"/>
            <w:shd w:val="clear" w:color="auto" w:fill="auto"/>
            <w:vAlign w:val="bottom"/>
          </w:tcPr>
          <w:p w14:paraId="392C3DD7" w14:textId="77777777" w:rsidR="00980E5F" w:rsidRDefault="00980E5F">
            <w:pPr>
              <w:rPr>
                <w:rFonts w:ascii="宋体"/>
                <w:vanish/>
              </w:rPr>
            </w:pPr>
          </w:p>
        </w:tc>
      </w:tr>
      <w:tr w:rsidR="00980E5F" w14:paraId="392C3DE1" w14:textId="77777777">
        <w:trPr>
          <w:jc w:val="center"/>
        </w:trPr>
        <w:tc>
          <w:tcPr>
            <w:tcW w:w="0" w:type="auto"/>
            <w:gridSpan w:val="3"/>
            <w:shd w:val="clear" w:color="auto" w:fill="CCEEFF"/>
            <w:tcMar>
              <w:top w:w="40" w:type="dxa"/>
              <w:left w:w="20" w:type="dxa"/>
              <w:bottom w:w="40" w:type="dxa"/>
              <w:right w:w="20" w:type="dxa"/>
            </w:tcMar>
            <w:vAlign w:val="bottom"/>
          </w:tcPr>
          <w:p w14:paraId="392C3DD9" w14:textId="77777777" w:rsidR="00980E5F" w:rsidRDefault="00483613">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392C3DDA" w14:textId="77777777" w:rsidR="00980E5F" w:rsidRDefault="00483613">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D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D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DD" w14:textId="77777777" w:rsidR="00980E5F" w:rsidRDefault="00483613">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392C3DDE" w14:textId="77777777" w:rsidR="00980E5F" w:rsidRDefault="00980E5F">
            <w:pPr>
              <w:jc w:val="right"/>
              <w:rPr>
                <w:rFonts w:ascii="宋体"/>
              </w:rPr>
            </w:pPr>
          </w:p>
        </w:tc>
        <w:tc>
          <w:tcPr>
            <w:tcW w:w="0" w:type="auto"/>
            <w:gridSpan w:val="3"/>
            <w:shd w:val="clear" w:color="auto" w:fill="auto"/>
            <w:vAlign w:val="bottom"/>
          </w:tcPr>
          <w:p w14:paraId="392C3DDF" w14:textId="77777777" w:rsidR="00980E5F" w:rsidRDefault="00980E5F">
            <w:pPr>
              <w:rPr>
                <w:rFonts w:ascii="宋体"/>
                <w:vanish/>
              </w:rPr>
            </w:pPr>
          </w:p>
        </w:tc>
        <w:tc>
          <w:tcPr>
            <w:tcW w:w="0" w:type="auto"/>
            <w:gridSpan w:val="3"/>
            <w:shd w:val="clear" w:color="auto" w:fill="auto"/>
            <w:vAlign w:val="bottom"/>
          </w:tcPr>
          <w:p w14:paraId="392C3DE0" w14:textId="77777777" w:rsidR="00980E5F" w:rsidRDefault="00980E5F">
            <w:pPr>
              <w:rPr>
                <w:rFonts w:ascii="宋体"/>
                <w:vanish/>
              </w:rPr>
            </w:pPr>
          </w:p>
        </w:tc>
      </w:tr>
      <w:tr w:rsidR="00980E5F" w14:paraId="392C3DEA" w14:textId="77777777">
        <w:trPr>
          <w:jc w:val="center"/>
        </w:trPr>
        <w:tc>
          <w:tcPr>
            <w:tcW w:w="0" w:type="auto"/>
            <w:gridSpan w:val="3"/>
            <w:shd w:val="clear" w:color="auto" w:fill="FFFFFF"/>
            <w:tcMar>
              <w:top w:w="40" w:type="dxa"/>
              <w:left w:w="20" w:type="dxa"/>
              <w:bottom w:w="40" w:type="dxa"/>
              <w:right w:w="20" w:type="dxa"/>
            </w:tcMar>
            <w:vAlign w:val="bottom"/>
          </w:tcPr>
          <w:p w14:paraId="392C3DE2" w14:textId="77777777" w:rsidR="00980E5F" w:rsidRDefault="00483613">
            <w:pPr>
              <w:textAlignment w:val="bottom"/>
            </w:pPr>
            <w:r>
              <w:rPr>
                <w:rFonts w:ascii="Arial" w:eastAsia="宋体" w:hAnsi="Arial" w:cs="Arial"/>
                <w:color w:val="000000"/>
                <w:sz w:val="15"/>
                <w:szCs w:val="15"/>
              </w:rPr>
              <w:t xml:space="preserve">Change in </w:t>
            </w:r>
            <w:r>
              <w:rPr>
                <w:rFonts w:ascii="Arial" w:eastAsia="宋体" w:hAnsi="Arial" w:cs="Arial"/>
                <w:color w:val="000000"/>
                <w:sz w:val="15"/>
                <w:szCs w:val="15"/>
              </w:rPr>
              <w:t>trading account assets, net</w:t>
            </w:r>
          </w:p>
        </w:tc>
        <w:tc>
          <w:tcPr>
            <w:tcW w:w="0" w:type="auto"/>
            <w:gridSpan w:val="2"/>
            <w:shd w:val="clear" w:color="auto" w:fill="FFFFFF"/>
            <w:tcMar>
              <w:top w:w="40" w:type="dxa"/>
              <w:left w:w="20" w:type="dxa"/>
              <w:bottom w:w="40" w:type="dxa"/>
              <w:right w:w="0" w:type="dxa"/>
            </w:tcMar>
            <w:vAlign w:val="bottom"/>
          </w:tcPr>
          <w:p w14:paraId="392C3DE3" w14:textId="77777777" w:rsidR="00980E5F" w:rsidRDefault="00483613">
            <w:pPr>
              <w:jc w:val="right"/>
              <w:textAlignment w:val="bottom"/>
            </w:pPr>
            <w:r>
              <w:rPr>
                <w:rFonts w:ascii="Arial" w:eastAsia="宋体" w:hAnsi="Arial" w:cs="Arial"/>
                <w:b/>
                <w:bCs/>
                <w:color w:val="000000"/>
                <w:sz w:val="15"/>
                <w:szCs w:val="15"/>
              </w:rPr>
              <w:t>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E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E6" w14:textId="77777777" w:rsidR="00980E5F" w:rsidRDefault="00483613">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392C3DE7" w14:textId="77777777" w:rsidR="00980E5F" w:rsidRDefault="00980E5F">
            <w:pPr>
              <w:jc w:val="right"/>
              <w:rPr>
                <w:rFonts w:ascii="宋体"/>
              </w:rPr>
            </w:pPr>
          </w:p>
        </w:tc>
        <w:tc>
          <w:tcPr>
            <w:tcW w:w="0" w:type="auto"/>
            <w:gridSpan w:val="3"/>
            <w:shd w:val="clear" w:color="auto" w:fill="auto"/>
            <w:vAlign w:val="bottom"/>
          </w:tcPr>
          <w:p w14:paraId="392C3DE8" w14:textId="77777777" w:rsidR="00980E5F" w:rsidRDefault="00980E5F">
            <w:pPr>
              <w:rPr>
                <w:rFonts w:ascii="宋体"/>
                <w:vanish/>
              </w:rPr>
            </w:pPr>
          </w:p>
        </w:tc>
        <w:tc>
          <w:tcPr>
            <w:tcW w:w="0" w:type="auto"/>
            <w:gridSpan w:val="3"/>
            <w:shd w:val="clear" w:color="auto" w:fill="auto"/>
            <w:vAlign w:val="bottom"/>
          </w:tcPr>
          <w:p w14:paraId="392C3DE9" w14:textId="77777777" w:rsidR="00980E5F" w:rsidRDefault="00980E5F">
            <w:pPr>
              <w:rPr>
                <w:rFonts w:ascii="宋体"/>
                <w:vanish/>
              </w:rPr>
            </w:pPr>
          </w:p>
        </w:tc>
      </w:tr>
      <w:tr w:rsidR="00980E5F" w14:paraId="392C3DF3" w14:textId="77777777">
        <w:trPr>
          <w:jc w:val="center"/>
        </w:trPr>
        <w:tc>
          <w:tcPr>
            <w:tcW w:w="0" w:type="auto"/>
            <w:gridSpan w:val="3"/>
            <w:shd w:val="clear" w:color="auto" w:fill="CCEEFF"/>
            <w:tcMar>
              <w:top w:w="40" w:type="dxa"/>
              <w:left w:w="20" w:type="dxa"/>
              <w:bottom w:w="40" w:type="dxa"/>
              <w:right w:w="20" w:type="dxa"/>
            </w:tcMar>
            <w:vAlign w:val="bottom"/>
          </w:tcPr>
          <w:p w14:paraId="392C3DEB" w14:textId="77777777" w:rsidR="00980E5F" w:rsidRDefault="00483613">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392C3DEC" w14:textId="77777777" w:rsidR="00980E5F" w:rsidRDefault="00483613">
            <w:pPr>
              <w:jc w:val="right"/>
              <w:textAlignment w:val="bottom"/>
            </w:pPr>
            <w:r>
              <w:rPr>
                <w:rFonts w:ascii="Arial" w:eastAsia="宋体" w:hAnsi="Arial" w:cs="Arial"/>
                <w:b/>
                <w:bCs/>
                <w:color w:val="000000"/>
                <w:sz w:val="15"/>
                <w:szCs w:val="15"/>
              </w:rPr>
              <w:t>(125)</w:t>
            </w:r>
          </w:p>
        </w:tc>
        <w:tc>
          <w:tcPr>
            <w:tcW w:w="0" w:type="auto"/>
            <w:shd w:val="clear" w:color="auto" w:fill="CCEEFF"/>
            <w:tcMar>
              <w:top w:w="40" w:type="dxa"/>
              <w:left w:w="0" w:type="dxa"/>
              <w:bottom w:w="40" w:type="dxa"/>
              <w:right w:w="20" w:type="dxa"/>
            </w:tcMar>
            <w:vAlign w:val="bottom"/>
          </w:tcPr>
          <w:p w14:paraId="392C3D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DE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DEF" w14:textId="77777777" w:rsidR="00980E5F" w:rsidRDefault="00483613">
            <w:pPr>
              <w:jc w:val="right"/>
              <w:textAlignment w:val="bottom"/>
            </w:pPr>
            <w:r>
              <w:rPr>
                <w:rFonts w:ascii="Arial" w:eastAsia="宋体" w:hAnsi="Arial" w:cs="Arial"/>
                <w:color w:val="000000"/>
                <w:sz w:val="15"/>
                <w:szCs w:val="15"/>
              </w:rPr>
              <w:t>(254)</w:t>
            </w:r>
          </w:p>
        </w:tc>
        <w:tc>
          <w:tcPr>
            <w:tcW w:w="0" w:type="auto"/>
            <w:shd w:val="clear" w:color="auto" w:fill="CCEEFF"/>
            <w:tcMar>
              <w:top w:w="40" w:type="dxa"/>
              <w:left w:w="0" w:type="dxa"/>
              <w:bottom w:w="40" w:type="dxa"/>
              <w:right w:w="20" w:type="dxa"/>
            </w:tcMar>
            <w:vAlign w:val="bottom"/>
          </w:tcPr>
          <w:p w14:paraId="392C3DF0" w14:textId="77777777" w:rsidR="00980E5F" w:rsidRDefault="00980E5F">
            <w:pPr>
              <w:jc w:val="right"/>
              <w:rPr>
                <w:rFonts w:ascii="宋体"/>
              </w:rPr>
            </w:pPr>
          </w:p>
        </w:tc>
        <w:tc>
          <w:tcPr>
            <w:tcW w:w="0" w:type="auto"/>
            <w:gridSpan w:val="3"/>
            <w:shd w:val="clear" w:color="auto" w:fill="auto"/>
            <w:vAlign w:val="bottom"/>
          </w:tcPr>
          <w:p w14:paraId="392C3DF1" w14:textId="77777777" w:rsidR="00980E5F" w:rsidRDefault="00980E5F">
            <w:pPr>
              <w:rPr>
                <w:rFonts w:ascii="宋体"/>
                <w:vanish/>
              </w:rPr>
            </w:pPr>
          </w:p>
        </w:tc>
        <w:tc>
          <w:tcPr>
            <w:tcW w:w="0" w:type="auto"/>
            <w:gridSpan w:val="3"/>
            <w:shd w:val="clear" w:color="auto" w:fill="auto"/>
            <w:vAlign w:val="bottom"/>
          </w:tcPr>
          <w:p w14:paraId="392C3DF2" w14:textId="77777777" w:rsidR="00980E5F" w:rsidRDefault="00980E5F">
            <w:pPr>
              <w:rPr>
                <w:rFonts w:ascii="宋体"/>
                <w:vanish/>
              </w:rPr>
            </w:pPr>
          </w:p>
        </w:tc>
      </w:tr>
      <w:tr w:rsidR="00980E5F" w14:paraId="392C3DFC" w14:textId="77777777">
        <w:trPr>
          <w:jc w:val="center"/>
        </w:trPr>
        <w:tc>
          <w:tcPr>
            <w:tcW w:w="0" w:type="auto"/>
            <w:gridSpan w:val="3"/>
            <w:shd w:val="clear" w:color="auto" w:fill="FFFFFF"/>
            <w:tcMar>
              <w:top w:w="40" w:type="dxa"/>
              <w:left w:w="20" w:type="dxa"/>
              <w:bottom w:w="40" w:type="dxa"/>
              <w:right w:w="20" w:type="dxa"/>
            </w:tcMar>
            <w:vAlign w:val="bottom"/>
          </w:tcPr>
          <w:p w14:paraId="392C3DF4" w14:textId="77777777" w:rsidR="00980E5F" w:rsidRDefault="00483613">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392C3DF5" w14:textId="77777777" w:rsidR="00980E5F" w:rsidRDefault="00483613">
            <w:pPr>
              <w:jc w:val="right"/>
              <w:textAlignment w:val="bottom"/>
            </w:pPr>
            <w:r>
              <w:rPr>
                <w:rFonts w:ascii="Arial" w:eastAsia="宋体" w:hAnsi="Arial" w:cs="Arial"/>
                <w:b/>
                <w:bCs/>
                <w:color w:val="000000"/>
                <w:sz w:val="15"/>
                <w:szCs w:val="15"/>
              </w:rPr>
              <w:t>1,859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D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DF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DF8" w14:textId="77777777" w:rsidR="00980E5F" w:rsidRDefault="00483613">
            <w:pPr>
              <w:jc w:val="right"/>
              <w:textAlignment w:val="bottom"/>
            </w:pPr>
            <w:r>
              <w:rPr>
                <w:rFonts w:ascii="Arial" w:eastAsia="宋体" w:hAnsi="Arial" w:cs="Arial"/>
                <w:color w:val="000000"/>
                <w:sz w:val="15"/>
                <w:szCs w:val="15"/>
              </w:rPr>
              <w:t>(6,520)</w:t>
            </w:r>
          </w:p>
        </w:tc>
        <w:tc>
          <w:tcPr>
            <w:tcW w:w="0" w:type="auto"/>
            <w:shd w:val="clear" w:color="auto" w:fill="FFFFFF"/>
            <w:tcMar>
              <w:top w:w="40" w:type="dxa"/>
              <w:left w:w="0" w:type="dxa"/>
              <w:bottom w:w="40" w:type="dxa"/>
              <w:right w:w="20" w:type="dxa"/>
            </w:tcMar>
            <w:vAlign w:val="bottom"/>
          </w:tcPr>
          <w:p w14:paraId="392C3DF9" w14:textId="77777777" w:rsidR="00980E5F" w:rsidRDefault="00980E5F">
            <w:pPr>
              <w:jc w:val="right"/>
              <w:rPr>
                <w:rFonts w:ascii="宋体"/>
              </w:rPr>
            </w:pPr>
          </w:p>
        </w:tc>
        <w:tc>
          <w:tcPr>
            <w:tcW w:w="0" w:type="auto"/>
            <w:gridSpan w:val="3"/>
            <w:shd w:val="clear" w:color="auto" w:fill="auto"/>
            <w:vAlign w:val="bottom"/>
          </w:tcPr>
          <w:p w14:paraId="392C3DFA" w14:textId="77777777" w:rsidR="00980E5F" w:rsidRDefault="00980E5F">
            <w:pPr>
              <w:rPr>
                <w:rFonts w:ascii="宋体"/>
                <w:vanish/>
              </w:rPr>
            </w:pPr>
          </w:p>
        </w:tc>
        <w:tc>
          <w:tcPr>
            <w:tcW w:w="0" w:type="auto"/>
            <w:gridSpan w:val="3"/>
            <w:shd w:val="clear" w:color="auto" w:fill="auto"/>
            <w:vAlign w:val="bottom"/>
          </w:tcPr>
          <w:p w14:paraId="392C3DFB" w14:textId="77777777" w:rsidR="00980E5F" w:rsidRDefault="00980E5F">
            <w:pPr>
              <w:rPr>
                <w:rFonts w:ascii="宋体"/>
                <w:vanish/>
              </w:rPr>
            </w:pPr>
          </w:p>
        </w:tc>
      </w:tr>
      <w:tr w:rsidR="00980E5F" w14:paraId="392C3E05" w14:textId="77777777">
        <w:trPr>
          <w:jc w:val="center"/>
        </w:trPr>
        <w:tc>
          <w:tcPr>
            <w:tcW w:w="0" w:type="auto"/>
            <w:gridSpan w:val="3"/>
            <w:shd w:val="clear" w:color="auto" w:fill="CCEEFF"/>
            <w:tcMar>
              <w:top w:w="40" w:type="dxa"/>
              <w:left w:w="20" w:type="dxa"/>
              <w:bottom w:w="40" w:type="dxa"/>
              <w:right w:w="20" w:type="dxa"/>
            </w:tcMar>
            <w:vAlign w:val="bottom"/>
          </w:tcPr>
          <w:p w14:paraId="392C3DFD" w14:textId="77777777" w:rsidR="00980E5F" w:rsidRDefault="00483613">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392C3DFE" w14:textId="77777777" w:rsidR="00980E5F" w:rsidRDefault="00483613">
            <w:pPr>
              <w:jc w:val="right"/>
              <w:textAlignment w:val="bottom"/>
            </w:pPr>
            <w:r>
              <w:rPr>
                <w:rFonts w:ascii="Arial" w:eastAsia="宋体" w:hAnsi="Arial" w:cs="Arial"/>
                <w:b/>
                <w:bCs/>
                <w:color w:val="000000"/>
                <w:sz w:val="15"/>
                <w:szCs w:val="15"/>
              </w:rPr>
              <w:t>(5,277)</w:t>
            </w:r>
          </w:p>
        </w:tc>
        <w:tc>
          <w:tcPr>
            <w:tcW w:w="0" w:type="auto"/>
            <w:shd w:val="clear" w:color="auto" w:fill="CCEEFF"/>
            <w:tcMar>
              <w:top w:w="40" w:type="dxa"/>
              <w:left w:w="0" w:type="dxa"/>
              <w:bottom w:w="40" w:type="dxa"/>
              <w:right w:w="20" w:type="dxa"/>
            </w:tcMar>
            <w:vAlign w:val="bottom"/>
          </w:tcPr>
          <w:p w14:paraId="392C3D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01" w14:textId="77777777" w:rsidR="00980E5F" w:rsidRDefault="00483613">
            <w:pPr>
              <w:jc w:val="right"/>
              <w:textAlignment w:val="bottom"/>
            </w:pPr>
            <w:r>
              <w:rPr>
                <w:rFonts w:ascii="Arial" w:eastAsia="宋体" w:hAnsi="Arial" w:cs="Arial"/>
                <w:color w:val="000000"/>
                <w:sz w:val="15"/>
                <w:szCs w:val="15"/>
              </w:rPr>
              <w:t>(7,471)</w:t>
            </w:r>
          </w:p>
        </w:tc>
        <w:tc>
          <w:tcPr>
            <w:tcW w:w="0" w:type="auto"/>
            <w:shd w:val="clear" w:color="auto" w:fill="CCEEFF"/>
            <w:tcMar>
              <w:top w:w="40" w:type="dxa"/>
              <w:left w:w="0" w:type="dxa"/>
              <w:bottom w:w="40" w:type="dxa"/>
              <w:right w:w="20" w:type="dxa"/>
            </w:tcMar>
            <w:vAlign w:val="bottom"/>
          </w:tcPr>
          <w:p w14:paraId="392C3E02" w14:textId="77777777" w:rsidR="00980E5F" w:rsidRDefault="00980E5F">
            <w:pPr>
              <w:jc w:val="right"/>
              <w:rPr>
                <w:rFonts w:ascii="宋体"/>
              </w:rPr>
            </w:pPr>
          </w:p>
        </w:tc>
        <w:tc>
          <w:tcPr>
            <w:tcW w:w="0" w:type="auto"/>
            <w:gridSpan w:val="3"/>
            <w:shd w:val="clear" w:color="auto" w:fill="auto"/>
            <w:vAlign w:val="bottom"/>
          </w:tcPr>
          <w:p w14:paraId="392C3E03" w14:textId="77777777" w:rsidR="00980E5F" w:rsidRDefault="00980E5F">
            <w:pPr>
              <w:rPr>
                <w:rFonts w:ascii="宋体"/>
                <w:vanish/>
              </w:rPr>
            </w:pPr>
          </w:p>
        </w:tc>
        <w:tc>
          <w:tcPr>
            <w:tcW w:w="0" w:type="auto"/>
            <w:gridSpan w:val="3"/>
            <w:shd w:val="clear" w:color="auto" w:fill="auto"/>
            <w:vAlign w:val="bottom"/>
          </w:tcPr>
          <w:p w14:paraId="392C3E04" w14:textId="77777777" w:rsidR="00980E5F" w:rsidRDefault="00980E5F">
            <w:pPr>
              <w:rPr>
                <w:rFonts w:ascii="宋体"/>
                <w:vanish/>
              </w:rPr>
            </w:pPr>
          </w:p>
        </w:tc>
      </w:tr>
      <w:tr w:rsidR="00980E5F" w14:paraId="392C3E0E" w14:textId="77777777">
        <w:trPr>
          <w:jc w:val="center"/>
        </w:trPr>
        <w:tc>
          <w:tcPr>
            <w:tcW w:w="0" w:type="auto"/>
            <w:gridSpan w:val="3"/>
            <w:shd w:val="clear" w:color="auto" w:fill="FFFFFF"/>
            <w:tcMar>
              <w:top w:w="40" w:type="dxa"/>
              <w:left w:w="20" w:type="dxa"/>
              <w:bottom w:w="40" w:type="dxa"/>
              <w:right w:w="20" w:type="dxa"/>
            </w:tcMar>
            <w:vAlign w:val="bottom"/>
          </w:tcPr>
          <w:p w14:paraId="392C3E06" w14:textId="77777777" w:rsidR="00980E5F" w:rsidRDefault="00483613">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392C3E07" w14:textId="77777777" w:rsidR="00980E5F" w:rsidRDefault="00483613">
            <w:pPr>
              <w:jc w:val="right"/>
              <w:textAlignment w:val="bottom"/>
            </w:pPr>
            <w:r>
              <w:rPr>
                <w:rFonts w:ascii="Arial" w:eastAsia="宋体" w:hAnsi="Arial" w:cs="Arial"/>
                <w:b/>
                <w:bCs/>
                <w:color w:val="000000"/>
                <w:sz w:val="15"/>
                <w:szCs w:val="15"/>
              </w:rPr>
              <w:t>(435)</w:t>
            </w:r>
          </w:p>
        </w:tc>
        <w:tc>
          <w:tcPr>
            <w:tcW w:w="0" w:type="auto"/>
            <w:shd w:val="clear" w:color="auto" w:fill="FFFFFF"/>
            <w:tcMar>
              <w:top w:w="40" w:type="dxa"/>
              <w:left w:w="0" w:type="dxa"/>
              <w:bottom w:w="40" w:type="dxa"/>
              <w:right w:w="20" w:type="dxa"/>
            </w:tcMar>
            <w:vAlign w:val="bottom"/>
          </w:tcPr>
          <w:p w14:paraId="392C3E0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0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0A" w14:textId="77777777" w:rsidR="00980E5F" w:rsidRDefault="00483613">
            <w:pPr>
              <w:jc w:val="right"/>
              <w:textAlignment w:val="bottom"/>
            </w:pPr>
            <w:r>
              <w:rPr>
                <w:rFonts w:ascii="Arial" w:eastAsia="宋体" w:hAnsi="Arial" w:cs="Arial"/>
                <w:color w:val="000000"/>
                <w:sz w:val="15"/>
                <w:szCs w:val="15"/>
              </w:rPr>
              <w:t>(1,444)</w:t>
            </w:r>
          </w:p>
        </w:tc>
        <w:tc>
          <w:tcPr>
            <w:tcW w:w="0" w:type="auto"/>
            <w:shd w:val="clear" w:color="auto" w:fill="FFFFFF"/>
            <w:tcMar>
              <w:top w:w="40" w:type="dxa"/>
              <w:left w:w="0" w:type="dxa"/>
              <w:bottom w:w="40" w:type="dxa"/>
              <w:right w:w="20" w:type="dxa"/>
            </w:tcMar>
            <w:vAlign w:val="bottom"/>
          </w:tcPr>
          <w:p w14:paraId="392C3E0B" w14:textId="77777777" w:rsidR="00980E5F" w:rsidRDefault="00980E5F">
            <w:pPr>
              <w:jc w:val="right"/>
              <w:rPr>
                <w:rFonts w:ascii="宋体"/>
              </w:rPr>
            </w:pPr>
          </w:p>
        </w:tc>
        <w:tc>
          <w:tcPr>
            <w:tcW w:w="0" w:type="auto"/>
            <w:gridSpan w:val="3"/>
            <w:shd w:val="clear" w:color="auto" w:fill="auto"/>
            <w:vAlign w:val="bottom"/>
          </w:tcPr>
          <w:p w14:paraId="392C3E0C" w14:textId="77777777" w:rsidR="00980E5F" w:rsidRDefault="00980E5F">
            <w:pPr>
              <w:rPr>
                <w:rFonts w:ascii="宋体"/>
                <w:vanish/>
              </w:rPr>
            </w:pPr>
          </w:p>
        </w:tc>
        <w:tc>
          <w:tcPr>
            <w:tcW w:w="0" w:type="auto"/>
            <w:gridSpan w:val="3"/>
            <w:shd w:val="clear" w:color="auto" w:fill="auto"/>
            <w:vAlign w:val="bottom"/>
          </w:tcPr>
          <w:p w14:paraId="392C3E0D" w14:textId="77777777" w:rsidR="00980E5F" w:rsidRDefault="00980E5F">
            <w:pPr>
              <w:rPr>
                <w:rFonts w:ascii="宋体"/>
                <w:vanish/>
              </w:rPr>
            </w:pPr>
          </w:p>
        </w:tc>
      </w:tr>
      <w:tr w:rsidR="00980E5F" w14:paraId="392C3E15" w14:textId="77777777">
        <w:trPr>
          <w:jc w:val="center"/>
          <w:hidden/>
        </w:trPr>
        <w:tc>
          <w:tcPr>
            <w:tcW w:w="0" w:type="auto"/>
            <w:gridSpan w:val="3"/>
            <w:shd w:val="clear" w:color="auto" w:fill="auto"/>
            <w:vAlign w:val="bottom"/>
          </w:tcPr>
          <w:p w14:paraId="392C3E0F" w14:textId="77777777" w:rsidR="00980E5F" w:rsidRDefault="00980E5F">
            <w:pPr>
              <w:rPr>
                <w:rFonts w:ascii="宋体"/>
                <w:vanish/>
              </w:rPr>
            </w:pPr>
          </w:p>
        </w:tc>
        <w:tc>
          <w:tcPr>
            <w:tcW w:w="0" w:type="auto"/>
            <w:gridSpan w:val="3"/>
            <w:shd w:val="clear" w:color="auto" w:fill="auto"/>
            <w:vAlign w:val="bottom"/>
          </w:tcPr>
          <w:p w14:paraId="392C3E10" w14:textId="77777777" w:rsidR="00980E5F" w:rsidRDefault="00980E5F">
            <w:pPr>
              <w:rPr>
                <w:rFonts w:ascii="宋体"/>
                <w:vanish/>
              </w:rPr>
            </w:pPr>
          </w:p>
        </w:tc>
        <w:tc>
          <w:tcPr>
            <w:tcW w:w="0" w:type="auto"/>
            <w:gridSpan w:val="3"/>
            <w:shd w:val="clear" w:color="auto" w:fill="auto"/>
            <w:vAlign w:val="bottom"/>
          </w:tcPr>
          <w:p w14:paraId="392C3E11" w14:textId="77777777" w:rsidR="00980E5F" w:rsidRDefault="00980E5F">
            <w:pPr>
              <w:rPr>
                <w:rFonts w:ascii="宋体"/>
                <w:vanish/>
              </w:rPr>
            </w:pPr>
          </w:p>
        </w:tc>
        <w:tc>
          <w:tcPr>
            <w:tcW w:w="0" w:type="auto"/>
            <w:gridSpan w:val="3"/>
            <w:shd w:val="clear" w:color="auto" w:fill="auto"/>
            <w:vAlign w:val="bottom"/>
          </w:tcPr>
          <w:p w14:paraId="392C3E12" w14:textId="77777777" w:rsidR="00980E5F" w:rsidRDefault="00980E5F">
            <w:pPr>
              <w:rPr>
                <w:rFonts w:ascii="宋体"/>
                <w:vanish/>
              </w:rPr>
            </w:pPr>
          </w:p>
        </w:tc>
        <w:tc>
          <w:tcPr>
            <w:tcW w:w="0" w:type="auto"/>
            <w:gridSpan w:val="3"/>
            <w:shd w:val="clear" w:color="auto" w:fill="auto"/>
            <w:vAlign w:val="bottom"/>
          </w:tcPr>
          <w:p w14:paraId="392C3E13" w14:textId="77777777" w:rsidR="00980E5F" w:rsidRDefault="00980E5F">
            <w:pPr>
              <w:rPr>
                <w:rFonts w:ascii="宋体"/>
                <w:vanish/>
              </w:rPr>
            </w:pPr>
          </w:p>
        </w:tc>
        <w:tc>
          <w:tcPr>
            <w:tcW w:w="0" w:type="auto"/>
            <w:gridSpan w:val="3"/>
            <w:shd w:val="clear" w:color="auto" w:fill="auto"/>
            <w:vAlign w:val="bottom"/>
          </w:tcPr>
          <w:p w14:paraId="392C3E14" w14:textId="77777777" w:rsidR="00980E5F" w:rsidRDefault="00980E5F">
            <w:pPr>
              <w:rPr>
                <w:rFonts w:ascii="宋体"/>
                <w:vanish/>
              </w:rPr>
            </w:pPr>
          </w:p>
        </w:tc>
      </w:tr>
      <w:tr w:rsidR="00980E5F" w14:paraId="392C3E1E" w14:textId="77777777">
        <w:trPr>
          <w:jc w:val="center"/>
        </w:trPr>
        <w:tc>
          <w:tcPr>
            <w:tcW w:w="0" w:type="auto"/>
            <w:gridSpan w:val="3"/>
            <w:shd w:val="clear" w:color="auto" w:fill="CCEEFF"/>
            <w:tcMar>
              <w:top w:w="40" w:type="dxa"/>
              <w:left w:w="20" w:type="dxa"/>
              <w:bottom w:w="40" w:type="dxa"/>
              <w:right w:w="20" w:type="dxa"/>
            </w:tcMar>
            <w:vAlign w:val="bottom"/>
          </w:tcPr>
          <w:p w14:paraId="392C3E16" w14:textId="77777777" w:rsidR="00980E5F" w:rsidRDefault="00483613">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392C3E17" w14:textId="77777777" w:rsidR="00980E5F" w:rsidRDefault="00483613">
            <w:pPr>
              <w:jc w:val="right"/>
              <w:textAlignment w:val="bottom"/>
            </w:pPr>
            <w:r>
              <w:rPr>
                <w:rFonts w:ascii="Arial" w:eastAsia="宋体" w:hAnsi="Arial" w:cs="Arial"/>
                <w:b/>
                <w:bCs/>
                <w:color w:val="000000"/>
                <w:sz w:val="15"/>
                <w:szCs w:val="15"/>
              </w:rPr>
              <w:t>2,177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1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1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1A" w14:textId="77777777" w:rsidR="00980E5F" w:rsidRDefault="00483613">
            <w:pPr>
              <w:jc w:val="right"/>
              <w:textAlignment w:val="bottom"/>
            </w:pPr>
            <w:r>
              <w:rPr>
                <w:rFonts w:ascii="Arial" w:eastAsia="宋体" w:hAnsi="Arial" w:cs="Arial"/>
                <w:color w:val="000000"/>
                <w:sz w:val="15"/>
                <w:szCs w:val="15"/>
              </w:rPr>
              <w:t>1,971 </w:t>
            </w:r>
          </w:p>
        </w:tc>
        <w:tc>
          <w:tcPr>
            <w:tcW w:w="0" w:type="auto"/>
            <w:shd w:val="clear" w:color="auto" w:fill="CCEEFF"/>
            <w:tcMar>
              <w:top w:w="40" w:type="dxa"/>
              <w:left w:w="0" w:type="dxa"/>
              <w:bottom w:w="40" w:type="dxa"/>
              <w:right w:w="20" w:type="dxa"/>
            </w:tcMar>
            <w:vAlign w:val="bottom"/>
          </w:tcPr>
          <w:p w14:paraId="392C3E1B" w14:textId="77777777" w:rsidR="00980E5F" w:rsidRDefault="00980E5F">
            <w:pPr>
              <w:jc w:val="right"/>
              <w:rPr>
                <w:rFonts w:ascii="宋体"/>
              </w:rPr>
            </w:pPr>
          </w:p>
        </w:tc>
        <w:tc>
          <w:tcPr>
            <w:tcW w:w="0" w:type="auto"/>
            <w:gridSpan w:val="3"/>
            <w:shd w:val="clear" w:color="auto" w:fill="auto"/>
            <w:vAlign w:val="bottom"/>
          </w:tcPr>
          <w:p w14:paraId="392C3E1C" w14:textId="77777777" w:rsidR="00980E5F" w:rsidRDefault="00980E5F">
            <w:pPr>
              <w:rPr>
                <w:rFonts w:ascii="宋体"/>
                <w:vanish/>
              </w:rPr>
            </w:pPr>
          </w:p>
        </w:tc>
        <w:tc>
          <w:tcPr>
            <w:tcW w:w="0" w:type="auto"/>
            <w:gridSpan w:val="3"/>
            <w:shd w:val="clear" w:color="auto" w:fill="auto"/>
            <w:vAlign w:val="bottom"/>
          </w:tcPr>
          <w:p w14:paraId="392C3E1D" w14:textId="77777777" w:rsidR="00980E5F" w:rsidRDefault="00980E5F">
            <w:pPr>
              <w:rPr>
                <w:rFonts w:ascii="宋体"/>
                <w:vanish/>
              </w:rPr>
            </w:pPr>
          </w:p>
        </w:tc>
      </w:tr>
      <w:tr w:rsidR="00980E5F" w14:paraId="392C3E25" w14:textId="77777777">
        <w:trPr>
          <w:jc w:val="center"/>
          <w:hidden/>
        </w:trPr>
        <w:tc>
          <w:tcPr>
            <w:tcW w:w="0" w:type="auto"/>
            <w:gridSpan w:val="3"/>
            <w:shd w:val="clear" w:color="auto" w:fill="auto"/>
            <w:vAlign w:val="bottom"/>
          </w:tcPr>
          <w:p w14:paraId="392C3E1F" w14:textId="77777777" w:rsidR="00980E5F" w:rsidRDefault="00980E5F">
            <w:pPr>
              <w:rPr>
                <w:rFonts w:ascii="宋体"/>
                <w:vanish/>
              </w:rPr>
            </w:pPr>
          </w:p>
        </w:tc>
        <w:tc>
          <w:tcPr>
            <w:tcW w:w="0" w:type="auto"/>
            <w:gridSpan w:val="3"/>
            <w:shd w:val="clear" w:color="auto" w:fill="auto"/>
            <w:vAlign w:val="bottom"/>
          </w:tcPr>
          <w:p w14:paraId="392C3E20" w14:textId="77777777" w:rsidR="00980E5F" w:rsidRDefault="00980E5F">
            <w:pPr>
              <w:rPr>
                <w:rFonts w:ascii="宋体"/>
                <w:vanish/>
              </w:rPr>
            </w:pPr>
          </w:p>
        </w:tc>
        <w:tc>
          <w:tcPr>
            <w:tcW w:w="0" w:type="auto"/>
            <w:gridSpan w:val="3"/>
            <w:shd w:val="clear" w:color="auto" w:fill="auto"/>
            <w:vAlign w:val="bottom"/>
          </w:tcPr>
          <w:p w14:paraId="392C3E21" w14:textId="77777777" w:rsidR="00980E5F" w:rsidRDefault="00980E5F">
            <w:pPr>
              <w:rPr>
                <w:rFonts w:ascii="宋体"/>
                <w:vanish/>
              </w:rPr>
            </w:pPr>
          </w:p>
        </w:tc>
        <w:tc>
          <w:tcPr>
            <w:tcW w:w="0" w:type="auto"/>
            <w:gridSpan w:val="3"/>
            <w:shd w:val="clear" w:color="auto" w:fill="auto"/>
            <w:vAlign w:val="bottom"/>
          </w:tcPr>
          <w:p w14:paraId="392C3E22" w14:textId="77777777" w:rsidR="00980E5F" w:rsidRDefault="00980E5F">
            <w:pPr>
              <w:rPr>
                <w:rFonts w:ascii="宋体"/>
                <w:vanish/>
              </w:rPr>
            </w:pPr>
          </w:p>
        </w:tc>
        <w:tc>
          <w:tcPr>
            <w:tcW w:w="0" w:type="auto"/>
            <w:gridSpan w:val="3"/>
            <w:shd w:val="clear" w:color="auto" w:fill="auto"/>
            <w:vAlign w:val="bottom"/>
          </w:tcPr>
          <w:p w14:paraId="392C3E23" w14:textId="77777777" w:rsidR="00980E5F" w:rsidRDefault="00980E5F">
            <w:pPr>
              <w:rPr>
                <w:rFonts w:ascii="宋体"/>
                <w:vanish/>
              </w:rPr>
            </w:pPr>
          </w:p>
        </w:tc>
        <w:tc>
          <w:tcPr>
            <w:tcW w:w="0" w:type="auto"/>
            <w:gridSpan w:val="3"/>
            <w:shd w:val="clear" w:color="auto" w:fill="auto"/>
            <w:vAlign w:val="bottom"/>
          </w:tcPr>
          <w:p w14:paraId="392C3E24" w14:textId="77777777" w:rsidR="00980E5F" w:rsidRDefault="00980E5F">
            <w:pPr>
              <w:rPr>
                <w:rFonts w:ascii="宋体"/>
                <w:vanish/>
              </w:rPr>
            </w:pPr>
          </w:p>
        </w:tc>
      </w:tr>
      <w:tr w:rsidR="00980E5F" w14:paraId="392C3E2E" w14:textId="77777777">
        <w:trPr>
          <w:jc w:val="center"/>
        </w:trPr>
        <w:tc>
          <w:tcPr>
            <w:tcW w:w="0" w:type="auto"/>
            <w:gridSpan w:val="3"/>
            <w:shd w:val="clear" w:color="auto" w:fill="FFFFFF"/>
            <w:tcMar>
              <w:top w:w="40" w:type="dxa"/>
              <w:left w:w="20" w:type="dxa"/>
              <w:bottom w:w="40" w:type="dxa"/>
              <w:right w:w="20" w:type="dxa"/>
            </w:tcMar>
            <w:vAlign w:val="bottom"/>
          </w:tcPr>
          <w:p w14:paraId="392C3E26" w14:textId="77777777" w:rsidR="00980E5F" w:rsidRDefault="00483613">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392C3E27" w14:textId="77777777" w:rsidR="00980E5F" w:rsidRDefault="00483613">
            <w:pPr>
              <w:jc w:val="right"/>
              <w:textAlignment w:val="bottom"/>
            </w:pPr>
            <w:r>
              <w:rPr>
                <w:rFonts w:ascii="Arial" w:eastAsia="宋体" w:hAnsi="Arial" w:cs="Arial"/>
                <w:b/>
                <w:bCs/>
                <w:color w:val="000000"/>
                <w:sz w:val="15"/>
                <w:szCs w:val="15"/>
              </w:rPr>
              <w:t>261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E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2A" w14:textId="77777777" w:rsidR="00980E5F" w:rsidRDefault="00483613">
            <w:pPr>
              <w:jc w:val="right"/>
              <w:textAlignment w:val="bottom"/>
            </w:pPr>
            <w:r>
              <w:rPr>
                <w:rFonts w:ascii="Arial" w:eastAsia="宋体" w:hAnsi="Arial" w:cs="Arial"/>
                <w:color w:val="000000"/>
                <w:sz w:val="15"/>
                <w:szCs w:val="15"/>
              </w:rPr>
              <w:t>235 </w:t>
            </w:r>
          </w:p>
        </w:tc>
        <w:tc>
          <w:tcPr>
            <w:tcW w:w="0" w:type="auto"/>
            <w:shd w:val="clear" w:color="auto" w:fill="FFFFFF"/>
            <w:tcMar>
              <w:top w:w="40" w:type="dxa"/>
              <w:left w:w="0" w:type="dxa"/>
              <w:bottom w:w="40" w:type="dxa"/>
              <w:right w:w="20" w:type="dxa"/>
            </w:tcMar>
            <w:vAlign w:val="bottom"/>
          </w:tcPr>
          <w:p w14:paraId="392C3E2B" w14:textId="77777777" w:rsidR="00980E5F" w:rsidRDefault="00980E5F">
            <w:pPr>
              <w:jc w:val="right"/>
              <w:rPr>
                <w:rFonts w:ascii="宋体"/>
              </w:rPr>
            </w:pPr>
          </w:p>
        </w:tc>
        <w:tc>
          <w:tcPr>
            <w:tcW w:w="0" w:type="auto"/>
            <w:gridSpan w:val="3"/>
            <w:shd w:val="clear" w:color="auto" w:fill="auto"/>
            <w:vAlign w:val="bottom"/>
          </w:tcPr>
          <w:p w14:paraId="392C3E2C" w14:textId="77777777" w:rsidR="00980E5F" w:rsidRDefault="00980E5F">
            <w:pPr>
              <w:rPr>
                <w:rFonts w:ascii="宋体"/>
                <w:vanish/>
              </w:rPr>
            </w:pPr>
          </w:p>
        </w:tc>
        <w:tc>
          <w:tcPr>
            <w:tcW w:w="0" w:type="auto"/>
            <w:gridSpan w:val="3"/>
            <w:shd w:val="clear" w:color="auto" w:fill="auto"/>
            <w:vAlign w:val="bottom"/>
          </w:tcPr>
          <w:p w14:paraId="392C3E2D" w14:textId="77777777" w:rsidR="00980E5F" w:rsidRDefault="00980E5F">
            <w:pPr>
              <w:rPr>
                <w:rFonts w:ascii="宋体"/>
                <w:vanish/>
              </w:rPr>
            </w:pPr>
          </w:p>
        </w:tc>
      </w:tr>
      <w:tr w:rsidR="00980E5F" w14:paraId="392C3E37" w14:textId="77777777">
        <w:trPr>
          <w:jc w:val="center"/>
        </w:trPr>
        <w:tc>
          <w:tcPr>
            <w:tcW w:w="0" w:type="auto"/>
            <w:gridSpan w:val="3"/>
            <w:shd w:val="clear" w:color="auto" w:fill="CCEEFF"/>
            <w:tcMar>
              <w:top w:w="40" w:type="dxa"/>
              <w:left w:w="20" w:type="dxa"/>
              <w:bottom w:w="40" w:type="dxa"/>
              <w:right w:w="20" w:type="dxa"/>
            </w:tcMar>
            <w:vAlign w:val="bottom"/>
          </w:tcPr>
          <w:p w14:paraId="392C3E2F" w14:textId="77777777" w:rsidR="00980E5F" w:rsidRDefault="00483613">
            <w:pPr>
              <w:textAlignment w:val="bottom"/>
            </w:pPr>
            <w:r>
              <w:rPr>
                <w:rFonts w:ascii="Arial" w:eastAsia="宋体" w:hAnsi="Arial" w:cs="Arial"/>
                <w:color w:val="000000"/>
                <w:sz w:val="15"/>
                <w:szCs w:val="15"/>
              </w:rPr>
              <w:t>Net cash provided by (used in)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E30" w14:textId="77777777" w:rsidR="00980E5F" w:rsidRDefault="00483613">
            <w:pPr>
              <w:jc w:val="right"/>
              <w:textAlignment w:val="bottom"/>
            </w:pPr>
            <w:r>
              <w:rPr>
                <w:rFonts w:ascii="Arial" w:eastAsia="宋体" w:hAnsi="Arial" w:cs="Arial"/>
                <w:b/>
                <w:bCs/>
                <w:color w:val="000000"/>
                <w:sz w:val="15"/>
                <w:szCs w:val="15"/>
              </w:rPr>
              <w:t>451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E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3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E33" w14:textId="77777777" w:rsidR="00980E5F" w:rsidRDefault="00483613">
            <w:pPr>
              <w:jc w:val="right"/>
              <w:textAlignment w:val="bottom"/>
            </w:pPr>
            <w:r>
              <w:rPr>
                <w:rFonts w:ascii="Arial" w:eastAsia="宋体" w:hAnsi="Arial" w:cs="Arial"/>
                <w:color w:val="000000"/>
                <w:sz w:val="15"/>
                <w:szCs w:val="15"/>
              </w:rPr>
              <w:t>(11,325)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E34" w14:textId="77777777" w:rsidR="00980E5F" w:rsidRDefault="00980E5F">
            <w:pPr>
              <w:jc w:val="right"/>
              <w:rPr>
                <w:rFonts w:ascii="宋体"/>
              </w:rPr>
            </w:pPr>
          </w:p>
        </w:tc>
        <w:tc>
          <w:tcPr>
            <w:tcW w:w="0" w:type="auto"/>
            <w:gridSpan w:val="3"/>
            <w:shd w:val="clear" w:color="auto" w:fill="auto"/>
            <w:vAlign w:val="bottom"/>
          </w:tcPr>
          <w:p w14:paraId="392C3E35" w14:textId="77777777" w:rsidR="00980E5F" w:rsidRDefault="00980E5F">
            <w:pPr>
              <w:rPr>
                <w:rFonts w:ascii="宋体"/>
                <w:vanish/>
              </w:rPr>
            </w:pPr>
          </w:p>
        </w:tc>
        <w:tc>
          <w:tcPr>
            <w:tcW w:w="0" w:type="auto"/>
            <w:gridSpan w:val="3"/>
            <w:shd w:val="clear" w:color="auto" w:fill="auto"/>
            <w:vAlign w:val="bottom"/>
          </w:tcPr>
          <w:p w14:paraId="392C3E36" w14:textId="77777777" w:rsidR="00980E5F" w:rsidRDefault="00980E5F">
            <w:pPr>
              <w:rPr>
                <w:rFonts w:ascii="宋体"/>
                <w:vanish/>
              </w:rPr>
            </w:pPr>
          </w:p>
        </w:tc>
      </w:tr>
      <w:tr w:rsidR="00980E5F" w14:paraId="392C3E3E" w14:textId="77777777">
        <w:trPr>
          <w:jc w:val="center"/>
        </w:trPr>
        <w:tc>
          <w:tcPr>
            <w:tcW w:w="0" w:type="auto"/>
            <w:gridSpan w:val="3"/>
            <w:shd w:val="clear" w:color="auto" w:fill="FFFFFF"/>
            <w:tcMar>
              <w:top w:w="40" w:type="dxa"/>
              <w:left w:w="20" w:type="dxa"/>
              <w:bottom w:w="40" w:type="dxa"/>
              <w:right w:w="20" w:type="dxa"/>
            </w:tcMar>
            <w:vAlign w:val="bottom"/>
          </w:tcPr>
          <w:p w14:paraId="392C3E38" w14:textId="77777777" w:rsidR="00980E5F" w:rsidRDefault="00483613">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vAlign w:val="bottom"/>
          </w:tcPr>
          <w:p w14:paraId="392C3E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E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3E3B" w14:textId="77777777" w:rsidR="00980E5F" w:rsidRDefault="00980E5F">
            <w:pPr>
              <w:rPr>
                <w:rFonts w:ascii="宋体"/>
              </w:rPr>
            </w:pPr>
          </w:p>
        </w:tc>
        <w:tc>
          <w:tcPr>
            <w:tcW w:w="0" w:type="auto"/>
            <w:gridSpan w:val="3"/>
            <w:shd w:val="clear" w:color="auto" w:fill="auto"/>
            <w:vAlign w:val="bottom"/>
          </w:tcPr>
          <w:p w14:paraId="392C3E3C" w14:textId="77777777" w:rsidR="00980E5F" w:rsidRDefault="00980E5F">
            <w:pPr>
              <w:rPr>
                <w:rFonts w:ascii="宋体"/>
                <w:vanish/>
              </w:rPr>
            </w:pPr>
          </w:p>
        </w:tc>
        <w:tc>
          <w:tcPr>
            <w:tcW w:w="0" w:type="auto"/>
            <w:gridSpan w:val="3"/>
            <w:shd w:val="clear" w:color="auto" w:fill="auto"/>
            <w:vAlign w:val="bottom"/>
          </w:tcPr>
          <w:p w14:paraId="392C3E3D" w14:textId="77777777" w:rsidR="00980E5F" w:rsidRDefault="00980E5F">
            <w:pPr>
              <w:rPr>
                <w:rFonts w:ascii="宋体"/>
                <w:vanish/>
              </w:rPr>
            </w:pPr>
          </w:p>
        </w:tc>
      </w:tr>
      <w:tr w:rsidR="00980E5F" w14:paraId="392C3E47" w14:textId="77777777">
        <w:trPr>
          <w:jc w:val="center"/>
        </w:trPr>
        <w:tc>
          <w:tcPr>
            <w:tcW w:w="0" w:type="auto"/>
            <w:gridSpan w:val="3"/>
            <w:shd w:val="clear" w:color="auto" w:fill="CCEEFF"/>
            <w:tcMar>
              <w:top w:w="40" w:type="dxa"/>
              <w:left w:w="20" w:type="dxa"/>
              <w:bottom w:w="40" w:type="dxa"/>
              <w:right w:w="20" w:type="dxa"/>
            </w:tcMar>
            <w:vAlign w:val="bottom"/>
          </w:tcPr>
          <w:p w14:paraId="392C3E3F" w14:textId="77777777" w:rsidR="00980E5F" w:rsidRDefault="00483613">
            <w:pPr>
              <w:textAlignment w:val="bottom"/>
            </w:pPr>
            <w:r>
              <w:rPr>
                <w:rFonts w:ascii="Arial" w:eastAsia="宋体" w:hAnsi="Arial" w:cs="Arial"/>
                <w:color w:val="000000"/>
                <w:sz w:val="15"/>
                <w:szCs w:val="15"/>
              </w:rPr>
              <w:t>Net decrease in interest-bearing deposits with banks</w:t>
            </w:r>
          </w:p>
        </w:tc>
        <w:tc>
          <w:tcPr>
            <w:tcW w:w="0" w:type="auto"/>
            <w:gridSpan w:val="2"/>
            <w:shd w:val="clear" w:color="auto" w:fill="CCEEFF"/>
            <w:tcMar>
              <w:top w:w="40" w:type="dxa"/>
              <w:left w:w="20" w:type="dxa"/>
              <w:bottom w:w="40" w:type="dxa"/>
              <w:right w:w="0" w:type="dxa"/>
            </w:tcMar>
            <w:vAlign w:val="bottom"/>
          </w:tcPr>
          <w:p w14:paraId="392C3E40" w14:textId="77777777" w:rsidR="00980E5F" w:rsidRDefault="00483613">
            <w:pPr>
              <w:jc w:val="right"/>
              <w:textAlignment w:val="bottom"/>
            </w:pPr>
            <w:r>
              <w:rPr>
                <w:rFonts w:ascii="Arial" w:eastAsia="宋体" w:hAnsi="Arial" w:cs="Arial"/>
                <w:b/>
                <w:bCs/>
                <w:color w:val="000000"/>
                <w:sz w:val="15"/>
                <w:szCs w:val="15"/>
              </w:rPr>
              <w:t>14,999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4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43" w14:textId="77777777" w:rsidR="00980E5F" w:rsidRDefault="00483613">
            <w:pPr>
              <w:jc w:val="right"/>
              <w:textAlignment w:val="bottom"/>
            </w:pPr>
            <w:r>
              <w:rPr>
                <w:rFonts w:ascii="Arial" w:eastAsia="宋体" w:hAnsi="Arial" w:cs="Arial"/>
                <w:color w:val="000000"/>
                <w:sz w:val="15"/>
                <w:szCs w:val="15"/>
              </w:rPr>
              <w:t>3,613 </w:t>
            </w:r>
          </w:p>
        </w:tc>
        <w:tc>
          <w:tcPr>
            <w:tcW w:w="0" w:type="auto"/>
            <w:shd w:val="clear" w:color="auto" w:fill="CCEEFF"/>
            <w:tcMar>
              <w:top w:w="40" w:type="dxa"/>
              <w:left w:w="0" w:type="dxa"/>
              <w:bottom w:w="40" w:type="dxa"/>
              <w:right w:w="20" w:type="dxa"/>
            </w:tcMar>
            <w:vAlign w:val="bottom"/>
          </w:tcPr>
          <w:p w14:paraId="392C3E44" w14:textId="77777777" w:rsidR="00980E5F" w:rsidRDefault="00980E5F">
            <w:pPr>
              <w:jc w:val="right"/>
              <w:rPr>
                <w:rFonts w:ascii="宋体"/>
              </w:rPr>
            </w:pPr>
          </w:p>
        </w:tc>
        <w:tc>
          <w:tcPr>
            <w:tcW w:w="0" w:type="auto"/>
            <w:gridSpan w:val="3"/>
            <w:shd w:val="clear" w:color="auto" w:fill="auto"/>
            <w:vAlign w:val="bottom"/>
          </w:tcPr>
          <w:p w14:paraId="392C3E45" w14:textId="77777777" w:rsidR="00980E5F" w:rsidRDefault="00980E5F">
            <w:pPr>
              <w:rPr>
                <w:rFonts w:ascii="宋体"/>
                <w:vanish/>
              </w:rPr>
            </w:pPr>
          </w:p>
        </w:tc>
        <w:tc>
          <w:tcPr>
            <w:tcW w:w="0" w:type="auto"/>
            <w:gridSpan w:val="3"/>
            <w:shd w:val="clear" w:color="auto" w:fill="auto"/>
            <w:vAlign w:val="bottom"/>
          </w:tcPr>
          <w:p w14:paraId="392C3E46" w14:textId="77777777" w:rsidR="00980E5F" w:rsidRDefault="00980E5F">
            <w:pPr>
              <w:rPr>
                <w:rFonts w:ascii="宋体"/>
                <w:vanish/>
              </w:rPr>
            </w:pPr>
          </w:p>
        </w:tc>
      </w:tr>
      <w:tr w:rsidR="00980E5F" w14:paraId="392C3E50" w14:textId="77777777">
        <w:trPr>
          <w:jc w:val="center"/>
        </w:trPr>
        <w:tc>
          <w:tcPr>
            <w:tcW w:w="0" w:type="auto"/>
            <w:gridSpan w:val="3"/>
            <w:shd w:val="clear" w:color="auto" w:fill="FFFFFF"/>
            <w:tcMar>
              <w:top w:w="40" w:type="dxa"/>
              <w:left w:w="20" w:type="dxa"/>
              <w:bottom w:w="40" w:type="dxa"/>
              <w:right w:w="20" w:type="dxa"/>
            </w:tcMar>
            <w:vAlign w:val="bottom"/>
          </w:tcPr>
          <w:p w14:paraId="392C3E48" w14:textId="77777777" w:rsidR="00980E5F" w:rsidRDefault="00483613">
            <w:pPr>
              <w:textAlignment w:val="bottom"/>
            </w:pPr>
            <w:r>
              <w:rPr>
                <w:rFonts w:ascii="Arial" w:eastAsia="宋体" w:hAnsi="Arial" w:cs="Arial"/>
                <w:color w:val="000000"/>
                <w:sz w:val="15"/>
                <w:szCs w:val="15"/>
              </w:rPr>
              <w:t>Net (increase)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392C3E49" w14:textId="77777777" w:rsidR="00980E5F" w:rsidRDefault="00483613">
            <w:pPr>
              <w:jc w:val="right"/>
              <w:textAlignment w:val="bottom"/>
            </w:pPr>
            <w:r>
              <w:rPr>
                <w:rFonts w:ascii="Arial" w:eastAsia="宋体" w:hAnsi="Arial" w:cs="Arial"/>
                <w:b/>
                <w:bCs/>
                <w:color w:val="000000"/>
                <w:sz w:val="15"/>
                <w:szCs w:val="15"/>
              </w:rPr>
              <w:t>(2,192)</w:t>
            </w:r>
          </w:p>
        </w:tc>
        <w:tc>
          <w:tcPr>
            <w:tcW w:w="0" w:type="auto"/>
            <w:shd w:val="clear" w:color="auto" w:fill="FFFFFF"/>
            <w:tcMar>
              <w:top w:w="40" w:type="dxa"/>
              <w:left w:w="0" w:type="dxa"/>
              <w:bottom w:w="40" w:type="dxa"/>
              <w:right w:w="20" w:type="dxa"/>
            </w:tcMar>
            <w:vAlign w:val="bottom"/>
          </w:tcPr>
          <w:p w14:paraId="392C3E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4C" w14:textId="77777777" w:rsidR="00980E5F" w:rsidRDefault="00483613">
            <w:pPr>
              <w:jc w:val="right"/>
              <w:textAlignment w:val="bottom"/>
            </w:pPr>
            <w:r>
              <w:rPr>
                <w:rFonts w:ascii="Arial" w:eastAsia="宋体" w:hAnsi="Arial" w:cs="Arial"/>
                <w:color w:val="000000"/>
                <w:sz w:val="15"/>
                <w:szCs w:val="15"/>
              </w:rPr>
              <w:t>(891)</w:t>
            </w:r>
          </w:p>
        </w:tc>
        <w:tc>
          <w:tcPr>
            <w:tcW w:w="0" w:type="auto"/>
            <w:shd w:val="clear" w:color="auto" w:fill="FFFFFF"/>
            <w:tcMar>
              <w:top w:w="40" w:type="dxa"/>
              <w:left w:w="0" w:type="dxa"/>
              <w:bottom w:w="40" w:type="dxa"/>
              <w:right w:w="20" w:type="dxa"/>
            </w:tcMar>
            <w:vAlign w:val="bottom"/>
          </w:tcPr>
          <w:p w14:paraId="392C3E4D" w14:textId="77777777" w:rsidR="00980E5F" w:rsidRDefault="00980E5F">
            <w:pPr>
              <w:jc w:val="right"/>
              <w:rPr>
                <w:rFonts w:ascii="宋体"/>
              </w:rPr>
            </w:pPr>
          </w:p>
        </w:tc>
        <w:tc>
          <w:tcPr>
            <w:tcW w:w="0" w:type="auto"/>
            <w:gridSpan w:val="3"/>
            <w:shd w:val="clear" w:color="auto" w:fill="auto"/>
            <w:vAlign w:val="bottom"/>
          </w:tcPr>
          <w:p w14:paraId="392C3E4E" w14:textId="77777777" w:rsidR="00980E5F" w:rsidRDefault="00980E5F">
            <w:pPr>
              <w:rPr>
                <w:rFonts w:ascii="宋体"/>
                <w:vanish/>
              </w:rPr>
            </w:pPr>
          </w:p>
        </w:tc>
        <w:tc>
          <w:tcPr>
            <w:tcW w:w="0" w:type="auto"/>
            <w:gridSpan w:val="3"/>
            <w:shd w:val="clear" w:color="auto" w:fill="auto"/>
            <w:vAlign w:val="bottom"/>
          </w:tcPr>
          <w:p w14:paraId="392C3E4F" w14:textId="77777777" w:rsidR="00980E5F" w:rsidRDefault="00980E5F">
            <w:pPr>
              <w:rPr>
                <w:rFonts w:ascii="宋体"/>
                <w:vanish/>
              </w:rPr>
            </w:pPr>
          </w:p>
        </w:tc>
      </w:tr>
      <w:tr w:rsidR="00980E5F" w14:paraId="392C3E59" w14:textId="77777777">
        <w:trPr>
          <w:jc w:val="center"/>
        </w:trPr>
        <w:tc>
          <w:tcPr>
            <w:tcW w:w="0" w:type="auto"/>
            <w:gridSpan w:val="3"/>
            <w:shd w:val="clear" w:color="auto" w:fill="CCEEFF"/>
            <w:tcMar>
              <w:top w:w="40" w:type="dxa"/>
              <w:left w:w="20" w:type="dxa"/>
              <w:bottom w:w="40" w:type="dxa"/>
              <w:right w:w="20" w:type="dxa"/>
            </w:tcMar>
            <w:vAlign w:val="bottom"/>
          </w:tcPr>
          <w:p w14:paraId="392C3E51" w14:textId="77777777" w:rsidR="00980E5F" w:rsidRDefault="00483613">
            <w:pPr>
              <w:textAlignment w:val="bottom"/>
            </w:pPr>
            <w:r>
              <w:rPr>
                <w:rFonts w:ascii="Arial" w:eastAsia="宋体" w:hAnsi="Arial" w:cs="Arial"/>
                <w:color w:val="000000"/>
                <w:sz w:val="15"/>
                <w:szCs w:val="15"/>
              </w:rPr>
              <w:t>Proceeds from sales of available-for-sale securities</w:t>
            </w:r>
          </w:p>
        </w:tc>
        <w:tc>
          <w:tcPr>
            <w:tcW w:w="0" w:type="auto"/>
            <w:gridSpan w:val="2"/>
            <w:shd w:val="clear" w:color="auto" w:fill="CCEEFF"/>
            <w:tcMar>
              <w:top w:w="40" w:type="dxa"/>
              <w:left w:w="20" w:type="dxa"/>
              <w:bottom w:w="40" w:type="dxa"/>
              <w:right w:w="0" w:type="dxa"/>
            </w:tcMar>
            <w:vAlign w:val="bottom"/>
          </w:tcPr>
          <w:p w14:paraId="392C3E52" w14:textId="77777777" w:rsidR="00980E5F" w:rsidRDefault="00483613">
            <w:pPr>
              <w:jc w:val="right"/>
              <w:textAlignment w:val="bottom"/>
            </w:pPr>
            <w:r>
              <w:rPr>
                <w:rFonts w:ascii="Arial" w:eastAsia="宋体" w:hAnsi="Arial" w:cs="Arial"/>
                <w:b/>
                <w:bCs/>
                <w:color w:val="000000"/>
                <w:sz w:val="15"/>
                <w:szCs w:val="15"/>
              </w:rPr>
              <w:t>4,492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5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5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55" w14:textId="77777777" w:rsidR="00980E5F" w:rsidRDefault="00483613">
            <w:pPr>
              <w:jc w:val="right"/>
              <w:textAlignment w:val="bottom"/>
            </w:pPr>
            <w:r>
              <w:rPr>
                <w:rFonts w:ascii="Arial" w:eastAsia="宋体" w:hAnsi="Arial" w:cs="Arial"/>
                <w:color w:val="000000"/>
                <w:sz w:val="15"/>
                <w:szCs w:val="15"/>
              </w:rPr>
              <w:t>6,854 </w:t>
            </w:r>
          </w:p>
        </w:tc>
        <w:tc>
          <w:tcPr>
            <w:tcW w:w="0" w:type="auto"/>
            <w:shd w:val="clear" w:color="auto" w:fill="CCEEFF"/>
            <w:tcMar>
              <w:top w:w="40" w:type="dxa"/>
              <w:left w:w="0" w:type="dxa"/>
              <w:bottom w:w="40" w:type="dxa"/>
              <w:right w:w="20" w:type="dxa"/>
            </w:tcMar>
            <w:vAlign w:val="bottom"/>
          </w:tcPr>
          <w:p w14:paraId="392C3E56" w14:textId="77777777" w:rsidR="00980E5F" w:rsidRDefault="00980E5F">
            <w:pPr>
              <w:jc w:val="right"/>
              <w:rPr>
                <w:rFonts w:ascii="宋体"/>
              </w:rPr>
            </w:pPr>
          </w:p>
        </w:tc>
        <w:tc>
          <w:tcPr>
            <w:tcW w:w="0" w:type="auto"/>
            <w:gridSpan w:val="3"/>
            <w:shd w:val="clear" w:color="auto" w:fill="auto"/>
            <w:vAlign w:val="bottom"/>
          </w:tcPr>
          <w:p w14:paraId="392C3E57" w14:textId="77777777" w:rsidR="00980E5F" w:rsidRDefault="00980E5F">
            <w:pPr>
              <w:rPr>
                <w:rFonts w:ascii="宋体"/>
                <w:vanish/>
              </w:rPr>
            </w:pPr>
          </w:p>
        </w:tc>
        <w:tc>
          <w:tcPr>
            <w:tcW w:w="0" w:type="auto"/>
            <w:gridSpan w:val="3"/>
            <w:shd w:val="clear" w:color="auto" w:fill="auto"/>
            <w:vAlign w:val="bottom"/>
          </w:tcPr>
          <w:p w14:paraId="392C3E58" w14:textId="77777777" w:rsidR="00980E5F" w:rsidRDefault="00980E5F">
            <w:pPr>
              <w:rPr>
                <w:rFonts w:ascii="宋体"/>
                <w:vanish/>
              </w:rPr>
            </w:pPr>
          </w:p>
        </w:tc>
      </w:tr>
      <w:tr w:rsidR="00980E5F" w14:paraId="392C3E62" w14:textId="77777777">
        <w:trPr>
          <w:jc w:val="center"/>
        </w:trPr>
        <w:tc>
          <w:tcPr>
            <w:tcW w:w="0" w:type="auto"/>
            <w:gridSpan w:val="3"/>
            <w:shd w:val="clear" w:color="auto" w:fill="FFFFFF"/>
            <w:tcMar>
              <w:top w:w="40" w:type="dxa"/>
              <w:left w:w="20" w:type="dxa"/>
              <w:bottom w:w="40" w:type="dxa"/>
              <w:right w:w="20" w:type="dxa"/>
            </w:tcMar>
            <w:vAlign w:val="bottom"/>
          </w:tcPr>
          <w:p w14:paraId="392C3E5A" w14:textId="77777777" w:rsidR="00980E5F" w:rsidRDefault="00483613">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392C3E5B" w14:textId="77777777" w:rsidR="00980E5F" w:rsidRDefault="00483613">
            <w:pPr>
              <w:jc w:val="right"/>
              <w:textAlignment w:val="bottom"/>
            </w:pPr>
            <w:r>
              <w:rPr>
                <w:rFonts w:ascii="Arial" w:eastAsia="宋体" w:hAnsi="Arial" w:cs="Arial"/>
                <w:b/>
                <w:bCs/>
                <w:color w:val="000000"/>
                <w:sz w:val="15"/>
                <w:szCs w:val="15"/>
              </w:rPr>
              <w:t>10,177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E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5E" w14:textId="77777777" w:rsidR="00980E5F" w:rsidRDefault="00483613">
            <w:pPr>
              <w:jc w:val="right"/>
              <w:textAlignment w:val="bottom"/>
            </w:pPr>
            <w:r>
              <w:rPr>
                <w:rFonts w:ascii="Arial" w:eastAsia="宋体" w:hAnsi="Arial" w:cs="Arial"/>
                <w:color w:val="000000"/>
                <w:sz w:val="15"/>
                <w:szCs w:val="15"/>
              </w:rPr>
              <w:t>11,090 </w:t>
            </w:r>
          </w:p>
        </w:tc>
        <w:tc>
          <w:tcPr>
            <w:tcW w:w="0" w:type="auto"/>
            <w:shd w:val="clear" w:color="auto" w:fill="FFFFFF"/>
            <w:tcMar>
              <w:top w:w="40" w:type="dxa"/>
              <w:left w:w="0" w:type="dxa"/>
              <w:bottom w:w="40" w:type="dxa"/>
              <w:right w:w="20" w:type="dxa"/>
            </w:tcMar>
            <w:vAlign w:val="bottom"/>
          </w:tcPr>
          <w:p w14:paraId="392C3E5F" w14:textId="77777777" w:rsidR="00980E5F" w:rsidRDefault="00980E5F">
            <w:pPr>
              <w:jc w:val="right"/>
              <w:rPr>
                <w:rFonts w:ascii="宋体"/>
              </w:rPr>
            </w:pPr>
          </w:p>
        </w:tc>
        <w:tc>
          <w:tcPr>
            <w:tcW w:w="0" w:type="auto"/>
            <w:gridSpan w:val="3"/>
            <w:shd w:val="clear" w:color="auto" w:fill="auto"/>
            <w:vAlign w:val="bottom"/>
          </w:tcPr>
          <w:p w14:paraId="392C3E60" w14:textId="77777777" w:rsidR="00980E5F" w:rsidRDefault="00980E5F">
            <w:pPr>
              <w:rPr>
                <w:rFonts w:ascii="宋体"/>
                <w:vanish/>
              </w:rPr>
            </w:pPr>
          </w:p>
        </w:tc>
        <w:tc>
          <w:tcPr>
            <w:tcW w:w="0" w:type="auto"/>
            <w:gridSpan w:val="3"/>
            <w:shd w:val="clear" w:color="auto" w:fill="auto"/>
            <w:vAlign w:val="bottom"/>
          </w:tcPr>
          <w:p w14:paraId="392C3E61" w14:textId="77777777" w:rsidR="00980E5F" w:rsidRDefault="00980E5F">
            <w:pPr>
              <w:rPr>
                <w:rFonts w:ascii="宋体"/>
                <w:vanish/>
              </w:rPr>
            </w:pPr>
          </w:p>
        </w:tc>
      </w:tr>
      <w:tr w:rsidR="00980E5F" w14:paraId="392C3E6B" w14:textId="77777777">
        <w:trPr>
          <w:jc w:val="center"/>
        </w:trPr>
        <w:tc>
          <w:tcPr>
            <w:tcW w:w="0" w:type="auto"/>
            <w:gridSpan w:val="3"/>
            <w:shd w:val="clear" w:color="auto" w:fill="CCEEFF"/>
            <w:tcMar>
              <w:top w:w="40" w:type="dxa"/>
              <w:left w:w="20" w:type="dxa"/>
              <w:bottom w:w="40" w:type="dxa"/>
              <w:right w:w="20" w:type="dxa"/>
            </w:tcMar>
            <w:vAlign w:val="bottom"/>
          </w:tcPr>
          <w:p w14:paraId="392C3E63" w14:textId="77777777" w:rsidR="00980E5F" w:rsidRDefault="00483613">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392C3E64" w14:textId="77777777" w:rsidR="00980E5F" w:rsidRDefault="00483613">
            <w:pPr>
              <w:jc w:val="right"/>
              <w:textAlignment w:val="bottom"/>
            </w:pPr>
            <w:r>
              <w:rPr>
                <w:rFonts w:ascii="Arial" w:eastAsia="宋体" w:hAnsi="Arial" w:cs="Arial"/>
                <w:b/>
                <w:bCs/>
                <w:color w:val="000000"/>
                <w:sz w:val="15"/>
                <w:szCs w:val="15"/>
              </w:rPr>
              <w:t>(13,899)</w:t>
            </w:r>
          </w:p>
        </w:tc>
        <w:tc>
          <w:tcPr>
            <w:tcW w:w="0" w:type="auto"/>
            <w:shd w:val="clear" w:color="auto" w:fill="CCEEFF"/>
            <w:tcMar>
              <w:top w:w="40" w:type="dxa"/>
              <w:left w:w="0" w:type="dxa"/>
              <w:bottom w:w="40" w:type="dxa"/>
              <w:right w:w="20" w:type="dxa"/>
            </w:tcMar>
            <w:vAlign w:val="bottom"/>
          </w:tcPr>
          <w:p w14:paraId="392C3E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6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67" w14:textId="77777777" w:rsidR="00980E5F" w:rsidRDefault="00483613">
            <w:pPr>
              <w:jc w:val="right"/>
              <w:textAlignment w:val="bottom"/>
            </w:pPr>
            <w:r>
              <w:rPr>
                <w:rFonts w:ascii="Arial" w:eastAsia="宋体" w:hAnsi="Arial" w:cs="Arial"/>
                <w:color w:val="000000"/>
                <w:sz w:val="15"/>
                <w:szCs w:val="15"/>
              </w:rPr>
              <w:t>(28,565)</w:t>
            </w:r>
          </w:p>
        </w:tc>
        <w:tc>
          <w:tcPr>
            <w:tcW w:w="0" w:type="auto"/>
            <w:shd w:val="clear" w:color="auto" w:fill="CCEEFF"/>
            <w:tcMar>
              <w:top w:w="40" w:type="dxa"/>
              <w:left w:w="0" w:type="dxa"/>
              <w:bottom w:w="40" w:type="dxa"/>
              <w:right w:w="20" w:type="dxa"/>
            </w:tcMar>
            <w:vAlign w:val="bottom"/>
          </w:tcPr>
          <w:p w14:paraId="392C3E68" w14:textId="77777777" w:rsidR="00980E5F" w:rsidRDefault="00980E5F">
            <w:pPr>
              <w:jc w:val="right"/>
              <w:rPr>
                <w:rFonts w:ascii="宋体"/>
              </w:rPr>
            </w:pPr>
          </w:p>
        </w:tc>
        <w:tc>
          <w:tcPr>
            <w:tcW w:w="0" w:type="auto"/>
            <w:gridSpan w:val="3"/>
            <w:shd w:val="clear" w:color="auto" w:fill="auto"/>
            <w:vAlign w:val="bottom"/>
          </w:tcPr>
          <w:p w14:paraId="392C3E69" w14:textId="77777777" w:rsidR="00980E5F" w:rsidRDefault="00980E5F">
            <w:pPr>
              <w:rPr>
                <w:rFonts w:ascii="宋体"/>
                <w:vanish/>
              </w:rPr>
            </w:pPr>
          </w:p>
        </w:tc>
        <w:tc>
          <w:tcPr>
            <w:tcW w:w="0" w:type="auto"/>
            <w:gridSpan w:val="3"/>
            <w:shd w:val="clear" w:color="auto" w:fill="auto"/>
            <w:vAlign w:val="bottom"/>
          </w:tcPr>
          <w:p w14:paraId="392C3E6A" w14:textId="77777777" w:rsidR="00980E5F" w:rsidRDefault="00980E5F">
            <w:pPr>
              <w:rPr>
                <w:rFonts w:ascii="宋体"/>
                <w:vanish/>
              </w:rPr>
            </w:pPr>
          </w:p>
        </w:tc>
      </w:tr>
      <w:tr w:rsidR="00980E5F" w14:paraId="392C3E72" w14:textId="77777777">
        <w:trPr>
          <w:jc w:val="center"/>
          <w:hidden/>
        </w:trPr>
        <w:tc>
          <w:tcPr>
            <w:tcW w:w="0" w:type="auto"/>
            <w:gridSpan w:val="3"/>
            <w:shd w:val="clear" w:color="auto" w:fill="auto"/>
            <w:vAlign w:val="bottom"/>
          </w:tcPr>
          <w:p w14:paraId="392C3E6C" w14:textId="77777777" w:rsidR="00980E5F" w:rsidRDefault="00980E5F">
            <w:pPr>
              <w:rPr>
                <w:rFonts w:ascii="宋体"/>
                <w:vanish/>
              </w:rPr>
            </w:pPr>
          </w:p>
        </w:tc>
        <w:tc>
          <w:tcPr>
            <w:tcW w:w="0" w:type="auto"/>
            <w:gridSpan w:val="3"/>
            <w:shd w:val="clear" w:color="auto" w:fill="auto"/>
            <w:vAlign w:val="bottom"/>
          </w:tcPr>
          <w:p w14:paraId="392C3E6D" w14:textId="77777777" w:rsidR="00980E5F" w:rsidRDefault="00980E5F">
            <w:pPr>
              <w:rPr>
                <w:rFonts w:ascii="宋体"/>
                <w:vanish/>
              </w:rPr>
            </w:pPr>
          </w:p>
        </w:tc>
        <w:tc>
          <w:tcPr>
            <w:tcW w:w="0" w:type="auto"/>
            <w:gridSpan w:val="3"/>
            <w:shd w:val="clear" w:color="auto" w:fill="auto"/>
            <w:vAlign w:val="bottom"/>
          </w:tcPr>
          <w:p w14:paraId="392C3E6E" w14:textId="77777777" w:rsidR="00980E5F" w:rsidRDefault="00980E5F">
            <w:pPr>
              <w:rPr>
                <w:rFonts w:ascii="宋体"/>
                <w:vanish/>
              </w:rPr>
            </w:pPr>
          </w:p>
        </w:tc>
        <w:tc>
          <w:tcPr>
            <w:tcW w:w="0" w:type="auto"/>
            <w:gridSpan w:val="3"/>
            <w:shd w:val="clear" w:color="auto" w:fill="auto"/>
            <w:vAlign w:val="bottom"/>
          </w:tcPr>
          <w:p w14:paraId="392C3E6F" w14:textId="77777777" w:rsidR="00980E5F" w:rsidRDefault="00980E5F">
            <w:pPr>
              <w:rPr>
                <w:rFonts w:ascii="宋体"/>
                <w:vanish/>
              </w:rPr>
            </w:pPr>
          </w:p>
        </w:tc>
        <w:tc>
          <w:tcPr>
            <w:tcW w:w="0" w:type="auto"/>
            <w:gridSpan w:val="3"/>
            <w:shd w:val="clear" w:color="auto" w:fill="auto"/>
            <w:vAlign w:val="bottom"/>
          </w:tcPr>
          <w:p w14:paraId="392C3E70" w14:textId="77777777" w:rsidR="00980E5F" w:rsidRDefault="00980E5F">
            <w:pPr>
              <w:rPr>
                <w:rFonts w:ascii="宋体"/>
                <w:vanish/>
              </w:rPr>
            </w:pPr>
          </w:p>
        </w:tc>
        <w:tc>
          <w:tcPr>
            <w:tcW w:w="0" w:type="auto"/>
            <w:gridSpan w:val="3"/>
            <w:shd w:val="clear" w:color="auto" w:fill="auto"/>
            <w:vAlign w:val="bottom"/>
          </w:tcPr>
          <w:p w14:paraId="392C3E71" w14:textId="77777777" w:rsidR="00980E5F" w:rsidRDefault="00980E5F">
            <w:pPr>
              <w:rPr>
                <w:rFonts w:ascii="宋体"/>
                <w:vanish/>
              </w:rPr>
            </w:pPr>
          </w:p>
        </w:tc>
      </w:tr>
      <w:tr w:rsidR="00980E5F" w14:paraId="392C3E79" w14:textId="77777777">
        <w:trPr>
          <w:jc w:val="center"/>
          <w:hidden/>
        </w:trPr>
        <w:tc>
          <w:tcPr>
            <w:tcW w:w="0" w:type="auto"/>
            <w:gridSpan w:val="3"/>
            <w:shd w:val="clear" w:color="auto" w:fill="auto"/>
            <w:vAlign w:val="bottom"/>
          </w:tcPr>
          <w:p w14:paraId="392C3E73" w14:textId="77777777" w:rsidR="00980E5F" w:rsidRDefault="00980E5F">
            <w:pPr>
              <w:rPr>
                <w:rFonts w:ascii="宋体"/>
                <w:vanish/>
              </w:rPr>
            </w:pPr>
          </w:p>
        </w:tc>
        <w:tc>
          <w:tcPr>
            <w:tcW w:w="0" w:type="auto"/>
            <w:gridSpan w:val="3"/>
            <w:shd w:val="clear" w:color="auto" w:fill="auto"/>
            <w:vAlign w:val="bottom"/>
          </w:tcPr>
          <w:p w14:paraId="392C3E74" w14:textId="77777777" w:rsidR="00980E5F" w:rsidRDefault="00980E5F">
            <w:pPr>
              <w:rPr>
                <w:rFonts w:ascii="宋体"/>
                <w:vanish/>
              </w:rPr>
            </w:pPr>
          </w:p>
        </w:tc>
        <w:tc>
          <w:tcPr>
            <w:tcW w:w="0" w:type="auto"/>
            <w:gridSpan w:val="3"/>
            <w:shd w:val="clear" w:color="auto" w:fill="auto"/>
            <w:vAlign w:val="bottom"/>
          </w:tcPr>
          <w:p w14:paraId="392C3E75" w14:textId="77777777" w:rsidR="00980E5F" w:rsidRDefault="00980E5F">
            <w:pPr>
              <w:rPr>
                <w:rFonts w:ascii="宋体"/>
                <w:vanish/>
              </w:rPr>
            </w:pPr>
          </w:p>
        </w:tc>
        <w:tc>
          <w:tcPr>
            <w:tcW w:w="0" w:type="auto"/>
            <w:gridSpan w:val="3"/>
            <w:shd w:val="clear" w:color="auto" w:fill="auto"/>
            <w:vAlign w:val="bottom"/>
          </w:tcPr>
          <w:p w14:paraId="392C3E76" w14:textId="77777777" w:rsidR="00980E5F" w:rsidRDefault="00980E5F">
            <w:pPr>
              <w:rPr>
                <w:rFonts w:ascii="宋体"/>
                <w:vanish/>
              </w:rPr>
            </w:pPr>
          </w:p>
        </w:tc>
        <w:tc>
          <w:tcPr>
            <w:tcW w:w="0" w:type="auto"/>
            <w:gridSpan w:val="3"/>
            <w:shd w:val="clear" w:color="auto" w:fill="auto"/>
            <w:vAlign w:val="bottom"/>
          </w:tcPr>
          <w:p w14:paraId="392C3E77" w14:textId="77777777" w:rsidR="00980E5F" w:rsidRDefault="00980E5F">
            <w:pPr>
              <w:rPr>
                <w:rFonts w:ascii="宋体"/>
                <w:vanish/>
              </w:rPr>
            </w:pPr>
          </w:p>
        </w:tc>
        <w:tc>
          <w:tcPr>
            <w:tcW w:w="0" w:type="auto"/>
            <w:gridSpan w:val="3"/>
            <w:shd w:val="clear" w:color="auto" w:fill="auto"/>
            <w:vAlign w:val="bottom"/>
          </w:tcPr>
          <w:p w14:paraId="392C3E78" w14:textId="77777777" w:rsidR="00980E5F" w:rsidRDefault="00980E5F">
            <w:pPr>
              <w:rPr>
                <w:rFonts w:ascii="宋体"/>
                <w:vanish/>
              </w:rPr>
            </w:pPr>
          </w:p>
        </w:tc>
      </w:tr>
      <w:tr w:rsidR="00980E5F" w14:paraId="392C3E80" w14:textId="77777777">
        <w:trPr>
          <w:jc w:val="center"/>
          <w:hidden/>
        </w:trPr>
        <w:tc>
          <w:tcPr>
            <w:tcW w:w="0" w:type="auto"/>
            <w:gridSpan w:val="3"/>
            <w:shd w:val="clear" w:color="auto" w:fill="auto"/>
            <w:vAlign w:val="bottom"/>
          </w:tcPr>
          <w:p w14:paraId="392C3E7A" w14:textId="77777777" w:rsidR="00980E5F" w:rsidRDefault="00980E5F">
            <w:pPr>
              <w:rPr>
                <w:rFonts w:ascii="宋体"/>
                <w:vanish/>
              </w:rPr>
            </w:pPr>
          </w:p>
        </w:tc>
        <w:tc>
          <w:tcPr>
            <w:tcW w:w="0" w:type="auto"/>
            <w:gridSpan w:val="3"/>
            <w:shd w:val="clear" w:color="auto" w:fill="auto"/>
            <w:vAlign w:val="bottom"/>
          </w:tcPr>
          <w:p w14:paraId="392C3E7B" w14:textId="77777777" w:rsidR="00980E5F" w:rsidRDefault="00980E5F">
            <w:pPr>
              <w:rPr>
                <w:rFonts w:ascii="宋体"/>
                <w:vanish/>
              </w:rPr>
            </w:pPr>
          </w:p>
        </w:tc>
        <w:tc>
          <w:tcPr>
            <w:tcW w:w="0" w:type="auto"/>
            <w:gridSpan w:val="3"/>
            <w:shd w:val="clear" w:color="auto" w:fill="auto"/>
            <w:vAlign w:val="bottom"/>
          </w:tcPr>
          <w:p w14:paraId="392C3E7C" w14:textId="77777777" w:rsidR="00980E5F" w:rsidRDefault="00980E5F">
            <w:pPr>
              <w:rPr>
                <w:rFonts w:ascii="宋体"/>
                <w:vanish/>
              </w:rPr>
            </w:pPr>
          </w:p>
        </w:tc>
        <w:tc>
          <w:tcPr>
            <w:tcW w:w="0" w:type="auto"/>
            <w:gridSpan w:val="3"/>
            <w:shd w:val="clear" w:color="auto" w:fill="auto"/>
            <w:vAlign w:val="bottom"/>
          </w:tcPr>
          <w:p w14:paraId="392C3E7D" w14:textId="77777777" w:rsidR="00980E5F" w:rsidRDefault="00980E5F">
            <w:pPr>
              <w:rPr>
                <w:rFonts w:ascii="宋体"/>
                <w:vanish/>
              </w:rPr>
            </w:pPr>
          </w:p>
        </w:tc>
        <w:tc>
          <w:tcPr>
            <w:tcW w:w="0" w:type="auto"/>
            <w:gridSpan w:val="3"/>
            <w:shd w:val="clear" w:color="auto" w:fill="auto"/>
            <w:vAlign w:val="bottom"/>
          </w:tcPr>
          <w:p w14:paraId="392C3E7E" w14:textId="77777777" w:rsidR="00980E5F" w:rsidRDefault="00980E5F">
            <w:pPr>
              <w:rPr>
                <w:rFonts w:ascii="宋体"/>
                <w:vanish/>
              </w:rPr>
            </w:pPr>
          </w:p>
        </w:tc>
        <w:tc>
          <w:tcPr>
            <w:tcW w:w="0" w:type="auto"/>
            <w:gridSpan w:val="3"/>
            <w:shd w:val="clear" w:color="auto" w:fill="auto"/>
            <w:vAlign w:val="bottom"/>
          </w:tcPr>
          <w:p w14:paraId="392C3E7F" w14:textId="77777777" w:rsidR="00980E5F" w:rsidRDefault="00980E5F">
            <w:pPr>
              <w:rPr>
                <w:rFonts w:ascii="宋体"/>
                <w:vanish/>
              </w:rPr>
            </w:pPr>
          </w:p>
        </w:tc>
      </w:tr>
      <w:tr w:rsidR="00980E5F" w14:paraId="392C3E89" w14:textId="77777777">
        <w:trPr>
          <w:jc w:val="center"/>
        </w:trPr>
        <w:tc>
          <w:tcPr>
            <w:tcW w:w="0" w:type="auto"/>
            <w:gridSpan w:val="3"/>
            <w:shd w:val="clear" w:color="auto" w:fill="FFFFFF"/>
            <w:tcMar>
              <w:top w:w="40" w:type="dxa"/>
              <w:left w:w="20" w:type="dxa"/>
              <w:bottom w:w="40" w:type="dxa"/>
              <w:right w:w="20" w:type="dxa"/>
            </w:tcMar>
            <w:vAlign w:val="bottom"/>
          </w:tcPr>
          <w:p w14:paraId="392C3E81" w14:textId="77777777" w:rsidR="00980E5F" w:rsidRDefault="00483613">
            <w:pPr>
              <w:textAlignment w:val="bottom"/>
            </w:pPr>
            <w:r>
              <w:rPr>
                <w:rFonts w:ascii="Arial" w:eastAsia="宋体" w:hAnsi="Arial" w:cs="Arial"/>
                <w:color w:val="000000"/>
                <w:sz w:val="15"/>
                <w:szCs w:val="15"/>
              </w:rPr>
              <w:t xml:space="preserve">Proceeds from maturities of held-to-maturity securities under the MMLF </w:t>
            </w:r>
            <w:r>
              <w:rPr>
                <w:rFonts w:ascii="Arial" w:eastAsia="宋体" w:hAnsi="Arial" w:cs="Arial"/>
                <w:color w:val="000000"/>
                <w:sz w:val="15"/>
                <w:szCs w:val="15"/>
              </w:rPr>
              <w:t>program</w:t>
            </w:r>
          </w:p>
        </w:tc>
        <w:tc>
          <w:tcPr>
            <w:tcW w:w="0" w:type="auto"/>
            <w:gridSpan w:val="2"/>
            <w:shd w:val="clear" w:color="auto" w:fill="FFFFFF"/>
            <w:tcMar>
              <w:top w:w="40" w:type="dxa"/>
              <w:left w:w="20" w:type="dxa"/>
              <w:bottom w:w="40" w:type="dxa"/>
              <w:right w:w="0" w:type="dxa"/>
            </w:tcMar>
            <w:vAlign w:val="bottom"/>
          </w:tcPr>
          <w:p w14:paraId="392C3E82"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E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85" w14:textId="77777777" w:rsidR="00980E5F" w:rsidRDefault="00483613">
            <w:pPr>
              <w:jc w:val="right"/>
              <w:textAlignment w:val="bottom"/>
            </w:pPr>
            <w:r>
              <w:rPr>
                <w:rFonts w:ascii="Arial" w:eastAsia="宋体" w:hAnsi="Arial" w:cs="Arial"/>
                <w:color w:val="000000"/>
                <w:sz w:val="15"/>
                <w:szCs w:val="15"/>
              </w:rPr>
              <w:t>3,299 </w:t>
            </w:r>
          </w:p>
        </w:tc>
        <w:tc>
          <w:tcPr>
            <w:tcW w:w="0" w:type="auto"/>
            <w:shd w:val="clear" w:color="auto" w:fill="FFFFFF"/>
            <w:tcMar>
              <w:top w:w="40" w:type="dxa"/>
              <w:left w:w="0" w:type="dxa"/>
              <w:bottom w:w="40" w:type="dxa"/>
              <w:right w:w="20" w:type="dxa"/>
            </w:tcMar>
            <w:vAlign w:val="bottom"/>
          </w:tcPr>
          <w:p w14:paraId="392C3E86" w14:textId="77777777" w:rsidR="00980E5F" w:rsidRDefault="00980E5F">
            <w:pPr>
              <w:jc w:val="right"/>
              <w:rPr>
                <w:rFonts w:ascii="宋体"/>
              </w:rPr>
            </w:pPr>
          </w:p>
        </w:tc>
        <w:tc>
          <w:tcPr>
            <w:tcW w:w="0" w:type="auto"/>
            <w:gridSpan w:val="3"/>
            <w:shd w:val="clear" w:color="auto" w:fill="auto"/>
            <w:vAlign w:val="bottom"/>
          </w:tcPr>
          <w:p w14:paraId="392C3E87" w14:textId="77777777" w:rsidR="00980E5F" w:rsidRDefault="00980E5F">
            <w:pPr>
              <w:rPr>
                <w:rFonts w:ascii="宋体"/>
                <w:vanish/>
              </w:rPr>
            </w:pPr>
          </w:p>
        </w:tc>
        <w:tc>
          <w:tcPr>
            <w:tcW w:w="0" w:type="auto"/>
            <w:gridSpan w:val="3"/>
            <w:shd w:val="clear" w:color="auto" w:fill="auto"/>
            <w:vAlign w:val="bottom"/>
          </w:tcPr>
          <w:p w14:paraId="392C3E88" w14:textId="77777777" w:rsidR="00980E5F" w:rsidRDefault="00980E5F">
            <w:pPr>
              <w:rPr>
                <w:rFonts w:ascii="宋体"/>
                <w:vanish/>
              </w:rPr>
            </w:pPr>
          </w:p>
        </w:tc>
      </w:tr>
      <w:tr w:rsidR="00980E5F" w14:paraId="392C3E92" w14:textId="77777777">
        <w:trPr>
          <w:jc w:val="center"/>
        </w:trPr>
        <w:tc>
          <w:tcPr>
            <w:tcW w:w="0" w:type="auto"/>
            <w:gridSpan w:val="3"/>
            <w:shd w:val="clear" w:color="auto" w:fill="CCEEFF"/>
            <w:tcMar>
              <w:top w:w="40" w:type="dxa"/>
              <w:left w:w="20" w:type="dxa"/>
              <w:bottom w:w="40" w:type="dxa"/>
              <w:right w:w="20" w:type="dxa"/>
            </w:tcMar>
            <w:vAlign w:val="bottom"/>
          </w:tcPr>
          <w:p w14:paraId="392C3E8A" w14:textId="77777777" w:rsidR="00980E5F" w:rsidRDefault="00483613">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CCEEFF"/>
            <w:tcMar>
              <w:top w:w="40" w:type="dxa"/>
              <w:left w:w="20" w:type="dxa"/>
              <w:bottom w:w="40" w:type="dxa"/>
              <w:right w:w="0" w:type="dxa"/>
            </w:tcMar>
            <w:vAlign w:val="bottom"/>
          </w:tcPr>
          <w:p w14:paraId="392C3E8B" w14:textId="77777777" w:rsidR="00980E5F" w:rsidRDefault="00483613">
            <w:pPr>
              <w:jc w:val="right"/>
              <w:textAlignment w:val="bottom"/>
            </w:pPr>
            <w:r>
              <w:rPr>
                <w:rFonts w:ascii="Arial" w:eastAsia="宋体" w:hAnsi="Arial" w:cs="Arial"/>
                <w:b/>
                <w:bCs/>
                <w:color w:val="000000"/>
                <w:sz w:val="15"/>
                <w:szCs w:val="15"/>
              </w:rPr>
              <w:t>5,921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8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8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8E" w14:textId="77777777" w:rsidR="00980E5F" w:rsidRDefault="00483613">
            <w:pPr>
              <w:jc w:val="right"/>
              <w:textAlignment w:val="bottom"/>
            </w:pPr>
            <w:r>
              <w:rPr>
                <w:rFonts w:ascii="Arial" w:eastAsia="宋体" w:hAnsi="Arial" w:cs="Arial"/>
                <w:color w:val="000000"/>
                <w:sz w:val="15"/>
                <w:szCs w:val="15"/>
              </w:rPr>
              <w:t>7,886 </w:t>
            </w:r>
          </w:p>
        </w:tc>
        <w:tc>
          <w:tcPr>
            <w:tcW w:w="0" w:type="auto"/>
            <w:shd w:val="clear" w:color="auto" w:fill="CCEEFF"/>
            <w:tcMar>
              <w:top w:w="40" w:type="dxa"/>
              <w:left w:w="0" w:type="dxa"/>
              <w:bottom w:w="40" w:type="dxa"/>
              <w:right w:w="20" w:type="dxa"/>
            </w:tcMar>
            <w:vAlign w:val="bottom"/>
          </w:tcPr>
          <w:p w14:paraId="392C3E8F" w14:textId="77777777" w:rsidR="00980E5F" w:rsidRDefault="00980E5F">
            <w:pPr>
              <w:jc w:val="right"/>
              <w:rPr>
                <w:rFonts w:ascii="宋体"/>
              </w:rPr>
            </w:pPr>
          </w:p>
        </w:tc>
        <w:tc>
          <w:tcPr>
            <w:tcW w:w="0" w:type="auto"/>
            <w:gridSpan w:val="3"/>
            <w:shd w:val="clear" w:color="auto" w:fill="auto"/>
            <w:vAlign w:val="bottom"/>
          </w:tcPr>
          <w:p w14:paraId="392C3E90" w14:textId="77777777" w:rsidR="00980E5F" w:rsidRDefault="00980E5F">
            <w:pPr>
              <w:rPr>
                <w:rFonts w:ascii="宋体"/>
                <w:vanish/>
              </w:rPr>
            </w:pPr>
          </w:p>
        </w:tc>
        <w:tc>
          <w:tcPr>
            <w:tcW w:w="0" w:type="auto"/>
            <w:gridSpan w:val="3"/>
            <w:shd w:val="clear" w:color="auto" w:fill="auto"/>
            <w:vAlign w:val="bottom"/>
          </w:tcPr>
          <w:p w14:paraId="392C3E91" w14:textId="77777777" w:rsidR="00980E5F" w:rsidRDefault="00980E5F">
            <w:pPr>
              <w:rPr>
                <w:rFonts w:ascii="宋体"/>
                <w:vanish/>
              </w:rPr>
            </w:pPr>
          </w:p>
        </w:tc>
      </w:tr>
      <w:tr w:rsidR="00980E5F" w14:paraId="392C3E9B" w14:textId="77777777">
        <w:trPr>
          <w:jc w:val="center"/>
        </w:trPr>
        <w:tc>
          <w:tcPr>
            <w:tcW w:w="0" w:type="auto"/>
            <w:gridSpan w:val="3"/>
            <w:shd w:val="clear" w:color="auto" w:fill="FFFFFF"/>
            <w:tcMar>
              <w:top w:w="40" w:type="dxa"/>
              <w:left w:w="20" w:type="dxa"/>
              <w:bottom w:w="40" w:type="dxa"/>
              <w:right w:w="20" w:type="dxa"/>
            </w:tcMar>
            <w:vAlign w:val="bottom"/>
          </w:tcPr>
          <w:p w14:paraId="392C3E93" w14:textId="77777777" w:rsidR="00980E5F" w:rsidRDefault="00483613">
            <w:pPr>
              <w:textAlignment w:val="bottom"/>
            </w:pPr>
            <w:r>
              <w:rPr>
                <w:rFonts w:ascii="Arial" w:eastAsia="宋体" w:hAnsi="Arial" w:cs="Arial"/>
                <w:color w:val="000000"/>
                <w:sz w:val="15"/>
                <w:szCs w:val="15"/>
              </w:rPr>
              <w:t>Purchases of held-to-maturity securities</w:t>
            </w:r>
          </w:p>
        </w:tc>
        <w:tc>
          <w:tcPr>
            <w:tcW w:w="0" w:type="auto"/>
            <w:gridSpan w:val="2"/>
            <w:shd w:val="clear" w:color="auto" w:fill="FFFFFF"/>
            <w:tcMar>
              <w:top w:w="40" w:type="dxa"/>
              <w:left w:w="20" w:type="dxa"/>
              <w:bottom w:w="40" w:type="dxa"/>
              <w:right w:w="0" w:type="dxa"/>
            </w:tcMar>
            <w:vAlign w:val="bottom"/>
          </w:tcPr>
          <w:p w14:paraId="392C3E94" w14:textId="77777777" w:rsidR="00980E5F" w:rsidRDefault="00483613">
            <w:pPr>
              <w:jc w:val="right"/>
              <w:textAlignment w:val="bottom"/>
            </w:pPr>
            <w:r>
              <w:rPr>
                <w:rFonts w:ascii="Arial" w:eastAsia="宋体" w:hAnsi="Arial" w:cs="Arial"/>
                <w:b/>
                <w:bCs/>
                <w:color w:val="000000"/>
                <w:sz w:val="15"/>
                <w:szCs w:val="15"/>
              </w:rPr>
              <w:t>(4,402)</w:t>
            </w:r>
          </w:p>
        </w:tc>
        <w:tc>
          <w:tcPr>
            <w:tcW w:w="0" w:type="auto"/>
            <w:shd w:val="clear" w:color="auto" w:fill="FFFFFF"/>
            <w:tcMar>
              <w:top w:w="40" w:type="dxa"/>
              <w:left w:w="0" w:type="dxa"/>
              <w:bottom w:w="40" w:type="dxa"/>
              <w:right w:w="20" w:type="dxa"/>
            </w:tcMar>
            <w:vAlign w:val="bottom"/>
          </w:tcPr>
          <w:p w14:paraId="392C3E9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9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97" w14:textId="77777777" w:rsidR="00980E5F" w:rsidRDefault="00483613">
            <w:pPr>
              <w:jc w:val="right"/>
              <w:textAlignment w:val="bottom"/>
            </w:pPr>
            <w:r>
              <w:rPr>
                <w:rFonts w:ascii="Arial" w:eastAsia="宋体" w:hAnsi="Arial" w:cs="Arial"/>
                <w:color w:val="000000"/>
                <w:sz w:val="15"/>
                <w:szCs w:val="15"/>
              </w:rPr>
              <w:t>(3,070)</w:t>
            </w:r>
          </w:p>
        </w:tc>
        <w:tc>
          <w:tcPr>
            <w:tcW w:w="0" w:type="auto"/>
            <w:shd w:val="clear" w:color="auto" w:fill="FFFFFF"/>
            <w:tcMar>
              <w:top w:w="40" w:type="dxa"/>
              <w:left w:w="0" w:type="dxa"/>
              <w:bottom w:w="40" w:type="dxa"/>
              <w:right w:w="20" w:type="dxa"/>
            </w:tcMar>
            <w:vAlign w:val="bottom"/>
          </w:tcPr>
          <w:p w14:paraId="392C3E98" w14:textId="77777777" w:rsidR="00980E5F" w:rsidRDefault="00980E5F">
            <w:pPr>
              <w:jc w:val="right"/>
              <w:rPr>
                <w:rFonts w:ascii="宋体"/>
              </w:rPr>
            </w:pPr>
          </w:p>
        </w:tc>
        <w:tc>
          <w:tcPr>
            <w:tcW w:w="0" w:type="auto"/>
            <w:gridSpan w:val="3"/>
            <w:shd w:val="clear" w:color="auto" w:fill="auto"/>
            <w:vAlign w:val="bottom"/>
          </w:tcPr>
          <w:p w14:paraId="392C3E99" w14:textId="77777777" w:rsidR="00980E5F" w:rsidRDefault="00980E5F">
            <w:pPr>
              <w:rPr>
                <w:rFonts w:ascii="宋体"/>
                <w:vanish/>
              </w:rPr>
            </w:pPr>
          </w:p>
        </w:tc>
        <w:tc>
          <w:tcPr>
            <w:tcW w:w="0" w:type="auto"/>
            <w:gridSpan w:val="3"/>
            <w:shd w:val="clear" w:color="auto" w:fill="auto"/>
            <w:vAlign w:val="bottom"/>
          </w:tcPr>
          <w:p w14:paraId="392C3E9A" w14:textId="77777777" w:rsidR="00980E5F" w:rsidRDefault="00980E5F">
            <w:pPr>
              <w:rPr>
                <w:rFonts w:ascii="宋体"/>
                <w:vanish/>
              </w:rPr>
            </w:pPr>
          </w:p>
        </w:tc>
      </w:tr>
      <w:tr w:rsidR="00980E5F" w14:paraId="392C3EA4" w14:textId="77777777">
        <w:trPr>
          <w:jc w:val="center"/>
        </w:trPr>
        <w:tc>
          <w:tcPr>
            <w:tcW w:w="0" w:type="auto"/>
            <w:gridSpan w:val="3"/>
            <w:shd w:val="clear" w:color="auto" w:fill="CCEEFF"/>
            <w:tcMar>
              <w:top w:w="40" w:type="dxa"/>
              <w:left w:w="20" w:type="dxa"/>
              <w:bottom w:w="40" w:type="dxa"/>
              <w:right w:w="20" w:type="dxa"/>
            </w:tcMar>
            <w:vAlign w:val="bottom"/>
          </w:tcPr>
          <w:p w14:paraId="392C3E9C" w14:textId="77777777" w:rsidR="00980E5F" w:rsidRDefault="00483613">
            <w:pPr>
              <w:textAlignment w:val="bottom"/>
            </w:pPr>
            <w:r>
              <w:rPr>
                <w:rFonts w:ascii="Arial" w:eastAsia="宋体" w:hAnsi="Arial" w:cs="Arial"/>
                <w:color w:val="000000"/>
                <w:sz w:val="15"/>
                <w:szCs w:val="15"/>
              </w:rPr>
              <w:t>Sale of loans</w:t>
            </w:r>
          </w:p>
        </w:tc>
        <w:tc>
          <w:tcPr>
            <w:tcW w:w="0" w:type="auto"/>
            <w:gridSpan w:val="2"/>
            <w:shd w:val="clear" w:color="auto" w:fill="CCEEFF"/>
            <w:tcMar>
              <w:top w:w="40" w:type="dxa"/>
              <w:left w:w="20" w:type="dxa"/>
              <w:bottom w:w="40" w:type="dxa"/>
              <w:right w:w="0" w:type="dxa"/>
            </w:tcMar>
            <w:vAlign w:val="bottom"/>
          </w:tcPr>
          <w:p w14:paraId="392C3E9D" w14:textId="77777777" w:rsidR="00980E5F" w:rsidRDefault="00483613">
            <w:pPr>
              <w:jc w:val="right"/>
              <w:textAlignment w:val="bottom"/>
            </w:pPr>
            <w:r>
              <w:rPr>
                <w:rFonts w:ascii="Arial" w:eastAsia="宋体" w:hAnsi="Arial" w:cs="Arial"/>
                <w:b/>
                <w:bCs/>
                <w:color w:val="000000"/>
                <w:sz w:val="15"/>
                <w:szCs w:val="15"/>
              </w:rPr>
              <w:t>1,565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9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A0" w14:textId="77777777" w:rsidR="00980E5F" w:rsidRDefault="00483613">
            <w:pPr>
              <w:jc w:val="right"/>
              <w:textAlignment w:val="bottom"/>
            </w:pPr>
            <w:r>
              <w:rPr>
                <w:rFonts w:ascii="Arial" w:eastAsia="宋体" w:hAnsi="Arial" w:cs="Arial"/>
                <w:color w:val="000000"/>
                <w:sz w:val="15"/>
                <w:szCs w:val="15"/>
              </w:rPr>
              <w:t>40 </w:t>
            </w:r>
          </w:p>
        </w:tc>
        <w:tc>
          <w:tcPr>
            <w:tcW w:w="0" w:type="auto"/>
            <w:shd w:val="clear" w:color="auto" w:fill="CCEEFF"/>
            <w:tcMar>
              <w:top w:w="40" w:type="dxa"/>
              <w:left w:w="0" w:type="dxa"/>
              <w:bottom w:w="40" w:type="dxa"/>
              <w:right w:w="20" w:type="dxa"/>
            </w:tcMar>
            <w:vAlign w:val="bottom"/>
          </w:tcPr>
          <w:p w14:paraId="392C3EA1" w14:textId="77777777" w:rsidR="00980E5F" w:rsidRDefault="00980E5F">
            <w:pPr>
              <w:jc w:val="right"/>
              <w:rPr>
                <w:rFonts w:ascii="宋体"/>
              </w:rPr>
            </w:pPr>
          </w:p>
        </w:tc>
        <w:tc>
          <w:tcPr>
            <w:tcW w:w="0" w:type="auto"/>
            <w:gridSpan w:val="3"/>
            <w:shd w:val="clear" w:color="auto" w:fill="auto"/>
            <w:vAlign w:val="bottom"/>
          </w:tcPr>
          <w:p w14:paraId="392C3EA2" w14:textId="77777777" w:rsidR="00980E5F" w:rsidRDefault="00980E5F">
            <w:pPr>
              <w:rPr>
                <w:rFonts w:ascii="宋体"/>
                <w:vanish/>
              </w:rPr>
            </w:pPr>
          </w:p>
        </w:tc>
        <w:tc>
          <w:tcPr>
            <w:tcW w:w="0" w:type="auto"/>
            <w:gridSpan w:val="3"/>
            <w:shd w:val="clear" w:color="auto" w:fill="auto"/>
            <w:vAlign w:val="bottom"/>
          </w:tcPr>
          <w:p w14:paraId="392C3EA3" w14:textId="77777777" w:rsidR="00980E5F" w:rsidRDefault="00980E5F">
            <w:pPr>
              <w:rPr>
                <w:rFonts w:ascii="宋体"/>
                <w:vanish/>
              </w:rPr>
            </w:pPr>
          </w:p>
        </w:tc>
      </w:tr>
      <w:tr w:rsidR="00980E5F" w14:paraId="392C3EAD" w14:textId="77777777">
        <w:trPr>
          <w:jc w:val="center"/>
        </w:trPr>
        <w:tc>
          <w:tcPr>
            <w:tcW w:w="0" w:type="auto"/>
            <w:gridSpan w:val="3"/>
            <w:shd w:val="clear" w:color="auto" w:fill="FFFFFF"/>
            <w:tcMar>
              <w:top w:w="40" w:type="dxa"/>
              <w:left w:w="20" w:type="dxa"/>
              <w:bottom w:w="40" w:type="dxa"/>
              <w:right w:w="20" w:type="dxa"/>
            </w:tcMar>
            <w:vAlign w:val="bottom"/>
          </w:tcPr>
          <w:p w14:paraId="392C3EA5" w14:textId="77777777" w:rsidR="00980E5F" w:rsidRDefault="00483613">
            <w:pPr>
              <w:textAlignment w:val="bottom"/>
            </w:pPr>
            <w:r>
              <w:rPr>
                <w:rFonts w:ascii="Arial" w:eastAsia="宋体" w:hAnsi="Arial" w:cs="Arial"/>
                <w:color w:val="000000"/>
                <w:sz w:val="15"/>
                <w:szCs w:val="15"/>
              </w:rPr>
              <w:t>Net (increase) in loans</w:t>
            </w:r>
          </w:p>
        </w:tc>
        <w:tc>
          <w:tcPr>
            <w:tcW w:w="0" w:type="auto"/>
            <w:gridSpan w:val="2"/>
            <w:shd w:val="clear" w:color="auto" w:fill="FFFFFF"/>
            <w:tcMar>
              <w:top w:w="40" w:type="dxa"/>
              <w:left w:w="20" w:type="dxa"/>
              <w:bottom w:w="40" w:type="dxa"/>
              <w:right w:w="0" w:type="dxa"/>
            </w:tcMar>
            <w:vAlign w:val="bottom"/>
          </w:tcPr>
          <w:p w14:paraId="392C3EA6" w14:textId="77777777" w:rsidR="00980E5F" w:rsidRDefault="00483613">
            <w:pPr>
              <w:jc w:val="right"/>
              <w:textAlignment w:val="bottom"/>
            </w:pPr>
            <w:r>
              <w:rPr>
                <w:rFonts w:ascii="Arial" w:eastAsia="宋体" w:hAnsi="Arial" w:cs="Arial"/>
                <w:b/>
                <w:bCs/>
                <w:color w:val="000000"/>
                <w:sz w:val="15"/>
                <w:szCs w:val="15"/>
              </w:rPr>
              <w:t>(2,985)</w:t>
            </w:r>
          </w:p>
        </w:tc>
        <w:tc>
          <w:tcPr>
            <w:tcW w:w="0" w:type="auto"/>
            <w:shd w:val="clear" w:color="auto" w:fill="FFFFFF"/>
            <w:tcMar>
              <w:top w:w="40" w:type="dxa"/>
              <w:left w:w="0" w:type="dxa"/>
              <w:bottom w:w="40" w:type="dxa"/>
              <w:right w:w="20" w:type="dxa"/>
            </w:tcMar>
            <w:vAlign w:val="bottom"/>
          </w:tcPr>
          <w:p w14:paraId="392C3EA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A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A9" w14:textId="77777777" w:rsidR="00980E5F" w:rsidRDefault="00483613">
            <w:pPr>
              <w:jc w:val="right"/>
              <w:textAlignment w:val="bottom"/>
            </w:pPr>
            <w:r>
              <w:rPr>
                <w:rFonts w:ascii="Arial" w:eastAsia="宋体" w:hAnsi="Arial" w:cs="Arial"/>
                <w:color w:val="000000"/>
                <w:sz w:val="15"/>
                <w:szCs w:val="15"/>
              </w:rPr>
              <w:t>(2,819)</w:t>
            </w:r>
          </w:p>
        </w:tc>
        <w:tc>
          <w:tcPr>
            <w:tcW w:w="0" w:type="auto"/>
            <w:shd w:val="clear" w:color="auto" w:fill="FFFFFF"/>
            <w:tcMar>
              <w:top w:w="40" w:type="dxa"/>
              <w:left w:w="0" w:type="dxa"/>
              <w:bottom w:w="40" w:type="dxa"/>
              <w:right w:w="20" w:type="dxa"/>
            </w:tcMar>
            <w:vAlign w:val="bottom"/>
          </w:tcPr>
          <w:p w14:paraId="392C3EAA" w14:textId="77777777" w:rsidR="00980E5F" w:rsidRDefault="00980E5F">
            <w:pPr>
              <w:jc w:val="right"/>
              <w:rPr>
                <w:rFonts w:ascii="宋体"/>
              </w:rPr>
            </w:pPr>
          </w:p>
        </w:tc>
        <w:tc>
          <w:tcPr>
            <w:tcW w:w="0" w:type="auto"/>
            <w:gridSpan w:val="3"/>
            <w:shd w:val="clear" w:color="auto" w:fill="auto"/>
            <w:vAlign w:val="bottom"/>
          </w:tcPr>
          <w:p w14:paraId="392C3EAB" w14:textId="77777777" w:rsidR="00980E5F" w:rsidRDefault="00980E5F">
            <w:pPr>
              <w:rPr>
                <w:rFonts w:ascii="宋体"/>
                <w:vanish/>
              </w:rPr>
            </w:pPr>
          </w:p>
        </w:tc>
        <w:tc>
          <w:tcPr>
            <w:tcW w:w="0" w:type="auto"/>
            <w:gridSpan w:val="3"/>
            <w:shd w:val="clear" w:color="auto" w:fill="auto"/>
            <w:vAlign w:val="bottom"/>
          </w:tcPr>
          <w:p w14:paraId="392C3EAC" w14:textId="77777777" w:rsidR="00980E5F" w:rsidRDefault="00980E5F">
            <w:pPr>
              <w:rPr>
                <w:rFonts w:ascii="宋体"/>
                <w:vanish/>
              </w:rPr>
            </w:pPr>
          </w:p>
        </w:tc>
      </w:tr>
      <w:tr w:rsidR="00980E5F" w14:paraId="392C3EB6" w14:textId="77777777">
        <w:trPr>
          <w:jc w:val="center"/>
        </w:trPr>
        <w:tc>
          <w:tcPr>
            <w:tcW w:w="0" w:type="auto"/>
            <w:gridSpan w:val="3"/>
            <w:shd w:val="clear" w:color="auto" w:fill="CCEEFF"/>
            <w:tcMar>
              <w:top w:w="40" w:type="dxa"/>
              <w:left w:w="20" w:type="dxa"/>
              <w:bottom w:w="40" w:type="dxa"/>
              <w:right w:w="20" w:type="dxa"/>
            </w:tcMar>
            <w:vAlign w:val="bottom"/>
          </w:tcPr>
          <w:p w14:paraId="392C3EAE" w14:textId="77777777" w:rsidR="00980E5F" w:rsidRDefault="00483613">
            <w:pPr>
              <w:textAlignment w:val="bottom"/>
            </w:pPr>
            <w:r>
              <w:rPr>
                <w:rFonts w:ascii="Arial" w:eastAsia="宋体" w:hAnsi="Arial" w:cs="Arial"/>
                <w:color w:val="000000"/>
                <w:sz w:val="15"/>
                <w:szCs w:val="15"/>
              </w:rPr>
              <w:t xml:space="preserve">Business </w:t>
            </w:r>
            <w:r>
              <w:rPr>
                <w:rFonts w:ascii="Arial" w:eastAsia="宋体" w:hAnsi="Arial" w:cs="Arial"/>
                <w:color w:val="000000"/>
                <w:sz w:val="15"/>
                <w:szCs w:val="15"/>
              </w:rPr>
              <w:t>acquisitions, net of cash acquired</w:t>
            </w:r>
          </w:p>
        </w:tc>
        <w:tc>
          <w:tcPr>
            <w:tcW w:w="0" w:type="auto"/>
            <w:gridSpan w:val="2"/>
            <w:shd w:val="clear" w:color="auto" w:fill="CCEEFF"/>
            <w:tcMar>
              <w:top w:w="40" w:type="dxa"/>
              <w:left w:w="20" w:type="dxa"/>
              <w:bottom w:w="40" w:type="dxa"/>
              <w:right w:w="0" w:type="dxa"/>
            </w:tcMar>
            <w:vAlign w:val="bottom"/>
          </w:tcPr>
          <w:p w14:paraId="392C3EAF"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B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B2" w14:textId="77777777" w:rsidR="00980E5F" w:rsidRDefault="00483613">
            <w:pPr>
              <w:jc w:val="right"/>
              <w:textAlignment w:val="bottom"/>
            </w:pPr>
            <w:r>
              <w:rPr>
                <w:rFonts w:ascii="Arial" w:eastAsia="宋体" w:hAnsi="Arial" w:cs="Arial"/>
                <w:color w:val="000000"/>
                <w:sz w:val="15"/>
                <w:szCs w:val="15"/>
              </w:rPr>
              <w:t>(257)</w:t>
            </w:r>
          </w:p>
        </w:tc>
        <w:tc>
          <w:tcPr>
            <w:tcW w:w="0" w:type="auto"/>
            <w:shd w:val="clear" w:color="auto" w:fill="CCEEFF"/>
            <w:tcMar>
              <w:top w:w="40" w:type="dxa"/>
              <w:left w:w="0" w:type="dxa"/>
              <w:bottom w:w="40" w:type="dxa"/>
              <w:right w:w="20" w:type="dxa"/>
            </w:tcMar>
            <w:vAlign w:val="bottom"/>
          </w:tcPr>
          <w:p w14:paraId="392C3EB3" w14:textId="77777777" w:rsidR="00980E5F" w:rsidRDefault="00980E5F">
            <w:pPr>
              <w:jc w:val="right"/>
              <w:rPr>
                <w:rFonts w:ascii="宋体"/>
              </w:rPr>
            </w:pPr>
          </w:p>
        </w:tc>
        <w:tc>
          <w:tcPr>
            <w:tcW w:w="0" w:type="auto"/>
            <w:gridSpan w:val="3"/>
            <w:shd w:val="clear" w:color="auto" w:fill="auto"/>
            <w:vAlign w:val="bottom"/>
          </w:tcPr>
          <w:p w14:paraId="392C3EB4" w14:textId="77777777" w:rsidR="00980E5F" w:rsidRDefault="00980E5F">
            <w:pPr>
              <w:rPr>
                <w:rFonts w:ascii="宋体"/>
                <w:vanish/>
              </w:rPr>
            </w:pPr>
          </w:p>
        </w:tc>
        <w:tc>
          <w:tcPr>
            <w:tcW w:w="0" w:type="auto"/>
            <w:gridSpan w:val="3"/>
            <w:shd w:val="clear" w:color="auto" w:fill="auto"/>
            <w:vAlign w:val="bottom"/>
          </w:tcPr>
          <w:p w14:paraId="392C3EB5" w14:textId="77777777" w:rsidR="00980E5F" w:rsidRDefault="00980E5F">
            <w:pPr>
              <w:rPr>
                <w:rFonts w:ascii="宋体"/>
                <w:vanish/>
              </w:rPr>
            </w:pPr>
          </w:p>
        </w:tc>
      </w:tr>
      <w:tr w:rsidR="00980E5F" w14:paraId="392C3EBF" w14:textId="77777777">
        <w:trPr>
          <w:jc w:val="center"/>
        </w:trPr>
        <w:tc>
          <w:tcPr>
            <w:tcW w:w="0" w:type="auto"/>
            <w:gridSpan w:val="3"/>
            <w:shd w:val="clear" w:color="auto" w:fill="FFFFFF"/>
            <w:tcMar>
              <w:top w:w="40" w:type="dxa"/>
              <w:left w:w="20" w:type="dxa"/>
              <w:bottom w:w="40" w:type="dxa"/>
              <w:right w:w="20" w:type="dxa"/>
            </w:tcMar>
            <w:vAlign w:val="bottom"/>
          </w:tcPr>
          <w:p w14:paraId="392C3EB7" w14:textId="77777777" w:rsidR="00980E5F" w:rsidRDefault="00483613">
            <w:pPr>
              <w:textAlignment w:val="bottom"/>
            </w:pPr>
            <w:r>
              <w:rPr>
                <w:rFonts w:ascii="Arial" w:eastAsia="宋体" w:hAnsi="Arial" w:cs="Arial"/>
                <w:color w:val="000000"/>
                <w:sz w:val="15"/>
                <w:szCs w:val="15"/>
              </w:rPr>
              <w:t>Divestitures</w:t>
            </w:r>
          </w:p>
        </w:tc>
        <w:tc>
          <w:tcPr>
            <w:tcW w:w="0" w:type="auto"/>
            <w:gridSpan w:val="2"/>
            <w:shd w:val="clear" w:color="auto" w:fill="FFFFFF"/>
            <w:tcMar>
              <w:top w:w="40" w:type="dxa"/>
              <w:left w:w="20" w:type="dxa"/>
              <w:bottom w:w="40" w:type="dxa"/>
              <w:right w:w="0" w:type="dxa"/>
            </w:tcMar>
            <w:vAlign w:val="bottom"/>
          </w:tcPr>
          <w:p w14:paraId="392C3EB8"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E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BB" w14:textId="77777777" w:rsidR="00980E5F" w:rsidRDefault="00483613">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392C3EBC" w14:textId="77777777" w:rsidR="00980E5F" w:rsidRDefault="00980E5F">
            <w:pPr>
              <w:jc w:val="right"/>
              <w:rPr>
                <w:rFonts w:ascii="宋体"/>
              </w:rPr>
            </w:pPr>
          </w:p>
        </w:tc>
        <w:tc>
          <w:tcPr>
            <w:tcW w:w="0" w:type="auto"/>
            <w:gridSpan w:val="3"/>
            <w:shd w:val="clear" w:color="auto" w:fill="auto"/>
            <w:vAlign w:val="bottom"/>
          </w:tcPr>
          <w:p w14:paraId="392C3EBD" w14:textId="77777777" w:rsidR="00980E5F" w:rsidRDefault="00980E5F">
            <w:pPr>
              <w:rPr>
                <w:rFonts w:ascii="宋体"/>
                <w:vanish/>
              </w:rPr>
            </w:pPr>
          </w:p>
        </w:tc>
        <w:tc>
          <w:tcPr>
            <w:tcW w:w="0" w:type="auto"/>
            <w:gridSpan w:val="3"/>
            <w:shd w:val="clear" w:color="auto" w:fill="auto"/>
            <w:vAlign w:val="bottom"/>
          </w:tcPr>
          <w:p w14:paraId="392C3EBE" w14:textId="77777777" w:rsidR="00980E5F" w:rsidRDefault="00980E5F">
            <w:pPr>
              <w:rPr>
                <w:rFonts w:ascii="宋体"/>
                <w:vanish/>
              </w:rPr>
            </w:pPr>
          </w:p>
        </w:tc>
      </w:tr>
      <w:tr w:rsidR="00980E5F" w14:paraId="392C3EC8" w14:textId="77777777">
        <w:trPr>
          <w:jc w:val="center"/>
        </w:trPr>
        <w:tc>
          <w:tcPr>
            <w:tcW w:w="0" w:type="auto"/>
            <w:gridSpan w:val="3"/>
            <w:shd w:val="clear" w:color="auto" w:fill="CCEEFF"/>
            <w:tcMar>
              <w:top w:w="40" w:type="dxa"/>
              <w:left w:w="20" w:type="dxa"/>
              <w:bottom w:w="40" w:type="dxa"/>
              <w:right w:w="20" w:type="dxa"/>
            </w:tcMar>
            <w:vAlign w:val="bottom"/>
          </w:tcPr>
          <w:p w14:paraId="392C3EC0" w14:textId="77777777" w:rsidR="00980E5F" w:rsidRDefault="00483613">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CCEEFF"/>
            <w:tcMar>
              <w:top w:w="40" w:type="dxa"/>
              <w:left w:w="20" w:type="dxa"/>
              <w:bottom w:w="40" w:type="dxa"/>
              <w:right w:w="0" w:type="dxa"/>
            </w:tcMar>
            <w:vAlign w:val="bottom"/>
          </w:tcPr>
          <w:p w14:paraId="392C3EC1" w14:textId="77777777" w:rsidR="00980E5F" w:rsidRDefault="00483613">
            <w:pPr>
              <w:jc w:val="right"/>
              <w:textAlignment w:val="bottom"/>
            </w:pPr>
            <w:r>
              <w:rPr>
                <w:rFonts w:ascii="Arial" w:eastAsia="宋体" w:hAnsi="Arial" w:cs="Arial"/>
                <w:b/>
                <w:bCs/>
                <w:color w:val="000000"/>
                <w:sz w:val="15"/>
                <w:szCs w:val="15"/>
              </w:rPr>
              <w:t>(167)</w:t>
            </w:r>
          </w:p>
        </w:tc>
        <w:tc>
          <w:tcPr>
            <w:tcW w:w="0" w:type="auto"/>
            <w:shd w:val="clear" w:color="auto" w:fill="CCEEFF"/>
            <w:tcMar>
              <w:top w:w="40" w:type="dxa"/>
              <w:left w:w="0" w:type="dxa"/>
              <w:bottom w:w="40" w:type="dxa"/>
              <w:right w:w="20" w:type="dxa"/>
            </w:tcMar>
            <w:vAlign w:val="bottom"/>
          </w:tcPr>
          <w:p w14:paraId="392C3E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C4" w14:textId="77777777" w:rsidR="00980E5F" w:rsidRDefault="00483613">
            <w:pPr>
              <w:jc w:val="right"/>
              <w:textAlignment w:val="bottom"/>
            </w:pPr>
            <w:r>
              <w:rPr>
                <w:rFonts w:ascii="Arial" w:eastAsia="宋体" w:hAnsi="Arial" w:cs="Arial"/>
                <w:color w:val="000000"/>
                <w:sz w:val="15"/>
                <w:szCs w:val="15"/>
              </w:rPr>
              <w:t>(106)</w:t>
            </w:r>
          </w:p>
        </w:tc>
        <w:tc>
          <w:tcPr>
            <w:tcW w:w="0" w:type="auto"/>
            <w:shd w:val="clear" w:color="auto" w:fill="CCEEFF"/>
            <w:tcMar>
              <w:top w:w="40" w:type="dxa"/>
              <w:left w:w="0" w:type="dxa"/>
              <w:bottom w:w="40" w:type="dxa"/>
              <w:right w:w="20" w:type="dxa"/>
            </w:tcMar>
            <w:vAlign w:val="bottom"/>
          </w:tcPr>
          <w:p w14:paraId="392C3EC5" w14:textId="77777777" w:rsidR="00980E5F" w:rsidRDefault="00980E5F">
            <w:pPr>
              <w:jc w:val="right"/>
              <w:rPr>
                <w:rFonts w:ascii="宋体"/>
              </w:rPr>
            </w:pPr>
          </w:p>
        </w:tc>
        <w:tc>
          <w:tcPr>
            <w:tcW w:w="0" w:type="auto"/>
            <w:gridSpan w:val="3"/>
            <w:shd w:val="clear" w:color="auto" w:fill="auto"/>
            <w:vAlign w:val="bottom"/>
          </w:tcPr>
          <w:p w14:paraId="392C3EC6" w14:textId="77777777" w:rsidR="00980E5F" w:rsidRDefault="00980E5F">
            <w:pPr>
              <w:rPr>
                <w:rFonts w:ascii="宋体"/>
                <w:vanish/>
              </w:rPr>
            </w:pPr>
          </w:p>
        </w:tc>
        <w:tc>
          <w:tcPr>
            <w:tcW w:w="0" w:type="auto"/>
            <w:gridSpan w:val="3"/>
            <w:shd w:val="clear" w:color="auto" w:fill="auto"/>
            <w:vAlign w:val="bottom"/>
          </w:tcPr>
          <w:p w14:paraId="392C3EC7" w14:textId="77777777" w:rsidR="00980E5F" w:rsidRDefault="00980E5F">
            <w:pPr>
              <w:rPr>
                <w:rFonts w:ascii="宋体"/>
                <w:vanish/>
              </w:rPr>
            </w:pPr>
          </w:p>
        </w:tc>
      </w:tr>
      <w:tr w:rsidR="00980E5F" w14:paraId="392C3ED1" w14:textId="77777777">
        <w:trPr>
          <w:jc w:val="center"/>
        </w:trPr>
        <w:tc>
          <w:tcPr>
            <w:tcW w:w="0" w:type="auto"/>
            <w:gridSpan w:val="3"/>
            <w:shd w:val="clear" w:color="auto" w:fill="FFFFFF"/>
            <w:tcMar>
              <w:top w:w="40" w:type="dxa"/>
              <w:left w:w="20" w:type="dxa"/>
              <w:bottom w:w="40" w:type="dxa"/>
              <w:right w:w="20" w:type="dxa"/>
            </w:tcMar>
            <w:vAlign w:val="bottom"/>
          </w:tcPr>
          <w:p w14:paraId="392C3EC9" w14:textId="77777777" w:rsidR="00980E5F" w:rsidRDefault="00483613">
            <w:pPr>
              <w:textAlignment w:val="bottom"/>
            </w:pPr>
            <w:r>
              <w:rPr>
                <w:rFonts w:ascii="Arial" w:eastAsia="宋体" w:hAnsi="Arial" w:cs="Arial"/>
                <w:color w:val="000000"/>
                <w:sz w:val="15"/>
                <w:szCs w:val="15"/>
              </w:rPr>
              <w:t>Purchases of premises and equipment, net</w:t>
            </w:r>
          </w:p>
        </w:tc>
        <w:tc>
          <w:tcPr>
            <w:tcW w:w="0" w:type="auto"/>
            <w:gridSpan w:val="2"/>
            <w:shd w:val="clear" w:color="auto" w:fill="FFFFFF"/>
            <w:tcMar>
              <w:top w:w="40" w:type="dxa"/>
              <w:left w:w="20" w:type="dxa"/>
              <w:bottom w:w="40" w:type="dxa"/>
              <w:right w:w="0" w:type="dxa"/>
            </w:tcMar>
            <w:vAlign w:val="bottom"/>
          </w:tcPr>
          <w:p w14:paraId="392C3ECA" w14:textId="77777777" w:rsidR="00980E5F" w:rsidRDefault="00483613">
            <w:pPr>
              <w:jc w:val="right"/>
              <w:textAlignment w:val="bottom"/>
            </w:pPr>
            <w:r>
              <w:rPr>
                <w:rFonts w:ascii="Arial" w:eastAsia="宋体" w:hAnsi="Arial" w:cs="Arial"/>
                <w:b/>
                <w:bCs/>
                <w:color w:val="000000"/>
                <w:sz w:val="15"/>
                <w:szCs w:val="15"/>
              </w:rPr>
              <w:t>(320)</w:t>
            </w:r>
          </w:p>
        </w:tc>
        <w:tc>
          <w:tcPr>
            <w:tcW w:w="0" w:type="auto"/>
            <w:shd w:val="clear" w:color="auto" w:fill="FFFFFF"/>
            <w:tcMar>
              <w:top w:w="40" w:type="dxa"/>
              <w:left w:w="0" w:type="dxa"/>
              <w:bottom w:w="40" w:type="dxa"/>
              <w:right w:w="20" w:type="dxa"/>
            </w:tcMar>
            <w:vAlign w:val="bottom"/>
          </w:tcPr>
          <w:p w14:paraId="392C3E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CD" w14:textId="77777777" w:rsidR="00980E5F" w:rsidRDefault="00483613">
            <w:pPr>
              <w:jc w:val="right"/>
              <w:textAlignment w:val="bottom"/>
            </w:pPr>
            <w:r>
              <w:rPr>
                <w:rFonts w:ascii="Arial" w:eastAsia="宋体" w:hAnsi="Arial" w:cs="Arial"/>
                <w:color w:val="000000"/>
                <w:sz w:val="15"/>
                <w:szCs w:val="15"/>
              </w:rPr>
              <w:t>(359)</w:t>
            </w:r>
          </w:p>
        </w:tc>
        <w:tc>
          <w:tcPr>
            <w:tcW w:w="0" w:type="auto"/>
            <w:shd w:val="clear" w:color="auto" w:fill="FFFFFF"/>
            <w:tcMar>
              <w:top w:w="40" w:type="dxa"/>
              <w:left w:w="0" w:type="dxa"/>
              <w:bottom w:w="40" w:type="dxa"/>
              <w:right w:w="20" w:type="dxa"/>
            </w:tcMar>
            <w:vAlign w:val="bottom"/>
          </w:tcPr>
          <w:p w14:paraId="392C3ECE" w14:textId="77777777" w:rsidR="00980E5F" w:rsidRDefault="00980E5F">
            <w:pPr>
              <w:jc w:val="right"/>
              <w:rPr>
                <w:rFonts w:ascii="宋体"/>
              </w:rPr>
            </w:pPr>
          </w:p>
        </w:tc>
        <w:tc>
          <w:tcPr>
            <w:tcW w:w="0" w:type="auto"/>
            <w:gridSpan w:val="3"/>
            <w:shd w:val="clear" w:color="auto" w:fill="auto"/>
            <w:vAlign w:val="bottom"/>
          </w:tcPr>
          <w:p w14:paraId="392C3ECF" w14:textId="77777777" w:rsidR="00980E5F" w:rsidRDefault="00980E5F">
            <w:pPr>
              <w:rPr>
                <w:rFonts w:ascii="宋体"/>
                <w:vanish/>
              </w:rPr>
            </w:pPr>
          </w:p>
        </w:tc>
        <w:tc>
          <w:tcPr>
            <w:tcW w:w="0" w:type="auto"/>
            <w:gridSpan w:val="3"/>
            <w:shd w:val="clear" w:color="auto" w:fill="auto"/>
            <w:vAlign w:val="bottom"/>
          </w:tcPr>
          <w:p w14:paraId="392C3ED0" w14:textId="77777777" w:rsidR="00980E5F" w:rsidRDefault="00980E5F">
            <w:pPr>
              <w:rPr>
                <w:rFonts w:ascii="宋体"/>
                <w:vanish/>
              </w:rPr>
            </w:pPr>
          </w:p>
        </w:tc>
      </w:tr>
      <w:tr w:rsidR="00980E5F" w14:paraId="392C3ED8" w14:textId="77777777">
        <w:trPr>
          <w:jc w:val="center"/>
          <w:hidden/>
        </w:trPr>
        <w:tc>
          <w:tcPr>
            <w:tcW w:w="0" w:type="auto"/>
            <w:gridSpan w:val="3"/>
            <w:shd w:val="clear" w:color="auto" w:fill="auto"/>
            <w:vAlign w:val="bottom"/>
          </w:tcPr>
          <w:p w14:paraId="392C3ED2" w14:textId="77777777" w:rsidR="00980E5F" w:rsidRDefault="00980E5F">
            <w:pPr>
              <w:rPr>
                <w:rFonts w:ascii="宋体"/>
                <w:vanish/>
              </w:rPr>
            </w:pPr>
          </w:p>
        </w:tc>
        <w:tc>
          <w:tcPr>
            <w:tcW w:w="0" w:type="auto"/>
            <w:gridSpan w:val="3"/>
            <w:shd w:val="clear" w:color="auto" w:fill="auto"/>
            <w:vAlign w:val="bottom"/>
          </w:tcPr>
          <w:p w14:paraId="392C3ED3" w14:textId="77777777" w:rsidR="00980E5F" w:rsidRDefault="00980E5F">
            <w:pPr>
              <w:rPr>
                <w:rFonts w:ascii="宋体"/>
                <w:vanish/>
              </w:rPr>
            </w:pPr>
          </w:p>
        </w:tc>
        <w:tc>
          <w:tcPr>
            <w:tcW w:w="0" w:type="auto"/>
            <w:gridSpan w:val="3"/>
            <w:shd w:val="clear" w:color="auto" w:fill="auto"/>
            <w:vAlign w:val="bottom"/>
          </w:tcPr>
          <w:p w14:paraId="392C3ED4" w14:textId="77777777" w:rsidR="00980E5F" w:rsidRDefault="00980E5F">
            <w:pPr>
              <w:rPr>
                <w:rFonts w:ascii="宋体"/>
                <w:vanish/>
              </w:rPr>
            </w:pPr>
          </w:p>
        </w:tc>
        <w:tc>
          <w:tcPr>
            <w:tcW w:w="0" w:type="auto"/>
            <w:gridSpan w:val="3"/>
            <w:shd w:val="clear" w:color="auto" w:fill="auto"/>
            <w:vAlign w:val="bottom"/>
          </w:tcPr>
          <w:p w14:paraId="392C3ED5" w14:textId="77777777" w:rsidR="00980E5F" w:rsidRDefault="00980E5F">
            <w:pPr>
              <w:rPr>
                <w:rFonts w:ascii="宋体"/>
                <w:vanish/>
              </w:rPr>
            </w:pPr>
          </w:p>
        </w:tc>
        <w:tc>
          <w:tcPr>
            <w:tcW w:w="0" w:type="auto"/>
            <w:gridSpan w:val="3"/>
            <w:shd w:val="clear" w:color="auto" w:fill="auto"/>
            <w:vAlign w:val="bottom"/>
          </w:tcPr>
          <w:p w14:paraId="392C3ED6" w14:textId="77777777" w:rsidR="00980E5F" w:rsidRDefault="00980E5F">
            <w:pPr>
              <w:rPr>
                <w:rFonts w:ascii="宋体"/>
                <w:vanish/>
              </w:rPr>
            </w:pPr>
          </w:p>
        </w:tc>
        <w:tc>
          <w:tcPr>
            <w:tcW w:w="0" w:type="auto"/>
            <w:gridSpan w:val="3"/>
            <w:shd w:val="clear" w:color="auto" w:fill="auto"/>
            <w:vAlign w:val="bottom"/>
          </w:tcPr>
          <w:p w14:paraId="392C3ED7" w14:textId="77777777" w:rsidR="00980E5F" w:rsidRDefault="00980E5F">
            <w:pPr>
              <w:rPr>
                <w:rFonts w:ascii="宋体"/>
                <w:vanish/>
              </w:rPr>
            </w:pPr>
          </w:p>
        </w:tc>
      </w:tr>
      <w:tr w:rsidR="00980E5F" w14:paraId="392C3EE1" w14:textId="77777777">
        <w:trPr>
          <w:jc w:val="center"/>
        </w:trPr>
        <w:tc>
          <w:tcPr>
            <w:tcW w:w="0" w:type="auto"/>
            <w:gridSpan w:val="3"/>
            <w:shd w:val="clear" w:color="auto" w:fill="CCEEFF"/>
            <w:tcMar>
              <w:top w:w="40" w:type="dxa"/>
              <w:left w:w="20" w:type="dxa"/>
              <w:bottom w:w="40" w:type="dxa"/>
              <w:right w:w="20" w:type="dxa"/>
            </w:tcMar>
            <w:vAlign w:val="bottom"/>
          </w:tcPr>
          <w:p w14:paraId="392C3ED9" w14:textId="77777777" w:rsidR="00980E5F" w:rsidRDefault="00483613">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392C3EDA" w14:textId="77777777" w:rsidR="00980E5F" w:rsidRDefault="00483613">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E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D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DD" w14:textId="77777777" w:rsidR="00980E5F" w:rsidRDefault="00483613">
            <w:pPr>
              <w:jc w:val="right"/>
              <w:textAlignment w:val="bottom"/>
            </w:pPr>
            <w:r>
              <w:rPr>
                <w:rFonts w:ascii="Arial" w:eastAsia="宋体" w:hAnsi="Arial" w:cs="Arial"/>
                <w:color w:val="000000"/>
                <w:sz w:val="15"/>
                <w:szCs w:val="15"/>
              </w:rPr>
              <w:t>184 </w:t>
            </w:r>
          </w:p>
        </w:tc>
        <w:tc>
          <w:tcPr>
            <w:tcW w:w="0" w:type="auto"/>
            <w:shd w:val="clear" w:color="auto" w:fill="CCEEFF"/>
            <w:tcMar>
              <w:top w:w="40" w:type="dxa"/>
              <w:left w:w="0" w:type="dxa"/>
              <w:bottom w:w="40" w:type="dxa"/>
              <w:right w:w="20" w:type="dxa"/>
            </w:tcMar>
            <w:vAlign w:val="bottom"/>
          </w:tcPr>
          <w:p w14:paraId="392C3EDE" w14:textId="77777777" w:rsidR="00980E5F" w:rsidRDefault="00980E5F">
            <w:pPr>
              <w:jc w:val="right"/>
              <w:rPr>
                <w:rFonts w:ascii="宋体"/>
              </w:rPr>
            </w:pPr>
          </w:p>
        </w:tc>
        <w:tc>
          <w:tcPr>
            <w:tcW w:w="0" w:type="auto"/>
            <w:gridSpan w:val="3"/>
            <w:shd w:val="clear" w:color="auto" w:fill="auto"/>
            <w:vAlign w:val="bottom"/>
          </w:tcPr>
          <w:p w14:paraId="392C3EDF" w14:textId="77777777" w:rsidR="00980E5F" w:rsidRDefault="00980E5F">
            <w:pPr>
              <w:rPr>
                <w:rFonts w:ascii="宋体"/>
                <w:vanish/>
              </w:rPr>
            </w:pPr>
          </w:p>
        </w:tc>
        <w:tc>
          <w:tcPr>
            <w:tcW w:w="0" w:type="auto"/>
            <w:gridSpan w:val="3"/>
            <w:shd w:val="clear" w:color="auto" w:fill="auto"/>
            <w:vAlign w:val="bottom"/>
          </w:tcPr>
          <w:p w14:paraId="392C3EE0" w14:textId="77777777" w:rsidR="00980E5F" w:rsidRDefault="00980E5F">
            <w:pPr>
              <w:rPr>
                <w:rFonts w:ascii="宋体"/>
                <w:vanish/>
              </w:rPr>
            </w:pPr>
          </w:p>
        </w:tc>
      </w:tr>
      <w:tr w:rsidR="00980E5F" w14:paraId="392C3EEA" w14:textId="77777777">
        <w:trPr>
          <w:jc w:val="center"/>
        </w:trPr>
        <w:tc>
          <w:tcPr>
            <w:tcW w:w="0" w:type="auto"/>
            <w:gridSpan w:val="3"/>
            <w:shd w:val="clear" w:color="auto" w:fill="FFFFFF"/>
            <w:tcMar>
              <w:top w:w="40" w:type="dxa"/>
              <w:left w:w="20" w:type="dxa"/>
              <w:bottom w:w="40" w:type="dxa"/>
              <w:right w:w="20" w:type="dxa"/>
            </w:tcMar>
            <w:vAlign w:val="bottom"/>
          </w:tcPr>
          <w:p w14:paraId="392C3EE2" w14:textId="77777777" w:rsidR="00980E5F" w:rsidRDefault="00483613">
            <w:pPr>
              <w:textAlignment w:val="bottom"/>
            </w:pPr>
            <w:r>
              <w:rPr>
                <w:rFonts w:ascii="Arial" w:eastAsia="宋体" w:hAnsi="Arial" w:cs="Arial"/>
                <w:color w:val="000000"/>
                <w:sz w:val="15"/>
                <w:szCs w:val="15"/>
              </w:rPr>
              <w:t xml:space="preserve">Net </w:t>
            </w:r>
            <w:r>
              <w:rPr>
                <w:rFonts w:ascii="Arial" w:eastAsia="宋体" w:hAnsi="Arial" w:cs="Arial"/>
                <w:color w:val="000000"/>
                <w:sz w:val="15"/>
                <w:szCs w:val="15"/>
              </w:rPr>
              <w:t>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EE3" w14:textId="77777777" w:rsidR="00980E5F" w:rsidRDefault="00483613">
            <w:pPr>
              <w:jc w:val="right"/>
              <w:textAlignment w:val="bottom"/>
            </w:pPr>
            <w:r>
              <w:rPr>
                <w:rFonts w:ascii="Arial" w:eastAsia="宋体" w:hAnsi="Arial" w:cs="Arial"/>
                <w:b/>
                <w:bCs/>
                <w:color w:val="000000"/>
                <w:sz w:val="15"/>
                <w:szCs w:val="15"/>
              </w:rPr>
              <w:t>13,246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E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E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EE6" w14:textId="77777777" w:rsidR="00980E5F" w:rsidRDefault="00483613">
            <w:pPr>
              <w:jc w:val="right"/>
              <w:textAlignment w:val="bottom"/>
            </w:pPr>
            <w:r>
              <w:rPr>
                <w:rFonts w:ascii="Arial" w:eastAsia="宋体" w:hAnsi="Arial" w:cs="Arial"/>
                <w:color w:val="000000"/>
                <w:sz w:val="15"/>
                <w:szCs w:val="15"/>
              </w:rPr>
              <w:t>(3,088)</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EE7" w14:textId="77777777" w:rsidR="00980E5F" w:rsidRDefault="00980E5F">
            <w:pPr>
              <w:jc w:val="right"/>
              <w:rPr>
                <w:rFonts w:ascii="宋体"/>
              </w:rPr>
            </w:pPr>
          </w:p>
        </w:tc>
        <w:tc>
          <w:tcPr>
            <w:tcW w:w="0" w:type="auto"/>
            <w:gridSpan w:val="3"/>
            <w:shd w:val="clear" w:color="auto" w:fill="auto"/>
            <w:vAlign w:val="bottom"/>
          </w:tcPr>
          <w:p w14:paraId="392C3EE8" w14:textId="77777777" w:rsidR="00980E5F" w:rsidRDefault="00980E5F">
            <w:pPr>
              <w:rPr>
                <w:rFonts w:ascii="宋体"/>
                <w:vanish/>
              </w:rPr>
            </w:pPr>
          </w:p>
        </w:tc>
        <w:tc>
          <w:tcPr>
            <w:tcW w:w="0" w:type="auto"/>
            <w:gridSpan w:val="3"/>
            <w:shd w:val="clear" w:color="auto" w:fill="auto"/>
            <w:vAlign w:val="bottom"/>
          </w:tcPr>
          <w:p w14:paraId="392C3EE9" w14:textId="77777777" w:rsidR="00980E5F" w:rsidRDefault="00980E5F">
            <w:pPr>
              <w:rPr>
                <w:rFonts w:ascii="宋体"/>
                <w:vanish/>
              </w:rPr>
            </w:pPr>
          </w:p>
        </w:tc>
      </w:tr>
      <w:tr w:rsidR="00980E5F" w14:paraId="392C3EF1" w14:textId="77777777">
        <w:trPr>
          <w:jc w:val="center"/>
        </w:trPr>
        <w:tc>
          <w:tcPr>
            <w:tcW w:w="0" w:type="auto"/>
            <w:gridSpan w:val="3"/>
            <w:shd w:val="clear" w:color="auto" w:fill="CCEEFF"/>
            <w:tcMar>
              <w:top w:w="40" w:type="dxa"/>
              <w:left w:w="20" w:type="dxa"/>
              <w:bottom w:w="40" w:type="dxa"/>
              <w:right w:w="20" w:type="dxa"/>
            </w:tcMar>
            <w:vAlign w:val="bottom"/>
          </w:tcPr>
          <w:p w14:paraId="392C3EEB" w14:textId="77777777" w:rsidR="00980E5F" w:rsidRDefault="00483613">
            <w:pPr>
              <w:textAlignment w:val="bottom"/>
            </w:pPr>
            <w:r>
              <w:rPr>
                <w:rFonts w:ascii="Arial" w:eastAsia="宋体" w:hAnsi="Arial" w:cs="Arial"/>
                <w:b/>
                <w:bCs/>
                <w:color w:val="000000"/>
                <w:sz w:val="15"/>
                <w:szCs w:val="15"/>
              </w:rPr>
              <w:t>Financing Activities:</w:t>
            </w:r>
          </w:p>
        </w:tc>
        <w:tc>
          <w:tcPr>
            <w:tcW w:w="0" w:type="auto"/>
            <w:gridSpan w:val="3"/>
            <w:shd w:val="clear" w:color="auto" w:fill="CCEEFF"/>
            <w:tcMar>
              <w:top w:w="0" w:type="dxa"/>
              <w:left w:w="20" w:type="dxa"/>
              <w:bottom w:w="0" w:type="dxa"/>
              <w:right w:w="20" w:type="dxa"/>
            </w:tcMar>
            <w:vAlign w:val="bottom"/>
          </w:tcPr>
          <w:p w14:paraId="392C3EE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EE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3EEE" w14:textId="77777777" w:rsidR="00980E5F" w:rsidRDefault="00980E5F">
            <w:pPr>
              <w:rPr>
                <w:rFonts w:ascii="宋体"/>
              </w:rPr>
            </w:pPr>
          </w:p>
        </w:tc>
        <w:tc>
          <w:tcPr>
            <w:tcW w:w="0" w:type="auto"/>
            <w:gridSpan w:val="3"/>
            <w:shd w:val="clear" w:color="auto" w:fill="auto"/>
            <w:vAlign w:val="bottom"/>
          </w:tcPr>
          <w:p w14:paraId="392C3EEF" w14:textId="77777777" w:rsidR="00980E5F" w:rsidRDefault="00980E5F">
            <w:pPr>
              <w:rPr>
                <w:rFonts w:ascii="宋体"/>
                <w:vanish/>
              </w:rPr>
            </w:pPr>
          </w:p>
        </w:tc>
        <w:tc>
          <w:tcPr>
            <w:tcW w:w="0" w:type="auto"/>
            <w:gridSpan w:val="3"/>
            <w:shd w:val="clear" w:color="auto" w:fill="auto"/>
            <w:vAlign w:val="bottom"/>
          </w:tcPr>
          <w:p w14:paraId="392C3EF0" w14:textId="77777777" w:rsidR="00980E5F" w:rsidRDefault="00980E5F">
            <w:pPr>
              <w:rPr>
                <w:rFonts w:ascii="宋体"/>
                <w:vanish/>
              </w:rPr>
            </w:pPr>
          </w:p>
        </w:tc>
      </w:tr>
      <w:tr w:rsidR="00980E5F" w14:paraId="392C3EFA" w14:textId="77777777">
        <w:trPr>
          <w:jc w:val="center"/>
        </w:trPr>
        <w:tc>
          <w:tcPr>
            <w:tcW w:w="0" w:type="auto"/>
            <w:gridSpan w:val="3"/>
            <w:shd w:val="clear" w:color="auto" w:fill="FFFFFF"/>
            <w:tcMar>
              <w:top w:w="40" w:type="dxa"/>
              <w:left w:w="20" w:type="dxa"/>
              <w:bottom w:w="40" w:type="dxa"/>
              <w:right w:w="20" w:type="dxa"/>
            </w:tcMar>
            <w:vAlign w:val="bottom"/>
          </w:tcPr>
          <w:p w14:paraId="392C3EF2" w14:textId="77777777" w:rsidR="00980E5F" w:rsidRDefault="00483613">
            <w:pPr>
              <w:textAlignment w:val="bottom"/>
            </w:pPr>
            <w:r>
              <w:rPr>
                <w:rFonts w:ascii="Arial" w:eastAsia="宋体" w:hAnsi="Arial" w:cs="Arial"/>
                <w:color w:val="000000"/>
                <w:sz w:val="15"/>
                <w:szCs w:val="15"/>
              </w:rPr>
              <w:t>Net (decrease) in time deposits</w:t>
            </w:r>
          </w:p>
        </w:tc>
        <w:tc>
          <w:tcPr>
            <w:tcW w:w="0" w:type="auto"/>
            <w:gridSpan w:val="2"/>
            <w:shd w:val="clear" w:color="auto" w:fill="FFFFFF"/>
            <w:tcMar>
              <w:top w:w="40" w:type="dxa"/>
              <w:left w:w="20" w:type="dxa"/>
              <w:bottom w:w="40" w:type="dxa"/>
              <w:right w:w="0" w:type="dxa"/>
            </w:tcMar>
            <w:vAlign w:val="bottom"/>
          </w:tcPr>
          <w:p w14:paraId="392C3EF3" w14:textId="77777777" w:rsidR="00980E5F" w:rsidRDefault="00483613">
            <w:pPr>
              <w:jc w:val="right"/>
              <w:textAlignment w:val="bottom"/>
            </w:pPr>
            <w:r>
              <w:rPr>
                <w:rFonts w:ascii="Arial" w:eastAsia="宋体" w:hAnsi="Arial" w:cs="Arial"/>
                <w:b/>
                <w:bCs/>
                <w:color w:val="000000"/>
                <w:sz w:val="15"/>
                <w:szCs w:val="15"/>
              </w:rPr>
              <w:t>(1,238)</w:t>
            </w:r>
          </w:p>
        </w:tc>
        <w:tc>
          <w:tcPr>
            <w:tcW w:w="0" w:type="auto"/>
            <w:shd w:val="clear" w:color="auto" w:fill="FFFFFF"/>
            <w:tcMar>
              <w:top w:w="40" w:type="dxa"/>
              <w:left w:w="0" w:type="dxa"/>
              <w:bottom w:w="40" w:type="dxa"/>
              <w:right w:w="20" w:type="dxa"/>
            </w:tcMar>
            <w:vAlign w:val="bottom"/>
          </w:tcPr>
          <w:p w14:paraId="392C3E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EF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EF6" w14:textId="77777777" w:rsidR="00980E5F" w:rsidRDefault="00483613">
            <w:pPr>
              <w:jc w:val="right"/>
              <w:textAlignment w:val="bottom"/>
            </w:pPr>
            <w:r>
              <w:rPr>
                <w:rFonts w:ascii="Arial" w:eastAsia="宋体" w:hAnsi="Arial" w:cs="Arial"/>
                <w:color w:val="000000"/>
                <w:sz w:val="15"/>
                <w:szCs w:val="15"/>
              </w:rPr>
              <w:t>(1,542)</w:t>
            </w:r>
          </w:p>
        </w:tc>
        <w:tc>
          <w:tcPr>
            <w:tcW w:w="0" w:type="auto"/>
            <w:shd w:val="clear" w:color="auto" w:fill="FFFFFF"/>
            <w:tcMar>
              <w:top w:w="40" w:type="dxa"/>
              <w:left w:w="0" w:type="dxa"/>
              <w:bottom w:w="40" w:type="dxa"/>
              <w:right w:w="20" w:type="dxa"/>
            </w:tcMar>
            <w:vAlign w:val="bottom"/>
          </w:tcPr>
          <w:p w14:paraId="392C3EF7" w14:textId="77777777" w:rsidR="00980E5F" w:rsidRDefault="00980E5F">
            <w:pPr>
              <w:jc w:val="right"/>
              <w:rPr>
                <w:rFonts w:ascii="宋体"/>
              </w:rPr>
            </w:pPr>
          </w:p>
        </w:tc>
        <w:tc>
          <w:tcPr>
            <w:tcW w:w="0" w:type="auto"/>
            <w:gridSpan w:val="3"/>
            <w:shd w:val="clear" w:color="auto" w:fill="auto"/>
            <w:vAlign w:val="bottom"/>
          </w:tcPr>
          <w:p w14:paraId="392C3EF8" w14:textId="77777777" w:rsidR="00980E5F" w:rsidRDefault="00980E5F">
            <w:pPr>
              <w:rPr>
                <w:rFonts w:ascii="宋体"/>
                <w:vanish/>
              </w:rPr>
            </w:pPr>
          </w:p>
        </w:tc>
        <w:tc>
          <w:tcPr>
            <w:tcW w:w="0" w:type="auto"/>
            <w:gridSpan w:val="3"/>
            <w:shd w:val="clear" w:color="auto" w:fill="auto"/>
            <w:vAlign w:val="bottom"/>
          </w:tcPr>
          <w:p w14:paraId="392C3EF9" w14:textId="77777777" w:rsidR="00980E5F" w:rsidRDefault="00980E5F">
            <w:pPr>
              <w:rPr>
                <w:rFonts w:ascii="宋体"/>
                <w:vanish/>
              </w:rPr>
            </w:pPr>
          </w:p>
        </w:tc>
      </w:tr>
      <w:tr w:rsidR="00980E5F" w14:paraId="392C3F03" w14:textId="77777777">
        <w:trPr>
          <w:jc w:val="center"/>
        </w:trPr>
        <w:tc>
          <w:tcPr>
            <w:tcW w:w="0" w:type="auto"/>
            <w:gridSpan w:val="3"/>
            <w:shd w:val="clear" w:color="auto" w:fill="CCEEFF"/>
            <w:tcMar>
              <w:top w:w="40" w:type="dxa"/>
              <w:left w:w="20" w:type="dxa"/>
              <w:bottom w:w="40" w:type="dxa"/>
              <w:right w:w="20" w:type="dxa"/>
            </w:tcMar>
            <w:vAlign w:val="bottom"/>
          </w:tcPr>
          <w:p w14:paraId="392C3EFB" w14:textId="77777777" w:rsidR="00980E5F" w:rsidRDefault="00483613">
            <w:pPr>
              <w:textAlignment w:val="bottom"/>
            </w:pPr>
            <w:r>
              <w:rPr>
                <w:rFonts w:ascii="Arial" w:eastAsia="宋体" w:hAnsi="Arial" w:cs="Arial"/>
                <w:color w:val="000000"/>
                <w:sz w:val="15"/>
                <w:szCs w:val="15"/>
              </w:rPr>
              <w:t>Net (decrease) increase in all other deposits</w:t>
            </w:r>
          </w:p>
        </w:tc>
        <w:tc>
          <w:tcPr>
            <w:tcW w:w="0" w:type="auto"/>
            <w:gridSpan w:val="2"/>
            <w:shd w:val="clear" w:color="auto" w:fill="CCEEFF"/>
            <w:tcMar>
              <w:top w:w="40" w:type="dxa"/>
              <w:left w:w="20" w:type="dxa"/>
              <w:bottom w:w="40" w:type="dxa"/>
              <w:right w:w="0" w:type="dxa"/>
            </w:tcMar>
            <w:vAlign w:val="bottom"/>
          </w:tcPr>
          <w:p w14:paraId="392C3EFC" w14:textId="77777777" w:rsidR="00980E5F" w:rsidRDefault="00483613">
            <w:pPr>
              <w:jc w:val="right"/>
              <w:textAlignment w:val="bottom"/>
            </w:pPr>
            <w:r>
              <w:rPr>
                <w:rFonts w:ascii="Arial" w:eastAsia="宋体" w:hAnsi="Arial" w:cs="Arial"/>
                <w:b/>
                <w:bCs/>
                <w:color w:val="000000"/>
                <w:sz w:val="15"/>
                <w:szCs w:val="15"/>
              </w:rPr>
              <w:t>(11,884)</w:t>
            </w:r>
          </w:p>
        </w:tc>
        <w:tc>
          <w:tcPr>
            <w:tcW w:w="0" w:type="auto"/>
            <w:shd w:val="clear" w:color="auto" w:fill="CCEEFF"/>
            <w:tcMar>
              <w:top w:w="40" w:type="dxa"/>
              <w:left w:w="0" w:type="dxa"/>
              <w:bottom w:w="40" w:type="dxa"/>
              <w:right w:w="20" w:type="dxa"/>
            </w:tcMar>
            <w:vAlign w:val="bottom"/>
          </w:tcPr>
          <w:p w14:paraId="392C3E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E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EFF" w14:textId="77777777" w:rsidR="00980E5F" w:rsidRDefault="00483613">
            <w:pPr>
              <w:jc w:val="right"/>
              <w:textAlignment w:val="bottom"/>
            </w:pPr>
            <w:r>
              <w:rPr>
                <w:rFonts w:ascii="Arial" w:eastAsia="宋体" w:hAnsi="Arial" w:cs="Arial"/>
                <w:color w:val="000000"/>
                <w:sz w:val="15"/>
                <w:szCs w:val="15"/>
              </w:rPr>
              <w:t>25,724 </w:t>
            </w:r>
          </w:p>
        </w:tc>
        <w:tc>
          <w:tcPr>
            <w:tcW w:w="0" w:type="auto"/>
            <w:shd w:val="clear" w:color="auto" w:fill="CCEEFF"/>
            <w:tcMar>
              <w:top w:w="40" w:type="dxa"/>
              <w:left w:w="0" w:type="dxa"/>
              <w:bottom w:w="40" w:type="dxa"/>
              <w:right w:w="20" w:type="dxa"/>
            </w:tcMar>
            <w:vAlign w:val="bottom"/>
          </w:tcPr>
          <w:p w14:paraId="392C3F00" w14:textId="77777777" w:rsidR="00980E5F" w:rsidRDefault="00980E5F">
            <w:pPr>
              <w:jc w:val="right"/>
              <w:rPr>
                <w:rFonts w:ascii="宋体"/>
              </w:rPr>
            </w:pPr>
          </w:p>
        </w:tc>
        <w:tc>
          <w:tcPr>
            <w:tcW w:w="0" w:type="auto"/>
            <w:gridSpan w:val="3"/>
            <w:shd w:val="clear" w:color="auto" w:fill="auto"/>
            <w:vAlign w:val="bottom"/>
          </w:tcPr>
          <w:p w14:paraId="392C3F01" w14:textId="77777777" w:rsidR="00980E5F" w:rsidRDefault="00980E5F">
            <w:pPr>
              <w:rPr>
                <w:rFonts w:ascii="宋体"/>
                <w:vanish/>
              </w:rPr>
            </w:pPr>
          </w:p>
        </w:tc>
        <w:tc>
          <w:tcPr>
            <w:tcW w:w="0" w:type="auto"/>
            <w:gridSpan w:val="3"/>
            <w:shd w:val="clear" w:color="auto" w:fill="auto"/>
            <w:vAlign w:val="bottom"/>
          </w:tcPr>
          <w:p w14:paraId="392C3F02" w14:textId="77777777" w:rsidR="00980E5F" w:rsidRDefault="00980E5F">
            <w:pPr>
              <w:rPr>
                <w:rFonts w:ascii="宋体"/>
                <w:vanish/>
              </w:rPr>
            </w:pPr>
          </w:p>
        </w:tc>
      </w:tr>
      <w:tr w:rsidR="00980E5F" w14:paraId="392C3F0C" w14:textId="77777777">
        <w:trPr>
          <w:jc w:val="center"/>
        </w:trPr>
        <w:tc>
          <w:tcPr>
            <w:tcW w:w="0" w:type="auto"/>
            <w:gridSpan w:val="3"/>
            <w:shd w:val="clear" w:color="auto" w:fill="FFFFFF"/>
            <w:tcMar>
              <w:top w:w="40" w:type="dxa"/>
              <w:left w:w="20" w:type="dxa"/>
              <w:bottom w:w="40" w:type="dxa"/>
              <w:right w:w="20" w:type="dxa"/>
            </w:tcMar>
            <w:vAlign w:val="bottom"/>
          </w:tcPr>
          <w:p w14:paraId="392C3F04" w14:textId="77777777" w:rsidR="00980E5F" w:rsidRDefault="00483613">
            <w:pPr>
              <w:textAlignment w:val="bottom"/>
            </w:pPr>
            <w:r>
              <w:rPr>
                <w:rFonts w:ascii="Arial" w:eastAsia="宋体" w:hAnsi="Arial" w:cs="Arial"/>
                <w:color w:val="000000"/>
                <w:sz w:val="15"/>
                <w:szCs w:val="15"/>
              </w:rPr>
              <w:t xml:space="preserve">Net (decrease) in </w:t>
            </w:r>
            <w:r>
              <w:rPr>
                <w:rFonts w:ascii="Arial" w:eastAsia="宋体" w:hAnsi="Arial" w:cs="Arial"/>
                <w:color w:val="000000"/>
                <w:sz w:val="15"/>
                <w:szCs w:val="15"/>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3F05" w14:textId="77777777" w:rsidR="00980E5F" w:rsidRDefault="00483613">
            <w:pPr>
              <w:jc w:val="right"/>
              <w:textAlignment w:val="bottom"/>
            </w:pPr>
            <w:r>
              <w:rPr>
                <w:rFonts w:ascii="Arial" w:eastAsia="宋体" w:hAnsi="Arial" w:cs="Arial"/>
                <w:b/>
                <w:bCs/>
                <w:color w:val="000000"/>
                <w:sz w:val="15"/>
                <w:szCs w:val="15"/>
              </w:rPr>
              <w:t>(624)</w:t>
            </w:r>
          </w:p>
        </w:tc>
        <w:tc>
          <w:tcPr>
            <w:tcW w:w="0" w:type="auto"/>
            <w:shd w:val="clear" w:color="auto" w:fill="FFFFFF"/>
            <w:tcMar>
              <w:top w:w="40" w:type="dxa"/>
              <w:left w:w="0" w:type="dxa"/>
              <w:bottom w:w="40" w:type="dxa"/>
              <w:right w:w="20" w:type="dxa"/>
            </w:tcMar>
            <w:vAlign w:val="bottom"/>
          </w:tcPr>
          <w:p w14:paraId="392C3F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F08" w14:textId="77777777" w:rsidR="00980E5F" w:rsidRDefault="00483613">
            <w:pPr>
              <w:jc w:val="right"/>
              <w:textAlignment w:val="bottom"/>
            </w:pPr>
            <w:r>
              <w:rPr>
                <w:rFonts w:ascii="Arial" w:eastAsia="宋体" w:hAnsi="Arial" w:cs="Arial"/>
                <w:color w:val="000000"/>
                <w:sz w:val="15"/>
                <w:szCs w:val="15"/>
              </w:rPr>
              <w:t>(2,756)</w:t>
            </w:r>
          </w:p>
        </w:tc>
        <w:tc>
          <w:tcPr>
            <w:tcW w:w="0" w:type="auto"/>
            <w:shd w:val="clear" w:color="auto" w:fill="FFFFFF"/>
            <w:tcMar>
              <w:top w:w="40" w:type="dxa"/>
              <w:left w:w="0" w:type="dxa"/>
              <w:bottom w:w="40" w:type="dxa"/>
              <w:right w:w="20" w:type="dxa"/>
            </w:tcMar>
            <w:vAlign w:val="bottom"/>
          </w:tcPr>
          <w:p w14:paraId="392C3F09" w14:textId="77777777" w:rsidR="00980E5F" w:rsidRDefault="00980E5F">
            <w:pPr>
              <w:jc w:val="right"/>
              <w:rPr>
                <w:rFonts w:ascii="宋体"/>
              </w:rPr>
            </w:pPr>
          </w:p>
        </w:tc>
        <w:tc>
          <w:tcPr>
            <w:tcW w:w="0" w:type="auto"/>
            <w:gridSpan w:val="3"/>
            <w:shd w:val="clear" w:color="auto" w:fill="auto"/>
            <w:vAlign w:val="bottom"/>
          </w:tcPr>
          <w:p w14:paraId="392C3F0A" w14:textId="77777777" w:rsidR="00980E5F" w:rsidRDefault="00980E5F">
            <w:pPr>
              <w:rPr>
                <w:rFonts w:ascii="宋体"/>
                <w:vanish/>
              </w:rPr>
            </w:pPr>
          </w:p>
        </w:tc>
        <w:tc>
          <w:tcPr>
            <w:tcW w:w="0" w:type="auto"/>
            <w:gridSpan w:val="3"/>
            <w:shd w:val="clear" w:color="auto" w:fill="auto"/>
            <w:vAlign w:val="bottom"/>
          </w:tcPr>
          <w:p w14:paraId="392C3F0B" w14:textId="77777777" w:rsidR="00980E5F" w:rsidRDefault="00980E5F">
            <w:pPr>
              <w:rPr>
                <w:rFonts w:ascii="宋体"/>
                <w:vanish/>
              </w:rPr>
            </w:pPr>
          </w:p>
        </w:tc>
      </w:tr>
      <w:tr w:rsidR="00980E5F" w14:paraId="392C3F15" w14:textId="77777777">
        <w:trPr>
          <w:jc w:val="center"/>
        </w:trPr>
        <w:tc>
          <w:tcPr>
            <w:tcW w:w="0" w:type="auto"/>
            <w:gridSpan w:val="3"/>
            <w:shd w:val="clear" w:color="auto" w:fill="CCEEFF"/>
            <w:tcMar>
              <w:top w:w="40" w:type="dxa"/>
              <w:left w:w="20" w:type="dxa"/>
              <w:bottom w:w="40" w:type="dxa"/>
              <w:right w:w="20" w:type="dxa"/>
            </w:tcMar>
            <w:vAlign w:val="bottom"/>
          </w:tcPr>
          <w:p w14:paraId="392C3F0D" w14:textId="77777777" w:rsidR="00980E5F" w:rsidRDefault="00483613">
            <w:pPr>
              <w:textAlignment w:val="bottom"/>
            </w:pPr>
            <w:r>
              <w:rPr>
                <w:rFonts w:ascii="Arial" w:eastAsia="宋体" w:hAnsi="Arial" w:cs="Arial"/>
                <w:color w:val="000000"/>
                <w:sz w:val="15"/>
                <w:szCs w:val="15"/>
              </w:rPr>
              <w:t>Net (decrease) in 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392C3F0E"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F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F11" w14:textId="77777777" w:rsidR="00980E5F" w:rsidRDefault="00483613">
            <w:pPr>
              <w:jc w:val="right"/>
              <w:textAlignment w:val="bottom"/>
            </w:pPr>
            <w:r>
              <w:rPr>
                <w:rFonts w:ascii="Arial" w:eastAsia="宋体" w:hAnsi="Arial" w:cs="Arial"/>
                <w:color w:val="000000"/>
                <w:sz w:val="15"/>
                <w:szCs w:val="15"/>
              </w:rPr>
              <w:t>(3,302)</w:t>
            </w:r>
          </w:p>
        </w:tc>
        <w:tc>
          <w:tcPr>
            <w:tcW w:w="0" w:type="auto"/>
            <w:shd w:val="clear" w:color="auto" w:fill="CCEEFF"/>
            <w:tcMar>
              <w:top w:w="40" w:type="dxa"/>
              <w:left w:w="0" w:type="dxa"/>
              <w:bottom w:w="40" w:type="dxa"/>
              <w:right w:w="20" w:type="dxa"/>
            </w:tcMar>
            <w:vAlign w:val="bottom"/>
          </w:tcPr>
          <w:p w14:paraId="392C3F12" w14:textId="77777777" w:rsidR="00980E5F" w:rsidRDefault="00980E5F">
            <w:pPr>
              <w:jc w:val="right"/>
              <w:rPr>
                <w:rFonts w:ascii="宋体"/>
              </w:rPr>
            </w:pPr>
          </w:p>
        </w:tc>
        <w:tc>
          <w:tcPr>
            <w:tcW w:w="0" w:type="auto"/>
            <w:gridSpan w:val="3"/>
            <w:shd w:val="clear" w:color="auto" w:fill="auto"/>
            <w:vAlign w:val="bottom"/>
          </w:tcPr>
          <w:p w14:paraId="392C3F13" w14:textId="77777777" w:rsidR="00980E5F" w:rsidRDefault="00980E5F">
            <w:pPr>
              <w:rPr>
                <w:rFonts w:ascii="宋体"/>
                <w:vanish/>
              </w:rPr>
            </w:pPr>
          </w:p>
        </w:tc>
        <w:tc>
          <w:tcPr>
            <w:tcW w:w="0" w:type="auto"/>
            <w:gridSpan w:val="3"/>
            <w:shd w:val="clear" w:color="auto" w:fill="auto"/>
            <w:vAlign w:val="bottom"/>
          </w:tcPr>
          <w:p w14:paraId="392C3F14" w14:textId="77777777" w:rsidR="00980E5F" w:rsidRDefault="00980E5F">
            <w:pPr>
              <w:rPr>
                <w:rFonts w:ascii="宋体"/>
                <w:vanish/>
              </w:rPr>
            </w:pPr>
          </w:p>
        </w:tc>
      </w:tr>
      <w:tr w:rsidR="00980E5F" w14:paraId="392C3F1E" w14:textId="77777777">
        <w:trPr>
          <w:jc w:val="center"/>
        </w:trPr>
        <w:tc>
          <w:tcPr>
            <w:tcW w:w="0" w:type="auto"/>
            <w:gridSpan w:val="3"/>
            <w:shd w:val="clear" w:color="auto" w:fill="FFFFFF"/>
            <w:tcMar>
              <w:top w:w="40" w:type="dxa"/>
              <w:left w:w="20" w:type="dxa"/>
              <w:bottom w:w="40" w:type="dxa"/>
              <w:right w:w="20" w:type="dxa"/>
            </w:tcMar>
            <w:vAlign w:val="bottom"/>
          </w:tcPr>
          <w:p w14:paraId="392C3F16" w14:textId="77777777" w:rsidR="00980E5F" w:rsidRDefault="00483613">
            <w:pPr>
              <w:textAlignment w:val="bottom"/>
            </w:pPr>
            <w:r>
              <w:rPr>
                <w:rFonts w:ascii="Arial" w:eastAsia="宋体" w:hAnsi="Arial" w:cs="Arial"/>
                <w:color w:val="000000"/>
                <w:sz w:val="15"/>
                <w:szCs w:val="15"/>
              </w:rPr>
              <w:t xml:space="preserve">Net (decrease) in other short-term borrowings </w:t>
            </w:r>
          </w:p>
        </w:tc>
        <w:tc>
          <w:tcPr>
            <w:tcW w:w="0" w:type="auto"/>
            <w:gridSpan w:val="2"/>
            <w:shd w:val="clear" w:color="auto" w:fill="FFFFFF"/>
            <w:tcMar>
              <w:top w:w="40" w:type="dxa"/>
              <w:left w:w="20" w:type="dxa"/>
              <w:bottom w:w="40" w:type="dxa"/>
              <w:right w:w="0" w:type="dxa"/>
            </w:tcMar>
            <w:vAlign w:val="bottom"/>
          </w:tcPr>
          <w:p w14:paraId="392C3F17" w14:textId="77777777" w:rsidR="00980E5F" w:rsidRDefault="00483613">
            <w:pPr>
              <w:jc w:val="right"/>
              <w:textAlignment w:val="bottom"/>
            </w:pPr>
            <w:r>
              <w:rPr>
                <w:rFonts w:ascii="Arial" w:eastAsia="宋体" w:hAnsi="Arial" w:cs="Arial"/>
                <w:b/>
                <w:bCs/>
                <w:color w:val="000000"/>
                <w:sz w:val="15"/>
                <w:szCs w:val="15"/>
              </w:rPr>
              <w:t>(55)</w:t>
            </w:r>
          </w:p>
        </w:tc>
        <w:tc>
          <w:tcPr>
            <w:tcW w:w="0" w:type="auto"/>
            <w:shd w:val="clear" w:color="auto" w:fill="FFFFFF"/>
            <w:tcMar>
              <w:top w:w="40" w:type="dxa"/>
              <w:left w:w="0" w:type="dxa"/>
              <w:bottom w:w="40" w:type="dxa"/>
              <w:right w:w="20" w:type="dxa"/>
            </w:tcMar>
            <w:vAlign w:val="bottom"/>
          </w:tcPr>
          <w:p w14:paraId="392C3F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F1A" w14:textId="77777777" w:rsidR="00980E5F" w:rsidRDefault="00483613">
            <w:pPr>
              <w:jc w:val="right"/>
              <w:textAlignment w:val="bottom"/>
            </w:pPr>
            <w:r>
              <w:rPr>
                <w:rFonts w:ascii="Arial" w:eastAsia="宋体" w:hAnsi="Arial" w:cs="Arial"/>
                <w:color w:val="000000"/>
                <w:sz w:val="15"/>
                <w:szCs w:val="15"/>
              </w:rPr>
              <w:t>(51)</w:t>
            </w:r>
          </w:p>
        </w:tc>
        <w:tc>
          <w:tcPr>
            <w:tcW w:w="0" w:type="auto"/>
            <w:shd w:val="clear" w:color="auto" w:fill="FFFFFF"/>
            <w:tcMar>
              <w:top w:w="40" w:type="dxa"/>
              <w:left w:w="0" w:type="dxa"/>
              <w:bottom w:w="40" w:type="dxa"/>
              <w:right w:w="20" w:type="dxa"/>
            </w:tcMar>
            <w:vAlign w:val="bottom"/>
          </w:tcPr>
          <w:p w14:paraId="392C3F1B" w14:textId="77777777" w:rsidR="00980E5F" w:rsidRDefault="00980E5F">
            <w:pPr>
              <w:jc w:val="right"/>
              <w:rPr>
                <w:rFonts w:ascii="宋体"/>
              </w:rPr>
            </w:pPr>
          </w:p>
        </w:tc>
        <w:tc>
          <w:tcPr>
            <w:tcW w:w="0" w:type="auto"/>
            <w:gridSpan w:val="3"/>
            <w:shd w:val="clear" w:color="auto" w:fill="auto"/>
            <w:vAlign w:val="bottom"/>
          </w:tcPr>
          <w:p w14:paraId="392C3F1C" w14:textId="77777777" w:rsidR="00980E5F" w:rsidRDefault="00980E5F">
            <w:pPr>
              <w:rPr>
                <w:rFonts w:ascii="宋体"/>
                <w:vanish/>
              </w:rPr>
            </w:pPr>
          </w:p>
        </w:tc>
        <w:tc>
          <w:tcPr>
            <w:tcW w:w="0" w:type="auto"/>
            <w:gridSpan w:val="3"/>
            <w:shd w:val="clear" w:color="auto" w:fill="auto"/>
            <w:vAlign w:val="bottom"/>
          </w:tcPr>
          <w:p w14:paraId="392C3F1D" w14:textId="77777777" w:rsidR="00980E5F" w:rsidRDefault="00980E5F">
            <w:pPr>
              <w:rPr>
                <w:rFonts w:ascii="宋体"/>
                <w:vanish/>
              </w:rPr>
            </w:pPr>
          </w:p>
        </w:tc>
      </w:tr>
      <w:tr w:rsidR="00980E5F" w14:paraId="392C3F27" w14:textId="77777777">
        <w:trPr>
          <w:jc w:val="center"/>
        </w:trPr>
        <w:tc>
          <w:tcPr>
            <w:tcW w:w="0" w:type="auto"/>
            <w:gridSpan w:val="3"/>
            <w:shd w:val="clear" w:color="auto" w:fill="CCEEFF"/>
            <w:tcMar>
              <w:top w:w="40" w:type="dxa"/>
              <w:left w:w="20" w:type="dxa"/>
              <w:bottom w:w="40" w:type="dxa"/>
              <w:right w:w="20" w:type="dxa"/>
            </w:tcMar>
            <w:vAlign w:val="bottom"/>
          </w:tcPr>
          <w:p w14:paraId="392C3F1F" w14:textId="77777777" w:rsidR="00980E5F" w:rsidRDefault="00483613">
            <w:pPr>
              <w:textAlignment w:val="bottom"/>
            </w:pPr>
            <w:r>
              <w:rPr>
                <w:rFonts w:ascii="Arial" w:eastAsia="宋体" w:hAnsi="Arial" w:cs="Arial"/>
                <w:color w:val="000000"/>
                <w:sz w:val="15"/>
                <w:szCs w:val="15"/>
              </w:rPr>
              <w:t xml:space="preserve">Proceeds from issuance of </w:t>
            </w:r>
            <w:r>
              <w:rPr>
                <w:rFonts w:ascii="Arial" w:eastAsia="宋体" w:hAnsi="Arial" w:cs="Arial"/>
                <w:color w:val="000000"/>
                <w:sz w:val="15"/>
                <w:szCs w:val="15"/>
              </w:rPr>
              <w:t>long-term debt, net of issuance costs</w:t>
            </w:r>
          </w:p>
        </w:tc>
        <w:tc>
          <w:tcPr>
            <w:tcW w:w="0" w:type="auto"/>
            <w:gridSpan w:val="2"/>
            <w:shd w:val="clear" w:color="auto" w:fill="CCEEFF"/>
            <w:tcMar>
              <w:top w:w="40" w:type="dxa"/>
              <w:left w:w="20" w:type="dxa"/>
              <w:bottom w:w="40" w:type="dxa"/>
              <w:right w:w="0" w:type="dxa"/>
            </w:tcMar>
            <w:vAlign w:val="bottom"/>
          </w:tcPr>
          <w:p w14:paraId="392C3F20" w14:textId="77777777" w:rsidR="00980E5F" w:rsidRDefault="00483613">
            <w:pPr>
              <w:jc w:val="right"/>
              <w:textAlignment w:val="bottom"/>
            </w:pPr>
            <w:r>
              <w:rPr>
                <w:rFonts w:ascii="Arial" w:eastAsia="宋体" w:hAnsi="Arial" w:cs="Arial"/>
                <w:b/>
                <w:bCs/>
                <w:color w:val="000000"/>
                <w:sz w:val="15"/>
                <w:szCs w:val="15"/>
              </w:rPr>
              <w:t>1,989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F2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2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F23" w14:textId="77777777" w:rsidR="00980E5F" w:rsidRDefault="00483613">
            <w:pPr>
              <w:jc w:val="right"/>
              <w:textAlignment w:val="bottom"/>
            </w:pPr>
            <w:r>
              <w:rPr>
                <w:rFonts w:ascii="Arial" w:eastAsia="宋体" w:hAnsi="Arial" w:cs="Arial"/>
                <w:color w:val="000000"/>
                <w:sz w:val="15"/>
                <w:szCs w:val="15"/>
              </w:rPr>
              <w:t>844 </w:t>
            </w:r>
          </w:p>
        </w:tc>
        <w:tc>
          <w:tcPr>
            <w:tcW w:w="0" w:type="auto"/>
            <w:shd w:val="clear" w:color="auto" w:fill="CCEEFF"/>
            <w:tcMar>
              <w:top w:w="40" w:type="dxa"/>
              <w:left w:w="0" w:type="dxa"/>
              <w:bottom w:w="40" w:type="dxa"/>
              <w:right w:w="20" w:type="dxa"/>
            </w:tcMar>
            <w:vAlign w:val="bottom"/>
          </w:tcPr>
          <w:p w14:paraId="392C3F24" w14:textId="77777777" w:rsidR="00980E5F" w:rsidRDefault="00980E5F">
            <w:pPr>
              <w:jc w:val="right"/>
              <w:rPr>
                <w:rFonts w:ascii="宋体"/>
              </w:rPr>
            </w:pPr>
          </w:p>
        </w:tc>
        <w:tc>
          <w:tcPr>
            <w:tcW w:w="0" w:type="auto"/>
            <w:gridSpan w:val="3"/>
            <w:shd w:val="clear" w:color="auto" w:fill="auto"/>
            <w:vAlign w:val="bottom"/>
          </w:tcPr>
          <w:p w14:paraId="392C3F25" w14:textId="77777777" w:rsidR="00980E5F" w:rsidRDefault="00980E5F">
            <w:pPr>
              <w:rPr>
                <w:rFonts w:ascii="宋体"/>
                <w:vanish/>
              </w:rPr>
            </w:pPr>
          </w:p>
        </w:tc>
        <w:tc>
          <w:tcPr>
            <w:tcW w:w="0" w:type="auto"/>
            <w:gridSpan w:val="3"/>
            <w:shd w:val="clear" w:color="auto" w:fill="auto"/>
            <w:vAlign w:val="bottom"/>
          </w:tcPr>
          <w:p w14:paraId="392C3F26" w14:textId="77777777" w:rsidR="00980E5F" w:rsidRDefault="00980E5F">
            <w:pPr>
              <w:rPr>
                <w:rFonts w:ascii="宋体"/>
                <w:vanish/>
              </w:rPr>
            </w:pPr>
          </w:p>
        </w:tc>
      </w:tr>
      <w:tr w:rsidR="00980E5F" w14:paraId="392C3F30" w14:textId="77777777">
        <w:trPr>
          <w:jc w:val="center"/>
        </w:trPr>
        <w:tc>
          <w:tcPr>
            <w:tcW w:w="0" w:type="auto"/>
            <w:gridSpan w:val="3"/>
            <w:shd w:val="clear" w:color="auto" w:fill="FFFFFF"/>
            <w:tcMar>
              <w:top w:w="40" w:type="dxa"/>
              <w:left w:w="20" w:type="dxa"/>
              <w:bottom w:w="40" w:type="dxa"/>
              <w:right w:w="20" w:type="dxa"/>
            </w:tcMar>
            <w:vAlign w:val="bottom"/>
          </w:tcPr>
          <w:p w14:paraId="392C3F28" w14:textId="77777777" w:rsidR="00980E5F" w:rsidRDefault="00483613">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FFFFFF"/>
            <w:tcMar>
              <w:top w:w="40" w:type="dxa"/>
              <w:left w:w="20" w:type="dxa"/>
              <w:bottom w:w="40" w:type="dxa"/>
              <w:right w:w="0" w:type="dxa"/>
            </w:tcMar>
            <w:vAlign w:val="bottom"/>
          </w:tcPr>
          <w:p w14:paraId="392C3F29" w14:textId="77777777" w:rsidR="00980E5F" w:rsidRDefault="00483613">
            <w:pPr>
              <w:jc w:val="right"/>
              <w:textAlignment w:val="bottom"/>
            </w:pPr>
            <w:r>
              <w:rPr>
                <w:rFonts w:ascii="Arial" w:eastAsia="宋体" w:hAnsi="Arial" w:cs="Arial"/>
                <w:b/>
                <w:bCs/>
                <w:color w:val="000000"/>
                <w:sz w:val="15"/>
                <w:szCs w:val="15"/>
              </w:rPr>
              <w:t>(1,527)</w:t>
            </w:r>
          </w:p>
        </w:tc>
        <w:tc>
          <w:tcPr>
            <w:tcW w:w="0" w:type="auto"/>
            <w:shd w:val="clear" w:color="auto" w:fill="FFFFFF"/>
            <w:tcMar>
              <w:top w:w="40" w:type="dxa"/>
              <w:left w:w="0" w:type="dxa"/>
              <w:bottom w:w="40" w:type="dxa"/>
              <w:right w:w="20" w:type="dxa"/>
            </w:tcMar>
            <w:vAlign w:val="bottom"/>
          </w:tcPr>
          <w:p w14:paraId="392C3F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F2C" w14:textId="77777777" w:rsidR="00980E5F" w:rsidRDefault="00483613">
            <w:pPr>
              <w:jc w:val="right"/>
              <w:textAlignment w:val="bottom"/>
            </w:pPr>
            <w:r>
              <w:rPr>
                <w:rFonts w:ascii="Arial" w:eastAsia="宋体" w:hAnsi="Arial" w:cs="Arial"/>
                <w:color w:val="000000"/>
                <w:sz w:val="15"/>
                <w:szCs w:val="15"/>
              </w:rPr>
              <w:t>(1,522)</w:t>
            </w:r>
          </w:p>
        </w:tc>
        <w:tc>
          <w:tcPr>
            <w:tcW w:w="0" w:type="auto"/>
            <w:shd w:val="clear" w:color="auto" w:fill="FFFFFF"/>
            <w:tcMar>
              <w:top w:w="40" w:type="dxa"/>
              <w:left w:w="0" w:type="dxa"/>
              <w:bottom w:w="40" w:type="dxa"/>
              <w:right w:w="20" w:type="dxa"/>
            </w:tcMar>
            <w:vAlign w:val="bottom"/>
          </w:tcPr>
          <w:p w14:paraId="392C3F2D" w14:textId="77777777" w:rsidR="00980E5F" w:rsidRDefault="00980E5F">
            <w:pPr>
              <w:jc w:val="right"/>
              <w:rPr>
                <w:rFonts w:ascii="宋体"/>
              </w:rPr>
            </w:pPr>
          </w:p>
        </w:tc>
        <w:tc>
          <w:tcPr>
            <w:tcW w:w="0" w:type="auto"/>
            <w:gridSpan w:val="3"/>
            <w:shd w:val="clear" w:color="auto" w:fill="auto"/>
            <w:vAlign w:val="bottom"/>
          </w:tcPr>
          <w:p w14:paraId="392C3F2E" w14:textId="77777777" w:rsidR="00980E5F" w:rsidRDefault="00980E5F">
            <w:pPr>
              <w:rPr>
                <w:rFonts w:ascii="宋体"/>
                <w:vanish/>
              </w:rPr>
            </w:pPr>
          </w:p>
        </w:tc>
        <w:tc>
          <w:tcPr>
            <w:tcW w:w="0" w:type="auto"/>
            <w:gridSpan w:val="3"/>
            <w:shd w:val="clear" w:color="auto" w:fill="auto"/>
            <w:vAlign w:val="bottom"/>
          </w:tcPr>
          <w:p w14:paraId="392C3F2F" w14:textId="77777777" w:rsidR="00980E5F" w:rsidRDefault="00980E5F">
            <w:pPr>
              <w:rPr>
                <w:rFonts w:ascii="宋体"/>
                <w:vanish/>
              </w:rPr>
            </w:pPr>
          </w:p>
        </w:tc>
      </w:tr>
      <w:tr w:rsidR="00980E5F" w14:paraId="392C3F39" w14:textId="77777777">
        <w:trPr>
          <w:jc w:val="center"/>
        </w:trPr>
        <w:tc>
          <w:tcPr>
            <w:tcW w:w="0" w:type="auto"/>
            <w:gridSpan w:val="3"/>
            <w:shd w:val="clear" w:color="auto" w:fill="CCEEFF"/>
            <w:tcMar>
              <w:top w:w="40" w:type="dxa"/>
              <w:left w:w="20" w:type="dxa"/>
              <w:bottom w:w="40" w:type="dxa"/>
              <w:right w:w="20" w:type="dxa"/>
            </w:tcMar>
            <w:vAlign w:val="bottom"/>
          </w:tcPr>
          <w:p w14:paraId="392C3F31" w14:textId="77777777" w:rsidR="00980E5F" w:rsidRDefault="00483613">
            <w:pPr>
              <w:textAlignment w:val="bottom"/>
            </w:pPr>
            <w:r>
              <w:rPr>
                <w:rFonts w:ascii="Arial" w:eastAsia="宋体" w:hAnsi="Arial" w:cs="Arial"/>
                <w:color w:val="000000"/>
                <w:sz w:val="15"/>
                <w:szCs w:val="15"/>
              </w:rPr>
              <w:t>Payments for redemption of preferred stock</w:t>
            </w:r>
          </w:p>
        </w:tc>
        <w:tc>
          <w:tcPr>
            <w:tcW w:w="0" w:type="auto"/>
            <w:gridSpan w:val="2"/>
            <w:shd w:val="clear" w:color="auto" w:fill="CCEEFF"/>
            <w:tcMar>
              <w:top w:w="40" w:type="dxa"/>
              <w:left w:w="20" w:type="dxa"/>
              <w:bottom w:w="40" w:type="dxa"/>
              <w:right w:w="0" w:type="dxa"/>
            </w:tcMar>
            <w:vAlign w:val="bottom"/>
          </w:tcPr>
          <w:p w14:paraId="392C3F32"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F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F35" w14:textId="77777777" w:rsidR="00980E5F" w:rsidRDefault="00483613">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392C3F36" w14:textId="77777777" w:rsidR="00980E5F" w:rsidRDefault="00980E5F">
            <w:pPr>
              <w:jc w:val="right"/>
              <w:rPr>
                <w:rFonts w:ascii="宋体"/>
              </w:rPr>
            </w:pPr>
          </w:p>
        </w:tc>
        <w:tc>
          <w:tcPr>
            <w:tcW w:w="0" w:type="auto"/>
            <w:gridSpan w:val="3"/>
            <w:shd w:val="clear" w:color="auto" w:fill="auto"/>
            <w:vAlign w:val="bottom"/>
          </w:tcPr>
          <w:p w14:paraId="392C3F37" w14:textId="77777777" w:rsidR="00980E5F" w:rsidRDefault="00980E5F">
            <w:pPr>
              <w:rPr>
                <w:rFonts w:ascii="宋体"/>
                <w:vanish/>
              </w:rPr>
            </w:pPr>
          </w:p>
        </w:tc>
        <w:tc>
          <w:tcPr>
            <w:tcW w:w="0" w:type="auto"/>
            <w:gridSpan w:val="3"/>
            <w:shd w:val="clear" w:color="auto" w:fill="auto"/>
            <w:vAlign w:val="bottom"/>
          </w:tcPr>
          <w:p w14:paraId="392C3F38" w14:textId="77777777" w:rsidR="00980E5F" w:rsidRDefault="00980E5F">
            <w:pPr>
              <w:rPr>
                <w:rFonts w:ascii="宋体"/>
                <w:vanish/>
              </w:rPr>
            </w:pPr>
          </w:p>
        </w:tc>
      </w:tr>
      <w:tr w:rsidR="00980E5F" w14:paraId="392C3F40" w14:textId="77777777">
        <w:trPr>
          <w:jc w:val="center"/>
          <w:hidden/>
        </w:trPr>
        <w:tc>
          <w:tcPr>
            <w:tcW w:w="0" w:type="auto"/>
            <w:gridSpan w:val="3"/>
            <w:shd w:val="clear" w:color="auto" w:fill="auto"/>
            <w:vAlign w:val="bottom"/>
          </w:tcPr>
          <w:p w14:paraId="392C3F3A" w14:textId="77777777" w:rsidR="00980E5F" w:rsidRDefault="00980E5F">
            <w:pPr>
              <w:rPr>
                <w:rFonts w:ascii="宋体"/>
                <w:vanish/>
              </w:rPr>
            </w:pPr>
          </w:p>
        </w:tc>
        <w:tc>
          <w:tcPr>
            <w:tcW w:w="0" w:type="auto"/>
            <w:gridSpan w:val="3"/>
            <w:shd w:val="clear" w:color="auto" w:fill="auto"/>
            <w:vAlign w:val="bottom"/>
          </w:tcPr>
          <w:p w14:paraId="392C3F3B" w14:textId="77777777" w:rsidR="00980E5F" w:rsidRDefault="00980E5F">
            <w:pPr>
              <w:rPr>
                <w:rFonts w:ascii="宋体"/>
                <w:vanish/>
              </w:rPr>
            </w:pPr>
          </w:p>
        </w:tc>
        <w:tc>
          <w:tcPr>
            <w:tcW w:w="0" w:type="auto"/>
            <w:gridSpan w:val="3"/>
            <w:shd w:val="clear" w:color="auto" w:fill="auto"/>
            <w:vAlign w:val="bottom"/>
          </w:tcPr>
          <w:p w14:paraId="392C3F3C" w14:textId="77777777" w:rsidR="00980E5F" w:rsidRDefault="00980E5F">
            <w:pPr>
              <w:rPr>
                <w:rFonts w:ascii="宋体"/>
                <w:vanish/>
              </w:rPr>
            </w:pPr>
          </w:p>
        </w:tc>
        <w:tc>
          <w:tcPr>
            <w:tcW w:w="0" w:type="auto"/>
            <w:gridSpan w:val="3"/>
            <w:shd w:val="clear" w:color="auto" w:fill="auto"/>
            <w:vAlign w:val="bottom"/>
          </w:tcPr>
          <w:p w14:paraId="392C3F3D" w14:textId="77777777" w:rsidR="00980E5F" w:rsidRDefault="00980E5F">
            <w:pPr>
              <w:rPr>
                <w:rFonts w:ascii="宋体"/>
                <w:vanish/>
              </w:rPr>
            </w:pPr>
          </w:p>
        </w:tc>
        <w:tc>
          <w:tcPr>
            <w:tcW w:w="0" w:type="auto"/>
            <w:gridSpan w:val="3"/>
            <w:shd w:val="clear" w:color="auto" w:fill="auto"/>
            <w:vAlign w:val="bottom"/>
          </w:tcPr>
          <w:p w14:paraId="392C3F3E" w14:textId="77777777" w:rsidR="00980E5F" w:rsidRDefault="00980E5F">
            <w:pPr>
              <w:rPr>
                <w:rFonts w:ascii="宋体"/>
                <w:vanish/>
              </w:rPr>
            </w:pPr>
          </w:p>
        </w:tc>
        <w:tc>
          <w:tcPr>
            <w:tcW w:w="0" w:type="auto"/>
            <w:gridSpan w:val="3"/>
            <w:shd w:val="clear" w:color="auto" w:fill="auto"/>
            <w:vAlign w:val="bottom"/>
          </w:tcPr>
          <w:p w14:paraId="392C3F3F" w14:textId="77777777" w:rsidR="00980E5F" w:rsidRDefault="00980E5F">
            <w:pPr>
              <w:rPr>
                <w:rFonts w:ascii="宋体"/>
                <w:vanish/>
              </w:rPr>
            </w:pPr>
          </w:p>
        </w:tc>
      </w:tr>
      <w:tr w:rsidR="00980E5F" w14:paraId="392C3F47" w14:textId="77777777">
        <w:trPr>
          <w:jc w:val="center"/>
          <w:hidden/>
        </w:trPr>
        <w:tc>
          <w:tcPr>
            <w:tcW w:w="0" w:type="auto"/>
            <w:gridSpan w:val="3"/>
            <w:shd w:val="clear" w:color="auto" w:fill="auto"/>
            <w:vAlign w:val="bottom"/>
          </w:tcPr>
          <w:p w14:paraId="392C3F41" w14:textId="77777777" w:rsidR="00980E5F" w:rsidRDefault="00980E5F">
            <w:pPr>
              <w:rPr>
                <w:rFonts w:ascii="宋体"/>
                <w:vanish/>
              </w:rPr>
            </w:pPr>
          </w:p>
        </w:tc>
        <w:tc>
          <w:tcPr>
            <w:tcW w:w="0" w:type="auto"/>
            <w:gridSpan w:val="3"/>
            <w:shd w:val="clear" w:color="auto" w:fill="auto"/>
            <w:vAlign w:val="bottom"/>
          </w:tcPr>
          <w:p w14:paraId="392C3F42" w14:textId="77777777" w:rsidR="00980E5F" w:rsidRDefault="00980E5F">
            <w:pPr>
              <w:rPr>
                <w:rFonts w:ascii="宋体"/>
                <w:vanish/>
              </w:rPr>
            </w:pPr>
          </w:p>
        </w:tc>
        <w:tc>
          <w:tcPr>
            <w:tcW w:w="0" w:type="auto"/>
            <w:gridSpan w:val="3"/>
            <w:shd w:val="clear" w:color="auto" w:fill="auto"/>
            <w:vAlign w:val="bottom"/>
          </w:tcPr>
          <w:p w14:paraId="392C3F43" w14:textId="77777777" w:rsidR="00980E5F" w:rsidRDefault="00980E5F">
            <w:pPr>
              <w:rPr>
                <w:rFonts w:ascii="宋体"/>
                <w:vanish/>
              </w:rPr>
            </w:pPr>
          </w:p>
        </w:tc>
        <w:tc>
          <w:tcPr>
            <w:tcW w:w="0" w:type="auto"/>
            <w:gridSpan w:val="3"/>
            <w:shd w:val="clear" w:color="auto" w:fill="auto"/>
            <w:vAlign w:val="bottom"/>
          </w:tcPr>
          <w:p w14:paraId="392C3F44" w14:textId="77777777" w:rsidR="00980E5F" w:rsidRDefault="00980E5F">
            <w:pPr>
              <w:rPr>
                <w:rFonts w:ascii="宋体"/>
                <w:vanish/>
              </w:rPr>
            </w:pPr>
          </w:p>
        </w:tc>
        <w:tc>
          <w:tcPr>
            <w:tcW w:w="0" w:type="auto"/>
            <w:gridSpan w:val="3"/>
            <w:shd w:val="clear" w:color="auto" w:fill="auto"/>
            <w:vAlign w:val="bottom"/>
          </w:tcPr>
          <w:p w14:paraId="392C3F45" w14:textId="77777777" w:rsidR="00980E5F" w:rsidRDefault="00980E5F">
            <w:pPr>
              <w:rPr>
                <w:rFonts w:ascii="宋体"/>
                <w:vanish/>
              </w:rPr>
            </w:pPr>
          </w:p>
        </w:tc>
        <w:tc>
          <w:tcPr>
            <w:tcW w:w="0" w:type="auto"/>
            <w:gridSpan w:val="3"/>
            <w:shd w:val="clear" w:color="auto" w:fill="auto"/>
            <w:vAlign w:val="bottom"/>
          </w:tcPr>
          <w:p w14:paraId="392C3F46" w14:textId="77777777" w:rsidR="00980E5F" w:rsidRDefault="00980E5F">
            <w:pPr>
              <w:rPr>
                <w:rFonts w:ascii="宋体"/>
                <w:vanish/>
              </w:rPr>
            </w:pPr>
          </w:p>
        </w:tc>
      </w:tr>
      <w:tr w:rsidR="00980E5F" w14:paraId="392C3F50" w14:textId="77777777">
        <w:trPr>
          <w:jc w:val="center"/>
        </w:trPr>
        <w:tc>
          <w:tcPr>
            <w:tcW w:w="0" w:type="auto"/>
            <w:gridSpan w:val="3"/>
            <w:shd w:val="clear" w:color="auto" w:fill="FFFFFF"/>
            <w:tcMar>
              <w:top w:w="40" w:type="dxa"/>
              <w:left w:w="20" w:type="dxa"/>
              <w:bottom w:w="40" w:type="dxa"/>
              <w:right w:w="20" w:type="dxa"/>
            </w:tcMar>
            <w:vAlign w:val="bottom"/>
          </w:tcPr>
          <w:p w14:paraId="392C3F48" w14:textId="77777777" w:rsidR="00980E5F" w:rsidRDefault="00483613">
            <w:pPr>
              <w:textAlignment w:val="bottom"/>
            </w:pPr>
            <w:r>
              <w:rPr>
                <w:rFonts w:ascii="Arial" w:eastAsia="宋体" w:hAnsi="Arial" w:cs="Arial"/>
                <w:color w:val="000000"/>
                <w:sz w:val="15"/>
                <w:szCs w:val="15"/>
              </w:rPr>
              <w:t>Repurchases of common stock</w:t>
            </w:r>
          </w:p>
        </w:tc>
        <w:tc>
          <w:tcPr>
            <w:tcW w:w="0" w:type="auto"/>
            <w:gridSpan w:val="2"/>
            <w:shd w:val="clear" w:color="auto" w:fill="FFFFFF"/>
            <w:tcMar>
              <w:top w:w="40" w:type="dxa"/>
              <w:left w:w="20" w:type="dxa"/>
              <w:bottom w:w="40" w:type="dxa"/>
              <w:right w:w="0" w:type="dxa"/>
            </w:tcMar>
            <w:vAlign w:val="bottom"/>
          </w:tcPr>
          <w:p w14:paraId="392C3F49"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3F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F4C" w14:textId="77777777" w:rsidR="00980E5F" w:rsidRDefault="00483613">
            <w:pPr>
              <w:jc w:val="right"/>
              <w:textAlignment w:val="bottom"/>
            </w:pPr>
            <w:r>
              <w:rPr>
                <w:rFonts w:ascii="Arial" w:eastAsia="宋体" w:hAnsi="Arial" w:cs="Arial"/>
                <w:color w:val="000000"/>
                <w:sz w:val="15"/>
                <w:szCs w:val="15"/>
              </w:rPr>
              <w:t>(900)</w:t>
            </w:r>
          </w:p>
        </w:tc>
        <w:tc>
          <w:tcPr>
            <w:tcW w:w="0" w:type="auto"/>
            <w:shd w:val="clear" w:color="auto" w:fill="FFFFFF"/>
            <w:tcMar>
              <w:top w:w="40" w:type="dxa"/>
              <w:left w:w="0" w:type="dxa"/>
              <w:bottom w:w="40" w:type="dxa"/>
              <w:right w:w="20" w:type="dxa"/>
            </w:tcMar>
            <w:vAlign w:val="bottom"/>
          </w:tcPr>
          <w:p w14:paraId="392C3F4D" w14:textId="77777777" w:rsidR="00980E5F" w:rsidRDefault="00980E5F">
            <w:pPr>
              <w:jc w:val="right"/>
              <w:rPr>
                <w:rFonts w:ascii="宋体"/>
              </w:rPr>
            </w:pPr>
          </w:p>
        </w:tc>
        <w:tc>
          <w:tcPr>
            <w:tcW w:w="0" w:type="auto"/>
            <w:gridSpan w:val="3"/>
            <w:shd w:val="clear" w:color="auto" w:fill="auto"/>
            <w:vAlign w:val="bottom"/>
          </w:tcPr>
          <w:p w14:paraId="392C3F4E" w14:textId="77777777" w:rsidR="00980E5F" w:rsidRDefault="00980E5F">
            <w:pPr>
              <w:rPr>
                <w:rFonts w:ascii="宋体"/>
                <w:vanish/>
              </w:rPr>
            </w:pPr>
          </w:p>
        </w:tc>
        <w:tc>
          <w:tcPr>
            <w:tcW w:w="0" w:type="auto"/>
            <w:gridSpan w:val="3"/>
            <w:shd w:val="clear" w:color="auto" w:fill="auto"/>
            <w:vAlign w:val="bottom"/>
          </w:tcPr>
          <w:p w14:paraId="392C3F4F" w14:textId="77777777" w:rsidR="00980E5F" w:rsidRDefault="00980E5F">
            <w:pPr>
              <w:rPr>
                <w:rFonts w:ascii="宋体"/>
                <w:vanish/>
              </w:rPr>
            </w:pPr>
          </w:p>
        </w:tc>
      </w:tr>
      <w:tr w:rsidR="00980E5F" w14:paraId="392C3F57" w14:textId="77777777">
        <w:trPr>
          <w:jc w:val="center"/>
          <w:hidden/>
        </w:trPr>
        <w:tc>
          <w:tcPr>
            <w:tcW w:w="0" w:type="auto"/>
            <w:gridSpan w:val="3"/>
            <w:shd w:val="clear" w:color="auto" w:fill="auto"/>
            <w:vAlign w:val="bottom"/>
          </w:tcPr>
          <w:p w14:paraId="392C3F51" w14:textId="77777777" w:rsidR="00980E5F" w:rsidRDefault="00980E5F">
            <w:pPr>
              <w:rPr>
                <w:rFonts w:ascii="宋体"/>
                <w:vanish/>
              </w:rPr>
            </w:pPr>
          </w:p>
        </w:tc>
        <w:tc>
          <w:tcPr>
            <w:tcW w:w="0" w:type="auto"/>
            <w:gridSpan w:val="3"/>
            <w:shd w:val="clear" w:color="auto" w:fill="auto"/>
            <w:vAlign w:val="bottom"/>
          </w:tcPr>
          <w:p w14:paraId="392C3F52" w14:textId="77777777" w:rsidR="00980E5F" w:rsidRDefault="00980E5F">
            <w:pPr>
              <w:rPr>
                <w:rFonts w:ascii="宋体"/>
                <w:vanish/>
              </w:rPr>
            </w:pPr>
          </w:p>
        </w:tc>
        <w:tc>
          <w:tcPr>
            <w:tcW w:w="0" w:type="auto"/>
            <w:gridSpan w:val="3"/>
            <w:shd w:val="clear" w:color="auto" w:fill="auto"/>
            <w:vAlign w:val="bottom"/>
          </w:tcPr>
          <w:p w14:paraId="392C3F53" w14:textId="77777777" w:rsidR="00980E5F" w:rsidRDefault="00980E5F">
            <w:pPr>
              <w:rPr>
                <w:rFonts w:ascii="宋体"/>
                <w:vanish/>
              </w:rPr>
            </w:pPr>
          </w:p>
        </w:tc>
        <w:tc>
          <w:tcPr>
            <w:tcW w:w="0" w:type="auto"/>
            <w:gridSpan w:val="3"/>
            <w:shd w:val="clear" w:color="auto" w:fill="auto"/>
            <w:vAlign w:val="bottom"/>
          </w:tcPr>
          <w:p w14:paraId="392C3F54" w14:textId="77777777" w:rsidR="00980E5F" w:rsidRDefault="00980E5F">
            <w:pPr>
              <w:rPr>
                <w:rFonts w:ascii="宋体"/>
                <w:vanish/>
              </w:rPr>
            </w:pPr>
          </w:p>
        </w:tc>
        <w:tc>
          <w:tcPr>
            <w:tcW w:w="0" w:type="auto"/>
            <w:gridSpan w:val="3"/>
            <w:shd w:val="clear" w:color="auto" w:fill="auto"/>
            <w:vAlign w:val="bottom"/>
          </w:tcPr>
          <w:p w14:paraId="392C3F55" w14:textId="77777777" w:rsidR="00980E5F" w:rsidRDefault="00980E5F">
            <w:pPr>
              <w:rPr>
                <w:rFonts w:ascii="宋体"/>
                <w:vanish/>
              </w:rPr>
            </w:pPr>
          </w:p>
        </w:tc>
        <w:tc>
          <w:tcPr>
            <w:tcW w:w="0" w:type="auto"/>
            <w:gridSpan w:val="3"/>
            <w:shd w:val="clear" w:color="auto" w:fill="auto"/>
            <w:vAlign w:val="bottom"/>
          </w:tcPr>
          <w:p w14:paraId="392C3F56" w14:textId="77777777" w:rsidR="00980E5F" w:rsidRDefault="00980E5F">
            <w:pPr>
              <w:rPr>
                <w:rFonts w:ascii="宋体"/>
                <w:vanish/>
              </w:rPr>
            </w:pPr>
          </w:p>
        </w:tc>
      </w:tr>
      <w:tr w:rsidR="00980E5F" w14:paraId="392C3F60" w14:textId="77777777">
        <w:trPr>
          <w:jc w:val="center"/>
        </w:trPr>
        <w:tc>
          <w:tcPr>
            <w:tcW w:w="0" w:type="auto"/>
            <w:gridSpan w:val="3"/>
            <w:shd w:val="clear" w:color="auto" w:fill="CCEEFF"/>
            <w:tcMar>
              <w:top w:w="40" w:type="dxa"/>
              <w:left w:w="20" w:type="dxa"/>
              <w:bottom w:w="40" w:type="dxa"/>
              <w:right w:w="20" w:type="dxa"/>
            </w:tcMar>
            <w:vAlign w:val="bottom"/>
          </w:tcPr>
          <w:p w14:paraId="392C3F58" w14:textId="77777777" w:rsidR="00980E5F" w:rsidRDefault="00483613">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CCEEFF"/>
            <w:tcMar>
              <w:top w:w="40" w:type="dxa"/>
              <w:left w:w="20" w:type="dxa"/>
              <w:bottom w:w="40" w:type="dxa"/>
              <w:right w:w="0" w:type="dxa"/>
            </w:tcMar>
            <w:vAlign w:val="bottom"/>
          </w:tcPr>
          <w:p w14:paraId="392C3F59"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F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5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F5C" w14:textId="77777777" w:rsidR="00980E5F" w:rsidRDefault="00483613">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392C3F5D" w14:textId="77777777" w:rsidR="00980E5F" w:rsidRDefault="00980E5F">
            <w:pPr>
              <w:jc w:val="right"/>
              <w:rPr>
                <w:rFonts w:ascii="宋体"/>
              </w:rPr>
            </w:pPr>
          </w:p>
        </w:tc>
        <w:tc>
          <w:tcPr>
            <w:tcW w:w="0" w:type="auto"/>
            <w:gridSpan w:val="3"/>
            <w:shd w:val="clear" w:color="auto" w:fill="auto"/>
            <w:vAlign w:val="bottom"/>
          </w:tcPr>
          <w:p w14:paraId="392C3F5E" w14:textId="77777777" w:rsidR="00980E5F" w:rsidRDefault="00980E5F">
            <w:pPr>
              <w:rPr>
                <w:rFonts w:ascii="宋体"/>
                <w:vanish/>
              </w:rPr>
            </w:pPr>
          </w:p>
        </w:tc>
        <w:tc>
          <w:tcPr>
            <w:tcW w:w="0" w:type="auto"/>
            <w:gridSpan w:val="3"/>
            <w:shd w:val="clear" w:color="auto" w:fill="auto"/>
            <w:vAlign w:val="bottom"/>
          </w:tcPr>
          <w:p w14:paraId="392C3F5F" w14:textId="77777777" w:rsidR="00980E5F" w:rsidRDefault="00980E5F">
            <w:pPr>
              <w:rPr>
                <w:rFonts w:ascii="宋体"/>
                <w:vanish/>
              </w:rPr>
            </w:pPr>
          </w:p>
        </w:tc>
      </w:tr>
      <w:tr w:rsidR="00980E5F" w14:paraId="392C3F69" w14:textId="77777777">
        <w:trPr>
          <w:jc w:val="center"/>
        </w:trPr>
        <w:tc>
          <w:tcPr>
            <w:tcW w:w="0" w:type="auto"/>
            <w:gridSpan w:val="3"/>
            <w:shd w:val="clear" w:color="auto" w:fill="FFFFFF"/>
            <w:tcMar>
              <w:top w:w="40" w:type="dxa"/>
              <w:left w:w="20" w:type="dxa"/>
              <w:bottom w:w="40" w:type="dxa"/>
              <w:right w:w="20" w:type="dxa"/>
            </w:tcMar>
            <w:vAlign w:val="bottom"/>
          </w:tcPr>
          <w:p w14:paraId="392C3F61" w14:textId="77777777" w:rsidR="00980E5F" w:rsidRDefault="00483613">
            <w:pPr>
              <w:textAlignment w:val="bottom"/>
            </w:pPr>
            <w:r>
              <w:rPr>
                <w:rFonts w:ascii="Arial" w:eastAsia="宋体" w:hAnsi="Arial" w:cs="Arial"/>
                <w:color w:val="000000"/>
                <w:sz w:val="15"/>
                <w:szCs w:val="15"/>
              </w:rPr>
              <w:t>Payments for cash dividends</w:t>
            </w:r>
          </w:p>
        </w:tc>
        <w:tc>
          <w:tcPr>
            <w:tcW w:w="0" w:type="auto"/>
            <w:gridSpan w:val="2"/>
            <w:shd w:val="clear" w:color="auto" w:fill="FFFFFF"/>
            <w:tcMar>
              <w:top w:w="40" w:type="dxa"/>
              <w:left w:w="20" w:type="dxa"/>
              <w:bottom w:w="40" w:type="dxa"/>
              <w:right w:w="0" w:type="dxa"/>
            </w:tcMar>
            <w:vAlign w:val="bottom"/>
          </w:tcPr>
          <w:p w14:paraId="392C3F62" w14:textId="77777777" w:rsidR="00980E5F" w:rsidRDefault="00483613">
            <w:pPr>
              <w:jc w:val="right"/>
              <w:textAlignment w:val="bottom"/>
            </w:pPr>
            <w:r>
              <w:rPr>
                <w:rFonts w:ascii="Arial" w:eastAsia="宋体" w:hAnsi="Arial" w:cs="Arial"/>
                <w:b/>
                <w:bCs/>
                <w:color w:val="000000"/>
                <w:sz w:val="15"/>
                <w:szCs w:val="15"/>
              </w:rPr>
              <w:t>(474)</w:t>
            </w:r>
          </w:p>
        </w:tc>
        <w:tc>
          <w:tcPr>
            <w:tcW w:w="0" w:type="auto"/>
            <w:shd w:val="clear" w:color="auto" w:fill="FFFFFF"/>
            <w:tcMar>
              <w:top w:w="40" w:type="dxa"/>
              <w:left w:w="0" w:type="dxa"/>
              <w:bottom w:w="40" w:type="dxa"/>
              <w:right w:w="20" w:type="dxa"/>
            </w:tcMar>
            <w:vAlign w:val="bottom"/>
          </w:tcPr>
          <w:p w14:paraId="392C3F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3F65" w14:textId="77777777" w:rsidR="00980E5F" w:rsidRDefault="00483613">
            <w:pPr>
              <w:jc w:val="right"/>
              <w:textAlignment w:val="bottom"/>
            </w:pPr>
            <w:r>
              <w:rPr>
                <w:rFonts w:ascii="Arial" w:eastAsia="宋体" w:hAnsi="Arial" w:cs="Arial"/>
                <w:color w:val="000000"/>
                <w:sz w:val="15"/>
                <w:szCs w:val="15"/>
              </w:rPr>
              <w:t>(424)</w:t>
            </w:r>
          </w:p>
        </w:tc>
        <w:tc>
          <w:tcPr>
            <w:tcW w:w="0" w:type="auto"/>
            <w:shd w:val="clear" w:color="auto" w:fill="FFFFFF"/>
            <w:tcMar>
              <w:top w:w="40" w:type="dxa"/>
              <w:left w:w="0" w:type="dxa"/>
              <w:bottom w:w="40" w:type="dxa"/>
              <w:right w:w="20" w:type="dxa"/>
            </w:tcMar>
            <w:vAlign w:val="bottom"/>
          </w:tcPr>
          <w:p w14:paraId="392C3F66" w14:textId="77777777" w:rsidR="00980E5F" w:rsidRDefault="00980E5F">
            <w:pPr>
              <w:jc w:val="right"/>
              <w:rPr>
                <w:rFonts w:ascii="宋体"/>
              </w:rPr>
            </w:pPr>
          </w:p>
        </w:tc>
        <w:tc>
          <w:tcPr>
            <w:tcW w:w="0" w:type="auto"/>
            <w:gridSpan w:val="3"/>
            <w:shd w:val="clear" w:color="auto" w:fill="auto"/>
            <w:vAlign w:val="bottom"/>
          </w:tcPr>
          <w:p w14:paraId="392C3F67" w14:textId="77777777" w:rsidR="00980E5F" w:rsidRDefault="00980E5F">
            <w:pPr>
              <w:rPr>
                <w:rFonts w:ascii="宋体"/>
                <w:vanish/>
              </w:rPr>
            </w:pPr>
          </w:p>
        </w:tc>
        <w:tc>
          <w:tcPr>
            <w:tcW w:w="0" w:type="auto"/>
            <w:gridSpan w:val="3"/>
            <w:shd w:val="clear" w:color="auto" w:fill="auto"/>
            <w:vAlign w:val="bottom"/>
          </w:tcPr>
          <w:p w14:paraId="392C3F68" w14:textId="77777777" w:rsidR="00980E5F" w:rsidRDefault="00980E5F">
            <w:pPr>
              <w:rPr>
                <w:rFonts w:ascii="宋体"/>
                <w:vanish/>
              </w:rPr>
            </w:pPr>
          </w:p>
        </w:tc>
      </w:tr>
      <w:tr w:rsidR="00980E5F" w14:paraId="392C3F70" w14:textId="77777777">
        <w:trPr>
          <w:jc w:val="center"/>
          <w:hidden/>
        </w:trPr>
        <w:tc>
          <w:tcPr>
            <w:tcW w:w="0" w:type="auto"/>
            <w:gridSpan w:val="3"/>
            <w:shd w:val="clear" w:color="auto" w:fill="auto"/>
            <w:vAlign w:val="bottom"/>
          </w:tcPr>
          <w:p w14:paraId="392C3F6A" w14:textId="77777777" w:rsidR="00980E5F" w:rsidRDefault="00980E5F">
            <w:pPr>
              <w:rPr>
                <w:rFonts w:ascii="宋体"/>
                <w:vanish/>
              </w:rPr>
            </w:pPr>
          </w:p>
        </w:tc>
        <w:tc>
          <w:tcPr>
            <w:tcW w:w="0" w:type="auto"/>
            <w:gridSpan w:val="3"/>
            <w:shd w:val="clear" w:color="auto" w:fill="auto"/>
            <w:vAlign w:val="bottom"/>
          </w:tcPr>
          <w:p w14:paraId="392C3F6B" w14:textId="77777777" w:rsidR="00980E5F" w:rsidRDefault="00980E5F">
            <w:pPr>
              <w:rPr>
                <w:rFonts w:ascii="宋体"/>
                <w:vanish/>
              </w:rPr>
            </w:pPr>
          </w:p>
        </w:tc>
        <w:tc>
          <w:tcPr>
            <w:tcW w:w="0" w:type="auto"/>
            <w:gridSpan w:val="3"/>
            <w:shd w:val="clear" w:color="auto" w:fill="auto"/>
            <w:vAlign w:val="bottom"/>
          </w:tcPr>
          <w:p w14:paraId="392C3F6C" w14:textId="77777777" w:rsidR="00980E5F" w:rsidRDefault="00980E5F">
            <w:pPr>
              <w:rPr>
                <w:rFonts w:ascii="宋体"/>
                <w:vanish/>
              </w:rPr>
            </w:pPr>
          </w:p>
        </w:tc>
        <w:tc>
          <w:tcPr>
            <w:tcW w:w="0" w:type="auto"/>
            <w:gridSpan w:val="3"/>
            <w:shd w:val="clear" w:color="auto" w:fill="auto"/>
            <w:vAlign w:val="bottom"/>
          </w:tcPr>
          <w:p w14:paraId="392C3F6D" w14:textId="77777777" w:rsidR="00980E5F" w:rsidRDefault="00980E5F">
            <w:pPr>
              <w:rPr>
                <w:rFonts w:ascii="宋体"/>
                <w:vanish/>
              </w:rPr>
            </w:pPr>
          </w:p>
        </w:tc>
        <w:tc>
          <w:tcPr>
            <w:tcW w:w="0" w:type="auto"/>
            <w:gridSpan w:val="3"/>
            <w:shd w:val="clear" w:color="auto" w:fill="auto"/>
            <w:vAlign w:val="bottom"/>
          </w:tcPr>
          <w:p w14:paraId="392C3F6E" w14:textId="77777777" w:rsidR="00980E5F" w:rsidRDefault="00980E5F">
            <w:pPr>
              <w:rPr>
                <w:rFonts w:ascii="宋体"/>
                <w:vanish/>
              </w:rPr>
            </w:pPr>
          </w:p>
        </w:tc>
        <w:tc>
          <w:tcPr>
            <w:tcW w:w="0" w:type="auto"/>
            <w:gridSpan w:val="3"/>
            <w:shd w:val="clear" w:color="auto" w:fill="auto"/>
            <w:vAlign w:val="bottom"/>
          </w:tcPr>
          <w:p w14:paraId="392C3F6F" w14:textId="77777777" w:rsidR="00980E5F" w:rsidRDefault="00980E5F">
            <w:pPr>
              <w:rPr>
                <w:rFonts w:ascii="宋体"/>
                <w:vanish/>
              </w:rPr>
            </w:pPr>
          </w:p>
        </w:tc>
      </w:tr>
      <w:tr w:rsidR="00980E5F" w14:paraId="392C3F79" w14:textId="77777777">
        <w:trPr>
          <w:jc w:val="center"/>
        </w:trPr>
        <w:tc>
          <w:tcPr>
            <w:tcW w:w="0" w:type="auto"/>
            <w:gridSpan w:val="3"/>
            <w:shd w:val="clear" w:color="auto" w:fill="CCEEFF"/>
            <w:tcMar>
              <w:top w:w="40" w:type="dxa"/>
              <w:left w:w="20" w:type="dxa"/>
              <w:bottom w:w="40" w:type="dxa"/>
              <w:right w:w="20" w:type="dxa"/>
            </w:tcMar>
            <w:vAlign w:val="bottom"/>
          </w:tcPr>
          <w:p w14:paraId="392C3F71" w14:textId="77777777" w:rsidR="00980E5F" w:rsidRDefault="00483613">
            <w:pPr>
              <w:textAlignment w:val="bottom"/>
            </w:pPr>
            <w:r>
              <w:rPr>
                <w:rFonts w:ascii="Arial" w:eastAsia="宋体" w:hAnsi="Arial" w:cs="Arial"/>
                <w:color w:val="000000"/>
                <w:sz w:val="15"/>
                <w:szCs w:val="15"/>
              </w:rPr>
              <w:t>Net cash (used in) provided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F72" w14:textId="77777777" w:rsidR="00980E5F" w:rsidRDefault="00483613">
            <w:pPr>
              <w:jc w:val="right"/>
              <w:textAlignment w:val="bottom"/>
            </w:pPr>
            <w:r>
              <w:rPr>
                <w:rFonts w:ascii="Arial" w:eastAsia="宋体" w:hAnsi="Arial" w:cs="Arial"/>
                <w:b/>
                <w:bCs/>
                <w:color w:val="000000"/>
                <w:sz w:val="15"/>
                <w:szCs w:val="15"/>
              </w:rPr>
              <w:t>(13,813)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F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7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3F75" w14:textId="77777777" w:rsidR="00980E5F" w:rsidRDefault="00483613">
            <w:pPr>
              <w:jc w:val="right"/>
              <w:textAlignment w:val="bottom"/>
            </w:pPr>
            <w:r>
              <w:rPr>
                <w:rFonts w:ascii="Arial" w:eastAsia="宋体" w:hAnsi="Arial" w:cs="Arial"/>
                <w:color w:val="000000"/>
                <w:sz w:val="15"/>
                <w:szCs w:val="15"/>
              </w:rPr>
              <w:t>15,565 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3F76" w14:textId="77777777" w:rsidR="00980E5F" w:rsidRDefault="00980E5F">
            <w:pPr>
              <w:jc w:val="right"/>
              <w:rPr>
                <w:rFonts w:ascii="宋体"/>
              </w:rPr>
            </w:pPr>
          </w:p>
        </w:tc>
        <w:tc>
          <w:tcPr>
            <w:tcW w:w="0" w:type="auto"/>
            <w:gridSpan w:val="3"/>
            <w:shd w:val="clear" w:color="auto" w:fill="auto"/>
            <w:vAlign w:val="bottom"/>
          </w:tcPr>
          <w:p w14:paraId="392C3F77" w14:textId="77777777" w:rsidR="00980E5F" w:rsidRDefault="00980E5F">
            <w:pPr>
              <w:rPr>
                <w:rFonts w:ascii="宋体"/>
                <w:vanish/>
              </w:rPr>
            </w:pPr>
          </w:p>
        </w:tc>
        <w:tc>
          <w:tcPr>
            <w:tcW w:w="0" w:type="auto"/>
            <w:gridSpan w:val="3"/>
            <w:shd w:val="clear" w:color="auto" w:fill="auto"/>
            <w:vAlign w:val="bottom"/>
          </w:tcPr>
          <w:p w14:paraId="392C3F78" w14:textId="77777777" w:rsidR="00980E5F" w:rsidRDefault="00980E5F">
            <w:pPr>
              <w:rPr>
                <w:rFonts w:ascii="宋体"/>
                <w:vanish/>
              </w:rPr>
            </w:pPr>
          </w:p>
        </w:tc>
      </w:tr>
      <w:tr w:rsidR="00980E5F" w14:paraId="392C3F82" w14:textId="77777777">
        <w:trPr>
          <w:jc w:val="center"/>
        </w:trPr>
        <w:tc>
          <w:tcPr>
            <w:tcW w:w="0" w:type="auto"/>
            <w:gridSpan w:val="3"/>
            <w:shd w:val="clear" w:color="auto" w:fill="FFFFFF"/>
            <w:tcMar>
              <w:top w:w="40" w:type="dxa"/>
              <w:left w:w="20" w:type="dxa"/>
              <w:bottom w:w="40" w:type="dxa"/>
              <w:right w:w="20" w:type="dxa"/>
            </w:tcMar>
            <w:vAlign w:val="bottom"/>
          </w:tcPr>
          <w:p w14:paraId="392C3F7A" w14:textId="77777777" w:rsidR="00980E5F" w:rsidRDefault="00483613">
            <w:pPr>
              <w:textAlignment w:val="bottom"/>
            </w:pPr>
            <w:r>
              <w:rPr>
                <w:rFonts w:ascii="Arial" w:eastAsia="宋体" w:hAnsi="Arial" w:cs="Arial"/>
                <w:color w:val="000000"/>
                <w:sz w:val="15"/>
                <w:szCs w:val="15"/>
              </w:rPr>
              <w:t>Net (decrease) increase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F7B" w14:textId="77777777" w:rsidR="00980E5F" w:rsidRDefault="00483613">
            <w:pPr>
              <w:jc w:val="right"/>
              <w:textAlignment w:val="bottom"/>
            </w:pPr>
            <w:r>
              <w:rPr>
                <w:rFonts w:ascii="Arial" w:eastAsia="宋体" w:hAnsi="Arial" w:cs="Arial"/>
                <w:b/>
                <w:bCs/>
                <w:color w:val="000000"/>
                <w:sz w:val="15"/>
                <w:szCs w:val="15"/>
              </w:rPr>
              <w:t>(116)</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F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7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3F7E" w14:textId="77777777" w:rsidR="00980E5F" w:rsidRDefault="00483613">
            <w:pPr>
              <w:jc w:val="right"/>
              <w:textAlignment w:val="bottom"/>
            </w:pPr>
            <w:r>
              <w:rPr>
                <w:rFonts w:ascii="Arial" w:eastAsia="宋体" w:hAnsi="Arial" w:cs="Arial"/>
                <w:color w:val="000000"/>
                <w:sz w:val="15"/>
                <w:szCs w:val="15"/>
              </w:rPr>
              <w:t>1,152 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F7F" w14:textId="77777777" w:rsidR="00980E5F" w:rsidRDefault="00980E5F">
            <w:pPr>
              <w:jc w:val="right"/>
              <w:rPr>
                <w:rFonts w:ascii="宋体"/>
              </w:rPr>
            </w:pPr>
          </w:p>
        </w:tc>
        <w:tc>
          <w:tcPr>
            <w:tcW w:w="0" w:type="auto"/>
            <w:gridSpan w:val="3"/>
            <w:shd w:val="clear" w:color="auto" w:fill="auto"/>
            <w:vAlign w:val="bottom"/>
          </w:tcPr>
          <w:p w14:paraId="392C3F80" w14:textId="77777777" w:rsidR="00980E5F" w:rsidRDefault="00980E5F">
            <w:pPr>
              <w:rPr>
                <w:rFonts w:ascii="宋体"/>
                <w:vanish/>
              </w:rPr>
            </w:pPr>
          </w:p>
        </w:tc>
        <w:tc>
          <w:tcPr>
            <w:tcW w:w="0" w:type="auto"/>
            <w:gridSpan w:val="3"/>
            <w:shd w:val="clear" w:color="auto" w:fill="auto"/>
            <w:vAlign w:val="bottom"/>
          </w:tcPr>
          <w:p w14:paraId="392C3F81" w14:textId="77777777" w:rsidR="00980E5F" w:rsidRDefault="00980E5F">
            <w:pPr>
              <w:rPr>
                <w:rFonts w:ascii="宋体"/>
                <w:vanish/>
              </w:rPr>
            </w:pPr>
          </w:p>
        </w:tc>
      </w:tr>
      <w:tr w:rsidR="00980E5F" w14:paraId="392C3F8B" w14:textId="77777777">
        <w:trPr>
          <w:jc w:val="center"/>
        </w:trPr>
        <w:tc>
          <w:tcPr>
            <w:tcW w:w="0" w:type="auto"/>
            <w:gridSpan w:val="3"/>
            <w:shd w:val="clear" w:color="auto" w:fill="CCEEFF"/>
            <w:tcMar>
              <w:top w:w="40" w:type="dxa"/>
              <w:left w:w="20" w:type="dxa"/>
              <w:bottom w:w="40" w:type="dxa"/>
              <w:right w:w="20" w:type="dxa"/>
            </w:tcMar>
            <w:vAlign w:val="bottom"/>
          </w:tcPr>
          <w:p w14:paraId="392C3F83" w14:textId="77777777" w:rsidR="00980E5F" w:rsidRDefault="00483613">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CCEEFF"/>
            <w:tcMar>
              <w:top w:w="40" w:type="dxa"/>
              <w:left w:w="20" w:type="dxa"/>
              <w:bottom w:w="40" w:type="dxa"/>
              <w:right w:w="0" w:type="dxa"/>
            </w:tcMar>
            <w:vAlign w:val="bottom"/>
          </w:tcPr>
          <w:p w14:paraId="392C3F84" w14:textId="77777777" w:rsidR="00980E5F" w:rsidRDefault="00483613">
            <w:pPr>
              <w:jc w:val="right"/>
              <w:textAlignment w:val="bottom"/>
            </w:pPr>
            <w:r>
              <w:rPr>
                <w:rFonts w:ascii="Arial" w:eastAsia="宋体" w:hAnsi="Arial" w:cs="Arial"/>
                <w:b/>
                <w:bCs/>
                <w:color w:val="000000"/>
                <w:sz w:val="15"/>
                <w:szCs w:val="15"/>
              </w:rPr>
              <w:t>3,631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3F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3F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3F87" w14:textId="77777777" w:rsidR="00980E5F" w:rsidRDefault="00483613">
            <w:pPr>
              <w:jc w:val="right"/>
              <w:textAlignment w:val="bottom"/>
            </w:pPr>
            <w:r>
              <w:rPr>
                <w:rFonts w:ascii="Arial" w:eastAsia="宋体" w:hAnsi="Arial" w:cs="Arial"/>
                <w:color w:val="000000"/>
                <w:sz w:val="15"/>
                <w:szCs w:val="15"/>
              </w:rPr>
              <w:t>3,467 </w:t>
            </w:r>
          </w:p>
        </w:tc>
        <w:tc>
          <w:tcPr>
            <w:tcW w:w="0" w:type="auto"/>
            <w:shd w:val="clear" w:color="auto" w:fill="CCEEFF"/>
            <w:tcMar>
              <w:top w:w="40" w:type="dxa"/>
              <w:left w:w="0" w:type="dxa"/>
              <w:bottom w:w="40" w:type="dxa"/>
              <w:right w:w="20" w:type="dxa"/>
            </w:tcMar>
            <w:vAlign w:val="bottom"/>
          </w:tcPr>
          <w:p w14:paraId="392C3F88" w14:textId="77777777" w:rsidR="00980E5F" w:rsidRDefault="00980E5F">
            <w:pPr>
              <w:jc w:val="right"/>
              <w:rPr>
                <w:rFonts w:ascii="宋体"/>
              </w:rPr>
            </w:pPr>
          </w:p>
        </w:tc>
        <w:tc>
          <w:tcPr>
            <w:tcW w:w="0" w:type="auto"/>
            <w:gridSpan w:val="3"/>
            <w:shd w:val="clear" w:color="auto" w:fill="auto"/>
            <w:vAlign w:val="bottom"/>
          </w:tcPr>
          <w:p w14:paraId="392C3F89" w14:textId="77777777" w:rsidR="00980E5F" w:rsidRDefault="00980E5F">
            <w:pPr>
              <w:rPr>
                <w:rFonts w:ascii="宋体"/>
                <w:vanish/>
              </w:rPr>
            </w:pPr>
          </w:p>
        </w:tc>
        <w:tc>
          <w:tcPr>
            <w:tcW w:w="0" w:type="auto"/>
            <w:gridSpan w:val="3"/>
            <w:shd w:val="clear" w:color="auto" w:fill="auto"/>
            <w:vAlign w:val="bottom"/>
          </w:tcPr>
          <w:p w14:paraId="392C3F8A" w14:textId="77777777" w:rsidR="00980E5F" w:rsidRDefault="00980E5F">
            <w:pPr>
              <w:rPr>
                <w:rFonts w:ascii="宋体"/>
                <w:vanish/>
              </w:rPr>
            </w:pPr>
          </w:p>
        </w:tc>
      </w:tr>
      <w:tr w:rsidR="00980E5F" w14:paraId="392C3F96" w14:textId="77777777">
        <w:trPr>
          <w:jc w:val="center"/>
        </w:trPr>
        <w:tc>
          <w:tcPr>
            <w:tcW w:w="0" w:type="auto"/>
            <w:gridSpan w:val="3"/>
            <w:shd w:val="clear" w:color="auto" w:fill="FFFFFF"/>
            <w:tcMar>
              <w:top w:w="40" w:type="dxa"/>
              <w:left w:w="20" w:type="dxa"/>
              <w:bottom w:w="40" w:type="dxa"/>
              <w:right w:w="20" w:type="dxa"/>
            </w:tcMar>
            <w:vAlign w:val="bottom"/>
          </w:tcPr>
          <w:p w14:paraId="392C3F8C" w14:textId="77777777" w:rsidR="00980E5F" w:rsidRDefault="00483613">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3F8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F8E" w14:textId="77777777" w:rsidR="00980E5F" w:rsidRDefault="00483613">
            <w:pPr>
              <w:jc w:val="right"/>
              <w:textAlignment w:val="bottom"/>
            </w:pPr>
            <w:r>
              <w:rPr>
                <w:rFonts w:ascii="Arial" w:eastAsia="宋体" w:hAnsi="Arial" w:cs="Arial"/>
                <w:b/>
                <w:bCs/>
                <w:color w:val="000000"/>
                <w:sz w:val="15"/>
                <w:szCs w:val="15"/>
              </w:rPr>
              <w:t>3,515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F8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3F90"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3F9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3F92" w14:textId="77777777" w:rsidR="00980E5F" w:rsidRDefault="00483613">
            <w:pPr>
              <w:jc w:val="right"/>
              <w:textAlignment w:val="bottom"/>
            </w:pPr>
            <w:r>
              <w:rPr>
                <w:rFonts w:ascii="Arial" w:eastAsia="宋体" w:hAnsi="Arial" w:cs="Arial"/>
                <w:color w:val="000000"/>
                <w:sz w:val="15"/>
                <w:szCs w:val="15"/>
              </w:rPr>
              <w:t>4,619 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3F93" w14:textId="77777777" w:rsidR="00980E5F" w:rsidRDefault="00980E5F">
            <w:pPr>
              <w:jc w:val="right"/>
              <w:rPr>
                <w:rFonts w:ascii="宋体"/>
              </w:rPr>
            </w:pPr>
          </w:p>
        </w:tc>
        <w:tc>
          <w:tcPr>
            <w:tcW w:w="0" w:type="auto"/>
            <w:gridSpan w:val="3"/>
            <w:shd w:val="clear" w:color="auto" w:fill="auto"/>
            <w:vAlign w:val="bottom"/>
          </w:tcPr>
          <w:p w14:paraId="392C3F94" w14:textId="77777777" w:rsidR="00980E5F" w:rsidRDefault="00980E5F">
            <w:pPr>
              <w:rPr>
                <w:rFonts w:ascii="宋体"/>
                <w:vanish/>
              </w:rPr>
            </w:pPr>
          </w:p>
        </w:tc>
        <w:tc>
          <w:tcPr>
            <w:tcW w:w="0" w:type="auto"/>
            <w:gridSpan w:val="3"/>
            <w:shd w:val="clear" w:color="auto" w:fill="auto"/>
            <w:vAlign w:val="bottom"/>
          </w:tcPr>
          <w:p w14:paraId="392C3F95" w14:textId="77777777" w:rsidR="00980E5F" w:rsidRDefault="00980E5F">
            <w:pPr>
              <w:rPr>
                <w:rFonts w:ascii="宋体"/>
                <w:vanish/>
              </w:rPr>
            </w:pPr>
          </w:p>
        </w:tc>
      </w:tr>
      <w:tr w:rsidR="00980E5F" w14:paraId="392C3F9D" w14:textId="77777777">
        <w:trPr>
          <w:trHeight w:val="60"/>
          <w:jc w:val="center"/>
        </w:trPr>
        <w:tc>
          <w:tcPr>
            <w:tcW w:w="0" w:type="auto"/>
            <w:gridSpan w:val="3"/>
            <w:shd w:val="clear" w:color="auto" w:fill="auto"/>
            <w:tcMar>
              <w:top w:w="0" w:type="dxa"/>
              <w:left w:w="20" w:type="dxa"/>
              <w:bottom w:w="0" w:type="dxa"/>
              <w:right w:w="20" w:type="dxa"/>
            </w:tcMar>
            <w:vAlign w:val="bottom"/>
          </w:tcPr>
          <w:p w14:paraId="392C3F9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3F9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3F9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3F9A" w14:textId="77777777" w:rsidR="00980E5F" w:rsidRDefault="00980E5F">
            <w:pPr>
              <w:rPr>
                <w:rFonts w:ascii="宋体"/>
              </w:rPr>
            </w:pPr>
          </w:p>
        </w:tc>
        <w:tc>
          <w:tcPr>
            <w:tcW w:w="0" w:type="auto"/>
            <w:gridSpan w:val="3"/>
            <w:shd w:val="clear" w:color="auto" w:fill="auto"/>
            <w:vAlign w:val="bottom"/>
          </w:tcPr>
          <w:p w14:paraId="392C3F9B" w14:textId="77777777" w:rsidR="00980E5F" w:rsidRDefault="00980E5F">
            <w:pPr>
              <w:rPr>
                <w:rFonts w:ascii="宋体"/>
                <w:vanish/>
              </w:rPr>
            </w:pPr>
          </w:p>
        </w:tc>
        <w:tc>
          <w:tcPr>
            <w:tcW w:w="0" w:type="auto"/>
            <w:gridSpan w:val="3"/>
            <w:shd w:val="clear" w:color="auto" w:fill="auto"/>
            <w:vAlign w:val="bottom"/>
          </w:tcPr>
          <w:p w14:paraId="392C3F9C" w14:textId="77777777" w:rsidR="00980E5F" w:rsidRDefault="00980E5F">
            <w:pPr>
              <w:rPr>
                <w:rFonts w:ascii="宋体"/>
                <w:vanish/>
              </w:rPr>
            </w:pPr>
          </w:p>
        </w:tc>
      </w:tr>
      <w:tr w:rsidR="00980E5F" w14:paraId="392C3FA4" w14:textId="77777777">
        <w:trPr>
          <w:jc w:val="center"/>
          <w:hidden/>
        </w:trPr>
        <w:tc>
          <w:tcPr>
            <w:tcW w:w="0" w:type="auto"/>
            <w:gridSpan w:val="3"/>
            <w:shd w:val="clear" w:color="auto" w:fill="auto"/>
            <w:vAlign w:val="bottom"/>
          </w:tcPr>
          <w:p w14:paraId="392C3F9E" w14:textId="77777777" w:rsidR="00980E5F" w:rsidRDefault="00980E5F">
            <w:pPr>
              <w:rPr>
                <w:rFonts w:ascii="宋体"/>
                <w:vanish/>
              </w:rPr>
            </w:pPr>
          </w:p>
        </w:tc>
        <w:tc>
          <w:tcPr>
            <w:tcW w:w="0" w:type="auto"/>
            <w:gridSpan w:val="3"/>
            <w:shd w:val="clear" w:color="auto" w:fill="auto"/>
            <w:vAlign w:val="bottom"/>
          </w:tcPr>
          <w:p w14:paraId="392C3F9F" w14:textId="77777777" w:rsidR="00980E5F" w:rsidRDefault="00980E5F">
            <w:pPr>
              <w:rPr>
                <w:rFonts w:ascii="宋体"/>
                <w:vanish/>
              </w:rPr>
            </w:pPr>
          </w:p>
        </w:tc>
        <w:tc>
          <w:tcPr>
            <w:tcW w:w="0" w:type="auto"/>
            <w:gridSpan w:val="3"/>
            <w:shd w:val="clear" w:color="auto" w:fill="auto"/>
            <w:vAlign w:val="bottom"/>
          </w:tcPr>
          <w:p w14:paraId="392C3FA0" w14:textId="77777777" w:rsidR="00980E5F" w:rsidRDefault="00980E5F">
            <w:pPr>
              <w:rPr>
                <w:rFonts w:ascii="宋体"/>
                <w:vanish/>
              </w:rPr>
            </w:pPr>
          </w:p>
        </w:tc>
        <w:tc>
          <w:tcPr>
            <w:tcW w:w="0" w:type="auto"/>
            <w:gridSpan w:val="3"/>
            <w:shd w:val="clear" w:color="auto" w:fill="auto"/>
            <w:vAlign w:val="bottom"/>
          </w:tcPr>
          <w:p w14:paraId="392C3FA1" w14:textId="77777777" w:rsidR="00980E5F" w:rsidRDefault="00980E5F">
            <w:pPr>
              <w:rPr>
                <w:rFonts w:ascii="宋体"/>
                <w:vanish/>
              </w:rPr>
            </w:pPr>
          </w:p>
        </w:tc>
        <w:tc>
          <w:tcPr>
            <w:tcW w:w="0" w:type="auto"/>
            <w:gridSpan w:val="3"/>
            <w:shd w:val="clear" w:color="auto" w:fill="auto"/>
            <w:vAlign w:val="bottom"/>
          </w:tcPr>
          <w:p w14:paraId="392C3FA2" w14:textId="77777777" w:rsidR="00980E5F" w:rsidRDefault="00980E5F">
            <w:pPr>
              <w:rPr>
                <w:rFonts w:ascii="宋体"/>
                <w:vanish/>
              </w:rPr>
            </w:pPr>
          </w:p>
        </w:tc>
        <w:tc>
          <w:tcPr>
            <w:tcW w:w="0" w:type="auto"/>
            <w:gridSpan w:val="3"/>
            <w:shd w:val="clear" w:color="auto" w:fill="auto"/>
            <w:vAlign w:val="bottom"/>
          </w:tcPr>
          <w:p w14:paraId="392C3FA3" w14:textId="77777777" w:rsidR="00980E5F" w:rsidRDefault="00980E5F">
            <w:pPr>
              <w:rPr>
                <w:rFonts w:ascii="宋体"/>
                <w:vanish/>
              </w:rPr>
            </w:pPr>
          </w:p>
        </w:tc>
      </w:tr>
      <w:tr w:rsidR="00980E5F" w14:paraId="392C3FAB" w14:textId="77777777">
        <w:trPr>
          <w:jc w:val="center"/>
          <w:hidden/>
        </w:trPr>
        <w:tc>
          <w:tcPr>
            <w:tcW w:w="0" w:type="auto"/>
            <w:gridSpan w:val="3"/>
            <w:shd w:val="clear" w:color="auto" w:fill="auto"/>
            <w:vAlign w:val="bottom"/>
          </w:tcPr>
          <w:p w14:paraId="392C3FA5" w14:textId="77777777" w:rsidR="00980E5F" w:rsidRDefault="00980E5F">
            <w:pPr>
              <w:rPr>
                <w:rFonts w:ascii="宋体"/>
                <w:vanish/>
              </w:rPr>
            </w:pPr>
          </w:p>
        </w:tc>
        <w:tc>
          <w:tcPr>
            <w:tcW w:w="0" w:type="auto"/>
            <w:gridSpan w:val="3"/>
            <w:shd w:val="clear" w:color="auto" w:fill="auto"/>
            <w:vAlign w:val="bottom"/>
          </w:tcPr>
          <w:p w14:paraId="392C3FA6" w14:textId="77777777" w:rsidR="00980E5F" w:rsidRDefault="00980E5F">
            <w:pPr>
              <w:rPr>
                <w:rFonts w:ascii="宋体"/>
                <w:vanish/>
              </w:rPr>
            </w:pPr>
          </w:p>
        </w:tc>
        <w:tc>
          <w:tcPr>
            <w:tcW w:w="0" w:type="auto"/>
            <w:gridSpan w:val="3"/>
            <w:shd w:val="clear" w:color="auto" w:fill="auto"/>
            <w:vAlign w:val="bottom"/>
          </w:tcPr>
          <w:p w14:paraId="392C3FA7" w14:textId="77777777" w:rsidR="00980E5F" w:rsidRDefault="00980E5F">
            <w:pPr>
              <w:rPr>
                <w:rFonts w:ascii="宋体"/>
                <w:vanish/>
              </w:rPr>
            </w:pPr>
          </w:p>
        </w:tc>
        <w:tc>
          <w:tcPr>
            <w:tcW w:w="0" w:type="auto"/>
            <w:gridSpan w:val="3"/>
            <w:shd w:val="clear" w:color="auto" w:fill="auto"/>
            <w:vAlign w:val="bottom"/>
          </w:tcPr>
          <w:p w14:paraId="392C3FA8" w14:textId="77777777" w:rsidR="00980E5F" w:rsidRDefault="00980E5F">
            <w:pPr>
              <w:rPr>
                <w:rFonts w:ascii="宋体"/>
                <w:vanish/>
              </w:rPr>
            </w:pPr>
          </w:p>
        </w:tc>
        <w:tc>
          <w:tcPr>
            <w:tcW w:w="0" w:type="auto"/>
            <w:gridSpan w:val="3"/>
            <w:shd w:val="clear" w:color="auto" w:fill="auto"/>
            <w:vAlign w:val="bottom"/>
          </w:tcPr>
          <w:p w14:paraId="392C3FA9" w14:textId="77777777" w:rsidR="00980E5F" w:rsidRDefault="00980E5F">
            <w:pPr>
              <w:rPr>
                <w:rFonts w:ascii="宋体"/>
                <w:vanish/>
              </w:rPr>
            </w:pPr>
          </w:p>
        </w:tc>
        <w:tc>
          <w:tcPr>
            <w:tcW w:w="0" w:type="auto"/>
            <w:gridSpan w:val="3"/>
            <w:shd w:val="clear" w:color="auto" w:fill="auto"/>
            <w:vAlign w:val="bottom"/>
          </w:tcPr>
          <w:p w14:paraId="392C3FAA" w14:textId="77777777" w:rsidR="00980E5F" w:rsidRDefault="00980E5F">
            <w:pPr>
              <w:rPr>
                <w:rFonts w:ascii="宋体"/>
                <w:vanish/>
              </w:rPr>
            </w:pPr>
          </w:p>
        </w:tc>
      </w:tr>
      <w:tr w:rsidR="00980E5F" w14:paraId="392C3FB2" w14:textId="77777777">
        <w:trPr>
          <w:jc w:val="center"/>
          <w:hidden/>
        </w:trPr>
        <w:tc>
          <w:tcPr>
            <w:tcW w:w="0" w:type="auto"/>
            <w:gridSpan w:val="3"/>
            <w:shd w:val="clear" w:color="auto" w:fill="auto"/>
            <w:vAlign w:val="bottom"/>
          </w:tcPr>
          <w:p w14:paraId="392C3FAC" w14:textId="77777777" w:rsidR="00980E5F" w:rsidRDefault="00980E5F">
            <w:pPr>
              <w:rPr>
                <w:rFonts w:ascii="宋体"/>
                <w:vanish/>
              </w:rPr>
            </w:pPr>
          </w:p>
        </w:tc>
        <w:tc>
          <w:tcPr>
            <w:tcW w:w="0" w:type="auto"/>
            <w:gridSpan w:val="3"/>
            <w:shd w:val="clear" w:color="auto" w:fill="auto"/>
            <w:vAlign w:val="bottom"/>
          </w:tcPr>
          <w:p w14:paraId="392C3FAD" w14:textId="77777777" w:rsidR="00980E5F" w:rsidRDefault="00980E5F">
            <w:pPr>
              <w:rPr>
                <w:rFonts w:ascii="宋体"/>
                <w:vanish/>
              </w:rPr>
            </w:pPr>
          </w:p>
        </w:tc>
        <w:tc>
          <w:tcPr>
            <w:tcW w:w="0" w:type="auto"/>
            <w:gridSpan w:val="3"/>
            <w:shd w:val="clear" w:color="auto" w:fill="auto"/>
            <w:vAlign w:val="bottom"/>
          </w:tcPr>
          <w:p w14:paraId="392C3FAE" w14:textId="77777777" w:rsidR="00980E5F" w:rsidRDefault="00980E5F">
            <w:pPr>
              <w:rPr>
                <w:rFonts w:ascii="宋体"/>
                <w:vanish/>
              </w:rPr>
            </w:pPr>
          </w:p>
        </w:tc>
        <w:tc>
          <w:tcPr>
            <w:tcW w:w="0" w:type="auto"/>
            <w:gridSpan w:val="3"/>
            <w:shd w:val="clear" w:color="auto" w:fill="auto"/>
            <w:vAlign w:val="bottom"/>
          </w:tcPr>
          <w:p w14:paraId="392C3FAF" w14:textId="77777777" w:rsidR="00980E5F" w:rsidRDefault="00980E5F">
            <w:pPr>
              <w:rPr>
                <w:rFonts w:ascii="宋体"/>
                <w:vanish/>
              </w:rPr>
            </w:pPr>
          </w:p>
        </w:tc>
        <w:tc>
          <w:tcPr>
            <w:tcW w:w="0" w:type="auto"/>
            <w:gridSpan w:val="3"/>
            <w:shd w:val="clear" w:color="auto" w:fill="auto"/>
            <w:vAlign w:val="bottom"/>
          </w:tcPr>
          <w:p w14:paraId="392C3FB0" w14:textId="77777777" w:rsidR="00980E5F" w:rsidRDefault="00980E5F">
            <w:pPr>
              <w:rPr>
                <w:rFonts w:ascii="宋体"/>
                <w:vanish/>
              </w:rPr>
            </w:pPr>
          </w:p>
        </w:tc>
        <w:tc>
          <w:tcPr>
            <w:tcW w:w="0" w:type="auto"/>
            <w:gridSpan w:val="3"/>
            <w:shd w:val="clear" w:color="auto" w:fill="auto"/>
            <w:vAlign w:val="bottom"/>
          </w:tcPr>
          <w:p w14:paraId="392C3FB1" w14:textId="77777777" w:rsidR="00980E5F" w:rsidRDefault="00980E5F">
            <w:pPr>
              <w:rPr>
                <w:rFonts w:ascii="宋体"/>
                <w:vanish/>
              </w:rPr>
            </w:pPr>
          </w:p>
        </w:tc>
      </w:tr>
    </w:tbl>
    <w:p w14:paraId="392C3FB3" w14:textId="77777777" w:rsidR="00980E5F" w:rsidRDefault="00980E5F">
      <w:pPr>
        <w:ind w:firstLine="450"/>
      </w:pPr>
    </w:p>
    <w:p w14:paraId="392C3FB4" w14:textId="77777777" w:rsidR="00980E5F" w:rsidRDefault="00980E5F">
      <w:pPr>
        <w:ind w:firstLine="450"/>
      </w:pPr>
    </w:p>
    <w:p w14:paraId="392C3FB5" w14:textId="77777777" w:rsidR="00980E5F" w:rsidRDefault="00980E5F">
      <w:pPr>
        <w:ind w:firstLine="450"/>
      </w:pPr>
    </w:p>
    <w:p w14:paraId="392C3FB6" w14:textId="77777777" w:rsidR="00980E5F" w:rsidRDefault="00980E5F">
      <w:pPr>
        <w:ind w:firstLine="450"/>
      </w:pPr>
    </w:p>
    <w:p w14:paraId="392C3FB7" w14:textId="77777777" w:rsidR="00980E5F" w:rsidRDefault="00980E5F">
      <w:pPr>
        <w:ind w:firstLine="450"/>
      </w:pPr>
    </w:p>
    <w:p w14:paraId="392C3FB8" w14:textId="77777777" w:rsidR="00980E5F" w:rsidRDefault="00980E5F">
      <w:pPr>
        <w:ind w:firstLine="450"/>
      </w:pPr>
    </w:p>
    <w:p w14:paraId="392C3FB9" w14:textId="77777777" w:rsidR="00980E5F" w:rsidRDefault="00483613">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392C3FBA" w14:textId="77777777" w:rsidR="00980E5F" w:rsidRDefault="00483613">
      <w:pPr>
        <w:ind w:firstLine="450"/>
        <w:jc w:val="right"/>
      </w:pPr>
      <w:r>
        <w:rPr>
          <w:rFonts w:ascii="Arial" w:eastAsia="宋体" w:hAnsi="Arial" w:cs="Arial"/>
          <w:color w:val="000000"/>
          <w:sz w:val="18"/>
          <w:szCs w:val="18"/>
        </w:rPr>
        <w:t>State Street Corporation | 58</w:t>
      </w:r>
    </w:p>
    <w:p w14:paraId="392C3FBB" w14:textId="77777777" w:rsidR="00980E5F" w:rsidRDefault="00980E5F">
      <w:pPr>
        <w:ind w:firstLine="450"/>
        <w:jc w:val="center"/>
      </w:pPr>
    </w:p>
    <w:p w14:paraId="392C3FBC" w14:textId="77777777" w:rsidR="00980E5F" w:rsidRDefault="00483613">
      <w:r>
        <w:pict w14:anchorId="392CBB08">
          <v:rect id="_x0000_i1082" style="width:415.3pt;height:1.5pt" o:hralign="center" o:hrstd="t" o:hr="t" fillcolor="#a0a0a0" stroked="f"/>
        </w:pict>
      </w:r>
    </w:p>
    <w:p w14:paraId="392C3FBD" w14:textId="77777777" w:rsidR="00980E5F" w:rsidRDefault="00483613">
      <w:pPr>
        <w:ind w:firstLine="450"/>
        <w:jc w:val="center"/>
      </w:pPr>
      <w:r>
        <w:rPr>
          <w:rFonts w:ascii="Arial" w:eastAsia="宋体" w:hAnsi="Arial" w:cs="Arial"/>
          <w:b/>
          <w:bCs/>
          <w:color w:val="000000"/>
          <w:sz w:val="20"/>
          <w:szCs w:val="20"/>
        </w:rPr>
        <w:t>STATE STREET CORPORATION</w:t>
      </w:r>
    </w:p>
    <w:p w14:paraId="392C3FBE"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3FBF" w14:textId="77777777" w:rsidR="00980E5F" w:rsidRDefault="00483613">
      <w:pPr>
        <w:ind w:firstLine="450"/>
        <w:jc w:val="center"/>
      </w:pPr>
      <w:r>
        <w:rPr>
          <w:rFonts w:ascii="Arial" w:eastAsia="宋体" w:hAnsi="Arial" w:cs="Arial"/>
          <w:b/>
          <w:bCs/>
          <w:color w:val="000000"/>
          <w:sz w:val="20"/>
          <w:szCs w:val="20"/>
        </w:rPr>
        <w:t>(UNAUDITED)</w:t>
      </w:r>
    </w:p>
    <w:p w14:paraId="392C3FC0" w14:textId="77777777" w:rsidR="00980E5F" w:rsidRDefault="00483613">
      <w:pPr>
        <w:spacing w:before="90"/>
        <w:jc w:val="both"/>
      </w:pPr>
      <w:r>
        <w:rPr>
          <w:rFonts w:ascii="Arial" w:eastAsia="宋体" w:hAnsi="Arial" w:cs="Arial"/>
          <w:b/>
          <w:bCs/>
          <w:color w:val="000000"/>
          <w:sz w:val="20"/>
          <w:szCs w:val="20"/>
        </w:rPr>
        <w:t xml:space="preserve">Note 1.    Summary of Significant </w:t>
      </w:r>
      <w:r>
        <w:rPr>
          <w:rFonts w:ascii="Arial" w:eastAsia="宋体" w:hAnsi="Arial" w:cs="Arial"/>
          <w:b/>
          <w:bCs/>
          <w:color w:val="000000"/>
          <w:sz w:val="20"/>
          <w:szCs w:val="20"/>
        </w:rPr>
        <w:t>Accounting Policies</w:t>
      </w:r>
    </w:p>
    <w:p w14:paraId="392C3FC1" w14:textId="77777777" w:rsidR="00980E5F" w:rsidRDefault="00483613">
      <w:pPr>
        <w:spacing w:before="60"/>
        <w:jc w:val="both"/>
      </w:pPr>
      <w:r>
        <w:rPr>
          <w:rFonts w:ascii="Arial" w:eastAsia="宋体" w:hAnsi="Arial" w:cs="Arial"/>
          <w:b/>
          <w:bCs/>
          <w:i/>
          <w:iCs/>
          <w:color w:val="000000"/>
          <w:sz w:val="20"/>
          <w:szCs w:val="20"/>
        </w:rPr>
        <w:t>Basis of Presentation</w:t>
      </w:r>
    </w:p>
    <w:p w14:paraId="392C3FC2" w14:textId="77777777" w:rsidR="00980E5F" w:rsidRDefault="00483613">
      <w:pPr>
        <w:spacing w:before="60"/>
        <w:ind w:firstLine="450"/>
        <w:jc w:val="both"/>
      </w:pPr>
      <w:r>
        <w:rPr>
          <w:rFonts w:ascii="Arial" w:eastAsia="宋体" w:hAnsi="Arial" w:cs="Arial"/>
          <w:color w:val="000000"/>
          <w:sz w:val="20"/>
          <w:szCs w:val="20"/>
        </w:rPr>
        <w:t xml:space="preserve">The accounting and financial reporting policies of State Street Corporation conform to U.S. GAAP. State Street Corporation, the Parent Company, is a financial holding company headquartered in Boston, </w:t>
      </w:r>
      <w:r>
        <w:rPr>
          <w:rFonts w:ascii="Arial" w:eastAsia="宋体" w:hAnsi="Arial" w:cs="Arial"/>
          <w:color w:val="000000"/>
          <w:sz w:val="20"/>
          <w:szCs w:val="20"/>
        </w:rPr>
        <w:t>Massachusetts. Unless otherwise indicated or unless the context requires otherwise, all references in these notes to consolidated financial statements to “State Street,” “we,” “us,” “our” or similar references mean State Street Corporation and its subsidia</w:t>
      </w:r>
      <w:r>
        <w:rPr>
          <w:rFonts w:ascii="Arial" w:eastAsia="宋体" w:hAnsi="Arial" w:cs="Arial"/>
          <w:color w:val="000000"/>
          <w:sz w:val="20"/>
          <w:szCs w:val="20"/>
        </w:rPr>
        <w:t>ries on a consolidated basis, including our principal banking subsidiary, State Street Bank.</w:t>
      </w:r>
    </w:p>
    <w:p w14:paraId="392C3FC3" w14:textId="77777777" w:rsidR="00980E5F" w:rsidRDefault="00483613">
      <w:pPr>
        <w:spacing w:before="60"/>
        <w:ind w:firstLine="450"/>
        <w:jc w:val="both"/>
      </w:pPr>
      <w:r>
        <w:rPr>
          <w:rFonts w:ascii="Arial" w:eastAsia="宋体" w:hAnsi="Arial" w:cs="Arial"/>
          <w:color w:val="000000"/>
          <w:sz w:val="20"/>
          <w:szCs w:val="20"/>
        </w:rPr>
        <w:t>The accompanying consolidated financial statements should be read in conjunction with the financial and risk factor information included in our 2021 Form 10-K, whi</w:t>
      </w:r>
      <w:r>
        <w:rPr>
          <w:rFonts w:ascii="Arial" w:eastAsia="宋体" w:hAnsi="Arial" w:cs="Arial"/>
          <w:color w:val="000000"/>
          <w:sz w:val="20"/>
          <w:szCs w:val="20"/>
        </w:rPr>
        <w:t>ch we previously filed with the SEC.</w:t>
      </w:r>
    </w:p>
    <w:p w14:paraId="392C3FC4" w14:textId="77777777" w:rsidR="00980E5F" w:rsidRDefault="00483613">
      <w:pPr>
        <w:spacing w:before="60"/>
        <w:ind w:firstLine="450"/>
        <w:jc w:val="both"/>
      </w:pPr>
      <w:r>
        <w:rPr>
          <w:rFonts w:ascii="Arial" w:eastAsia="宋体" w:hAnsi="Arial" w:cs="Arial"/>
          <w:color w:val="000000"/>
          <w:sz w:val="20"/>
          <w:szCs w:val="20"/>
        </w:rPr>
        <w:t>The consolidated financial statements accompanying these condensed notes are unaudited. In the opinion of management, all adjustments, consisting only of normal recurring adjustments, which are necessary for a fair stat</w:t>
      </w:r>
      <w:r>
        <w:rPr>
          <w:rFonts w:ascii="Arial" w:eastAsia="宋体" w:hAnsi="Arial" w:cs="Arial"/>
          <w:color w:val="000000"/>
          <w:sz w:val="20"/>
          <w:szCs w:val="20"/>
        </w:rPr>
        <w:t xml:space="preserve">ement of the consolidated results of operations in these financial statements, have been made. Certain previously reported amounts presented in this Form 10-Q have been reclassified to conform to current-period presentation. Events occurring subsequent to </w:t>
      </w:r>
      <w:r>
        <w:rPr>
          <w:rFonts w:ascii="Arial" w:eastAsia="宋体" w:hAnsi="Arial" w:cs="Arial"/>
          <w:color w:val="000000"/>
          <w:sz w:val="20"/>
          <w:szCs w:val="20"/>
        </w:rPr>
        <w:t>the date of our consolidated statement of condition were evaluated for potential recognition or disclosure in our consolidated financial statements through the date we filed this Form 10-Q with the SEC.</w:t>
      </w:r>
    </w:p>
    <w:p w14:paraId="392C3FC5" w14:textId="77777777" w:rsidR="00980E5F" w:rsidRDefault="00483613">
      <w:pPr>
        <w:spacing w:before="60"/>
        <w:ind w:firstLine="450"/>
        <w:jc w:val="both"/>
      </w:pPr>
      <w:r>
        <w:rPr>
          <w:rFonts w:ascii="Arial" w:eastAsia="宋体" w:hAnsi="Arial" w:cs="Arial"/>
          <w:color w:val="000000"/>
          <w:sz w:val="20"/>
          <w:szCs w:val="20"/>
        </w:rPr>
        <w:t xml:space="preserve">The preparation of consolidated financial statements </w:t>
      </w:r>
      <w:r>
        <w:rPr>
          <w:rFonts w:ascii="Arial" w:eastAsia="宋体" w:hAnsi="Arial" w:cs="Arial"/>
          <w:color w:val="000000"/>
          <w:sz w:val="20"/>
          <w:szCs w:val="20"/>
        </w:rPr>
        <w:t>in conformity with U.S. GAAP requires management to make estimates and assumptions in the application of certain of our significant accounting policies that may materially affect the reported amounts of assets, liabilities, equity, revenue and expenses. As</w:t>
      </w:r>
      <w:r>
        <w:rPr>
          <w:rFonts w:ascii="Arial" w:eastAsia="宋体" w:hAnsi="Arial" w:cs="Arial"/>
          <w:color w:val="000000"/>
          <w:sz w:val="20"/>
          <w:szCs w:val="20"/>
        </w:rPr>
        <w:t xml:space="preserve"> a result of unanticipated events or circumstances, actual results could differ from those estimates. These accounting estimates reflect the best judgment of management, but actual results could differ.</w:t>
      </w:r>
    </w:p>
    <w:p w14:paraId="392C3FC6" w14:textId="77777777" w:rsidR="00980E5F" w:rsidRDefault="00483613">
      <w:pPr>
        <w:spacing w:before="60"/>
        <w:ind w:firstLine="450"/>
        <w:jc w:val="both"/>
      </w:pPr>
      <w:r>
        <w:rPr>
          <w:rFonts w:ascii="Arial" w:eastAsia="宋体" w:hAnsi="Arial" w:cs="Arial"/>
          <w:color w:val="000000"/>
          <w:sz w:val="20"/>
          <w:szCs w:val="20"/>
        </w:rPr>
        <w:t>Our consolidated statement of condition as of Decembe</w:t>
      </w:r>
      <w:r>
        <w:rPr>
          <w:rFonts w:ascii="Arial" w:eastAsia="宋体" w:hAnsi="Arial" w:cs="Arial"/>
          <w:color w:val="000000"/>
          <w:sz w:val="20"/>
          <w:szCs w:val="20"/>
        </w:rPr>
        <w:t>r 31, 2021 included in the accompanying consolidated financial statements was derived from the audited financial statements as of that date, but does not include all notes required by U.S. GAAP for a complete set of consolidated financial statements.</w:t>
      </w:r>
    </w:p>
    <w:p w14:paraId="392C3FC7" w14:textId="77777777" w:rsidR="00980E5F" w:rsidRDefault="00483613">
      <w:pPr>
        <w:spacing w:before="60"/>
        <w:ind w:firstLine="450"/>
        <w:jc w:val="both"/>
      </w:pPr>
      <w:r>
        <w:rPr>
          <w:rFonts w:ascii="Arial" w:eastAsia="宋体" w:hAnsi="Arial" w:cs="Arial"/>
          <w:color w:val="000000"/>
          <w:sz w:val="20"/>
          <w:szCs w:val="20"/>
        </w:rPr>
        <w:t>In Se</w:t>
      </w:r>
      <w:r>
        <w:rPr>
          <w:rFonts w:ascii="Arial" w:eastAsia="宋体" w:hAnsi="Arial" w:cs="Arial"/>
          <w:color w:val="000000"/>
          <w:sz w:val="20"/>
          <w:szCs w:val="20"/>
        </w:rPr>
        <w:t>ptember 2021, we announced that we had entered into a definitive agreement to acquire the BBH Investor Services business for $3.5 billion in cash.</w:t>
      </w:r>
    </w:p>
    <w:p w14:paraId="392C3FC8" w14:textId="77777777" w:rsidR="00980E5F" w:rsidRDefault="00483613">
      <w:pPr>
        <w:spacing w:before="60"/>
        <w:jc w:val="both"/>
      </w:pPr>
      <w:r>
        <w:rPr>
          <w:rFonts w:ascii="Arial" w:eastAsia="宋体" w:hAnsi="Arial" w:cs="Arial"/>
          <w:b/>
          <w:bCs/>
          <w:i/>
          <w:iCs/>
          <w:color w:val="000000"/>
          <w:sz w:val="20"/>
          <w:szCs w:val="20"/>
        </w:rPr>
        <w:t>Recent Accounting Developments</w:t>
      </w:r>
    </w:p>
    <w:p w14:paraId="392C3FC9" w14:textId="77777777" w:rsidR="00980E5F" w:rsidRDefault="00483613">
      <w:pPr>
        <w:spacing w:before="60"/>
        <w:ind w:firstLine="450"/>
        <w:jc w:val="both"/>
      </w:pPr>
      <w:r>
        <w:rPr>
          <w:rFonts w:ascii="Arial" w:eastAsia="宋体" w:hAnsi="Arial" w:cs="Arial"/>
          <w:color w:val="000000"/>
          <w:sz w:val="20"/>
          <w:szCs w:val="20"/>
        </w:rPr>
        <w:t>In March 2022, the SEC staff released Staff Accounting Bulletin No. 121 (SAB 1</w:t>
      </w:r>
      <w:r>
        <w:rPr>
          <w:rFonts w:ascii="Arial" w:eastAsia="宋体" w:hAnsi="Arial" w:cs="Arial"/>
          <w:color w:val="000000"/>
          <w:sz w:val="20"/>
          <w:szCs w:val="20"/>
        </w:rPr>
        <w:t>21). SAB 121 expresses the views of the SEC staff regarding the accounting for obligations to safeguard crypto-assets. The guidance requires an entity that has obligations to safeguard crypto-assets held for their platform users to recognize a liability on</w:t>
      </w:r>
      <w:r>
        <w:rPr>
          <w:rFonts w:ascii="Arial" w:eastAsia="宋体" w:hAnsi="Arial" w:cs="Arial"/>
          <w:color w:val="000000"/>
          <w:sz w:val="20"/>
          <w:szCs w:val="20"/>
        </w:rPr>
        <w:t xml:space="preserve"> its balance sheet, along with a corresponding asset, and provide extensive disclosures on the nature and amount of crypto-assets under custody. This guidance was adopted in the second quarter of 2022 and had no financial statement impact. We continue to e</w:t>
      </w:r>
      <w:r>
        <w:rPr>
          <w:rFonts w:ascii="Arial" w:eastAsia="宋体" w:hAnsi="Arial" w:cs="Arial"/>
          <w:color w:val="000000"/>
          <w:sz w:val="20"/>
          <w:szCs w:val="20"/>
        </w:rPr>
        <w:t>valuate the potential impact of the guidance on State Street Digital products and services currently in development.</w:t>
      </w:r>
    </w:p>
    <w:p w14:paraId="392C3FCA" w14:textId="77777777" w:rsidR="00980E5F" w:rsidRDefault="00483613">
      <w:pPr>
        <w:spacing w:before="60"/>
        <w:ind w:firstLine="450"/>
        <w:jc w:val="both"/>
      </w:pPr>
      <w:r>
        <w:rPr>
          <w:rFonts w:ascii="Arial" w:eastAsia="宋体" w:hAnsi="Arial" w:cs="Arial"/>
          <w:color w:val="000000"/>
          <w:sz w:val="20"/>
          <w:szCs w:val="20"/>
        </w:rPr>
        <w:t xml:space="preserve">We did not adopt any other new accounting standards in the second quarter of 2022 that had a material impact to our financial statements. </w:t>
      </w:r>
    </w:p>
    <w:p w14:paraId="392C3FCB" w14:textId="77777777" w:rsidR="00980E5F" w:rsidRDefault="00483613">
      <w:pPr>
        <w:spacing w:before="90"/>
      </w:pPr>
      <w:r>
        <w:rPr>
          <w:rFonts w:ascii="Arial" w:eastAsia="宋体" w:hAnsi="Arial" w:cs="Arial"/>
          <w:i/>
          <w:iCs/>
          <w:color w:val="000000"/>
          <w:sz w:val="20"/>
          <w:szCs w:val="20"/>
        </w:rPr>
        <w:t>Relevant standards that were recently issued but not yet adopted</w:t>
      </w:r>
    </w:p>
    <w:tbl>
      <w:tblPr>
        <w:tblW w:w="5000" w:type="pct"/>
        <w:tblCellMar>
          <w:top w:w="15" w:type="dxa"/>
          <w:left w:w="15" w:type="dxa"/>
          <w:bottom w:w="15" w:type="dxa"/>
          <w:right w:w="15" w:type="dxa"/>
        </w:tblCellMar>
        <w:tblLook w:val="04A0" w:firstRow="1" w:lastRow="0" w:firstColumn="1" w:lastColumn="0" w:noHBand="0" w:noVBand="1"/>
      </w:tblPr>
      <w:tblGrid>
        <w:gridCol w:w="85"/>
        <w:gridCol w:w="1192"/>
        <w:gridCol w:w="36"/>
        <w:gridCol w:w="61"/>
        <w:gridCol w:w="2884"/>
        <w:gridCol w:w="37"/>
        <w:gridCol w:w="62"/>
        <w:gridCol w:w="1264"/>
        <w:gridCol w:w="36"/>
        <w:gridCol w:w="62"/>
        <w:gridCol w:w="2580"/>
        <w:gridCol w:w="37"/>
      </w:tblGrid>
      <w:tr w:rsidR="00980E5F" w14:paraId="392C3FD8" w14:textId="77777777">
        <w:tc>
          <w:tcPr>
            <w:tcW w:w="50" w:type="pct"/>
            <w:shd w:val="clear" w:color="auto" w:fill="auto"/>
            <w:vAlign w:val="bottom"/>
          </w:tcPr>
          <w:p w14:paraId="392C3FCC" w14:textId="77777777" w:rsidR="00980E5F" w:rsidRDefault="00980E5F">
            <w:pPr>
              <w:rPr>
                <w:rFonts w:ascii="宋体"/>
              </w:rPr>
            </w:pPr>
          </w:p>
        </w:tc>
        <w:tc>
          <w:tcPr>
            <w:tcW w:w="705" w:type="pct"/>
            <w:shd w:val="clear" w:color="auto" w:fill="auto"/>
            <w:vAlign w:val="bottom"/>
          </w:tcPr>
          <w:p w14:paraId="392C3FCD" w14:textId="77777777" w:rsidR="00980E5F" w:rsidRDefault="00980E5F">
            <w:pPr>
              <w:rPr>
                <w:rFonts w:ascii="宋体"/>
              </w:rPr>
            </w:pPr>
          </w:p>
        </w:tc>
        <w:tc>
          <w:tcPr>
            <w:tcW w:w="5" w:type="pct"/>
            <w:shd w:val="clear" w:color="auto" w:fill="auto"/>
            <w:vAlign w:val="bottom"/>
          </w:tcPr>
          <w:p w14:paraId="392C3FCE" w14:textId="77777777" w:rsidR="00980E5F" w:rsidRDefault="00980E5F">
            <w:pPr>
              <w:rPr>
                <w:rFonts w:ascii="宋体"/>
              </w:rPr>
            </w:pPr>
          </w:p>
        </w:tc>
        <w:tc>
          <w:tcPr>
            <w:tcW w:w="50" w:type="pct"/>
            <w:shd w:val="clear" w:color="auto" w:fill="auto"/>
            <w:vAlign w:val="bottom"/>
          </w:tcPr>
          <w:p w14:paraId="392C3FCF" w14:textId="77777777" w:rsidR="00980E5F" w:rsidRDefault="00980E5F">
            <w:pPr>
              <w:rPr>
                <w:rFonts w:ascii="宋体"/>
              </w:rPr>
            </w:pPr>
          </w:p>
        </w:tc>
        <w:tc>
          <w:tcPr>
            <w:tcW w:w="1743" w:type="pct"/>
            <w:shd w:val="clear" w:color="auto" w:fill="auto"/>
            <w:vAlign w:val="bottom"/>
          </w:tcPr>
          <w:p w14:paraId="392C3FD0" w14:textId="77777777" w:rsidR="00980E5F" w:rsidRDefault="00980E5F">
            <w:pPr>
              <w:rPr>
                <w:rFonts w:ascii="宋体"/>
              </w:rPr>
            </w:pPr>
          </w:p>
        </w:tc>
        <w:tc>
          <w:tcPr>
            <w:tcW w:w="5" w:type="pct"/>
            <w:shd w:val="clear" w:color="auto" w:fill="auto"/>
            <w:vAlign w:val="bottom"/>
          </w:tcPr>
          <w:p w14:paraId="392C3FD1" w14:textId="77777777" w:rsidR="00980E5F" w:rsidRDefault="00980E5F">
            <w:pPr>
              <w:rPr>
                <w:rFonts w:ascii="宋体"/>
              </w:rPr>
            </w:pPr>
          </w:p>
        </w:tc>
        <w:tc>
          <w:tcPr>
            <w:tcW w:w="50" w:type="pct"/>
            <w:shd w:val="clear" w:color="auto" w:fill="auto"/>
            <w:vAlign w:val="bottom"/>
          </w:tcPr>
          <w:p w14:paraId="392C3FD2" w14:textId="77777777" w:rsidR="00980E5F" w:rsidRDefault="00980E5F">
            <w:pPr>
              <w:rPr>
                <w:rFonts w:ascii="宋体"/>
              </w:rPr>
            </w:pPr>
          </w:p>
        </w:tc>
        <w:tc>
          <w:tcPr>
            <w:tcW w:w="771" w:type="pct"/>
            <w:shd w:val="clear" w:color="auto" w:fill="auto"/>
            <w:vAlign w:val="bottom"/>
          </w:tcPr>
          <w:p w14:paraId="392C3FD3" w14:textId="77777777" w:rsidR="00980E5F" w:rsidRDefault="00980E5F">
            <w:pPr>
              <w:rPr>
                <w:rFonts w:ascii="宋体"/>
              </w:rPr>
            </w:pPr>
          </w:p>
        </w:tc>
        <w:tc>
          <w:tcPr>
            <w:tcW w:w="5" w:type="pct"/>
            <w:shd w:val="clear" w:color="auto" w:fill="auto"/>
            <w:vAlign w:val="bottom"/>
          </w:tcPr>
          <w:p w14:paraId="392C3FD4" w14:textId="77777777" w:rsidR="00980E5F" w:rsidRDefault="00980E5F">
            <w:pPr>
              <w:rPr>
                <w:rFonts w:ascii="宋体"/>
              </w:rPr>
            </w:pPr>
          </w:p>
        </w:tc>
        <w:tc>
          <w:tcPr>
            <w:tcW w:w="50" w:type="pct"/>
            <w:shd w:val="clear" w:color="auto" w:fill="auto"/>
            <w:vAlign w:val="bottom"/>
          </w:tcPr>
          <w:p w14:paraId="392C3FD5" w14:textId="77777777" w:rsidR="00980E5F" w:rsidRDefault="00980E5F">
            <w:pPr>
              <w:rPr>
                <w:rFonts w:ascii="宋体"/>
              </w:rPr>
            </w:pPr>
          </w:p>
        </w:tc>
        <w:tc>
          <w:tcPr>
            <w:tcW w:w="1560" w:type="pct"/>
            <w:shd w:val="clear" w:color="auto" w:fill="auto"/>
            <w:vAlign w:val="bottom"/>
          </w:tcPr>
          <w:p w14:paraId="392C3FD6" w14:textId="77777777" w:rsidR="00980E5F" w:rsidRDefault="00980E5F">
            <w:pPr>
              <w:rPr>
                <w:rFonts w:ascii="宋体"/>
              </w:rPr>
            </w:pPr>
          </w:p>
        </w:tc>
        <w:tc>
          <w:tcPr>
            <w:tcW w:w="5" w:type="pct"/>
            <w:shd w:val="clear" w:color="auto" w:fill="auto"/>
            <w:vAlign w:val="bottom"/>
          </w:tcPr>
          <w:p w14:paraId="392C3FD7" w14:textId="77777777" w:rsidR="00980E5F" w:rsidRDefault="00980E5F">
            <w:pPr>
              <w:rPr>
                <w:rFonts w:ascii="宋体"/>
              </w:rPr>
            </w:pPr>
          </w:p>
        </w:tc>
      </w:tr>
      <w:tr w:rsidR="00980E5F" w14:paraId="392C3FDD" w14:textId="77777777">
        <w:tc>
          <w:tcPr>
            <w:tcW w:w="0" w:type="auto"/>
            <w:gridSpan w:val="3"/>
            <w:shd w:val="clear" w:color="auto" w:fill="auto"/>
            <w:tcMar>
              <w:top w:w="40" w:type="dxa"/>
              <w:left w:w="20" w:type="dxa"/>
              <w:bottom w:w="40" w:type="dxa"/>
              <w:right w:w="20" w:type="dxa"/>
            </w:tcMar>
            <w:vAlign w:val="bottom"/>
          </w:tcPr>
          <w:p w14:paraId="392C3FD9" w14:textId="77777777" w:rsidR="00980E5F" w:rsidRDefault="00483613">
            <w:pPr>
              <w:jc w:val="center"/>
              <w:textAlignment w:val="bottom"/>
            </w:pPr>
            <w:r>
              <w:rPr>
                <w:rFonts w:ascii="Arial" w:eastAsia="宋体" w:hAnsi="Arial" w:cs="Arial"/>
                <w:b/>
                <w:bCs/>
                <w:color w:val="000000"/>
                <w:sz w:val="14"/>
                <w:szCs w:val="14"/>
              </w:rPr>
              <w:t>Standard</w:t>
            </w:r>
          </w:p>
        </w:tc>
        <w:tc>
          <w:tcPr>
            <w:tcW w:w="0" w:type="auto"/>
            <w:gridSpan w:val="3"/>
            <w:shd w:val="clear" w:color="auto" w:fill="auto"/>
            <w:tcMar>
              <w:top w:w="40" w:type="dxa"/>
              <w:left w:w="20" w:type="dxa"/>
              <w:bottom w:w="40" w:type="dxa"/>
              <w:right w:w="20" w:type="dxa"/>
            </w:tcMar>
            <w:vAlign w:val="bottom"/>
          </w:tcPr>
          <w:p w14:paraId="392C3FDA" w14:textId="77777777" w:rsidR="00980E5F" w:rsidRDefault="00483613">
            <w:pPr>
              <w:jc w:val="center"/>
              <w:textAlignment w:val="bottom"/>
            </w:pPr>
            <w:r>
              <w:rPr>
                <w:rFonts w:ascii="Arial" w:eastAsia="宋体" w:hAnsi="Arial" w:cs="Arial"/>
                <w:b/>
                <w:bCs/>
                <w:color w:val="000000"/>
                <w:sz w:val="14"/>
                <w:szCs w:val="14"/>
              </w:rPr>
              <w:t>Description</w:t>
            </w:r>
          </w:p>
        </w:tc>
        <w:tc>
          <w:tcPr>
            <w:tcW w:w="0" w:type="auto"/>
            <w:gridSpan w:val="3"/>
            <w:shd w:val="clear" w:color="auto" w:fill="auto"/>
            <w:tcMar>
              <w:top w:w="40" w:type="dxa"/>
              <w:left w:w="20" w:type="dxa"/>
              <w:bottom w:w="40" w:type="dxa"/>
              <w:right w:w="20" w:type="dxa"/>
            </w:tcMar>
            <w:vAlign w:val="bottom"/>
          </w:tcPr>
          <w:p w14:paraId="392C3FDB" w14:textId="77777777" w:rsidR="00980E5F" w:rsidRDefault="00483613">
            <w:pPr>
              <w:jc w:val="center"/>
              <w:textAlignment w:val="bottom"/>
            </w:pPr>
            <w:r>
              <w:rPr>
                <w:rFonts w:ascii="Arial" w:eastAsia="宋体" w:hAnsi="Arial" w:cs="Arial"/>
                <w:b/>
                <w:bCs/>
                <w:color w:val="000000"/>
                <w:sz w:val="14"/>
                <w:szCs w:val="14"/>
              </w:rPr>
              <w:t>Date of Adoption</w:t>
            </w:r>
          </w:p>
        </w:tc>
        <w:tc>
          <w:tcPr>
            <w:tcW w:w="0" w:type="auto"/>
            <w:gridSpan w:val="3"/>
            <w:shd w:val="clear" w:color="auto" w:fill="auto"/>
            <w:tcMar>
              <w:top w:w="40" w:type="dxa"/>
              <w:left w:w="20" w:type="dxa"/>
              <w:bottom w:w="40" w:type="dxa"/>
              <w:right w:w="20" w:type="dxa"/>
            </w:tcMar>
            <w:vAlign w:val="bottom"/>
          </w:tcPr>
          <w:p w14:paraId="392C3FDC" w14:textId="77777777" w:rsidR="00980E5F" w:rsidRDefault="00483613">
            <w:pPr>
              <w:jc w:val="center"/>
              <w:textAlignment w:val="bottom"/>
            </w:pPr>
            <w:r>
              <w:rPr>
                <w:rFonts w:ascii="Arial" w:eastAsia="宋体" w:hAnsi="Arial" w:cs="Arial"/>
                <w:b/>
                <w:bCs/>
                <w:color w:val="000000"/>
                <w:sz w:val="14"/>
                <w:szCs w:val="14"/>
              </w:rPr>
              <w:t>Effects on the financial statements or other significant matters</w:t>
            </w:r>
          </w:p>
        </w:tc>
      </w:tr>
      <w:tr w:rsidR="00980E5F" w14:paraId="392C3FE2"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392C3FDE" w14:textId="77777777" w:rsidR="00980E5F" w:rsidRDefault="00483613">
            <w:pPr>
              <w:jc w:val="both"/>
              <w:textAlignment w:val="top"/>
            </w:pPr>
            <w:r>
              <w:rPr>
                <w:rFonts w:ascii="Arial" w:eastAsia="宋体" w:hAnsi="Arial" w:cs="Arial"/>
                <w:color w:val="000000"/>
                <w:sz w:val="14"/>
                <w:szCs w:val="14"/>
              </w:rPr>
              <w:t xml:space="preserve">ASU 2022-02, Financial Instruments—Credit Losses (Topic 326): </w:t>
            </w:r>
            <w:r>
              <w:rPr>
                <w:rFonts w:ascii="Arial" w:eastAsia="宋体" w:hAnsi="Arial" w:cs="Arial"/>
                <w:color w:val="000000"/>
                <w:sz w:val="14"/>
                <w:szCs w:val="14"/>
              </w:rPr>
              <w:t>Troubled Debt Restructurings and Vintage Disclosures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392C3FDF" w14:textId="77777777" w:rsidR="00980E5F" w:rsidRDefault="00483613">
            <w:pPr>
              <w:jc w:val="both"/>
              <w:textAlignment w:val="top"/>
            </w:pPr>
            <w:r>
              <w:rPr>
                <w:rFonts w:ascii="Arial" w:eastAsia="宋体" w:hAnsi="Arial" w:cs="Arial"/>
                <w:color w:val="000000"/>
                <w:sz w:val="14"/>
                <w:szCs w:val="14"/>
              </w:rPr>
              <w:t>The standard addresses two topics: 1) eliminates the accounting guidance for TDRs, now requiring an entity to determine whether a modification results in a new loan or a continuation of an existing loan,</w:t>
            </w:r>
            <w:r>
              <w:rPr>
                <w:rFonts w:ascii="Arial" w:eastAsia="宋体" w:hAnsi="Arial" w:cs="Arial"/>
                <w:color w:val="000000"/>
                <w:sz w:val="14"/>
                <w:szCs w:val="14"/>
              </w:rPr>
              <w:t xml:space="preserve"> as well as expanding disclosures related to modifications and 2) requires disclosure of current period gross write-offs of financing receivables within the vintage disclosures table.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392C3FE0" w14:textId="77777777" w:rsidR="00980E5F" w:rsidRDefault="00483613">
            <w:pPr>
              <w:jc w:val="both"/>
              <w:textAlignment w:val="top"/>
            </w:pPr>
            <w:r>
              <w:rPr>
                <w:rFonts w:ascii="Arial" w:eastAsia="宋体" w:hAnsi="Arial" w:cs="Arial"/>
                <w:color w:val="000000"/>
                <w:sz w:val="14"/>
                <w:szCs w:val="14"/>
              </w:rPr>
              <w:t>January 1, 2023, early adoption permitted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392C3FE1" w14:textId="77777777" w:rsidR="00980E5F" w:rsidRDefault="00483613">
            <w:pPr>
              <w:jc w:val="both"/>
              <w:textAlignment w:val="top"/>
            </w:pPr>
            <w:r>
              <w:rPr>
                <w:rFonts w:ascii="Arial" w:eastAsia="宋体" w:hAnsi="Arial" w:cs="Arial"/>
                <w:color w:val="000000"/>
                <w:sz w:val="14"/>
                <w:szCs w:val="14"/>
              </w:rPr>
              <w:t>We do not expect the new stand</w:t>
            </w:r>
            <w:r>
              <w:rPr>
                <w:rFonts w:ascii="Arial" w:eastAsia="宋体" w:hAnsi="Arial" w:cs="Arial"/>
                <w:color w:val="000000"/>
                <w:sz w:val="14"/>
                <w:szCs w:val="14"/>
              </w:rPr>
              <w:t>ard to have a significant impact as, to date, no loans have been modified in troubled debt restructurings and write-offs of financing receivables are insignificant.</w:t>
            </w:r>
          </w:p>
        </w:tc>
      </w:tr>
      <w:tr w:rsidR="00980E5F" w14:paraId="392C3FE7"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392C3FE3" w14:textId="77777777" w:rsidR="00980E5F" w:rsidRDefault="00483613">
            <w:pPr>
              <w:jc w:val="both"/>
              <w:textAlignment w:val="top"/>
            </w:pPr>
            <w:r>
              <w:rPr>
                <w:rFonts w:ascii="Arial" w:eastAsia="宋体" w:hAnsi="Arial" w:cs="Arial"/>
                <w:color w:val="000000"/>
                <w:sz w:val="14"/>
                <w:szCs w:val="14"/>
              </w:rPr>
              <w:t>ASU 2022-01, Derivatives and Hedging (Topic 815): Fair Value Hedging—Portfolio Layer Metho</w:t>
            </w:r>
            <w:r>
              <w:rPr>
                <w:rFonts w:ascii="Arial" w:eastAsia="宋体" w:hAnsi="Arial" w:cs="Arial"/>
                <w:color w:val="000000"/>
                <w:sz w:val="14"/>
                <w:szCs w:val="14"/>
              </w:rPr>
              <w:t>d</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392C3FE4" w14:textId="77777777" w:rsidR="00980E5F" w:rsidRDefault="00483613">
            <w:pPr>
              <w:jc w:val="both"/>
              <w:textAlignment w:val="top"/>
            </w:pPr>
            <w:r>
              <w:rPr>
                <w:rFonts w:ascii="Arial" w:eastAsia="宋体" w:hAnsi="Arial" w:cs="Arial"/>
                <w:color w:val="000000"/>
                <w:sz w:val="14"/>
                <w:szCs w:val="14"/>
              </w:rPr>
              <w:t>The standard makes targeted amendments to 1) expand the existing last-of-layer method to allow multiple hedging layers of a single closed portfolio (now renamed portfolio layer method), 2) expand the scope of the portfolio layer method to include nonprepay</w:t>
            </w:r>
            <w:r>
              <w:rPr>
                <w:rFonts w:ascii="Arial" w:eastAsia="宋体" w:hAnsi="Arial" w:cs="Arial"/>
                <w:color w:val="000000"/>
                <w:sz w:val="14"/>
                <w:szCs w:val="14"/>
              </w:rPr>
              <w:t>able financial assets, 3) clarify which hedging instruments are eligible for designation in a portfolio layer hedge, 4) provide additional guidance on the accounting for, and disclosure of, hedge basis adjustments that are applicable to the portfolio layer</w:t>
            </w:r>
            <w:r>
              <w:rPr>
                <w:rFonts w:ascii="Arial" w:eastAsia="宋体" w:hAnsi="Arial" w:cs="Arial"/>
                <w:color w:val="000000"/>
                <w:sz w:val="14"/>
                <w:szCs w:val="14"/>
              </w:rPr>
              <w:t xml:space="preserve"> method and 5) define how hedge basis adjustments should be considered when determining credit losses for the assets included in the closed portfolio. </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392C3FE5" w14:textId="77777777" w:rsidR="00980E5F" w:rsidRDefault="00483613">
            <w:pPr>
              <w:jc w:val="both"/>
              <w:textAlignment w:val="top"/>
            </w:pPr>
            <w:r>
              <w:rPr>
                <w:rFonts w:ascii="Arial" w:eastAsia="宋体" w:hAnsi="Arial" w:cs="Arial"/>
                <w:color w:val="000000"/>
                <w:sz w:val="14"/>
                <w:szCs w:val="14"/>
              </w:rPr>
              <w:t>January 1, 2023, early adoption permitted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tcPr>
          <w:p w14:paraId="392C3FE6" w14:textId="77777777" w:rsidR="00980E5F" w:rsidRDefault="00483613">
            <w:pPr>
              <w:jc w:val="both"/>
              <w:textAlignment w:val="top"/>
            </w:pPr>
            <w:r>
              <w:rPr>
                <w:rFonts w:ascii="Arial" w:eastAsia="宋体" w:hAnsi="Arial" w:cs="Arial"/>
                <w:color w:val="000000"/>
                <w:sz w:val="14"/>
                <w:szCs w:val="14"/>
              </w:rPr>
              <w:t>We are currently evaluating the impact of the new standard and</w:t>
            </w:r>
            <w:r>
              <w:rPr>
                <w:rFonts w:ascii="Arial" w:eastAsia="宋体" w:hAnsi="Arial" w:cs="Arial"/>
                <w:color w:val="000000"/>
                <w:sz w:val="14"/>
                <w:szCs w:val="14"/>
              </w:rPr>
              <w:t xml:space="preserve"> the early adoption provisions.</w:t>
            </w:r>
          </w:p>
        </w:tc>
      </w:tr>
    </w:tbl>
    <w:p w14:paraId="392C3FE8" w14:textId="77777777" w:rsidR="00980E5F" w:rsidRDefault="00483613">
      <w:pPr>
        <w:ind w:firstLine="450"/>
        <w:jc w:val="right"/>
      </w:pPr>
      <w:r>
        <w:rPr>
          <w:rFonts w:ascii="Arial" w:eastAsia="宋体" w:hAnsi="Arial" w:cs="Arial"/>
          <w:color w:val="000000"/>
          <w:sz w:val="18"/>
          <w:szCs w:val="18"/>
        </w:rPr>
        <w:t>State Street Corporation | 59</w:t>
      </w:r>
    </w:p>
    <w:p w14:paraId="392C3FE9" w14:textId="77777777" w:rsidR="00980E5F" w:rsidRDefault="00980E5F">
      <w:pPr>
        <w:ind w:firstLine="450"/>
        <w:jc w:val="center"/>
      </w:pPr>
    </w:p>
    <w:p w14:paraId="392C3FEA" w14:textId="77777777" w:rsidR="00980E5F" w:rsidRDefault="00483613">
      <w:r>
        <w:pict w14:anchorId="392CBB09">
          <v:rect id="_x0000_i1083" style="width:415.3pt;height:1.5pt" o:hralign="center" o:hrstd="t" o:hr="t" fillcolor="#a0a0a0" stroked="f"/>
        </w:pict>
      </w:r>
    </w:p>
    <w:p w14:paraId="392C3FEB" w14:textId="77777777" w:rsidR="00980E5F" w:rsidRDefault="00483613">
      <w:pPr>
        <w:ind w:firstLine="450"/>
        <w:jc w:val="center"/>
      </w:pPr>
      <w:r>
        <w:rPr>
          <w:rFonts w:ascii="Arial" w:eastAsia="宋体" w:hAnsi="Arial" w:cs="Arial"/>
          <w:b/>
          <w:bCs/>
          <w:color w:val="000000"/>
          <w:sz w:val="20"/>
          <w:szCs w:val="20"/>
        </w:rPr>
        <w:t>STATE STREET CORPORATION</w:t>
      </w:r>
    </w:p>
    <w:p w14:paraId="392C3FEC"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3FED" w14:textId="77777777" w:rsidR="00980E5F" w:rsidRDefault="00483613">
      <w:pPr>
        <w:ind w:firstLine="450"/>
        <w:jc w:val="center"/>
      </w:pPr>
      <w:r>
        <w:rPr>
          <w:rFonts w:ascii="Arial" w:eastAsia="宋体" w:hAnsi="Arial" w:cs="Arial"/>
          <w:b/>
          <w:bCs/>
          <w:color w:val="000000"/>
          <w:sz w:val="20"/>
          <w:szCs w:val="20"/>
        </w:rPr>
        <w:t>(UNAUDITED)</w:t>
      </w:r>
    </w:p>
    <w:p w14:paraId="392C3FEE" w14:textId="77777777" w:rsidR="00980E5F" w:rsidRDefault="00483613">
      <w:pPr>
        <w:spacing w:before="180"/>
      </w:pPr>
      <w:r>
        <w:rPr>
          <w:rFonts w:ascii="Arial" w:eastAsia="宋体" w:hAnsi="Arial" w:cs="Arial"/>
          <w:b/>
          <w:bCs/>
          <w:color w:val="000000"/>
          <w:sz w:val="20"/>
          <w:szCs w:val="20"/>
        </w:rPr>
        <w:t>Note 2.    Fair Value</w:t>
      </w:r>
    </w:p>
    <w:p w14:paraId="392C3FEF" w14:textId="77777777" w:rsidR="00980E5F" w:rsidRDefault="00483613">
      <w:pPr>
        <w:spacing w:before="60"/>
        <w:jc w:val="both"/>
      </w:pPr>
      <w:r>
        <w:rPr>
          <w:rFonts w:ascii="Arial" w:eastAsia="宋体" w:hAnsi="Arial" w:cs="Arial"/>
          <w:b/>
          <w:bCs/>
          <w:i/>
          <w:iCs/>
          <w:color w:val="000000"/>
          <w:sz w:val="20"/>
          <w:szCs w:val="20"/>
        </w:rPr>
        <w:t>Fair Value Measurements</w:t>
      </w:r>
    </w:p>
    <w:p w14:paraId="392C3FF0" w14:textId="77777777" w:rsidR="00980E5F" w:rsidRDefault="00483613">
      <w:pPr>
        <w:spacing w:before="20"/>
        <w:ind w:firstLine="450"/>
        <w:jc w:val="both"/>
      </w:pPr>
      <w:r>
        <w:rPr>
          <w:rFonts w:ascii="Arial" w:eastAsia="宋体" w:hAnsi="Arial" w:cs="Arial"/>
          <w:color w:val="000000"/>
          <w:sz w:val="20"/>
          <w:szCs w:val="20"/>
        </w:rPr>
        <w:t xml:space="preserve">We carry trading account assets and </w:t>
      </w:r>
      <w:r>
        <w:rPr>
          <w:rFonts w:ascii="Arial" w:eastAsia="宋体" w:hAnsi="Arial" w:cs="Arial"/>
          <w:color w:val="000000"/>
          <w:sz w:val="20"/>
          <w:szCs w:val="20"/>
        </w:rPr>
        <w:t>liabilities, AFS debt securities, certain equity securities and various types of derivative financial instruments, at fair value in our consolidated statement of condition on a recurring basis. Changes in the fair values of these financial assets and liabi</w:t>
      </w:r>
      <w:r>
        <w:rPr>
          <w:rFonts w:ascii="Arial" w:eastAsia="宋体" w:hAnsi="Arial" w:cs="Arial"/>
          <w:color w:val="000000"/>
          <w:sz w:val="20"/>
          <w:szCs w:val="20"/>
        </w:rPr>
        <w:t>lities are recorded either as components of our consolidated statement of income or as components of AOCI within shareholders' equity in our consolidated statement of condition.</w:t>
      </w:r>
    </w:p>
    <w:p w14:paraId="392C3FF1" w14:textId="77777777" w:rsidR="00980E5F" w:rsidRDefault="00483613">
      <w:pPr>
        <w:spacing w:before="20"/>
        <w:ind w:firstLine="450"/>
        <w:jc w:val="both"/>
      </w:pPr>
      <w:r>
        <w:rPr>
          <w:rFonts w:ascii="Arial" w:eastAsia="宋体" w:hAnsi="Arial" w:cs="Arial"/>
          <w:color w:val="000000"/>
          <w:sz w:val="20"/>
          <w:szCs w:val="20"/>
        </w:rPr>
        <w:t>We measure fair value for the above-described financial assets and liabilities</w:t>
      </w:r>
      <w:r>
        <w:rPr>
          <w:rFonts w:ascii="Arial" w:eastAsia="宋体" w:hAnsi="Arial" w:cs="Arial"/>
          <w:color w:val="000000"/>
          <w:sz w:val="20"/>
          <w:szCs w:val="20"/>
        </w:rPr>
        <w:t xml:space="preserve"> in conformity with U.S. GAAP that governs the measurement of the fair value of financial instruments. Management believes that its valuation techniques and underlying assumptions used to measure fair value conform to the provisions of U.S. GAAP. We catego</w:t>
      </w:r>
      <w:r>
        <w:rPr>
          <w:rFonts w:ascii="Arial" w:eastAsia="宋体" w:hAnsi="Arial" w:cs="Arial"/>
          <w:color w:val="000000"/>
          <w:sz w:val="20"/>
          <w:szCs w:val="20"/>
        </w:rPr>
        <w:t>rize the financial assets and liabilities that we carry at fair value based on a prescribed three-level valuation hierarchy. For information about our valuation techniques for financial assets and financial liabilities measured at fair value and the fair v</w:t>
      </w:r>
      <w:r>
        <w:rPr>
          <w:rFonts w:ascii="Arial" w:eastAsia="宋体" w:hAnsi="Arial" w:cs="Arial"/>
          <w:color w:val="000000"/>
          <w:sz w:val="20"/>
          <w:szCs w:val="20"/>
        </w:rPr>
        <w:t>alue hierarchy, refer to pages 137 to 143 in Note 2 to the consolidated financial statements included under Item 8, Financial Statements and Supplementary Data, in our 2021 Form 10-K.</w:t>
      </w:r>
    </w:p>
    <w:p w14:paraId="392C3FF2" w14:textId="77777777" w:rsidR="00980E5F" w:rsidRDefault="00483613">
      <w:pPr>
        <w:spacing w:before="20"/>
        <w:ind w:firstLine="450"/>
      </w:pPr>
      <w:r>
        <w:rPr>
          <w:rFonts w:ascii="Arial" w:eastAsia="宋体" w:hAnsi="Arial" w:cs="Arial"/>
          <w:color w:val="000000"/>
          <w:sz w:val="20"/>
          <w:szCs w:val="20"/>
        </w:rPr>
        <w:t>The following tables present information with respect to our financial a</w:t>
      </w:r>
      <w:r>
        <w:rPr>
          <w:rFonts w:ascii="Arial" w:eastAsia="宋体" w:hAnsi="Arial" w:cs="Arial"/>
          <w:color w:val="000000"/>
          <w:sz w:val="20"/>
          <w:szCs w:val="20"/>
        </w:rPr>
        <w:t>ssets and liabilities carried at fair value in our consolidated statement of condition on a recurring basis as of the dates indicated:</w:t>
      </w:r>
    </w:p>
    <w:p w14:paraId="392C3FF3" w14:textId="77777777" w:rsidR="00980E5F" w:rsidRDefault="00483613">
      <w:pPr>
        <w:ind w:firstLine="450"/>
        <w:jc w:val="right"/>
      </w:pPr>
      <w:r>
        <w:rPr>
          <w:rFonts w:ascii="Arial" w:eastAsia="宋体" w:hAnsi="Arial" w:cs="Arial"/>
          <w:color w:val="000000"/>
          <w:sz w:val="18"/>
          <w:szCs w:val="18"/>
        </w:rPr>
        <w:t>State Street Corporation | 60</w:t>
      </w:r>
    </w:p>
    <w:p w14:paraId="392C3FF4" w14:textId="77777777" w:rsidR="00980E5F" w:rsidRDefault="00980E5F">
      <w:pPr>
        <w:ind w:firstLine="450"/>
        <w:jc w:val="center"/>
      </w:pPr>
    </w:p>
    <w:p w14:paraId="392C3FF5" w14:textId="77777777" w:rsidR="00980E5F" w:rsidRDefault="00483613">
      <w:r>
        <w:pict w14:anchorId="392CBB0A">
          <v:rect id="_x0000_i1084" style="width:415.3pt;height:1.5pt" o:hralign="center" o:hrstd="t" o:hr="t" fillcolor="#a0a0a0" stroked="f"/>
        </w:pict>
      </w:r>
    </w:p>
    <w:p w14:paraId="392C3FF6" w14:textId="77777777" w:rsidR="00980E5F" w:rsidRDefault="00483613">
      <w:pPr>
        <w:ind w:firstLine="450"/>
        <w:jc w:val="center"/>
      </w:pPr>
      <w:r>
        <w:rPr>
          <w:rFonts w:ascii="Arial" w:eastAsia="宋体" w:hAnsi="Arial" w:cs="Arial"/>
          <w:b/>
          <w:bCs/>
          <w:color w:val="000000"/>
          <w:sz w:val="20"/>
          <w:szCs w:val="20"/>
        </w:rPr>
        <w:t>STATE STREET CORPORATION</w:t>
      </w:r>
    </w:p>
    <w:p w14:paraId="392C3FF7"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3FF8" w14:textId="77777777" w:rsidR="00980E5F" w:rsidRDefault="00483613">
      <w:pPr>
        <w:ind w:firstLine="450"/>
        <w:jc w:val="center"/>
      </w:pPr>
      <w:r>
        <w:rPr>
          <w:rFonts w:ascii="Arial" w:eastAsia="宋体" w:hAnsi="Arial" w:cs="Arial"/>
          <w:b/>
          <w:bCs/>
          <w:color w:val="000000"/>
          <w:sz w:val="20"/>
          <w:szCs w:val="20"/>
        </w:rPr>
        <w:t>(UNAUDITED</w:t>
      </w:r>
      <w:r>
        <w:rPr>
          <w:rFonts w:ascii="Arial" w:eastAsia="宋体" w:hAnsi="Arial" w:cs="Arial"/>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622"/>
        <w:gridCol w:w="41"/>
        <w:gridCol w:w="99"/>
        <w:gridCol w:w="981"/>
        <w:gridCol w:w="36"/>
        <w:gridCol w:w="36"/>
        <w:gridCol w:w="36"/>
        <w:gridCol w:w="36"/>
        <w:gridCol w:w="99"/>
        <w:gridCol w:w="1023"/>
        <w:gridCol w:w="36"/>
        <w:gridCol w:w="36"/>
        <w:gridCol w:w="36"/>
        <w:gridCol w:w="36"/>
        <w:gridCol w:w="99"/>
        <w:gridCol w:w="1023"/>
        <w:gridCol w:w="36"/>
        <w:gridCol w:w="36"/>
        <w:gridCol w:w="36"/>
        <w:gridCol w:w="36"/>
        <w:gridCol w:w="99"/>
        <w:gridCol w:w="563"/>
        <w:gridCol w:w="36"/>
        <w:gridCol w:w="36"/>
        <w:gridCol w:w="36"/>
        <w:gridCol w:w="36"/>
        <w:gridCol w:w="99"/>
        <w:gridCol w:w="933"/>
        <w:gridCol w:w="36"/>
      </w:tblGrid>
      <w:tr w:rsidR="00980E5F" w14:paraId="392C4017" w14:textId="77777777">
        <w:tc>
          <w:tcPr>
            <w:tcW w:w="50" w:type="pct"/>
            <w:shd w:val="clear" w:color="auto" w:fill="auto"/>
            <w:vAlign w:val="bottom"/>
          </w:tcPr>
          <w:p w14:paraId="392C3FF9" w14:textId="77777777" w:rsidR="00980E5F" w:rsidRDefault="00980E5F">
            <w:pPr>
              <w:rPr>
                <w:rFonts w:ascii="宋体"/>
              </w:rPr>
            </w:pPr>
          </w:p>
        </w:tc>
        <w:tc>
          <w:tcPr>
            <w:tcW w:w="2116" w:type="pct"/>
            <w:shd w:val="clear" w:color="auto" w:fill="auto"/>
            <w:vAlign w:val="bottom"/>
          </w:tcPr>
          <w:p w14:paraId="392C3FFA" w14:textId="77777777" w:rsidR="00980E5F" w:rsidRDefault="00980E5F">
            <w:pPr>
              <w:rPr>
                <w:rFonts w:ascii="宋体"/>
              </w:rPr>
            </w:pPr>
          </w:p>
        </w:tc>
        <w:tc>
          <w:tcPr>
            <w:tcW w:w="5" w:type="pct"/>
            <w:shd w:val="clear" w:color="auto" w:fill="auto"/>
            <w:vAlign w:val="bottom"/>
          </w:tcPr>
          <w:p w14:paraId="392C3FFB" w14:textId="77777777" w:rsidR="00980E5F" w:rsidRDefault="00980E5F">
            <w:pPr>
              <w:rPr>
                <w:rFonts w:ascii="宋体"/>
              </w:rPr>
            </w:pPr>
          </w:p>
        </w:tc>
        <w:tc>
          <w:tcPr>
            <w:tcW w:w="50" w:type="pct"/>
            <w:shd w:val="clear" w:color="auto" w:fill="auto"/>
            <w:vAlign w:val="bottom"/>
          </w:tcPr>
          <w:p w14:paraId="392C3FFC" w14:textId="77777777" w:rsidR="00980E5F" w:rsidRDefault="00980E5F">
            <w:pPr>
              <w:rPr>
                <w:rFonts w:ascii="宋体"/>
              </w:rPr>
            </w:pPr>
          </w:p>
        </w:tc>
        <w:tc>
          <w:tcPr>
            <w:tcW w:w="529" w:type="pct"/>
            <w:shd w:val="clear" w:color="auto" w:fill="auto"/>
            <w:vAlign w:val="bottom"/>
          </w:tcPr>
          <w:p w14:paraId="392C3FFD" w14:textId="77777777" w:rsidR="00980E5F" w:rsidRDefault="00980E5F">
            <w:pPr>
              <w:rPr>
                <w:rFonts w:ascii="宋体"/>
              </w:rPr>
            </w:pPr>
          </w:p>
        </w:tc>
        <w:tc>
          <w:tcPr>
            <w:tcW w:w="5" w:type="pct"/>
            <w:shd w:val="clear" w:color="auto" w:fill="auto"/>
            <w:vAlign w:val="bottom"/>
          </w:tcPr>
          <w:p w14:paraId="392C3FFE" w14:textId="77777777" w:rsidR="00980E5F" w:rsidRDefault="00980E5F">
            <w:pPr>
              <w:rPr>
                <w:rFonts w:ascii="宋体"/>
              </w:rPr>
            </w:pPr>
          </w:p>
        </w:tc>
        <w:tc>
          <w:tcPr>
            <w:tcW w:w="5" w:type="pct"/>
            <w:shd w:val="clear" w:color="auto" w:fill="auto"/>
            <w:vAlign w:val="bottom"/>
          </w:tcPr>
          <w:p w14:paraId="392C3FFF" w14:textId="77777777" w:rsidR="00980E5F" w:rsidRDefault="00980E5F">
            <w:pPr>
              <w:rPr>
                <w:rFonts w:ascii="宋体"/>
              </w:rPr>
            </w:pPr>
          </w:p>
        </w:tc>
        <w:tc>
          <w:tcPr>
            <w:tcW w:w="19" w:type="pct"/>
            <w:shd w:val="clear" w:color="auto" w:fill="auto"/>
            <w:vAlign w:val="bottom"/>
          </w:tcPr>
          <w:p w14:paraId="392C4000" w14:textId="77777777" w:rsidR="00980E5F" w:rsidRDefault="00980E5F">
            <w:pPr>
              <w:rPr>
                <w:rFonts w:ascii="宋体"/>
              </w:rPr>
            </w:pPr>
          </w:p>
        </w:tc>
        <w:tc>
          <w:tcPr>
            <w:tcW w:w="5" w:type="pct"/>
            <w:shd w:val="clear" w:color="auto" w:fill="auto"/>
            <w:vAlign w:val="bottom"/>
          </w:tcPr>
          <w:p w14:paraId="392C4001" w14:textId="77777777" w:rsidR="00980E5F" w:rsidRDefault="00980E5F">
            <w:pPr>
              <w:rPr>
                <w:rFonts w:ascii="宋体"/>
              </w:rPr>
            </w:pPr>
          </w:p>
        </w:tc>
        <w:tc>
          <w:tcPr>
            <w:tcW w:w="50" w:type="pct"/>
            <w:shd w:val="clear" w:color="auto" w:fill="auto"/>
            <w:vAlign w:val="bottom"/>
          </w:tcPr>
          <w:p w14:paraId="392C4002" w14:textId="77777777" w:rsidR="00980E5F" w:rsidRDefault="00980E5F">
            <w:pPr>
              <w:rPr>
                <w:rFonts w:ascii="宋体"/>
              </w:rPr>
            </w:pPr>
          </w:p>
        </w:tc>
        <w:tc>
          <w:tcPr>
            <w:tcW w:w="529" w:type="pct"/>
            <w:shd w:val="clear" w:color="auto" w:fill="auto"/>
            <w:vAlign w:val="bottom"/>
          </w:tcPr>
          <w:p w14:paraId="392C4003" w14:textId="77777777" w:rsidR="00980E5F" w:rsidRDefault="00980E5F">
            <w:pPr>
              <w:rPr>
                <w:rFonts w:ascii="宋体"/>
              </w:rPr>
            </w:pPr>
          </w:p>
        </w:tc>
        <w:tc>
          <w:tcPr>
            <w:tcW w:w="5" w:type="pct"/>
            <w:shd w:val="clear" w:color="auto" w:fill="auto"/>
            <w:vAlign w:val="bottom"/>
          </w:tcPr>
          <w:p w14:paraId="392C4004" w14:textId="77777777" w:rsidR="00980E5F" w:rsidRDefault="00980E5F">
            <w:pPr>
              <w:rPr>
                <w:rFonts w:ascii="宋体"/>
              </w:rPr>
            </w:pPr>
          </w:p>
        </w:tc>
        <w:tc>
          <w:tcPr>
            <w:tcW w:w="5" w:type="pct"/>
            <w:shd w:val="clear" w:color="auto" w:fill="auto"/>
            <w:vAlign w:val="bottom"/>
          </w:tcPr>
          <w:p w14:paraId="392C4005" w14:textId="77777777" w:rsidR="00980E5F" w:rsidRDefault="00980E5F">
            <w:pPr>
              <w:rPr>
                <w:rFonts w:ascii="宋体"/>
              </w:rPr>
            </w:pPr>
          </w:p>
        </w:tc>
        <w:tc>
          <w:tcPr>
            <w:tcW w:w="19" w:type="pct"/>
            <w:shd w:val="clear" w:color="auto" w:fill="auto"/>
            <w:vAlign w:val="bottom"/>
          </w:tcPr>
          <w:p w14:paraId="392C4006" w14:textId="77777777" w:rsidR="00980E5F" w:rsidRDefault="00980E5F">
            <w:pPr>
              <w:rPr>
                <w:rFonts w:ascii="宋体"/>
              </w:rPr>
            </w:pPr>
          </w:p>
        </w:tc>
        <w:tc>
          <w:tcPr>
            <w:tcW w:w="5" w:type="pct"/>
            <w:shd w:val="clear" w:color="auto" w:fill="auto"/>
            <w:vAlign w:val="bottom"/>
          </w:tcPr>
          <w:p w14:paraId="392C4007" w14:textId="77777777" w:rsidR="00980E5F" w:rsidRDefault="00980E5F">
            <w:pPr>
              <w:rPr>
                <w:rFonts w:ascii="宋体"/>
              </w:rPr>
            </w:pPr>
          </w:p>
        </w:tc>
        <w:tc>
          <w:tcPr>
            <w:tcW w:w="50" w:type="pct"/>
            <w:shd w:val="clear" w:color="auto" w:fill="auto"/>
            <w:vAlign w:val="bottom"/>
          </w:tcPr>
          <w:p w14:paraId="392C4008" w14:textId="77777777" w:rsidR="00980E5F" w:rsidRDefault="00980E5F">
            <w:pPr>
              <w:rPr>
                <w:rFonts w:ascii="宋体"/>
              </w:rPr>
            </w:pPr>
          </w:p>
        </w:tc>
        <w:tc>
          <w:tcPr>
            <w:tcW w:w="529" w:type="pct"/>
            <w:shd w:val="clear" w:color="auto" w:fill="auto"/>
            <w:vAlign w:val="bottom"/>
          </w:tcPr>
          <w:p w14:paraId="392C4009" w14:textId="77777777" w:rsidR="00980E5F" w:rsidRDefault="00980E5F">
            <w:pPr>
              <w:rPr>
                <w:rFonts w:ascii="宋体"/>
              </w:rPr>
            </w:pPr>
          </w:p>
        </w:tc>
        <w:tc>
          <w:tcPr>
            <w:tcW w:w="5" w:type="pct"/>
            <w:shd w:val="clear" w:color="auto" w:fill="auto"/>
            <w:vAlign w:val="bottom"/>
          </w:tcPr>
          <w:p w14:paraId="392C400A" w14:textId="77777777" w:rsidR="00980E5F" w:rsidRDefault="00980E5F">
            <w:pPr>
              <w:rPr>
                <w:rFonts w:ascii="宋体"/>
              </w:rPr>
            </w:pPr>
          </w:p>
        </w:tc>
        <w:tc>
          <w:tcPr>
            <w:tcW w:w="5" w:type="pct"/>
            <w:shd w:val="clear" w:color="auto" w:fill="auto"/>
            <w:vAlign w:val="bottom"/>
          </w:tcPr>
          <w:p w14:paraId="392C400B" w14:textId="77777777" w:rsidR="00980E5F" w:rsidRDefault="00980E5F">
            <w:pPr>
              <w:rPr>
                <w:rFonts w:ascii="宋体"/>
              </w:rPr>
            </w:pPr>
          </w:p>
        </w:tc>
        <w:tc>
          <w:tcPr>
            <w:tcW w:w="19" w:type="pct"/>
            <w:shd w:val="clear" w:color="auto" w:fill="auto"/>
            <w:vAlign w:val="bottom"/>
          </w:tcPr>
          <w:p w14:paraId="392C400C" w14:textId="77777777" w:rsidR="00980E5F" w:rsidRDefault="00980E5F">
            <w:pPr>
              <w:rPr>
                <w:rFonts w:ascii="宋体"/>
              </w:rPr>
            </w:pPr>
          </w:p>
        </w:tc>
        <w:tc>
          <w:tcPr>
            <w:tcW w:w="5" w:type="pct"/>
            <w:shd w:val="clear" w:color="auto" w:fill="auto"/>
            <w:vAlign w:val="bottom"/>
          </w:tcPr>
          <w:p w14:paraId="392C400D" w14:textId="77777777" w:rsidR="00980E5F" w:rsidRDefault="00980E5F">
            <w:pPr>
              <w:rPr>
                <w:rFonts w:ascii="宋体"/>
              </w:rPr>
            </w:pPr>
          </w:p>
        </w:tc>
        <w:tc>
          <w:tcPr>
            <w:tcW w:w="50" w:type="pct"/>
            <w:shd w:val="clear" w:color="auto" w:fill="auto"/>
            <w:vAlign w:val="bottom"/>
          </w:tcPr>
          <w:p w14:paraId="392C400E" w14:textId="77777777" w:rsidR="00980E5F" w:rsidRDefault="00980E5F">
            <w:pPr>
              <w:rPr>
                <w:rFonts w:ascii="宋体"/>
              </w:rPr>
            </w:pPr>
          </w:p>
        </w:tc>
        <w:tc>
          <w:tcPr>
            <w:tcW w:w="317" w:type="pct"/>
            <w:shd w:val="clear" w:color="auto" w:fill="auto"/>
            <w:vAlign w:val="bottom"/>
          </w:tcPr>
          <w:p w14:paraId="392C400F" w14:textId="77777777" w:rsidR="00980E5F" w:rsidRDefault="00980E5F">
            <w:pPr>
              <w:rPr>
                <w:rFonts w:ascii="宋体"/>
              </w:rPr>
            </w:pPr>
          </w:p>
        </w:tc>
        <w:tc>
          <w:tcPr>
            <w:tcW w:w="5" w:type="pct"/>
            <w:shd w:val="clear" w:color="auto" w:fill="auto"/>
            <w:vAlign w:val="bottom"/>
          </w:tcPr>
          <w:p w14:paraId="392C4010" w14:textId="77777777" w:rsidR="00980E5F" w:rsidRDefault="00980E5F">
            <w:pPr>
              <w:rPr>
                <w:rFonts w:ascii="宋体"/>
              </w:rPr>
            </w:pPr>
          </w:p>
        </w:tc>
        <w:tc>
          <w:tcPr>
            <w:tcW w:w="5" w:type="pct"/>
            <w:shd w:val="clear" w:color="auto" w:fill="auto"/>
            <w:vAlign w:val="bottom"/>
          </w:tcPr>
          <w:p w14:paraId="392C4011" w14:textId="77777777" w:rsidR="00980E5F" w:rsidRDefault="00980E5F">
            <w:pPr>
              <w:rPr>
                <w:rFonts w:ascii="宋体"/>
              </w:rPr>
            </w:pPr>
          </w:p>
        </w:tc>
        <w:tc>
          <w:tcPr>
            <w:tcW w:w="19" w:type="pct"/>
            <w:shd w:val="clear" w:color="auto" w:fill="auto"/>
            <w:vAlign w:val="bottom"/>
          </w:tcPr>
          <w:p w14:paraId="392C4012" w14:textId="77777777" w:rsidR="00980E5F" w:rsidRDefault="00980E5F">
            <w:pPr>
              <w:rPr>
                <w:rFonts w:ascii="宋体"/>
              </w:rPr>
            </w:pPr>
          </w:p>
        </w:tc>
        <w:tc>
          <w:tcPr>
            <w:tcW w:w="5" w:type="pct"/>
            <w:shd w:val="clear" w:color="auto" w:fill="auto"/>
            <w:vAlign w:val="bottom"/>
          </w:tcPr>
          <w:p w14:paraId="392C4013" w14:textId="77777777" w:rsidR="00980E5F" w:rsidRDefault="00980E5F">
            <w:pPr>
              <w:rPr>
                <w:rFonts w:ascii="宋体"/>
              </w:rPr>
            </w:pPr>
          </w:p>
        </w:tc>
        <w:tc>
          <w:tcPr>
            <w:tcW w:w="50" w:type="pct"/>
            <w:shd w:val="clear" w:color="auto" w:fill="auto"/>
            <w:vAlign w:val="bottom"/>
          </w:tcPr>
          <w:p w14:paraId="392C4014" w14:textId="77777777" w:rsidR="00980E5F" w:rsidRDefault="00980E5F">
            <w:pPr>
              <w:rPr>
                <w:rFonts w:ascii="宋体"/>
              </w:rPr>
            </w:pPr>
          </w:p>
        </w:tc>
        <w:tc>
          <w:tcPr>
            <w:tcW w:w="530" w:type="pct"/>
            <w:shd w:val="clear" w:color="auto" w:fill="auto"/>
            <w:vAlign w:val="bottom"/>
          </w:tcPr>
          <w:p w14:paraId="392C4015" w14:textId="77777777" w:rsidR="00980E5F" w:rsidRDefault="00980E5F">
            <w:pPr>
              <w:rPr>
                <w:rFonts w:ascii="宋体"/>
              </w:rPr>
            </w:pPr>
          </w:p>
        </w:tc>
        <w:tc>
          <w:tcPr>
            <w:tcW w:w="5" w:type="pct"/>
            <w:shd w:val="clear" w:color="auto" w:fill="auto"/>
            <w:vAlign w:val="bottom"/>
          </w:tcPr>
          <w:p w14:paraId="392C4016" w14:textId="77777777" w:rsidR="00980E5F" w:rsidRDefault="00980E5F">
            <w:pPr>
              <w:rPr>
                <w:rFonts w:ascii="宋体"/>
              </w:rPr>
            </w:pPr>
          </w:p>
        </w:tc>
      </w:tr>
      <w:tr w:rsidR="00980E5F" w14:paraId="392C401A" w14:textId="77777777">
        <w:tc>
          <w:tcPr>
            <w:tcW w:w="0" w:type="auto"/>
            <w:gridSpan w:val="3"/>
            <w:shd w:val="clear" w:color="auto" w:fill="auto"/>
            <w:tcMar>
              <w:top w:w="0" w:type="dxa"/>
              <w:left w:w="20" w:type="dxa"/>
              <w:bottom w:w="0" w:type="dxa"/>
              <w:right w:w="20" w:type="dxa"/>
            </w:tcMar>
            <w:vAlign w:val="bottom"/>
          </w:tcPr>
          <w:p w14:paraId="392C4018"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4019" w14:textId="77777777" w:rsidR="00980E5F" w:rsidRDefault="00483613">
            <w:pPr>
              <w:jc w:val="center"/>
              <w:textAlignment w:val="bottom"/>
            </w:pPr>
            <w:r>
              <w:rPr>
                <w:rFonts w:ascii="Arial" w:eastAsia="宋体" w:hAnsi="Arial" w:cs="Arial"/>
                <w:b/>
                <w:bCs/>
                <w:color w:val="000000"/>
                <w:sz w:val="14"/>
                <w:szCs w:val="14"/>
              </w:rPr>
              <w:t>Fair Value Measurements on a Recurring Basis</w:t>
            </w:r>
          </w:p>
        </w:tc>
      </w:tr>
      <w:tr w:rsidR="00980E5F" w14:paraId="392C401D" w14:textId="77777777">
        <w:tc>
          <w:tcPr>
            <w:tcW w:w="0" w:type="auto"/>
            <w:gridSpan w:val="3"/>
            <w:shd w:val="clear" w:color="auto" w:fill="auto"/>
            <w:tcMar>
              <w:top w:w="0" w:type="dxa"/>
              <w:left w:w="20" w:type="dxa"/>
              <w:bottom w:w="0" w:type="dxa"/>
              <w:right w:w="20" w:type="dxa"/>
            </w:tcMar>
            <w:vAlign w:val="bottom"/>
          </w:tcPr>
          <w:p w14:paraId="392C401B"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401C" w14:textId="77777777" w:rsidR="00980E5F" w:rsidRDefault="00483613">
            <w:pPr>
              <w:jc w:val="center"/>
              <w:textAlignment w:val="bottom"/>
            </w:pPr>
            <w:r>
              <w:rPr>
                <w:rFonts w:ascii="Arial" w:eastAsia="宋体" w:hAnsi="Arial" w:cs="Arial"/>
                <w:b/>
                <w:bCs/>
                <w:color w:val="000000"/>
                <w:sz w:val="14"/>
                <w:szCs w:val="14"/>
              </w:rPr>
              <w:t>As of June 30, 2022</w:t>
            </w:r>
          </w:p>
        </w:tc>
      </w:tr>
      <w:tr w:rsidR="00980E5F" w14:paraId="392C4028" w14:textId="77777777">
        <w:tc>
          <w:tcPr>
            <w:tcW w:w="0" w:type="auto"/>
            <w:gridSpan w:val="3"/>
            <w:shd w:val="clear" w:color="auto" w:fill="auto"/>
            <w:tcMar>
              <w:top w:w="40" w:type="dxa"/>
              <w:left w:w="20" w:type="dxa"/>
              <w:bottom w:w="40" w:type="dxa"/>
              <w:right w:w="20" w:type="dxa"/>
            </w:tcMar>
            <w:vAlign w:val="bottom"/>
          </w:tcPr>
          <w:p w14:paraId="392C401E"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01F" w14:textId="77777777" w:rsidR="00980E5F" w:rsidRDefault="00483613">
            <w:pPr>
              <w:jc w:val="center"/>
              <w:textAlignment w:val="bottom"/>
            </w:pPr>
            <w:r>
              <w:rPr>
                <w:rFonts w:ascii="Arial" w:eastAsia="宋体" w:hAnsi="Arial" w:cs="Arial"/>
                <w:b/>
                <w:bCs/>
                <w:color w:val="000000"/>
                <w:sz w:val="14"/>
                <w:szCs w:val="14"/>
              </w:rPr>
              <w:t>Quoted Market</w:t>
            </w:r>
            <w:r>
              <w:rPr>
                <w:rFonts w:ascii="Arial" w:eastAsia="宋体" w:hAnsi="Arial" w:cs="Arial"/>
                <w:b/>
                <w:bCs/>
                <w:color w:val="000000"/>
                <w:sz w:val="14"/>
                <w:szCs w:val="14"/>
              </w:rPr>
              <w:br/>
              <w:t>Prices in Active</w:t>
            </w:r>
            <w:r>
              <w:rPr>
                <w:rFonts w:ascii="Arial" w:eastAsia="宋体" w:hAnsi="Arial" w:cs="Arial"/>
                <w:b/>
                <w:bCs/>
                <w:color w:val="000000"/>
                <w:sz w:val="14"/>
                <w:szCs w:val="14"/>
              </w:rPr>
              <w:br/>
              <w:t>Markets</w:t>
            </w:r>
            <w:r>
              <w:rPr>
                <w:rFonts w:ascii="Arial" w:eastAsia="宋体" w:hAnsi="Arial" w:cs="Arial"/>
                <w:b/>
                <w:bCs/>
                <w:color w:val="000000"/>
                <w:sz w:val="14"/>
                <w:szCs w:val="14"/>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021" w14:textId="77777777" w:rsidR="00980E5F" w:rsidRDefault="00483613">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 xml:space="preserve">with </w:t>
            </w:r>
            <w:r>
              <w:rPr>
                <w:rFonts w:ascii="Arial" w:eastAsia="宋体" w:hAnsi="Arial" w:cs="Arial"/>
                <w:b/>
                <w:bCs/>
                <w:color w:val="000000"/>
                <w:sz w:val="14"/>
                <w:szCs w:val="14"/>
              </w:rPr>
              <w:t>Significant</w:t>
            </w:r>
            <w:r>
              <w:rPr>
                <w:rFonts w:ascii="Arial" w:eastAsia="宋体" w:hAnsi="Arial" w:cs="Arial"/>
                <w:b/>
                <w:bCs/>
                <w:color w:val="000000"/>
                <w:sz w:val="14"/>
                <w:szCs w:val="14"/>
              </w:rPr>
              <w:br/>
              <w:t>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023" w14:textId="77777777" w:rsidR="00980E5F" w:rsidRDefault="00483613">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with Significant</w:t>
            </w:r>
            <w:r>
              <w:rPr>
                <w:rFonts w:ascii="Arial" w:eastAsia="宋体" w:hAnsi="Arial" w:cs="Arial"/>
                <w:b/>
                <w:bCs/>
                <w:color w:val="000000"/>
                <w:sz w:val="14"/>
                <w:szCs w:val="14"/>
              </w:rPr>
              <w:br/>
              <w:t>Unobservable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025" w14:textId="77777777" w:rsidR="00980E5F" w:rsidRDefault="00483613">
            <w:pPr>
              <w:jc w:val="center"/>
              <w:textAlignment w:val="bottom"/>
            </w:pPr>
            <w:r>
              <w:rPr>
                <w:rFonts w:ascii="Arial" w:eastAsia="宋体" w:hAnsi="Arial" w:cs="Arial"/>
                <w:b/>
                <w:bCs/>
                <w:color w:val="000000"/>
                <w:sz w:val="14"/>
                <w:szCs w:val="14"/>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027" w14:textId="77777777" w:rsidR="00980E5F" w:rsidRDefault="00483613">
            <w:pPr>
              <w:jc w:val="center"/>
              <w:textAlignment w:val="bottom"/>
            </w:pPr>
            <w:r>
              <w:rPr>
                <w:rFonts w:ascii="Arial" w:eastAsia="宋体" w:hAnsi="Arial" w:cs="Arial"/>
                <w:b/>
                <w:bCs/>
                <w:color w:val="000000"/>
                <w:sz w:val="14"/>
                <w:szCs w:val="14"/>
              </w:rPr>
              <w:t>Total Net</w:t>
            </w:r>
            <w:r>
              <w:rPr>
                <w:rFonts w:ascii="Arial" w:eastAsia="宋体" w:hAnsi="Arial" w:cs="Arial"/>
                <w:b/>
                <w:bCs/>
                <w:color w:val="000000"/>
                <w:sz w:val="14"/>
                <w:szCs w:val="14"/>
              </w:rPr>
              <w:br/>
              <w:t>Carrying Value</w:t>
            </w:r>
            <w:r>
              <w:rPr>
                <w:rFonts w:ascii="Arial" w:eastAsia="宋体" w:hAnsi="Arial" w:cs="Arial"/>
                <w:b/>
                <w:bCs/>
                <w:color w:val="000000"/>
                <w:sz w:val="14"/>
                <w:szCs w:val="14"/>
              </w:rPr>
              <w:br/>
              <w:t>in Consolidated</w:t>
            </w:r>
            <w:r>
              <w:rPr>
                <w:rFonts w:ascii="Arial" w:eastAsia="宋体" w:hAnsi="Arial" w:cs="Arial"/>
                <w:b/>
                <w:bCs/>
                <w:color w:val="000000"/>
                <w:sz w:val="14"/>
                <w:szCs w:val="14"/>
              </w:rPr>
              <w:br/>
              <w:t>Statement of</w:t>
            </w:r>
            <w:r>
              <w:rPr>
                <w:rFonts w:ascii="Arial" w:eastAsia="宋体" w:hAnsi="Arial" w:cs="Arial"/>
                <w:b/>
                <w:bCs/>
                <w:color w:val="000000"/>
                <w:sz w:val="14"/>
                <w:szCs w:val="14"/>
              </w:rPr>
              <w:br/>
              <w:t>Condition</w:t>
            </w:r>
          </w:p>
        </w:tc>
      </w:tr>
      <w:tr w:rsidR="00980E5F" w14:paraId="392C4033" w14:textId="77777777">
        <w:tc>
          <w:tcPr>
            <w:tcW w:w="0" w:type="auto"/>
            <w:gridSpan w:val="3"/>
            <w:shd w:val="clear" w:color="auto" w:fill="auto"/>
            <w:tcMar>
              <w:top w:w="40" w:type="dxa"/>
              <w:left w:w="20" w:type="dxa"/>
              <w:bottom w:w="40" w:type="dxa"/>
              <w:right w:w="20" w:type="dxa"/>
            </w:tcMar>
            <w:vAlign w:val="bottom"/>
          </w:tcPr>
          <w:p w14:paraId="392C4029" w14:textId="77777777" w:rsidR="00980E5F" w:rsidRDefault="00483613">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2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2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2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3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032" w14:textId="77777777" w:rsidR="00980E5F" w:rsidRDefault="00980E5F">
            <w:pPr>
              <w:rPr>
                <w:rFonts w:ascii="宋体"/>
              </w:rPr>
            </w:pPr>
          </w:p>
        </w:tc>
      </w:tr>
      <w:tr w:rsidR="00980E5F" w14:paraId="392C403E" w14:textId="77777777">
        <w:tc>
          <w:tcPr>
            <w:tcW w:w="0" w:type="auto"/>
            <w:gridSpan w:val="3"/>
            <w:shd w:val="clear" w:color="auto" w:fill="auto"/>
            <w:tcMar>
              <w:top w:w="40" w:type="dxa"/>
              <w:left w:w="20" w:type="dxa"/>
              <w:bottom w:w="40" w:type="dxa"/>
              <w:right w:w="20" w:type="dxa"/>
            </w:tcMar>
            <w:vAlign w:val="bottom"/>
          </w:tcPr>
          <w:p w14:paraId="392C4034" w14:textId="77777777" w:rsidR="00980E5F" w:rsidRDefault="00483613">
            <w:pPr>
              <w:textAlignment w:val="bottom"/>
            </w:pPr>
            <w:r>
              <w:rPr>
                <w:rFonts w:ascii="Arial" w:eastAsia="宋体" w:hAnsi="Arial" w:cs="Arial"/>
                <w:color w:val="000000"/>
                <w:sz w:val="14"/>
                <w:szCs w:val="14"/>
              </w:rPr>
              <w:t>Trading account assets:</w:t>
            </w:r>
          </w:p>
        </w:tc>
        <w:tc>
          <w:tcPr>
            <w:tcW w:w="0" w:type="auto"/>
            <w:gridSpan w:val="3"/>
            <w:shd w:val="clear" w:color="auto" w:fill="auto"/>
            <w:tcMar>
              <w:top w:w="0" w:type="dxa"/>
              <w:left w:w="20" w:type="dxa"/>
              <w:bottom w:w="0" w:type="dxa"/>
              <w:right w:w="20" w:type="dxa"/>
            </w:tcMar>
            <w:vAlign w:val="bottom"/>
          </w:tcPr>
          <w:p w14:paraId="392C40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03D" w14:textId="77777777" w:rsidR="00980E5F" w:rsidRDefault="00980E5F">
            <w:pPr>
              <w:rPr>
                <w:rFonts w:ascii="宋体"/>
              </w:rPr>
            </w:pPr>
          </w:p>
        </w:tc>
      </w:tr>
      <w:tr w:rsidR="00980E5F" w14:paraId="392C4051" w14:textId="77777777">
        <w:tc>
          <w:tcPr>
            <w:tcW w:w="0" w:type="auto"/>
            <w:gridSpan w:val="3"/>
            <w:shd w:val="clear" w:color="auto" w:fill="CCEEFF"/>
            <w:tcMar>
              <w:top w:w="40" w:type="dxa"/>
              <w:left w:w="245" w:type="dxa"/>
              <w:bottom w:w="40" w:type="dxa"/>
              <w:right w:w="20" w:type="dxa"/>
            </w:tcMar>
            <w:vAlign w:val="bottom"/>
          </w:tcPr>
          <w:p w14:paraId="392C403F" w14:textId="77777777" w:rsidR="00980E5F" w:rsidRDefault="00483613">
            <w:pPr>
              <w:textAlignment w:val="bottom"/>
            </w:pPr>
            <w:r>
              <w:rPr>
                <w:rFonts w:ascii="Arial" w:eastAsia="宋体" w:hAnsi="Arial" w:cs="Arial"/>
                <w:color w:val="000000"/>
                <w:sz w:val="14"/>
                <w:szCs w:val="14"/>
              </w:rPr>
              <w:t>U.S. government securities</w:t>
            </w:r>
          </w:p>
        </w:tc>
        <w:tc>
          <w:tcPr>
            <w:tcW w:w="0" w:type="auto"/>
            <w:shd w:val="clear" w:color="auto" w:fill="CCEEFF"/>
            <w:tcMar>
              <w:top w:w="40" w:type="dxa"/>
              <w:left w:w="20" w:type="dxa"/>
              <w:bottom w:w="40" w:type="dxa"/>
              <w:right w:w="0" w:type="dxa"/>
            </w:tcMar>
            <w:vAlign w:val="bottom"/>
          </w:tcPr>
          <w:p w14:paraId="392C4040"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041" w14:textId="77777777" w:rsidR="00980E5F" w:rsidRDefault="00483613">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4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044"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04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4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04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04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4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4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4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04E"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04F" w14:textId="77777777" w:rsidR="00980E5F" w:rsidRDefault="00483613">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50" w14:textId="77777777" w:rsidR="00980E5F" w:rsidRDefault="00980E5F">
            <w:pPr>
              <w:jc w:val="right"/>
              <w:rPr>
                <w:rFonts w:ascii="宋体"/>
              </w:rPr>
            </w:pPr>
          </w:p>
        </w:tc>
      </w:tr>
      <w:tr w:rsidR="00980E5F" w14:paraId="392C4060" w14:textId="77777777">
        <w:tc>
          <w:tcPr>
            <w:tcW w:w="0" w:type="auto"/>
            <w:gridSpan w:val="3"/>
            <w:shd w:val="clear" w:color="auto" w:fill="FFFFFF"/>
            <w:tcMar>
              <w:top w:w="40" w:type="dxa"/>
              <w:left w:w="245" w:type="dxa"/>
              <w:bottom w:w="40" w:type="dxa"/>
              <w:right w:w="20" w:type="dxa"/>
            </w:tcMar>
            <w:vAlign w:val="bottom"/>
          </w:tcPr>
          <w:p w14:paraId="392C4052" w14:textId="77777777" w:rsidR="00980E5F" w:rsidRDefault="00483613">
            <w:pPr>
              <w:textAlignment w:val="bottom"/>
            </w:pPr>
            <w:r>
              <w:rPr>
                <w:rFonts w:ascii="Arial" w:eastAsia="宋体" w:hAnsi="Arial" w:cs="Arial"/>
                <w:color w:val="000000"/>
                <w:sz w:val="14"/>
                <w:szCs w:val="14"/>
              </w:rPr>
              <w:t>Non-U.S. government securities</w:t>
            </w:r>
          </w:p>
        </w:tc>
        <w:tc>
          <w:tcPr>
            <w:tcW w:w="0" w:type="auto"/>
            <w:gridSpan w:val="2"/>
            <w:shd w:val="clear" w:color="auto" w:fill="FFFFFF"/>
            <w:tcMar>
              <w:top w:w="40" w:type="dxa"/>
              <w:left w:w="20" w:type="dxa"/>
              <w:bottom w:w="40" w:type="dxa"/>
              <w:right w:w="0" w:type="dxa"/>
            </w:tcMar>
            <w:vAlign w:val="bottom"/>
          </w:tcPr>
          <w:p w14:paraId="392C405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5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56" w14:textId="77777777" w:rsidR="00980E5F" w:rsidRDefault="00483613">
            <w:pPr>
              <w:jc w:val="right"/>
              <w:textAlignment w:val="bottom"/>
            </w:pPr>
            <w:r>
              <w:rPr>
                <w:rFonts w:ascii="Arial" w:eastAsia="宋体" w:hAnsi="Arial" w:cs="Arial"/>
                <w:b/>
                <w:bCs/>
                <w:color w:val="000000"/>
                <w:sz w:val="14"/>
                <w:szCs w:val="14"/>
              </w:rPr>
              <w:t>131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5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5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5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5E" w14:textId="77777777" w:rsidR="00980E5F" w:rsidRDefault="00483613">
            <w:pPr>
              <w:jc w:val="right"/>
              <w:textAlignment w:val="bottom"/>
            </w:pPr>
            <w:r>
              <w:rPr>
                <w:rFonts w:ascii="Arial" w:eastAsia="宋体" w:hAnsi="Arial" w:cs="Arial"/>
                <w:b/>
                <w:bCs/>
                <w:color w:val="000000"/>
                <w:sz w:val="14"/>
                <w:szCs w:val="14"/>
              </w:rPr>
              <w:t>131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5F" w14:textId="77777777" w:rsidR="00980E5F" w:rsidRDefault="00980E5F">
            <w:pPr>
              <w:jc w:val="right"/>
              <w:rPr>
                <w:rFonts w:ascii="宋体"/>
              </w:rPr>
            </w:pPr>
          </w:p>
        </w:tc>
      </w:tr>
      <w:tr w:rsidR="00980E5F" w14:paraId="392C406F" w14:textId="77777777">
        <w:tc>
          <w:tcPr>
            <w:tcW w:w="0" w:type="auto"/>
            <w:gridSpan w:val="3"/>
            <w:shd w:val="clear" w:color="auto" w:fill="CCEEFF"/>
            <w:tcMar>
              <w:top w:w="40" w:type="dxa"/>
              <w:left w:w="245" w:type="dxa"/>
              <w:bottom w:w="40" w:type="dxa"/>
              <w:right w:w="20" w:type="dxa"/>
            </w:tcMar>
            <w:vAlign w:val="bottom"/>
          </w:tcPr>
          <w:p w14:paraId="392C4061"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392C406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65" w14:textId="77777777" w:rsidR="00980E5F" w:rsidRDefault="00483613">
            <w:pPr>
              <w:jc w:val="right"/>
              <w:textAlignment w:val="bottom"/>
            </w:pPr>
            <w:r>
              <w:rPr>
                <w:rFonts w:ascii="Arial" w:eastAsia="宋体" w:hAnsi="Arial" w:cs="Arial"/>
                <w:b/>
                <w:bCs/>
                <w:color w:val="000000"/>
                <w:sz w:val="14"/>
                <w:szCs w:val="14"/>
              </w:rPr>
              <w:t>558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6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6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6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6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6D" w14:textId="77777777" w:rsidR="00980E5F" w:rsidRDefault="00483613">
            <w:pPr>
              <w:jc w:val="right"/>
              <w:textAlignment w:val="bottom"/>
            </w:pPr>
            <w:r>
              <w:rPr>
                <w:rFonts w:ascii="Arial" w:eastAsia="宋体" w:hAnsi="Arial" w:cs="Arial"/>
                <w:b/>
                <w:bCs/>
                <w:color w:val="000000"/>
                <w:sz w:val="14"/>
                <w:szCs w:val="14"/>
              </w:rPr>
              <w:t>558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6E" w14:textId="77777777" w:rsidR="00980E5F" w:rsidRDefault="00980E5F">
            <w:pPr>
              <w:jc w:val="right"/>
              <w:rPr>
                <w:rFonts w:ascii="宋体"/>
              </w:rPr>
            </w:pPr>
          </w:p>
        </w:tc>
      </w:tr>
      <w:tr w:rsidR="00980E5F" w14:paraId="392C407A" w14:textId="77777777">
        <w:trPr>
          <w:hidden/>
        </w:trPr>
        <w:tc>
          <w:tcPr>
            <w:tcW w:w="0" w:type="auto"/>
            <w:gridSpan w:val="3"/>
            <w:shd w:val="clear" w:color="auto" w:fill="auto"/>
            <w:vAlign w:val="bottom"/>
          </w:tcPr>
          <w:p w14:paraId="392C4070" w14:textId="77777777" w:rsidR="00980E5F" w:rsidRDefault="00980E5F">
            <w:pPr>
              <w:rPr>
                <w:rFonts w:ascii="宋体"/>
                <w:vanish/>
              </w:rPr>
            </w:pPr>
          </w:p>
        </w:tc>
        <w:tc>
          <w:tcPr>
            <w:tcW w:w="0" w:type="auto"/>
            <w:gridSpan w:val="3"/>
            <w:shd w:val="clear" w:color="auto" w:fill="auto"/>
            <w:vAlign w:val="bottom"/>
          </w:tcPr>
          <w:p w14:paraId="392C4071" w14:textId="77777777" w:rsidR="00980E5F" w:rsidRDefault="00980E5F">
            <w:pPr>
              <w:rPr>
                <w:rFonts w:ascii="宋体"/>
                <w:vanish/>
              </w:rPr>
            </w:pPr>
          </w:p>
        </w:tc>
        <w:tc>
          <w:tcPr>
            <w:tcW w:w="0" w:type="auto"/>
            <w:gridSpan w:val="3"/>
            <w:shd w:val="clear" w:color="auto" w:fill="auto"/>
            <w:vAlign w:val="bottom"/>
          </w:tcPr>
          <w:p w14:paraId="392C4072" w14:textId="77777777" w:rsidR="00980E5F" w:rsidRDefault="00980E5F">
            <w:pPr>
              <w:rPr>
                <w:rFonts w:ascii="宋体"/>
                <w:vanish/>
              </w:rPr>
            </w:pPr>
          </w:p>
        </w:tc>
        <w:tc>
          <w:tcPr>
            <w:tcW w:w="0" w:type="auto"/>
            <w:gridSpan w:val="3"/>
            <w:shd w:val="clear" w:color="auto" w:fill="auto"/>
            <w:vAlign w:val="bottom"/>
          </w:tcPr>
          <w:p w14:paraId="392C4073" w14:textId="77777777" w:rsidR="00980E5F" w:rsidRDefault="00980E5F">
            <w:pPr>
              <w:rPr>
                <w:rFonts w:ascii="宋体"/>
                <w:vanish/>
              </w:rPr>
            </w:pPr>
          </w:p>
        </w:tc>
        <w:tc>
          <w:tcPr>
            <w:tcW w:w="0" w:type="auto"/>
            <w:gridSpan w:val="3"/>
            <w:shd w:val="clear" w:color="auto" w:fill="auto"/>
            <w:vAlign w:val="bottom"/>
          </w:tcPr>
          <w:p w14:paraId="392C4074" w14:textId="77777777" w:rsidR="00980E5F" w:rsidRDefault="00980E5F">
            <w:pPr>
              <w:rPr>
                <w:rFonts w:ascii="宋体"/>
                <w:vanish/>
              </w:rPr>
            </w:pPr>
          </w:p>
        </w:tc>
        <w:tc>
          <w:tcPr>
            <w:tcW w:w="0" w:type="auto"/>
            <w:gridSpan w:val="3"/>
            <w:shd w:val="clear" w:color="auto" w:fill="auto"/>
            <w:vAlign w:val="bottom"/>
          </w:tcPr>
          <w:p w14:paraId="392C4075" w14:textId="77777777" w:rsidR="00980E5F" w:rsidRDefault="00980E5F">
            <w:pPr>
              <w:rPr>
                <w:rFonts w:ascii="宋体"/>
                <w:vanish/>
              </w:rPr>
            </w:pPr>
          </w:p>
        </w:tc>
        <w:tc>
          <w:tcPr>
            <w:tcW w:w="0" w:type="auto"/>
            <w:gridSpan w:val="3"/>
            <w:shd w:val="clear" w:color="auto" w:fill="auto"/>
            <w:vAlign w:val="bottom"/>
          </w:tcPr>
          <w:p w14:paraId="392C4076" w14:textId="77777777" w:rsidR="00980E5F" w:rsidRDefault="00980E5F">
            <w:pPr>
              <w:rPr>
                <w:rFonts w:ascii="宋体"/>
                <w:vanish/>
              </w:rPr>
            </w:pPr>
          </w:p>
        </w:tc>
        <w:tc>
          <w:tcPr>
            <w:tcW w:w="0" w:type="auto"/>
            <w:gridSpan w:val="3"/>
            <w:shd w:val="clear" w:color="auto" w:fill="auto"/>
            <w:vAlign w:val="bottom"/>
          </w:tcPr>
          <w:p w14:paraId="392C4077" w14:textId="77777777" w:rsidR="00980E5F" w:rsidRDefault="00980E5F">
            <w:pPr>
              <w:rPr>
                <w:rFonts w:ascii="宋体"/>
                <w:vanish/>
              </w:rPr>
            </w:pPr>
          </w:p>
        </w:tc>
        <w:tc>
          <w:tcPr>
            <w:tcW w:w="0" w:type="auto"/>
            <w:gridSpan w:val="3"/>
            <w:shd w:val="clear" w:color="auto" w:fill="auto"/>
            <w:vAlign w:val="bottom"/>
          </w:tcPr>
          <w:p w14:paraId="392C4078" w14:textId="77777777" w:rsidR="00980E5F" w:rsidRDefault="00980E5F">
            <w:pPr>
              <w:rPr>
                <w:rFonts w:ascii="宋体"/>
                <w:vanish/>
              </w:rPr>
            </w:pPr>
          </w:p>
        </w:tc>
        <w:tc>
          <w:tcPr>
            <w:tcW w:w="0" w:type="auto"/>
            <w:gridSpan w:val="3"/>
            <w:shd w:val="clear" w:color="auto" w:fill="auto"/>
            <w:vAlign w:val="bottom"/>
          </w:tcPr>
          <w:p w14:paraId="392C4079" w14:textId="77777777" w:rsidR="00980E5F" w:rsidRDefault="00980E5F">
            <w:pPr>
              <w:rPr>
                <w:rFonts w:ascii="宋体"/>
                <w:vanish/>
              </w:rPr>
            </w:pPr>
          </w:p>
        </w:tc>
      </w:tr>
      <w:tr w:rsidR="00980E5F" w14:paraId="392C4089" w14:textId="77777777">
        <w:tc>
          <w:tcPr>
            <w:tcW w:w="0" w:type="auto"/>
            <w:gridSpan w:val="3"/>
            <w:shd w:val="clear" w:color="auto" w:fill="FFFFFF"/>
            <w:tcMar>
              <w:top w:w="40" w:type="dxa"/>
              <w:left w:w="740" w:type="dxa"/>
              <w:bottom w:w="40" w:type="dxa"/>
              <w:right w:w="20" w:type="dxa"/>
            </w:tcMar>
            <w:vAlign w:val="bottom"/>
          </w:tcPr>
          <w:p w14:paraId="392C407B" w14:textId="77777777" w:rsidR="00980E5F" w:rsidRDefault="00483613">
            <w:pPr>
              <w:textAlignment w:val="bottom"/>
            </w:pPr>
            <w:r>
              <w:rPr>
                <w:rFonts w:ascii="Arial" w:eastAsia="宋体" w:hAnsi="Arial" w:cs="Arial"/>
                <w:color w:val="000000"/>
                <w:sz w:val="14"/>
                <w:szCs w:val="14"/>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07C" w14:textId="77777777" w:rsidR="00980E5F" w:rsidRDefault="00483613">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0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7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07F" w14:textId="77777777" w:rsidR="00980E5F" w:rsidRDefault="00483613">
            <w:pPr>
              <w:jc w:val="right"/>
              <w:textAlignment w:val="bottom"/>
            </w:pPr>
            <w:r>
              <w:rPr>
                <w:rFonts w:ascii="Arial" w:eastAsia="宋体" w:hAnsi="Arial" w:cs="Arial"/>
                <w:b/>
                <w:bCs/>
                <w:color w:val="000000"/>
                <w:sz w:val="14"/>
                <w:szCs w:val="14"/>
              </w:rPr>
              <w:t>689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0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8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08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0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8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8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087" w14:textId="77777777" w:rsidR="00980E5F" w:rsidRDefault="00483613">
            <w:pPr>
              <w:jc w:val="right"/>
              <w:textAlignment w:val="bottom"/>
            </w:pPr>
            <w:r>
              <w:rPr>
                <w:rFonts w:ascii="Arial" w:eastAsia="宋体" w:hAnsi="Arial" w:cs="Arial"/>
                <w:b/>
                <w:bCs/>
                <w:color w:val="000000"/>
                <w:sz w:val="14"/>
                <w:szCs w:val="14"/>
              </w:rPr>
              <w:t>728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088" w14:textId="77777777" w:rsidR="00980E5F" w:rsidRDefault="00980E5F">
            <w:pPr>
              <w:jc w:val="right"/>
              <w:rPr>
                <w:rFonts w:ascii="宋体"/>
              </w:rPr>
            </w:pPr>
          </w:p>
        </w:tc>
      </w:tr>
      <w:tr w:rsidR="00980E5F" w14:paraId="392C4094" w14:textId="77777777">
        <w:tc>
          <w:tcPr>
            <w:tcW w:w="0" w:type="auto"/>
            <w:gridSpan w:val="3"/>
            <w:shd w:val="clear" w:color="auto" w:fill="CCEEFF"/>
            <w:tcMar>
              <w:top w:w="40" w:type="dxa"/>
              <w:left w:w="20" w:type="dxa"/>
              <w:bottom w:w="40" w:type="dxa"/>
              <w:right w:w="20" w:type="dxa"/>
            </w:tcMar>
            <w:vAlign w:val="bottom"/>
          </w:tcPr>
          <w:p w14:paraId="392C408A" w14:textId="77777777" w:rsidR="00980E5F" w:rsidRDefault="00483613">
            <w:pPr>
              <w:textAlignment w:val="bottom"/>
            </w:pPr>
            <w:r>
              <w:rPr>
                <w:rFonts w:ascii="Arial" w:eastAsia="宋体" w:hAnsi="Arial" w:cs="Arial"/>
                <w:color w:val="000000"/>
                <w:sz w:val="14"/>
                <w:szCs w:val="14"/>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08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8C"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08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8E"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08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9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9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92"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093" w14:textId="77777777" w:rsidR="00980E5F" w:rsidRDefault="00980E5F">
            <w:pPr>
              <w:rPr>
                <w:rFonts w:ascii="宋体"/>
              </w:rPr>
            </w:pPr>
          </w:p>
        </w:tc>
      </w:tr>
      <w:tr w:rsidR="00980E5F" w14:paraId="392C409F" w14:textId="77777777">
        <w:tc>
          <w:tcPr>
            <w:tcW w:w="0" w:type="auto"/>
            <w:gridSpan w:val="3"/>
            <w:shd w:val="clear" w:color="auto" w:fill="FFFFFF"/>
            <w:tcMar>
              <w:top w:w="40" w:type="dxa"/>
              <w:left w:w="245" w:type="dxa"/>
              <w:bottom w:w="40" w:type="dxa"/>
              <w:right w:w="20" w:type="dxa"/>
            </w:tcMar>
            <w:vAlign w:val="bottom"/>
          </w:tcPr>
          <w:p w14:paraId="392C4095" w14:textId="77777777" w:rsidR="00980E5F" w:rsidRDefault="00483613">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392C409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9E" w14:textId="77777777" w:rsidR="00980E5F" w:rsidRDefault="00980E5F">
            <w:pPr>
              <w:rPr>
                <w:rFonts w:ascii="宋体"/>
              </w:rPr>
            </w:pPr>
          </w:p>
        </w:tc>
      </w:tr>
      <w:tr w:rsidR="00980E5F" w14:paraId="392C40AE" w14:textId="77777777">
        <w:tc>
          <w:tcPr>
            <w:tcW w:w="0" w:type="auto"/>
            <w:gridSpan w:val="3"/>
            <w:shd w:val="clear" w:color="auto" w:fill="CCEEFF"/>
            <w:tcMar>
              <w:top w:w="40" w:type="dxa"/>
              <w:left w:w="245" w:type="dxa"/>
              <w:bottom w:w="40" w:type="dxa"/>
              <w:right w:w="20" w:type="dxa"/>
            </w:tcMar>
            <w:vAlign w:val="bottom"/>
          </w:tcPr>
          <w:p w14:paraId="392C40A0" w14:textId="77777777" w:rsidR="00980E5F" w:rsidRDefault="00483613">
            <w:pPr>
              <w:textAlignment w:val="bottom"/>
            </w:pPr>
            <w:r>
              <w:rPr>
                <w:rFonts w:ascii="Arial" w:eastAsia="宋体" w:hAnsi="Arial" w:cs="Arial"/>
                <w:color w:val="000000"/>
                <w:sz w:val="14"/>
                <w:szCs w:val="14"/>
              </w:rPr>
              <w:t>Direct obligations</w:t>
            </w:r>
          </w:p>
        </w:tc>
        <w:tc>
          <w:tcPr>
            <w:tcW w:w="0" w:type="auto"/>
            <w:gridSpan w:val="2"/>
            <w:shd w:val="clear" w:color="auto" w:fill="CCEEFF"/>
            <w:tcMar>
              <w:top w:w="40" w:type="dxa"/>
              <w:left w:w="20" w:type="dxa"/>
              <w:bottom w:w="40" w:type="dxa"/>
              <w:right w:w="0" w:type="dxa"/>
            </w:tcMar>
            <w:vAlign w:val="bottom"/>
          </w:tcPr>
          <w:p w14:paraId="392C40A1" w14:textId="77777777" w:rsidR="00980E5F" w:rsidRDefault="00483613">
            <w:pPr>
              <w:jc w:val="right"/>
              <w:textAlignment w:val="bottom"/>
            </w:pPr>
            <w:r>
              <w:rPr>
                <w:rFonts w:ascii="Arial" w:eastAsia="宋体" w:hAnsi="Arial" w:cs="Arial"/>
                <w:b/>
                <w:bCs/>
                <w:color w:val="000000"/>
                <w:sz w:val="14"/>
                <w:szCs w:val="14"/>
              </w:rPr>
              <w:t>9,411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A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A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A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A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A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AC" w14:textId="77777777" w:rsidR="00980E5F" w:rsidRDefault="00483613">
            <w:pPr>
              <w:jc w:val="right"/>
              <w:textAlignment w:val="bottom"/>
            </w:pPr>
            <w:r>
              <w:rPr>
                <w:rFonts w:ascii="Arial" w:eastAsia="宋体" w:hAnsi="Arial" w:cs="Arial"/>
                <w:b/>
                <w:bCs/>
                <w:color w:val="000000"/>
                <w:sz w:val="14"/>
                <w:szCs w:val="14"/>
              </w:rPr>
              <w:t>9,411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AD" w14:textId="77777777" w:rsidR="00980E5F" w:rsidRDefault="00980E5F">
            <w:pPr>
              <w:jc w:val="right"/>
              <w:rPr>
                <w:rFonts w:ascii="宋体"/>
              </w:rPr>
            </w:pPr>
          </w:p>
        </w:tc>
      </w:tr>
      <w:tr w:rsidR="00980E5F" w14:paraId="392C40BD" w14:textId="77777777">
        <w:tc>
          <w:tcPr>
            <w:tcW w:w="0" w:type="auto"/>
            <w:gridSpan w:val="3"/>
            <w:shd w:val="clear" w:color="auto" w:fill="FFFFFF"/>
            <w:tcMar>
              <w:top w:w="40" w:type="dxa"/>
              <w:left w:w="245" w:type="dxa"/>
              <w:bottom w:w="40" w:type="dxa"/>
              <w:right w:w="20" w:type="dxa"/>
            </w:tcMar>
            <w:vAlign w:val="bottom"/>
          </w:tcPr>
          <w:p w14:paraId="392C40AF"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392C40B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B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B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B3" w14:textId="77777777" w:rsidR="00980E5F" w:rsidRDefault="00483613">
            <w:pPr>
              <w:jc w:val="right"/>
              <w:textAlignment w:val="bottom"/>
            </w:pPr>
            <w:r>
              <w:rPr>
                <w:rFonts w:ascii="Arial" w:eastAsia="宋体" w:hAnsi="Arial" w:cs="Arial"/>
                <w:b/>
                <w:bCs/>
                <w:color w:val="000000"/>
                <w:sz w:val="14"/>
                <w:szCs w:val="14"/>
              </w:rPr>
              <w:t>10,271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B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B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B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B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B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BB" w14:textId="77777777" w:rsidR="00980E5F" w:rsidRDefault="00483613">
            <w:pPr>
              <w:jc w:val="right"/>
              <w:textAlignment w:val="bottom"/>
            </w:pPr>
            <w:r>
              <w:rPr>
                <w:rFonts w:ascii="Arial" w:eastAsia="宋体" w:hAnsi="Arial" w:cs="Arial"/>
                <w:b/>
                <w:bCs/>
                <w:color w:val="000000"/>
                <w:sz w:val="14"/>
                <w:szCs w:val="14"/>
              </w:rPr>
              <w:t>10,271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BC" w14:textId="77777777" w:rsidR="00980E5F" w:rsidRDefault="00980E5F">
            <w:pPr>
              <w:jc w:val="right"/>
              <w:rPr>
                <w:rFonts w:ascii="宋体"/>
              </w:rPr>
            </w:pPr>
          </w:p>
        </w:tc>
      </w:tr>
      <w:tr w:rsidR="00980E5F" w14:paraId="392C40CC" w14:textId="77777777">
        <w:tc>
          <w:tcPr>
            <w:tcW w:w="0" w:type="auto"/>
            <w:gridSpan w:val="3"/>
            <w:shd w:val="clear" w:color="auto" w:fill="CCEEFF"/>
            <w:tcMar>
              <w:top w:w="40" w:type="dxa"/>
              <w:left w:w="740" w:type="dxa"/>
              <w:bottom w:w="40" w:type="dxa"/>
              <w:right w:w="20" w:type="dxa"/>
            </w:tcMar>
            <w:vAlign w:val="bottom"/>
          </w:tcPr>
          <w:p w14:paraId="392C40BE" w14:textId="77777777" w:rsidR="00980E5F" w:rsidRDefault="00483613">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0BF" w14:textId="77777777" w:rsidR="00980E5F" w:rsidRDefault="00483613">
            <w:pPr>
              <w:jc w:val="right"/>
              <w:textAlignment w:val="bottom"/>
            </w:pPr>
            <w:r>
              <w:rPr>
                <w:rFonts w:ascii="Arial" w:eastAsia="宋体" w:hAnsi="Arial" w:cs="Arial"/>
                <w:b/>
                <w:bCs/>
                <w:color w:val="000000"/>
                <w:sz w:val="14"/>
                <w:szCs w:val="14"/>
              </w:rPr>
              <w:t>9,411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0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C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0C2" w14:textId="77777777" w:rsidR="00980E5F" w:rsidRDefault="00483613">
            <w:pPr>
              <w:jc w:val="right"/>
              <w:textAlignment w:val="bottom"/>
            </w:pPr>
            <w:r>
              <w:rPr>
                <w:rFonts w:ascii="Arial" w:eastAsia="宋体" w:hAnsi="Arial" w:cs="Arial"/>
                <w:b/>
                <w:bCs/>
                <w:color w:val="000000"/>
                <w:sz w:val="14"/>
                <w:szCs w:val="14"/>
              </w:rPr>
              <w:t>10,271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0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C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0C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0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C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C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C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0CA" w14:textId="77777777" w:rsidR="00980E5F" w:rsidRDefault="00483613">
            <w:pPr>
              <w:jc w:val="right"/>
              <w:textAlignment w:val="bottom"/>
            </w:pPr>
            <w:r>
              <w:rPr>
                <w:rFonts w:ascii="Arial" w:eastAsia="宋体" w:hAnsi="Arial" w:cs="Arial"/>
                <w:b/>
                <w:bCs/>
                <w:color w:val="000000"/>
                <w:sz w:val="14"/>
                <w:szCs w:val="14"/>
              </w:rPr>
              <w:t>19,682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0CB" w14:textId="77777777" w:rsidR="00980E5F" w:rsidRDefault="00980E5F">
            <w:pPr>
              <w:jc w:val="right"/>
              <w:rPr>
                <w:rFonts w:ascii="宋体"/>
              </w:rPr>
            </w:pPr>
          </w:p>
        </w:tc>
      </w:tr>
      <w:tr w:rsidR="00980E5F" w14:paraId="392C40D7" w14:textId="77777777">
        <w:tc>
          <w:tcPr>
            <w:tcW w:w="0" w:type="auto"/>
            <w:gridSpan w:val="3"/>
            <w:shd w:val="clear" w:color="auto" w:fill="FFFFFF"/>
            <w:tcMar>
              <w:top w:w="40" w:type="dxa"/>
              <w:left w:w="245" w:type="dxa"/>
              <w:bottom w:w="40" w:type="dxa"/>
              <w:right w:w="20" w:type="dxa"/>
            </w:tcMar>
            <w:vAlign w:val="bottom"/>
          </w:tcPr>
          <w:p w14:paraId="392C40CD" w14:textId="77777777" w:rsidR="00980E5F" w:rsidRDefault="00483613">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392C40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C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D6" w14:textId="77777777" w:rsidR="00980E5F" w:rsidRDefault="00980E5F">
            <w:pPr>
              <w:rPr>
                <w:rFonts w:ascii="宋体"/>
              </w:rPr>
            </w:pPr>
          </w:p>
        </w:tc>
      </w:tr>
      <w:tr w:rsidR="00980E5F" w14:paraId="392C40E6" w14:textId="77777777">
        <w:tc>
          <w:tcPr>
            <w:tcW w:w="0" w:type="auto"/>
            <w:gridSpan w:val="3"/>
            <w:shd w:val="clear" w:color="auto" w:fill="CCEEFF"/>
            <w:tcMar>
              <w:top w:w="40" w:type="dxa"/>
              <w:left w:w="515" w:type="dxa"/>
              <w:bottom w:w="40" w:type="dxa"/>
              <w:right w:w="20" w:type="dxa"/>
            </w:tcMar>
            <w:vAlign w:val="bottom"/>
          </w:tcPr>
          <w:p w14:paraId="392C40D8"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392C40D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D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DC" w14:textId="77777777" w:rsidR="00980E5F" w:rsidRDefault="00483613">
            <w:pPr>
              <w:jc w:val="right"/>
              <w:textAlignment w:val="bottom"/>
            </w:pPr>
            <w:r>
              <w:rPr>
                <w:rFonts w:ascii="Arial" w:eastAsia="宋体" w:hAnsi="Arial" w:cs="Arial"/>
                <w:b/>
                <w:bCs/>
                <w:color w:val="000000"/>
                <w:sz w:val="14"/>
                <w:szCs w:val="14"/>
              </w:rPr>
              <w:t>1,959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D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D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E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E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0E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E4" w14:textId="77777777" w:rsidR="00980E5F" w:rsidRDefault="00483613">
            <w:pPr>
              <w:jc w:val="right"/>
              <w:textAlignment w:val="bottom"/>
            </w:pPr>
            <w:r>
              <w:rPr>
                <w:rFonts w:ascii="Arial" w:eastAsia="宋体" w:hAnsi="Arial" w:cs="Arial"/>
                <w:b/>
                <w:bCs/>
                <w:color w:val="000000"/>
                <w:sz w:val="14"/>
                <w:szCs w:val="14"/>
              </w:rPr>
              <w:t>1,959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E5" w14:textId="77777777" w:rsidR="00980E5F" w:rsidRDefault="00980E5F">
            <w:pPr>
              <w:jc w:val="right"/>
              <w:rPr>
                <w:rFonts w:ascii="宋体"/>
              </w:rPr>
            </w:pPr>
          </w:p>
        </w:tc>
      </w:tr>
      <w:tr w:rsidR="00980E5F" w14:paraId="392C40F5" w14:textId="77777777">
        <w:tc>
          <w:tcPr>
            <w:tcW w:w="0" w:type="auto"/>
            <w:gridSpan w:val="3"/>
            <w:shd w:val="clear" w:color="auto" w:fill="FFFFFF"/>
            <w:tcMar>
              <w:top w:w="40" w:type="dxa"/>
              <w:left w:w="515" w:type="dxa"/>
              <w:bottom w:w="40" w:type="dxa"/>
              <w:right w:w="20" w:type="dxa"/>
            </w:tcMar>
            <w:vAlign w:val="bottom"/>
          </w:tcPr>
          <w:p w14:paraId="392C40E7"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392C40E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EB" w14:textId="77777777" w:rsidR="00980E5F" w:rsidRDefault="00483613">
            <w:pPr>
              <w:jc w:val="right"/>
              <w:textAlignment w:val="bottom"/>
            </w:pPr>
            <w:r>
              <w:rPr>
                <w:rFonts w:ascii="Arial" w:eastAsia="宋体" w:hAnsi="Arial" w:cs="Arial"/>
                <w:b/>
                <w:bCs/>
                <w:color w:val="000000"/>
                <w:sz w:val="14"/>
                <w:szCs w:val="14"/>
              </w:rPr>
              <w:t>1,876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E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E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0F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0F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0F3" w14:textId="77777777" w:rsidR="00980E5F" w:rsidRDefault="00483613">
            <w:pPr>
              <w:jc w:val="right"/>
              <w:textAlignment w:val="bottom"/>
            </w:pPr>
            <w:r>
              <w:rPr>
                <w:rFonts w:ascii="Arial" w:eastAsia="宋体" w:hAnsi="Arial" w:cs="Arial"/>
                <w:b/>
                <w:bCs/>
                <w:color w:val="000000"/>
                <w:sz w:val="14"/>
                <w:szCs w:val="14"/>
              </w:rPr>
              <w:t>1,876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0F4" w14:textId="77777777" w:rsidR="00980E5F" w:rsidRDefault="00980E5F">
            <w:pPr>
              <w:jc w:val="right"/>
              <w:rPr>
                <w:rFonts w:ascii="宋体"/>
              </w:rPr>
            </w:pPr>
          </w:p>
        </w:tc>
      </w:tr>
      <w:tr w:rsidR="00980E5F" w14:paraId="392C4104" w14:textId="77777777">
        <w:tc>
          <w:tcPr>
            <w:tcW w:w="0" w:type="auto"/>
            <w:gridSpan w:val="3"/>
            <w:shd w:val="clear" w:color="auto" w:fill="CCEEFF"/>
            <w:tcMar>
              <w:top w:w="40" w:type="dxa"/>
              <w:left w:w="515" w:type="dxa"/>
              <w:bottom w:w="40" w:type="dxa"/>
              <w:right w:w="20" w:type="dxa"/>
            </w:tcMar>
            <w:vAlign w:val="bottom"/>
          </w:tcPr>
          <w:p w14:paraId="392C40F6" w14:textId="77777777" w:rsidR="00980E5F" w:rsidRDefault="00483613">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40F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FA" w14:textId="77777777" w:rsidR="00980E5F" w:rsidRDefault="00483613">
            <w:pPr>
              <w:jc w:val="right"/>
              <w:textAlignment w:val="bottom"/>
            </w:pPr>
            <w:r>
              <w:rPr>
                <w:rFonts w:ascii="Arial" w:eastAsia="宋体" w:hAnsi="Arial" w:cs="Arial"/>
                <w:b/>
                <w:bCs/>
                <w:color w:val="000000"/>
                <w:sz w:val="14"/>
                <w:szCs w:val="14"/>
              </w:rPr>
              <w:t>14,927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0F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0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0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02" w14:textId="77777777" w:rsidR="00980E5F" w:rsidRDefault="00483613">
            <w:pPr>
              <w:jc w:val="right"/>
              <w:textAlignment w:val="bottom"/>
            </w:pPr>
            <w:r>
              <w:rPr>
                <w:rFonts w:ascii="Arial" w:eastAsia="宋体" w:hAnsi="Arial" w:cs="Arial"/>
                <w:b/>
                <w:bCs/>
                <w:color w:val="000000"/>
                <w:sz w:val="14"/>
                <w:szCs w:val="14"/>
              </w:rPr>
              <w:t>14,927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03" w14:textId="77777777" w:rsidR="00980E5F" w:rsidRDefault="00980E5F">
            <w:pPr>
              <w:jc w:val="right"/>
              <w:rPr>
                <w:rFonts w:ascii="宋体"/>
              </w:rPr>
            </w:pPr>
          </w:p>
        </w:tc>
      </w:tr>
      <w:tr w:rsidR="00980E5F" w14:paraId="392C4113" w14:textId="77777777">
        <w:tc>
          <w:tcPr>
            <w:tcW w:w="0" w:type="auto"/>
            <w:gridSpan w:val="3"/>
            <w:shd w:val="clear" w:color="auto" w:fill="FFFFFF"/>
            <w:tcMar>
              <w:top w:w="40" w:type="dxa"/>
              <w:left w:w="515" w:type="dxa"/>
              <w:bottom w:w="40" w:type="dxa"/>
              <w:right w:w="20" w:type="dxa"/>
            </w:tcMar>
            <w:vAlign w:val="bottom"/>
          </w:tcPr>
          <w:p w14:paraId="392C4105"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410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09" w14:textId="77777777" w:rsidR="00980E5F" w:rsidRDefault="00483613">
            <w:pPr>
              <w:jc w:val="right"/>
              <w:textAlignment w:val="bottom"/>
            </w:pPr>
            <w:r>
              <w:rPr>
                <w:rFonts w:ascii="Arial" w:eastAsia="宋体" w:hAnsi="Arial" w:cs="Arial"/>
                <w:b/>
                <w:bCs/>
                <w:color w:val="000000"/>
                <w:sz w:val="14"/>
                <w:szCs w:val="14"/>
              </w:rPr>
              <w:t>2,204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0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11" w14:textId="77777777" w:rsidR="00980E5F" w:rsidRDefault="00483613">
            <w:pPr>
              <w:jc w:val="right"/>
              <w:textAlignment w:val="bottom"/>
            </w:pPr>
            <w:r>
              <w:rPr>
                <w:rFonts w:ascii="Arial" w:eastAsia="宋体" w:hAnsi="Arial" w:cs="Arial"/>
                <w:b/>
                <w:bCs/>
                <w:color w:val="000000"/>
                <w:sz w:val="14"/>
                <w:szCs w:val="14"/>
              </w:rPr>
              <w:t>2,204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12" w14:textId="77777777" w:rsidR="00980E5F" w:rsidRDefault="00980E5F">
            <w:pPr>
              <w:jc w:val="right"/>
              <w:rPr>
                <w:rFonts w:ascii="宋体"/>
              </w:rPr>
            </w:pPr>
          </w:p>
        </w:tc>
      </w:tr>
      <w:tr w:rsidR="00980E5F" w14:paraId="392C4122" w14:textId="77777777">
        <w:tc>
          <w:tcPr>
            <w:tcW w:w="0" w:type="auto"/>
            <w:gridSpan w:val="3"/>
            <w:shd w:val="clear" w:color="auto" w:fill="CCEEFF"/>
            <w:tcMar>
              <w:top w:w="40" w:type="dxa"/>
              <w:left w:w="740" w:type="dxa"/>
              <w:bottom w:w="40" w:type="dxa"/>
              <w:right w:w="20" w:type="dxa"/>
            </w:tcMar>
            <w:vAlign w:val="bottom"/>
          </w:tcPr>
          <w:p w14:paraId="392C4114" w14:textId="77777777" w:rsidR="00980E5F" w:rsidRDefault="00483613">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1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1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18" w14:textId="77777777" w:rsidR="00980E5F" w:rsidRDefault="00483613">
            <w:pPr>
              <w:jc w:val="right"/>
              <w:textAlignment w:val="bottom"/>
            </w:pPr>
            <w:r>
              <w:rPr>
                <w:rFonts w:ascii="Arial" w:eastAsia="宋体" w:hAnsi="Arial" w:cs="Arial"/>
                <w:b/>
                <w:bCs/>
                <w:color w:val="000000"/>
                <w:sz w:val="14"/>
                <w:szCs w:val="14"/>
              </w:rPr>
              <w:t>20,966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1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1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1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1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1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20" w14:textId="77777777" w:rsidR="00980E5F" w:rsidRDefault="00483613">
            <w:pPr>
              <w:jc w:val="right"/>
              <w:textAlignment w:val="bottom"/>
            </w:pPr>
            <w:r>
              <w:rPr>
                <w:rFonts w:ascii="Arial" w:eastAsia="宋体" w:hAnsi="Arial" w:cs="Arial"/>
                <w:b/>
                <w:bCs/>
                <w:color w:val="000000"/>
                <w:sz w:val="14"/>
                <w:szCs w:val="14"/>
              </w:rPr>
              <w:t>20,966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21" w14:textId="77777777" w:rsidR="00980E5F" w:rsidRDefault="00980E5F">
            <w:pPr>
              <w:jc w:val="right"/>
              <w:rPr>
                <w:rFonts w:ascii="宋体"/>
              </w:rPr>
            </w:pPr>
          </w:p>
        </w:tc>
      </w:tr>
      <w:tr w:rsidR="00980E5F" w14:paraId="392C412D" w14:textId="77777777">
        <w:tc>
          <w:tcPr>
            <w:tcW w:w="0" w:type="auto"/>
            <w:gridSpan w:val="3"/>
            <w:shd w:val="clear" w:color="auto" w:fill="FFFFFF"/>
            <w:tcMar>
              <w:top w:w="40" w:type="dxa"/>
              <w:left w:w="245" w:type="dxa"/>
              <w:bottom w:w="40" w:type="dxa"/>
              <w:right w:w="20" w:type="dxa"/>
            </w:tcMar>
            <w:vAlign w:val="bottom"/>
          </w:tcPr>
          <w:p w14:paraId="392C4123"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12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2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12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2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1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2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2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2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12C" w14:textId="77777777" w:rsidR="00980E5F" w:rsidRDefault="00980E5F">
            <w:pPr>
              <w:rPr>
                <w:rFonts w:ascii="宋体"/>
              </w:rPr>
            </w:pPr>
          </w:p>
        </w:tc>
      </w:tr>
      <w:tr w:rsidR="00980E5F" w14:paraId="392C413C" w14:textId="77777777">
        <w:tc>
          <w:tcPr>
            <w:tcW w:w="0" w:type="auto"/>
            <w:gridSpan w:val="3"/>
            <w:shd w:val="clear" w:color="auto" w:fill="CCEEFF"/>
            <w:tcMar>
              <w:top w:w="40" w:type="dxa"/>
              <w:left w:w="515" w:type="dxa"/>
              <w:bottom w:w="40" w:type="dxa"/>
              <w:right w:w="20" w:type="dxa"/>
            </w:tcMar>
            <w:vAlign w:val="bottom"/>
          </w:tcPr>
          <w:p w14:paraId="392C412E" w14:textId="77777777" w:rsidR="00980E5F" w:rsidRDefault="00483613">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392C412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32" w14:textId="77777777" w:rsidR="00980E5F" w:rsidRDefault="00483613">
            <w:pPr>
              <w:jc w:val="right"/>
              <w:textAlignment w:val="bottom"/>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3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3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3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3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3A" w14:textId="77777777" w:rsidR="00980E5F" w:rsidRDefault="00483613">
            <w:pPr>
              <w:jc w:val="right"/>
              <w:textAlignment w:val="bottom"/>
            </w:pPr>
            <w:r>
              <w:rPr>
                <w:rFonts w:ascii="Arial" w:eastAsia="宋体" w:hAnsi="Arial" w:cs="Arial"/>
                <w:b/>
                <w:bCs/>
                <w:color w:val="000000"/>
                <w:sz w:val="14"/>
                <w:szCs w:val="14"/>
              </w:rPr>
              <w:t>150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3B" w14:textId="77777777" w:rsidR="00980E5F" w:rsidRDefault="00980E5F">
            <w:pPr>
              <w:jc w:val="right"/>
              <w:rPr>
                <w:rFonts w:ascii="宋体"/>
              </w:rPr>
            </w:pPr>
          </w:p>
        </w:tc>
      </w:tr>
      <w:tr w:rsidR="00980E5F" w14:paraId="392C4147" w14:textId="77777777">
        <w:trPr>
          <w:hidden/>
        </w:trPr>
        <w:tc>
          <w:tcPr>
            <w:tcW w:w="0" w:type="auto"/>
            <w:gridSpan w:val="3"/>
            <w:shd w:val="clear" w:color="auto" w:fill="auto"/>
            <w:vAlign w:val="bottom"/>
          </w:tcPr>
          <w:p w14:paraId="392C413D" w14:textId="77777777" w:rsidR="00980E5F" w:rsidRDefault="00980E5F">
            <w:pPr>
              <w:rPr>
                <w:rFonts w:ascii="宋体"/>
                <w:vanish/>
              </w:rPr>
            </w:pPr>
          </w:p>
        </w:tc>
        <w:tc>
          <w:tcPr>
            <w:tcW w:w="0" w:type="auto"/>
            <w:gridSpan w:val="3"/>
            <w:shd w:val="clear" w:color="auto" w:fill="auto"/>
            <w:vAlign w:val="bottom"/>
          </w:tcPr>
          <w:p w14:paraId="392C413E" w14:textId="77777777" w:rsidR="00980E5F" w:rsidRDefault="00980E5F">
            <w:pPr>
              <w:rPr>
                <w:rFonts w:ascii="宋体"/>
                <w:vanish/>
              </w:rPr>
            </w:pPr>
          </w:p>
        </w:tc>
        <w:tc>
          <w:tcPr>
            <w:tcW w:w="0" w:type="auto"/>
            <w:gridSpan w:val="3"/>
            <w:shd w:val="clear" w:color="auto" w:fill="auto"/>
            <w:vAlign w:val="bottom"/>
          </w:tcPr>
          <w:p w14:paraId="392C413F" w14:textId="77777777" w:rsidR="00980E5F" w:rsidRDefault="00980E5F">
            <w:pPr>
              <w:rPr>
                <w:rFonts w:ascii="宋体"/>
                <w:vanish/>
              </w:rPr>
            </w:pPr>
          </w:p>
        </w:tc>
        <w:tc>
          <w:tcPr>
            <w:tcW w:w="0" w:type="auto"/>
            <w:gridSpan w:val="3"/>
            <w:shd w:val="clear" w:color="auto" w:fill="auto"/>
            <w:vAlign w:val="bottom"/>
          </w:tcPr>
          <w:p w14:paraId="392C4140" w14:textId="77777777" w:rsidR="00980E5F" w:rsidRDefault="00980E5F">
            <w:pPr>
              <w:rPr>
                <w:rFonts w:ascii="宋体"/>
                <w:vanish/>
              </w:rPr>
            </w:pPr>
          </w:p>
        </w:tc>
        <w:tc>
          <w:tcPr>
            <w:tcW w:w="0" w:type="auto"/>
            <w:gridSpan w:val="3"/>
            <w:shd w:val="clear" w:color="auto" w:fill="auto"/>
            <w:vAlign w:val="bottom"/>
          </w:tcPr>
          <w:p w14:paraId="392C4141" w14:textId="77777777" w:rsidR="00980E5F" w:rsidRDefault="00980E5F">
            <w:pPr>
              <w:rPr>
                <w:rFonts w:ascii="宋体"/>
                <w:vanish/>
              </w:rPr>
            </w:pPr>
          </w:p>
        </w:tc>
        <w:tc>
          <w:tcPr>
            <w:tcW w:w="0" w:type="auto"/>
            <w:gridSpan w:val="3"/>
            <w:shd w:val="clear" w:color="auto" w:fill="auto"/>
            <w:vAlign w:val="bottom"/>
          </w:tcPr>
          <w:p w14:paraId="392C4142" w14:textId="77777777" w:rsidR="00980E5F" w:rsidRDefault="00980E5F">
            <w:pPr>
              <w:rPr>
                <w:rFonts w:ascii="宋体"/>
                <w:vanish/>
              </w:rPr>
            </w:pPr>
          </w:p>
        </w:tc>
        <w:tc>
          <w:tcPr>
            <w:tcW w:w="0" w:type="auto"/>
            <w:gridSpan w:val="3"/>
            <w:shd w:val="clear" w:color="auto" w:fill="auto"/>
            <w:vAlign w:val="bottom"/>
          </w:tcPr>
          <w:p w14:paraId="392C4143" w14:textId="77777777" w:rsidR="00980E5F" w:rsidRDefault="00980E5F">
            <w:pPr>
              <w:rPr>
                <w:rFonts w:ascii="宋体"/>
                <w:vanish/>
              </w:rPr>
            </w:pPr>
          </w:p>
        </w:tc>
        <w:tc>
          <w:tcPr>
            <w:tcW w:w="0" w:type="auto"/>
            <w:gridSpan w:val="3"/>
            <w:shd w:val="clear" w:color="auto" w:fill="auto"/>
            <w:vAlign w:val="bottom"/>
          </w:tcPr>
          <w:p w14:paraId="392C4144" w14:textId="77777777" w:rsidR="00980E5F" w:rsidRDefault="00980E5F">
            <w:pPr>
              <w:rPr>
                <w:rFonts w:ascii="宋体"/>
                <w:vanish/>
              </w:rPr>
            </w:pPr>
          </w:p>
        </w:tc>
        <w:tc>
          <w:tcPr>
            <w:tcW w:w="0" w:type="auto"/>
            <w:gridSpan w:val="3"/>
            <w:shd w:val="clear" w:color="auto" w:fill="auto"/>
            <w:vAlign w:val="bottom"/>
          </w:tcPr>
          <w:p w14:paraId="392C4145" w14:textId="77777777" w:rsidR="00980E5F" w:rsidRDefault="00980E5F">
            <w:pPr>
              <w:rPr>
                <w:rFonts w:ascii="宋体"/>
                <w:vanish/>
              </w:rPr>
            </w:pPr>
          </w:p>
        </w:tc>
        <w:tc>
          <w:tcPr>
            <w:tcW w:w="0" w:type="auto"/>
            <w:gridSpan w:val="3"/>
            <w:shd w:val="clear" w:color="auto" w:fill="auto"/>
            <w:vAlign w:val="bottom"/>
          </w:tcPr>
          <w:p w14:paraId="392C4146" w14:textId="77777777" w:rsidR="00980E5F" w:rsidRDefault="00980E5F">
            <w:pPr>
              <w:rPr>
                <w:rFonts w:ascii="宋体"/>
                <w:vanish/>
              </w:rPr>
            </w:pPr>
          </w:p>
        </w:tc>
      </w:tr>
      <w:tr w:rsidR="00980E5F" w14:paraId="392C4152" w14:textId="77777777">
        <w:trPr>
          <w:hidden/>
        </w:trPr>
        <w:tc>
          <w:tcPr>
            <w:tcW w:w="0" w:type="auto"/>
            <w:gridSpan w:val="3"/>
            <w:shd w:val="clear" w:color="auto" w:fill="auto"/>
            <w:vAlign w:val="bottom"/>
          </w:tcPr>
          <w:p w14:paraId="392C4148" w14:textId="77777777" w:rsidR="00980E5F" w:rsidRDefault="00980E5F">
            <w:pPr>
              <w:rPr>
                <w:rFonts w:ascii="宋体"/>
                <w:vanish/>
              </w:rPr>
            </w:pPr>
          </w:p>
        </w:tc>
        <w:tc>
          <w:tcPr>
            <w:tcW w:w="0" w:type="auto"/>
            <w:gridSpan w:val="3"/>
            <w:shd w:val="clear" w:color="auto" w:fill="auto"/>
            <w:vAlign w:val="bottom"/>
          </w:tcPr>
          <w:p w14:paraId="392C4149" w14:textId="77777777" w:rsidR="00980E5F" w:rsidRDefault="00980E5F">
            <w:pPr>
              <w:rPr>
                <w:rFonts w:ascii="宋体"/>
                <w:vanish/>
              </w:rPr>
            </w:pPr>
          </w:p>
        </w:tc>
        <w:tc>
          <w:tcPr>
            <w:tcW w:w="0" w:type="auto"/>
            <w:gridSpan w:val="3"/>
            <w:shd w:val="clear" w:color="auto" w:fill="auto"/>
            <w:vAlign w:val="bottom"/>
          </w:tcPr>
          <w:p w14:paraId="392C414A" w14:textId="77777777" w:rsidR="00980E5F" w:rsidRDefault="00980E5F">
            <w:pPr>
              <w:rPr>
                <w:rFonts w:ascii="宋体"/>
                <w:vanish/>
              </w:rPr>
            </w:pPr>
          </w:p>
        </w:tc>
        <w:tc>
          <w:tcPr>
            <w:tcW w:w="0" w:type="auto"/>
            <w:gridSpan w:val="3"/>
            <w:shd w:val="clear" w:color="auto" w:fill="auto"/>
            <w:vAlign w:val="bottom"/>
          </w:tcPr>
          <w:p w14:paraId="392C414B" w14:textId="77777777" w:rsidR="00980E5F" w:rsidRDefault="00980E5F">
            <w:pPr>
              <w:rPr>
                <w:rFonts w:ascii="宋体"/>
                <w:vanish/>
              </w:rPr>
            </w:pPr>
          </w:p>
        </w:tc>
        <w:tc>
          <w:tcPr>
            <w:tcW w:w="0" w:type="auto"/>
            <w:gridSpan w:val="3"/>
            <w:shd w:val="clear" w:color="auto" w:fill="auto"/>
            <w:vAlign w:val="bottom"/>
          </w:tcPr>
          <w:p w14:paraId="392C414C" w14:textId="77777777" w:rsidR="00980E5F" w:rsidRDefault="00980E5F">
            <w:pPr>
              <w:rPr>
                <w:rFonts w:ascii="宋体"/>
                <w:vanish/>
              </w:rPr>
            </w:pPr>
          </w:p>
        </w:tc>
        <w:tc>
          <w:tcPr>
            <w:tcW w:w="0" w:type="auto"/>
            <w:gridSpan w:val="3"/>
            <w:shd w:val="clear" w:color="auto" w:fill="auto"/>
            <w:vAlign w:val="bottom"/>
          </w:tcPr>
          <w:p w14:paraId="392C414D" w14:textId="77777777" w:rsidR="00980E5F" w:rsidRDefault="00980E5F">
            <w:pPr>
              <w:rPr>
                <w:rFonts w:ascii="宋体"/>
                <w:vanish/>
              </w:rPr>
            </w:pPr>
          </w:p>
        </w:tc>
        <w:tc>
          <w:tcPr>
            <w:tcW w:w="0" w:type="auto"/>
            <w:gridSpan w:val="3"/>
            <w:shd w:val="clear" w:color="auto" w:fill="auto"/>
            <w:vAlign w:val="bottom"/>
          </w:tcPr>
          <w:p w14:paraId="392C414E" w14:textId="77777777" w:rsidR="00980E5F" w:rsidRDefault="00980E5F">
            <w:pPr>
              <w:rPr>
                <w:rFonts w:ascii="宋体"/>
                <w:vanish/>
              </w:rPr>
            </w:pPr>
          </w:p>
        </w:tc>
        <w:tc>
          <w:tcPr>
            <w:tcW w:w="0" w:type="auto"/>
            <w:gridSpan w:val="3"/>
            <w:shd w:val="clear" w:color="auto" w:fill="auto"/>
            <w:vAlign w:val="bottom"/>
          </w:tcPr>
          <w:p w14:paraId="392C414F" w14:textId="77777777" w:rsidR="00980E5F" w:rsidRDefault="00980E5F">
            <w:pPr>
              <w:rPr>
                <w:rFonts w:ascii="宋体"/>
                <w:vanish/>
              </w:rPr>
            </w:pPr>
          </w:p>
        </w:tc>
        <w:tc>
          <w:tcPr>
            <w:tcW w:w="0" w:type="auto"/>
            <w:gridSpan w:val="3"/>
            <w:shd w:val="clear" w:color="auto" w:fill="auto"/>
            <w:vAlign w:val="bottom"/>
          </w:tcPr>
          <w:p w14:paraId="392C4150" w14:textId="77777777" w:rsidR="00980E5F" w:rsidRDefault="00980E5F">
            <w:pPr>
              <w:rPr>
                <w:rFonts w:ascii="宋体"/>
                <w:vanish/>
              </w:rPr>
            </w:pPr>
          </w:p>
        </w:tc>
        <w:tc>
          <w:tcPr>
            <w:tcW w:w="0" w:type="auto"/>
            <w:gridSpan w:val="3"/>
            <w:shd w:val="clear" w:color="auto" w:fill="auto"/>
            <w:vAlign w:val="bottom"/>
          </w:tcPr>
          <w:p w14:paraId="392C4151" w14:textId="77777777" w:rsidR="00980E5F" w:rsidRDefault="00980E5F">
            <w:pPr>
              <w:rPr>
                <w:rFonts w:ascii="宋体"/>
                <w:vanish/>
              </w:rPr>
            </w:pPr>
          </w:p>
        </w:tc>
      </w:tr>
      <w:tr w:rsidR="00980E5F" w14:paraId="392C415D" w14:textId="77777777">
        <w:trPr>
          <w:hidden/>
        </w:trPr>
        <w:tc>
          <w:tcPr>
            <w:tcW w:w="0" w:type="auto"/>
            <w:gridSpan w:val="3"/>
            <w:shd w:val="clear" w:color="auto" w:fill="auto"/>
            <w:vAlign w:val="bottom"/>
          </w:tcPr>
          <w:p w14:paraId="392C4153" w14:textId="77777777" w:rsidR="00980E5F" w:rsidRDefault="00980E5F">
            <w:pPr>
              <w:rPr>
                <w:rFonts w:ascii="宋体"/>
                <w:vanish/>
              </w:rPr>
            </w:pPr>
          </w:p>
        </w:tc>
        <w:tc>
          <w:tcPr>
            <w:tcW w:w="0" w:type="auto"/>
            <w:gridSpan w:val="3"/>
            <w:shd w:val="clear" w:color="auto" w:fill="auto"/>
            <w:vAlign w:val="bottom"/>
          </w:tcPr>
          <w:p w14:paraId="392C4154" w14:textId="77777777" w:rsidR="00980E5F" w:rsidRDefault="00980E5F">
            <w:pPr>
              <w:rPr>
                <w:rFonts w:ascii="宋体"/>
                <w:vanish/>
              </w:rPr>
            </w:pPr>
          </w:p>
        </w:tc>
        <w:tc>
          <w:tcPr>
            <w:tcW w:w="0" w:type="auto"/>
            <w:gridSpan w:val="3"/>
            <w:shd w:val="clear" w:color="auto" w:fill="auto"/>
            <w:vAlign w:val="bottom"/>
          </w:tcPr>
          <w:p w14:paraId="392C4155" w14:textId="77777777" w:rsidR="00980E5F" w:rsidRDefault="00980E5F">
            <w:pPr>
              <w:rPr>
                <w:rFonts w:ascii="宋体"/>
                <w:vanish/>
              </w:rPr>
            </w:pPr>
          </w:p>
        </w:tc>
        <w:tc>
          <w:tcPr>
            <w:tcW w:w="0" w:type="auto"/>
            <w:gridSpan w:val="3"/>
            <w:shd w:val="clear" w:color="auto" w:fill="auto"/>
            <w:vAlign w:val="bottom"/>
          </w:tcPr>
          <w:p w14:paraId="392C4156" w14:textId="77777777" w:rsidR="00980E5F" w:rsidRDefault="00980E5F">
            <w:pPr>
              <w:rPr>
                <w:rFonts w:ascii="宋体"/>
                <w:vanish/>
              </w:rPr>
            </w:pPr>
          </w:p>
        </w:tc>
        <w:tc>
          <w:tcPr>
            <w:tcW w:w="0" w:type="auto"/>
            <w:gridSpan w:val="3"/>
            <w:shd w:val="clear" w:color="auto" w:fill="auto"/>
            <w:vAlign w:val="bottom"/>
          </w:tcPr>
          <w:p w14:paraId="392C4157" w14:textId="77777777" w:rsidR="00980E5F" w:rsidRDefault="00980E5F">
            <w:pPr>
              <w:rPr>
                <w:rFonts w:ascii="宋体"/>
                <w:vanish/>
              </w:rPr>
            </w:pPr>
          </w:p>
        </w:tc>
        <w:tc>
          <w:tcPr>
            <w:tcW w:w="0" w:type="auto"/>
            <w:gridSpan w:val="3"/>
            <w:shd w:val="clear" w:color="auto" w:fill="auto"/>
            <w:vAlign w:val="bottom"/>
          </w:tcPr>
          <w:p w14:paraId="392C4158" w14:textId="77777777" w:rsidR="00980E5F" w:rsidRDefault="00980E5F">
            <w:pPr>
              <w:rPr>
                <w:rFonts w:ascii="宋体"/>
                <w:vanish/>
              </w:rPr>
            </w:pPr>
          </w:p>
        </w:tc>
        <w:tc>
          <w:tcPr>
            <w:tcW w:w="0" w:type="auto"/>
            <w:gridSpan w:val="3"/>
            <w:shd w:val="clear" w:color="auto" w:fill="auto"/>
            <w:vAlign w:val="bottom"/>
          </w:tcPr>
          <w:p w14:paraId="392C4159" w14:textId="77777777" w:rsidR="00980E5F" w:rsidRDefault="00980E5F">
            <w:pPr>
              <w:rPr>
                <w:rFonts w:ascii="宋体"/>
                <w:vanish/>
              </w:rPr>
            </w:pPr>
          </w:p>
        </w:tc>
        <w:tc>
          <w:tcPr>
            <w:tcW w:w="0" w:type="auto"/>
            <w:gridSpan w:val="3"/>
            <w:shd w:val="clear" w:color="auto" w:fill="auto"/>
            <w:vAlign w:val="bottom"/>
          </w:tcPr>
          <w:p w14:paraId="392C415A" w14:textId="77777777" w:rsidR="00980E5F" w:rsidRDefault="00980E5F">
            <w:pPr>
              <w:rPr>
                <w:rFonts w:ascii="宋体"/>
                <w:vanish/>
              </w:rPr>
            </w:pPr>
          </w:p>
        </w:tc>
        <w:tc>
          <w:tcPr>
            <w:tcW w:w="0" w:type="auto"/>
            <w:gridSpan w:val="3"/>
            <w:shd w:val="clear" w:color="auto" w:fill="auto"/>
            <w:vAlign w:val="bottom"/>
          </w:tcPr>
          <w:p w14:paraId="392C415B" w14:textId="77777777" w:rsidR="00980E5F" w:rsidRDefault="00980E5F">
            <w:pPr>
              <w:rPr>
                <w:rFonts w:ascii="宋体"/>
                <w:vanish/>
              </w:rPr>
            </w:pPr>
          </w:p>
        </w:tc>
        <w:tc>
          <w:tcPr>
            <w:tcW w:w="0" w:type="auto"/>
            <w:gridSpan w:val="3"/>
            <w:shd w:val="clear" w:color="auto" w:fill="auto"/>
            <w:vAlign w:val="bottom"/>
          </w:tcPr>
          <w:p w14:paraId="392C415C" w14:textId="77777777" w:rsidR="00980E5F" w:rsidRDefault="00980E5F">
            <w:pPr>
              <w:rPr>
                <w:rFonts w:ascii="宋体"/>
                <w:vanish/>
              </w:rPr>
            </w:pPr>
          </w:p>
        </w:tc>
      </w:tr>
      <w:tr w:rsidR="00980E5F" w14:paraId="392C416C" w14:textId="77777777">
        <w:tc>
          <w:tcPr>
            <w:tcW w:w="0" w:type="auto"/>
            <w:gridSpan w:val="3"/>
            <w:shd w:val="clear" w:color="auto" w:fill="FFFFFF"/>
            <w:tcMar>
              <w:top w:w="40" w:type="dxa"/>
              <w:left w:w="515" w:type="dxa"/>
              <w:bottom w:w="40" w:type="dxa"/>
              <w:right w:w="20" w:type="dxa"/>
            </w:tcMar>
            <w:vAlign w:val="bottom"/>
          </w:tcPr>
          <w:p w14:paraId="392C415E" w14:textId="77777777" w:rsidR="00980E5F" w:rsidRDefault="00483613">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392C415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62" w14:textId="77777777" w:rsidR="00980E5F" w:rsidRDefault="00483613">
            <w:pPr>
              <w:jc w:val="right"/>
              <w:textAlignment w:val="bottom"/>
            </w:pPr>
            <w:r>
              <w:rPr>
                <w:rFonts w:ascii="Arial" w:eastAsia="宋体" w:hAnsi="Arial" w:cs="Arial"/>
                <w:b/>
                <w:bCs/>
                <w:color w:val="000000"/>
                <w:sz w:val="14"/>
                <w:szCs w:val="14"/>
              </w:rPr>
              <w:t>2,334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6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6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6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6A" w14:textId="77777777" w:rsidR="00980E5F" w:rsidRDefault="00483613">
            <w:pPr>
              <w:jc w:val="right"/>
              <w:textAlignment w:val="bottom"/>
            </w:pPr>
            <w:r>
              <w:rPr>
                <w:rFonts w:ascii="Arial" w:eastAsia="宋体" w:hAnsi="Arial" w:cs="Arial"/>
                <w:b/>
                <w:bCs/>
                <w:color w:val="000000"/>
                <w:sz w:val="14"/>
                <w:szCs w:val="14"/>
              </w:rPr>
              <w:t>2,334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6B" w14:textId="77777777" w:rsidR="00980E5F" w:rsidRDefault="00980E5F">
            <w:pPr>
              <w:jc w:val="right"/>
              <w:rPr>
                <w:rFonts w:ascii="宋体"/>
              </w:rPr>
            </w:pPr>
          </w:p>
        </w:tc>
      </w:tr>
      <w:tr w:rsidR="00980E5F" w14:paraId="392C417B" w14:textId="77777777">
        <w:tc>
          <w:tcPr>
            <w:tcW w:w="0" w:type="auto"/>
            <w:gridSpan w:val="3"/>
            <w:shd w:val="clear" w:color="auto" w:fill="CCEEFF"/>
            <w:tcMar>
              <w:top w:w="40" w:type="dxa"/>
              <w:left w:w="20" w:type="dxa"/>
              <w:bottom w:w="40" w:type="dxa"/>
              <w:right w:w="20" w:type="dxa"/>
            </w:tcMar>
            <w:vAlign w:val="bottom"/>
          </w:tcPr>
          <w:p w14:paraId="392C416D" w14:textId="77777777" w:rsidR="00980E5F" w:rsidRDefault="00483613">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416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7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71"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7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7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7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7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79"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7A" w14:textId="77777777" w:rsidR="00980E5F" w:rsidRDefault="00980E5F">
            <w:pPr>
              <w:jc w:val="right"/>
              <w:rPr>
                <w:rFonts w:ascii="宋体"/>
              </w:rPr>
            </w:pPr>
          </w:p>
        </w:tc>
      </w:tr>
      <w:tr w:rsidR="00980E5F" w14:paraId="392C418A" w14:textId="77777777">
        <w:tc>
          <w:tcPr>
            <w:tcW w:w="0" w:type="auto"/>
            <w:gridSpan w:val="3"/>
            <w:shd w:val="clear" w:color="auto" w:fill="FFFFFF"/>
            <w:tcMar>
              <w:top w:w="40" w:type="dxa"/>
              <w:left w:w="515" w:type="dxa"/>
              <w:bottom w:w="40" w:type="dxa"/>
              <w:right w:w="20" w:type="dxa"/>
            </w:tcMar>
            <w:vAlign w:val="bottom"/>
          </w:tcPr>
          <w:p w14:paraId="392C417C"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417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80"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8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8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88"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89" w14:textId="77777777" w:rsidR="00980E5F" w:rsidRDefault="00980E5F">
            <w:pPr>
              <w:jc w:val="right"/>
              <w:rPr>
                <w:rFonts w:ascii="宋体"/>
              </w:rPr>
            </w:pPr>
          </w:p>
        </w:tc>
      </w:tr>
      <w:tr w:rsidR="00980E5F" w14:paraId="392C4199" w14:textId="77777777">
        <w:tc>
          <w:tcPr>
            <w:tcW w:w="0" w:type="auto"/>
            <w:gridSpan w:val="3"/>
            <w:shd w:val="clear" w:color="auto" w:fill="CCEEFF"/>
            <w:tcMar>
              <w:top w:w="40" w:type="dxa"/>
              <w:left w:w="740" w:type="dxa"/>
              <w:bottom w:w="40" w:type="dxa"/>
              <w:right w:w="20" w:type="dxa"/>
            </w:tcMar>
            <w:vAlign w:val="bottom"/>
          </w:tcPr>
          <w:p w14:paraId="392C418B" w14:textId="77777777" w:rsidR="00980E5F" w:rsidRDefault="00483613">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8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8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8F" w14:textId="77777777" w:rsidR="00980E5F" w:rsidRDefault="00483613">
            <w:pPr>
              <w:jc w:val="right"/>
              <w:textAlignment w:val="bottom"/>
            </w:pPr>
            <w:r>
              <w:rPr>
                <w:rFonts w:ascii="Arial" w:eastAsia="宋体" w:hAnsi="Arial" w:cs="Arial"/>
                <w:b/>
                <w:bCs/>
                <w:color w:val="000000"/>
                <w:sz w:val="14"/>
                <w:szCs w:val="14"/>
              </w:rPr>
              <w:t>2,768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9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9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9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9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19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197" w14:textId="77777777" w:rsidR="00980E5F" w:rsidRDefault="00483613">
            <w:pPr>
              <w:jc w:val="right"/>
              <w:textAlignment w:val="bottom"/>
            </w:pPr>
            <w:r>
              <w:rPr>
                <w:rFonts w:ascii="Arial" w:eastAsia="宋体" w:hAnsi="Arial" w:cs="Arial"/>
                <w:b/>
                <w:bCs/>
                <w:color w:val="000000"/>
                <w:sz w:val="14"/>
                <w:szCs w:val="14"/>
              </w:rPr>
              <w:t>2,768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198" w14:textId="77777777" w:rsidR="00980E5F" w:rsidRDefault="00980E5F">
            <w:pPr>
              <w:jc w:val="right"/>
              <w:rPr>
                <w:rFonts w:ascii="宋体"/>
              </w:rPr>
            </w:pPr>
          </w:p>
        </w:tc>
      </w:tr>
      <w:tr w:rsidR="00980E5F" w14:paraId="392C41A4" w14:textId="77777777">
        <w:trPr>
          <w:hidden/>
        </w:trPr>
        <w:tc>
          <w:tcPr>
            <w:tcW w:w="0" w:type="auto"/>
            <w:gridSpan w:val="3"/>
            <w:shd w:val="clear" w:color="auto" w:fill="auto"/>
            <w:vAlign w:val="bottom"/>
          </w:tcPr>
          <w:p w14:paraId="392C419A" w14:textId="77777777" w:rsidR="00980E5F" w:rsidRDefault="00980E5F">
            <w:pPr>
              <w:rPr>
                <w:rFonts w:ascii="宋体"/>
                <w:vanish/>
              </w:rPr>
            </w:pPr>
          </w:p>
        </w:tc>
        <w:tc>
          <w:tcPr>
            <w:tcW w:w="0" w:type="auto"/>
            <w:gridSpan w:val="3"/>
            <w:shd w:val="clear" w:color="auto" w:fill="auto"/>
            <w:vAlign w:val="bottom"/>
          </w:tcPr>
          <w:p w14:paraId="392C419B" w14:textId="77777777" w:rsidR="00980E5F" w:rsidRDefault="00980E5F">
            <w:pPr>
              <w:rPr>
                <w:rFonts w:ascii="宋体"/>
                <w:vanish/>
              </w:rPr>
            </w:pPr>
          </w:p>
        </w:tc>
        <w:tc>
          <w:tcPr>
            <w:tcW w:w="0" w:type="auto"/>
            <w:gridSpan w:val="3"/>
            <w:shd w:val="clear" w:color="auto" w:fill="auto"/>
            <w:vAlign w:val="bottom"/>
          </w:tcPr>
          <w:p w14:paraId="392C419C" w14:textId="77777777" w:rsidR="00980E5F" w:rsidRDefault="00980E5F">
            <w:pPr>
              <w:rPr>
                <w:rFonts w:ascii="宋体"/>
                <w:vanish/>
              </w:rPr>
            </w:pPr>
          </w:p>
        </w:tc>
        <w:tc>
          <w:tcPr>
            <w:tcW w:w="0" w:type="auto"/>
            <w:gridSpan w:val="3"/>
            <w:shd w:val="clear" w:color="auto" w:fill="auto"/>
            <w:vAlign w:val="bottom"/>
          </w:tcPr>
          <w:p w14:paraId="392C419D" w14:textId="77777777" w:rsidR="00980E5F" w:rsidRDefault="00980E5F">
            <w:pPr>
              <w:rPr>
                <w:rFonts w:ascii="宋体"/>
                <w:vanish/>
              </w:rPr>
            </w:pPr>
          </w:p>
        </w:tc>
        <w:tc>
          <w:tcPr>
            <w:tcW w:w="0" w:type="auto"/>
            <w:gridSpan w:val="3"/>
            <w:shd w:val="clear" w:color="auto" w:fill="auto"/>
            <w:vAlign w:val="bottom"/>
          </w:tcPr>
          <w:p w14:paraId="392C419E" w14:textId="77777777" w:rsidR="00980E5F" w:rsidRDefault="00980E5F">
            <w:pPr>
              <w:rPr>
                <w:rFonts w:ascii="宋体"/>
                <w:vanish/>
              </w:rPr>
            </w:pPr>
          </w:p>
        </w:tc>
        <w:tc>
          <w:tcPr>
            <w:tcW w:w="0" w:type="auto"/>
            <w:gridSpan w:val="3"/>
            <w:shd w:val="clear" w:color="auto" w:fill="auto"/>
            <w:vAlign w:val="bottom"/>
          </w:tcPr>
          <w:p w14:paraId="392C419F" w14:textId="77777777" w:rsidR="00980E5F" w:rsidRDefault="00980E5F">
            <w:pPr>
              <w:rPr>
                <w:rFonts w:ascii="宋体"/>
                <w:vanish/>
              </w:rPr>
            </w:pPr>
          </w:p>
        </w:tc>
        <w:tc>
          <w:tcPr>
            <w:tcW w:w="0" w:type="auto"/>
            <w:gridSpan w:val="3"/>
            <w:shd w:val="clear" w:color="auto" w:fill="auto"/>
            <w:vAlign w:val="bottom"/>
          </w:tcPr>
          <w:p w14:paraId="392C41A0" w14:textId="77777777" w:rsidR="00980E5F" w:rsidRDefault="00980E5F">
            <w:pPr>
              <w:rPr>
                <w:rFonts w:ascii="宋体"/>
                <w:vanish/>
              </w:rPr>
            </w:pPr>
          </w:p>
        </w:tc>
        <w:tc>
          <w:tcPr>
            <w:tcW w:w="0" w:type="auto"/>
            <w:gridSpan w:val="3"/>
            <w:shd w:val="clear" w:color="auto" w:fill="auto"/>
            <w:vAlign w:val="bottom"/>
          </w:tcPr>
          <w:p w14:paraId="392C41A1" w14:textId="77777777" w:rsidR="00980E5F" w:rsidRDefault="00980E5F">
            <w:pPr>
              <w:rPr>
                <w:rFonts w:ascii="宋体"/>
                <w:vanish/>
              </w:rPr>
            </w:pPr>
          </w:p>
        </w:tc>
        <w:tc>
          <w:tcPr>
            <w:tcW w:w="0" w:type="auto"/>
            <w:gridSpan w:val="3"/>
            <w:shd w:val="clear" w:color="auto" w:fill="auto"/>
            <w:vAlign w:val="bottom"/>
          </w:tcPr>
          <w:p w14:paraId="392C41A2" w14:textId="77777777" w:rsidR="00980E5F" w:rsidRDefault="00980E5F">
            <w:pPr>
              <w:rPr>
                <w:rFonts w:ascii="宋体"/>
                <w:vanish/>
              </w:rPr>
            </w:pPr>
          </w:p>
        </w:tc>
        <w:tc>
          <w:tcPr>
            <w:tcW w:w="0" w:type="auto"/>
            <w:gridSpan w:val="3"/>
            <w:shd w:val="clear" w:color="auto" w:fill="auto"/>
            <w:vAlign w:val="bottom"/>
          </w:tcPr>
          <w:p w14:paraId="392C41A3" w14:textId="77777777" w:rsidR="00980E5F" w:rsidRDefault="00980E5F">
            <w:pPr>
              <w:rPr>
                <w:rFonts w:ascii="宋体"/>
                <w:vanish/>
              </w:rPr>
            </w:pPr>
          </w:p>
        </w:tc>
      </w:tr>
      <w:tr w:rsidR="00980E5F" w14:paraId="392C41AF" w14:textId="77777777">
        <w:trPr>
          <w:hidden/>
        </w:trPr>
        <w:tc>
          <w:tcPr>
            <w:tcW w:w="0" w:type="auto"/>
            <w:gridSpan w:val="3"/>
            <w:shd w:val="clear" w:color="auto" w:fill="auto"/>
            <w:vAlign w:val="bottom"/>
          </w:tcPr>
          <w:p w14:paraId="392C41A5" w14:textId="77777777" w:rsidR="00980E5F" w:rsidRDefault="00980E5F">
            <w:pPr>
              <w:rPr>
                <w:rFonts w:ascii="宋体"/>
                <w:vanish/>
              </w:rPr>
            </w:pPr>
          </w:p>
        </w:tc>
        <w:tc>
          <w:tcPr>
            <w:tcW w:w="0" w:type="auto"/>
            <w:gridSpan w:val="3"/>
            <w:shd w:val="clear" w:color="auto" w:fill="auto"/>
            <w:vAlign w:val="bottom"/>
          </w:tcPr>
          <w:p w14:paraId="392C41A6" w14:textId="77777777" w:rsidR="00980E5F" w:rsidRDefault="00980E5F">
            <w:pPr>
              <w:rPr>
                <w:rFonts w:ascii="宋体"/>
                <w:vanish/>
              </w:rPr>
            </w:pPr>
          </w:p>
        </w:tc>
        <w:tc>
          <w:tcPr>
            <w:tcW w:w="0" w:type="auto"/>
            <w:gridSpan w:val="3"/>
            <w:shd w:val="clear" w:color="auto" w:fill="auto"/>
            <w:vAlign w:val="bottom"/>
          </w:tcPr>
          <w:p w14:paraId="392C41A7" w14:textId="77777777" w:rsidR="00980E5F" w:rsidRDefault="00980E5F">
            <w:pPr>
              <w:rPr>
                <w:rFonts w:ascii="宋体"/>
                <w:vanish/>
              </w:rPr>
            </w:pPr>
          </w:p>
        </w:tc>
        <w:tc>
          <w:tcPr>
            <w:tcW w:w="0" w:type="auto"/>
            <w:gridSpan w:val="3"/>
            <w:shd w:val="clear" w:color="auto" w:fill="auto"/>
            <w:vAlign w:val="bottom"/>
          </w:tcPr>
          <w:p w14:paraId="392C41A8" w14:textId="77777777" w:rsidR="00980E5F" w:rsidRDefault="00980E5F">
            <w:pPr>
              <w:rPr>
                <w:rFonts w:ascii="宋体"/>
                <w:vanish/>
              </w:rPr>
            </w:pPr>
          </w:p>
        </w:tc>
        <w:tc>
          <w:tcPr>
            <w:tcW w:w="0" w:type="auto"/>
            <w:gridSpan w:val="3"/>
            <w:shd w:val="clear" w:color="auto" w:fill="auto"/>
            <w:vAlign w:val="bottom"/>
          </w:tcPr>
          <w:p w14:paraId="392C41A9" w14:textId="77777777" w:rsidR="00980E5F" w:rsidRDefault="00980E5F">
            <w:pPr>
              <w:rPr>
                <w:rFonts w:ascii="宋体"/>
                <w:vanish/>
              </w:rPr>
            </w:pPr>
          </w:p>
        </w:tc>
        <w:tc>
          <w:tcPr>
            <w:tcW w:w="0" w:type="auto"/>
            <w:gridSpan w:val="3"/>
            <w:shd w:val="clear" w:color="auto" w:fill="auto"/>
            <w:vAlign w:val="bottom"/>
          </w:tcPr>
          <w:p w14:paraId="392C41AA" w14:textId="77777777" w:rsidR="00980E5F" w:rsidRDefault="00980E5F">
            <w:pPr>
              <w:rPr>
                <w:rFonts w:ascii="宋体"/>
                <w:vanish/>
              </w:rPr>
            </w:pPr>
          </w:p>
        </w:tc>
        <w:tc>
          <w:tcPr>
            <w:tcW w:w="0" w:type="auto"/>
            <w:gridSpan w:val="3"/>
            <w:shd w:val="clear" w:color="auto" w:fill="auto"/>
            <w:vAlign w:val="bottom"/>
          </w:tcPr>
          <w:p w14:paraId="392C41AB" w14:textId="77777777" w:rsidR="00980E5F" w:rsidRDefault="00980E5F">
            <w:pPr>
              <w:rPr>
                <w:rFonts w:ascii="宋体"/>
                <w:vanish/>
              </w:rPr>
            </w:pPr>
          </w:p>
        </w:tc>
        <w:tc>
          <w:tcPr>
            <w:tcW w:w="0" w:type="auto"/>
            <w:gridSpan w:val="3"/>
            <w:shd w:val="clear" w:color="auto" w:fill="auto"/>
            <w:vAlign w:val="bottom"/>
          </w:tcPr>
          <w:p w14:paraId="392C41AC" w14:textId="77777777" w:rsidR="00980E5F" w:rsidRDefault="00980E5F">
            <w:pPr>
              <w:rPr>
                <w:rFonts w:ascii="宋体"/>
                <w:vanish/>
              </w:rPr>
            </w:pPr>
          </w:p>
        </w:tc>
        <w:tc>
          <w:tcPr>
            <w:tcW w:w="0" w:type="auto"/>
            <w:gridSpan w:val="3"/>
            <w:shd w:val="clear" w:color="auto" w:fill="auto"/>
            <w:vAlign w:val="bottom"/>
          </w:tcPr>
          <w:p w14:paraId="392C41AD" w14:textId="77777777" w:rsidR="00980E5F" w:rsidRDefault="00980E5F">
            <w:pPr>
              <w:rPr>
                <w:rFonts w:ascii="宋体"/>
                <w:vanish/>
              </w:rPr>
            </w:pPr>
          </w:p>
        </w:tc>
        <w:tc>
          <w:tcPr>
            <w:tcW w:w="0" w:type="auto"/>
            <w:gridSpan w:val="3"/>
            <w:shd w:val="clear" w:color="auto" w:fill="auto"/>
            <w:vAlign w:val="bottom"/>
          </w:tcPr>
          <w:p w14:paraId="392C41AE" w14:textId="77777777" w:rsidR="00980E5F" w:rsidRDefault="00980E5F">
            <w:pPr>
              <w:rPr>
                <w:rFonts w:ascii="宋体"/>
                <w:vanish/>
              </w:rPr>
            </w:pPr>
          </w:p>
        </w:tc>
      </w:tr>
      <w:tr w:rsidR="00980E5F" w14:paraId="392C41BA" w14:textId="77777777">
        <w:trPr>
          <w:hidden/>
        </w:trPr>
        <w:tc>
          <w:tcPr>
            <w:tcW w:w="0" w:type="auto"/>
            <w:gridSpan w:val="3"/>
            <w:shd w:val="clear" w:color="auto" w:fill="auto"/>
            <w:vAlign w:val="bottom"/>
          </w:tcPr>
          <w:p w14:paraId="392C41B0" w14:textId="77777777" w:rsidR="00980E5F" w:rsidRDefault="00980E5F">
            <w:pPr>
              <w:rPr>
                <w:rFonts w:ascii="宋体"/>
                <w:vanish/>
              </w:rPr>
            </w:pPr>
          </w:p>
        </w:tc>
        <w:tc>
          <w:tcPr>
            <w:tcW w:w="0" w:type="auto"/>
            <w:gridSpan w:val="3"/>
            <w:shd w:val="clear" w:color="auto" w:fill="auto"/>
            <w:vAlign w:val="bottom"/>
          </w:tcPr>
          <w:p w14:paraId="392C41B1" w14:textId="77777777" w:rsidR="00980E5F" w:rsidRDefault="00980E5F">
            <w:pPr>
              <w:rPr>
                <w:rFonts w:ascii="宋体"/>
                <w:vanish/>
              </w:rPr>
            </w:pPr>
          </w:p>
        </w:tc>
        <w:tc>
          <w:tcPr>
            <w:tcW w:w="0" w:type="auto"/>
            <w:gridSpan w:val="3"/>
            <w:shd w:val="clear" w:color="auto" w:fill="auto"/>
            <w:vAlign w:val="bottom"/>
          </w:tcPr>
          <w:p w14:paraId="392C41B2" w14:textId="77777777" w:rsidR="00980E5F" w:rsidRDefault="00980E5F">
            <w:pPr>
              <w:rPr>
                <w:rFonts w:ascii="宋体"/>
                <w:vanish/>
              </w:rPr>
            </w:pPr>
          </w:p>
        </w:tc>
        <w:tc>
          <w:tcPr>
            <w:tcW w:w="0" w:type="auto"/>
            <w:gridSpan w:val="3"/>
            <w:shd w:val="clear" w:color="auto" w:fill="auto"/>
            <w:vAlign w:val="bottom"/>
          </w:tcPr>
          <w:p w14:paraId="392C41B3" w14:textId="77777777" w:rsidR="00980E5F" w:rsidRDefault="00980E5F">
            <w:pPr>
              <w:rPr>
                <w:rFonts w:ascii="宋体"/>
                <w:vanish/>
              </w:rPr>
            </w:pPr>
          </w:p>
        </w:tc>
        <w:tc>
          <w:tcPr>
            <w:tcW w:w="0" w:type="auto"/>
            <w:gridSpan w:val="3"/>
            <w:shd w:val="clear" w:color="auto" w:fill="auto"/>
            <w:vAlign w:val="bottom"/>
          </w:tcPr>
          <w:p w14:paraId="392C41B4" w14:textId="77777777" w:rsidR="00980E5F" w:rsidRDefault="00980E5F">
            <w:pPr>
              <w:rPr>
                <w:rFonts w:ascii="宋体"/>
                <w:vanish/>
              </w:rPr>
            </w:pPr>
          </w:p>
        </w:tc>
        <w:tc>
          <w:tcPr>
            <w:tcW w:w="0" w:type="auto"/>
            <w:gridSpan w:val="3"/>
            <w:shd w:val="clear" w:color="auto" w:fill="auto"/>
            <w:vAlign w:val="bottom"/>
          </w:tcPr>
          <w:p w14:paraId="392C41B5" w14:textId="77777777" w:rsidR="00980E5F" w:rsidRDefault="00980E5F">
            <w:pPr>
              <w:rPr>
                <w:rFonts w:ascii="宋体"/>
                <w:vanish/>
              </w:rPr>
            </w:pPr>
          </w:p>
        </w:tc>
        <w:tc>
          <w:tcPr>
            <w:tcW w:w="0" w:type="auto"/>
            <w:gridSpan w:val="3"/>
            <w:shd w:val="clear" w:color="auto" w:fill="auto"/>
            <w:vAlign w:val="bottom"/>
          </w:tcPr>
          <w:p w14:paraId="392C41B6" w14:textId="77777777" w:rsidR="00980E5F" w:rsidRDefault="00980E5F">
            <w:pPr>
              <w:rPr>
                <w:rFonts w:ascii="宋体"/>
                <w:vanish/>
              </w:rPr>
            </w:pPr>
          </w:p>
        </w:tc>
        <w:tc>
          <w:tcPr>
            <w:tcW w:w="0" w:type="auto"/>
            <w:gridSpan w:val="3"/>
            <w:shd w:val="clear" w:color="auto" w:fill="auto"/>
            <w:vAlign w:val="bottom"/>
          </w:tcPr>
          <w:p w14:paraId="392C41B7" w14:textId="77777777" w:rsidR="00980E5F" w:rsidRDefault="00980E5F">
            <w:pPr>
              <w:rPr>
                <w:rFonts w:ascii="宋体"/>
                <w:vanish/>
              </w:rPr>
            </w:pPr>
          </w:p>
        </w:tc>
        <w:tc>
          <w:tcPr>
            <w:tcW w:w="0" w:type="auto"/>
            <w:gridSpan w:val="3"/>
            <w:shd w:val="clear" w:color="auto" w:fill="auto"/>
            <w:vAlign w:val="bottom"/>
          </w:tcPr>
          <w:p w14:paraId="392C41B8" w14:textId="77777777" w:rsidR="00980E5F" w:rsidRDefault="00980E5F">
            <w:pPr>
              <w:rPr>
                <w:rFonts w:ascii="宋体"/>
                <w:vanish/>
              </w:rPr>
            </w:pPr>
          </w:p>
        </w:tc>
        <w:tc>
          <w:tcPr>
            <w:tcW w:w="0" w:type="auto"/>
            <w:gridSpan w:val="3"/>
            <w:shd w:val="clear" w:color="auto" w:fill="auto"/>
            <w:vAlign w:val="bottom"/>
          </w:tcPr>
          <w:p w14:paraId="392C41B9" w14:textId="77777777" w:rsidR="00980E5F" w:rsidRDefault="00980E5F">
            <w:pPr>
              <w:rPr>
                <w:rFonts w:ascii="宋体"/>
                <w:vanish/>
              </w:rPr>
            </w:pPr>
          </w:p>
        </w:tc>
      </w:tr>
      <w:tr w:rsidR="00980E5F" w14:paraId="392C41C5" w14:textId="77777777">
        <w:trPr>
          <w:hidden/>
        </w:trPr>
        <w:tc>
          <w:tcPr>
            <w:tcW w:w="0" w:type="auto"/>
            <w:gridSpan w:val="3"/>
            <w:shd w:val="clear" w:color="auto" w:fill="auto"/>
            <w:vAlign w:val="bottom"/>
          </w:tcPr>
          <w:p w14:paraId="392C41BB" w14:textId="77777777" w:rsidR="00980E5F" w:rsidRDefault="00980E5F">
            <w:pPr>
              <w:rPr>
                <w:rFonts w:ascii="宋体"/>
                <w:vanish/>
              </w:rPr>
            </w:pPr>
          </w:p>
        </w:tc>
        <w:tc>
          <w:tcPr>
            <w:tcW w:w="0" w:type="auto"/>
            <w:gridSpan w:val="3"/>
            <w:shd w:val="clear" w:color="auto" w:fill="auto"/>
            <w:vAlign w:val="bottom"/>
          </w:tcPr>
          <w:p w14:paraId="392C41BC" w14:textId="77777777" w:rsidR="00980E5F" w:rsidRDefault="00980E5F">
            <w:pPr>
              <w:rPr>
                <w:rFonts w:ascii="宋体"/>
                <w:vanish/>
              </w:rPr>
            </w:pPr>
          </w:p>
        </w:tc>
        <w:tc>
          <w:tcPr>
            <w:tcW w:w="0" w:type="auto"/>
            <w:gridSpan w:val="3"/>
            <w:shd w:val="clear" w:color="auto" w:fill="auto"/>
            <w:vAlign w:val="bottom"/>
          </w:tcPr>
          <w:p w14:paraId="392C41BD" w14:textId="77777777" w:rsidR="00980E5F" w:rsidRDefault="00980E5F">
            <w:pPr>
              <w:rPr>
                <w:rFonts w:ascii="宋体"/>
                <w:vanish/>
              </w:rPr>
            </w:pPr>
          </w:p>
        </w:tc>
        <w:tc>
          <w:tcPr>
            <w:tcW w:w="0" w:type="auto"/>
            <w:gridSpan w:val="3"/>
            <w:shd w:val="clear" w:color="auto" w:fill="auto"/>
            <w:vAlign w:val="bottom"/>
          </w:tcPr>
          <w:p w14:paraId="392C41BE" w14:textId="77777777" w:rsidR="00980E5F" w:rsidRDefault="00980E5F">
            <w:pPr>
              <w:rPr>
                <w:rFonts w:ascii="宋体"/>
                <w:vanish/>
              </w:rPr>
            </w:pPr>
          </w:p>
        </w:tc>
        <w:tc>
          <w:tcPr>
            <w:tcW w:w="0" w:type="auto"/>
            <w:gridSpan w:val="3"/>
            <w:shd w:val="clear" w:color="auto" w:fill="auto"/>
            <w:vAlign w:val="bottom"/>
          </w:tcPr>
          <w:p w14:paraId="392C41BF" w14:textId="77777777" w:rsidR="00980E5F" w:rsidRDefault="00980E5F">
            <w:pPr>
              <w:rPr>
                <w:rFonts w:ascii="宋体"/>
                <w:vanish/>
              </w:rPr>
            </w:pPr>
          </w:p>
        </w:tc>
        <w:tc>
          <w:tcPr>
            <w:tcW w:w="0" w:type="auto"/>
            <w:gridSpan w:val="3"/>
            <w:shd w:val="clear" w:color="auto" w:fill="auto"/>
            <w:vAlign w:val="bottom"/>
          </w:tcPr>
          <w:p w14:paraId="392C41C0" w14:textId="77777777" w:rsidR="00980E5F" w:rsidRDefault="00980E5F">
            <w:pPr>
              <w:rPr>
                <w:rFonts w:ascii="宋体"/>
                <w:vanish/>
              </w:rPr>
            </w:pPr>
          </w:p>
        </w:tc>
        <w:tc>
          <w:tcPr>
            <w:tcW w:w="0" w:type="auto"/>
            <w:gridSpan w:val="3"/>
            <w:shd w:val="clear" w:color="auto" w:fill="auto"/>
            <w:vAlign w:val="bottom"/>
          </w:tcPr>
          <w:p w14:paraId="392C41C1" w14:textId="77777777" w:rsidR="00980E5F" w:rsidRDefault="00980E5F">
            <w:pPr>
              <w:rPr>
                <w:rFonts w:ascii="宋体"/>
                <w:vanish/>
              </w:rPr>
            </w:pPr>
          </w:p>
        </w:tc>
        <w:tc>
          <w:tcPr>
            <w:tcW w:w="0" w:type="auto"/>
            <w:gridSpan w:val="3"/>
            <w:shd w:val="clear" w:color="auto" w:fill="auto"/>
            <w:vAlign w:val="bottom"/>
          </w:tcPr>
          <w:p w14:paraId="392C41C2" w14:textId="77777777" w:rsidR="00980E5F" w:rsidRDefault="00980E5F">
            <w:pPr>
              <w:rPr>
                <w:rFonts w:ascii="宋体"/>
                <w:vanish/>
              </w:rPr>
            </w:pPr>
          </w:p>
        </w:tc>
        <w:tc>
          <w:tcPr>
            <w:tcW w:w="0" w:type="auto"/>
            <w:gridSpan w:val="3"/>
            <w:shd w:val="clear" w:color="auto" w:fill="auto"/>
            <w:vAlign w:val="bottom"/>
          </w:tcPr>
          <w:p w14:paraId="392C41C3" w14:textId="77777777" w:rsidR="00980E5F" w:rsidRDefault="00980E5F">
            <w:pPr>
              <w:rPr>
                <w:rFonts w:ascii="宋体"/>
                <w:vanish/>
              </w:rPr>
            </w:pPr>
          </w:p>
        </w:tc>
        <w:tc>
          <w:tcPr>
            <w:tcW w:w="0" w:type="auto"/>
            <w:gridSpan w:val="3"/>
            <w:shd w:val="clear" w:color="auto" w:fill="auto"/>
            <w:vAlign w:val="bottom"/>
          </w:tcPr>
          <w:p w14:paraId="392C41C4" w14:textId="77777777" w:rsidR="00980E5F" w:rsidRDefault="00980E5F">
            <w:pPr>
              <w:rPr>
                <w:rFonts w:ascii="宋体"/>
                <w:vanish/>
              </w:rPr>
            </w:pPr>
          </w:p>
        </w:tc>
      </w:tr>
      <w:tr w:rsidR="00980E5F" w14:paraId="392C41D0" w14:textId="77777777">
        <w:trPr>
          <w:hidden/>
        </w:trPr>
        <w:tc>
          <w:tcPr>
            <w:tcW w:w="0" w:type="auto"/>
            <w:gridSpan w:val="3"/>
            <w:shd w:val="clear" w:color="auto" w:fill="auto"/>
            <w:vAlign w:val="bottom"/>
          </w:tcPr>
          <w:p w14:paraId="392C41C6" w14:textId="77777777" w:rsidR="00980E5F" w:rsidRDefault="00980E5F">
            <w:pPr>
              <w:rPr>
                <w:rFonts w:ascii="宋体"/>
                <w:vanish/>
              </w:rPr>
            </w:pPr>
          </w:p>
        </w:tc>
        <w:tc>
          <w:tcPr>
            <w:tcW w:w="0" w:type="auto"/>
            <w:gridSpan w:val="3"/>
            <w:shd w:val="clear" w:color="auto" w:fill="auto"/>
            <w:vAlign w:val="bottom"/>
          </w:tcPr>
          <w:p w14:paraId="392C41C7" w14:textId="77777777" w:rsidR="00980E5F" w:rsidRDefault="00980E5F">
            <w:pPr>
              <w:rPr>
                <w:rFonts w:ascii="宋体"/>
                <w:vanish/>
              </w:rPr>
            </w:pPr>
          </w:p>
        </w:tc>
        <w:tc>
          <w:tcPr>
            <w:tcW w:w="0" w:type="auto"/>
            <w:gridSpan w:val="3"/>
            <w:shd w:val="clear" w:color="auto" w:fill="auto"/>
            <w:vAlign w:val="bottom"/>
          </w:tcPr>
          <w:p w14:paraId="392C41C8" w14:textId="77777777" w:rsidR="00980E5F" w:rsidRDefault="00980E5F">
            <w:pPr>
              <w:rPr>
                <w:rFonts w:ascii="宋体"/>
                <w:vanish/>
              </w:rPr>
            </w:pPr>
          </w:p>
        </w:tc>
        <w:tc>
          <w:tcPr>
            <w:tcW w:w="0" w:type="auto"/>
            <w:gridSpan w:val="3"/>
            <w:shd w:val="clear" w:color="auto" w:fill="auto"/>
            <w:vAlign w:val="bottom"/>
          </w:tcPr>
          <w:p w14:paraId="392C41C9" w14:textId="77777777" w:rsidR="00980E5F" w:rsidRDefault="00980E5F">
            <w:pPr>
              <w:rPr>
                <w:rFonts w:ascii="宋体"/>
                <w:vanish/>
              </w:rPr>
            </w:pPr>
          </w:p>
        </w:tc>
        <w:tc>
          <w:tcPr>
            <w:tcW w:w="0" w:type="auto"/>
            <w:gridSpan w:val="3"/>
            <w:shd w:val="clear" w:color="auto" w:fill="auto"/>
            <w:vAlign w:val="bottom"/>
          </w:tcPr>
          <w:p w14:paraId="392C41CA" w14:textId="77777777" w:rsidR="00980E5F" w:rsidRDefault="00980E5F">
            <w:pPr>
              <w:rPr>
                <w:rFonts w:ascii="宋体"/>
                <w:vanish/>
              </w:rPr>
            </w:pPr>
          </w:p>
        </w:tc>
        <w:tc>
          <w:tcPr>
            <w:tcW w:w="0" w:type="auto"/>
            <w:gridSpan w:val="3"/>
            <w:shd w:val="clear" w:color="auto" w:fill="auto"/>
            <w:vAlign w:val="bottom"/>
          </w:tcPr>
          <w:p w14:paraId="392C41CB" w14:textId="77777777" w:rsidR="00980E5F" w:rsidRDefault="00980E5F">
            <w:pPr>
              <w:rPr>
                <w:rFonts w:ascii="宋体"/>
                <w:vanish/>
              </w:rPr>
            </w:pPr>
          </w:p>
        </w:tc>
        <w:tc>
          <w:tcPr>
            <w:tcW w:w="0" w:type="auto"/>
            <w:gridSpan w:val="3"/>
            <w:shd w:val="clear" w:color="auto" w:fill="auto"/>
            <w:vAlign w:val="bottom"/>
          </w:tcPr>
          <w:p w14:paraId="392C41CC" w14:textId="77777777" w:rsidR="00980E5F" w:rsidRDefault="00980E5F">
            <w:pPr>
              <w:rPr>
                <w:rFonts w:ascii="宋体"/>
                <w:vanish/>
              </w:rPr>
            </w:pPr>
          </w:p>
        </w:tc>
        <w:tc>
          <w:tcPr>
            <w:tcW w:w="0" w:type="auto"/>
            <w:gridSpan w:val="3"/>
            <w:shd w:val="clear" w:color="auto" w:fill="auto"/>
            <w:vAlign w:val="bottom"/>
          </w:tcPr>
          <w:p w14:paraId="392C41CD" w14:textId="77777777" w:rsidR="00980E5F" w:rsidRDefault="00980E5F">
            <w:pPr>
              <w:rPr>
                <w:rFonts w:ascii="宋体"/>
                <w:vanish/>
              </w:rPr>
            </w:pPr>
          </w:p>
        </w:tc>
        <w:tc>
          <w:tcPr>
            <w:tcW w:w="0" w:type="auto"/>
            <w:gridSpan w:val="3"/>
            <w:shd w:val="clear" w:color="auto" w:fill="auto"/>
            <w:vAlign w:val="bottom"/>
          </w:tcPr>
          <w:p w14:paraId="392C41CE" w14:textId="77777777" w:rsidR="00980E5F" w:rsidRDefault="00980E5F">
            <w:pPr>
              <w:rPr>
                <w:rFonts w:ascii="宋体"/>
                <w:vanish/>
              </w:rPr>
            </w:pPr>
          </w:p>
        </w:tc>
        <w:tc>
          <w:tcPr>
            <w:tcW w:w="0" w:type="auto"/>
            <w:gridSpan w:val="3"/>
            <w:shd w:val="clear" w:color="auto" w:fill="auto"/>
            <w:vAlign w:val="bottom"/>
          </w:tcPr>
          <w:p w14:paraId="392C41CF" w14:textId="77777777" w:rsidR="00980E5F" w:rsidRDefault="00980E5F">
            <w:pPr>
              <w:rPr>
                <w:rFonts w:ascii="宋体"/>
                <w:vanish/>
              </w:rPr>
            </w:pPr>
          </w:p>
        </w:tc>
      </w:tr>
      <w:tr w:rsidR="00980E5F" w14:paraId="392C41DB" w14:textId="77777777">
        <w:trPr>
          <w:hidden/>
        </w:trPr>
        <w:tc>
          <w:tcPr>
            <w:tcW w:w="0" w:type="auto"/>
            <w:gridSpan w:val="3"/>
            <w:shd w:val="clear" w:color="auto" w:fill="auto"/>
            <w:vAlign w:val="bottom"/>
          </w:tcPr>
          <w:p w14:paraId="392C41D1" w14:textId="77777777" w:rsidR="00980E5F" w:rsidRDefault="00980E5F">
            <w:pPr>
              <w:rPr>
                <w:rFonts w:ascii="宋体"/>
                <w:vanish/>
              </w:rPr>
            </w:pPr>
          </w:p>
        </w:tc>
        <w:tc>
          <w:tcPr>
            <w:tcW w:w="0" w:type="auto"/>
            <w:gridSpan w:val="3"/>
            <w:shd w:val="clear" w:color="auto" w:fill="auto"/>
            <w:vAlign w:val="bottom"/>
          </w:tcPr>
          <w:p w14:paraId="392C41D2" w14:textId="77777777" w:rsidR="00980E5F" w:rsidRDefault="00980E5F">
            <w:pPr>
              <w:rPr>
                <w:rFonts w:ascii="宋体"/>
                <w:vanish/>
              </w:rPr>
            </w:pPr>
          </w:p>
        </w:tc>
        <w:tc>
          <w:tcPr>
            <w:tcW w:w="0" w:type="auto"/>
            <w:gridSpan w:val="3"/>
            <w:shd w:val="clear" w:color="auto" w:fill="auto"/>
            <w:vAlign w:val="bottom"/>
          </w:tcPr>
          <w:p w14:paraId="392C41D3" w14:textId="77777777" w:rsidR="00980E5F" w:rsidRDefault="00980E5F">
            <w:pPr>
              <w:rPr>
                <w:rFonts w:ascii="宋体"/>
                <w:vanish/>
              </w:rPr>
            </w:pPr>
          </w:p>
        </w:tc>
        <w:tc>
          <w:tcPr>
            <w:tcW w:w="0" w:type="auto"/>
            <w:gridSpan w:val="3"/>
            <w:shd w:val="clear" w:color="auto" w:fill="auto"/>
            <w:vAlign w:val="bottom"/>
          </w:tcPr>
          <w:p w14:paraId="392C41D4" w14:textId="77777777" w:rsidR="00980E5F" w:rsidRDefault="00980E5F">
            <w:pPr>
              <w:rPr>
                <w:rFonts w:ascii="宋体"/>
                <w:vanish/>
              </w:rPr>
            </w:pPr>
          </w:p>
        </w:tc>
        <w:tc>
          <w:tcPr>
            <w:tcW w:w="0" w:type="auto"/>
            <w:gridSpan w:val="3"/>
            <w:shd w:val="clear" w:color="auto" w:fill="auto"/>
            <w:vAlign w:val="bottom"/>
          </w:tcPr>
          <w:p w14:paraId="392C41D5" w14:textId="77777777" w:rsidR="00980E5F" w:rsidRDefault="00980E5F">
            <w:pPr>
              <w:rPr>
                <w:rFonts w:ascii="宋体"/>
                <w:vanish/>
              </w:rPr>
            </w:pPr>
          </w:p>
        </w:tc>
        <w:tc>
          <w:tcPr>
            <w:tcW w:w="0" w:type="auto"/>
            <w:gridSpan w:val="3"/>
            <w:shd w:val="clear" w:color="auto" w:fill="auto"/>
            <w:vAlign w:val="bottom"/>
          </w:tcPr>
          <w:p w14:paraId="392C41D6" w14:textId="77777777" w:rsidR="00980E5F" w:rsidRDefault="00980E5F">
            <w:pPr>
              <w:rPr>
                <w:rFonts w:ascii="宋体"/>
                <w:vanish/>
              </w:rPr>
            </w:pPr>
          </w:p>
        </w:tc>
        <w:tc>
          <w:tcPr>
            <w:tcW w:w="0" w:type="auto"/>
            <w:gridSpan w:val="3"/>
            <w:shd w:val="clear" w:color="auto" w:fill="auto"/>
            <w:vAlign w:val="bottom"/>
          </w:tcPr>
          <w:p w14:paraId="392C41D7" w14:textId="77777777" w:rsidR="00980E5F" w:rsidRDefault="00980E5F">
            <w:pPr>
              <w:rPr>
                <w:rFonts w:ascii="宋体"/>
                <w:vanish/>
              </w:rPr>
            </w:pPr>
          </w:p>
        </w:tc>
        <w:tc>
          <w:tcPr>
            <w:tcW w:w="0" w:type="auto"/>
            <w:gridSpan w:val="3"/>
            <w:shd w:val="clear" w:color="auto" w:fill="auto"/>
            <w:vAlign w:val="bottom"/>
          </w:tcPr>
          <w:p w14:paraId="392C41D8" w14:textId="77777777" w:rsidR="00980E5F" w:rsidRDefault="00980E5F">
            <w:pPr>
              <w:rPr>
                <w:rFonts w:ascii="宋体"/>
                <w:vanish/>
              </w:rPr>
            </w:pPr>
          </w:p>
        </w:tc>
        <w:tc>
          <w:tcPr>
            <w:tcW w:w="0" w:type="auto"/>
            <w:gridSpan w:val="3"/>
            <w:shd w:val="clear" w:color="auto" w:fill="auto"/>
            <w:vAlign w:val="bottom"/>
          </w:tcPr>
          <w:p w14:paraId="392C41D9" w14:textId="77777777" w:rsidR="00980E5F" w:rsidRDefault="00980E5F">
            <w:pPr>
              <w:rPr>
                <w:rFonts w:ascii="宋体"/>
                <w:vanish/>
              </w:rPr>
            </w:pPr>
          </w:p>
        </w:tc>
        <w:tc>
          <w:tcPr>
            <w:tcW w:w="0" w:type="auto"/>
            <w:gridSpan w:val="3"/>
            <w:shd w:val="clear" w:color="auto" w:fill="auto"/>
            <w:vAlign w:val="bottom"/>
          </w:tcPr>
          <w:p w14:paraId="392C41DA" w14:textId="77777777" w:rsidR="00980E5F" w:rsidRDefault="00980E5F">
            <w:pPr>
              <w:rPr>
                <w:rFonts w:ascii="宋体"/>
                <w:vanish/>
              </w:rPr>
            </w:pPr>
          </w:p>
        </w:tc>
      </w:tr>
      <w:tr w:rsidR="00980E5F" w14:paraId="392C41EA" w14:textId="77777777">
        <w:tc>
          <w:tcPr>
            <w:tcW w:w="0" w:type="auto"/>
            <w:gridSpan w:val="3"/>
            <w:shd w:val="clear" w:color="auto" w:fill="FFFFFF"/>
            <w:tcMar>
              <w:top w:w="40" w:type="dxa"/>
              <w:left w:w="245" w:type="dxa"/>
              <w:bottom w:w="40" w:type="dxa"/>
              <w:right w:w="20" w:type="dxa"/>
            </w:tcMar>
            <w:vAlign w:val="bottom"/>
          </w:tcPr>
          <w:p w14:paraId="392C41DC" w14:textId="77777777" w:rsidR="00980E5F" w:rsidRDefault="00483613">
            <w:pPr>
              <w:textAlignment w:val="bottom"/>
            </w:pPr>
            <w:r>
              <w:rPr>
                <w:rFonts w:ascii="Arial" w:eastAsia="宋体" w:hAnsi="Arial" w:cs="Arial"/>
                <w:color w:val="000000"/>
                <w:sz w:val="14"/>
                <w:szCs w:val="14"/>
              </w:rPr>
              <w:t>State and political subdivisions</w:t>
            </w:r>
          </w:p>
        </w:tc>
        <w:tc>
          <w:tcPr>
            <w:tcW w:w="0" w:type="auto"/>
            <w:gridSpan w:val="2"/>
            <w:shd w:val="clear" w:color="auto" w:fill="FFFFFF"/>
            <w:tcMar>
              <w:top w:w="40" w:type="dxa"/>
              <w:left w:w="20" w:type="dxa"/>
              <w:bottom w:w="40" w:type="dxa"/>
              <w:right w:w="0" w:type="dxa"/>
            </w:tcMar>
            <w:vAlign w:val="bottom"/>
          </w:tcPr>
          <w:p w14:paraId="392C41D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E0" w14:textId="77777777" w:rsidR="00980E5F" w:rsidRDefault="00483613">
            <w:pPr>
              <w:jc w:val="right"/>
              <w:textAlignment w:val="bottom"/>
            </w:pPr>
            <w:r>
              <w:rPr>
                <w:rFonts w:ascii="Arial" w:eastAsia="宋体" w:hAnsi="Arial" w:cs="Arial"/>
                <w:b/>
                <w:bCs/>
                <w:color w:val="000000"/>
                <w:sz w:val="14"/>
                <w:szCs w:val="14"/>
              </w:rPr>
              <w:t>1,034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E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E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1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1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1E8" w14:textId="77777777" w:rsidR="00980E5F" w:rsidRDefault="00483613">
            <w:pPr>
              <w:jc w:val="right"/>
              <w:textAlignment w:val="bottom"/>
            </w:pPr>
            <w:r>
              <w:rPr>
                <w:rFonts w:ascii="Arial" w:eastAsia="宋体" w:hAnsi="Arial" w:cs="Arial"/>
                <w:b/>
                <w:bCs/>
                <w:color w:val="000000"/>
                <w:sz w:val="14"/>
                <w:szCs w:val="14"/>
              </w:rPr>
              <w:t>1,034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1E9" w14:textId="77777777" w:rsidR="00980E5F" w:rsidRDefault="00980E5F">
            <w:pPr>
              <w:jc w:val="right"/>
              <w:rPr>
                <w:rFonts w:ascii="宋体"/>
              </w:rPr>
            </w:pPr>
          </w:p>
        </w:tc>
      </w:tr>
      <w:tr w:rsidR="00980E5F" w14:paraId="392C41F5" w14:textId="77777777">
        <w:trPr>
          <w:hidden/>
        </w:trPr>
        <w:tc>
          <w:tcPr>
            <w:tcW w:w="0" w:type="auto"/>
            <w:gridSpan w:val="3"/>
            <w:shd w:val="clear" w:color="auto" w:fill="auto"/>
            <w:vAlign w:val="bottom"/>
          </w:tcPr>
          <w:p w14:paraId="392C41EB" w14:textId="77777777" w:rsidR="00980E5F" w:rsidRDefault="00980E5F">
            <w:pPr>
              <w:rPr>
                <w:rFonts w:ascii="宋体"/>
                <w:vanish/>
              </w:rPr>
            </w:pPr>
          </w:p>
        </w:tc>
        <w:tc>
          <w:tcPr>
            <w:tcW w:w="0" w:type="auto"/>
            <w:gridSpan w:val="3"/>
            <w:shd w:val="clear" w:color="auto" w:fill="auto"/>
            <w:vAlign w:val="bottom"/>
          </w:tcPr>
          <w:p w14:paraId="392C41EC" w14:textId="77777777" w:rsidR="00980E5F" w:rsidRDefault="00980E5F">
            <w:pPr>
              <w:rPr>
                <w:rFonts w:ascii="宋体"/>
                <w:vanish/>
              </w:rPr>
            </w:pPr>
          </w:p>
        </w:tc>
        <w:tc>
          <w:tcPr>
            <w:tcW w:w="0" w:type="auto"/>
            <w:gridSpan w:val="3"/>
            <w:shd w:val="clear" w:color="auto" w:fill="auto"/>
            <w:vAlign w:val="bottom"/>
          </w:tcPr>
          <w:p w14:paraId="392C41ED" w14:textId="77777777" w:rsidR="00980E5F" w:rsidRDefault="00980E5F">
            <w:pPr>
              <w:rPr>
                <w:rFonts w:ascii="宋体"/>
                <w:vanish/>
              </w:rPr>
            </w:pPr>
          </w:p>
        </w:tc>
        <w:tc>
          <w:tcPr>
            <w:tcW w:w="0" w:type="auto"/>
            <w:gridSpan w:val="3"/>
            <w:shd w:val="clear" w:color="auto" w:fill="auto"/>
            <w:vAlign w:val="bottom"/>
          </w:tcPr>
          <w:p w14:paraId="392C41EE" w14:textId="77777777" w:rsidR="00980E5F" w:rsidRDefault="00980E5F">
            <w:pPr>
              <w:rPr>
                <w:rFonts w:ascii="宋体"/>
                <w:vanish/>
              </w:rPr>
            </w:pPr>
          </w:p>
        </w:tc>
        <w:tc>
          <w:tcPr>
            <w:tcW w:w="0" w:type="auto"/>
            <w:gridSpan w:val="3"/>
            <w:shd w:val="clear" w:color="auto" w:fill="auto"/>
            <w:vAlign w:val="bottom"/>
          </w:tcPr>
          <w:p w14:paraId="392C41EF" w14:textId="77777777" w:rsidR="00980E5F" w:rsidRDefault="00980E5F">
            <w:pPr>
              <w:rPr>
                <w:rFonts w:ascii="宋体"/>
                <w:vanish/>
              </w:rPr>
            </w:pPr>
          </w:p>
        </w:tc>
        <w:tc>
          <w:tcPr>
            <w:tcW w:w="0" w:type="auto"/>
            <w:gridSpan w:val="3"/>
            <w:shd w:val="clear" w:color="auto" w:fill="auto"/>
            <w:vAlign w:val="bottom"/>
          </w:tcPr>
          <w:p w14:paraId="392C41F0" w14:textId="77777777" w:rsidR="00980E5F" w:rsidRDefault="00980E5F">
            <w:pPr>
              <w:rPr>
                <w:rFonts w:ascii="宋体"/>
                <w:vanish/>
              </w:rPr>
            </w:pPr>
          </w:p>
        </w:tc>
        <w:tc>
          <w:tcPr>
            <w:tcW w:w="0" w:type="auto"/>
            <w:gridSpan w:val="3"/>
            <w:shd w:val="clear" w:color="auto" w:fill="auto"/>
            <w:vAlign w:val="bottom"/>
          </w:tcPr>
          <w:p w14:paraId="392C41F1" w14:textId="77777777" w:rsidR="00980E5F" w:rsidRDefault="00980E5F">
            <w:pPr>
              <w:rPr>
                <w:rFonts w:ascii="宋体"/>
                <w:vanish/>
              </w:rPr>
            </w:pPr>
          </w:p>
        </w:tc>
        <w:tc>
          <w:tcPr>
            <w:tcW w:w="0" w:type="auto"/>
            <w:gridSpan w:val="3"/>
            <w:shd w:val="clear" w:color="auto" w:fill="auto"/>
            <w:vAlign w:val="bottom"/>
          </w:tcPr>
          <w:p w14:paraId="392C41F2" w14:textId="77777777" w:rsidR="00980E5F" w:rsidRDefault="00980E5F">
            <w:pPr>
              <w:rPr>
                <w:rFonts w:ascii="宋体"/>
                <w:vanish/>
              </w:rPr>
            </w:pPr>
          </w:p>
        </w:tc>
        <w:tc>
          <w:tcPr>
            <w:tcW w:w="0" w:type="auto"/>
            <w:gridSpan w:val="3"/>
            <w:shd w:val="clear" w:color="auto" w:fill="auto"/>
            <w:vAlign w:val="bottom"/>
          </w:tcPr>
          <w:p w14:paraId="392C41F3" w14:textId="77777777" w:rsidR="00980E5F" w:rsidRDefault="00980E5F">
            <w:pPr>
              <w:rPr>
                <w:rFonts w:ascii="宋体"/>
                <w:vanish/>
              </w:rPr>
            </w:pPr>
          </w:p>
        </w:tc>
        <w:tc>
          <w:tcPr>
            <w:tcW w:w="0" w:type="auto"/>
            <w:gridSpan w:val="3"/>
            <w:shd w:val="clear" w:color="auto" w:fill="auto"/>
            <w:vAlign w:val="bottom"/>
          </w:tcPr>
          <w:p w14:paraId="392C41F4" w14:textId="77777777" w:rsidR="00980E5F" w:rsidRDefault="00980E5F">
            <w:pPr>
              <w:rPr>
                <w:rFonts w:ascii="宋体"/>
                <w:vanish/>
              </w:rPr>
            </w:pPr>
          </w:p>
        </w:tc>
      </w:tr>
      <w:tr w:rsidR="00980E5F" w14:paraId="392C4204" w14:textId="77777777">
        <w:tc>
          <w:tcPr>
            <w:tcW w:w="0" w:type="auto"/>
            <w:gridSpan w:val="3"/>
            <w:shd w:val="clear" w:color="auto" w:fill="CCEEFF"/>
            <w:tcMar>
              <w:top w:w="40" w:type="dxa"/>
              <w:left w:w="245" w:type="dxa"/>
              <w:bottom w:w="40" w:type="dxa"/>
              <w:right w:w="20" w:type="dxa"/>
            </w:tcMar>
            <w:vAlign w:val="bottom"/>
          </w:tcPr>
          <w:p w14:paraId="392C41F6" w14:textId="77777777" w:rsidR="00980E5F" w:rsidRDefault="00483613">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392C41F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FA" w14:textId="77777777" w:rsidR="00980E5F" w:rsidRDefault="00483613">
            <w:pPr>
              <w:jc w:val="right"/>
              <w:textAlignment w:val="bottom"/>
            </w:pPr>
            <w:r>
              <w:rPr>
                <w:rFonts w:ascii="Arial" w:eastAsia="宋体" w:hAnsi="Arial" w:cs="Arial"/>
                <w:b/>
                <w:bCs/>
                <w:color w:val="000000"/>
                <w:sz w:val="14"/>
                <w:szCs w:val="14"/>
              </w:rPr>
              <w:t>1,004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1F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1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1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202" w14:textId="77777777" w:rsidR="00980E5F" w:rsidRDefault="00483613">
            <w:pPr>
              <w:jc w:val="right"/>
              <w:textAlignment w:val="bottom"/>
            </w:pPr>
            <w:r>
              <w:rPr>
                <w:rFonts w:ascii="Arial" w:eastAsia="宋体" w:hAnsi="Arial" w:cs="Arial"/>
                <w:b/>
                <w:bCs/>
                <w:color w:val="000000"/>
                <w:sz w:val="14"/>
                <w:szCs w:val="14"/>
              </w:rPr>
              <w:t>1,004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203" w14:textId="77777777" w:rsidR="00980E5F" w:rsidRDefault="00980E5F">
            <w:pPr>
              <w:jc w:val="right"/>
              <w:rPr>
                <w:rFonts w:ascii="宋体"/>
              </w:rPr>
            </w:pPr>
          </w:p>
        </w:tc>
      </w:tr>
      <w:tr w:rsidR="00980E5F" w14:paraId="392C420F" w14:textId="77777777">
        <w:trPr>
          <w:hidden/>
        </w:trPr>
        <w:tc>
          <w:tcPr>
            <w:tcW w:w="0" w:type="auto"/>
            <w:gridSpan w:val="3"/>
            <w:shd w:val="clear" w:color="auto" w:fill="auto"/>
            <w:vAlign w:val="bottom"/>
          </w:tcPr>
          <w:p w14:paraId="392C4205" w14:textId="77777777" w:rsidR="00980E5F" w:rsidRDefault="00980E5F">
            <w:pPr>
              <w:rPr>
                <w:rFonts w:ascii="宋体"/>
                <w:vanish/>
              </w:rPr>
            </w:pPr>
          </w:p>
        </w:tc>
        <w:tc>
          <w:tcPr>
            <w:tcW w:w="0" w:type="auto"/>
            <w:gridSpan w:val="3"/>
            <w:shd w:val="clear" w:color="auto" w:fill="auto"/>
            <w:vAlign w:val="bottom"/>
          </w:tcPr>
          <w:p w14:paraId="392C4206" w14:textId="77777777" w:rsidR="00980E5F" w:rsidRDefault="00980E5F">
            <w:pPr>
              <w:rPr>
                <w:rFonts w:ascii="宋体"/>
                <w:vanish/>
              </w:rPr>
            </w:pPr>
          </w:p>
        </w:tc>
        <w:tc>
          <w:tcPr>
            <w:tcW w:w="0" w:type="auto"/>
            <w:gridSpan w:val="3"/>
            <w:shd w:val="clear" w:color="auto" w:fill="auto"/>
            <w:vAlign w:val="bottom"/>
          </w:tcPr>
          <w:p w14:paraId="392C4207" w14:textId="77777777" w:rsidR="00980E5F" w:rsidRDefault="00980E5F">
            <w:pPr>
              <w:rPr>
                <w:rFonts w:ascii="宋体"/>
                <w:vanish/>
              </w:rPr>
            </w:pPr>
          </w:p>
        </w:tc>
        <w:tc>
          <w:tcPr>
            <w:tcW w:w="0" w:type="auto"/>
            <w:gridSpan w:val="3"/>
            <w:shd w:val="clear" w:color="auto" w:fill="auto"/>
            <w:vAlign w:val="bottom"/>
          </w:tcPr>
          <w:p w14:paraId="392C4208" w14:textId="77777777" w:rsidR="00980E5F" w:rsidRDefault="00980E5F">
            <w:pPr>
              <w:rPr>
                <w:rFonts w:ascii="宋体"/>
                <w:vanish/>
              </w:rPr>
            </w:pPr>
          </w:p>
        </w:tc>
        <w:tc>
          <w:tcPr>
            <w:tcW w:w="0" w:type="auto"/>
            <w:gridSpan w:val="3"/>
            <w:shd w:val="clear" w:color="auto" w:fill="auto"/>
            <w:vAlign w:val="bottom"/>
          </w:tcPr>
          <w:p w14:paraId="392C4209" w14:textId="77777777" w:rsidR="00980E5F" w:rsidRDefault="00980E5F">
            <w:pPr>
              <w:rPr>
                <w:rFonts w:ascii="宋体"/>
                <w:vanish/>
              </w:rPr>
            </w:pPr>
          </w:p>
        </w:tc>
        <w:tc>
          <w:tcPr>
            <w:tcW w:w="0" w:type="auto"/>
            <w:gridSpan w:val="3"/>
            <w:shd w:val="clear" w:color="auto" w:fill="auto"/>
            <w:vAlign w:val="bottom"/>
          </w:tcPr>
          <w:p w14:paraId="392C420A" w14:textId="77777777" w:rsidR="00980E5F" w:rsidRDefault="00980E5F">
            <w:pPr>
              <w:rPr>
                <w:rFonts w:ascii="宋体"/>
                <w:vanish/>
              </w:rPr>
            </w:pPr>
          </w:p>
        </w:tc>
        <w:tc>
          <w:tcPr>
            <w:tcW w:w="0" w:type="auto"/>
            <w:gridSpan w:val="3"/>
            <w:shd w:val="clear" w:color="auto" w:fill="auto"/>
            <w:vAlign w:val="bottom"/>
          </w:tcPr>
          <w:p w14:paraId="392C420B" w14:textId="77777777" w:rsidR="00980E5F" w:rsidRDefault="00980E5F">
            <w:pPr>
              <w:rPr>
                <w:rFonts w:ascii="宋体"/>
                <w:vanish/>
              </w:rPr>
            </w:pPr>
          </w:p>
        </w:tc>
        <w:tc>
          <w:tcPr>
            <w:tcW w:w="0" w:type="auto"/>
            <w:gridSpan w:val="3"/>
            <w:shd w:val="clear" w:color="auto" w:fill="auto"/>
            <w:vAlign w:val="bottom"/>
          </w:tcPr>
          <w:p w14:paraId="392C420C" w14:textId="77777777" w:rsidR="00980E5F" w:rsidRDefault="00980E5F">
            <w:pPr>
              <w:rPr>
                <w:rFonts w:ascii="宋体"/>
                <w:vanish/>
              </w:rPr>
            </w:pPr>
          </w:p>
        </w:tc>
        <w:tc>
          <w:tcPr>
            <w:tcW w:w="0" w:type="auto"/>
            <w:gridSpan w:val="3"/>
            <w:shd w:val="clear" w:color="auto" w:fill="auto"/>
            <w:vAlign w:val="bottom"/>
          </w:tcPr>
          <w:p w14:paraId="392C420D" w14:textId="77777777" w:rsidR="00980E5F" w:rsidRDefault="00980E5F">
            <w:pPr>
              <w:rPr>
                <w:rFonts w:ascii="宋体"/>
                <w:vanish/>
              </w:rPr>
            </w:pPr>
          </w:p>
        </w:tc>
        <w:tc>
          <w:tcPr>
            <w:tcW w:w="0" w:type="auto"/>
            <w:gridSpan w:val="3"/>
            <w:shd w:val="clear" w:color="auto" w:fill="auto"/>
            <w:vAlign w:val="bottom"/>
          </w:tcPr>
          <w:p w14:paraId="392C420E" w14:textId="77777777" w:rsidR="00980E5F" w:rsidRDefault="00980E5F">
            <w:pPr>
              <w:rPr>
                <w:rFonts w:ascii="宋体"/>
                <w:vanish/>
              </w:rPr>
            </w:pPr>
          </w:p>
        </w:tc>
      </w:tr>
      <w:tr w:rsidR="00980E5F" w14:paraId="392C421A" w14:textId="77777777">
        <w:trPr>
          <w:hidden/>
        </w:trPr>
        <w:tc>
          <w:tcPr>
            <w:tcW w:w="0" w:type="auto"/>
            <w:gridSpan w:val="3"/>
            <w:shd w:val="clear" w:color="auto" w:fill="auto"/>
            <w:vAlign w:val="bottom"/>
          </w:tcPr>
          <w:p w14:paraId="392C4210" w14:textId="77777777" w:rsidR="00980E5F" w:rsidRDefault="00980E5F">
            <w:pPr>
              <w:rPr>
                <w:rFonts w:ascii="宋体"/>
                <w:vanish/>
              </w:rPr>
            </w:pPr>
          </w:p>
        </w:tc>
        <w:tc>
          <w:tcPr>
            <w:tcW w:w="0" w:type="auto"/>
            <w:gridSpan w:val="3"/>
            <w:shd w:val="clear" w:color="auto" w:fill="auto"/>
            <w:vAlign w:val="bottom"/>
          </w:tcPr>
          <w:p w14:paraId="392C4211" w14:textId="77777777" w:rsidR="00980E5F" w:rsidRDefault="00980E5F">
            <w:pPr>
              <w:rPr>
                <w:rFonts w:ascii="宋体"/>
                <w:vanish/>
              </w:rPr>
            </w:pPr>
          </w:p>
        </w:tc>
        <w:tc>
          <w:tcPr>
            <w:tcW w:w="0" w:type="auto"/>
            <w:gridSpan w:val="3"/>
            <w:shd w:val="clear" w:color="auto" w:fill="auto"/>
            <w:vAlign w:val="bottom"/>
          </w:tcPr>
          <w:p w14:paraId="392C4212" w14:textId="77777777" w:rsidR="00980E5F" w:rsidRDefault="00980E5F">
            <w:pPr>
              <w:rPr>
                <w:rFonts w:ascii="宋体"/>
                <w:vanish/>
              </w:rPr>
            </w:pPr>
          </w:p>
        </w:tc>
        <w:tc>
          <w:tcPr>
            <w:tcW w:w="0" w:type="auto"/>
            <w:gridSpan w:val="3"/>
            <w:shd w:val="clear" w:color="auto" w:fill="auto"/>
            <w:vAlign w:val="bottom"/>
          </w:tcPr>
          <w:p w14:paraId="392C4213" w14:textId="77777777" w:rsidR="00980E5F" w:rsidRDefault="00980E5F">
            <w:pPr>
              <w:rPr>
                <w:rFonts w:ascii="宋体"/>
                <w:vanish/>
              </w:rPr>
            </w:pPr>
          </w:p>
        </w:tc>
        <w:tc>
          <w:tcPr>
            <w:tcW w:w="0" w:type="auto"/>
            <w:gridSpan w:val="3"/>
            <w:shd w:val="clear" w:color="auto" w:fill="auto"/>
            <w:vAlign w:val="bottom"/>
          </w:tcPr>
          <w:p w14:paraId="392C4214" w14:textId="77777777" w:rsidR="00980E5F" w:rsidRDefault="00980E5F">
            <w:pPr>
              <w:rPr>
                <w:rFonts w:ascii="宋体"/>
                <w:vanish/>
              </w:rPr>
            </w:pPr>
          </w:p>
        </w:tc>
        <w:tc>
          <w:tcPr>
            <w:tcW w:w="0" w:type="auto"/>
            <w:gridSpan w:val="3"/>
            <w:shd w:val="clear" w:color="auto" w:fill="auto"/>
            <w:vAlign w:val="bottom"/>
          </w:tcPr>
          <w:p w14:paraId="392C4215" w14:textId="77777777" w:rsidR="00980E5F" w:rsidRDefault="00980E5F">
            <w:pPr>
              <w:rPr>
                <w:rFonts w:ascii="宋体"/>
                <w:vanish/>
              </w:rPr>
            </w:pPr>
          </w:p>
        </w:tc>
        <w:tc>
          <w:tcPr>
            <w:tcW w:w="0" w:type="auto"/>
            <w:gridSpan w:val="3"/>
            <w:shd w:val="clear" w:color="auto" w:fill="auto"/>
            <w:vAlign w:val="bottom"/>
          </w:tcPr>
          <w:p w14:paraId="392C4216" w14:textId="77777777" w:rsidR="00980E5F" w:rsidRDefault="00980E5F">
            <w:pPr>
              <w:rPr>
                <w:rFonts w:ascii="宋体"/>
                <w:vanish/>
              </w:rPr>
            </w:pPr>
          </w:p>
        </w:tc>
        <w:tc>
          <w:tcPr>
            <w:tcW w:w="0" w:type="auto"/>
            <w:gridSpan w:val="3"/>
            <w:shd w:val="clear" w:color="auto" w:fill="auto"/>
            <w:vAlign w:val="bottom"/>
          </w:tcPr>
          <w:p w14:paraId="392C4217" w14:textId="77777777" w:rsidR="00980E5F" w:rsidRDefault="00980E5F">
            <w:pPr>
              <w:rPr>
                <w:rFonts w:ascii="宋体"/>
                <w:vanish/>
              </w:rPr>
            </w:pPr>
          </w:p>
        </w:tc>
        <w:tc>
          <w:tcPr>
            <w:tcW w:w="0" w:type="auto"/>
            <w:gridSpan w:val="3"/>
            <w:shd w:val="clear" w:color="auto" w:fill="auto"/>
            <w:vAlign w:val="bottom"/>
          </w:tcPr>
          <w:p w14:paraId="392C4218" w14:textId="77777777" w:rsidR="00980E5F" w:rsidRDefault="00980E5F">
            <w:pPr>
              <w:rPr>
                <w:rFonts w:ascii="宋体"/>
                <w:vanish/>
              </w:rPr>
            </w:pPr>
          </w:p>
        </w:tc>
        <w:tc>
          <w:tcPr>
            <w:tcW w:w="0" w:type="auto"/>
            <w:gridSpan w:val="3"/>
            <w:shd w:val="clear" w:color="auto" w:fill="auto"/>
            <w:vAlign w:val="bottom"/>
          </w:tcPr>
          <w:p w14:paraId="392C4219" w14:textId="77777777" w:rsidR="00980E5F" w:rsidRDefault="00980E5F">
            <w:pPr>
              <w:rPr>
                <w:rFonts w:ascii="宋体"/>
                <w:vanish/>
              </w:rPr>
            </w:pPr>
          </w:p>
        </w:tc>
      </w:tr>
      <w:tr w:rsidR="00980E5F" w14:paraId="392C4225" w14:textId="77777777">
        <w:trPr>
          <w:hidden/>
        </w:trPr>
        <w:tc>
          <w:tcPr>
            <w:tcW w:w="0" w:type="auto"/>
            <w:gridSpan w:val="3"/>
            <w:shd w:val="clear" w:color="auto" w:fill="auto"/>
            <w:vAlign w:val="bottom"/>
          </w:tcPr>
          <w:p w14:paraId="392C421B" w14:textId="77777777" w:rsidR="00980E5F" w:rsidRDefault="00980E5F">
            <w:pPr>
              <w:rPr>
                <w:rFonts w:ascii="宋体"/>
                <w:vanish/>
              </w:rPr>
            </w:pPr>
          </w:p>
        </w:tc>
        <w:tc>
          <w:tcPr>
            <w:tcW w:w="0" w:type="auto"/>
            <w:gridSpan w:val="3"/>
            <w:shd w:val="clear" w:color="auto" w:fill="auto"/>
            <w:vAlign w:val="bottom"/>
          </w:tcPr>
          <w:p w14:paraId="392C421C" w14:textId="77777777" w:rsidR="00980E5F" w:rsidRDefault="00980E5F">
            <w:pPr>
              <w:rPr>
                <w:rFonts w:ascii="宋体"/>
                <w:vanish/>
              </w:rPr>
            </w:pPr>
          </w:p>
        </w:tc>
        <w:tc>
          <w:tcPr>
            <w:tcW w:w="0" w:type="auto"/>
            <w:gridSpan w:val="3"/>
            <w:shd w:val="clear" w:color="auto" w:fill="auto"/>
            <w:vAlign w:val="bottom"/>
          </w:tcPr>
          <w:p w14:paraId="392C421D" w14:textId="77777777" w:rsidR="00980E5F" w:rsidRDefault="00980E5F">
            <w:pPr>
              <w:rPr>
                <w:rFonts w:ascii="宋体"/>
                <w:vanish/>
              </w:rPr>
            </w:pPr>
          </w:p>
        </w:tc>
        <w:tc>
          <w:tcPr>
            <w:tcW w:w="0" w:type="auto"/>
            <w:gridSpan w:val="3"/>
            <w:shd w:val="clear" w:color="auto" w:fill="auto"/>
            <w:vAlign w:val="bottom"/>
          </w:tcPr>
          <w:p w14:paraId="392C421E" w14:textId="77777777" w:rsidR="00980E5F" w:rsidRDefault="00980E5F">
            <w:pPr>
              <w:rPr>
                <w:rFonts w:ascii="宋体"/>
                <w:vanish/>
              </w:rPr>
            </w:pPr>
          </w:p>
        </w:tc>
        <w:tc>
          <w:tcPr>
            <w:tcW w:w="0" w:type="auto"/>
            <w:gridSpan w:val="3"/>
            <w:shd w:val="clear" w:color="auto" w:fill="auto"/>
            <w:vAlign w:val="bottom"/>
          </w:tcPr>
          <w:p w14:paraId="392C421F" w14:textId="77777777" w:rsidR="00980E5F" w:rsidRDefault="00980E5F">
            <w:pPr>
              <w:rPr>
                <w:rFonts w:ascii="宋体"/>
                <w:vanish/>
              </w:rPr>
            </w:pPr>
          </w:p>
        </w:tc>
        <w:tc>
          <w:tcPr>
            <w:tcW w:w="0" w:type="auto"/>
            <w:gridSpan w:val="3"/>
            <w:shd w:val="clear" w:color="auto" w:fill="auto"/>
            <w:vAlign w:val="bottom"/>
          </w:tcPr>
          <w:p w14:paraId="392C4220" w14:textId="77777777" w:rsidR="00980E5F" w:rsidRDefault="00980E5F">
            <w:pPr>
              <w:rPr>
                <w:rFonts w:ascii="宋体"/>
                <w:vanish/>
              </w:rPr>
            </w:pPr>
          </w:p>
        </w:tc>
        <w:tc>
          <w:tcPr>
            <w:tcW w:w="0" w:type="auto"/>
            <w:gridSpan w:val="3"/>
            <w:shd w:val="clear" w:color="auto" w:fill="auto"/>
            <w:vAlign w:val="bottom"/>
          </w:tcPr>
          <w:p w14:paraId="392C4221" w14:textId="77777777" w:rsidR="00980E5F" w:rsidRDefault="00980E5F">
            <w:pPr>
              <w:rPr>
                <w:rFonts w:ascii="宋体"/>
                <w:vanish/>
              </w:rPr>
            </w:pPr>
          </w:p>
        </w:tc>
        <w:tc>
          <w:tcPr>
            <w:tcW w:w="0" w:type="auto"/>
            <w:gridSpan w:val="3"/>
            <w:shd w:val="clear" w:color="auto" w:fill="auto"/>
            <w:vAlign w:val="bottom"/>
          </w:tcPr>
          <w:p w14:paraId="392C4222" w14:textId="77777777" w:rsidR="00980E5F" w:rsidRDefault="00980E5F">
            <w:pPr>
              <w:rPr>
                <w:rFonts w:ascii="宋体"/>
                <w:vanish/>
              </w:rPr>
            </w:pPr>
          </w:p>
        </w:tc>
        <w:tc>
          <w:tcPr>
            <w:tcW w:w="0" w:type="auto"/>
            <w:gridSpan w:val="3"/>
            <w:shd w:val="clear" w:color="auto" w:fill="auto"/>
            <w:vAlign w:val="bottom"/>
          </w:tcPr>
          <w:p w14:paraId="392C4223" w14:textId="77777777" w:rsidR="00980E5F" w:rsidRDefault="00980E5F">
            <w:pPr>
              <w:rPr>
                <w:rFonts w:ascii="宋体"/>
                <w:vanish/>
              </w:rPr>
            </w:pPr>
          </w:p>
        </w:tc>
        <w:tc>
          <w:tcPr>
            <w:tcW w:w="0" w:type="auto"/>
            <w:gridSpan w:val="3"/>
            <w:shd w:val="clear" w:color="auto" w:fill="auto"/>
            <w:vAlign w:val="bottom"/>
          </w:tcPr>
          <w:p w14:paraId="392C4224" w14:textId="77777777" w:rsidR="00980E5F" w:rsidRDefault="00980E5F">
            <w:pPr>
              <w:rPr>
                <w:rFonts w:ascii="宋体"/>
                <w:vanish/>
              </w:rPr>
            </w:pPr>
          </w:p>
        </w:tc>
      </w:tr>
      <w:tr w:rsidR="00980E5F" w14:paraId="392C4230" w14:textId="77777777">
        <w:trPr>
          <w:hidden/>
        </w:trPr>
        <w:tc>
          <w:tcPr>
            <w:tcW w:w="0" w:type="auto"/>
            <w:gridSpan w:val="3"/>
            <w:shd w:val="clear" w:color="auto" w:fill="auto"/>
            <w:vAlign w:val="bottom"/>
          </w:tcPr>
          <w:p w14:paraId="392C4226" w14:textId="77777777" w:rsidR="00980E5F" w:rsidRDefault="00980E5F">
            <w:pPr>
              <w:rPr>
                <w:rFonts w:ascii="宋体"/>
                <w:vanish/>
              </w:rPr>
            </w:pPr>
          </w:p>
        </w:tc>
        <w:tc>
          <w:tcPr>
            <w:tcW w:w="0" w:type="auto"/>
            <w:gridSpan w:val="3"/>
            <w:shd w:val="clear" w:color="auto" w:fill="auto"/>
            <w:vAlign w:val="bottom"/>
          </w:tcPr>
          <w:p w14:paraId="392C4227" w14:textId="77777777" w:rsidR="00980E5F" w:rsidRDefault="00980E5F">
            <w:pPr>
              <w:rPr>
                <w:rFonts w:ascii="宋体"/>
                <w:vanish/>
              </w:rPr>
            </w:pPr>
          </w:p>
        </w:tc>
        <w:tc>
          <w:tcPr>
            <w:tcW w:w="0" w:type="auto"/>
            <w:gridSpan w:val="3"/>
            <w:shd w:val="clear" w:color="auto" w:fill="auto"/>
            <w:vAlign w:val="bottom"/>
          </w:tcPr>
          <w:p w14:paraId="392C4228" w14:textId="77777777" w:rsidR="00980E5F" w:rsidRDefault="00980E5F">
            <w:pPr>
              <w:rPr>
                <w:rFonts w:ascii="宋体"/>
                <w:vanish/>
              </w:rPr>
            </w:pPr>
          </w:p>
        </w:tc>
        <w:tc>
          <w:tcPr>
            <w:tcW w:w="0" w:type="auto"/>
            <w:gridSpan w:val="3"/>
            <w:shd w:val="clear" w:color="auto" w:fill="auto"/>
            <w:vAlign w:val="bottom"/>
          </w:tcPr>
          <w:p w14:paraId="392C4229" w14:textId="77777777" w:rsidR="00980E5F" w:rsidRDefault="00980E5F">
            <w:pPr>
              <w:rPr>
                <w:rFonts w:ascii="宋体"/>
                <w:vanish/>
              </w:rPr>
            </w:pPr>
          </w:p>
        </w:tc>
        <w:tc>
          <w:tcPr>
            <w:tcW w:w="0" w:type="auto"/>
            <w:gridSpan w:val="3"/>
            <w:shd w:val="clear" w:color="auto" w:fill="auto"/>
            <w:vAlign w:val="bottom"/>
          </w:tcPr>
          <w:p w14:paraId="392C422A" w14:textId="77777777" w:rsidR="00980E5F" w:rsidRDefault="00980E5F">
            <w:pPr>
              <w:rPr>
                <w:rFonts w:ascii="宋体"/>
                <w:vanish/>
              </w:rPr>
            </w:pPr>
          </w:p>
        </w:tc>
        <w:tc>
          <w:tcPr>
            <w:tcW w:w="0" w:type="auto"/>
            <w:gridSpan w:val="3"/>
            <w:shd w:val="clear" w:color="auto" w:fill="auto"/>
            <w:vAlign w:val="bottom"/>
          </w:tcPr>
          <w:p w14:paraId="392C422B" w14:textId="77777777" w:rsidR="00980E5F" w:rsidRDefault="00980E5F">
            <w:pPr>
              <w:rPr>
                <w:rFonts w:ascii="宋体"/>
                <w:vanish/>
              </w:rPr>
            </w:pPr>
          </w:p>
        </w:tc>
        <w:tc>
          <w:tcPr>
            <w:tcW w:w="0" w:type="auto"/>
            <w:gridSpan w:val="3"/>
            <w:shd w:val="clear" w:color="auto" w:fill="auto"/>
            <w:vAlign w:val="bottom"/>
          </w:tcPr>
          <w:p w14:paraId="392C422C" w14:textId="77777777" w:rsidR="00980E5F" w:rsidRDefault="00980E5F">
            <w:pPr>
              <w:rPr>
                <w:rFonts w:ascii="宋体"/>
                <w:vanish/>
              </w:rPr>
            </w:pPr>
          </w:p>
        </w:tc>
        <w:tc>
          <w:tcPr>
            <w:tcW w:w="0" w:type="auto"/>
            <w:gridSpan w:val="3"/>
            <w:shd w:val="clear" w:color="auto" w:fill="auto"/>
            <w:vAlign w:val="bottom"/>
          </w:tcPr>
          <w:p w14:paraId="392C422D" w14:textId="77777777" w:rsidR="00980E5F" w:rsidRDefault="00980E5F">
            <w:pPr>
              <w:rPr>
                <w:rFonts w:ascii="宋体"/>
                <w:vanish/>
              </w:rPr>
            </w:pPr>
          </w:p>
        </w:tc>
        <w:tc>
          <w:tcPr>
            <w:tcW w:w="0" w:type="auto"/>
            <w:gridSpan w:val="3"/>
            <w:shd w:val="clear" w:color="auto" w:fill="auto"/>
            <w:vAlign w:val="bottom"/>
          </w:tcPr>
          <w:p w14:paraId="392C422E" w14:textId="77777777" w:rsidR="00980E5F" w:rsidRDefault="00980E5F">
            <w:pPr>
              <w:rPr>
                <w:rFonts w:ascii="宋体"/>
                <w:vanish/>
              </w:rPr>
            </w:pPr>
          </w:p>
        </w:tc>
        <w:tc>
          <w:tcPr>
            <w:tcW w:w="0" w:type="auto"/>
            <w:gridSpan w:val="3"/>
            <w:shd w:val="clear" w:color="auto" w:fill="auto"/>
            <w:vAlign w:val="bottom"/>
          </w:tcPr>
          <w:p w14:paraId="392C422F" w14:textId="77777777" w:rsidR="00980E5F" w:rsidRDefault="00980E5F">
            <w:pPr>
              <w:rPr>
                <w:rFonts w:ascii="宋体"/>
                <w:vanish/>
              </w:rPr>
            </w:pPr>
          </w:p>
        </w:tc>
      </w:tr>
      <w:tr w:rsidR="00980E5F" w14:paraId="392C423B" w14:textId="77777777">
        <w:trPr>
          <w:hidden/>
        </w:trPr>
        <w:tc>
          <w:tcPr>
            <w:tcW w:w="0" w:type="auto"/>
            <w:gridSpan w:val="3"/>
            <w:shd w:val="clear" w:color="auto" w:fill="auto"/>
            <w:vAlign w:val="bottom"/>
          </w:tcPr>
          <w:p w14:paraId="392C4231" w14:textId="77777777" w:rsidR="00980E5F" w:rsidRDefault="00980E5F">
            <w:pPr>
              <w:rPr>
                <w:rFonts w:ascii="宋体"/>
                <w:vanish/>
              </w:rPr>
            </w:pPr>
          </w:p>
        </w:tc>
        <w:tc>
          <w:tcPr>
            <w:tcW w:w="0" w:type="auto"/>
            <w:gridSpan w:val="3"/>
            <w:shd w:val="clear" w:color="auto" w:fill="auto"/>
            <w:vAlign w:val="bottom"/>
          </w:tcPr>
          <w:p w14:paraId="392C4232" w14:textId="77777777" w:rsidR="00980E5F" w:rsidRDefault="00980E5F">
            <w:pPr>
              <w:rPr>
                <w:rFonts w:ascii="宋体"/>
                <w:vanish/>
              </w:rPr>
            </w:pPr>
          </w:p>
        </w:tc>
        <w:tc>
          <w:tcPr>
            <w:tcW w:w="0" w:type="auto"/>
            <w:gridSpan w:val="3"/>
            <w:shd w:val="clear" w:color="auto" w:fill="auto"/>
            <w:vAlign w:val="bottom"/>
          </w:tcPr>
          <w:p w14:paraId="392C4233" w14:textId="77777777" w:rsidR="00980E5F" w:rsidRDefault="00980E5F">
            <w:pPr>
              <w:rPr>
                <w:rFonts w:ascii="宋体"/>
                <w:vanish/>
              </w:rPr>
            </w:pPr>
          </w:p>
        </w:tc>
        <w:tc>
          <w:tcPr>
            <w:tcW w:w="0" w:type="auto"/>
            <w:gridSpan w:val="3"/>
            <w:shd w:val="clear" w:color="auto" w:fill="auto"/>
            <w:vAlign w:val="bottom"/>
          </w:tcPr>
          <w:p w14:paraId="392C4234" w14:textId="77777777" w:rsidR="00980E5F" w:rsidRDefault="00980E5F">
            <w:pPr>
              <w:rPr>
                <w:rFonts w:ascii="宋体"/>
                <w:vanish/>
              </w:rPr>
            </w:pPr>
          </w:p>
        </w:tc>
        <w:tc>
          <w:tcPr>
            <w:tcW w:w="0" w:type="auto"/>
            <w:gridSpan w:val="3"/>
            <w:shd w:val="clear" w:color="auto" w:fill="auto"/>
            <w:vAlign w:val="bottom"/>
          </w:tcPr>
          <w:p w14:paraId="392C4235" w14:textId="77777777" w:rsidR="00980E5F" w:rsidRDefault="00980E5F">
            <w:pPr>
              <w:rPr>
                <w:rFonts w:ascii="宋体"/>
                <w:vanish/>
              </w:rPr>
            </w:pPr>
          </w:p>
        </w:tc>
        <w:tc>
          <w:tcPr>
            <w:tcW w:w="0" w:type="auto"/>
            <w:gridSpan w:val="3"/>
            <w:shd w:val="clear" w:color="auto" w:fill="auto"/>
            <w:vAlign w:val="bottom"/>
          </w:tcPr>
          <w:p w14:paraId="392C4236" w14:textId="77777777" w:rsidR="00980E5F" w:rsidRDefault="00980E5F">
            <w:pPr>
              <w:rPr>
                <w:rFonts w:ascii="宋体"/>
                <w:vanish/>
              </w:rPr>
            </w:pPr>
          </w:p>
        </w:tc>
        <w:tc>
          <w:tcPr>
            <w:tcW w:w="0" w:type="auto"/>
            <w:gridSpan w:val="3"/>
            <w:shd w:val="clear" w:color="auto" w:fill="auto"/>
            <w:vAlign w:val="bottom"/>
          </w:tcPr>
          <w:p w14:paraId="392C4237" w14:textId="77777777" w:rsidR="00980E5F" w:rsidRDefault="00980E5F">
            <w:pPr>
              <w:rPr>
                <w:rFonts w:ascii="宋体"/>
                <w:vanish/>
              </w:rPr>
            </w:pPr>
          </w:p>
        </w:tc>
        <w:tc>
          <w:tcPr>
            <w:tcW w:w="0" w:type="auto"/>
            <w:gridSpan w:val="3"/>
            <w:shd w:val="clear" w:color="auto" w:fill="auto"/>
            <w:vAlign w:val="bottom"/>
          </w:tcPr>
          <w:p w14:paraId="392C4238" w14:textId="77777777" w:rsidR="00980E5F" w:rsidRDefault="00980E5F">
            <w:pPr>
              <w:rPr>
                <w:rFonts w:ascii="宋体"/>
                <w:vanish/>
              </w:rPr>
            </w:pPr>
          </w:p>
        </w:tc>
        <w:tc>
          <w:tcPr>
            <w:tcW w:w="0" w:type="auto"/>
            <w:gridSpan w:val="3"/>
            <w:shd w:val="clear" w:color="auto" w:fill="auto"/>
            <w:vAlign w:val="bottom"/>
          </w:tcPr>
          <w:p w14:paraId="392C4239" w14:textId="77777777" w:rsidR="00980E5F" w:rsidRDefault="00980E5F">
            <w:pPr>
              <w:rPr>
                <w:rFonts w:ascii="宋体"/>
                <w:vanish/>
              </w:rPr>
            </w:pPr>
          </w:p>
        </w:tc>
        <w:tc>
          <w:tcPr>
            <w:tcW w:w="0" w:type="auto"/>
            <w:gridSpan w:val="3"/>
            <w:shd w:val="clear" w:color="auto" w:fill="auto"/>
            <w:vAlign w:val="bottom"/>
          </w:tcPr>
          <w:p w14:paraId="392C423A" w14:textId="77777777" w:rsidR="00980E5F" w:rsidRDefault="00980E5F">
            <w:pPr>
              <w:rPr>
                <w:rFonts w:ascii="宋体"/>
                <w:vanish/>
              </w:rPr>
            </w:pPr>
          </w:p>
        </w:tc>
      </w:tr>
      <w:tr w:rsidR="00980E5F" w14:paraId="392C424A" w14:textId="77777777">
        <w:tc>
          <w:tcPr>
            <w:tcW w:w="0" w:type="auto"/>
            <w:gridSpan w:val="3"/>
            <w:shd w:val="clear" w:color="auto" w:fill="FFFFFF"/>
            <w:tcMar>
              <w:top w:w="40" w:type="dxa"/>
              <w:left w:w="740" w:type="dxa"/>
              <w:bottom w:w="40" w:type="dxa"/>
              <w:right w:w="20" w:type="dxa"/>
            </w:tcMar>
            <w:vAlign w:val="bottom"/>
          </w:tcPr>
          <w:p w14:paraId="392C423C" w14:textId="77777777" w:rsidR="00980E5F" w:rsidRDefault="00483613">
            <w:pPr>
              <w:textAlignment w:val="bottom"/>
            </w:pPr>
            <w:r>
              <w:rPr>
                <w:rFonts w:ascii="Arial" w:eastAsia="宋体" w:hAnsi="Arial" w:cs="Arial"/>
                <w:color w:val="000000"/>
                <w:sz w:val="14"/>
                <w:szCs w:val="14"/>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23D" w14:textId="77777777" w:rsidR="00980E5F" w:rsidRDefault="00483613">
            <w:pPr>
              <w:jc w:val="right"/>
              <w:textAlignment w:val="bottom"/>
            </w:pPr>
            <w:r>
              <w:rPr>
                <w:rFonts w:ascii="Arial" w:eastAsia="宋体" w:hAnsi="Arial" w:cs="Arial"/>
                <w:b/>
                <w:bCs/>
                <w:color w:val="000000"/>
                <w:sz w:val="14"/>
                <w:szCs w:val="14"/>
              </w:rPr>
              <w:t>9,411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2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3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240" w14:textId="77777777" w:rsidR="00980E5F" w:rsidRDefault="00483613">
            <w:pPr>
              <w:jc w:val="right"/>
              <w:textAlignment w:val="bottom"/>
            </w:pPr>
            <w:r>
              <w:rPr>
                <w:rFonts w:ascii="Arial" w:eastAsia="宋体" w:hAnsi="Arial" w:cs="Arial"/>
                <w:b/>
                <w:bCs/>
                <w:color w:val="000000"/>
                <w:sz w:val="14"/>
                <w:szCs w:val="14"/>
              </w:rPr>
              <w:t>36,043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2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4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24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2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4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4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4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248" w14:textId="77777777" w:rsidR="00980E5F" w:rsidRDefault="00483613">
            <w:pPr>
              <w:jc w:val="right"/>
              <w:textAlignment w:val="bottom"/>
            </w:pPr>
            <w:r>
              <w:rPr>
                <w:rFonts w:ascii="Arial" w:eastAsia="宋体" w:hAnsi="Arial" w:cs="Arial"/>
                <w:b/>
                <w:bCs/>
                <w:color w:val="000000"/>
                <w:sz w:val="14"/>
                <w:szCs w:val="14"/>
              </w:rPr>
              <w:t>45,454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249" w14:textId="77777777" w:rsidR="00980E5F" w:rsidRDefault="00980E5F">
            <w:pPr>
              <w:jc w:val="right"/>
              <w:rPr>
                <w:rFonts w:ascii="宋体"/>
              </w:rPr>
            </w:pPr>
          </w:p>
        </w:tc>
      </w:tr>
      <w:tr w:rsidR="00980E5F" w14:paraId="392C4255" w14:textId="77777777">
        <w:tc>
          <w:tcPr>
            <w:tcW w:w="0" w:type="auto"/>
            <w:gridSpan w:val="3"/>
            <w:shd w:val="clear" w:color="auto" w:fill="CCEEFF"/>
            <w:tcMar>
              <w:top w:w="40" w:type="dxa"/>
              <w:left w:w="20" w:type="dxa"/>
              <w:bottom w:w="40" w:type="dxa"/>
              <w:right w:w="20" w:type="dxa"/>
            </w:tcMar>
            <w:vAlign w:val="bottom"/>
          </w:tcPr>
          <w:p w14:paraId="392C424B" w14:textId="77777777" w:rsidR="00980E5F" w:rsidRDefault="00483613">
            <w:pPr>
              <w:textAlignment w:val="bottom"/>
            </w:pPr>
            <w:r>
              <w:rPr>
                <w:rFonts w:ascii="Arial" w:eastAsia="宋体" w:hAnsi="Arial" w:cs="Arial"/>
                <w:color w:val="000000"/>
                <w:sz w:val="14"/>
                <w:szCs w:val="14"/>
              </w:rPr>
              <w:t>Other assets:</w:t>
            </w:r>
          </w:p>
        </w:tc>
        <w:tc>
          <w:tcPr>
            <w:tcW w:w="0" w:type="auto"/>
            <w:gridSpan w:val="3"/>
            <w:shd w:val="clear" w:color="auto" w:fill="CCEEFF"/>
            <w:tcMar>
              <w:top w:w="0" w:type="dxa"/>
              <w:left w:w="20" w:type="dxa"/>
              <w:bottom w:w="0" w:type="dxa"/>
              <w:right w:w="20" w:type="dxa"/>
            </w:tcMar>
            <w:vAlign w:val="bottom"/>
          </w:tcPr>
          <w:p w14:paraId="392C424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4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4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4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5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5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5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5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54" w14:textId="77777777" w:rsidR="00980E5F" w:rsidRDefault="00980E5F">
            <w:pPr>
              <w:rPr>
                <w:rFonts w:ascii="宋体"/>
              </w:rPr>
            </w:pPr>
          </w:p>
        </w:tc>
      </w:tr>
      <w:tr w:rsidR="00980E5F" w14:paraId="392C4260" w14:textId="77777777">
        <w:tc>
          <w:tcPr>
            <w:tcW w:w="0" w:type="auto"/>
            <w:gridSpan w:val="3"/>
            <w:shd w:val="clear" w:color="auto" w:fill="FFFFFF"/>
            <w:tcMar>
              <w:top w:w="40" w:type="dxa"/>
              <w:left w:w="245" w:type="dxa"/>
              <w:bottom w:w="40" w:type="dxa"/>
              <w:right w:w="20" w:type="dxa"/>
            </w:tcMar>
            <w:vAlign w:val="bottom"/>
          </w:tcPr>
          <w:p w14:paraId="392C4256" w14:textId="77777777" w:rsidR="00980E5F" w:rsidRDefault="00483613">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392C425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5F" w14:textId="77777777" w:rsidR="00980E5F" w:rsidRDefault="00980E5F">
            <w:pPr>
              <w:rPr>
                <w:rFonts w:ascii="宋体"/>
              </w:rPr>
            </w:pPr>
          </w:p>
        </w:tc>
      </w:tr>
      <w:tr w:rsidR="00980E5F" w14:paraId="392C4271" w14:textId="77777777">
        <w:tc>
          <w:tcPr>
            <w:tcW w:w="0" w:type="auto"/>
            <w:gridSpan w:val="3"/>
            <w:shd w:val="clear" w:color="auto" w:fill="CCEEFF"/>
            <w:tcMar>
              <w:top w:w="40" w:type="dxa"/>
              <w:left w:w="515" w:type="dxa"/>
              <w:bottom w:w="40" w:type="dxa"/>
              <w:right w:w="20" w:type="dxa"/>
            </w:tcMar>
            <w:vAlign w:val="bottom"/>
          </w:tcPr>
          <w:p w14:paraId="392C4261" w14:textId="77777777" w:rsidR="00980E5F" w:rsidRDefault="00483613">
            <w:pPr>
              <w:textAlignment w:val="bottom"/>
            </w:pPr>
            <w:r>
              <w:rPr>
                <w:rFonts w:ascii="Arial" w:eastAsia="宋体" w:hAnsi="Arial" w:cs="Arial"/>
                <w:color w:val="000000"/>
                <w:sz w:val="14"/>
                <w:szCs w:val="14"/>
              </w:rPr>
              <w:t>Foreign exchange contracts</w:t>
            </w:r>
          </w:p>
        </w:tc>
        <w:tc>
          <w:tcPr>
            <w:tcW w:w="0" w:type="auto"/>
            <w:gridSpan w:val="2"/>
            <w:shd w:val="clear" w:color="auto" w:fill="CCEEFF"/>
            <w:tcMar>
              <w:top w:w="40" w:type="dxa"/>
              <w:left w:w="20" w:type="dxa"/>
              <w:bottom w:w="40" w:type="dxa"/>
              <w:right w:w="0" w:type="dxa"/>
            </w:tcMar>
            <w:vAlign w:val="bottom"/>
          </w:tcPr>
          <w:p w14:paraId="392C4262" w14:textId="77777777" w:rsidR="00980E5F" w:rsidRDefault="00483613">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2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265" w14:textId="77777777" w:rsidR="00980E5F" w:rsidRDefault="00483613">
            <w:pPr>
              <w:jc w:val="right"/>
              <w:textAlignment w:val="bottom"/>
            </w:pPr>
            <w:r>
              <w:rPr>
                <w:rFonts w:ascii="Arial" w:eastAsia="宋体" w:hAnsi="Arial" w:cs="Arial"/>
                <w:b/>
                <w:bCs/>
                <w:color w:val="000000"/>
                <w:sz w:val="14"/>
                <w:szCs w:val="14"/>
              </w:rPr>
              <w:t>23,615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2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268"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2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6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26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26C" w14:textId="77777777" w:rsidR="00980E5F" w:rsidRDefault="00483613">
            <w:pPr>
              <w:jc w:val="right"/>
              <w:textAlignment w:val="bottom"/>
            </w:pPr>
            <w:r>
              <w:rPr>
                <w:rFonts w:ascii="Arial" w:eastAsia="宋体" w:hAnsi="Arial" w:cs="Arial"/>
                <w:b/>
                <w:bCs/>
                <w:color w:val="000000"/>
                <w:sz w:val="14"/>
                <w:szCs w:val="14"/>
              </w:rPr>
              <w:t>(14,168)</w:t>
            </w:r>
          </w:p>
        </w:tc>
        <w:tc>
          <w:tcPr>
            <w:tcW w:w="0" w:type="auto"/>
            <w:shd w:val="clear" w:color="auto" w:fill="CCEEFF"/>
            <w:tcMar>
              <w:top w:w="40" w:type="dxa"/>
              <w:left w:w="0" w:type="dxa"/>
              <w:bottom w:w="40" w:type="dxa"/>
              <w:right w:w="20" w:type="dxa"/>
            </w:tcMar>
            <w:vAlign w:val="bottom"/>
          </w:tcPr>
          <w:p w14:paraId="392C42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26F" w14:textId="77777777" w:rsidR="00980E5F" w:rsidRDefault="00483613">
            <w:pPr>
              <w:jc w:val="right"/>
              <w:textAlignment w:val="bottom"/>
            </w:pPr>
            <w:r>
              <w:rPr>
                <w:rFonts w:ascii="Arial" w:eastAsia="宋体" w:hAnsi="Arial" w:cs="Arial"/>
                <w:b/>
                <w:bCs/>
                <w:color w:val="000000"/>
                <w:sz w:val="14"/>
                <w:szCs w:val="14"/>
              </w:rPr>
              <w:t>9,465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270" w14:textId="77777777" w:rsidR="00980E5F" w:rsidRDefault="00980E5F">
            <w:pPr>
              <w:jc w:val="right"/>
              <w:rPr>
                <w:rFonts w:ascii="宋体"/>
              </w:rPr>
            </w:pPr>
          </w:p>
        </w:tc>
      </w:tr>
      <w:tr w:rsidR="00980E5F" w14:paraId="392C4281" w14:textId="77777777">
        <w:tc>
          <w:tcPr>
            <w:tcW w:w="0" w:type="auto"/>
            <w:gridSpan w:val="3"/>
            <w:shd w:val="clear" w:color="auto" w:fill="FFFFFF"/>
            <w:tcMar>
              <w:top w:w="40" w:type="dxa"/>
              <w:left w:w="515" w:type="dxa"/>
              <w:bottom w:w="40" w:type="dxa"/>
              <w:right w:w="20" w:type="dxa"/>
            </w:tcMar>
            <w:vAlign w:val="bottom"/>
          </w:tcPr>
          <w:p w14:paraId="392C4272" w14:textId="77777777" w:rsidR="00980E5F" w:rsidRDefault="00483613">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392C4273" w14:textId="77777777" w:rsidR="00980E5F" w:rsidRDefault="00483613">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7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7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7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7F" w14:textId="77777777" w:rsidR="00980E5F" w:rsidRDefault="00483613">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80" w14:textId="77777777" w:rsidR="00980E5F" w:rsidRDefault="00980E5F">
            <w:pPr>
              <w:jc w:val="right"/>
              <w:rPr>
                <w:rFonts w:ascii="宋体"/>
              </w:rPr>
            </w:pPr>
          </w:p>
        </w:tc>
      </w:tr>
      <w:tr w:rsidR="00980E5F" w14:paraId="392C428C" w14:textId="77777777">
        <w:trPr>
          <w:hidden/>
        </w:trPr>
        <w:tc>
          <w:tcPr>
            <w:tcW w:w="0" w:type="auto"/>
            <w:gridSpan w:val="3"/>
            <w:shd w:val="clear" w:color="auto" w:fill="auto"/>
            <w:vAlign w:val="bottom"/>
          </w:tcPr>
          <w:p w14:paraId="392C4282" w14:textId="77777777" w:rsidR="00980E5F" w:rsidRDefault="00980E5F">
            <w:pPr>
              <w:rPr>
                <w:rFonts w:ascii="宋体"/>
                <w:vanish/>
              </w:rPr>
            </w:pPr>
          </w:p>
        </w:tc>
        <w:tc>
          <w:tcPr>
            <w:tcW w:w="0" w:type="auto"/>
            <w:gridSpan w:val="3"/>
            <w:shd w:val="clear" w:color="auto" w:fill="auto"/>
            <w:vAlign w:val="bottom"/>
          </w:tcPr>
          <w:p w14:paraId="392C4283" w14:textId="77777777" w:rsidR="00980E5F" w:rsidRDefault="00980E5F">
            <w:pPr>
              <w:rPr>
                <w:rFonts w:ascii="宋体"/>
                <w:vanish/>
              </w:rPr>
            </w:pPr>
          </w:p>
        </w:tc>
        <w:tc>
          <w:tcPr>
            <w:tcW w:w="0" w:type="auto"/>
            <w:gridSpan w:val="3"/>
            <w:shd w:val="clear" w:color="auto" w:fill="auto"/>
            <w:vAlign w:val="bottom"/>
          </w:tcPr>
          <w:p w14:paraId="392C4284" w14:textId="77777777" w:rsidR="00980E5F" w:rsidRDefault="00980E5F">
            <w:pPr>
              <w:rPr>
                <w:rFonts w:ascii="宋体"/>
                <w:vanish/>
              </w:rPr>
            </w:pPr>
          </w:p>
        </w:tc>
        <w:tc>
          <w:tcPr>
            <w:tcW w:w="0" w:type="auto"/>
            <w:gridSpan w:val="3"/>
            <w:shd w:val="clear" w:color="auto" w:fill="auto"/>
            <w:vAlign w:val="bottom"/>
          </w:tcPr>
          <w:p w14:paraId="392C4285" w14:textId="77777777" w:rsidR="00980E5F" w:rsidRDefault="00980E5F">
            <w:pPr>
              <w:rPr>
                <w:rFonts w:ascii="宋体"/>
                <w:vanish/>
              </w:rPr>
            </w:pPr>
          </w:p>
        </w:tc>
        <w:tc>
          <w:tcPr>
            <w:tcW w:w="0" w:type="auto"/>
            <w:gridSpan w:val="3"/>
            <w:shd w:val="clear" w:color="auto" w:fill="auto"/>
            <w:vAlign w:val="bottom"/>
          </w:tcPr>
          <w:p w14:paraId="392C4286" w14:textId="77777777" w:rsidR="00980E5F" w:rsidRDefault="00980E5F">
            <w:pPr>
              <w:rPr>
                <w:rFonts w:ascii="宋体"/>
                <w:vanish/>
              </w:rPr>
            </w:pPr>
          </w:p>
        </w:tc>
        <w:tc>
          <w:tcPr>
            <w:tcW w:w="0" w:type="auto"/>
            <w:gridSpan w:val="3"/>
            <w:shd w:val="clear" w:color="auto" w:fill="auto"/>
            <w:vAlign w:val="bottom"/>
          </w:tcPr>
          <w:p w14:paraId="392C4287" w14:textId="77777777" w:rsidR="00980E5F" w:rsidRDefault="00980E5F">
            <w:pPr>
              <w:rPr>
                <w:rFonts w:ascii="宋体"/>
                <w:vanish/>
              </w:rPr>
            </w:pPr>
          </w:p>
        </w:tc>
        <w:tc>
          <w:tcPr>
            <w:tcW w:w="0" w:type="auto"/>
            <w:gridSpan w:val="3"/>
            <w:shd w:val="clear" w:color="auto" w:fill="auto"/>
            <w:vAlign w:val="bottom"/>
          </w:tcPr>
          <w:p w14:paraId="392C4288" w14:textId="77777777" w:rsidR="00980E5F" w:rsidRDefault="00980E5F">
            <w:pPr>
              <w:rPr>
                <w:rFonts w:ascii="宋体"/>
                <w:vanish/>
              </w:rPr>
            </w:pPr>
          </w:p>
        </w:tc>
        <w:tc>
          <w:tcPr>
            <w:tcW w:w="0" w:type="auto"/>
            <w:gridSpan w:val="3"/>
            <w:shd w:val="clear" w:color="auto" w:fill="auto"/>
            <w:vAlign w:val="bottom"/>
          </w:tcPr>
          <w:p w14:paraId="392C4289" w14:textId="77777777" w:rsidR="00980E5F" w:rsidRDefault="00980E5F">
            <w:pPr>
              <w:rPr>
                <w:rFonts w:ascii="宋体"/>
                <w:vanish/>
              </w:rPr>
            </w:pPr>
          </w:p>
        </w:tc>
        <w:tc>
          <w:tcPr>
            <w:tcW w:w="0" w:type="auto"/>
            <w:gridSpan w:val="3"/>
            <w:shd w:val="clear" w:color="auto" w:fill="auto"/>
            <w:vAlign w:val="bottom"/>
          </w:tcPr>
          <w:p w14:paraId="392C428A" w14:textId="77777777" w:rsidR="00980E5F" w:rsidRDefault="00980E5F">
            <w:pPr>
              <w:rPr>
                <w:rFonts w:ascii="宋体"/>
                <w:vanish/>
              </w:rPr>
            </w:pPr>
          </w:p>
        </w:tc>
        <w:tc>
          <w:tcPr>
            <w:tcW w:w="0" w:type="auto"/>
            <w:gridSpan w:val="3"/>
            <w:shd w:val="clear" w:color="auto" w:fill="auto"/>
            <w:vAlign w:val="bottom"/>
          </w:tcPr>
          <w:p w14:paraId="392C428B" w14:textId="77777777" w:rsidR="00980E5F" w:rsidRDefault="00980E5F">
            <w:pPr>
              <w:rPr>
                <w:rFonts w:ascii="宋体"/>
                <w:vanish/>
              </w:rPr>
            </w:pPr>
          </w:p>
        </w:tc>
      </w:tr>
      <w:tr w:rsidR="00980E5F" w14:paraId="392C429C" w14:textId="77777777">
        <w:tc>
          <w:tcPr>
            <w:tcW w:w="0" w:type="auto"/>
            <w:gridSpan w:val="3"/>
            <w:shd w:val="clear" w:color="auto" w:fill="CCEEFF"/>
            <w:tcMar>
              <w:top w:w="40" w:type="dxa"/>
              <w:left w:w="740" w:type="dxa"/>
              <w:bottom w:w="40" w:type="dxa"/>
              <w:right w:w="20" w:type="dxa"/>
            </w:tcMar>
            <w:vAlign w:val="bottom"/>
          </w:tcPr>
          <w:p w14:paraId="392C428D" w14:textId="77777777" w:rsidR="00980E5F" w:rsidRDefault="00483613">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28E"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9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291" w14:textId="77777777" w:rsidR="00980E5F" w:rsidRDefault="00483613">
            <w:pPr>
              <w:jc w:val="right"/>
              <w:textAlignment w:val="bottom"/>
            </w:pPr>
            <w:r>
              <w:rPr>
                <w:rFonts w:ascii="Arial" w:eastAsia="宋体" w:hAnsi="Arial" w:cs="Arial"/>
                <w:b/>
                <w:bCs/>
                <w:color w:val="000000"/>
                <w:sz w:val="14"/>
                <w:szCs w:val="14"/>
              </w:rPr>
              <w:t>23,615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9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294"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9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297" w14:textId="77777777" w:rsidR="00980E5F" w:rsidRDefault="00483613">
            <w:pPr>
              <w:jc w:val="right"/>
              <w:textAlignment w:val="bottom"/>
            </w:pPr>
            <w:r>
              <w:rPr>
                <w:rFonts w:ascii="Arial" w:eastAsia="宋体" w:hAnsi="Arial" w:cs="Arial"/>
                <w:b/>
                <w:bCs/>
                <w:color w:val="000000"/>
                <w:sz w:val="14"/>
                <w:szCs w:val="14"/>
              </w:rPr>
              <w:t>(14,168)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9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29A" w14:textId="77777777" w:rsidR="00980E5F" w:rsidRDefault="00483613">
            <w:pPr>
              <w:jc w:val="right"/>
              <w:textAlignment w:val="bottom"/>
            </w:pPr>
            <w:r>
              <w:rPr>
                <w:rFonts w:ascii="Arial" w:eastAsia="宋体" w:hAnsi="Arial" w:cs="Arial"/>
                <w:b/>
                <w:bCs/>
                <w:color w:val="000000"/>
                <w:sz w:val="14"/>
                <w:szCs w:val="14"/>
              </w:rPr>
              <w:t>9,476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9B" w14:textId="77777777" w:rsidR="00980E5F" w:rsidRDefault="00980E5F">
            <w:pPr>
              <w:jc w:val="right"/>
              <w:rPr>
                <w:rFonts w:ascii="宋体"/>
              </w:rPr>
            </w:pPr>
          </w:p>
        </w:tc>
      </w:tr>
      <w:tr w:rsidR="00980E5F" w14:paraId="392C42A7" w14:textId="77777777">
        <w:trPr>
          <w:hidden/>
        </w:trPr>
        <w:tc>
          <w:tcPr>
            <w:tcW w:w="0" w:type="auto"/>
            <w:gridSpan w:val="3"/>
            <w:shd w:val="clear" w:color="auto" w:fill="auto"/>
            <w:vAlign w:val="bottom"/>
          </w:tcPr>
          <w:p w14:paraId="392C429D" w14:textId="77777777" w:rsidR="00980E5F" w:rsidRDefault="00980E5F">
            <w:pPr>
              <w:rPr>
                <w:rFonts w:ascii="宋体"/>
                <w:vanish/>
              </w:rPr>
            </w:pPr>
          </w:p>
        </w:tc>
        <w:tc>
          <w:tcPr>
            <w:tcW w:w="0" w:type="auto"/>
            <w:gridSpan w:val="3"/>
            <w:shd w:val="clear" w:color="auto" w:fill="auto"/>
            <w:vAlign w:val="bottom"/>
          </w:tcPr>
          <w:p w14:paraId="392C429E" w14:textId="77777777" w:rsidR="00980E5F" w:rsidRDefault="00980E5F">
            <w:pPr>
              <w:rPr>
                <w:rFonts w:ascii="宋体"/>
                <w:vanish/>
              </w:rPr>
            </w:pPr>
          </w:p>
        </w:tc>
        <w:tc>
          <w:tcPr>
            <w:tcW w:w="0" w:type="auto"/>
            <w:gridSpan w:val="3"/>
            <w:shd w:val="clear" w:color="auto" w:fill="auto"/>
            <w:vAlign w:val="bottom"/>
          </w:tcPr>
          <w:p w14:paraId="392C429F" w14:textId="77777777" w:rsidR="00980E5F" w:rsidRDefault="00980E5F">
            <w:pPr>
              <w:rPr>
                <w:rFonts w:ascii="宋体"/>
                <w:vanish/>
              </w:rPr>
            </w:pPr>
          </w:p>
        </w:tc>
        <w:tc>
          <w:tcPr>
            <w:tcW w:w="0" w:type="auto"/>
            <w:gridSpan w:val="3"/>
            <w:shd w:val="clear" w:color="auto" w:fill="auto"/>
            <w:vAlign w:val="bottom"/>
          </w:tcPr>
          <w:p w14:paraId="392C42A0" w14:textId="77777777" w:rsidR="00980E5F" w:rsidRDefault="00980E5F">
            <w:pPr>
              <w:rPr>
                <w:rFonts w:ascii="宋体"/>
                <w:vanish/>
              </w:rPr>
            </w:pPr>
          </w:p>
        </w:tc>
        <w:tc>
          <w:tcPr>
            <w:tcW w:w="0" w:type="auto"/>
            <w:gridSpan w:val="3"/>
            <w:shd w:val="clear" w:color="auto" w:fill="auto"/>
            <w:vAlign w:val="bottom"/>
          </w:tcPr>
          <w:p w14:paraId="392C42A1" w14:textId="77777777" w:rsidR="00980E5F" w:rsidRDefault="00980E5F">
            <w:pPr>
              <w:rPr>
                <w:rFonts w:ascii="宋体"/>
                <w:vanish/>
              </w:rPr>
            </w:pPr>
          </w:p>
        </w:tc>
        <w:tc>
          <w:tcPr>
            <w:tcW w:w="0" w:type="auto"/>
            <w:gridSpan w:val="3"/>
            <w:shd w:val="clear" w:color="auto" w:fill="auto"/>
            <w:vAlign w:val="bottom"/>
          </w:tcPr>
          <w:p w14:paraId="392C42A2" w14:textId="77777777" w:rsidR="00980E5F" w:rsidRDefault="00980E5F">
            <w:pPr>
              <w:rPr>
                <w:rFonts w:ascii="宋体"/>
                <w:vanish/>
              </w:rPr>
            </w:pPr>
          </w:p>
        </w:tc>
        <w:tc>
          <w:tcPr>
            <w:tcW w:w="0" w:type="auto"/>
            <w:gridSpan w:val="3"/>
            <w:shd w:val="clear" w:color="auto" w:fill="auto"/>
            <w:vAlign w:val="bottom"/>
          </w:tcPr>
          <w:p w14:paraId="392C42A3" w14:textId="77777777" w:rsidR="00980E5F" w:rsidRDefault="00980E5F">
            <w:pPr>
              <w:rPr>
                <w:rFonts w:ascii="宋体"/>
                <w:vanish/>
              </w:rPr>
            </w:pPr>
          </w:p>
        </w:tc>
        <w:tc>
          <w:tcPr>
            <w:tcW w:w="0" w:type="auto"/>
            <w:gridSpan w:val="3"/>
            <w:shd w:val="clear" w:color="auto" w:fill="auto"/>
            <w:vAlign w:val="bottom"/>
          </w:tcPr>
          <w:p w14:paraId="392C42A4" w14:textId="77777777" w:rsidR="00980E5F" w:rsidRDefault="00980E5F">
            <w:pPr>
              <w:rPr>
                <w:rFonts w:ascii="宋体"/>
                <w:vanish/>
              </w:rPr>
            </w:pPr>
          </w:p>
        </w:tc>
        <w:tc>
          <w:tcPr>
            <w:tcW w:w="0" w:type="auto"/>
            <w:gridSpan w:val="3"/>
            <w:shd w:val="clear" w:color="auto" w:fill="auto"/>
            <w:vAlign w:val="bottom"/>
          </w:tcPr>
          <w:p w14:paraId="392C42A5" w14:textId="77777777" w:rsidR="00980E5F" w:rsidRDefault="00980E5F">
            <w:pPr>
              <w:rPr>
                <w:rFonts w:ascii="宋体"/>
                <w:vanish/>
              </w:rPr>
            </w:pPr>
          </w:p>
        </w:tc>
        <w:tc>
          <w:tcPr>
            <w:tcW w:w="0" w:type="auto"/>
            <w:gridSpan w:val="3"/>
            <w:shd w:val="clear" w:color="auto" w:fill="auto"/>
            <w:vAlign w:val="bottom"/>
          </w:tcPr>
          <w:p w14:paraId="392C42A6" w14:textId="77777777" w:rsidR="00980E5F" w:rsidRDefault="00980E5F">
            <w:pPr>
              <w:rPr>
                <w:rFonts w:ascii="宋体"/>
                <w:vanish/>
              </w:rPr>
            </w:pPr>
          </w:p>
        </w:tc>
      </w:tr>
      <w:tr w:rsidR="00980E5F" w14:paraId="392C42B2" w14:textId="77777777">
        <w:trPr>
          <w:hidden/>
        </w:trPr>
        <w:tc>
          <w:tcPr>
            <w:tcW w:w="0" w:type="auto"/>
            <w:gridSpan w:val="3"/>
            <w:shd w:val="clear" w:color="auto" w:fill="auto"/>
            <w:vAlign w:val="bottom"/>
          </w:tcPr>
          <w:p w14:paraId="392C42A8" w14:textId="77777777" w:rsidR="00980E5F" w:rsidRDefault="00980E5F">
            <w:pPr>
              <w:rPr>
                <w:rFonts w:ascii="宋体"/>
                <w:vanish/>
              </w:rPr>
            </w:pPr>
          </w:p>
        </w:tc>
        <w:tc>
          <w:tcPr>
            <w:tcW w:w="0" w:type="auto"/>
            <w:gridSpan w:val="3"/>
            <w:shd w:val="clear" w:color="auto" w:fill="auto"/>
            <w:vAlign w:val="bottom"/>
          </w:tcPr>
          <w:p w14:paraId="392C42A9" w14:textId="77777777" w:rsidR="00980E5F" w:rsidRDefault="00980E5F">
            <w:pPr>
              <w:rPr>
                <w:rFonts w:ascii="宋体"/>
                <w:vanish/>
              </w:rPr>
            </w:pPr>
          </w:p>
        </w:tc>
        <w:tc>
          <w:tcPr>
            <w:tcW w:w="0" w:type="auto"/>
            <w:gridSpan w:val="3"/>
            <w:shd w:val="clear" w:color="auto" w:fill="auto"/>
            <w:vAlign w:val="bottom"/>
          </w:tcPr>
          <w:p w14:paraId="392C42AA" w14:textId="77777777" w:rsidR="00980E5F" w:rsidRDefault="00980E5F">
            <w:pPr>
              <w:rPr>
                <w:rFonts w:ascii="宋体"/>
                <w:vanish/>
              </w:rPr>
            </w:pPr>
          </w:p>
        </w:tc>
        <w:tc>
          <w:tcPr>
            <w:tcW w:w="0" w:type="auto"/>
            <w:gridSpan w:val="3"/>
            <w:shd w:val="clear" w:color="auto" w:fill="auto"/>
            <w:vAlign w:val="bottom"/>
          </w:tcPr>
          <w:p w14:paraId="392C42AB" w14:textId="77777777" w:rsidR="00980E5F" w:rsidRDefault="00980E5F">
            <w:pPr>
              <w:rPr>
                <w:rFonts w:ascii="宋体"/>
                <w:vanish/>
              </w:rPr>
            </w:pPr>
          </w:p>
        </w:tc>
        <w:tc>
          <w:tcPr>
            <w:tcW w:w="0" w:type="auto"/>
            <w:gridSpan w:val="3"/>
            <w:shd w:val="clear" w:color="auto" w:fill="auto"/>
            <w:vAlign w:val="bottom"/>
          </w:tcPr>
          <w:p w14:paraId="392C42AC" w14:textId="77777777" w:rsidR="00980E5F" w:rsidRDefault="00980E5F">
            <w:pPr>
              <w:rPr>
                <w:rFonts w:ascii="宋体"/>
                <w:vanish/>
              </w:rPr>
            </w:pPr>
          </w:p>
        </w:tc>
        <w:tc>
          <w:tcPr>
            <w:tcW w:w="0" w:type="auto"/>
            <w:gridSpan w:val="3"/>
            <w:shd w:val="clear" w:color="auto" w:fill="auto"/>
            <w:vAlign w:val="bottom"/>
          </w:tcPr>
          <w:p w14:paraId="392C42AD" w14:textId="77777777" w:rsidR="00980E5F" w:rsidRDefault="00980E5F">
            <w:pPr>
              <w:rPr>
                <w:rFonts w:ascii="宋体"/>
                <w:vanish/>
              </w:rPr>
            </w:pPr>
          </w:p>
        </w:tc>
        <w:tc>
          <w:tcPr>
            <w:tcW w:w="0" w:type="auto"/>
            <w:gridSpan w:val="3"/>
            <w:shd w:val="clear" w:color="auto" w:fill="auto"/>
            <w:vAlign w:val="bottom"/>
          </w:tcPr>
          <w:p w14:paraId="392C42AE" w14:textId="77777777" w:rsidR="00980E5F" w:rsidRDefault="00980E5F">
            <w:pPr>
              <w:rPr>
                <w:rFonts w:ascii="宋体"/>
                <w:vanish/>
              </w:rPr>
            </w:pPr>
          </w:p>
        </w:tc>
        <w:tc>
          <w:tcPr>
            <w:tcW w:w="0" w:type="auto"/>
            <w:gridSpan w:val="3"/>
            <w:shd w:val="clear" w:color="auto" w:fill="auto"/>
            <w:vAlign w:val="bottom"/>
          </w:tcPr>
          <w:p w14:paraId="392C42AF" w14:textId="77777777" w:rsidR="00980E5F" w:rsidRDefault="00980E5F">
            <w:pPr>
              <w:rPr>
                <w:rFonts w:ascii="宋体"/>
                <w:vanish/>
              </w:rPr>
            </w:pPr>
          </w:p>
        </w:tc>
        <w:tc>
          <w:tcPr>
            <w:tcW w:w="0" w:type="auto"/>
            <w:gridSpan w:val="3"/>
            <w:shd w:val="clear" w:color="auto" w:fill="auto"/>
            <w:vAlign w:val="bottom"/>
          </w:tcPr>
          <w:p w14:paraId="392C42B0" w14:textId="77777777" w:rsidR="00980E5F" w:rsidRDefault="00980E5F">
            <w:pPr>
              <w:rPr>
                <w:rFonts w:ascii="宋体"/>
                <w:vanish/>
              </w:rPr>
            </w:pPr>
          </w:p>
        </w:tc>
        <w:tc>
          <w:tcPr>
            <w:tcW w:w="0" w:type="auto"/>
            <w:gridSpan w:val="3"/>
            <w:shd w:val="clear" w:color="auto" w:fill="auto"/>
            <w:vAlign w:val="bottom"/>
          </w:tcPr>
          <w:p w14:paraId="392C42B1" w14:textId="77777777" w:rsidR="00980E5F" w:rsidRDefault="00980E5F">
            <w:pPr>
              <w:rPr>
                <w:rFonts w:ascii="宋体"/>
                <w:vanish/>
              </w:rPr>
            </w:pPr>
          </w:p>
        </w:tc>
      </w:tr>
      <w:tr w:rsidR="00980E5F" w14:paraId="392C42C2" w14:textId="77777777">
        <w:tc>
          <w:tcPr>
            <w:tcW w:w="0" w:type="auto"/>
            <w:gridSpan w:val="3"/>
            <w:shd w:val="clear" w:color="auto" w:fill="FFFFFF"/>
            <w:tcMar>
              <w:top w:w="40" w:type="dxa"/>
              <w:left w:w="245" w:type="dxa"/>
              <w:bottom w:w="40" w:type="dxa"/>
              <w:right w:w="20" w:type="dxa"/>
            </w:tcMar>
            <w:vAlign w:val="bottom"/>
          </w:tcPr>
          <w:p w14:paraId="392C42B3"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42B4"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B7" w14:textId="77777777" w:rsidR="00980E5F" w:rsidRDefault="00483613">
            <w:pPr>
              <w:jc w:val="right"/>
              <w:textAlignment w:val="bottom"/>
            </w:pPr>
            <w:r>
              <w:rPr>
                <w:rFonts w:ascii="Arial" w:eastAsia="宋体" w:hAnsi="Arial" w:cs="Arial"/>
                <w:b/>
                <w:bCs/>
                <w:color w:val="000000"/>
                <w:sz w:val="14"/>
                <w:szCs w:val="14"/>
              </w:rPr>
              <w:t>621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B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B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2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2C0" w14:textId="77777777" w:rsidR="00980E5F" w:rsidRDefault="00483613">
            <w:pPr>
              <w:jc w:val="right"/>
              <w:textAlignment w:val="bottom"/>
            </w:pPr>
            <w:r>
              <w:rPr>
                <w:rFonts w:ascii="Arial" w:eastAsia="宋体" w:hAnsi="Arial" w:cs="Arial"/>
                <w:b/>
                <w:bCs/>
                <w:color w:val="000000"/>
                <w:sz w:val="14"/>
                <w:szCs w:val="14"/>
              </w:rPr>
              <w:t>633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2C1" w14:textId="77777777" w:rsidR="00980E5F" w:rsidRDefault="00980E5F">
            <w:pPr>
              <w:jc w:val="right"/>
              <w:rPr>
                <w:rFonts w:ascii="宋体"/>
              </w:rPr>
            </w:pPr>
          </w:p>
        </w:tc>
      </w:tr>
      <w:tr w:rsidR="00980E5F" w14:paraId="392C42D7" w14:textId="77777777">
        <w:tc>
          <w:tcPr>
            <w:tcW w:w="0" w:type="auto"/>
            <w:gridSpan w:val="3"/>
            <w:shd w:val="clear" w:color="auto" w:fill="CCEEFF"/>
            <w:tcMar>
              <w:top w:w="40" w:type="dxa"/>
              <w:left w:w="20" w:type="dxa"/>
              <w:bottom w:w="40" w:type="dxa"/>
              <w:right w:w="20" w:type="dxa"/>
            </w:tcMar>
            <w:vAlign w:val="bottom"/>
          </w:tcPr>
          <w:p w14:paraId="392C42C3" w14:textId="77777777" w:rsidR="00980E5F" w:rsidRDefault="00483613">
            <w:pPr>
              <w:textAlignment w:val="bottom"/>
            </w:pPr>
            <w:r>
              <w:rPr>
                <w:rFonts w:ascii="Arial" w:eastAsia="宋体" w:hAnsi="Arial" w:cs="Arial"/>
                <w:color w:val="000000"/>
                <w:sz w:val="14"/>
                <w:szCs w:val="14"/>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42C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2C5" w14:textId="77777777" w:rsidR="00980E5F" w:rsidRDefault="00483613">
            <w:pPr>
              <w:jc w:val="right"/>
              <w:textAlignment w:val="bottom"/>
            </w:pPr>
            <w:r>
              <w:rPr>
                <w:rFonts w:ascii="Arial" w:eastAsia="宋体" w:hAnsi="Arial" w:cs="Arial"/>
                <w:b/>
                <w:bCs/>
                <w:color w:val="000000"/>
                <w:sz w:val="14"/>
                <w:szCs w:val="14"/>
              </w:rPr>
              <w:t>9,476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C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2C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2C9" w14:textId="77777777" w:rsidR="00980E5F" w:rsidRDefault="00483613">
            <w:pPr>
              <w:jc w:val="right"/>
              <w:textAlignment w:val="bottom"/>
            </w:pPr>
            <w:r>
              <w:rPr>
                <w:rFonts w:ascii="Arial" w:eastAsia="宋体" w:hAnsi="Arial" w:cs="Arial"/>
                <w:b/>
                <w:bCs/>
                <w:color w:val="000000"/>
                <w:sz w:val="14"/>
                <w:szCs w:val="14"/>
              </w:rPr>
              <w:t>60,968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C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2C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2CD"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C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2D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2D1" w14:textId="77777777" w:rsidR="00980E5F" w:rsidRDefault="00483613">
            <w:pPr>
              <w:jc w:val="right"/>
              <w:textAlignment w:val="bottom"/>
            </w:pPr>
            <w:r>
              <w:rPr>
                <w:rFonts w:ascii="Arial" w:eastAsia="宋体" w:hAnsi="Arial" w:cs="Arial"/>
                <w:b/>
                <w:bCs/>
                <w:color w:val="000000"/>
                <w:sz w:val="14"/>
                <w:szCs w:val="14"/>
              </w:rPr>
              <w:t>(14,168)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2D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2D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2D5" w14:textId="77777777" w:rsidR="00980E5F" w:rsidRDefault="00483613">
            <w:pPr>
              <w:jc w:val="right"/>
              <w:textAlignment w:val="bottom"/>
            </w:pPr>
            <w:r>
              <w:rPr>
                <w:rFonts w:ascii="Arial" w:eastAsia="宋体" w:hAnsi="Arial" w:cs="Arial"/>
                <w:b/>
                <w:bCs/>
                <w:color w:val="000000"/>
                <w:sz w:val="14"/>
                <w:szCs w:val="14"/>
              </w:rPr>
              <w:t>56,291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2D6" w14:textId="77777777" w:rsidR="00980E5F" w:rsidRDefault="00980E5F">
            <w:pPr>
              <w:jc w:val="right"/>
              <w:rPr>
                <w:rFonts w:ascii="宋体"/>
              </w:rPr>
            </w:pPr>
          </w:p>
        </w:tc>
      </w:tr>
      <w:tr w:rsidR="00980E5F" w14:paraId="392C42E2" w14:textId="77777777">
        <w:tc>
          <w:tcPr>
            <w:tcW w:w="0" w:type="auto"/>
            <w:gridSpan w:val="3"/>
            <w:shd w:val="clear" w:color="auto" w:fill="FFFFFF"/>
            <w:tcMar>
              <w:top w:w="40" w:type="dxa"/>
              <w:left w:w="20" w:type="dxa"/>
              <w:bottom w:w="40" w:type="dxa"/>
              <w:right w:w="20" w:type="dxa"/>
            </w:tcMar>
            <w:vAlign w:val="bottom"/>
          </w:tcPr>
          <w:p w14:paraId="392C42D8" w14:textId="77777777" w:rsidR="00980E5F" w:rsidRDefault="00483613">
            <w:pPr>
              <w:textAlignment w:val="bottom"/>
            </w:pPr>
            <w:r>
              <w:rPr>
                <w:rFonts w:ascii="Arial" w:eastAsia="宋体" w:hAnsi="Arial" w:cs="Arial"/>
                <w:b/>
                <w:bCs/>
                <w:color w:val="000000"/>
                <w:sz w:val="14"/>
                <w:szCs w:val="14"/>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2D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D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2D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D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2D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D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2D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2E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2E1" w14:textId="77777777" w:rsidR="00980E5F" w:rsidRDefault="00980E5F">
            <w:pPr>
              <w:rPr>
                <w:rFonts w:ascii="宋体"/>
              </w:rPr>
            </w:pPr>
          </w:p>
        </w:tc>
      </w:tr>
      <w:tr w:rsidR="00980E5F" w14:paraId="392C42ED" w14:textId="77777777">
        <w:tc>
          <w:tcPr>
            <w:tcW w:w="0" w:type="auto"/>
            <w:gridSpan w:val="3"/>
            <w:shd w:val="clear" w:color="auto" w:fill="CCEEFF"/>
            <w:tcMar>
              <w:top w:w="40" w:type="dxa"/>
              <w:left w:w="20" w:type="dxa"/>
              <w:bottom w:w="40" w:type="dxa"/>
              <w:right w:w="20" w:type="dxa"/>
            </w:tcMar>
            <w:vAlign w:val="bottom"/>
          </w:tcPr>
          <w:p w14:paraId="392C42E3" w14:textId="77777777" w:rsidR="00980E5F" w:rsidRDefault="00483613">
            <w:pPr>
              <w:textAlignment w:val="bottom"/>
            </w:pPr>
            <w:r>
              <w:rPr>
                <w:rFonts w:ascii="Arial" w:eastAsia="宋体" w:hAnsi="Arial" w:cs="Arial"/>
                <w:color w:val="000000"/>
                <w:sz w:val="14"/>
                <w:szCs w:val="14"/>
              </w:rPr>
              <w:t xml:space="preserve">Accrued expenses and other </w:t>
            </w:r>
            <w:r>
              <w:rPr>
                <w:rFonts w:ascii="Arial" w:eastAsia="宋体" w:hAnsi="Arial" w:cs="Arial"/>
                <w:color w:val="000000"/>
                <w:sz w:val="14"/>
                <w:szCs w:val="14"/>
              </w:rPr>
              <w:t>liabilities:</w:t>
            </w:r>
          </w:p>
        </w:tc>
        <w:tc>
          <w:tcPr>
            <w:tcW w:w="0" w:type="auto"/>
            <w:gridSpan w:val="3"/>
            <w:shd w:val="clear" w:color="auto" w:fill="CCEEFF"/>
            <w:tcMar>
              <w:top w:w="0" w:type="dxa"/>
              <w:left w:w="20" w:type="dxa"/>
              <w:bottom w:w="0" w:type="dxa"/>
              <w:right w:w="20" w:type="dxa"/>
            </w:tcMar>
            <w:vAlign w:val="bottom"/>
          </w:tcPr>
          <w:p w14:paraId="392C42E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2EC" w14:textId="77777777" w:rsidR="00980E5F" w:rsidRDefault="00980E5F">
            <w:pPr>
              <w:rPr>
                <w:rFonts w:ascii="宋体"/>
              </w:rPr>
            </w:pPr>
          </w:p>
        </w:tc>
      </w:tr>
      <w:tr w:rsidR="00980E5F" w14:paraId="392C42F8" w14:textId="77777777">
        <w:trPr>
          <w:hidden/>
        </w:trPr>
        <w:tc>
          <w:tcPr>
            <w:tcW w:w="0" w:type="auto"/>
            <w:gridSpan w:val="3"/>
            <w:shd w:val="clear" w:color="auto" w:fill="auto"/>
            <w:vAlign w:val="bottom"/>
          </w:tcPr>
          <w:p w14:paraId="392C42EE" w14:textId="77777777" w:rsidR="00980E5F" w:rsidRDefault="00980E5F">
            <w:pPr>
              <w:rPr>
                <w:rFonts w:ascii="宋体"/>
                <w:vanish/>
              </w:rPr>
            </w:pPr>
          </w:p>
        </w:tc>
        <w:tc>
          <w:tcPr>
            <w:tcW w:w="0" w:type="auto"/>
            <w:gridSpan w:val="3"/>
            <w:shd w:val="clear" w:color="auto" w:fill="auto"/>
            <w:vAlign w:val="bottom"/>
          </w:tcPr>
          <w:p w14:paraId="392C42EF" w14:textId="77777777" w:rsidR="00980E5F" w:rsidRDefault="00980E5F">
            <w:pPr>
              <w:rPr>
                <w:rFonts w:ascii="宋体"/>
                <w:vanish/>
              </w:rPr>
            </w:pPr>
          </w:p>
        </w:tc>
        <w:tc>
          <w:tcPr>
            <w:tcW w:w="0" w:type="auto"/>
            <w:gridSpan w:val="3"/>
            <w:shd w:val="clear" w:color="auto" w:fill="auto"/>
            <w:vAlign w:val="bottom"/>
          </w:tcPr>
          <w:p w14:paraId="392C42F0" w14:textId="77777777" w:rsidR="00980E5F" w:rsidRDefault="00980E5F">
            <w:pPr>
              <w:rPr>
                <w:rFonts w:ascii="宋体"/>
                <w:vanish/>
              </w:rPr>
            </w:pPr>
          </w:p>
        </w:tc>
        <w:tc>
          <w:tcPr>
            <w:tcW w:w="0" w:type="auto"/>
            <w:gridSpan w:val="3"/>
            <w:shd w:val="clear" w:color="auto" w:fill="auto"/>
            <w:vAlign w:val="bottom"/>
          </w:tcPr>
          <w:p w14:paraId="392C42F1" w14:textId="77777777" w:rsidR="00980E5F" w:rsidRDefault="00980E5F">
            <w:pPr>
              <w:rPr>
                <w:rFonts w:ascii="宋体"/>
                <w:vanish/>
              </w:rPr>
            </w:pPr>
          </w:p>
        </w:tc>
        <w:tc>
          <w:tcPr>
            <w:tcW w:w="0" w:type="auto"/>
            <w:gridSpan w:val="3"/>
            <w:shd w:val="clear" w:color="auto" w:fill="auto"/>
            <w:vAlign w:val="bottom"/>
          </w:tcPr>
          <w:p w14:paraId="392C42F2" w14:textId="77777777" w:rsidR="00980E5F" w:rsidRDefault="00980E5F">
            <w:pPr>
              <w:rPr>
                <w:rFonts w:ascii="宋体"/>
                <w:vanish/>
              </w:rPr>
            </w:pPr>
          </w:p>
        </w:tc>
        <w:tc>
          <w:tcPr>
            <w:tcW w:w="0" w:type="auto"/>
            <w:gridSpan w:val="3"/>
            <w:shd w:val="clear" w:color="auto" w:fill="auto"/>
            <w:vAlign w:val="bottom"/>
          </w:tcPr>
          <w:p w14:paraId="392C42F3" w14:textId="77777777" w:rsidR="00980E5F" w:rsidRDefault="00980E5F">
            <w:pPr>
              <w:rPr>
                <w:rFonts w:ascii="宋体"/>
                <w:vanish/>
              </w:rPr>
            </w:pPr>
          </w:p>
        </w:tc>
        <w:tc>
          <w:tcPr>
            <w:tcW w:w="0" w:type="auto"/>
            <w:gridSpan w:val="3"/>
            <w:shd w:val="clear" w:color="auto" w:fill="auto"/>
            <w:vAlign w:val="bottom"/>
          </w:tcPr>
          <w:p w14:paraId="392C42F4" w14:textId="77777777" w:rsidR="00980E5F" w:rsidRDefault="00980E5F">
            <w:pPr>
              <w:rPr>
                <w:rFonts w:ascii="宋体"/>
                <w:vanish/>
              </w:rPr>
            </w:pPr>
          </w:p>
        </w:tc>
        <w:tc>
          <w:tcPr>
            <w:tcW w:w="0" w:type="auto"/>
            <w:gridSpan w:val="3"/>
            <w:shd w:val="clear" w:color="auto" w:fill="auto"/>
            <w:vAlign w:val="bottom"/>
          </w:tcPr>
          <w:p w14:paraId="392C42F5" w14:textId="77777777" w:rsidR="00980E5F" w:rsidRDefault="00980E5F">
            <w:pPr>
              <w:rPr>
                <w:rFonts w:ascii="宋体"/>
                <w:vanish/>
              </w:rPr>
            </w:pPr>
          </w:p>
        </w:tc>
        <w:tc>
          <w:tcPr>
            <w:tcW w:w="0" w:type="auto"/>
            <w:gridSpan w:val="3"/>
            <w:shd w:val="clear" w:color="auto" w:fill="auto"/>
            <w:vAlign w:val="bottom"/>
          </w:tcPr>
          <w:p w14:paraId="392C42F6" w14:textId="77777777" w:rsidR="00980E5F" w:rsidRDefault="00980E5F">
            <w:pPr>
              <w:rPr>
                <w:rFonts w:ascii="宋体"/>
                <w:vanish/>
              </w:rPr>
            </w:pPr>
          </w:p>
        </w:tc>
        <w:tc>
          <w:tcPr>
            <w:tcW w:w="0" w:type="auto"/>
            <w:gridSpan w:val="3"/>
            <w:shd w:val="clear" w:color="auto" w:fill="auto"/>
            <w:vAlign w:val="bottom"/>
          </w:tcPr>
          <w:p w14:paraId="392C42F7" w14:textId="77777777" w:rsidR="00980E5F" w:rsidRDefault="00980E5F">
            <w:pPr>
              <w:rPr>
                <w:rFonts w:ascii="宋体"/>
                <w:vanish/>
              </w:rPr>
            </w:pPr>
          </w:p>
        </w:tc>
      </w:tr>
      <w:tr w:rsidR="00980E5F" w14:paraId="392C4303" w14:textId="77777777">
        <w:trPr>
          <w:hidden/>
        </w:trPr>
        <w:tc>
          <w:tcPr>
            <w:tcW w:w="0" w:type="auto"/>
            <w:gridSpan w:val="3"/>
            <w:shd w:val="clear" w:color="auto" w:fill="auto"/>
            <w:vAlign w:val="bottom"/>
          </w:tcPr>
          <w:p w14:paraId="392C42F9" w14:textId="77777777" w:rsidR="00980E5F" w:rsidRDefault="00980E5F">
            <w:pPr>
              <w:rPr>
                <w:rFonts w:ascii="宋体"/>
                <w:vanish/>
              </w:rPr>
            </w:pPr>
          </w:p>
        </w:tc>
        <w:tc>
          <w:tcPr>
            <w:tcW w:w="0" w:type="auto"/>
            <w:gridSpan w:val="3"/>
            <w:shd w:val="clear" w:color="auto" w:fill="auto"/>
            <w:vAlign w:val="bottom"/>
          </w:tcPr>
          <w:p w14:paraId="392C42FA" w14:textId="77777777" w:rsidR="00980E5F" w:rsidRDefault="00980E5F">
            <w:pPr>
              <w:rPr>
                <w:rFonts w:ascii="宋体"/>
                <w:vanish/>
              </w:rPr>
            </w:pPr>
          </w:p>
        </w:tc>
        <w:tc>
          <w:tcPr>
            <w:tcW w:w="0" w:type="auto"/>
            <w:gridSpan w:val="3"/>
            <w:shd w:val="clear" w:color="auto" w:fill="auto"/>
            <w:vAlign w:val="bottom"/>
          </w:tcPr>
          <w:p w14:paraId="392C42FB" w14:textId="77777777" w:rsidR="00980E5F" w:rsidRDefault="00980E5F">
            <w:pPr>
              <w:rPr>
                <w:rFonts w:ascii="宋体"/>
                <w:vanish/>
              </w:rPr>
            </w:pPr>
          </w:p>
        </w:tc>
        <w:tc>
          <w:tcPr>
            <w:tcW w:w="0" w:type="auto"/>
            <w:gridSpan w:val="3"/>
            <w:shd w:val="clear" w:color="auto" w:fill="auto"/>
            <w:vAlign w:val="bottom"/>
          </w:tcPr>
          <w:p w14:paraId="392C42FC" w14:textId="77777777" w:rsidR="00980E5F" w:rsidRDefault="00980E5F">
            <w:pPr>
              <w:rPr>
                <w:rFonts w:ascii="宋体"/>
                <w:vanish/>
              </w:rPr>
            </w:pPr>
          </w:p>
        </w:tc>
        <w:tc>
          <w:tcPr>
            <w:tcW w:w="0" w:type="auto"/>
            <w:gridSpan w:val="3"/>
            <w:shd w:val="clear" w:color="auto" w:fill="auto"/>
            <w:vAlign w:val="bottom"/>
          </w:tcPr>
          <w:p w14:paraId="392C42FD" w14:textId="77777777" w:rsidR="00980E5F" w:rsidRDefault="00980E5F">
            <w:pPr>
              <w:rPr>
                <w:rFonts w:ascii="宋体"/>
                <w:vanish/>
              </w:rPr>
            </w:pPr>
          </w:p>
        </w:tc>
        <w:tc>
          <w:tcPr>
            <w:tcW w:w="0" w:type="auto"/>
            <w:gridSpan w:val="3"/>
            <w:shd w:val="clear" w:color="auto" w:fill="auto"/>
            <w:vAlign w:val="bottom"/>
          </w:tcPr>
          <w:p w14:paraId="392C42FE" w14:textId="77777777" w:rsidR="00980E5F" w:rsidRDefault="00980E5F">
            <w:pPr>
              <w:rPr>
                <w:rFonts w:ascii="宋体"/>
                <w:vanish/>
              </w:rPr>
            </w:pPr>
          </w:p>
        </w:tc>
        <w:tc>
          <w:tcPr>
            <w:tcW w:w="0" w:type="auto"/>
            <w:gridSpan w:val="3"/>
            <w:shd w:val="clear" w:color="auto" w:fill="auto"/>
            <w:vAlign w:val="bottom"/>
          </w:tcPr>
          <w:p w14:paraId="392C42FF" w14:textId="77777777" w:rsidR="00980E5F" w:rsidRDefault="00980E5F">
            <w:pPr>
              <w:rPr>
                <w:rFonts w:ascii="宋体"/>
                <w:vanish/>
              </w:rPr>
            </w:pPr>
          </w:p>
        </w:tc>
        <w:tc>
          <w:tcPr>
            <w:tcW w:w="0" w:type="auto"/>
            <w:gridSpan w:val="3"/>
            <w:shd w:val="clear" w:color="auto" w:fill="auto"/>
            <w:vAlign w:val="bottom"/>
          </w:tcPr>
          <w:p w14:paraId="392C4300" w14:textId="77777777" w:rsidR="00980E5F" w:rsidRDefault="00980E5F">
            <w:pPr>
              <w:rPr>
                <w:rFonts w:ascii="宋体"/>
                <w:vanish/>
              </w:rPr>
            </w:pPr>
          </w:p>
        </w:tc>
        <w:tc>
          <w:tcPr>
            <w:tcW w:w="0" w:type="auto"/>
            <w:gridSpan w:val="3"/>
            <w:shd w:val="clear" w:color="auto" w:fill="auto"/>
            <w:vAlign w:val="bottom"/>
          </w:tcPr>
          <w:p w14:paraId="392C4301" w14:textId="77777777" w:rsidR="00980E5F" w:rsidRDefault="00980E5F">
            <w:pPr>
              <w:rPr>
                <w:rFonts w:ascii="宋体"/>
                <w:vanish/>
              </w:rPr>
            </w:pPr>
          </w:p>
        </w:tc>
        <w:tc>
          <w:tcPr>
            <w:tcW w:w="0" w:type="auto"/>
            <w:gridSpan w:val="3"/>
            <w:shd w:val="clear" w:color="auto" w:fill="auto"/>
            <w:vAlign w:val="bottom"/>
          </w:tcPr>
          <w:p w14:paraId="392C4302" w14:textId="77777777" w:rsidR="00980E5F" w:rsidRDefault="00980E5F">
            <w:pPr>
              <w:rPr>
                <w:rFonts w:ascii="宋体"/>
                <w:vanish/>
              </w:rPr>
            </w:pPr>
          </w:p>
        </w:tc>
      </w:tr>
      <w:tr w:rsidR="00980E5F" w14:paraId="392C430E" w14:textId="77777777">
        <w:trPr>
          <w:hidden/>
        </w:trPr>
        <w:tc>
          <w:tcPr>
            <w:tcW w:w="0" w:type="auto"/>
            <w:gridSpan w:val="3"/>
            <w:shd w:val="clear" w:color="auto" w:fill="auto"/>
            <w:vAlign w:val="bottom"/>
          </w:tcPr>
          <w:p w14:paraId="392C4304" w14:textId="77777777" w:rsidR="00980E5F" w:rsidRDefault="00980E5F">
            <w:pPr>
              <w:rPr>
                <w:rFonts w:ascii="宋体"/>
                <w:vanish/>
              </w:rPr>
            </w:pPr>
          </w:p>
        </w:tc>
        <w:tc>
          <w:tcPr>
            <w:tcW w:w="0" w:type="auto"/>
            <w:gridSpan w:val="3"/>
            <w:shd w:val="clear" w:color="auto" w:fill="auto"/>
            <w:vAlign w:val="bottom"/>
          </w:tcPr>
          <w:p w14:paraId="392C4305" w14:textId="77777777" w:rsidR="00980E5F" w:rsidRDefault="00980E5F">
            <w:pPr>
              <w:rPr>
                <w:rFonts w:ascii="宋体"/>
                <w:vanish/>
              </w:rPr>
            </w:pPr>
          </w:p>
        </w:tc>
        <w:tc>
          <w:tcPr>
            <w:tcW w:w="0" w:type="auto"/>
            <w:gridSpan w:val="3"/>
            <w:shd w:val="clear" w:color="auto" w:fill="auto"/>
            <w:vAlign w:val="bottom"/>
          </w:tcPr>
          <w:p w14:paraId="392C4306" w14:textId="77777777" w:rsidR="00980E5F" w:rsidRDefault="00980E5F">
            <w:pPr>
              <w:rPr>
                <w:rFonts w:ascii="宋体"/>
                <w:vanish/>
              </w:rPr>
            </w:pPr>
          </w:p>
        </w:tc>
        <w:tc>
          <w:tcPr>
            <w:tcW w:w="0" w:type="auto"/>
            <w:gridSpan w:val="3"/>
            <w:shd w:val="clear" w:color="auto" w:fill="auto"/>
            <w:vAlign w:val="bottom"/>
          </w:tcPr>
          <w:p w14:paraId="392C4307" w14:textId="77777777" w:rsidR="00980E5F" w:rsidRDefault="00980E5F">
            <w:pPr>
              <w:rPr>
                <w:rFonts w:ascii="宋体"/>
                <w:vanish/>
              </w:rPr>
            </w:pPr>
          </w:p>
        </w:tc>
        <w:tc>
          <w:tcPr>
            <w:tcW w:w="0" w:type="auto"/>
            <w:gridSpan w:val="3"/>
            <w:shd w:val="clear" w:color="auto" w:fill="auto"/>
            <w:vAlign w:val="bottom"/>
          </w:tcPr>
          <w:p w14:paraId="392C4308" w14:textId="77777777" w:rsidR="00980E5F" w:rsidRDefault="00980E5F">
            <w:pPr>
              <w:rPr>
                <w:rFonts w:ascii="宋体"/>
                <w:vanish/>
              </w:rPr>
            </w:pPr>
          </w:p>
        </w:tc>
        <w:tc>
          <w:tcPr>
            <w:tcW w:w="0" w:type="auto"/>
            <w:gridSpan w:val="3"/>
            <w:shd w:val="clear" w:color="auto" w:fill="auto"/>
            <w:vAlign w:val="bottom"/>
          </w:tcPr>
          <w:p w14:paraId="392C4309" w14:textId="77777777" w:rsidR="00980E5F" w:rsidRDefault="00980E5F">
            <w:pPr>
              <w:rPr>
                <w:rFonts w:ascii="宋体"/>
                <w:vanish/>
              </w:rPr>
            </w:pPr>
          </w:p>
        </w:tc>
        <w:tc>
          <w:tcPr>
            <w:tcW w:w="0" w:type="auto"/>
            <w:gridSpan w:val="3"/>
            <w:shd w:val="clear" w:color="auto" w:fill="auto"/>
            <w:vAlign w:val="bottom"/>
          </w:tcPr>
          <w:p w14:paraId="392C430A" w14:textId="77777777" w:rsidR="00980E5F" w:rsidRDefault="00980E5F">
            <w:pPr>
              <w:rPr>
                <w:rFonts w:ascii="宋体"/>
                <w:vanish/>
              </w:rPr>
            </w:pPr>
          </w:p>
        </w:tc>
        <w:tc>
          <w:tcPr>
            <w:tcW w:w="0" w:type="auto"/>
            <w:gridSpan w:val="3"/>
            <w:shd w:val="clear" w:color="auto" w:fill="auto"/>
            <w:vAlign w:val="bottom"/>
          </w:tcPr>
          <w:p w14:paraId="392C430B" w14:textId="77777777" w:rsidR="00980E5F" w:rsidRDefault="00980E5F">
            <w:pPr>
              <w:rPr>
                <w:rFonts w:ascii="宋体"/>
                <w:vanish/>
              </w:rPr>
            </w:pPr>
          </w:p>
        </w:tc>
        <w:tc>
          <w:tcPr>
            <w:tcW w:w="0" w:type="auto"/>
            <w:gridSpan w:val="3"/>
            <w:shd w:val="clear" w:color="auto" w:fill="auto"/>
            <w:vAlign w:val="bottom"/>
          </w:tcPr>
          <w:p w14:paraId="392C430C" w14:textId="77777777" w:rsidR="00980E5F" w:rsidRDefault="00980E5F">
            <w:pPr>
              <w:rPr>
                <w:rFonts w:ascii="宋体"/>
                <w:vanish/>
              </w:rPr>
            </w:pPr>
          </w:p>
        </w:tc>
        <w:tc>
          <w:tcPr>
            <w:tcW w:w="0" w:type="auto"/>
            <w:gridSpan w:val="3"/>
            <w:shd w:val="clear" w:color="auto" w:fill="auto"/>
            <w:vAlign w:val="bottom"/>
          </w:tcPr>
          <w:p w14:paraId="392C430D" w14:textId="77777777" w:rsidR="00980E5F" w:rsidRDefault="00980E5F">
            <w:pPr>
              <w:rPr>
                <w:rFonts w:ascii="宋体"/>
                <w:vanish/>
              </w:rPr>
            </w:pPr>
          </w:p>
        </w:tc>
      </w:tr>
      <w:tr w:rsidR="00980E5F" w14:paraId="392C4319" w14:textId="77777777">
        <w:trPr>
          <w:hidden/>
        </w:trPr>
        <w:tc>
          <w:tcPr>
            <w:tcW w:w="0" w:type="auto"/>
            <w:gridSpan w:val="3"/>
            <w:shd w:val="clear" w:color="auto" w:fill="auto"/>
            <w:vAlign w:val="bottom"/>
          </w:tcPr>
          <w:p w14:paraId="392C430F" w14:textId="77777777" w:rsidR="00980E5F" w:rsidRDefault="00980E5F">
            <w:pPr>
              <w:rPr>
                <w:rFonts w:ascii="宋体"/>
                <w:vanish/>
              </w:rPr>
            </w:pPr>
          </w:p>
        </w:tc>
        <w:tc>
          <w:tcPr>
            <w:tcW w:w="0" w:type="auto"/>
            <w:gridSpan w:val="3"/>
            <w:shd w:val="clear" w:color="auto" w:fill="auto"/>
            <w:vAlign w:val="bottom"/>
          </w:tcPr>
          <w:p w14:paraId="392C4310" w14:textId="77777777" w:rsidR="00980E5F" w:rsidRDefault="00980E5F">
            <w:pPr>
              <w:rPr>
                <w:rFonts w:ascii="宋体"/>
                <w:vanish/>
              </w:rPr>
            </w:pPr>
          </w:p>
        </w:tc>
        <w:tc>
          <w:tcPr>
            <w:tcW w:w="0" w:type="auto"/>
            <w:gridSpan w:val="3"/>
            <w:shd w:val="clear" w:color="auto" w:fill="auto"/>
            <w:vAlign w:val="bottom"/>
          </w:tcPr>
          <w:p w14:paraId="392C4311" w14:textId="77777777" w:rsidR="00980E5F" w:rsidRDefault="00980E5F">
            <w:pPr>
              <w:rPr>
                <w:rFonts w:ascii="宋体"/>
                <w:vanish/>
              </w:rPr>
            </w:pPr>
          </w:p>
        </w:tc>
        <w:tc>
          <w:tcPr>
            <w:tcW w:w="0" w:type="auto"/>
            <w:gridSpan w:val="3"/>
            <w:shd w:val="clear" w:color="auto" w:fill="auto"/>
            <w:vAlign w:val="bottom"/>
          </w:tcPr>
          <w:p w14:paraId="392C4312" w14:textId="77777777" w:rsidR="00980E5F" w:rsidRDefault="00980E5F">
            <w:pPr>
              <w:rPr>
                <w:rFonts w:ascii="宋体"/>
                <w:vanish/>
              </w:rPr>
            </w:pPr>
          </w:p>
        </w:tc>
        <w:tc>
          <w:tcPr>
            <w:tcW w:w="0" w:type="auto"/>
            <w:gridSpan w:val="3"/>
            <w:shd w:val="clear" w:color="auto" w:fill="auto"/>
            <w:vAlign w:val="bottom"/>
          </w:tcPr>
          <w:p w14:paraId="392C4313" w14:textId="77777777" w:rsidR="00980E5F" w:rsidRDefault="00980E5F">
            <w:pPr>
              <w:rPr>
                <w:rFonts w:ascii="宋体"/>
                <w:vanish/>
              </w:rPr>
            </w:pPr>
          </w:p>
        </w:tc>
        <w:tc>
          <w:tcPr>
            <w:tcW w:w="0" w:type="auto"/>
            <w:gridSpan w:val="3"/>
            <w:shd w:val="clear" w:color="auto" w:fill="auto"/>
            <w:vAlign w:val="bottom"/>
          </w:tcPr>
          <w:p w14:paraId="392C4314" w14:textId="77777777" w:rsidR="00980E5F" w:rsidRDefault="00980E5F">
            <w:pPr>
              <w:rPr>
                <w:rFonts w:ascii="宋体"/>
                <w:vanish/>
              </w:rPr>
            </w:pPr>
          </w:p>
        </w:tc>
        <w:tc>
          <w:tcPr>
            <w:tcW w:w="0" w:type="auto"/>
            <w:gridSpan w:val="3"/>
            <w:shd w:val="clear" w:color="auto" w:fill="auto"/>
            <w:vAlign w:val="bottom"/>
          </w:tcPr>
          <w:p w14:paraId="392C4315" w14:textId="77777777" w:rsidR="00980E5F" w:rsidRDefault="00980E5F">
            <w:pPr>
              <w:rPr>
                <w:rFonts w:ascii="宋体"/>
                <w:vanish/>
              </w:rPr>
            </w:pPr>
          </w:p>
        </w:tc>
        <w:tc>
          <w:tcPr>
            <w:tcW w:w="0" w:type="auto"/>
            <w:gridSpan w:val="3"/>
            <w:shd w:val="clear" w:color="auto" w:fill="auto"/>
            <w:vAlign w:val="bottom"/>
          </w:tcPr>
          <w:p w14:paraId="392C4316" w14:textId="77777777" w:rsidR="00980E5F" w:rsidRDefault="00980E5F">
            <w:pPr>
              <w:rPr>
                <w:rFonts w:ascii="宋体"/>
                <w:vanish/>
              </w:rPr>
            </w:pPr>
          </w:p>
        </w:tc>
        <w:tc>
          <w:tcPr>
            <w:tcW w:w="0" w:type="auto"/>
            <w:gridSpan w:val="3"/>
            <w:shd w:val="clear" w:color="auto" w:fill="auto"/>
            <w:vAlign w:val="bottom"/>
          </w:tcPr>
          <w:p w14:paraId="392C4317" w14:textId="77777777" w:rsidR="00980E5F" w:rsidRDefault="00980E5F">
            <w:pPr>
              <w:rPr>
                <w:rFonts w:ascii="宋体"/>
                <w:vanish/>
              </w:rPr>
            </w:pPr>
          </w:p>
        </w:tc>
        <w:tc>
          <w:tcPr>
            <w:tcW w:w="0" w:type="auto"/>
            <w:gridSpan w:val="3"/>
            <w:shd w:val="clear" w:color="auto" w:fill="auto"/>
            <w:vAlign w:val="bottom"/>
          </w:tcPr>
          <w:p w14:paraId="392C4318" w14:textId="77777777" w:rsidR="00980E5F" w:rsidRDefault="00980E5F">
            <w:pPr>
              <w:rPr>
                <w:rFonts w:ascii="宋体"/>
                <w:vanish/>
              </w:rPr>
            </w:pPr>
          </w:p>
        </w:tc>
      </w:tr>
      <w:tr w:rsidR="00980E5F" w14:paraId="392C4324" w14:textId="77777777">
        <w:tc>
          <w:tcPr>
            <w:tcW w:w="0" w:type="auto"/>
            <w:gridSpan w:val="3"/>
            <w:shd w:val="clear" w:color="auto" w:fill="FFFFFF"/>
            <w:tcMar>
              <w:top w:w="40" w:type="dxa"/>
              <w:left w:w="245" w:type="dxa"/>
              <w:bottom w:w="40" w:type="dxa"/>
              <w:right w:w="20" w:type="dxa"/>
            </w:tcMar>
            <w:vAlign w:val="bottom"/>
          </w:tcPr>
          <w:p w14:paraId="392C431A" w14:textId="77777777" w:rsidR="00980E5F" w:rsidRDefault="00483613">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392C43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1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2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2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323" w14:textId="77777777" w:rsidR="00980E5F" w:rsidRDefault="00980E5F">
            <w:pPr>
              <w:rPr>
                <w:rFonts w:ascii="宋体"/>
              </w:rPr>
            </w:pPr>
          </w:p>
        </w:tc>
      </w:tr>
      <w:tr w:rsidR="00980E5F" w14:paraId="392C4339" w14:textId="77777777">
        <w:tc>
          <w:tcPr>
            <w:tcW w:w="0" w:type="auto"/>
            <w:gridSpan w:val="3"/>
            <w:shd w:val="clear" w:color="auto" w:fill="CCEEFF"/>
            <w:tcMar>
              <w:top w:w="40" w:type="dxa"/>
              <w:left w:w="515" w:type="dxa"/>
              <w:bottom w:w="40" w:type="dxa"/>
              <w:right w:w="20" w:type="dxa"/>
            </w:tcMar>
            <w:vAlign w:val="bottom"/>
          </w:tcPr>
          <w:p w14:paraId="392C4325" w14:textId="77777777" w:rsidR="00980E5F" w:rsidRDefault="00483613">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392C4326"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327" w14:textId="77777777" w:rsidR="00980E5F" w:rsidRDefault="00483613">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2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2A"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32B" w14:textId="77777777" w:rsidR="00980E5F" w:rsidRDefault="00483613">
            <w:pPr>
              <w:jc w:val="right"/>
              <w:textAlignment w:val="bottom"/>
            </w:pPr>
            <w:r>
              <w:rPr>
                <w:rFonts w:ascii="Arial" w:eastAsia="宋体" w:hAnsi="Arial" w:cs="Arial"/>
                <w:b/>
                <w:bCs/>
                <w:color w:val="000000"/>
                <w:sz w:val="14"/>
                <w:szCs w:val="14"/>
              </w:rPr>
              <w:t>23,017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2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2E"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32F"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3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32"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333" w14:textId="77777777" w:rsidR="00980E5F" w:rsidRDefault="00483613">
            <w:pPr>
              <w:jc w:val="right"/>
              <w:textAlignment w:val="bottom"/>
            </w:pPr>
            <w:r>
              <w:rPr>
                <w:rFonts w:ascii="Arial" w:eastAsia="宋体" w:hAnsi="Arial" w:cs="Arial"/>
                <w:b/>
                <w:bCs/>
                <w:color w:val="000000"/>
                <w:sz w:val="14"/>
                <w:szCs w:val="14"/>
              </w:rPr>
              <w:t>(17,100)</w:t>
            </w:r>
          </w:p>
        </w:tc>
        <w:tc>
          <w:tcPr>
            <w:tcW w:w="0" w:type="auto"/>
            <w:shd w:val="clear" w:color="auto" w:fill="CCEEFF"/>
            <w:tcMar>
              <w:top w:w="40" w:type="dxa"/>
              <w:left w:w="0" w:type="dxa"/>
              <w:bottom w:w="40" w:type="dxa"/>
              <w:right w:w="20" w:type="dxa"/>
            </w:tcMar>
            <w:vAlign w:val="bottom"/>
          </w:tcPr>
          <w:p w14:paraId="392C43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3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36"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4337" w14:textId="77777777" w:rsidR="00980E5F" w:rsidRDefault="00483613">
            <w:pPr>
              <w:jc w:val="right"/>
              <w:textAlignment w:val="bottom"/>
            </w:pPr>
            <w:r>
              <w:rPr>
                <w:rFonts w:ascii="Arial" w:eastAsia="宋体" w:hAnsi="Arial" w:cs="Arial"/>
                <w:b/>
                <w:bCs/>
                <w:color w:val="000000"/>
                <w:sz w:val="14"/>
                <w:szCs w:val="14"/>
              </w:rPr>
              <w:t>5,936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38" w14:textId="77777777" w:rsidR="00980E5F" w:rsidRDefault="00980E5F">
            <w:pPr>
              <w:jc w:val="right"/>
              <w:rPr>
                <w:rFonts w:ascii="宋体"/>
              </w:rPr>
            </w:pPr>
          </w:p>
        </w:tc>
      </w:tr>
      <w:tr w:rsidR="00980E5F" w14:paraId="392C4349" w14:textId="77777777">
        <w:tc>
          <w:tcPr>
            <w:tcW w:w="0" w:type="auto"/>
            <w:gridSpan w:val="3"/>
            <w:shd w:val="clear" w:color="auto" w:fill="FFFFFF"/>
            <w:tcMar>
              <w:top w:w="40" w:type="dxa"/>
              <w:left w:w="515" w:type="dxa"/>
              <w:bottom w:w="40" w:type="dxa"/>
              <w:right w:w="20" w:type="dxa"/>
            </w:tcMar>
            <w:vAlign w:val="bottom"/>
          </w:tcPr>
          <w:p w14:paraId="392C433A" w14:textId="77777777" w:rsidR="00980E5F" w:rsidRDefault="00483613">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392C433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3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33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3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4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34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34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4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34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34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4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34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348" w14:textId="77777777" w:rsidR="00980E5F" w:rsidRDefault="00980E5F">
            <w:pPr>
              <w:jc w:val="right"/>
              <w:rPr>
                <w:rFonts w:ascii="宋体"/>
              </w:rPr>
            </w:pPr>
          </w:p>
        </w:tc>
      </w:tr>
      <w:tr w:rsidR="00980E5F" w14:paraId="392C4359" w14:textId="77777777">
        <w:tc>
          <w:tcPr>
            <w:tcW w:w="0" w:type="auto"/>
            <w:gridSpan w:val="3"/>
            <w:shd w:val="clear" w:color="auto" w:fill="CCEEFF"/>
            <w:tcMar>
              <w:top w:w="40" w:type="dxa"/>
              <w:left w:w="515" w:type="dxa"/>
              <w:bottom w:w="40" w:type="dxa"/>
              <w:right w:w="20" w:type="dxa"/>
            </w:tcMar>
            <w:vAlign w:val="bottom"/>
          </w:tcPr>
          <w:p w14:paraId="392C434A" w14:textId="77777777" w:rsidR="00980E5F" w:rsidRDefault="00483613">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392C434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34E" w14:textId="77777777" w:rsidR="00980E5F" w:rsidRDefault="00483613">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5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35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35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5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357" w14:textId="77777777" w:rsidR="00980E5F" w:rsidRDefault="00483613">
            <w:pPr>
              <w:jc w:val="right"/>
              <w:textAlignment w:val="bottom"/>
            </w:pPr>
            <w:r>
              <w:rPr>
                <w:rFonts w:ascii="Arial" w:eastAsia="宋体" w:hAnsi="Arial" w:cs="Arial"/>
                <w:b/>
                <w:bCs/>
                <w:color w:val="000000"/>
                <w:sz w:val="14"/>
                <w:szCs w:val="14"/>
              </w:rPr>
              <w:t>272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58" w14:textId="77777777" w:rsidR="00980E5F" w:rsidRDefault="00980E5F">
            <w:pPr>
              <w:jc w:val="right"/>
              <w:rPr>
                <w:rFonts w:ascii="宋体"/>
              </w:rPr>
            </w:pPr>
          </w:p>
        </w:tc>
      </w:tr>
      <w:tr w:rsidR="00980E5F" w14:paraId="392C4369" w14:textId="77777777">
        <w:tc>
          <w:tcPr>
            <w:tcW w:w="0" w:type="auto"/>
            <w:gridSpan w:val="3"/>
            <w:shd w:val="clear" w:color="auto" w:fill="FFFFFF"/>
            <w:tcMar>
              <w:top w:w="40" w:type="dxa"/>
              <w:left w:w="740" w:type="dxa"/>
              <w:bottom w:w="40" w:type="dxa"/>
              <w:right w:w="20" w:type="dxa"/>
            </w:tcMar>
            <w:vAlign w:val="bottom"/>
          </w:tcPr>
          <w:p w14:paraId="392C435A" w14:textId="77777777" w:rsidR="00980E5F" w:rsidRDefault="00483613">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35B" w14:textId="77777777" w:rsidR="00980E5F" w:rsidRDefault="00483613">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3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5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35E" w14:textId="77777777" w:rsidR="00980E5F" w:rsidRDefault="00483613">
            <w:pPr>
              <w:jc w:val="right"/>
              <w:textAlignment w:val="bottom"/>
            </w:pPr>
            <w:r>
              <w:rPr>
                <w:rFonts w:ascii="Arial" w:eastAsia="宋体" w:hAnsi="Arial" w:cs="Arial"/>
                <w:b/>
                <w:bCs/>
                <w:color w:val="000000"/>
                <w:sz w:val="14"/>
                <w:szCs w:val="14"/>
              </w:rPr>
              <w:t>23,289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3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6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361"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3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6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364" w14:textId="77777777" w:rsidR="00980E5F" w:rsidRDefault="00483613">
            <w:pPr>
              <w:jc w:val="right"/>
              <w:textAlignment w:val="bottom"/>
            </w:pPr>
            <w:r>
              <w:rPr>
                <w:rFonts w:ascii="Arial" w:eastAsia="宋体" w:hAnsi="Arial" w:cs="Arial"/>
                <w:b/>
                <w:bCs/>
                <w:color w:val="000000"/>
                <w:sz w:val="14"/>
                <w:szCs w:val="14"/>
              </w:rPr>
              <w:t>(17,100)</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3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36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367" w14:textId="77777777" w:rsidR="00980E5F" w:rsidRDefault="00483613">
            <w:pPr>
              <w:jc w:val="right"/>
              <w:textAlignment w:val="bottom"/>
            </w:pPr>
            <w:r>
              <w:rPr>
                <w:rFonts w:ascii="Arial" w:eastAsia="宋体" w:hAnsi="Arial" w:cs="Arial"/>
                <w:b/>
                <w:bCs/>
                <w:color w:val="000000"/>
                <w:sz w:val="14"/>
                <w:szCs w:val="14"/>
              </w:rPr>
              <w:t>6,208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368" w14:textId="77777777" w:rsidR="00980E5F" w:rsidRDefault="00980E5F">
            <w:pPr>
              <w:jc w:val="right"/>
              <w:rPr>
                <w:rFonts w:ascii="宋体"/>
              </w:rPr>
            </w:pPr>
          </w:p>
        </w:tc>
      </w:tr>
      <w:tr w:rsidR="00980E5F" w14:paraId="392C4374" w14:textId="77777777">
        <w:trPr>
          <w:hidden/>
        </w:trPr>
        <w:tc>
          <w:tcPr>
            <w:tcW w:w="0" w:type="auto"/>
            <w:gridSpan w:val="3"/>
            <w:shd w:val="clear" w:color="auto" w:fill="auto"/>
            <w:vAlign w:val="bottom"/>
          </w:tcPr>
          <w:p w14:paraId="392C436A" w14:textId="77777777" w:rsidR="00980E5F" w:rsidRDefault="00980E5F">
            <w:pPr>
              <w:rPr>
                <w:rFonts w:ascii="宋体"/>
                <w:vanish/>
              </w:rPr>
            </w:pPr>
          </w:p>
        </w:tc>
        <w:tc>
          <w:tcPr>
            <w:tcW w:w="0" w:type="auto"/>
            <w:gridSpan w:val="3"/>
            <w:shd w:val="clear" w:color="auto" w:fill="auto"/>
            <w:vAlign w:val="bottom"/>
          </w:tcPr>
          <w:p w14:paraId="392C436B" w14:textId="77777777" w:rsidR="00980E5F" w:rsidRDefault="00980E5F">
            <w:pPr>
              <w:rPr>
                <w:rFonts w:ascii="宋体"/>
                <w:vanish/>
              </w:rPr>
            </w:pPr>
          </w:p>
        </w:tc>
        <w:tc>
          <w:tcPr>
            <w:tcW w:w="0" w:type="auto"/>
            <w:gridSpan w:val="3"/>
            <w:shd w:val="clear" w:color="auto" w:fill="auto"/>
            <w:vAlign w:val="bottom"/>
          </w:tcPr>
          <w:p w14:paraId="392C436C" w14:textId="77777777" w:rsidR="00980E5F" w:rsidRDefault="00980E5F">
            <w:pPr>
              <w:rPr>
                <w:rFonts w:ascii="宋体"/>
                <w:vanish/>
              </w:rPr>
            </w:pPr>
          </w:p>
        </w:tc>
        <w:tc>
          <w:tcPr>
            <w:tcW w:w="0" w:type="auto"/>
            <w:gridSpan w:val="3"/>
            <w:shd w:val="clear" w:color="auto" w:fill="auto"/>
            <w:vAlign w:val="bottom"/>
          </w:tcPr>
          <w:p w14:paraId="392C436D" w14:textId="77777777" w:rsidR="00980E5F" w:rsidRDefault="00980E5F">
            <w:pPr>
              <w:rPr>
                <w:rFonts w:ascii="宋体"/>
                <w:vanish/>
              </w:rPr>
            </w:pPr>
          </w:p>
        </w:tc>
        <w:tc>
          <w:tcPr>
            <w:tcW w:w="0" w:type="auto"/>
            <w:gridSpan w:val="3"/>
            <w:shd w:val="clear" w:color="auto" w:fill="auto"/>
            <w:vAlign w:val="bottom"/>
          </w:tcPr>
          <w:p w14:paraId="392C436E" w14:textId="77777777" w:rsidR="00980E5F" w:rsidRDefault="00980E5F">
            <w:pPr>
              <w:rPr>
                <w:rFonts w:ascii="宋体"/>
                <w:vanish/>
              </w:rPr>
            </w:pPr>
          </w:p>
        </w:tc>
        <w:tc>
          <w:tcPr>
            <w:tcW w:w="0" w:type="auto"/>
            <w:gridSpan w:val="3"/>
            <w:shd w:val="clear" w:color="auto" w:fill="auto"/>
            <w:vAlign w:val="bottom"/>
          </w:tcPr>
          <w:p w14:paraId="392C436F" w14:textId="77777777" w:rsidR="00980E5F" w:rsidRDefault="00980E5F">
            <w:pPr>
              <w:rPr>
                <w:rFonts w:ascii="宋体"/>
                <w:vanish/>
              </w:rPr>
            </w:pPr>
          </w:p>
        </w:tc>
        <w:tc>
          <w:tcPr>
            <w:tcW w:w="0" w:type="auto"/>
            <w:gridSpan w:val="3"/>
            <w:shd w:val="clear" w:color="auto" w:fill="auto"/>
            <w:vAlign w:val="bottom"/>
          </w:tcPr>
          <w:p w14:paraId="392C4370" w14:textId="77777777" w:rsidR="00980E5F" w:rsidRDefault="00980E5F">
            <w:pPr>
              <w:rPr>
                <w:rFonts w:ascii="宋体"/>
                <w:vanish/>
              </w:rPr>
            </w:pPr>
          </w:p>
        </w:tc>
        <w:tc>
          <w:tcPr>
            <w:tcW w:w="0" w:type="auto"/>
            <w:gridSpan w:val="3"/>
            <w:shd w:val="clear" w:color="auto" w:fill="auto"/>
            <w:vAlign w:val="bottom"/>
          </w:tcPr>
          <w:p w14:paraId="392C4371" w14:textId="77777777" w:rsidR="00980E5F" w:rsidRDefault="00980E5F">
            <w:pPr>
              <w:rPr>
                <w:rFonts w:ascii="宋体"/>
                <w:vanish/>
              </w:rPr>
            </w:pPr>
          </w:p>
        </w:tc>
        <w:tc>
          <w:tcPr>
            <w:tcW w:w="0" w:type="auto"/>
            <w:gridSpan w:val="3"/>
            <w:shd w:val="clear" w:color="auto" w:fill="auto"/>
            <w:vAlign w:val="bottom"/>
          </w:tcPr>
          <w:p w14:paraId="392C4372" w14:textId="77777777" w:rsidR="00980E5F" w:rsidRDefault="00980E5F">
            <w:pPr>
              <w:rPr>
                <w:rFonts w:ascii="宋体"/>
                <w:vanish/>
              </w:rPr>
            </w:pPr>
          </w:p>
        </w:tc>
        <w:tc>
          <w:tcPr>
            <w:tcW w:w="0" w:type="auto"/>
            <w:gridSpan w:val="3"/>
            <w:shd w:val="clear" w:color="auto" w:fill="auto"/>
            <w:vAlign w:val="bottom"/>
          </w:tcPr>
          <w:p w14:paraId="392C4373" w14:textId="77777777" w:rsidR="00980E5F" w:rsidRDefault="00980E5F">
            <w:pPr>
              <w:rPr>
                <w:rFonts w:ascii="宋体"/>
                <w:vanish/>
              </w:rPr>
            </w:pPr>
          </w:p>
        </w:tc>
      </w:tr>
      <w:tr w:rsidR="00980E5F" w14:paraId="392C4389" w14:textId="77777777">
        <w:tc>
          <w:tcPr>
            <w:tcW w:w="0" w:type="auto"/>
            <w:gridSpan w:val="3"/>
            <w:shd w:val="clear" w:color="auto" w:fill="CCEEFF"/>
            <w:tcMar>
              <w:top w:w="40" w:type="dxa"/>
              <w:left w:w="20" w:type="dxa"/>
              <w:bottom w:w="40" w:type="dxa"/>
              <w:right w:w="20" w:type="dxa"/>
            </w:tcMar>
            <w:vAlign w:val="bottom"/>
          </w:tcPr>
          <w:p w14:paraId="392C4375" w14:textId="77777777" w:rsidR="00980E5F" w:rsidRDefault="00483613">
            <w:pPr>
              <w:textAlignment w:val="bottom"/>
            </w:pPr>
            <w:r>
              <w:rPr>
                <w:rFonts w:ascii="Arial" w:eastAsia="宋体" w:hAnsi="Arial" w:cs="Arial"/>
                <w:color w:val="000000"/>
                <w:sz w:val="14"/>
                <w:szCs w:val="14"/>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37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377" w14:textId="77777777" w:rsidR="00980E5F" w:rsidRDefault="00483613">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3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79"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37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37B" w14:textId="77777777" w:rsidR="00980E5F" w:rsidRDefault="00483613">
            <w:pPr>
              <w:jc w:val="right"/>
              <w:textAlignment w:val="bottom"/>
            </w:pPr>
            <w:r>
              <w:rPr>
                <w:rFonts w:ascii="Arial" w:eastAsia="宋体" w:hAnsi="Arial" w:cs="Arial"/>
                <w:b/>
                <w:bCs/>
                <w:color w:val="000000"/>
                <w:sz w:val="14"/>
                <w:szCs w:val="14"/>
              </w:rPr>
              <w:t>23,289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3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7D"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37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37F" w14:textId="77777777" w:rsidR="00980E5F" w:rsidRDefault="00483613">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3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81"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38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383" w14:textId="77777777" w:rsidR="00980E5F" w:rsidRDefault="00483613">
            <w:pPr>
              <w:jc w:val="right"/>
              <w:textAlignment w:val="bottom"/>
            </w:pPr>
            <w:r>
              <w:rPr>
                <w:rFonts w:ascii="Arial" w:eastAsia="宋体" w:hAnsi="Arial" w:cs="Arial"/>
                <w:b/>
                <w:bCs/>
                <w:color w:val="000000"/>
                <w:sz w:val="14"/>
                <w:szCs w:val="14"/>
              </w:rPr>
              <w:t>(17,100)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3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85"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38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387" w14:textId="77777777" w:rsidR="00980E5F" w:rsidRDefault="00483613">
            <w:pPr>
              <w:jc w:val="right"/>
              <w:textAlignment w:val="bottom"/>
            </w:pPr>
            <w:r>
              <w:rPr>
                <w:rFonts w:ascii="Arial" w:eastAsia="宋体" w:hAnsi="Arial" w:cs="Arial"/>
                <w:b/>
                <w:bCs/>
                <w:color w:val="000000"/>
                <w:sz w:val="14"/>
                <w:szCs w:val="14"/>
              </w:rPr>
              <w:t>6,208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388" w14:textId="77777777" w:rsidR="00980E5F" w:rsidRDefault="00980E5F">
            <w:pPr>
              <w:jc w:val="right"/>
              <w:rPr>
                <w:rFonts w:ascii="宋体"/>
              </w:rPr>
            </w:pPr>
          </w:p>
        </w:tc>
      </w:tr>
    </w:tbl>
    <w:p w14:paraId="392C438A"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980E5F" w14:paraId="392C4397" w14:textId="77777777">
        <w:tc>
          <w:tcPr>
            <w:tcW w:w="50" w:type="pct"/>
            <w:shd w:val="clear" w:color="auto" w:fill="auto"/>
            <w:vAlign w:val="bottom"/>
          </w:tcPr>
          <w:p w14:paraId="392C438B" w14:textId="77777777" w:rsidR="00980E5F" w:rsidRDefault="00980E5F">
            <w:pPr>
              <w:rPr>
                <w:rFonts w:ascii="宋体"/>
              </w:rPr>
            </w:pPr>
          </w:p>
        </w:tc>
        <w:tc>
          <w:tcPr>
            <w:tcW w:w="1348" w:type="pct"/>
            <w:shd w:val="clear" w:color="auto" w:fill="auto"/>
            <w:vAlign w:val="bottom"/>
          </w:tcPr>
          <w:p w14:paraId="392C438C" w14:textId="77777777" w:rsidR="00980E5F" w:rsidRDefault="00980E5F">
            <w:pPr>
              <w:rPr>
                <w:rFonts w:ascii="宋体"/>
              </w:rPr>
            </w:pPr>
          </w:p>
        </w:tc>
        <w:tc>
          <w:tcPr>
            <w:tcW w:w="5" w:type="pct"/>
            <w:shd w:val="clear" w:color="auto" w:fill="auto"/>
            <w:vAlign w:val="bottom"/>
          </w:tcPr>
          <w:p w14:paraId="392C438D" w14:textId="77777777" w:rsidR="00980E5F" w:rsidRDefault="00980E5F">
            <w:pPr>
              <w:rPr>
                <w:rFonts w:ascii="宋体"/>
              </w:rPr>
            </w:pPr>
          </w:p>
        </w:tc>
        <w:tc>
          <w:tcPr>
            <w:tcW w:w="50" w:type="pct"/>
            <w:shd w:val="clear" w:color="auto" w:fill="auto"/>
            <w:vAlign w:val="bottom"/>
          </w:tcPr>
          <w:p w14:paraId="392C438E" w14:textId="77777777" w:rsidR="00980E5F" w:rsidRDefault="00980E5F">
            <w:pPr>
              <w:rPr>
                <w:rFonts w:ascii="宋体"/>
              </w:rPr>
            </w:pPr>
          </w:p>
        </w:tc>
        <w:tc>
          <w:tcPr>
            <w:tcW w:w="668" w:type="pct"/>
            <w:shd w:val="clear" w:color="auto" w:fill="auto"/>
            <w:vAlign w:val="bottom"/>
          </w:tcPr>
          <w:p w14:paraId="392C438F" w14:textId="77777777" w:rsidR="00980E5F" w:rsidRDefault="00980E5F">
            <w:pPr>
              <w:rPr>
                <w:rFonts w:ascii="宋体"/>
              </w:rPr>
            </w:pPr>
          </w:p>
        </w:tc>
        <w:tc>
          <w:tcPr>
            <w:tcW w:w="5" w:type="pct"/>
            <w:shd w:val="clear" w:color="auto" w:fill="auto"/>
            <w:vAlign w:val="bottom"/>
          </w:tcPr>
          <w:p w14:paraId="392C4390" w14:textId="77777777" w:rsidR="00980E5F" w:rsidRDefault="00980E5F">
            <w:pPr>
              <w:rPr>
                <w:rFonts w:ascii="宋体"/>
              </w:rPr>
            </w:pPr>
          </w:p>
        </w:tc>
        <w:tc>
          <w:tcPr>
            <w:tcW w:w="50" w:type="pct"/>
            <w:shd w:val="clear" w:color="auto" w:fill="auto"/>
            <w:vAlign w:val="bottom"/>
          </w:tcPr>
          <w:p w14:paraId="392C4391" w14:textId="77777777" w:rsidR="00980E5F" w:rsidRDefault="00980E5F">
            <w:pPr>
              <w:rPr>
                <w:rFonts w:ascii="宋体"/>
              </w:rPr>
            </w:pPr>
          </w:p>
        </w:tc>
        <w:tc>
          <w:tcPr>
            <w:tcW w:w="909" w:type="pct"/>
            <w:shd w:val="clear" w:color="auto" w:fill="auto"/>
            <w:vAlign w:val="bottom"/>
          </w:tcPr>
          <w:p w14:paraId="392C4392" w14:textId="77777777" w:rsidR="00980E5F" w:rsidRDefault="00980E5F">
            <w:pPr>
              <w:rPr>
                <w:rFonts w:ascii="宋体"/>
              </w:rPr>
            </w:pPr>
          </w:p>
        </w:tc>
        <w:tc>
          <w:tcPr>
            <w:tcW w:w="5" w:type="pct"/>
            <w:shd w:val="clear" w:color="auto" w:fill="auto"/>
            <w:vAlign w:val="bottom"/>
          </w:tcPr>
          <w:p w14:paraId="392C4393" w14:textId="77777777" w:rsidR="00980E5F" w:rsidRDefault="00980E5F">
            <w:pPr>
              <w:rPr>
                <w:rFonts w:ascii="宋体"/>
              </w:rPr>
            </w:pPr>
          </w:p>
        </w:tc>
        <w:tc>
          <w:tcPr>
            <w:tcW w:w="50" w:type="pct"/>
            <w:shd w:val="clear" w:color="auto" w:fill="auto"/>
            <w:vAlign w:val="bottom"/>
          </w:tcPr>
          <w:p w14:paraId="392C4394" w14:textId="77777777" w:rsidR="00980E5F" w:rsidRDefault="00980E5F">
            <w:pPr>
              <w:rPr>
                <w:rFonts w:ascii="宋体"/>
              </w:rPr>
            </w:pPr>
          </w:p>
        </w:tc>
        <w:tc>
          <w:tcPr>
            <w:tcW w:w="1852" w:type="pct"/>
            <w:shd w:val="clear" w:color="auto" w:fill="auto"/>
            <w:vAlign w:val="bottom"/>
          </w:tcPr>
          <w:p w14:paraId="392C4395" w14:textId="77777777" w:rsidR="00980E5F" w:rsidRDefault="00980E5F">
            <w:pPr>
              <w:rPr>
                <w:rFonts w:ascii="宋体"/>
              </w:rPr>
            </w:pPr>
          </w:p>
        </w:tc>
        <w:tc>
          <w:tcPr>
            <w:tcW w:w="5" w:type="pct"/>
            <w:shd w:val="clear" w:color="auto" w:fill="auto"/>
            <w:vAlign w:val="bottom"/>
          </w:tcPr>
          <w:p w14:paraId="392C4396" w14:textId="77777777" w:rsidR="00980E5F" w:rsidRDefault="00980E5F">
            <w:pPr>
              <w:rPr>
                <w:rFonts w:ascii="宋体"/>
              </w:rPr>
            </w:pPr>
          </w:p>
        </w:tc>
      </w:tr>
      <w:tr w:rsidR="00980E5F" w14:paraId="392C439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439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9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9B" w14:textId="77777777" w:rsidR="00980E5F" w:rsidRDefault="00980E5F">
            <w:pPr>
              <w:rPr>
                <w:rFonts w:ascii="宋体"/>
              </w:rPr>
            </w:pPr>
          </w:p>
        </w:tc>
      </w:tr>
    </w:tbl>
    <w:p w14:paraId="392C439D" w14:textId="77777777" w:rsidR="00980E5F" w:rsidRDefault="00483613">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Represents counterparty netting against level 2 financial assets and liabilities where a legally enforceable master netting agreement exists between us and the counterparty. Netting also reflects asset and liability reductions of $1.73 billion and $4.6</w:t>
      </w:r>
      <w:r>
        <w:rPr>
          <w:rFonts w:ascii="Arial" w:eastAsia="宋体" w:hAnsi="Arial" w:cs="Arial"/>
          <w:color w:val="000000"/>
          <w:sz w:val="12"/>
          <w:szCs w:val="12"/>
        </w:rPr>
        <w:t>6 billion, respectively, for cash collateral received from and provided to derivative counterparties.</w:t>
      </w:r>
    </w:p>
    <w:p w14:paraId="392C439E" w14:textId="77777777" w:rsidR="00980E5F" w:rsidRDefault="00483613">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Consists entirely of non-agency CMBS.</w:t>
      </w:r>
    </w:p>
    <w:p w14:paraId="392C439F" w14:textId="77777777" w:rsidR="00980E5F" w:rsidRDefault="00483613">
      <w:pPr>
        <w:ind w:firstLine="450"/>
        <w:jc w:val="right"/>
      </w:pPr>
      <w:r>
        <w:rPr>
          <w:rFonts w:ascii="Arial" w:eastAsia="宋体" w:hAnsi="Arial" w:cs="Arial"/>
          <w:color w:val="000000"/>
          <w:sz w:val="18"/>
          <w:szCs w:val="18"/>
        </w:rPr>
        <w:t>State Street Corporation | 61</w:t>
      </w:r>
    </w:p>
    <w:p w14:paraId="392C43A0" w14:textId="77777777" w:rsidR="00980E5F" w:rsidRDefault="00980E5F">
      <w:pPr>
        <w:ind w:firstLine="450"/>
        <w:jc w:val="center"/>
      </w:pPr>
    </w:p>
    <w:p w14:paraId="392C43A1" w14:textId="77777777" w:rsidR="00980E5F" w:rsidRDefault="00483613">
      <w:r>
        <w:pict w14:anchorId="392CBB0B">
          <v:rect id="_x0000_i1085" style="width:415.3pt;height:1.5pt" o:hralign="center" o:hrstd="t" o:hr="t" fillcolor="#a0a0a0" stroked="f"/>
        </w:pict>
      </w:r>
    </w:p>
    <w:p w14:paraId="392C43A2" w14:textId="77777777" w:rsidR="00980E5F" w:rsidRDefault="00483613">
      <w:pPr>
        <w:ind w:firstLine="450"/>
        <w:jc w:val="center"/>
      </w:pPr>
      <w:r>
        <w:rPr>
          <w:rFonts w:ascii="Arial" w:eastAsia="宋体" w:hAnsi="Arial" w:cs="Arial"/>
          <w:b/>
          <w:bCs/>
          <w:color w:val="000000"/>
          <w:sz w:val="20"/>
          <w:szCs w:val="20"/>
        </w:rPr>
        <w:t>STATE STREET CORPORATION</w:t>
      </w:r>
    </w:p>
    <w:p w14:paraId="392C43A3" w14:textId="77777777" w:rsidR="00980E5F" w:rsidRDefault="00483613">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392C43A4"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2"/>
        <w:gridCol w:w="36"/>
        <w:gridCol w:w="36"/>
        <w:gridCol w:w="36"/>
        <w:gridCol w:w="36"/>
        <w:gridCol w:w="99"/>
        <w:gridCol w:w="1008"/>
        <w:gridCol w:w="36"/>
      </w:tblGrid>
      <w:tr w:rsidR="00980E5F" w14:paraId="392C43C3" w14:textId="77777777">
        <w:tc>
          <w:tcPr>
            <w:tcW w:w="50" w:type="pct"/>
            <w:shd w:val="clear" w:color="auto" w:fill="auto"/>
            <w:vAlign w:val="bottom"/>
          </w:tcPr>
          <w:p w14:paraId="392C43A5" w14:textId="77777777" w:rsidR="00980E5F" w:rsidRDefault="00980E5F">
            <w:pPr>
              <w:rPr>
                <w:rFonts w:ascii="宋体"/>
              </w:rPr>
            </w:pPr>
          </w:p>
        </w:tc>
        <w:tc>
          <w:tcPr>
            <w:tcW w:w="1728" w:type="pct"/>
            <w:shd w:val="clear" w:color="auto" w:fill="auto"/>
            <w:vAlign w:val="bottom"/>
          </w:tcPr>
          <w:p w14:paraId="392C43A6" w14:textId="77777777" w:rsidR="00980E5F" w:rsidRDefault="00980E5F">
            <w:pPr>
              <w:rPr>
                <w:rFonts w:ascii="宋体"/>
              </w:rPr>
            </w:pPr>
          </w:p>
        </w:tc>
        <w:tc>
          <w:tcPr>
            <w:tcW w:w="5" w:type="pct"/>
            <w:shd w:val="clear" w:color="auto" w:fill="auto"/>
            <w:vAlign w:val="bottom"/>
          </w:tcPr>
          <w:p w14:paraId="392C43A7" w14:textId="77777777" w:rsidR="00980E5F" w:rsidRDefault="00980E5F">
            <w:pPr>
              <w:rPr>
                <w:rFonts w:ascii="宋体"/>
              </w:rPr>
            </w:pPr>
          </w:p>
        </w:tc>
        <w:tc>
          <w:tcPr>
            <w:tcW w:w="50" w:type="pct"/>
            <w:shd w:val="clear" w:color="auto" w:fill="auto"/>
            <w:vAlign w:val="bottom"/>
          </w:tcPr>
          <w:p w14:paraId="392C43A8" w14:textId="77777777" w:rsidR="00980E5F" w:rsidRDefault="00980E5F">
            <w:pPr>
              <w:rPr>
                <w:rFonts w:ascii="宋体"/>
              </w:rPr>
            </w:pPr>
          </w:p>
        </w:tc>
        <w:tc>
          <w:tcPr>
            <w:tcW w:w="610" w:type="pct"/>
            <w:shd w:val="clear" w:color="auto" w:fill="auto"/>
            <w:vAlign w:val="bottom"/>
          </w:tcPr>
          <w:p w14:paraId="392C43A9" w14:textId="77777777" w:rsidR="00980E5F" w:rsidRDefault="00980E5F">
            <w:pPr>
              <w:rPr>
                <w:rFonts w:ascii="宋体"/>
              </w:rPr>
            </w:pPr>
          </w:p>
        </w:tc>
        <w:tc>
          <w:tcPr>
            <w:tcW w:w="5" w:type="pct"/>
            <w:shd w:val="clear" w:color="auto" w:fill="auto"/>
            <w:vAlign w:val="bottom"/>
          </w:tcPr>
          <w:p w14:paraId="392C43AA" w14:textId="77777777" w:rsidR="00980E5F" w:rsidRDefault="00980E5F">
            <w:pPr>
              <w:rPr>
                <w:rFonts w:ascii="宋体"/>
              </w:rPr>
            </w:pPr>
          </w:p>
        </w:tc>
        <w:tc>
          <w:tcPr>
            <w:tcW w:w="5" w:type="pct"/>
            <w:shd w:val="clear" w:color="auto" w:fill="auto"/>
            <w:vAlign w:val="bottom"/>
          </w:tcPr>
          <w:p w14:paraId="392C43AB" w14:textId="77777777" w:rsidR="00980E5F" w:rsidRDefault="00980E5F">
            <w:pPr>
              <w:rPr>
                <w:rFonts w:ascii="宋体"/>
              </w:rPr>
            </w:pPr>
          </w:p>
        </w:tc>
        <w:tc>
          <w:tcPr>
            <w:tcW w:w="26" w:type="pct"/>
            <w:shd w:val="clear" w:color="auto" w:fill="auto"/>
            <w:vAlign w:val="bottom"/>
          </w:tcPr>
          <w:p w14:paraId="392C43AC" w14:textId="77777777" w:rsidR="00980E5F" w:rsidRDefault="00980E5F">
            <w:pPr>
              <w:rPr>
                <w:rFonts w:ascii="宋体"/>
              </w:rPr>
            </w:pPr>
          </w:p>
        </w:tc>
        <w:tc>
          <w:tcPr>
            <w:tcW w:w="5" w:type="pct"/>
            <w:shd w:val="clear" w:color="auto" w:fill="auto"/>
            <w:vAlign w:val="bottom"/>
          </w:tcPr>
          <w:p w14:paraId="392C43AD" w14:textId="77777777" w:rsidR="00980E5F" w:rsidRDefault="00980E5F">
            <w:pPr>
              <w:rPr>
                <w:rFonts w:ascii="宋体"/>
              </w:rPr>
            </w:pPr>
          </w:p>
        </w:tc>
        <w:tc>
          <w:tcPr>
            <w:tcW w:w="50" w:type="pct"/>
            <w:shd w:val="clear" w:color="auto" w:fill="auto"/>
            <w:vAlign w:val="bottom"/>
          </w:tcPr>
          <w:p w14:paraId="392C43AE" w14:textId="77777777" w:rsidR="00980E5F" w:rsidRDefault="00980E5F">
            <w:pPr>
              <w:rPr>
                <w:rFonts w:ascii="宋体"/>
              </w:rPr>
            </w:pPr>
          </w:p>
        </w:tc>
        <w:tc>
          <w:tcPr>
            <w:tcW w:w="610" w:type="pct"/>
            <w:shd w:val="clear" w:color="auto" w:fill="auto"/>
            <w:vAlign w:val="bottom"/>
          </w:tcPr>
          <w:p w14:paraId="392C43AF" w14:textId="77777777" w:rsidR="00980E5F" w:rsidRDefault="00980E5F">
            <w:pPr>
              <w:rPr>
                <w:rFonts w:ascii="宋体"/>
              </w:rPr>
            </w:pPr>
          </w:p>
        </w:tc>
        <w:tc>
          <w:tcPr>
            <w:tcW w:w="5" w:type="pct"/>
            <w:shd w:val="clear" w:color="auto" w:fill="auto"/>
            <w:vAlign w:val="bottom"/>
          </w:tcPr>
          <w:p w14:paraId="392C43B0" w14:textId="77777777" w:rsidR="00980E5F" w:rsidRDefault="00980E5F">
            <w:pPr>
              <w:rPr>
                <w:rFonts w:ascii="宋体"/>
              </w:rPr>
            </w:pPr>
          </w:p>
        </w:tc>
        <w:tc>
          <w:tcPr>
            <w:tcW w:w="5" w:type="pct"/>
            <w:shd w:val="clear" w:color="auto" w:fill="auto"/>
            <w:vAlign w:val="bottom"/>
          </w:tcPr>
          <w:p w14:paraId="392C43B1" w14:textId="77777777" w:rsidR="00980E5F" w:rsidRDefault="00980E5F">
            <w:pPr>
              <w:rPr>
                <w:rFonts w:ascii="宋体"/>
              </w:rPr>
            </w:pPr>
          </w:p>
        </w:tc>
        <w:tc>
          <w:tcPr>
            <w:tcW w:w="26" w:type="pct"/>
            <w:shd w:val="clear" w:color="auto" w:fill="auto"/>
            <w:vAlign w:val="bottom"/>
          </w:tcPr>
          <w:p w14:paraId="392C43B2" w14:textId="77777777" w:rsidR="00980E5F" w:rsidRDefault="00980E5F">
            <w:pPr>
              <w:rPr>
                <w:rFonts w:ascii="宋体"/>
              </w:rPr>
            </w:pPr>
          </w:p>
        </w:tc>
        <w:tc>
          <w:tcPr>
            <w:tcW w:w="5" w:type="pct"/>
            <w:shd w:val="clear" w:color="auto" w:fill="auto"/>
            <w:vAlign w:val="bottom"/>
          </w:tcPr>
          <w:p w14:paraId="392C43B3" w14:textId="77777777" w:rsidR="00980E5F" w:rsidRDefault="00980E5F">
            <w:pPr>
              <w:rPr>
                <w:rFonts w:ascii="宋体"/>
              </w:rPr>
            </w:pPr>
          </w:p>
        </w:tc>
        <w:tc>
          <w:tcPr>
            <w:tcW w:w="50" w:type="pct"/>
            <w:shd w:val="clear" w:color="auto" w:fill="auto"/>
            <w:vAlign w:val="bottom"/>
          </w:tcPr>
          <w:p w14:paraId="392C43B4" w14:textId="77777777" w:rsidR="00980E5F" w:rsidRDefault="00980E5F">
            <w:pPr>
              <w:rPr>
                <w:rFonts w:ascii="宋体"/>
              </w:rPr>
            </w:pPr>
          </w:p>
        </w:tc>
        <w:tc>
          <w:tcPr>
            <w:tcW w:w="610" w:type="pct"/>
            <w:shd w:val="clear" w:color="auto" w:fill="auto"/>
            <w:vAlign w:val="bottom"/>
          </w:tcPr>
          <w:p w14:paraId="392C43B5" w14:textId="77777777" w:rsidR="00980E5F" w:rsidRDefault="00980E5F">
            <w:pPr>
              <w:rPr>
                <w:rFonts w:ascii="宋体"/>
              </w:rPr>
            </w:pPr>
          </w:p>
        </w:tc>
        <w:tc>
          <w:tcPr>
            <w:tcW w:w="5" w:type="pct"/>
            <w:shd w:val="clear" w:color="auto" w:fill="auto"/>
            <w:vAlign w:val="bottom"/>
          </w:tcPr>
          <w:p w14:paraId="392C43B6" w14:textId="77777777" w:rsidR="00980E5F" w:rsidRDefault="00980E5F">
            <w:pPr>
              <w:rPr>
                <w:rFonts w:ascii="宋体"/>
              </w:rPr>
            </w:pPr>
          </w:p>
        </w:tc>
        <w:tc>
          <w:tcPr>
            <w:tcW w:w="5" w:type="pct"/>
            <w:shd w:val="clear" w:color="auto" w:fill="auto"/>
            <w:vAlign w:val="bottom"/>
          </w:tcPr>
          <w:p w14:paraId="392C43B7" w14:textId="77777777" w:rsidR="00980E5F" w:rsidRDefault="00980E5F">
            <w:pPr>
              <w:rPr>
                <w:rFonts w:ascii="宋体"/>
              </w:rPr>
            </w:pPr>
          </w:p>
        </w:tc>
        <w:tc>
          <w:tcPr>
            <w:tcW w:w="26" w:type="pct"/>
            <w:shd w:val="clear" w:color="auto" w:fill="auto"/>
            <w:vAlign w:val="bottom"/>
          </w:tcPr>
          <w:p w14:paraId="392C43B8" w14:textId="77777777" w:rsidR="00980E5F" w:rsidRDefault="00980E5F">
            <w:pPr>
              <w:rPr>
                <w:rFonts w:ascii="宋体"/>
              </w:rPr>
            </w:pPr>
          </w:p>
        </w:tc>
        <w:tc>
          <w:tcPr>
            <w:tcW w:w="5" w:type="pct"/>
            <w:shd w:val="clear" w:color="auto" w:fill="auto"/>
            <w:vAlign w:val="bottom"/>
          </w:tcPr>
          <w:p w14:paraId="392C43B9" w14:textId="77777777" w:rsidR="00980E5F" w:rsidRDefault="00980E5F">
            <w:pPr>
              <w:rPr>
                <w:rFonts w:ascii="宋体"/>
              </w:rPr>
            </w:pPr>
          </w:p>
        </w:tc>
        <w:tc>
          <w:tcPr>
            <w:tcW w:w="50" w:type="pct"/>
            <w:shd w:val="clear" w:color="auto" w:fill="auto"/>
            <w:vAlign w:val="bottom"/>
          </w:tcPr>
          <w:p w14:paraId="392C43BA" w14:textId="77777777" w:rsidR="00980E5F" w:rsidRDefault="00980E5F">
            <w:pPr>
              <w:rPr>
                <w:rFonts w:ascii="宋体"/>
              </w:rPr>
            </w:pPr>
          </w:p>
        </w:tc>
        <w:tc>
          <w:tcPr>
            <w:tcW w:w="354" w:type="pct"/>
            <w:shd w:val="clear" w:color="auto" w:fill="auto"/>
            <w:vAlign w:val="bottom"/>
          </w:tcPr>
          <w:p w14:paraId="392C43BB" w14:textId="77777777" w:rsidR="00980E5F" w:rsidRDefault="00980E5F">
            <w:pPr>
              <w:rPr>
                <w:rFonts w:ascii="宋体"/>
              </w:rPr>
            </w:pPr>
          </w:p>
        </w:tc>
        <w:tc>
          <w:tcPr>
            <w:tcW w:w="5" w:type="pct"/>
            <w:shd w:val="clear" w:color="auto" w:fill="auto"/>
            <w:vAlign w:val="bottom"/>
          </w:tcPr>
          <w:p w14:paraId="392C43BC" w14:textId="77777777" w:rsidR="00980E5F" w:rsidRDefault="00980E5F">
            <w:pPr>
              <w:rPr>
                <w:rFonts w:ascii="宋体"/>
              </w:rPr>
            </w:pPr>
          </w:p>
        </w:tc>
        <w:tc>
          <w:tcPr>
            <w:tcW w:w="5" w:type="pct"/>
            <w:shd w:val="clear" w:color="auto" w:fill="auto"/>
            <w:vAlign w:val="bottom"/>
          </w:tcPr>
          <w:p w14:paraId="392C43BD" w14:textId="77777777" w:rsidR="00980E5F" w:rsidRDefault="00980E5F">
            <w:pPr>
              <w:rPr>
                <w:rFonts w:ascii="宋体"/>
              </w:rPr>
            </w:pPr>
          </w:p>
        </w:tc>
        <w:tc>
          <w:tcPr>
            <w:tcW w:w="26" w:type="pct"/>
            <w:shd w:val="clear" w:color="auto" w:fill="auto"/>
            <w:vAlign w:val="bottom"/>
          </w:tcPr>
          <w:p w14:paraId="392C43BE" w14:textId="77777777" w:rsidR="00980E5F" w:rsidRDefault="00980E5F">
            <w:pPr>
              <w:rPr>
                <w:rFonts w:ascii="宋体"/>
              </w:rPr>
            </w:pPr>
          </w:p>
        </w:tc>
        <w:tc>
          <w:tcPr>
            <w:tcW w:w="5" w:type="pct"/>
            <w:shd w:val="clear" w:color="auto" w:fill="auto"/>
            <w:vAlign w:val="bottom"/>
          </w:tcPr>
          <w:p w14:paraId="392C43BF" w14:textId="77777777" w:rsidR="00980E5F" w:rsidRDefault="00980E5F">
            <w:pPr>
              <w:rPr>
                <w:rFonts w:ascii="宋体"/>
              </w:rPr>
            </w:pPr>
          </w:p>
        </w:tc>
        <w:tc>
          <w:tcPr>
            <w:tcW w:w="50" w:type="pct"/>
            <w:shd w:val="clear" w:color="auto" w:fill="auto"/>
            <w:vAlign w:val="bottom"/>
          </w:tcPr>
          <w:p w14:paraId="392C43C0" w14:textId="77777777" w:rsidR="00980E5F" w:rsidRDefault="00980E5F">
            <w:pPr>
              <w:rPr>
                <w:rFonts w:ascii="宋体"/>
              </w:rPr>
            </w:pPr>
          </w:p>
        </w:tc>
        <w:tc>
          <w:tcPr>
            <w:tcW w:w="610" w:type="pct"/>
            <w:shd w:val="clear" w:color="auto" w:fill="auto"/>
            <w:vAlign w:val="bottom"/>
          </w:tcPr>
          <w:p w14:paraId="392C43C1" w14:textId="77777777" w:rsidR="00980E5F" w:rsidRDefault="00980E5F">
            <w:pPr>
              <w:rPr>
                <w:rFonts w:ascii="宋体"/>
              </w:rPr>
            </w:pPr>
          </w:p>
        </w:tc>
        <w:tc>
          <w:tcPr>
            <w:tcW w:w="5" w:type="pct"/>
            <w:shd w:val="clear" w:color="auto" w:fill="auto"/>
            <w:vAlign w:val="bottom"/>
          </w:tcPr>
          <w:p w14:paraId="392C43C2" w14:textId="77777777" w:rsidR="00980E5F" w:rsidRDefault="00980E5F">
            <w:pPr>
              <w:rPr>
                <w:rFonts w:ascii="宋体"/>
              </w:rPr>
            </w:pPr>
          </w:p>
        </w:tc>
      </w:tr>
      <w:tr w:rsidR="00980E5F" w14:paraId="392C43C6" w14:textId="77777777">
        <w:tc>
          <w:tcPr>
            <w:tcW w:w="0" w:type="auto"/>
            <w:gridSpan w:val="3"/>
            <w:shd w:val="clear" w:color="auto" w:fill="auto"/>
            <w:tcMar>
              <w:top w:w="0" w:type="dxa"/>
              <w:left w:w="20" w:type="dxa"/>
              <w:bottom w:w="0" w:type="dxa"/>
              <w:right w:w="20" w:type="dxa"/>
            </w:tcMar>
            <w:vAlign w:val="bottom"/>
          </w:tcPr>
          <w:p w14:paraId="392C43C4"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43C5" w14:textId="77777777" w:rsidR="00980E5F" w:rsidRDefault="00483613">
            <w:pPr>
              <w:jc w:val="center"/>
              <w:textAlignment w:val="bottom"/>
            </w:pPr>
            <w:r>
              <w:rPr>
                <w:rFonts w:ascii="Arial" w:eastAsia="宋体" w:hAnsi="Arial" w:cs="Arial"/>
                <w:b/>
                <w:bCs/>
                <w:color w:val="000000"/>
                <w:sz w:val="15"/>
                <w:szCs w:val="15"/>
              </w:rPr>
              <w:t>Fair Value Measurements on a Recurring Basis</w:t>
            </w:r>
          </w:p>
        </w:tc>
      </w:tr>
      <w:tr w:rsidR="00980E5F" w14:paraId="392C43C9" w14:textId="77777777">
        <w:tc>
          <w:tcPr>
            <w:tcW w:w="0" w:type="auto"/>
            <w:gridSpan w:val="3"/>
            <w:shd w:val="clear" w:color="auto" w:fill="auto"/>
            <w:tcMar>
              <w:top w:w="0" w:type="dxa"/>
              <w:left w:w="20" w:type="dxa"/>
              <w:bottom w:w="0" w:type="dxa"/>
              <w:right w:w="20" w:type="dxa"/>
            </w:tcMar>
            <w:vAlign w:val="bottom"/>
          </w:tcPr>
          <w:p w14:paraId="392C43C7"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43C8" w14:textId="77777777" w:rsidR="00980E5F" w:rsidRDefault="00483613">
            <w:pPr>
              <w:jc w:val="center"/>
              <w:textAlignment w:val="bottom"/>
            </w:pPr>
            <w:r>
              <w:rPr>
                <w:rFonts w:ascii="Arial" w:eastAsia="宋体" w:hAnsi="Arial" w:cs="Arial"/>
                <w:b/>
                <w:bCs/>
                <w:color w:val="000000"/>
                <w:sz w:val="15"/>
                <w:szCs w:val="15"/>
              </w:rPr>
              <w:t>As of December 31, 2021</w:t>
            </w:r>
          </w:p>
        </w:tc>
      </w:tr>
      <w:tr w:rsidR="00980E5F" w14:paraId="392C43D4" w14:textId="77777777">
        <w:tc>
          <w:tcPr>
            <w:tcW w:w="0" w:type="auto"/>
            <w:gridSpan w:val="3"/>
            <w:shd w:val="clear" w:color="auto" w:fill="auto"/>
            <w:tcMar>
              <w:top w:w="40" w:type="dxa"/>
              <w:left w:w="20" w:type="dxa"/>
              <w:bottom w:w="40" w:type="dxa"/>
              <w:right w:w="20" w:type="dxa"/>
            </w:tcMar>
            <w:vAlign w:val="bottom"/>
          </w:tcPr>
          <w:p w14:paraId="392C43CA" w14:textId="77777777" w:rsidR="00980E5F" w:rsidRDefault="00483613">
            <w:pPr>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3CB" w14:textId="77777777" w:rsidR="00980E5F" w:rsidRDefault="00483613">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C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3CD" w14:textId="77777777" w:rsidR="00980E5F" w:rsidRDefault="00483613">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C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3CF" w14:textId="77777777" w:rsidR="00980E5F" w:rsidRDefault="00483613">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3D1" w14:textId="77777777" w:rsidR="00980E5F" w:rsidRDefault="00483613">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3D3" w14:textId="77777777" w:rsidR="00980E5F" w:rsidRDefault="00483613">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980E5F" w14:paraId="392C43DF" w14:textId="77777777">
        <w:tc>
          <w:tcPr>
            <w:tcW w:w="0" w:type="auto"/>
            <w:gridSpan w:val="3"/>
            <w:shd w:val="clear" w:color="auto" w:fill="auto"/>
            <w:tcMar>
              <w:top w:w="40" w:type="dxa"/>
              <w:left w:w="20" w:type="dxa"/>
              <w:bottom w:w="40" w:type="dxa"/>
              <w:right w:w="20" w:type="dxa"/>
            </w:tcMar>
            <w:vAlign w:val="bottom"/>
          </w:tcPr>
          <w:p w14:paraId="392C43D5" w14:textId="77777777" w:rsidR="00980E5F" w:rsidRDefault="00483613">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D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D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3DE" w14:textId="77777777" w:rsidR="00980E5F" w:rsidRDefault="00980E5F">
            <w:pPr>
              <w:rPr>
                <w:rFonts w:ascii="宋体"/>
              </w:rPr>
            </w:pPr>
          </w:p>
        </w:tc>
      </w:tr>
      <w:tr w:rsidR="00980E5F" w14:paraId="392C43EA" w14:textId="77777777">
        <w:tc>
          <w:tcPr>
            <w:tcW w:w="0" w:type="auto"/>
            <w:gridSpan w:val="3"/>
            <w:shd w:val="clear" w:color="auto" w:fill="auto"/>
            <w:tcMar>
              <w:top w:w="40" w:type="dxa"/>
              <w:left w:w="20" w:type="dxa"/>
              <w:bottom w:w="40" w:type="dxa"/>
              <w:right w:w="20" w:type="dxa"/>
            </w:tcMar>
            <w:vAlign w:val="bottom"/>
          </w:tcPr>
          <w:p w14:paraId="392C43E0" w14:textId="77777777" w:rsidR="00980E5F" w:rsidRDefault="00483613">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392C43E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3E9" w14:textId="77777777" w:rsidR="00980E5F" w:rsidRDefault="00980E5F">
            <w:pPr>
              <w:rPr>
                <w:rFonts w:ascii="宋体"/>
              </w:rPr>
            </w:pPr>
          </w:p>
        </w:tc>
      </w:tr>
      <w:tr w:rsidR="00980E5F" w14:paraId="392C43FD" w14:textId="77777777">
        <w:tc>
          <w:tcPr>
            <w:tcW w:w="0" w:type="auto"/>
            <w:gridSpan w:val="3"/>
            <w:shd w:val="clear" w:color="auto" w:fill="CCEEFF"/>
            <w:tcMar>
              <w:top w:w="40" w:type="dxa"/>
              <w:left w:w="245" w:type="dxa"/>
              <w:bottom w:w="40" w:type="dxa"/>
              <w:right w:w="20" w:type="dxa"/>
            </w:tcMar>
            <w:vAlign w:val="bottom"/>
          </w:tcPr>
          <w:p w14:paraId="392C43EB" w14:textId="77777777" w:rsidR="00980E5F" w:rsidRDefault="00483613">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392C43E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43ED" w14:textId="77777777" w:rsidR="00980E5F" w:rsidRDefault="00483613">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392C43E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E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F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43F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F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F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F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43F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3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3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3F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3F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3F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43FB" w14:textId="77777777" w:rsidR="00980E5F" w:rsidRDefault="00483613">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392C43FC" w14:textId="77777777" w:rsidR="00980E5F" w:rsidRDefault="00980E5F">
            <w:pPr>
              <w:jc w:val="right"/>
              <w:rPr>
                <w:rFonts w:ascii="宋体"/>
              </w:rPr>
            </w:pPr>
          </w:p>
        </w:tc>
      </w:tr>
      <w:tr w:rsidR="00980E5F" w14:paraId="392C440C" w14:textId="77777777">
        <w:tc>
          <w:tcPr>
            <w:tcW w:w="0" w:type="auto"/>
            <w:gridSpan w:val="3"/>
            <w:shd w:val="clear" w:color="auto" w:fill="FFFFFF"/>
            <w:tcMar>
              <w:top w:w="40" w:type="dxa"/>
              <w:left w:w="245" w:type="dxa"/>
              <w:bottom w:w="40" w:type="dxa"/>
              <w:right w:w="20" w:type="dxa"/>
            </w:tcMar>
            <w:vAlign w:val="bottom"/>
          </w:tcPr>
          <w:p w14:paraId="392C43FE" w14:textId="77777777" w:rsidR="00980E5F" w:rsidRDefault="00483613">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392C43F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02" w14:textId="77777777" w:rsidR="00980E5F" w:rsidRDefault="00483613">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392C44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0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0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0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0A" w14:textId="77777777" w:rsidR="00980E5F" w:rsidRDefault="00483613">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392C440B" w14:textId="77777777" w:rsidR="00980E5F" w:rsidRDefault="00980E5F">
            <w:pPr>
              <w:jc w:val="right"/>
              <w:rPr>
                <w:rFonts w:ascii="宋体"/>
              </w:rPr>
            </w:pPr>
          </w:p>
        </w:tc>
      </w:tr>
      <w:tr w:rsidR="00980E5F" w14:paraId="392C441B" w14:textId="77777777">
        <w:tc>
          <w:tcPr>
            <w:tcW w:w="0" w:type="auto"/>
            <w:gridSpan w:val="3"/>
            <w:shd w:val="clear" w:color="auto" w:fill="CCEEFF"/>
            <w:tcMar>
              <w:top w:w="40" w:type="dxa"/>
              <w:left w:w="245" w:type="dxa"/>
              <w:bottom w:w="40" w:type="dxa"/>
              <w:right w:w="20" w:type="dxa"/>
            </w:tcMar>
            <w:vAlign w:val="bottom"/>
          </w:tcPr>
          <w:p w14:paraId="392C440D"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392C440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11" w14:textId="77777777" w:rsidR="00980E5F" w:rsidRDefault="00483613">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392C44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1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1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1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1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19" w14:textId="77777777" w:rsidR="00980E5F" w:rsidRDefault="00483613">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392C441A" w14:textId="77777777" w:rsidR="00980E5F" w:rsidRDefault="00980E5F">
            <w:pPr>
              <w:jc w:val="right"/>
              <w:rPr>
                <w:rFonts w:ascii="宋体"/>
              </w:rPr>
            </w:pPr>
          </w:p>
        </w:tc>
      </w:tr>
      <w:tr w:rsidR="00980E5F" w14:paraId="392C442A" w14:textId="77777777">
        <w:tc>
          <w:tcPr>
            <w:tcW w:w="0" w:type="auto"/>
            <w:gridSpan w:val="3"/>
            <w:shd w:val="clear" w:color="auto" w:fill="FFFFFF"/>
            <w:tcMar>
              <w:top w:w="40" w:type="dxa"/>
              <w:left w:w="740" w:type="dxa"/>
              <w:bottom w:w="40" w:type="dxa"/>
              <w:right w:w="20" w:type="dxa"/>
            </w:tcMar>
            <w:vAlign w:val="bottom"/>
          </w:tcPr>
          <w:p w14:paraId="392C441C" w14:textId="77777777" w:rsidR="00980E5F" w:rsidRDefault="00483613">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41D" w14:textId="77777777" w:rsidR="00980E5F" w:rsidRDefault="00483613">
            <w:pPr>
              <w:jc w:val="right"/>
              <w:textAlignment w:val="bottom"/>
            </w:pPr>
            <w:r>
              <w:rPr>
                <w:rFonts w:ascii="Arial" w:eastAsia="宋体" w:hAnsi="Arial" w:cs="Arial"/>
                <w:color w:val="000000"/>
                <w:sz w:val="14"/>
                <w:szCs w:val="14"/>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4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1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420" w14:textId="77777777" w:rsidR="00980E5F" w:rsidRDefault="00483613">
            <w:pPr>
              <w:jc w:val="right"/>
              <w:textAlignment w:val="bottom"/>
            </w:pPr>
            <w:r>
              <w:rPr>
                <w:rFonts w:ascii="Arial" w:eastAsia="宋体" w:hAnsi="Arial" w:cs="Arial"/>
                <w:color w:val="000000"/>
                <w:sz w:val="14"/>
                <w:szCs w:val="14"/>
              </w:rPr>
              <w:t>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4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2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423"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4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2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2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2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428" w14:textId="77777777" w:rsidR="00980E5F" w:rsidRDefault="00483613">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429" w14:textId="77777777" w:rsidR="00980E5F" w:rsidRDefault="00980E5F">
            <w:pPr>
              <w:jc w:val="right"/>
              <w:rPr>
                <w:rFonts w:ascii="宋体"/>
              </w:rPr>
            </w:pPr>
          </w:p>
        </w:tc>
      </w:tr>
      <w:tr w:rsidR="00980E5F" w14:paraId="392C4435" w14:textId="77777777">
        <w:tc>
          <w:tcPr>
            <w:tcW w:w="0" w:type="auto"/>
            <w:gridSpan w:val="3"/>
            <w:shd w:val="clear" w:color="auto" w:fill="CCEEFF"/>
            <w:tcMar>
              <w:top w:w="40" w:type="dxa"/>
              <w:left w:w="20" w:type="dxa"/>
              <w:bottom w:w="40" w:type="dxa"/>
              <w:right w:w="20" w:type="dxa"/>
            </w:tcMar>
            <w:vAlign w:val="bottom"/>
          </w:tcPr>
          <w:p w14:paraId="392C442B" w14:textId="77777777" w:rsidR="00980E5F" w:rsidRDefault="00483613">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42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2D"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42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2F"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43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3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33"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434" w14:textId="77777777" w:rsidR="00980E5F" w:rsidRDefault="00980E5F">
            <w:pPr>
              <w:rPr>
                <w:rFonts w:ascii="宋体"/>
              </w:rPr>
            </w:pPr>
          </w:p>
        </w:tc>
      </w:tr>
      <w:tr w:rsidR="00980E5F" w14:paraId="392C4440" w14:textId="77777777">
        <w:tc>
          <w:tcPr>
            <w:tcW w:w="0" w:type="auto"/>
            <w:gridSpan w:val="3"/>
            <w:shd w:val="clear" w:color="auto" w:fill="FFFFFF"/>
            <w:tcMar>
              <w:top w:w="40" w:type="dxa"/>
              <w:left w:w="245" w:type="dxa"/>
              <w:bottom w:w="40" w:type="dxa"/>
              <w:right w:w="20" w:type="dxa"/>
            </w:tcMar>
            <w:vAlign w:val="bottom"/>
          </w:tcPr>
          <w:p w14:paraId="392C4436" w14:textId="77777777" w:rsidR="00980E5F" w:rsidRDefault="00483613">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392C443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3F" w14:textId="77777777" w:rsidR="00980E5F" w:rsidRDefault="00980E5F">
            <w:pPr>
              <w:rPr>
                <w:rFonts w:ascii="宋体"/>
              </w:rPr>
            </w:pPr>
          </w:p>
        </w:tc>
      </w:tr>
      <w:tr w:rsidR="00980E5F" w14:paraId="392C444F" w14:textId="77777777">
        <w:tc>
          <w:tcPr>
            <w:tcW w:w="0" w:type="auto"/>
            <w:gridSpan w:val="3"/>
            <w:shd w:val="clear" w:color="auto" w:fill="CCEEFF"/>
            <w:tcMar>
              <w:top w:w="40" w:type="dxa"/>
              <w:left w:w="515" w:type="dxa"/>
              <w:bottom w:w="40" w:type="dxa"/>
              <w:right w:w="20" w:type="dxa"/>
            </w:tcMar>
            <w:vAlign w:val="bottom"/>
          </w:tcPr>
          <w:p w14:paraId="392C4441" w14:textId="77777777" w:rsidR="00980E5F" w:rsidRDefault="00483613">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392C4442" w14:textId="77777777" w:rsidR="00980E5F" w:rsidRDefault="00483613">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392C44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4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4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4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4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4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4D" w14:textId="77777777" w:rsidR="00980E5F" w:rsidRDefault="00483613">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392C444E" w14:textId="77777777" w:rsidR="00980E5F" w:rsidRDefault="00980E5F">
            <w:pPr>
              <w:jc w:val="right"/>
              <w:rPr>
                <w:rFonts w:ascii="宋体"/>
              </w:rPr>
            </w:pPr>
          </w:p>
        </w:tc>
      </w:tr>
      <w:tr w:rsidR="00980E5F" w14:paraId="392C445E" w14:textId="77777777">
        <w:tc>
          <w:tcPr>
            <w:tcW w:w="0" w:type="auto"/>
            <w:gridSpan w:val="3"/>
            <w:shd w:val="clear" w:color="auto" w:fill="FFFFFF"/>
            <w:tcMar>
              <w:top w:w="40" w:type="dxa"/>
              <w:left w:w="515" w:type="dxa"/>
              <w:bottom w:w="40" w:type="dxa"/>
              <w:right w:w="20" w:type="dxa"/>
            </w:tcMar>
            <w:vAlign w:val="bottom"/>
          </w:tcPr>
          <w:p w14:paraId="392C4450" w14:textId="77777777" w:rsidR="00980E5F" w:rsidRDefault="00483613">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92C445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54" w14:textId="77777777" w:rsidR="00980E5F" w:rsidRDefault="00483613">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392C44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5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5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5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5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5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5C" w14:textId="77777777" w:rsidR="00980E5F" w:rsidRDefault="00483613">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392C445D" w14:textId="77777777" w:rsidR="00980E5F" w:rsidRDefault="00980E5F">
            <w:pPr>
              <w:jc w:val="right"/>
              <w:rPr>
                <w:rFonts w:ascii="宋体"/>
              </w:rPr>
            </w:pPr>
          </w:p>
        </w:tc>
      </w:tr>
      <w:tr w:rsidR="00980E5F" w14:paraId="392C446D" w14:textId="77777777">
        <w:tc>
          <w:tcPr>
            <w:tcW w:w="0" w:type="auto"/>
            <w:gridSpan w:val="3"/>
            <w:shd w:val="clear" w:color="auto" w:fill="CCEEFF"/>
            <w:tcMar>
              <w:top w:w="40" w:type="dxa"/>
              <w:left w:w="740" w:type="dxa"/>
              <w:bottom w:w="40" w:type="dxa"/>
              <w:right w:w="20" w:type="dxa"/>
            </w:tcMar>
            <w:vAlign w:val="bottom"/>
          </w:tcPr>
          <w:p w14:paraId="392C445F" w14:textId="77777777" w:rsidR="00980E5F" w:rsidRDefault="00483613">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60" w14:textId="77777777" w:rsidR="00980E5F" w:rsidRDefault="00483613">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6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63" w14:textId="77777777" w:rsidR="00980E5F" w:rsidRDefault="00483613">
            <w:pPr>
              <w:jc w:val="right"/>
              <w:textAlignment w:val="bottom"/>
            </w:pPr>
            <w:r>
              <w:rPr>
                <w:rFonts w:ascii="Arial" w:eastAsia="宋体" w:hAnsi="Arial" w:cs="Arial"/>
                <w:color w:val="000000"/>
                <w:sz w:val="14"/>
                <w:szCs w:val="14"/>
              </w:rPr>
              <w:t>18,208 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6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66"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6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6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6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6B" w14:textId="77777777" w:rsidR="00980E5F" w:rsidRDefault="00483613">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6C" w14:textId="77777777" w:rsidR="00980E5F" w:rsidRDefault="00980E5F">
            <w:pPr>
              <w:jc w:val="right"/>
              <w:rPr>
                <w:rFonts w:ascii="宋体"/>
              </w:rPr>
            </w:pPr>
          </w:p>
        </w:tc>
      </w:tr>
      <w:tr w:rsidR="00980E5F" w14:paraId="392C4478" w14:textId="77777777">
        <w:tc>
          <w:tcPr>
            <w:tcW w:w="0" w:type="auto"/>
            <w:gridSpan w:val="3"/>
            <w:shd w:val="clear" w:color="auto" w:fill="FFFFFF"/>
            <w:tcMar>
              <w:top w:w="40" w:type="dxa"/>
              <w:left w:w="245" w:type="dxa"/>
              <w:bottom w:w="40" w:type="dxa"/>
              <w:right w:w="20" w:type="dxa"/>
            </w:tcMar>
            <w:vAlign w:val="bottom"/>
          </w:tcPr>
          <w:p w14:paraId="392C446E" w14:textId="77777777" w:rsidR="00980E5F" w:rsidRDefault="00483613">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392C446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77" w14:textId="77777777" w:rsidR="00980E5F" w:rsidRDefault="00980E5F">
            <w:pPr>
              <w:rPr>
                <w:rFonts w:ascii="宋体"/>
              </w:rPr>
            </w:pPr>
          </w:p>
        </w:tc>
      </w:tr>
      <w:tr w:rsidR="00980E5F" w14:paraId="392C4487" w14:textId="77777777">
        <w:tc>
          <w:tcPr>
            <w:tcW w:w="0" w:type="auto"/>
            <w:gridSpan w:val="3"/>
            <w:shd w:val="clear" w:color="auto" w:fill="CCEEFF"/>
            <w:tcMar>
              <w:top w:w="40" w:type="dxa"/>
              <w:left w:w="515" w:type="dxa"/>
              <w:bottom w:w="40" w:type="dxa"/>
              <w:right w:w="20" w:type="dxa"/>
            </w:tcMar>
            <w:vAlign w:val="bottom"/>
          </w:tcPr>
          <w:p w14:paraId="392C4479" w14:textId="77777777" w:rsidR="00980E5F" w:rsidRDefault="00483613">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392C447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7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7D" w14:textId="77777777" w:rsidR="00980E5F" w:rsidRDefault="00483613">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392C44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7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8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8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8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8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85" w14:textId="77777777" w:rsidR="00980E5F" w:rsidRDefault="00483613">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392C4486" w14:textId="77777777" w:rsidR="00980E5F" w:rsidRDefault="00980E5F">
            <w:pPr>
              <w:jc w:val="right"/>
              <w:rPr>
                <w:rFonts w:ascii="宋体"/>
              </w:rPr>
            </w:pPr>
          </w:p>
        </w:tc>
      </w:tr>
      <w:tr w:rsidR="00980E5F" w14:paraId="392C4496" w14:textId="77777777">
        <w:tc>
          <w:tcPr>
            <w:tcW w:w="0" w:type="auto"/>
            <w:gridSpan w:val="3"/>
            <w:shd w:val="clear" w:color="auto" w:fill="FFFFFF"/>
            <w:tcMar>
              <w:top w:w="40" w:type="dxa"/>
              <w:left w:w="515" w:type="dxa"/>
              <w:bottom w:w="40" w:type="dxa"/>
              <w:right w:w="20" w:type="dxa"/>
            </w:tcMar>
            <w:vAlign w:val="bottom"/>
          </w:tcPr>
          <w:p w14:paraId="392C4488" w14:textId="77777777" w:rsidR="00980E5F" w:rsidRDefault="00483613">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392C448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8C" w14:textId="77777777" w:rsidR="00980E5F" w:rsidRDefault="00483613">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392C44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8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8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9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94" w14:textId="77777777" w:rsidR="00980E5F" w:rsidRDefault="00483613">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392C4495" w14:textId="77777777" w:rsidR="00980E5F" w:rsidRDefault="00980E5F">
            <w:pPr>
              <w:jc w:val="right"/>
              <w:rPr>
                <w:rFonts w:ascii="宋体"/>
              </w:rPr>
            </w:pPr>
          </w:p>
        </w:tc>
      </w:tr>
      <w:tr w:rsidR="00980E5F" w14:paraId="392C44A5" w14:textId="77777777">
        <w:tc>
          <w:tcPr>
            <w:tcW w:w="0" w:type="auto"/>
            <w:gridSpan w:val="3"/>
            <w:shd w:val="clear" w:color="auto" w:fill="CCEEFF"/>
            <w:tcMar>
              <w:top w:w="40" w:type="dxa"/>
              <w:left w:w="515" w:type="dxa"/>
              <w:bottom w:w="40" w:type="dxa"/>
              <w:right w:w="20" w:type="dxa"/>
            </w:tcMar>
            <w:vAlign w:val="bottom"/>
          </w:tcPr>
          <w:p w14:paraId="392C4497" w14:textId="77777777" w:rsidR="00980E5F" w:rsidRDefault="00483613">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449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9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9B" w14:textId="77777777" w:rsidR="00980E5F" w:rsidRDefault="00483613">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392C44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9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A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A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A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A3" w14:textId="77777777" w:rsidR="00980E5F" w:rsidRDefault="00483613">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392C44A4" w14:textId="77777777" w:rsidR="00980E5F" w:rsidRDefault="00980E5F">
            <w:pPr>
              <w:jc w:val="right"/>
              <w:rPr>
                <w:rFonts w:ascii="宋体"/>
              </w:rPr>
            </w:pPr>
          </w:p>
        </w:tc>
      </w:tr>
      <w:tr w:rsidR="00980E5F" w14:paraId="392C44B4" w14:textId="77777777">
        <w:tc>
          <w:tcPr>
            <w:tcW w:w="0" w:type="auto"/>
            <w:gridSpan w:val="3"/>
            <w:shd w:val="clear" w:color="auto" w:fill="FFFFFF"/>
            <w:tcMar>
              <w:top w:w="40" w:type="dxa"/>
              <w:left w:w="515" w:type="dxa"/>
              <w:bottom w:w="40" w:type="dxa"/>
              <w:right w:w="20" w:type="dxa"/>
            </w:tcMar>
            <w:vAlign w:val="bottom"/>
          </w:tcPr>
          <w:p w14:paraId="392C44A6"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44A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AA" w14:textId="77777777" w:rsidR="00980E5F" w:rsidRDefault="00483613">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392C44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A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A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A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B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B2" w14:textId="77777777" w:rsidR="00980E5F" w:rsidRDefault="00483613">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392C44B3" w14:textId="77777777" w:rsidR="00980E5F" w:rsidRDefault="00980E5F">
            <w:pPr>
              <w:jc w:val="right"/>
              <w:rPr>
                <w:rFonts w:ascii="宋体"/>
              </w:rPr>
            </w:pPr>
          </w:p>
        </w:tc>
      </w:tr>
      <w:tr w:rsidR="00980E5F" w14:paraId="392C44C3" w14:textId="77777777">
        <w:tc>
          <w:tcPr>
            <w:tcW w:w="0" w:type="auto"/>
            <w:gridSpan w:val="3"/>
            <w:shd w:val="clear" w:color="auto" w:fill="CCEEFF"/>
            <w:tcMar>
              <w:top w:w="40" w:type="dxa"/>
              <w:left w:w="740" w:type="dxa"/>
              <w:bottom w:w="40" w:type="dxa"/>
              <w:right w:w="20" w:type="dxa"/>
            </w:tcMar>
            <w:vAlign w:val="bottom"/>
          </w:tcPr>
          <w:p w14:paraId="392C44B5" w14:textId="77777777" w:rsidR="00980E5F" w:rsidRDefault="00483613">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B6"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B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B9" w14:textId="77777777" w:rsidR="00980E5F" w:rsidRDefault="00483613">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B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B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B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B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C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4C1" w14:textId="77777777" w:rsidR="00980E5F" w:rsidRDefault="00483613">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4C2" w14:textId="77777777" w:rsidR="00980E5F" w:rsidRDefault="00980E5F">
            <w:pPr>
              <w:jc w:val="right"/>
              <w:rPr>
                <w:rFonts w:ascii="宋体"/>
              </w:rPr>
            </w:pPr>
          </w:p>
        </w:tc>
      </w:tr>
      <w:tr w:rsidR="00980E5F" w14:paraId="392C44CE" w14:textId="77777777">
        <w:tc>
          <w:tcPr>
            <w:tcW w:w="0" w:type="auto"/>
            <w:gridSpan w:val="3"/>
            <w:shd w:val="clear" w:color="auto" w:fill="FFFFFF"/>
            <w:tcMar>
              <w:top w:w="40" w:type="dxa"/>
              <w:left w:w="245" w:type="dxa"/>
              <w:bottom w:w="40" w:type="dxa"/>
              <w:right w:w="20" w:type="dxa"/>
            </w:tcMar>
            <w:vAlign w:val="bottom"/>
          </w:tcPr>
          <w:p w14:paraId="392C44C4" w14:textId="77777777" w:rsidR="00980E5F" w:rsidRDefault="00483613">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4C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C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4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C8"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4C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C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C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C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44CD" w14:textId="77777777" w:rsidR="00980E5F" w:rsidRDefault="00980E5F">
            <w:pPr>
              <w:rPr>
                <w:rFonts w:ascii="宋体"/>
              </w:rPr>
            </w:pPr>
          </w:p>
        </w:tc>
      </w:tr>
      <w:tr w:rsidR="00980E5F" w14:paraId="392C44DD" w14:textId="77777777">
        <w:tc>
          <w:tcPr>
            <w:tcW w:w="0" w:type="auto"/>
            <w:gridSpan w:val="3"/>
            <w:shd w:val="clear" w:color="auto" w:fill="CCEEFF"/>
            <w:tcMar>
              <w:top w:w="40" w:type="dxa"/>
              <w:left w:w="515" w:type="dxa"/>
              <w:bottom w:w="40" w:type="dxa"/>
              <w:right w:w="20" w:type="dxa"/>
            </w:tcMar>
            <w:vAlign w:val="bottom"/>
          </w:tcPr>
          <w:p w14:paraId="392C44CF" w14:textId="77777777" w:rsidR="00980E5F" w:rsidRDefault="00483613">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392C44D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D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D3"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44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D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D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4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4D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D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4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4DB"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44DC" w14:textId="77777777" w:rsidR="00980E5F" w:rsidRDefault="00980E5F">
            <w:pPr>
              <w:jc w:val="right"/>
              <w:rPr>
                <w:rFonts w:ascii="宋体"/>
              </w:rPr>
            </w:pPr>
          </w:p>
        </w:tc>
      </w:tr>
      <w:tr w:rsidR="00980E5F" w14:paraId="392C44E8" w14:textId="77777777">
        <w:trPr>
          <w:hidden/>
        </w:trPr>
        <w:tc>
          <w:tcPr>
            <w:tcW w:w="0" w:type="auto"/>
            <w:gridSpan w:val="3"/>
            <w:shd w:val="clear" w:color="auto" w:fill="auto"/>
            <w:vAlign w:val="bottom"/>
          </w:tcPr>
          <w:p w14:paraId="392C44DE" w14:textId="77777777" w:rsidR="00980E5F" w:rsidRDefault="00980E5F">
            <w:pPr>
              <w:rPr>
                <w:rFonts w:ascii="宋体"/>
                <w:vanish/>
              </w:rPr>
            </w:pPr>
          </w:p>
        </w:tc>
        <w:tc>
          <w:tcPr>
            <w:tcW w:w="0" w:type="auto"/>
            <w:gridSpan w:val="3"/>
            <w:shd w:val="clear" w:color="auto" w:fill="auto"/>
            <w:vAlign w:val="bottom"/>
          </w:tcPr>
          <w:p w14:paraId="392C44DF" w14:textId="77777777" w:rsidR="00980E5F" w:rsidRDefault="00980E5F">
            <w:pPr>
              <w:rPr>
                <w:rFonts w:ascii="宋体"/>
                <w:vanish/>
              </w:rPr>
            </w:pPr>
          </w:p>
        </w:tc>
        <w:tc>
          <w:tcPr>
            <w:tcW w:w="0" w:type="auto"/>
            <w:gridSpan w:val="3"/>
            <w:shd w:val="clear" w:color="auto" w:fill="auto"/>
            <w:vAlign w:val="bottom"/>
          </w:tcPr>
          <w:p w14:paraId="392C44E0" w14:textId="77777777" w:rsidR="00980E5F" w:rsidRDefault="00980E5F">
            <w:pPr>
              <w:rPr>
                <w:rFonts w:ascii="宋体"/>
                <w:vanish/>
              </w:rPr>
            </w:pPr>
          </w:p>
        </w:tc>
        <w:tc>
          <w:tcPr>
            <w:tcW w:w="0" w:type="auto"/>
            <w:gridSpan w:val="3"/>
            <w:shd w:val="clear" w:color="auto" w:fill="auto"/>
            <w:vAlign w:val="bottom"/>
          </w:tcPr>
          <w:p w14:paraId="392C44E1" w14:textId="77777777" w:rsidR="00980E5F" w:rsidRDefault="00980E5F">
            <w:pPr>
              <w:rPr>
                <w:rFonts w:ascii="宋体"/>
                <w:vanish/>
              </w:rPr>
            </w:pPr>
          </w:p>
        </w:tc>
        <w:tc>
          <w:tcPr>
            <w:tcW w:w="0" w:type="auto"/>
            <w:gridSpan w:val="3"/>
            <w:shd w:val="clear" w:color="auto" w:fill="auto"/>
            <w:vAlign w:val="bottom"/>
          </w:tcPr>
          <w:p w14:paraId="392C44E2" w14:textId="77777777" w:rsidR="00980E5F" w:rsidRDefault="00980E5F">
            <w:pPr>
              <w:rPr>
                <w:rFonts w:ascii="宋体"/>
                <w:vanish/>
              </w:rPr>
            </w:pPr>
          </w:p>
        </w:tc>
        <w:tc>
          <w:tcPr>
            <w:tcW w:w="0" w:type="auto"/>
            <w:gridSpan w:val="3"/>
            <w:shd w:val="clear" w:color="auto" w:fill="auto"/>
            <w:vAlign w:val="bottom"/>
          </w:tcPr>
          <w:p w14:paraId="392C44E3" w14:textId="77777777" w:rsidR="00980E5F" w:rsidRDefault="00980E5F">
            <w:pPr>
              <w:rPr>
                <w:rFonts w:ascii="宋体"/>
                <w:vanish/>
              </w:rPr>
            </w:pPr>
          </w:p>
        </w:tc>
        <w:tc>
          <w:tcPr>
            <w:tcW w:w="0" w:type="auto"/>
            <w:gridSpan w:val="3"/>
            <w:shd w:val="clear" w:color="auto" w:fill="auto"/>
            <w:vAlign w:val="bottom"/>
          </w:tcPr>
          <w:p w14:paraId="392C44E4" w14:textId="77777777" w:rsidR="00980E5F" w:rsidRDefault="00980E5F">
            <w:pPr>
              <w:rPr>
                <w:rFonts w:ascii="宋体"/>
                <w:vanish/>
              </w:rPr>
            </w:pPr>
          </w:p>
        </w:tc>
        <w:tc>
          <w:tcPr>
            <w:tcW w:w="0" w:type="auto"/>
            <w:gridSpan w:val="3"/>
            <w:shd w:val="clear" w:color="auto" w:fill="auto"/>
            <w:vAlign w:val="bottom"/>
          </w:tcPr>
          <w:p w14:paraId="392C44E5" w14:textId="77777777" w:rsidR="00980E5F" w:rsidRDefault="00980E5F">
            <w:pPr>
              <w:rPr>
                <w:rFonts w:ascii="宋体"/>
                <w:vanish/>
              </w:rPr>
            </w:pPr>
          </w:p>
        </w:tc>
        <w:tc>
          <w:tcPr>
            <w:tcW w:w="0" w:type="auto"/>
            <w:gridSpan w:val="3"/>
            <w:shd w:val="clear" w:color="auto" w:fill="auto"/>
            <w:vAlign w:val="bottom"/>
          </w:tcPr>
          <w:p w14:paraId="392C44E6" w14:textId="77777777" w:rsidR="00980E5F" w:rsidRDefault="00980E5F">
            <w:pPr>
              <w:rPr>
                <w:rFonts w:ascii="宋体"/>
                <w:vanish/>
              </w:rPr>
            </w:pPr>
          </w:p>
        </w:tc>
        <w:tc>
          <w:tcPr>
            <w:tcW w:w="0" w:type="auto"/>
            <w:gridSpan w:val="3"/>
            <w:shd w:val="clear" w:color="auto" w:fill="auto"/>
            <w:vAlign w:val="bottom"/>
          </w:tcPr>
          <w:p w14:paraId="392C44E7" w14:textId="77777777" w:rsidR="00980E5F" w:rsidRDefault="00980E5F">
            <w:pPr>
              <w:rPr>
                <w:rFonts w:ascii="宋体"/>
                <w:vanish/>
              </w:rPr>
            </w:pPr>
          </w:p>
        </w:tc>
      </w:tr>
      <w:tr w:rsidR="00980E5F" w14:paraId="392C44F3" w14:textId="77777777">
        <w:trPr>
          <w:hidden/>
        </w:trPr>
        <w:tc>
          <w:tcPr>
            <w:tcW w:w="0" w:type="auto"/>
            <w:gridSpan w:val="3"/>
            <w:shd w:val="clear" w:color="auto" w:fill="auto"/>
            <w:vAlign w:val="bottom"/>
          </w:tcPr>
          <w:p w14:paraId="392C44E9" w14:textId="77777777" w:rsidR="00980E5F" w:rsidRDefault="00980E5F">
            <w:pPr>
              <w:rPr>
                <w:rFonts w:ascii="宋体"/>
                <w:vanish/>
              </w:rPr>
            </w:pPr>
          </w:p>
        </w:tc>
        <w:tc>
          <w:tcPr>
            <w:tcW w:w="0" w:type="auto"/>
            <w:gridSpan w:val="3"/>
            <w:shd w:val="clear" w:color="auto" w:fill="auto"/>
            <w:vAlign w:val="bottom"/>
          </w:tcPr>
          <w:p w14:paraId="392C44EA" w14:textId="77777777" w:rsidR="00980E5F" w:rsidRDefault="00980E5F">
            <w:pPr>
              <w:rPr>
                <w:rFonts w:ascii="宋体"/>
                <w:vanish/>
              </w:rPr>
            </w:pPr>
          </w:p>
        </w:tc>
        <w:tc>
          <w:tcPr>
            <w:tcW w:w="0" w:type="auto"/>
            <w:gridSpan w:val="3"/>
            <w:shd w:val="clear" w:color="auto" w:fill="auto"/>
            <w:vAlign w:val="bottom"/>
          </w:tcPr>
          <w:p w14:paraId="392C44EB" w14:textId="77777777" w:rsidR="00980E5F" w:rsidRDefault="00980E5F">
            <w:pPr>
              <w:rPr>
                <w:rFonts w:ascii="宋体"/>
                <w:vanish/>
              </w:rPr>
            </w:pPr>
          </w:p>
        </w:tc>
        <w:tc>
          <w:tcPr>
            <w:tcW w:w="0" w:type="auto"/>
            <w:gridSpan w:val="3"/>
            <w:shd w:val="clear" w:color="auto" w:fill="auto"/>
            <w:vAlign w:val="bottom"/>
          </w:tcPr>
          <w:p w14:paraId="392C44EC" w14:textId="77777777" w:rsidR="00980E5F" w:rsidRDefault="00980E5F">
            <w:pPr>
              <w:rPr>
                <w:rFonts w:ascii="宋体"/>
                <w:vanish/>
              </w:rPr>
            </w:pPr>
          </w:p>
        </w:tc>
        <w:tc>
          <w:tcPr>
            <w:tcW w:w="0" w:type="auto"/>
            <w:gridSpan w:val="3"/>
            <w:shd w:val="clear" w:color="auto" w:fill="auto"/>
            <w:vAlign w:val="bottom"/>
          </w:tcPr>
          <w:p w14:paraId="392C44ED" w14:textId="77777777" w:rsidR="00980E5F" w:rsidRDefault="00980E5F">
            <w:pPr>
              <w:rPr>
                <w:rFonts w:ascii="宋体"/>
                <w:vanish/>
              </w:rPr>
            </w:pPr>
          </w:p>
        </w:tc>
        <w:tc>
          <w:tcPr>
            <w:tcW w:w="0" w:type="auto"/>
            <w:gridSpan w:val="3"/>
            <w:shd w:val="clear" w:color="auto" w:fill="auto"/>
            <w:vAlign w:val="bottom"/>
          </w:tcPr>
          <w:p w14:paraId="392C44EE" w14:textId="77777777" w:rsidR="00980E5F" w:rsidRDefault="00980E5F">
            <w:pPr>
              <w:rPr>
                <w:rFonts w:ascii="宋体"/>
                <w:vanish/>
              </w:rPr>
            </w:pPr>
          </w:p>
        </w:tc>
        <w:tc>
          <w:tcPr>
            <w:tcW w:w="0" w:type="auto"/>
            <w:gridSpan w:val="3"/>
            <w:shd w:val="clear" w:color="auto" w:fill="auto"/>
            <w:vAlign w:val="bottom"/>
          </w:tcPr>
          <w:p w14:paraId="392C44EF" w14:textId="77777777" w:rsidR="00980E5F" w:rsidRDefault="00980E5F">
            <w:pPr>
              <w:rPr>
                <w:rFonts w:ascii="宋体"/>
                <w:vanish/>
              </w:rPr>
            </w:pPr>
          </w:p>
        </w:tc>
        <w:tc>
          <w:tcPr>
            <w:tcW w:w="0" w:type="auto"/>
            <w:gridSpan w:val="3"/>
            <w:shd w:val="clear" w:color="auto" w:fill="auto"/>
            <w:vAlign w:val="bottom"/>
          </w:tcPr>
          <w:p w14:paraId="392C44F0" w14:textId="77777777" w:rsidR="00980E5F" w:rsidRDefault="00980E5F">
            <w:pPr>
              <w:rPr>
                <w:rFonts w:ascii="宋体"/>
                <w:vanish/>
              </w:rPr>
            </w:pPr>
          </w:p>
        </w:tc>
        <w:tc>
          <w:tcPr>
            <w:tcW w:w="0" w:type="auto"/>
            <w:gridSpan w:val="3"/>
            <w:shd w:val="clear" w:color="auto" w:fill="auto"/>
            <w:vAlign w:val="bottom"/>
          </w:tcPr>
          <w:p w14:paraId="392C44F1" w14:textId="77777777" w:rsidR="00980E5F" w:rsidRDefault="00980E5F">
            <w:pPr>
              <w:rPr>
                <w:rFonts w:ascii="宋体"/>
                <w:vanish/>
              </w:rPr>
            </w:pPr>
          </w:p>
        </w:tc>
        <w:tc>
          <w:tcPr>
            <w:tcW w:w="0" w:type="auto"/>
            <w:gridSpan w:val="3"/>
            <w:shd w:val="clear" w:color="auto" w:fill="auto"/>
            <w:vAlign w:val="bottom"/>
          </w:tcPr>
          <w:p w14:paraId="392C44F2" w14:textId="77777777" w:rsidR="00980E5F" w:rsidRDefault="00980E5F">
            <w:pPr>
              <w:rPr>
                <w:rFonts w:ascii="宋体"/>
                <w:vanish/>
              </w:rPr>
            </w:pPr>
          </w:p>
        </w:tc>
      </w:tr>
      <w:tr w:rsidR="00980E5F" w14:paraId="392C4502" w14:textId="77777777">
        <w:tc>
          <w:tcPr>
            <w:tcW w:w="0" w:type="auto"/>
            <w:gridSpan w:val="3"/>
            <w:shd w:val="clear" w:color="auto" w:fill="FFFFFF"/>
            <w:tcMar>
              <w:top w:w="40" w:type="dxa"/>
              <w:left w:w="515" w:type="dxa"/>
              <w:bottom w:w="40" w:type="dxa"/>
              <w:right w:w="20" w:type="dxa"/>
            </w:tcMar>
            <w:vAlign w:val="bottom"/>
          </w:tcPr>
          <w:p w14:paraId="392C44F4" w14:textId="77777777" w:rsidR="00980E5F" w:rsidRDefault="00483613">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392C44F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F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F8" w14:textId="77777777" w:rsidR="00980E5F" w:rsidRDefault="00483613">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392C44F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F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4F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4F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4F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4F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00" w14:textId="77777777" w:rsidR="00980E5F" w:rsidRDefault="00483613">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392C4501" w14:textId="77777777" w:rsidR="00980E5F" w:rsidRDefault="00980E5F">
            <w:pPr>
              <w:jc w:val="right"/>
              <w:rPr>
                <w:rFonts w:ascii="宋体"/>
              </w:rPr>
            </w:pPr>
          </w:p>
        </w:tc>
      </w:tr>
      <w:tr w:rsidR="00980E5F" w14:paraId="392C4511" w14:textId="77777777">
        <w:tc>
          <w:tcPr>
            <w:tcW w:w="0" w:type="auto"/>
            <w:gridSpan w:val="3"/>
            <w:shd w:val="clear" w:color="auto" w:fill="CCEEFF"/>
            <w:tcMar>
              <w:top w:w="40" w:type="dxa"/>
              <w:left w:w="20" w:type="dxa"/>
              <w:bottom w:w="40" w:type="dxa"/>
              <w:right w:w="20" w:type="dxa"/>
            </w:tcMar>
            <w:vAlign w:val="bottom"/>
          </w:tcPr>
          <w:p w14:paraId="392C4503" w14:textId="77777777" w:rsidR="00980E5F" w:rsidRDefault="00483613">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450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5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0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07" w14:textId="77777777" w:rsidR="00980E5F" w:rsidRDefault="00483613">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92C45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0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5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0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0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0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0F" w14:textId="77777777" w:rsidR="00980E5F" w:rsidRDefault="00483613">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392C4510" w14:textId="77777777" w:rsidR="00980E5F" w:rsidRDefault="00980E5F">
            <w:pPr>
              <w:jc w:val="right"/>
              <w:rPr>
                <w:rFonts w:ascii="宋体"/>
              </w:rPr>
            </w:pPr>
          </w:p>
        </w:tc>
      </w:tr>
      <w:tr w:rsidR="00980E5F" w14:paraId="392C4520" w14:textId="77777777">
        <w:tc>
          <w:tcPr>
            <w:tcW w:w="0" w:type="auto"/>
            <w:gridSpan w:val="3"/>
            <w:shd w:val="clear" w:color="auto" w:fill="FFFFFF"/>
            <w:tcMar>
              <w:top w:w="40" w:type="dxa"/>
              <w:left w:w="515" w:type="dxa"/>
              <w:bottom w:w="40" w:type="dxa"/>
              <w:right w:w="20" w:type="dxa"/>
            </w:tcMar>
            <w:vAlign w:val="bottom"/>
          </w:tcPr>
          <w:p w14:paraId="392C4512"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451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5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16" w14:textId="77777777" w:rsidR="00980E5F" w:rsidRDefault="00483613">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392C45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1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5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1E" w14:textId="77777777" w:rsidR="00980E5F" w:rsidRDefault="00483613">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392C451F" w14:textId="77777777" w:rsidR="00980E5F" w:rsidRDefault="00980E5F">
            <w:pPr>
              <w:jc w:val="right"/>
              <w:rPr>
                <w:rFonts w:ascii="宋体"/>
              </w:rPr>
            </w:pPr>
          </w:p>
        </w:tc>
      </w:tr>
      <w:tr w:rsidR="00980E5F" w14:paraId="392C452F" w14:textId="77777777">
        <w:tc>
          <w:tcPr>
            <w:tcW w:w="0" w:type="auto"/>
            <w:gridSpan w:val="3"/>
            <w:shd w:val="clear" w:color="auto" w:fill="CCEEFF"/>
            <w:tcMar>
              <w:top w:w="40" w:type="dxa"/>
              <w:left w:w="740" w:type="dxa"/>
              <w:bottom w:w="40" w:type="dxa"/>
              <w:right w:w="20" w:type="dxa"/>
            </w:tcMar>
            <w:vAlign w:val="bottom"/>
          </w:tcPr>
          <w:p w14:paraId="392C4521" w14:textId="77777777" w:rsidR="00980E5F" w:rsidRDefault="00483613">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522"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5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2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525" w14:textId="77777777" w:rsidR="00980E5F" w:rsidRDefault="00483613">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5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2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52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5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2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2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2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52D" w14:textId="77777777" w:rsidR="00980E5F" w:rsidRDefault="00483613">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52E" w14:textId="77777777" w:rsidR="00980E5F" w:rsidRDefault="00980E5F">
            <w:pPr>
              <w:jc w:val="right"/>
              <w:rPr>
                <w:rFonts w:ascii="宋体"/>
              </w:rPr>
            </w:pPr>
          </w:p>
        </w:tc>
      </w:tr>
      <w:tr w:rsidR="00980E5F" w14:paraId="392C453A" w14:textId="77777777">
        <w:trPr>
          <w:hidden/>
        </w:trPr>
        <w:tc>
          <w:tcPr>
            <w:tcW w:w="0" w:type="auto"/>
            <w:gridSpan w:val="3"/>
            <w:shd w:val="clear" w:color="auto" w:fill="auto"/>
            <w:vAlign w:val="bottom"/>
          </w:tcPr>
          <w:p w14:paraId="392C4530" w14:textId="77777777" w:rsidR="00980E5F" w:rsidRDefault="00980E5F">
            <w:pPr>
              <w:rPr>
                <w:rFonts w:ascii="宋体"/>
                <w:vanish/>
              </w:rPr>
            </w:pPr>
          </w:p>
        </w:tc>
        <w:tc>
          <w:tcPr>
            <w:tcW w:w="0" w:type="auto"/>
            <w:gridSpan w:val="3"/>
            <w:shd w:val="clear" w:color="auto" w:fill="auto"/>
            <w:vAlign w:val="bottom"/>
          </w:tcPr>
          <w:p w14:paraId="392C4531" w14:textId="77777777" w:rsidR="00980E5F" w:rsidRDefault="00980E5F">
            <w:pPr>
              <w:rPr>
                <w:rFonts w:ascii="宋体"/>
                <w:vanish/>
              </w:rPr>
            </w:pPr>
          </w:p>
        </w:tc>
        <w:tc>
          <w:tcPr>
            <w:tcW w:w="0" w:type="auto"/>
            <w:gridSpan w:val="3"/>
            <w:shd w:val="clear" w:color="auto" w:fill="auto"/>
            <w:vAlign w:val="bottom"/>
          </w:tcPr>
          <w:p w14:paraId="392C4532" w14:textId="77777777" w:rsidR="00980E5F" w:rsidRDefault="00980E5F">
            <w:pPr>
              <w:rPr>
                <w:rFonts w:ascii="宋体"/>
                <w:vanish/>
              </w:rPr>
            </w:pPr>
          </w:p>
        </w:tc>
        <w:tc>
          <w:tcPr>
            <w:tcW w:w="0" w:type="auto"/>
            <w:gridSpan w:val="3"/>
            <w:shd w:val="clear" w:color="auto" w:fill="auto"/>
            <w:vAlign w:val="bottom"/>
          </w:tcPr>
          <w:p w14:paraId="392C4533" w14:textId="77777777" w:rsidR="00980E5F" w:rsidRDefault="00980E5F">
            <w:pPr>
              <w:rPr>
                <w:rFonts w:ascii="宋体"/>
                <w:vanish/>
              </w:rPr>
            </w:pPr>
          </w:p>
        </w:tc>
        <w:tc>
          <w:tcPr>
            <w:tcW w:w="0" w:type="auto"/>
            <w:gridSpan w:val="3"/>
            <w:shd w:val="clear" w:color="auto" w:fill="auto"/>
            <w:vAlign w:val="bottom"/>
          </w:tcPr>
          <w:p w14:paraId="392C4534" w14:textId="77777777" w:rsidR="00980E5F" w:rsidRDefault="00980E5F">
            <w:pPr>
              <w:rPr>
                <w:rFonts w:ascii="宋体"/>
                <w:vanish/>
              </w:rPr>
            </w:pPr>
          </w:p>
        </w:tc>
        <w:tc>
          <w:tcPr>
            <w:tcW w:w="0" w:type="auto"/>
            <w:gridSpan w:val="3"/>
            <w:shd w:val="clear" w:color="auto" w:fill="auto"/>
            <w:vAlign w:val="bottom"/>
          </w:tcPr>
          <w:p w14:paraId="392C4535" w14:textId="77777777" w:rsidR="00980E5F" w:rsidRDefault="00980E5F">
            <w:pPr>
              <w:rPr>
                <w:rFonts w:ascii="宋体"/>
                <w:vanish/>
              </w:rPr>
            </w:pPr>
          </w:p>
        </w:tc>
        <w:tc>
          <w:tcPr>
            <w:tcW w:w="0" w:type="auto"/>
            <w:gridSpan w:val="3"/>
            <w:shd w:val="clear" w:color="auto" w:fill="auto"/>
            <w:vAlign w:val="bottom"/>
          </w:tcPr>
          <w:p w14:paraId="392C4536" w14:textId="77777777" w:rsidR="00980E5F" w:rsidRDefault="00980E5F">
            <w:pPr>
              <w:rPr>
                <w:rFonts w:ascii="宋体"/>
                <w:vanish/>
              </w:rPr>
            </w:pPr>
          </w:p>
        </w:tc>
        <w:tc>
          <w:tcPr>
            <w:tcW w:w="0" w:type="auto"/>
            <w:gridSpan w:val="3"/>
            <w:shd w:val="clear" w:color="auto" w:fill="auto"/>
            <w:vAlign w:val="bottom"/>
          </w:tcPr>
          <w:p w14:paraId="392C4537" w14:textId="77777777" w:rsidR="00980E5F" w:rsidRDefault="00980E5F">
            <w:pPr>
              <w:rPr>
                <w:rFonts w:ascii="宋体"/>
                <w:vanish/>
              </w:rPr>
            </w:pPr>
          </w:p>
        </w:tc>
        <w:tc>
          <w:tcPr>
            <w:tcW w:w="0" w:type="auto"/>
            <w:gridSpan w:val="3"/>
            <w:shd w:val="clear" w:color="auto" w:fill="auto"/>
            <w:vAlign w:val="bottom"/>
          </w:tcPr>
          <w:p w14:paraId="392C4538" w14:textId="77777777" w:rsidR="00980E5F" w:rsidRDefault="00980E5F">
            <w:pPr>
              <w:rPr>
                <w:rFonts w:ascii="宋体"/>
                <w:vanish/>
              </w:rPr>
            </w:pPr>
          </w:p>
        </w:tc>
        <w:tc>
          <w:tcPr>
            <w:tcW w:w="0" w:type="auto"/>
            <w:gridSpan w:val="3"/>
            <w:shd w:val="clear" w:color="auto" w:fill="auto"/>
            <w:vAlign w:val="bottom"/>
          </w:tcPr>
          <w:p w14:paraId="392C4539" w14:textId="77777777" w:rsidR="00980E5F" w:rsidRDefault="00980E5F">
            <w:pPr>
              <w:rPr>
                <w:rFonts w:ascii="宋体"/>
                <w:vanish/>
              </w:rPr>
            </w:pPr>
          </w:p>
        </w:tc>
      </w:tr>
      <w:tr w:rsidR="00980E5F" w14:paraId="392C4545" w14:textId="77777777">
        <w:trPr>
          <w:hidden/>
        </w:trPr>
        <w:tc>
          <w:tcPr>
            <w:tcW w:w="0" w:type="auto"/>
            <w:gridSpan w:val="3"/>
            <w:shd w:val="clear" w:color="auto" w:fill="auto"/>
            <w:vAlign w:val="bottom"/>
          </w:tcPr>
          <w:p w14:paraId="392C453B" w14:textId="77777777" w:rsidR="00980E5F" w:rsidRDefault="00980E5F">
            <w:pPr>
              <w:rPr>
                <w:rFonts w:ascii="宋体"/>
                <w:vanish/>
              </w:rPr>
            </w:pPr>
          </w:p>
        </w:tc>
        <w:tc>
          <w:tcPr>
            <w:tcW w:w="0" w:type="auto"/>
            <w:gridSpan w:val="3"/>
            <w:shd w:val="clear" w:color="auto" w:fill="auto"/>
            <w:vAlign w:val="bottom"/>
          </w:tcPr>
          <w:p w14:paraId="392C453C" w14:textId="77777777" w:rsidR="00980E5F" w:rsidRDefault="00980E5F">
            <w:pPr>
              <w:rPr>
                <w:rFonts w:ascii="宋体"/>
                <w:vanish/>
              </w:rPr>
            </w:pPr>
          </w:p>
        </w:tc>
        <w:tc>
          <w:tcPr>
            <w:tcW w:w="0" w:type="auto"/>
            <w:gridSpan w:val="3"/>
            <w:shd w:val="clear" w:color="auto" w:fill="auto"/>
            <w:vAlign w:val="bottom"/>
          </w:tcPr>
          <w:p w14:paraId="392C453D" w14:textId="77777777" w:rsidR="00980E5F" w:rsidRDefault="00980E5F">
            <w:pPr>
              <w:rPr>
                <w:rFonts w:ascii="宋体"/>
                <w:vanish/>
              </w:rPr>
            </w:pPr>
          </w:p>
        </w:tc>
        <w:tc>
          <w:tcPr>
            <w:tcW w:w="0" w:type="auto"/>
            <w:gridSpan w:val="3"/>
            <w:shd w:val="clear" w:color="auto" w:fill="auto"/>
            <w:vAlign w:val="bottom"/>
          </w:tcPr>
          <w:p w14:paraId="392C453E" w14:textId="77777777" w:rsidR="00980E5F" w:rsidRDefault="00980E5F">
            <w:pPr>
              <w:rPr>
                <w:rFonts w:ascii="宋体"/>
                <w:vanish/>
              </w:rPr>
            </w:pPr>
          </w:p>
        </w:tc>
        <w:tc>
          <w:tcPr>
            <w:tcW w:w="0" w:type="auto"/>
            <w:gridSpan w:val="3"/>
            <w:shd w:val="clear" w:color="auto" w:fill="auto"/>
            <w:vAlign w:val="bottom"/>
          </w:tcPr>
          <w:p w14:paraId="392C453F" w14:textId="77777777" w:rsidR="00980E5F" w:rsidRDefault="00980E5F">
            <w:pPr>
              <w:rPr>
                <w:rFonts w:ascii="宋体"/>
                <w:vanish/>
              </w:rPr>
            </w:pPr>
          </w:p>
        </w:tc>
        <w:tc>
          <w:tcPr>
            <w:tcW w:w="0" w:type="auto"/>
            <w:gridSpan w:val="3"/>
            <w:shd w:val="clear" w:color="auto" w:fill="auto"/>
            <w:vAlign w:val="bottom"/>
          </w:tcPr>
          <w:p w14:paraId="392C4540" w14:textId="77777777" w:rsidR="00980E5F" w:rsidRDefault="00980E5F">
            <w:pPr>
              <w:rPr>
                <w:rFonts w:ascii="宋体"/>
                <w:vanish/>
              </w:rPr>
            </w:pPr>
          </w:p>
        </w:tc>
        <w:tc>
          <w:tcPr>
            <w:tcW w:w="0" w:type="auto"/>
            <w:gridSpan w:val="3"/>
            <w:shd w:val="clear" w:color="auto" w:fill="auto"/>
            <w:vAlign w:val="bottom"/>
          </w:tcPr>
          <w:p w14:paraId="392C4541" w14:textId="77777777" w:rsidR="00980E5F" w:rsidRDefault="00980E5F">
            <w:pPr>
              <w:rPr>
                <w:rFonts w:ascii="宋体"/>
                <w:vanish/>
              </w:rPr>
            </w:pPr>
          </w:p>
        </w:tc>
        <w:tc>
          <w:tcPr>
            <w:tcW w:w="0" w:type="auto"/>
            <w:gridSpan w:val="3"/>
            <w:shd w:val="clear" w:color="auto" w:fill="auto"/>
            <w:vAlign w:val="bottom"/>
          </w:tcPr>
          <w:p w14:paraId="392C4542" w14:textId="77777777" w:rsidR="00980E5F" w:rsidRDefault="00980E5F">
            <w:pPr>
              <w:rPr>
                <w:rFonts w:ascii="宋体"/>
                <w:vanish/>
              </w:rPr>
            </w:pPr>
          </w:p>
        </w:tc>
        <w:tc>
          <w:tcPr>
            <w:tcW w:w="0" w:type="auto"/>
            <w:gridSpan w:val="3"/>
            <w:shd w:val="clear" w:color="auto" w:fill="auto"/>
            <w:vAlign w:val="bottom"/>
          </w:tcPr>
          <w:p w14:paraId="392C4543" w14:textId="77777777" w:rsidR="00980E5F" w:rsidRDefault="00980E5F">
            <w:pPr>
              <w:rPr>
                <w:rFonts w:ascii="宋体"/>
                <w:vanish/>
              </w:rPr>
            </w:pPr>
          </w:p>
        </w:tc>
        <w:tc>
          <w:tcPr>
            <w:tcW w:w="0" w:type="auto"/>
            <w:gridSpan w:val="3"/>
            <w:shd w:val="clear" w:color="auto" w:fill="auto"/>
            <w:vAlign w:val="bottom"/>
          </w:tcPr>
          <w:p w14:paraId="392C4544" w14:textId="77777777" w:rsidR="00980E5F" w:rsidRDefault="00980E5F">
            <w:pPr>
              <w:rPr>
                <w:rFonts w:ascii="宋体"/>
                <w:vanish/>
              </w:rPr>
            </w:pPr>
          </w:p>
        </w:tc>
      </w:tr>
      <w:tr w:rsidR="00980E5F" w14:paraId="392C4550" w14:textId="77777777">
        <w:trPr>
          <w:hidden/>
        </w:trPr>
        <w:tc>
          <w:tcPr>
            <w:tcW w:w="0" w:type="auto"/>
            <w:gridSpan w:val="3"/>
            <w:shd w:val="clear" w:color="auto" w:fill="auto"/>
            <w:vAlign w:val="bottom"/>
          </w:tcPr>
          <w:p w14:paraId="392C4546" w14:textId="77777777" w:rsidR="00980E5F" w:rsidRDefault="00980E5F">
            <w:pPr>
              <w:rPr>
                <w:rFonts w:ascii="宋体"/>
                <w:vanish/>
              </w:rPr>
            </w:pPr>
          </w:p>
        </w:tc>
        <w:tc>
          <w:tcPr>
            <w:tcW w:w="0" w:type="auto"/>
            <w:gridSpan w:val="3"/>
            <w:shd w:val="clear" w:color="auto" w:fill="auto"/>
            <w:vAlign w:val="bottom"/>
          </w:tcPr>
          <w:p w14:paraId="392C4547" w14:textId="77777777" w:rsidR="00980E5F" w:rsidRDefault="00980E5F">
            <w:pPr>
              <w:rPr>
                <w:rFonts w:ascii="宋体"/>
                <w:vanish/>
              </w:rPr>
            </w:pPr>
          </w:p>
        </w:tc>
        <w:tc>
          <w:tcPr>
            <w:tcW w:w="0" w:type="auto"/>
            <w:gridSpan w:val="3"/>
            <w:shd w:val="clear" w:color="auto" w:fill="auto"/>
            <w:vAlign w:val="bottom"/>
          </w:tcPr>
          <w:p w14:paraId="392C4548" w14:textId="77777777" w:rsidR="00980E5F" w:rsidRDefault="00980E5F">
            <w:pPr>
              <w:rPr>
                <w:rFonts w:ascii="宋体"/>
                <w:vanish/>
              </w:rPr>
            </w:pPr>
          </w:p>
        </w:tc>
        <w:tc>
          <w:tcPr>
            <w:tcW w:w="0" w:type="auto"/>
            <w:gridSpan w:val="3"/>
            <w:shd w:val="clear" w:color="auto" w:fill="auto"/>
            <w:vAlign w:val="bottom"/>
          </w:tcPr>
          <w:p w14:paraId="392C4549" w14:textId="77777777" w:rsidR="00980E5F" w:rsidRDefault="00980E5F">
            <w:pPr>
              <w:rPr>
                <w:rFonts w:ascii="宋体"/>
                <w:vanish/>
              </w:rPr>
            </w:pPr>
          </w:p>
        </w:tc>
        <w:tc>
          <w:tcPr>
            <w:tcW w:w="0" w:type="auto"/>
            <w:gridSpan w:val="3"/>
            <w:shd w:val="clear" w:color="auto" w:fill="auto"/>
            <w:vAlign w:val="bottom"/>
          </w:tcPr>
          <w:p w14:paraId="392C454A" w14:textId="77777777" w:rsidR="00980E5F" w:rsidRDefault="00980E5F">
            <w:pPr>
              <w:rPr>
                <w:rFonts w:ascii="宋体"/>
                <w:vanish/>
              </w:rPr>
            </w:pPr>
          </w:p>
        </w:tc>
        <w:tc>
          <w:tcPr>
            <w:tcW w:w="0" w:type="auto"/>
            <w:gridSpan w:val="3"/>
            <w:shd w:val="clear" w:color="auto" w:fill="auto"/>
            <w:vAlign w:val="bottom"/>
          </w:tcPr>
          <w:p w14:paraId="392C454B" w14:textId="77777777" w:rsidR="00980E5F" w:rsidRDefault="00980E5F">
            <w:pPr>
              <w:rPr>
                <w:rFonts w:ascii="宋体"/>
                <w:vanish/>
              </w:rPr>
            </w:pPr>
          </w:p>
        </w:tc>
        <w:tc>
          <w:tcPr>
            <w:tcW w:w="0" w:type="auto"/>
            <w:gridSpan w:val="3"/>
            <w:shd w:val="clear" w:color="auto" w:fill="auto"/>
            <w:vAlign w:val="bottom"/>
          </w:tcPr>
          <w:p w14:paraId="392C454C" w14:textId="77777777" w:rsidR="00980E5F" w:rsidRDefault="00980E5F">
            <w:pPr>
              <w:rPr>
                <w:rFonts w:ascii="宋体"/>
                <w:vanish/>
              </w:rPr>
            </w:pPr>
          </w:p>
        </w:tc>
        <w:tc>
          <w:tcPr>
            <w:tcW w:w="0" w:type="auto"/>
            <w:gridSpan w:val="3"/>
            <w:shd w:val="clear" w:color="auto" w:fill="auto"/>
            <w:vAlign w:val="bottom"/>
          </w:tcPr>
          <w:p w14:paraId="392C454D" w14:textId="77777777" w:rsidR="00980E5F" w:rsidRDefault="00980E5F">
            <w:pPr>
              <w:rPr>
                <w:rFonts w:ascii="宋体"/>
                <w:vanish/>
              </w:rPr>
            </w:pPr>
          </w:p>
        </w:tc>
        <w:tc>
          <w:tcPr>
            <w:tcW w:w="0" w:type="auto"/>
            <w:gridSpan w:val="3"/>
            <w:shd w:val="clear" w:color="auto" w:fill="auto"/>
            <w:vAlign w:val="bottom"/>
          </w:tcPr>
          <w:p w14:paraId="392C454E" w14:textId="77777777" w:rsidR="00980E5F" w:rsidRDefault="00980E5F">
            <w:pPr>
              <w:rPr>
                <w:rFonts w:ascii="宋体"/>
                <w:vanish/>
              </w:rPr>
            </w:pPr>
          </w:p>
        </w:tc>
        <w:tc>
          <w:tcPr>
            <w:tcW w:w="0" w:type="auto"/>
            <w:gridSpan w:val="3"/>
            <w:shd w:val="clear" w:color="auto" w:fill="auto"/>
            <w:vAlign w:val="bottom"/>
          </w:tcPr>
          <w:p w14:paraId="392C454F" w14:textId="77777777" w:rsidR="00980E5F" w:rsidRDefault="00980E5F">
            <w:pPr>
              <w:rPr>
                <w:rFonts w:ascii="宋体"/>
                <w:vanish/>
              </w:rPr>
            </w:pPr>
          </w:p>
        </w:tc>
      </w:tr>
      <w:tr w:rsidR="00980E5F" w14:paraId="392C455B" w14:textId="77777777">
        <w:trPr>
          <w:hidden/>
        </w:trPr>
        <w:tc>
          <w:tcPr>
            <w:tcW w:w="0" w:type="auto"/>
            <w:gridSpan w:val="3"/>
            <w:shd w:val="clear" w:color="auto" w:fill="auto"/>
            <w:vAlign w:val="bottom"/>
          </w:tcPr>
          <w:p w14:paraId="392C4551" w14:textId="77777777" w:rsidR="00980E5F" w:rsidRDefault="00980E5F">
            <w:pPr>
              <w:rPr>
                <w:rFonts w:ascii="宋体"/>
                <w:vanish/>
              </w:rPr>
            </w:pPr>
          </w:p>
        </w:tc>
        <w:tc>
          <w:tcPr>
            <w:tcW w:w="0" w:type="auto"/>
            <w:gridSpan w:val="3"/>
            <w:shd w:val="clear" w:color="auto" w:fill="auto"/>
            <w:vAlign w:val="bottom"/>
          </w:tcPr>
          <w:p w14:paraId="392C4552" w14:textId="77777777" w:rsidR="00980E5F" w:rsidRDefault="00980E5F">
            <w:pPr>
              <w:rPr>
                <w:rFonts w:ascii="宋体"/>
                <w:vanish/>
              </w:rPr>
            </w:pPr>
          </w:p>
        </w:tc>
        <w:tc>
          <w:tcPr>
            <w:tcW w:w="0" w:type="auto"/>
            <w:gridSpan w:val="3"/>
            <w:shd w:val="clear" w:color="auto" w:fill="auto"/>
            <w:vAlign w:val="bottom"/>
          </w:tcPr>
          <w:p w14:paraId="392C4553" w14:textId="77777777" w:rsidR="00980E5F" w:rsidRDefault="00980E5F">
            <w:pPr>
              <w:rPr>
                <w:rFonts w:ascii="宋体"/>
                <w:vanish/>
              </w:rPr>
            </w:pPr>
          </w:p>
        </w:tc>
        <w:tc>
          <w:tcPr>
            <w:tcW w:w="0" w:type="auto"/>
            <w:gridSpan w:val="3"/>
            <w:shd w:val="clear" w:color="auto" w:fill="auto"/>
            <w:vAlign w:val="bottom"/>
          </w:tcPr>
          <w:p w14:paraId="392C4554" w14:textId="77777777" w:rsidR="00980E5F" w:rsidRDefault="00980E5F">
            <w:pPr>
              <w:rPr>
                <w:rFonts w:ascii="宋体"/>
                <w:vanish/>
              </w:rPr>
            </w:pPr>
          </w:p>
        </w:tc>
        <w:tc>
          <w:tcPr>
            <w:tcW w:w="0" w:type="auto"/>
            <w:gridSpan w:val="3"/>
            <w:shd w:val="clear" w:color="auto" w:fill="auto"/>
            <w:vAlign w:val="bottom"/>
          </w:tcPr>
          <w:p w14:paraId="392C4555" w14:textId="77777777" w:rsidR="00980E5F" w:rsidRDefault="00980E5F">
            <w:pPr>
              <w:rPr>
                <w:rFonts w:ascii="宋体"/>
                <w:vanish/>
              </w:rPr>
            </w:pPr>
          </w:p>
        </w:tc>
        <w:tc>
          <w:tcPr>
            <w:tcW w:w="0" w:type="auto"/>
            <w:gridSpan w:val="3"/>
            <w:shd w:val="clear" w:color="auto" w:fill="auto"/>
            <w:vAlign w:val="bottom"/>
          </w:tcPr>
          <w:p w14:paraId="392C4556" w14:textId="77777777" w:rsidR="00980E5F" w:rsidRDefault="00980E5F">
            <w:pPr>
              <w:rPr>
                <w:rFonts w:ascii="宋体"/>
                <w:vanish/>
              </w:rPr>
            </w:pPr>
          </w:p>
        </w:tc>
        <w:tc>
          <w:tcPr>
            <w:tcW w:w="0" w:type="auto"/>
            <w:gridSpan w:val="3"/>
            <w:shd w:val="clear" w:color="auto" w:fill="auto"/>
            <w:vAlign w:val="bottom"/>
          </w:tcPr>
          <w:p w14:paraId="392C4557" w14:textId="77777777" w:rsidR="00980E5F" w:rsidRDefault="00980E5F">
            <w:pPr>
              <w:rPr>
                <w:rFonts w:ascii="宋体"/>
                <w:vanish/>
              </w:rPr>
            </w:pPr>
          </w:p>
        </w:tc>
        <w:tc>
          <w:tcPr>
            <w:tcW w:w="0" w:type="auto"/>
            <w:gridSpan w:val="3"/>
            <w:shd w:val="clear" w:color="auto" w:fill="auto"/>
            <w:vAlign w:val="bottom"/>
          </w:tcPr>
          <w:p w14:paraId="392C4558" w14:textId="77777777" w:rsidR="00980E5F" w:rsidRDefault="00980E5F">
            <w:pPr>
              <w:rPr>
                <w:rFonts w:ascii="宋体"/>
                <w:vanish/>
              </w:rPr>
            </w:pPr>
          </w:p>
        </w:tc>
        <w:tc>
          <w:tcPr>
            <w:tcW w:w="0" w:type="auto"/>
            <w:gridSpan w:val="3"/>
            <w:shd w:val="clear" w:color="auto" w:fill="auto"/>
            <w:vAlign w:val="bottom"/>
          </w:tcPr>
          <w:p w14:paraId="392C4559" w14:textId="77777777" w:rsidR="00980E5F" w:rsidRDefault="00980E5F">
            <w:pPr>
              <w:rPr>
                <w:rFonts w:ascii="宋体"/>
                <w:vanish/>
              </w:rPr>
            </w:pPr>
          </w:p>
        </w:tc>
        <w:tc>
          <w:tcPr>
            <w:tcW w:w="0" w:type="auto"/>
            <w:gridSpan w:val="3"/>
            <w:shd w:val="clear" w:color="auto" w:fill="auto"/>
            <w:vAlign w:val="bottom"/>
          </w:tcPr>
          <w:p w14:paraId="392C455A" w14:textId="77777777" w:rsidR="00980E5F" w:rsidRDefault="00980E5F">
            <w:pPr>
              <w:rPr>
                <w:rFonts w:ascii="宋体"/>
                <w:vanish/>
              </w:rPr>
            </w:pPr>
          </w:p>
        </w:tc>
      </w:tr>
      <w:tr w:rsidR="00980E5F" w14:paraId="392C4566" w14:textId="77777777">
        <w:trPr>
          <w:hidden/>
        </w:trPr>
        <w:tc>
          <w:tcPr>
            <w:tcW w:w="0" w:type="auto"/>
            <w:gridSpan w:val="3"/>
            <w:shd w:val="clear" w:color="auto" w:fill="auto"/>
            <w:vAlign w:val="bottom"/>
          </w:tcPr>
          <w:p w14:paraId="392C455C" w14:textId="77777777" w:rsidR="00980E5F" w:rsidRDefault="00980E5F">
            <w:pPr>
              <w:rPr>
                <w:rFonts w:ascii="宋体"/>
                <w:vanish/>
              </w:rPr>
            </w:pPr>
          </w:p>
        </w:tc>
        <w:tc>
          <w:tcPr>
            <w:tcW w:w="0" w:type="auto"/>
            <w:gridSpan w:val="3"/>
            <w:shd w:val="clear" w:color="auto" w:fill="auto"/>
            <w:vAlign w:val="bottom"/>
          </w:tcPr>
          <w:p w14:paraId="392C455D" w14:textId="77777777" w:rsidR="00980E5F" w:rsidRDefault="00980E5F">
            <w:pPr>
              <w:rPr>
                <w:rFonts w:ascii="宋体"/>
                <w:vanish/>
              </w:rPr>
            </w:pPr>
          </w:p>
        </w:tc>
        <w:tc>
          <w:tcPr>
            <w:tcW w:w="0" w:type="auto"/>
            <w:gridSpan w:val="3"/>
            <w:shd w:val="clear" w:color="auto" w:fill="auto"/>
            <w:vAlign w:val="bottom"/>
          </w:tcPr>
          <w:p w14:paraId="392C455E" w14:textId="77777777" w:rsidR="00980E5F" w:rsidRDefault="00980E5F">
            <w:pPr>
              <w:rPr>
                <w:rFonts w:ascii="宋体"/>
                <w:vanish/>
              </w:rPr>
            </w:pPr>
          </w:p>
        </w:tc>
        <w:tc>
          <w:tcPr>
            <w:tcW w:w="0" w:type="auto"/>
            <w:gridSpan w:val="3"/>
            <w:shd w:val="clear" w:color="auto" w:fill="auto"/>
            <w:vAlign w:val="bottom"/>
          </w:tcPr>
          <w:p w14:paraId="392C455F" w14:textId="77777777" w:rsidR="00980E5F" w:rsidRDefault="00980E5F">
            <w:pPr>
              <w:rPr>
                <w:rFonts w:ascii="宋体"/>
                <w:vanish/>
              </w:rPr>
            </w:pPr>
          </w:p>
        </w:tc>
        <w:tc>
          <w:tcPr>
            <w:tcW w:w="0" w:type="auto"/>
            <w:gridSpan w:val="3"/>
            <w:shd w:val="clear" w:color="auto" w:fill="auto"/>
            <w:vAlign w:val="bottom"/>
          </w:tcPr>
          <w:p w14:paraId="392C4560" w14:textId="77777777" w:rsidR="00980E5F" w:rsidRDefault="00980E5F">
            <w:pPr>
              <w:rPr>
                <w:rFonts w:ascii="宋体"/>
                <w:vanish/>
              </w:rPr>
            </w:pPr>
          </w:p>
        </w:tc>
        <w:tc>
          <w:tcPr>
            <w:tcW w:w="0" w:type="auto"/>
            <w:gridSpan w:val="3"/>
            <w:shd w:val="clear" w:color="auto" w:fill="auto"/>
            <w:vAlign w:val="bottom"/>
          </w:tcPr>
          <w:p w14:paraId="392C4561" w14:textId="77777777" w:rsidR="00980E5F" w:rsidRDefault="00980E5F">
            <w:pPr>
              <w:rPr>
                <w:rFonts w:ascii="宋体"/>
                <w:vanish/>
              </w:rPr>
            </w:pPr>
          </w:p>
        </w:tc>
        <w:tc>
          <w:tcPr>
            <w:tcW w:w="0" w:type="auto"/>
            <w:gridSpan w:val="3"/>
            <w:shd w:val="clear" w:color="auto" w:fill="auto"/>
            <w:vAlign w:val="bottom"/>
          </w:tcPr>
          <w:p w14:paraId="392C4562" w14:textId="77777777" w:rsidR="00980E5F" w:rsidRDefault="00980E5F">
            <w:pPr>
              <w:rPr>
                <w:rFonts w:ascii="宋体"/>
                <w:vanish/>
              </w:rPr>
            </w:pPr>
          </w:p>
        </w:tc>
        <w:tc>
          <w:tcPr>
            <w:tcW w:w="0" w:type="auto"/>
            <w:gridSpan w:val="3"/>
            <w:shd w:val="clear" w:color="auto" w:fill="auto"/>
            <w:vAlign w:val="bottom"/>
          </w:tcPr>
          <w:p w14:paraId="392C4563" w14:textId="77777777" w:rsidR="00980E5F" w:rsidRDefault="00980E5F">
            <w:pPr>
              <w:rPr>
                <w:rFonts w:ascii="宋体"/>
                <w:vanish/>
              </w:rPr>
            </w:pPr>
          </w:p>
        </w:tc>
        <w:tc>
          <w:tcPr>
            <w:tcW w:w="0" w:type="auto"/>
            <w:gridSpan w:val="3"/>
            <w:shd w:val="clear" w:color="auto" w:fill="auto"/>
            <w:vAlign w:val="bottom"/>
          </w:tcPr>
          <w:p w14:paraId="392C4564" w14:textId="77777777" w:rsidR="00980E5F" w:rsidRDefault="00980E5F">
            <w:pPr>
              <w:rPr>
                <w:rFonts w:ascii="宋体"/>
                <w:vanish/>
              </w:rPr>
            </w:pPr>
          </w:p>
        </w:tc>
        <w:tc>
          <w:tcPr>
            <w:tcW w:w="0" w:type="auto"/>
            <w:gridSpan w:val="3"/>
            <w:shd w:val="clear" w:color="auto" w:fill="auto"/>
            <w:vAlign w:val="bottom"/>
          </w:tcPr>
          <w:p w14:paraId="392C4565" w14:textId="77777777" w:rsidR="00980E5F" w:rsidRDefault="00980E5F">
            <w:pPr>
              <w:rPr>
                <w:rFonts w:ascii="宋体"/>
                <w:vanish/>
              </w:rPr>
            </w:pPr>
          </w:p>
        </w:tc>
      </w:tr>
      <w:tr w:rsidR="00980E5F" w14:paraId="392C4571" w14:textId="77777777">
        <w:trPr>
          <w:hidden/>
        </w:trPr>
        <w:tc>
          <w:tcPr>
            <w:tcW w:w="0" w:type="auto"/>
            <w:gridSpan w:val="3"/>
            <w:shd w:val="clear" w:color="auto" w:fill="auto"/>
            <w:vAlign w:val="bottom"/>
          </w:tcPr>
          <w:p w14:paraId="392C4567" w14:textId="77777777" w:rsidR="00980E5F" w:rsidRDefault="00980E5F">
            <w:pPr>
              <w:rPr>
                <w:rFonts w:ascii="宋体"/>
                <w:vanish/>
              </w:rPr>
            </w:pPr>
          </w:p>
        </w:tc>
        <w:tc>
          <w:tcPr>
            <w:tcW w:w="0" w:type="auto"/>
            <w:gridSpan w:val="3"/>
            <w:shd w:val="clear" w:color="auto" w:fill="auto"/>
            <w:vAlign w:val="bottom"/>
          </w:tcPr>
          <w:p w14:paraId="392C4568" w14:textId="77777777" w:rsidR="00980E5F" w:rsidRDefault="00980E5F">
            <w:pPr>
              <w:rPr>
                <w:rFonts w:ascii="宋体"/>
                <w:vanish/>
              </w:rPr>
            </w:pPr>
          </w:p>
        </w:tc>
        <w:tc>
          <w:tcPr>
            <w:tcW w:w="0" w:type="auto"/>
            <w:gridSpan w:val="3"/>
            <w:shd w:val="clear" w:color="auto" w:fill="auto"/>
            <w:vAlign w:val="bottom"/>
          </w:tcPr>
          <w:p w14:paraId="392C4569" w14:textId="77777777" w:rsidR="00980E5F" w:rsidRDefault="00980E5F">
            <w:pPr>
              <w:rPr>
                <w:rFonts w:ascii="宋体"/>
                <w:vanish/>
              </w:rPr>
            </w:pPr>
          </w:p>
        </w:tc>
        <w:tc>
          <w:tcPr>
            <w:tcW w:w="0" w:type="auto"/>
            <w:gridSpan w:val="3"/>
            <w:shd w:val="clear" w:color="auto" w:fill="auto"/>
            <w:vAlign w:val="bottom"/>
          </w:tcPr>
          <w:p w14:paraId="392C456A" w14:textId="77777777" w:rsidR="00980E5F" w:rsidRDefault="00980E5F">
            <w:pPr>
              <w:rPr>
                <w:rFonts w:ascii="宋体"/>
                <w:vanish/>
              </w:rPr>
            </w:pPr>
          </w:p>
        </w:tc>
        <w:tc>
          <w:tcPr>
            <w:tcW w:w="0" w:type="auto"/>
            <w:gridSpan w:val="3"/>
            <w:shd w:val="clear" w:color="auto" w:fill="auto"/>
            <w:vAlign w:val="bottom"/>
          </w:tcPr>
          <w:p w14:paraId="392C456B" w14:textId="77777777" w:rsidR="00980E5F" w:rsidRDefault="00980E5F">
            <w:pPr>
              <w:rPr>
                <w:rFonts w:ascii="宋体"/>
                <w:vanish/>
              </w:rPr>
            </w:pPr>
          </w:p>
        </w:tc>
        <w:tc>
          <w:tcPr>
            <w:tcW w:w="0" w:type="auto"/>
            <w:gridSpan w:val="3"/>
            <w:shd w:val="clear" w:color="auto" w:fill="auto"/>
            <w:vAlign w:val="bottom"/>
          </w:tcPr>
          <w:p w14:paraId="392C456C" w14:textId="77777777" w:rsidR="00980E5F" w:rsidRDefault="00980E5F">
            <w:pPr>
              <w:rPr>
                <w:rFonts w:ascii="宋体"/>
                <w:vanish/>
              </w:rPr>
            </w:pPr>
          </w:p>
        </w:tc>
        <w:tc>
          <w:tcPr>
            <w:tcW w:w="0" w:type="auto"/>
            <w:gridSpan w:val="3"/>
            <w:shd w:val="clear" w:color="auto" w:fill="auto"/>
            <w:vAlign w:val="bottom"/>
          </w:tcPr>
          <w:p w14:paraId="392C456D" w14:textId="77777777" w:rsidR="00980E5F" w:rsidRDefault="00980E5F">
            <w:pPr>
              <w:rPr>
                <w:rFonts w:ascii="宋体"/>
                <w:vanish/>
              </w:rPr>
            </w:pPr>
          </w:p>
        </w:tc>
        <w:tc>
          <w:tcPr>
            <w:tcW w:w="0" w:type="auto"/>
            <w:gridSpan w:val="3"/>
            <w:shd w:val="clear" w:color="auto" w:fill="auto"/>
            <w:vAlign w:val="bottom"/>
          </w:tcPr>
          <w:p w14:paraId="392C456E" w14:textId="77777777" w:rsidR="00980E5F" w:rsidRDefault="00980E5F">
            <w:pPr>
              <w:rPr>
                <w:rFonts w:ascii="宋体"/>
                <w:vanish/>
              </w:rPr>
            </w:pPr>
          </w:p>
        </w:tc>
        <w:tc>
          <w:tcPr>
            <w:tcW w:w="0" w:type="auto"/>
            <w:gridSpan w:val="3"/>
            <w:shd w:val="clear" w:color="auto" w:fill="auto"/>
            <w:vAlign w:val="bottom"/>
          </w:tcPr>
          <w:p w14:paraId="392C456F" w14:textId="77777777" w:rsidR="00980E5F" w:rsidRDefault="00980E5F">
            <w:pPr>
              <w:rPr>
                <w:rFonts w:ascii="宋体"/>
                <w:vanish/>
              </w:rPr>
            </w:pPr>
          </w:p>
        </w:tc>
        <w:tc>
          <w:tcPr>
            <w:tcW w:w="0" w:type="auto"/>
            <w:gridSpan w:val="3"/>
            <w:shd w:val="clear" w:color="auto" w:fill="auto"/>
            <w:vAlign w:val="bottom"/>
          </w:tcPr>
          <w:p w14:paraId="392C4570" w14:textId="77777777" w:rsidR="00980E5F" w:rsidRDefault="00980E5F">
            <w:pPr>
              <w:rPr>
                <w:rFonts w:ascii="宋体"/>
                <w:vanish/>
              </w:rPr>
            </w:pPr>
          </w:p>
        </w:tc>
      </w:tr>
      <w:tr w:rsidR="00980E5F" w14:paraId="392C4580" w14:textId="77777777">
        <w:tc>
          <w:tcPr>
            <w:tcW w:w="0" w:type="auto"/>
            <w:gridSpan w:val="3"/>
            <w:shd w:val="clear" w:color="auto" w:fill="FFFFFF"/>
            <w:tcMar>
              <w:top w:w="40" w:type="dxa"/>
              <w:left w:w="245" w:type="dxa"/>
              <w:bottom w:w="40" w:type="dxa"/>
              <w:right w:w="20" w:type="dxa"/>
            </w:tcMar>
            <w:vAlign w:val="bottom"/>
          </w:tcPr>
          <w:p w14:paraId="392C4572" w14:textId="77777777" w:rsidR="00980E5F" w:rsidRDefault="00483613">
            <w:pPr>
              <w:textAlignment w:val="bottom"/>
            </w:pPr>
            <w:r>
              <w:rPr>
                <w:rFonts w:ascii="Arial" w:eastAsia="宋体" w:hAnsi="Arial" w:cs="Arial"/>
                <w:color w:val="000000"/>
                <w:sz w:val="15"/>
                <w:szCs w:val="15"/>
              </w:rPr>
              <w:t>State and political subdivisions</w:t>
            </w:r>
          </w:p>
        </w:tc>
        <w:tc>
          <w:tcPr>
            <w:tcW w:w="0" w:type="auto"/>
            <w:gridSpan w:val="2"/>
            <w:shd w:val="clear" w:color="auto" w:fill="FFFFFF"/>
            <w:tcMar>
              <w:top w:w="40" w:type="dxa"/>
              <w:left w:w="20" w:type="dxa"/>
              <w:bottom w:w="40" w:type="dxa"/>
              <w:right w:w="0" w:type="dxa"/>
            </w:tcMar>
            <w:vAlign w:val="bottom"/>
          </w:tcPr>
          <w:p w14:paraId="392C457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5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76" w14:textId="77777777" w:rsidR="00980E5F" w:rsidRDefault="00483613">
            <w:pPr>
              <w:jc w:val="right"/>
              <w:textAlignment w:val="bottom"/>
            </w:pPr>
            <w:r>
              <w:rPr>
                <w:rFonts w:ascii="Arial" w:eastAsia="宋体" w:hAnsi="Arial" w:cs="Arial"/>
                <w:color w:val="000000"/>
                <w:sz w:val="14"/>
                <w:szCs w:val="14"/>
              </w:rPr>
              <w:t>1,272 </w:t>
            </w:r>
          </w:p>
        </w:tc>
        <w:tc>
          <w:tcPr>
            <w:tcW w:w="0" w:type="auto"/>
            <w:shd w:val="clear" w:color="auto" w:fill="FFFFFF"/>
            <w:tcMar>
              <w:top w:w="40" w:type="dxa"/>
              <w:left w:w="0" w:type="dxa"/>
              <w:bottom w:w="40" w:type="dxa"/>
              <w:right w:w="20" w:type="dxa"/>
            </w:tcMar>
            <w:vAlign w:val="bottom"/>
          </w:tcPr>
          <w:p w14:paraId="392C45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7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5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7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7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7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57E" w14:textId="77777777" w:rsidR="00980E5F" w:rsidRDefault="00483613">
            <w:pPr>
              <w:jc w:val="right"/>
              <w:textAlignment w:val="bottom"/>
            </w:pPr>
            <w:r>
              <w:rPr>
                <w:rFonts w:ascii="Arial" w:eastAsia="宋体" w:hAnsi="Arial" w:cs="Arial"/>
                <w:color w:val="000000"/>
                <w:sz w:val="14"/>
                <w:szCs w:val="14"/>
              </w:rPr>
              <w:t>1,272 </w:t>
            </w:r>
          </w:p>
        </w:tc>
        <w:tc>
          <w:tcPr>
            <w:tcW w:w="0" w:type="auto"/>
            <w:shd w:val="clear" w:color="auto" w:fill="FFFFFF"/>
            <w:tcMar>
              <w:top w:w="40" w:type="dxa"/>
              <w:left w:w="0" w:type="dxa"/>
              <w:bottom w:w="40" w:type="dxa"/>
              <w:right w:w="20" w:type="dxa"/>
            </w:tcMar>
            <w:vAlign w:val="bottom"/>
          </w:tcPr>
          <w:p w14:paraId="392C457F" w14:textId="77777777" w:rsidR="00980E5F" w:rsidRDefault="00980E5F">
            <w:pPr>
              <w:jc w:val="right"/>
              <w:rPr>
                <w:rFonts w:ascii="宋体"/>
              </w:rPr>
            </w:pPr>
          </w:p>
        </w:tc>
      </w:tr>
      <w:tr w:rsidR="00980E5F" w14:paraId="392C458B" w14:textId="77777777">
        <w:trPr>
          <w:hidden/>
        </w:trPr>
        <w:tc>
          <w:tcPr>
            <w:tcW w:w="0" w:type="auto"/>
            <w:gridSpan w:val="3"/>
            <w:shd w:val="clear" w:color="auto" w:fill="auto"/>
            <w:vAlign w:val="bottom"/>
          </w:tcPr>
          <w:p w14:paraId="392C4581" w14:textId="77777777" w:rsidR="00980E5F" w:rsidRDefault="00980E5F">
            <w:pPr>
              <w:rPr>
                <w:rFonts w:ascii="宋体"/>
                <w:vanish/>
              </w:rPr>
            </w:pPr>
          </w:p>
        </w:tc>
        <w:tc>
          <w:tcPr>
            <w:tcW w:w="0" w:type="auto"/>
            <w:gridSpan w:val="3"/>
            <w:shd w:val="clear" w:color="auto" w:fill="auto"/>
            <w:vAlign w:val="bottom"/>
          </w:tcPr>
          <w:p w14:paraId="392C4582" w14:textId="77777777" w:rsidR="00980E5F" w:rsidRDefault="00980E5F">
            <w:pPr>
              <w:rPr>
                <w:rFonts w:ascii="宋体"/>
                <w:vanish/>
              </w:rPr>
            </w:pPr>
          </w:p>
        </w:tc>
        <w:tc>
          <w:tcPr>
            <w:tcW w:w="0" w:type="auto"/>
            <w:gridSpan w:val="3"/>
            <w:shd w:val="clear" w:color="auto" w:fill="auto"/>
            <w:vAlign w:val="bottom"/>
          </w:tcPr>
          <w:p w14:paraId="392C4583" w14:textId="77777777" w:rsidR="00980E5F" w:rsidRDefault="00980E5F">
            <w:pPr>
              <w:rPr>
                <w:rFonts w:ascii="宋体"/>
                <w:vanish/>
              </w:rPr>
            </w:pPr>
          </w:p>
        </w:tc>
        <w:tc>
          <w:tcPr>
            <w:tcW w:w="0" w:type="auto"/>
            <w:gridSpan w:val="3"/>
            <w:shd w:val="clear" w:color="auto" w:fill="auto"/>
            <w:vAlign w:val="bottom"/>
          </w:tcPr>
          <w:p w14:paraId="392C4584" w14:textId="77777777" w:rsidR="00980E5F" w:rsidRDefault="00980E5F">
            <w:pPr>
              <w:rPr>
                <w:rFonts w:ascii="宋体"/>
                <w:vanish/>
              </w:rPr>
            </w:pPr>
          </w:p>
        </w:tc>
        <w:tc>
          <w:tcPr>
            <w:tcW w:w="0" w:type="auto"/>
            <w:gridSpan w:val="3"/>
            <w:shd w:val="clear" w:color="auto" w:fill="auto"/>
            <w:vAlign w:val="bottom"/>
          </w:tcPr>
          <w:p w14:paraId="392C4585" w14:textId="77777777" w:rsidR="00980E5F" w:rsidRDefault="00980E5F">
            <w:pPr>
              <w:rPr>
                <w:rFonts w:ascii="宋体"/>
                <w:vanish/>
              </w:rPr>
            </w:pPr>
          </w:p>
        </w:tc>
        <w:tc>
          <w:tcPr>
            <w:tcW w:w="0" w:type="auto"/>
            <w:gridSpan w:val="3"/>
            <w:shd w:val="clear" w:color="auto" w:fill="auto"/>
            <w:vAlign w:val="bottom"/>
          </w:tcPr>
          <w:p w14:paraId="392C4586" w14:textId="77777777" w:rsidR="00980E5F" w:rsidRDefault="00980E5F">
            <w:pPr>
              <w:rPr>
                <w:rFonts w:ascii="宋体"/>
                <w:vanish/>
              </w:rPr>
            </w:pPr>
          </w:p>
        </w:tc>
        <w:tc>
          <w:tcPr>
            <w:tcW w:w="0" w:type="auto"/>
            <w:gridSpan w:val="3"/>
            <w:shd w:val="clear" w:color="auto" w:fill="auto"/>
            <w:vAlign w:val="bottom"/>
          </w:tcPr>
          <w:p w14:paraId="392C4587" w14:textId="77777777" w:rsidR="00980E5F" w:rsidRDefault="00980E5F">
            <w:pPr>
              <w:rPr>
                <w:rFonts w:ascii="宋体"/>
                <w:vanish/>
              </w:rPr>
            </w:pPr>
          </w:p>
        </w:tc>
        <w:tc>
          <w:tcPr>
            <w:tcW w:w="0" w:type="auto"/>
            <w:gridSpan w:val="3"/>
            <w:shd w:val="clear" w:color="auto" w:fill="auto"/>
            <w:vAlign w:val="bottom"/>
          </w:tcPr>
          <w:p w14:paraId="392C4588" w14:textId="77777777" w:rsidR="00980E5F" w:rsidRDefault="00980E5F">
            <w:pPr>
              <w:rPr>
                <w:rFonts w:ascii="宋体"/>
                <w:vanish/>
              </w:rPr>
            </w:pPr>
          </w:p>
        </w:tc>
        <w:tc>
          <w:tcPr>
            <w:tcW w:w="0" w:type="auto"/>
            <w:gridSpan w:val="3"/>
            <w:shd w:val="clear" w:color="auto" w:fill="auto"/>
            <w:vAlign w:val="bottom"/>
          </w:tcPr>
          <w:p w14:paraId="392C4589" w14:textId="77777777" w:rsidR="00980E5F" w:rsidRDefault="00980E5F">
            <w:pPr>
              <w:rPr>
                <w:rFonts w:ascii="宋体"/>
                <w:vanish/>
              </w:rPr>
            </w:pPr>
          </w:p>
        </w:tc>
        <w:tc>
          <w:tcPr>
            <w:tcW w:w="0" w:type="auto"/>
            <w:gridSpan w:val="3"/>
            <w:shd w:val="clear" w:color="auto" w:fill="auto"/>
            <w:vAlign w:val="bottom"/>
          </w:tcPr>
          <w:p w14:paraId="392C458A" w14:textId="77777777" w:rsidR="00980E5F" w:rsidRDefault="00980E5F">
            <w:pPr>
              <w:rPr>
                <w:rFonts w:ascii="宋体"/>
                <w:vanish/>
              </w:rPr>
            </w:pPr>
          </w:p>
        </w:tc>
      </w:tr>
      <w:tr w:rsidR="00980E5F" w14:paraId="392C459A" w14:textId="77777777">
        <w:tc>
          <w:tcPr>
            <w:tcW w:w="0" w:type="auto"/>
            <w:gridSpan w:val="3"/>
            <w:shd w:val="clear" w:color="auto" w:fill="CCEEFF"/>
            <w:tcMar>
              <w:top w:w="40" w:type="dxa"/>
              <w:left w:w="245" w:type="dxa"/>
              <w:bottom w:w="40" w:type="dxa"/>
              <w:right w:w="20" w:type="dxa"/>
            </w:tcMar>
            <w:vAlign w:val="bottom"/>
          </w:tcPr>
          <w:p w14:paraId="392C458C" w14:textId="77777777" w:rsidR="00980E5F" w:rsidRDefault="00483613">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392C458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5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8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90" w14:textId="77777777" w:rsidR="00980E5F" w:rsidRDefault="00483613">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392C45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9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5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9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9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98" w14:textId="77777777" w:rsidR="00980E5F" w:rsidRDefault="00483613">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392C4599" w14:textId="77777777" w:rsidR="00980E5F" w:rsidRDefault="00980E5F">
            <w:pPr>
              <w:jc w:val="right"/>
              <w:rPr>
                <w:rFonts w:ascii="宋体"/>
              </w:rPr>
            </w:pPr>
          </w:p>
        </w:tc>
      </w:tr>
      <w:tr w:rsidR="00980E5F" w14:paraId="392C45A5" w14:textId="77777777">
        <w:trPr>
          <w:hidden/>
        </w:trPr>
        <w:tc>
          <w:tcPr>
            <w:tcW w:w="0" w:type="auto"/>
            <w:gridSpan w:val="3"/>
            <w:shd w:val="clear" w:color="auto" w:fill="auto"/>
            <w:vAlign w:val="bottom"/>
          </w:tcPr>
          <w:p w14:paraId="392C459B" w14:textId="77777777" w:rsidR="00980E5F" w:rsidRDefault="00980E5F">
            <w:pPr>
              <w:rPr>
                <w:rFonts w:ascii="宋体"/>
                <w:vanish/>
              </w:rPr>
            </w:pPr>
          </w:p>
        </w:tc>
        <w:tc>
          <w:tcPr>
            <w:tcW w:w="0" w:type="auto"/>
            <w:gridSpan w:val="3"/>
            <w:shd w:val="clear" w:color="auto" w:fill="auto"/>
            <w:vAlign w:val="bottom"/>
          </w:tcPr>
          <w:p w14:paraId="392C459C" w14:textId="77777777" w:rsidR="00980E5F" w:rsidRDefault="00980E5F">
            <w:pPr>
              <w:rPr>
                <w:rFonts w:ascii="宋体"/>
                <w:vanish/>
              </w:rPr>
            </w:pPr>
          </w:p>
        </w:tc>
        <w:tc>
          <w:tcPr>
            <w:tcW w:w="0" w:type="auto"/>
            <w:gridSpan w:val="3"/>
            <w:shd w:val="clear" w:color="auto" w:fill="auto"/>
            <w:vAlign w:val="bottom"/>
          </w:tcPr>
          <w:p w14:paraId="392C459D" w14:textId="77777777" w:rsidR="00980E5F" w:rsidRDefault="00980E5F">
            <w:pPr>
              <w:rPr>
                <w:rFonts w:ascii="宋体"/>
                <w:vanish/>
              </w:rPr>
            </w:pPr>
          </w:p>
        </w:tc>
        <w:tc>
          <w:tcPr>
            <w:tcW w:w="0" w:type="auto"/>
            <w:gridSpan w:val="3"/>
            <w:shd w:val="clear" w:color="auto" w:fill="auto"/>
            <w:vAlign w:val="bottom"/>
          </w:tcPr>
          <w:p w14:paraId="392C459E" w14:textId="77777777" w:rsidR="00980E5F" w:rsidRDefault="00980E5F">
            <w:pPr>
              <w:rPr>
                <w:rFonts w:ascii="宋体"/>
                <w:vanish/>
              </w:rPr>
            </w:pPr>
          </w:p>
        </w:tc>
        <w:tc>
          <w:tcPr>
            <w:tcW w:w="0" w:type="auto"/>
            <w:gridSpan w:val="3"/>
            <w:shd w:val="clear" w:color="auto" w:fill="auto"/>
            <w:vAlign w:val="bottom"/>
          </w:tcPr>
          <w:p w14:paraId="392C459F" w14:textId="77777777" w:rsidR="00980E5F" w:rsidRDefault="00980E5F">
            <w:pPr>
              <w:rPr>
                <w:rFonts w:ascii="宋体"/>
                <w:vanish/>
              </w:rPr>
            </w:pPr>
          </w:p>
        </w:tc>
        <w:tc>
          <w:tcPr>
            <w:tcW w:w="0" w:type="auto"/>
            <w:gridSpan w:val="3"/>
            <w:shd w:val="clear" w:color="auto" w:fill="auto"/>
            <w:vAlign w:val="bottom"/>
          </w:tcPr>
          <w:p w14:paraId="392C45A0" w14:textId="77777777" w:rsidR="00980E5F" w:rsidRDefault="00980E5F">
            <w:pPr>
              <w:rPr>
                <w:rFonts w:ascii="宋体"/>
                <w:vanish/>
              </w:rPr>
            </w:pPr>
          </w:p>
        </w:tc>
        <w:tc>
          <w:tcPr>
            <w:tcW w:w="0" w:type="auto"/>
            <w:gridSpan w:val="3"/>
            <w:shd w:val="clear" w:color="auto" w:fill="auto"/>
            <w:vAlign w:val="bottom"/>
          </w:tcPr>
          <w:p w14:paraId="392C45A1" w14:textId="77777777" w:rsidR="00980E5F" w:rsidRDefault="00980E5F">
            <w:pPr>
              <w:rPr>
                <w:rFonts w:ascii="宋体"/>
                <w:vanish/>
              </w:rPr>
            </w:pPr>
          </w:p>
        </w:tc>
        <w:tc>
          <w:tcPr>
            <w:tcW w:w="0" w:type="auto"/>
            <w:gridSpan w:val="3"/>
            <w:shd w:val="clear" w:color="auto" w:fill="auto"/>
            <w:vAlign w:val="bottom"/>
          </w:tcPr>
          <w:p w14:paraId="392C45A2" w14:textId="77777777" w:rsidR="00980E5F" w:rsidRDefault="00980E5F">
            <w:pPr>
              <w:rPr>
                <w:rFonts w:ascii="宋体"/>
                <w:vanish/>
              </w:rPr>
            </w:pPr>
          </w:p>
        </w:tc>
        <w:tc>
          <w:tcPr>
            <w:tcW w:w="0" w:type="auto"/>
            <w:gridSpan w:val="3"/>
            <w:shd w:val="clear" w:color="auto" w:fill="auto"/>
            <w:vAlign w:val="bottom"/>
          </w:tcPr>
          <w:p w14:paraId="392C45A3" w14:textId="77777777" w:rsidR="00980E5F" w:rsidRDefault="00980E5F">
            <w:pPr>
              <w:rPr>
                <w:rFonts w:ascii="宋体"/>
                <w:vanish/>
              </w:rPr>
            </w:pPr>
          </w:p>
        </w:tc>
        <w:tc>
          <w:tcPr>
            <w:tcW w:w="0" w:type="auto"/>
            <w:gridSpan w:val="3"/>
            <w:shd w:val="clear" w:color="auto" w:fill="auto"/>
            <w:vAlign w:val="bottom"/>
          </w:tcPr>
          <w:p w14:paraId="392C45A4" w14:textId="77777777" w:rsidR="00980E5F" w:rsidRDefault="00980E5F">
            <w:pPr>
              <w:rPr>
                <w:rFonts w:ascii="宋体"/>
                <w:vanish/>
              </w:rPr>
            </w:pPr>
          </w:p>
        </w:tc>
      </w:tr>
      <w:tr w:rsidR="00980E5F" w14:paraId="392C45B0" w14:textId="77777777">
        <w:trPr>
          <w:hidden/>
        </w:trPr>
        <w:tc>
          <w:tcPr>
            <w:tcW w:w="0" w:type="auto"/>
            <w:gridSpan w:val="3"/>
            <w:shd w:val="clear" w:color="auto" w:fill="auto"/>
            <w:vAlign w:val="bottom"/>
          </w:tcPr>
          <w:p w14:paraId="392C45A6" w14:textId="77777777" w:rsidR="00980E5F" w:rsidRDefault="00980E5F">
            <w:pPr>
              <w:rPr>
                <w:rFonts w:ascii="宋体"/>
                <w:vanish/>
              </w:rPr>
            </w:pPr>
          </w:p>
        </w:tc>
        <w:tc>
          <w:tcPr>
            <w:tcW w:w="0" w:type="auto"/>
            <w:gridSpan w:val="3"/>
            <w:shd w:val="clear" w:color="auto" w:fill="auto"/>
            <w:vAlign w:val="bottom"/>
          </w:tcPr>
          <w:p w14:paraId="392C45A7" w14:textId="77777777" w:rsidR="00980E5F" w:rsidRDefault="00980E5F">
            <w:pPr>
              <w:rPr>
                <w:rFonts w:ascii="宋体"/>
                <w:vanish/>
              </w:rPr>
            </w:pPr>
          </w:p>
        </w:tc>
        <w:tc>
          <w:tcPr>
            <w:tcW w:w="0" w:type="auto"/>
            <w:gridSpan w:val="3"/>
            <w:shd w:val="clear" w:color="auto" w:fill="auto"/>
            <w:vAlign w:val="bottom"/>
          </w:tcPr>
          <w:p w14:paraId="392C45A8" w14:textId="77777777" w:rsidR="00980E5F" w:rsidRDefault="00980E5F">
            <w:pPr>
              <w:rPr>
                <w:rFonts w:ascii="宋体"/>
                <w:vanish/>
              </w:rPr>
            </w:pPr>
          </w:p>
        </w:tc>
        <w:tc>
          <w:tcPr>
            <w:tcW w:w="0" w:type="auto"/>
            <w:gridSpan w:val="3"/>
            <w:shd w:val="clear" w:color="auto" w:fill="auto"/>
            <w:vAlign w:val="bottom"/>
          </w:tcPr>
          <w:p w14:paraId="392C45A9" w14:textId="77777777" w:rsidR="00980E5F" w:rsidRDefault="00980E5F">
            <w:pPr>
              <w:rPr>
                <w:rFonts w:ascii="宋体"/>
                <w:vanish/>
              </w:rPr>
            </w:pPr>
          </w:p>
        </w:tc>
        <w:tc>
          <w:tcPr>
            <w:tcW w:w="0" w:type="auto"/>
            <w:gridSpan w:val="3"/>
            <w:shd w:val="clear" w:color="auto" w:fill="auto"/>
            <w:vAlign w:val="bottom"/>
          </w:tcPr>
          <w:p w14:paraId="392C45AA" w14:textId="77777777" w:rsidR="00980E5F" w:rsidRDefault="00980E5F">
            <w:pPr>
              <w:rPr>
                <w:rFonts w:ascii="宋体"/>
                <w:vanish/>
              </w:rPr>
            </w:pPr>
          </w:p>
        </w:tc>
        <w:tc>
          <w:tcPr>
            <w:tcW w:w="0" w:type="auto"/>
            <w:gridSpan w:val="3"/>
            <w:shd w:val="clear" w:color="auto" w:fill="auto"/>
            <w:vAlign w:val="bottom"/>
          </w:tcPr>
          <w:p w14:paraId="392C45AB" w14:textId="77777777" w:rsidR="00980E5F" w:rsidRDefault="00980E5F">
            <w:pPr>
              <w:rPr>
                <w:rFonts w:ascii="宋体"/>
                <w:vanish/>
              </w:rPr>
            </w:pPr>
          </w:p>
        </w:tc>
        <w:tc>
          <w:tcPr>
            <w:tcW w:w="0" w:type="auto"/>
            <w:gridSpan w:val="3"/>
            <w:shd w:val="clear" w:color="auto" w:fill="auto"/>
            <w:vAlign w:val="bottom"/>
          </w:tcPr>
          <w:p w14:paraId="392C45AC" w14:textId="77777777" w:rsidR="00980E5F" w:rsidRDefault="00980E5F">
            <w:pPr>
              <w:rPr>
                <w:rFonts w:ascii="宋体"/>
                <w:vanish/>
              </w:rPr>
            </w:pPr>
          </w:p>
        </w:tc>
        <w:tc>
          <w:tcPr>
            <w:tcW w:w="0" w:type="auto"/>
            <w:gridSpan w:val="3"/>
            <w:shd w:val="clear" w:color="auto" w:fill="auto"/>
            <w:vAlign w:val="bottom"/>
          </w:tcPr>
          <w:p w14:paraId="392C45AD" w14:textId="77777777" w:rsidR="00980E5F" w:rsidRDefault="00980E5F">
            <w:pPr>
              <w:rPr>
                <w:rFonts w:ascii="宋体"/>
                <w:vanish/>
              </w:rPr>
            </w:pPr>
          </w:p>
        </w:tc>
        <w:tc>
          <w:tcPr>
            <w:tcW w:w="0" w:type="auto"/>
            <w:gridSpan w:val="3"/>
            <w:shd w:val="clear" w:color="auto" w:fill="auto"/>
            <w:vAlign w:val="bottom"/>
          </w:tcPr>
          <w:p w14:paraId="392C45AE" w14:textId="77777777" w:rsidR="00980E5F" w:rsidRDefault="00980E5F">
            <w:pPr>
              <w:rPr>
                <w:rFonts w:ascii="宋体"/>
                <w:vanish/>
              </w:rPr>
            </w:pPr>
          </w:p>
        </w:tc>
        <w:tc>
          <w:tcPr>
            <w:tcW w:w="0" w:type="auto"/>
            <w:gridSpan w:val="3"/>
            <w:shd w:val="clear" w:color="auto" w:fill="auto"/>
            <w:vAlign w:val="bottom"/>
          </w:tcPr>
          <w:p w14:paraId="392C45AF" w14:textId="77777777" w:rsidR="00980E5F" w:rsidRDefault="00980E5F">
            <w:pPr>
              <w:rPr>
                <w:rFonts w:ascii="宋体"/>
                <w:vanish/>
              </w:rPr>
            </w:pPr>
          </w:p>
        </w:tc>
      </w:tr>
      <w:tr w:rsidR="00980E5F" w14:paraId="392C45BB" w14:textId="77777777">
        <w:trPr>
          <w:hidden/>
        </w:trPr>
        <w:tc>
          <w:tcPr>
            <w:tcW w:w="0" w:type="auto"/>
            <w:gridSpan w:val="3"/>
            <w:shd w:val="clear" w:color="auto" w:fill="auto"/>
            <w:vAlign w:val="bottom"/>
          </w:tcPr>
          <w:p w14:paraId="392C45B1" w14:textId="77777777" w:rsidR="00980E5F" w:rsidRDefault="00980E5F">
            <w:pPr>
              <w:rPr>
                <w:rFonts w:ascii="宋体"/>
                <w:vanish/>
              </w:rPr>
            </w:pPr>
          </w:p>
        </w:tc>
        <w:tc>
          <w:tcPr>
            <w:tcW w:w="0" w:type="auto"/>
            <w:gridSpan w:val="3"/>
            <w:shd w:val="clear" w:color="auto" w:fill="auto"/>
            <w:vAlign w:val="bottom"/>
          </w:tcPr>
          <w:p w14:paraId="392C45B2" w14:textId="77777777" w:rsidR="00980E5F" w:rsidRDefault="00980E5F">
            <w:pPr>
              <w:rPr>
                <w:rFonts w:ascii="宋体"/>
                <w:vanish/>
              </w:rPr>
            </w:pPr>
          </w:p>
        </w:tc>
        <w:tc>
          <w:tcPr>
            <w:tcW w:w="0" w:type="auto"/>
            <w:gridSpan w:val="3"/>
            <w:shd w:val="clear" w:color="auto" w:fill="auto"/>
            <w:vAlign w:val="bottom"/>
          </w:tcPr>
          <w:p w14:paraId="392C45B3" w14:textId="77777777" w:rsidR="00980E5F" w:rsidRDefault="00980E5F">
            <w:pPr>
              <w:rPr>
                <w:rFonts w:ascii="宋体"/>
                <w:vanish/>
              </w:rPr>
            </w:pPr>
          </w:p>
        </w:tc>
        <w:tc>
          <w:tcPr>
            <w:tcW w:w="0" w:type="auto"/>
            <w:gridSpan w:val="3"/>
            <w:shd w:val="clear" w:color="auto" w:fill="auto"/>
            <w:vAlign w:val="bottom"/>
          </w:tcPr>
          <w:p w14:paraId="392C45B4" w14:textId="77777777" w:rsidR="00980E5F" w:rsidRDefault="00980E5F">
            <w:pPr>
              <w:rPr>
                <w:rFonts w:ascii="宋体"/>
                <w:vanish/>
              </w:rPr>
            </w:pPr>
          </w:p>
        </w:tc>
        <w:tc>
          <w:tcPr>
            <w:tcW w:w="0" w:type="auto"/>
            <w:gridSpan w:val="3"/>
            <w:shd w:val="clear" w:color="auto" w:fill="auto"/>
            <w:vAlign w:val="bottom"/>
          </w:tcPr>
          <w:p w14:paraId="392C45B5" w14:textId="77777777" w:rsidR="00980E5F" w:rsidRDefault="00980E5F">
            <w:pPr>
              <w:rPr>
                <w:rFonts w:ascii="宋体"/>
                <w:vanish/>
              </w:rPr>
            </w:pPr>
          </w:p>
        </w:tc>
        <w:tc>
          <w:tcPr>
            <w:tcW w:w="0" w:type="auto"/>
            <w:gridSpan w:val="3"/>
            <w:shd w:val="clear" w:color="auto" w:fill="auto"/>
            <w:vAlign w:val="bottom"/>
          </w:tcPr>
          <w:p w14:paraId="392C45B6" w14:textId="77777777" w:rsidR="00980E5F" w:rsidRDefault="00980E5F">
            <w:pPr>
              <w:rPr>
                <w:rFonts w:ascii="宋体"/>
                <w:vanish/>
              </w:rPr>
            </w:pPr>
          </w:p>
        </w:tc>
        <w:tc>
          <w:tcPr>
            <w:tcW w:w="0" w:type="auto"/>
            <w:gridSpan w:val="3"/>
            <w:shd w:val="clear" w:color="auto" w:fill="auto"/>
            <w:vAlign w:val="bottom"/>
          </w:tcPr>
          <w:p w14:paraId="392C45B7" w14:textId="77777777" w:rsidR="00980E5F" w:rsidRDefault="00980E5F">
            <w:pPr>
              <w:rPr>
                <w:rFonts w:ascii="宋体"/>
                <w:vanish/>
              </w:rPr>
            </w:pPr>
          </w:p>
        </w:tc>
        <w:tc>
          <w:tcPr>
            <w:tcW w:w="0" w:type="auto"/>
            <w:gridSpan w:val="3"/>
            <w:shd w:val="clear" w:color="auto" w:fill="auto"/>
            <w:vAlign w:val="bottom"/>
          </w:tcPr>
          <w:p w14:paraId="392C45B8" w14:textId="77777777" w:rsidR="00980E5F" w:rsidRDefault="00980E5F">
            <w:pPr>
              <w:rPr>
                <w:rFonts w:ascii="宋体"/>
                <w:vanish/>
              </w:rPr>
            </w:pPr>
          </w:p>
        </w:tc>
        <w:tc>
          <w:tcPr>
            <w:tcW w:w="0" w:type="auto"/>
            <w:gridSpan w:val="3"/>
            <w:shd w:val="clear" w:color="auto" w:fill="auto"/>
            <w:vAlign w:val="bottom"/>
          </w:tcPr>
          <w:p w14:paraId="392C45B9" w14:textId="77777777" w:rsidR="00980E5F" w:rsidRDefault="00980E5F">
            <w:pPr>
              <w:rPr>
                <w:rFonts w:ascii="宋体"/>
                <w:vanish/>
              </w:rPr>
            </w:pPr>
          </w:p>
        </w:tc>
        <w:tc>
          <w:tcPr>
            <w:tcW w:w="0" w:type="auto"/>
            <w:gridSpan w:val="3"/>
            <w:shd w:val="clear" w:color="auto" w:fill="auto"/>
            <w:vAlign w:val="bottom"/>
          </w:tcPr>
          <w:p w14:paraId="392C45BA" w14:textId="77777777" w:rsidR="00980E5F" w:rsidRDefault="00980E5F">
            <w:pPr>
              <w:rPr>
                <w:rFonts w:ascii="宋体"/>
                <w:vanish/>
              </w:rPr>
            </w:pPr>
          </w:p>
        </w:tc>
      </w:tr>
      <w:tr w:rsidR="00980E5F" w14:paraId="392C45C6" w14:textId="77777777">
        <w:trPr>
          <w:hidden/>
        </w:trPr>
        <w:tc>
          <w:tcPr>
            <w:tcW w:w="0" w:type="auto"/>
            <w:gridSpan w:val="3"/>
            <w:shd w:val="clear" w:color="auto" w:fill="auto"/>
            <w:vAlign w:val="bottom"/>
          </w:tcPr>
          <w:p w14:paraId="392C45BC" w14:textId="77777777" w:rsidR="00980E5F" w:rsidRDefault="00980E5F">
            <w:pPr>
              <w:rPr>
                <w:rFonts w:ascii="宋体"/>
                <w:vanish/>
              </w:rPr>
            </w:pPr>
          </w:p>
        </w:tc>
        <w:tc>
          <w:tcPr>
            <w:tcW w:w="0" w:type="auto"/>
            <w:gridSpan w:val="3"/>
            <w:shd w:val="clear" w:color="auto" w:fill="auto"/>
            <w:vAlign w:val="bottom"/>
          </w:tcPr>
          <w:p w14:paraId="392C45BD" w14:textId="77777777" w:rsidR="00980E5F" w:rsidRDefault="00980E5F">
            <w:pPr>
              <w:rPr>
                <w:rFonts w:ascii="宋体"/>
                <w:vanish/>
              </w:rPr>
            </w:pPr>
          </w:p>
        </w:tc>
        <w:tc>
          <w:tcPr>
            <w:tcW w:w="0" w:type="auto"/>
            <w:gridSpan w:val="3"/>
            <w:shd w:val="clear" w:color="auto" w:fill="auto"/>
            <w:vAlign w:val="bottom"/>
          </w:tcPr>
          <w:p w14:paraId="392C45BE" w14:textId="77777777" w:rsidR="00980E5F" w:rsidRDefault="00980E5F">
            <w:pPr>
              <w:rPr>
                <w:rFonts w:ascii="宋体"/>
                <w:vanish/>
              </w:rPr>
            </w:pPr>
          </w:p>
        </w:tc>
        <w:tc>
          <w:tcPr>
            <w:tcW w:w="0" w:type="auto"/>
            <w:gridSpan w:val="3"/>
            <w:shd w:val="clear" w:color="auto" w:fill="auto"/>
            <w:vAlign w:val="bottom"/>
          </w:tcPr>
          <w:p w14:paraId="392C45BF" w14:textId="77777777" w:rsidR="00980E5F" w:rsidRDefault="00980E5F">
            <w:pPr>
              <w:rPr>
                <w:rFonts w:ascii="宋体"/>
                <w:vanish/>
              </w:rPr>
            </w:pPr>
          </w:p>
        </w:tc>
        <w:tc>
          <w:tcPr>
            <w:tcW w:w="0" w:type="auto"/>
            <w:gridSpan w:val="3"/>
            <w:shd w:val="clear" w:color="auto" w:fill="auto"/>
            <w:vAlign w:val="bottom"/>
          </w:tcPr>
          <w:p w14:paraId="392C45C0" w14:textId="77777777" w:rsidR="00980E5F" w:rsidRDefault="00980E5F">
            <w:pPr>
              <w:rPr>
                <w:rFonts w:ascii="宋体"/>
                <w:vanish/>
              </w:rPr>
            </w:pPr>
          </w:p>
        </w:tc>
        <w:tc>
          <w:tcPr>
            <w:tcW w:w="0" w:type="auto"/>
            <w:gridSpan w:val="3"/>
            <w:shd w:val="clear" w:color="auto" w:fill="auto"/>
            <w:vAlign w:val="bottom"/>
          </w:tcPr>
          <w:p w14:paraId="392C45C1" w14:textId="77777777" w:rsidR="00980E5F" w:rsidRDefault="00980E5F">
            <w:pPr>
              <w:rPr>
                <w:rFonts w:ascii="宋体"/>
                <w:vanish/>
              </w:rPr>
            </w:pPr>
          </w:p>
        </w:tc>
        <w:tc>
          <w:tcPr>
            <w:tcW w:w="0" w:type="auto"/>
            <w:gridSpan w:val="3"/>
            <w:shd w:val="clear" w:color="auto" w:fill="auto"/>
            <w:vAlign w:val="bottom"/>
          </w:tcPr>
          <w:p w14:paraId="392C45C2" w14:textId="77777777" w:rsidR="00980E5F" w:rsidRDefault="00980E5F">
            <w:pPr>
              <w:rPr>
                <w:rFonts w:ascii="宋体"/>
                <w:vanish/>
              </w:rPr>
            </w:pPr>
          </w:p>
        </w:tc>
        <w:tc>
          <w:tcPr>
            <w:tcW w:w="0" w:type="auto"/>
            <w:gridSpan w:val="3"/>
            <w:shd w:val="clear" w:color="auto" w:fill="auto"/>
            <w:vAlign w:val="bottom"/>
          </w:tcPr>
          <w:p w14:paraId="392C45C3" w14:textId="77777777" w:rsidR="00980E5F" w:rsidRDefault="00980E5F">
            <w:pPr>
              <w:rPr>
                <w:rFonts w:ascii="宋体"/>
                <w:vanish/>
              </w:rPr>
            </w:pPr>
          </w:p>
        </w:tc>
        <w:tc>
          <w:tcPr>
            <w:tcW w:w="0" w:type="auto"/>
            <w:gridSpan w:val="3"/>
            <w:shd w:val="clear" w:color="auto" w:fill="auto"/>
            <w:vAlign w:val="bottom"/>
          </w:tcPr>
          <w:p w14:paraId="392C45C4" w14:textId="77777777" w:rsidR="00980E5F" w:rsidRDefault="00980E5F">
            <w:pPr>
              <w:rPr>
                <w:rFonts w:ascii="宋体"/>
                <w:vanish/>
              </w:rPr>
            </w:pPr>
          </w:p>
        </w:tc>
        <w:tc>
          <w:tcPr>
            <w:tcW w:w="0" w:type="auto"/>
            <w:gridSpan w:val="3"/>
            <w:shd w:val="clear" w:color="auto" w:fill="auto"/>
            <w:vAlign w:val="bottom"/>
          </w:tcPr>
          <w:p w14:paraId="392C45C5" w14:textId="77777777" w:rsidR="00980E5F" w:rsidRDefault="00980E5F">
            <w:pPr>
              <w:rPr>
                <w:rFonts w:ascii="宋体"/>
                <w:vanish/>
              </w:rPr>
            </w:pPr>
          </w:p>
        </w:tc>
      </w:tr>
      <w:tr w:rsidR="00980E5F" w14:paraId="392C45D5" w14:textId="77777777">
        <w:tc>
          <w:tcPr>
            <w:tcW w:w="0" w:type="auto"/>
            <w:gridSpan w:val="3"/>
            <w:shd w:val="clear" w:color="auto" w:fill="FFFFFF"/>
            <w:tcMar>
              <w:top w:w="40" w:type="dxa"/>
              <w:left w:w="740" w:type="dxa"/>
              <w:bottom w:w="40" w:type="dxa"/>
              <w:right w:w="20" w:type="dxa"/>
            </w:tcMar>
            <w:vAlign w:val="bottom"/>
          </w:tcPr>
          <w:p w14:paraId="392C45C7" w14:textId="77777777" w:rsidR="00980E5F" w:rsidRDefault="00483613">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5C8" w14:textId="77777777" w:rsidR="00980E5F" w:rsidRDefault="00483613">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5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C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5CB" w14:textId="77777777" w:rsidR="00980E5F" w:rsidRDefault="00483613">
            <w:pPr>
              <w:jc w:val="right"/>
              <w:textAlignment w:val="bottom"/>
            </w:pPr>
            <w:r>
              <w:rPr>
                <w:rFonts w:ascii="Arial" w:eastAsia="宋体" w:hAnsi="Arial" w:cs="Arial"/>
                <w:color w:val="000000"/>
                <w:sz w:val="14"/>
                <w:szCs w:val="14"/>
              </w:rPr>
              <w:t>55,460 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5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C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5CE"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5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5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D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5D3" w14:textId="77777777" w:rsidR="00980E5F" w:rsidRDefault="00483613">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5D4" w14:textId="77777777" w:rsidR="00980E5F" w:rsidRDefault="00980E5F">
            <w:pPr>
              <w:jc w:val="right"/>
              <w:rPr>
                <w:rFonts w:ascii="宋体"/>
              </w:rPr>
            </w:pPr>
          </w:p>
        </w:tc>
      </w:tr>
      <w:tr w:rsidR="00980E5F" w14:paraId="392C45E0" w14:textId="77777777">
        <w:tc>
          <w:tcPr>
            <w:tcW w:w="0" w:type="auto"/>
            <w:gridSpan w:val="3"/>
            <w:shd w:val="clear" w:color="auto" w:fill="CCEEFF"/>
            <w:tcMar>
              <w:top w:w="40" w:type="dxa"/>
              <w:left w:w="20" w:type="dxa"/>
              <w:bottom w:w="40" w:type="dxa"/>
              <w:right w:w="20" w:type="dxa"/>
            </w:tcMar>
            <w:vAlign w:val="bottom"/>
          </w:tcPr>
          <w:p w14:paraId="392C45D6" w14:textId="77777777" w:rsidR="00980E5F" w:rsidRDefault="00483613">
            <w:pPr>
              <w:textAlignment w:val="bottom"/>
            </w:pPr>
            <w:r>
              <w:rPr>
                <w:rFonts w:ascii="Arial" w:eastAsia="宋体" w:hAnsi="Arial" w:cs="Arial"/>
                <w:color w:val="000000"/>
                <w:sz w:val="15"/>
                <w:szCs w:val="15"/>
              </w:rPr>
              <w:t>Other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5D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D8"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5D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DA"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5D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D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D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5DE"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45DF" w14:textId="77777777" w:rsidR="00980E5F" w:rsidRDefault="00980E5F">
            <w:pPr>
              <w:rPr>
                <w:rFonts w:ascii="宋体"/>
              </w:rPr>
            </w:pPr>
          </w:p>
        </w:tc>
      </w:tr>
      <w:tr w:rsidR="00980E5F" w14:paraId="392C45EB" w14:textId="77777777">
        <w:tc>
          <w:tcPr>
            <w:tcW w:w="0" w:type="auto"/>
            <w:gridSpan w:val="3"/>
            <w:shd w:val="clear" w:color="auto" w:fill="FFFFFF"/>
            <w:tcMar>
              <w:top w:w="40" w:type="dxa"/>
              <w:left w:w="245" w:type="dxa"/>
              <w:bottom w:w="40" w:type="dxa"/>
              <w:right w:w="20" w:type="dxa"/>
            </w:tcMar>
            <w:vAlign w:val="bottom"/>
          </w:tcPr>
          <w:p w14:paraId="392C45E1" w14:textId="77777777" w:rsidR="00980E5F" w:rsidRDefault="00483613">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392C45E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5EA" w14:textId="77777777" w:rsidR="00980E5F" w:rsidRDefault="00980E5F">
            <w:pPr>
              <w:rPr>
                <w:rFonts w:ascii="宋体"/>
              </w:rPr>
            </w:pPr>
          </w:p>
        </w:tc>
      </w:tr>
      <w:tr w:rsidR="00980E5F" w14:paraId="392C45FC" w14:textId="77777777">
        <w:tc>
          <w:tcPr>
            <w:tcW w:w="0" w:type="auto"/>
            <w:gridSpan w:val="3"/>
            <w:shd w:val="clear" w:color="auto" w:fill="CCEEFF"/>
            <w:tcMar>
              <w:top w:w="40" w:type="dxa"/>
              <w:left w:w="515" w:type="dxa"/>
              <w:bottom w:w="40" w:type="dxa"/>
              <w:right w:w="20" w:type="dxa"/>
            </w:tcMar>
            <w:vAlign w:val="bottom"/>
          </w:tcPr>
          <w:p w14:paraId="392C45EC" w14:textId="77777777" w:rsidR="00980E5F" w:rsidRDefault="00483613">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392C45ED"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45E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E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F0" w14:textId="77777777" w:rsidR="00980E5F" w:rsidRDefault="00483613">
            <w:pPr>
              <w:jc w:val="right"/>
              <w:textAlignment w:val="bottom"/>
            </w:pPr>
            <w:r>
              <w:rPr>
                <w:rFonts w:ascii="Arial" w:eastAsia="宋体" w:hAnsi="Arial" w:cs="Arial"/>
                <w:color w:val="000000"/>
                <w:sz w:val="14"/>
                <w:szCs w:val="14"/>
              </w:rPr>
              <w:t>15,183 </w:t>
            </w:r>
          </w:p>
        </w:tc>
        <w:tc>
          <w:tcPr>
            <w:tcW w:w="0" w:type="auto"/>
            <w:shd w:val="clear" w:color="auto" w:fill="CCEEFF"/>
            <w:tcMar>
              <w:top w:w="40" w:type="dxa"/>
              <w:left w:w="0" w:type="dxa"/>
              <w:bottom w:w="40" w:type="dxa"/>
              <w:right w:w="20" w:type="dxa"/>
            </w:tcMar>
            <w:vAlign w:val="bottom"/>
          </w:tcPr>
          <w:p w14:paraId="392C45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F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F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5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F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45F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45F7" w14:textId="77777777" w:rsidR="00980E5F" w:rsidRDefault="00483613">
            <w:pPr>
              <w:jc w:val="right"/>
              <w:textAlignment w:val="bottom"/>
            </w:pPr>
            <w:r>
              <w:rPr>
                <w:rFonts w:ascii="Arial" w:eastAsia="宋体" w:hAnsi="Arial" w:cs="Arial"/>
                <w:color w:val="000000"/>
                <w:sz w:val="14"/>
                <w:szCs w:val="14"/>
              </w:rPr>
              <w:t>(11,079)</w:t>
            </w:r>
          </w:p>
        </w:tc>
        <w:tc>
          <w:tcPr>
            <w:tcW w:w="0" w:type="auto"/>
            <w:shd w:val="clear" w:color="auto" w:fill="CCEEFF"/>
            <w:tcMar>
              <w:top w:w="40" w:type="dxa"/>
              <w:left w:w="0" w:type="dxa"/>
              <w:bottom w:w="40" w:type="dxa"/>
              <w:right w:w="20" w:type="dxa"/>
            </w:tcMar>
            <w:vAlign w:val="bottom"/>
          </w:tcPr>
          <w:p w14:paraId="392C45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5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5FA" w14:textId="77777777" w:rsidR="00980E5F" w:rsidRDefault="00483613">
            <w:pPr>
              <w:jc w:val="right"/>
              <w:textAlignment w:val="bottom"/>
            </w:pPr>
            <w:r>
              <w:rPr>
                <w:rFonts w:ascii="Arial" w:eastAsia="宋体" w:hAnsi="Arial" w:cs="Arial"/>
                <w:color w:val="000000"/>
                <w:sz w:val="14"/>
                <w:szCs w:val="14"/>
              </w:rPr>
              <w:t>4,106 </w:t>
            </w:r>
          </w:p>
        </w:tc>
        <w:tc>
          <w:tcPr>
            <w:tcW w:w="0" w:type="auto"/>
            <w:shd w:val="clear" w:color="auto" w:fill="CCEEFF"/>
            <w:tcMar>
              <w:top w:w="40" w:type="dxa"/>
              <w:left w:w="0" w:type="dxa"/>
              <w:bottom w:w="40" w:type="dxa"/>
              <w:right w:w="20" w:type="dxa"/>
            </w:tcMar>
            <w:vAlign w:val="bottom"/>
          </w:tcPr>
          <w:p w14:paraId="392C45FB" w14:textId="77777777" w:rsidR="00980E5F" w:rsidRDefault="00980E5F">
            <w:pPr>
              <w:jc w:val="right"/>
              <w:rPr>
                <w:rFonts w:ascii="宋体"/>
              </w:rPr>
            </w:pPr>
          </w:p>
        </w:tc>
      </w:tr>
      <w:tr w:rsidR="00980E5F" w14:paraId="392C460C" w14:textId="77777777">
        <w:tc>
          <w:tcPr>
            <w:tcW w:w="0" w:type="auto"/>
            <w:gridSpan w:val="3"/>
            <w:shd w:val="clear" w:color="auto" w:fill="FFFFFF"/>
            <w:tcMar>
              <w:top w:w="40" w:type="dxa"/>
              <w:left w:w="515" w:type="dxa"/>
              <w:bottom w:w="40" w:type="dxa"/>
              <w:right w:w="20" w:type="dxa"/>
            </w:tcMar>
            <w:vAlign w:val="bottom"/>
          </w:tcPr>
          <w:p w14:paraId="392C45FD" w14:textId="77777777" w:rsidR="00980E5F" w:rsidRDefault="00483613">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92C45FE"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45F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0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0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0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0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0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0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0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0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0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0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0A"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460B" w14:textId="77777777" w:rsidR="00980E5F" w:rsidRDefault="00980E5F">
            <w:pPr>
              <w:jc w:val="right"/>
              <w:rPr>
                <w:rFonts w:ascii="宋体"/>
              </w:rPr>
            </w:pPr>
          </w:p>
        </w:tc>
      </w:tr>
      <w:tr w:rsidR="00980E5F" w14:paraId="392C4617" w14:textId="77777777">
        <w:trPr>
          <w:hidden/>
        </w:trPr>
        <w:tc>
          <w:tcPr>
            <w:tcW w:w="0" w:type="auto"/>
            <w:gridSpan w:val="3"/>
            <w:shd w:val="clear" w:color="auto" w:fill="auto"/>
            <w:vAlign w:val="bottom"/>
          </w:tcPr>
          <w:p w14:paraId="392C460D" w14:textId="77777777" w:rsidR="00980E5F" w:rsidRDefault="00980E5F">
            <w:pPr>
              <w:rPr>
                <w:rFonts w:ascii="宋体"/>
                <w:vanish/>
              </w:rPr>
            </w:pPr>
          </w:p>
        </w:tc>
        <w:tc>
          <w:tcPr>
            <w:tcW w:w="0" w:type="auto"/>
            <w:gridSpan w:val="3"/>
            <w:shd w:val="clear" w:color="auto" w:fill="auto"/>
            <w:vAlign w:val="bottom"/>
          </w:tcPr>
          <w:p w14:paraId="392C460E" w14:textId="77777777" w:rsidR="00980E5F" w:rsidRDefault="00980E5F">
            <w:pPr>
              <w:rPr>
                <w:rFonts w:ascii="宋体"/>
                <w:vanish/>
              </w:rPr>
            </w:pPr>
          </w:p>
        </w:tc>
        <w:tc>
          <w:tcPr>
            <w:tcW w:w="0" w:type="auto"/>
            <w:gridSpan w:val="3"/>
            <w:shd w:val="clear" w:color="auto" w:fill="auto"/>
            <w:vAlign w:val="bottom"/>
          </w:tcPr>
          <w:p w14:paraId="392C460F" w14:textId="77777777" w:rsidR="00980E5F" w:rsidRDefault="00980E5F">
            <w:pPr>
              <w:rPr>
                <w:rFonts w:ascii="宋体"/>
                <w:vanish/>
              </w:rPr>
            </w:pPr>
          </w:p>
        </w:tc>
        <w:tc>
          <w:tcPr>
            <w:tcW w:w="0" w:type="auto"/>
            <w:gridSpan w:val="3"/>
            <w:shd w:val="clear" w:color="auto" w:fill="auto"/>
            <w:vAlign w:val="bottom"/>
          </w:tcPr>
          <w:p w14:paraId="392C4610" w14:textId="77777777" w:rsidR="00980E5F" w:rsidRDefault="00980E5F">
            <w:pPr>
              <w:rPr>
                <w:rFonts w:ascii="宋体"/>
                <w:vanish/>
              </w:rPr>
            </w:pPr>
          </w:p>
        </w:tc>
        <w:tc>
          <w:tcPr>
            <w:tcW w:w="0" w:type="auto"/>
            <w:gridSpan w:val="3"/>
            <w:shd w:val="clear" w:color="auto" w:fill="auto"/>
            <w:vAlign w:val="bottom"/>
          </w:tcPr>
          <w:p w14:paraId="392C4611" w14:textId="77777777" w:rsidR="00980E5F" w:rsidRDefault="00980E5F">
            <w:pPr>
              <w:rPr>
                <w:rFonts w:ascii="宋体"/>
                <w:vanish/>
              </w:rPr>
            </w:pPr>
          </w:p>
        </w:tc>
        <w:tc>
          <w:tcPr>
            <w:tcW w:w="0" w:type="auto"/>
            <w:gridSpan w:val="3"/>
            <w:shd w:val="clear" w:color="auto" w:fill="auto"/>
            <w:vAlign w:val="bottom"/>
          </w:tcPr>
          <w:p w14:paraId="392C4612" w14:textId="77777777" w:rsidR="00980E5F" w:rsidRDefault="00980E5F">
            <w:pPr>
              <w:rPr>
                <w:rFonts w:ascii="宋体"/>
                <w:vanish/>
              </w:rPr>
            </w:pPr>
          </w:p>
        </w:tc>
        <w:tc>
          <w:tcPr>
            <w:tcW w:w="0" w:type="auto"/>
            <w:gridSpan w:val="3"/>
            <w:shd w:val="clear" w:color="auto" w:fill="auto"/>
            <w:vAlign w:val="bottom"/>
          </w:tcPr>
          <w:p w14:paraId="392C4613" w14:textId="77777777" w:rsidR="00980E5F" w:rsidRDefault="00980E5F">
            <w:pPr>
              <w:rPr>
                <w:rFonts w:ascii="宋体"/>
                <w:vanish/>
              </w:rPr>
            </w:pPr>
          </w:p>
        </w:tc>
        <w:tc>
          <w:tcPr>
            <w:tcW w:w="0" w:type="auto"/>
            <w:gridSpan w:val="3"/>
            <w:shd w:val="clear" w:color="auto" w:fill="auto"/>
            <w:vAlign w:val="bottom"/>
          </w:tcPr>
          <w:p w14:paraId="392C4614" w14:textId="77777777" w:rsidR="00980E5F" w:rsidRDefault="00980E5F">
            <w:pPr>
              <w:rPr>
                <w:rFonts w:ascii="宋体"/>
                <w:vanish/>
              </w:rPr>
            </w:pPr>
          </w:p>
        </w:tc>
        <w:tc>
          <w:tcPr>
            <w:tcW w:w="0" w:type="auto"/>
            <w:gridSpan w:val="3"/>
            <w:shd w:val="clear" w:color="auto" w:fill="auto"/>
            <w:vAlign w:val="bottom"/>
          </w:tcPr>
          <w:p w14:paraId="392C4615" w14:textId="77777777" w:rsidR="00980E5F" w:rsidRDefault="00980E5F">
            <w:pPr>
              <w:rPr>
                <w:rFonts w:ascii="宋体"/>
                <w:vanish/>
              </w:rPr>
            </w:pPr>
          </w:p>
        </w:tc>
        <w:tc>
          <w:tcPr>
            <w:tcW w:w="0" w:type="auto"/>
            <w:gridSpan w:val="3"/>
            <w:shd w:val="clear" w:color="auto" w:fill="auto"/>
            <w:vAlign w:val="bottom"/>
          </w:tcPr>
          <w:p w14:paraId="392C4616" w14:textId="77777777" w:rsidR="00980E5F" w:rsidRDefault="00980E5F">
            <w:pPr>
              <w:rPr>
                <w:rFonts w:ascii="宋体"/>
                <w:vanish/>
              </w:rPr>
            </w:pPr>
          </w:p>
        </w:tc>
      </w:tr>
      <w:tr w:rsidR="00980E5F" w14:paraId="392C4627" w14:textId="77777777">
        <w:tc>
          <w:tcPr>
            <w:tcW w:w="0" w:type="auto"/>
            <w:gridSpan w:val="3"/>
            <w:shd w:val="clear" w:color="auto" w:fill="CCEEFF"/>
            <w:tcMar>
              <w:top w:w="40" w:type="dxa"/>
              <w:left w:w="740" w:type="dxa"/>
              <w:bottom w:w="40" w:type="dxa"/>
              <w:right w:w="20" w:type="dxa"/>
            </w:tcMar>
            <w:vAlign w:val="bottom"/>
          </w:tcPr>
          <w:p w14:paraId="392C4618" w14:textId="77777777" w:rsidR="00980E5F" w:rsidRDefault="00483613">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619" w14:textId="77777777" w:rsidR="00980E5F" w:rsidRDefault="00483613">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1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1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61C" w14:textId="77777777" w:rsidR="00980E5F" w:rsidRDefault="00483613">
            <w:pPr>
              <w:jc w:val="right"/>
              <w:textAlignment w:val="bottom"/>
            </w:pPr>
            <w:r>
              <w:rPr>
                <w:rFonts w:ascii="Arial" w:eastAsia="宋体" w:hAnsi="Arial" w:cs="Arial"/>
                <w:color w:val="000000"/>
                <w:sz w:val="14"/>
                <w:szCs w:val="14"/>
              </w:rPr>
              <w:t>15,183 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1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61F"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2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622" w14:textId="77777777" w:rsidR="00980E5F" w:rsidRDefault="00483613">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2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4625" w14:textId="77777777" w:rsidR="00980E5F" w:rsidRDefault="00483613">
            <w:pPr>
              <w:jc w:val="right"/>
              <w:textAlignment w:val="bottom"/>
            </w:pPr>
            <w:r>
              <w:rPr>
                <w:rFonts w:ascii="Arial" w:eastAsia="宋体" w:hAnsi="Arial" w:cs="Arial"/>
                <w:color w:val="000000"/>
                <w:sz w:val="14"/>
                <w:szCs w:val="14"/>
              </w:rPr>
              <w:t>4,108 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26" w14:textId="77777777" w:rsidR="00980E5F" w:rsidRDefault="00980E5F">
            <w:pPr>
              <w:jc w:val="right"/>
              <w:rPr>
                <w:rFonts w:ascii="宋体"/>
              </w:rPr>
            </w:pPr>
          </w:p>
        </w:tc>
      </w:tr>
      <w:tr w:rsidR="00980E5F" w14:paraId="392C4637" w14:textId="77777777">
        <w:tc>
          <w:tcPr>
            <w:tcW w:w="0" w:type="auto"/>
            <w:gridSpan w:val="3"/>
            <w:shd w:val="clear" w:color="auto" w:fill="FFFFFF"/>
            <w:tcMar>
              <w:top w:w="40" w:type="dxa"/>
              <w:left w:w="245" w:type="dxa"/>
              <w:bottom w:w="40" w:type="dxa"/>
              <w:right w:w="20" w:type="dxa"/>
            </w:tcMar>
            <w:vAlign w:val="bottom"/>
          </w:tcPr>
          <w:p w14:paraId="392C4628"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462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2C" w14:textId="77777777" w:rsidR="00980E5F" w:rsidRDefault="00483613">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392C462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2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2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3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3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3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3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35" w14:textId="77777777" w:rsidR="00980E5F" w:rsidRDefault="00483613">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392C4636" w14:textId="77777777" w:rsidR="00980E5F" w:rsidRDefault="00980E5F">
            <w:pPr>
              <w:jc w:val="right"/>
              <w:rPr>
                <w:rFonts w:ascii="宋体"/>
              </w:rPr>
            </w:pPr>
          </w:p>
        </w:tc>
      </w:tr>
      <w:tr w:rsidR="00980E5F" w14:paraId="392C464C" w14:textId="77777777">
        <w:tc>
          <w:tcPr>
            <w:tcW w:w="0" w:type="auto"/>
            <w:gridSpan w:val="3"/>
            <w:shd w:val="clear" w:color="auto" w:fill="CCEEFF"/>
            <w:tcMar>
              <w:top w:w="40" w:type="dxa"/>
              <w:left w:w="245" w:type="dxa"/>
              <w:bottom w:w="40" w:type="dxa"/>
              <w:right w:w="20" w:type="dxa"/>
            </w:tcMar>
            <w:vAlign w:val="bottom"/>
          </w:tcPr>
          <w:p w14:paraId="392C4638" w14:textId="77777777" w:rsidR="00980E5F" w:rsidRDefault="00483613">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463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63A" w14:textId="77777777" w:rsidR="00980E5F" w:rsidRDefault="00483613">
            <w:pPr>
              <w:jc w:val="right"/>
              <w:textAlignment w:val="bottom"/>
            </w:pPr>
            <w:r>
              <w:rPr>
                <w:rFonts w:ascii="Arial" w:eastAsia="宋体" w:hAnsi="Arial" w:cs="Arial"/>
                <w:color w:val="000000"/>
                <w:sz w:val="14"/>
                <w:szCs w:val="14"/>
              </w:rPr>
              <w:t>17,982 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3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63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63E" w14:textId="77777777" w:rsidR="00980E5F" w:rsidRDefault="00483613">
            <w:pPr>
              <w:jc w:val="right"/>
              <w:textAlignment w:val="bottom"/>
            </w:pPr>
            <w:r>
              <w:rPr>
                <w:rFonts w:ascii="Arial" w:eastAsia="宋体" w:hAnsi="Arial" w:cs="Arial"/>
                <w:color w:val="000000"/>
                <w:sz w:val="14"/>
                <w:szCs w:val="14"/>
              </w:rPr>
              <w:t>72,029 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4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64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642"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4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64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646" w14:textId="77777777" w:rsidR="00980E5F" w:rsidRDefault="00483613">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4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464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464A" w14:textId="77777777" w:rsidR="00980E5F" w:rsidRDefault="00483613">
            <w:pPr>
              <w:jc w:val="right"/>
              <w:textAlignment w:val="bottom"/>
            </w:pPr>
            <w:r>
              <w:rPr>
                <w:rFonts w:ascii="Arial" w:eastAsia="宋体" w:hAnsi="Arial" w:cs="Arial"/>
                <w:color w:val="000000"/>
                <w:sz w:val="14"/>
                <w:szCs w:val="14"/>
              </w:rPr>
              <w:t>78,932 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464B" w14:textId="77777777" w:rsidR="00980E5F" w:rsidRDefault="00980E5F">
            <w:pPr>
              <w:jc w:val="right"/>
              <w:rPr>
                <w:rFonts w:ascii="宋体"/>
              </w:rPr>
            </w:pPr>
          </w:p>
        </w:tc>
      </w:tr>
      <w:tr w:rsidR="00980E5F" w14:paraId="392C4657" w14:textId="77777777">
        <w:tc>
          <w:tcPr>
            <w:tcW w:w="0" w:type="auto"/>
            <w:gridSpan w:val="3"/>
            <w:shd w:val="clear" w:color="auto" w:fill="FFFFFF"/>
            <w:tcMar>
              <w:top w:w="40" w:type="dxa"/>
              <w:left w:w="20" w:type="dxa"/>
              <w:bottom w:w="40" w:type="dxa"/>
              <w:right w:w="20" w:type="dxa"/>
            </w:tcMar>
            <w:vAlign w:val="bottom"/>
          </w:tcPr>
          <w:p w14:paraId="392C464D" w14:textId="77777777" w:rsidR="00980E5F" w:rsidRDefault="00483613">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64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4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65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5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65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5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65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55"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4656" w14:textId="77777777" w:rsidR="00980E5F" w:rsidRDefault="00980E5F">
            <w:pPr>
              <w:rPr>
                <w:rFonts w:ascii="宋体"/>
              </w:rPr>
            </w:pPr>
          </w:p>
        </w:tc>
      </w:tr>
      <w:tr w:rsidR="00980E5F" w14:paraId="392C4662" w14:textId="77777777">
        <w:tc>
          <w:tcPr>
            <w:tcW w:w="0" w:type="auto"/>
            <w:gridSpan w:val="3"/>
            <w:shd w:val="clear" w:color="auto" w:fill="CCEEFF"/>
            <w:tcMar>
              <w:top w:w="40" w:type="dxa"/>
              <w:left w:w="20" w:type="dxa"/>
              <w:bottom w:w="40" w:type="dxa"/>
              <w:right w:w="20" w:type="dxa"/>
            </w:tcMar>
            <w:vAlign w:val="bottom"/>
          </w:tcPr>
          <w:p w14:paraId="392C4658" w14:textId="77777777" w:rsidR="00980E5F" w:rsidRDefault="00483613">
            <w:pPr>
              <w:textAlignment w:val="bottom"/>
            </w:pPr>
            <w:r>
              <w:rPr>
                <w:rFonts w:ascii="Arial" w:eastAsia="宋体" w:hAnsi="Arial" w:cs="Arial"/>
                <w:color w:val="000000"/>
                <w:sz w:val="15"/>
                <w:szCs w:val="15"/>
              </w:rPr>
              <w:t xml:space="preserve">Accrued expenses and </w:t>
            </w:r>
            <w:r>
              <w:rPr>
                <w:rFonts w:ascii="Arial" w:eastAsia="宋体" w:hAnsi="Arial" w:cs="Arial"/>
                <w:color w:val="000000"/>
                <w:sz w:val="15"/>
                <w:szCs w:val="15"/>
              </w:rPr>
              <w:t>other liabilities:</w:t>
            </w:r>
          </w:p>
        </w:tc>
        <w:tc>
          <w:tcPr>
            <w:tcW w:w="0" w:type="auto"/>
            <w:gridSpan w:val="3"/>
            <w:shd w:val="clear" w:color="auto" w:fill="CCEEFF"/>
            <w:tcMar>
              <w:top w:w="0" w:type="dxa"/>
              <w:left w:w="20" w:type="dxa"/>
              <w:bottom w:w="0" w:type="dxa"/>
              <w:right w:w="20" w:type="dxa"/>
            </w:tcMar>
            <w:vAlign w:val="bottom"/>
          </w:tcPr>
          <w:p w14:paraId="392C465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5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6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61" w14:textId="77777777" w:rsidR="00980E5F" w:rsidRDefault="00980E5F">
            <w:pPr>
              <w:rPr>
                <w:rFonts w:ascii="宋体"/>
              </w:rPr>
            </w:pPr>
          </w:p>
        </w:tc>
      </w:tr>
      <w:tr w:rsidR="00980E5F" w14:paraId="392C466D" w14:textId="77777777">
        <w:tc>
          <w:tcPr>
            <w:tcW w:w="0" w:type="auto"/>
            <w:gridSpan w:val="3"/>
            <w:shd w:val="clear" w:color="auto" w:fill="FFFFFF"/>
            <w:tcMar>
              <w:top w:w="40" w:type="dxa"/>
              <w:left w:w="245" w:type="dxa"/>
              <w:bottom w:w="40" w:type="dxa"/>
              <w:right w:w="20" w:type="dxa"/>
            </w:tcMar>
            <w:vAlign w:val="bottom"/>
          </w:tcPr>
          <w:p w14:paraId="392C4663" w14:textId="77777777" w:rsidR="00980E5F" w:rsidRDefault="00483613">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392C466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66C" w14:textId="77777777" w:rsidR="00980E5F" w:rsidRDefault="00980E5F">
            <w:pPr>
              <w:rPr>
                <w:rFonts w:ascii="宋体"/>
              </w:rPr>
            </w:pPr>
          </w:p>
        </w:tc>
      </w:tr>
      <w:tr w:rsidR="00980E5F" w14:paraId="392C4678" w14:textId="77777777">
        <w:trPr>
          <w:hidden/>
        </w:trPr>
        <w:tc>
          <w:tcPr>
            <w:tcW w:w="0" w:type="auto"/>
            <w:gridSpan w:val="3"/>
            <w:shd w:val="clear" w:color="auto" w:fill="auto"/>
            <w:vAlign w:val="bottom"/>
          </w:tcPr>
          <w:p w14:paraId="392C466E" w14:textId="77777777" w:rsidR="00980E5F" w:rsidRDefault="00980E5F">
            <w:pPr>
              <w:rPr>
                <w:rFonts w:ascii="宋体"/>
                <w:vanish/>
              </w:rPr>
            </w:pPr>
          </w:p>
        </w:tc>
        <w:tc>
          <w:tcPr>
            <w:tcW w:w="0" w:type="auto"/>
            <w:gridSpan w:val="3"/>
            <w:shd w:val="clear" w:color="auto" w:fill="auto"/>
            <w:vAlign w:val="bottom"/>
          </w:tcPr>
          <w:p w14:paraId="392C466F" w14:textId="77777777" w:rsidR="00980E5F" w:rsidRDefault="00980E5F">
            <w:pPr>
              <w:rPr>
                <w:rFonts w:ascii="宋体"/>
                <w:vanish/>
              </w:rPr>
            </w:pPr>
          </w:p>
        </w:tc>
        <w:tc>
          <w:tcPr>
            <w:tcW w:w="0" w:type="auto"/>
            <w:gridSpan w:val="3"/>
            <w:shd w:val="clear" w:color="auto" w:fill="auto"/>
            <w:vAlign w:val="bottom"/>
          </w:tcPr>
          <w:p w14:paraId="392C4670" w14:textId="77777777" w:rsidR="00980E5F" w:rsidRDefault="00980E5F">
            <w:pPr>
              <w:rPr>
                <w:rFonts w:ascii="宋体"/>
                <w:vanish/>
              </w:rPr>
            </w:pPr>
          </w:p>
        </w:tc>
        <w:tc>
          <w:tcPr>
            <w:tcW w:w="0" w:type="auto"/>
            <w:gridSpan w:val="3"/>
            <w:shd w:val="clear" w:color="auto" w:fill="auto"/>
            <w:vAlign w:val="bottom"/>
          </w:tcPr>
          <w:p w14:paraId="392C4671" w14:textId="77777777" w:rsidR="00980E5F" w:rsidRDefault="00980E5F">
            <w:pPr>
              <w:rPr>
                <w:rFonts w:ascii="宋体"/>
                <w:vanish/>
              </w:rPr>
            </w:pPr>
          </w:p>
        </w:tc>
        <w:tc>
          <w:tcPr>
            <w:tcW w:w="0" w:type="auto"/>
            <w:gridSpan w:val="3"/>
            <w:shd w:val="clear" w:color="auto" w:fill="auto"/>
            <w:vAlign w:val="bottom"/>
          </w:tcPr>
          <w:p w14:paraId="392C4672" w14:textId="77777777" w:rsidR="00980E5F" w:rsidRDefault="00980E5F">
            <w:pPr>
              <w:rPr>
                <w:rFonts w:ascii="宋体"/>
                <w:vanish/>
              </w:rPr>
            </w:pPr>
          </w:p>
        </w:tc>
        <w:tc>
          <w:tcPr>
            <w:tcW w:w="0" w:type="auto"/>
            <w:gridSpan w:val="3"/>
            <w:shd w:val="clear" w:color="auto" w:fill="auto"/>
            <w:vAlign w:val="bottom"/>
          </w:tcPr>
          <w:p w14:paraId="392C4673" w14:textId="77777777" w:rsidR="00980E5F" w:rsidRDefault="00980E5F">
            <w:pPr>
              <w:rPr>
                <w:rFonts w:ascii="宋体"/>
                <w:vanish/>
              </w:rPr>
            </w:pPr>
          </w:p>
        </w:tc>
        <w:tc>
          <w:tcPr>
            <w:tcW w:w="0" w:type="auto"/>
            <w:gridSpan w:val="3"/>
            <w:shd w:val="clear" w:color="auto" w:fill="auto"/>
            <w:vAlign w:val="bottom"/>
          </w:tcPr>
          <w:p w14:paraId="392C4674" w14:textId="77777777" w:rsidR="00980E5F" w:rsidRDefault="00980E5F">
            <w:pPr>
              <w:rPr>
                <w:rFonts w:ascii="宋体"/>
                <w:vanish/>
              </w:rPr>
            </w:pPr>
          </w:p>
        </w:tc>
        <w:tc>
          <w:tcPr>
            <w:tcW w:w="0" w:type="auto"/>
            <w:gridSpan w:val="3"/>
            <w:shd w:val="clear" w:color="auto" w:fill="auto"/>
            <w:vAlign w:val="bottom"/>
          </w:tcPr>
          <w:p w14:paraId="392C4675" w14:textId="77777777" w:rsidR="00980E5F" w:rsidRDefault="00980E5F">
            <w:pPr>
              <w:rPr>
                <w:rFonts w:ascii="宋体"/>
                <w:vanish/>
              </w:rPr>
            </w:pPr>
          </w:p>
        </w:tc>
        <w:tc>
          <w:tcPr>
            <w:tcW w:w="0" w:type="auto"/>
            <w:gridSpan w:val="3"/>
            <w:shd w:val="clear" w:color="auto" w:fill="auto"/>
            <w:vAlign w:val="bottom"/>
          </w:tcPr>
          <w:p w14:paraId="392C4676" w14:textId="77777777" w:rsidR="00980E5F" w:rsidRDefault="00980E5F">
            <w:pPr>
              <w:rPr>
                <w:rFonts w:ascii="宋体"/>
                <w:vanish/>
              </w:rPr>
            </w:pPr>
          </w:p>
        </w:tc>
        <w:tc>
          <w:tcPr>
            <w:tcW w:w="0" w:type="auto"/>
            <w:gridSpan w:val="3"/>
            <w:shd w:val="clear" w:color="auto" w:fill="auto"/>
            <w:vAlign w:val="bottom"/>
          </w:tcPr>
          <w:p w14:paraId="392C4677" w14:textId="77777777" w:rsidR="00980E5F" w:rsidRDefault="00980E5F">
            <w:pPr>
              <w:rPr>
                <w:rFonts w:ascii="宋体"/>
                <w:vanish/>
              </w:rPr>
            </w:pPr>
          </w:p>
        </w:tc>
      </w:tr>
      <w:tr w:rsidR="00980E5F" w14:paraId="392C4683" w14:textId="77777777">
        <w:trPr>
          <w:hidden/>
        </w:trPr>
        <w:tc>
          <w:tcPr>
            <w:tcW w:w="0" w:type="auto"/>
            <w:gridSpan w:val="3"/>
            <w:shd w:val="clear" w:color="auto" w:fill="auto"/>
            <w:vAlign w:val="bottom"/>
          </w:tcPr>
          <w:p w14:paraId="392C4679" w14:textId="77777777" w:rsidR="00980E5F" w:rsidRDefault="00980E5F">
            <w:pPr>
              <w:rPr>
                <w:rFonts w:ascii="宋体"/>
                <w:vanish/>
              </w:rPr>
            </w:pPr>
          </w:p>
        </w:tc>
        <w:tc>
          <w:tcPr>
            <w:tcW w:w="0" w:type="auto"/>
            <w:gridSpan w:val="3"/>
            <w:shd w:val="clear" w:color="auto" w:fill="auto"/>
            <w:vAlign w:val="bottom"/>
          </w:tcPr>
          <w:p w14:paraId="392C467A" w14:textId="77777777" w:rsidR="00980E5F" w:rsidRDefault="00980E5F">
            <w:pPr>
              <w:rPr>
                <w:rFonts w:ascii="宋体"/>
                <w:vanish/>
              </w:rPr>
            </w:pPr>
          </w:p>
        </w:tc>
        <w:tc>
          <w:tcPr>
            <w:tcW w:w="0" w:type="auto"/>
            <w:gridSpan w:val="3"/>
            <w:shd w:val="clear" w:color="auto" w:fill="auto"/>
            <w:vAlign w:val="bottom"/>
          </w:tcPr>
          <w:p w14:paraId="392C467B" w14:textId="77777777" w:rsidR="00980E5F" w:rsidRDefault="00980E5F">
            <w:pPr>
              <w:rPr>
                <w:rFonts w:ascii="宋体"/>
                <w:vanish/>
              </w:rPr>
            </w:pPr>
          </w:p>
        </w:tc>
        <w:tc>
          <w:tcPr>
            <w:tcW w:w="0" w:type="auto"/>
            <w:gridSpan w:val="3"/>
            <w:shd w:val="clear" w:color="auto" w:fill="auto"/>
            <w:vAlign w:val="bottom"/>
          </w:tcPr>
          <w:p w14:paraId="392C467C" w14:textId="77777777" w:rsidR="00980E5F" w:rsidRDefault="00980E5F">
            <w:pPr>
              <w:rPr>
                <w:rFonts w:ascii="宋体"/>
                <w:vanish/>
              </w:rPr>
            </w:pPr>
          </w:p>
        </w:tc>
        <w:tc>
          <w:tcPr>
            <w:tcW w:w="0" w:type="auto"/>
            <w:gridSpan w:val="3"/>
            <w:shd w:val="clear" w:color="auto" w:fill="auto"/>
            <w:vAlign w:val="bottom"/>
          </w:tcPr>
          <w:p w14:paraId="392C467D" w14:textId="77777777" w:rsidR="00980E5F" w:rsidRDefault="00980E5F">
            <w:pPr>
              <w:rPr>
                <w:rFonts w:ascii="宋体"/>
                <w:vanish/>
              </w:rPr>
            </w:pPr>
          </w:p>
        </w:tc>
        <w:tc>
          <w:tcPr>
            <w:tcW w:w="0" w:type="auto"/>
            <w:gridSpan w:val="3"/>
            <w:shd w:val="clear" w:color="auto" w:fill="auto"/>
            <w:vAlign w:val="bottom"/>
          </w:tcPr>
          <w:p w14:paraId="392C467E" w14:textId="77777777" w:rsidR="00980E5F" w:rsidRDefault="00980E5F">
            <w:pPr>
              <w:rPr>
                <w:rFonts w:ascii="宋体"/>
                <w:vanish/>
              </w:rPr>
            </w:pPr>
          </w:p>
        </w:tc>
        <w:tc>
          <w:tcPr>
            <w:tcW w:w="0" w:type="auto"/>
            <w:gridSpan w:val="3"/>
            <w:shd w:val="clear" w:color="auto" w:fill="auto"/>
            <w:vAlign w:val="bottom"/>
          </w:tcPr>
          <w:p w14:paraId="392C467F" w14:textId="77777777" w:rsidR="00980E5F" w:rsidRDefault="00980E5F">
            <w:pPr>
              <w:rPr>
                <w:rFonts w:ascii="宋体"/>
                <w:vanish/>
              </w:rPr>
            </w:pPr>
          </w:p>
        </w:tc>
        <w:tc>
          <w:tcPr>
            <w:tcW w:w="0" w:type="auto"/>
            <w:gridSpan w:val="3"/>
            <w:shd w:val="clear" w:color="auto" w:fill="auto"/>
            <w:vAlign w:val="bottom"/>
          </w:tcPr>
          <w:p w14:paraId="392C4680" w14:textId="77777777" w:rsidR="00980E5F" w:rsidRDefault="00980E5F">
            <w:pPr>
              <w:rPr>
                <w:rFonts w:ascii="宋体"/>
                <w:vanish/>
              </w:rPr>
            </w:pPr>
          </w:p>
        </w:tc>
        <w:tc>
          <w:tcPr>
            <w:tcW w:w="0" w:type="auto"/>
            <w:gridSpan w:val="3"/>
            <w:shd w:val="clear" w:color="auto" w:fill="auto"/>
            <w:vAlign w:val="bottom"/>
          </w:tcPr>
          <w:p w14:paraId="392C4681" w14:textId="77777777" w:rsidR="00980E5F" w:rsidRDefault="00980E5F">
            <w:pPr>
              <w:rPr>
                <w:rFonts w:ascii="宋体"/>
                <w:vanish/>
              </w:rPr>
            </w:pPr>
          </w:p>
        </w:tc>
        <w:tc>
          <w:tcPr>
            <w:tcW w:w="0" w:type="auto"/>
            <w:gridSpan w:val="3"/>
            <w:shd w:val="clear" w:color="auto" w:fill="auto"/>
            <w:vAlign w:val="bottom"/>
          </w:tcPr>
          <w:p w14:paraId="392C4682" w14:textId="77777777" w:rsidR="00980E5F" w:rsidRDefault="00980E5F">
            <w:pPr>
              <w:rPr>
                <w:rFonts w:ascii="宋体"/>
                <w:vanish/>
              </w:rPr>
            </w:pPr>
          </w:p>
        </w:tc>
      </w:tr>
      <w:tr w:rsidR="00980E5F" w14:paraId="392C468E" w14:textId="77777777">
        <w:trPr>
          <w:hidden/>
        </w:trPr>
        <w:tc>
          <w:tcPr>
            <w:tcW w:w="0" w:type="auto"/>
            <w:gridSpan w:val="3"/>
            <w:shd w:val="clear" w:color="auto" w:fill="auto"/>
            <w:vAlign w:val="bottom"/>
          </w:tcPr>
          <w:p w14:paraId="392C4684" w14:textId="77777777" w:rsidR="00980E5F" w:rsidRDefault="00980E5F">
            <w:pPr>
              <w:rPr>
                <w:rFonts w:ascii="宋体"/>
                <w:vanish/>
              </w:rPr>
            </w:pPr>
          </w:p>
        </w:tc>
        <w:tc>
          <w:tcPr>
            <w:tcW w:w="0" w:type="auto"/>
            <w:gridSpan w:val="3"/>
            <w:shd w:val="clear" w:color="auto" w:fill="auto"/>
            <w:vAlign w:val="bottom"/>
          </w:tcPr>
          <w:p w14:paraId="392C4685" w14:textId="77777777" w:rsidR="00980E5F" w:rsidRDefault="00980E5F">
            <w:pPr>
              <w:rPr>
                <w:rFonts w:ascii="宋体"/>
                <w:vanish/>
              </w:rPr>
            </w:pPr>
          </w:p>
        </w:tc>
        <w:tc>
          <w:tcPr>
            <w:tcW w:w="0" w:type="auto"/>
            <w:gridSpan w:val="3"/>
            <w:shd w:val="clear" w:color="auto" w:fill="auto"/>
            <w:vAlign w:val="bottom"/>
          </w:tcPr>
          <w:p w14:paraId="392C4686" w14:textId="77777777" w:rsidR="00980E5F" w:rsidRDefault="00980E5F">
            <w:pPr>
              <w:rPr>
                <w:rFonts w:ascii="宋体"/>
                <w:vanish/>
              </w:rPr>
            </w:pPr>
          </w:p>
        </w:tc>
        <w:tc>
          <w:tcPr>
            <w:tcW w:w="0" w:type="auto"/>
            <w:gridSpan w:val="3"/>
            <w:shd w:val="clear" w:color="auto" w:fill="auto"/>
            <w:vAlign w:val="bottom"/>
          </w:tcPr>
          <w:p w14:paraId="392C4687" w14:textId="77777777" w:rsidR="00980E5F" w:rsidRDefault="00980E5F">
            <w:pPr>
              <w:rPr>
                <w:rFonts w:ascii="宋体"/>
                <w:vanish/>
              </w:rPr>
            </w:pPr>
          </w:p>
        </w:tc>
        <w:tc>
          <w:tcPr>
            <w:tcW w:w="0" w:type="auto"/>
            <w:gridSpan w:val="3"/>
            <w:shd w:val="clear" w:color="auto" w:fill="auto"/>
            <w:vAlign w:val="bottom"/>
          </w:tcPr>
          <w:p w14:paraId="392C4688" w14:textId="77777777" w:rsidR="00980E5F" w:rsidRDefault="00980E5F">
            <w:pPr>
              <w:rPr>
                <w:rFonts w:ascii="宋体"/>
                <w:vanish/>
              </w:rPr>
            </w:pPr>
          </w:p>
        </w:tc>
        <w:tc>
          <w:tcPr>
            <w:tcW w:w="0" w:type="auto"/>
            <w:gridSpan w:val="3"/>
            <w:shd w:val="clear" w:color="auto" w:fill="auto"/>
            <w:vAlign w:val="bottom"/>
          </w:tcPr>
          <w:p w14:paraId="392C4689" w14:textId="77777777" w:rsidR="00980E5F" w:rsidRDefault="00980E5F">
            <w:pPr>
              <w:rPr>
                <w:rFonts w:ascii="宋体"/>
                <w:vanish/>
              </w:rPr>
            </w:pPr>
          </w:p>
        </w:tc>
        <w:tc>
          <w:tcPr>
            <w:tcW w:w="0" w:type="auto"/>
            <w:gridSpan w:val="3"/>
            <w:shd w:val="clear" w:color="auto" w:fill="auto"/>
            <w:vAlign w:val="bottom"/>
          </w:tcPr>
          <w:p w14:paraId="392C468A" w14:textId="77777777" w:rsidR="00980E5F" w:rsidRDefault="00980E5F">
            <w:pPr>
              <w:rPr>
                <w:rFonts w:ascii="宋体"/>
                <w:vanish/>
              </w:rPr>
            </w:pPr>
          </w:p>
        </w:tc>
        <w:tc>
          <w:tcPr>
            <w:tcW w:w="0" w:type="auto"/>
            <w:gridSpan w:val="3"/>
            <w:shd w:val="clear" w:color="auto" w:fill="auto"/>
            <w:vAlign w:val="bottom"/>
          </w:tcPr>
          <w:p w14:paraId="392C468B" w14:textId="77777777" w:rsidR="00980E5F" w:rsidRDefault="00980E5F">
            <w:pPr>
              <w:rPr>
                <w:rFonts w:ascii="宋体"/>
                <w:vanish/>
              </w:rPr>
            </w:pPr>
          </w:p>
        </w:tc>
        <w:tc>
          <w:tcPr>
            <w:tcW w:w="0" w:type="auto"/>
            <w:gridSpan w:val="3"/>
            <w:shd w:val="clear" w:color="auto" w:fill="auto"/>
            <w:vAlign w:val="bottom"/>
          </w:tcPr>
          <w:p w14:paraId="392C468C" w14:textId="77777777" w:rsidR="00980E5F" w:rsidRDefault="00980E5F">
            <w:pPr>
              <w:rPr>
                <w:rFonts w:ascii="宋体"/>
                <w:vanish/>
              </w:rPr>
            </w:pPr>
          </w:p>
        </w:tc>
        <w:tc>
          <w:tcPr>
            <w:tcW w:w="0" w:type="auto"/>
            <w:gridSpan w:val="3"/>
            <w:shd w:val="clear" w:color="auto" w:fill="auto"/>
            <w:vAlign w:val="bottom"/>
          </w:tcPr>
          <w:p w14:paraId="392C468D" w14:textId="77777777" w:rsidR="00980E5F" w:rsidRDefault="00980E5F">
            <w:pPr>
              <w:rPr>
                <w:rFonts w:ascii="宋体"/>
                <w:vanish/>
              </w:rPr>
            </w:pPr>
          </w:p>
        </w:tc>
      </w:tr>
      <w:tr w:rsidR="00980E5F" w14:paraId="392C4699" w14:textId="77777777">
        <w:tc>
          <w:tcPr>
            <w:tcW w:w="0" w:type="auto"/>
            <w:gridSpan w:val="3"/>
            <w:shd w:val="clear" w:color="auto" w:fill="CCEEFF"/>
            <w:tcMar>
              <w:top w:w="40" w:type="dxa"/>
              <w:left w:w="245" w:type="dxa"/>
              <w:bottom w:w="40" w:type="dxa"/>
              <w:right w:w="20" w:type="dxa"/>
            </w:tcMar>
            <w:vAlign w:val="bottom"/>
          </w:tcPr>
          <w:p w14:paraId="392C468F" w14:textId="77777777" w:rsidR="00980E5F" w:rsidRDefault="00483613">
            <w:pPr>
              <w:textAlignment w:val="bottom"/>
            </w:pPr>
            <w:r>
              <w:rPr>
                <w:rFonts w:ascii="Arial" w:eastAsia="宋体" w:hAnsi="Arial" w:cs="Arial"/>
                <w:color w:val="000000"/>
                <w:sz w:val="15"/>
                <w:szCs w:val="15"/>
              </w:rPr>
              <w:t>Derivative instruments:</w:t>
            </w:r>
          </w:p>
        </w:tc>
        <w:tc>
          <w:tcPr>
            <w:tcW w:w="0" w:type="auto"/>
            <w:gridSpan w:val="3"/>
            <w:shd w:val="clear" w:color="auto" w:fill="CCEEFF"/>
            <w:tcMar>
              <w:top w:w="0" w:type="dxa"/>
              <w:left w:w="20" w:type="dxa"/>
              <w:bottom w:w="0" w:type="dxa"/>
              <w:right w:w="20" w:type="dxa"/>
            </w:tcMar>
            <w:vAlign w:val="bottom"/>
          </w:tcPr>
          <w:p w14:paraId="392C469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698" w14:textId="77777777" w:rsidR="00980E5F" w:rsidRDefault="00980E5F">
            <w:pPr>
              <w:rPr>
                <w:rFonts w:ascii="宋体"/>
              </w:rPr>
            </w:pPr>
          </w:p>
        </w:tc>
      </w:tr>
      <w:tr w:rsidR="00980E5F" w14:paraId="392C46A9" w14:textId="77777777">
        <w:tc>
          <w:tcPr>
            <w:tcW w:w="0" w:type="auto"/>
            <w:gridSpan w:val="3"/>
            <w:shd w:val="clear" w:color="auto" w:fill="FFFFFF"/>
            <w:tcMar>
              <w:top w:w="40" w:type="dxa"/>
              <w:left w:w="515" w:type="dxa"/>
              <w:bottom w:w="40" w:type="dxa"/>
              <w:right w:w="20" w:type="dxa"/>
            </w:tcMar>
            <w:vAlign w:val="bottom"/>
          </w:tcPr>
          <w:p w14:paraId="392C469A" w14:textId="77777777" w:rsidR="00980E5F" w:rsidRDefault="00483613">
            <w:pPr>
              <w:textAlignment w:val="bottom"/>
            </w:pPr>
            <w:r>
              <w:rPr>
                <w:rFonts w:ascii="Arial" w:eastAsia="宋体" w:hAnsi="Arial" w:cs="Arial"/>
                <w:color w:val="000000"/>
                <w:sz w:val="15"/>
                <w:szCs w:val="15"/>
              </w:rPr>
              <w:t>Foreign exchange contracts</w:t>
            </w:r>
          </w:p>
        </w:tc>
        <w:tc>
          <w:tcPr>
            <w:tcW w:w="0" w:type="auto"/>
            <w:gridSpan w:val="2"/>
            <w:shd w:val="clear" w:color="auto" w:fill="FFFFFF"/>
            <w:tcMar>
              <w:top w:w="40" w:type="dxa"/>
              <w:left w:w="20" w:type="dxa"/>
              <w:bottom w:w="40" w:type="dxa"/>
              <w:right w:w="0" w:type="dxa"/>
            </w:tcMar>
            <w:vAlign w:val="bottom"/>
          </w:tcPr>
          <w:p w14:paraId="392C469B"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92C46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9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9E" w14:textId="77777777" w:rsidR="00980E5F" w:rsidRDefault="00483613">
            <w:pPr>
              <w:jc w:val="right"/>
              <w:textAlignment w:val="bottom"/>
            </w:pPr>
            <w:r>
              <w:rPr>
                <w:rFonts w:ascii="Arial" w:eastAsia="宋体" w:hAnsi="Arial" w:cs="Arial"/>
                <w:color w:val="000000"/>
                <w:sz w:val="14"/>
                <w:szCs w:val="14"/>
              </w:rPr>
              <w:t>15,824 </w:t>
            </w:r>
          </w:p>
        </w:tc>
        <w:tc>
          <w:tcPr>
            <w:tcW w:w="0" w:type="auto"/>
            <w:shd w:val="clear" w:color="auto" w:fill="FFFFFF"/>
            <w:tcMar>
              <w:top w:w="40" w:type="dxa"/>
              <w:left w:w="0" w:type="dxa"/>
              <w:bottom w:w="40" w:type="dxa"/>
              <w:right w:w="20" w:type="dxa"/>
            </w:tcMar>
            <w:vAlign w:val="bottom"/>
          </w:tcPr>
          <w:p w14:paraId="392C469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A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A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46A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A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A4" w14:textId="77777777" w:rsidR="00980E5F" w:rsidRDefault="00483613">
            <w:pPr>
              <w:jc w:val="right"/>
              <w:textAlignment w:val="bottom"/>
            </w:pPr>
            <w:r>
              <w:rPr>
                <w:rFonts w:ascii="Arial" w:eastAsia="宋体" w:hAnsi="Arial" w:cs="Arial"/>
                <w:color w:val="000000"/>
                <w:sz w:val="14"/>
                <w:szCs w:val="14"/>
              </w:rPr>
              <w:t>(10,395)</w:t>
            </w:r>
          </w:p>
        </w:tc>
        <w:tc>
          <w:tcPr>
            <w:tcW w:w="0" w:type="auto"/>
            <w:shd w:val="clear" w:color="auto" w:fill="FFFFFF"/>
            <w:tcMar>
              <w:top w:w="40" w:type="dxa"/>
              <w:left w:w="0" w:type="dxa"/>
              <w:bottom w:w="40" w:type="dxa"/>
              <w:right w:w="20" w:type="dxa"/>
            </w:tcMar>
            <w:vAlign w:val="bottom"/>
          </w:tcPr>
          <w:p w14:paraId="392C46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46A7" w14:textId="77777777" w:rsidR="00980E5F" w:rsidRDefault="00483613">
            <w:pPr>
              <w:jc w:val="right"/>
              <w:textAlignment w:val="bottom"/>
            </w:pPr>
            <w:r>
              <w:rPr>
                <w:rFonts w:ascii="Arial" w:eastAsia="宋体" w:hAnsi="Arial" w:cs="Arial"/>
                <w:color w:val="000000"/>
                <w:sz w:val="14"/>
                <w:szCs w:val="14"/>
              </w:rPr>
              <w:t>5,430 </w:t>
            </w:r>
          </w:p>
        </w:tc>
        <w:tc>
          <w:tcPr>
            <w:tcW w:w="0" w:type="auto"/>
            <w:shd w:val="clear" w:color="auto" w:fill="FFFFFF"/>
            <w:tcMar>
              <w:top w:w="40" w:type="dxa"/>
              <w:left w:w="0" w:type="dxa"/>
              <w:bottom w:w="40" w:type="dxa"/>
              <w:right w:w="20" w:type="dxa"/>
            </w:tcMar>
            <w:vAlign w:val="bottom"/>
          </w:tcPr>
          <w:p w14:paraId="392C46A8" w14:textId="77777777" w:rsidR="00980E5F" w:rsidRDefault="00980E5F">
            <w:pPr>
              <w:jc w:val="right"/>
              <w:rPr>
                <w:rFonts w:ascii="宋体"/>
              </w:rPr>
            </w:pPr>
          </w:p>
        </w:tc>
      </w:tr>
      <w:tr w:rsidR="00980E5F" w14:paraId="392C46B4" w14:textId="77777777">
        <w:trPr>
          <w:hidden/>
        </w:trPr>
        <w:tc>
          <w:tcPr>
            <w:tcW w:w="0" w:type="auto"/>
            <w:gridSpan w:val="3"/>
            <w:shd w:val="clear" w:color="auto" w:fill="auto"/>
            <w:vAlign w:val="bottom"/>
          </w:tcPr>
          <w:p w14:paraId="392C46AA" w14:textId="77777777" w:rsidR="00980E5F" w:rsidRDefault="00980E5F">
            <w:pPr>
              <w:rPr>
                <w:rFonts w:ascii="宋体"/>
                <w:vanish/>
              </w:rPr>
            </w:pPr>
          </w:p>
        </w:tc>
        <w:tc>
          <w:tcPr>
            <w:tcW w:w="0" w:type="auto"/>
            <w:gridSpan w:val="3"/>
            <w:shd w:val="clear" w:color="auto" w:fill="auto"/>
            <w:vAlign w:val="bottom"/>
          </w:tcPr>
          <w:p w14:paraId="392C46AB" w14:textId="77777777" w:rsidR="00980E5F" w:rsidRDefault="00980E5F">
            <w:pPr>
              <w:rPr>
                <w:rFonts w:ascii="宋体"/>
                <w:vanish/>
              </w:rPr>
            </w:pPr>
          </w:p>
        </w:tc>
        <w:tc>
          <w:tcPr>
            <w:tcW w:w="0" w:type="auto"/>
            <w:gridSpan w:val="3"/>
            <w:shd w:val="clear" w:color="auto" w:fill="auto"/>
            <w:vAlign w:val="bottom"/>
          </w:tcPr>
          <w:p w14:paraId="392C46AC" w14:textId="77777777" w:rsidR="00980E5F" w:rsidRDefault="00980E5F">
            <w:pPr>
              <w:rPr>
                <w:rFonts w:ascii="宋体"/>
                <w:vanish/>
              </w:rPr>
            </w:pPr>
          </w:p>
        </w:tc>
        <w:tc>
          <w:tcPr>
            <w:tcW w:w="0" w:type="auto"/>
            <w:gridSpan w:val="3"/>
            <w:shd w:val="clear" w:color="auto" w:fill="auto"/>
            <w:vAlign w:val="bottom"/>
          </w:tcPr>
          <w:p w14:paraId="392C46AD" w14:textId="77777777" w:rsidR="00980E5F" w:rsidRDefault="00980E5F">
            <w:pPr>
              <w:rPr>
                <w:rFonts w:ascii="宋体"/>
                <w:vanish/>
              </w:rPr>
            </w:pPr>
          </w:p>
        </w:tc>
        <w:tc>
          <w:tcPr>
            <w:tcW w:w="0" w:type="auto"/>
            <w:gridSpan w:val="3"/>
            <w:shd w:val="clear" w:color="auto" w:fill="auto"/>
            <w:vAlign w:val="bottom"/>
          </w:tcPr>
          <w:p w14:paraId="392C46AE" w14:textId="77777777" w:rsidR="00980E5F" w:rsidRDefault="00980E5F">
            <w:pPr>
              <w:rPr>
                <w:rFonts w:ascii="宋体"/>
                <w:vanish/>
              </w:rPr>
            </w:pPr>
          </w:p>
        </w:tc>
        <w:tc>
          <w:tcPr>
            <w:tcW w:w="0" w:type="auto"/>
            <w:gridSpan w:val="3"/>
            <w:shd w:val="clear" w:color="auto" w:fill="auto"/>
            <w:vAlign w:val="bottom"/>
          </w:tcPr>
          <w:p w14:paraId="392C46AF" w14:textId="77777777" w:rsidR="00980E5F" w:rsidRDefault="00980E5F">
            <w:pPr>
              <w:rPr>
                <w:rFonts w:ascii="宋体"/>
                <w:vanish/>
              </w:rPr>
            </w:pPr>
          </w:p>
        </w:tc>
        <w:tc>
          <w:tcPr>
            <w:tcW w:w="0" w:type="auto"/>
            <w:gridSpan w:val="3"/>
            <w:shd w:val="clear" w:color="auto" w:fill="auto"/>
            <w:vAlign w:val="bottom"/>
          </w:tcPr>
          <w:p w14:paraId="392C46B0" w14:textId="77777777" w:rsidR="00980E5F" w:rsidRDefault="00980E5F">
            <w:pPr>
              <w:rPr>
                <w:rFonts w:ascii="宋体"/>
                <w:vanish/>
              </w:rPr>
            </w:pPr>
          </w:p>
        </w:tc>
        <w:tc>
          <w:tcPr>
            <w:tcW w:w="0" w:type="auto"/>
            <w:gridSpan w:val="3"/>
            <w:shd w:val="clear" w:color="auto" w:fill="auto"/>
            <w:vAlign w:val="bottom"/>
          </w:tcPr>
          <w:p w14:paraId="392C46B1" w14:textId="77777777" w:rsidR="00980E5F" w:rsidRDefault="00980E5F">
            <w:pPr>
              <w:rPr>
                <w:rFonts w:ascii="宋体"/>
                <w:vanish/>
              </w:rPr>
            </w:pPr>
          </w:p>
        </w:tc>
        <w:tc>
          <w:tcPr>
            <w:tcW w:w="0" w:type="auto"/>
            <w:gridSpan w:val="3"/>
            <w:shd w:val="clear" w:color="auto" w:fill="auto"/>
            <w:vAlign w:val="bottom"/>
          </w:tcPr>
          <w:p w14:paraId="392C46B2" w14:textId="77777777" w:rsidR="00980E5F" w:rsidRDefault="00980E5F">
            <w:pPr>
              <w:rPr>
                <w:rFonts w:ascii="宋体"/>
                <w:vanish/>
              </w:rPr>
            </w:pPr>
          </w:p>
        </w:tc>
        <w:tc>
          <w:tcPr>
            <w:tcW w:w="0" w:type="auto"/>
            <w:gridSpan w:val="3"/>
            <w:shd w:val="clear" w:color="auto" w:fill="auto"/>
            <w:vAlign w:val="bottom"/>
          </w:tcPr>
          <w:p w14:paraId="392C46B3" w14:textId="77777777" w:rsidR="00980E5F" w:rsidRDefault="00980E5F">
            <w:pPr>
              <w:rPr>
                <w:rFonts w:ascii="宋体"/>
                <w:vanish/>
              </w:rPr>
            </w:pPr>
          </w:p>
        </w:tc>
      </w:tr>
      <w:tr w:rsidR="00980E5F" w14:paraId="392C46C4" w14:textId="77777777">
        <w:tc>
          <w:tcPr>
            <w:tcW w:w="0" w:type="auto"/>
            <w:gridSpan w:val="3"/>
            <w:shd w:val="clear" w:color="auto" w:fill="CCEEFF"/>
            <w:tcMar>
              <w:top w:w="40" w:type="dxa"/>
              <w:left w:w="515" w:type="dxa"/>
              <w:bottom w:w="40" w:type="dxa"/>
              <w:right w:w="20" w:type="dxa"/>
            </w:tcMar>
            <w:vAlign w:val="bottom"/>
          </w:tcPr>
          <w:p w14:paraId="392C46B5" w14:textId="77777777" w:rsidR="00980E5F" w:rsidRDefault="00483613">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92C46B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6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B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6B9" w14:textId="77777777" w:rsidR="00980E5F" w:rsidRDefault="00483613">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392C46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6B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6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B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6B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46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46C2" w14:textId="77777777" w:rsidR="00980E5F" w:rsidRDefault="00483613">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392C46C3" w14:textId="77777777" w:rsidR="00980E5F" w:rsidRDefault="00980E5F">
            <w:pPr>
              <w:jc w:val="right"/>
              <w:rPr>
                <w:rFonts w:ascii="宋体"/>
              </w:rPr>
            </w:pPr>
          </w:p>
        </w:tc>
      </w:tr>
      <w:tr w:rsidR="00980E5F" w14:paraId="392C46D4" w14:textId="77777777">
        <w:tc>
          <w:tcPr>
            <w:tcW w:w="0" w:type="auto"/>
            <w:gridSpan w:val="3"/>
            <w:shd w:val="clear" w:color="auto" w:fill="FFFFFF"/>
            <w:tcMar>
              <w:top w:w="40" w:type="dxa"/>
              <w:left w:w="740" w:type="dxa"/>
              <w:bottom w:w="40" w:type="dxa"/>
              <w:right w:w="20" w:type="dxa"/>
            </w:tcMar>
            <w:vAlign w:val="bottom"/>
          </w:tcPr>
          <w:p w14:paraId="392C46C5" w14:textId="77777777" w:rsidR="00980E5F" w:rsidRDefault="00483613">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6C6" w14:textId="77777777" w:rsidR="00980E5F" w:rsidRDefault="00483613">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6C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C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6C9" w14:textId="77777777" w:rsidR="00980E5F" w:rsidRDefault="00483613">
            <w:pPr>
              <w:jc w:val="right"/>
              <w:textAlignment w:val="bottom"/>
            </w:pPr>
            <w:r>
              <w:rPr>
                <w:rFonts w:ascii="Arial" w:eastAsia="宋体" w:hAnsi="Arial" w:cs="Arial"/>
                <w:color w:val="000000"/>
                <w:sz w:val="14"/>
                <w:szCs w:val="14"/>
              </w:rPr>
              <w:t>16,125 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6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C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6C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6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C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6CF" w14:textId="77777777" w:rsidR="00980E5F" w:rsidRDefault="00483613">
            <w:pPr>
              <w:jc w:val="right"/>
              <w:textAlignment w:val="bottom"/>
            </w:pPr>
            <w:r>
              <w:rPr>
                <w:rFonts w:ascii="Arial" w:eastAsia="宋体" w:hAnsi="Arial" w:cs="Arial"/>
                <w:color w:val="000000"/>
                <w:sz w:val="14"/>
                <w:szCs w:val="14"/>
              </w:rPr>
              <w:t>(10,395)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6D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6D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46D2" w14:textId="77777777" w:rsidR="00980E5F" w:rsidRDefault="00483613">
            <w:pPr>
              <w:jc w:val="right"/>
              <w:textAlignment w:val="bottom"/>
            </w:pPr>
            <w:r>
              <w:rPr>
                <w:rFonts w:ascii="Arial" w:eastAsia="宋体" w:hAnsi="Arial" w:cs="Arial"/>
                <w:color w:val="000000"/>
                <w:sz w:val="14"/>
                <w:szCs w:val="14"/>
              </w:rPr>
              <w:t>5,731 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46D3" w14:textId="77777777" w:rsidR="00980E5F" w:rsidRDefault="00980E5F">
            <w:pPr>
              <w:jc w:val="right"/>
              <w:rPr>
                <w:rFonts w:ascii="宋体"/>
              </w:rPr>
            </w:pPr>
          </w:p>
        </w:tc>
      </w:tr>
      <w:tr w:rsidR="00980E5F" w14:paraId="392C46DF" w14:textId="77777777">
        <w:trPr>
          <w:hidden/>
        </w:trPr>
        <w:tc>
          <w:tcPr>
            <w:tcW w:w="0" w:type="auto"/>
            <w:gridSpan w:val="3"/>
            <w:shd w:val="clear" w:color="auto" w:fill="auto"/>
            <w:vAlign w:val="bottom"/>
          </w:tcPr>
          <w:p w14:paraId="392C46D5" w14:textId="77777777" w:rsidR="00980E5F" w:rsidRDefault="00980E5F">
            <w:pPr>
              <w:rPr>
                <w:rFonts w:ascii="宋体"/>
                <w:vanish/>
              </w:rPr>
            </w:pPr>
          </w:p>
        </w:tc>
        <w:tc>
          <w:tcPr>
            <w:tcW w:w="0" w:type="auto"/>
            <w:gridSpan w:val="3"/>
            <w:shd w:val="clear" w:color="auto" w:fill="auto"/>
            <w:vAlign w:val="bottom"/>
          </w:tcPr>
          <w:p w14:paraId="392C46D6" w14:textId="77777777" w:rsidR="00980E5F" w:rsidRDefault="00980E5F">
            <w:pPr>
              <w:rPr>
                <w:rFonts w:ascii="宋体"/>
                <w:vanish/>
              </w:rPr>
            </w:pPr>
          </w:p>
        </w:tc>
        <w:tc>
          <w:tcPr>
            <w:tcW w:w="0" w:type="auto"/>
            <w:gridSpan w:val="3"/>
            <w:shd w:val="clear" w:color="auto" w:fill="auto"/>
            <w:vAlign w:val="bottom"/>
          </w:tcPr>
          <w:p w14:paraId="392C46D7" w14:textId="77777777" w:rsidR="00980E5F" w:rsidRDefault="00980E5F">
            <w:pPr>
              <w:rPr>
                <w:rFonts w:ascii="宋体"/>
                <w:vanish/>
              </w:rPr>
            </w:pPr>
          </w:p>
        </w:tc>
        <w:tc>
          <w:tcPr>
            <w:tcW w:w="0" w:type="auto"/>
            <w:gridSpan w:val="3"/>
            <w:shd w:val="clear" w:color="auto" w:fill="auto"/>
            <w:vAlign w:val="bottom"/>
          </w:tcPr>
          <w:p w14:paraId="392C46D8" w14:textId="77777777" w:rsidR="00980E5F" w:rsidRDefault="00980E5F">
            <w:pPr>
              <w:rPr>
                <w:rFonts w:ascii="宋体"/>
                <w:vanish/>
              </w:rPr>
            </w:pPr>
          </w:p>
        </w:tc>
        <w:tc>
          <w:tcPr>
            <w:tcW w:w="0" w:type="auto"/>
            <w:gridSpan w:val="3"/>
            <w:shd w:val="clear" w:color="auto" w:fill="auto"/>
            <w:vAlign w:val="bottom"/>
          </w:tcPr>
          <w:p w14:paraId="392C46D9" w14:textId="77777777" w:rsidR="00980E5F" w:rsidRDefault="00980E5F">
            <w:pPr>
              <w:rPr>
                <w:rFonts w:ascii="宋体"/>
                <w:vanish/>
              </w:rPr>
            </w:pPr>
          </w:p>
        </w:tc>
        <w:tc>
          <w:tcPr>
            <w:tcW w:w="0" w:type="auto"/>
            <w:gridSpan w:val="3"/>
            <w:shd w:val="clear" w:color="auto" w:fill="auto"/>
            <w:vAlign w:val="bottom"/>
          </w:tcPr>
          <w:p w14:paraId="392C46DA" w14:textId="77777777" w:rsidR="00980E5F" w:rsidRDefault="00980E5F">
            <w:pPr>
              <w:rPr>
                <w:rFonts w:ascii="宋体"/>
                <w:vanish/>
              </w:rPr>
            </w:pPr>
          </w:p>
        </w:tc>
        <w:tc>
          <w:tcPr>
            <w:tcW w:w="0" w:type="auto"/>
            <w:gridSpan w:val="3"/>
            <w:shd w:val="clear" w:color="auto" w:fill="auto"/>
            <w:vAlign w:val="bottom"/>
          </w:tcPr>
          <w:p w14:paraId="392C46DB" w14:textId="77777777" w:rsidR="00980E5F" w:rsidRDefault="00980E5F">
            <w:pPr>
              <w:rPr>
                <w:rFonts w:ascii="宋体"/>
                <w:vanish/>
              </w:rPr>
            </w:pPr>
          </w:p>
        </w:tc>
        <w:tc>
          <w:tcPr>
            <w:tcW w:w="0" w:type="auto"/>
            <w:gridSpan w:val="3"/>
            <w:shd w:val="clear" w:color="auto" w:fill="auto"/>
            <w:vAlign w:val="bottom"/>
          </w:tcPr>
          <w:p w14:paraId="392C46DC" w14:textId="77777777" w:rsidR="00980E5F" w:rsidRDefault="00980E5F">
            <w:pPr>
              <w:rPr>
                <w:rFonts w:ascii="宋体"/>
                <w:vanish/>
              </w:rPr>
            </w:pPr>
          </w:p>
        </w:tc>
        <w:tc>
          <w:tcPr>
            <w:tcW w:w="0" w:type="auto"/>
            <w:gridSpan w:val="3"/>
            <w:shd w:val="clear" w:color="auto" w:fill="auto"/>
            <w:vAlign w:val="bottom"/>
          </w:tcPr>
          <w:p w14:paraId="392C46DD" w14:textId="77777777" w:rsidR="00980E5F" w:rsidRDefault="00980E5F">
            <w:pPr>
              <w:rPr>
                <w:rFonts w:ascii="宋体"/>
                <w:vanish/>
              </w:rPr>
            </w:pPr>
          </w:p>
        </w:tc>
        <w:tc>
          <w:tcPr>
            <w:tcW w:w="0" w:type="auto"/>
            <w:gridSpan w:val="3"/>
            <w:shd w:val="clear" w:color="auto" w:fill="auto"/>
            <w:vAlign w:val="bottom"/>
          </w:tcPr>
          <w:p w14:paraId="392C46DE" w14:textId="77777777" w:rsidR="00980E5F" w:rsidRDefault="00980E5F">
            <w:pPr>
              <w:rPr>
                <w:rFonts w:ascii="宋体"/>
                <w:vanish/>
              </w:rPr>
            </w:pPr>
          </w:p>
        </w:tc>
      </w:tr>
      <w:tr w:rsidR="00980E5F" w14:paraId="392C46F4" w14:textId="77777777">
        <w:tc>
          <w:tcPr>
            <w:tcW w:w="0" w:type="auto"/>
            <w:gridSpan w:val="3"/>
            <w:shd w:val="clear" w:color="auto" w:fill="CCEEFF"/>
            <w:tcMar>
              <w:top w:w="40" w:type="dxa"/>
              <w:left w:w="20" w:type="dxa"/>
              <w:bottom w:w="40" w:type="dxa"/>
              <w:right w:w="20" w:type="dxa"/>
            </w:tcMar>
            <w:vAlign w:val="bottom"/>
          </w:tcPr>
          <w:p w14:paraId="392C46E0" w14:textId="77777777" w:rsidR="00980E5F" w:rsidRDefault="00483613">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6E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6E2" w14:textId="77777777" w:rsidR="00980E5F" w:rsidRDefault="00483613">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6E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E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6E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6E6" w14:textId="77777777" w:rsidR="00980E5F" w:rsidRDefault="00483613">
            <w:pPr>
              <w:jc w:val="right"/>
              <w:textAlignment w:val="bottom"/>
            </w:pPr>
            <w:r>
              <w:rPr>
                <w:rFonts w:ascii="Arial" w:eastAsia="宋体" w:hAnsi="Arial" w:cs="Arial"/>
                <w:color w:val="000000"/>
                <w:sz w:val="14"/>
                <w:szCs w:val="14"/>
              </w:rPr>
              <w:t>16,125 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6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E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6E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6EA"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6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E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6E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6EE" w14:textId="77777777" w:rsidR="00980E5F" w:rsidRDefault="00483613">
            <w:pPr>
              <w:jc w:val="right"/>
              <w:textAlignment w:val="bottom"/>
            </w:pPr>
            <w:r>
              <w:rPr>
                <w:rFonts w:ascii="Arial" w:eastAsia="宋体" w:hAnsi="Arial" w:cs="Arial"/>
                <w:color w:val="000000"/>
                <w:sz w:val="14"/>
                <w:szCs w:val="14"/>
              </w:rPr>
              <w:t>(10,395)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6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6F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46F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46F2" w14:textId="77777777" w:rsidR="00980E5F" w:rsidRDefault="00483613">
            <w:pPr>
              <w:jc w:val="right"/>
              <w:textAlignment w:val="bottom"/>
            </w:pPr>
            <w:r>
              <w:rPr>
                <w:rFonts w:ascii="Arial" w:eastAsia="宋体" w:hAnsi="Arial" w:cs="Arial"/>
                <w:color w:val="000000"/>
                <w:sz w:val="14"/>
                <w:szCs w:val="14"/>
              </w:rPr>
              <w:t>5,731 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46F3" w14:textId="77777777" w:rsidR="00980E5F" w:rsidRDefault="00980E5F">
            <w:pPr>
              <w:jc w:val="right"/>
              <w:rPr>
                <w:rFonts w:ascii="宋体"/>
              </w:rPr>
            </w:pPr>
          </w:p>
        </w:tc>
      </w:tr>
    </w:tbl>
    <w:p w14:paraId="392C46F5"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980E5F" w14:paraId="392C4705" w14:textId="77777777">
        <w:tc>
          <w:tcPr>
            <w:tcW w:w="50" w:type="pct"/>
            <w:shd w:val="clear" w:color="auto" w:fill="auto"/>
            <w:vAlign w:val="bottom"/>
          </w:tcPr>
          <w:p w14:paraId="392C46F6" w14:textId="77777777" w:rsidR="00980E5F" w:rsidRDefault="00980E5F">
            <w:pPr>
              <w:rPr>
                <w:rFonts w:ascii="宋体"/>
              </w:rPr>
            </w:pPr>
          </w:p>
        </w:tc>
        <w:tc>
          <w:tcPr>
            <w:tcW w:w="1311" w:type="pct"/>
            <w:shd w:val="clear" w:color="auto" w:fill="auto"/>
            <w:vAlign w:val="bottom"/>
          </w:tcPr>
          <w:p w14:paraId="392C46F7" w14:textId="77777777" w:rsidR="00980E5F" w:rsidRDefault="00980E5F">
            <w:pPr>
              <w:rPr>
                <w:rFonts w:ascii="宋体"/>
              </w:rPr>
            </w:pPr>
          </w:p>
        </w:tc>
        <w:tc>
          <w:tcPr>
            <w:tcW w:w="5" w:type="pct"/>
            <w:shd w:val="clear" w:color="auto" w:fill="auto"/>
            <w:vAlign w:val="bottom"/>
          </w:tcPr>
          <w:p w14:paraId="392C46F8" w14:textId="77777777" w:rsidR="00980E5F" w:rsidRDefault="00980E5F">
            <w:pPr>
              <w:rPr>
                <w:rFonts w:ascii="宋体"/>
              </w:rPr>
            </w:pPr>
          </w:p>
        </w:tc>
        <w:tc>
          <w:tcPr>
            <w:tcW w:w="50" w:type="pct"/>
            <w:shd w:val="clear" w:color="auto" w:fill="auto"/>
            <w:vAlign w:val="bottom"/>
          </w:tcPr>
          <w:p w14:paraId="392C46F9" w14:textId="77777777" w:rsidR="00980E5F" w:rsidRDefault="00980E5F">
            <w:pPr>
              <w:rPr>
                <w:rFonts w:ascii="宋体"/>
              </w:rPr>
            </w:pPr>
          </w:p>
        </w:tc>
        <w:tc>
          <w:tcPr>
            <w:tcW w:w="1582" w:type="pct"/>
            <w:shd w:val="clear" w:color="auto" w:fill="auto"/>
            <w:vAlign w:val="bottom"/>
          </w:tcPr>
          <w:p w14:paraId="392C46FA" w14:textId="77777777" w:rsidR="00980E5F" w:rsidRDefault="00980E5F">
            <w:pPr>
              <w:rPr>
                <w:rFonts w:ascii="宋体"/>
              </w:rPr>
            </w:pPr>
          </w:p>
        </w:tc>
        <w:tc>
          <w:tcPr>
            <w:tcW w:w="5" w:type="pct"/>
            <w:shd w:val="clear" w:color="auto" w:fill="auto"/>
            <w:vAlign w:val="bottom"/>
          </w:tcPr>
          <w:p w14:paraId="392C46FB" w14:textId="77777777" w:rsidR="00980E5F" w:rsidRDefault="00980E5F">
            <w:pPr>
              <w:rPr>
                <w:rFonts w:ascii="宋体"/>
              </w:rPr>
            </w:pPr>
          </w:p>
        </w:tc>
        <w:tc>
          <w:tcPr>
            <w:tcW w:w="50" w:type="pct"/>
            <w:shd w:val="clear" w:color="auto" w:fill="auto"/>
            <w:vAlign w:val="bottom"/>
          </w:tcPr>
          <w:p w14:paraId="392C46FC" w14:textId="77777777" w:rsidR="00980E5F" w:rsidRDefault="00980E5F">
            <w:pPr>
              <w:rPr>
                <w:rFonts w:ascii="宋体"/>
              </w:rPr>
            </w:pPr>
          </w:p>
        </w:tc>
        <w:tc>
          <w:tcPr>
            <w:tcW w:w="537" w:type="pct"/>
            <w:shd w:val="clear" w:color="auto" w:fill="auto"/>
            <w:vAlign w:val="bottom"/>
          </w:tcPr>
          <w:p w14:paraId="392C46FD" w14:textId="77777777" w:rsidR="00980E5F" w:rsidRDefault="00980E5F">
            <w:pPr>
              <w:rPr>
                <w:rFonts w:ascii="宋体"/>
              </w:rPr>
            </w:pPr>
          </w:p>
        </w:tc>
        <w:tc>
          <w:tcPr>
            <w:tcW w:w="5" w:type="pct"/>
            <w:shd w:val="clear" w:color="auto" w:fill="auto"/>
            <w:vAlign w:val="bottom"/>
          </w:tcPr>
          <w:p w14:paraId="392C46FE" w14:textId="77777777" w:rsidR="00980E5F" w:rsidRDefault="00980E5F">
            <w:pPr>
              <w:rPr>
                <w:rFonts w:ascii="宋体"/>
              </w:rPr>
            </w:pPr>
          </w:p>
        </w:tc>
        <w:tc>
          <w:tcPr>
            <w:tcW w:w="50" w:type="pct"/>
            <w:shd w:val="clear" w:color="auto" w:fill="auto"/>
            <w:vAlign w:val="bottom"/>
          </w:tcPr>
          <w:p w14:paraId="392C46FF" w14:textId="77777777" w:rsidR="00980E5F" w:rsidRDefault="00980E5F">
            <w:pPr>
              <w:rPr>
                <w:rFonts w:ascii="宋体"/>
              </w:rPr>
            </w:pPr>
          </w:p>
        </w:tc>
        <w:tc>
          <w:tcPr>
            <w:tcW w:w="376" w:type="pct"/>
            <w:shd w:val="clear" w:color="auto" w:fill="auto"/>
            <w:vAlign w:val="bottom"/>
          </w:tcPr>
          <w:p w14:paraId="392C4700" w14:textId="77777777" w:rsidR="00980E5F" w:rsidRDefault="00980E5F">
            <w:pPr>
              <w:rPr>
                <w:rFonts w:ascii="宋体"/>
              </w:rPr>
            </w:pPr>
          </w:p>
        </w:tc>
        <w:tc>
          <w:tcPr>
            <w:tcW w:w="5" w:type="pct"/>
            <w:shd w:val="clear" w:color="auto" w:fill="auto"/>
            <w:vAlign w:val="bottom"/>
          </w:tcPr>
          <w:p w14:paraId="392C4701" w14:textId="77777777" w:rsidR="00980E5F" w:rsidRDefault="00980E5F">
            <w:pPr>
              <w:rPr>
                <w:rFonts w:ascii="宋体"/>
              </w:rPr>
            </w:pPr>
          </w:p>
        </w:tc>
        <w:tc>
          <w:tcPr>
            <w:tcW w:w="50" w:type="pct"/>
            <w:shd w:val="clear" w:color="auto" w:fill="auto"/>
            <w:vAlign w:val="bottom"/>
          </w:tcPr>
          <w:p w14:paraId="392C4702" w14:textId="77777777" w:rsidR="00980E5F" w:rsidRDefault="00980E5F">
            <w:pPr>
              <w:rPr>
                <w:rFonts w:ascii="宋体"/>
              </w:rPr>
            </w:pPr>
          </w:p>
        </w:tc>
        <w:tc>
          <w:tcPr>
            <w:tcW w:w="917" w:type="pct"/>
            <w:shd w:val="clear" w:color="auto" w:fill="auto"/>
            <w:vAlign w:val="bottom"/>
          </w:tcPr>
          <w:p w14:paraId="392C4703" w14:textId="77777777" w:rsidR="00980E5F" w:rsidRDefault="00980E5F">
            <w:pPr>
              <w:rPr>
                <w:rFonts w:ascii="宋体"/>
              </w:rPr>
            </w:pPr>
          </w:p>
        </w:tc>
        <w:tc>
          <w:tcPr>
            <w:tcW w:w="5" w:type="pct"/>
            <w:shd w:val="clear" w:color="auto" w:fill="auto"/>
            <w:vAlign w:val="bottom"/>
          </w:tcPr>
          <w:p w14:paraId="392C4704" w14:textId="77777777" w:rsidR="00980E5F" w:rsidRDefault="00980E5F">
            <w:pPr>
              <w:rPr>
                <w:rFonts w:ascii="宋体"/>
              </w:rPr>
            </w:pPr>
          </w:p>
        </w:tc>
      </w:tr>
      <w:tr w:rsidR="00980E5F" w14:paraId="392C470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470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0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0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0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0A" w14:textId="77777777" w:rsidR="00980E5F" w:rsidRDefault="00980E5F">
            <w:pPr>
              <w:rPr>
                <w:rFonts w:ascii="宋体"/>
              </w:rPr>
            </w:pPr>
          </w:p>
        </w:tc>
      </w:tr>
    </w:tbl>
    <w:p w14:paraId="392C470C" w14:textId="77777777" w:rsidR="00980E5F" w:rsidRDefault="00483613">
      <w:pPr>
        <w:jc w:val="both"/>
      </w:pPr>
      <w:r>
        <w:rPr>
          <w:rFonts w:ascii="Arial" w:eastAsia="宋体" w:hAnsi="Arial" w:cs="Arial"/>
          <w:color w:val="000000"/>
          <w:sz w:val="9"/>
          <w:szCs w:val="9"/>
        </w:rPr>
        <w:t xml:space="preserve">(1) </w:t>
      </w:r>
      <w:r>
        <w:rPr>
          <w:rFonts w:ascii="Arial" w:eastAsia="宋体" w:hAnsi="Arial" w:cs="Arial"/>
          <w:color w:val="000000"/>
          <w:sz w:val="12"/>
          <w:szCs w:val="12"/>
        </w:rPr>
        <w:t xml:space="preserve">Represents counterparty netting against level 2 financial assets and liabilities where a legally enforceable master netting agreement exists between us and the counterparty. Netting also reflects asset and liability reductions of $1.97 billion and </w:t>
      </w:r>
      <w:r>
        <w:rPr>
          <w:rFonts w:ascii="Arial" w:eastAsia="宋体" w:hAnsi="Arial" w:cs="Arial"/>
          <w:color w:val="000000"/>
          <w:sz w:val="12"/>
          <w:szCs w:val="12"/>
        </w:rPr>
        <w:t>$1.28 billion, respectively, for cash collateral received from and provided to derivative counterparties.</w:t>
      </w:r>
    </w:p>
    <w:p w14:paraId="392C470D" w14:textId="77777777" w:rsidR="00980E5F" w:rsidRDefault="00483613">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Consists entirely of non-agency CMBS.</w:t>
      </w:r>
    </w:p>
    <w:p w14:paraId="392C470E" w14:textId="77777777" w:rsidR="00980E5F" w:rsidRDefault="00483613">
      <w:pPr>
        <w:ind w:firstLine="450"/>
        <w:jc w:val="right"/>
      </w:pPr>
      <w:r>
        <w:rPr>
          <w:rFonts w:ascii="Arial" w:eastAsia="宋体" w:hAnsi="Arial" w:cs="Arial"/>
          <w:color w:val="000000"/>
          <w:sz w:val="18"/>
          <w:szCs w:val="18"/>
        </w:rPr>
        <w:t>State Street Corporation | 62</w:t>
      </w:r>
    </w:p>
    <w:p w14:paraId="392C470F" w14:textId="77777777" w:rsidR="00980E5F" w:rsidRDefault="00980E5F">
      <w:pPr>
        <w:ind w:firstLine="450"/>
        <w:jc w:val="center"/>
      </w:pPr>
    </w:p>
    <w:p w14:paraId="392C4710" w14:textId="77777777" w:rsidR="00980E5F" w:rsidRDefault="00483613">
      <w:r>
        <w:pict w14:anchorId="392CBB0C">
          <v:rect id="_x0000_i1086" style="width:415.3pt;height:1.5pt" o:hralign="center" o:hrstd="t" o:hr="t" fillcolor="#a0a0a0" stroked="f"/>
        </w:pict>
      </w:r>
    </w:p>
    <w:p w14:paraId="392C4711" w14:textId="77777777" w:rsidR="00980E5F" w:rsidRDefault="00483613">
      <w:pPr>
        <w:ind w:firstLine="450"/>
        <w:jc w:val="center"/>
      </w:pPr>
      <w:r>
        <w:rPr>
          <w:rFonts w:ascii="Arial" w:eastAsia="宋体" w:hAnsi="Arial" w:cs="Arial"/>
          <w:b/>
          <w:bCs/>
          <w:color w:val="000000"/>
          <w:sz w:val="20"/>
          <w:szCs w:val="20"/>
        </w:rPr>
        <w:t>STATE STREET CORPORATION</w:t>
      </w:r>
    </w:p>
    <w:p w14:paraId="392C4712" w14:textId="77777777" w:rsidR="00980E5F" w:rsidRDefault="00483613">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392C4713" w14:textId="77777777" w:rsidR="00980E5F" w:rsidRDefault="00483613">
      <w:pPr>
        <w:ind w:firstLine="450"/>
        <w:jc w:val="center"/>
      </w:pPr>
      <w:r>
        <w:rPr>
          <w:rFonts w:ascii="Arial" w:eastAsia="宋体" w:hAnsi="Arial" w:cs="Arial"/>
          <w:b/>
          <w:bCs/>
          <w:color w:val="000000"/>
          <w:sz w:val="20"/>
          <w:szCs w:val="20"/>
        </w:rPr>
        <w:t>(UNAUDITED)</w:t>
      </w:r>
    </w:p>
    <w:p w14:paraId="392C4714" w14:textId="77777777" w:rsidR="00980E5F" w:rsidRDefault="00483613">
      <w:pPr>
        <w:spacing w:before="120"/>
        <w:ind w:firstLine="450"/>
        <w:jc w:val="both"/>
      </w:pPr>
      <w:r>
        <w:rPr>
          <w:rFonts w:ascii="Arial" w:eastAsia="宋体" w:hAnsi="Arial" w:cs="Arial"/>
          <w:color w:val="000000"/>
          <w:sz w:val="20"/>
          <w:szCs w:val="20"/>
        </w:rPr>
        <w:t>The following tables present activity related to our level 3 financial assets during the three and six months ended June 30, 2022 and 2021, respectively. Transfers into and out of level 3 are reported as of the beginning of the period presented. During bot</w:t>
      </w:r>
      <w:r>
        <w:rPr>
          <w:rFonts w:ascii="Arial" w:eastAsia="宋体" w:hAnsi="Arial" w:cs="Arial"/>
          <w:color w:val="000000"/>
          <w:sz w:val="20"/>
          <w:szCs w:val="20"/>
        </w:rPr>
        <w:t>h the three and six months ended June 30, 2022, there were no transfers into and out of level 3. During the three months ended June 30, 2021, there were no transfers into level 3. During the six months ended June 30, 2021, transfers into level 3 were prima</w:t>
      </w:r>
      <w:r>
        <w:rPr>
          <w:rFonts w:ascii="Arial" w:eastAsia="宋体" w:hAnsi="Arial" w:cs="Arial"/>
          <w:color w:val="000000"/>
          <w:sz w:val="20"/>
          <w:szCs w:val="20"/>
        </w:rPr>
        <w:t>rily related to a U.S. corporate bond, for which fair value was measured using information obtained from third party sources, including non-binding broker/dealer quotes. During the three and six months ended June 30, 2021, transfers out of level 3 were pri</w:t>
      </w:r>
      <w:r>
        <w:rPr>
          <w:rFonts w:ascii="Arial" w:eastAsia="宋体" w:hAnsi="Arial" w:cs="Arial"/>
          <w:color w:val="000000"/>
          <w:sz w:val="20"/>
          <w:szCs w:val="20"/>
        </w:rPr>
        <w:t xml:space="preserve">marily related to collateralized loan obligations and a U.S. corporate bond, for which fair value was measured using prices for which observable market information became available. </w:t>
      </w:r>
    </w:p>
    <w:tbl>
      <w:tblPr>
        <w:tblW w:w="5000" w:type="pct"/>
        <w:tblCellMar>
          <w:top w:w="15" w:type="dxa"/>
          <w:left w:w="15" w:type="dxa"/>
          <w:bottom w:w="15" w:type="dxa"/>
          <w:right w:w="15" w:type="dxa"/>
        </w:tblCellMar>
        <w:tblLook w:val="04A0" w:firstRow="1" w:lastRow="0" w:firstColumn="1" w:lastColumn="0" w:noHBand="0" w:noVBand="1"/>
      </w:tblPr>
      <w:tblGrid>
        <w:gridCol w:w="42"/>
        <w:gridCol w:w="901"/>
        <w:gridCol w:w="37"/>
        <w:gridCol w:w="88"/>
        <w:gridCol w:w="336"/>
        <w:gridCol w:w="36"/>
        <w:gridCol w:w="36"/>
        <w:gridCol w:w="36"/>
        <w:gridCol w:w="36"/>
        <w:gridCol w:w="89"/>
        <w:gridCol w:w="562"/>
        <w:gridCol w:w="37"/>
        <w:gridCol w:w="37"/>
        <w:gridCol w:w="37"/>
        <w:gridCol w:w="37"/>
        <w:gridCol w:w="88"/>
        <w:gridCol w:w="819"/>
        <w:gridCol w:w="36"/>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347"/>
        <w:gridCol w:w="36"/>
        <w:gridCol w:w="36"/>
        <w:gridCol w:w="36"/>
        <w:gridCol w:w="727"/>
      </w:tblGrid>
      <w:tr w:rsidR="00980E5F" w14:paraId="392C4750" w14:textId="77777777">
        <w:tc>
          <w:tcPr>
            <w:tcW w:w="50" w:type="pct"/>
            <w:shd w:val="clear" w:color="auto" w:fill="auto"/>
            <w:vAlign w:val="bottom"/>
          </w:tcPr>
          <w:p w14:paraId="392C4715" w14:textId="77777777" w:rsidR="00980E5F" w:rsidRDefault="00980E5F">
            <w:pPr>
              <w:rPr>
                <w:rFonts w:ascii="宋体"/>
              </w:rPr>
            </w:pPr>
          </w:p>
        </w:tc>
        <w:tc>
          <w:tcPr>
            <w:tcW w:w="785" w:type="pct"/>
            <w:shd w:val="clear" w:color="auto" w:fill="auto"/>
            <w:vAlign w:val="bottom"/>
          </w:tcPr>
          <w:p w14:paraId="392C4716" w14:textId="77777777" w:rsidR="00980E5F" w:rsidRDefault="00980E5F">
            <w:pPr>
              <w:rPr>
                <w:rFonts w:ascii="宋体"/>
              </w:rPr>
            </w:pPr>
          </w:p>
        </w:tc>
        <w:tc>
          <w:tcPr>
            <w:tcW w:w="5" w:type="pct"/>
            <w:shd w:val="clear" w:color="auto" w:fill="auto"/>
            <w:vAlign w:val="bottom"/>
          </w:tcPr>
          <w:p w14:paraId="392C4717" w14:textId="77777777" w:rsidR="00980E5F" w:rsidRDefault="00980E5F">
            <w:pPr>
              <w:rPr>
                <w:rFonts w:ascii="宋体"/>
              </w:rPr>
            </w:pPr>
          </w:p>
        </w:tc>
        <w:tc>
          <w:tcPr>
            <w:tcW w:w="50" w:type="pct"/>
            <w:shd w:val="clear" w:color="auto" w:fill="auto"/>
            <w:vAlign w:val="bottom"/>
          </w:tcPr>
          <w:p w14:paraId="392C4718" w14:textId="77777777" w:rsidR="00980E5F" w:rsidRDefault="00980E5F">
            <w:pPr>
              <w:rPr>
                <w:rFonts w:ascii="宋体"/>
              </w:rPr>
            </w:pPr>
          </w:p>
        </w:tc>
        <w:tc>
          <w:tcPr>
            <w:tcW w:w="317" w:type="pct"/>
            <w:shd w:val="clear" w:color="auto" w:fill="auto"/>
            <w:vAlign w:val="bottom"/>
          </w:tcPr>
          <w:p w14:paraId="392C4719" w14:textId="77777777" w:rsidR="00980E5F" w:rsidRDefault="00980E5F">
            <w:pPr>
              <w:rPr>
                <w:rFonts w:ascii="宋体"/>
              </w:rPr>
            </w:pPr>
          </w:p>
        </w:tc>
        <w:tc>
          <w:tcPr>
            <w:tcW w:w="5" w:type="pct"/>
            <w:shd w:val="clear" w:color="auto" w:fill="auto"/>
            <w:vAlign w:val="bottom"/>
          </w:tcPr>
          <w:p w14:paraId="392C471A" w14:textId="77777777" w:rsidR="00980E5F" w:rsidRDefault="00980E5F">
            <w:pPr>
              <w:rPr>
                <w:rFonts w:ascii="宋体"/>
              </w:rPr>
            </w:pPr>
          </w:p>
        </w:tc>
        <w:tc>
          <w:tcPr>
            <w:tcW w:w="5" w:type="pct"/>
            <w:shd w:val="clear" w:color="auto" w:fill="auto"/>
            <w:vAlign w:val="bottom"/>
          </w:tcPr>
          <w:p w14:paraId="392C471B" w14:textId="77777777" w:rsidR="00980E5F" w:rsidRDefault="00980E5F">
            <w:pPr>
              <w:rPr>
                <w:rFonts w:ascii="宋体"/>
              </w:rPr>
            </w:pPr>
          </w:p>
        </w:tc>
        <w:tc>
          <w:tcPr>
            <w:tcW w:w="19" w:type="pct"/>
            <w:shd w:val="clear" w:color="auto" w:fill="auto"/>
            <w:vAlign w:val="bottom"/>
          </w:tcPr>
          <w:p w14:paraId="392C471C" w14:textId="77777777" w:rsidR="00980E5F" w:rsidRDefault="00980E5F">
            <w:pPr>
              <w:rPr>
                <w:rFonts w:ascii="宋体"/>
              </w:rPr>
            </w:pPr>
          </w:p>
        </w:tc>
        <w:tc>
          <w:tcPr>
            <w:tcW w:w="5" w:type="pct"/>
            <w:shd w:val="clear" w:color="auto" w:fill="auto"/>
            <w:vAlign w:val="bottom"/>
          </w:tcPr>
          <w:p w14:paraId="392C471D" w14:textId="77777777" w:rsidR="00980E5F" w:rsidRDefault="00980E5F">
            <w:pPr>
              <w:rPr>
                <w:rFonts w:ascii="宋体"/>
              </w:rPr>
            </w:pPr>
          </w:p>
        </w:tc>
        <w:tc>
          <w:tcPr>
            <w:tcW w:w="50" w:type="pct"/>
            <w:shd w:val="clear" w:color="auto" w:fill="auto"/>
            <w:vAlign w:val="bottom"/>
          </w:tcPr>
          <w:p w14:paraId="392C471E" w14:textId="77777777" w:rsidR="00980E5F" w:rsidRDefault="00980E5F">
            <w:pPr>
              <w:rPr>
                <w:rFonts w:ascii="宋体"/>
              </w:rPr>
            </w:pPr>
          </w:p>
        </w:tc>
        <w:tc>
          <w:tcPr>
            <w:tcW w:w="317" w:type="pct"/>
            <w:shd w:val="clear" w:color="auto" w:fill="auto"/>
            <w:vAlign w:val="bottom"/>
          </w:tcPr>
          <w:p w14:paraId="392C471F" w14:textId="77777777" w:rsidR="00980E5F" w:rsidRDefault="00980E5F">
            <w:pPr>
              <w:rPr>
                <w:rFonts w:ascii="宋体"/>
              </w:rPr>
            </w:pPr>
          </w:p>
        </w:tc>
        <w:tc>
          <w:tcPr>
            <w:tcW w:w="5" w:type="pct"/>
            <w:shd w:val="clear" w:color="auto" w:fill="auto"/>
            <w:vAlign w:val="bottom"/>
          </w:tcPr>
          <w:p w14:paraId="392C4720" w14:textId="77777777" w:rsidR="00980E5F" w:rsidRDefault="00980E5F">
            <w:pPr>
              <w:rPr>
                <w:rFonts w:ascii="宋体"/>
              </w:rPr>
            </w:pPr>
          </w:p>
        </w:tc>
        <w:tc>
          <w:tcPr>
            <w:tcW w:w="5" w:type="pct"/>
            <w:shd w:val="clear" w:color="auto" w:fill="auto"/>
            <w:vAlign w:val="bottom"/>
          </w:tcPr>
          <w:p w14:paraId="392C4721" w14:textId="77777777" w:rsidR="00980E5F" w:rsidRDefault="00980E5F">
            <w:pPr>
              <w:rPr>
                <w:rFonts w:ascii="宋体"/>
              </w:rPr>
            </w:pPr>
          </w:p>
        </w:tc>
        <w:tc>
          <w:tcPr>
            <w:tcW w:w="19" w:type="pct"/>
            <w:shd w:val="clear" w:color="auto" w:fill="auto"/>
            <w:vAlign w:val="bottom"/>
          </w:tcPr>
          <w:p w14:paraId="392C4722" w14:textId="77777777" w:rsidR="00980E5F" w:rsidRDefault="00980E5F">
            <w:pPr>
              <w:rPr>
                <w:rFonts w:ascii="宋体"/>
              </w:rPr>
            </w:pPr>
          </w:p>
        </w:tc>
        <w:tc>
          <w:tcPr>
            <w:tcW w:w="5" w:type="pct"/>
            <w:shd w:val="clear" w:color="auto" w:fill="auto"/>
            <w:vAlign w:val="bottom"/>
          </w:tcPr>
          <w:p w14:paraId="392C4723" w14:textId="77777777" w:rsidR="00980E5F" w:rsidRDefault="00980E5F">
            <w:pPr>
              <w:rPr>
                <w:rFonts w:ascii="宋体"/>
              </w:rPr>
            </w:pPr>
          </w:p>
        </w:tc>
        <w:tc>
          <w:tcPr>
            <w:tcW w:w="50" w:type="pct"/>
            <w:shd w:val="clear" w:color="auto" w:fill="auto"/>
            <w:vAlign w:val="bottom"/>
          </w:tcPr>
          <w:p w14:paraId="392C4724" w14:textId="77777777" w:rsidR="00980E5F" w:rsidRDefault="00980E5F">
            <w:pPr>
              <w:rPr>
                <w:rFonts w:ascii="宋体"/>
              </w:rPr>
            </w:pPr>
          </w:p>
        </w:tc>
        <w:tc>
          <w:tcPr>
            <w:tcW w:w="463" w:type="pct"/>
            <w:shd w:val="clear" w:color="auto" w:fill="auto"/>
            <w:vAlign w:val="bottom"/>
          </w:tcPr>
          <w:p w14:paraId="392C4725" w14:textId="77777777" w:rsidR="00980E5F" w:rsidRDefault="00980E5F">
            <w:pPr>
              <w:rPr>
                <w:rFonts w:ascii="宋体"/>
              </w:rPr>
            </w:pPr>
          </w:p>
        </w:tc>
        <w:tc>
          <w:tcPr>
            <w:tcW w:w="5" w:type="pct"/>
            <w:shd w:val="clear" w:color="auto" w:fill="auto"/>
            <w:vAlign w:val="bottom"/>
          </w:tcPr>
          <w:p w14:paraId="392C4726" w14:textId="77777777" w:rsidR="00980E5F" w:rsidRDefault="00980E5F">
            <w:pPr>
              <w:rPr>
                <w:rFonts w:ascii="宋体"/>
              </w:rPr>
            </w:pPr>
          </w:p>
        </w:tc>
        <w:tc>
          <w:tcPr>
            <w:tcW w:w="5" w:type="pct"/>
            <w:shd w:val="clear" w:color="auto" w:fill="auto"/>
            <w:vAlign w:val="bottom"/>
          </w:tcPr>
          <w:p w14:paraId="392C4727" w14:textId="77777777" w:rsidR="00980E5F" w:rsidRDefault="00980E5F">
            <w:pPr>
              <w:rPr>
                <w:rFonts w:ascii="宋体"/>
              </w:rPr>
            </w:pPr>
          </w:p>
        </w:tc>
        <w:tc>
          <w:tcPr>
            <w:tcW w:w="19" w:type="pct"/>
            <w:shd w:val="clear" w:color="auto" w:fill="auto"/>
            <w:vAlign w:val="bottom"/>
          </w:tcPr>
          <w:p w14:paraId="392C4728" w14:textId="77777777" w:rsidR="00980E5F" w:rsidRDefault="00980E5F">
            <w:pPr>
              <w:rPr>
                <w:rFonts w:ascii="宋体"/>
              </w:rPr>
            </w:pPr>
          </w:p>
        </w:tc>
        <w:tc>
          <w:tcPr>
            <w:tcW w:w="5" w:type="pct"/>
            <w:shd w:val="clear" w:color="auto" w:fill="auto"/>
            <w:vAlign w:val="bottom"/>
          </w:tcPr>
          <w:p w14:paraId="392C4729" w14:textId="77777777" w:rsidR="00980E5F" w:rsidRDefault="00980E5F">
            <w:pPr>
              <w:rPr>
                <w:rFonts w:ascii="宋体"/>
              </w:rPr>
            </w:pPr>
          </w:p>
        </w:tc>
        <w:tc>
          <w:tcPr>
            <w:tcW w:w="50" w:type="pct"/>
            <w:shd w:val="clear" w:color="auto" w:fill="auto"/>
            <w:vAlign w:val="bottom"/>
          </w:tcPr>
          <w:p w14:paraId="392C472A" w14:textId="77777777" w:rsidR="00980E5F" w:rsidRDefault="00980E5F">
            <w:pPr>
              <w:rPr>
                <w:rFonts w:ascii="宋体"/>
              </w:rPr>
            </w:pPr>
          </w:p>
        </w:tc>
        <w:tc>
          <w:tcPr>
            <w:tcW w:w="303" w:type="pct"/>
            <w:shd w:val="clear" w:color="auto" w:fill="auto"/>
            <w:vAlign w:val="bottom"/>
          </w:tcPr>
          <w:p w14:paraId="392C472B" w14:textId="77777777" w:rsidR="00980E5F" w:rsidRDefault="00980E5F">
            <w:pPr>
              <w:rPr>
                <w:rFonts w:ascii="宋体"/>
              </w:rPr>
            </w:pPr>
          </w:p>
        </w:tc>
        <w:tc>
          <w:tcPr>
            <w:tcW w:w="5" w:type="pct"/>
            <w:shd w:val="clear" w:color="auto" w:fill="auto"/>
            <w:vAlign w:val="bottom"/>
          </w:tcPr>
          <w:p w14:paraId="392C472C" w14:textId="77777777" w:rsidR="00980E5F" w:rsidRDefault="00980E5F">
            <w:pPr>
              <w:rPr>
                <w:rFonts w:ascii="宋体"/>
              </w:rPr>
            </w:pPr>
          </w:p>
        </w:tc>
        <w:tc>
          <w:tcPr>
            <w:tcW w:w="5" w:type="pct"/>
            <w:shd w:val="clear" w:color="auto" w:fill="auto"/>
            <w:vAlign w:val="bottom"/>
          </w:tcPr>
          <w:p w14:paraId="392C472D" w14:textId="77777777" w:rsidR="00980E5F" w:rsidRDefault="00980E5F">
            <w:pPr>
              <w:rPr>
                <w:rFonts w:ascii="宋体"/>
              </w:rPr>
            </w:pPr>
          </w:p>
        </w:tc>
        <w:tc>
          <w:tcPr>
            <w:tcW w:w="19" w:type="pct"/>
            <w:shd w:val="clear" w:color="auto" w:fill="auto"/>
            <w:vAlign w:val="bottom"/>
          </w:tcPr>
          <w:p w14:paraId="392C472E" w14:textId="77777777" w:rsidR="00980E5F" w:rsidRDefault="00980E5F">
            <w:pPr>
              <w:rPr>
                <w:rFonts w:ascii="宋体"/>
              </w:rPr>
            </w:pPr>
          </w:p>
        </w:tc>
        <w:tc>
          <w:tcPr>
            <w:tcW w:w="5" w:type="pct"/>
            <w:shd w:val="clear" w:color="auto" w:fill="auto"/>
            <w:vAlign w:val="bottom"/>
          </w:tcPr>
          <w:p w14:paraId="392C472F" w14:textId="77777777" w:rsidR="00980E5F" w:rsidRDefault="00980E5F">
            <w:pPr>
              <w:rPr>
                <w:rFonts w:ascii="宋体"/>
              </w:rPr>
            </w:pPr>
          </w:p>
        </w:tc>
        <w:tc>
          <w:tcPr>
            <w:tcW w:w="0" w:type="auto"/>
            <w:shd w:val="clear" w:color="auto" w:fill="auto"/>
            <w:vAlign w:val="bottom"/>
          </w:tcPr>
          <w:p w14:paraId="392C4730" w14:textId="77777777" w:rsidR="00980E5F" w:rsidRDefault="00980E5F">
            <w:pPr>
              <w:rPr>
                <w:rFonts w:ascii="宋体"/>
                <w:vanish/>
              </w:rPr>
            </w:pPr>
          </w:p>
        </w:tc>
        <w:tc>
          <w:tcPr>
            <w:tcW w:w="0" w:type="auto"/>
            <w:shd w:val="clear" w:color="auto" w:fill="auto"/>
            <w:vAlign w:val="bottom"/>
          </w:tcPr>
          <w:p w14:paraId="392C4731" w14:textId="77777777" w:rsidR="00980E5F" w:rsidRDefault="00980E5F">
            <w:pPr>
              <w:rPr>
                <w:rFonts w:ascii="宋体"/>
                <w:vanish/>
              </w:rPr>
            </w:pPr>
          </w:p>
        </w:tc>
        <w:tc>
          <w:tcPr>
            <w:tcW w:w="50" w:type="pct"/>
            <w:shd w:val="clear" w:color="auto" w:fill="auto"/>
            <w:vAlign w:val="bottom"/>
          </w:tcPr>
          <w:p w14:paraId="392C4732" w14:textId="77777777" w:rsidR="00980E5F" w:rsidRDefault="00980E5F">
            <w:pPr>
              <w:rPr>
                <w:rFonts w:ascii="宋体"/>
              </w:rPr>
            </w:pPr>
          </w:p>
        </w:tc>
        <w:tc>
          <w:tcPr>
            <w:tcW w:w="200" w:type="pct"/>
            <w:shd w:val="clear" w:color="auto" w:fill="auto"/>
            <w:vAlign w:val="bottom"/>
          </w:tcPr>
          <w:p w14:paraId="392C4733" w14:textId="77777777" w:rsidR="00980E5F" w:rsidRDefault="00980E5F">
            <w:pPr>
              <w:rPr>
                <w:rFonts w:ascii="宋体"/>
              </w:rPr>
            </w:pPr>
          </w:p>
        </w:tc>
        <w:tc>
          <w:tcPr>
            <w:tcW w:w="5" w:type="pct"/>
            <w:shd w:val="clear" w:color="auto" w:fill="auto"/>
            <w:vAlign w:val="bottom"/>
          </w:tcPr>
          <w:p w14:paraId="392C4734" w14:textId="77777777" w:rsidR="00980E5F" w:rsidRDefault="00980E5F">
            <w:pPr>
              <w:rPr>
                <w:rFonts w:ascii="宋体"/>
              </w:rPr>
            </w:pPr>
          </w:p>
        </w:tc>
        <w:tc>
          <w:tcPr>
            <w:tcW w:w="5" w:type="pct"/>
            <w:shd w:val="clear" w:color="auto" w:fill="auto"/>
            <w:vAlign w:val="bottom"/>
          </w:tcPr>
          <w:p w14:paraId="392C4735" w14:textId="77777777" w:rsidR="00980E5F" w:rsidRDefault="00980E5F">
            <w:pPr>
              <w:rPr>
                <w:rFonts w:ascii="宋体"/>
              </w:rPr>
            </w:pPr>
          </w:p>
        </w:tc>
        <w:tc>
          <w:tcPr>
            <w:tcW w:w="19" w:type="pct"/>
            <w:shd w:val="clear" w:color="auto" w:fill="auto"/>
            <w:vAlign w:val="bottom"/>
          </w:tcPr>
          <w:p w14:paraId="392C4736" w14:textId="77777777" w:rsidR="00980E5F" w:rsidRDefault="00980E5F">
            <w:pPr>
              <w:rPr>
                <w:rFonts w:ascii="宋体"/>
              </w:rPr>
            </w:pPr>
          </w:p>
        </w:tc>
        <w:tc>
          <w:tcPr>
            <w:tcW w:w="5" w:type="pct"/>
            <w:shd w:val="clear" w:color="auto" w:fill="auto"/>
            <w:vAlign w:val="bottom"/>
          </w:tcPr>
          <w:p w14:paraId="392C4737" w14:textId="77777777" w:rsidR="00980E5F" w:rsidRDefault="00980E5F">
            <w:pPr>
              <w:rPr>
                <w:rFonts w:ascii="宋体"/>
              </w:rPr>
            </w:pPr>
          </w:p>
        </w:tc>
        <w:tc>
          <w:tcPr>
            <w:tcW w:w="50" w:type="pct"/>
            <w:shd w:val="clear" w:color="auto" w:fill="auto"/>
            <w:vAlign w:val="bottom"/>
          </w:tcPr>
          <w:p w14:paraId="392C4738" w14:textId="77777777" w:rsidR="00980E5F" w:rsidRDefault="00980E5F">
            <w:pPr>
              <w:rPr>
                <w:rFonts w:ascii="宋体"/>
              </w:rPr>
            </w:pPr>
          </w:p>
        </w:tc>
        <w:tc>
          <w:tcPr>
            <w:tcW w:w="347" w:type="pct"/>
            <w:shd w:val="clear" w:color="auto" w:fill="auto"/>
            <w:vAlign w:val="bottom"/>
          </w:tcPr>
          <w:p w14:paraId="392C4739" w14:textId="77777777" w:rsidR="00980E5F" w:rsidRDefault="00980E5F">
            <w:pPr>
              <w:rPr>
                <w:rFonts w:ascii="宋体"/>
              </w:rPr>
            </w:pPr>
          </w:p>
        </w:tc>
        <w:tc>
          <w:tcPr>
            <w:tcW w:w="5" w:type="pct"/>
            <w:shd w:val="clear" w:color="auto" w:fill="auto"/>
            <w:vAlign w:val="bottom"/>
          </w:tcPr>
          <w:p w14:paraId="392C473A" w14:textId="77777777" w:rsidR="00980E5F" w:rsidRDefault="00980E5F">
            <w:pPr>
              <w:rPr>
                <w:rFonts w:ascii="宋体"/>
              </w:rPr>
            </w:pPr>
          </w:p>
        </w:tc>
        <w:tc>
          <w:tcPr>
            <w:tcW w:w="5" w:type="pct"/>
            <w:shd w:val="clear" w:color="auto" w:fill="auto"/>
            <w:vAlign w:val="bottom"/>
          </w:tcPr>
          <w:p w14:paraId="392C473B" w14:textId="77777777" w:rsidR="00980E5F" w:rsidRDefault="00980E5F">
            <w:pPr>
              <w:rPr>
                <w:rFonts w:ascii="宋体"/>
              </w:rPr>
            </w:pPr>
          </w:p>
        </w:tc>
        <w:tc>
          <w:tcPr>
            <w:tcW w:w="19" w:type="pct"/>
            <w:shd w:val="clear" w:color="auto" w:fill="auto"/>
            <w:vAlign w:val="bottom"/>
          </w:tcPr>
          <w:p w14:paraId="392C473C" w14:textId="77777777" w:rsidR="00980E5F" w:rsidRDefault="00980E5F">
            <w:pPr>
              <w:rPr>
                <w:rFonts w:ascii="宋体"/>
              </w:rPr>
            </w:pPr>
          </w:p>
        </w:tc>
        <w:tc>
          <w:tcPr>
            <w:tcW w:w="5" w:type="pct"/>
            <w:shd w:val="clear" w:color="auto" w:fill="auto"/>
            <w:vAlign w:val="bottom"/>
          </w:tcPr>
          <w:p w14:paraId="392C473D" w14:textId="77777777" w:rsidR="00980E5F" w:rsidRDefault="00980E5F">
            <w:pPr>
              <w:rPr>
                <w:rFonts w:ascii="宋体"/>
              </w:rPr>
            </w:pPr>
          </w:p>
        </w:tc>
        <w:tc>
          <w:tcPr>
            <w:tcW w:w="50" w:type="pct"/>
            <w:shd w:val="clear" w:color="auto" w:fill="auto"/>
            <w:vAlign w:val="bottom"/>
          </w:tcPr>
          <w:p w14:paraId="392C473E" w14:textId="77777777" w:rsidR="00980E5F" w:rsidRDefault="00980E5F">
            <w:pPr>
              <w:rPr>
                <w:rFonts w:ascii="宋体"/>
              </w:rPr>
            </w:pPr>
          </w:p>
        </w:tc>
        <w:tc>
          <w:tcPr>
            <w:tcW w:w="273" w:type="pct"/>
            <w:shd w:val="clear" w:color="auto" w:fill="auto"/>
            <w:vAlign w:val="bottom"/>
          </w:tcPr>
          <w:p w14:paraId="392C473F" w14:textId="77777777" w:rsidR="00980E5F" w:rsidRDefault="00980E5F">
            <w:pPr>
              <w:rPr>
                <w:rFonts w:ascii="宋体"/>
              </w:rPr>
            </w:pPr>
          </w:p>
        </w:tc>
        <w:tc>
          <w:tcPr>
            <w:tcW w:w="5" w:type="pct"/>
            <w:shd w:val="clear" w:color="auto" w:fill="auto"/>
            <w:vAlign w:val="bottom"/>
          </w:tcPr>
          <w:p w14:paraId="392C4740" w14:textId="77777777" w:rsidR="00980E5F" w:rsidRDefault="00980E5F">
            <w:pPr>
              <w:rPr>
                <w:rFonts w:ascii="宋体"/>
              </w:rPr>
            </w:pPr>
          </w:p>
        </w:tc>
        <w:tc>
          <w:tcPr>
            <w:tcW w:w="5" w:type="pct"/>
            <w:shd w:val="clear" w:color="auto" w:fill="auto"/>
            <w:vAlign w:val="bottom"/>
          </w:tcPr>
          <w:p w14:paraId="392C4741" w14:textId="77777777" w:rsidR="00980E5F" w:rsidRDefault="00980E5F">
            <w:pPr>
              <w:rPr>
                <w:rFonts w:ascii="宋体"/>
              </w:rPr>
            </w:pPr>
          </w:p>
        </w:tc>
        <w:tc>
          <w:tcPr>
            <w:tcW w:w="19" w:type="pct"/>
            <w:shd w:val="clear" w:color="auto" w:fill="auto"/>
            <w:vAlign w:val="bottom"/>
          </w:tcPr>
          <w:p w14:paraId="392C4742" w14:textId="77777777" w:rsidR="00980E5F" w:rsidRDefault="00980E5F">
            <w:pPr>
              <w:rPr>
                <w:rFonts w:ascii="宋体"/>
              </w:rPr>
            </w:pPr>
          </w:p>
        </w:tc>
        <w:tc>
          <w:tcPr>
            <w:tcW w:w="5" w:type="pct"/>
            <w:shd w:val="clear" w:color="auto" w:fill="auto"/>
            <w:vAlign w:val="bottom"/>
          </w:tcPr>
          <w:p w14:paraId="392C4743" w14:textId="77777777" w:rsidR="00980E5F" w:rsidRDefault="00980E5F">
            <w:pPr>
              <w:rPr>
                <w:rFonts w:ascii="宋体"/>
              </w:rPr>
            </w:pPr>
          </w:p>
        </w:tc>
        <w:tc>
          <w:tcPr>
            <w:tcW w:w="50" w:type="pct"/>
            <w:shd w:val="clear" w:color="auto" w:fill="auto"/>
            <w:vAlign w:val="bottom"/>
          </w:tcPr>
          <w:p w14:paraId="392C4744" w14:textId="77777777" w:rsidR="00980E5F" w:rsidRDefault="00980E5F">
            <w:pPr>
              <w:rPr>
                <w:rFonts w:ascii="宋体"/>
              </w:rPr>
            </w:pPr>
          </w:p>
        </w:tc>
        <w:tc>
          <w:tcPr>
            <w:tcW w:w="273" w:type="pct"/>
            <w:shd w:val="clear" w:color="auto" w:fill="auto"/>
            <w:vAlign w:val="bottom"/>
          </w:tcPr>
          <w:p w14:paraId="392C4745" w14:textId="77777777" w:rsidR="00980E5F" w:rsidRDefault="00980E5F">
            <w:pPr>
              <w:rPr>
                <w:rFonts w:ascii="宋体"/>
              </w:rPr>
            </w:pPr>
          </w:p>
        </w:tc>
        <w:tc>
          <w:tcPr>
            <w:tcW w:w="5" w:type="pct"/>
            <w:shd w:val="clear" w:color="auto" w:fill="auto"/>
            <w:vAlign w:val="bottom"/>
          </w:tcPr>
          <w:p w14:paraId="392C4746" w14:textId="77777777" w:rsidR="00980E5F" w:rsidRDefault="00980E5F">
            <w:pPr>
              <w:rPr>
                <w:rFonts w:ascii="宋体"/>
              </w:rPr>
            </w:pPr>
          </w:p>
        </w:tc>
        <w:tc>
          <w:tcPr>
            <w:tcW w:w="5" w:type="pct"/>
            <w:shd w:val="clear" w:color="auto" w:fill="auto"/>
            <w:vAlign w:val="bottom"/>
          </w:tcPr>
          <w:p w14:paraId="392C4747" w14:textId="77777777" w:rsidR="00980E5F" w:rsidRDefault="00980E5F">
            <w:pPr>
              <w:rPr>
                <w:rFonts w:ascii="宋体"/>
              </w:rPr>
            </w:pPr>
          </w:p>
        </w:tc>
        <w:tc>
          <w:tcPr>
            <w:tcW w:w="19" w:type="pct"/>
            <w:shd w:val="clear" w:color="auto" w:fill="auto"/>
            <w:vAlign w:val="bottom"/>
          </w:tcPr>
          <w:p w14:paraId="392C4748" w14:textId="77777777" w:rsidR="00980E5F" w:rsidRDefault="00980E5F">
            <w:pPr>
              <w:rPr>
                <w:rFonts w:ascii="宋体"/>
              </w:rPr>
            </w:pPr>
          </w:p>
        </w:tc>
        <w:tc>
          <w:tcPr>
            <w:tcW w:w="5" w:type="pct"/>
            <w:shd w:val="clear" w:color="auto" w:fill="auto"/>
            <w:vAlign w:val="bottom"/>
          </w:tcPr>
          <w:p w14:paraId="392C4749" w14:textId="77777777" w:rsidR="00980E5F" w:rsidRDefault="00980E5F">
            <w:pPr>
              <w:rPr>
                <w:rFonts w:ascii="宋体"/>
              </w:rPr>
            </w:pPr>
          </w:p>
        </w:tc>
        <w:tc>
          <w:tcPr>
            <w:tcW w:w="50" w:type="pct"/>
            <w:shd w:val="clear" w:color="auto" w:fill="auto"/>
            <w:vAlign w:val="bottom"/>
          </w:tcPr>
          <w:p w14:paraId="392C474A" w14:textId="77777777" w:rsidR="00980E5F" w:rsidRDefault="00980E5F">
            <w:pPr>
              <w:rPr>
                <w:rFonts w:ascii="宋体"/>
              </w:rPr>
            </w:pPr>
          </w:p>
        </w:tc>
        <w:tc>
          <w:tcPr>
            <w:tcW w:w="412" w:type="pct"/>
            <w:shd w:val="clear" w:color="auto" w:fill="auto"/>
            <w:vAlign w:val="bottom"/>
          </w:tcPr>
          <w:p w14:paraId="392C474B" w14:textId="77777777" w:rsidR="00980E5F" w:rsidRDefault="00980E5F">
            <w:pPr>
              <w:rPr>
                <w:rFonts w:ascii="宋体"/>
              </w:rPr>
            </w:pPr>
          </w:p>
        </w:tc>
        <w:tc>
          <w:tcPr>
            <w:tcW w:w="5" w:type="pct"/>
            <w:shd w:val="clear" w:color="auto" w:fill="auto"/>
            <w:vAlign w:val="bottom"/>
          </w:tcPr>
          <w:p w14:paraId="392C474C" w14:textId="77777777" w:rsidR="00980E5F" w:rsidRDefault="00980E5F">
            <w:pPr>
              <w:rPr>
                <w:rFonts w:ascii="宋体"/>
              </w:rPr>
            </w:pPr>
          </w:p>
        </w:tc>
        <w:tc>
          <w:tcPr>
            <w:tcW w:w="5" w:type="pct"/>
            <w:shd w:val="clear" w:color="auto" w:fill="auto"/>
            <w:vAlign w:val="bottom"/>
          </w:tcPr>
          <w:p w14:paraId="392C474D" w14:textId="77777777" w:rsidR="00980E5F" w:rsidRDefault="00980E5F">
            <w:pPr>
              <w:rPr>
                <w:rFonts w:ascii="宋体"/>
              </w:rPr>
            </w:pPr>
          </w:p>
        </w:tc>
        <w:tc>
          <w:tcPr>
            <w:tcW w:w="19" w:type="pct"/>
            <w:shd w:val="clear" w:color="auto" w:fill="auto"/>
            <w:vAlign w:val="bottom"/>
          </w:tcPr>
          <w:p w14:paraId="392C474E" w14:textId="77777777" w:rsidR="00980E5F" w:rsidRDefault="00980E5F">
            <w:pPr>
              <w:rPr>
                <w:rFonts w:ascii="宋体"/>
              </w:rPr>
            </w:pPr>
          </w:p>
        </w:tc>
        <w:tc>
          <w:tcPr>
            <w:tcW w:w="5" w:type="pct"/>
            <w:shd w:val="clear" w:color="auto" w:fill="auto"/>
            <w:vAlign w:val="bottom"/>
          </w:tcPr>
          <w:p w14:paraId="392C474F" w14:textId="77777777" w:rsidR="00980E5F" w:rsidRDefault="00980E5F">
            <w:pPr>
              <w:rPr>
                <w:rFonts w:ascii="宋体"/>
              </w:rPr>
            </w:pPr>
          </w:p>
        </w:tc>
      </w:tr>
      <w:tr w:rsidR="00980E5F" w14:paraId="392C4756" w14:textId="77777777">
        <w:tc>
          <w:tcPr>
            <w:tcW w:w="0" w:type="auto"/>
            <w:gridSpan w:val="3"/>
            <w:shd w:val="clear" w:color="auto" w:fill="auto"/>
            <w:tcMar>
              <w:top w:w="0" w:type="dxa"/>
              <w:left w:w="20" w:type="dxa"/>
              <w:bottom w:w="0" w:type="dxa"/>
              <w:right w:w="20" w:type="dxa"/>
            </w:tcMar>
            <w:vAlign w:val="bottom"/>
          </w:tcPr>
          <w:p w14:paraId="392C4751" w14:textId="77777777" w:rsidR="00980E5F" w:rsidRDefault="00980E5F">
            <w:pPr>
              <w:rPr>
                <w:rFonts w:ascii="宋体"/>
              </w:rPr>
            </w:pPr>
          </w:p>
        </w:tc>
        <w:tc>
          <w:tcPr>
            <w:tcW w:w="0" w:type="auto"/>
            <w:gridSpan w:val="53"/>
            <w:shd w:val="clear" w:color="auto" w:fill="auto"/>
            <w:tcMar>
              <w:top w:w="40" w:type="dxa"/>
              <w:left w:w="20" w:type="dxa"/>
              <w:bottom w:w="40" w:type="dxa"/>
              <w:right w:w="20" w:type="dxa"/>
            </w:tcMar>
            <w:vAlign w:val="bottom"/>
          </w:tcPr>
          <w:p w14:paraId="392C4752" w14:textId="77777777" w:rsidR="00980E5F" w:rsidRDefault="00483613">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392C4753" w14:textId="77777777" w:rsidR="00980E5F" w:rsidRDefault="00980E5F">
            <w:pPr>
              <w:rPr>
                <w:rFonts w:ascii="宋体"/>
              </w:rPr>
            </w:pPr>
          </w:p>
        </w:tc>
        <w:tc>
          <w:tcPr>
            <w:tcW w:w="0" w:type="auto"/>
            <w:shd w:val="clear" w:color="auto" w:fill="auto"/>
            <w:vAlign w:val="bottom"/>
          </w:tcPr>
          <w:p w14:paraId="392C4754" w14:textId="77777777" w:rsidR="00980E5F" w:rsidRDefault="00980E5F">
            <w:pPr>
              <w:rPr>
                <w:rFonts w:ascii="宋体"/>
              </w:rPr>
            </w:pPr>
          </w:p>
        </w:tc>
        <w:tc>
          <w:tcPr>
            <w:tcW w:w="0" w:type="auto"/>
            <w:shd w:val="clear" w:color="auto" w:fill="auto"/>
            <w:vAlign w:val="bottom"/>
          </w:tcPr>
          <w:p w14:paraId="392C4755" w14:textId="77777777" w:rsidR="00980E5F" w:rsidRDefault="00980E5F">
            <w:pPr>
              <w:rPr>
                <w:rFonts w:ascii="宋体"/>
              </w:rPr>
            </w:pPr>
          </w:p>
        </w:tc>
      </w:tr>
      <w:tr w:rsidR="00980E5F" w14:paraId="392C475C" w14:textId="77777777">
        <w:tc>
          <w:tcPr>
            <w:tcW w:w="0" w:type="auto"/>
            <w:gridSpan w:val="3"/>
            <w:shd w:val="clear" w:color="auto" w:fill="auto"/>
            <w:tcMar>
              <w:top w:w="40" w:type="dxa"/>
              <w:left w:w="20" w:type="dxa"/>
              <w:bottom w:w="40" w:type="dxa"/>
              <w:right w:w="20" w:type="dxa"/>
            </w:tcMar>
            <w:vAlign w:val="bottom"/>
          </w:tcPr>
          <w:p w14:paraId="392C4757" w14:textId="77777777" w:rsidR="00980E5F" w:rsidRDefault="00483613">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92C4758" w14:textId="77777777" w:rsidR="00980E5F" w:rsidRDefault="00483613">
            <w:pPr>
              <w:jc w:val="center"/>
              <w:textAlignment w:val="bottom"/>
            </w:pPr>
            <w:r>
              <w:rPr>
                <w:rFonts w:ascii="Arial" w:eastAsia="宋体" w:hAnsi="Arial" w:cs="Arial"/>
                <w:b/>
                <w:bCs/>
                <w:color w:val="000000"/>
                <w:sz w:val="12"/>
                <w:szCs w:val="12"/>
              </w:rPr>
              <w:t>Three Months Ended June 30, 2022</w:t>
            </w:r>
          </w:p>
        </w:tc>
        <w:tc>
          <w:tcPr>
            <w:tcW w:w="0" w:type="auto"/>
            <w:shd w:val="clear" w:color="auto" w:fill="auto"/>
            <w:vAlign w:val="bottom"/>
          </w:tcPr>
          <w:p w14:paraId="392C4759" w14:textId="77777777" w:rsidR="00980E5F" w:rsidRDefault="00980E5F">
            <w:pPr>
              <w:rPr>
                <w:rFonts w:ascii="宋体"/>
              </w:rPr>
            </w:pPr>
          </w:p>
        </w:tc>
        <w:tc>
          <w:tcPr>
            <w:tcW w:w="0" w:type="auto"/>
            <w:shd w:val="clear" w:color="auto" w:fill="auto"/>
            <w:vAlign w:val="bottom"/>
          </w:tcPr>
          <w:p w14:paraId="392C475A" w14:textId="77777777" w:rsidR="00980E5F" w:rsidRDefault="00980E5F">
            <w:pPr>
              <w:rPr>
                <w:rFonts w:ascii="宋体"/>
              </w:rPr>
            </w:pPr>
          </w:p>
        </w:tc>
        <w:tc>
          <w:tcPr>
            <w:tcW w:w="0" w:type="auto"/>
            <w:shd w:val="clear" w:color="auto" w:fill="auto"/>
            <w:vAlign w:val="bottom"/>
          </w:tcPr>
          <w:p w14:paraId="392C475B" w14:textId="77777777" w:rsidR="00980E5F" w:rsidRDefault="00980E5F">
            <w:pPr>
              <w:rPr>
                <w:rFonts w:ascii="宋体"/>
              </w:rPr>
            </w:pPr>
          </w:p>
        </w:tc>
      </w:tr>
      <w:tr w:rsidR="00980E5F" w14:paraId="392C4775" w14:textId="77777777">
        <w:trPr>
          <w:trHeight w:val="400"/>
        </w:trPr>
        <w:tc>
          <w:tcPr>
            <w:tcW w:w="0" w:type="auto"/>
            <w:gridSpan w:val="3"/>
            <w:shd w:val="clear" w:color="auto" w:fill="auto"/>
            <w:tcMar>
              <w:top w:w="40" w:type="dxa"/>
              <w:left w:w="20" w:type="dxa"/>
              <w:bottom w:w="40" w:type="dxa"/>
              <w:right w:w="20" w:type="dxa"/>
            </w:tcMar>
            <w:vAlign w:val="bottom"/>
          </w:tcPr>
          <w:p w14:paraId="392C475D" w14:textId="77777777" w:rsidR="00980E5F" w:rsidRDefault="00483613">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5E" w14:textId="77777777" w:rsidR="00980E5F" w:rsidRDefault="00483613">
            <w:pPr>
              <w:jc w:val="center"/>
              <w:textAlignment w:val="bottom"/>
            </w:pPr>
            <w:r>
              <w:rPr>
                <w:rFonts w:ascii="Arial" w:eastAsia="宋体" w:hAnsi="Arial" w:cs="Arial"/>
                <w:b/>
                <w:bCs/>
                <w:color w:val="000000"/>
                <w:sz w:val="12"/>
                <w:szCs w:val="12"/>
              </w:rPr>
              <w:t>Fair Value as of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5F"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4760" w14:textId="77777777" w:rsidR="00980E5F" w:rsidRDefault="00483613">
            <w:pPr>
              <w:jc w:val="center"/>
              <w:textAlignment w:val="bottom"/>
            </w:pPr>
            <w:r>
              <w:rPr>
                <w:rFonts w:ascii="Arial" w:eastAsia="宋体" w:hAnsi="Arial" w:cs="Arial"/>
                <w:b/>
                <w:bCs/>
                <w:color w:val="000000"/>
                <w:sz w:val="12"/>
                <w:szCs w:val="12"/>
              </w:rPr>
              <w:t>Total Realized and</w:t>
            </w:r>
          </w:p>
          <w:p w14:paraId="392C4761" w14:textId="77777777" w:rsidR="00980E5F" w:rsidRDefault="00483613">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62"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63" w14:textId="77777777" w:rsidR="00980E5F" w:rsidRDefault="00483613">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64" w14:textId="77777777" w:rsidR="00980E5F" w:rsidRDefault="00980E5F">
            <w:pPr>
              <w:rPr>
                <w:rFonts w:ascii="宋体"/>
              </w:rPr>
            </w:pPr>
          </w:p>
        </w:tc>
        <w:tc>
          <w:tcPr>
            <w:tcW w:w="0" w:type="auto"/>
            <w:shd w:val="clear" w:color="auto" w:fill="auto"/>
            <w:vAlign w:val="bottom"/>
          </w:tcPr>
          <w:p w14:paraId="392C4765" w14:textId="77777777" w:rsidR="00980E5F" w:rsidRDefault="00980E5F">
            <w:pPr>
              <w:rPr>
                <w:rFonts w:ascii="宋体"/>
                <w:vanish/>
              </w:rPr>
            </w:pPr>
          </w:p>
        </w:tc>
        <w:tc>
          <w:tcPr>
            <w:tcW w:w="0" w:type="auto"/>
            <w:shd w:val="clear" w:color="auto" w:fill="auto"/>
            <w:vAlign w:val="bottom"/>
          </w:tcPr>
          <w:p w14:paraId="392C4766" w14:textId="77777777" w:rsidR="00980E5F" w:rsidRDefault="00980E5F">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67" w14:textId="77777777" w:rsidR="00980E5F" w:rsidRDefault="00483613">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68"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69" w14:textId="77777777" w:rsidR="00980E5F" w:rsidRDefault="00483613">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6A"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6B" w14:textId="77777777" w:rsidR="00980E5F" w:rsidRDefault="00483613">
            <w:pPr>
              <w:jc w:val="center"/>
              <w:textAlignment w:val="bottom"/>
            </w:pPr>
            <w:r>
              <w:rPr>
                <w:rFonts w:ascii="Arial" w:eastAsia="宋体" w:hAnsi="Arial" w:cs="Arial"/>
                <w:b/>
                <w:bCs/>
                <w:color w:val="000000"/>
                <w:sz w:val="12"/>
                <w:szCs w:val="12"/>
              </w:rPr>
              <w:t xml:space="preserve">Transfers into </w:t>
            </w:r>
          </w:p>
          <w:p w14:paraId="392C476C" w14:textId="77777777" w:rsidR="00980E5F" w:rsidRDefault="00483613">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6D"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6E" w14:textId="77777777" w:rsidR="00980E5F" w:rsidRDefault="00483613">
            <w:pPr>
              <w:jc w:val="center"/>
              <w:textAlignment w:val="bottom"/>
            </w:pPr>
            <w:r>
              <w:rPr>
                <w:rFonts w:ascii="Arial" w:eastAsia="宋体" w:hAnsi="Arial" w:cs="Arial"/>
                <w:b/>
                <w:bCs/>
                <w:color w:val="000000"/>
                <w:sz w:val="12"/>
                <w:szCs w:val="12"/>
              </w:rPr>
              <w:t xml:space="preserve">Transfers </w:t>
            </w:r>
          </w:p>
          <w:p w14:paraId="392C476F" w14:textId="77777777" w:rsidR="00980E5F" w:rsidRDefault="00483613">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70"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771" w14:textId="77777777" w:rsidR="00980E5F" w:rsidRDefault="00483613">
            <w:pPr>
              <w:jc w:val="center"/>
              <w:textAlignment w:val="bottom"/>
            </w:pPr>
            <w:r>
              <w:rPr>
                <w:rFonts w:ascii="Arial" w:eastAsia="宋体" w:hAnsi="Arial" w:cs="Arial"/>
                <w:b/>
                <w:bCs/>
                <w:color w:val="000000"/>
                <w:sz w:val="12"/>
                <w:szCs w:val="12"/>
              </w:rPr>
              <w:t>Fair Value </w:t>
            </w:r>
          </w:p>
          <w:p w14:paraId="392C4772" w14:textId="77777777" w:rsidR="00980E5F" w:rsidRDefault="00483613">
            <w:pPr>
              <w:jc w:val="center"/>
              <w:textAlignment w:val="bottom"/>
            </w:pPr>
            <w:r>
              <w:rPr>
                <w:rFonts w:ascii="Arial" w:eastAsia="宋体" w:hAnsi="Arial" w:cs="Arial"/>
                <w:b/>
                <w:bCs/>
                <w:color w:val="000000"/>
                <w:sz w:val="12"/>
                <w:szCs w:val="12"/>
              </w:rPr>
              <w:t>as of June 30, 2022</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4773" w14:textId="77777777" w:rsidR="00980E5F" w:rsidRDefault="00980E5F">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92C4774" w14:textId="77777777" w:rsidR="00980E5F" w:rsidRDefault="00483613">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2022</w:t>
            </w:r>
          </w:p>
        </w:tc>
      </w:tr>
      <w:tr w:rsidR="00980E5F" w14:paraId="392C478B" w14:textId="77777777">
        <w:trPr>
          <w:trHeight w:val="720"/>
        </w:trPr>
        <w:tc>
          <w:tcPr>
            <w:tcW w:w="0" w:type="auto"/>
            <w:gridSpan w:val="3"/>
            <w:shd w:val="clear" w:color="auto" w:fill="auto"/>
            <w:tcMar>
              <w:top w:w="40" w:type="dxa"/>
              <w:left w:w="20" w:type="dxa"/>
              <w:bottom w:w="40" w:type="dxa"/>
              <w:right w:w="20" w:type="dxa"/>
            </w:tcMar>
            <w:vAlign w:val="bottom"/>
          </w:tcPr>
          <w:p w14:paraId="392C4776" w14:textId="77777777" w:rsidR="00980E5F" w:rsidRDefault="00483613">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77"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77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779" w14:textId="77777777" w:rsidR="00980E5F" w:rsidRDefault="00483613">
            <w:pPr>
              <w:jc w:val="center"/>
              <w:textAlignment w:val="bottom"/>
            </w:pPr>
            <w:r>
              <w:rPr>
                <w:rFonts w:ascii="Arial" w:eastAsia="宋体" w:hAnsi="Arial" w:cs="Arial"/>
                <w:b/>
                <w:bCs/>
                <w:color w:val="000000"/>
                <w:sz w:val="12"/>
                <w:szCs w:val="12"/>
              </w:rPr>
              <w:t>Recorded in 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7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77B" w14:textId="77777777" w:rsidR="00980E5F" w:rsidRDefault="00483613">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392C477C"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7D"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77E" w14:textId="77777777" w:rsidR="00980E5F" w:rsidRDefault="00980E5F">
            <w:pPr>
              <w:rPr>
                <w:rFonts w:ascii="宋体"/>
              </w:rPr>
            </w:pPr>
          </w:p>
        </w:tc>
        <w:tc>
          <w:tcPr>
            <w:tcW w:w="0" w:type="auto"/>
            <w:shd w:val="clear" w:color="auto" w:fill="auto"/>
            <w:vAlign w:val="bottom"/>
          </w:tcPr>
          <w:p w14:paraId="392C477F" w14:textId="77777777" w:rsidR="00980E5F" w:rsidRDefault="00980E5F">
            <w:pPr>
              <w:rPr>
                <w:rFonts w:ascii="宋体"/>
                <w:vanish/>
              </w:rPr>
            </w:pPr>
          </w:p>
        </w:tc>
        <w:tc>
          <w:tcPr>
            <w:tcW w:w="0" w:type="auto"/>
            <w:shd w:val="clear" w:color="auto" w:fill="auto"/>
            <w:vAlign w:val="bottom"/>
          </w:tcPr>
          <w:p w14:paraId="392C4780" w14:textId="77777777" w:rsidR="00980E5F" w:rsidRDefault="00980E5F">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81"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782"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83"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784"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86"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88"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78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8A" w14:textId="77777777" w:rsidR="00980E5F" w:rsidRDefault="00980E5F">
            <w:pPr>
              <w:rPr>
                <w:rFonts w:ascii="宋体"/>
              </w:rPr>
            </w:pPr>
          </w:p>
        </w:tc>
      </w:tr>
      <w:tr w:rsidR="00980E5F" w14:paraId="392C47A2" w14:textId="77777777">
        <w:tc>
          <w:tcPr>
            <w:tcW w:w="0" w:type="auto"/>
            <w:gridSpan w:val="3"/>
            <w:shd w:val="clear" w:color="auto" w:fill="auto"/>
            <w:tcMar>
              <w:top w:w="40" w:type="dxa"/>
              <w:left w:w="20" w:type="dxa"/>
              <w:bottom w:w="40" w:type="dxa"/>
              <w:right w:w="20" w:type="dxa"/>
            </w:tcMar>
            <w:vAlign w:val="center"/>
          </w:tcPr>
          <w:p w14:paraId="392C478C" w14:textId="77777777" w:rsidR="00980E5F" w:rsidRDefault="00483613">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8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8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8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4" w14:textId="77777777" w:rsidR="00980E5F" w:rsidRDefault="00980E5F">
            <w:pPr>
              <w:rPr>
                <w:rFonts w:ascii="宋体"/>
              </w:rPr>
            </w:pPr>
          </w:p>
        </w:tc>
        <w:tc>
          <w:tcPr>
            <w:tcW w:w="0" w:type="auto"/>
            <w:shd w:val="clear" w:color="auto" w:fill="auto"/>
            <w:vAlign w:val="bottom"/>
          </w:tcPr>
          <w:p w14:paraId="392C4795" w14:textId="77777777" w:rsidR="00980E5F" w:rsidRDefault="00980E5F">
            <w:pPr>
              <w:rPr>
                <w:rFonts w:ascii="宋体"/>
                <w:vanish/>
              </w:rPr>
            </w:pPr>
          </w:p>
        </w:tc>
        <w:tc>
          <w:tcPr>
            <w:tcW w:w="0" w:type="auto"/>
            <w:shd w:val="clear" w:color="auto" w:fill="auto"/>
            <w:vAlign w:val="bottom"/>
          </w:tcPr>
          <w:p w14:paraId="392C4796"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79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79F"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47A0"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47A1" w14:textId="77777777" w:rsidR="00980E5F" w:rsidRDefault="00980E5F">
            <w:pPr>
              <w:rPr>
                <w:rFonts w:ascii="宋体"/>
              </w:rPr>
            </w:pPr>
          </w:p>
        </w:tc>
      </w:tr>
      <w:tr w:rsidR="00980E5F" w14:paraId="392C47B9" w14:textId="77777777">
        <w:trPr>
          <w:hidden/>
        </w:trPr>
        <w:tc>
          <w:tcPr>
            <w:tcW w:w="0" w:type="auto"/>
            <w:gridSpan w:val="3"/>
            <w:shd w:val="clear" w:color="auto" w:fill="auto"/>
            <w:vAlign w:val="bottom"/>
          </w:tcPr>
          <w:p w14:paraId="392C47A3" w14:textId="77777777" w:rsidR="00980E5F" w:rsidRDefault="00980E5F">
            <w:pPr>
              <w:rPr>
                <w:rFonts w:ascii="宋体"/>
                <w:vanish/>
              </w:rPr>
            </w:pPr>
          </w:p>
        </w:tc>
        <w:tc>
          <w:tcPr>
            <w:tcW w:w="0" w:type="auto"/>
            <w:gridSpan w:val="3"/>
            <w:shd w:val="clear" w:color="auto" w:fill="auto"/>
            <w:vAlign w:val="bottom"/>
          </w:tcPr>
          <w:p w14:paraId="392C47A4" w14:textId="77777777" w:rsidR="00980E5F" w:rsidRDefault="00980E5F">
            <w:pPr>
              <w:rPr>
                <w:rFonts w:ascii="宋体"/>
                <w:vanish/>
              </w:rPr>
            </w:pPr>
          </w:p>
        </w:tc>
        <w:tc>
          <w:tcPr>
            <w:tcW w:w="0" w:type="auto"/>
            <w:gridSpan w:val="3"/>
            <w:shd w:val="clear" w:color="auto" w:fill="auto"/>
            <w:vAlign w:val="bottom"/>
          </w:tcPr>
          <w:p w14:paraId="392C47A5" w14:textId="77777777" w:rsidR="00980E5F" w:rsidRDefault="00980E5F">
            <w:pPr>
              <w:rPr>
                <w:rFonts w:ascii="宋体"/>
                <w:vanish/>
              </w:rPr>
            </w:pPr>
          </w:p>
        </w:tc>
        <w:tc>
          <w:tcPr>
            <w:tcW w:w="0" w:type="auto"/>
            <w:gridSpan w:val="3"/>
            <w:shd w:val="clear" w:color="auto" w:fill="auto"/>
            <w:vAlign w:val="bottom"/>
          </w:tcPr>
          <w:p w14:paraId="392C47A6" w14:textId="77777777" w:rsidR="00980E5F" w:rsidRDefault="00980E5F">
            <w:pPr>
              <w:rPr>
                <w:rFonts w:ascii="宋体"/>
                <w:vanish/>
              </w:rPr>
            </w:pPr>
          </w:p>
        </w:tc>
        <w:tc>
          <w:tcPr>
            <w:tcW w:w="0" w:type="auto"/>
            <w:gridSpan w:val="3"/>
            <w:shd w:val="clear" w:color="auto" w:fill="auto"/>
            <w:vAlign w:val="bottom"/>
          </w:tcPr>
          <w:p w14:paraId="392C47A7" w14:textId="77777777" w:rsidR="00980E5F" w:rsidRDefault="00980E5F">
            <w:pPr>
              <w:rPr>
                <w:rFonts w:ascii="宋体"/>
                <w:vanish/>
              </w:rPr>
            </w:pPr>
          </w:p>
        </w:tc>
        <w:tc>
          <w:tcPr>
            <w:tcW w:w="0" w:type="auto"/>
            <w:gridSpan w:val="3"/>
            <w:shd w:val="clear" w:color="auto" w:fill="auto"/>
            <w:vAlign w:val="bottom"/>
          </w:tcPr>
          <w:p w14:paraId="392C47A8" w14:textId="77777777" w:rsidR="00980E5F" w:rsidRDefault="00980E5F">
            <w:pPr>
              <w:rPr>
                <w:rFonts w:ascii="宋体"/>
                <w:vanish/>
              </w:rPr>
            </w:pPr>
          </w:p>
        </w:tc>
        <w:tc>
          <w:tcPr>
            <w:tcW w:w="0" w:type="auto"/>
            <w:gridSpan w:val="3"/>
            <w:shd w:val="clear" w:color="auto" w:fill="auto"/>
            <w:vAlign w:val="bottom"/>
          </w:tcPr>
          <w:p w14:paraId="392C47A9" w14:textId="77777777" w:rsidR="00980E5F" w:rsidRDefault="00980E5F">
            <w:pPr>
              <w:rPr>
                <w:rFonts w:ascii="宋体"/>
                <w:vanish/>
              </w:rPr>
            </w:pPr>
          </w:p>
        </w:tc>
        <w:tc>
          <w:tcPr>
            <w:tcW w:w="0" w:type="auto"/>
            <w:gridSpan w:val="3"/>
            <w:shd w:val="clear" w:color="auto" w:fill="auto"/>
            <w:vAlign w:val="bottom"/>
          </w:tcPr>
          <w:p w14:paraId="392C47AA" w14:textId="77777777" w:rsidR="00980E5F" w:rsidRDefault="00980E5F">
            <w:pPr>
              <w:rPr>
                <w:rFonts w:ascii="宋体"/>
                <w:vanish/>
              </w:rPr>
            </w:pPr>
          </w:p>
        </w:tc>
        <w:tc>
          <w:tcPr>
            <w:tcW w:w="0" w:type="auto"/>
            <w:gridSpan w:val="3"/>
            <w:shd w:val="clear" w:color="auto" w:fill="auto"/>
            <w:vAlign w:val="bottom"/>
          </w:tcPr>
          <w:p w14:paraId="392C47AB" w14:textId="77777777" w:rsidR="00980E5F" w:rsidRDefault="00980E5F">
            <w:pPr>
              <w:rPr>
                <w:rFonts w:ascii="宋体"/>
                <w:vanish/>
              </w:rPr>
            </w:pPr>
          </w:p>
        </w:tc>
        <w:tc>
          <w:tcPr>
            <w:tcW w:w="0" w:type="auto"/>
            <w:shd w:val="clear" w:color="auto" w:fill="auto"/>
            <w:vAlign w:val="bottom"/>
          </w:tcPr>
          <w:p w14:paraId="392C47AC" w14:textId="77777777" w:rsidR="00980E5F" w:rsidRDefault="00980E5F">
            <w:pPr>
              <w:rPr>
                <w:rFonts w:ascii="宋体"/>
                <w:vanish/>
              </w:rPr>
            </w:pPr>
          </w:p>
        </w:tc>
        <w:tc>
          <w:tcPr>
            <w:tcW w:w="0" w:type="auto"/>
            <w:shd w:val="clear" w:color="auto" w:fill="auto"/>
            <w:vAlign w:val="bottom"/>
          </w:tcPr>
          <w:p w14:paraId="392C47AD" w14:textId="77777777" w:rsidR="00980E5F" w:rsidRDefault="00980E5F">
            <w:pPr>
              <w:rPr>
                <w:rFonts w:ascii="宋体"/>
                <w:vanish/>
              </w:rPr>
            </w:pPr>
          </w:p>
        </w:tc>
        <w:tc>
          <w:tcPr>
            <w:tcW w:w="0" w:type="auto"/>
            <w:gridSpan w:val="3"/>
            <w:shd w:val="clear" w:color="auto" w:fill="auto"/>
            <w:vAlign w:val="bottom"/>
          </w:tcPr>
          <w:p w14:paraId="392C47AE" w14:textId="77777777" w:rsidR="00980E5F" w:rsidRDefault="00980E5F">
            <w:pPr>
              <w:rPr>
                <w:rFonts w:ascii="宋体"/>
                <w:vanish/>
              </w:rPr>
            </w:pPr>
          </w:p>
        </w:tc>
        <w:tc>
          <w:tcPr>
            <w:tcW w:w="0" w:type="auto"/>
            <w:gridSpan w:val="3"/>
            <w:shd w:val="clear" w:color="auto" w:fill="auto"/>
            <w:vAlign w:val="bottom"/>
          </w:tcPr>
          <w:p w14:paraId="392C47AF" w14:textId="77777777" w:rsidR="00980E5F" w:rsidRDefault="00980E5F">
            <w:pPr>
              <w:rPr>
                <w:rFonts w:ascii="宋体"/>
                <w:vanish/>
              </w:rPr>
            </w:pPr>
          </w:p>
        </w:tc>
        <w:tc>
          <w:tcPr>
            <w:tcW w:w="0" w:type="auto"/>
            <w:gridSpan w:val="3"/>
            <w:shd w:val="clear" w:color="auto" w:fill="auto"/>
            <w:vAlign w:val="bottom"/>
          </w:tcPr>
          <w:p w14:paraId="392C47B0" w14:textId="77777777" w:rsidR="00980E5F" w:rsidRDefault="00980E5F">
            <w:pPr>
              <w:rPr>
                <w:rFonts w:ascii="宋体"/>
                <w:vanish/>
              </w:rPr>
            </w:pPr>
          </w:p>
        </w:tc>
        <w:tc>
          <w:tcPr>
            <w:tcW w:w="0" w:type="auto"/>
            <w:gridSpan w:val="3"/>
            <w:shd w:val="clear" w:color="auto" w:fill="auto"/>
            <w:vAlign w:val="bottom"/>
          </w:tcPr>
          <w:p w14:paraId="392C47B1" w14:textId="77777777" w:rsidR="00980E5F" w:rsidRDefault="00980E5F">
            <w:pPr>
              <w:rPr>
                <w:rFonts w:ascii="宋体"/>
                <w:vanish/>
              </w:rPr>
            </w:pPr>
          </w:p>
        </w:tc>
        <w:tc>
          <w:tcPr>
            <w:tcW w:w="0" w:type="auto"/>
            <w:gridSpan w:val="3"/>
            <w:shd w:val="clear" w:color="auto" w:fill="auto"/>
            <w:vAlign w:val="bottom"/>
          </w:tcPr>
          <w:p w14:paraId="392C47B2" w14:textId="77777777" w:rsidR="00980E5F" w:rsidRDefault="00980E5F">
            <w:pPr>
              <w:rPr>
                <w:rFonts w:ascii="宋体"/>
                <w:vanish/>
              </w:rPr>
            </w:pPr>
          </w:p>
        </w:tc>
        <w:tc>
          <w:tcPr>
            <w:tcW w:w="0" w:type="auto"/>
            <w:gridSpan w:val="3"/>
            <w:shd w:val="clear" w:color="auto" w:fill="auto"/>
            <w:vAlign w:val="bottom"/>
          </w:tcPr>
          <w:p w14:paraId="392C47B3" w14:textId="77777777" w:rsidR="00980E5F" w:rsidRDefault="00980E5F">
            <w:pPr>
              <w:rPr>
                <w:rFonts w:ascii="宋体"/>
                <w:vanish/>
              </w:rPr>
            </w:pPr>
          </w:p>
        </w:tc>
        <w:tc>
          <w:tcPr>
            <w:tcW w:w="0" w:type="auto"/>
            <w:gridSpan w:val="3"/>
            <w:shd w:val="clear" w:color="auto" w:fill="auto"/>
            <w:vAlign w:val="bottom"/>
          </w:tcPr>
          <w:p w14:paraId="392C47B4" w14:textId="77777777" w:rsidR="00980E5F" w:rsidRDefault="00980E5F">
            <w:pPr>
              <w:rPr>
                <w:rFonts w:ascii="宋体"/>
                <w:vanish/>
              </w:rPr>
            </w:pPr>
          </w:p>
        </w:tc>
        <w:tc>
          <w:tcPr>
            <w:tcW w:w="0" w:type="auto"/>
            <w:gridSpan w:val="3"/>
            <w:shd w:val="clear" w:color="auto" w:fill="auto"/>
            <w:vAlign w:val="bottom"/>
          </w:tcPr>
          <w:p w14:paraId="392C47B5" w14:textId="77777777" w:rsidR="00980E5F" w:rsidRDefault="00980E5F">
            <w:pPr>
              <w:rPr>
                <w:rFonts w:ascii="宋体"/>
                <w:vanish/>
              </w:rPr>
            </w:pPr>
          </w:p>
        </w:tc>
        <w:tc>
          <w:tcPr>
            <w:tcW w:w="0" w:type="auto"/>
            <w:gridSpan w:val="3"/>
            <w:shd w:val="clear" w:color="auto" w:fill="auto"/>
            <w:vAlign w:val="bottom"/>
          </w:tcPr>
          <w:p w14:paraId="392C47B6" w14:textId="77777777" w:rsidR="00980E5F" w:rsidRDefault="00980E5F">
            <w:pPr>
              <w:rPr>
                <w:rFonts w:ascii="宋体"/>
                <w:vanish/>
              </w:rPr>
            </w:pPr>
          </w:p>
        </w:tc>
        <w:tc>
          <w:tcPr>
            <w:tcW w:w="0" w:type="auto"/>
            <w:gridSpan w:val="2"/>
            <w:shd w:val="clear" w:color="auto" w:fill="auto"/>
            <w:vAlign w:val="bottom"/>
          </w:tcPr>
          <w:p w14:paraId="392C47B7" w14:textId="77777777" w:rsidR="00980E5F" w:rsidRDefault="00980E5F">
            <w:pPr>
              <w:rPr>
                <w:rFonts w:ascii="宋体"/>
                <w:vanish/>
              </w:rPr>
            </w:pPr>
          </w:p>
        </w:tc>
        <w:tc>
          <w:tcPr>
            <w:tcW w:w="0" w:type="auto"/>
            <w:shd w:val="clear" w:color="auto" w:fill="auto"/>
            <w:vAlign w:val="bottom"/>
          </w:tcPr>
          <w:p w14:paraId="392C47B8" w14:textId="77777777" w:rsidR="00980E5F" w:rsidRDefault="00980E5F">
            <w:pPr>
              <w:rPr>
                <w:rFonts w:ascii="宋体"/>
                <w:vanish/>
              </w:rPr>
            </w:pPr>
          </w:p>
        </w:tc>
      </w:tr>
      <w:tr w:rsidR="00980E5F" w14:paraId="392C47D0" w14:textId="77777777">
        <w:trPr>
          <w:hidden/>
        </w:trPr>
        <w:tc>
          <w:tcPr>
            <w:tcW w:w="0" w:type="auto"/>
            <w:gridSpan w:val="3"/>
            <w:shd w:val="clear" w:color="auto" w:fill="auto"/>
            <w:vAlign w:val="bottom"/>
          </w:tcPr>
          <w:p w14:paraId="392C47BA" w14:textId="77777777" w:rsidR="00980E5F" w:rsidRDefault="00980E5F">
            <w:pPr>
              <w:rPr>
                <w:rFonts w:ascii="宋体"/>
                <w:vanish/>
              </w:rPr>
            </w:pPr>
          </w:p>
        </w:tc>
        <w:tc>
          <w:tcPr>
            <w:tcW w:w="0" w:type="auto"/>
            <w:gridSpan w:val="3"/>
            <w:shd w:val="clear" w:color="auto" w:fill="auto"/>
            <w:vAlign w:val="bottom"/>
          </w:tcPr>
          <w:p w14:paraId="392C47BB" w14:textId="77777777" w:rsidR="00980E5F" w:rsidRDefault="00980E5F">
            <w:pPr>
              <w:rPr>
                <w:rFonts w:ascii="宋体"/>
                <w:vanish/>
              </w:rPr>
            </w:pPr>
          </w:p>
        </w:tc>
        <w:tc>
          <w:tcPr>
            <w:tcW w:w="0" w:type="auto"/>
            <w:gridSpan w:val="3"/>
            <w:shd w:val="clear" w:color="auto" w:fill="auto"/>
            <w:vAlign w:val="bottom"/>
          </w:tcPr>
          <w:p w14:paraId="392C47BC" w14:textId="77777777" w:rsidR="00980E5F" w:rsidRDefault="00980E5F">
            <w:pPr>
              <w:rPr>
                <w:rFonts w:ascii="宋体"/>
                <w:vanish/>
              </w:rPr>
            </w:pPr>
          </w:p>
        </w:tc>
        <w:tc>
          <w:tcPr>
            <w:tcW w:w="0" w:type="auto"/>
            <w:gridSpan w:val="3"/>
            <w:shd w:val="clear" w:color="auto" w:fill="auto"/>
            <w:vAlign w:val="bottom"/>
          </w:tcPr>
          <w:p w14:paraId="392C47BD" w14:textId="77777777" w:rsidR="00980E5F" w:rsidRDefault="00980E5F">
            <w:pPr>
              <w:rPr>
                <w:rFonts w:ascii="宋体"/>
                <w:vanish/>
              </w:rPr>
            </w:pPr>
          </w:p>
        </w:tc>
        <w:tc>
          <w:tcPr>
            <w:tcW w:w="0" w:type="auto"/>
            <w:gridSpan w:val="3"/>
            <w:shd w:val="clear" w:color="auto" w:fill="auto"/>
            <w:vAlign w:val="bottom"/>
          </w:tcPr>
          <w:p w14:paraId="392C47BE" w14:textId="77777777" w:rsidR="00980E5F" w:rsidRDefault="00980E5F">
            <w:pPr>
              <w:rPr>
                <w:rFonts w:ascii="宋体"/>
                <w:vanish/>
              </w:rPr>
            </w:pPr>
          </w:p>
        </w:tc>
        <w:tc>
          <w:tcPr>
            <w:tcW w:w="0" w:type="auto"/>
            <w:gridSpan w:val="3"/>
            <w:shd w:val="clear" w:color="auto" w:fill="auto"/>
            <w:vAlign w:val="bottom"/>
          </w:tcPr>
          <w:p w14:paraId="392C47BF" w14:textId="77777777" w:rsidR="00980E5F" w:rsidRDefault="00980E5F">
            <w:pPr>
              <w:rPr>
                <w:rFonts w:ascii="宋体"/>
                <w:vanish/>
              </w:rPr>
            </w:pPr>
          </w:p>
        </w:tc>
        <w:tc>
          <w:tcPr>
            <w:tcW w:w="0" w:type="auto"/>
            <w:gridSpan w:val="3"/>
            <w:shd w:val="clear" w:color="auto" w:fill="auto"/>
            <w:vAlign w:val="bottom"/>
          </w:tcPr>
          <w:p w14:paraId="392C47C0" w14:textId="77777777" w:rsidR="00980E5F" w:rsidRDefault="00980E5F">
            <w:pPr>
              <w:rPr>
                <w:rFonts w:ascii="宋体"/>
                <w:vanish/>
              </w:rPr>
            </w:pPr>
          </w:p>
        </w:tc>
        <w:tc>
          <w:tcPr>
            <w:tcW w:w="0" w:type="auto"/>
            <w:gridSpan w:val="3"/>
            <w:shd w:val="clear" w:color="auto" w:fill="auto"/>
            <w:vAlign w:val="bottom"/>
          </w:tcPr>
          <w:p w14:paraId="392C47C1" w14:textId="77777777" w:rsidR="00980E5F" w:rsidRDefault="00980E5F">
            <w:pPr>
              <w:rPr>
                <w:rFonts w:ascii="宋体"/>
                <w:vanish/>
              </w:rPr>
            </w:pPr>
          </w:p>
        </w:tc>
        <w:tc>
          <w:tcPr>
            <w:tcW w:w="0" w:type="auto"/>
            <w:gridSpan w:val="3"/>
            <w:shd w:val="clear" w:color="auto" w:fill="auto"/>
            <w:vAlign w:val="bottom"/>
          </w:tcPr>
          <w:p w14:paraId="392C47C2" w14:textId="77777777" w:rsidR="00980E5F" w:rsidRDefault="00980E5F">
            <w:pPr>
              <w:rPr>
                <w:rFonts w:ascii="宋体"/>
                <w:vanish/>
              </w:rPr>
            </w:pPr>
          </w:p>
        </w:tc>
        <w:tc>
          <w:tcPr>
            <w:tcW w:w="0" w:type="auto"/>
            <w:shd w:val="clear" w:color="auto" w:fill="auto"/>
            <w:vAlign w:val="bottom"/>
          </w:tcPr>
          <w:p w14:paraId="392C47C3" w14:textId="77777777" w:rsidR="00980E5F" w:rsidRDefault="00980E5F">
            <w:pPr>
              <w:rPr>
                <w:rFonts w:ascii="宋体"/>
                <w:vanish/>
              </w:rPr>
            </w:pPr>
          </w:p>
        </w:tc>
        <w:tc>
          <w:tcPr>
            <w:tcW w:w="0" w:type="auto"/>
            <w:shd w:val="clear" w:color="auto" w:fill="auto"/>
            <w:vAlign w:val="bottom"/>
          </w:tcPr>
          <w:p w14:paraId="392C47C4" w14:textId="77777777" w:rsidR="00980E5F" w:rsidRDefault="00980E5F">
            <w:pPr>
              <w:rPr>
                <w:rFonts w:ascii="宋体"/>
                <w:vanish/>
              </w:rPr>
            </w:pPr>
          </w:p>
        </w:tc>
        <w:tc>
          <w:tcPr>
            <w:tcW w:w="0" w:type="auto"/>
            <w:gridSpan w:val="3"/>
            <w:shd w:val="clear" w:color="auto" w:fill="auto"/>
            <w:vAlign w:val="bottom"/>
          </w:tcPr>
          <w:p w14:paraId="392C47C5" w14:textId="77777777" w:rsidR="00980E5F" w:rsidRDefault="00980E5F">
            <w:pPr>
              <w:rPr>
                <w:rFonts w:ascii="宋体"/>
                <w:vanish/>
              </w:rPr>
            </w:pPr>
          </w:p>
        </w:tc>
        <w:tc>
          <w:tcPr>
            <w:tcW w:w="0" w:type="auto"/>
            <w:gridSpan w:val="3"/>
            <w:shd w:val="clear" w:color="auto" w:fill="auto"/>
            <w:vAlign w:val="bottom"/>
          </w:tcPr>
          <w:p w14:paraId="392C47C6" w14:textId="77777777" w:rsidR="00980E5F" w:rsidRDefault="00980E5F">
            <w:pPr>
              <w:rPr>
                <w:rFonts w:ascii="宋体"/>
                <w:vanish/>
              </w:rPr>
            </w:pPr>
          </w:p>
        </w:tc>
        <w:tc>
          <w:tcPr>
            <w:tcW w:w="0" w:type="auto"/>
            <w:gridSpan w:val="3"/>
            <w:shd w:val="clear" w:color="auto" w:fill="auto"/>
            <w:vAlign w:val="bottom"/>
          </w:tcPr>
          <w:p w14:paraId="392C47C7" w14:textId="77777777" w:rsidR="00980E5F" w:rsidRDefault="00980E5F">
            <w:pPr>
              <w:rPr>
                <w:rFonts w:ascii="宋体"/>
                <w:vanish/>
              </w:rPr>
            </w:pPr>
          </w:p>
        </w:tc>
        <w:tc>
          <w:tcPr>
            <w:tcW w:w="0" w:type="auto"/>
            <w:gridSpan w:val="3"/>
            <w:shd w:val="clear" w:color="auto" w:fill="auto"/>
            <w:vAlign w:val="bottom"/>
          </w:tcPr>
          <w:p w14:paraId="392C47C8" w14:textId="77777777" w:rsidR="00980E5F" w:rsidRDefault="00980E5F">
            <w:pPr>
              <w:rPr>
                <w:rFonts w:ascii="宋体"/>
                <w:vanish/>
              </w:rPr>
            </w:pPr>
          </w:p>
        </w:tc>
        <w:tc>
          <w:tcPr>
            <w:tcW w:w="0" w:type="auto"/>
            <w:gridSpan w:val="3"/>
            <w:shd w:val="clear" w:color="auto" w:fill="auto"/>
            <w:vAlign w:val="bottom"/>
          </w:tcPr>
          <w:p w14:paraId="392C47C9" w14:textId="77777777" w:rsidR="00980E5F" w:rsidRDefault="00980E5F">
            <w:pPr>
              <w:rPr>
                <w:rFonts w:ascii="宋体"/>
                <w:vanish/>
              </w:rPr>
            </w:pPr>
          </w:p>
        </w:tc>
        <w:tc>
          <w:tcPr>
            <w:tcW w:w="0" w:type="auto"/>
            <w:gridSpan w:val="3"/>
            <w:shd w:val="clear" w:color="auto" w:fill="auto"/>
            <w:vAlign w:val="bottom"/>
          </w:tcPr>
          <w:p w14:paraId="392C47CA" w14:textId="77777777" w:rsidR="00980E5F" w:rsidRDefault="00980E5F">
            <w:pPr>
              <w:rPr>
                <w:rFonts w:ascii="宋体"/>
                <w:vanish/>
              </w:rPr>
            </w:pPr>
          </w:p>
        </w:tc>
        <w:tc>
          <w:tcPr>
            <w:tcW w:w="0" w:type="auto"/>
            <w:gridSpan w:val="3"/>
            <w:shd w:val="clear" w:color="auto" w:fill="auto"/>
            <w:vAlign w:val="bottom"/>
          </w:tcPr>
          <w:p w14:paraId="392C47CB" w14:textId="77777777" w:rsidR="00980E5F" w:rsidRDefault="00980E5F">
            <w:pPr>
              <w:rPr>
                <w:rFonts w:ascii="宋体"/>
                <w:vanish/>
              </w:rPr>
            </w:pPr>
          </w:p>
        </w:tc>
        <w:tc>
          <w:tcPr>
            <w:tcW w:w="0" w:type="auto"/>
            <w:gridSpan w:val="3"/>
            <w:shd w:val="clear" w:color="auto" w:fill="auto"/>
            <w:vAlign w:val="bottom"/>
          </w:tcPr>
          <w:p w14:paraId="392C47CC" w14:textId="77777777" w:rsidR="00980E5F" w:rsidRDefault="00980E5F">
            <w:pPr>
              <w:rPr>
                <w:rFonts w:ascii="宋体"/>
                <w:vanish/>
              </w:rPr>
            </w:pPr>
          </w:p>
        </w:tc>
        <w:tc>
          <w:tcPr>
            <w:tcW w:w="0" w:type="auto"/>
            <w:gridSpan w:val="3"/>
            <w:shd w:val="clear" w:color="auto" w:fill="auto"/>
            <w:vAlign w:val="bottom"/>
          </w:tcPr>
          <w:p w14:paraId="392C47CD" w14:textId="77777777" w:rsidR="00980E5F" w:rsidRDefault="00980E5F">
            <w:pPr>
              <w:rPr>
                <w:rFonts w:ascii="宋体"/>
                <w:vanish/>
              </w:rPr>
            </w:pPr>
          </w:p>
        </w:tc>
        <w:tc>
          <w:tcPr>
            <w:tcW w:w="0" w:type="auto"/>
            <w:gridSpan w:val="2"/>
            <w:shd w:val="clear" w:color="auto" w:fill="auto"/>
            <w:vAlign w:val="bottom"/>
          </w:tcPr>
          <w:p w14:paraId="392C47CE" w14:textId="77777777" w:rsidR="00980E5F" w:rsidRDefault="00980E5F">
            <w:pPr>
              <w:rPr>
                <w:rFonts w:ascii="宋体"/>
                <w:vanish/>
              </w:rPr>
            </w:pPr>
          </w:p>
        </w:tc>
        <w:tc>
          <w:tcPr>
            <w:tcW w:w="0" w:type="auto"/>
            <w:shd w:val="clear" w:color="auto" w:fill="auto"/>
            <w:vAlign w:val="bottom"/>
          </w:tcPr>
          <w:p w14:paraId="392C47CF" w14:textId="77777777" w:rsidR="00980E5F" w:rsidRDefault="00980E5F">
            <w:pPr>
              <w:rPr>
                <w:rFonts w:ascii="宋体"/>
                <w:vanish/>
              </w:rPr>
            </w:pPr>
          </w:p>
        </w:tc>
      </w:tr>
      <w:tr w:rsidR="00980E5F" w14:paraId="392C47E7" w14:textId="77777777">
        <w:trPr>
          <w:hidden/>
        </w:trPr>
        <w:tc>
          <w:tcPr>
            <w:tcW w:w="0" w:type="auto"/>
            <w:gridSpan w:val="3"/>
            <w:shd w:val="clear" w:color="auto" w:fill="auto"/>
            <w:vAlign w:val="bottom"/>
          </w:tcPr>
          <w:p w14:paraId="392C47D1" w14:textId="77777777" w:rsidR="00980E5F" w:rsidRDefault="00980E5F">
            <w:pPr>
              <w:rPr>
                <w:rFonts w:ascii="宋体"/>
                <w:vanish/>
              </w:rPr>
            </w:pPr>
          </w:p>
        </w:tc>
        <w:tc>
          <w:tcPr>
            <w:tcW w:w="0" w:type="auto"/>
            <w:gridSpan w:val="3"/>
            <w:shd w:val="clear" w:color="auto" w:fill="auto"/>
            <w:vAlign w:val="bottom"/>
          </w:tcPr>
          <w:p w14:paraId="392C47D2" w14:textId="77777777" w:rsidR="00980E5F" w:rsidRDefault="00980E5F">
            <w:pPr>
              <w:rPr>
                <w:rFonts w:ascii="宋体"/>
                <w:vanish/>
              </w:rPr>
            </w:pPr>
          </w:p>
        </w:tc>
        <w:tc>
          <w:tcPr>
            <w:tcW w:w="0" w:type="auto"/>
            <w:gridSpan w:val="3"/>
            <w:shd w:val="clear" w:color="auto" w:fill="auto"/>
            <w:vAlign w:val="bottom"/>
          </w:tcPr>
          <w:p w14:paraId="392C47D3" w14:textId="77777777" w:rsidR="00980E5F" w:rsidRDefault="00980E5F">
            <w:pPr>
              <w:rPr>
                <w:rFonts w:ascii="宋体"/>
                <w:vanish/>
              </w:rPr>
            </w:pPr>
          </w:p>
        </w:tc>
        <w:tc>
          <w:tcPr>
            <w:tcW w:w="0" w:type="auto"/>
            <w:gridSpan w:val="3"/>
            <w:shd w:val="clear" w:color="auto" w:fill="auto"/>
            <w:vAlign w:val="bottom"/>
          </w:tcPr>
          <w:p w14:paraId="392C47D4" w14:textId="77777777" w:rsidR="00980E5F" w:rsidRDefault="00980E5F">
            <w:pPr>
              <w:rPr>
                <w:rFonts w:ascii="宋体"/>
                <w:vanish/>
              </w:rPr>
            </w:pPr>
          </w:p>
        </w:tc>
        <w:tc>
          <w:tcPr>
            <w:tcW w:w="0" w:type="auto"/>
            <w:gridSpan w:val="3"/>
            <w:shd w:val="clear" w:color="auto" w:fill="auto"/>
            <w:vAlign w:val="bottom"/>
          </w:tcPr>
          <w:p w14:paraId="392C47D5" w14:textId="77777777" w:rsidR="00980E5F" w:rsidRDefault="00980E5F">
            <w:pPr>
              <w:rPr>
                <w:rFonts w:ascii="宋体"/>
                <w:vanish/>
              </w:rPr>
            </w:pPr>
          </w:p>
        </w:tc>
        <w:tc>
          <w:tcPr>
            <w:tcW w:w="0" w:type="auto"/>
            <w:gridSpan w:val="3"/>
            <w:shd w:val="clear" w:color="auto" w:fill="auto"/>
            <w:vAlign w:val="bottom"/>
          </w:tcPr>
          <w:p w14:paraId="392C47D6" w14:textId="77777777" w:rsidR="00980E5F" w:rsidRDefault="00980E5F">
            <w:pPr>
              <w:rPr>
                <w:rFonts w:ascii="宋体"/>
                <w:vanish/>
              </w:rPr>
            </w:pPr>
          </w:p>
        </w:tc>
        <w:tc>
          <w:tcPr>
            <w:tcW w:w="0" w:type="auto"/>
            <w:gridSpan w:val="3"/>
            <w:shd w:val="clear" w:color="auto" w:fill="auto"/>
            <w:vAlign w:val="bottom"/>
          </w:tcPr>
          <w:p w14:paraId="392C47D7" w14:textId="77777777" w:rsidR="00980E5F" w:rsidRDefault="00980E5F">
            <w:pPr>
              <w:rPr>
                <w:rFonts w:ascii="宋体"/>
                <w:vanish/>
              </w:rPr>
            </w:pPr>
          </w:p>
        </w:tc>
        <w:tc>
          <w:tcPr>
            <w:tcW w:w="0" w:type="auto"/>
            <w:gridSpan w:val="3"/>
            <w:shd w:val="clear" w:color="auto" w:fill="auto"/>
            <w:vAlign w:val="bottom"/>
          </w:tcPr>
          <w:p w14:paraId="392C47D8" w14:textId="77777777" w:rsidR="00980E5F" w:rsidRDefault="00980E5F">
            <w:pPr>
              <w:rPr>
                <w:rFonts w:ascii="宋体"/>
                <w:vanish/>
              </w:rPr>
            </w:pPr>
          </w:p>
        </w:tc>
        <w:tc>
          <w:tcPr>
            <w:tcW w:w="0" w:type="auto"/>
            <w:gridSpan w:val="3"/>
            <w:shd w:val="clear" w:color="auto" w:fill="auto"/>
            <w:vAlign w:val="bottom"/>
          </w:tcPr>
          <w:p w14:paraId="392C47D9" w14:textId="77777777" w:rsidR="00980E5F" w:rsidRDefault="00980E5F">
            <w:pPr>
              <w:rPr>
                <w:rFonts w:ascii="宋体"/>
                <w:vanish/>
              </w:rPr>
            </w:pPr>
          </w:p>
        </w:tc>
        <w:tc>
          <w:tcPr>
            <w:tcW w:w="0" w:type="auto"/>
            <w:shd w:val="clear" w:color="auto" w:fill="auto"/>
            <w:vAlign w:val="bottom"/>
          </w:tcPr>
          <w:p w14:paraId="392C47DA" w14:textId="77777777" w:rsidR="00980E5F" w:rsidRDefault="00980E5F">
            <w:pPr>
              <w:rPr>
                <w:rFonts w:ascii="宋体"/>
                <w:vanish/>
              </w:rPr>
            </w:pPr>
          </w:p>
        </w:tc>
        <w:tc>
          <w:tcPr>
            <w:tcW w:w="0" w:type="auto"/>
            <w:shd w:val="clear" w:color="auto" w:fill="auto"/>
            <w:vAlign w:val="bottom"/>
          </w:tcPr>
          <w:p w14:paraId="392C47DB" w14:textId="77777777" w:rsidR="00980E5F" w:rsidRDefault="00980E5F">
            <w:pPr>
              <w:rPr>
                <w:rFonts w:ascii="宋体"/>
                <w:vanish/>
              </w:rPr>
            </w:pPr>
          </w:p>
        </w:tc>
        <w:tc>
          <w:tcPr>
            <w:tcW w:w="0" w:type="auto"/>
            <w:gridSpan w:val="3"/>
            <w:shd w:val="clear" w:color="auto" w:fill="auto"/>
            <w:vAlign w:val="bottom"/>
          </w:tcPr>
          <w:p w14:paraId="392C47DC" w14:textId="77777777" w:rsidR="00980E5F" w:rsidRDefault="00980E5F">
            <w:pPr>
              <w:rPr>
                <w:rFonts w:ascii="宋体"/>
                <w:vanish/>
              </w:rPr>
            </w:pPr>
          </w:p>
        </w:tc>
        <w:tc>
          <w:tcPr>
            <w:tcW w:w="0" w:type="auto"/>
            <w:gridSpan w:val="3"/>
            <w:shd w:val="clear" w:color="auto" w:fill="auto"/>
            <w:vAlign w:val="bottom"/>
          </w:tcPr>
          <w:p w14:paraId="392C47DD" w14:textId="77777777" w:rsidR="00980E5F" w:rsidRDefault="00980E5F">
            <w:pPr>
              <w:rPr>
                <w:rFonts w:ascii="宋体"/>
                <w:vanish/>
              </w:rPr>
            </w:pPr>
          </w:p>
        </w:tc>
        <w:tc>
          <w:tcPr>
            <w:tcW w:w="0" w:type="auto"/>
            <w:gridSpan w:val="3"/>
            <w:shd w:val="clear" w:color="auto" w:fill="auto"/>
            <w:vAlign w:val="bottom"/>
          </w:tcPr>
          <w:p w14:paraId="392C47DE" w14:textId="77777777" w:rsidR="00980E5F" w:rsidRDefault="00980E5F">
            <w:pPr>
              <w:rPr>
                <w:rFonts w:ascii="宋体"/>
                <w:vanish/>
              </w:rPr>
            </w:pPr>
          </w:p>
        </w:tc>
        <w:tc>
          <w:tcPr>
            <w:tcW w:w="0" w:type="auto"/>
            <w:gridSpan w:val="3"/>
            <w:shd w:val="clear" w:color="auto" w:fill="auto"/>
            <w:vAlign w:val="bottom"/>
          </w:tcPr>
          <w:p w14:paraId="392C47DF" w14:textId="77777777" w:rsidR="00980E5F" w:rsidRDefault="00980E5F">
            <w:pPr>
              <w:rPr>
                <w:rFonts w:ascii="宋体"/>
                <w:vanish/>
              </w:rPr>
            </w:pPr>
          </w:p>
        </w:tc>
        <w:tc>
          <w:tcPr>
            <w:tcW w:w="0" w:type="auto"/>
            <w:gridSpan w:val="3"/>
            <w:shd w:val="clear" w:color="auto" w:fill="auto"/>
            <w:vAlign w:val="bottom"/>
          </w:tcPr>
          <w:p w14:paraId="392C47E0" w14:textId="77777777" w:rsidR="00980E5F" w:rsidRDefault="00980E5F">
            <w:pPr>
              <w:rPr>
                <w:rFonts w:ascii="宋体"/>
                <w:vanish/>
              </w:rPr>
            </w:pPr>
          </w:p>
        </w:tc>
        <w:tc>
          <w:tcPr>
            <w:tcW w:w="0" w:type="auto"/>
            <w:gridSpan w:val="3"/>
            <w:shd w:val="clear" w:color="auto" w:fill="auto"/>
            <w:vAlign w:val="bottom"/>
          </w:tcPr>
          <w:p w14:paraId="392C47E1" w14:textId="77777777" w:rsidR="00980E5F" w:rsidRDefault="00980E5F">
            <w:pPr>
              <w:rPr>
                <w:rFonts w:ascii="宋体"/>
                <w:vanish/>
              </w:rPr>
            </w:pPr>
          </w:p>
        </w:tc>
        <w:tc>
          <w:tcPr>
            <w:tcW w:w="0" w:type="auto"/>
            <w:gridSpan w:val="3"/>
            <w:shd w:val="clear" w:color="auto" w:fill="auto"/>
            <w:vAlign w:val="bottom"/>
          </w:tcPr>
          <w:p w14:paraId="392C47E2" w14:textId="77777777" w:rsidR="00980E5F" w:rsidRDefault="00980E5F">
            <w:pPr>
              <w:rPr>
                <w:rFonts w:ascii="宋体"/>
                <w:vanish/>
              </w:rPr>
            </w:pPr>
          </w:p>
        </w:tc>
        <w:tc>
          <w:tcPr>
            <w:tcW w:w="0" w:type="auto"/>
            <w:gridSpan w:val="3"/>
            <w:shd w:val="clear" w:color="auto" w:fill="auto"/>
            <w:vAlign w:val="bottom"/>
          </w:tcPr>
          <w:p w14:paraId="392C47E3" w14:textId="77777777" w:rsidR="00980E5F" w:rsidRDefault="00980E5F">
            <w:pPr>
              <w:rPr>
                <w:rFonts w:ascii="宋体"/>
                <w:vanish/>
              </w:rPr>
            </w:pPr>
          </w:p>
        </w:tc>
        <w:tc>
          <w:tcPr>
            <w:tcW w:w="0" w:type="auto"/>
            <w:gridSpan w:val="3"/>
            <w:shd w:val="clear" w:color="auto" w:fill="auto"/>
            <w:vAlign w:val="bottom"/>
          </w:tcPr>
          <w:p w14:paraId="392C47E4" w14:textId="77777777" w:rsidR="00980E5F" w:rsidRDefault="00980E5F">
            <w:pPr>
              <w:rPr>
                <w:rFonts w:ascii="宋体"/>
                <w:vanish/>
              </w:rPr>
            </w:pPr>
          </w:p>
        </w:tc>
        <w:tc>
          <w:tcPr>
            <w:tcW w:w="0" w:type="auto"/>
            <w:gridSpan w:val="2"/>
            <w:shd w:val="clear" w:color="auto" w:fill="auto"/>
            <w:vAlign w:val="bottom"/>
          </w:tcPr>
          <w:p w14:paraId="392C47E5" w14:textId="77777777" w:rsidR="00980E5F" w:rsidRDefault="00980E5F">
            <w:pPr>
              <w:rPr>
                <w:rFonts w:ascii="宋体"/>
                <w:vanish/>
              </w:rPr>
            </w:pPr>
          </w:p>
        </w:tc>
        <w:tc>
          <w:tcPr>
            <w:tcW w:w="0" w:type="auto"/>
            <w:shd w:val="clear" w:color="auto" w:fill="auto"/>
            <w:vAlign w:val="bottom"/>
          </w:tcPr>
          <w:p w14:paraId="392C47E6" w14:textId="77777777" w:rsidR="00980E5F" w:rsidRDefault="00980E5F">
            <w:pPr>
              <w:rPr>
                <w:rFonts w:ascii="宋体"/>
                <w:vanish/>
              </w:rPr>
            </w:pPr>
          </w:p>
        </w:tc>
      </w:tr>
      <w:tr w:rsidR="00980E5F" w14:paraId="392C47FE" w14:textId="77777777">
        <w:trPr>
          <w:hidden/>
        </w:trPr>
        <w:tc>
          <w:tcPr>
            <w:tcW w:w="0" w:type="auto"/>
            <w:gridSpan w:val="3"/>
            <w:shd w:val="clear" w:color="auto" w:fill="auto"/>
            <w:vAlign w:val="bottom"/>
          </w:tcPr>
          <w:p w14:paraId="392C47E8" w14:textId="77777777" w:rsidR="00980E5F" w:rsidRDefault="00980E5F">
            <w:pPr>
              <w:rPr>
                <w:rFonts w:ascii="宋体"/>
                <w:vanish/>
              </w:rPr>
            </w:pPr>
          </w:p>
        </w:tc>
        <w:tc>
          <w:tcPr>
            <w:tcW w:w="0" w:type="auto"/>
            <w:gridSpan w:val="3"/>
            <w:shd w:val="clear" w:color="auto" w:fill="auto"/>
            <w:vAlign w:val="bottom"/>
          </w:tcPr>
          <w:p w14:paraId="392C47E9" w14:textId="77777777" w:rsidR="00980E5F" w:rsidRDefault="00980E5F">
            <w:pPr>
              <w:rPr>
                <w:rFonts w:ascii="宋体"/>
                <w:vanish/>
              </w:rPr>
            </w:pPr>
          </w:p>
        </w:tc>
        <w:tc>
          <w:tcPr>
            <w:tcW w:w="0" w:type="auto"/>
            <w:gridSpan w:val="3"/>
            <w:shd w:val="clear" w:color="auto" w:fill="auto"/>
            <w:vAlign w:val="bottom"/>
          </w:tcPr>
          <w:p w14:paraId="392C47EA" w14:textId="77777777" w:rsidR="00980E5F" w:rsidRDefault="00980E5F">
            <w:pPr>
              <w:rPr>
                <w:rFonts w:ascii="宋体"/>
                <w:vanish/>
              </w:rPr>
            </w:pPr>
          </w:p>
        </w:tc>
        <w:tc>
          <w:tcPr>
            <w:tcW w:w="0" w:type="auto"/>
            <w:gridSpan w:val="3"/>
            <w:shd w:val="clear" w:color="auto" w:fill="auto"/>
            <w:vAlign w:val="bottom"/>
          </w:tcPr>
          <w:p w14:paraId="392C47EB" w14:textId="77777777" w:rsidR="00980E5F" w:rsidRDefault="00980E5F">
            <w:pPr>
              <w:rPr>
                <w:rFonts w:ascii="宋体"/>
                <w:vanish/>
              </w:rPr>
            </w:pPr>
          </w:p>
        </w:tc>
        <w:tc>
          <w:tcPr>
            <w:tcW w:w="0" w:type="auto"/>
            <w:gridSpan w:val="3"/>
            <w:shd w:val="clear" w:color="auto" w:fill="auto"/>
            <w:vAlign w:val="bottom"/>
          </w:tcPr>
          <w:p w14:paraId="392C47EC" w14:textId="77777777" w:rsidR="00980E5F" w:rsidRDefault="00980E5F">
            <w:pPr>
              <w:rPr>
                <w:rFonts w:ascii="宋体"/>
                <w:vanish/>
              </w:rPr>
            </w:pPr>
          </w:p>
        </w:tc>
        <w:tc>
          <w:tcPr>
            <w:tcW w:w="0" w:type="auto"/>
            <w:gridSpan w:val="3"/>
            <w:shd w:val="clear" w:color="auto" w:fill="auto"/>
            <w:vAlign w:val="bottom"/>
          </w:tcPr>
          <w:p w14:paraId="392C47ED" w14:textId="77777777" w:rsidR="00980E5F" w:rsidRDefault="00980E5F">
            <w:pPr>
              <w:rPr>
                <w:rFonts w:ascii="宋体"/>
                <w:vanish/>
              </w:rPr>
            </w:pPr>
          </w:p>
        </w:tc>
        <w:tc>
          <w:tcPr>
            <w:tcW w:w="0" w:type="auto"/>
            <w:gridSpan w:val="3"/>
            <w:shd w:val="clear" w:color="auto" w:fill="auto"/>
            <w:vAlign w:val="bottom"/>
          </w:tcPr>
          <w:p w14:paraId="392C47EE" w14:textId="77777777" w:rsidR="00980E5F" w:rsidRDefault="00980E5F">
            <w:pPr>
              <w:rPr>
                <w:rFonts w:ascii="宋体"/>
                <w:vanish/>
              </w:rPr>
            </w:pPr>
          </w:p>
        </w:tc>
        <w:tc>
          <w:tcPr>
            <w:tcW w:w="0" w:type="auto"/>
            <w:gridSpan w:val="3"/>
            <w:shd w:val="clear" w:color="auto" w:fill="auto"/>
            <w:vAlign w:val="bottom"/>
          </w:tcPr>
          <w:p w14:paraId="392C47EF" w14:textId="77777777" w:rsidR="00980E5F" w:rsidRDefault="00980E5F">
            <w:pPr>
              <w:rPr>
                <w:rFonts w:ascii="宋体"/>
                <w:vanish/>
              </w:rPr>
            </w:pPr>
          </w:p>
        </w:tc>
        <w:tc>
          <w:tcPr>
            <w:tcW w:w="0" w:type="auto"/>
            <w:gridSpan w:val="3"/>
            <w:shd w:val="clear" w:color="auto" w:fill="auto"/>
            <w:vAlign w:val="bottom"/>
          </w:tcPr>
          <w:p w14:paraId="392C47F0" w14:textId="77777777" w:rsidR="00980E5F" w:rsidRDefault="00980E5F">
            <w:pPr>
              <w:rPr>
                <w:rFonts w:ascii="宋体"/>
                <w:vanish/>
              </w:rPr>
            </w:pPr>
          </w:p>
        </w:tc>
        <w:tc>
          <w:tcPr>
            <w:tcW w:w="0" w:type="auto"/>
            <w:shd w:val="clear" w:color="auto" w:fill="auto"/>
            <w:vAlign w:val="bottom"/>
          </w:tcPr>
          <w:p w14:paraId="392C47F1" w14:textId="77777777" w:rsidR="00980E5F" w:rsidRDefault="00980E5F">
            <w:pPr>
              <w:rPr>
                <w:rFonts w:ascii="宋体"/>
                <w:vanish/>
              </w:rPr>
            </w:pPr>
          </w:p>
        </w:tc>
        <w:tc>
          <w:tcPr>
            <w:tcW w:w="0" w:type="auto"/>
            <w:shd w:val="clear" w:color="auto" w:fill="auto"/>
            <w:vAlign w:val="bottom"/>
          </w:tcPr>
          <w:p w14:paraId="392C47F2" w14:textId="77777777" w:rsidR="00980E5F" w:rsidRDefault="00980E5F">
            <w:pPr>
              <w:rPr>
                <w:rFonts w:ascii="宋体"/>
                <w:vanish/>
              </w:rPr>
            </w:pPr>
          </w:p>
        </w:tc>
        <w:tc>
          <w:tcPr>
            <w:tcW w:w="0" w:type="auto"/>
            <w:gridSpan w:val="3"/>
            <w:shd w:val="clear" w:color="auto" w:fill="auto"/>
            <w:vAlign w:val="bottom"/>
          </w:tcPr>
          <w:p w14:paraId="392C47F3" w14:textId="77777777" w:rsidR="00980E5F" w:rsidRDefault="00980E5F">
            <w:pPr>
              <w:rPr>
                <w:rFonts w:ascii="宋体"/>
                <w:vanish/>
              </w:rPr>
            </w:pPr>
          </w:p>
        </w:tc>
        <w:tc>
          <w:tcPr>
            <w:tcW w:w="0" w:type="auto"/>
            <w:gridSpan w:val="3"/>
            <w:shd w:val="clear" w:color="auto" w:fill="auto"/>
            <w:vAlign w:val="bottom"/>
          </w:tcPr>
          <w:p w14:paraId="392C47F4" w14:textId="77777777" w:rsidR="00980E5F" w:rsidRDefault="00980E5F">
            <w:pPr>
              <w:rPr>
                <w:rFonts w:ascii="宋体"/>
                <w:vanish/>
              </w:rPr>
            </w:pPr>
          </w:p>
        </w:tc>
        <w:tc>
          <w:tcPr>
            <w:tcW w:w="0" w:type="auto"/>
            <w:gridSpan w:val="3"/>
            <w:shd w:val="clear" w:color="auto" w:fill="auto"/>
            <w:vAlign w:val="bottom"/>
          </w:tcPr>
          <w:p w14:paraId="392C47F5" w14:textId="77777777" w:rsidR="00980E5F" w:rsidRDefault="00980E5F">
            <w:pPr>
              <w:rPr>
                <w:rFonts w:ascii="宋体"/>
                <w:vanish/>
              </w:rPr>
            </w:pPr>
          </w:p>
        </w:tc>
        <w:tc>
          <w:tcPr>
            <w:tcW w:w="0" w:type="auto"/>
            <w:gridSpan w:val="3"/>
            <w:shd w:val="clear" w:color="auto" w:fill="auto"/>
            <w:vAlign w:val="bottom"/>
          </w:tcPr>
          <w:p w14:paraId="392C47F6" w14:textId="77777777" w:rsidR="00980E5F" w:rsidRDefault="00980E5F">
            <w:pPr>
              <w:rPr>
                <w:rFonts w:ascii="宋体"/>
                <w:vanish/>
              </w:rPr>
            </w:pPr>
          </w:p>
        </w:tc>
        <w:tc>
          <w:tcPr>
            <w:tcW w:w="0" w:type="auto"/>
            <w:gridSpan w:val="3"/>
            <w:shd w:val="clear" w:color="auto" w:fill="auto"/>
            <w:vAlign w:val="bottom"/>
          </w:tcPr>
          <w:p w14:paraId="392C47F7" w14:textId="77777777" w:rsidR="00980E5F" w:rsidRDefault="00980E5F">
            <w:pPr>
              <w:rPr>
                <w:rFonts w:ascii="宋体"/>
                <w:vanish/>
              </w:rPr>
            </w:pPr>
          </w:p>
        </w:tc>
        <w:tc>
          <w:tcPr>
            <w:tcW w:w="0" w:type="auto"/>
            <w:gridSpan w:val="3"/>
            <w:shd w:val="clear" w:color="auto" w:fill="auto"/>
            <w:vAlign w:val="bottom"/>
          </w:tcPr>
          <w:p w14:paraId="392C47F8" w14:textId="77777777" w:rsidR="00980E5F" w:rsidRDefault="00980E5F">
            <w:pPr>
              <w:rPr>
                <w:rFonts w:ascii="宋体"/>
                <w:vanish/>
              </w:rPr>
            </w:pPr>
          </w:p>
        </w:tc>
        <w:tc>
          <w:tcPr>
            <w:tcW w:w="0" w:type="auto"/>
            <w:gridSpan w:val="3"/>
            <w:shd w:val="clear" w:color="auto" w:fill="auto"/>
            <w:vAlign w:val="bottom"/>
          </w:tcPr>
          <w:p w14:paraId="392C47F9" w14:textId="77777777" w:rsidR="00980E5F" w:rsidRDefault="00980E5F">
            <w:pPr>
              <w:rPr>
                <w:rFonts w:ascii="宋体"/>
                <w:vanish/>
              </w:rPr>
            </w:pPr>
          </w:p>
        </w:tc>
        <w:tc>
          <w:tcPr>
            <w:tcW w:w="0" w:type="auto"/>
            <w:gridSpan w:val="3"/>
            <w:shd w:val="clear" w:color="auto" w:fill="auto"/>
            <w:vAlign w:val="bottom"/>
          </w:tcPr>
          <w:p w14:paraId="392C47FA" w14:textId="77777777" w:rsidR="00980E5F" w:rsidRDefault="00980E5F">
            <w:pPr>
              <w:rPr>
                <w:rFonts w:ascii="宋体"/>
                <w:vanish/>
              </w:rPr>
            </w:pPr>
          </w:p>
        </w:tc>
        <w:tc>
          <w:tcPr>
            <w:tcW w:w="0" w:type="auto"/>
            <w:gridSpan w:val="3"/>
            <w:shd w:val="clear" w:color="auto" w:fill="auto"/>
            <w:vAlign w:val="bottom"/>
          </w:tcPr>
          <w:p w14:paraId="392C47FB" w14:textId="77777777" w:rsidR="00980E5F" w:rsidRDefault="00980E5F">
            <w:pPr>
              <w:rPr>
                <w:rFonts w:ascii="宋体"/>
                <w:vanish/>
              </w:rPr>
            </w:pPr>
          </w:p>
        </w:tc>
        <w:tc>
          <w:tcPr>
            <w:tcW w:w="0" w:type="auto"/>
            <w:gridSpan w:val="2"/>
            <w:shd w:val="clear" w:color="auto" w:fill="auto"/>
            <w:vAlign w:val="bottom"/>
          </w:tcPr>
          <w:p w14:paraId="392C47FC" w14:textId="77777777" w:rsidR="00980E5F" w:rsidRDefault="00980E5F">
            <w:pPr>
              <w:rPr>
                <w:rFonts w:ascii="宋体"/>
                <w:vanish/>
              </w:rPr>
            </w:pPr>
          </w:p>
        </w:tc>
        <w:tc>
          <w:tcPr>
            <w:tcW w:w="0" w:type="auto"/>
            <w:shd w:val="clear" w:color="auto" w:fill="auto"/>
            <w:vAlign w:val="bottom"/>
          </w:tcPr>
          <w:p w14:paraId="392C47FD" w14:textId="77777777" w:rsidR="00980E5F" w:rsidRDefault="00980E5F">
            <w:pPr>
              <w:rPr>
                <w:rFonts w:ascii="宋体"/>
                <w:vanish/>
              </w:rPr>
            </w:pPr>
          </w:p>
        </w:tc>
      </w:tr>
      <w:tr w:rsidR="00980E5F" w14:paraId="392C4815" w14:textId="77777777">
        <w:trPr>
          <w:hidden/>
        </w:trPr>
        <w:tc>
          <w:tcPr>
            <w:tcW w:w="0" w:type="auto"/>
            <w:gridSpan w:val="3"/>
            <w:shd w:val="clear" w:color="auto" w:fill="auto"/>
            <w:vAlign w:val="bottom"/>
          </w:tcPr>
          <w:p w14:paraId="392C47FF" w14:textId="77777777" w:rsidR="00980E5F" w:rsidRDefault="00980E5F">
            <w:pPr>
              <w:rPr>
                <w:rFonts w:ascii="宋体"/>
                <w:vanish/>
              </w:rPr>
            </w:pPr>
          </w:p>
        </w:tc>
        <w:tc>
          <w:tcPr>
            <w:tcW w:w="0" w:type="auto"/>
            <w:gridSpan w:val="3"/>
            <w:shd w:val="clear" w:color="auto" w:fill="auto"/>
            <w:vAlign w:val="bottom"/>
          </w:tcPr>
          <w:p w14:paraId="392C4800" w14:textId="77777777" w:rsidR="00980E5F" w:rsidRDefault="00980E5F">
            <w:pPr>
              <w:rPr>
                <w:rFonts w:ascii="宋体"/>
                <w:vanish/>
              </w:rPr>
            </w:pPr>
          </w:p>
        </w:tc>
        <w:tc>
          <w:tcPr>
            <w:tcW w:w="0" w:type="auto"/>
            <w:gridSpan w:val="3"/>
            <w:shd w:val="clear" w:color="auto" w:fill="auto"/>
            <w:vAlign w:val="bottom"/>
          </w:tcPr>
          <w:p w14:paraId="392C4801" w14:textId="77777777" w:rsidR="00980E5F" w:rsidRDefault="00980E5F">
            <w:pPr>
              <w:rPr>
                <w:rFonts w:ascii="宋体"/>
                <w:vanish/>
              </w:rPr>
            </w:pPr>
          </w:p>
        </w:tc>
        <w:tc>
          <w:tcPr>
            <w:tcW w:w="0" w:type="auto"/>
            <w:gridSpan w:val="3"/>
            <w:shd w:val="clear" w:color="auto" w:fill="auto"/>
            <w:vAlign w:val="bottom"/>
          </w:tcPr>
          <w:p w14:paraId="392C4802" w14:textId="77777777" w:rsidR="00980E5F" w:rsidRDefault="00980E5F">
            <w:pPr>
              <w:rPr>
                <w:rFonts w:ascii="宋体"/>
                <w:vanish/>
              </w:rPr>
            </w:pPr>
          </w:p>
        </w:tc>
        <w:tc>
          <w:tcPr>
            <w:tcW w:w="0" w:type="auto"/>
            <w:gridSpan w:val="3"/>
            <w:shd w:val="clear" w:color="auto" w:fill="auto"/>
            <w:vAlign w:val="bottom"/>
          </w:tcPr>
          <w:p w14:paraId="392C4803" w14:textId="77777777" w:rsidR="00980E5F" w:rsidRDefault="00980E5F">
            <w:pPr>
              <w:rPr>
                <w:rFonts w:ascii="宋体"/>
                <w:vanish/>
              </w:rPr>
            </w:pPr>
          </w:p>
        </w:tc>
        <w:tc>
          <w:tcPr>
            <w:tcW w:w="0" w:type="auto"/>
            <w:gridSpan w:val="3"/>
            <w:shd w:val="clear" w:color="auto" w:fill="auto"/>
            <w:vAlign w:val="bottom"/>
          </w:tcPr>
          <w:p w14:paraId="392C4804" w14:textId="77777777" w:rsidR="00980E5F" w:rsidRDefault="00980E5F">
            <w:pPr>
              <w:rPr>
                <w:rFonts w:ascii="宋体"/>
                <w:vanish/>
              </w:rPr>
            </w:pPr>
          </w:p>
        </w:tc>
        <w:tc>
          <w:tcPr>
            <w:tcW w:w="0" w:type="auto"/>
            <w:gridSpan w:val="3"/>
            <w:shd w:val="clear" w:color="auto" w:fill="auto"/>
            <w:vAlign w:val="bottom"/>
          </w:tcPr>
          <w:p w14:paraId="392C4805" w14:textId="77777777" w:rsidR="00980E5F" w:rsidRDefault="00980E5F">
            <w:pPr>
              <w:rPr>
                <w:rFonts w:ascii="宋体"/>
                <w:vanish/>
              </w:rPr>
            </w:pPr>
          </w:p>
        </w:tc>
        <w:tc>
          <w:tcPr>
            <w:tcW w:w="0" w:type="auto"/>
            <w:gridSpan w:val="3"/>
            <w:shd w:val="clear" w:color="auto" w:fill="auto"/>
            <w:vAlign w:val="bottom"/>
          </w:tcPr>
          <w:p w14:paraId="392C4806" w14:textId="77777777" w:rsidR="00980E5F" w:rsidRDefault="00980E5F">
            <w:pPr>
              <w:rPr>
                <w:rFonts w:ascii="宋体"/>
                <w:vanish/>
              </w:rPr>
            </w:pPr>
          </w:p>
        </w:tc>
        <w:tc>
          <w:tcPr>
            <w:tcW w:w="0" w:type="auto"/>
            <w:gridSpan w:val="3"/>
            <w:shd w:val="clear" w:color="auto" w:fill="auto"/>
            <w:vAlign w:val="bottom"/>
          </w:tcPr>
          <w:p w14:paraId="392C4807" w14:textId="77777777" w:rsidR="00980E5F" w:rsidRDefault="00980E5F">
            <w:pPr>
              <w:rPr>
                <w:rFonts w:ascii="宋体"/>
                <w:vanish/>
              </w:rPr>
            </w:pPr>
          </w:p>
        </w:tc>
        <w:tc>
          <w:tcPr>
            <w:tcW w:w="0" w:type="auto"/>
            <w:shd w:val="clear" w:color="auto" w:fill="auto"/>
            <w:vAlign w:val="bottom"/>
          </w:tcPr>
          <w:p w14:paraId="392C4808" w14:textId="77777777" w:rsidR="00980E5F" w:rsidRDefault="00980E5F">
            <w:pPr>
              <w:rPr>
                <w:rFonts w:ascii="宋体"/>
                <w:vanish/>
              </w:rPr>
            </w:pPr>
          </w:p>
        </w:tc>
        <w:tc>
          <w:tcPr>
            <w:tcW w:w="0" w:type="auto"/>
            <w:shd w:val="clear" w:color="auto" w:fill="auto"/>
            <w:vAlign w:val="bottom"/>
          </w:tcPr>
          <w:p w14:paraId="392C4809" w14:textId="77777777" w:rsidR="00980E5F" w:rsidRDefault="00980E5F">
            <w:pPr>
              <w:rPr>
                <w:rFonts w:ascii="宋体"/>
                <w:vanish/>
              </w:rPr>
            </w:pPr>
          </w:p>
        </w:tc>
        <w:tc>
          <w:tcPr>
            <w:tcW w:w="0" w:type="auto"/>
            <w:gridSpan w:val="3"/>
            <w:shd w:val="clear" w:color="auto" w:fill="auto"/>
            <w:vAlign w:val="bottom"/>
          </w:tcPr>
          <w:p w14:paraId="392C480A" w14:textId="77777777" w:rsidR="00980E5F" w:rsidRDefault="00980E5F">
            <w:pPr>
              <w:rPr>
                <w:rFonts w:ascii="宋体"/>
                <w:vanish/>
              </w:rPr>
            </w:pPr>
          </w:p>
        </w:tc>
        <w:tc>
          <w:tcPr>
            <w:tcW w:w="0" w:type="auto"/>
            <w:gridSpan w:val="3"/>
            <w:shd w:val="clear" w:color="auto" w:fill="auto"/>
            <w:vAlign w:val="bottom"/>
          </w:tcPr>
          <w:p w14:paraId="392C480B" w14:textId="77777777" w:rsidR="00980E5F" w:rsidRDefault="00980E5F">
            <w:pPr>
              <w:rPr>
                <w:rFonts w:ascii="宋体"/>
                <w:vanish/>
              </w:rPr>
            </w:pPr>
          </w:p>
        </w:tc>
        <w:tc>
          <w:tcPr>
            <w:tcW w:w="0" w:type="auto"/>
            <w:gridSpan w:val="3"/>
            <w:shd w:val="clear" w:color="auto" w:fill="auto"/>
            <w:vAlign w:val="bottom"/>
          </w:tcPr>
          <w:p w14:paraId="392C480C" w14:textId="77777777" w:rsidR="00980E5F" w:rsidRDefault="00980E5F">
            <w:pPr>
              <w:rPr>
                <w:rFonts w:ascii="宋体"/>
                <w:vanish/>
              </w:rPr>
            </w:pPr>
          </w:p>
        </w:tc>
        <w:tc>
          <w:tcPr>
            <w:tcW w:w="0" w:type="auto"/>
            <w:gridSpan w:val="3"/>
            <w:shd w:val="clear" w:color="auto" w:fill="auto"/>
            <w:vAlign w:val="bottom"/>
          </w:tcPr>
          <w:p w14:paraId="392C480D" w14:textId="77777777" w:rsidR="00980E5F" w:rsidRDefault="00980E5F">
            <w:pPr>
              <w:rPr>
                <w:rFonts w:ascii="宋体"/>
                <w:vanish/>
              </w:rPr>
            </w:pPr>
          </w:p>
        </w:tc>
        <w:tc>
          <w:tcPr>
            <w:tcW w:w="0" w:type="auto"/>
            <w:gridSpan w:val="3"/>
            <w:shd w:val="clear" w:color="auto" w:fill="auto"/>
            <w:vAlign w:val="bottom"/>
          </w:tcPr>
          <w:p w14:paraId="392C480E" w14:textId="77777777" w:rsidR="00980E5F" w:rsidRDefault="00980E5F">
            <w:pPr>
              <w:rPr>
                <w:rFonts w:ascii="宋体"/>
                <w:vanish/>
              </w:rPr>
            </w:pPr>
          </w:p>
        </w:tc>
        <w:tc>
          <w:tcPr>
            <w:tcW w:w="0" w:type="auto"/>
            <w:gridSpan w:val="3"/>
            <w:shd w:val="clear" w:color="auto" w:fill="auto"/>
            <w:vAlign w:val="bottom"/>
          </w:tcPr>
          <w:p w14:paraId="392C480F" w14:textId="77777777" w:rsidR="00980E5F" w:rsidRDefault="00980E5F">
            <w:pPr>
              <w:rPr>
                <w:rFonts w:ascii="宋体"/>
                <w:vanish/>
              </w:rPr>
            </w:pPr>
          </w:p>
        </w:tc>
        <w:tc>
          <w:tcPr>
            <w:tcW w:w="0" w:type="auto"/>
            <w:gridSpan w:val="3"/>
            <w:shd w:val="clear" w:color="auto" w:fill="auto"/>
            <w:vAlign w:val="bottom"/>
          </w:tcPr>
          <w:p w14:paraId="392C4810" w14:textId="77777777" w:rsidR="00980E5F" w:rsidRDefault="00980E5F">
            <w:pPr>
              <w:rPr>
                <w:rFonts w:ascii="宋体"/>
                <w:vanish/>
              </w:rPr>
            </w:pPr>
          </w:p>
        </w:tc>
        <w:tc>
          <w:tcPr>
            <w:tcW w:w="0" w:type="auto"/>
            <w:gridSpan w:val="3"/>
            <w:shd w:val="clear" w:color="auto" w:fill="auto"/>
            <w:vAlign w:val="bottom"/>
          </w:tcPr>
          <w:p w14:paraId="392C4811" w14:textId="77777777" w:rsidR="00980E5F" w:rsidRDefault="00980E5F">
            <w:pPr>
              <w:rPr>
                <w:rFonts w:ascii="宋体"/>
                <w:vanish/>
              </w:rPr>
            </w:pPr>
          </w:p>
        </w:tc>
        <w:tc>
          <w:tcPr>
            <w:tcW w:w="0" w:type="auto"/>
            <w:gridSpan w:val="3"/>
            <w:shd w:val="clear" w:color="auto" w:fill="auto"/>
            <w:vAlign w:val="bottom"/>
          </w:tcPr>
          <w:p w14:paraId="392C4812" w14:textId="77777777" w:rsidR="00980E5F" w:rsidRDefault="00980E5F">
            <w:pPr>
              <w:rPr>
                <w:rFonts w:ascii="宋体"/>
                <w:vanish/>
              </w:rPr>
            </w:pPr>
          </w:p>
        </w:tc>
        <w:tc>
          <w:tcPr>
            <w:tcW w:w="0" w:type="auto"/>
            <w:gridSpan w:val="2"/>
            <w:shd w:val="clear" w:color="auto" w:fill="auto"/>
            <w:vAlign w:val="bottom"/>
          </w:tcPr>
          <w:p w14:paraId="392C4813" w14:textId="77777777" w:rsidR="00980E5F" w:rsidRDefault="00980E5F">
            <w:pPr>
              <w:rPr>
                <w:rFonts w:ascii="宋体"/>
                <w:vanish/>
              </w:rPr>
            </w:pPr>
          </w:p>
        </w:tc>
        <w:tc>
          <w:tcPr>
            <w:tcW w:w="0" w:type="auto"/>
            <w:shd w:val="clear" w:color="auto" w:fill="auto"/>
            <w:vAlign w:val="bottom"/>
          </w:tcPr>
          <w:p w14:paraId="392C4814" w14:textId="77777777" w:rsidR="00980E5F" w:rsidRDefault="00980E5F">
            <w:pPr>
              <w:rPr>
                <w:rFonts w:ascii="宋体"/>
                <w:vanish/>
              </w:rPr>
            </w:pPr>
          </w:p>
        </w:tc>
      </w:tr>
      <w:tr w:rsidR="00980E5F" w14:paraId="392C482C" w14:textId="77777777">
        <w:trPr>
          <w:hidden/>
        </w:trPr>
        <w:tc>
          <w:tcPr>
            <w:tcW w:w="0" w:type="auto"/>
            <w:gridSpan w:val="3"/>
            <w:shd w:val="clear" w:color="auto" w:fill="auto"/>
            <w:vAlign w:val="bottom"/>
          </w:tcPr>
          <w:p w14:paraId="392C4816" w14:textId="77777777" w:rsidR="00980E5F" w:rsidRDefault="00980E5F">
            <w:pPr>
              <w:rPr>
                <w:rFonts w:ascii="宋体"/>
                <w:vanish/>
              </w:rPr>
            </w:pPr>
          </w:p>
        </w:tc>
        <w:tc>
          <w:tcPr>
            <w:tcW w:w="0" w:type="auto"/>
            <w:gridSpan w:val="3"/>
            <w:shd w:val="clear" w:color="auto" w:fill="auto"/>
            <w:vAlign w:val="bottom"/>
          </w:tcPr>
          <w:p w14:paraId="392C4817" w14:textId="77777777" w:rsidR="00980E5F" w:rsidRDefault="00980E5F">
            <w:pPr>
              <w:rPr>
                <w:rFonts w:ascii="宋体"/>
                <w:vanish/>
              </w:rPr>
            </w:pPr>
          </w:p>
        </w:tc>
        <w:tc>
          <w:tcPr>
            <w:tcW w:w="0" w:type="auto"/>
            <w:gridSpan w:val="3"/>
            <w:shd w:val="clear" w:color="auto" w:fill="auto"/>
            <w:vAlign w:val="bottom"/>
          </w:tcPr>
          <w:p w14:paraId="392C4818" w14:textId="77777777" w:rsidR="00980E5F" w:rsidRDefault="00980E5F">
            <w:pPr>
              <w:rPr>
                <w:rFonts w:ascii="宋体"/>
                <w:vanish/>
              </w:rPr>
            </w:pPr>
          </w:p>
        </w:tc>
        <w:tc>
          <w:tcPr>
            <w:tcW w:w="0" w:type="auto"/>
            <w:gridSpan w:val="3"/>
            <w:shd w:val="clear" w:color="auto" w:fill="auto"/>
            <w:vAlign w:val="bottom"/>
          </w:tcPr>
          <w:p w14:paraId="392C4819" w14:textId="77777777" w:rsidR="00980E5F" w:rsidRDefault="00980E5F">
            <w:pPr>
              <w:rPr>
                <w:rFonts w:ascii="宋体"/>
                <w:vanish/>
              </w:rPr>
            </w:pPr>
          </w:p>
        </w:tc>
        <w:tc>
          <w:tcPr>
            <w:tcW w:w="0" w:type="auto"/>
            <w:gridSpan w:val="3"/>
            <w:shd w:val="clear" w:color="auto" w:fill="auto"/>
            <w:vAlign w:val="bottom"/>
          </w:tcPr>
          <w:p w14:paraId="392C481A" w14:textId="77777777" w:rsidR="00980E5F" w:rsidRDefault="00980E5F">
            <w:pPr>
              <w:rPr>
                <w:rFonts w:ascii="宋体"/>
                <w:vanish/>
              </w:rPr>
            </w:pPr>
          </w:p>
        </w:tc>
        <w:tc>
          <w:tcPr>
            <w:tcW w:w="0" w:type="auto"/>
            <w:gridSpan w:val="3"/>
            <w:shd w:val="clear" w:color="auto" w:fill="auto"/>
            <w:vAlign w:val="bottom"/>
          </w:tcPr>
          <w:p w14:paraId="392C481B" w14:textId="77777777" w:rsidR="00980E5F" w:rsidRDefault="00980E5F">
            <w:pPr>
              <w:rPr>
                <w:rFonts w:ascii="宋体"/>
                <w:vanish/>
              </w:rPr>
            </w:pPr>
          </w:p>
        </w:tc>
        <w:tc>
          <w:tcPr>
            <w:tcW w:w="0" w:type="auto"/>
            <w:gridSpan w:val="3"/>
            <w:shd w:val="clear" w:color="auto" w:fill="auto"/>
            <w:vAlign w:val="bottom"/>
          </w:tcPr>
          <w:p w14:paraId="392C481C" w14:textId="77777777" w:rsidR="00980E5F" w:rsidRDefault="00980E5F">
            <w:pPr>
              <w:rPr>
                <w:rFonts w:ascii="宋体"/>
                <w:vanish/>
              </w:rPr>
            </w:pPr>
          </w:p>
        </w:tc>
        <w:tc>
          <w:tcPr>
            <w:tcW w:w="0" w:type="auto"/>
            <w:gridSpan w:val="3"/>
            <w:shd w:val="clear" w:color="auto" w:fill="auto"/>
            <w:vAlign w:val="bottom"/>
          </w:tcPr>
          <w:p w14:paraId="392C481D" w14:textId="77777777" w:rsidR="00980E5F" w:rsidRDefault="00980E5F">
            <w:pPr>
              <w:rPr>
                <w:rFonts w:ascii="宋体"/>
                <w:vanish/>
              </w:rPr>
            </w:pPr>
          </w:p>
        </w:tc>
        <w:tc>
          <w:tcPr>
            <w:tcW w:w="0" w:type="auto"/>
            <w:gridSpan w:val="3"/>
            <w:shd w:val="clear" w:color="auto" w:fill="auto"/>
            <w:vAlign w:val="bottom"/>
          </w:tcPr>
          <w:p w14:paraId="392C481E" w14:textId="77777777" w:rsidR="00980E5F" w:rsidRDefault="00980E5F">
            <w:pPr>
              <w:rPr>
                <w:rFonts w:ascii="宋体"/>
                <w:vanish/>
              </w:rPr>
            </w:pPr>
          </w:p>
        </w:tc>
        <w:tc>
          <w:tcPr>
            <w:tcW w:w="0" w:type="auto"/>
            <w:shd w:val="clear" w:color="auto" w:fill="auto"/>
            <w:vAlign w:val="bottom"/>
          </w:tcPr>
          <w:p w14:paraId="392C481F" w14:textId="77777777" w:rsidR="00980E5F" w:rsidRDefault="00980E5F">
            <w:pPr>
              <w:rPr>
                <w:rFonts w:ascii="宋体"/>
                <w:vanish/>
              </w:rPr>
            </w:pPr>
          </w:p>
        </w:tc>
        <w:tc>
          <w:tcPr>
            <w:tcW w:w="0" w:type="auto"/>
            <w:shd w:val="clear" w:color="auto" w:fill="auto"/>
            <w:vAlign w:val="bottom"/>
          </w:tcPr>
          <w:p w14:paraId="392C4820" w14:textId="77777777" w:rsidR="00980E5F" w:rsidRDefault="00980E5F">
            <w:pPr>
              <w:rPr>
                <w:rFonts w:ascii="宋体"/>
                <w:vanish/>
              </w:rPr>
            </w:pPr>
          </w:p>
        </w:tc>
        <w:tc>
          <w:tcPr>
            <w:tcW w:w="0" w:type="auto"/>
            <w:gridSpan w:val="3"/>
            <w:shd w:val="clear" w:color="auto" w:fill="auto"/>
            <w:vAlign w:val="bottom"/>
          </w:tcPr>
          <w:p w14:paraId="392C4821" w14:textId="77777777" w:rsidR="00980E5F" w:rsidRDefault="00980E5F">
            <w:pPr>
              <w:rPr>
                <w:rFonts w:ascii="宋体"/>
                <w:vanish/>
              </w:rPr>
            </w:pPr>
          </w:p>
        </w:tc>
        <w:tc>
          <w:tcPr>
            <w:tcW w:w="0" w:type="auto"/>
            <w:gridSpan w:val="3"/>
            <w:shd w:val="clear" w:color="auto" w:fill="auto"/>
            <w:vAlign w:val="bottom"/>
          </w:tcPr>
          <w:p w14:paraId="392C4822" w14:textId="77777777" w:rsidR="00980E5F" w:rsidRDefault="00980E5F">
            <w:pPr>
              <w:rPr>
                <w:rFonts w:ascii="宋体"/>
                <w:vanish/>
              </w:rPr>
            </w:pPr>
          </w:p>
        </w:tc>
        <w:tc>
          <w:tcPr>
            <w:tcW w:w="0" w:type="auto"/>
            <w:gridSpan w:val="3"/>
            <w:shd w:val="clear" w:color="auto" w:fill="auto"/>
            <w:vAlign w:val="bottom"/>
          </w:tcPr>
          <w:p w14:paraId="392C4823" w14:textId="77777777" w:rsidR="00980E5F" w:rsidRDefault="00980E5F">
            <w:pPr>
              <w:rPr>
                <w:rFonts w:ascii="宋体"/>
                <w:vanish/>
              </w:rPr>
            </w:pPr>
          </w:p>
        </w:tc>
        <w:tc>
          <w:tcPr>
            <w:tcW w:w="0" w:type="auto"/>
            <w:gridSpan w:val="3"/>
            <w:shd w:val="clear" w:color="auto" w:fill="auto"/>
            <w:vAlign w:val="bottom"/>
          </w:tcPr>
          <w:p w14:paraId="392C4824" w14:textId="77777777" w:rsidR="00980E5F" w:rsidRDefault="00980E5F">
            <w:pPr>
              <w:rPr>
                <w:rFonts w:ascii="宋体"/>
                <w:vanish/>
              </w:rPr>
            </w:pPr>
          </w:p>
        </w:tc>
        <w:tc>
          <w:tcPr>
            <w:tcW w:w="0" w:type="auto"/>
            <w:gridSpan w:val="3"/>
            <w:shd w:val="clear" w:color="auto" w:fill="auto"/>
            <w:vAlign w:val="bottom"/>
          </w:tcPr>
          <w:p w14:paraId="392C4825" w14:textId="77777777" w:rsidR="00980E5F" w:rsidRDefault="00980E5F">
            <w:pPr>
              <w:rPr>
                <w:rFonts w:ascii="宋体"/>
                <w:vanish/>
              </w:rPr>
            </w:pPr>
          </w:p>
        </w:tc>
        <w:tc>
          <w:tcPr>
            <w:tcW w:w="0" w:type="auto"/>
            <w:gridSpan w:val="3"/>
            <w:shd w:val="clear" w:color="auto" w:fill="auto"/>
            <w:vAlign w:val="bottom"/>
          </w:tcPr>
          <w:p w14:paraId="392C4826" w14:textId="77777777" w:rsidR="00980E5F" w:rsidRDefault="00980E5F">
            <w:pPr>
              <w:rPr>
                <w:rFonts w:ascii="宋体"/>
                <w:vanish/>
              </w:rPr>
            </w:pPr>
          </w:p>
        </w:tc>
        <w:tc>
          <w:tcPr>
            <w:tcW w:w="0" w:type="auto"/>
            <w:gridSpan w:val="3"/>
            <w:shd w:val="clear" w:color="auto" w:fill="auto"/>
            <w:vAlign w:val="bottom"/>
          </w:tcPr>
          <w:p w14:paraId="392C4827" w14:textId="77777777" w:rsidR="00980E5F" w:rsidRDefault="00980E5F">
            <w:pPr>
              <w:rPr>
                <w:rFonts w:ascii="宋体"/>
                <w:vanish/>
              </w:rPr>
            </w:pPr>
          </w:p>
        </w:tc>
        <w:tc>
          <w:tcPr>
            <w:tcW w:w="0" w:type="auto"/>
            <w:gridSpan w:val="3"/>
            <w:shd w:val="clear" w:color="auto" w:fill="auto"/>
            <w:vAlign w:val="bottom"/>
          </w:tcPr>
          <w:p w14:paraId="392C4828" w14:textId="77777777" w:rsidR="00980E5F" w:rsidRDefault="00980E5F">
            <w:pPr>
              <w:rPr>
                <w:rFonts w:ascii="宋体"/>
                <w:vanish/>
              </w:rPr>
            </w:pPr>
          </w:p>
        </w:tc>
        <w:tc>
          <w:tcPr>
            <w:tcW w:w="0" w:type="auto"/>
            <w:gridSpan w:val="3"/>
            <w:shd w:val="clear" w:color="auto" w:fill="auto"/>
            <w:vAlign w:val="bottom"/>
          </w:tcPr>
          <w:p w14:paraId="392C4829" w14:textId="77777777" w:rsidR="00980E5F" w:rsidRDefault="00980E5F">
            <w:pPr>
              <w:rPr>
                <w:rFonts w:ascii="宋体"/>
                <w:vanish/>
              </w:rPr>
            </w:pPr>
          </w:p>
        </w:tc>
        <w:tc>
          <w:tcPr>
            <w:tcW w:w="0" w:type="auto"/>
            <w:gridSpan w:val="2"/>
            <w:shd w:val="clear" w:color="auto" w:fill="auto"/>
            <w:vAlign w:val="bottom"/>
          </w:tcPr>
          <w:p w14:paraId="392C482A" w14:textId="77777777" w:rsidR="00980E5F" w:rsidRDefault="00980E5F">
            <w:pPr>
              <w:rPr>
                <w:rFonts w:ascii="宋体"/>
                <w:vanish/>
              </w:rPr>
            </w:pPr>
          </w:p>
        </w:tc>
        <w:tc>
          <w:tcPr>
            <w:tcW w:w="0" w:type="auto"/>
            <w:shd w:val="clear" w:color="auto" w:fill="auto"/>
            <w:vAlign w:val="bottom"/>
          </w:tcPr>
          <w:p w14:paraId="392C482B" w14:textId="77777777" w:rsidR="00980E5F" w:rsidRDefault="00980E5F">
            <w:pPr>
              <w:rPr>
                <w:rFonts w:ascii="宋体"/>
                <w:vanish/>
              </w:rPr>
            </w:pPr>
          </w:p>
        </w:tc>
      </w:tr>
      <w:tr w:rsidR="00980E5F" w14:paraId="392C4843" w14:textId="77777777">
        <w:trPr>
          <w:hidden/>
        </w:trPr>
        <w:tc>
          <w:tcPr>
            <w:tcW w:w="0" w:type="auto"/>
            <w:gridSpan w:val="3"/>
            <w:shd w:val="clear" w:color="auto" w:fill="auto"/>
            <w:vAlign w:val="bottom"/>
          </w:tcPr>
          <w:p w14:paraId="392C482D" w14:textId="77777777" w:rsidR="00980E5F" w:rsidRDefault="00980E5F">
            <w:pPr>
              <w:rPr>
                <w:rFonts w:ascii="宋体"/>
                <w:vanish/>
              </w:rPr>
            </w:pPr>
          </w:p>
        </w:tc>
        <w:tc>
          <w:tcPr>
            <w:tcW w:w="0" w:type="auto"/>
            <w:gridSpan w:val="3"/>
            <w:shd w:val="clear" w:color="auto" w:fill="auto"/>
            <w:vAlign w:val="bottom"/>
          </w:tcPr>
          <w:p w14:paraId="392C482E" w14:textId="77777777" w:rsidR="00980E5F" w:rsidRDefault="00980E5F">
            <w:pPr>
              <w:rPr>
                <w:rFonts w:ascii="宋体"/>
                <w:vanish/>
              </w:rPr>
            </w:pPr>
          </w:p>
        </w:tc>
        <w:tc>
          <w:tcPr>
            <w:tcW w:w="0" w:type="auto"/>
            <w:gridSpan w:val="3"/>
            <w:shd w:val="clear" w:color="auto" w:fill="auto"/>
            <w:vAlign w:val="bottom"/>
          </w:tcPr>
          <w:p w14:paraId="392C482F" w14:textId="77777777" w:rsidR="00980E5F" w:rsidRDefault="00980E5F">
            <w:pPr>
              <w:rPr>
                <w:rFonts w:ascii="宋体"/>
                <w:vanish/>
              </w:rPr>
            </w:pPr>
          </w:p>
        </w:tc>
        <w:tc>
          <w:tcPr>
            <w:tcW w:w="0" w:type="auto"/>
            <w:gridSpan w:val="3"/>
            <w:shd w:val="clear" w:color="auto" w:fill="auto"/>
            <w:vAlign w:val="bottom"/>
          </w:tcPr>
          <w:p w14:paraId="392C4830" w14:textId="77777777" w:rsidR="00980E5F" w:rsidRDefault="00980E5F">
            <w:pPr>
              <w:rPr>
                <w:rFonts w:ascii="宋体"/>
                <w:vanish/>
              </w:rPr>
            </w:pPr>
          </w:p>
        </w:tc>
        <w:tc>
          <w:tcPr>
            <w:tcW w:w="0" w:type="auto"/>
            <w:gridSpan w:val="3"/>
            <w:shd w:val="clear" w:color="auto" w:fill="auto"/>
            <w:vAlign w:val="bottom"/>
          </w:tcPr>
          <w:p w14:paraId="392C4831" w14:textId="77777777" w:rsidR="00980E5F" w:rsidRDefault="00980E5F">
            <w:pPr>
              <w:rPr>
                <w:rFonts w:ascii="宋体"/>
                <w:vanish/>
              </w:rPr>
            </w:pPr>
          </w:p>
        </w:tc>
        <w:tc>
          <w:tcPr>
            <w:tcW w:w="0" w:type="auto"/>
            <w:gridSpan w:val="3"/>
            <w:shd w:val="clear" w:color="auto" w:fill="auto"/>
            <w:vAlign w:val="bottom"/>
          </w:tcPr>
          <w:p w14:paraId="392C4832" w14:textId="77777777" w:rsidR="00980E5F" w:rsidRDefault="00980E5F">
            <w:pPr>
              <w:rPr>
                <w:rFonts w:ascii="宋体"/>
                <w:vanish/>
              </w:rPr>
            </w:pPr>
          </w:p>
        </w:tc>
        <w:tc>
          <w:tcPr>
            <w:tcW w:w="0" w:type="auto"/>
            <w:gridSpan w:val="3"/>
            <w:shd w:val="clear" w:color="auto" w:fill="auto"/>
            <w:vAlign w:val="bottom"/>
          </w:tcPr>
          <w:p w14:paraId="392C4833" w14:textId="77777777" w:rsidR="00980E5F" w:rsidRDefault="00980E5F">
            <w:pPr>
              <w:rPr>
                <w:rFonts w:ascii="宋体"/>
                <w:vanish/>
              </w:rPr>
            </w:pPr>
          </w:p>
        </w:tc>
        <w:tc>
          <w:tcPr>
            <w:tcW w:w="0" w:type="auto"/>
            <w:gridSpan w:val="3"/>
            <w:shd w:val="clear" w:color="auto" w:fill="auto"/>
            <w:vAlign w:val="bottom"/>
          </w:tcPr>
          <w:p w14:paraId="392C4834" w14:textId="77777777" w:rsidR="00980E5F" w:rsidRDefault="00980E5F">
            <w:pPr>
              <w:rPr>
                <w:rFonts w:ascii="宋体"/>
                <w:vanish/>
              </w:rPr>
            </w:pPr>
          </w:p>
        </w:tc>
        <w:tc>
          <w:tcPr>
            <w:tcW w:w="0" w:type="auto"/>
            <w:gridSpan w:val="3"/>
            <w:shd w:val="clear" w:color="auto" w:fill="auto"/>
            <w:vAlign w:val="bottom"/>
          </w:tcPr>
          <w:p w14:paraId="392C4835" w14:textId="77777777" w:rsidR="00980E5F" w:rsidRDefault="00980E5F">
            <w:pPr>
              <w:rPr>
                <w:rFonts w:ascii="宋体"/>
                <w:vanish/>
              </w:rPr>
            </w:pPr>
          </w:p>
        </w:tc>
        <w:tc>
          <w:tcPr>
            <w:tcW w:w="0" w:type="auto"/>
            <w:shd w:val="clear" w:color="auto" w:fill="auto"/>
            <w:vAlign w:val="bottom"/>
          </w:tcPr>
          <w:p w14:paraId="392C4836" w14:textId="77777777" w:rsidR="00980E5F" w:rsidRDefault="00980E5F">
            <w:pPr>
              <w:rPr>
                <w:rFonts w:ascii="宋体"/>
                <w:vanish/>
              </w:rPr>
            </w:pPr>
          </w:p>
        </w:tc>
        <w:tc>
          <w:tcPr>
            <w:tcW w:w="0" w:type="auto"/>
            <w:shd w:val="clear" w:color="auto" w:fill="auto"/>
            <w:vAlign w:val="bottom"/>
          </w:tcPr>
          <w:p w14:paraId="392C4837" w14:textId="77777777" w:rsidR="00980E5F" w:rsidRDefault="00980E5F">
            <w:pPr>
              <w:rPr>
                <w:rFonts w:ascii="宋体"/>
                <w:vanish/>
              </w:rPr>
            </w:pPr>
          </w:p>
        </w:tc>
        <w:tc>
          <w:tcPr>
            <w:tcW w:w="0" w:type="auto"/>
            <w:gridSpan w:val="3"/>
            <w:shd w:val="clear" w:color="auto" w:fill="auto"/>
            <w:vAlign w:val="bottom"/>
          </w:tcPr>
          <w:p w14:paraId="392C4838" w14:textId="77777777" w:rsidR="00980E5F" w:rsidRDefault="00980E5F">
            <w:pPr>
              <w:rPr>
                <w:rFonts w:ascii="宋体"/>
                <w:vanish/>
              </w:rPr>
            </w:pPr>
          </w:p>
        </w:tc>
        <w:tc>
          <w:tcPr>
            <w:tcW w:w="0" w:type="auto"/>
            <w:gridSpan w:val="3"/>
            <w:shd w:val="clear" w:color="auto" w:fill="auto"/>
            <w:vAlign w:val="bottom"/>
          </w:tcPr>
          <w:p w14:paraId="392C4839" w14:textId="77777777" w:rsidR="00980E5F" w:rsidRDefault="00980E5F">
            <w:pPr>
              <w:rPr>
                <w:rFonts w:ascii="宋体"/>
                <w:vanish/>
              </w:rPr>
            </w:pPr>
          </w:p>
        </w:tc>
        <w:tc>
          <w:tcPr>
            <w:tcW w:w="0" w:type="auto"/>
            <w:gridSpan w:val="3"/>
            <w:shd w:val="clear" w:color="auto" w:fill="auto"/>
            <w:vAlign w:val="bottom"/>
          </w:tcPr>
          <w:p w14:paraId="392C483A" w14:textId="77777777" w:rsidR="00980E5F" w:rsidRDefault="00980E5F">
            <w:pPr>
              <w:rPr>
                <w:rFonts w:ascii="宋体"/>
                <w:vanish/>
              </w:rPr>
            </w:pPr>
          </w:p>
        </w:tc>
        <w:tc>
          <w:tcPr>
            <w:tcW w:w="0" w:type="auto"/>
            <w:gridSpan w:val="3"/>
            <w:shd w:val="clear" w:color="auto" w:fill="auto"/>
            <w:vAlign w:val="bottom"/>
          </w:tcPr>
          <w:p w14:paraId="392C483B" w14:textId="77777777" w:rsidR="00980E5F" w:rsidRDefault="00980E5F">
            <w:pPr>
              <w:rPr>
                <w:rFonts w:ascii="宋体"/>
                <w:vanish/>
              </w:rPr>
            </w:pPr>
          </w:p>
        </w:tc>
        <w:tc>
          <w:tcPr>
            <w:tcW w:w="0" w:type="auto"/>
            <w:gridSpan w:val="3"/>
            <w:shd w:val="clear" w:color="auto" w:fill="auto"/>
            <w:vAlign w:val="bottom"/>
          </w:tcPr>
          <w:p w14:paraId="392C483C" w14:textId="77777777" w:rsidR="00980E5F" w:rsidRDefault="00980E5F">
            <w:pPr>
              <w:rPr>
                <w:rFonts w:ascii="宋体"/>
                <w:vanish/>
              </w:rPr>
            </w:pPr>
          </w:p>
        </w:tc>
        <w:tc>
          <w:tcPr>
            <w:tcW w:w="0" w:type="auto"/>
            <w:gridSpan w:val="3"/>
            <w:shd w:val="clear" w:color="auto" w:fill="auto"/>
            <w:vAlign w:val="bottom"/>
          </w:tcPr>
          <w:p w14:paraId="392C483D" w14:textId="77777777" w:rsidR="00980E5F" w:rsidRDefault="00980E5F">
            <w:pPr>
              <w:rPr>
                <w:rFonts w:ascii="宋体"/>
                <w:vanish/>
              </w:rPr>
            </w:pPr>
          </w:p>
        </w:tc>
        <w:tc>
          <w:tcPr>
            <w:tcW w:w="0" w:type="auto"/>
            <w:gridSpan w:val="3"/>
            <w:shd w:val="clear" w:color="auto" w:fill="auto"/>
            <w:vAlign w:val="bottom"/>
          </w:tcPr>
          <w:p w14:paraId="392C483E" w14:textId="77777777" w:rsidR="00980E5F" w:rsidRDefault="00980E5F">
            <w:pPr>
              <w:rPr>
                <w:rFonts w:ascii="宋体"/>
                <w:vanish/>
              </w:rPr>
            </w:pPr>
          </w:p>
        </w:tc>
        <w:tc>
          <w:tcPr>
            <w:tcW w:w="0" w:type="auto"/>
            <w:gridSpan w:val="3"/>
            <w:shd w:val="clear" w:color="auto" w:fill="auto"/>
            <w:vAlign w:val="bottom"/>
          </w:tcPr>
          <w:p w14:paraId="392C483F" w14:textId="77777777" w:rsidR="00980E5F" w:rsidRDefault="00980E5F">
            <w:pPr>
              <w:rPr>
                <w:rFonts w:ascii="宋体"/>
                <w:vanish/>
              </w:rPr>
            </w:pPr>
          </w:p>
        </w:tc>
        <w:tc>
          <w:tcPr>
            <w:tcW w:w="0" w:type="auto"/>
            <w:gridSpan w:val="3"/>
            <w:shd w:val="clear" w:color="auto" w:fill="auto"/>
            <w:vAlign w:val="bottom"/>
          </w:tcPr>
          <w:p w14:paraId="392C4840" w14:textId="77777777" w:rsidR="00980E5F" w:rsidRDefault="00980E5F">
            <w:pPr>
              <w:rPr>
                <w:rFonts w:ascii="宋体"/>
                <w:vanish/>
              </w:rPr>
            </w:pPr>
          </w:p>
        </w:tc>
        <w:tc>
          <w:tcPr>
            <w:tcW w:w="0" w:type="auto"/>
            <w:gridSpan w:val="2"/>
            <w:shd w:val="clear" w:color="auto" w:fill="auto"/>
            <w:vAlign w:val="bottom"/>
          </w:tcPr>
          <w:p w14:paraId="392C4841" w14:textId="77777777" w:rsidR="00980E5F" w:rsidRDefault="00980E5F">
            <w:pPr>
              <w:rPr>
                <w:rFonts w:ascii="宋体"/>
                <w:vanish/>
              </w:rPr>
            </w:pPr>
          </w:p>
        </w:tc>
        <w:tc>
          <w:tcPr>
            <w:tcW w:w="0" w:type="auto"/>
            <w:shd w:val="clear" w:color="auto" w:fill="auto"/>
            <w:vAlign w:val="bottom"/>
          </w:tcPr>
          <w:p w14:paraId="392C4842" w14:textId="77777777" w:rsidR="00980E5F" w:rsidRDefault="00980E5F">
            <w:pPr>
              <w:rPr>
                <w:rFonts w:ascii="宋体"/>
                <w:vanish/>
              </w:rPr>
            </w:pPr>
          </w:p>
        </w:tc>
      </w:tr>
      <w:tr w:rsidR="00980E5F" w14:paraId="392C485A" w14:textId="77777777">
        <w:trPr>
          <w:hidden/>
        </w:trPr>
        <w:tc>
          <w:tcPr>
            <w:tcW w:w="0" w:type="auto"/>
            <w:gridSpan w:val="3"/>
            <w:shd w:val="clear" w:color="auto" w:fill="auto"/>
            <w:vAlign w:val="bottom"/>
          </w:tcPr>
          <w:p w14:paraId="392C4844" w14:textId="77777777" w:rsidR="00980E5F" w:rsidRDefault="00980E5F">
            <w:pPr>
              <w:rPr>
                <w:rFonts w:ascii="宋体"/>
                <w:vanish/>
              </w:rPr>
            </w:pPr>
          </w:p>
        </w:tc>
        <w:tc>
          <w:tcPr>
            <w:tcW w:w="0" w:type="auto"/>
            <w:gridSpan w:val="3"/>
            <w:shd w:val="clear" w:color="auto" w:fill="auto"/>
            <w:vAlign w:val="bottom"/>
          </w:tcPr>
          <w:p w14:paraId="392C4845" w14:textId="77777777" w:rsidR="00980E5F" w:rsidRDefault="00980E5F">
            <w:pPr>
              <w:rPr>
                <w:rFonts w:ascii="宋体"/>
                <w:vanish/>
              </w:rPr>
            </w:pPr>
          </w:p>
        </w:tc>
        <w:tc>
          <w:tcPr>
            <w:tcW w:w="0" w:type="auto"/>
            <w:gridSpan w:val="3"/>
            <w:shd w:val="clear" w:color="auto" w:fill="auto"/>
            <w:vAlign w:val="bottom"/>
          </w:tcPr>
          <w:p w14:paraId="392C4846" w14:textId="77777777" w:rsidR="00980E5F" w:rsidRDefault="00980E5F">
            <w:pPr>
              <w:rPr>
                <w:rFonts w:ascii="宋体"/>
                <w:vanish/>
              </w:rPr>
            </w:pPr>
          </w:p>
        </w:tc>
        <w:tc>
          <w:tcPr>
            <w:tcW w:w="0" w:type="auto"/>
            <w:gridSpan w:val="3"/>
            <w:shd w:val="clear" w:color="auto" w:fill="auto"/>
            <w:vAlign w:val="bottom"/>
          </w:tcPr>
          <w:p w14:paraId="392C4847" w14:textId="77777777" w:rsidR="00980E5F" w:rsidRDefault="00980E5F">
            <w:pPr>
              <w:rPr>
                <w:rFonts w:ascii="宋体"/>
                <w:vanish/>
              </w:rPr>
            </w:pPr>
          </w:p>
        </w:tc>
        <w:tc>
          <w:tcPr>
            <w:tcW w:w="0" w:type="auto"/>
            <w:gridSpan w:val="3"/>
            <w:shd w:val="clear" w:color="auto" w:fill="auto"/>
            <w:vAlign w:val="bottom"/>
          </w:tcPr>
          <w:p w14:paraId="392C4848" w14:textId="77777777" w:rsidR="00980E5F" w:rsidRDefault="00980E5F">
            <w:pPr>
              <w:rPr>
                <w:rFonts w:ascii="宋体"/>
                <w:vanish/>
              </w:rPr>
            </w:pPr>
          </w:p>
        </w:tc>
        <w:tc>
          <w:tcPr>
            <w:tcW w:w="0" w:type="auto"/>
            <w:gridSpan w:val="3"/>
            <w:shd w:val="clear" w:color="auto" w:fill="auto"/>
            <w:vAlign w:val="bottom"/>
          </w:tcPr>
          <w:p w14:paraId="392C4849" w14:textId="77777777" w:rsidR="00980E5F" w:rsidRDefault="00980E5F">
            <w:pPr>
              <w:rPr>
                <w:rFonts w:ascii="宋体"/>
                <w:vanish/>
              </w:rPr>
            </w:pPr>
          </w:p>
        </w:tc>
        <w:tc>
          <w:tcPr>
            <w:tcW w:w="0" w:type="auto"/>
            <w:gridSpan w:val="3"/>
            <w:shd w:val="clear" w:color="auto" w:fill="auto"/>
            <w:vAlign w:val="bottom"/>
          </w:tcPr>
          <w:p w14:paraId="392C484A" w14:textId="77777777" w:rsidR="00980E5F" w:rsidRDefault="00980E5F">
            <w:pPr>
              <w:rPr>
                <w:rFonts w:ascii="宋体"/>
                <w:vanish/>
              </w:rPr>
            </w:pPr>
          </w:p>
        </w:tc>
        <w:tc>
          <w:tcPr>
            <w:tcW w:w="0" w:type="auto"/>
            <w:gridSpan w:val="3"/>
            <w:shd w:val="clear" w:color="auto" w:fill="auto"/>
            <w:vAlign w:val="bottom"/>
          </w:tcPr>
          <w:p w14:paraId="392C484B" w14:textId="77777777" w:rsidR="00980E5F" w:rsidRDefault="00980E5F">
            <w:pPr>
              <w:rPr>
                <w:rFonts w:ascii="宋体"/>
                <w:vanish/>
              </w:rPr>
            </w:pPr>
          </w:p>
        </w:tc>
        <w:tc>
          <w:tcPr>
            <w:tcW w:w="0" w:type="auto"/>
            <w:gridSpan w:val="3"/>
            <w:shd w:val="clear" w:color="auto" w:fill="auto"/>
            <w:vAlign w:val="bottom"/>
          </w:tcPr>
          <w:p w14:paraId="392C484C" w14:textId="77777777" w:rsidR="00980E5F" w:rsidRDefault="00980E5F">
            <w:pPr>
              <w:rPr>
                <w:rFonts w:ascii="宋体"/>
                <w:vanish/>
              </w:rPr>
            </w:pPr>
          </w:p>
        </w:tc>
        <w:tc>
          <w:tcPr>
            <w:tcW w:w="0" w:type="auto"/>
            <w:shd w:val="clear" w:color="auto" w:fill="auto"/>
            <w:vAlign w:val="bottom"/>
          </w:tcPr>
          <w:p w14:paraId="392C484D" w14:textId="77777777" w:rsidR="00980E5F" w:rsidRDefault="00980E5F">
            <w:pPr>
              <w:rPr>
                <w:rFonts w:ascii="宋体"/>
                <w:vanish/>
              </w:rPr>
            </w:pPr>
          </w:p>
        </w:tc>
        <w:tc>
          <w:tcPr>
            <w:tcW w:w="0" w:type="auto"/>
            <w:shd w:val="clear" w:color="auto" w:fill="auto"/>
            <w:vAlign w:val="bottom"/>
          </w:tcPr>
          <w:p w14:paraId="392C484E" w14:textId="77777777" w:rsidR="00980E5F" w:rsidRDefault="00980E5F">
            <w:pPr>
              <w:rPr>
                <w:rFonts w:ascii="宋体"/>
                <w:vanish/>
              </w:rPr>
            </w:pPr>
          </w:p>
        </w:tc>
        <w:tc>
          <w:tcPr>
            <w:tcW w:w="0" w:type="auto"/>
            <w:gridSpan w:val="3"/>
            <w:shd w:val="clear" w:color="auto" w:fill="auto"/>
            <w:vAlign w:val="bottom"/>
          </w:tcPr>
          <w:p w14:paraId="392C484F" w14:textId="77777777" w:rsidR="00980E5F" w:rsidRDefault="00980E5F">
            <w:pPr>
              <w:rPr>
                <w:rFonts w:ascii="宋体"/>
                <w:vanish/>
              </w:rPr>
            </w:pPr>
          </w:p>
        </w:tc>
        <w:tc>
          <w:tcPr>
            <w:tcW w:w="0" w:type="auto"/>
            <w:gridSpan w:val="3"/>
            <w:shd w:val="clear" w:color="auto" w:fill="auto"/>
            <w:vAlign w:val="bottom"/>
          </w:tcPr>
          <w:p w14:paraId="392C4850" w14:textId="77777777" w:rsidR="00980E5F" w:rsidRDefault="00980E5F">
            <w:pPr>
              <w:rPr>
                <w:rFonts w:ascii="宋体"/>
                <w:vanish/>
              </w:rPr>
            </w:pPr>
          </w:p>
        </w:tc>
        <w:tc>
          <w:tcPr>
            <w:tcW w:w="0" w:type="auto"/>
            <w:gridSpan w:val="3"/>
            <w:shd w:val="clear" w:color="auto" w:fill="auto"/>
            <w:vAlign w:val="bottom"/>
          </w:tcPr>
          <w:p w14:paraId="392C4851" w14:textId="77777777" w:rsidR="00980E5F" w:rsidRDefault="00980E5F">
            <w:pPr>
              <w:rPr>
                <w:rFonts w:ascii="宋体"/>
                <w:vanish/>
              </w:rPr>
            </w:pPr>
          </w:p>
        </w:tc>
        <w:tc>
          <w:tcPr>
            <w:tcW w:w="0" w:type="auto"/>
            <w:gridSpan w:val="3"/>
            <w:shd w:val="clear" w:color="auto" w:fill="auto"/>
            <w:vAlign w:val="bottom"/>
          </w:tcPr>
          <w:p w14:paraId="392C4852" w14:textId="77777777" w:rsidR="00980E5F" w:rsidRDefault="00980E5F">
            <w:pPr>
              <w:rPr>
                <w:rFonts w:ascii="宋体"/>
                <w:vanish/>
              </w:rPr>
            </w:pPr>
          </w:p>
        </w:tc>
        <w:tc>
          <w:tcPr>
            <w:tcW w:w="0" w:type="auto"/>
            <w:gridSpan w:val="3"/>
            <w:shd w:val="clear" w:color="auto" w:fill="auto"/>
            <w:vAlign w:val="bottom"/>
          </w:tcPr>
          <w:p w14:paraId="392C4853" w14:textId="77777777" w:rsidR="00980E5F" w:rsidRDefault="00980E5F">
            <w:pPr>
              <w:rPr>
                <w:rFonts w:ascii="宋体"/>
                <w:vanish/>
              </w:rPr>
            </w:pPr>
          </w:p>
        </w:tc>
        <w:tc>
          <w:tcPr>
            <w:tcW w:w="0" w:type="auto"/>
            <w:gridSpan w:val="3"/>
            <w:shd w:val="clear" w:color="auto" w:fill="auto"/>
            <w:vAlign w:val="bottom"/>
          </w:tcPr>
          <w:p w14:paraId="392C4854" w14:textId="77777777" w:rsidR="00980E5F" w:rsidRDefault="00980E5F">
            <w:pPr>
              <w:rPr>
                <w:rFonts w:ascii="宋体"/>
                <w:vanish/>
              </w:rPr>
            </w:pPr>
          </w:p>
        </w:tc>
        <w:tc>
          <w:tcPr>
            <w:tcW w:w="0" w:type="auto"/>
            <w:gridSpan w:val="3"/>
            <w:shd w:val="clear" w:color="auto" w:fill="auto"/>
            <w:vAlign w:val="bottom"/>
          </w:tcPr>
          <w:p w14:paraId="392C4855" w14:textId="77777777" w:rsidR="00980E5F" w:rsidRDefault="00980E5F">
            <w:pPr>
              <w:rPr>
                <w:rFonts w:ascii="宋体"/>
                <w:vanish/>
              </w:rPr>
            </w:pPr>
          </w:p>
        </w:tc>
        <w:tc>
          <w:tcPr>
            <w:tcW w:w="0" w:type="auto"/>
            <w:gridSpan w:val="3"/>
            <w:shd w:val="clear" w:color="auto" w:fill="auto"/>
            <w:vAlign w:val="bottom"/>
          </w:tcPr>
          <w:p w14:paraId="392C4856" w14:textId="77777777" w:rsidR="00980E5F" w:rsidRDefault="00980E5F">
            <w:pPr>
              <w:rPr>
                <w:rFonts w:ascii="宋体"/>
                <w:vanish/>
              </w:rPr>
            </w:pPr>
          </w:p>
        </w:tc>
        <w:tc>
          <w:tcPr>
            <w:tcW w:w="0" w:type="auto"/>
            <w:gridSpan w:val="3"/>
            <w:shd w:val="clear" w:color="auto" w:fill="auto"/>
            <w:vAlign w:val="bottom"/>
          </w:tcPr>
          <w:p w14:paraId="392C4857" w14:textId="77777777" w:rsidR="00980E5F" w:rsidRDefault="00980E5F">
            <w:pPr>
              <w:rPr>
                <w:rFonts w:ascii="宋体"/>
                <w:vanish/>
              </w:rPr>
            </w:pPr>
          </w:p>
        </w:tc>
        <w:tc>
          <w:tcPr>
            <w:tcW w:w="0" w:type="auto"/>
            <w:gridSpan w:val="2"/>
            <w:shd w:val="clear" w:color="auto" w:fill="auto"/>
            <w:vAlign w:val="bottom"/>
          </w:tcPr>
          <w:p w14:paraId="392C4858" w14:textId="77777777" w:rsidR="00980E5F" w:rsidRDefault="00980E5F">
            <w:pPr>
              <w:rPr>
                <w:rFonts w:ascii="宋体"/>
                <w:vanish/>
              </w:rPr>
            </w:pPr>
          </w:p>
        </w:tc>
        <w:tc>
          <w:tcPr>
            <w:tcW w:w="0" w:type="auto"/>
            <w:shd w:val="clear" w:color="auto" w:fill="auto"/>
            <w:vAlign w:val="bottom"/>
          </w:tcPr>
          <w:p w14:paraId="392C4859" w14:textId="77777777" w:rsidR="00980E5F" w:rsidRDefault="00980E5F">
            <w:pPr>
              <w:rPr>
                <w:rFonts w:ascii="宋体"/>
                <w:vanish/>
              </w:rPr>
            </w:pPr>
          </w:p>
        </w:tc>
      </w:tr>
      <w:tr w:rsidR="00980E5F" w14:paraId="392C4871" w14:textId="77777777">
        <w:trPr>
          <w:hidden/>
        </w:trPr>
        <w:tc>
          <w:tcPr>
            <w:tcW w:w="0" w:type="auto"/>
            <w:gridSpan w:val="3"/>
            <w:shd w:val="clear" w:color="auto" w:fill="auto"/>
            <w:vAlign w:val="bottom"/>
          </w:tcPr>
          <w:p w14:paraId="392C485B" w14:textId="77777777" w:rsidR="00980E5F" w:rsidRDefault="00980E5F">
            <w:pPr>
              <w:rPr>
                <w:rFonts w:ascii="宋体"/>
                <w:vanish/>
              </w:rPr>
            </w:pPr>
          </w:p>
        </w:tc>
        <w:tc>
          <w:tcPr>
            <w:tcW w:w="0" w:type="auto"/>
            <w:gridSpan w:val="3"/>
            <w:shd w:val="clear" w:color="auto" w:fill="auto"/>
            <w:vAlign w:val="bottom"/>
          </w:tcPr>
          <w:p w14:paraId="392C485C" w14:textId="77777777" w:rsidR="00980E5F" w:rsidRDefault="00980E5F">
            <w:pPr>
              <w:rPr>
                <w:rFonts w:ascii="宋体"/>
                <w:vanish/>
              </w:rPr>
            </w:pPr>
          </w:p>
        </w:tc>
        <w:tc>
          <w:tcPr>
            <w:tcW w:w="0" w:type="auto"/>
            <w:gridSpan w:val="3"/>
            <w:shd w:val="clear" w:color="auto" w:fill="auto"/>
            <w:vAlign w:val="bottom"/>
          </w:tcPr>
          <w:p w14:paraId="392C485D" w14:textId="77777777" w:rsidR="00980E5F" w:rsidRDefault="00980E5F">
            <w:pPr>
              <w:rPr>
                <w:rFonts w:ascii="宋体"/>
                <w:vanish/>
              </w:rPr>
            </w:pPr>
          </w:p>
        </w:tc>
        <w:tc>
          <w:tcPr>
            <w:tcW w:w="0" w:type="auto"/>
            <w:gridSpan w:val="3"/>
            <w:shd w:val="clear" w:color="auto" w:fill="auto"/>
            <w:vAlign w:val="bottom"/>
          </w:tcPr>
          <w:p w14:paraId="392C485E" w14:textId="77777777" w:rsidR="00980E5F" w:rsidRDefault="00980E5F">
            <w:pPr>
              <w:rPr>
                <w:rFonts w:ascii="宋体"/>
                <w:vanish/>
              </w:rPr>
            </w:pPr>
          </w:p>
        </w:tc>
        <w:tc>
          <w:tcPr>
            <w:tcW w:w="0" w:type="auto"/>
            <w:gridSpan w:val="3"/>
            <w:shd w:val="clear" w:color="auto" w:fill="auto"/>
            <w:vAlign w:val="bottom"/>
          </w:tcPr>
          <w:p w14:paraId="392C485F" w14:textId="77777777" w:rsidR="00980E5F" w:rsidRDefault="00980E5F">
            <w:pPr>
              <w:rPr>
                <w:rFonts w:ascii="宋体"/>
                <w:vanish/>
              </w:rPr>
            </w:pPr>
          </w:p>
        </w:tc>
        <w:tc>
          <w:tcPr>
            <w:tcW w:w="0" w:type="auto"/>
            <w:gridSpan w:val="3"/>
            <w:shd w:val="clear" w:color="auto" w:fill="auto"/>
            <w:vAlign w:val="bottom"/>
          </w:tcPr>
          <w:p w14:paraId="392C4860" w14:textId="77777777" w:rsidR="00980E5F" w:rsidRDefault="00980E5F">
            <w:pPr>
              <w:rPr>
                <w:rFonts w:ascii="宋体"/>
                <w:vanish/>
              </w:rPr>
            </w:pPr>
          </w:p>
        </w:tc>
        <w:tc>
          <w:tcPr>
            <w:tcW w:w="0" w:type="auto"/>
            <w:gridSpan w:val="3"/>
            <w:shd w:val="clear" w:color="auto" w:fill="auto"/>
            <w:vAlign w:val="bottom"/>
          </w:tcPr>
          <w:p w14:paraId="392C4861" w14:textId="77777777" w:rsidR="00980E5F" w:rsidRDefault="00980E5F">
            <w:pPr>
              <w:rPr>
                <w:rFonts w:ascii="宋体"/>
                <w:vanish/>
              </w:rPr>
            </w:pPr>
          </w:p>
        </w:tc>
        <w:tc>
          <w:tcPr>
            <w:tcW w:w="0" w:type="auto"/>
            <w:gridSpan w:val="3"/>
            <w:shd w:val="clear" w:color="auto" w:fill="auto"/>
            <w:vAlign w:val="bottom"/>
          </w:tcPr>
          <w:p w14:paraId="392C4862" w14:textId="77777777" w:rsidR="00980E5F" w:rsidRDefault="00980E5F">
            <w:pPr>
              <w:rPr>
                <w:rFonts w:ascii="宋体"/>
                <w:vanish/>
              </w:rPr>
            </w:pPr>
          </w:p>
        </w:tc>
        <w:tc>
          <w:tcPr>
            <w:tcW w:w="0" w:type="auto"/>
            <w:gridSpan w:val="3"/>
            <w:shd w:val="clear" w:color="auto" w:fill="auto"/>
            <w:vAlign w:val="bottom"/>
          </w:tcPr>
          <w:p w14:paraId="392C4863" w14:textId="77777777" w:rsidR="00980E5F" w:rsidRDefault="00980E5F">
            <w:pPr>
              <w:rPr>
                <w:rFonts w:ascii="宋体"/>
                <w:vanish/>
              </w:rPr>
            </w:pPr>
          </w:p>
        </w:tc>
        <w:tc>
          <w:tcPr>
            <w:tcW w:w="0" w:type="auto"/>
            <w:shd w:val="clear" w:color="auto" w:fill="auto"/>
            <w:vAlign w:val="bottom"/>
          </w:tcPr>
          <w:p w14:paraId="392C4864" w14:textId="77777777" w:rsidR="00980E5F" w:rsidRDefault="00980E5F">
            <w:pPr>
              <w:rPr>
                <w:rFonts w:ascii="宋体"/>
                <w:vanish/>
              </w:rPr>
            </w:pPr>
          </w:p>
        </w:tc>
        <w:tc>
          <w:tcPr>
            <w:tcW w:w="0" w:type="auto"/>
            <w:shd w:val="clear" w:color="auto" w:fill="auto"/>
            <w:vAlign w:val="bottom"/>
          </w:tcPr>
          <w:p w14:paraId="392C4865" w14:textId="77777777" w:rsidR="00980E5F" w:rsidRDefault="00980E5F">
            <w:pPr>
              <w:rPr>
                <w:rFonts w:ascii="宋体"/>
                <w:vanish/>
              </w:rPr>
            </w:pPr>
          </w:p>
        </w:tc>
        <w:tc>
          <w:tcPr>
            <w:tcW w:w="0" w:type="auto"/>
            <w:gridSpan w:val="3"/>
            <w:shd w:val="clear" w:color="auto" w:fill="auto"/>
            <w:vAlign w:val="bottom"/>
          </w:tcPr>
          <w:p w14:paraId="392C4866" w14:textId="77777777" w:rsidR="00980E5F" w:rsidRDefault="00980E5F">
            <w:pPr>
              <w:rPr>
                <w:rFonts w:ascii="宋体"/>
                <w:vanish/>
              </w:rPr>
            </w:pPr>
          </w:p>
        </w:tc>
        <w:tc>
          <w:tcPr>
            <w:tcW w:w="0" w:type="auto"/>
            <w:gridSpan w:val="3"/>
            <w:shd w:val="clear" w:color="auto" w:fill="auto"/>
            <w:vAlign w:val="bottom"/>
          </w:tcPr>
          <w:p w14:paraId="392C4867" w14:textId="77777777" w:rsidR="00980E5F" w:rsidRDefault="00980E5F">
            <w:pPr>
              <w:rPr>
                <w:rFonts w:ascii="宋体"/>
                <w:vanish/>
              </w:rPr>
            </w:pPr>
          </w:p>
        </w:tc>
        <w:tc>
          <w:tcPr>
            <w:tcW w:w="0" w:type="auto"/>
            <w:gridSpan w:val="3"/>
            <w:shd w:val="clear" w:color="auto" w:fill="auto"/>
            <w:vAlign w:val="bottom"/>
          </w:tcPr>
          <w:p w14:paraId="392C4868" w14:textId="77777777" w:rsidR="00980E5F" w:rsidRDefault="00980E5F">
            <w:pPr>
              <w:rPr>
                <w:rFonts w:ascii="宋体"/>
                <w:vanish/>
              </w:rPr>
            </w:pPr>
          </w:p>
        </w:tc>
        <w:tc>
          <w:tcPr>
            <w:tcW w:w="0" w:type="auto"/>
            <w:gridSpan w:val="3"/>
            <w:shd w:val="clear" w:color="auto" w:fill="auto"/>
            <w:vAlign w:val="bottom"/>
          </w:tcPr>
          <w:p w14:paraId="392C4869" w14:textId="77777777" w:rsidR="00980E5F" w:rsidRDefault="00980E5F">
            <w:pPr>
              <w:rPr>
                <w:rFonts w:ascii="宋体"/>
                <w:vanish/>
              </w:rPr>
            </w:pPr>
          </w:p>
        </w:tc>
        <w:tc>
          <w:tcPr>
            <w:tcW w:w="0" w:type="auto"/>
            <w:gridSpan w:val="3"/>
            <w:shd w:val="clear" w:color="auto" w:fill="auto"/>
            <w:vAlign w:val="bottom"/>
          </w:tcPr>
          <w:p w14:paraId="392C486A" w14:textId="77777777" w:rsidR="00980E5F" w:rsidRDefault="00980E5F">
            <w:pPr>
              <w:rPr>
                <w:rFonts w:ascii="宋体"/>
                <w:vanish/>
              </w:rPr>
            </w:pPr>
          </w:p>
        </w:tc>
        <w:tc>
          <w:tcPr>
            <w:tcW w:w="0" w:type="auto"/>
            <w:gridSpan w:val="3"/>
            <w:shd w:val="clear" w:color="auto" w:fill="auto"/>
            <w:vAlign w:val="bottom"/>
          </w:tcPr>
          <w:p w14:paraId="392C486B" w14:textId="77777777" w:rsidR="00980E5F" w:rsidRDefault="00980E5F">
            <w:pPr>
              <w:rPr>
                <w:rFonts w:ascii="宋体"/>
                <w:vanish/>
              </w:rPr>
            </w:pPr>
          </w:p>
        </w:tc>
        <w:tc>
          <w:tcPr>
            <w:tcW w:w="0" w:type="auto"/>
            <w:gridSpan w:val="3"/>
            <w:shd w:val="clear" w:color="auto" w:fill="auto"/>
            <w:vAlign w:val="bottom"/>
          </w:tcPr>
          <w:p w14:paraId="392C486C" w14:textId="77777777" w:rsidR="00980E5F" w:rsidRDefault="00980E5F">
            <w:pPr>
              <w:rPr>
                <w:rFonts w:ascii="宋体"/>
                <w:vanish/>
              </w:rPr>
            </w:pPr>
          </w:p>
        </w:tc>
        <w:tc>
          <w:tcPr>
            <w:tcW w:w="0" w:type="auto"/>
            <w:gridSpan w:val="3"/>
            <w:shd w:val="clear" w:color="auto" w:fill="auto"/>
            <w:vAlign w:val="bottom"/>
          </w:tcPr>
          <w:p w14:paraId="392C486D" w14:textId="77777777" w:rsidR="00980E5F" w:rsidRDefault="00980E5F">
            <w:pPr>
              <w:rPr>
                <w:rFonts w:ascii="宋体"/>
                <w:vanish/>
              </w:rPr>
            </w:pPr>
          </w:p>
        </w:tc>
        <w:tc>
          <w:tcPr>
            <w:tcW w:w="0" w:type="auto"/>
            <w:gridSpan w:val="3"/>
            <w:shd w:val="clear" w:color="auto" w:fill="auto"/>
            <w:vAlign w:val="bottom"/>
          </w:tcPr>
          <w:p w14:paraId="392C486E" w14:textId="77777777" w:rsidR="00980E5F" w:rsidRDefault="00980E5F">
            <w:pPr>
              <w:rPr>
                <w:rFonts w:ascii="宋体"/>
                <w:vanish/>
              </w:rPr>
            </w:pPr>
          </w:p>
        </w:tc>
        <w:tc>
          <w:tcPr>
            <w:tcW w:w="0" w:type="auto"/>
            <w:gridSpan w:val="2"/>
            <w:shd w:val="clear" w:color="auto" w:fill="auto"/>
            <w:vAlign w:val="bottom"/>
          </w:tcPr>
          <w:p w14:paraId="392C486F" w14:textId="77777777" w:rsidR="00980E5F" w:rsidRDefault="00980E5F">
            <w:pPr>
              <w:rPr>
                <w:rFonts w:ascii="宋体"/>
                <w:vanish/>
              </w:rPr>
            </w:pPr>
          </w:p>
        </w:tc>
        <w:tc>
          <w:tcPr>
            <w:tcW w:w="0" w:type="auto"/>
            <w:shd w:val="clear" w:color="auto" w:fill="auto"/>
            <w:vAlign w:val="bottom"/>
          </w:tcPr>
          <w:p w14:paraId="392C4870" w14:textId="77777777" w:rsidR="00980E5F" w:rsidRDefault="00980E5F">
            <w:pPr>
              <w:rPr>
                <w:rFonts w:ascii="宋体"/>
                <w:vanish/>
              </w:rPr>
            </w:pPr>
          </w:p>
        </w:tc>
      </w:tr>
      <w:tr w:rsidR="00980E5F" w14:paraId="392C4888" w14:textId="77777777">
        <w:trPr>
          <w:hidden/>
        </w:trPr>
        <w:tc>
          <w:tcPr>
            <w:tcW w:w="0" w:type="auto"/>
            <w:gridSpan w:val="3"/>
            <w:shd w:val="clear" w:color="auto" w:fill="auto"/>
            <w:vAlign w:val="bottom"/>
          </w:tcPr>
          <w:p w14:paraId="392C4872" w14:textId="77777777" w:rsidR="00980E5F" w:rsidRDefault="00980E5F">
            <w:pPr>
              <w:rPr>
                <w:rFonts w:ascii="宋体"/>
                <w:vanish/>
              </w:rPr>
            </w:pPr>
          </w:p>
        </w:tc>
        <w:tc>
          <w:tcPr>
            <w:tcW w:w="0" w:type="auto"/>
            <w:gridSpan w:val="3"/>
            <w:shd w:val="clear" w:color="auto" w:fill="auto"/>
            <w:vAlign w:val="bottom"/>
          </w:tcPr>
          <w:p w14:paraId="392C4873" w14:textId="77777777" w:rsidR="00980E5F" w:rsidRDefault="00980E5F">
            <w:pPr>
              <w:rPr>
                <w:rFonts w:ascii="宋体"/>
                <w:vanish/>
              </w:rPr>
            </w:pPr>
          </w:p>
        </w:tc>
        <w:tc>
          <w:tcPr>
            <w:tcW w:w="0" w:type="auto"/>
            <w:gridSpan w:val="3"/>
            <w:shd w:val="clear" w:color="auto" w:fill="auto"/>
            <w:vAlign w:val="bottom"/>
          </w:tcPr>
          <w:p w14:paraId="392C4874" w14:textId="77777777" w:rsidR="00980E5F" w:rsidRDefault="00980E5F">
            <w:pPr>
              <w:rPr>
                <w:rFonts w:ascii="宋体"/>
                <w:vanish/>
              </w:rPr>
            </w:pPr>
          </w:p>
        </w:tc>
        <w:tc>
          <w:tcPr>
            <w:tcW w:w="0" w:type="auto"/>
            <w:gridSpan w:val="3"/>
            <w:shd w:val="clear" w:color="auto" w:fill="auto"/>
            <w:vAlign w:val="bottom"/>
          </w:tcPr>
          <w:p w14:paraId="392C4875" w14:textId="77777777" w:rsidR="00980E5F" w:rsidRDefault="00980E5F">
            <w:pPr>
              <w:rPr>
                <w:rFonts w:ascii="宋体"/>
                <w:vanish/>
              </w:rPr>
            </w:pPr>
          </w:p>
        </w:tc>
        <w:tc>
          <w:tcPr>
            <w:tcW w:w="0" w:type="auto"/>
            <w:gridSpan w:val="3"/>
            <w:shd w:val="clear" w:color="auto" w:fill="auto"/>
            <w:vAlign w:val="bottom"/>
          </w:tcPr>
          <w:p w14:paraId="392C4876" w14:textId="77777777" w:rsidR="00980E5F" w:rsidRDefault="00980E5F">
            <w:pPr>
              <w:rPr>
                <w:rFonts w:ascii="宋体"/>
                <w:vanish/>
              </w:rPr>
            </w:pPr>
          </w:p>
        </w:tc>
        <w:tc>
          <w:tcPr>
            <w:tcW w:w="0" w:type="auto"/>
            <w:gridSpan w:val="3"/>
            <w:shd w:val="clear" w:color="auto" w:fill="auto"/>
            <w:vAlign w:val="bottom"/>
          </w:tcPr>
          <w:p w14:paraId="392C4877" w14:textId="77777777" w:rsidR="00980E5F" w:rsidRDefault="00980E5F">
            <w:pPr>
              <w:rPr>
                <w:rFonts w:ascii="宋体"/>
                <w:vanish/>
              </w:rPr>
            </w:pPr>
          </w:p>
        </w:tc>
        <w:tc>
          <w:tcPr>
            <w:tcW w:w="0" w:type="auto"/>
            <w:gridSpan w:val="3"/>
            <w:shd w:val="clear" w:color="auto" w:fill="auto"/>
            <w:vAlign w:val="bottom"/>
          </w:tcPr>
          <w:p w14:paraId="392C4878" w14:textId="77777777" w:rsidR="00980E5F" w:rsidRDefault="00980E5F">
            <w:pPr>
              <w:rPr>
                <w:rFonts w:ascii="宋体"/>
                <w:vanish/>
              </w:rPr>
            </w:pPr>
          </w:p>
        </w:tc>
        <w:tc>
          <w:tcPr>
            <w:tcW w:w="0" w:type="auto"/>
            <w:gridSpan w:val="3"/>
            <w:shd w:val="clear" w:color="auto" w:fill="auto"/>
            <w:vAlign w:val="bottom"/>
          </w:tcPr>
          <w:p w14:paraId="392C4879" w14:textId="77777777" w:rsidR="00980E5F" w:rsidRDefault="00980E5F">
            <w:pPr>
              <w:rPr>
                <w:rFonts w:ascii="宋体"/>
                <w:vanish/>
              </w:rPr>
            </w:pPr>
          </w:p>
        </w:tc>
        <w:tc>
          <w:tcPr>
            <w:tcW w:w="0" w:type="auto"/>
            <w:gridSpan w:val="3"/>
            <w:shd w:val="clear" w:color="auto" w:fill="auto"/>
            <w:vAlign w:val="bottom"/>
          </w:tcPr>
          <w:p w14:paraId="392C487A" w14:textId="77777777" w:rsidR="00980E5F" w:rsidRDefault="00980E5F">
            <w:pPr>
              <w:rPr>
                <w:rFonts w:ascii="宋体"/>
                <w:vanish/>
              </w:rPr>
            </w:pPr>
          </w:p>
        </w:tc>
        <w:tc>
          <w:tcPr>
            <w:tcW w:w="0" w:type="auto"/>
            <w:shd w:val="clear" w:color="auto" w:fill="auto"/>
            <w:vAlign w:val="bottom"/>
          </w:tcPr>
          <w:p w14:paraId="392C487B" w14:textId="77777777" w:rsidR="00980E5F" w:rsidRDefault="00980E5F">
            <w:pPr>
              <w:rPr>
                <w:rFonts w:ascii="宋体"/>
                <w:vanish/>
              </w:rPr>
            </w:pPr>
          </w:p>
        </w:tc>
        <w:tc>
          <w:tcPr>
            <w:tcW w:w="0" w:type="auto"/>
            <w:shd w:val="clear" w:color="auto" w:fill="auto"/>
            <w:vAlign w:val="bottom"/>
          </w:tcPr>
          <w:p w14:paraId="392C487C" w14:textId="77777777" w:rsidR="00980E5F" w:rsidRDefault="00980E5F">
            <w:pPr>
              <w:rPr>
                <w:rFonts w:ascii="宋体"/>
                <w:vanish/>
              </w:rPr>
            </w:pPr>
          </w:p>
        </w:tc>
        <w:tc>
          <w:tcPr>
            <w:tcW w:w="0" w:type="auto"/>
            <w:gridSpan w:val="3"/>
            <w:shd w:val="clear" w:color="auto" w:fill="auto"/>
            <w:vAlign w:val="bottom"/>
          </w:tcPr>
          <w:p w14:paraId="392C487D" w14:textId="77777777" w:rsidR="00980E5F" w:rsidRDefault="00980E5F">
            <w:pPr>
              <w:rPr>
                <w:rFonts w:ascii="宋体"/>
                <w:vanish/>
              </w:rPr>
            </w:pPr>
          </w:p>
        </w:tc>
        <w:tc>
          <w:tcPr>
            <w:tcW w:w="0" w:type="auto"/>
            <w:gridSpan w:val="3"/>
            <w:shd w:val="clear" w:color="auto" w:fill="auto"/>
            <w:vAlign w:val="bottom"/>
          </w:tcPr>
          <w:p w14:paraId="392C487E" w14:textId="77777777" w:rsidR="00980E5F" w:rsidRDefault="00980E5F">
            <w:pPr>
              <w:rPr>
                <w:rFonts w:ascii="宋体"/>
                <w:vanish/>
              </w:rPr>
            </w:pPr>
          </w:p>
        </w:tc>
        <w:tc>
          <w:tcPr>
            <w:tcW w:w="0" w:type="auto"/>
            <w:gridSpan w:val="3"/>
            <w:shd w:val="clear" w:color="auto" w:fill="auto"/>
            <w:vAlign w:val="bottom"/>
          </w:tcPr>
          <w:p w14:paraId="392C487F" w14:textId="77777777" w:rsidR="00980E5F" w:rsidRDefault="00980E5F">
            <w:pPr>
              <w:rPr>
                <w:rFonts w:ascii="宋体"/>
                <w:vanish/>
              </w:rPr>
            </w:pPr>
          </w:p>
        </w:tc>
        <w:tc>
          <w:tcPr>
            <w:tcW w:w="0" w:type="auto"/>
            <w:gridSpan w:val="3"/>
            <w:shd w:val="clear" w:color="auto" w:fill="auto"/>
            <w:vAlign w:val="bottom"/>
          </w:tcPr>
          <w:p w14:paraId="392C4880" w14:textId="77777777" w:rsidR="00980E5F" w:rsidRDefault="00980E5F">
            <w:pPr>
              <w:rPr>
                <w:rFonts w:ascii="宋体"/>
                <w:vanish/>
              </w:rPr>
            </w:pPr>
          </w:p>
        </w:tc>
        <w:tc>
          <w:tcPr>
            <w:tcW w:w="0" w:type="auto"/>
            <w:gridSpan w:val="3"/>
            <w:shd w:val="clear" w:color="auto" w:fill="auto"/>
            <w:vAlign w:val="bottom"/>
          </w:tcPr>
          <w:p w14:paraId="392C4881" w14:textId="77777777" w:rsidR="00980E5F" w:rsidRDefault="00980E5F">
            <w:pPr>
              <w:rPr>
                <w:rFonts w:ascii="宋体"/>
                <w:vanish/>
              </w:rPr>
            </w:pPr>
          </w:p>
        </w:tc>
        <w:tc>
          <w:tcPr>
            <w:tcW w:w="0" w:type="auto"/>
            <w:gridSpan w:val="3"/>
            <w:shd w:val="clear" w:color="auto" w:fill="auto"/>
            <w:vAlign w:val="bottom"/>
          </w:tcPr>
          <w:p w14:paraId="392C4882" w14:textId="77777777" w:rsidR="00980E5F" w:rsidRDefault="00980E5F">
            <w:pPr>
              <w:rPr>
                <w:rFonts w:ascii="宋体"/>
                <w:vanish/>
              </w:rPr>
            </w:pPr>
          </w:p>
        </w:tc>
        <w:tc>
          <w:tcPr>
            <w:tcW w:w="0" w:type="auto"/>
            <w:gridSpan w:val="3"/>
            <w:shd w:val="clear" w:color="auto" w:fill="auto"/>
            <w:vAlign w:val="bottom"/>
          </w:tcPr>
          <w:p w14:paraId="392C4883" w14:textId="77777777" w:rsidR="00980E5F" w:rsidRDefault="00980E5F">
            <w:pPr>
              <w:rPr>
                <w:rFonts w:ascii="宋体"/>
                <w:vanish/>
              </w:rPr>
            </w:pPr>
          </w:p>
        </w:tc>
        <w:tc>
          <w:tcPr>
            <w:tcW w:w="0" w:type="auto"/>
            <w:gridSpan w:val="3"/>
            <w:shd w:val="clear" w:color="auto" w:fill="auto"/>
            <w:vAlign w:val="bottom"/>
          </w:tcPr>
          <w:p w14:paraId="392C4884" w14:textId="77777777" w:rsidR="00980E5F" w:rsidRDefault="00980E5F">
            <w:pPr>
              <w:rPr>
                <w:rFonts w:ascii="宋体"/>
                <w:vanish/>
              </w:rPr>
            </w:pPr>
          </w:p>
        </w:tc>
        <w:tc>
          <w:tcPr>
            <w:tcW w:w="0" w:type="auto"/>
            <w:gridSpan w:val="3"/>
            <w:shd w:val="clear" w:color="auto" w:fill="auto"/>
            <w:vAlign w:val="bottom"/>
          </w:tcPr>
          <w:p w14:paraId="392C4885" w14:textId="77777777" w:rsidR="00980E5F" w:rsidRDefault="00980E5F">
            <w:pPr>
              <w:rPr>
                <w:rFonts w:ascii="宋体"/>
                <w:vanish/>
              </w:rPr>
            </w:pPr>
          </w:p>
        </w:tc>
        <w:tc>
          <w:tcPr>
            <w:tcW w:w="0" w:type="auto"/>
            <w:gridSpan w:val="2"/>
            <w:shd w:val="clear" w:color="auto" w:fill="auto"/>
            <w:vAlign w:val="bottom"/>
          </w:tcPr>
          <w:p w14:paraId="392C4886" w14:textId="77777777" w:rsidR="00980E5F" w:rsidRDefault="00980E5F">
            <w:pPr>
              <w:rPr>
                <w:rFonts w:ascii="宋体"/>
                <w:vanish/>
              </w:rPr>
            </w:pPr>
          </w:p>
        </w:tc>
        <w:tc>
          <w:tcPr>
            <w:tcW w:w="0" w:type="auto"/>
            <w:shd w:val="clear" w:color="auto" w:fill="auto"/>
            <w:vAlign w:val="bottom"/>
          </w:tcPr>
          <w:p w14:paraId="392C4887" w14:textId="77777777" w:rsidR="00980E5F" w:rsidRDefault="00980E5F">
            <w:pPr>
              <w:rPr>
                <w:rFonts w:ascii="宋体"/>
                <w:vanish/>
              </w:rPr>
            </w:pPr>
          </w:p>
        </w:tc>
      </w:tr>
      <w:tr w:rsidR="00980E5F" w14:paraId="392C489F" w14:textId="77777777">
        <w:trPr>
          <w:hidden/>
        </w:trPr>
        <w:tc>
          <w:tcPr>
            <w:tcW w:w="0" w:type="auto"/>
            <w:gridSpan w:val="3"/>
            <w:shd w:val="clear" w:color="auto" w:fill="auto"/>
            <w:vAlign w:val="bottom"/>
          </w:tcPr>
          <w:p w14:paraId="392C4889" w14:textId="77777777" w:rsidR="00980E5F" w:rsidRDefault="00980E5F">
            <w:pPr>
              <w:rPr>
                <w:rFonts w:ascii="宋体"/>
                <w:vanish/>
              </w:rPr>
            </w:pPr>
          </w:p>
        </w:tc>
        <w:tc>
          <w:tcPr>
            <w:tcW w:w="0" w:type="auto"/>
            <w:gridSpan w:val="3"/>
            <w:shd w:val="clear" w:color="auto" w:fill="auto"/>
            <w:vAlign w:val="bottom"/>
          </w:tcPr>
          <w:p w14:paraId="392C488A" w14:textId="77777777" w:rsidR="00980E5F" w:rsidRDefault="00980E5F">
            <w:pPr>
              <w:rPr>
                <w:rFonts w:ascii="宋体"/>
                <w:vanish/>
              </w:rPr>
            </w:pPr>
          </w:p>
        </w:tc>
        <w:tc>
          <w:tcPr>
            <w:tcW w:w="0" w:type="auto"/>
            <w:gridSpan w:val="3"/>
            <w:shd w:val="clear" w:color="auto" w:fill="auto"/>
            <w:vAlign w:val="bottom"/>
          </w:tcPr>
          <w:p w14:paraId="392C488B" w14:textId="77777777" w:rsidR="00980E5F" w:rsidRDefault="00980E5F">
            <w:pPr>
              <w:rPr>
                <w:rFonts w:ascii="宋体"/>
                <w:vanish/>
              </w:rPr>
            </w:pPr>
          </w:p>
        </w:tc>
        <w:tc>
          <w:tcPr>
            <w:tcW w:w="0" w:type="auto"/>
            <w:gridSpan w:val="3"/>
            <w:shd w:val="clear" w:color="auto" w:fill="auto"/>
            <w:vAlign w:val="bottom"/>
          </w:tcPr>
          <w:p w14:paraId="392C488C" w14:textId="77777777" w:rsidR="00980E5F" w:rsidRDefault="00980E5F">
            <w:pPr>
              <w:rPr>
                <w:rFonts w:ascii="宋体"/>
                <w:vanish/>
              </w:rPr>
            </w:pPr>
          </w:p>
        </w:tc>
        <w:tc>
          <w:tcPr>
            <w:tcW w:w="0" w:type="auto"/>
            <w:gridSpan w:val="3"/>
            <w:shd w:val="clear" w:color="auto" w:fill="auto"/>
            <w:vAlign w:val="bottom"/>
          </w:tcPr>
          <w:p w14:paraId="392C488D" w14:textId="77777777" w:rsidR="00980E5F" w:rsidRDefault="00980E5F">
            <w:pPr>
              <w:rPr>
                <w:rFonts w:ascii="宋体"/>
                <w:vanish/>
              </w:rPr>
            </w:pPr>
          </w:p>
        </w:tc>
        <w:tc>
          <w:tcPr>
            <w:tcW w:w="0" w:type="auto"/>
            <w:gridSpan w:val="3"/>
            <w:shd w:val="clear" w:color="auto" w:fill="auto"/>
            <w:vAlign w:val="bottom"/>
          </w:tcPr>
          <w:p w14:paraId="392C488E" w14:textId="77777777" w:rsidR="00980E5F" w:rsidRDefault="00980E5F">
            <w:pPr>
              <w:rPr>
                <w:rFonts w:ascii="宋体"/>
                <w:vanish/>
              </w:rPr>
            </w:pPr>
          </w:p>
        </w:tc>
        <w:tc>
          <w:tcPr>
            <w:tcW w:w="0" w:type="auto"/>
            <w:gridSpan w:val="3"/>
            <w:shd w:val="clear" w:color="auto" w:fill="auto"/>
            <w:vAlign w:val="bottom"/>
          </w:tcPr>
          <w:p w14:paraId="392C488F" w14:textId="77777777" w:rsidR="00980E5F" w:rsidRDefault="00980E5F">
            <w:pPr>
              <w:rPr>
                <w:rFonts w:ascii="宋体"/>
                <w:vanish/>
              </w:rPr>
            </w:pPr>
          </w:p>
        </w:tc>
        <w:tc>
          <w:tcPr>
            <w:tcW w:w="0" w:type="auto"/>
            <w:gridSpan w:val="3"/>
            <w:shd w:val="clear" w:color="auto" w:fill="auto"/>
            <w:vAlign w:val="bottom"/>
          </w:tcPr>
          <w:p w14:paraId="392C4890" w14:textId="77777777" w:rsidR="00980E5F" w:rsidRDefault="00980E5F">
            <w:pPr>
              <w:rPr>
                <w:rFonts w:ascii="宋体"/>
                <w:vanish/>
              </w:rPr>
            </w:pPr>
          </w:p>
        </w:tc>
        <w:tc>
          <w:tcPr>
            <w:tcW w:w="0" w:type="auto"/>
            <w:gridSpan w:val="3"/>
            <w:shd w:val="clear" w:color="auto" w:fill="auto"/>
            <w:vAlign w:val="bottom"/>
          </w:tcPr>
          <w:p w14:paraId="392C4891" w14:textId="77777777" w:rsidR="00980E5F" w:rsidRDefault="00980E5F">
            <w:pPr>
              <w:rPr>
                <w:rFonts w:ascii="宋体"/>
                <w:vanish/>
              </w:rPr>
            </w:pPr>
          </w:p>
        </w:tc>
        <w:tc>
          <w:tcPr>
            <w:tcW w:w="0" w:type="auto"/>
            <w:shd w:val="clear" w:color="auto" w:fill="auto"/>
            <w:vAlign w:val="bottom"/>
          </w:tcPr>
          <w:p w14:paraId="392C4892" w14:textId="77777777" w:rsidR="00980E5F" w:rsidRDefault="00980E5F">
            <w:pPr>
              <w:rPr>
                <w:rFonts w:ascii="宋体"/>
                <w:vanish/>
              </w:rPr>
            </w:pPr>
          </w:p>
        </w:tc>
        <w:tc>
          <w:tcPr>
            <w:tcW w:w="0" w:type="auto"/>
            <w:shd w:val="clear" w:color="auto" w:fill="auto"/>
            <w:vAlign w:val="bottom"/>
          </w:tcPr>
          <w:p w14:paraId="392C4893" w14:textId="77777777" w:rsidR="00980E5F" w:rsidRDefault="00980E5F">
            <w:pPr>
              <w:rPr>
                <w:rFonts w:ascii="宋体"/>
                <w:vanish/>
              </w:rPr>
            </w:pPr>
          </w:p>
        </w:tc>
        <w:tc>
          <w:tcPr>
            <w:tcW w:w="0" w:type="auto"/>
            <w:gridSpan w:val="3"/>
            <w:shd w:val="clear" w:color="auto" w:fill="auto"/>
            <w:vAlign w:val="bottom"/>
          </w:tcPr>
          <w:p w14:paraId="392C4894" w14:textId="77777777" w:rsidR="00980E5F" w:rsidRDefault="00980E5F">
            <w:pPr>
              <w:rPr>
                <w:rFonts w:ascii="宋体"/>
                <w:vanish/>
              </w:rPr>
            </w:pPr>
          </w:p>
        </w:tc>
        <w:tc>
          <w:tcPr>
            <w:tcW w:w="0" w:type="auto"/>
            <w:gridSpan w:val="3"/>
            <w:shd w:val="clear" w:color="auto" w:fill="auto"/>
            <w:vAlign w:val="bottom"/>
          </w:tcPr>
          <w:p w14:paraId="392C4895" w14:textId="77777777" w:rsidR="00980E5F" w:rsidRDefault="00980E5F">
            <w:pPr>
              <w:rPr>
                <w:rFonts w:ascii="宋体"/>
                <w:vanish/>
              </w:rPr>
            </w:pPr>
          </w:p>
        </w:tc>
        <w:tc>
          <w:tcPr>
            <w:tcW w:w="0" w:type="auto"/>
            <w:gridSpan w:val="3"/>
            <w:shd w:val="clear" w:color="auto" w:fill="auto"/>
            <w:vAlign w:val="bottom"/>
          </w:tcPr>
          <w:p w14:paraId="392C4896" w14:textId="77777777" w:rsidR="00980E5F" w:rsidRDefault="00980E5F">
            <w:pPr>
              <w:rPr>
                <w:rFonts w:ascii="宋体"/>
                <w:vanish/>
              </w:rPr>
            </w:pPr>
          </w:p>
        </w:tc>
        <w:tc>
          <w:tcPr>
            <w:tcW w:w="0" w:type="auto"/>
            <w:gridSpan w:val="3"/>
            <w:shd w:val="clear" w:color="auto" w:fill="auto"/>
            <w:vAlign w:val="bottom"/>
          </w:tcPr>
          <w:p w14:paraId="392C4897" w14:textId="77777777" w:rsidR="00980E5F" w:rsidRDefault="00980E5F">
            <w:pPr>
              <w:rPr>
                <w:rFonts w:ascii="宋体"/>
                <w:vanish/>
              </w:rPr>
            </w:pPr>
          </w:p>
        </w:tc>
        <w:tc>
          <w:tcPr>
            <w:tcW w:w="0" w:type="auto"/>
            <w:gridSpan w:val="3"/>
            <w:shd w:val="clear" w:color="auto" w:fill="auto"/>
            <w:vAlign w:val="bottom"/>
          </w:tcPr>
          <w:p w14:paraId="392C4898" w14:textId="77777777" w:rsidR="00980E5F" w:rsidRDefault="00980E5F">
            <w:pPr>
              <w:rPr>
                <w:rFonts w:ascii="宋体"/>
                <w:vanish/>
              </w:rPr>
            </w:pPr>
          </w:p>
        </w:tc>
        <w:tc>
          <w:tcPr>
            <w:tcW w:w="0" w:type="auto"/>
            <w:gridSpan w:val="3"/>
            <w:shd w:val="clear" w:color="auto" w:fill="auto"/>
            <w:vAlign w:val="bottom"/>
          </w:tcPr>
          <w:p w14:paraId="392C4899" w14:textId="77777777" w:rsidR="00980E5F" w:rsidRDefault="00980E5F">
            <w:pPr>
              <w:rPr>
                <w:rFonts w:ascii="宋体"/>
                <w:vanish/>
              </w:rPr>
            </w:pPr>
          </w:p>
        </w:tc>
        <w:tc>
          <w:tcPr>
            <w:tcW w:w="0" w:type="auto"/>
            <w:gridSpan w:val="3"/>
            <w:shd w:val="clear" w:color="auto" w:fill="auto"/>
            <w:vAlign w:val="bottom"/>
          </w:tcPr>
          <w:p w14:paraId="392C489A" w14:textId="77777777" w:rsidR="00980E5F" w:rsidRDefault="00980E5F">
            <w:pPr>
              <w:rPr>
                <w:rFonts w:ascii="宋体"/>
                <w:vanish/>
              </w:rPr>
            </w:pPr>
          </w:p>
        </w:tc>
        <w:tc>
          <w:tcPr>
            <w:tcW w:w="0" w:type="auto"/>
            <w:gridSpan w:val="3"/>
            <w:shd w:val="clear" w:color="auto" w:fill="auto"/>
            <w:vAlign w:val="bottom"/>
          </w:tcPr>
          <w:p w14:paraId="392C489B" w14:textId="77777777" w:rsidR="00980E5F" w:rsidRDefault="00980E5F">
            <w:pPr>
              <w:rPr>
                <w:rFonts w:ascii="宋体"/>
                <w:vanish/>
              </w:rPr>
            </w:pPr>
          </w:p>
        </w:tc>
        <w:tc>
          <w:tcPr>
            <w:tcW w:w="0" w:type="auto"/>
            <w:gridSpan w:val="3"/>
            <w:shd w:val="clear" w:color="auto" w:fill="auto"/>
            <w:vAlign w:val="bottom"/>
          </w:tcPr>
          <w:p w14:paraId="392C489C" w14:textId="77777777" w:rsidR="00980E5F" w:rsidRDefault="00980E5F">
            <w:pPr>
              <w:rPr>
                <w:rFonts w:ascii="宋体"/>
                <w:vanish/>
              </w:rPr>
            </w:pPr>
          </w:p>
        </w:tc>
        <w:tc>
          <w:tcPr>
            <w:tcW w:w="0" w:type="auto"/>
            <w:gridSpan w:val="2"/>
            <w:shd w:val="clear" w:color="auto" w:fill="auto"/>
            <w:vAlign w:val="bottom"/>
          </w:tcPr>
          <w:p w14:paraId="392C489D" w14:textId="77777777" w:rsidR="00980E5F" w:rsidRDefault="00980E5F">
            <w:pPr>
              <w:rPr>
                <w:rFonts w:ascii="宋体"/>
                <w:vanish/>
              </w:rPr>
            </w:pPr>
          </w:p>
        </w:tc>
        <w:tc>
          <w:tcPr>
            <w:tcW w:w="0" w:type="auto"/>
            <w:shd w:val="clear" w:color="auto" w:fill="auto"/>
            <w:vAlign w:val="bottom"/>
          </w:tcPr>
          <w:p w14:paraId="392C489E" w14:textId="77777777" w:rsidR="00980E5F" w:rsidRDefault="00980E5F">
            <w:pPr>
              <w:rPr>
                <w:rFonts w:ascii="宋体"/>
                <w:vanish/>
              </w:rPr>
            </w:pPr>
          </w:p>
        </w:tc>
      </w:tr>
      <w:tr w:rsidR="00980E5F" w14:paraId="392C48B6" w14:textId="77777777">
        <w:trPr>
          <w:hidden/>
        </w:trPr>
        <w:tc>
          <w:tcPr>
            <w:tcW w:w="0" w:type="auto"/>
            <w:gridSpan w:val="3"/>
            <w:shd w:val="clear" w:color="auto" w:fill="auto"/>
            <w:vAlign w:val="bottom"/>
          </w:tcPr>
          <w:p w14:paraId="392C48A0" w14:textId="77777777" w:rsidR="00980E5F" w:rsidRDefault="00980E5F">
            <w:pPr>
              <w:rPr>
                <w:rFonts w:ascii="宋体"/>
                <w:vanish/>
              </w:rPr>
            </w:pPr>
          </w:p>
        </w:tc>
        <w:tc>
          <w:tcPr>
            <w:tcW w:w="0" w:type="auto"/>
            <w:gridSpan w:val="3"/>
            <w:shd w:val="clear" w:color="auto" w:fill="auto"/>
            <w:vAlign w:val="bottom"/>
          </w:tcPr>
          <w:p w14:paraId="392C48A1" w14:textId="77777777" w:rsidR="00980E5F" w:rsidRDefault="00980E5F">
            <w:pPr>
              <w:rPr>
                <w:rFonts w:ascii="宋体"/>
                <w:vanish/>
              </w:rPr>
            </w:pPr>
          </w:p>
        </w:tc>
        <w:tc>
          <w:tcPr>
            <w:tcW w:w="0" w:type="auto"/>
            <w:gridSpan w:val="3"/>
            <w:shd w:val="clear" w:color="auto" w:fill="auto"/>
            <w:vAlign w:val="bottom"/>
          </w:tcPr>
          <w:p w14:paraId="392C48A2" w14:textId="77777777" w:rsidR="00980E5F" w:rsidRDefault="00980E5F">
            <w:pPr>
              <w:rPr>
                <w:rFonts w:ascii="宋体"/>
                <w:vanish/>
              </w:rPr>
            </w:pPr>
          </w:p>
        </w:tc>
        <w:tc>
          <w:tcPr>
            <w:tcW w:w="0" w:type="auto"/>
            <w:gridSpan w:val="3"/>
            <w:shd w:val="clear" w:color="auto" w:fill="auto"/>
            <w:vAlign w:val="bottom"/>
          </w:tcPr>
          <w:p w14:paraId="392C48A3" w14:textId="77777777" w:rsidR="00980E5F" w:rsidRDefault="00980E5F">
            <w:pPr>
              <w:rPr>
                <w:rFonts w:ascii="宋体"/>
                <w:vanish/>
              </w:rPr>
            </w:pPr>
          </w:p>
        </w:tc>
        <w:tc>
          <w:tcPr>
            <w:tcW w:w="0" w:type="auto"/>
            <w:gridSpan w:val="3"/>
            <w:shd w:val="clear" w:color="auto" w:fill="auto"/>
            <w:vAlign w:val="bottom"/>
          </w:tcPr>
          <w:p w14:paraId="392C48A4" w14:textId="77777777" w:rsidR="00980E5F" w:rsidRDefault="00980E5F">
            <w:pPr>
              <w:rPr>
                <w:rFonts w:ascii="宋体"/>
                <w:vanish/>
              </w:rPr>
            </w:pPr>
          </w:p>
        </w:tc>
        <w:tc>
          <w:tcPr>
            <w:tcW w:w="0" w:type="auto"/>
            <w:gridSpan w:val="3"/>
            <w:shd w:val="clear" w:color="auto" w:fill="auto"/>
            <w:vAlign w:val="bottom"/>
          </w:tcPr>
          <w:p w14:paraId="392C48A5" w14:textId="77777777" w:rsidR="00980E5F" w:rsidRDefault="00980E5F">
            <w:pPr>
              <w:rPr>
                <w:rFonts w:ascii="宋体"/>
                <w:vanish/>
              </w:rPr>
            </w:pPr>
          </w:p>
        </w:tc>
        <w:tc>
          <w:tcPr>
            <w:tcW w:w="0" w:type="auto"/>
            <w:gridSpan w:val="3"/>
            <w:shd w:val="clear" w:color="auto" w:fill="auto"/>
            <w:vAlign w:val="bottom"/>
          </w:tcPr>
          <w:p w14:paraId="392C48A6" w14:textId="77777777" w:rsidR="00980E5F" w:rsidRDefault="00980E5F">
            <w:pPr>
              <w:rPr>
                <w:rFonts w:ascii="宋体"/>
                <w:vanish/>
              </w:rPr>
            </w:pPr>
          </w:p>
        </w:tc>
        <w:tc>
          <w:tcPr>
            <w:tcW w:w="0" w:type="auto"/>
            <w:gridSpan w:val="3"/>
            <w:shd w:val="clear" w:color="auto" w:fill="auto"/>
            <w:vAlign w:val="bottom"/>
          </w:tcPr>
          <w:p w14:paraId="392C48A7" w14:textId="77777777" w:rsidR="00980E5F" w:rsidRDefault="00980E5F">
            <w:pPr>
              <w:rPr>
                <w:rFonts w:ascii="宋体"/>
                <w:vanish/>
              </w:rPr>
            </w:pPr>
          </w:p>
        </w:tc>
        <w:tc>
          <w:tcPr>
            <w:tcW w:w="0" w:type="auto"/>
            <w:gridSpan w:val="3"/>
            <w:shd w:val="clear" w:color="auto" w:fill="auto"/>
            <w:vAlign w:val="bottom"/>
          </w:tcPr>
          <w:p w14:paraId="392C48A8" w14:textId="77777777" w:rsidR="00980E5F" w:rsidRDefault="00980E5F">
            <w:pPr>
              <w:rPr>
                <w:rFonts w:ascii="宋体"/>
                <w:vanish/>
              </w:rPr>
            </w:pPr>
          </w:p>
        </w:tc>
        <w:tc>
          <w:tcPr>
            <w:tcW w:w="0" w:type="auto"/>
            <w:shd w:val="clear" w:color="auto" w:fill="auto"/>
            <w:vAlign w:val="bottom"/>
          </w:tcPr>
          <w:p w14:paraId="392C48A9" w14:textId="77777777" w:rsidR="00980E5F" w:rsidRDefault="00980E5F">
            <w:pPr>
              <w:rPr>
                <w:rFonts w:ascii="宋体"/>
                <w:vanish/>
              </w:rPr>
            </w:pPr>
          </w:p>
        </w:tc>
        <w:tc>
          <w:tcPr>
            <w:tcW w:w="0" w:type="auto"/>
            <w:shd w:val="clear" w:color="auto" w:fill="auto"/>
            <w:vAlign w:val="bottom"/>
          </w:tcPr>
          <w:p w14:paraId="392C48AA" w14:textId="77777777" w:rsidR="00980E5F" w:rsidRDefault="00980E5F">
            <w:pPr>
              <w:rPr>
                <w:rFonts w:ascii="宋体"/>
                <w:vanish/>
              </w:rPr>
            </w:pPr>
          </w:p>
        </w:tc>
        <w:tc>
          <w:tcPr>
            <w:tcW w:w="0" w:type="auto"/>
            <w:gridSpan w:val="3"/>
            <w:shd w:val="clear" w:color="auto" w:fill="auto"/>
            <w:vAlign w:val="bottom"/>
          </w:tcPr>
          <w:p w14:paraId="392C48AB" w14:textId="77777777" w:rsidR="00980E5F" w:rsidRDefault="00980E5F">
            <w:pPr>
              <w:rPr>
                <w:rFonts w:ascii="宋体"/>
                <w:vanish/>
              </w:rPr>
            </w:pPr>
          </w:p>
        </w:tc>
        <w:tc>
          <w:tcPr>
            <w:tcW w:w="0" w:type="auto"/>
            <w:gridSpan w:val="3"/>
            <w:shd w:val="clear" w:color="auto" w:fill="auto"/>
            <w:vAlign w:val="bottom"/>
          </w:tcPr>
          <w:p w14:paraId="392C48AC" w14:textId="77777777" w:rsidR="00980E5F" w:rsidRDefault="00980E5F">
            <w:pPr>
              <w:rPr>
                <w:rFonts w:ascii="宋体"/>
                <w:vanish/>
              </w:rPr>
            </w:pPr>
          </w:p>
        </w:tc>
        <w:tc>
          <w:tcPr>
            <w:tcW w:w="0" w:type="auto"/>
            <w:gridSpan w:val="3"/>
            <w:shd w:val="clear" w:color="auto" w:fill="auto"/>
            <w:vAlign w:val="bottom"/>
          </w:tcPr>
          <w:p w14:paraId="392C48AD" w14:textId="77777777" w:rsidR="00980E5F" w:rsidRDefault="00980E5F">
            <w:pPr>
              <w:rPr>
                <w:rFonts w:ascii="宋体"/>
                <w:vanish/>
              </w:rPr>
            </w:pPr>
          </w:p>
        </w:tc>
        <w:tc>
          <w:tcPr>
            <w:tcW w:w="0" w:type="auto"/>
            <w:gridSpan w:val="3"/>
            <w:shd w:val="clear" w:color="auto" w:fill="auto"/>
            <w:vAlign w:val="bottom"/>
          </w:tcPr>
          <w:p w14:paraId="392C48AE" w14:textId="77777777" w:rsidR="00980E5F" w:rsidRDefault="00980E5F">
            <w:pPr>
              <w:rPr>
                <w:rFonts w:ascii="宋体"/>
                <w:vanish/>
              </w:rPr>
            </w:pPr>
          </w:p>
        </w:tc>
        <w:tc>
          <w:tcPr>
            <w:tcW w:w="0" w:type="auto"/>
            <w:gridSpan w:val="3"/>
            <w:shd w:val="clear" w:color="auto" w:fill="auto"/>
            <w:vAlign w:val="bottom"/>
          </w:tcPr>
          <w:p w14:paraId="392C48AF" w14:textId="77777777" w:rsidR="00980E5F" w:rsidRDefault="00980E5F">
            <w:pPr>
              <w:rPr>
                <w:rFonts w:ascii="宋体"/>
                <w:vanish/>
              </w:rPr>
            </w:pPr>
          </w:p>
        </w:tc>
        <w:tc>
          <w:tcPr>
            <w:tcW w:w="0" w:type="auto"/>
            <w:gridSpan w:val="3"/>
            <w:shd w:val="clear" w:color="auto" w:fill="auto"/>
            <w:vAlign w:val="bottom"/>
          </w:tcPr>
          <w:p w14:paraId="392C48B0" w14:textId="77777777" w:rsidR="00980E5F" w:rsidRDefault="00980E5F">
            <w:pPr>
              <w:rPr>
                <w:rFonts w:ascii="宋体"/>
                <w:vanish/>
              </w:rPr>
            </w:pPr>
          </w:p>
        </w:tc>
        <w:tc>
          <w:tcPr>
            <w:tcW w:w="0" w:type="auto"/>
            <w:gridSpan w:val="3"/>
            <w:shd w:val="clear" w:color="auto" w:fill="auto"/>
            <w:vAlign w:val="bottom"/>
          </w:tcPr>
          <w:p w14:paraId="392C48B1" w14:textId="77777777" w:rsidR="00980E5F" w:rsidRDefault="00980E5F">
            <w:pPr>
              <w:rPr>
                <w:rFonts w:ascii="宋体"/>
                <w:vanish/>
              </w:rPr>
            </w:pPr>
          </w:p>
        </w:tc>
        <w:tc>
          <w:tcPr>
            <w:tcW w:w="0" w:type="auto"/>
            <w:gridSpan w:val="3"/>
            <w:shd w:val="clear" w:color="auto" w:fill="auto"/>
            <w:vAlign w:val="bottom"/>
          </w:tcPr>
          <w:p w14:paraId="392C48B2" w14:textId="77777777" w:rsidR="00980E5F" w:rsidRDefault="00980E5F">
            <w:pPr>
              <w:rPr>
                <w:rFonts w:ascii="宋体"/>
                <w:vanish/>
              </w:rPr>
            </w:pPr>
          </w:p>
        </w:tc>
        <w:tc>
          <w:tcPr>
            <w:tcW w:w="0" w:type="auto"/>
            <w:gridSpan w:val="3"/>
            <w:shd w:val="clear" w:color="auto" w:fill="auto"/>
            <w:vAlign w:val="bottom"/>
          </w:tcPr>
          <w:p w14:paraId="392C48B3" w14:textId="77777777" w:rsidR="00980E5F" w:rsidRDefault="00980E5F">
            <w:pPr>
              <w:rPr>
                <w:rFonts w:ascii="宋体"/>
                <w:vanish/>
              </w:rPr>
            </w:pPr>
          </w:p>
        </w:tc>
        <w:tc>
          <w:tcPr>
            <w:tcW w:w="0" w:type="auto"/>
            <w:gridSpan w:val="2"/>
            <w:shd w:val="clear" w:color="auto" w:fill="auto"/>
            <w:vAlign w:val="bottom"/>
          </w:tcPr>
          <w:p w14:paraId="392C48B4" w14:textId="77777777" w:rsidR="00980E5F" w:rsidRDefault="00980E5F">
            <w:pPr>
              <w:rPr>
                <w:rFonts w:ascii="宋体"/>
                <w:vanish/>
              </w:rPr>
            </w:pPr>
          </w:p>
        </w:tc>
        <w:tc>
          <w:tcPr>
            <w:tcW w:w="0" w:type="auto"/>
            <w:shd w:val="clear" w:color="auto" w:fill="auto"/>
            <w:vAlign w:val="bottom"/>
          </w:tcPr>
          <w:p w14:paraId="392C48B5" w14:textId="77777777" w:rsidR="00980E5F" w:rsidRDefault="00980E5F">
            <w:pPr>
              <w:rPr>
                <w:rFonts w:ascii="宋体"/>
                <w:vanish/>
              </w:rPr>
            </w:pPr>
          </w:p>
        </w:tc>
      </w:tr>
      <w:tr w:rsidR="00980E5F" w14:paraId="392C48CD" w14:textId="77777777">
        <w:trPr>
          <w:hidden/>
        </w:trPr>
        <w:tc>
          <w:tcPr>
            <w:tcW w:w="0" w:type="auto"/>
            <w:gridSpan w:val="3"/>
            <w:shd w:val="clear" w:color="auto" w:fill="auto"/>
            <w:vAlign w:val="bottom"/>
          </w:tcPr>
          <w:p w14:paraId="392C48B7" w14:textId="77777777" w:rsidR="00980E5F" w:rsidRDefault="00980E5F">
            <w:pPr>
              <w:rPr>
                <w:rFonts w:ascii="宋体"/>
                <w:vanish/>
              </w:rPr>
            </w:pPr>
          </w:p>
        </w:tc>
        <w:tc>
          <w:tcPr>
            <w:tcW w:w="0" w:type="auto"/>
            <w:gridSpan w:val="3"/>
            <w:shd w:val="clear" w:color="auto" w:fill="auto"/>
            <w:vAlign w:val="bottom"/>
          </w:tcPr>
          <w:p w14:paraId="392C48B8" w14:textId="77777777" w:rsidR="00980E5F" w:rsidRDefault="00980E5F">
            <w:pPr>
              <w:rPr>
                <w:rFonts w:ascii="宋体"/>
                <w:vanish/>
              </w:rPr>
            </w:pPr>
          </w:p>
        </w:tc>
        <w:tc>
          <w:tcPr>
            <w:tcW w:w="0" w:type="auto"/>
            <w:gridSpan w:val="3"/>
            <w:shd w:val="clear" w:color="auto" w:fill="auto"/>
            <w:vAlign w:val="bottom"/>
          </w:tcPr>
          <w:p w14:paraId="392C48B9" w14:textId="77777777" w:rsidR="00980E5F" w:rsidRDefault="00980E5F">
            <w:pPr>
              <w:rPr>
                <w:rFonts w:ascii="宋体"/>
                <w:vanish/>
              </w:rPr>
            </w:pPr>
          </w:p>
        </w:tc>
        <w:tc>
          <w:tcPr>
            <w:tcW w:w="0" w:type="auto"/>
            <w:gridSpan w:val="3"/>
            <w:shd w:val="clear" w:color="auto" w:fill="auto"/>
            <w:vAlign w:val="bottom"/>
          </w:tcPr>
          <w:p w14:paraId="392C48BA" w14:textId="77777777" w:rsidR="00980E5F" w:rsidRDefault="00980E5F">
            <w:pPr>
              <w:rPr>
                <w:rFonts w:ascii="宋体"/>
                <w:vanish/>
              </w:rPr>
            </w:pPr>
          </w:p>
        </w:tc>
        <w:tc>
          <w:tcPr>
            <w:tcW w:w="0" w:type="auto"/>
            <w:gridSpan w:val="3"/>
            <w:shd w:val="clear" w:color="auto" w:fill="auto"/>
            <w:vAlign w:val="bottom"/>
          </w:tcPr>
          <w:p w14:paraId="392C48BB" w14:textId="77777777" w:rsidR="00980E5F" w:rsidRDefault="00980E5F">
            <w:pPr>
              <w:rPr>
                <w:rFonts w:ascii="宋体"/>
                <w:vanish/>
              </w:rPr>
            </w:pPr>
          </w:p>
        </w:tc>
        <w:tc>
          <w:tcPr>
            <w:tcW w:w="0" w:type="auto"/>
            <w:gridSpan w:val="3"/>
            <w:shd w:val="clear" w:color="auto" w:fill="auto"/>
            <w:vAlign w:val="bottom"/>
          </w:tcPr>
          <w:p w14:paraId="392C48BC" w14:textId="77777777" w:rsidR="00980E5F" w:rsidRDefault="00980E5F">
            <w:pPr>
              <w:rPr>
                <w:rFonts w:ascii="宋体"/>
                <w:vanish/>
              </w:rPr>
            </w:pPr>
          </w:p>
        </w:tc>
        <w:tc>
          <w:tcPr>
            <w:tcW w:w="0" w:type="auto"/>
            <w:gridSpan w:val="3"/>
            <w:shd w:val="clear" w:color="auto" w:fill="auto"/>
            <w:vAlign w:val="bottom"/>
          </w:tcPr>
          <w:p w14:paraId="392C48BD" w14:textId="77777777" w:rsidR="00980E5F" w:rsidRDefault="00980E5F">
            <w:pPr>
              <w:rPr>
                <w:rFonts w:ascii="宋体"/>
                <w:vanish/>
              </w:rPr>
            </w:pPr>
          </w:p>
        </w:tc>
        <w:tc>
          <w:tcPr>
            <w:tcW w:w="0" w:type="auto"/>
            <w:gridSpan w:val="3"/>
            <w:shd w:val="clear" w:color="auto" w:fill="auto"/>
            <w:vAlign w:val="bottom"/>
          </w:tcPr>
          <w:p w14:paraId="392C48BE" w14:textId="77777777" w:rsidR="00980E5F" w:rsidRDefault="00980E5F">
            <w:pPr>
              <w:rPr>
                <w:rFonts w:ascii="宋体"/>
                <w:vanish/>
              </w:rPr>
            </w:pPr>
          </w:p>
        </w:tc>
        <w:tc>
          <w:tcPr>
            <w:tcW w:w="0" w:type="auto"/>
            <w:gridSpan w:val="3"/>
            <w:shd w:val="clear" w:color="auto" w:fill="auto"/>
            <w:vAlign w:val="bottom"/>
          </w:tcPr>
          <w:p w14:paraId="392C48BF" w14:textId="77777777" w:rsidR="00980E5F" w:rsidRDefault="00980E5F">
            <w:pPr>
              <w:rPr>
                <w:rFonts w:ascii="宋体"/>
                <w:vanish/>
              </w:rPr>
            </w:pPr>
          </w:p>
        </w:tc>
        <w:tc>
          <w:tcPr>
            <w:tcW w:w="0" w:type="auto"/>
            <w:shd w:val="clear" w:color="auto" w:fill="auto"/>
            <w:vAlign w:val="bottom"/>
          </w:tcPr>
          <w:p w14:paraId="392C48C0" w14:textId="77777777" w:rsidR="00980E5F" w:rsidRDefault="00980E5F">
            <w:pPr>
              <w:rPr>
                <w:rFonts w:ascii="宋体"/>
                <w:vanish/>
              </w:rPr>
            </w:pPr>
          </w:p>
        </w:tc>
        <w:tc>
          <w:tcPr>
            <w:tcW w:w="0" w:type="auto"/>
            <w:shd w:val="clear" w:color="auto" w:fill="auto"/>
            <w:vAlign w:val="bottom"/>
          </w:tcPr>
          <w:p w14:paraId="392C48C1" w14:textId="77777777" w:rsidR="00980E5F" w:rsidRDefault="00980E5F">
            <w:pPr>
              <w:rPr>
                <w:rFonts w:ascii="宋体"/>
                <w:vanish/>
              </w:rPr>
            </w:pPr>
          </w:p>
        </w:tc>
        <w:tc>
          <w:tcPr>
            <w:tcW w:w="0" w:type="auto"/>
            <w:gridSpan w:val="3"/>
            <w:shd w:val="clear" w:color="auto" w:fill="auto"/>
            <w:vAlign w:val="bottom"/>
          </w:tcPr>
          <w:p w14:paraId="392C48C2" w14:textId="77777777" w:rsidR="00980E5F" w:rsidRDefault="00980E5F">
            <w:pPr>
              <w:rPr>
                <w:rFonts w:ascii="宋体"/>
                <w:vanish/>
              </w:rPr>
            </w:pPr>
          </w:p>
        </w:tc>
        <w:tc>
          <w:tcPr>
            <w:tcW w:w="0" w:type="auto"/>
            <w:gridSpan w:val="3"/>
            <w:shd w:val="clear" w:color="auto" w:fill="auto"/>
            <w:vAlign w:val="bottom"/>
          </w:tcPr>
          <w:p w14:paraId="392C48C3" w14:textId="77777777" w:rsidR="00980E5F" w:rsidRDefault="00980E5F">
            <w:pPr>
              <w:rPr>
                <w:rFonts w:ascii="宋体"/>
                <w:vanish/>
              </w:rPr>
            </w:pPr>
          </w:p>
        </w:tc>
        <w:tc>
          <w:tcPr>
            <w:tcW w:w="0" w:type="auto"/>
            <w:gridSpan w:val="3"/>
            <w:shd w:val="clear" w:color="auto" w:fill="auto"/>
            <w:vAlign w:val="bottom"/>
          </w:tcPr>
          <w:p w14:paraId="392C48C4" w14:textId="77777777" w:rsidR="00980E5F" w:rsidRDefault="00980E5F">
            <w:pPr>
              <w:rPr>
                <w:rFonts w:ascii="宋体"/>
                <w:vanish/>
              </w:rPr>
            </w:pPr>
          </w:p>
        </w:tc>
        <w:tc>
          <w:tcPr>
            <w:tcW w:w="0" w:type="auto"/>
            <w:gridSpan w:val="3"/>
            <w:shd w:val="clear" w:color="auto" w:fill="auto"/>
            <w:vAlign w:val="bottom"/>
          </w:tcPr>
          <w:p w14:paraId="392C48C5" w14:textId="77777777" w:rsidR="00980E5F" w:rsidRDefault="00980E5F">
            <w:pPr>
              <w:rPr>
                <w:rFonts w:ascii="宋体"/>
                <w:vanish/>
              </w:rPr>
            </w:pPr>
          </w:p>
        </w:tc>
        <w:tc>
          <w:tcPr>
            <w:tcW w:w="0" w:type="auto"/>
            <w:gridSpan w:val="3"/>
            <w:shd w:val="clear" w:color="auto" w:fill="auto"/>
            <w:vAlign w:val="bottom"/>
          </w:tcPr>
          <w:p w14:paraId="392C48C6" w14:textId="77777777" w:rsidR="00980E5F" w:rsidRDefault="00980E5F">
            <w:pPr>
              <w:rPr>
                <w:rFonts w:ascii="宋体"/>
                <w:vanish/>
              </w:rPr>
            </w:pPr>
          </w:p>
        </w:tc>
        <w:tc>
          <w:tcPr>
            <w:tcW w:w="0" w:type="auto"/>
            <w:gridSpan w:val="3"/>
            <w:shd w:val="clear" w:color="auto" w:fill="auto"/>
            <w:vAlign w:val="bottom"/>
          </w:tcPr>
          <w:p w14:paraId="392C48C7" w14:textId="77777777" w:rsidR="00980E5F" w:rsidRDefault="00980E5F">
            <w:pPr>
              <w:rPr>
                <w:rFonts w:ascii="宋体"/>
                <w:vanish/>
              </w:rPr>
            </w:pPr>
          </w:p>
        </w:tc>
        <w:tc>
          <w:tcPr>
            <w:tcW w:w="0" w:type="auto"/>
            <w:gridSpan w:val="3"/>
            <w:shd w:val="clear" w:color="auto" w:fill="auto"/>
            <w:vAlign w:val="bottom"/>
          </w:tcPr>
          <w:p w14:paraId="392C48C8" w14:textId="77777777" w:rsidR="00980E5F" w:rsidRDefault="00980E5F">
            <w:pPr>
              <w:rPr>
                <w:rFonts w:ascii="宋体"/>
                <w:vanish/>
              </w:rPr>
            </w:pPr>
          </w:p>
        </w:tc>
        <w:tc>
          <w:tcPr>
            <w:tcW w:w="0" w:type="auto"/>
            <w:gridSpan w:val="3"/>
            <w:shd w:val="clear" w:color="auto" w:fill="auto"/>
            <w:vAlign w:val="bottom"/>
          </w:tcPr>
          <w:p w14:paraId="392C48C9" w14:textId="77777777" w:rsidR="00980E5F" w:rsidRDefault="00980E5F">
            <w:pPr>
              <w:rPr>
                <w:rFonts w:ascii="宋体"/>
                <w:vanish/>
              </w:rPr>
            </w:pPr>
          </w:p>
        </w:tc>
        <w:tc>
          <w:tcPr>
            <w:tcW w:w="0" w:type="auto"/>
            <w:gridSpan w:val="3"/>
            <w:shd w:val="clear" w:color="auto" w:fill="auto"/>
            <w:vAlign w:val="bottom"/>
          </w:tcPr>
          <w:p w14:paraId="392C48CA" w14:textId="77777777" w:rsidR="00980E5F" w:rsidRDefault="00980E5F">
            <w:pPr>
              <w:rPr>
                <w:rFonts w:ascii="宋体"/>
                <w:vanish/>
              </w:rPr>
            </w:pPr>
          </w:p>
        </w:tc>
        <w:tc>
          <w:tcPr>
            <w:tcW w:w="0" w:type="auto"/>
            <w:gridSpan w:val="2"/>
            <w:shd w:val="clear" w:color="auto" w:fill="auto"/>
            <w:vAlign w:val="bottom"/>
          </w:tcPr>
          <w:p w14:paraId="392C48CB" w14:textId="77777777" w:rsidR="00980E5F" w:rsidRDefault="00980E5F">
            <w:pPr>
              <w:rPr>
                <w:rFonts w:ascii="宋体"/>
                <w:vanish/>
              </w:rPr>
            </w:pPr>
          </w:p>
        </w:tc>
        <w:tc>
          <w:tcPr>
            <w:tcW w:w="0" w:type="auto"/>
            <w:shd w:val="clear" w:color="auto" w:fill="auto"/>
            <w:vAlign w:val="bottom"/>
          </w:tcPr>
          <w:p w14:paraId="392C48CC" w14:textId="77777777" w:rsidR="00980E5F" w:rsidRDefault="00980E5F">
            <w:pPr>
              <w:rPr>
                <w:rFonts w:ascii="宋体"/>
                <w:vanish/>
              </w:rPr>
            </w:pPr>
          </w:p>
        </w:tc>
      </w:tr>
      <w:tr w:rsidR="00980E5F" w14:paraId="392C48E4" w14:textId="77777777">
        <w:trPr>
          <w:hidden/>
        </w:trPr>
        <w:tc>
          <w:tcPr>
            <w:tcW w:w="0" w:type="auto"/>
            <w:gridSpan w:val="3"/>
            <w:shd w:val="clear" w:color="auto" w:fill="auto"/>
            <w:vAlign w:val="bottom"/>
          </w:tcPr>
          <w:p w14:paraId="392C48CE" w14:textId="77777777" w:rsidR="00980E5F" w:rsidRDefault="00980E5F">
            <w:pPr>
              <w:rPr>
                <w:rFonts w:ascii="宋体"/>
                <w:vanish/>
              </w:rPr>
            </w:pPr>
          </w:p>
        </w:tc>
        <w:tc>
          <w:tcPr>
            <w:tcW w:w="0" w:type="auto"/>
            <w:gridSpan w:val="3"/>
            <w:shd w:val="clear" w:color="auto" w:fill="auto"/>
            <w:vAlign w:val="bottom"/>
          </w:tcPr>
          <w:p w14:paraId="392C48CF" w14:textId="77777777" w:rsidR="00980E5F" w:rsidRDefault="00980E5F">
            <w:pPr>
              <w:rPr>
                <w:rFonts w:ascii="宋体"/>
                <w:vanish/>
              </w:rPr>
            </w:pPr>
          </w:p>
        </w:tc>
        <w:tc>
          <w:tcPr>
            <w:tcW w:w="0" w:type="auto"/>
            <w:gridSpan w:val="3"/>
            <w:shd w:val="clear" w:color="auto" w:fill="auto"/>
            <w:vAlign w:val="bottom"/>
          </w:tcPr>
          <w:p w14:paraId="392C48D0" w14:textId="77777777" w:rsidR="00980E5F" w:rsidRDefault="00980E5F">
            <w:pPr>
              <w:rPr>
                <w:rFonts w:ascii="宋体"/>
                <w:vanish/>
              </w:rPr>
            </w:pPr>
          </w:p>
        </w:tc>
        <w:tc>
          <w:tcPr>
            <w:tcW w:w="0" w:type="auto"/>
            <w:gridSpan w:val="3"/>
            <w:shd w:val="clear" w:color="auto" w:fill="auto"/>
            <w:vAlign w:val="bottom"/>
          </w:tcPr>
          <w:p w14:paraId="392C48D1" w14:textId="77777777" w:rsidR="00980E5F" w:rsidRDefault="00980E5F">
            <w:pPr>
              <w:rPr>
                <w:rFonts w:ascii="宋体"/>
                <w:vanish/>
              </w:rPr>
            </w:pPr>
          </w:p>
        </w:tc>
        <w:tc>
          <w:tcPr>
            <w:tcW w:w="0" w:type="auto"/>
            <w:gridSpan w:val="3"/>
            <w:shd w:val="clear" w:color="auto" w:fill="auto"/>
            <w:vAlign w:val="bottom"/>
          </w:tcPr>
          <w:p w14:paraId="392C48D2" w14:textId="77777777" w:rsidR="00980E5F" w:rsidRDefault="00980E5F">
            <w:pPr>
              <w:rPr>
                <w:rFonts w:ascii="宋体"/>
                <w:vanish/>
              </w:rPr>
            </w:pPr>
          </w:p>
        </w:tc>
        <w:tc>
          <w:tcPr>
            <w:tcW w:w="0" w:type="auto"/>
            <w:gridSpan w:val="3"/>
            <w:shd w:val="clear" w:color="auto" w:fill="auto"/>
            <w:vAlign w:val="bottom"/>
          </w:tcPr>
          <w:p w14:paraId="392C48D3" w14:textId="77777777" w:rsidR="00980E5F" w:rsidRDefault="00980E5F">
            <w:pPr>
              <w:rPr>
                <w:rFonts w:ascii="宋体"/>
                <w:vanish/>
              </w:rPr>
            </w:pPr>
          </w:p>
        </w:tc>
        <w:tc>
          <w:tcPr>
            <w:tcW w:w="0" w:type="auto"/>
            <w:gridSpan w:val="3"/>
            <w:shd w:val="clear" w:color="auto" w:fill="auto"/>
            <w:vAlign w:val="bottom"/>
          </w:tcPr>
          <w:p w14:paraId="392C48D4" w14:textId="77777777" w:rsidR="00980E5F" w:rsidRDefault="00980E5F">
            <w:pPr>
              <w:rPr>
                <w:rFonts w:ascii="宋体"/>
                <w:vanish/>
              </w:rPr>
            </w:pPr>
          </w:p>
        </w:tc>
        <w:tc>
          <w:tcPr>
            <w:tcW w:w="0" w:type="auto"/>
            <w:gridSpan w:val="3"/>
            <w:shd w:val="clear" w:color="auto" w:fill="auto"/>
            <w:vAlign w:val="bottom"/>
          </w:tcPr>
          <w:p w14:paraId="392C48D5" w14:textId="77777777" w:rsidR="00980E5F" w:rsidRDefault="00980E5F">
            <w:pPr>
              <w:rPr>
                <w:rFonts w:ascii="宋体"/>
                <w:vanish/>
              </w:rPr>
            </w:pPr>
          </w:p>
        </w:tc>
        <w:tc>
          <w:tcPr>
            <w:tcW w:w="0" w:type="auto"/>
            <w:gridSpan w:val="3"/>
            <w:shd w:val="clear" w:color="auto" w:fill="auto"/>
            <w:vAlign w:val="bottom"/>
          </w:tcPr>
          <w:p w14:paraId="392C48D6" w14:textId="77777777" w:rsidR="00980E5F" w:rsidRDefault="00980E5F">
            <w:pPr>
              <w:rPr>
                <w:rFonts w:ascii="宋体"/>
                <w:vanish/>
              </w:rPr>
            </w:pPr>
          </w:p>
        </w:tc>
        <w:tc>
          <w:tcPr>
            <w:tcW w:w="0" w:type="auto"/>
            <w:shd w:val="clear" w:color="auto" w:fill="auto"/>
            <w:vAlign w:val="bottom"/>
          </w:tcPr>
          <w:p w14:paraId="392C48D7" w14:textId="77777777" w:rsidR="00980E5F" w:rsidRDefault="00980E5F">
            <w:pPr>
              <w:rPr>
                <w:rFonts w:ascii="宋体"/>
                <w:vanish/>
              </w:rPr>
            </w:pPr>
          </w:p>
        </w:tc>
        <w:tc>
          <w:tcPr>
            <w:tcW w:w="0" w:type="auto"/>
            <w:shd w:val="clear" w:color="auto" w:fill="auto"/>
            <w:vAlign w:val="bottom"/>
          </w:tcPr>
          <w:p w14:paraId="392C48D8" w14:textId="77777777" w:rsidR="00980E5F" w:rsidRDefault="00980E5F">
            <w:pPr>
              <w:rPr>
                <w:rFonts w:ascii="宋体"/>
                <w:vanish/>
              </w:rPr>
            </w:pPr>
          </w:p>
        </w:tc>
        <w:tc>
          <w:tcPr>
            <w:tcW w:w="0" w:type="auto"/>
            <w:gridSpan w:val="3"/>
            <w:shd w:val="clear" w:color="auto" w:fill="auto"/>
            <w:vAlign w:val="bottom"/>
          </w:tcPr>
          <w:p w14:paraId="392C48D9" w14:textId="77777777" w:rsidR="00980E5F" w:rsidRDefault="00980E5F">
            <w:pPr>
              <w:rPr>
                <w:rFonts w:ascii="宋体"/>
                <w:vanish/>
              </w:rPr>
            </w:pPr>
          </w:p>
        </w:tc>
        <w:tc>
          <w:tcPr>
            <w:tcW w:w="0" w:type="auto"/>
            <w:gridSpan w:val="3"/>
            <w:shd w:val="clear" w:color="auto" w:fill="auto"/>
            <w:vAlign w:val="bottom"/>
          </w:tcPr>
          <w:p w14:paraId="392C48DA" w14:textId="77777777" w:rsidR="00980E5F" w:rsidRDefault="00980E5F">
            <w:pPr>
              <w:rPr>
                <w:rFonts w:ascii="宋体"/>
                <w:vanish/>
              </w:rPr>
            </w:pPr>
          </w:p>
        </w:tc>
        <w:tc>
          <w:tcPr>
            <w:tcW w:w="0" w:type="auto"/>
            <w:gridSpan w:val="3"/>
            <w:shd w:val="clear" w:color="auto" w:fill="auto"/>
            <w:vAlign w:val="bottom"/>
          </w:tcPr>
          <w:p w14:paraId="392C48DB" w14:textId="77777777" w:rsidR="00980E5F" w:rsidRDefault="00980E5F">
            <w:pPr>
              <w:rPr>
                <w:rFonts w:ascii="宋体"/>
                <w:vanish/>
              </w:rPr>
            </w:pPr>
          </w:p>
        </w:tc>
        <w:tc>
          <w:tcPr>
            <w:tcW w:w="0" w:type="auto"/>
            <w:gridSpan w:val="3"/>
            <w:shd w:val="clear" w:color="auto" w:fill="auto"/>
            <w:vAlign w:val="bottom"/>
          </w:tcPr>
          <w:p w14:paraId="392C48DC" w14:textId="77777777" w:rsidR="00980E5F" w:rsidRDefault="00980E5F">
            <w:pPr>
              <w:rPr>
                <w:rFonts w:ascii="宋体"/>
                <w:vanish/>
              </w:rPr>
            </w:pPr>
          </w:p>
        </w:tc>
        <w:tc>
          <w:tcPr>
            <w:tcW w:w="0" w:type="auto"/>
            <w:gridSpan w:val="3"/>
            <w:shd w:val="clear" w:color="auto" w:fill="auto"/>
            <w:vAlign w:val="bottom"/>
          </w:tcPr>
          <w:p w14:paraId="392C48DD" w14:textId="77777777" w:rsidR="00980E5F" w:rsidRDefault="00980E5F">
            <w:pPr>
              <w:rPr>
                <w:rFonts w:ascii="宋体"/>
                <w:vanish/>
              </w:rPr>
            </w:pPr>
          </w:p>
        </w:tc>
        <w:tc>
          <w:tcPr>
            <w:tcW w:w="0" w:type="auto"/>
            <w:gridSpan w:val="3"/>
            <w:shd w:val="clear" w:color="auto" w:fill="auto"/>
            <w:vAlign w:val="bottom"/>
          </w:tcPr>
          <w:p w14:paraId="392C48DE" w14:textId="77777777" w:rsidR="00980E5F" w:rsidRDefault="00980E5F">
            <w:pPr>
              <w:rPr>
                <w:rFonts w:ascii="宋体"/>
                <w:vanish/>
              </w:rPr>
            </w:pPr>
          </w:p>
        </w:tc>
        <w:tc>
          <w:tcPr>
            <w:tcW w:w="0" w:type="auto"/>
            <w:gridSpan w:val="3"/>
            <w:shd w:val="clear" w:color="auto" w:fill="auto"/>
            <w:vAlign w:val="bottom"/>
          </w:tcPr>
          <w:p w14:paraId="392C48DF" w14:textId="77777777" w:rsidR="00980E5F" w:rsidRDefault="00980E5F">
            <w:pPr>
              <w:rPr>
                <w:rFonts w:ascii="宋体"/>
                <w:vanish/>
              </w:rPr>
            </w:pPr>
          </w:p>
        </w:tc>
        <w:tc>
          <w:tcPr>
            <w:tcW w:w="0" w:type="auto"/>
            <w:gridSpan w:val="3"/>
            <w:shd w:val="clear" w:color="auto" w:fill="auto"/>
            <w:vAlign w:val="bottom"/>
          </w:tcPr>
          <w:p w14:paraId="392C48E0" w14:textId="77777777" w:rsidR="00980E5F" w:rsidRDefault="00980E5F">
            <w:pPr>
              <w:rPr>
                <w:rFonts w:ascii="宋体"/>
                <w:vanish/>
              </w:rPr>
            </w:pPr>
          </w:p>
        </w:tc>
        <w:tc>
          <w:tcPr>
            <w:tcW w:w="0" w:type="auto"/>
            <w:gridSpan w:val="3"/>
            <w:shd w:val="clear" w:color="auto" w:fill="auto"/>
            <w:vAlign w:val="bottom"/>
          </w:tcPr>
          <w:p w14:paraId="392C48E1" w14:textId="77777777" w:rsidR="00980E5F" w:rsidRDefault="00980E5F">
            <w:pPr>
              <w:rPr>
                <w:rFonts w:ascii="宋体"/>
                <w:vanish/>
              </w:rPr>
            </w:pPr>
          </w:p>
        </w:tc>
        <w:tc>
          <w:tcPr>
            <w:tcW w:w="0" w:type="auto"/>
            <w:gridSpan w:val="2"/>
            <w:shd w:val="clear" w:color="auto" w:fill="auto"/>
            <w:vAlign w:val="bottom"/>
          </w:tcPr>
          <w:p w14:paraId="392C48E2" w14:textId="77777777" w:rsidR="00980E5F" w:rsidRDefault="00980E5F">
            <w:pPr>
              <w:rPr>
                <w:rFonts w:ascii="宋体"/>
                <w:vanish/>
              </w:rPr>
            </w:pPr>
          </w:p>
        </w:tc>
        <w:tc>
          <w:tcPr>
            <w:tcW w:w="0" w:type="auto"/>
            <w:shd w:val="clear" w:color="auto" w:fill="auto"/>
            <w:vAlign w:val="bottom"/>
          </w:tcPr>
          <w:p w14:paraId="392C48E3" w14:textId="77777777" w:rsidR="00980E5F" w:rsidRDefault="00980E5F">
            <w:pPr>
              <w:rPr>
                <w:rFonts w:ascii="宋体"/>
                <w:vanish/>
              </w:rPr>
            </w:pPr>
          </w:p>
        </w:tc>
      </w:tr>
      <w:tr w:rsidR="00980E5F" w14:paraId="392C48FB" w14:textId="77777777">
        <w:trPr>
          <w:hidden/>
        </w:trPr>
        <w:tc>
          <w:tcPr>
            <w:tcW w:w="0" w:type="auto"/>
            <w:gridSpan w:val="3"/>
            <w:shd w:val="clear" w:color="auto" w:fill="auto"/>
            <w:vAlign w:val="bottom"/>
          </w:tcPr>
          <w:p w14:paraId="392C48E5" w14:textId="77777777" w:rsidR="00980E5F" w:rsidRDefault="00980E5F">
            <w:pPr>
              <w:rPr>
                <w:rFonts w:ascii="宋体"/>
                <w:vanish/>
              </w:rPr>
            </w:pPr>
          </w:p>
        </w:tc>
        <w:tc>
          <w:tcPr>
            <w:tcW w:w="0" w:type="auto"/>
            <w:gridSpan w:val="3"/>
            <w:shd w:val="clear" w:color="auto" w:fill="auto"/>
            <w:vAlign w:val="bottom"/>
          </w:tcPr>
          <w:p w14:paraId="392C48E6" w14:textId="77777777" w:rsidR="00980E5F" w:rsidRDefault="00980E5F">
            <w:pPr>
              <w:rPr>
                <w:rFonts w:ascii="宋体"/>
                <w:vanish/>
              </w:rPr>
            </w:pPr>
          </w:p>
        </w:tc>
        <w:tc>
          <w:tcPr>
            <w:tcW w:w="0" w:type="auto"/>
            <w:gridSpan w:val="3"/>
            <w:shd w:val="clear" w:color="auto" w:fill="auto"/>
            <w:vAlign w:val="bottom"/>
          </w:tcPr>
          <w:p w14:paraId="392C48E7" w14:textId="77777777" w:rsidR="00980E5F" w:rsidRDefault="00980E5F">
            <w:pPr>
              <w:rPr>
                <w:rFonts w:ascii="宋体"/>
                <w:vanish/>
              </w:rPr>
            </w:pPr>
          </w:p>
        </w:tc>
        <w:tc>
          <w:tcPr>
            <w:tcW w:w="0" w:type="auto"/>
            <w:gridSpan w:val="3"/>
            <w:shd w:val="clear" w:color="auto" w:fill="auto"/>
            <w:vAlign w:val="bottom"/>
          </w:tcPr>
          <w:p w14:paraId="392C48E8" w14:textId="77777777" w:rsidR="00980E5F" w:rsidRDefault="00980E5F">
            <w:pPr>
              <w:rPr>
                <w:rFonts w:ascii="宋体"/>
                <w:vanish/>
              </w:rPr>
            </w:pPr>
          </w:p>
        </w:tc>
        <w:tc>
          <w:tcPr>
            <w:tcW w:w="0" w:type="auto"/>
            <w:gridSpan w:val="3"/>
            <w:shd w:val="clear" w:color="auto" w:fill="auto"/>
            <w:vAlign w:val="bottom"/>
          </w:tcPr>
          <w:p w14:paraId="392C48E9" w14:textId="77777777" w:rsidR="00980E5F" w:rsidRDefault="00980E5F">
            <w:pPr>
              <w:rPr>
                <w:rFonts w:ascii="宋体"/>
                <w:vanish/>
              </w:rPr>
            </w:pPr>
          </w:p>
        </w:tc>
        <w:tc>
          <w:tcPr>
            <w:tcW w:w="0" w:type="auto"/>
            <w:gridSpan w:val="3"/>
            <w:shd w:val="clear" w:color="auto" w:fill="auto"/>
            <w:vAlign w:val="bottom"/>
          </w:tcPr>
          <w:p w14:paraId="392C48EA" w14:textId="77777777" w:rsidR="00980E5F" w:rsidRDefault="00980E5F">
            <w:pPr>
              <w:rPr>
                <w:rFonts w:ascii="宋体"/>
                <w:vanish/>
              </w:rPr>
            </w:pPr>
          </w:p>
        </w:tc>
        <w:tc>
          <w:tcPr>
            <w:tcW w:w="0" w:type="auto"/>
            <w:gridSpan w:val="3"/>
            <w:shd w:val="clear" w:color="auto" w:fill="auto"/>
            <w:vAlign w:val="bottom"/>
          </w:tcPr>
          <w:p w14:paraId="392C48EB" w14:textId="77777777" w:rsidR="00980E5F" w:rsidRDefault="00980E5F">
            <w:pPr>
              <w:rPr>
                <w:rFonts w:ascii="宋体"/>
                <w:vanish/>
              </w:rPr>
            </w:pPr>
          </w:p>
        </w:tc>
        <w:tc>
          <w:tcPr>
            <w:tcW w:w="0" w:type="auto"/>
            <w:gridSpan w:val="3"/>
            <w:shd w:val="clear" w:color="auto" w:fill="auto"/>
            <w:vAlign w:val="bottom"/>
          </w:tcPr>
          <w:p w14:paraId="392C48EC" w14:textId="77777777" w:rsidR="00980E5F" w:rsidRDefault="00980E5F">
            <w:pPr>
              <w:rPr>
                <w:rFonts w:ascii="宋体"/>
                <w:vanish/>
              </w:rPr>
            </w:pPr>
          </w:p>
        </w:tc>
        <w:tc>
          <w:tcPr>
            <w:tcW w:w="0" w:type="auto"/>
            <w:gridSpan w:val="3"/>
            <w:shd w:val="clear" w:color="auto" w:fill="auto"/>
            <w:vAlign w:val="bottom"/>
          </w:tcPr>
          <w:p w14:paraId="392C48ED" w14:textId="77777777" w:rsidR="00980E5F" w:rsidRDefault="00980E5F">
            <w:pPr>
              <w:rPr>
                <w:rFonts w:ascii="宋体"/>
                <w:vanish/>
              </w:rPr>
            </w:pPr>
          </w:p>
        </w:tc>
        <w:tc>
          <w:tcPr>
            <w:tcW w:w="0" w:type="auto"/>
            <w:shd w:val="clear" w:color="auto" w:fill="auto"/>
            <w:vAlign w:val="bottom"/>
          </w:tcPr>
          <w:p w14:paraId="392C48EE" w14:textId="77777777" w:rsidR="00980E5F" w:rsidRDefault="00980E5F">
            <w:pPr>
              <w:rPr>
                <w:rFonts w:ascii="宋体"/>
                <w:vanish/>
              </w:rPr>
            </w:pPr>
          </w:p>
        </w:tc>
        <w:tc>
          <w:tcPr>
            <w:tcW w:w="0" w:type="auto"/>
            <w:shd w:val="clear" w:color="auto" w:fill="auto"/>
            <w:vAlign w:val="bottom"/>
          </w:tcPr>
          <w:p w14:paraId="392C48EF" w14:textId="77777777" w:rsidR="00980E5F" w:rsidRDefault="00980E5F">
            <w:pPr>
              <w:rPr>
                <w:rFonts w:ascii="宋体"/>
                <w:vanish/>
              </w:rPr>
            </w:pPr>
          </w:p>
        </w:tc>
        <w:tc>
          <w:tcPr>
            <w:tcW w:w="0" w:type="auto"/>
            <w:gridSpan w:val="3"/>
            <w:shd w:val="clear" w:color="auto" w:fill="auto"/>
            <w:vAlign w:val="bottom"/>
          </w:tcPr>
          <w:p w14:paraId="392C48F0" w14:textId="77777777" w:rsidR="00980E5F" w:rsidRDefault="00980E5F">
            <w:pPr>
              <w:rPr>
                <w:rFonts w:ascii="宋体"/>
                <w:vanish/>
              </w:rPr>
            </w:pPr>
          </w:p>
        </w:tc>
        <w:tc>
          <w:tcPr>
            <w:tcW w:w="0" w:type="auto"/>
            <w:gridSpan w:val="3"/>
            <w:shd w:val="clear" w:color="auto" w:fill="auto"/>
            <w:vAlign w:val="bottom"/>
          </w:tcPr>
          <w:p w14:paraId="392C48F1" w14:textId="77777777" w:rsidR="00980E5F" w:rsidRDefault="00980E5F">
            <w:pPr>
              <w:rPr>
                <w:rFonts w:ascii="宋体"/>
                <w:vanish/>
              </w:rPr>
            </w:pPr>
          </w:p>
        </w:tc>
        <w:tc>
          <w:tcPr>
            <w:tcW w:w="0" w:type="auto"/>
            <w:gridSpan w:val="3"/>
            <w:shd w:val="clear" w:color="auto" w:fill="auto"/>
            <w:vAlign w:val="bottom"/>
          </w:tcPr>
          <w:p w14:paraId="392C48F2" w14:textId="77777777" w:rsidR="00980E5F" w:rsidRDefault="00980E5F">
            <w:pPr>
              <w:rPr>
                <w:rFonts w:ascii="宋体"/>
                <w:vanish/>
              </w:rPr>
            </w:pPr>
          </w:p>
        </w:tc>
        <w:tc>
          <w:tcPr>
            <w:tcW w:w="0" w:type="auto"/>
            <w:gridSpan w:val="3"/>
            <w:shd w:val="clear" w:color="auto" w:fill="auto"/>
            <w:vAlign w:val="bottom"/>
          </w:tcPr>
          <w:p w14:paraId="392C48F3" w14:textId="77777777" w:rsidR="00980E5F" w:rsidRDefault="00980E5F">
            <w:pPr>
              <w:rPr>
                <w:rFonts w:ascii="宋体"/>
                <w:vanish/>
              </w:rPr>
            </w:pPr>
          </w:p>
        </w:tc>
        <w:tc>
          <w:tcPr>
            <w:tcW w:w="0" w:type="auto"/>
            <w:gridSpan w:val="3"/>
            <w:shd w:val="clear" w:color="auto" w:fill="auto"/>
            <w:vAlign w:val="bottom"/>
          </w:tcPr>
          <w:p w14:paraId="392C48F4" w14:textId="77777777" w:rsidR="00980E5F" w:rsidRDefault="00980E5F">
            <w:pPr>
              <w:rPr>
                <w:rFonts w:ascii="宋体"/>
                <w:vanish/>
              </w:rPr>
            </w:pPr>
          </w:p>
        </w:tc>
        <w:tc>
          <w:tcPr>
            <w:tcW w:w="0" w:type="auto"/>
            <w:gridSpan w:val="3"/>
            <w:shd w:val="clear" w:color="auto" w:fill="auto"/>
            <w:vAlign w:val="bottom"/>
          </w:tcPr>
          <w:p w14:paraId="392C48F5" w14:textId="77777777" w:rsidR="00980E5F" w:rsidRDefault="00980E5F">
            <w:pPr>
              <w:rPr>
                <w:rFonts w:ascii="宋体"/>
                <w:vanish/>
              </w:rPr>
            </w:pPr>
          </w:p>
        </w:tc>
        <w:tc>
          <w:tcPr>
            <w:tcW w:w="0" w:type="auto"/>
            <w:gridSpan w:val="3"/>
            <w:shd w:val="clear" w:color="auto" w:fill="auto"/>
            <w:vAlign w:val="bottom"/>
          </w:tcPr>
          <w:p w14:paraId="392C48F6" w14:textId="77777777" w:rsidR="00980E5F" w:rsidRDefault="00980E5F">
            <w:pPr>
              <w:rPr>
                <w:rFonts w:ascii="宋体"/>
                <w:vanish/>
              </w:rPr>
            </w:pPr>
          </w:p>
        </w:tc>
        <w:tc>
          <w:tcPr>
            <w:tcW w:w="0" w:type="auto"/>
            <w:gridSpan w:val="3"/>
            <w:shd w:val="clear" w:color="auto" w:fill="auto"/>
            <w:vAlign w:val="bottom"/>
          </w:tcPr>
          <w:p w14:paraId="392C48F7" w14:textId="77777777" w:rsidR="00980E5F" w:rsidRDefault="00980E5F">
            <w:pPr>
              <w:rPr>
                <w:rFonts w:ascii="宋体"/>
                <w:vanish/>
              </w:rPr>
            </w:pPr>
          </w:p>
        </w:tc>
        <w:tc>
          <w:tcPr>
            <w:tcW w:w="0" w:type="auto"/>
            <w:gridSpan w:val="3"/>
            <w:shd w:val="clear" w:color="auto" w:fill="auto"/>
            <w:vAlign w:val="bottom"/>
          </w:tcPr>
          <w:p w14:paraId="392C48F8" w14:textId="77777777" w:rsidR="00980E5F" w:rsidRDefault="00980E5F">
            <w:pPr>
              <w:rPr>
                <w:rFonts w:ascii="宋体"/>
                <w:vanish/>
              </w:rPr>
            </w:pPr>
          </w:p>
        </w:tc>
        <w:tc>
          <w:tcPr>
            <w:tcW w:w="0" w:type="auto"/>
            <w:gridSpan w:val="2"/>
            <w:shd w:val="clear" w:color="auto" w:fill="auto"/>
            <w:vAlign w:val="bottom"/>
          </w:tcPr>
          <w:p w14:paraId="392C48F9" w14:textId="77777777" w:rsidR="00980E5F" w:rsidRDefault="00980E5F">
            <w:pPr>
              <w:rPr>
                <w:rFonts w:ascii="宋体"/>
                <w:vanish/>
              </w:rPr>
            </w:pPr>
          </w:p>
        </w:tc>
        <w:tc>
          <w:tcPr>
            <w:tcW w:w="0" w:type="auto"/>
            <w:shd w:val="clear" w:color="auto" w:fill="auto"/>
            <w:vAlign w:val="bottom"/>
          </w:tcPr>
          <w:p w14:paraId="392C48FA" w14:textId="77777777" w:rsidR="00980E5F" w:rsidRDefault="00980E5F">
            <w:pPr>
              <w:rPr>
                <w:rFonts w:ascii="宋体"/>
                <w:vanish/>
              </w:rPr>
            </w:pPr>
          </w:p>
        </w:tc>
      </w:tr>
      <w:tr w:rsidR="00980E5F" w14:paraId="392C4912" w14:textId="77777777">
        <w:tc>
          <w:tcPr>
            <w:tcW w:w="0" w:type="auto"/>
            <w:gridSpan w:val="3"/>
            <w:shd w:val="clear" w:color="auto" w:fill="CCEEFF"/>
            <w:tcMar>
              <w:top w:w="40" w:type="dxa"/>
              <w:left w:w="20" w:type="dxa"/>
              <w:bottom w:w="40" w:type="dxa"/>
              <w:right w:w="20" w:type="dxa"/>
            </w:tcMar>
            <w:vAlign w:val="center"/>
          </w:tcPr>
          <w:p w14:paraId="392C48FC" w14:textId="77777777" w:rsidR="00980E5F" w:rsidRDefault="00483613">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392C48F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8F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8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4" w14:textId="77777777" w:rsidR="00980E5F" w:rsidRDefault="00980E5F">
            <w:pPr>
              <w:rPr>
                <w:rFonts w:ascii="宋体"/>
              </w:rPr>
            </w:pPr>
          </w:p>
        </w:tc>
        <w:tc>
          <w:tcPr>
            <w:tcW w:w="0" w:type="auto"/>
            <w:shd w:val="clear" w:color="auto" w:fill="auto"/>
            <w:vAlign w:val="bottom"/>
          </w:tcPr>
          <w:p w14:paraId="392C4905" w14:textId="77777777" w:rsidR="00980E5F" w:rsidRDefault="00980E5F">
            <w:pPr>
              <w:rPr>
                <w:rFonts w:ascii="宋体"/>
                <w:vanish/>
              </w:rPr>
            </w:pPr>
          </w:p>
        </w:tc>
        <w:tc>
          <w:tcPr>
            <w:tcW w:w="0" w:type="auto"/>
            <w:shd w:val="clear" w:color="auto" w:fill="auto"/>
            <w:vAlign w:val="bottom"/>
          </w:tcPr>
          <w:p w14:paraId="392C490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490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90F" w14:textId="77777777" w:rsidR="00980E5F" w:rsidRDefault="00980E5F">
            <w:pPr>
              <w:rPr>
                <w:rFonts w:ascii="宋体"/>
              </w:rPr>
            </w:pPr>
          </w:p>
        </w:tc>
        <w:tc>
          <w:tcPr>
            <w:tcW w:w="0" w:type="auto"/>
            <w:gridSpan w:val="2"/>
            <w:shd w:val="clear" w:color="auto" w:fill="CCEEFF"/>
            <w:tcMar>
              <w:top w:w="0" w:type="dxa"/>
              <w:left w:w="20" w:type="dxa"/>
              <w:bottom w:w="0" w:type="dxa"/>
              <w:right w:w="20" w:type="dxa"/>
            </w:tcMar>
            <w:vAlign w:val="bottom"/>
          </w:tcPr>
          <w:p w14:paraId="392C4910"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4911" w14:textId="77777777" w:rsidR="00980E5F" w:rsidRDefault="00980E5F">
            <w:pPr>
              <w:rPr>
                <w:rFonts w:ascii="宋体"/>
              </w:rPr>
            </w:pPr>
          </w:p>
        </w:tc>
      </w:tr>
      <w:tr w:rsidR="00980E5F" w14:paraId="392C4929" w14:textId="77777777">
        <w:tc>
          <w:tcPr>
            <w:tcW w:w="0" w:type="auto"/>
            <w:gridSpan w:val="3"/>
            <w:shd w:val="clear" w:color="auto" w:fill="FFFFFF"/>
            <w:tcMar>
              <w:top w:w="40" w:type="dxa"/>
              <w:left w:w="20" w:type="dxa"/>
              <w:bottom w:w="40" w:type="dxa"/>
              <w:right w:w="20" w:type="dxa"/>
            </w:tcMar>
            <w:vAlign w:val="center"/>
          </w:tcPr>
          <w:p w14:paraId="392C4913" w14:textId="77777777" w:rsidR="00980E5F" w:rsidRDefault="00483613">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392C49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B" w14:textId="77777777" w:rsidR="00980E5F" w:rsidRDefault="00980E5F">
            <w:pPr>
              <w:rPr>
                <w:rFonts w:ascii="宋体"/>
              </w:rPr>
            </w:pPr>
          </w:p>
        </w:tc>
        <w:tc>
          <w:tcPr>
            <w:tcW w:w="0" w:type="auto"/>
            <w:shd w:val="clear" w:color="auto" w:fill="auto"/>
            <w:vAlign w:val="bottom"/>
          </w:tcPr>
          <w:p w14:paraId="392C491C" w14:textId="77777777" w:rsidR="00980E5F" w:rsidRDefault="00980E5F">
            <w:pPr>
              <w:rPr>
                <w:rFonts w:ascii="宋体"/>
                <w:vanish/>
              </w:rPr>
            </w:pPr>
          </w:p>
        </w:tc>
        <w:tc>
          <w:tcPr>
            <w:tcW w:w="0" w:type="auto"/>
            <w:shd w:val="clear" w:color="auto" w:fill="auto"/>
            <w:vAlign w:val="bottom"/>
          </w:tcPr>
          <w:p w14:paraId="392C491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49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926" w14:textId="77777777" w:rsidR="00980E5F" w:rsidRDefault="00980E5F">
            <w:pPr>
              <w:rPr>
                <w:rFonts w:ascii="宋体"/>
              </w:rPr>
            </w:pPr>
          </w:p>
        </w:tc>
        <w:tc>
          <w:tcPr>
            <w:tcW w:w="0" w:type="auto"/>
            <w:gridSpan w:val="2"/>
            <w:shd w:val="clear" w:color="auto" w:fill="FFFFFF"/>
            <w:tcMar>
              <w:top w:w="0" w:type="dxa"/>
              <w:left w:w="20" w:type="dxa"/>
              <w:bottom w:w="0" w:type="dxa"/>
              <w:right w:w="20" w:type="dxa"/>
            </w:tcMar>
            <w:vAlign w:val="bottom"/>
          </w:tcPr>
          <w:p w14:paraId="392C4927"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4928" w14:textId="77777777" w:rsidR="00980E5F" w:rsidRDefault="00980E5F">
            <w:pPr>
              <w:rPr>
                <w:rFonts w:ascii="宋体"/>
              </w:rPr>
            </w:pPr>
          </w:p>
        </w:tc>
      </w:tr>
      <w:tr w:rsidR="00483613" w14:paraId="392C4953" w14:textId="77777777">
        <w:tc>
          <w:tcPr>
            <w:tcW w:w="0" w:type="auto"/>
            <w:gridSpan w:val="3"/>
            <w:shd w:val="clear" w:color="auto" w:fill="CCEEFF"/>
            <w:tcMar>
              <w:top w:w="40" w:type="dxa"/>
              <w:left w:w="155" w:type="dxa"/>
              <w:bottom w:w="40" w:type="dxa"/>
              <w:right w:w="20" w:type="dxa"/>
            </w:tcMar>
            <w:vAlign w:val="center"/>
          </w:tcPr>
          <w:p w14:paraId="392C492A" w14:textId="77777777" w:rsidR="00980E5F" w:rsidRDefault="00483613">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392C492B"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2C" w14:textId="77777777" w:rsidR="00980E5F" w:rsidRDefault="00483613">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2E"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2F"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30"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32"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33"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34"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36"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37"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38" w14:textId="77777777" w:rsidR="00980E5F" w:rsidRDefault="00483613">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3A" w14:textId="77777777" w:rsidR="00980E5F" w:rsidRDefault="00980E5F">
            <w:pPr>
              <w:rPr>
                <w:rFonts w:ascii="宋体"/>
              </w:rPr>
            </w:pPr>
          </w:p>
        </w:tc>
        <w:tc>
          <w:tcPr>
            <w:tcW w:w="0" w:type="auto"/>
            <w:shd w:val="clear" w:color="auto" w:fill="auto"/>
            <w:vAlign w:val="bottom"/>
          </w:tcPr>
          <w:p w14:paraId="392C493B" w14:textId="77777777" w:rsidR="00980E5F" w:rsidRDefault="00980E5F">
            <w:pPr>
              <w:rPr>
                <w:rFonts w:ascii="宋体"/>
                <w:vanish/>
              </w:rPr>
            </w:pPr>
          </w:p>
        </w:tc>
        <w:tc>
          <w:tcPr>
            <w:tcW w:w="0" w:type="auto"/>
            <w:shd w:val="clear" w:color="auto" w:fill="auto"/>
            <w:vAlign w:val="bottom"/>
          </w:tcPr>
          <w:p w14:paraId="392C493C"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center"/>
          </w:tcPr>
          <w:p w14:paraId="392C493D"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3E"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40"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41"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42"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44"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45"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46"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48"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49"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4A"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4C"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4D"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94E"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94F"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4950"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951" w14:textId="77777777" w:rsidR="00980E5F" w:rsidRDefault="00483613">
            <w:pPr>
              <w:textAlignment w:val="center"/>
            </w:pPr>
            <w:r>
              <w:rPr>
                <w:rFonts w:ascii="Arial" w:eastAsia="宋体" w:hAnsi="Arial" w:cs="Arial"/>
                <w:b/>
                <w:bCs/>
                <w:color w:val="000000"/>
                <w:sz w:val="12"/>
                <w:szCs w:val="12"/>
              </w:rPr>
              <w:t>$</w:t>
            </w:r>
          </w:p>
          <w:p w14:paraId="392C4952" w14:textId="77777777" w:rsidR="00980E5F" w:rsidRDefault="00483613">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r>
      <w:tr w:rsidR="00980E5F" w14:paraId="392C496A" w14:textId="77777777">
        <w:trPr>
          <w:hidden/>
        </w:trPr>
        <w:tc>
          <w:tcPr>
            <w:tcW w:w="0" w:type="auto"/>
            <w:gridSpan w:val="3"/>
            <w:shd w:val="clear" w:color="auto" w:fill="auto"/>
            <w:vAlign w:val="bottom"/>
          </w:tcPr>
          <w:p w14:paraId="392C4954" w14:textId="77777777" w:rsidR="00980E5F" w:rsidRDefault="00980E5F">
            <w:pPr>
              <w:rPr>
                <w:rFonts w:ascii="宋体"/>
                <w:vanish/>
              </w:rPr>
            </w:pPr>
          </w:p>
        </w:tc>
        <w:tc>
          <w:tcPr>
            <w:tcW w:w="0" w:type="auto"/>
            <w:gridSpan w:val="3"/>
            <w:shd w:val="clear" w:color="auto" w:fill="auto"/>
            <w:vAlign w:val="bottom"/>
          </w:tcPr>
          <w:p w14:paraId="392C4955" w14:textId="77777777" w:rsidR="00980E5F" w:rsidRDefault="00980E5F">
            <w:pPr>
              <w:rPr>
                <w:rFonts w:ascii="宋体"/>
                <w:vanish/>
              </w:rPr>
            </w:pPr>
          </w:p>
        </w:tc>
        <w:tc>
          <w:tcPr>
            <w:tcW w:w="0" w:type="auto"/>
            <w:gridSpan w:val="3"/>
            <w:shd w:val="clear" w:color="auto" w:fill="auto"/>
            <w:vAlign w:val="bottom"/>
          </w:tcPr>
          <w:p w14:paraId="392C4956" w14:textId="77777777" w:rsidR="00980E5F" w:rsidRDefault="00980E5F">
            <w:pPr>
              <w:rPr>
                <w:rFonts w:ascii="宋体"/>
                <w:vanish/>
              </w:rPr>
            </w:pPr>
          </w:p>
        </w:tc>
        <w:tc>
          <w:tcPr>
            <w:tcW w:w="0" w:type="auto"/>
            <w:gridSpan w:val="3"/>
            <w:shd w:val="clear" w:color="auto" w:fill="auto"/>
            <w:vAlign w:val="bottom"/>
          </w:tcPr>
          <w:p w14:paraId="392C4957" w14:textId="77777777" w:rsidR="00980E5F" w:rsidRDefault="00980E5F">
            <w:pPr>
              <w:rPr>
                <w:rFonts w:ascii="宋体"/>
                <w:vanish/>
              </w:rPr>
            </w:pPr>
          </w:p>
        </w:tc>
        <w:tc>
          <w:tcPr>
            <w:tcW w:w="0" w:type="auto"/>
            <w:gridSpan w:val="3"/>
            <w:shd w:val="clear" w:color="auto" w:fill="auto"/>
            <w:vAlign w:val="bottom"/>
          </w:tcPr>
          <w:p w14:paraId="392C4958" w14:textId="77777777" w:rsidR="00980E5F" w:rsidRDefault="00980E5F">
            <w:pPr>
              <w:rPr>
                <w:rFonts w:ascii="宋体"/>
                <w:vanish/>
              </w:rPr>
            </w:pPr>
          </w:p>
        </w:tc>
        <w:tc>
          <w:tcPr>
            <w:tcW w:w="0" w:type="auto"/>
            <w:gridSpan w:val="3"/>
            <w:shd w:val="clear" w:color="auto" w:fill="auto"/>
            <w:vAlign w:val="bottom"/>
          </w:tcPr>
          <w:p w14:paraId="392C4959" w14:textId="77777777" w:rsidR="00980E5F" w:rsidRDefault="00980E5F">
            <w:pPr>
              <w:rPr>
                <w:rFonts w:ascii="宋体"/>
                <w:vanish/>
              </w:rPr>
            </w:pPr>
          </w:p>
        </w:tc>
        <w:tc>
          <w:tcPr>
            <w:tcW w:w="0" w:type="auto"/>
            <w:gridSpan w:val="3"/>
            <w:shd w:val="clear" w:color="auto" w:fill="auto"/>
            <w:vAlign w:val="bottom"/>
          </w:tcPr>
          <w:p w14:paraId="392C495A" w14:textId="77777777" w:rsidR="00980E5F" w:rsidRDefault="00980E5F">
            <w:pPr>
              <w:rPr>
                <w:rFonts w:ascii="宋体"/>
                <w:vanish/>
              </w:rPr>
            </w:pPr>
          </w:p>
        </w:tc>
        <w:tc>
          <w:tcPr>
            <w:tcW w:w="0" w:type="auto"/>
            <w:gridSpan w:val="3"/>
            <w:shd w:val="clear" w:color="auto" w:fill="auto"/>
            <w:vAlign w:val="bottom"/>
          </w:tcPr>
          <w:p w14:paraId="392C495B" w14:textId="77777777" w:rsidR="00980E5F" w:rsidRDefault="00980E5F">
            <w:pPr>
              <w:rPr>
                <w:rFonts w:ascii="宋体"/>
                <w:vanish/>
              </w:rPr>
            </w:pPr>
          </w:p>
        </w:tc>
        <w:tc>
          <w:tcPr>
            <w:tcW w:w="0" w:type="auto"/>
            <w:gridSpan w:val="3"/>
            <w:shd w:val="clear" w:color="auto" w:fill="auto"/>
            <w:vAlign w:val="bottom"/>
          </w:tcPr>
          <w:p w14:paraId="392C495C" w14:textId="77777777" w:rsidR="00980E5F" w:rsidRDefault="00980E5F">
            <w:pPr>
              <w:rPr>
                <w:rFonts w:ascii="宋体"/>
                <w:vanish/>
              </w:rPr>
            </w:pPr>
          </w:p>
        </w:tc>
        <w:tc>
          <w:tcPr>
            <w:tcW w:w="0" w:type="auto"/>
            <w:shd w:val="clear" w:color="auto" w:fill="auto"/>
            <w:vAlign w:val="bottom"/>
          </w:tcPr>
          <w:p w14:paraId="392C495D" w14:textId="77777777" w:rsidR="00980E5F" w:rsidRDefault="00980E5F">
            <w:pPr>
              <w:rPr>
                <w:rFonts w:ascii="宋体"/>
                <w:vanish/>
              </w:rPr>
            </w:pPr>
          </w:p>
        </w:tc>
        <w:tc>
          <w:tcPr>
            <w:tcW w:w="0" w:type="auto"/>
            <w:shd w:val="clear" w:color="auto" w:fill="auto"/>
            <w:vAlign w:val="bottom"/>
          </w:tcPr>
          <w:p w14:paraId="392C495E" w14:textId="77777777" w:rsidR="00980E5F" w:rsidRDefault="00980E5F">
            <w:pPr>
              <w:rPr>
                <w:rFonts w:ascii="宋体"/>
                <w:vanish/>
              </w:rPr>
            </w:pPr>
          </w:p>
        </w:tc>
        <w:tc>
          <w:tcPr>
            <w:tcW w:w="0" w:type="auto"/>
            <w:gridSpan w:val="3"/>
            <w:shd w:val="clear" w:color="auto" w:fill="auto"/>
            <w:vAlign w:val="bottom"/>
          </w:tcPr>
          <w:p w14:paraId="392C495F" w14:textId="77777777" w:rsidR="00980E5F" w:rsidRDefault="00980E5F">
            <w:pPr>
              <w:rPr>
                <w:rFonts w:ascii="宋体"/>
                <w:vanish/>
              </w:rPr>
            </w:pPr>
          </w:p>
        </w:tc>
        <w:tc>
          <w:tcPr>
            <w:tcW w:w="0" w:type="auto"/>
            <w:gridSpan w:val="3"/>
            <w:shd w:val="clear" w:color="auto" w:fill="auto"/>
            <w:vAlign w:val="bottom"/>
          </w:tcPr>
          <w:p w14:paraId="392C4960" w14:textId="77777777" w:rsidR="00980E5F" w:rsidRDefault="00980E5F">
            <w:pPr>
              <w:rPr>
                <w:rFonts w:ascii="宋体"/>
                <w:vanish/>
              </w:rPr>
            </w:pPr>
          </w:p>
        </w:tc>
        <w:tc>
          <w:tcPr>
            <w:tcW w:w="0" w:type="auto"/>
            <w:gridSpan w:val="3"/>
            <w:shd w:val="clear" w:color="auto" w:fill="auto"/>
            <w:vAlign w:val="bottom"/>
          </w:tcPr>
          <w:p w14:paraId="392C4961" w14:textId="77777777" w:rsidR="00980E5F" w:rsidRDefault="00980E5F">
            <w:pPr>
              <w:rPr>
                <w:rFonts w:ascii="宋体"/>
                <w:vanish/>
              </w:rPr>
            </w:pPr>
          </w:p>
        </w:tc>
        <w:tc>
          <w:tcPr>
            <w:tcW w:w="0" w:type="auto"/>
            <w:gridSpan w:val="3"/>
            <w:shd w:val="clear" w:color="auto" w:fill="auto"/>
            <w:vAlign w:val="bottom"/>
          </w:tcPr>
          <w:p w14:paraId="392C4962" w14:textId="77777777" w:rsidR="00980E5F" w:rsidRDefault="00980E5F">
            <w:pPr>
              <w:rPr>
                <w:rFonts w:ascii="宋体"/>
                <w:vanish/>
              </w:rPr>
            </w:pPr>
          </w:p>
        </w:tc>
        <w:tc>
          <w:tcPr>
            <w:tcW w:w="0" w:type="auto"/>
            <w:gridSpan w:val="3"/>
            <w:shd w:val="clear" w:color="auto" w:fill="auto"/>
            <w:vAlign w:val="bottom"/>
          </w:tcPr>
          <w:p w14:paraId="392C4963" w14:textId="77777777" w:rsidR="00980E5F" w:rsidRDefault="00980E5F">
            <w:pPr>
              <w:rPr>
                <w:rFonts w:ascii="宋体"/>
                <w:vanish/>
              </w:rPr>
            </w:pPr>
          </w:p>
        </w:tc>
        <w:tc>
          <w:tcPr>
            <w:tcW w:w="0" w:type="auto"/>
            <w:gridSpan w:val="3"/>
            <w:shd w:val="clear" w:color="auto" w:fill="auto"/>
            <w:vAlign w:val="bottom"/>
          </w:tcPr>
          <w:p w14:paraId="392C4964" w14:textId="77777777" w:rsidR="00980E5F" w:rsidRDefault="00980E5F">
            <w:pPr>
              <w:rPr>
                <w:rFonts w:ascii="宋体"/>
                <w:vanish/>
              </w:rPr>
            </w:pPr>
          </w:p>
        </w:tc>
        <w:tc>
          <w:tcPr>
            <w:tcW w:w="0" w:type="auto"/>
            <w:gridSpan w:val="3"/>
            <w:shd w:val="clear" w:color="auto" w:fill="auto"/>
            <w:vAlign w:val="bottom"/>
          </w:tcPr>
          <w:p w14:paraId="392C4965" w14:textId="77777777" w:rsidR="00980E5F" w:rsidRDefault="00980E5F">
            <w:pPr>
              <w:rPr>
                <w:rFonts w:ascii="宋体"/>
                <w:vanish/>
              </w:rPr>
            </w:pPr>
          </w:p>
        </w:tc>
        <w:tc>
          <w:tcPr>
            <w:tcW w:w="0" w:type="auto"/>
            <w:gridSpan w:val="3"/>
            <w:shd w:val="clear" w:color="auto" w:fill="auto"/>
            <w:vAlign w:val="bottom"/>
          </w:tcPr>
          <w:p w14:paraId="392C4966" w14:textId="77777777" w:rsidR="00980E5F" w:rsidRDefault="00980E5F">
            <w:pPr>
              <w:rPr>
                <w:rFonts w:ascii="宋体"/>
                <w:vanish/>
              </w:rPr>
            </w:pPr>
          </w:p>
        </w:tc>
        <w:tc>
          <w:tcPr>
            <w:tcW w:w="0" w:type="auto"/>
            <w:gridSpan w:val="3"/>
            <w:shd w:val="clear" w:color="auto" w:fill="auto"/>
            <w:vAlign w:val="bottom"/>
          </w:tcPr>
          <w:p w14:paraId="392C4967" w14:textId="77777777" w:rsidR="00980E5F" w:rsidRDefault="00980E5F">
            <w:pPr>
              <w:rPr>
                <w:rFonts w:ascii="宋体"/>
                <w:vanish/>
              </w:rPr>
            </w:pPr>
          </w:p>
        </w:tc>
        <w:tc>
          <w:tcPr>
            <w:tcW w:w="0" w:type="auto"/>
            <w:gridSpan w:val="2"/>
            <w:shd w:val="clear" w:color="auto" w:fill="auto"/>
            <w:vAlign w:val="bottom"/>
          </w:tcPr>
          <w:p w14:paraId="392C4968" w14:textId="77777777" w:rsidR="00980E5F" w:rsidRDefault="00980E5F">
            <w:pPr>
              <w:rPr>
                <w:rFonts w:ascii="宋体"/>
                <w:vanish/>
              </w:rPr>
            </w:pPr>
          </w:p>
        </w:tc>
        <w:tc>
          <w:tcPr>
            <w:tcW w:w="0" w:type="auto"/>
            <w:shd w:val="clear" w:color="auto" w:fill="auto"/>
            <w:vAlign w:val="bottom"/>
          </w:tcPr>
          <w:p w14:paraId="392C4969" w14:textId="77777777" w:rsidR="00980E5F" w:rsidRDefault="00980E5F">
            <w:pPr>
              <w:rPr>
                <w:rFonts w:ascii="宋体"/>
                <w:vanish/>
              </w:rPr>
            </w:pPr>
          </w:p>
        </w:tc>
      </w:tr>
      <w:tr w:rsidR="00980E5F" w14:paraId="392C4981" w14:textId="77777777">
        <w:trPr>
          <w:hidden/>
        </w:trPr>
        <w:tc>
          <w:tcPr>
            <w:tcW w:w="0" w:type="auto"/>
            <w:gridSpan w:val="3"/>
            <w:shd w:val="clear" w:color="auto" w:fill="auto"/>
            <w:vAlign w:val="bottom"/>
          </w:tcPr>
          <w:p w14:paraId="392C496B" w14:textId="77777777" w:rsidR="00980E5F" w:rsidRDefault="00980E5F">
            <w:pPr>
              <w:rPr>
                <w:rFonts w:ascii="宋体"/>
                <w:vanish/>
              </w:rPr>
            </w:pPr>
          </w:p>
        </w:tc>
        <w:tc>
          <w:tcPr>
            <w:tcW w:w="0" w:type="auto"/>
            <w:gridSpan w:val="3"/>
            <w:shd w:val="clear" w:color="auto" w:fill="auto"/>
            <w:vAlign w:val="bottom"/>
          </w:tcPr>
          <w:p w14:paraId="392C496C" w14:textId="77777777" w:rsidR="00980E5F" w:rsidRDefault="00980E5F">
            <w:pPr>
              <w:rPr>
                <w:rFonts w:ascii="宋体"/>
                <w:vanish/>
              </w:rPr>
            </w:pPr>
          </w:p>
        </w:tc>
        <w:tc>
          <w:tcPr>
            <w:tcW w:w="0" w:type="auto"/>
            <w:gridSpan w:val="3"/>
            <w:shd w:val="clear" w:color="auto" w:fill="auto"/>
            <w:vAlign w:val="bottom"/>
          </w:tcPr>
          <w:p w14:paraId="392C496D" w14:textId="77777777" w:rsidR="00980E5F" w:rsidRDefault="00980E5F">
            <w:pPr>
              <w:rPr>
                <w:rFonts w:ascii="宋体"/>
                <w:vanish/>
              </w:rPr>
            </w:pPr>
          </w:p>
        </w:tc>
        <w:tc>
          <w:tcPr>
            <w:tcW w:w="0" w:type="auto"/>
            <w:gridSpan w:val="3"/>
            <w:shd w:val="clear" w:color="auto" w:fill="auto"/>
            <w:vAlign w:val="bottom"/>
          </w:tcPr>
          <w:p w14:paraId="392C496E" w14:textId="77777777" w:rsidR="00980E5F" w:rsidRDefault="00980E5F">
            <w:pPr>
              <w:rPr>
                <w:rFonts w:ascii="宋体"/>
                <w:vanish/>
              </w:rPr>
            </w:pPr>
          </w:p>
        </w:tc>
        <w:tc>
          <w:tcPr>
            <w:tcW w:w="0" w:type="auto"/>
            <w:gridSpan w:val="3"/>
            <w:shd w:val="clear" w:color="auto" w:fill="auto"/>
            <w:vAlign w:val="bottom"/>
          </w:tcPr>
          <w:p w14:paraId="392C496F" w14:textId="77777777" w:rsidR="00980E5F" w:rsidRDefault="00980E5F">
            <w:pPr>
              <w:rPr>
                <w:rFonts w:ascii="宋体"/>
                <w:vanish/>
              </w:rPr>
            </w:pPr>
          </w:p>
        </w:tc>
        <w:tc>
          <w:tcPr>
            <w:tcW w:w="0" w:type="auto"/>
            <w:gridSpan w:val="3"/>
            <w:shd w:val="clear" w:color="auto" w:fill="auto"/>
            <w:vAlign w:val="bottom"/>
          </w:tcPr>
          <w:p w14:paraId="392C4970" w14:textId="77777777" w:rsidR="00980E5F" w:rsidRDefault="00980E5F">
            <w:pPr>
              <w:rPr>
                <w:rFonts w:ascii="宋体"/>
                <w:vanish/>
              </w:rPr>
            </w:pPr>
          </w:p>
        </w:tc>
        <w:tc>
          <w:tcPr>
            <w:tcW w:w="0" w:type="auto"/>
            <w:gridSpan w:val="3"/>
            <w:shd w:val="clear" w:color="auto" w:fill="auto"/>
            <w:vAlign w:val="bottom"/>
          </w:tcPr>
          <w:p w14:paraId="392C4971" w14:textId="77777777" w:rsidR="00980E5F" w:rsidRDefault="00980E5F">
            <w:pPr>
              <w:rPr>
                <w:rFonts w:ascii="宋体"/>
                <w:vanish/>
              </w:rPr>
            </w:pPr>
          </w:p>
        </w:tc>
        <w:tc>
          <w:tcPr>
            <w:tcW w:w="0" w:type="auto"/>
            <w:gridSpan w:val="3"/>
            <w:shd w:val="clear" w:color="auto" w:fill="auto"/>
            <w:vAlign w:val="bottom"/>
          </w:tcPr>
          <w:p w14:paraId="392C4972" w14:textId="77777777" w:rsidR="00980E5F" w:rsidRDefault="00980E5F">
            <w:pPr>
              <w:rPr>
                <w:rFonts w:ascii="宋体"/>
                <w:vanish/>
              </w:rPr>
            </w:pPr>
          </w:p>
        </w:tc>
        <w:tc>
          <w:tcPr>
            <w:tcW w:w="0" w:type="auto"/>
            <w:gridSpan w:val="3"/>
            <w:shd w:val="clear" w:color="auto" w:fill="auto"/>
            <w:vAlign w:val="bottom"/>
          </w:tcPr>
          <w:p w14:paraId="392C4973" w14:textId="77777777" w:rsidR="00980E5F" w:rsidRDefault="00980E5F">
            <w:pPr>
              <w:rPr>
                <w:rFonts w:ascii="宋体"/>
                <w:vanish/>
              </w:rPr>
            </w:pPr>
          </w:p>
        </w:tc>
        <w:tc>
          <w:tcPr>
            <w:tcW w:w="0" w:type="auto"/>
            <w:shd w:val="clear" w:color="auto" w:fill="auto"/>
            <w:vAlign w:val="bottom"/>
          </w:tcPr>
          <w:p w14:paraId="392C4974" w14:textId="77777777" w:rsidR="00980E5F" w:rsidRDefault="00980E5F">
            <w:pPr>
              <w:rPr>
                <w:rFonts w:ascii="宋体"/>
                <w:vanish/>
              </w:rPr>
            </w:pPr>
          </w:p>
        </w:tc>
        <w:tc>
          <w:tcPr>
            <w:tcW w:w="0" w:type="auto"/>
            <w:shd w:val="clear" w:color="auto" w:fill="auto"/>
            <w:vAlign w:val="bottom"/>
          </w:tcPr>
          <w:p w14:paraId="392C4975" w14:textId="77777777" w:rsidR="00980E5F" w:rsidRDefault="00980E5F">
            <w:pPr>
              <w:rPr>
                <w:rFonts w:ascii="宋体"/>
                <w:vanish/>
              </w:rPr>
            </w:pPr>
          </w:p>
        </w:tc>
        <w:tc>
          <w:tcPr>
            <w:tcW w:w="0" w:type="auto"/>
            <w:gridSpan w:val="3"/>
            <w:shd w:val="clear" w:color="auto" w:fill="auto"/>
            <w:vAlign w:val="bottom"/>
          </w:tcPr>
          <w:p w14:paraId="392C4976" w14:textId="77777777" w:rsidR="00980E5F" w:rsidRDefault="00980E5F">
            <w:pPr>
              <w:rPr>
                <w:rFonts w:ascii="宋体"/>
                <w:vanish/>
              </w:rPr>
            </w:pPr>
          </w:p>
        </w:tc>
        <w:tc>
          <w:tcPr>
            <w:tcW w:w="0" w:type="auto"/>
            <w:gridSpan w:val="3"/>
            <w:shd w:val="clear" w:color="auto" w:fill="auto"/>
            <w:vAlign w:val="bottom"/>
          </w:tcPr>
          <w:p w14:paraId="392C4977" w14:textId="77777777" w:rsidR="00980E5F" w:rsidRDefault="00980E5F">
            <w:pPr>
              <w:rPr>
                <w:rFonts w:ascii="宋体"/>
                <w:vanish/>
              </w:rPr>
            </w:pPr>
          </w:p>
        </w:tc>
        <w:tc>
          <w:tcPr>
            <w:tcW w:w="0" w:type="auto"/>
            <w:gridSpan w:val="3"/>
            <w:shd w:val="clear" w:color="auto" w:fill="auto"/>
            <w:vAlign w:val="bottom"/>
          </w:tcPr>
          <w:p w14:paraId="392C4978" w14:textId="77777777" w:rsidR="00980E5F" w:rsidRDefault="00980E5F">
            <w:pPr>
              <w:rPr>
                <w:rFonts w:ascii="宋体"/>
                <w:vanish/>
              </w:rPr>
            </w:pPr>
          </w:p>
        </w:tc>
        <w:tc>
          <w:tcPr>
            <w:tcW w:w="0" w:type="auto"/>
            <w:gridSpan w:val="3"/>
            <w:shd w:val="clear" w:color="auto" w:fill="auto"/>
            <w:vAlign w:val="bottom"/>
          </w:tcPr>
          <w:p w14:paraId="392C4979" w14:textId="77777777" w:rsidR="00980E5F" w:rsidRDefault="00980E5F">
            <w:pPr>
              <w:rPr>
                <w:rFonts w:ascii="宋体"/>
                <w:vanish/>
              </w:rPr>
            </w:pPr>
          </w:p>
        </w:tc>
        <w:tc>
          <w:tcPr>
            <w:tcW w:w="0" w:type="auto"/>
            <w:gridSpan w:val="3"/>
            <w:shd w:val="clear" w:color="auto" w:fill="auto"/>
            <w:vAlign w:val="bottom"/>
          </w:tcPr>
          <w:p w14:paraId="392C497A" w14:textId="77777777" w:rsidR="00980E5F" w:rsidRDefault="00980E5F">
            <w:pPr>
              <w:rPr>
                <w:rFonts w:ascii="宋体"/>
                <w:vanish/>
              </w:rPr>
            </w:pPr>
          </w:p>
        </w:tc>
        <w:tc>
          <w:tcPr>
            <w:tcW w:w="0" w:type="auto"/>
            <w:gridSpan w:val="3"/>
            <w:shd w:val="clear" w:color="auto" w:fill="auto"/>
            <w:vAlign w:val="bottom"/>
          </w:tcPr>
          <w:p w14:paraId="392C497B" w14:textId="77777777" w:rsidR="00980E5F" w:rsidRDefault="00980E5F">
            <w:pPr>
              <w:rPr>
                <w:rFonts w:ascii="宋体"/>
                <w:vanish/>
              </w:rPr>
            </w:pPr>
          </w:p>
        </w:tc>
        <w:tc>
          <w:tcPr>
            <w:tcW w:w="0" w:type="auto"/>
            <w:gridSpan w:val="3"/>
            <w:shd w:val="clear" w:color="auto" w:fill="auto"/>
            <w:vAlign w:val="bottom"/>
          </w:tcPr>
          <w:p w14:paraId="392C497C" w14:textId="77777777" w:rsidR="00980E5F" w:rsidRDefault="00980E5F">
            <w:pPr>
              <w:rPr>
                <w:rFonts w:ascii="宋体"/>
                <w:vanish/>
              </w:rPr>
            </w:pPr>
          </w:p>
        </w:tc>
        <w:tc>
          <w:tcPr>
            <w:tcW w:w="0" w:type="auto"/>
            <w:gridSpan w:val="3"/>
            <w:shd w:val="clear" w:color="auto" w:fill="auto"/>
            <w:vAlign w:val="bottom"/>
          </w:tcPr>
          <w:p w14:paraId="392C497D" w14:textId="77777777" w:rsidR="00980E5F" w:rsidRDefault="00980E5F">
            <w:pPr>
              <w:rPr>
                <w:rFonts w:ascii="宋体"/>
                <w:vanish/>
              </w:rPr>
            </w:pPr>
          </w:p>
        </w:tc>
        <w:tc>
          <w:tcPr>
            <w:tcW w:w="0" w:type="auto"/>
            <w:gridSpan w:val="3"/>
            <w:shd w:val="clear" w:color="auto" w:fill="auto"/>
            <w:vAlign w:val="bottom"/>
          </w:tcPr>
          <w:p w14:paraId="392C497E" w14:textId="77777777" w:rsidR="00980E5F" w:rsidRDefault="00980E5F">
            <w:pPr>
              <w:rPr>
                <w:rFonts w:ascii="宋体"/>
                <w:vanish/>
              </w:rPr>
            </w:pPr>
          </w:p>
        </w:tc>
        <w:tc>
          <w:tcPr>
            <w:tcW w:w="0" w:type="auto"/>
            <w:gridSpan w:val="2"/>
            <w:shd w:val="clear" w:color="auto" w:fill="auto"/>
            <w:vAlign w:val="bottom"/>
          </w:tcPr>
          <w:p w14:paraId="392C497F" w14:textId="77777777" w:rsidR="00980E5F" w:rsidRDefault="00980E5F">
            <w:pPr>
              <w:rPr>
                <w:rFonts w:ascii="宋体"/>
                <w:vanish/>
              </w:rPr>
            </w:pPr>
          </w:p>
        </w:tc>
        <w:tc>
          <w:tcPr>
            <w:tcW w:w="0" w:type="auto"/>
            <w:shd w:val="clear" w:color="auto" w:fill="auto"/>
            <w:vAlign w:val="bottom"/>
          </w:tcPr>
          <w:p w14:paraId="392C4980" w14:textId="77777777" w:rsidR="00980E5F" w:rsidRDefault="00980E5F">
            <w:pPr>
              <w:rPr>
                <w:rFonts w:ascii="宋体"/>
                <w:vanish/>
              </w:rPr>
            </w:pPr>
          </w:p>
        </w:tc>
      </w:tr>
      <w:tr w:rsidR="00980E5F" w14:paraId="392C49A1" w14:textId="77777777">
        <w:tc>
          <w:tcPr>
            <w:tcW w:w="0" w:type="auto"/>
            <w:gridSpan w:val="3"/>
            <w:shd w:val="clear" w:color="auto" w:fill="FFFFFF"/>
            <w:tcMar>
              <w:top w:w="40" w:type="dxa"/>
              <w:left w:w="20" w:type="dxa"/>
              <w:bottom w:w="40" w:type="dxa"/>
              <w:right w:w="20" w:type="dxa"/>
            </w:tcMar>
            <w:vAlign w:val="center"/>
          </w:tcPr>
          <w:p w14:paraId="392C4982" w14:textId="77777777" w:rsidR="00980E5F" w:rsidRDefault="00483613">
            <w:pPr>
              <w:textAlignment w:val="center"/>
            </w:pPr>
            <w:r>
              <w:rPr>
                <w:rFonts w:ascii="Arial" w:eastAsia="宋体" w:hAnsi="Arial" w:cs="Arial"/>
                <w:color w:val="000000"/>
                <w:sz w:val="12"/>
                <w:szCs w:val="12"/>
              </w:rPr>
              <w:t>Total derivative instruments</w:t>
            </w:r>
          </w:p>
        </w:tc>
        <w:tc>
          <w:tcPr>
            <w:tcW w:w="0" w:type="auto"/>
            <w:gridSpan w:val="2"/>
            <w:shd w:val="clear" w:color="auto" w:fill="FFFFFF"/>
            <w:tcMar>
              <w:top w:w="40" w:type="dxa"/>
              <w:left w:w="20" w:type="dxa"/>
              <w:bottom w:w="40" w:type="dxa"/>
              <w:right w:w="0" w:type="dxa"/>
            </w:tcMar>
            <w:vAlign w:val="center"/>
          </w:tcPr>
          <w:p w14:paraId="392C4983" w14:textId="77777777" w:rsidR="00980E5F" w:rsidRDefault="00483613">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86"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89"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8C" w14:textId="77777777" w:rsidR="00980E5F" w:rsidRDefault="00483613">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8E" w14:textId="77777777" w:rsidR="00980E5F" w:rsidRDefault="00980E5F">
            <w:pPr>
              <w:rPr>
                <w:rFonts w:ascii="宋体"/>
              </w:rPr>
            </w:pPr>
          </w:p>
        </w:tc>
        <w:tc>
          <w:tcPr>
            <w:tcW w:w="0" w:type="auto"/>
            <w:shd w:val="clear" w:color="auto" w:fill="auto"/>
            <w:vAlign w:val="bottom"/>
          </w:tcPr>
          <w:p w14:paraId="392C498F" w14:textId="77777777" w:rsidR="00980E5F" w:rsidRDefault="00980E5F">
            <w:pPr>
              <w:rPr>
                <w:rFonts w:ascii="宋体"/>
                <w:vanish/>
              </w:rPr>
            </w:pPr>
          </w:p>
        </w:tc>
        <w:tc>
          <w:tcPr>
            <w:tcW w:w="0" w:type="auto"/>
            <w:shd w:val="clear" w:color="auto" w:fill="auto"/>
            <w:vAlign w:val="bottom"/>
          </w:tcPr>
          <w:p w14:paraId="392C499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center"/>
          </w:tcPr>
          <w:p w14:paraId="392C4991"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94"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9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9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97"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9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9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9A"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9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99D"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99E"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499F" w14:textId="77777777" w:rsidR="00980E5F" w:rsidRDefault="00980E5F">
            <w:pPr>
              <w:rPr>
                <w:rFonts w:ascii="宋体"/>
              </w:rPr>
            </w:pPr>
          </w:p>
        </w:tc>
        <w:tc>
          <w:tcPr>
            <w:tcW w:w="0" w:type="auto"/>
            <w:shd w:val="clear" w:color="auto" w:fill="FFFFFF"/>
            <w:tcMar>
              <w:top w:w="40" w:type="dxa"/>
              <w:left w:w="20" w:type="dxa"/>
              <w:bottom w:w="40" w:type="dxa"/>
              <w:right w:w="0" w:type="dxa"/>
            </w:tcMar>
            <w:vAlign w:val="center"/>
          </w:tcPr>
          <w:p w14:paraId="392C49A0" w14:textId="77777777" w:rsidR="00980E5F" w:rsidRDefault="00483613">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r>
      <w:tr w:rsidR="00483613" w14:paraId="392C49CB" w14:textId="77777777">
        <w:tc>
          <w:tcPr>
            <w:tcW w:w="0" w:type="auto"/>
            <w:gridSpan w:val="3"/>
            <w:shd w:val="clear" w:color="auto" w:fill="CCEEFF"/>
            <w:tcMar>
              <w:top w:w="40" w:type="dxa"/>
              <w:left w:w="20" w:type="dxa"/>
              <w:bottom w:w="40" w:type="dxa"/>
              <w:right w:w="20" w:type="dxa"/>
            </w:tcMar>
            <w:vAlign w:val="center"/>
          </w:tcPr>
          <w:p w14:paraId="392C49A2" w14:textId="77777777" w:rsidR="00980E5F" w:rsidRDefault="00483613">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A3"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A4" w14:textId="77777777" w:rsidR="00980E5F" w:rsidRDefault="00483613">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A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A7"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A8"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A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AB"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AC"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A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AF"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B0" w14:textId="77777777" w:rsidR="00980E5F" w:rsidRDefault="00483613">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B2" w14:textId="77777777" w:rsidR="00980E5F" w:rsidRDefault="00980E5F">
            <w:pPr>
              <w:rPr>
                <w:rFonts w:ascii="宋体"/>
              </w:rPr>
            </w:pPr>
          </w:p>
        </w:tc>
        <w:tc>
          <w:tcPr>
            <w:tcW w:w="0" w:type="auto"/>
            <w:shd w:val="clear" w:color="auto" w:fill="auto"/>
            <w:vAlign w:val="bottom"/>
          </w:tcPr>
          <w:p w14:paraId="392C49B3" w14:textId="77777777" w:rsidR="00980E5F" w:rsidRDefault="00980E5F">
            <w:pPr>
              <w:rPr>
                <w:rFonts w:ascii="宋体"/>
                <w:vanish/>
              </w:rPr>
            </w:pPr>
          </w:p>
        </w:tc>
        <w:tc>
          <w:tcPr>
            <w:tcW w:w="0" w:type="auto"/>
            <w:shd w:val="clear" w:color="auto" w:fill="auto"/>
            <w:vAlign w:val="bottom"/>
          </w:tcPr>
          <w:p w14:paraId="392C49B4" w14:textId="77777777" w:rsidR="00980E5F" w:rsidRDefault="00980E5F">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B5"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B6"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B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B9"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BA"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B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BD"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BE"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C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C1"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C2"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9C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C5"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9C6"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9C7"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49C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9C9" w14:textId="77777777" w:rsidR="00980E5F" w:rsidRDefault="00483613">
            <w:pPr>
              <w:textAlignment w:val="center"/>
            </w:pPr>
            <w:r>
              <w:rPr>
                <w:rFonts w:ascii="Arial" w:eastAsia="宋体" w:hAnsi="Arial" w:cs="Arial"/>
                <w:b/>
                <w:bCs/>
                <w:color w:val="000000"/>
                <w:sz w:val="12"/>
                <w:szCs w:val="12"/>
              </w:rPr>
              <w:t>$</w:t>
            </w:r>
          </w:p>
          <w:p w14:paraId="392C49CA" w14:textId="77777777" w:rsidR="00980E5F" w:rsidRDefault="00483613">
            <w:pPr>
              <w:jc w:val="right"/>
              <w:textAlignment w:val="center"/>
            </w:pPr>
            <w:r>
              <w:rPr>
                <w:rFonts w:ascii="Arial" w:eastAsia="宋体" w:hAnsi="Arial" w:cs="Arial"/>
                <w:b/>
                <w:bCs/>
                <w:color w:val="000000"/>
                <w:sz w:val="12"/>
                <w:szCs w:val="12"/>
              </w:rPr>
              <w:t>2</w:t>
            </w:r>
            <w:r>
              <w:rPr>
                <w:rFonts w:ascii="Arial" w:eastAsia="宋体" w:hAnsi="Arial" w:cs="Arial"/>
                <w:color w:val="000000"/>
                <w:sz w:val="12"/>
                <w:szCs w:val="12"/>
              </w:rPr>
              <w:t> </w:t>
            </w:r>
          </w:p>
        </w:tc>
      </w:tr>
    </w:tbl>
    <w:p w14:paraId="392C49CC"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980E5F" w14:paraId="392C49D9" w14:textId="77777777">
        <w:tc>
          <w:tcPr>
            <w:tcW w:w="50" w:type="pct"/>
            <w:shd w:val="clear" w:color="auto" w:fill="auto"/>
            <w:vAlign w:val="bottom"/>
          </w:tcPr>
          <w:p w14:paraId="392C49CD" w14:textId="77777777" w:rsidR="00980E5F" w:rsidRDefault="00980E5F">
            <w:pPr>
              <w:rPr>
                <w:rFonts w:ascii="宋体"/>
              </w:rPr>
            </w:pPr>
          </w:p>
        </w:tc>
        <w:tc>
          <w:tcPr>
            <w:tcW w:w="1348" w:type="pct"/>
            <w:shd w:val="clear" w:color="auto" w:fill="auto"/>
            <w:vAlign w:val="bottom"/>
          </w:tcPr>
          <w:p w14:paraId="392C49CE" w14:textId="77777777" w:rsidR="00980E5F" w:rsidRDefault="00980E5F">
            <w:pPr>
              <w:rPr>
                <w:rFonts w:ascii="宋体"/>
              </w:rPr>
            </w:pPr>
          </w:p>
        </w:tc>
        <w:tc>
          <w:tcPr>
            <w:tcW w:w="5" w:type="pct"/>
            <w:shd w:val="clear" w:color="auto" w:fill="auto"/>
            <w:vAlign w:val="bottom"/>
          </w:tcPr>
          <w:p w14:paraId="392C49CF" w14:textId="77777777" w:rsidR="00980E5F" w:rsidRDefault="00980E5F">
            <w:pPr>
              <w:rPr>
                <w:rFonts w:ascii="宋体"/>
              </w:rPr>
            </w:pPr>
          </w:p>
        </w:tc>
        <w:tc>
          <w:tcPr>
            <w:tcW w:w="50" w:type="pct"/>
            <w:shd w:val="clear" w:color="auto" w:fill="auto"/>
            <w:vAlign w:val="bottom"/>
          </w:tcPr>
          <w:p w14:paraId="392C49D0" w14:textId="77777777" w:rsidR="00980E5F" w:rsidRDefault="00980E5F">
            <w:pPr>
              <w:rPr>
                <w:rFonts w:ascii="宋体"/>
              </w:rPr>
            </w:pPr>
          </w:p>
        </w:tc>
        <w:tc>
          <w:tcPr>
            <w:tcW w:w="668" w:type="pct"/>
            <w:shd w:val="clear" w:color="auto" w:fill="auto"/>
            <w:vAlign w:val="bottom"/>
          </w:tcPr>
          <w:p w14:paraId="392C49D1" w14:textId="77777777" w:rsidR="00980E5F" w:rsidRDefault="00980E5F">
            <w:pPr>
              <w:rPr>
                <w:rFonts w:ascii="宋体"/>
              </w:rPr>
            </w:pPr>
          </w:p>
        </w:tc>
        <w:tc>
          <w:tcPr>
            <w:tcW w:w="5" w:type="pct"/>
            <w:shd w:val="clear" w:color="auto" w:fill="auto"/>
            <w:vAlign w:val="bottom"/>
          </w:tcPr>
          <w:p w14:paraId="392C49D2" w14:textId="77777777" w:rsidR="00980E5F" w:rsidRDefault="00980E5F">
            <w:pPr>
              <w:rPr>
                <w:rFonts w:ascii="宋体"/>
              </w:rPr>
            </w:pPr>
          </w:p>
        </w:tc>
        <w:tc>
          <w:tcPr>
            <w:tcW w:w="50" w:type="pct"/>
            <w:shd w:val="clear" w:color="auto" w:fill="auto"/>
            <w:vAlign w:val="bottom"/>
          </w:tcPr>
          <w:p w14:paraId="392C49D3" w14:textId="77777777" w:rsidR="00980E5F" w:rsidRDefault="00980E5F">
            <w:pPr>
              <w:rPr>
                <w:rFonts w:ascii="宋体"/>
              </w:rPr>
            </w:pPr>
          </w:p>
        </w:tc>
        <w:tc>
          <w:tcPr>
            <w:tcW w:w="909" w:type="pct"/>
            <w:shd w:val="clear" w:color="auto" w:fill="auto"/>
            <w:vAlign w:val="bottom"/>
          </w:tcPr>
          <w:p w14:paraId="392C49D4" w14:textId="77777777" w:rsidR="00980E5F" w:rsidRDefault="00980E5F">
            <w:pPr>
              <w:rPr>
                <w:rFonts w:ascii="宋体"/>
              </w:rPr>
            </w:pPr>
          </w:p>
        </w:tc>
        <w:tc>
          <w:tcPr>
            <w:tcW w:w="5" w:type="pct"/>
            <w:shd w:val="clear" w:color="auto" w:fill="auto"/>
            <w:vAlign w:val="bottom"/>
          </w:tcPr>
          <w:p w14:paraId="392C49D5" w14:textId="77777777" w:rsidR="00980E5F" w:rsidRDefault="00980E5F">
            <w:pPr>
              <w:rPr>
                <w:rFonts w:ascii="宋体"/>
              </w:rPr>
            </w:pPr>
          </w:p>
        </w:tc>
        <w:tc>
          <w:tcPr>
            <w:tcW w:w="50" w:type="pct"/>
            <w:shd w:val="clear" w:color="auto" w:fill="auto"/>
            <w:vAlign w:val="bottom"/>
          </w:tcPr>
          <w:p w14:paraId="392C49D6" w14:textId="77777777" w:rsidR="00980E5F" w:rsidRDefault="00980E5F">
            <w:pPr>
              <w:rPr>
                <w:rFonts w:ascii="宋体"/>
              </w:rPr>
            </w:pPr>
          </w:p>
        </w:tc>
        <w:tc>
          <w:tcPr>
            <w:tcW w:w="1852" w:type="pct"/>
            <w:shd w:val="clear" w:color="auto" w:fill="auto"/>
            <w:vAlign w:val="bottom"/>
          </w:tcPr>
          <w:p w14:paraId="392C49D7" w14:textId="77777777" w:rsidR="00980E5F" w:rsidRDefault="00980E5F">
            <w:pPr>
              <w:rPr>
                <w:rFonts w:ascii="宋体"/>
              </w:rPr>
            </w:pPr>
          </w:p>
        </w:tc>
        <w:tc>
          <w:tcPr>
            <w:tcW w:w="5" w:type="pct"/>
            <w:shd w:val="clear" w:color="auto" w:fill="auto"/>
            <w:vAlign w:val="bottom"/>
          </w:tcPr>
          <w:p w14:paraId="392C49D8" w14:textId="77777777" w:rsidR="00980E5F" w:rsidRDefault="00980E5F">
            <w:pPr>
              <w:rPr>
                <w:rFonts w:ascii="宋体"/>
              </w:rPr>
            </w:pPr>
          </w:p>
        </w:tc>
      </w:tr>
      <w:tr w:rsidR="00980E5F" w14:paraId="392C49D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49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9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9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9DD" w14:textId="77777777" w:rsidR="00980E5F" w:rsidRDefault="00980E5F">
            <w:pPr>
              <w:rPr>
                <w:rFonts w:ascii="宋体"/>
              </w:rPr>
            </w:pPr>
          </w:p>
        </w:tc>
      </w:tr>
    </w:tbl>
    <w:p w14:paraId="392C49DF" w14:textId="77777777" w:rsidR="00980E5F" w:rsidRDefault="00483613">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53"/>
        <w:gridCol w:w="36"/>
        <w:gridCol w:w="51"/>
        <w:gridCol w:w="607"/>
        <w:gridCol w:w="36"/>
        <w:gridCol w:w="36"/>
        <w:gridCol w:w="36"/>
        <w:gridCol w:w="36"/>
        <w:gridCol w:w="51"/>
        <w:gridCol w:w="473"/>
        <w:gridCol w:w="36"/>
        <w:gridCol w:w="36"/>
        <w:gridCol w:w="36"/>
        <w:gridCol w:w="36"/>
        <w:gridCol w:w="51"/>
        <w:gridCol w:w="692"/>
        <w:gridCol w:w="36"/>
        <w:gridCol w:w="36"/>
        <w:gridCol w:w="36"/>
        <w:gridCol w:w="36"/>
        <w:gridCol w:w="51"/>
        <w:gridCol w:w="460"/>
        <w:gridCol w:w="36"/>
        <w:gridCol w:w="36"/>
        <w:gridCol w:w="36"/>
        <w:gridCol w:w="36"/>
        <w:gridCol w:w="116"/>
        <w:gridCol w:w="117"/>
        <w:gridCol w:w="117"/>
        <w:gridCol w:w="117"/>
        <w:gridCol w:w="117"/>
        <w:gridCol w:w="117"/>
        <w:gridCol w:w="52"/>
        <w:gridCol w:w="302"/>
        <w:gridCol w:w="36"/>
        <w:gridCol w:w="36"/>
        <w:gridCol w:w="36"/>
        <w:gridCol w:w="36"/>
        <w:gridCol w:w="52"/>
        <w:gridCol w:w="523"/>
        <w:gridCol w:w="36"/>
        <w:gridCol w:w="36"/>
        <w:gridCol w:w="36"/>
        <w:gridCol w:w="36"/>
        <w:gridCol w:w="52"/>
        <w:gridCol w:w="412"/>
        <w:gridCol w:w="36"/>
        <w:gridCol w:w="36"/>
        <w:gridCol w:w="36"/>
        <w:gridCol w:w="36"/>
        <w:gridCol w:w="52"/>
        <w:gridCol w:w="412"/>
        <w:gridCol w:w="36"/>
        <w:gridCol w:w="36"/>
        <w:gridCol w:w="36"/>
        <w:gridCol w:w="36"/>
        <w:gridCol w:w="52"/>
        <w:gridCol w:w="644"/>
        <w:gridCol w:w="36"/>
        <w:gridCol w:w="36"/>
        <w:gridCol w:w="36"/>
        <w:gridCol w:w="46"/>
      </w:tblGrid>
      <w:tr w:rsidR="00980E5F" w14:paraId="392C4A1B" w14:textId="77777777">
        <w:tc>
          <w:tcPr>
            <w:tcW w:w="50" w:type="pct"/>
            <w:shd w:val="clear" w:color="auto" w:fill="auto"/>
            <w:vAlign w:val="bottom"/>
          </w:tcPr>
          <w:p w14:paraId="392C49E0" w14:textId="77777777" w:rsidR="00980E5F" w:rsidRDefault="00980E5F">
            <w:pPr>
              <w:rPr>
                <w:rFonts w:ascii="宋体"/>
              </w:rPr>
            </w:pPr>
          </w:p>
        </w:tc>
        <w:tc>
          <w:tcPr>
            <w:tcW w:w="771" w:type="pct"/>
            <w:shd w:val="clear" w:color="auto" w:fill="auto"/>
            <w:vAlign w:val="bottom"/>
          </w:tcPr>
          <w:p w14:paraId="392C49E1" w14:textId="77777777" w:rsidR="00980E5F" w:rsidRDefault="00980E5F">
            <w:pPr>
              <w:rPr>
                <w:rFonts w:ascii="宋体"/>
              </w:rPr>
            </w:pPr>
          </w:p>
        </w:tc>
        <w:tc>
          <w:tcPr>
            <w:tcW w:w="5" w:type="pct"/>
            <w:shd w:val="clear" w:color="auto" w:fill="auto"/>
            <w:vAlign w:val="bottom"/>
          </w:tcPr>
          <w:p w14:paraId="392C49E2" w14:textId="77777777" w:rsidR="00980E5F" w:rsidRDefault="00980E5F">
            <w:pPr>
              <w:rPr>
                <w:rFonts w:ascii="宋体"/>
              </w:rPr>
            </w:pPr>
          </w:p>
        </w:tc>
        <w:tc>
          <w:tcPr>
            <w:tcW w:w="50" w:type="pct"/>
            <w:shd w:val="clear" w:color="auto" w:fill="auto"/>
            <w:vAlign w:val="bottom"/>
          </w:tcPr>
          <w:p w14:paraId="392C49E3" w14:textId="77777777" w:rsidR="00980E5F" w:rsidRDefault="00980E5F">
            <w:pPr>
              <w:rPr>
                <w:rFonts w:ascii="宋体"/>
              </w:rPr>
            </w:pPr>
          </w:p>
        </w:tc>
        <w:tc>
          <w:tcPr>
            <w:tcW w:w="383" w:type="pct"/>
            <w:shd w:val="clear" w:color="auto" w:fill="auto"/>
            <w:vAlign w:val="bottom"/>
          </w:tcPr>
          <w:p w14:paraId="392C49E4" w14:textId="77777777" w:rsidR="00980E5F" w:rsidRDefault="00980E5F">
            <w:pPr>
              <w:rPr>
                <w:rFonts w:ascii="宋体"/>
              </w:rPr>
            </w:pPr>
          </w:p>
        </w:tc>
        <w:tc>
          <w:tcPr>
            <w:tcW w:w="5" w:type="pct"/>
            <w:shd w:val="clear" w:color="auto" w:fill="auto"/>
            <w:vAlign w:val="bottom"/>
          </w:tcPr>
          <w:p w14:paraId="392C49E5" w14:textId="77777777" w:rsidR="00980E5F" w:rsidRDefault="00980E5F">
            <w:pPr>
              <w:rPr>
                <w:rFonts w:ascii="宋体"/>
              </w:rPr>
            </w:pPr>
          </w:p>
        </w:tc>
        <w:tc>
          <w:tcPr>
            <w:tcW w:w="5" w:type="pct"/>
            <w:shd w:val="clear" w:color="auto" w:fill="auto"/>
            <w:vAlign w:val="bottom"/>
          </w:tcPr>
          <w:p w14:paraId="392C49E6" w14:textId="77777777" w:rsidR="00980E5F" w:rsidRDefault="00980E5F">
            <w:pPr>
              <w:rPr>
                <w:rFonts w:ascii="宋体"/>
              </w:rPr>
            </w:pPr>
          </w:p>
        </w:tc>
        <w:tc>
          <w:tcPr>
            <w:tcW w:w="19" w:type="pct"/>
            <w:shd w:val="clear" w:color="auto" w:fill="auto"/>
            <w:vAlign w:val="bottom"/>
          </w:tcPr>
          <w:p w14:paraId="392C49E7" w14:textId="77777777" w:rsidR="00980E5F" w:rsidRDefault="00980E5F">
            <w:pPr>
              <w:rPr>
                <w:rFonts w:ascii="宋体"/>
              </w:rPr>
            </w:pPr>
          </w:p>
        </w:tc>
        <w:tc>
          <w:tcPr>
            <w:tcW w:w="5" w:type="pct"/>
            <w:shd w:val="clear" w:color="auto" w:fill="auto"/>
            <w:vAlign w:val="bottom"/>
          </w:tcPr>
          <w:p w14:paraId="392C49E8" w14:textId="77777777" w:rsidR="00980E5F" w:rsidRDefault="00980E5F">
            <w:pPr>
              <w:rPr>
                <w:rFonts w:ascii="宋体"/>
              </w:rPr>
            </w:pPr>
          </w:p>
        </w:tc>
        <w:tc>
          <w:tcPr>
            <w:tcW w:w="50" w:type="pct"/>
            <w:shd w:val="clear" w:color="auto" w:fill="auto"/>
            <w:vAlign w:val="bottom"/>
          </w:tcPr>
          <w:p w14:paraId="392C49E9" w14:textId="77777777" w:rsidR="00980E5F" w:rsidRDefault="00980E5F">
            <w:pPr>
              <w:rPr>
                <w:rFonts w:ascii="宋体"/>
              </w:rPr>
            </w:pPr>
          </w:p>
        </w:tc>
        <w:tc>
          <w:tcPr>
            <w:tcW w:w="303" w:type="pct"/>
            <w:shd w:val="clear" w:color="auto" w:fill="auto"/>
            <w:vAlign w:val="bottom"/>
          </w:tcPr>
          <w:p w14:paraId="392C49EA" w14:textId="77777777" w:rsidR="00980E5F" w:rsidRDefault="00980E5F">
            <w:pPr>
              <w:rPr>
                <w:rFonts w:ascii="宋体"/>
              </w:rPr>
            </w:pPr>
          </w:p>
        </w:tc>
        <w:tc>
          <w:tcPr>
            <w:tcW w:w="5" w:type="pct"/>
            <w:shd w:val="clear" w:color="auto" w:fill="auto"/>
            <w:vAlign w:val="bottom"/>
          </w:tcPr>
          <w:p w14:paraId="392C49EB" w14:textId="77777777" w:rsidR="00980E5F" w:rsidRDefault="00980E5F">
            <w:pPr>
              <w:rPr>
                <w:rFonts w:ascii="宋体"/>
              </w:rPr>
            </w:pPr>
          </w:p>
        </w:tc>
        <w:tc>
          <w:tcPr>
            <w:tcW w:w="5" w:type="pct"/>
            <w:shd w:val="clear" w:color="auto" w:fill="auto"/>
            <w:vAlign w:val="bottom"/>
          </w:tcPr>
          <w:p w14:paraId="392C49EC" w14:textId="77777777" w:rsidR="00980E5F" w:rsidRDefault="00980E5F">
            <w:pPr>
              <w:rPr>
                <w:rFonts w:ascii="宋体"/>
              </w:rPr>
            </w:pPr>
          </w:p>
        </w:tc>
        <w:tc>
          <w:tcPr>
            <w:tcW w:w="19" w:type="pct"/>
            <w:shd w:val="clear" w:color="auto" w:fill="auto"/>
            <w:vAlign w:val="bottom"/>
          </w:tcPr>
          <w:p w14:paraId="392C49ED" w14:textId="77777777" w:rsidR="00980E5F" w:rsidRDefault="00980E5F">
            <w:pPr>
              <w:rPr>
                <w:rFonts w:ascii="宋体"/>
              </w:rPr>
            </w:pPr>
          </w:p>
        </w:tc>
        <w:tc>
          <w:tcPr>
            <w:tcW w:w="5" w:type="pct"/>
            <w:shd w:val="clear" w:color="auto" w:fill="auto"/>
            <w:vAlign w:val="bottom"/>
          </w:tcPr>
          <w:p w14:paraId="392C49EE" w14:textId="77777777" w:rsidR="00980E5F" w:rsidRDefault="00980E5F">
            <w:pPr>
              <w:rPr>
                <w:rFonts w:ascii="宋体"/>
              </w:rPr>
            </w:pPr>
          </w:p>
        </w:tc>
        <w:tc>
          <w:tcPr>
            <w:tcW w:w="50" w:type="pct"/>
            <w:shd w:val="clear" w:color="auto" w:fill="auto"/>
            <w:vAlign w:val="bottom"/>
          </w:tcPr>
          <w:p w14:paraId="392C49EF" w14:textId="77777777" w:rsidR="00980E5F" w:rsidRDefault="00980E5F">
            <w:pPr>
              <w:rPr>
                <w:rFonts w:ascii="宋体"/>
              </w:rPr>
            </w:pPr>
          </w:p>
        </w:tc>
        <w:tc>
          <w:tcPr>
            <w:tcW w:w="434" w:type="pct"/>
            <w:shd w:val="clear" w:color="auto" w:fill="auto"/>
            <w:vAlign w:val="bottom"/>
          </w:tcPr>
          <w:p w14:paraId="392C49F0" w14:textId="77777777" w:rsidR="00980E5F" w:rsidRDefault="00980E5F">
            <w:pPr>
              <w:rPr>
                <w:rFonts w:ascii="宋体"/>
              </w:rPr>
            </w:pPr>
          </w:p>
        </w:tc>
        <w:tc>
          <w:tcPr>
            <w:tcW w:w="5" w:type="pct"/>
            <w:shd w:val="clear" w:color="auto" w:fill="auto"/>
            <w:vAlign w:val="bottom"/>
          </w:tcPr>
          <w:p w14:paraId="392C49F1" w14:textId="77777777" w:rsidR="00980E5F" w:rsidRDefault="00980E5F">
            <w:pPr>
              <w:rPr>
                <w:rFonts w:ascii="宋体"/>
              </w:rPr>
            </w:pPr>
          </w:p>
        </w:tc>
        <w:tc>
          <w:tcPr>
            <w:tcW w:w="5" w:type="pct"/>
            <w:shd w:val="clear" w:color="auto" w:fill="auto"/>
            <w:vAlign w:val="bottom"/>
          </w:tcPr>
          <w:p w14:paraId="392C49F2" w14:textId="77777777" w:rsidR="00980E5F" w:rsidRDefault="00980E5F">
            <w:pPr>
              <w:rPr>
                <w:rFonts w:ascii="宋体"/>
              </w:rPr>
            </w:pPr>
          </w:p>
        </w:tc>
        <w:tc>
          <w:tcPr>
            <w:tcW w:w="19" w:type="pct"/>
            <w:shd w:val="clear" w:color="auto" w:fill="auto"/>
            <w:vAlign w:val="bottom"/>
          </w:tcPr>
          <w:p w14:paraId="392C49F3" w14:textId="77777777" w:rsidR="00980E5F" w:rsidRDefault="00980E5F">
            <w:pPr>
              <w:rPr>
                <w:rFonts w:ascii="宋体"/>
              </w:rPr>
            </w:pPr>
          </w:p>
        </w:tc>
        <w:tc>
          <w:tcPr>
            <w:tcW w:w="5" w:type="pct"/>
            <w:shd w:val="clear" w:color="auto" w:fill="auto"/>
            <w:vAlign w:val="bottom"/>
          </w:tcPr>
          <w:p w14:paraId="392C49F4" w14:textId="77777777" w:rsidR="00980E5F" w:rsidRDefault="00980E5F">
            <w:pPr>
              <w:rPr>
                <w:rFonts w:ascii="宋体"/>
              </w:rPr>
            </w:pPr>
          </w:p>
        </w:tc>
        <w:tc>
          <w:tcPr>
            <w:tcW w:w="50" w:type="pct"/>
            <w:shd w:val="clear" w:color="auto" w:fill="auto"/>
            <w:vAlign w:val="bottom"/>
          </w:tcPr>
          <w:p w14:paraId="392C49F5" w14:textId="77777777" w:rsidR="00980E5F" w:rsidRDefault="00980E5F">
            <w:pPr>
              <w:rPr>
                <w:rFonts w:ascii="宋体"/>
              </w:rPr>
            </w:pPr>
          </w:p>
        </w:tc>
        <w:tc>
          <w:tcPr>
            <w:tcW w:w="295" w:type="pct"/>
            <w:shd w:val="clear" w:color="auto" w:fill="auto"/>
            <w:vAlign w:val="bottom"/>
          </w:tcPr>
          <w:p w14:paraId="392C49F6" w14:textId="77777777" w:rsidR="00980E5F" w:rsidRDefault="00980E5F">
            <w:pPr>
              <w:rPr>
                <w:rFonts w:ascii="宋体"/>
              </w:rPr>
            </w:pPr>
          </w:p>
        </w:tc>
        <w:tc>
          <w:tcPr>
            <w:tcW w:w="5" w:type="pct"/>
            <w:shd w:val="clear" w:color="auto" w:fill="auto"/>
            <w:vAlign w:val="bottom"/>
          </w:tcPr>
          <w:p w14:paraId="392C49F7" w14:textId="77777777" w:rsidR="00980E5F" w:rsidRDefault="00980E5F">
            <w:pPr>
              <w:rPr>
                <w:rFonts w:ascii="宋体"/>
              </w:rPr>
            </w:pPr>
          </w:p>
        </w:tc>
        <w:tc>
          <w:tcPr>
            <w:tcW w:w="5" w:type="pct"/>
            <w:shd w:val="clear" w:color="auto" w:fill="auto"/>
            <w:vAlign w:val="bottom"/>
          </w:tcPr>
          <w:p w14:paraId="392C49F8" w14:textId="77777777" w:rsidR="00980E5F" w:rsidRDefault="00980E5F">
            <w:pPr>
              <w:rPr>
                <w:rFonts w:ascii="宋体"/>
              </w:rPr>
            </w:pPr>
          </w:p>
        </w:tc>
        <w:tc>
          <w:tcPr>
            <w:tcW w:w="19" w:type="pct"/>
            <w:shd w:val="clear" w:color="auto" w:fill="auto"/>
            <w:vAlign w:val="bottom"/>
          </w:tcPr>
          <w:p w14:paraId="392C49F9" w14:textId="77777777" w:rsidR="00980E5F" w:rsidRDefault="00980E5F">
            <w:pPr>
              <w:rPr>
                <w:rFonts w:ascii="宋体"/>
              </w:rPr>
            </w:pPr>
          </w:p>
        </w:tc>
        <w:tc>
          <w:tcPr>
            <w:tcW w:w="5" w:type="pct"/>
            <w:shd w:val="clear" w:color="auto" w:fill="auto"/>
            <w:vAlign w:val="bottom"/>
          </w:tcPr>
          <w:p w14:paraId="392C49FA" w14:textId="77777777" w:rsidR="00980E5F" w:rsidRDefault="00980E5F">
            <w:pPr>
              <w:rPr>
                <w:rFonts w:ascii="宋体"/>
              </w:rPr>
            </w:pPr>
          </w:p>
        </w:tc>
        <w:tc>
          <w:tcPr>
            <w:tcW w:w="0" w:type="auto"/>
            <w:gridSpan w:val="3"/>
            <w:shd w:val="clear" w:color="auto" w:fill="auto"/>
            <w:vAlign w:val="bottom"/>
          </w:tcPr>
          <w:p w14:paraId="392C49FB" w14:textId="77777777" w:rsidR="00980E5F" w:rsidRDefault="00980E5F">
            <w:pPr>
              <w:rPr>
                <w:rFonts w:ascii="宋体"/>
                <w:vanish/>
              </w:rPr>
            </w:pPr>
          </w:p>
        </w:tc>
        <w:tc>
          <w:tcPr>
            <w:tcW w:w="0" w:type="auto"/>
            <w:gridSpan w:val="3"/>
            <w:shd w:val="clear" w:color="auto" w:fill="auto"/>
            <w:vAlign w:val="bottom"/>
          </w:tcPr>
          <w:p w14:paraId="392C49FC" w14:textId="77777777" w:rsidR="00980E5F" w:rsidRDefault="00980E5F">
            <w:pPr>
              <w:rPr>
                <w:rFonts w:ascii="宋体"/>
                <w:vanish/>
              </w:rPr>
            </w:pPr>
          </w:p>
        </w:tc>
        <w:tc>
          <w:tcPr>
            <w:tcW w:w="50" w:type="pct"/>
            <w:shd w:val="clear" w:color="auto" w:fill="auto"/>
            <w:vAlign w:val="bottom"/>
          </w:tcPr>
          <w:p w14:paraId="392C49FD" w14:textId="77777777" w:rsidR="00980E5F" w:rsidRDefault="00980E5F">
            <w:pPr>
              <w:rPr>
                <w:rFonts w:ascii="宋体"/>
              </w:rPr>
            </w:pPr>
          </w:p>
        </w:tc>
        <w:tc>
          <w:tcPr>
            <w:tcW w:w="200" w:type="pct"/>
            <w:shd w:val="clear" w:color="auto" w:fill="auto"/>
            <w:vAlign w:val="bottom"/>
          </w:tcPr>
          <w:p w14:paraId="392C49FE" w14:textId="77777777" w:rsidR="00980E5F" w:rsidRDefault="00980E5F">
            <w:pPr>
              <w:rPr>
                <w:rFonts w:ascii="宋体"/>
              </w:rPr>
            </w:pPr>
          </w:p>
        </w:tc>
        <w:tc>
          <w:tcPr>
            <w:tcW w:w="5" w:type="pct"/>
            <w:shd w:val="clear" w:color="auto" w:fill="auto"/>
            <w:vAlign w:val="bottom"/>
          </w:tcPr>
          <w:p w14:paraId="392C49FF" w14:textId="77777777" w:rsidR="00980E5F" w:rsidRDefault="00980E5F">
            <w:pPr>
              <w:rPr>
                <w:rFonts w:ascii="宋体"/>
              </w:rPr>
            </w:pPr>
          </w:p>
        </w:tc>
        <w:tc>
          <w:tcPr>
            <w:tcW w:w="5" w:type="pct"/>
            <w:shd w:val="clear" w:color="auto" w:fill="auto"/>
            <w:vAlign w:val="bottom"/>
          </w:tcPr>
          <w:p w14:paraId="392C4A00" w14:textId="77777777" w:rsidR="00980E5F" w:rsidRDefault="00980E5F">
            <w:pPr>
              <w:rPr>
                <w:rFonts w:ascii="宋体"/>
              </w:rPr>
            </w:pPr>
          </w:p>
        </w:tc>
        <w:tc>
          <w:tcPr>
            <w:tcW w:w="19" w:type="pct"/>
            <w:shd w:val="clear" w:color="auto" w:fill="auto"/>
            <w:vAlign w:val="bottom"/>
          </w:tcPr>
          <w:p w14:paraId="392C4A01" w14:textId="77777777" w:rsidR="00980E5F" w:rsidRDefault="00980E5F">
            <w:pPr>
              <w:rPr>
                <w:rFonts w:ascii="宋体"/>
              </w:rPr>
            </w:pPr>
          </w:p>
        </w:tc>
        <w:tc>
          <w:tcPr>
            <w:tcW w:w="5" w:type="pct"/>
            <w:shd w:val="clear" w:color="auto" w:fill="auto"/>
            <w:vAlign w:val="bottom"/>
          </w:tcPr>
          <w:p w14:paraId="392C4A02" w14:textId="77777777" w:rsidR="00980E5F" w:rsidRDefault="00980E5F">
            <w:pPr>
              <w:rPr>
                <w:rFonts w:ascii="宋体"/>
              </w:rPr>
            </w:pPr>
          </w:p>
        </w:tc>
        <w:tc>
          <w:tcPr>
            <w:tcW w:w="50" w:type="pct"/>
            <w:shd w:val="clear" w:color="auto" w:fill="auto"/>
            <w:vAlign w:val="bottom"/>
          </w:tcPr>
          <w:p w14:paraId="392C4A03" w14:textId="77777777" w:rsidR="00980E5F" w:rsidRDefault="00980E5F">
            <w:pPr>
              <w:rPr>
                <w:rFonts w:ascii="宋体"/>
              </w:rPr>
            </w:pPr>
          </w:p>
        </w:tc>
        <w:tc>
          <w:tcPr>
            <w:tcW w:w="332" w:type="pct"/>
            <w:shd w:val="clear" w:color="auto" w:fill="auto"/>
            <w:vAlign w:val="bottom"/>
          </w:tcPr>
          <w:p w14:paraId="392C4A04" w14:textId="77777777" w:rsidR="00980E5F" w:rsidRDefault="00980E5F">
            <w:pPr>
              <w:rPr>
                <w:rFonts w:ascii="宋体"/>
              </w:rPr>
            </w:pPr>
          </w:p>
        </w:tc>
        <w:tc>
          <w:tcPr>
            <w:tcW w:w="5" w:type="pct"/>
            <w:shd w:val="clear" w:color="auto" w:fill="auto"/>
            <w:vAlign w:val="bottom"/>
          </w:tcPr>
          <w:p w14:paraId="392C4A05" w14:textId="77777777" w:rsidR="00980E5F" w:rsidRDefault="00980E5F">
            <w:pPr>
              <w:rPr>
                <w:rFonts w:ascii="宋体"/>
              </w:rPr>
            </w:pPr>
          </w:p>
        </w:tc>
        <w:tc>
          <w:tcPr>
            <w:tcW w:w="5" w:type="pct"/>
            <w:shd w:val="clear" w:color="auto" w:fill="auto"/>
            <w:vAlign w:val="bottom"/>
          </w:tcPr>
          <w:p w14:paraId="392C4A06" w14:textId="77777777" w:rsidR="00980E5F" w:rsidRDefault="00980E5F">
            <w:pPr>
              <w:rPr>
                <w:rFonts w:ascii="宋体"/>
              </w:rPr>
            </w:pPr>
          </w:p>
        </w:tc>
        <w:tc>
          <w:tcPr>
            <w:tcW w:w="19" w:type="pct"/>
            <w:shd w:val="clear" w:color="auto" w:fill="auto"/>
            <w:vAlign w:val="bottom"/>
          </w:tcPr>
          <w:p w14:paraId="392C4A07" w14:textId="77777777" w:rsidR="00980E5F" w:rsidRDefault="00980E5F">
            <w:pPr>
              <w:rPr>
                <w:rFonts w:ascii="宋体"/>
              </w:rPr>
            </w:pPr>
          </w:p>
        </w:tc>
        <w:tc>
          <w:tcPr>
            <w:tcW w:w="5" w:type="pct"/>
            <w:shd w:val="clear" w:color="auto" w:fill="auto"/>
            <w:vAlign w:val="bottom"/>
          </w:tcPr>
          <w:p w14:paraId="392C4A08" w14:textId="77777777" w:rsidR="00980E5F" w:rsidRDefault="00980E5F">
            <w:pPr>
              <w:rPr>
                <w:rFonts w:ascii="宋体"/>
              </w:rPr>
            </w:pPr>
          </w:p>
        </w:tc>
        <w:tc>
          <w:tcPr>
            <w:tcW w:w="50" w:type="pct"/>
            <w:shd w:val="clear" w:color="auto" w:fill="auto"/>
            <w:vAlign w:val="bottom"/>
          </w:tcPr>
          <w:p w14:paraId="392C4A09" w14:textId="77777777" w:rsidR="00980E5F" w:rsidRDefault="00980E5F">
            <w:pPr>
              <w:rPr>
                <w:rFonts w:ascii="宋体"/>
              </w:rPr>
            </w:pPr>
          </w:p>
        </w:tc>
        <w:tc>
          <w:tcPr>
            <w:tcW w:w="266" w:type="pct"/>
            <w:shd w:val="clear" w:color="auto" w:fill="auto"/>
            <w:vAlign w:val="bottom"/>
          </w:tcPr>
          <w:p w14:paraId="392C4A0A" w14:textId="77777777" w:rsidR="00980E5F" w:rsidRDefault="00980E5F">
            <w:pPr>
              <w:rPr>
                <w:rFonts w:ascii="宋体"/>
              </w:rPr>
            </w:pPr>
          </w:p>
        </w:tc>
        <w:tc>
          <w:tcPr>
            <w:tcW w:w="5" w:type="pct"/>
            <w:shd w:val="clear" w:color="auto" w:fill="auto"/>
            <w:vAlign w:val="bottom"/>
          </w:tcPr>
          <w:p w14:paraId="392C4A0B" w14:textId="77777777" w:rsidR="00980E5F" w:rsidRDefault="00980E5F">
            <w:pPr>
              <w:rPr>
                <w:rFonts w:ascii="宋体"/>
              </w:rPr>
            </w:pPr>
          </w:p>
        </w:tc>
        <w:tc>
          <w:tcPr>
            <w:tcW w:w="5" w:type="pct"/>
            <w:shd w:val="clear" w:color="auto" w:fill="auto"/>
            <w:vAlign w:val="bottom"/>
          </w:tcPr>
          <w:p w14:paraId="392C4A0C" w14:textId="77777777" w:rsidR="00980E5F" w:rsidRDefault="00980E5F">
            <w:pPr>
              <w:rPr>
                <w:rFonts w:ascii="宋体"/>
              </w:rPr>
            </w:pPr>
          </w:p>
        </w:tc>
        <w:tc>
          <w:tcPr>
            <w:tcW w:w="19" w:type="pct"/>
            <w:shd w:val="clear" w:color="auto" w:fill="auto"/>
            <w:vAlign w:val="bottom"/>
          </w:tcPr>
          <w:p w14:paraId="392C4A0D" w14:textId="77777777" w:rsidR="00980E5F" w:rsidRDefault="00980E5F">
            <w:pPr>
              <w:rPr>
                <w:rFonts w:ascii="宋体"/>
              </w:rPr>
            </w:pPr>
          </w:p>
        </w:tc>
        <w:tc>
          <w:tcPr>
            <w:tcW w:w="5" w:type="pct"/>
            <w:shd w:val="clear" w:color="auto" w:fill="auto"/>
            <w:vAlign w:val="bottom"/>
          </w:tcPr>
          <w:p w14:paraId="392C4A0E" w14:textId="77777777" w:rsidR="00980E5F" w:rsidRDefault="00980E5F">
            <w:pPr>
              <w:rPr>
                <w:rFonts w:ascii="宋体"/>
              </w:rPr>
            </w:pPr>
          </w:p>
        </w:tc>
        <w:tc>
          <w:tcPr>
            <w:tcW w:w="50" w:type="pct"/>
            <w:shd w:val="clear" w:color="auto" w:fill="auto"/>
            <w:vAlign w:val="bottom"/>
          </w:tcPr>
          <w:p w14:paraId="392C4A0F" w14:textId="77777777" w:rsidR="00980E5F" w:rsidRDefault="00980E5F">
            <w:pPr>
              <w:rPr>
                <w:rFonts w:ascii="宋体"/>
              </w:rPr>
            </w:pPr>
          </w:p>
        </w:tc>
        <w:tc>
          <w:tcPr>
            <w:tcW w:w="266" w:type="pct"/>
            <w:shd w:val="clear" w:color="auto" w:fill="auto"/>
            <w:vAlign w:val="bottom"/>
          </w:tcPr>
          <w:p w14:paraId="392C4A10" w14:textId="77777777" w:rsidR="00980E5F" w:rsidRDefault="00980E5F">
            <w:pPr>
              <w:rPr>
                <w:rFonts w:ascii="宋体"/>
              </w:rPr>
            </w:pPr>
          </w:p>
        </w:tc>
        <w:tc>
          <w:tcPr>
            <w:tcW w:w="5" w:type="pct"/>
            <w:shd w:val="clear" w:color="auto" w:fill="auto"/>
            <w:vAlign w:val="bottom"/>
          </w:tcPr>
          <w:p w14:paraId="392C4A11" w14:textId="77777777" w:rsidR="00980E5F" w:rsidRDefault="00980E5F">
            <w:pPr>
              <w:rPr>
                <w:rFonts w:ascii="宋体"/>
              </w:rPr>
            </w:pPr>
          </w:p>
        </w:tc>
        <w:tc>
          <w:tcPr>
            <w:tcW w:w="5" w:type="pct"/>
            <w:shd w:val="clear" w:color="auto" w:fill="auto"/>
            <w:vAlign w:val="bottom"/>
          </w:tcPr>
          <w:p w14:paraId="392C4A12" w14:textId="77777777" w:rsidR="00980E5F" w:rsidRDefault="00980E5F">
            <w:pPr>
              <w:rPr>
                <w:rFonts w:ascii="宋体"/>
              </w:rPr>
            </w:pPr>
          </w:p>
        </w:tc>
        <w:tc>
          <w:tcPr>
            <w:tcW w:w="19" w:type="pct"/>
            <w:shd w:val="clear" w:color="auto" w:fill="auto"/>
            <w:vAlign w:val="bottom"/>
          </w:tcPr>
          <w:p w14:paraId="392C4A13" w14:textId="77777777" w:rsidR="00980E5F" w:rsidRDefault="00980E5F">
            <w:pPr>
              <w:rPr>
                <w:rFonts w:ascii="宋体"/>
              </w:rPr>
            </w:pPr>
          </w:p>
        </w:tc>
        <w:tc>
          <w:tcPr>
            <w:tcW w:w="5" w:type="pct"/>
            <w:shd w:val="clear" w:color="auto" w:fill="auto"/>
            <w:vAlign w:val="bottom"/>
          </w:tcPr>
          <w:p w14:paraId="392C4A14" w14:textId="77777777" w:rsidR="00980E5F" w:rsidRDefault="00980E5F">
            <w:pPr>
              <w:rPr>
                <w:rFonts w:ascii="宋体"/>
              </w:rPr>
            </w:pPr>
          </w:p>
        </w:tc>
        <w:tc>
          <w:tcPr>
            <w:tcW w:w="50" w:type="pct"/>
            <w:shd w:val="clear" w:color="auto" w:fill="auto"/>
            <w:vAlign w:val="bottom"/>
          </w:tcPr>
          <w:p w14:paraId="392C4A15" w14:textId="77777777" w:rsidR="00980E5F" w:rsidRDefault="00980E5F">
            <w:pPr>
              <w:rPr>
                <w:rFonts w:ascii="宋体"/>
              </w:rPr>
            </w:pPr>
          </w:p>
        </w:tc>
        <w:tc>
          <w:tcPr>
            <w:tcW w:w="405" w:type="pct"/>
            <w:shd w:val="clear" w:color="auto" w:fill="auto"/>
            <w:vAlign w:val="bottom"/>
          </w:tcPr>
          <w:p w14:paraId="392C4A16" w14:textId="77777777" w:rsidR="00980E5F" w:rsidRDefault="00980E5F">
            <w:pPr>
              <w:rPr>
                <w:rFonts w:ascii="宋体"/>
              </w:rPr>
            </w:pPr>
          </w:p>
        </w:tc>
        <w:tc>
          <w:tcPr>
            <w:tcW w:w="5" w:type="pct"/>
            <w:shd w:val="clear" w:color="auto" w:fill="auto"/>
            <w:vAlign w:val="bottom"/>
          </w:tcPr>
          <w:p w14:paraId="392C4A17" w14:textId="77777777" w:rsidR="00980E5F" w:rsidRDefault="00980E5F">
            <w:pPr>
              <w:rPr>
                <w:rFonts w:ascii="宋体"/>
              </w:rPr>
            </w:pPr>
          </w:p>
        </w:tc>
        <w:tc>
          <w:tcPr>
            <w:tcW w:w="5" w:type="pct"/>
            <w:shd w:val="clear" w:color="auto" w:fill="auto"/>
            <w:vAlign w:val="bottom"/>
          </w:tcPr>
          <w:p w14:paraId="392C4A18" w14:textId="77777777" w:rsidR="00980E5F" w:rsidRDefault="00980E5F">
            <w:pPr>
              <w:rPr>
                <w:rFonts w:ascii="宋体"/>
              </w:rPr>
            </w:pPr>
          </w:p>
        </w:tc>
        <w:tc>
          <w:tcPr>
            <w:tcW w:w="19" w:type="pct"/>
            <w:shd w:val="clear" w:color="auto" w:fill="auto"/>
            <w:vAlign w:val="bottom"/>
          </w:tcPr>
          <w:p w14:paraId="392C4A19" w14:textId="77777777" w:rsidR="00980E5F" w:rsidRDefault="00980E5F">
            <w:pPr>
              <w:rPr>
                <w:rFonts w:ascii="宋体"/>
              </w:rPr>
            </w:pPr>
          </w:p>
        </w:tc>
        <w:tc>
          <w:tcPr>
            <w:tcW w:w="5" w:type="pct"/>
            <w:shd w:val="clear" w:color="auto" w:fill="auto"/>
            <w:vAlign w:val="bottom"/>
          </w:tcPr>
          <w:p w14:paraId="392C4A1A" w14:textId="77777777" w:rsidR="00980E5F" w:rsidRDefault="00980E5F">
            <w:pPr>
              <w:rPr>
                <w:rFonts w:ascii="宋体"/>
              </w:rPr>
            </w:pPr>
          </w:p>
        </w:tc>
      </w:tr>
      <w:tr w:rsidR="00980E5F" w14:paraId="392C4A32" w14:textId="77777777">
        <w:trPr>
          <w:trHeight w:val="60"/>
        </w:trPr>
        <w:tc>
          <w:tcPr>
            <w:tcW w:w="0" w:type="auto"/>
            <w:gridSpan w:val="3"/>
            <w:shd w:val="clear" w:color="auto" w:fill="auto"/>
            <w:tcMar>
              <w:top w:w="0" w:type="dxa"/>
              <w:left w:w="20" w:type="dxa"/>
              <w:bottom w:w="0" w:type="dxa"/>
              <w:right w:w="20" w:type="dxa"/>
            </w:tcMar>
            <w:vAlign w:val="bottom"/>
          </w:tcPr>
          <w:p w14:paraId="392C4A1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1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1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1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4" w14:textId="77777777" w:rsidR="00980E5F" w:rsidRDefault="00980E5F">
            <w:pPr>
              <w:rPr>
                <w:rFonts w:ascii="宋体"/>
              </w:rPr>
            </w:pPr>
          </w:p>
        </w:tc>
        <w:tc>
          <w:tcPr>
            <w:tcW w:w="0" w:type="auto"/>
            <w:gridSpan w:val="3"/>
            <w:shd w:val="clear" w:color="auto" w:fill="auto"/>
            <w:vAlign w:val="bottom"/>
          </w:tcPr>
          <w:p w14:paraId="392C4A25" w14:textId="77777777" w:rsidR="00980E5F" w:rsidRDefault="00980E5F">
            <w:pPr>
              <w:rPr>
                <w:rFonts w:ascii="宋体"/>
                <w:vanish/>
              </w:rPr>
            </w:pPr>
          </w:p>
        </w:tc>
        <w:tc>
          <w:tcPr>
            <w:tcW w:w="0" w:type="auto"/>
            <w:gridSpan w:val="3"/>
            <w:shd w:val="clear" w:color="auto" w:fill="auto"/>
            <w:vAlign w:val="bottom"/>
          </w:tcPr>
          <w:p w14:paraId="392C4A26"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4A2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A2F"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4A30"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4A31" w14:textId="77777777" w:rsidR="00980E5F" w:rsidRDefault="00980E5F">
            <w:pPr>
              <w:rPr>
                <w:rFonts w:ascii="宋体"/>
              </w:rPr>
            </w:pPr>
          </w:p>
        </w:tc>
      </w:tr>
      <w:tr w:rsidR="00980E5F" w14:paraId="392C4A6E" w14:textId="77777777">
        <w:trPr>
          <w:hidden/>
        </w:trPr>
        <w:tc>
          <w:tcPr>
            <w:tcW w:w="0" w:type="auto"/>
            <w:gridSpan w:val="3"/>
            <w:shd w:val="clear" w:color="auto" w:fill="auto"/>
            <w:vAlign w:val="bottom"/>
          </w:tcPr>
          <w:p w14:paraId="392C4A33" w14:textId="77777777" w:rsidR="00980E5F" w:rsidRDefault="00980E5F">
            <w:pPr>
              <w:rPr>
                <w:rFonts w:ascii="宋体"/>
                <w:vanish/>
              </w:rPr>
            </w:pPr>
          </w:p>
        </w:tc>
        <w:tc>
          <w:tcPr>
            <w:tcW w:w="0" w:type="auto"/>
            <w:gridSpan w:val="3"/>
            <w:shd w:val="clear" w:color="auto" w:fill="auto"/>
            <w:vAlign w:val="bottom"/>
          </w:tcPr>
          <w:p w14:paraId="392C4A34" w14:textId="77777777" w:rsidR="00980E5F" w:rsidRDefault="00980E5F">
            <w:pPr>
              <w:rPr>
                <w:rFonts w:ascii="宋体"/>
                <w:vanish/>
              </w:rPr>
            </w:pPr>
          </w:p>
        </w:tc>
        <w:tc>
          <w:tcPr>
            <w:tcW w:w="0" w:type="auto"/>
            <w:shd w:val="clear" w:color="auto" w:fill="auto"/>
            <w:vAlign w:val="bottom"/>
          </w:tcPr>
          <w:p w14:paraId="392C4A35" w14:textId="77777777" w:rsidR="00980E5F" w:rsidRDefault="00980E5F">
            <w:pPr>
              <w:rPr>
                <w:rFonts w:ascii="宋体"/>
              </w:rPr>
            </w:pPr>
          </w:p>
        </w:tc>
        <w:tc>
          <w:tcPr>
            <w:tcW w:w="0" w:type="auto"/>
            <w:shd w:val="clear" w:color="auto" w:fill="auto"/>
            <w:vAlign w:val="bottom"/>
          </w:tcPr>
          <w:p w14:paraId="392C4A36" w14:textId="77777777" w:rsidR="00980E5F" w:rsidRDefault="00980E5F">
            <w:pPr>
              <w:rPr>
                <w:rFonts w:ascii="宋体"/>
              </w:rPr>
            </w:pPr>
          </w:p>
        </w:tc>
        <w:tc>
          <w:tcPr>
            <w:tcW w:w="0" w:type="auto"/>
            <w:shd w:val="clear" w:color="auto" w:fill="auto"/>
            <w:vAlign w:val="bottom"/>
          </w:tcPr>
          <w:p w14:paraId="392C4A37" w14:textId="77777777" w:rsidR="00980E5F" w:rsidRDefault="00980E5F">
            <w:pPr>
              <w:rPr>
                <w:rFonts w:ascii="宋体"/>
              </w:rPr>
            </w:pPr>
          </w:p>
        </w:tc>
        <w:tc>
          <w:tcPr>
            <w:tcW w:w="0" w:type="auto"/>
            <w:shd w:val="clear" w:color="auto" w:fill="auto"/>
            <w:vAlign w:val="bottom"/>
          </w:tcPr>
          <w:p w14:paraId="392C4A38" w14:textId="77777777" w:rsidR="00980E5F" w:rsidRDefault="00980E5F">
            <w:pPr>
              <w:rPr>
                <w:rFonts w:ascii="宋体"/>
              </w:rPr>
            </w:pPr>
          </w:p>
        </w:tc>
        <w:tc>
          <w:tcPr>
            <w:tcW w:w="0" w:type="auto"/>
            <w:shd w:val="clear" w:color="auto" w:fill="auto"/>
            <w:vAlign w:val="bottom"/>
          </w:tcPr>
          <w:p w14:paraId="392C4A39" w14:textId="77777777" w:rsidR="00980E5F" w:rsidRDefault="00980E5F">
            <w:pPr>
              <w:rPr>
                <w:rFonts w:ascii="宋体"/>
              </w:rPr>
            </w:pPr>
          </w:p>
        </w:tc>
        <w:tc>
          <w:tcPr>
            <w:tcW w:w="0" w:type="auto"/>
            <w:shd w:val="clear" w:color="auto" w:fill="auto"/>
            <w:vAlign w:val="bottom"/>
          </w:tcPr>
          <w:p w14:paraId="392C4A3A" w14:textId="77777777" w:rsidR="00980E5F" w:rsidRDefault="00980E5F">
            <w:pPr>
              <w:rPr>
                <w:rFonts w:ascii="宋体"/>
              </w:rPr>
            </w:pPr>
          </w:p>
        </w:tc>
        <w:tc>
          <w:tcPr>
            <w:tcW w:w="0" w:type="auto"/>
            <w:shd w:val="clear" w:color="auto" w:fill="auto"/>
            <w:vAlign w:val="bottom"/>
          </w:tcPr>
          <w:p w14:paraId="392C4A3B" w14:textId="77777777" w:rsidR="00980E5F" w:rsidRDefault="00980E5F">
            <w:pPr>
              <w:rPr>
                <w:rFonts w:ascii="宋体"/>
              </w:rPr>
            </w:pPr>
          </w:p>
        </w:tc>
        <w:tc>
          <w:tcPr>
            <w:tcW w:w="0" w:type="auto"/>
            <w:shd w:val="clear" w:color="auto" w:fill="auto"/>
            <w:vAlign w:val="bottom"/>
          </w:tcPr>
          <w:p w14:paraId="392C4A3C" w14:textId="77777777" w:rsidR="00980E5F" w:rsidRDefault="00980E5F">
            <w:pPr>
              <w:rPr>
                <w:rFonts w:ascii="宋体"/>
              </w:rPr>
            </w:pPr>
          </w:p>
        </w:tc>
        <w:tc>
          <w:tcPr>
            <w:tcW w:w="0" w:type="auto"/>
            <w:shd w:val="clear" w:color="auto" w:fill="auto"/>
            <w:vAlign w:val="bottom"/>
          </w:tcPr>
          <w:p w14:paraId="392C4A3D" w14:textId="77777777" w:rsidR="00980E5F" w:rsidRDefault="00980E5F">
            <w:pPr>
              <w:rPr>
                <w:rFonts w:ascii="宋体"/>
              </w:rPr>
            </w:pPr>
          </w:p>
        </w:tc>
        <w:tc>
          <w:tcPr>
            <w:tcW w:w="0" w:type="auto"/>
            <w:shd w:val="clear" w:color="auto" w:fill="auto"/>
            <w:vAlign w:val="bottom"/>
          </w:tcPr>
          <w:p w14:paraId="392C4A3E" w14:textId="77777777" w:rsidR="00980E5F" w:rsidRDefault="00980E5F">
            <w:pPr>
              <w:rPr>
                <w:rFonts w:ascii="宋体"/>
              </w:rPr>
            </w:pPr>
          </w:p>
        </w:tc>
        <w:tc>
          <w:tcPr>
            <w:tcW w:w="0" w:type="auto"/>
            <w:shd w:val="clear" w:color="auto" w:fill="auto"/>
            <w:vAlign w:val="bottom"/>
          </w:tcPr>
          <w:p w14:paraId="392C4A3F" w14:textId="77777777" w:rsidR="00980E5F" w:rsidRDefault="00980E5F">
            <w:pPr>
              <w:rPr>
                <w:rFonts w:ascii="宋体"/>
              </w:rPr>
            </w:pPr>
          </w:p>
        </w:tc>
        <w:tc>
          <w:tcPr>
            <w:tcW w:w="0" w:type="auto"/>
            <w:shd w:val="clear" w:color="auto" w:fill="auto"/>
            <w:vAlign w:val="bottom"/>
          </w:tcPr>
          <w:p w14:paraId="392C4A40" w14:textId="77777777" w:rsidR="00980E5F" w:rsidRDefault="00980E5F">
            <w:pPr>
              <w:rPr>
                <w:rFonts w:ascii="宋体"/>
              </w:rPr>
            </w:pPr>
          </w:p>
        </w:tc>
        <w:tc>
          <w:tcPr>
            <w:tcW w:w="0" w:type="auto"/>
            <w:shd w:val="clear" w:color="auto" w:fill="auto"/>
            <w:vAlign w:val="bottom"/>
          </w:tcPr>
          <w:p w14:paraId="392C4A41" w14:textId="77777777" w:rsidR="00980E5F" w:rsidRDefault="00980E5F">
            <w:pPr>
              <w:rPr>
                <w:rFonts w:ascii="宋体"/>
              </w:rPr>
            </w:pPr>
          </w:p>
        </w:tc>
        <w:tc>
          <w:tcPr>
            <w:tcW w:w="0" w:type="auto"/>
            <w:shd w:val="clear" w:color="auto" w:fill="auto"/>
            <w:vAlign w:val="bottom"/>
          </w:tcPr>
          <w:p w14:paraId="392C4A42" w14:textId="77777777" w:rsidR="00980E5F" w:rsidRDefault="00980E5F">
            <w:pPr>
              <w:rPr>
                <w:rFonts w:ascii="宋体"/>
              </w:rPr>
            </w:pPr>
          </w:p>
        </w:tc>
        <w:tc>
          <w:tcPr>
            <w:tcW w:w="0" w:type="auto"/>
            <w:shd w:val="clear" w:color="auto" w:fill="auto"/>
            <w:vAlign w:val="bottom"/>
          </w:tcPr>
          <w:p w14:paraId="392C4A43" w14:textId="77777777" w:rsidR="00980E5F" w:rsidRDefault="00980E5F">
            <w:pPr>
              <w:rPr>
                <w:rFonts w:ascii="宋体"/>
              </w:rPr>
            </w:pPr>
          </w:p>
        </w:tc>
        <w:tc>
          <w:tcPr>
            <w:tcW w:w="0" w:type="auto"/>
            <w:shd w:val="clear" w:color="auto" w:fill="auto"/>
            <w:vAlign w:val="bottom"/>
          </w:tcPr>
          <w:p w14:paraId="392C4A44" w14:textId="77777777" w:rsidR="00980E5F" w:rsidRDefault="00980E5F">
            <w:pPr>
              <w:rPr>
                <w:rFonts w:ascii="宋体"/>
              </w:rPr>
            </w:pPr>
          </w:p>
        </w:tc>
        <w:tc>
          <w:tcPr>
            <w:tcW w:w="0" w:type="auto"/>
            <w:shd w:val="clear" w:color="auto" w:fill="auto"/>
            <w:vAlign w:val="bottom"/>
          </w:tcPr>
          <w:p w14:paraId="392C4A45" w14:textId="77777777" w:rsidR="00980E5F" w:rsidRDefault="00980E5F">
            <w:pPr>
              <w:rPr>
                <w:rFonts w:ascii="宋体"/>
              </w:rPr>
            </w:pPr>
          </w:p>
        </w:tc>
        <w:tc>
          <w:tcPr>
            <w:tcW w:w="0" w:type="auto"/>
            <w:shd w:val="clear" w:color="auto" w:fill="auto"/>
            <w:vAlign w:val="bottom"/>
          </w:tcPr>
          <w:p w14:paraId="392C4A46" w14:textId="77777777" w:rsidR="00980E5F" w:rsidRDefault="00980E5F">
            <w:pPr>
              <w:rPr>
                <w:rFonts w:ascii="宋体"/>
              </w:rPr>
            </w:pPr>
          </w:p>
        </w:tc>
        <w:tc>
          <w:tcPr>
            <w:tcW w:w="0" w:type="auto"/>
            <w:shd w:val="clear" w:color="auto" w:fill="auto"/>
            <w:vAlign w:val="bottom"/>
          </w:tcPr>
          <w:p w14:paraId="392C4A47" w14:textId="77777777" w:rsidR="00980E5F" w:rsidRDefault="00980E5F">
            <w:pPr>
              <w:rPr>
                <w:rFonts w:ascii="宋体"/>
              </w:rPr>
            </w:pPr>
          </w:p>
        </w:tc>
        <w:tc>
          <w:tcPr>
            <w:tcW w:w="0" w:type="auto"/>
            <w:shd w:val="clear" w:color="auto" w:fill="auto"/>
            <w:vAlign w:val="bottom"/>
          </w:tcPr>
          <w:p w14:paraId="392C4A48" w14:textId="77777777" w:rsidR="00980E5F" w:rsidRDefault="00980E5F">
            <w:pPr>
              <w:rPr>
                <w:rFonts w:ascii="宋体"/>
              </w:rPr>
            </w:pPr>
          </w:p>
        </w:tc>
        <w:tc>
          <w:tcPr>
            <w:tcW w:w="0" w:type="auto"/>
            <w:shd w:val="clear" w:color="auto" w:fill="auto"/>
            <w:vAlign w:val="bottom"/>
          </w:tcPr>
          <w:p w14:paraId="392C4A49" w14:textId="77777777" w:rsidR="00980E5F" w:rsidRDefault="00980E5F">
            <w:pPr>
              <w:rPr>
                <w:rFonts w:ascii="宋体"/>
              </w:rPr>
            </w:pPr>
          </w:p>
        </w:tc>
        <w:tc>
          <w:tcPr>
            <w:tcW w:w="0" w:type="auto"/>
            <w:shd w:val="clear" w:color="auto" w:fill="auto"/>
            <w:vAlign w:val="bottom"/>
          </w:tcPr>
          <w:p w14:paraId="392C4A4A" w14:textId="77777777" w:rsidR="00980E5F" w:rsidRDefault="00980E5F">
            <w:pPr>
              <w:rPr>
                <w:rFonts w:ascii="宋体"/>
              </w:rPr>
            </w:pPr>
          </w:p>
        </w:tc>
        <w:tc>
          <w:tcPr>
            <w:tcW w:w="0" w:type="auto"/>
            <w:shd w:val="clear" w:color="auto" w:fill="auto"/>
            <w:vAlign w:val="bottom"/>
          </w:tcPr>
          <w:p w14:paraId="392C4A4B" w14:textId="77777777" w:rsidR="00980E5F" w:rsidRDefault="00980E5F">
            <w:pPr>
              <w:rPr>
                <w:rFonts w:ascii="宋体"/>
              </w:rPr>
            </w:pPr>
          </w:p>
        </w:tc>
        <w:tc>
          <w:tcPr>
            <w:tcW w:w="0" w:type="auto"/>
            <w:shd w:val="clear" w:color="auto" w:fill="auto"/>
            <w:vAlign w:val="bottom"/>
          </w:tcPr>
          <w:p w14:paraId="392C4A4C" w14:textId="77777777" w:rsidR="00980E5F" w:rsidRDefault="00980E5F">
            <w:pPr>
              <w:rPr>
                <w:rFonts w:ascii="宋体"/>
              </w:rPr>
            </w:pPr>
          </w:p>
        </w:tc>
        <w:tc>
          <w:tcPr>
            <w:tcW w:w="0" w:type="auto"/>
            <w:shd w:val="clear" w:color="auto" w:fill="auto"/>
            <w:vAlign w:val="bottom"/>
          </w:tcPr>
          <w:p w14:paraId="392C4A4D" w14:textId="77777777" w:rsidR="00980E5F" w:rsidRDefault="00980E5F">
            <w:pPr>
              <w:rPr>
                <w:rFonts w:ascii="宋体"/>
              </w:rPr>
            </w:pPr>
          </w:p>
        </w:tc>
        <w:tc>
          <w:tcPr>
            <w:tcW w:w="0" w:type="auto"/>
            <w:shd w:val="clear" w:color="auto" w:fill="auto"/>
            <w:vAlign w:val="bottom"/>
          </w:tcPr>
          <w:p w14:paraId="392C4A4E" w14:textId="77777777" w:rsidR="00980E5F" w:rsidRDefault="00980E5F">
            <w:pPr>
              <w:rPr>
                <w:rFonts w:ascii="宋体"/>
              </w:rPr>
            </w:pPr>
          </w:p>
        </w:tc>
        <w:tc>
          <w:tcPr>
            <w:tcW w:w="0" w:type="auto"/>
            <w:shd w:val="clear" w:color="auto" w:fill="auto"/>
            <w:vAlign w:val="bottom"/>
          </w:tcPr>
          <w:p w14:paraId="392C4A4F" w14:textId="77777777" w:rsidR="00980E5F" w:rsidRDefault="00980E5F">
            <w:pPr>
              <w:rPr>
                <w:rFonts w:ascii="宋体"/>
              </w:rPr>
            </w:pPr>
          </w:p>
        </w:tc>
        <w:tc>
          <w:tcPr>
            <w:tcW w:w="0" w:type="auto"/>
            <w:shd w:val="clear" w:color="auto" w:fill="auto"/>
            <w:vAlign w:val="bottom"/>
          </w:tcPr>
          <w:p w14:paraId="392C4A50" w14:textId="77777777" w:rsidR="00980E5F" w:rsidRDefault="00980E5F">
            <w:pPr>
              <w:rPr>
                <w:rFonts w:ascii="宋体"/>
              </w:rPr>
            </w:pPr>
          </w:p>
        </w:tc>
        <w:tc>
          <w:tcPr>
            <w:tcW w:w="0" w:type="auto"/>
            <w:shd w:val="clear" w:color="auto" w:fill="auto"/>
            <w:vAlign w:val="bottom"/>
          </w:tcPr>
          <w:p w14:paraId="392C4A51" w14:textId="77777777" w:rsidR="00980E5F" w:rsidRDefault="00980E5F">
            <w:pPr>
              <w:rPr>
                <w:rFonts w:ascii="宋体"/>
              </w:rPr>
            </w:pPr>
          </w:p>
        </w:tc>
        <w:tc>
          <w:tcPr>
            <w:tcW w:w="0" w:type="auto"/>
            <w:shd w:val="clear" w:color="auto" w:fill="auto"/>
            <w:vAlign w:val="bottom"/>
          </w:tcPr>
          <w:p w14:paraId="392C4A52" w14:textId="77777777" w:rsidR="00980E5F" w:rsidRDefault="00980E5F">
            <w:pPr>
              <w:rPr>
                <w:rFonts w:ascii="宋体"/>
              </w:rPr>
            </w:pPr>
          </w:p>
        </w:tc>
        <w:tc>
          <w:tcPr>
            <w:tcW w:w="0" w:type="auto"/>
            <w:shd w:val="clear" w:color="auto" w:fill="auto"/>
            <w:vAlign w:val="bottom"/>
          </w:tcPr>
          <w:p w14:paraId="392C4A53" w14:textId="77777777" w:rsidR="00980E5F" w:rsidRDefault="00980E5F">
            <w:pPr>
              <w:rPr>
                <w:rFonts w:ascii="宋体"/>
              </w:rPr>
            </w:pPr>
          </w:p>
        </w:tc>
        <w:tc>
          <w:tcPr>
            <w:tcW w:w="0" w:type="auto"/>
            <w:shd w:val="clear" w:color="auto" w:fill="auto"/>
            <w:vAlign w:val="bottom"/>
          </w:tcPr>
          <w:p w14:paraId="392C4A54" w14:textId="77777777" w:rsidR="00980E5F" w:rsidRDefault="00980E5F">
            <w:pPr>
              <w:rPr>
                <w:rFonts w:ascii="宋体"/>
              </w:rPr>
            </w:pPr>
          </w:p>
        </w:tc>
        <w:tc>
          <w:tcPr>
            <w:tcW w:w="0" w:type="auto"/>
            <w:shd w:val="clear" w:color="auto" w:fill="auto"/>
            <w:vAlign w:val="bottom"/>
          </w:tcPr>
          <w:p w14:paraId="392C4A55" w14:textId="77777777" w:rsidR="00980E5F" w:rsidRDefault="00980E5F">
            <w:pPr>
              <w:rPr>
                <w:rFonts w:ascii="宋体"/>
              </w:rPr>
            </w:pPr>
          </w:p>
        </w:tc>
        <w:tc>
          <w:tcPr>
            <w:tcW w:w="0" w:type="auto"/>
            <w:shd w:val="clear" w:color="auto" w:fill="auto"/>
            <w:vAlign w:val="bottom"/>
          </w:tcPr>
          <w:p w14:paraId="392C4A56" w14:textId="77777777" w:rsidR="00980E5F" w:rsidRDefault="00980E5F">
            <w:pPr>
              <w:rPr>
                <w:rFonts w:ascii="宋体"/>
              </w:rPr>
            </w:pPr>
          </w:p>
        </w:tc>
        <w:tc>
          <w:tcPr>
            <w:tcW w:w="0" w:type="auto"/>
            <w:shd w:val="clear" w:color="auto" w:fill="auto"/>
            <w:vAlign w:val="bottom"/>
          </w:tcPr>
          <w:p w14:paraId="392C4A57" w14:textId="77777777" w:rsidR="00980E5F" w:rsidRDefault="00980E5F">
            <w:pPr>
              <w:rPr>
                <w:rFonts w:ascii="宋体"/>
              </w:rPr>
            </w:pPr>
          </w:p>
        </w:tc>
        <w:tc>
          <w:tcPr>
            <w:tcW w:w="0" w:type="auto"/>
            <w:shd w:val="clear" w:color="auto" w:fill="auto"/>
            <w:vAlign w:val="bottom"/>
          </w:tcPr>
          <w:p w14:paraId="392C4A58" w14:textId="77777777" w:rsidR="00980E5F" w:rsidRDefault="00980E5F">
            <w:pPr>
              <w:rPr>
                <w:rFonts w:ascii="宋体"/>
              </w:rPr>
            </w:pPr>
          </w:p>
        </w:tc>
        <w:tc>
          <w:tcPr>
            <w:tcW w:w="0" w:type="auto"/>
            <w:shd w:val="clear" w:color="auto" w:fill="auto"/>
            <w:vAlign w:val="bottom"/>
          </w:tcPr>
          <w:p w14:paraId="392C4A59" w14:textId="77777777" w:rsidR="00980E5F" w:rsidRDefault="00980E5F">
            <w:pPr>
              <w:rPr>
                <w:rFonts w:ascii="宋体"/>
              </w:rPr>
            </w:pPr>
          </w:p>
        </w:tc>
        <w:tc>
          <w:tcPr>
            <w:tcW w:w="0" w:type="auto"/>
            <w:shd w:val="clear" w:color="auto" w:fill="auto"/>
            <w:vAlign w:val="bottom"/>
          </w:tcPr>
          <w:p w14:paraId="392C4A5A" w14:textId="77777777" w:rsidR="00980E5F" w:rsidRDefault="00980E5F">
            <w:pPr>
              <w:rPr>
                <w:rFonts w:ascii="宋体"/>
              </w:rPr>
            </w:pPr>
          </w:p>
        </w:tc>
        <w:tc>
          <w:tcPr>
            <w:tcW w:w="0" w:type="auto"/>
            <w:shd w:val="clear" w:color="auto" w:fill="auto"/>
            <w:vAlign w:val="bottom"/>
          </w:tcPr>
          <w:p w14:paraId="392C4A5B" w14:textId="77777777" w:rsidR="00980E5F" w:rsidRDefault="00980E5F">
            <w:pPr>
              <w:rPr>
                <w:rFonts w:ascii="宋体"/>
              </w:rPr>
            </w:pPr>
          </w:p>
        </w:tc>
        <w:tc>
          <w:tcPr>
            <w:tcW w:w="0" w:type="auto"/>
            <w:shd w:val="clear" w:color="auto" w:fill="auto"/>
            <w:vAlign w:val="bottom"/>
          </w:tcPr>
          <w:p w14:paraId="392C4A5C" w14:textId="77777777" w:rsidR="00980E5F" w:rsidRDefault="00980E5F">
            <w:pPr>
              <w:rPr>
                <w:rFonts w:ascii="宋体"/>
              </w:rPr>
            </w:pPr>
          </w:p>
        </w:tc>
        <w:tc>
          <w:tcPr>
            <w:tcW w:w="0" w:type="auto"/>
            <w:shd w:val="clear" w:color="auto" w:fill="auto"/>
            <w:vAlign w:val="bottom"/>
          </w:tcPr>
          <w:p w14:paraId="392C4A5D" w14:textId="77777777" w:rsidR="00980E5F" w:rsidRDefault="00980E5F">
            <w:pPr>
              <w:rPr>
                <w:rFonts w:ascii="宋体"/>
              </w:rPr>
            </w:pPr>
          </w:p>
        </w:tc>
        <w:tc>
          <w:tcPr>
            <w:tcW w:w="0" w:type="auto"/>
            <w:shd w:val="clear" w:color="auto" w:fill="auto"/>
            <w:vAlign w:val="bottom"/>
          </w:tcPr>
          <w:p w14:paraId="392C4A5E" w14:textId="77777777" w:rsidR="00980E5F" w:rsidRDefault="00980E5F">
            <w:pPr>
              <w:rPr>
                <w:rFonts w:ascii="宋体"/>
              </w:rPr>
            </w:pPr>
          </w:p>
        </w:tc>
        <w:tc>
          <w:tcPr>
            <w:tcW w:w="0" w:type="auto"/>
            <w:shd w:val="clear" w:color="auto" w:fill="auto"/>
            <w:vAlign w:val="bottom"/>
          </w:tcPr>
          <w:p w14:paraId="392C4A5F" w14:textId="77777777" w:rsidR="00980E5F" w:rsidRDefault="00980E5F">
            <w:pPr>
              <w:rPr>
                <w:rFonts w:ascii="宋体"/>
              </w:rPr>
            </w:pPr>
          </w:p>
        </w:tc>
        <w:tc>
          <w:tcPr>
            <w:tcW w:w="0" w:type="auto"/>
            <w:shd w:val="clear" w:color="auto" w:fill="auto"/>
            <w:vAlign w:val="bottom"/>
          </w:tcPr>
          <w:p w14:paraId="392C4A60" w14:textId="77777777" w:rsidR="00980E5F" w:rsidRDefault="00980E5F">
            <w:pPr>
              <w:rPr>
                <w:rFonts w:ascii="宋体"/>
              </w:rPr>
            </w:pPr>
          </w:p>
        </w:tc>
        <w:tc>
          <w:tcPr>
            <w:tcW w:w="0" w:type="auto"/>
            <w:shd w:val="clear" w:color="auto" w:fill="auto"/>
            <w:vAlign w:val="bottom"/>
          </w:tcPr>
          <w:p w14:paraId="392C4A61" w14:textId="77777777" w:rsidR="00980E5F" w:rsidRDefault="00980E5F">
            <w:pPr>
              <w:rPr>
                <w:rFonts w:ascii="宋体"/>
              </w:rPr>
            </w:pPr>
          </w:p>
        </w:tc>
        <w:tc>
          <w:tcPr>
            <w:tcW w:w="0" w:type="auto"/>
            <w:shd w:val="clear" w:color="auto" w:fill="auto"/>
            <w:vAlign w:val="bottom"/>
          </w:tcPr>
          <w:p w14:paraId="392C4A62" w14:textId="77777777" w:rsidR="00980E5F" w:rsidRDefault="00980E5F">
            <w:pPr>
              <w:rPr>
                <w:rFonts w:ascii="宋体"/>
              </w:rPr>
            </w:pPr>
          </w:p>
        </w:tc>
        <w:tc>
          <w:tcPr>
            <w:tcW w:w="0" w:type="auto"/>
            <w:shd w:val="clear" w:color="auto" w:fill="auto"/>
            <w:vAlign w:val="bottom"/>
          </w:tcPr>
          <w:p w14:paraId="392C4A63" w14:textId="77777777" w:rsidR="00980E5F" w:rsidRDefault="00980E5F">
            <w:pPr>
              <w:rPr>
                <w:rFonts w:ascii="宋体"/>
              </w:rPr>
            </w:pPr>
          </w:p>
        </w:tc>
        <w:tc>
          <w:tcPr>
            <w:tcW w:w="0" w:type="auto"/>
            <w:shd w:val="clear" w:color="auto" w:fill="auto"/>
            <w:vAlign w:val="bottom"/>
          </w:tcPr>
          <w:p w14:paraId="392C4A64" w14:textId="77777777" w:rsidR="00980E5F" w:rsidRDefault="00980E5F">
            <w:pPr>
              <w:rPr>
                <w:rFonts w:ascii="宋体"/>
              </w:rPr>
            </w:pPr>
          </w:p>
        </w:tc>
        <w:tc>
          <w:tcPr>
            <w:tcW w:w="0" w:type="auto"/>
            <w:shd w:val="clear" w:color="auto" w:fill="auto"/>
            <w:vAlign w:val="bottom"/>
          </w:tcPr>
          <w:p w14:paraId="392C4A65" w14:textId="77777777" w:rsidR="00980E5F" w:rsidRDefault="00980E5F">
            <w:pPr>
              <w:rPr>
                <w:rFonts w:ascii="宋体"/>
              </w:rPr>
            </w:pPr>
          </w:p>
        </w:tc>
        <w:tc>
          <w:tcPr>
            <w:tcW w:w="0" w:type="auto"/>
            <w:shd w:val="clear" w:color="auto" w:fill="auto"/>
            <w:vAlign w:val="bottom"/>
          </w:tcPr>
          <w:p w14:paraId="392C4A66" w14:textId="77777777" w:rsidR="00980E5F" w:rsidRDefault="00980E5F">
            <w:pPr>
              <w:rPr>
                <w:rFonts w:ascii="宋体"/>
              </w:rPr>
            </w:pPr>
          </w:p>
        </w:tc>
        <w:tc>
          <w:tcPr>
            <w:tcW w:w="0" w:type="auto"/>
            <w:shd w:val="clear" w:color="auto" w:fill="auto"/>
            <w:vAlign w:val="bottom"/>
          </w:tcPr>
          <w:p w14:paraId="392C4A67" w14:textId="77777777" w:rsidR="00980E5F" w:rsidRDefault="00980E5F">
            <w:pPr>
              <w:rPr>
                <w:rFonts w:ascii="宋体"/>
              </w:rPr>
            </w:pPr>
          </w:p>
        </w:tc>
        <w:tc>
          <w:tcPr>
            <w:tcW w:w="0" w:type="auto"/>
            <w:shd w:val="clear" w:color="auto" w:fill="auto"/>
            <w:vAlign w:val="bottom"/>
          </w:tcPr>
          <w:p w14:paraId="392C4A68" w14:textId="77777777" w:rsidR="00980E5F" w:rsidRDefault="00980E5F">
            <w:pPr>
              <w:rPr>
                <w:rFonts w:ascii="宋体"/>
              </w:rPr>
            </w:pPr>
          </w:p>
        </w:tc>
        <w:tc>
          <w:tcPr>
            <w:tcW w:w="0" w:type="auto"/>
            <w:shd w:val="clear" w:color="auto" w:fill="auto"/>
            <w:vAlign w:val="bottom"/>
          </w:tcPr>
          <w:p w14:paraId="392C4A69" w14:textId="77777777" w:rsidR="00980E5F" w:rsidRDefault="00980E5F">
            <w:pPr>
              <w:rPr>
                <w:rFonts w:ascii="宋体"/>
              </w:rPr>
            </w:pPr>
          </w:p>
        </w:tc>
        <w:tc>
          <w:tcPr>
            <w:tcW w:w="0" w:type="auto"/>
            <w:shd w:val="clear" w:color="auto" w:fill="auto"/>
            <w:vAlign w:val="bottom"/>
          </w:tcPr>
          <w:p w14:paraId="392C4A6A" w14:textId="77777777" w:rsidR="00980E5F" w:rsidRDefault="00980E5F">
            <w:pPr>
              <w:rPr>
                <w:rFonts w:ascii="宋体"/>
              </w:rPr>
            </w:pPr>
          </w:p>
        </w:tc>
        <w:tc>
          <w:tcPr>
            <w:tcW w:w="0" w:type="auto"/>
            <w:shd w:val="clear" w:color="auto" w:fill="auto"/>
            <w:vAlign w:val="bottom"/>
          </w:tcPr>
          <w:p w14:paraId="392C4A6B" w14:textId="77777777" w:rsidR="00980E5F" w:rsidRDefault="00980E5F">
            <w:pPr>
              <w:rPr>
                <w:rFonts w:ascii="宋体"/>
              </w:rPr>
            </w:pPr>
          </w:p>
        </w:tc>
        <w:tc>
          <w:tcPr>
            <w:tcW w:w="0" w:type="auto"/>
            <w:shd w:val="clear" w:color="auto" w:fill="auto"/>
            <w:vAlign w:val="bottom"/>
          </w:tcPr>
          <w:p w14:paraId="392C4A6C" w14:textId="77777777" w:rsidR="00980E5F" w:rsidRDefault="00980E5F">
            <w:pPr>
              <w:rPr>
                <w:rFonts w:ascii="宋体"/>
              </w:rPr>
            </w:pPr>
          </w:p>
        </w:tc>
        <w:tc>
          <w:tcPr>
            <w:tcW w:w="0" w:type="auto"/>
            <w:shd w:val="clear" w:color="auto" w:fill="auto"/>
            <w:vAlign w:val="bottom"/>
          </w:tcPr>
          <w:p w14:paraId="392C4A6D" w14:textId="77777777" w:rsidR="00980E5F" w:rsidRDefault="00980E5F">
            <w:pPr>
              <w:rPr>
                <w:rFonts w:ascii="宋体"/>
              </w:rPr>
            </w:pPr>
          </w:p>
        </w:tc>
      </w:tr>
      <w:tr w:rsidR="00980E5F" w14:paraId="392C4AAA" w14:textId="77777777">
        <w:trPr>
          <w:hidden/>
        </w:trPr>
        <w:tc>
          <w:tcPr>
            <w:tcW w:w="0" w:type="auto"/>
            <w:gridSpan w:val="3"/>
            <w:shd w:val="clear" w:color="auto" w:fill="auto"/>
            <w:vAlign w:val="bottom"/>
          </w:tcPr>
          <w:p w14:paraId="392C4A6F" w14:textId="77777777" w:rsidR="00980E5F" w:rsidRDefault="00980E5F">
            <w:pPr>
              <w:rPr>
                <w:rFonts w:ascii="宋体"/>
                <w:vanish/>
              </w:rPr>
            </w:pPr>
          </w:p>
        </w:tc>
        <w:tc>
          <w:tcPr>
            <w:tcW w:w="0" w:type="auto"/>
            <w:gridSpan w:val="3"/>
            <w:shd w:val="clear" w:color="auto" w:fill="auto"/>
            <w:vAlign w:val="bottom"/>
          </w:tcPr>
          <w:p w14:paraId="392C4A70" w14:textId="77777777" w:rsidR="00980E5F" w:rsidRDefault="00980E5F">
            <w:pPr>
              <w:rPr>
                <w:rFonts w:ascii="宋体"/>
                <w:vanish/>
              </w:rPr>
            </w:pPr>
          </w:p>
        </w:tc>
        <w:tc>
          <w:tcPr>
            <w:tcW w:w="0" w:type="auto"/>
            <w:shd w:val="clear" w:color="auto" w:fill="auto"/>
            <w:vAlign w:val="bottom"/>
          </w:tcPr>
          <w:p w14:paraId="392C4A71" w14:textId="77777777" w:rsidR="00980E5F" w:rsidRDefault="00980E5F">
            <w:pPr>
              <w:rPr>
                <w:rFonts w:ascii="宋体"/>
              </w:rPr>
            </w:pPr>
          </w:p>
        </w:tc>
        <w:tc>
          <w:tcPr>
            <w:tcW w:w="0" w:type="auto"/>
            <w:shd w:val="clear" w:color="auto" w:fill="auto"/>
            <w:vAlign w:val="bottom"/>
          </w:tcPr>
          <w:p w14:paraId="392C4A72" w14:textId="77777777" w:rsidR="00980E5F" w:rsidRDefault="00980E5F">
            <w:pPr>
              <w:rPr>
                <w:rFonts w:ascii="宋体"/>
              </w:rPr>
            </w:pPr>
          </w:p>
        </w:tc>
        <w:tc>
          <w:tcPr>
            <w:tcW w:w="0" w:type="auto"/>
            <w:shd w:val="clear" w:color="auto" w:fill="auto"/>
            <w:vAlign w:val="bottom"/>
          </w:tcPr>
          <w:p w14:paraId="392C4A73" w14:textId="77777777" w:rsidR="00980E5F" w:rsidRDefault="00980E5F">
            <w:pPr>
              <w:rPr>
                <w:rFonts w:ascii="宋体"/>
              </w:rPr>
            </w:pPr>
          </w:p>
        </w:tc>
        <w:tc>
          <w:tcPr>
            <w:tcW w:w="0" w:type="auto"/>
            <w:shd w:val="clear" w:color="auto" w:fill="auto"/>
            <w:vAlign w:val="bottom"/>
          </w:tcPr>
          <w:p w14:paraId="392C4A74" w14:textId="77777777" w:rsidR="00980E5F" w:rsidRDefault="00980E5F">
            <w:pPr>
              <w:rPr>
                <w:rFonts w:ascii="宋体"/>
              </w:rPr>
            </w:pPr>
          </w:p>
        </w:tc>
        <w:tc>
          <w:tcPr>
            <w:tcW w:w="0" w:type="auto"/>
            <w:shd w:val="clear" w:color="auto" w:fill="auto"/>
            <w:vAlign w:val="bottom"/>
          </w:tcPr>
          <w:p w14:paraId="392C4A75" w14:textId="77777777" w:rsidR="00980E5F" w:rsidRDefault="00980E5F">
            <w:pPr>
              <w:rPr>
                <w:rFonts w:ascii="宋体"/>
              </w:rPr>
            </w:pPr>
          </w:p>
        </w:tc>
        <w:tc>
          <w:tcPr>
            <w:tcW w:w="0" w:type="auto"/>
            <w:shd w:val="clear" w:color="auto" w:fill="auto"/>
            <w:vAlign w:val="bottom"/>
          </w:tcPr>
          <w:p w14:paraId="392C4A76" w14:textId="77777777" w:rsidR="00980E5F" w:rsidRDefault="00980E5F">
            <w:pPr>
              <w:rPr>
                <w:rFonts w:ascii="宋体"/>
              </w:rPr>
            </w:pPr>
          </w:p>
        </w:tc>
        <w:tc>
          <w:tcPr>
            <w:tcW w:w="0" w:type="auto"/>
            <w:shd w:val="clear" w:color="auto" w:fill="auto"/>
            <w:vAlign w:val="bottom"/>
          </w:tcPr>
          <w:p w14:paraId="392C4A77" w14:textId="77777777" w:rsidR="00980E5F" w:rsidRDefault="00980E5F">
            <w:pPr>
              <w:rPr>
                <w:rFonts w:ascii="宋体"/>
              </w:rPr>
            </w:pPr>
          </w:p>
        </w:tc>
        <w:tc>
          <w:tcPr>
            <w:tcW w:w="0" w:type="auto"/>
            <w:shd w:val="clear" w:color="auto" w:fill="auto"/>
            <w:vAlign w:val="bottom"/>
          </w:tcPr>
          <w:p w14:paraId="392C4A78" w14:textId="77777777" w:rsidR="00980E5F" w:rsidRDefault="00980E5F">
            <w:pPr>
              <w:rPr>
                <w:rFonts w:ascii="宋体"/>
              </w:rPr>
            </w:pPr>
          </w:p>
        </w:tc>
        <w:tc>
          <w:tcPr>
            <w:tcW w:w="0" w:type="auto"/>
            <w:shd w:val="clear" w:color="auto" w:fill="auto"/>
            <w:vAlign w:val="bottom"/>
          </w:tcPr>
          <w:p w14:paraId="392C4A79" w14:textId="77777777" w:rsidR="00980E5F" w:rsidRDefault="00980E5F">
            <w:pPr>
              <w:rPr>
                <w:rFonts w:ascii="宋体"/>
              </w:rPr>
            </w:pPr>
          </w:p>
        </w:tc>
        <w:tc>
          <w:tcPr>
            <w:tcW w:w="0" w:type="auto"/>
            <w:shd w:val="clear" w:color="auto" w:fill="auto"/>
            <w:vAlign w:val="bottom"/>
          </w:tcPr>
          <w:p w14:paraId="392C4A7A" w14:textId="77777777" w:rsidR="00980E5F" w:rsidRDefault="00980E5F">
            <w:pPr>
              <w:rPr>
                <w:rFonts w:ascii="宋体"/>
              </w:rPr>
            </w:pPr>
          </w:p>
        </w:tc>
        <w:tc>
          <w:tcPr>
            <w:tcW w:w="0" w:type="auto"/>
            <w:shd w:val="clear" w:color="auto" w:fill="auto"/>
            <w:vAlign w:val="bottom"/>
          </w:tcPr>
          <w:p w14:paraId="392C4A7B" w14:textId="77777777" w:rsidR="00980E5F" w:rsidRDefault="00980E5F">
            <w:pPr>
              <w:rPr>
                <w:rFonts w:ascii="宋体"/>
              </w:rPr>
            </w:pPr>
          </w:p>
        </w:tc>
        <w:tc>
          <w:tcPr>
            <w:tcW w:w="0" w:type="auto"/>
            <w:shd w:val="clear" w:color="auto" w:fill="auto"/>
            <w:vAlign w:val="bottom"/>
          </w:tcPr>
          <w:p w14:paraId="392C4A7C" w14:textId="77777777" w:rsidR="00980E5F" w:rsidRDefault="00980E5F">
            <w:pPr>
              <w:rPr>
                <w:rFonts w:ascii="宋体"/>
              </w:rPr>
            </w:pPr>
          </w:p>
        </w:tc>
        <w:tc>
          <w:tcPr>
            <w:tcW w:w="0" w:type="auto"/>
            <w:shd w:val="clear" w:color="auto" w:fill="auto"/>
            <w:vAlign w:val="bottom"/>
          </w:tcPr>
          <w:p w14:paraId="392C4A7D" w14:textId="77777777" w:rsidR="00980E5F" w:rsidRDefault="00980E5F">
            <w:pPr>
              <w:rPr>
                <w:rFonts w:ascii="宋体"/>
              </w:rPr>
            </w:pPr>
          </w:p>
        </w:tc>
        <w:tc>
          <w:tcPr>
            <w:tcW w:w="0" w:type="auto"/>
            <w:shd w:val="clear" w:color="auto" w:fill="auto"/>
            <w:vAlign w:val="bottom"/>
          </w:tcPr>
          <w:p w14:paraId="392C4A7E" w14:textId="77777777" w:rsidR="00980E5F" w:rsidRDefault="00980E5F">
            <w:pPr>
              <w:rPr>
                <w:rFonts w:ascii="宋体"/>
              </w:rPr>
            </w:pPr>
          </w:p>
        </w:tc>
        <w:tc>
          <w:tcPr>
            <w:tcW w:w="0" w:type="auto"/>
            <w:shd w:val="clear" w:color="auto" w:fill="auto"/>
            <w:vAlign w:val="bottom"/>
          </w:tcPr>
          <w:p w14:paraId="392C4A7F" w14:textId="77777777" w:rsidR="00980E5F" w:rsidRDefault="00980E5F">
            <w:pPr>
              <w:rPr>
                <w:rFonts w:ascii="宋体"/>
              </w:rPr>
            </w:pPr>
          </w:p>
        </w:tc>
        <w:tc>
          <w:tcPr>
            <w:tcW w:w="0" w:type="auto"/>
            <w:shd w:val="clear" w:color="auto" w:fill="auto"/>
            <w:vAlign w:val="bottom"/>
          </w:tcPr>
          <w:p w14:paraId="392C4A80" w14:textId="77777777" w:rsidR="00980E5F" w:rsidRDefault="00980E5F">
            <w:pPr>
              <w:rPr>
                <w:rFonts w:ascii="宋体"/>
              </w:rPr>
            </w:pPr>
          </w:p>
        </w:tc>
        <w:tc>
          <w:tcPr>
            <w:tcW w:w="0" w:type="auto"/>
            <w:shd w:val="clear" w:color="auto" w:fill="auto"/>
            <w:vAlign w:val="bottom"/>
          </w:tcPr>
          <w:p w14:paraId="392C4A81" w14:textId="77777777" w:rsidR="00980E5F" w:rsidRDefault="00980E5F">
            <w:pPr>
              <w:rPr>
                <w:rFonts w:ascii="宋体"/>
              </w:rPr>
            </w:pPr>
          </w:p>
        </w:tc>
        <w:tc>
          <w:tcPr>
            <w:tcW w:w="0" w:type="auto"/>
            <w:shd w:val="clear" w:color="auto" w:fill="auto"/>
            <w:vAlign w:val="bottom"/>
          </w:tcPr>
          <w:p w14:paraId="392C4A82" w14:textId="77777777" w:rsidR="00980E5F" w:rsidRDefault="00980E5F">
            <w:pPr>
              <w:rPr>
                <w:rFonts w:ascii="宋体"/>
              </w:rPr>
            </w:pPr>
          </w:p>
        </w:tc>
        <w:tc>
          <w:tcPr>
            <w:tcW w:w="0" w:type="auto"/>
            <w:shd w:val="clear" w:color="auto" w:fill="auto"/>
            <w:vAlign w:val="bottom"/>
          </w:tcPr>
          <w:p w14:paraId="392C4A83" w14:textId="77777777" w:rsidR="00980E5F" w:rsidRDefault="00980E5F">
            <w:pPr>
              <w:rPr>
                <w:rFonts w:ascii="宋体"/>
              </w:rPr>
            </w:pPr>
          </w:p>
        </w:tc>
        <w:tc>
          <w:tcPr>
            <w:tcW w:w="0" w:type="auto"/>
            <w:shd w:val="clear" w:color="auto" w:fill="auto"/>
            <w:vAlign w:val="bottom"/>
          </w:tcPr>
          <w:p w14:paraId="392C4A84" w14:textId="77777777" w:rsidR="00980E5F" w:rsidRDefault="00980E5F">
            <w:pPr>
              <w:rPr>
                <w:rFonts w:ascii="宋体"/>
              </w:rPr>
            </w:pPr>
          </w:p>
        </w:tc>
        <w:tc>
          <w:tcPr>
            <w:tcW w:w="0" w:type="auto"/>
            <w:shd w:val="clear" w:color="auto" w:fill="auto"/>
            <w:vAlign w:val="bottom"/>
          </w:tcPr>
          <w:p w14:paraId="392C4A85" w14:textId="77777777" w:rsidR="00980E5F" w:rsidRDefault="00980E5F">
            <w:pPr>
              <w:rPr>
                <w:rFonts w:ascii="宋体"/>
              </w:rPr>
            </w:pPr>
          </w:p>
        </w:tc>
        <w:tc>
          <w:tcPr>
            <w:tcW w:w="0" w:type="auto"/>
            <w:shd w:val="clear" w:color="auto" w:fill="auto"/>
            <w:vAlign w:val="bottom"/>
          </w:tcPr>
          <w:p w14:paraId="392C4A86" w14:textId="77777777" w:rsidR="00980E5F" w:rsidRDefault="00980E5F">
            <w:pPr>
              <w:rPr>
                <w:rFonts w:ascii="宋体"/>
              </w:rPr>
            </w:pPr>
          </w:p>
        </w:tc>
        <w:tc>
          <w:tcPr>
            <w:tcW w:w="0" w:type="auto"/>
            <w:shd w:val="clear" w:color="auto" w:fill="auto"/>
            <w:vAlign w:val="bottom"/>
          </w:tcPr>
          <w:p w14:paraId="392C4A87" w14:textId="77777777" w:rsidR="00980E5F" w:rsidRDefault="00980E5F">
            <w:pPr>
              <w:rPr>
                <w:rFonts w:ascii="宋体"/>
              </w:rPr>
            </w:pPr>
          </w:p>
        </w:tc>
        <w:tc>
          <w:tcPr>
            <w:tcW w:w="0" w:type="auto"/>
            <w:shd w:val="clear" w:color="auto" w:fill="auto"/>
            <w:vAlign w:val="bottom"/>
          </w:tcPr>
          <w:p w14:paraId="392C4A88" w14:textId="77777777" w:rsidR="00980E5F" w:rsidRDefault="00980E5F">
            <w:pPr>
              <w:rPr>
                <w:rFonts w:ascii="宋体"/>
              </w:rPr>
            </w:pPr>
          </w:p>
        </w:tc>
        <w:tc>
          <w:tcPr>
            <w:tcW w:w="0" w:type="auto"/>
            <w:shd w:val="clear" w:color="auto" w:fill="auto"/>
            <w:vAlign w:val="bottom"/>
          </w:tcPr>
          <w:p w14:paraId="392C4A89" w14:textId="77777777" w:rsidR="00980E5F" w:rsidRDefault="00980E5F">
            <w:pPr>
              <w:rPr>
                <w:rFonts w:ascii="宋体"/>
              </w:rPr>
            </w:pPr>
          </w:p>
        </w:tc>
        <w:tc>
          <w:tcPr>
            <w:tcW w:w="0" w:type="auto"/>
            <w:shd w:val="clear" w:color="auto" w:fill="auto"/>
            <w:vAlign w:val="bottom"/>
          </w:tcPr>
          <w:p w14:paraId="392C4A8A" w14:textId="77777777" w:rsidR="00980E5F" w:rsidRDefault="00980E5F">
            <w:pPr>
              <w:rPr>
                <w:rFonts w:ascii="宋体"/>
              </w:rPr>
            </w:pPr>
          </w:p>
        </w:tc>
        <w:tc>
          <w:tcPr>
            <w:tcW w:w="0" w:type="auto"/>
            <w:shd w:val="clear" w:color="auto" w:fill="auto"/>
            <w:vAlign w:val="bottom"/>
          </w:tcPr>
          <w:p w14:paraId="392C4A8B" w14:textId="77777777" w:rsidR="00980E5F" w:rsidRDefault="00980E5F">
            <w:pPr>
              <w:rPr>
                <w:rFonts w:ascii="宋体"/>
              </w:rPr>
            </w:pPr>
          </w:p>
        </w:tc>
        <w:tc>
          <w:tcPr>
            <w:tcW w:w="0" w:type="auto"/>
            <w:shd w:val="clear" w:color="auto" w:fill="auto"/>
            <w:vAlign w:val="bottom"/>
          </w:tcPr>
          <w:p w14:paraId="392C4A8C" w14:textId="77777777" w:rsidR="00980E5F" w:rsidRDefault="00980E5F">
            <w:pPr>
              <w:rPr>
                <w:rFonts w:ascii="宋体"/>
              </w:rPr>
            </w:pPr>
          </w:p>
        </w:tc>
        <w:tc>
          <w:tcPr>
            <w:tcW w:w="0" w:type="auto"/>
            <w:shd w:val="clear" w:color="auto" w:fill="auto"/>
            <w:vAlign w:val="bottom"/>
          </w:tcPr>
          <w:p w14:paraId="392C4A8D" w14:textId="77777777" w:rsidR="00980E5F" w:rsidRDefault="00980E5F">
            <w:pPr>
              <w:rPr>
                <w:rFonts w:ascii="宋体"/>
              </w:rPr>
            </w:pPr>
          </w:p>
        </w:tc>
        <w:tc>
          <w:tcPr>
            <w:tcW w:w="0" w:type="auto"/>
            <w:shd w:val="clear" w:color="auto" w:fill="auto"/>
            <w:vAlign w:val="bottom"/>
          </w:tcPr>
          <w:p w14:paraId="392C4A8E" w14:textId="77777777" w:rsidR="00980E5F" w:rsidRDefault="00980E5F">
            <w:pPr>
              <w:rPr>
                <w:rFonts w:ascii="宋体"/>
              </w:rPr>
            </w:pPr>
          </w:p>
        </w:tc>
        <w:tc>
          <w:tcPr>
            <w:tcW w:w="0" w:type="auto"/>
            <w:shd w:val="clear" w:color="auto" w:fill="auto"/>
            <w:vAlign w:val="bottom"/>
          </w:tcPr>
          <w:p w14:paraId="392C4A8F" w14:textId="77777777" w:rsidR="00980E5F" w:rsidRDefault="00980E5F">
            <w:pPr>
              <w:rPr>
                <w:rFonts w:ascii="宋体"/>
              </w:rPr>
            </w:pPr>
          </w:p>
        </w:tc>
        <w:tc>
          <w:tcPr>
            <w:tcW w:w="0" w:type="auto"/>
            <w:shd w:val="clear" w:color="auto" w:fill="auto"/>
            <w:vAlign w:val="bottom"/>
          </w:tcPr>
          <w:p w14:paraId="392C4A90" w14:textId="77777777" w:rsidR="00980E5F" w:rsidRDefault="00980E5F">
            <w:pPr>
              <w:rPr>
                <w:rFonts w:ascii="宋体"/>
              </w:rPr>
            </w:pPr>
          </w:p>
        </w:tc>
        <w:tc>
          <w:tcPr>
            <w:tcW w:w="0" w:type="auto"/>
            <w:shd w:val="clear" w:color="auto" w:fill="auto"/>
            <w:vAlign w:val="bottom"/>
          </w:tcPr>
          <w:p w14:paraId="392C4A91" w14:textId="77777777" w:rsidR="00980E5F" w:rsidRDefault="00980E5F">
            <w:pPr>
              <w:rPr>
                <w:rFonts w:ascii="宋体"/>
              </w:rPr>
            </w:pPr>
          </w:p>
        </w:tc>
        <w:tc>
          <w:tcPr>
            <w:tcW w:w="0" w:type="auto"/>
            <w:shd w:val="clear" w:color="auto" w:fill="auto"/>
            <w:vAlign w:val="bottom"/>
          </w:tcPr>
          <w:p w14:paraId="392C4A92" w14:textId="77777777" w:rsidR="00980E5F" w:rsidRDefault="00980E5F">
            <w:pPr>
              <w:rPr>
                <w:rFonts w:ascii="宋体"/>
              </w:rPr>
            </w:pPr>
          </w:p>
        </w:tc>
        <w:tc>
          <w:tcPr>
            <w:tcW w:w="0" w:type="auto"/>
            <w:shd w:val="clear" w:color="auto" w:fill="auto"/>
            <w:vAlign w:val="bottom"/>
          </w:tcPr>
          <w:p w14:paraId="392C4A93" w14:textId="77777777" w:rsidR="00980E5F" w:rsidRDefault="00980E5F">
            <w:pPr>
              <w:rPr>
                <w:rFonts w:ascii="宋体"/>
              </w:rPr>
            </w:pPr>
          </w:p>
        </w:tc>
        <w:tc>
          <w:tcPr>
            <w:tcW w:w="0" w:type="auto"/>
            <w:shd w:val="clear" w:color="auto" w:fill="auto"/>
            <w:vAlign w:val="bottom"/>
          </w:tcPr>
          <w:p w14:paraId="392C4A94" w14:textId="77777777" w:rsidR="00980E5F" w:rsidRDefault="00980E5F">
            <w:pPr>
              <w:rPr>
                <w:rFonts w:ascii="宋体"/>
              </w:rPr>
            </w:pPr>
          </w:p>
        </w:tc>
        <w:tc>
          <w:tcPr>
            <w:tcW w:w="0" w:type="auto"/>
            <w:shd w:val="clear" w:color="auto" w:fill="auto"/>
            <w:vAlign w:val="bottom"/>
          </w:tcPr>
          <w:p w14:paraId="392C4A95" w14:textId="77777777" w:rsidR="00980E5F" w:rsidRDefault="00980E5F">
            <w:pPr>
              <w:rPr>
                <w:rFonts w:ascii="宋体"/>
              </w:rPr>
            </w:pPr>
          </w:p>
        </w:tc>
        <w:tc>
          <w:tcPr>
            <w:tcW w:w="0" w:type="auto"/>
            <w:shd w:val="clear" w:color="auto" w:fill="auto"/>
            <w:vAlign w:val="bottom"/>
          </w:tcPr>
          <w:p w14:paraId="392C4A96" w14:textId="77777777" w:rsidR="00980E5F" w:rsidRDefault="00980E5F">
            <w:pPr>
              <w:rPr>
                <w:rFonts w:ascii="宋体"/>
              </w:rPr>
            </w:pPr>
          </w:p>
        </w:tc>
        <w:tc>
          <w:tcPr>
            <w:tcW w:w="0" w:type="auto"/>
            <w:shd w:val="clear" w:color="auto" w:fill="auto"/>
            <w:vAlign w:val="bottom"/>
          </w:tcPr>
          <w:p w14:paraId="392C4A97" w14:textId="77777777" w:rsidR="00980E5F" w:rsidRDefault="00980E5F">
            <w:pPr>
              <w:rPr>
                <w:rFonts w:ascii="宋体"/>
              </w:rPr>
            </w:pPr>
          </w:p>
        </w:tc>
        <w:tc>
          <w:tcPr>
            <w:tcW w:w="0" w:type="auto"/>
            <w:shd w:val="clear" w:color="auto" w:fill="auto"/>
            <w:vAlign w:val="bottom"/>
          </w:tcPr>
          <w:p w14:paraId="392C4A98" w14:textId="77777777" w:rsidR="00980E5F" w:rsidRDefault="00980E5F">
            <w:pPr>
              <w:rPr>
                <w:rFonts w:ascii="宋体"/>
              </w:rPr>
            </w:pPr>
          </w:p>
        </w:tc>
        <w:tc>
          <w:tcPr>
            <w:tcW w:w="0" w:type="auto"/>
            <w:shd w:val="clear" w:color="auto" w:fill="auto"/>
            <w:vAlign w:val="bottom"/>
          </w:tcPr>
          <w:p w14:paraId="392C4A99" w14:textId="77777777" w:rsidR="00980E5F" w:rsidRDefault="00980E5F">
            <w:pPr>
              <w:rPr>
                <w:rFonts w:ascii="宋体"/>
              </w:rPr>
            </w:pPr>
          </w:p>
        </w:tc>
        <w:tc>
          <w:tcPr>
            <w:tcW w:w="0" w:type="auto"/>
            <w:shd w:val="clear" w:color="auto" w:fill="auto"/>
            <w:vAlign w:val="bottom"/>
          </w:tcPr>
          <w:p w14:paraId="392C4A9A" w14:textId="77777777" w:rsidR="00980E5F" w:rsidRDefault="00980E5F">
            <w:pPr>
              <w:rPr>
                <w:rFonts w:ascii="宋体"/>
              </w:rPr>
            </w:pPr>
          </w:p>
        </w:tc>
        <w:tc>
          <w:tcPr>
            <w:tcW w:w="0" w:type="auto"/>
            <w:shd w:val="clear" w:color="auto" w:fill="auto"/>
            <w:vAlign w:val="bottom"/>
          </w:tcPr>
          <w:p w14:paraId="392C4A9B" w14:textId="77777777" w:rsidR="00980E5F" w:rsidRDefault="00980E5F">
            <w:pPr>
              <w:rPr>
                <w:rFonts w:ascii="宋体"/>
              </w:rPr>
            </w:pPr>
          </w:p>
        </w:tc>
        <w:tc>
          <w:tcPr>
            <w:tcW w:w="0" w:type="auto"/>
            <w:shd w:val="clear" w:color="auto" w:fill="auto"/>
            <w:vAlign w:val="bottom"/>
          </w:tcPr>
          <w:p w14:paraId="392C4A9C" w14:textId="77777777" w:rsidR="00980E5F" w:rsidRDefault="00980E5F">
            <w:pPr>
              <w:rPr>
                <w:rFonts w:ascii="宋体"/>
              </w:rPr>
            </w:pPr>
          </w:p>
        </w:tc>
        <w:tc>
          <w:tcPr>
            <w:tcW w:w="0" w:type="auto"/>
            <w:shd w:val="clear" w:color="auto" w:fill="auto"/>
            <w:vAlign w:val="bottom"/>
          </w:tcPr>
          <w:p w14:paraId="392C4A9D" w14:textId="77777777" w:rsidR="00980E5F" w:rsidRDefault="00980E5F">
            <w:pPr>
              <w:rPr>
                <w:rFonts w:ascii="宋体"/>
              </w:rPr>
            </w:pPr>
          </w:p>
        </w:tc>
        <w:tc>
          <w:tcPr>
            <w:tcW w:w="0" w:type="auto"/>
            <w:shd w:val="clear" w:color="auto" w:fill="auto"/>
            <w:vAlign w:val="bottom"/>
          </w:tcPr>
          <w:p w14:paraId="392C4A9E" w14:textId="77777777" w:rsidR="00980E5F" w:rsidRDefault="00980E5F">
            <w:pPr>
              <w:rPr>
                <w:rFonts w:ascii="宋体"/>
              </w:rPr>
            </w:pPr>
          </w:p>
        </w:tc>
        <w:tc>
          <w:tcPr>
            <w:tcW w:w="0" w:type="auto"/>
            <w:shd w:val="clear" w:color="auto" w:fill="auto"/>
            <w:vAlign w:val="bottom"/>
          </w:tcPr>
          <w:p w14:paraId="392C4A9F" w14:textId="77777777" w:rsidR="00980E5F" w:rsidRDefault="00980E5F">
            <w:pPr>
              <w:rPr>
                <w:rFonts w:ascii="宋体"/>
              </w:rPr>
            </w:pPr>
          </w:p>
        </w:tc>
        <w:tc>
          <w:tcPr>
            <w:tcW w:w="0" w:type="auto"/>
            <w:shd w:val="clear" w:color="auto" w:fill="auto"/>
            <w:vAlign w:val="bottom"/>
          </w:tcPr>
          <w:p w14:paraId="392C4AA0" w14:textId="77777777" w:rsidR="00980E5F" w:rsidRDefault="00980E5F">
            <w:pPr>
              <w:rPr>
                <w:rFonts w:ascii="宋体"/>
              </w:rPr>
            </w:pPr>
          </w:p>
        </w:tc>
        <w:tc>
          <w:tcPr>
            <w:tcW w:w="0" w:type="auto"/>
            <w:shd w:val="clear" w:color="auto" w:fill="auto"/>
            <w:vAlign w:val="bottom"/>
          </w:tcPr>
          <w:p w14:paraId="392C4AA1" w14:textId="77777777" w:rsidR="00980E5F" w:rsidRDefault="00980E5F">
            <w:pPr>
              <w:rPr>
                <w:rFonts w:ascii="宋体"/>
              </w:rPr>
            </w:pPr>
          </w:p>
        </w:tc>
        <w:tc>
          <w:tcPr>
            <w:tcW w:w="0" w:type="auto"/>
            <w:shd w:val="clear" w:color="auto" w:fill="auto"/>
            <w:vAlign w:val="bottom"/>
          </w:tcPr>
          <w:p w14:paraId="392C4AA2" w14:textId="77777777" w:rsidR="00980E5F" w:rsidRDefault="00980E5F">
            <w:pPr>
              <w:rPr>
                <w:rFonts w:ascii="宋体"/>
              </w:rPr>
            </w:pPr>
          </w:p>
        </w:tc>
        <w:tc>
          <w:tcPr>
            <w:tcW w:w="0" w:type="auto"/>
            <w:shd w:val="clear" w:color="auto" w:fill="auto"/>
            <w:vAlign w:val="bottom"/>
          </w:tcPr>
          <w:p w14:paraId="392C4AA3" w14:textId="77777777" w:rsidR="00980E5F" w:rsidRDefault="00980E5F">
            <w:pPr>
              <w:rPr>
                <w:rFonts w:ascii="宋体"/>
              </w:rPr>
            </w:pPr>
          </w:p>
        </w:tc>
        <w:tc>
          <w:tcPr>
            <w:tcW w:w="0" w:type="auto"/>
            <w:shd w:val="clear" w:color="auto" w:fill="auto"/>
            <w:vAlign w:val="bottom"/>
          </w:tcPr>
          <w:p w14:paraId="392C4AA4" w14:textId="77777777" w:rsidR="00980E5F" w:rsidRDefault="00980E5F">
            <w:pPr>
              <w:rPr>
                <w:rFonts w:ascii="宋体"/>
              </w:rPr>
            </w:pPr>
          </w:p>
        </w:tc>
        <w:tc>
          <w:tcPr>
            <w:tcW w:w="0" w:type="auto"/>
            <w:shd w:val="clear" w:color="auto" w:fill="auto"/>
            <w:vAlign w:val="bottom"/>
          </w:tcPr>
          <w:p w14:paraId="392C4AA5" w14:textId="77777777" w:rsidR="00980E5F" w:rsidRDefault="00980E5F">
            <w:pPr>
              <w:rPr>
                <w:rFonts w:ascii="宋体"/>
              </w:rPr>
            </w:pPr>
          </w:p>
        </w:tc>
        <w:tc>
          <w:tcPr>
            <w:tcW w:w="0" w:type="auto"/>
            <w:shd w:val="clear" w:color="auto" w:fill="auto"/>
            <w:vAlign w:val="bottom"/>
          </w:tcPr>
          <w:p w14:paraId="392C4AA6" w14:textId="77777777" w:rsidR="00980E5F" w:rsidRDefault="00980E5F">
            <w:pPr>
              <w:rPr>
                <w:rFonts w:ascii="宋体"/>
              </w:rPr>
            </w:pPr>
          </w:p>
        </w:tc>
        <w:tc>
          <w:tcPr>
            <w:tcW w:w="0" w:type="auto"/>
            <w:shd w:val="clear" w:color="auto" w:fill="auto"/>
            <w:vAlign w:val="bottom"/>
          </w:tcPr>
          <w:p w14:paraId="392C4AA7" w14:textId="77777777" w:rsidR="00980E5F" w:rsidRDefault="00980E5F">
            <w:pPr>
              <w:rPr>
                <w:rFonts w:ascii="宋体"/>
              </w:rPr>
            </w:pPr>
          </w:p>
        </w:tc>
        <w:tc>
          <w:tcPr>
            <w:tcW w:w="0" w:type="auto"/>
            <w:shd w:val="clear" w:color="auto" w:fill="auto"/>
            <w:vAlign w:val="bottom"/>
          </w:tcPr>
          <w:p w14:paraId="392C4AA8" w14:textId="77777777" w:rsidR="00980E5F" w:rsidRDefault="00980E5F">
            <w:pPr>
              <w:rPr>
                <w:rFonts w:ascii="宋体"/>
              </w:rPr>
            </w:pPr>
          </w:p>
        </w:tc>
        <w:tc>
          <w:tcPr>
            <w:tcW w:w="0" w:type="auto"/>
            <w:shd w:val="clear" w:color="auto" w:fill="auto"/>
            <w:vAlign w:val="bottom"/>
          </w:tcPr>
          <w:p w14:paraId="392C4AA9" w14:textId="77777777" w:rsidR="00980E5F" w:rsidRDefault="00980E5F">
            <w:pPr>
              <w:rPr>
                <w:rFonts w:ascii="宋体"/>
              </w:rPr>
            </w:pPr>
          </w:p>
        </w:tc>
      </w:tr>
      <w:tr w:rsidR="00980E5F" w14:paraId="392C4AC2" w14:textId="77777777">
        <w:trPr>
          <w:hidden/>
        </w:trPr>
        <w:tc>
          <w:tcPr>
            <w:tcW w:w="0" w:type="auto"/>
            <w:gridSpan w:val="3"/>
            <w:shd w:val="clear" w:color="auto" w:fill="auto"/>
            <w:vAlign w:val="bottom"/>
          </w:tcPr>
          <w:p w14:paraId="392C4AAB" w14:textId="77777777" w:rsidR="00980E5F" w:rsidRDefault="00980E5F">
            <w:pPr>
              <w:rPr>
                <w:rFonts w:ascii="宋体"/>
                <w:vanish/>
              </w:rPr>
            </w:pPr>
          </w:p>
        </w:tc>
        <w:tc>
          <w:tcPr>
            <w:tcW w:w="0" w:type="auto"/>
            <w:gridSpan w:val="3"/>
            <w:shd w:val="clear" w:color="auto" w:fill="auto"/>
            <w:vAlign w:val="bottom"/>
          </w:tcPr>
          <w:p w14:paraId="392C4AAC" w14:textId="77777777" w:rsidR="00980E5F" w:rsidRDefault="00980E5F">
            <w:pPr>
              <w:rPr>
                <w:rFonts w:ascii="宋体"/>
                <w:vanish/>
              </w:rPr>
            </w:pPr>
          </w:p>
        </w:tc>
        <w:tc>
          <w:tcPr>
            <w:tcW w:w="0" w:type="auto"/>
            <w:gridSpan w:val="3"/>
            <w:shd w:val="clear" w:color="auto" w:fill="auto"/>
            <w:vAlign w:val="bottom"/>
          </w:tcPr>
          <w:p w14:paraId="392C4AAD" w14:textId="77777777" w:rsidR="00980E5F" w:rsidRDefault="00980E5F">
            <w:pPr>
              <w:rPr>
                <w:rFonts w:ascii="宋体"/>
                <w:vanish/>
              </w:rPr>
            </w:pPr>
          </w:p>
        </w:tc>
        <w:tc>
          <w:tcPr>
            <w:tcW w:w="0" w:type="auto"/>
            <w:gridSpan w:val="3"/>
            <w:shd w:val="clear" w:color="auto" w:fill="auto"/>
            <w:vAlign w:val="bottom"/>
          </w:tcPr>
          <w:p w14:paraId="392C4AAE" w14:textId="77777777" w:rsidR="00980E5F" w:rsidRDefault="00980E5F">
            <w:pPr>
              <w:rPr>
                <w:rFonts w:ascii="宋体"/>
                <w:vanish/>
              </w:rPr>
            </w:pPr>
          </w:p>
        </w:tc>
        <w:tc>
          <w:tcPr>
            <w:tcW w:w="0" w:type="auto"/>
            <w:gridSpan w:val="3"/>
            <w:shd w:val="clear" w:color="auto" w:fill="auto"/>
            <w:vAlign w:val="bottom"/>
          </w:tcPr>
          <w:p w14:paraId="392C4AAF" w14:textId="77777777" w:rsidR="00980E5F" w:rsidRDefault="00980E5F">
            <w:pPr>
              <w:rPr>
                <w:rFonts w:ascii="宋体"/>
                <w:vanish/>
              </w:rPr>
            </w:pPr>
          </w:p>
        </w:tc>
        <w:tc>
          <w:tcPr>
            <w:tcW w:w="0" w:type="auto"/>
            <w:gridSpan w:val="3"/>
            <w:shd w:val="clear" w:color="auto" w:fill="auto"/>
            <w:vAlign w:val="bottom"/>
          </w:tcPr>
          <w:p w14:paraId="392C4AB0" w14:textId="77777777" w:rsidR="00980E5F" w:rsidRDefault="00980E5F">
            <w:pPr>
              <w:rPr>
                <w:rFonts w:ascii="宋体"/>
                <w:vanish/>
              </w:rPr>
            </w:pPr>
          </w:p>
        </w:tc>
        <w:tc>
          <w:tcPr>
            <w:tcW w:w="0" w:type="auto"/>
            <w:gridSpan w:val="3"/>
            <w:shd w:val="clear" w:color="auto" w:fill="auto"/>
            <w:vAlign w:val="bottom"/>
          </w:tcPr>
          <w:p w14:paraId="392C4AB1" w14:textId="77777777" w:rsidR="00980E5F" w:rsidRDefault="00980E5F">
            <w:pPr>
              <w:rPr>
                <w:rFonts w:ascii="宋体"/>
                <w:vanish/>
              </w:rPr>
            </w:pPr>
          </w:p>
        </w:tc>
        <w:tc>
          <w:tcPr>
            <w:tcW w:w="0" w:type="auto"/>
            <w:gridSpan w:val="3"/>
            <w:shd w:val="clear" w:color="auto" w:fill="auto"/>
            <w:vAlign w:val="bottom"/>
          </w:tcPr>
          <w:p w14:paraId="392C4AB2" w14:textId="77777777" w:rsidR="00980E5F" w:rsidRDefault="00980E5F">
            <w:pPr>
              <w:rPr>
                <w:rFonts w:ascii="宋体"/>
                <w:vanish/>
              </w:rPr>
            </w:pPr>
          </w:p>
        </w:tc>
        <w:tc>
          <w:tcPr>
            <w:tcW w:w="0" w:type="auto"/>
            <w:gridSpan w:val="3"/>
            <w:shd w:val="clear" w:color="auto" w:fill="auto"/>
            <w:vAlign w:val="bottom"/>
          </w:tcPr>
          <w:p w14:paraId="392C4AB3" w14:textId="77777777" w:rsidR="00980E5F" w:rsidRDefault="00980E5F">
            <w:pPr>
              <w:rPr>
                <w:rFonts w:ascii="宋体"/>
                <w:vanish/>
              </w:rPr>
            </w:pPr>
          </w:p>
        </w:tc>
        <w:tc>
          <w:tcPr>
            <w:tcW w:w="0" w:type="auto"/>
            <w:gridSpan w:val="3"/>
            <w:shd w:val="clear" w:color="auto" w:fill="auto"/>
            <w:vAlign w:val="bottom"/>
          </w:tcPr>
          <w:p w14:paraId="392C4AB4" w14:textId="77777777" w:rsidR="00980E5F" w:rsidRDefault="00980E5F">
            <w:pPr>
              <w:rPr>
                <w:rFonts w:ascii="宋体"/>
                <w:vanish/>
              </w:rPr>
            </w:pPr>
          </w:p>
        </w:tc>
        <w:tc>
          <w:tcPr>
            <w:tcW w:w="0" w:type="auto"/>
            <w:gridSpan w:val="3"/>
            <w:shd w:val="clear" w:color="auto" w:fill="auto"/>
            <w:vAlign w:val="bottom"/>
          </w:tcPr>
          <w:p w14:paraId="392C4AB5" w14:textId="77777777" w:rsidR="00980E5F" w:rsidRDefault="00980E5F">
            <w:pPr>
              <w:rPr>
                <w:rFonts w:ascii="宋体"/>
                <w:vanish/>
              </w:rPr>
            </w:pPr>
          </w:p>
        </w:tc>
        <w:tc>
          <w:tcPr>
            <w:tcW w:w="0" w:type="auto"/>
            <w:gridSpan w:val="3"/>
            <w:shd w:val="clear" w:color="auto" w:fill="auto"/>
            <w:vAlign w:val="bottom"/>
          </w:tcPr>
          <w:p w14:paraId="392C4AB6" w14:textId="77777777" w:rsidR="00980E5F" w:rsidRDefault="00980E5F">
            <w:pPr>
              <w:rPr>
                <w:rFonts w:ascii="宋体"/>
                <w:vanish/>
              </w:rPr>
            </w:pPr>
          </w:p>
        </w:tc>
        <w:tc>
          <w:tcPr>
            <w:tcW w:w="0" w:type="auto"/>
            <w:gridSpan w:val="3"/>
            <w:shd w:val="clear" w:color="auto" w:fill="auto"/>
            <w:vAlign w:val="bottom"/>
          </w:tcPr>
          <w:p w14:paraId="392C4AB7" w14:textId="77777777" w:rsidR="00980E5F" w:rsidRDefault="00980E5F">
            <w:pPr>
              <w:rPr>
                <w:rFonts w:ascii="宋体"/>
                <w:vanish/>
              </w:rPr>
            </w:pPr>
          </w:p>
        </w:tc>
        <w:tc>
          <w:tcPr>
            <w:tcW w:w="0" w:type="auto"/>
            <w:gridSpan w:val="3"/>
            <w:shd w:val="clear" w:color="auto" w:fill="auto"/>
            <w:vAlign w:val="bottom"/>
          </w:tcPr>
          <w:p w14:paraId="392C4AB8" w14:textId="77777777" w:rsidR="00980E5F" w:rsidRDefault="00980E5F">
            <w:pPr>
              <w:rPr>
                <w:rFonts w:ascii="宋体"/>
                <w:vanish/>
              </w:rPr>
            </w:pPr>
          </w:p>
        </w:tc>
        <w:tc>
          <w:tcPr>
            <w:tcW w:w="0" w:type="auto"/>
            <w:gridSpan w:val="3"/>
            <w:shd w:val="clear" w:color="auto" w:fill="auto"/>
            <w:vAlign w:val="bottom"/>
          </w:tcPr>
          <w:p w14:paraId="392C4AB9" w14:textId="77777777" w:rsidR="00980E5F" w:rsidRDefault="00980E5F">
            <w:pPr>
              <w:rPr>
                <w:rFonts w:ascii="宋体"/>
                <w:vanish/>
              </w:rPr>
            </w:pPr>
          </w:p>
        </w:tc>
        <w:tc>
          <w:tcPr>
            <w:tcW w:w="0" w:type="auto"/>
            <w:gridSpan w:val="3"/>
            <w:shd w:val="clear" w:color="auto" w:fill="auto"/>
            <w:vAlign w:val="bottom"/>
          </w:tcPr>
          <w:p w14:paraId="392C4ABA" w14:textId="77777777" w:rsidR="00980E5F" w:rsidRDefault="00980E5F">
            <w:pPr>
              <w:rPr>
                <w:rFonts w:ascii="宋体"/>
                <w:vanish/>
              </w:rPr>
            </w:pPr>
          </w:p>
        </w:tc>
        <w:tc>
          <w:tcPr>
            <w:tcW w:w="0" w:type="auto"/>
            <w:gridSpan w:val="3"/>
            <w:shd w:val="clear" w:color="auto" w:fill="auto"/>
            <w:vAlign w:val="bottom"/>
          </w:tcPr>
          <w:p w14:paraId="392C4ABB" w14:textId="77777777" w:rsidR="00980E5F" w:rsidRDefault="00980E5F">
            <w:pPr>
              <w:rPr>
                <w:rFonts w:ascii="宋体"/>
                <w:vanish/>
              </w:rPr>
            </w:pPr>
          </w:p>
        </w:tc>
        <w:tc>
          <w:tcPr>
            <w:tcW w:w="0" w:type="auto"/>
            <w:gridSpan w:val="3"/>
            <w:shd w:val="clear" w:color="auto" w:fill="auto"/>
            <w:vAlign w:val="bottom"/>
          </w:tcPr>
          <w:p w14:paraId="392C4ABC" w14:textId="77777777" w:rsidR="00980E5F" w:rsidRDefault="00980E5F">
            <w:pPr>
              <w:rPr>
                <w:rFonts w:ascii="宋体"/>
                <w:vanish/>
              </w:rPr>
            </w:pPr>
          </w:p>
        </w:tc>
        <w:tc>
          <w:tcPr>
            <w:tcW w:w="0" w:type="auto"/>
            <w:gridSpan w:val="3"/>
            <w:shd w:val="clear" w:color="auto" w:fill="auto"/>
            <w:vAlign w:val="bottom"/>
          </w:tcPr>
          <w:p w14:paraId="392C4ABD" w14:textId="77777777" w:rsidR="00980E5F" w:rsidRDefault="00980E5F">
            <w:pPr>
              <w:rPr>
                <w:rFonts w:ascii="宋体"/>
                <w:vanish/>
              </w:rPr>
            </w:pPr>
          </w:p>
        </w:tc>
        <w:tc>
          <w:tcPr>
            <w:tcW w:w="0" w:type="auto"/>
            <w:gridSpan w:val="3"/>
            <w:shd w:val="clear" w:color="auto" w:fill="auto"/>
            <w:vAlign w:val="bottom"/>
          </w:tcPr>
          <w:p w14:paraId="392C4ABE" w14:textId="77777777" w:rsidR="00980E5F" w:rsidRDefault="00980E5F">
            <w:pPr>
              <w:rPr>
                <w:rFonts w:ascii="宋体"/>
                <w:vanish/>
              </w:rPr>
            </w:pPr>
          </w:p>
        </w:tc>
        <w:tc>
          <w:tcPr>
            <w:tcW w:w="0" w:type="auto"/>
            <w:shd w:val="clear" w:color="auto" w:fill="auto"/>
            <w:vAlign w:val="bottom"/>
          </w:tcPr>
          <w:p w14:paraId="392C4ABF" w14:textId="77777777" w:rsidR="00980E5F" w:rsidRDefault="00980E5F">
            <w:pPr>
              <w:rPr>
                <w:rFonts w:ascii="宋体"/>
              </w:rPr>
            </w:pPr>
          </w:p>
        </w:tc>
        <w:tc>
          <w:tcPr>
            <w:tcW w:w="0" w:type="auto"/>
            <w:shd w:val="clear" w:color="auto" w:fill="auto"/>
            <w:vAlign w:val="bottom"/>
          </w:tcPr>
          <w:p w14:paraId="392C4AC0" w14:textId="77777777" w:rsidR="00980E5F" w:rsidRDefault="00980E5F">
            <w:pPr>
              <w:rPr>
                <w:rFonts w:ascii="宋体"/>
              </w:rPr>
            </w:pPr>
          </w:p>
        </w:tc>
        <w:tc>
          <w:tcPr>
            <w:tcW w:w="0" w:type="auto"/>
            <w:shd w:val="clear" w:color="auto" w:fill="auto"/>
            <w:vAlign w:val="bottom"/>
          </w:tcPr>
          <w:p w14:paraId="392C4AC1" w14:textId="77777777" w:rsidR="00980E5F" w:rsidRDefault="00980E5F">
            <w:pPr>
              <w:rPr>
                <w:rFonts w:ascii="宋体"/>
              </w:rPr>
            </w:pPr>
          </w:p>
        </w:tc>
      </w:tr>
      <w:tr w:rsidR="00980E5F" w14:paraId="392C4AE6" w14:textId="77777777">
        <w:trPr>
          <w:hidden/>
        </w:trPr>
        <w:tc>
          <w:tcPr>
            <w:tcW w:w="0" w:type="auto"/>
            <w:gridSpan w:val="3"/>
            <w:shd w:val="clear" w:color="auto" w:fill="auto"/>
            <w:vAlign w:val="bottom"/>
          </w:tcPr>
          <w:p w14:paraId="392C4AC3" w14:textId="77777777" w:rsidR="00980E5F" w:rsidRDefault="00980E5F">
            <w:pPr>
              <w:rPr>
                <w:rFonts w:ascii="宋体"/>
                <w:vanish/>
              </w:rPr>
            </w:pPr>
          </w:p>
        </w:tc>
        <w:tc>
          <w:tcPr>
            <w:tcW w:w="0" w:type="auto"/>
            <w:gridSpan w:val="3"/>
            <w:shd w:val="clear" w:color="auto" w:fill="auto"/>
            <w:vAlign w:val="bottom"/>
          </w:tcPr>
          <w:p w14:paraId="392C4AC4" w14:textId="77777777" w:rsidR="00980E5F" w:rsidRDefault="00980E5F">
            <w:pPr>
              <w:rPr>
                <w:rFonts w:ascii="宋体"/>
                <w:vanish/>
              </w:rPr>
            </w:pPr>
          </w:p>
        </w:tc>
        <w:tc>
          <w:tcPr>
            <w:tcW w:w="0" w:type="auto"/>
            <w:gridSpan w:val="3"/>
            <w:shd w:val="clear" w:color="auto" w:fill="auto"/>
            <w:vAlign w:val="bottom"/>
          </w:tcPr>
          <w:p w14:paraId="392C4AC5" w14:textId="77777777" w:rsidR="00980E5F" w:rsidRDefault="00980E5F">
            <w:pPr>
              <w:rPr>
                <w:rFonts w:ascii="宋体"/>
                <w:vanish/>
              </w:rPr>
            </w:pPr>
          </w:p>
        </w:tc>
        <w:tc>
          <w:tcPr>
            <w:tcW w:w="0" w:type="auto"/>
            <w:gridSpan w:val="3"/>
            <w:shd w:val="clear" w:color="auto" w:fill="auto"/>
            <w:vAlign w:val="bottom"/>
          </w:tcPr>
          <w:p w14:paraId="392C4AC6" w14:textId="77777777" w:rsidR="00980E5F" w:rsidRDefault="00980E5F">
            <w:pPr>
              <w:rPr>
                <w:rFonts w:ascii="宋体"/>
                <w:vanish/>
              </w:rPr>
            </w:pPr>
          </w:p>
        </w:tc>
        <w:tc>
          <w:tcPr>
            <w:tcW w:w="0" w:type="auto"/>
            <w:gridSpan w:val="3"/>
            <w:shd w:val="clear" w:color="auto" w:fill="auto"/>
            <w:vAlign w:val="bottom"/>
          </w:tcPr>
          <w:p w14:paraId="392C4AC7" w14:textId="77777777" w:rsidR="00980E5F" w:rsidRDefault="00980E5F">
            <w:pPr>
              <w:rPr>
                <w:rFonts w:ascii="宋体"/>
                <w:vanish/>
              </w:rPr>
            </w:pPr>
          </w:p>
        </w:tc>
        <w:tc>
          <w:tcPr>
            <w:tcW w:w="0" w:type="auto"/>
            <w:gridSpan w:val="3"/>
            <w:shd w:val="clear" w:color="auto" w:fill="auto"/>
            <w:vAlign w:val="bottom"/>
          </w:tcPr>
          <w:p w14:paraId="392C4AC8" w14:textId="77777777" w:rsidR="00980E5F" w:rsidRDefault="00980E5F">
            <w:pPr>
              <w:rPr>
                <w:rFonts w:ascii="宋体"/>
                <w:vanish/>
              </w:rPr>
            </w:pPr>
          </w:p>
        </w:tc>
        <w:tc>
          <w:tcPr>
            <w:tcW w:w="0" w:type="auto"/>
            <w:gridSpan w:val="3"/>
            <w:shd w:val="clear" w:color="auto" w:fill="auto"/>
            <w:vAlign w:val="bottom"/>
          </w:tcPr>
          <w:p w14:paraId="392C4AC9" w14:textId="77777777" w:rsidR="00980E5F" w:rsidRDefault="00980E5F">
            <w:pPr>
              <w:rPr>
                <w:rFonts w:ascii="宋体"/>
                <w:vanish/>
              </w:rPr>
            </w:pPr>
          </w:p>
        </w:tc>
        <w:tc>
          <w:tcPr>
            <w:tcW w:w="0" w:type="auto"/>
            <w:gridSpan w:val="3"/>
            <w:shd w:val="clear" w:color="auto" w:fill="auto"/>
            <w:vAlign w:val="bottom"/>
          </w:tcPr>
          <w:p w14:paraId="392C4ACA" w14:textId="77777777" w:rsidR="00980E5F" w:rsidRDefault="00980E5F">
            <w:pPr>
              <w:rPr>
                <w:rFonts w:ascii="宋体"/>
                <w:vanish/>
              </w:rPr>
            </w:pPr>
          </w:p>
        </w:tc>
        <w:tc>
          <w:tcPr>
            <w:tcW w:w="0" w:type="auto"/>
            <w:gridSpan w:val="3"/>
            <w:shd w:val="clear" w:color="auto" w:fill="auto"/>
            <w:vAlign w:val="bottom"/>
          </w:tcPr>
          <w:p w14:paraId="392C4ACB" w14:textId="77777777" w:rsidR="00980E5F" w:rsidRDefault="00980E5F">
            <w:pPr>
              <w:rPr>
                <w:rFonts w:ascii="宋体"/>
                <w:vanish/>
              </w:rPr>
            </w:pPr>
          </w:p>
        </w:tc>
        <w:tc>
          <w:tcPr>
            <w:tcW w:w="0" w:type="auto"/>
            <w:gridSpan w:val="3"/>
            <w:shd w:val="clear" w:color="auto" w:fill="auto"/>
            <w:vAlign w:val="bottom"/>
          </w:tcPr>
          <w:p w14:paraId="392C4ACC" w14:textId="77777777" w:rsidR="00980E5F" w:rsidRDefault="00980E5F">
            <w:pPr>
              <w:rPr>
                <w:rFonts w:ascii="宋体"/>
                <w:vanish/>
              </w:rPr>
            </w:pPr>
          </w:p>
        </w:tc>
        <w:tc>
          <w:tcPr>
            <w:tcW w:w="0" w:type="auto"/>
            <w:gridSpan w:val="3"/>
            <w:shd w:val="clear" w:color="auto" w:fill="auto"/>
            <w:vAlign w:val="bottom"/>
          </w:tcPr>
          <w:p w14:paraId="392C4ACD" w14:textId="77777777" w:rsidR="00980E5F" w:rsidRDefault="00980E5F">
            <w:pPr>
              <w:rPr>
                <w:rFonts w:ascii="宋体"/>
                <w:vanish/>
              </w:rPr>
            </w:pPr>
          </w:p>
        </w:tc>
        <w:tc>
          <w:tcPr>
            <w:tcW w:w="0" w:type="auto"/>
            <w:gridSpan w:val="3"/>
            <w:shd w:val="clear" w:color="auto" w:fill="auto"/>
            <w:vAlign w:val="bottom"/>
          </w:tcPr>
          <w:p w14:paraId="392C4ACE" w14:textId="77777777" w:rsidR="00980E5F" w:rsidRDefault="00980E5F">
            <w:pPr>
              <w:rPr>
                <w:rFonts w:ascii="宋体"/>
                <w:vanish/>
              </w:rPr>
            </w:pPr>
          </w:p>
        </w:tc>
        <w:tc>
          <w:tcPr>
            <w:tcW w:w="0" w:type="auto"/>
            <w:gridSpan w:val="3"/>
            <w:shd w:val="clear" w:color="auto" w:fill="auto"/>
            <w:vAlign w:val="bottom"/>
          </w:tcPr>
          <w:p w14:paraId="392C4ACF" w14:textId="77777777" w:rsidR="00980E5F" w:rsidRDefault="00980E5F">
            <w:pPr>
              <w:rPr>
                <w:rFonts w:ascii="宋体"/>
                <w:vanish/>
              </w:rPr>
            </w:pPr>
          </w:p>
        </w:tc>
        <w:tc>
          <w:tcPr>
            <w:tcW w:w="0" w:type="auto"/>
            <w:gridSpan w:val="3"/>
            <w:shd w:val="clear" w:color="auto" w:fill="auto"/>
            <w:vAlign w:val="bottom"/>
          </w:tcPr>
          <w:p w14:paraId="392C4AD0" w14:textId="77777777" w:rsidR="00980E5F" w:rsidRDefault="00980E5F">
            <w:pPr>
              <w:rPr>
                <w:rFonts w:ascii="宋体"/>
                <w:vanish/>
              </w:rPr>
            </w:pPr>
          </w:p>
        </w:tc>
        <w:tc>
          <w:tcPr>
            <w:tcW w:w="0" w:type="auto"/>
            <w:shd w:val="clear" w:color="auto" w:fill="auto"/>
            <w:vAlign w:val="bottom"/>
          </w:tcPr>
          <w:p w14:paraId="392C4AD1" w14:textId="77777777" w:rsidR="00980E5F" w:rsidRDefault="00980E5F">
            <w:pPr>
              <w:rPr>
                <w:rFonts w:ascii="宋体"/>
              </w:rPr>
            </w:pPr>
          </w:p>
        </w:tc>
        <w:tc>
          <w:tcPr>
            <w:tcW w:w="0" w:type="auto"/>
            <w:shd w:val="clear" w:color="auto" w:fill="auto"/>
            <w:vAlign w:val="bottom"/>
          </w:tcPr>
          <w:p w14:paraId="392C4AD2" w14:textId="77777777" w:rsidR="00980E5F" w:rsidRDefault="00980E5F">
            <w:pPr>
              <w:rPr>
                <w:rFonts w:ascii="宋体"/>
              </w:rPr>
            </w:pPr>
          </w:p>
        </w:tc>
        <w:tc>
          <w:tcPr>
            <w:tcW w:w="0" w:type="auto"/>
            <w:shd w:val="clear" w:color="auto" w:fill="auto"/>
            <w:vAlign w:val="bottom"/>
          </w:tcPr>
          <w:p w14:paraId="392C4AD3" w14:textId="77777777" w:rsidR="00980E5F" w:rsidRDefault="00980E5F">
            <w:pPr>
              <w:rPr>
                <w:rFonts w:ascii="宋体"/>
              </w:rPr>
            </w:pPr>
          </w:p>
        </w:tc>
        <w:tc>
          <w:tcPr>
            <w:tcW w:w="0" w:type="auto"/>
            <w:shd w:val="clear" w:color="auto" w:fill="auto"/>
            <w:vAlign w:val="bottom"/>
          </w:tcPr>
          <w:p w14:paraId="392C4AD4" w14:textId="77777777" w:rsidR="00980E5F" w:rsidRDefault="00980E5F">
            <w:pPr>
              <w:rPr>
                <w:rFonts w:ascii="宋体"/>
              </w:rPr>
            </w:pPr>
          </w:p>
        </w:tc>
        <w:tc>
          <w:tcPr>
            <w:tcW w:w="0" w:type="auto"/>
            <w:shd w:val="clear" w:color="auto" w:fill="auto"/>
            <w:vAlign w:val="bottom"/>
          </w:tcPr>
          <w:p w14:paraId="392C4AD5" w14:textId="77777777" w:rsidR="00980E5F" w:rsidRDefault="00980E5F">
            <w:pPr>
              <w:rPr>
                <w:rFonts w:ascii="宋体"/>
              </w:rPr>
            </w:pPr>
          </w:p>
        </w:tc>
        <w:tc>
          <w:tcPr>
            <w:tcW w:w="0" w:type="auto"/>
            <w:shd w:val="clear" w:color="auto" w:fill="auto"/>
            <w:vAlign w:val="bottom"/>
          </w:tcPr>
          <w:p w14:paraId="392C4AD6" w14:textId="77777777" w:rsidR="00980E5F" w:rsidRDefault="00980E5F">
            <w:pPr>
              <w:rPr>
                <w:rFonts w:ascii="宋体"/>
              </w:rPr>
            </w:pPr>
          </w:p>
        </w:tc>
        <w:tc>
          <w:tcPr>
            <w:tcW w:w="0" w:type="auto"/>
            <w:shd w:val="clear" w:color="auto" w:fill="auto"/>
            <w:vAlign w:val="bottom"/>
          </w:tcPr>
          <w:p w14:paraId="392C4AD7" w14:textId="77777777" w:rsidR="00980E5F" w:rsidRDefault="00980E5F">
            <w:pPr>
              <w:rPr>
                <w:rFonts w:ascii="宋体"/>
              </w:rPr>
            </w:pPr>
          </w:p>
        </w:tc>
        <w:tc>
          <w:tcPr>
            <w:tcW w:w="0" w:type="auto"/>
            <w:shd w:val="clear" w:color="auto" w:fill="auto"/>
            <w:vAlign w:val="bottom"/>
          </w:tcPr>
          <w:p w14:paraId="392C4AD8" w14:textId="77777777" w:rsidR="00980E5F" w:rsidRDefault="00980E5F">
            <w:pPr>
              <w:rPr>
                <w:rFonts w:ascii="宋体"/>
              </w:rPr>
            </w:pPr>
          </w:p>
        </w:tc>
        <w:tc>
          <w:tcPr>
            <w:tcW w:w="0" w:type="auto"/>
            <w:shd w:val="clear" w:color="auto" w:fill="auto"/>
            <w:vAlign w:val="bottom"/>
          </w:tcPr>
          <w:p w14:paraId="392C4AD9" w14:textId="77777777" w:rsidR="00980E5F" w:rsidRDefault="00980E5F">
            <w:pPr>
              <w:rPr>
                <w:rFonts w:ascii="宋体"/>
              </w:rPr>
            </w:pPr>
          </w:p>
        </w:tc>
        <w:tc>
          <w:tcPr>
            <w:tcW w:w="0" w:type="auto"/>
            <w:shd w:val="clear" w:color="auto" w:fill="auto"/>
            <w:vAlign w:val="bottom"/>
          </w:tcPr>
          <w:p w14:paraId="392C4ADA" w14:textId="77777777" w:rsidR="00980E5F" w:rsidRDefault="00980E5F">
            <w:pPr>
              <w:rPr>
                <w:rFonts w:ascii="宋体"/>
              </w:rPr>
            </w:pPr>
          </w:p>
        </w:tc>
        <w:tc>
          <w:tcPr>
            <w:tcW w:w="0" w:type="auto"/>
            <w:shd w:val="clear" w:color="auto" w:fill="auto"/>
            <w:vAlign w:val="bottom"/>
          </w:tcPr>
          <w:p w14:paraId="392C4ADB" w14:textId="77777777" w:rsidR="00980E5F" w:rsidRDefault="00980E5F">
            <w:pPr>
              <w:rPr>
                <w:rFonts w:ascii="宋体"/>
              </w:rPr>
            </w:pPr>
          </w:p>
        </w:tc>
        <w:tc>
          <w:tcPr>
            <w:tcW w:w="0" w:type="auto"/>
            <w:shd w:val="clear" w:color="auto" w:fill="auto"/>
            <w:vAlign w:val="bottom"/>
          </w:tcPr>
          <w:p w14:paraId="392C4ADC" w14:textId="77777777" w:rsidR="00980E5F" w:rsidRDefault="00980E5F">
            <w:pPr>
              <w:rPr>
                <w:rFonts w:ascii="宋体"/>
              </w:rPr>
            </w:pPr>
          </w:p>
        </w:tc>
        <w:tc>
          <w:tcPr>
            <w:tcW w:w="0" w:type="auto"/>
            <w:shd w:val="clear" w:color="auto" w:fill="auto"/>
            <w:vAlign w:val="bottom"/>
          </w:tcPr>
          <w:p w14:paraId="392C4ADD" w14:textId="77777777" w:rsidR="00980E5F" w:rsidRDefault="00980E5F">
            <w:pPr>
              <w:rPr>
                <w:rFonts w:ascii="宋体"/>
              </w:rPr>
            </w:pPr>
          </w:p>
        </w:tc>
        <w:tc>
          <w:tcPr>
            <w:tcW w:w="0" w:type="auto"/>
            <w:shd w:val="clear" w:color="auto" w:fill="auto"/>
            <w:vAlign w:val="bottom"/>
          </w:tcPr>
          <w:p w14:paraId="392C4ADE" w14:textId="77777777" w:rsidR="00980E5F" w:rsidRDefault="00980E5F">
            <w:pPr>
              <w:rPr>
                <w:rFonts w:ascii="宋体"/>
              </w:rPr>
            </w:pPr>
          </w:p>
        </w:tc>
        <w:tc>
          <w:tcPr>
            <w:tcW w:w="0" w:type="auto"/>
            <w:shd w:val="clear" w:color="auto" w:fill="auto"/>
            <w:vAlign w:val="bottom"/>
          </w:tcPr>
          <w:p w14:paraId="392C4ADF" w14:textId="77777777" w:rsidR="00980E5F" w:rsidRDefault="00980E5F">
            <w:pPr>
              <w:rPr>
                <w:rFonts w:ascii="宋体"/>
              </w:rPr>
            </w:pPr>
          </w:p>
        </w:tc>
        <w:tc>
          <w:tcPr>
            <w:tcW w:w="0" w:type="auto"/>
            <w:shd w:val="clear" w:color="auto" w:fill="auto"/>
            <w:vAlign w:val="bottom"/>
          </w:tcPr>
          <w:p w14:paraId="392C4AE0" w14:textId="77777777" w:rsidR="00980E5F" w:rsidRDefault="00980E5F">
            <w:pPr>
              <w:rPr>
                <w:rFonts w:ascii="宋体"/>
              </w:rPr>
            </w:pPr>
          </w:p>
        </w:tc>
        <w:tc>
          <w:tcPr>
            <w:tcW w:w="0" w:type="auto"/>
            <w:shd w:val="clear" w:color="auto" w:fill="auto"/>
            <w:vAlign w:val="bottom"/>
          </w:tcPr>
          <w:p w14:paraId="392C4AE1" w14:textId="77777777" w:rsidR="00980E5F" w:rsidRDefault="00980E5F">
            <w:pPr>
              <w:rPr>
                <w:rFonts w:ascii="宋体"/>
              </w:rPr>
            </w:pPr>
          </w:p>
        </w:tc>
        <w:tc>
          <w:tcPr>
            <w:tcW w:w="0" w:type="auto"/>
            <w:shd w:val="clear" w:color="auto" w:fill="auto"/>
            <w:vAlign w:val="bottom"/>
          </w:tcPr>
          <w:p w14:paraId="392C4AE2" w14:textId="77777777" w:rsidR="00980E5F" w:rsidRDefault="00980E5F">
            <w:pPr>
              <w:rPr>
                <w:rFonts w:ascii="宋体"/>
              </w:rPr>
            </w:pPr>
          </w:p>
        </w:tc>
        <w:tc>
          <w:tcPr>
            <w:tcW w:w="0" w:type="auto"/>
            <w:shd w:val="clear" w:color="auto" w:fill="auto"/>
            <w:vAlign w:val="bottom"/>
          </w:tcPr>
          <w:p w14:paraId="392C4AE3" w14:textId="77777777" w:rsidR="00980E5F" w:rsidRDefault="00980E5F">
            <w:pPr>
              <w:rPr>
                <w:rFonts w:ascii="宋体"/>
              </w:rPr>
            </w:pPr>
          </w:p>
        </w:tc>
        <w:tc>
          <w:tcPr>
            <w:tcW w:w="0" w:type="auto"/>
            <w:shd w:val="clear" w:color="auto" w:fill="auto"/>
            <w:vAlign w:val="bottom"/>
          </w:tcPr>
          <w:p w14:paraId="392C4AE4" w14:textId="77777777" w:rsidR="00980E5F" w:rsidRDefault="00980E5F">
            <w:pPr>
              <w:rPr>
                <w:rFonts w:ascii="宋体"/>
              </w:rPr>
            </w:pPr>
          </w:p>
        </w:tc>
        <w:tc>
          <w:tcPr>
            <w:tcW w:w="0" w:type="auto"/>
            <w:shd w:val="clear" w:color="auto" w:fill="auto"/>
            <w:vAlign w:val="bottom"/>
          </w:tcPr>
          <w:p w14:paraId="392C4AE5" w14:textId="77777777" w:rsidR="00980E5F" w:rsidRDefault="00980E5F">
            <w:pPr>
              <w:rPr>
                <w:rFonts w:ascii="宋体"/>
              </w:rPr>
            </w:pPr>
          </w:p>
        </w:tc>
      </w:tr>
      <w:tr w:rsidR="00980E5F" w14:paraId="392C4AFD" w14:textId="77777777">
        <w:trPr>
          <w:hidden/>
        </w:trPr>
        <w:tc>
          <w:tcPr>
            <w:tcW w:w="0" w:type="auto"/>
            <w:gridSpan w:val="3"/>
            <w:shd w:val="clear" w:color="auto" w:fill="auto"/>
            <w:vAlign w:val="bottom"/>
          </w:tcPr>
          <w:p w14:paraId="392C4AE7" w14:textId="77777777" w:rsidR="00980E5F" w:rsidRDefault="00980E5F">
            <w:pPr>
              <w:rPr>
                <w:rFonts w:ascii="宋体"/>
                <w:vanish/>
              </w:rPr>
            </w:pPr>
          </w:p>
        </w:tc>
        <w:tc>
          <w:tcPr>
            <w:tcW w:w="0" w:type="auto"/>
            <w:gridSpan w:val="3"/>
            <w:shd w:val="clear" w:color="auto" w:fill="auto"/>
            <w:vAlign w:val="bottom"/>
          </w:tcPr>
          <w:p w14:paraId="392C4AE8" w14:textId="77777777" w:rsidR="00980E5F" w:rsidRDefault="00980E5F">
            <w:pPr>
              <w:rPr>
                <w:rFonts w:ascii="宋体"/>
                <w:vanish/>
              </w:rPr>
            </w:pPr>
          </w:p>
        </w:tc>
        <w:tc>
          <w:tcPr>
            <w:tcW w:w="0" w:type="auto"/>
            <w:gridSpan w:val="3"/>
            <w:shd w:val="clear" w:color="auto" w:fill="auto"/>
            <w:vAlign w:val="bottom"/>
          </w:tcPr>
          <w:p w14:paraId="392C4AE9" w14:textId="77777777" w:rsidR="00980E5F" w:rsidRDefault="00980E5F">
            <w:pPr>
              <w:rPr>
                <w:rFonts w:ascii="宋体"/>
                <w:vanish/>
              </w:rPr>
            </w:pPr>
          </w:p>
        </w:tc>
        <w:tc>
          <w:tcPr>
            <w:tcW w:w="0" w:type="auto"/>
            <w:gridSpan w:val="3"/>
            <w:shd w:val="clear" w:color="auto" w:fill="auto"/>
            <w:vAlign w:val="bottom"/>
          </w:tcPr>
          <w:p w14:paraId="392C4AEA" w14:textId="77777777" w:rsidR="00980E5F" w:rsidRDefault="00980E5F">
            <w:pPr>
              <w:rPr>
                <w:rFonts w:ascii="宋体"/>
                <w:vanish/>
              </w:rPr>
            </w:pPr>
          </w:p>
        </w:tc>
        <w:tc>
          <w:tcPr>
            <w:tcW w:w="0" w:type="auto"/>
            <w:gridSpan w:val="3"/>
            <w:shd w:val="clear" w:color="auto" w:fill="auto"/>
            <w:vAlign w:val="bottom"/>
          </w:tcPr>
          <w:p w14:paraId="392C4AEB" w14:textId="77777777" w:rsidR="00980E5F" w:rsidRDefault="00980E5F">
            <w:pPr>
              <w:rPr>
                <w:rFonts w:ascii="宋体"/>
                <w:vanish/>
              </w:rPr>
            </w:pPr>
          </w:p>
        </w:tc>
        <w:tc>
          <w:tcPr>
            <w:tcW w:w="0" w:type="auto"/>
            <w:gridSpan w:val="3"/>
            <w:shd w:val="clear" w:color="auto" w:fill="auto"/>
            <w:vAlign w:val="bottom"/>
          </w:tcPr>
          <w:p w14:paraId="392C4AEC" w14:textId="77777777" w:rsidR="00980E5F" w:rsidRDefault="00980E5F">
            <w:pPr>
              <w:rPr>
                <w:rFonts w:ascii="宋体"/>
                <w:vanish/>
              </w:rPr>
            </w:pPr>
          </w:p>
        </w:tc>
        <w:tc>
          <w:tcPr>
            <w:tcW w:w="0" w:type="auto"/>
            <w:gridSpan w:val="3"/>
            <w:shd w:val="clear" w:color="auto" w:fill="auto"/>
            <w:vAlign w:val="bottom"/>
          </w:tcPr>
          <w:p w14:paraId="392C4AED" w14:textId="77777777" w:rsidR="00980E5F" w:rsidRDefault="00980E5F">
            <w:pPr>
              <w:rPr>
                <w:rFonts w:ascii="宋体"/>
                <w:vanish/>
              </w:rPr>
            </w:pPr>
          </w:p>
        </w:tc>
        <w:tc>
          <w:tcPr>
            <w:tcW w:w="0" w:type="auto"/>
            <w:gridSpan w:val="3"/>
            <w:shd w:val="clear" w:color="auto" w:fill="auto"/>
            <w:vAlign w:val="bottom"/>
          </w:tcPr>
          <w:p w14:paraId="392C4AEE" w14:textId="77777777" w:rsidR="00980E5F" w:rsidRDefault="00980E5F">
            <w:pPr>
              <w:rPr>
                <w:rFonts w:ascii="宋体"/>
                <w:vanish/>
              </w:rPr>
            </w:pPr>
          </w:p>
        </w:tc>
        <w:tc>
          <w:tcPr>
            <w:tcW w:w="0" w:type="auto"/>
            <w:gridSpan w:val="3"/>
            <w:shd w:val="clear" w:color="auto" w:fill="auto"/>
            <w:vAlign w:val="bottom"/>
          </w:tcPr>
          <w:p w14:paraId="392C4AEF" w14:textId="77777777" w:rsidR="00980E5F" w:rsidRDefault="00980E5F">
            <w:pPr>
              <w:rPr>
                <w:rFonts w:ascii="宋体"/>
                <w:vanish/>
              </w:rPr>
            </w:pPr>
          </w:p>
        </w:tc>
        <w:tc>
          <w:tcPr>
            <w:tcW w:w="0" w:type="auto"/>
            <w:gridSpan w:val="3"/>
            <w:shd w:val="clear" w:color="auto" w:fill="auto"/>
            <w:vAlign w:val="bottom"/>
          </w:tcPr>
          <w:p w14:paraId="392C4AF0" w14:textId="77777777" w:rsidR="00980E5F" w:rsidRDefault="00980E5F">
            <w:pPr>
              <w:rPr>
                <w:rFonts w:ascii="宋体"/>
                <w:vanish/>
              </w:rPr>
            </w:pPr>
          </w:p>
        </w:tc>
        <w:tc>
          <w:tcPr>
            <w:tcW w:w="0" w:type="auto"/>
            <w:gridSpan w:val="3"/>
            <w:shd w:val="clear" w:color="auto" w:fill="auto"/>
            <w:vAlign w:val="bottom"/>
          </w:tcPr>
          <w:p w14:paraId="392C4AF1" w14:textId="77777777" w:rsidR="00980E5F" w:rsidRDefault="00980E5F">
            <w:pPr>
              <w:rPr>
                <w:rFonts w:ascii="宋体"/>
                <w:vanish/>
              </w:rPr>
            </w:pPr>
          </w:p>
        </w:tc>
        <w:tc>
          <w:tcPr>
            <w:tcW w:w="0" w:type="auto"/>
            <w:gridSpan w:val="3"/>
            <w:shd w:val="clear" w:color="auto" w:fill="auto"/>
            <w:vAlign w:val="bottom"/>
          </w:tcPr>
          <w:p w14:paraId="392C4AF2" w14:textId="77777777" w:rsidR="00980E5F" w:rsidRDefault="00980E5F">
            <w:pPr>
              <w:rPr>
                <w:rFonts w:ascii="宋体"/>
                <w:vanish/>
              </w:rPr>
            </w:pPr>
          </w:p>
        </w:tc>
        <w:tc>
          <w:tcPr>
            <w:tcW w:w="0" w:type="auto"/>
            <w:gridSpan w:val="3"/>
            <w:shd w:val="clear" w:color="auto" w:fill="auto"/>
            <w:vAlign w:val="bottom"/>
          </w:tcPr>
          <w:p w14:paraId="392C4AF3" w14:textId="77777777" w:rsidR="00980E5F" w:rsidRDefault="00980E5F">
            <w:pPr>
              <w:rPr>
                <w:rFonts w:ascii="宋体"/>
                <w:vanish/>
              </w:rPr>
            </w:pPr>
          </w:p>
        </w:tc>
        <w:tc>
          <w:tcPr>
            <w:tcW w:w="0" w:type="auto"/>
            <w:gridSpan w:val="3"/>
            <w:shd w:val="clear" w:color="auto" w:fill="auto"/>
            <w:vAlign w:val="bottom"/>
          </w:tcPr>
          <w:p w14:paraId="392C4AF4" w14:textId="77777777" w:rsidR="00980E5F" w:rsidRDefault="00980E5F">
            <w:pPr>
              <w:rPr>
                <w:rFonts w:ascii="宋体"/>
                <w:vanish/>
              </w:rPr>
            </w:pPr>
          </w:p>
        </w:tc>
        <w:tc>
          <w:tcPr>
            <w:tcW w:w="0" w:type="auto"/>
            <w:gridSpan w:val="3"/>
            <w:shd w:val="clear" w:color="auto" w:fill="auto"/>
            <w:vAlign w:val="bottom"/>
          </w:tcPr>
          <w:p w14:paraId="392C4AF5" w14:textId="77777777" w:rsidR="00980E5F" w:rsidRDefault="00980E5F">
            <w:pPr>
              <w:rPr>
                <w:rFonts w:ascii="宋体"/>
                <w:vanish/>
              </w:rPr>
            </w:pPr>
          </w:p>
        </w:tc>
        <w:tc>
          <w:tcPr>
            <w:tcW w:w="0" w:type="auto"/>
            <w:gridSpan w:val="3"/>
            <w:shd w:val="clear" w:color="auto" w:fill="auto"/>
            <w:vAlign w:val="bottom"/>
          </w:tcPr>
          <w:p w14:paraId="392C4AF6" w14:textId="77777777" w:rsidR="00980E5F" w:rsidRDefault="00980E5F">
            <w:pPr>
              <w:rPr>
                <w:rFonts w:ascii="宋体"/>
                <w:vanish/>
              </w:rPr>
            </w:pPr>
          </w:p>
        </w:tc>
        <w:tc>
          <w:tcPr>
            <w:tcW w:w="0" w:type="auto"/>
            <w:gridSpan w:val="3"/>
            <w:shd w:val="clear" w:color="auto" w:fill="auto"/>
            <w:vAlign w:val="bottom"/>
          </w:tcPr>
          <w:p w14:paraId="392C4AF7" w14:textId="77777777" w:rsidR="00980E5F" w:rsidRDefault="00980E5F">
            <w:pPr>
              <w:rPr>
                <w:rFonts w:ascii="宋体"/>
                <w:vanish/>
              </w:rPr>
            </w:pPr>
          </w:p>
        </w:tc>
        <w:tc>
          <w:tcPr>
            <w:tcW w:w="0" w:type="auto"/>
            <w:gridSpan w:val="3"/>
            <w:shd w:val="clear" w:color="auto" w:fill="auto"/>
            <w:vAlign w:val="bottom"/>
          </w:tcPr>
          <w:p w14:paraId="392C4AF8" w14:textId="77777777" w:rsidR="00980E5F" w:rsidRDefault="00980E5F">
            <w:pPr>
              <w:rPr>
                <w:rFonts w:ascii="宋体"/>
                <w:vanish/>
              </w:rPr>
            </w:pPr>
          </w:p>
        </w:tc>
        <w:tc>
          <w:tcPr>
            <w:tcW w:w="0" w:type="auto"/>
            <w:gridSpan w:val="3"/>
            <w:shd w:val="clear" w:color="auto" w:fill="auto"/>
            <w:vAlign w:val="bottom"/>
          </w:tcPr>
          <w:p w14:paraId="392C4AF9" w14:textId="77777777" w:rsidR="00980E5F" w:rsidRDefault="00980E5F">
            <w:pPr>
              <w:rPr>
                <w:rFonts w:ascii="宋体"/>
                <w:vanish/>
              </w:rPr>
            </w:pPr>
          </w:p>
        </w:tc>
        <w:tc>
          <w:tcPr>
            <w:tcW w:w="0" w:type="auto"/>
            <w:gridSpan w:val="3"/>
            <w:shd w:val="clear" w:color="auto" w:fill="auto"/>
            <w:vAlign w:val="bottom"/>
          </w:tcPr>
          <w:p w14:paraId="392C4AFA" w14:textId="77777777" w:rsidR="00980E5F" w:rsidRDefault="00980E5F">
            <w:pPr>
              <w:rPr>
                <w:rFonts w:ascii="宋体"/>
                <w:vanish/>
              </w:rPr>
            </w:pPr>
          </w:p>
        </w:tc>
        <w:tc>
          <w:tcPr>
            <w:tcW w:w="0" w:type="auto"/>
            <w:gridSpan w:val="2"/>
            <w:shd w:val="clear" w:color="auto" w:fill="auto"/>
            <w:vAlign w:val="bottom"/>
          </w:tcPr>
          <w:p w14:paraId="392C4AFB" w14:textId="77777777" w:rsidR="00980E5F" w:rsidRDefault="00980E5F">
            <w:pPr>
              <w:rPr>
                <w:rFonts w:ascii="宋体"/>
                <w:vanish/>
              </w:rPr>
            </w:pPr>
          </w:p>
        </w:tc>
        <w:tc>
          <w:tcPr>
            <w:tcW w:w="0" w:type="auto"/>
            <w:shd w:val="clear" w:color="auto" w:fill="auto"/>
            <w:vAlign w:val="bottom"/>
          </w:tcPr>
          <w:p w14:paraId="392C4AFC" w14:textId="77777777" w:rsidR="00980E5F" w:rsidRDefault="00980E5F">
            <w:pPr>
              <w:rPr>
                <w:rFonts w:ascii="宋体"/>
                <w:vanish/>
              </w:rPr>
            </w:pPr>
          </w:p>
        </w:tc>
      </w:tr>
      <w:tr w:rsidR="00980E5F" w14:paraId="392C4B14" w14:textId="77777777">
        <w:trPr>
          <w:hidden/>
        </w:trPr>
        <w:tc>
          <w:tcPr>
            <w:tcW w:w="0" w:type="auto"/>
            <w:gridSpan w:val="3"/>
            <w:shd w:val="clear" w:color="auto" w:fill="auto"/>
            <w:vAlign w:val="bottom"/>
          </w:tcPr>
          <w:p w14:paraId="392C4AFE" w14:textId="77777777" w:rsidR="00980E5F" w:rsidRDefault="00980E5F">
            <w:pPr>
              <w:rPr>
                <w:rFonts w:ascii="宋体"/>
                <w:vanish/>
              </w:rPr>
            </w:pPr>
          </w:p>
        </w:tc>
        <w:tc>
          <w:tcPr>
            <w:tcW w:w="0" w:type="auto"/>
            <w:gridSpan w:val="3"/>
            <w:shd w:val="clear" w:color="auto" w:fill="auto"/>
            <w:vAlign w:val="bottom"/>
          </w:tcPr>
          <w:p w14:paraId="392C4AFF" w14:textId="77777777" w:rsidR="00980E5F" w:rsidRDefault="00980E5F">
            <w:pPr>
              <w:rPr>
                <w:rFonts w:ascii="宋体"/>
                <w:vanish/>
              </w:rPr>
            </w:pPr>
          </w:p>
        </w:tc>
        <w:tc>
          <w:tcPr>
            <w:tcW w:w="0" w:type="auto"/>
            <w:gridSpan w:val="3"/>
            <w:shd w:val="clear" w:color="auto" w:fill="auto"/>
            <w:vAlign w:val="bottom"/>
          </w:tcPr>
          <w:p w14:paraId="392C4B00" w14:textId="77777777" w:rsidR="00980E5F" w:rsidRDefault="00980E5F">
            <w:pPr>
              <w:rPr>
                <w:rFonts w:ascii="宋体"/>
                <w:vanish/>
              </w:rPr>
            </w:pPr>
          </w:p>
        </w:tc>
        <w:tc>
          <w:tcPr>
            <w:tcW w:w="0" w:type="auto"/>
            <w:gridSpan w:val="3"/>
            <w:shd w:val="clear" w:color="auto" w:fill="auto"/>
            <w:vAlign w:val="bottom"/>
          </w:tcPr>
          <w:p w14:paraId="392C4B01" w14:textId="77777777" w:rsidR="00980E5F" w:rsidRDefault="00980E5F">
            <w:pPr>
              <w:rPr>
                <w:rFonts w:ascii="宋体"/>
                <w:vanish/>
              </w:rPr>
            </w:pPr>
          </w:p>
        </w:tc>
        <w:tc>
          <w:tcPr>
            <w:tcW w:w="0" w:type="auto"/>
            <w:gridSpan w:val="3"/>
            <w:shd w:val="clear" w:color="auto" w:fill="auto"/>
            <w:vAlign w:val="bottom"/>
          </w:tcPr>
          <w:p w14:paraId="392C4B02" w14:textId="77777777" w:rsidR="00980E5F" w:rsidRDefault="00980E5F">
            <w:pPr>
              <w:rPr>
                <w:rFonts w:ascii="宋体"/>
                <w:vanish/>
              </w:rPr>
            </w:pPr>
          </w:p>
        </w:tc>
        <w:tc>
          <w:tcPr>
            <w:tcW w:w="0" w:type="auto"/>
            <w:gridSpan w:val="3"/>
            <w:shd w:val="clear" w:color="auto" w:fill="auto"/>
            <w:vAlign w:val="bottom"/>
          </w:tcPr>
          <w:p w14:paraId="392C4B03" w14:textId="77777777" w:rsidR="00980E5F" w:rsidRDefault="00980E5F">
            <w:pPr>
              <w:rPr>
                <w:rFonts w:ascii="宋体"/>
                <w:vanish/>
              </w:rPr>
            </w:pPr>
          </w:p>
        </w:tc>
        <w:tc>
          <w:tcPr>
            <w:tcW w:w="0" w:type="auto"/>
            <w:gridSpan w:val="3"/>
            <w:shd w:val="clear" w:color="auto" w:fill="auto"/>
            <w:vAlign w:val="bottom"/>
          </w:tcPr>
          <w:p w14:paraId="392C4B04" w14:textId="77777777" w:rsidR="00980E5F" w:rsidRDefault="00980E5F">
            <w:pPr>
              <w:rPr>
                <w:rFonts w:ascii="宋体"/>
                <w:vanish/>
              </w:rPr>
            </w:pPr>
          </w:p>
        </w:tc>
        <w:tc>
          <w:tcPr>
            <w:tcW w:w="0" w:type="auto"/>
            <w:gridSpan w:val="3"/>
            <w:shd w:val="clear" w:color="auto" w:fill="auto"/>
            <w:vAlign w:val="bottom"/>
          </w:tcPr>
          <w:p w14:paraId="392C4B05" w14:textId="77777777" w:rsidR="00980E5F" w:rsidRDefault="00980E5F">
            <w:pPr>
              <w:rPr>
                <w:rFonts w:ascii="宋体"/>
                <w:vanish/>
              </w:rPr>
            </w:pPr>
          </w:p>
        </w:tc>
        <w:tc>
          <w:tcPr>
            <w:tcW w:w="0" w:type="auto"/>
            <w:gridSpan w:val="3"/>
            <w:shd w:val="clear" w:color="auto" w:fill="auto"/>
            <w:vAlign w:val="bottom"/>
          </w:tcPr>
          <w:p w14:paraId="392C4B06" w14:textId="77777777" w:rsidR="00980E5F" w:rsidRDefault="00980E5F">
            <w:pPr>
              <w:rPr>
                <w:rFonts w:ascii="宋体"/>
                <w:vanish/>
              </w:rPr>
            </w:pPr>
          </w:p>
        </w:tc>
        <w:tc>
          <w:tcPr>
            <w:tcW w:w="0" w:type="auto"/>
            <w:gridSpan w:val="3"/>
            <w:shd w:val="clear" w:color="auto" w:fill="auto"/>
            <w:vAlign w:val="bottom"/>
          </w:tcPr>
          <w:p w14:paraId="392C4B07" w14:textId="77777777" w:rsidR="00980E5F" w:rsidRDefault="00980E5F">
            <w:pPr>
              <w:rPr>
                <w:rFonts w:ascii="宋体"/>
                <w:vanish/>
              </w:rPr>
            </w:pPr>
          </w:p>
        </w:tc>
        <w:tc>
          <w:tcPr>
            <w:tcW w:w="0" w:type="auto"/>
            <w:gridSpan w:val="3"/>
            <w:shd w:val="clear" w:color="auto" w:fill="auto"/>
            <w:vAlign w:val="bottom"/>
          </w:tcPr>
          <w:p w14:paraId="392C4B08" w14:textId="77777777" w:rsidR="00980E5F" w:rsidRDefault="00980E5F">
            <w:pPr>
              <w:rPr>
                <w:rFonts w:ascii="宋体"/>
                <w:vanish/>
              </w:rPr>
            </w:pPr>
          </w:p>
        </w:tc>
        <w:tc>
          <w:tcPr>
            <w:tcW w:w="0" w:type="auto"/>
            <w:gridSpan w:val="3"/>
            <w:shd w:val="clear" w:color="auto" w:fill="auto"/>
            <w:vAlign w:val="bottom"/>
          </w:tcPr>
          <w:p w14:paraId="392C4B09" w14:textId="77777777" w:rsidR="00980E5F" w:rsidRDefault="00980E5F">
            <w:pPr>
              <w:rPr>
                <w:rFonts w:ascii="宋体"/>
                <w:vanish/>
              </w:rPr>
            </w:pPr>
          </w:p>
        </w:tc>
        <w:tc>
          <w:tcPr>
            <w:tcW w:w="0" w:type="auto"/>
            <w:gridSpan w:val="3"/>
            <w:shd w:val="clear" w:color="auto" w:fill="auto"/>
            <w:vAlign w:val="bottom"/>
          </w:tcPr>
          <w:p w14:paraId="392C4B0A" w14:textId="77777777" w:rsidR="00980E5F" w:rsidRDefault="00980E5F">
            <w:pPr>
              <w:rPr>
                <w:rFonts w:ascii="宋体"/>
                <w:vanish/>
              </w:rPr>
            </w:pPr>
          </w:p>
        </w:tc>
        <w:tc>
          <w:tcPr>
            <w:tcW w:w="0" w:type="auto"/>
            <w:gridSpan w:val="3"/>
            <w:shd w:val="clear" w:color="auto" w:fill="auto"/>
            <w:vAlign w:val="bottom"/>
          </w:tcPr>
          <w:p w14:paraId="392C4B0B" w14:textId="77777777" w:rsidR="00980E5F" w:rsidRDefault="00980E5F">
            <w:pPr>
              <w:rPr>
                <w:rFonts w:ascii="宋体"/>
                <w:vanish/>
              </w:rPr>
            </w:pPr>
          </w:p>
        </w:tc>
        <w:tc>
          <w:tcPr>
            <w:tcW w:w="0" w:type="auto"/>
            <w:gridSpan w:val="3"/>
            <w:shd w:val="clear" w:color="auto" w:fill="auto"/>
            <w:vAlign w:val="bottom"/>
          </w:tcPr>
          <w:p w14:paraId="392C4B0C" w14:textId="77777777" w:rsidR="00980E5F" w:rsidRDefault="00980E5F">
            <w:pPr>
              <w:rPr>
                <w:rFonts w:ascii="宋体"/>
                <w:vanish/>
              </w:rPr>
            </w:pPr>
          </w:p>
        </w:tc>
        <w:tc>
          <w:tcPr>
            <w:tcW w:w="0" w:type="auto"/>
            <w:gridSpan w:val="3"/>
            <w:shd w:val="clear" w:color="auto" w:fill="auto"/>
            <w:vAlign w:val="bottom"/>
          </w:tcPr>
          <w:p w14:paraId="392C4B0D" w14:textId="77777777" w:rsidR="00980E5F" w:rsidRDefault="00980E5F">
            <w:pPr>
              <w:rPr>
                <w:rFonts w:ascii="宋体"/>
                <w:vanish/>
              </w:rPr>
            </w:pPr>
          </w:p>
        </w:tc>
        <w:tc>
          <w:tcPr>
            <w:tcW w:w="0" w:type="auto"/>
            <w:gridSpan w:val="3"/>
            <w:shd w:val="clear" w:color="auto" w:fill="auto"/>
            <w:vAlign w:val="bottom"/>
          </w:tcPr>
          <w:p w14:paraId="392C4B0E" w14:textId="77777777" w:rsidR="00980E5F" w:rsidRDefault="00980E5F">
            <w:pPr>
              <w:rPr>
                <w:rFonts w:ascii="宋体"/>
                <w:vanish/>
              </w:rPr>
            </w:pPr>
          </w:p>
        </w:tc>
        <w:tc>
          <w:tcPr>
            <w:tcW w:w="0" w:type="auto"/>
            <w:gridSpan w:val="3"/>
            <w:shd w:val="clear" w:color="auto" w:fill="auto"/>
            <w:vAlign w:val="bottom"/>
          </w:tcPr>
          <w:p w14:paraId="392C4B0F" w14:textId="77777777" w:rsidR="00980E5F" w:rsidRDefault="00980E5F">
            <w:pPr>
              <w:rPr>
                <w:rFonts w:ascii="宋体"/>
                <w:vanish/>
              </w:rPr>
            </w:pPr>
          </w:p>
        </w:tc>
        <w:tc>
          <w:tcPr>
            <w:tcW w:w="0" w:type="auto"/>
            <w:gridSpan w:val="3"/>
            <w:shd w:val="clear" w:color="auto" w:fill="auto"/>
            <w:vAlign w:val="bottom"/>
          </w:tcPr>
          <w:p w14:paraId="392C4B10" w14:textId="77777777" w:rsidR="00980E5F" w:rsidRDefault="00980E5F">
            <w:pPr>
              <w:rPr>
                <w:rFonts w:ascii="宋体"/>
                <w:vanish/>
              </w:rPr>
            </w:pPr>
          </w:p>
        </w:tc>
        <w:tc>
          <w:tcPr>
            <w:tcW w:w="0" w:type="auto"/>
            <w:gridSpan w:val="3"/>
            <w:shd w:val="clear" w:color="auto" w:fill="auto"/>
            <w:vAlign w:val="bottom"/>
          </w:tcPr>
          <w:p w14:paraId="392C4B11" w14:textId="77777777" w:rsidR="00980E5F" w:rsidRDefault="00980E5F">
            <w:pPr>
              <w:rPr>
                <w:rFonts w:ascii="宋体"/>
                <w:vanish/>
              </w:rPr>
            </w:pPr>
          </w:p>
        </w:tc>
        <w:tc>
          <w:tcPr>
            <w:tcW w:w="0" w:type="auto"/>
            <w:gridSpan w:val="2"/>
            <w:shd w:val="clear" w:color="auto" w:fill="auto"/>
            <w:vAlign w:val="bottom"/>
          </w:tcPr>
          <w:p w14:paraId="392C4B12" w14:textId="77777777" w:rsidR="00980E5F" w:rsidRDefault="00980E5F">
            <w:pPr>
              <w:rPr>
                <w:rFonts w:ascii="宋体"/>
                <w:vanish/>
              </w:rPr>
            </w:pPr>
          </w:p>
        </w:tc>
        <w:tc>
          <w:tcPr>
            <w:tcW w:w="0" w:type="auto"/>
            <w:shd w:val="clear" w:color="auto" w:fill="auto"/>
            <w:vAlign w:val="bottom"/>
          </w:tcPr>
          <w:p w14:paraId="392C4B13" w14:textId="77777777" w:rsidR="00980E5F" w:rsidRDefault="00980E5F">
            <w:pPr>
              <w:rPr>
                <w:rFonts w:ascii="宋体"/>
                <w:vanish/>
              </w:rPr>
            </w:pPr>
          </w:p>
        </w:tc>
      </w:tr>
      <w:tr w:rsidR="00980E5F" w14:paraId="392C4B2B" w14:textId="77777777">
        <w:trPr>
          <w:hidden/>
        </w:trPr>
        <w:tc>
          <w:tcPr>
            <w:tcW w:w="0" w:type="auto"/>
            <w:gridSpan w:val="3"/>
            <w:shd w:val="clear" w:color="auto" w:fill="auto"/>
            <w:vAlign w:val="bottom"/>
          </w:tcPr>
          <w:p w14:paraId="392C4B15" w14:textId="77777777" w:rsidR="00980E5F" w:rsidRDefault="00980E5F">
            <w:pPr>
              <w:rPr>
                <w:rFonts w:ascii="宋体"/>
                <w:vanish/>
              </w:rPr>
            </w:pPr>
          </w:p>
        </w:tc>
        <w:tc>
          <w:tcPr>
            <w:tcW w:w="0" w:type="auto"/>
            <w:gridSpan w:val="3"/>
            <w:shd w:val="clear" w:color="auto" w:fill="auto"/>
            <w:vAlign w:val="bottom"/>
          </w:tcPr>
          <w:p w14:paraId="392C4B16" w14:textId="77777777" w:rsidR="00980E5F" w:rsidRDefault="00980E5F">
            <w:pPr>
              <w:rPr>
                <w:rFonts w:ascii="宋体"/>
                <w:vanish/>
              </w:rPr>
            </w:pPr>
          </w:p>
        </w:tc>
        <w:tc>
          <w:tcPr>
            <w:tcW w:w="0" w:type="auto"/>
            <w:gridSpan w:val="3"/>
            <w:shd w:val="clear" w:color="auto" w:fill="auto"/>
            <w:vAlign w:val="bottom"/>
          </w:tcPr>
          <w:p w14:paraId="392C4B17" w14:textId="77777777" w:rsidR="00980E5F" w:rsidRDefault="00980E5F">
            <w:pPr>
              <w:rPr>
                <w:rFonts w:ascii="宋体"/>
                <w:vanish/>
              </w:rPr>
            </w:pPr>
          </w:p>
        </w:tc>
        <w:tc>
          <w:tcPr>
            <w:tcW w:w="0" w:type="auto"/>
            <w:gridSpan w:val="3"/>
            <w:shd w:val="clear" w:color="auto" w:fill="auto"/>
            <w:vAlign w:val="bottom"/>
          </w:tcPr>
          <w:p w14:paraId="392C4B18" w14:textId="77777777" w:rsidR="00980E5F" w:rsidRDefault="00980E5F">
            <w:pPr>
              <w:rPr>
                <w:rFonts w:ascii="宋体"/>
                <w:vanish/>
              </w:rPr>
            </w:pPr>
          </w:p>
        </w:tc>
        <w:tc>
          <w:tcPr>
            <w:tcW w:w="0" w:type="auto"/>
            <w:gridSpan w:val="3"/>
            <w:shd w:val="clear" w:color="auto" w:fill="auto"/>
            <w:vAlign w:val="bottom"/>
          </w:tcPr>
          <w:p w14:paraId="392C4B19" w14:textId="77777777" w:rsidR="00980E5F" w:rsidRDefault="00980E5F">
            <w:pPr>
              <w:rPr>
                <w:rFonts w:ascii="宋体"/>
                <w:vanish/>
              </w:rPr>
            </w:pPr>
          </w:p>
        </w:tc>
        <w:tc>
          <w:tcPr>
            <w:tcW w:w="0" w:type="auto"/>
            <w:gridSpan w:val="3"/>
            <w:shd w:val="clear" w:color="auto" w:fill="auto"/>
            <w:vAlign w:val="bottom"/>
          </w:tcPr>
          <w:p w14:paraId="392C4B1A" w14:textId="77777777" w:rsidR="00980E5F" w:rsidRDefault="00980E5F">
            <w:pPr>
              <w:rPr>
                <w:rFonts w:ascii="宋体"/>
                <w:vanish/>
              </w:rPr>
            </w:pPr>
          </w:p>
        </w:tc>
        <w:tc>
          <w:tcPr>
            <w:tcW w:w="0" w:type="auto"/>
            <w:gridSpan w:val="3"/>
            <w:shd w:val="clear" w:color="auto" w:fill="auto"/>
            <w:vAlign w:val="bottom"/>
          </w:tcPr>
          <w:p w14:paraId="392C4B1B" w14:textId="77777777" w:rsidR="00980E5F" w:rsidRDefault="00980E5F">
            <w:pPr>
              <w:rPr>
                <w:rFonts w:ascii="宋体"/>
                <w:vanish/>
              </w:rPr>
            </w:pPr>
          </w:p>
        </w:tc>
        <w:tc>
          <w:tcPr>
            <w:tcW w:w="0" w:type="auto"/>
            <w:gridSpan w:val="3"/>
            <w:shd w:val="clear" w:color="auto" w:fill="auto"/>
            <w:vAlign w:val="bottom"/>
          </w:tcPr>
          <w:p w14:paraId="392C4B1C" w14:textId="77777777" w:rsidR="00980E5F" w:rsidRDefault="00980E5F">
            <w:pPr>
              <w:rPr>
                <w:rFonts w:ascii="宋体"/>
                <w:vanish/>
              </w:rPr>
            </w:pPr>
          </w:p>
        </w:tc>
        <w:tc>
          <w:tcPr>
            <w:tcW w:w="0" w:type="auto"/>
            <w:gridSpan w:val="3"/>
            <w:shd w:val="clear" w:color="auto" w:fill="auto"/>
            <w:vAlign w:val="bottom"/>
          </w:tcPr>
          <w:p w14:paraId="392C4B1D" w14:textId="77777777" w:rsidR="00980E5F" w:rsidRDefault="00980E5F">
            <w:pPr>
              <w:rPr>
                <w:rFonts w:ascii="宋体"/>
                <w:vanish/>
              </w:rPr>
            </w:pPr>
          </w:p>
        </w:tc>
        <w:tc>
          <w:tcPr>
            <w:tcW w:w="0" w:type="auto"/>
            <w:gridSpan w:val="3"/>
            <w:shd w:val="clear" w:color="auto" w:fill="auto"/>
            <w:vAlign w:val="bottom"/>
          </w:tcPr>
          <w:p w14:paraId="392C4B1E" w14:textId="77777777" w:rsidR="00980E5F" w:rsidRDefault="00980E5F">
            <w:pPr>
              <w:rPr>
                <w:rFonts w:ascii="宋体"/>
                <w:vanish/>
              </w:rPr>
            </w:pPr>
          </w:p>
        </w:tc>
        <w:tc>
          <w:tcPr>
            <w:tcW w:w="0" w:type="auto"/>
            <w:gridSpan w:val="3"/>
            <w:shd w:val="clear" w:color="auto" w:fill="auto"/>
            <w:vAlign w:val="bottom"/>
          </w:tcPr>
          <w:p w14:paraId="392C4B1F" w14:textId="77777777" w:rsidR="00980E5F" w:rsidRDefault="00980E5F">
            <w:pPr>
              <w:rPr>
                <w:rFonts w:ascii="宋体"/>
                <w:vanish/>
              </w:rPr>
            </w:pPr>
          </w:p>
        </w:tc>
        <w:tc>
          <w:tcPr>
            <w:tcW w:w="0" w:type="auto"/>
            <w:gridSpan w:val="3"/>
            <w:shd w:val="clear" w:color="auto" w:fill="auto"/>
            <w:vAlign w:val="bottom"/>
          </w:tcPr>
          <w:p w14:paraId="392C4B20" w14:textId="77777777" w:rsidR="00980E5F" w:rsidRDefault="00980E5F">
            <w:pPr>
              <w:rPr>
                <w:rFonts w:ascii="宋体"/>
                <w:vanish/>
              </w:rPr>
            </w:pPr>
          </w:p>
        </w:tc>
        <w:tc>
          <w:tcPr>
            <w:tcW w:w="0" w:type="auto"/>
            <w:gridSpan w:val="3"/>
            <w:shd w:val="clear" w:color="auto" w:fill="auto"/>
            <w:vAlign w:val="bottom"/>
          </w:tcPr>
          <w:p w14:paraId="392C4B21" w14:textId="77777777" w:rsidR="00980E5F" w:rsidRDefault="00980E5F">
            <w:pPr>
              <w:rPr>
                <w:rFonts w:ascii="宋体"/>
                <w:vanish/>
              </w:rPr>
            </w:pPr>
          </w:p>
        </w:tc>
        <w:tc>
          <w:tcPr>
            <w:tcW w:w="0" w:type="auto"/>
            <w:gridSpan w:val="3"/>
            <w:shd w:val="clear" w:color="auto" w:fill="auto"/>
            <w:vAlign w:val="bottom"/>
          </w:tcPr>
          <w:p w14:paraId="392C4B22" w14:textId="77777777" w:rsidR="00980E5F" w:rsidRDefault="00980E5F">
            <w:pPr>
              <w:rPr>
                <w:rFonts w:ascii="宋体"/>
                <w:vanish/>
              </w:rPr>
            </w:pPr>
          </w:p>
        </w:tc>
        <w:tc>
          <w:tcPr>
            <w:tcW w:w="0" w:type="auto"/>
            <w:gridSpan w:val="3"/>
            <w:shd w:val="clear" w:color="auto" w:fill="auto"/>
            <w:vAlign w:val="bottom"/>
          </w:tcPr>
          <w:p w14:paraId="392C4B23" w14:textId="77777777" w:rsidR="00980E5F" w:rsidRDefault="00980E5F">
            <w:pPr>
              <w:rPr>
                <w:rFonts w:ascii="宋体"/>
                <w:vanish/>
              </w:rPr>
            </w:pPr>
          </w:p>
        </w:tc>
        <w:tc>
          <w:tcPr>
            <w:tcW w:w="0" w:type="auto"/>
            <w:gridSpan w:val="3"/>
            <w:shd w:val="clear" w:color="auto" w:fill="auto"/>
            <w:vAlign w:val="bottom"/>
          </w:tcPr>
          <w:p w14:paraId="392C4B24" w14:textId="77777777" w:rsidR="00980E5F" w:rsidRDefault="00980E5F">
            <w:pPr>
              <w:rPr>
                <w:rFonts w:ascii="宋体"/>
                <w:vanish/>
              </w:rPr>
            </w:pPr>
          </w:p>
        </w:tc>
        <w:tc>
          <w:tcPr>
            <w:tcW w:w="0" w:type="auto"/>
            <w:gridSpan w:val="3"/>
            <w:shd w:val="clear" w:color="auto" w:fill="auto"/>
            <w:vAlign w:val="bottom"/>
          </w:tcPr>
          <w:p w14:paraId="392C4B25" w14:textId="77777777" w:rsidR="00980E5F" w:rsidRDefault="00980E5F">
            <w:pPr>
              <w:rPr>
                <w:rFonts w:ascii="宋体"/>
                <w:vanish/>
              </w:rPr>
            </w:pPr>
          </w:p>
        </w:tc>
        <w:tc>
          <w:tcPr>
            <w:tcW w:w="0" w:type="auto"/>
            <w:gridSpan w:val="3"/>
            <w:shd w:val="clear" w:color="auto" w:fill="auto"/>
            <w:vAlign w:val="bottom"/>
          </w:tcPr>
          <w:p w14:paraId="392C4B26" w14:textId="77777777" w:rsidR="00980E5F" w:rsidRDefault="00980E5F">
            <w:pPr>
              <w:rPr>
                <w:rFonts w:ascii="宋体"/>
                <w:vanish/>
              </w:rPr>
            </w:pPr>
          </w:p>
        </w:tc>
        <w:tc>
          <w:tcPr>
            <w:tcW w:w="0" w:type="auto"/>
            <w:gridSpan w:val="3"/>
            <w:shd w:val="clear" w:color="auto" w:fill="auto"/>
            <w:vAlign w:val="bottom"/>
          </w:tcPr>
          <w:p w14:paraId="392C4B27" w14:textId="77777777" w:rsidR="00980E5F" w:rsidRDefault="00980E5F">
            <w:pPr>
              <w:rPr>
                <w:rFonts w:ascii="宋体"/>
                <w:vanish/>
              </w:rPr>
            </w:pPr>
          </w:p>
        </w:tc>
        <w:tc>
          <w:tcPr>
            <w:tcW w:w="0" w:type="auto"/>
            <w:gridSpan w:val="3"/>
            <w:shd w:val="clear" w:color="auto" w:fill="auto"/>
            <w:vAlign w:val="bottom"/>
          </w:tcPr>
          <w:p w14:paraId="392C4B28" w14:textId="77777777" w:rsidR="00980E5F" w:rsidRDefault="00980E5F">
            <w:pPr>
              <w:rPr>
                <w:rFonts w:ascii="宋体"/>
                <w:vanish/>
              </w:rPr>
            </w:pPr>
          </w:p>
        </w:tc>
        <w:tc>
          <w:tcPr>
            <w:tcW w:w="0" w:type="auto"/>
            <w:gridSpan w:val="2"/>
            <w:shd w:val="clear" w:color="auto" w:fill="auto"/>
            <w:vAlign w:val="bottom"/>
          </w:tcPr>
          <w:p w14:paraId="392C4B29" w14:textId="77777777" w:rsidR="00980E5F" w:rsidRDefault="00980E5F">
            <w:pPr>
              <w:rPr>
                <w:rFonts w:ascii="宋体"/>
                <w:vanish/>
              </w:rPr>
            </w:pPr>
          </w:p>
        </w:tc>
        <w:tc>
          <w:tcPr>
            <w:tcW w:w="0" w:type="auto"/>
            <w:shd w:val="clear" w:color="auto" w:fill="auto"/>
            <w:vAlign w:val="bottom"/>
          </w:tcPr>
          <w:p w14:paraId="392C4B2A" w14:textId="77777777" w:rsidR="00980E5F" w:rsidRDefault="00980E5F">
            <w:pPr>
              <w:rPr>
                <w:rFonts w:ascii="宋体"/>
                <w:vanish/>
              </w:rPr>
            </w:pPr>
          </w:p>
        </w:tc>
      </w:tr>
      <w:tr w:rsidR="00980E5F" w14:paraId="392C4B42" w14:textId="77777777">
        <w:trPr>
          <w:hidden/>
        </w:trPr>
        <w:tc>
          <w:tcPr>
            <w:tcW w:w="0" w:type="auto"/>
            <w:gridSpan w:val="3"/>
            <w:shd w:val="clear" w:color="auto" w:fill="auto"/>
            <w:vAlign w:val="bottom"/>
          </w:tcPr>
          <w:p w14:paraId="392C4B2C" w14:textId="77777777" w:rsidR="00980E5F" w:rsidRDefault="00980E5F">
            <w:pPr>
              <w:rPr>
                <w:rFonts w:ascii="宋体"/>
                <w:vanish/>
              </w:rPr>
            </w:pPr>
          </w:p>
        </w:tc>
        <w:tc>
          <w:tcPr>
            <w:tcW w:w="0" w:type="auto"/>
            <w:gridSpan w:val="3"/>
            <w:shd w:val="clear" w:color="auto" w:fill="auto"/>
            <w:vAlign w:val="bottom"/>
          </w:tcPr>
          <w:p w14:paraId="392C4B2D" w14:textId="77777777" w:rsidR="00980E5F" w:rsidRDefault="00980E5F">
            <w:pPr>
              <w:rPr>
                <w:rFonts w:ascii="宋体"/>
                <w:vanish/>
              </w:rPr>
            </w:pPr>
          </w:p>
        </w:tc>
        <w:tc>
          <w:tcPr>
            <w:tcW w:w="0" w:type="auto"/>
            <w:gridSpan w:val="3"/>
            <w:shd w:val="clear" w:color="auto" w:fill="auto"/>
            <w:vAlign w:val="bottom"/>
          </w:tcPr>
          <w:p w14:paraId="392C4B2E" w14:textId="77777777" w:rsidR="00980E5F" w:rsidRDefault="00980E5F">
            <w:pPr>
              <w:rPr>
                <w:rFonts w:ascii="宋体"/>
                <w:vanish/>
              </w:rPr>
            </w:pPr>
          </w:p>
        </w:tc>
        <w:tc>
          <w:tcPr>
            <w:tcW w:w="0" w:type="auto"/>
            <w:gridSpan w:val="3"/>
            <w:shd w:val="clear" w:color="auto" w:fill="auto"/>
            <w:vAlign w:val="bottom"/>
          </w:tcPr>
          <w:p w14:paraId="392C4B2F" w14:textId="77777777" w:rsidR="00980E5F" w:rsidRDefault="00980E5F">
            <w:pPr>
              <w:rPr>
                <w:rFonts w:ascii="宋体"/>
                <w:vanish/>
              </w:rPr>
            </w:pPr>
          </w:p>
        </w:tc>
        <w:tc>
          <w:tcPr>
            <w:tcW w:w="0" w:type="auto"/>
            <w:gridSpan w:val="3"/>
            <w:shd w:val="clear" w:color="auto" w:fill="auto"/>
            <w:vAlign w:val="bottom"/>
          </w:tcPr>
          <w:p w14:paraId="392C4B30" w14:textId="77777777" w:rsidR="00980E5F" w:rsidRDefault="00980E5F">
            <w:pPr>
              <w:rPr>
                <w:rFonts w:ascii="宋体"/>
                <w:vanish/>
              </w:rPr>
            </w:pPr>
          </w:p>
        </w:tc>
        <w:tc>
          <w:tcPr>
            <w:tcW w:w="0" w:type="auto"/>
            <w:gridSpan w:val="3"/>
            <w:shd w:val="clear" w:color="auto" w:fill="auto"/>
            <w:vAlign w:val="bottom"/>
          </w:tcPr>
          <w:p w14:paraId="392C4B31" w14:textId="77777777" w:rsidR="00980E5F" w:rsidRDefault="00980E5F">
            <w:pPr>
              <w:rPr>
                <w:rFonts w:ascii="宋体"/>
                <w:vanish/>
              </w:rPr>
            </w:pPr>
          </w:p>
        </w:tc>
        <w:tc>
          <w:tcPr>
            <w:tcW w:w="0" w:type="auto"/>
            <w:gridSpan w:val="3"/>
            <w:shd w:val="clear" w:color="auto" w:fill="auto"/>
            <w:vAlign w:val="bottom"/>
          </w:tcPr>
          <w:p w14:paraId="392C4B32" w14:textId="77777777" w:rsidR="00980E5F" w:rsidRDefault="00980E5F">
            <w:pPr>
              <w:rPr>
                <w:rFonts w:ascii="宋体"/>
                <w:vanish/>
              </w:rPr>
            </w:pPr>
          </w:p>
        </w:tc>
        <w:tc>
          <w:tcPr>
            <w:tcW w:w="0" w:type="auto"/>
            <w:gridSpan w:val="3"/>
            <w:shd w:val="clear" w:color="auto" w:fill="auto"/>
            <w:vAlign w:val="bottom"/>
          </w:tcPr>
          <w:p w14:paraId="392C4B33" w14:textId="77777777" w:rsidR="00980E5F" w:rsidRDefault="00980E5F">
            <w:pPr>
              <w:rPr>
                <w:rFonts w:ascii="宋体"/>
                <w:vanish/>
              </w:rPr>
            </w:pPr>
          </w:p>
        </w:tc>
        <w:tc>
          <w:tcPr>
            <w:tcW w:w="0" w:type="auto"/>
            <w:gridSpan w:val="3"/>
            <w:shd w:val="clear" w:color="auto" w:fill="auto"/>
            <w:vAlign w:val="bottom"/>
          </w:tcPr>
          <w:p w14:paraId="392C4B34" w14:textId="77777777" w:rsidR="00980E5F" w:rsidRDefault="00980E5F">
            <w:pPr>
              <w:rPr>
                <w:rFonts w:ascii="宋体"/>
                <w:vanish/>
              </w:rPr>
            </w:pPr>
          </w:p>
        </w:tc>
        <w:tc>
          <w:tcPr>
            <w:tcW w:w="0" w:type="auto"/>
            <w:gridSpan w:val="3"/>
            <w:shd w:val="clear" w:color="auto" w:fill="auto"/>
            <w:vAlign w:val="bottom"/>
          </w:tcPr>
          <w:p w14:paraId="392C4B35" w14:textId="77777777" w:rsidR="00980E5F" w:rsidRDefault="00980E5F">
            <w:pPr>
              <w:rPr>
                <w:rFonts w:ascii="宋体"/>
                <w:vanish/>
              </w:rPr>
            </w:pPr>
          </w:p>
        </w:tc>
        <w:tc>
          <w:tcPr>
            <w:tcW w:w="0" w:type="auto"/>
            <w:gridSpan w:val="3"/>
            <w:shd w:val="clear" w:color="auto" w:fill="auto"/>
            <w:vAlign w:val="bottom"/>
          </w:tcPr>
          <w:p w14:paraId="392C4B36" w14:textId="77777777" w:rsidR="00980E5F" w:rsidRDefault="00980E5F">
            <w:pPr>
              <w:rPr>
                <w:rFonts w:ascii="宋体"/>
                <w:vanish/>
              </w:rPr>
            </w:pPr>
          </w:p>
        </w:tc>
        <w:tc>
          <w:tcPr>
            <w:tcW w:w="0" w:type="auto"/>
            <w:gridSpan w:val="3"/>
            <w:shd w:val="clear" w:color="auto" w:fill="auto"/>
            <w:vAlign w:val="bottom"/>
          </w:tcPr>
          <w:p w14:paraId="392C4B37" w14:textId="77777777" w:rsidR="00980E5F" w:rsidRDefault="00980E5F">
            <w:pPr>
              <w:rPr>
                <w:rFonts w:ascii="宋体"/>
                <w:vanish/>
              </w:rPr>
            </w:pPr>
          </w:p>
        </w:tc>
        <w:tc>
          <w:tcPr>
            <w:tcW w:w="0" w:type="auto"/>
            <w:gridSpan w:val="3"/>
            <w:shd w:val="clear" w:color="auto" w:fill="auto"/>
            <w:vAlign w:val="bottom"/>
          </w:tcPr>
          <w:p w14:paraId="392C4B38" w14:textId="77777777" w:rsidR="00980E5F" w:rsidRDefault="00980E5F">
            <w:pPr>
              <w:rPr>
                <w:rFonts w:ascii="宋体"/>
                <w:vanish/>
              </w:rPr>
            </w:pPr>
          </w:p>
        </w:tc>
        <w:tc>
          <w:tcPr>
            <w:tcW w:w="0" w:type="auto"/>
            <w:gridSpan w:val="3"/>
            <w:shd w:val="clear" w:color="auto" w:fill="auto"/>
            <w:vAlign w:val="bottom"/>
          </w:tcPr>
          <w:p w14:paraId="392C4B39" w14:textId="77777777" w:rsidR="00980E5F" w:rsidRDefault="00980E5F">
            <w:pPr>
              <w:rPr>
                <w:rFonts w:ascii="宋体"/>
                <w:vanish/>
              </w:rPr>
            </w:pPr>
          </w:p>
        </w:tc>
        <w:tc>
          <w:tcPr>
            <w:tcW w:w="0" w:type="auto"/>
            <w:gridSpan w:val="3"/>
            <w:shd w:val="clear" w:color="auto" w:fill="auto"/>
            <w:vAlign w:val="bottom"/>
          </w:tcPr>
          <w:p w14:paraId="392C4B3A" w14:textId="77777777" w:rsidR="00980E5F" w:rsidRDefault="00980E5F">
            <w:pPr>
              <w:rPr>
                <w:rFonts w:ascii="宋体"/>
                <w:vanish/>
              </w:rPr>
            </w:pPr>
          </w:p>
        </w:tc>
        <w:tc>
          <w:tcPr>
            <w:tcW w:w="0" w:type="auto"/>
            <w:gridSpan w:val="3"/>
            <w:shd w:val="clear" w:color="auto" w:fill="auto"/>
            <w:vAlign w:val="bottom"/>
          </w:tcPr>
          <w:p w14:paraId="392C4B3B" w14:textId="77777777" w:rsidR="00980E5F" w:rsidRDefault="00980E5F">
            <w:pPr>
              <w:rPr>
                <w:rFonts w:ascii="宋体"/>
                <w:vanish/>
              </w:rPr>
            </w:pPr>
          </w:p>
        </w:tc>
        <w:tc>
          <w:tcPr>
            <w:tcW w:w="0" w:type="auto"/>
            <w:gridSpan w:val="3"/>
            <w:shd w:val="clear" w:color="auto" w:fill="auto"/>
            <w:vAlign w:val="bottom"/>
          </w:tcPr>
          <w:p w14:paraId="392C4B3C" w14:textId="77777777" w:rsidR="00980E5F" w:rsidRDefault="00980E5F">
            <w:pPr>
              <w:rPr>
                <w:rFonts w:ascii="宋体"/>
                <w:vanish/>
              </w:rPr>
            </w:pPr>
          </w:p>
        </w:tc>
        <w:tc>
          <w:tcPr>
            <w:tcW w:w="0" w:type="auto"/>
            <w:gridSpan w:val="3"/>
            <w:shd w:val="clear" w:color="auto" w:fill="auto"/>
            <w:vAlign w:val="bottom"/>
          </w:tcPr>
          <w:p w14:paraId="392C4B3D" w14:textId="77777777" w:rsidR="00980E5F" w:rsidRDefault="00980E5F">
            <w:pPr>
              <w:rPr>
                <w:rFonts w:ascii="宋体"/>
                <w:vanish/>
              </w:rPr>
            </w:pPr>
          </w:p>
        </w:tc>
        <w:tc>
          <w:tcPr>
            <w:tcW w:w="0" w:type="auto"/>
            <w:gridSpan w:val="3"/>
            <w:shd w:val="clear" w:color="auto" w:fill="auto"/>
            <w:vAlign w:val="bottom"/>
          </w:tcPr>
          <w:p w14:paraId="392C4B3E" w14:textId="77777777" w:rsidR="00980E5F" w:rsidRDefault="00980E5F">
            <w:pPr>
              <w:rPr>
                <w:rFonts w:ascii="宋体"/>
                <w:vanish/>
              </w:rPr>
            </w:pPr>
          </w:p>
        </w:tc>
        <w:tc>
          <w:tcPr>
            <w:tcW w:w="0" w:type="auto"/>
            <w:gridSpan w:val="3"/>
            <w:shd w:val="clear" w:color="auto" w:fill="auto"/>
            <w:vAlign w:val="bottom"/>
          </w:tcPr>
          <w:p w14:paraId="392C4B3F" w14:textId="77777777" w:rsidR="00980E5F" w:rsidRDefault="00980E5F">
            <w:pPr>
              <w:rPr>
                <w:rFonts w:ascii="宋体"/>
                <w:vanish/>
              </w:rPr>
            </w:pPr>
          </w:p>
        </w:tc>
        <w:tc>
          <w:tcPr>
            <w:tcW w:w="0" w:type="auto"/>
            <w:gridSpan w:val="2"/>
            <w:shd w:val="clear" w:color="auto" w:fill="auto"/>
            <w:vAlign w:val="bottom"/>
          </w:tcPr>
          <w:p w14:paraId="392C4B40" w14:textId="77777777" w:rsidR="00980E5F" w:rsidRDefault="00980E5F">
            <w:pPr>
              <w:rPr>
                <w:rFonts w:ascii="宋体"/>
                <w:vanish/>
              </w:rPr>
            </w:pPr>
          </w:p>
        </w:tc>
        <w:tc>
          <w:tcPr>
            <w:tcW w:w="0" w:type="auto"/>
            <w:shd w:val="clear" w:color="auto" w:fill="auto"/>
            <w:vAlign w:val="bottom"/>
          </w:tcPr>
          <w:p w14:paraId="392C4B41" w14:textId="77777777" w:rsidR="00980E5F" w:rsidRDefault="00980E5F">
            <w:pPr>
              <w:rPr>
                <w:rFonts w:ascii="宋体"/>
                <w:vanish/>
              </w:rPr>
            </w:pPr>
          </w:p>
        </w:tc>
      </w:tr>
      <w:tr w:rsidR="00980E5F" w14:paraId="392C4B59" w14:textId="77777777">
        <w:trPr>
          <w:hidden/>
        </w:trPr>
        <w:tc>
          <w:tcPr>
            <w:tcW w:w="0" w:type="auto"/>
            <w:gridSpan w:val="3"/>
            <w:shd w:val="clear" w:color="auto" w:fill="auto"/>
            <w:vAlign w:val="bottom"/>
          </w:tcPr>
          <w:p w14:paraId="392C4B43" w14:textId="77777777" w:rsidR="00980E5F" w:rsidRDefault="00980E5F">
            <w:pPr>
              <w:rPr>
                <w:rFonts w:ascii="宋体"/>
                <w:vanish/>
              </w:rPr>
            </w:pPr>
          </w:p>
        </w:tc>
        <w:tc>
          <w:tcPr>
            <w:tcW w:w="0" w:type="auto"/>
            <w:gridSpan w:val="3"/>
            <w:shd w:val="clear" w:color="auto" w:fill="auto"/>
            <w:vAlign w:val="bottom"/>
          </w:tcPr>
          <w:p w14:paraId="392C4B44" w14:textId="77777777" w:rsidR="00980E5F" w:rsidRDefault="00980E5F">
            <w:pPr>
              <w:rPr>
                <w:rFonts w:ascii="宋体"/>
                <w:vanish/>
              </w:rPr>
            </w:pPr>
          </w:p>
        </w:tc>
        <w:tc>
          <w:tcPr>
            <w:tcW w:w="0" w:type="auto"/>
            <w:gridSpan w:val="3"/>
            <w:shd w:val="clear" w:color="auto" w:fill="auto"/>
            <w:vAlign w:val="bottom"/>
          </w:tcPr>
          <w:p w14:paraId="392C4B45" w14:textId="77777777" w:rsidR="00980E5F" w:rsidRDefault="00980E5F">
            <w:pPr>
              <w:rPr>
                <w:rFonts w:ascii="宋体"/>
                <w:vanish/>
              </w:rPr>
            </w:pPr>
          </w:p>
        </w:tc>
        <w:tc>
          <w:tcPr>
            <w:tcW w:w="0" w:type="auto"/>
            <w:gridSpan w:val="3"/>
            <w:shd w:val="clear" w:color="auto" w:fill="auto"/>
            <w:vAlign w:val="bottom"/>
          </w:tcPr>
          <w:p w14:paraId="392C4B46" w14:textId="77777777" w:rsidR="00980E5F" w:rsidRDefault="00980E5F">
            <w:pPr>
              <w:rPr>
                <w:rFonts w:ascii="宋体"/>
                <w:vanish/>
              </w:rPr>
            </w:pPr>
          </w:p>
        </w:tc>
        <w:tc>
          <w:tcPr>
            <w:tcW w:w="0" w:type="auto"/>
            <w:gridSpan w:val="3"/>
            <w:shd w:val="clear" w:color="auto" w:fill="auto"/>
            <w:vAlign w:val="bottom"/>
          </w:tcPr>
          <w:p w14:paraId="392C4B47" w14:textId="77777777" w:rsidR="00980E5F" w:rsidRDefault="00980E5F">
            <w:pPr>
              <w:rPr>
                <w:rFonts w:ascii="宋体"/>
                <w:vanish/>
              </w:rPr>
            </w:pPr>
          </w:p>
        </w:tc>
        <w:tc>
          <w:tcPr>
            <w:tcW w:w="0" w:type="auto"/>
            <w:gridSpan w:val="3"/>
            <w:shd w:val="clear" w:color="auto" w:fill="auto"/>
            <w:vAlign w:val="bottom"/>
          </w:tcPr>
          <w:p w14:paraId="392C4B48" w14:textId="77777777" w:rsidR="00980E5F" w:rsidRDefault="00980E5F">
            <w:pPr>
              <w:rPr>
                <w:rFonts w:ascii="宋体"/>
                <w:vanish/>
              </w:rPr>
            </w:pPr>
          </w:p>
        </w:tc>
        <w:tc>
          <w:tcPr>
            <w:tcW w:w="0" w:type="auto"/>
            <w:gridSpan w:val="3"/>
            <w:shd w:val="clear" w:color="auto" w:fill="auto"/>
            <w:vAlign w:val="bottom"/>
          </w:tcPr>
          <w:p w14:paraId="392C4B49" w14:textId="77777777" w:rsidR="00980E5F" w:rsidRDefault="00980E5F">
            <w:pPr>
              <w:rPr>
                <w:rFonts w:ascii="宋体"/>
                <w:vanish/>
              </w:rPr>
            </w:pPr>
          </w:p>
        </w:tc>
        <w:tc>
          <w:tcPr>
            <w:tcW w:w="0" w:type="auto"/>
            <w:gridSpan w:val="3"/>
            <w:shd w:val="clear" w:color="auto" w:fill="auto"/>
            <w:vAlign w:val="bottom"/>
          </w:tcPr>
          <w:p w14:paraId="392C4B4A" w14:textId="77777777" w:rsidR="00980E5F" w:rsidRDefault="00980E5F">
            <w:pPr>
              <w:rPr>
                <w:rFonts w:ascii="宋体"/>
                <w:vanish/>
              </w:rPr>
            </w:pPr>
          </w:p>
        </w:tc>
        <w:tc>
          <w:tcPr>
            <w:tcW w:w="0" w:type="auto"/>
            <w:gridSpan w:val="3"/>
            <w:shd w:val="clear" w:color="auto" w:fill="auto"/>
            <w:vAlign w:val="bottom"/>
          </w:tcPr>
          <w:p w14:paraId="392C4B4B" w14:textId="77777777" w:rsidR="00980E5F" w:rsidRDefault="00980E5F">
            <w:pPr>
              <w:rPr>
                <w:rFonts w:ascii="宋体"/>
                <w:vanish/>
              </w:rPr>
            </w:pPr>
          </w:p>
        </w:tc>
        <w:tc>
          <w:tcPr>
            <w:tcW w:w="0" w:type="auto"/>
            <w:gridSpan w:val="3"/>
            <w:shd w:val="clear" w:color="auto" w:fill="auto"/>
            <w:vAlign w:val="bottom"/>
          </w:tcPr>
          <w:p w14:paraId="392C4B4C" w14:textId="77777777" w:rsidR="00980E5F" w:rsidRDefault="00980E5F">
            <w:pPr>
              <w:rPr>
                <w:rFonts w:ascii="宋体"/>
                <w:vanish/>
              </w:rPr>
            </w:pPr>
          </w:p>
        </w:tc>
        <w:tc>
          <w:tcPr>
            <w:tcW w:w="0" w:type="auto"/>
            <w:gridSpan w:val="3"/>
            <w:shd w:val="clear" w:color="auto" w:fill="auto"/>
            <w:vAlign w:val="bottom"/>
          </w:tcPr>
          <w:p w14:paraId="392C4B4D" w14:textId="77777777" w:rsidR="00980E5F" w:rsidRDefault="00980E5F">
            <w:pPr>
              <w:rPr>
                <w:rFonts w:ascii="宋体"/>
                <w:vanish/>
              </w:rPr>
            </w:pPr>
          </w:p>
        </w:tc>
        <w:tc>
          <w:tcPr>
            <w:tcW w:w="0" w:type="auto"/>
            <w:gridSpan w:val="3"/>
            <w:shd w:val="clear" w:color="auto" w:fill="auto"/>
            <w:vAlign w:val="bottom"/>
          </w:tcPr>
          <w:p w14:paraId="392C4B4E" w14:textId="77777777" w:rsidR="00980E5F" w:rsidRDefault="00980E5F">
            <w:pPr>
              <w:rPr>
                <w:rFonts w:ascii="宋体"/>
                <w:vanish/>
              </w:rPr>
            </w:pPr>
          </w:p>
        </w:tc>
        <w:tc>
          <w:tcPr>
            <w:tcW w:w="0" w:type="auto"/>
            <w:gridSpan w:val="3"/>
            <w:shd w:val="clear" w:color="auto" w:fill="auto"/>
            <w:vAlign w:val="bottom"/>
          </w:tcPr>
          <w:p w14:paraId="392C4B4F" w14:textId="77777777" w:rsidR="00980E5F" w:rsidRDefault="00980E5F">
            <w:pPr>
              <w:rPr>
                <w:rFonts w:ascii="宋体"/>
                <w:vanish/>
              </w:rPr>
            </w:pPr>
          </w:p>
        </w:tc>
        <w:tc>
          <w:tcPr>
            <w:tcW w:w="0" w:type="auto"/>
            <w:gridSpan w:val="3"/>
            <w:shd w:val="clear" w:color="auto" w:fill="auto"/>
            <w:vAlign w:val="bottom"/>
          </w:tcPr>
          <w:p w14:paraId="392C4B50" w14:textId="77777777" w:rsidR="00980E5F" w:rsidRDefault="00980E5F">
            <w:pPr>
              <w:rPr>
                <w:rFonts w:ascii="宋体"/>
                <w:vanish/>
              </w:rPr>
            </w:pPr>
          </w:p>
        </w:tc>
        <w:tc>
          <w:tcPr>
            <w:tcW w:w="0" w:type="auto"/>
            <w:gridSpan w:val="3"/>
            <w:shd w:val="clear" w:color="auto" w:fill="auto"/>
            <w:vAlign w:val="bottom"/>
          </w:tcPr>
          <w:p w14:paraId="392C4B51" w14:textId="77777777" w:rsidR="00980E5F" w:rsidRDefault="00980E5F">
            <w:pPr>
              <w:rPr>
                <w:rFonts w:ascii="宋体"/>
                <w:vanish/>
              </w:rPr>
            </w:pPr>
          </w:p>
        </w:tc>
        <w:tc>
          <w:tcPr>
            <w:tcW w:w="0" w:type="auto"/>
            <w:gridSpan w:val="3"/>
            <w:shd w:val="clear" w:color="auto" w:fill="auto"/>
            <w:vAlign w:val="bottom"/>
          </w:tcPr>
          <w:p w14:paraId="392C4B52" w14:textId="77777777" w:rsidR="00980E5F" w:rsidRDefault="00980E5F">
            <w:pPr>
              <w:rPr>
                <w:rFonts w:ascii="宋体"/>
                <w:vanish/>
              </w:rPr>
            </w:pPr>
          </w:p>
        </w:tc>
        <w:tc>
          <w:tcPr>
            <w:tcW w:w="0" w:type="auto"/>
            <w:gridSpan w:val="3"/>
            <w:shd w:val="clear" w:color="auto" w:fill="auto"/>
            <w:vAlign w:val="bottom"/>
          </w:tcPr>
          <w:p w14:paraId="392C4B53" w14:textId="77777777" w:rsidR="00980E5F" w:rsidRDefault="00980E5F">
            <w:pPr>
              <w:rPr>
                <w:rFonts w:ascii="宋体"/>
                <w:vanish/>
              </w:rPr>
            </w:pPr>
          </w:p>
        </w:tc>
        <w:tc>
          <w:tcPr>
            <w:tcW w:w="0" w:type="auto"/>
            <w:gridSpan w:val="3"/>
            <w:shd w:val="clear" w:color="auto" w:fill="auto"/>
            <w:vAlign w:val="bottom"/>
          </w:tcPr>
          <w:p w14:paraId="392C4B54" w14:textId="77777777" w:rsidR="00980E5F" w:rsidRDefault="00980E5F">
            <w:pPr>
              <w:rPr>
                <w:rFonts w:ascii="宋体"/>
                <w:vanish/>
              </w:rPr>
            </w:pPr>
          </w:p>
        </w:tc>
        <w:tc>
          <w:tcPr>
            <w:tcW w:w="0" w:type="auto"/>
            <w:gridSpan w:val="3"/>
            <w:shd w:val="clear" w:color="auto" w:fill="auto"/>
            <w:vAlign w:val="bottom"/>
          </w:tcPr>
          <w:p w14:paraId="392C4B55" w14:textId="77777777" w:rsidR="00980E5F" w:rsidRDefault="00980E5F">
            <w:pPr>
              <w:rPr>
                <w:rFonts w:ascii="宋体"/>
                <w:vanish/>
              </w:rPr>
            </w:pPr>
          </w:p>
        </w:tc>
        <w:tc>
          <w:tcPr>
            <w:tcW w:w="0" w:type="auto"/>
            <w:gridSpan w:val="3"/>
            <w:shd w:val="clear" w:color="auto" w:fill="auto"/>
            <w:vAlign w:val="bottom"/>
          </w:tcPr>
          <w:p w14:paraId="392C4B56" w14:textId="77777777" w:rsidR="00980E5F" w:rsidRDefault="00980E5F">
            <w:pPr>
              <w:rPr>
                <w:rFonts w:ascii="宋体"/>
                <w:vanish/>
              </w:rPr>
            </w:pPr>
          </w:p>
        </w:tc>
        <w:tc>
          <w:tcPr>
            <w:tcW w:w="0" w:type="auto"/>
            <w:gridSpan w:val="2"/>
            <w:shd w:val="clear" w:color="auto" w:fill="auto"/>
            <w:vAlign w:val="bottom"/>
          </w:tcPr>
          <w:p w14:paraId="392C4B57" w14:textId="77777777" w:rsidR="00980E5F" w:rsidRDefault="00980E5F">
            <w:pPr>
              <w:rPr>
                <w:rFonts w:ascii="宋体"/>
                <w:vanish/>
              </w:rPr>
            </w:pPr>
          </w:p>
        </w:tc>
        <w:tc>
          <w:tcPr>
            <w:tcW w:w="0" w:type="auto"/>
            <w:shd w:val="clear" w:color="auto" w:fill="auto"/>
            <w:vAlign w:val="bottom"/>
          </w:tcPr>
          <w:p w14:paraId="392C4B58" w14:textId="77777777" w:rsidR="00980E5F" w:rsidRDefault="00980E5F">
            <w:pPr>
              <w:rPr>
                <w:rFonts w:ascii="宋体"/>
                <w:vanish/>
              </w:rPr>
            </w:pPr>
          </w:p>
        </w:tc>
      </w:tr>
      <w:tr w:rsidR="00980E5F" w14:paraId="392C4B70" w14:textId="77777777">
        <w:trPr>
          <w:hidden/>
        </w:trPr>
        <w:tc>
          <w:tcPr>
            <w:tcW w:w="0" w:type="auto"/>
            <w:gridSpan w:val="3"/>
            <w:shd w:val="clear" w:color="auto" w:fill="auto"/>
            <w:vAlign w:val="bottom"/>
          </w:tcPr>
          <w:p w14:paraId="392C4B5A" w14:textId="77777777" w:rsidR="00980E5F" w:rsidRDefault="00980E5F">
            <w:pPr>
              <w:rPr>
                <w:rFonts w:ascii="宋体"/>
                <w:vanish/>
              </w:rPr>
            </w:pPr>
          </w:p>
        </w:tc>
        <w:tc>
          <w:tcPr>
            <w:tcW w:w="0" w:type="auto"/>
            <w:gridSpan w:val="3"/>
            <w:shd w:val="clear" w:color="auto" w:fill="auto"/>
            <w:vAlign w:val="bottom"/>
          </w:tcPr>
          <w:p w14:paraId="392C4B5B" w14:textId="77777777" w:rsidR="00980E5F" w:rsidRDefault="00980E5F">
            <w:pPr>
              <w:rPr>
                <w:rFonts w:ascii="宋体"/>
                <w:vanish/>
              </w:rPr>
            </w:pPr>
          </w:p>
        </w:tc>
        <w:tc>
          <w:tcPr>
            <w:tcW w:w="0" w:type="auto"/>
            <w:gridSpan w:val="3"/>
            <w:shd w:val="clear" w:color="auto" w:fill="auto"/>
            <w:vAlign w:val="bottom"/>
          </w:tcPr>
          <w:p w14:paraId="392C4B5C" w14:textId="77777777" w:rsidR="00980E5F" w:rsidRDefault="00980E5F">
            <w:pPr>
              <w:rPr>
                <w:rFonts w:ascii="宋体"/>
                <w:vanish/>
              </w:rPr>
            </w:pPr>
          </w:p>
        </w:tc>
        <w:tc>
          <w:tcPr>
            <w:tcW w:w="0" w:type="auto"/>
            <w:gridSpan w:val="3"/>
            <w:shd w:val="clear" w:color="auto" w:fill="auto"/>
            <w:vAlign w:val="bottom"/>
          </w:tcPr>
          <w:p w14:paraId="392C4B5D" w14:textId="77777777" w:rsidR="00980E5F" w:rsidRDefault="00980E5F">
            <w:pPr>
              <w:rPr>
                <w:rFonts w:ascii="宋体"/>
                <w:vanish/>
              </w:rPr>
            </w:pPr>
          </w:p>
        </w:tc>
        <w:tc>
          <w:tcPr>
            <w:tcW w:w="0" w:type="auto"/>
            <w:gridSpan w:val="3"/>
            <w:shd w:val="clear" w:color="auto" w:fill="auto"/>
            <w:vAlign w:val="bottom"/>
          </w:tcPr>
          <w:p w14:paraId="392C4B5E" w14:textId="77777777" w:rsidR="00980E5F" w:rsidRDefault="00980E5F">
            <w:pPr>
              <w:rPr>
                <w:rFonts w:ascii="宋体"/>
                <w:vanish/>
              </w:rPr>
            </w:pPr>
          </w:p>
        </w:tc>
        <w:tc>
          <w:tcPr>
            <w:tcW w:w="0" w:type="auto"/>
            <w:gridSpan w:val="3"/>
            <w:shd w:val="clear" w:color="auto" w:fill="auto"/>
            <w:vAlign w:val="bottom"/>
          </w:tcPr>
          <w:p w14:paraId="392C4B5F" w14:textId="77777777" w:rsidR="00980E5F" w:rsidRDefault="00980E5F">
            <w:pPr>
              <w:rPr>
                <w:rFonts w:ascii="宋体"/>
                <w:vanish/>
              </w:rPr>
            </w:pPr>
          </w:p>
        </w:tc>
        <w:tc>
          <w:tcPr>
            <w:tcW w:w="0" w:type="auto"/>
            <w:gridSpan w:val="3"/>
            <w:shd w:val="clear" w:color="auto" w:fill="auto"/>
            <w:vAlign w:val="bottom"/>
          </w:tcPr>
          <w:p w14:paraId="392C4B60" w14:textId="77777777" w:rsidR="00980E5F" w:rsidRDefault="00980E5F">
            <w:pPr>
              <w:rPr>
                <w:rFonts w:ascii="宋体"/>
                <w:vanish/>
              </w:rPr>
            </w:pPr>
          </w:p>
        </w:tc>
        <w:tc>
          <w:tcPr>
            <w:tcW w:w="0" w:type="auto"/>
            <w:gridSpan w:val="3"/>
            <w:shd w:val="clear" w:color="auto" w:fill="auto"/>
            <w:vAlign w:val="bottom"/>
          </w:tcPr>
          <w:p w14:paraId="392C4B61" w14:textId="77777777" w:rsidR="00980E5F" w:rsidRDefault="00980E5F">
            <w:pPr>
              <w:rPr>
                <w:rFonts w:ascii="宋体"/>
                <w:vanish/>
              </w:rPr>
            </w:pPr>
          </w:p>
        </w:tc>
        <w:tc>
          <w:tcPr>
            <w:tcW w:w="0" w:type="auto"/>
            <w:gridSpan w:val="3"/>
            <w:shd w:val="clear" w:color="auto" w:fill="auto"/>
            <w:vAlign w:val="bottom"/>
          </w:tcPr>
          <w:p w14:paraId="392C4B62" w14:textId="77777777" w:rsidR="00980E5F" w:rsidRDefault="00980E5F">
            <w:pPr>
              <w:rPr>
                <w:rFonts w:ascii="宋体"/>
                <w:vanish/>
              </w:rPr>
            </w:pPr>
          </w:p>
        </w:tc>
        <w:tc>
          <w:tcPr>
            <w:tcW w:w="0" w:type="auto"/>
            <w:gridSpan w:val="3"/>
            <w:shd w:val="clear" w:color="auto" w:fill="auto"/>
            <w:vAlign w:val="bottom"/>
          </w:tcPr>
          <w:p w14:paraId="392C4B63" w14:textId="77777777" w:rsidR="00980E5F" w:rsidRDefault="00980E5F">
            <w:pPr>
              <w:rPr>
                <w:rFonts w:ascii="宋体"/>
                <w:vanish/>
              </w:rPr>
            </w:pPr>
          </w:p>
        </w:tc>
        <w:tc>
          <w:tcPr>
            <w:tcW w:w="0" w:type="auto"/>
            <w:gridSpan w:val="3"/>
            <w:shd w:val="clear" w:color="auto" w:fill="auto"/>
            <w:vAlign w:val="bottom"/>
          </w:tcPr>
          <w:p w14:paraId="392C4B64" w14:textId="77777777" w:rsidR="00980E5F" w:rsidRDefault="00980E5F">
            <w:pPr>
              <w:rPr>
                <w:rFonts w:ascii="宋体"/>
                <w:vanish/>
              </w:rPr>
            </w:pPr>
          </w:p>
        </w:tc>
        <w:tc>
          <w:tcPr>
            <w:tcW w:w="0" w:type="auto"/>
            <w:gridSpan w:val="3"/>
            <w:shd w:val="clear" w:color="auto" w:fill="auto"/>
            <w:vAlign w:val="bottom"/>
          </w:tcPr>
          <w:p w14:paraId="392C4B65" w14:textId="77777777" w:rsidR="00980E5F" w:rsidRDefault="00980E5F">
            <w:pPr>
              <w:rPr>
                <w:rFonts w:ascii="宋体"/>
                <w:vanish/>
              </w:rPr>
            </w:pPr>
          </w:p>
        </w:tc>
        <w:tc>
          <w:tcPr>
            <w:tcW w:w="0" w:type="auto"/>
            <w:gridSpan w:val="3"/>
            <w:shd w:val="clear" w:color="auto" w:fill="auto"/>
            <w:vAlign w:val="bottom"/>
          </w:tcPr>
          <w:p w14:paraId="392C4B66" w14:textId="77777777" w:rsidR="00980E5F" w:rsidRDefault="00980E5F">
            <w:pPr>
              <w:rPr>
                <w:rFonts w:ascii="宋体"/>
                <w:vanish/>
              </w:rPr>
            </w:pPr>
          </w:p>
        </w:tc>
        <w:tc>
          <w:tcPr>
            <w:tcW w:w="0" w:type="auto"/>
            <w:gridSpan w:val="3"/>
            <w:shd w:val="clear" w:color="auto" w:fill="auto"/>
            <w:vAlign w:val="bottom"/>
          </w:tcPr>
          <w:p w14:paraId="392C4B67" w14:textId="77777777" w:rsidR="00980E5F" w:rsidRDefault="00980E5F">
            <w:pPr>
              <w:rPr>
                <w:rFonts w:ascii="宋体"/>
                <w:vanish/>
              </w:rPr>
            </w:pPr>
          </w:p>
        </w:tc>
        <w:tc>
          <w:tcPr>
            <w:tcW w:w="0" w:type="auto"/>
            <w:gridSpan w:val="3"/>
            <w:shd w:val="clear" w:color="auto" w:fill="auto"/>
            <w:vAlign w:val="bottom"/>
          </w:tcPr>
          <w:p w14:paraId="392C4B68" w14:textId="77777777" w:rsidR="00980E5F" w:rsidRDefault="00980E5F">
            <w:pPr>
              <w:rPr>
                <w:rFonts w:ascii="宋体"/>
                <w:vanish/>
              </w:rPr>
            </w:pPr>
          </w:p>
        </w:tc>
        <w:tc>
          <w:tcPr>
            <w:tcW w:w="0" w:type="auto"/>
            <w:gridSpan w:val="3"/>
            <w:shd w:val="clear" w:color="auto" w:fill="auto"/>
            <w:vAlign w:val="bottom"/>
          </w:tcPr>
          <w:p w14:paraId="392C4B69" w14:textId="77777777" w:rsidR="00980E5F" w:rsidRDefault="00980E5F">
            <w:pPr>
              <w:rPr>
                <w:rFonts w:ascii="宋体"/>
                <w:vanish/>
              </w:rPr>
            </w:pPr>
          </w:p>
        </w:tc>
        <w:tc>
          <w:tcPr>
            <w:tcW w:w="0" w:type="auto"/>
            <w:gridSpan w:val="3"/>
            <w:shd w:val="clear" w:color="auto" w:fill="auto"/>
            <w:vAlign w:val="bottom"/>
          </w:tcPr>
          <w:p w14:paraId="392C4B6A" w14:textId="77777777" w:rsidR="00980E5F" w:rsidRDefault="00980E5F">
            <w:pPr>
              <w:rPr>
                <w:rFonts w:ascii="宋体"/>
                <w:vanish/>
              </w:rPr>
            </w:pPr>
          </w:p>
        </w:tc>
        <w:tc>
          <w:tcPr>
            <w:tcW w:w="0" w:type="auto"/>
            <w:gridSpan w:val="3"/>
            <w:shd w:val="clear" w:color="auto" w:fill="auto"/>
            <w:vAlign w:val="bottom"/>
          </w:tcPr>
          <w:p w14:paraId="392C4B6B" w14:textId="77777777" w:rsidR="00980E5F" w:rsidRDefault="00980E5F">
            <w:pPr>
              <w:rPr>
                <w:rFonts w:ascii="宋体"/>
                <w:vanish/>
              </w:rPr>
            </w:pPr>
          </w:p>
        </w:tc>
        <w:tc>
          <w:tcPr>
            <w:tcW w:w="0" w:type="auto"/>
            <w:gridSpan w:val="3"/>
            <w:shd w:val="clear" w:color="auto" w:fill="auto"/>
            <w:vAlign w:val="bottom"/>
          </w:tcPr>
          <w:p w14:paraId="392C4B6C" w14:textId="77777777" w:rsidR="00980E5F" w:rsidRDefault="00980E5F">
            <w:pPr>
              <w:rPr>
                <w:rFonts w:ascii="宋体"/>
                <w:vanish/>
              </w:rPr>
            </w:pPr>
          </w:p>
        </w:tc>
        <w:tc>
          <w:tcPr>
            <w:tcW w:w="0" w:type="auto"/>
            <w:gridSpan w:val="3"/>
            <w:shd w:val="clear" w:color="auto" w:fill="auto"/>
            <w:vAlign w:val="bottom"/>
          </w:tcPr>
          <w:p w14:paraId="392C4B6D" w14:textId="77777777" w:rsidR="00980E5F" w:rsidRDefault="00980E5F">
            <w:pPr>
              <w:rPr>
                <w:rFonts w:ascii="宋体"/>
                <w:vanish/>
              </w:rPr>
            </w:pPr>
          </w:p>
        </w:tc>
        <w:tc>
          <w:tcPr>
            <w:tcW w:w="0" w:type="auto"/>
            <w:gridSpan w:val="2"/>
            <w:shd w:val="clear" w:color="auto" w:fill="auto"/>
            <w:vAlign w:val="bottom"/>
          </w:tcPr>
          <w:p w14:paraId="392C4B6E" w14:textId="77777777" w:rsidR="00980E5F" w:rsidRDefault="00980E5F">
            <w:pPr>
              <w:rPr>
                <w:rFonts w:ascii="宋体"/>
                <w:vanish/>
              </w:rPr>
            </w:pPr>
          </w:p>
        </w:tc>
        <w:tc>
          <w:tcPr>
            <w:tcW w:w="0" w:type="auto"/>
            <w:shd w:val="clear" w:color="auto" w:fill="auto"/>
            <w:vAlign w:val="bottom"/>
          </w:tcPr>
          <w:p w14:paraId="392C4B6F" w14:textId="77777777" w:rsidR="00980E5F" w:rsidRDefault="00980E5F">
            <w:pPr>
              <w:rPr>
                <w:rFonts w:ascii="宋体"/>
                <w:vanish/>
              </w:rPr>
            </w:pPr>
          </w:p>
        </w:tc>
      </w:tr>
      <w:tr w:rsidR="00980E5F" w14:paraId="392C4B87" w14:textId="77777777">
        <w:trPr>
          <w:hidden/>
        </w:trPr>
        <w:tc>
          <w:tcPr>
            <w:tcW w:w="0" w:type="auto"/>
            <w:gridSpan w:val="3"/>
            <w:shd w:val="clear" w:color="auto" w:fill="auto"/>
            <w:vAlign w:val="bottom"/>
          </w:tcPr>
          <w:p w14:paraId="392C4B71" w14:textId="77777777" w:rsidR="00980E5F" w:rsidRDefault="00980E5F">
            <w:pPr>
              <w:rPr>
                <w:rFonts w:ascii="宋体"/>
                <w:vanish/>
              </w:rPr>
            </w:pPr>
          </w:p>
        </w:tc>
        <w:tc>
          <w:tcPr>
            <w:tcW w:w="0" w:type="auto"/>
            <w:gridSpan w:val="3"/>
            <w:shd w:val="clear" w:color="auto" w:fill="auto"/>
            <w:vAlign w:val="bottom"/>
          </w:tcPr>
          <w:p w14:paraId="392C4B72" w14:textId="77777777" w:rsidR="00980E5F" w:rsidRDefault="00980E5F">
            <w:pPr>
              <w:rPr>
                <w:rFonts w:ascii="宋体"/>
                <w:vanish/>
              </w:rPr>
            </w:pPr>
          </w:p>
        </w:tc>
        <w:tc>
          <w:tcPr>
            <w:tcW w:w="0" w:type="auto"/>
            <w:gridSpan w:val="3"/>
            <w:shd w:val="clear" w:color="auto" w:fill="auto"/>
            <w:vAlign w:val="bottom"/>
          </w:tcPr>
          <w:p w14:paraId="392C4B73" w14:textId="77777777" w:rsidR="00980E5F" w:rsidRDefault="00980E5F">
            <w:pPr>
              <w:rPr>
                <w:rFonts w:ascii="宋体"/>
                <w:vanish/>
              </w:rPr>
            </w:pPr>
          </w:p>
        </w:tc>
        <w:tc>
          <w:tcPr>
            <w:tcW w:w="0" w:type="auto"/>
            <w:gridSpan w:val="3"/>
            <w:shd w:val="clear" w:color="auto" w:fill="auto"/>
            <w:vAlign w:val="bottom"/>
          </w:tcPr>
          <w:p w14:paraId="392C4B74" w14:textId="77777777" w:rsidR="00980E5F" w:rsidRDefault="00980E5F">
            <w:pPr>
              <w:rPr>
                <w:rFonts w:ascii="宋体"/>
                <w:vanish/>
              </w:rPr>
            </w:pPr>
          </w:p>
        </w:tc>
        <w:tc>
          <w:tcPr>
            <w:tcW w:w="0" w:type="auto"/>
            <w:gridSpan w:val="3"/>
            <w:shd w:val="clear" w:color="auto" w:fill="auto"/>
            <w:vAlign w:val="bottom"/>
          </w:tcPr>
          <w:p w14:paraId="392C4B75" w14:textId="77777777" w:rsidR="00980E5F" w:rsidRDefault="00980E5F">
            <w:pPr>
              <w:rPr>
                <w:rFonts w:ascii="宋体"/>
                <w:vanish/>
              </w:rPr>
            </w:pPr>
          </w:p>
        </w:tc>
        <w:tc>
          <w:tcPr>
            <w:tcW w:w="0" w:type="auto"/>
            <w:gridSpan w:val="3"/>
            <w:shd w:val="clear" w:color="auto" w:fill="auto"/>
            <w:vAlign w:val="bottom"/>
          </w:tcPr>
          <w:p w14:paraId="392C4B76" w14:textId="77777777" w:rsidR="00980E5F" w:rsidRDefault="00980E5F">
            <w:pPr>
              <w:rPr>
                <w:rFonts w:ascii="宋体"/>
                <w:vanish/>
              </w:rPr>
            </w:pPr>
          </w:p>
        </w:tc>
        <w:tc>
          <w:tcPr>
            <w:tcW w:w="0" w:type="auto"/>
            <w:gridSpan w:val="3"/>
            <w:shd w:val="clear" w:color="auto" w:fill="auto"/>
            <w:vAlign w:val="bottom"/>
          </w:tcPr>
          <w:p w14:paraId="392C4B77" w14:textId="77777777" w:rsidR="00980E5F" w:rsidRDefault="00980E5F">
            <w:pPr>
              <w:rPr>
                <w:rFonts w:ascii="宋体"/>
                <w:vanish/>
              </w:rPr>
            </w:pPr>
          </w:p>
        </w:tc>
        <w:tc>
          <w:tcPr>
            <w:tcW w:w="0" w:type="auto"/>
            <w:gridSpan w:val="3"/>
            <w:shd w:val="clear" w:color="auto" w:fill="auto"/>
            <w:vAlign w:val="bottom"/>
          </w:tcPr>
          <w:p w14:paraId="392C4B78" w14:textId="77777777" w:rsidR="00980E5F" w:rsidRDefault="00980E5F">
            <w:pPr>
              <w:rPr>
                <w:rFonts w:ascii="宋体"/>
                <w:vanish/>
              </w:rPr>
            </w:pPr>
          </w:p>
        </w:tc>
        <w:tc>
          <w:tcPr>
            <w:tcW w:w="0" w:type="auto"/>
            <w:gridSpan w:val="3"/>
            <w:shd w:val="clear" w:color="auto" w:fill="auto"/>
            <w:vAlign w:val="bottom"/>
          </w:tcPr>
          <w:p w14:paraId="392C4B79" w14:textId="77777777" w:rsidR="00980E5F" w:rsidRDefault="00980E5F">
            <w:pPr>
              <w:rPr>
                <w:rFonts w:ascii="宋体"/>
                <w:vanish/>
              </w:rPr>
            </w:pPr>
          </w:p>
        </w:tc>
        <w:tc>
          <w:tcPr>
            <w:tcW w:w="0" w:type="auto"/>
            <w:gridSpan w:val="3"/>
            <w:shd w:val="clear" w:color="auto" w:fill="auto"/>
            <w:vAlign w:val="bottom"/>
          </w:tcPr>
          <w:p w14:paraId="392C4B7A" w14:textId="77777777" w:rsidR="00980E5F" w:rsidRDefault="00980E5F">
            <w:pPr>
              <w:rPr>
                <w:rFonts w:ascii="宋体"/>
                <w:vanish/>
              </w:rPr>
            </w:pPr>
          </w:p>
        </w:tc>
        <w:tc>
          <w:tcPr>
            <w:tcW w:w="0" w:type="auto"/>
            <w:gridSpan w:val="3"/>
            <w:shd w:val="clear" w:color="auto" w:fill="auto"/>
            <w:vAlign w:val="bottom"/>
          </w:tcPr>
          <w:p w14:paraId="392C4B7B" w14:textId="77777777" w:rsidR="00980E5F" w:rsidRDefault="00980E5F">
            <w:pPr>
              <w:rPr>
                <w:rFonts w:ascii="宋体"/>
                <w:vanish/>
              </w:rPr>
            </w:pPr>
          </w:p>
        </w:tc>
        <w:tc>
          <w:tcPr>
            <w:tcW w:w="0" w:type="auto"/>
            <w:gridSpan w:val="3"/>
            <w:shd w:val="clear" w:color="auto" w:fill="auto"/>
            <w:vAlign w:val="bottom"/>
          </w:tcPr>
          <w:p w14:paraId="392C4B7C" w14:textId="77777777" w:rsidR="00980E5F" w:rsidRDefault="00980E5F">
            <w:pPr>
              <w:rPr>
                <w:rFonts w:ascii="宋体"/>
                <w:vanish/>
              </w:rPr>
            </w:pPr>
          </w:p>
        </w:tc>
        <w:tc>
          <w:tcPr>
            <w:tcW w:w="0" w:type="auto"/>
            <w:gridSpan w:val="3"/>
            <w:shd w:val="clear" w:color="auto" w:fill="auto"/>
            <w:vAlign w:val="bottom"/>
          </w:tcPr>
          <w:p w14:paraId="392C4B7D" w14:textId="77777777" w:rsidR="00980E5F" w:rsidRDefault="00980E5F">
            <w:pPr>
              <w:rPr>
                <w:rFonts w:ascii="宋体"/>
                <w:vanish/>
              </w:rPr>
            </w:pPr>
          </w:p>
        </w:tc>
        <w:tc>
          <w:tcPr>
            <w:tcW w:w="0" w:type="auto"/>
            <w:gridSpan w:val="3"/>
            <w:shd w:val="clear" w:color="auto" w:fill="auto"/>
            <w:vAlign w:val="bottom"/>
          </w:tcPr>
          <w:p w14:paraId="392C4B7E" w14:textId="77777777" w:rsidR="00980E5F" w:rsidRDefault="00980E5F">
            <w:pPr>
              <w:rPr>
                <w:rFonts w:ascii="宋体"/>
                <w:vanish/>
              </w:rPr>
            </w:pPr>
          </w:p>
        </w:tc>
        <w:tc>
          <w:tcPr>
            <w:tcW w:w="0" w:type="auto"/>
            <w:gridSpan w:val="3"/>
            <w:shd w:val="clear" w:color="auto" w:fill="auto"/>
            <w:vAlign w:val="bottom"/>
          </w:tcPr>
          <w:p w14:paraId="392C4B7F" w14:textId="77777777" w:rsidR="00980E5F" w:rsidRDefault="00980E5F">
            <w:pPr>
              <w:rPr>
                <w:rFonts w:ascii="宋体"/>
                <w:vanish/>
              </w:rPr>
            </w:pPr>
          </w:p>
        </w:tc>
        <w:tc>
          <w:tcPr>
            <w:tcW w:w="0" w:type="auto"/>
            <w:gridSpan w:val="3"/>
            <w:shd w:val="clear" w:color="auto" w:fill="auto"/>
            <w:vAlign w:val="bottom"/>
          </w:tcPr>
          <w:p w14:paraId="392C4B80" w14:textId="77777777" w:rsidR="00980E5F" w:rsidRDefault="00980E5F">
            <w:pPr>
              <w:rPr>
                <w:rFonts w:ascii="宋体"/>
                <w:vanish/>
              </w:rPr>
            </w:pPr>
          </w:p>
        </w:tc>
        <w:tc>
          <w:tcPr>
            <w:tcW w:w="0" w:type="auto"/>
            <w:gridSpan w:val="3"/>
            <w:shd w:val="clear" w:color="auto" w:fill="auto"/>
            <w:vAlign w:val="bottom"/>
          </w:tcPr>
          <w:p w14:paraId="392C4B81" w14:textId="77777777" w:rsidR="00980E5F" w:rsidRDefault="00980E5F">
            <w:pPr>
              <w:rPr>
                <w:rFonts w:ascii="宋体"/>
                <w:vanish/>
              </w:rPr>
            </w:pPr>
          </w:p>
        </w:tc>
        <w:tc>
          <w:tcPr>
            <w:tcW w:w="0" w:type="auto"/>
            <w:gridSpan w:val="3"/>
            <w:shd w:val="clear" w:color="auto" w:fill="auto"/>
            <w:vAlign w:val="bottom"/>
          </w:tcPr>
          <w:p w14:paraId="392C4B82" w14:textId="77777777" w:rsidR="00980E5F" w:rsidRDefault="00980E5F">
            <w:pPr>
              <w:rPr>
                <w:rFonts w:ascii="宋体"/>
                <w:vanish/>
              </w:rPr>
            </w:pPr>
          </w:p>
        </w:tc>
        <w:tc>
          <w:tcPr>
            <w:tcW w:w="0" w:type="auto"/>
            <w:gridSpan w:val="3"/>
            <w:shd w:val="clear" w:color="auto" w:fill="auto"/>
            <w:vAlign w:val="bottom"/>
          </w:tcPr>
          <w:p w14:paraId="392C4B83" w14:textId="77777777" w:rsidR="00980E5F" w:rsidRDefault="00980E5F">
            <w:pPr>
              <w:rPr>
                <w:rFonts w:ascii="宋体"/>
                <w:vanish/>
              </w:rPr>
            </w:pPr>
          </w:p>
        </w:tc>
        <w:tc>
          <w:tcPr>
            <w:tcW w:w="0" w:type="auto"/>
            <w:gridSpan w:val="3"/>
            <w:shd w:val="clear" w:color="auto" w:fill="auto"/>
            <w:vAlign w:val="bottom"/>
          </w:tcPr>
          <w:p w14:paraId="392C4B84" w14:textId="77777777" w:rsidR="00980E5F" w:rsidRDefault="00980E5F">
            <w:pPr>
              <w:rPr>
                <w:rFonts w:ascii="宋体"/>
                <w:vanish/>
              </w:rPr>
            </w:pPr>
          </w:p>
        </w:tc>
        <w:tc>
          <w:tcPr>
            <w:tcW w:w="0" w:type="auto"/>
            <w:gridSpan w:val="2"/>
            <w:shd w:val="clear" w:color="auto" w:fill="auto"/>
            <w:vAlign w:val="bottom"/>
          </w:tcPr>
          <w:p w14:paraId="392C4B85" w14:textId="77777777" w:rsidR="00980E5F" w:rsidRDefault="00980E5F">
            <w:pPr>
              <w:rPr>
                <w:rFonts w:ascii="宋体"/>
                <w:vanish/>
              </w:rPr>
            </w:pPr>
          </w:p>
        </w:tc>
        <w:tc>
          <w:tcPr>
            <w:tcW w:w="0" w:type="auto"/>
            <w:shd w:val="clear" w:color="auto" w:fill="auto"/>
            <w:vAlign w:val="bottom"/>
          </w:tcPr>
          <w:p w14:paraId="392C4B86" w14:textId="77777777" w:rsidR="00980E5F" w:rsidRDefault="00980E5F">
            <w:pPr>
              <w:rPr>
                <w:rFonts w:ascii="宋体"/>
                <w:vanish/>
              </w:rPr>
            </w:pPr>
          </w:p>
        </w:tc>
      </w:tr>
      <w:tr w:rsidR="00980E5F" w14:paraId="392C4B9E" w14:textId="77777777">
        <w:trPr>
          <w:hidden/>
        </w:trPr>
        <w:tc>
          <w:tcPr>
            <w:tcW w:w="0" w:type="auto"/>
            <w:gridSpan w:val="3"/>
            <w:shd w:val="clear" w:color="auto" w:fill="auto"/>
            <w:vAlign w:val="bottom"/>
          </w:tcPr>
          <w:p w14:paraId="392C4B88" w14:textId="77777777" w:rsidR="00980E5F" w:rsidRDefault="00980E5F">
            <w:pPr>
              <w:rPr>
                <w:rFonts w:ascii="宋体"/>
                <w:vanish/>
              </w:rPr>
            </w:pPr>
          </w:p>
        </w:tc>
        <w:tc>
          <w:tcPr>
            <w:tcW w:w="0" w:type="auto"/>
            <w:gridSpan w:val="3"/>
            <w:shd w:val="clear" w:color="auto" w:fill="auto"/>
            <w:vAlign w:val="bottom"/>
          </w:tcPr>
          <w:p w14:paraId="392C4B89" w14:textId="77777777" w:rsidR="00980E5F" w:rsidRDefault="00980E5F">
            <w:pPr>
              <w:rPr>
                <w:rFonts w:ascii="宋体"/>
                <w:vanish/>
              </w:rPr>
            </w:pPr>
          </w:p>
        </w:tc>
        <w:tc>
          <w:tcPr>
            <w:tcW w:w="0" w:type="auto"/>
            <w:gridSpan w:val="3"/>
            <w:shd w:val="clear" w:color="auto" w:fill="auto"/>
            <w:vAlign w:val="bottom"/>
          </w:tcPr>
          <w:p w14:paraId="392C4B8A" w14:textId="77777777" w:rsidR="00980E5F" w:rsidRDefault="00980E5F">
            <w:pPr>
              <w:rPr>
                <w:rFonts w:ascii="宋体"/>
                <w:vanish/>
              </w:rPr>
            </w:pPr>
          </w:p>
        </w:tc>
        <w:tc>
          <w:tcPr>
            <w:tcW w:w="0" w:type="auto"/>
            <w:gridSpan w:val="3"/>
            <w:shd w:val="clear" w:color="auto" w:fill="auto"/>
            <w:vAlign w:val="bottom"/>
          </w:tcPr>
          <w:p w14:paraId="392C4B8B" w14:textId="77777777" w:rsidR="00980E5F" w:rsidRDefault="00980E5F">
            <w:pPr>
              <w:rPr>
                <w:rFonts w:ascii="宋体"/>
                <w:vanish/>
              </w:rPr>
            </w:pPr>
          </w:p>
        </w:tc>
        <w:tc>
          <w:tcPr>
            <w:tcW w:w="0" w:type="auto"/>
            <w:gridSpan w:val="3"/>
            <w:shd w:val="clear" w:color="auto" w:fill="auto"/>
            <w:vAlign w:val="bottom"/>
          </w:tcPr>
          <w:p w14:paraId="392C4B8C" w14:textId="77777777" w:rsidR="00980E5F" w:rsidRDefault="00980E5F">
            <w:pPr>
              <w:rPr>
                <w:rFonts w:ascii="宋体"/>
                <w:vanish/>
              </w:rPr>
            </w:pPr>
          </w:p>
        </w:tc>
        <w:tc>
          <w:tcPr>
            <w:tcW w:w="0" w:type="auto"/>
            <w:gridSpan w:val="3"/>
            <w:shd w:val="clear" w:color="auto" w:fill="auto"/>
            <w:vAlign w:val="bottom"/>
          </w:tcPr>
          <w:p w14:paraId="392C4B8D" w14:textId="77777777" w:rsidR="00980E5F" w:rsidRDefault="00980E5F">
            <w:pPr>
              <w:rPr>
                <w:rFonts w:ascii="宋体"/>
                <w:vanish/>
              </w:rPr>
            </w:pPr>
          </w:p>
        </w:tc>
        <w:tc>
          <w:tcPr>
            <w:tcW w:w="0" w:type="auto"/>
            <w:gridSpan w:val="3"/>
            <w:shd w:val="clear" w:color="auto" w:fill="auto"/>
            <w:vAlign w:val="bottom"/>
          </w:tcPr>
          <w:p w14:paraId="392C4B8E" w14:textId="77777777" w:rsidR="00980E5F" w:rsidRDefault="00980E5F">
            <w:pPr>
              <w:rPr>
                <w:rFonts w:ascii="宋体"/>
                <w:vanish/>
              </w:rPr>
            </w:pPr>
          </w:p>
        </w:tc>
        <w:tc>
          <w:tcPr>
            <w:tcW w:w="0" w:type="auto"/>
            <w:gridSpan w:val="3"/>
            <w:shd w:val="clear" w:color="auto" w:fill="auto"/>
            <w:vAlign w:val="bottom"/>
          </w:tcPr>
          <w:p w14:paraId="392C4B8F" w14:textId="77777777" w:rsidR="00980E5F" w:rsidRDefault="00980E5F">
            <w:pPr>
              <w:rPr>
                <w:rFonts w:ascii="宋体"/>
                <w:vanish/>
              </w:rPr>
            </w:pPr>
          </w:p>
        </w:tc>
        <w:tc>
          <w:tcPr>
            <w:tcW w:w="0" w:type="auto"/>
            <w:gridSpan w:val="3"/>
            <w:shd w:val="clear" w:color="auto" w:fill="auto"/>
            <w:vAlign w:val="bottom"/>
          </w:tcPr>
          <w:p w14:paraId="392C4B90" w14:textId="77777777" w:rsidR="00980E5F" w:rsidRDefault="00980E5F">
            <w:pPr>
              <w:rPr>
                <w:rFonts w:ascii="宋体"/>
                <w:vanish/>
              </w:rPr>
            </w:pPr>
          </w:p>
        </w:tc>
        <w:tc>
          <w:tcPr>
            <w:tcW w:w="0" w:type="auto"/>
            <w:gridSpan w:val="3"/>
            <w:shd w:val="clear" w:color="auto" w:fill="auto"/>
            <w:vAlign w:val="bottom"/>
          </w:tcPr>
          <w:p w14:paraId="392C4B91" w14:textId="77777777" w:rsidR="00980E5F" w:rsidRDefault="00980E5F">
            <w:pPr>
              <w:rPr>
                <w:rFonts w:ascii="宋体"/>
                <w:vanish/>
              </w:rPr>
            </w:pPr>
          </w:p>
        </w:tc>
        <w:tc>
          <w:tcPr>
            <w:tcW w:w="0" w:type="auto"/>
            <w:gridSpan w:val="3"/>
            <w:shd w:val="clear" w:color="auto" w:fill="auto"/>
            <w:vAlign w:val="bottom"/>
          </w:tcPr>
          <w:p w14:paraId="392C4B92" w14:textId="77777777" w:rsidR="00980E5F" w:rsidRDefault="00980E5F">
            <w:pPr>
              <w:rPr>
                <w:rFonts w:ascii="宋体"/>
                <w:vanish/>
              </w:rPr>
            </w:pPr>
          </w:p>
        </w:tc>
        <w:tc>
          <w:tcPr>
            <w:tcW w:w="0" w:type="auto"/>
            <w:gridSpan w:val="3"/>
            <w:shd w:val="clear" w:color="auto" w:fill="auto"/>
            <w:vAlign w:val="bottom"/>
          </w:tcPr>
          <w:p w14:paraId="392C4B93" w14:textId="77777777" w:rsidR="00980E5F" w:rsidRDefault="00980E5F">
            <w:pPr>
              <w:rPr>
                <w:rFonts w:ascii="宋体"/>
                <w:vanish/>
              </w:rPr>
            </w:pPr>
          </w:p>
        </w:tc>
        <w:tc>
          <w:tcPr>
            <w:tcW w:w="0" w:type="auto"/>
            <w:gridSpan w:val="3"/>
            <w:shd w:val="clear" w:color="auto" w:fill="auto"/>
            <w:vAlign w:val="bottom"/>
          </w:tcPr>
          <w:p w14:paraId="392C4B94" w14:textId="77777777" w:rsidR="00980E5F" w:rsidRDefault="00980E5F">
            <w:pPr>
              <w:rPr>
                <w:rFonts w:ascii="宋体"/>
                <w:vanish/>
              </w:rPr>
            </w:pPr>
          </w:p>
        </w:tc>
        <w:tc>
          <w:tcPr>
            <w:tcW w:w="0" w:type="auto"/>
            <w:gridSpan w:val="3"/>
            <w:shd w:val="clear" w:color="auto" w:fill="auto"/>
            <w:vAlign w:val="bottom"/>
          </w:tcPr>
          <w:p w14:paraId="392C4B95" w14:textId="77777777" w:rsidR="00980E5F" w:rsidRDefault="00980E5F">
            <w:pPr>
              <w:rPr>
                <w:rFonts w:ascii="宋体"/>
                <w:vanish/>
              </w:rPr>
            </w:pPr>
          </w:p>
        </w:tc>
        <w:tc>
          <w:tcPr>
            <w:tcW w:w="0" w:type="auto"/>
            <w:gridSpan w:val="3"/>
            <w:shd w:val="clear" w:color="auto" w:fill="auto"/>
            <w:vAlign w:val="bottom"/>
          </w:tcPr>
          <w:p w14:paraId="392C4B96" w14:textId="77777777" w:rsidR="00980E5F" w:rsidRDefault="00980E5F">
            <w:pPr>
              <w:rPr>
                <w:rFonts w:ascii="宋体"/>
                <w:vanish/>
              </w:rPr>
            </w:pPr>
          </w:p>
        </w:tc>
        <w:tc>
          <w:tcPr>
            <w:tcW w:w="0" w:type="auto"/>
            <w:gridSpan w:val="3"/>
            <w:shd w:val="clear" w:color="auto" w:fill="auto"/>
            <w:vAlign w:val="bottom"/>
          </w:tcPr>
          <w:p w14:paraId="392C4B97" w14:textId="77777777" w:rsidR="00980E5F" w:rsidRDefault="00980E5F">
            <w:pPr>
              <w:rPr>
                <w:rFonts w:ascii="宋体"/>
                <w:vanish/>
              </w:rPr>
            </w:pPr>
          </w:p>
        </w:tc>
        <w:tc>
          <w:tcPr>
            <w:tcW w:w="0" w:type="auto"/>
            <w:gridSpan w:val="3"/>
            <w:shd w:val="clear" w:color="auto" w:fill="auto"/>
            <w:vAlign w:val="bottom"/>
          </w:tcPr>
          <w:p w14:paraId="392C4B98" w14:textId="77777777" w:rsidR="00980E5F" w:rsidRDefault="00980E5F">
            <w:pPr>
              <w:rPr>
                <w:rFonts w:ascii="宋体"/>
                <w:vanish/>
              </w:rPr>
            </w:pPr>
          </w:p>
        </w:tc>
        <w:tc>
          <w:tcPr>
            <w:tcW w:w="0" w:type="auto"/>
            <w:gridSpan w:val="3"/>
            <w:shd w:val="clear" w:color="auto" w:fill="auto"/>
            <w:vAlign w:val="bottom"/>
          </w:tcPr>
          <w:p w14:paraId="392C4B99" w14:textId="77777777" w:rsidR="00980E5F" w:rsidRDefault="00980E5F">
            <w:pPr>
              <w:rPr>
                <w:rFonts w:ascii="宋体"/>
                <w:vanish/>
              </w:rPr>
            </w:pPr>
          </w:p>
        </w:tc>
        <w:tc>
          <w:tcPr>
            <w:tcW w:w="0" w:type="auto"/>
            <w:gridSpan w:val="3"/>
            <w:shd w:val="clear" w:color="auto" w:fill="auto"/>
            <w:vAlign w:val="bottom"/>
          </w:tcPr>
          <w:p w14:paraId="392C4B9A" w14:textId="77777777" w:rsidR="00980E5F" w:rsidRDefault="00980E5F">
            <w:pPr>
              <w:rPr>
                <w:rFonts w:ascii="宋体"/>
                <w:vanish/>
              </w:rPr>
            </w:pPr>
          </w:p>
        </w:tc>
        <w:tc>
          <w:tcPr>
            <w:tcW w:w="0" w:type="auto"/>
            <w:gridSpan w:val="3"/>
            <w:shd w:val="clear" w:color="auto" w:fill="auto"/>
            <w:vAlign w:val="bottom"/>
          </w:tcPr>
          <w:p w14:paraId="392C4B9B" w14:textId="77777777" w:rsidR="00980E5F" w:rsidRDefault="00980E5F">
            <w:pPr>
              <w:rPr>
                <w:rFonts w:ascii="宋体"/>
                <w:vanish/>
              </w:rPr>
            </w:pPr>
          </w:p>
        </w:tc>
        <w:tc>
          <w:tcPr>
            <w:tcW w:w="0" w:type="auto"/>
            <w:gridSpan w:val="2"/>
            <w:shd w:val="clear" w:color="auto" w:fill="auto"/>
            <w:vAlign w:val="bottom"/>
          </w:tcPr>
          <w:p w14:paraId="392C4B9C" w14:textId="77777777" w:rsidR="00980E5F" w:rsidRDefault="00980E5F">
            <w:pPr>
              <w:rPr>
                <w:rFonts w:ascii="宋体"/>
                <w:vanish/>
              </w:rPr>
            </w:pPr>
          </w:p>
        </w:tc>
        <w:tc>
          <w:tcPr>
            <w:tcW w:w="0" w:type="auto"/>
            <w:shd w:val="clear" w:color="auto" w:fill="auto"/>
            <w:vAlign w:val="bottom"/>
          </w:tcPr>
          <w:p w14:paraId="392C4B9D" w14:textId="77777777" w:rsidR="00980E5F" w:rsidRDefault="00980E5F">
            <w:pPr>
              <w:rPr>
                <w:rFonts w:ascii="宋体"/>
                <w:vanish/>
              </w:rPr>
            </w:pPr>
          </w:p>
        </w:tc>
      </w:tr>
      <w:tr w:rsidR="00980E5F" w14:paraId="392C4BB5" w14:textId="77777777">
        <w:trPr>
          <w:hidden/>
        </w:trPr>
        <w:tc>
          <w:tcPr>
            <w:tcW w:w="0" w:type="auto"/>
            <w:gridSpan w:val="3"/>
            <w:shd w:val="clear" w:color="auto" w:fill="auto"/>
            <w:vAlign w:val="bottom"/>
          </w:tcPr>
          <w:p w14:paraId="392C4B9F" w14:textId="77777777" w:rsidR="00980E5F" w:rsidRDefault="00980E5F">
            <w:pPr>
              <w:rPr>
                <w:rFonts w:ascii="宋体"/>
                <w:vanish/>
              </w:rPr>
            </w:pPr>
          </w:p>
        </w:tc>
        <w:tc>
          <w:tcPr>
            <w:tcW w:w="0" w:type="auto"/>
            <w:gridSpan w:val="3"/>
            <w:shd w:val="clear" w:color="auto" w:fill="auto"/>
            <w:vAlign w:val="bottom"/>
          </w:tcPr>
          <w:p w14:paraId="392C4BA0" w14:textId="77777777" w:rsidR="00980E5F" w:rsidRDefault="00980E5F">
            <w:pPr>
              <w:rPr>
                <w:rFonts w:ascii="宋体"/>
                <w:vanish/>
              </w:rPr>
            </w:pPr>
          </w:p>
        </w:tc>
        <w:tc>
          <w:tcPr>
            <w:tcW w:w="0" w:type="auto"/>
            <w:gridSpan w:val="3"/>
            <w:shd w:val="clear" w:color="auto" w:fill="auto"/>
            <w:vAlign w:val="bottom"/>
          </w:tcPr>
          <w:p w14:paraId="392C4BA1" w14:textId="77777777" w:rsidR="00980E5F" w:rsidRDefault="00980E5F">
            <w:pPr>
              <w:rPr>
                <w:rFonts w:ascii="宋体"/>
                <w:vanish/>
              </w:rPr>
            </w:pPr>
          </w:p>
        </w:tc>
        <w:tc>
          <w:tcPr>
            <w:tcW w:w="0" w:type="auto"/>
            <w:gridSpan w:val="3"/>
            <w:shd w:val="clear" w:color="auto" w:fill="auto"/>
            <w:vAlign w:val="bottom"/>
          </w:tcPr>
          <w:p w14:paraId="392C4BA2" w14:textId="77777777" w:rsidR="00980E5F" w:rsidRDefault="00980E5F">
            <w:pPr>
              <w:rPr>
                <w:rFonts w:ascii="宋体"/>
                <w:vanish/>
              </w:rPr>
            </w:pPr>
          </w:p>
        </w:tc>
        <w:tc>
          <w:tcPr>
            <w:tcW w:w="0" w:type="auto"/>
            <w:gridSpan w:val="3"/>
            <w:shd w:val="clear" w:color="auto" w:fill="auto"/>
            <w:vAlign w:val="bottom"/>
          </w:tcPr>
          <w:p w14:paraId="392C4BA3" w14:textId="77777777" w:rsidR="00980E5F" w:rsidRDefault="00980E5F">
            <w:pPr>
              <w:rPr>
                <w:rFonts w:ascii="宋体"/>
                <w:vanish/>
              </w:rPr>
            </w:pPr>
          </w:p>
        </w:tc>
        <w:tc>
          <w:tcPr>
            <w:tcW w:w="0" w:type="auto"/>
            <w:gridSpan w:val="3"/>
            <w:shd w:val="clear" w:color="auto" w:fill="auto"/>
            <w:vAlign w:val="bottom"/>
          </w:tcPr>
          <w:p w14:paraId="392C4BA4" w14:textId="77777777" w:rsidR="00980E5F" w:rsidRDefault="00980E5F">
            <w:pPr>
              <w:rPr>
                <w:rFonts w:ascii="宋体"/>
                <w:vanish/>
              </w:rPr>
            </w:pPr>
          </w:p>
        </w:tc>
        <w:tc>
          <w:tcPr>
            <w:tcW w:w="0" w:type="auto"/>
            <w:gridSpan w:val="3"/>
            <w:shd w:val="clear" w:color="auto" w:fill="auto"/>
            <w:vAlign w:val="bottom"/>
          </w:tcPr>
          <w:p w14:paraId="392C4BA5" w14:textId="77777777" w:rsidR="00980E5F" w:rsidRDefault="00980E5F">
            <w:pPr>
              <w:rPr>
                <w:rFonts w:ascii="宋体"/>
                <w:vanish/>
              </w:rPr>
            </w:pPr>
          </w:p>
        </w:tc>
        <w:tc>
          <w:tcPr>
            <w:tcW w:w="0" w:type="auto"/>
            <w:gridSpan w:val="3"/>
            <w:shd w:val="clear" w:color="auto" w:fill="auto"/>
            <w:vAlign w:val="bottom"/>
          </w:tcPr>
          <w:p w14:paraId="392C4BA6" w14:textId="77777777" w:rsidR="00980E5F" w:rsidRDefault="00980E5F">
            <w:pPr>
              <w:rPr>
                <w:rFonts w:ascii="宋体"/>
                <w:vanish/>
              </w:rPr>
            </w:pPr>
          </w:p>
        </w:tc>
        <w:tc>
          <w:tcPr>
            <w:tcW w:w="0" w:type="auto"/>
            <w:gridSpan w:val="3"/>
            <w:shd w:val="clear" w:color="auto" w:fill="auto"/>
            <w:vAlign w:val="bottom"/>
          </w:tcPr>
          <w:p w14:paraId="392C4BA7" w14:textId="77777777" w:rsidR="00980E5F" w:rsidRDefault="00980E5F">
            <w:pPr>
              <w:rPr>
                <w:rFonts w:ascii="宋体"/>
                <w:vanish/>
              </w:rPr>
            </w:pPr>
          </w:p>
        </w:tc>
        <w:tc>
          <w:tcPr>
            <w:tcW w:w="0" w:type="auto"/>
            <w:gridSpan w:val="3"/>
            <w:shd w:val="clear" w:color="auto" w:fill="auto"/>
            <w:vAlign w:val="bottom"/>
          </w:tcPr>
          <w:p w14:paraId="392C4BA8" w14:textId="77777777" w:rsidR="00980E5F" w:rsidRDefault="00980E5F">
            <w:pPr>
              <w:rPr>
                <w:rFonts w:ascii="宋体"/>
                <w:vanish/>
              </w:rPr>
            </w:pPr>
          </w:p>
        </w:tc>
        <w:tc>
          <w:tcPr>
            <w:tcW w:w="0" w:type="auto"/>
            <w:gridSpan w:val="3"/>
            <w:shd w:val="clear" w:color="auto" w:fill="auto"/>
            <w:vAlign w:val="bottom"/>
          </w:tcPr>
          <w:p w14:paraId="392C4BA9" w14:textId="77777777" w:rsidR="00980E5F" w:rsidRDefault="00980E5F">
            <w:pPr>
              <w:rPr>
                <w:rFonts w:ascii="宋体"/>
                <w:vanish/>
              </w:rPr>
            </w:pPr>
          </w:p>
        </w:tc>
        <w:tc>
          <w:tcPr>
            <w:tcW w:w="0" w:type="auto"/>
            <w:gridSpan w:val="3"/>
            <w:shd w:val="clear" w:color="auto" w:fill="auto"/>
            <w:vAlign w:val="bottom"/>
          </w:tcPr>
          <w:p w14:paraId="392C4BAA" w14:textId="77777777" w:rsidR="00980E5F" w:rsidRDefault="00980E5F">
            <w:pPr>
              <w:rPr>
                <w:rFonts w:ascii="宋体"/>
                <w:vanish/>
              </w:rPr>
            </w:pPr>
          </w:p>
        </w:tc>
        <w:tc>
          <w:tcPr>
            <w:tcW w:w="0" w:type="auto"/>
            <w:gridSpan w:val="3"/>
            <w:shd w:val="clear" w:color="auto" w:fill="auto"/>
            <w:vAlign w:val="bottom"/>
          </w:tcPr>
          <w:p w14:paraId="392C4BAB" w14:textId="77777777" w:rsidR="00980E5F" w:rsidRDefault="00980E5F">
            <w:pPr>
              <w:rPr>
                <w:rFonts w:ascii="宋体"/>
                <w:vanish/>
              </w:rPr>
            </w:pPr>
          </w:p>
        </w:tc>
        <w:tc>
          <w:tcPr>
            <w:tcW w:w="0" w:type="auto"/>
            <w:gridSpan w:val="3"/>
            <w:shd w:val="clear" w:color="auto" w:fill="auto"/>
            <w:vAlign w:val="bottom"/>
          </w:tcPr>
          <w:p w14:paraId="392C4BAC" w14:textId="77777777" w:rsidR="00980E5F" w:rsidRDefault="00980E5F">
            <w:pPr>
              <w:rPr>
                <w:rFonts w:ascii="宋体"/>
                <w:vanish/>
              </w:rPr>
            </w:pPr>
          </w:p>
        </w:tc>
        <w:tc>
          <w:tcPr>
            <w:tcW w:w="0" w:type="auto"/>
            <w:gridSpan w:val="3"/>
            <w:shd w:val="clear" w:color="auto" w:fill="auto"/>
            <w:vAlign w:val="bottom"/>
          </w:tcPr>
          <w:p w14:paraId="392C4BAD" w14:textId="77777777" w:rsidR="00980E5F" w:rsidRDefault="00980E5F">
            <w:pPr>
              <w:rPr>
                <w:rFonts w:ascii="宋体"/>
                <w:vanish/>
              </w:rPr>
            </w:pPr>
          </w:p>
        </w:tc>
        <w:tc>
          <w:tcPr>
            <w:tcW w:w="0" w:type="auto"/>
            <w:gridSpan w:val="3"/>
            <w:shd w:val="clear" w:color="auto" w:fill="auto"/>
            <w:vAlign w:val="bottom"/>
          </w:tcPr>
          <w:p w14:paraId="392C4BAE" w14:textId="77777777" w:rsidR="00980E5F" w:rsidRDefault="00980E5F">
            <w:pPr>
              <w:rPr>
                <w:rFonts w:ascii="宋体"/>
                <w:vanish/>
              </w:rPr>
            </w:pPr>
          </w:p>
        </w:tc>
        <w:tc>
          <w:tcPr>
            <w:tcW w:w="0" w:type="auto"/>
            <w:gridSpan w:val="3"/>
            <w:shd w:val="clear" w:color="auto" w:fill="auto"/>
            <w:vAlign w:val="bottom"/>
          </w:tcPr>
          <w:p w14:paraId="392C4BAF" w14:textId="77777777" w:rsidR="00980E5F" w:rsidRDefault="00980E5F">
            <w:pPr>
              <w:rPr>
                <w:rFonts w:ascii="宋体"/>
                <w:vanish/>
              </w:rPr>
            </w:pPr>
          </w:p>
        </w:tc>
        <w:tc>
          <w:tcPr>
            <w:tcW w:w="0" w:type="auto"/>
            <w:gridSpan w:val="3"/>
            <w:shd w:val="clear" w:color="auto" w:fill="auto"/>
            <w:vAlign w:val="bottom"/>
          </w:tcPr>
          <w:p w14:paraId="392C4BB0" w14:textId="77777777" w:rsidR="00980E5F" w:rsidRDefault="00980E5F">
            <w:pPr>
              <w:rPr>
                <w:rFonts w:ascii="宋体"/>
                <w:vanish/>
              </w:rPr>
            </w:pPr>
          </w:p>
        </w:tc>
        <w:tc>
          <w:tcPr>
            <w:tcW w:w="0" w:type="auto"/>
            <w:gridSpan w:val="3"/>
            <w:shd w:val="clear" w:color="auto" w:fill="auto"/>
            <w:vAlign w:val="bottom"/>
          </w:tcPr>
          <w:p w14:paraId="392C4BB1" w14:textId="77777777" w:rsidR="00980E5F" w:rsidRDefault="00980E5F">
            <w:pPr>
              <w:rPr>
                <w:rFonts w:ascii="宋体"/>
                <w:vanish/>
              </w:rPr>
            </w:pPr>
          </w:p>
        </w:tc>
        <w:tc>
          <w:tcPr>
            <w:tcW w:w="0" w:type="auto"/>
            <w:gridSpan w:val="3"/>
            <w:shd w:val="clear" w:color="auto" w:fill="auto"/>
            <w:vAlign w:val="bottom"/>
          </w:tcPr>
          <w:p w14:paraId="392C4BB2" w14:textId="77777777" w:rsidR="00980E5F" w:rsidRDefault="00980E5F">
            <w:pPr>
              <w:rPr>
                <w:rFonts w:ascii="宋体"/>
                <w:vanish/>
              </w:rPr>
            </w:pPr>
          </w:p>
        </w:tc>
        <w:tc>
          <w:tcPr>
            <w:tcW w:w="0" w:type="auto"/>
            <w:gridSpan w:val="2"/>
            <w:shd w:val="clear" w:color="auto" w:fill="auto"/>
            <w:vAlign w:val="bottom"/>
          </w:tcPr>
          <w:p w14:paraId="392C4BB3" w14:textId="77777777" w:rsidR="00980E5F" w:rsidRDefault="00980E5F">
            <w:pPr>
              <w:rPr>
                <w:rFonts w:ascii="宋体"/>
                <w:vanish/>
              </w:rPr>
            </w:pPr>
          </w:p>
        </w:tc>
        <w:tc>
          <w:tcPr>
            <w:tcW w:w="0" w:type="auto"/>
            <w:shd w:val="clear" w:color="auto" w:fill="auto"/>
            <w:vAlign w:val="bottom"/>
          </w:tcPr>
          <w:p w14:paraId="392C4BB4" w14:textId="77777777" w:rsidR="00980E5F" w:rsidRDefault="00980E5F">
            <w:pPr>
              <w:rPr>
                <w:rFonts w:ascii="宋体"/>
                <w:vanish/>
              </w:rPr>
            </w:pPr>
          </w:p>
        </w:tc>
      </w:tr>
      <w:tr w:rsidR="00980E5F" w14:paraId="392C4BCC" w14:textId="77777777">
        <w:trPr>
          <w:hidden/>
        </w:trPr>
        <w:tc>
          <w:tcPr>
            <w:tcW w:w="0" w:type="auto"/>
            <w:gridSpan w:val="3"/>
            <w:shd w:val="clear" w:color="auto" w:fill="auto"/>
            <w:vAlign w:val="bottom"/>
          </w:tcPr>
          <w:p w14:paraId="392C4BB6" w14:textId="77777777" w:rsidR="00980E5F" w:rsidRDefault="00980E5F">
            <w:pPr>
              <w:rPr>
                <w:rFonts w:ascii="宋体"/>
                <w:vanish/>
              </w:rPr>
            </w:pPr>
          </w:p>
        </w:tc>
        <w:tc>
          <w:tcPr>
            <w:tcW w:w="0" w:type="auto"/>
            <w:gridSpan w:val="3"/>
            <w:shd w:val="clear" w:color="auto" w:fill="auto"/>
            <w:vAlign w:val="bottom"/>
          </w:tcPr>
          <w:p w14:paraId="392C4BB7" w14:textId="77777777" w:rsidR="00980E5F" w:rsidRDefault="00980E5F">
            <w:pPr>
              <w:rPr>
                <w:rFonts w:ascii="宋体"/>
                <w:vanish/>
              </w:rPr>
            </w:pPr>
          </w:p>
        </w:tc>
        <w:tc>
          <w:tcPr>
            <w:tcW w:w="0" w:type="auto"/>
            <w:gridSpan w:val="3"/>
            <w:shd w:val="clear" w:color="auto" w:fill="auto"/>
            <w:vAlign w:val="bottom"/>
          </w:tcPr>
          <w:p w14:paraId="392C4BB8" w14:textId="77777777" w:rsidR="00980E5F" w:rsidRDefault="00980E5F">
            <w:pPr>
              <w:rPr>
                <w:rFonts w:ascii="宋体"/>
                <w:vanish/>
              </w:rPr>
            </w:pPr>
          </w:p>
        </w:tc>
        <w:tc>
          <w:tcPr>
            <w:tcW w:w="0" w:type="auto"/>
            <w:gridSpan w:val="3"/>
            <w:shd w:val="clear" w:color="auto" w:fill="auto"/>
            <w:vAlign w:val="bottom"/>
          </w:tcPr>
          <w:p w14:paraId="392C4BB9" w14:textId="77777777" w:rsidR="00980E5F" w:rsidRDefault="00980E5F">
            <w:pPr>
              <w:rPr>
                <w:rFonts w:ascii="宋体"/>
                <w:vanish/>
              </w:rPr>
            </w:pPr>
          </w:p>
        </w:tc>
        <w:tc>
          <w:tcPr>
            <w:tcW w:w="0" w:type="auto"/>
            <w:gridSpan w:val="3"/>
            <w:shd w:val="clear" w:color="auto" w:fill="auto"/>
            <w:vAlign w:val="bottom"/>
          </w:tcPr>
          <w:p w14:paraId="392C4BBA" w14:textId="77777777" w:rsidR="00980E5F" w:rsidRDefault="00980E5F">
            <w:pPr>
              <w:rPr>
                <w:rFonts w:ascii="宋体"/>
                <w:vanish/>
              </w:rPr>
            </w:pPr>
          </w:p>
        </w:tc>
        <w:tc>
          <w:tcPr>
            <w:tcW w:w="0" w:type="auto"/>
            <w:gridSpan w:val="3"/>
            <w:shd w:val="clear" w:color="auto" w:fill="auto"/>
            <w:vAlign w:val="bottom"/>
          </w:tcPr>
          <w:p w14:paraId="392C4BBB" w14:textId="77777777" w:rsidR="00980E5F" w:rsidRDefault="00980E5F">
            <w:pPr>
              <w:rPr>
                <w:rFonts w:ascii="宋体"/>
                <w:vanish/>
              </w:rPr>
            </w:pPr>
          </w:p>
        </w:tc>
        <w:tc>
          <w:tcPr>
            <w:tcW w:w="0" w:type="auto"/>
            <w:gridSpan w:val="3"/>
            <w:shd w:val="clear" w:color="auto" w:fill="auto"/>
            <w:vAlign w:val="bottom"/>
          </w:tcPr>
          <w:p w14:paraId="392C4BBC" w14:textId="77777777" w:rsidR="00980E5F" w:rsidRDefault="00980E5F">
            <w:pPr>
              <w:rPr>
                <w:rFonts w:ascii="宋体"/>
                <w:vanish/>
              </w:rPr>
            </w:pPr>
          </w:p>
        </w:tc>
        <w:tc>
          <w:tcPr>
            <w:tcW w:w="0" w:type="auto"/>
            <w:gridSpan w:val="3"/>
            <w:shd w:val="clear" w:color="auto" w:fill="auto"/>
            <w:vAlign w:val="bottom"/>
          </w:tcPr>
          <w:p w14:paraId="392C4BBD" w14:textId="77777777" w:rsidR="00980E5F" w:rsidRDefault="00980E5F">
            <w:pPr>
              <w:rPr>
                <w:rFonts w:ascii="宋体"/>
                <w:vanish/>
              </w:rPr>
            </w:pPr>
          </w:p>
        </w:tc>
        <w:tc>
          <w:tcPr>
            <w:tcW w:w="0" w:type="auto"/>
            <w:gridSpan w:val="3"/>
            <w:shd w:val="clear" w:color="auto" w:fill="auto"/>
            <w:vAlign w:val="bottom"/>
          </w:tcPr>
          <w:p w14:paraId="392C4BBE" w14:textId="77777777" w:rsidR="00980E5F" w:rsidRDefault="00980E5F">
            <w:pPr>
              <w:rPr>
                <w:rFonts w:ascii="宋体"/>
                <w:vanish/>
              </w:rPr>
            </w:pPr>
          </w:p>
        </w:tc>
        <w:tc>
          <w:tcPr>
            <w:tcW w:w="0" w:type="auto"/>
            <w:gridSpan w:val="3"/>
            <w:shd w:val="clear" w:color="auto" w:fill="auto"/>
            <w:vAlign w:val="bottom"/>
          </w:tcPr>
          <w:p w14:paraId="392C4BBF" w14:textId="77777777" w:rsidR="00980E5F" w:rsidRDefault="00980E5F">
            <w:pPr>
              <w:rPr>
                <w:rFonts w:ascii="宋体"/>
                <w:vanish/>
              </w:rPr>
            </w:pPr>
          </w:p>
        </w:tc>
        <w:tc>
          <w:tcPr>
            <w:tcW w:w="0" w:type="auto"/>
            <w:gridSpan w:val="3"/>
            <w:shd w:val="clear" w:color="auto" w:fill="auto"/>
            <w:vAlign w:val="bottom"/>
          </w:tcPr>
          <w:p w14:paraId="392C4BC0" w14:textId="77777777" w:rsidR="00980E5F" w:rsidRDefault="00980E5F">
            <w:pPr>
              <w:rPr>
                <w:rFonts w:ascii="宋体"/>
                <w:vanish/>
              </w:rPr>
            </w:pPr>
          </w:p>
        </w:tc>
        <w:tc>
          <w:tcPr>
            <w:tcW w:w="0" w:type="auto"/>
            <w:gridSpan w:val="3"/>
            <w:shd w:val="clear" w:color="auto" w:fill="auto"/>
            <w:vAlign w:val="bottom"/>
          </w:tcPr>
          <w:p w14:paraId="392C4BC1" w14:textId="77777777" w:rsidR="00980E5F" w:rsidRDefault="00980E5F">
            <w:pPr>
              <w:rPr>
                <w:rFonts w:ascii="宋体"/>
                <w:vanish/>
              </w:rPr>
            </w:pPr>
          </w:p>
        </w:tc>
        <w:tc>
          <w:tcPr>
            <w:tcW w:w="0" w:type="auto"/>
            <w:gridSpan w:val="3"/>
            <w:shd w:val="clear" w:color="auto" w:fill="auto"/>
            <w:vAlign w:val="bottom"/>
          </w:tcPr>
          <w:p w14:paraId="392C4BC2" w14:textId="77777777" w:rsidR="00980E5F" w:rsidRDefault="00980E5F">
            <w:pPr>
              <w:rPr>
                <w:rFonts w:ascii="宋体"/>
                <w:vanish/>
              </w:rPr>
            </w:pPr>
          </w:p>
        </w:tc>
        <w:tc>
          <w:tcPr>
            <w:tcW w:w="0" w:type="auto"/>
            <w:gridSpan w:val="3"/>
            <w:shd w:val="clear" w:color="auto" w:fill="auto"/>
            <w:vAlign w:val="bottom"/>
          </w:tcPr>
          <w:p w14:paraId="392C4BC3" w14:textId="77777777" w:rsidR="00980E5F" w:rsidRDefault="00980E5F">
            <w:pPr>
              <w:rPr>
                <w:rFonts w:ascii="宋体"/>
                <w:vanish/>
              </w:rPr>
            </w:pPr>
          </w:p>
        </w:tc>
        <w:tc>
          <w:tcPr>
            <w:tcW w:w="0" w:type="auto"/>
            <w:gridSpan w:val="3"/>
            <w:shd w:val="clear" w:color="auto" w:fill="auto"/>
            <w:vAlign w:val="bottom"/>
          </w:tcPr>
          <w:p w14:paraId="392C4BC4" w14:textId="77777777" w:rsidR="00980E5F" w:rsidRDefault="00980E5F">
            <w:pPr>
              <w:rPr>
                <w:rFonts w:ascii="宋体"/>
                <w:vanish/>
              </w:rPr>
            </w:pPr>
          </w:p>
        </w:tc>
        <w:tc>
          <w:tcPr>
            <w:tcW w:w="0" w:type="auto"/>
            <w:gridSpan w:val="3"/>
            <w:shd w:val="clear" w:color="auto" w:fill="auto"/>
            <w:vAlign w:val="bottom"/>
          </w:tcPr>
          <w:p w14:paraId="392C4BC5" w14:textId="77777777" w:rsidR="00980E5F" w:rsidRDefault="00980E5F">
            <w:pPr>
              <w:rPr>
                <w:rFonts w:ascii="宋体"/>
                <w:vanish/>
              </w:rPr>
            </w:pPr>
          </w:p>
        </w:tc>
        <w:tc>
          <w:tcPr>
            <w:tcW w:w="0" w:type="auto"/>
            <w:gridSpan w:val="3"/>
            <w:shd w:val="clear" w:color="auto" w:fill="auto"/>
            <w:vAlign w:val="bottom"/>
          </w:tcPr>
          <w:p w14:paraId="392C4BC6" w14:textId="77777777" w:rsidR="00980E5F" w:rsidRDefault="00980E5F">
            <w:pPr>
              <w:rPr>
                <w:rFonts w:ascii="宋体"/>
                <w:vanish/>
              </w:rPr>
            </w:pPr>
          </w:p>
        </w:tc>
        <w:tc>
          <w:tcPr>
            <w:tcW w:w="0" w:type="auto"/>
            <w:gridSpan w:val="3"/>
            <w:shd w:val="clear" w:color="auto" w:fill="auto"/>
            <w:vAlign w:val="bottom"/>
          </w:tcPr>
          <w:p w14:paraId="392C4BC7" w14:textId="77777777" w:rsidR="00980E5F" w:rsidRDefault="00980E5F">
            <w:pPr>
              <w:rPr>
                <w:rFonts w:ascii="宋体"/>
                <w:vanish/>
              </w:rPr>
            </w:pPr>
          </w:p>
        </w:tc>
        <w:tc>
          <w:tcPr>
            <w:tcW w:w="0" w:type="auto"/>
            <w:gridSpan w:val="3"/>
            <w:shd w:val="clear" w:color="auto" w:fill="auto"/>
            <w:vAlign w:val="bottom"/>
          </w:tcPr>
          <w:p w14:paraId="392C4BC8" w14:textId="77777777" w:rsidR="00980E5F" w:rsidRDefault="00980E5F">
            <w:pPr>
              <w:rPr>
                <w:rFonts w:ascii="宋体"/>
                <w:vanish/>
              </w:rPr>
            </w:pPr>
          </w:p>
        </w:tc>
        <w:tc>
          <w:tcPr>
            <w:tcW w:w="0" w:type="auto"/>
            <w:gridSpan w:val="3"/>
            <w:shd w:val="clear" w:color="auto" w:fill="auto"/>
            <w:vAlign w:val="bottom"/>
          </w:tcPr>
          <w:p w14:paraId="392C4BC9" w14:textId="77777777" w:rsidR="00980E5F" w:rsidRDefault="00980E5F">
            <w:pPr>
              <w:rPr>
                <w:rFonts w:ascii="宋体"/>
                <w:vanish/>
              </w:rPr>
            </w:pPr>
          </w:p>
        </w:tc>
        <w:tc>
          <w:tcPr>
            <w:tcW w:w="0" w:type="auto"/>
            <w:gridSpan w:val="2"/>
            <w:shd w:val="clear" w:color="auto" w:fill="auto"/>
            <w:vAlign w:val="bottom"/>
          </w:tcPr>
          <w:p w14:paraId="392C4BCA" w14:textId="77777777" w:rsidR="00980E5F" w:rsidRDefault="00980E5F">
            <w:pPr>
              <w:rPr>
                <w:rFonts w:ascii="宋体"/>
                <w:vanish/>
              </w:rPr>
            </w:pPr>
          </w:p>
        </w:tc>
        <w:tc>
          <w:tcPr>
            <w:tcW w:w="0" w:type="auto"/>
            <w:shd w:val="clear" w:color="auto" w:fill="auto"/>
            <w:vAlign w:val="bottom"/>
          </w:tcPr>
          <w:p w14:paraId="392C4BCB" w14:textId="77777777" w:rsidR="00980E5F" w:rsidRDefault="00980E5F">
            <w:pPr>
              <w:rPr>
                <w:rFonts w:ascii="宋体"/>
                <w:vanish/>
              </w:rPr>
            </w:pPr>
          </w:p>
        </w:tc>
      </w:tr>
      <w:tr w:rsidR="00980E5F" w14:paraId="392C4BE3" w14:textId="77777777">
        <w:trPr>
          <w:hidden/>
        </w:trPr>
        <w:tc>
          <w:tcPr>
            <w:tcW w:w="0" w:type="auto"/>
            <w:gridSpan w:val="3"/>
            <w:shd w:val="clear" w:color="auto" w:fill="auto"/>
            <w:vAlign w:val="bottom"/>
          </w:tcPr>
          <w:p w14:paraId="392C4BCD" w14:textId="77777777" w:rsidR="00980E5F" w:rsidRDefault="00980E5F">
            <w:pPr>
              <w:rPr>
                <w:rFonts w:ascii="宋体"/>
                <w:vanish/>
              </w:rPr>
            </w:pPr>
          </w:p>
        </w:tc>
        <w:tc>
          <w:tcPr>
            <w:tcW w:w="0" w:type="auto"/>
            <w:gridSpan w:val="3"/>
            <w:shd w:val="clear" w:color="auto" w:fill="auto"/>
            <w:vAlign w:val="bottom"/>
          </w:tcPr>
          <w:p w14:paraId="392C4BCE" w14:textId="77777777" w:rsidR="00980E5F" w:rsidRDefault="00980E5F">
            <w:pPr>
              <w:rPr>
                <w:rFonts w:ascii="宋体"/>
                <w:vanish/>
              </w:rPr>
            </w:pPr>
          </w:p>
        </w:tc>
        <w:tc>
          <w:tcPr>
            <w:tcW w:w="0" w:type="auto"/>
            <w:gridSpan w:val="3"/>
            <w:shd w:val="clear" w:color="auto" w:fill="auto"/>
            <w:vAlign w:val="bottom"/>
          </w:tcPr>
          <w:p w14:paraId="392C4BCF" w14:textId="77777777" w:rsidR="00980E5F" w:rsidRDefault="00980E5F">
            <w:pPr>
              <w:rPr>
                <w:rFonts w:ascii="宋体"/>
                <w:vanish/>
              </w:rPr>
            </w:pPr>
          </w:p>
        </w:tc>
        <w:tc>
          <w:tcPr>
            <w:tcW w:w="0" w:type="auto"/>
            <w:gridSpan w:val="3"/>
            <w:shd w:val="clear" w:color="auto" w:fill="auto"/>
            <w:vAlign w:val="bottom"/>
          </w:tcPr>
          <w:p w14:paraId="392C4BD0" w14:textId="77777777" w:rsidR="00980E5F" w:rsidRDefault="00980E5F">
            <w:pPr>
              <w:rPr>
                <w:rFonts w:ascii="宋体"/>
                <w:vanish/>
              </w:rPr>
            </w:pPr>
          </w:p>
        </w:tc>
        <w:tc>
          <w:tcPr>
            <w:tcW w:w="0" w:type="auto"/>
            <w:gridSpan w:val="3"/>
            <w:shd w:val="clear" w:color="auto" w:fill="auto"/>
            <w:vAlign w:val="bottom"/>
          </w:tcPr>
          <w:p w14:paraId="392C4BD1" w14:textId="77777777" w:rsidR="00980E5F" w:rsidRDefault="00980E5F">
            <w:pPr>
              <w:rPr>
                <w:rFonts w:ascii="宋体"/>
                <w:vanish/>
              </w:rPr>
            </w:pPr>
          </w:p>
        </w:tc>
        <w:tc>
          <w:tcPr>
            <w:tcW w:w="0" w:type="auto"/>
            <w:gridSpan w:val="3"/>
            <w:shd w:val="clear" w:color="auto" w:fill="auto"/>
            <w:vAlign w:val="bottom"/>
          </w:tcPr>
          <w:p w14:paraId="392C4BD2" w14:textId="77777777" w:rsidR="00980E5F" w:rsidRDefault="00980E5F">
            <w:pPr>
              <w:rPr>
                <w:rFonts w:ascii="宋体"/>
                <w:vanish/>
              </w:rPr>
            </w:pPr>
          </w:p>
        </w:tc>
        <w:tc>
          <w:tcPr>
            <w:tcW w:w="0" w:type="auto"/>
            <w:gridSpan w:val="3"/>
            <w:shd w:val="clear" w:color="auto" w:fill="auto"/>
            <w:vAlign w:val="bottom"/>
          </w:tcPr>
          <w:p w14:paraId="392C4BD3" w14:textId="77777777" w:rsidR="00980E5F" w:rsidRDefault="00980E5F">
            <w:pPr>
              <w:rPr>
                <w:rFonts w:ascii="宋体"/>
                <w:vanish/>
              </w:rPr>
            </w:pPr>
          </w:p>
        </w:tc>
        <w:tc>
          <w:tcPr>
            <w:tcW w:w="0" w:type="auto"/>
            <w:gridSpan w:val="3"/>
            <w:shd w:val="clear" w:color="auto" w:fill="auto"/>
            <w:vAlign w:val="bottom"/>
          </w:tcPr>
          <w:p w14:paraId="392C4BD4" w14:textId="77777777" w:rsidR="00980E5F" w:rsidRDefault="00980E5F">
            <w:pPr>
              <w:rPr>
                <w:rFonts w:ascii="宋体"/>
                <w:vanish/>
              </w:rPr>
            </w:pPr>
          </w:p>
        </w:tc>
        <w:tc>
          <w:tcPr>
            <w:tcW w:w="0" w:type="auto"/>
            <w:gridSpan w:val="3"/>
            <w:shd w:val="clear" w:color="auto" w:fill="auto"/>
            <w:vAlign w:val="bottom"/>
          </w:tcPr>
          <w:p w14:paraId="392C4BD5" w14:textId="77777777" w:rsidR="00980E5F" w:rsidRDefault="00980E5F">
            <w:pPr>
              <w:rPr>
                <w:rFonts w:ascii="宋体"/>
                <w:vanish/>
              </w:rPr>
            </w:pPr>
          </w:p>
        </w:tc>
        <w:tc>
          <w:tcPr>
            <w:tcW w:w="0" w:type="auto"/>
            <w:gridSpan w:val="3"/>
            <w:shd w:val="clear" w:color="auto" w:fill="auto"/>
            <w:vAlign w:val="bottom"/>
          </w:tcPr>
          <w:p w14:paraId="392C4BD6" w14:textId="77777777" w:rsidR="00980E5F" w:rsidRDefault="00980E5F">
            <w:pPr>
              <w:rPr>
                <w:rFonts w:ascii="宋体"/>
                <w:vanish/>
              </w:rPr>
            </w:pPr>
          </w:p>
        </w:tc>
        <w:tc>
          <w:tcPr>
            <w:tcW w:w="0" w:type="auto"/>
            <w:gridSpan w:val="3"/>
            <w:shd w:val="clear" w:color="auto" w:fill="auto"/>
            <w:vAlign w:val="bottom"/>
          </w:tcPr>
          <w:p w14:paraId="392C4BD7" w14:textId="77777777" w:rsidR="00980E5F" w:rsidRDefault="00980E5F">
            <w:pPr>
              <w:rPr>
                <w:rFonts w:ascii="宋体"/>
                <w:vanish/>
              </w:rPr>
            </w:pPr>
          </w:p>
        </w:tc>
        <w:tc>
          <w:tcPr>
            <w:tcW w:w="0" w:type="auto"/>
            <w:gridSpan w:val="3"/>
            <w:shd w:val="clear" w:color="auto" w:fill="auto"/>
            <w:vAlign w:val="bottom"/>
          </w:tcPr>
          <w:p w14:paraId="392C4BD8" w14:textId="77777777" w:rsidR="00980E5F" w:rsidRDefault="00980E5F">
            <w:pPr>
              <w:rPr>
                <w:rFonts w:ascii="宋体"/>
                <w:vanish/>
              </w:rPr>
            </w:pPr>
          </w:p>
        </w:tc>
        <w:tc>
          <w:tcPr>
            <w:tcW w:w="0" w:type="auto"/>
            <w:gridSpan w:val="3"/>
            <w:shd w:val="clear" w:color="auto" w:fill="auto"/>
            <w:vAlign w:val="bottom"/>
          </w:tcPr>
          <w:p w14:paraId="392C4BD9" w14:textId="77777777" w:rsidR="00980E5F" w:rsidRDefault="00980E5F">
            <w:pPr>
              <w:rPr>
                <w:rFonts w:ascii="宋体"/>
                <w:vanish/>
              </w:rPr>
            </w:pPr>
          </w:p>
        </w:tc>
        <w:tc>
          <w:tcPr>
            <w:tcW w:w="0" w:type="auto"/>
            <w:gridSpan w:val="3"/>
            <w:shd w:val="clear" w:color="auto" w:fill="auto"/>
            <w:vAlign w:val="bottom"/>
          </w:tcPr>
          <w:p w14:paraId="392C4BDA" w14:textId="77777777" w:rsidR="00980E5F" w:rsidRDefault="00980E5F">
            <w:pPr>
              <w:rPr>
                <w:rFonts w:ascii="宋体"/>
                <w:vanish/>
              </w:rPr>
            </w:pPr>
          </w:p>
        </w:tc>
        <w:tc>
          <w:tcPr>
            <w:tcW w:w="0" w:type="auto"/>
            <w:gridSpan w:val="3"/>
            <w:shd w:val="clear" w:color="auto" w:fill="auto"/>
            <w:vAlign w:val="bottom"/>
          </w:tcPr>
          <w:p w14:paraId="392C4BDB" w14:textId="77777777" w:rsidR="00980E5F" w:rsidRDefault="00980E5F">
            <w:pPr>
              <w:rPr>
                <w:rFonts w:ascii="宋体"/>
                <w:vanish/>
              </w:rPr>
            </w:pPr>
          </w:p>
        </w:tc>
        <w:tc>
          <w:tcPr>
            <w:tcW w:w="0" w:type="auto"/>
            <w:gridSpan w:val="3"/>
            <w:shd w:val="clear" w:color="auto" w:fill="auto"/>
            <w:vAlign w:val="bottom"/>
          </w:tcPr>
          <w:p w14:paraId="392C4BDC" w14:textId="77777777" w:rsidR="00980E5F" w:rsidRDefault="00980E5F">
            <w:pPr>
              <w:rPr>
                <w:rFonts w:ascii="宋体"/>
                <w:vanish/>
              </w:rPr>
            </w:pPr>
          </w:p>
        </w:tc>
        <w:tc>
          <w:tcPr>
            <w:tcW w:w="0" w:type="auto"/>
            <w:gridSpan w:val="3"/>
            <w:shd w:val="clear" w:color="auto" w:fill="auto"/>
            <w:vAlign w:val="bottom"/>
          </w:tcPr>
          <w:p w14:paraId="392C4BDD" w14:textId="77777777" w:rsidR="00980E5F" w:rsidRDefault="00980E5F">
            <w:pPr>
              <w:rPr>
                <w:rFonts w:ascii="宋体"/>
                <w:vanish/>
              </w:rPr>
            </w:pPr>
          </w:p>
        </w:tc>
        <w:tc>
          <w:tcPr>
            <w:tcW w:w="0" w:type="auto"/>
            <w:gridSpan w:val="3"/>
            <w:shd w:val="clear" w:color="auto" w:fill="auto"/>
            <w:vAlign w:val="bottom"/>
          </w:tcPr>
          <w:p w14:paraId="392C4BDE" w14:textId="77777777" w:rsidR="00980E5F" w:rsidRDefault="00980E5F">
            <w:pPr>
              <w:rPr>
                <w:rFonts w:ascii="宋体"/>
                <w:vanish/>
              </w:rPr>
            </w:pPr>
          </w:p>
        </w:tc>
        <w:tc>
          <w:tcPr>
            <w:tcW w:w="0" w:type="auto"/>
            <w:gridSpan w:val="3"/>
            <w:shd w:val="clear" w:color="auto" w:fill="auto"/>
            <w:vAlign w:val="bottom"/>
          </w:tcPr>
          <w:p w14:paraId="392C4BDF" w14:textId="77777777" w:rsidR="00980E5F" w:rsidRDefault="00980E5F">
            <w:pPr>
              <w:rPr>
                <w:rFonts w:ascii="宋体"/>
                <w:vanish/>
              </w:rPr>
            </w:pPr>
          </w:p>
        </w:tc>
        <w:tc>
          <w:tcPr>
            <w:tcW w:w="0" w:type="auto"/>
            <w:gridSpan w:val="3"/>
            <w:shd w:val="clear" w:color="auto" w:fill="auto"/>
            <w:vAlign w:val="bottom"/>
          </w:tcPr>
          <w:p w14:paraId="392C4BE0" w14:textId="77777777" w:rsidR="00980E5F" w:rsidRDefault="00980E5F">
            <w:pPr>
              <w:rPr>
                <w:rFonts w:ascii="宋体"/>
                <w:vanish/>
              </w:rPr>
            </w:pPr>
          </w:p>
        </w:tc>
        <w:tc>
          <w:tcPr>
            <w:tcW w:w="0" w:type="auto"/>
            <w:gridSpan w:val="2"/>
            <w:shd w:val="clear" w:color="auto" w:fill="auto"/>
            <w:vAlign w:val="bottom"/>
          </w:tcPr>
          <w:p w14:paraId="392C4BE1" w14:textId="77777777" w:rsidR="00980E5F" w:rsidRDefault="00980E5F">
            <w:pPr>
              <w:rPr>
                <w:rFonts w:ascii="宋体"/>
                <w:vanish/>
              </w:rPr>
            </w:pPr>
          </w:p>
        </w:tc>
        <w:tc>
          <w:tcPr>
            <w:tcW w:w="0" w:type="auto"/>
            <w:shd w:val="clear" w:color="auto" w:fill="auto"/>
            <w:vAlign w:val="bottom"/>
          </w:tcPr>
          <w:p w14:paraId="392C4BE2" w14:textId="77777777" w:rsidR="00980E5F" w:rsidRDefault="00980E5F">
            <w:pPr>
              <w:rPr>
                <w:rFonts w:ascii="宋体"/>
                <w:vanish/>
              </w:rPr>
            </w:pPr>
          </w:p>
        </w:tc>
      </w:tr>
      <w:tr w:rsidR="00980E5F" w14:paraId="392C4BFA" w14:textId="77777777">
        <w:trPr>
          <w:hidden/>
        </w:trPr>
        <w:tc>
          <w:tcPr>
            <w:tcW w:w="0" w:type="auto"/>
            <w:gridSpan w:val="3"/>
            <w:shd w:val="clear" w:color="auto" w:fill="auto"/>
            <w:vAlign w:val="bottom"/>
          </w:tcPr>
          <w:p w14:paraId="392C4BE4" w14:textId="77777777" w:rsidR="00980E5F" w:rsidRDefault="00980E5F">
            <w:pPr>
              <w:rPr>
                <w:rFonts w:ascii="宋体"/>
                <w:vanish/>
              </w:rPr>
            </w:pPr>
          </w:p>
        </w:tc>
        <w:tc>
          <w:tcPr>
            <w:tcW w:w="0" w:type="auto"/>
            <w:gridSpan w:val="3"/>
            <w:shd w:val="clear" w:color="auto" w:fill="auto"/>
            <w:vAlign w:val="bottom"/>
          </w:tcPr>
          <w:p w14:paraId="392C4BE5" w14:textId="77777777" w:rsidR="00980E5F" w:rsidRDefault="00980E5F">
            <w:pPr>
              <w:rPr>
                <w:rFonts w:ascii="宋体"/>
                <w:vanish/>
              </w:rPr>
            </w:pPr>
          </w:p>
        </w:tc>
        <w:tc>
          <w:tcPr>
            <w:tcW w:w="0" w:type="auto"/>
            <w:gridSpan w:val="3"/>
            <w:shd w:val="clear" w:color="auto" w:fill="auto"/>
            <w:vAlign w:val="bottom"/>
          </w:tcPr>
          <w:p w14:paraId="392C4BE6" w14:textId="77777777" w:rsidR="00980E5F" w:rsidRDefault="00980E5F">
            <w:pPr>
              <w:rPr>
                <w:rFonts w:ascii="宋体"/>
                <w:vanish/>
              </w:rPr>
            </w:pPr>
          </w:p>
        </w:tc>
        <w:tc>
          <w:tcPr>
            <w:tcW w:w="0" w:type="auto"/>
            <w:gridSpan w:val="3"/>
            <w:shd w:val="clear" w:color="auto" w:fill="auto"/>
            <w:vAlign w:val="bottom"/>
          </w:tcPr>
          <w:p w14:paraId="392C4BE7" w14:textId="77777777" w:rsidR="00980E5F" w:rsidRDefault="00980E5F">
            <w:pPr>
              <w:rPr>
                <w:rFonts w:ascii="宋体"/>
                <w:vanish/>
              </w:rPr>
            </w:pPr>
          </w:p>
        </w:tc>
        <w:tc>
          <w:tcPr>
            <w:tcW w:w="0" w:type="auto"/>
            <w:gridSpan w:val="3"/>
            <w:shd w:val="clear" w:color="auto" w:fill="auto"/>
            <w:vAlign w:val="bottom"/>
          </w:tcPr>
          <w:p w14:paraId="392C4BE8" w14:textId="77777777" w:rsidR="00980E5F" w:rsidRDefault="00980E5F">
            <w:pPr>
              <w:rPr>
                <w:rFonts w:ascii="宋体"/>
                <w:vanish/>
              </w:rPr>
            </w:pPr>
          </w:p>
        </w:tc>
        <w:tc>
          <w:tcPr>
            <w:tcW w:w="0" w:type="auto"/>
            <w:gridSpan w:val="3"/>
            <w:shd w:val="clear" w:color="auto" w:fill="auto"/>
            <w:vAlign w:val="bottom"/>
          </w:tcPr>
          <w:p w14:paraId="392C4BE9" w14:textId="77777777" w:rsidR="00980E5F" w:rsidRDefault="00980E5F">
            <w:pPr>
              <w:rPr>
                <w:rFonts w:ascii="宋体"/>
                <w:vanish/>
              </w:rPr>
            </w:pPr>
          </w:p>
        </w:tc>
        <w:tc>
          <w:tcPr>
            <w:tcW w:w="0" w:type="auto"/>
            <w:gridSpan w:val="3"/>
            <w:shd w:val="clear" w:color="auto" w:fill="auto"/>
            <w:vAlign w:val="bottom"/>
          </w:tcPr>
          <w:p w14:paraId="392C4BEA" w14:textId="77777777" w:rsidR="00980E5F" w:rsidRDefault="00980E5F">
            <w:pPr>
              <w:rPr>
                <w:rFonts w:ascii="宋体"/>
                <w:vanish/>
              </w:rPr>
            </w:pPr>
          </w:p>
        </w:tc>
        <w:tc>
          <w:tcPr>
            <w:tcW w:w="0" w:type="auto"/>
            <w:gridSpan w:val="3"/>
            <w:shd w:val="clear" w:color="auto" w:fill="auto"/>
            <w:vAlign w:val="bottom"/>
          </w:tcPr>
          <w:p w14:paraId="392C4BEB" w14:textId="77777777" w:rsidR="00980E5F" w:rsidRDefault="00980E5F">
            <w:pPr>
              <w:rPr>
                <w:rFonts w:ascii="宋体"/>
                <w:vanish/>
              </w:rPr>
            </w:pPr>
          </w:p>
        </w:tc>
        <w:tc>
          <w:tcPr>
            <w:tcW w:w="0" w:type="auto"/>
            <w:gridSpan w:val="3"/>
            <w:shd w:val="clear" w:color="auto" w:fill="auto"/>
            <w:vAlign w:val="bottom"/>
          </w:tcPr>
          <w:p w14:paraId="392C4BEC" w14:textId="77777777" w:rsidR="00980E5F" w:rsidRDefault="00980E5F">
            <w:pPr>
              <w:rPr>
                <w:rFonts w:ascii="宋体"/>
                <w:vanish/>
              </w:rPr>
            </w:pPr>
          </w:p>
        </w:tc>
        <w:tc>
          <w:tcPr>
            <w:tcW w:w="0" w:type="auto"/>
            <w:gridSpan w:val="3"/>
            <w:shd w:val="clear" w:color="auto" w:fill="auto"/>
            <w:vAlign w:val="bottom"/>
          </w:tcPr>
          <w:p w14:paraId="392C4BED" w14:textId="77777777" w:rsidR="00980E5F" w:rsidRDefault="00980E5F">
            <w:pPr>
              <w:rPr>
                <w:rFonts w:ascii="宋体"/>
                <w:vanish/>
              </w:rPr>
            </w:pPr>
          </w:p>
        </w:tc>
        <w:tc>
          <w:tcPr>
            <w:tcW w:w="0" w:type="auto"/>
            <w:gridSpan w:val="3"/>
            <w:shd w:val="clear" w:color="auto" w:fill="auto"/>
            <w:vAlign w:val="bottom"/>
          </w:tcPr>
          <w:p w14:paraId="392C4BEE" w14:textId="77777777" w:rsidR="00980E5F" w:rsidRDefault="00980E5F">
            <w:pPr>
              <w:rPr>
                <w:rFonts w:ascii="宋体"/>
                <w:vanish/>
              </w:rPr>
            </w:pPr>
          </w:p>
        </w:tc>
        <w:tc>
          <w:tcPr>
            <w:tcW w:w="0" w:type="auto"/>
            <w:gridSpan w:val="3"/>
            <w:shd w:val="clear" w:color="auto" w:fill="auto"/>
            <w:vAlign w:val="bottom"/>
          </w:tcPr>
          <w:p w14:paraId="392C4BEF" w14:textId="77777777" w:rsidR="00980E5F" w:rsidRDefault="00980E5F">
            <w:pPr>
              <w:rPr>
                <w:rFonts w:ascii="宋体"/>
                <w:vanish/>
              </w:rPr>
            </w:pPr>
          </w:p>
        </w:tc>
        <w:tc>
          <w:tcPr>
            <w:tcW w:w="0" w:type="auto"/>
            <w:gridSpan w:val="3"/>
            <w:shd w:val="clear" w:color="auto" w:fill="auto"/>
            <w:vAlign w:val="bottom"/>
          </w:tcPr>
          <w:p w14:paraId="392C4BF0" w14:textId="77777777" w:rsidR="00980E5F" w:rsidRDefault="00980E5F">
            <w:pPr>
              <w:rPr>
                <w:rFonts w:ascii="宋体"/>
                <w:vanish/>
              </w:rPr>
            </w:pPr>
          </w:p>
        </w:tc>
        <w:tc>
          <w:tcPr>
            <w:tcW w:w="0" w:type="auto"/>
            <w:gridSpan w:val="3"/>
            <w:shd w:val="clear" w:color="auto" w:fill="auto"/>
            <w:vAlign w:val="bottom"/>
          </w:tcPr>
          <w:p w14:paraId="392C4BF1" w14:textId="77777777" w:rsidR="00980E5F" w:rsidRDefault="00980E5F">
            <w:pPr>
              <w:rPr>
                <w:rFonts w:ascii="宋体"/>
                <w:vanish/>
              </w:rPr>
            </w:pPr>
          </w:p>
        </w:tc>
        <w:tc>
          <w:tcPr>
            <w:tcW w:w="0" w:type="auto"/>
            <w:gridSpan w:val="3"/>
            <w:shd w:val="clear" w:color="auto" w:fill="auto"/>
            <w:vAlign w:val="bottom"/>
          </w:tcPr>
          <w:p w14:paraId="392C4BF2" w14:textId="77777777" w:rsidR="00980E5F" w:rsidRDefault="00980E5F">
            <w:pPr>
              <w:rPr>
                <w:rFonts w:ascii="宋体"/>
                <w:vanish/>
              </w:rPr>
            </w:pPr>
          </w:p>
        </w:tc>
        <w:tc>
          <w:tcPr>
            <w:tcW w:w="0" w:type="auto"/>
            <w:gridSpan w:val="3"/>
            <w:shd w:val="clear" w:color="auto" w:fill="auto"/>
            <w:vAlign w:val="bottom"/>
          </w:tcPr>
          <w:p w14:paraId="392C4BF3" w14:textId="77777777" w:rsidR="00980E5F" w:rsidRDefault="00980E5F">
            <w:pPr>
              <w:rPr>
                <w:rFonts w:ascii="宋体"/>
                <w:vanish/>
              </w:rPr>
            </w:pPr>
          </w:p>
        </w:tc>
        <w:tc>
          <w:tcPr>
            <w:tcW w:w="0" w:type="auto"/>
            <w:gridSpan w:val="3"/>
            <w:shd w:val="clear" w:color="auto" w:fill="auto"/>
            <w:vAlign w:val="bottom"/>
          </w:tcPr>
          <w:p w14:paraId="392C4BF4" w14:textId="77777777" w:rsidR="00980E5F" w:rsidRDefault="00980E5F">
            <w:pPr>
              <w:rPr>
                <w:rFonts w:ascii="宋体"/>
                <w:vanish/>
              </w:rPr>
            </w:pPr>
          </w:p>
        </w:tc>
        <w:tc>
          <w:tcPr>
            <w:tcW w:w="0" w:type="auto"/>
            <w:gridSpan w:val="3"/>
            <w:shd w:val="clear" w:color="auto" w:fill="auto"/>
            <w:vAlign w:val="bottom"/>
          </w:tcPr>
          <w:p w14:paraId="392C4BF5" w14:textId="77777777" w:rsidR="00980E5F" w:rsidRDefault="00980E5F">
            <w:pPr>
              <w:rPr>
                <w:rFonts w:ascii="宋体"/>
                <w:vanish/>
              </w:rPr>
            </w:pPr>
          </w:p>
        </w:tc>
        <w:tc>
          <w:tcPr>
            <w:tcW w:w="0" w:type="auto"/>
            <w:gridSpan w:val="3"/>
            <w:shd w:val="clear" w:color="auto" w:fill="auto"/>
            <w:vAlign w:val="bottom"/>
          </w:tcPr>
          <w:p w14:paraId="392C4BF6" w14:textId="77777777" w:rsidR="00980E5F" w:rsidRDefault="00980E5F">
            <w:pPr>
              <w:rPr>
                <w:rFonts w:ascii="宋体"/>
                <w:vanish/>
              </w:rPr>
            </w:pPr>
          </w:p>
        </w:tc>
        <w:tc>
          <w:tcPr>
            <w:tcW w:w="0" w:type="auto"/>
            <w:gridSpan w:val="3"/>
            <w:shd w:val="clear" w:color="auto" w:fill="auto"/>
            <w:vAlign w:val="bottom"/>
          </w:tcPr>
          <w:p w14:paraId="392C4BF7" w14:textId="77777777" w:rsidR="00980E5F" w:rsidRDefault="00980E5F">
            <w:pPr>
              <w:rPr>
                <w:rFonts w:ascii="宋体"/>
                <w:vanish/>
              </w:rPr>
            </w:pPr>
          </w:p>
        </w:tc>
        <w:tc>
          <w:tcPr>
            <w:tcW w:w="0" w:type="auto"/>
            <w:gridSpan w:val="2"/>
            <w:shd w:val="clear" w:color="auto" w:fill="auto"/>
            <w:vAlign w:val="bottom"/>
          </w:tcPr>
          <w:p w14:paraId="392C4BF8" w14:textId="77777777" w:rsidR="00980E5F" w:rsidRDefault="00980E5F">
            <w:pPr>
              <w:rPr>
                <w:rFonts w:ascii="宋体"/>
                <w:vanish/>
              </w:rPr>
            </w:pPr>
          </w:p>
        </w:tc>
        <w:tc>
          <w:tcPr>
            <w:tcW w:w="0" w:type="auto"/>
            <w:shd w:val="clear" w:color="auto" w:fill="auto"/>
            <w:vAlign w:val="bottom"/>
          </w:tcPr>
          <w:p w14:paraId="392C4BF9" w14:textId="77777777" w:rsidR="00980E5F" w:rsidRDefault="00980E5F">
            <w:pPr>
              <w:rPr>
                <w:rFonts w:ascii="宋体"/>
                <w:vanish/>
              </w:rPr>
            </w:pPr>
          </w:p>
        </w:tc>
      </w:tr>
      <w:tr w:rsidR="00980E5F" w14:paraId="392C4C11" w14:textId="77777777">
        <w:trPr>
          <w:hidden/>
        </w:trPr>
        <w:tc>
          <w:tcPr>
            <w:tcW w:w="0" w:type="auto"/>
            <w:gridSpan w:val="3"/>
            <w:shd w:val="clear" w:color="auto" w:fill="auto"/>
            <w:vAlign w:val="bottom"/>
          </w:tcPr>
          <w:p w14:paraId="392C4BFB" w14:textId="77777777" w:rsidR="00980E5F" w:rsidRDefault="00980E5F">
            <w:pPr>
              <w:rPr>
                <w:rFonts w:ascii="宋体"/>
                <w:vanish/>
              </w:rPr>
            </w:pPr>
          </w:p>
        </w:tc>
        <w:tc>
          <w:tcPr>
            <w:tcW w:w="0" w:type="auto"/>
            <w:gridSpan w:val="3"/>
            <w:shd w:val="clear" w:color="auto" w:fill="auto"/>
            <w:vAlign w:val="bottom"/>
          </w:tcPr>
          <w:p w14:paraId="392C4BFC" w14:textId="77777777" w:rsidR="00980E5F" w:rsidRDefault="00980E5F">
            <w:pPr>
              <w:rPr>
                <w:rFonts w:ascii="宋体"/>
                <w:vanish/>
              </w:rPr>
            </w:pPr>
          </w:p>
        </w:tc>
        <w:tc>
          <w:tcPr>
            <w:tcW w:w="0" w:type="auto"/>
            <w:gridSpan w:val="3"/>
            <w:shd w:val="clear" w:color="auto" w:fill="auto"/>
            <w:vAlign w:val="bottom"/>
          </w:tcPr>
          <w:p w14:paraId="392C4BFD" w14:textId="77777777" w:rsidR="00980E5F" w:rsidRDefault="00980E5F">
            <w:pPr>
              <w:rPr>
                <w:rFonts w:ascii="宋体"/>
                <w:vanish/>
              </w:rPr>
            </w:pPr>
          </w:p>
        </w:tc>
        <w:tc>
          <w:tcPr>
            <w:tcW w:w="0" w:type="auto"/>
            <w:gridSpan w:val="3"/>
            <w:shd w:val="clear" w:color="auto" w:fill="auto"/>
            <w:vAlign w:val="bottom"/>
          </w:tcPr>
          <w:p w14:paraId="392C4BFE" w14:textId="77777777" w:rsidR="00980E5F" w:rsidRDefault="00980E5F">
            <w:pPr>
              <w:rPr>
                <w:rFonts w:ascii="宋体"/>
                <w:vanish/>
              </w:rPr>
            </w:pPr>
          </w:p>
        </w:tc>
        <w:tc>
          <w:tcPr>
            <w:tcW w:w="0" w:type="auto"/>
            <w:gridSpan w:val="3"/>
            <w:shd w:val="clear" w:color="auto" w:fill="auto"/>
            <w:vAlign w:val="bottom"/>
          </w:tcPr>
          <w:p w14:paraId="392C4BFF" w14:textId="77777777" w:rsidR="00980E5F" w:rsidRDefault="00980E5F">
            <w:pPr>
              <w:rPr>
                <w:rFonts w:ascii="宋体"/>
                <w:vanish/>
              </w:rPr>
            </w:pPr>
          </w:p>
        </w:tc>
        <w:tc>
          <w:tcPr>
            <w:tcW w:w="0" w:type="auto"/>
            <w:gridSpan w:val="3"/>
            <w:shd w:val="clear" w:color="auto" w:fill="auto"/>
            <w:vAlign w:val="bottom"/>
          </w:tcPr>
          <w:p w14:paraId="392C4C00" w14:textId="77777777" w:rsidR="00980E5F" w:rsidRDefault="00980E5F">
            <w:pPr>
              <w:rPr>
                <w:rFonts w:ascii="宋体"/>
                <w:vanish/>
              </w:rPr>
            </w:pPr>
          </w:p>
        </w:tc>
        <w:tc>
          <w:tcPr>
            <w:tcW w:w="0" w:type="auto"/>
            <w:gridSpan w:val="3"/>
            <w:shd w:val="clear" w:color="auto" w:fill="auto"/>
            <w:vAlign w:val="bottom"/>
          </w:tcPr>
          <w:p w14:paraId="392C4C01" w14:textId="77777777" w:rsidR="00980E5F" w:rsidRDefault="00980E5F">
            <w:pPr>
              <w:rPr>
                <w:rFonts w:ascii="宋体"/>
                <w:vanish/>
              </w:rPr>
            </w:pPr>
          </w:p>
        </w:tc>
        <w:tc>
          <w:tcPr>
            <w:tcW w:w="0" w:type="auto"/>
            <w:gridSpan w:val="3"/>
            <w:shd w:val="clear" w:color="auto" w:fill="auto"/>
            <w:vAlign w:val="bottom"/>
          </w:tcPr>
          <w:p w14:paraId="392C4C02" w14:textId="77777777" w:rsidR="00980E5F" w:rsidRDefault="00980E5F">
            <w:pPr>
              <w:rPr>
                <w:rFonts w:ascii="宋体"/>
                <w:vanish/>
              </w:rPr>
            </w:pPr>
          </w:p>
        </w:tc>
        <w:tc>
          <w:tcPr>
            <w:tcW w:w="0" w:type="auto"/>
            <w:gridSpan w:val="3"/>
            <w:shd w:val="clear" w:color="auto" w:fill="auto"/>
            <w:vAlign w:val="bottom"/>
          </w:tcPr>
          <w:p w14:paraId="392C4C03" w14:textId="77777777" w:rsidR="00980E5F" w:rsidRDefault="00980E5F">
            <w:pPr>
              <w:rPr>
                <w:rFonts w:ascii="宋体"/>
                <w:vanish/>
              </w:rPr>
            </w:pPr>
          </w:p>
        </w:tc>
        <w:tc>
          <w:tcPr>
            <w:tcW w:w="0" w:type="auto"/>
            <w:gridSpan w:val="3"/>
            <w:shd w:val="clear" w:color="auto" w:fill="auto"/>
            <w:vAlign w:val="bottom"/>
          </w:tcPr>
          <w:p w14:paraId="392C4C04" w14:textId="77777777" w:rsidR="00980E5F" w:rsidRDefault="00980E5F">
            <w:pPr>
              <w:rPr>
                <w:rFonts w:ascii="宋体"/>
                <w:vanish/>
              </w:rPr>
            </w:pPr>
          </w:p>
        </w:tc>
        <w:tc>
          <w:tcPr>
            <w:tcW w:w="0" w:type="auto"/>
            <w:gridSpan w:val="3"/>
            <w:shd w:val="clear" w:color="auto" w:fill="auto"/>
            <w:vAlign w:val="bottom"/>
          </w:tcPr>
          <w:p w14:paraId="392C4C05" w14:textId="77777777" w:rsidR="00980E5F" w:rsidRDefault="00980E5F">
            <w:pPr>
              <w:rPr>
                <w:rFonts w:ascii="宋体"/>
                <w:vanish/>
              </w:rPr>
            </w:pPr>
          </w:p>
        </w:tc>
        <w:tc>
          <w:tcPr>
            <w:tcW w:w="0" w:type="auto"/>
            <w:gridSpan w:val="3"/>
            <w:shd w:val="clear" w:color="auto" w:fill="auto"/>
            <w:vAlign w:val="bottom"/>
          </w:tcPr>
          <w:p w14:paraId="392C4C06" w14:textId="77777777" w:rsidR="00980E5F" w:rsidRDefault="00980E5F">
            <w:pPr>
              <w:rPr>
                <w:rFonts w:ascii="宋体"/>
                <w:vanish/>
              </w:rPr>
            </w:pPr>
          </w:p>
        </w:tc>
        <w:tc>
          <w:tcPr>
            <w:tcW w:w="0" w:type="auto"/>
            <w:gridSpan w:val="3"/>
            <w:shd w:val="clear" w:color="auto" w:fill="auto"/>
            <w:vAlign w:val="bottom"/>
          </w:tcPr>
          <w:p w14:paraId="392C4C07" w14:textId="77777777" w:rsidR="00980E5F" w:rsidRDefault="00980E5F">
            <w:pPr>
              <w:rPr>
                <w:rFonts w:ascii="宋体"/>
                <w:vanish/>
              </w:rPr>
            </w:pPr>
          </w:p>
        </w:tc>
        <w:tc>
          <w:tcPr>
            <w:tcW w:w="0" w:type="auto"/>
            <w:gridSpan w:val="3"/>
            <w:shd w:val="clear" w:color="auto" w:fill="auto"/>
            <w:vAlign w:val="bottom"/>
          </w:tcPr>
          <w:p w14:paraId="392C4C08" w14:textId="77777777" w:rsidR="00980E5F" w:rsidRDefault="00980E5F">
            <w:pPr>
              <w:rPr>
                <w:rFonts w:ascii="宋体"/>
                <w:vanish/>
              </w:rPr>
            </w:pPr>
          </w:p>
        </w:tc>
        <w:tc>
          <w:tcPr>
            <w:tcW w:w="0" w:type="auto"/>
            <w:gridSpan w:val="3"/>
            <w:shd w:val="clear" w:color="auto" w:fill="auto"/>
            <w:vAlign w:val="bottom"/>
          </w:tcPr>
          <w:p w14:paraId="392C4C09" w14:textId="77777777" w:rsidR="00980E5F" w:rsidRDefault="00980E5F">
            <w:pPr>
              <w:rPr>
                <w:rFonts w:ascii="宋体"/>
                <w:vanish/>
              </w:rPr>
            </w:pPr>
          </w:p>
        </w:tc>
        <w:tc>
          <w:tcPr>
            <w:tcW w:w="0" w:type="auto"/>
            <w:gridSpan w:val="3"/>
            <w:shd w:val="clear" w:color="auto" w:fill="auto"/>
            <w:vAlign w:val="bottom"/>
          </w:tcPr>
          <w:p w14:paraId="392C4C0A" w14:textId="77777777" w:rsidR="00980E5F" w:rsidRDefault="00980E5F">
            <w:pPr>
              <w:rPr>
                <w:rFonts w:ascii="宋体"/>
                <w:vanish/>
              </w:rPr>
            </w:pPr>
          </w:p>
        </w:tc>
        <w:tc>
          <w:tcPr>
            <w:tcW w:w="0" w:type="auto"/>
            <w:gridSpan w:val="3"/>
            <w:shd w:val="clear" w:color="auto" w:fill="auto"/>
            <w:vAlign w:val="bottom"/>
          </w:tcPr>
          <w:p w14:paraId="392C4C0B" w14:textId="77777777" w:rsidR="00980E5F" w:rsidRDefault="00980E5F">
            <w:pPr>
              <w:rPr>
                <w:rFonts w:ascii="宋体"/>
                <w:vanish/>
              </w:rPr>
            </w:pPr>
          </w:p>
        </w:tc>
        <w:tc>
          <w:tcPr>
            <w:tcW w:w="0" w:type="auto"/>
            <w:gridSpan w:val="3"/>
            <w:shd w:val="clear" w:color="auto" w:fill="auto"/>
            <w:vAlign w:val="bottom"/>
          </w:tcPr>
          <w:p w14:paraId="392C4C0C" w14:textId="77777777" w:rsidR="00980E5F" w:rsidRDefault="00980E5F">
            <w:pPr>
              <w:rPr>
                <w:rFonts w:ascii="宋体"/>
                <w:vanish/>
              </w:rPr>
            </w:pPr>
          </w:p>
        </w:tc>
        <w:tc>
          <w:tcPr>
            <w:tcW w:w="0" w:type="auto"/>
            <w:gridSpan w:val="3"/>
            <w:shd w:val="clear" w:color="auto" w:fill="auto"/>
            <w:vAlign w:val="bottom"/>
          </w:tcPr>
          <w:p w14:paraId="392C4C0D" w14:textId="77777777" w:rsidR="00980E5F" w:rsidRDefault="00980E5F">
            <w:pPr>
              <w:rPr>
                <w:rFonts w:ascii="宋体"/>
                <w:vanish/>
              </w:rPr>
            </w:pPr>
          </w:p>
        </w:tc>
        <w:tc>
          <w:tcPr>
            <w:tcW w:w="0" w:type="auto"/>
            <w:gridSpan w:val="3"/>
            <w:shd w:val="clear" w:color="auto" w:fill="auto"/>
            <w:vAlign w:val="bottom"/>
          </w:tcPr>
          <w:p w14:paraId="392C4C0E" w14:textId="77777777" w:rsidR="00980E5F" w:rsidRDefault="00980E5F">
            <w:pPr>
              <w:rPr>
                <w:rFonts w:ascii="宋体"/>
                <w:vanish/>
              </w:rPr>
            </w:pPr>
          </w:p>
        </w:tc>
        <w:tc>
          <w:tcPr>
            <w:tcW w:w="0" w:type="auto"/>
            <w:gridSpan w:val="2"/>
            <w:shd w:val="clear" w:color="auto" w:fill="auto"/>
            <w:vAlign w:val="bottom"/>
          </w:tcPr>
          <w:p w14:paraId="392C4C0F" w14:textId="77777777" w:rsidR="00980E5F" w:rsidRDefault="00980E5F">
            <w:pPr>
              <w:rPr>
                <w:rFonts w:ascii="宋体"/>
                <w:vanish/>
              </w:rPr>
            </w:pPr>
          </w:p>
        </w:tc>
        <w:tc>
          <w:tcPr>
            <w:tcW w:w="0" w:type="auto"/>
            <w:shd w:val="clear" w:color="auto" w:fill="auto"/>
            <w:vAlign w:val="bottom"/>
          </w:tcPr>
          <w:p w14:paraId="392C4C10" w14:textId="77777777" w:rsidR="00980E5F" w:rsidRDefault="00980E5F">
            <w:pPr>
              <w:rPr>
                <w:rFonts w:ascii="宋体"/>
                <w:vanish/>
              </w:rPr>
            </w:pPr>
          </w:p>
        </w:tc>
      </w:tr>
      <w:tr w:rsidR="00980E5F" w14:paraId="392C4C28" w14:textId="77777777">
        <w:trPr>
          <w:hidden/>
        </w:trPr>
        <w:tc>
          <w:tcPr>
            <w:tcW w:w="0" w:type="auto"/>
            <w:gridSpan w:val="3"/>
            <w:shd w:val="clear" w:color="auto" w:fill="auto"/>
            <w:vAlign w:val="bottom"/>
          </w:tcPr>
          <w:p w14:paraId="392C4C12" w14:textId="77777777" w:rsidR="00980E5F" w:rsidRDefault="00980E5F">
            <w:pPr>
              <w:rPr>
                <w:rFonts w:ascii="宋体"/>
                <w:vanish/>
              </w:rPr>
            </w:pPr>
          </w:p>
        </w:tc>
        <w:tc>
          <w:tcPr>
            <w:tcW w:w="0" w:type="auto"/>
            <w:gridSpan w:val="3"/>
            <w:shd w:val="clear" w:color="auto" w:fill="auto"/>
            <w:vAlign w:val="bottom"/>
          </w:tcPr>
          <w:p w14:paraId="392C4C13" w14:textId="77777777" w:rsidR="00980E5F" w:rsidRDefault="00980E5F">
            <w:pPr>
              <w:rPr>
                <w:rFonts w:ascii="宋体"/>
                <w:vanish/>
              </w:rPr>
            </w:pPr>
          </w:p>
        </w:tc>
        <w:tc>
          <w:tcPr>
            <w:tcW w:w="0" w:type="auto"/>
            <w:gridSpan w:val="3"/>
            <w:shd w:val="clear" w:color="auto" w:fill="auto"/>
            <w:vAlign w:val="bottom"/>
          </w:tcPr>
          <w:p w14:paraId="392C4C14" w14:textId="77777777" w:rsidR="00980E5F" w:rsidRDefault="00980E5F">
            <w:pPr>
              <w:rPr>
                <w:rFonts w:ascii="宋体"/>
                <w:vanish/>
              </w:rPr>
            </w:pPr>
          </w:p>
        </w:tc>
        <w:tc>
          <w:tcPr>
            <w:tcW w:w="0" w:type="auto"/>
            <w:gridSpan w:val="3"/>
            <w:shd w:val="clear" w:color="auto" w:fill="auto"/>
            <w:vAlign w:val="bottom"/>
          </w:tcPr>
          <w:p w14:paraId="392C4C15" w14:textId="77777777" w:rsidR="00980E5F" w:rsidRDefault="00980E5F">
            <w:pPr>
              <w:rPr>
                <w:rFonts w:ascii="宋体"/>
                <w:vanish/>
              </w:rPr>
            </w:pPr>
          </w:p>
        </w:tc>
        <w:tc>
          <w:tcPr>
            <w:tcW w:w="0" w:type="auto"/>
            <w:gridSpan w:val="3"/>
            <w:shd w:val="clear" w:color="auto" w:fill="auto"/>
            <w:vAlign w:val="bottom"/>
          </w:tcPr>
          <w:p w14:paraId="392C4C16" w14:textId="77777777" w:rsidR="00980E5F" w:rsidRDefault="00980E5F">
            <w:pPr>
              <w:rPr>
                <w:rFonts w:ascii="宋体"/>
                <w:vanish/>
              </w:rPr>
            </w:pPr>
          </w:p>
        </w:tc>
        <w:tc>
          <w:tcPr>
            <w:tcW w:w="0" w:type="auto"/>
            <w:gridSpan w:val="3"/>
            <w:shd w:val="clear" w:color="auto" w:fill="auto"/>
            <w:vAlign w:val="bottom"/>
          </w:tcPr>
          <w:p w14:paraId="392C4C17" w14:textId="77777777" w:rsidR="00980E5F" w:rsidRDefault="00980E5F">
            <w:pPr>
              <w:rPr>
                <w:rFonts w:ascii="宋体"/>
                <w:vanish/>
              </w:rPr>
            </w:pPr>
          </w:p>
        </w:tc>
        <w:tc>
          <w:tcPr>
            <w:tcW w:w="0" w:type="auto"/>
            <w:gridSpan w:val="3"/>
            <w:shd w:val="clear" w:color="auto" w:fill="auto"/>
            <w:vAlign w:val="bottom"/>
          </w:tcPr>
          <w:p w14:paraId="392C4C18" w14:textId="77777777" w:rsidR="00980E5F" w:rsidRDefault="00980E5F">
            <w:pPr>
              <w:rPr>
                <w:rFonts w:ascii="宋体"/>
                <w:vanish/>
              </w:rPr>
            </w:pPr>
          </w:p>
        </w:tc>
        <w:tc>
          <w:tcPr>
            <w:tcW w:w="0" w:type="auto"/>
            <w:gridSpan w:val="3"/>
            <w:shd w:val="clear" w:color="auto" w:fill="auto"/>
            <w:vAlign w:val="bottom"/>
          </w:tcPr>
          <w:p w14:paraId="392C4C19" w14:textId="77777777" w:rsidR="00980E5F" w:rsidRDefault="00980E5F">
            <w:pPr>
              <w:rPr>
                <w:rFonts w:ascii="宋体"/>
                <w:vanish/>
              </w:rPr>
            </w:pPr>
          </w:p>
        </w:tc>
        <w:tc>
          <w:tcPr>
            <w:tcW w:w="0" w:type="auto"/>
            <w:gridSpan w:val="3"/>
            <w:shd w:val="clear" w:color="auto" w:fill="auto"/>
            <w:vAlign w:val="bottom"/>
          </w:tcPr>
          <w:p w14:paraId="392C4C1A" w14:textId="77777777" w:rsidR="00980E5F" w:rsidRDefault="00980E5F">
            <w:pPr>
              <w:rPr>
                <w:rFonts w:ascii="宋体"/>
                <w:vanish/>
              </w:rPr>
            </w:pPr>
          </w:p>
        </w:tc>
        <w:tc>
          <w:tcPr>
            <w:tcW w:w="0" w:type="auto"/>
            <w:gridSpan w:val="3"/>
            <w:shd w:val="clear" w:color="auto" w:fill="auto"/>
            <w:vAlign w:val="bottom"/>
          </w:tcPr>
          <w:p w14:paraId="392C4C1B" w14:textId="77777777" w:rsidR="00980E5F" w:rsidRDefault="00980E5F">
            <w:pPr>
              <w:rPr>
                <w:rFonts w:ascii="宋体"/>
                <w:vanish/>
              </w:rPr>
            </w:pPr>
          </w:p>
        </w:tc>
        <w:tc>
          <w:tcPr>
            <w:tcW w:w="0" w:type="auto"/>
            <w:gridSpan w:val="3"/>
            <w:shd w:val="clear" w:color="auto" w:fill="auto"/>
            <w:vAlign w:val="bottom"/>
          </w:tcPr>
          <w:p w14:paraId="392C4C1C" w14:textId="77777777" w:rsidR="00980E5F" w:rsidRDefault="00980E5F">
            <w:pPr>
              <w:rPr>
                <w:rFonts w:ascii="宋体"/>
                <w:vanish/>
              </w:rPr>
            </w:pPr>
          </w:p>
        </w:tc>
        <w:tc>
          <w:tcPr>
            <w:tcW w:w="0" w:type="auto"/>
            <w:gridSpan w:val="3"/>
            <w:shd w:val="clear" w:color="auto" w:fill="auto"/>
            <w:vAlign w:val="bottom"/>
          </w:tcPr>
          <w:p w14:paraId="392C4C1D" w14:textId="77777777" w:rsidR="00980E5F" w:rsidRDefault="00980E5F">
            <w:pPr>
              <w:rPr>
                <w:rFonts w:ascii="宋体"/>
                <w:vanish/>
              </w:rPr>
            </w:pPr>
          </w:p>
        </w:tc>
        <w:tc>
          <w:tcPr>
            <w:tcW w:w="0" w:type="auto"/>
            <w:gridSpan w:val="3"/>
            <w:shd w:val="clear" w:color="auto" w:fill="auto"/>
            <w:vAlign w:val="bottom"/>
          </w:tcPr>
          <w:p w14:paraId="392C4C1E" w14:textId="77777777" w:rsidR="00980E5F" w:rsidRDefault="00980E5F">
            <w:pPr>
              <w:rPr>
                <w:rFonts w:ascii="宋体"/>
                <w:vanish/>
              </w:rPr>
            </w:pPr>
          </w:p>
        </w:tc>
        <w:tc>
          <w:tcPr>
            <w:tcW w:w="0" w:type="auto"/>
            <w:gridSpan w:val="3"/>
            <w:shd w:val="clear" w:color="auto" w:fill="auto"/>
            <w:vAlign w:val="bottom"/>
          </w:tcPr>
          <w:p w14:paraId="392C4C1F" w14:textId="77777777" w:rsidR="00980E5F" w:rsidRDefault="00980E5F">
            <w:pPr>
              <w:rPr>
                <w:rFonts w:ascii="宋体"/>
                <w:vanish/>
              </w:rPr>
            </w:pPr>
          </w:p>
        </w:tc>
        <w:tc>
          <w:tcPr>
            <w:tcW w:w="0" w:type="auto"/>
            <w:gridSpan w:val="3"/>
            <w:shd w:val="clear" w:color="auto" w:fill="auto"/>
            <w:vAlign w:val="bottom"/>
          </w:tcPr>
          <w:p w14:paraId="392C4C20" w14:textId="77777777" w:rsidR="00980E5F" w:rsidRDefault="00980E5F">
            <w:pPr>
              <w:rPr>
                <w:rFonts w:ascii="宋体"/>
                <w:vanish/>
              </w:rPr>
            </w:pPr>
          </w:p>
        </w:tc>
        <w:tc>
          <w:tcPr>
            <w:tcW w:w="0" w:type="auto"/>
            <w:gridSpan w:val="3"/>
            <w:shd w:val="clear" w:color="auto" w:fill="auto"/>
            <w:vAlign w:val="bottom"/>
          </w:tcPr>
          <w:p w14:paraId="392C4C21" w14:textId="77777777" w:rsidR="00980E5F" w:rsidRDefault="00980E5F">
            <w:pPr>
              <w:rPr>
                <w:rFonts w:ascii="宋体"/>
                <w:vanish/>
              </w:rPr>
            </w:pPr>
          </w:p>
        </w:tc>
        <w:tc>
          <w:tcPr>
            <w:tcW w:w="0" w:type="auto"/>
            <w:gridSpan w:val="3"/>
            <w:shd w:val="clear" w:color="auto" w:fill="auto"/>
            <w:vAlign w:val="bottom"/>
          </w:tcPr>
          <w:p w14:paraId="392C4C22" w14:textId="77777777" w:rsidR="00980E5F" w:rsidRDefault="00980E5F">
            <w:pPr>
              <w:rPr>
                <w:rFonts w:ascii="宋体"/>
                <w:vanish/>
              </w:rPr>
            </w:pPr>
          </w:p>
        </w:tc>
        <w:tc>
          <w:tcPr>
            <w:tcW w:w="0" w:type="auto"/>
            <w:gridSpan w:val="3"/>
            <w:shd w:val="clear" w:color="auto" w:fill="auto"/>
            <w:vAlign w:val="bottom"/>
          </w:tcPr>
          <w:p w14:paraId="392C4C23" w14:textId="77777777" w:rsidR="00980E5F" w:rsidRDefault="00980E5F">
            <w:pPr>
              <w:rPr>
                <w:rFonts w:ascii="宋体"/>
                <w:vanish/>
              </w:rPr>
            </w:pPr>
          </w:p>
        </w:tc>
        <w:tc>
          <w:tcPr>
            <w:tcW w:w="0" w:type="auto"/>
            <w:gridSpan w:val="3"/>
            <w:shd w:val="clear" w:color="auto" w:fill="auto"/>
            <w:vAlign w:val="bottom"/>
          </w:tcPr>
          <w:p w14:paraId="392C4C24" w14:textId="77777777" w:rsidR="00980E5F" w:rsidRDefault="00980E5F">
            <w:pPr>
              <w:rPr>
                <w:rFonts w:ascii="宋体"/>
                <w:vanish/>
              </w:rPr>
            </w:pPr>
          </w:p>
        </w:tc>
        <w:tc>
          <w:tcPr>
            <w:tcW w:w="0" w:type="auto"/>
            <w:gridSpan w:val="3"/>
            <w:shd w:val="clear" w:color="auto" w:fill="auto"/>
            <w:vAlign w:val="bottom"/>
          </w:tcPr>
          <w:p w14:paraId="392C4C25" w14:textId="77777777" w:rsidR="00980E5F" w:rsidRDefault="00980E5F">
            <w:pPr>
              <w:rPr>
                <w:rFonts w:ascii="宋体"/>
                <w:vanish/>
              </w:rPr>
            </w:pPr>
          </w:p>
        </w:tc>
        <w:tc>
          <w:tcPr>
            <w:tcW w:w="0" w:type="auto"/>
            <w:gridSpan w:val="2"/>
            <w:shd w:val="clear" w:color="auto" w:fill="auto"/>
            <w:vAlign w:val="bottom"/>
          </w:tcPr>
          <w:p w14:paraId="392C4C26" w14:textId="77777777" w:rsidR="00980E5F" w:rsidRDefault="00980E5F">
            <w:pPr>
              <w:rPr>
                <w:rFonts w:ascii="宋体"/>
                <w:vanish/>
              </w:rPr>
            </w:pPr>
          </w:p>
        </w:tc>
        <w:tc>
          <w:tcPr>
            <w:tcW w:w="0" w:type="auto"/>
            <w:shd w:val="clear" w:color="auto" w:fill="auto"/>
            <w:vAlign w:val="bottom"/>
          </w:tcPr>
          <w:p w14:paraId="392C4C27" w14:textId="77777777" w:rsidR="00980E5F" w:rsidRDefault="00980E5F">
            <w:pPr>
              <w:rPr>
                <w:rFonts w:ascii="宋体"/>
                <w:vanish/>
              </w:rPr>
            </w:pPr>
          </w:p>
        </w:tc>
      </w:tr>
      <w:tr w:rsidR="00980E5F" w14:paraId="392C4C3F" w14:textId="77777777">
        <w:trPr>
          <w:hidden/>
        </w:trPr>
        <w:tc>
          <w:tcPr>
            <w:tcW w:w="0" w:type="auto"/>
            <w:gridSpan w:val="3"/>
            <w:shd w:val="clear" w:color="auto" w:fill="auto"/>
            <w:vAlign w:val="bottom"/>
          </w:tcPr>
          <w:p w14:paraId="392C4C29" w14:textId="77777777" w:rsidR="00980E5F" w:rsidRDefault="00980E5F">
            <w:pPr>
              <w:rPr>
                <w:rFonts w:ascii="宋体"/>
                <w:vanish/>
              </w:rPr>
            </w:pPr>
          </w:p>
        </w:tc>
        <w:tc>
          <w:tcPr>
            <w:tcW w:w="0" w:type="auto"/>
            <w:gridSpan w:val="3"/>
            <w:shd w:val="clear" w:color="auto" w:fill="auto"/>
            <w:vAlign w:val="bottom"/>
          </w:tcPr>
          <w:p w14:paraId="392C4C2A" w14:textId="77777777" w:rsidR="00980E5F" w:rsidRDefault="00980E5F">
            <w:pPr>
              <w:rPr>
                <w:rFonts w:ascii="宋体"/>
                <w:vanish/>
              </w:rPr>
            </w:pPr>
          </w:p>
        </w:tc>
        <w:tc>
          <w:tcPr>
            <w:tcW w:w="0" w:type="auto"/>
            <w:gridSpan w:val="3"/>
            <w:shd w:val="clear" w:color="auto" w:fill="auto"/>
            <w:vAlign w:val="bottom"/>
          </w:tcPr>
          <w:p w14:paraId="392C4C2B" w14:textId="77777777" w:rsidR="00980E5F" w:rsidRDefault="00980E5F">
            <w:pPr>
              <w:rPr>
                <w:rFonts w:ascii="宋体"/>
                <w:vanish/>
              </w:rPr>
            </w:pPr>
          </w:p>
        </w:tc>
        <w:tc>
          <w:tcPr>
            <w:tcW w:w="0" w:type="auto"/>
            <w:gridSpan w:val="3"/>
            <w:shd w:val="clear" w:color="auto" w:fill="auto"/>
            <w:vAlign w:val="bottom"/>
          </w:tcPr>
          <w:p w14:paraId="392C4C2C" w14:textId="77777777" w:rsidR="00980E5F" w:rsidRDefault="00980E5F">
            <w:pPr>
              <w:rPr>
                <w:rFonts w:ascii="宋体"/>
                <w:vanish/>
              </w:rPr>
            </w:pPr>
          </w:p>
        </w:tc>
        <w:tc>
          <w:tcPr>
            <w:tcW w:w="0" w:type="auto"/>
            <w:gridSpan w:val="3"/>
            <w:shd w:val="clear" w:color="auto" w:fill="auto"/>
            <w:vAlign w:val="bottom"/>
          </w:tcPr>
          <w:p w14:paraId="392C4C2D" w14:textId="77777777" w:rsidR="00980E5F" w:rsidRDefault="00980E5F">
            <w:pPr>
              <w:rPr>
                <w:rFonts w:ascii="宋体"/>
                <w:vanish/>
              </w:rPr>
            </w:pPr>
          </w:p>
        </w:tc>
        <w:tc>
          <w:tcPr>
            <w:tcW w:w="0" w:type="auto"/>
            <w:gridSpan w:val="3"/>
            <w:shd w:val="clear" w:color="auto" w:fill="auto"/>
            <w:vAlign w:val="bottom"/>
          </w:tcPr>
          <w:p w14:paraId="392C4C2E" w14:textId="77777777" w:rsidR="00980E5F" w:rsidRDefault="00980E5F">
            <w:pPr>
              <w:rPr>
                <w:rFonts w:ascii="宋体"/>
                <w:vanish/>
              </w:rPr>
            </w:pPr>
          </w:p>
        </w:tc>
        <w:tc>
          <w:tcPr>
            <w:tcW w:w="0" w:type="auto"/>
            <w:gridSpan w:val="3"/>
            <w:shd w:val="clear" w:color="auto" w:fill="auto"/>
            <w:vAlign w:val="bottom"/>
          </w:tcPr>
          <w:p w14:paraId="392C4C2F" w14:textId="77777777" w:rsidR="00980E5F" w:rsidRDefault="00980E5F">
            <w:pPr>
              <w:rPr>
                <w:rFonts w:ascii="宋体"/>
                <w:vanish/>
              </w:rPr>
            </w:pPr>
          </w:p>
        </w:tc>
        <w:tc>
          <w:tcPr>
            <w:tcW w:w="0" w:type="auto"/>
            <w:gridSpan w:val="3"/>
            <w:shd w:val="clear" w:color="auto" w:fill="auto"/>
            <w:vAlign w:val="bottom"/>
          </w:tcPr>
          <w:p w14:paraId="392C4C30" w14:textId="77777777" w:rsidR="00980E5F" w:rsidRDefault="00980E5F">
            <w:pPr>
              <w:rPr>
                <w:rFonts w:ascii="宋体"/>
                <w:vanish/>
              </w:rPr>
            </w:pPr>
          </w:p>
        </w:tc>
        <w:tc>
          <w:tcPr>
            <w:tcW w:w="0" w:type="auto"/>
            <w:gridSpan w:val="3"/>
            <w:shd w:val="clear" w:color="auto" w:fill="auto"/>
            <w:vAlign w:val="bottom"/>
          </w:tcPr>
          <w:p w14:paraId="392C4C31" w14:textId="77777777" w:rsidR="00980E5F" w:rsidRDefault="00980E5F">
            <w:pPr>
              <w:rPr>
                <w:rFonts w:ascii="宋体"/>
                <w:vanish/>
              </w:rPr>
            </w:pPr>
          </w:p>
        </w:tc>
        <w:tc>
          <w:tcPr>
            <w:tcW w:w="0" w:type="auto"/>
            <w:gridSpan w:val="3"/>
            <w:shd w:val="clear" w:color="auto" w:fill="auto"/>
            <w:vAlign w:val="bottom"/>
          </w:tcPr>
          <w:p w14:paraId="392C4C32" w14:textId="77777777" w:rsidR="00980E5F" w:rsidRDefault="00980E5F">
            <w:pPr>
              <w:rPr>
                <w:rFonts w:ascii="宋体"/>
                <w:vanish/>
              </w:rPr>
            </w:pPr>
          </w:p>
        </w:tc>
        <w:tc>
          <w:tcPr>
            <w:tcW w:w="0" w:type="auto"/>
            <w:gridSpan w:val="3"/>
            <w:shd w:val="clear" w:color="auto" w:fill="auto"/>
            <w:vAlign w:val="bottom"/>
          </w:tcPr>
          <w:p w14:paraId="392C4C33" w14:textId="77777777" w:rsidR="00980E5F" w:rsidRDefault="00980E5F">
            <w:pPr>
              <w:rPr>
                <w:rFonts w:ascii="宋体"/>
                <w:vanish/>
              </w:rPr>
            </w:pPr>
          </w:p>
        </w:tc>
        <w:tc>
          <w:tcPr>
            <w:tcW w:w="0" w:type="auto"/>
            <w:gridSpan w:val="3"/>
            <w:shd w:val="clear" w:color="auto" w:fill="auto"/>
            <w:vAlign w:val="bottom"/>
          </w:tcPr>
          <w:p w14:paraId="392C4C34" w14:textId="77777777" w:rsidR="00980E5F" w:rsidRDefault="00980E5F">
            <w:pPr>
              <w:rPr>
                <w:rFonts w:ascii="宋体"/>
                <w:vanish/>
              </w:rPr>
            </w:pPr>
          </w:p>
        </w:tc>
        <w:tc>
          <w:tcPr>
            <w:tcW w:w="0" w:type="auto"/>
            <w:gridSpan w:val="3"/>
            <w:shd w:val="clear" w:color="auto" w:fill="auto"/>
            <w:vAlign w:val="bottom"/>
          </w:tcPr>
          <w:p w14:paraId="392C4C35" w14:textId="77777777" w:rsidR="00980E5F" w:rsidRDefault="00980E5F">
            <w:pPr>
              <w:rPr>
                <w:rFonts w:ascii="宋体"/>
                <w:vanish/>
              </w:rPr>
            </w:pPr>
          </w:p>
        </w:tc>
        <w:tc>
          <w:tcPr>
            <w:tcW w:w="0" w:type="auto"/>
            <w:gridSpan w:val="3"/>
            <w:shd w:val="clear" w:color="auto" w:fill="auto"/>
            <w:vAlign w:val="bottom"/>
          </w:tcPr>
          <w:p w14:paraId="392C4C36" w14:textId="77777777" w:rsidR="00980E5F" w:rsidRDefault="00980E5F">
            <w:pPr>
              <w:rPr>
                <w:rFonts w:ascii="宋体"/>
                <w:vanish/>
              </w:rPr>
            </w:pPr>
          </w:p>
        </w:tc>
        <w:tc>
          <w:tcPr>
            <w:tcW w:w="0" w:type="auto"/>
            <w:gridSpan w:val="3"/>
            <w:shd w:val="clear" w:color="auto" w:fill="auto"/>
            <w:vAlign w:val="bottom"/>
          </w:tcPr>
          <w:p w14:paraId="392C4C37" w14:textId="77777777" w:rsidR="00980E5F" w:rsidRDefault="00980E5F">
            <w:pPr>
              <w:rPr>
                <w:rFonts w:ascii="宋体"/>
                <w:vanish/>
              </w:rPr>
            </w:pPr>
          </w:p>
        </w:tc>
        <w:tc>
          <w:tcPr>
            <w:tcW w:w="0" w:type="auto"/>
            <w:gridSpan w:val="3"/>
            <w:shd w:val="clear" w:color="auto" w:fill="auto"/>
            <w:vAlign w:val="bottom"/>
          </w:tcPr>
          <w:p w14:paraId="392C4C38" w14:textId="77777777" w:rsidR="00980E5F" w:rsidRDefault="00980E5F">
            <w:pPr>
              <w:rPr>
                <w:rFonts w:ascii="宋体"/>
                <w:vanish/>
              </w:rPr>
            </w:pPr>
          </w:p>
        </w:tc>
        <w:tc>
          <w:tcPr>
            <w:tcW w:w="0" w:type="auto"/>
            <w:gridSpan w:val="3"/>
            <w:shd w:val="clear" w:color="auto" w:fill="auto"/>
            <w:vAlign w:val="bottom"/>
          </w:tcPr>
          <w:p w14:paraId="392C4C39" w14:textId="77777777" w:rsidR="00980E5F" w:rsidRDefault="00980E5F">
            <w:pPr>
              <w:rPr>
                <w:rFonts w:ascii="宋体"/>
                <w:vanish/>
              </w:rPr>
            </w:pPr>
          </w:p>
        </w:tc>
        <w:tc>
          <w:tcPr>
            <w:tcW w:w="0" w:type="auto"/>
            <w:gridSpan w:val="3"/>
            <w:shd w:val="clear" w:color="auto" w:fill="auto"/>
            <w:vAlign w:val="bottom"/>
          </w:tcPr>
          <w:p w14:paraId="392C4C3A" w14:textId="77777777" w:rsidR="00980E5F" w:rsidRDefault="00980E5F">
            <w:pPr>
              <w:rPr>
                <w:rFonts w:ascii="宋体"/>
                <w:vanish/>
              </w:rPr>
            </w:pPr>
          </w:p>
        </w:tc>
        <w:tc>
          <w:tcPr>
            <w:tcW w:w="0" w:type="auto"/>
            <w:gridSpan w:val="3"/>
            <w:shd w:val="clear" w:color="auto" w:fill="auto"/>
            <w:vAlign w:val="bottom"/>
          </w:tcPr>
          <w:p w14:paraId="392C4C3B" w14:textId="77777777" w:rsidR="00980E5F" w:rsidRDefault="00980E5F">
            <w:pPr>
              <w:rPr>
                <w:rFonts w:ascii="宋体"/>
                <w:vanish/>
              </w:rPr>
            </w:pPr>
          </w:p>
        </w:tc>
        <w:tc>
          <w:tcPr>
            <w:tcW w:w="0" w:type="auto"/>
            <w:gridSpan w:val="3"/>
            <w:shd w:val="clear" w:color="auto" w:fill="auto"/>
            <w:vAlign w:val="bottom"/>
          </w:tcPr>
          <w:p w14:paraId="392C4C3C" w14:textId="77777777" w:rsidR="00980E5F" w:rsidRDefault="00980E5F">
            <w:pPr>
              <w:rPr>
                <w:rFonts w:ascii="宋体"/>
                <w:vanish/>
              </w:rPr>
            </w:pPr>
          </w:p>
        </w:tc>
        <w:tc>
          <w:tcPr>
            <w:tcW w:w="0" w:type="auto"/>
            <w:gridSpan w:val="2"/>
            <w:shd w:val="clear" w:color="auto" w:fill="auto"/>
            <w:vAlign w:val="bottom"/>
          </w:tcPr>
          <w:p w14:paraId="392C4C3D" w14:textId="77777777" w:rsidR="00980E5F" w:rsidRDefault="00980E5F">
            <w:pPr>
              <w:rPr>
                <w:rFonts w:ascii="宋体"/>
                <w:vanish/>
              </w:rPr>
            </w:pPr>
          </w:p>
        </w:tc>
        <w:tc>
          <w:tcPr>
            <w:tcW w:w="0" w:type="auto"/>
            <w:shd w:val="clear" w:color="auto" w:fill="auto"/>
            <w:vAlign w:val="bottom"/>
          </w:tcPr>
          <w:p w14:paraId="392C4C3E" w14:textId="77777777" w:rsidR="00980E5F" w:rsidRDefault="00980E5F">
            <w:pPr>
              <w:rPr>
                <w:rFonts w:ascii="宋体"/>
                <w:vanish/>
              </w:rPr>
            </w:pPr>
          </w:p>
        </w:tc>
      </w:tr>
      <w:tr w:rsidR="00980E5F" w14:paraId="392C4C56" w14:textId="77777777">
        <w:trPr>
          <w:hidden/>
        </w:trPr>
        <w:tc>
          <w:tcPr>
            <w:tcW w:w="0" w:type="auto"/>
            <w:gridSpan w:val="3"/>
            <w:shd w:val="clear" w:color="auto" w:fill="auto"/>
            <w:vAlign w:val="bottom"/>
          </w:tcPr>
          <w:p w14:paraId="392C4C40" w14:textId="77777777" w:rsidR="00980E5F" w:rsidRDefault="00980E5F">
            <w:pPr>
              <w:rPr>
                <w:rFonts w:ascii="宋体"/>
                <w:vanish/>
              </w:rPr>
            </w:pPr>
          </w:p>
        </w:tc>
        <w:tc>
          <w:tcPr>
            <w:tcW w:w="0" w:type="auto"/>
            <w:gridSpan w:val="3"/>
            <w:shd w:val="clear" w:color="auto" w:fill="auto"/>
            <w:vAlign w:val="bottom"/>
          </w:tcPr>
          <w:p w14:paraId="392C4C41" w14:textId="77777777" w:rsidR="00980E5F" w:rsidRDefault="00980E5F">
            <w:pPr>
              <w:rPr>
                <w:rFonts w:ascii="宋体"/>
                <w:vanish/>
              </w:rPr>
            </w:pPr>
          </w:p>
        </w:tc>
        <w:tc>
          <w:tcPr>
            <w:tcW w:w="0" w:type="auto"/>
            <w:gridSpan w:val="3"/>
            <w:shd w:val="clear" w:color="auto" w:fill="auto"/>
            <w:vAlign w:val="bottom"/>
          </w:tcPr>
          <w:p w14:paraId="392C4C42" w14:textId="77777777" w:rsidR="00980E5F" w:rsidRDefault="00980E5F">
            <w:pPr>
              <w:rPr>
                <w:rFonts w:ascii="宋体"/>
                <w:vanish/>
              </w:rPr>
            </w:pPr>
          </w:p>
        </w:tc>
        <w:tc>
          <w:tcPr>
            <w:tcW w:w="0" w:type="auto"/>
            <w:gridSpan w:val="3"/>
            <w:shd w:val="clear" w:color="auto" w:fill="auto"/>
            <w:vAlign w:val="bottom"/>
          </w:tcPr>
          <w:p w14:paraId="392C4C43" w14:textId="77777777" w:rsidR="00980E5F" w:rsidRDefault="00980E5F">
            <w:pPr>
              <w:rPr>
                <w:rFonts w:ascii="宋体"/>
                <w:vanish/>
              </w:rPr>
            </w:pPr>
          </w:p>
        </w:tc>
        <w:tc>
          <w:tcPr>
            <w:tcW w:w="0" w:type="auto"/>
            <w:gridSpan w:val="3"/>
            <w:shd w:val="clear" w:color="auto" w:fill="auto"/>
            <w:vAlign w:val="bottom"/>
          </w:tcPr>
          <w:p w14:paraId="392C4C44" w14:textId="77777777" w:rsidR="00980E5F" w:rsidRDefault="00980E5F">
            <w:pPr>
              <w:rPr>
                <w:rFonts w:ascii="宋体"/>
                <w:vanish/>
              </w:rPr>
            </w:pPr>
          </w:p>
        </w:tc>
        <w:tc>
          <w:tcPr>
            <w:tcW w:w="0" w:type="auto"/>
            <w:gridSpan w:val="3"/>
            <w:shd w:val="clear" w:color="auto" w:fill="auto"/>
            <w:vAlign w:val="bottom"/>
          </w:tcPr>
          <w:p w14:paraId="392C4C45" w14:textId="77777777" w:rsidR="00980E5F" w:rsidRDefault="00980E5F">
            <w:pPr>
              <w:rPr>
                <w:rFonts w:ascii="宋体"/>
                <w:vanish/>
              </w:rPr>
            </w:pPr>
          </w:p>
        </w:tc>
        <w:tc>
          <w:tcPr>
            <w:tcW w:w="0" w:type="auto"/>
            <w:gridSpan w:val="3"/>
            <w:shd w:val="clear" w:color="auto" w:fill="auto"/>
            <w:vAlign w:val="bottom"/>
          </w:tcPr>
          <w:p w14:paraId="392C4C46" w14:textId="77777777" w:rsidR="00980E5F" w:rsidRDefault="00980E5F">
            <w:pPr>
              <w:rPr>
                <w:rFonts w:ascii="宋体"/>
                <w:vanish/>
              </w:rPr>
            </w:pPr>
          </w:p>
        </w:tc>
        <w:tc>
          <w:tcPr>
            <w:tcW w:w="0" w:type="auto"/>
            <w:gridSpan w:val="3"/>
            <w:shd w:val="clear" w:color="auto" w:fill="auto"/>
            <w:vAlign w:val="bottom"/>
          </w:tcPr>
          <w:p w14:paraId="392C4C47" w14:textId="77777777" w:rsidR="00980E5F" w:rsidRDefault="00980E5F">
            <w:pPr>
              <w:rPr>
                <w:rFonts w:ascii="宋体"/>
                <w:vanish/>
              </w:rPr>
            </w:pPr>
          </w:p>
        </w:tc>
        <w:tc>
          <w:tcPr>
            <w:tcW w:w="0" w:type="auto"/>
            <w:gridSpan w:val="3"/>
            <w:shd w:val="clear" w:color="auto" w:fill="auto"/>
            <w:vAlign w:val="bottom"/>
          </w:tcPr>
          <w:p w14:paraId="392C4C48" w14:textId="77777777" w:rsidR="00980E5F" w:rsidRDefault="00980E5F">
            <w:pPr>
              <w:rPr>
                <w:rFonts w:ascii="宋体"/>
                <w:vanish/>
              </w:rPr>
            </w:pPr>
          </w:p>
        </w:tc>
        <w:tc>
          <w:tcPr>
            <w:tcW w:w="0" w:type="auto"/>
            <w:gridSpan w:val="3"/>
            <w:shd w:val="clear" w:color="auto" w:fill="auto"/>
            <w:vAlign w:val="bottom"/>
          </w:tcPr>
          <w:p w14:paraId="392C4C49" w14:textId="77777777" w:rsidR="00980E5F" w:rsidRDefault="00980E5F">
            <w:pPr>
              <w:rPr>
                <w:rFonts w:ascii="宋体"/>
                <w:vanish/>
              </w:rPr>
            </w:pPr>
          </w:p>
        </w:tc>
        <w:tc>
          <w:tcPr>
            <w:tcW w:w="0" w:type="auto"/>
            <w:gridSpan w:val="3"/>
            <w:shd w:val="clear" w:color="auto" w:fill="auto"/>
            <w:vAlign w:val="bottom"/>
          </w:tcPr>
          <w:p w14:paraId="392C4C4A" w14:textId="77777777" w:rsidR="00980E5F" w:rsidRDefault="00980E5F">
            <w:pPr>
              <w:rPr>
                <w:rFonts w:ascii="宋体"/>
                <w:vanish/>
              </w:rPr>
            </w:pPr>
          </w:p>
        </w:tc>
        <w:tc>
          <w:tcPr>
            <w:tcW w:w="0" w:type="auto"/>
            <w:gridSpan w:val="3"/>
            <w:shd w:val="clear" w:color="auto" w:fill="auto"/>
            <w:vAlign w:val="bottom"/>
          </w:tcPr>
          <w:p w14:paraId="392C4C4B" w14:textId="77777777" w:rsidR="00980E5F" w:rsidRDefault="00980E5F">
            <w:pPr>
              <w:rPr>
                <w:rFonts w:ascii="宋体"/>
                <w:vanish/>
              </w:rPr>
            </w:pPr>
          </w:p>
        </w:tc>
        <w:tc>
          <w:tcPr>
            <w:tcW w:w="0" w:type="auto"/>
            <w:gridSpan w:val="3"/>
            <w:shd w:val="clear" w:color="auto" w:fill="auto"/>
            <w:vAlign w:val="bottom"/>
          </w:tcPr>
          <w:p w14:paraId="392C4C4C" w14:textId="77777777" w:rsidR="00980E5F" w:rsidRDefault="00980E5F">
            <w:pPr>
              <w:rPr>
                <w:rFonts w:ascii="宋体"/>
                <w:vanish/>
              </w:rPr>
            </w:pPr>
          </w:p>
        </w:tc>
        <w:tc>
          <w:tcPr>
            <w:tcW w:w="0" w:type="auto"/>
            <w:gridSpan w:val="3"/>
            <w:shd w:val="clear" w:color="auto" w:fill="auto"/>
            <w:vAlign w:val="bottom"/>
          </w:tcPr>
          <w:p w14:paraId="392C4C4D" w14:textId="77777777" w:rsidR="00980E5F" w:rsidRDefault="00980E5F">
            <w:pPr>
              <w:rPr>
                <w:rFonts w:ascii="宋体"/>
                <w:vanish/>
              </w:rPr>
            </w:pPr>
          </w:p>
        </w:tc>
        <w:tc>
          <w:tcPr>
            <w:tcW w:w="0" w:type="auto"/>
            <w:gridSpan w:val="3"/>
            <w:shd w:val="clear" w:color="auto" w:fill="auto"/>
            <w:vAlign w:val="bottom"/>
          </w:tcPr>
          <w:p w14:paraId="392C4C4E" w14:textId="77777777" w:rsidR="00980E5F" w:rsidRDefault="00980E5F">
            <w:pPr>
              <w:rPr>
                <w:rFonts w:ascii="宋体"/>
                <w:vanish/>
              </w:rPr>
            </w:pPr>
          </w:p>
        </w:tc>
        <w:tc>
          <w:tcPr>
            <w:tcW w:w="0" w:type="auto"/>
            <w:gridSpan w:val="3"/>
            <w:shd w:val="clear" w:color="auto" w:fill="auto"/>
            <w:vAlign w:val="bottom"/>
          </w:tcPr>
          <w:p w14:paraId="392C4C4F" w14:textId="77777777" w:rsidR="00980E5F" w:rsidRDefault="00980E5F">
            <w:pPr>
              <w:rPr>
                <w:rFonts w:ascii="宋体"/>
                <w:vanish/>
              </w:rPr>
            </w:pPr>
          </w:p>
        </w:tc>
        <w:tc>
          <w:tcPr>
            <w:tcW w:w="0" w:type="auto"/>
            <w:gridSpan w:val="3"/>
            <w:shd w:val="clear" w:color="auto" w:fill="auto"/>
            <w:vAlign w:val="bottom"/>
          </w:tcPr>
          <w:p w14:paraId="392C4C50" w14:textId="77777777" w:rsidR="00980E5F" w:rsidRDefault="00980E5F">
            <w:pPr>
              <w:rPr>
                <w:rFonts w:ascii="宋体"/>
                <w:vanish/>
              </w:rPr>
            </w:pPr>
          </w:p>
        </w:tc>
        <w:tc>
          <w:tcPr>
            <w:tcW w:w="0" w:type="auto"/>
            <w:gridSpan w:val="3"/>
            <w:shd w:val="clear" w:color="auto" w:fill="auto"/>
            <w:vAlign w:val="bottom"/>
          </w:tcPr>
          <w:p w14:paraId="392C4C51" w14:textId="77777777" w:rsidR="00980E5F" w:rsidRDefault="00980E5F">
            <w:pPr>
              <w:rPr>
                <w:rFonts w:ascii="宋体"/>
                <w:vanish/>
              </w:rPr>
            </w:pPr>
          </w:p>
        </w:tc>
        <w:tc>
          <w:tcPr>
            <w:tcW w:w="0" w:type="auto"/>
            <w:gridSpan w:val="3"/>
            <w:shd w:val="clear" w:color="auto" w:fill="auto"/>
            <w:vAlign w:val="bottom"/>
          </w:tcPr>
          <w:p w14:paraId="392C4C52" w14:textId="77777777" w:rsidR="00980E5F" w:rsidRDefault="00980E5F">
            <w:pPr>
              <w:rPr>
                <w:rFonts w:ascii="宋体"/>
                <w:vanish/>
              </w:rPr>
            </w:pPr>
          </w:p>
        </w:tc>
        <w:tc>
          <w:tcPr>
            <w:tcW w:w="0" w:type="auto"/>
            <w:gridSpan w:val="3"/>
            <w:shd w:val="clear" w:color="auto" w:fill="auto"/>
            <w:vAlign w:val="bottom"/>
          </w:tcPr>
          <w:p w14:paraId="392C4C53" w14:textId="77777777" w:rsidR="00980E5F" w:rsidRDefault="00980E5F">
            <w:pPr>
              <w:rPr>
                <w:rFonts w:ascii="宋体"/>
                <w:vanish/>
              </w:rPr>
            </w:pPr>
          </w:p>
        </w:tc>
        <w:tc>
          <w:tcPr>
            <w:tcW w:w="0" w:type="auto"/>
            <w:gridSpan w:val="2"/>
            <w:shd w:val="clear" w:color="auto" w:fill="auto"/>
            <w:vAlign w:val="bottom"/>
          </w:tcPr>
          <w:p w14:paraId="392C4C54" w14:textId="77777777" w:rsidR="00980E5F" w:rsidRDefault="00980E5F">
            <w:pPr>
              <w:rPr>
                <w:rFonts w:ascii="宋体"/>
                <w:vanish/>
              </w:rPr>
            </w:pPr>
          </w:p>
        </w:tc>
        <w:tc>
          <w:tcPr>
            <w:tcW w:w="0" w:type="auto"/>
            <w:shd w:val="clear" w:color="auto" w:fill="auto"/>
            <w:vAlign w:val="bottom"/>
          </w:tcPr>
          <w:p w14:paraId="392C4C55" w14:textId="77777777" w:rsidR="00980E5F" w:rsidRDefault="00980E5F">
            <w:pPr>
              <w:rPr>
                <w:rFonts w:ascii="宋体"/>
                <w:vanish/>
              </w:rPr>
            </w:pPr>
          </w:p>
        </w:tc>
      </w:tr>
      <w:tr w:rsidR="00980E5F" w14:paraId="392C4C6D" w14:textId="77777777">
        <w:trPr>
          <w:hidden/>
        </w:trPr>
        <w:tc>
          <w:tcPr>
            <w:tcW w:w="0" w:type="auto"/>
            <w:gridSpan w:val="3"/>
            <w:shd w:val="clear" w:color="auto" w:fill="auto"/>
            <w:vAlign w:val="bottom"/>
          </w:tcPr>
          <w:p w14:paraId="392C4C57" w14:textId="77777777" w:rsidR="00980E5F" w:rsidRDefault="00980E5F">
            <w:pPr>
              <w:rPr>
                <w:rFonts w:ascii="宋体"/>
                <w:vanish/>
              </w:rPr>
            </w:pPr>
          </w:p>
        </w:tc>
        <w:tc>
          <w:tcPr>
            <w:tcW w:w="0" w:type="auto"/>
            <w:gridSpan w:val="3"/>
            <w:shd w:val="clear" w:color="auto" w:fill="auto"/>
            <w:vAlign w:val="bottom"/>
          </w:tcPr>
          <w:p w14:paraId="392C4C58" w14:textId="77777777" w:rsidR="00980E5F" w:rsidRDefault="00980E5F">
            <w:pPr>
              <w:rPr>
                <w:rFonts w:ascii="宋体"/>
                <w:vanish/>
              </w:rPr>
            </w:pPr>
          </w:p>
        </w:tc>
        <w:tc>
          <w:tcPr>
            <w:tcW w:w="0" w:type="auto"/>
            <w:gridSpan w:val="3"/>
            <w:shd w:val="clear" w:color="auto" w:fill="auto"/>
            <w:vAlign w:val="bottom"/>
          </w:tcPr>
          <w:p w14:paraId="392C4C59" w14:textId="77777777" w:rsidR="00980E5F" w:rsidRDefault="00980E5F">
            <w:pPr>
              <w:rPr>
                <w:rFonts w:ascii="宋体"/>
                <w:vanish/>
              </w:rPr>
            </w:pPr>
          </w:p>
        </w:tc>
        <w:tc>
          <w:tcPr>
            <w:tcW w:w="0" w:type="auto"/>
            <w:gridSpan w:val="3"/>
            <w:shd w:val="clear" w:color="auto" w:fill="auto"/>
            <w:vAlign w:val="bottom"/>
          </w:tcPr>
          <w:p w14:paraId="392C4C5A" w14:textId="77777777" w:rsidR="00980E5F" w:rsidRDefault="00980E5F">
            <w:pPr>
              <w:rPr>
                <w:rFonts w:ascii="宋体"/>
                <w:vanish/>
              </w:rPr>
            </w:pPr>
          </w:p>
        </w:tc>
        <w:tc>
          <w:tcPr>
            <w:tcW w:w="0" w:type="auto"/>
            <w:gridSpan w:val="3"/>
            <w:shd w:val="clear" w:color="auto" w:fill="auto"/>
            <w:vAlign w:val="bottom"/>
          </w:tcPr>
          <w:p w14:paraId="392C4C5B" w14:textId="77777777" w:rsidR="00980E5F" w:rsidRDefault="00980E5F">
            <w:pPr>
              <w:rPr>
                <w:rFonts w:ascii="宋体"/>
                <w:vanish/>
              </w:rPr>
            </w:pPr>
          </w:p>
        </w:tc>
        <w:tc>
          <w:tcPr>
            <w:tcW w:w="0" w:type="auto"/>
            <w:gridSpan w:val="3"/>
            <w:shd w:val="clear" w:color="auto" w:fill="auto"/>
            <w:vAlign w:val="bottom"/>
          </w:tcPr>
          <w:p w14:paraId="392C4C5C" w14:textId="77777777" w:rsidR="00980E5F" w:rsidRDefault="00980E5F">
            <w:pPr>
              <w:rPr>
                <w:rFonts w:ascii="宋体"/>
                <w:vanish/>
              </w:rPr>
            </w:pPr>
          </w:p>
        </w:tc>
        <w:tc>
          <w:tcPr>
            <w:tcW w:w="0" w:type="auto"/>
            <w:gridSpan w:val="3"/>
            <w:shd w:val="clear" w:color="auto" w:fill="auto"/>
            <w:vAlign w:val="bottom"/>
          </w:tcPr>
          <w:p w14:paraId="392C4C5D" w14:textId="77777777" w:rsidR="00980E5F" w:rsidRDefault="00980E5F">
            <w:pPr>
              <w:rPr>
                <w:rFonts w:ascii="宋体"/>
                <w:vanish/>
              </w:rPr>
            </w:pPr>
          </w:p>
        </w:tc>
        <w:tc>
          <w:tcPr>
            <w:tcW w:w="0" w:type="auto"/>
            <w:gridSpan w:val="3"/>
            <w:shd w:val="clear" w:color="auto" w:fill="auto"/>
            <w:vAlign w:val="bottom"/>
          </w:tcPr>
          <w:p w14:paraId="392C4C5E" w14:textId="77777777" w:rsidR="00980E5F" w:rsidRDefault="00980E5F">
            <w:pPr>
              <w:rPr>
                <w:rFonts w:ascii="宋体"/>
                <w:vanish/>
              </w:rPr>
            </w:pPr>
          </w:p>
        </w:tc>
        <w:tc>
          <w:tcPr>
            <w:tcW w:w="0" w:type="auto"/>
            <w:gridSpan w:val="3"/>
            <w:shd w:val="clear" w:color="auto" w:fill="auto"/>
            <w:vAlign w:val="bottom"/>
          </w:tcPr>
          <w:p w14:paraId="392C4C5F" w14:textId="77777777" w:rsidR="00980E5F" w:rsidRDefault="00980E5F">
            <w:pPr>
              <w:rPr>
                <w:rFonts w:ascii="宋体"/>
                <w:vanish/>
              </w:rPr>
            </w:pPr>
          </w:p>
        </w:tc>
        <w:tc>
          <w:tcPr>
            <w:tcW w:w="0" w:type="auto"/>
            <w:gridSpan w:val="3"/>
            <w:shd w:val="clear" w:color="auto" w:fill="auto"/>
            <w:vAlign w:val="bottom"/>
          </w:tcPr>
          <w:p w14:paraId="392C4C60" w14:textId="77777777" w:rsidR="00980E5F" w:rsidRDefault="00980E5F">
            <w:pPr>
              <w:rPr>
                <w:rFonts w:ascii="宋体"/>
                <w:vanish/>
              </w:rPr>
            </w:pPr>
          </w:p>
        </w:tc>
        <w:tc>
          <w:tcPr>
            <w:tcW w:w="0" w:type="auto"/>
            <w:gridSpan w:val="3"/>
            <w:shd w:val="clear" w:color="auto" w:fill="auto"/>
            <w:vAlign w:val="bottom"/>
          </w:tcPr>
          <w:p w14:paraId="392C4C61" w14:textId="77777777" w:rsidR="00980E5F" w:rsidRDefault="00980E5F">
            <w:pPr>
              <w:rPr>
                <w:rFonts w:ascii="宋体"/>
                <w:vanish/>
              </w:rPr>
            </w:pPr>
          </w:p>
        </w:tc>
        <w:tc>
          <w:tcPr>
            <w:tcW w:w="0" w:type="auto"/>
            <w:gridSpan w:val="3"/>
            <w:shd w:val="clear" w:color="auto" w:fill="auto"/>
            <w:vAlign w:val="bottom"/>
          </w:tcPr>
          <w:p w14:paraId="392C4C62" w14:textId="77777777" w:rsidR="00980E5F" w:rsidRDefault="00980E5F">
            <w:pPr>
              <w:rPr>
                <w:rFonts w:ascii="宋体"/>
                <w:vanish/>
              </w:rPr>
            </w:pPr>
          </w:p>
        </w:tc>
        <w:tc>
          <w:tcPr>
            <w:tcW w:w="0" w:type="auto"/>
            <w:gridSpan w:val="3"/>
            <w:shd w:val="clear" w:color="auto" w:fill="auto"/>
            <w:vAlign w:val="bottom"/>
          </w:tcPr>
          <w:p w14:paraId="392C4C63" w14:textId="77777777" w:rsidR="00980E5F" w:rsidRDefault="00980E5F">
            <w:pPr>
              <w:rPr>
                <w:rFonts w:ascii="宋体"/>
                <w:vanish/>
              </w:rPr>
            </w:pPr>
          </w:p>
        </w:tc>
        <w:tc>
          <w:tcPr>
            <w:tcW w:w="0" w:type="auto"/>
            <w:gridSpan w:val="3"/>
            <w:shd w:val="clear" w:color="auto" w:fill="auto"/>
            <w:vAlign w:val="bottom"/>
          </w:tcPr>
          <w:p w14:paraId="392C4C64" w14:textId="77777777" w:rsidR="00980E5F" w:rsidRDefault="00980E5F">
            <w:pPr>
              <w:rPr>
                <w:rFonts w:ascii="宋体"/>
                <w:vanish/>
              </w:rPr>
            </w:pPr>
          </w:p>
        </w:tc>
        <w:tc>
          <w:tcPr>
            <w:tcW w:w="0" w:type="auto"/>
            <w:gridSpan w:val="3"/>
            <w:shd w:val="clear" w:color="auto" w:fill="auto"/>
            <w:vAlign w:val="bottom"/>
          </w:tcPr>
          <w:p w14:paraId="392C4C65" w14:textId="77777777" w:rsidR="00980E5F" w:rsidRDefault="00980E5F">
            <w:pPr>
              <w:rPr>
                <w:rFonts w:ascii="宋体"/>
                <w:vanish/>
              </w:rPr>
            </w:pPr>
          </w:p>
        </w:tc>
        <w:tc>
          <w:tcPr>
            <w:tcW w:w="0" w:type="auto"/>
            <w:gridSpan w:val="3"/>
            <w:shd w:val="clear" w:color="auto" w:fill="auto"/>
            <w:vAlign w:val="bottom"/>
          </w:tcPr>
          <w:p w14:paraId="392C4C66" w14:textId="77777777" w:rsidR="00980E5F" w:rsidRDefault="00980E5F">
            <w:pPr>
              <w:rPr>
                <w:rFonts w:ascii="宋体"/>
                <w:vanish/>
              </w:rPr>
            </w:pPr>
          </w:p>
        </w:tc>
        <w:tc>
          <w:tcPr>
            <w:tcW w:w="0" w:type="auto"/>
            <w:gridSpan w:val="3"/>
            <w:shd w:val="clear" w:color="auto" w:fill="auto"/>
            <w:vAlign w:val="bottom"/>
          </w:tcPr>
          <w:p w14:paraId="392C4C67" w14:textId="77777777" w:rsidR="00980E5F" w:rsidRDefault="00980E5F">
            <w:pPr>
              <w:rPr>
                <w:rFonts w:ascii="宋体"/>
                <w:vanish/>
              </w:rPr>
            </w:pPr>
          </w:p>
        </w:tc>
        <w:tc>
          <w:tcPr>
            <w:tcW w:w="0" w:type="auto"/>
            <w:gridSpan w:val="3"/>
            <w:shd w:val="clear" w:color="auto" w:fill="auto"/>
            <w:vAlign w:val="bottom"/>
          </w:tcPr>
          <w:p w14:paraId="392C4C68" w14:textId="77777777" w:rsidR="00980E5F" w:rsidRDefault="00980E5F">
            <w:pPr>
              <w:rPr>
                <w:rFonts w:ascii="宋体"/>
                <w:vanish/>
              </w:rPr>
            </w:pPr>
          </w:p>
        </w:tc>
        <w:tc>
          <w:tcPr>
            <w:tcW w:w="0" w:type="auto"/>
            <w:gridSpan w:val="3"/>
            <w:shd w:val="clear" w:color="auto" w:fill="auto"/>
            <w:vAlign w:val="bottom"/>
          </w:tcPr>
          <w:p w14:paraId="392C4C69" w14:textId="77777777" w:rsidR="00980E5F" w:rsidRDefault="00980E5F">
            <w:pPr>
              <w:rPr>
                <w:rFonts w:ascii="宋体"/>
                <w:vanish/>
              </w:rPr>
            </w:pPr>
          </w:p>
        </w:tc>
        <w:tc>
          <w:tcPr>
            <w:tcW w:w="0" w:type="auto"/>
            <w:gridSpan w:val="3"/>
            <w:shd w:val="clear" w:color="auto" w:fill="auto"/>
            <w:vAlign w:val="bottom"/>
          </w:tcPr>
          <w:p w14:paraId="392C4C6A" w14:textId="77777777" w:rsidR="00980E5F" w:rsidRDefault="00980E5F">
            <w:pPr>
              <w:rPr>
                <w:rFonts w:ascii="宋体"/>
                <w:vanish/>
              </w:rPr>
            </w:pPr>
          </w:p>
        </w:tc>
        <w:tc>
          <w:tcPr>
            <w:tcW w:w="0" w:type="auto"/>
            <w:gridSpan w:val="2"/>
            <w:shd w:val="clear" w:color="auto" w:fill="auto"/>
            <w:vAlign w:val="bottom"/>
          </w:tcPr>
          <w:p w14:paraId="392C4C6B" w14:textId="77777777" w:rsidR="00980E5F" w:rsidRDefault="00980E5F">
            <w:pPr>
              <w:rPr>
                <w:rFonts w:ascii="宋体"/>
                <w:vanish/>
              </w:rPr>
            </w:pPr>
          </w:p>
        </w:tc>
        <w:tc>
          <w:tcPr>
            <w:tcW w:w="0" w:type="auto"/>
            <w:shd w:val="clear" w:color="auto" w:fill="auto"/>
            <w:vAlign w:val="bottom"/>
          </w:tcPr>
          <w:p w14:paraId="392C4C6C" w14:textId="77777777" w:rsidR="00980E5F" w:rsidRDefault="00980E5F">
            <w:pPr>
              <w:rPr>
                <w:rFonts w:ascii="宋体"/>
                <w:vanish/>
              </w:rPr>
            </w:pPr>
          </w:p>
        </w:tc>
      </w:tr>
      <w:tr w:rsidR="00980E5F" w14:paraId="392C4C84" w14:textId="77777777">
        <w:trPr>
          <w:hidden/>
        </w:trPr>
        <w:tc>
          <w:tcPr>
            <w:tcW w:w="0" w:type="auto"/>
            <w:gridSpan w:val="3"/>
            <w:shd w:val="clear" w:color="auto" w:fill="auto"/>
            <w:vAlign w:val="bottom"/>
          </w:tcPr>
          <w:p w14:paraId="392C4C6E" w14:textId="77777777" w:rsidR="00980E5F" w:rsidRDefault="00980E5F">
            <w:pPr>
              <w:rPr>
                <w:rFonts w:ascii="宋体"/>
                <w:vanish/>
              </w:rPr>
            </w:pPr>
          </w:p>
        </w:tc>
        <w:tc>
          <w:tcPr>
            <w:tcW w:w="0" w:type="auto"/>
            <w:gridSpan w:val="3"/>
            <w:shd w:val="clear" w:color="auto" w:fill="auto"/>
            <w:vAlign w:val="bottom"/>
          </w:tcPr>
          <w:p w14:paraId="392C4C6F" w14:textId="77777777" w:rsidR="00980E5F" w:rsidRDefault="00980E5F">
            <w:pPr>
              <w:rPr>
                <w:rFonts w:ascii="宋体"/>
                <w:vanish/>
              </w:rPr>
            </w:pPr>
          </w:p>
        </w:tc>
        <w:tc>
          <w:tcPr>
            <w:tcW w:w="0" w:type="auto"/>
            <w:gridSpan w:val="3"/>
            <w:shd w:val="clear" w:color="auto" w:fill="auto"/>
            <w:vAlign w:val="bottom"/>
          </w:tcPr>
          <w:p w14:paraId="392C4C70" w14:textId="77777777" w:rsidR="00980E5F" w:rsidRDefault="00980E5F">
            <w:pPr>
              <w:rPr>
                <w:rFonts w:ascii="宋体"/>
                <w:vanish/>
              </w:rPr>
            </w:pPr>
          </w:p>
        </w:tc>
        <w:tc>
          <w:tcPr>
            <w:tcW w:w="0" w:type="auto"/>
            <w:gridSpan w:val="3"/>
            <w:shd w:val="clear" w:color="auto" w:fill="auto"/>
            <w:vAlign w:val="bottom"/>
          </w:tcPr>
          <w:p w14:paraId="392C4C71" w14:textId="77777777" w:rsidR="00980E5F" w:rsidRDefault="00980E5F">
            <w:pPr>
              <w:rPr>
                <w:rFonts w:ascii="宋体"/>
                <w:vanish/>
              </w:rPr>
            </w:pPr>
          </w:p>
        </w:tc>
        <w:tc>
          <w:tcPr>
            <w:tcW w:w="0" w:type="auto"/>
            <w:gridSpan w:val="3"/>
            <w:shd w:val="clear" w:color="auto" w:fill="auto"/>
            <w:vAlign w:val="bottom"/>
          </w:tcPr>
          <w:p w14:paraId="392C4C72" w14:textId="77777777" w:rsidR="00980E5F" w:rsidRDefault="00980E5F">
            <w:pPr>
              <w:rPr>
                <w:rFonts w:ascii="宋体"/>
                <w:vanish/>
              </w:rPr>
            </w:pPr>
          </w:p>
        </w:tc>
        <w:tc>
          <w:tcPr>
            <w:tcW w:w="0" w:type="auto"/>
            <w:gridSpan w:val="3"/>
            <w:shd w:val="clear" w:color="auto" w:fill="auto"/>
            <w:vAlign w:val="bottom"/>
          </w:tcPr>
          <w:p w14:paraId="392C4C73" w14:textId="77777777" w:rsidR="00980E5F" w:rsidRDefault="00980E5F">
            <w:pPr>
              <w:rPr>
                <w:rFonts w:ascii="宋体"/>
                <w:vanish/>
              </w:rPr>
            </w:pPr>
          </w:p>
        </w:tc>
        <w:tc>
          <w:tcPr>
            <w:tcW w:w="0" w:type="auto"/>
            <w:gridSpan w:val="3"/>
            <w:shd w:val="clear" w:color="auto" w:fill="auto"/>
            <w:vAlign w:val="bottom"/>
          </w:tcPr>
          <w:p w14:paraId="392C4C74" w14:textId="77777777" w:rsidR="00980E5F" w:rsidRDefault="00980E5F">
            <w:pPr>
              <w:rPr>
                <w:rFonts w:ascii="宋体"/>
                <w:vanish/>
              </w:rPr>
            </w:pPr>
          </w:p>
        </w:tc>
        <w:tc>
          <w:tcPr>
            <w:tcW w:w="0" w:type="auto"/>
            <w:gridSpan w:val="3"/>
            <w:shd w:val="clear" w:color="auto" w:fill="auto"/>
            <w:vAlign w:val="bottom"/>
          </w:tcPr>
          <w:p w14:paraId="392C4C75" w14:textId="77777777" w:rsidR="00980E5F" w:rsidRDefault="00980E5F">
            <w:pPr>
              <w:rPr>
                <w:rFonts w:ascii="宋体"/>
                <w:vanish/>
              </w:rPr>
            </w:pPr>
          </w:p>
        </w:tc>
        <w:tc>
          <w:tcPr>
            <w:tcW w:w="0" w:type="auto"/>
            <w:gridSpan w:val="3"/>
            <w:shd w:val="clear" w:color="auto" w:fill="auto"/>
            <w:vAlign w:val="bottom"/>
          </w:tcPr>
          <w:p w14:paraId="392C4C76" w14:textId="77777777" w:rsidR="00980E5F" w:rsidRDefault="00980E5F">
            <w:pPr>
              <w:rPr>
                <w:rFonts w:ascii="宋体"/>
                <w:vanish/>
              </w:rPr>
            </w:pPr>
          </w:p>
        </w:tc>
        <w:tc>
          <w:tcPr>
            <w:tcW w:w="0" w:type="auto"/>
            <w:gridSpan w:val="3"/>
            <w:shd w:val="clear" w:color="auto" w:fill="auto"/>
            <w:vAlign w:val="bottom"/>
          </w:tcPr>
          <w:p w14:paraId="392C4C77" w14:textId="77777777" w:rsidR="00980E5F" w:rsidRDefault="00980E5F">
            <w:pPr>
              <w:rPr>
                <w:rFonts w:ascii="宋体"/>
                <w:vanish/>
              </w:rPr>
            </w:pPr>
          </w:p>
        </w:tc>
        <w:tc>
          <w:tcPr>
            <w:tcW w:w="0" w:type="auto"/>
            <w:gridSpan w:val="3"/>
            <w:shd w:val="clear" w:color="auto" w:fill="auto"/>
            <w:vAlign w:val="bottom"/>
          </w:tcPr>
          <w:p w14:paraId="392C4C78" w14:textId="77777777" w:rsidR="00980E5F" w:rsidRDefault="00980E5F">
            <w:pPr>
              <w:rPr>
                <w:rFonts w:ascii="宋体"/>
                <w:vanish/>
              </w:rPr>
            </w:pPr>
          </w:p>
        </w:tc>
        <w:tc>
          <w:tcPr>
            <w:tcW w:w="0" w:type="auto"/>
            <w:gridSpan w:val="3"/>
            <w:shd w:val="clear" w:color="auto" w:fill="auto"/>
            <w:vAlign w:val="bottom"/>
          </w:tcPr>
          <w:p w14:paraId="392C4C79" w14:textId="77777777" w:rsidR="00980E5F" w:rsidRDefault="00980E5F">
            <w:pPr>
              <w:rPr>
                <w:rFonts w:ascii="宋体"/>
                <w:vanish/>
              </w:rPr>
            </w:pPr>
          </w:p>
        </w:tc>
        <w:tc>
          <w:tcPr>
            <w:tcW w:w="0" w:type="auto"/>
            <w:gridSpan w:val="3"/>
            <w:shd w:val="clear" w:color="auto" w:fill="auto"/>
            <w:vAlign w:val="bottom"/>
          </w:tcPr>
          <w:p w14:paraId="392C4C7A" w14:textId="77777777" w:rsidR="00980E5F" w:rsidRDefault="00980E5F">
            <w:pPr>
              <w:rPr>
                <w:rFonts w:ascii="宋体"/>
                <w:vanish/>
              </w:rPr>
            </w:pPr>
          </w:p>
        </w:tc>
        <w:tc>
          <w:tcPr>
            <w:tcW w:w="0" w:type="auto"/>
            <w:gridSpan w:val="3"/>
            <w:shd w:val="clear" w:color="auto" w:fill="auto"/>
            <w:vAlign w:val="bottom"/>
          </w:tcPr>
          <w:p w14:paraId="392C4C7B" w14:textId="77777777" w:rsidR="00980E5F" w:rsidRDefault="00980E5F">
            <w:pPr>
              <w:rPr>
                <w:rFonts w:ascii="宋体"/>
                <w:vanish/>
              </w:rPr>
            </w:pPr>
          </w:p>
        </w:tc>
        <w:tc>
          <w:tcPr>
            <w:tcW w:w="0" w:type="auto"/>
            <w:gridSpan w:val="3"/>
            <w:shd w:val="clear" w:color="auto" w:fill="auto"/>
            <w:vAlign w:val="bottom"/>
          </w:tcPr>
          <w:p w14:paraId="392C4C7C" w14:textId="77777777" w:rsidR="00980E5F" w:rsidRDefault="00980E5F">
            <w:pPr>
              <w:rPr>
                <w:rFonts w:ascii="宋体"/>
                <w:vanish/>
              </w:rPr>
            </w:pPr>
          </w:p>
        </w:tc>
        <w:tc>
          <w:tcPr>
            <w:tcW w:w="0" w:type="auto"/>
            <w:gridSpan w:val="3"/>
            <w:shd w:val="clear" w:color="auto" w:fill="auto"/>
            <w:vAlign w:val="bottom"/>
          </w:tcPr>
          <w:p w14:paraId="392C4C7D" w14:textId="77777777" w:rsidR="00980E5F" w:rsidRDefault="00980E5F">
            <w:pPr>
              <w:rPr>
                <w:rFonts w:ascii="宋体"/>
                <w:vanish/>
              </w:rPr>
            </w:pPr>
          </w:p>
        </w:tc>
        <w:tc>
          <w:tcPr>
            <w:tcW w:w="0" w:type="auto"/>
            <w:gridSpan w:val="3"/>
            <w:shd w:val="clear" w:color="auto" w:fill="auto"/>
            <w:vAlign w:val="bottom"/>
          </w:tcPr>
          <w:p w14:paraId="392C4C7E" w14:textId="77777777" w:rsidR="00980E5F" w:rsidRDefault="00980E5F">
            <w:pPr>
              <w:rPr>
                <w:rFonts w:ascii="宋体"/>
                <w:vanish/>
              </w:rPr>
            </w:pPr>
          </w:p>
        </w:tc>
        <w:tc>
          <w:tcPr>
            <w:tcW w:w="0" w:type="auto"/>
            <w:gridSpan w:val="3"/>
            <w:shd w:val="clear" w:color="auto" w:fill="auto"/>
            <w:vAlign w:val="bottom"/>
          </w:tcPr>
          <w:p w14:paraId="392C4C7F" w14:textId="77777777" w:rsidR="00980E5F" w:rsidRDefault="00980E5F">
            <w:pPr>
              <w:rPr>
                <w:rFonts w:ascii="宋体"/>
                <w:vanish/>
              </w:rPr>
            </w:pPr>
          </w:p>
        </w:tc>
        <w:tc>
          <w:tcPr>
            <w:tcW w:w="0" w:type="auto"/>
            <w:gridSpan w:val="3"/>
            <w:shd w:val="clear" w:color="auto" w:fill="auto"/>
            <w:vAlign w:val="bottom"/>
          </w:tcPr>
          <w:p w14:paraId="392C4C80" w14:textId="77777777" w:rsidR="00980E5F" w:rsidRDefault="00980E5F">
            <w:pPr>
              <w:rPr>
                <w:rFonts w:ascii="宋体"/>
                <w:vanish/>
              </w:rPr>
            </w:pPr>
          </w:p>
        </w:tc>
        <w:tc>
          <w:tcPr>
            <w:tcW w:w="0" w:type="auto"/>
            <w:gridSpan w:val="3"/>
            <w:shd w:val="clear" w:color="auto" w:fill="auto"/>
            <w:vAlign w:val="bottom"/>
          </w:tcPr>
          <w:p w14:paraId="392C4C81" w14:textId="77777777" w:rsidR="00980E5F" w:rsidRDefault="00980E5F">
            <w:pPr>
              <w:rPr>
                <w:rFonts w:ascii="宋体"/>
                <w:vanish/>
              </w:rPr>
            </w:pPr>
          </w:p>
        </w:tc>
        <w:tc>
          <w:tcPr>
            <w:tcW w:w="0" w:type="auto"/>
            <w:gridSpan w:val="2"/>
            <w:shd w:val="clear" w:color="auto" w:fill="auto"/>
            <w:vAlign w:val="bottom"/>
          </w:tcPr>
          <w:p w14:paraId="392C4C82" w14:textId="77777777" w:rsidR="00980E5F" w:rsidRDefault="00980E5F">
            <w:pPr>
              <w:rPr>
                <w:rFonts w:ascii="宋体"/>
                <w:vanish/>
              </w:rPr>
            </w:pPr>
          </w:p>
        </w:tc>
        <w:tc>
          <w:tcPr>
            <w:tcW w:w="0" w:type="auto"/>
            <w:shd w:val="clear" w:color="auto" w:fill="auto"/>
            <w:vAlign w:val="bottom"/>
          </w:tcPr>
          <w:p w14:paraId="392C4C83" w14:textId="77777777" w:rsidR="00980E5F" w:rsidRDefault="00980E5F">
            <w:pPr>
              <w:rPr>
                <w:rFonts w:ascii="宋体"/>
                <w:vanish/>
              </w:rPr>
            </w:pPr>
          </w:p>
        </w:tc>
      </w:tr>
      <w:tr w:rsidR="00980E5F" w14:paraId="392C4C9B" w14:textId="77777777">
        <w:trPr>
          <w:hidden/>
        </w:trPr>
        <w:tc>
          <w:tcPr>
            <w:tcW w:w="0" w:type="auto"/>
            <w:gridSpan w:val="3"/>
            <w:shd w:val="clear" w:color="auto" w:fill="auto"/>
            <w:vAlign w:val="bottom"/>
          </w:tcPr>
          <w:p w14:paraId="392C4C85" w14:textId="77777777" w:rsidR="00980E5F" w:rsidRDefault="00980E5F">
            <w:pPr>
              <w:rPr>
                <w:rFonts w:ascii="宋体"/>
                <w:vanish/>
              </w:rPr>
            </w:pPr>
          </w:p>
        </w:tc>
        <w:tc>
          <w:tcPr>
            <w:tcW w:w="0" w:type="auto"/>
            <w:gridSpan w:val="3"/>
            <w:shd w:val="clear" w:color="auto" w:fill="auto"/>
            <w:vAlign w:val="bottom"/>
          </w:tcPr>
          <w:p w14:paraId="392C4C86" w14:textId="77777777" w:rsidR="00980E5F" w:rsidRDefault="00980E5F">
            <w:pPr>
              <w:rPr>
                <w:rFonts w:ascii="宋体"/>
                <w:vanish/>
              </w:rPr>
            </w:pPr>
          </w:p>
        </w:tc>
        <w:tc>
          <w:tcPr>
            <w:tcW w:w="0" w:type="auto"/>
            <w:gridSpan w:val="3"/>
            <w:shd w:val="clear" w:color="auto" w:fill="auto"/>
            <w:vAlign w:val="bottom"/>
          </w:tcPr>
          <w:p w14:paraId="392C4C87" w14:textId="77777777" w:rsidR="00980E5F" w:rsidRDefault="00980E5F">
            <w:pPr>
              <w:rPr>
                <w:rFonts w:ascii="宋体"/>
                <w:vanish/>
              </w:rPr>
            </w:pPr>
          </w:p>
        </w:tc>
        <w:tc>
          <w:tcPr>
            <w:tcW w:w="0" w:type="auto"/>
            <w:gridSpan w:val="3"/>
            <w:shd w:val="clear" w:color="auto" w:fill="auto"/>
            <w:vAlign w:val="bottom"/>
          </w:tcPr>
          <w:p w14:paraId="392C4C88" w14:textId="77777777" w:rsidR="00980E5F" w:rsidRDefault="00980E5F">
            <w:pPr>
              <w:rPr>
                <w:rFonts w:ascii="宋体"/>
                <w:vanish/>
              </w:rPr>
            </w:pPr>
          </w:p>
        </w:tc>
        <w:tc>
          <w:tcPr>
            <w:tcW w:w="0" w:type="auto"/>
            <w:gridSpan w:val="3"/>
            <w:shd w:val="clear" w:color="auto" w:fill="auto"/>
            <w:vAlign w:val="bottom"/>
          </w:tcPr>
          <w:p w14:paraId="392C4C89" w14:textId="77777777" w:rsidR="00980E5F" w:rsidRDefault="00980E5F">
            <w:pPr>
              <w:rPr>
                <w:rFonts w:ascii="宋体"/>
                <w:vanish/>
              </w:rPr>
            </w:pPr>
          </w:p>
        </w:tc>
        <w:tc>
          <w:tcPr>
            <w:tcW w:w="0" w:type="auto"/>
            <w:gridSpan w:val="3"/>
            <w:shd w:val="clear" w:color="auto" w:fill="auto"/>
            <w:vAlign w:val="bottom"/>
          </w:tcPr>
          <w:p w14:paraId="392C4C8A" w14:textId="77777777" w:rsidR="00980E5F" w:rsidRDefault="00980E5F">
            <w:pPr>
              <w:rPr>
                <w:rFonts w:ascii="宋体"/>
                <w:vanish/>
              </w:rPr>
            </w:pPr>
          </w:p>
        </w:tc>
        <w:tc>
          <w:tcPr>
            <w:tcW w:w="0" w:type="auto"/>
            <w:gridSpan w:val="3"/>
            <w:shd w:val="clear" w:color="auto" w:fill="auto"/>
            <w:vAlign w:val="bottom"/>
          </w:tcPr>
          <w:p w14:paraId="392C4C8B" w14:textId="77777777" w:rsidR="00980E5F" w:rsidRDefault="00980E5F">
            <w:pPr>
              <w:rPr>
                <w:rFonts w:ascii="宋体"/>
                <w:vanish/>
              </w:rPr>
            </w:pPr>
          </w:p>
        </w:tc>
        <w:tc>
          <w:tcPr>
            <w:tcW w:w="0" w:type="auto"/>
            <w:gridSpan w:val="3"/>
            <w:shd w:val="clear" w:color="auto" w:fill="auto"/>
            <w:vAlign w:val="bottom"/>
          </w:tcPr>
          <w:p w14:paraId="392C4C8C" w14:textId="77777777" w:rsidR="00980E5F" w:rsidRDefault="00980E5F">
            <w:pPr>
              <w:rPr>
                <w:rFonts w:ascii="宋体"/>
                <w:vanish/>
              </w:rPr>
            </w:pPr>
          </w:p>
        </w:tc>
        <w:tc>
          <w:tcPr>
            <w:tcW w:w="0" w:type="auto"/>
            <w:gridSpan w:val="3"/>
            <w:shd w:val="clear" w:color="auto" w:fill="auto"/>
            <w:vAlign w:val="bottom"/>
          </w:tcPr>
          <w:p w14:paraId="392C4C8D" w14:textId="77777777" w:rsidR="00980E5F" w:rsidRDefault="00980E5F">
            <w:pPr>
              <w:rPr>
                <w:rFonts w:ascii="宋体"/>
                <w:vanish/>
              </w:rPr>
            </w:pPr>
          </w:p>
        </w:tc>
        <w:tc>
          <w:tcPr>
            <w:tcW w:w="0" w:type="auto"/>
            <w:gridSpan w:val="3"/>
            <w:shd w:val="clear" w:color="auto" w:fill="auto"/>
            <w:vAlign w:val="bottom"/>
          </w:tcPr>
          <w:p w14:paraId="392C4C8E" w14:textId="77777777" w:rsidR="00980E5F" w:rsidRDefault="00980E5F">
            <w:pPr>
              <w:rPr>
                <w:rFonts w:ascii="宋体"/>
                <w:vanish/>
              </w:rPr>
            </w:pPr>
          </w:p>
        </w:tc>
        <w:tc>
          <w:tcPr>
            <w:tcW w:w="0" w:type="auto"/>
            <w:gridSpan w:val="3"/>
            <w:shd w:val="clear" w:color="auto" w:fill="auto"/>
            <w:vAlign w:val="bottom"/>
          </w:tcPr>
          <w:p w14:paraId="392C4C8F" w14:textId="77777777" w:rsidR="00980E5F" w:rsidRDefault="00980E5F">
            <w:pPr>
              <w:rPr>
                <w:rFonts w:ascii="宋体"/>
                <w:vanish/>
              </w:rPr>
            </w:pPr>
          </w:p>
        </w:tc>
        <w:tc>
          <w:tcPr>
            <w:tcW w:w="0" w:type="auto"/>
            <w:gridSpan w:val="3"/>
            <w:shd w:val="clear" w:color="auto" w:fill="auto"/>
            <w:vAlign w:val="bottom"/>
          </w:tcPr>
          <w:p w14:paraId="392C4C90" w14:textId="77777777" w:rsidR="00980E5F" w:rsidRDefault="00980E5F">
            <w:pPr>
              <w:rPr>
                <w:rFonts w:ascii="宋体"/>
                <w:vanish/>
              </w:rPr>
            </w:pPr>
          </w:p>
        </w:tc>
        <w:tc>
          <w:tcPr>
            <w:tcW w:w="0" w:type="auto"/>
            <w:gridSpan w:val="3"/>
            <w:shd w:val="clear" w:color="auto" w:fill="auto"/>
            <w:vAlign w:val="bottom"/>
          </w:tcPr>
          <w:p w14:paraId="392C4C91" w14:textId="77777777" w:rsidR="00980E5F" w:rsidRDefault="00980E5F">
            <w:pPr>
              <w:rPr>
                <w:rFonts w:ascii="宋体"/>
                <w:vanish/>
              </w:rPr>
            </w:pPr>
          </w:p>
        </w:tc>
        <w:tc>
          <w:tcPr>
            <w:tcW w:w="0" w:type="auto"/>
            <w:gridSpan w:val="3"/>
            <w:shd w:val="clear" w:color="auto" w:fill="auto"/>
            <w:vAlign w:val="bottom"/>
          </w:tcPr>
          <w:p w14:paraId="392C4C92" w14:textId="77777777" w:rsidR="00980E5F" w:rsidRDefault="00980E5F">
            <w:pPr>
              <w:rPr>
                <w:rFonts w:ascii="宋体"/>
                <w:vanish/>
              </w:rPr>
            </w:pPr>
          </w:p>
        </w:tc>
        <w:tc>
          <w:tcPr>
            <w:tcW w:w="0" w:type="auto"/>
            <w:gridSpan w:val="3"/>
            <w:shd w:val="clear" w:color="auto" w:fill="auto"/>
            <w:vAlign w:val="bottom"/>
          </w:tcPr>
          <w:p w14:paraId="392C4C93" w14:textId="77777777" w:rsidR="00980E5F" w:rsidRDefault="00980E5F">
            <w:pPr>
              <w:rPr>
                <w:rFonts w:ascii="宋体"/>
                <w:vanish/>
              </w:rPr>
            </w:pPr>
          </w:p>
        </w:tc>
        <w:tc>
          <w:tcPr>
            <w:tcW w:w="0" w:type="auto"/>
            <w:gridSpan w:val="3"/>
            <w:shd w:val="clear" w:color="auto" w:fill="auto"/>
            <w:vAlign w:val="bottom"/>
          </w:tcPr>
          <w:p w14:paraId="392C4C94" w14:textId="77777777" w:rsidR="00980E5F" w:rsidRDefault="00980E5F">
            <w:pPr>
              <w:rPr>
                <w:rFonts w:ascii="宋体"/>
                <w:vanish/>
              </w:rPr>
            </w:pPr>
          </w:p>
        </w:tc>
        <w:tc>
          <w:tcPr>
            <w:tcW w:w="0" w:type="auto"/>
            <w:gridSpan w:val="3"/>
            <w:shd w:val="clear" w:color="auto" w:fill="auto"/>
            <w:vAlign w:val="bottom"/>
          </w:tcPr>
          <w:p w14:paraId="392C4C95" w14:textId="77777777" w:rsidR="00980E5F" w:rsidRDefault="00980E5F">
            <w:pPr>
              <w:rPr>
                <w:rFonts w:ascii="宋体"/>
                <w:vanish/>
              </w:rPr>
            </w:pPr>
          </w:p>
        </w:tc>
        <w:tc>
          <w:tcPr>
            <w:tcW w:w="0" w:type="auto"/>
            <w:gridSpan w:val="3"/>
            <w:shd w:val="clear" w:color="auto" w:fill="auto"/>
            <w:vAlign w:val="bottom"/>
          </w:tcPr>
          <w:p w14:paraId="392C4C96" w14:textId="77777777" w:rsidR="00980E5F" w:rsidRDefault="00980E5F">
            <w:pPr>
              <w:rPr>
                <w:rFonts w:ascii="宋体"/>
                <w:vanish/>
              </w:rPr>
            </w:pPr>
          </w:p>
        </w:tc>
        <w:tc>
          <w:tcPr>
            <w:tcW w:w="0" w:type="auto"/>
            <w:gridSpan w:val="3"/>
            <w:shd w:val="clear" w:color="auto" w:fill="auto"/>
            <w:vAlign w:val="bottom"/>
          </w:tcPr>
          <w:p w14:paraId="392C4C97" w14:textId="77777777" w:rsidR="00980E5F" w:rsidRDefault="00980E5F">
            <w:pPr>
              <w:rPr>
                <w:rFonts w:ascii="宋体"/>
                <w:vanish/>
              </w:rPr>
            </w:pPr>
          </w:p>
        </w:tc>
        <w:tc>
          <w:tcPr>
            <w:tcW w:w="0" w:type="auto"/>
            <w:gridSpan w:val="3"/>
            <w:shd w:val="clear" w:color="auto" w:fill="auto"/>
            <w:vAlign w:val="bottom"/>
          </w:tcPr>
          <w:p w14:paraId="392C4C98" w14:textId="77777777" w:rsidR="00980E5F" w:rsidRDefault="00980E5F">
            <w:pPr>
              <w:rPr>
                <w:rFonts w:ascii="宋体"/>
                <w:vanish/>
              </w:rPr>
            </w:pPr>
          </w:p>
        </w:tc>
        <w:tc>
          <w:tcPr>
            <w:tcW w:w="0" w:type="auto"/>
            <w:gridSpan w:val="2"/>
            <w:shd w:val="clear" w:color="auto" w:fill="auto"/>
            <w:vAlign w:val="bottom"/>
          </w:tcPr>
          <w:p w14:paraId="392C4C99" w14:textId="77777777" w:rsidR="00980E5F" w:rsidRDefault="00980E5F">
            <w:pPr>
              <w:rPr>
                <w:rFonts w:ascii="宋体"/>
                <w:vanish/>
              </w:rPr>
            </w:pPr>
          </w:p>
        </w:tc>
        <w:tc>
          <w:tcPr>
            <w:tcW w:w="0" w:type="auto"/>
            <w:shd w:val="clear" w:color="auto" w:fill="auto"/>
            <w:vAlign w:val="bottom"/>
          </w:tcPr>
          <w:p w14:paraId="392C4C9A" w14:textId="77777777" w:rsidR="00980E5F" w:rsidRDefault="00980E5F">
            <w:pPr>
              <w:rPr>
                <w:rFonts w:ascii="宋体"/>
                <w:vanish/>
              </w:rPr>
            </w:pPr>
          </w:p>
        </w:tc>
      </w:tr>
      <w:tr w:rsidR="00980E5F" w14:paraId="392C4CB2" w14:textId="77777777">
        <w:trPr>
          <w:hidden/>
        </w:trPr>
        <w:tc>
          <w:tcPr>
            <w:tcW w:w="0" w:type="auto"/>
            <w:gridSpan w:val="3"/>
            <w:shd w:val="clear" w:color="auto" w:fill="auto"/>
            <w:vAlign w:val="bottom"/>
          </w:tcPr>
          <w:p w14:paraId="392C4C9C" w14:textId="77777777" w:rsidR="00980E5F" w:rsidRDefault="00980E5F">
            <w:pPr>
              <w:rPr>
                <w:rFonts w:ascii="宋体"/>
                <w:vanish/>
              </w:rPr>
            </w:pPr>
          </w:p>
        </w:tc>
        <w:tc>
          <w:tcPr>
            <w:tcW w:w="0" w:type="auto"/>
            <w:gridSpan w:val="3"/>
            <w:shd w:val="clear" w:color="auto" w:fill="auto"/>
            <w:vAlign w:val="bottom"/>
          </w:tcPr>
          <w:p w14:paraId="392C4C9D" w14:textId="77777777" w:rsidR="00980E5F" w:rsidRDefault="00980E5F">
            <w:pPr>
              <w:rPr>
                <w:rFonts w:ascii="宋体"/>
                <w:vanish/>
              </w:rPr>
            </w:pPr>
          </w:p>
        </w:tc>
        <w:tc>
          <w:tcPr>
            <w:tcW w:w="0" w:type="auto"/>
            <w:gridSpan w:val="3"/>
            <w:shd w:val="clear" w:color="auto" w:fill="auto"/>
            <w:vAlign w:val="bottom"/>
          </w:tcPr>
          <w:p w14:paraId="392C4C9E" w14:textId="77777777" w:rsidR="00980E5F" w:rsidRDefault="00980E5F">
            <w:pPr>
              <w:rPr>
                <w:rFonts w:ascii="宋体"/>
                <w:vanish/>
              </w:rPr>
            </w:pPr>
          </w:p>
        </w:tc>
        <w:tc>
          <w:tcPr>
            <w:tcW w:w="0" w:type="auto"/>
            <w:gridSpan w:val="3"/>
            <w:shd w:val="clear" w:color="auto" w:fill="auto"/>
            <w:vAlign w:val="bottom"/>
          </w:tcPr>
          <w:p w14:paraId="392C4C9F" w14:textId="77777777" w:rsidR="00980E5F" w:rsidRDefault="00980E5F">
            <w:pPr>
              <w:rPr>
                <w:rFonts w:ascii="宋体"/>
                <w:vanish/>
              </w:rPr>
            </w:pPr>
          </w:p>
        </w:tc>
        <w:tc>
          <w:tcPr>
            <w:tcW w:w="0" w:type="auto"/>
            <w:gridSpan w:val="3"/>
            <w:shd w:val="clear" w:color="auto" w:fill="auto"/>
            <w:vAlign w:val="bottom"/>
          </w:tcPr>
          <w:p w14:paraId="392C4CA0" w14:textId="77777777" w:rsidR="00980E5F" w:rsidRDefault="00980E5F">
            <w:pPr>
              <w:rPr>
                <w:rFonts w:ascii="宋体"/>
                <w:vanish/>
              </w:rPr>
            </w:pPr>
          </w:p>
        </w:tc>
        <w:tc>
          <w:tcPr>
            <w:tcW w:w="0" w:type="auto"/>
            <w:gridSpan w:val="3"/>
            <w:shd w:val="clear" w:color="auto" w:fill="auto"/>
            <w:vAlign w:val="bottom"/>
          </w:tcPr>
          <w:p w14:paraId="392C4CA1" w14:textId="77777777" w:rsidR="00980E5F" w:rsidRDefault="00980E5F">
            <w:pPr>
              <w:rPr>
                <w:rFonts w:ascii="宋体"/>
                <w:vanish/>
              </w:rPr>
            </w:pPr>
          </w:p>
        </w:tc>
        <w:tc>
          <w:tcPr>
            <w:tcW w:w="0" w:type="auto"/>
            <w:gridSpan w:val="3"/>
            <w:shd w:val="clear" w:color="auto" w:fill="auto"/>
            <w:vAlign w:val="bottom"/>
          </w:tcPr>
          <w:p w14:paraId="392C4CA2" w14:textId="77777777" w:rsidR="00980E5F" w:rsidRDefault="00980E5F">
            <w:pPr>
              <w:rPr>
                <w:rFonts w:ascii="宋体"/>
                <w:vanish/>
              </w:rPr>
            </w:pPr>
          </w:p>
        </w:tc>
        <w:tc>
          <w:tcPr>
            <w:tcW w:w="0" w:type="auto"/>
            <w:gridSpan w:val="3"/>
            <w:shd w:val="clear" w:color="auto" w:fill="auto"/>
            <w:vAlign w:val="bottom"/>
          </w:tcPr>
          <w:p w14:paraId="392C4CA3" w14:textId="77777777" w:rsidR="00980E5F" w:rsidRDefault="00980E5F">
            <w:pPr>
              <w:rPr>
                <w:rFonts w:ascii="宋体"/>
                <w:vanish/>
              </w:rPr>
            </w:pPr>
          </w:p>
        </w:tc>
        <w:tc>
          <w:tcPr>
            <w:tcW w:w="0" w:type="auto"/>
            <w:gridSpan w:val="3"/>
            <w:shd w:val="clear" w:color="auto" w:fill="auto"/>
            <w:vAlign w:val="bottom"/>
          </w:tcPr>
          <w:p w14:paraId="392C4CA4" w14:textId="77777777" w:rsidR="00980E5F" w:rsidRDefault="00980E5F">
            <w:pPr>
              <w:rPr>
                <w:rFonts w:ascii="宋体"/>
                <w:vanish/>
              </w:rPr>
            </w:pPr>
          </w:p>
        </w:tc>
        <w:tc>
          <w:tcPr>
            <w:tcW w:w="0" w:type="auto"/>
            <w:gridSpan w:val="3"/>
            <w:shd w:val="clear" w:color="auto" w:fill="auto"/>
            <w:vAlign w:val="bottom"/>
          </w:tcPr>
          <w:p w14:paraId="392C4CA5" w14:textId="77777777" w:rsidR="00980E5F" w:rsidRDefault="00980E5F">
            <w:pPr>
              <w:rPr>
                <w:rFonts w:ascii="宋体"/>
                <w:vanish/>
              </w:rPr>
            </w:pPr>
          </w:p>
        </w:tc>
        <w:tc>
          <w:tcPr>
            <w:tcW w:w="0" w:type="auto"/>
            <w:gridSpan w:val="3"/>
            <w:shd w:val="clear" w:color="auto" w:fill="auto"/>
            <w:vAlign w:val="bottom"/>
          </w:tcPr>
          <w:p w14:paraId="392C4CA6" w14:textId="77777777" w:rsidR="00980E5F" w:rsidRDefault="00980E5F">
            <w:pPr>
              <w:rPr>
                <w:rFonts w:ascii="宋体"/>
                <w:vanish/>
              </w:rPr>
            </w:pPr>
          </w:p>
        </w:tc>
        <w:tc>
          <w:tcPr>
            <w:tcW w:w="0" w:type="auto"/>
            <w:gridSpan w:val="3"/>
            <w:shd w:val="clear" w:color="auto" w:fill="auto"/>
            <w:vAlign w:val="bottom"/>
          </w:tcPr>
          <w:p w14:paraId="392C4CA7" w14:textId="77777777" w:rsidR="00980E5F" w:rsidRDefault="00980E5F">
            <w:pPr>
              <w:rPr>
                <w:rFonts w:ascii="宋体"/>
                <w:vanish/>
              </w:rPr>
            </w:pPr>
          </w:p>
        </w:tc>
        <w:tc>
          <w:tcPr>
            <w:tcW w:w="0" w:type="auto"/>
            <w:gridSpan w:val="3"/>
            <w:shd w:val="clear" w:color="auto" w:fill="auto"/>
            <w:vAlign w:val="bottom"/>
          </w:tcPr>
          <w:p w14:paraId="392C4CA8" w14:textId="77777777" w:rsidR="00980E5F" w:rsidRDefault="00980E5F">
            <w:pPr>
              <w:rPr>
                <w:rFonts w:ascii="宋体"/>
                <w:vanish/>
              </w:rPr>
            </w:pPr>
          </w:p>
        </w:tc>
        <w:tc>
          <w:tcPr>
            <w:tcW w:w="0" w:type="auto"/>
            <w:gridSpan w:val="3"/>
            <w:shd w:val="clear" w:color="auto" w:fill="auto"/>
            <w:vAlign w:val="bottom"/>
          </w:tcPr>
          <w:p w14:paraId="392C4CA9" w14:textId="77777777" w:rsidR="00980E5F" w:rsidRDefault="00980E5F">
            <w:pPr>
              <w:rPr>
                <w:rFonts w:ascii="宋体"/>
                <w:vanish/>
              </w:rPr>
            </w:pPr>
          </w:p>
        </w:tc>
        <w:tc>
          <w:tcPr>
            <w:tcW w:w="0" w:type="auto"/>
            <w:gridSpan w:val="3"/>
            <w:shd w:val="clear" w:color="auto" w:fill="auto"/>
            <w:vAlign w:val="bottom"/>
          </w:tcPr>
          <w:p w14:paraId="392C4CAA" w14:textId="77777777" w:rsidR="00980E5F" w:rsidRDefault="00980E5F">
            <w:pPr>
              <w:rPr>
                <w:rFonts w:ascii="宋体"/>
                <w:vanish/>
              </w:rPr>
            </w:pPr>
          </w:p>
        </w:tc>
        <w:tc>
          <w:tcPr>
            <w:tcW w:w="0" w:type="auto"/>
            <w:gridSpan w:val="3"/>
            <w:shd w:val="clear" w:color="auto" w:fill="auto"/>
            <w:vAlign w:val="bottom"/>
          </w:tcPr>
          <w:p w14:paraId="392C4CAB" w14:textId="77777777" w:rsidR="00980E5F" w:rsidRDefault="00980E5F">
            <w:pPr>
              <w:rPr>
                <w:rFonts w:ascii="宋体"/>
                <w:vanish/>
              </w:rPr>
            </w:pPr>
          </w:p>
        </w:tc>
        <w:tc>
          <w:tcPr>
            <w:tcW w:w="0" w:type="auto"/>
            <w:gridSpan w:val="3"/>
            <w:shd w:val="clear" w:color="auto" w:fill="auto"/>
            <w:vAlign w:val="bottom"/>
          </w:tcPr>
          <w:p w14:paraId="392C4CAC" w14:textId="77777777" w:rsidR="00980E5F" w:rsidRDefault="00980E5F">
            <w:pPr>
              <w:rPr>
                <w:rFonts w:ascii="宋体"/>
                <w:vanish/>
              </w:rPr>
            </w:pPr>
          </w:p>
        </w:tc>
        <w:tc>
          <w:tcPr>
            <w:tcW w:w="0" w:type="auto"/>
            <w:gridSpan w:val="3"/>
            <w:shd w:val="clear" w:color="auto" w:fill="auto"/>
            <w:vAlign w:val="bottom"/>
          </w:tcPr>
          <w:p w14:paraId="392C4CAD" w14:textId="77777777" w:rsidR="00980E5F" w:rsidRDefault="00980E5F">
            <w:pPr>
              <w:rPr>
                <w:rFonts w:ascii="宋体"/>
                <w:vanish/>
              </w:rPr>
            </w:pPr>
          </w:p>
        </w:tc>
        <w:tc>
          <w:tcPr>
            <w:tcW w:w="0" w:type="auto"/>
            <w:gridSpan w:val="3"/>
            <w:shd w:val="clear" w:color="auto" w:fill="auto"/>
            <w:vAlign w:val="bottom"/>
          </w:tcPr>
          <w:p w14:paraId="392C4CAE" w14:textId="77777777" w:rsidR="00980E5F" w:rsidRDefault="00980E5F">
            <w:pPr>
              <w:rPr>
                <w:rFonts w:ascii="宋体"/>
                <w:vanish/>
              </w:rPr>
            </w:pPr>
          </w:p>
        </w:tc>
        <w:tc>
          <w:tcPr>
            <w:tcW w:w="0" w:type="auto"/>
            <w:gridSpan w:val="3"/>
            <w:shd w:val="clear" w:color="auto" w:fill="auto"/>
            <w:vAlign w:val="bottom"/>
          </w:tcPr>
          <w:p w14:paraId="392C4CAF" w14:textId="77777777" w:rsidR="00980E5F" w:rsidRDefault="00980E5F">
            <w:pPr>
              <w:rPr>
                <w:rFonts w:ascii="宋体"/>
                <w:vanish/>
              </w:rPr>
            </w:pPr>
          </w:p>
        </w:tc>
        <w:tc>
          <w:tcPr>
            <w:tcW w:w="0" w:type="auto"/>
            <w:gridSpan w:val="2"/>
            <w:shd w:val="clear" w:color="auto" w:fill="auto"/>
            <w:vAlign w:val="bottom"/>
          </w:tcPr>
          <w:p w14:paraId="392C4CB0" w14:textId="77777777" w:rsidR="00980E5F" w:rsidRDefault="00980E5F">
            <w:pPr>
              <w:rPr>
                <w:rFonts w:ascii="宋体"/>
                <w:vanish/>
              </w:rPr>
            </w:pPr>
          </w:p>
        </w:tc>
        <w:tc>
          <w:tcPr>
            <w:tcW w:w="0" w:type="auto"/>
            <w:shd w:val="clear" w:color="auto" w:fill="auto"/>
            <w:vAlign w:val="bottom"/>
          </w:tcPr>
          <w:p w14:paraId="392C4CB1" w14:textId="77777777" w:rsidR="00980E5F" w:rsidRDefault="00980E5F">
            <w:pPr>
              <w:rPr>
                <w:rFonts w:ascii="宋体"/>
                <w:vanish/>
              </w:rPr>
            </w:pPr>
          </w:p>
        </w:tc>
      </w:tr>
      <w:tr w:rsidR="00980E5F" w14:paraId="392C4CC9" w14:textId="77777777">
        <w:trPr>
          <w:hidden/>
        </w:trPr>
        <w:tc>
          <w:tcPr>
            <w:tcW w:w="0" w:type="auto"/>
            <w:gridSpan w:val="3"/>
            <w:shd w:val="clear" w:color="auto" w:fill="auto"/>
            <w:vAlign w:val="bottom"/>
          </w:tcPr>
          <w:p w14:paraId="392C4CB3" w14:textId="77777777" w:rsidR="00980E5F" w:rsidRDefault="00980E5F">
            <w:pPr>
              <w:rPr>
                <w:rFonts w:ascii="宋体"/>
                <w:vanish/>
              </w:rPr>
            </w:pPr>
          </w:p>
        </w:tc>
        <w:tc>
          <w:tcPr>
            <w:tcW w:w="0" w:type="auto"/>
            <w:gridSpan w:val="3"/>
            <w:shd w:val="clear" w:color="auto" w:fill="auto"/>
            <w:vAlign w:val="bottom"/>
          </w:tcPr>
          <w:p w14:paraId="392C4CB4" w14:textId="77777777" w:rsidR="00980E5F" w:rsidRDefault="00980E5F">
            <w:pPr>
              <w:rPr>
                <w:rFonts w:ascii="宋体"/>
                <w:vanish/>
              </w:rPr>
            </w:pPr>
          </w:p>
        </w:tc>
        <w:tc>
          <w:tcPr>
            <w:tcW w:w="0" w:type="auto"/>
            <w:gridSpan w:val="3"/>
            <w:shd w:val="clear" w:color="auto" w:fill="auto"/>
            <w:vAlign w:val="bottom"/>
          </w:tcPr>
          <w:p w14:paraId="392C4CB5" w14:textId="77777777" w:rsidR="00980E5F" w:rsidRDefault="00980E5F">
            <w:pPr>
              <w:rPr>
                <w:rFonts w:ascii="宋体"/>
                <w:vanish/>
              </w:rPr>
            </w:pPr>
          </w:p>
        </w:tc>
        <w:tc>
          <w:tcPr>
            <w:tcW w:w="0" w:type="auto"/>
            <w:gridSpan w:val="3"/>
            <w:shd w:val="clear" w:color="auto" w:fill="auto"/>
            <w:vAlign w:val="bottom"/>
          </w:tcPr>
          <w:p w14:paraId="392C4CB6" w14:textId="77777777" w:rsidR="00980E5F" w:rsidRDefault="00980E5F">
            <w:pPr>
              <w:rPr>
                <w:rFonts w:ascii="宋体"/>
                <w:vanish/>
              </w:rPr>
            </w:pPr>
          </w:p>
        </w:tc>
        <w:tc>
          <w:tcPr>
            <w:tcW w:w="0" w:type="auto"/>
            <w:gridSpan w:val="3"/>
            <w:shd w:val="clear" w:color="auto" w:fill="auto"/>
            <w:vAlign w:val="bottom"/>
          </w:tcPr>
          <w:p w14:paraId="392C4CB7" w14:textId="77777777" w:rsidR="00980E5F" w:rsidRDefault="00980E5F">
            <w:pPr>
              <w:rPr>
                <w:rFonts w:ascii="宋体"/>
                <w:vanish/>
              </w:rPr>
            </w:pPr>
          </w:p>
        </w:tc>
        <w:tc>
          <w:tcPr>
            <w:tcW w:w="0" w:type="auto"/>
            <w:gridSpan w:val="3"/>
            <w:shd w:val="clear" w:color="auto" w:fill="auto"/>
            <w:vAlign w:val="bottom"/>
          </w:tcPr>
          <w:p w14:paraId="392C4CB8" w14:textId="77777777" w:rsidR="00980E5F" w:rsidRDefault="00980E5F">
            <w:pPr>
              <w:rPr>
                <w:rFonts w:ascii="宋体"/>
                <w:vanish/>
              </w:rPr>
            </w:pPr>
          </w:p>
        </w:tc>
        <w:tc>
          <w:tcPr>
            <w:tcW w:w="0" w:type="auto"/>
            <w:gridSpan w:val="3"/>
            <w:shd w:val="clear" w:color="auto" w:fill="auto"/>
            <w:vAlign w:val="bottom"/>
          </w:tcPr>
          <w:p w14:paraId="392C4CB9" w14:textId="77777777" w:rsidR="00980E5F" w:rsidRDefault="00980E5F">
            <w:pPr>
              <w:rPr>
                <w:rFonts w:ascii="宋体"/>
                <w:vanish/>
              </w:rPr>
            </w:pPr>
          </w:p>
        </w:tc>
        <w:tc>
          <w:tcPr>
            <w:tcW w:w="0" w:type="auto"/>
            <w:gridSpan w:val="3"/>
            <w:shd w:val="clear" w:color="auto" w:fill="auto"/>
            <w:vAlign w:val="bottom"/>
          </w:tcPr>
          <w:p w14:paraId="392C4CBA" w14:textId="77777777" w:rsidR="00980E5F" w:rsidRDefault="00980E5F">
            <w:pPr>
              <w:rPr>
                <w:rFonts w:ascii="宋体"/>
                <w:vanish/>
              </w:rPr>
            </w:pPr>
          </w:p>
        </w:tc>
        <w:tc>
          <w:tcPr>
            <w:tcW w:w="0" w:type="auto"/>
            <w:gridSpan w:val="3"/>
            <w:shd w:val="clear" w:color="auto" w:fill="auto"/>
            <w:vAlign w:val="bottom"/>
          </w:tcPr>
          <w:p w14:paraId="392C4CBB" w14:textId="77777777" w:rsidR="00980E5F" w:rsidRDefault="00980E5F">
            <w:pPr>
              <w:rPr>
                <w:rFonts w:ascii="宋体"/>
                <w:vanish/>
              </w:rPr>
            </w:pPr>
          </w:p>
        </w:tc>
        <w:tc>
          <w:tcPr>
            <w:tcW w:w="0" w:type="auto"/>
            <w:gridSpan w:val="3"/>
            <w:shd w:val="clear" w:color="auto" w:fill="auto"/>
            <w:vAlign w:val="bottom"/>
          </w:tcPr>
          <w:p w14:paraId="392C4CBC" w14:textId="77777777" w:rsidR="00980E5F" w:rsidRDefault="00980E5F">
            <w:pPr>
              <w:rPr>
                <w:rFonts w:ascii="宋体"/>
                <w:vanish/>
              </w:rPr>
            </w:pPr>
          </w:p>
        </w:tc>
        <w:tc>
          <w:tcPr>
            <w:tcW w:w="0" w:type="auto"/>
            <w:gridSpan w:val="3"/>
            <w:shd w:val="clear" w:color="auto" w:fill="auto"/>
            <w:vAlign w:val="bottom"/>
          </w:tcPr>
          <w:p w14:paraId="392C4CBD" w14:textId="77777777" w:rsidR="00980E5F" w:rsidRDefault="00980E5F">
            <w:pPr>
              <w:rPr>
                <w:rFonts w:ascii="宋体"/>
                <w:vanish/>
              </w:rPr>
            </w:pPr>
          </w:p>
        </w:tc>
        <w:tc>
          <w:tcPr>
            <w:tcW w:w="0" w:type="auto"/>
            <w:gridSpan w:val="3"/>
            <w:shd w:val="clear" w:color="auto" w:fill="auto"/>
            <w:vAlign w:val="bottom"/>
          </w:tcPr>
          <w:p w14:paraId="392C4CBE" w14:textId="77777777" w:rsidR="00980E5F" w:rsidRDefault="00980E5F">
            <w:pPr>
              <w:rPr>
                <w:rFonts w:ascii="宋体"/>
                <w:vanish/>
              </w:rPr>
            </w:pPr>
          </w:p>
        </w:tc>
        <w:tc>
          <w:tcPr>
            <w:tcW w:w="0" w:type="auto"/>
            <w:gridSpan w:val="3"/>
            <w:shd w:val="clear" w:color="auto" w:fill="auto"/>
            <w:vAlign w:val="bottom"/>
          </w:tcPr>
          <w:p w14:paraId="392C4CBF" w14:textId="77777777" w:rsidR="00980E5F" w:rsidRDefault="00980E5F">
            <w:pPr>
              <w:rPr>
                <w:rFonts w:ascii="宋体"/>
                <w:vanish/>
              </w:rPr>
            </w:pPr>
          </w:p>
        </w:tc>
        <w:tc>
          <w:tcPr>
            <w:tcW w:w="0" w:type="auto"/>
            <w:gridSpan w:val="3"/>
            <w:shd w:val="clear" w:color="auto" w:fill="auto"/>
            <w:vAlign w:val="bottom"/>
          </w:tcPr>
          <w:p w14:paraId="392C4CC0" w14:textId="77777777" w:rsidR="00980E5F" w:rsidRDefault="00980E5F">
            <w:pPr>
              <w:rPr>
                <w:rFonts w:ascii="宋体"/>
                <w:vanish/>
              </w:rPr>
            </w:pPr>
          </w:p>
        </w:tc>
        <w:tc>
          <w:tcPr>
            <w:tcW w:w="0" w:type="auto"/>
            <w:gridSpan w:val="3"/>
            <w:shd w:val="clear" w:color="auto" w:fill="auto"/>
            <w:vAlign w:val="bottom"/>
          </w:tcPr>
          <w:p w14:paraId="392C4CC1" w14:textId="77777777" w:rsidR="00980E5F" w:rsidRDefault="00980E5F">
            <w:pPr>
              <w:rPr>
                <w:rFonts w:ascii="宋体"/>
                <w:vanish/>
              </w:rPr>
            </w:pPr>
          </w:p>
        </w:tc>
        <w:tc>
          <w:tcPr>
            <w:tcW w:w="0" w:type="auto"/>
            <w:gridSpan w:val="3"/>
            <w:shd w:val="clear" w:color="auto" w:fill="auto"/>
            <w:vAlign w:val="bottom"/>
          </w:tcPr>
          <w:p w14:paraId="392C4CC2" w14:textId="77777777" w:rsidR="00980E5F" w:rsidRDefault="00980E5F">
            <w:pPr>
              <w:rPr>
                <w:rFonts w:ascii="宋体"/>
                <w:vanish/>
              </w:rPr>
            </w:pPr>
          </w:p>
        </w:tc>
        <w:tc>
          <w:tcPr>
            <w:tcW w:w="0" w:type="auto"/>
            <w:gridSpan w:val="3"/>
            <w:shd w:val="clear" w:color="auto" w:fill="auto"/>
            <w:vAlign w:val="bottom"/>
          </w:tcPr>
          <w:p w14:paraId="392C4CC3" w14:textId="77777777" w:rsidR="00980E5F" w:rsidRDefault="00980E5F">
            <w:pPr>
              <w:rPr>
                <w:rFonts w:ascii="宋体"/>
                <w:vanish/>
              </w:rPr>
            </w:pPr>
          </w:p>
        </w:tc>
        <w:tc>
          <w:tcPr>
            <w:tcW w:w="0" w:type="auto"/>
            <w:gridSpan w:val="3"/>
            <w:shd w:val="clear" w:color="auto" w:fill="auto"/>
            <w:vAlign w:val="bottom"/>
          </w:tcPr>
          <w:p w14:paraId="392C4CC4" w14:textId="77777777" w:rsidR="00980E5F" w:rsidRDefault="00980E5F">
            <w:pPr>
              <w:rPr>
                <w:rFonts w:ascii="宋体"/>
                <w:vanish/>
              </w:rPr>
            </w:pPr>
          </w:p>
        </w:tc>
        <w:tc>
          <w:tcPr>
            <w:tcW w:w="0" w:type="auto"/>
            <w:gridSpan w:val="3"/>
            <w:shd w:val="clear" w:color="auto" w:fill="auto"/>
            <w:vAlign w:val="bottom"/>
          </w:tcPr>
          <w:p w14:paraId="392C4CC5" w14:textId="77777777" w:rsidR="00980E5F" w:rsidRDefault="00980E5F">
            <w:pPr>
              <w:rPr>
                <w:rFonts w:ascii="宋体"/>
                <w:vanish/>
              </w:rPr>
            </w:pPr>
          </w:p>
        </w:tc>
        <w:tc>
          <w:tcPr>
            <w:tcW w:w="0" w:type="auto"/>
            <w:gridSpan w:val="3"/>
            <w:shd w:val="clear" w:color="auto" w:fill="auto"/>
            <w:vAlign w:val="bottom"/>
          </w:tcPr>
          <w:p w14:paraId="392C4CC6" w14:textId="77777777" w:rsidR="00980E5F" w:rsidRDefault="00980E5F">
            <w:pPr>
              <w:rPr>
                <w:rFonts w:ascii="宋体"/>
                <w:vanish/>
              </w:rPr>
            </w:pPr>
          </w:p>
        </w:tc>
        <w:tc>
          <w:tcPr>
            <w:tcW w:w="0" w:type="auto"/>
            <w:gridSpan w:val="2"/>
            <w:shd w:val="clear" w:color="auto" w:fill="auto"/>
            <w:vAlign w:val="bottom"/>
          </w:tcPr>
          <w:p w14:paraId="392C4CC7" w14:textId="77777777" w:rsidR="00980E5F" w:rsidRDefault="00980E5F">
            <w:pPr>
              <w:rPr>
                <w:rFonts w:ascii="宋体"/>
                <w:vanish/>
              </w:rPr>
            </w:pPr>
          </w:p>
        </w:tc>
        <w:tc>
          <w:tcPr>
            <w:tcW w:w="0" w:type="auto"/>
            <w:shd w:val="clear" w:color="auto" w:fill="auto"/>
            <w:vAlign w:val="bottom"/>
          </w:tcPr>
          <w:p w14:paraId="392C4CC8" w14:textId="77777777" w:rsidR="00980E5F" w:rsidRDefault="00980E5F">
            <w:pPr>
              <w:rPr>
                <w:rFonts w:ascii="宋体"/>
                <w:vanish/>
              </w:rPr>
            </w:pPr>
          </w:p>
        </w:tc>
      </w:tr>
      <w:tr w:rsidR="00980E5F" w14:paraId="392C4CE0" w14:textId="77777777">
        <w:trPr>
          <w:hidden/>
        </w:trPr>
        <w:tc>
          <w:tcPr>
            <w:tcW w:w="0" w:type="auto"/>
            <w:gridSpan w:val="3"/>
            <w:shd w:val="clear" w:color="auto" w:fill="auto"/>
            <w:vAlign w:val="bottom"/>
          </w:tcPr>
          <w:p w14:paraId="392C4CCA" w14:textId="77777777" w:rsidR="00980E5F" w:rsidRDefault="00980E5F">
            <w:pPr>
              <w:rPr>
                <w:rFonts w:ascii="宋体"/>
                <w:vanish/>
              </w:rPr>
            </w:pPr>
          </w:p>
        </w:tc>
        <w:tc>
          <w:tcPr>
            <w:tcW w:w="0" w:type="auto"/>
            <w:gridSpan w:val="3"/>
            <w:shd w:val="clear" w:color="auto" w:fill="auto"/>
            <w:vAlign w:val="bottom"/>
          </w:tcPr>
          <w:p w14:paraId="392C4CCB" w14:textId="77777777" w:rsidR="00980E5F" w:rsidRDefault="00980E5F">
            <w:pPr>
              <w:rPr>
                <w:rFonts w:ascii="宋体"/>
                <w:vanish/>
              </w:rPr>
            </w:pPr>
          </w:p>
        </w:tc>
        <w:tc>
          <w:tcPr>
            <w:tcW w:w="0" w:type="auto"/>
            <w:gridSpan w:val="3"/>
            <w:shd w:val="clear" w:color="auto" w:fill="auto"/>
            <w:vAlign w:val="bottom"/>
          </w:tcPr>
          <w:p w14:paraId="392C4CCC" w14:textId="77777777" w:rsidR="00980E5F" w:rsidRDefault="00980E5F">
            <w:pPr>
              <w:rPr>
                <w:rFonts w:ascii="宋体"/>
                <w:vanish/>
              </w:rPr>
            </w:pPr>
          </w:p>
        </w:tc>
        <w:tc>
          <w:tcPr>
            <w:tcW w:w="0" w:type="auto"/>
            <w:gridSpan w:val="3"/>
            <w:shd w:val="clear" w:color="auto" w:fill="auto"/>
            <w:vAlign w:val="bottom"/>
          </w:tcPr>
          <w:p w14:paraId="392C4CCD" w14:textId="77777777" w:rsidR="00980E5F" w:rsidRDefault="00980E5F">
            <w:pPr>
              <w:rPr>
                <w:rFonts w:ascii="宋体"/>
                <w:vanish/>
              </w:rPr>
            </w:pPr>
          </w:p>
        </w:tc>
        <w:tc>
          <w:tcPr>
            <w:tcW w:w="0" w:type="auto"/>
            <w:gridSpan w:val="3"/>
            <w:shd w:val="clear" w:color="auto" w:fill="auto"/>
            <w:vAlign w:val="bottom"/>
          </w:tcPr>
          <w:p w14:paraId="392C4CCE" w14:textId="77777777" w:rsidR="00980E5F" w:rsidRDefault="00980E5F">
            <w:pPr>
              <w:rPr>
                <w:rFonts w:ascii="宋体"/>
                <w:vanish/>
              </w:rPr>
            </w:pPr>
          </w:p>
        </w:tc>
        <w:tc>
          <w:tcPr>
            <w:tcW w:w="0" w:type="auto"/>
            <w:gridSpan w:val="3"/>
            <w:shd w:val="clear" w:color="auto" w:fill="auto"/>
            <w:vAlign w:val="bottom"/>
          </w:tcPr>
          <w:p w14:paraId="392C4CCF" w14:textId="77777777" w:rsidR="00980E5F" w:rsidRDefault="00980E5F">
            <w:pPr>
              <w:rPr>
                <w:rFonts w:ascii="宋体"/>
                <w:vanish/>
              </w:rPr>
            </w:pPr>
          </w:p>
        </w:tc>
        <w:tc>
          <w:tcPr>
            <w:tcW w:w="0" w:type="auto"/>
            <w:gridSpan w:val="3"/>
            <w:shd w:val="clear" w:color="auto" w:fill="auto"/>
            <w:vAlign w:val="bottom"/>
          </w:tcPr>
          <w:p w14:paraId="392C4CD0" w14:textId="77777777" w:rsidR="00980E5F" w:rsidRDefault="00980E5F">
            <w:pPr>
              <w:rPr>
                <w:rFonts w:ascii="宋体"/>
                <w:vanish/>
              </w:rPr>
            </w:pPr>
          </w:p>
        </w:tc>
        <w:tc>
          <w:tcPr>
            <w:tcW w:w="0" w:type="auto"/>
            <w:gridSpan w:val="3"/>
            <w:shd w:val="clear" w:color="auto" w:fill="auto"/>
            <w:vAlign w:val="bottom"/>
          </w:tcPr>
          <w:p w14:paraId="392C4CD1" w14:textId="77777777" w:rsidR="00980E5F" w:rsidRDefault="00980E5F">
            <w:pPr>
              <w:rPr>
                <w:rFonts w:ascii="宋体"/>
                <w:vanish/>
              </w:rPr>
            </w:pPr>
          </w:p>
        </w:tc>
        <w:tc>
          <w:tcPr>
            <w:tcW w:w="0" w:type="auto"/>
            <w:gridSpan w:val="3"/>
            <w:shd w:val="clear" w:color="auto" w:fill="auto"/>
            <w:vAlign w:val="bottom"/>
          </w:tcPr>
          <w:p w14:paraId="392C4CD2" w14:textId="77777777" w:rsidR="00980E5F" w:rsidRDefault="00980E5F">
            <w:pPr>
              <w:rPr>
                <w:rFonts w:ascii="宋体"/>
                <w:vanish/>
              </w:rPr>
            </w:pPr>
          </w:p>
        </w:tc>
        <w:tc>
          <w:tcPr>
            <w:tcW w:w="0" w:type="auto"/>
            <w:gridSpan w:val="3"/>
            <w:shd w:val="clear" w:color="auto" w:fill="auto"/>
            <w:vAlign w:val="bottom"/>
          </w:tcPr>
          <w:p w14:paraId="392C4CD3" w14:textId="77777777" w:rsidR="00980E5F" w:rsidRDefault="00980E5F">
            <w:pPr>
              <w:rPr>
                <w:rFonts w:ascii="宋体"/>
                <w:vanish/>
              </w:rPr>
            </w:pPr>
          </w:p>
        </w:tc>
        <w:tc>
          <w:tcPr>
            <w:tcW w:w="0" w:type="auto"/>
            <w:gridSpan w:val="3"/>
            <w:shd w:val="clear" w:color="auto" w:fill="auto"/>
            <w:vAlign w:val="bottom"/>
          </w:tcPr>
          <w:p w14:paraId="392C4CD4" w14:textId="77777777" w:rsidR="00980E5F" w:rsidRDefault="00980E5F">
            <w:pPr>
              <w:rPr>
                <w:rFonts w:ascii="宋体"/>
                <w:vanish/>
              </w:rPr>
            </w:pPr>
          </w:p>
        </w:tc>
        <w:tc>
          <w:tcPr>
            <w:tcW w:w="0" w:type="auto"/>
            <w:gridSpan w:val="3"/>
            <w:shd w:val="clear" w:color="auto" w:fill="auto"/>
            <w:vAlign w:val="bottom"/>
          </w:tcPr>
          <w:p w14:paraId="392C4CD5" w14:textId="77777777" w:rsidR="00980E5F" w:rsidRDefault="00980E5F">
            <w:pPr>
              <w:rPr>
                <w:rFonts w:ascii="宋体"/>
                <w:vanish/>
              </w:rPr>
            </w:pPr>
          </w:p>
        </w:tc>
        <w:tc>
          <w:tcPr>
            <w:tcW w:w="0" w:type="auto"/>
            <w:gridSpan w:val="3"/>
            <w:shd w:val="clear" w:color="auto" w:fill="auto"/>
            <w:vAlign w:val="bottom"/>
          </w:tcPr>
          <w:p w14:paraId="392C4CD6" w14:textId="77777777" w:rsidR="00980E5F" w:rsidRDefault="00980E5F">
            <w:pPr>
              <w:rPr>
                <w:rFonts w:ascii="宋体"/>
                <w:vanish/>
              </w:rPr>
            </w:pPr>
          </w:p>
        </w:tc>
        <w:tc>
          <w:tcPr>
            <w:tcW w:w="0" w:type="auto"/>
            <w:gridSpan w:val="3"/>
            <w:shd w:val="clear" w:color="auto" w:fill="auto"/>
            <w:vAlign w:val="bottom"/>
          </w:tcPr>
          <w:p w14:paraId="392C4CD7" w14:textId="77777777" w:rsidR="00980E5F" w:rsidRDefault="00980E5F">
            <w:pPr>
              <w:rPr>
                <w:rFonts w:ascii="宋体"/>
                <w:vanish/>
              </w:rPr>
            </w:pPr>
          </w:p>
        </w:tc>
        <w:tc>
          <w:tcPr>
            <w:tcW w:w="0" w:type="auto"/>
            <w:gridSpan w:val="3"/>
            <w:shd w:val="clear" w:color="auto" w:fill="auto"/>
            <w:vAlign w:val="bottom"/>
          </w:tcPr>
          <w:p w14:paraId="392C4CD8" w14:textId="77777777" w:rsidR="00980E5F" w:rsidRDefault="00980E5F">
            <w:pPr>
              <w:rPr>
                <w:rFonts w:ascii="宋体"/>
                <w:vanish/>
              </w:rPr>
            </w:pPr>
          </w:p>
        </w:tc>
        <w:tc>
          <w:tcPr>
            <w:tcW w:w="0" w:type="auto"/>
            <w:gridSpan w:val="3"/>
            <w:shd w:val="clear" w:color="auto" w:fill="auto"/>
            <w:vAlign w:val="bottom"/>
          </w:tcPr>
          <w:p w14:paraId="392C4CD9" w14:textId="77777777" w:rsidR="00980E5F" w:rsidRDefault="00980E5F">
            <w:pPr>
              <w:rPr>
                <w:rFonts w:ascii="宋体"/>
                <w:vanish/>
              </w:rPr>
            </w:pPr>
          </w:p>
        </w:tc>
        <w:tc>
          <w:tcPr>
            <w:tcW w:w="0" w:type="auto"/>
            <w:gridSpan w:val="3"/>
            <w:shd w:val="clear" w:color="auto" w:fill="auto"/>
            <w:vAlign w:val="bottom"/>
          </w:tcPr>
          <w:p w14:paraId="392C4CDA" w14:textId="77777777" w:rsidR="00980E5F" w:rsidRDefault="00980E5F">
            <w:pPr>
              <w:rPr>
                <w:rFonts w:ascii="宋体"/>
                <w:vanish/>
              </w:rPr>
            </w:pPr>
          </w:p>
        </w:tc>
        <w:tc>
          <w:tcPr>
            <w:tcW w:w="0" w:type="auto"/>
            <w:gridSpan w:val="3"/>
            <w:shd w:val="clear" w:color="auto" w:fill="auto"/>
            <w:vAlign w:val="bottom"/>
          </w:tcPr>
          <w:p w14:paraId="392C4CDB" w14:textId="77777777" w:rsidR="00980E5F" w:rsidRDefault="00980E5F">
            <w:pPr>
              <w:rPr>
                <w:rFonts w:ascii="宋体"/>
                <w:vanish/>
              </w:rPr>
            </w:pPr>
          </w:p>
        </w:tc>
        <w:tc>
          <w:tcPr>
            <w:tcW w:w="0" w:type="auto"/>
            <w:gridSpan w:val="3"/>
            <w:shd w:val="clear" w:color="auto" w:fill="auto"/>
            <w:vAlign w:val="bottom"/>
          </w:tcPr>
          <w:p w14:paraId="392C4CDC" w14:textId="77777777" w:rsidR="00980E5F" w:rsidRDefault="00980E5F">
            <w:pPr>
              <w:rPr>
                <w:rFonts w:ascii="宋体"/>
                <w:vanish/>
              </w:rPr>
            </w:pPr>
          </w:p>
        </w:tc>
        <w:tc>
          <w:tcPr>
            <w:tcW w:w="0" w:type="auto"/>
            <w:gridSpan w:val="3"/>
            <w:shd w:val="clear" w:color="auto" w:fill="auto"/>
            <w:vAlign w:val="bottom"/>
          </w:tcPr>
          <w:p w14:paraId="392C4CDD" w14:textId="77777777" w:rsidR="00980E5F" w:rsidRDefault="00980E5F">
            <w:pPr>
              <w:rPr>
                <w:rFonts w:ascii="宋体"/>
                <w:vanish/>
              </w:rPr>
            </w:pPr>
          </w:p>
        </w:tc>
        <w:tc>
          <w:tcPr>
            <w:tcW w:w="0" w:type="auto"/>
            <w:gridSpan w:val="2"/>
            <w:shd w:val="clear" w:color="auto" w:fill="auto"/>
            <w:vAlign w:val="bottom"/>
          </w:tcPr>
          <w:p w14:paraId="392C4CDE" w14:textId="77777777" w:rsidR="00980E5F" w:rsidRDefault="00980E5F">
            <w:pPr>
              <w:rPr>
                <w:rFonts w:ascii="宋体"/>
                <w:vanish/>
              </w:rPr>
            </w:pPr>
          </w:p>
        </w:tc>
        <w:tc>
          <w:tcPr>
            <w:tcW w:w="0" w:type="auto"/>
            <w:shd w:val="clear" w:color="auto" w:fill="auto"/>
            <w:vAlign w:val="bottom"/>
          </w:tcPr>
          <w:p w14:paraId="392C4CDF" w14:textId="77777777" w:rsidR="00980E5F" w:rsidRDefault="00980E5F">
            <w:pPr>
              <w:rPr>
                <w:rFonts w:ascii="宋体"/>
                <w:vanish/>
              </w:rPr>
            </w:pPr>
          </w:p>
        </w:tc>
      </w:tr>
      <w:tr w:rsidR="00980E5F" w14:paraId="392C4CF7" w14:textId="77777777">
        <w:trPr>
          <w:hidden/>
        </w:trPr>
        <w:tc>
          <w:tcPr>
            <w:tcW w:w="0" w:type="auto"/>
            <w:gridSpan w:val="3"/>
            <w:shd w:val="clear" w:color="auto" w:fill="auto"/>
            <w:vAlign w:val="bottom"/>
          </w:tcPr>
          <w:p w14:paraId="392C4CE1" w14:textId="77777777" w:rsidR="00980E5F" w:rsidRDefault="00980E5F">
            <w:pPr>
              <w:rPr>
                <w:rFonts w:ascii="宋体"/>
                <w:vanish/>
              </w:rPr>
            </w:pPr>
          </w:p>
        </w:tc>
        <w:tc>
          <w:tcPr>
            <w:tcW w:w="0" w:type="auto"/>
            <w:gridSpan w:val="3"/>
            <w:shd w:val="clear" w:color="auto" w:fill="auto"/>
            <w:vAlign w:val="bottom"/>
          </w:tcPr>
          <w:p w14:paraId="392C4CE2" w14:textId="77777777" w:rsidR="00980E5F" w:rsidRDefault="00980E5F">
            <w:pPr>
              <w:rPr>
                <w:rFonts w:ascii="宋体"/>
                <w:vanish/>
              </w:rPr>
            </w:pPr>
          </w:p>
        </w:tc>
        <w:tc>
          <w:tcPr>
            <w:tcW w:w="0" w:type="auto"/>
            <w:gridSpan w:val="3"/>
            <w:shd w:val="clear" w:color="auto" w:fill="auto"/>
            <w:vAlign w:val="bottom"/>
          </w:tcPr>
          <w:p w14:paraId="392C4CE3" w14:textId="77777777" w:rsidR="00980E5F" w:rsidRDefault="00980E5F">
            <w:pPr>
              <w:rPr>
                <w:rFonts w:ascii="宋体"/>
                <w:vanish/>
              </w:rPr>
            </w:pPr>
          </w:p>
        </w:tc>
        <w:tc>
          <w:tcPr>
            <w:tcW w:w="0" w:type="auto"/>
            <w:gridSpan w:val="3"/>
            <w:shd w:val="clear" w:color="auto" w:fill="auto"/>
            <w:vAlign w:val="bottom"/>
          </w:tcPr>
          <w:p w14:paraId="392C4CE4" w14:textId="77777777" w:rsidR="00980E5F" w:rsidRDefault="00980E5F">
            <w:pPr>
              <w:rPr>
                <w:rFonts w:ascii="宋体"/>
                <w:vanish/>
              </w:rPr>
            </w:pPr>
          </w:p>
        </w:tc>
        <w:tc>
          <w:tcPr>
            <w:tcW w:w="0" w:type="auto"/>
            <w:gridSpan w:val="3"/>
            <w:shd w:val="clear" w:color="auto" w:fill="auto"/>
            <w:vAlign w:val="bottom"/>
          </w:tcPr>
          <w:p w14:paraId="392C4CE5" w14:textId="77777777" w:rsidR="00980E5F" w:rsidRDefault="00980E5F">
            <w:pPr>
              <w:rPr>
                <w:rFonts w:ascii="宋体"/>
                <w:vanish/>
              </w:rPr>
            </w:pPr>
          </w:p>
        </w:tc>
        <w:tc>
          <w:tcPr>
            <w:tcW w:w="0" w:type="auto"/>
            <w:gridSpan w:val="3"/>
            <w:shd w:val="clear" w:color="auto" w:fill="auto"/>
            <w:vAlign w:val="bottom"/>
          </w:tcPr>
          <w:p w14:paraId="392C4CE6" w14:textId="77777777" w:rsidR="00980E5F" w:rsidRDefault="00980E5F">
            <w:pPr>
              <w:rPr>
                <w:rFonts w:ascii="宋体"/>
                <w:vanish/>
              </w:rPr>
            </w:pPr>
          </w:p>
        </w:tc>
        <w:tc>
          <w:tcPr>
            <w:tcW w:w="0" w:type="auto"/>
            <w:gridSpan w:val="3"/>
            <w:shd w:val="clear" w:color="auto" w:fill="auto"/>
            <w:vAlign w:val="bottom"/>
          </w:tcPr>
          <w:p w14:paraId="392C4CE7" w14:textId="77777777" w:rsidR="00980E5F" w:rsidRDefault="00980E5F">
            <w:pPr>
              <w:rPr>
                <w:rFonts w:ascii="宋体"/>
                <w:vanish/>
              </w:rPr>
            </w:pPr>
          </w:p>
        </w:tc>
        <w:tc>
          <w:tcPr>
            <w:tcW w:w="0" w:type="auto"/>
            <w:gridSpan w:val="3"/>
            <w:shd w:val="clear" w:color="auto" w:fill="auto"/>
            <w:vAlign w:val="bottom"/>
          </w:tcPr>
          <w:p w14:paraId="392C4CE8" w14:textId="77777777" w:rsidR="00980E5F" w:rsidRDefault="00980E5F">
            <w:pPr>
              <w:rPr>
                <w:rFonts w:ascii="宋体"/>
                <w:vanish/>
              </w:rPr>
            </w:pPr>
          </w:p>
        </w:tc>
        <w:tc>
          <w:tcPr>
            <w:tcW w:w="0" w:type="auto"/>
            <w:gridSpan w:val="3"/>
            <w:shd w:val="clear" w:color="auto" w:fill="auto"/>
            <w:vAlign w:val="bottom"/>
          </w:tcPr>
          <w:p w14:paraId="392C4CE9" w14:textId="77777777" w:rsidR="00980E5F" w:rsidRDefault="00980E5F">
            <w:pPr>
              <w:rPr>
                <w:rFonts w:ascii="宋体"/>
                <w:vanish/>
              </w:rPr>
            </w:pPr>
          </w:p>
        </w:tc>
        <w:tc>
          <w:tcPr>
            <w:tcW w:w="0" w:type="auto"/>
            <w:gridSpan w:val="3"/>
            <w:shd w:val="clear" w:color="auto" w:fill="auto"/>
            <w:vAlign w:val="bottom"/>
          </w:tcPr>
          <w:p w14:paraId="392C4CEA" w14:textId="77777777" w:rsidR="00980E5F" w:rsidRDefault="00980E5F">
            <w:pPr>
              <w:rPr>
                <w:rFonts w:ascii="宋体"/>
                <w:vanish/>
              </w:rPr>
            </w:pPr>
          </w:p>
        </w:tc>
        <w:tc>
          <w:tcPr>
            <w:tcW w:w="0" w:type="auto"/>
            <w:gridSpan w:val="3"/>
            <w:shd w:val="clear" w:color="auto" w:fill="auto"/>
            <w:vAlign w:val="bottom"/>
          </w:tcPr>
          <w:p w14:paraId="392C4CEB" w14:textId="77777777" w:rsidR="00980E5F" w:rsidRDefault="00980E5F">
            <w:pPr>
              <w:rPr>
                <w:rFonts w:ascii="宋体"/>
                <w:vanish/>
              </w:rPr>
            </w:pPr>
          </w:p>
        </w:tc>
        <w:tc>
          <w:tcPr>
            <w:tcW w:w="0" w:type="auto"/>
            <w:gridSpan w:val="3"/>
            <w:shd w:val="clear" w:color="auto" w:fill="auto"/>
            <w:vAlign w:val="bottom"/>
          </w:tcPr>
          <w:p w14:paraId="392C4CEC" w14:textId="77777777" w:rsidR="00980E5F" w:rsidRDefault="00980E5F">
            <w:pPr>
              <w:rPr>
                <w:rFonts w:ascii="宋体"/>
                <w:vanish/>
              </w:rPr>
            </w:pPr>
          </w:p>
        </w:tc>
        <w:tc>
          <w:tcPr>
            <w:tcW w:w="0" w:type="auto"/>
            <w:gridSpan w:val="3"/>
            <w:shd w:val="clear" w:color="auto" w:fill="auto"/>
            <w:vAlign w:val="bottom"/>
          </w:tcPr>
          <w:p w14:paraId="392C4CED" w14:textId="77777777" w:rsidR="00980E5F" w:rsidRDefault="00980E5F">
            <w:pPr>
              <w:rPr>
                <w:rFonts w:ascii="宋体"/>
                <w:vanish/>
              </w:rPr>
            </w:pPr>
          </w:p>
        </w:tc>
        <w:tc>
          <w:tcPr>
            <w:tcW w:w="0" w:type="auto"/>
            <w:gridSpan w:val="3"/>
            <w:shd w:val="clear" w:color="auto" w:fill="auto"/>
            <w:vAlign w:val="bottom"/>
          </w:tcPr>
          <w:p w14:paraId="392C4CEE" w14:textId="77777777" w:rsidR="00980E5F" w:rsidRDefault="00980E5F">
            <w:pPr>
              <w:rPr>
                <w:rFonts w:ascii="宋体"/>
                <w:vanish/>
              </w:rPr>
            </w:pPr>
          </w:p>
        </w:tc>
        <w:tc>
          <w:tcPr>
            <w:tcW w:w="0" w:type="auto"/>
            <w:gridSpan w:val="3"/>
            <w:shd w:val="clear" w:color="auto" w:fill="auto"/>
            <w:vAlign w:val="bottom"/>
          </w:tcPr>
          <w:p w14:paraId="392C4CEF" w14:textId="77777777" w:rsidR="00980E5F" w:rsidRDefault="00980E5F">
            <w:pPr>
              <w:rPr>
                <w:rFonts w:ascii="宋体"/>
                <w:vanish/>
              </w:rPr>
            </w:pPr>
          </w:p>
        </w:tc>
        <w:tc>
          <w:tcPr>
            <w:tcW w:w="0" w:type="auto"/>
            <w:gridSpan w:val="3"/>
            <w:shd w:val="clear" w:color="auto" w:fill="auto"/>
            <w:vAlign w:val="bottom"/>
          </w:tcPr>
          <w:p w14:paraId="392C4CF0" w14:textId="77777777" w:rsidR="00980E5F" w:rsidRDefault="00980E5F">
            <w:pPr>
              <w:rPr>
                <w:rFonts w:ascii="宋体"/>
                <w:vanish/>
              </w:rPr>
            </w:pPr>
          </w:p>
        </w:tc>
        <w:tc>
          <w:tcPr>
            <w:tcW w:w="0" w:type="auto"/>
            <w:gridSpan w:val="3"/>
            <w:shd w:val="clear" w:color="auto" w:fill="auto"/>
            <w:vAlign w:val="bottom"/>
          </w:tcPr>
          <w:p w14:paraId="392C4CF1" w14:textId="77777777" w:rsidR="00980E5F" w:rsidRDefault="00980E5F">
            <w:pPr>
              <w:rPr>
                <w:rFonts w:ascii="宋体"/>
                <w:vanish/>
              </w:rPr>
            </w:pPr>
          </w:p>
        </w:tc>
        <w:tc>
          <w:tcPr>
            <w:tcW w:w="0" w:type="auto"/>
            <w:gridSpan w:val="3"/>
            <w:shd w:val="clear" w:color="auto" w:fill="auto"/>
            <w:vAlign w:val="bottom"/>
          </w:tcPr>
          <w:p w14:paraId="392C4CF2" w14:textId="77777777" w:rsidR="00980E5F" w:rsidRDefault="00980E5F">
            <w:pPr>
              <w:rPr>
                <w:rFonts w:ascii="宋体"/>
                <w:vanish/>
              </w:rPr>
            </w:pPr>
          </w:p>
        </w:tc>
        <w:tc>
          <w:tcPr>
            <w:tcW w:w="0" w:type="auto"/>
            <w:gridSpan w:val="3"/>
            <w:shd w:val="clear" w:color="auto" w:fill="auto"/>
            <w:vAlign w:val="bottom"/>
          </w:tcPr>
          <w:p w14:paraId="392C4CF3" w14:textId="77777777" w:rsidR="00980E5F" w:rsidRDefault="00980E5F">
            <w:pPr>
              <w:rPr>
                <w:rFonts w:ascii="宋体"/>
                <w:vanish/>
              </w:rPr>
            </w:pPr>
          </w:p>
        </w:tc>
        <w:tc>
          <w:tcPr>
            <w:tcW w:w="0" w:type="auto"/>
            <w:gridSpan w:val="3"/>
            <w:shd w:val="clear" w:color="auto" w:fill="auto"/>
            <w:vAlign w:val="bottom"/>
          </w:tcPr>
          <w:p w14:paraId="392C4CF4" w14:textId="77777777" w:rsidR="00980E5F" w:rsidRDefault="00980E5F">
            <w:pPr>
              <w:rPr>
                <w:rFonts w:ascii="宋体"/>
                <w:vanish/>
              </w:rPr>
            </w:pPr>
          </w:p>
        </w:tc>
        <w:tc>
          <w:tcPr>
            <w:tcW w:w="0" w:type="auto"/>
            <w:gridSpan w:val="2"/>
            <w:shd w:val="clear" w:color="auto" w:fill="auto"/>
            <w:vAlign w:val="bottom"/>
          </w:tcPr>
          <w:p w14:paraId="392C4CF5" w14:textId="77777777" w:rsidR="00980E5F" w:rsidRDefault="00980E5F">
            <w:pPr>
              <w:rPr>
                <w:rFonts w:ascii="宋体"/>
                <w:vanish/>
              </w:rPr>
            </w:pPr>
          </w:p>
        </w:tc>
        <w:tc>
          <w:tcPr>
            <w:tcW w:w="0" w:type="auto"/>
            <w:shd w:val="clear" w:color="auto" w:fill="auto"/>
            <w:vAlign w:val="bottom"/>
          </w:tcPr>
          <w:p w14:paraId="392C4CF6" w14:textId="77777777" w:rsidR="00980E5F" w:rsidRDefault="00980E5F">
            <w:pPr>
              <w:rPr>
                <w:rFonts w:ascii="宋体"/>
                <w:vanish/>
              </w:rPr>
            </w:pPr>
          </w:p>
        </w:tc>
      </w:tr>
    </w:tbl>
    <w:p w14:paraId="392C4CF8"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708"/>
        <w:gridCol w:w="37"/>
        <w:gridCol w:w="88"/>
        <w:gridCol w:w="529"/>
        <w:gridCol w:w="36"/>
        <w:gridCol w:w="36"/>
        <w:gridCol w:w="36"/>
        <w:gridCol w:w="36"/>
        <w:gridCol w:w="89"/>
        <w:gridCol w:w="562"/>
        <w:gridCol w:w="37"/>
        <w:gridCol w:w="37"/>
        <w:gridCol w:w="37"/>
        <w:gridCol w:w="37"/>
        <w:gridCol w:w="88"/>
        <w:gridCol w:w="819"/>
        <w:gridCol w:w="36"/>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347"/>
        <w:gridCol w:w="36"/>
        <w:gridCol w:w="36"/>
        <w:gridCol w:w="36"/>
        <w:gridCol w:w="727"/>
      </w:tblGrid>
      <w:tr w:rsidR="00980E5F" w14:paraId="392C4D34" w14:textId="77777777">
        <w:tc>
          <w:tcPr>
            <w:tcW w:w="50" w:type="pct"/>
            <w:shd w:val="clear" w:color="auto" w:fill="auto"/>
            <w:vAlign w:val="bottom"/>
          </w:tcPr>
          <w:p w14:paraId="392C4CF9" w14:textId="77777777" w:rsidR="00980E5F" w:rsidRDefault="00980E5F">
            <w:pPr>
              <w:rPr>
                <w:rFonts w:ascii="宋体"/>
              </w:rPr>
            </w:pPr>
          </w:p>
        </w:tc>
        <w:tc>
          <w:tcPr>
            <w:tcW w:w="785" w:type="pct"/>
            <w:shd w:val="clear" w:color="auto" w:fill="auto"/>
            <w:vAlign w:val="bottom"/>
          </w:tcPr>
          <w:p w14:paraId="392C4CFA" w14:textId="77777777" w:rsidR="00980E5F" w:rsidRDefault="00980E5F">
            <w:pPr>
              <w:rPr>
                <w:rFonts w:ascii="宋体"/>
              </w:rPr>
            </w:pPr>
          </w:p>
        </w:tc>
        <w:tc>
          <w:tcPr>
            <w:tcW w:w="5" w:type="pct"/>
            <w:shd w:val="clear" w:color="auto" w:fill="auto"/>
            <w:vAlign w:val="bottom"/>
          </w:tcPr>
          <w:p w14:paraId="392C4CFB" w14:textId="77777777" w:rsidR="00980E5F" w:rsidRDefault="00980E5F">
            <w:pPr>
              <w:rPr>
                <w:rFonts w:ascii="宋体"/>
              </w:rPr>
            </w:pPr>
          </w:p>
        </w:tc>
        <w:tc>
          <w:tcPr>
            <w:tcW w:w="50" w:type="pct"/>
            <w:shd w:val="clear" w:color="auto" w:fill="auto"/>
            <w:vAlign w:val="bottom"/>
          </w:tcPr>
          <w:p w14:paraId="392C4CFC" w14:textId="77777777" w:rsidR="00980E5F" w:rsidRDefault="00980E5F">
            <w:pPr>
              <w:rPr>
                <w:rFonts w:ascii="宋体"/>
              </w:rPr>
            </w:pPr>
          </w:p>
        </w:tc>
        <w:tc>
          <w:tcPr>
            <w:tcW w:w="317" w:type="pct"/>
            <w:shd w:val="clear" w:color="auto" w:fill="auto"/>
            <w:vAlign w:val="bottom"/>
          </w:tcPr>
          <w:p w14:paraId="392C4CFD" w14:textId="77777777" w:rsidR="00980E5F" w:rsidRDefault="00980E5F">
            <w:pPr>
              <w:rPr>
                <w:rFonts w:ascii="宋体"/>
              </w:rPr>
            </w:pPr>
          </w:p>
        </w:tc>
        <w:tc>
          <w:tcPr>
            <w:tcW w:w="5" w:type="pct"/>
            <w:shd w:val="clear" w:color="auto" w:fill="auto"/>
            <w:vAlign w:val="bottom"/>
          </w:tcPr>
          <w:p w14:paraId="392C4CFE" w14:textId="77777777" w:rsidR="00980E5F" w:rsidRDefault="00980E5F">
            <w:pPr>
              <w:rPr>
                <w:rFonts w:ascii="宋体"/>
              </w:rPr>
            </w:pPr>
          </w:p>
        </w:tc>
        <w:tc>
          <w:tcPr>
            <w:tcW w:w="5" w:type="pct"/>
            <w:shd w:val="clear" w:color="auto" w:fill="auto"/>
            <w:vAlign w:val="bottom"/>
          </w:tcPr>
          <w:p w14:paraId="392C4CFF" w14:textId="77777777" w:rsidR="00980E5F" w:rsidRDefault="00980E5F">
            <w:pPr>
              <w:rPr>
                <w:rFonts w:ascii="宋体"/>
              </w:rPr>
            </w:pPr>
          </w:p>
        </w:tc>
        <w:tc>
          <w:tcPr>
            <w:tcW w:w="19" w:type="pct"/>
            <w:shd w:val="clear" w:color="auto" w:fill="auto"/>
            <w:vAlign w:val="bottom"/>
          </w:tcPr>
          <w:p w14:paraId="392C4D00" w14:textId="77777777" w:rsidR="00980E5F" w:rsidRDefault="00980E5F">
            <w:pPr>
              <w:rPr>
                <w:rFonts w:ascii="宋体"/>
              </w:rPr>
            </w:pPr>
          </w:p>
        </w:tc>
        <w:tc>
          <w:tcPr>
            <w:tcW w:w="5" w:type="pct"/>
            <w:shd w:val="clear" w:color="auto" w:fill="auto"/>
            <w:vAlign w:val="bottom"/>
          </w:tcPr>
          <w:p w14:paraId="392C4D01" w14:textId="77777777" w:rsidR="00980E5F" w:rsidRDefault="00980E5F">
            <w:pPr>
              <w:rPr>
                <w:rFonts w:ascii="宋体"/>
              </w:rPr>
            </w:pPr>
          </w:p>
        </w:tc>
        <w:tc>
          <w:tcPr>
            <w:tcW w:w="50" w:type="pct"/>
            <w:shd w:val="clear" w:color="auto" w:fill="auto"/>
            <w:vAlign w:val="bottom"/>
          </w:tcPr>
          <w:p w14:paraId="392C4D02" w14:textId="77777777" w:rsidR="00980E5F" w:rsidRDefault="00980E5F">
            <w:pPr>
              <w:rPr>
                <w:rFonts w:ascii="宋体"/>
              </w:rPr>
            </w:pPr>
          </w:p>
        </w:tc>
        <w:tc>
          <w:tcPr>
            <w:tcW w:w="317" w:type="pct"/>
            <w:shd w:val="clear" w:color="auto" w:fill="auto"/>
            <w:vAlign w:val="bottom"/>
          </w:tcPr>
          <w:p w14:paraId="392C4D03" w14:textId="77777777" w:rsidR="00980E5F" w:rsidRDefault="00980E5F">
            <w:pPr>
              <w:rPr>
                <w:rFonts w:ascii="宋体"/>
              </w:rPr>
            </w:pPr>
          </w:p>
        </w:tc>
        <w:tc>
          <w:tcPr>
            <w:tcW w:w="5" w:type="pct"/>
            <w:shd w:val="clear" w:color="auto" w:fill="auto"/>
            <w:vAlign w:val="bottom"/>
          </w:tcPr>
          <w:p w14:paraId="392C4D04" w14:textId="77777777" w:rsidR="00980E5F" w:rsidRDefault="00980E5F">
            <w:pPr>
              <w:rPr>
                <w:rFonts w:ascii="宋体"/>
              </w:rPr>
            </w:pPr>
          </w:p>
        </w:tc>
        <w:tc>
          <w:tcPr>
            <w:tcW w:w="5" w:type="pct"/>
            <w:shd w:val="clear" w:color="auto" w:fill="auto"/>
            <w:vAlign w:val="bottom"/>
          </w:tcPr>
          <w:p w14:paraId="392C4D05" w14:textId="77777777" w:rsidR="00980E5F" w:rsidRDefault="00980E5F">
            <w:pPr>
              <w:rPr>
                <w:rFonts w:ascii="宋体"/>
              </w:rPr>
            </w:pPr>
          </w:p>
        </w:tc>
        <w:tc>
          <w:tcPr>
            <w:tcW w:w="19" w:type="pct"/>
            <w:shd w:val="clear" w:color="auto" w:fill="auto"/>
            <w:vAlign w:val="bottom"/>
          </w:tcPr>
          <w:p w14:paraId="392C4D06" w14:textId="77777777" w:rsidR="00980E5F" w:rsidRDefault="00980E5F">
            <w:pPr>
              <w:rPr>
                <w:rFonts w:ascii="宋体"/>
              </w:rPr>
            </w:pPr>
          </w:p>
        </w:tc>
        <w:tc>
          <w:tcPr>
            <w:tcW w:w="5" w:type="pct"/>
            <w:shd w:val="clear" w:color="auto" w:fill="auto"/>
            <w:vAlign w:val="bottom"/>
          </w:tcPr>
          <w:p w14:paraId="392C4D07" w14:textId="77777777" w:rsidR="00980E5F" w:rsidRDefault="00980E5F">
            <w:pPr>
              <w:rPr>
                <w:rFonts w:ascii="宋体"/>
              </w:rPr>
            </w:pPr>
          </w:p>
        </w:tc>
        <w:tc>
          <w:tcPr>
            <w:tcW w:w="50" w:type="pct"/>
            <w:shd w:val="clear" w:color="auto" w:fill="auto"/>
            <w:vAlign w:val="bottom"/>
          </w:tcPr>
          <w:p w14:paraId="392C4D08" w14:textId="77777777" w:rsidR="00980E5F" w:rsidRDefault="00980E5F">
            <w:pPr>
              <w:rPr>
                <w:rFonts w:ascii="宋体"/>
              </w:rPr>
            </w:pPr>
          </w:p>
        </w:tc>
        <w:tc>
          <w:tcPr>
            <w:tcW w:w="463" w:type="pct"/>
            <w:shd w:val="clear" w:color="auto" w:fill="auto"/>
            <w:vAlign w:val="bottom"/>
          </w:tcPr>
          <w:p w14:paraId="392C4D09" w14:textId="77777777" w:rsidR="00980E5F" w:rsidRDefault="00980E5F">
            <w:pPr>
              <w:rPr>
                <w:rFonts w:ascii="宋体"/>
              </w:rPr>
            </w:pPr>
          </w:p>
        </w:tc>
        <w:tc>
          <w:tcPr>
            <w:tcW w:w="5" w:type="pct"/>
            <w:shd w:val="clear" w:color="auto" w:fill="auto"/>
            <w:vAlign w:val="bottom"/>
          </w:tcPr>
          <w:p w14:paraId="392C4D0A" w14:textId="77777777" w:rsidR="00980E5F" w:rsidRDefault="00980E5F">
            <w:pPr>
              <w:rPr>
                <w:rFonts w:ascii="宋体"/>
              </w:rPr>
            </w:pPr>
          </w:p>
        </w:tc>
        <w:tc>
          <w:tcPr>
            <w:tcW w:w="5" w:type="pct"/>
            <w:shd w:val="clear" w:color="auto" w:fill="auto"/>
            <w:vAlign w:val="bottom"/>
          </w:tcPr>
          <w:p w14:paraId="392C4D0B" w14:textId="77777777" w:rsidR="00980E5F" w:rsidRDefault="00980E5F">
            <w:pPr>
              <w:rPr>
                <w:rFonts w:ascii="宋体"/>
              </w:rPr>
            </w:pPr>
          </w:p>
        </w:tc>
        <w:tc>
          <w:tcPr>
            <w:tcW w:w="19" w:type="pct"/>
            <w:shd w:val="clear" w:color="auto" w:fill="auto"/>
            <w:vAlign w:val="bottom"/>
          </w:tcPr>
          <w:p w14:paraId="392C4D0C" w14:textId="77777777" w:rsidR="00980E5F" w:rsidRDefault="00980E5F">
            <w:pPr>
              <w:rPr>
                <w:rFonts w:ascii="宋体"/>
              </w:rPr>
            </w:pPr>
          </w:p>
        </w:tc>
        <w:tc>
          <w:tcPr>
            <w:tcW w:w="5" w:type="pct"/>
            <w:shd w:val="clear" w:color="auto" w:fill="auto"/>
            <w:vAlign w:val="bottom"/>
          </w:tcPr>
          <w:p w14:paraId="392C4D0D" w14:textId="77777777" w:rsidR="00980E5F" w:rsidRDefault="00980E5F">
            <w:pPr>
              <w:rPr>
                <w:rFonts w:ascii="宋体"/>
              </w:rPr>
            </w:pPr>
          </w:p>
        </w:tc>
        <w:tc>
          <w:tcPr>
            <w:tcW w:w="50" w:type="pct"/>
            <w:shd w:val="clear" w:color="auto" w:fill="auto"/>
            <w:vAlign w:val="bottom"/>
          </w:tcPr>
          <w:p w14:paraId="392C4D0E" w14:textId="77777777" w:rsidR="00980E5F" w:rsidRDefault="00980E5F">
            <w:pPr>
              <w:rPr>
                <w:rFonts w:ascii="宋体"/>
              </w:rPr>
            </w:pPr>
          </w:p>
        </w:tc>
        <w:tc>
          <w:tcPr>
            <w:tcW w:w="303" w:type="pct"/>
            <w:shd w:val="clear" w:color="auto" w:fill="auto"/>
            <w:vAlign w:val="bottom"/>
          </w:tcPr>
          <w:p w14:paraId="392C4D0F" w14:textId="77777777" w:rsidR="00980E5F" w:rsidRDefault="00980E5F">
            <w:pPr>
              <w:rPr>
                <w:rFonts w:ascii="宋体"/>
              </w:rPr>
            </w:pPr>
          </w:p>
        </w:tc>
        <w:tc>
          <w:tcPr>
            <w:tcW w:w="5" w:type="pct"/>
            <w:shd w:val="clear" w:color="auto" w:fill="auto"/>
            <w:vAlign w:val="bottom"/>
          </w:tcPr>
          <w:p w14:paraId="392C4D10" w14:textId="77777777" w:rsidR="00980E5F" w:rsidRDefault="00980E5F">
            <w:pPr>
              <w:rPr>
                <w:rFonts w:ascii="宋体"/>
              </w:rPr>
            </w:pPr>
          </w:p>
        </w:tc>
        <w:tc>
          <w:tcPr>
            <w:tcW w:w="5" w:type="pct"/>
            <w:shd w:val="clear" w:color="auto" w:fill="auto"/>
            <w:vAlign w:val="bottom"/>
          </w:tcPr>
          <w:p w14:paraId="392C4D11" w14:textId="77777777" w:rsidR="00980E5F" w:rsidRDefault="00980E5F">
            <w:pPr>
              <w:rPr>
                <w:rFonts w:ascii="宋体"/>
              </w:rPr>
            </w:pPr>
          </w:p>
        </w:tc>
        <w:tc>
          <w:tcPr>
            <w:tcW w:w="19" w:type="pct"/>
            <w:shd w:val="clear" w:color="auto" w:fill="auto"/>
            <w:vAlign w:val="bottom"/>
          </w:tcPr>
          <w:p w14:paraId="392C4D12" w14:textId="77777777" w:rsidR="00980E5F" w:rsidRDefault="00980E5F">
            <w:pPr>
              <w:rPr>
                <w:rFonts w:ascii="宋体"/>
              </w:rPr>
            </w:pPr>
          </w:p>
        </w:tc>
        <w:tc>
          <w:tcPr>
            <w:tcW w:w="5" w:type="pct"/>
            <w:shd w:val="clear" w:color="auto" w:fill="auto"/>
            <w:vAlign w:val="bottom"/>
          </w:tcPr>
          <w:p w14:paraId="392C4D13" w14:textId="77777777" w:rsidR="00980E5F" w:rsidRDefault="00980E5F">
            <w:pPr>
              <w:rPr>
                <w:rFonts w:ascii="宋体"/>
              </w:rPr>
            </w:pPr>
          </w:p>
        </w:tc>
        <w:tc>
          <w:tcPr>
            <w:tcW w:w="0" w:type="auto"/>
            <w:shd w:val="clear" w:color="auto" w:fill="auto"/>
            <w:vAlign w:val="bottom"/>
          </w:tcPr>
          <w:p w14:paraId="392C4D14" w14:textId="77777777" w:rsidR="00980E5F" w:rsidRDefault="00980E5F">
            <w:pPr>
              <w:rPr>
                <w:rFonts w:ascii="宋体"/>
                <w:vanish/>
              </w:rPr>
            </w:pPr>
          </w:p>
        </w:tc>
        <w:tc>
          <w:tcPr>
            <w:tcW w:w="0" w:type="auto"/>
            <w:shd w:val="clear" w:color="auto" w:fill="auto"/>
            <w:vAlign w:val="bottom"/>
          </w:tcPr>
          <w:p w14:paraId="392C4D15" w14:textId="77777777" w:rsidR="00980E5F" w:rsidRDefault="00980E5F">
            <w:pPr>
              <w:rPr>
                <w:rFonts w:ascii="宋体"/>
                <w:vanish/>
              </w:rPr>
            </w:pPr>
          </w:p>
        </w:tc>
        <w:tc>
          <w:tcPr>
            <w:tcW w:w="50" w:type="pct"/>
            <w:shd w:val="clear" w:color="auto" w:fill="auto"/>
            <w:vAlign w:val="bottom"/>
          </w:tcPr>
          <w:p w14:paraId="392C4D16" w14:textId="77777777" w:rsidR="00980E5F" w:rsidRDefault="00980E5F">
            <w:pPr>
              <w:rPr>
                <w:rFonts w:ascii="宋体"/>
              </w:rPr>
            </w:pPr>
          </w:p>
        </w:tc>
        <w:tc>
          <w:tcPr>
            <w:tcW w:w="200" w:type="pct"/>
            <w:shd w:val="clear" w:color="auto" w:fill="auto"/>
            <w:vAlign w:val="bottom"/>
          </w:tcPr>
          <w:p w14:paraId="392C4D17" w14:textId="77777777" w:rsidR="00980E5F" w:rsidRDefault="00980E5F">
            <w:pPr>
              <w:rPr>
                <w:rFonts w:ascii="宋体"/>
              </w:rPr>
            </w:pPr>
          </w:p>
        </w:tc>
        <w:tc>
          <w:tcPr>
            <w:tcW w:w="5" w:type="pct"/>
            <w:shd w:val="clear" w:color="auto" w:fill="auto"/>
            <w:vAlign w:val="bottom"/>
          </w:tcPr>
          <w:p w14:paraId="392C4D18" w14:textId="77777777" w:rsidR="00980E5F" w:rsidRDefault="00980E5F">
            <w:pPr>
              <w:rPr>
                <w:rFonts w:ascii="宋体"/>
              </w:rPr>
            </w:pPr>
          </w:p>
        </w:tc>
        <w:tc>
          <w:tcPr>
            <w:tcW w:w="5" w:type="pct"/>
            <w:shd w:val="clear" w:color="auto" w:fill="auto"/>
            <w:vAlign w:val="bottom"/>
          </w:tcPr>
          <w:p w14:paraId="392C4D19" w14:textId="77777777" w:rsidR="00980E5F" w:rsidRDefault="00980E5F">
            <w:pPr>
              <w:rPr>
                <w:rFonts w:ascii="宋体"/>
              </w:rPr>
            </w:pPr>
          </w:p>
        </w:tc>
        <w:tc>
          <w:tcPr>
            <w:tcW w:w="19" w:type="pct"/>
            <w:shd w:val="clear" w:color="auto" w:fill="auto"/>
            <w:vAlign w:val="bottom"/>
          </w:tcPr>
          <w:p w14:paraId="392C4D1A" w14:textId="77777777" w:rsidR="00980E5F" w:rsidRDefault="00980E5F">
            <w:pPr>
              <w:rPr>
                <w:rFonts w:ascii="宋体"/>
              </w:rPr>
            </w:pPr>
          </w:p>
        </w:tc>
        <w:tc>
          <w:tcPr>
            <w:tcW w:w="5" w:type="pct"/>
            <w:shd w:val="clear" w:color="auto" w:fill="auto"/>
            <w:vAlign w:val="bottom"/>
          </w:tcPr>
          <w:p w14:paraId="392C4D1B" w14:textId="77777777" w:rsidR="00980E5F" w:rsidRDefault="00980E5F">
            <w:pPr>
              <w:rPr>
                <w:rFonts w:ascii="宋体"/>
              </w:rPr>
            </w:pPr>
          </w:p>
        </w:tc>
        <w:tc>
          <w:tcPr>
            <w:tcW w:w="50" w:type="pct"/>
            <w:shd w:val="clear" w:color="auto" w:fill="auto"/>
            <w:vAlign w:val="bottom"/>
          </w:tcPr>
          <w:p w14:paraId="392C4D1C" w14:textId="77777777" w:rsidR="00980E5F" w:rsidRDefault="00980E5F">
            <w:pPr>
              <w:rPr>
                <w:rFonts w:ascii="宋体"/>
              </w:rPr>
            </w:pPr>
          </w:p>
        </w:tc>
        <w:tc>
          <w:tcPr>
            <w:tcW w:w="347" w:type="pct"/>
            <w:shd w:val="clear" w:color="auto" w:fill="auto"/>
            <w:vAlign w:val="bottom"/>
          </w:tcPr>
          <w:p w14:paraId="392C4D1D" w14:textId="77777777" w:rsidR="00980E5F" w:rsidRDefault="00980E5F">
            <w:pPr>
              <w:rPr>
                <w:rFonts w:ascii="宋体"/>
              </w:rPr>
            </w:pPr>
          </w:p>
        </w:tc>
        <w:tc>
          <w:tcPr>
            <w:tcW w:w="5" w:type="pct"/>
            <w:shd w:val="clear" w:color="auto" w:fill="auto"/>
            <w:vAlign w:val="bottom"/>
          </w:tcPr>
          <w:p w14:paraId="392C4D1E" w14:textId="77777777" w:rsidR="00980E5F" w:rsidRDefault="00980E5F">
            <w:pPr>
              <w:rPr>
                <w:rFonts w:ascii="宋体"/>
              </w:rPr>
            </w:pPr>
          </w:p>
        </w:tc>
        <w:tc>
          <w:tcPr>
            <w:tcW w:w="5" w:type="pct"/>
            <w:shd w:val="clear" w:color="auto" w:fill="auto"/>
            <w:vAlign w:val="bottom"/>
          </w:tcPr>
          <w:p w14:paraId="392C4D1F" w14:textId="77777777" w:rsidR="00980E5F" w:rsidRDefault="00980E5F">
            <w:pPr>
              <w:rPr>
                <w:rFonts w:ascii="宋体"/>
              </w:rPr>
            </w:pPr>
          </w:p>
        </w:tc>
        <w:tc>
          <w:tcPr>
            <w:tcW w:w="19" w:type="pct"/>
            <w:shd w:val="clear" w:color="auto" w:fill="auto"/>
            <w:vAlign w:val="bottom"/>
          </w:tcPr>
          <w:p w14:paraId="392C4D20" w14:textId="77777777" w:rsidR="00980E5F" w:rsidRDefault="00980E5F">
            <w:pPr>
              <w:rPr>
                <w:rFonts w:ascii="宋体"/>
              </w:rPr>
            </w:pPr>
          </w:p>
        </w:tc>
        <w:tc>
          <w:tcPr>
            <w:tcW w:w="5" w:type="pct"/>
            <w:shd w:val="clear" w:color="auto" w:fill="auto"/>
            <w:vAlign w:val="bottom"/>
          </w:tcPr>
          <w:p w14:paraId="392C4D21" w14:textId="77777777" w:rsidR="00980E5F" w:rsidRDefault="00980E5F">
            <w:pPr>
              <w:rPr>
                <w:rFonts w:ascii="宋体"/>
              </w:rPr>
            </w:pPr>
          </w:p>
        </w:tc>
        <w:tc>
          <w:tcPr>
            <w:tcW w:w="50" w:type="pct"/>
            <w:shd w:val="clear" w:color="auto" w:fill="auto"/>
            <w:vAlign w:val="bottom"/>
          </w:tcPr>
          <w:p w14:paraId="392C4D22" w14:textId="77777777" w:rsidR="00980E5F" w:rsidRDefault="00980E5F">
            <w:pPr>
              <w:rPr>
                <w:rFonts w:ascii="宋体"/>
              </w:rPr>
            </w:pPr>
          </w:p>
        </w:tc>
        <w:tc>
          <w:tcPr>
            <w:tcW w:w="273" w:type="pct"/>
            <w:shd w:val="clear" w:color="auto" w:fill="auto"/>
            <w:vAlign w:val="bottom"/>
          </w:tcPr>
          <w:p w14:paraId="392C4D23" w14:textId="77777777" w:rsidR="00980E5F" w:rsidRDefault="00980E5F">
            <w:pPr>
              <w:rPr>
                <w:rFonts w:ascii="宋体"/>
              </w:rPr>
            </w:pPr>
          </w:p>
        </w:tc>
        <w:tc>
          <w:tcPr>
            <w:tcW w:w="5" w:type="pct"/>
            <w:shd w:val="clear" w:color="auto" w:fill="auto"/>
            <w:vAlign w:val="bottom"/>
          </w:tcPr>
          <w:p w14:paraId="392C4D24" w14:textId="77777777" w:rsidR="00980E5F" w:rsidRDefault="00980E5F">
            <w:pPr>
              <w:rPr>
                <w:rFonts w:ascii="宋体"/>
              </w:rPr>
            </w:pPr>
          </w:p>
        </w:tc>
        <w:tc>
          <w:tcPr>
            <w:tcW w:w="5" w:type="pct"/>
            <w:shd w:val="clear" w:color="auto" w:fill="auto"/>
            <w:vAlign w:val="bottom"/>
          </w:tcPr>
          <w:p w14:paraId="392C4D25" w14:textId="77777777" w:rsidR="00980E5F" w:rsidRDefault="00980E5F">
            <w:pPr>
              <w:rPr>
                <w:rFonts w:ascii="宋体"/>
              </w:rPr>
            </w:pPr>
          </w:p>
        </w:tc>
        <w:tc>
          <w:tcPr>
            <w:tcW w:w="19" w:type="pct"/>
            <w:shd w:val="clear" w:color="auto" w:fill="auto"/>
            <w:vAlign w:val="bottom"/>
          </w:tcPr>
          <w:p w14:paraId="392C4D26" w14:textId="77777777" w:rsidR="00980E5F" w:rsidRDefault="00980E5F">
            <w:pPr>
              <w:rPr>
                <w:rFonts w:ascii="宋体"/>
              </w:rPr>
            </w:pPr>
          </w:p>
        </w:tc>
        <w:tc>
          <w:tcPr>
            <w:tcW w:w="5" w:type="pct"/>
            <w:shd w:val="clear" w:color="auto" w:fill="auto"/>
            <w:vAlign w:val="bottom"/>
          </w:tcPr>
          <w:p w14:paraId="392C4D27" w14:textId="77777777" w:rsidR="00980E5F" w:rsidRDefault="00980E5F">
            <w:pPr>
              <w:rPr>
                <w:rFonts w:ascii="宋体"/>
              </w:rPr>
            </w:pPr>
          </w:p>
        </w:tc>
        <w:tc>
          <w:tcPr>
            <w:tcW w:w="50" w:type="pct"/>
            <w:shd w:val="clear" w:color="auto" w:fill="auto"/>
            <w:vAlign w:val="bottom"/>
          </w:tcPr>
          <w:p w14:paraId="392C4D28" w14:textId="77777777" w:rsidR="00980E5F" w:rsidRDefault="00980E5F">
            <w:pPr>
              <w:rPr>
                <w:rFonts w:ascii="宋体"/>
              </w:rPr>
            </w:pPr>
          </w:p>
        </w:tc>
        <w:tc>
          <w:tcPr>
            <w:tcW w:w="273" w:type="pct"/>
            <w:shd w:val="clear" w:color="auto" w:fill="auto"/>
            <w:vAlign w:val="bottom"/>
          </w:tcPr>
          <w:p w14:paraId="392C4D29" w14:textId="77777777" w:rsidR="00980E5F" w:rsidRDefault="00980E5F">
            <w:pPr>
              <w:rPr>
                <w:rFonts w:ascii="宋体"/>
              </w:rPr>
            </w:pPr>
          </w:p>
        </w:tc>
        <w:tc>
          <w:tcPr>
            <w:tcW w:w="5" w:type="pct"/>
            <w:shd w:val="clear" w:color="auto" w:fill="auto"/>
            <w:vAlign w:val="bottom"/>
          </w:tcPr>
          <w:p w14:paraId="392C4D2A" w14:textId="77777777" w:rsidR="00980E5F" w:rsidRDefault="00980E5F">
            <w:pPr>
              <w:rPr>
                <w:rFonts w:ascii="宋体"/>
              </w:rPr>
            </w:pPr>
          </w:p>
        </w:tc>
        <w:tc>
          <w:tcPr>
            <w:tcW w:w="5" w:type="pct"/>
            <w:shd w:val="clear" w:color="auto" w:fill="auto"/>
            <w:vAlign w:val="bottom"/>
          </w:tcPr>
          <w:p w14:paraId="392C4D2B" w14:textId="77777777" w:rsidR="00980E5F" w:rsidRDefault="00980E5F">
            <w:pPr>
              <w:rPr>
                <w:rFonts w:ascii="宋体"/>
              </w:rPr>
            </w:pPr>
          </w:p>
        </w:tc>
        <w:tc>
          <w:tcPr>
            <w:tcW w:w="19" w:type="pct"/>
            <w:shd w:val="clear" w:color="auto" w:fill="auto"/>
            <w:vAlign w:val="bottom"/>
          </w:tcPr>
          <w:p w14:paraId="392C4D2C" w14:textId="77777777" w:rsidR="00980E5F" w:rsidRDefault="00980E5F">
            <w:pPr>
              <w:rPr>
                <w:rFonts w:ascii="宋体"/>
              </w:rPr>
            </w:pPr>
          </w:p>
        </w:tc>
        <w:tc>
          <w:tcPr>
            <w:tcW w:w="5" w:type="pct"/>
            <w:shd w:val="clear" w:color="auto" w:fill="auto"/>
            <w:vAlign w:val="bottom"/>
          </w:tcPr>
          <w:p w14:paraId="392C4D2D" w14:textId="77777777" w:rsidR="00980E5F" w:rsidRDefault="00980E5F">
            <w:pPr>
              <w:rPr>
                <w:rFonts w:ascii="宋体"/>
              </w:rPr>
            </w:pPr>
          </w:p>
        </w:tc>
        <w:tc>
          <w:tcPr>
            <w:tcW w:w="50" w:type="pct"/>
            <w:shd w:val="clear" w:color="auto" w:fill="auto"/>
            <w:vAlign w:val="bottom"/>
          </w:tcPr>
          <w:p w14:paraId="392C4D2E" w14:textId="77777777" w:rsidR="00980E5F" w:rsidRDefault="00980E5F">
            <w:pPr>
              <w:rPr>
                <w:rFonts w:ascii="宋体"/>
              </w:rPr>
            </w:pPr>
          </w:p>
        </w:tc>
        <w:tc>
          <w:tcPr>
            <w:tcW w:w="412" w:type="pct"/>
            <w:shd w:val="clear" w:color="auto" w:fill="auto"/>
            <w:vAlign w:val="bottom"/>
          </w:tcPr>
          <w:p w14:paraId="392C4D2F" w14:textId="77777777" w:rsidR="00980E5F" w:rsidRDefault="00980E5F">
            <w:pPr>
              <w:rPr>
                <w:rFonts w:ascii="宋体"/>
              </w:rPr>
            </w:pPr>
          </w:p>
        </w:tc>
        <w:tc>
          <w:tcPr>
            <w:tcW w:w="5" w:type="pct"/>
            <w:shd w:val="clear" w:color="auto" w:fill="auto"/>
            <w:vAlign w:val="bottom"/>
          </w:tcPr>
          <w:p w14:paraId="392C4D30" w14:textId="77777777" w:rsidR="00980E5F" w:rsidRDefault="00980E5F">
            <w:pPr>
              <w:rPr>
                <w:rFonts w:ascii="宋体"/>
              </w:rPr>
            </w:pPr>
          </w:p>
        </w:tc>
        <w:tc>
          <w:tcPr>
            <w:tcW w:w="5" w:type="pct"/>
            <w:shd w:val="clear" w:color="auto" w:fill="auto"/>
            <w:vAlign w:val="bottom"/>
          </w:tcPr>
          <w:p w14:paraId="392C4D31" w14:textId="77777777" w:rsidR="00980E5F" w:rsidRDefault="00980E5F">
            <w:pPr>
              <w:rPr>
                <w:rFonts w:ascii="宋体"/>
              </w:rPr>
            </w:pPr>
          </w:p>
        </w:tc>
        <w:tc>
          <w:tcPr>
            <w:tcW w:w="19" w:type="pct"/>
            <w:shd w:val="clear" w:color="auto" w:fill="auto"/>
            <w:vAlign w:val="bottom"/>
          </w:tcPr>
          <w:p w14:paraId="392C4D32" w14:textId="77777777" w:rsidR="00980E5F" w:rsidRDefault="00980E5F">
            <w:pPr>
              <w:rPr>
                <w:rFonts w:ascii="宋体"/>
              </w:rPr>
            </w:pPr>
          </w:p>
        </w:tc>
        <w:tc>
          <w:tcPr>
            <w:tcW w:w="5" w:type="pct"/>
            <w:shd w:val="clear" w:color="auto" w:fill="auto"/>
            <w:vAlign w:val="bottom"/>
          </w:tcPr>
          <w:p w14:paraId="392C4D33" w14:textId="77777777" w:rsidR="00980E5F" w:rsidRDefault="00980E5F">
            <w:pPr>
              <w:rPr>
                <w:rFonts w:ascii="宋体"/>
              </w:rPr>
            </w:pPr>
          </w:p>
        </w:tc>
      </w:tr>
      <w:tr w:rsidR="00980E5F" w14:paraId="392C4D3A" w14:textId="77777777">
        <w:tc>
          <w:tcPr>
            <w:tcW w:w="0" w:type="auto"/>
            <w:gridSpan w:val="3"/>
            <w:shd w:val="clear" w:color="auto" w:fill="auto"/>
            <w:tcMar>
              <w:top w:w="0" w:type="dxa"/>
              <w:left w:w="20" w:type="dxa"/>
              <w:bottom w:w="0" w:type="dxa"/>
              <w:right w:w="20" w:type="dxa"/>
            </w:tcMar>
            <w:vAlign w:val="bottom"/>
          </w:tcPr>
          <w:p w14:paraId="392C4D35" w14:textId="77777777" w:rsidR="00980E5F" w:rsidRDefault="00980E5F">
            <w:pPr>
              <w:rPr>
                <w:rFonts w:ascii="宋体"/>
              </w:rPr>
            </w:pPr>
          </w:p>
        </w:tc>
        <w:tc>
          <w:tcPr>
            <w:tcW w:w="0" w:type="auto"/>
            <w:gridSpan w:val="53"/>
            <w:shd w:val="clear" w:color="auto" w:fill="auto"/>
            <w:tcMar>
              <w:top w:w="40" w:type="dxa"/>
              <w:left w:w="20" w:type="dxa"/>
              <w:bottom w:w="40" w:type="dxa"/>
              <w:right w:w="20" w:type="dxa"/>
            </w:tcMar>
            <w:vAlign w:val="bottom"/>
          </w:tcPr>
          <w:p w14:paraId="392C4D36" w14:textId="77777777" w:rsidR="00980E5F" w:rsidRDefault="00483613">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392C4D37" w14:textId="77777777" w:rsidR="00980E5F" w:rsidRDefault="00980E5F">
            <w:pPr>
              <w:rPr>
                <w:rFonts w:ascii="宋体"/>
              </w:rPr>
            </w:pPr>
          </w:p>
        </w:tc>
        <w:tc>
          <w:tcPr>
            <w:tcW w:w="0" w:type="auto"/>
            <w:shd w:val="clear" w:color="auto" w:fill="auto"/>
            <w:vAlign w:val="bottom"/>
          </w:tcPr>
          <w:p w14:paraId="392C4D38" w14:textId="77777777" w:rsidR="00980E5F" w:rsidRDefault="00980E5F">
            <w:pPr>
              <w:rPr>
                <w:rFonts w:ascii="宋体"/>
              </w:rPr>
            </w:pPr>
          </w:p>
        </w:tc>
        <w:tc>
          <w:tcPr>
            <w:tcW w:w="0" w:type="auto"/>
            <w:shd w:val="clear" w:color="auto" w:fill="auto"/>
            <w:vAlign w:val="bottom"/>
          </w:tcPr>
          <w:p w14:paraId="392C4D39" w14:textId="77777777" w:rsidR="00980E5F" w:rsidRDefault="00980E5F">
            <w:pPr>
              <w:rPr>
                <w:rFonts w:ascii="宋体"/>
              </w:rPr>
            </w:pPr>
          </w:p>
        </w:tc>
      </w:tr>
      <w:tr w:rsidR="00980E5F" w14:paraId="392C4D40" w14:textId="77777777">
        <w:tc>
          <w:tcPr>
            <w:tcW w:w="0" w:type="auto"/>
            <w:gridSpan w:val="3"/>
            <w:shd w:val="clear" w:color="auto" w:fill="auto"/>
            <w:tcMar>
              <w:top w:w="40" w:type="dxa"/>
              <w:left w:w="20" w:type="dxa"/>
              <w:bottom w:w="40" w:type="dxa"/>
              <w:right w:w="20" w:type="dxa"/>
            </w:tcMar>
            <w:vAlign w:val="bottom"/>
          </w:tcPr>
          <w:p w14:paraId="392C4D3B" w14:textId="77777777" w:rsidR="00980E5F" w:rsidRDefault="00483613">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92C4D3C" w14:textId="77777777" w:rsidR="00980E5F" w:rsidRDefault="00483613">
            <w:pPr>
              <w:jc w:val="center"/>
              <w:textAlignment w:val="bottom"/>
            </w:pPr>
            <w:r>
              <w:rPr>
                <w:rFonts w:ascii="Arial" w:eastAsia="宋体" w:hAnsi="Arial" w:cs="Arial"/>
                <w:b/>
                <w:bCs/>
                <w:color w:val="000000"/>
                <w:sz w:val="12"/>
                <w:szCs w:val="12"/>
              </w:rPr>
              <w:t>Six Months Ended June 30, 2022</w:t>
            </w:r>
          </w:p>
        </w:tc>
        <w:tc>
          <w:tcPr>
            <w:tcW w:w="0" w:type="auto"/>
            <w:shd w:val="clear" w:color="auto" w:fill="auto"/>
            <w:vAlign w:val="bottom"/>
          </w:tcPr>
          <w:p w14:paraId="392C4D3D" w14:textId="77777777" w:rsidR="00980E5F" w:rsidRDefault="00980E5F">
            <w:pPr>
              <w:rPr>
                <w:rFonts w:ascii="宋体"/>
              </w:rPr>
            </w:pPr>
          </w:p>
        </w:tc>
        <w:tc>
          <w:tcPr>
            <w:tcW w:w="0" w:type="auto"/>
            <w:shd w:val="clear" w:color="auto" w:fill="auto"/>
            <w:vAlign w:val="bottom"/>
          </w:tcPr>
          <w:p w14:paraId="392C4D3E" w14:textId="77777777" w:rsidR="00980E5F" w:rsidRDefault="00980E5F">
            <w:pPr>
              <w:rPr>
                <w:rFonts w:ascii="宋体"/>
              </w:rPr>
            </w:pPr>
          </w:p>
        </w:tc>
        <w:tc>
          <w:tcPr>
            <w:tcW w:w="0" w:type="auto"/>
            <w:shd w:val="clear" w:color="auto" w:fill="auto"/>
            <w:vAlign w:val="bottom"/>
          </w:tcPr>
          <w:p w14:paraId="392C4D3F" w14:textId="77777777" w:rsidR="00980E5F" w:rsidRDefault="00980E5F">
            <w:pPr>
              <w:rPr>
                <w:rFonts w:ascii="宋体"/>
              </w:rPr>
            </w:pPr>
          </w:p>
        </w:tc>
      </w:tr>
      <w:tr w:rsidR="00980E5F" w14:paraId="392C4D59" w14:textId="77777777">
        <w:trPr>
          <w:trHeight w:val="400"/>
        </w:trPr>
        <w:tc>
          <w:tcPr>
            <w:tcW w:w="0" w:type="auto"/>
            <w:gridSpan w:val="3"/>
            <w:shd w:val="clear" w:color="auto" w:fill="auto"/>
            <w:tcMar>
              <w:top w:w="40" w:type="dxa"/>
              <w:left w:w="20" w:type="dxa"/>
              <w:bottom w:w="40" w:type="dxa"/>
              <w:right w:w="20" w:type="dxa"/>
            </w:tcMar>
            <w:vAlign w:val="bottom"/>
          </w:tcPr>
          <w:p w14:paraId="392C4D41" w14:textId="77777777" w:rsidR="00980E5F" w:rsidRDefault="00483613">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42" w14:textId="77777777" w:rsidR="00980E5F" w:rsidRDefault="00483613">
            <w:pPr>
              <w:jc w:val="center"/>
              <w:textAlignment w:val="bottom"/>
            </w:pPr>
            <w:r>
              <w:rPr>
                <w:rFonts w:ascii="Arial" w:eastAsia="宋体" w:hAnsi="Arial" w:cs="Arial"/>
                <w:b/>
                <w:bCs/>
                <w:color w:val="000000"/>
                <w:sz w:val="12"/>
                <w:szCs w:val="12"/>
              </w:rPr>
              <w:t>Fair Value as of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43"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4D44" w14:textId="77777777" w:rsidR="00980E5F" w:rsidRDefault="00483613">
            <w:pPr>
              <w:jc w:val="center"/>
              <w:textAlignment w:val="bottom"/>
            </w:pPr>
            <w:r>
              <w:rPr>
                <w:rFonts w:ascii="Arial" w:eastAsia="宋体" w:hAnsi="Arial" w:cs="Arial"/>
                <w:b/>
                <w:bCs/>
                <w:color w:val="000000"/>
                <w:sz w:val="12"/>
                <w:szCs w:val="12"/>
              </w:rPr>
              <w:t>Total Realized and</w:t>
            </w:r>
          </w:p>
          <w:p w14:paraId="392C4D45" w14:textId="77777777" w:rsidR="00980E5F" w:rsidRDefault="00483613">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46"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47" w14:textId="77777777" w:rsidR="00980E5F" w:rsidRDefault="00483613">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48" w14:textId="77777777" w:rsidR="00980E5F" w:rsidRDefault="00980E5F">
            <w:pPr>
              <w:rPr>
                <w:rFonts w:ascii="宋体"/>
              </w:rPr>
            </w:pPr>
          </w:p>
        </w:tc>
        <w:tc>
          <w:tcPr>
            <w:tcW w:w="0" w:type="auto"/>
            <w:shd w:val="clear" w:color="auto" w:fill="auto"/>
            <w:vAlign w:val="bottom"/>
          </w:tcPr>
          <w:p w14:paraId="392C4D49" w14:textId="77777777" w:rsidR="00980E5F" w:rsidRDefault="00980E5F">
            <w:pPr>
              <w:rPr>
                <w:rFonts w:ascii="宋体"/>
                <w:vanish/>
              </w:rPr>
            </w:pPr>
          </w:p>
        </w:tc>
        <w:tc>
          <w:tcPr>
            <w:tcW w:w="0" w:type="auto"/>
            <w:shd w:val="clear" w:color="auto" w:fill="auto"/>
            <w:vAlign w:val="bottom"/>
          </w:tcPr>
          <w:p w14:paraId="392C4D4A" w14:textId="77777777" w:rsidR="00980E5F" w:rsidRDefault="00980E5F">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4B" w14:textId="77777777" w:rsidR="00980E5F" w:rsidRDefault="00483613">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4C"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4D" w14:textId="77777777" w:rsidR="00980E5F" w:rsidRDefault="00483613">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4E"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4F" w14:textId="77777777" w:rsidR="00980E5F" w:rsidRDefault="00483613">
            <w:pPr>
              <w:jc w:val="center"/>
              <w:textAlignment w:val="bottom"/>
            </w:pPr>
            <w:r>
              <w:rPr>
                <w:rFonts w:ascii="Arial" w:eastAsia="宋体" w:hAnsi="Arial" w:cs="Arial"/>
                <w:b/>
                <w:bCs/>
                <w:color w:val="000000"/>
                <w:sz w:val="12"/>
                <w:szCs w:val="12"/>
              </w:rPr>
              <w:t xml:space="preserve">Transfers into </w:t>
            </w:r>
          </w:p>
          <w:p w14:paraId="392C4D50" w14:textId="77777777" w:rsidR="00980E5F" w:rsidRDefault="00483613">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51"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52" w14:textId="77777777" w:rsidR="00980E5F" w:rsidRDefault="00483613">
            <w:pPr>
              <w:jc w:val="center"/>
              <w:textAlignment w:val="bottom"/>
            </w:pPr>
            <w:r>
              <w:rPr>
                <w:rFonts w:ascii="Arial" w:eastAsia="宋体" w:hAnsi="Arial" w:cs="Arial"/>
                <w:b/>
                <w:bCs/>
                <w:color w:val="000000"/>
                <w:sz w:val="12"/>
                <w:szCs w:val="12"/>
              </w:rPr>
              <w:t xml:space="preserve">Transfers </w:t>
            </w:r>
          </w:p>
          <w:p w14:paraId="392C4D53" w14:textId="77777777" w:rsidR="00980E5F" w:rsidRDefault="00483613">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54"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4D55" w14:textId="77777777" w:rsidR="00980E5F" w:rsidRDefault="00483613">
            <w:pPr>
              <w:jc w:val="center"/>
              <w:textAlignment w:val="bottom"/>
            </w:pPr>
            <w:r>
              <w:rPr>
                <w:rFonts w:ascii="Arial" w:eastAsia="宋体" w:hAnsi="Arial" w:cs="Arial"/>
                <w:b/>
                <w:bCs/>
                <w:color w:val="000000"/>
                <w:sz w:val="12"/>
                <w:szCs w:val="12"/>
              </w:rPr>
              <w:t>Fair Value </w:t>
            </w:r>
          </w:p>
          <w:p w14:paraId="392C4D56" w14:textId="77777777" w:rsidR="00980E5F" w:rsidRDefault="00483613">
            <w:pPr>
              <w:jc w:val="center"/>
              <w:textAlignment w:val="bottom"/>
            </w:pPr>
            <w:r>
              <w:rPr>
                <w:rFonts w:ascii="Arial" w:eastAsia="宋体" w:hAnsi="Arial" w:cs="Arial"/>
                <w:b/>
                <w:bCs/>
                <w:color w:val="000000"/>
                <w:sz w:val="12"/>
                <w:szCs w:val="12"/>
              </w:rPr>
              <w:t>as of June 30, 2022</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4D57" w14:textId="77777777" w:rsidR="00980E5F" w:rsidRDefault="00980E5F">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92C4D58" w14:textId="77777777" w:rsidR="00980E5F" w:rsidRDefault="00483613">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2022</w:t>
            </w:r>
          </w:p>
        </w:tc>
      </w:tr>
      <w:tr w:rsidR="00980E5F" w14:paraId="392C4D6F" w14:textId="77777777">
        <w:trPr>
          <w:trHeight w:val="720"/>
        </w:trPr>
        <w:tc>
          <w:tcPr>
            <w:tcW w:w="0" w:type="auto"/>
            <w:gridSpan w:val="3"/>
            <w:shd w:val="clear" w:color="auto" w:fill="auto"/>
            <w:tcMar>
              <w:top w:w="40" w:type="dxa"/>
              <w:left w:w="20" w:type="dxa"/>
              <w:bottom w:w="40" w:type="dxa"/>
              <w:right w:w="20" w:type="dxa"/>
            </w:tcMar>
            <w:vAlign w:val="bottom"/>
          </w:tcPr>
          <w:p w14:paraId="392C4D5A" w14:textId="77777777" w:rsidR="00980E5F" w:rsidRDefault="00483613">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5B"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D5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D5D" w14:textId="77777777" w:rsidR="00980E5F" w:rsidRDefault="00483613">
            <w:pPr>
              <w:jc w:val="center"/>
              <w:textAlignment w:val="bottom"/>
            </w:pPr>
            <w:r>
              <w:rPr>
                <w:rFonts w:ascii="Arial" w:eastAsia="宋体" w:hAnsi="Arial" w:cs="Arial"/>
                <w:b/>
                <w:bCs/>
                <w:color w:val="000000"/>
                <w:sz w:val="12"/>
                <w:szCs w:val="12"/>
              </w:rPr>
              <w:t>Recorded in 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5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4D5F" w14:textId="77777777" w:rsidR="00980E5F" w:rsidRDefault="00483613">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392C4D60"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1"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D62" w14:textId="77777777" w:rsidR="00980E5F" w:rsidRDefault="00980E5F">
            <w:pPr>
              <w:rPr>
                <w:rFonts w:ascii="宋体"/>
              </w:rPr>
            </w:pPr>
          </w:p>
        </w:tc>
        <w:tc>
          <w:tcPr>
            <w:tcW w:w="0" w:type="auto"/>
            <w:shd w:val="clear" w:color="auto" w:fill="auto"/>
            <w:vAlign w:val="bottom"/>
          </w:tcPr>
          <w:p w14:paraId="392C4D63" w14:textId="77777777" w:rsidR="00980E5F" w:rsidRDefault="00980E5F">
            <w:pPr>
              <w:rPr>
                <w:rFonts w:ascii="宋体"/>
                <w:vanish/>
              </w:rPr>
            </w:pPr>
          </w:p>
        </w:tc>
        <w:tc>
          <w:tcPr>
            <w:tcW w:w="0" w:type="auto"/>
            <w:shd w:val="clear" w:color="auto" w:fill="auto"/>
            <w:vAlign w:val="bottom"/>
          </w:tcPr>
          <w:p w14:paraId="392C4D64" w14:textId="77777777" w:rsidR="00980E5F" w:rsidRDefault="00980E5F">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5"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D66"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7"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4D68"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6A"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6C"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4D6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6E" w14:textId="77777777" w:rsidR="00980E5F" w:rsidRDefault="00980E5F">
            <w:pPr>
              <w:rPr>
                <w:rFonts w:ascii="宋体"/>
              </w:rPr>
            </w:pPr>
          </w:p>
        </w:tc>
      </w:tr>
      <w:tr w:rsidR="00980E5F" w14:paraId="392C4D86" w14:textId="77777777">
        <w:tc>
          <w:tcPr>
            <w:tcW w:w="0" w:type="auto"/>
            <w:gridSpan w:val="3"/>
            <w:shd w:val="clear" w:color="auto" w:fill="auto"/>
            <w:tcMar>
              <w:top w:w="40" w:type="dxa"/>
              <w:left w:w="20" w:type="dxa"/>
              <w:bottom w:w="40" w:type="dxa"/>
              <w:right w:w="20" w:type="dxa"/>
            </w:tcMar>
            <w:vAlign w:val="center"/>
          </w:tcPr>
          <w:p w14:paraId="392C4D70" w14:textId="77777777" w:rsidR="00980E5F" w:rsidRDefault="00483613">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8" w14:textId="77777777" w:rsidR="00980E5F" w:rsidRDefault="00980E5F">
            <w:pPr>
              <w:rPr>
                <w:rFonts w:ascii="宋体"/>
              </w:rPr>
            </w:pPr>
          </w:p>
        </w:tc>
        <w:tc>
          <w:tcPr>
            <w:tcW w:w="0" w:type="auto"/>
            <w:shd w:val="clear" w:color="auto" w:fill="auto"/>
            <w:vAlign w:val="bottom"/>
          </w:tcPr>
          <w:p w14:paraId="392C4D79" w14:textId="77777777" w:rsidR="00980E5F" w:rsidRDefault="00980E5F">
            <w:pPr>
              <w:rPr>
                <w:rFonts w:ascii="宋体"/>
                <w:vanish/>
              </w:rPr>
            </w:pPr>
          </w:p>
        </w:tc>
        <w:tc>
          <w:tcPr>
            <w:tcW w:w="0" w:type="auto"/>
            <w:shd w:val="clear" w:color="auto" w:fill="auto"/>
            <w:vAlign w:val="bottom"/>
          </w:tcPr>
          <w:p w14:paraId="392C4D7A"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7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7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8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8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D8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4D83"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4D84"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4D85" w14:textId="77777777" w:rsidR="00980E5F" w:rsidRDefault="00980E5F">
            <w:pPr>
              <w:rPr>
                <w:rFonts w:ascii="宋体"/>
              </w:rPr>
            </w:pPr>
          </w:p>
        </w:tc>
      </w:tr>
      <w:tr w:rsidR="00980E5F" w14:paraId="392C4D9D" w14:textId="77777777">
        <w:trPr>
          <w:hidden/>
        </w:trPr>
        <w:tc>
          <w:tcPr>
            <w:tcW w:w="0" w:type="auto"/>
            <w:gridSpan w:val="3"/>
            <w:shd w:val="clear" w:color="auto" w:fill="auto"/>
            <w:vAlign w:val="bottom"/>
          </w:tcPr>
          <w:p w14:paraId="392C4D87" w14:textId="77777777" w:rsidR="00980E5F" w:rsidRDefault="00980E5F">
            <w:pPr>
              <w:rPr>
                <w:rFonts w:ascii="宋体"/>
                <w:vanish/>
              </w:rPr>
            </w:pPr>
          </w:p>
        </w:tc>
        <w:tc>
          <w:tcPr>
            <w:tcW w:w="0" w:type="auto"/>
            <w:gridSpan w:val="3"/>
            <w:shd w:val="clear" w:color="auto" w:fill="auto"/>
            <w:vAlign w:val="bottom"/>
          </w:tcPr>
          <w:p w14:paraId="392C4D88" w14:textId="77777777" w:rsidR="00980E5F" w:rsidRDefault="00980E5F">
            <w:pPr>
              <w:rPr>
                <w:rFonts w:ascii="宋体"/>
                <w:vanish/>
              </w:rPr>
            </w:pPr>
          </w:p>
        </w:tc>
        <w:tc>
          <w:tcPr>
            <w:tcW w:w="0" w:type="auto"/>
            <w:gridSpan w:val="3"/>
            <w:shd w:val="clear" w:color="auto" w:fill="auto"/>
            <w:vAlign w:val="bottom"/>
          </w:tcPr>
          <w:p w14:paraId="392C4D89" w14:textId="77777777" w:rsidR="00980E5F" w:rsidRDefault="00980E5F">
            <w:pPr>
              <w:rPr>
                <w:rFonts w:ascii="宋体"/>
                <w:vanish/>
              </w:rPr>
            </w:pPr>
          </w:p>
        </w:tc>
        <w:tc>
          <w:tcPr>
            <w:tcW w:w="0" w:type="auto"/>
            <w:gridSpan w:val="3"/>
            <w:shd w:val="clear" w:color="auto" w:fill="auto"/>
            <w:vAlign w:val="bottom"/>
          </w:tcPr>
          <w:p w14:paraId="392C4D8A" w14:textId="77777777" w:rsidR="00980E5F" w:rsidRDefault="00980E5F">
            <w:pPr>
              <w:rPr>
                <w:rFonts w:ascii="宋体"/>
                <w:vanish/>
              </w:rPr>
            </w:pPr>
          </w:p>
        </w:tc>
        <w:tc>
          <w:tcPr>
            <w:tcW w:w="0" w:type="auto"/>
            <w:gridSpan w:val="3"/>
            <w:shd w:val="clear" w:color="auto" w:fill="auto"/>
            <w:vAlign w:val="bottom"/>
          </w:tcPr>
          <w:p w14:paraId="392C4D8B" w14:textId="77777777" w:rsidR="00980E5F" w:rsidRDefault="00980E5F">
            <w:pPr>
              <w:rPr>
                <w:rFonts w:ascii="宋体"/>
                <w:vanish/>
              </w:rPr>
            </w:pPr>
          </w:p>
        </w:tc>
        <w:tc>
          <w:tcPr>
            <w:tcW w:w="0" w:type="auto"/>
            <w:gridSpan w:val="3"/>
            <w:shd w:val="clear" w:color="auto" w:fill="auto"/>
            <w:vAlign w:val="bottom"/>
          </w:tcPr>
          <w:p w14:paraId="392C4D8C" w14:textId="77777777" w:rsidR="00980E5F" w:rsidRDefault="00980E5F">
            <w:pPr>
              <w:rPr>
                <w:rFonts w:ascii="宋体"/>
                <w:vanish/>
              </w:rPr>
            </w:pPr>
          </w:p>
        </w:tc>
        <w:tc>
          <w:tcPr>
            <w:tcW w:w="0" w:type="auto"/>
            <w:gridSpan w:val="3"/>
            <w:shd w:val="clear" w:color="auto" w:fill="auto"/>
            <w:vAlign w:val="bottom"/>
          </w:tcPr>
          <w:p w14:paraId="392C4D8D" w14:textId="77777777" w:rsidR="00980E5F" w:rsidRDefault="00980E5F">
            <w:pPr>
              <w:rPr>
                <w:rFonts w:ascii="宋体"/>
                <w:vanish/>
              </w:rPr>
            </w:pPr>
          </w:p>
        </w:tc>
        <w:tc>
          <w:tcPr>
            <w:tcW w:w="0" w:type="auto"/>
            <w:gridSpan w:val="3"/>
            <w:shd w:val="clear" w:color="auto" w:fill="auto"/>
            <w:vAlign w:val="bottom"/>
          </w:tcPr>
          <w:p w14:paraId="392C4D8E" w14:textId="77777777" w:rsidR="00980E5F" w:rsidRDefault="00980E5F">
            <w:pPr>
              <w:rPr>
                <w:rFonts w:ascii="宋体"/>
                <w:vanish/>
              </w:rPr>
            </w:pPr>
          </w:p>
        </w:tc>
        <w:tc>
          <w:tcPr>
            <w:tcW w:w="0" w:type="auto"/>
            <w:gridSpan w:val="3"/>
            <w:shd w:val="clear" w:color="auto" w:fill="auto"/>
            <w:vAlign w:val="bottom"/>
          </w:tcPr>
          <w:p w14:paraId="392C4D8F" w14:textId="77777777" w:rsidR="00980E5F" w:rsidRDefault="00980E5F">
            <w:pPr>
              <w:rPr>
                <w:rFonts w:ascii="宋体"/>
                <w:vanish/>
              </w:rPr>
            </w:pPr>
          </w:p>
        </w:tc>
        <w:tc>
          <w:tcPr>
            <w:tcW w:w="0" w:type="auto"/>
            <w:shd w:val="clear" w:color="auto" w:fill="auto"/>
            <w:vAlign w:val="bottom"/>
          </w:tcPr>
          <w:p w14:paraId="392C4D90" w14:textId="77777777" w:rsidR="00980E5F" w:rsidRDefault="00980E5F">
            <w:pPr>
              <w:rPr>
                <w:rFonts w:ascii="宋体"/>
                <w:vanish/>
              </w:rPr>
            </w:pPr>
          </w:p>
        </w:tc>
        <w:tc>
          <w:tcPr>
            <w:tcW w:w="0" w:type="auto"/>
            <w:shd w:val="clear" w:color="auto" w:fill="auto"/>
            <w:vAlign w:val="bottom"/>
          </w:tcPr>
          <w:p w14:paraId="392C4D91" w14:textId="77777777" w:rsidR="00980E5F" w:rsidRDefault="00980E5F">
            <w:pPr>
              <w:rPr>
                <w:rFonts w:ascii="宋体"/>
                <w:vanish/>
              </w:rPr>
            </w:pPr>
          </w:p>
        </w:tc>
        <w:tc>
          <w:tcPr>
            <w:tcW w:w="0" w:type="auto"/>
            <w:gridSpan w:val="3"/>
            <w:shd w:val="clear" w:color="auto" w:fill="auto"/>
            <w:vAlign w:val="bottom"/>
          </w:tcPr>
          <w:p w14:paraId="392C4D92" w14:textId="77777777" w:rsidR="00980E5F" w:rsidRDefault="00980E5F">
            <w:pPr>
              <w:rPr>
                <w:rFonts w:ascii="宋体"/>
                <w:vanish/>
              </w:rPr>
            </w:pPr>
          </w:p>
        </w:tc>
        <w:tc>
          <w:tcPr>
            <w:tcW w:w="0" w:type="auto"/>
            <w:gridSpan w:val="3"/>
            <w:shd w:val="clear" w:color="auto" w:fill="auto"/>
            <w:vAlign w:val="bottom"/>
          </w:tcPr>
          <w:p w14:paraId="392C4D93" w14:textId="77777777" w:rsidR="00980E5F" w:rsidRDefault="00980E5F">
            <w:pPr>
              <w:rPr>
                <w:rFonts w:ascii="宋体"/>
                <w:vanish/>
              </w:rPr>
            </w:pPr>
          </w:p>
        </w:tc>
        <w:tc>
          <w:tcPr>
            <w:tcW w:w="0" w:type="auto"/>
            <w:gridSpan w:val="3"/>
            <w:shd w:val="clear" w:color="auto" w:fill="auto"/>
            <w:vAlign w:val="bottom"/>
          </w:tcPr>
          <w:p w14:paraId="392C4D94" w14:textId="77777777" w:rsidR="00980E5F" w:rsidRDefault="00980E5F">
            <w:pPr>
              <w:rPr>
                <w:rFonts w:ascii="宋体"/>
                <w:vanish/>
              </w:rPr>
            </w:pPr>
          </w:p>
        </w:tc>
        <w:tc>
          <w:tcPr>
            <w:tcW w:w="0" w:type="auto"/>
            <w:gridSpan w:val="3"/>
            <w:shd w:val="clear" w:color="auto" w:fill="auto"/>
            <w:vAlign w:val="bottom"/>
          </w:tcPr>
          <w:p w14:paraId="392C4D95" w14:textId="77777777" w:rsidR="00980E5F" w:rsidRDefault="00980E5F">
            <w:pPr>
              <w:rPr>
                <w:rFonts w:ascii="宋体"/>
                <w:vanish/>
              </w:rPr>
            </w:pPr>
          </w:p>
        </w:tc>
        <w:tc>
          <w:tcPr>
            <w:tcW w:w="0" w:type="auto"/>
            <w:gridSpan w:val="3"/>
            <w:shd w:val="clear" w:color="auto" w:fill="auto"/>
            <w:vAlign w:val="bottom"/>
          </w:tcPr>
          <w:p w14:paraId="392C4D96" w14:textId="77777777" w:rsidR="00980E5F" w:rsidRDefault="00980E5F">
            <w:pPr>
              <w:rPr>
                <w:rFonts w:ascii="宋体"/>
                <w:vanish/>
              </w:rPr>
            </w:pPr>
          </w:p>
        </w:tc>
        <w:tc>
          <w:tcPr>
            <w:tcW w:w="0" w:type="auto"/>
            <w:gridSpan w:val="3"/>
            <w:shd w:val="clear" w:color="auto" w:fill="auto"/>
            <w:vAlign w:val="bottom"/>
          </w:tcPr>
          <w:p w14:paraId="392C4D97" w14:textId="77777777" w:rsidR="00980E5F" w:rsidRDefault="00980E5F">
            <w:pPr>
              <w:rPr>
                <w:rFonts w:ascii="宋体"/>
                <w:vanish/>
              </w:rPr>
            </w:pPr>
          </w:p>
        </w:tc>
        <w:tc>
          <w:tcPr>
            <w:tcW w:w="0" w:type="auto"/>
            <w:gridSpan w:val="3"/>
            <w:shd w:val="clear" w:color="auto" w:fill="auto"/>
            <w:vAlign w:val="bottom"/>
          </w:tcPr>
          <w:p w14:paraId="392C4D98" w14:textId="77777777" w:rsidR="00980E5F" w:rsidRDefault="00980E5F">
            <w:pPr>
              <w:rPr>
                <w:rFonts w:ascii="宋体"/>
                <w:vanish/>
              </w:rPr>
            </w:pPr>
          </w:p>
        </w:tc>
        <w:tc>
          <w:tcPr>
            <w:tcW w:w="0" w:type="auto"/>
            <w:gridSpan w:val="3"/>
            <w:shd w:val="clear" w:color="auto" w:fill="auto"/>
            <w:vAlign w:val="bottom"/>
          </w:tcPr>
          <w:p w14:paraId="392C4D99" w14:textId="77777777" w:rsidR="00980E5F" w:rsidRDefault="00980E5F">
            <w:pPr>
              <w:rPr>
                <w:rFonts w:ascii="宋体"/>
                <w:vanish/>
              </w:rPr>
            </w:pPr>
          </w:p>
        </w:tc>
        <w:tc>
          <w:tcPr>
            <w:tcW w:w="0" w:type="auto"/>
            <w:gridSpan w:val="3"/>
            <w:shd w:val="clear" w:color="auto" w:fill="auto"/>
            <w:vAlign w:val="bottom"/>
          </w:tcPr>
          <w:p w14:paraId="392C4D9A" w14:textId="77777777" w:rsidR="00980E5F" w:rsidRDefault="00980E5F">
            <w:pPr>
              <w:rPr>
                <w:rFonts w:ascii="宋体"/>
                <w:vanish/>
              </w:rPr>
            </w:pPr>
          </w:p>
        </w:tc>
        <w:tc>
          <w:tcPr>
            <w:tcW w:w="0" w:type="auto"/>
            <w:gridSpan w:val="2"/>
            <w:shd w:val="clear" w:color="auto" w:fill="auto"/>
            <w:vAlign w:val="bottom"/>
          </w:tcPr>
          <w:p w14:paraId="392C4D9B" w14:textId="77777777" w:rsidR="00980E5F" w:rsidRDefault="00980E5F">
            <w:pPr>
              <w:rPr>
                <w:rFonts w:ascii="宋体"/>
                <w:vanish/>
              </w:rPr>
            </w:pPr>
          </w:p>
        </w:tc>
        <w:tc>
          <w:tcPr>
            <w:tcW w:w="0" w:type="auto"/>
            <w:shd w:val="clear" w:color="auto" w:fill="auto"/>
            <w:vAlign w:val="bottom"/>
          </w:tcPr>
          <w:p w14:paraId="392C4D9C" w14:textId="77777777" w:rsidR="00980E5F" w:rsidRDefault="00980E5F">
            <w:pPr>
              <w:rPr>
                <w:rFonts w:ascii="宋体"/>
                <w:vanish/>
              </w:rPr>
            </w:pPr>
          </w:p>
        </w:tc>
      </w:tr>
      <w:tr w:rsidR="00980E5F" w14:paraId="392C4DB4" w14:textId="77777777">
        <w:trPr>
          <w:hidden/>
        </w:trPr>
        <w:tc>
          <w:tcPr>
            <w:tcW w:w="0" w:type="auto"/>
            <w:gridSpan w:val="3"/>
            <w:shd w:val="clear" w:color="auto" w:fill="auto"/>
            <w:vAlign w:val="bottom"/>
          </w:tcPr>
          <w:p w14:paraId="392C4D9E" w14:textId="77777777" w:rsidR="00980E5F" w:rsidRDefault="00980E5F">
            <w:pPr>
              <w:rPr>
                <w:rFonts w:ascii="宋体"/>
                <w:vanish/>
              </w:rPr>
            </w:pPr>
          </w:p>
        </w:tc>
        <w:tc>
          <w:tcPr>
            <w:tcW w:w="0" w:type="auto"/>
            <w:gridSpan w:val="3"/>
            <w:shd w:val="clear" w:color="auto" w:fill="auto"/>
            <w:vAlign w:val="bottom"/>
          </w:tcPr>
          <w:p w14:paraId="392C4D9F" w14:textId="77777777" w:rsidR="00980E5F" w:rsidRDefault="00980E5F">
            <w:pPr>
              <w:rPr>
                <w:rFonts w:ascii="宋体"/>
                <w:vanish/>
              </w:rPr>
            </w:pPr>
          </w:p>
        </w:tc>
        <w:tc>
          <w:tcPr>
            <w:tcW w:w="0" w:type="auto"/>
            <w:gridSpan w:val="3"/>
            <w:shd w:val="clear" w:color="auto" w:fill="auto"/>
            <w:vAlign w:val="bottom"/>
          </w:tcPr>
          <w:p w14:paraId="392C4DA0" w14:textId="77777777" w:rsidR="00980E5F" w:rsidRDefault="00980E5F">
            <w:pPr>
              <w:rPr>
                <w:rFonts w:ascii="宋体"/>
                <w:vanish/>
              </w:rPr>
            </w:pPr>
          </w:p>
        </w:tc>
        <w:tc>
          <w:tcPr>
            <w:tcW w:w="0" w:type="auto"/>
            <w:gridSpan w:val="3"/>
            <w:shd w:val="clear" w:color="auto" w:fill="auto"/>
            <w:vAlign w:val="bottom"/>
          </w:tcPr>
          <w:p w14:paraId="392C4DA1" w14:textId="77777777" w:rsidR="00980E5F" w:rsidRDefault="00980E5F">
            <w:pPr>
              <w:rPr>
                <w:rFonts w:ascii="宋体"/>
                <w:vanish/>
              </w:rPr>
            </w:pPr>
          </w:p>
        </w:tc>
        <w:tc>
          <w:tcPr>
            <w:tcW w:w="0" w:type="auto"/>
            <w:gridSpan w:val="3"/>
            <w:shd w:val="clear" w:color="auto" w:fill="auto"/>
            <w:vAlign w:val="bottom"/>
          </w:tcPr>
          <w:p w14:paraId="392C4DA2" w14:textId="77777777" w:rsidR="00980E5F" w:rsidRDefault="00980E5F">
            <w:pPr>
              <w:rPr>
                <w:rFonts w:ascii="宋体"/>
                <w:vanish/>
              </w:rPr>
            </w:pPr>
          </w:p>
        </w:tc>
        <w:tc>
          <w:tcPr>
            <w:tcW w:w="0" w:type="auto"/>
            <w:gridSpan w:val="3"/>
            <w:shd w:val="clear" w:color="auto" w:fill="auto"/>
            <w:vAlign w:val="bottom"/>
          </w:tcPr>
          <w:p w14:paraId="392C4DA3" w14:textId="77777777" w:rsidR="00980E5F" w:rsidRDefault="00980E5F">
            <w:pPr>
              <w:rPr>
                <w:rFonts w:ascii="宋体"/>
                <w:vanish/>
              </w:rPr>
            </w:pPr>
          </w:p>
        </w:tc>
        <w:tc>
          <w:tcPr>
            <w:tcW w:w="0" w:type="auto"/>
            <w:gridSpan w:val="3"/>
            <w:shd w:val="clear" w:color="auto" w:fill="auto"/>
            <w:vAlign w:val="bottom"/>
          </w:tcPr>
          <w:p w14:paraId="392C4DA4" w14:textId="77777777" w:rsidR="00980E5F" w:rsidRDefault="00980E5F">
            <w:pPr>
              <w:rPr>
                <w:rFonts w:ascii="宋体"/>
                <w:vanish/>
              </w:rPr>
            </w:pPr>
          </w:p>
        </w:tc>
        <w:tc>
          <w:tcPr>
            <w:tcW w:w="0" w:type="auto"/>
            <w:gridSpan w:val="3"/>
            <w:shd w:val="clear" w:color="auto" w:fill="auto"/>
            <w:vAlign w:val="bottom"/>
          </w:tcPr>
          <w:p w14:paraId="392C4DA5" w14:textId="77777777" w:rsidR="00980E5F" w:rsidRDefault="00980E5F">
            <w:pPr>
              <w:rPr>
                <w:rFonts w:ascii="宋体"/>
                <w:vanish/>
              </w:rPr>
            </w:pPr>
          </w:p>
        </w:tc>
        <w:tc>
          <w:tcPr>
            <w:tcW w:w="0" w:type="auto"/>
            <w:gridSpan w:val="3"/>
            <w:shd w:val="clear" w:color="auto" w:fill="auto"/>
            <w:vAlign w:val="bottom"/>
          </w:tcPr>
          <w:p w14:paraId="392C4DA6" w14:textId="77777777" w:rsidR="00980E5F" w:rsidRDefault="00980E5F">
            <w:pPr>
              <w:rPr>
                <w:rFonts w:ascii="宋体"/>
                <w:vanish/>
              </w:rPr>
            </w:pPr>
          </w:p>
        </w:tc>
        <w:tc>
          <w:tcPr>
            <w:tcW w:w="0" w:type="auto"/>
            <w:shd w:val="clear" w:color="auto" w:fill="auto"/>
            <w:vAlign w:val="bottom"/>
          </w:tcPr>
          <w:p w14:paraId="392C4DA7" w14:textId="77777777" w:rsidR="00980E5F" w:rsidRDefault="00980E5F">
            <w:pPr>
              <w:rPr>
                <w:rFonts w:ascii="宋体"/>
                <w:vanish/>
              </w:rPr>
            </w:pPr>
          </w:p>
        </w:tc>
        <w:tc>
          <w:tcPr>
            <w:tcW w:w="0" w:type="auto"/>
            <w:shd w:val="clear" w:color="auto" w:fill="auto"/>
            <w:vAlign w:val="bottom"/>
          </w:tcPr>
          <w:p w14:paraId="392C4DA8" w14:textId="77777777" w:rsidR="00980E5F" w:rsidRDefault="00980E5F">
            <w:pPr>
              <w:rPr>
                <w:rFonts w:ascii="宋体"/>
                <w:vanish/>
              </w:rPr>
            </w:pPr>
          </w:p>
        </w:tc>
        <w:tc>
          <w:tcPr>
            <w:tcW w:w="0" w:type="auto"/>
            <w:gridSpan w:val="3"/>
            <w:shd w:val="clear" w:color="auto" w:fill="auto"/>
            <w:vAlign w:val="bottom"/>
          </w:tcPr>
          <w:p w14:paraId="392C4DA9" w14:textId="77777777" w:rsidR="00980E5F" w:rsidRDefault="00980E5F">
            <w:pPr>
              <w:rPr>
                <w:rFonts w:ascii="宋体"/>
                <w:vanish/>
              </w:rPr>
            </w:pPr>
          </w:p>
        </w:tc>
        <w:tc>
          <w:tcPr>
            <w:tcW w:w="0" w:type="auto"/>
            <w:gridSpan w:val="3"/>
            <w:shd w:val="clear" w:color="auto" w:fill="auto"/>
            <w:vAlign w:val="bottom"/>
          </w:tcPr>
          <w:p w14:paraId="392C4DAA" w14:textId="77777777" w:rsidR="00980E5F" w:rsidRDefault="00980E5F">
            <w:pPr>
              <w:rPr>
                <w:rFonts w:ascii="宋体"/>
                <w:vanish/>
              </w:rPr>
            </w:pPr>
          </w:p>
        </w:tc>
        <w:tc>
          <w:tcPr>
            <w:tcW w:w="0" w:type="auto"/>
            <w:gridSpan w:val="3"/>
            <w:shd w:val="clear" w:color="auto" w:fill="auto"/>
            <w:vAlign w:val="bottom"/>
          </w:tcPr>
          <w:p w14:paraId="392C4DAB" w14:textId="77777777" w:rsidR="00980E5F" w:rsidRDefault="00980E5F">
            <w:pPr>
              <w:rPr>
                <w:rFonts w:ascii="宋体"/>
                <w:vanish/>
              </w:rPr>
            </w:pPr>
          </w:p>
        </w:tc>
        <w:tc>
          <w:tcPr>
            <w:tcW w:w="0" w:type="auto"/>
            <w:gridSpan w:val="3"/>
            <w:shd w:val="clear" w:color="auto" w:fill="auto"/>
            <w:vAlign w:val="bottom"/>
          </w:tcPr>
          <w:p w14:paraId="392C4DAC" w14:textId="77777777" w:rsidR="00980E5F" w:rsidRDefault="00980E5F">
            <w:pPr>
              <w:rPr>
                <w:rFonts w:ascii="宋体"/>
                <w:vanish/>
              </w:rPr>
            </w:pPr>
          </w:p>
        </w:tc>
        <w:tc>
          <w:tcPr>
            <w:tcW w:w="0" w:type="auto"/>
            <w:gridSpan w:val="3"/>
            <w:shd w:val="clear" w:color="auto" w:fill="auto"/>
            <w:vAlign w:val="bottom"/>
          </w:tcPr>
          <w:p w14:paraId="392C4DAD" w14:textId="77777777" w:rsidR="00980E5F" w:rsidRDefault="00980E5F">
            <w:pPr>
              <w:rPr>
                <w:rFonts w:ascii="宋体"/>
                <w:vanish/>
              </w:rPr>
            </w:pPr>
          </w:p>
        </w:tc>
        <w:tc>
          <w:tcPr>
            <w:tcW w:w="0" w:type="auto"/>
            <w:gridSpan w:val="3"/>
            <w:shd w:val="clear" w:color="auto" w:fill="auto"/>
            <w:vAlign w:val="bottom"/>
          </w:tcPr>
          <w:p w14:paraId="392C4DAE" w14:textId="77777777" w:rsidR="00980E5F" w:rsidRDefault="00980E5F">
            <w:pPr>
              <w:rPr>
                <w:rFonts w:ascii="宋体"/>
                <w:vanish/>
              </w:rPr>
            </w:pPr>
          </w:p>
        </w:tc>
        <w:tc>
          <w:tcPr>
            <w:tcW w:w="0" w:type="auto"/>
            <w:gridSpan w:val="3"/>
            <w:shd w:val="clear" w:color="auto" w:fill="auto"/>
            <w:vAlign w:val="bottom"/>
          </w:tcPr>
          <w:p w14:paraId="392C4DAF" w14:textId="77777777" w:rsidR="00980E5F" w:rsidRDefault="00980E5F">
            <w:pPr>
              <w:rPr>
                <w:rFonts w:ascii="宋体"/>
                <w:vanish/>
              </w:rPr>
            </w:pPr>
          </w:p>
        </w:tc>
        <w:tc>
          <w:tcPr>
            <w:tcW w:w="0" w:type="auto"/>
            <w:gridSpan w:val="3"/>
            <w:shd w:val="clear" w:color="auto" w:fill="auto"/>
            <w:vAlign w:val="bottom"/>
          </w:tcPr>
          <w:p w14:paraId="392C4DB0" w14:textId="77777777" w:rsidR="00980E5F" w:rsidRDefault="00980E5F">
            <w:pPr>
              <w:rPr>
                <w:rFonts w:ascii="宋体"/>
                <w:vanish/>
              </w:rPr>
            </w:pPr>
          </w:p>
        </w:tc>
        <w:tc>
          <w:tcPr>
            <w:tcW w:w="0" w:type="auto"/>
            <w:gridSpan w:val="3"/>
            <w:shd w:val="clear" w:color="auto" w:fill="auto"/>
            <w:vAlign w:val="bottom"/>
          </w:tcPr>
          <w:p w14:paraId="392C4DB1" w14:textId="77777777" w:rsidR="00980E5F" w:rsidRDefault="00980E5F">
            <w:pPr>
              <w:rPr>
                <w:rFonts w:ascii="宋体"/>
                <w:vanish/>
              </w:rPr>
            </w:pPr>
          </w:p>
        </w:tc>
        <w:tc>
          <w:tcPr>
            <w:tcW w:w="0" w:type="auto"/>
            <w:gridSpan w:val="2"/>
            <w:shd w:val="clear" w:color="auto" w:fill="auto"/>
            <w:vAlign w:val="bottom"/>
          </w:tcPr>
          <w:p w14:paraId="392C4DB2" w14:textId="77777777" w:rsidR="00980E5F" w:rsidRDefault="00980E5F">
            <w:pPr>
              <w:rPr>
                <w:rFonts w:ascii="宋体"/>
                <w:vanish/>
              </w:rPr>
            </w:pPr>
          </w:p>
        </w:tc>
        <w:tc>
          <w:tcPr>
            <w:tcW w:w="0" w:type="auto"/>
            <w:shd w:val="clear" w:color="auto" w:fill="auto"/>
            <w:vAlign w:val="bottom"/>
          </w:tcPr>
          <w:p w14:paraId="392C4DB3" w14:textId="77777777" w:rsidR="00980E5F" w:rsidRDefault="00980E5F">
            <w:pPr>
              <w:rPr>
                <w:rFonts w:ascii="宋体"/>
                <w:vanish/>
              </w:rPr>
            </w:pPr>
          </w:p>
        </w:tc>
      </w:tr>
      <w:tr w:rsidR="00980E5F" w14:paraId="392C4DCB" w14:textId="77777777">
        <w:trPr>
          <w:hidden/>
        </w:trPr>
        <w:tc>
          <w:tcPr>
            <w:tcW w:w="0" w:type="auto"/>
            <w:gridSpan w:val="3"/>
            <w:shd w:val="clear" w:color="auto" w:fill="auto"/>
            <w:vAlign w:val="bottom"/>
          </w:tcPr>
          <w:p w14:paraId="392C4DB5" w14:textId="77777777" w:rsidR="00980E5F" w:rsidRDefault="00980E5F">
            <w:pPr>
              <w:rPr>
                <w:rFonts w:ascii="宋体"/>
                <w:vanish/>
              </w:rPr>
            </w:pPr>
          </w:p>
        </w:tc>
        <w:tc>
          <w:tcPr>
            <w:tcW w:w="0" w:type="auto"/>
            <w:gridSpan w:val="3"/>
            <w:shd w:val="clear" w:color="auto" w:fill="auto"/>
            <w:vAlign w:val="bottom"/>
          </w:tcPr>
          <w:p w14:paraId="392C4DB6" w14:textId="77777777" w:rsidR="00980E5F" w:rsidRDefault="00980E5F">
            <w:pPr>
              <w:rPr>
                <w:rFonts w:ascii="宋体"/>
                <w:vanish/>
              </w:rPr>
            </w:pPr>
          </w:p>
        </w:tc>
        <w:tc>
          <w:tcPr>
            <w:tcW w:w="0" w:type="auto"/>
            <w:gridSpan w:val="3"/>
            <w:shd w:val="clear" w:color="auto" w:fill="auto"/>
            <w:vAlign w:val="bottom"/>
          </w:tcPr>
          <w:p w14:paraId="392C4DB7" w14:textId="77777777" w:rsidR="00980E5F" w:rsidRDefault="00980E5F">
            <w:pPr>
              <w:rPr>
                <w:rFonts w:ascii="宋体"/>
                <w:vanish/>
              </w:rPr>
            </w:pPr>
          </w:p>
        </w:tc>
        <w:tc>
          <w:tcPr>
            <w:tcW w:w="0" w:type="auto"/>
            <w:gridSpan w:val="3"/>
            <w:shd w:val="clear" w:color="auto" w:fill="auto"/>
            <w:vAlign w:val="bottom"/>
          </w:tcPr>
          <w:p w14:paraId="392C4DB8" w14:textId="77777777" w:rsidR="00980E5F" w:rsidRDefault="00980E5F">
            <w:pPr>
              <w:rPr>
                <w:rFonts w:ascii="宋体"/>
                <w:vanish/>
              </w:rPr>
            </w:pPr>
          </w:p>
        </w:tc>
        <w:tc>
          <w:tcPr>
            <w:tcW w:w="0" w:type="auto"/>
            <w:gridSpan w:val="3"/>
            <w:shd w:val="clear" w:color="auto" w:fill="auto"/>
            <w:vAlign w:val="bottom"/>
          </w:tcPr>
          <w:p w14:paraId="392C4DB9" w14:textId="77777777" w:rsidR="00980E5F" w:rsidRDefault="00980E5F">
            <w:pPr>
              <w:rPr>
                <w:rFonts w:ascii="宋体"/>
                <w:vanish/>
              </w:rPr>
            </w:pPr>
          </w:p>
        </w:tc>
        <w:tc>
          <w:tcPr>
            <w:tcW w:w="0" w:type="auto"/>
            <w:gridSpan w:val="3"/>
            <w:shd w:val="clear" w:color="auto" w:fill="auto"/>
            <w:vAlign w:val="bottom"/>
          </w:tcPr>
          <w:p w14:paraId="392C4DBA" w14:textId="77777777" w:rsidR="00980E5F" w:rsidRDefault="00980E5F">
            <w:pPr>
              <w:rPr>
                <w:rFonts w:ascii="宋体"/>
                <w:vanish/>
              </w:rPr>
            </w:pPr>
          </w:p>
        </w:tc>
        <w:tc>
          <w:tcPr>
            <w:tcW w:w="0" w:type="auto"/>
            <w:gridSpan w:val="3"/>
            <w:shd w:val="clear" w:color="auto" w:fill="auto"/>
            <w:vAlign w:val="bottom"/>
          </w:tcPr>
          <w:p w14:paraId="392C4DBB" w14:textId="77777777" w:rsidR="00980E5F" w:rsidRDefault="00980E5F">
            <w:pPr>
              <w:rPr>
                <w:rFonts w:ascii="宋体"/>
                <w:vanish/>
              </w:rPr>
            </w:pPr>
          </w:p>
        </w:tc>
        <w:tc>
          <w:tcPr>
            <w:tcW w:w="0" w:type="auto"/>
            <w:gridSpan w:val="3"/>
            <w:shd w:val="clear" w:color="auto" w:fill="auto"/>
            <w:vAlign w:val="bottom"/>
          </w:tcPr>
          <w:p w14:paraId="392C4DBC" w14:textId="77777777" w:rsidR="00980E5F" w:rsidRDefault="00980E5F">
            <w:pPr>
              <w:rPr>
                <w:rFonts w:ascii="宋体"/>
                <w:vanish/>
              </w:rPr>
            </w:pPr>
          </w:p>
        </w:tc>
        <w:tc>
          <w:tcPr>
            <w:tcW w:w="0" w:type="auto"/>
            <w:gridSpan w:val="3"/>
            <w:shd w:val="clear" w:color="auto" w:fill="auto"/>
            <w:vAlign w:val="bottom"/>
          </w:tcPr>
          <w:p w14:paraId="392C4DBD" w14:textId="77777777" w:rsidR="00980E5F" w:rsidRDefault="00980E5F">
            <w:pPr>
              <w:rPr>
                <w:rFonts w:ascii="宋体"/>
                <w:vanish/>
              </w:rPr>
            </w:pPr>
          </w:p>
        </w:tc>
        <w:tc>
          <w:tcPr>
            <w:tcW w:w="0" w:type="auto"/>
            <w:shd w:val="clear" w:color="auto" w:fill="auto"/>
            <w:vAlign w:val="bottom"/>
          </w:tcPr>
          <w:p w14:paraId="392C4DBE" w14:textId="77777777" w:rsidR="00980E5F" w:rsidRDefault="00980E5F">
            <w:pPr>
              <w:rPr>
                <w:rFonts w:ascii="宋体"/>
                <w:vanish/>
              </w:rPr>
            </w:pPr>
          </w:p>
        </w:tc>
        <w:tc>
          <w:tcPr>
            <w:tcW w:w="0" w:type="auto"/>
            <w:shd w:val="clear" w:color="auto" w:fill="auto"/>
            <w:vAlign w:val="bottom"/>
          </w:tcPr>
          <w:p w14:paraId="392C4DBF" w14:textId="77777777" w:rsidR="00980E5F" w:rsidRDefault="00980E5F">
            <w:pPr>
              <w:rPr>
                <w:rFonts w:ascii="宋体"/>
                <w:vanish/>
              </w:rPr>
            </w:pPr>
          </w:p>
        </w:tc>
        <w:tc>
          <w:tcPr>
            <w:tcW w:w="0" w:type="auto"/>
            <w:gridSpan w:val="3"/>
            <w:shd w:val="clear" w:color="auto" w:fill="auto"/>
            <w:vAlign w:val="bottom"/>
          </w:tcPr>
          <w:p w14:paraId="392C4DC0" w14:textId="77777777" w:rsidR="00980E5F" w:rsidRDefault="00980E5F">
            <w:pPr>
              <w:rPr>
                <w:rFonts w:ascii="宋体"/>
                <w:vanish/>
              </w:rPr>
            </w:pPr>
          </w:p>
        </w:tc>
        <w:tc>
          <w:tcPr>
            <w:tcW w:w="0" w:type="auto"/>
            <w:gridSpan w:val="3"/>
            <w:shd w:val="clear" w:color="auto" w:fill="auto"/>
            <w:vAlign w:val="bottom"/>
          </w:tcPr>
          <w:p w14:paraId="392C4DC1" w14:textId="77777777" w:rsidR="00980E5F" w:rsidRDefault="00980E5F">
            <w:pPr>
              <w:rPr>
                <w:rFonts w:ascii="宋体"/>
                <w:vanish/>
              </w:rPr>
            </w:pPr>
          </w:p>
        </w:tc>
        <w:tc>
          <w:tcPr>
            <w:tcW w:w="0" w:type="auto"/>
            <w:gridSpan w:val="3"/>
            <w:shd w:val="clear" w:color="auto" w:fill="auto"/>
            <w:vAlign w:val="bottom"/>
          </w:tcPr>
          <w:p w14:paraId="392C4DC2" w14:textId="77777777" w:rsidR="00980E5F" w:rsidRDefault="00980E5F">
            <w:pPr>
              <w:rPr>
                <w:rFonts w:ascii="宋体"/>
                <w:vanish/>
              </w:rPr>
            </w:pPr>
          </w:p>
        </w:tc>
        <w:tc>
          <w:tcPr>
            <w:tcW w:w="0" w:type="auto"/>
            <w:gridSpan w:val="3"/>
            <w:shd w:val="clear" w:color="auto" w:fill="auto"/>
            <w:vAlign w:val="bottom"/>
          </w:tcPr>
          <w:p w14:paraId="392C4DC3" w14:textId="77777777" w:rsidR="00980E5F" w:rsidRDefault="00980E5F">
            <w:pPr>
              <w:rPr>
                <w:rFonts w:ascii="宋体"/>
                <w:vanish/>
              </w:rPr>
            </w:pPr>
          </w:p>
        </w:tc>
        <w:tc>
          <w:tcPr>
            <w:tcW w:w="0" w:type="auto"/>
            <w:gridSpan w:val="3"/>
            <w:shd w:val="clear" w:color="auto" w:fill="auto"/>
            <w:vAlign w:val="bottom"/>
          </w:tcPr>
          <w:p w14:paraId="392C4DC4" w14:textId="77777777" w:rsidR="00980E5F" w:rsidRDefault="00980E5F">
            <w:pPr>
              <w:rPr>
                <w:rFonts w:ascii="宋体"/>
                <w:vanish/>
              </w:rPr>
            </w:pPr>
          </w:p>
        </w:tc>
        <w:tc>
          <w:tcPr>
            <w:tcW w:w="0" w:type="auto"/>
            <w:gridSpan w:val="3"/>
            <w:shd w:val="clear" w:color="auto" w:fill="auto"/>
            <w:vAlign w:val="bottom"/>
          </w:tcPr>
          <w:p w14:paraId="392C4DC5" w14:textId="77777777" w:rsidR="00980E5F" w:rsidRDefault="00980E5F">
            <w:pPr>
              <w:rPr>
                <w:rFonts w:ascii="宋体"/>
                <w:vanish/>
              </w:rPr>
            </w:pPr>
          </w:p>
        </w:tc>
        <w:tc>
          <w:tcPr>
            <w:tcW w:w="0" w:type="auto"/>
            <w:gridSpan w:val="3"/>
            <w:shd w:val="clear" w:color="auto" w:fill="auto"/>
            <w:vAlign w:val="bottom"/>
          </w:tcPr>
          <w:p w14:paraId="392C4DC6" w14:textId="77777777" w:rsidR="00980E5F" w:rsidRDefault="00980E5F">
            <w:pPr>
              <w:rPr>
                <w:rFonts w:ascii="宋体"/>
                <w:vanish/>
              </w:rPr>
            </w:pPr>
          </w:p>
        </w:tc>
        <w:tc>
          <w:tcPr>
            <w:tcW w:w="0" w:type="auto"/>
            <w:gridSpan w:val="3"/>
            <w:shd w:val="clear" w:color="auto" w:fill="auto"/>
            <w:vAlign w:val="bottom"/>
          </w:tcPr>
          <w:p w14:paraId="392C4DC7" w14:textId="77777777" w:rsidR="00980E5F" w:rsidRDefault="00980E5F">
            <w:pPr>
              <w:rPr>
                <w:rFonts w:ascii="宋体"/>
                <w:vanish/>
              </w:rPr>
            </w:pPr>
          </w:p>
        </w:tc>
        <w:tc>
          <w:tcPr>
            <w:tcW w:w="0" w:type="auto"/>
            <w:gridSpan w:val="3"/>
            <w:shd w:val="clear" w:color="auto" w:fill="auto"/>
            <w:vAlign w:val="bottom"/>
          </w:tcPr>
          <w:p w14:paraId="392C4DC8" w14:textId="77777777" w:rsidR="00980E5F" w:rsidRDefault="00980E5F">
            <w:pPr>
              <w:rPr>
                <w:rFonts w:ascii="宋体"/>
                <w:vanish/>
              </w:rPr>
            </w:pPr>
          </w:p>
        </w:tc>
        <w:tc>
          <w:tcPr>
            <w:tcW w:w="0" w:type="auto"/>
            <w:gridSpan w:val="2"/>
            <w:shd w:val="clear" w:color="auto" w:fill="auto"/>
            <w:vAlign w:val="bottom"/>
          </w:tcPr>
          <w:p w14:paraId="392C4DC9" w14:textId="77777777" w:rsidR="00980E5F" w:rsidRDefault="00980E5F">
            <w:pPr>
              <w:rPr>
                <w:rFonts w:ascii="宋体"/>
                <w:vanish/>
              </w:rPr>
            </w:pPr>
          </w:p>
        </w:tc>
        <w:tc>
          <w:tcPr>
            <w:tcW w:w="0" w:type="auto"/>
            <w:shd w:val="clear" w:color="auto" w:fill="auto"/>
            <w:vAlign w:val="bottom"/>
          </w:tcPr>
          <w:p w14:paraId="392C4DCA" w14:textId="77777777" w:rsidR="00980E5F" w:rsidRDefault="00980E5F">
            <w:pPr>
              <w:rPr>
                <w:rFonts w:ascii="宋体"/>
                <w:vanish/>
              </w:rPr>
            </w:pPr>
          </w:p>
        </w:tc>
      </w:tr>
      <w:tr w:rsidR="00980E5F" w14:paraId="392C4DE2" w14:textId="77777777">
        <w:trPr>
          <w:hidden/>
        </w:trPr>
        <w:tc>
          <w:tcPr>
            <w:tcW w:w="0" w:type="auto"/>
            <w:gridSpan w:val="3"/>
            <w:shd w:val="clear" w:color="auto" w:fill="auto"/>
            <w:vAlign w:val="bottom"/>
          </w:tcPr>
          <w:p w14:paraId="392C4DCC" w14:textId="77777777" w:rsidR="00980E5F" w:rsidRDefault="00980E5F">
            <w:pPr>
              <w:rPr>
                <w:rFonts w:ascii="宋体"/>
                <w:vanish/>
              </w:rPr>
            </w:pPr>
          </w:p>
        </w:tc>
        <w:tc>
          <w:tcPr>
            <w:tcW w:w="0" w:type="auto"/>
            <w:gridSpan w:val="3"/>
            <w:shd w:val="clear" w:color="auto" w:fill="auto"/>
            <w:vAlign w:val="bottom"/>
          </w:tcPr>
          <w:p w14:paraId="392C4DCD" w14:textId="77777777" w:rsidR="00980E5F" w:rsidRDefault="00980E5F">
            <w:pPr>
              <w:rPr>
                <w:rFonts w:ascii="宋体"/>
                <w:vanish/>
              </w:rPr>
            </w:pPr>
          </w:p>
        </w:tc>
        <w:tc>
          <w:tcPr>
            <w:tcW w:w="0" w:type="auto"/>
            <w:gridSpan w:val="3"/>
            <w:shd w:val="clear" w:color="auto" w:fill="auto"/>
            <w:vAlign w:val="bottom"/>
          </w:tcPr>
          <w:p w14:paraId="392C4DCE" w14:textId="77777777" w:rsidR="00980E5F" w:rsidRDefault="00980E5F">
            <w:pPr>
              <w:rPr>
                <w:rFonts w:ascii="宋体"/>
                <w:vanish/>
              </w:rPr>
            </w:pPr>
          </w:p>
        </w:tc>
        <w:tc>
          <w:tcPr>
            <w:tcW w:w="0" w:type="auto"/>
            <w:gridSpan w:val="3"/>
            <w:shd w:val="clear" w:color="auto" w:fill="auto"/>
            <w:vAlign w:val="bottom"/>
          </w:tcPr>
          <w:p w14:paraId="392C4DCF" w14:textId="77777777" w:rsidR="00980E5F" w:rsidRDefault="00980E5F">
            <w:pPr>
              <w:rPr>
                <w:rFonts w:ascii="宋体"/>
                <w:vanish/>
              </w:rPr>
            </w:pPr>
          </w:p>
        </w:tc>
        <w:tc>
          <w:tcPr>
            <w:tcW w:w="0" w:type="auto"/>
            <w:gridSpan w:val="3"/>
            <w:shd w:val="clear" w:color="auto" w:fill="auto"/>
            <w:vAlign w:val="bottom"/>
          </w:tcPr>
          <w:p w14:paraId="392C4DD0" w14:textId="77777777" w:rsidR="00980E5F" w:rsidRDefault="00980E5F">
            <w:pPr>
              <w:rPr>
                <w:rFonts w:ascii="宋体"/>
                <w:vanish/>
              </w:rPr>
            </w:pPr>
          </w:p>
        </w:tc>
        <w:tc>
          <w:tcPr>
            <w:tcW w:w="0" w:type="auto"/>
            <w:gridSpan w:val="3"/>
            <w:shd w:val="clear" w:color="auto" w:fill="auto"/>
            <w:vAlign w:val="bottom"/>
          </w:tcPr>
          <w:p w14:paraId="392C4DD1" w14:textId="77777777" w:rsidR="00980E5F" w:rsidRDefault="00980E5F">
            <w:pPr>
              <w:rPr>
                <w:rFonts w:ascii="宋体"/>
                <w:vanish/>
              </w:rPr>
            </w:pPr>
          </w:p>
        </w:tc>
        <w:tc>
          <w:tcPr>
            <w:tcW w:w="0" w:type="auto"/>
            <w:gridSpan w:val="3"/>
            <w:shd w:val="clear" w:color="auto" w:fill="auto"/>
            <w:vAlign w:val="bottom"/>
          </w:tcPr>
          <w:p w14:paraId="392C4DD2" w14:textId="77777777" w:rsidR="00980E5F" w:rsidRDefault="00980E5F">
            <w:pPr>
              <w:rPr>
                <w:rFonts w:ascii="宋体"/>
                <w:vanish/>
              </w:rPr>
            </w:pPr>
          </w:p>
        </w:tc>
        <w:tc>
          <w:tcPr>
            <w:tcW w:w="0" w:type="auto"/>
            <w:gridSpan w:val="3"/>
            <w:shd w:val="clear" w:color="auto" w:fill="auto"/>
            <w:vAlign w:val="bottom"/>
          </w:tcPr>
          <w:p w14:paraId="392C4DD3" w14:textId="77777777" w:rsidR="00980E5F" w:rsidRDefault="00980E5F">
            <w:pPr>
              <w:rPr>
                <w:rFonts w:ascii="宋体"/>
                <w:vanish/>
              </w:rPr>
            </w:pPr>
          </w:p>
        </w:tc>
        <w:tc>
          <w:tcPr>
            <w:tcW w:w="0" w:type="auto"/>
            <w:gridSpan w:val="3"/>
            <w:shd w:val="clear" w:color="auto" w:fill="auto"/>
            <w:vAlign w:val="bottom"/>
          </w:tcPr>
          <w:p w14:paraId="392C4DD4" w14:textId="77777777" w:rsidR="00980E5F" w:rsidRDefault="00980E5F">
            <w:pPr>
              <w:rPr>
                <w:rFonts w:ascii="宋体"/>
                <w:vanish/>
              </w:rPr>
            </w:pPr>
          </w:p>
        </w:tc>
        <w:tc>
          <w:tcPr>
            <w:tcW w:w="0" w:type="auto"/>
            <w:shd w:val="clear" w:color="auto" w:fill="auto"/>
            <w:vAlign w:val="bottom"/>
          </w:tcPr>
          <w:p w14:paraId="392C4DD5" w14:textId="77777777" w:rsidR="00980E5F" w:rsidRDefault="00980E5F">
            <w:pPr>
              <w:rPr>
                <w:rFonts w:ascii="宋体"/>
                <w:vanish/>
              </w:rPr>
            </w:pPr>
          </w:p>
        </w:tc>
        <w:tc>
          <w:tcPr>
            <w:tcW w:w="0" w:type="auto"/>
            <w:shd w:val="clear" w:color="auto" w:fill="auto"/>
            <w:vAlign w:val="bottom"/>
          </w:tcPr>
          <w:p w14:paraId="392C4DD6" w14:textId="77777777" w:rsidR="00980E5F" w:rsidRDefault="00980E5F">
            <w:pPr>
              <w:rPr>
                <w:rFonts w:ascii="宋体"/>
                <w:vanish/>
              </w:rPr>
            </w:pPr>
          </w:p>
        </w:tc>
        <w:tc>
          <w:tcPr>
            <w:tcW w:w="0" w:type="auto"/>
            <w:gridSpan w:val="3"/>
            <w:shd w:val="clear" w:color="auto" w:fill="auto"/>
            <w:vAlign w:val="bottom"/>
          </w:tcPr>
          <w:p w14:paraId="392C4DD7" w14:textId="77777777" w:rsidR="00980E5F" w:rsidRDefault="00980E5F">
            <w:pPr>
              <w:rPr>
                <w:rFonts w:ascii="宋体"/>
                <w:vanish/>
              </w:rPr>
            </w:pPr>
          </w:p>
        </w:tc>
        <w:tc>
          <w:tcPr>
            <w:tcW w:w="0" w:type="auto"/>
            <w:gridSpan w:val="3"/>
            <w:shd w:val="clear" w:color="auto" w:fill="auto"/>
            <w:vAlign w:val="bottom"/>
          </w:tcPr>
          <w:p w14:paraId="392C4DD8" w14:textId="77777777" w:rsidR="00980E5F" w:rsidRDefault="00980E5F">
            <w:pPr>
              <w:rPr>
                <w:rFonts w:ascii="宋体"/>
                <w:vanish/>
              </w:rPr>
            </w:pPr>
          </w:p>
        </w:tc>
        <w:tc>
          <w:tcPr>
            <w:tcW w:w="0" w:type="auto"/>
            <w:gridSpan w:val="3"/>
            <w:shd w:val="clear" w:color="auto" w:fill="auto"/>
            <w:vAlign w:val="bottom"/>
          </w:tcPr>
          <w:p w14:paraId="392C4DD9" w14:textId="77777777" w:rsidR="00980E5F" w:rsidRDefault="00980E5F">
            <w:pPr>
              <w:rPr>
                <w:rFonts w:ascii="宋体"/>
                <w:vanish/>
              </w:rPr>
            </w:pPr>
          </w:p>
        </w:tc>
        <w:tc>
          <w:tcPr>
            <w:tcW w:w="0" w:type="auto"/>
            <w:gridSpan w:val="3"/>
            <w:shd w:val="clear" w:color="auto" w:fill="auto"/>
            <w:vAlign w:val="bottom"/>
          </w:tcPr>
          <w:p w14:paraId="392C4DDA" w14:textId="77777777" w:rsidR="00980E5F" w:rsidRDefault="00980E5F">
            <w:pPr>
              <w:rPr>
                <w:rFonts w:ascii="宋体"/>
                <w:vanish/>
              </w:rPr>
            </w:pPr>
          </w:p>
        </w:tc>
        <w:tc>
          <w:tcPr>
            <w:tcW w:w="0" w:type="auto"/>
            <w:gridSpan w:val="3"/>
            <w:shd w:val="clear" w:color="auto" w:fill="auto"/>
            <w:vAlign w:val="bottom"/>
          </w:tcPr>
          <w:p w14:paraId="392C4DDB" w14:textId="77777777" w:rsidR="00980E5F" w:rsidRDefault="00980E5F">
            <w:pPr>
              <w:rPr>
                <w:rFonts w:ascii="宋体"/>
                <w:vanish/>
              </w:rPr>
            </w:pPr>
          </w:p>
        </w:tc>
        <w:tc>
          <w:tcPr>
            <w:tcW w:w="0" w:type="auto"/>
            <w:gridSpan w:val="3"/>
            <w:shd w:val="clear" w:color="auto" w:fill="auto"/>
            <w:vAlign w:val="bottom"/>
          </w:tcPr>
          <w:p w14:paraId="392C4DDC" w14:textId="77777777" w:rsidR="00980E5F" w:rsidRDefault="00980E5F">
            <w:pPr>
              <w:rPr>
                <w:rFonts w:ascii="宋体"/>
                <w:vanish/>
              </w:rPr>
            </w:pPr>
          </w:p>
        </w:tc>
        <w:tc>
          <w:tcPr>
            <w:tcW w:w="0" w:type="auto"/>
            <w:gridSpan w:val="3"/>
            <w:shd w:val="clear" w:color="auto" w:fill="auto"/>
            <w:vAlign w:val="bottom"/>
          </w:tcPr>
          <w:p w14:paraId="392C4DDD" w14:textId="77777777" w:rsidR="00980E5F" w:rsidRDefault="00980E5F">
            <w:pPr>
              <w:rPr>
                <w:rFonts w:ascii="宋体"/>
                <w:vanish/>
              </w:rPr>
            </w:pPr>
          </w:p>
        </w:tc>
        <w:tc>
          <w:tcPr>
            <w:tcW w:w="0" w:type="auto"/>
            <w:gridSpan w:val="3"/>
            <w:shd w:val="clear" w:color="auto" w:fill="auto"/>
            <w:vAlign w:val="bottom"/>
          </w:tcPr>
          <w:p w14:paraId="392C4DDE" w14:textId="77777777" w:rsidR="00980E5F" w:rsidRDefault="00980E5F">
            <w:pPr>
              <w:rPr>
                <w:rFonts w:ascii="宋体"/>
                <w:vanish/>
              </w:rPr>
            </w:pPr>
          </w:p>
        </w:tc>
        <w:tc>
          <w:tcPr>
            <w:tcW w:w="0" w:type="auto"/>
            <w:gridSpan w:val="3"/>
            <w:shd w:val="clear" w:color="auto" w:fill="auto"/>
            <w:vAlign w:val="bottom"/>
          </w:tcPr>
          <w:p w14:paraId="392C4DDF" w14:textId="77777777" w:rsidR="00980E5F" w:rsidRDefault="00980E5F">
            <w:pPr>
              <w:rPr>
                <w:rFonts w:ascii="宋体"/>
                <w:vanish/>
              </w:rPr>
            </w:pPr>
          </w:p>
        </w:tc>
        <w:tc>
          <w:tcPr>
            <w:tcW w:w="0" w:type="auto"/>
            <w:gridSpan w:val="2"/>
            <w:shd w:val="clear" w:color="auto" w:fill="auto"/>
            <w:vAlign w:val="bottom"/>
          </w:tcPr>
          <w:p w14:paraId="392C4DE0" w14:textId="77777777" w:rsidR="00980E5F" w:rsidRDefault="00980E5F">
            <w:pPr>
              <w:rPr>
                <w:rFonts w:ascii="宋体"/>
                <w:vanish/>
              </w:rPr>
            </w:pPr>
          </w:p>
        </w:tc>
        <w:tc>
          <w:tcPr>
            <w:tcW w:w="0" w:type="auto"/>
            <w:shd w:val="clear" w:color="auto" w:fill="auto"/>
            <w:vAlign w:val="bottom"/>
          </w:tcPr>
          <w:p w14:paraId="392C4DE1" w14:textId="77777777" w:rsidR="00980E5F" w:rsidRDefault="00980E5F">
            <w:pPr>
              <w:rPr>
                <w:rFonts w:ascii="宋体"/>
                <w:vanish/>
              </w:rPr>
            </w:pPr>
          </w:p>
        </w:tc>
      </w:tr>
      <w:tr w:rsidR="00980E5F" w14:paraId="392C4DF9" w14:textId="77777777">
        <w:trPr>
          <w:hidden/>
        </w:trPr>
        <w:tc>
          <w:tcPr>
            <w:tcW w:w="0" w:type="auto"/>
            <w:gridSpan w:val="3"/>
            <w:shd w:val="clear" w:color="auto" w:fill="auto"/>
            <w:vAlign w:val="bottom"/>
          </w:tcPr>
          <w:p w14:paraId="392C4DE3" w14:textId="77777777" w:rsidR="00980E5F" w:rsidRDefault="00980E5F">
            <w:pPr>
              <w:rPr>
                <w:rFonts w:ascii="宋体"/>
                <w:vanish/>
              </w:rPr>
            </w:pPr>
          </w:p>
        </w:tc>
        <w:tc>
          <w:tcPr>
            <w:tcW w:w="0" w:type="auto"/>
            <w:gridSpan w:val="3"/>
            <w:shd w:val="clear" w:color="auto" w:fill="auto"/>
            <w:vAlign w:val="bottom"/>
          </w:tcPr>
          <w:p w14:paraId="392C4DE4" w14:textId="77777777" w:rsidR="00980E5F" w:rsidRDefault="00980E5F">
            <w:pPr>
              <w:rPr>
                <w:rFonts w:ascii="宋体"/>
                <w:vanish/>
              </w:rPr>
            </w:pPr>
          </w:p>
        </w:tc>
        <w:tc>
          <w:tcPr>
            <w:tcW w:w="0" w:type="auto"/>
            <w:gridSpan w:val="3"/>
            <w:shd w:val="clear" w:color="auto" w:fill="auto"/>
            <w:vAlign w:val="bottom"/>
          </w:tcPr>
          <w:p w14:paraId="392C4DE5" w14:textId="77777777" w:rsidR="00980E5F" w:rsidRDefault="00980E5F">
            <w:pPr>
              <w:rPr>
                <w:rFonts w:ascii="宋体"/>
                <w:vanish/>
              </w:rPr>
            </w:pPr>
          </w:p>
        </w:tc>
        <w:tc>
          <w:tcPr>
            <w:tcW w:w="0" w:type="auto"/>
            <w:gridSpan w:val="3"/>
            <w:shd w:val="clear" w:color="auto" w:fill="auto"/>
            <w:vAlign w:val="bottom"/>
          </w:tcPr>
          <w:p w14:paraId="392C4DE6" w14:textId="77777777" w:rsidR="00980E5F" w:rsidRDefault="00980E5F">
            <w:pPr>
              <w:rPr>
                <w:rFonts w:ascii="宋体"/>
                <w:vanish/>
              </w:rPr>
            </w:pPr>
          </w:p>
        </w:tc>
        <w:tc>
          <w:tcPr>
            <w:tcW w:w="0" w:type="auto"/>
            <w:gridSpan w:val="3"/>
            <w:shd w:val="clear" w:color="auto" w:fill="auto"/>
            <w:vAlign w:val="bottom"/>
          </w:tcPr>
          <w:p w14:paraId="392C4DE7" w14:textId="77777777" w:rsidR="00980E5F" w:rsidRDefault="00980E5F">
            <w:pPr>
              <w:rPr>
                <w:rFonts w:ascii="宋体"/>
                <w:vanish/>
              </w:rPr>
            </w:pPr>
          </w:p>
        </w:tc>
        <w:tc>
          <w:tcPr>
            <w:tcW w:w="0" w:type="auto"/>
            <w:gridSpan w:val="3"/>
            <w:shd w:val="clear" w:color="auto" w:fill="auto"/>
            <w:vAlign w:val="bottom"/>
          </w:tcPr>
          <w:p w14:paraId="392C4DE8" w14:textId="77777777" w:rsidR="00980E5F" w:rsidRDefault="00980E5F">
            <w:pPr>
              <w:rPr>
                <w:rFonts w:ascii="宋体"/>
                <w:vanish/>
              </w:rPr>
            </w:pPr>
          </w:p>
        </w:tc>
        <w:tc>
          <w:tcPr>
            <w:tcW w:w="0" w:type="auto"/>
            <w:gridSpan w:val="3"/>
            <w:shd w:val="clear" w:color="auto" w:fill="auto"/>
            <w:vAlign w:val="bottom"/>
          </w:tcPr>
          <w:p w14:paraId="392C4DE9" w14:textId="77777777" w:rsidR="00980E5F" w:rsidRDefault="00980E5F">
            <w:pPr>
              <w:rPr>
                <w:rFonts w:ascii="宋体"/>
                <w:vanish/>
              </w:rPr>
            </w:pPr>
          </w:p>
        </w:tc>
        <w:tc>
          <w:tcPr>
            <w:tcW w:w="0" w:type="auto"/>
            <w:gridSpan w:val="3"/>
            <w:shd w:val="clear" w:color="auto" w:fill="auto"/>
            <w:vAlign w:val="bottom"/>
          </w:tcPr>
          <w:p w14:paraId="392C4DEA" w14:textId="77777777" w:rsidR="00980E5F" w:rsidRDefault="00980E5F">
            <w:pPr>
              <w:rPr>
                <w:rFonts w:ascii="宋体"/>
                <w:vanish/>
              </w:rPr>
            </w:pPr>
          </w:p>
        </w:tc>
        <w:tc>
          <w:tcPr>
            <w:tcW w:w="0" w:type="auto"/>
            <w:gridSpan w:val="3"/>
            <w:shd w:val="clear" w:color="auto" w:fill="auto"/>
            <w:vAlign w:val="bottom"/>
          </w:tcPr>
          <w:p w14:paraId="392C4DEB" w14:textId="77777777" w:rsidR="00980E5F" w:rsidRDefault="00980E5F">
            <w:pPr>
              <w:rPr>
                <w:rFonts w:ascii="宋体"/>
                <w:vanish/>
              </w:rPr>
            </w:pPr>
          </w:p>
        </w:tc>
        <w:tc>
          <w:tcPr>
            <w:tcW w:w="0" w:type="auto"/>
            <w:shd w:val="clear" w:color="auto" w:fill="auto"/>
            <w:vAlign w:val="bottom"/>
          </w:tcPr>
          <w:p w14:paraId="392C4DEC" w14:textId="77777777" w:rsidR="00980E5F" w:rsidRDefault="00980E5F">
            <w:pPr>
              <w:rPr>
                <w:rFonts w:ascii="宋体"/>
                <w:vanish/>
              </w:rPr>
            </w:pPr>
          </w:p>
        </w:tc>
        <w:tc>
          <w:tcPr>
            <w:tcW w:w="0" w:type="auto"/>
            <w:shd w:val="clear" w:color="auto" w:fill="auto"/>
            <w:vAlign w:val="bottom"/>
          </w:tcPr>
          <w:p w14:paraId="392C4DED" w14:textId="77777777" w:rsidR="00980E5F" w:rsidRDefault="00980E5F">
            <w:pPr>
              <w:rPr>
                <w:rFonts w:ascii="宋体"/>
                <w:vanish/>
              </w:rPr>
            </w:pPr>
          </w:p>
        </w:tc>
        <w:tc>
          <w:tcPr>
            <w:tcW w:w="0" w:type="auto"/>
            <w:gridSpan w:val="3"/>
            <w:shd w:val="clear" w:color="auto" w:fill="auto"/>
            <w:vAlign w:val="bottom"/>
          </w:tcPr>
          <w:p w14:paraId="392C4DEE" w14:textId="77777777" w:rsidR="00980E5F" w:rsidRDefault="00980E5F">
            <w:pPr>
              <w:rPr>
                <w:rFonts w:ascii="宋体"/>
                <w:vanish/>
              </w:rPr>
            </w:pPr>
          </w:p>
        </w:tc>
        <w:tc>
          <w:tcPr>
            <w:tcW w:w="0" w:type="auto"/>
            <w:gridSpan w:val="3"/>
            <w:shd w:val="clear" w:color="auto" w:fill="auto"/>
            <w:vAlign w:val="bottom"/>
          </w:tcPr>
          <w:p w14:paraId="392C4DEF" w14:textId="77777777" w:rsidR="00980E5F" w:rsidRDefault="00980E5F">
            <w:pPr>
              <w:rPr>
                <w:rFonts w:ascii="宋体"/>
                <w:vanish/>
              </w:rPr>
            </w:pPr>
          </w:p>
        </w:tc>
        <w:tc>
          <w:tcPr>
            <w:tcW w:w="0" w:type="auto"/>
            <w:gridSpan w:val="3"/>
            <w:shd w:val="clear" w:color="auto" w:fill="auto"/>
            <w:vAlign w:val="bottom"/>
          </w:tcPr>
          <w:p w14:paraId="392C4DF0" w14:textId="77777777" w:rsidR="00980E5F" w:rsidRDefault="00980E5F">
            <w:pPr>
              <w:rPr>
                <w:rFonts w:ascii="宋体"/>
                <w:vanish/>
              </w:rPr>
            </w:pPr>
          </w:p>
        </w:tc>
        <w:tc>
          <w:tcPr>
            <w:tcW w:w="0" w:type="auto"/>
            <w:gridSpan w:val="3"/>
            <w:shd w:val="clear" w:color="auto" w:fill="auto"/>
            <w:vAlign w:val="bottom"/>
          </w:tcPr>
          <w:p w14:paraId="392C4DF1" w14:textId="77777777" w:rsidR="00980E5F" w:rsidRDefault="00980E5F">
            <w:pPr>
              <w:rPr>
                <w:rFonts w:ascii="宋体"/>
                <w:vanish/>
              </w:rPr>
            </w:pPr>
          </w:p>
        </w:tc>
        <w:tc>
          <w:tcPr>
            <w:tcW w:w="0" w:type="auto"/>
            <w:gridSpan w:val="3"/>
            <w:shd w:val="clear" w:color="auto" w:fill="auto"/>
            <w:vAlign w:val="bottom"/>
          </w:tcPr>
          <w:p w14:paraId="392C4DF2" w14:textId="77777777" w:rsidR="00980E5F" w:rsidRDefault="00980E5F">
            <w:pPr>
              <w:rPr>
                <w:rFonts w:ascii="宋体"/>
                <w:vanish/>
              </w:rPr>
            </w:pPr>
          </w:p>
        </w:tc>
        <w:tc>
          <w:tcPr>
            <w:tcW w:w="0" w:type="auto"/>
            <w:gridSpan w:val="3"/>
            <w:shd w:val="clear" w:color="auto" w:fill="auto"/>
            <w:vAlign w:val="bottom"/>
          </w:tcPr>
          <w:p w14:paraId="392C4DF3" w14:textId="77777777" w:rsidR="00980E5F" w:rsidRDefault="00980E5F">
            <w:pPr>
              <w:rPr>
                <w:rFonts w:ascii="宋体"/>
                <w:vanish/>
              </w:rPr>
            </w:pPr>
          </w:p>
        </w:tc>
        <w:tc>
          <w:tcPr>
            <w:tcW w:w="0" w:type="auto"/>
            <w:gridSpan w:val="3"/>
            <w:shd w:val="clear" w:color="auto" w:fill="auto"/>
            <w:vAlign w:val="bottom"/>
          </w:tcPr>
          <w:p w14:paraId="392C4DF4" w14:textId="77777777" w:rsidR="00980E5F" w:rsidRDefault="00980E5F">
            <w:pPr>
              <w:rPr>
                <w:rFonts w:ascii="宋体"/>
                <w:vanish/>
              </w:rPr>
            </w:pPr>
          </w:p>
        </w:tc>
        <w:tc>
          <w:tcPr>
            <w:tcW w:w="0" w:type="auto"/>
            <w:gridSpan w:val="3"/>
            <w:shd w:val="clear" w:color="auto" w:fill="auto"/>
            <w:vAlign w:val="bottom"/>
          </w:tcPr>
          <w:p w14:paraId="392C4DF5" w14:textId="77777777" w:rsidR="00980E5F" w:rsidRDefault="00980E5F">
            <w:pPr>
              <w:rPr>
                <w:rFonts w:ascii="宋体"/>
                <w:vanish/>
              </w:rPr>
            </w:pPr>
          </w:p>
        </w:tc>
        <w:tc>
          <w:tcPr>
            <w:tcW w:w="0" w:type="auto"/>
            <w:gridSpan w:val="3"/>
            <w:shd w:val="clear" w:color="auto" w:fill="auto"/>
            <w:vAlign w:val="bottom"/>
          </w:tcPr>
          <w:p w14:paraId="392C4DF6" w14:textId="77777777" w:rsidR="00980E5F" w:rsidRDefault="00980E5F">
            <w:pPr>
              <w:rPr>
                <w:rFonts w:ascii="宋体"/>
                <w:vanish/>
              </w:rPr>
            </w:pPr>
          </w:p>
        </w:tc>
        <w:tc>
          <w:tcPr>
            <w:tcW w:w="0" w:type="auto"/>
            <w:gridSpan w:val="2"/>
            <w:shd w:val="clear" w:color="auto" w:fill="auto"/>
            <w:vAlign w:val="bottom"/>
          </w:tcPr>
          <w:p w14:paraId="392C4DF7" w14:textId="77777777" w:rsidR="00980E5F" w:rsidRDefault="00980E5F">
            <w:pPr>
              <w:rPr>
                <w:rFonts w:ascii="宋体"/>
                <w:vanish/>
              </w:rPr>
            </w:pPr>
          </w:p>
        </w:tc>
        <w:tc>
          <w:tcPr>
            <w:tcW w:w="0" w:type="auto"/>
            <w:shd w:val="clear" w:color="auto" w:fill="auto"/>
            <w:vAlign w:val="bottom"/>
          </w:tcPr>
          <w:p w14:paraId="392C4DF8" w14:textId="77777777" w:rsidR="00980E5F" w:rsidRDefault="00980E5F">
            <w:pPr>
              <w:rPr>
                <w:rFonts w:ascii="宋体"/>
                <w:vanish/>
              </w:rPr>
            </w:pPr>
          </w:p>
        </w:tc>
      </w:tr>
      <w:tr w:rsidR="00980E5F" w14:paraId="392C4E10" w14:textId="77777777">
        <w:trPr>
          <w:hidden/>
        </w:trPr>
        <w:tc>
          <w:tcPr>
            <w:tcW w:w="0" w:type="auto"/>
            <w:gridSpan w:val="3"/>
            <w:shd w:val="clear" w:color="auto" w:fill="auto"/>
            <w:vAlign w:val="bottom"/>
          </w:tcPr>
          <w:p w14:paraId="392C4DFA" w14:textId="77777777" w:rsidR="00980E5F" w:rsidRDefault="00980E5F">
            <w:pPr>
              <w:rPr>
                <w:rFonts w:ascii="宋体"/>
                <w:vanish/>
              </w:rPr>
            </w:pPr>
          </w:p>
        </w:tc>
        <w:tc>
          <w:tcPr>
            <w:tcW w:w="0" w:type="auto"/>
            <w:gridSpan w:val="3"/>
            <w:shd w:val="clear" w:color="auto" w:fill="auto"/>
            <w:vAlign w:val="bottom"/>
          </w:tcPr>
          <w:p w14:paraId="392C4DFB" w14:textId="77777777" w:rsidR="00980E5F" w:rsidRDefault="00980E5F">
            <w:pPr>
              <w:rPr>
                <w:rFonts w:ascii="宋体"/>
                <w:vanish/>
              </w:rPr>
            </w:pPr>
          </w:p>
        </w:tc>
        <w:tc>
          <w:tcPr>
            <w:tcW w:w="0" w:type="auto"/>
            <w:gridSpan w:val="3"/>
            <w:shd w:val="clear" w:color="auto" w:fill="auto"/>
            <w:vAlign w:val="bottom"/>
          </w:tcPr>
          <w:p w14:paraId="392C4DFC" w14:textId="77777777" w:rsidR="00980E5F" w:rsidRDefault="00980E5F">
            <w:pPr>
              <w:rPr>
                <w:rFonts w:ascii="宋体"/>
                <w:vanish/>
              </w:rPr>
            </w:pPr>
          </w:p>
        </w:tc>
        <w:tc>
          <w:tcPr>
            <w:tcW w:w="0" w:type="auto"/>
            <w:gridSpan w:val="3"/>
            <w:shd w:val="clear" w:color="auto" w:fill="auto"/>
            <w:vAlign w:val="bottom"/>
          </w:tcPr>
          <w:p w14:paraId="392C4DFD" w14:textId="77777777" w:rsidR="00980E5F" w:rsidRDefault="00980E5F">
            <w:pPr>
              <w:rPr>
                <w:rFonts w:ascii="宋体"/>
                <w:vanish/>
              </w:rPr>
            </w:pPr>
          </w:p>
        </w:tc>
        <w:tc>
          <w:tcPr>
            <w:tcW w:w="0" w:type="auto"/>
            <w:gridSpan w:val="3"/>
            <w:shd w:val="clear" w:color="auto" w:fill="auto"/>
            <w:vAlign w:val="bottom"/>
          </w:tcPr>
          <w:p w14:paraId="392C4DFE" w14:textId="77777777" w:rsidR="00980E5F" w:rsidRDefault="00980E5F">
            <w:pPr>
              <w:rPr>
                <w:rFonts w:ascii="宋体"/>
                <w:vanish/>
              </w:rPr>
            </w:pPr>
          </w:p>
        </w:tc>
        <w:tc>
          <w:tcPr>
            <w:tcW w:w="0" w:type="auto"/>
            <w:gridSpan w:val="3"/>
            <w:shd w:val="clear" w:color="auto" w:fill="auto"/>
            <w:vAlign w:val="bottom"/>
          </w:tcPr>
          <w:p w14:paraId="392C4DFF" w14:textId="77777777" w:rsidR="00980E5F" w:rsidRDefault="00980E5F">
            <w:pPr>
              <w:rPr>
                <w:rFonts w:ascii="宋体"/>
                <w:vanish/>
              </w:rPr>
            </w:pPr>
          </w:p>
        </w:tc>
        <w:tc>
          <w:tcPr>
            <w:tcW w:w="0" w:type="auto"/>
            <w:gridSpan w:val="3"/>
            <w:shd w:val="clear" w:color="auto" w:fill="auto"/>
            <w:vAlign w:val="bottom"/>
          </w:tcPr>
          <w:p w14:paraId="392C4E00" w14:textId="77777777" w:rsidR="00980E5F" w:rsidRDefault="00980E5F">
            <w:pPr>
              <w:rPr>
                <w:rFonts w:ascii="宋体"/>
                <w:vanish/>
              </w:rPr>
            </w:pPr>
          </w:p>
        </w:tc>
        <w:tc>
          <w:tcPr>
            <w:tcW w:w="0" w:type="auto"/>
            <w:gridSpan w:val="3"/>
            <w:shd w:val="clear" w:color="auto" w:fill="auto"/>
            <w:vAlign w:val="bottom"/>
          </w:tcPr>
          <w:p w14:paraId="392C4E01" w14:textId="77777777" w:rsidR="00980E5F" w:rsidRDefault="00980E5F">
            <w:pPr>
              <w:rPr>
                <w:rFonts w:ascii="宋体"/>
                <w:vanish/>
              </w:rPr>
            </w:pPr>
          </w:p>
        </w:tc>
        <w:tc>
          <w:tcPr>
            <w:tcW w:w="0" w:type="auto"/>
            <w:gridSpan w:val="3"/>
            <w:shd w:val="clear" w:color="auto" w:fill="auto"/>
            <w:vAlign w:val="bottom"/>
          </w:tcPr>
          <w:p w14:paraId="392C4E02" w14:textId="77777777" w:rsidR="00980E5F" w:rsidRDefault="00980E5F">
            <w:pPr>
              <w:rPr>
                <w:rFonts w:ascii="宋体"/>
                <w:vanish/>
              </w:rPr>
            </w:pPr>
          </w:p>
        </w:tc>
        <w:tc>
          <w:tcPr>
            <w:tcW w:w="0" w:type="auto"/>
            <w:shd w:val="clear" w:color="auto" w:fill="auto"/>
            <w:vAlign w:val="bottom"/>
          </w:tcPr>
          <w:p w14:paraId="392C4E03" w14:textId="77777777" w:rsidR="00980E5F" w:rsidRDefault="00980E5F">
            <w:pPr>
              <w:rPr>
                <w:rFonts w:ascii="宋体"/>
                <w:vanish/>
              </w:rPr>
            </w:pPr>
          </w:p>
        </w:tc>
        <w:tc>
          <w:tcPr>
            <w:tcW w:w="0" w:type="auto"/>
            <w:shd w:val="clear" w:color="auto" w:fill="auto"/>
            <w:vAlign w:val="bottom"/>
          </w:tcPr>
          <w:p w14:paraId="392C4E04" w14:textId="77777777" w:rsidR="00980E5F" w:rsidRDefault="00980E5F">
            <w:pPr>
              <w:rPr>
                <w:rFonts w:ascii="宋体"/>
                <w:vanish/>
              </w:rPr>
            </w:pPr>
          </w:p>
        </w:tc>
        <w:tc>
          <w:tcPr>
            <w:tcW w:w="0" w:type="auto"/>
            <w:gridSpan w:val="3"/>
            <w:shd w:val="clear" w:color="auto" w:fill="auto"/>
            <w:vAlign w:val="bottom"/>
          </w:tcPr>
          <w:p w14:paraId="392C4E05" w14:textId="77777777" w:rsidR="00980E5F" w:rsidRDefault="00980E5F">
            <w:pPr>
              <w:rPr>
                <w:rFonts w:ascii="宋体"/>
                <w:vanish/>
              </w:rPr>
            </w:pPr>
          </w:p>
        </w:tc>
        <w:tc>
          <w:tcPr>
            <w:tcW w:w="0" w:type="auto"/>
            <w:gridSpan w:val="3"/>
            <w:shd w:val="clear" w:color="auto" w:fill="auto"/>
            <w:vAlign w:val="bottom"/>
          </w:tcPr>
          <w:p w14:paraId="392C4E06" w14:textId="77777777" w:rsidR="00980E5F" w:rsidRDefault="00980E5F">
            <w:pPr>
              <w:rPr>
                <w:rFonts w:ascii="宋体"/>
                <w:vanish/>
              </w:rPr>
            </w:pPr>
          </w:p>
        </w:tc>
        <w:tc>
          <w:tcPr>
            <w:tcW w:w="0" w:type="auto"/>
            <w:gridSpan w:val="3"/>
            <w:shd w:val="clear" w:color="auto" w:fill="auto"/>
            <w:vAlign w:val="bottom"/>
          </w:tcPr>
          <w:p w14:paraId="392C4E07" w14:textId="77777777" w:rsidR="00980E5F" w:rsidRDefault="00980E5F">
            <w:pPr>
              <w:rPr>
                <w:rFonts w:ascii="宋体"/>
                <w:vanish/>
              </w:rPr>
            </w:pPr>
          </w:p>
        </w:tc>
        <w:tc>
          <w:tcPr>
            <w:tcW w:w="0" w:type="auto"/>
            <w:gridSpan w:val="3"/>
            <w:shd w:val="clear" w:color="auto" w:fill="auto"/>
            <w:vAlign w:val="bottom"/>
          </w:tcPr>
          <w:p w14:paraId="392C4E08" w14:textId="77777777" w:rsidR="00980E5F" w:rsidRDefault="00980E5F">
            <w:pPr>
              <w:rPr>
                <w:rFonts w:ascii="宋体"/>
                <w:vanish/>
              </w:rPr>
            </w:pPr>
          </w:p>
        </w:tc>
        <w:tc>
          <w:tcPr>
            <w:tcW w:w="0" w:type="auto"/>
            <w:gridSpan w:val="3"/>
            <w:shd w:val="clear" w:color="auto" w:fill="auto"/>
            <w:vAlign w:val="bottom"/>
          </w:tcPr>
          <w:p w14:paraId="392C4E09" w14:textId="77777777" w:rsidR="00980E5F" w:rsidRDefault="00980E5F">
            <w:pPr>
              <w:rPr>
                <w:rFonts w:ascii="宋体"/>
                <w:vanish/>
              </w:rPr>
            </w:pPr>
          </w:p>
        </w:tc>
        <w:tc>
          <w:tcPr>
            <w:tcW w:w="0" w:type="auto"/>
            <w:gridSpan w:val="3"/>
            <w:shd w:val="clear" w:color="auto" w:fill="auto"/>
            <w:vAlign w:val="bottom"/>
          </w:tcPr>
          <w:p w14:paraId="392C4E0A" w14:textId="77777777" w:rsidR="00980E5F" w:rsidRDefault="00980E5F">
            <w:pPr>
              <w:rPr>
                <w:rFonts w:ascii="宋体"/>
                <w:vanish/>
              </w:rPr>
            </w:pPr>
          </w:p>
        </w:tc>
        <w:tc>
          <w:tcPr>
            <w:tcW w:w="0" w:type="auto"/>
            <w:gridSpan w:val="3"/>
            <w:shd w:val="clear" w:color="auto" w:fill="auto"/>
            <w:vAlign w:val="bottom"/>
          </w:tcPr>
          <w:p w14:paraId="392C4E0B" w14:textId="77777777" w:rsidR="00980E5F" w:rsidRDefault="00980E5F">
            <w:pPr>
              <w:rPr>
                <w:rFonts w:ascii="宋体"/>
                <w:vanish/>
              </w:rPr>
            </w:pPr>
          </w:p>
        </w:tc>
        <w:tc>
          <w:tcPr>
            <w:tcW w:w="0" w:type="auto"/>
            <w:gridSpan w:val="3"/>
            <w:shd w:val="clear" w:color="auto" w:fill="auto"/>
            <w:vAlign w:val="bottom"/>
          </w:tcPr>
          <w:p w14:paraId="392C4E0C" w14:textId="77777777" w:rsidR="00980E5F" w:rsidRDefault="00980E5F">
            <w:pPr>
              <w:rPr>
                <w:rFonts w:ascii="宋体"/>
                <w:vanish/>
              </w:rPr>
            </w:pPr>
          </w:p>
        </w:tc>
        <w:tc>
          <w:tcPr>
            <w:tcW w:w="0" w:type="auto"/>
            <w:gridSpan w:val="3"/>
            <w:shd w:val="clear" w:color="auto" w:fill="auto"/>
            <w:vAlign w:val="bottom"/>
          </w:tcPr>
          <w:p w14:paraId="392C4E0D" w14:textId="77777777" w:rsidR="00980E5F" w:rsidRDefault="00980E5F">
            <w:pPr>
              <w:rPr>
                <w:rFonts w:ascii="宋体"/>
                <w:vanish/>
              </w:rPr>
            </w:pPr>
          </w:p>
        </w:tc>
        <w:tc>
          <w:tcPr>
            <w:tcW w:w="0" w:type="auto"/>
            <w:gridSpan w:val="2"/>
            <w:shd w:val="clear" w:color="auto" w:fill="auto"/>
            <w:vAlign w:val="bottom"/>
          </w:tcPr>
          <w:p w14:paraId="392C4E0E" w14:textId="77777777" w:rsidR="00980E5F" w:rsidRDefault="00980E5F">
            <w:pPr>
              <w:rPr>
                <w:rFonts w:ascii="宋体"/>
                <w:vanish/>
              </w:rPr>
            </w:pPr>
          </w:p>
        </w:tc>
        <w:tc>
          <w:tcPr>
            <w:tcW w:w="0" w:type="auto"/>
            <w:shd w:val="clear" w:color="auto" w:fill="auto"/>
            <w:vAlign w:val="bottom"/>
          </w:tcPr>
          <w:p w14:paraId="392C4E0F" w14:textId="77777777" w:rsidR="00980E5F" w:rsidRDefault="00980E5F">
            <w:pPr>
              <w:rPr>
                <w:rFonts w:ascii="宋体"/>
                <w:vanish/>
              </w:rPr>
            </w:pPr>
          </w:p>
        </w:tc>
      </w:tr>
      <w:tr w:rsidR="00980E5F" w14:paraId="392C4E27" w14:textId="77777777">
        <w:trPr>
          <w:hidden/>
        </w:trPr>
        <w:tc>
          <w:tcPr>
            <w:tcW w:w="0" w:type="auto"/>
            <w:gridSpan w:val="3"/>
            <w:shd w:val="clear" w:color="auto" w:fill="auto"/>
            <w:vAlign w:val="bottom"/>
          </w:tcPr>
          <w:p w14:paraId="392C4E11" w14:textId="77777777" w:rsidR="00980E5F" w:rsidRDefault="00980E5F">
            <w:pPr>
              <w:rPr>
                <w:rFonts w:ascii="宋体"/>
                <w:vanish/>
              </w:rPr>
            </w:pPr>
          </w:p>
        </w:tc>
        <w:tc>
          <w:tcPr>
            <w:tcW w:w="0" w:type="auto"/>
            <w:gridSpan w:val="3"/>
            <w:shd w:val="clear" w:color="auto" w:fill="auto"/>
            <w:vAlign w:val="bottom"/>
          </w:tcPr>
          <w:p w14:paraId="392C4E12" w14:textId="77777777" w:rsidR="00980E5F" w:rsidRDefault="00980E5F">
            <w:pPr>
              <w:rPr>
                <w:rFonts w:ascii="宋体"/>
                <w:vanish/>
              </w:rPr>
            </w:pPr>
          </w:p>
        </w:tc>
        <w:tc>
          <w:tcPr>
            <w:tcW w:w="0" w:type="auto"/>
            <w:gridSpan w:val="3"/>
            <w:shd w:val="clear" w:color="auto" w:fill="auto"/>
            <w:vAlign w:val="bottom"/>
          </w:tcPr>
          <w:p w14:paraId="392C4E13" w14:textId="77777777" w:rsidR="00980E5F" w:rsidRDefault="00980E5F">
            <w:pPr>
              <w:rPr>
                <w:rFonts w:ascii="宋体"/>
                <w:vanish/>
              </w:rPr>
            </w:pPr>
          </w:p>
        </w:tc>
        <w:tc>
          <w:tcPr>
            <w:tcW w:w="0" w:type="auto"/>
            <w:gridSpan w:val="3"/>
            <w:shd w:val="clear" w:color="auto" w:fill="auto"/>
            <w:vAlign w:val="bottom"/>
          </w:tcPr>
          <w:p w14:paraId="392C4E14" w14:textId="77777777" w:rsidR="00980E5F" w:rsidRDefault="00980E5F">
            <w:pPr>
              <w:rPr>
                <w:rFonts w:ascii="宋体"/>
                <w:vanish/>
              </w:rPr>
            </w:pPr>
          </w:p>
        </w:tc>
        <w:tc>
          <w:tcPr>
            <w:tcW w:w="0" w:type="auto"/>
            <w:gridSpan w:val="3"/>
            <w:shd w:val="clear" w:color="auto" w:fill="auto"/>
            <w:vAlign w:val="bottom"/>
          </w:tcPr>
          <w:p w14:paraId="392C4E15" w14:textId="77777777" w:rsidR="00980E5F" w:rsidRDefault="00980E5F">
            <w:pPr>
              <w:rPr>
                <w:rFonts w:ascii="宋体"/>
                <w:vanish/>
              </w:rPr>
            </w:pPr>
          </w:p>
        </w:tc>
        <w:tc>
          <w:tcPr>
            <w:tcW w:w="0" w:type="auto"/>
            <w:gridSpan w:val="3"/>
            <w:shd w:val="clear" w:color="auto" w:fill="auto"/>
            <w:vAlign w:val="bottom"/>
          </w:tcPr>
          <w:p w14:paraId="392C4E16" w14:textId="77777777" w:rsidR="00980E5F" w:rsidRDefault="00980E5F">
            <w:pPr>
              <w:rPr>
                <w:rFonts w:ascii="宋体"/>
                <w:vanish/>
              </w:rPr>
            </w:pPr>
          </w:p>
        </w:tc>
        <w:tc>
          <w:tcPr>
            <w:tcW w:w="0" w:type="auto"/>
            <w:gridSpan w:val="3"/>
            <w:shd w:val="clear" w:color="auto" w:fill="auto"/>
            <w:vAlign w:val="bottom"/>
          </w:tcPr>
          <w:p w14:paraId="392C4E17" w14:textId="77777777" w:rsidR="00980E5F" w:rsidRDefault="00980E5F">
            <w:pPr>
              <w:rPr>
                <w:rFonts w:ascii="宋体"/>
                <w:vanish/>
              </w:rPr>
            </w:pPr>
          </w:p>
        </w:tc>
        <w:tc>
          <w:tcPr>
            <w:tcW w:w="0" w:type="auto"/>
            <w:gridSpan w:val="3"/>
            <w:shd w:val="clear" w:color="auto" w:fill="auto"/>
            <w:vAlign w:val="bottom"/>
          </w:tcPr>
          <w:p w14:paraId="392C4E18" w14:textId="77777777" w:rsidR="00980E5F" w:rsidRDefault="00980E5F">
            <w:pPr>
              <w:rPr>
                <w:rFonts w:ascii="宋体"/>
                <w:vanish/>
              </w:rPr>
            </w:pPr>
          </w:p>
        </w:tc>
        <w:tc>
          <w:tcPr>
            <w:tcW w:w="0" w:type="auto"/>
            <w:gridSpan w:val="3"/>
            <w:shd w:val="clear" w:color="auto" w:fill="auto"/>
            <w:vAlign w:val="bottom"/>
          </w:tcPr>
          <w:p w14:paraId="392C4E19" w14:textId="77777777" w:rsidR="00980E5F" w:rsidRDefault="00980E5F">
            <w:pPr>
              <w:rPr>
                <w:rFonts w:ascii="宋体"/>
                <w:vanish/>
              </w:rPr>
            </w:pPr>
          </w:p>
        </w:tc>
        <w:tc>
          <w:tcPr>
            <w:tcW w:w="0" w:type="auto"/>
            <w:shd w:val="clear" w:color="auto" w:fill="auto"/>
            <w:vAlign w:val="bottom"/>
          </w:tcPr>
          <w:p w14:paraId="392C4E1A" w14:textId="77777777" w:rsidR="00980E5F" w:rsidRDefault="00980E5F">
            <w:pPr>
              <w:rPr>
                <w:rFonts w:ascii="宋体"/>
                <w:vanish/>
              </w:rPr>
            </w:pPr>
          </w:p>
        </w:tc>
        <w:tc>
          <w:tcPr>
            <w:tcW w:w="0" w:type="auto"/>
            <w:shd w:val="clear" w:color="auto" w:fill="auto"/>
            <w:vAlign w:val="bottom"/>
          </w:tcPr>
          <w:p w14:paraId="392C4E1B" w14:textId="77777777" w:rsidR="00980E5F" w:rsidRDefault="00980E5F">
            <w:pPr>
              <w:rPr>
                <w:rFonts w:ascii="宋体"/>
                <w:vanish/>
              </w:rPr>
            </w:pPr>
          </w:p>
        </w:tc>
        <w:tc>
          <w:tcPr>
            <w:tcW w:w="0" w:type="auto"/>
            <w:gridSpan w:val="3"/>
            <w:shd w:val="clear" w:color="auto" w:fill="auto"/>
            <w:vAlign w:val="bottom"/>
          </w:tcPr>
          <w:p w14:paraId="392C4E1C" w14:textId="77777777" w:rsidR="00980E5F" w:rsidRDefault="00980E5F">
            <w:pPr>
              <w:rPr>
                <w:rFonts w:ascii="宋体"/>
                <w:vanish/>
              </w:rPr>
            </w:pPr>
          </w:p>
        </w:tc>
        <w:tc>
          <w:tcPr>
            <w:tcW w:w="0" w:type="auto"/>
            <w:gridSpan w:val="3"/>
            <w:shd w:val="clear" w:color="auto" w:fill="auto"/>
            <w:vAlign w:val="bottom"/>
          </w:tcPr>
          <w:p w14:paraId="392C4E1D" w14:textId="77777777" w:rsidR="00980E5F" w:rsidRDefault="00980E5F">
            <w:pPr>
              <w:rPr>
                <w:rFonts w:ascii="宋体"/>
                <w:vanish/>
              </w:rPr>
            </w:pPr>
          </w:p>
        </w:tc>
        <w:tc>
          <w:tcPr>
            <w:tcW w:w="0" w:type="auto"/>
            <w:gridSpan w:val="3"/>
            <w:shd w:val="clear" w:color="auto" w:fill="auto"/>
            <w:vAlign w:val="bottom"/>
          </w:tcPr>
          <w:p w14:paraId="392C4E1E" w14:textId="77777777" w:rsidR="00980E5F" w:rsidRDefault="00980E5F">
            <w:pPr>
              <w:rPr>
                <w:rFonts w:ascii="宋体"/>
                <w:vanish/>
              </w:rPr>
            </w:pPr>
          </w:p>
        </w:tc>
        <w:tc>
          <w:tcPr>
            <w:tcW w:w="0" w:type="auto"/>
            <w:gridSpan w:val="3"/>
            <w:shd w:val="clear" w:color="auto" w:fill="auto"/>
            <w:vAlign w:val="bottom"/>
          </w:tcPr>
          <w:p w14:paraId="392C4E1F" w14:textId="77777777" w:rsidR="00980E5F" w:rsidRDefault="00980E5F">
            <w:pPr>
              <w:rPr>
                <w:rFonts w:ascii="宋体"/>
                <w:vanish/>
              </w:rPr>
            </w:pPr>
          </w:p>
        </w:tc>
        <w:tc>
          <w:tcPr>
            <w:tcW w:w="0" w:type="auto"/>
            <w:gridSpan w:val="3"/>
            <w:shd w:val="clear" w:color="auto" w:fill="auto"/>
            <w:vAlign w:val="bottom"/>
          </w:tcPr>
          <w:p w14:paraId="392C4E20" w14:textId="77777777" w:rsidR="00980E5F" w:rsidRDefault="00980E5F">
            <w:pPr>
              <w:rPr>
                <w:rFonts w:ascii="宋体"/>
                <w:vanish/>
              </w:rPr>
            </w:pPr>
          </w:p>
        </w:tc>
        <w:tc>
          <w:tcPr>
            <w:tcW w:w="0" w:type="auto"/>
            <w:gridSpan w:val="3"/>
            <w:shd w:val="clear" w:color="auto" w:fill="auto"/>
            <w:vAlign w:val="bottom"/>
          </w:tcPr>
          <w:p w14:paraId="392C4E21" w14:textId="77777777" w:rsidR="00980E5F" w:rsidRDefault="00980E5F">
            <w:pPr>
              <w:rPr>
                <w:rFonts w:ascii="宋体"/>
                <w:vanish/>
              </w:rPr>
            </w:pPr>
          </w:p>
        </w:tc>
        <w:tc>
          <w:tcPr>
            <w:tcW w:w="0" w:type="auto"/>
            <w:gridSpan w:val="3"/>
            <w:shd w:val="clear" w:color="auto" w:fill="auto"/>
            <w:vAlign w:val="bottom"/>
          </w:tcPr>
          <w:p w14:paraId="392C4E22" w14:textId="77777777" w:rsidR="00980E5F" w:rsidRDefault="00980E5F">
            <w:pPr>
              <w:rPr>
                <w:rFonts w:ascii="宋体"/>
                <w:vanish/>
              </w:rPr>
            </w:pPr>
          </w:p>
        </w:tc>
        <w:tc>
          <w:tcPr>
            <w:tcW w:w="0" w:type="auto"/>
            <w:gridSpan w:val="3"/>
            <w:shd w:val="clear" w:color="auto" w:fill="auto"/>
            <w:vAlign w:val="bottom"/>
          </w:tcPr>
          <w:p w14:paraId="392C4E23" w14:textId="77777777" w:rsidR="00980E5F" w:rsidRDefault="00980E5F">
            <w:pPr>
              <w:rPr>
                <w:rFonts w:ascii="宋体"/>
                <w:vanish/>
              </w:rPr>
            </w:pPr>
          </w:p>
        </w:tc>
        <w:tc>
          <w:tcPr>
            <w:tcW w:w="0" w:type="auto"/>
            <w:gridSpan w:val="3"/>
            <w:shd w:val="clear" w:color="auto" w:fill="auto"/>
            <w:vAlign w:val="bottom"/>
          </w:tcPr>
          <w:p w14:paraId="392C4E24" w14:textId="77777777" w:rsidR="00980E5F" w:rsidRDefault="00980E5F">
            <w:pPr>
              <w:rPr>
                <w:rFonts w:ascii="宋体"/>
                <w:vanish/>
              </w:rPr>
            </w:pPr>
          </w:p>
        </w:tc>
        <w:tc>
          <w:tcPr>
            <w:tcW w:w="0" w:type="auto"/>
            <w:gridSpan w:val="2"/>
            <w:shd w:val="clear" w:color="auto" w:fill="auto"/>
            <w:vAlign w:val="bottom"/>
          </w:tcPr>
          <w:p w14:paraId="392C4E25" w14:textId="77777777" w:rsidR="00980E5F" w:rsidRDefault="00980E5F">
            <w:pPr>
              <w:rPr>
                <w:rFonts w:ascii="宋体"/>
                <w:vanish/>
              </w:rPr>
            </w:pPr>
          </w:p>
        </w:tc>
        <w:tc>
          <w:tcPr>
            <w:tcW w:w="0" w:type="auto"/>
            <w:shd w:val="clear" w:color="auto" w:fill="auto"/>
            <w:vAlign w:val="bottom"/>
          </w:tcPr>
          <w:p w14:paraId="392C4E26" w14:textId="77777777" w:rsidR="00980E5F" w:rsidRDefault="00980E5F">
            <w:pPr>
              <w:rPr>
                <w:rFonts w:ascii="宋体"/>
                <w:vanish/>
              </w:rPr>
            </w:pPr>
          </w:p>
        </w:tc>
      </w:tr>
      <w:tr w:rsidR="00980E5F" w14:paraId="392C4E3E" w14:textId="77777777">
        <w:trPr>
          <w:hidden/>
        </w:trPr>
        <w:tc>
          <w:tcPr>
            <w:tcW w:w="0" w:type="auto"/>
            <w:gridSpan w:val="3"/>
            <w:shd w:val="clear" w:color="auto" w:fill="auto"/>
            <w:vAlign w:val="bottom"/>
          </w:tcPr>
          <w:p w14:paraId="392C4E28" w14:textId="77777777" w:rsidR="00980E5F" w:rsidRDefault="00980E5F">
            <w:pPr>
              <w:rPr>
                <w:rFonts w:ascii="宋体"/>
                <w:vanish/>
              </w:rPr>
            </w:pPr>
          </w:p>
        </w:tc>
        <w:tc>
          <w:tcPr>
            <w:tcW w:w="0" w:type="auto"/>
            <w:gridSpan w:val="3"/>
            <w:shd w:val="clear" w:color="auto" w:fill="auto"/>
            <w:vAlign w:val="bottom"/>
          </w:tcPr>
          <w:p w14:paraId="392C4E29" w14:textId="77777777" w:rsidR="00980E5F" w:rsidRDefault="00980E5F">
            <w:pPr>
              <w:rPr>
                <w:rFonts w:ascii="宋体"/>
                <w:vanish/>
              </w:rPr>
            </w:pPr>
          </w:p>
        </w:tc>
        <w:tc>
          <w:tcPr>
            <w:tcW w:w="0" w:type="auto"/>
            <w:gridSpan w:val="3"/>
            <w:shd w:val="clear" w:color="auto" w:fill="auto"/>
            <w:vAlign w:val="bottom"/>
          </w:tcPr>
          <w:p w14:paraId="392C4E2A" w14:textId="77777777" w:rsidR="00980E5F" w:rsidRDefault="00980E5F">
            <w:pPr>
              <w:rPr>
                <w:rFonts w:ascii="宋体"/>
                <w:vanish/>
              </w:rPr>
            </w:pPr>
          </w:p>
        </w:tc>
        <w:tc>
          <w:tcPr>
            <w:tcW w:w="0" w:type="auto"/>
            <w:gridSpan w:val="3"/>
            <w:shd w:val="clear" w:color="auto" w:fill="auto"/>
            <w:vAlign w:val="bottom"/>
          </w:tcPr>
          <w:p w14:paraId="392C4E2B" w14:textId="77777777" w:rsidR="00980E5F" w:rsidRDefault="00980E5F">
            <w:pPr>
              <w:rPr>
                <w:rFonts w:ascii="宋体"/>
                <w:vanish/>
              </w:rPr>
            </w:pPr>
          </w:p>
        </w:tc>
        <w:tc>
          <w:tcPr>
            <w:tcW w:w="0" w:type="auto"/>
            <w:gridSpan w:val="3"/>
            <w:shd w:val="clear" w:color="auto" w:fill="auto"/>
            <w:vAlign w:val="bottom"/>
          </w:tcPr>
          <w:p w14:paraId="392C4E2C" w14:textId="77777777" w:rsidR="00980E5F" w:rsidRDefault="00980E5F">
            <w:pPr>
              <w:rPr>
                <w:rFonts w:ascii="宋体"/>
                <w:vanish/>
              </w:rPr>
            </w:pPr>
          </w:p>
        </w:tc>
        <w:tc>
          <w:tcPr>
            <w:tcW w:w="0" w:type="auto"/>
            <w:gridSpan w:val="3"/>
            <w:shd w:val="clear" w:color="auto" w:fill="auto"/>
            <w:vAlign w:val="bottom"/>
          </w:tcPr>
          <w:p w14:paraId="392C4E2D" w14:textId="77777777" w:rsidR="00980E5F" w:rsidRDefault="00980E5F">
            <w:pPr>
              <w:rPr>
                <w:rFonts w:ascii="宋体"/>
                <w:vanish/>
              </w:rPr>
            </w:pPr>
          </w:p>
        </w:tc>
        <w:tc>
          <w:tcPr>
            <w:tcW w:w="0" w:type="auto"/>
            <w:gridSpan w:val="3"/>
            <w:shd w:val="clear" w:color="auto" w:fill="auto"/>
            <w:vAlign w:val="bottom"/>
          </w:tcPr>
          <w:p w14:paraId="392C4E2E" w14:textId="77777777" w:rsidR="00980E5F" w:rsidRDefault="00980E5F">
            <w:pPr>
              <w:rPr>
                <w:rFonts w:ascii="宋体"/>
                <w:vanish/>
              </w:rPr>
            </w:pPr>
          </w:p>
        </w:tc>
        <w:tc>
          <w:tcPr>
            <w:tcW w:w="0" w:type="auto"/>
            <w:gridSpan w:val="3"/>
            <w:shd w:val="clear" w:color="auto" w:fill="auto"/>
            <w:vAlign w:val="bottom"/>
          </w:tcPr>
          <w:p w14:paraId="392C4E2F" w14:textId="77777777" w:rsidR="00980E5F" w:rsidRDefault="00980E5F">
            <w:pPr>
              <w:rPr>
                <w:rFonts w:ascii="宋体"/>
                <w:vanish/>
              </w:rPr>
            </w:pPr>
          </w:p>
        </w:tc>
        <w:tc>
          <w:tcPr>
            <w:tcW w:w="0" w:type="auto"/>
            <w:gridSpan w:val="3"/>
            <w:shd w:val="clear" w:color="auto" w:fill="auto"/>
            <w:vAlign w:val="bottom"/>
          </w:tcPr>
          <w:p w14:paraId="392C4E30" w14:textId="77777777" w:rsidR="00980E5F" w:rsidRDefault="00980E5F">
            <w:pPr>
              <w:rPr>
                <w:rFonts w:ascii="宋体"/>
                <w:vanish/>
              </w:rPr>
            </w:pPr>
          </w:p>
        </w:tc>
        <w:tc>
          <w:tcPr>
            <w:tcW w:w="0" w:type="auto"/>
            <w:shd w:val="clear" w:color="auto" w:fill="auto"/>
            <w:vAlign w:val="bottom"/>
          </w:tcPr>
          <w:p w14:paraId="392C4E31" w14:textId="77777777" w:rsidR="00980E5F" w:rsidRDefault="00980E5F">
            <w:pPr>
              <w:rPr>
                <w:rFonts w:ascii="宋体"/>
                <w:vanish/>
              </w:rPr>
            </w:pPr>
          </w:p>
        </w:tc>
        <w:tc>
          <w:tcPr>
            <w:tcW w:w="0" w:type="auto"/>
            <w:shd w:val="clear" w:color="auto" w:fill="auto"/>
            <w:vAlign w:val="bottom"/>
          </w:tcPr>
          <w:p w14:paraId="392C4E32" w14:textId="77777777" w:rsidR="00980E5F" w:rsidRDefault="00980E5F">
            <w:pPr>
              <w:rPr>
                <w:rFonts w:ascii="宋体"/>
                <w:vanish/>
              </w:rPr>
            </w:pPr>
          </w:p>
        </w:tc>
        <w:tc>
          <w:tcPr>
            <w:tcW w:w="0" w:type="auto"/>
            <w:gridSpan w:val="3"/>
            <w:shd w:val="clear" w:color="auto" w:fill="auto"/>
            <w:vAlign w:val="bottom"/>
          </w:tcPr>
          <w:p w14:paraId="392C4E33" w14:textId="77777777" w:rsidR="00980E5F" w:rsidRDefault="00980E5F">
            <w:pPr>
              <w:rPr>
                <w:rFonts w:ascii="宋体"/>
                <w:vanish/>
              </w:rPr>
            </w:pPr>
          </w:p>
        </w:tc>
        <w:tc>
          <w:tcPr>
            <w:tcW w:w="0" w:type="auto"/>
            <w:gridSpan w:val="3"/>
            <w:shd w:val="clear" w:color="auto" w:fill="auto"/>
            <w:vAlign w:val="bottom"/>
          </w:tcPr>
          <w:p w14:paraId="392C4E34" w14:textId="77777777" w:rsidR="00980E5F" w:rsidRDefault="00980E5F">
            <w:pPr>
              <w:rPr>
                <w:rFonts w:ascii="宋体"/>
                <w:vanish/>
              </w:rPr>
            </w:pPr>
          </w:p>
        </w:tc>
        <w:tc>
          <w:tcPr>
            <w:tcW w:w="0" w:type="auto"/>
            <w:gridSpan w:val="3"/>
            <w:shd w:val="clear" w:color="auto" w:fill="auto"/>
            <w:vAlign w:val="bottom"/>
          </w:tcPr>
          <w:p w14:paraId="392C4E35" w14:textId="77777777" w:rsidR="00980E5F" w:rsidRDefault="00980E5F">
            <w:pPr>
              <w:rPr>
                <w:rFonts w:ascii="宋体"/>
                <w:vanish/>
              </w:rPr>
            </w:pPr>
          </w:p>
        </w:tc>
        <w:tc>
          <w:tcPr>
            <w:tcW w:w="0" w:type="auto"/>
            <w:gridSpan w:val="3"/>
            <w:shd w:val="clear" w:color="auto" w:fill="auto"/>
            <w:vAlign w:val="bottom"/>
          </w:tcPr>
          <w:p w14:paraId="392C4E36" w14:textId="77777777" w:rsidR="00980E5F" w:rsidRDefault="00980E5F">
            <w:pPr>
              <w:rPr>
                <w:rFonts w:ascii="宋体"/>
                <w:vanish/>
              </w:rPr>
            </w:pPr>
          </w:p>
        </w:tc>
        <w:tc>
          <w:tcPr>
            <w:tcW w:w="0" w:type="auto"/>
            <w:gridSpan w:val="3"/>
            <w:shd w:val="clear" w:color="auto" w:fill="auto"/>
            <w:vAlign w:val="bottom"/>
          </w:tcPr>
          <w:p w14:paraId="392C4E37" w14:textId="77777777" w:rsidR="00980E5F" w:rsidRDefault="00980E5F">
            <w:pPr>
              <w:rPr>
                <w:rFonts w:ascii="宋体"/>
                <w:vanish/>
              </w:rPr>
            </w:pPr>
          </w:p>
        </w:tc>
        <w:tc>
          <w:tcPr>
            <w:tcW w:w="0" w:type="auto"/>
            <w:gridSpan w:val="3"/>
            <w:shd w:val="clear" w:color="auto" w:fill="auto"/>
            <w:vAlign w:val="bottom"/>
          </w:tcPr>
          <w:p w14:paraId="392C4E38" w14:textId="77777777" w:rsidR="00980E5F" w:rsidRDefault="00980E5F">
            <w:pPr>
              <w:rPr>
                <w:rFonts w:ascii="宋体"/>
                <w:vanish/>
              </w:rPr>
            </w:pPr>
          </w:p>
        </w:tc>
        <w:tc>
          <w:tcPr>
            <w:tcW w:w="0" w:type="auto"/>
            <w:gridSpan w:val="3"/>
            <w:shd w:val="clear" w:color="auto" w:fill="auto"/>
            <w:vAlign w:val="bottom"/>
          </w:tcPr>
          <w:p w14:paraId="392C4E39" w14:textId="77777777" w:rsidR="00980E5F" w:rsidRDefault="00980E5F">
            <w:pPr>
              <w:rPr>
                <w:rFonts w:ascii="宋体"/>
                <w:vanish/>
              </w:rPr>
            </w:pPr>
          </w:p>
        </w:tc>
        <w:tc>
          <w:tcPr>
            <w:tcW w:w="0" w:type="auto"/>
            <w:gridSpan w:val="3"/>
            <w:shd w:val="clear" w:color="auto" w:fill="auto"/>
            <w:vAlign w:val="bottom"/>
          </w:tcPr>
          <w:p w14:paraId="392C4E3A" w14:textId="77777777" w:rsidR="00980E5F" w:rsidRDefault="00980E5F">
            <w:pPr>
              <w:rPr>
                <w:rFonts w:ascii="宋体"/>
                <w:vanish/>
              </w:rPr>
            </w:pPr>
          </w:p>
        </w:tc>
        <w:tc>
          <w:tcPr>
            <w:tcW w:w="0" w:type="auto"/>
            <w:gridSpan w:val="3"/>
            <w:shd w:val="clear" w:color="auto" w:fill="auto"/>
            <w:vAlign w:val="bottom"/>
          </w:tcPr>
          <w:p w14:paraId="392C4E3B" w14:textId="77777777" w:rsidR="00980E5F" w:rsidRDefault="00980E5F">
            <w:pPr>
              <w:rPr>
                <w:rFonts w:ascii="宋体"/>
                <w:vanish/>
              </w:rPr>
            </w:pPr>
          </w:p>
        </w:tc>
        <w:tc>
          <w:tcPr>
            <w:tcW w:w="0" w:type="auto"/>
            <w:gridSpan w:val="2"/>
            <w:shd w:val="clear" w:color="auto" w:fill="auto"/>
            <w:vAlign w:val="bottom"/>
          </w:tcPr>
          <w:p w14:paraId="392C4E3C" w14:textId="77777777" w:rsidR="00980E5F" w:rsidRDefault="00980E5F">
            <w:pPr>
              <w:rPr>
                <w:rFonts w:ascii="宋体"/>
                <w:vanish/>
              </w:rPr>
            </w:pPr>
          </w:p>
        </w:tc>
        <w:tc>
          <w:tcPr>
            <w:tcW w:w="0" w:type="auto"/>
            <w:shd w:val="clear" w:color="auto" w:fill="auto"/>
            <w:vAlign w:val="bottom"/>
          </w:tcPr>
          <w:p w14:paraId="392C4E3D" w14:textId="77777777" w:rsidR="00980E5F" w:rsidRDefault="00980E5F">
            <w:pPr>
              <w:rPr>
                <w:rFonts w:ascii="宋体"/>
                <w:vanish/>
              </w:rPr>
            </w:pPr>
          </w:p>
        </w:tc>
      </w:tr>
      <w:tr w:rsidR="00980E5F" w14:paraId="392C4E55" w14:textId="77777777">
        <w:trPr>
          <w:hidden/>
        </w:trPr>
        <w:tc>
          <w:tcPr>
            <w:tcW w:w="0" w:type="auto"/>
            <w:gridSpan w:val="3"/>
            <w:shd w:val="clear" w:color="auto" w:fill="auto"/>
            <w:vAlign w:val="bottom"/>
          </w:tcPr>
          <w:p w14:paraId="392C4E3F" w14:textId="77777777" w:rsidR="00980E5F" w:rsidRDefault="00980E5F">
            <w:pPr>
              <w:rPr>
                <w:rFonts w:ascii="宋体"/>
                <w:vanish/>
              </w:rPr>
            </w:pPr>
          </w:p>
        </w:tc>
        <w:tc>
          <w:tcPr>
            <w:tcW w:w="0" w:type="auto"/>
            <w:gridSpan w:val="3"/>
            <w:shd w:val="clear" w:color="auto" w:fill="auto"/>
            <w:vAlign w:val="bottom"/>
          </w:tcPr>
          <w:p w14:paraId="392C4E40" w14:textId="77777777" w:rsidR="00980E5F" w:rsidRDefault="00980E5F">
            <w:pPr>
              <w:rPr>
                <w:rFonts w:ascii="宋体"/>
                <w:vanish/>
              </w:rPr>
            </w:pPr>
          </w:p>
        </w:tc>
        <w:tc>
          <w:tcPr>
            <w:tcW w:w="0" w:type="auto"/>
            <w:gridSpan w:val="3"/>
            <w:shd w:val="clear" w:color="auto" w:fill="auto"/>
            <w:vAlign w:val="bottom"/>
          </w:tcPr>
          <w:p w14:paraId="392C4E41" w14:textId="77777777" w:rsidR="00980E5F" w:rsidRDefault="00980E5F">
            <w:pPr>
              <w:rPr>
                <w:rFonts w:ascii="宋体"/>
                <w:vanish/>
              </w:rPr>
            </w:pPr>
          </w:p>
        </w:tc>
        <w:tc>
          <w:tcPr>
            <w:tcW w:w="0" w:type="auto"/>
            <w:gridSpan w:val="3"/>
            <w:shd w:val="clear" w:color="auto" w:fill="auto"/>
            <w:vAlign w:val="bottom"/>
          </w:tcPr>
          <w:p w14:paraId="392C4E42" w14:textId="77777777" w:rsidR="00980E5F" w:rsidRDefault="00980E5F">
            <w:pPr>
              <w:rPr>
                <w:rFonts w:ascii="宋体"/>
                <w:vanish/>
              </w:rPr>
            </w:pPr>
          </w:p>
        </w:tc>
        <w:tc>
          <w:tcPr>
            <w:tcW w:w="0" w:type="auto"/>
            <w:gridSpan w:val="3"/>
            <w:shd w:val="clear" w:color="auto" w:fill="auto"/>
            <w:vAlign w:val="bottom"/>
          </w:tcPr>
          <w:p w14:paraId="392C4E43" w14:textId="77777777" w:rsidR="00980E5F" w:rsidRDefault="00980E5F">
            <w:pPr>
              <w:rPr>
                <w:rFonts w:ascii="宋体"/>
                <w:vanish/>
              </w:rPr>
            </w:pPr>
          </w:p>
        </w:tc>
        <w:tc>
          <w:tcPr>
            <w:tcW w:w="0" w:type="auto"/>
            <w:gridSpan w:val="3"/>
            <w:shd w:val="clear" w:color="auto" w:fill="auto"/>
            <w:vAlign w:val="bottom"/>
          </w:tcPr>
          <w:p w14:paraId="392C4E44" w14:textId="77777777" w:rsidR="00980E5F" w:rsidRDefault="00980E5F">
            <w:pPr>
              <w:rPr>
                <w:rFonts w:ascii="宋体"/>
                <w:vanish/>
              </w:rPr>
            </w:pPr>
          </w:p>
        </w:tc>
        <w:tc>
          <w:tcPr>
            <w:tcW w:w="0" w:type="auto"/>
            <w:gridSpan w:val="3"/>
            <w:shd w:val="clear" w:color="auto" w:fill="auto"/>
            <w:vAlign w:val="bottom"/>
          </w:tcPr>
          <w:p w14:paraId="392C4E45" w14:textId="77777777" w:rsidR="00980E5F" w:rsidRDefault="00980E5F">
            <w:pPr>
              <w:rPr>
                <w:rFonts w:ascii="宋体"/>
                <w:vanish/>
              </w:rPr>
            </w:pPr>
          </w:p>
        </w:tc>
        <w:tc>
          <w:tcPr>
            <w:tcW w:w="0" w:type="auto"/>
            <w:gridSpan w:val="3"/>
            <w:shd w:val="clear" w:color="auto" w:fill="auto"/>
            <w:vAlign w:val="bottom"/>
          </w:tcPr>
          <w:p w14:paraId="392C4E46" w14:textId="77777777" w:rsidR="00980E5F" w:rsidRDefault="00980E5F">
            <w:pPr>
              <w:rPr>
                <w:rFonts w:ascii="宋体"/>
                <w:vanish/>
              </w:rPr>
            </w:pPr>
          </w:p>
        </w:tc>
        <w:tc>
          <w:tcPr>
            <w:tcW w:w="0" w:type="auto"/>
            <w:gridSpan w:val="3"/>
            <w:shd w:val="clear" w:color="auto" w:fill="auto"/>
            <w:vAlign w:val="bottom"/>
          </w:tcPr>
          <w:p w14:paraId="392C4E47" w14:textId="77777777" w:rsidR="00980E5F" w:rsidRDefault="00980E5F">
            <w:pPr>
              <w:rPr>
                <w:rFonts w:ascii="宋体"/>
                <w:vanish/>
              </w:rPr>
            </w:pPr>
          </w:p>
        </w:tc>
        <w:tc>
          <w:tcPr>
            <w:tcW w:w="0" w:type="auto"/>
            <w:shd w:val="clear" w:color="auto" w:fill="auto"/>
            <w:vAlign w:val="bottom"/>
          </w:tcPr>
          <w:p w14:paraId="392C4E48" w14:textId="77777777" w:rsidR="00980E5F" w:rsidRDefault="00980E5F">
            <w:pPr>
              <w:rPr>
                <w:rFonts w:ascii="宋体"/>
                <w:vanish/>
              </w:rPr>
            </w:pPr>
          </w:p>
        </w:tc>
        <w:tc>
          <w:tcPr>
            <w:tcW w:w="0" w:type="auto"/>
            <w:shd w:val="clear" w:color="auto" w:fill="auto"/>
            <w:vAlign w:val="bottom"/>
          </w:tcPr>
          <w:p w14:paraId="392C4E49" w14:textId="77777777" w:rsidR="00980E5F" w:rsidRDefault="00980E5F">
            <w:pPr>
              <w:rPr>
                <w:rFonts w:ascii="宋体"/>
                <w:vanish/>
              </w:rPr>
            </w:pPr>
          </w:p>
        </w:tc>
        <w:tc>
          <w:tcPr>
            <w:tcW w:w="0" w:type="auto"/>
            <w:gridSpan w:val="3"/>
            <w:shd w:val="clear" w:color="auto" w:fill="auto"/>
            <w:vAlign w:val="bottom"/>
          </w:tcPr>
          <w:p w14:paraId="392C4E4A" w14:textId="77777777" w:rsidR="00980E5F" w:rsidRDefault="00980E5F">
            <w:pPr>
              <w:rPr>
                <w:rFonts w:ascii="宋体"/>
                <w:vanish/>
              </w:rPr>
            </w:pPr>
          </w:p>
        </w:tc>
        <w:tc>
          <w:tcPr>
            <w:tcW w:w="0" w:type="auto"/>
            <w:gridSpan w:val="3"/>
            <w:shd w:val="clear" w:color="auto" w:fill="auto"/>
            <w:vAlign w:val="bottom"/>
          </w:tcPr>
          <w:p w14:paraId="392C4E4B" w14:textId="77777777" w:rsidR="00980E5F" w:rsidRDefault="00980E5F">
            <w:pPr>
              <w:rPr>
                <w:rFonts w:ascii="宋体"/>
                <w:vanish/>
              </w:rPr>
            </w:pPr>
          </w:p>
        </w:tc>
        <w:tc>
          <w:tcPr>
            <w:tcW w:w="0" w:type="auto"/>
            <w:gridSpan w:val="3"/>
            <w:shd w:val="clear" w:color="auto" w:fill="auto"/>
            <w:vAlign w:val="bottom"/>
          </w:tcPr>
          <w:p w14:paraId="392C4E4C" w14:textId="77777777" w:rsidR="00980E5F" w:rsidRDefault="00980E5F">
            <w:pPr>
              <w:rPr>
                <w:rFonts w:ascii="宋体"/>
                <w:vanish/>
              </w:rPr>
            </w:pPr>
          </w:p>
        </w:tc>
        <w:tc>
          <w:tcPr>
            <w:tcW w:w="0" w:type="auto"/>
            <w:gridSpan w:val="3"/>
            <w:shd w:val="clear" w:color="auto" w:fill="auto"/>
            <w:vAlign w:val="bottom"/>
          </w:tcPr>
          <w:p w14:paraId="392C4E4D" w14:textId="77777777" w:rsidR="00980E5F" w:rsidRDefault="00980E5F">
            <w:pPr>
              <w:rPr>
                <w:rFonts w:ascii="宋体"/>
                <w:vanish/>
              </w:rPr>
            </w:pPr>
          </w:p>
        </w:tc>
        <w:tc>
          <w:tcPr>
            <w:tcW w:w="0" w:type="auto"/>
            <w:gridSpan w:val="3"/>
            <w:shd w:val="clear" w:color="auto" w:fill="auto"/>
            <w:vAlign w:val="bottom"/>
          </w:tcPr>
          <w:p w14:paraId="392C4E4E" w14:textId="77777777" w:rsidR="00980E5F" w:rsidRDefault="00980E5F">
            <w:pPr>
              <w:rPr>
                <w:rFonts w:ascii="宋体"/>
                <w:vanish/>
              </w:rPr>
            </w:pPr>
          </w:p>
        </w:tc>
        <w:tc>
          <w:tcPr>
            <w:tcW w:w="0" w:type="auto"/>
            <w:gridSpan w:val="3"/>
            <w:shd w:val="clear" w:color="auto" w:fill="auto"/>
            <w:vAlign w:val="bottom"/>
          </w:tcPr>
          <w:p w14:paraId="392C4E4F" w14:textId="77777777" w:rsidR="00980E5F" w:rsidRDefault="00980E5F">
            <w:pPr>
              <w:rPr>
                <w:rFonts w:ascii="宋体"/>
                <w:vanish/>
              </w:rPr>
            </w:pPr>
          </w:p>
        </w:tc>
        <w:tc>
          <w:tcPr>
            <w:tcW w:w="0" w:type="auto"/>
            <w:gridSpan w:val="3"/>
            <w:shd w:val="clear" w:color="auto" w:fill="auto"/>
            <w:vAlign w:val="bottom"/>
          </w:tcPr>
          <w:p w14:paraId="392C4E50" w14:textId="77777777" w:rsidR="00980E5F" w:rsidRDefault="00980E5F">
            <w:pPr>
              <w:rPr>
                <w:rFonts w:ascii="宋体"/>
                <w:vanish/>
              </w:rPr>
            </w:pPr>
          </w:p>
        </w:tc>
        <w:tc>
          <w:tcPr>
            <w:tcW w:w="0" w:type="auto"/>
            <w:gridSpan w:val="3"/>
            <w:shd w:val="clear" w:color="auto" w:fill="auto"/>
            <w:vAlign w:val="bottom"/>
          </w:tcPr>
          <w:p w14:paraId="392C4E51" w14:textId="77777777" w:rsidR="00980E5F" w:rsidRDefault="00980E5F">
            <w:pPr>
              <w:rPr>
                <w:rFonts w:ascii="宋体"/>
                <w:vanish/>
              </w:rPr>
            </w:pPr>
          </w:p>
        </w:tc>
        <w:tc>
          <w:tcPr>
            <w:tcW w:w="0" w:type="auto"/>
            <w:gridSpan w:val="3"/>
            <w:shd w:val="clear" w:color="auto" w:fill="auto"/>
            <w:vAlign w:val="bottom"/>
          </w:tcPr>
          <w:p w14:paraId="392C4E52" w14:textId="77777777" w:rsidR="00980E5F" w:rsidRDefault="00980E5F">
            <w:pPr>
              <w:rPr>
                <w:rFonts w:ascii="宋体"/>
                <w:vanish/>
              </w:rPr>
            </w:pPr>
          </w:p>
        </w:tc>
        <w:tc>
          <w:tcPr>
            <w:tcW w:w="0" w:type="auto"/>
            <w:gridSpan w:val="2"/>
            <w:shd w:val="clear" w:color="auto" w:fill="auto"/>
            <w:vAlign w:val="bottom"/>
          </w:tcPr>
          <w:p w14:paraId="392C4E53" w14:textId="77777777" w:rsidR="00980E5F" w:rsidRDefault="00980E5F">
            <w:pPr>
              <w:rPr>
                <w:rFonts w:ascii="宋体"/>
                <w:vanish/>
              </w:rPr>
            </w:pPr>
          </w:p>
        </w:tc>
        <w:tc>
          <w:tcPr>
            <w:tcW w:w="0" w:type="auto"/>
            <w:shd w:val="clear" w:color="auto" w:fill="auto"/>
            <w:vAlign w:val="bottom"/>
          </w:tcPr>
          <w:p w14:paraId="392C4E54" w14:textId="77777777" w:rsidR="00980E5F" w:rsidRDefault="00980E5F">
            <w:pPr>
              <w:rPr>
                <w:rFonts w:ascii="宋体"/>
                <w:vanish/>
              </w:rPr>
            </w:pPr>
          </w:p>
        </w:tc>
      </w:tr>
      <w:tr w:rsidR="00980E5F" w14:paraId="392C4E6C" w14:textId="77777777">
        <w:trPr>
          <w:hidden/>
        </w:trPr>
        <w:tc>
          <w:tcPr>
            <w:tcW w:w="0" w:type="auto"/>
            <w:gridSpan w:val="3"/>
            <w:shd w:val="clear" w:color="auto" w:fill="auto"/>
            <w:vAlign w:val="bottom"/>
          </w:tcPr>
          <w:p w14:paraId="392C4E56" w14:textId="77777777" w:rsidR="00980E5F" w:rsidRDefault="00980E5F">
            <w:pPr>
              <w:rPr>
                <w:rFonts w:ascii="宋体"/>
                <w:vanish/>
              </w:rPr>
            </w:pPr>
          </w:p>
        </w:tc>
        <w:tc>
          <w:tcPr>
            <w:tcW w:w="0" w:type="auto"/>
            <w:gridSpan w:val="3"/>
            <w:shd w:val="clear" w:color="auto" w:fill="auto"/>
            <w:vAlign w:val="bottom"/>
          </w:tcPr>
          <w:p w14:paraId="392C4E57" w14:textId="77777777" w:rsidR="00980E5F" w:rsidRDefault="00980E5F">
            <w:pPr>
              <w:rPr>
                <w:rFonts w:ascii="宋体"/>
                <w:vanish/>
              </w:rPr>
            </w:pPr>
          </w:p>
        </w:tc>
        <w:tc>
          <w:tcPr>
            <w:tcW w:w="0" w:type="auto"/>
            <w:gridSpan w:val="3"/>
            <w:shd w:val="clear" w:color="auto" w:fill="auto"/>
            <w:vAlign w:val="bottom"/>
          </w:tcPr>
          <w:p w14:paraId="392C4E58" w14:textId="77777777" w:rsidR="00980E5F" w:rsidRDefault="00980E5F">
            <w:pPr>
              <w:rPr>
                <w:rFonts w:ascii="宋体"/>
                <w:vanish/>
              </w:rPr>
            </w:pPr>
          </w:p>
        </w:tc>
        <w:tc>
          <w:tcPr>
            <w:tcW w:w="0" w:type="auto"/>
            <w:gridSpan w:val="3"/>
            <w:shd w:val="clear" w:color="auto" w:fill="auto"/>
            <w:vAlign w:val="bottom"/>
          </w:tcPr>
          <w:p w14:paraId="392C4E59" w14:textId="77777777" w:rsidR="00980E5F" w:rsidRDefault="00980E5F">
            <w:pPr>
              <w:rPr>
                <w:rFonts w:ascii="宋体"/>
                <w:vanish/>
              </w:rPr>
            </w:pPr>
          </w:p>
        </w:tc>
        <w:tc>
          <w:tcPr>
            <w:tcW w:w="0" w:type="auto"/>
            <w:gridSpan w:val="3"/>
            <w:shd w:val="clear" w:color="auto" w:fill="auto"/>
            <w:vAlign w:val="bottom"/>
          </w:tcPr>
          <w:p w14:paraId="392C4E5A" w14:textId="77777777" w:rsidR="00980E5F" w:rsidRDefault="00980E5F">
            <w:pPr>
              <w:rPr>
                <w:rFonts w:ascii="宋体"/>
                <w:vanish/>
              </w:rPr>
            </w:pPr>
          </w:p>
        </w:tc>
        <w:tc>
          <w:tcPr>
            <w:tcW w:w="0" w:type="auto"/>
            <w:gridSpan w:val="3"/>
            <w:shd w:val="clear" w:color="auto" w:fill="auto"/>
            <w:vAlign w:val="bottom"/>
          </w:tcPr>
          <w:p w14:paraId="392C4E5B" w14:textId="77777777" w:rsidR="00980E5F" w:rsidRDefault="00980E5F">
            <w:pPr>
              <w:rPr>
                <w:rFonts w:ascii="宋体"/>
                <w:vanish/>
              </w:rPr>
            </w:pPr>
          </w:p>
        </w:tc>
        <w:tc>
          <w:tcPr>
            <w:tcW w:w="0" w:type="auto"/>
            <w:gridSpan w:val="3"/>
            <w:shd w:val="clear" w:color="auto" w:fill="auto"/>
            <w:vAlign w:val="bottom"/>
          </w:tcPr>
          <w:p w14:paraId="392C4E5C" w14:textId="77777777" w:rsidR="00980E5F" w:rsidRDefault="00980E5F">
            <w:pPr>
              <w:rPr>
                <w:rFonts w:ascii="宋体"/>
                <w:vanish/>
              </w:rPr>
            </w:pPr>
          </w:p>
        </w:tc>
        <w:tc>
          <w:tcPr>
            <w:tcW w:w="0" w:type="auto"/>
            <w:gridSpan w:val="3"/>
            <w:shd w:val="clear" w:color="auto" w:fill="auto"/>
            <w:vAlign w:val="bottom"/>
          </w:tcPr>
          <w:p w14:paraId="392C4E5D" w14:textId="77777777" w:rsidR="00980E5F" w:rsidRDefault="00980E5F">
            <w:pPr>
              <w:rPr>
                <w:rFonts w:ascii="宋体"/>
                <w:vanish/>
              </w:rPr>
            </w:pPr>
          </w:p>
        </w:tc>
        <w:tc>
          <w:tcPr>
            <w:tcW w:w="0" w:type="auto"/>
            <w:gridSpan w:val="3"/>
            <w:shd w:val="clear" w:color="auto" w:fill="auto"/>
            <w:vAlign w:val="bottom"/>
          </w:tcPr>
          <w:p w14:paraId="392C4E5E" w14:textId="77777777" w:rsidR="00980E5F" w:rsidRDefault="00980E5F">
            <w:pPr>
              <w:rPr>
                <w:rFonts w:ascii="宋体"/>
                <w:vanish/>
              </w:rPr>
            </w:pPr>
          </w:p>
        </w:tc>
        <w:tc>
          <w:tcPr>
            <w:tcW w:w="0" w:type="auto"/>
            <w:shd w:val="clear" w:color="auto" w:fill="auto"/>
            <w:vAlign w:val="bottom"/>
          </w:tcPr>
          <w:p w14:paraId="392C4E5F" w14:textId="77777777" w:rsidR="00980E5F" w:rsidRDefault="00980E5F">
            <w:pPr>
              <w:rPr>
                <w:rFonts w:ascii="宋体"/>
                <w:vanish/>
              </w:rPr>
            </w:pPr>
          </w:p>
        </w:tc>
        <w:tc>
          <w:tcPr>
            <w:tcW w:w="0" w:type="auto"/>
            <w:shd w:val="clear" w:color="auto" w:fill="auto"/>
            <w:vAlign w:val="bottom"/>
          </w:tcPr>
          <w:p w14:paraId="392C4E60" w14:textId="77777777" w:rsidR="00980E5F" w:rsidRDefault="00980E5F">
            <w:pPr>
              <w:rPr>
                <w:rFonts w:ascii="宋体"/>
                <w:vanish/>
              </w:rPr>
            </w:pPr>
          </w:p>
        </w:tc>
        <w:tc>
          <w:tcPr>
            <w:tcW w:w="0" w:type="auto"/>
            <w:gridSpan w:val="3"/>
            <w:shd w:val="clear" w:color="auto" w:fill="auto"/>
            <w:vAlign w:val="bottom"/>
          </w:tcPr>
          <w:p w14:paraId="392C4E61" w14:textId="77777777" w:rsidR="00980E5F" w:rsidRDefault="00980E5F">
            <w:pPr>
              <w:rPr>
                <w:rFonts w:ascii="宋体"/>
                <w:vanish/>
              </w:rPr>
            </w:pPr>
          </w:p>
        </w:tc>
        <w:tc>
          <w:tcPr>
            <w:tcW w:w="0" w:type="auto"/>
            <w:gridSpan w:val="3"/>
            <w:shd w:val="clear" w:color="auto" w:fill="auto"/>
            <w:vAlign w:val="bottom"/>
          </w:tcPr>
          <w:p w14:paraId="392C4E62" w14:textId="77777777" w:rsidR="00980E5F" w:rsidRDefault="00980E5F">
            <w:pPr>
              <w:rPr>
                <w:rFonts w:ascii="宋体"/>
                <w:vanish/>
              </w:rPr>
            </w:pPr>
          </w:p>
        </w:tc>
        <w:tc>
          <w:tcPr>
            <w:tcW w:w="0" w:type="auto"/>
            <w:gridSpan w:val="3"/>
            <w:shd w:val="clear" w:color="auto" w:fill="auto"/>
            <w:vAlign w:val="bottom"/>
          </w:tcPr>
          <w:p w14:paraId="392C4E63" w14:textId="77777777" w:rsidR="00980E5F" w:rsidRDefault="00980E5F">
            <w:pPr>
              <w:rPr>
                <w:rFonts w:ascii="宋体"/>
                <w:vanish/>
              </w:rPr>
            </w:pPr>
          </w:p>
        </w:tc>
        <w:tc>
          <w:tcPr>
            <w:tcW w:w="0" w:type="auto"/>
            <w:gridSpan w:val="3"/>
            <w:shd w:val="clear" w:color="auto" w:fill="auto"/>
            <w:vAlign w:val="bottom"/>
          </w:tcPr>
          <w:p w14:paraId="392C4E64" w14:textId="77777777" w:rsidR="00980E5F" w:rsidRDefault="00980E5F">
            <w:pPr>
              <w:rPr>
                <w:rFonts w:ascii="宋体"/>
                <w:vanish/>
              </w:rPr>
            </w:pPr>
          </w:p>
        </w:tc>
        <w:tc>
          <w:tcPr>
            <w:tcW w:w="0" w:type="auto"/>
            <w:gridSpan w:val="3"/>
            <w:shd w:val="clear" w:color="auto" w:fill="auto"/>
            <w:vAlign w:val="bottom"/>
          </w:tcPr>
          <w:p w14:paraId="392C4E65" w14:textId="77777777" w:rsidR="00980E5F" w:rsidRDefault="00980E5F">
            <w:pPr>
              <w:rPr>
                <w:rFonts w:ascii="宋体"/>
                <w:vanish/>
              </w:rPr>
            </w:pPr>
          </w:p>
        </w:tc>
        <w:tc>
          <w:tcPr>
            <w:tcW w:w="0" w:type="auto"/>
            <w:gridSpan w:val="3"/>
            <w:shd w:val="clear" w:color="auto" w:fill="auto"/>
            <w:vAlign w:val="bottom"/>
          </w:tcPr>
          <w:p w14:paraId="392C4E66" w14:textId="77777777" w:rsidR="00980E5F" w:rsidRDefault="00980E5F">
            <w:pPr>
              <w:rPr>
                <w:rFonts w:ascii="宋体"/>
                <w:vanish/>
              </w:rPr>
            </w:pPr>
          </w:p>
        </w:tc>
        <w:tc>
          <w:tcPr>
            <w:tcW w:w="0" w:type="auto"/>
            <w:gridSpan w:val="3"/>
            <w:shd w:val="clear" w:color="auto" w:fill="auto"/>
            <w:vAlign w:val="bottom"/>
          </w:tcPr>
          <w:p w14:paraId="392C4E67" w14:textId="77777777" w:rsidR="00980E5F" w:rsidRDefault="00980E5F">
            <w:pPr>
              <w:rPr>
                <w:rFonts w:ascii="宋体"/>
                <w:vanish/>
              </w:rPr>
            </w:pPr>
          </w:p>
        </w:tc>
        <w:tc>
          <w:tcPr>
            <w:tcW w:w="0" w:type="auto"/>
            <w:gridSpan w:val="3"/>
            <w:shd w:val="clear" w:color="auto" w:fill="auto"/>
            <w:vAlign w:val="bottom"/>
          </w:tcPr>
          <w:p w14:paraId="392C4E68" w14:textId="77777777" w:rsidR="00980E5F" w:rsidRDefault="00980E5F">
            <w:pPr>
              <w:rPr>
                <w:rFonts w:ascii="宋体"/>
                <w:vanish/>
              </w:rPr>
            </w:pPr>
          </w:p>
        </w:tc>
        <w:tc>
          <w:tcPr>
            <w:tcW w:w="0" w:type="auto"/>
            <w:gridSpan w:val="3"/>
            <w:shd w:val="clear" w:color="auto" w:fill="auto"/>
            <w:vAlign w:val="bottom"/>
          </w:tcPr>
          <w:p w14:paraId="392C4E69" w14:textId="77777777" w:rsidR="00980E5F" w:rsidRDefault="00980E5F">
            <w:pPr>
              <w:rPr>
                <w:rFonts w:ascii="宋体"/>
                <w:vanish/>
              </w:rPr>
            </w:pPr>
          </w:p>
        </w:tc>
        <w:tc>
          <w:tcPr>
            <w:tcW w:w="0" w:type="auto"/>
            <w:gridSpan w:val="2"/>
            <w:shd w:val="clear" w:color="auto" w:fill="auto"/>
            <w:vAlign w:val="bottom"/>
          </w:tcPr>
          <w:p w14:paraId="392C4E6A" w14:textId="77777777" w:rsidR="00980E5F" w:rsidRDefault="00980E5F">
            <w:pPr>
              <w:rPr>
                <w:rFonts w:ascii="宋体"/>
                <w:vanish/>
              </w:rPr>
            </w:pPr>
          </w:p>
        </w:tc>
        <w:tc>
          <w:tcPr>
            <w:tcW w:w="0" w:type="auto"/>
            <w:shd w:val="clear" w:color="auto" w:fill="auto"/>
            <w:vAlign w:val="bottom"/>
          </w:tcPr>
          <w:p w14:paraId="392C4E6B" w14:textId="77777777" w:rsidR="00980E5F" w:rsidRDefault="00980E5F">
            <w:pPr>
              <w:rPr>
                <w:rFonts w:ascii="宋体"/>
                <w:vanish/>
              </w:rPr>
            </w:pPr>
          </w:p>
        </w:tc>
      </w:tr>
      <w:tr w:rsidR="00980E5F" w14:paraId="392C4E83" w14:textId="77777777">
        <w:trPr>
          <w:hidden/>
        </w:trPr>
        <w:tc>
          <w:tcPr>
            <w:tcW w:w="0" w:type="auto"/>
            <w:gridSpan w:val="3"/>
            <w:shd w:val="clear" w:color="auto" w:fill="auto"/>
            <w:vAlign w:val="bottom"/>
          </w:tcPr>
          <w:p w14:paraId="392C4E6D" w14:textId="77777777" w:rsidR="00980E5F" w:rsidRDefault="00980E5F">
            <w:pPr>
              <w:rPr>
                <w:rFonts w:ascii="宋体"/>
                <w:vanish/>
              </w:rPr>
            </w:pPr>
          </w:p>
        </w:tc>
        <w:tc>
          <w:tcPr>
            <w:tcW w:w="0" w:type="auto"/>
            <w:gridSpan w:val="3"/>
            <w:shd w:val="clear" w:color="auto" w:fill="auto"/>
            <w:vAlign w:val="bottom"/>
          </w:tcPr>
          <w:p w14:paraId="392C4E6E" w14:textId="77777777" w:rsidR="00980E5F" w:rsidRDefault="00980E5F">
            <w:pPr>
              <w:rPr>
                <w:rFonts w:ascii="宋体"/>
                <w:vanish/>
              </w:rPr>
            </w:pPr>
          </w:p>
        </w:tc>
        <w:tc>
          <w:tcPr>
            <w:tcW w:w="0" w:type="auto"/>
            <w:gridSpan w:val="3"/>
            <w:shd w:val="clear" w:color="auto" w:fill="auto"/>
            <w:vAlign w:val="bottom"/>
          </w:tcPr>
          <w:p w14:paraId="392C4E6F" w14:textId="77777777" w:rsidR="00980E5F" w:rsidRDefault="00980E5F">
            <w:pPr>
              <w:rPr>
                <w:rFonts w:ascii="宋体"/>
                <w:vanish/>
              </w:rPr>
            </w:pPr>
          </w:p>
        </w:tc>
        <w:tc>
          <w:tcPr>
            <w:tcW w:w="0" w:type="auto"/>
            <w:gridSpan w:val="3"/>
            <w:shd w:val="clear" w:color="auto" w:fill="auto"/>
            <w:vAlign w:val="bottom"/>
          </w:tcPr>
          <w:p w14:paraId="392C4E70" w14:textId="77777777" w:rsidR="00980E5F" w:rsidRDefault="00980E5F">
            <w:pPr>
              <w:rPr>
                <w:rFonts w:ascii="宋体"/>
                <w:vanish/>
              </w:rPr>
            </w:pPr>
          </w:p>
        </w:tc>
        <w:tc>
          <w:tcPr>
            <w:tcW w:w="0" w:type="auto"/>
            <w:gridSpan w:val="3"/>
            <w:shd w:val="clear" w:color="auto" w:fill="auto"/>
            <w:vAlign w:val="bottom"/>
          </w:tcPr>
          <w:p w14:paraId="392C4E71" w14:textId="77777777" w:rsidR="00980E5F" w:rsidRDefault="00980E5F">
            <w:pPr>
              <w:rPr>
                <w:rFonts w:ascii="宋体"/>
                <w:vanish/>
              </w:rPr>
            </w:pPr>
          </w:p>
        </w:tc>
        <w:tc>
          <w:tcPr>
            <w:tcW w:w="0" w:type="auto"/>
            <w:gridSpan w:val="3"/>
            <w:shd w:val="clear" w:color="auto" w:fill="auto"/>
            <w:vAlign w:val="bottom"/>
          </w:tcPr>
          <w:p w14:paraId="392C4E72" w14:textId="77777777" w:rsidR="00980E5F" w:rsidRDefault="00980E5F">
            <w:pPr>
              <w:rPr>
                <w:rFonts w:ascii="宋体"/>
                <w:vanish/>
              </w:rPr>
            </w:pPr>
          </w:p>
        </w:tc>
        <w:tc>
          <w:tcPr>
            <w:tcW w:w="0" w:type="auto"/>
            <w:gridSpan w:val="3"/>
            <w:shd w:val="clear" w:color="auto" w:fill="auto"/>
            <w:vAlign w:val="bottom"/>
          </w:tcPr>
          <w:p w14:paraId="392C4E73" w14:textId="77777777" w:rsidR="00980E5F" w:rsidRDefault="00980E5F">
            <w:pPr>
              <w:rPr>
                <w:rFonts w:ascii="宋体"/>
                <w:vanish/>
              </w:rPr>
            </w:pPr>
          </w:p>
        </w:tc>
        <w:tc>
          <w:tcPr>
            <w:tcW w:w="0" w:type="auto"/>
            <w:gridSpan w:val="3"/>
            <w:shd w:val="clear" w:color="auto" w:fill="auto"/>
            <w:vAlign w:val="bottom"/>
          </w:tcPr>
          <w:p w14:paraId="392C4E74" w14:textId="77777777" w:rsidR="00980E5F" w:rsidRDefault="00980E5F">
            <w:pPr>
              <w:rPr>
                <w:rFonts w:ascii="宋体"/>
                <w:vanish/>
              </w:rPr>
            </w:pPr>
          </w:p>
        </w:tc>
        <w:tc>
          <w:tcPr>
            <w:tcW w:w="0" w:type="auto"/>
            <w:gridSpan w:val="3"/>
            <w:shd w:val="clear" w:color="auto" w:fill="auto"/>
            <w:vAlign w:val="bottom"/>
          </w:tcPr>
          <w:p w14:paraId="392C4E75" w14:textId="77777777" w:rsidR="00980E5F" w:rsidRDefault="00980E5F">
            <w:pPr>
              <w:rPr>
                <w:rFonts w:ascii="宋体"/>
                <w:vanish/>
              </w:rPr>
            </w:pPr>
          </w:p>
        </w:tc>
        <w:tc>
          <w:tcPr>
            <w:tcW w:w="0" w:type="auto"/>
            <w:shd w:val="clear" w:color="auto" w:fill="auto"/>
            <w:vAlign w:val="bottom"/>
          </w:tcPr>
          <w:p w14:paraId="392C4E76" w14:textId="77777777" w:rsidR="00980E5F" w:rsidRDefault="00980E5F">
            <w:pPr>
              <w:rPr>
                <w:rFonts w:ascii="宋体"/>
                <w:vanish/>
              </w:rPr>
            </w:pPr>
          </w:p>
        </w:tc>
        <w:tc>
          <w:tcPr>
            <w:tcW w:w="0" w:type="auto"/>
            <w:shd w:val="clear" w:color="auto" w:fill="auto"/>
            <w:vAlign w:val="bottom"/>
          </w:tcPr>
          <w:p w14:paraId="392C4E77" w14:textId="77777777" w:rsidR="00980E5F" w:rsidRDefault="00980E5F">
            <w:pPr>
              <w:rPr>
                <w:rFonts w:ascii="宋体"/>
                <w:vanish/>
              </w:rPr>
            </w:pPr>
          </w:p>
        </w:tc>
        <w:tc>
          <w:tcPr>
            <w:tcW w:w="0" w:type="auto"/>
            <w:gridSpan w:val="3"/>
            <w:shd w:val="clear" w:color="auto" w:fill="auto"/>
            <w:vAlign w:val="bottom"/>
          </w:tcPr>
          <w:p w14:paraId="392C4E78" w14:textId="77777777" w:rsidR="00980E5F" w:rsidRDefault="00980E5F">
            <w:pPr>
              <w:rPr>
                <w:rFonts w:ascii="宋体"/>
                <w:vanish/>
              </w:rPr>
            </w:pPr>
          </w:p>
        </w:tc>
        <w:tc>
          <w:tcPr>
            <w:tcW w:w="0" w:type="auto"/>
            <w:gridSpan w:val="3"/>
            <w:shd w:val="clear" w:color="auto" w:fill="auto"/>
            <w:vAlign w:val="bottom"/>
          </w:tcPr>
          <w:p w14:paraId="392C4E79" w14:textId="77777777" w:rsidR="00980E5F" w:rsidRDefault="00980E5F">
            <w:pPr>
              <w:rPr>
                <w:rFonts w:ascii="宋体"/>
                <w:vanish/>
              </w:rPr>
            </w:pPr>
          </w:p>
        </w:tc>
        <w:tc>
          <w:tcPr>
            <w:tcW w:w="0" w:type="auto"/>
            <w:gridSpan w:val="3"/>
            <w:shd w:val="clear" w:color="auto" w:fill="auto"/>
            <w:vAlign w:val="bottom"/>
          </w:tcPr>
          <w:p w14:paraId="392C4E7A" w14:textId="77777777" w:rsidR="00980E5F" w:rsidRDefault="00980E5F">
            <w:pPr>
              <w:rPr>
                <w:rFonts w:ascii="宋体"/>
                <w:vanish/>
              </w:rPr>
            </w:pPr>
          </w:p>
        </w:tc>
        <w:tc>
          <w:tcPr>
            <w:tcW w:w="0" w:type="auto"/>
            <w:gridSpan w:val="3"/>
            <w:shd w:val="clear" w:color="auto" w:fill="auto"/>
            <w:vAlign w:val="bottom"/>
          </w:tcPr>
          <w:p w14:paraId="392C4E7B" w14:textId="77777777" w:rsidR="00980E5F" w:rsidRDefault="00980E5F">
            <w:pPr>
              <w:rPr>
                <w:rFonts w:ascii="宋体"/>
                <w:vanish/>
              </w:rPr>
            </w:pPr>
          </w:p>
        </w:tc>
        <w:tc>
          <w:tcPr>
            <w:tcW w:w="0" w:type="auto"/>
            <w:gridSpan w:val="3"/>
            <w:shd w:val="clear" w:color="auto" w:fill="auto"/>
            <w:vAlign w:val="bottom"/>
          </w:tcPr>
          <w:p w14:paraId="392C4E7C" w14:textId="77777777" w:rsidR="00980E5F" w:rsidRDefault="00980E5F">
            <w:pPr>
              <w:rPr>
                <w:rFonts w:ascii="宋体"/>
                <w:vanish/>
              </w:rPr>
            </w:pPr>
          </w:p>
        </w:tc>
        <w:tc>
          <w:tcPr>
            <w:tcW w:w="0" w:type="auto"/>
            <w:gridSpan w:val="3"/>
            <w:shd w:val="clear" w:color="auto" w:fill="auto"/>
            <w:vAlign w:val="bottom"/>
          </w:tcPr>
          <w:p w14:paraId="392C4E7D" w14:textId="77777777" w:rsidR="00980E5F" w:rsidRDefault="00980E5F">
            <w:pPr>
              <w:rPr>
                <w:rFonts w:ascii="宋体"/>
                <w:vanish/>
              </w:rPr>
            </w:pPr>
          </w:p>
        </w:tc>
        <w:tc>
          <w:tcPr>
            <w:tcW w:w="0" w:type="auto"/>
            <w:gridSpan w:val="3"/>
            <w:shd w:val="clear" w:color="auto" w:fill="auto"/>
            <w:vAlign w:val="bottom"/>
          </w:tcPr>
          <w:p w14:paraId="392C4E7E" w14:textId="77777777" w:rsidR="00980E5F" w:rsidRDefault="00980E5F">
            <w:pPr>
              <w:rPr>
                <w:rFonts w:ascii="宋体"/>
                <w:vanish/>
              </w:rPr>
            </w:pPr>
          </w:p>
        </w:tc>
        <w:tc>
          <w:tcPr>
            <w:tcW w:w="0" w:type="auto"/>
            <w:gridSpan w:val="3"/>
            <w:shd w:val="clear" w:color="auto" w:fill="auto"/>
            <w:vAlign w:val="bottom"/>
          </w:tcPr>
          <w:p w14:paraId="392C4E7F" w14:textId="77777777" w:rsidR="00980E5F" w:rsidRDefault="00980E5F">
            <w:pPr>
              <w:rPr>
                <w:rFonts w:ascii="宋体"/>
                <w:vanish/>
              </w:rPr>
            </w:pPr>
          </w:p>
        </w:tc>
        <w:tc>
          <w:tcPr>
            <w:tcW w:w="0" w:type="auto"/>
            <w:gridSpan w:val="3"/>
            <w:shd w:val="clear" w:color="auto" w:fill="auto"/>
            <w:vAlign w:val="bottom"/>
          </w:tcPr>
          <w:p w14:paraId="392C4E80" w14:textId="77777777" w:rsidR="00980E5F" w:rsidRDefault="00980E5F">
            <w:pPr>
              <w:rPr>
                <w:rFonts w:ascii="宋体"/>
                <w:vanish/>
              </w:rPr>
            </w:pPr>
          </w:p>
        </w:tc>
        <w:tc>
          <w:tcPr>
            <w:tcW w:w="0" w:type="auto"/>
            <w:gridSpan w:val="2"/>
            <w:shd w:val="clear" w:color="auto" w:fill="auto"/>
            <w:vAlign w:val="bottom"/>
          </w:tcPr>
          <w:p w14:paraId="392C4E81" w14:textId="77777777" w:rsidR="00980E5F" w:rsidRDefault="00980E5F">
            <w:pPr>
              <w:rPr>
                <w:rFonts w:ascii="宋体"/>
                <w:vanish/>
              </w:rPr>
            </w:pPr>
          </w:p>
        </w:tc>
        <w:tc>
          <w:tcPr>
            <w:tcW w:w="0" w:type="auto"/>
            <w:shd w:val="clear" w:color="auto" w:fill="auto"/>
            <w:vAlign w:val="bottom"/>
          </w:tcPr>
          <w:p w14:paraId="392C4E82" w14:textId="77777777" w:rsidR="00980E5F" w:rsidRDefault="00980E5F">
            <w:pPr>
              <w:rPr>
                <w:rFonts w:ascii="宋体"/>
                <w:vanish/>
              </w:rPr>
            </w:pPr>
          </w:p>
        </w:tc>
      </w:tr>
      <w:tr w:rsidR="00980E5F" w14:paraId="392C4E9A" w14:textId="77777777">
        <w:trPr>
          <w:hidden/>
        </w:trPr>
        <w:tc>
          <w:tcPr>
            <w:tcW w:w="0" w:type="auto"/>
            <w:gridSpan w:val="3"/>
            <w:shd w:val="clear" w:color="auto" w:fill="auto"/>
            <w:vAlign w:val="bottom"/>
          </w:tcPr>
          <w:p w14:paraId="392C4E84" w14:textId="77777777" w:rsidR="00980E5F" w:rsidRDefault="00980E5F">
            <w:pPr>
              <w:rPr>
                <w:rFonts w:ascii="宋体"/>
                <w:vanish/>
              </w:rPr>
            </w:pPr>
          </w:p>
        </w:tc>
        <w:tc>
          <w:tcPr>
            <w:tcW w:w="0" w:type="auto"/>
            <w:gridSpan w:val="3"/>
            <w:shd w:val="clear" w:color="auto" w:fill="auto"/>
            <w:vAlign w:val="bottom"/>
          </w:tcPr>
          <w:p w14:paraId="392C4E85" w14:textId="77777777" w:rsidR="00980E5F" w:rsidRDefault="00980E5F">
            <w:pPr>
              <w:rPr>
                <w:rFonts w:ascii="宋体"/>
                <w:vanish/>
              </w:rPr>
            </w:pPr>
          </w:p>
        </w:tc>
        <w:tc>
          <w:tcPr>
            <w:tcW w:w="0" w:type="auto"/>
            <w:gridSpan w:val="3"/>
            <w:shd w:val="clear" w:color="auto" w:fill="auto"/>
            <w:vAlign w:val="bottom"/>
          </w:tcPr>
          <w:p w14:paraId="392C4E86" w14:textId="77777777" w:rsidR="00980E5F" w:rsidRDefault="00980E5F">
            <w:pPr>
              <w:rPr>
                <w:rFonts w:ascii="宋体"/>
                <w:vanish/>
              </w:rPr>
            </w:pPr>
          </w:p>
        </w:tc>
        <w:tc>
          <w:tcPr>
            <w:tcW w:w="0" w:type="auto"/>
            <w:gridSpan w:val="3"/>
            <w:shd w:val="clear" w:color="auto" w:fill="auto"/>
            <w:vAlign w:val="bottom"/>
          </w:tcPr>
          <w:p w14:paraId="392C4E87" w14:textId="77777777" w:rsidR="00980E5F" w:rsidRDefault="00980E5F">
            <w:pPr>
              <w:rPr>
                <w:rFonts w:ascii="宋体"/>
                <w:vanish/>
              </w:rPr>
            </w:pPr>
          </w:p>
        </w:tc>
        <w:tc>
          <w:tcPr>
            <w:tcW w:w="0" w:type="auto"/>
            <w:gridSpan w:val="3"/>
            <w:shd w:val="clear" w:color="auto" w:fill="auto"/>
            <w:vAlign w:val="bottom"/>
          </w:tcPr>
          <w:p w14:paraId="392C4E88" w14:textId="77777777" w:rsidR="00980E5F" w:rsidRDefault="00980E5F">
            <w:pPr>
              <w:rPr>
                <w:rFonts w:ascii="宋体"/>
                <w:vanish/>
              </w:rPr>
            </w:pPr>
          </w:p>
        </w:tc>
        <w:tc>
          <w:tcPr>
            <w:tcW w:w="0" w:type="auto"/>
            <w:gridSpan w:val="3"/>
            <w:shd w:val="clear" w:color="auto" w:fill="auto"/>
            <w:vAlign w:val="bottom"/>
          </w:tcPr>
          <w:p w14:paraId="392C4E89" w14:textId="77777777" w:rsidR="00980E5F" w:rsidRDefault="00980E5F">
            <w:pPr>
              <w:rPr>
                <w:rFonts w:ascii="宋体"/>
                <w:vanish/>
              </w:rPr>
            </w:pPr>
          </w:p>
        </w:tc>
        <w:tc>
          <w:tcPr>
            <w:tcW w:w="0" w:type="auto"/>
            <w:gridSpan w:val="3"/>
            <w:shd w:val="clear" w:color="auto" w:fill="auto"/>
            <w:vAlign w:val="bottom"/>
          </w:tcPr>
          <w:p w14:paraId="392C4E8A" w14:textId="77777777" w:rsidR="00980E5F" w:rsidRDefault="00980E5F">
            <w:pPr>
              <w:rPr>
                <w:rFonts w:ascii="宋体"/>
                <w:vanish/>
              </w:rPr>
            </w:pPr>
          </w:p>
        </w:tc>
        <w:tc>
          <w:tcPr>
            <w:tcW w:w="0" w:type="auto"/>
            <w:gridSpan w:val="3"/>
            <w:shd w:val="clear" w:color="auto" w:fill="auto"/>
            <w:vAlign w:val="bottom"/>
          </w:tcPr>
          <w:p w14:paraId="392C4E8B" w14:textId="77777777" w:rsidR="00980E5F" w:rsidRDefault="00980E5F">
            <w:pPr>
              <w:rPr>
                <w:rFonts w:ascii="宋体"/>
                <w:vanish/>
              </w:rPr>
            </w:pPr>
          </w:p>
        </w:tc>
        <w:tc>
          <w:tcPr>
            <w:tcW w:w="0" w:type="auto"/>
            <w:gridSpan w:val="3"/>
            <w:shd w:val="clear" w:color="auto" w:fill="auto"/>
            <w:vAlign w:val="bottom"/>
          </w:tcPr>
          <w:p w14:paraId="392C4E8C" w14:textId="77777777" w:rsidR="00980E5F" w:rsidRDefault="00980E5F">
            <w:pPr>
              <w:rPr>
                <w:rFonts w:ascii="宋体"/>
                <w:vanish/>
              </w:rPr>
            </w:pPr>
          </w:p>
        </w:tc>
        <w:tc>
          <w:tcPr>
            <w:tcW w:w="0" w:type="auto"/>
            <w:shd w:val="clear" w:color="auto" w:fill="auto"/>
            <w:vAlign w:val="bottom"/>
          </w:tcPr>
          <w:p w14:paraId="392C4E8D" w14:textId="77777777" w:rsidR="00980E5F" w:rsidRDefault="00980E5F">
            <w:pPr>
              <w:rPr>
                <w:rFonts w:ascii="宋体"/>
                <w:vanish/>
              </w:rPr>
            </w:pPr>
          </w:p>
        </w:tc>
        <w:tc>
          <w:tcPr>
            <w:tcW w:w="0" w:type="auto"/>
            <w:shd w:val="clear" w:color="auto" w:fill="auto"/>
            <w:vAlign w:val="bottom"/>
          </w:tcPr>
          <w:p w14:paraId="392C4E8E" w14:textId="77777777" w:rsidR="00980E5F" w:rsidRDefault="00980E5F">
            <w:pPr>
              <w:rPr>
                <w:rFonts w:ascii="宋体"/>
                <w:vanish/>
              </w:rPr>
            </w:pPr>
          </w:p>
        </w:tc>
        <w:tc>
          <w:tcPr>
            <w:tcW w:w="0" w:type="auto"/>
            <w:gridSpan w:val="3"/>
            <w:shd w:val="clear" w:color="auto" w:fill="auto"/>
            <w:vAlign w:val="bottom"/>
          </w:tcPr>
          <w:p w14:paraId="392C4E8F" w14:textId="77777777" w:rsidR="00980E5F" w:rsidRDefault="00980E5F">
            <w:pPr>
              <w:rPr>
                <w:rFonts w:ascii="宋体"/>
                <w:vanish/>
              </w:rPr>
            </w:pPr>
          </w:p>
        </w:tc>
        <w:tc>
          <w:tcPr>
            <w:tcW w:w="0" w:type="auto"/>
            <w:gridSpan w:val="3"/>
            <w:shd w:val="clear" w:color="auto" w:fill="auto"/>
            <w:vAlign w:val="bottom"/>
          </w:tcPr>
          <w:p w14:paraId="392C4E90" w14:textId="77777777" w:rsidR="00980E5F" w:rsidRDefault="00980E5F">
            <w:pPr>
              <w:rPr>
                <w:rFonts w:ascii="宋体"/>
                <w:vanish/>
              </w:rPr>
            </w:pPr>
          </w:p>
        </w:tc>
        <w:tc>
          <w:tcPr>
            <w:tcW w:w="0" w:type="auto"/>
            <w:gridSpan w:val="3"/>
            <w:shd w:val="clear" w:color="auto" w:fill="auto"/>
            <w:vAlign w:val="bottom"/>
          </w:tcPr>
          <w:p w14:paraId="392C4E91" w14:textId="77777777" w:rsidR="00980E5F" w:rsidRDefault="00980E5F">
            <w:pPr>
              <w:rPr>
                <w:rFonts w:ascii="宋体"/>
                <w:vanish/>
              </w:rPr>
            </w:pPr>
          </w:p>
        </w:tc>
        <w:tc>
          <w:tcPr>
            <w:tcW w:w="0" w:type="auto"/>
            <w:gridSpan w:val="3"/>
            <w:shd w:val="clear" w:color="auto" w:fill="auto"/>
            <w:vAlign w:val="bottom"/>
          </w:tcPr>
          <w:p w14:paraId="392C4E92" w14:textId="77777777" w:rsidR="00980E5F" w:rsidRDefault="00980E5F">
            <w:pPr>
              <w:rPr>
                <w:rFonts w:ascii="宋体"/>
                <w:vanish/>
              </w:rPr>
            </w:pPr>
          </w:p>
        </w:tc>
        <w:tc>
          <w:tcPr>
            <w:tcW w:w="0" w:type="auto"/>
            <w:gridSpan w:val="3"/>
            <w:shd w:val="clear" w:color="auto" w:fill="auto"/>
            <w:vAlign w:val="bottom"/>
          </w:tcPr>
          <w:p w14:paraId="392C4E93" w14:textId="77777777" w:rsidR="00980E5F" w:rsidRDefault="00980E5F">
            <w:pPr>
              <w:rPr>
                <w:rFonts w:ascii="宋体"/>
                <w:vanish/>
              </w:rPr>
            </w:pPr>
          </w:p>
        </w:tc>
        <w:tc>
          <w:tcPr>
            <w:tcW w:w="0" w:type="auto"/>
            <w:gridSpan w:val="3"/>
            <w:shd w:val="clear" w:color="auto" w:fill="auto"/>
            <w:vAlign w:val="bottom"/>
          </w:tcPr>
          <w:p w14:paraId="392C4E94" w14:textId="77777777" w:rsidR="00980E5F" w:rsidRDefault="00980E5F">
            <w:pPr>
              <w:rPr>
                <w:rFonts w:ascii="宋体"/>
                <w:vanish/>
              </w:rPr>
            </w:pPr>
          </w:p>
        </w:tc>
        <w:tc>
          <w:tcPr>
            <w:tcW w:w="0" w:type="auto"/>
            <w:gridSpan w:val="3"/>
            <w:shd w:val="clear" w:color="auto" w:fill="auto"/>
            <w:vAlign w:val="bottom"/>
          </w:tcPr>
          <w:p w14:paraId="392C4E95" w14:textId="77777777" w:rsidR="00980E5F" w:rsidRDefault="00980E5F">
            <w:pPr>
              <w:rPr>
                <w:rFonts w:ascii="宋体"/>
                <w:vanish/>
              </w:rPr>
            </w:pPr>
          </w:p>
        </w:tc>
        <w:tc>
          <w:tcPr>
            <w:tcW w:w="0" w:type="auto"/>
            <w:gridSpan w:val="3"/>
            <w:shd w:val="clear" w:color="auto" w:fill="auto"/>
            <w:vAlign w:val="bottom"/>
          </w:tcPr>
          <w:p w14:paraId="392C4E96" w14:textId="77777777" w:rsidR="00980E5F" w:rsidRDefault="00980E5F">
            <w:pPr>
              <w:rPr>
                <w:rFonts w:ascii="宋体"/>
                <w:vanish/>
              </w:rPr>
            </w:pPr>
          </w:p>
        </w:tc>
        <w:tc>
          <w:tcPr>
            <w:tcW w:w="0" w:type="auto"/>
            <w:gridSpan w:val="3"/>
            <w:shd w:val="clear" w:color="auto" w:fill="auto"/>
            <w:vAlign w:val="bottom"/>
          </w:tcPr>
          <w:p w14:paraId="392C4E97" w14:textId="77777777" w:rsidR="00980E5F" w:rsidRDefault="00980E5F">
            <w:pPr>
              <w:rPr>
                <w:rFonts w:ascii="宋体"/>
                <w:vanish/>
              </w:rPr>
            </w:pPr>
          </w:p>
        </w:tc>
        <w:tc>
          <w:tcPr>
            <w:tcW w:w="0" w:type="auto"/>
            <w:gridSpan w:val="2"/>
            <w:shd w:val="clear" w:color="auto" w:fill="auto"/>
            <w:vAlign w:val="bottom"/>
          </w:tcPr>
          <w:p w14:paraId="392C4E98" w14:textId="77777777" w:rsidR="00980E5F" w:rsidRDefault="00980E5F">
            <w:pPr>
              <w:rPr>
                <w:rFonts w:ascii="宋体"/>
                <w:vanish/>
              </w:rPr>
            </w:pPr>
          </w:p>
        </w:tc>
        <w:tc>
          <w:tcPr>
            <w:tcW w:w="0" w:type="auto"/>
            <w:shd w:val="clear" w:color="auto" w:fill="auto"/>
            <w:vAlign w:val="bottom"/>
          </w:tcPr>
          <w:p w14:paraId="392C4E99" w14:textId="77777777" w:rsidR="00980E5F" w:rsidRDefault="00980E5F">
            <w:pPr>
              <w:rPr>
                <w:rFonts w:ascii="宋体"/>
                <w:vanish/>
              </w:rPr>
            </w:pPr>
          </w:p>
        </w:tc>
      </w:tr>
      <w:tr w:rsidR="00980E5F" w14:paraId="392C4EB1" w14:textId="77777777">
        <w:trPr>
          <w:hidden/>
        </w:trPr>
        <w:tc>
          <w:tcPr>
            <w:tcW w:w="0" w:type="auto"/>
            <w:gridSpan w:val="3"/>
            <w:shd w:val="clear" w:color="auto" w:fill="auto"/>
            <w:vAlign w:val="bottom"/>
          </w:tcPr>
          <w:p w14:paraId="392C4E9B" w14:textId="77777777" w:rsidR="00980E5F" w:rsidRDefault="00980E5F">
            <w:pPr>
              <w:rPr>
                <w:rFonts w:ascii="宋体"/>
                <w:vanish/>
              </w:rPr>
            </w:pPr>
          </w:p>
        </w:tc>
        <w:tc>
          <w:tcPr>
            <w:tcW w:w="0" w:type="auto"/>
            <w:gridSpan w:val="3"/>
            <w:shd w:val="clear" w:color="auto" w:fill="auto"/>
            <w:vAlign w:val="bottom"/>
          </w:tcPr>
          <w:p w14:paraId="392C4E9C" w14:textId="77777777" w:rsidR="00980E5F" w:rsidRDefault="00980E5F">
            <w:pPr>
              <w:rPr>
                <w:rFonts w:ascii="宋体"/>
                <w:vanish/>
              </w:rPr>
            </w:pPr>
          </w:p>
        </w:tc>
        <w:tc>
          <w:tcPr>
            <w:tcW w:w="0" w:type="auto"/>
            <w:gridSpan w:val="3"/>
            <w:shd w:val="clear" w:color="auto" w:fill="auto"/>
            <w:vAlign w:val="bottom"/>
          </w:tcPr>
          <w:p w14:paraId="392C4E9D" w14:textId="77777777" w:rsidR="00980E5F" w:rsidRDefault="00980E5F">
            <w:pPr>
              <w:rPr>
                <w:rFonts w:ascii="宋体"/>
                <w:vanish/>
              </w:rPr>
            </w:pPr>
          </w:p>
        </w:tc>
        <w:tc>
          <w:tcPr>
            <w:tcW w:w="0" w:type="auto"/>
            <w:gridSpan w:val="3"/>
            <w:shd w:val="clear" w:color="auto" w:fill="auto"/>
            <w:vAlign w:val="bottom"/>
          </w:tcPr>
          <w:p w14:paraId="392C4E9E" w14:textId="77777777" w:rsidR="00980E5F" w:rsidRDefault="00980E5F">
            <w:pPr>
              <w:rPr>
                <w:rFonts w:ascii="宋体"/>
                <w:vanish/>
              </w:rPr>
            </w:pPr>
          </w:p>
        </w:tc>
        <w:tc>
          <w:tcPr>
            <w:tcW w:w="0" w:type="auto"/>
            <w:gridSpan w:val="3"/>
            <w:shd w:val="clear" w:color="auto" w:fill="auto"/>
            <w:vAlign w:val="bottom"/>
          </w:tcPr>
          <w:p w14:paraId="392C4E9F" w14:textId="77777777" w:rsidR="00980E5F" w:rsidRDefault="00980E5F">
            <w:pPr>
              <w:rPr>
                <w:rFonts w:ascii="宋体"/>
                <w:vanish/>
              </w:rPr>
            </w:pPr>
          </w:p>
        </w:tc>
        <w:tc>
          <w:tcPr>
            <w:tcW w:w="0" w:type="auto"/>
            <w:gridSpan w:val="3"/>
            <w:shd w:val="clear" w:color="auto" w:fill="auto"/>
            <w:vAlign w:val="bottom"/>
          </w:tcPr>
          <w:p w14:paraId="392C4EA0" w14:textId="77777777" w:rsidR="00980E5F" w:rsidRDefault="00980E5F">
            <w:pPr>
              <w:rPr>
                <w:rFonts w:ascii="宋体"/>
                <w:vanish/>
              </w:rPr>
            </w:pPr>
          </w:p>
        </w:tc>
        <w:tc>
          <w:tcPr>
            <w:tcW w:w="0" w:type="auto"/>
            <w:gridSpan w:val="3"/>
            <w:shd w:val="clear" w:color="auto" w:fill="auto"/>
            <w:vAlign w:val="bottom"/>
          </w:tcPr>
          <w:p w14:paraId="392C4EA1" w14:textId="77777777" w:rsidR="00980E5F" w:rsidRDefault="00980E5F">
            <w:pPr>
              <w:rPr>
                <w:rFonts w:ascii="宋体"/>
                <w:vanish/>
              </w:rPr>
            </w:pPr>
          </w:p>
        </w:tc>
        <w:tc>
          <w:tcPr>
            <w:tcW w:w="0" w:type="auto"/>
            <w:gridSpan w:val="3"/>
            <w:shd w:val="clear" w:color="auto" w:fill="auto"/>
            <w:vAlign w:val="bottom"/>
          </w:tcPr>
          <w:p w14:paraId="392C4EA2" w14:textId="77777777" w:rsidR="00980E5F" w:rsidRDefault="00980E5F">
            <w:pPr>
              <w:rPr>
                <w:rFonts w:ascii="宋体"/>
                <w:vanish/>
              </w:rPr>
            </w:pPr>
          </w:p>
        </w:tc>
        <w:tc>
          <w:tcPr>
            <w:tcW w:w="0" w:type="auto"/>
            <w:gridSpan w:val="3"/>
            <w:shd w:val="clear" w:color="auto" w:fill="auto"/>
            <w:vAlign w:val="bottom"/>
          </w:tcPr>
          <w:p w14:paraId="392C4EA3" w14:textId="77777777" w:rsidR="00980E5F" w:rsidRDefault="00980E5F">
            <w:pPr>
              <w:rPr>
                <w:rFonts w:ascii="宋体"/>
                <w:vanish/>
              </w:rPr>
            </w:pPr>
          </w:p>
        </w:tc>
        <w:tc>
          <w:tcPr>
            <w:tcW w:w="0" w:type="auto"/>
            <w:shd w:val="clear" w:color="auto" w:fill="auto"/>
            <w:vAlign w:val="bottom"/>
          </w:tcPr>
          <w:p w14:paraId="392C4EA4" w14:textId="77777777" w:rsidR="00980E5F" w:rsidRDefault="00980E5F">
            <w:pPr>
              <w:rPr>
                <w:rFonts w:ascii="宋体"/>
                <w:vanish/>
              </w:rPr>
            </w:pPr>
          </w:p>
        </w:tc>
        <w:tc>
          <w:tcPr>
            <w:tcW w:w="0" w:type="auto"/>
            <w:shd w:val="clear" w:color="auto" w:fill="auto"/>
            <w:vAlign w:val="bottom"/>
          </w:tcPr>
          <w:p w14:paraId="392C4EA5" w14:textId="77777777" w:rsidR="00980E5F" w:rsidRDefault="00980E5F">
            <w:pPr>
              <w:rPr>
                <w:rFonts w:ascii="宋体"/>
                <w:vanish/>
              </w:rPr>
            </w:pPr>
          </w:p>
        </w:tc>
        <w:tc>
          <w:tcPr>
            <w:tcW w:w="0" w:type="auto"/>
            <w:gridSpan w:val="3"/>
            <w:shd w:val="clear" w:color="auto" w:fill="auto"/>
            <w:vAlign w:val="bottom"/>
          </w:tcPr>
          <w:p w14:paraId="392C4EA6" w14:textId="77777777" w:rsidR="00980E5F" w:rsidRDefault="00980E5F">
            <w:pPr>
              <w:rPr>
                <w:rFonts w:ascii="宋体"/>
                <w:vanish/>
              </w:rPr>
            </w:pPr>
          </w:p>
        </w:tc>
        <w:tc>
          <w:tcPr>
            <w:tcW w:w="0" w:type="auto"/>
            <w:gridSpan w:val="3"/>
            <w:shd w:val="clear" w:color="auto" w:fill="auto"/>
            <w:vAlign w:val="bottom"/>
          </w:tcPr>
          <w:p w14:paraId="392C4EA7" w14:textId="77777777" w:rsidR="00980E5F" w:rsidRDefault="00980E5F">
            <w:pPr>
              <w:rPr>
                <w:rFonts w:ascii="宋体"/>
                <w:vanish/>
              </w:rPr>
            </w:pPr>
          </w:p>
        </w:tc>
        <w:tc>
          <w:tcPr>
            <w:tcW w:w="0" w:type="auto"/>
            <w:gridSpan w:val="3"/>
            <w:shd w:val="clear" w:color="auto" w:fill="auto"/>
            <w:vAlign w:val="bottom"/>
          </w:tcPr>
          <w:p w14:paraId="392C4EA8" w14:textId="77777777" w:rsidR="00980E5F" w:rsidRDefault="00980E5F">
            <w:pPr>
              <w:rPr>
                <w:rFonts w:ascii="宋体"/>
                <w:vanish/>
              </w:rPr>
            </w:pPr>
          </w:p>
        </w:tc>
        <w:tc>
          <w:tcPr>
            <w:tcW w:w="0" w:type="auto"/>
            <w:gridSpan w:val="3"/>
            <w:shd w:val="clear" w:color="auto" w:fill="auto"/>
            <w:vAlign w:val="bottom"/>
          </w:tcPr>
          <w:p w14:paraId="392C4EA9" w14:textId="77777777" w:rsidR="00980E5F" w:rsidRDefault="00980E5F">
            <w:pPr>
              <w:rPr>
                <w:rFonts w:ascii="宋体"/>
                <w:vanish/>
              </w:rPr>
            </w:pPr>
          </w:p>
        </w:tc>
        <w:tc>
          <w:tcPr>
            <w:tcW w:w="0" w:type="auto"/>
            <w:gridSpan w:val="3"/>
            <w:shd w:val="clear" w:color="auto" w:fill="auto"/>
            <w:vAlign w:val="bottom"/>
          </w:tcPr>
          <w:p w14:paraId="392C4EAA" w14:textId="77777777" w:rsidR="00980E5F" w:rsidRDefault="00980E5F">
            <w:pPr>
              <w:rPr>
                <w:rFonts w:ascii="宋体"/>
                <w:vanish/>
              </w:rPr>
            </w:pPr>
          </w:p>
        </w:tc>
        <w:tc>
          <w:tcPr>
            <w:tcW w:w="0" w:type="auto"/>
            <w:gridSpan w:val="3"/>
            <w:shd w:val="clear" w:color="auto" w:fill="auto"/>
            <w:vAlign w:val="bottom"/>
          </w:tcPr>
          <w:p w14:paraId="392C4EAB" w14:textId="77777777" w:rsidR="00980E5F" w:rsidRDefault="00980E5F">
            <w:pPr>
              <w:rPr>
                <w:rFonts w:ascii="宋体"/>
                <w:vanish/>
              </w:rPr>
            </w:pPr>
          </w:p>
        </w:tc>
        <w:tc>
          <w:tcPr>
            <w:tcW w:w="0" w:type="auto"/>
            <w:gridSpan w:val="3"/>
            <w:shd w:val="clear" w:color="auto" w:fill="auto"/>
            <w:vAlign w:val="bottom"/>
          </w:tcPr>
          <w:p w14:paraId="392C4EAC" w14:textId="77777777" w:rsidR="00980E5F" w:rsidRDefault="00980E5F">
            <w:pPr>
              <w:rPr>
                <w:rFonts w:ascii="宋体"/>
                <w:vanish/>
              </w:rPr>
            </w:pPr>
          </w:p>
        </w:tc>
        <w:tc>
          <w:tcPr>
            <w:tcW w:w="0" w:type="auto"/>
            <w:gridSpan w:val="3"/>
            <w:shd w:val="clear" w:color="auto" w:fill="auto"/>
            <w:vAlign w:val="bottom"/>
          </w:tcPr>
          <w:p w14:paraId="392C4EAD" w14:textId="77777777" w:rsidR="00980E5F" w:rsidRDefault="00980E5F">
            <w:pPr>
              <w:rPr>
                <w:rFonts w:ascii="宋体"/>
                <w:vanish/>
              </w:rPr>
            </w:pPr>
          </w:p>
        </w:tc>
        <w:tc>
          <w:tcPr>
            <w:tcW w:w="0" w:type="auto"/>
            <w:gridSpan w:val="3"/>
            <w:shd w:val="clear" w:color="auto" w:fill="auto"/>
            <w:vAlign w:val="bottom"/>
          </w:tcPr>
          <w:p w14:paraId="392C4EAE" w14:textId="77777777" w:rsidR="00980E5F" w:rsidRDefault="00980E5F">
            <w:pPr>
              <w:rPr>
                <w:rFonts w:ascii="宋体"/>
                <w:vanish/>
              </w:rPr>
            </w:pPr>
          </w:p>
        </w:tc>
        <w:tc>
          <w:tcPr>
            <w:tcW w:w="0" w:type="auto"/>
            <w:gridSpan w:val="2"/>
            <w:shd w:val="clear" w:color="auto" w:fill="auto"/>
            <w:vAlign w:val="bottom"/>
          </w:tcPr>
          <w:p w14:paraId="392C4EAF" w14:textId="77777777" w:rsidR="00980E5F" w:rsidRDefault="00980E5F">
            <w:pPr>
              <w:rPr>
                <w:rFonts w:ascii="宋体"/>
                <w:vanish/>
              </w:rPr>
            </w:pPr>
          </w:p>
        </w:tc>
        <w:tc>
          <w:tcPr>
            <w:tcW w:w="0" w:type="auto"/>
            <w:shd w:val="clear" w:color="auto" w:fill="auto"/>
            <w:vAlign w:val="bottom"/>
          </w:tcPr>
          <w:p w14:paraId="392C4EB0" w14:textId="77777777" w:rsidR="00980E5F" w:rsidRDefault="00980E5F">
            <w:pPr>
              <w:rPr>
                <w:rFonts w:ascii="宋体"/>
                <w:vanish/>
              </w:rPr>
            </w:pPr>
          </w:p>
        </w:tc>
      </w:tr>
      <w:tr w:rsidR="00980E5F" w14:paraId="392C4EC8" w14:textId="77777777">
        <w:trPr>
          <w:hidden/>
        </w:trPr>
        <w:tc>
          <w:tcPr>
            <w:tcW w:w="0" w:type="auto"/>
            <w:gridSpan w:val="3"/>
            <w:shd w:val="clear" w:color="auto" w:fill="auto"/>
            <w:vAlign w:val="bottom"/>
          </w:tcPr>
          <w:p w14:paraId="392C4EB2" w14:textId="77777777" w:rsidR="00980E5F" w:rsidRDefault="00980E5F">
            <w:pPr>
              <w:rPr>
                <w:rFonts w:ascii="宋体"/>
                <w:vanish/>
              </w:rPr>
            </w:pPr>
          </w:p>
        </w:tc>
        <w:tc>
          <w:tcPr>
            <w:tcW w:w="0" w:type="auto"/>
            <w:gridSpan w:val="3"/>
            <w:shd w:val="clear" w:color="auto" w:fill="auto"/>
            <w:vAlign w:val="bottom"/>
          </w:tcPr>
          <w:p w14:paraId="392C4EB3" w14:textId="77777777" w:rsidR="00980E5F" w:rsidRDefault="00980E5F">
            <w:pPr>
              <w:rPr>
                <w:rFonts w:ascii="宋体"/>
                <w:vanish/>
              </w:rPr>
            </w:pPr>
          </w:p>
        </w:tc>
        <w:tc>
          <w:tcPr>
            <w:tcW w:w="0" w:type="auto"/>
            <w:gridSpan w:val="3"/>
            <w:shd w:val="clear" w:color="auto" w:fill="auto"/>
            <w:vAlign w:val="bottom"/>
          </w:tcPr>
          <w:p w14:paraId="392C4EB4" w14:textId="77777777" w:rsidR="00980E5F" w:rsidRDefault="00980E5F">
            <w:pPr>
              <w:rPr>
                <w:rFonts w:ascii="宋体"/>
                <w:vanish/>
              </w:rPr>
            </w:pPr>
          </w:p>
        </w:tc>
        <w:tc>
          <w:tcPr>
            <w:tcW w:w="0" w:type="auto"/>
            <w:gridSpan w:val="3"/>
            <w:shd w:val="clear" w:color="auto" w:fill="auto"/>
            <w:vAlign w:val="bottom"/>
          </w:tcPr>
          <w:p w14:paraId="392C4EB5" w14:textId="77777777" w:rsidR="00980E5F" w:rsidRDefault="00980E5F">
            <w:pPr>
              <w:rPr>
                <w:rFonts w:ascii="宋体"/>
                <w:vanish/>
              </w:rPr>
            </w:pPr>
          </w:p>
        </w:tc>
        <w:tc>
          <w:tcPr>
            <w:tcW w:w="0" w:type="auto"/>
            <w:gridSpan w:val="3"/>
            <w:shd w:val="clear" w:color="auto" w:fill="auto"/>
            <w:vAlign w:val="bottom"/>
          </w:tcPr>
          <w:p w14:paraId="392C4EB6" w14:textId="77777777" w:rsidR="00980E5F" w:rsidRDefault="00980E5F">
            <w:pPr>
              <w:rPr>
                <w:rFonts w:ascii="宋体"/>
                <w:vanish/>
              </w:rPr>
            </w:pPr>
          </w:p>
        </w:tc>
        <w:tc>
          <w:tcPr>
            <w:tcW w:w="0" w:type="auto"/>
            <w:gridSpan w:val="3"/>
            <w:shd w:val="clear" w:color="auto" w:fill="auto"/>
            <w:vAlign w:val="bottom"/>
          </w:tcPr>
          <w:p w14:paraId="392C4EB7" w14:textId="77777777" w:rsidR="00980E5F" w:rsidRDefault="00980E5F">
            <w:pPr>
              <w:rPr>
                <w:rFonts w:ascii="宋体"/>
                <w:vanish/>
              </w:rPr>
            </w:pPr>
          </w:p>
        </w:tc>
        <w:tc>
          <w:tcPr>
            <w:tcW w:w="0" w:type="auto"/>
            <w:gridSpan w:val="3"/>
            <w:shd w:val="clear" w:color="auto" w:fill="auto"/>
            <w:vAlign w:val="bottom"/>
          </w:tcPr>
          <w:p w14:paraId="392C4EB8" w14:textId="77777777" w:rsidR="00980E5F" w:rsidRDefault="00980E5F">
            <w:pPr>
              <w:rPr>
                <w:rFonts w:ascii="宋体"/>
                <w:vanish/>
              </w:rPr>
            </w:pPr>
          </w:p>
        </w:tc>
        <w:tc>
          <w:tcPr>
            <w:tcW w:w="0" w:type="auto"/>
            <w:gridSpan w:val="3"/>
            <w:shd w:val="clear" w:color="auto" w:fill="auto"/>
            <w:vAlign w:val="bottom"/>
          </w:tcPr>
          <w:p w14:paraId="392C4EB9" w14:textId="77777777" w:rsidR="00980E5F" w:rsidRDefault="00980E5F">
            <w:pPr>
              <w:rPr>
                <w:rFonts w:ascii="宋体"/>
                <w:vanish/>
              </w:rPr>
            </w:pPr>
          </w:p>
        </w:tc>
        <w:tc>
          <w:tcPr>
            <w:tcW w:w="0" w:type="auto"/>
            <w:gridSpan w:val="3"/>
            <w:shd w:val="clear" w:color="auto" w:fill="auto"/>
            <w:vAlign w:val="bottom"/>
          </w:tcPr>
          <w:p w14:paraId="392C4EBA" w14:textId="77777777" w:rsidR="00980E5F" w:rsidRDefault="00980E5F">
            <w:pPr>
              <w:rPr>
                <w:rFonts w:ascii="宋体"/>
                <w:vanish/>
              </w:rPr>
            </w:pPr>
          </w:p>
        </w:tc>
        <w:tc>
          <w:tcPr>
            <w:tcW w:w="0" w:type="auto"/>
            <w:shd w:val="clear" w:color="auto" w:fill="auto"/>
            <w:vAlign w:val="bottom"/>
          </w:tcPr>
          <w:p w14:paraId="392C4EBB" w14:textId="77777777" w:rsidR="00980E5F" w:rsidRDefault="00980E5F">
            <w:pPr>
              <w:rPr>
                <w:rFonts w:ascii="宋体"/>
                <w:vanish/>
              </w:rPr>
            </w:pPr>
          </w:p>
        </w:tc>
        <w:tc>
          <w:tcPr>
            <w:tcW w:w="0" w:type="auto"/>
            <w:shd w:val="clear" w:color="auto" w:fill="auto"/>
            <w:vAlign w:val="bottom"/>
          </w:tcPr>
          <w:p w14:paraId="392C4EBC" w14:textId="77777777" w:rsidR="00980E5F" w:rsidRDefault="00980E5F">
            <w:pPr>
              <w:rPr>
                <w:rFonts w:ascii="宋体"/>
                <w:vanish/>
              </w:rPr>
            </w:pPr>
          </w:p>
        </w:tc>
        <w:tc>
          <w:tcPr>
            <w:tcW w:w="0" w:type="auto"/>
            <w:gridSpan w:val="3"/>
            <w:shd w:val="clear" w:color="auto" w:fill="auto"/>
            <w:vAlign w:val="bottom"/>
          </w:tcPr>
          <w:p w14:paraId="392C4EBD" w14:textId="77777777" w:rsidR="00980E5F" w:rsidRDefault="00980E5F">
            <w:pPr>
              <w:rPr>
                <w:rFonts w:ascii="宋体"/>
                <w:vanish/>
              </w:rPr>
            </w:pPr>
          </w:p>
        </w:tc>
        <w:tc>
          <w:tcPr>
            <w:tcW w:w="0" w:type="auto"/>
            <w:gridSpan w:val="3"/>
            <w:shd w:val="clear" w:color="auto" w:fill="auto"/>
            <w:vAlign w:val="bottom"/>
          </w:tcPr>
          <w:p w14:paraId="392C4EBE" w14:textId="77777777" w:rsidR="00980E5F" w:rsidRDefault="00980E5F">
            <w:pPr>
              <w:rPr>
                <w:rFonts w:ascii="宋体"/>
                <w:vanish/>
              </w:rPr>
            </w:pPr>
          </w:p>
        </w:tc>
        <w:tc>
          <w:tcPr>
            <w:tcW w:w="0" w:type="auto"/>
            <w:gridSpan w:val="3"/>
            <w:shd w:val="clear" w:color="auto" w:fill="auto"/>
            <w:vAlign w:val="bottom"/>
          </w:tcPr>
          <w:p w14:paraId="392C4EBF" w14:textId="77777777" w:rsidR="00980E5F" w:rsidRDefault="00980E5F">
            <w:pPr>
              <w:rPr>
                <w:rFonts w:ascii="宋体"/>
                <w:vanish/>
              </w:rPr>
            </w:pPr>
          </w:p>
        </w:tc>
        <w:tc>
          <w:tcPr>
            <w:tcW w:w="0" w:type="auto"/>
            <w:gridSpan w:val="3"/>
            <w:shd w:val="clear" w:color="auto" w:fill="auto"/>
            <w:vAlign w:val="bottom"/>
          </w:tcPr>
          <w:p w14:paraId="392C4EC0" w14:textId="77777777" w:rsidR="00980E5F" w:rsidRDefault="00980E5F">
            <w:pPr>
              <w:rPr>
                <w:rFonts w:ascii="宋体"/>
                <w:vanish/>
              </w:rPr>
            </w:pPr>
          </w:p>
        </w:tc>
        <w:tc>
          <w:tcPr>
            <w:tcW w:w="0" w:type="auto"/>
            <w:gridSpan w:val="3"/>
            <w:shd w:val="clear" w:color="auto" w:fill="auto"/>
            <w:vAlign w:val="bottom"/>
          </w:tcPr>
          <w:p w14:paraId="392C4EC1" w14:textId="77777777" w:rsidR="00980E5F" w:rsidRDefault="00980E5F">
            <w:pPr>
              <w:rPr>
                <w:rFonts w:ascii="宋体"/>
                <w:vanish/>
              </w:rPr>
            </w:pPr>
          </w:p>
        </w:tc>
        <w:tc>
          <w:tcPr>
            <w:tcW w:w="0" w:type="auto"/>
            <w:gridSpan w:val="3"/>
            <w:shd w:val="clear" w:color="auto" w:fill="auto"/>
            <w:vAlign w:val="bottom"/>
          </w:tcPr>
          <w:p w14:paraId="392C4EC2" w14:textId="77777777" w:rsidR="00980E5F" w:rsidRDefault="00980E5F">
            <w:pPr>
              <w:rPr>
                <w:rFonts w:ascii="宋体"/>
                <w:vanish/>
              </w:rPr>
            </w:pPr>
          </w:p>
        </w:tc>
        <w:tc>
          <w:tcPr>
            <w:tcW w:w="0" w:type="auto"/>
            <w:gridSpan w:val="3"/>
            <w:shd w:val="clear" w:color="auto" w:fill="auto"/>
            <w:vAlign w:val="bottom"/>
          </w:tcPr>
          <w:p w14:paraId="392C4EC3" w14:textId="77777777" w:rsidR="00980E5F" w:rsidRDefault="00980E5F">
            <w:pPr>
              <w:rPr>
                <w:rFonts w:ascii="宋体"/>
                <w:vanish/>
              </w:rPr>
            </w:pPr>
          </w:p>
        </w:tc>
        <w:tc>
          <w:tcPr>
            <w:tcW w:w="0" w:type="auto"/>
            <w:gridSpan w:val="3"/>
            <w:shd w:val="clear" w:color="auto" w:fill="auto"/>
            <w:vAlign w:val="bottom"/>
          </w:tcPr>
          <w:p w14:paraId="392C4EC4" w14:textId="77777777" w:rsidR="00980E5F" w:rsidRDefault="00980E5F">
            <w:pPr>
              <w:rPr>
                <w:rFonts w:ascii="宋体"/>
                <w:vanish/>
              </w:rPr>
            </w:pPr>
          </w:p>
        </w:tc>
        <w:tc>
          <w:tcPr>
            <w:tcW w:w="0" w:type="auto"/>
            <w:gridSpan w:val="3"/>
            <w:shd w:val="clear" w:color="auto" w:fill="auto"/>
            <w:vAlign w:val="bottom"/>
          </w:tcPr>
          <w:p w14:paraId="392C4EC5" w14:textId="77777777" w:rsidR="00980E5F" w:rsidRDefault="00980E5F">
            <w:pPr>
              <w:rPr>
                <w:rFonts w:ascii="宋体"/>
                <w:vanish/>
              </w:rPr>
            </w:pPr>
          </w:p>
        </w:tc>
        <w:tc>
          <w:tcPr>
            <w:tcW w:w="0" w:type="auto"/>
            <w:gridSpan w:val="2"/>
            <w:shd w:val="clear" w:color="auto" w:fill="auto"/>
            <w:vAlign w:val="bottom"/>
          </w:tcPr>
          <w:p w14:paraId="392C4EC6" w14:textId="77777777" w:rsidR="00980E5F" w:rsidRDefault="00980E5F">
            <w:pPr>
              <w:rPr>
                <w:rFonts w:ascii="宋体"/>
                <w:vanish/>
              </w:rPr>
            </w:pPr>
          </w:p>
        </w:tc>
        <w:tc>
          <w:tcPr>
            <w:tcW w:w="0" w:type="auto"/>
            <w:shd w:val="clear" w:color="auto" w:fill="auto"/>
            <w:vAlign w:val="bottom"/>
          </w:tcPr>
          <w:p w14:paraId="392C4EC7" w14:textId="77777777" w:rsidR="00980E5F" w:rsidRDefault="00980E5F">
            <w:pPr>
              <w:rPr>
                <w:rFonts w:ascii="宋体"/>
                <w:vanish/>
              </w:rPr>
            </w:pPr>
          </w:p>
        </w:tc>
      </w:tr>
      <w:tr w:rsidR="00980E5F" w14:paraId="392C4EDF" w14:textId="77777777">
        <w:trPr>
          <w:hidden/>
        </w:trPr>
        <w:tc>
          <w:tcPr>
            <w:tcW w:w="0" w:type="auto"/>
            <w:gridSpan w:val="3"/>
            <w:shd w:val="clear" w:color="auto" w:fill="auto"/>
            <w:vAlign w:val="bottom"/>
          </w:tcPr>
          <w:p w14:paraId="392C4EC9" w14:textId="77777777" w:rsidR="00980E5F" w:rsidRDefault="00980E5F">
            <w:pPr>
              <w:rPr>
                <w:rFonts w:ascii="宋体"/>
                <w:vanish/>
              </w:rPr>
            </w:pPr>
          </w:p>
        </w:tc>
        <w:tc>
          <w:tcPr>
            <w:tcW w:w="0" w:type="auto"/>
            <w:gridSpan w:val="3"/>
            <w:shd w:val="clear" w:color="auto" w:fill="auto"/>
            <w:vAlign w:val="bottom"/>
          </w:tcPr>
          <w:p w14:paraId="392C4ECA" w14:textId="77777777" w:rsidR="00980E5F" w:rsidRDefault="00980E5F">
            <w:pPr>
              <w:rPr>
                <w:rFonts w:ascii="宋体"/>
                <w:vanish/>
              </w:rPr>
            </w:pPr>
          </w:p>
        </w:tc>
        <w:tc>
          <w:tcPr>
            <w:tcW w:w="0" w:type="auto"/>
            <w:gridSpan w:val="3"/>
            <w:shd w:val="clear" w:color="auto" w:fill="auto"/>
            <w:vAlign w:val="bottom"/>
          </w:tcPr>
          <w:p w14:paraId="392C4ECB" w14:textId="77777777" w:rsidR="00980E5F" w:rsidRDefault="00980E5F">
            <w:pPr>
              <w:rPr>
                <w:rFonts w:ascii="宋体"/>
                <w:vanish/>
              </w:rPr>
            </w:pPr>
          </w:p>
        </w:tc>
        <w:tc>
          <w:tcPr>
            <w:tcW w:w="0" w:type="auto"/>
            <w:gridSpan w:val="3"/>
            <w:shd w:val="clear" w:color="auto" w:fill="auto"/>
            <w:vAlign w:val="bottom"/>
          </w:tcPr>
          <w:p w14:paraId="392C4ECC" w14:textId="77777777" w:rsidR="00980E5F" w:rsidRDefault="00980E5F">
            <w:pPr>
              <w:rPr>
                <w:rFonts w:ascii="宋体"/>
                <w:vanish/>
              </w:rPr>
            </w:pPr>
          </w:p>
        </w:tc>
        <w:tc>
          <w:tcPr>
            <w:tcW w:w="0" w:type="auto"/>
            <w:gridSpan w:val="3"/>
            <w:shd w:val="clear" w:color="auto" w:fill="auto"/>
            <w:vAlign w:val="bottom"/>
          </w:tcPr>
          <w:p w14:paraId="392C4ECD" w14:textId="77777777" w:rsidR="00980E5F" w:rsidRDefault="00980E5F">
            <w:pPr>
              <w:rPr>
                <w:rFonts w:ascii="宋体"/>
                <w:vanish/>
              </w:rPr>
            </w:pPr>
          </w:p>
        </w:tc>
        <w:tc>
          <w:tcPr>
            <w:tcW w:w="0" w:type="auto"/>
            <w:gridSpan w:val="3"/>
            <w:shd w:val="clear" w:color="auto" w:fill="auto"/>
            <w:vAlign w:val="bottom"/>
          </w:tcPr>
          <w:p w14:paraId="392C4ECE" w14:textId="77777777" w:rsidR="00980E5F" w:rsidRDefault="00980E5F">
            <w:pPr>
              <w:rPr>
                <w:rFonts w:ascii="宋体"/>
                <w:vanish/>
              </w:rPr>
            </w:pPr>
          </w:p>
        </w:tc>
        <w:tc>
          <w:tcPr>
            <w:tcW w:w="0" w:type="auto"/>
            <w:gridSpan w:val="3"/>
            <w:shd w:val="clear" w:color="auto" w:fill="auto"/>
            <w:vAlign w:val="bottom"/>
          </w:tcPr>
          <w:p w14:paraId="392C4ECF" w14:textId="77777777" w:rsidR="00980E5F" w:rsidRDefault="00980E5F">
            <w:pPr>
              <w:rPr>
                <w:rFonts w:ascii="宋体"/>
                <w:vanish/>
              </w:rPr>
            </w:pPr>
          </w:p>
        </w:tc>
        <w:tc>
          <w:tcPr>
            <w:tcW w:w="0" w:type="auto"/>
            <w:gridSpan w:val="3"/>
            <w:shd w:val="clear" w:color="auto" w:fill="auto"/>
            <w:vAlign w:val="bottom"/>
          </w:tcPr>
          <w:p w14:paraId="392C4ED0" w14:textId="77777777" w:rsidR="00980E5F" w:rsidRDefault="00980E5F">
            <w:pPr>
              <w:rPr>
                <w:rFonts w:ascii="宋体"/>
                <w:vanish/>
              </w:rPr>
            </w:pPr>
          </w:p>
        </w:tc>
        <w:tc>
          <w:tcPr>
            <w:tcW w:w="0" w:type="auto"/>
            <w:gridSpan w:val="3"/>
            <w:shd w:val="clear" w:color="auto" w:fill="auto"/>
            <w:vAlign w:val="bottom"/>
          </w:tcPr>
          <w:p w14:paraId="392C4ED1" w14:textId="77777777" w:rsidR="00980E5F" w:rsidRDefault="00980E5F">
            <w:pPr>
              <w:rPr>
                <w:rFonts w:ascii="宋体"/>
                <w:vanish/>
              </w:rPr>
            </w:pPr>
          </w:p>
        </w:tc>
        <w:tc>
          <w:tcPr>
            <w:tcW w:w="0" w:type="auto"/>
            <w:shd w:val="clear" w:color="auto" w:fill="auto"/>
            <w:vAlign w:val="bottom"/>
          </w:tcPr>
          <w:p w14:paraId="392C4ED2" w14:textId="77777777" w:rsidR="00980E5F" w:rsidRDefault="00980E5F">
            <w:pPr>
              <w:rPr>
                <w:rFonts w:ascii="宋体"/>
                <w:vanish/>
              </w:rPr>
            </w:pPr>
          </w:p>
        </w:tc>
        <w:tc>
          <w:tcPr>
            <w:tcW w:w="0" w:type="auto"/>
            <w:shd w:val="clear" w:color="auto" w:fill="auto"/>
            <w:vAlign w:val="bottom"/>
          </w:tcPr>
          <w:p w14:paraId="392C4ED3" w14:textId="77777777" w:rsidR="00980E5F" w:rsidRDefault="00980E5F">
            <w:pPr>
              <w:rPr>
                <w:rFonts w:ascii="宋体"/>
                <w:vanish/>
              </w:rPr>
            </w:pPr>
          </w:p>
        </w:tc>
        <w:tc>
          <w:tcPr>
            <w:tcW w:w="0" w:type="auto"/>
            <w:gridSpan w:val="3"/>
            <w:shd w:val="clear" w:color="auto" w:fill="auto"/>
            <w:vAlign w:val="bottom"/>
          </w:tcPr>
          <w:p w14:paraId="392C4ED4" w14:textId="77777777" w:rsidR="00980E5F" w:rsidRDefault="00980E5F">
            <w:pPr>
              <w:rPr>
                <w:rFonts w:ascii="宋体"/>
                <w:vanish/>
              </w:rPr>
            </w:pPr>
          </w:p>
        </w:tc>
        <w:tc>
          <w:tcPr>
            <w:tcW w:w="0" w:type="auto"/>
            <w:gridSpan w:val="3"/>
            <w:shd w:val="clear" w:color="auto" w:fill="auto"/>
            <w:vAlign w:val="bottom"/>
          </w:tcPr>
          <w:p w14:paraId="392C4ED5" w14:textId="77777777" w:rsidR="00980E5F" w:rsidRDefault="00980E5F">
            <w:pPr>
              <w:rPr>
                <w:rFonts w:ascii="宋体"/>
                <w:vanish/>
              </w:rPr>
            </w:pPr>
          </w:p>
        </w:tc>
        <w:tc>
          <w:tcPr>
            <w:tcW w:w="0" w:type="auto"/>
            <w:gridSpan w:val="3"/>
            <w:shd w:val="clear" w:color="auto" w:fill="auto"/>
            <w:vAlign w:val="bottom"/>
          </w:tcPr>
          <w:p w14:paraId="392C4ED6" w14:textId="77777777" w:rsidR="00980E5F" w:rsidRDefault="00980E5F">
            <w:pPr>
              <w:rPr>
                <w:rFonts w:ascii="宋体"/>
                <w:vanish/>
              </w:rPr>
            </w:pPr>
          </w:p>
        </w:tc>
        <w:tc>
          <w:tcPr>
            <w:tcW w:w="0" w:type="auto"/>
            <w:gridSpan w:val="3"/>
            <w:shd w:val="clear" w:color="auto" w:fill="auto"/>
            <w:vAlign w:val="bottom"/>
          </w:tcPr>
          <w:p w14:paraId="392C4ED7" w14:textId="77777777" w:rsidR="00980E5F" w:rsidRDefault="00980E5F">
            <w:pPr>
              <w:rPr>
                <w:rFonts w:ascii="宋体"/>
                <w:vanish/>
              </w:rPr>
            </w:pPr>
          </w:p>
        </w:tc>
        <w:tc>
          <w:tcPr>
            <w:tcW w:w="0" w:type="auto"/>
            <w:gridSpan w:val="3"/>
            <w:shd w:val="clear" w:color="auto" w:fill="auto"/>
            <w:vAlign w:val="bottom"/>
          </w:tcPr>
          <w:p w14:paraId="392C4ED8" w14:textId="77777777" w:rsidR="00980E5F" w:rsidRDefault="00980E5F">
            <w:pPr>
              <w:rPr>
                <w:rFonts w:ascii="宋体"/>
                <w:vanish/>
              </w:rPr>
            </w:pPr>
          </w:p>
        </w:tc>
        <w:tc>
          <w:tcPr>
            <w:tcW w:w="0" w:type="auto"/>
            <w:gridSpan w:val="3"/>
            <w:shd w:val="clear" w:color="auto" w:fill="auto"/>
            <w:vAlign w:val="bottom"/>
          </w:tcPr>
          <w:p w14:paraId="392C4ED9" w14:textId="77777777" w:rsidR="00980E5F" w:rsidRDefault="00980E5F">
            <w:pPr>
              <w:rPr>
                <w:rFonts w:ascii="宋体"/>
                <w:vanish/>
              </w:rPr>
            </w:pPr>
          </w:p>
        </w:tc>
        <w:tc>
          <w:tcPr>
            <w:tcW w:w="0" w:type="auto"/>
            <w:gridSpan w:val="3"/>
            <w:shd w:val="clear" w:color="auto" w:fill="auto"/>
            <w:vAlign w:val="bottom"/>
          </w:tcPr>
          <w:p w14:paraId="392C4EDA" w14:textId="77777777" w:rsidR="00980E5F" w:rsidRDefault="00980E5F">
            <w:pPr>
              <w:rPr>
                <w:rFonts w:ascii="宋体"/>
                <w:vanish/>
              </w:rPr>
            </w:pPr>
          </w:p>
        </w:tc>
        <w:tc>
          <w:tcPr>
            <w:tcW w:w="0" w:type="auto"/>
            <w:gridSpan w:val="3"/>
            <w:shd w:val="clear" w:color="auto" w:fill="auto"/>
            <w:vAlign w:val="bottom"/>
          </w:tcPr>
          <w:p w14:paraId="392C4EDB" w14:textId="77777777" w:rsidR="00980E5F" w:rsidRDefault="00980E5F">
            <w:pPr>
              <w:rPr>
                <w:rFonts w:ascii="宋体"/>
                <w:vanish/>
              </w:rPr>
            </w:pPr>
          </w:p>
        </w:tc>
        <w:tc>
          <w:tcPr>
            <w:tcW w:w="0" w:type="auto"/>
            <w:gridSpan w:val="3"/>
            <w:shd w:val="clear" w:color="auto" w:fill="auto"/>
            <w:vAlign w:val="bottom"/>
          </w:tcPr>
          <w:p w14:paraId="392C4EDC" w14:textId="77777777" w:rsidR="00980E5F" w:rsidRDefault="00980E5F">
            <w:pPr>
              <w:rPr>
                <w:rFonts w:ascii="宋体"/>
                <w:vanish/>
              </w:rPr>
            </w:pPr>
          </w:p>
        </w:tc>
        <w:tc>
          <w:tcPr>
            <w:tcW w:w="0" w:type="auto"/>
            <w:gridSpan w:val="2"/>
            <w:shd w:val="clear" w:color="auto" w:fill="auto"/>
            <w:vAlign w:val="bottom"/>
          </w:tcPr>
          <w:p w14:paraId="392C4EDD" w14:textId="77777777" w:rsidR="00980E5F" w:rsidRDefault="00980E5F">
            <w:pPr>
              <w:rPr>
                <w:rFonts w:ascii="宋体"/>
                <w:vanish/>
              </w:rPr>
            </w:pPr>
          </w:p>
        </w:tc>
        <w:tc>
          <w:tcPr>
            <w:tcW w:w="0" w:type="auto"/>
            <w:shd w:val="clear" w:color="auto" w:fill="auto"/>
            <w:vAlign w:val="bottom"/>
          </w:tcPr>
          <w:p w14:paraId="392C4EDE" w14:textId="77777777" w:rsidR="00980E5F" w:rsidRDefault="00980E5F">
            <w:pPr>
              <w:rPr>
                <w:rFonts w:ascii="宋体"/>
                <w:vanish/>
              </w:rPr>
            </w:pPr>
          </w:p>
        </w:tc>
      </w:tr>
      <w:tr w:rsidR="00980E5F" w14:paraId="392C4EF6" w14:textId="77777777">
        <w:tc>
          <w:tcPr>
            <w:tcW w:w="0" w:type="auto"/>
            <w:gridSpan w:val="3"/>
            <w:shd w:val="clear" w:color="auto" w:fill="CCEEFF"/>
            <w:tcMar>
              <w:top w:w="40" w:type="dxa"/>
              <w:left w:w="20" w:type="dxa"/>
              <w:bottom w:w="40" w:type="dxa"/>
              <w:right w:w="20" w:type="dxa"/>
            </w:tcMar>
            <w:vAlign w:val="center"/>
          </w:tcPr>
          <w:p w14:paraId="392C4EE0" w14:textId="77777777" w:rsidR="00980E5F" w:rsidRDefault="00483613">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392C4EE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8" w14:textId="77777777" w:rsidR="00980E5F" w:rsidRDefault="00980E5F">
            <w:pPr>
              <w:rPr>
                <w:rFonts w:ascii="宋体"/>
              </w:rPr>
            </w:pPr>
          </w:p>
        </w:tc>
        <w:tc>
          <w:tcPr>
            <w:tcW w:w="0" w:type="auto"/>
            <w:shd w:val="clear" w:color="auto" w:fill="auto"/>
            <w:vAlign w:val="bottom"/>
          </w:tcPr>
          <w:p w14:paraId="392C4EE9" w14:textId="77777777" w:rsidR="00980E5F" w:rsidRDefault="00980E5F">
            <w:pPr>
              <w:rPr>
                <w:rFonts w:ascii="宋体"/>
                <w:vanish/>
              </w:rPr>
            </w:pPr>
          </w:p>
        </w:tc>
        <w:tc>
          <w:tcPr>
            <w:tcW w:w="0" w:type="auto"/>
            <w:shd w:val="clear" w:color="auto" w:fill="auto"/>
            <w:vAlign w:val="bottom"/>
          </w:tcPr>
          <w:p w14:paraId="392C4EEA"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4EE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E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F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F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F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4EF3" w14:textId="77777777" w:rsidR="00980E5F" w:rsidRDefault="00980E5F">
            <w:pPr>
              <w:rPr>
                <w:rFonts w:ascii="宋体"/>
              </w:rPr>
            </w:pPr>
          </w:p>
        </w:tc>
        <w:tc>
          <w:tcPr>
            <w:tcW w:w="0" w:type="auto"/>
            <w:gridSpan w:val="2"/>
            <w:shd w:val="clear" w:color="auto" w:fill="CCEEFF"/>
            <w:tcMar>
              <w:top w:w="0" w:type="dxa"/>
              <w:left w:w="20" w:type="dxa"/>
              <w:bottom w:w="0" w:type="dxa"/>
              <w:right w:w="20" w:type="dxa"/>
            </w:tcMar>
            <w:vAlign w:val="bottom"/>
          </w:tcPr>
          <w:p w14:paraId="392C4EF4"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4EF5" w14:textId="77777777" w:rsidR="00980E5F" w:rsidRDefault="00980E5F">
            <w:pPr>
              <w:rPr>
                <w:rFonts w:ascii="宋体"/>
              </w:rPr>
            </w:pPr>
          </w:p>
        </w:tc>
      </w:tr>
      <w:tr w:rsidR="00980E5F" w14:paraId="392C4F0D" w14:textId="77777777">
        <w:tc>
          <w:tcPr>
            <w:tcW w:w="0" w:type="auto"/>
            <w:gridSpan w:val="3"/>
            <w:shd w:val="clear" w:color="auto" w:fill="FFFFFF"/>
            <w:tcMar>
              <w:top w:w="40" w:type="dxa"/>
              <w:left w:w="20" w:type="dxa"/>
              <w:bottom w:w="40" w:type="dxa"/>
              <w:right w:w="20" w:type="dxa"/>
            </w:tcMar>
            <w:vAlign w:val="center"/>
          </w:tcPr>
          <w:p w14:paraId="392C4EF7" w14:textId="77777777" w:rsidR="00980E5F" w:rsidRDefault="00483613">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392C4EF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EFF" w14:textId="77777777" w:rsidR="00980E5F" w:rsidRDefault="00980E5F">
            <w:pPr>
              <w:rPr>
                <w:rFonts w:ascii="宋体"/>
              </w:rPr>
            </w:pPr>
          </w:p>
        </w:tc>
        <w:tc>
          <w:tcPr>
            <w:tcW w:w="0" w:type="auto"/>
            <w:shd w:val="clear" w:color="auto" w:fill="auto"/>
            <w:vAlign w:val="bottom"/>
          </w:tcPr>
          <w:p w14:paraId="392C4F00" w14:textId="77777777" w:rsidR="00980E5F" w:rsidRDefault="00980E5F">
            <w:pPr>
              <w:rPr>
                <w:rFonts w:ascii="宋体"/>
                <w:vanish/>
              </w:rPr>
            </w:pPr>
          </w:p>
        </w:tc>
        <w:tc>
          <w:tcPr>
            <w:tcW w:w="0" w:type="auto"/>
            <w:shd w:val="clear" w:color="auto" w:fill="auto"/>
            <w:vAlign w:val="bottom"/>
          </w:tcPr>
          <w:p w14:paraId="392C4F01"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4F0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4F0A" w14:textId="77777777" w:rsidR="00980E5F" w:rsidRDefault="00980E5F">
            <w:pPr>
              <w:rPr>
                <w:rFonts w:ascii="宋体"/>
              </w:rPr>
            </w:pPr>
          </w:p>
        </w:tc>
        <w:tc>
          <w:tcPr>
            <w:tcW w:w="0" w:type="auto"/>
            <w:gridSpan w:val="2"/>
            <w:shd w:val="clear" w:color="auto" w:fill="FFFFFF"/>
            <w:tcMar>
              <w:top w:w="0" w:type="dxa"/>
              <w:left w:w="20" w:type="dxa"/>
              <w:bottom w:w="0" w:type="dxa"/>
              <w:right w:w="20" w:type="dxa"/>
            </w:tcMar>
            <w:vAlign w:val="bottom"/>
          </w:tcPr>
          <w:p w14:paraId="392C4F0B"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4F0C" w14:textId="77777777" w:rsidR="00980E5F" w:rsidRDefault="00980E5F">
            <w:pPr>
              <w:rPr>
                <w:rFonts w:ascii="宋体"/>
              </w:rPr>
            </w:pPr>
          </w:p>
        </w:tc>
      </w:tr>
      <w:tr w:rsidR="00483613" w14:paraId="392C4F37" w14:textId="77777777">
        <w:tc>
          <w:tcPr>
            <w:tcW w:w="0" w:type="auto"/>
            <w:gridSpan w:val="3"/>
            <w:shd w:val="clear" w:color="auto" w:fill="CCEEFF"/>
            <w:tcMar>
              <w:top w:w="40" w:type="dxa"/>
              <w:left w:w="155" w:type="dxa"/>
              <w:bottom w:w="40" w:type="dxa"/>
              <w:right w:w="20" w:type="dxa"/>
            </w:tcMar>
            <w:vAlign w:val="center"/>
          </w:tcPr>
          <w:p w14:paraId="392C4F0E" w14:textId="77777777" w:rsidR="00980E5F" w:rsidRDefault="00483613">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392C4F0F"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10"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12"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13"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14" w14:textId="77777777" w:rsidR="00980E5F" w:rsidRDefault="00483613">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16"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17"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18"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1A"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1B"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1C" w14:textId="77777777" w:rsidR="00980E5F" w:rsidRDefault="00483613">
            <w:pPr>
              <w:jc w:val="right"/>
              <w:textAlignment w:val="center"/>
            </w:pPr>
            <w:r>
              <w:rPr>
                <w:rFonts w:ascii="Arial" w:eastAsia="宋体" w:hAnsi="Arial" w:cs="Arial"/>
                <w:b/>
                <w:bCs/>
                <w:color w:val="000000"/>
                <w:sz w:val="12"/>
                <w:szCs w:val="12"/>
              </w:rPr>
              <w:t>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1E" w14:textId="77777777" w:rsidR="00980E5F" w:rsidRDefault="00980E5F">
            <w:pPr>
              <w:rPr>
                <w:rFonts w:ascii="宋体"/>
              </w:rPr>
            </w:pPr>
          </w:p>
        </w:tc>
        <w:tc>
          <w:tcPr>
            <w:tcW w:w="0" w:type="auto"/>
            <w:shd w:val="clear" w:color="auto" w:fill="auto"/>
            <w:vAlign w:val="bottom"/>
          </w:tcPr>
          <w:p w14:paraId="392C4F1F" w14:textId="77777777" w:rsidR="00980E5F" w:rsidRDefault="00980E5F">
            <w:pPr>
              <w:rPr>
                <w:rFonts w:ascii="宋体"/>
                <w:vanish/>
              </w:rPr>
            </w:pPr>
          </w:p>
        </w:tc>
        <w:tc>
          <w:tcPr>
            <w:tcW w:w="0" w:type="auto"/>
            <w:shd w:val="clear" w:color="auto" w:fill="auto"/>
            <w:vAlign w:val="bottom"/>
          </w:tcPr>
          <w:p w14:paraId="392C4F20"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center"/>
          </w:tcPr>
          <w:p w14:paraId="392C4F21"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22"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24"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25"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26"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28"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29"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2A"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2C"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2D"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2E"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30"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31" w14:textId="77777777" w:rsidR="00980E5F" w:rsidRDefault="00483613">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392C4F32"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4F33"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4F34"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4F35" w14:textId="77777777" w:rsidR="00980E5F" w:rsidRDefault="00483613">
            <w:pPr>
              <w:textAlignment w:val="center"/>
            </w:pPr>
            <w:r>
              <w:rPr>
                <w:rFonts w:ascii="Arial" w:eastAsia="宋体" w:hAnsi="Arial" w:cs="Arial"/>
                <w:b/>
                <w:bCs/>
                <w:color w:val="000000"/>
                <w:sz w:val="12"/>
                <w:szCs w:val="12"/>
              </w:rPr>
              <w:t>$</w:t>
            </w:r>
          </w:p>
          <w:p w14:paraId="392C4F36" w14:textId="77777777" w:rsidR="00980E5F" w:rsidRDefault="00483613">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r>
      <w:tr w:rsidR="00980E5F" w14:paraId="392C4F4E" w14:textId="77777777">
        <w:trPr>
          <w:hidden/>
        </w:trPr>
        <w:tc>
          <w:tcPr>
            <w:tcW w:w="0" w:type="auto"/>
            <w:gridSpan w:val="3"/>
            <w:shd w:val="clear" w:color="auto" w:fill="auto"/>
            <w:vAlign w:val="bottom"/>
          </w:tcPr>
          <w:p w14:paraId="392C4F38" w14:textId="77777777" w:rsidR="00980E5F" w:rsidRDefault="00980E5F">
            <w:pPr>
              <w:rPr>
                <w:rFonts w:ascii="宋体"/>
                <w:vanish/>
              </w:rPr>
            </w:pPr>
          </w:p>
        </w:tc>
        <w:tc>
          <w:tcPr>
            <w:tcW w:w="0" w:type="auto"/>
            <w:gridSpan w:val="3"/>
            <w:shd w:val="clear" w:color="auto" w:fill="auto"/>
            <w:vAlign w:val="bottom"/>
          </w:tcPr>
          <w:p w14:paraId="392C4F39" w14:textId="77777777" w:rsidR="00980E5F" w:rsidRDefault="00980E5F">
            <w:pPr>
              <w:rPr>
                <w:rFonts w:ascii="宋体"/>
                <w:vanish/>
              </w:rPr>
            </w:pPr>
          </w:p>
        </w:tc>
        <w:tc>
          <w:tcPr>
            <w:tcW w:w="0" w:type="auto"/>
            <w:gridSpan w:val="3"/>
            <w:shd w:val="clear" w:color="auto" w:fill="auto"/>
            <w:vAlign w:val="bottom"/>
          </w:tcPr>
          <w:p w14:paraId="392C4F3A" w14:textId="77777777" w:rsidR="00980E5F" w:rsidRDefault="00980E5F">
            <w:pPr>
              <w:rPr>
                <w:rFonts w:ascii="宋体"/>
                <w:vanish/>
              </w:rPr>
            </w:pPr>
          </w:p>
        </w:tc>
        <w:tc>
          <w:tcPr>
            <w:tcW w:w="0" w:type="auto"/>
            <w:gridSpan w:val="3"/>
            <w:shd w:val="clear" w:color="auto" w:fill="auto"/>
            <w:vAlign w:val="bottom"/>
          </w:tcPr>
          <w:p w14:paraId="392C4F3B" w14:textId="77777777" w:rsidR="00980E5F" w:rsidRDefault="00980E5F">
            <w:pPr>
              <w:rPr>
                <w:rFonts w:ascii="宋体"/>
                <w:vanish/>
              </w:rPr>
            </w:pPr>
          </w:p>
        </w:tc>
        <w:tc>
          <w:tcPr>
            <w:tcW w:w="0" w:type="auto"/>
            <w:gridSpan w:val="3"/>
            <w:shd w:val="clear" w:color="auto" w:fill="auto"/>
            <w:vAlign w:val="bottom"/>
          </w:tcPr>
          <w:p w14:paraId="392C4F3C" w14:textId="77777777" w:rsidR="00980E5F" w:rsidRDefault="00980E5F">
            <w:pPr>
              <w:rPr>
                <w:rFonts w:ascii="宋体"/>
                <w:vanish/>
              </w:rPr>
            </w:pPr>
          </w:p>
        </w:tc>
        <w:tc>
          <w:tcPr>
            <w:tcW w:w="0" w:type="auto"/>
            <w:gridSpan w:val="3"/>
            <w:shd w:val="clear" w:color="auto" w:fill="auto"/>
            <w:vAlign w:val="bottom"/>
          </w:tcPr>
          <w:p w14:paraId="392C4F3D" w14:textId="77777777" w:rsidR="00980E5F" w:rsidRDefault="00980E5F">
            <w:pPr>
              <w:rPr>
                <w:rFonts w:ascii="宋体"/>
                <w:vanish/>
              </w:rPr>
            </w:pPr>
          </w:p>
        </w:tc>
        <w:tc>
          <w:tcPr>
            <w:tcW w:w="0" w:type="auto"/>
            <w:gridSpan w:val="3"/>
            <w:shd w:val="clear" w:color="auto" w:fill="auto"/>
            <w:vAlign w:val="bottom"/>
          </w:tcPr>
          <w:p w14:paraId="392C4F3E" w14:textId="77777777" w:rsidR="00980E5F" w:rsidRDefault="00980E5F">
            <w:pPr>
              <w:rPr>
                <w:rFonts w:ascii="宋体"/>
                <w:vanish/>
              </w:rPr>
            </w:pPr>
          </w:p>
        </w:tc>
        <w:tc>
          <w:tcPr>
            <w:tcW w:w="0" w:type="auto"/>
            <w:gridSpan w:val="3"/>
            <w:shd w:val="clear" w:color="auto" w:fill="auto"/>
            <w:vAlign w:val="bottom"/>
          </w:tcPr>
          <w:p w14:paraId="392C4F3F" w14:textId="77777777" w:rsidR="00980E5F" w:rsidRDefault="00980E5F">
            <w:pPr>
              <w:rPr>
                <w:rFonts w:ascii="宋体"/>
                <w:vanish/>
              </w:rPr>
            </w:pPr>
          </w:p>
        </w:tc>
        <w:tc>
          <w:tcPr>
            <w:tcW w:w="0" w:type="auto"/>
            <w:gridSpan w:val="3"/>
            <w:shd w:val="clear" w:color="auto" w:fill="auto"/>
            <w:vAlign w:val="bottom"/>
          </w:tcPr>
          <w:p w14:paraId="392C4F40" w14:textId="77777777" w:rsidR="00980E5F" w:rsidRDefault="00980E5F">
            <w:pPr>
              <w:rPr>
                <w:rFonts w:ascii="宋体"/>
                <w:vanish/>
              </w:rPr>
            </w:pPr>
          </w:p>
        </w:tc>
        <w:tc>
          <w:tcPr>
            <w:tcW w:w="0" w:type="auto"/>
            <w:shd w:val="clear" w:color="auto" w:fill="auto"/>
            <w:vAlign w:val="bottom"/>
          </w:tcPr>
          <w:p w14:paraId="392C4F41" w14:textId="77777777" w:rsidR="00980E5F" w:rsidRDefault="00980E5F">
            <w:pPr>
              <w:rPr>
                <w:rFonts w:ascii="宋体"/>
                <w:vanish/>
              </w:rPr>
            </w:pPr>
          </w:p>
        </w:tc>
        <w:tc>
          <w:tcPr>
            <w:tcW w:w="0" w:type="auto"/>
            <w:shd w:val="clear" w:color="auto" w:fill="auto"/>
            <w:vAlign w:val="bottom"/>
          </w:tcPr>
          <w:p w14:paraId="392C4F42" w14:textId="77777777" w:rsidR="00980E5F" w:rsidRDefault="00980E5F">
            <w:pPr>
              <w:rPr>
                <w:rFonts w:ascii="宋体"/>
                <w:vanish/>
              </w:rPr>
            </w:pPr>
          </w:p>
        </w:tc>
        <w:tc>
          <w:tcPr>
            <w:tcW w:w="0" w:type="auto"/>
            <w:gridSpan w:val="3"/>
            <w:shd w:val="clear" w:color="auto" w:fill="auto"/>
            <w:vAlign w:val="bottom"/>
          </w:tcPr>
          <w:p w14:paraId="392C4F43" w14:textId="77777777" w:rsidR="00980E5F" w:rsidRDefault="00980E5F">
            <w:pPr>
              <w:rPr>
                <w:rFonts w:ascii="宋体"/>
                <w:vanish/>
              </w:rPr>
            </w:pPr>
          </w:p>
        </w:tc>
        <w:tc>
          <w:tcPr>
            <w:tcW w:w="0" w:type="auto"/>
            <w:gridSpan w:val="3"/>
            <w:shd w:val="clear" w:color="auto" w:fill="auto"/>
            <w:vAlign w:val="bottom"/>
          </w:tcPr>
          <w:p w14:paraId="392C4F44" w14:textId="77777777" w:rsidR="00980E5F" w:rsidRDefault="00980E5F">
            <w:pPr>
              <w:rPr>
                <w:rFonts w:ascii="宋体"/>
                <w:vanish/>
              </w:rPr>
            </w:pPr>
          </w:p>
        </w:tc>
        <w:tc>
          <w:tcPr>
            <w:tcW w:w="0" w:type="auto"/>
            <w:gridSpan w:val="3"/>
            <w:shd w:val="clear" w:color="auto" w:fill="auto"/>
            <w:vAlign w:val="bottom"/>
          </w:tcPr>
          <w:p w14:paraId="392C4F45" w14:textId="77777777" w:rsidR="00980E5F" w:rsidRDefault="00980E5F">
            <w:pPr>
              <w:rPr>
                <w:rFonts w:ascii="宋体"/>
                <w:vanish/>
              </w:rPr>
            </w:pPr>
          </w:p>
        </w:tc>
        <w:tc>
          <w:tcPr>
            <w:tcW w:w="0" w:type="auto"/>
            <w:gridSpan w:val="3"/>
            <w:shd w:val="clear" w:color="auto" w:fill="auto"/>
            <w:vAlign w:val="bottom"/>
          </w:tcPr>
          <w:p w14:paraId="392C4F46" w14:textId="77777777" w:rsidR="00980E5F" w:rsidRDefault="00980E5F">
            <w:pPr>
              <w:rPr>
                <w:rFonts w:ascii="宋体"/>
                <w:vanish/>
              </w:rPr>
            </w:pPr>
          </w:p>
        </w:tc>
        <w:tc>
          <w:tcPr>
            <w:tcW w:w="0" w:type="auto"/>
            <w:gridSpan w:val="3"/>
            <w:shd w:val="clear" w:color="auto" w:fill="auto"/>
            <w:vAlign w:val="bottom"/>
          </w:tcPr>
          <w:p w14:paraId="392C4F47" w14:textId="77777777" w:rsidR="00980E5F" w:rsidRDefault="00980E5F">
            <w:pPr>
              <w:rPr>
                <w:rFonts w:ascii="宋体"/>
                <w:vanish/>
              </w:rPr>
            </w:pPr>
          </w:p>
        </w:tc>
        <w:tc>
          <w:tcPr>
            <w:tcW w:w="0" w:type="auto"/>
            <w:gridSpan w:val="3"/>
            <w:shd w:val="clear" w:color="auto" w:fill="auto"/>
            <w:vAlign w:val="bottom"/>
          </w:tcPr>
          <w:p w14:paraId="392C4F48" w14:textId="77777777" w:rsidR="00980E5F" w:rsidRDefault="00980E5F">
            <w:pPr>
              <w:rPr>
                <w:rFonts w:ascii="宋体"/>
                <w:vanish/>
              </w:rPr>
            </w:pPr>
          </w:p>
        </w:tc>
        <w:tc>
          <w:tcPr>
            <w:tcW w:w="0" w:type="auto"/>
            <w:gridSpan w:val="3"/>
            <w:shd w:val="clear" w:color="auto" w:fill="auto"/>
            <w:vAlign w:val="bottom"/>
          </w:tcPr>
          <w:p w14:paraId="392C4F49" w14:textId="77777777" w:rsidR="00980E5F" w:rsidRDefault="00980E5F">
            <w:pPr>
              <w:rPr>
                <w:rFonts w:ascii="宋体"/>
                <w:vanish/>
              </w:rPr>
            </w:pPr>
          </w:p>
        </w:tc>
        <w:tc>
          <w:tcPr>
            <w:tcW w:w="0" w:type="auto"/>
            <w:gridSpan w:val="3"/>
            <w:shd w:val="clear" w:color="auto" w:fill="auto"/>
            <w:vAlign w:val="bottom"/>
          </w:tcPr>
          <w:p w14:paraId="392C4F4A" w14:textId="77777777" w:rsidR="00980E5F" w:rsidRDefault="00980E5F">
            <w:pPr>
              <w:rPr>
                <w:rFonts w:ascii="宋体"/>
                <w:vanish/>
              </w:rPr>
            </w:pPr>
          </w:p>
        </w:tc>
        <w:tc>
          <w:tcPr>
            <w:tcW w:w="0" w:type="auto"/>
            <w:gridSpan w:val="3"/>
            <w:shd w:val="clear" w:color="auto" w:fill="auto"/>
            <w:vAlign w:val="bottom"/>
          </w:tcPr>
          <w:p w14:paraId="392C4F4B" w14:textId="77777777" w:rsidR="00980E5F" w:rsidRDefault="00980E5F">
            <w:pPr>
              <w:rPr>
                <w:rFonts w:ascii="宋体"/>
                <w:vanish/>
              </w:rPr>
            </w:pPr>
          </w:p>
        </w:tc>
        <w:tc>
          <w:tcPr>
            <w:tcW w:w="0" w:type="auto"/>
            <w:gridSpan w:val="2"/>
            <w:shd w:val="clear" w:color="auto" w:fill="auto"/>
            <w:vAlign w:val="bottom"/>
          </w:tcPr>
          <w:p w14:paraId="392C4F4C" w14:textId="77777777" w:rsidR="00980E5F" w:rsidRDefault="00980E5F">
            <w:pPr>
              <w:rPr>
                <w:rFonts w:ascii="宋体"/>
                <w:vanish/>
              </w:rPr>
            </w:pPr>
          </w:p>
        </w:tc>
        <w:tc>
          <w:tcPr>
            <w:tcW w:w="0" w:type="auto"/>
            <w:shd w:val="clear" w:color="auto" w:fill="auto"/>
            <w:vAlign w:val="bottom"/>
          </w:tcPr>
          <w:p w14:paraId="392C4F4D" w14:textId="77777777" w:rsidR="00980E5F" w:rsidRDefault="00980E5F">
            <w:pPr>
              <w:rPr>
                <w:rFonts w:ascii="宋体"/>
                <w:vanish/>
              </w:rPr>
            </w:pPr>
          </w:p>
        </w:tc>
      </w:tr>
      <w:tr w:rsidR="00980E5F" w14:paraId="392C4F65" w14:textId="77777777">
        <w:trPr>
          <w:hidden/>
        </w:trPr>
        <w:tc>
          <w:tcPr>
            <w:tcW w:w="0" w:type="auto"/>
            <w:gridSpan w:val="3"/>
            <w:shd w:val="clear" w:color="auto" w:fill="auto"/>
            <w:vAlign w:val="bottom"/>
          </w:tcPr>
          <w:p w14:paraId="392C4F4F" w14:textId="77777777" w:rsidR="00980E5F" w:rsidRDefault="00980E5F">
            <w:pPr>
              <w:rPr>
                <w:rFonts w:ascii="宋体"/>
                <w:vanish/>
              </w:rPr>
            </w:pPr>
          </w:p>
        </w:tc>
        <w:tc>
          <w:tcPr>
            <w:tcW w:w="0" w:type="auto"/>
            <w:gridSpan w:val="3"/>
            <w:shd w:val="clear" w:color="auto" w:fill="auto"/>
            <w:vAlign w:val="bottom"/>
          </w:tcPr>
          <w:p w14:paraId="392C4F50" w14:textId="77777777" w:rsidR="00980E5F" w:rsidRDefault="00980E5F">
            <w:pPr>
              <w:rPr>
                <w:rFonts w:ascii="宋体"/>
                <w:vanish/>
              </w:rPr>
            </w:pPr>
          </w:p>
        </w:tc>
        <w:tc>
          <w:tcPr>
            <w:tcW w:w="0" w:type="auto"/>
            <w:gridSpan w:val="3"/>
            <w:shd w:val="clear" w:color="auto" w:fill="auto"/>
            <w:vAlign w:val="bottom"/>
          </w:tcPr>
          <w:p w14:paraId="392C4F51" w14:textId="77777777" w:rsidR="00980E5F" w:rsidRDefault="00980E5F">
            <w:pPr>
              <w:rPr>
                <w:rFonts w:ascii="宋体"/>
                <w:vanish/>
              </w:rPr>
            </w:pPr>
          </w:p>
        </w:tc>
        <w:tc>
          <w:tcPr>
            <w:tcW w:w="0" w:type="auto"/>
            <w:gridSpan w:val="3"/>
            <w:shd w:val="clear" w:color="auto" w:fill="auto"/>
            <w:vAlign w:val="bottom"/>
          </w:tcPr>
          <w:p w14:paraId="392C4F52" w14:textId="77777777" w:rsidR="00980E5F" w:rsidRDefault="00980E5F">
            <w:pPr>
              <w:rPr>
                <w:rFonts w:ascii="宋体"/>
                <w:vanish/>
              </w:rPr>
            </w:pPr>
          </w:p>
        </w:tc>
        <w:tc>
          <w:tcPr>
            <w:tcW w:w="0" w:type="auto"/>
            <w:gridSpan w:val="3"/>
            <w:shd w:val="clear" w:color="auto" w:fill="auto"/>
            <w:vAlign w:val="bottom"/>
          </w:tcPr>
          <w:p w14:paraId="392C4F53" w14:textId="77777777" w:rsidR="00980E5F" w:rsidRDefault="00980E5F">
            <w:pPr>
              <w:rPr>
                <w:rFonts w:ascii="宋体"/>
                <w:vanish/>
              </w:rPr>
            </w:pPr>
          </w:p>
        </w:tc>
        <w:tc>
          <w:tcPr>
            <w:tcW w:w="0" w:type="auto"/>
            <w:gridSpan w:val="3"/>
            <w:shd w:val="clear" w:color="auto" w:fill="auto"/>
            <w:vAlign w:val="bottom"/>
          </w:tcPr>
          <w:p w14:paraId="392C4F54" w14:textId="77777777" w:rsidR="00980E5F" w:rsidRDefault="00980E5F">
            <w:pPr>
              <w:rPr>
                <w:rFonts w:ascii="宋体"/>
                <w:vanish/>
              </w:rPr>
            </w:pPr>
          </w:p>
        </w:tc>
        <w:tc>
          <w:tcPr>
            <w:tcW w:w="0" w:type="auto"/>
            <w:gridSpan w:val="3"/>
            <w:shd w:val="clear" w:color="auto" w:fill="auto"/>
            <w:vAlign w:val="bottom"/>
          </w:tcPr>
          <w:p w14:paraId="392C4F55" w14:textId="77777777" w:rsidR="00980E5F" w:rsidRDefault="00980E5F">
            <w:pPr>
              <w:rPr>
                <w:rFonts w:ascii="宋体"/>
                <w:vanish/>
              </w:rPr>
            </w:pPr>
          </w:p>
        </w:tc>
        <w:tc>
          <w:tcPr>
            <w:tcW w:w="0" w:type="auto"/>
            <w:gridSpan w:val="3"/>
            <w:shd w:val="clear" w:color="auto" w:fill="auto"/>
            <w:vAlign w:val="bottom"/>
          </w:tcPr>
          <w:p w14:paraId="392C4F56" w14:textId="77777777" w:rsidR="00980E5F" w:rsidRDefault="00980E5F">
            <w:pPr>
              <w:rPr>
                <w:rFonts w:ascii="宋体"/>
                <w:vanish/>
              </w:rPr>
            </w:pPr>
          </w:p>
        </w:tc>
        <w:tc>
          <w:tcPr>
            <w:tcW w:w="0" w:type="auto"/>
            <w:gridSpan w:val="3"/>
            <w:shd w:val="clear" w:color="auto" w:fill="auto"/>
            <w:vAlign w:val="bottom"/>
          </w:tcPr>
          <w:p w14:paraId="392C4F57" w14:textId="77777777" w:rsidR="00980E5F" w:rsidRDefault="00980E5F">
            <w:pPr>
              <w:rPr>
                <w:rFonts w:ascii="宋体"/>
                <w:vanish/>
              </w:rPr>
            </w:pPr>
          </w:p>
        </w:tc>
        <w:tc>
          <w:tcPr>
            <w:tcW w:w="0" w:type="auto"/>
            <w:shd w:val="clear" w:color="auto" w:fill="auto"/>
            <w:vAlign w:val="bottom"/>
          </w:tcPr>
          <w:p w14:paraId="392C4F58" w14:textId="77777777" w:rsidR="00980E5F" w:rsidRDefault="00980E5F">
            <w:pPr>
              <w:rPr>
                <w:rFonts w:ascii="宋体"/>
                <w:vanish/>
              </w:rPr>
            </w:pPr>
          </w:p>
        </w:tc>
        <w:tc>
          <w:tcPr>
            <w:tcW w:w="0" w:type="auto"/>
            <w:shd w:val="clear" w:color="auto" w:fill="auto"/>
            <w:vAlign w:val="bottom"/>
          </w:tcPr>
          <w:p w14:paraId="392C4F59" w14:textId="77777777" w:rsidR="00980E5F" w:rsidRDefault="00980E5F">
            <w:pPr>
              <w:rPr>
                <w:rFonts w:ascii="宋体"/>
                <w:vanish/>
              </w:rPr>
            </w:pPr>
          </w:p>
        </w:tc>
        <w:tc>
          <w:tcPr>
            <w:tcW w:w="0" w:type="auto"/>
            <w:gridSpan w:val="3"/>
            <w:shd w:val="clear" w:color="auto" w:fill="auto"/>
            <w:vAlign w:val="bottom"/>
          </w:tcPr>
          <w:p w14:paraId="392C4F5A" w14:textId="77777777" w:rsidR="00980E5F" w:rsidRDefault="00980E5F">
            <w:pPr>
              <w:rPr>
                <w:rFonts w:ascii="宋体"/>
                <w:vanish/>
              </w:rPr>
            </w:pPr>
          </w:p>
        </w:tc>
        <w:tc>
          <w:tcPr>
            <w:tcW w:w="0" w:type="auto"/>
            <w:gridSpan w:val="3"/>
            <w:shd w:val="clear" w:color="auto" w:fill="auto"/>
            <w:vAlign w:val="bottom"/>
          </w:tcPr>
          <w:p w14:paraId="392C4F5B" w14:textId="77777777" w:rsidR="00980E5F" w:rsidRDefault="00980E5F">
            <w:pPr>
              <w:rPr>
                <w:rFonts w:ascii="宋体"/>
                <w:vanish/>
              </w:rPr>
            </w:pPr>
          </w:p>
        </w:tc>
        <w:tc>
          <w:tcPr>
            <w:tcW w:w="0" w:type="auto"/>
            <w:gridSpan w:val="3"/>
            <w:shd w:val="clear" w:color="auto" w:fill="auto"/>
            <w:vAlign w:val="bottom"/>
          </w:tcPr>
          <w:p w14:paraId="392C4F5C" w14:textId="77777777" w:rsidR="00980E5F" w:rsidRDefault="00980E5F">
            <w:pPr>
              <w:rPr>
                <w:rFonts w:ascii="宋体"/>
                <w:vanish/>
              </w:rPr>
            </w:pPr>
          </w:p>
        </w:tc>
        <w:tc>
          <w:tcPr>
            <w:tcW w:w="0" w:type="auto"/>
            <w:gridSpan w:val="3"/>
            <w:shd w:val="clear" w:color="auto" w:fill="auto"/>
            <w:vAlign w:val="bottom"/>
          </w:tcPr>
          <w:p w14:paraId="392C4F5D" w14:textId="77777777" w:rsidR="00980E5F" w:rsidRDefault="00980E5F">
            <w:pPr>
              <w:rPr>
                <w:rFonts w:ascii="宋体"/>
                <w:vanish/>
              </w:rPr>
            </w:pPr>
          </w:p>
        </w:tc>
        <w:tc>
          <w:tcPr>
            <w:tcW w:w="0" w:type="auto"/>
            <w:gridSpan w:val="3"/>
            <w:shd w:val="clear" w:color="auto" w:fill="auto"/>
            <w:vAlign w:val="bottom"/>
          </w:tcPr>
          <w:p w14:paraId="392C4F5E" w14:textId="77777777" w:rsidR="00980E5F" w:rsidRDefault="00980E5F">
            <w:pPr>
              <w:rPr>
                <w:rFonts w:ascii="宋体"/>
                <w:vanish/>
              </w:rPr>
            </w:pPr>
          </w:p>
        </w:tc>
        <w:tc>
          <w:tcPr>
            <w:tcW w:w="0" w:type="auto"/>
            <w:gridSpan w:val="3"/>
            <w:shd w:val="clear" w:color="auto" w:fill="auto"/>
            <w:vAlign w:val="bottom"/>
          </w:tcPr>
          <w:p w14:paraId="392C4F5F" w14:textId="77777777" w:rsidR="00980E5F" w:rsidRDefault="00980E5F">
            <w:pPr>
              <w:rPr>
                <w:rFonts w:ascii="宋体"/>
                <w:vanish/>
              </w:rPr>
            </w:pPr>
          </w:p>
        </w:tc>
        <w:tc>
          <w:tcPr>
            <w:tcW w:w="0" w:type="auto"/>
            <w:gridSpan w:val="3"/>
            <w:shd w:val="clear" w:color="auto" w:fill="auto"/>
            <w:vAlign w:val="bottom"/>
          </w:tcPr>
          <w:p w14:paraId="392C4F60" w14:textId="77777777" w:rsidR="00980E5F" w:rsidRDefault="00980E5F">
            <w:pPr>
              <w:rPr>
                <w:rFonts w:ascii="宋体"/>
                <w:vanish/>
              </w:rPr>
            </w:pPr>
          </w:p>
        </w:tc>
        <w:tc>
          <w:tcPr>
            <w:tcW w:w="0" w:type="auto"/>
            <w:gridSpan w:val="3"/>
            <w:shd w:val="clear" w:color="auto" w:fill="auto"/>
            <w:vAlign w:val="bottom"/>
          </w:tcPr>
          <w:p w14:paraId="392C4F61" w14:textId="77777777" w:rsidR="00980E5F" w:rsidRDefault="00980E5F">
            <w:pPr>
              <w:rPr>
                <w:rFonts w:ascii="宋体"/>
                <w:vanish/>
              </w:rPr>
            </w:pPr>
          </w:p>
        </w:tc>
        <w:tc>
          <w:tcPr>
            <w:tcW w:w="0" w:type="auto"/>
            <w:gridSpan w:val="3"/>
            <w:shd w:val="clear" w:color="auto" w:fill="auto"/>
            <w:vAlign w:val="bottom"/>
          </w:tcPr>
          <w:p w14:paraId="392C4F62" w14:textId="77777777" w:rsidR="00980E5F" w:rsidRDefault="00980E5F">
            <w:pPr>
              <w:rPr>
                <w:rFonts w:ascii="宋体"/>
                <w:vanish/>
              </w:rPr>
            </w:pPr>
          </w:p>
        </w:tc>
        <w:tc>
          <w:tcPr>
            <w:tcW w:w="0" w:type="auto"/>
            <w:gridSpan w:val="2"/>
            <w:shd w:val="clear" w:color="auto" w:fill="auto"/>
            <w:vAlign w:val="bottom"/>
          </w:tcPr>
          <w:p w14:paraId="392C4F63" w14:textId="77777777" w:rsidR="00980E5F" w:rsidRDefault="00980E5F">
            <w:pPr>
              <w:rPr>
                <w:rFonts w:ascii="宋体"/>
                <w:vanish/>
              </w:rPr>
            </w:pPr>
          </w:p>
        </w:tc>
        <w:tc>
          <w:tcPr>
            <w:tcW w:w="0" w:type="auto"/>
            <w:shd w:val="clear" w:color="auto" w:fill="auto"/>
            <w:vAlign w:val="bottom"/>
          </w:tcPr>
          <w:p w14:paraId="392C4F64" w14:textId="77777777" w:rsidR="00980E5F" w:rsidRDefault="00980E5F">
            <w:pPr>
              <w:rPr>
                <w:rFonts w:ascii="宋体"/>
                <w:vanish/>
              </w:rPr>
            </w:pPr>
          </w:p>
        </w:tc>
      </w:tr>
      <w:tr w:rsidR="00980E5F" w14:paraId="392C4F85" w14:textId="77777777">
        <w:tc>
          <w:tcPr>
            <w:tcW w:w="0" w:type="auto"/>
            <w:gridSpan w:val="3"/>
            <w:shd w:val="clear" w:color="auto" w:fill="FFFFFF"/>
            <w:tcMar>
              <w:top w:w="40" w:type="dxa"/>
              <w:left w:w="20" w:type="dxa"/>
              <w:bottom w:w="40" w:type="dxa"/>
              <w:right w:w="20" w:type="dxa"/>
            </w:tcMar>
            <w:vAlign w:val="center"/>
          </w:tcPr>
          <w:p w14:paraId="392C4F66" w14:textId="77777777" w:rsidR="00980E5F" w:rsidRDefault="00483613">
            <w:pPr>
              <w:textAlignment w:val="center"/>
            </w:pPr>
            <w:r>
              <w:rPr>
                <w:rFonts w:ascii="Arial" w:eastAsia="宋体" w:hAnsi="Arial" w:cs="Arial"/>
                <w:color w:val="000000"/>
                <w:sz w:val="12"/>
                <w:szCs w:val="12"/>
              </w:rPr>
              <w:t>Total derivative instruments</w:t>
            </w:r>
          </w:p>
        </w:tc>
        <w:tc>
          <w:tcPr>
            <w:tcW w:w="0" w:type="auto"/>
            <w:gridSpan w:val="2"/>
            <w:shd w:val="clear" w:color="auto" w:fill="FFFFFF"/>
            <w:tcMar>
              <w:top w:w="40" w:type="dxa"/>
              <w:left w:w="20" w:type="dxa"/>
              <w:bottom w:w="40" w:type="dxa"/>
              <w:right w:w="0" w:type="dxa"/>
            </w:tcMar>
            <w:vAlign w:val="center"/>
          </w:tcPr>
          <w:p w14:paraId="392C4F67"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6A" w14:textId="77777777" w:rsidR="00980E5F" w:rsidRDefault="00483613">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6D"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6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70" w14:textId="77777777" w:rsidR="00980E5F" w:rsidRDefault="00483613">
            <w:pPr>
              <w:jc w:val="right"/>
              <w:textAlignment w:val="center"/>
            </w:pPr>
            <w:r>
              <w:rPr>
                <w:rFonts w:ascii="Arial" w:eastAsia="宋体" w:hAnsi="Arial" w:cs="Arial"/>
                <w:b/>
                <w:bCs/>
                <w:color w:val="000000"/>
                <w:sz w:val="12"/>
                <w:szCs w:val="12"/>
              </w:rPr>
              <w:t>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72" w14:textId="77777777" w:rsidR="00980E5F" w:rsidRDefault="00980E5F">
            <w:pPr>
              <w:rPr>
                <w:rFonts w:ascii="宋体"/>
              </w:rPr>
            </w:pPr>
          </w:p>
        </w:tc>
        <w:tc>
          <w:tcPr>
            <w:tcW w:w="0" w:type="auto"/>
            <w:shd w:val="clear" w:color="auto" w:fill="auto"/>
            <w:vAlign w:val="bottom"/>
          </w:tcPr>
          <w:p w14:paraId="392C4F73" w14:textId="77777777" w:rsidR="00980E5F" w:rsidRDefault="00980E5F">
            <w:pPr>
              <w:rPr>
                <w:rFonts w:ascii="宋体"/>
                <w:vanish/>
              </w:rPr>
            </w:pPr>
          </w:p>
        </w:tc>
        <w:tc>
          <w:tcPr>
            <w:tcW w:w="0" w:type="auto"/>
            <w:shd w:val="clear" w:color="auto" w:fill="auto"/>
            <w:vAlign w:val="bottom"/>
          </w:tcPr>
          <w:p w14:paraId="392C4F74"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center"/>
          </w:tcPr>
          <w:p w14:paraId="392C4F75"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7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78"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7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7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7B"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7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7E"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4F8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4F81"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4F82"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4F83" w14:textId="77777777" w:rsidR="00980E5F" w:rsidRDefault="00980E5F">
            <w:pPr>
              <w:rPr>
                <w:rFonts w:ascii="宋体"/>
              </w:rPr>
            </w:pPr>
          </w:p>
        </w:tc>
        <w:tc>
          <w:tcPr>
            <w:tcW w:w="0" w:type="auto"/>
            <w:shd w:val="clear" w:color="auto" w:fill="FFFFFF"/>
            <w:tcMar>
              <w:top w:w="40" w:type="dxa"/>
              <w:left w:w="20" w:type="dxa"/>
              <w:bottom w:w="40" w:type="dxa"/>
              <w:right w:w="0" w:type="dxa"/>
            </w:tcMar>
            <w:vAlign w:val="center"/>
          </w:tcPr>
          <w:p w14:paraId="392C4F84" w14:textId="77777777" w:rsidR="00980E5F" w:rsidRDefault="00483613">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r>
      <w:tr w:rsidR="00483613" w14:paraId="392C4FAF" w14:textId="77777777">
        <w:tc>
          <w:tcPr>
            <w:tcW w:w="0" w:type="auto"/>
            <w:gridSpan w:val="3"/>
            <w:shd w:val="clear" w:color="auto" w:fill="CCEEFF"/>
            <w:tcMar>
              <w:top w:w="40" w:type="dxa"/>
              <w:left w:w="20" w:type="dxa"/>
              <w:bottom w:w="40" w:type="dxa"/>
              <w:right w:w="20" w:type="dxa"/>
            </w:tcMar>
            <w:vAlign w:val="center"/>
          </w:tcPr>
          <w:p w14:paraId="392C4F86" w14:textId="77777777" w:rsidR="00980E5F" w:rsidRDefault="00483613">
            <w:pPr>
              <w:textAlignment w:val="center"/>
            </w:pPr>
            <w:r>
              <w:rPr>
                <w:rFonts w:ascii="Arial" w:eastAsia="宋体" w:hAnsi="Arial" w:cs="Arial"/>
                <w:color w:val="000000"/>
                <w:sz w:val="12"/>
                <w:szCs w:val="12"/>
              </w:rPr>
              <w:t>Total assets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87"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88"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8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8B"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8C" w14:textId="77777777" w:rsidR="00980E5F" w:rsidRDefault="00483613">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8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8F"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90"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9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93"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94" w14:textId="77777777" w:rsidR="00980E5F" w:rsidRDefault="00483613">
            <w:pPr>
              <w:jc w:val="right"/>
              <w:textAlignment w:val="center"/>
            </w:pPr>
            <w:r>
              <w:rPr>
                <w:rFonts w:ascii="Arial" w:eastAsia="宋体" w:hAnsi="Arial" w:cs="Arial"/>
                <w:b/>
                <w:bCs/>
                <w:color w:val="000000"/>
                <w:sz w:val="12"/>
                <w:szCs w:val="12"/>
              </w:rPr>
              <w:t>12</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96" w14:textId="77777777" w:rsidR="00980E5F" w:rsidRDefault="00980E5F">
            <w:pPr>
              <w:rPr>
                <w:rFonts w:ascii="宋体"/>
              </w:rPr>
            </w:pPr>
          </w:p>
        </w:tc>
        <w:tc>
          <w:tcPr>
            <w:tcW w:w="0" w:type="auto"/>
            <w:shd w:val="clear" w:color="auto" w:fill="auto"/>
            <w:vAlign w:val="bottom"/>
          </w:tcPr>
          <w:p w14:paraId="392C4F97" w14:textId="77777777" w:rsidR="00980E5F" w:rsidRDefault="00980E5F">
            <w:pPr>
              <w:rPr>
                <w:rFonts w:ascii="宋体"/>
                <w:vanish/>
              </w:rPr>
            </w:pPr>
          </w:p>
        </w:tc>
        <w:tc>
          <w:tcPr>
            <w:tcW w:w="0" w:type="auto"/>
            <w:shd w:val="clear" w:color="auto" w:fill="auto"/>
            <w:vAlign w:val="bottom"/>
          </w:tcPr>
          <w:p w14:paraId="392C4F98" w14:textId="77777777" w:rsidR="00980E5F" w:rsidRDefault="00980E5F">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99"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9A"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9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9D"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9E"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A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A1"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A2"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A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A5"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A6" w14:textId="77777777" w:rsidR="00980E5F" w:rsidRDefault="00483613">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4FA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A9" w14:textId="77777777" w:rsidR="00980E5F" w:rsidRDefault="00483613">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4FAA" w14:textId="77777777" w:rsidR="00980E5F" w:rsidRDefault="00483613">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4FAB"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4FA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4FAD" w14:textId="77777777" w:rsidR="00980E5F" w:rsidRDefault="00483613">
            <w:pPr>
              <w:textAlignment w:val="center"/>
            </w:pPr>
            <w:r>
              <w:rPr>
                <w:rFonts w:ascii="Arial" w:eastAsia="宋体" w:hAnsi="Arial" w:cs="Arial"/>
                <w:b/>
                <w:bCs/>
                <w:color w:val="000000"/>
                <w:sz w:val="12"/>
                <w:szCs w:val="12"/>
              </w:rPr>
              <w:t>$</w:t>
            </w:r>
          </w:p>
          <w:p w14:paraId="392C4FAE" w14:textId="77777777" w:rsidR="00980E5F" w:rsidRDefault="00483613">
            <w:pPr>
              <w:jc w:val="right"/>
              <w:textAlignment w:val="center"/>
            </w:pPr>
            <w:r>
              <w:rPr>
                <w:rFonts w:ascii="Arial" w:eastAsia="宋体" w:hAnsi="Arial" w:cs="Arial"/>
                <w:b/>
                <w:bCs/>
                <w:color w:val="000000"/>
                <w:sz w:val="12"/>
                <w:szCs w:val="12"/>
              </w:rPr>
              <w:t>4</w:t>
            </w:r>
            <w:r>
              <w:rPr>
                <w:rFonts w:ascii="Arial" w:eastAsia="宋体" w:hAnsi="Arial" w:cs="Arial"/>
                <w:color w:val="000000"/>
                <w:sz w:val="12"/>
                <w:szCs w:val="12"/>
              </w:rPr>
              <w:t> </w:t>
            </w:r>
          </w:p>
        </w:tc>
      </w:tr>
    </w:tbl>
    <w:p w14:paraId="392C4FB0"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980E5F" w14:paraId="392C4FBD" w14:textId="77777777">
        <w:tc>
          <w:tcPr>
            <w:tcW w:w="50" w:type="pct"/>
            <w:shd w:val="clear" w:color="auto" w:fill="auto"/>
            <w:vAlign w:val="bottom"/>
          </w:tcPr>
          <w:p w14:paraId="392C4FB1" w14:textId="77777777" w:rsidR="00980E5F" w:rsidRDefault="00980E5F">
            <w:pPr>
              <w:rPr>
                <w:rFonts w:ascii="宋体"/>
              </w:rPr>
            </w:pPr>
          </w:p>
        </w:tc>
        <w:tc>
          <w:tcPr>
            <w:tcW w:w="1348" w:type="pct"/>
            <w:shd w:val="clear" w:color="auto" w:fill="auto"/>
            <w:vAlign w:val="bottom"/>
          </w:tcPr>
          <w:p w14:paraId="392C4FB2" w14:textId="77777777" w:rsidR="00980E5F" w:rsidRDefault="00980E5F">
            <w:pPr>
              <w:rPr>
                <w:rFonts w:ascii="宋体"/>
              </w:rPr>
            </w:pPr>
          </w:p>
        </w:tc>
        <w:tc>
          <w:tcPr>
            <w:tcW w:w="5" w:type="pct"/>
            <w:shd w:val="clear" w:color="auto" w:fill="auto"/>
            <w:vAlign w:val="bottom"/>
          </w:tcPr>
          <w:p w14:paraId="392C4FB3" w14:textId="77777777" w:rsidR="00980E5F" w:rsidRDefault="00980E5F">
            <w:pPr>
              <w:rPr>
                <w:rFonts w:ascii="宋体"/>
              </w:rPr>
            </w:pPr>
          </w:p>
        </w:tc>
        <w:tc>
          <w:tcPr>
            <w:tcW w:w="50" w:type="pct"/>
            <w:shd w:val="clear" w:color="auto" w:fill="auto"/>
            <w:vAlign w:val="bottom"/>
          </w:tcPr>
          <w:p w14:paraId="392C4FB4" w14:textId="77777777" w:rsidR="00980E5F" w:rsidRDefault="00980E5F">
            <w:pPr>
              <w:rPr>
                <w:rFonts w:ascii="宋体"/>
              </w:rPr>
            </w:pPr>
          </w:p>
        </w:tc>
        <w:tc>
          <w:tcPr>
            <w:tcW w:w="668" w:type="pct"/>
            <w:shd w:val="clear" w:color="auto" w:fill="auto"/>
            <w:vAlign w:val="bottom"/>
          </w:tcPr>
          <w:p w14:paraId="392C4FB5" w14:textId="77777777" w:rsidR="00980E5F" w:rsidRDefault="00980E5F">
            <w:pPr>
              <w:rPr>
                <w:rFonts w:ascii="宋体"/>
              </w:rPr>
            </w:pPr>
          </w:p>
        </w:tc>
        <w:tc>
          <w:tcPr>
            <w:tcW w:w="5" w:type="pct"/>
            <w:shd w:val="clear" w:color="auto" w:fill="auto"/>
            <w:vAlign w:val="bottom"/>
          </w:tcPr>
          <w:p w14:paraId="392C4FB6" w14:textId="77777777" w:rsidR="00980E5F" w:rsidRDefault="00980E5F">
            <w:pPr>
              <w:rPr>
                <w:rFonts w:ascii="宋体"/>
              </w:rPr>
            </w:pPr>
          </w:p>
        </w:tc>
        <w:tc>
          <w:tcPr>
            <w:tcW w:w="50" w:type="pct"/>
            <w:shd w:val="clear" w:color="auto" w:fill="auto"/>
            <w:vAlign w:val="bottom"/>
          </w:tcPr>
          <w:p w14:paraId="392C4FB7" w14:textId="77777777" w:rsidR="00980E5F" w:rsidRDefault="00980E5F">
            <w:pPr>
              <w:rPr>
                <w:rFonts w:ascii="宋体"/>
              </w:rPr>
            </w:pPr>
          </w:p>
        </w:tc>
        <w:tc>
          <w:tcPr>
            <w:tcW w:w="909" w:type="pct"/>
            <w:shd w:val="clear" w:color="auto" w:fill="auto"/>
            <w:vAlign w:val="bottom"/>
          </w:tcPr>
          <w:p w14:paraId="392C4FB8" w14:textId="77777777" w:rsidR="00980E5F" w:rsidRDefault="00980E5F">
            <w:pPr>
              <w:rPr>
                <w:rFonts w:ascii="宋体"/>
              </w:rPr>
            </w:pPr>
          </w:p>
        </w:tc>
        <w:tc>
          <w:tcPr>
            <w:tcW w:w="5" w:type="pct"/>
            <w:shd w:val="clear" w:color="auto" w:fill="auto"/>
            <w:vAlign w:val="bottom"/>
          </w:tcPr>
          <w:p w14:paraId="392C4FB9" w14:textId="77777777" w:rsidR="00980E5F" w:rsidRDefault="00980E5F">
            <w:pPr>
              <w:rPr>
                <w:rFonts w:ascii="宋体"/>
              </w:rPr>
            </w:pPr>
          </w:p>
        </w:tc>
        <w:tc>
          <w:tcPr>
            <w:tcW w:w="50" w:type="pct"/>
            <w:shd w:val="clear" w:color="auto" w:fill="auto"/>
            <w:vAlign w:val="bottom"/>
          </w:tcPr>
          <w:p w14:paraId="392C4FBA" w14:textId="77777777" w:rsidR="00980E5F" w:rsidRDefault="00980E5F">
            <w:pPr>
              <w:rPr>
                <w:rFonts w:ascii="宋体"/>
              </w:rPr>
            </w:pPr>
          </w:p>
        </w:tc>
        <w:tc>
          <w:tcPr>
            <w:tcW w:w="1852" w:type="pct"/>
            <w:shd w:val="clear" w:color="auto" w:fill="auto"/>
            <w:vAlign w:val="bottom"/>
          </w:tcPr>
          <w:p w14:paraId="392C4FBB" w14:textId="77777777" w:rsidR="00980E5F" w:rsidRDefault="00980E5F">
            <w:pPr>
              <w:rPr>
                <w:rFonts w:ascii="宋体"/>
              </w:rPr>
            </w:pPr>
          </w:p>
        </w:tc>
        <w:tc>
          <w:tcPr>
            <w:tcW w:w="5" w:type="pct"/>
            <w:shd w:val="clear" w:color="auto" w:fill="auto"/>
            <w:vAlign w:val="bottom"/>
          </w:tcPr>
          <w:p w14:paraId="392C4FBC" w14:textId="77777777" w:rsidR="00980E5F" w:rsidRDefault="00980E5F">
            <w:pPr>
              <w:rPr>
                <w:rFonts w:ascii="宋体"/>
              </w:rPr>
            </w:pPr>
          </w:p>
        </w:tc>
      </w:tr>
      <w:tr w:rsidR="00980E5F" w14:paraId="392C4FC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4F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F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F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4FC1" w14:textId="77777777" w:rsidR="00980E5F" w:rsidRDefault="00980E5F">
            <w:pPr>
              <w:rPr>
                <w:rFonts w:ascii="宋体"/>
              </w:rPr>
            </w:pPr>
          </w:p>
        </w:tc>
      </w:tr>
    </w:tbl>
    <w:p w14:paraId="392C4FC3" w14:textId="77777777" w:rsidR="00980E5F" w:rsidRDefault="00483613">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p w14:paraId="392C4FC4" w14:textId="77777777" w:rsidR="00980E5F" w:rsidRDefault="00483613">
      <w:pPr>
        <w:ind w:firstLine="450"/>
        <w:jc w:val="right"/>
      </w:pPr>
      <w:r>
        <w:rPr>
          <w:rFonts w:ascii="Arial" w:eastAsia="宋体" w:hAnsi="Arial" w:cs="Arial"/>
          <w:color w:val="000000"/>
          <w:sz w:val="18"/>
          <w:szCs w:val="18"/>
        </w:rPr>
        <w:t>State Street Corporation | 63</w:t>
      </w:r>
    </w:p>
    <w:p w14:paraId="392C4FC5" w14:textId="77777777" w:rsidR="00980E5F" w:rsidRDefault="00980E5F">
      <w:pPr>
        <w:ind w:firstLine="450"/>
        <w:jc w:val="center"/>
      </w:pPr>
    </w:p>
    <w:p w14:paraId="392C4FC6" w14:textId="77777777" w:rsidR="00980E5F" w:rsidRDefault="00483613">
      <w:r>
        <w:pict w14:anchorId="392CBB0D">
          <v:rect id="_x0000_i1087" style="width:415.3pt;height:1.5pt" o:hralign="center" o:hrstd="t" o:hr="t" fillcolor="#a0a0a0" stroked="f"/>
        </w:pict>
      </w:r>
    </w:p>
    <w:p w14:paraId="392C4FC7" w14:textId="77777777" w:rsidR="00980E5F" w:rsidRDefault="00483613">
      <w:pPr>
        <w:ind w:firstLine="450"/>
        <w:jc w:val="center"/>
      </w:pPr>
      <w:r>
        <w:rPr>
          <w:rFonts w:ascii="Arial" w:eastAsia="宋体" w:hAnsi="Arial" w:cs="Arial"/>
          <w:b/>
          <w:bCs/>
          <w:color w:val="000000"/>
          <w:sz w:val="20"/>
          <w:szCs w:val="20"/>
        </w:rPr>
        <w:t>STATE STREET CORPORATION</w:t>
      </w:r>
    </w:p>
    <w:p w14:paraId="392C4FC8"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4FC9"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63"/>
        <w:gridCol w:w="891"/>
        <w:gridCol w:w="35"/>
        <w:gridCol w:w="87"/>
        <w:gridCol w:w="337"/>
        <w:gridCol w:w="35"/>
        <w:gridCol w:w="36"/>
        <w:gridCol w:w="35"/>
        <w:gridCol w:w="35"/>
        <w:gridCol w:w="90"/>
        <w:gridCol w:w="565"/>
        <w:gridCol w:w="37"/>
        <w:gridCol w:w="37"/>
        <w:gridCol w:w="37"/>
        <w:gridCol w:w="37"/>
        <w:gridCol w:w="94"/>
        <w:gridCol w:w="831"/>
        <w:gridCol w:w="36"/>
        <w:gridCol w:w="36"/>
        <w:gridCol w:w="36"/>
        <w:gridCol w:w="36"/>
        <w:gridCol w:w="91"/>
        <w:gridCol w:w="543"/>
        <w:gridCol w:w="36"/>
        <w:gridCol w:w="36"/>
        <w:gridCol w:w="36"/>
        <w:gridCol w:w="36"/>
        <w:gridCol w:w="36"/>
        <w:gridCol w:w="36"/>
        <w:gridCol w:w="88"/>
        <w:gridCol w:w="276"/>
        <w:gridCol w:w="36"/>
        <w:gridCol w:w="36"/>
        <w:gridCol w:w="36"/>
        <w:gridCol w:w="36"/>
        <w:gridCol w:w="90"/>
        <w:gridCol w:w="618"/>
        <w:gridCol w:w="36"/>
        <w:gridCol w:w="36"/>
        <w:gridCol w:w="36"/>
        <w:gridCol w:w="36"/>
        <w:gridCol w:w="90"/>
        <w:gridCol w:w="485"/>
        <w:gridCol w:w="36"/>
        <w:gridCol w:w="36"/>
        <w:gridCol w:w="36"/>
        <w:gridCol w:w="36"/>
        <w:gridCol w:w="90"/>
        <w:gridCol w:w="485"/>
        <w:gridCol w:w="36"/>
        <w:gridCol w:w="36"/>
        <w:gridCol w:w="36"/>
        <w:gridCol w:w="36"/>
        <w:gridCol w:w="88"/>
        <w:gridCol w:w="345"/>
        <w:gridCol w:w="36"/>
        <w:gridCol w:w="36"/>
        <w:gridCol w:w="36"/>
        <w:gridCol w:w="721"/>
      </w:tblGrid>
      <w:tr w:rsidR="00980E5F" w14:paraId="392C5005" w14:textId="77777777">
        <w:tc>
          <w:tcPr>
            <w:tcW w:w="50" w:type="pct"/>
            <w:shd w:val="clear" w:color="auto" w:fill="auto"/>
            <w:vAlign w:val="bottom"/>
          </w:tcPr>
          <w:p w14:paraId="392C4FCA" w14:textId="77777777" w:rsidR="00980E5F" w:rsidRDefault="00980E5F">
            <w:pPr>
              <w:rPr>
                <w:rFonts w:ascii="宋体"/>
              </w:rPr>
            </w:pPr>
          </w:p>
        </w:tc>
        <w:tc>
          <w:tcPr>
            <w:tcW w:w="734" w:type="pct"/>
            <w:shd w:val="clear" w:color="auto" w:fill="auto"/>
            <w:vAlign w:val="bottom"/>
          </w:tcPr>
          <w:p w14:paraId="392C4FCB" w14:textId="77777777" w:rsidR="00980E5F" w:rsidRDefault="00980E5F">
            <w:pPr>
              <w:rPr>
                <w:rFonts w:ascii="宋体"/>
              </w:rPr>
            </w:pPr>
          </w:p>
        </w:tc>
        <w:tc>
          <w:tcPr>
            <w:tcW w:w="5" w:type="pct"/>
            <w:shd w:val="clear" w:color="auto" w:fill="auto"/>
            <w:vAlign w:val="bottom"/>
          </w:tcPr>
          <w:p w14:paraId="392C4FCC" w14:textId="77777777" w:rsidR="00980E5F" w:rsidRDefault="00980E5F">
            <w:pPr>
              <w:rPr>
                <w:rFonts w:ascii="宋体"/>
              </w:rPr>
            </w:pPr>
          </w:p>
        </w:tc>
        <w:tc>
          <w:tcPr>
            <w:tcW w:w="50" w:type="pct"/>
            <w:shd w:val="clear" w:color="auto" w:fill="auto"/>
            <w:vAlign w:val="bottom"/>
          </w:tcPr>
          <w:p w14:paraId="392C4FCD" w14:textId="77777777" w:rsidR="00980E5F" w:rsidRDefault="00980E5F">
            <w:pPr>
              <w:rPr>
                <w:rFonts w:ascii="宋体"/>
              </w:rPr>
            </w:pPr>
          </w:p>
        </w:tc>
        <w:tc>
          <w:tcPr>
            <w:tcW w:w="354" w:type="pct"/>
            <w:shd w:val="clear" w:color="auto" w:fill="auto"/>
            <w:vAlign w:val="bottom"/>
          </w:tcPr>
          <w:p w14:paraId="392C4FCE" w14:textId="77777777" w:rsidR="00980E5F" w:rsidRDefault="00980E5F">
            <w:pPr>
              <w:rPr>
                <w:rFonts w:ascii="宋体"/>
              </w:rPr>
            </w:pPr>
          </w:p>
        </w:tc>
        <w:tc>
          <w:tcPr>
            <w:tcW w:w="5" w:type="pct"/>
            <w:shd w:val="clear" w:color="auto" w:fill="auto"/>
            <w:vAlign w:val="bottom"/>
          </w:tcPr>
          <w:p w14:paraId="392C4FCF" w14:textId="77777777" w:rsidR="00980E5F" w:rsidRDefault="00980E5F">
            <w:pPr>
              <w:rPr>
                <w:rFonts w:ascii="宋体"/>
              </w:rPr>
            </w:pPr>
          </w:p>
        </w:tc>
        <w:tc>
          <w:tcPr>
            <w:tcW w:w="5" w:type="pct"/>
            <w:shd w:val="clear" w:color="auto" w:fill="auto"/>
            <w:vAlign w:val="bottom"/>
          </w:tcPr>
          <w:p w14:paraId="392C4FD0" w14:textId="77777777" w:rsidR="00980E5F" w:rsidRDefault="00980E5F">
            <w:pPr>
              <w:rPr>
                <w:rFonts w:ascii="宋体"/>
              </w:rPr>
            </w:pPr>
          </w:p>
        </w:tc>
        <w:tc>
          <w:tcPr>
            <w:tcW w:w="19" w:type="pct"/>
            <w:shd w:val="clear" w:color="auto" w:fill="auto"/>
            <w:vAlign w:val="bottom"/>
          </w:tcPr>
          <w:p w14:paraId="392C4FD1" w14:textId="77777777" w:rsidR="00980E5F" w:rsidRDefault="00980E5F">
            <w:pPr>
              <w:rPr>
                <w:rFonts w:ascii="宋体"/>
              </w:rPr>
            </w:pPr>
          </w:p>
        </w:tc>
        <w:tc>
          <w:tcPr>
            <w:tcW w:w="5" w:type="pct"/>
            <w:shd w:val="clear" w:color="auto" w:fill="auto"/>
            <w:vAlign w:val="bottom"/>
          </w:tcPr>
          <w:p w14:paraId="392C4FD2" w14:textId="77777777" w:rsidR="00980E5F" w:rsidRDefault="00980E5F">
            <w:pPr>
              <w:rPr>
                <w:rFonts w:ascii="宋体"/>
              </w:rPr>
            </w:pPr>
          </w:p>
        </w:tc>
        <w:tc>
          <w:tcPr>
            <w:tcW w:w="50" w:type="pct"/>
            <w:shd w:val="clear" w:color="auto" w:fill="auto"/>
            <w:vAlign w:val="bottom"/>
          </w:tcPr>
          <w:p w14:paraId="392C4FD3" w14:textId="77777777" w:rsidR="00980E5F" w:rsidRDefault="00980E5F">
            <w:pPr>
              <w:rPr>
                <w:rFonts w:ascii="宋体"/>
              </w:rPr>
            </w:pPr>
          </w:p>
        </w:tc>
        <w:tc>
          <w:tcPr>
            <w:tcW w:w="317" w:type="pct"/>
            <w:shd w:val="clear" w:color="auto" w:fill="auto"/>
            <w:vAlign w:val="bottom"/>
          </w:tcPr>
          <w:p w14:paraId="392C4FD4" w14:textId="77777777" w:rsidR="00980E5F" w:rsidRDefault="00980E5F">
            <w:pPr>
              <w:rPr>
                <w:rFonts w:ascii="宋体"/>
              </w:rPr>
            </w:pPr>
          </w:p>
        </w:tc>
        <w:tc>
          <w:tcPr>
            <w:tcW w:w="5" w:type="pct"/>
            <w:shd w:val="clear" w:color="auto" w:fill="auto"/>
            <w:vAlign w:val="bottom"/>
          </w:tcPr>
          <w:p w14:paraId="392C4FD5" w14:textId="77777777" w:rsidR="00980E5F" w:rsidRDefault="00980E5F">
            <w:pPr>
              <w:rPr>
                <w:rFonts w:ascii="宋体"/>
              </w:rPr>
            </w:pPr>
          </w:p>
        </w:tc>
        <w:tc>
          <w:tcPr>
            <w:tcW w:w="5" w:type="pct"/>
            <w:shd w:val="clear" w:color="auto" w:fill="auto"/>
            <w:vAlign w:val="bottom"/>
          </w:tcPr>
          <w:p w14:paraId="392C4FD6" w14:textId="77777777" w:rsidR="00980E5F" w:rsidRDefault="00980E5F">
            <w:pPr>
              <w:rPr>
                <w:rFonts w:ascii="宋体"/>
              </w:rPr>
            </w:pPr>
          </w:p>
        </w:tc>
        <w:tc>
          <w:tcPr>
            <w:tcW w:w="19" w:type="pct"/>
            <w:shd w:val="clear" w:color="auto" w:fill="auto"/>
            <w:vAlign w:val="bottom"/>
          </w:tcPr>
          <w:p w14:paraId="392C4FD7" w14:textId="77777777" w:rsidR="00980E5F" w:rsidRDefault="00980E5F">
            <w:pPr>
              <w:rPr>
                <w:rFonts w:ascii="宋体"/>
              </w:rPr>
            </w:pPr>
          </w:p>
        </w:tc>
        <w:tc>
          <w:tcPr>
            <w:tcW w:w="5" w:type="pct"/>
            <w:shd w:val="clear" w:color="auto" w:fill="auto"/>
            <w:vAlign w:val="bottom"/>
          </w:tcPr>
          <w:p w14:paraId="392C4FD8" w14:textId="77777777" w:rsidR="00980E5F" w:rsidRDefault="00980E5F">
            <w:pPr>
              <w:rPr>
                <w:rFonts w:ascii="宋体"/>
              </w:rPr>
            </w:pPr>
          </w:p>
        </w:tc>
        <w:tc>
          <w:tcPr>
            <w:tcW w:w="50" w:type="pct"/>
            <w:shd w:val="clear" w:color="auto" w:fill="auto"/>
            <w:vAlign w:val="bottom"/>
          </w:tcPr>
          <w:p w14:paraId="392C4FD9" w14:textId="77777777" w:rsidR="00980E5F" w:rsidRDefault="00980E5F">
            <w:pPr>
              <w:rPr>
                <w:rFonts w:ascii="宋体"/>
              </w:rPr>
            </w:pPr>
          </w:p>
        </w:tc>
        <w:tc>
          <w:tcPr>
            <w:tcW w:w="449" w:type="pct"/>
            <w:shd w:val="clear" w:color="auto" w:fill="auto"/>
            <w:vAlign w:val="bottom"/>
          </w:tcPr>
          <w:p w14:paraId="392C4FDA" w14:textId="77777777" w:rsidR="00980E5F" w:rsidRDefault="00980E5F">
            <w:pPr>
              <w:rPr>
                <w:rFonts w:ascii="宋体"/>
              </w:rPr>
            </w:pPr>
          </w:p>
        </w:tc>
        <w:tc>
          <w:tcPr>
            <w:tcW w:w="5" w:type="pct"/>
            <w:shd w:val="clear" w:color="auto" w:fill="auto"/>
            <w:vAlign w:val="bottom"/>
          </w:tcPr>
          <w:p w14:paraId="392C4FDB" w14:textId="77777777" w:rsidR="00980E5F" w:rsidRDefault="00980E5F">
            <w:pPr>
              <w:rPr>
                <w:rFonts w:ascii="宋体"/>
              </w:rPr>
            </w:pPr>
          </w:p>
        </w:tc>
        <w:tc>
          <w:tcPr>
            <w:tcW w:w="5" w:type="pct"/>
            <w:shd w:val="clear" w:color="auto" w:fill="auto"/>
            <w:vAlign w:val="bottom"/>
          </w:tcPr>
          <w:p w14:paraId="392C4FDC" w14:textId="77777777" w:rsidR="00980E5F" w:rsidRDefault="00980E5F">
            <w:pPr>
              <w:rPr>
                <w:rFonts w:ascii="宋体"/>
              </w:rPr>
            </w:pPr>
          </w:p>
        </w:tc>
        <w:tc>
          <w:tcPr>
            <w:tcW w:w="19" w:type="pct"/>
            <w:shd w:val="clear" w:color="auto" w:fill="auto"/>
            <w:vAlign w:val="bottom"/>
          </w:tcPr>
          <w:p w14:paraId="392C4FDD" w14:textId="77777777" w:rsidR="00980E5F" w:rsidRDefault="00980E5F">
            <w:pPr>
              <w:rPr>
                <w:rFonts w:ascii="宋体"/>
              </w:rPr>
            </w:pPr>
          </w:p>
        </w:tc>
        <w:tc>
          <w:tcPr>
            <w:tcW w:w="5" w:type="pct"/>
            <w:shd w:val="clear" w:color="auto" w:fill="auto"/>
            <w:vAlign w:val="bottom"/>
          </w:tcPr>
          <w:p w14:paraId="392C4FDE" w14:textId="77777777" w:rsidR="00980E5F" w:rsidRDefault="00980E5F">
            <w:pPr>
              <w:rPr>
                <w:rFonts w:ascii="宋体"/>
              </w:rPr>
            </w:pPr>
          </w:p>
        </w:tc>
        <w:tc>
          <w:tcPr>
            <w:tcW w:w="50" w:type="pct"/>
            <w:shd w:val="clear" w:color="auto" w:fill="auto"/>
            <w:vAlign w:val="bottom"/>
          </w:tcPr>
          <w:p w14:paraId="392C4FDF" w14:textId="77777777" w:rsidR="00980E5F" w:rsidRDefault="00980E5F">
            <w:pPr>
              <w:rPr>
                <w:rFonts w:ascii="宋体"/>
              </w:rPr>
            </w:pPr>
          </w:p>
        </w:tc>
        <w:tc>
          <w:tcPr>
            <w:tcW w:w="303" w:type="pct"/>
            <w:shd w:val="clear" w:color="auto" w:fill="auto"/>
            <w:vAlign w:val="bottom"/>
          </w:tcPr>
          <w:p w14:paraId="392C4FE0" w14:textId="77777777" w:rsidR="00980E5F" w:rsidRDefault="00980E5F">
            <w:pPr>
              <w:rPr>
                <w:rFonts w:ascii="宋体"/>
              </w:rPr>
            </w:pPr>
          </w:p>
        </w:tc>
        <w:tc>
          <w:tcPr>
            <w:tcW w:w="5" w:type="pct"/>
            <w:shd w:val="clear" w:color="auto" w:fill="auto"/>
            <w:vAlign w:val="bottom"/>
          </w:tcPr>
          <w:p w14:paraId="392C4FE1" w14:textId="77777777" w:rsidR="00980E5F" w:rsidRDefault="00980E5F">
            <w:pPr>
              <w:rPr>
                <w:rFonts w:ascii="宋体"/>
              </w:rPr>
            </w:pPr>
          </w:p>
        </w:tc>
        <w:tc>
          <w:tcPr>
            <w:tcW w:w="0" w:type="auto"/>
            <w:shd w:val="clear" w:color="auto" w:fill="auto"/>
            <w:vAlign w:val="bottom"/>
          </w:tcPr>
          <w:p w14:paraId="392C4FE2" w14:textId="77777777" w:rsidR="00980E5F" w:rsidRDefault="00980E5F">
            <w:pPr>
              <w:rPr>
                <w:rFonts w:ascii="宋体"/>
                <w:vanish/>
              </w:rPr>
            </w:pPr>
          </w:p>
        </w:tc>
        <w:tc>
          <w:tcPr>
            <w:tcW w:w="0" w:type="auto"/>
            <w:shd w:val="clear" w:color="auto" w:fill="auto"/>
            <w:vAlign w:val="bottom"/>
          </w:tcPr>
          <w:p w14:paraId="392C4FE3" w14:textId="77777777" w:rsidR="00980E5F" w:rsidRDefault="00980E5F">
            <w:pPr>
              <w:rPr>
                <w:rFonts w:ascii="宋体"/>
                <w:vanish/>
              </w:rPr>
            </w:pPr>
          </w:p>
        </w:tc>
        <w:tc>
          <w:tcPr>
            <w:tcW w:w="5" w:type="pct"/>
            <w:shd w:val="clear" w:color="auto" w:fill="auto"/>
            <w:vAlign w:val="bottom"/>
          </w:tcPr>
          <w:p w14:paraId="392C4FE4" w14:textId="77777777" w:rsidR="00980E5F" w:rsidRDefault="00980E5F">
            <w:pPr>
              <w:rPr>
                <w:rFonts w:ascii="宋体"/>
              </w:rPr>
            </w:pPr>
          </w:p>
        </w:tc>
        <w:tc>
          <w:tcPr>
            <w:tcW w:w="19" w:type="pct"/>
            <w:shd w:val="clear" w:color="auto" w:fill="auto"/>
            <w:vAlign w:val="bottom"/>
          </w:tcPr>
          <w:p w14:paraId="392C4FE5" w14:textId="77777777" w:rsidR="00980E5F" w:rsidRDefault="00980E5F">
            <w:pPr>
              <w:rPr>
                <w:rFonts w:ascii="宋体"/>
              </w:rPr>
            </w:pPr>
          </w:p>
        </w:tc>
        <w:tc>
          <w:tcPr>
            <w:tcW w:w="5" w:type="pct"/>
            <w:shd w:val="clear" w:color="auto" w:fill="auto"/>
            <w:vAlign w:val="bottom"/>
          </w:tcPr>
          <w:p w14:paraId="392C4FE6" w14:textId="77777777" w:rsidR="00980E5F" w:rsidRDefault="00980E5F">
            <w:pPr>
              <w:rPr>
                <w:rFonts w:ascii="宋体"/>
              </w:rPr>
            </w:pPr>
          </w:p>
        </w:tc>
        <w:tc>
          <w:tcPr>
            <w:tcW w:w="50" w:type="pct"/>
            <w:shd w:val="clear" w:color="auto" w:fill="auto"/>
            <w:vAlign w:val="bottom"/>
          </w:tcPr>
          <w:p w14:paraId="392C4FE7" w14:textId="77777777" w:rsidR="00980E5F" w:rsidRDefault="00980E5F">
            <w:pPr>
              <w:rPr>
                <w:rFonts w:ascii="宋体"/>
              </w:rPr>
            </w:pPr>
          </w:p>
        </w:tc>
        <w:tc>
          <w:tcPr>
            <w:tcW w:w="200" w:type="pct"/>
            <w:shd w:val="clear" w:color="auto" w:fill="auto"/>
            <w:vAlign w:val="bottom"/>
          </w:tcPr>
          <w:p w14:paraId="392C4FE8" w14:textId="77777777" w:rsidR="00980E5F" w:rsidRDefault="00980E5F">
            <w:pPr>
              <w:rPr>
                <w:rFonts w:ascii="宋体"/>
              </w:rPr>
            </w:pPr>
          </w:p>
        </w:tc>
        <w:tc>
          <w:tcPr>
            <w:tcW w:w="5" w:type="pct"/>
            <w:shd w:val="clear" w:color="auto" w:fill="auto"/>
            <w:vAlign w:val="bottom"/>
          </w:tcPr>
          <w:p w14:paraId="392C4FE9" w14:textId="77777777" w:rsidR="00980E5F" w:rsidRDefault="00980E5F">
            <w:pPr>
              <w:rPr>
                <w:rFonts w:ascii="宋体"/>
              </w:rPr>
            </w:pPr>
          </w:p>
        </w:tc>
        <w:tc>
          <w:tcPr>
            <w:tcW w:w="5" w:type="pct"/>
            <w:shd w:val="clear" w:color="auto" w:fill="auto"/>
            <w:vAlign w:val="bottom"/>
          </w:tcPr>
          <w:p w14:paraId="392C4FEA" w14:textId="77777777" w:rsidR="00980E5F" w:rsidRDefault="00980E5F">
            <w:pPr>
              <w:rPr>
                <w:rFonts w:ascii="宋体"/>
              </w:rPr>
            </w:pPr>
          </w:p>
        </w:tc>
        <w:tc>
          <w:tcPr>
            <w:tcW w:w="19" w:type="pct"/>
            <w:shd w:val="clear" w:color="auto" w:fill="auto"/>
            <w:vAlign w:val="bottom"/>
          </w:tcPr>
          <w:p w14:paraId="392C4FEB" w14:textId="77777777" w:rsidR="00980E5F" w:rsidRDefault="00980E5F">
            <w:pPr>
              <w:rPr>
                <w:rFonts w:ascii="宋体"/>
              </w:rPr>
            </w:pPr>
          </w:p>
        </w:tc>
        <w:tc>
          <w:tcPr>
            <w:tcW w:w="5" w:type="pct"/>
            <w:shd w:val="clear" w:color="auto" w:fill="auto"/>
            <w:vAlign w:val="bottom"/>
          </w:tcPr>
          <w:p w14:paraId="392C4FEC" w14:textId="77777777" w:rsidR="00980E5F" w:rsidRDefault="00980E5F">
            <w:pPr>
              <w:rPr>
                <w:rFonts w:ascii="宋体"/>
              </w:rPr>
            </w:pPr>
          </w:p>
        </w:tc>
        <w:tc>
          <w:tcPr>
            <w:tcW w:w="50" w:type="pct"/>
            <w:shd w:val="clear" w:color="auto" w:fill="auto"/>
            <w:vAlign w:val="bottom"/>
          </w:tcPr>
          <w:p w14:paraId="392C4FED" w14:textId="77777777" w:rsidR="00980E5F" w:rsidRDefault="00980E5F">
            <w:pPr>
              <w:rPr>
                <w:rFonts w:ascii="宋体"/>
              </w:rPr>
            </w:pPr>
          </w:p>
        </w:tc>
        <w:tc>
          <w:tcPr>
            <w:tcW w:w="347" w:type="pct"/>
            <w:shd w:val="clear" w:color="auto" w:fill="auto"/>
            <w:vAlign w:val="bottom"/>
          </w:tcPr>
          <w:p w14:paraId="392C4FEE" w14:textId="77777777" w:rsidR="00980E5F" w:rsidRDefault="00980E5F">
            <w:pPr>
              <w:rPr>
                <w:rFonts w:ascii="宋体"/>
              </w:rPr>
            </w:pPr>
          </w:p>
        </w:tc>
        <w:tc>
          <w:tcPr>
            <w:tcW w:w="5" w:type="pct"/>
            <w:shd w:val="clear" w:color="auto" w:fill="auto"/>
            <w:vAlign w:val="bottom"/>
          </w:tcPr>
          <w:p w14:paraId="392C4FEF" w14:textId="77777777" w:rsidR="00980E5F" w:rsidRDefault="00980E5F">
            <w:pPr>
              <w:rPr>
                <w:rFonts w:ascii="宋体"/>
              </w:rPr>
            </w:pPr>
          </w:p>
        </w:tc>
        <w:tc>
          <w:tcPr>
            <w:tcW w:w="5" w:type="pct"/>
            <w:shd w:val="clear" w:color="auto" w:fill="auto"/>
            <w:vAlign w:val="bottom"/>
          </w:tcPr>
          <w:p w14:paraId="392C4FF0" w14:textId="77777777" w:rsidR="00980E5F" w:rsidRDefault="00980E5F">
            <w:pPr>
              <w:rPr>
                <w:rFonts w:ascii="宋体"/>
              </w:rPr>
            </w:pPr>
          </w:p>
        </w:tc>
        <w:tc>
          <w:tcPr>
            <w:tcW w:w="19" w:type="pct"/>
            <w:shd w:val="clear" w:color="auto" w:fill="auto"/>
            <w:vAlign w:val="bottom"/>
          </w:tcPr>
          <w:p w14:paraId="392C4FF1" w14:textId="77777777" w:rsidR="00980E5F" w:rsidRDefault="00980E5F">
            <w:pPr>
              <w:rPr>
                <w:rFonts w:ascii="宋体"/>
              </w:rPr>
            </w:pPr>
          </w:p>
        </w:tc>
        <w:tc>
          <w:tcPr>
            <w:tcW w:w="5" w:type="pct"/>
            <w:shd w:val="clear" w:color="auto" w:fill="auto"/>
            <w:vAlign w:val="bottom"/>
          </w:tcPr>
          <w:p w14:paraId="392C4FF2" w14:textId="77777777" w:rsidR="00980E5F" w:rsidRDefault="00980E5F">
            <w:pPr>
              <w:rPr>
                <w:rFonts w:ascii="宋体"/>
              </w:rPr>
            </w:pPr>
          </w:p>
        </w:tc>
        <w:tc>
          <w:tcPr>
            <w:tcW w:w="50" w:type="pct"/>
            <w:shd w:val="clear" w:color="auto" w:fill="auto"/>
            <w:vAlign w:val="bottom"/>
          </w:tcPr>
          <w:p w14:paraId="392C4FF3" w14:textId="77777777" w:rsidR="00980E5F" w:rsidRDefault="00980E5F">
            <w:pPr>
              <w:rPr>
                <w:rFonts w:ascii="宋体"/>
              </w:rPr>
            </w:pPr>
          </w:p>
        </w:tc>
        <w:tc>
          <w:tcPr>
            <w:tcW w:w="273" w:type="pct"/>
            <w:shd w:val="clear" w:color="auto" w:fill="auto"/>
            <w:vAlign w:val="bottom"/>
          </w:tcPr>
          <w:p w14:paraId="392C4FF4" w14:textId="77777777" w:rsidR="00980E5F" w:rsidRDefault="00980E5F">
            <w:pPr>
              <w:rPr>
                <w:rFonts w:ascii="宋体"/>
              </w:rPr>
            </w:pPr>
          </w:p>
        </w:tc>
        <w:tc>
          <w:tcPr>
            <w:tcW w:w="5" w:type="pct"/>
            <w:shd w:val="clear" w:color="auto" w:fill="auto"/>
            <w:vAlign w:val="bottom"/>
          </w:tcPr>
          <w:p w14:paraId="392C4FF5" w14:textId="77777777" w:rsidR="00980E5F" w:rsidRDefault="00980E5F">
            <w:pPr>
              <w:rPr>
                <w:rFonts w:ascii="宋体"/>
              </w:rPr>
            </w:pPr>
          </w:p>
        </w:tc>
        <w:tc>
          <w:tcPr>
            <w:tcW w:w="5" w:type="pct"/>
            <w:shd w:val="clear" w:color="auto" w:fill="auto"/>
            <w:vAlign w:val="bottom"/>
          </w:tcPr>
          <w:p w14:paraId="392C4FF6" w14:textId="77777777" w:rsidR="00980E5F" w:rsidRDefault="00980E5F">
            <w:pPr>
              <w:rPr>
                <w:rFonts w:ascii="宋体"/>
              </w:rPr>
            </w:pPr>
          </w:p>
        </w:tc>
        <w:tc>
          <w:tcPr>
            <w:tcW w:w="19" w:type="pct"/>
            <w:shd w:val="clear" w:color="auto" w:fill="auto"/>
            <w:vAlign w:val="bottom"/>
          </w:tcPr>
          <w:p w14:paraId="392C4FF7" w14:textId="77777777" w:rsidR="00980E5F" w:rsidRDefault="00980E5F">
            <w:pPr>
              <w:rPr>
                <w:rFonts w:ascii="宋体"/>
              </w:rPr>
            </w:pPr>
          </w:p>
        </w:tc>
        <w:tc>
          <w:tcPr>
            <w:tcW w:w="5" w:type="pct"/>
            <w:shd w:val="clear" w:color="auto" w:fill="auto"/>
            <w:vAlign w:val="bottom"/>
          </w:tcPr>
          <w:p w14:paraId="392C4FF8" w14:textId="77777777" w:rsidR="00980E5F" w:rsidRDefault="00980E5F">
            <w:pPr>
              <w:rPr>
                <w:rFonts w:ascii="宋体"/>
              </w:rPr>
            </w:pPr>
          </w:p>
        </w:tc>
        <w:tc>
          <w:tcPr>
            <w:tcW w:w="50" w:type="pct"/>
            <w:shd w:val="clear" w:color="auto" w:fill="auto"/>
            <w:vAlign w:val="bottom"/>
          </w:tcPr>
          <w:p w14:paraId="392C4FF9" w14:textId="77777777" w:rsidR="00980E5F" w:rsidRDefault="00980E5F">
            <w:pPr>
              <w:rPr>
                <w:rFonts w:ascii="宋体"/>
              </w:rPr>
            </w:pPr>
          </w:p>
        </w:tc>
        <w:tc>
          <w:tcPr>
            <w:tcW w:w="273" w:type="pct"/>
            <w:shd w:val="clear" w:color="auto" w:fill="auto"/>
            <w:vAlign w:val="bottom"/>
          </w:tcPr>
          <w:p w14:paraId="392C4FFA" w14:textId="77777777" w:rsidR="00980E5F" w:rsidRDefault="00980E5F">
            <w:pPr>
              <w:rPr>
                <w:rFonts w:ascii="宋体"/>
              </w:rPr>
            </w:pPr>
          </w:p>
        </w:tc>
        <w:tc>
          <w:tcPr>
            <w:tcW w:w="5" w:type="pct"/>
            <w:shd w:val="clear" w:color="auto" w:fill="auto"/>
            <w:vAlign w:val="bottom"/>
          </w:tcPr>
          <w:p w14:paraId="392C4FFB" w14:textId="77777777" w:rsidR="00980E5F" w:rsidRDefault="00980E5F">
            <w:pPr>
              <w:rPr>
                <w:rFonts w:ascii="宋体"/>
              </w:rPr>
            </w:pPr>
          </w:p>
        </w:tc>
        <w:tc>
          <w:tcPr>
            <w:tcW w:w="5" w:type="pct"/>
            <w:shd w:val="clear" w:color="auto" w:fill="auto"/>
            <w:vAlign w:val="bottom"/>
          </w:tcPr>
          <w:p w14:paraId="392C4FFC" w14:textId="77777777" w:rsidR="00980E5F" w:rsidRDefault="00980E5F">
            <w:pPr>
              <w:rPr>
                <w:rFonts w:ascii="宋体"/>
              </w:rPr>
            </w:pPr>
          </w:p>
        </w:tc>
        <w:tc>
          <w:tcPr>
            <w:tcW w:w="19" w:type="pct"/>
            <w:shd w:val="clear" w:color="auto" w:fill="auto"/>
            <w:vAlign w:val="bottom"/>
          </w:tcPr>
          <w:p w14:paraId="392C4FFD" w14:textId="77777777" w:rsidR="00980E5F" w:rsidRDefault="00980E5F">
            <w:pPr>
              <w:rPr>
                <w:rFonts w:ascii="宋体"/>
              </w:rPr>
            </w:pPr>
          </w:p>
        </w:tc>
        <w:tc>
          <w:tcPr>
            <w:tcW w:w="5" w:type="pct"/>
            <w:shd w:val="clear" w:color="auto" w:fill="auto"/>
            <w:vAlign w:val="bottom"/>
          </w:tcPr>
          <w:p w14:paraId="392C4FFE" w14:textId="77777777" w:rsidR="00980E5F" w:rsidRDefault="00980E5F">
            <w:pPr>
              <w:rPr>
                <w:rFonts w:ascii="宋体"/>
              </w:rPr>
            </w:pPr>
          </w:p>
        </w:tc>
        <w:tc>
          <w:tcPr>
            <w:tcW w:w="50" w:type="pct"/>
            <w:shd w:val="clear" w:color="auto" w:fill="auto"/>
            <w:vAlign w:val="bottom"/>
          </w:tcPr>
          <w:p w14:paraId="392C4FFF" w14:textId="77777777" w:rsidR="00980E5F" w:rsidRDefault="00980E5F">
            <w:pPr>
              <w:rPr>
                <w:rFonts w:ascii="宋体"/>
              </w:rPr>
            </w:pPr>
          </w:p>
        </w:tc>
        <w:tc>
          <w:tcPr>
            <w:tcW w:w="420" w:type="pct"/>
            <w:shd w:val="clear" w:color="auto" w:fill="auto"/>
            <w:vAlign w:val="bottom"/>
          </w:tcPr>
          <w:p w14:paraId="392C5000" w14:textId="77777777" w:rsidR="00980E5F" w:rsidRDefault="00980E5F">
            <w:pPr>
              <w:rPr>
                <w:rFonts w:ascii="宋体"/>
              </w:rPr>
            </w:pPr>
          </w:p>
        </w:tc>
        <w:tc>
          <w:tcPr>
            <w:tcW w:w="5" w:type="pct"/>
            <w:shd w:val="clear" w:color="auto" w:fill="auto"/>
            <w:vAlign w:val="bottom"/>
          </w:tcPr>
          <w:p w14:paraId="392C5001" w14:textId="77777777" w:rsidR="00980E5F" w:rsidRDefault="00980E5F">
            <w:pPr>
              <w:rPr>
                <w:rFonts w:ascii="宋体"/>
              </w:rPr>
            </w:pPr>
          </w:p>
        </w:tc>
        <w:tc>
          <w:tcPr>
            <w:tcW w:w="5" w:type="pct"/>
            <w:shd w:val="clear" w:color="auto" w:fill="auto"/>
            <w:vAlign w:val="bottom"/>
          </w:tcPr>
          <w:p w14:paraId="392C5002" w14:textId="77777777" w:rsidR="00980E5F" w:rsidRDefault="00980E5F">
            <w:pPr>
              <w:rPr>
                <w:rFonts w:ascii="宋体"/>
              </w:rPr>
            </w:pPr>
          </w:p>
        </w:tc>
        <w:tc>
          <w:tcPr>
            <w:tcW w:w="19" w:type="pct"/>
            <w:shd w:val="clear" w:color="auto" w:fill="auto"/>
            <w:vAlign w:val="bottom"/>
          </w:tcPr>
          <w:p w14:paraId="392C5003" w14:textId="77777777" w:rsidR="00980E5F" w:rsidRDefault="00980E5F">
            <w:pPr>
              <w:rPr>
                <w:rFonts w:ascii="宋体"/>
              </w:rPr>
            </w:pPr>
          </w:p>
        </w:tc>
        <w:tc>
          <w:tcPr>
            <w:tcW w:w="5" w:type="pct"/>
            <w:shd w:val="clear" w:color="auto" w:fill="auto"/>
            <w:vAlign w:val="bottom"/>
          </w:tcPr>
          <w:p w14:paraId="392C5004" w14:textId="77777777" w:rsidR="00980E5F" w:rsidRDefault="00980E5F">
            <w:pPr>
              <w:rPr>
                <w:rFonts w:ascii="宋体"/>
              </w:rPr>
            </w:pPr>
          </w:p>
        </w:tc>
      </w:tr>
      <w:tr w:rsidR="00980E5F" w14:paraId="392C500B" w14:textId="77777777">
        <w:tc>
          <w:tcPr>
            <w:tcW w:w="0" w:type="auto"/>
            <w:gridSpan w:val="3"/>
            <w:shd w:val="clear" w:color="auto" w:fill="auto"/>
            <w:tcMar>
              <w:top w:w="0" w:type="dxa"/>
              <w:left w:w="20" w:type="dxa"/>
              <w:bottom w:w="0" w:type="dxa"/>
              <w:right w:w="20" w:type="dxa"/>
            </w:tcMar>
            <w:vAlign w:val="bottom"/>
          </w:tcPr>
          <w:p w14:paraId="392C5006" w14:textId="77777777" w:rsidR="00980E5F" w:rsidRDefault="00980E5F">
            <w:pPr>
              <w:rPr>
                <w:rFonts w:ascii="宋体"/>
              </w:rPr>
            </w:pPr>
          </w:p>
        </w:tc>
        <w:tc>
          <w:tcPr>
            <w:tcW w:w="0" w:type="auto"/>
            <w:gridSpan w:val="53"/>
            <w:shd w:val="clear" w:color="auto" w:fill="auto"/>
            <w:tcMar>
              <w:top w:w="40" w:type="dxa"/>
              <w:left w:w="20" w:type="dxa"/>
              <w:bottom w:w="40" w:type="dxa"/>
              <w:right w:w="20" w:type="dxa"/>
            </w:tcMar>
            <w:vAlign w:val="bottom"/>
          </w:tcPr>
          <w:p w14:paraId="392C5007" w14:textId="77777777" w:rsidR="00980E5F" w:rsidRDefault="00483613">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392C5008" w14:textId="77777777" w:rsidR="00980E5F" w:rsidRDefault="00980E5F">
            <w:pPr>
              <w:rPr>
                <w:rFonts w:ascii="宋体"/>
              </w:rPr>
            </w:pPr>
          </w:p>
        </w:tc>
        <w:tc>
          <w:tcPr>
            <w:tcW w:w="0" w:type="auto"/>
            <w:shd w:val="clear" w:color="auto" w:fill="auto"/>
            <w:vAlign w:val="bottom"/>
          </w:tcPr>
          <w:p w14:paraId="392C5009" w14:textId="77777777" w:rsidR="00980E5F" w:rsidRDefault="00980E5F">
            <w:pPr>
              <w:rPr>
                <w:rFonts w:ascii="宋体"/>
              </w:rPr>
            </w:pPr>
          </w:p>
        </w:tc>
        <w:tc>
          <w:tcPr>
            <w:tcW w:w="0" w:type="auto"/>
            <w:shd w:val="clear" w:color="auto" w:fill="auto"/>
            <w:vAlign w:val="bottom"/>
          </w:tcPr>
          <w:p w14:paraId="392C500A" w14:textId="77777777" w:rsidR="00980E5F" w:rsidRDefault="00980E5F">
            <w:pPr>
              <w:rPr>
                <w:rFonts w:ascii="宋体"/>
              </w:rPr>
            </w:pPr>
          </w:p>
        </w:tc>
      </w:tr>
      <w:tr w:rsidR="00980E5F" w14:paraId="392C5011" w14:textId="77777777">
        <w:tc>
          <w:tcPr>
            <w:tcW w:w="0" w:type="auto"/>
            <w:gridSpan w:val="3"/>
            <w:shd w:val="clear" w:color="auto" w:fill="auto"/>
            <w:tcMar>
              <w:top w:w="40" w:type="dxa"/>
              <w:left w:w="20" w:type="dxa"/>
              <w:bottom w:w="40" w:type="dxa"/>
              <w:right w:w="20" w:type="dxa"/>
            </w:tcMar>
          </w:tcPr>
          <w:p w14:paraId="392C500C" w14:textId="77777777" w:rsidR="00980E5F" w:rsidRDefault="00483613">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92C500D" w14:textId="77777777" w:rsidR="00980E5F" w:rsidRDefault="00483613">
            <w:pPr>
              <w:jc w:val="center"/>
              <w:textAlignment w:val="bottom"/>
            </w:pPr>
            <w:r>
              <w:rPr>
                <w:rFonts w:ascii="Arial" w:eastAsia="宋体" w:hAnsi="Arial" w:cs="Arial"/>
                <w:b/>
                <w:bCs/>
                <w:color w:val="000000"/>
                <w:sz w:val="12"/>
                <w:szCs w:val="12"/>
              </w:rPr>
              <w:t>Three Months Ended June 30, 2021</w:t>
            </w:r>
          </w:p>
        </w:tc>
        <w:tc>
          <w:tcPr>
            <w:tcW w:w="0" w:type="auto"/>
            <w:shd w:val="clear" w:color="auto" w:fill="auto"/>
            <w:vAlign w:val="bottom"/>
          </w:tcPr>
          <w:p w14:paraId="392C500E" w14:textId="77777777" w:rsidR="00980E5F" w:rsidRDefault="00980E5F">
            <w:pPr>
              <w:rPr>
                <w:rFonts w:ascii="宋体"/>
              </w:rPr>
            </w:pPr>
          </w:p>
        </w:tc>
        <w:tc>
          <w:tcPr>
            <w:tcW w:w="0" w:type="auto"/>
            <w:shd w:val="clear" w:color="auto" w:fill="auto"/>
            <w:vAlign w:val="bottom"/>
          </w:tcPr>
          <w:p w14:paraId="392C500F" w14:textId="77777777" w:rsidR="00980E5F" w:rsidRDefault="00980E5F">
            <w:pPr>
              <w:rPr>
                <w:rFonts w:ascii="宋体"/>
              </w:rPr>
            </w:pPr>
          </w:p>
        </w:tc>
        <w:tc>
          <w:tcPr>
            <w:tcW w:w="0" w:type="auto"/>
            <w:shd w:val="clear" w:color="auto" w:fill="auto"/>
            <w:vAlign w:val="bottom"/>
          </w:tcPr>
          <w:p w14:paraId="392C5010" w14:textId="77777777" w:rsidR="00980E5F" w:rsidRDefault="00980E5F">
            <w:pPr>
              <w:rPr>
                <w:rFonts w:ascii="宋体"/>
              </w:rPr>
            </w:pPr>
          </w:p>
        </w:tc>
      </w:tr>
      <w:tr w:rsidR="00980E5F" w14:paraId="392C5028" w14:textId="77777777">
        <w:trPr>
          <w:trHeight w:val="400"/>
        </w:trPr>
        <w:tc>
          <w:tcPr>
            <w:tcW w:w="0" w:type="auto"/>
            <w:gridSpan w:val="3"/>
            <w:shd w:val="clear" w:color="auto" w:fill="auto"/>
            <w:tcMar>
              <w:top w:w="40" w:type="dxa"/>
              <w:left w:w="20" w:type="dxa"/>
              <w:bottom w:w="40" w:type="dxa"/>
              <w:right w:w="20" w:type="dxa"/>
            </w:tcMar>
          </w:tcPr>
          <w:p w14:paraId="392C5012" w14:textId="77777777" w:rsidR="00980E5F" w:rsidRDefault="00483613">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13" w14:textId="77777777" w:rsidR="00980E5F" w:rsidRDefault="00483613">
            <w:pPr>
              <w:jc w:val="center"/>
              <w:textAlignment w:val="bottom"/>
            </w:pPr>
            <w:r>
              <w:rPr>
                <w:rFonts w:ascii="Arial" w:eastAsia="宋体" w:hAnsi="Arial" w:cs="Arial"/>
                <w:b/>
                <w:bCs/>
                <w:color w:val="000000"/>
                <w:sz w:val="12"/>
                <w:szCs w:val="12"/>
              </w:rPr>
              <w:t xml:space="preserve">Fair Value as of March 31, </w:t>
            </w: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14"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015" w14:textId="77777777" w:rsidR="00980E5F" w:rsidRDefault="00483613">
            <w:pPr>
              <w:jc w:val="center"/>
              <w:textAlignment w:val="bottom"/>
            </w:pPr>
            <w:r>
              <w:rPr>
                <w:rFonts w:ascii="Arial" w:eastAsia="宋体" w:hAnsi="Arial" w:cs="Arial"/>
                <w:b/>
                <w:bCs/>
                <w:color w:val="000000"/>
                <w:sz w:val="12"/>
                <w:szCs w:val="12"/>
              </w:rPr>
              <w:t>Total Realized and</w:t>
            </w:r>
          </w:p>
          <w:p w14:paraId="392C5016" w14:textId="77777777" w:rsidR="00980E5F" w:rsidRDefault="00483613">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17"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18" w14:textId="77777777" w:rsidR="00980E5F" w:rsidRDefault="00483613">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392C5019" w14:textId="77777777" w:rsidR="00980E5F" w:rsidRDefault="00980E5F">
            <w:pPr>
              <w:rPr>
                <w:rFonts w:ascii="宋体"/>
                <w:vanish/>
              </w:rPr>
            </w:pPr>
          </w:p>
        </w:tc>
        <w:tc>
          <w:tcPr>
            <w:tcW w:w="0" w:type="auto"/>
            <w:shd w:val="clear" w:color="auto" w:fill="auto"/>
            <w:vAlign w:val="bottom"/>
          </w:tcPr>
          <w:p w14:paraId="392C501A"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1B"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1C" w14:textId="77777777" w:rsidR="00980E5F" w:rsidRDefault="00483613">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1D"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1E" w14:textId="77777777" w:rsidR="00980E5F" w:rsidRDefault="00483613">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1F"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20" w14:textId="77777777" w:rsidR="00980E5F" w:rsidRDefault="00483613">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21"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22" w14:textId="77777777" w:rsidR="00980E5F" w:rsidRDefault="00483613">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23"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024" w14:textId="77777777" w:rsidR="00980E5F" w:rsidRDefault="00483613">
            <w:pPr>
              <w:jc w:val="center"/>
              <w:textAlignment w:val="bottom"/>
            </w:pPr>
            <w:r>
              <w:rPr>
                <w:rFonts w:ascii="Arial" w:eastAsia="宋体" w:hAnsi="Arial" w:cs="Arial"/>
                <w:b/>
                <w:bCs/>
                <w:color w:val="000000"/>
                <w:sz w:val="12"/>
                <w:szCs w:val="12"/>
              </w:rPr>
              <w:t>Fair Value </w:t>
            </w:r>
          </w:p>
          <w:p w14:paraId="392C5025" w14:textId="77777777" w:rsidR="00980E5F" w:rsidRDefault="00483613">
            <w:pPr>
              <w:jc w:val="center"/>
              <w:textAlignment w:val="bottom"/>
            </w:pPr>
            <w:r>
              <w:rPr>
                <w:rFonts w:ascii="Arial" w:eastAsia="宋体" w:hAnsi="Arial" w:cs="Arial"/>
                <w:b/>
                <w:bCs/>
                <w:color w:val="000000"/>
                <w:sz w:val="12"/>
                <w:szCs w:val="12"/>
              </w:rPr>
              <w:t>as of June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5026" w14:textId="77777777" w:rsidR="00980E5F" w:rsidRDefault="00980E5F">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92C5027" w14:textId="77777777" w:rsidR="00980E5F" w:rsidRDefault="00483613">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2021</w:t>
            </w:r>
          </w:p>
        </w:tc>
      </w:tr>
      <w:tr w:rsidR="00980E5F" w14:paraId="392C503E" w14:textId="77777777">
        <w:trPr>
          <w:trHeight w:val="720"/>
        </w:trPr>
        <w:tc>
          <w:tcPr>
            <w:tcW w:w="0" w:type="auto"/>
            <w:gridSpan w:val="3"/>
            <w:shd w:val="clear" w:color="auto" w:fill="auto"/>
            <w:tcMar>
              <w:top w:w="40" w:type="dxa"/>
              <w:left w:w="20" w:type="dxa"/>
              <w:bottom w:w="40" w:type="dxa"/>
              <w:right w:w="20" w:type="dxa"/>
            </w:tcMar>
            <w:vAlign w:val="bottom"/>
          </w:tcPr>
          <w:p w14:paraId="392C5029" w14:textId="77777777" w:rsidR="00980E5F" w:rsidRDefault="00483613">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2A"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02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02C" w14:textId="77777777" w:rsidR="00980E5F" w:rsidRDefault="00483613">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w:t>
            </w:r>
            <w:r>
              <w:rPr>
                <w:rFonts w:ascii="Arial" w:eastAsia="宋体" w:hAnsi="Arial" w:cs="Arial"/>
                <w:b/>
                <w:bCs/>
                <w:color w:val="000000"/>
                <w:sz w:val="12"/>
                <w:szCs w:val="12"/>
              </w:rPr>
              <w:t>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2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02E" w14:textId="77777777" w:rsidR="00980E5F" w:rsidRDefault="00483613">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392C502F"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0" w14:textId="77777777" w:rsidR="00980E5F" w:rsidRDefault="00980E5F">
            <w:pPr>
              <w:jc w:val="center"/>
              <w:rPr>
                <w:rFonts w:ascii="宋体"/>
              </w:rPr>
            </w:pPr>
          </w:p>
        </w:tc>
        <w:tc>
          <w:tcPr>
            <w:tcW w:w="0" w:type="auto"/>
            <w:shd w:val="clear" w:color="auto" w:fill="auto"/>
            <w:vAlign w:val="bottom"/>
          </w:tcPr>
          <w:p w14:paraId="392C5031" w14:textId="77777777" w:rsidR="00980E5F" w:rsidRDefault="00980E5F">
            <w:pPr>
              <w:rPr>
                <w:rFonts w:ascii="宋体"/>
                <w:vanish/>
              </w:rPr>
            </w:pPr>
          </w:p>
        </w:tc>
        <w:tc>
          <w:tcPr>
            <w:tcW w:w="0" w:type="auto"/>
            <w:shd w:val="clear" w:color="auto" w:fill="auto"/>
            <w:vAlign w:val="bottom"/>
          </w:tcPr>
          <w:p w14:paraId="392C503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033"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4"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035"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6"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037"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8"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039"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A"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03B"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03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3D" w14:textId="77777777" w:rsidR="00980E5F" w:rsidRDefault="00980E5F">
            <w:pPr>
              <w:rPr>
                <w:rFonts w:ascii="宋体"/>
              </w:rPr>
            </w:pPr>
          </w:p>
        </w:tc>
      </w:tr>
      <w:tr w:rsidR="00980E5F" w14:paraId="392C5055" w14:textId="77777777">
        <w:tc>
          <w:tcPr>
            <w:tcW w:w="0" w:type="auto"/>
            <w:gridSpan w:val="3"/>
            <w:shd w:val="clear" w:color="auto" w:fill="auto"/>
            <w:tcMar>
              <w:top w:w="40" w:type="dxa"/>
              <w:left w:w="20" w:type="dxa"/>
              <w:bottom w:w="40" w:type="dxa"/>
              <w:right w:w="20" w:type="dxa"/>
            </w:tcMar>
            <w:vAlign w:val="center"/>
          </w:tcPr>
          <w:p w14:paraId="392C503F" w14:textId="77777777" w:rsidR="00980E5F" w:rsidRDefault="00483613">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6" w14:textId="77777777" w:rsidR="00980E5F" w:rsidRDefault="00980E5F">
            <w:pPr>
              <w:rPr>
                <w:rFonts w:ascii="宋体"/>
              </w:rPr>
            </w:pPr>
          </w:p>
        </w:tc>
        <w:tc>
          <w:tcPr>
            <w:tcW w:w="0" w:type="auto"/>
            <w:shd w:val="clear" w:color="auto" w:fill="auto"/>
            <w:vAlign w:val="bottom"/>
          </w:tcPr>
          <w:p w14:paraId="392C5047" w14:textId="77777777" w:rsidR="00980E5F" w:rsidRDefault="00980E5F">
            <w:pPr>
              <w:rPr>
                <w:rFonts w:ascii="宋体"/>
                <w:vanish/>
              </w:rPr>
            </w:pPr>
          </w:p>
        </w:tc>
        <w:tc>
          <w:tcPr>
            <w:tcW w:w="0" w:type="auto"/>
            <w:shd w:val="clear" w:color="auto" w:fill="auto"/>
            <w:vAlign w:val="bottom"/>
          </w:tcPr>
          <w:p w14:paraId="392C504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04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4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4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5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052"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053"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5054" w14:textId="77777777" w:rsidR="00980E5F" w:rsidRDefault="00980E5F">
            <w:pPr>
              <w:rPr>
                <w:rFonts w:ascii="宋体"/>
              </w:rPr>
            </w:pPr>
          </w:p>
        </w:tc>
      </w:tr>
      <w:tr w:rsidR="00980E5F" w14:paraId="392C506C" w14:textId="77777777">
        <w:tc>
          <w:tcPr>
            <w:tcW w:w="0" w:type="auto"/>
            <w:gridSpan w:val="3"/>
            <w:shd w:val="clear" w:color="auto" w:fill="auto"/>
            <w:tcMar>
              <w:top w:w="40" w:type="dxa"/>
              <w:left w:w="20" w:type="dxa"/>
              <w:bottom w:w="40" w:type="dxa"/>
              <w:right w:w="20" w:type="dxa"/>
            </w:tcMar>
            <w:vAlign w:val="center"/>
          </w:tcPr>
          <w:p w14:paraId="392C5056" w14:textId="77777777" w:rsidR="00980E5F" w:rsidRDefault="00483613">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392C505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5D" w14:textId="77777777" w:rsidR="00980E5F" w:rsidRDefault="00980E5F">
            <w:pPr>
              <w:rPr>
                <w:rFonts w:ascii="宋体"/>
              </w:rPr>
            </w:pPr>
          </w:p>
        </w:tc>
        <w:tc>
          <w:tcPr>
            <w:tcW w:w="0" w:type="auto"/>
            <w:shd w:val="clear" w:color="auto" w:fill="auto"/>
            <w:vAlign w:val="bottom"/>
          </w:tcPr>
          <w:p w14:paraId="392C505E" w14:textId="77777777" w:rsidR="00980E5F" w:rsidRDefault="00980E5F">
            <w:pPr>
              <w:rPr>
                <w:rFonts w:ascii="宋体"/>
                <w:vanish/>
              </w:rPr>
            </w:pPr>
          </w:p>
        </w:tc>
        <w:tc>
          <w:tcPr>
            <w:tcW w:w="0" w:type="auto"/>
            <w:shd w:val="clear" w:color="auto" w:fill="auto"/>
            <w:vAlign w:val="bottom"/>
          </w:tcPr>
          <w:p w14:paraId="392C505F"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0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69"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06A"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506B" w14:textId="77777777" w:rsidR="00980E5F" w:rsidRDefault="00980E5F">
            <w:pPr>
              <w:rPr>
                <w:rFonts w:ascii="宋体"/>
              </w:rPr>
            </w:pPr>
          </w:p>
        </w:tc>
      </w:tr>
      <w:tr w:rsidR="00980E5F" w14:paraId="392C5083" w14:textId="77777777">
        <w:trPr>
          <w:hidden/>
        </w:trPr>
        <w:tc>
          <w:tcPr>
            <w:tcW w:w="0" w:type="auto"/>
            <w:gridSpan w:val="3"/>
            <w:shd w:val="clear" w:color="auto" w:fill="auto"/>
            <w:vAlign w:val="bottom"/>
          </w:tcPr>
          <w:p w14:paraId="392C506D" w14:textId="77777777" w:rsidR="00980E5F" w:rsidRDefault="00980E5F">
            <w:pPr>
              <w:rPr>
                <w:rFonts w:ascii="宋体"/>
                <w:vanish/>
              </w:rPr>
            </w:pPr>
          </w:p>
        </w:tc>
        <w:tc>
          <w:tcPr>
            <w:tcW w:w="0" w:type="auto"/>
            <w:gridSpan w:val="3"/>
            <w:shd w:val="clear" w:color="auto" w:fill="auto"/>
            <w:vAlign w:val="bottom"/>
          </w:tcPr>
          <w:p w14:paraId="392C506E" w14:textId="77777777" w:rsidR="00980E5F" w:rsidRDefault="00980E5F">
            <w:pPr>
              <w:rPr>
                <w:rFonts w:ascii="宋体"/>
                <w:vanish/>
              </w:rPr>
            </w:pPr>
          </w:p>
        </w:tc>
        <w:tc>
          <w:tcPr>
            <w:tcW w:w="0" w:type="auto"/>
            <w:gridSpan w:val="3"/>
            <w:shd w:val="clear" w:color="auto" w:fill="auto"/>
            <w:vAlign w:val="bottom"/>
          </w:tcPr>
          <w:p w14:paraId="392C506F" w14:textId="77777777" w:rsidR="00980E5F" w:rsidRDefault="00980E5F">
            <w:pPr>
              <w:rPr>
                <w:rFonts w:ascii="宋体"/>
                <w:vanish/>
              </w:rPr>
            </w:pPr>
          </w:p>
        </w:tc>
        <w:tc>
          <w:tcPr>
            <w:tcW w:w="0" w:type="auto"/>
            <w:gridSpan w:val="3"/>
            <w:shd w:val="clear" w:color="auto" w:fill="auto"/>
            <w:vAlign w:val="bottom"/>
          </w:tcPr>
          <w:p w14:paraId="392C5070" w14:textId="77777777" w:rsidR="00980E5F" w:rsidRDefault="00980E5F">
            <w:pPr>
              <w:rPr>
                <w:rFonts w:ascii="宋体"/>
                <w:vanish/>
              </w:rPr>
            </w:pPr>
          </w:p>
        </w:tc>
        <w:tc>
          <w:tcPr>
            <w:tcW w:w="0" w:type="auto"/>
            <w:gridSpan w:val="3"/>
            <w:shd w:val="clear" w:color="auto" w:fill="auto"/>
            <w:vAlign w:val="bottom"/>
          </w:tcPr>
          <w:p w14:paraId="392C5071" w14:textId="77777777" w:rsidR="00980E5F" w:rsidRDefault="00980E5F">
            <w:pPr>
              <w:rPr>
                <w:rFonts w:ascii="宋体"/>
                <w:vanish/>
              </w:rPr>
            </w:pPr>
          </w:p>
        </w:tc>
        <w:tc>
          <w:tcPr>
            <w:tcW w:w="0" w:type="auto"/>
            <w:gridSpan w:val="3"/>
            <w:shd w:val="clear" w:color="auto" w:fill="auto"/>
            <w:vAlign w:val="bottom"/>
          </w:tcPr>
          <w:p w14:paraId="392C5072" w14:textId="77777777" w:rsidR="00980E5F" w:rsidRDefault="00980E5F">
            <w:pPr>
              <w:rPr>
                <w:rFonts w:ascii="宋体"/>
                <w:vanish/>
              </w:rPr>
            </w:pPr>
          </w:p>
        </w:tc>
        <w:tc>
          <w:tcPr>
            <w:tcW w:w="0" w:type="auto"/>
            <w:gridSpan w:val="3"/>
            <w:shd w:val="clear" w:color="auto" w:fill="auto"/>
            <w:vAlign w:val="bottom"/>
          </w:tcPr>
          <w:p w14:paraId="392C5073" w14:textId="77777777" w:rsidR="00980E5F" w:rsidRDefault="00980E5F">
            <w:pPr>
              <w:rPr>
                <w:rFonts w:ascii="宋体"/>
                <w:vanish/>
              </w:rPr>
            </w:pPr>
          </w:p>
        </w:tc>
        <w:tc>
          <w:tcPr>
            <w:tcW w:w="0" w:type="auto"/>
            <w:gridSpan w:val="3"/>
            <w:shd w:val="clear" w:color="auto" w:fill="auto"/>
            <w:vAlign w:val="bottom"/>
          </w:tcPr>
          <w:p w14:paraId="392C5074" w14:textId="77777777" w:rsidR="00980E5F" w:rsidRDefault="00980E5F">
            <w:pPr>
              <w:rPr>
                <w:rFonts w:ascii="宋体"/>
                <w:vanish/>
              </w:rPr>
            </w:pPr>
          </w:p>
        </w:tc>
        <w:tc>
          <w:tcPr>
            <w:tcW w:w="0" w:type="auto"/>
            <w:shd w:val="clear" w:color="auto" w:fill="auto"/>
            <w:vAlign w:val="bottom"/>
          </w:tcPr>
          <w:p w14:paraId="392C5075" w14:textId="77777777" w:rsidR="00980E5F" w:rsidRDefault="00980E5F">
            <w:pPr>
              <w:rPr>
                <w:rFonts w:ascii="宋体"/>
                <w:vanish/>
              </w:rPr>
            </w:pPr>
          </w:p>
        </w:tc>
        <w:tc>
          <w:tcPr>
            <w:tcW w:w="0" w:type="auto"/>
            <w:shd w:val="clear" w:color="auto" w:fill="auto"/>
            <w:vAlign w:val="bottom"/>
          </w:tcPr>
          <w:p w14:paraId="392C5076" w14:textId="77777777" w:rsidR="00980E5F" w:rsidRDefault="00980E5F">
            <w:pPr>
              <w:rPr>
                <w:rFonts w:ascii="宋体"/>
                <w:vanish/>
              </w:rPr>
            </w:pPr>
          </w:p>
        </w:tc>
        <w:tc>
          <w:tcPr>
            <w:tcW w:w="0" w:type="auto"/>
            <w:gridSpan w:val="3"/>
            <w:shd w:val="clear" w:color="auto" w:fill="auto"/>
            <w:vAlign w:val="bottom"/>
          </w:tcPr>
          <w:p w14:paraId="392C5077" w14:textId="77777777" w:rsidR="00980E5F" w:rsidRDefault="00980E5F">
            <w:pPr>
              <w:rPr>
                <w:rFonts w:ascii="宋体"/>
                <w:vanish/>
              </w:rPr>
            </w:pPr>
          </w:p>
        </w:tc>
        <w:tc>
          <w:tcPr>
            <w:tcW w:w="0" w:type="auto"/>
            <w:gridSpan w:val="3"/>
            <w:shd w:val="clear" w:color="auto" w:fill="auto"/>
            <w:vAlign w:val="bottom"/>
          </w:tcPr>
          <w:p w14:paraId="392C5078" w14:textId="77777777" w:rsidR="00980E5F" w:rsidRDefault="00980E5F">
            <w:pPr>
              <w:rPr>
                <w:rFonts w:ascii="宋体"/>
                <w:vanish/>
              </w:rPr>
            </w:pPr>
          </w:p>
        </w:tc>
        <w:tc>
          <w:tcPr>
            <w:tcW w:w="0" w:type="auto"/>
            <w:gridSpan w:val="3"/>
            <w:shd w:val="clear" w:color="auto" w:fill="auto"/>
            <w:vAlign w:val="bottom"/>
          </w:tcPr>
          <w:p w14:paraId="392C5079" w14:textId="77777777" w:rsidR="00980E5F" w:rsidRDefault="00980E5F">
            <w:pPr>
              <w:rPr>
                <w:rFonts w:ascii="宋体"/>
                <w:vanish/>
              </w:rPr>
            </w:pPr>
          </w:p>
        </w:tc>
        <w:tc>
          <w:tcPr>
            <w:tcW w:w="0" w:type="auto"/>
            <w:gridSpan w:val="3"/>
            <w:shd w:val="clear" w:color="auto" w:fill="auto"/>
            <w:vAlign w:val="bottom"/>
          </w:tcPr>
          <w:p w14:paraId="392C507A" w14:textId="77777777" w:rsidR="00980E5F" w:rsidRDefault="00980E5F">
            <w:pPr>
              <w:rPr>
                <w:rFonts w:ascii="宋体"/>
                <w:vanish/>
              </w:rPr>
            </w:pPr>
          </w:p>
        </w:tc>
        <w:tc>
          <w:tcPr>
            <w:tcW w:w="0" w:type="auto"/>
            <w:gridSpan w:val="3"/>
            <w:shd w:val="clear" w:color="auto" w:fill="auto"/>
            <w:vAlign w:val="bottom"/>
          </w:tcPr>
          <w:p w14:paraId="392C507B" w14:textId="77777777" w:rsidR="00980E5F" w:rsidRDefault="00980E5F">
            <w:pPr>
              <w:rPr>
                <w:rFonts w:ascii="宋体"/>
                <w:vanish/>
              </w:rPr>
            </w:pPr>
          </w:p>
        </w:tc>
        <w:tc>
          <w:tcPr>
            <w:tcW w:w="0" w:type="auto"/>
            <w:gridSpan w:val="3"/>
            <w:shd w:val="clear" w:color="auto" w:fill="auto"/>
            <w:vAlign w:val="bottom"/>
          </w:tcPr>
          <w:p w14:paraId="392C507C" w14:textId="77777777" w:rsidR="00980E5F" w:rsidRDefault="00980E5F">
            <w:pPr>
              <w:rPr>
                <w:rFonts w:ascii="宋体"/>
                <w:vanish/>
              </w:rPr>
            </w:pPr>
          </w:p>
        </w:tc>
        <w:tc>
          <w:tcPr>
            <w:tcW w:w="0" w:type="auto"/>
            <w:gridSpan w:val="3"/>
            <w:shd w:val="clear" w:color="auto" w:fill="auto"/>
            <w:vAlign w:val="bottom"/>
          </w:tcPr>
          <w:p w14:paraId="392C507D" w14:textId="77777777" w:rsidR="00980E5F" w:rsidRDefault="00980E5F">
            <w:pPr>
              <w:rPr>
                <w:rFonts w:ascii="宋体"/>
                <w:vanish/>
              </w:rPr>
            </w:pPr>
          </w:p>
        </w:tc>
        <w:tc>
          <w:tcPr>
            <w:tcW w:w="0" w:type="auto"/>
            <w:gridSpan w:val="3"/>
            <w:shd w:val="clear" w:color="auto" w:fill="auto"/>
            <w:vAlign w:val="bottom"/>
          </w:tcPr>
          <w:p w14:paraId="392C507E" w14:textId="77777777" w:rsidR="00980E5F" w:rsidRDefault="00980E5F">
            <w:pPr>
              <w:rPr>
                <w:rFonts w:ascii="宋体"/>
                <w:vanish/>
              </w:rPr>
            </w:pPr>
          </w:p>
        </w:tc>
        <w:tc>
          <w:tcPr>
            <w:tcW w:w="0" w:type="auto"/>
            <w:gridSpan w:val="3"/>
            <w:shd w:val="clear" w:color="auto" w:fill="auto"/>
            <w:vAlign w:val="bottom"/>
          </w:tcPr>
          <w:p w14:paraId="392C507F" w14:textId="77777777" w:rsidR="00980E5F" w:rsidRDefault="00980E5F">
            <w:pPr>
              <w:rPr>
                <w:rFonts w:ascii="宋体"/>
                <w:vanish/>
              </w:rPr>
            </w:pPr>
          </w:p>
        </w:tc>
        <w:tc>
          <w:tcPr>
            <w:tcW w:w="0" w:type="auto"/>
            <w:gridSpan w:val="3"/>
            <w:shd w:val="clear" w:color="auto" w:fill="auto"/>
            <w:vAlign w:val="bottom"/>
          </w:tcPr>
          <w:p w14:paraId="392C5080" w14:textId="77777777" w:rsidR="00980E5F" w:rsidRDefault="00980E5F">
            <w:pPr>
              <w:rPr>
                <w:rFonts w:ascii="宋体"/>
                <w:vanish/>
              </w:rPr>
            </w:pPr>
          </w:p>
        </w:tc>
        <w:tc>
          <w:tcPr>
            <w:tcW w:w="0" w:type="auto"/>
            <w:gridSpan w:val="2"/>
            <w:shd w:val="clear" w:color="auto" w:fill="auto"/>
            <w:vAlign w:val="bottom"/>
          </w:tcPr>
          <w:p w14:paraId="392C5081" w14:textId="77777777" w:rsidR="00980E5F" w:rsidRDefault="00980E5F">
            <w:pPr>
              <w:rPr>
                <w:rFonts w:ascii="宋体"/>
                <w:vanish/>
              </w:rPr>
            </w:pPr>
          </w:p>
        </w:tc>
        <w:tc>
          <w:tcPr>
            <w:tcW w:w="0" w:type="auto"/>
            <w:shd w:val="clear" w:color="auto" w:fill="auto"/>
            <w:vAlign w:val="bottom"/>
          </w:tcPr>
          <w:p w14:paraId="392C5082" w14:textId="77777777" w:rsidR="00980E5F" w:rsidRDefault="00980E5F">
            <w:pPr>
              <w:rPr>
                <w:rFonts w:ascii="宋体"/>
                <w:vanish/>
              </w:rPr>
            </w:pPr>
          </w:p>
        </w:tc>
      </w:tr>
      <w:tr w:rsidR="00980E5F" w14:paraId="392C509A" w14:textId="77777777">
        <w:tc>
          <w:tcPr>
            <w:tcW w:w="0" w:type="auto"/>
            <w:gridSpan w:val="3"/>
            <w:shd w:val="clear" w:color="auto" w:fill="auto"/>
            <w:tcMar>
              <w:top w:w="40" w:type="dxa"/>
              <w:left w:w="20" w:type="dxa"/>
              <w:bottom w:w="40" w:type="dxa"/>
              <w:right w:w="20" w:type="dxa"/>
            </w:tcMar>
            <w:vAlign w:val="center"/>
          </w:tcPr>
          <w:p w14:paraId="392C5084" w14:textId="77777777" w:rsidR="00980E5F" w:rsidRDefault="00483613">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392C50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B" w14:textId="77777777" w:rsidR="00980E5F" w:rsidRDefault="00980E5F">
            <w:pPr>
              <w:rPr>
                <w:rFonts w:ascii="宋体"/>
              </w:rPr>
            </w:pPr>
          </w:p>
        </w:tc>
        <w:tc>
          <w:tcPr>
            <w:tcW w:w="0" w:type="auto"/>
            <w:shd w:val="clear" w:color="auto" w:fill="auto"/>
            <w:vAlign w:val="bottom"/>
          </w:tcPr>
          <w:p w14:paraId="392C508C" w14:textId="77777777" w:rsidR="00980E5F" w:rsidRDefault="00980E5F">
            <w:pPr>
              <w:rPr>
                <w:rFonts w:ascii="宋体"/>
                <w:vanish/>
              </w:rPr>
            </w:pPr>
          </w:p>
        </w:tc>
        <w:tc>
          <w:tcPr>
            <w:tcW w:w="0" w:type="auto"/>
            <w:shd w:val="clear" w:color="auto" w:fill="auto"/>
            <w:vAlign w:val="bottom"/>
          </w:tcPr>
          <w:p w14:paraId="392C508D"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08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8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097"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098"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5099" w14:textId="77777777" w:rsidR="00980E5F" w:rsidRDefault="00980E5F">
            <w:pPr>
              <w:rPr>
                <w:rFonts w:ascii="宋体"/>
              </w:rPr>
            </w:pPr>
          </w:p>
        </w:tc>
      </w:tr>
      <w:tr w:rsidR="00483613" w14:paraId="392C50C3" w14:textId="77777777">
        <w:tc>
          <w:tcPr>
            <w:tcW w:w="0" w:type="auto"/>
            <w:gridSpan w:val="3"/>
            <w:shd w:val="clear" w:color="auto" w:fill="CCEEFF"/>
            <w:tcMar>
              <w:top w:w="40" w:type="dxa"/>
              <w:left w:w="155" w:type="dxa"/>
              <w:bottom w:w="40" w:type="dxa"/>
              <w:right w:w="20" w:type="dxa"/>
            </w:tcMar>
            <w:vAlign w:val="center"/>
          </w:tcPr>
          <w:p w14:paraId="392C509B" w14:textId="77777777" w:rsidR="00980E5F" w:rsidRDefault="00483613">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392C509C"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9D" w14:textId="77777777" w:rsidR="00980E5F" w:rsidRDefault="00483613">
            <w:pPr>
              <w:jc w:val="right"/>
              <w:textAlignment w:val="center"/>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center"/>
          </w:tcPr>
          <w:p w14:paraId="392C50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9F"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A0"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A1"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A3"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A4"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A5"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A7"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A8"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A9"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AA" w14:textId="77777777" w:rsidR="00980E5F" w:rsidRDefault="00980E5F">
            <w:pPr>
              <w:jc w:val="right"/>
              <w:rPr>
                <w:rFonts w:ascii="宋体"/>
              </w:rPr>
            </w:pPr>
          </w:p>
        </w:tc>
        <w:tc>
          <w:tcPr>
            <w:tcW w:w="0" w:type="auto"/>
            <w:shd w:val="clear" w:color="auto" w:fill="auto"/>
            <w:vAlign w:val="bottom"/>
          </w:tcPr>
          <w:p w14:paraId="392C50AB" w14:textId="77777777" w:rsidR="00980E5F" w:rsidRDefault="00980E5F">
            <w:pPr>
              <w:rPr>
                <w:rFonts w:ascii="宋体"/>
                <w:vanish/>
              </w:rPr>
            </w:pPr>
          </w:p>
        </w:tc>
        <w:tc>
          <w:tcPr>
            <w:tcW w:w="0" w:type="auto"/>
            <w:shd w:val="clear" w:color="auto" w:fill="auto"/>
            <w:vAlign w:val="bottom"/>
          </w:tcPr>
          <w:p w14:paraId="392C50A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0AD"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AE"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AF"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B1"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B2"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B3"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B5"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B6"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B7"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B9"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BA"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BB" w14:textId="77777777" w:rsidR="00980E5F" w:rsidRDefault="00483613">
            <w:pPr>
              <w:jc w:val="right"/>
              <w:textAlignment w:val="center"/>
            </w:pPr>
            <w:r>
              <w:rPr>
                <w:rFonts w:ascii="Arial" w:eastAsia="宋体" w:hAnsi="Arial" w:cs="Arial"/>
                <w:color w:val="000000"/>
                <w:sz w:val="12"/>
                <w:szCs w:val="12"/>
              </w:rPr>
              <w:t>(106)</w:t>
            </w:r>
          </w:p>
        </w:tc>
        <w:tc>
          <w:tcPr>
            <w:tcW w:w="0" w:type="auto"/>
            <w:shd w:val="clear" w:color="auto" w:fill="CCEEFF"/>
            <w:tcMar>
              <w:top w:w="40" w:type="dxa"/>
              <w:left w:w="0" w:type="dxa"/>
              <w:bottom w:w="40" w:type="dxa"/>
              <w:right w:w="20" w:type="dxa"/>
            </w:tcMar>
            <w:vAlign w:val="center"/>
          </w:tcPr>
          <w:p w14:paraId="392C50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0BD"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0BE"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0BF"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0C0"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0C1"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0C2" w14:textId="77777777" w:rsidR="00980E5F" w:rsidRDefault="00980E5F">
            <w:pPr>
              <w:rPr>
                <w:rFonts w:ascii="宋体"/>
              </w:rPr>
            </w:pPr>
          </w:p>
        </w:tc>
      </w:tr>
      <w:tr w:rsidR="00980E5F" w14:paraId="392C50DA" w14:textId="77777777">
        <w:trPr>
          <w:hidden/>
        </w:trPr>
        <w:tc>
          <w:tcPr>
            <w:tcW w:w="0" w:type="auto"/>
            <w:gridSpan w:val="3"/>
            <w:shd w:val="clear" w:color="auto" w:fill="auto"/>
            <w:vAlign w:val="bottom"/>
          </w:tcPr>
          <w:p w14:paraId="392C50C4" w14:textId="77777777" w:rsidR="00980E5F" w:rsidRDefault="00980E5F">
            <w:pPr>
              <w:rPr>
                <w:rFonts w:ascii="宋体"/>
                <w:vanish/>
              </w:rPr>
            </w:pPr>
          </w:p>
        </w:tc>
        <w:tc>
          <w:tcPr>
            <w:tcW w:w="0" w:type="auto"/>
            <w:gridSpan w:val="3"/>
            <w:shd w:val="clear" w:color="auto" w:fill="auto"/>
            <w:vAlign w:val="bottom"/>
          </w:tcPr>
          <w:p w14:paraId="392C50C5" w14:textId="77777777" w:rsidR="00980E5F" w:rsidRDefault="00980E5F">
            <w:pPr>
              <w:rPr>
                <w:rFonts w:ascii="宋体"/>
                <w:vanish/>
              </w:rPr>
            </w:pPr>
          </w:p>
        </w:tc>
        <w:tc>
          <w:tcPr>
            <w:tcW w:w="0" w:type="auto"/>
            <w:gridSpan w:val="3"/>
            <w:shd w:val="clear" w:color="auto" w:fill="auto"/>
            <w:vAlign w:val="bottom"/>
          </w:tcPr>
          <w:p w14:paraId="392C50C6" w14:textId="77777777" w:rsidR="00980E5F" w:rsidRDefault="00980E5F">
            <w:pPr>
              <w:rPr>
                <w:rFonts w:ascii="宋体"/>
                <w:vanish/>
              </w:rPr>
            </w:pPr>
          </w:p>
        </w:tc>
        <w:tc>
          <w:tcPr>
            <w:tcW w:w="0" w:type="auto"/>
            <w:gridSpan w:val="3"/>
            <w:shd w:val="clear" w:color="auto" w:fill="auto"/>
            <w:vAlign w:val="bottom"/>
          </w:tcPr>
          <w:p w14:paraId="392C50C7" w14:textId="77777777" w:rsidR="00980E5F" w:rsidRDefault="00980E5F">
            <w:pPr>
              <w:rPr>
                <w:rFonts w:ascii="宋体"/>
                <w:vanish/>
              </w:rPr>
            </w:pPr>
          </w:p>
        </w:tc>
        <w:tc>
          <w:tcPr>
            <w:tcW w:w="0" w:type="auto"/>
            <w:gridSpan w:val="3"/>
            <w:shd w:val="clear" w:color="auto" w:fill="auto"/>
            <w:vAlign w:val="bottom"/>
          </w:tcPr>
          <w:p w14:paraId="392C50C8" w14:textId="77777777" w:rsidR="00980E5F" w:rsidRDefault="00980E5F">
            <w:pPr>
              <w:rPr>
                <w:rFonts w:ascii="宋体"/>
                <w:vanish/>
              </w:rPr>
            </w:pPr>
          </w:p>
        </w:tc>
        <w:tc>
          <w:tcPr>
            <w:tcW w:w="0" w:type="auto"/>
            <w:gridSpan w:val="3"/>
            <w:shd w:val="clear" w:color="auto" w:fill="auto"/>
            <w:vAlign w:val="bottom"/>
          </w:tcPr>
          <w:p w14:paraId="392C50C9" w14:textId="77777777" w:rsidR="00980E5F" w:rsidRDefault="00980E5F">
            <w:pPr>
              <w:rPr>
                <w:rFonts w:ascii="宋体"/>
                <w:vanish/>
              </w:rPr>
            </w:pPr>
          </w:p>
        </w:tc>
        <w:tc>
          <w:tcPr>
            <w:tcW w:w="0" w:type="auto"/>
            <w:gridSpan w:val="3"/>
            <w:shd w:val="clear" w:color="auto" w:fill="auto"/>
            <w:vAlign w:val="bottom"/>
          </w:tcPr>
          <w:p w14:paraId="392C50CA" w14:textId="77777777" w:rsidR="00980E5F" w:rsidRDefault="00980E5F">
            <w:pPr>
              <w:rPr>
                <w:rFonts w:ascii="宋体"/>
                <w:vanish/>
              </w:rPr>
            </w:pPr>
          </w:p>
        </w:tc>
        <w:tc>
          <w:tcPr>
            <w:tcW w:w="0" w:type="auto"/>
            <w:gridSpan w:val="3"/>
            <w:shd w:val="clear" w:color="auto" w:fill="auto"/>
            <w:vAlign w:val="bottom"/>
          </w:tcPr>
          <w:p w14:paraId="392C50CB" w14:textId="77777777" w:rsidR="00980E5F" w:rsidRDefault="00980E5F">
            <w:pPr>
              <w:rPr>
                <w:rFonts w:ascii="宋体"/>
                <w:vanish/>
              </w:rPr>
            </w:pPr>
          </w:p>
        </w:tc>
        <w:tc>
          <w:tcPr>
            <w:tcW w:w="0" w:type="auto"/>
            <w:shd w:val="clear" w:color="auto" w:fill="auto"/>
            <w:vAlign w:val="bottom"/>
          </w:tcPr>
          <w:p w14:paraId="392C50CC" w14:textId="77777777" w:rsidR="00980E5F" w:rsidRDefault="00980E5F">
            <w:pPr>
              <w:rPr>
                <w:rFonts w:ascii="宋体"/>
                <w:vanish/>
              </w:rPr>
            </w:pPr>
          </w:p>
        </w:tc>
        <w:tc>
          <w:tcPr>
            <w:tcW w:w="0" w:type="auto"/>
            <w:shd w:val="clear" w:color="auto" w:fill="auto"/>
            <w:vAlign w:val="bottom"/>
          </w:tcPr>
          <w:p w14:paraId="392C50CD" w14:textId="77777777" w:rsidR="00980E5F" w:rsidRDefault="00980E5F">
            <w:pPr>
              <w:rPr>
                <w:rFonts w:ascii="宋体"/>
                <w:vanish/>
              </w:rPr>
            </w:pPr>
          </w:p>
        </w:tc>
        <w:tc>
          <w:tcPr>
            <w:tcW w:w="0" w:type="auto"/>
            <w:gridSpan w:val="3"/>
            <w:shd w:val="clear" w:color="auto" w:fill="auto"/>
            <w:vAlign w:val="bottom"/>
          </w:tcPr>
          <w:p w14:paraId="392C50CE" w14:textId="77777777" w:rsidR="00980E5F" w:rsidRDefault="00980E5F">
            <w:pPr>
              <w:rPr>
                <w:rFonts w:ascii="宋体"/>
                <w:vanish/>
              </w:rPr>
            </w:pPr>
          </w:p>
        </w:tc>
        <w:tc>
          <w:tcPr>
            <w:tcW w:w="0" w:type="auto"/>
            <w:gridSpan w:val="3"/>
            <w:shd w:val="clear" w:color="auto" w:fill="auto"/>
            <w:vAlign w:val="bottom"/>
          </w:tcPr>
          <w:p w14:paraId="392C50CF" w14:textId="77777777" w:rsidR="00980E5F" w:rsidRDefault="00980E5F">
            <w:pPr>
              <w:rPr>
                <w:rFonts w:ascii="宋体"/>
                <w:vanish/>
              </w:rPr>
            </w:pPr>
          </w:p>
        </w:tc>
        <w:tc>
          <w:tcPr>
            <w:tcW w:w="0" w:type="auto"/>
            <w:gridSpan w:val="3"/>
            <w:shd w:val="clear" w:color="auto" w:fill="auto"/>
            <w:vAlign w:val="bottom"/>
          </w:tcPr>
          <w:p w14:paraId="392C50D0" w14:textId="77777777" w:rsidR="00980E5F" w:rsidRDefault="00980E5F">
            <w:pPr>
              <w:rPr>
                <w:rFonts w:ascii="宋体"/>
                <w:vanish/>
              </w:rPr>
            </w:pPr>
          </w:p>
        </w:tc>
        <w:tc>
          <w:tcPr>
            <w:tcW w:w="0" w:type="auto"/>
            <w:gridSpan w:val="3"/>
            <w:shd w:val="clear" w:color="auto" w:fill="auto"/>
            <w:vAlign w:val="bottom"/>
          </w:tcPr>
          <w:p w14:paraId="392C50D1" w14:textId="77777777" w:rsidR="00980E5F" w:rsidRDefault="00980E5F">
            <w:pPr>
              <w:rPr>
                <w:rFonts w:ascii="宋体"/>
                <w:vanish/>
              </w:rPr>
            </w:pPr>
          </w:p>
        </w:tc>
        <w:tc>
          <w:tcPr>
            <w:tcW w:w="0" w:type="auto"/>
            <w:gridSpan w:val="3"/>
            <w:shd w:val="clear" w:color="auto" w:fill="auto"/>
            <w:vAlign w:val="bottom"/>
          </w:tcPr>
          <w:p w14:paraId="392C50D2" w14:textId="77777777" w:rsidR="00980E5F" w:rsidRDefault="00980E5F">
            <w:pPr>
              <w:rPr>
                <w:rFonts w:ascii="宋体"/>
                <w:vanish/>
              </w:rPr>
            </w:pPr>
          </w:p>
        </w:tc>
        <w:tc>
          <w:tcPr>
            <w:tcW w:w="0" w:type="auto"/>
            <w:gridSpan w:val="3"/>
            <w:shd w:val="clear" w:color="auto" w:fill="auto"/>
            <w:vAlign w:val="bottom"/>
          </w:tcPr>
          <w:p w14:paraId="392C50D3" w14:textId="77777777" w:rsidR="00980E5F" w:rsidRDefault="00980E5F">
            <w:pPr>
              <w:rPr>
                <w:rFonts w:ascii="宋体"/>
                <w:vanish/>
              </w:rPr>
            </w:pPr>
          </w:p>
        </w:tc>
        <w:tc>
          <w:tcPr>
            <w:tcW w:w="0" w:type="auto"/>
            <w:gridSpan w:val="3"/>
            <w:shd w:val="clear" w:color="auto" w:fill="auto"/>
            <w:vAlign w:val="bottom"/>
          </w:tcPr>
          <w:p w14:paraId="392C50D4" w14:textId="77777777" w:rsidR="00980E5F" w:rsidRDefault="00980E5F">
            <w:pPr>
              <w:rPr>
                <w:rFonts w:ascii="宋体"/>
                <w:vanish/>
              </w:rPr>
            </w:pPr>
          </w:p>
        </w:tc>
        <w:tc>
          <w:tcPr>
            <w:tcW w:w="0" w:type="auto"/>
            <w:gridSpan w:val="3"/>
            <w:shd w:val="clear" w:color="auto" w:fill="auto"/>
            <w:vAlign w:val="bottom"/>
          </w:tcPr>
          <w:p w14:paraId="392C50D5" w14:textId="77777777" w:rsidR="00980E5F" w:rsidRDefault="00980E5F">
            <w:pPr>
              <w:rPr>
                <w:rFonts w:ascii="宋体"/>
                <w:vanish/>
              </w:rPr>
            </w:pPr>
          </w:p>
        </w:tc>
        <w:tc>
          <w:tcPr>
            <w:tcW w:w="0" w:type="auto"/>
            <w:gridSpan w:val="3"/>
            <w:shd w:val="clear" w:color="auto" w:fill="auto"/>
            <w:vAlign w:val="bottom"/>
          </w:tcPr>
          <w:p w14:paraId="392C50D6" w14:textId="77777777" w:rsidR="00980E5F" w:rsidRDefault="00980E5F">
            <w:pPr>
              <w:rPr>
                <w:rFonts w:ascii="宋体"/>
                <w:vanish/>
              </w:rPr>
            </w:pPr>
          </w:p>
        </w:tc>
        <w:tc>
          <w:tcPr>
            <w:tcW w:w="0" w:type="auto"/>
            <w:gridSpan w:val="3"/>
            <w:shd w:val="clear" w:color="auto" w:fill="auto"/>
            <w:vAlign w:val="bottom"/>
          </w:tcPr>
          <w:p w14:paraId="392C50D7" w14:textId="77777777" w:rsidR="00980E5F" w:rsidRDefault="00980E5F">
            <w:pPr>
              <w:rPr>
                <w:rFonts w:ascii="宋体"/>
                <w:vanish/>
              </w:rPr>
            </w:pPr>
          </w:p>
        </w:tc>
        <w:tc>
          <w:tcPr>
            <w:tcW w:w="0" w:type="auto"/>
            <w:gridSpan w:val="2"/>
            <w:shd w:val="clear" w:color="auto" w:fill="auto"/>
            <w:vAlign w:val="bottom"/>
          </w:tcPr>
          <w:p w14:paraId="392C50D8" w14:textId="77777777" w:rsidR="00980E5F" w:rsidRDefault="00980E5F">
            <w:pPr>
              <w:rPr>
                <w:rFonts w:ascii="宋体"/>
                <w:vanish/>
              </w:rPr>
            </w:pPr>
          </w:p>
        </w:tc>
        <w:tc>
          <w:tcPr>
            <w:tcW w:w="0" w:type="auto"/>
            <w:shd w:val="clear" w:color="auto" w:fill="auto"/>
            <w:vAlign w:val="bottom"/>
          </w:tcPr>
          <w:p w14:paraId="392C50D9" w14:textId="77777777" w:rsidR="00980E5F" w:rsidRDefault="00980E5F">
            <w:pPr>
              <w:rPr>
                <w:rFonts w:ascii="宋体"/>
                <w:vanish/>
              </w:rPr>
            </w:pPr>
          </w:p>
        </w:tc>
      </w:tr>
      <w:tr w:rsidR="00980E5F" w14:paraId="392C50FA" w14:textId="77777777">
        <w:tc>
          <w:tcPr>
            <w:tcW w:w="0" w:type="auto"/>
            <w:gridSpan w:val="3"/>
            <w:shd w:val="clear" w:color="auto" w:fill="FFFFFF"/>
            <w:tcMar>
              <w:top w:w="40" w:type="dxa"/>
              <w:left w:w="20" w:type="dxa"/>
              <w:bottom w:w="40" w:type="dxa"/>
              <w:right w:w="20" w:type="dxa"/>
            </w:tcMar>
            <w:vAlign w:val="center"/>
          </w:tcPr>
          <w:p w14:paraId="392C50DB" w14:textId="77777777" w:rsidR="00980E5F" w:rsidRDefault="00483613">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DC" w14:textId="77777777" w:rsidR="00980E5F" w:rsidRDefault="00483613">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D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D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DF"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E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E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E2"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E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E5"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E6" w14:textId="77777777" w:rsidR="00980E5F" w:rsidRDefault="00980E5F">
            <w:pPr>
              <w:jc w:val="right"/>
              <w:rPr>
                <w:rFonts w:ascii="宋体"/>
              </w:rPr>
            </w:pPr>
          </w:p>
        </w:tc>
        <w:tc>
          <w:tcPr>
            <w:tcW w:w="0" w:type="auto"/>
            <w:shd w:val="clear" w:color="auto" w:fill="auto"/>
            <w:vAlign w:val="bottom"/>
          </w:tcPr>
          <w:p w14:paraId="392C50E7" w14:textId="77777777" w:rsidR="00980E5F" w:rsidRDefault="00980E5F">
            <w:pPr>
              <w:rPr>
                <w:rFonts w:ascii="宋体"/>
                <w:vanish/>
              </w:rPr>
            </w:pPr>
          </w:p>
        </w:tc>
        <w:tc>
          <w:tcPr>
            <w:tcW w:w="0" w:type="auto"/>
            <w:shd w:val="clear" w:color="auto" w:fill="auto"/>
            <w:vAlign w:val="bottom"/>
          </w:tcPr>
          <w:p w14:paraId="392C50E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0E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EA"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E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ED"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E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F0"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F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F3" w14:textId="77777777" w:rsidR="00980E5F" w:rsidRDefault="00483613">
            <w:pPr>
              <w:jc w:val="right"/>
              <w:textAlignment w:val="center"/>
            </w:pPr>
            <w:r>
              <w:rPr>
                <w:rFonts w:ascii="Arial" w:eastAsia="宋体" w:hAnsi="Arial" w:cs="Arial"/>
                <w:color w:val="000000"/>
                <w:sz w:val="12"/>
                <w:szCs w:val="12"/>
              </w:rPr>
              <w:t>(106)</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0F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0F6"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0F7"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0F8"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0F9" w14:textId="77777777" w:rsidR="00980E5F" w:rsidRDefault="00980E5F">
            <w:pPr>
              <w:rPr>
                <w:rFonts w:ascii="宋体"/>
              </w:rPr>
            </w:pPr>
          </w:p>
        </w:tc>
      </w:tr>
      <w:tr w:rsidR="00980E5F" w14:paraId="392C5111" w14:textId="77777777">
        <w:trPr>
          <w:hidden/>
        </w:trPr>
        <w:tc>
          <w:tcPr>
            <w:tcW w:w="0" w:type="auto"/>
            <w:gridSpan w:val="3"/>
            <w:shd w:val="clear" w:color="auto" w:fill="auto"/>
            <w:vAlign w:val="bottom"/>
          </w:tcPr>
          <w:p w14:paraId="392C50FB" w14:textId="77777777" w:rsidR="00980E5F" w:rsidRDefault="00980E5F">
            <w:pPr>
              <w:rPr>
                <w:rFonts w:ascii="宋体"/>
                <w:vanish/>
              </w:rPr>
            </w:pPr>
          </w:p>
        </w:tc>
        <w:tc>
          <w:tcPr>
            <w:tcW w:w="0" w:type="auto"/>
            <w:gridSpan w:val="3"/>
            <w:shd w:val="clear" w:color="auto" w:fill="auto"/>
            <w:vAlign w:val="bottom"/>
          </w:tcPr>
          <w:p w14:paraId="392C50FC" w14:textId="77777777" w:rsidR="00980E5F" w:rsidRDefault="00980E5F">
            <w:pPr>
              <w:rPr>
                <w:rFonts w:ascii="宋体"/>
                <w:vanish/>
              </w:rPr>
            </w:pPr>
          </w:p>
        </w:tc>
        <w:tc>
          <w:tcPr>
            <w:tcW w:w="0" w:type="auto"/>
            <w:gridSpan w:val="3"/>
            <w:shd w:val="clear" w:color="auto" w:fill="auto"/>
            <w:vAlign w:val="bottom"/>
          </w:tcPr>
          <w:p w14:paraId="392C50FD" w14:textId="77777777" w:rsidR="00980E5F" w:rsidRDefault="00980E5F">
            <w:pPr>
              <w:rPr>
                <w:rFonts w:ascii="宋体"/>
                <w:vanish/>
              </w:rPr>
            </w:pPr>
          </w:p>
        </w:tc>
        <w:tc>
          <w:tcPr>
            <w:tcW w:w="0" w:type="auto"/>
            <w:gridSpan w:val="3"/>
            <w:shd w:val="clear" w:color="auto" w:fill="auto"/>
            <w:vAlign w:val="bottom"/>
          </w:tcPr>
          <w:p w14:paraId="392C50FE" w14:textId="77777777" w:rsidR="00980E5F" w:rsidRDefault="00980E5F">
            <w:pPr>
              <w:rPr>
                <w:rFonts w:ascii="宋体"/>
                <w:vanish/>
              </w:rPr>
            </w:pPr>
          </w:p>
        </w:tc>
        <w:tc>
          <w:tcPr>
            <w:tcW w:w="0" w:type="auto"/>
            <w:gridSpan w:val="3"/>
            <w:shd w:val="clear" w:color="auto" w:fill="auto"/>
            <w:vAlign w:val="bottom"/>
          </w:tcPr>
          <w:p w14:paraId="392C50FF" w14:textId="77777777" w:rsidR="00980E5F" w:rsidRDefault="00980E5F">
            <w:pPr>
              <w:rPr>
                <w:rFonts w:ascii="宋体"/>
                <w:vanish/>
              </w:rPr>
            </w:pPr>
          </w:p>
        </w:tc>
        <w:tc>
          <w:tcPr>
            <w:tcW w:w="0" w:type="auto"/>
            <w:gridSpan w:val="3"/>
            <w:shd w:val="clear" w:color="auto" w:fill="auto"/>
            <w:vAlign w:val="bottom"/>
          </w:tcPr>
          <w:p w14:paraId="392C5100" w14:textId="77777777" w:rsidR="00980E5F" w:rsidRDefault="00980E5F">
            <w:pPr>
              <w:rPr>
                <w:rFonts w:ascii="宋体"/>
                <w:vanish/>
              </w:rPr>
            </w:pPr>
          </w:p>
        </w:tc>
        <w:tc>
          <w:tcPr>
            <w:tcW w:w="0" w:type="auto"/>
            <w:gridSpan w:val="3"/>
            <w:shd w:val="clear" w:color="auto" w:fill="auto"/>
            <w:vAlign w:val="bottom"/>
          </w:tcPr>
          <w:p w14:paraId="392C5101" w14:textId="77777777" w:rsidR="00980E5F" w:rsidRDefault="00980E5F">
            <w:pPr>
              <w:rPr>
                <w:rFonts w:ascii="宋体"/>
                <w:vanish/>
              </w:rPr>
            </w:pPr>
          </w:p>
        </w:tc>
        <w:tc>
          <w:tcPr>
            <w:tcW w:w="0" w:type="auto"/>
            <w:gridSpan w:val="3"/>
            <w:shd w:val="clear" w:color="auto" w:fill="auto"/>
            <w:vAlign w:val="bottom"/>
          </w:tcPr>
          <w:p w14:paraId="392C5102" w14:textId="77777777" w:rsidR="00980E5F" w:rsidRDefault="00980E5F">
            <w:pPr>
              <w:rPr>
                <w:rFonts w:ascii="宋体"/>
                <w:vanish/>
              </w:rPr>
            </w:pPr>
          </w:p>
        </w:tc>
        <w:tc>
          <w:tcPr>
            <w:tcW w:w="0" w:type="auto"/>
            <w:shd w:val="clear" w:color="auto" w:fill="auto"/>
            <w:vAlign w:val="bottom"/>
          </w:tcPr>
          <w:p w14:paraId="392C5103" w14:textId="77777777" w:rsidR="00980E5F" w:rsidRDefault="00980E5F">
            <w:pPr>
              <w:rPr>
                <w:rFonts w:ascii="宋体"/>
                <w:vanish/>
              </w:rPr>
            </w:pPr>
          </w:p>
        </w:tc>
        <w:tc>
          <w:tcPr>
            <w:tcW w:w="0" w:type="auto"/>
            <w:shd w:val="clear" w:color="auto" w:fill="auto"/>
            <w:vAlign w:val="bottom"/>
          </w:tcPr>
          <w:p w14:paraId="392C5104" w14:textId="77777777" w:rsidR="00980E5F" w:rsidRDefault="00980E5F">
            <w:pPr>
              <w:rPr>
                <w:rFonts w:ascii="宋体"/>
                <w:vanish/>
              </w:rPr>
            </w:pPr>
          </w:p>
        </w:tc>
        <w:tc>
          <w:tcPr>
            <w:tcW w:w="0" w:type="auto"/>
            <w:gridSpan w:val="3"/>
            <w:shd w:val="clear" w:color="auto" w:fill="auto"/>
            <w:vAlign w:val="bottom"/>
          </w:tcPr>
          <w:p w14:paraId="392C5105" w14:textId="77777777" w:rsidR="00980E5F" w:rsidRDefault="00980E5F">
            <w:pPr>
              <w:rPr>
                <w:rFonts w:ascii="宋体"/>
                <w:vanish/>
              </w:rPr>
            </w:pPr>
          </w:p>
        </w:tc>
        <w:tc>
          <w:tcPr>
            <w:tcW w:w="0" w:type="auto"/>
            <w:gridSpan w:val="3"/>
            <w:shd w:val="clear" w:color="auto" w:fill="auto"/>
            <w:vAlign w:val="bottom"/>
          </w:tcPr>
          <w:p w14:paraId="392C5106" w14:textId="77777777" w:rsidR="00980E5F" w:rsidRDefault="00980E5F">
            <w:pPr>
              <w:rPr>
                <w:rFonts w:ascii="宋体"/>
                <w:vanish/>
              </w:rPr>
            </w:pPr>
          </w:p>
        </w:tc>
        <w:tc>
          <w:tcPr>
            <w:tcW w:w="0" w:type="auto"/>
            <w:gridSpan w:val="3"/>
            <w:shd w:val="clear" w:color="auto" w:fill="auto"/>
            <w:vAlign w:val="bottom"/>
          </w:tcPr>
          <w:p w14:paraId="392C5107" w14:textId="77777777" w:rsidR="00980E5F" w:rsidRDefault="00980E5F">
            <w:pPr>
              <w:rPr>
                <w:rFonts w:ascii="宋体"/>
                <w:vanish/>
              </w:rPr>
            </w:pPr>
          </w:p>
        </w:tc>
        <w:tc>
          <w:tcPr>
            <w:tcW w:w="0" w:type="auto"/>
            <w:gridSpan w:val="3"/>
            <w:shd w:val="clear" w:color="auto" w:fill="auto"/>
            <w:vAlign w:val="bottom"/>
          </w:tcPr>
          <w:p w14:paraId="392C5108" w14:textId="77777777" w:rsidR="00980E5F" w:rsidRDefault="00980E5F">
            <w:pPr>
              <w:rPr>
                <w:rFonts w:ascii="宋体"/>
                <w:vanish/>
              </w:rPr>
            </w:pPr>
          </w:p>
        </w:tc>
        <w:tc>
          <w:tcPr>
            <w:tcW w:w="0" w:type="auto"/>
            <w:gridSpan w:val="3"/>
            <w:shd w:val="clear" w:color="auto" w:fill="auto"/>
            <w:vAlign w:val="bottom"/>
          </w:tcPr>
          <w:p w14:paraId="392C5109" w14:textId="77777777" w:rsidR="00980E5F" w:rsidRDefault="00980E5F">
            <w:pPr>
              <w:rPr>
                <w:rFonts w:ascii="宋体"/>
                <w:vanish/>
              </w:rPr>
            </w:pPr>
          </w:p>
        </w:tc>
        <w:tc>
          <w:tcPr>
            <w:tcW w:w="0" w:type="auto"/>
            <w:gridSpan w:val="3"/>
            <w:shd w:val="clear" w:color="auto" w:fill="auto"/>
            <w:vAlign w:val="bottom"/>
          </w:tcPr>
          <w:p w14:paraId="392C510A" w14:textId="77777777" w:rsidR="00980E5F" w:rsidRDefault="00980E5F">
            <w:pPr>
              <w:rPr>
                <w:rFonts w:ascii="宋体"/>
                <w:vanish/>
              </w:rPr>
            </w:pPr>
          </w:p>
        </w:tc>
        <w:tc>
          <w:tcPr>
            <w:tcW w:w="0" w:type="auto"/>
            <w:gridSpan w:val="3"/>
            <w:shd w:val="clear" w:color="auto" w:fill="auto"/>
            <w:vAlign w:val="bottom"/>
          </w:tcPr>
          <w:p w14:paraId="392C510B" w14:textId="77777777" w:rsidR="00980E5F" w:rsidRDefault="00980E5F">
            <w:pPr>
              <w:rPr>
                <w:rFonts w:ascii="宋体"/>
                <w:vanish/>
              </w:rPr>
            </w:pPr>
          </w:p>
        </w:tc>
        <w:tc>
          <w:tcPr>
            <w:tcW w:w="0" w:type="auto"/>
            <w:gridSpan w:val="3"/>
            <w:shd w:val="clear" w:color="auto" w:fill="auto"/>
            <w:vAlign w:val="bottom"/>
          </w:tcPr>
          <w:p w14:paraId="392C510C" w14:textId="77777777" w:rsidR="00980E5F" w:rsidRDefault="00980E5F">
            <w:pPr>
              <w:rPr>
                <w:rFonts w:ascii="宋体"/>
                <w:vanish/>
              </w:rPr>
            </w:pPr>
          </w:p>
        </w:tc>
        <w:tc>
          <w:tcPr>
            <w:tcW w:w="0" w:type="auto"/>
            <w:gridSpan w:val="3"/>
            <w:shd w:val="clear" w:color="auto" w:fill="auto"/>
            <w:vAlign w:val="bottom"/>
          </w:tcPr>
          <w:p w14:paraId="392C510D" w14:textId="77777777" w:rsidR="00980E5F" w:rsidRDefault="00980E5F">
            <w:pPr>
              <w:rPr>
                <w:rFonts w:ascii="宋体"/>
                <w:vanish/>
              </w:rPr>
            </w:pPr>
          </w:p>
        </w:tc>
        <w:tc>
          <w:tcPr>
            <w:tcW w:w="0" w:type="auto"/>
            <w:gridSpan w:val="3"/>
            <w:shd w:val="clear" w:color="auto" w:fill="auto"/>
            <w:vAlign w:val="bottom"/>
          </w:tcPr>
          <w:p w14:paraId="392C510E" w14:textId="77777777" w:rsidR="00980E5F" w:rsidRDefault="00980E5F">
            <w:pPr>
              <w:rPr>
                <w:rFonts w:ascii="宋体"/>
                <w:vanish/>
              </w:rPr>
            </w:pPr>
          </w:p>
        </w:tc>
        <w:tc>
          <w:tcPr>
            <w:tcW w:w="0" w:type="auto"/>
            <w:gridSpan w:val="2"/>
            <w:shd w:val="clear" w:color="auto" w:fill="auto"/>
            <w:vAlign w:val="bottom"/>
          </w:tcPr>
          <w:p w14:paraId="392C510F" w14:textId="77777777" w:rsidR="00980E5F" w:rsidRDefault="00980E5F">
            <w:pPr>
              <w:rPr>
                <w:rFonts w:ascii="宋体"/>
                <w:vanish/>
              </w:rPr>
            </w:pPr>
          </w:p>
        </w:tc>
        <w:tc>
          <w:tcPr>
            <w:tcW w:w="0" w:type="auto"/>
            <w:shd w:val="clear" w:color="auto" w:fill="auto"/>
            <w:vAlign w:val="bottom"/>
          </w:tcPr>
          <w:p w14:paraId="392C5110" w14:textId="77777777" w:rsidR="00980E5F" w:rsidRDefault="00980E5F">
            <w:pPr>
              <w:rPr>
                <w:rFonts w:ascii="宋体"/>
                <w:vanish/>
              </w:rPr>
            </w:pPr>
          </w:p>
        </w:tc>
      </w:tr>
      <w:tr w:rsidR="00980E5F" w14:paraId="392C5128" w14:textId="77777777">
        <w:trPr>
          <w:hidden/>
        </w:trPr>
        <w:tc>
          <w:tcPr>
            <w:tcW w:w="0" w:type="auto"/>
            <w:gridSpan w:val="3"/>
            <w:shd w:val="clear" w:color="auto" w:fill="auto"/>
            <w:vAlign w:val="bottom"/>
          </w:tcPr>
          <w:p w14:paraId="392C5112" w14:textId="77777777" w:rsidR="00980E5F" w:rsidRDefault="00980E5F">
            <w:pPr>
              <w:rPr>
                <w:rFonts w:ascii="宋体"/>
                <w:vanish/>
              </w:rPr>
            </w:pPr>
          </w:p>
        </w:tc>
        <w:tc>
          <w:tcPr>
            <w:tcW w:w="0" w:type="auto"/>
            <w:gridSpan w:val="3"/>
            <w:shd w:val="clear" w:color="auto" w:fill="auto"/>
            <w:vAlign w:val="bottom"/>
          </w:tcPr>
          <w:p w14:paraId="392C5113" w14:textId="77777777" w:rsidR="00980E5F" w:rsidRDefault="00980E5F">
            <w:pPr>
              <w:rPr>
                <w:rFonts w:ascii="宋体"/>
                <w:vanish/>
              </w:rPr>
            </w:pPr>
          </w:p>
        </w:tc>
        <w:tc>
          <w:tcPr>
            <w:tcW w:w="0" w:type="auto"/>
            <w:gridSpan w:val="3"/>
            <w:shd w:val="clear" w:color="auto" w:fill="auto"/>
            <w:vAlign w:val="bottom"/>
          </w:tcPr>
          <w:p w14:paraId="392C5114" w14:textId="77777777" w:rsidR="00980E5F" w:rsidRDefault="00980E5F">
            <w:pPr>
              <w:rPr>
                <w:rFonts w:ascii="宋体"/>
                <w:vanish/>
              </w:rPr>
            </w:pPr>
          </w:p>
        </w:tc>
        <w:tc>
          <w:tcPr>
            <w:tcW w:w="0" w:type="auto"/>
            <w:gridSpan w:val="3"/>
            <w:shd w:val="clear" w:color="auto" w:fill="auto"/>
            <w:vAlign w:val="bottom"/>
          </w:tcPr>
          <w:p w14:paraId="392C5115" w14:textId="77777777" w:rsidR="00980E5F" w:rsidRDefault="00980E5F">
            <w:pPr>
              <w:rPr>
                <w:rFonts w:ascii="宋体"/>
                <w:vanish/>
              </w:rPr>
            </w:pPr>
          </w:p>
        </w:tc>
        <w:tc>
          <w:tcPr>
            <w:tcW w:w="0" w:type="auto"/>
            <w:gridSpan w:val="3"/>
            <w:shd w:val="clear" w:color="auto" w:fill="auto"/>
            <w:vAlign w:val="bottom"/>
          </w:tcPr>
          <w:p w14:paraId="392C5116" w14:textId="77777777" w:rsidR="00980E5F" w:rsidRDefault="00980E5F">
            <w:pPr>
              <w:rPr>
                <w:rFonts w:ascii="宋体"/>
                <w:vanish/>
              </w:rPr>
            </w:pPr>
          </w:p>
        </w:tc>
        <w:tc>
          <w:tcPr>
            <w:tcW w:w="0" w:type="auto"/>
            <w:gridSpan w:val="3"/>
            <w:shd w:val="clear" w:color="auto" w:fill="auto"/>
            <w:vAlign w:val="bottom"/>
          </w:tcPr>
          <w:p w14:paraId="392C5117" w14:textId="77777777" w:rsidR="00980E5F" w:rsidRDefault="00980E5F">
            <w:pPr>
              <w:rPr>
                <w:rFonts w:ascii="宋体"/>
                <w:vanish/>
              </w:rPr>
            </w:pPr>
          </w:p>
        </w:tc>
        <w:tc>
          <w:tcPr>
            <w:tcW w:w="0" w:type="auto"/>
            <w:gridSpan w:val="3"/>
            <w:shd w:val="clear" w:color="auto" w:fill="auto"/>
            <w:vAlign w:val="bottom"/>
          </w:tcPr>
          <w:p w14:paraId="392C5118" w14:textId="77777777" w:rsidR="00980E5F" w:rsidRDefault="00980E5F">
            <w:pPr>
              <w:rPr>
                <w:rFonts w:ascii="宋体"/>
                <w:vanish/>
              </w:rPr>
            </w:pPr>
          </w:p>
        </w:tc>
        <w:tc>
          <w:tcPr>
            <w:tcW w:w="0" w:type="auto"/>
            <w:gridSpan w:val="3"/>
            <w:shd w:val="clear" w:color="auto" w:fill="auto"/>
            <w:vAlign w:val="bottom"/>
          </w:tcPr>
          <w:p w14:paraId="392C5119" w14:textId="77777777" w:rsidR="00980E5F" w:rsidRDefault="00980E5F">
            <w:pPr>
              <w:rPr>
                <w:rFonts w:ascii="宋体"/>
                <w:vanish/>
              </w:rPr>
            </w:pPr>
          </w:p>
        </w:tc>
        <w:tc>
          <w:tcPr>
            <w:tcW w:w="0" w:type="auto"/>
            <w:shd w:val="clear" w:color="auto" w:fill="auto"/>
            <w:vAlign w:val="bottom"/>
          </w:tcPr>
          <w:p w14:paraId="392C511A" w14:textId="77777777" w:rsidR="00980E5F" w:rsidRDefault="00980E5F">
            <w:pPr>
              <w:rPr>
                <w:rFonts w:ascii="宋体"/>
                <w:vanish/>
              </w:rPr>
            </w:pPr>
          </w:p>
        </w:tc>
        <w:tc>
          <w:tcPr>
            <w:tcW w:w="0" w:type="auto"/>
            <w:shd w:val="clear" w:color="auto" w:fill="auto"/>
            <w:vAlign w:val="bottom"/>
          </w:tcPr>
          <w:p w14:paraId="392C511B" w14:textId="77777777" w:rsidR="00980E5F" w:rsidRDefault="00980E5F">
            <w:pPr>
              <w:rPr>
                <w:rFonts w:ascii="宋体"/>
                <w:vanish/>
              </w:rPr>
            </w:pPr>
          </w:p>
        </w:tc>
        <w:tc>
          <w:tcPr>
            <w:tcW w:w="0" w:type="auto"/>
            <w:gridSpan w:val="3"/>
            <w:shd w:val="clear" w:color="auto" w:fill="auto"/>
            <w:vAlign w:val="bottom"/>
          </w:tcPr>
          <w:p w14:paraId="392C511C" w14:textId="77777777" w:rsidR="00980E5F" w:rsidRDefault="00980E5F">
            <w:pPr>
              <w:rPr>
                <w:rFonts w:ascii="宋体"/>
                <w:vanish/>
              </w:rPr>
            </w:pPr>
          </w:p>
        </w:tc>
        <w:tc>
          <w:tcPr>
            <w:tcW w:w="0" w:type="auto"/>
            <w:gridSpan w:val="3"/>
            <w:shd w:val="clear" w:color="auto" w:fill="auto"/>
            <w:vAlign w:val="bottom"/>
          </w:tcPr>
          <w:p w14:paraId="392C511D" w14:textId="77777777" w:rsidR="00980E5F" w:rsidRDefault="00980E5F">
            <w:pPr>
              <w:rPr>
                <w:rFonts w:ascii="宋体"/>
                <w:vanish/>
              </w:rPr>
            </w:pPr>
          </w:p>
        </w:tc>
        <w:tc>
          <w:tcPr>
            <w:tcW w:w="0" w:type="auto"/>
            <w:gridSpan w:val="3"/>
            <w:shd w:val="clear" w:color="auto" w:fill="auto"/>
            <w:vAlign w:val="bottom"/>
          </w:tcPr>
          <w:p w14:paraId="392C511E" w14:textId="77777777" w:rsidR="00980E5F" w:rsidRDefault="00980E5F">
            <w:pPr>
              <w:rPr>
                <w:rFonts w:ascii="宋体"/>
                <w:vanish/>
              </w:rPr>
            </w:pPr>
          </w:p>
        </w:tc>
        <w:tc>
          <w:tcPr>
            <w:tcW w:w="0" w:type="auto"/>
            <w:gridSpan w:val="3"/>
            <w:shd w:val="clear" w:color="auto" w:fill="auto"/>
            <w:vAlign w:val="bottom"/>
          </w:tcPr>
          <w:p w14:paraId="392C511F" w14:textId="77777777" w:rsidR="00980E5F" w:rsidRDefault="00980E5F">
            <w:pPr>
              <w:rPr>
                <w:rFonts w:ascii="宋体"/>
                <w:vanish/>
              </w:rPr>
            </w:pPr>
          </w:p>
        </w:tc>
        <w:tc>
          <w:tcPr>
            <w:tcW w:w="0" w:type="auto"/>
            <w:gridSpan w:val="3"/>
            <w:shd w:val="clear" w:color="auto" w:fill="auto"/>
            <w:vAlign w:val="bottom"/>
          </w:tcPr>
          <w:p w14:paraId="392C5120" w14:textId="77777777" w:rsidR="00980E5F" w:rsidRDefault="00980E5F">
            <w:pPr>
              <w:rPr>
                <w:rFonts w:ascii="宋体"/>
                <w:vanish/>
              </w:rPr>
            </w:pPr>
          </w:p>
        </w:tc>
        <w:tc>
          <w:tcPr>
            <w:tcW w:w="0" w:type="auto"/>
            <w:gridSpan w:val="3"/>
            <w:shd w:val="clear" w:color="auto" w:fill="auto"/>
            <w:vAlign w:val="bottom"/>
          </w:tcPr>
          <w:p w14:paraId="392C5121" w14:textId="77777777" w:rsidR="00980E5F" w:rsidRDefault="00980E5F">
            <w:pPr>
              <w:rPr>
                <w:rFonts w:ascii="宋体"/>
                <w:vanish/>
              </w:rPr>
            </w:pPr>
          </w:p>
        </w:tc>
        <w:tc>
          <w:tcPr>
            <w:tcW w:w="0" w:type="auto"/>
            <w:gridSpan w:val="3"/>
            <w:shd w:val="clear" w:color="auto" w:fill="auto"/>
            <w:vAlign w:val="bottom"/>
          </w:tcPr>
          <w:p w14:paraId="392C5122" w14:textId="77777777" w:rsidR="00980E5F" w:rsidRDefault="00980E5F">
            <w:pPr>
              <w:rPr>
                <w:rFonts w:ascii="宋体"/>
                <w:vanish/>
              </w:rPr>
            </w:pPr>
          </w:p>
        </w:tc>
        <w:tc>
          <w:tcPr>
            <w:tcW w:w="0" w:type="auto"/>
            <w:gridSpan w:val="3"/>
            <w:shd w:val="clear" w:color="auto" w:fill="auto"/>
            <w:vAlign w:val="bottom"/>
          </w:tcPr>
          <w:p w14:paraId="392C5123" w14:textId="77777777" w:rsidR="00980E5F" w:rsidRDefault="00980E5F">
            <w:pPr>
              <w:rPr>
                <w:rFonts w:ascii="宋体"/>
                <w:vanish/>
              </w:rPr>
            </w:pPr>
          </w:p>
        </w:tc>
        <w:tc>
          <w:tcPr>
            <w:tcW w:w="0" w:type="auto"/>
            <w:gridSpan w:val="3"/>
            <w:shd w:val="clear" w:color="auto" w:fill="auto"/>
            <w:vAlign w:val="bottom"/>
          </w:tcPr>
          <w:p w14:paraId="392C5124" w14:textId="77777777" w:rsidR="00980E5F" w:rsidRDefault="00980E5F">
            <w:pPr>
              <w:rPr>
                <w:rFonts w:ascii="宋体"/>
                <w:vanish/>
              </w:rPr>
            </w:pPr>
          </w:p>
        </w:tc>
        <w:tc>
          <w:tcPr>
            <w:tcW w:w="0" w:type="auto"/>
            <w:gridSpan w:val="3"/>
            <w:shd w:val="clear" w:color="auto" w:fill="auto"/>
            <w:vAlign w:val="bottom"/>
          </w:tcPr>
          <w:p w14:paraId="392C5125" w14:textId="77777777" w:rsidR="00980E5F" w:rsidRDefault="00980E5F">
            <w:pPr>
              <w:rPr>
                <w:rFonts w:ascii="宋体"/>
                <w:vanish/>
              </w:rPr>
            </w:pPr>
          </w:p>
        </w:tc>
        <w:tc>
          <w:tcPr>
            <w:tcW w:w="0" w:type="auto"/>
            <w:gridSpan w:val="2"/>
            <w:shd w:val="clear" w:color="auto" w:fill="auto"/>
            <w:vAlign w:val="bottom"/>
          </w:tcPr>
          <w:p w14:paraId="392C5126" w14:textId="77777777" w:rsidR="00980E5F" w:rsidRDefault="00980E5F">
            <w:pPr>
              <w:rPr>
                <w:rFonts w:ascii="宋体"/>
                <w:vanish/>
              </w:rPr>
            </w:pPr>
          </w:p>
        </w:tc>
        <w:tc>
          <w:tcPr>
            <w:tcW w:w="0" w:type="auto"/>
            <w:shd w:val="clear" w:color="auto" w:fill="auto"/>
            <w:vAlign w:val="bottom"/>
          </w:tcPr>
          <w:p w14:paraId="392C5127" w14:textId="77777777" w:rsidR="00980E5F" w:rsidRDefault="00980E5F">
            <w:pPr>
              <w:rPr>
                <w:rFonts w:ascii="宋体"/>
                <w:vanish/>
              </w:rPr>
            </w:pPr>
          </w:p>
        </w:tc>
      </w:tr>
      <w:tr w:rsidR="00980E5F" w14:paraId="392C513F" w14:textId="77777777">
        <w:trPr>
          <w:hidden/>
        </w:trPr>
        <w:tc>
          <w:tcPr>
            <w:tcW w:w="0" w:type="auto"/>
            <w:gridSpan w:val="3"/>
            <w:shd w:val="clear" w:color="auto" w:fill="auto"/>
            <w:vAlign w:val="bottom"/>
          </w:tcPr>
          <w:p w14:paraId="392C5129" w14:textId="77777777" w:rsidR="00980E5F" w:rsidRDefault="00980E5F">
            <w:pPr>
              <w:rPr>
                <w:rFonts w:ascii="宋体"/>
                <w:vanish/>
              </w:rPr>
            </w:pPr>
          </w:p>
        </w:tc>
        <w:tc>
          <w:tcPr>
            <w:tcW w:w="0" w:type="auto"/>
            <w:gridSpan w:val="3"/>
            <w:shd w:val="clear" w:color="auto" w:fill="auto"/>
            <w:vAlign w:val="bottom"/>
          </w:tcPr>
          <w:p w14:paraId="392C512A" w14:textId="77777777" w:rsidR="00980E5F" w:rsidRDefault="00980E5F">
            <w:pPr>
              <w:rPr>
                <w:rFonts w:ascii="宋体"/>
                <w:vanish/>
              </w:rPr>
            </w:pPr>
          </w:p>
        </w:tc>
        <w:tc>
          <w:tcPr>
            <w:tcW w:w="0" w:type="auto"/>
            <w:gridSpan w:val="3"/>
            <w:shd w:val="clear" w:color="auto" w:fill="auto"/>
            <w:vAlign w:val="bottom"/>
          </w:tcPr>
          <w:p w14:paraId="392C512B" w14:textId="77777777" w:rsidR="00980E5F" w:rsidRDefault="00980E5F">
            <w:pPr>
              <w:rPr>
                <w:rFonts w:ascii="宋体"/>
                <w:vanish/>
              </w:rPr>
            </w:pPr>
          </w:p>
        </w:tc>
        <w:tc>
          <w:tcPr>
            <w:tcW w:w="0" w:type="auto"/>
            <w:gridSpan w:val="3"/>
            <w:shd w:val="clear" w:color="auto" w:fill="auto"/>
            <w:vAlign w:val="bottom"/>
          </w:tcPr>
          <w:p w14:paraId="392C512C" w14:textId="77777777" w:rsidR="00980E5F" w:rsidRDefault="00980E5F">
            <w:pPr>
              <w:rPr>
                <w:rFonts w:ascii="宋体"/>
                <w:vanish/>
              </w:rPr>
            </w:pPr>
          </w:p>
        </w:tc>
        <w:tc>
          <w:tcPr>
            <w:tcW w:w="0" w:type="auto"/>
            <w:gridSpan w:val="3"/>
            <w:shd w:val="clear" w:color="auto" w:fill="auto"/>
            <w:vAlign w:val="bottom"/>
          </w:tcPr>
          <w:p w14:paraId="392C512D" w14:textId="77777777" w:rsidR="00980E5F" w:rsidRDefault="00980E5F">
            <w:pPr>
              <w:rPr>
                <w:rFonts w:ascii="宋体"/>
                <w:vanish/>
              </w:rPr>
            </w:pPr>
          </w:p>
        </w:tc>
        <w:tc>
          <w:tcPr>
            <w:tcW w:w="0" w:type="auto"/>
            <w:gridSpan w:val="3"/>
            <w:shd w:val="clear" w:color="auto" w:fill="auto"/>
            <w:vAlign w:val="bottom"/>
          </w:tcPr>
          <w:p w14:paraId="392C512E" w14:textId="77777777" w:rsidR="00980E5F" w:rsidRDefault="00980E5F">
            <w:pPr>
              <w:rPr>
                <w:rFonts w:ascii="宋体"/>
                <w:vanish/>
              </w:rPr>
            </w:pPr>
          </w:p>
        </w:tc>
        <w:tc>
          <w:tcPr>
            <w:tcW w:w="0" w:type="auto"/>
            <w:gridSpan w:val="3"/>
            <w:shd w:val="clear" w:color="auto" w:fill="auto"/>
            <w:vAlign w:val="bottom"/>
          </w:tcPr>
          <w:p w14:paraId="392C512F" w14:textId="77777777" w:rsidR="00980E5F" w:rsidRDefault="00980E5F">
            <w:pPr>
              <w:rPr>
                <w:rFonts w:ascii="宋体"/>
                <w:vanish/>
              </w:rPr>
            </w:pPr>
          </w:p>
        </w:tc>
        <w:tc>
          <w:tcPr>
            <w:tcW w:w="0" w:type="auto"/>
            <w:gridSpan w:val="3"/>
            <w:shd w:val="clear" w:color="auto" w:fill="auto"/>
            <w:vAlign w:val="bottom"/>
          </w:tcPr>
          <w:p w14:paraId="392C5130" w14:textId="77777777" w:rsidR="00980E5F" w:rsidRDefault="00980E5F">
            <w:pPr>
              <w:rPr>
                <w:rFonts w:ascii="宋体"/>
                <w:vanish/>
              </w:rPr>
            </w:pPr>
          </w:p>
        </w:tc>
        <w:tc>
          <w:tcPr>
            <w:tcW w:w="0" w:type="auto"/>
            <w:shd w:val="clear" w:color="auto" w:fill="auto"/>
            <w:vAlign w:val="bottom"/>
          </w:tcPr>
          <w:p w14:paraId="392C5131" w14:textId="77777777" w:rsidR="00980E5F" w:rsidRDefault="00980E5F">
            <w:pPr>
              <w:rPr>
                <w:rFonts w:ascii="宋体"/>
                <w:vanish/>
              </w:rPr>
            </w:pPr>
          </w:p>
        </w:tc>
        <w:tc>
          <w:tcPr>
            <w:tcW w:w="0" w:type="auto"/>
            <w:shd w:val="clear" w:color="auto" w:fill="auto"/>
            <w:vAlign w:val="bottom"/>
          </w:tcPr>
          <w:p w14:paraId="392C5132" w14:textId="77777777" w:rsidR="00980E5F" w:rsidRDefault="00980E5F">
            <w:pPr>
              <w:rPr>
                <w:rFonts w:ascii="宋体"/>
                <w:vanish/>
              </w:rPr>
            </w:pPr>
          </w:p>
        </w:tc>
        <w:tc>
          <w:tcPr>
            <w:tcW w:w="0" w:type="auto"/>
            <w:gridSpan w:val="3"/>
            <w:shd w:val="clear" w:color="auto" w:fill="auto"/>
            <w:vAlign w:val="bottom"/>
          </w:tcPr>
          <w:p w14:paraId="392C5133" w14:textId="77777777" w:rsidR="00980E5F" w:rsidRDefault="00980E5F">
            <w:pPr>
              <w:rPr>
                <w:rFonts w:ascii="宋体"/>
                <w:vanish/>
              </w:rPr>
            </w:pPr>
          </w:p>
        </w:tc>
        <w:tc>
          <w:tcPr>
            <w:tcW w:w="0" w:type="auto"/>
            <w:gridSpan w:val="3"/>
            <w:shd w:val="clear" w:color="auto" w:fill="auto"/>
            <w:vAlign w:val="bottom"/>
          </w:tcPr>
          <w:p w14:paraId="392C5134" w14:textId="77777777" w:rsidR="00980E5F" w:rsidRDefault="00980E5F">
            <w:pPr>
              <w:rPr>
                <w:rFonts w:ascii="宋体"/>
                <w:vanish/>
              </w:rPr>
            </w:pPr>
          </w:p>
        </w:tc>
        <w:tc>
          <w:tcPr>
            <w:tcW w:w="0" w:type="auto"/>
            <w:gridSpan w:val="3"/>
            <w:shd w:val="clear" w:color="auto" w:fill="auto"/>
            <w:vAlign w:val="bottom"/>
          </w:tcPr>
          <w:p w14:paraId="392C5135" w14:textId="77777777" w:rsidR="00980E5F" w:rsidRDefault="00980E5F">
            <w:pPr>
              <w:rPr>
                <w:rFonts w:ascii="宋体"/>
                <w:vanish/>
              </w:rPr>
            </w:pPr>
          </w:p>
        </w:tc>
        <w:tc>
          <w:tcPr>
            <w:tcW w:w="0" w:type="auto"/>
            <w:gridSpan w:val="3"/>
            <w:shd w:val="clear" w:color="auto" w:fill="auto"/>
            <w:vAlign w:val="bottom"/>
          </w:tcPr>
          <w:p w14:paraId="392C5136" w14:textId="77777777" w:rsidR="00980E5F" w:rsidRDefault="00980E5F">
            <w:pPr>
              <w:rPr>
                <w:rFonts w:ascii="宋体"/>
                <w:vanish/>
              </w:rPr>
            </w:pPr>
          </w:p>
        </w:tc>
        <w:tc>
          <w:tcPr>
            <w:tcW w:w="0" w:type="auto"/>
            <w:gridSpan w:val="3"/>
            <w:shd w:val="clear" w:color="auto" w:fill="auto"/>
            <w:vAlign w:val="bottom"/>
          </w:tcPr>
          <w:p w14:paraId="392C5137" w14:textId="77777777" w:rsidR="00980E5F" w:rsidRDefault="00980E5F">
            <w:pPr>
              <w:rPr>
                <w:rFonts w:ascii="宋体"/>
                <w:vanish/>
              </w:rPr>
            </w:pPr>
          </w:p>
        </w:tc>
        <w:tc>
          <w:tcPr>
            <w:tcW w:w="0" w:type="auto"/>
            <w:gridSpan w:val="3"/>
            <w:shd w:val="clear" w:color="auto" w:fill="auto"/>
            <w:vAlign w:val="bottom"/>
          </w:tcPr>
          <w:p w14:paraId="392C5138" w14:textId="77777777" w:rsidR="00980E5F" w:rsidRDefault="00980E5F">
            <w:pPr>
              <w:rPr>
                <w:rFonts w:ascii="宋体"/>
                <w:vanish/>
              </w:rPr>
            </w:pPr>
          </w:p>
        </w:tc>
        <w:tc>
          <w:tcPr>
            <w:tcW w:w="0" w:type="auto"/>
            <w:gridSpan w:val="3"/>
            <w:shd w:val="clear" w:color="auto" w:fill="auto"/>
            <w:vAlign w:val="bottom"/>
          </w:tcPr>
          <w:p w14:paraId="392C5139" w14:textId="77777777" w:rsidR="00980E5F" w:rsidRDefault="00980E5F">
            <w:pPr>
              <w:rPr>
                <w:rFonts w:ascii="宋体"/>
                <w:vanish/>
              </w:rPr>
            </w:pPr>
          </w:p>
        </w:tc>
        <w:tc>
          <w:tcPr>
            <w:tcW w:w="0" w:type="auto"/>
            <w:gridSpan w:val="3"/>
            <w:shd w:val="clear" w:color="auto" w:fill="auto"/>
            <w:vAlign w:val="bottom"/>
          </w:tcPr>
          <w:p w14:paraId="392C513A" w14:textId="77777777" w:rsidR="00980E5F" w:rsidRDefault="00980E5F">
            <w:pPr>
              <w:rPr>
                <w:rFonts w:ascii="宋体"/>
                <w:vanish/>
              </w:rPr>
            </w:pPr>
          </w:p>
        </w:tc>
        <w:tc>
          <w:tcPr>
            <w:tcW w:w="0" w:type="auto"/>
            <w:gridSpan w:val="3"/>
            <w:shd w:val="clear" w:color="auto" w:fill="auto"/>
            <w:vAlign w:val="bottom"/>
          </w:tcPr>
          <w:p w14:paraId="392C513B" w14:textId="77777777" w:rsidR="00980E5F" w:rsidRDefault="00980E5F">
            <w:pPr>
              <w:rPr>
                <w:rFonts w:ascii="宋体"/>
                <w:vanish/>
              </w:rPr>
            </w:pPr>
          </w:p>
        </w:tc>
        <w:tc>
          <w:tcPr>
            <w:tcW w:w="0" w:type="auto"/>
            <w:gridSpan w:val="3"/>
            <w:shd w:val="clear" w:color="auto" w:fill="auto"/>
            <w:vAlign w:val="bottom"/>
          </w:tcPr>
          <w:p w14:paraId="392C513C" w14:textId="77777777" w:rsidR="00980E5F" w:rsidRDefault="00980E5F">
            <w:pPr>
              <w:rPr>
                <w:rFonts w:ascii="宋体"/>
                <w:vanish/>
              </w:rPr>
            </w:pPr>
          </w:p>
        </w:tc>
        <w:tc>
          <w:tcPr>
            <w:tcW w:w="0" w:type="auto"/>
            <w:gridSpan w:val="2"/>
            <w:shd w:val="clear" w:color="auto" w:fill="auto"/>
            <w:vAlign w:val="bottom"/>
          </w:tcPr>
          <w:p w14:paraId="392C513D" w14:textId="77777777" w:rsidR="00980E5F" w:rsidRDefault="00980E5F">
            <w:pPr>
              <w:rPr>
                <w:rFonts w:ascii="宋体"/>
                <w:vanish/>
              </w:rPr>
            </w:pPr>
          </w:p>
        </w:tc>
        <w:tc>
          <w:tcPr>
            <w:tcW w:w="0" w:type="auto"/>
            <w:shd w:val="clear" w:color="auto" w:fill="auto"/>
            <w:vAlign w:val="bottom"/>
          </w:tcPr>
          <w:p w14:paraId="392C513E" w14:textId="77777777" w:rsidR="00980E5F" w:rsidRDefault="00980E5F">
            <w:pPr>
              <w:rPr>
                <w:rFonts w:ascii="宋体"/>
                <w:vanish/>
              </w:rPr>
            </w:pPr>
          </w:p>
        </w:tc>
      </w:tr>
      <w:tr w:rsidR="00980E5F" w14:paraId="392C5156" w14:textId="77777777">
        <w:trPr>
          <w:hidden/>
        </w:trPr>
        <w:tc>
          <w:tcPr>
            <w:tcW w:w="0" w:type="auto"/>
            <w:gridSpan w:val="3"/>
            <w:shd w:val="clear" w:color="auto" w:fill="auto"/>
            <w:vAlign w:val="bottom"/>
          </w:tcPr>
          <w:p w14:paraId="392C5140" w14:textId="77777777" w:rsidR="00980E5F" w:rsidRDefault="00980E5F">
            <w:pPr>
              <w:rPr>
                <w:rFonts w:ascii="宋体"/>
                <w:vanish/>
              </w:rPr>
            </w:pPr>
          </w:p>
        </w:tc>
        <w:tc>
          <w:tcPr>
            <w:tcW w:w="0" w:type="auto"/>
            <w:gridSpan w:val="3"/>
            <w:shd w:val="clear" w:color="auto" w:fill="auto"/>
            <w:vAlign w:val="bottom"/>
          </w:tcPr>
          <w:p w14:paraId="392C5141" w14:textId="77777777" w:rsidR="00980E5F" w:rsidRDefault="00980E5F">
            <w:pPr>
              <w:rPr>
                <w:rFonts w:ascii="宋体"/>
                <w:vanish/>
              </w:rPr>
            </w:pPr>
          </w:p>
        </w:tc>
        <w:tc>
          <w:tcPr>
            <w:tcW w:w="0" w:type="auto"/>
            <w:gridSpan w:val="3"/>
            <w:shd w:val="clear" w:color="auto" w:fill="auto"/>
            <w:vAlign w:val="bottom"/>
          </w:tcPr>
          <w:p w14:paraId="392C5142" w14:textId="77777777" w:rsidR="00980E5F" w:rsidRDefault="00980E5F">
            <w:pPr>
              <w:rPr>
                <w:rFonts w:ascii="宋体"/>
                <w:vanish/>
              </w:rPr>
            </w:pPr>
          </w:p>
        </w:tc>
        <w:tc>
          <w:tcPr>
            <w:tcW w:w="0" w:type="auto"/>
            <w:gridSpan w:val="3"/>
            <w:shd w:val="clear" w:color="auto" w:fill="auto"/>
            <w:vAlign w:val="bottom"/>
          </w:tcPr>
          <w:p w14:paraId="392C5143" w14:textId="77777777" w:rsidR="00980E5F" w:rsidRDefault="00980E5F">
            <w:pPr>
              <w:rPr>
                <w:rFonts w:ascii="宋体"/>
                <w:vanish/>
              </w:rPr>
            </w:pPr>
          </w:p>
        </w:tc>
        <w:tc>
          <w:tcPr>
            <w:tcW w:w="0" w:type="auto"/>
            <w:gridSpan w:val="3"/>
            <w:shd w:val="clear" w:color="auto" w:fill="auto"/>
            <w:vAlign w:val="bottom"/>
          </w:tcPr>
          <w:p w14:paraId="392C5144" w14:textId="77777777" w:rsidR="00980E5F" w:rsidRDefault="00980E5F">
            <w:pPr>
              <w:rPr>
                <w:rFonts w:ascii="宋体"/>
                <w:vanish/>
              </w:rPr>
            </w:pPr>
          </w:p>
        </w:tc>
        <w:tc>
          <w:tcPr>
            <w:tcW w:w="0" w:type="auto"/>
            <w:gridSpan w:val="3"/>
            <w:shd w:val="clear" w:color="auto" w:fill="auto"/>
            <w:vAlign w:val="bottom"/>
          </w:tcPr>
          <w:p w14:paraId="392C5145" w14:textId="77777777" w:rsidR="00980E5F" w:rsidRDefault="00980E5F">
            <w:pPr>
              <w:rPr>
                <w:rFonts w:ascii="宋体"/>
                <w:vanish/>
              </w:rPr>
            </w:pPr>
          </w:p>
        </w:tc>
        <w:tc>
          <w:tcPr>
            <w:tcW w:w="0" w:type="auto"/>
            <w:gridSpan w:val="3"/>
            <w:shd w:val="clear" w:color="auto" w:fill="auto"/>
            <w:vAlign w:val="bottom"/>
          </w:tcPr>
          <w:p w14:paraId="392C5146" w14:textId="77777777" w:rsidR="00980E5F" w:rsidRDefault="00980E5F">
            <w:pPr>
              <w:rPr>
                <w:rFonts w:ascii="宋体"/>
                <w:vanish/>
              </w:rPr>
            </w:pPr>
          </w:p>
        </w:tc>
        <w:tc>
          <w:tcPr>
            <w:tcW w:w="0" w:type="auto"/>
            <w:gridSpan w:val="3"/>
            <w:shd w:val="clear" w:color="auto" w:fill="auto"/>
            <w:vAlign w:val="bottom"/>
          </w:tcPr>
          <w:p w14:paraId="392C5147" w14:textId="77777777" w:rsidR="00980E5F" w:rsidRDefault="00980E5F">
            <w:pPr>
              <w:rPr>
                <w:rFonts w:ascii="宋体"/>
                <w:vanish/>
              </w:rPr>
            </w:pPr>
          </w:p>
        </w:tc>
        <w:tc>
          <w:tcPr>
            <w:tcW w:w="0" w:type="auto"/>
            <w:shd w:val="clear" w:color="auto" w:fill="auto"/>
            <w:vAlign w:val="bottom"/>
          </w:tcPr>
          <w:p w14:paraId="392C5148" w14:textId="77777777" w:rsidR="00980E5F" w:rsidRDefault="00980E5F">
            <w:pPr>
              <w:rPr>
                <w:rFonts w:ascii="宋体"/>
                <w:vanish/>
              </w:rPr>
            </w:pPr>
          </w:p>
        </w:tc>
        <w:tc>
          <w:tcPr>
            <w:tcW w:w="0" w:type="auto"/>
            <w:shd w:val="clear" w:color="auto" w:fill="auto"/>
            <w:vAlign w:val="bottom"/>
          </w:tcPr>
          <w:p w14:paraId="392C5149" w14:textId="77777777" w:rsidR="00980E5F" w:rsidRDefault="00980E5F">
            <w:pPr>
              <w:rPr>
                <w:rFonts w:ascii="宋体"/>
                <w:vanish/>
              </w:rPr>
            </w:pPr>
          </w:p>
        </w:tc>
        <w:tc>
          <w:tcPr>
            <w:tcW w:w="0" w:type="auto"/>
            <w:gridSpan w:val="3"/>
            <w:shd w:val="clear" w:color="auto" w:fill="auto"/>
            <w:vAlign w:val="bottom"/>
          </w:tcPr>
          <w:p w14:paraId="392C514A" w14:textId="77777777" w:rsidR="00980E5F" w:rsidRDefault="00980E5F">
            <w:pPr>
              <w:rPr>
                <w:rFonts w:ascii="宋体"/>
                <w:vanish/>
              </w:rPr>
            </w:pPr>
          </w:p>
        </w:tc>
        <w:tc>
          <w:tcPr>
            <w:tcW w:w="0" w:type="auto"/>
            <w:gridSpan w:val="3"/>
            <w:shd w:val="clear" w:color="auto" w:fill="auto"/>
            <w:vAlign w:val="bottom"/>
          </w:tcPr>
          <w:p w14:paraId="392C514B" w14:textId="77777777" w:rsidR="00980E5F" w:rsidRDefault="00980E5F">
            <w:pPr>
              <w:rPr>
                <w:rFonts w:ascii="宋体"/>
                <w:vanish/>
              </w:rPr>
            </w:pPr>
          </w:p>
        </w:tc>
        <w:tc>
          <w:tcPr>
            <w:tcW w:w="0" w:type="auto"/>
            <w:gridSpan w:val="3"/>
            <w:shd w:val="clear" w:color="auto" w:fill="auto"/>
            <w:vAlign w:val="bottom"/>
          </w:tcPr>
          <w:p w14:paraId="392C514C" w14:textId="77777777" w:rsidR="00980E5F" w:rsidRDefault="00980E5F">
            <w:pPr>
              <w:rPr>
                <w:rFonts w:ascii="宋体"/>
                <w:vanish/>
              </w:rPr>
            </w:pPr>
          </w:p>
        </w:tc>
        <w:tc>
          <w:tcPr>
            <w:tcW w:w="0" w:type="auto"/>
            <w:gridSpan w:val="3"/>
            <w:shd w:val="clear" w:color="auto" w:fill="auto"/>
            <w:vAlign w:val="bottom"/>
          </w:tcPr>
          <w:p w14:paraId="392C514D" w14:textId="77777777" w:rsidR="00980E5F" w:rsidRDefault="00980E5F">
            <w:pPr>
              <w:rPr>
                <w:rFonts w:ascii="宋体"/>
                <w:vanish/>
              </w:rPr>
            </w:pPr>
          </w:p>
        </w:tc>
        <w:tc>
          <w:tcPr>
            <w:tcW w:w="0" w:type="auto"/>
            <w:gridSpan w:val="3"/>
            <w:shd w:val="clear" w:color="auto" w:fill="auto"/>
            <w:vAlign w:val="bottom"/>
          </w:tcPr>
          <w:p w14:paraId="392C514E" w14:textId="77777777" w:rsidR="00980E5F" w:rsidRDefault="00980E5F">
            <w:pPr>
              <w:rPr>
                <w:rFonts w:ascii="宋体"/>
                <w:vanish/>
              </w:rPr>
            </w:pPr>
          </w:p>
        </w:tc>
        <w:tc>
          <w:tcPr>
            <w:tcW w:w="0" w:type="auto"/>
            <w:gridSpan w:val="3"/>
            <w:shd w:val="clear" w:color="auto" w:fill="auto"/>
            <w:vAlign w:val="bottom"/>
          </w:tcPr>
          <w:p w14:paraId="392C514F" w14:textId="77777777" w:rsidR="00980E5F" w:rsidRDefault="00980E5F">
            <w:pPr>
              <w:rPr>
                <w:rFonts w:ascii="宋体"/>
                <w:vanish/>
              </w:rPr>
            </w:pPr>
          </w:p>
        </w:tc>
        <w:tc>
          <w:tcPr>
            <w:tcW w:w="0" w:type="auto"/>
            <w:gridSpan w:val="3"/>
            <w:shd w:val="clear" w:color="auto" w:fill="auto"/>
            <w:vAlign w:val="bottom"/>
          </w:tcPr>
          <w:p w14:paraId="392C5150" w14:textId="77777777" w:rsidR="00980E5F" w:rsidRDefault="00980E5F">
            <w:pPr>
              <w:rPr>
                <w:rFonts w:ascii="宋体"/>
                <w:vanish/>
              </w:rPr>
            </w:pPr>
          </w:p>
        </w:tc>
        <w:tc>
          <w:tcPr>
            <w:tcW w:w="0" w:type="auto"/>
            <w:gridSpan w:val="3"/>
            <w:shd w:val="clear" w:color="auto" w:fill="auto"/>
            <w:vAlign w:val="bottom"/>
          </w:tcPr>
          <w:p w14:paraId="392C5151" w14:textId="77777777" w:rsidR="00980E5F" w:rsidRDefault="00980E5F">
            <w:pPr>
              <w:rPr>
                <w:rFonts w:ascii="宋体"/>
                <w:vanish/>
              </w:rPr>
            </w:pPr>
          </w:p>
        </w:tc>
        <w:tc>
          <w:tcPr>
            <w:tcW w:w="0" w:type="auto"/>
            <w:gridSpan w:val="3"/>
            <w:shd w:val="clear" w:color="auto" w:fill="auto"/>
            <w:vAlign w:val="bottom"/>
          </w:tcPr>
          <w:p w14:paraId="392C5152" w14:textId="77777777" w:rsidR="00980E5F" w:rsidRDefault="00980E5F">
            <w:pPr>
              <w:rPr>
                <w:rFonts w:ascii="宋体"/>
                <w:vanish/>
              </w:rPr>
            </w:pPr>
          </w:p>
        </w:tc>
        <w:tc>
          <w:tcPr>
            <w:tcW w:w="0" w:type="auto"/>
            <w:gridSpan w:val="3"/>
            <w:shd w:val="clear" w:color="auto" w:fill="auto"/>
            <w:vAlign w:val="bottom"/>
          </w:tcPr>
          <w:p w14:paraId="392C5153" w14:textId="77777777" w:rsidR="00980E5F" w:rsidRDefault="00980E5F">
            <w:pPr>
              <w:rPr>
                <w:rFonts w:ascii="宋体"/>
                <w:vanish/>
              </w:rPr>
            </w:pPr>
          </w:p>
        </w:tc>
        <w:tc>
          <w:tcPr>
            <w:tcW w:w="0" w:type="auto"/>
            <w:gridSpan w:val="2"/>
            <w:shd w:val="clear" w:color="auto" w:fill="auto"/>
            <w:vAlign w:val="bottom"/>
          </w:tcPr>
          <w:p w14:paraId="392C5154" w14:textId="77777777" w:rsidR="00980E5F" w:rsidRDefault="00980E5F">
            <w:pPr>
              <w:rPr>
                <w:rFonts w:ascii="宋体"/>
                <w:vanish/>
              </w:rPr>
            </w:pPr>
          </w:p>
        </w:tc>
        <w:tc>
          <w:tcPr>
            <w:tcW w:w="0" w:type="auto"/>
            <w:shd w:val="clear" w:color="auto" w:fill="auto"/>
            <w:vAlign w:val="bottom"/>
          </w:tcPr>
          <w:p w14:paraId="392C5155" w14:textId="77777777" w:rsidR="00980E5F" w:rsidRDefault="00980E5F">
            <w:pPr>
              <w:rPr>
                <w:rFonts w:ascii="宋体"/>
                <w:vanish/>
              </w:rPr>
            </w:pPr>
          </w:p>
        </w:tc>
      </w:tr>
      <w:tr w:rsidR="00980E5F" w14:paraId="392C516D" w14:textId="77777777">
        <w:trPr>
          <w:hidden/>
        </w:trPr>
        <w:tc>
          <w:tcPr>
            <w:tcW w:w="0" w:type="auto"/>
            <w:gridSpan w:val="3"/>
            <w:shd w:val="clear" w:color="auto" w:fill="auto"/>
            <w:vAlign w:val="bottom"/>
          </w:tcPr>
          <w:p w14:paraId="392C5157" w14:textId="77777777" w:rsidR="00980E5F" w:rsidRDefault="00980E5F">
            <w:pPr>
              <w:rPr>
                <w:rFonts w:ascii="宋体"/>
                <w:vanish/>
              </w:rPr>
            </w:pPr>
          </w:p>
        </w:tc>
        <w:tc>
          <w:tcPr>
            <w:tcW w:w="0" w:type="auto"/>
            <w:gridSpan w:val="3"/>
            <w:shd w:val="clear" w:color="auto" w:fill="auto"/>
            <w:vAlign w:val="bottom"/>
          </w:tcPr>
          <w:p w14:paraId="392C5158" w14:textId="77777777" w:rsidR="00980E5F" w:rsidRDefault="00980E5F">
            <w:pPr>
              <w:rPr>
                <w:rFonts w:ascii="宋体"/>
                <w:vanish/>
              </w:rPr>
            </w:pPr>
          </w:p>
        </w:tc>
        <w:tc>
          <w:tcPr>
            <w:tcW w:w="0" w:type="auto"/>
            <w:gridSpan w:val="3"/>
            <w:shd w:val="clear" w:color="auto" w:fill="auto"/>
            <w:vAlign w:val="bottom"/>
          </w:tcPr>
          <w:p w14:paraId="392C5159" w14:textId="77777777" w:rsidR="00980E5F" w:rsidRDefault="00980E5F">
            <w:pPr>
              <w:rPr>
                <w:rFonts w:ascii="宋体"/>
                <w:vanish/>
              </w:rPr>
            </w:pPr>
          </w:p>
        </w:tc>
        <w:tc>
          <w:tcPr>
            <w:tcW w:w="0" w:type="auto"/>
            <w:gridSpan w:val="3"/>
            <w:shd w:val="clear" w:color="auto" w:fill="auto"/>
            <w:vAlign w:val="bottom"/>
          </w:tcPr>
          <w:p w14:paraId="392C515A" w14:textId="77777777" w:rsidR="00980E5F" w:rsidRDefault="00980E5F">
            <w:pPr>
              <w:rPr>
                <w:rFonts w:ascii="宋体"/>
                <w:vanish/>
              </w:rPr>
            </w:pPr>
          </w:p>
        </w:tc>
        <w:tc>
          <w:tcPr>
            <w:tcW w:w="0" w:type="auto"/>
            <w:gridSpan w:val="3"/>
            <w:shd w:val="clear" w:color="auto" w:fill="auto"/>
            <w:vAlign w:val="bottom"/>
          </w:tcPr>
          <w:p w14:paraId="392C515B" w14:textId="77777777" w:rsidR="00980E5F" w:rsidRDefault="00980E5F">
            <w:pPr>
              <w:rPr>
                <w:rFonts w:ascii="宋体"/>
                <w:vanish/>
              </w:rPr>
            </w:pPr>
          </w:p>
        </w:tc>
        <w:tc>
          <w:tcPr>
            <w:tcW w:w="0" w:type="auto"/>
            <w:gridSpan w:val="3"/>
            <w:shd w:val="clear" w:color="auto" w:fill="auto"/>
            <w:vAlign w:val="bottom"/>
          </w:tcPr>
          <w:p w14:paraId="392C515C" w14:textId="77777777" w:rsidR="00980E5F" w:rsidRDefault="00980E5F">
            <w:pPr>
              <w:rPr>
                <w:rFonts w:ascii="宋体"/>
                <w:vanish/>
              </w:rPr>
            </w:pPr>
          </w:p>
        </w:tc>
        <w:tc>
          <w:tcPr>
            <w:tcW w:w="0" w:type="auto"/>
            <w:gridSpan w:val="3"/>
            <w:shd w:val="clear" w:color="auto" w:fill="auto"/>
            <w:vAlign w:val="bottom"/>
          </w:tcPr>
          <w:p w14:paraId="392C515D" w14:textId="77777777" w:rsidR="00980E5F" w:rsidRDefault="00980E5F">
            <w:pPr>
              <w:rPr>
                <w:rFonts w:ascii="宋体"/>
                <w:vanish/>
              </w:rPr>
            </w:pPr>
          </w:p>
        </w:tc>
        <w:tc>
          <w:tcPr>
            <w:tcW w:w="0" w:type="auto"/>
            <w:gridSpan w:val="3"/>
            <w:shd w:val="clear" w:color="auto" w:fill="auto"/>
            <w:vAlign w:val="bottom"/>
          </w:tcPr>
          <w:p w14:paraId="392C515E" w14:textId="77777777" w:rsidR="00980E5F" w:rsidRDefault="00980E5F">
            <w:pPr>
              <w:rPr>
                <w:rFonts w:ascii="宋体"/>
                <w:vanish/>
              </w:rPr>
            </w:pPr>
          </w:p>
        </w:tc>
        <w:tc>
          <w:tcPr>
            <w:tcW w:w="0" w:type="auto"/>
            <w:shd w:val="clear" w:color="auto" w:fill="auto"/>
            <w:vAlign w:val="bottom"/>
          </w:tcPr>
          <w:p w14:paraId="392C515F" w14:textId="77777777" w:rsidR="00980E5F" w:rsidRDefault="00980E5F">
            <w:pPr>
              <w:rPr>
                <w:rFonts w:ascii="宋体"/>
                <w:vanish/>
              </w:rPr>
            </w:pPr>
          </w:p>
        </w:tc>
        <w:tc>
          <w:tcPr>
            <w:tcW w:w="0" w:type="auto"/>
            <w:shd w:val="clear" w:color="auto" w:fill="auto"/>
            <w:vAlign w:val="bottom"/>
          </w:tcPr>
          <w:p w14:paraId="392C5160" w14:textId="77777777" w:rsidR="00980E5F" w:rsidRDefault="00980E5F">
            <w:pPr>
              <w:rPr>
                <w:rFonts w:ascii="宋体"/>
                <w:vanish/>
              </w:rPr>
            </w:pPr>
          </w:p>
        </w:tc>
        <w:tc>
          <w:tcPr>
            <w:tcW w:w="0" w:type="auto"/>
            <w:gridSpan w:val="3"/>
            <w:shd w:val="clear" w:color="auto" w:fill="auto"/>
            <w:vAlign w:val="bottom"/>
          </w:tcPr>
          <w:p w14:paraId="392C5161" w14:textId="77777777" w:rsidR="00980E5F" w:rsidRDefault="00980E5F">
            <w:pPr>
              <w:rPr>
                <w:rFonts w:ascii="宋体"/>
                <w:vanish/>
              </w:rPr>
            </w:pPr>
          </w:p>
        </w:tc>
        <w:tc>
          <w:tcPr>
            <w:tcW w:w="0" w:type="auto"/>
            <w:gridSpan w:val="3"/>
            <w:shd w:val="clear" w:color="auto" w:fill="auto"/>
            <w:vAlign w:val="bottom"/>
          </w:tcPr>
          <w:p w14:paraId="392C5162" w14:textId="77777777" w:rsidR="00980E5F" w:rsidRDefault="00980E5F">
            <w:pPr>
              <w:rPr>
                <w:rFonts w:ascii="宋体"/>
                <w:vanish/>
              </w:rPr>
            </w:pPr>
          </w:p>
        </w:tc>
        <w:tc>
          <w:tcPr>
            <w:tcW w:w="0" w:type="auto"/>
            <w:gridSpan w:val="3"/>
            <w:shd w:val="clear" w:color="auto" w:fill="auto"/>
            <w:vAlign w:val="bottom"/>
          </w:tcPr>
          <w:p w14:paraId="392C5163" w14:textId="77777777" w:rsidR="00980E5F" w:rsidRDefault="00980E5F">
            <w:pPr>
              <w:rPr>
                <w:rFonts w:ascii="宋体"/>
                <w:vanish/>
              </w:rPr>
            </w:pPr>
          </w:p>
        </w:tc>
        <w:tc>
          <w:tcPr>
            <w:tcW w:w="0" w:type="auto"/>
            <w:gridSpan w:val="3"/>
            <w:shd w:val="clear" w:color="auto" w:fill="auto"/>
            <w:vAlign w:val="bottom"/>
          </w:tcPr>
          <w:p w14:paraId="392C5164" w14:textId="77777777" w:rsidR="00980E5F" w:rsidRDefault="00980E5F">
            <w:pPr>
              <w:rPr>
                <w:rFonts w:ascii="宋体"/>
                <w:vanish/>
              </w:rPr>
            </w:pPr>
          </w:p>
        </w:tc>
        <w:tc>
          <w:tcPr>
            <w:tcW w:w="0" w:type="auto"/>
            <w:gridSpan w:val="3"/>
            <w:shd w:val="clear" w:color="auto" w:fill="auto"/>
            <w:vAlign w:val="bottom"/>
          </w:tcPr>
          <w:p w14:paraId="392C5165" w14:textId="77777777" w:rsidR="00980E5F" w:rsidRDefault="00980E5F">
            <w:pPr>
              <w:rPr>
                <w:rFonts w:ascii="宋体"/>
                <w:vanish/>
              </w:rPr>
            </w:pPr>
          </w:p>
        </w:tc>
        <w:tc>
          <w:tcPr>
            <w:tcW w:w="0" w:type="auto"/>
            <w:gridSpan w:val="3"/>
            <w:shd w:val="clear" w:color="auto" w:fill="auto"/>
            <w:vAlign w:val="bottom"/>
          </w:tcPr>
          <w:p w14:paraId="392C5166" w14:textId="77777777" w:rsidR="00980E5F" w:rsidRDefault="00980E5F">
            <w:pPr>
              <w:rPr>
                <w:rFonts w:ascii="宋体"/>
                <w:vanish/>
              </w:rPr>
            </w:pPr>
          </w:p>
        </w:tc>
        <w:tc>
          <w:tcPr>
            <w:tcW w:w="0" w:type="auto"/>
            <w:gridSpan w:val="3"/>
            <w:shd w:val="clear" w:color="auto" w:fill="auto"/>
            <w:vAlign w:val="bottom"/>
          </w:tcPr>
          <w:p w14:paraId="392C5167" w14:textId="77777777" w:rsidR="00980E5F" w:rsidRDefault="00980E5F">
            <w:pPr>
              <w:rPr>
                <w:rFonts w:ascii="宋体"/>
                <w:vanish/>
              </w:rPr>
            </w:pPr>
          </w:p>
        </w:tc>
        <w:tc>
          <w:tcPr>
            <w:tcW w:w="0" w:type="auto"/>
            <w:gridSpan w:val="3"/>
            <w:shd w:val="clear" w:color="auto" w:fill="auto"/>
            <w:vAlign w:val="bottom"/>
          </w:tcPr>
          <w:p w14:paraId="392C5168" w14:textId="77777777" w:rsidR="00980E5F" w:rsidRDefault="00980E5F">
            <w:pPr>
              <w:rPr>
                <w:rFonts w:ascii="宋体"/>
                <w:vanish/>
              </w:rPr>
            </w:pPr>
          </w:p>
        </w:tc>
        <w:tc>
          <w:tcPr>
            <w:tcW w:w="0" w:type="auto"/>
            <w:gridSpan w:val="3"/>
            <w:shd w:val="clear" w:color="auto" w:fill="auto"/>
            <w:vAlign w:val="bottom"/>
          </w:tcPr>
          <w:p w14:paraId="392C5169" w14:textId="77777777" w:rsidR="00980E5F" w:rsidRDefault="00980E5F">
            <w:pPr>
              <w:rPr>
                <w:rFonts w:ascii="宋体"/>
                <w:vanish/>
              </w:rPr>
            </w:pPr>
          </w:p>
        </w:tc>
        <w:tc>
          <w:tcPr>
            <w:tcW w:w="0" w:type="auto"/>
            <w:gridSpan w:val="3"/>
            <w:shd w:val="clear" w:color="auto" w:fill="auto"/>
            <w:vAlign w:val="bottom"/>
          </w:tcPr>
          <w:p w14:paraId="392C516A" w14:textId="77777777" w:rsidR="00980E5F" w:rsidRDefault="00980E5F">
            <w:pPr>
              <w:rPr>
                <w:rFonts w:ascii="宋体"/>
                <w:vanish/>
              </w:rPr>
            </w:pPr>
          </w:p>
        </w:tc>
        <w:tc>
          <w:tcPr>
            <w:tcW w:w="0" w:type="auto"/>
            <w:gridSpan w:val="2"/>
            <w:shd w:val="clear" w:color="auto" w:fill="auto"/>
            <w:vAlign w:val="bottom"/>
          </w:tcPr>
          <w:p w14:paraId="392C516B" w14:textId="77777777" w:rsidR="00980E5F" w:rsidRDefault="00980E5F">
            <w:pPr>
              <w:rPr>
                <w:rFonts w:ascii="宋体"/>
                <w:vanish/>
              </w:rPr>
            </w:pPr>
          </w:p>
        </w:tc>
        <w:tc>
          <w:tcPr>
            <w:tcW w:w="0" w:type="auto"/>
            <w:shd w:val="clear" w:color="auto" w:fill="auto"/>
            <w:vAlign w:val="bottom"/>
          </w:tcPr>
          <w:p w14:paraId="392C516C" w14:textId="77777777" w:rsidR="00980E5F" w:rsidRDefault="00980E5F">
            <w:pPr>
              <w:rPr>
                <w:rFonts w:ascii="宋体"/>
                <w:vanish/>
              </w:rPr>
            </w:pPr>
          </w:p>
        </w:tc>
      </w:tr>
      <w:tr w:rsidR="00980E5F" w14:paraId="392C5184" w14:textId="77777777">
        <w:trPr>
          <w:hidden/>
        </w:trPr>
        <w:tc>
          <w:tcPr>
            <w:tcW w:w="0" w:type="auto"/>
            <w:gridSpan w:val="3"/>
            <w:shd w:val="clear" w:color="auto" w:fill="auto"/>
            <w:vAlign w:val="bottom"/>
          </w:tcPr>
          <w:p w14:paraId="392C516E" w14:textId="77777777" w:rsidR="00980E5F" w:rsidRDefault="00980E5F">
            <w:pPr>
              <w:rPr>
                <w:rFonts w:ascii="宋体"/>
                <w:vanish/>
              </w:rPr>
            </w:pPr>
          </w:p>
        </w:tc>
        <w:tc>
          <w:tcPr>
            <w:tcW w:w="0" w:type="auto"/>
            <w:gridSpan w:val="3"/>
            <w:shd w:val="clear" w:color="auto" w:fill="auto"/>
            <w:vAlign w:val="bottom"/>
          </w:tcPr>
          <w:p w14:paraId="392C516F" w14:textId="77777777" w:rsidR="00980E5F" w:rsidRDefault="00980E5F">
            <w:pPr>
              <w:rPr>
                <w:rFonts w:ascii="宋体"/>
                <w:vanish/>
              </w:rPr>
            </w:pPr>
          </w:p>
        </w:tc>
        <w:tc>
          <w:tcPr>
            <w:tcW w:w="0" w:type="auto"/>
            <w:gridSpan w:val="3"/>
            <w:shd w:val="clear" w:color="auto" w:fill="auto"/>
            <w:vAlign w:val="bottom"/>
          </w:tcPr>
          <w:p w14:paraId="392C5170" w14:textId="77777777" w:rsidR="00980E5F" w:rsidRDefault="00980E5F">
            <w:pPr>
              <w:rPr>
                <w:rFonts w:ascii="宋体"/>
                <w:vanish/>
              </w:rPr>
            </w:pPr>
          </w:p>
        </w:tc>
        <w:tc>
          <w:tcPr>
            <w:tcW w:w="0" w:type="auto"/>
            <w:gridSpan w:val="3"/>
            <w:shd w:val="clear" w:color="auto" w:fill="auto"/>
            <w:vAlign w:val="bottom"/>
          </w:tcPr>
          <w:p w14:paraId="392C5171" w14:textId="77777777" w:rsidR="00980E5F" w:rsidRDefault="00980E5F">
            <w:pPr>
              <w:rPr>
                <w:rFonts w:ascii="宋体"/>
                <w:vanish/>
              </w:rPr>
            </w:pPr>
          </w:p>
        </w:tc>
        <w:tc>
          <w:tcPr>
            <w:tcW w:w="0" w:type="auto"/>
            <w:gridSpan w:val="3"/>
            <w:shd w:val="clear" w:color="auto" w:fill="auto"/>
            <w:vAlign w:val="bottom"/>
          </w:tcPr>
          <w:p w14:paraId="392C5172" w14:textId="77777777" w:rsidR="00980E5F" w:rsidRDefault="00980E5F">
            <w:pPr>
              <w:rPr>
                <w:rFonts w:ascii="宋体"/>
                <w:vanish/>
              </w:rPr>
            </w:pPr>
          </w:p>
        </w:tc>
        <w:tc>
          <w:tcPr>
            <w:tcW w:w="0" w:type="auto"/>
            <w:gridSpan w:val="3"/>
            <w:shd w:val="clear" w:color="auto" w:fill="auto"/>
            <w:vAlign w:val="bottom"/>
          </w:tcPr>
          <w:p w14:paraId="392C5173" w14:textId="77777777" w:rsidR="00980E5F" w:rsidRDefault="00980E5F">
            <w:pPr>
              <w:rPr>
                <w:rFonts w:ascii="宋体"/>
                <w:vanish/>
              </w:rPr>
            </w:pPr>
          </w:p>
        </w:tc>
        <w:tc>
          <w:tcPr>
            <w:tcW w:w="0" w:type="auto"/>
            <w:gridSpan w:val="3"/>
            <w:shd w:val="clear" w:color="auto" w:fill="auto"/>
            <w:vAlign w:val="bottom"/>
          </w:tcPr>
          <w:p w14:paraId="392C5174" w14:textId="77777777" w:rsidR="00980E5F" w:rsidRDefault="00980E5F">
            <w:pPr>
              <w:rPr>
                <w:rFonts w:ascii="宋体"/>
                <w:vanish/>
              </w:rPr>
            </w:pPr>
          </w:p>
        </w:tc>
        <w:tc>
          <w:tcPr>
            <w:tcW w:w="0" w:type="auto"/>
            <w:gridSpan w:val="3"/>
            <w:shd w:val="clear" w:color="auto" w:fill="auto"/>
            <w:vAlign w:val="bottom"/>
          </w:tcPr>
          <w:p w14:paraId="392C5175" w14:textId="77777777" w:rsidR="00980E5F" w:rsidRDefault="00980E5F">
            <w:pPr>
              <w:rPr>
                <w:rFonts w:ascii="宋体"/>
                <w:vanish/>
              </w:rPr>
            </w:pPr>
          </w:p>
        </w:tc>
        <w:tc>
          <w:tcPr>
            <w:tcW w:w="0" w:type="auto"/>
            <w:shd w:val="clear" w:color="auto" w:fill="auto"/>
            <w:vAlign w:val="bottom"/>
          </w:tcPr>
          <w:p w14:paraId="392C5176" w14:textId="77777777" w:rsidR="00980E5F" w:rsidRDefault="00980E5F">
            <w:pPr>
              <w:rPr>
                <w:rFonts w:ascii="宋体"/>
                <w:vanish/>
              </w:rPr>
            </w:pPr>
          </w:p>
        </w:tc>
        <w:tc>
          <w:tcPr>
            <w:tcW w:w="0" w:type="auto"/>
            <w:shd w:val="clear" w:color="auto" w:fill="auto"/>
            <w:vAlign w:val="bottom"/>
          </w:tcPr>
          <w:p w14:paraId="392C5177" w14:textId="77777777" w:rsidR="00980E5F" w:rsidRDefault="00980E5F">
            <w:pPr>
              <w:rPr>
                <w:rFonts w:ascii="宋体"/>
                <w:vanish/>
              </w:rPr>
            </w:pPr>
          </w:p>
        </w:tc>
        <w:tc>
          <w:tcPr>
            <w:tcW w:w="0" w:type="auto"/>
            <w:gridSpan w:val="3"/>
            <w:shd w:val="clear" w:color="auto" w:fill="auto"/>
            <w:vAlign w:val="bottom"/>
          </w:tcPr>
          <w:p w14:paraId="392C5178" w14:textId="77777777" w:rsidR="00980E5F" w:rsidRDefault="00980E5F">
            <w:pPr>
              <w:rPr>
                <w:rFonts w:ascii="宋体"/>
                <w:vanish/>
              </w:rPr>
            </w:pPr>
          </w:p>
        </w:tc>
        <w:tc>
          <w:tcPr>
            <w:tcW w:w="0" w:type="auto"/>
            <w:gridSpan w:val="3"/>
            <w:shd w:val="clear" w:color="auto" w:fill="auto"/>
            <w:vAlign w:val="bottom"/>
          </w:tcPr>
          <w:p w14:paraId="392C5179" w14:textId="77777777" w:rsidR="00980E5F" w:rsidRDefault="00980E5F">
            <w:pPr>
              <w:rPr>
                <w:rFonts w:ascii="宋体"/>
                <w:vanish/>
              </w:rPr>
            </w:pPr>
          </w:p>
        </w:tc>
        <w:tc>
          <w:tcPr>
            <w:tcW w:w="0" w:type="auto"/>
            <w:gridSpan w:val="3"/>
            <w:shd w:val="clear" w:color="auto" w:fill="auto"/>
            <w:vAlign w:val="bottom"/>
          </w:tcPr>
          <w:p w14:paraId="392C517A" w14:textId="77777777" w:rsidR="00980E5F" w:rsidRDefault="00980E5F">
            <w:pPr>
              <w:rPr>
                <w:rFonts w:ascii="宋体"/>
                <w:vanish/>
              </w:rPr>
            </w:pPr>
          </w:p>
        </w:tc>
        <w:tc>
          <w:tcPr>
            <w:tcW w:w="0" w:type="auto"/>
            <w:gridSpan w:val="3"/>
            <w:shd w:val="clear" w:color="auto" w:fill="auto"/>
            <w:vAlign w:val="bottom"/>
          </w:tcPr>
          <w:p w14:paraId="392C517B" w14:textId="77777777" w:rsidR="00980E5F" w:rsidRDefault="00980E5F">
            <w:pPr>
              <w:rPr>
                <w:rFonts w:ascii="宋体"/>
                <w:vanish/>
              </w:rPr>
            </w:pPr>
          </w:p>
        </w:tc>
        <w:tc>
          <w:tcPr>
            <w:tcW w:w="0" w:type="auto"/>
            <w:gridSpan w:val="3"/>
            <w:shd w:val="clear" w:color="auto" w:fill="auto"/>
            <w:vAlign w:val="bottom"/>
          </w:tcPr>
          <w:p w14:paraId="392C517C" w14:textId="77777777" w:rsidR="00980E5F" w:rsidRDefault="00980E5F">
            <w:pPr>
              <w:rPr>
                <w:rFonts w:ascii="宋体"/>
                <w:vanish/>
              </w:rPr>
            </w:pPr>
          </w:p>
        </w:tc>
        <w:tc>
          <w:tcPr>
            <w:tcW w:w="0" w:type="auto"/>
            <w:gridSpan w:val="3"/>
            <w:shd w:val="clear" w:color="auto" w:fill="auto"/>
            <w:vAlign w:val="bottom"/>
          </w:tcPr>
          <w:p w14:paraId="392C517D" w14:textId="77777777" w:rsidR="00980E5F" w:rsidRDefault="00980E5F">
            <w:pPr>
              <w:rPr>
                <w:rFonts w:ascii="宋体"/>
                <w:vanish/>
              </w:rPr>
            </w:pPr>
          </w:p>
        </w:tc>
        <w:tc>
          <w:tcPr>
            <w:tcW w:w="0" w:type="auto"/>
            <w:gridSpan w:val="3"/>
            <w:shd w:val="clear" w:color="auto" w:fill="auto"/>
            <w:vAlign w:val="bottom"/>
          </w:tcPr>
          <w:p w14:paraId="392C517E" w14:textId="77777777" w:rsidR="00980E5F" w:rsidRDefault="00980E5F">
            <w:pPr>
              <w:rPr>
                <w:rFonts w:ascii="宋体"/>
                <w:vanish/>
              </w:rPr>
            </w:pPr>
          </w:p>
        </w:tc>
        <w:tc>
          <w:tcPr>
            <w:tcW w:w="0" w:type="auto"/>
            <w:gridSpan w:val="3"/>
            <w:shd w:val="clear" w:color="auto" w:fill="auto"/>
            <w:vAlign w:val="bottom"/>
          </w:tcPr>
          <w:p w14:paraId="392C517F" w14:textId="77777777" w:rsidR="00980E5F" w:rsidRDefault="00980E5F">
            <w:pPr>
              <w:rPr>
                <w:rFonts w:ascii="宋体"/>
                <w:vanish/>
              </w:rPr>
            </w:pPr>
          </w:p>
        </w:tc>
        <w:tc>
          <w:tcPr>
            <w:tcW w:w="0" w:type="auto"/>
            <w:gridSpan w:val="3"/>
            <w:shd w:val="clear" w:color="auto" w:fill="auto"/>
            <w:vAlign w:val="bottom"/>
          </w:tcPr>
          <w:p w14:paraId="392C5180" w14:textId="77777777" w:rsidR="00980E5F" w:rsidRDefault="00980E5F">
            <w:pPr>
              <w:rPr>
                <w:rFonts w:ascii="宋体"/>
                <w:vanish/>
              </w:rPr>
            </w:pPr>
          </w:p>
        </w:tc>
        <w:tc>
          <w:tcPr>
            <w:tcW w:w="0" w:type="auto"/>
            <w:gridSpan w:val="3"/>
            <w:shd w:val="clear" w:color="auto" w:fill="auto"/>
            <w:vAlign w:val="bottom"/>
          </w:tcPr>
          <w:p w14:paraId="392C5181" w14:textId="77777777" w:rsidR="00980E5F" w:rsidRDefault="00980E5F">
            <w:pPr>
              <w:rPr>
                <w:rFonts w:ascii="宋体"/>
                <w:vanish/>
              </w:rPr>
            </w:pPr>
          </w:p>
        </w:tc>
        <w:tc>
          <w:tcPr>
            <w:tcW w:w="0" w:type="auto"/>
            <w:gridSpan w:val="2"/>
            <w:shd w:val="clear" w:color="auto" w:fill="auto"/>
            <w:vAlign w:val="bottom"/>
          </w:tcPr>
          <w:p w14:paraId="392C5182" w14:textId="77777777" w:rsidR="00980E5F" w:rsidRDefault="00980E5F">
            <w:pPr>
              <w:rPr>
                <w:rFonts w:ascii="宋体"/>
                <w:vanish/>
              </w:rPr>
            </w:pPr>
          </w:p>
        </w:tc>
        <w:tc>
          <w:tcPr>
            <w:tcW w:w="0" w:type="auto"/>
            <w:shd w:val="clear" w:color="auto" w:fill="auto"/>
            <w:vAlign w:val="bottom"/>
          </w:tcPr>
          <w:p w14:paraId="392C5183" w14:textId="77777777" w:rsidR="00980E5F" w:rsidRDefault="00980E5F">
            <w:pPr>
              <w:rPr>
                <w:rFonts w:ascii="宋体"/>
                <w:vanish/>
              </w:rPr>
            </w:pPr>
          </w:p>
        </w:tc>
      </w:tr>
      <w:tr w:rsidR="00980E5F" w14:paraId="392C519B" w14:textId="77777777">
        <w:trPr>
          <w:hidden/>
        </w:trPr>
        <w:tc>
          <w:tcPr>
            <w:tcW w:w="0" w:type="auto"/>
            <w:gridSpan w:val="3"/>
            <w:shd w:val="clear" w:color="auto" w:fill="auto"/>
            <w:vAlign w:val="bottom"/>
          </w:tcPr>
          <w:p w14:paraId="392C5185" w14:textId="77777777" w:rsidR="00980E5F" w:rsidRDefault="00980E5F">
            <w:pPr>
              <w:rPr>
                <w:rFonts w:ascii="宋体"/>
                <w:vanish/>
              </w:rPr>
            </w:pPr>
          </w:p>
        </w:tc>
        <w:tc>
          <w:tcPr>
            <w:tcW w:w="0" w:type="auto"/>
            <w:gridSpan w:val="3"/>
            <w:shd w:val="clear" w:color="auto" w:fill="auto"/>
            <w:vAlign w:val="bottom"/>
          </w:tcPr>
          <w:p w14:paraId="392C5186" w14:textId="77777777" w:rsidR="00980E5F" w:rsidRDefault="00980E5F">
            <w:pPr>
              <w:rPr>
                <w:rFonts w:ascii="宋体"/>
                <w:vanish/>
              </w:rPr>
            </w:pPr>
          </w:p>
        </w:tc>
        <w:tc>
          <w:tcPr>
            <w:tcW w:w="0" w:type="auto"/>
            <w:gridSpan w:val="3"/>
            <w:shd w:val="clear" w:color="auto" w:fill="auto"/>
            <w:vAlign w:val="bottom"/>
          </w:tcPr>
          <w:p w14:paraId="392C5187" w14:textId="77777777" w:rsidR="00980E5F" w:rsidRDefault="00980E5F">
            <w:pPr>
              <w:rPr>
                <w:rFonts w:ascii="宋体"/>
                <w:vanish/>
              </w:rPr>
            </w:pPr>
          </w:p>
        </w:tc>
        <w:tc>
          <w:tcPr>
            <w:tcW w:w="0" w:type="auto"/>
            <w:gridSpan w:val="3"/>
            <w:shd w:val="clear" w:color="auto" w:fill="auto"/>
            <w:vAlign w:val="bottom"/>
          </w:tcPr>
          <w:p w14:paraId="392C5188" w14:textId="77777777" w:rsidR="00980E5F" w:rsidRDefault="00980E5F">
            <w:pPr>
              <w:rPr>
                <w:rFonts w:ascii="宋体"/>
                <w:vanish/>
              </w:rPr>
            </w:pPr>
          </w:p>
        </w:tc>
        <w:tc>
          <w:tcPr>
            <w:tcW w:w="0" w:type="auto"/>
            <w:gridSpan w:val="3"/>
            <w:shd w:val="clear" w:color="auto" w:fill="auto"/>
            <w:vAlign w:val="bottom"/>
          </w:tcPr>
          <w:p w14:paraId="392C5189" w14:textId="77777777" w:rsidR="00980E5F" w:rsidRDefault="00980E5F">
            <w:pPr>
              <w:rPr>
                <w:rFonts w:ascii="宋体"/>
                <w:vanish/>
              </w:rPr>
            </w:pPr>
          </w:p>
        </w:tc>
        <w:tc>
          <w:tcPr>
            <w:tcW w:w="0" w:type="auto"/>
            <w:gridSpan w:val="3"/>
            <w:shd w:val="clear" w:color="auto" w:fill="auto"/>
            <w:vAlign w:val="bottom"/>
          </w:tcPr>
          <w:p w14:paraId="392C518A" w14:textId="77777777" w:rsidR="00980E5F" w:rsidRDefault="00980E5F">
            <w:pPr>
              <w:rPr>
                <w:rFonts w:ascii="宋体"/>
                <w:vanish/>
              </w:rPr>
            </w:pPr>
          </w:p>
        </w:tc>
        <w:tc>
          <w:tcPr>
            <w:tcW w:w="0" w:type="auto"/>
            <w:gridSpan w:val="3"/>
            <w:shd w:val="clear" w:color="auto" w:fill="auto"/>
            <w:vAlign w:val="bottom"/>
          </w:tcPr>
          <w:p w14:paraId="392C518B" w14:textId="77777777" w:rsidR="00980E5F" w:rsidRDefault="00980E5F">
            <w:pPr>
              <w:rPr>
                <w:rFonts w:ascii="宋体"/>
                <w:vanish/>
              </w:rPr>
            </w:pPr>
          </w:p>
        </w:tc>
        <w:tc>
          <w:tcPr>
            <w:tcW w:w="0" w:type="auto"/>
            <w:gridSpan w:val="3"/>
            <w:shd w:val="clear" w:color="auto" w:fill="auto"/>
            <w:vAlign w:val="bottom"/>
          </w:tcPr>
          <w:p w14:paraId="392C518C" w14:textId="77777777" w:rsidR="00980E5F" w:rsidRDefault="00980E5F">
            <w:pPr>
              <w:rPr>
                <w:rFonts w:ascii="宋体"/>
                <w:vanish/>
              </w:rPr>
            </w:pPr>
          </w:p>
        </w:tc>
        <w:tc>
          <w:tcPr>
            <w:tcW w:w="0" w:type="auto"/>
            <w:shd w:val="clear" w:color="auto" w:fill="auto"/>
            <w:vAlign w:val="bottom"/>
          </w:tcPr>
          <w:p w14:paraId="392C518D" w14:textId="77777777" w:rsidR="00980E5F" w:rsidRDefault="00980E5F">
            <w:pPr>
              <w:rPr>
                <w:rFonts w:ascii="宋体"/>
                <w:vanish/>
              </w:rPr>
            </w:pPr>
          </w:p>
        </w:tc>
        <w:tc>
          <w:tcPr>
            <w:tcW w:w="0" w:type="auto"/>
            <w:shd w:val="clear" w:color="auto" w:fill="auto"/>
            <w:vAlign w:val="bottom"/>
          </w:tcPr>
          <w:p w14:paraId="392C518E" w14:textId="77777777" w:rsidR="00980E5F" w:rsidRDefault="00980E5F">
            <w:pPr>
              <w:rPr>
                <w:rFonts w:ascii="宋体"/>
                <w:vanish/>
              </w:rPr>
            </w:pPr>
          </w:p>
        </w:tc>
        <w:tc>
          <w:tcPr>
            <w:tcW w:w="0" w:type="auto"/>
            <w:gridSpan w:val="3"/>
            <w:shd w:val="clear" w:color="auto" w:fill="auto"/>
            <w:vAlign w:val="bottom"/>
          </w:tcPr>
          <w:p w14:paraId="392C518F" w14:textId="77777777" w:rsidR="00980E5F" w:rsidRDefault="00980E5F">
            <w:pPr>
              <w:rPr>
                <w:rFonts w:ascii="宋体"/>
                <w:vanish/>
              </w:rPr>
            </w:pPr>
          </w:p>
        </w:tc>
        <w:tc>
          <w:tcPr>
            <w:tcW w:w="0" w:type="auto"/>
            <w:gridSpan w:val="3"/>
            <w:shd w:val="clear" w:color="auto" w:fill="auto"/>
            <w:vAlign w:val="bottom"/>
          </w:tcPr>
          <w:p w14:paraId="392C5190" w14:textId="77777777" w:rsidR="00980E5F" w:rsidRDefault="00980E5F">
            <w:pPr>
              <w:rPr>
                <w:rFonts w:ascii="宋体"/>
                <w:vanish/>
              </w:rPr>
            </w:pPr>
          </w:p>
        </w:tc>
        <w:tc>
          <w:tcPr>
            <w:tcW w:w="0" w:type="auto"/>
            <w:gridSpan w:val="3"/>
            <w:shd w:val="clear" w:color="auto" w:fill="auto"/>
            <w:vAlign w:val="bottom"/>
          </w:tcPr>
          <w:p w14:paraId="392C5191" w14:textId="77777777" w:rsidR="00980E5F" w:rsidRDefault="00980E5F">
            <w:pPr>
              <w:rPr>
                <w:rFonts w:ascii="宋体"/>
                <w:vanish/>
              </w:rPr>
            </w:pPr>
          </w:p>
        </w:tc>
        <w:tc>
          <w:tcPr>
            <w:tcW w:w="0" w:type="auto"/>
            <w:gridSpan w:val="3"/>
            <w:shd w:val="clear" w:color="auto" w:fill="auto"/>
            <w:vAlign w:val="bottom"/>
          </w:tcPr>
          <w:p w14:paraId="392C5192" w14:textId="77777777" w:rsidR="00980E5F" w:rsidRDefault="00980E5F">
            <w:pPr>
              <w:rPr>
                <w:rFonts w:ascii="宋体"/>
                <w:vanish/>
              </w:rPr>
            </w:pPr>
          </w:p>
        </w:tc>
        <w:tc>
          <w:tcPr>
            <w:tcW w:w="0" w:type="auto"/>
            <w:gridSpan w:val="3"/>
            <w:shd w:val="clear" w:color="auto" w:fill="auto"/>
            <w:vAlign w:val="bottom"/>
          </w:tcPr>
          <w:p w14:paraId="392C5193" w14:textId="77777777" w:rsidR="00980E5F" w:rsidRDefault="00980E5F">
            <w:pPr>
              <w:rPr>
                <w:rFonts w:ascii="宋体"/>
                <w:vanish/>
              </w:rPr>
            </w:pPr>
          </w:p>
        </w:tc>
        <w:tc>
          <w:tcPr>
            <w:tcW w:w="0" w:type="auto"/>
            <w:gridSpan w:val="3"/>
            <w:shd w:val="clear" w:color="auto" w:fill="auto"/>
            <w:vAlign w:val="bottom"/>
          </w:tcPr>
          <w:p w14:paraId="392C5194" w14:textId="77777777" w:rsidR="00980E5F" w:rsidRDefault="00980E5F">
            <w:pPr>
              <w:rPr>
                <w:rFonts w:ascii="宋体"/>
                <w:vanish/>
              </w:rPr>
            </w:pPr>
          </w:p>
        </w:tc>
        <w:tc>
          <w:tcPr>
            <w:tcW w:w="0" w:type="auto"/>
            <w:gridSpan w:val="3"/>
            <w:shd w:val="clear" w:color="auto" w:fill="auto"/>
            <w:vAlign w:val="bottom"/>
          </w:tcPr>
          <w:p w14:paraId="392C5195" w14:textId="77777777" w:rsidR="00980E5F" w:rsidRDefault="00980E5F">
            <w:pPr>
              <w:rPr>
                <w:rFonts w:ascii="宋体"/>
                <w:vanish/>
              </w:rPr>
            </w:pPr>
          </w:p>
        </w:tc>
        <w:tc>
          <w:tcPr>
            <w:tcW w:w="0" w:type="auto"/>
            <w:gridSpan w:val="3"/>
            <w:shd w:val="clear" w:color="auto" w:fill="auto"/>
            <w:vAlign w:val="bottom"/>
          </w:tcPr>
          <w:p w14:paraId="392C5196" w14:textId="77777777" w:rsidR="00980E5F" w:rsidRDefault="00980E5F">
            <w:pPr>
              <w:rPr>
                <w:rFonts w:ascii="宋体"/>
                <w:vanish/>
              </w:rPr>
            </w:pPr>
          </w:p>
        </w:tc>
        <w:tc>
          <w:tcPr>
            <w:tcW w:w="0" w:type="auto"/>
            <w:gridSpan w:val="3"/>
            <w:shd w:val="clear" w:color="auto" w:fill="auto"/>
            <w:vAlign w:val="bottom"/>
          </w:tcPr>
          <w:p w14:paraId="392C5197" w14:textId="77777777" w:rsidR="00980E5F" w:rsidRDefault="00980E5F">
            <w:pPr>
              <w:rPr>
                <w:rFonts w:ascii="宋体"/>
                <w:vanish/>
              </w:rPr>
            </w:pPr>
          </w:p>
        </w:tc>
        <w:tc>
          <w:tcPr>
            <w:tcW w:w="0" w:type="auto"/>
            <w:gridSpan w:val="3"/>
            <w:shd w:val="clear" w:color="auto" w:fill="auto"/>
            <w:vAlign w:val="bottom"/>
          </w:tcPr>
          <w:p w14:paraId="392C5198" w14:textId="77777777" w:rsidR="00980E5F" w:rsidRDefault="00980E5F">
            <w:pPr>
              <w:rPr>
                <w:rFonts w:ascii="宋体"/>
                <w:vanish/>
              </w:rPr>
            </w:pPr>
          </w:p>
        </w:tc>
        <w:tc>
          <w:tcPr>
            <w:tcW w:w="0" w:type="auto"/>
            <w:gridSpan w:val="2"/>
            <w:shd w:val="clear" w:color="auto" w:fill="auto"/>
            <w:vAlign w:val="bottom"/>
          </w:tcPr>
          <w:p w14:paraId="392C5199" w14:textId="77777777" w:rsidR="00980E5F" w:rsidRDefault="00980E5F">
            <w:pPr>
              <w:rPr>
                <w:rFonts w:ascii="宋体"/>
                <w:vanish/>
              </w:rPr>
            </w:pPr>
          </w:p>
        </w:tc>
        <w:tc>
          <w:tcPr>
            <w:tcW w:w="0" w:type="auto"/>
            <w:shd w:val="clear" w:color="auto" w:fill="auto"/>
            <w:vAlign w:val="bottom"/>
          </w:tcPr>
          <w:p w14:paraId="392C519A" w14:textId="77777777" w:rsidR="00980E5F" w:rsidRDefault="00980E5F">
            <w:pPr>
              <w:rPr>
                <w:rFonts w:ascii="宋体"/>
                <w:vanish/>
              </w:rPr>
            </w:pPr>
          </w:p>
        </w:tc>
      </w:tr>
      <w:tr w:rsidR="00980E5F" w14:paraId="392C51B2" w14:textId="77777777">
        <w:trPr>
          <w:hidden/>
        </w:trPr>
        <w:tc>
          <w:tcPr>
            <w:tcW w:w="0" w:type="auto"/>
            <w:gridSpan w:val="3"/>
            <w:shd w:val="clear" w:color="auto" w:fill="auto"/>
            <w:vAlign w:val="bottom"/>
          </w:tcPr>
          <w:p w14:paraId="392C519C" w14:textId="77777777" w:rsidR="00980E5F" w:rsidRDefault="00980E5F">
            <w:pPr>
              <w:rPr>
                <w:rFonts w:ascii="宋体"/>
                <w:vanish/>
              </w:rPr>
            </w:pPr>
          </w:p>
        </w:tc>
        <w:tc>
          <w:tcPr>
            <w:tcW w:w="0" w:type="auto"/>
            <w:gridSpan w:val="3"/>
            <w:shd w:val="clear" w:color="auto" w:fill="auto"/>
            <w:vAlign w:val="bottom"/>
          </w:tcPr>
          <w:p w14:paraId="392C519D" w14:textId="77777777" w:rsidR="00980E5F" w:rsidRDefault="00980E5F">
            <w:pPr>
              <w:rPr>
                <w:rFonts w:ascii="宋体"/>
                <w:vanish/>
              </w:rPr>
            </w:pPr>
          </w:p>
        </w:tc>
        <w:tc>
          <w:tcPr>
            <w:tcW w:w="0" w:type="auto"/>
            <w:gridSpan w:val="3"/>
            <w:shd w:val="clear" w:color="auto" w:fill="auto"/>
            <w:vAlign w:val="bottom"/>
          </w:tcPr>
          <w:p w14:paraId="392C519E" w14:textId="77777777" w:rsidR="00980E5F" w:rsidRDefault="00980E5F">
            <w:pPr>
              <w:rPr>
                <w:rFonts w:ascii="宋体"/>
                <w:vanish/>
              </w:rPr>
            </w:pPr>
          </w:p>
        </w:tc>
        <w:tc>
          <w:tcPr>
            <w:tcW w:w="0" w:type="auto"/>
            <w:gridSpan w:val="3"/>
            <w:shd w:val="clear" w:color="auto" w:fill="auto"/>
            <w:vAlign w:val="bottom"/>
          </w:tcPr>
          <w:p w14:paraId="392C519F" w14:textId="77777777" w:rsidR="00980E5F" w:rsidRDefault="00980E5F">
            <w:pPr>
              <w:rPr>
                <w:rFonts w:ascii="宋体"/>
                <w:vanish/>
              </w:rPr>
            </w:pPr>
          </w:p>
        </w:tc>
        <w:tc>
          <w:tcPr>
            <w:tcW w:w="0" w:type="auto"/>
            <w:gridSpan w:val="3"/>
            <w:shd w:val="clear" w:color="auto" w:fill="auto"/>
            <w:vAlign w:val="bottom"/>
          </w:tcPr>
          <w:p w14:paraId="392C51A0" w14:textId="77777777" w:rsidR="00980E5F" w:rsidRDefault="00980E5F">
            <w:pPr>
              <w:rPr>
                <w:rFonts w:ascii="宋体"/>
                <w:vanish/>
              </w:rPr>
            </w:pPr>
          </w:p>
        </w:tc>
        <w:tc>
          <w:tcPr>
            <w:tcW w:w="0" w:type="auto"/>
            <w:gridSpan w:val="3"/>
            <w:shd w:val="clear" w:color="auto" w:fill="auto"/>
            <w:vAlign w:val="bottom"/>
          </w:tcPr>
          <w:p w14:paraId="392C51A1" w14:textId="77777777" w:rsidR="00980E5F" w:rsidRDefault="00980E5F">
            <w:pPr>
              <w:rPr>
                <w:rFonts w:ascii="宋体"/>
                <w:vanish/>
              </w:rPr>
            </w:pPr>
          </w:p>
        </w:tc>
        <w:tc>
          <w:tcPr>
            <w:tcW w:w="0" w:type="auto"/>
            <w:gridSpan w:val="3"/>
            <w:shd w:val="clear" w:color="auto" w:fill="auto"/>
            <w:vAlign w:val="bottom"/>
          </w:tcPr>
          <w:p w14:paraId="392C51A2" w14:textId="77777777" w:rsidR="00980E5F" w:rsidRDefault="00980E5F">
            <w:pPr>
              <w:rPr>
                <w:rFonts w:ascii="宋体"/>
                <w:vanish/>
              </w:rPr>
            </w:pPr>
          </w:p>
        </w:tc>
        <w:tc>
          <w:tcPr>
            <w:tcW w:w="0" w:type="auto"/>
            <w:gridSpan w:val="3"/>
            <w:shd w:val="clear" w:color="auto" w:fill="auto"/>
            <w:vAlign w:val="bottom"/>
          </w:tcPr>
          <w:p w14:paraId="392C51A3" w14:textId="77777777" w:rsidR="00980E5F" w:rsidRDefault="00980E5F">
            <w:pPr>
              <w:rPr>
                <w:rFonts w:ascii="宋体"/>
                <w:vanish/>
              </w:rPr>
            </w:pPr>
          </w:p>
        </w:tc>
        <w:tc>
          <w:tcPr>
            <w:tcW w:w="0" w:type="auto"/>
            <w:shd w:val="clear" w:color="auto" w:fill="auto"/>
            <w:vAlign w:val="bottom"/>
          </w:tcPr>
          <w:p w14:paraId="392C51A4" w14:textId="77777777" w:rsidR="00980E5F" w:rsidRDefault="00980E5F">
            <w:pPr>
              <w:rPr>
                <w:rFonts w:ascii="宋体"/>
                <w:vanish/>
              </w:rPr>
            </w:pPr>
          </w:p>
        </w:tc>
        <w:tc>
          <w:tcPr>
            <w:tcW w:w="0" w:type="auto"/>
            <w:shd w:val="clear" w:color="auto" w:fill="auto"/>
            <w:vAlign w:val="bottom"/>
          </w:tcPr>
          <w:p w14:paraId="392C51A5" w14:textId="77777777" w:rsidR="00980E5F" w:rsidRDefault="00980E5F">
            <w:pPr>
              <w:rPr>
                <w:rFonts w:ascii="宋体"/>
                <w:vanish/>
              </w:rPr>
            </w:pPr>
          </w:p>
        </w:tc>
        <w:tc>
          <w:tcPr>
            <w:tcW w:w="0" w:type="auto"/>
            <w:gridSpan w:val="3"/>
            <w:shd w:val="clear" w:color="auto" w:fill="auto"/>
            <w:vAlign w:val="bottom"/>
          </w:tcPr>
          <w:p w14:paraId="392C51A6" w14:textId="77777777" w:rsidR="00980E5F" w:rsidRDefault="00980E5F">
            <w:pPr>
              <w:rPr>
                <w:rFonts w:ascii="宋体"/>
                <w:vanish/>
              </w:rPr>
            </w:pPr>
          </w:p>
        </w:tc>
        <w:tc>
          <w:tcPr>
            <w:tcW w:w="0" w:type="auto"/>
            <w:gridSpan w:val="3"/>
            <w:shd w:val="clear" w:color="auto" w:fill="auto"/>
            <w:vAlign w:val="bottom"/>
          </w:tcPr>
          <w:p w14:paraId="392C51A7" w14:textId="77777777" w:rsidR="00980E5F" w:rsidRDefault="00980E5F">
            <w:pPr>
              <w:rPr>
                <w:rFonts w:ascii="宋体"/>
                <w:vanish/>
              </w:rPr>
            </w:pPr>
          </w:p>
        </w:tc>
        <w:tc>
          <w:tcPr>
            <w:tcW w:w="0" w:type="auto"/>
            <w:gridSpan w:val="3"/>
            <w:shd w:val="clear" w:color="auto" w:fill="auto"/>
            <w:vAlign w:val="bottom"/>
          </w:tcPr>
          <w:p w14:paraId="392C51A8" w14:textId="77777777" w:rsidR="00980E5F" w:rsidRDefault="00980E5F">
            <w:pPr>
              <w:rPr>
                <w:rFonts w:ascii="宋体"/>
                <w:vanish/>
              </w:rPr>
            </w:pPr>
          </w:p>
        </w:tc>
        <w:tc>
          <w:tcPr>
            <w:tcW w:w="0" w:type="auto"/>
            <w:gridSpan w:val="3"/>
            <w:shd w:val="clear" w:color="auto" w:fill="auto"/>
            <w:vAlign w:val="bottom"/>
          </w:tcPr>
          <w:p w14:paraId="392C51A9" w14:textId="77777777" w:rsidR="00980E5F" w:rsidRDefault="00980E5F">
            <w:pPr>
              <w:rPr>
                <w:rFonts w:ascii="宋体"/>
                <w:vanish/>
              </w:rPr>
            </w:pPr>
          </w:p>
        </w:tc>
        <w:tc>
          <w:tcPr>
            <w:tcW w:w="0" w:type="auto"/>
            <w:gridSpan w:val="3"/>
            <w:shd w:val="clear" w:color="auto" w:fill="auto"/>
            <w:vAlign w:val="bottom"/>
          </w:tcPr>
          <w:p w14:paraId="392C51AA" w14:textId="77777777" w:rsidR="00980E5F" w:rsidRDefault="00980E5F">
            <w:pPr>
              <w:rPr>
                <w:rFonts w:ascii="宋体"/>
                <w:vanish/>
              </w:rPr>
            </w:pPr>
          </w:p>
        </w:tc>
        <w:tc>
          <w:tcPr>
            <w:tcW w:w="0" w:type="auto"/>
            <w:gridSpan w:val="3"/>
            <w:shd w:val="clear" w:color="auto" w:fill="auto"/>
            <w:vAlign w:val="bottom"/>
          </w:tcPr>
          <w:p w14:paraId="392C51AB" w14:textId="77777777" w:rsidR="00980E5F" w:rsidRDefault="00980E5F">
            <w:pPr>
              <w:rPr>
                <w:rFonts w:ascii="宋体"/>
                <w:vanish/>
              </w:rPr>
            </w:pPr>
          </w:p>
        </w:tc>
        <w:tc>
          <w:tcPr>
            <w:tcW w:w="0" w:type="auto"/>
            <w:gridSpan w:val="3"/>
            <w:shd w:val="clear" w:color="auto" w:fill="auto"/>
            <w:vAlign w:val="bottom"/>
          </w:tcPr>
          <w:p w14:paraId="392C51AC" w14:textId="77777777" w:rsidR="00980E5F" w:rsidRDefault="00980E5F">
            <w:pPr>
              <w:rPr>
                <w:rFonts w:ascii="宋体"/>
                <w:vanish/>
              </w:rPr>
            </w:pPr>
          </w:p>
        </w:tc>
        <w:tc>
          <w:tcPr>
            <w:tcW w:w="0" w:type="auto"/>
            <w:gridSpan w:val="3"/>
            <w:shd w:val="clear" w:color="auto" w:fill="auto"/>
            <w:vAlign w:val="bottom"/>
          </w:tcPr>
          <w:p w14:paraId="392C51AD" w14:textId="77777777" w:rsidR="00980E5F" w:rsidRDefault="00980E5F">
            <w:pPr>
              <w:rPr>
                <w:rFonts w:ascii="宋体"/>
                <w:vanish/>
              </w:rPr>
            </w:pPr>
          </w:p>
        </w:tc>
        <w:tc>
          <w:tcPr>
            <w:tcW w:w="0" w:type="auto"/>
            <w:gridSpan w:val="3"/>
            <w:shd w:val="clear" w:color="auto" w:fill="auto"/>
            <w:vAlign w:val="bottom"/>
          </w:tcPr>
          <w:p w14:paraId="392C51AE" w14:textId="77777777" w:rsidR="00980E5F" w:rsidRDefault="00980E5F">
            <w:pPr>
              <w:rPr>
                <w:rFonts w:ascii="宋体"/>
                <w:vanish/>
              </w:rPr>
            </w:pPr>
          </w:p>
        </w:tc>
        <w:tc>
          <w:tcPr>
            <w:tcW w:w="0" w:type="auto"/>
            <w:gridSpan w:val="3"/>
            <w:shd w:val="clear" w:color="auto" w:fill="auto"/>
            <w:vAlign w:val="bottom"/>
          </w:tcPr>
          <w:p w14:paraId="392C51AF" w14:textId="77777777" w:rsidR="00980E5F" w:rsidRDefault="00980E5F">
            <w:pPr>
              <w:rPr>
                <w:rFonts w:ascii="宋体"/>
                <w:vanish/>
              </w:rPr>
            </w:pPr>
          </w:p>
        </w:tc>
        <w:tc>
          <w:tcPr>
            <w:tcW w:w="0" w:type="auto"/>
            <w:gridSpan w:val="2"/>
            <w:shd w:val="clear" w:color="auto" w:fill="auto"/>
            <w:vAlign w:val="bottom"/>
          </w:tcPr>
          <w:p w14:paraId="392C51B0" w14:textId="77777777" w:rsidR="00980E5F" w:rsidRDefault="00980E5F">
            <w:pPr>
              <w:rPr>
                <w:rFonts w:ascii="宋体"/>
                <w:vanish/>
              </w:rPr>
            </w:pPr>
          </w:p>
        </w:tc>
        <w:tc>
          <w:tcPr>
            <w:tcW w:w="0" w:type="auto"/>
            <w:shd w:val="clear" w:color="auto" w:fill="auto"/>
            <w:vAlign w:val="bottom"/>
          </w:tcPr>
          <w:p w14:paraId="392C51B1" w14:textId="77777777" w:rsidR="00980E5F" w:rsidRDefault="00980E5F">
            <w:pPr>
              <w:rPr>
                <w:rFonts w:ascii="宋体"/>
                <w:vanish/>
              </w:rPr>
            </w:pPr>
          </w:p>
        </w:tc>
      </w:tr>
      <w:tr w:rsidR="00980E5F" w14:paraId="392C51D2" w14:textId="77777777">
        <w:tc>
          <w:tcPr>
            <w:tcW w:w="0" w:type="auto"/>
            <w:gridSpan w:val="3"/>
            <w:shd w:val="clear" w:color="auto" w:fill="CCEEFF"/>
            <w:tcMar>
              <w:top w:w="40" w:type="dxa"/>
              <w:left w:w="20" w:type="dxa"/>
              <w:bottom w:w="40" w:type="dxa"/>
              <w:right w:w="20" w:type="dxa"/>
            </w:tcMar>
            <w:vAlign w:val="center"/>
          </w:tcPr>
          <w:p w14:paraId="392C51B3" w14:textId="77777777" w:rsidR="00980E5F" w:rsidRDefault="00483613">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392C51B4" w14:textId="77777777" w:rsidR="00980E5F" w:rsidRDefault="00483613">
            <w:pPr>
              <w:jc w:val="right"/>
              <w:textAlignment w:val="center"/>
            </w:pPr>
            <w:r>
              <w:rPr>
                <w:rFonts w:ascii="Arial" w:eastAsia="宋体" w:hAnsi="Arial" w:cs="Arial"/>
                <w:color w:val="000000"/>
                <w:sz w:val="12"/>
                <w:szCs w:val="12"/>
              </w:rPr>
              <w:t>15 </w:t>
            </w:r>
          </w:p>
        </w:tc>
        <w:tc>
          <w:tcPr>
            <w:tcW w:w="0" w:type="auto"/>
            <w:shd w:val="clear" w:color="auto" w:fill="CCEEFF"/>
            <w:tcMar>
              <w:top w:w="40" w:type="dxa"/>
              <w:left w:w="0" w:type="dxa"/>
              <w:bottom w:w="40" w:type="dxa"/>
              <w:right w:w="20" w:type="dxa"/>
            </w:tcMar>
            <w:vAlign w:val="center"/>
          </w:tcPr>
          <w:p w14:paraId="392C51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B7"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B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BA"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B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BD"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BE" w14:textId="77777777" w:rsidR="00980E5F" w:rsidRDefault="00980E5F">
            <w:pPr>
              <w:jc w:val="right"/>
              <w:rPr>
                <w:rFonts w:ascii="宋体"/>
              </w:rPr>
            </w:pPr>
          </w:p>
        </w:tc>
        <w:tc>
          <w:tcPr>
            <w:tcW w:w="0" w:type="auto"/>
            <w:shd w:val="clear" w:color="auto" w:fill="auto"/>
            <w:vAlign w:val="bottom"/>
          </w:tcPr>
          <w:p w14:paraId="392C51BF" w14:textId="77777777" w:rsidR="00980E5F" w:rsidRDefault="00980E5F">
            <w:pPr>
              <w:rPr>
                <w:rFonts w:ascii="宋体"/>
                <w:vanish/>
              </w:rPr>
            </w:pPr>
          </w:p>
        </w:tc>
        <w:tc>
          <w:tcPr>
            <w:tcW w:w="0" w:type="auto"/>
            <w:shd w:val="clear" w:color="auto" w:fill="auto"/>
            <w:vAlign w:val="bottom"/>
          </w:tcPr>
          <w:p w14:paraId="392C51C0"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1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C2"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C5"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C8"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CB" w14:textId="77777777" w:rsidR="00980E5F" w:rsidRDefault="00483613">
            <w:pPr>
              <w:jc w:val="right"/>
              <w:textAlignment w:val="center"/>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center"/>
          </w:tcPr>
          <w:p w14:paraId="392C51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1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1CE"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1CF"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1D0"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1D1" w14:textId="77777777" w:rsidR="00980E5F" w:rsidRDefault="00980E5F">
            <w:pPr>
              <w:rPr>
                <w:rFonts w:ascii="宋体"/>
              </w:rPr>
            </w:pPr>
          </w:p>
        </w:tc>
      </w:tr>
      <w:tr w:rsidR="00980E5F" w14:paraId="392C51F2" w14:textId="77777777">
        <w:tc>
          <w:tcPr>
            <w:tcW w:w="0" w:type="auto"/>
            <w:gridSpan w:val="3"/>
            <w:shd w:val="clear" w:color="auto" w:fill="FFFFFF"/>
            <w:tcMar>
              <w:top w:w="40" w:type="dxa"/>
              <w:left w:w="20" w:type="dxa"/>
              <w:bottom w:w="40" w:type="dxa"/>
              <w:right w:w="20" w:type="dxa"/>
            </w:tcMar>
            <w:vAlign w:val="center"/>
          </w:tcPr>
          <w:p w14:paraId="392C51D3" w14:textId="77777777" w:rsidR="00980E5F" w:rsidRDefault="00483613">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D4" w14:textId="77777777" w:rsidR="00980E5F" w:rsidRDefault="00483613">
            <w:pPr>
              <w:jc w:val="right"/>
              <w:textAlignment w:val="center"/>
            </w:pPr>
            <w:r>
              <w:rPr>
                <w:rFonts w:ascii="Arial" w:eastAsia="宋体" w:hAnsi="Arial" w:cs="Arial"/>
                <w:color w:val="000000"/>
                <w:sz w:val="12"/>
                <w:szCs w:val="12"/>
              </w:rPr>
              <w:t>121 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D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D7"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D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DA"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D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DD"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DE" w14:textId="77777777" w:rsidR="00980E5F" w:rsidRDefault="00980E5F">
            <w:pPr>
              <w:jc w:val="right"/>
              <w:rPr>
                <w:rFonts w:ascii="宋体"/>
              </w:rPr>
            </w:pPr>
          </w:p>
        </w:tc>
        <w:tc>
          <w:tcPr>
            <w:tcW w:w="0" w:type="auto"/>
            <w:shd w:val="clear" w:color="auto" w:fill="auto"/>
            <w:vAlign w:val="bottom"/>
          </w:tcPr>
          <w:p w14:paraId="392C51DF" w14:textId="77777777" w:rsidR="00980E5F" w:rsidRDefault="00980E5F">
            <w:pPr>
              <w:rPr>
                <w:rFonts w:ascii="宋体"/>
                <w:vanish/>
              </w:rPr>
            </w:pPr>
          </w:p>
        </w:tc>
        <w:tc>
          <w:tcPr>
            <w:tcW w:w="0" w:type="auto"/>
            <w:shd w:val="clear" w:color="auto" w:fill="auto"/>
            <w:vAlign w:val="bottom"/>
          </w:tcPr>
          <w:p w14:paraId="392C51E0" w14:textId="77777777" w:rsidR="00980E5F" w:rsidRDefault="00980E5F">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1E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E2"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E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E5"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E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E8"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E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EB" w14:textId="77777777" w:rsidR="00980E5F" w:rsidRDefault="00483613">
            <w:pPr>
              <w:jc w:val="right"/>
              <w:textAlignment w:val="center"/>
            </w:pPr>
            <w:r>
              <w:rPr>
                <w:rFonts w:ascii="Arial" w:eastAsia="宋体" w:hAnsi="Arial" w:cs="Arial"/>
                <w:color w:val="000000"/>
                <w:sz w:val="12"/>
                <w:szCs w:val="12"/>
              </w:rPr>
              <w:t>(121)</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1E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1EE"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1EF"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1F0"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1F1" w14:textId="77777777" w:rsidR="00980E5F" w:rsidRDefault="00980E5F">
            <w:pPr>
              <w:rPr>
                <w:rFonts w:ascii="宋体"/>
              </w:rPr>
            </w:pPr>
          </w:p>
        </w:tc>
      </w:tr>
      <w:tr w:rsidR="00980E5F" w14:paraId="392C5209" w14:textId="77777777">
        <w:tc>
          <w:tcPr>
            <w:tcW w:w="0" w:type="auto"/>
            <w:gridSpan w:val="3"/>
            <w:shd w:val="clear" w:color="auto" w:fill="CCEEFF"/>
            <w:tcMar>
              <w:top w:w="40" w:type="dxa"/>
              <w:left w:w="20" w:type="dxa"/>
              <w:bottom w:w="40" w:type="dxa"/>
              <w:right w:w="20" w:type="dxa"/>
            </w:tcMar>
            <w:vAlign w:val="center"/>
          </w:tcPr>
          <w:p w14:paraId="392C51F3" w14:textId="77777777" w:rsidR="00980E5F" w:rsidRDefault="00483613">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392C51F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A" w14:textId="77777777" w:rsidR="00980E5F" w:rsidRDefault="00980E5F">
            <w:pPr>
              <w:rPr>
                <w:rFonts w:ascii="宋体"/>
              </w:rPr>
            </w:pPr>
          </w:p>
        </w:tc>
        <w:tc>
          <w:tcPr>
            <w:tcW w:w="0" w:type="auto"/>
            <w:shd w:val="clear" w:color="auto" w:fill="auto"/>
            <w:vAlign w:val="bottom"/>
          </w:tcPr>
          <w:p w14:paraId="392C51FB" w14:textId="77777777" w:rsidR="00980E5F" w:rsidRDefault="00980E5F">
            <w:pPr>
              <w:rPr>
                <w:rFonts w:ascii="宋体"/>
                <w:vanish/>
              </w:rPr>
            </w:pPr>
          </w:p>
        </w:tc>
        <w:tc>
          <w:tcPr>
            <w:tcW w:w="0" w:type="auto"/>
            <w:shd w:val="clear" w:color="auto" w:fill="auto"/>
            <w:vAlign w:val="bottom"/>
          </w:tcPr>
          <w:p w14:paraId="392C51FC"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1F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1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206" w14:textId="77777777" w:rsidR="00980E5F" w:rsidRDefault="00980E5F">
            <w:pPr>
              <w:rPr>
                <w:rFonts w:ascii="宋体"/>
              </w:rPr>
            </w:pPr>
          </w:p>
        </w:tc>
        <w:tc>
          <w:tcPr>
            <w:tcW w:w="0" w:type="auto"/>
            <w:gridSpan w:val="2"/>
            <w:shd w:val="clear" w:color="auto" w:fill="CCEEFF"/>
            <w:tcMar>
              <w:top w:w="0" w:type="dxa"/>
              <w:left w:w="20" w:type="dxa"/>
              <w:bottom w:w="0" w:type="dxa"/>
              <w:right w:w="20" w:type="dxa"/>
            </w:tcMar>
            <w:vAlign w:val="bottom"/>
          </w:tcPr>
          <w:p w14:paraId="392C5207"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208" w14:textId="77777777" w:rsidR="00980E5F" w:rsidRDefault="00980E5F">
            <w:pPr>
              <w:rPr>
                <w:rFonts w:ascii="宋体"/>
              </w:rPr>
            </w:pPr>
          </w:p>
        </w:tc>
      </w:tr>
      <w:tr w:rsidR="00980E5F" w14:paraId="392C5220" w14:textId="77777777">
        <w:tc>
          <w:tcPr>
            <w:tcW w:w="0" w:type="auto"/>
            <w:gridSpan w:val="3"/>
            <w:shd w:val="clear" w:color="auto" w:fill="FFFFFF"/>
            <w:tcMar>
              <w:top w:w="40" w:type="dxa"/>
              <w:left w:w="20" w:type="dxa"/>
              <w:bottom w:w="40" w:type="dxa"/>
              <w:right w:w="20" w:type="dxa"/>
            </w:tcMar>
            <w:vAlign w:val="center"/>
          </w:tcPr>
          <w:p w14:paraId="392C520A" w14:textId="77777777" w:rsidR="00980E5F" w:rsidRDefault="00483613">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392C520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0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1" w14:textId="77777777" w:rsidR="00980E5F" w:rsidRDefault="00980E5F">
            <w:pPr>
              <w:rPr>
                <w:rFonts w:ascii="宋体"/>
              </w:rPr>
            </w:pPr>
          </w:p>
        </w:tc>
        <w:tc>
          <w:tcPr>
            <w:tcW w:w="0" w:type="auto"/>
            <w:shd w:val="clear" w:color="auto" w:fill="auto"/>
            <w:vAlign w:val="bottom"/>
          </w:tcPr>
          <w:p w14:paraId="392C5212" w14:textId="77777777" w:rsidR="00980E5F" w:rsidRDefault="00980E5F">
            <w:pPr>
              <w:rPr>
                <w:rFonts w:ascii="宋体"/>
                <w:vanish/>
              </w:rPr>
            </w:pPr>
          </w:p>
        </w:tc>
        <w:tc>
          <w:tcPr>
            <w:tcW w:w="0" w:type="auto"/>
            <w:shd w:val="clear" w:color="auto" w:fill="auto"/>
            <w:vAlign w:val="bottom"/>
          </w:tcPr>
          <w:p w14:paraId="392C5213"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2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21D" w14:textId="77777777" w:rsidR="00980E5F" w:rsidRDefault="00980E5F">
            <w:pPr>
              <w:rPr>
                <w:rFonts w:ascii="宋体"/>
              </w:rPr>
            </w:pPr>
          </w:p>
        </w:tc>
        <w:tc>
          <w:tcPr>
            <w:tcW w:w="0" w:type="auto"/>
            <w:gridSpan w:val="2"/>
            <w:shd w:val="clear" w:color="auto" w:fill="FFFFFF"/>
            <w:tcMar>
              <w:top w:w="0" w:type="dxa"/>
              <w:left w:w="20" w:type="dxa"/>
              <w:bottom w:w="0" w:type="dxa"/>
              <w:right w:w="20" w:type="dxa"/>
            </w:tcMar>
            <w:vAlign w:val="bottom"/>
          </w:tcPr>
          <w:p w14:paraId="392C521E"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21F" w14:textId="77777777" w:rsidR="00980E5F" w:rsidRDefault="00980E5F">
            <w:pPr>
              <w:rPr>
                <w:rFonts w:ascii="宋体"/>
              </w:rPr>
            </w:pPr>
          </w:p>
        </w:tc>
      </w:tr>
      <w:tr w:rsidR="00980E5F" w14:paraId="392C5241" w14:textId="77777777">
        <w:tc>
          <w:tcPr>
            <w:tcW w:w="0" w:type="auto"/>
            <w:gridSpan w:val="3"/>
            <w:shd w:val="clear" w:color="auto" w:fill="CCEEFF"/>
            <w:tcMar>
              <w:top w:w="40" w:type="dxa"/>
              <w:left w:w="155" w:type="dxa"/>
              <w:bottom w:w="40" w:type="dxa"/>
              <w:right w:w="20" w:type="dxa"/>
            </w:tcMar>
            <w:vAlign w:val="center"/>
          </w:tcPr>
          <w:p w14:paraId="392C5221" w14:textId="77777777" w:rsidR="00980E5F" w:rsidRDefault="00483613">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392C5222" w14:textId="77777777" w:rsidR="00980E5F" w:rsidRDefault="00483613">
            <w:pPr>
              <w:jc w:val="right"/>
              <w:textAlignment w:val="center"/>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center"/>
          </w:tcPr>
          <w:p w14:paraId="392C52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25" w14:textId="77777777" w:rsidR="00980E5F" w:rsidRDefault="00483613">
            <w:pPr>
              <w:jc w:val="right"/>
              <w:textAlignment w:val="center"/>
            </w:pPr>
            <w:r>
              <w:rPr>
                <w:rFonts w:ascii="Arial" w:eastAsia="宋体" w:hAnsi="Arial" w:cs="Arial"/>
                <w:color w:val="000000"/>
                <w:sz w:val="12"/>
                <w:szCs w:val="12"/>
              </w:rPr>
              <w:t>(5)</w:t>
            </w:r>
          </w:p>
        </w:tc>
        <w:tc>
          <w:tcPr>
            <w:tcW w:w="0" w:type="auto"/>
            <w:shd w:val="clear" w:color="auto" w:fill="CCEEFF"/>
            <w:tcMar>
              <w:top w:w="40" w:type="dxa"/>
              <w:left w:w="0" w:type="dxa"/>
              <w:bottom w:w="40" w:type="dxa"/>
              <w:right w:w="20" w:type="dxa"/>
            </w:tcMar>
            <w:vAlign w:val="center"/>
          </w:tcPr>
          <w:p w14:paraId="392C52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2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28"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2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2B" w14:textId="77777777" w:rsidR="00980E5F" w:rsidRDefault="00483613">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392C522C" w14:textId="77777777" w:rsidR="00980E5F" w:rsidRDefault="00980E5F">
            <w:pPr>
              <w:jc w:val="right"/>
              <w:rPr>
                <w:rFonts w:ascii="宋体"/>
              </w:rPr>
            </w:pPr>
          </w:p>
        </w:tc>
        <w:tc>
          <w:tcPr>
            <w:tcW w:w="0" w:type="auto"/>
            <w:shd w:val="clear" w:color="auto" w:fill="auto"/>
            <w:vAlign w:val="bottom"/>
          </w:tcPr>
          <w:p w14:paraId="392C522D" w14:textId="77777777" w:rsidR="00980E5F" w:rsidRDefault="00980E5F">
            <w:pPr>
              <w:rPr>
                <w:rFonts w:ascii="宋体"/>
                <w:vanish/>
              </w:rPr>
            </w:pPr>
          </w:p>
        </w:tc>
        <w:tc>
          <w:tcPr>
            <w:tcW w:w="0" w:type="auto"/>
            <w:shd w:val="clear" w:color="auto" w:fill="auto"/>
            <w:vAlign w:val="bottom"/>
          </w:tcPr>
          <w:p w14:paraId="392C522E"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22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30"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2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3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33" w14:textId="77777777" w:rsidR="00980E5F" w:rsidRDefault="00483613">
            <w:pPr>
              <w:jc w:val="right"/>
              <w:textAlignment w:val="center"/>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center"/>
          </w:tcPr>
          <w:p w14:paraId="392C52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3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36"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23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3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39"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2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23C" w14:textId="77777777" w:rsidR="00980E5F" w:rsidRDefault="00483613">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392C523D"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23E"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23F" w14:textId="77777777" w:rsidR="00980E5F" w:rsidRDefault="00483613">
            <w:pPr>
              <w:textAlignment w:val="center"/>
            </w:pPr>
            <w:r>
              <w:rPr>
                <w:rFonts w:ascii="Arial" w:eastAsia="宋体" w:hAnsi="Arial" w:cs="Arial"/>
                <w:color w:val="000000"/>
                <w:sz w:val="12"/>
                <w:szCs w:val="12"/>
              </w:rPr>
              <w:t>$</w:t>
            </w:r>
          </w:p>
          <w:p w14:paraId="392C5240" w14:textId="77777777" w:rsidR="00980E5F" w:rsidRDefault="00483613">
            <w:pPr>
              <w:jc w:val="right"/>
              <w:textAlignment w:val="center"/>
            </w:pPr>
            <w:r>
              <w:rPr>
                <w:rFonts w:ascii="Arial" w:eastAsia="宋体" w:hAnsi="Arial" w:cs="Arial"/>
                <w:color w:val="000000"/>
                <w:sz w:val="12"/>
                <w:szCs w:val="12"/>
              </w:rPr>
              <w:t>— </w:t>
            </w:r>
          </w:p>
        </w:tc>
      </w:tr>
      <w:tr w:rsidR="00980E5F" w14:paraId="392C5261" w14:textId="77777777">
        <w:tc>
          <w:tcPr>
            <w:tcW w:w="0" w:type="auto"/>
            <w:gridSpan w:val="3"/>
            <w:shd w:val="clear" w:color="auto" w:fill="FFFFFF"/>
            <w:tcMar>
              <w:top w:w="40" w:type="dxa"/>
              <w:left w:w="20" w:type="dxa"/>
              <w:bottom w:w="40" w:type="dxa"/>
              <w:right w:w="20" w:type="dxa"/>
            </w:tcMar>
            <w:vAlign w:val="center"/>
          </w:tcPr>
          <w:p w14:paraId="392C5242" w14:textId="77777777" w:rsidR="00980E5F" w:rsidRDefault="00483613">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43" w14:textId="77777777" w:rsidR="00980E5F" w:rsidRDefault="00483613">
            <w:pPr>
              <w:jc w:val="right"/>
              <w:textAlignment w:val="center"/>
            </w:pPr>
            <w:r>
              <w:rPr>
                <w:rFonts w:ascii="Arial" w:eastAsia="宋体" w:hAnsi="Arial" w:cs="Arial"/>
                <w:color w:val="000000"/>
                <w:sz w:val="12"/>
                <w:szCs w:val="12"/>
              </w:rPr>
              <w:t>6 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4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46" w14:textId="77777777" w:rsidR="00980E5F" w:rsidRDefault="00483613">
            <w:pPr>
              <w:jc w:val="right"/>
              <w:textAlignment w:val="center"/>
            </w:pPr>
            <w:r>
              <w:rPr>
                <w:rFonts w:ascii="Arial" w:eastAsia="宋体" w:hAnsi="Arial" w:cs="Arial"/>
                <w:color w:val="000000"/>
                <w:sz w:val="12"/>
                <w:szCs w:val="12"/>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4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49"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4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4C"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4D" w14:textId="77777777" w:rsidR="00980E5F" w:rsidRDefault="00980E5F">
            <w:pPr>
              <w:jc w:val="right"/>
              <w:rPr>
                <w:rFonts w:ascii="宋体"/>
              </w:rPr>
            </w:pPr>
          </w:p>
        </w:tc>
        <w:tc>
          <w:tcPr>
            <w:tcW w:w="0" w:type="auto"/>
            <w:shd w:val="clear" w:color="auto" w:fill="auto"/>
            <w:vAlign w:val="bottom"/>
          </w:tcPr>
          <w:p w14:paraId="392C524E" w14:textId="77777777" w:rsidR="00980E5F" w:rsidRDefault="00980E5F">
            <w:pPr>
              <w:rPr>
                <w:rFonts w:ascii="宋体"/>
                <w:vanish/>
              </w:rPr>
            </w:pPr>
          </w:p>
        </w:tc>
        <w:tc>
          <w:tcPr>
            <w:tcW w:w="0" w:type="auto"/>
            <w:shd w:val="clear" w:color="auto" w:fill="auto"/>
            <w:vAlign w:val="bottom"/>
          </w:tcPr>
          <w:p w14:paraId="392C524F"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25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51"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5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54" w14:textId="77777777" w:rsidR="00980E5F" w:rsidRDefault="00483613">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5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57"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5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5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5A"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25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25D"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25E"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25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92C5260" w14:textId="77777777" w:rsidR="00980E5F" w:rsidRDefault="00483613">
            <w:pPr>
              <w:jc w:val="right"/>
              <w:textAlignment w:val="center"/>
            </w:pPr>
            <w:r>
              <w:rPr>
                <w:rFonts w:ascii="Arial" w:eastAsia="宋体" w:hAnsi="Arial" w:cs="Arial"/>
                <w:color w:val="000000"/>
                <w:sz w:val="12"/>
                <w:szCs w:val="12"/>
              </w:rPr>
              <w:t>— </w:t>
            </w:r>
          </w:p>
        </w:tc>
      </w:tr>
      <w:tr w:rsidR="00483613" w14:paraId="392C528B" w14:textId="77777777">
        <w:tc>
          <w:tcPr>
            <w:tcW w:w="0" w:type="auto"/>
            <w:gridSpan w:val="3"/>
            <w:shd w:val="clear" w:color="auto" w:fill="CCEEFF"/>
            <w:tcMar>
              <w:top w:w="40" w:type="dxa"/>
              <w:left w:w="20" w:type="dxa"/>
              <w:bottom w:w="40" w:type="dxa"/>
              <w:right w:w="20" w:type="dxa"/>
            </w:tcMar>
            <w:vAlign w:val="center"/>
          </w:tcPr>
          <w:p w14:paraId="392C5262" w14:textId="77777777" w:rsidR="00980E5F" w:rsidRDefault="00483613">
            <w:pPr>
              <w:textAlignment w:val="center"/>
            </w:pPr>
            <w:r>
              <w:rPr>
                <w:rFonts w:ascii="Arial" w:eastAsia="宋体" w:hAnsi="Arial" w:cs="Arial"/>
                <w:color w:val="000000"/>
                <w:sz w:val="12"/>
                <w:szCs w:val="12"/>
              </w:rPr>
              <w:t>Total assets carr</w:t>
            </w:r>
            <w:r>
              <w:rPr>
                <w:rFonts w:ascii="Arial" w:eastAsia="宋体" w:hAnsi="Arial" w:cs="Arial"/>
                <w:color w:val="000000"/>
                <w:sz w:val="12"/>
                <w:szCs w:val="12"/>
              </w:rPr>
              <w:t>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63"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64" w14:textId="77777777" w:rsidR="00980E5F" w:rsidRDefault="00483613">
            <w:pPr>
              <w:jc w:val="right"/>
              <w:textAlignment w:val="center"/>
            </w:pPr>
            <w:r>
              <w:rPr>
                <w:rFonts w:ascii="Arial" w:eastAsia="宋体" w:hAnsi="Arial" w:cs="Arial"/>
                <w:color w:val="000000"/>
                <w:sz w:val="12"/>
                <w:szCs w:val="12"/>
              </w:rPr>
              <w:t>127 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6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67"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68" w14:textId="77777777" w:rsidR="00980E5F" w:rsidRDefault="00483613">
            <w:pPr>
              <w:jc w:val="right"/>
              <w:textAlignment w:val="center"/>
            </w:pPr>
            <w:r>
              <w:rPr>
                <w:rFonts w:ascii="Arial" w:eastAsia="宋体" w:hAnsi="Arial" w:cs="Arial"/>
                <w:color w:val="000000"/>
                <w:sz w:val="12"/>
                <w:szCs w:val="12"/>
              </w:rPr>
              <w:t>(5)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6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6B"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6C"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6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6F"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70"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71" w14:textId="77777777" w:rsidR="00980E5F" w:rsidRDefault="00980E5F">
            <w:pPr>
              <w:jc w:val="right"/>
              <w:rPr>
                <w:rFonts w:ascii="宋体"/>
              </w:rPr>
            </w:pPr>
          </w:p>
        </w:tc>
        <w:tc>
          <w:tcPr>
            <w:tcW w:w="0" w:type="auto"/>
            <w:shd w:val="clear" w:color="auto" w:fill="auto"/>
            <w:vAlign w:val="bottom"/>
          </w:tcPr>
          <w:p w14:paraId="392C5272" w14:textId="77777777" w:rsidR="00980E5F" w:rsidRDefault="00980E5F">
            <w:pPr>
              <w:rPr>
                <w:rFonts w:ascii="宋体"/>
                <w:vanish/>
              </w:rPr>
            </w:pPr>
          </w:p>
        </w:tc>
        <w:tc>
          <w:tcPr>
            <w:tcW w:w="0" w:type="auto"/>
            <w:shd w:val="clear" w:color="auto" w:fill="auto"/>
            <w:vAlign w:val="bottom"/>
          </w:tcPr>
          <w:p w14:paraId="392C527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27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75"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76"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7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79"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7A" w14:textId="77777777" w:rsidR="00980E5F" w:rsidRDefault="00483613">
            <w:pPr>
              <w:jc w:val="right"/>
              <w:textAlignment w:val="center"/>
            </w:pPr>
            <w:r>
              <w:rPr>
                <w:rFonts w:ascii="Arial" w:eastAsia="宋体" w:hAnsi="Arial" w:cs="Arial"/>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7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7D"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7E"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8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81"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82" w14:textId="77777777" w:rsidR="00980E5F" w:rsidRDefault="00483613">
            <w:pPr>
              <w:jc w:val="right"/>
              <w:textAlignment w:val="center"/>
            </w:pPr>
            <w:r>
              <w:rPr>
                <w:rFonts w:ascii="Arial" w:eastAsia="宋体" w:hAnsi="Arial" w:cs="Arial"/>
                <w:color w:val="000000"/>
                <w:sz w:val="12"/>
                <w:szCs w:val="12"/>
              </w:rPr>
              <w:t>(121)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28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85"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286"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287"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28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289" w14:textId="77777777" w:rsidR="00980E5F" w:rsidRDefault="00483613">
            <w:pPr>
              <w:textAlignment w:val="center"/>
            </w:pPr>
            <w:r>
              <w:rPr>
                <w:rFonts w:ascii="Arial" w:eastAsia="宋体" w:hAnsi="Arial" w:cs="Arial"/>
                <w:color w:val="000000"/>
                <w:sz w:val="12"/>
                <w:szCs w:val="12"/>
              </w:rPr>
              <w:t>$</w:t>
            </w:r>
          </w:p>
          <w:p w14:paraId="392C528A" w14:textId="77777777" w:rsidR="00980E5F" w:rsidRDefault="00483613">
            <w:pPr>
              <w:jc w:val="right"/>
              <w:textAlignment w:val="center"/>
            </w:pPr>
            <w:r>
              <w:rPr>
                <w:rFonts w:ascii="Arial" w:eastAsia="宋体" w:hAnsi="Arial" w:cs="Arial"/>
                <w:color w:val="000000"/>
                <w:sz w:val="12"/>
                <w:szCs w:val="12"/>
              </w:rPr>
              <w:t>— </w:t>
            </w:r>
          </w:p>
        </w:tc>
      </w:tr>
    </w:tbl>
    <w:p w14:paraId="392C528C" w14:textId="77777777" w:rsidR="00980E5F" w:rsidRDefault="00980E5F">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980E5F" w14:paraId="392C529C" w14:textId="77777777">
        <w:tc>
          <w:tcPr>
            <w:tcW w:w="50" w:type="pct"/>
            <w:shd w:val="clear" w:color="auto" w:fill="auto"/>
            <w:vAlign w:val="bottom"/>
          </w:tcPr>
          <w:p w14:paraId="392C528D" w14:textId="77777777" w:rsidR="00980E5F" w:rsidRDefault="00980E5F">
            <w:pPr>
              <w:rPr>
                <w:rFonts w:ascii="宋体"/>
              </w:rPr>
            </w:pPr>
          </w:p>
        </w:tc>
        <w:tc>
          <w:tcPr>
            <w:tcW w:w="1350" w:type="pct"/>
            <w:shd w:val="clear" w:color="auto" w:fill="auto"/>
            <w:vAlign w:val="bottom"/>
          </w:tcPr>
          <w:p w14:paraId="392C528E" w14:textId="77777777" w:rsidR="00980E5F" w:rsidRDefault="00980E5F">
            <w:pPr>
              <w:rPr>
                <w:rFonts w:ascii="宋体"/>
              </w:rPr>
            </w:pPr>
          </w:p>
        </w:tc>
        <w:tc>
          <w:tcPr>
            <w:tcW w:w="5" w:type="pct"/>
            <w:shd w:val="clear" w:color="auto" w:fill="auto"/>
            <w:vAlign w:val="bottom"/>
          </w:tcPr>
          <w:p w14:paraId="392C528F" w14:textId="77777777" w:rsidR="00980E5F" w:rsidRDefault="00980E5F">
            <w:pPr>
              <w:rPr>
                <w:rFonts w:ascii="宋体"/>
              </w:rPr>
            </w:pPr>
          </w:p>
        </w:tc>
        <w:tc>
          <w:tcPr>
            <w:tcW w:w="50" w:type="pct"/>
            <w:shd w:val="clear" w:color="auto" w:fill="auto"/>
            <w:vAlign w:val="bottom"/>
          </w:tcPr>
          <w:p w14:paraId="392C5290" w14:textId="77777777" w:rsidR="00980E5F" w:rsidRDefault="00980E5F">
            <w:pPr>
              <w:rPr>
                <w:rFonts w:ascii="宋体"/>
              </w:rPr>
            </w:pPr>
          </w:p>
        </w:tc>
        <w:tc>
          <w:tcPr>
            <w:tcW w:w="911" w:type="pct"/>
            <w:shd w:val="clear" w:color="auto" w:fill="auto"/>
            <w:vAlign w:val="bottom"/>
          </w:tcPr>
          <w:p w14:paraId="392C5291" w14:textId="77777777" w:rsidR="00980E5F" w:rsidRDefault="00980E5F">
            <w:pPr>
              <w:rPr>
                <w:rFonts w:ascii="宋体"/>
              </w:rPr>
            </w:pPr>
          </w:p>
        </w:tc>
        <w:tc>
          <w:tcPr>
            <w:tcW w:w="5" w:type="pct"/>
            <w:shd w:val="clear" w:color="auto" w:fill="auto"/>
            <w:vAlign w:val="bottom"/>
          </w:tcPr>
          <w:p w14:paraId="392C5292" w14:textId="77777777" w:rsidR="00980E5F" w:rsidRDefault="00980E5F">
            <w:pPr>
              <w:rPr>
                <w:rFonts w:ascii="宋体"/>
              </w:rPr>
            </w:pPr>
          </w:p>
        </w:tc>
        <w:tc>
          <w:tcPr>
            <w:tcW w:w="50" w:type="pct"/>
            <w:shd w:val="clear" w:color="auto" w:fill="auto"/>
            <w:vAlign w:val="bottom"/>
          </w:tcPr>
          <w:p w14:paraId="392C5293" w14:textId="77777777" w:rsidR="00980E5F" w:rsidRDefault="00980E5F">
            <w:pPr>
              <w:rPr>
                <w:rFonts w:ascii="宋体"/>
              </w:rPr>
            </w:pPr>
          </w:p>
        </w:tc>
        <w:tc>
          <w:tcPr>
            <w:tcW w:w="1562" w:type="pct"/>
            <w:shd w:val="clear" w:color="auto" w:fill="auto"/>
            <w:vAlign w:val="bottom"/>
          </w:tcPr>
          <w:p w14:paraId="392C5294" w14:textId="77777777" w:rsidR="00980E5F" w:rsidRDefault="00980E5F">
            <w:pPr>
              <w:rPr>
                <w:rFonts w:ascii="宋体"/>
              </w:rPr>
            </w:pPr>
          </w:p>
        </w:tc>
        <w:tc>
          <w:tcPr>
            <w:tcW w:w="5" w:type="pct"/>
            <w:shd w:val="clear" w:color="auto" w:fill="auto"/>
            <w:vAlign w:val="bottom"/>
          </w:tcPr>
          <w:p w14:paraId="392C5295" w14:textId="77777777" w:rsidR="00980E5F" w:rsidRDefault="00980E5F">
            <w:pPr>
              <w:rPr>
                <w:rFonts w:ascii="宋体"/>
              </w:rPr>
            </w:pPr>
          </w:p>
        </w:tc>
        <w:tc>
          <w:tcPr>
            <w:tcW w:w="50" w:type="pct"/>
            <w:shd w:val="clear" w:color="auto" w:fill="auto"/>
            <w:vAlign w:val="bottom"/>
          </w:tcPr>
          <w:p w14:paraId="392C5296" w14:textId="77777777" w:rsidR="00980E5F" w:rsidRDefault="00980E5F">
            <w:pPr>
              <w:rPr>
                <w:rFonts w:ascii="宋体"/>
              </w:rPr>
            </w:pPr>
          </w:p>
        </w:tc>
        <w:tc>
          <w:tcPr>
            <w:tcW w:w="918" w:type="pct"/>
            <w:shd w:val="clear" w:color="auto" w:fill="auto"/>
            <w:vAlign w:val="bottom"/>
          </w:tcPr>
          <w:p w14:paraId="392C5297" w14:textId="77777777" w:rsidR="00980E5F" w:rsidRDefault="00980E5F">
            <w:pPr>
              <w:rPr>
                <w:rFonts w:ascii="宋体"/>
              </w:rPr>
            </w:pPr>
          </w:p>
        </w:tc>
        <w:tc>
          <w:tcPr>
            <w:tcW w:w="5" w:type="pct"/>
            <w:shd w:val="clear" w:color="auto" w:fill="auto"/>
            <w:vAlign w:val="bottom"/>
          </w:tcPr>
          <w:p w14:paraId="392C5298" w14:textId="77777777" w:rsidR="00980E5F" w:rsidRDefault="00980E5F">
            <w:pPr>
              <w:rPr>
                <w:rFonts w:ascii="宋体"/>
              </w:rPr>
            </w:pPr>
          </w:p>
        </w:tc>
        <w:tc>
          <w:tcPr>
            <w:tcW w:w="5" w:type="pct"/>
            <w:shd w:val="clear" w:color="auto" w:fill="auto"/>
            <w:vAlign w:val="bottom"/>
          </w:tcPr>
          <w:p w14:paraId="392C5299" w14:textId="77777777" w:rsidR="00980E5F" w:rsidRDefault="00980E5F">
            <w:pPr>
              <w:rPr>
                <w:rFonts w:ascii="宋体"/>
              </w:rPr>
            </w:pPr>
          </w:p>
        </w:tc>
        <w:tc>
          <w:tcPr>
            <w:tcW w:w="26" w:type="pct"/>
            <w:shd w:val="clear" w:color="auto" w:fill="auto"/>
            <w:vAlign w:val="bottom"/>
          </w:tcPr>
          <w:p w14:paraId="392C529A" w14:textId="77777777" w:rsidR="00980E5F" w:rsidRDefault="00980E5F">
            <w:pPr>
              <w:rPr>
                <w:rFonts w:ascii="宋体"/>
              </w:rPr>
            </w:pPr>
          </w:p>
        </w:tc>
        <w:tc>
          <w:tcPr>
            <w:tcW w:w="5" w:type="pct"/>
            <w:shd w:val="clear" w:color="auto" w:fill="auto"/>
            <w:vAlign w:val="bottom"/>
          </w:tcPr>
          <w:p w14:paraId="392C529B" w14:textId="77777777" w:rsidR="00980E5F" w:rsidRDefault="00980E5F">
            <w:pPr>
              <w:rPr>
                <w:rFonts w:ascii="宋体"/>
              </w:rPr>
            </w:pPr>
          </w:p>
        </w:tc>
      </w:tr>
      <w:tr w:rsidR="00980E5F" w14:paraId="392C52A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529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29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29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2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2A1" w14:textId="77777777" w:rsidR="00980E5F" w:rsidRDefault="00980E5F">
            <w:pPr>
              <w:rPr>
                <w:rFonts w:ascii="宋体"/>
              </w:rPr>
            </w:pPr>
          </w:p>
        </w:tc>
      </w:tr>
    </w:tbl>
    <w:p w14:paraId="392C52A3" w14:textId="77777777" w:rsidR="00980E5F" w:rsidRDefault="00483613">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66"/>
        <w:gridCol w:w="865"/>
        <w:gridCol w:w="35"/>
        <w:gridCol w:w="85"/>
        <w:gridCol w:w="517"/>
        <w:gridCol w:w="35"/>
        <w:gridCol w:w="36"/>
        <w:gridCol w:w="36"/>
        <w:gridCol w:w="36"/>
        <w:gridCol w:w="88"/>
        <w:gridCol w:w="549"/>
        <w:gridCol w:w="37"/>
        <w:gridCol w:w="37"/>
        <w:gridCol w:w="37"/>
        <w:gridCol w:w="37"/>
        <w:gridCol w:w="92"/>
        <w:gridCol w:w="806"/>
        <w:gridCol w:w="36"/>
        <w:gridCol w:w="36"/>
        <w:gridCol w:w="36"/>
        <w:gridCol w:w="36"/>
        <w:gridCol w:w="89"/>
        <w:gridCol w:w="528"/>
        <w:gridCol w:w="36"/>
        <w:gridCol w:w="36"/>
        <w:gridCol w:w="36"/>
        <w:gridCol w:w="36"/>
        <w:gridCol w:w="36"/>
        <w:gridCol w:w="36"/>
        <w:gridCol w:w="86"/>
        <w:gridCol w:w="268"/>
        <w:gridCol w:w="36"/>
        <w:gridCol w:w="36"/>
        <w:gridCol w:w="36"/>
        <w:gridCol w:w="36"/>
        <w:gridCol w:w="88"/>
        <w:gridCol w:w="600"/>
        <w:gridCol w:w="36"/>
        <w:gridCol w:w="36"/>
        <w:gridCol w:w="36"/>
        <w:gridCol w:w="36"/>
        <w:gridCol w:w="88"/>
        <w:gridCol w:w="471"/>
        <w:gridCol w:w="36"/>
        <w:gridCol w:w="36"/>
        <w:gridCol w:w="36"/>
        <w:gridCol w:w="36"/>
        <w:gridCol w:w="88"/>
        <w:gridCol w:w="471"/>
        <w:gridCol w:w="36"/>
        <w:gridCol w:w="36"/>
        <w:gridCol w:w="36"/>
        <w:gridCol w:w="36"/>
        <w:gridCol w:w="86"/>
        <w:gridCol w:w="335"/>
        <w:gridCol w:w="36"/>
        <w:gridCol w:w="36"/>
        <w:gridCol w:w="36"/>
        <w:gridCol w:w="700"/>
      </w:tblGrid>
      <w:tr w:rsidR="00980E5F" w14:paraId="392C52DF" w14:textId="77777777">
        <w:tc>
          <w:tcPr>
            <w:tcW w:w="50" w:type="pct"/>
            <w:shd w:val="clear" w:color="auto" w:fill="auto"/>
            <w:vAlign w:val="bottom"/>
          </w:tcPr>
          <w:p w14:paraId="392C52A4" w14:textId="77777777" w:rsidR="00980E5F" w:rsidRDefault="00980E5F">
            <w:pPr>
              <w:rPr>
                <w:rFonts w:ascii="宋体"/>
              </w:rPr>
            </w:pPr>
          </w:p>
        </w:tc>
        <w:tc>
          <w:tcPr>
            <w:tcW w:w="734" w:type="pct"/>
            <w:shd w:val="clear" w:color="auto" w:fill="auto"/>
            <w:vAlign w:val="bottom"/>
          </w:tcPr>
          <w:p w14:paraId="392C52A5" w14:textId="77777777" w:rsidR="00980E5F" w:rsidRDefault="00980E5F">
            <w:pPr>
              <w:rPr>
                <w:rFonts w:ascii="宋体"/>
              </w:rPr>
            </w:pPr>
          </w:p>
        </w:tc>
        <w:tc>
          <w:tcPr>
            <w:tcW w:w="5" w:type="pct"/>
            <w:shd w:val="clear" w:color="auto" w:fill="auto"/>
            <w:vAlign w:val="bottom"/>
          </w:tcPr>
          <w:p w14:paraId="392C52A6" w14:textId="77777777" w:rsidR="00980E5F" w:rsidRDefault="00980E5F">
            <w:pPr>
              <w:rPr>
                <w:rFonts w:ascii="宋体"/>
              </w:rPr>
            </w:pPr>
          </w:p>
        </w:tc>
        <w:tc>
          <w:tcPr>
            <w:tcW w:w="50" w:type="pct"/>
            <w:shd w:val="clear" w:color="auto" w:fill="auto"/>
            <w:vAlign w:val="bottom"/>
          </w:tcPr>
          <w:p w14:paraId="392C52A7" w14:textId="77777777" w:rsidR="00980E5F" w:rsidRDefault="00980E5F">
            <w:pPr>
              <w:rPr>
                <w:rFonts w:ascii="宋体"/>
              </w:rPr>
            </w:pPr>
          </w:p>
        </w:tc>
        <w:tc>
          <w:tcPr>
            <w:tcW w:w="354" w:type="pct"/>
            <w:shd w:val="clear" w:color="auto" w:fill="auto"/>
            <w:vAlign w:val="bottom"/>
          </w:tcPr>
          <w:p w14:paraId="392C52A8" w14:textId="77777777" w:rsidR="00980E5F" w:rsidRDefault="00980E5F">
            <w:pPr>
              <w:rPr>
                <w:rFonts w:ascii="宋体"/>
              </w:rPr>
            </w:pPr>
          </w:p>
        </w:tc>
        <w:tc>
          <w:tcPr>
            <w:tcW w:w="5" w:type="pct"/>
            <w:shd w:val="clear" w:color="auto" w:fill="auto"/>
            <w:vAlign w:val="bottom"/>
          </w:tcPr>
          <w:p w14:paraId="392C52A9" w14:textId="77777777" w:rsidR="00980E5F" w:rsidRDefault="00980E5F">
            <w:pPr>
              <w:rPr>
                <w:rFonts w:ascii="宋体"/>
              </w:rPr>
            </w:pPr>
          </w:p>
        </w:tc>
        <w:tc>
          <w:tcPr>
            <w:tcW w:w="5" w:type="pct"/>
            <w:shd w:val="clear" w:color="auto" w:fill="auto"/>
            <w:vAlign w:val="bottom"/>
          </w:tcPr>
          <w:p w14:paraId="392C52AA" w14:textId="77777777" w:rsidR="00980E5F" w:rsidRDefault="00980E5F">
            <w:pPr>
              <w:rPr>
                <w:rFonts w:ascii="宋体"/>
              </w:rPr>
            </w:pPr>
          </w:p>
        </w:tc>
        <w:tc>
          <w:tcPr>
            <w:tcW w:w="19" w:type="pct"/>
            <w:shd w:val="clear" w:color="auto" w:fill="auto"/>
            <w:vAlign w:val="bottom"/>
          </w:tcPr>
          <w:p w14:paraId="392C52AB" w14:textId="77777777" w:rsidR="00980E5F" w:rsidRDefault="00980E5F">
            <w:pPr>
              <w:rPr>
                <w:rFonts w:ascii="宋体"/>
              </w:rPr>
            </w:pPr>
          </w:p>
        </w:tc>
        <w:tc>
          <w:tcPr>
            <w:tcW w:w="5" w:type="pct"/>
            <w:shd w:val="clear" w:color="auto" w:fill="auto"/>
            <w:vAlign w:val="bottom"/>
          </w:tcPr>
          <w:p w14:paraId="392C52AC" w14:textId="77777777" w:rsidR="00980E5F" w:rsidRDefault="00980E5F">
            <w:pPr>
              <w:rPr>
                <w:rFonts w:ascii="宋体"/>
              </w:rPr>
            </w:pPr>
          </w:p>
        </w:tc>
        <w:tc>
          <w:tcPr>
            <w:tcW w:w="50" w:type="pct"/>
            <w:shd w:val="clear" w:color="auto" w:fill="auto"/>
            <w:vAlign w:val="bottom"/>
          </w:tcPr>
          <w:p w14:paraId="392C52AD" w14:textId="77777777" w:rsidR="00980E5F" w:rsidRDefault="00980E5F">
            <w:pPr>
              <w:rPr>
                <w:rFonts w:ascii="宋体"/>
              </w:rPr>
            </w:pPr>
          </w:p>
        </w:tc>
        <w:tc>
          <w:tcPr>
            <w:tcW w:w="317" w:type="pct"/>
            <w:shd w:val="clear" w:color="auto" w:fill="auto"/>
            <w:vAlign w:val="bottom"/>
          </w:tcPr>
          <w:p w14:paraId="392C52AE" w14:textId="77777777" w:rsidR="00980E5F" w:rsidRDefault="00980E5F">
            <w:pPr>
              <w:rPr>
                <w:rFonts w:ascii="宋体"/>
              </w:rPr>
            </w:pPr>
          </w:p>
        </w:tc>
        <w:tc>
          <w:tcPr>
            <w:tcW w:w="5" w:type="pct"/>
            <w:shd w:val="clear" w:color="auto" w:fill="auto"/>
            <w:vAlign w:val="bottom"/>
          </w:tcPr>
          <w:p w14:paraId="392C52AF" w14:textId="77777777" w:rsidR="00980E5F" w:rsidRDefault="00980E5F">
            <w:pPr>
              <w:rPr>
                <w:rFonts w:ascii="宋体"/>
              </w:rPr>
            </w:pPr>
          </w:p>
        </w:tc>
        <w:tc>
          <w:tcPr>
            <w:tcW w:w="5" w:type="pct"/>
            <w:shd w:val="clear" w:color="auto" w:fill="auto"/>
            <w:vAlign w:val="bottom"/>
          </w:tcPr>
          <w:p w14:paraId="392C52B0" w14:textId="77777777" w:rsidR="00980E5F" w:rsidRDefault="00980E5F">
            <w:pPr>
              <w:rPr>
                <w:rFonts w:ascii="宋体"/>
              </w:rPr>
            </w:pPr>
          </w:p>
        </w:tc>
        <w:tc>
          <w:tcPr>
            <w:tcW w:w="19" w:type="pct"/>
            <w:shd w:val="clear" w:color="auto" w:fill="auto"/>
            <w:vAlign w:val="bottom"/>
          </w:tcPr>
          <w:p w14:paraId="392C52B1" w14:textId="77777777" w:rsidR="00980E5F" w:rsidRDefault="00980E5F">
            <w:pPr>
              <w:rPr>
                <w:rFonts w:ascii="宋体"/>
              </w:rPr>
            </w:pPr>
          </w:p>
        </w:tc>
        <w:tc>
          <w:tcPr>
            <w:tcW w:w="5" w:type="pct"/>
            <w:shd w:val="clear" w:color="auto" w:fill="auto"/>
            <w:vAlign w:val="bottom"/>
          </w:tcPr>
          <w:p w14:paraId="392C52B2" w14:textId="77777777" w:rsidR="00980E5F" w:rsidRDefault="00980E5F">
            <w:pPr>
              <w:rPr>
                <w:rFonts w:ascii="宋体"/>
              </w:rPr>
            </w:pPr>
          </w:p>
        </w:tc>
        <w:tc>
          <w:tcPr>
            <w:tcW w:w="50" w:type="pct"/>
            <w:shd w:val="clear" w:color="auto" w:fill="auto"/>
            <w:vAlign w:val="bottom"/>
          </w:tcPr>
          <w:p w14:paraId="392C52B3" w14:textId="77777777" w:rsidR="00980E5F" w:rsidRDefault="00980E5F">
            <w:pPr>
              <w:rPr>
                <w:rFonts w:ascii="宋体"/>
              </w:rPr>
            </w:pPr>
          </w:p>
        </w:tc>
        <w:tc>
          <w:tcPr>
            <w:tcW w:w="449" w:type="pct"/>
            <w:shd w:val="clear" w:color="auto" w:fill="auto"/>
            <w:vAlign w:val="bottom"/>
          </w:tcPr>
          <w:p w14:paraId="392C52B4" w14:textId="77777777" w:rsidR="00980E5F" w:rsidRDefault="00980E5F">
            <w:pPr>
              <w:rPr>
                <w:rFonts w:ascii="宋体"/>
              </w:rPr>
            </w:pPr>
          </w:p>
        </w:tc>
        <w:tc>
          <w:tcPr>
            <w:tcW w:w="5" w:type="pct"/>
            <w:shd w:val="clear" w:color="auto" w:fill="auto"/>
            <w:vAlign w:val="bottom"/>
          </w:tcPr>
          <w:p w14:paraId="392C52B5" w14:textId="77777777" w:rsidR="00980E5F" w:rsidRDefault="00980E5F">
            <w:pPr>
              <w:rPr>
                <w:rFonts w:ascii="宋体"/>
              </w:rPr>
            </w:pPr>
          </w:p>
        </w:tc>
        <w:tc>
          <w:tcPr>
            <w:tcW w:w="5" w:type="pct"/>
            <w:shd w:val="clear" w:color="auto" w:fill="auto"/>
            <w:vAlign w:val="bottom"/>
          </w:tcPr>
          <w:p w14:paraId="392C52B6" w14:textId="77777777" w:rsidR="00980E5F" w:rsidRDefault="00980E5F">
            <w:pPr>
              <w:rPr>
                <w:rFonts w:ascii="宋体"/>
              </w:rPr>
            </w:pPr>
          </w:p>
        </w:tc>
        <w:tc>
          <w:tcPr>
            <w:tcW w:w="19" w:type="pct"/>
            <w:shd w:val="clear" w:color="auto" w:fill="auto"/>
            <w:vAlign w:val="bottom"/>
          </w:tcPr>
          <w:p w14:paraId="392C52B7" w14:textId="77777777" w:rsidR="00980E5F" w:rsidRDefault="00980E5F">
            <w:pPr>
              <w:rPr>
                <w:rFonts w:ascii="宋体"/>
              </w:rPr>
            </w:pPr>
          </w:p>
        </w:tc>
        <w:tc>
          <w:tcPr>
            <w:tcW w:w="5" w:type="pct"/>
            <w:shd w:val="clear" w:color="auto" w:fill="auto"/>
            <w:vAlign w:val="bottom"/>
          </w:tcPr>
          <w:p w14:paraId="392C52B8" w14:textId="77777777" w:rsidR="00980E5F" w:rsidRDefault="00980E5F">
            <w:pPr>
              <w:rPr>
                <w:rFonts w:ascii="宋体"/>
              </w:rPr>
            </w:pPr>
          </w:p>
        </w:tc>
        <w:tc>
          <w:tcPr>
            <w:tcW w:w="50" w:type="pct"/>
            <w:shd w:val="clear" w:color="auto" w:fill="auto"/>
            <w:vAlign w:val="bottom"/>
          </w:tcPr>
          <w:p w14:paraId="392C52B9" w14:textId="77777777" w:rsidR="00980E5F" w:rsidRDefault="00980E5F">
            <w:pPr>
              <w:rPr>
                <w:rFonts w:ascii="宋体"/>
              </w:rPr>
            </w:pPr>
          </w:p>
        </w:tc>
        <w:tc>
          <w:tcPr>
            <w:tcW w:w="303" w:type="pct"/>
            <w:shd w:val="clear" w:color="auto" w:fill="auto"/>
            <w:vAlign w:val="bottom"/>
          </w:tcPr>
          <w:p w14:paraId="392C52BA" w14:textId="77777777" w:rsidR="00980E5F" w:rsidRDefault="00980E5F">
            <w:pPr>
              <w:rPr>
                <w:rFonts w:ascii="宋体"/>
              </w:rPr>
            </w:pPr>
          </w:p>
        </w:tc>
        <w:tc>
          <w:tcPr>
            <w:tcW w:w="5" w:type="pct"/>
            <w:shd w:val="clear" w:color="auto" w:fill="auto"/>
            <w:vAlign w:val="bottom"/>
          </w:tcPr>
          <w:p w14:paraId="392C52BB" w14:textId="77777777" w:rsidR="00980E5F" w:rsidRDefault="00980E5F">
            <w:pPr>
              <w:rPr>
                <w:rFonts w:ascii="宋体"/>
              </w:rPr>
            </w:pPr>
          </w:p>
        </w:tc>
        <w:tc>
          <w:tcPr>
            <w:tcW w:w="0" w:type="auto"/>
            <w:shd w:val="clear" w:color="auto" w:fill="auto"/>
            <w:vAlign w:val="bottom"/>
          </w:tcPr>
          <w:p w14:paraId="392C52BC" w14:textId="77777777" w:rsidR="00980E5F" w:rsidRDefault="00980E5F">
            <w:pPr>
              <w:rPr>
                <w:rFonts w:ascii="宋体"/>
                <w:vanish/>
              </w:rPr>
            </w:pPr>
          </w:p>
        </w:tc>
        <w:tc>
          <w:tcPr>
            <w:tcW w:w="0" w:type="auto"/>
            <w:shd w:val="clear" w:color="auto" w:fill="auto"/>
            <w:vAlign w:val="bottom"/>
          </w:tcPr>
          <w:p w14:paraId="392C52BD" w14:textId="77777777" w:rsidR="00980E5F" w:rsidRDefault="00980E5F">
            <w:pPr>
              <w:rPr>
                <w:rFonts w:ascii="宋体"/>
                <w:vanish/>
              </w:rPr>
            </w:pPr>
          </w:p>
        </w:tc>
        <w:tc>
          <w:tcPr>
            <w:tcW w:w="5" w:type="pct"/>
            <w:shd w:val="clear" w:color="auto" w:fill="auto"/>
            <w:vAlign w:val="bottom"/>
          </w:tcPr>
          <w:p w14:paraId="392C52BE" w14:textId="77777777" w:rsidR="00980E5F" w:rsidRDefault="00980E5F">
            <w:pPr>
              <w:rPr>
                <w:rFonts w:ascii="宋体"/>
              </w:rPr>
            </w:pPr>
          </w:p>
        </w:tc>
        <w:tc>
          <w:tcPr>
            <w:tcW w:w="19" w:type="pct"/>
            <w:shd w:val="clear" w:color="auto" w:fill="auto"/>
            <w:vAlign w:val="bottom"/>
          </w:tcPr>
          <w:p w14:paraId="392C52BF" w14:textId="77777777" w:rsidR="00980E5F" w:rsidRDefault="00980E5F">
            <w:pPr>
              <w:rPr>
                <w:rFonts w:ascii="宋体"/>
              </w:rPr>
            </w:pPr>
          </w:p>
        </w:tc>
        <w:tc>
          <w:tcPr>
            <w:tcW w:w="5" w:type="pct"/>
            <w:shd w:val="clear" w:color="auto" w:fill="auto"/>
            <w:vAlign w:val="bottom"/>
          </w:tcPr>
          <w:p w14:paraId="392C52C0" w14:textId="77777777" w:rsidR="00980E5F" w:rsidRDefault="00980E5F">
            <w:pPr>
              <w:rPr>
                <w:rFonts w:ascii="宋体"/>
              </w:rPr>
            </w:pPr>
          </w:p>
        </w:tc>
        <w:tc>
          <w:tcPr>
            <w:tcW w:w="50" w:type="pct"/>
            <w:shd w:val="clear" w:color="auto" w:fill="auto"/>
            <w:vAlign w:val="bottom"/>
          </w:tcPr>
          <w:p w14:paraId="392C52C1" w14:textId="77777777" w:rsidR="00980E5F" w:rsidRDefault="00980E5F">
            <w:pPr>
              <w:rPr>
                <w:rFonts w:ascii="宋体"/>
              </w:rPr>
            </w:pPr>
          </w:p>
        </w:tc>
        <w:tc>
          <w:tcPr>
            <w:tcW w:w="200" w:type="pct"/>
            <w:shd w:val="clear" w:color="auto" w:fill="auto"/>
            <w:vAlign w:val="bottom"/>
          </w:tcPr>
          <w:p w14:paraId="392C52C2" w14:textId="77777777" w:rsidR="00980E5F" w:rsidRDefault="00980E5F">
            <w:pPr>
              <w:rPr>
                <w:rFonts w:ascii="宋体"/>
              </w:rPr>
            </w:pPr>
          </w:p>
        </w:tc>
        <w:tc>
          <w:tcPr>
            <w:tcW w:w="5" w:type="pct"/>
            <w:shd w:val="clear" w:color="auto" w:fill="auto"/>
            <w:vAlign w:val="bottom"/>
          </w:tcPr>
          <w:p w14:paraId="392C52C3" w14:textId="77777777" w:rsidR="00980E5F" w:rsidRDefault="00980E5F">
            <w:pPr>
              <w:rPr>
                <w:rFonts w:ascii="宋体"/>
              </w:rPr>
            </w:pPr>
          </w:p>
        </w:tc>
        <w:tc>
          <w:tcPr>
            <w:tcW w:w="5" w:type="pct"/>
            <w:shd w:val="clear" w:color="auto" w:fill="auto"/>
            <w:vAlign w:val="bottom"/>
          </w:tcPr>
          <w:p w14:paraId="392C52C4" w14:textId="77777777" w:rsidR="00980E5F" w:rsidRDefault="00980E5F">
            <w:pPr>
              <w:rPr>
                <w:rFonts w:ascii="宋体"/>
              </w:rPr>
            </w:pPr>
          </w:p>
        </w:tc>
        <w:tc>
          <w:tcPr>
            <w:tcW w:w="19" w:type="pct"/>
            <w:shd w:val="clear" w:color="auto" w:fill="auto"/>
            <w:vAlign w:val="bottom"/>
          </w:tcPr>
          <w:p w14:paraId="392C52C5" w14:textId="77777777" w:rsidR="00980E5F" w:rsidRDefault="00980E5F">
            <w:pPr>
              <w:rPr>
                <w:rFonts w:ascii="宋体"/>
              </w:rPr>
            </w:pPr>
          </w:p>
        </w:tc>
        <w:tc>
          <w:tcPr>
            <w:tcW w:w="5" w:type="pct"/>
            <w:shd w:val="clear" w:color="auto" w:fill="auto"/>
            <w:vAlign w:val="bottom"/>
          </w:tcPr>
          <w:p w14:paraId="392C52C6" w14:textId="77777777" w:rsidR="00980E5F" w:rsidRDefault="00980E5F">
            <w:pPr>
              <w:rPr>
                <w:rFonts w:ascii="宋体"/>
              </w:rPr>
            </w:pPr>
          </w:p>
        </w:tc>
        <w:tc>
          <w:tcPr>
            <w:tcW w:w="50" w:type="pct"/>
            <w:shd w:val="clear" w:color="auto" w:fill="auto"/>
            <w:vAlign w:val="bottom"/>
          </w:tcPr>
          <w:p w14:paraId="392C52C7" w14:textId="77777777" w:rsidR="00980E5F" w:rsidRDefault="00980E5F">
            <w:pPr>
              <w:rPr>
                <w:rFonts w:ascii="宋体"/>
              </w:rPr>
            </w:pPr>
          </w:p>
        </w:tc>
        <w:tc>
          <w:tcPr>
            <w:tcW w:w="347" w:type="pct"/>
            <w:shd w:val="clear" w:color="auto" w:fill="auto"/>
            <w:vAlign w:val="bottom"/>
          </w:tcPr>
          <w:p w14:paraId="392C52C8" w14:textId="77777777" w:rsidR="00980E5F" w:rsidRDefault="00980E5F">
            <w:pPr>
              <w:rPr>
                <w:rFonts w:ascii="宋体"/>
              </w:rPr>
            </w:pPr>
          </w:p>
        </w:tc>
        <w:tc>
          <w:tcPr>
            <w:tcW w:w="5" w:type="pct"/>
            <w:shd w:val="clear" w:color="auto" w:fill="auto"/>
            <w:vAlign w:val="bottom"/>
          </w:tcPr>
          <w:p w14:paraId="392C52C9" w14:textId="77777777" w:rsidR="00980E5F" w:rsidRDefault="00980E5F">
            <w:pPr>
              <w:rPr>
                <w:rFonts w:ascii="宋体"/>
              </w:rPr>
            </w:pPr>
          </w:p>
        </w:tc>
        <w:tc>
          <w:tcPr>
            <w:tcW w:w="5" w:type="pct"/>
            <w:shd w:val="clear" w:color="auto" w:fill="auto"/>
            <w:vAlign w:val="bottom"/>
          </w:tcPr>
          <w:p w14:paraId="392C52CA" w14:textId="77777777" w:rsidR="00980E5F" w:rsidRDefault="00980E5F">
            <w:pPr>
              <w:rPr>
                <w:rFonts w:ascii="宋体"/>
              </w:rPr>
            </w:pPr>
          </w:p>
        </w:tc>
        <w:tc>
          <w:tcPr>
            <w:tcW w:w="19" w:type="pct"/>
            <w:shd w:val="clear" w:color="auto" w:fill="auto"/>
            <w:vAlign w:val="bottom"/>
          </w:tcPr>
          <w:p w14:paraId="392C52CB" w14:textId="77777777" w:rsidR="00980E5F" w:rsidRDefault="00980E5F">
            <w:pPr>
              <w:rPr>
                <w:rFonts w:ascii="宋体"/>
              </w:rPr>
            </w:pPr>
          </w:p>
        </w:tc>
        <w:tc>
          <w:tcPr>
            <w:tcW w:w="5" w:type="pct"/>
            <w:shd w:val="clear" w:color="auto" w:fill="auto"/>
            <w:vAlign w:val="bottom"/>
          </w:tcPr>
          <w:p w14:paraId="392C52CC" w14:textId="77777777" w:rsidR="00980E5F" w:rsidRDefault="00980E5F">
            <w:pPr>
              <w:rPr>
                <w:rFonts w:ascii="宋体"/>
              </w:rPr>
            </w:pPr>
          </w:p>
        </w:tc>
        <w:tc>
          <w:tcPr>
            <w:tcW w:w="50" w:type="pct"/>
            <w:shd w:val="clear" w:color="auto" w:fill="auto"/>
            <w:vAlign w:val="bottom"/>
          </w:tcPr>
          <w:p w14:paraId="392C52CD" w14:textId="77777777" w:rsidR="00980E5F" w:rsidRDefault="00980E5F">
            <w:pPr>
              <w:rPr>
                <w:rFonts w:ascii="宋体"/>
              </w:rPr>
            </w:pPr>
          </w:p>
        </w:tc>
        <w:tc>
          <w:tcPr>
            <w:tcW w:w="273" w:type="pct"/>
            <w:shd w:val="clear" w:color="auto" w:fill="auto"/>
            <w:vAlign w:val="bottom"/>
          </w:tcPr>
          <w:p w14:paraId="392C52CE" w14:textId="77777777" w:rsidR="00980E5F" w:rsidRDefault="00980E5F">
            <w:pPr>
              <w:rPr>
                <w:rFonts w:ascii="宋体"/>
              </w:rPr>
            </w:pPr>
          </w:p>
        </w:tc>
        <w:tc>
          <w:tcPr>
            <w:tcW w:w="5" w:type="pct"/>
            <w:shd w:val="clear" w:color="auto" w:fill="auto"/>
            <w:vAlign w:val="bottom"/>
          </w:tcPr>
          <w:p w14:paraId="392C52CF" w14:textId="77777777" w:rsidR="00980E5F" w:rsidRDefault="00980E5F">
            <w:pPr>
              <w:rPr>
                <w:rFonts w:ascii="宋体"/>
              </w:rPr>
            </w:pPr>
          </w:p>
        </w:tc>
        <w:tc>
          <w:tcPr>
            <w:tcW w:w="5" w:type="pct"/>
            <w:shd w:val="clear" w:color="auto" w:fill="auto"/>
            <w:vAlign w:val="bottom"/>
          </w:tcPr>
          <w:p w14:paraId="392C52D0" w14:textId="77777777" w:rsidR="00980E5F" w:rsidRDefault="00980E5F">
            <w:pPr>
              <w:rPr>
                <w:rFonts w:ascii="宋体"/>
              </w:rPr>
            </w:pPr>
          </w:p>
        </w:tc>
        <w:tc>
          <w:tcPr>
            <w:tcW w:w="19" w:type="pct"/>
            <w:shd w:val="clear" w:color="auto" w:fill="auto"/>
            <w:vAlign w:val="bottom"/>
          </w:tcPr>
          <w:p w14:paraId="392C52D1" w14:textId="77777777" w:rsidR="00980E5F" w:rsidRDefault="00980E5F">
            <w:pPr>
              <w:rPr>
                <w:rFonts w:ascii="宋体"/>
              </w:rPr>
            </w:pPr>
          </w:p>
        </w:tc>
        <w:tc>
          <w:tcPr>
            <w:tcW w:w="5" w:type="pct"/>
            <w:shd w:val="clear" w:color="auto" w:fill="auto"/>
            <w:vAlign w:val="bottom"/>
          </w:tcPr>
          <w:p w14:paraId="392C52D2" w14:textId="77777777" w:rsidR="00980E5F" w:rsidRDefault="00980E5F">
            <w:pPr>
              <w:rPr>
                <w:rFonts w:ascii="宋体"/>
              </w:rPr>
            </w:pPr>
          </w:p>
        </w:tc>
        <w:tc>
          <w:tcPr>
            <w:tcW w:w="50" w:type="pct"/>
            <w:shd w:val="clear" w:color="auto" w:fill="auto"/>
            <w:vAlign w:val="bottom"/>
          </w:tcPr>
          <w:p w14:paraId="392C52D3" w14:textId="77777777" w:rsidR="00980E5F" w:rsidRDefault="00980E5F">
            <w:pPr>
              <w:rPr>
                <w:rFonts w:ascii="宋体"/>
              </w:rPr>
            </w:pPr>
          </w:p>
        </w:tc>
        <w:tc>
          <w:tcPr>
            <w:tcW w:w="273" w:type="pct"/>
            <w:shd w:val="clear" w:color="auto" w:fill="auto"/>
            <w:vAlign w:val="bottom"/>
          </w:tcPr>
          <w:p w14:paraId="392C52D4" w14:textId="77777777" w:rsidR="00980E5F" w:rsidRDefault="00980E5F">
            <w:pPr>
              <w:rPr>
                <w:rFonts w:ascii="宋体"/>
              </w:rPr>
            </w:pPr>
          </w:p>
        </w:tc>
        <w:tc>
          <w:tcPr>
            <w:tcW w:w="5" w:type="pct"/>
            <w:shd w:val="clear" w:color="auto" w:fill="auto"/>
            <w:vAlign w:val="bottom"/>
          </w:tcPr>
          <w:p w14:paraId="392C52D5" w14:textId="77777777" w:rsidR="00980E5F" w:rsidRDefault="00980E5F">
            <w:pPr>
              <w:rPr>
                <w:rFonts w:ascii="宋体"/>
              </w:rPr>
            </w:pPr>
          </w:p>
        </w:tc>
        <w:tc>
          <w:tcPr>
            <w:tcW w:w="5" w:type="pct"/>
            <w:shd w:val="clear" w:color="auto" w:fill="auto"/>
            <w:vAlign w:val="bottom"/>
          </w:tcPr>
          <w:p w14:paraId="392C52D6" w14:textId="77777777" w:rsidR="00980E5F" w:rsidRDefault="00980E5F">
            <w:pPr>
              <w:rPr>
                <w:rFonts w:ascii="宋体"/>
              </w:rPr>
            </w:pPr>
          </w:p>
        </w:tc>
        <w:tc>
          <w:tcPr>
            <w:tcW w:w="19" w:type="pct"/>
            <w:shd w:val="clear" w:color="auto" w:fill="auto"/>
            <w:vAlign w:val="bottom"/>
          </w:tcPr>
          <w:p w14:paraId="392C52D7" w14:textId="77777777" w:rsidR="00980E5F" w:rsidRDefault="00980E5F">
            <w:pPr>
              <w:rPr>
                <w:rFonts w:ascii="宋体"/>
              </w:rPr>
            </w:pPr>
          </w:p>
        </w:tc>
        <w:tc>
          <w:tcPr>
            <w:tcW w:w="5" w:type="pct"/>
            <w:shd w:val="clear" w:color="auto" w:fill="auto"/>
            <w:vAlign w:val="bottom"/>
          </w:tcPr>
          <w:p w14:paraId="392C52D8" w14:textId="77777777" w:rsidR="00980E5F" w:rsidRDefault="00980E5F">
            <w:pPr>
              <w:rPr>
                <w:rFonts w:ascii="宋体"/>
              </w:rPr>
            </w:pPr>
          </w:p>
        </w:tc>
        <w:tc>
          <w:tcPr>
            <w:tcW w:w="50" w:type="pct"/>
            <w:shd w:val="clear" w:color="auto" w:fill="auto"/>
            <w:vAlign w:val="bottom"/>
          </w:tcPr>
          <w:p w14:paraId="392C52D9" w14:textId="77777777" w:rsidR="00980E5F" w:rsidRDefault="00980E5F">
            <w:pPr>
              <w:rPr>
                <w:rFonts w:ascii="宋体"/>
              </w:rPr>
            </w:pPr>
          </w:p>
        </w:tc>
        <w:tc>
          <w:tcPr>
            <w:tcW w:w="420" w:type="pct"/>
            <w:shd w:val="clear" w:color="auto" w:fill="auto"/>
            <w:vAlign w:val="bottom"/>
          </w:tcPr>
          <w:p w14:paraId="392C52DA" w14:textId="77777777" w:rsidR="00980E5F" w:rsidRDefault="00980E5F">
            <w:pPr>
              <w:rPr>
                <w:rFonts w:ascii="宋体"/>
              </w:rPr>
            </w:pPr>
          </w:p>
        </w:tc>
        <w:tc>
          <w:tcPr>
            <w:tcW w:w="5" w:type="pct"/>
            <w:shd w:val="clear" w:color="auto" w:fill="auto"/>
            <w:vAlign w:val="bottom"/>
          </w:tcPr>
          <w:p w14:paraId="392C52DB" w14:textId="77777777" w:rsidR="00980E5F" w:rsidRDefault="00980E5F">
            <w:pPr>
              <w:rPr>
                <w:rFonts w:ascii="宋体"/>
              </w:rPr>
            </w:pPr>
          </w:p>
        </w:tc>
        <w:tc>
          <w:tcPr>
            <w:tcW w:w="5" w:type="pct"/>
            <w:shd w:val="clear" w:color="auto" w:fill="auto"/>
            <w:vAlign w:val="bottom"/>
          </w:tcPr>
          <w:p w14:paraId="392C52DC" w14:textId="77777777" w:rsidR="00980E5F" w:rsidRDefault="00980E5F">
            <w:pPr>
              <w:rPr>
                <w:rFonts w:ascii="宋体"/>
              </w:rPr>
            </w:pPr>
          </w:p>
        </w:tc>
        <w:tc>
          <w:tcPr>
            <w:tcW w:w="19" w:type="pct"/>
            <w:shd w:val="clear" w:color="auto" w:fill="auto"/>
            <w:vAlign w:val="bottom"/>
          </w:tcPr>
          <w:p w14:paraId="392C52DD" w14:textId="77777777" w:rsidR="00980E5F" w:rsidRDefault="00980E5F">
            <w:pPr>
              <w:rPr>
                <w:rFonts w:ascii="宋体"/>
              </w:rPr>
            </w:pPr>
          </w:p>
        </w:tc>
        <w:tc>
          <w:tcPr>
            <w:tcW w:w="5" w:type="pct"/>
            <w:shd w:val="clear" w:color="auto" w:fill="auto"/>
            <w:vAlign w:val="bottom"/>
          </w:tcPr>
          <w:p w14:paraId="392C52DE" w14:textId="77777777" w:rsidR="00980E5F" w:rsidRDefault="00980E5F">
            <w:pPr>
              <w:rPr>
                <w:rFonts w:ascii="宋体"/>
              </w:rPr>
            </w:pPr>
          </w:p>
        </w:tc>
      </w:tr>
      <w:tr w:rsidR="00980E5F" w14:paraId="392C52E5" w14:textId="77777777">
        <w:tc>
          <w:tcPr>
            <w:tcW w:w="0" w:type="auto"/>
            <w:gridSpan w:val="3"/>
            <w:shd w:val="clear" w:color="auto" w:fill="auto"/>
            <w:tcMar>
              <w:top w:w="0" w:type="dxa"/>
              <w:left w:w="20" w:type="dxa"/>
              <w:bottom w:w="0" w:type="dxa"/>
              <w:right w:w="20" w:type="dxa"/>
            </w:tcMar>
            <w:vAlign w:val="bottom"/>
          </w:tcPr>
          <w:p w14:paraId="392C52E0" w14:textId="77777777" w:rsidR="00980E5F" w:rsidRDefault="00980E5F">
            <w:pPr>
              <w:rPr>
                <w:rFonts w:ascii="宋体"/>
              </w:rPr>
            </w:pPr>
          </w:p>
        </w:tc>
        <w:tc>
          <w:tcPr>
            <w:tcW w:w="0" w:type="auto"/>
            <w:gridSpan w:val="53"/>
            <w:shd w:val="clear" w:color="auto" w:fill="auto"/>
            <w:tcMar>
              <w:top w:w="40" w:type="dxa"/>
              <w:left w:w="20" w:type="dxa"/>
              <w:bottom w:w="40" w:type="dxa"/>
              <w:right w:w="20" w:type="dxa"/>
            </w:tcMar>
            <w:vAlign w:val="bottom"/>
          </w:tcPr>
          <w:p w14:paraId="392C52E1" w14:textId="77777777" w:rsidR="00980E5F" w:rsidRDefault="00483613">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392C52E2" w14:textId="77777777" w:rsidR="00980E5F" w:rsidRDefault="00980E5F">
            <w:pPr>
              <w:rPr>
                <w:rFonts w:ascii="宋体"/>
              </w:rPr>
            </w:pPr>
          </w:p>
        </w:tc>
        <w:tc>
          <w:tcPr>
            <w:tcW w:w="0" w:type="auto"/>
            <w:shd w:val="clear" w:color="auto" w:fill="auto"/>
            <w:vAlign w:val="bottom"/>
          </w:tcPr>
          <w:p w14:paraId="392C52E3" w14:textId="77777777" w:rsidR="00980E5F" w:rsidRDefault="00980E5F">
            <w:pPr>
              <w:rPr>
                <w:rFonts w:ascii="宋体"/>
              </w:rPr>
            </w:pPr>
          </w:p>
        </w:tc>
        <w:tc>
          <w:tcPr>
            <w:tcW w:w="0" w:type="auto"/>
            <w:shd w:val="clear" w:color="auto" w:fill="auto"/>
            <w:vAlign w:val="bottom"/>
          </w:tcPr>
          <w:p w14:paraId="392C52E4" w14:textId="77777777" w:rsidR="00980E5F" w:rsidRDefault="00980E5F">
            <w:pPr>
              <w:rPr>
                <w:rFonts w:ascii="宋体"/>
              </w:rPr>
            </w:pPr>
          </w:p>
        </w:tc>
      </w:tr>
      <w:tr w:rsidR="00980E5F" w14:paraId="392C52EB" w14:textId="77777777">
        <w:tc>
          <w:tcPr>
            <w:tcW w:w="0" w:type="auto"/>
            <w:gridSpan w:val="3"/>
            <w:shd w:val="clear" w:color="auto" w:fill="auto"/>
            <w:tcMar>
              <w:top w:w="40" w:type="dxa"/>
              <w:left w:w="20" w:type="dxa"/>
              <w:bottom w:w="40" w:type="dxa"/>
              <w:right w:w="20" w:type="dxa"/>
            </w:tcMar>
          </w:tcPr>
          <w:p w14:paraId="392C52E6" w14:textId="77777777" w:rsidR="00980E5F" w:rsidRDefault="00483613">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392C52E7" w14:textId="77777777" w:rsidR="00980E5F" w:rsidRDefault="00483613">
            <w:pPr>
              <w:jc w:val="center"/>
              <w:textAlignment w:val="bottom"/>
            </w:pPr>
            <w:r>
              <w:rPr>
                <w:rFonts w:ascii="Arial" w:eastAsia="宋体" w:hAnsi="Arial" w:cs="Arial"/>
                <w:b/>
                <w:bCs/>
                <w:color w:val="000000"/>
                <w:sz w:val="12"/>
                <w:szCs w:val="12"/>
              </w:rPr>
              <w:t>Six Months Ended June 30, 2021</w:t>
            </w:r>
          </w:p>
        </w:tc>
        <w:tc>
          <w:tcPr>
            <w:tcW w:w="0" w:type="auto"/>
            <w:shd w:val="clear" w:color="auto" w:fill="auto"/>
            <w:vAlign w:val="bottom"/>
          </w:tcPr>
          <w:p w14:paraId="392C52E8" w14:textId="77777777" w:rsidR="00980E5F" w:rsidRDefault="00980E5F">
            <w:pPr>
              <w:rPr>
                <w:rFonts w:ascii="宋体"/>
              </w:rPr>
            </w:pPr>
          </w:p>
        </w:tc>
        <w:tc>
          <w:tcPr>
            <w:tcW w:w="0" w:type="auto"/>
            <w:shd w:val="clear" w:color="auto" w:fill="auto"/>
            <w:vAlign w:val="bottom"/>
          </w:tcPr>
          <w:p w14:paraId="392C52E9" w14:textId="77777777" w:rsidR="00980E5F" w:rsidRDefault="00980E5F">
            <w:pPr>
              <w:rPr>
                <w:rFonts w:ascii="宋体"/>
              </w:rPr>
            </w:pPr>
          </w:p>
        </w:tc>
        <w:tc>
          <w:tcPr>
            <w:tcW w:w="0" w:type="auto"/>
            <w:shd w:val="clear" w:color="auto" w:fill="auto"/>
            <w:vAlign w:val="bottom"/>
          </w:tcPr>
          <w:p w14:paraId="392C52EA" w14:textId="77777777" w:rsidR="00980E5F" w:rsidRDefault="00980E5F">
            <w:pPr>
              <w:rPr>
                <w:rFonts w:ascii="宋体"/>
              </w:rPr>
            </w:pPr>
          </w:p>
        </w:tc>
      </w:tr>
      <w:tr w:rsidR="00980E5F" w14:paraId="392C5302" w14:textId="77777777">
        <w:trPr>
          <w:trHeight w:val="400"/>
        </w:trPr>
        <w:tc>
          <w:tcPr>
            <w:tcW w:w="0" w:type="auto"/>
            <w:gridSpan w:val="3"/>
            <w:shd w:val="clear" w:color="auto" w:fill="auto"/>
            <w:tcMar>
              <w:top w:w="40" w:type="dxa"/>
              <w:left w:w="20" w:type="dxa"/>
              <w:bottom w:w="40" w:type="dxa"/>
              <w:right w:w="20" w:type="dxa"/>
            </w:tcMar>
          </w:tcPr>
          <w:p w14:paraId="392C52EC" w14:textId="77777777" w:rsidR="00980E5F" w:rsidRDefault="00483613">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ED" w14:textId="77777777" w:rsidR="00980E5F" w:rsidRDefault="00483613">
            <w:pPr>
              <w:jc w:val="center"/>
              <w:textAlignment w:val="bottom"/>
            </w:pPr>
            <w:r>
              <w:rPr>
                <w:rFonts w:ascii="Arial" w:eastAsia="宋体" w:hAnsi="Arial" w:cs="Arial"/>
                <w:b/>
                <w:bCs/>
                <w:color w:val="000000"/>
                <w:sz w:val="12"/>
                <w:szCs w:val="12"/>
              </w:rPr>
              <w:t xml:space="preserve">Fair Value as of December 31, </w:t>
            </w:r>
            <w:r>
              <w:rPr>
                <w:rFonts w:ascii="Arial" w:eastAsia="宋体" w:hAnsi="Arial" w:cs="Arial"/>
                <w:b/>
                <w:bCs/>
                <w:color w:val="000000"/>
                <w:sz w:val="12"/>
                <w:szCs w:val="12"/>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EE"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2EF" w14:textId="77777777" w:rsidR="00980E5F" w:rsidRDefault="00483613">
            <w:pPr>
              <w:jc w:val="center"/>
              <w:textAlignment w:val="bottom"/>
            </w:pPr>
            <w:r>
              <w:rPr>
                <w:rFonts w:ascii="Arial" w:eastAsia="宋体" w:hAnsi="Arial" w:cs="Arial"/>
                <w:b/>
                <w:bCs/>
                <w:color w:val="000000"/>
                <w:sz w:val="12"/>
                <w:szCs w:val="12"/>
              </w:rPr>
              <w:t>Total Realized and</w:t>
            </w:r>
          </w:p>
          <w:p w14:paraId="392C52F0" w14:textId="77777777" w:rsidR="00980E5F" w:rsidRDefault="00483613">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1"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2" w14:textId="77777777" w:rsidR="00980E5F" w:rsidRDefault="00483613">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392C52F3" w14:textId="77777777" w:rsidR="00980E5F" w:rsidRDefault="00980E5F">
            <w:pPr>
              <w:rPr>
                <w:rFonts w:ascii="宋体"/>
                <w:vanish/>
              </w:rPr>
            </w:pPr>
          </w:p>
        </w:tc>
        <w:tc>
          <w:tcPr>
            <w:tcW w:w="0" w:type="auto"/>
            <w:shd w:val="clear" w:color="auto" w:fill="auto"/>
            <w:vAlign w:val="bottom"/>
          </w:tcPr>
          <w:p w14:paraId="392C52F4"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5"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6" w14:textId="77777777" w:rsidR="00980E5F" w:rsidRDefault="00483613">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7"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8" w14:textId="77777777" w:rsidR="00980E5F" w:rsidRDefault="00483613">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9"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A" w14:textId="77777777" w:rsidR="00980E5F" w:rsidRDefault="00483613">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B"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C" w14:textId="77777777" w:rsidR="00980E5F" w:rsidRDefault="00483613">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2FD"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2FE" w14:textId="77777777" w:rsidR="00980E5F" w:rsidRDefault="00483613">
            <w:pPr>
              <w:jc w:val="center"/>
              <w:textAlignment w:val="bottom"/>
            </w:pPr>
            <w:r>
              <w:rPr>
                <w:rFonts w:ascii="Arial" w:eastAsia="宋体" w:hAnsi="Arial" w:cs="Arial"/>
                <w:b/>
                <w:bCs/>
                <w:color w:val="000000"/>
                <w:sz w:val="12"/>
                <w:szCs w:val="12"/>
              </w:rPr>
              <w:t>Fair Value </w:t>
            </w:r>
          </w:p>
          <w:p w14:paraId="392C52FF" w14:textId="77777777" w:rsidR="00980E5F" w:rsidRDefault="00483613">
            <w:pPr>
              <w:jc w:val="center"/>
              <w:textAlignment w:val="bottom"/>
            </w:pPr>
            <w:r>
              <w:rPr>
                <w:rFonts w:ascii="Arial" w:eastAsia="宋体" w:hAnsi="Arial" w:cs="Arial"/>
                <w:b/>
                <w:bCs/>
                <w:color w:val="000000"/>
                <w:sz w:val="12"/>
                <w:szCs w:val="12"/>
              </w:rPr>
              <w:t>as of June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5300" w14:textId="77777777" w:rsidR="00980E5F" w:rsidRDefault="00980E5F">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92C5301" w14:textId="77777777" w:rsidR="00980E5F" w:rsidRDefault="00483613">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June 30, 2021</w:t>
            </w:r>
          </w:p>
        </w:tc>
      </w:tr>
      <w:tr w:rsidR="00980E5F" w14:paraId="392C5318" w14:textId="77777777">
        <w:trPr>
          <w:trHeight w:val="720"/>
        </w:trPr>
        <w:tc>
          <w:tcPr>
            <w:tcW w:w="0" w:type="auto"/>
            <w:gridSpan w:val="3"/>
            <w:shd w:val="clear" w:color="auto" w:fill="auto"/>
            <w:tcMar>
              <w:top w:w="40" w:type="dxa"/>
              <w:left w:w="20" w:type="dxa"/>
              <w:bottom w:w="40" w:type="dxa"/>
              <w:right w:w="20" w:type="dxa"/>
            </w:tcMar>
            <w:vAlign w:val="bottom"/>
          </w:tcPr>
          <w:p w14:paraId="392C5303" w14:textId="77777777" w:rsidR="00980E5F" w:rsidRDefault="00483613">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04"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30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306" w14:textId="77777777" w:rsidR="00980E5F" w:rsidRDefault="00483613">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0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308" w14:textId="77777777" w:rsidR="00980E5F" w:rsidRDefault="00483613">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392C5309"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0A" w14:textId="77777777" w:rsidR="00980E5F" w:rsidRDefault="00980E5F">
            <w:pPr>
              <w:jc w:val="center"/>
              <w:rPr>
                <w:rFonts w:ascii="宋体"/>
              </w:rPr>
            </w:pPr>
          </w:p>
        </w:tc>
        <w:tc>
          <w:tcPr>
            <w:tcW w:w="0" w:type="auto"/>
            <w:shd w:val="clear" w:color="auto" w:fill="auto"/>
            <w:vAlign w:val="bottom"/>
          </w:tcPr>
          <w:p w14:paraId="392C530B" w14:textId="77777777" w:rsidR="00980E5F" w:rsidRDefault="00980E5F">
            <w:pPr>
              <w:rPr>
                <w:rFonts w:ascii="宋体"/>
                <w:vanish/>
              </w:rPr>
            </w:pPr>
          </w:p>
        </w:tc>
        <w:tc>
          <w:tcPr>
            <w:tcW w:w="0" w:type="auto"/>
            <w:shd w:val="clear" w:color="auto" w:fill="auto"/>
            <w:vAlign w:val="bottom"/>
          </w:tcPr>
          <w:p w14:paraId="392C530C"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30D"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0E"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30F"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10"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311"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12"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313"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14"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5315"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31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17" w14:textId="77777777" w:rsidR="00980E5F" w:rsidRDefault="00980E5F">
            <w:pPr>
              <w:rPr>
                <w:rFonts w:ascii="宋体"/>
              </w:rPr>
            </w:pPr>
          </w:p>
        </w:tc>
      </w:tr>
      <w:tr w:rsidR="00980E5F" w14:paraId="392C532F" w14:textId="77777777">
        <w:tc>
          <w:tcPr>
            <w:tcW w:w="0" w:type="auto"/>
            <w:gridSpan w:val="3"/>
            <w:shd w:val="clear" w:color="auto" w:fill="auto"/>
            <w:tcMar>
              <w:top w:w="40" w:type="dxa"/>
              <w:left w:w="20" w:type="dxa"/>
              <w:bottom w:w="40" w:type="dxa"/>
              <w:right w:w="20" w:type="dxa"/>
            </w:tcMar>
            <w:vAlign w:val="center"/>
          </w:tcPr>
          <w:p w14:paraId="392C5319" w14:textId="77777777" w:rsidR="00980E5F" w:rsidRDefault="00483613">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1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1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1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1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1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1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0" w14:textId="77777777" w:rsidR="00980E5F" w:rsidRDefault="00980E5F">
            <w:pPr>
              <w:rPr>
                <w:rFonts w:ascii="宋体"/>
              </w:rPr>
            </w:pPr>
          </w:p>
        </w:tc>
        <w:tc>
          <w:tcPr>
            <w:tcW w:w="0" w:type="auto"/>
            <w:shd w:val="clear" w:color="auto" w:fill="auto"/>
            <w:vAlign w:val="bottom"/>
          </w:tcPr>
          <w:p w14:paraId="392C5321" w14:textId="77777777" w:rsidR="00980E5F" w:rsidRDefault="00980E5F">
            <w:pPr>
              <w:rPr>
                <w:rFonts w:ascii="宋体"/>
                <w:vanish/>
              </w:rPr>
            </w:pPr>
          </w:p>
        </w:tc>
        <w:tc>
          <w:tcPr>
            <w:tcW w:w="0" w:type="auto"/>
            <w:shd w:val="clear" w:color="auto" w:fill="auto"/>
            <w:vAlign w:val="bottom"/>
          </w:tcPr>
          <w:p w14:paraId="392C532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32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2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2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2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2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32C"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32D" w14:textId="77777777" w:rsidR="00980E5F" w:rsidRDefault="00980E5F">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392C532E" w14:textId="77777777" w:rsidR="00980E5F" w:rsidRDefault="00980E5F">
            <w:pPr>
              <w:rPr>
                <w:rFonts w:ascii="宋体"/>
              </w:rPr>
            </w:pPr>
          </w:p>
        </w:tc>
      </w:tr>
      <w:tr w:rsidR="00980E5F" w14:paraId="392C5346" w14:textId="77777777">
        <w:tc>
          <w:tcPr>
            <w:tcW w:w="0" w:type="auto"/>
            <w:gridSpan w:val="3"/>
            <w:shd w:val="clear" w:color="auto" w:fill="auto"/>
            <w:tcMar>
              <w:top w:w="40" w:type="dxa"/>
              <w:left w:w="20" w:type="dxa"/>
              <w:bottom w:w="40" w:type="dxa"/>
              <w:right w:w="20" w:type="dxa"/>
            </w:tcMar>
            <w:vAlign w:val="center"/>
          </w:tcPr>
          <w:p w14:paraId="392C5330" w14:textId="77777777" w:rsidR="00980E5F" w:rsidRDefault="00483613">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392C533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7" w14:textId="77777777" w:rsidR="00980E5F" w:rsidRDefault="00980E5F">
            <w:pPr>
              <w:rPr>
                <w:rFonts w:ascii="宋体"/>
              </w:rPr>
            </w:pPr>
          </w:p>
        </w:tc>
        <w:tc>
          <w:tcPr>
            <w:tcW w:w="0" w:type="auto"/>
            <w:shd w:val="clear" w:color="auto" w:fill="auto"/>
            <w:vAlign w:val="bottom"/>
          </w:tcPr>
          <w:p w14:paraId="392C5338" w14:textId="77777777" w:rsidR="00980E5F" w:rsidRDefault="00980E5F">
            <w:pPr>
              <w:rPr>
                <w:rFonts w:ascii="宋体"/>
                <w:vanish/>
              </w:rPr>
            </w:pPr>
          </w:p>
        </w:tc>
        <w:tc>
          <w:tcPr>
            <w:tcW w:w="0" w:type="auto"/>
            <w:shd w:val="clear" w:color="auto" w:fill="auto"/>
            <w:vAlign w:val="bottom"/>
          </w:tcPr>
          <w:p w14:paraId="392C5339"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33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3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4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4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4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43"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344"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5345" w14:textId="77777777" w:rsidR="00980E5F" w:rsidRDefault="00980E5F">
            <w:pPr>
              <w:rPr>
                <w:rFonts w:ascii="宋体"/>
              </w:rPr>
            </w:pPr>
          </w:p>
        </w:tc>
      </w:tr>
      <w:tr w:rsidR="00980E5F" w14:paraId="392C535D" w14:textId="77777777">
        <w:trPr>
          <w:hidden/>
        </w:trPr>
        <w:tc>
          <w:tcPr>
            <w:tcW w:w="0" w:type="auto"/>
            <w:gridSpan w:val="3"/>
            <w:shd w:val="clear" w:color="auto" w:fill="auto"/>
            <w:vAlign w:val="bottom"/>
          </w:tcPr>
          <w:p w14:paraId="392C5347" w14:textId="77777777" w:rsidR="00980E5F" w:rsidRDefault="00980E5F">
            <w:pPr>
              <w:rPr>
                <w:rFonts w:ascii="宋体"/>
                <w:vanish/>
              </w:rPr>
            </w:pPr>
          </w:p>
        </w:tc>
        <w:tc>
          <w:tcPr>
            <w:tcW w:w="0" w:type="auto"/>
            <w:gridSpan w:val="3"/>
            <w:shd w:val="clear" w:color="auto" w:fill="auto"/>
            <w:vAlign w:val="bottom"/>
          </w:tcPr>
          <w:p w14:paraId="392C5348" w14:textId="77777777" w:rsidR="00980E5F" w:rsidRDefault="00980E5F">
            <w:pPr>
              <w:rPr>
                <w:rFonts w:ascii="宋体"/>
                <w:vanish/>
              </w:rPr>
            </w:pPr>
          </w:p>
        </w:tc>
        <w:tc>
          <w:tcPr>
            <w:tcW w:w="0" w:type="auto"/>
            <w:gridSpan w:val="3"/>
            <w:shd w:val="clear" w:color="auto" w:fill="auto"/>
            <w:vAlign w:val="bottom"/>
          </w:tcPr>
          <w:p w14:paraId="392C5349" w14:textId="77777777" w:rsidR="00980E5F" w:rsidRDefault="00980E5F">
            <w:pPr>
              <w:rPr>
                <w:rFonts w:ascii="宋体"/>
                <w:vanish/>
              </w:rPr>
            </w:pPr>
          </w:p>
        </w:tc>
        <w:tc>
          <w:tcPr>
            <w:tcW w:w="0" w:type="auto"/>
            <w:gridSpan w:val="3"/>
            <w:shd w:val="clear" w:color="auto" w:fill="auto"/>
            <w:vAlign w:val="bottom"/>
          </w:tcPr>
          <w:p w14:paraId="392C534A" w14:textId="77777777" w:rsidR="00980E5F" w:rsidRDefault="00980E5F">
            <w:pPr>
              <w:rPr>
                <w:rFonts w:ascii="宋体"/>
                <w:vanish/>
              </w:rPr>
            </w:pPr>
          </w:p>
        </w:tc>
        <w:tc>
          <w:tcPr>
            <w:tcW w:w="0" w:type="auto"/>
            <w:gridSpan w:val="3"/>
            <w:shd w:val="clear" w:color="auto" w:fill="auto"/>
            <w:vAlign w:val="bottom"/>
          </w:tcPr>
          <w:p w14:paraId="392C534B" w14:textId="77777777" w:rsidR="00980E5F" w:rsidRDefault="00980E5F">
            <w:pPr>
              <w:rPr>
                <w:rFonts w:ascii="宋体"/>
                <w:vanish/>
              </w:rPr>
            </w:pPr>
          </w:p>
        </w:tc>
        <w:tc>
          <w:tcPr>
            <w:tcW w:w="0" w:type="auto"/>
            <w:gridSpan w:val="3"/>
            <w:shd w:val="clear" w:color="auto" w:fill="auto"/>
            <w:vAlign w:val="bottom"/>
          </w:tcPr>
          <w:p w14:paraId="392C534C" w14:textId="77777777" w:rsidR="00980E5F" w:rsidRDefault="00980E5F">
            <w:pPr>
              <w:rPr>
                <w:rFonts w:ascii="宋体"/>
                <w:vanish/>
              </w:rPr>
            </w:pPr>
          </w:p>
        </w:tc>
        <w:tc>
          <w:tcPr>
            <w:tcW w:w="0" w:type="auto"/>
            <w:gridSpan w:val="3"/>
            <w:shd w:val="clear" w:color="auto" w:fill="auto"/>
            <w:vAlign w:val="bottom"/>
          </w:tcPr>
          <w:p w14:paraId="392C534D" w14:textId="77777777" w:rsidR="00980E5F" w:rsidRDefault="00980E5F">
            <w:pPr>
              <w:rPr>
                <w:rFonts w:ascii="宋体"/>
                <w:vanish/>
              </w:rPr>
            </w:pPr>
          </w:p>
        </w:tc>
        <w:tc>
          <w:tcPr>
            <w:tcW w:w="0" w:type="auto"/>
            <w:gridSpan w:val="3"/>
            <w:shd w:val="clear" w:color="auto" w:fill="auto"/>
            <w:vAlign w:val="bottom"/>
          </w:tcPr>
          <w:p w14:paraId="392C534E" w14:textId="77777777" w:rsidR="00980E5F" w:rsidRDefault="00980E5F">
            <w:pPr>
              <w:rPr>
                <w:rFonts w:ascii="宋体"/>
                <w:vanish/>
              </w:rPr>
            </w:pPr>
          </w:p>
        </w:tc>
        <w:tc>
          <w:tcPr>
            <w:tcW w:w="0" w:type="auto"/>
            <w:shd w:val="clear" w:color="auto" w:fill="auto"/>
            <w:vAlign w:val="bottom"/>
          </w:tcPr>
          <w:p w14:paraId="392C534F" w14:textId="77777777" w:rsidR="00980E5F" w:rsidRDefault="00980E5F">
            <w:pPr>
              <w:rPr>
                <w:rFonts w:ascii="宋体"/>
                <w:vanish/>
              </w:rPr>
            </w:pPr>
          </w:p>
        </w:tc>
        <w:tc>
          <w:tcPr>
            <w:tcW w:w="0" w:type="auto"/>
            <w:shd w:val="clear" w:color="auto" w:fill="auto"/>
            <w:vAlign w:val="bottom"/>
          </w:tcPr>
          <w:p w14:paraId="392C5350" w14:textId="77777777" w:rsidR="00980E5F" w:rsidRDefault="00980E5F">
            <w:pPr>
              <w:rPr>
                <w:rFonts w:ascii="宋体"/>
                <w:vanish/>
              </w:rPr>
            </w:pPr>
          </w:p>
        </w:tc>
        <w:tc>
          <w:tcPr>
            <w:tcW w:w="0" w:type="auto"/>
            <w:gridSpan w:val="3"/>
            <w:shd w:val="clear" w:color="auto" w:fill="auto"/>
            <w:vAlign w:val="bottom"/>
          </w:tcPr>
          <w:p w14:paraId="392C5351" w14:textId="77777777" w:rsidR="00980E5F" w:rsidRDefault="00980E5F">
            <w:pPr>
              <w:rPr>
                <w:rFonts w:ascii="宋体"/>
                <w:vanish/>
              </w:rPr>
            </w:pPr>
          </w:p>
        </w:tc>
        <w:tc>
          <w:tcPr>
            <w:tcW w:w="0" w:type="auto"/>
            <w:gridSpan w:val="3"/>
            <w:shd w:val="clear" w:color="auto" w:fill="auto"/>
            <w:vAlign w:val="bottom"/>
          </w:tcPr>
          <w:p w14:paraId="392C5352" w14:textId="77777777" w:rsidR="00980E5F" w:rsidRDefault="00980E5F">
            <w:pPr>
              <w:rPr>
                <w:rFonts w:ascii="宋体"/>
                <w:vanish/>
              </w:rPr>
            </w:pPr>
          </w:p>
        </w:tc>
        <w:tc>
          <w:tcPr>
            <w:tcW w:w="0" w:type="auto"/>
            <w:gridSpan w:val="3"/>
            <w:shd w:val="clear" w:color="auto" w:fill="auto"/>
            <w:vAlign w:val="bottom"/>
          </w:tcPr>
          <w:p w14:paraId="392C5353" w14:textId="77777777" w:rsidR="00980E5F" w:rsidRDefault="00980E5F">
            <w:pPr>
              <w:rPr>
                <w:rFonts w:ascii="宋体"/>
                <w:vanish/>
              </w:rPr>
            </w:pPr>
          </w:p>
        </w:tc>
        <w:tc>
          <w:tcPr>
            <w:tcW w:w="0" w:type="auto"/>
            <w:gridSpan w:val="3"/>
            <w:shd w:val="clear" w:color="auto" w:fill="auto"/>
            <w:vAlign w:val="bottom"/>
          </w:tcPr>
          <w:p w14:paraId="392C5354" w14:textId="77777777" w:rsidR="00980E5F" w:rsidRDefault="00980E5F">
            <w:pPr>
              <w:rPr>
                <w:rFonts w:ascii="宋体"/>
                <w:vanish/>
              </w:rPr>
            </w:pPr>
          </w:p>
        </w:tc>
        <w:tc>
          <w:tcPr>
            <w:tcW w:w="0" w:type="auto"/>
            <w:gridSpan w:val="3"/>
            <w:shd w:val="clear" w:color="auto" w:fill="auto"/>
            <w:vAlign w:val="bottom"/>
          </w:tcPr>
          <w:p w14:paraId="392C5355" w14:textId="77777777" w:rsidR="00980E5F" w:rsidRDefault="00980E5F">
            <w:pPr>
              <w:rPr>
                <w:rFonts w:ascii="宋体"/>
                <w:vanish/>
              </w:rPr>
            </w:pPr>
          </w:p>
        </w:tc>
        <w:tc>
          <w:tcPr>
            <w:tcW w:w="0" w:type="auto"/>
            <w:gridSpan w:val="3"/>
            <w:shd w:val="clear" w:color="auto" w:fill="auto"/>
            <w:vAlign w:val="bottom"/>
          </w:tcPr>
          <w:p w14:paraId="392C5356" w14:textId="77777777" w:rsidR="00980E5F" w:rsidRDefault="00980E5F">
            <w:pPr>
              <w:rPr>
                <w:rFonts w:ascii="宋体"/>
                <w:vanish/>
              </w:rPr>
            </w:pPr>
          </w:p>
        </w:tc>
        <w:tc>
          <w:tcPr>
            <w:tcW w:w="0" w:type="auto"/>
            <w:gridSpan w:val="3"/>
            <w:shd w:val="clear" w:color="auto" w:fill="auto"/>
            <w:vAlign w:val="bottom"/>
          </w:tcPr>
          <w:p w14:paraId="392C5357" w14:textId="77777777" w:rsidR="00980E5F" w:rsidRDefault="00980E5F">
            <w:pPr>
              <w:rPr>
                <w:rFonts w:ascii="宋体"/>
                <w:vanish/>
              </w:rPr>
            </w:pPr>
          </w:p>
        </w:tc>
        <w:tc>
          <w:tcPr>
            <w:tcW w:w="0" w:type="auto"/>
            <w:gridSpan w:val="3"/>
            <w:shd w:val="clear" w:color="auto" w:fill="auto"/>
            <w:vAlign w:val="bottom"/>
          </w:tcPr>
          <w:p w14:paraId="392C5358" w14:textId="77777777" w:rsidR="00980E5F" w:rsidRDefault="00980E5F">
            <w:pPr>
              <w:rPr>
                <w:rFonts w:ascii="宋体"/>
                <w:vanish/>
              </w:rPr>
            </w:pPr>
          </w:p>
        </w:tc>
        <w:tc>
          <w:tcPr>
            <w:tcW w:w="0" w:type="auto"/>
            <w:gridSpan w:val="3"/>
            <w:shd w:val="clear" w:color="auto" w:fill="auto"/>
            <w:vAlign w:val="bottom"/>
          </w:tcPr>
          <w:p w14:paraId="392C5359" w14:textId="77777777" w:rsidR="00980E5F" w:rsidRDefault="00980E5F">
            <w:pPr>
              <w:rPr>
                <w:rFonts w:ascii="宋体"/>
                <w:vanish/>
              </w:rPr>
            </w:pPr>
          </w:p>
        </w:tc>
        <w:tc>
          <w:tcPr>
            <w:tcW w:w="0" w:type="auto"/>
            <w:gridSpan w:val="3"/>
            <w:shd w:val="clear" w:color="auto" w:fill="auto"/>
            <w:vAlign w:val="bottom"/>
          </w:tcPr>
          <w:p w14:paraId="392C535A" w14:textId="77777777" w:rsidR="00980E5F" w:rsidRDefault="00980E5F">
            <w:pPr>
              <w:rPr>
                <w:rFonts w:ascii="宋体"/>
                <w:vanish/>
              </w:rPr>
            </w:pPr>
          </w:p>
        </w:tc>
        <w:tc>
          <w:tcPr>
            <w:tcW w:w="0" w:type="auto"/>
            <w:gridSpan w:val="2"/>
            <w:shd w:val="clear" w:color="auto" w:fill="auto"/>
            <w:vAlign w:val="bottom"/>
          </w:tcPr>
          <w:p w14:paraId="392C535B" w14:textId="77777777" w:rsidR="00980E5F" w:rsidRDefault="00980E5F">
            <w:pPr>
              <w:rPr>
                <w:rFonts w:ascii="宋体"/>
                <w:vanish/>
              </w:rPr>
            </w:pPr>
          </w:p>
        </w:tc>
        <w:tc>
          <w:tcPr>
            <w:tcW w:w="0" w:type="auto"/>
            <w:shd w:val="clear" w:color="auto" w:fill="auto"/>
            <w:vAlign w:val="bottom"/>
          </w:tcPr>
          <w:p w14:paraId="392C535C" w14:textId="77777777" w:rsidR="00980E5F" w:rsidRDefault="00980E5F">
            <w:pPr>
              <w:rPr>
                <w:rFonts w:ascii="宋体"/>
                <w:vanish/>
              </w:rPr>
            </w:pPr>
          </w:p>
        </w:tc>
      </w:tr>
      <w:tr w:rsidR="00980E5F" w14:paraId="392C5374" w14:textId="77777777">
        <w:tc>
          <w:tcPr>
            <w:tcW w:w="0" w:type="auto"/>
            <w:gridSpan w:val="3"/>
            <w:shd w:val="clear" w:color="auto" w:fill="auto"/>
            <w:tcMar>
              <w:top w:w="40" w:type="dxa"/>
              <w:left w:w="20" w:type="dxa"/>
              <w:bottom w:w="40" w:type="dxa"/>
              <w:right w:w="20" w:type="dxa"/>
            </w:tcMar>
            <w:vAlign w:val="center"/>
          </w:tcPr>
          <w:p w14:paraId="392C535E" w14:textId="77777777" w:rsidR="00980E5F" w:rsidRDefault="00483613">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392C53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5" w14:textId="77777777" w:rsidR="00980E5F" w:rsidRDefault="00980E5F">
            <w:pPr>
              <w:rPr>
                <w:rFonts w:ascii="宋体"/>
              </w:rPr>
            </w:pPr>
          </w:p>
        </w:tc>
        <w:tc>
          <w:tcPr>
            <w:tcW w:w="0" w:type="auto"/>
            <w:shd w:val="clear" w:color="auto" w:fill="auto"/>
            <w:vAlign w:val="bottom"/>
          </w:tcPr>
          <w:p w14:paraId="392C5366" w14:textId="77777777" w:rsidR="00980E5F" w:rsidRDefault="00980E5F">
            <w:pPr>
              <w:rPr>
                <w:rFonts w:ascii="宋体"/>
                <w:vanish/>
              </w:rPr>
            </w:pPr>
          </w:p>
        </w:tc>
        <w:tc>
          <w:tcPr>
            <w:tcW w:w="0" w:type="auto"/>
            <w:shd w:val="clear" w:color="auto" w:fill="auto"/>
            <w:vAlign w:val="bottom"/>
          </w:tcPr>
          <w:p w14:paraId="392C5367"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36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6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7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371"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372"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5373" w14:textId="77777777" w:rsidR="00980E5F" w:rsidRDefault="00980E5F">
            <w:pPr>
              <w:rPr>
                <w:rFonts w:ascii="宋体"/>
              </w:rPr>
            </w:pPr>
          </w:p>
        </w:tc>
      </w:tr>
      <w:tr w:rsidR="00483613" w14:paraId="392C539D" w14:textId="77777777">
        <w:tc>
          <w:tcPr>
            <w:tcW w:w="0" w:type="auto"/>
            <w:gridSpan w:val="3"/>
            <w:shd w:val="clear" w:color="auto" w:fill="CCEEFF"/>
            <w:tcMar>
              <w:top w:w="40" w:type="dxa"/>
              <w:left w:w="155" w:type="dxa"/>
              <w:bottom w:w="40" w:type="dxa"/>
              <w:right w:w="20" w:type="dxa"/>
            </w:tcMar>
            <w:vAlign w:val="center"/>
          </w:tcPr>
          <w:p w14:paraId="392C5375" w14:textId="77777777" w:rsidR="00980E5F" w:rsidRDefault="00483613">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392C5376"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77" w14:textId="77777777" w:rsidR="00980E5F" w:rsidRDefault="00483613">
            <w:pPr>
              <w:jc w:val="right"/>
              <w:textAlignment w:val="center"/>
            </w:pPr>
            <w:r>
              <w:rPr>
                <w:rFonts w:ascii="Arial" w:eastAsia="宋体" w:hAnsi="Arial" w:cs="Arial"/>
                <w:color w:val="000000"/>
                <w:sz w:val="12"/>
                <w:szCs w:val="12"/>
              </w:rPr>
              <w:t>14 </w:t>
            </w:r>
          </w:p>
        </w:tc>
        <w:tc>
          <w:tcPr>
            <w:tcW w:w="0" w:type="auto"/>
            <w:shd w:val="clear" w:color="auto" w:fill="CCEEFF"/>
            <w:tcMar>
              <w:top w:w="40" w:type="dxa"/>
              <w:left w:w="0" w:type="dxa"/>
              <w:bottom w:w="40" w:type="dxa"/>
              <w:right w:w="20" w:type="dxa"/>
            </w:tcMar>
            <w:vAlign w:val="center"/>
          </w:tcPr>
          <w:p w14:paraId="392C53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79"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7A"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7B"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7D"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7E"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7F"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81"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82"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83" w14:textId="77777777" w:rsidR="00980E5F" w:rsidRDefault="00483613">
            <w:pPr>
              <w:jc w:val="right"/>
              <w:textAlignment w:val="center"/>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center"/>
          </w:tcPr>
          <w:p w14:paraId="392C5384" w14:textId="77777777" w:rsidR="00980E5F" w:rsidRDefault="00980E5F">
            <w:pPr>
              <w:jc w:val="right"/>
              <w:rPr>
                <w:rFonts w:ascii="宋体"/>
              </w:rPr>
            </w:pPr>
          </w:p>
        </w:tc>
        <w:tc>
          <w:tcPr>
            <w:tcW w:w="0" w:type="auto"/>
            <w:shd w:val="clear" w:color="auto" w:fill="auto"/>
            <w:vAlign w:val="bottom"/>
          </w:tcPr>
          <w:p w14:paraId="392C5385" w14:textId="77777777" w:rsidR="00980E5F" w:rsidRDefault="00980E5F">
            <w:pPr>
              <w:rPr>
                <w:rFonts w:ascii="宋体"/>
                <w:vanish/>
              </w:rPr>
            </w:pPr>
          </w:p>
        </w:tc>
        <w:tc>
          <w:tcPr>
            <w:tcW w:w="0" w:type="auto"/>
            <w:shd w:val="clear" w:color="auto" w:fill="auto"/>
            <w:vAlign w:val="bottom"/>
          </w:tcPr>
          <w:p w14:paraId="392C538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387"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88"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89"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8B"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8C"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8D"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8F"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90"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91"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93"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94"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95" w14:textId="77777777" w:rsidR="00980E5F" w:rsidRDefault="00483613">
            <w:pPr>
              <w:jc w:val="right"/>
              <w:textAlignment w:val="center"/>
            </w:pPr>
            <w:r>
              <w:rPr>
                <w:rFonts w:ascii="Arial" w:eastAsia="宋体" w:hAnsi="Arial" w:cs="Arial"/>
                <w:color w:val="000000"/>
                <w:sz w:val="12"/>
                <w:szCs w:val="12"/>
              </w:rPr>
              <w:t>(120)</w:t>
            </w:r>
          </w:p>
        </w:tc>
        <w:tc>
          <w:tcPr>
            <w:tcW w:w="0" w:type="auto"/>
            <w:shd w:val="clear" w:color="auto" w:fill="CCEEFF"/>
            <w:tcMar>
              <w:top w:w="40" w:type="dxa"/>
              <w:left w:w="0" w:type="dxa"/>
              <w:bottom w:w="40" w:type="dxa"/>
              <w:right w:w="20" w:type="dxa"/>
            </w:tcMar>
            <w:vAlign w:val="center"/>
          </w:tcPr>
          <w:p w14:paraId="392C53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397"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398" w14:textId="77777777" w:rsidR="00980E5F" w:rsidRDefault="00483613">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392C5399"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39A"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39B"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39C" w14:textId="77777777" w:rsidR="00980E5F" w:rsidRDefault="00980E5F">
            <w:pPr>
              <w:rPr>
                <w:rFonts w:ascii="宋体"/>
              </w:rPr>
            </w:pPr>
          </w:p>
        </w:tc>
      </w:tr>
      <w:tr w:rsidR="00980E5F" w14:paraId="392C53B4" w14:textId="77777777">
        <w:trPr>
          <w:hidden/>
        </w:trPr>
        <w:tc>
          <w:tcPr>
            <w:tcW w:w="0" w:type="auto"/>
            <w:gridSpan w:val="3"/>
            <w:shd w:val="clear" w:color="auto" w:fill="auto"/>
            <w:vAlign w:val="bottom"/>
          </w:tcPr>
          <w:p w14:paraId="392C539E" w14:textId="77777777" w:rsidR="00980E5F" w:rsidRDefault="00980E5F">
            <w:pPr>
              <w:rPr>
                <w:rFonts w:ascii="宋体"/>
                <w:vanish/>
              </w:rPr>
            </w:pPr>
          </w:p>
        </w:tc>
        <w:tc>
          <w:tcPr>
            <w:tcW w:w="0" w:type="auto"/>
            <w:gridSpan w:val="3"/>
            <w:shd w:val="clear" w:color="auto" w:fill="auto"/>
            <w:vAlign w:val="bottom"/>
          </w:tcPr>
          <w:p w14:paraId="392C539F" w14:textId="77777777" w:rsidR="00980E5F" w:rsidRDefault="00980E5F">
            <w:pPr>
              <w:rPr>
                <w:rFonts w:ascii="宋体"/>
                <w:vanish/>
              </w:rPr>
            </w:pPr>
          </w:p>
        </w:tc>
        <w:tc>
          <w:tcPr>
            <w:tcW w:w="0" w:type="auto"/>
            <w:gridSpan w:val="3"/>
            <w:shd w:val="clear" w:color="auto" w:fill="auto"/>
            <w:vAlign w:val="bottom"/>
          </w:tcPr>
          <w:p w14:paraId="392C53A0" w14:textId="77777777" w:rsidR="00980E5F" w:rsidRDefault="00980E5F">
            <w:pPr>
              <w:rPr>
                <w:rFonts w:ascii="宋体"/>
                <w:vanish/>
              </w:rPr>
            </w:pPr>
          </w:p>
        </w:tc>
        <w:tc>
          <w:tcPr>
            <w:tcW w:w="0" w:type="auto"/>
            <w:gridSpan w:val="3"/>
            <w:shd w:val="clear" w:color="auto" w:fill="auto"/>
            <w:vAlign w:val="bottom"/>
          </w:tcPr>
          <w:p w14:paraId="392C53A1" w14:textId="77777777" w:rsidR="00980E5F" w:rsidRDefault="00980E5F">
            <w:pPr>
              <w:rPr>
                <w:rFonts w:ascii="宋体"/>
                <w:vanish/>
              </w:rPr>
            </w:pPr>
          </w:p>
        </w:tc>
        <w:tc>
          <w:tcPr>
            <w:tcW w:w="0" w:type="auto"/>
            <w:gridSpan w:val="3"/>
            <w:shd w:val="clear" w:color="auto" w:fill="auto"/>
            <w:vAlign w:val="bottom"/>
          </w:tcPr>
          <w:p w14:paraId="392C53A2" w14:textId="77777777" w:rsidR="00980E5F" w:rsidRDefault="00980E5F">
            <w:pPr>
              <w:rPr>
                <w:rFonts w:ascii="宋体"/>
                <w:vanish/>
              </w:rPr>
            </w:pPr>
          </w:p>
        </w:tc>
        <w:tc>
          <w:tcPr>
            <w:tcW w:w="0" w:type="auto"/>
            <w:gridSpan w:val="3"/>
            <w:shd w:val="clear" w:color="auto" w:fill="auto"/>
            <w:vAlign w:val="bottom"/>
          </w:tcPr>
          <w:p w14:paraId="392C53A3" w14:textId="77777777" w:rsidR="00980E5F" w:rsidRDefault="00980E5F">
            <w:pPr>
              <w:rPr>
                <w:rFonts w:ascii="宋体"/>
                <w:vanish/>
              </w:rPr>
            </w:pPr>
          </w:p>
        </w:tc>
        <w:tc>
          <w:tcPr>
            <w:tcW w:w="0" w:type="auto"/>
            <w:gridSpan w:val="3"/>
            <w:shd w:val="clear" w:color="auto" w:fill="auto"/>
            <w:vAlign w:val="bottom"/>
          </w:tcPr>
          <w:p w14:paraId="392C53A4" w14:textId="77777777" w:rsidR="00980E5F" w:rsidRDefault="00980E5F">
            <w:pPr>
              <w:rPr>
                <w:rFonts w:ascii="宋体"/>
                <w:vanish/>
              </w:rPr>
            </w:pPr>
          </w:p>
        </w:tc>
        <w:tc>
          <w:tcPr>
            <w:tcW w:w="0" w:type="auto"/>
            <w:gridSpan w:val="3"/>
            <w:shd w:val="clear" w:color="auto" w:fill="auto"/>
            <w:vAlign w:val="bottom"/>
          </w:tcPr>
          <w:p w14:paraId="392C53A5" w14:textId="77777777" w:rsidR="00980E5F" w:rsidRDefault="00980E5F">
            <w:pPr>
              <w:rPr>
                <w:rFonts w:ascii="宋体"/>
                <w:vanish/>
              </w:rPr>
            </w:pPr>
          </w:p>
        </w:tc>
        <w:tc>
          <w:tcPr>
            <w:tcW w:w="0" w:type="auto"/>
            <w:shd w:val="clear" w:color="auto" w:fill="auto"/>
            <w:vAlign w:val="bottom"/>
          </w:tcPr>
          <w:p w14:paraId="392C53A6" w14:textId="77777777" w:rsidR="00980E5F" w:rsidRDefault="00980E5F">
            <w:pPr>
              <w:rPr>
                <w:rFonts w:ascii="宋体"/>
                <w:vanish/>
              </w:rPr>
            </w:pPr>
          </w:p>
        </w:tc>
        <w:tc>
          <w:tcPr>
            <w:tcW w:w="0" w:type="auto"/>
            <w:shd w:val="clear" w:color="auto" w:fill="auto"/>
            <w:vAlign w:val="bottom"/>
          </w:tcPr>
          <w:p w14:paraId="392C53A7" w14:textId="77777777" w:rsidR="00980E5F" w:rsidRDefault="00980E5F">
            <w:pPr>
              <w:rPr>
                <w:rFonts w:ascii="宋体"/>
                <w:vanish/>
              </w:rPr>
            </w:pPr>
          </w:p>
        </w:tc>
        <w:tc>
          <w:tcPr>
            <w:tcW w:w="0" w:type="auto"/>
            <w:gridSpan w:val="3"/>
            <w:shd w:val="clear" w:color="auto" w:fill="auto"/>
            <w:vAlign w:val="bottom"/>
          </w:tcPr>
          <w:p w14:paraId="392C53A8" w14:textId="77777777" w:rsidR="00980E5F" w:rsidRDefault="00980E5F">
            <w:pPr>
              <w:rPr>
                <w:rFonts w:ascii="宋体"/>
                <w:vanish/>
              </w:rPr>
            </w:pPr>
          </w:p>
        </w:tc>
        <w:tc>
          <w:tcPr>
            <w:tcW w:w="0" w:type="auto"/>
            <w:gridSpan w:val="3"/>
            <w:shd w:val="clear" w:color="auto" w:fill="auto"/>
            <w:vAlign w:val="bottom"/>
          </w:tcPr>
          <w:p w14:paraId="392C53A9" w14:textId="77777777" w:rsidR="00980E5F" w:rsidRDefault="00980E5F">
            <w:pPr>
              <w:rPr>
                <w:rFonts w:ascii="宋体"/>
                <w:vanish/>
              </w:rPr>
            </w:pPr>
          </w:p>
        </w:tc>
        <w:tc>
          <w:tcPr>
            <w:tcW w:w="0" w:type="auto"/>
            <w:gridSpan w:val="3"/>
            <w:shd w:val="clear" w:color="auto" w:fill="auto"/>
            <w:vAlign w:val="bottom"/>
          </w:tcPr>
          <w:p w14:paraId="392C53AA" w14:textId="77777777" w:rsidR="00980E5F" w:rsidRDefault="00980E5F">
            <w:pPr>
              <w:rPr>
                <w:rFonts w:ascii="宋体"/>
                <w:vanish/>
              </w:rPr>
            </w:pPr>
          </w:p>
        </w:tc>
        <w:tc>
          <w:tcPr>
            <w:tcW w:w="0" w:type="auto"/>
            <w:gridSpan w:val="3"/>
            <w:shd w:val="clear" w:color="auto" w:fill="auto"/>
            <w:vAlign w:val="bottom"/>
          </w:tcPr>
          <w:p w14:paraId="392C53AB" w14:textId="77777777" w:rsidR="00980E5F" w:rsidRDefault="00980E5F">
            <w:pPr>
              <w:rPr>
                <w:rFonts w:ascii="宋体"/>
                <w:vanish/>
              </w:rPr>
            </w:pPr>
          </w:p>
        </w:tc>
        <w:tc>
          <w:tcPr>
            <w:tcW w:w="0" w:type="auto"/>
            <w:gridSpan w:val="3"/>
            <w:shd w:val="clear" w:color="auto" w:fill="auto"/>
            <w:vAlign w:val="bottom"/>
          </w:tcPr>
          <w:p w14:paraId="392C53AC" w14:textId="77777777" w:rsidR="00980E5F" w:rsidRDefault="00980E5F">
            <w:pPr>
              <w:rPr>
                <w:rFonts w:ascii="宋体"/>
                <w:vanish/>
              </w:rPr>
            </w:pPr>
          </w:p>
        </w:tc>
        <w:tc>
          <w:tcPr>
            <w:tcW w:w="0" w:type="auto"/>
            <w:gridSpan w:val="3"/>
            <w:shd w:val="clear" w:color="auto" w:fill="auto"/>
            <w:vAlign w:val="bottom"/>
          </w:tcPr>
          <w:p w14:paraId="392C53AD" w14:textId="77777777" w:rsidR="00980E5F" w:rsidRDefault="00980E5F">
            <w:pPr>
              <w:rPr>
                <w:rFonts w:ascii="宋体"/>
                <w:vanish/>
              </w:rPr>
            </w:pPr>
          </w:p>
        </w:tc>
        <w:tc>
          <w:tcPr>
            <w:tcW w:w="0" w:type="auto"/>
            <w:gridSpan w:val="3"/>
            <w:shd w:val="clear" w:color="auto" w:fill="auto"/>
            <w:vAlign w:val="bottom"/>
          </w:tcPr>
          <w:p w14:paraId="392C53AE" w14:textId="77777777" w:rsidR="00980E5F" w:rsidRDefault="00980E5F">
            <w:pPr>
              <w:rPr>
                <w:rFonts w:ascii="宋体"/>
                <w:vanish/>
              </w:rPr>
            </w:pPr>
          </w:p>
        </w:tc>
        <w:tc>
          <w:tcPr>
            <w:tcW w:w="0" w:type="auto"/>
            <w:gridSpan w:val="3"/>
            <w:shd w:val="clear" w:color="auto" w:fill="auto"/>
            <w:vAlign w:val="bottom"/>
          </w:tcPr>
          <w:p w14:paraId="392C53AF" w14:textId="77777777" w:rsidR="00980E5F" w:rsidRDefault="00980E5F">
            <w:pPr>
              <w:rPr>
                <w:rFonts w:ascii="宋体"/>
                <w:vanish/>
              </w:rPr>
            </w:pPr>
          </w:p>
        </w:tc>
        <w:tc>
          <w:tcPr>
            <w:tcW w:w="0" w:type="auto"/>
            <w:gridSpan w:val="3"/>
            <w:shd w:val="clear" w:color="auto" w:fill="auto"/>
            <w:vAlign w:val="bottom"/>
          </w:tcPr>
          <w:p w14:paraId="392C53B0" w14:textId="77777777" w:rsidR="00980E5F" w:rsidRDefault="00980E5F">
            <w:pPr>
              <w:rPr>
                <w:rFonts w:ascii="宋体"/>
                <w:vanish/>
              </w:rPr>
            </w:pPr>
          </w:p>
        </w:tc>
        <w:tc>
          <w:tcPr>
            <w:tcW w:w="0" w:type="auto"/>
            <w:gridSpan w:val="3"/>
            <w:shd w:val="clear" w:color="auto" w:fill="auto"/>
            <w:vAlign w:val="bottom"/>
          </w:tcPr>
          <w:p w14:paraId="392C53B1" w14:textId="77777777" w:rsidR="00980E5F" w:rsidRDefault="00980E5F">
            <w:pPr>
              <w:rPr>
                <w:rFonts w:ascii="宋体"/>
                <w:vanish/>
              </w:rPr>
            </w:pPr>
          </w:p>
        </w:tc>
        <w:tc>
          <w:tcPr>
            <w:tcW w:w="0" w:type="auto"/>
            <w:gridSpan w:val="2"/>
            <w:shd w:val="clear" w:color="auto" w:fill="auto"/>
            <w:vAlign w:val="bottom"/>
          </w:tcPr>
          <w:p w14:paraId="392C53B2" w14:textId="77777777" w:rsidR="00980E5F" w:rsidRDefault="00980E5F">
            <w:pPr>
              <w:rPr>
                <w:rFonts w:ascii="宋体"/>
                <w:vanish/>
              </w:rPr>
            </w:pPr>
          </w:p>
        </w:tc>
        <w:tc>
          <w:tcPr>
            <w:tcW w:w="0" w:type="auto"/>
            <w:shd w:val="clear" w:color="auto" w:fill="auto"/>
            <w:vAlign w:val="bottom"/>
          </w:tcPr>
          <w:p w14:paraId="392C53B3" w14:textId="77777777" w:rsidR="00980E5F" w:rsidRDefault="00980E5F">
            <w:pPr>
              <w:rPr>
                <w:rFonts w:ascii="宋体"/>
                <w:vanish/>
              </w:rPr>
            </w:pPr>
          </w:p>
        </w:tc>
      </w:tr>
      <w:tr w:rsidR="00980E5F" w14:paraId="392C53D4" w14:textId="77777777">
        <w:tc>
          <w:tcPr>
            <w:tcW w:w="0" w:type="auto"/>
            <w:gridSpan w:val="3"/>
            <w:shd w:val="clear" w:color="auto" w:fill="FFFFFF"/>
            <w:tcMar>
              <w:top w:w="40" w:type="dxa"/>
              <w:left w:w="20" w:type="dxa"/>
              <w:bottom w:w="40" w:type="dxa"/>
              <w:right w:w="20" w:type="dxa"/>
            </w:tcMar>
            <w:vAlign w:val="center"/>
          </w:tcPr>
          <w:p w14:paraId="392C53B5" w14:textId="77777777" w:rsidR="00980E5F" w:rsidRDefault="00483613">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B6" w14:textId="77777777" w:rsidR="00980E5F" w:rsidRDefault="00483613">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B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B9"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B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BC"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B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B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BF" w14:textId="77777777" w:rsidR="00980E5F" w:rsidRDefault="00483613">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C0" w14:textId="77777777" w:rsidR="00980E5F" w:rsidRDefault="00980E5F">
            <w:pPr>
              <w:jc w:val="right"/>
              <w:rPr>
                <w:rFonts w:ascii="宋体"/>
              </w:rPr>
            </w:pPr>
          </w:p>
        </w:tc>
        <w:tc>
          <w:tcPr>
            <w:tcW w:w="0" w:type="auto"/>
            <w:shd w:val="clear" w:color="auto" w:fill="auto"/>
            <w:vAlign w:val="bottom"/>
          </w:tcPr>
          <w:p w14:paraId="392C53C1" w14:textId="77777777" w:rsidR="00980E5F" w:rsidRDefault="00980E5F">
            <w:pPr>
              <w:rPr>
                <w:rFonts w:ascii="宋体"/>
                <w:vanish/>
              </w:rPr>
            </w:pPr>
          </w:p>
        </w:tc>
        <w:tc>
          <w:tcPr>
            <w:tcW w:w="0" w:type="auto"/>
            <w:shd w:val="clear" w:color="auto" w:fill="auto"/>
            <w:vAlign w:val="bottom"/>
          </w:tcPr>
          <w:p w14:paraId="392C53C2"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3C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C4"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C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C7"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C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CA"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C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CD" w14:textId="77777777" w:rsidR="00980E5F" w:rsidRDefault="00483613">
            <w:pPr>
              <w:jc w:val="right"/>
              <w:textAlignment w:val="center"/>
            </w:pPr>
            <w:r>
              <w:rPr>
                <w:rFonts w:ascii="Arial" w:eastAsia="宋体" w:hAnsi="Arial" w:cs="Arial"/>
                <w:color w:val="000000"/>
                <w:sz w:val="12"/>
                <w:szCs w:val="12"/>
              </w:rPr>
              <w:t>(120)</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3C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3D0"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3D1"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3D2"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3D3" w14:textId="77777777" w:rsidR="00980E5F" w:rsidRDefault="00980E5F">
            <w:pPr>
              <w:rPr>
                <w:rFonts w:ascii="宋体"/>
              </w:rPr>
            </w:pPr>
          </w:p>
        </w:tc>
      </w:tr>
      <w:tr w:rsidR="00980E5F" w14:paraId="392C53EB" w14:textId="77777777">
        <w:trPr>
          <w:hidden/>
        </w:trPr>
        <w:tc>
          <w:tcPr>
            <w:tcW w:w="0" w:type="auto"/>
            <w:gridSpan w:val="3"/>
            <w:shd w:val="clear" w:color="auto" w:fill="auto"/>
            <w:vAlign w:val="bottom"/>
          </w:tcPr>
          <w:p w14:paraId="392C53D5" w14:textId="77777777" w:rsidR="00980E5F" w:rsidRDefault="00980E5F">
            <w:pPr>
              <w:rPr>
                <w:rFonts w:ascii="宋体"/>
                <w:vanish/>
              </w:rPr>
            </w:pPr>
          </w:p>
        </w:tc>
        <w:tc>
          <w:tcPr>
            <w:tcW w:w="0" w:type="auto"/>
            <w:gridSpan w:val="3"/>
            <w:shd w:val="clear" w:color="auto" w:fill="auto"/>
            <w:vAlign w:val="bottom"/>
          </w:tcPr>
          <w:p w14:paraId="392C53D6" w14:textId="77777777" w:rsidR="00980E5F" w:rsidRDefault="00980E5F">
            <w:pPr>
              <w:rPr>
                <w:rFonts w:ascii="宋体"/>
                <w:vanish/>
              </w:rPr>
            </w:pPr>
          </w:p>
        </w:tc>
        <w:tc>
          <w:tcPr>
            <w:tcW w:w="0" w:type="auto"/>
            <w:gridSpan w:val="3"/>
            <w:shd w:val="clear" w:color="auto" w:fill="auto"/>
            <w:vAlign w:val="bottom"/>
          </w:tcPr>
          <w:p w14:paraId="392C53D7" w14:textId="77777777" w:rsidR="00980E5F" w:rsidRDefault="00980E5F">
            <w:pPr>
              <w:rPr>
                <w:rFonts w:ascii="宋体"/>
                <w:vanish/>
              </w:rPr>
            </w:pPr>
          </w:p>
        </w:tc>
        <w:tc>
          <w:tcPr>
            <w:tcW w:w="0" w:type="auto"/>
            <w:gridSpan w:val="3"/>
            <w:shd w:val="clear" w:color="auto" w:fill="auto"/>
            <w:vAlign w:val="bottom"/>
          </w:tcPr>
          <w:p w14:paraId="392C53D8" w14:textId="77777777" w:rsidR="00980E5F" w:rsidRDefault="00980E5F">
            <w:pPr>
              <w:rPr>
                <w:rFonts w:ascii="宋体"/>
                <w:vanish/>
              </w:rPr>
            </w:pPr>
          </w:p>
        </w:tc>
        <w:tc>
          <w:tcPr>
            <w:tcW w:w="0" w:type="auto"/>
            <w:gridSpan w:val="3"/>
            <w:shd w:val="clear" w:color="auto" w:fill="auto"/>
            <w:vAlign w:val="bottom"/>
          </w:tcPr>
          <w:p w14:paraId="392C53D9" w14:textId="77777777" w:rsidR="00980E5F" w:rsidRDefault="00980E5F">
            <w:pPr>
              <w:rPr>
                <w:rFonts w:ascii="宋体"/>
                <w:vanish/>
              </w:rPr>
            </w:pPr>
          </w:p>
        </w:tc>
        <w:tc>
          <w:tcPr>
            <w:tcW w:w="0" w:type="auto"/>
            <w:gridSpan w:val="3"/>
            <w:shd w:val="clear" w:color="auto" w:fill="auto"/>
            <w:vAlign w:val="bottom"/>
          </w:tcPr>
          <w:p w14:paraId="392C53DA" w14:textId="77777777" w:rsidR="00980E5F" w:rsidRDefault="00980E5F">
            <w:pPr>
              <w:rPr>
                <w:rFonts w:ascii="宋体"/>
                <w:vanish/>
              </w:rPr>
            </w:pPr>
          </w:p>
        </w:tc>
        <w:tc>
          <w:tcPr>
            <w:tcW w:w="0" w:type="auto"/>
            <w:gridSpan w:val="3"/>
            <w:shd w:val="clear" w:color="auto" w:fill="auto"/>
            <w:vAlign w:val="bottom"/>
          </w:tcPr>
          <w:p w14:paraId="392C53DB" w14:textId="77777777" w:rsidR="00980E5F" w:rsidRDefault="00980E5F">
            <w:pPr>
              <w:rPr>
                <w:rFonts w:ascii="宋体"/>
                <w:vanish/>
              </w:rPr>
            </w:pPr>
          </w:p>
        </w:tc>
        <w:tc>
          <w:tcPr>
            <w:tcW w:w="0" w:type="auto"/>
            <w:gridSpan w:val="3"/>
            <w:shd w:val="clear" w:color="auto" w:fill="auto"/>
            <w:vAlign w:val="bottom"/>
          </w:tcPr>
          <w:p w14:paraId="392C53DC" w14:textId="77777777" w:rsidR="00980E5F" w:rsidRDefault="00980E5F">
            <w:pPr>
              <w:rPr>
                <w:rFonts w:ascii="宋体"/>
                <w:vanish/>
              </w:rPr>
            </w:pPr>
          </w:p>
        </w:tc>
        <w:tc>
          <w:tcPr>
            <w:tcW w:w="0" w:type="auto"/>
            <w:shd w:val="clear" w:color="auto" w:fill="auto"/>
            <w:vAlign w:val="bottom"/>
          </w:tcPr>
          <w:p w14:paraId="392C53DD" w14:textId="77777777" w:rsidR="00980E5F" w:rsidRDefault="00980E5F">
            <w:pPr>
              <w:rPr>
                <w:rFonts w:ascii="宋体"/>
                <w:vanish/>
              </w:rPr>
            </w:pPr>
          </w:p>
        </w:tc>
        <w:tc>
          <w:tcPr>
            <w:tcW w:w="0" w:type="auto"/>
            <w:shd w:val="clear" w:color="auto" w:fill="auto"/>
            <w:vAlign w:val="bottom"/>
          </w:tcPr>
          <w:p w14:paraId="392C53DE" w14:textId="77777777" w:rsidR="00980E5F" w:rsidRDefault="00980E5F">
            <w:pPr>
              <w:rPr>
                <w:rFonts w:ascii="宋体"/>
                <w:vanish/>
              </w:rPr>
            </w:pPr>
          </w:p>
        </w:tc>
        <w:tc>
          <w:tcPr>
            <w:tcW w:w="0" w:type="auto"/>
            <w:gridSpan w:val="3"/>
            <w:shd w:val="clear" w:color="auto" w:fill="auto"/>
            <w:vAlign w:val="bottom"/>
          </w:tcPr>
          <w:p w14:paraId="392C53DF" w14:textId="77777777" w:rsidR="00980E5F" w:rsidRDefault="00980E5F">
            <w:pPr>
              <w:rPr>
                <w:rFonts w:ascii="宋体"/>
                <w:vanish/>
              </w:rPr>
            </w:pPr>
          </w:p>
        </w:tc>
        <w:tc>
          <w:tcPr>
            <w:tcW w:w="0" w:type="auto"/>
            <w:gridSpan w:val="3"/>
            <w:shd w:val="clear" w:color="auto" w:fill="auto"/>
            <w:vAlign w:val="bottom"/>
          </w:tcPr>
          <w:p w14:paraId="392C53E0" w14:textId="77777777" w:rsidR="00980E5F" w:rsidRDefault="00980E5F">
            <w:pPr>
              <w:rPr>
                <w:rFonts w:ascii="宋体"/>
                <w:vanish/>
              </w:rPr>
            </w:pPr>
          </w:p>
        </w:tc>
        <w:tc>
          <w:tcPr>
            <w:tcW w:w="0" w:type="auto"/>
            <w:gridSpan w:val="3"/>
            <w:shd w:val="clear" w:color="auto" w:fill="auto"/>
            <w:vAlign w:val="bottom"/>
          </w:tcPr>
          <w:p w14:paraId="392C53E1" w14:textId="77777777" w:rsidR="00980E5F" w:rsidRDefault="00980E5F">
            <w:pPr>
              <w:rPr>
                <w:rFonts w:ascii="宋体"/>
                <w:vanish/>
              </w:rPr>
            </w:pPr>
          </w:p>
        </w:tc>
        <w:tc>
          <w:tcPr>
            <w:tcW w:w="0" w:type="auto"/>
            <w:gridSpan w:val="3"/>
            <w:shd w:val="clear" w:color="auto" w:fill="auto"/>
            <w:vAlign w:val="bottom"/>
          </w:tcPr>
          <w:p w14:paraId="392C53E2" w14:textId="77777777" w:rsidR="00980E5F" w:rsidRDefault="00980E5F">
            <w:pPr>
              <w:rPr>
                <w:rFonts w:ascii="宋体"/>
                <w:vanish/>
              </w:rPr>
            </w:pPr>
          </w:p>
        </w:tc>
        <w:tc>
          <w:tcPr>
            <w:tcW w:w="0" w:type="auto"/>
            <w:gridSpan w:val="3"/>
            <w:shd w:val="clear" w:color="auto" w:fill="auto"/>
            <w:vAlign w:val="bottom"/>
          </w:tcPr>
          <w:p w14:paraId="392C53E3" w14:textId="77777777" w:rsidR="00980E5F" w:rsidRDefault="00980E5F">
            <w:pPr>
              <w:rPr>
                <w:rFonts w:ascii="宋体"/>
                <w:vanish/>
              </w:rPr>
            </w:pPr>
          </w:p>
        </w:tc>
        <w:tc>
          <w:tcPr>
            <w:tcW w:w="0" w:type="auto"/>
            <w:gridSpan w:val="3"/>
            <w:shd w:val="clear" w:color="auto" w:fill="auto"/>
            <w:vAlign w:val="bottom"/>
          </w:tcPr>
          <w:p w14:paraId="392C53E4" w14:textId="77777777" w:rsidR="00980E5F" w:rsidRDefault="00980E5F">
            <w:pPr>
              <w:rPr>
                <w:rFonts w:ascii="宋体"/>
                <w:vanish/>
              </w:rPr>
            </w:pPr>
          </w:p>
        </w:tc>
        <w:tc>
          <w:tcPr>
            <w:tcW w:w="0" w:type="auto"/>
            <w:gridSpan w:val="3"/>
            <w:shd w:val="clear" w:color="auto" w:fill="auto"/>
            <w:vAlign w:val="bottom"/>
          </w:tcPr>
          <w:p w14:paraId="392C53E5" w14:textId="77777777" w:rsidR="00980E5F" w:rsidRDefault="00980E5F">
            <w:pPr>
              <w:rPr>
                <w:rFonts w:ascii="宋体"/>
                <w:vanish/>
              </w:rPr>
            </w:pPr>
          </w:p>
        </w:tc>
        <w:tc>
          <w:tcPr>
            <w:tcW w:w="0" w:type="auto"/>
            <w:gridSpan w:val="3"/>
            <w:shd w:val="clear" w:color="auto" w:fill="auto"/>
            <w:vAlign w:val="bottom"/>
          </w:tcPr>
          <w:p w14:paraId="392C53E6" w14:textId="77777777" w:rsidR="00980E5F" w:rsidRDefault="00980E5F">
            <w:pPr>
              <w:rPr>
                <w:rFonts w:ascii="宋体"/>
                <w:vanish/>
              </w:rPr>
            </w:pPr>
          </w:p>
        </w:tc>
        <w:tc>
          <w:tcPr>
            <w:tcW w:w="0" w:type="auto"/>
            <w:gridSpan w:val="3"/>
            <w:shd w:val="clear" w:color="auto" w:fill="auto"/>
            <w:vAlign w:val="bottom"/>
          </w:tcPr>
          <w:p w14:paraId="392C53E7" w14:textId="77777777" w:rsidR="00980E5F" w:rsidRDefault="00980E5F">
            <w:pPr>
              <w:rPr>
                <w:rFonts w:ascii="宋体"/>
                <w:vanish/>
              </w:rPr>
            </w:pPr>
          </w:p>
        </w:tc>
        <w:tc>
          <w:tcPr>
            <w:tcW w:w="0" w:type="auto"/>
            <w:gridSpan w:val="3"/>
            <w:shd w:val="clear" w:color="auto" w:fill="auto"/>
            <w:vAlign w:val="bottom"/>
          </w:tcPr>
          <w:p w14:paraId="392C53E8" w14:textId="77777777" w:rsidR="00980E5F" w:rsidRDefault="00980E5F">
            <w:pPr>
              <w:rPr>
                <w:rFonts w:ascii="宋体"/>
                <w:vanish/>
              </w:rPr>
            </w:pPr>
          </w:p>
        </w:tc>
        <w:tc>
          <w:tcPr>
            <w:tcW w:w="0" w:type="auto"/>
            <w:gridSpan w:val="2"/>
            <w:shd w:val="clear" w:color="auto" w:fill="auto"/>
            <w:vAlign w:val="bottom"/>
          </w:tcPr>
          <w:p w14:paraId="392C53E9" w14:textId="77777777" w:rsidR="00980E5F" w:rsidRDefault="00980E5F">
            <w:pPr>
              <w:rPr>
                <w:rFonts w:ascii="宋体"/>
                <w:vanish/>
              </w:rPr>
            </w:pPr>
          </w:p>
        </w:tc>
        <w:tc>
          <w:tcPr>
            <w:tcW w:w="0" w:type="auto"/>
            <w:shd w:val="clear" w:color="auto" w:fill="auto"/>
            <w:vAlign w:val="bottom"/>
          </w:tcPr>
          <w:p w14:paraId="392C53EA" w14:textId="77777777" w:rsidR="00980E5F" w:rsidRDefault="00980E5F">
            <w:pPr>
              <w:rPr>
                <w:rFonts w:ascii="宋体"/>
                <w:vanish/>
              </w:rPr>
            </w:pPr>
          </w:p>
        </w:tc>
      </w:tr>
      <w:tr w:rsidR="00980E5F" w14:paraId="392C5402" w14:textId="77777777">
        <w:trPr>
          <w:hidden/>
        </w:trPr>
        <w:tc>
          <w:tcPr>
            <w:tcW w:w="0" w:type="auto"/>
            <w:gridSpan w:val="3"/>
            <w:shd w:val="clear" w:color="auto" w:fill="auto"/>
            <w:vAlign w:val="bottom"/>
          </w:tcPr>
          <w:p w14:paraId="392C53EC" w14:textId="77777777" w:rsidR="00980E5F" w:rsidRDefault="00980E5F">
            <w:pPr>
              <w:rPr>
                <w:rFonts w:ascii="宋体"/>
                <w:vanish/>
              </w:rPr>
            </w:pPr>
          </w:p>
        </w:tc>
        <w:tc>
          <w:tcPr>
            <w:tcW w:w="0" w:type="auto"/>
            <w:gridSpan w:val="3"/>
            <w:shd w:val="clear" w:color="auto" w:fill="auto"/>
            <w:vAlign w:val="bottom"/>
          </w:tcPr>
          <w:p w14:paraId="392C53ED" w14:textId="77777777" w:rsidR="00980E5F" w:rsidRDefault="00980E5F">
            <w:pPr>
              <w:rPr>
                <w:rFonts w:ascii="宋体"/>
                <w:vanish/>
              </w:rPr>
            </w:pPr>
          </w:p>
        </w:tc>
        <w:tc>
          <w:tcPr>
            <w:tcW w:w="0" w:type="auto"/>
            <w:gridSpan w:val="3"/>
            <w:shd w:val="clear" w:color="auto" w:fill="auto"/>
            <w:vAlign w:val="bottom"/>
          </w:tcPr>
          <w:p w14:paraId="392C53EE" w14:textId="77777777" w:rsidR="00980E5F" w:rsidRDefault="00980E5F">
            <w:pPr>
              <w:rPr>
                <w:rFonts w:ascii="宋体"/>
                <w:vanish/>
              </w:rPr>
            </w:pPr>
          </w:p>
        </w:tc>
        <w:tc>
          <w:tcPr>
            <w:tcW w:w="0" w:type="auto"/>
            <w:gridSpan w:val="3"/>
            <w:shd w:val="clear" w:color="auto" w:fill="auto"/>
            <w:vAlign w:val="bottom"/>
          </w:tcPr>
          <w:p w14:paraId="392C53EF" w14:textId="77777777" w:rsidR="00980E5F" w:rsidRDefault="00980E5F">
            <w:pPr>
              <w:rPr>
                <w:rFonts w:ascii="宋体"/>
                <w:vanish/>
              </w:rPr>
            </w:pPr>
          </w:p>
        </w:tc>
        <w:tc>
          <w:tcPr>
            <w:tcW w:w="0" w:type="auto"/>
            <w:gridSpan w:val="3"/>
            <w:shd w:val="clear" w:color="auto" w:fill="auto"/>
            <w:vAlign w:val="bottom"/>
          </w:tcPr>
          <w:p w14:paraId="392C53F0" w14:textId="77777777" w:rsidR="00980E5F" w:rsidRDefault="00980E5F">
            <w:pPr>
              <w:rPr>
                <w:rFonts w:ascii="宋体"/>
                <w:vanish/>
              </w:rPr>
            </w:pPr>
          </w:p>
        </w:tc>
        <w:tc>
          <w:tcPr>
            <w:tcW w:w="0" w:type="auto"/>
            <w:gridSpan w:val="3"/>
            <w:shd w:val="clear" w:color="auto" w:fill="auto"/>
            <w:vAlign w:val="bottom"/>
          </w:tcPr>
          <w:p w14:paraId="392C53F1" w14:textId="77777777" w:rsidR="00980E5F" w:rsidRDefault="00980E5F">
            <w:pPr>
              <w:rPr>
                <w:rFonts w:ascii="宋体"/>
                <w:vanish/>
              </w:rPr>
            </w:pPr>
          </w:p>
        </w:tc>
        <w:tc>
          <w:tcPr>
            <w:tcW w:w="0" w:type="auto"/>
            <w:gridSpan w:val="3"/>
            <w:shd w:val="clear" w:color="auto" w:fill="auto"/>
            <w:vAlign w:val="bottom"/>
          </w:tcPr>
          <w:p w14:paraId="392C53F2" w14:textId="77777777" w:rsidR="00980E5F" w:rsidRDefault="00980E5F">
            <w:pPr>
              <w:rPr>
                <w:rFonts w:ascii="宋体"/>
                <w:vanish/>
              </w:rPr>
            </w:pPr>
          </w:p>
        </w:tc>
        <w:tc>
          <w:tcPr>
            <w:tcW w:w="0" w:type="auto"/>
            <w:gridSpan w:val="3"/>
            <w:shd w:val="clear" w:color="auto" w:fill="auto"/>
            <w:vAlign w:val="bottom"/>
          </w:tcPr>
          <w:p w14:paraId="392C53F3" w14:textId="77777777" w:rsidR="00980E5F" w:rsidRDefault="00980E5F">
            <w:pPr>
              <w:rPr>
                <w:rFonts w:ascii="宋体"/>
                <w:vanish/>
              </w:rPr>
            </w:pPr>
          </w:p>
        </w:tc>
        <w:tc>
          <w:tcPr>
            <w:tcW w:w="0" w:type="auto"/>
            <w:shd w:val="clear" w:color="auto" w:fill="auto"/>
            <w:vAlign w:val="bottom"/>
          </w:tcPr>
          <w:p w14:paraId="392C53F4" w14:textId="77777777" w:rsidR="00980E5F" w:rsidRDefault="00980E5F">
            <w:pPr>
              <w:rPr>
                <w:rFonts w:ascii="宋体"/>
                <w:vanish/>
              </w:rPr>
            </w:pPr>
          </w:p>
        </w:tc>
        <w:tc>
          <w:tcPr>
            <w:tcW w:w="0" w:type="auto"/>
            <w:shd w:val="clear" w:color="auto" w:fill="auto"/>
            <w:vAlign w:val="bottom"/>
          </w:tcPr>
          <w:p w14:paraId="392C53F5" w14:textId="77777777" w:rsidR="00980E5F" w:rsidRDefault="00980E5F">
            <w:pPr>
              <w:rPr>
                <w:rFonts w:ascii="宋体"/>
                <w:vanish/>
              </w:rPr>
            </w:pPr>
          </w:p>
        </w:tc>
        <w:tc>
          <w:tcPr>
            <w:tcW w:w="0" w:type="auto"/>
            <w:gridSpan w:val="3"/>
            <w:shd w:val="clear" w:color="auto" w:fill="auto"/>
            <w:vAlign w:val="bottom"/>
          </w:tcPr>
          <w:p w14:paraId="392C53F6" w14:textId="77777777" w:rsidR="00980E5F" w:rsidRDefault="00980E5F">
            <w:pPr>
              <w:rPr>
                <w:rFonts w:ascii="宋体"/>
                <w:vanish/>
              </w:rPr>
            </w:pPr>
          </w:p>
        </w:tc>
        <w:tc>
          <w:tcPr>
            <w:tcW w:w="0" w:type="auto"/>
            <w:gridSpan w:val="3"/>
            <w:shd w:val="clear" w:color="auto" w:fill="auto"/>
            <w:vAlign w:val="bottom"/>
          </w:tcPr>
          <w:p w14:paraId="392C53F7" w14:textId="77777777" w:rsidR="00980E5F" w:rsidRDefault="00980E5F">
            <w:pPr>
              <w:rPr>
                <w:rFonts w:ascii="宋体"/>
                <w:vanish/>
              </w:rPr>
            </w:pPr>
          </w:p>
        </w:tc>
        <w:tc>
          <w:tcPr>
            <w:tcW w:w="0" w:type="auto"/>
            <w:gridSpan w:val="3"/>
            <w:shd w:val="clear" w:color="auto" w:fill="auto"/>
            <w:vAlign w:val="bottom"/>
          </w:tcPr>
          <w:p w14:paraId="392C53F8" w14:textId="77777777" w:rsidR="00980E5F" w:rsidRDefault="00980E5F">
            <w:pPr>
              <w:rPr>
                <w:rFonts w:ascii="宋体"/>
                <w:vanish/>
              </w:rPr>
            </w:pPr>
          </w:p>
        </w:tc>
        <w:tc>
          <w:tcPr>
            <w:tcW w:w="0" w:type="auto"/>
            <w:gridSpan w:val="3"/>
            <w:shd w:val="clear" w:color="auto" w:fill="auto"/>
            <w:vAlign w:val="bottom"/>
          </w:tcPr>
          <w:p w14:paraId="392C53F9" w14:textId="77777777" w:rsidR="00980E5F" w:rsidRDefault="00980E5F">
            <w:pPr>
              <w:rPr>
                <w:rFonts w:ascii="宋体"/>
                <w:vanish/>
              </w:rPr>
            </w:pPr>
          </w:p>
        </w:tc>
        <w:tc>
          <w:tcPr>
            <w:tcW w:w="0" w:type="auto"/>
            <w:gridSpan w:val="3"/>
            <w:shd w:val="clear" w:color="auto" w:fill="auto"/>
            <w:vAlign w:val="bottom"/>
          </w:tcPr>
          <w:p w14:paraId="392C53FA" w14:textId="77777777" w:rsidR="00980E5F" w:rsidRDefault="00980E5F">
            <w:pPr>
              <w:rPr>
                <w:rFonts w:ascii="宋体"/>
                <w:vanish/>
              </w:rPr>
            </w:pPr>
          </w:p>
        </w:tc>
        <w:tc>
          <w:tcPr>
            <w:tcW w:w="0" w:type="auto"/>
            <w:gridSpan w:val="3"/>
            <w:shd w:val="clear" w:color="auto" w:fill="auto"/>
            <w:vAlign w:val="bottom"/>
          </w:tcPr>
          <w:p w14:paraId="392C53FB" w14:textId="77777777" w:rsidR="00980E5F" w:rsidRDefault="00980E5F">
            <w:pPr>
              <w:rPr>
                <w:rFonts w:ascii="宋体"/>
                <w:vanish/>
              </w:rPr>
            </w:pPr>
          </w:p>
        </w:tc>
        <w:tc>
          <w:tcPr>
            <w:tcW w:w="0" w:type="auto"/>
            <w:gridSpan w:val="3"/>
            <w:shd w:val="clear" w:color="auto" w:fill="auto"/>
            <w:vAlign w:val="bottom"/>
          </w:tcPr>
          <w:p w14:paraId="392C53FC" w14:textId="77777777" w:rsidR="00980E5F" w:rsidRDefault="00980E5F">
            <w:pPr>
              <w:rPr>
                <w:rFonts w:ascii="宋体"/>
                <w:vanish/>
              </w:rPr>
            </w:pPr>
          </w:p>
        </w:tc>
        <w:tc>
          <w:tcPr>
            <w:tcW w:w="0" w:type="auto"/>
            <w:gridSpan w:val="3"/>
            <w:shd w:val="clear" w:color="auto" w:fill="auto"/>
            <w:vAlign w:val="bottom"/>
          </w:tcPr>
          <w:p w14:paraId="392C53FD" w14:textId="77777777" w:rsidR="00980E5F" w:rsidRDefault="00980E5F">
            <w:pPr>
              <w:rPr>
                <w:rFonts w:ascii="宋体"/>
                <w:vanish/>
              </w:rPr>
            </w:pPr>
          </w:p>
        </w:tc>
        <w:tc>
          <w:tcPr>
            <w:tcW w:w="0" w:type="auto"/>
            <w:gridSpan w:val="3"/>
            <w:shd w:val="clear" w:color="auto" w:fill="auto"/>
            <w:vAlign w:val="bottom"/>
          </w:tcPr>
          <w:p w14:paraId="392C53FE" w14:textId="77777777" w:rsidR="00980E5F" w:rsidRDefault="00980E5F">
            <w:pPr>
              <w:rPr>
                <w:rFonts w:ascii="宋体"/>
                <w:vanish/>
              </w:rPr>
            </w:pPr>
          </w:p>
        </w:tc>
        <w:tc>
          <w:tcPr>
            <w:tcW w:w="0" w:type="auto"/>
            <w:gridSpan w:val="3"/>
            <w:shd w:val="clear" w:color="auto" w:fill="auto"/>
            <w:vAlign w:val="bottom"/>
          </w:tcPr>
          <w:p w14:paraId="392C53FF" w14:textId="77777777" w:rsidR="00980E5F" w:rsidRDefault="00980E5F">
            <w:pPr>
              <w:rPr>
                <w:rFonts w:ascii="宋体"/>
                <w:vanish/>
              </w:rPr>
            </w:pPr>
          </w:p>
        </w:tc>
        <w:tc>
          <w:tcPr>
            <w:tcW w:w="0" w:type="auto"/>
            <w:gridSpan w:val="2"/>
            <w:shd w:val="clear" w:color="auto" w:fill="auto"/>
            <w:vAlign w:val="bottom"/>
          </w:tcPr>
          <w:p w14:paraId="392C5400" w14:textId="77777777" w:rsidR="00980E5F" w:rsidRDefault="00980E5F">
            <w:pPr>
              <w:rPr>
                <w:rFonts w:ascii="宋体"/>
                <w:vanish/>
              </w:rPr>
            </w:pPr>
          </w:p>
        </w:tc>
        <w:tc>
          <w:tcPr>
            <w:tcW w:w="0" w:type="auto"/>
            <w:shd w:val="clear" w:color="auto" w:fill="auto"/>
            <w:vAlign w:val="bottom"/>
          </w:tcPr>
          <w:p w14:paraId="392C5401" w14:textId="77777777" w:rsidR="00980E5F" w:rsidRDefault="00980E5F">
            <w:pPr>
              <w:rPr>
                <w:rFonts w:ascii="宋体"/>
                <w:vanish/>
              </w:rPr>
            </w:pPr>
          </w:p>
        </w:tc>
      </w:tr>
      <w:tr w:rsidR="00980E5F" w14:paraId="392C5419" w14:textId="77777777">
        <w:trPr>
          <w:hidden/>
        </w:trPr>
        <w:tc>
          <w:tcPr>
            <w:tcW w:w="0" w:type="auto"/>
            <w:gridSpan w:val="3"/>
            <w:shd w:val="clear" w:color="auto" w:fill="auto"/>
            <w:vAlign w:val="bottom"/>
          </w:tcPr>
          <w:p w14:paraId="392C5403" w14:textId="77777777" w:rsidR="00980E5F" w:rsidRDefault="00980E5F">
            <w:pPr>
              <w:rPr>
                <w:rFonts w:ascii="宋体"/>
                <w:vanish/>
              </w:rPr>
            </w:pPr>
          </w:p>
        </w:tc>
        <w:tc>
          <w:tcPr>
            <w:tcW w:w="0" w:type="auto"/>
            <w:gridSpan w:val="3"/>
            <w:shd w:val="clear" w:color="auto" w:fill="auto"/>
            <w:vAlign w:val="bottom"/>
          </w:tcPr>
          <w:p w14:paraId="392C5404" w14:textId="77777777" w:rsidR="00980E5F" w:rsidRDefault="00980E5F">
            <w:pPr>
              <w:rPr>
                <w:rFonts w:ascii="宋体"/>
                <w:vanish/>
              </w:rPr>
            </w:pPr>
          </w:p>
        </w:tc>
        <w:tc>
          <w:tcPr>
            <w:tcW w:w="0" w:type="auto"/>
            <w:gridSpan w:val="3"/>
            <w:shd w:val="clear" w:color="auto" w:fill="auto"/>
            <w:vAlign w:val="bottom"/>
          </w:tcPr>
          <w:p w14:paraId="392C5405" w14:textId="77777777" w:rsidR="00980E5F" w:rsidRDefault="00980E5F">
            <w:pPr>
              <w:rPr>
                <w:rFonts w:ascii="宋体"/>
                <w:vanish/>
              </w:rPr>
            </w:pPr>
          </w:p>
        </w:tc>
        <w:tc>
          <w:tcPr>
            <w:tcW w:w="0" w:type="auto"/>
            <w:gridSpan w:val="3"/>
            <w:shd w:val="clear" w:color="auto" w:fill="auto"/>
            <w:vAlign w:val="bottom"/>
          </w:tcPr>
          <w:p w14:paraId="392C5406" w14:textId="77777777" w:rsidR="00980E5F" w:rsidRDefault="00980E5F">
            <w:pPr>
              <w:rPr>
                <w:rFonts w:ascii="宋体"/>
                <w:vanish/>
              </w:rPr>
            </w:pPr>
          </w:p>
        </w:tc>
        <w:tc>
          <w:tcPr>
            <w:tcW w:w="0" w:type="auto"/>
            <w:gridSpan w:val="3"/>
            <w:shd w:val="clear" w:color="auto" w:fill="auto"/>
            <w:vAlign w:val="bottom"/>
          </w:tcPr>
          <w:p w14:paraId="392C5407" w14:textId="77777777" w:rsidR="00980E5F" w:rsidRDefault="00980E5F">
            <w:pPr>
              <w:rPr>
                <w:rFonts w:ascii="宋体"/>
                <w:vanish/>
              </w:rPr>
            </w:pPr>
          </w:p>
        </w:tc>
        <w:tc>
          <w:tcPr>
            <w:tcW w:w="0" w:type="auto"/>
            <w:gridSpan w:val="3"/>
            <w:shd w:val="clear" w:color="auto" w:fill="auto"/>
            <w:vAlign w:val="bottom"/>
          </w:tcPr>
          <w:p w14:paraId="392C5408" w14:textId="77777777" w:rsidR="00980E5F" w:rsidRDefault="00980E5F">
            <w:pPr>
              <w:rPr>
                <w:rFonts w:ascii="宋体"/>
                <w:vanish/>
              </w:rPr>
            </w:pPr>
          </w:p>
        </w:tc>
        <w:tc>
          <w:tcPr>
            <w:tcW w:w="0" w:type="auto"/>
            <w:gridSpan w:val="3"/>
            <w:shd w:val="clear" w:color="auto" w:fill="auto"/>
            <w:vAlign w:val="bottom"/>
          </w:tcPr>
          <w:p w14:paraId="392C5409" w14:textId="77777777" w:rsidR="00980E5F" w:rsidRDefault="00980E5F">
            <w:pPr>
              <w:rPr>
                <w:rFonts w:ascii="宋体"/>
                <w:vanish/>
              </w:rPr>
            </w:pPr>
          </w:p>
        </w:tc>
        <w:tc>
          <w:tcPr>
            <w:tcW w:w="0" w:type="auto"/>
            <w:gridSpan w:val="3"/>
            <w:shd w:val="clear" w:color="auto" w:fill="auto"/>
            <w:vAlign w:val="bottom"/>
          </w:tcPr>
          <w:p w14:paraId="392C540A" w14:textId="77777777" w:rsidR="00980E5F" w:rsidRDefault="00980E5F">
            <w:pPr>
              <w:rPr>
                <w:rFonts w:ascii="宋体"/>
                <w:vanish/>
              </w:rPr>
            </w:pPr>
          </w:p>
        </w:tc>
        <w:tc>
          <w:tcPr>
            <w:tcW w:w="0" w:type="auto"/>
            <w:shd w:val="clear" w:color="auto" w:fill="auto"/>
            <w:vAlign w:val="bottom"/>
          </w:tcPr>
          <w:p w14:paraId="392C540B" w14:textId="77777777" w:rsidR="00980E5F" w:rsidRDefault="00980E5F">
            <w:pPr>
              <w:rPr>
                <w:rFonts w:ascii="宋体"/>
                <w:vanish/>
              </w:rPr>
            </w:pPr>
          </w:p>
        </w:tc>
        <w:tc>
          <w:tcPr>
            <w:tcW w:w="0" w:type="auto"/>
            <w:shd w:val="clear" w:color="auto" w:fill="auto"/>
            <w:vAlign w:val="bottom"/>
          </w:tcPr>
          <w:p w14:paraId="392C540C" w14:textId="77777777" w:rsidR="00980E5F" w:rsidRDefault="00980E5F">
            <w:pPr>
              <w:rPr>
                <w:rFonts w:ascii="宋体"/>
                <w:vanish/>
              </w:rPr>
            </w:pPr>
          </w:p>
        </w:tc>
        <w:tc>
          <w:tcPr>
            <w:tcW w:w="0" w:type="auto"/>
            <w:gridSpan w:val="3"/>
            <w:shd w:val="clear" w:color="auto" w:fill="auto"/>
            <w:vAlign w:val="bottom"/>
          </w:tcPr>
          <w:p w14:paraId="392C540D" w14:textId="77777777" w:rsidR="00980E5F" w:rsidRDefault="00980E5F">
            <w:pPr>
              <w:rPr>
                <w:rFonts w:ascii="宋体"/>
                <w:vanish/>
              </w:rPr>
            </w:pPr>
          </w:p>
        </w:tc>
        <w:tc>
          <w:tcPr>
            <w:tcW w:w="0" w:type="auto"/>
            <w:gridSpan w:val="3"/>
            <w:shd w:val="clear" w:color="auto" w:fill="auto"/>
            <w:vAlign w:val="bottom"/>
          </w:tcPr>
          <w:p w14:paraId="392C540E" w14:textId="77777777" w:rsidR="00980E5F" w:rsidRDefault="00980E5F">
            <w:pPr>
              <w:rPr>
                <w:rFonts w:ascii="宋体"/>
                <w:vanish/>
              </w:rPr>
            </w:pPr>
          </w:p>
        </w:tc>
        <w:tc>
          <w:tcPr>
            <w:tcW w:w="0" w:type="auto"/>
            <w:gridSpan w:val="3"/>
            <w:shd w:val="clear" w:color="auto" w:fill="auto"/>
            <w:vAlign w:val="bottom"/>
          </w:tcPr>
          <w:p w14:paraId="392C540F" w14:textId="77777777" w:rsidR="00980E5F" w:rsidRDefault="00980E5F">
            <w:pPr>
              <w:rPr>
                <w:rFonts w:ascii="宋体"/>
                <w:vanish/>
              </w:rPr>
            </w:pPr>
          </w:p>
        </w:tc>
        <w:tc>
          <w:tcPr>
            <w:tcW w:w="0" w:type="auto"/>
            <w:gridSpan w:val="3"/>
            <w:shd w:val="clear" w:color="auto" w:fill="auto"/>
            <w:vAlign w:val="bottom"/>
          </w:tcPr>
          <w:p w14:paraId="392C5410" w14:textId="77777777" w:rsidR="00980E5F" w:rsidRDefault="00980E5F">
            <w:pPr>
              <w:rPr>
                <w:rFonts w:ascii="宋体"/>
                <w:vanish/>
              </w:rPr>
            </w:pPr>
          </w:p>
        </w:tc>
        <w:tc>
          <w:tcPr>
            <w:tcW w:w="0" w:type="auto"/>
            <w:gridSpan w:val="3"/>
            <w:shd w:val="clear" w:color="auto" w:fill="auto"/>
            <w:vAlign w:val="bottom"/>
          </w:tcPr>
          <w:p w14:paraId="392C5411" w14:textId="77777777" w:rsidR="00980E5F" w:rsidRDefault="00980E5F">
            <w:pPr>
              <w:rPr>
                <w:rFonts w:ascii="宋体"/>
                <w:vanish/>
              </w:rPr>
            </w:pPr>
          </w:p>
        </w:tc>
        <w:tc>
          <w:tcPr>
            <w:tcW w:w="0" w:type="auto"/>
            <w:gridSpan w:val="3"/>
            <w:shd w:val="clear" w:color="auto" w:fill="auto"/>
            <w:vAlign w:val="bottom"/>
          </w:tcPr>
          <w:p w14:paraId="392C5412" w14:textId="77777777" w:rsidR="00980E5F" w:rsidRDefault="00980E5F">
            <w:pPr>
              <w:rPr>
                <w:rFonts w:ascii="宋体"/>
                <w:vanish/>
              </w:rPr>
            </w:pPr>
          </w:p>
        </w:tc>
        <w:tc>
          <w:tcPr>
            <w:tcW w:w="0" w:type="auto"/>
            <w:gridSpan w:val="3"/>
            <w:shd w:val="clear" w:color="auto" w:fill="auto"/>
            <w:vAlign w:val="bottom"/>
          </w:tcPr>
          <w:p w14:paraId="392C5413" w14:textId="77777777" w:rsidR="00980E5F" w:rsidRDefault="00980E5F">
            <w:pPr>
              <w:rPr>
                <w:rFonts w:ascii="宋体"/>
                <w:vanish/>
              </w:rPr>
            </w:pPr>
          </w:p>
        </w:tc>
        <w:tc>
          <w:tcPr>
            <w:tcW w:w="0" w:type="auto"/>
            <w:gridSpan w:val="3"/>
            <w:shd w:val="clear" w:color="auto" w:fill="auto"/>
            <w:vAlign w:val="bottom"/>
          </w:tcPr>
          <w:p w14:paraId="392C5414" w14:textId="77777777" w:rsidR="00980E5F" w:rsidRDefault="00980E5F">
            <w:pPr>
              <w:rPr>
                <w:rFonts w:ascii="宋体"/>
                <w:vanish/>
              </w:rPr>
            </w:pPr>
          </w:p>
        </w:tc>
        <w:tc>
          <w:tcPr>
            <w:tcW w:w="0" w:type="auto"/>
            <w:gridSpan w:val="3"/>
            <w:shd w:val="clear" w:color="auto" w:fill="auto"/>
            <w:vAlign w:val="bottom"/>
          </w:tcPr>
          <w:p w14:paraId="392C5415" w14:textId="77777777" w:rsidR="00980E5F" w:rsidRDefault="00980E5F">
            <w:pPr>
              <w:rPr>
                <w:rFonts w:ascii="宋体"/>
                <w:vanish/>
              </w:rPr>
            </w:pPr>
          </w:p>
        </w:tc>
        <w:tc>
          <w:tcPr>
            <w:tcW w:w="0" w:type="auto"/>
            <w:gridSpan w:val="3"/>
            <w:shd w:val="clear" w:color="auto" w:fill="auto"/>
            <w:vAlign w:val="bottom"/>
          </w:tcPr>
          <w:p w14:paraId="392C5416" w14:textId="77777777" w:rsidR="00980E5F" w:rsidRDefault="00980E5F">
            <w:pPr>
              <w:rPr>
                <w:rFonts w:ascii="宋体"/>
                <w:vanish/>
              </w:rPr>
            </w:pPr>
          </w:p>
        </w:tc>
        <w:tc>
          <w:tcPr>
            <w:tcW w:w="0" w:type="auto"/>
            <w:gridSpan w:val="2"/>
            <w:shd w:val="clear" w:color="auto" w:fill="auto"/>
            <w:vAlign w:val="bottom"/>
          </w:tcPr>
          <w:p w14:paraId="392C5417" w14:textId="77777777" w:rsidR="00980E5F" w:rsidRDefault="00980E5F">
            <w:pPr>
              <w:rPr>
                <w:rFonts w:ascii="宋体"/>
                <w:vanish/>
              </w:rPr>
            </w:pPr>
          </w:p>
        </w:tc>
        <w:tc>
          <w:tcPr>
            <w:tcW w:w="0" w:type="auto"/>
            <w:shd w:val="clear" w:color="auto" w:fill="auto"/>
            <w:vAlign w:val="bottom"/>
          </w:tcPr>
          <w:p w14:paraId="392C5418" w14:textId="77777777" w:rsidR="00980E5F" w:rsidRDefault="00980E5F">
            <w:pPr>
              <w:rPr>
                <w:rFonts w:ascii="宋体"/>
                <w:vanish/>
              </w:rPr>
            </w:pPr>
          </w:p>
        </w:tc>
      </w:tr>
      <w:tr w:rsidR="00980E5F" w14:paraId="392C5430" w14:textId="77777777">
        <w:trPr>
          <w:hidden/>
        </w:trPr>
        <w:tc>
          <w:tcPr>
            <w:tcW w:w="0" w:type="auto"/>
            <w:gridSpan w:val="3"/>
            <w:shd w:val="clear" w:color="auto" w:fill="auto"/>
            <w:vAlign w:val="bottom"/>
          </w:tcPr>
          <w:p w14:paraId="392C541A" w14:textId="77777777" w:rsidR="00980E5F" w:rsidRDefault="00980E5F">
            <w:pPr>
              <w:rPr>
                <w:rFonts w:ascii="宋体"/>
                <w:vanish/>
              </w:rPr>
            </w:pPr>
          </w:p>
        </w:tc>
        <w:tc>
          <w:tcPr>
            <w:tcW w:w="0" w:type="auto"/>
            <w:gridSpan w:val="3"/>
            <w:shd w:val="clear" w:color="auto" w:fill="auto"/>
            <w:vAlign w:val="bottom"/>
          </w:tcPr>
          <w:p w14:paraId="392C541B" w14:textId="77777777" w:rsidR="00980E5F" w:rsidRDefault="00980E5F">
            <w:pPr>
              <w:rPr>
                <w:rFonts w:ascii="宋体"/>
                <w:vanish/>
              </w:rPr>
            </w:pPr>
          </w:p>
        </w:tc>
        <w:tc>
          <w:tcPr>
            <w:tcW w:w="0" w:type="auto"/>
            <w:gridSpan w:val="3"/>
            <w:shd w:val="clear" w:color="auto" w:fill="auto"/>
            <w:vAlign w:val="bottom"/>
          </w:tcPr>
          <w:p w14:paraId="392C541C" w14:textId="77777777" w:rsidR="00980E5F" w:rsidRDefault="00980E5F">
            <w:pPr>
              <w:rPr>
                <w:rFonts w:ascii="宋体"/>
                <w:vanish/>
              </w:rPr>
            </w:pPr>
          </w:p>
        </w:tc>
        <w:tc>
          <w:tcPr>
            <w:tcW w:w="0" w:type="auto"/>
            <w:gridSpan w:val="3"/>
            <w:shd w:val="clear" w:color="auto" w:fill="auto"/>
            <w:vAlign w:val="bottom"/>
          </w:tcPr>
          <w:p w14:paraId="392C541D" w14:textId="77777777" w:rsidR="00980E5F" w:rsidRDefault="00980E5F">
            <w:pPr>
              <w:rPr>
                <w:rFonts w:ascii="宋体"/>
                <w:vanish/>
              </w:rPr>
            </w:pPr>
          </w:p>
        </w:tc>
        <w:tc>
          <w:tcPr>
            <w:tcW w:w="0" w:type="auto"/>
            <w:gridSpan w:val="3"/>
            <w:shd w:val="clear" w:color="auto" w:fill="auto"/>
            <w:vAlign w:val="bottom"/>
          </w:tcPr>
          <w:p w14:paraId="392C541E" w14:textId="77777777" w:rsidR="00980E5F" w:rsidRDefault="00980E5F">
            <w:pPr>
              <w:rPr>
                <w:rFonts w:ascii="宋体"/>
                <w:vanish/>
              </w:rPr>
            </w:pPr>
          </w:p>
        </w:tc>
        <w:tc>
          <w:tcPr>
            <w:tcW w:w="0" w:type="auto"/>
            <w:gridSpan w:val="3"/>
            <w:shd w:val="clear" w:color="auto" w:fill="auto"/>
            <w:vAlign w:val="bottom"/>
          </w:tcPr>
          <w:p w14:paraId="392C541F" w14:textId="77777777" w:rsidR="00980E5F" w:rsidRDefault="00980E5F">
            <w:pPr>
              <w:rPr>
                <w:rFonts w:ascii="宋体"/>
                <w:vanish/>
              </w:rPr>
            </w:pPr>
          </w:p>
        </w:tc>
        <w:tc>
          <w:tcPr>
            <w:tcW w:w="0" w:type="auto"/>
            <w:gridSpan w:val="3"/>
            <w:shd w:val="clear" w:color="auto" w:fill="auto"/>
            <w:vAlign w:val="bottom"/>
          </w:tcPr>
          <w:p w14:paraId="392C5420" w14:textId="77777777" w:rsidR="00980E5F" w:rsidRDefault="00980E5F">
            <w:pPr>
              <w:rPr>
                <w:rFonts w:ascii="宋体"/>
                <w:vanish/>
              </w:rPr>
            </w:pPr>
          </w:p>
        </w:tc>
        <w:tc>
          <w:tcPr>
            <w:tcW w:w="0" w:type="auto"/>
            <w:gridSpan w:val="3"/>
            <w:shd w:val="clear" w:color="auto" w:fill="auto"/>
            <w:vAlign w:val="bottom"/>
          </w:tcPr>
          <w:p w14:paraId="392C5421" w14:textId="77777777" w:rsidR="00980E5F" w:rsidRDefault="00980E5F">
            <w:pPr>
              <w:rPr>
                <w:rFonts w:ascii="宋体"/>
                <w:vanish/>
              </w:rPr>
            </w:pPr>
          </w:p>
        </w:tc>
        <w:tc>
          <w:tcPr>
            <w:tcW w:w="0" w:type="auto"/>
            <w:shd w:val="clear" w:color="auto" w:fill="auto"/>
            <w:vAlign w:val="bottom"/>
          </w:tcPr>
          <w:p w14:paraId="392C5422" w14:textId="77777777" w:rsidR="00980E5F" w:rsidRDefault="00980E5F">
            <w:pPr>
              <w:rPr>
                <w:rFonts w:ascii="宋体"/>
                <w:vanish/>
              </w:rPr>
            </w:pPr>
          </w:p>
        </w:tc>
        <w:tc>
          <w:tcPr>
            <w:tcW w:w="0" w:type="auto"/>
            <w:shd w:val="clear" w:color="auto" w:fill="auto"/>
            <w:vAlign w:val="bottom"/>
          </w:tcPr>
          <w:p w14:paraId="392C5423" w14:textId="77777777" w:rsidR="00980E5F" w:rsidRDefault="00980E5F">
            <w:pPr>
              <w:rPr>
                <w:rFonts w:ascii="宋体"/>
                <w:vanish/>
              </w:rPr>
            </w:pPr>
          </w:p>
        </w:tc>
        <w:tc>
          <w:tcPr>
            <w:tcW w:w="0" w:type="auto"/>
            <w:gridSpan w:val="3"/>
            <w:shd w:val="clear" w:color="auto" w:fill="auto"/>
            <w:vAlign w:val="bottom"/>
          </w:tcPr>
          <w:p w14:paraId="392C5424" w14:textId="77777777" w:rsidR="00980E5F" w:rsidRDefault="00980E5F">
            <w:pPr>
              <w:rPr>
                <w:rFonts w:ascii="宋体"/>
                <w:vanish/>
              </w:rPr>
            </w:pPr>
          </w:p>
        </w:tc>
        <w:tc>
          <w:tcPr>
            <w:tcW w:w="0" w:type="auto"/>
            <w:gridSpan w:val="3"/>
            <w:shd w:val="clear" w:color="auto" w:fill="auto"/>
            <w:vAlign w:val="bottom"/>
          </w:tcPr>
          <w:p w14:paraId="392C5425" w14:textId="77777777" w:rsidR="00980E5F" w:rsidRDefault="00980E5F">
            <w:pPr>
              <w:rPr>
                <w:rFonts w:ascii="宋体"/>
                <w:vanish/>
              </w:rPr>
            </w:pPr>
          </w:p>
        </w:tc>
        <w:tc>
          <w:tcPr>
            <w:tcW w:w="0" w:type="auto"/>
            <w:gridSpan w:val="3"/>
            <w:shd w:val="clear" w:color="auto" w:fill="auto"/>
            <w:vAlign w:val="bottom"/>
          </w:tcPr>
          <w:p w14:paraId="392C5426" w14:textId="77777777" w:rsidR="00980E5F" w:rsidRDefault="00980E5F">
            <w:pPr>
              <w:rPr>
                <w:rFonts w:ascii="宋体"/>
                <w:vanish/>
              </w:rPr>
            </w:pPr>
          </w:p>
        </w:tc>
        <w:tc>
          <w:tcPr>
            <w:tcW w:w="0" w:type="auto"/>
            <w:gridSpan w:val="3"/>
            <w:shd w:val="clear" w:color="auto" w:fill="auto"/>
            <w:vAlign w:val="bottom"/>
          </w:tcPr>
          <w:p w14:paraId="392C5427" w14:textId="77777777" w:rsidR="00980E5F" w:rsidRDefault="00980E5F">
            <w:pPr>
              <w:rPr>
                <w:rFonts w:ascii="宋体"/>
                <w:vanish/>
              </w:rPr>
            </w:pPr>
          </w:p>
        </w:tc>
        <w:tc>
          <w:tcPr>
            <w:tcW w:w="0" w:type="auto"/>
            <w:gridSpan w:val="3"/>
            <w:shd w:val="clear" w:color="auto" w:fill="auto"/>
            <w:vAlign w:val="bottom"/>
          </w:tcPr>
          <w:p w14:paraId="392C5428" w14:textId="77777777" w:rsidR="00980E5F" w:rsidRDefault="00980E5F">
            <w:pPr>
              <w:rPr>
                <w:rFonts w:ascii="宋体"/>
                <w:vanish/>
              </w:rPr>
            </w:pPr>
          </w:p>
        </w:tc>
        <w:tc>
          <w:tcPr>
            <w:tcW w:w="0" w:type="auto"/>
            <w:gridSpan w:val="3"/>
            <w:shd w:val="clear" w:color="auto" w:fill="auto"/>
            <w:vAlign w:val="bottom"/>
          </w:tcPr>
          <w:p w14:paraId="392C5429" w14:textId="77777777" w:rsidR="00980E5F" w:rsidRDefault="00980E5F">
            <w:pPr>
              <w:rPr>
                <w:rFonts w:ascii="宋体"/>
                <w:vanish/>
              </w:rPr>
            </w:pPr>
          </w:p>
        </w:tc>
        <w:tc>
          <w:tcPr>
            <w:tcW w:w="0" w:type="auto"/>
            <w:gridSpan w:val="3"/>
            <w:shd w:val="clear" w:color="auto" w:fill="auto"/>
            <w:vAlign w:val="bottom"/>
          </w:tcPr>
          <w:p w14:paraId="392C542A" w14:textId="77777777" w:rsidR="00980E5F" w:rsidRDefault="00980E5F">
            <w:pPr>
              <w:rPr>
                <w:rFonts w:ascii="宋体"/>
                <w:vanish/>
              </w:rPr>
            </w:pPr>
          </w:p>
        </w:tc>
        <w:tc>
          <w:tcPr>
            <w:tcW w:w="0" w:type="auto"/>
            <w:gridSpan w:val="3"/>
            <w:shd w:val="clear" w:color="auto" w:fill="auto"/>
            <w:vAlign w:val="bottom"/>
          </w:tcPr>
          <w:p w14:paraId="392C542B" w14:textId="77777777" w:rsidR="00980E5F" w:rsidRDefault="00980E5F">
            <w:pPr>
              <w:rPr>
                <w:rFonts w:ascii="宋体"/>
                <w:vanish/>
              </w:rPr>
            </w:pPr>
          </w:p>
        </w:tc>
        <w:tc>
          <w:tcPr>
            <w:tcW w:w="0" w:type="auto"/>
            <w:gridSpan w:val="3"/>
            <w:shd w:val="clear" w:color="auto" w:fill="auto"/>
            <w:vAlign w:val="bottom"/>
          </w:tcPr>
          <w:p w14:paraId="392C542C" w14:textId="77777777" w:rsidR="00980E5F" w:rsidRDefault="00980E5F">
            <w:pPr>
              <w:rPr>
                <w:rFonts w:ascii="宋体"/>
                <w:vanish/>
              </w:rPr>
            </w:pPr>
          </w:p>
        </w:tc>
        <w:tc>
          <w:tcPr>
            <w:tcW w:w="0" w:type="auto"/>
            <w:gridSpan w:val="3"/>
            <w:shd w:val="clear" w:color="auto" w:fill="auto"/>
            <w:vAlign w:val="bottom"/>
          </w:tcPr>
          <w:p w14:paraId="392C542D" w14:textId="77777777" w:rsidR="00980E5F" w:rsidRDefault="00980E5F">
            <w:pPr>
              <w:rPr>
                <w:rFonts w:ascii="宋体"/>
                <w:vanish/>
              </w:rPr>
            </w:pPr>
          </w:p>
        </w:tc>
        <w:tc>
          <w:tcPr>
            <w:tcW w:w="0" w:type="auto"/>
            <w:gridSpan w:val="2"/>
            <w:shd w:val="clear" w:color="auto" w:fill="auto"/>
            <w:vAlign w:val="bottom"/>
          </w:tcPr>
          <w:p w14:paraId="392C542E" w14:textId="77777777" w:rsidR="00980E5F" w:rsidRDefault="00980E5F">
            <w:pPr>
              <w:rPr>
                <w:rFonts w:ascii="宋体"/>
                <w:vanish/>
              </w:rPr>
            </w:pPr>
          </w:p>
        </w:tc>
        <w:tc>
          <w:tcPr>
            <w:tcW w:w="0" w:type="auto"/>
            <w:shd w:val="clear" w:color="auto" w:fill="auto"/>
            <w:vAlign w:val="bottom"/>
          </w:tcPr>
          <w:p w14:paraId="392C542F" w14:textId="77777777" w:rsidR="00980E5F" w:rsidRDefault="00980E5F">
            <w:pPr>
              <w:rPr>
                <w:rFonts w:ascii="宋体"/>
                <w:vanish/>
              </w:rPr>
            </w:pPr>
          </w:p>
        </w:tc>
      </w:tr>
      <w:tr w:rsidR="00980E5F" w14:paraId="392C5447" w14:textId="77777777">
        <w:trPr>
          <w:hidden/>
        </w:trPr>
        <w:tc>
          <w:tcPr>
            <w:tcW w:w="0" w:type="auto"/>
            <w:gridSpan w:val="3"/>
            <w:shd w:val="clear" w:color="auto" w:fill="auto"/>
            <w:vAlign w:val="bottom"/>
          </w:tcPr>
          <w:p w14:paraId="392C5431" w14:textId="77777777" w:rsidR="00980E5F" w:rsidRDefault="00980E5F">
            <w:pPr>
              <w:rPr>
                <w:rFonts w:ascii="宋体"/>
                <w:vanish/>
              </w:rPr>
            </w:pPr>
          </w:p>
        </w:tc>
        <w:tc>
          <w:tcPr>
            <w:tcW w:w="0" w:type="auto"/>
            <w:gridSpan w:val="3"/>
            <w:shd w:val="clear" w:color="auto" w:fill="auto"/>
            <w:vAlign w:val="bottom"/>
          </w:tcPr>
          <w:p w14:paraId="392C5432" w14:textId="77777777" w:rsidR="00980E5F" w:rsidRDefault="00980E5F">
            <w:pPr>
              <w:rPr>
                <w:rFonts w:ascii="宋体"/>
                <w:vanish/>
              </w:rPr>
            </w:pPr>
          </w:p>
        </w:tc>
        <w:tc>
          <w:tcPr>
            <w:tcW w:w="0" w:type="auto"/>
            <w:gridSpan w:val="3"/>
            <w:shd w:val="clear" w:color="auto" w:fill="auto"/>
            <w:vAlign w:val="bottom"/>
          </w:tcPr>
          <w:p w14:paraId="392C5433" w14:textId="77777777" w:rsidR="00980E5F" w:rsidRDefault="00980E5F">
            <w:pPr>
              <w:rPr>
                <w:rFonts w:ascii="宋体"/>
                <w:vanish/>
              </w:rPr>
            </w:pPr>
          </w:p>
        </w:tc>
        <w:tc>
          <w:tcPr>
            <w:tcW w:w="0" w:type="auto"/>
            <w:gridSpan w:val="3"/>
            <w:shd w:val="clear" w:color="auto" w:fill="auto"/>
            <w:vAlign w:val="bottom"/>
          </w:tcPr>
          <w:p w14:paraId="392C5434" w14:textId="77777777" w:rsidR="00980E5F" w:rsidRDefault="00980E5F">
            <w:pPr>
              <w:rPr>
                <w:rFonts w:ascii="宋体"/>
                <w:vanish/>
              </w:rPr>
            </w:pPr>
          </w:p>
        </w:tc>
        <w:tc>
          <w:tcPr>
            <w:tcW w:w="0" w:type="auto"/>
            <w:gridSpan w:val="3"/>
            <w:shd w:val="clear" w:color="auto" w:fill="auto"/>
            <w:vAlign w:val="bottom"/>
          </w:tcPr>
          <w:p w14:paraId="392C5435" w14:textId="77777777" w:rsidR="00980E5F" w:rsidRDefault="00980E5F">
            <w:pPr>
              <w:rPr>
                <w:rFonts w:ascii="宋体"/>
                <w:vanish/>
              </w:rPr>
            </w:pPr>
          </w:p>
        </w:tc>
        <w:tc>
          <w:tcPr>
            <w:tcW w:w="0" w:type="auto"/>
            <w:gridSpan w:val="3"/>
            <w:shd w:val="clear" w:color="auto" w:fill="auto"/>
            <w:vAlign w:val="bottom"/>
          </w:tcPr>
          <w:p w14:paraId="392C5436" w14:textId="77777777" w:rsidR="00980E5F" w:rsidRDefault="00980E5F">
            <w:pPr>
              <w:rPr>
                <w:rFonts w:ascii="宋体"/>
                <w:vanish/>
              </w:rPr>
            </w:pPr>
          </w:p>
        </w:tc>
        <w:tc>
          <w:tcPr>
            <w:tcW w:w="0" w:type="auto"/>
            <w:gridSpan w:val="3"/>
            <w:shd w:val="clear" w:color="auto" w:fill="auto"/>
            <w:vAlign w:val="bottom"/>
          </w:tcPr>
          <w:p w14:paraId="392C5437" w14:textId="77777777" w:rsidR="00980E5F" w:rsidRDefault="00980E5F">
            <w:pPr>
              <w:rPr>
                <w:rFonts w:ascii="宋体"/>
                <w:vanish/>
              </w:rPr>
            </w:pPr>
          </w:p>
        </w:tc>
        <w:tc>
          <w:tcPr>
            <w:tcW w:w="0" w:type="auto"/>
            <w:gridSpan w:val="3"/>
            <w:shd w:val="clear" w:color="auto" w:fill="auto"/>
            <w:vAlign w:val="bottom"/>
          </w:tcPr>
          <w:p w14:paraId="392C5438" w14:textId="77777777" w:rsidR="00980E5F" w:rsidRDefault="00980E5F">
            <w:pPr>
              <w:rPr>
                <w:rFonts w:ascii="宋体"/>
                <w:vanish/>
              </w:rPr>
            </w:pPr>
          </w:p>
        </w:tc>
        <w:tc>
          <w:tcPr>
            <w:tcW w:w="0" w:type="auto"/>
            <w:shd w:val="clear" w:color="auto" w:fill="auto"/>
            <w:vAlign w:val="bottom"/>
          </w:tcPr>
          <w:p w14:paraId="392C5439" w14:textId="77777777" w:rsidR="00980E5F" w:rsidRDefault="00980E5F">
            <w:pPr>
              <w:rPr>
                <w:rFonts w:ascii="宋体"/>
                <w:vanish/>
              </w:rPr>
            </w:pPr>
          </w:p>
        </w:tc>
        <w:tc>
          <w:tcPr>
            <w:tcW w:w="0" w:type="auto"/>
            <w:shd w:val="clear" w:color="auto" w:fill="auto"/>
            <w:vAlign w:val="bottom"/>
          </w:tcPr>
          <w:p w14:paraId="392C543A" w14:textId="77777777" w:rsidR="00980E5F" w:rsidRDefault="00980E5F">
            <w:pPr>
              <w:rPr>
                <w:rFonts w:ascii="宋体"/>
                <w:vanish/>
              </w:rPr>
            </w:pPr>
          </w:p>
        </w:tc>
        <w:tc>
          <w:tcPr>
            <w:tcW w:w="0" w:type="auto"/>
            <w:gridSpan w:val="3"/>
            <w:shd w:val="clear" w:color="auto" w:fill="auto"/>
            <w:vAlign w:val="bottom"/>
          </w:tcPr>
          <w:p w14:paraId="392C543B" w14:textId="77777777" w:rsidR="00980E5F" w:rsidRDefault="00980E5F">
            <w:pPr>
              <w:rPr>
                <w:rFonts w:ascii="宋体"/>
                <w:vanish/>
              </w:rPr>
            </w:pPr>
          </w:p>
        </w:tc>
        <w:tc>
          <w:tcPr>
            <w:tcW w:w="0" w:type="auto"/>
            <w:gridSpan w:val="3"/>
            <w:shd w:val="clear" w:color="auto" w:fill="auto"/>
            <w:vAlign w:val="bottom"/>
          </w:tcPr>
          <w:p w14:paraId="392C543C" w14:textId="77777777" w:rsidR="00980E5F" w:rsidRDefault="00980E5F">
            <w:pPr>
              <w:rPr>
                <w:rFonts w:ascii="宋体"/>
                <w:vanish/>
              </w:rPr>
            </w:pPr>
          </w:p>
        </w:tc>
        <w:tc>
          <w:tcPr>
            <w:tcW w:w="0" w:type="auto"/>
            <w:gridSpan w:val="3"/>
            <w:shd w:val="clear" w:color="auto" w:fill="auto"/>
            <w:vAlign w:val="bottom"/>
          </w:tcPr>
          <w:p w14:paraId="392C543D" w14:textId="77777777" w:rsidR="00980E5F" w:rsidRDefault="00980E5F">
            <w:pPr>
              <w:rPr>
                <w:rFonts w:ascii="宋体"/>
                <w:vanish/>
              </w:rPr>
            </w:pPr>
          </w:p>
        </w:tc>
        <w:tc>
          <w:tcPr>
            <w:tcW w:w="0" w:type="auto"/>
            <w:gridSpan w:val="3"/>
            <w:shd w:val="clear" w:color="auto" w:fill="auto"/>
            <w:vAlign w:val="bottom"/>
          </w:tcPr>
          <w:p w14:paraId="392C543E" w14:textId="77777777" w:rsidR="00980E5F" w:rsidRDefault="00980E5F">
            <w:pPr>
              <w:rPr>
                <w:rFonts w:ascii="宋体"/>
                <w:vanish/>
              </w:rPr>
            </w:pPr>
          </w:p>
        </w:tc>
        <w:tc>
          <w:tcPr>
            <w:tcW w:w="0" w:type="auto"/>
            <w:gridSpan w:val="3"/>
            <w:shd w:val="clear" w:color="auto" w:fill="auto"/>
            <w:vAlign w:val="bottom"/>
          </w:tcPr>
          <w:p w14:paraId="392C543F" w14:textId="77777777" w:rsidR="00980E5F" w:rsidRDefault="00980E5F">
            <w:pPr>
              <w:rPr>
                <w:rFonts w:ascii="宋体"/>
                <w:vanish/>
              </w:rPr>
            </w:pPr>
          </w:p>
        </w:tc>
        <w:tc>
          <w:tcPr>
            <w:tcW w:w="0" w:type="auto"/>
            <w:gridSpan w:val="3"/>
            <w:shd w:val="clear" w:color="auto" w:fill="auto"/>
            <w:vAlign w:val="bottom"/>
          </w:tcPr>
          <w:p w14:paraId="392C5440" w14:textId="77777777" w:rsidR="00980E5F" w:rsidRDefault="00980E5F">
            <w:pPr>
              <w:rPr>
                <w:rFonts w:ascii="宋体"/>
                <w:vanish/>
              </w:rPr>
            </w:pPr>
          </w:p>
        </w:tc>
        <w:tc>
          <w:tcPr>
            <w:tcW w:w="0" w:type="auto"/>
            <w:gridSpan w:val="3"/>
            <w:shd w:val="clear" w:color="auto" w:fill="auto"/>
            <w:vAlign w:val="bottom"/>
          </w:tcPr>
          <w:p w14:paraId="392C5441" w14:textId="77777777" w:rsidR="00980E5F" w:rsidRDefault="00980E5F">
            <w:pPr>
              <w:rPr>
                <w:rFonts w:ascii="宋体"/>
                <w:vanish/>
              </w:rPr>
            </w:pPr>
          </w:p>
        </w:tc>
        <w:tc>
          <w:tcPr>
            <w:tcW w:w="0" w:type="auto"/>
            <w:gridSpan w:val="3"/>
            <w:shd w:val="clear" w:color="auto" w:fill="auto"/>
            <w:vAlign w:val="bottom"/>
          </w:tcPr>
          <w:p w14:paraId="392C5442" w14:textId="77777777" w:rsidR="00980E5F" w:rsidRDefault="00980E5F">
            <w:pPr>
              <w:rPr>
                <w:rFonts w:ascii="宋体"/>
                <w:vanish/>
              </w:rPr>
            </w:pPr>
          </w:p>
        </w:tc>
        <w:tc>
          <w:tcPr>
            <w:tcW w:w="0" w:type="auto"/>
            <w:gridSpan w:val="3"/>
            <w:shd w:val="clear" w:color="auto" w:fill="auto"/>
            <w:vAlign w:val="bottom"/>
          </w:tcPr>
          <w:p w14:paraId="392C5443" w14:textId="77777777" w:rsidR="00980E5F" w:rsidRDefault="00980E5F">
            <w:pPr>
              <w:rPr>
                <w:rFonts w:ascii="宋体"/>
                <w:vanish/>
              </w:rPr>
            </w:pPr>
          </w:p>
        </w:tc>
        <w:tc>
          <w:tcPr>
            <w:tcW w:w="0" w:type="auto"/>
            <w:gridSpan w:val="3"/>
            <w:shd w:val="clear" w:color="auto" w:fill="auto"/>
            <w:vAlign w:val="bottom"/>
          </w:tcPr>
          <w:p w14:paraId="392C5444" w14:textId="77777777" w:rsidR="00980E5F" w:rsidRDefault="00980E5F">
            <w:pPr>
              <w:rPr>
                <w:rFonts w:ascii="宋体"/>
                <w:vanish/>
              </w:rPr>
            </w:pPr>
          </w:p>
        </w:tc>
        <w:tc>
          <w:tcPr>
            <w:tcW w:w="0" w:type="auto"/>
            <w:gridSpan w:val="2"/>
            <w:shd w:val="clear" w:color="auto" w:fill="auto"/>
            <w:vAlign w:val="bottom"/>
          </w:tcPr>
          <w:p w14:paraId="392C5445" w14:textId="77777777" w:rsidR="00980E5F" w:rsidRDefault="00980E5F">
            <w:pPr>
              <w:rPr>
                <w:rFonts w:ascii="宋体"/>
                <w:vanish/>
              </w:rPr>
            </w:pPr>
          </w:p>
        </w:tc>
        <w:tc>
          <w:tcPr>
            <w:tcW w:w="0" w:type="auto"/>
            <w:shd w:val="clear" w:color="auto" w:fill="auto"/>
            <w:vAlign w:val="bottom"/>
          </w:tcPr>
          <w:p w14:paraId="392C5446" w14:textId="77777777" w:rsidR="00980E5F" w:rsidRDefault="00980E5F">
            <w:pPr>
              <w:rPr>
                <w:rFonts w:ascii="宋体"/>
                <w:vanish/>
              </w:rPr>
            </w:pPr>
          </w:p>
        </w:tc>
      </w:tr>
      <w:tr w:rsidR="00980E5F" w14:paraId="392C545E" w14:textId="77777777">
        <w:trPr>
          <w:hidden/>
        </w:trPr>
        <w:tc>
          <w:tcPr>
            <w:tcW w:w="0" w:type="auto"/>
            <w:gridSpan w:val="3"/>
            <w:shd w:val="clear" w:color="auto" w:fill="auto"/>
            <w:vAlign w:val="bottom"/>
          </w:tcPr>
          <w:p w14:paraId="392C5448" w14:textId="77777777" w:rsidR="00980E5F" w:rsidRDefault="00980E5F">
            <w:pPr>
              <w:rPr>
                <w:rFonts w:ascii="宋体"/>
                <w:vanish/>
              </w:rPr>
            </w:pPr>
          </w:p>
        </w:tc>
        <w:tc>
          <w:tcPr>
            <w:tcW w:w="0" w:type="auto"/>
            <w:gridSpan w:val="3"/>
            <w:shd w:val="clear" w:color="auto" w:fill="auto"/>
            <w:vAlign w:val="bottom"/>
          </w:tcPr>
          <w:p w14:paraId="392C5449" w14:textId="77777777" w:rsidR="00980E5F" w:rsidRDefault="00980E5F">
            <w:pPr>
              <w:rPr>
                <w:rFonts w:ascii="宋体"/>
                <w:vanish/>
              </w:rPr>
            </w:pPr>
          </w:p>
        </w:tc>
        <w:tc>
          <w:tcPr>
            <w:tcW w:w="0" w:type="auto"/>
            <w:gridSpan w:val="3"/>
            <w:shd w:val="clear" w:color="auto" w:fill="auto"/>
            <w:vAlign w:val="bottom"/>
          </w:tcPr>
          <w:p w14:paraId="392C544A" w14:textId="77777777" w:rsidR="00980E5F" w:rsidRDefault="00980E5F">
            <w:pPr>
              <w:rPr>
                <w:rFonts w:ascii="宋体"/>
                <w:vanish/>
              </w:rPr>
            </w:pPr>
          </w:p>
        </w:tc>
        <w:tc>
          <w:tcPr>
            <w:tcW w:w="0" w:type="auto"/>
            <w:gridSpan w:val="3"/>
            <w:shd w:val="clear" w:color="auto" w:fill="auto"/>
            <w:vAlign w:val="bottom"/>
          </w:tcPr>
          <w:p w14:paraId="392C544B" w14:textId="77777777" w:rsidR="00980E5F" w:rsidRDefault="00980E5F">
            <w:pPr>
              <w:rPr>
                <w:rFonts w:ascii="宋体"/>
                <w:vanish/>
              </w:rPr>
            </w:pPr>
          </w:p>
        </w:tc>
        <w:tc>
          <w:tcPr>
            <w:tcW w:w="0" w:type="auto"/>
            <w:gridSpan w:val="3"/>
            <w:shd w:val="clear" w:color="auto" w:fill="auto"/>
            <w:vAlign w:val="bottom"/>
          </w:tcPr>
          <w:p w14:paraId="392C544C" w14:textId="77777777" w:rsidR="00980E5F" w:rsidRDefault="00980E5F">
            <w:pPr>
              <w:rPr>
                <w:rFonts w:ascii="宋体"/>
                <w:vanish/>
              </w:rPr>
            </w:pPr>
          </w:p>
        </w:tc>
        <w:tc>
          <w:tcPr>
            <w:tcW w:w="0" w:type="auto"/>
            <w:gridSpan w:val="3"/>
            <w:shd w:val="clear" w:color="auto" w:fill="auto"/>
            <w:vAlign w:val="bottom"/>
          </w:tcPr>
          <w:p w14:paraId="392C544D" w14:textId="77777777" w:rsidR="00980E5F" w:rsidRDefault="00980E5F">
            <w:pPr>
              <w:rPr>
                <w:rFonts w:ascii="宋体"/>
                <w:vanish/>
              </w:rPr>
            </w:pPr>
          </w:p>
        </w:tc>
        <w:tc>
          <w:tcPr>
            <w:tcW w:w="0" w:type="auto"/>
            <w:gridSpan w:val="3"/>
            <w:shd w:val="clear" w:color="auto" w:fill="auto"/>
            <w:vAlign w:val="bottom"/>
          </w:tcPr>
          <w:p w14:paraId="392C544E" w14:textId="77777777" w:rsidR="00980E5F" w:rsidRDefault="00980E5F">
            <w:pPr>
              <w:rPr>
                <w:rFonts w:ascii="宋体"/>
                <w:vanish/>
              </w:rPr>
            </w:pPr>
          </w:p>
        </w:tc>
        <w:tc>
          <w:tcPr>
            <w:tcW w:w="0" w:type="auto"/>
            <w:gridSpan w:val="3"/>
            <w:shd w:val="clear" w:color="auto" w:fill="auto"/>
            <w:vAlign w:val="bottom"/>
          </w:tcPr>
          <w:p w14:paraId="392C544F" w14:textId="77777777" w:rsidR="00980E5F" w:rsidRDefault="00980E5F">
            <w:pPr>
              <w:rPr>
                <w:rFonts w:ascii="宋体"/>
                <w:vanish/>
              </w:rPr>
            </w:pPr>
          </w:p>
        </w:tc>
        <w:tc>
          <w:tcPr>
            <w:tcW w:w="0" w:type="auto"/>
            <w:shd w:val="clear" w:color="auto" w:fill="auto"/>
            <w:vAlign w:val="bottom"/>
          </w:tcPr>
          <w:p w14:paraId="392C5450" w14:textId="77777777" w:rsidR="00980E5F" w:rsidRDefault="00980E5F">
            <w:pPr>
              <w:rPr>
                <w:rFonts w:ascii="宋体"/>
                <w:vanish/>
              </w:rPr>
            </w:pPr>
          </w:p>
        </w:tc>
        <w:tc>
          <w:tcPr>
            <w:tcW w:w="0" w:type="auto"/>
            <w:shd w:val="clear" w:color="auto" w:fill="auto"/>
            <w:vAlign w:val="bottom"/>
          </w:tcPr>
          <w:p w14:paraId="392C5451" w14:textId="77777777" w:rsidR="00980E5F" w:rsidRDefault="00980E5F">
            <w:pPr>
              <w:rPr>
                <w:rFonts w:ascii="宋体"/>
                <w:vanish/>
              </w:rPr>
            </w:pPr>
          </w:p>
        </w:tc>
        <w:tc>
          <w:tcPr>
            <w:tcW w:w="0" w:type="auto"/>
            <w:gridSpan w:val="3"/>
            <w:shd w:val="clear" w:color="auto" w:fill="auto"/>
            <w:vAlign w:val="bottom"/>
          </w:tcPr>
          <w:p w14:paraId="392C5452" w14:textId="77777777" w:rsidR="00980E5F" w:rsidRDefault="00980E5F">
            <w:pPr>
              <w:rPr>
                <w:rFonts w:ascii="宋体"/>
                <w:vanish/>
              </w:rPr>
            </w:pPr>
          </w:p>
        </w:tc>
        <w:tc>
          <w:tcPr>
            <w:tcW w:w="0" w:type="auto"/>
            <w:gridSpan w:val="3"/>
            <w:shd w:val="clear" w:color="auto" w:fill="auto"/>
            <w:vAlign w:val="bottom"/>
          </w:tcPr>
          <w:p w14:paraId="392C5453" w14:textId="77777777" w:rsidR="00980E5F" w:rsidRDefault="00980E5F">
            <w:pPr>
              <w:rPr>
                <w:rFonts w:ascii="宋体"/>
                <w:vanish/>
              </w:rPr>
            </w:pPr>
          </w:p>
        </w:tc>
        <w:tc>
          <w:tcPr>
            <w:tcW w:w="0" w:type="auto"/>
            <w:gridSpan w:val="3"/>
            <w:shd w:val="clear" w:color="auto" w:fill="auto"/>
            <w:vAlign w:val="bottom"/>
          </w:tcPr>
          <w:p w14:paraId="392C5454" w14:textId="77777777" w:rsidR="00980E5F" w:rsidRDefault="00980E5F">
            <w:pPr>
              <w:rPr>
                <w:rFonts w:ascii="宋体"/>
                <w:vanish/>
              </w:rPr>
            </w:pPr>
          </w:p>
        </w:tc>
        <w:tc>
          <w:tcPr>
            <w:tcW w:w="0" w:type="auto"/>
            <w:gridSpan w:val="3"/>
            <w:shd w:val="clear" w:color="auto" w:fill="auto"/>
            <w:vAlign w:val="bottom"/>
          </w:tcPr>
          <w:p w14:paraId="392C5455" w14:textId="77777777" w:rsidR="00980E5F" w:rsidRDefault="00980E5F">
            <w:pPr>
              <w:rPr>
                <w:rFonts w:ascii="宋体"/>
                <w:vanish/>
              </w:rPr>
            </w:pPr>
          </w:p>
        </w:tc>
        <w:tc>
          <w:tcPr>
            <w:tcW w:w="0" w:type="auto"/>
            <w:gridSpan w:val="3"/>
            <w:shd w:val="clear" w:color="auto" w:fill="auto"/>
            <w:vAlign w:val="bottom"/>
          </w:tcPr>
          <w:p w14:paraId="392C5456" w14:textId="77777777" w:rsidR="00980E5F" w:rsidRDefault="00980E5F">
            <w:pPr>
              <w:rPr>
                <w:rFonts w:ascii="宋体"/>
                <w:vanish/>
              </w:rPr>
            </w:pPr>
          </w:p>
        </w:tc>
        <w:tc>
          <w:tcPr>
            <w:tcW w:w="0" w:type="auto"/>
            <w:gridSpan w:val="3"/>
            <w:shd w:val="clear" w:color="auto" w:fill="auto"/>
            <w:vAlign w:val="bottom"/>
          </w:tcPr>
          <w:p w14:paraId="392C5457" w14:textId="77777777" w:rsidR="00980E5F" w:rsidRDefault="00980E5F">
            <w:pPr>
              <w:rPr>
                <w:rFonts w:ascii="宋体"/>
                <w:vanish/>
              </w:rPr>
            </w:pPr>
          </w:p>
        </w:tc>
        <w:tc>
          <w:tcPr>
            <w:tcW w:w="0" w:type="auto"/>
            <w:gridSpan w:val="3"/>
            <w:shd w:val="clear" w:color="auto" w:fill="auto"/>
            <w:vAlign w:val="bottom"/>
          </w:tcPr>
          <w:p w14:paraId="392C5458" w14:textId="77777777" w:rsidR="00980E5F" w:rsidRDefault="00980E5F">
            <w:pPr>
              <w:rPr>
                <w:rFonts w:ascii="宋体"/>
                <w:vanish/>
              </w:rPr>
            </w:pPr>
          </w:p>
        </w:tc>
        <w:tc>
          <w:tcPr>
            <w:tcW w:w="0" w:type="auto"/>
            <w:gridSpan w:val="3"/>
            <w:shd w:val="clear" w:color="auto" w:fill="auto"/>
            <w:vAlign w:val="bottom"/>
          </w:tcPr>
          <w:p w14:paraId="392C5459" w14:textId="77777777" w:rsidR="00980E5F" w:rsidRDefault="00980E5F">
            <w:pPr>
              <w:rPr>
                <w:rFonts w:ascii="宋体"/>
                <w:vanish/>
              </w:rPr>
            </w:pPr>
          </w:p>
        </w:tc>
        <w:tc>
          <w:tcPr>
            <w:tcW w:w="0" w:type="auto"/>
            <w:gridSpan w:val="3"/>
            <w:shd w:val="clear" w:color="auto" w:fill="auto"/>
            <w:vAlign w:val="bottom"/>
          </w:tcPr>
          <w:p w14:paraId="392C545A" w14:textId="77777777" w:rsidR="00980E5F" w:rsidRDefault="00980E5F">
            <w:pPr>
              <w:rPr>
                <w:rFonts w:ascii="宋体"/>
                <w:vanish/>
              </w:rPr>
            </w:pPr>
          </w:p>
        </w:tc>
        <w:tc>
          <w:tcPr>
            <w:tcW w:w="0" w:type="auto"/>
            <w:gridSpan w:val="3"/>
            <w:shd w:val="clear" w:color="auto" w:fill="auto"/>
            <w:vAlign w:val="bottom"/>
          </w:tcPr>
          <w:p w14:paraId="392C545B" w14:textId="77777777" w:rsidR="00980E5F" w:rsidRDefault="00980E5F">
            <w:pPr>
              <w:rPr>
                <w:rFonts w:ascii="宋体"/>
                <w:vanish/>
              </w:rPr>
            </w:pPr>
          </w:p>
        </w:tc>
        <w:tc>
          <w:tcPr>
            <w:tcW w:w="0" w:type="auto"/>
            <w:gridSpan w:val="2"/>
            <w:shd w:val="clear" w:color="auto" w:fill="auto"/>
            <w:vAlign w:val="bottom"/>
          </w:tcPr>
          <w:p w14:paraId="392C545C" w14:textId="77777777" w:rsidR="00980E5F" w:rsidRDefault="00980E5F">
            <w:pPr>
              <w:rPr>
                <w:rFonts w:ascii="宋体"/>
                <w:vanish/>
              </w:rPr>
            </w:pPr>
          </w:p>
        </w:tc>
        <w:tc>
          <w:tcPr>
            <w:tcW w:w="0" w:type="auto"/>
            <w:shd w:val="clear" w:color="auto" w:fill="auto"/>
            <w:vAlign w:val="bottom"/>
          </w:tcPr>
          <w:p w14:paraId="392C545D" w14:textId="77777777" w:rsidR="00980E5F" w:rsidRDefault="00980E5F">
            <w:pPr>
              <w:rPr>
                <w:rFonts w:ascii="宋体"/>
                <w:vanish/>
              </w:rPr>
            </w:pPr>
          </w:p>
        </w:tc>
      </w:tr>
      <w:tr w:rsidR="00980E5F" w14:paraId="392C5475" w14:textId="77777777">
        <w:trPr>
          <w:hidden/>
        </w:trPr>
        <w:tc>
          <w:tcPr>
            <w:tcW w:w="0" w:type="auto"/>
            <w:gridSpan w:val="3"/>
            <w:shd w:val="clear" w:color="auto" w:fill="auto"/>
            <w:vAlign w:val="bottom"/>
          </w:tcPr>
          <w:p w14:paraId="392C545F" w14:textId="77777777" w:rsidR="00980E5F" w:rsidRDefault="00980E5F">
            <w:pPr>
              <w:rPr>
                <w:rFonts w:ascii="宋体"/>
                <w:vanish/>
              </w:rPr>
            </w:pPr>
          </w:p>
        </w:tc>
        <w:tc>
          <w:tcPr>
            <w:tcW w:w="0" w:type="auto"/>
            <w:gridSpan w:val="3"/>
            <w:shd w:val="clear" w:color="auto" w:fill="auto"/>
            <w:vAlign w:val="bottom"/>
          </w:tcPr>
          <w:p w14:paraId="392C5460" w14:textId="77777777" w:rsidR="00980E5F" w:rsidRDefault="00980E5F">
            <w:pPr>
              <w:rPr>
                <w:rFonts w:ascii="宋体"/>
                <w:vanish/>
              </w:rPr>
            </w:pPr>
          </w:p>
        </w:tc>
        <w:tc>
          <w:tcPr>
            <w:tcW w:w="0" w:type="auto"/>
            <w:gridSpan w:val="3"/>
            <w:shd w:val="clear" w:color="auto" w:fill="auto"/>
            <w:vAlign w:val="bottom"/>
          </w:tcPr>
          <w:p w14:paraId="392C5461" w14:textId="77777777" w:rsidR="00980E5F" w:rsidRDefault="00980E5F">
            <w:pPr>
              <w:rPr>
                <w:rFonts w:ascii="宋体"/>
                <w:vanish/>
              </w:rPr>
            </w:pPr>
          </w:p>
        </w:tc>
        <w:tc>
          <w:tcPr>
            <w:tcW w:w="0" w:type="auto"/>
            <w:gridSpan w:val="3"/>
            <w:shd w:val="clear" w:color="auto" w:fill="auto"/>
            <w:vAlign w:val="bottom"/>
          </w:tcPr>
          <w:p w14:paraId="392C5462" w14:textId="77777777" w:rsidR="00980E5F" w:rsidRDefault="00980E5F">
            <w:pPr>
              <w:rPr>
                <w:rFonts w:ascii="宋体"/>
                <w:vanish/>
              </w:rPr>
            </w:pPr>
          </w:p>
        </w:tc>
        <w:tc>
          <w:tcPr>
            <w:tcW w:w="0" w:type="auto"/>
            <w:gridSpan w:val="3"/>
            <w:shd w:val="clear" w:color="auto" w:fill="auto"/>
            <w:vAlign w:val="bottom"/>
          </w:tcPr>
          <w:p w14:paraId="392C5463" w14:textId="77777777" w:rsidR="00980E5F" w:rsidRDefault="00980E5F">
            <w:pPr>
              <w:rPr>
                <w:rFonts w:ascii="宋体"/>
                <w:vanish/>
              </w:rPr>
            </w:pPr>
          </w:p>
        </w:tc>
        <w:tc>
          <w:tcPr>
            <w:tcW w:w="0" w:type="auto"/>
            <w:gridSpan w:val="3"/>
            <w:shd w:val="clear" w:color="auto" w:fill="auto"/>
            <w:vAlign w:val="bottom"/>
          </w:tcPr>
          <w:p w14:paraId="392C5464" w14:textId="77777777" w:rsidR="00980E5F" w:rsidRDefault="00980E5F">
            <w:pPr>
              <w:rPr>
                <w:rFonts w:ascii="宋体"/>
                <w:vanish/>
              </w:rPr>
            </w:pPr>
          </w:p>
        </w:tc>
        <w:tc>
          <w:tcPr>
            <w:tcW w:w="0" w:type="auto"/>
            <w:gridSpan w:val="3"/>
            <w:shd w:val="clear" w:color="auto" w:fill="auto"/>
            <w:vAlign w:val="bottom"/>
          </w:tcPr>
          <w:p w14:paraId="392C5465" w14:textId="77777777" w:rsidR="00980E5F" w:rsidRDefault="00980E5F">
            <w:pPr>
              <w:rPr>
                <w:rFonts w:ascii="宋体"/>
                <w:vanish/>
              </w:rPr>
            </w:pPr>
          </w:p>
        </w:tc>
        <w:tc>
          <w:tcPr>
            <w:tcW w:w="0" w:type="auto"/>
            <w:gridSpan w:val="3"/>
            <w:shd w:val="clear" w:color="auto" w:fill="auto"/>
            <w:vAlign w:val="bottom"/>
          </w:tcPr>
          <w:p w14:paraId="392C5466" w14:textId="77777777" w:rsidR="00980E5F" w:rsidRDefault="00980E5F">
            <w:pPr>
              <w:rPr>
                <w:rFonts w:ascii="宋体"/>
                <w:vanish/>
              </w:rPr>
            </w:pPr>
          </w:p>
        </w:tc>
        <w:tc>
          <w:tcPr>
            <w:tcW w:w="0" w:type="auto"/>
            <w:shd w:val="clear" w:color="auto" w:fill="auto"/>
            <w:vAlign w:val="bottom"/>
          </w:tcPr>
          <w:p w14:paraId="392C5467" w14:textId="77777777" w:rsidR="00980E5F" w:rsidRDefault="00980E5F">
            <w:pPr>
              <w:rPr>
                <w:rFonts w:ascii="宋体"/>
                <w:vanish/>
              </w:rPr>
            </w:pPr>
          </w:p>
        </w:tc>
        <w:tc>
          <w:tcPr>
            <w:tcW w:w="0" w:type="auto"/>
            <w:shd w:val="clear" w:color="auto" w:fill="auto"/>
            <w:vAlign w:val="bottom"/>
          </w:tcPr>
          <w:p w14:paraId="392C5468" w14:textId="77777777" w:rsidR="00980E5F" w:rsidRDefault="00980E5F">
            <w:pPr>
              <w:rPr>
                <w:rFonts w:ascii="宋体"/>
                <w:vanish/>
              </w:rPr>
            </w:pPr>
          </w:p>
        </w:tc>
        <w:tc>
          <w:tcPr>
            <w:tcW w:w="0" w:type="auto"/>
            <w:gridSpan w:val="3"/>
            <w:shd w:val="clear" w:color="auto" w:fill="auto"/>
            <w:vAlign w:val="bottom"/>
          </w:tcPr>
          <w:p w14:paraId="392C5469" w14:textId="77777777" w:rsidR="00980E5F" w:rsidRDefault="00980E5F">
            <w:pPr>
              <w:rPr>
                <w:rFonts w:ascii="宋体"/>
                <w:vanish/>
              </w:rPr>
            </w:pPr>
          </w:p>
        </w:tc>
        <w:tc>
          <w:tcPr>
            <w:tcW w:w="0" w:type="auto"/>
            <w:gridSpan w:val="3"/>
            <w:shd w:val="clear" w:color="auto" w:fill="auto"/>
            <w:vAlign w:val="bottom"/>
          </w:tcPr>
          <w:p w14:paraId="392C546A" w14:textId="77777777" w:rsidR="00980E5F" w:rsidRDefault="00980E5F">
            <w:pPr>
              <w:rPr>
                <w:rFonts w:ascii="宋体"/>
                <w:vanish/>
              </w:rPr>
            </w:pPr>
          </w:p>
        </w:tc>
        <w:tc>
          <w:tcPr>
            <w:tcW w:w="0" w:type="auto"/>
            <w:gridSpan w:val="3"/>
            <w:shd w:val="clear" w:color="auto" w:fill="auto"/>
            <w:vAlign w:val="bottom"/>
          </w:tcPr>
          <w:p w14:paraId="392C546B" w14:textId="77777777" w:rsidR="00980E5F" w:rsidRDefault="00980E5F">
            <w:pPr>
              <w:rPr>
                <w:rFonts w:ascii="宋体"/>
                <w:vanish/>
              </w:rPr>
            </w:pPr>
          </w:p>
        </w:tc>
        <w:tc>
          <w:tcPr>
            <w:tcW w:w="0" w:type="auto"/>
            <w:gridSpan w:val="3"/>
            <w:shd w:val="clear" w:color="auto" w:fill="auto"/>
            <w:vAlign w:val="bottom"/>
          </w:tcPr>
          <w:p w14:paraId="392C546C" w14:textId="77777777" w:rsidR="00980E5F" w:rsidRDefault="00980E5F">
            <w:pPr>
              <w:rPr>
                <w:rFonts w:ascii="宋体"/>
                <w:vanish/>
              </w:rPr>
            </w:pPr>
          </w:p>
        </w:tc>
        <w:tc>
          <w:tcPr>
            <w:tcW w:w="0" w:type="auto"/>
            <w:gridSpan w:val="3"/>
            <w:shd w:val="clear" w:color="auto" w:fill="auto"/>
            <w:vAlign w:val="bottom"/>
          </w:tcPr>
          <w:p w14:paraId="392C546D" w14:textId="77777777" w:rsidR="00980E5F" w:rsidRDefault="00980E5F">
            <w:pPr>
              <w:rPr>
                <w:rFonts w:ascii="宋体"/>
                <w:vanish/>
              </w:rPr>
            </w:pPr>
          </w:p>
        </w:tc>
        <w:tc>
          <w:tcPr>
            <w:tcW w:w="0" w:type="auto"/>
            <w:gridSpan w:val="3"/>
            <w:shd w:val="clear" w:color="auto" w:fill="auto"/>
            <w:vAlign w:val="bottom"/>
          </w:tcPr>
          <w:p w14:paraId="392C546E" w14:textId="77777777" w:rsidR="00980E5F" w:rsidRDefault="00980E5F">
            <w:pPr>
              <w:rPr>
                <w:rFonts w:ascii="宋体"/>
                <w:vanish/>
              </w:rPr>
            </w:pPr>
          </w:p>
        </w:tc>
        <w:tc>
          <w:tcPr>
            <w:tcW w:w="0" w:type="auto"/>
            <w:gridSpan w:val="3"/>
            <w:shd w:val="clear" w:color="auto" w:fill="auto"/>
            <w:vAlign w:val="bottom"/>
          </w:tcPr>
          <w:p w14:paraId="392C546F" w14:textId="77777777" w:rsidR="00980E5F" w:rsidRDefault="00980E5F">
            <w:pPr>
              <w:rPr>
                <w:rFonts w:ascii="宋体"/>
                <w:vanish/>
              </w:rPr>
            </w:pPr>
          </w:p>
        </w:tc>
        <w:tc>
          <w:tcPr>
            <w:tcW w:w="0" w:type="auto"/>
            <w:gridSpan w:val="3"/>
            <w:shd w:val="clear" w:color="auto" w:fill="auto"/>
            <w:vAlign w:val="bottom"/>
          </w:tcPr>
          <w:p w14:paraId="392C5470" w14:textId="77777777" w:rsidR="00980E5F" w:rsidRDefault="00980E5F">
            <w:pPr>
              <w:rPr>
                <w:rFonts w:ascii="宋体"/>
                <w:vanish/>
              </w:rPr>
            </w:pPr>
          </w:p>
        </w:tc>
        <w:tc>
          <w:tcPr>
            <w:tcW w:w="0" w:type="auto"/>
            <w:gridSpan w:val="3"/>
            <w:shd w:val="clear" w:color="auto" w:fill="auto"/>
            <w:vAlign w:val="bottom"/>
          </w:tcPr>
          <w:p w14:paraId="392C5471" w14:textId="77777777" w:rsidR="00980E5F" w:rsidRDefault="00980E5F">
            <w:pPr>
              <w:rPr>
                <w:rFonts w:ascii="宋体"/>
                <w:vanish/>
              </w:rPr>
            </w:pPr>
          </w:p>
        </w:tc>
        <w:tc>
          <w:tcPr>
            <w:tcW w:w="0" w:type="auto"/>
            <w:gridSpan w:val="3"/>
            <w:shd w:val="clear" w:color="auto" w:fill="auto"/>
            <w:vAlign w:val="bottom"/>
          </w:tcPr>
          <w:p w14:paraId="392C5472" w14:textId="77777777" w:rsidR="00980E5F" w:rsidRDefault="00980E5F">
            <w:pPr>
              <w:rPr>
                <w:rFonts w:ascii="宋体"/>
                <w:vanish/>
              </w:rPr>
            </w:pPr>
          </w:p>
        </w:tc>
        <w:tc>
          <w:tcPr>
            <w:tcW w:w="0" w:type="auto"/>
            <w:gridSpan w:val="2"/>
            <w:shd w:val="clear" w:color="auto" w:fill="auto"/>
            <w:vAlign w:val="bottom"/>
          </w:tcPr>
          <w:p w14:paraId="392C5473" w14:textId="77777777" w:rsidR="00980E5F" w:rsidRDefault="00980E5F">
            <w:pPr>
              <w:rPr>
                <w:rFonts w:ascii="宋体"/>
                <w:vanish/>
              </w:rPr>
            </w:pPr>
          </w:p>
        </w:tc>
        <w:tc>
          <w:tcPr>
            <w:tcW w:w="0" w:type="auto"/>
            <w:shd w:val="clear" w:color="auto" w:fill="auto"/>
            <w:vAlign w:val="bottom"/>
          </w:tcPr>
          <w:p w14:paraId="392C5474" w14:textId="77777777" w:rsidR="00980E5F" w:rsidRDefault="00980E5F">
            <w:pPr>
              <w:rPr>
                <w:rFonts w:ascii="宋体"/>
                <w:vanish/>
              </w:rPr>
            </w:pPr>
          </w:p>
        </w:tc>
      </w:tr>
      <w:tr w:rsidR="00980E5F" w14:paraId="392C548C" w14:textId="77777777">
        <w:trPr>
          <w:hidden/>
        </w:trPr>
        <w:tc>
          <w:tcPr>
            <w:tcW w:w="0" w:type="auto"/>
            <w:gridSpan w:val="3"/>
            <w:shd w:val="clear" w:color="auto" w:fill="auto"/>
            <w:vAlign w:val="bottom"/>
          </w:tcPr>
          <w:p w14:paraId="392C5476" w14:textId="77777777" w:rsidR="00980E5F" w:rsidRDefault="00980E5F">
            <w:pPr>
              <w:rPr>
                <w:rFonts w:ascii="宋体"/>
                <w:vanish/>
              </w:rPr>
            </w:pPr>
          </w:p>
        </w:tc>
        <w:tc>
          <w:tcPr>
            <w:tcW w:w="0" w:type="auto"/>
            <w:gridSpan w:val="3"/>
            <w:shd w:val="clear" w:color="auto" w:fill="auto"/>
            <w:vAlign w:val="bottom"/>
          </w:tcPr>
          <w:p w14:paraId="392C5477" w14:textId="77777777" w:rsidR="00980E5F" w:rsidRDefault="00980E5F">
            <w:pPr>
              <w:rPr>
                <w:rFonts w:ascii="宋体"/>
                <w:vanish/>
              </w:rPr>
            </w:pPr>
          </w:p>
        </w:tc>
        <w:tc>
          <w:tcPr>
            <w:tcW w:w="0" w:type="auto"/>
            <w:gridSpan w:val="3"/>
            <w:shd w:val="clear" w:color="auto" w:fill="auto"/>
            <w:vAlign w:val="bottom"/>
          </w:tcPr>
          <w:p w14:paraId="392C5478" w14:textId="77777777" w:rsidR="00980E5F" w:rsidRDefault="00980E5F">
            <w:pPr>
              <w:rPr>
                <w:rFonts w:ascii="宋体"/>
                <w:vanish/>
              </w:rPr>
            </w:pPr>
          </w:p>
        </w:tc>
        <w:tc>
          <w:tcPr>
            <w:tcW w:w="0" w:type="auto"/>
            <w:gridSpan w:val="3"/>
            <w:shd w:val="clear" w:color="auto" w:fill="auto"/>
            <w:vAlign w:val="bottom"/>
          </w:tcPr>
          <w:p w14:paraId="392C5479" w14:textId="77777777" w:rsidR="00980E5F" w:rsidRDefault="00980E5F">
            <w:pPr>
              <w:rPr>
                <w:rFonts w:ascii="宋体"/>
                <w:vanish/>
              </w:rPr>
            </w:pPr>
          </w:p>
        </w:tc>
        <w:tc>
          <w:tcPr>
            <w:tcW w:w="0" w:type="auto"/>
            <w:gridSpan w:val="3"/>
            <w:shd w:val="clear" w:color="auto" w:fill="auto"/>
            <w:vAlign w:val="bottom"/>
          </w:tcPr>
          <w:p w14:paraId="392C547A" w14:textId="77777777" w:rsidR="00980E5F" w:rsidRDefault="00980E5F">
            <w:pPr>
              <w:rPr>
                <w:rFonts w:ascii="宋体"/>
                <w:vanish/>
              </w:rPr>
            </w:pPr>
          </w:p>
        </w:tc>
        <w:tc>
          <w:tcPr>
            <w:tcW w:w="0" w:type="auto"/>
            <w:gridSpan w:val="3"/>
            <w:shd w:val="clear" w:color="auto" w:fill="auto"/>
            <w:vAlign w:val="bottom"/>
          </w:tcPr>
          <w:p w14:paraId="392C547B" w14:textId="77777777" w:rsidR="00980E5F" w:rsidRDefault="00980E5F">
            <w:pPr>
              <w:rPr>
                <w:rFonts w:ascii="宋体"/>
                <w:vanish/>
              </w:rPr>
            </w:pPr>
          </w:p>
        </w:tc>
        <w:tc>
          <w:tcPr>
            <w:tcW w:w="0" w:type="auto"/>
            <w:gridSpan w:val="3"/>
            <w:shd w:val="clear" w:color="auto" w:fill="auto"/>
            <w:vAlign w:val="bottom"/>
          </w:tcPr>
          <w:p w14:paraId="392C547C" w14:textId="77777777" w:rsidR="00980E5F" w:rsidRDefault="00980E5F">
            <w:pPr>
              <w:rPr>
                <w:rFonts w:ascii="宋体"/>
                <w:vanish/>
              </w:rPr>
            </w:pPr>
          </w:p>
        </w:tc>
        <w:tc>
          <w:tcPr>
            <w:tcW w:w="0" w:type="auto"/>
            <w:gridSpan w:val="3"/>
            <w:shd w:val="clear" w:color="auto" w:fill="auto"/>
            <w:vAlign w:val="bottom"/>
          </w:tcPr>
          <w:p w14:paraId="392C547D" w14:textId="77777777" w:rsidR="00980E5F" w:rsidRDefault="00980E5F">
            <w:pPr>
              <w:rPr>
                <w:rFonts w:ascii="宋体"/>
                <w:vanish/>
              </w:rPr>
            </w:pPr>
          </w:p>
        </w:tc>
        <w:tc>
          <w:tcPr>
            <w:tcW w:w="0" w:type="auto"/>
            <w:shd w:val="clear" w:color="auto" w:fill="auto"/>
            <w:vAlign w:val="bottom"/>
          </w:tcPr>
          <w:p w14:paraId="392C547E" w14:textId="77777777" w:rsidR="00980E5F" w:rsidRDefault="00980E5F">
            <w:pPr>
              <w:rPr>
                <w:rFonts w:ascii="宋体"/>
                <w:vanish/>
              </w:rPr>
            </w:pPr>
          </w:p>
        </w:tc>
        <w:tc>
          <w:tcPr>
            <w:tcW w:w="0" w:type="auto"/>
            <w:shd w:val="clear" w:color="auto" w:fill="auto"/>
            <w:vAlign w:val="bottom"/>
          </w:tcPr>
          <w:p w14:paraId="392C547F" w14:textId="77777777" w:rsidR="00980E5F" w:rsidRDefault="00980E5F">
            <w:pPr>
              <w:rPr>
                <w:rFonts w:ascii="宋体"/>
                <w:vanish/>
              </w:rPr>
            </w:pPr>
          </w:p>
        </w:tc>
        <w:tc>
          <w:tcPr>
            <w:tcW w:w="0" w:type="auto"/>
            <w:gridSpan w:val="3"/>
            <w:shd w:val="clear" w:color="auto" w:fill="auto"/>
            <w:vAlign w:val="bottom"/>
          </w:tcPr>
          <w:p w14:paraId="392C5480" w14:textId="77777777" w:rsidR="00980E5F" w:rsidRDefault="00980E5F">
            <w:pPr>
              <w:rPr>
                <w:rFonts w:ascii="宋体"/>
                <w:vanish/>
              </w:rPr>
            </w:pPr>
          </w:p>
        </w:tc>
        <w:tc>
          <w:tcPr>
            <w:tcW w:w="0" w:type="auto"/>
            <w:gridSpan w:val="3"/>
            <w:shd w:val="clear" w:color="auto" w:fill="auto"/>
            <w:vAlign w:val="bottom"/>
          </w:tcPr>
          <w:p w14:paraId="392C5481" w14:textId="77777777" w:rsidR="00980E5F" w:rsidRDefault="00980E5F">
            <w:pPr>
              <w:rPr>
                <w:rFonts w:ascii="宋体"/>
                <w:vanish/>
              </w:rPr>
            </w:pPr>
          </w:p>
        </w:tc>
        <w:tc>
          <w:tcPr>
            <w:tcW w:w="0" w:type="auto"/>
            <w:gridSpan w:val="3"/>
            <w:shd w:val="clear" w:color="auto" w:fill="auto"/>
            <w:vAlign w:val="bottom"/>
          </w:tcPr>
          <w:p w14:paraId="392C5482" w14:textId="77777777" w:rsidR="00980E5F" w:rsidRDefault="00980E5F">
            <w:pPr>
              <w:rPr>
                <w:rFonts w:ascii="宋体"/>
                <w:vanish/>
              </w:rPr>
            </w:pPr>
          </w:p>
        </w:tc>
        <w:tc>
          <w:tcPr>
            <w:tcW w:w="0" w:type="auto"/>
            <w:gridSpan w:val="3"/>
            <w:shd w:val="clear" w:color="auto" w:fill="auto"/>
            <w:vAlign w:val="bottom"/>
          </w:tcPr>
          <w:p w14:paraId="392C5483" w14:textId="77777777" w:rsidR="00980E5F" w:rsidRDefault="00980E5F">
            <w:pPr>
              <w:rPr>
                <w:rFonts w:ascii="宋体"/>
                <w:vanish/>
              </w:rPr>
            </w:pPr>
          </w:p>
        </w:tc>
        <w:tc>
          <w:tcPr>
            <w:tcW w:w="0" w:type="auto"/>
            <w:gridSpan w:val="3"/>
            <w:shd w:val="clear" w:color="auto" w:fill="auto"/>
            <w:vAlign w:val="bottom"/>
          </w:tcPr>
          <w:p w14:paraId="392C5484" w14:textId="77777777" w:rsidR="00980E5F" w:rsidRDefault="00980E5F">
            <w:pPr>
              <w:rPr>
                <w:rFonts w:ascii="宋体"/>
                <w:vanish/>
              </w:rPr>
            </w:pPr>
          </w:p>
        </w:tc>
        <w:tc>
          <w:tcPr>
            <w:tcW w:w="0" w:type="auto"/>
            <w:gridSpan w:val="3"/>
            <w:shd w:val="clear" w:color="auto" w:fill="auto"/>
            <w:vAlign w:val="bottom"/>
          </w:tcPr>
          <w:p w14:paraId="392C5485" w14:textId="77777777" w:rsidR="00980E5F" w:rsidRDefault="00980E5F">
            <w:pPr>
              <w:rPr>
                <w:rFonts w:ascii="宋体"/>
                <w:vanish/>
              </w:rPr>
            </w:pPr>
          </w:p>
        </w:tc>
        <w:tc>
          <w:tcPr>
            <w:tcW w:w="0" w:type="auto"/>
            <w:gridSpan w:val="3"/>
            <w:shd w:val="clear" w:color="auto" w:fill="auto"/>
            <w:vAlign w:val="bottom"/>
          </w:tcPr>
          <w:p w14:paraId="392C5486" w14:textId="77777777" w:rsidR="00980E5F" w:rsidRDefault="00980E5F">
            <w:pPr>
              <w:rPr>
                <w:rFonts w:ascii="宋体"/>
                <w:vanish/>
              </w:rPr>
            </w:pPr>
          </w:p>
        </w:tc>
        <w:tc>
          <w:tcPr>
            <w:tcW w:w="0" w:type="auto"/>
            <w:gridSpan w:val="3"/>
            <w:shd w:val="clear" w:color="auto" w:fill="auto"/>
            <w:vAlign w:val="bottom"/>
          </w:tcPr>
          <w:p w14:paraId="392C5487" w14:textId="77777777" w:rsidR="00980E5F" w:rsidRDefault="00980E5F">
            <w:pPr>
              <w:rPr>
                <w:rFonts w:ascii="宋体"/>
                <w:vanish/>
              </w:rPr>
            </w:pPr>
          </w:p>
        </w:tc>
        <w:tc>
          <w:tcPr>
            <w:tcW w:w="0" w:type="auto"/>
            <w:gridSpan w:val="3"/>
            <w:shd w:val="clear" w:color="auto" w:fill="auto"/>
            <w:vAlign w:val="bottom"/>
          </w:tcPr>
          <w:p w14:paraId="392C5488" w14:textId="77777777" w:rsidR="00980E5F" w:rsidRDefault="00980E5F">
            <w:pPr>
              <w:rPr>
                <w:rFonts w:ascii="宋体"/>
                <w:vanish/>
              </w:rPr>
            </w:pPr>
          </w:p>
        </w:tc>
        <w:tc>
          <w:tcPr>
            <w:tcW w:w="0" w:type="auto"/>
            <w:gridSpan w:val="3"/>
            <w:shd w:val="clear" w:color="auto" w:fill="auto"/>
            <w:vAlign w:val="bottom"/>
          </w:tcPr>
          <w:p w14:paraId="392C5489" w14:textId="77777777" w:rsidR="00980E5F" w:rsidRDefault="00980E5F">
            <w:pPr>
              <w:rPr>
                <w:rFonts w:ascii="宋体"/>
                <w:vanish/>
              </w:rPr>
            </w:pPr>
          </w:p>
        </w:tc>
        <w:tc>
          <w:tcPr>
            <w:tcW w:w="0" w:type="auto"/>
            <w:gridSpan w:val="2"/>
            <w:shd w:val="clear" w:color="auto" w:fill="auto"/>
            <w:vAlign w:val="bottom"/>
          </w:tcPr>
          <w:p w14:paraId="392C548A" w14:textId="77777777" w:rsidR="00980E5F" w:rsidRDefault="00980E5F">
            <w:pPr>
              <w:rPr>
                <w:rFonts w:ascii="宋体"/>
                <w:vanish/>
              </w:rPr>
            </w:pPr>
          </w:p>
        </w:tc>
        <w:tc>
          <w:tcPr>
            <w:tcW w:w="0" w:type="auto"/>
            <w:shd w:val="clear" w:color="auto" w:fill="auto"/>
            <w:vAlign w:val="bottom"/>
          </w:tcPr>
          <w:p w14:paraId="392C548B" w14:textId="77777777" w:rsidR="00980E5F" w:rsidRDefault="00980E5F">
            <w:pPr>
              <w:rPr>
                <w:rFonts w:ascii="宋体"/>
                <w:vanish/>
              </w:rPr>
            </w:pPr>
          </w:p>
        </w:tc>
      </w:tr>
      <w:tr w:rsidR="00980E5F" w14:paraId="392C54AC" w14:textId="77777777">
        <w:tc>
          <w:tcPr>
            <w:tcW w:w="0" w:type="auto"/>
            <w:gridSpan w:val="3"/>
            <w:shd w:val="clear" w:color="auto" w:fill="CCEEFF"/>
            <w:tcMar>
              <w:top w:w="40" w:type="dxa"/>
              <w:left w:w="20" w:type="dxa"/>
              <w:bottom w:w="40" w:type="dxa"/>
              <w:right w:w="20" w:type="dxa"/>
            </w:tcMar>
            <w:vAlign w:val="center"/>
          </w:tcPr>
          <w:p w14:paraId="392C548D" w14:textId="77777777" w:rsidR="00980E5F" w:rsidRDefault="00483613">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392C548E"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9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91"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9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94"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97"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98" w14:textId="77777777" w:rsidR="00980E5F" w:rsidRDefault="00980E5F">
            <w:pPr>
              <w:jc w:val="right"/>
              <w:rPr>
                <w:rFonts w:ascii="宋体"/>
              </w:rPr>
            </w:pPr>
          </w:p>
        </w:tc>
        <w:tc>
          <w:tcPr>
            <w:tcW w:w="0" w:type="auto"/>
            <w:shd w:val="clear" w:color="auto" w:fill="auto"/>
            <w:vAlign w:val="bottom"/>
          </w:tcPr>
          <w:p w14:paraId="392C5499" w14:textId="77777777" w:rsidR="00980E5F" w:rsidRDefault="00980E5F">
            <w:pPr>
              <w:rPr>
                <w:rFonts w:ascii="宋体"/>
                <w:vanish/>
              </w:rPr>
            </w:pPr>
          </w:p>
        </w:tc>
        <w:tc>
          <w:tcPr>
            <w:tcW w:w="0" w:type="auto"/>
            <w:shd w:val="clear" w:color="auto" w:fill="auto"/>
            <w:vAlign w:val="bottom"/>
          </w:tcPr>
          <w:p w14:paraId="392C549A"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49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9C"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9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9F"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A2" w14:textId="77777777" w:rsidR="00980E5F" w:rsidRDefault="00483613">
            <w:pPr>
              <w:jc w:val="right"/>
              <w:textAlignment w:val="center"/>
            </w:pPr>
            <w:r>
              <w:rPr>
                <w:rFonts w:ascii="Arial" w:eastAsia="宋体" w:hAnsi="Arial" w:cs="Arial"/>
                <w:color w:val="000000"/>
                <w:sz w:val="12"/>
                <w:szCs w:val="12"/>
              </w:rPr>
              <w:t>15 </w:t>
            </w:r>
          </w:p>
        </w:tc>
        <w:tc>
          <w:tcPr>
            <w:tcW w:w="0" w:type="auto"/>
            <w:shd w:val="clear" w:color="auto" w:fill="CCEEFF"/>
            <w:tcMar>
              <w:top w:w="40" w:type="dxa"/>
              <w:left w:w="0" w:type="dxa"/>
              <w:bottom w:w="40" w:type="dxa"/>
              <w:right w:w="20" w:type="dxa"/>
            </w:tcMar>
            <w:vAlign w:val="center"/>
          </w:tcPr>
          <w:p w14:paraId="392C54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A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A5" w14:textId="77777777" w:rsidR="00980E5F" w:rsidRDefault="00483613">
            <w:pPr>
              <w:jc w:val="right"/>
              <w:textAlignment w:val="center"/>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center"/>
          </w:tcPr>
          <w:p w14:paraId="392C54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A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A8"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4A9"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4AA"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4AB" w14:textId="77777777" w:rsidR="00980E5F" w:rsidRDefault="00980E5F">
            <w:pPr>
              <w:rPr>
                <w:rFonts w:ascii="宋体"/>
              </w:rPr>
            </w:pPr>
          </w:p>
        </w:tc>
      </w:tr>
      <w:tr w:rsidR="00980E5F" w14:paraId="392C54CC" w14:textId="77777777">
        <w:tc>
          <w:tcPr>
            <w:tcW w:w="0" w:type="auto"/>
            <w:gridSpan w:val="3"/>
            <w:shd w:val="clear" w:color="auto" w:fill="FFFFFF"/>
            <w:tcMar>
              <w:top w:w="40" w:type="dxa"/>
              <w:left w:w="20" w:type="dxa"/>
              <w:bottom w:w="40" w:type="dxa"/>
              <w:right w:w="20" w:type="dxa"/>
            </w:tcMar>
            <w:vAlign w:val="center"/>
          </w:tcPr>
          <w:p w14:paraId="392C54AD" w14:textId="77777777" w:rsidR="00980E5F" w:rsidRDefault="00483613">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AE" w14:textId="77777777" w:rsidR="00980E5F" w:rsidRDefault="00483613">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B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B1"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B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B4"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B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B7" w14:textId="77777777" w:rsidR="00980E5F" w:rsidRDefault="00483613">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B8" w14:textId="77777777" w:rsidR="00980E5F" w:rsidRDefault="00980E5F">
            <w:pPr>
              <w:jc w:val="right"/>
              <w:rPr>
                <w:rFonts w:ascii="宋体"/>
              </w:rPr>
            </w:pPr>
          </w:p>
        </w:tc>
        <w:tc>
          <w:tcPr>
            <w:tcW w:w="0" w:type="auto"/>
            <w:shd w:val="clear" w:color="auto" w:fill="auto"/>
            <w:vAlign w:val="bottom"/>
          </w:tcPr>
          <w:p w14:paraId="392C54B9" w14:textId="77777777" w:rsidR="00980E5F" w:rsidRDefault="00980E5F">
            <w:pPr>
              <w:rPr>
                <w:rFonts w:ascii="宋体"/>
                <w:vanish/>
              </w:rPr>
            </w:pPr>
          </w:p>
        </w:tc>
        <w:tc>
          <w:tcPr>
            <w:tcW w:w="0" w:type="auto"/>
            <w:shd w:val="clear" w:color="auto" w:fill="auto"/>
            <w:vAlign w:val="bottom"/>
          </w:tcPr>
          <w:p w14:paraId="392C54BA" w14:textId="77777777" w:rsidR="00980E5F" w:rsidRDefault="00980E5F">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4B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BC"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B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B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BF"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C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C2" w14:textId="77777777" w:rsidR="00980E5F" w:rsidRDefault="00483613">
            <w:pPr>
              <w:jc w:val="right"/>
              <w:textAlignment w:val="center"/>
            </w:pPr>
            <w:r>
              <w:rPr>
                <w:rFonts w:ascii="Arial" w:eastAsia="宋体" w:hAnsi="Arial" w:cs="Arial"/>
                <w:color w:val="000000"/>
                <w:sz w:val="12"/>
                <w:szCs w:val="12"/>
              </w:rPr>
              <w:t>15 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C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C5" w14:textId="77777777" w:rsidR="00980E5F" w:rsidRDefault="00483613">
            <w:pPr>
              <w:jc w:val="right"/>
              <w:textAlignment w:val="center"/>
            </w:pPr>
            <w:r>
              <w:rPr>
                <w:rFonts w:ascii="Arial" w:eastAsia="宋体" w:hAnsi="Arial" w:cs="Arial"/>
                <w:color w:val="000000"/>
                <w:sz w:val="12"/>
                <w:szCs w:val="12"/>
              </w:rPr>
              <w:t>(135)</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4C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4C8"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4C9"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4CA"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4CB" w14:textId="77777777" w:rsidR="00980E5F" w:rsidRDefault="00980E5F">
            <w:pPr>
              <w:rPr>
                <w:rFonts w:ascii="宋体"/>
              </w:rPr>
            </w:pPr>
          </w:p>
        </w:tc>
      </w:tr>
      <w:tr w:rsidR="00980E5F" w14:paraId="392C54E3" w14:textId="77777777">
        <w:tc>
          <w:tcPr>
            <w:tcW w:w="0" w:type="auto"/>
            <w:gridSpan w:val="3"/>
            <w:shd w:val="clear" w:color="auto" w:fill="CCEEFF"/>
            <w:tcMar>
              <w:top w:w="40" w:type="dxa"/>
              <w:left w:w="20" w:type="dxa"/>
              <w:bottom w:w="40" w:type="dxa"/>
              <w:right w:w="20" w:type="dxa"/>
            </w:tcMar>
            <w:vAlign w:val="center"/>
          </w:tcPr>
          <w:p w14:paraId="392C54CD" w14:textId="77777777" w:rsidR="00980E5F" w:rsidRDefault="00483613">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392C54C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C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4" w14:textId="77777777" w:rsidR="00980E5F" w:rsidRDefault="00980E5F">
            <w:pPr>
              <w:rPr>
                <w:rFonts w:ascii="宋体"/>
              </w:rPr>
            </w:pPr>
          </w:p>
        </w:tc>
        <w:tc>
          <w:tcPr>
            <w:tcW w:w="0" w:type="auto"/>
            <w:shd w:val="clear" w:color="auto" w:fill="auto"/>
            <w:vAlign w:val="bottom"/>
          </w:tcPr>
          <w:p w14:paraId="392C54D5" w14:textId="77777777" w:rsidR="00980E5F" w:rsidRDefault="00980E5F">
            <w:pPr>
              <w:rPr>
                <w:rFonts w:ascii="宋体"/>
                <w:vanish/>
              </w:rPr>
            </w:pPr>
          </w:p>
        </w:tc>
        <w:tc>
          <w:tcPr>
            <w:tcW w:w="0" w:type="auto"/>
            <w:shd w:val="clear" w:color="auto" w:fill="auto"/>
            <w:vAlign w:val="bottom"/>
          </w:tcPr>
          <w:p w14:paraId="392C54D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4D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D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4E0" w14:textId="77777777" w:rsidR="00980E5F" w:rsidRDefault="00980E5F">
            <w:pPr>
              <w:rPr>
                <w:rFonts w:ascii="宋体"/>
              </w:rPr>
            </w:pPr>
          </w:p>
        </w:tc>
        <w:tc>
          <w:tcPr>
            <w:tcW w:w="0" w:type="auto"/>
            <w:gridSpan w:val="2"/>
            <w:shd w:val="clear" w:color="auto" w:fill="CCEEFF"/>
            <w:tcMar>
              <w:top w:w="0" w:type="dxa"/>
              <w:left w:w="20" w:type="dxa"/>
              <w:bottom w:w="0" w:type="dxa"/>
              <w:right w:w="20" w:type="dxa"/>
            </w:tcMar>
            <w:vAlign w:val="bottom"/>
          </w:tcPr>
          <w:p w14:paraId="392C54E1" w14:textId="77777777" w:rsidR="00980E5F" w:rsidRDefault="00980E5F">
            <w:pPr>
              <w:rPr>
                <w:rFonts w:ascii="宋体"/>
              </w:rPr>
            </w:pPr>
          </w:p>
        </w:tc>
        <w:tc>
          <w:tcPr>
            <w:tcW w:w="0" w:type="auto"/>
            <w:shd w:val="clear" w:color="auto" w:fill="CCEEFF"/>
            <w:tcMar>
              <w:top w:w="0" w:type="dxa"/>
              <w:left w:w="20" w:type="dxa"/>
              <w:bottom w:w="0" w:type="dxa"/>
              <w:right w:w="20" w:type="dxa"/>
            </w:tcMar>
            <w:vAlign w:val="bottom"/>
          </w:tcPr>
          <w:p w14:paraId="392C54E2" w14:textId="77777777" w:rsidR="00980E5F" w:rsidRDefault="00980E5F">
            <w:pPr>
              <w:rPr>
                <w:rFonts w:ascii="宋体"/>
              </w:rPr>
            </w:pPr>
          </w:p>
        </w:tc>
      </w:tr>
      <w:tr w:rsidR="00980E5F" w14:paraId="392C54FA" w14:textId="77777777">
        <w:tc>
          <w:tcPr>
            <w:tcW w:w="0" w:type="auto"/>
            <w:gridSpan w:val="3"/>
            <w:shd w:val="clear" w:color="auto" w:fill="FFFFFF"/>
            <w:tcMar>
              <w:top w:w="40" w:type="dxa"/>
              <w:left w:w="20" w:type="dxa"/>
              <w:bottom w:w="40" w:type="dxa"/>
              <w:right w:w="20" w:type="dxa"/>
            </w:tcMar>
            <w:vAlign w:val="center"/>
          </w:tcPr>
          <w:p w14:paraId="392C54E4" w14:textId="77777777" w:rsidR="00980E5F" w:rsidRDefault="00483613">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392C54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B" w14:textId="77777777" w:rsidR="00980E5F" w:rsidRDefault="00980E5F">
            <w:pPr>
              <w:rPr>
                <w:rFonts w:ascii="宋体"/>
              </w:rPr>
            </w:pPr>
          </w:p>
        </w:tc>
        <w:tc>
          <w:tcPr>
            <w:tcW w:w="0" w:type="auto"/>
            <w:shd w:val="clear" w:color="auto" w:fill="auto"/>
            <w:vAlign w:val="bottom"/>
          </w:tcPr>
          <w:p w14:paraId="392C54EC" w14:textId="77777777" w:rsidR="00980E5F" w:rsidRDefault="00980E5F">
            <w:pPr>
              <w:rPr>
                <w:rFonts w:ascii="宋体"/>
                <w:vanish/>
              </w:rPr>
            </w:pPr>
          </w:p>
        </w:tc>
        <w:tc>
          <w:tcPr>
            <w:tcW w:w="0" w:type="auto"/>
            <w:shd w:val="clear" w:color="auto" w:fill="auto"/>
            <w:vAlign w:val="bottom"/>
          </w:tcPr>
          <w:p w14:paraId="392C54E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4E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4F7" w14:textId="77777777" w:rsidR="00980E5F" w:rsidRDefault="00980E5F">
            <w:pPr>
              <w:rPr>
                <w:rFonts w:ascii="宋体"/>
              </w:rPr>
            </w:pPr>
          </w:p>
        </w:tc>
        <w:tc>
          <w:tcPr>
            <w:tcW w:w="0" w:type="auto"/>
            <w:gridSpan w:val="2"/>
            <w:shd w:val="clear" w:color="auto" w:fill="FFFFFF"/>
            <w:tcMar>
              <w:top w:w="0" w:type="dxa"/>
              <w:left w:w="20" w:type="dxa"/>
              <w:bottom w:w="0" w:type="dxa"/>
              <w:right w:w="20" w:type="dxa"/>
            </w:tcMar>
            <w:vAlign w:val="bottom"/>
          </w:tcPr>
          <w:p w14:paraId="392C54F8" w14:textId="77777777" w:rsidR="00980E5F" w:rsidRDefault="00980E5F">
            <w:pPr>
              <w:rPr>
                <w:rFonts w:ascii="宋体"/>
              </w:rPr>
            </w:pPr>
          </w:p>
        </w:tc>
        <w:tc>
          <w:tcPr>
            <w:tcW w:w="0" w:type="auto"/>
            <w:shd w:val="clear" w:color="auto" w:fill="FFFFFF"/>
            <w:tcMar>
              <w:top w:w="0" w:type="dxa"/>
              <w:left w:w="20" w:type="dxa"/>
              <w:bottom w:w="0" w:type="dxa"/>
              <w:right w:w="20" w:type="dxa"/>
            </w:tcMar>
            <w:vAlign w:val="bottom"/>
          </w:tcPr>
          <w:p w14:paraId="392C54F9" w14:textId="77777777" w:rsidR="00980E5F" w:rsidRDefault="00980E5F">
            <w:pPr>
              <w:rPr>
                <w:rFonts w:ascii="宋体"/>
              </w:rPr>
            </w:pPr>
          </w:p>
        </w:tc>
      </w:tr>
      <w:tr w:rsidR="00980E5F" w14:paraId="392C551B" w14:textId="77777777">
        <w:tc>
          <w:tcPr>
            <w:tcW w:w="0" w:type="auto"/>
            <w:gridSpan w:val="3"/>
            <w:shd w:val="clear" w:color="auto" w:fill="CCEEFF"/>
            <w:tcMar>
              <w:top w:w="40" w:type="dxa"/>
              <w:left w:w="155" w:type="dxa"/>
              <w:bottom w:w="40" w:type="dxa"/>
              <w:right w:w="20" w:type="dxa"/>
            </w:tcMar>
            <w:vAlign w:val="center"/>
          </w:tcPr>
          <w:p w14:paraId="392C54FB" w14:textId="77777777" w:rsidR="00980E5F" w:rsidRDefault="00483613">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392C54FC" w14:textId="77777777" w:rsidR="00980E5F" w:rsidRDefault="00483613">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392C54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4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4FF" w14:textId="77777777" w:rsidR="00980E5F" w:rsidRDefault="00483613">
            <w:pPr>
              <w:jc w:val="right"/>
              <w:textAlignment w:val="center"/>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center"/>
          </w:tcPr>
          <w:p w14:paraId="392C55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02"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5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05" w14:textId="77777777" w:rsidR="00980E5F" w:rsidRDefault="00483613">
            <w:pPr>
              <w:jc w:val="right"/>
              <w:textAlignment w:val="center"/>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center"/>
          </w:tcPr>
          <w:p w14:paraId="392C5506" w14:textId="77777777" w:rsidR="00980E5F" w:rsidRDefault="00980E5F">
            <w:pPr>
              <w:jc w:val="right"/>
              <w:rPr>
                <w:rFonts w:ascii="宋体"/>
              </w:rPr>
            </w:pPr>
          </w:p>
        </w:tc>
        <w:tc>
          <w:tcPr>
            <w:tcW w:w="0" w:type="auto"/>
            <w:shd w:val="clear" w:color="auto" w:fill="auto"/>
            <w:vAlign w:val="bottom"/>
          </w:tcPr>
          <w:p w14:paraId="392C5507" w14:textId="77777777" w:rsidR="00980E5F" w:rsidRDefault="00980E5F">
            <w:pPr>
              <w:rPr>
                <w:rFonts w:ascii="宋体"/>
                <w:vanish/>
              </w:rPr>
            </w:pPr>
          </w:p>
        </w:tc>
        <w:tc>
          <w:tcPr>
            <w:tcW w:w="0" w:type="auto"/>
            <w:shd w:val="clear" w:color="auto" w:fill="auto"/>
            <w:vAlign w:val="bottom"/>
          </w:tcPr>
          <w:p w14:paraId="392C550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5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0A"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5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0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0D"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5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0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10"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5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1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13" w14:textId="77777777" w:rsidR="00980E5F" w:rsidRDefault="00483613">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392C551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1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5516" w14:textId="77777777" w:rsidR="00980E5F" w:rsidRDefault="00483613">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392C5517"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518" w14:textId="77777777" w:rsidR="00980E5F" w:rsidRDefault="00980E5F">
            <w:pPr>
              <w:rPr>
                <w:rFonts w:ascii="宋体"/>
              </w:rPr>
            </w:pPr>
          </w:p>
        </w:tc>
        <w:tc>
          <w:tcPr>
            <w:tcW w:w="0" w:type="auto"/>
            <w:shd w:val="clear" w:color="auto" w:fill="CCEEFF"/>
            <w:tcMar>
              <w:top w:w="40" w:type="dxa"/>
              <w:left w:w="20" w:type="dxa"/>
              <w:bottom w:w="40" w:type="dxa"/>
              <w:right w:w="0" w:type="dxa"/>
            </w:tcMar>
            <w:vAlign w:val="center"/>
          </w:tcPr>
          <w:p w14:paraId="392C5519" w14:textId="77777777" w:rsidR="00980E5F" w:rsidRDefault="00483613">
            <w:pPr>
              <w:textAlignment w:val="center"/>
            </w:pPr>
            <w:r>
              <w:rPr>
                <w:rFonts w:ascii="Arial" w:eastAsia="宋体" w:hAnsi="Arial" w:cs="Arial"/>
                <w:color w:val="000000"/>
                <w:sz w:val="12"/>
                <w:szCs w:val="12"/>
              </w:rPr>
              <w:t>$</w:t>
            </w:r>
          </w:p>
          <w:p w14:paraId="392C551A" w14:textId="77777777" w:rsidR="00980E5F" w:rsidRDefault="00483613">
            <w:pPr>
              <w:jc w:val="right"/>
              <w:textAlignment w:val="center"/>
            </w:pPr>
            <w:r>
              <w:rPr>
                <w:rFonts w:ascii="Arial" w:eastAsia="宋体" w:hAnsi="Arial" w:cs="Arial"/>
                <w:color w:val="000000"/>
                <w:sz w:val="12"/>
                <w:szCs w:val="12"/>
              </w:rPr>
              <w:t>(1)</w:t>
            </w:r>
          </w:p>
        </w:tc>
      </w:tr>
      <w:tr w:rsidR="00980E5F" w14:paraId="392C553B" w14:textId="77777777">
        <w:tc>
          <w:tcPr>
            <w:tcW w:w="0" w:type="auto"/>
            <w:gridSpan w:val="3"/>
            <w:shd w:val="clear" w:color="auto" w:fill="FFFFFF"/>
            <w:tcMar>
              <w:top w:w="40" w:type="dxa"/>
              <w:left w:w="20" w:type="dxa"/>
              <w:bottom w:w="40" w:type="dxa"/>
              <w:right w:w="20" w:type="dxa"/>
            </w:tcMar>
            <w:vAlign w:val="center"/>
          </w:tcPr>
          <w:p w14:paraId="392C551C" w14:textId="77777777" w:rsidR="00980E5F" w:rsidRDefault="00483613">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1D"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1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20" w14:textId="77777777" w:rsidR="00980E5F" w:rsidRDefault="00483613">
            <w:pPr>
              <w:jc w:val="right"/>
              <w:textAlignment w:val="center"/>
            </w:pPr>
            <w:r>
              <w:rPr>
                <w:rFonts w:ascii="Arial" w:eastAsia="宋体" w:hAnsi="Arial" w:cs="Arial"/>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2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23"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2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26" w14:textId="77777777" w:rsidR="00980E5F" w:rsidRDefault="00483613">
            <w:pPr>
              <w:jc w:val="right"/>
              <w:textAlignment w:val="center"/>
            </w:pPr>
            <w:r>
              <w:rPr>
                <w:rFonts w:ascii="Arial" w:eastAsia="宋体" w:hAnsi="Arial" w:cs="Arial"/>
                <w:color w:val="000000"/>
                <w:sz w:val="12"/>
                <w:szCs w:val="12"/>
              </w:rPr>
              <w:t>3 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27" w14:textId="77777777" w:rsidR="00980E5F" w:rsidRDefault="00980E5F">
            <w:pPr>
              <w:jc w:val="right"/>
              <w:rPr>
                <w:rFonts w:ascii="宋体"/>
              </w:rPr>
            </w:pPr>
          </w:p>
        </w:tc>
        <w:tc>
          <w:tcPr>
            <w:tcW w:w="0" w:type="auto"/>
            <w:shd w:val="clear" w:color="auto" w:fill="auto"/>
            <w:vAlign w:val="bottom"/>
          </w:tcPr>
          <w:p w14:paraId="392C5528" w14:textId="77777777" w:rsidR="00980E5F" w:rsidRDefault="00980E5F">
            <w:pPr>
              <w:rPr>
                <w:rFonts w:ascii="宋体"/>
                <w:vanish/>
              </w:rPr>
            </w:pPr>
          </w:p>
        </w:tc>
        <w:tc>
          <w:tcPr>
            <w:tcW w:w="0" w:type="auto"/>
            <w:shd w:val="clear" w:color="auto" w:fill="auto"/>
            <w:vAlign w:val="bottom"/>
          </w:tcPr>
          <w:p w14:paraId="392C5529"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552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2B"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2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2E"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3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31"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3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34"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53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92C5537"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392C5538"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5539"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92C553A" w14:textId="77777777" w:rsidR="00980E5F" w:rsidRDefault="00483613">
            <w:pPr>
              <w:jc w:val="right"/>
              <w:textAlignment w:val="center"/>
            </w:pPr>
            <w:r>
              <w:rPr>
                <w:rFonts w:ascii="Arial" w:eastAsia="宋体" w:hAnsi="Arial" w:cs="Arial"/>
                <w:color w:val="000000"/>
                <w:sz w:val="12"/>
                <w:szCs w:val="12"/>
              </w:rPr>
              <w:t>(1)</w:t>
            </w:r>
          </w:p>
        </w:tc>
      </w:tr>
      <w:tr w:rsidR="00483613" w14:paraId="392C5565" w14:textId="77777777">
        <w:tc>
          <w:tcPr>
            <w:tcW w:w="0" w:type="auto"/>
            <w:gridSpan w:val="3"/>
            <w:shd w:val="clear" w:color="auto" w:fill="CCEEFF"/>
            <w:tcMar>
              <w:top w:w="40" w:type="dxa"/>
              <w:left w:w="20" w:type="dxa"/>
              <w:bottom w:w="40" w:type="dxa"/>
              <w:right w:w="20" w:type="dxa"/>
            </w:tcMar>
            <w:vAlign w:val="center"/>
          </w:tcPr>
          <w:p w14:paraId="392C553C" w14:textId="77777777" w:rsidR="00980E5F" w:rsidRDefault="00483613">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3D"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3E" w14:textId="77777777" w:rsidR="00980E5F" w:rsidRDefault="00483613">
            <w:pPr>
              <w:jc w:val="right"/>
              <w:textAlignment w:val="center"/>
            </w:pPr>
            <w:r>
              <w:rPr>
                <w:rFonts w:ascii="Arial" w:eastAsia="宋体" w:hAnsi="Arial" w:cs="Arial"/>
                <w:color w:val="000000"/>
                <w:sz w:val="12"/>
                <w:szCs w:val="12"/>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4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41"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42" w14:textId="77777777" w:rsidR="00980E5F" w:rsidRDefault="00483613">
            <w:pPr>
              <w:jc w:val="right"/>
              <w:textAlignment w:val="center"/>
            </w:pPr>
            <w:r>
              <w:rPr>
                <w:rFonts w:ascii="Arial" w:eastAsia="宋体" w:hAnsi="Arial" w:cs="Arial"/>
                <w:color w:val="000000"/>
                <w:sz w:val="12"/>
                <w:szCs w:val="12"/>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4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45"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46"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4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49"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4A" w14:textId="77777777" w:rsidR="00980E5F" w:rsidRDefault="00483613">
            <w:pPr>
              <w:jc w:val="right"/>
              <w:textAlignment w:val="center"/>
            </w:pPr>
            <w:r>
              <w:rPr>
                <w:rFonts w:ascii="Arial" w:eastAsia="宋体" w:hAnsi="Arial" w:cs="Arial"/>
                <w:color w:val="000000"/>
                <w:sz w:val="12"/>
                <w:szCs w:val="12"/>
              </w:rPr>
              <w:t>109 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4B" w14:textId="77777777" w:rsidR="00980E5F" w:rsidRDefault="00980E5F">
            <w:pPr>
              <w:jc w:val="right"/>
              <w:rPr>
                <w:rFonts w:ascii="宋体"/>
              </w:rPr>
            </w:pPr>
          </w:p>
        </w:tc>
        <w:tc>
          <w:tcPr>
            <w:tcW w:w="0" w:type="auto"/>
            <w:shd w:val="clear" w:color="auto" w:fill="auto"/>
            <w:vAlign w:val="bottom"/>
          </w:tcPr>
          <w:p w14:paraId="392C554C" w14:textId="77777777" w:rsidR="00980E5F" w:rsidRDefault="00980E5F">
            <w:pPr>
              <w:rPr>
                <w:rFonts w:ascii="宋体"/>
                <w:vanish/>
              </w:rPr>
            </w:pPr>
          </w:p>
        </w:tc>
        <w:tc>
          <w:tcPr>
            <w:tcW w:w="0" w:type="auto"/>
            <w:shd w:val="clear" w:color="auto" w:fill="auto"/>
            <w:vAlign w:val="bottom"/>
          </w:tcPr>
          <w:p w14:paraId="392C554D"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554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4F"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50"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5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53"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54" w14:textId="77777777" w:rsidR="00980E5F" w:rsidRDefault="00483613">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5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57"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58" w14:textId="77777777" w:rsidR="00980E5F" w:rsidRDefault="00483613">
            <w:pPr>
              <w:jc w:val="right"/>
              <w:textAlignment w:val="center"/>
            </w:pPr>
            <w:r>
              <w:rPr>
                <w:rFonts w:ascii="Arial" w:eastAsia="宋体" w:hAnsi="Arial" w:cs="Arial"/>
                <w:color w:val="000000"/>
                <w:sz w:val="12"/>
                <w:szCs w:val="12"/>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5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5B"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5C" w14:textId="77777777" w:rsidR="00980E5F" w:rsidRDefault="00483613">
            <w:pPr>
              <w:jc w:val="right"/>
              <w:textAlignment w:val="center"/>
            </w:pPr>
            <w:r>
              <w:rPr>
                <w:rFonts w:ascii="Arial" w:eastAsia="宋体" w:hAnsi="Arial" w:cs="Arial"/>
                <w:color w:val="000000"/>
                <w:sz w:val="12"/>
                <w:szCs w:val="12"/>
              </w:rPr>
              <w:t>(135)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55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5F"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92C5560" w14:textId="77777777" w:rsidR="00980E5F" w:rsidRDefault="00483613">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92C5561"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556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92C5563" w14:textId="77777777" w:rsidR="00980E5F" w:rsidRDefault="00483613">
            <w:pPr>
              <w:textAlignment w:val="center"/>
            </w:pPr>
            <w:r>
              <w:rPr>
                <w:rFonts w:ascii="Arial" w:eastAsia="宋体" w:hAnsi="Arial" w:cs="Arial"/>
                <w:color w:val="000000"/>
                <w:sz w:val="12"/>
                <w:szCs w:val="12"/>
              </w:rPr>
              <w:t>$</w:t>
            </w:r>
          </w:p>
          <w:p w14:paraId="392C5564" w14:textId="77777777" w:rsidR="00980E5F" w:rsidRDefault="00483613">
            <w:pPr>
              <w:jc w:val="right"/>
              <w:textAlignment w:val="center"/>
            </w:pPr>
            <w:r>
              <w:rPr>
                <w:rFonts w:ascii="Arial" w:eastAsia="宋体" w:hAnsi="Arial" w:cs="Arial"/>
                <w:color w:val="000000"/>
                <w:sz w:val="12"/>
                <w:szCs w:val="12"/>
              </w:rPr>
              <w:t>(1)</w:t>
            </w:r>
          </w:p>
        </w:tc>
      </w:tr>
    </w:tbl>
    <w:p w14:paraId="392C5566" w14:textId="77777777" w:rsidR="00980E5F" w:rsidRDefault="00980E5F">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980E5F" w14:paraId="392C5576" w14:textId="77777777">
        <w:tc>
          <w:tcPr>
            <w:tcW w:w="50" w:type="pct"/>
            <w:shd w:val="clear" w:color="auto" w:fill="auto"/>
            <w:vAlign w:val="bottom"/>
          </w:tcPr>
          <w:p w14:paraId="392C5567" w14:textId="77777777" w:rsidR="00980E5F" w:rsidRDefault="00980E5F">
            <w:pPr>
              <w:rPr>
                <w:rFonts w:ascii="宋体"/>
              </w:rPr>
            </w:pPr>
          </w:p>
        </w:tc>
        <w:tc>
          <w:tcPr>
            <w:tcW w:w="1350" w:type="pct"/>
            <w:shd w:val="clear" w:color="auto" w:fill="auto"/>
            <w:vAlign w:val="bottom"/>
          </w:tcPr>
          <w:p w14:paraId="392C5568" w14:textId="77777777" w:rsidR="00980E5F" w:rsidRDefault="00980E5F">
            <w:pPr>
              <w:rPr>
                <w:rFonts w:ascii="宋体"/>
              </w:rPr>
            </w:pPr>
          </w:p>
        </w:tc>
        <w:tc>
          <w:tcPr>
            <w:tcW w:w="5" w:type="pct"/>
            <w:shd w:val="clear" w:color="auto" w:fill="auto"/>
            <w:vAlign w:val="bottom"/>
          </w:tcPr>
          <w:p w14:paraId="392C5569" w14:textId="77777777" w:rsidR="00980E5F" w:rsidRDefault="00980E5F">
            <w:pPr>
              <w:rPr>
                <w:rFonts w:ascii="宋体"/>
              </w:rPr>
            </w:pPr>
          </w:p>
        </w:tc>
        <w:tc>
          <w:tcPr>
            <w:tcW w:w="50" w:type="pct"/>
            <w:shd w:val="clear" w:color="auto" w:fill="auto"/>
            <w:vAlign w:val="bottom"/>
          </w:tcPr>
          <w:p w14:paraId="392C556A" w14:textId="77777777" w:rsidR="00980E5F" w:rsidRDefault="00980E5F">
            <w:pPr>
              <w:rPr>
                <w:rFonts w:ascii="宋体"/>
              </w:rPr>
            </w:pPr>
          </w:p>
        </w:tc>
        <w:tc>
          <w:tcPr>
            <w:tcW w:w="911" w:type="pct"/>
            <w:shd w:val="clear" w:color="auto" w:fill="auto"/>
            <w:vAlign w:val="bottom"/>
          </w:tcPr>
          <w:p w14:paraId="392C556B" w14:textId="77777777" w:rsidR="00980E5F" w:rsidRDefault="00980E5F">
            <w:pPr>
              <w:rPr>
                <w:rFonts w:ascii="宋体"/>
              </w:rPr>
            </w:pPr>
          </w:p>
        </w:tc>
        <w:tc>
          <w:tcPr>
            <w:tcW w:w="5" w:type="pct"/>
            <w:shd w:val="clear" w:color="auto" w:fill="auto"/>
            <w:vAlign w:val="bottom"/>
          </w:tcPr>
          <w:p w14:paraId="392C556C" w14:textId="77777777" w:rsidR="00980E5F" w:rsidRDefault="00980E5F">
            <w:pPr>
              <w:rPr>
                <w:rFonts w:ascii="宋体"/>
              </w:rPr>
            </w:pPr>
          </w:p>
        </w:tc>
        <w:tc>
          <w:tcPr>
            <w:tcW w:w="50" w:type="pct"/>
            <w:shd w:val="clear" w:color="auto" w:fill="auto"/>
            <w:vAlign w:val="bottom"/>
          </w:tcPr>
          <w:p w14:paraId="392C556D" w14:textId="77777777" w:rsidR="00980E5F" w:rsidRDefault="00980E5F">
            <w:pPr>
              <w:rPr>
                <w:rFonts w:ascii="宋体"/>
              </w:rPr>
            </w:pPr>
          </w:p>
        </w:tc>
        <w:tc>
          <w:tcPr>
            <w:tcW w:w="1562" w:type="pct"/>
            <w:shd w:val="clear" w:color="auto" w:fill="auto"/>
            <w:vAlign w:val="bottom"/>
          </w:tcPr>
          <w:p w14:paraId="392C556E" w14:textId="77777777" w:rsidR="00980E5F" w:rsidRDefault="00980E5F">
            <w:pPr>
              <w:rPr>
                <w:rFonts w:ascii="宋体"/>
              </w:rPr>
            </w:pPr>
          </w:p>
        </w:tc>
        <w:tc>
          <w:tcPr>
            <w:tcW w:w="5" w:type="pct"/>
            <w:shd w:val="clear" w:color="auto" w:fill="auto"/>
            <w:vAlign w:val="bottom"/>
          </w:tcPr>
          <w:p w14:paraId="392C556F" w14:textId="77777777" w:rsidR="00980E5F" w:rsidRDefault="00980E5F">
            <w:pPr>
              <w:rPr>
                <w:rFonts w:ascii="宋体"/>
              </w:rPr>
            </w:pPr>
          </w:p>
        </w:tc>
        <w:tc>
          <w:tcPr>
            <w:tcW w:w="50" w:type="pct"/>
            <w:shd w:val="clear" w:color="auto" w:fill="auto"/>
            <w:vAlign w:val="bottom"/>
          </w:tcPr>
          <w:p w14:paraId="392C5570" w14:textId="77777777" w:rsidR="00980E5F" w:rsidRDefault="00980E5F">
            <w:pPr>
              <w:rPr>
                <w:rFonts w:ascii="宋体"/>
              </w:rPr>
            </w:pPr>
          </w:p>
        </w:tc>
        <w:tc>
          <w:tcPr>
            <w:tcW w:w="918" w:type="pct"/>
            <w:shd w:val="clear" w:color="auto" w:fill="auto"/>
            <w:vAlign w:val="bottom"/>
          </w:tcPr>
          <w:p w14:paraId="392C5571" w14:textId="77777777" w:rsidR="00980E5F" w:rsidRDefault="00980E5F">
            <w:pPr>
              <w:rPr>
                <w:rFonts w:ascii="宋体"/>
              </w:rPr>
            </w:pPr>
          </w:p>
        </w:tc>
        <w:tc>
          <w:tcPr>
            <w:tcW w:w="5" w:type="pct"/>
            <w:shd w:val="clear" w:color="auto" w:fill="auto"/>
            <w:vAlign w:val="bottom"/>
          </w:tcPr>
          <w:p w14:paraId="392C5572" w14:textId="77777777" w:rsidR="00980E5F" w:rsidRDefault="00980E5F">
            <w:pPr>
              <w:rPr>
                <w:rFonts w:ascii="宋体"/>
              </w:rPr>
            </w:pPr>
          </w:p>
        </w:tc>
        <w:tc>
          <w:tcPr>
            <w:tcW w:w="5" w:type="pct"/>
            <w:shd w:val="clear" w:color="auto" w:fill="auto"/>
            <w:vAlign w:val="bottom"/>
          </w:tcPr>
          <w:p w14:paraId="392C5573" w14:textId="77777777" w:rsidR="00980E5F" w:rsidRDefault="00980E5F">
            <w:pPr>
              <w:rPr>
                <w:rFonts w:ascii="宋体"/>
              </w:rPr>
            </w:pPr>
          </w:p>
        </w:tc>
        <w:tc>
          <w:tcPr>
            <w:tcW w:w="26" w:type="pct"/>
            <w:shd w:val="clear" w:color="auto" w:fill="auto"/>
            <w:vAlign w:val="bottom"/>
          </w:tcPr>
          <w:p w14:paraId="392C5574" w14:textId="77777777" w:rsidR="00980E5F" w:rsidRDefault="00980E5F">
            <w:pPr>
              <w:rPr>
                <w:rFonts w:ascii="宋体"/>
              </w:rPr>
            </w:pPr>
          </w:p>
        </w:tc>
        <w:tc>
          <w:tcPr>
            <w:tcW w:w="5" w:type="pct"/>
            <w:shd w:val="clear" w:color="auto" w:fill="auto"/>
            <w:vAlign w:val="bottom"/>
          </w:tcPr>
          <w:p w14:paraId="392C5575" w14:textId="77777777" w:rsidR="00980E5F" w:rsidRDefault="00980E5F">
            <w:pPr>
              <w:rPr>
                <w:rFonts w:ascii="宋体"/>
              </w:rPr>
            </w:pPr>
          </w:p>
        </w:tc>
      </w:tr>
      <w:tr w:rsidR="00980E5F" w14:paraId="392C557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557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7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7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7B" w14:textId="77777777" w:rsidR="00980E5F" w:rsidRDefault="00980E5F">
            <w:pPr>
              <w:rPr>
                <w:rFonts w:ascii="宋体"/>
              </w:rPr>
            </w:pPr>
          </w:p>
        </w:tc>
      </w:tr>
    </w:tbl>
    <w:p w14:paraId="392C557D" w14:textId="77777777" w:rsidR="00980E5F" w:rsidRDefault="00483613">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03"/>
        <w:gridCol w:w="36"/>
        <w:gridCol w:w="51"/>
        <w:gridCol w:w="595"/>
        <w:gridCol w:w="36"/>
        <w:gridCol w:w="36"/>
        <w:gridCol w:w="36"/>
        <w:gridCol w:w="36"/>
        <w:gridCol w:w="51"/>
        <w:gridCol w:w="497"/>
        <w:gridCol w:w="36"/>
        <w:gridCol w:w="36"/>
        <w:gridCol w:w="36"/>
        <w:gridCol w:w="36"/>
        <w:gridCol w:w="51"/>
        <w:gridCol w:w="692"/>
        <w:gridCol w:w="36"/>
        <w:gridCol w:w="36"/>
        <w:gridCol w:w="36"/>
        <w:gridCol w:w="36"/>
        <w:gridCol w:w="51"/>
        <w:gridCol w:w="473"/>
        <w:gridCol w:w="36"/>
        <w:gridCol w:w="108"/>
        <w:gridCol w:w="108"/>
        <w:gridCol w:w="109"/>
        <w:gridCol w:w="109"/>
        <w:gridCol w:w="109"/>
        <w:gridCol w:w="109"/>
        <w:gridCol w:w="36"/>
        <w:gridCol w:w="36"/>
        <w:gridCol w:w="36"/>
        <w:gridCol w:w="52"/>
        <w:gridCol w:w="302"/>
        <w:gridCol w:w="36"/>
        <w:gridCol w:w="36"/>
        <w:gridCol w:w="36"/>
        <w:gridCol w:w="36"/>
        <w:gridCol w:w="52"/>
        <w:gridCol w:w="548"/>
        <w:gridCol w:w="36"/>
        <w:gridCol w:w="36"/>
        <w:gridCol w:w="36"/>
        <w:gridCol w:w="36"/>
        <w:gridCol w:w="52"/>
        <w:gridCol w:w="424"/>
        <w:gridCol w:w="36"/>
        <w:gridCol w:w="36"/>
        <w:gridCol w:w="36"/>
        <w:gridCol w:w="36"/>
        <w:gridCol w:w="52"/>
        <w:gridCol w:w="424"/>
        <w:gridCol w:w="36"/>
        <w:gridCol w:w="36"/>
        <w:gridCol w:w="36"/>
        <w:gridCol w:w="36"/>
        <w:gridCol w:w="52"/>
        <w:gridCol w:w="669"/>
        <w:gridCol w:w="36"/>
        <w:gridCol w:w="36"/>
        <w:gridCol w:w="36"/>
        <w:gridCol w:w="46"/>
      </w:tblGrid>
      <w:tr w:rsidR="00980E5F" w14:paraId="392C55B9" w14:textId="77777777">
        <w:tc>
          <w:tcPr>
            <w:tcW w:w="50" w:type="pct"/>
            <w:shd w:val="clear" w:color="auto" w:fill="auto"/>
            <w:vAlign w:val="bottom"/>
          </w:tcPr>
          <w:p w14:paraId="392C557E" w14:textId="77777777" w:rsidR="00980E5F" w:rsidRDefault="00980E5F">
            <w:pPr>
              <w:rPr>
                <w:rFonts w:ascii="宋体"/>
              </w:rPr>
            </w:pPr>
          </w:p>
        </w:tc>
        <w:tc>
          <w:tcPr>
            <w:tcW w:w="741" w:type="pct"/>
            <w:shd w:val="clear" w:color="auto" w:fill="auto"/>
            <w:vAlign w:val="bottom"/>
          </w:tcPr>
          <w:p w14:paraId="392C557F" w14:textId="77777777" w:rsidR="00980E5F" w:rsidRDefault="00980E5F">
            <w:pPr>
              <w:rPr>
                <w:rFonts w:ascii="宋体"/>
              </w:rPr>
            </w:pPr>
          </w:p>
        </w:tc>
        <w:tc>
          <w:tcPr>
            <w:tcW w:w="5" w:type="pct"/>
            <w:shd w:val="clear" w:color="auto" w:fill="auto"/>
            <w:vAlign w:val="bottom"/>
          </w:tcPr>
          <w:p w14:paraId="392C5580" w14:textId="77777777" w:rsidR="00980E5F" w:rsidRDefault="00980E5F">
            <w:pPr>
              <w:rPr>
                <w:rFonts w:ascii="宋体"/>
              </w:rPr>
            </w:pPr>
          </w:p>
        </w:tc>
        <w:tc>
          <w:tcPr>
            <w:tcW w:w="50" w:type="pct"/>
            <w:shd w:val="clear" w:color="auto" w:fill="auto"/>
            <w:vAlign w:val="bottom"/>
          </w:tcPr>
          <w:p w14:paraId="392C5581" w14:textId="77777777" w:rsidR="00980E5F" w:rsidRDefault="00980E5F">
            <w:pPr>
              <w:rPr>
                <w:rFonts w:ascii="宋体"/>
              </w:rPr>
            </w:pPr>
          </w:p>
        </w:tc>
        <w:tc>
          <w:tcPr>
            <w:tcW w:w="376" w:type="pct"/>
            <w:shd w:val="clear" w:color="auto" w:fill="auto"/>
            <w:vAlign w:val="bottom"/>
          </w:tcPr>
          <w:p w14:paraId="392C5582" w14:textId="77777777" w:rsidR="00980E5F" w:rsidRDefault="00980E5F">
            <w:pPr>
              <w:rPr>
                <w:rFonts w:ascii="宋体"/>
              </w:rPr>
            </w:pPr>
          </w:p>
        </w:tc>
        <w:tc>
          <w:tcPr>
            <w:tcW w:w="5" w:type="pct"/>
            <w:shd w:val="clear" w:color="auto" w:fill="auto"/>
            <w:vAlign w:val="bottom"/>
          </w:tcPr>
          <w:p w14:paraId="392C5583" w14:textId="77777777" w:rsidR="00980E5F" w:rsidRDefault="00980E5F">
            <w:pPr>
              <w:rPr>
                <w:rFonts w:ascii="宋体"/>
              </w:rPr>
            </w:pPr>
          </w:p>
        </w:tc>
        <w:tc>
          <w:tcPr>
            <w:tcW w:w="5" w:type="pct"/>
            <w:shd w:val="clear" w:color="auto" w:fill="auto"/>
            <w:vAlign w:val="bottom"/>
          </w:tcPr>
          <w:p w14:paraId="392C5584" w14:textId="77777777" w:rsidR="00980E5F" w:rsidRDefault="00980E5F">
            <w:pPr>
              <w:rPr>
                <w:rFonts w:ascii="宋体"/>
              </w:rPr>
            </w:pPr>
          </w:p>
        </w:tc>
        <w:tc>
          <w:tcPr>
            <w:tcW w:w="19" w:type="pct"/>
            <w:shd w:val="clear" w:color="auto" w:fill="auto"/>
            <w:vAlign w:val="bottom"/>
          </w:tcPr>
          <w:p w14:paraId="392C5585" w14:textId="77777777" w:rsidR="00980E5F" w:rsidRDefault="00980E5F">
            <w:pPr>
              <w:rPr>
                <w:rFonts w:ascii="宋体"/>
              </w:rPr>
            </w:pPr>
          </w:p>
        </w:tc>
        <w:tc>
          <w:tcPr>
            <w:tcW w:w="5" w:type="pct"/>
            <w:shd w:val="clear" w:color="auto" w:fill="auto"/>
            <w:vAlign w:val="bottom"/>
          </w:tcPr>
          <w:p w14:paraId="392C5586" w14:textId="77777777" w:rsidR="00980E5F" w:rsidRDefault="00980E5F">
            <w:pPr>
              <w:rPr>
                <w:rFonts w:ascii="宋体"/>
              </w:rPr>
            </w:pPr>
          </w:p>
        </w:tc>
        <w:tc>
          <w:tcPr>
            <w:tcW w:w="50" w:type="pct"/>
            <w:shd w:val="clear" w:color="auto" w:fill="auto"/>
            <w:vAlign w:val="bottom"/>
          </w:tcPr>
          <w:p w14:paraId="392C5587" w14:textId="77777777" w:rsidR="00980E5F" w:rsidRDefault="00980E5F">
            <w:pPr>
              <w:rPr>
                <w:rFonts w:ascii="宋体"/>
              </w:rPr>
            </w:pPr>
          </w:p>
        </w:tc>
        <w:tc>
          <w:tcPr>
            <w:tcW w:w="317" w:type="pct"/>
            <w:shd w:val="clear" w:color="auto" w:fill="auto"/>
            <w:vAlign w:val="bottom"/>
          </w:tcPr>
          <w:p w14:paraId="392C5588" w14:textId="77777777" w:rsidR="00980E5F" w:rsidRDefault="00980E5F">
            <w:pPr>
              <w:rPr>
                <w:rFonts w:ascii="宋体"/>
              </w:rPr>
            </w:pPr>
          </w:p>
        </w:tc>
        <w:tc>
          <w:tcPr>
            <w:tcW w:w="5" w:type="pct"/>
            <w:shd w:val="clear" w:color="auto" w:fill="auto"/>
            <w:vAlign w:val="bottom"/>
          </w:tcPr>
          <w:p w14:paraId="392C5589" w14:textId="77777777" w:rsidR="00980E5F" w:rsidRDefault="00980E5F">
            <w:pPr>
              <w:rPr>
                <w:rFonts w:ascii="宋体"/>
              </w:rPr>
            </w:pPr>
          </w:p>
        </w:tc>
        <w:tc>
          <w:tcPr>
            <w:tcW w:w="5" w:type="pct"/>
            <w:shd w:val="clear" w:color="auto" w:fill="auto"/>
            <w:vAlign w:val="bottom"/>
          </w:tcPr>
          <w:p w14:paraId="392C558A" w14:textId="77777777" w:rsidR="00980E5F" w:rsidRDefault="00980E5F">
            <w:pPr>
              <w:rPr>
                <w:rFonts w:ascii="宋体"/>
              </w:rPr>
            </w:pPr>
          </w:p>
        </w:tc>
        <w:tc>
          <w:tcPr>
            <w:tcW w:w="19" w:type="pct"/>
            <w:shd w:val="clear" w:color="auto" w:fill="auto"/>
            <w:vAlign w:val="bottom"/>
          </w:tcPr>
          <w:p w14:paraId="392C558B" w14:textId="77777777" w:rsidR="00980E5F" w:rsidRDefault="00980E5F">
            <w:pPr>
              <w:rPr>
                <w:rFonts w:ascii="宋体"/>
              </w:rPr>
            </w:pPr>
          </w:p>
        </w:tc>
        <w:tc>
          <w:tcPr>
            <w:tcW w:w="5" w:type="pct"/>
            <w:shd w:val="clear" w:color="auto" w:fill="auto"/>
            <w:vAlign w:val="bottom"/>
          </w:tcPr>
          <w:p w14:paraId="392C558C" w14:textId="77777777" w:rsidR="00980E5F" w:rsidRDefault="00980E5F">
            <w:pPr>
              <w:rPr>
                <w:rFonts w:ascii="宋体"/>
              </w:rPr>
            </w:pPr>
          </w:p>
        </w:tc>
        <w:tc>
          <w:tcPr>
            <w:tcW w:w="50" w:type="pct"/>
            <w:shd w:val="clear" w:color="auto" w:fill="auto"/>
            <w:vAlign w:val="bottom"/>
          </w:tcPr>
          <w:p w14:paraId="392C558D" w14:textId="77777777" w:rsidR="00980E5F" w:rsidRDefault="00980E5F">
            <w:pPr>
              <w:rPr>
                <w:rFonts w:ascii="宋体"/>
              </w:rPr>
            </w:pPr>
          </w:p>
        </w:tc>
        <w:tc>
          <w:tcPr>
            <w:tcW w:w="434" w:type="pct"/>
            <w:shd w:val="clear" w:color="auto" w:fill="auto"/>
            <w:vAlign w:val="bottom"/>
          </w:tcPr>
          <w:p w14:paraId="392C558E" w14:textId="77777777" w:rsidR="00980E5F" w:rsidRDefault="00980E5F">
            <w:pPr>
              <w:rPr>
                <w:rFonts w:ascii="宋体"/>
              </w:rPr>
            </w:pPr>
          </w:p>
        </w:tc>
        <w:tc>
          <w:tcPr>
            <w:tcW w:w="5" w:type="pct"/>
            <w:shd w:val="clear" w:color="auto" w:fill="auto"/>
            <w:vAlign w:val="bottom"/>
          </w:tcPr>
          <w:p w14:paraId="392C558F" w14:textId="77777777" w:rsidR="00980E5F" w:rsidRDefault="00980E5F">
            <w:pPr>
              <w:rPr>
                <w:rFonts w:ascii="宋体"/>
              </w:rPr>
            </w:pPr>
          </w:p>
        </w:tc>
        <w:tc>
          <w:tcPr>
            <w:tcW w:w="5" w:type="pct"/>
            <w:shd w:val="clear" w:color="auto" w:fill="auto"/>
            <w:vAlign w:val="bottom"/>
          </w:tcPr>
          <w:p w14:paraId="392C5590" w14:textId="77777777" w:rsidR="00980E5F" w:rsidRDefault="00980E5F">
            <w:pPr>
              <w:rPr>
                <w:rFonts w:ascii="宋体"/>
              </w:rPr>
            </w:pPr>
          </w:p>
        </w:tc>
        <w:tc>
          <w:tcPr>
            <w:tcW w:w="19" w:type="pct"/>
            <w:shd w:val="clear" w:color="auto" w:fill="auto"/>
            <w:vAlign w:val="bottom"/>
          </w:tcPr>
          <w:p w14:paraId="392C5591" w14:textId="77777777" w:rsidR="00980E5F" w:rsidRDefault="00980E5F">
            <w:pPr>
              <w:rPr>
                <w:rFonts w:ascii="宋体"/>
              </w:rPr>
            </w:pPr>
          </w:p>
        </w:tc>
        <w:tc>
          <w:tcPr>
            <w:tcW w:w="5" w:type="pct"/>
            <w:shd w:val="clear" w:color="auto" w:fill="auto"/>
            <w:vAlign w:val="bottom"/>
          </w:tcPr>
          <w:p w14:paraId="392C5592" w14:textId="77777777" w:rsidR="00980E5F" w:rsidRDefault="00980E5F">
            <w:pPr>
              <w:rPr>
                <w:rFonts w:ascii="宋体"/>
              </w:rPr>
            </w:pPr>
          </w:p>
        </w:tc>
        <w:tc>
          <w:tcPr>
            <w:tcW w:w="50" w:type="pct"/>
            <w:shd w:val="clear" w:color="auto" w:fill="auto"/>
            <w:vAlign w:val="bottom"/>
          </w:tcPr>
          <w:p w14:paraId="392C5593" w14:textId="77777777" w:rsidR="00980E5F" w:rsidRDefault="00980E5F">
            <w:pPr>
              <w:rPr>
                <w:rFonts w:ascii="宋体"/>
              </w:rPr>
            </w:pPr>
          </w:p>
        </w:tc>
        <w:tc>
          <w:tcPr>
            <w:tcW w:w="303" w:type="pct"/>
            <w:shd w:val="clear" w:color="auto" w:fill="auto"/>
            <w:vAlign w:val="bottom"/>
          </w:tcPr>
          <w:p w14:paraId="392C5594" w14:textId="77777777" w:rsidR="00980E5F" w:rsidRDefault="00980E5F">
            <w:pPr>
              <w:rPr>
                <w:rFonts w:ascii="宋体"/>
              </w:rPr>
            </w:pPr>
          </w:p>
        </w:tc>
        <w:tc>
          <w:tcPr>
            <w:tcW w:w="5" w:type="pct"/>
            <w:shd w:val="clear" w:color="auto" w:fill="auto"/>
            <w:vAlign w:val="bottom"/>
          </w:tcPr>
          <w:p w14:paraId="392C5595" w14:textId="77777777" w:rsidR="00980E5F" w:rsidRDefault="00980E5F">
            <w:pPr>
              <w:rPr>
                <w:rFonts w:ascii="宋体"/>
              </w:rPr>
            </w:pPr>
          </w:p>
        </w:tc>
        <w:tc>
          <w:tcPr>
            <w:tcW w:w="0" w:type="auto"/>
            <w:gridSpan w:val="3"/>
            <w:shd w:val="clear" w:color="auto" w:fill="auto"/>
            <w:vAlign w:val="bottom"/>
          </w:tcPr>
          <w:p w14:paraId="392C5596" w14:textId="77777777" w:rsidR="00980E5F" w:rsidRDefault="00980E5F">
            <w:pPr>
              <w:rPr>
                <w:rFonts w:ascii="宋体"/>
                <w:vanish/>
              </w:rPr>
            </w:pPr>
          </w:p>
        </w:tc>
        <w:tc>
          <w:tcPr>
            <w:tcW w:w="0" w:type="auto"/>
            <w:gridSpan w:val="3"/>
            <w:shd w:val="clear" w:color="auto" w:fill="auto"/>
            <w:vAlign w:val="bottom"/>
          </w:tcPr>
          <w:p w14:paraId="392C5597" w14:textId="77777777" w:rsidR="00980E5F" w:rsidRDefault="00980E5F">
            <w:pPr>
              <w:rPr>
                <w:rFonts w:ascii="宋体"/>
                <w:vanish/>
              </w:rPr>
            </w:pPr>
          </w:p>
        </w:tc>
        <w:tc>
          <w:tcPr>
            <w:tcW w:w="5" w:type="pct"/>
            <w:shd w:val="clear" w:color="auto" w:fill="auto"/>
            <w:vAlign w:val="bottom"/>
          </w:tcPr>
          <w:p w14:paraId="392C5598" w14:textId="77777777" w:rsidR="00980E5F" w:rsidRDefault="00980E5F">
            <w:pPr>
              <w:rPr>
                <w:rFonts w:ascii="宋体"/>
              </w:rPr>
            </w:pPr>
          </w:p>
        </w:tc>
        <w:tc>
          <w:tcPr>
            <w:tcW w:w="19" w:type="pct"/>
            <w:shd w:val="clear" w:color="auto" w:fill="auto"/>
            <w:vAlign w:val="bottom"/>
          </w:tcPr>
          <w:p w14:paraId="392C5599" w14:textId="77777777" w:rsidR="00980E5F" w:rsidRDefault="00980E5F">
            <w:pPr>
              <w:rPr>
                <w:rFonts w:ascii="宋体"/>
              </w:rPr>
            </w:pPr>
          </w:p>
        </w:tc>
        <w:tc>
          <w:tcPr>
            <w:tcW w:w="5" w:type="pct"/>
            <w:shd w:val="clear" w:color="auto" w:fill="auto"/>
            <w:vAlign w:val="bottom"/>
          </w:tcPr>
          <w:p w14:paraId="392C559A" w14:textId="77777777" w:rsidR="00980E5F" w:rsidRDefault="00980E5F">
            <w:pPr>
              <w:rPr>
                <w:rFonts w:ascii="宋体"/>
              </w:rPr>
            </w:pPr>
          </w:p>
        </w:tc>
        <w:tc>
          <w:tcPr>
            <w:tcW w:w="50" w:type="pct"/>
            <w:shd w:val="clear" w:color="auto" w:fill="auto"/>
            <w:vAlign w:val="bottom"/>
          </w:tcPr>
          <w:p w14:paraId="392C559B" w14:textId="77777777" w:rsidR="00980E5F" w:rsidRDefault="00980E5F">
            <w:pPr>
              <w:rPr>
                <w:rFonts w:ascii="宋体"/>
              </w:rPr>
            </w:pPr>
          </w:p>
        </w:tc>
        <w:tc>
          <w:tcPr>
            <w:tcW w:w="200" w:type="pct"/>
            <w:shd w:val="clear" w:color="auto" w:fill="auto"/>
            <w:vAlign w:val="bottom"/>
          </w:tcPr>
          <w:p w14:paraId="392C559C" w14:textId="77777777" w:rsidR="00980E5F" w:rsidRDefault="00980E5F">
            <w:pPr>
              <w:rPr>
                <w:rFonts w:ascii="宋体"/>
              </w:rPr>
            </w:pPr>
          </w:p>
        </w:tc>
        <w:tc>
          <w:tcPr>
            <w:tcW w:w="5" w:type="pct"/>
            <w:shd w:val="clear" w:color="auto" w:fill="auto"/>
            <w:vAlign w:val="bottom"/>
          </w:tcPr>
          <w:p w14:paraId="392C559D" w14:textId="77777777" w:rsidR="00980E5F" w:rsidRDefault="00980E5F">
            <w:pPr>
              <w:rPr>
                <w:rFonts w:ascii="宋体"/>
              </w:rPr>
            </w:pPr>
          </w:p>
        </w:tc>
        <w:tc>
          <w:tcPr>
            <w:tcW w:w="5" w:type="pct"/>
            <w:shd w:val="clear" w:color="auto" w:fill="auto"/>
            <w:vAlign w:val="bottom"/>
          </w:tcPr>
          <w:p w14:paraId="392C559E" w14:textId="77777777" w:rsidR="00980E5F" w:rsidRDefault="00980E5F">
            <w:pPr>
              <w:rPr>
                <w:rFonts w:ascii="宋体"/>
              </w:rPr>
            </w:pPr>
          </w:p>
        </w:tc>
        <w:tc>
          <w:tcPr>
            <w:tcW w:w="19" w:type="pct"/>
            <w:shd w:val="clear" w:color="auto" w:fill="auto"/>
            <w:vAlign w:val="bottom"/>
          </w:tcPr>
          <w:p w14:paraId="392C559F" w14:textId="77777777" w:rsidR="00980E5F" w:rsidRDefault="00980E5F">
            <w:pPr>
              <w:rPr>
                <w:rFonts w:ascii="宋体"/>
              </w:rPr>
            </w:pPr>
          </w:p>
        </w:tc>
        <w:tc>
          <w:tcPr>
            <w:tcW w:w="5" w:type="pct"/>
            <w:shd w:val="clear" w:color="auto" w:fill="auto"/>
            <w:vAlign w:val="bottom"/>
          </w:tcPr>
          <w:p w14:paraId="392C55A0" w14:textId="77777777" w:rsidR="00980E5F" w:rsidRDefault="00980E5F">
            <w:pPr>
              <w:rPr>
                <w:rFonts w:ascii="宋体"/>
              </w:rPr>
            </w:pPr>
          </w:p>
        </w:tc>
        <w:tc>
          <w:tcPr>
            <w:tcW w:w="50" w:type="pct"/>
            <w:shd w:val="clear" w:color="auto" w:fill="auto"/>
            <w:vAlign w:val="bottom"/>
          </w:tcPr>
          <w:p w14:paraId="392C55A1" w14:textId="77777777" w:rsidR="00980E5F" w:rsidRDefault="00980E5F">
            <w:pPr>
              <w:rPr>
                <w:rFonts w:ascii="宋体"/>
              </w:rPr>
            </w:pPr>
          </w:p>
        </w:tc>
        <w:tc>
          <w:tcPr>
            <w:tcW w:w="347" w:type="pct"/>
            <w:shd w:val="clear" w:color="auto" w:fill="auto"/>
            <w:vAlign w:val="bottom"/>
          </w:tcPr>
          <w:p w14:paraId="392C55A2" w14:textId="77777777" w:rsidR="00980E5F" w:rsidRDefault="00980E5F">
            <w:pPr>
              <w:rPr>
                <w:rFonts w:ascii="宋体"/>
              </w:rPr>
            </w:pPr>
          </w:p>
        </w:tc>
        <w:tc>
          <w:tcPr>
            <w:tcW w:w="5" w:type="pct"/>
            <w:shd w:val="clear" w:color="auto" w:fill="auto"/>
            <w:vAlign w:val="bottom"/>
          </w:tcPr>
          <w:p w14:paraId="392C55A3" w14:textId="77777777" w:rsidR="00980E5F" w:rsidRDefault="00980E5F">
            <w:pPr>
              <w:rPr>
                <w:rFonts w:ascii="宋体"/>
              </w:rPr>
            </w:pPr>
          </w:p>
        </w:tc>
        <w:tc>
          <w:tcPr>
            <w:tcW w:w="5" w:type="pct"/>
            <w:shd w:val="clear" w:color="auto" w:fill="auto"/>
            <w:vAlign w:val="bottom"/>
          </w:tcPr>
          <w:p w14:paraId="392C55A4" w14:textId="77777777" w:rsidR="00980E5F" w:rsidRDefault="00980E5F">
            <w:pPr>
              <w:rPr>
                <w:rFonts w:ascii="宋体"/>
              </w:rPr>
            </w:pPr>
          </w:p>
        </w:tc>
        <w:tc>
          <w:tcPr>
            <w:tcW w:w="19" w:type="pct"/>
            <w:shd w:val="clear" w:color="auto" w:fill="auto"/>
            <w:vAlign w:val="bottom"/>
          </w:tcPr>
          <w:p w14:paraId="392C55A5" w14:textId="77777777" w:rsidR="00980E5F" w:rsidRDefault="00980E5F">
            <w:pPr>
              <w:rPr>
                <w:rFonts w:ascii="宋体"/>
              </w:rPr>
            </w:pPr>
          </w:p>
        </w:tc>
        <w:tc>
          <w:tcPr>
            <w:tcW w:w="5" w:type="pct"/>
            <w:shd w:val="clear" w:color="auto" w:fill="auto"/>
            <w:vAlign w:val="bottom"/>
          </w:tcPr>
          <w:p w14:paraId="392C55A6" w14:textId="77777777" w:rsidR="00980E5F" w:rsidRDefault="00980E5F">
            <w:pPr>
              <w:rPr>
                <w:rFonts w:ascii="宋体"/>
              </w:rPr>
            </w:pPr>
          </w:p>
        </w:tc>
        <w:tc>
          <w:tcPr>
            <w:tcW w:w="50" w:type="pct"/>
            <w:shd w:val="clear" w:color="auto" w:fill="auto"/>
            <w:vAlign w:val="bottom"/>
          </w:tcPr>
          <w:p w14:paraId="392C55A7" w14:textId="77777777" w:rsidR="00980E5F" w:rsidRDefault="00980E5F">
            <w:pPr>
              <w:rPr>
                <w:rFonts w:ascii="宋体"/>
              </w:rPr>
            </w:pPr>
          </w:p>
        </w:tc>
        <w:tc>
          <w:tcPr>
            <w:tcW w:w="273" w:type="pct"/>
            <w:shd w:val="clear" w:color="auto" w:fill="auto"/>
            <w:vAlign w:val="bottom"/>
          </w:tcPr>
          <w:p w14:paraId="392C55A8" w14:textId="77777777" w:rsidR="00980E5F" w:rsidRDefault="00980E5F">
            <w:pPr>
              <w:rPr>
                <w:rFonts w:ascii="宋体"/>
              </w:rPr>
            </w:pPr>
          </w:p>
        </w:tc>
        <w:tc>
          <w:tcPr>
            <w:tcW w:w="5" w:type="pct"/>
            <w:shd w:val="clear" w:color="auto" w:fill="auto"/>
            <w:vAlign w:val="bottom"/>
          </w:tcPr>
          <w:p w14:paraId="392C55A9" w14:textId="77777777" w:rsidR="00980E5F" w:rsidRDefault="00980E5F">
            <w:pPr>
              <w:rPr>
                <w:rFonts w:ascii="宋体"/>
              </w:rPr>
            </w:pPr>
          </w:p>
        </w:tc>
        <w:tc>
          <w:tcPr>
            <w:tcW w:w="5" w:type="pct"/>
            <w:shd w:val="clear" w:color="auto" w:fill="auto"/>
            <w:vAlign w:val="bottom"/>
          </w:tcPr>
          <w:p w14:paraId="392C55AA" w14:textId="77777777" w:rsidR="00980E5F" w:rsidRDefault="00980E5F">
            <w:pPr>
              <w:rPr>
                <w:rFonts w:ascii="宋体"/>
              </w:rPr>
            </w:pPr>
          </w:p>
        </w:tc>
        <w:tc>
          <w:tcPr>
            <w:tcW w:w="19" w:type="pct"/>
            <w:shd w:val="clear" w:color="auto" w:fill="auto"/>
            <w:vAlign w:val="bottom"/>
          </w:tcPr>
          <w:p w14:paraId="392C55AB" w14:textId="77777777" w:rsidR="00980E5F" w:rsidRDefault="00980E5F">
            <w:pPr>
              <w:rPr>
                <w:rFonts w:ascii="宋体"/>
              </w:rPr>
            </w:pPr>
          </w:p>
        </w:tc>
        <w:tc>
          <w:tcPr>
            <w:tcW w:w="5" w:type="pct"/>
            <w:shd w:val="clear" w:color="auto" w:fill="auto"/>
            <w:vAlign w:val="bottom"/>
          </w:tcPr>
          <w:p w14:paraId="392C55AC" w14:textId="77777777" w:rsidR="00980E5F" w:rsidRDefault="00980E5F">
            <w:pPr>
              <w:rPr>
                <w:rFonts w:ascii="宋体"/>
              </w:rPr>
            </w:pPr>
          </w:p>
        </w:tc>
        <w:tc>
          <w:tcPr>
            <w:tcW w:w="50" w:type="pct"/>
            <w:shd w:val="clear" w:color="auto" w:fill="auto"/>
            <w:vAlign w:val="bottom"/>
          </w:tcPr>
          <w:p w14:paraId="392C55AD" w14:textId="77777777" w:rsidR="00980E5F" w:rsidRDefault="00980E5F">
            <w:pPr>
              <w:rPr>
                <w:rFonts w:ascii="宋体"/>
              </w:rPr>
            </w:pPr>
          </w:p>
        </w:tc>
        <w:tc>
          <w:tcPr>
            <w:tcW w:w="273" w:type="pct"/>
            <w:shd w:val="clear" w:color="auto" w:fill="auto"/>
            <w:vAlign w:val="bottom"/>
          </w:tcPr>
          <w:p w14:paraId="392C55AE" w14:textId="77777777" w:rsidR="00980E5F" w:rsidRDefault="00980E5F">
            <w:pPr>
              <w:rPr>
                <w:rFonts w:ascii="宋体"/>
              </w:rPr>
            </w:pPr>
          </w:p>
        </w:tc>
        <w:tc>
          <w:tcPr>
            <w:tcW w:w="5" w:type="pct"/>
            <w:shd w:val="clear" w:color="auto" w:fill="auto"/>
            <w:vAlign w:val="bottom"/>
          </w:tcPr>
          <w:p w14:paraId="392C55AF" w14:textId="77777777" w:rsidR="00980E5F" w:rsidRDefault="00980E5F">
            <w:pPr>
              <w:rPr>
                <w:rFonts w:ascii="宋体"/>
              </w:rPr>
            </w:pPr>
          </w:p>
        </w:tc>
        <w:tc>
          <w:tcPr>
            <w:tcW w:w="5" w:type="pct"/>
            <w:shd w:val="clear" w:color="auto" w:fill="auto"/>
            <w:vAlign w:val="bottom"/>
          </w:tcPr>
          <w:p w14:paraId="392C55B0" w14:textId="77777777" w:rsidR="00980E5F" w:rsidRDefault="00980E5F">
            <w:pPr>
              <w:rPr>
                <w:rFonts w:ascii="宋体"/>
              </w:rPr>
            </w:pPr>
          </w:p>
        </w:tc>
        <w:tc>
          <w:tcPr>
            <w:tcW w:w="19" w:type="pct"/>
            <w:shd w:val="clear" w:color="auto" w:fill="auto"/>
            <w:vAlign w:val="bottom"/>
          </w:tcPr>
          <w:p w14:paraId="392C55B1" w14:textId="77777777" w:rsidR="00980E5F" w:rsidRDefault="00980E5F">
            <w:pPr>
              <w:rPr>
                <w:rFonts w:ascii="宋体"/>
              </w:rPr>
            </w:pPr>
          </w:p>
        </w:tc>
        <w:tc>
          <w:tcPr>
            <w:tcW w:w="5" w:type="pct"/>
            <w:shd w:val="clear" w:color="auto" w:fill="auto"/>
            <w:vAlign w:val="bottom"/>
          </w:tcPr>
          <w:p w14:paraId="392C55B2" w14:textId="77777777" w:rsidR="00980E5F" w:rsidRDefault="00980E5F">
            <w:pPr>
              <w:rPr>
                <w:rFonts w:ascii="宋体"/>
              </w:rPr>
            </w:pPr>
          </w:p>
        </w:tc>
        <w:tc>
          <w:tcPr>
            <w:tcW w:w="50" w:type="pct"/>
            <w:shd w:val="clear" w:color="auto" w:fill="auto"/>
            <w:vAlign w:val="bottom"/>
          </w:tcPr>
          <w:p w14:paraId="392C55B3" w14:textId="77777777" w:rsidR="00980E5F" w:rsidRDefault="00980E5F">
            <w:pPr>
              <w:rPr>
                <w:rFonts w:ascii="宋体"/>
              </w:rPr>
            </w:pPr>
          </w:p>
        </w:tc>
        <w:tc>
          <w:tcPr>
            <w:tcW w:w="420" w:type="pct"/>
            <w:shd w:val="clear" w:color="auto" w:fill="auto"/>
            <w:vAlign w:val="bottom"/>
          </w:tcPr>
          <w:p w14:paraId="392C55B4" w14:textId="77777777" w:rsidR="00980E5F" w:rsidRDefault="00980E5F">
            <w:pPr>
              <w:rPr>
                <w:rFonts w:ascii="宋体"/>
              </w:rPr>
            </w:pPr>
          </w:p>
        </w:tc>
        <w:tc>
          <w:tcPr>
            <w:tcW w:w="5" w:type="pct"/>
            <w:shd w:val="clear" w:color="auto" w:fill="auto"/>
            <w:vAlign w:val="bottom"/>
          </w:tcPr>
          <w:p w14:paraId="392C55B5" w14:textId="77777777" w:rsidR="00980E5F" w:rsidRDefault="00980E5F">
            <w:pPr>
              <w:rPr>
                <w:rFonts w:ascii="宋体"/>
              </w:rPr>
            </w:pPr>
          </w:p>
        </w:tc>
        <w:tc>
          <w:tcPr>
            <w:tcW w:w="5" w:type="pct"/>
            <w:shd w:val="clear" w:color="auto" w:fill="auto"/>
            <w:vAlign w:val="bottom"/>
          </w:tcPr>
          <w:p w14:paraId="392C55B6" w14:textId="77777777" w:rsidR="00980E5F" w:rsidRDefault="00980E5F">
            <w:pPr>
              <w:rPr>
                <w:rFonts w:ascii="宋体"/>
              </w:rPr>
            </w:pPr>
          </w:p>
        </w:tc>
        <w:tc>
          <w:tcPr>
            <w:tcW w:w="19" w:type="pct"/>
            <w:shd w:val="clear" w:color="auto" w:fill="auto"/>
            <w:vAlign w:val="bottom"/>
          </w:tcPr>
          <w:p w14:paraId="392C55B7" w14:textId="77777777" w:rsidR="00980E5F" w:rsidRDefault="00980E5F">
            <w:pPr>
              <w:rPr>
                <w:rFonts w:ascii="宋体"/>
              </w:rPr>
            </w:pPr>
          </w:p>
        </w:tc>
        <w:tc>
          <w:tcPr>
            <w:tcW w:w="5" w:type="pct"/>
            <w:shd w:val="clear" w:color="auto" w:fill="auto"/>
            <w:vAlign w:val="bottom"/>
          </w:tcPr>
          <w:p w14:paraId="392C55B8" w14:textId="77777777" w:rsidR="00980E5F" w:rsidRDefault="00980E5F">
            <w:pPr>
              <w:rPr>
                <w:rFonts w:ascii="宋体"/>
              </w:rPr>
            </w:pPr>
          </w:p>
        </w:tc>
      </w:tr>
      <w:tr w:rsidR="00980E5F" w14:paraId="392C55D0" w14:textId="77777777">
        <w:trPr>
          <w:trHeight w:val="60"/>
        </w:trPr>
        <w:tc>
          <w:tcPr>
            <w:tcW w:w="0" w:type="auto"/>
            <w:gridSpan w:val="3"/>
            <w:shd w:val="clear" w:color="auto" w:fill="auto"/>
            <w:tcMar>
              <w:top w:w="0" w:type="dxa"/>
              <w:left w:w="20" w:type="dxa"/>
              <w:bottom w:w="0" w:type="dxa"/>
              <w:right w:w="20" w:type="dxa"/>
            </w:tcMar>
            <w:vAlign w:val="bottom"/>
          </w:tcPr>
          <w:p w14:paraId="392C55B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B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1" w14:textId="77777777" w:rsidR="00980E5F" w:rsidRDefault="00980E5F">
            <w:pPr>
              <w:rPr>
                <w:rFonts w:ascii="宋体"/>
              </w:rPr>
            </w:pPr>
          </w:p>
        </w:tc>
        <w:tc>
          <w:tcPr>
            <w:tcW w:w="0" w:type="auto"/>
            <w:gridSpan w:val="3"/>
            <w:shd w:val="clear" w:color="auto" w:fill="auto"/>
            <w:vAlign w:val="bottom"/>
          </w:tcPr>
          <w:p w14:paraId="392C55C2" w14:textId="77777777" w:rsidR="00980E5F" w:rsidRDefault="00980E5F">
            <w:pPr>
              <w:rPr>
                <w:rFonts w:ascii="宋体"/>
                <w:vanish/>
              </w:rPr>
            </w:pPr>
          </w:p>
        </w:tc>
        <w:tc>
          <w:tcPr>
            <w:tcW w:w="0" w:type="auto"/>
            <w:gridSpan w:val="3"/>
            <w:shd w:val="clear" w:color="auto" w:fill="auto"/>
            <w:vAlign w:val="bottom"/>
          </w:tcPr>
          <w:p w14:paraId="392C55C3"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55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5CD"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55CE"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55CF" w14:textId="77777777" w:rsidR="00980E5F" w:rsidRDefault="00980E5F">
            <w:pPr>
              <w:rPr>
                <w:rFonts w:ascii="宋体"/>
              </w:rPr>
            </w:pPr>
          </w:p>
        </w:tc>
      </w:tr>
      <w:tr w:rsidR="00980E5F" w14:paraId="392C560C" w14:textId="77777777">
        <w:trPr>
          <w:hidden/>
        </w:trPr>
        <w:tc>
          <w:tcPr>
            <w:tcW w:w="0" w:type="auto"/>
            <w:gridSpan w:val="3"/>
            <w:shd w:val="clear" w:color="auto" w:fill="auto"/>
            <w:vAlign w:val="bottom"/>
          </w:tcPr>
          <w:p w14:paraId="392C55D1" w14:textId="77777777" w:rsidR="00980E5F" w:rsidRDefault="00980E5F">
            <w:pPr>
              <w:rPr>
                <w:rFonts w:ascii="宋体"/>
                <w:vanish/>
              </w:rPr>
            </w:pPr>
          </w:p>
        </w:tc>
        <w:tc>
          <w:tcPr>
            <w:tcW w:w="0" w:type="auto"/>
            <w:gridSpan w:val="3"/>
            <w:shd w:val="clear" w:color="auto" w:fill="auto"/>
            <w:vAlign w:val="bottom"/>
          </w:tcPr>
          <w:p w14:paraId="392C55D2" w14:textId="77777777" w:rsidR="00980E5F" w:rsidRDefault="00980E5F">
            <w:pPr>
              <w:rPr>
                <w:rFonts w:ascii="宋体"/>
                <w:vanish/>
              </w:rPr>
            </w:pPr>
          </w:p>
        </w:tc>
        <w:tc>
          <w:tcPr>
            <w:tcW w:w="0" w:type="auto"/>
            <w:shd w:val="clear" w:color="auto" w:fill="auto"/>
            <w:vAlign w:val="bottom"/>
          </w:tcPr>
          <w:p w14:paraId="392C55D3" w14:textId="77777777" w:rsidR="00980E5F" w:rsidRDefault="00980E5F">
            <w:pPr>
              <w:rPr>
                <w:rFonts w:ascii="宋体"/>
              </w:rPr>
            </w:pPr>
          </w:p>
        </w:tc>
        <w:tc>
          <w:tcPr>
            <w:tcW w:w="0" w:type="auto"/>
            <w:shd w:val="clear" w:color="auto" w:fill="auto"/>
            <w:vAlign w:val="bottom"/>
          </w:tcPr>
          <w:p w14:paraId="392C55D4" w14:textId="77777777" w:rsidR="00980E5F" w:rsidRDefault="00980E5F">
            <w:pPr>
              <w:rPr>
                <w:rFonts w:ascii="宋体"/>
              </w:rPr>
            </w:pPr>
          </w:p>
        </w:tc>
        <w:tc>
          <w:tcPr>
            <w:tcW w:w="0" w:type="auto"/>
            <w:shd w:val="clear" w:color="auto" w:fill="auto"/>
            <w:vAlign w:val="bottom"/>
          </w:tcPr>
          <w:p w14:paraId="392C55D5" w14:textId="77777777" w:rsidR="00980E5F" w:rsidRDefault="00980E5F">
            <w:pPr>
              <w:rPr>
                <w:rFonts w:ascii="宋体"/>
              </w:rPr>
            </w:pPr>
          </w:p>
        </w:tc>
        <w:tc>
          <w:tcPr>
            <w:tcW w:w="0" w:type="auto"/>
            <w:shd w:val="clear" w:color="auto" w:fill="auto"/>
            <w:vAlign w:val="bottom"/>
          </w:tcPr>
          <w:p w14:paraId="392C55D6" w14:textId="77777777" w:rsidR="00980E5F" w:rsidRDefault="00980E5F">
            <w:pPr>
              <w:rPr>
                <w:rFonts w:ascii="宋体"/>
              </w:rPr>
            </w:pPr>
          </w:p>
        </w:tc>
        <w:tc>
          <w:tcPr>
            <w:tcW w:w="0" w:type="auto"/>
            <w:shd w:val="clear" w:color="auto" w:fill="auto"/>
            <w:vAlign w:val="bottom"/>
          </w:tcPr>
          <w:p w14:paraId="392C55D7" w14:textId="77777777" w:rsidR="00980E5F" w:rsidRDefault="00980E5F">
            <w:pPr>
              <w:rPr>
                <w:rFonts w:ascii="宋体"/>
              </w:rPr>
            </w:pPr>
          </w:p>
        </w:tc>
        <w:tc>
          <w:tcPr>
            <w:tcW w:w="0" w:type="auto"/>
            <w:shd w:val="clear" w:color="auto" w:fill="auto"/>
            <w:vAlign w:val="bottom"/>
          </w:tcPr>
          <w:p w14:paraId="392C55D8" w14:textId="77777777" w:rsidR="00980E5F" w:rsidRDefault="00980E5F">
            <w:pPr>
              <w:rPr>
                <w:rFonts w:ascii="宋体"/>
              </w:rPr>
            </w:pPr>
          </w:p>
        </w:tc>
        <w:tc>
          <w:tcPr>
            <w:tcW w:w="0" w:type="auto"/>
            <w:shd w:val="clear" w:color="auto" w:fill="auto"/>
            <w:vAlign w:val="bottom"/>
          </w:tcPr>
          <w:p w14:paraId="392C55D9" w14:textId="77777777" w:rsidR="00980E5F" w:rsidRDefault="00980E5F">
            <w:pPr>
              <w:rPr>
                <w:rFonts w:ascii="宋体"/>
              </w:rPr>
            </w:pPr>
          </w:p>
        </w:tc>
        <w:tc>
          <w:tcPr>
            <w:tcW w:w="0" w:type="auto"/>
            <w:shd w:val="clear" w:color="auto" w:fill="auto"/>
            <w:vAlign w:val="bottom"/>
          </w:tcPr>
          <w:p w14:paraId="392C55DA" w14:textId="77777777" w:rsidR="00980E5F" w:rsidRDefault="00980E5F">
            <w:pPr>
              <w:rPr>
                <w:rFonts w:ascii="宋体"/>
              </w:rPr>
            </w:pPr>
          </w:p>
        </w:tc>
        <w:tc>
          <w:tcPr>
            <w:tcW w:w="0" w:type="auto"/>
            <w:shd w:val="clear" w:color="auto" w:fill="auto"/>
            <w:vAlign w:val="bottom"/>
          </w:tcPr>
          <w:p w14:paraId="392C55DB" w14:textId="77777777" w:rsidR="00980E5F" w:rsidRDefault="00980E5F">
            <w:pPr>
              <w:rPr>
                <w:rFonts w:ascii="宋体"/>
              </w:rPr>
            </w:pPr>
          </w:p>
        </w:tc>
        <w:tc>
          <w:tcPr>
            <w:tcW w:w="0" w:type="auto"/>
            <w:shd w:val="clear" w:color="auto" w:fill="auto"/>
            <w:vAlign w:val="bottom"/>
          </w:tcPr>
          <w:p w14:paraId="392C55DC" w14:textId="77777777" w:rsidR="00980E5F" w:rsidRDefault="00980E5F">
            <w:pPr>
              <w:rPr>
                <w:rFonts w:ascii="宋体"/>
              </w:rPr>
            </w:pPr>
          </w:p>
        </w:tc>
        <w:tc>
          <w:tcPr>
            <w:tcW w:w="0" w:type="auto"/>
            <w:shd w:val="clear" w:color="auto" w:fill="auto"/>
            <w:vAlign w:val="bottom"/>
          </w:tcPr>
          <w:p w14:paraId="392C55DD" w14:textId="77777777" w:rsidR="00980E5F" w:rsidRDefault="00980E5F">
            <w:pPr>
              <w:rPr>
                <w:rFonts w:ascii="宋体"/>
              </w:rPr>
            </w:pPr>
          </w:p>
        </w:tc>
        <w:tc>
          <w:tcPr>
            <w:tcW w:w="0" w:type="auto"/>
            <w:shd w:val="clear" w:color="auto" w:fill="auto"/>
            <w:vAlign w:val="bottom"/>
          </w:tcPr>
          <w:p w14:paraId="392C55DE" w14:textId="77777777" w:rsidR="00980E5F" w:rsidRDefault="00980E5F">
            <w:pPr>
              <w:rPr>
                <w:rFonts w:ascii="宋体"/>
              </w:rPr>
            </w:pPr>
          </w:p>
        </w:tc>
        <w:tc>
          <w:tcPr>
            <w:tcW w:w="0" w:type="auto"/>
            <w:shd w:val="clear" w:color="auto" w:fill="auto"/>
            <w:vAlign w:val="bottom"/>
          </w:tcPr>
          <w:p w14:paraId="392C55DF" w14:textId="77777777" w:rsidR="00980E5F" w:rsidRDefault="00980E5F">
            <w:pPr>
              <w:rPr>
                <w:rFonts w:ascii="宋体"/>
              </w:rPr>
            </w:pPr>
          </w:p>
        </w:tc>
        <w:tc>
          <w:tcPr>
            <w:tcW w:w="0" w:type="auto"/>
            <w:shd w:val="clear" w:color="auto" w:fill="auto"/>
            <w:vAlign w:val="bottom"/>
          </w:tcPr>
          <w:p w14:paraId="392C55E0" w14:textId="77777777" w:rsidR="00980E5F" w:rsidRDefault="00980E5F">
            <w:pPr>
              <w:rPr>
                <w:rFonts w:ascii="宋体"/>
              </w:rPr>
            </w:pPr>
          </w:p>
        </w:tc>
        <w:tc>
          <w:tcPr>
            <w:tcW w:w="0" w:type="auto"/>
            <w:shd w:val="clear" w:color="auto" w:fill="auto"/>
            <w:vAlign w:val="bottom"/>
          </w:tcPr>
          <w:p w14:paraId="392C55E1" w14:textId="77777777" w:rsidR="00980E5F" w:rsidRDefault="00980E5F">
            <w:pPr>
              <w:rPr>
                <w:rFonts w:ascii="宋体"/>
              </w:rPr>
            </w:pPr>
          </w:p>
        </w:tc>
        <w:tc>
          <w:tcPr>
            <w:tcW w:w="0" w:type="auto"/>
            <w:shd w:val="clear" w:color="auto" w:fill="auto"/>
            <w:vAlign w:val="bottom"/>
          </w:tcPr>
          <w:p w14:paraId="392C55E2" w14:textId="77777777" w:rsidR="00980E5F" w:rsidRDefault="00980E5F">
            <w:pPr>
              <w:rPr>
                <w:rFonts w:ascii="宋体"/>
              </w:rPr>
            </w:pPr>
          </w:p>
        </w:tc>
        <w:tc>
          <w:tcPr>
            <w:tcW w:w="0" w:type="auto"/>
            <w:shd w:val="clear" w:color="auto" w:fill="auto"/>
            <w:vAlign w:val="bottom"/>
          </w:tcPr>
          <w:p w14:paraId="392C55E3" w14:textId="77777777" w:rsidR="00980E5F" w:rsidRDefault="00980E5F">
            <w:pPr>
              <w:rPr>
                <w:rFonts w:ascii="宋体"/>
              </w:rPr>
            </w:pPr>
          </w:p>
        </w:tc>
        <w:tc>
          <w:tcPr>
            <w:tcW w:w="0" w:type="auto"/>
            <w:shd w:val="clear" w:color="auto" w:fill="auto"/>
            <w:vAlign w:val="bottom"/>
          </w:tcPr>
          <w:p w14:paraId="392C55E4" w14:textId="77777777" w:rsidR="00980E5F" w:rsidRDefault="00980E5F">
            <w:pPr>
              <w:rPr>
                <w:rFonts w:ascii="宋体"/>
              </w:rPr>
            </w:pPr>
          </w:p>
        </w:tc>
        <w:tc>
          <w:tcPr>
            <w:tcW w:w="0" w:type="auto"/>
            <w:shd w:val="clear" w:color="auto" w:fill="auto"/>
            <w:vAlign w:val="bottom"/>
          </w:tcPr>
          <w:p w14:paraId="392C55E5" w14:textId="77777777" w:rsidR="00980E5F" w:rsidRDefault="00980E5F">
            <w:pPr>
              <w:rPr>
                <w:rFonts w:ascii="宋体"/>
              </w:rPr>
            </w:pPr>
          </w:p>
        </w:tc>
        <w:tc>
          <w:tcPr>
            <w:tcW w:w="0" w:type="auto"/>
            <w:shd w:val="clear" w:color="auto" w:fill="auto"/>
            <w:vAlign w:val="bottom"/>
          </w:tcPr>
          <w:p w14:paraId="392C55E6" w14:textId="77777777" w:rsidR="00980E5F" w:rsidRDefault="00980E5F">
            <w:pPr>
              <w:rPr>
                <w:rFonts w:ascii="宋体"/>
              </w:rPr>
            </w:pPr>
          </w:p>
        </w:tc>
        <w:tc>
          <w:tcPr>
            <w:tcW w:w="0" w:type="auto"/>
            <w:shd w:val="clear" w:color="auto" w:fill="auto"/>
            <w:vAlign w:val="bottom"/>
          </w:tcPr>
          <w:p w14:paraId="392C55E7" w14:textId="77777777" w:rsidR="00980E5F" w:rsidRDefault="00980E5F">
            <w:pPr>
              <w:rPr>
                <w:rFonts w:ascii="宋体"/>
              </w:rPr>
            </w:pPr>
          </w:p>
        </w:tc>
        <w:tc>
          <w:tcPr>
            <w:tcW w:w="0" w:type="auto"/>
            <w:shd w:val="clear" w:color="auto" w:fill="auto"/>
            <w:vAlign w:val="bottom"/>
          </w:tcPr>
          <w:p w14:paraId="392C55E8" w14:textId="77777777" w:rsidR="00980E5F" w:rsidRDefault="00980E5F">
            <w:pPr>
              <w:rPr>
                <w:rFonts w:ascii="宋体"/>
              </w:rPr>
            </w:pPr>
          </w:p>
        </w:tc>
        <w:tc>
          <w:tcPr>
            <w:tcW w:w="0" w:type="auto"/>
            <w:shd w:val="clear" w:color="auto" w:fill="auto"/>
            <w:vAlign w:val="bottom"/>
          </w:tcPr>
          <w:p w14:paraId="392C55E9" w14:textId="77777777" w:rsidR="00980E5F" w:rsidRDefault="00980E5F">
            <w:pPr>
              <w:rPr>
                <w:rFonts w:ascii="宋体"/>
              </w:rPr>
            </w:pPr>
          </w:p>
        </w:tc>
        <w:tc>
          <w:tcPr>
            <w:tcW w:w="0" w:type="auto"/>
            <w:shd w:val="clear" w:color="auto" w:fill="auto"/>
            <w:vAlign w:val="bottom"/>
          </w:tcPr>
          <w:p w14:paraId="392C55EA" w14:textId="77777777" w:rsidR="00980E5F" w:rsidRDefault="00980E5F">
            <w:pPr>
              <w:rPr>
                <w:rFonts w:ascii="宋体"/>
              </w:rPr>
            </w:pPr>
          </w:p>
        </w:tc>
        <w:tc>
          <w:tcPr>
            <w:tcW w:w="0" w:type="auto"/>
            <w:shd w:val="clear" w:color="auto" w:fill="auto"/>
            <w:vAlign w:val="bottom"/>
          </w:tcPr>
          <w:p w14:paraId="392C55EB" w14:textId="77777777" w:rsidR="00980E5F" w:rsidRDefault="00980E5F">
            <w:pPr>
              <w:rPr>
                <w:rFonts w:ascii="宋体"/>
              </w:rPr>
            </w:pPr>
          </w:p>
        </w:tc>
        <w:tc>
          <w:tcPr>
            <w:tcW w:w="0" w:type="auto"/>
            <w:shd w:val="clear" w:color="auto" w:fill="auto"/>
            <w:vAlign w:val="bottom"/>
          </w:tcPr>
          <w:p w14:paraId="392C55EC" w14:textId="77777777" w:rsidR="00980E5F" w:rsidRDefault="00980E5F">
            <w:pPr>
              <w:rPr>
                <w:rFonts w:ascii="宋体"/>
              </w:rPr>
            </w:pPr>
          </w:p>
        </w:tc>
        <w:tc>
          <w:tcPr>
            <w:tcW w:w="0" w:type="auto"/>
            <w:shd w:val="clear" w:color="auto" w:fill="auto"/>
            <w:vAlign w:val="bottom"/>
          </w:tcPr>
          <w:p w14:paraId="392C55ED" w14:textId="77777777" w:rsidR="00980E5F" w:rsidRDefault="00980E5F">
            <w:pPr>
              <w:rPr>
                <w:rFonts w:ascii="宋体"/>
              </w:rPr>
            </w:pPr>
          </w:p>
        </w:tc>
        <w:tc>
          <w:tcPr>
            <w:tcW w:w="0" w:type="auto"/>
            <w:shd w:val="clear" w:color="auto" w:fill="auto"/>
            <w:vAlign w:val="bottom"/>
          </w:tcPr>
          <w:p w14:paraId="392C55EE" w14:textId="77777777" w:rsidR="00980E5F" w:rsidRDefault="00980E5F">
            <w:pPr>
              <w:rPr>
                <w:rFonts w:ascii="宋体"/>
              </w:rPr>
            </w:pPr>
          </w:p>
        </w:tc>
        <w:tc>
          <w:tcPr>
            <w:tcW w:w="0" w:type="auto"/>
            <w:shd w:val="clear" w:color="auto" w:fill="auto"/>
            <w:vAlign w:val="bottom"/>
          </w:tcPr>
          <w:p w14:paraId="392C55EF" w14:textId="77777777" w:rsidR="00980E5F" w:rsidRDefault="00980E5F">
            <w:pPr>
              <w:rPr>
                <w:rFonts w:ascii="宋体"/>
              </w:rPr>
            </w:pPr>
          </w:p>
        </w:tc>
        <w:tc>
          <w:tcPr>
            <w:tcW w:w="0" w:type="auto"/>
            <w:shd w:val="clear" w:color="auto" w:fill="auto"/>
            <w:vAlign w:val="bottom"/>
          </w:tcPr>
          <w:p w14:paraId="392C55F0" w14:textId="77777777" w:rsidR="00980E5F" w:rsidRDefault="00980E5F">
            <w:pPr>
              <w:rPr>
                <w:rFonts w:ascii="宋体"/>
              </w:rPr>
            </w:pPr>
          </w:p>
        </w:tc>
        <w:tc>
          <w:tcPr>
            <w:tcW w:w="0" w:type="auto"/>
            <w:shd w:val="clear" w:color="auto" w:fill="auto"/>
            <w:vAlign w:val="bottom"/>
          </w:tcPr>
          <w:p w14:paraId="392C55F1" w14:textId="77777777" w:rsidR="00980E5F" w:rsidRDefault="00980E5F">
            <w:pPr>
              <w:rPr>
                <w:rFonts w:ascii="宋体"/>
              </w:rPr>
            </w:pPr>
          </w:p>
        </w:tc>
        <w:tc>
          <w:tcPr>
            <w:tcW w:w="0" w:type="auto"/>
            <w:shd w:val="clear" w:color="auto" w:fill="auto"/>
            <w:vAlign w:val="bottom"/>
          </w:tcPr>
          <w:p w14:paraId="392C55F2" w14:textId="77777777" w:rsidR="00980E5F" w:rsidRDefault="00980E5F">
            <w:pPr>
              <w:rPr>
                <w:rFonts w:ascii="宋体"/>
              </w:rPr>
            </w:pPr>
          </w:p>
        </w:tc>
        <w:tc>
          <w:tcPr>
            <w:tcW w:w="0" w:type="auto"/>
            <w:shd w:val="clear" w:color="auto" w:fill="auto"/>
            <w:vAlign w:val="bottom"/>
          </w:tcPr>
          <w:p w14:paraId="392C55F3" w14:textId="77777777" w:rsidR="00980E5F" w:rsidRDefault="00980E5F">
            <w:pPr>
              <w:rPr>
                <w:rFonts w:ascii="宋体"/>
              </w:rPr>
            </w:pPr>
          </w:p>
        </w:tc>
        <w:tc>
          <w:tcPr>
            <w:tcW w:w="0" w:type="auto"/>
            <w:shd w:val="clear" w:color="auto" w:fill="auto"/>
            <w:vAlign w:val="bottom"/>
          </w:tcPr>
          <w:p w14:paraId="392C55F4" w14:textId="77777777" w:rsidR="00980E5F" w:rsidRDefault="00980E5F">
            <w:pPr>
              <w:rPr>
                <w:rFonts w:ascii="宋体"/>
              </w:rPr>
            </w:pPr>
          </w:p>
        </w:tc>
        <w:tc>
          <w:tcPr>
            <w:tcW w:w="0" w:type="auto"/>
            <w:shd w:val="clear" w:color="auto" w:fill="auto"/>
            <w:vAlign w:val="bottom"/>
          </w:tcPr>
          <w:p w14:paraId="392C55F5" w14:textId="77777777" w:rsidR="00980E5F" w:rsidRDefault="00980E5F">
            <w:pPr>
              <w:rPr>
                <w:rFonts w:ascii="宋体"/>
              </w:rPr>
            </w:pPr>
          </w:p>
        </w:tc>
        <w:tc>
          <w:tcPr>
            <w:tcW w:w="0" w:type="auto"/>
            <w:shd w:val="clear" w:color="auto" w:fill="auto"/>
            <w:vAlign w:val="bottom"/>
          </w:tcPr>
          <w:p w14:paraId="392C55F6" w14:textId="77777777" w:rsidR="00980E5F" w:rsidRDefault="00980E5F">
            <w:pPr>
              <w:rPr>
                <w:rFonts w:ascii="宋体"/>
              </w:rPr>
            </w:pPr>
          </w:p>
        </w:tc>
        <w:tc>
          <w:tcPr>
            <w:tcW w:w="0" w:type="auto"/>
            <w:shd w:val="clear" w:color="auto" w:fill="auto"/>
            <w:vAlign w:val="bottom"/>
          </w:tcPr>
          <w:p w14:paraId="392C55F7" w14:textId="77777777" w:rsidR="00980E5F" w:rsidRDefault="00980E5F">
            <w:pPr>
              <w:rPr>
                <w:rFonts w:ascii="宋体"/>
              </w:rPr>
            </w:pPr>
          </w:p>
        </w:tc>
        <w:tc>
          <w:tcPr>
            <w:tcW w:w="0" w:type="auto"/>
            <w:shd w:val="clear" w:color="auto" w:fill="auto"/>
            <w:vAlign w:val="bottom"/>
          </w:tcPr>
          <w:p w14:paraId="392C55F8" w14:textId="77777777" w:rsidR="00980E5F" w:rsidRDefault="00980E5F">
            <w:pPr>
              <w:rPr>
                <w:rFonts w:ascii="宋体"/>
              </w:rPr>
            </w:pPr>
          </w:p>
        </w:tc>
        <w:tc>
          <w:tcPr>
            <w:tcW w:w="0" w:type="auto"/>
            <w:shd w:val="clear" w:color="auto" w:fill="auto"/>
            <w:vAlign w:val="bottom"/>
          </w:tcPr>
          <w:p w14:paraId="392C55F9" w14:textId="77777777" w:rsidR="00980E5F" w:rsidRDefault="00980E5F">
            <w:pPr>
              <w:rPr>
                <w:rFonts w:ascii="宋体"/>
              </w:rPr>
            </w:pPr>
          </w:p>
        </w:tc>
        <w:tc>
          <w:tcPr>
            <w:tcW w:w="0" w:type="auto"/>
            <w:shd w:val="clear" w:color="auto" w:fill="auto"/>
            <w:vAlign w:val="bottom"/>
          </w:tcPr>
          <w:p w14:paraId="392C55FA" w14:textId="77777777" w:rsidR="00980E5F" w:rsidRDefault="00980E5F">
            <w:pPr>
              <w:rPr>
                <w:rFonts w:ascii="宋体"/>
              </w:rPr>
            </w:pPr>
          </w:p>
        </w:tc>
        <w:tc>
          <w:tcPr>
            <w:tcW w:w="0" w:type="auto"/>
            <w:shd w:val="clear" w:color="auto" w:fill="auto"/>
            <w:vAlign w:val="bottom"/>
          </w:tcPr>
          <w:p w14:paraId="392C55FB" w14:textId="77777777" w:rsidR="00980E5F" w:rsidRDefault="00980E5F">
            <w:pPr>
              <w:rPr>
                <w:rFonts w:ascii="宋体"/>
              </w:rPr>
            </w:pPr>
          </w:p>
        </w:tc>
        <w:tc>
          <w:tcPr>
            <w:tcW w:w="0" w:type="auto"/>
            <w:shd w:val="clear" w:color="auto" w:fill="auto"/>
            <w:vAlign w:val="bottom"/>
          </w:tcPr>
          <w:p w14:paraId="392C55FC" w14:textId="77777777" w:rsidR="00980E5F" w:rsidRDefault="00980E5F">
            <w:pPr>
              <w:rPr>
                <w:rFonts w:ascii="宋体"/>
              </w:rPr>
            </w:pPr>
          </w:p>
        </w:tc>
        <w:tc>
          <w:tcPr>
            <w:tcW w:w="0" w:type="auto"/>
            <w:shd w:val="clear" w:color="auto" w:fill="auto"/>
            <w:vAlign w:val="bottom"/>
          </w:tcPr>
          <w:p w14:paraId="392C55FD" w14:textId="77777777" w:rsidR="00980E5F" w:rsidRDefault="00980E5F">
            <w:pPr>
              <w:rPr>
                <w:rFonts w:ascii="宋体"/>
              </w:rPr>
            </w:pPr>
          </w:p>
        </w:tc>
        <w:tc>
          <w:tcPr>
            <w:tcW w:w="0" w:type="auto"/>
            <w:shd w:val="clear" w:color="auto" w:fill="auto"/>
            <w:vAlign w:val="bottom"/>
          </w:tcPr>
          <w:p w14:paraId="392C55FE" w14:textId="77777777" w:rsidR="00980E5F" w:rsidRDefault="00980E5F">
            <w:pPr>
              <w:rPr>
                <w:rFonts w:ascii="宋体"/>
              </w:rPr>
            </w:pPr>
          </w:p>
        </w:tc>
        <w:tc>
          <w:tcPr>
            <w:tcW w:w="0" w:type="auto"/>
            <w:shd w:val="clear" w:color="auto" w:fill="auto"/>
            <w:vAlign w:val="bottom"/>
          </w:tcPr>
          <w:p w14:paraId="392C55FF" w14:textId="77777777" w:rsidR="00980E5F" w:rsidRDefault="00980E5F">
            <w:pPr>
              <w:rPr>
                <w:rFonts w:ascii="宋体"/>
              </w:rPr>
            </w:pPr>
          </w:p>
        </w:tc>
        <w:tc>
          <w:tcPr>
            <w:tcW w:w="0" w:type="auto"/>
            <w:shd w:val="clear" w:color="auto" w:fill="auto"/>
            <w:vAlign w:val="bottom"/>
          </w:tcPr>
          <w:p w14:paraId="392C5600" w14:textId="77777777" w:rsidR="00980E5F" w:rsidRDefault="00980E5F">
            <w:pPr>
              <w:rPr>
                <w:rFonts w:ascii="宋体"/>
              </w:rPr>
            </w:pPr>
          </w:p>
        </w:tc>
        <w:tc>
          <w:tcPr>
            <w:tcW w:w="0" w:type="auto"/>
            <w:shd w:val="clear" w:color="auto" w:fill="auto"/>
            <w:vAlign w:val="bottom"/>
          </w:tcPr>
          <w:p w14:paraId="392C5601" w14:textId="77777777" w:rsidR="00980E5F" w:rsidRDefault="00980E5F">
            <w:pPr>
              <w:rPr>
                <w:rFonts w:ascii="宋体"/>
              </w:rPr>
            </w:pPr>
          </w:p>
        </w:tc>
        <w:tc>
          <w:tcPr>
            <w:tcW w:w="0" w:type="auto"/>
            <w:shd w:val="clear" w:color="auto" w:fill="auto"/>
            <w:vAlign w:val="bottom"/>
          </w:tcPr>
          <w:p w14:paraId="392C5602" w14:textId="77777777" w:rsidR="00980E5F" w:rsidRDefault="00980E5F">
            <w:pPr>
              <w:rPr>
                <w:rFonts w:ascii="宋体"/>
              </w:rPr>
            </w:pPr>
          </w:p>
        </w:tc>
        <w:tc>
          <w:tcPr>
            <w:tcW w:w="0" w:type="auto"/>
            <w:shd w:val="clear" w:color="auto" w:fill="auto"/>
            <w:vAlign w:val="bottom"/>
          </w:tcPr>
          <w:p w14:paraId="392C5603" w14:textId="77777777" w:rsidR="00980E5F" w:rsidRDefault="00980E5F">
            <w:pPr>
              <w:rPr>
                <w:rFonts w:ascii="宋体"/>
              </w:rPr>
            </w:pPr>
          </w:p>
        </w:tc>
        <w:tc>
          <w:tcPr>
            <w:tcW w:w="0" w:type="auto"/>
            <w:shd w:val="clear" w:color="auto" w:fill="auto"/>
            <w:vAlign w:val="bottom"/>
          </w:tcPr>
          <w:p w14:paraId="392C5604" w14:textId="77777777" w:rsidR="00980E5F" w:rsidRDefault="00980E5F">
            <w:pPr>
              <w:rPr>
                <w:rFonts w:ascii="宋体"/>
              </w:rPr>
            </w:pPr>
          </w:p>
        </w:tc>
        <w:tc>
          <w:tcPr>
            <w:tcW w:w="0" w:type="auto"/>
            <w:shd w:val="clear" w:color="auto" w:fill="auto"/>
            <w:vAlign w:val="bottom"/>
          </w:tcPr>
          <w:p w14:paraId="392C5605" w14:textId="77777777" w:rsidR="00980E5F" w:rsidRDefault="00980E5F">
            <w:pPr>
              <w:rPr>
                <w:rFonts w:ascii="宋体"/>
              </w:rPr>
            </w:pPr>
          </w:p>
        </w:tc>
        <w:tc>
          <w:tcPr>
            <w:tcW w:w="0" w:type="auto"/>
            <w:shd w:val="clear" w:color="auto" w:fill="auto"/>
            <w:vAlign w:val="bottom"/>
          </w:tcPr>
          <w:p w14:paraId="392C5606" w14:textId="77777777" w:rsidR="00980E5F" w:rsidRDefault="00980E5F">
            <w:pPr>
              <w:rPr>
                <w:rFonts w:ascii="宋体"/>
              </w:rPr>
            </w:pPr>
          </w:p>
        </w:tc>
        <w:tc>
          <w:tcPr>
            <w:tcW w:w="0" w:type="auto"/>
            <w:shd w:val="clear" w:color="auto" w:fill="auto"/>
            <w:vAlign w:val="bottom"/>
          </w:tcPr>
          <w:p w14:paraId="392C5607" w14:textId="77777777" w:rsidR="00980E5F" w:rsidRDefault="00980E5F">
            <w:pPr>
              <w:rPr>
                <w:rFonts w:ascii="宋体"/>
              </w:rPr>
            </w:pPr>
          </w:p>
        </w:tc>
        <w:tc>
          <w:tcPr>
            <w:tcW w:w="0" w:type="auto"/>
            <w:shd w:val="clear" w:color="auto" w:fill="auto"/>
            <w:vAlign w:val="bottom"/>
          </w:tcPr>
          <w:p w14:paraId="392C5608" w14:textId="77777777" w:rsidR="00980E5F" w:rsidRDefault="00980E5F">
            <w:pPr>
              <w:rPr>
                <w:rFonts w:ascii="宋体"/>
              </w:rPr>
            </w:pPr>
          </w:p>
        </w:tc>
        <w:tc>
          <w:tcPr>
            <w:tcW w:w="0" w:type="auto"/>
            <w:shd w:val="clear" w:color="auto" w:fill="auto"/>
            <w:vAlign w:val="bottom"/>
          </w:tcPr>
          <w:p w14:paraId="392C5609" w14:textId="77777777" w:rsidR="00980E5F" w:rsidRDefault="00980E5F">
            <w:pPr>
              <w:rPr>
                <w:rFonts w:ascii="宋体"/>
              </w:rPr>
            </w:pPr>
          </w:p>
        </w:tc>
        <w:tc>
          <w:tcPr>
            <w:tcW w:w="0" w:type="auto"/>
            <w:shd w:val="clear" w:color="auto" w:fill="auto"/>
            <w:vAlign w:val="bottom"/>
          </w:tcPr>
          <w:p w14:paraId="392C560A" w14:textId="77777777" w:rsidR="00980E5F" w:rsidRDefault="00980E5F">
            <w:pPr>
              <w:rPr>
                <w:rFonts w:ascii="宋体"/>
              </w:rPr>
            </w:pPr>
          </w:p>
        </w:tc>
        <w:tc>
          <w:tcPr>
            <w:tcW w:w="0" w:type="auto"/>
            <w:shd w:val="clear" w:color="auto" w:fill="auto"/>
            <w:vAlign w:val="bottom"/>
          </w:tcPr>
          <w:p w14:paraId="392C560B" w14:textId="77777777" w:rsidR="00980E5F" w:rsidRDefault="00980E5F">
            <w:pPr>
              <w:rPr>
                <w:rFonts w:ascii="宋体"/>
              </w:rPr>
            </w:pPr>
          </w:p>
        </w:tc>
      </w:tr>
      <w:tr w:rsidR="00980E5F" w14:paraId="392C5648" w14:textId="77777777">
        <w:trPr>
          <w:hidden/>
        </w:trPr>
        <w:tc>
          <w:tcPr>
            <w:tcW w:w="0" w:type="auto"/>
            <w:gridSpan w:val="3"/>
            <w:shd w:val="clear" w:color="auto" w:fill="auto"/>
            <w:vAlign w:val="bottom"/>
          </w:tcPr>
          <w:p w14:paraId="392C560D" w14:textId="77777777" w:rsidR="00980E5F" w:rsidRDefault="00980E5F">
            <w:pPr>
              <w:rPr>
                <w:rFonts w:ascii="宋体"/>
                <w:vanish/>
              </w:rPr>
            </w:pPr>
          </w:p>
        </w:tc>
        <w:tc>
          <w:tcPr>
            <w:tcW w:w="0" w:type="auto"/>
            <w:gridSpan w:val="3"/>
            <w:shd w:val="clear" w:color="auto" w:fill="auto"/>
            <w:vAlign w:val="bottom"/>
          </w:tcPr>
          <w:p w14:paraId="392C560E" w14:textId="77777777" w:rsidR="00980E5F" w:rsidRDefault="00980E5F">
            <w:pPr>
              <w:rPr>
                <w:rFonts w:ascii="宋体"/>
                <w:vanish/>
              </w:rPr>
            </w:pPr>
          </w:p>
        </w:tc>
        <w:tc>
          <w:tcPr>
            <w:tcW w:w="0" w:type="auto"/>
            <w:shd w:val="clear" w:color="auto" w:fill="auto"/>
            <w:vAlign w:val="bottom"/>
          </w:tcPr>
          <w:p w14:paraId="392C560F" w14:textId="77777777" w:rsidR="00980E5F" w:rsidRDefault="00980E5F">
            <w:pPr>
              <w:rPr>
                <w:rFonts w:ascii="宋体"/>
              </w:rPr>
            </w:pPr>
          </w:p>
        </w:tc>
        <w:tc>
          <w:tcPr>
            <w:tcW w:w="0" w:type="auto"/>
            <w:shd w:val="clear" w:color="auto" w:fill="auto"/>
            <w:vAlign w:val="bottom"/>
          </w:tcPr>
          <w:p w14:paraId="392C5610" w14:textId="77777777" w:rsidR="00980E5F" w:rsidRDefault="00980E5F">
            <w:pPr>
              <w:rPr>
                <w:rFonts w:ascii="宋体"/>
              </w:rPr>
            </w:pPr>
          </w:p>
        </w:tc>
        <w:tc>
          <w:tcPr>
            <w:tcW w:w="0" w:type="auto"/>
            <w:shd w:val="clear" w:color="auto" w:fill="auto"/>
            <w:vAlign w:val="bottom"/>
          </w:tcPr>
          <w:p w14:paraId="392C5611" w14:textId="77777777" w:rsidR="00980E5F" w:rsidRDefault="00980E5F">
            <w:pPr>
              <w:rPr>
                <w:rFonts w:ascii="宋体"/>
              </w:rPr>
            </w:pPr>
          </w:p>
        </w:tc>
        <w:tc>
          <w:tcPr>
            <w:tcW w:w="0" w:type="auto"/>
            <w:shd w:val="clear" w:color="auto" w:fill="auto"/>
            <w:vAlign w:val="bottom"/>
          </w:tcPr>
          <w:p w14:paraId="392C5612" w14:textId="77777777" w:rsidR="00980E5F" w:rsidRDefault="00980E5F">
            <w:pPr>
              <w:rPr>
                <w:rFonts w:ascii="宋体"/>
              </w:rPr>
            </w:pPr>
          </w:p>
        </w:tc>
        <w:tc>
          <w:tcPr>
            <w:tcW w:w="0" w:type="auto"/>
            <w:shd w:val="clear" w:color="auto" w:fill="auto"/>
            <w:vAlign w:val="bottom"/>
          </w:tcPr>
          <w:p w14:paraId="392C5613" w14:textId="77777777" w:rsidR="00980E5F" w:rsidRDefault="00980E5F">
            <w:pPr>
              <w:rPr>
                <w:rFonts w:ascii="宋体"/>
              </w:rPr>
            </w:pPr>
          </w:p>
        </w:tc>
        <w:tc>
          <w:tcPr>
            <w:tcW w:w="0" w:type="auto"/>
            <w:shd w:val="clear" w:color="auto" w:fill="auto"/>
            <w:vAlign w:val="bottom"/>
          </w:tcPr>
          <w:p w14:paraId="392C5614" w14:textId="77777777" w:rsidR="00980E5F" w:rsidRDefault="00980E5F">
            <w:pPr>
              <w:rPr>
                <w:rFonts w:ascii="宋体"/>
              </w:rPr>
            </w:pPr>
          </w:p>
        </w:tc>
        <w:tc>
          <w:tcPr>
            <w:tcW w:w="0" w:type="auto"/>
            <w:shd w:val="clear" w:color="auto" w:fill="auto"/>
            <w:vAlign w:val="bottom"/>
          </w:tcPr>
          <w:p w14:paraId="392C5615" w14:textId="77777777" w:rsidR="00980E5F" w:rsidRDefault="00980E5F">
            <w:pPr>
              <w:rPr>
                <w:rFonts w:ascii="宋体"/>
              </w:rPr>
            </w:pPr>
          </w:p>
        </w:tc>
        <w:tc>
          <w:tcPr>
            <w:tcW w:w="0" w:type="auto"/>
            <w:shd w:val="clear" w:color="auto" w:fill="auto"/>
            <w:vAlign w:val="bottom"/>
          </w:tcPr>
          <w:p w14:paraId="392C5616" w14:textId="77777777" w:rsidR="00980E5F" w:rsidRDefault="00980E5F">
            <w:pPr>
              <w:rPr>
                <w:rFonts w:ascii="宋体"/>
              </w:rPr>
            </w:pPr>
          </w:p>
        </w:tc>
        <w:tc>
          <w:tcPr>
            <w:tcW w:w="0" w:type="auto"/>
            <w:shd w:val="clear" w:color="auto" w:fill="auto"/>
            <w:vAlign w:val="bottom"/>
          </w:tcPr>
          <w:p w14:paraId="392C5617" w14:textId="77777777" w:rsidR="00980E5F" w:rsidRDefault="00980E5F">
            <w:pPr>
              <w:rPr>
                <w:rFonts w:ascii="宋体"/>
              </w:rPr>
            </w:pPr>
          </w:p>
        </w:tc>
        <w:tc>
          <w:tcPr>
            <w:tcW w:w="0" w:type="auto"/>
            <w:shd w:val="clear" w:color="auto" w:fill="auto"/>
            <w:vAlign w:val="bottom"/>
          </w:tcPr>
          <w:p w14:paraId="392C5618" w14:textId="77777777" w:rsidR="00980E5F" w:rsidRDefault="00980E5F">
            <w:pPr>
              <w:rPr>
                <w:rFonts w:ascii="宋体"/>
              </w:rPr>
            </w:pPr>
          </w:p>
        </w:tc>
        <w:tc>
          <w:tcPr>
            <w:tcW w:w="0" w:type="auto"/>
            <w:shd w:val="clear" w:color="auto" w:fill="auto"/>
            <w:vAlign w:val="bottom"/>
          </w:tcPr>
          <w:p w14:paraId="392C5619" w14:textId="77777777" w:rsidR="00980E5F" w:rsidRDefault="00980E5F">
            <w:pPr>
              <w:rPr>
                <w:rFonts w:ascii="宋体"/>
              </w:rPr>
            </w:pPr>
          </w:p>
        </w:tc>
        <w:tc>
          <w:tcPr>
            <w:tcW w:w="0" w:type="auto"/>
            <w:shd w:val="clear" w:color="auto" w:fill="auto"/>
            <w:vAlign w:val="bottom"/>
          </w:tcPr>
          <w:p w14:paraId="392C561A" w14:textId="77777777" w:rsidR="00980E5F" w:rsidRDefault="00980E5F">
            <w:pPr>
              <w:rPr>
                <w:rFonts w:ascii="宋体"/>
              </w:rPr>
            </w:pPr>
          </w:p>
        </w:tc>
        <w:tc>
          <w:tcPr>
            <w:tcW w:w="0" w:type="auto"/>
            <w:shd w:val="clear" w:color="auto" w:fill="auto"/>
            <w:vAlign w:val="bottom"/>
          </w:tcPr>
          <w:p w14:paraId="392C561B" w14:textId="77777777" w:rsidR="00980E5F" w:rsidRDefault="00980E5F">
            <w:pPr>
              <w:rPr>
                <w:rFonts w:ascii="宋体"/>
              </w:rPr>
            </w:pPr>
          </w:p>
        </w:tc>
        <w:tc>
          <w:tcPr>
            <w:tcW w:w="0" w:type="auto"/>
            <w:shd w:val="clear" w:color="auto" w:fill="auto"/>
            <w:vAlign w:val="bottom"/>
          </w:tcPr>
          <w:p w14:paraId="392C561C" w14:textId="77777777" w:rsidR="00980E5F" w:rsidRDefault="00980E5F">
            <w:pPr>
              <w:rPr>
                <w:rFonts w:ascii="宋体"/>
              </w:rPr>
            </w:pPr>
          </w:p>
        </w:tc>
        <w:tc>
          <w:tcPr>
            <w:tcW w:w="0" w:type="auto"/>
            <w:shd w:val="clear" w:color="auto" w:fill="auto"/>
            <w:vAlign w:val="bottom"/>
          </w:tcPr>
          <w:p w14:paraId="392C561D" w14:textId="77777777" w:rsidR="00980E5F" w:rsidRDefault="00980E5F">
            <w:pPr>
              <w:rPr>
                <w:rFonts w:ascii="宋体"/>
              </w:rPr>
            </w:pPr>
          </w:p>
        </w:tc>
        <w:tc>
          <w:tcPr>
            <w:tcW w:w="0" w:type="auto"/>
            <w:shd w:val="clear" w:color="auto" w:fill="auto"/>
            <w:vAlign w:val="bottom"/>
          </w:tcPr>
          <w:p w14:paraId="392C561E" w14:textId="77777777" w:rsidR="00980E5F" w:rsidRDefault="00980E5F">
            <w:pPr>
              <w:rPr>
                <w:rFonts w:ascii="宋体"/>
              </w:rPr>
            </w:pPr>
          </w:p>
        </w:tc>
        <w:tc>
          <w:tcPr>
            <w:tcW w:w="0" w:type="auto"/>
            <w:shd w:val="clear" w:color="auto" w:fill="auto"/>
            <w:vAlign w:val="bottom"/>
          </w:tcPr>
          <w:p w14:paraId="392C561F" w14:textId="77777777" w:rsidR="00980E5F" w:rsidRDefault="00980E5F">
            <w:pPr>
              <w:rPr>
                <w:rFonts w:ascii="宋体"/>
              </w:rPr>
            </w:pPr>
          </w:p>
        </w:tc>
        <w:tc>
          <w:tcPr>
            <w:tcW w:w="0" w:type="auto"/>
            <w:shd w:val="clear" w:color="auto" w:fill="auto"/>
            <w:vAlign w:val="bottom"/>
          </w:tcPr>
          <w:p w14:paraId="392C5620" w14:textId="77777777" w:rsidR="00980E5F" w:rsidRDefault="00980E5F">
            <w:pPr>
              <w:rPr>
                <w:rFonts w:ascii="宋体"/>
              </w:rPr>
            </w:pPr>
          </w:p>
        </w:tc>
        <w:tc>
          <w:tcPr>
            <w:tcW w:w="0" w:type="auto"/>
            <w:shd w:val="clear" w:color="auto" w:fill="auto"/>
            <w:vAlign w:val="bottom"/>
          </w:tcPr>
          <w:p w14:paraId="392C5621" w14:textId="77777777" w:rsidR="00980E5F" w:rsidRDefault="00980E5F">
            <w:pPr>
              <w:rPr>
                <w:rFonts w:ascii="宋体"/>
              </w:rPr>
            </w:pPr>
          </w:p>
        </w:tc>
        <w:tc>
          <w:tcPr>
            <w:tcW w:w="0" w:type="auto"/>
            <w:shd w:val="clear" w:color="auto" w:fill="auto"/>
            <w:vAlign w:val="bottom"/>
          </w:tcPr>
          <w:p w14:paraId="392C5622" w14:textId="77777777" w:rsidR="00980E5F" w:rsidRDefault="00980E5F">
            <w:pPr>
              <w:rPr>
                <w:rFonts w:ascii="宋体"/>
              </w:rPr>
            </w:pPr>
          </w:p>
        </w:tc>
        <w:tc>
          <w:tcPr>
            <w:tcW w:w="0" w:type="auto"/>
            <w:shd w:val="clear" w:color="auto" w:fill="auto"/>
            <w:vAlign w:val="bottom"/>
          </w:tcPr>
          <w:p w14:paraId="392C5623" w14:textId="77777777" w:rsidR="00980E5F" w:rsidRDefault="00980E5F">
            <w:pPr>
              <w:rPr>
                <w:rFonts w:ascii="宋体"/>
              </w:rPr>
            </w:pPr>
          </w:p>
        </w:tc>
        <w:tc>
          <w:tcPr>
            <w:tcW w:w="0" w:type="auto"/>
            <w:shd w:val="clear" w:color="auto" w:fill="auto"/>
            <w:vAlign w:val="bottom"/>
          </w:tcPr>
          <w:p w14:paraId="392C5624" w14:textId="77777777" w:rsidR="00980E5F" w:rsidRDefault="00980E5F">
            <w:pPr>
              <w:rPr>
                <w:rFonts w:ascii="宋体"/>
              </w:rPr>
            </w:pPr>
          </w:p>
        </w:tc>
        <w:tc>
          <w:tcPr>
            <w:tcW w:w="0" w:type="auto"/>
            <w:shd w:val="clear" w:color="auto" w:fill="auto"/>
            <w:vAlign w:val="bottom"/>
          </w:tcPr>
          <w:p w14:paraId="392C5625" w14:textId="77777777" w:rsidR="00980E5F" w:rsidRDefault="00980E5F">
            <w:pPr>
              <w:rPr>
                <w:rFonts w:ascii="宋体"/>
              </w:rPr>
            </w:pPr>
          </w:p>
        </w:tc>
        <w:tc>
          <w:tcPr>
            <w:tcW w:w="0" w:type="auto"/>
            <w:shd w:val="clear" w:color="auto" w:fill="auto"/>
            <w:vAlign w:val="bottom"/>
          </w:tcPr>
          <w:p w14:paraId="392C5626" w14:textId="77777777" w:rsidR="00980E5F" w:rsidRDefault="00980E5F">
            <w:pPr>
              <w:rPr>
                <w:rFonts w:ascii="宋体"/>
              </w:rPr>
            </w:pPr>
          </w:p>
        </w:tc>
        <w:tc>
          <w:tcPr>
            <w:tcW w:w="0" w:type="auto"/>
            <w:shd w:val="clear" w:color="auto" w:fill="auto"/>
            <w:vAlign w:val="bottom"/>
          </w:tcPr>
          <w:p w14:paraId="392C5627" w14:textId="77777777" w:rsidR="00980E5F" w:rsidRDefault="00980E5F">
            <w:pPr>
              <w:rPr>
                <w:rFonts w:ascii="宋体"/>
              </w:rPr>
            </w:pPr>
          </w:p>
        </w:tc>
        <w:tc>
          <w:tcPr>
            <w:tcW w:w="0" w:type="auto"/>
            <w:shd w:val="clear" w:color="auto" w:fill="auto"/>
            <w:vAlign w:val="bottom"/>
          </w:tcPr>
          <w:p w14:paraId="392C5628" w14:textId="77777777" w:rsidR="00980E5F" w:rsidRDefault="00980E5F">
            <w:pPr>
              <w:rPr>
                <w:rFonts w:ascii="宋体"/>
              </w:rPr>
            </w:pPr>
          </w:p>
        </w:tc>
        <w:tc>
          <w:tcPr>
            <w:tcW w:w="0" w:type="auto"/>
            <w:shd w:val="clear" w:color="auto" w:fill="auto"/>
            <w:vAlign w:val="bottom"/>
          </w:tcPr>
          <w:p w14:paraId="392C5629" w14:textId="77777777" w:rsidR="00980E5F" w:rsidRDefault="00980E5F">
            <w:pPr>
              <w:rPr>
                <w:rFonts w:ascii="宋体"/>
              </w:rPr>
            </w:pPr>
          </w:p>
        </w:tc>
        <w:tc>
          <w:tcPr>
            <w:tcW w:w="0" w:type="auto"/>
            <w:shd w:val="clear" w:color="auto" w:fill="auto"/>
            <w:vAlign w:val="bottom"/>
          </w:tcPr>
          <w:p w14:paraId="392C562A" w14:textId="77777777" w:rsidR="00980E5F" w:rsidRDefault="00980E5F">
            <w:pPr>
              <w:rPr>
                <w:rFonts w:ascii="宋体"/>
              </w:rPr>
            </w:pPr>
          </w:p>
        </w:tc>
        <w:tc>
          <w:tcPr>
            <w:tcW w:w="0" w:type="auto"/>
            <w:shd w:val="clear" w:color="auto" w:fill="auto"/>
            <w:vAlign w:val="bottom"/>
          </w:tcPr>
          <w:p w14:paraId="392C562B" w14:textId="77777777" w:rsidR="00980E5F" w:rsidRDefault="00980E5F">
            <w:pPr>
              <w:rPr>
                <w:rFonts w:ascii="宋体"/>
              </w:rPr>
            </w:pPr>
          </w:p>
        </w:tc>
        <w:tc>
          <w:tcPr>
            <w:tcW w:w="0" w:type="auto"/>
            <w:shd w:val="clear" w:color="auto" w:fill="auto"/>
            <w:vAlign w:val="bottom"/>
          </w:tcPr>
          <w:p w14:paraId="392C562C" w14:textId="77777777" w:rsidR="00980E5F" w:rsidRDefault="00980E5F">
            <w:pPr>
              <w:rPr>
                <w:rFonts w:ascii="宋体"/>
              </w:rPr>
            </w:pPr>
          </w:p>
        </w:tc>
        <w:tc>
          <w:tcPr>
            <w:tcW w:w="0" w:type="auto"/>
            <w:shd w:val="clear" w:color="auto" w:fill="auto"/>
            <w:vAlign w:val="bottom"/>
          </w:tcPr>
          <w:p w14:paraId="392C562D" w14:textId="77777777" w:rsidR="00980E5F" w:rsidRDefault="00980E5F">
            <w:pPr>
              <w:rPr>
                <w:rFonts w:ascii="宋体"/>
              </w:rPr>
            </w:pPr>
          </w:p>
        </w:tc>
        <w:tc>
          <w:tcPr>
            <w:tcW w:w="0" w:type="auto"/>
            <w:shd w:val="clear" w:color="auto" w:fill="auto"/>
            <w:vAlign w:val="bottom"/>
          </w:tcPr>
          <w:p w14:paraId="392C562E" w14:textId="77777777" w:rsidR="00980E5F" w:rsidRDefault="00980E5F">
            <w:pPr>
              <w:rPr>
                <w:rFonts w:ascii="宋体"/>
              </w:rPr>
            </w:pPr>
          </w:p>
        </w:tc>
        <w:tc>
          <w:tcPr>
            <w:tcW w:w="0" w:type="auto"/>
            <w:shd w:val="clear" w:color="auto" w:fill="auto"/>
            <w:vAlign w:val="bottom"/>
          </w:tcPr>
          <w:p w14:paraId="392C562F" w14:textId="77777777" w:rsidR="00980E5F" w:rsidRDefault="00980E5F">
            <w:pPr>
              <w:rPr>
                <w:rFonts w:ascii="宋体"/>
              </w:rPr>
            </w:pPr>
          </w:p>
        </w:tc>
        <w:tc>
          <w:tcPr>
            <w:tcW w:w="0" w:type="auto"/>
            <w:shd w:val="clear" w:color="auto" w:fill="auto"/>
            <w:vAlign w:val="bottom"/>
          </w:tcPr>
          <w:p w14:paraId="392C5630" w14:textId="77777777" w:rsidR="00980E5F" w:rsidRDefault="00980E5F">
            <w:pPr>
              <w:rPr>
                <w:rFonts w:ascii="宋体"/>
              </w:rPr>
            </w:pPr>
          </w:p>
        </w:tc>
        <w:tc>
          <w:tcPr>
            <w:tcW w:w="0" w:type="auto"/>
            <w:shd w:val="clear" w:color="auto" w:fill="auto"/>
            <w:vAlign w:val="bottom"/>
          </w:tcPr>
          <w:p w14:paraId="392C5631" w14:textId="77777777" w:rsidR="00980E5F" w:rsidRDefault="00980E5F">
            <w:pPr>
              <w:rPr>
                <w:rFonts w:ascii="宋体"/>
              </w:rPr>
            </w:pPr>
          </w:p>
        </w:tc>
        <w:tc>
          <w:tcPr>
            <w:tcW w:w="0" w:type="auto"/>
            <w:shd w:val="clear" w:color="auto" w:fill="auto"/>
            <w:vAlign w:val="bottom"/>
          </w:tcPr>
          <w:p w14:paraId="392C5632" w14:textId="77777777" w:rsidR="00980E5F" w:rsidRDefault="00980E5F">
            <w:pPr>
              <w:rPr>
                <w:rFonts w:ascii="宋体"/>
              </w:rPr>
            </w:pPr>
          </w:p>
        </w:tc>
        <w:tc>
          <w:tcPr>
            <w:tcW w:w="0" w:type="auto"/>
            <w:shd w:val="clear" w:color="auto" w:fill="auto"/>
            <w:vAlign w:val="bottom"/>
          </w:tcPr>
          <w:p w14:paraId="392C5633" w14:textId="77777777" w:rsidR="00980E5F" w:rsidRDefault="00980E5F">
            <w:pPr>
              <w:rPr>
                <w:rFonts w:ascii="宋体"/>
              </w:rPr>
            </w:pPr>
          </w:p>
        </w:tc>
        <w:tc>
          <w:tcPr>
            <w:tcW w:w="0" w:type="auto"/>
            <w:shd w:val="clear" w:color="auto" w:fill="auto"/>
            <w:vAlign w:val="bottom"/>
          </w:tcPr>
          <w:p w14:paraId="392C5634" w14:textId="77777777" w:rsidR="00980E5F" w:rsidRDefault="00980E5F">
            <w:pPr>
              <w:rPr>
                <w:rFonts w:ascii="宋体"/>
              </w:rPr>
            </w:pPr>
          </w:p>
        </w:tc>
        <w:tc>
          <w:tcPr>
            <w:tcW w:w="0" w:type="auto"/>
            <w:shd w:val="clear" w:color="auto" w:fill="auto"/>
            <w:vAlign w:val="bottom"/>
          </w:tcPr>
          <w:p w14:paraId="392C5635" w14:textId="77777777" w:rsidR="00980E5F" w:rsidRDefault="00980E5F">
            <w:pPr>
              <w:rPr>
                <w:rFonts w:ascii="宋体"/>
              </w:rPr>
            </w:pPr>
          </w:p>
        </w:tc>
        <w:tc>
          <w:tcPr>
            <w:tcW w:w="0" w:type="auto"/>
            <w:shd w:val="clear" w:color="auto" w:fill="auto"/>
            <w:vAlign w:val="bottom"/>
          </w:tcPr>
          <w:p w14:paraId="392C5636" w14:textId="77777777" w:rsidR="00980E5F" w:rsidRDefault="00980E5F">
            <w:pPr>
              <w:rPr>
                <w:rFonts w:ascii="宋体"/>
              </w:rPr>
            </w:pPr>
          </w:p>
        </w:tc>
        <w:tc>
          <w:tcPr>
            <w:tcW w:w="0" w:type="auto"/>
            <w:shd w:val="clear" w:color="auto" w:fill="auto"/>
            <w:vAlign w:val="bottom"/>
          </w:tcPr>
          <w:p w14:paraId="392C5637" w14:textId="77777777" w:rsidR="00980E5F" w:rsidRDefault="00980E5F">
            <w:pPr>
              <w:rPr>
                <w:rFonts w:ascii="宋体"/>
              </w:rPr>
            </w:pPr>
          </w:p>
        </w:tc>
        <w:tc>
          <w:tcPr>
            <w:tcW w:w="0" w:type="auto"/>
            <w:shd w:val="clear" w:color="auto" w:fill="auto"/>
            <w:vAlign w:val="bottom"/>
          </w:tcPr>
          <w:p w14:paraId="392C5638" w14:textId="77777777" w:rsidR="00980E5F" w:rsidRDefault="00980E5F">
            <w:pPr>
              <w:rPr>
                <w:rFonts w:ascii="宋体"/>
              </w:rPr>
            </w:pPr>
          </w:p>
        </w:tc>
        <w:tc>
          <w:tcPr>
            <w:tcW w:w="0" w:type="auto"/>
            <w:shd w:val="clear" w:color="auto" w:fill="auto"/>
            <w:vAlign w:val="bottom"/>
          </w:tcPr>
          <w:p w14:paraId="392C5639" w14:textId="77777777" w:rsidR="00980E5F" w:rsidRDefault="00980E5F">
            <w:pPr>
              <w:rPr>
                <w:rFonts w:ascii="宋体"/>
              </w:rPr>
            </w:pPr>
          </w:p>
        </w:tc>
        <w:tc>
          <w:tcPr>
            <w:tcW w:w="0" w:type="auto"/>
            <w:shd w:val="clear" w:color="auto" w:fill="auto"/>
            <w:vAlign w:val="bottom"/>
          </w:tcPr>
          <w:p w14:paraId="392C563A" w14:textId="77777777" w:rsidR="00980E5F" w:rsidRDefault="00980E5F">
            <w:pPr>
              <w:rPr>
                <w:rFonts w:ascii="宋体"/>
              </w:rPr>
            </w:pPr>
          </w:p>
        </w:tc>
        <w:tc>
          <w:tcPr>
            <w:tcW w:w="0" w:type="auto"/>
            <w:shd w:val="clear" w:color="auto" w:fill="auto"/>
            <w:vAlign w:val="bottom"/>
          </w:tcPr>
          <w:p w14:paraId="392C563B" w14:textId="77777777" w:rsidR="00980E5F" w:rsidRDefault="00980E5F">
            <w:pPr>
              <w:rPr>
                <w:rFonts w:ascii="宋体"/>
              </w:rPr>
            </w:pPr>
          </w:p>
        </w:tc>
        <w:tc>
          <w:tcPr>
            <w:tcW w:w="0" w:type="auto"/>
            <w:shd w:val="clear" w:color="auto" w:fill="auto"/>
            <w:vAlign w:val="bottom"/>
          </w:tcPr>
          <w:p w14:paraId="392C563C" w14:textId="77777777" w:rsidR="00980E5F" w:rsidRDefault="00980E5F">
            <w:pPr>
              <w:rPr>
                <w:rFonts w:ascii="宋体"/>
              </w:rPr>
            </w:pPr>
          </w:p>
        </w:tc>
        <w:tc>
          <w:tcPr>
            <w:tcW w:w="0" w:type="auto"/>
            <w:shd w:val="clear" w:color="auto" w:fill="auto"/>
            <w:vAlign w:val="bottom"/>
          </w:tcPr>
          <w:p w14:paraId="392C563D" w14:textId="77777777" w:rsidR="00980E5F" w:rsidRDefault="00980E5F">
            <w:pPr>
              <w:rPr>
                <w:rFonts w:ascii="宋体"/>
              </w:rPr>
            </w:pPr>
          </w:p>
        </w:tc>
        <w:tc>
          <w:tcPr>
            <w:tcW w:w="0" w:type="auto"/>
            <w:shd w:val="clear" w:color="auto" w:fill="auto"/>
            <w:vAlign w:val="bottom"/>
          </w:tcPr>
          <w:p w14:paraId="392C563E" w14:textId="77777777" w:rsidR="00980E5F" w:rsidRDefault="00980E5F">
            <w:pPr>
              <w:rPr>
                <w:rFonts w:ascii="宋体"/>
              </w:rPr>
            </w:pPr>
          </w:p>
        </w:tc>
        <w:tc>
          <w:tcPr>
            <w:tcW w:w="0" w:type="auto"/>
            <w:shd w:val="clear" w:color="auto" w:fill="auto"/>
            <w:vAlign w:val="bottom"/>
          </w:tcPr>
          <w:p w14:paraId="392C563F" w14:textId="77777777" w:rsidR="00980E5F" w:rsidRDefault="00980E5F">
            <w:pPr>
              <w:rPr>
                <w:rFonts w:ascii="宋体"/>
              </w:rPr>
            </w:pPr>
          </w:p>
        </w:tc>
        <w:tc>
          <w:tcPr>
            <w:tcW w:w="0" w:type="auto"/>
            <w:shd w:val="clear" w:color="auto" w:fill="auto"/>
            <w:vAlign w:val="bottom"/>
          </w:tcPr>
          <w:p w14:paraId="392C5640" w14:textId="77777777" w:rsidR="00980E5F" w:rsidRDefault="00980E5F">
            <w:pPr>
              <w:rPr>
                <w:rFonts w:ascii="宋体"/>
              </w:rPr>
            </w:pPr>
          </w:p>
        </w:tc>
        <w:tc>
          <w:tcPr>
            <w:tcW w:w="0" w:type="auto"/>
            <w:shd w:val="clear" w:color="auto" w:fill="auto"/>
            <w:vAlign w:val="bottom"/>
          </w:tcPr>
          <w:p w14:paraId="392C5641" w14:textId="77777777" w:rsidR="00980E5F" w:rsidRDefault="00980E5F">
            <w:pPr>
              <w:rPr>
                <w:rFonts w:ascii="宋体"/>
              </w:rPr>
            </w:pPr>
          </w:p>
        </w:tc>
        <w:tc>
          <w:tcPr>
            <w:tcW w:w="0" w:type="auto"/>
            <w:shd w:val="clear" w:color="auto" w:fill="auto"/>
            <w:vAlign w:val="bottom"/>
          </w:tcPr>
          <w:p w14:paraId="392C5642" w14:textId="77777777" w:rsidR="00980E5F" w:rsidRDefault="00980E5F">
            <w:pPr>
              <w:rPr>
                <w:rFonts w:ascii="宋体"/>
              </w:rPr>
            </w:pPr>
          </w:p>
        </w:tc>
        <w:tc>
          <w:tcPr>
            <w:tcW w:w="0" w:type="auto"/>
            <w:shd w:val="clear" w:color="auto" w:fill="auto"/>
            <w:vAlign w:val="bottom"/>
          </w:tcPr>
          <w:p w14:paraId="392C5643" w14:textId="77777777" w:rsidR="00980E5F" w:rsidRDefault="00980E5F">
            <w:pPr>
              <w:rPr>
                <w:rFonts w:ascii="宋体"/>
              </w:rPr>
            </w:pPr>
          </w:p>
        </w:tc>
        <w:tc>
          <w:tcPr>
            <w:tcW w:w="0" w:type="auto"/>
            <w:shd w:val="clear" w:color="auto" w:fill="auto"/>
            <w:vAlign w:val="bottom"/>
          </w:tcPr>
          <w:p w14:paraId="392C5644" w14:textId="77777777" w:rsidR="00980E5F" w:rsidRDefault="00980E5F">
            <w:pPr>
              <w:rPr>
                <w:rFonts w:ascii="宋体"/>
              </w:rPr>
            </w:pPr>
          </w:p>
        </w:tc>
        <w:tc>
          <w:tcPr>
            <w:tcW w:w="0" w:type="auto"/>
            <w:shd w:val="clear" w:color="auto" w:fill="auto"/>
            <w:vAlign w:val="bottom"/>
          </w:tcPr>
          <w:p w14:paraId="392C5645" w14:textId="77777777" w:rsidR="00980E5F" w:rsidRDefault="00980E5F">
            <w:pPr>
              <w:rPr>
                <w:rFonts w:ascii="宋体"/>
              </w:rPr>
            </w:pPr>
          </w:p>
        </w:tc>
        <w:tc>
          <w:tcPr>
            <w:tcW w:w="0" w:type="auto"/>
            <w:shd w:val="clear" w:color="auto" w:fill="auto"/>
            <w:vAlign w:val="bottom"/>
          </w:tcPr>
          <w:p w14:paraId="392C5646" w14:textId="77777777" w:rsidR="00980E5F" w:rsidRDefault="00980E5F">
            <w:pPr>
              <w:rPr>
                <w:rFonts w:ascii="宋体"/>
              </w:rPr>
            </w:pPr>
          </w:p>
        </w:tc>
        <w:tc>
          <w:tcPr>
            <w:tcW w:w="0" w:type="auto"/>
            <w:shd w:val="clear" w:color="auto" w:fill="auto"/>
            <w:vAlign w:val="bottom"/>
          </w:tcPr>
          <w:p w14:paraId="392C5647" w14:textId="77777777" w:rsidR="00980E5F" w:rsidRDefault="00980E5F">
            <w:pPr>
              <w:rPr>
                <w:rFonts w:ascii="宋体"/>
              </w:rPr>
            </w:pPr>
          </w:p>
        </w:tc>
      </w:tr>
      <w:tr w:rsidR="00980E5F" w14:paraId="392C5660" w14:textId="77777777">
        <w:trPr>
          <w:hidden/>
        </w:trPr>
        <w:tc>
          <w:tcPr>
            <w:tcW w:w="0" w:type="auto"/>
            <w:gridSpan w:val="3"/>
            <w:shd w:val="clear" w:color="auto" w:fill="auto"/>
            <w:vAlign w:val="bottom"/>
          </w:tcPr>
          <w:p w14:paraId="392C5649" w14:textId="77777777" w:rsidR="00980E5F" w:rsidRDefault="00980E5F">
            <w:pPr>
              <w:rPr>
                <w:rFonts w:ascii="宋体"/>
                <w:vanish/>
              </w:rPr>
            </w:pPr>
          </w:p>
        </w:tc>
        <w:tc>
          <w:tcPr>
            <w:tcW w:w="0" w:type="auto"/>
            <w:gridSpan w:val="3"/>
            <w:shd w:val="clear" w:color="auto" w:fill="auto"/>
            <w:vAlign w:val="bottom"/>
          </w:tcPr>
          <w:p w14:paraId="392C564A" w14:textId="77777777" w:rsidR="00980E5F" w:rsidRDefault="00980E5F">
            <w:pPr>
              <w:rPr>
                <w:rFonts w:ascii="宋体"/>
                <w:vanish/>
              </w:rPr>
            </w:pPr>
          </w:p>
        </w:tc>
        <w:tc>
          <w:tcPr>
            <w:tcW w:w="0" w:type="auto"/>
            <w:gridSpan w:val="3"/>
            <w:shd w:val="clear" w:color="auto" w:fill="auto"/>
            <w:vAlign w:val="bottom"/>
          </w:tcPr>
          <w:p w14:paraId="392C564B" w14:textId="77777777" w:rsidR="00980E5F" w:rsidRDefault="00980E5F">
            <w:pPr>
              <w:rPr>
                <w:rFonts w:ascii="宋体"/>
                <w:vanish/>
              </w:rPr>
            </w:pPr>
          </w:p>
        </w:tc>
        <w:tc>
          <w:tcPr>
            <w:tcW w:w="0" w:type="auto"/>
            <w:gridSpan w:val="3"/>
            <w:shd w:val="clear" w:color="auto" w:fill="auto"/>
            <w:vAlign w:val="bottom"/>
          </w:tcPr>
          <w:p w14:paraId="392C564C" w14:textId="77777777" w:rsidR="00980E5F" w:rsidRDefault="00980E5F">
            <w:pPr>
              <w:rPr>
                <w:rFonts w:ascii="宋体"/>
                <w:vanish/>
              </w:rPr>
            </w:pPr>
          </w:p>
        </w:tc>
        <w:tc>
          <w:tcPr>
            <w:tcW w:w="0" w:type="auto"/>
            <w:gridSpan w:val="3"/>
            <w:shd w:val="clear" w:color="auto" w:fill="auto"/>
            <w:vAlign w:val="bottom"/>
          </w:tcPr>
          <w:p w14:paraId="392C564D" w14:textId="77777777" w:rsidR="00980E5F" w:rsidRDefault="00980E5F">
            <w:pPr>
              <w:rPr>
                <w:rFonts w:ascii="宋体"/>
                <w:vanish/>
              </w:rPr>
            </w:pPr>
          </w:p>
        </w:tc>
        <w:tc>
          <w:tcPr>
            <w:tcW w:w="0" w:type="auto"/>
            <w:gridSpan w:val="3"/>
            <w:shd w:val="clear" w:color="auto" w:fill="auto"/>
            <w:vAlign w:val="bottom"/>
          </w:tcPr>
          <w:p w14:paraId="392C564E" w14:textId="77777777" w:rsidR="00980E5F" w:rsidRDefault="00980E5F">
            <w:pPr>
              <w:rPr>
                <w:rFonts w:ascii="宋体"/>
                <w:vanish/>
              </w:rPr>
            </w:pPr>
          </w:p>
        </w:tc>
        <w:tc>
          <w:tcPr>
            <w:tcW w:w="0" w:type="auto"/>
            <w:gridSpan w:val="3"/>
            <w:shd w:val="clear" w:color="auto" w:fill="auto"/>
            <w:vAlign w:val="bottom"/>
          </w:tcPr>
          <w:p w14:paraId="392C564F" w14:textId="77777777" w:rsidR="00980E5F" w:rsidRDefault="00980E5F">
            <w:pPr>
              <w:rPr>
                <w:rFonts w:ascii="宋体"/>
                <w:vanish/>
              </w:rPr>
            </w:pPr>
          </w:p>
        </w:tc>
        <w:tc>
          <w:tcPr>
            <w:tcW w:w="0" w:type="auto"/>
            <w:gridSpan w:val="3"/>
            <w:shd w:val="clear" w:color="auto" w:fill="auto"/>
            <w:vAlign w:val="bottom"/>
          </w:tcPr>
          <w:p w14:paraId="392C5650" w14:textId="77777777" w:rsidR="00980E5F" w:rsidRDefault="00980E5F">
            <w:pPr>
              <w:rPr>
                <w:rFonts w:ascii="宋体"/>
                <w:vanish/>
              </w:rPr>
            </w:pPr>
          </w:p>
        </w:tc>
        <w:tc>
          <w:tcPr>
            <w:tcW w:w="0" w:type="auto"/>
            <w:gridSpan w:val="3"/>
            <w:shd w:val="clear" w:color="auto" w:fill="auto"/>
            <w:vAlign w:val="bottom"/>
          </w:tcPr>
          <w:p w14:paraId="392C5651" w14:textId="77777777" w:rsidR="00980E5F" w:rsidRDefault="00980E5F">
            <w:pPr>
              <w:rPr>
                <w:rFonts w:ascii="宋体"/>
                <w:vanish/>
              </w:rPr>
            </w:pPr>
          </w:p>
        </w:tc>
        <w:tc>
          <w:tcPr>
            <w:tcW w:w="0" w:type="auto"/>
            <w:gridSpan w:val="3"/>
            <w:shd w:val="clear" w:color="auto" w:fill="auto"/>
            <w:vAlign w:val="bottom"/>
          </w:tcPr>
          <w:p w14:paraId="392C5652" w14:textId="77777777" w:rsidR="00980E5F" w:rsidRDefault="00980E5F">
            <w:pPr>
              <w:rPr>
                <w:rFonts w:ascii="宋体"/>
                <w:vanish/>
              </w:rPr>
            </w:pPr>
          </w:p>
        </w:tc>
        <w:tc>
          <w:tcPr>
            <w:tcW w:w="0" w:type="auto"/>
            <w:gridSpan w:val="3"/>
            <w:shd w:val="clear" w:color="auto" w:fill="auto"/>
            <w:vAlign w:val="bottom"/>
          </w:tcPr>
          <w:p w14:paraId="392C5653" w14:textId="77777777" w:rsidR="00980E5F" w:rsidRDefault="00980E5F">
            <w:pPr>
              <w:rPr>
                <w:rFonts w:ascii="宋体"/>
                <w:vanish/>
              </w:rPr>
            </w:pPr>
          </w:p>
        </w:tc>
        <w:tc>
          <w:tcPr>
            <w:tcW w:w="0" w:type="auto"/>
            <w:gridSpan w:val="3"/>
            <w:shd w:val="clear" w:color="auto" w:fill="auto"/>
            <w:vAlign w:val="bottom"/>
          </w:tcPr>
          <w:p w14:paraId="392C5654" w14:textId="77777777" w:rsidR="00980E5F" w:rsidRDefault="00980E5F">
            <w:pPr>
              <w:rPr>
                <w:rFonts w:ascii="宋体"/>
                <w:vanish/>
              </w:rPr>
            </w:pPr>
          </w:p>
        </w:tc>
        <w:tc>
          <w:tcPr>
            <w:tcW w:w="0" w:type="auto"/>
            <w:gridSpan w:val="3"/>
            <w:shd w:val="clear" w:color="auto" w:fill="auto"/>
            <w:vAlign w:val="bottom"/>
          </w:tcPr>
          <w:p w14:paraId="392C5655" w14:textId="77777777" w:rsidR="00980E5F" w:rsidRDefault="00980E5F">
            <w:pPr>
              <w:rPr>
                <w:rFonts w:ascii="宋体"/>
                <w:vanish/>
              </w:rPr>
            </w:pPr>
          </w:p>
        </w:tc>
        <w:tc>
          <w:tcPr>
            <w:tcW w:w="0" w:type="auto"/>
            <w:gridSpan w:val="3"/>
            <w:shd w:val="clear" w:color="auto" w:fill="auto"/>
            <w:vAlign w:val="bottom"/>
          </w:tcPr>
          <w:p w14:paraId="392C5656" w14:textId="77777777" w:rsidR="00980E5F" w:rsidRDefault="00980E5F">
            <w:pPr>
              <w:rPr>
                <w:rFonts w:ascii="宋体"/>
                <w:vanish/>
              </w:rPr>
            </w:pPr>
          </w:p>
        </w:tc>
        <w:tc>
          <w:tcPr>
            <w:tcW w:w="0" w:type="auto"/>
            <w:gridSpan w:val="3"/>
            <w:shd w:val="clear" w:color="auto" w:fill="auto"/>
            <w:vAlign w:val="bottom"/>
          </w:tcPr>
          <w:p w14:paraId="392C5657" w14:textId="77777777" w:rsidR="00980E5F" w:rsidRDefault="00980E5F">
            <w:pPr>
              <w:rPr>
                <w:rFonts w:ascii="宋体"/>
                <w:vanish/>
              </w:rPr>
            </w:pPr>
          </w:p>
        </w:tc>
        <w:tc>
          <w:tcPr>
            <w:tcW w:w="0" w:type="auto"/>
            <w:gridSpan w:val="3"/>
            <w:shd w:val="clear" w:color="auto" w:fill="auto"/>
            <w:vAlign w:val="bottom"/>
          </w:tcPr>
          <w:p w14:paraId="392C5658" w14:textId="77777777" w:rsidR="00980E5F" w:rsidRDefault="00980E5F">
            <w:pPr>
              <w:rPr>
                <w:rFonts w:ascii="宋体"/>
                <w:vanish/>
              </w:rPr>
            </w:pPr>
          </w:p>
        </w:tc>
        <w:tc>
          <w:tcPr>
            <w:tcW w:w="0" w:type="auto"/>
            <w:gridSpan w:val="3"/>
            <w:shd w:val="clear" w:color="auto" w:fill="auto"/>
            <w:vAlign w:val="bottom"/>
          </w:tcPr>
          <w:p w14:paraId="392C5659" w14:textId="77777777" w:rsidR="00980E5F" w:rsidRDefault="00980E5F">
            <w:pPr>
              <w:rPr>
                <w:rFonts w:ascii="宋体"/>
                <w:vanish/>
              </w:rPr>
            </w:pPr>
          </w:p>
        </w:tc>
        <w:tc>
          <w:tcPr>
            <w:tcW w:w="0" w:type="auto"/>
            <w:gridSpan w:val="3"/>
            <w:shd w:val="clear" w:color="auto" w:fill="auto"/>
            <w:vAlign w:val="bottom"/>
          </w:tcPr>
          <w:p w14:paraId="392C565A" w14:textId="77777777" w:rsidR="00980E5F" w:rsidRDefault="00980E5F">
            <w:pPr>
              <w:rPr>
                <w:rFonts w:ascii="宋体"/>
                <w:vanish/>
              </w:rPr>
            </w:pPr>
          </w:p>
        </w:tc>
        <w:tc>
          <w:tcPr>
            <w:tcW w:w="0" w:type="auto"/>
            <w:gridSpan w:val="3"/>
            <w:shd w:val="clear" w:color="auto" w:fill="auto"/>
            <w:vAlign w:val="bottom"/>
          </w:tcPr>
          <w:p w14:paraId="392C565B" w14:textId="77777777" w:rsidR="00980E5F" w:rsidRDefault="00980E5F">
            <w:pPr>
              <w:rPr>
                <w:rFonts w:ascii="宋体"/>
                <w:vanish/>
              </w:rPr>
            </w:pPr>
          </w:p>
        </w:tc>
        <w:tc>
          <w:tcPr>
            <w:tcW w:w="0" w:type="auto"/>
            <w:gridSpan w:val="3"/>
            <w:shd w:val="clear" w:color="auto" w:fill="auto"/>
            <w:vAlign w:val="bottom"/>
          </w:tcPr>
          <w:p w14:paraId="392C565C" w14:textId="77777777" w:rsidR="00980E5F" w:rsidRDefault="00980E5F">
            <w:pPr>
              <w:rPr>
                <w:rFonts w:ascii="宋体"/>
                <w:vanish/>
              </w:rPr>
            </w:pPr>
          </w:p>
        </w:tc>
        <w:tc>
          <w:tcPr>
            <w:tcW w:w="0" w:type="auto"/>
            <w:shd w:val="clear" w:color="auto" w:fill="auto"/>
            <w:vAlign w:val="bottom"/>
          </w:tcPr>
          <w:p w14:paraId="392C565D" w14:textId="77777777" w:rsidR="00980E5F" w:rsidRDefault="00980E5F">
            <w:pPr>
              <w:rPr>
                <w:rFonts w:ascii="宋体"/>
              </w:rPr>
            </w:pPr>
          </w:p>
        </w:tc>
        <w:tc>
          <w:tcPr>
            <w:tcW w:w="0" w:type="auto"/>
            <w:shd w:val="clear" w:color="auto" w:fill="auto"/>
            <w:vAlign w:val="bottom"/>
          </w:tcPr>
          <w:p w14:paraId="392C565E" w14:textId="77777777" w:rsidR="00980E5F" w:rsidRDefault="00980E5F">
            <w:pPr>
              <w:rPr>
                <w:rFonts w:ascii="宋体"/>
              </w:rPr>
            </w:pPr>
          </w:p>
        </w:tc>
        <w:tc>
          <w:tcPr>
            <w:tcW w:w="0" w:type="auto"/>
            <w:shd w:val="clear" w:color="auto" w:fill="auto"/>
            <w:vAlign w:val="bottom"/>
          </w:tcPr>
          <w:p w14:paraId="392C565F" w14:textId="77777777" w:rsidR="00980E5F" w:rsidRDefault="00980E5F">
            <w:pPr>
              <w:rPr>
                <w:rFonts w:ascii="宋体"/>
              </w:rPr>
            </w:pPr>
          </w:p>
        </w:tc>
      </w:tr>
      <w:tr w:rsidR="00980E5F" w14:paraId="392C5684" w14:textId="77777777">
        <w:trPr>
          <w:hidden/>
        </w:trPr>
        <w:tc>
          <w:tcPr>
            <w:tcW w:w="0" w:type="auto"/>
            <w:gridSpan w:val="3"/>
            <w:shd w:val="clear" w:color="auto" w:fill="auto"/>
            <w:vAlign w:val="bottom"/>
          </w:tcPr>
          <w:p w14:paraId="392C5661" w14:textId="77777777" w:rsidR="00980E5F" w:rsidRDefault="00980E5F">
            <w:pPr>
              <w:rPr>
                <w:rFonts w:ascii="宋体"/>
                <w:vanish/>
              </w:rPr>
            </w:pPr>
          </w:p>
        </w:tc>
        <w:tc>
          <w:tcPr>
            <w:tcW w:w="0" w:type="auto"/>
            <w:gridSpan w:val="3"/>
            <w:shd w:val="clear" w:color="auto" w:fill="auto"/>
            <w:vAlign w:val="bottom"/>
          </w:tcPr>
          <w:p w14:paraId="392C5662" w14:textId="77777777" w:rsidR="00980E5F" w:rsidRDefault="00980E5F">
            <w:pPr>
              <w:rPr>
                <w:rFonts w:ascii="宋体"/>
                <w:vanish/>
              </w:rPr>
            </w:pPr>
          </w:p>
        </w:tc>
        <w:tc>
          <w:tcPr>
            <w:tcW w:w="0" w:type="auto"/>
            <w:gridSpan w:val="3"/>
            <w:shd w:val="clear" w:color="auto" w:fill="auto"/>
            <w:vAlign w:val="bottom"/>
          </w:tcPr>
          <w:p w14:paraId="392C5663" w14:textId="77777777" w:rsidR="00980E5F" w:rsidRDefault="00980E5F">
            <w:pPr>
              <w:rPr>
                <w:rFonts w:ascii="宋体"/>
                <w:vanish/>
              </w:rPr>
            </w:pPr>
          </w:p>
        </w:tc>
        <w:tc>
          <w:tcPr>
            <w:tcW w:w="0" w:type="auto"/>
            <w:gridSpan w:val="3"/>
            <w:shd w:val="clear" w:color="auto" w:fill="auto"/>
            <w:vAlign w:val="bottom"/>
          </w:tcPr>
          <w:p w14:paraId="392C5664" w14:textId="77777777" w:rsidR="00980E5F" w:rsidRDefault="00980E5F">
            <w:pPr>
              <w:rPr>
                <w:rFonts w:ascii="宋体"/>
                <w:vanish/>
              </w:rPr>
            </w:pPr>
          </w:p>
        </w:tc>
        <w:tc>
          <w:tcPr>
            <w:tcW w:w="0" w:type="auto"/>
            <w:gridSpan w:val="3"/>
            <w:shd w:val="clear" w:color="auto" w:fill="auto"/>
            <w:vAlign w:val="bottom"/>
          </w:tcPr>
          <w:p w14:paraId="392C5665" w14:textId="77777777" w:rsidR="00980E5F" w:rsidRDefault="00980E5F">
            <w:pPr>
              <w:rPr>
                <w:rFonts w:ascii="宋体"/>
                <w:vanish/>
              </w:rPr>
            </w:pPr>
          </w:p>
        </w:tc>
        <w:tc>
          <w:tcPr>
            <w:tcW w:w="0" w:type="auto"/>
            <w:gridSpan w:val="3"/>
            <w:shd w:val="clear" w:color="auto" w:fill="auto"/>
            <w:vAlign w:val="bottom"/>
          </w:tcPr>
          <w:p w14:paraId="392C5666" w14:textId="77777777" w:rsidR="00980E5F" w:rsidRDefault="00980E5F">
            <w:pPr>
              <w:rPr>
                <w:rFonts w:ascii="宋体"/>
                <w:vanish/>
              </w:rPr>
            </w:pPr>
          </w:p>
        </w:tc>
        <w:tc>
          <w:tcPr>
            <w:tcW w:w="0" w:type="auto"/>
            <w:gridSpan w:val="3"/>
            <w:shd w:val="clear" w:color="auto" w:fill="auto"/>
            <w:vAlign w:val="bottom"/>
          </w:tcPr>
          <w:p w14:paraId="392C5667" w14:textId="77777777" w:rsidR="00980E5F" w:rsidRDefault="00980E5F">
            <w:pPr>
              <w:rPr>
                <w:rFonts w:ascii="宋体"/>
                <w:vanish/>
              </w:rPr>
            </w:pPr>
          </w:p>
        </w:tc>
        <w:tc>
          <w:tcPr>
            <w:tcW w:w="0" w:type="auto"/>
            <w:gridSpan w:val="3"/>
            <w:shd w:val="clear" w:color="auto" w:fill="auto"/>
            <w:vAlign w:val="bottom"/>
          </w:tcPr>
          <w:p w14:paraId="392C5668" w14:textId="77777777" w:rsidR="00980E5F" w:rsidRDefault="00980E5F">
            <w:pPr>
              <w:rPr>
                <w:rFonts w:ascii="宋体"/>
                <w:vanish/>
              </w:rPr>
            </w:pPr>
          </w:p>
        </w:tc>
        <w:tc>
          <w:tcPr>
            <w:tcW w:w="0" w:type="auto"/>
            <w:gridSpan w:val="3"/>
            <w:shd w:val="clear" w:color="auto" w:fill="auto"/>
            <w:vAlign w:val="bottom"/>
          </w:tcPr>
          <w:p w14:paraId="392C5669" w14:textId="77777777" w:rsidR="00980E5F" w:rsidRDefault="00980E5F">
            <w:pPr>
              <w:rPr>
                <w:rFonts w:ascii="宋体"/>
                <w:vanish/>
              </w:rPr>
            </w:pPr>
          </w:p>
        </w:tc>
        <w:tc>
          <w:tcPr>
            <w:tcW w:w="0" w:type="auto"/>
            <w:gridSpan w:val="3"/>
            <w:shd w:val="clear" w:color="auto" w:fill="auto"/>
            <w:vAlign w:val="bottom"/>
          </w:tcPr>
          <w:p w14:paraId="392C566A" w14:textId="77777777" w:rsidR="00980E5F" w:rsidRDefault="00980E5F">
            <w:pPr>
              <w:rPr>
                <w:rFonts w:ascii="宋体"/>
                <w:vanish/>
              </w:rPr>
            </w:pPr>
          </w:p>
        </w:tc>
        <w:tc>
          <w:tcPr>
            <w:tcW w:w="0" w:type="auto"/>
            <w:gridSpan w:val="3"/>
            <w:shd w:val="clear" w:color="auto" w:fill="auto"/>
            <w:vAlign w:val="bottom"/>
          </w:tcPr>
          <w:p w14:paraId="392C566B" w14:textId="77777777" w:rsidR="00980E5F" w:rsidRDefault="00980E5F">
            <w:pPr>
              <w:rPr>
                <w:rFonts w:ascii="宋体"/>
                <w:vanish/>
              </w:rPr>
            </w:pPr>
          </w:p>
        </w:tc>
        <w:tc>
          <w:tcPr>
            <w:tcW w:w="0" w:type="auto"/>
            <w:gridSpan w:val="3"/>
            <w:shd w:val="clear" w:color="auto" w:fill="auto"/>
            <w:vAlign w:val="bottom"/>
          </w:tcPr>
          <w:p w14:paraId="392C566C" w14:textId="77777777" w:rsidR="00980E5F" w:rsidRDefault="00980E5F">
            <w:pPr>
              <w:rPr>
                <w:rFonts w:ascii="宋体"/>
                <w:vanish/>
              </w:rPr>
            </w:pPr>
          </w:p>
        </w:tc>
        <w:tc>
          <w:tcPr>
            <w:tcW w:w="0" w:type="auto"/>
            <w:gridSpan w:val="3"/>
            <w:shd w:val="clear" w:color="auto" w:fill="auto"/>
            <w:vAlign w:val="bottom"/>
          </w:tcPr>
          <w:p w14:paraId="392C566D" w14:textId="77777777" w:rsidR="00980E5F" w:rsidRDefault="00980E5F">
            <w:pPr>
              <w:rPr>
                <w:rFonts w:ascii="宋体"/>
                <w:vanish/>
              </w:rPr>
            </w:pPr>
          </w:p>
        </w:tc>
        <w:tc>
          <w:tcPr>
            <w:tcW w:w="0" w:type="auto"/>
            <w:gridSpan w:val="3"/>
            <w:shd w:val="clear" w:color="auto" w:fill="auto"/>
            <w:vAlign w:val="bottom"/>
          </w:tcPr>
          <w:p w14:paraId="392C566E" w14:textId="77777777" w:rsidR="00980E5F" w:rsidRDefault="00980E5F">
            <w:pPr>
              <w:rPr>
                <w:rFonts w:ascii="宋体"/>
                <w:vanish/>
              </w:rPr>
            </w:pPr>
          </w:p>
        </w:tc>
        <w:tc>
          <w:tcPr>
            <w:tcW w:w="0" w:type="auto"/>
            <w:shd w:val="clear" w:color="auto" w:fill="auto"/>
            <w:vAlign w:val="bottom"/>
          </w:tcPr>
          <w:p w14:paraId="392C566F" w14:textId="77777777" w:rsidR="00980E5F" w:rsidRDefault="00980E5F">
            <w:pPr>
              <w:rPr>
                <w:rFonts w:ascii="宋体"/>
              </w:rPr>
            </w:pPr>
          </w:p>
        </w:tc>
        <w:tc>
          <w:tcPr>
            <w:tcW w:w="0" w:type="auto"/>
            <w:shd w:val="clear" w:color="auto" w:fill="auto"/>
            <w:vAlign w:val="bottom"/>
          </w:tcPr>
          <w:p w14:paraId="392C5670" w14:textId="77777777" w:rsidR="00980E5F" w:rsidRDefault="00980E5F">
            <w:pPr>
              <w:rPr>
                <w:rFonts w:ascii="宋体"/>
              </w:rPr>
            </w:pPr>
          </w:p>
        </w:tc>
        <w:tc>
          <w:tcPr>
            <w:tcW w:w="0" w:type="auto"/>
            <w:shd w:val="clear" w:color="auto" w:fill="auto"/>
            <w:vAlign w:val="bottom"/>
          </w:tcPr>
          <w:p w14:paraId="392C5671" w14:textId="77777777" w:rsidR="00980E5F" w:rsidRDefault="00980E5F">
            <w:pPr>
              <w:rPr>
                <w:rFonts w:ascii="宋体"/>
              </w:rPr>
            </w:pPr>
          </w:p>
        </w:tc>
        <w:tc>
          <w:tcPr>
            <w:tcW w:w="0" w:type="auto"/>
            <w:shd w:val="clear" w:color="auto" w:fill="auto"/>
            <w:vAlign w:val="bottom"/>
          </w:tcPr>
          <w:p w14:paraId="392C5672" w14:textId="77777777" w:rsidR="00980E5F" w:rsidRDefault="00980E5F">
            <w:pPr>
              <w:rPr>
                <w:rFonts w:ascii="宋体"/>
              </w:rPr>
            </w:pPr>
          </w:p>
        </w:tc>
        <w:tc>
          <w:tcPr>
            <w:tcW w:w="0" w:type="auto"/>
            <w:shd w:val="clear" w:color="auto" w:fill="auto"/>
            <w:vAlign w:val="bottom"/>
          </w:tcPr>
          <w:p w14:paraId="392C5673" w14:textId="77777777" w:rsidR="00980E5F" w:rsidRDefault="00980E5F">
            <w:pPr>
              <w:rPr>
                <w:rFonts w:ascii="宋体"/>
              </w:rPr>
            </w:pPr>
          </w:p>
        </w:tc>
        <w:tc>
          <w:tcPr>
            <w:tcW w:w="0" w:type="auto"/>
            <w:shd w:val="clear" w:color="auto" w:fill="auto"/>
            <w:vAlign w:val="bottom"/>
          </w:tcPr>
          <w:p w14:paraId="392C5674" w14:textId="77777777" w:rsidR="00980E5F" w:rsidRDefault="00980E5F">
            <w:pPr>
              <w:rPr>
                <w:rFonts w:ascii="宋体"/>
              </w:rPr>
            </w:pPr>
          </w:p>
        </w:tc>
        <w:tc>
          <w:tcPr>
            <w:tcW w:w="0" w:type="auto"/>
            <w:shd w:val="clear" w:color="auto" w:fill="auto"/>
            <w:vAlign w:val="bottom"/>
          </w:tcPr>
          <w:p w14:paraId="392C5675" w14:textId="77777777" w:rsidR="00980E5F" w:rsidRDefault="00980E5F">
            <w:pPr>
              <w:rPr>
                <w:rFonts w:ascii="宋体"/>
              </w:rPr>
            </w:pPr>
          </w:p>
        </w:tc>
        <w:tc>
          <w:tcPr>
            <w:tcW w:w="0" w:type="auto"/>
            <w:shd w:val="clear" w:color="auto" w:fill="auto"/>
            <w:vAlign w:val="bottom"/>
          </w:tcPr>
          <w:p w14:paraId="392C5676" w14:textId="77777777" w:rsidR="00980E5F" w:rsidRDefault="00980E5F">
            <w:pPr>
              <w:rPr>
                <w:rFonts w:ascii="宋体"/>
              </w:rPr>
            </w:pPr>
          </w:p>
        </w:tc>
        <w:tc>
          <w:tcPr>
            <w:tcW w:w="0" w:type="auto"/>
            <w:shd w:val="clear" w:color="auto" w:fill="auto"/>
            <w:vAlign w:val="bottom"/>
          </w:tcPr>
          <w:p w14:paraId="392C5677" w14:textId="77777777" w:rsidR="00980E5F" w:rsidRDefault="00980E5F">
            <w:pPr>
              <w:rPr>
                <w:rFonts w:ascii="宋体"/>
              </w:rPr>
            </w:pPr>
          </w:p>
        </w:tc>
        <w:tc>
          <w:tcPr>
            <w:tcW w:w="0" w:type="auto"/>
            <w:shd w:val="clear" w:color="auto" w:fill="auto"/>
            <w:vAlign w:val="bottom"/>
          </w:tcPr>
          <w:p w14:paraId="392C5678" w14:textId="77777777" w:rsidR="00980E5F" w:rsidRDefault="00980E5F">
            <w:pPr>
              <w:rPr>
                <w:rFonts w:ascii="宋体"/>
              </w:rPr>
            </w:pPr>
          </w:p>
        </w:tc>
        <w:tc>
          <w:tcPr>
            <w:tcW w:w="0" w:type="auto"/>
            <w:shd w:val="clear" w:color="auto" w:fill="auto"/>
            <w:vAlign w:val="bottom"/>
          </w:tcPr>
          <w:p w14:paraId="392C5679" w14:textId="77777777" w:rsidR="00980E5F" w:rsidRDefault="00980E5F">
            <w:pPr>
              <w:rPr>
                <w:rFonts w:ascii="宋体"/>
              </w:rPr>
            </w:pPr>
          </w:p>
        </w:tc>
        <w:tc>
          <w:tcPr>
            <w:tcW w:w="0" w:type="auto"/>
            <w:shd w:val="clear" w:color="auto" w:fill="auto"/>
            <w:vAlign w:val="bottom"/>
          </w:tcPr>
          <w:p w14:paraId="392C567A" w14:textId="77777777" w:rsidR="00980E5F" w:rsidRDefault="00980E5F">
            <w:pPr>
              <w:rPr>
                <w:rFonts w:ascii="宋体"/>
              </w:rPr>
            </w:pPr>
          </w:p>
        </w:tc>
        <w:tc>
          <w:tcPr>
            <w:tcW w:w="0" w:type="auto"/>
            <w:shd w:val="clear" w:color="auto" w:fill="auto"/>
            <w:vAlign w:val="bottom"/>
          </w:tcPr>
          <w:p w14:paraId="392C567B" w14:textId="77777777" w:rsidR="00980E5F" w:rsidRDefault="00980E5F">
            <w:pPr>
              <w:rPr>
                <w:rFonts w:ascii="宋体"/>
              </w:rPr>
            </w:pPr>
          </w:p>
        </w:tc>
        <w:tc>
          <w:tcPr>
            <w:tcW w:w="0" w:type="auto"/>
            <w:shd w:val="clear" w:color="auto" w:fill="auto"/>
            <w:vAlign w:val="bottom"/>
          </w:tcPr>
          <w:p w14:paraId="392C567C" w14:textId="77777777" w:rsidR="00980E5F" w:rsidRDefault="00980E5F">
            <w:pPr>
              <w:rPr>
                <w:rFonts w:ascii="宋体"/>
              </w:rPr>
            </w:pPr>
          </w:p>
        </w:tc>
        <w:tc>
          <w:tcPr>
            <w:tcW w:w="0" w:type="auto"/>
            <w:shd w:val="clear" w:color="auto" w:fill="auto"/>
            <w:vAlign w:val="bottom"/>
          </w:tcPr>
          <w:p w14:paraId="392C567D" w14:textId="77777777" w:rsidR="00980E5F" w:rsidRDefault="00980E5F">
            <w:pPr>
              <w:rPr>
                <w:rFonts w:ascii="宋体"/>
              </w:rPr>
            </w:pPr>
          </w:p>
        </w:tc>
        <w:tc>
          <w:tcPr>
            <w:tcW w:w="0" w:type="auto"/>
            <w:shd w:val="clear" w:color="auto" w:fill="auto"/>
            <w:vAlign w:val="bottom"/>
          </w:tcPr>
          <w:p w14:paraId="392C567E" w14:textId="77777777" w:rsidR="00980E5F" w:rsidRDefault="00980E5F">
            <w:pPr>
              <w:rPr>
                <w:rFonts w:ascii="宋体"/>
              </w:rPr>
            </w:pPr>
          </w:p>
        </w:tc>
        <w:tc>
          <w:tcPr>
            <w:tcW w:w="0" w:type="auto"/>
            <w:shd w:val="clear" w:color="auto" w:fill="auto"/>
            <w:vAlign w:val="bottom"/>
          </w:tcPr>
          <w:p w14:paraId="392C567F" w14:textId="77777777" w:rsidR="00980E5F" w:rsidRDefault="00980E5F">
            <w:pPr>
              <w:rPr>
                <w:rFonts w:ascii="宋体"/>
              </w:rPr>
            </w:pPr>
          </w:p>
        </w:tc>
        <w:tc>
          <w:tcPr>
            <w:tcW w:w="0" w:type="auto"/>
            <w:shd w:val="clear" w:color="auto" w:fill="auto"/>
            <w:vAlign w:val="bottom"/>
          </w:tcPr>
          <w:p w14:paraId="392C5680" w14:textId="77777777" w:rsidR="00980E5F" w:rsidRDefault="00980E5F">
            <w:pPr>
              <w:rPr>
                <w:rFonts w:ascii="宋体"/>
              </w:rPr>
            </w:pPr>
          </w:p>
        </w:tc>
        <w:tc>
          <w:tcPr>
            <w:tcW w:w="0" w:type="auto"/>
            <w:shd w:val="clear" w:color="auto" w:fill="auto"/>
            <w:vAlign w:val="bottom"/>
          </w:tcPr>
          <w:p w14:paraId="392C5681" w14:textId="77777777" w:rsidR="00980E5F" w:rsidRDefault="00980E5F">
            <w:pPr>
              <w:rPr>
                <w:rFonts w:ascii="宋体"/>
              </w:rPr>
            </w:pPr>
          </w:p>
        </w:tc>
        <w:tc>
          <w:tcPr>
            <w:tcW w:w="0" w:type="auto"/>
            <w:shd w:val="clear" w:color="auto" w:fill="auto"/>
            <w:vAlign w:val="bottom"/>
          </w:tcPr>
          <w:p w14:paraId="392C5682" w14:textId="77777777" w:rsidR="00980E5F" w:rsidRDefault="00980E5F">
            <w:pPr>
              <w:rPr>
                <w:rFonts w:ascii="宋体"/>
              </w:rPr>
            </w:pPr>
          </w:p>
        </w:tc>
        <w:tc>
          <w:tcPr>
            <w:tcW w:w="0" w:type="auto"/>
            <w:shd w:val="clear" w:color="auto" w:fill="auto"/>
            <w:vAlign w:val="bottom"/>
          </w:tcPr>
          <w:p w14:paraId="392C5683" w14:textId="77777777" w:rsidR="00980E5F" w:rsidRDefault="00980E5F">
            <w:pPr>
              <w:rPr>
                <w:rFonts w:ascii="宋体"/>
              </w:rPr>
            </w:pPr>
          </w:p>
        </w:tc>
      </w:tr>
      <w:tr w:rsidR="00980E5F" w14:paraId="392C569B" w14:textId="77777777">
        <w:trPr>
          <w:hidden/>
        </w:trPr>
        <w:tc>
          <w:tcPr>
            <w:tcW w:w="0" w:type="auto"/>
            <w:gridSpan w:val="3"/>
            <w:shd w:val="clear" w:color="auto" w:fill="auto"/>
            <w:vAlign w:val="bottom"/>
          </w:tcPr>
          <w:p w14:paraId="392C5685" w14:textId="77777777" w:rsidR="00980E5F" w:rsidRDefault="00980E5F">
            <w:pPr>
              <w:rPr>
                <w:rFonts w:ascii="宋体"/>
                <w:vanish/>
              </w:rPr>
            </w:pPr>
          </w:p>
        </w:tc>
        <w:tc>
          <w:tcPr>
            <w:tcW w:w="0" w:type="auto"/>
            <w:gridSpan w:val="3"/>
            <w:shd w:val="clear" w:color="auto" w:fill="auto"/>
            <w:vAlign w:val="bottom"/>
          </w:tcPr>
          <w:p w14:paraId="392C5686" w14:textId="77777777" w:rsidR="00980E5F" w:rsidRDefault="00980E5F">
            <w:pPr>
              <w:rPr>
                <w:rFonts w:ascii="宋体"/>
                <w:vanish/>
              </w:rPr>
            </w:pPr>
          </w:p>
        </w:tc>
        <w:tc>
          <w:tcPr>
            <w:tcW w:w="0" w:type="auto"/>
            <w:gridSpan w:val="3"/>
            <w:shd w:val="clear" w:color="auto" w:fill="auto"/>
            <w:vAlign w:val="bottom"/>
          </w:tcPr>
          <w:p w14:paraId="392C5687" w14:textId="77777777" w:rsidR="00980E5F" w:rsidRDefault="00980E5F">
            <w:pPr>
              <w:rPr>
                <w:rFonts w:ascii="宋体"/>
                <w:vanish/>
              </w:rPr>
            </w:pPr>
          </w:p>
        </w:tc>
        <w:tc>
          <w:tcPr>
            <w:tcW w:w="0" w:type="auto"/>
            <w:gridSpan w:val="3"/>
            <w:shd w:val="clear" w:color="auto" w:fill="auto"/>
            <w:vAlign w:val="bottom"/>
          </w:tcPr>
          <w:p w14:paraId="392C5688" w14:textId="77777777" w:rsidR="00980E5F" w:rsidRDefault="00980E5F">
            <w:pPr>
              <w:rPr>
                <w:rFonts w:ascii="宋体"/>
                <w:vanish/>
              </w:rPr>
            </w:pPr>
          </w:p>
        </w:tc>
        <w:tc>
          <w:tcPr>
            <w:tcW w:w="0" w:type="auto"/>
            <w:gridSpan w:val="3"/>
            <w:shd w:val="clear" w:color="auto" w:fill="auto"/>
            <w:vAlign w:val="bottom"/>
          </w:tcPr>
          <w:p w14:paraId="392C5689" w14:textId="77777777" w:rsidR="00980E5F" w:rsidRDefault="00980E5F">
            <w:pPr>
              <w:rPr>
                <w:rFonts w:ascii="宋体"/>
                <w:vanish/>
              </w:rPr>
            </w:pPr>
          </w:p>
        </w:tc>
        <w:tc>
          <w:tcPr>
            <w:tcW w:w="0" w:type="auto"/>
            <w:gridSpan w:val="3"/>
            <w:shd w:val="clear" w:color="auto" w:fill="auto"/>
            <w:vAlign w:val="bottom"/>
          </w:tcPr>
          <w:p w14:paraId="392C568A" w14:textId="77777777" w:rsidR="00980E5F" w:rsidRDefault="00980E5F">
            <w:pPr>
              <w:rPr>
                <w:rFonts w:ascii="宋体"/>
                <w:vanish/>
              </w:rPr>
            </w:pPr>
          </w:p>
        </w:tc>
        <w:tc>
          <w:tcPr>
            <w:tcW w:w="0" w:type="auto"/>
            <w:gridSpan w:val="3"/>
            <w:shd w:val="clear" w:color="auto" w:fill="auto"/>
            <w:vAlign w:val="bottom"/>
          </w:tcPr>
          <w:p w14:paraId="392C568B" w14:textId="77777777" w:rsidR="00980E5F" w:rsidRDefault="00980E5F">
            <w:pPr>
              <w:rPr>
                <w:rFonts w:ascii="宋体"/>
                <w:vanish/>
              </w:rPr>
            </w:pPr>
          </w:p>
        </w:tc>
        <w:tc>
          <w:tcPr>
            <w:tcW w:w="0" w:type="auto"/>
            <w:gridSpan w:val="3"/>
            <w:shd w:val="clear" w:color="auto" w:fill="auto"/>
            <w:vAlign w:val="bottom"/>
          </w:tcPr>
          <w:p w14:paraId="392C568C" w14:textId="77777777" w:rsidR="00980E5F" w:rsidRDefault="00980E5F">
            <w:pPr>
              <w:rPr>
                <w:rFonts w:ascii="宋体"/>
                <w:vanish/>
              </w:rPr>
            </w:pPr>
          </w:p>
        </w:tc>
        <w:tc>
          <w:tcPr>
            <w:tcW w:w="0" w:type="auto"/>
            <w:gridSpan w:val="3"/>
            <w:shd w:val="clear" w:color="auto" w:fill="auto"/>
            <w:vAlign w:val="bottom"/>
          </w:tcPr>
          <w:p w14:paraId="392C568D" w14:textId="77777777" w:rsidR="00980E5F" w:rsidRDefault="00980E5F">
            <w:pPr>
              <w:rPr>
                <w:rFonts w:ascii="宋体"/>
                <w:vanish/>
              </w:rPr>
            </w:pPr>
          </w:p>
        </w:tc>
        <w:tc>
          <w:tcPr>
            <w:tcW w:w="0" w:type="auto"/>
            <w:gridSpan w:val="3"/>
            <w:shd w:val="clear" w:color="auto" w:fill="auto"/>
            <w:vAlign w:val="bottom"/>
          </w:tcPr>
          <w:p w14:paraId="392C568E" w14:textId="77777777" w:rsidR="00980E5F" w:rsidRDefault="00980E5F">
            <w:pPr>
              <w:rPr>
                <w:rFonts w:ascii="宋体"/>
                <w:vanish/>
              </w:rPr>
            </w:pPr>
          </w:p>
        </w:tc>
        <w:tc>
          <w:tcPr>
            <w:tcW w:w="0" w:type="auto"/>
            <w:gridSpan w:val="3"/>
            <w:shd w:val="clear" w:color="auto" w:fill="auto"/>
            <w:vAlign w:val="bottom"/>
          </w:tcPr>
          <w:p w14:paraId="392C568F" w14:textId="77777777" w:rsidR="00980E5F" w:rsidRDefault="00980E5F">
            <w:pPr>
              <w:rPr>
                <w:rFonts w:ascii="宋体"/>
                <w:vanish/>
              </w:rPr>
            </w:pPr>
          </w:p>
        </w:tc>
        <w:tc>
          <w:tcPr>
            <w:tcW w:w="0" w:type="auto"/>
            <w:gridSpan w:val="3"/>
            <w:shd w:val="clear" w:color="auto" w:fill="auto"/>
            <w:vAlign w:val="bottom"/>
          </w:tcPr>
          <w:p w14:paraId="392C5690" w14:textId="77777777" w:rsidR="00980E5F" w:rsidRDefault="00980E5F">
            <w:pPr>
              <w:rPr>
                <w:rFonts w:ascii="宋体"/>
                <w:vanish/>
              </w:rPr>
            </w:pPr>
          </w:p>
        </w:tc>
        <w:tc>
          <w:tcPr>
            <w:tcW w:w="0" w:type="auto"/>
            <w:gridSpan w:val="3"/>
            <w:shd w:val="clear" w:color="auto" w:fill="auto"/>
            <w:vAlign w:val="bottom"/>
          </w:tcPr>
          <w:p w14:paraId="392C5691" w14:textId="77777777" w:rsidR="00980E5F" w:rsidRDefault="00980E5F">
            <w:pPr>
              <w:rPr>
                <w:rFonts w:ascii="宋体"/>
                <w:vanish/>
              </w:rPr>
            </w:pPr>
          </w:p>
        </w:tc>
        <w:tc>
          <w:tcPr>
            <w:tcW w:w="0" w:type="auto"/>
            <w:gridSpan w:val="3"/>
            <w:shd w:val="clear" w:color="auto" w:fill="auto"/>
            <w:vAlign w:val="bottom"/>
          </w:tcPr>
          <w:p w14:paraId="392C5692" w14:textId="77777777" w:rsidR="00980E5F" w:rsidRDefault="00980E5F">
            <w:pPr>
              <w:rPr>
                <w:rFonts w:ascii="宋体"/>
                <w:vanish/>
              </w:rPr>
            </w:pPr>
          </w:p>
        </w:tc>
        <w:tc>
          <w:tcPr>
            <w:tcW w:w="0" w:type="auto"/>
            <w:gridSpan w:val="3"/>
            <w:shd w:val="clear" w:color="auto" w:fill="auto"/>
            <w:vAlign w:val="bottom"/>
          </w:tcPr>
          <w:p w14:paraId="392C5693" w14:textId="77777777" w:rsidR="00980E5F" w:rsidRDefault="00980E5F">
            <w:pPr>
              <w:rPr>
                <w:rFonts w:ascii="宋体"/>
                <w:vanish/>
              </w:rPr>
            </w:pPr>
          </w:p>
        </w:tc>
        <w:tc>
          <w:tcPr>
            <w:tcW w:w="0" w:type="auto"/>
            <w:gridSpan w:val="3"/>
            <w:shd w:val="clear" w:color="auto" w:fill="auto"/>
            <w:vAlign w:val="bottom"/>
          </w:tcPr>
          <w:p w14:paraId="392C5694" w14:textId="77777777" w:rsidR="00980E5F" w:rsidRDefault="00980E5F">
            <w:pPr>
              <w:rPr>
                <w:rFonts w:ascii="宋体"/>
                <w:vanish/>
              </w:rPr>
            </w:pPr>
          </w:p>
        </w:tc>
        <w:tc>
          <w:tcPr>
            <w:tcW w:w="0" w:type="auto"/>
            <w:gridSpan w:val="3"/>
            <w:shd w:val="clear" w:color="auto" w:fill="auto"/>
            <w:vAlign w:val="bottom"/>
          </w:tcPr>
          <w:p w14:paraId="392C5695" w14:textId="77777777" w:rsidR="00980E5F" w:rsidRDefault="00980E5F">
            <w:pPr>
              <w:rPr>
                <w:rFonts w:ascii="宋体"/>
                <w:vanish/>
              </w:rPr>
            </w:pPr>
          </w:p>
        </w:tc>
        <w:tc>
          <w:tcPr>
            <w:tcW w:w="0" w:type="auto"/>
            <w:gridSpan w:val="3"/>
            <w:shd w:val="clear" w:color="auto" w:fill="auto"/>
            <w:vAlign w:val="bottom"/>
          </w:tcPr>
          <w:p w14:paraId="392C5696" w14:textId="77777777" w:rsidR="00980E5F" w:rsidRDefault="00980E5F">
            <w:pPr>
              <w:rPr>
                <w:rFonts w:ascii="宋体"/>
                <w:vanish/>
              </w:rPr>
            </w:pPr>
          </w:p>
        </w:tc>
        <w:tc>
          <w:tcPr>
            <w:tcW w:w="0" w:type="auto"/>
            <w:gridSpan w:val="3"/>
            <w:shd w:val="clear" w:color="auto" w:fill="auto"/>
            <w:vAlign w:val="bottom"/>
          </w:tcPr>
          <w:p w14:paraId="392C5697" w14:textId="77777777" w:rsidR="00980E5F" w:rsidRDefault="00980E5F">
            <w:pPr>
              <w:rPr>
                <w:rFonts w:ascii="宋体"/>
                <w:vanish/>
              </w:rPr>
            </w:pPr>
          </w:p>
        </w:tc>
        <w:tc>
          <w:tcPr>
            <w:tcW w:w="0" w:type="auto"/>
            <w:gridSpan w:val="3"/>
            <w:shd w:val="clear" w:color="auto" w:fill="auto"/>
            <w:vAlign w:val="bottom"/>
          </w:tcPr>
          <w:p w14:paraId="392C5698" w14:textId="77777777" w:rsidR="00980E5F" w:rsidRDefault="00980E5F">
            <w:pPr>
              <w:rPr>
                <w:rFonts w:ascii="宋体"/>
                <w:vanish/>
              </w:rPr>
            </w:pPr>
          </w:p>
        </w:tc>
        <w:tc>
          <w:tcPr>
            <w:tcW w:w="0" w:type="auto"/>
            <w:gridSpan w:val="2"/>
            <w:shd w:val="clear" w:color="auto" w:fill="auto"/>
            <w:vAlign w:val="bottom"/>
          </w:tcPr>
          <w:p w14:paraId="392C5699" w14:textId="77777777" w:rsidR="00980E5F" w:rsidRDefault="00980E5F">
            <w:pPr>
              <w:rPr>
                <w:rFonts w:ascii="宋体"/>
                <w:vanish/>
              </w:rPr>
            </w:pPr>
          </w:p>
        </w:tc>
        <w:tc>
          <w:tcPr>
            <w:tcW w:w="0" w:type="auto"/>
            <w:shd w:val="clear" w:color="auto" w:fill="auto"/>
            <w:vAlign w:val="bottom"/>
          </w:tcPr>
          <w:p w14:paraId="392C569A" w14:textId="77777777" w:rsidR="00980E5F" w:rsidRDefault="00980E5F">
            <w:pPr>
              <w:rPr>
                <w:rFonts w:ascii="宋体"/>
                <w:vanish/>
              </w:rPr>
            </w:pPr>
          </w:p>
        </w:tc>
      </w:tr>
      <w:tr w:rsidR="00980E5F" w14:paraId="392C56B2" w14:textId="77777777">
        <w:trPr>
          <w:hidden/>
        </w:trPr>
        <w:tc>
          <w:tcPr>
            <w:tcW w:w="0" w:type="auto"/>
            <w:gridSpan w:val="3"/>
            <w:shd w:val="clear" w:color="auto" w:fill="auto"/>
            <w:vAlign w:val="bottom"/>
          </w:tcPr>
          <w:p w14:paraId="392C569C" w14:textId="77777777" w:rsidR="00980E5F" w:rsidRDefault="00980E5F">
            <w:pPr>
              <w:rPr>
                <w:rFonts w:ascii="宋体"/>
                <w:vanish/>
              </w:rPr>
            </w:pPr>
          </w:p>
        </w:tc>
        <w:tc>
          <w:tcPr>
            <w:tcW w:w="0" w:type="auto"/>
            <w:gridSpan w:val="3"/>
            <w:shd w:val="clear" w:color="auto" w:fill="auto"/>
            <w:vAlign w:val="bottom"/>
          </w:tcPr>
          <w:p w14:paraId="392C569D" w14:textId="77777777" w:rsidR="00980E5F" w:rsidRDefault="00980E5F">
            <w:pPr>
              <w:rPr>
                <w:rFonts w:ascii="宋体"/>
                <w:vanish/>
              </w:rPr>
            </w:pPr>
          </w:p>
        </w:tc>
        <w:tc>
          <w:tcPr>
            <w:tcW w:w="0" w:type="auto"/>
            <w:gridSpan w:val="3"/>
            <w:shd w:val="clear" w:color="auto" w:fill="auto"/>
            <w:vAlign w:val="bottom"/>
          </w:tcPr>
          <w:p w14:paraId="392C569E" w14:textId="77777777" w:rsidR="00980E5F" w:rsidRDefault="00980E5F">
            <w:pPr>
              <w:rPr>
                <w:rFonts w:ascii="宋体"/>
                <w:vanish/>
              </w:rPr>
            </w:pPr>
          </w:p>
        </w:tc>
        <w:tc>
          <w:tcPr>
            <w:tcW w:w="0" w:type="auto"/>
            <w:gridSpan w:val="3"/>
            <w:shd w:val="clear" w:color="auto" w:fill="auto"/>
            <w:vAlign w:val="bottom"/>
          </w:tcPr>
          <w:p w14:paraId="392C569F" w14:textId="77777777" w:rsidR="00980E5F" w:rsidRDefault="00980E5F">
            <w:pPr>
              <w:rPr>
                <w:rFonts w:ascii="宋体"/>
                <w:vanish/>
              </w:rPr>
            </w:pPr>
          </w:p>
        </w:tc>
        <w:tc>
          <w:tcPr>
            <w:tcW w:w="0" w:type="auto"/>
            <w:gridSpan w:val="3"/>
            <w:shd w:val="clear" w:color="auto" w:fill="auto"/>
            <w:vAlign w:val="bottom"/>
          </w:tcPr>
          <w:p w14:paraId="392C56A0" w14:textId="77777777" w:rsidR="00980E5F" w:rsidRDefault="00980E5F">
            <w:pPr>
              <w:rPr>
                <w:rFonts w:ascii="宋体"/>
                <w:vanish/>
              </w:rPr>
            </w:pPr>
          </w:p>
        </w:tc>
        <w:tc>
          <w:tcPr>
            <w:tcW w:w="0" w:type="auto"/>
            <w:gridSpan w:val="3"/>
            <w:shd w:val="clear" w:color="auto" w:fill="auto"/>
            <w:vAlign w:val="bottom"/>
          </w:tcPr>
          <w:p w14:paraId="392C56A1" w14:textId="77777777" w:rsidR="00980E5F" w:rsidRDefault="00980E5F">
            <w:pPr>
              <w:rPr>
                <w:rFonts w:ascii="宋体"/>
                <w:vanish/>
              </w:rPr>
            </w:pPr>
          </w:p>
        </w:tc>
        <w:tc>
          <w:tcPr>
            <w:tcW w:w="0" w:type="auto"/>
            <w:gridSpan w:val="3"/>
            <w:shd w:val="clear" w:color="auto" w:fill="auto"/>
            <w:vAlign w:val="bottom"/>
          </w:tcPr>
          <w:p w14:paraId="392C56A2" w14:textId="77777777" w:rsidR="00980E5F" w:rsidRDefault="00980E5F">
            <w:pPr>
              <w:rPr>
                <w:rFonts w:ascii="宋体"/>
                <w:vanish/>
              </w:rPr>
            </w:pPr>
          </w:p>
        </w:tc>
        <w:tc>
          <w:tcPr>
            <w:tcW w:w="0" w:type="auto"/>
            <w:gridSpan w:val="3"/>
            <w:shd w:val="clear" w:color="auto" w:fill="auto"/>
            <w:vAlign w:val="bottom"/>
          </w:tcPr>
          <w:p w14:paraId="392C56A3" w14:textId="77777777" w:rsidR="00980E5F" w:rsidRDefault="00980E5F">
            <w:pPr>
              <w:rPr>
                <w:rFonts w:ascii="宋体"/>
                <w:vanish/>
              </w:rPr>
            </w:pPr>
          </w:p>
        </w:tc>
        <w:tc>
          <w:tcPr>
            <w:tcW w:w="0" w:type="auto"/>
            <w:gridSpan w:val="3"/>
            <w:shd w:val="clear" w:color="auto" w:fill="auto"/>
            <w:vAlign w:val="bottom"/>
          </w:tcPr>
          <w:p w14:paraId="392C56A4" w14:textId="77777777" w:rsidR="00980E5F" w:rsidRDefault="00980E5F">
            <w:pPr>
              <w:rPr>
                <w:rFonts w:ascii="宋体"/>
                <w:vanish/>
              </w:rPr>
            </w:pPr>
          </w:p>
        </w:tc>
        <w:tc>
          <w:tcPr>
            <w:tcW w:w="0" w:type="auto"/>
            <w:gridSpan w:val="3"/>
            <w:shd w:val="clear" w:color="auto" w:fill="auto"/>
            <w:vAlign w:val="bottom"/>
          </w:tcPr>
          <w:p w14:paraId="392C56A5" w14:textId="77777777" w:rsidR="00980E5F" w:rsidRDefault="00980E5F">
            <w:pPr>
              <w:rPr>
                <w:rFonts w:ascii="宋体"/>
                <w:vanish/>
              </w:rPr>
            </w:pPr>
          </w:p>
        </w:tc>
        <w:tc>
          <w:tcPr>
            <w:tcW w:w="0" w:type="auto"/>
            <w:gridSpan w:val="3"/>
            <w:shd w:val="clear" w:color="auto" w:fill="auto"/>
            <w:vAlign w:val="bottom"/>
          </w:tcPr>
          <w:p w14:paraId="392C56A6" w14:textId="77777777" w:rsidR="00980E5F" w:rsidRDefault="00980E5F">
            <w:pPr>
              <w:rPr>
                <w:rFonts w:ascii="宋体"/>
                <w:vanish/>
              </w:rPr>
            </w:pPr>
          </w:p>
        </w:tc>
        <w:tc>
          <w:tcPr>
            <w:tcW w:w="0" w:type="auto"/>
            <w:gridSpan w:val="3"/>
            <w:shd w:val="clear" w:color="auto" w:fill="auto"/>
            <w:vAlign w:val="bottom"/>
          </w:tcPr>
          <w:p w14:paraId="392C56A7" w14:textId="77777777" w:rsidR="00980E5F" w:rsidRDefault="00980E5F">
            <w:pPr>
              <w:rPr>
                <w:rFonts w:ascii="宋体"/>
                <w:vanish/>
              </w:rPr>
            </w:pPr>
          </w:p>
        </w:tc>
        <w:tc>
          <w:tcPr>
            <w:tcW w:w="0" w:type="auto"/>
            <w:gridSpan w:val="3"/>
            <w:shd w:val="clear" w:color="auto" w:fill="auto"/>
            <w:vAlign w:val="bottom"/>
          </w:tcPr>
          <w:p w14:paraId="392C56A8" w14:textId="77777777" w:rsidR="00980E5F" w:rsidRDefault="00980E5F">
            <w:pPr>
              <w:rPr>
                <w:rFonts w:ascii="宋体"/>
                <w:vanish/>
              </w:rPr>
            </w:pPr>
          </w:p>
        </w:tc>
        <w:tc>
          <w:tcPr>
            <w:tcW w:w="0" w:type="auto"/>
            <w:gridSpan w:val="3"/>
            <w:shd w:val="clear" w:color="auto" w:fill="auto"/>
            <w:vAlign w:val="bottom"/>
          </w:tcPr>
          <w:p w14:paraId="392C56A9" w14:textId="77777777" w:rsidR="00980E5F" w:rsidRDefault="00980E5F">
            <w:pPr>
              <w:rPr>
                <w:rFonts w:ascii="宋体"/>
                <w:vanish/>
              </w:rPr>
            </w:pPr>
          </w:p>
        </w:tc>
        <w:tc>
          <w:tcPr>
            <w:tcW w:w="0" w:type="auto"/>
            <w:gridSpan w:val="3"/>
            <w:shd w:val="clear" w:color="auto" w:fill="auto"/>
            <w:vAlign w:val="bottom"/>
          </w:tcPr>
          <w:p w14:paraId="392C56AA" w14:textId="77777777" w:rsidR="00980E5F" w:rsidRDefault="00980E5F">
            <w:pPr>
              <w:rPr>
                <w:rFonts w:ascii="宋体"/>
                <w:vanish/>
              </w:rPr>
            </w:pPr>
          </w:p>
        </w:tc>
        <w:tc>
          <w:tcPr>
            <w:tcW w:w="0" w:type="auto"/>
            <w:gridSpan w:val="3"/>
            <w:shd w:val="clear" w:color="auto" w:fill="auto"/>
            <w:vAlign w:val="bottom"/>
          </w:tcPr>
          <w:p w14:paraId="392C56AB" w14:textId="77777777" w:rsidR="00980E5F" w:rsidRDefault="00980E5F">
            <w:pPr>
              <w:rPr>
                <w:rFonts w:ascii="宋体"/>
                <w:vanish/>
              </w:rPr>
            </w:pPr>
          </w:p>
        </w:tc>
        <w:tc>
          <w:tcPr>
            <w:tcW w:w="0" w:type="auto"/>
            <w:gridSpan w:val="3"/>
            <w:shd w:val="clear" w:color="auto" w:fill="auto"/>
            <w:vAlign w:val="bottom"/>
          </w:tcPr>
          <w:p w14:paraId="392C56AC" w14:textId="77777777" w:rsidR="00980E5F" w:rsidRDefault="00980E5F">
            <w:pPr>
              <w:rPr>
                <w:rFonts w:ascii="宋体"/>
                <w:vanish/>
              </w:rPr>
            </w:pPr>
          </w:p>
        </w:tc>
        <w:tc>
          <w:tcPr>
            <w:tcW w:w="0" w:type="auto"/>
            <w:gridSpan w:val="3"/>
            <w:shd w:val="clear" w:color="auto" w:fill="auto"/>
            <w:vAlign w:val="bottom"/>
          </w:tcPr>
          <w:p w14:paraId="392C56AD" w14:textId="77777777" w:rsidR="00980E5F" w:rsidRDefault="00980E5F">
            <w:pPr>
              <w:rPr>
                <w:rFonts w:ascii="宋体"/>
                <w:vanish/>
              </w:rPr>
            </w:pPr>
          </w:p>
        </w:tc>
        <w:tc>
          <w:tcPr>
            <w:tcW w:w="0" w:type="auto"/>
            <w:gridSpan w:val="3"/>
            <w:shd w:val="clear" w:color="auto" w:fill="auto"/>
            <w:vAlign w:val="bottom"/>
          </w:tcPr>
          <w:p w14:paraId="392C56AE" w14:textId="77777777" w:rsidR="00980E5F" w:rsidRDefault="00980E5F">
            <w:pPr>
              <w:rPr>
                <w:rFonts w:ascii="宋体"/>
                <w:vanish/>
              </w:rPr>
            </w:pPr>
          </w:p>
        </w:tc>
        <w:tc>
          <w:tcPr>
            <w:tcW w:w="0" w:type="auto"/>
            <w:gridSpan w:val="3"/>
            <w:shd w:val="clear" w:color="auto" w:fill="auto"/>
            <w:vAlign w:val="bottom"/>
          </w:tcPr>
          <w:p w14:paraId="392C56AF" w14:textId="77777777" w:rsidR="00980E5F" w:rsidRDefault="00980E5F">
            <w:pPr>
              <w:rPr>
                <w:rFonts w:ascii="宋体"/>
                <w:vanish/>
              </w:rPr>
            </w:pPr>
          </w:p>
        </w:tc>
        <w:tc>
          <w:tcPr>
            <w:tcW w:w="0" w:type="auto"/>
            <w:gridSpan w:val="2"/>
            <w:shd w:val="clear" w:color="auto" w:fill="auto"/>
            <w:vAlign w:val="bottom"/>
          </w:tcPr>
          <w:p w14:paraId="392C56B0" w14:textId="77777777" w:rsidR="00980E5F" w:rsidRDefault="00980E5F">
            <w:pPr>
              <w:rPr>
                <w:rFonts w:ascii="宋体"/>
                <w:vanish/>
              </w:rPr>
            </w:pPr>
          </w:p>
        </w:tc>
        <w:tc>
          <w:tcPr>
            <w:tcW w:w="0" w:type="auto"/>
            <w:shd w:val="clear" w:color="auto" w:fill="auto"/>
            <w:vAlign w:val="bottom"/>
          </w:tcPr>
          <w:p w14:paraId="392C56B1" w14:textId="77777777" w:rsidR="00980E5F" w:rsidRDefault="00980E5F">
            <w:pPr>
              <w:rPr>
                <w:rFonts w:ascii="宋体"/>
                <w:vanish/>
              </w:rPr>
            </w:pPr>
          </w:p>
        </w:tc>
      </w:tr>
      <w:tr w:rsidR="00980E5F" w14:paraId="392C56C9" w14:textId="77777777">
        <w:trPr>
          <w:hidden/>
        </w:trPr>
        <w:tc>
          <w:tcPr>
            <w:tcW w:w="0" w:type="auto"/>
            <w:gridSpan w:val="3"/>
            <w:shd w:val="clear" w:color="auto" w:fill="auto"/>
            <w:vAlign w:val="bottom"/>
          </w:tcPr>
          <w:p w14:paraId="392C56B3" w14:textId="77777777" w:rsidR="00980E5F" w:rsidRDefault="00980E5F">
            <w:pPr>
              <w:rPr>
                <w:rFonts w:ascii="宋体"/>
                <w:vanish/>
              </w:rPr>
            </w:pPr>
          </w:p>
        </w:tc>
        <w:tc>
          <w:tcPr>
            <w:tcW w:w="0" w:type="auto"/>
            <w:gridSpan w:val="3"/>
            <w:shd w:val="clear" w:color="auto" w:fill="auto"/>
            <w:vAlign w:val="bottom"/>
          </w:tcPr>
          <w:p w14:paraId="392C56B4" w14:textId="77777777" w:rsidR="00980E5F" w:rsidRDefault="00980E5F">
            <w:pPr>
              <w:rPr>
                <w:rFonts w:ascii="宋体"/>
                <w:vanish/>
              </w:rPr>
            </w:pPr>
          </w:p>
        </w:tc>
        <w:tc>
          <w:tcPr>
            <w:tcW w:w="0" w:type="auto"/>
            <w:gridSpan w:val="3"/>
            <w:shd w:val="clear" w:color="auto" w:fill="auto"/>
            <w:vAlign w:val="bottom"/>
          </w:tcPr>
          <w:p w14:paraId="392C56B5" w14:textId="77777777" w:rsidR="00980E5F" w:rsidRDefault="00980E5F">
            <w:pPr>
              <w:rPr>
                <w:rFonts w:ascii="宋体"/>
                <w:vanish/>
              </w:rPr>
            </w:pPr>
          </w:p>
        </w:tc>
        <w:tc>
          <w:tcPr>
            <w:tcW w:w="0" w:type="auto"/>
            <w:gridSpan w:val="3"/>
            <w:shd w:val="clear" w:color="auto" w:fill="auto"/>
            <w:vAlign w:val="bottom"/>
          </w:tcPr>
          <w:p w14:paraId="392C56B6" w14:textId="77777777" w:rsidR="00980E5F" w:rsidRDefault="00980E5F">
            <w:pPr>
              <w:rPr>
                <w:rFonts w:ascii="宋体"/>
                <w:vanish/>
              </w:rPr>
            </w:pPr>
          </w:p>
        </w:tc>
        <w:tc>
          <w:tcPr>
            <w:tcW w:w="0" w:type="auto"/>
            <w:gridSpan w:val="3"/>
            <w:shd w:val="clear" w:color="auto" w:fill="auto"/>
            <w:vAlign w:val="bottom"/>
          </w:tcPr>
          <w:p w14:paraId="392C56B7" w14:textId="77777777" w:rsidR="00980E5F" w:rsidRDefault="00980E5F">
            <w:pPr>
              <w:rPr>
                <w:rFonts w:ascii="宋体"/>
                <w:vanish/>
              </w:rPr>
            </w:pPr>
          </w:p>
        </w:tc>
        <w:tc>
          <w:tcPr>
            <w:tcW w:w="0" w:type="auto"/>
            <w:gridSpan w:val="3"/>
            <w:shd w:val="clear" w:color="auto" w:fill="auto"/>
            <w:vAlign w:val="bottom"/>
          </w:tcPr>
          <w:p w14:paraId="392C56B8" w14:textId="77777777" w:rsidR="00980E5F" w:rsidRDefault="00980E5F">
            <w:pPr>
              <w:rPr>
                <w:rFonts w:ascii="宋体"/>
                <w:vanish/>
              </w:rPr>
            </w:pPr>
          </w:p>
        </w:tc>
        <w:tc>
          <w:tcPr>
            <w:tcW w:w="0" w:type="auto"/>
            <w:gridSpan w:val="3"/>
            <w:shd w:val="clear" w:color="auto" w:fill="auto"/>
            <w:vAlign w:val="bottom"/>
          </w:tcPr>
          <w:p w14:paraId="392C56B9" w14:textId="77777777" w:rsidR="00980E5F" w:rsidRDefault="00980E5F">
            <w:pPr>
              <w:rPr>
                <w:rFonts w:ascii="宋体"/>
                <w:vanish/>
              </w:rPr>
            </w:pPr>
          </w:p>
        </w:tc>
        <w:tc>
          <w:tcPr>
            <w:tcW w:w="0" w:type="auto"/>
            <w:gridSpan w:val="3"/>
            <w:shd w:val="clear" w:color="auto" w:fill="auto"/>
            <w:vAlign w:val="bottom"/>
          </w:tcPr>
          <w:p w14:paraId="392C56BA" w14:textId="77777777" w:rsidR="00980E5F" w:rsidRDefault="00980E5F">
            <w:pPr>
              <w:rPr>
                <w:rFonts w:ascii="宋体"/>
                <w:vanish/>
              </w:rPr>
            </w:pPr>
          </w:p>
        </w:tc>
        <w:tc>
          <w:tcPr>
            <w:tcW w:w="0" w:type="auto"/>
            <w:gridSpan w:val="3"/>
            <w:shd w:val="clear" w:color="auto" w:fill="auto"/>
            <w:vAlign w:val="bottom"/>
          </w:tcPr>
          <w:p w14:paraId="392C56BB" w14:textId="77777777" w:rsidR="00980E5F" w:rsidRDefault="00980E5F">
            <w:pPr>
              <w:rPr>
                <w:rFonts w:ascii="宋体"/>
                <w:vanish/>
              </w:rPr>
            </w:pPr>
          </w:p>
        </w:tc>
        <w:tc>
          <w:tcPr>
            <w:tcW w:w="0" w:type="auto"/>
            <w:gridSpan w:val="3"/>
            <w:shd w:val="clear" w:color="auto" w:fill="auto"/>
            <w:vAlign w:val="bottom"/>
          </w:tcPr>
          <w:p w14:paraId="392C56BC" w14:textId="77777777" w:rsidR="00980E5F" w:rsidRDefault="00980E5F">
            <w:pPr>
              <w:rPr>
                <w:rFonts w:ascii="宋体"/>
                <w:vanish/>
              </w:rPr>
            </w:pPr>
          </w:p>
        </w:tc>
        <w:tc>
          <w:tcPr>
            <w:tcW w:w="0" w:type="auto"/>
            <w:gridSpan w:val="3"/>
            <w:shd w:val="clear" w:color="auto" w:fill="auto"/>
            <w:vAlign w:val="bottom"/>
          </w:tcPr>
          <w:p w14:paraId="392C56BD" w14:textId="77777777" w:rsidR="00980E5F" w:rsidRDefault="00980E5F">
            <w:pPr>
              <w:rPr>
                <w:rFonts w:ascii="宋体"/>
                <w:vanish/>
              </w:rPr>
            </w:pPr>
          </w:p>
        </w:tc>
        <w:tc>
          <w:tcPr>
            <w:tcW w:w="0" w:type="auto"/>
            <w:gridSpan w:val="3"/>
            <w:shd w:val="clear" w:color="auto" w:fill="auto"/>
            <w:vAlign w:val="bottom"/>
          </w:tcPr>
          <w:p w14:paraId="392C56BE" w14:textId="77777777" w:rsidR="00980E5F" w:rsidRDefault="00980E5F">
            <w:pPr>
              <w:rPr>
                <w:rFonts w:ascii="宋体"/>
                <w:vanish/>
              </w:rPr>
            </w:pPr>
          </w:p>
        </w:tc>
        <w:tc>
          <w:tcPr>
            <w:tcW w:w="0" w:type="auto"/>
            <w:gridSpan w:val="3"/>
            <w:shd w:val="clear" w:color="auto" w:fill="auto"/>
            <w:vAlign w:val="bottom"/>
          </w:tcPr>
          <w:p w14:paraId="392C56BF" w14:textId="77777777" w:rsidR="00980E5F" w:rsidRDefault="00980E5F">
            <w:pPr>
              <w:rPr>
                <w:rFonts w:ascii="宋体"/>
                <w:vanish/>
              </w:rPr>
            </w:pPr>
          </w:p>
        </w:tc>
        <w:tc>
          <w:tcPr>
            <w:tcW w:w="0" w:type="auto"/>
            <w:gridSpan w:val="3"/>
            <w:shd w:val="clear" w:color="auto" w:fill="auto"/>
            <w:vAlign w:val="bottom"/>
          </w:tcPr>
          <w:p w14:paraId="392C56C0" w14:textId="77777777" w:rsidR="00980E5F" w:rsidRDefault="00980E5F">
            <w:pPr>
              <w:rPr>
                <w:rFonts w:ascii="宋体"/>
                <w:vanish/>
              </w:rPr>
            </w:pPr>
          </w:p>
        </w:tc>
        <w:tc>
          <w:tcPr>
            <w:tcW w:w="0" w:type="auto"/>
            <w:gridSpan w:val="3"/>
            <w:shd w:val="clear" w:color="auto" w:fill="auto"/>
            <w:vAlign w:val="bottom"/>
          </w:tcPr>
          <w:p w14:paraId="392C56C1" w14:textId="77777777" w:rsidR="00980E5F" w:rsidRDefault="00980E5F">
            <w:pPr>
              <w:rPr>
                <w:rFonts w:ascii="宋体"/>
                <w:vanish/>
              </w:rPr>
            </w:pPr>
          </w:p>
        </w:tc>
        <w:tc>
          <w:tcPr>
            <w:tcW w:w="0" w:type="auto"/>
            <w:gridSpan w:val="3"/>
            <w:shd w:val="clear" w:color="auto" w:fill="auto"/>
            <w:vAlign w:val="bottom"/>
          </w:tcPr>
          <w:p w14:paraId="392C56C2" w14:textId="77777777" w:rsidR="00980E5F" w:rsidRDefault="00980E5F">
            <w:pPr>
              <w:rPr>
                <w:rFonts w:ascii="宋体"/>
                <w:vanish/>
              </w:rPr>
            </w:pPr>
          </w:p>
        </w:tc>
        <w:tc>
          <w:tcPr>
            <w:tcW w:w="0" w:type="auto"/>
            <w:gridSpan w:val="3"/>
            <w:shd w:val="clear" w:color="auto" w:fill="auto"/>
            <w:vAlign w:val="bottom"/>
          </w:tcPr>
          <w:p w14:paraId="392C56C3" w14:textId="77777777" w:rsidR="00980E5F" w:rsidRDefault="00980E5F">
            <w:pPr>
              <w:rPr>
                <w:rFonts w:ascii="宋体"/>
                <w:vanish/>
              </w:rPr>
            </w:pPr>
          </w:p>
        </w:tc>
        <w:tc>
          <w:tcPr>
            <w:tcW w:w="0" w:type="auto"/>
            <w:gridSpan w:val="3"/>
            <w:shd w:val="clear" w:color="auto" w:fill="auto"/>
            <w:vAlign w:val="bottom"/>
          </w:tcPr>
          <w:p w14:paraId="392C56C4" w14:textId="77777777" w:rsidR="00980E5F" w:rsidRDefault="00980E5F">
            <w:pPr>
              <w:rPr>
                <w:rFonts w:ascii="宋体"/>
                <w:vanish/>
              </w:rPr>
            </w:pPr>
          </w:p>
        </w:tc>
        <w:tc>
          <w:tcPr>
            <w:tcW w:w="0" w:type="auto"/>
            <w:gridSpan w:val="3"/>
            <w:shd w:val="clear" w:color="auto" w:fill="auto"/>
            <w:vAlign w:val="bottom"/>
          </w:tcPr>
          <w:p w14:paraId="392C56C5" w14:textId="77777777" w:rsidR="00980E5F" w:rsidRDefault="00980E5F">
            <w:pPr>
              <w:rPr>
                <w:rFonts w:ascii="宋体"/>
                <w:vanish/>
              </w:rPr>
            </w:pPr>
          </w:p>
        </w:tc>
        <w:tc>
          <w:tcPr>
            <w:tcW w:w="0" w:type="auto"/>
            <w:gridSpan w:val="3"/>
            <w:shd w:val="clear" w:color="auto" w:fill="auto"/>
            <w:vAlign w:val="bottom"/>
          </w:tcPr>
          <w:p w14:paraId="392C56C6" w14:textId="77777777" w:rsidR="00980E5F" w:rsidRDefault="00980E5F">
            <w:pPr>
              <w:rPr>
                <w:rFonts w:ascii="宋体"/>
                <w:vanish/>
              </w:rPr>
            </w:pPr>
          </w:p>
        </w:tc>
        <w:tc>
          <w:tcPr>
            <w:tcW w:w="0" w:type="auto"/>
            <w:gridSpan w:val="2"/>
            <w:shd w:val="clear" w:color="auto" w:fill="auto"/>
            <w:vAlign w:val="bottom"/>
          </w:tcPr>
          <w:p w14:paraId="392C56C7" w14:textId="77777777" w:rsidR="00980E5F" w:rsidRDefault="00980E5F">
            <w:pPr>
              <w:rPr>
                <w:rFonts w:ascii="宋体"/>
                <w:vanish/>
              </w:rPr>
            </w:pPr>
          </w:p>
        </w:tc>
        <w:tc>
          <w:tcPr>
            <w:tcW w:w="0" w:type="auto"/>
            <w:shd w:val="clear" w:color="auto" w:fill="auto"/>
            <w:vAlign w:val="bottom"/>
          </w:tcPr>
          <w:p w14:paraId="392C56C8" w14:textId="77777777" w:rsidR="00980E5F" w:rsidRDefault="00980E5F">
            <w:pPr>
              <w:rPr>
                <w:rFonts w:ascii="宋体"/>
                <w:vanish/>
              </w:rPr>
            </w:pPr>
          </w:p>
        </w:tc>
      </w:tr>
      <w:tr w:rsidR="00980E5F" w14:paraId="392C56E0" w14:textId="77777777">
        <w:trPr>
          <w:hidden/>
        </w:trPr>
        <w:tc>
          <w:tcPr>
            <w:tcW w:w="0" w:type="auto"/>
            <w:gridSpan w:val="3"/>
            <w:shd w:val="clear" w:color="auto" w:fill="auto"/>
            <w:vAlign w:val="bottom"/>
          </w:tcPr>
          <w:p w14:paraId="392C56CA" w14:textId="77777777" w:rsidR="00980E5F" w:rsidRDefault="00980E5F">
            <w:pPr>
              <w:rPr>
                <w:rFonts w:ascii="宋体"/>
                <w:vanish/>
              </w:rPr>
            </w:pPr>
          </w:p>
        </w:tc>
        <w:tc>
          <w:tcPr>
            <w:tcW w:w="0" w:type="auto"/>
            <w:gridSpan w:val="3"/>
            <w:shd w:val="clear" w:color="auto" w:fill="auto"/>
            <w:vAlign w:val="bottom"/>
          </w:tcPr>
          <w:p w14:paraId="392C56CB" w14:textId="77777777" w:rsidR="00980E5F" w:rsidRDefault="00980E5F">
            <w:pPr>
              <w:rPr>
                <w:rFonts w:ascii="宋体"/>
                <w:vanish/>
              </w:rPr>
            </w:pPr>
          </w:p>
        </w:tc>
        <w:tc>
          <w:tcPr>
            <w:tcW w:w="0" w:type="auto"/>
            <w:gridSpan w:val="3"/>
            <w:shd w:val="clear" w:color="auto" w:fill="auto"/>
            <w:vAlign w:val="bottom"/>
          </w:tcPr>
          <w:p w14:paraId="392C56CC" w14:textId="77777777" w:rsidR="00980E5F" w:rsidRDefault="00980E5F">
            <w:pPr>
              <w:rPr>
                <w:rFonts w:ascii="宋体"/>
                <w:vanish/>
              </w:rPr>
            </w:pPr>
          </w:p>
        </w:tc>
        <w:tc>
          <w:tcPr>
            <w:tcW w:w="0" w:type="auto"/>
            <w:gridSpan w:val="3"/>
            <w:shd w:val="clear" w:color="auto" w:fill="auto"/>
            <w:vAlign w:val="bottom"/>
          </w:tcPr>
          <w:p w14:paraId="392C56CD" w14:textId="77777777" w:rsidR="00980E5F" w:rsidRDefault="00980E5F">
            <w:pPr>
              <w:rPr>
                <w:rFonts w:ascii="宋体"/>
                <w:vanish/>
              </w:rPr>
            </w:pPr>
          </w:p>
        </w:tc>
        <w:tc>
          <w:tcPr>
            <w:tcW w:w="0" w:type="auto"/>
            <w:gridSpan w:val="3"/>
            <w:shd w:val="clear" w:color="auto" w:fill="auto"/>
            <w:vAlign w:val="bottom"/>
          </w:tcPr>
          <w:p w14:paraId="392C56CE" w14:textId="77777777" w:rsidR="00980E5F" w:rsidRDefault="00980E5F">
            <w:pPr>
              <w:rPr>
                <w:rFonts w:ascii="宋体"/>
                <w:vanish/>
              </w:rPr>
            </w:pPr>
          </w:p>
        </w:tc>
        <w:tc>
          <w:tcPr>
            <w:tcW w:w="0" w:type="auto"/>
            <w:gridSpan w:val="3"/>
            <w:shd w:val="clear" w:color="auto" w:fill="auto"/>
            <w:vAlign w:val="bottom"/>
          </w:tcPr>
          <w:p w14:paraId="392C56CF" w14:textId="77777777" w:rsidR="00980E5F" w:rsidRDefault="00980E5F">
            <w:pPr>
              <w:rPr>
                <w:rFonts w:ascii="宋体"/>
                <w:vanish/>
              </w:rPr>
            </w:pPr>
          </w:p>
        </w:tc>
        <w:tc>
          <w:tcPr>
            <w:tcW w:w="0" w:type="auto"/>
            <w:gridSpan w:val="3"/>
            <w:shd w:val="clear" w:color="auto" w:fill="auto"/>
            <w:vAlign w:val="bottom"/>
          </w:tcPr>
          <w:p w14:paraId="392C56D0" w14:textId="77777777" w:rsidR="00980E5F" w:rsidRDefault="00980E5F">
            <w:pPr>
              <w:rPr>
                <w:rFonts w:ascii="宋体"/>
                <w:vanish/>
              </w:rPr>
            </w:pPr>
          </w:p>
        </w:tc>
        <w:tc>
          <w:tcPr>
            <w:tcW w:w="0" w:type="auto"/>
            <w:gridSpan w:val="3"/>
            <w:shd w:val="clear" w:color="auto" w:fill="auto"/>
            <w:vAlign w:val="bottom"/>
          </w:tcPr>
          <w:p w14:paraId="392C56D1" w14:textId="77777777" w:rsidR="00980E5F" w:rsidRDefault="00980E5F">
            <w:pPr>
              <w:rPr>
                <w:rFonts w:ascii="宋体"/>
                <w:vanish/>
              </w:rPr>
            </w:pPr>
          </w:p>
        </w:tc>
        <w:tc>
          <w:tcPr>
            <w:tcW w:w="0" w:type="auto"/>
            <w:gridSpan w:val="3"/>
            <w:shd w:val="clear" w:color="auto" w:fill="auto"/>
            <w:vAlign w:val="bottom"/>
          </w:tcPr>
          <w:p w14:paraId="392C56D2" w14:textId="77777777" w:rsidR="00980E5F" w:rsidRDefault="00980E5F">
            <w:pPr>
              <w:rPr>
                <w:rFonts w:ascii="宋体"/>
                <w:vanish/>
              </w:rPr>
            </w:pPr>
          </w:p>
        </w:tc>
        <w:tc>
          <w:tcPr>
            <w:tcW w:w="0" w:type="auto"/>
            <w:gridSpan w:val="3"/>
            <w:shd w:val="clear" w:color="auto" w:fill="auto"/>
            <w:vAlign w:val="bottom"/>
          </w:tcPr>
          <w:p w14:paraId="392C56D3" w14:textId="77777777" w:rsidR="00980E5F" w:rsidRDefault="00980E5F">
            <w:pPr>
              <w:rPr>
                <w:rFonts w:ascii="宋体"/>
                <w:vanish/>
              </w:rPr>
            </w:pPr>
          </w:p>
        </w:tc>
        <w:tc>
          <w:tcPr>
            <w:tcW w:w="0" w:type="auto"/>
            <w:gridSpan w:val="3"/>
            <w:shd w:val="clear" w:color="auto" w:fill="auto"/>
            <w:vAlign w:val="bottom"/>
          </w:tcPr>
          <w:p w14:paraId="392C56D4" w14:textId="77777777" w:rsidR="00980E5F" w:rsidRDefault="00980E5F">
            <w:pPr>
              <w:rPr>
                <w:rFonts w:ascii="宋体"/>
                <w:vanish/>
              </w:rPr>
            </w:pPr>
          </w:p>
        </w:tc>
        <w:tc>
          <w:tcPr>
            <w:tcW w:w="0" w:type="auto"/>
            <w:gridSpan w:val="3"/>
            <w:shd w:val="clear" w:color="auto" w:fill="auto"/>
            <w:vAlign w:val="bottom"/>
          </w:tcPr>
          <w:p w14:paraId="392C56D5" w14:textId="77777777" w:rsidR="00980E5F" w:rsidRDefault="00980E5F">
            <w:pPr>
              <w:rPr>
                <w:rFonts w:ascii="宋体"/>
                <w:vanish/>
              </w:rPr>
            </w:pPr>
          </w:p>
        </w:tc>
        <w:tc>
          <w:tcPr>
            <w:tcW w:w="0" w:type="auto"/>
            <w:gridSpan w:val="3"/>
            <w:shd w:val="clear" w:color="auto" w:fill="auto"/>
            <w:vAlign w:val="bottom"/>
          </w:tcPr>
          <w:p w14:paraId="392C56D6" w14:textId="77777777" w:rsidR="00980E5F" w:rsidRDefault="00980E5F">
            <w:pPr>
              <w:rPr>
                <w:rFonts w:ascii="宋体"/>
                <w:vanish/>
              </w:rPr>
            </w:pPr>
          </w:p>
        </w:tc>
        <w:tc>
          <w:tcPr>
            <w:tcW w:w="0" w:type="auto"/>
            <w:gridSpan w:val="3"/>
            <w:shd w:val="clear" w:color="auto" w:fill="auto"/>
            <w:vAlign w:val="bottom"/>
          </w:tcPr>
          <w:p w14:paraId="392C56D7" w14:textId="77777777" w:rsidR="00980E5F" w:rsidRDefault="00980E5F">
            <w:pPr>
              <w:rPr>
                <w:rFonts w:ascii="宋体"/>
                <w:vanish/>
              </w:rPr>
            </w:pPr>
          </w:p>
        </w:tc>
        <w:tc>
          <w:tcPr>
            <w:tcW w:w="0" w:type="auto"/>
            <w:gridSpan w:val="3"/>
            <w:shd w:val="clear" w:color="auto" w:fill="auto"/>
            <w:vAlign w:val="bottom"/>
          </w:tcPr>
          <w:p w14:paraId="392C56D8" w14:textId="77777777" w:rsidR="00980E5F" w:rsidRDefault="00980E5F">
            <w:pPr>
              <w:rPr>
                <w:rFonts w:ascii="宋体"/>
                <w:vanish/>
              </w:rPr>
            </w:pPr>
          </w:p>
        </w:tc>
        <w:tc>
          <w:tcPr>
            <w:tcW w:w="0" w:type="auto"/>
            <w:gridSpan w:val="3"/>
            <w:shd w:val="clear" w:color="auto" w:fill="auto"/>
            <w:vAlign w:val="bottom"/>
          </w:tcPr>
          <w:p w14:paraId="392C56D9" w14:textId="77777777" w:rsidR="00980E5F" w:rsidRDefault="00980E5F">
            <w:pPr>
              <w:rPr>
                <w:rFonts w:ascii="宋体"/>
                <w:vanish/>
              </w:rPr>
            </w:pPr>
          </w:p>
        </w:tc>
        <w:tc>
          <w:tcPr>
            <w:tcW w:w="0" w:type="auto"/>
            <w:gridSpan w:val="3"/>
            <w:shd w:val="clear" w:color="auto" w:fill="auto"/>
            <w:vAlign w:val="bottom"/>
          </w:tcPr>
          <w:p w14:paraId="392C56DA" w14:textId="77777777" w:rsidR="00980E5F" w:rsidRDefault="00980E5F">
            <w:pPr>
              <w:rPr>
                <w:rFonts w:ascii="宋体"/>
                <w:vanish/>
              </w:rPr>
            </w:pPr>
          </w:p>
        </w:tc>
        <w:tc>
          <w:tcPr>
            <w:tcW w:w="0" w:type="auto"/>
            <w:gridSpan w:val="3"/>
            <w:shd w:val="clear" w:color="auto" w:fill="auto"/>
            <w:vAlign w:val="bottom"/>
          </w:tcPr>
          <w:p w14:paraId="392C56DB" w14:textId="77777777" w:rsidR="00980E5F" w:rsidRDefault="00980E5F">
            <w:pPr>
              <w:rPr>
                <w:rFonts w:ascii="宋体"/>
                <w:vanish/>
              </w:rPr>
            </w:pPr>
          </w:p>
        </w:tc>
        <w:tc>
          <w:tcPr>
            <w:tcW w:w="0" w:type="auto"/>
            <w:gridSpan w:val="3"/>
            <w:shd w:val="clear" w:color="auto" w:fill="auto"/>
            <w:vAlign w:val="bottom"/>
          </w:tcPr>
          <w:p w14:paraId="392C56DC" w14:textId="77777777" w:rsidR="00980E5F" w:rsidRDefault="00980E5F">
            <w:pPr>
              <w:rPr>
                <w:rFonts w:ascii="宋体"/>
                <w:vanish/>
              </w:rPr>
            </w:pPr>
          </w:p>
        </w:tc>
        <w:tc>
          <w:tcPr>
            <w:tcW w:w="0" w:type="auto"/>
            <w:gridSpan w:val="3"/>
            <w:shd w:val="clear" w:color="auto" w:fill="auto"/>
            <w:vAlign w:val="bottom"/>
          </w:tcPr>
          <w:p w14:paraId="392C56DD" w14:textId="77777777" w:rsidR="00980E5F" w:rsidRDefault="00980E5F">
            <w:pPr>
              <w:rPr>
                <w:rFonts w:ascii="宋体"/>
                <w:vanish/>
              </w:rPr>
            </w:pPr>
          </w:p>
        </w:tc>
        <w:tc>
          <w:tcPr>
            <w:tcW w:w="0" w:type="auto"/>
            <w:gridSpan w:val="2"/>
            <w:shd w:val="clear" w:color="auto" w:fill="auto"/>
            <w:vAlign w:val="bottom"/>
          </w:tcPr>
          <w:p w14:paraId="392C56DE" w14:textId="77777777" w:rsidR="00980E5F" w:rsidRDefault="00980E5F">
            <w:pPr>
              <w:rPr>
                <w:rFonts w:ascii="宋体"/>
                <w:vanish/>
              </w:rPr>
            </w:pPr>
          </w:p>
        </w:tc>
        <w:tc>
          <w:tcPr>
            <w:tcW w:w="0" w:type="auto"/>
            <w:shd w:val="clear" w:color="auto" w:fill="auto"/>
            <w:vAlign w:val="bottom"/>
          </w:tcPr>
          <w:p w14:paraId="392C56DF" w14:textId="77777777" w:rsidR="00980E5F" w:rsidRDefault="00980E5F">
            <w:pPr>
              <w:rPr>
                <w:rFonts w:ascii="宋体"/>
                <w:vanish/>
              </w:rPr>
            </w:pPr>
          </w:p>
        </w:tc>
      </w:tr>
      <w:tr w:rsidR="00980E5F" w14:paraId="392C56F7" w14:textId="77777777">
        <w:trPr>
          <w:hidden/>
        </w:trPr>
        <w:tc>
          <w:tcPr>
            <w:tcW w:w="0" w:type="auto"/>
            <w:gridSpan w:val="3"/>
            <w:shd w:val="clear" w:color="auto" w:fill="auto"/>
            <w:vAlign w:val="bottom"/>
          </w:tcPr>
          <w:p w14:paraId="392C56E1" w14:textId="77777777" w:rsidR="00980E5F" w:rsidRDefault="00980E5F">
            <w:pPr>
              <w:rPr>
                <w:rFonts w:ascii="宋体"/>
                <w:vanish/>
              </w:rPr>
            </w:pPr>
          </w:p>
        </w:tc>
        <w:tc>
          <w:tcPr>
            <w:tcW w:w="0" w:type="auto"/>
            <w:gridSpan w:val="3"/>
            <w:shd w:val="clear" w:color="auto" w:fill="auto"/>
            <w:vAlign w:val="bottom"/>
          </w:tcPr>
          <w:p w14:paraId="392C56E2" w14:textId="77777777" w:rsidR="00980E5F" w:rsidRDefault="00980E5F">
            <w:pPr>
              <w:rPr>
                <w:rFonts w:ascii="宋体"/>
                <w:vanish/>
              </w:rPr>
            </w:pPr>
          </w:p>
        </w:tc>
        <w:tc>
          <w:tcPr>
            <w:tcW w:w="0" w:type="auto"/>
            <w:gridSpan w:val="3"/>
            <w:shd w:val="clear" w:color="auto" w:fill="auto"/>
            <w:vAlign w:val="bottom"/>
          </w:tcPr>
          <w:p w14:paraId="392C56E3" w14:textId="77777777" w:rsidR="00980E5F" w:rsidRDefault="00980E5F">
            <w:pPr>
              <w:rPr>
                <w:rFonts w:ascii="宋体"/>
                <w:vanish/>
              </w:rPr>
            </w:pPr>
          </w:p>
        </w:tc>
        <w:tc>
          <w:tcPr>
            <w:tcW w:w="0" w:type="auto"/>
            <w:gridSpan w:val="3"/>
            <w:shd w:val="clear" w:color="auto" w:fill="auto"/>
            <w:vAlign w:val="bottom"/>
          </w:tcPr>
          <w:p w14:paraId="392C56E4" w14:textId="77777777" w:rsidR="00980E5F" w:rsidRDefault="00980E5F">
            <w:pPr>
              <w:rPr>
                <w:rFonts w:ascii="宋体"/>
                <w:vanish/>
              </w:rPr>
            </w:pPr>
          </w:p>
        </w:tc>
        <w:tc>
          <w:tcPr>
            <w:tcW w:w="0" w:type="auto"/>
            <w:gridSpan w:val="3"/>
            <w:shd w:val="clear" w:color="auto" w:fill="auto"/>
            <w:vAlign w:val="bottom"/>
          </w:tcPr>
          <w:p w14:paraId="392C56E5" w14:textId="77777777" w:rsidR="00980E5F" w:rsidRDefault="00980E5F">
            <w:pPr>
              <w:rPr>
                <w:rFonts w:ascii="宋体"/>
                <w:vanish/>
              </w:rPr>
            </w:pPr>
          </w:p>
        </w:tc>
        <w:tc>
          <w:tcPr>
            <w:tcW w:w="0" w:type="auto"/>
            <w:gridSpan w:val="3"/>
            <w:shd w:val="clear" w:color="auto" w:fill="auto"/>
            <w:vAlign w:val="bottom"/>
          </w:tcPr>
          <w:p w14:paraId="392C56E6" w14:textId="77777777" w:rsidR="00980E5F" w:rsidRDefault="00980E5F">
            <w:pPr>
              <w:rPr>
                <w:rFonts w:ascii="宋体"/>
                <w:vanish/>
              </w:rPr>
            </w:pPr>
          </w:p>
        </w:tc>
        <w:tc>
          <w:tcPr>
            <w:tcW w:w="0" w:type="auto"/>
            <w:gridSpan w:val="3"/>
            <w:shd w:val="clear" w:color="auto" w:fill="auto"/>
            <w:vAlign w:val="bottom"/>
          </w:tcPr>
          <w:p w14:paraId="392C56E7" w14:textId="77777777" w:rsidR="00980E5F" w:rsidRDefault="00980E5F">
            <w:pPr>
              <w:rPr>
                <w:rFonts w:ascii="宋体"/>
                <w:vanish/>
              </w:rPr>
            </w:pPr>
          </w:p>
        </w:tc>
        <w:tc>
          <w:tcPr>
            <w:tcW w:w="0" w:type="auto"/>
            <w:gridSpan w:val="3"/>
            <w:shd w:val="clear" w:color="auto" w:fill="auto"/>
            <w:vAlign w:val="bottom"/>
          </w:tcPr>
          <w:p w14:paraId="392C56E8" w14:textId="77777777" w:rsidR="00980E5F" w:rsidRDefault="00980E5F">
            <w:pPr>
              <w:rPr>
                <w:rFonts w:ascii="宋体"/>
                <w:vanish/>
              </w:rPr>
            </w:pPr>
          </w:p>
        </w:tc>
        <w:tc>
          <w:tcPr>
            <w:tcW w:w="0" w:type="auto"/>
            <w:gridSpan w:val="3"/>
            <w:shd w:val="clear" w:color="auto" w:fill="auto"/>
            <w:vAlign w:val="bottom"/>
          </w:tcPr>
          <w:p w14:paraId="392C56E9" w14:textId="77777777" w:rsidR="00980E5F" w:rsidRDefault="00980E5F">
            <w:pPr>
              <w:rPr>
                <w:rFonts w:ascii="宋体"/>
                <w:vanish/>
              </w:rPr>
            </w:pPr>
          </w:p>
        </w:tc>
        <w:tc>
          <w:tcPr>
            <w:tcW w:w="0" w:type="auto"/>
            <w:gridSpan w:val="3"/>
            <w:shd w:val="clear" w:color="auto" w:fill="auto"/>
            <w:vAlign w:val="bottom"/>
          </w:tcPr>
          <w:p w14:paraId="392C56EA" w14:textId="77777777" w:rsidR="00980E5F" w:rsidRDefault="00980E5F">
            <w:pPr>
              <w:rPr>
                <w:rFonts w:ascii="宋体"/>
                <w:vanish/>
              </w:rPr>
            </w:pPr>
          </w:p>
        </w:tc>
        <w:tc>
          <w:tcPr>
            <w:tcW w:w="0" w:type="auto"/>
            <w:gridSpan w:val="3"/>
            <w:shd w:val="clear" w:color="auto" w:fill="auto"/>
            <w:vAlign w:val="bottom"/>
          </w:tcPr>
          <w:p w14:paraId="392C56EB" w14:textId="77777777" w:rsidR="00980E5F" w:rsidRDefault="00980E5F">
            <w:pPr>
              <w:rPr>
                <w:rFonts w:ascii="宋体"/>
                <w:vanish/>
              </w:rPr>
            </w:pPr>
          </w:p>
        </w:tc>
        <w:tc>
          <w:tcPr>
            <w:tcW w:w="0" w:type="auto"/>
            <w:gridSpan w:val="3"/>
            <w:shd w:val="clear" w:color="auto" w:fill="auto"/>
            <w:vAlign w:val="bottom"/>
          </w:tcPr>
          <w:p w14:paraId="392C56EC" w14:textId="77777777" w:rsidR="00980E5F" w:rsidRDefault="00980E5F">
            <w:pPr>
              <w:rPr>
                <w:rFonts w:ascii="宋体"/>
                <w:vanish/>
              </w:rPr>
            </w:pPr>
          </w:p>
        </w:tc>
        <w:tc>
          <w:tcPr>
            <w:tcW w:w="0" w:type="auto"/>
            <w:gridSpan w:val="3"/>
            <w:shd w:val="clear" w:color="auto" w:fill="auto"/>
            <w:vAlign w:val="bottom"/>
          </w:tcPr>
          <w:p w14:paraId="392C56ED" w14:textId="77777777" w:rsidR="00980E5F" w:rsidRDefault="00980E5F">
            <w:pPr>
              <w:rPr>
                <w:rFonts w:ascii="宋体"/>
                <w:vanish/>
              </w:rPr>
            </w:pPr>
          </w:p>
        </w:tc>
        <w:tc>
          <w:tcPr>
            <w:tcW w:w="0" w:type="auto"/>
            <w:gridSpan w:val="3"/>
            <w:shd w:val="clear" w:color="auto" w:fill="auto"/>
            <w:vAlign w:val="bottom"/>
          </w:tcPr>
          <w:p w14:paraId="392C56EE" w14:textId="77777777" w:rsidR="00980E5F" w:rsidRDefault="00980E5F">
            <w:pPr>
              <w:rPr>
                <w:rFonts w:ascii="宋体"/>
                <w:vanish/>
              </w:rPr>
            </w:pPr>
          </w:p>
        </w:tc>
        <w:tc>
          <w:tcPr>
            <w:tcW w:w="0" w:type="auto"/>
            <w:gridSpan w:val="3"/>
            <w:shd w:val="clear" w:color="auto" w:fill="auto"/>
            <w:vAlign w:val="bottom"/>
          </w:tcPr>
          <w:p w14:paraId="392C56EF" w14:textId="77777777" w:rsidR="00980E5F" w:rsidRDefault="00980E5F">
            <w:pPr>
              <w:rPr>
                <w:rFonts w:ascii="宋体"/>
                <w:vanish/>
              </w:rPr>
            </w:pPr>
          </w:p>
        </w:tc>
        <w:tc>
          <w:tcPr>
            <w:tcW w:w="0" w:type="auto"/>
            <w:gridSpan w:val="3"/>
            <w:shd w:val="clear" w:color="auto" w:fill="auto"/>
            <w:vAlign w:val="bottom"/>
          </w:tcPr>
          <w:p w14:paraId="392C56F0" w14:textId="77777777" w:rsidR="00980E5F" w:rsidRDefault="00980E5F">
            <w:pPr>
              <w:rPr>
                <w:rFonts w:ascii="宋体"/>
                <w:vanish/>
              </w:rPr>
            </w:pPr>
          </w:p>
        </w:tc>
        <w:tc>
          <w:tcPr>
            <w:tcW w:w="0" w:type="auto"/>
            <w:gridSpan w:val="3"/>
            <w:shd w:val="clear" w:color="auto" w:fill="auto"/>
            <w:vAlign w:val="bottom"/>
          </w:tcPr>
          <w:p w14:paraId="392C56F1" w14:textId="77777777" w:rsidR="00980E5F" w:rsidRDefault="00980E5F">
            <w:pPr>
              <w:rPr>
                <w:rFonts w:ascii="宋体"/>
                <w:vanish/>
              </w:rPr>
            </w:pPr>
          </w:p>
        </w:tc>
        <w:tc>
          <w:tcPr>
            <w:tcW w:w="0" w:type="auto"/>
            <w:gridSpan w:val="3"/>
            <w:shd w:val="clear" w:color="auto" w:fill="auto"/>
            <w:vAlign w:val="bottom"/>
          </w:tcPr>
          <w:p w14:paraId="392C56F2" w14:textId="77777777" w:rsidR="00980E5F" w:rsidRDefault="00980E5F">
            <w:pPr>
              <w:rPr>
                <w:rFonts w:ascii="宋体"/>
                <w:vanish/>
              </w:rPr>
            </w:pPr>
          </w:p>
        </w:tc>
        <w:tc>
          <w:tcPr>
            <w:tcW w:w="0" w:type="auto"/>
            <w:gridSpan w:val="3"/>
            <w:shd w:val="clear" w:color="auto" w:fill="auto"/>
            <w:vAlign w:val="bottom"/>
          </w:tcPr>
          <w:p w14:paraId="392C56F3" w14:textId="77777777" w:rsidR="00980E5F" w:rsidRDefault="00980E5F">
            <w:pPr>
              <w:rPr>
                <w:rFonts w:ascii="宋体"/>
                <w:vanish/>
              </w:rPr>
            </w:pPr>
          </w:p>
        </w:tc>
        <w:tc>
          <w:tcPr>
            <w:tcW w:w="0" w:type="auto"/>
            <w:gridSpan w:val="3"/>
            <w:shd w:val="clear" w:color="auto" w:fill="auto"/>
            <w:vAlign w:val="bottom"/>
          </w:tcPr>
          <w:p w14:paraId="392C56F4" w14:textId="77777777" w:rsidR="00980E5F" w:rsidRDefault="00980E5F">
            <w:pPr>
              <w:rPr>
                <w:rFonts w:ascii="宋体"/>
                <w:vanish/>
              </w:rPr>
            </w:pPr>
          </w:p>
        </w:tc>
        <w:tc>
          <w:tcPr>
            <w:tcW w:w="0" w:type="auto"/>
            <w:gridSpan w:val="2"/>
            <w:shd w:val="clear" w:color="auto" w:fill="auto"/>
            <w:vAlign w:val="bottom"/>
          </w:tcPr>
          <w:p w14:paraId="392C56F5" w14:textId="77777777" w:rsidR="00980E5F" w:rsidRDefault="00980E5F">
            <w:pPr>
              <w:rPr>
                <w:rFonts w:ascii="宋体"/>
                <w:vanish/>
              </w:rPr>
            </w:pPr>
          </w:p>
        </w:tc>
        <w:tc>
          <w:tcPr>
            <w:tcW w:w="0" w:type="auto"/>
            <w:shd w:val="clear" w:color="auto" w:fill="auto"/>
            <w:vAlign w:val="bottom"/>
          </w:tcPr>
          <w:p w14:paraId="392C56F6" w14:textId="77777777" w:rsidR="00980E5F" w:rsidRDefault="00980E5F">
            <w:pPr>
              <w:rPr>
                <w:rFonts w:ascii="宋体"/>
                <w:vanish/>
              </w:rPr>
            </w:pPr>
          </w:p>
        </w:tc>
      </w:tr>
      <w:tr w:rsidR="00980E5F" w14:paraId="392C570E" w14:textId="77777777">
        <w:trPr>
          <w:hidden/>
        </w:trPr>
        <w:tc>
          <w:tcPr>
            <w:tcW w:w="0" w:type="auto"/>
            <w:gridSpan w:val="3"/>
            <w:shd w:val="clear" w:color="auto" w:fill="auto"/>
            <w:vAlign w:val="bottom"/>
          </w:tcPr>
          <w:p w14:paraId="392C56F8" w14:textId="77777777" w:rsidR="00980E5F" w:rsidRDefault="00980E5F">
            <w:pPr>
              <w:rPr>
                <w:rFonts w:ascii="宋体"/>
                <w:vanish/>
              </w:rPr>
            </w:pPr>
          </w:p>
        </w:tc>
        <w:tc>
          <w:tcPr>
            <w:tcW w:w="0" w:type="auto"/>
            <w:gridSpan w:val="3"/>
            <w:shd w:val="clear" w:color="auto" w:fill="auto"/>
            <w:vAlign w:val="bottom"/>
          </w:tcPr>
          <w:p w14:paraId="392C56F9" w14:textId="77777777" w:rsidR="00980E5F" w:rsidRDefault="00980E5F">
            <w:pPr>
              <w:rPr>
                <w:rFonts w:ascii="宋体"/>
                <w:vanish/>
              </w:rPr>
            </w:pPr>
          </w:p>
        </w:tc>
        <w:tc>
          <w:tcPr>
            <w:tcW w:w="0" w:type="auto"/>
            <w:gridSpan w:val="3"/>
            <w:shd w:val="clear" w:color="auto" w:fill="auto"/>
            <w:vAlign w:val="bottom"/>
          </w:tcPr>
          <w:p w14:paraId="392C56FA" w14:textId="77777777" w:rsidR="00980E5F" w:rsidRDefault="00980E5F">
            <w:pPr>
              <w:rPr>
                <w:rFonts w:ascii="宋体"/>
                <w:vanish/>
              </w:rPr>
            </w:pPr>
          </w:p>
        </w:tc>
        <w:tc>
          <w:tcPr>
            <w:tcW w:w="0" w:type="auto"/>
            <w:gridSpan w:val="3"/>
            <w:shd w:val="clear" w:color="auto" w:fill="auto"/>
            <w:vAlign w:val="bottom"/>
          </w:tcPr>
          <w:p w14:paraId="392C56FB" w14:textId="77777777" w:rsidR="00980E5F" w:rsidRDefault="00980E5F">
            <w:pPr>
              <w:rPr>
                <w:rFonts w:ascii="宋体"/>
                <w:vanish/>
              </w:rPr>
            </w:pPr>
          </w:p>
        </w:tc>
        <w:tc>
          <w:tcPr>
            <w:tcW w:w="0" w:type="auto"/>
            <w:gridSpan w:val="3"/>
            <w:shd w:val="clear" w:color="auto" w:fill="auto"/>
            <w:vAlign w:val="bottom"/>
          </w:tcPr>
          <w:p w14:paraId="392C56FC" w14:textId="77777777" w:rsidR="00980E5F" w:rsidRDefault="00980E5F">
            <w:pPr>
              <w:rPr>
                <w:rFonts w:ascii="宋体"/>
                <w:vanish/>
              </w:rPr>
            </w:pPr>
          </w:p>
        </w:tc>
        <w:tc>
          <w:tcPr>
            <w:tcW w:w="0" w:type="auto"/>
            <w:gridSpan w:val="3"/>
            <w:shd w:val="clear" w:color="auto" w:fill="auto"/>
            <w:vAlign w:val="bottom"/>
          </w:tcPr>
          <w:p w14:paraId="392C56FD" w14:textId="77777777" w:rsidR="00980E5F" w:rsidRDefault="00980E5F">
            <w:pPr>
              <w:rPr>
                <w:rFonts w:ascii="宋体"/>
                <w:vanish/>
              </w:rPr>
            </w:pPr>
          </w:p>
        </w:tc>
        <w:tc>
          <w:tcPr>
            <w:tcW w:w="0" w:type="auto"/>
            <w:gridSpan w:val="3"/>
            <w:shd w:val="clear" w:color="auto" w:fill="auto"/>
            <w:vAlign w:val="bottom"/>
          </w:tcPr>
          <w:p w14:paraId="392C56FE" w14:textId="77777777" w:rsidR="00980E5F" w:rsidRDefault="00980E5F">
            <w:pPr>
              <w:rPr>
                <w:rFonts w:ascii="宋体"/>
                <w:vanish/>
              </w:rPr>
            </w:pPr>
          </w:p>
        </w:tc>
        <w:tc>
          <w:tcPr>
            <w:tcW w:w="0" w:type="auto"/>
            <w:gridSpan w:val="3"/>
            <w:shd w:val="clear" w:color="auto" w:fill="auto"/>
            <w:vAlign w:val="bottom"/>
          </w:tcPr>
          <w:p w14:paraId="392C56FF" w14:textId="77777777" w:rsidR="00980E5F" w:rsidRDefault="00980E5F">
            <w:pPr>
              <w:rPr>
                <w:rFonts w:ascii="宋体"/>
                <w:vanish/>
              </w:rPr>
            </w:pPr>
          </w:p>
        </w:tc>
        <w:tc>
          <w:tcPr>
            <w:tcW w:w="0" w:type="auto"/>
            <w:gridSpan w:val="3"/>
            <w:shd w:val="clear" w:color="auto" w:fill="auto"/>
            <w:vAlign w:val="bottom"/>
          </w:tcPr>
          <w:p w14:paraId="392C5700" w14:textId="77777777" w:rsidR="00980E5F" w:rsidRDefault="00980E5F">
            <w:pPr>
              <w:rPr>
                <w:rFonts w:ascii="宋体"/>
                <w:vanish/>
              </w:rPr>
            </w:pPr>
          </w:p>
        </w:tc>
        <w:tc>
          <w:tcPr>
            <w:tcW w:w="0" w:type="auto"/>
            <w:gridSpan w:val="3"/>
            <w:shd w:val="clear" w:color="auto" w:fill="auto"/>
            <w:vAlign w:val="bottom"/>
          </w:tcPr>
          <w:p w14:paraId="392C5701" w14:textId="77777777" w:rsidR="00980E5F" w:rsidRDefault="00980E5F">
            <w:pPr>
              <w:rPr>
                <w:rFonts w:ascii="宋体"/>
                <w:vanish/>
              </w:rPr>
            </w:pPr>
          </w:p>
        </w:tc>
        <w:tc>
          <w:tcPr>
            <w:tcW w:w="0" w:type="auto"/>
            <w:gridSpan w:val="3"/>
            <w:shd w:val="clear" w:color="auto" w:fill="auto"/>
            <w:vAlign w:val="bottom"/>
          </w:tcPr>
          <w:p w14:paraId="392C5702" w14:textId="77777777" w:rsidR="00980E5F" w:rsidRDefault="00980E5F">
            <w:pPr>
              <w:rPr>
                <w:rFonts w:ascii="宋体"/>
                <w:vanish/>
              </w:rPr>
            </w:pPr>
          </w:p>
        </w:tc>
        <w:tc>
          <w:tcPr>
            <w:tcW w:w="0" w:type="auto"/>
            <w:gridSpan w:val="3"/>
            <w:shd w:val="clear" w:color="auto" w:fill="auto"/>
            <w:vAlign w:val="bottom"/>
          </w:tcPr>
          <w:p w14:paraId="392C5703" w14:textId="77777777" w:rsidR="00980E5F" w:rsidRDefault="00980E5F">
            <w:pPr>
              <w:rPr>
                <w:rFonts w:ascii="宋体"/>
                <w:vanish/>
              </w:rPr>
            </w:pPr>
          </w:p>
        </w:tc>
        <w:tc>
          <w:tcPr>
            <w:tcW w:w="0" w:type="auto"/>
            <w:gridSpan w:val="3"/>
            <w:shd w:val="clear" w:color="auto" w:fill="auto"/>
            <w:vAlign w:val="bottom"/>
          </w:tcPr>
          <w:p w14:paraId="392C5704" w14:textId="77777777" w:rsidR="00980E5F" w:rsidRDefault="00980E5F">
            <w:pPr>
              <w:rPr>
                <w:rFonts w:ascii="宋体"/>
                <w:vanish/>
              </w:rPr>
            </w:pPr>
          </w:p>
        </w:tc>
        <w:tc>
          <w:tcPr>
            <w:tcW w:w="0" w:type="auto"/>
            <w:gridSpan w:val="3"/>
            <w:shd w:val="clear" w:color="auto" w:fill="auto"/>
            <w:vAlign w:val="bottom"/>
          </w:tcPr>
          <w:p w14:paraId="392C5705" w14:textId="77777777" w:rsidR="00980E5F" w:rsidRDefault="00980E5F">
            <w:pPr>
              <w:rPr>
                <w:rFonts w:ascii="宋体"/>
                <w:vanish/>
              </w:rPr>
            </w:pPr>
          </w:p>
        </w:tc>
        <w:tc>
          <w:tcPr>
            <w:tcW w:w="0" w:type="auto"/>
            <w:gridSpan w:val="3"/>
            <w:shd w:val="clear" w:color="auto" w:fill="auto"/>
            <w:vAlign w:val="bottom"/>
          </w:tcPr>
          <w:p w14:paraId="392C5706" w14:textId="77777777" w:rsidR="00980E5F" w:rsidRDefault="00980E5F">
            <w:pPr>
              <w:rPr>
                <w:rFonts w:ascii="宋体"/>
                <w:vanish/>
              </w:rPr>
            </w:pPr>
          </w:p>
        </w:tc>
        <w:tc>
          <w:tcPr>
            <w:tcW w:w="0" w:type="auto"/>
            <w:gridSpan w:val="3"/>
            <w:shd w:val="clear" w:color="auto" w:fill="auto"/>
            <w:vAlign w:val="bottom"/>
          </w:tcPr>
          <w:p w14:paraId="392C5707" w14:textId="77777777" w:rsidR="00980E5F" w:rsidRDefault="00980E5F">
            <w:pPr>
              <w:rPr>
                <w:rFonts w:ascii="宋体"/>
                <w:vanish/>
              </w:rPr>
            </w:pPr>
          </w:p>
        </w:tc>
        <w:tc>
          <w:tcPr>
            <w:tcW w:w="0" w:type="auto"/>
            <w:gridSpan w:val="3"/>
            <w:shd w:val="clear" w:color="auto" w:fill="auto"/>
            <w:vAlign w:val="bottom"/>
          </w:tcPr>
          <w:p w14:paraId="392C5708" w14:textId="77777777" w:rsidR="00980E5F" w:rsidRDefault="00980E5F">
            <w:pPr>
              <w:rPr>
                <w:rFonts w:ascii="宋体"/>
                <w:vanish/>
              </w:rPr>
            </w:pPr>
          </w:p>
        </w:tc>
        <w:tc>
          <w:tcPr>
            <w:tcW w:w="0" w:type="auto"/>
            <w:gridSpan w:val="3"/>
            <w:shd w:val="clear" w:color="auto" w:fill="auto"/>
            <w:vAlign w:val="bottom"/>
          </w:tcPr>
          <w:p w14:paraId="392C5709" w14:textId="77777777" w:rsidR="00980E5F" w:rsidRDefault="00980E5F">
            <w:pPr>
              <w:rPr>
                <w:rFonts w:ascii="宋体"/>
                <w:vanish/>
              </w:rPr>
            </w:pPr>
          </w:p>
        </w:tc>
        <w:tc>
          <w:tcPr>
            <w:tcW w:w="0" w:type="auto"/>
            <w:gridSpan w:val="3"/>
            <w:shd w:val="clear" w:color="auto" w:fill="auto"/>
            <w:vAlign w:val="bottom"/>
          </w:tcPr>
          <w:p w14:paraId="392C570A" w14:textId="77777777" w:rsidR="00980E5F" w:rsidRDefault="00980E5F">
            <w:pPr>
              <w:rPr>
                <w:rFonts w:ascii="宋体"/>
                <w:vanish/>
              </w:rPr>
            </w:pPr>
          </w:p>
        </w:tc>
        <w:tc>
          <w:tcPr>
            <w:tcW w:w="0" w:type="auto"/>
            <w:gridSpan w:val="3"/>
            <w:shd w:val="clear" w:color="auto" w:fill="auto"/>
            <w:vAlign w:val="bottom"/>
          </w:tcPr>
          <w:p w14:paraId="392C570B" w14:textId="77777777" w:rsidR="00980E5F" w:rsidRDefault="00980E5F">
            <w:pPr>
              <w:rPr>
                <w:rFonts w:ascii="宋体"/>
                <w:vanish/>
              </w:rPr>
            </w:pPr>
          </w:p>
        </w:tc>
        <w:tc>
          <w:tcPr>
            <w:tcW w:w="0" w:type="auto"/>
            <w:gridSpan w:val="2"/>
            <w:shd w:val="clear" w:color="auto" w:fill="auto"/>
            <w:vAlign w:val="bottom"/>
          </w:tcPr>
          <w:p w14:paraId="392C570C" w14:textId="77777777" w:rsidR="00980E5F" w:rsidRDefault="00980E5F">
            <w:pPr>
              <w:rPr>
                <w:rFonts w:ascii="宋体"/>
                <w:vanish/>
              </w:rPr>
            </w:pPr>
          </w:p>
        </w:tc>
        <w:tc>
          <w:tcPr>
            <w:tcW w:w="0" w:type="auto"/>
            <w:shd w:val="clear" w:color="auto" w:fill="auto"/>
            <w:vAlign w:val="bottom"/>
          </w:tcPr>
          <w:p w14:paraId="392C570D" w14:textId="77777777" w:rsidR="00980E5F" w:rsidRDefault="00980E5F">
            <w:pPr>
              <w:rPr>
                <w:rFonts w:ascii="宋体"/>
                <w:vanish/>
              </w:rPr>
            </w:pPr>
          </w:p>
        </w:tc>
      </w:tr>
      <w:tr w:rsidR="00980E5F" w14:paraId="392C5725" w14:textId="77777777">
        <w:trPr>
          <w:hidden/>
        </w:trPr>
        <w:tc>
          <w:tcPr>
            <w:tcW w:w="0" w:type="auto"/>
            <w:gridSpan w:val="3"/>
            <w:shd w:val="clear" w:color="auto" w:fill="auto"/>
            <w:vAlign w:val="bottom"/>
          </w:tcPr>
          <w:p w14:paraId="392C570F" w14:textId="77777777" w:rsidR="00980E5F" w:rsidRDefault="00980E5F">
            <w:pPr>
              <w:rPr>
                <w:rFonts w:ascii="宋体"/>
                <w:vanish/>
              </w:rPr>
            </w:pPr>
          </w:p>
        </w:tc>
        <w:tc>
          <w:tcPr>
            <w:tcW w:w="0" w:type="auto"/>
            <w:gridSpan w:val="3"/>
            <w:shd w:val="clear" w:color="auto" w:fill="auto"/>
            <w:vAlign w:val="bottom"/>
          </w:tcPr>
          <w:p w14:paraId="392C5710" w14:textId="77777777" w:rsidR="00980E5F" w:rsidRDefault="00980E5F">
            <w:pPr>
              <w:rPr>
                <w:rFonts w:ascii="宋体"/>
                <w:vanish/>
              </w:rPr>
            </w:pPr>
          </w:p>
        </w:tc>
        <w:tc>
          <w:tcPr>
            <w:tcW w:w="0" w:type="auto"/>
            <w:gridSpan w:val="3"/>
            <w:shd w:val="clear" w:color="auto" w:fill="auto"/>
            <w:vAlign w:val="bottom"/>
          </w:tcPr>
          <w:p w14:paraId="392C5711" w14:textId="77777777" w:rsidR="00980E5F" w:rsidRDefault="00980E5F">
            <w:pPr>
              <w:rPr>
                <w:rFonts w:ascii="宋体"/>
                <w:vanish/>
              </w:rPr>
            </w:pPr>
          </w:p>
        </w:tc>
        <w:tc>
          <w:tcPr>
            <w:tcW w:w="0" w:type="auto"/>
            <w:gridSpan w:val="3"/>
            <w:shd w:val="clear" w:color="auto" w:fill="auto"/>
            <w:vAlign w:val="bottom"/>
          </w:tcPr>
          <w:p w14:paraId="392C5712" w14:textId="77777777" w:rsidR="00980E5F" w:rsidRDefault="00980E5F">
            <w:pPr>
              <w:rPr>
                <w:rFonts w:ascii="宋体"/>
                <w:vanish/>
              </w:rPr>
            </w:pPr>
          </w:p>
        </w:tc>
        <w:tc>
          <w:tcPr>
            <w:tcW w:w="0" w:type="auto"/>
            <w:gridSpan w:val="3"/>
            <w:shd w:val="clear" w:color="auto" w:fill="auto"/>
            <w:vAlign w:val="bottom"/>
          </w:tcPr>
          <w:p w14:paraId="392C5713" w14:textId="77777777" w:rsidR="00980E5F" w:rsidRDefault="00980E5F">
            <w:pPr>
              <w:rPr>
                <w:rFonts w:ascii="宋体"/>
                <w:vanish/>
              </w:rPr>
            </w:pPr>
          </w:p>
        </w:tc>
        <w:tc>
          <w:tcPr>
            <w:tcW w:w="0" w:type="auto"/>
            <w:gridSpan w:val="3"/>
            <w:shd w:val="clear" w:color="auto" w:fill="auto"/>
            <w:vAlign w:val="bottom"/>
          </w:tcPr>
          <w:p w14:paraId="392C5714" w14:textId="77777777" w:rsidR="00980E5F" w:rsidRDefault="00980E5F">
            <w:pPr>
              <w:rPr>
                <w:rFonts w:ascii="宋体"/>
                <w:vanish/>
              </w:rPr>
            </w:pPr>
          </w:p>
        </w:tc>
        <w:tc>
          <w:tcPr>
            <w:tcW w:w="0" w:type="auto"/>
            <w:gridSpan w:val="3"/>
            <w:shd w:val="clear" w:color="auto" w:fill="auto"/>
            <w:vAlign w:val="bottom"/>
          </w:tcPr>
          <w:p w14:paraId="392C5715" w14:textId="77777777" w:rsidR="00980E5F" w:rsidRDefault="00980E5F">
            <w:pPr>
              <w:rPr>
                <w:rFonts w:ascii="宋体"/>
                <w:vanish/>
              </w:rPr>
            </w:pPr>
          </w:p>
        </w:tc>
        <w:tc>
          <w:tcPr>
            <w:tcW w:w="0" w:type="auto"/>
            <w:gridSpan w:val="3"/>
            <w:shd w:val="clear" w:color="auto" w:fill="auto"/>
            <w:vAlign w:val="bottom"/>
          </w:tcPr>
          <w:p w14:paraId="392C5716" w14:textId="77777777" w:rsidR="00980E5F" w:rsidRDefault="00980E5F">
            <w:pPr>
              <w:rPr>
                <w:rFonts w:ascii="宋体"/>
                <w:vanish/>
              </w:rPr>
            </w:pPr>
          </w:p>
        </w:tc>
        <w:tc>
          <w:tcPr>
            <w:tcW w:w="0" w:type="auto"/>
            <w:gridSpan w:val="3"/>
            <w:shd w:val="clear" w:color="auto" w:fill="auto"/>
            <w:vAlign w:val="bottom"/>
          </w:tcPr>
          <w:p w14:paraId="392C5717" w14:textId="77777777" w:rsidR="00980E5F" w:rsidRDefault="00980E5F">
            <w:pPr>
              <w:rPr>
                <w:rFonts w:ascii="宋体"/>
                <w:vanish/>
              </w:rPr>
            </w:pPr>
          </w:p>
        </w:tc>
        <w:tc>
          <w:tcPr>
            <w:tcW w:w="0" w:type="auto"/>
            <w:gridSpan w:val="3"/>
            <w:shd w:val="clear" w:color="auto" w:fill="auto"/>
            <w:vAlign w:val="bottom"/>
          </w:tcPr>
          <w:p w14:paraId="392C5718" w14:textId="77777777" w:rsidR="00980E5F" w:rsidRDefault="00980E5F">
            <w:pPr>
              <w:rPr>
                <w:rFonts w:ascii="宋体"/>
                <w:vanish/>
              </w:rPr>
            </w:pPr>
          </w:p>
        </w:tc>
        <w:tc>
          <w:tcPr>
            <w:tcW w:w="0" w:type="auto"/>
            <w:gridSpan w:val="3"/>
            <w:shd w:val="clear" w:color="auto" w:fill="auto"/>
            <w:vAlign w:val="bottom"/>
          </w:tcPr>
          <w:p w14:paraId="392C5719" w14:textId="77777777" w:rsidR="00980E5F" w:rsidRDefault="00980E5F">
            <w:pPr>
              <w:rPr>
                <w:rFonts w:ascii="宋体"/>
                <w:vanish/>
              </w:rPr>
            </w:pPr>
          </w:p>
        </w:tc>
        <w:tc>
          <w:tcPr>
            <w:tcW w:w="0" w:type="auto"/>
            <w:gridSpan w:val="3"/>
            <w:shd w:val="clear" w:color="auto" w:fill="auto"/>
            <w:vAlign w:val="bottom"/>
          </w:tcPr>
          <w:p w14:paraId="392C571A" w14:textId="77777777" w:rsidR="00980E5F" w:rsidRDefault="00980E5F">
            <w:pPr>
              <w:rPr>
                <w:rFonts w:ascii="宋体"/>
                <w:vanish/>
              </w:rPr>
            </w:pPr>
          </w:p>
        </w:tc>
        <w:tc>
          <w:tcPr>
            <w:tcW w:w="0" w:type="auto"/>
            <w:gridSpan w:val="3"/>
            <w:shd w:val="clear" w:color="auto" w:fill="auto"/>
            <w:vAlign w:val="bottom"/>
          </w:tcPr>
          <w:p w14:paraId="392C571B" w14:textId="77777777" w:rsidR="00980E5F" w:rsidRDefault="00980E5F">
            <w:pPr>
              <w:rPr>
                <w:rFonts w:ascii="宋体"/>
                <w:vanish/>
              </w:rPr>
            </w:pPr>
          </w:p>
        </w:tc>
        <w:tc>
          <w:tcPr>
            <w:tcW w:w="0" w:type="auto"/>
            <w:gridSpan w:val="3"/>
            <w:shd w:val="clear" w:color="auto" w:fill="auto"/>
            <w:vAlign w:val="bottom"/>
          </w:tcPr>
          <w:p w14:paraId="392C571C" w14:textId="77777777" w:rsidR="00980E5F" w:rsidRDefault="00980E5F">
            <w:pPr>
              <w:rPr>
                <w:rFonts w:ascii="宋体"/>
                <w:vanish/>
              </w:rPr>
            </w:pPr>
          </w:p>
        </w:tc>
        <w:tc>
          <w:tcPr>
            <w:tcW w:w="0" w:type="auto"/>
            <w:gridSpan w:val="3"/>
            <w:shd w:val="clear" w:color="auto" w:fill="auto"/>
            <w:vAlign w:val="bottom"/>
          </w:tcPr>
          <w:p w14:paraId="392C571D" w14:textId="77777777" w:rsidR="00980E5F" w:rsidRDefault="00980E5F">
            <w:pPr>
              <w:rPr>
                <w:rFonts w:ascii="宋体"/>
                <w:vanish/>
              </w:rPr>
            </w:pPr>
          </w:p>
        </w:tc>
        <w:tc>
          <w:tcPr>
            <w:tcW w:w="0" w:type="auto"/>
            <w:gridSpan w:val="3"/>
            <w:shd w:val="clear" w:color="auto" w:fill="auto"/>
            <w:vAlign w:val="bottom"/>
          </w:tcPr>
          <w:p w14:paraId="392C571E" w14:textId="77777777" w:rsidR="00980E5F" w:rsidRDefault="00980E5F">
            <w:pPr>
              <w:rPr>
                <w:rFonts w:ascii="宋体"/>
                <w:vanish/>
              </w:rPr>
            </w:pPr>
          </w:p>
        </w:tc>
        <w:tc>
          <w:tcPr>
            <w:tcW w:w="0" w:type="auto"/>
            <w:gridSpan w:val="3"/>
            <w:shd w:val="clear" w:color="auto" w:fill="auto"/>
            <w:vAlign w:val="bottom"/>
          </w:tcPr>
          <w:p w14:paraId="392C571F" w14:textId="77777777" w:rsidR="00980E5F" w:rsidRDefault="00980E5F">
            <w:pPr>
              <w:rPr>
                <w:rFonts w:ascii="宋体"/>
                <w:vanish/>
              </w:rPr>
            </w:pPr>
          </w:p>
        </w:tc>
        <w:tc>
          <w:tcPr>
            <w:tcW w:w="0" w:type="auto"/>
            <w:gridSpan w:val="3"/>
            <w:shd w:val="clear" w:color="auto" w:fill="auto"/>
            <w:vAlign w:val="bottom"/>
          </w:tcPr>
          <w:p w14:paraId="392C5720" w14:textId="77777777" w:rsidR="00980E5F" w:rsidRDefault="00980E5F">
            <w:pPr>
              <w:rPr>
                <w:rFonts w:ascii="宋体"/>
                <w:vanish/>
              </w:rPr>
            </w:pPr>
          </w:p>
        </w:tc>
        <w:tc>
          <w:tcPr>
            <w:tcW w:w="0" w:type="auto"/>
            <w:gridSpan w:val="3"/>
            <w:shd w:val="clear" w:color="auto" w:fill="auto"/>
            <w:vAlign w:val="bottom"/>
          </w:tcPr>
          <w:p w14:paraId="392C5721" w14:textId="77777777" w:rsidR="00980E5F" w:rsidRDefault="00980E5F">
            <w:pPr>
              <w:rPr>
                <w:rFonts w:ascii="宋体"/>
                <w:vanish/>
              </w:rPr>
            </w:pPr>
          </w:p>
        </w:tc>
        <w:tc>
          <w:tcPr>
            <w:tcW w:w="0" w:type="auto"/>
            <w:gridSpan w:val="3"/>
            <w:shd w:val="clear" w:color="auto" w:fill="auto"/>
            <w:vAlign w:val="bottom"/>
          </w:tcPr>
          <w:p w14:paraId="392C5722" w14:textId="77777777" w:rsidR="00980E5F" w:rsidRDefault="00980E5F">
            <w:pPr>
              <w:rPr>
                <w:rFonts w:ascii="宋体"/>
                <w:vanish/>
              </w:rPr>
            </w:pPr>
          </w:p>
        </w:tc>
        <w:tc>
          <w:tcPr>
            <w:tcW w:w="0" w:type="auto"/>
            <w:gridSpan w:val="2"/>
            <w:shd w:val="clear" w:color="auto" w:fill="auto"/>
            <w:vAlign w:val="bottom"/>
          </w:tcPr>
          <w:p w14:paraId="392C5723" w14:textId="77777777" w:rsidR="00980E5F" w:rsidRDefault="00980E5F">
            <w:pPr>
              <w:rPr>
                <w:rFonts w:ascii="宋体"/>
                <w:vanish/>
              </w:rPr>
            </w:pPr>
          </w:p>
        </w:tc>
        <w:tc>
          <w:tcPr>
            <w:tcW w:w="0" w:type="auto"/>
            <w:shd w:val="clear" w:color="auto" w:fill="auto"/>
            <w:vAlign w:val="bottom"/>
          </w:tcPr>
          <w:p w14:paraId="392C5724" w14:textId="77777777" w:rsidR="00980E5F" w:rsidRDefault="00980E5F">
            <w:pPr>
              <w:rPr>
                <w:rFonts w:ascii="宋体"/>
                <w:vanish/>
              </w:rPr>
            </w:pPr>
          </w:p>
        </w:tc>
      </w:tr>
      <w:tr w:rsidR="00980E5F" w14:paraId="392C573C" w14:textId="77777777">
        <w:trPr>
          <w:hidden/>
        </w:trPr>
        <w:tc>
          <w:tcPr>
            <w:tcW w:w="0" w:type="auto"/>
            <w:gridSpan w:val="3"/>
            <w:shd w:val="clear" w:color="auto" w:fill="auto"/>
            <w:vAlign w:val="bottom"/>
          </w:tcPr>
          <w:p w14:paraId="392C5726" w14:textId="77777777" w:rsidR="00980E5F" w:rsidRDefault="00980E5F">
            <w:pPr>
              <w:rPr>
                <w:rFonts w:ascii="宋体"/>
                <w:vanish/>
              </w:rPr>
            </w:pPr>
          </w:p>
        </w:tc>
        <w:tc>
          <w:tcPr>
            <w:tcW w:w="0" w:type="auto"/>
            <w:gridSpan w:val="3"/>
            <w:shd w:val="clear" w:color="auto" w:fill="auto"/>
            <w:vAlign w:val="bottom"/>
          </w:tcPr>
          <w:p w14:paraId="392C5727" w14:textId="77777777" w:rsidR="00980E5F" w:rsidRDefault="00980E5F">
            <w:pPr>
              <w:rPr>
                <w:rFonts w:ascii="宋体"/>
                <w:vanish/>
              </w:rPr>
            </w:pPr>
          </w:p>
        </w:tc>
        <w:tc>
          <w:tcPr>
            <w:tcW w:w="0" w:type="auto"/>
            <w:gridSpan w:val="3"/>
            <w:shd w:val="clear" w:color="auto" w:fill="auto"/>
            <w:vAlign w:val="bottom"/>
          </w:tcPr>
          <w:p w14:paraId="392C5728" w14:textId="77777777" w:rsidR="00980E5F" w:rsidRDefault="00980E5F">
            <w:pPr>
              <w:rPr>
                <w:rFonts w:ascii="宋体"/>
                <w:vanish/>
              </w:rPr>
            </w:pPr>
          </w:p>
        </w:tc>
        <w:tc>
          <w:tcPr>
            <w:tcW w:w="0" w:type="auto"/>
            <w:gridSpan w:val="3"/>
            <w:shd w:val="clear" w:color="auto" w:fill="auto"/>
            <w:vAlign w:val="bottom"/>
          </w:tcPr>
          <w:p w14:paraId="392C5729" w14:textId="77777777" w:rsidR="00980E5F" w:rsidRDefault="00980E5F">
            <w:pPr>
              <w:rPr>
                <w:rFonts w:ascii="宋体"/>
                <w:vanish/>
              </w:rPr>
            </w:pPr>
          </w:p>
        </w:tc>
        <w:tc>
          <w:tcPr>
            <w:tcW w:w="0" w:type="auto"/>
            <w:gridSpan w:val="3"/>
            <w:shd w:val="clear" w:color="auto" w:fill="auto"/>
            <w:vAlign w:val="bottom"/>
          </w:tcPr>
          <w:p w14:paraId="392C572A" w14:textId="77777777" w:rsidR="00980E5F" w:rsidRDefault="00980E5F">
            <w:pPr>
              <w:rPr>
                <w:rFonts w:ascii="宋体"/>
                <w:vanish/>
              </w:rPr>
            </w:pPr>
          </w:p>
        </w:tc>
        <w:tc>
          <w:tcPr>
            <w:tcW w:w="0" w:type="auto"/>
            <w:gridSpan w:val="3"/>
            <w:shd w:val="clear" w:color="auto" w:fill="auto"/>
            <w:vAlign w:val="bottom"/>
          </w:tcPr>
          <w:p w14:paraId="392C572B" w14:textId="77777777" w:rsidR="00980E5F" w:rsidRDefault="00980E5F">
            <w:pPr>
              <w:rPr>
                <w:rFonts w:ascii="宋体"/>
                <w:vanish/>
              </w:rPr>
            </w:pPr>
          </w:p>
        </w:tc>
        <w:tc>
          <w:tcPr>
            <w:tcW w:w="0" w:type="auto"/>
            <w:gridSpan w:val="3"/>
            <w:shd w:val="clear" w:color="auto" w:fill="auto"/>
            <w:vAlign w:val="bottom"/>
          </w:tcPr>
          <w:p w14:paraId="392C572C" w14:textId="77777777" w:rsidR="00980E5F" w:rsidRDefault="00980E5F">
            <w:pPr>
              <w:rPr>
                <w:rFonts w:ascii="宋体"/>
                <w:vanish/>
              </w:rPr>
            </w:pPr>
          </w:p>
        </w:tc>
        <w:tc>
          <w:tcPr>
            <w:tcW w:w="0" w:type="auto"/>
            <w:gridSpan w:val="3"/>
            <w:shd w:val="clear" w:color="auto" w:fill="auto"/>
            <w:vAlign w:val="bottom"/>
          </w:tcPr>
          <w:p w14:paraId="392C572D" w14:textId="77777777" w:rsidR="00980E5F" w:rsidRDefault="00980E5F">
            <w:pPr>
              <w:rPr>
                <w:rFonts w:ascii="宋体"/>
                <w:vanish/>
              </w:rPr>
            </w:pPr>
          </w:p>
        </w:tc>
        <w:tc>
          <w:tcPr>
            <w:tcW w:w="0" w:type="auto"/>
            <w:gridSpan w:val="3"/>
            <w:shd w:val="clear" w:color="auto" w:fill="auto"/>
            <w:vAlign w:val="bottom"/>
          </w:tcPr>
          <w:p w14:paraId="392C572E" w14:textId="77777777" w:rsidR="00980E5F" w:rsidRDefault="00980E5F">
            <w:pPr>
              <w:rPr>
                <w:rFonts w:ascii="宋体"/>
                <w:vanish/>
              </w:rPr>
            </w:pPr>
          </w:p>
        </w:tc>
        <w:tc>
          <w:tcPr>
            <w:tcW w:w="0" w:type="auto"/>
            <w:gridSpan w:val="3"/>
            <w:shd w:val="clear" w:color="auto" w:fill="auto"/>
            <w:vAlign w:val="bottom"/>
          </w:tcPr>
          <w:p w14:paraId="392C572F" w14:textId="77777777" w:rsidR="00980E5F" w:rsidRDefault="00980E5F">
            <w:pPr>
              <w:rPr>
                <w:rFonts w:ascii="宋体"/>
                <w:vanish/>
              </w:rPr>
            </w:pPr>
          </w:p>
        </w:tc>
        <w:tc>
          <w:tcPr>
            <w:tcW w:w="0" w:type="auto"/>
            <w:gridSpan w:val="3"/>
            <w:shd w:val="clear" w:color="auto" w:fill="auto"/>
            <w:vAlign w:val="bottom"/>
          </w:tcPr>
          <w:p w14:paraId="392C5730" w14:textId="77777777" w:rsidR="00980E5F" w:rsidRDefault="00980E5F">
            <w:pPr>
              <w:rPr>
                <w:rFonts w:ascii="宋体"/>
                <w:vanish/>
              </w:rPr>
            </w:pPr>
          </w:p>
        </w:tc>
        <w:tc>
          <w:tcPr>
            <w:tcW w:w="0" w:type="auto"/>
            <w:gridSpan w:val="3"/>
            <w:shd w:val="clear" w:color="auto" w:fill="auto"/>
            <w:vAlign w:val="bottom"/>
          </w:tcPr>
          <w:p w14:paraId="392C5731" w14:textId="77777777" w:rsidR="00980E5F" w:rsidRDefault="00980E5F">
            <w:pPr>
              <w:rPr>
                <w:rFonts w:ascii="宋体"/>
                <w:vanish/>
              </w:rPr>
            </w:pPr>
          </w:p>
        </w:tc>
        <w:tc>
          <w:tcPr>
            <w:tcW w:w="0" w:type="auto"/>
            <w:gridSpan w:val="3"/>
            <w:shd w:val="clear" w:color="auto" w:fill="auto"/>
            <w:vAlign w:val="bottom"/>
          </w:tcPr>
          <w:p w14:paraId="392C5732" w14:textId="77777777" w:rsidR="00980E5F" w:rsidRDefault="00980E5F">
            <w:pPr>
              <w:rPr>
                <w:rFonts w:ascii="宋体"/>
                <w:vanish/>
              </w:rPr>
            </w:pPr>
          </w:p>
        </w:tc>
        <w:tc>
          <w:tcPr>
            <w:tcW w:w="0" w:type="auto"/>
            <w:gridSpan w:val="3"/>
            <w:shd w:val="clear" w:color="auto" w:fill="auto"/>
            <w:vAlign w:val="bottom"/>
          </w:tcPr>
          <w:p w14:paraId="392C5733" w14:textId="77777777" w:rsidR="00980E5F" w:rsidRDefault="00980E5F">
            <w:pPr>
              <w:rPr>
                <w:rFonts w:ascii="宋体"/>
                <w:vanish/>
              </w:rPr>
            </w:pPr>
          </w:p>
        </w:tc>
        <w:tc>
          <w:tcPr>
            <w:tcW w:w="0" w:type="auto"/>
            <w:gridSpan w:val="3"/>
            <w:shd w:val="clear" w:color="auto" w:fill="auto"/>
            <w:vAlign w:val="bottom"/>
          </w:tcPr>
          <w:p w14:paraId="392C5734" w14:textId="77777777" w:rsidR="00980E5F" w:rsidRDefault="00980E5F">
            <w:pPr>
              <w:rPr>
                <w:rFonts w:ascii="宋体"/>
                <w:vanish/>
              </w:rPr>
            </w:pPr>
          </w:p>
        </w:tc>
        <w:tc>
          <w:tcPr>
            <w:tcW w:w="0" w:type="auto"/>
            <w:gridSpan w:val="3"/>
            <w:shd w:val="clear" w:color="auto" w:fill="auto"/>
            <w:vAlign w:val="bottom"/>
          </w:tcPr>
          <w:p w14:paraId="392C5735" w14:textId="77777777" w:rsidR="00980E5F" w:rsidRDefault="00980E5F">
            <w:pPr>
              <w:rPr>
                <w:rFonts w:ascii="宋体"/>
                <w:vanish/>
              </w:rPr>
            </w:pPr>
          </w:p>
        </w:tc>
        <w:tc>
          <w:tcPr>
            <w:tcW w:w="0" w:type="auto"/>
            <w:gridSpan w:val="3"/>
            <w:shd w:val="clear" w:color="auto" w:fill="auto"/>
            <w:vAlign w:val="bottom"/>
          </w:tcPr>
          <w:p w14:paraId="392C5736" w14:textId="77777777" w:rsidR="00980E5F" w:rsidRDefault="00980E5F">
            <w:pPr>
              <w:rPr>
                <w:rFonts w:ascii="宋体"/>
                <w:vanish/>
              </w:rPr>
            </w:pPr>
          </w:p>
        </w:tc>
        <w:tc>
          <w:tcPr>
            <w:tcW w:w="0" w:type="auto"/>
            <w:gridSpan w:val="3"/>
            <w:shd w:val="clear" w:color="auto" w:fill="auto"/>
            <w:vAlign w:val="bottom"/>
          </w:tcPr>
          <w:p w14:paraId="392C5737" w14:textId="77777777" w:rsidR="00980E5F" w:rsidRDefault="00980E5F">
            <w:pPr>
              <w:rPr>
                <w:rFonts w:ascii="宋体"/>
                <w:vanish/>
              </w:rPr>
            </w:pPr>
          </w:p>
        </w:tc>
        <w:tc>
          <w:tcPr>
            <w:tcW w:w="0" w:type="auto"/>
            <w:gridSpan w:val="3"/>
            <w:shd w:val="clear" w:color="auto" w:fill="auto"/>
            <w:vAlign w:val="bottom"/>
          </w:tcPr>
          <w:p w14:paraId="392C5738" w14:textId="77777777" w:rsidR="00980E5F" w:rsidRDefault="00980E5F">
            <w:pPr>
              <w:rPr>
                <w:rFonts w:ascii="宋体"/>
                <w:vanish/>
              </w:rPr>
            </w:pPr>
          </w:p>
        </w:tc>
        <w:tc>
          <w:tcPr>
            <w:tcW w:w="0" w:type="auto"/>
            <w:gridSpan w:val="3"/>
            <w:shd w:val="clear" w:color="auto" w:fill="auto"/>
            <w:vAlign w:val="bottom"/>
          </w:tcPr>
          <w:p w14:paraId="392C5739" w14:textId="77777777" w:rsidR="00980E5F" w:rsidRDefault="00980E5F">
            <w:pPr>
              <w:rPr>
                <w:rFonts w:ascii="宋体"/>
                <w:vanish/>
              </w:rPr>
            </w:pPr>
          </w:p>
        </w:tc>
        <w:tc>
          <w:tcPr>
            <w:tcW w:w="0" w:type="auto"/>
            <w:gridSpan w:val="2"/>
            <w:shd w:val="clear" w:color="auto" w:fill="auto"/>
            <w:vAlign w:val="bottom"/>
          </w:tcPr>
          <w:p w14:paraId="392C573A" w14:textId="77777777" w:rsidR="00980E5F" w:rsidRDefault="00980E5F">
            <w:pPr>
              <w:rPr>
                <w:rFonts w:ascii="宋体"/>
                <w:vanish/>
              </w:rPr>
            </w:pPr>
          </w:p>
        </w:tc>
        <w:tc>
          <w:tcPr>
            <w:tcW w:w="0" w:type="auto"/>
            <w:shd w:val="clear" w:color="auto" w:fill="auto"/>
            <w:vAlign w:val="bottom"/>
          </w:tcPr>
          <w:p w14:paraId="392C573B" w14:textId="77777777" w:rsidR="00980E5F" w:rsidRDefault="00980E5F">
            <w:pPr>
              <w:rPr>
                <w:rFonts w:ascii="宋体"/>
                <w:vanish/>
              </w:rPr>
            </w:pPr>
          </w:p>
        </w:tc>
      </w:tr>
      <w:tr w:rsidR="00980E5F" w14:paraId="392C5753" w14:textId="77777777">
        <w:trPr>
          <w:hidden/>
        </w:trPr>
        <w:tc>
          <w:tcPr>
            <w:tcW w:w="0" w:type="auto"/>
            <w:gridSpan w:val="3"/>
            <w:shd w:val="clear" w:color="auto" w:fill="auto"/>
            <w:vAlign w:val="bottom"/>
          </w:tcPr>
          <w:p w14:paraId="392C573D" w14:textId="77777777" w:rsidR="00980E5F" w:rsidRDefault="00980E5F">
            <w:pPr>
              <w:rPr>
                <w:rFonts w:ascii="宋体"/>
                <w:vanish/>
              </w:rPr>
            </w:pPr>
          </w:p>
        </w:tc>
        <w:tc>
          <w:tcPr>
            <w:tcW w:w="0" w:type="auto"/>
            <w:gridSpan w:val="3"/>
            <w:shd w:val="clear" w:color="auto" w:fill="auto"/>
            <w:vAlign w:val="bottom"/>
          </w:tcPr>
          <w:p w14:paraId="392C573E" w14:textId="77777777" w:rsidR="00980E5F" w:rsidRDefault="00980E5F">
            <w:pPr>
              <w:rPr>
                <w:rFonts w:ascii="宋体"/>
                <w:vanish/>
              </w:rPr>
            </w:pPr>
          </w:p>
        </w:tc>
        <w:tc>
          <w:tcPr>
            <w:tcW w:w="0" w:type="auto"/>
            <w:gridSpan w:val="3"/>
            <w:shd w:val="clear" w:color="auto" w:fill="auto"/>
            <w:vAlign w:val="bottom"/>
          </w:tcPr>
          <w:p w14:paraId="392C573F" w14:textId="77777777" w:rsidR="00980E5F" w:rsidRDefault="00980E5F">
            <w:pPr>
              <w:rPr>
                <w:rFonts w:ascii="宋体"/>
                <w:vanish/>
              </w:rPr>
            </w:pPr>
          </w:p>
        </w:tc>
        <w:tc>
          <w:tcPr>
            <w:tcW w:w="0" w:type="auto"/>
            <w:gridSpan w:val="3"/>
            <w:shd w:val="clear" w:color="auto" w:fill="auto"/>
            <w:vAlign w:val="bottom"/>
          </w:tcPr>
          <w:p w14:paraId="392C5740" w14:textId="77777777" w:rsidR="00980E5F" w:rsidRDefault="00980E5F">
            <w:pPr>
              <w:rPr>
                <w:rFonts w:ascii="宋体"/>
                <w:vanish/>
              </w:rPr>
            </w:pPr>
          </w:p>
        </w:tc>
        <w:tc>
          <w:tcPr>
            <w:tcW w:w="0" w:type="auto"/>
            <w:gridSpan w:val="3"/>
            <w:shd w:val="clear" w:color="auto" w:fill="auto"/>
            <w:vAlign w:val="bottom"/>
          </w:tcPr>
          <w:p w14:paraId="392C5741" w14:textId="77777777" w:rsidR="00980E5F" w:rsidRDefault="00980E5F">
            <w:pPr>
              <w:rPr>
                <w:rFonts w:ascii="宋体"/>
                <w:vanish/>
              </w:rPr>
            </w:pPr>
          </w:p>
        </w:tc>
        <w:tc>
          <w:tcPr>
            <w:tcW w:w="0" w:type="auto"/>
            <w:gridSpan w:val="3"/>
            <w:shd w:val="clear" w:color="auto" w:fill="auto"/>
            <w:vAlign w:val="bottom"/>
          </w:tcPr>
          <w:p w14:paraId="392C5742" w14:textId="77777777" w:rsidR="00980E5F" w:rsidRDefault="00980E5F">
            <w:pPr>
              <w:rPr>
                <w:rFonts w:ascii="宋体"/>
                <w:vanish/>
              </w:rPr>
            </w:pPr>
          </w:p>
        </w:tc>
        <w:tc>
          <w:tcPr>
            <w:tcW w:w="0" w:type="auto"/>
            <w:gridSpan w:val="3"/>
            <w:shd w:val="clear" w:color="auto" w:fill="auto"/>
            <w:vAlign w:val="bottom"/>
          </w:tcPr>
          <w:p w14:paraId="392C5743" w14:textId="77777777" w:rsidR="00980E5F" w:rsidRDefault="00980E5F">
            <w:pPr>
              <w:rPr>
                <w:rFonts w:ascii="宋体"/>
                <w:vanish/>
              </w:rPr>
            </w:pPr>
          </w:p>
        </w:tc>
        <w:tc>
          <w:tcPr>
            <w:tcW w:w="0" w:type="auto"/>
            <w:gridSpan w:val="3"/>
            <w:shd w:val="clear" w:color="auto" w:fill="auto"/>
            <w:vAlign w:val="bottom"/>
          </w:tcPr>
          <w:p w14:paraId="392C5744" w14:textId="77777777" w:rsidR="00980E5F" w:rsidRDefault="00980E5F">
            <w:pPr>
              <w:rPr>
                <w:rFonts w:ascii="宋体"/>
                <w:vanish/>
              </w:rPr>
            </w:pPr>
          </w:p>
        </w:tc>
        <w:tc>
          <w:tcPr>
            <w:tcW w:w="0" w:type="auto"/>
            <w:gridSpan w:val="3"/>
            <w:shd w:val="clear" w:color="auto" w:fill="auto"/>
            <w:vAlign w:val="bottom"/>
          </w:tcPr>
          <w:p w14:paraId="392C5745" w14:textId="77777777" w:rsidR="00980E5F" w:rsidRDefault="00980E5F">
            <w:pPr>
              <w:rPr>
                <w:rFonts w:ascii="宋体"/>
                <w:vanish/>
              </w:rPr>
            </w:pPr>
          </w:p>
        </w:tc>
        <w:tc>
          <w:tcPr>
            <w:tcW w:w="0" w:type="auto"/>
            <w:gridSpan w:val="3"/>
            <w:shd w:val="clear" w:color="auto" w:fill="auto"/>
            <w:vAlign w:val="bottom"/>
          </w:tcPr>
          <w:p w14:paraId="392C5746" w14:textId="77777777" w:rsidR="00980E5F" w:rsidRDefault="00980E5F">
            <w:pPr>
              <w:rPr>
                <w:rFonts w:ascii="宋体"/>
                <w:vanish/>
              </w:rPr>
            </w:pPr>
          </w:p>
        </w:tc>
        <w:tc>
          <w:tcPr>
            <w:tcW w:w="0" w:type="auto"/>
            <w:gridSpan w:val="3"/>
            <w:shd w:val="clear" w:color="auto" w:fill="auto"/>
            <w:vAlign w:val="bottom"/>
          </w:tcPr>
          <w:p w14:paraId="392C5747" w14:textId="77777777" w:rsidR="00980E5F" w:rsidRDefault="00980E5F">
            <w:pPr>
              <w:rPr>
                <w:rFonts w:ascii="宋体"/>
                <w:vanish/>
              </w:rPr>
            </w:pPr>
          </w:p>
        </w:tc>
        <w:tc>
          <w:tcPr>
            <w:tcW w:w="0" w:type="auto"/>
            <w:gridSpan w:val="3"/>
            <w:shd w:val="clear" w:color="auto" w:fill="auto"/>
            <w:vAlign w:val="bottom"/>
          </w:tcPr>
          <w:p w14:paraId="392C5748" w14:textId="77777777" w:rsidR="00980E5F" w:rsidRDefault="00980E5F">
            <w:pPr>
              <w:rPr>
                <w:rFonts w:ascii="宋体"/>
                <w:vanish/>
              </w:rPr>
            </w:pPr>
          </w:p>
        </w:tc>
        <w:tc>
          <w:tcPr>
            <w:tcW w:w="0" w:type="auto"/>
            <w:gridSpan w:val="3"/>
            <w:shd w:val="clear" w:color="auto" w:fill="auto"/>
            <w:vAlign w:val="bottom"/>
          </w:tcPr>
          <w:p w14:paraId="392C5749" w14:textId="77777777" w:rsidR="00980E5F" w:rsidRDefault="00980E5F">
            <w:pPr>
              <w:rPr>
                <w:rFonts w:ascii="宋体"/>
                <w:vanish/>
              </w:rPr>
            </w:pPr>
          </w:p>
        </w:tc>
        <w:tc>
          <w:tcPr>
            <w:tcW w:w="0" w:type="auto"/>
            <w:gridSpan w:val="3"/>
            <w:shd w:val="clear" w:color="auto" w:fill="auto"/>
            <w:vAlign w:val="bottom"/>
          </w:tcPr>
          <w:p w14:paraId="392C574A" w14:textId="77777777" w:rsidR="00980E5F" w:rsidRDefault="00980E5F">
            <w:pPr>
              <w:rPr>
                <w:rFonts w:ascii="宋体"/>
                <w:vanish/>
              </w:rPr>
            </w:pPr>
          </w:p>
        </w:tc>
        <w:tc>
          <w:tcPr>
            <w:tcW w:w="0" w:type="auto"/>
            <w:gridSpan w:val="3"/>
            <w:shd w:val="clear" w:color="auto" w:fill="auto"/>
            <w:vAlign w:val="bottom"/>
          </w:tcPr>
          <w:p w14:paraId="392C574B" w14:textId="77777777" w:rsidR="00980E5F" w:rsidRDefault="00980E5F">
            <w:pPr>
              <w:rPr>
                <w:rFonts w:ascii="宋体"/>
                <w:vanish/>
              </w:rPr>
            </w:pPr>
          </w:p>
        </w:tc>
        <w:tc>
          <w:tcPr>
            <w:tcW w:w="0" w:type="auto"/>
            <w:gridSpan w:val="3"/>
            <w:shd w:val="clear" w:color="auto" w:fill="auto"/>
            <w:vAlign w:val="bottom"/>
          </w:tcPr>
          <w:p w14:paraId="392C574C" w14:textId="77777777" w:rsidR="00980E5F" w:rsidRDefault="00980E5F">
            <w:pPr>
              <w:rPr>
                <w:rFonts w:ascii="宋体"/>
                <w:vanish/>
              </w:rPr>
            </w:pPr>
          </w:p>
        </w:tc>
        <w:tc>
          <w:tcPr>
            <w:tcW w:w="0" w:type="auto"/>
            <w:gridSpan w:val="3"/>
            <w:shd w:val="clear" w:color="auto" w:fill="auto"/>
            <w:vAlign w:val="bottom"/>
          </w:tcPr>
          <w:p w14:paraId="392C574D" w14:textId="77777777" w:rsidR="00980E5F" w:rsidRDefault="00980E5F">
            <w:pPr>
              <w:rPr>
                <w:rFonts w:ascii="宋体"/>
                <w:vanish/>
              </w:rPr>
            </w:pPr>
          </w:p>
        </w:tc>
        <w:tc>
          <w:tcPr>
            <w:tcW w:w="0" w:type="auto"/>
            <w:gridSpan w:val="3"/>
            <w:shd w:val="clear" w:color="auto" w:fill="auto"/>
            <w:vAlign w:val="bottom"/>
          </w:tcPr>
          <w:p w14:paraId="392C574E" w14:textId="77777777" w:rsidR="00980E5F" w:rsidRDefault="00980E5F">
            <w:pPr>
              <w:rPr>
                <w:rFonts w:ascii="宋体"/>
                <w:vanish/>
              </w:rPr>
            </w:pPr>
          </w:p>
        </w:tc>
        <w:tc>
          <w:tcPr>
            <w:tcW w:w="0" w:type="auto"/>
            <w:gridSpan w:val="3"/>
            <w:shd w:val="clear" w:color="auto" w:fill="auto"/>
            <w:vAlign w:val="bottom"/>
          </w:tcPr>
          <w:p w14:paraId="392C574F" w14:textId="77777777" w:rsidR="00980E5F" w:rsidRDefault="00980E5F">
            <w:pPr>
              <w:rPr>
                <w:rFonts w:ascii="宋体"/>
                <w:vanish/>
              </w:rPr>
            </w:pPr>
          </w:p>
        </w:tc>
        <w:tc>
          <w:tcPr>
            <w:tcW w:w="0" w:type="auto"/>
            <w:gridSpan w:val="3"/>
            <w:shd w:val="clear" w:color="auto" w:fill="auto"/>
            <w:vAlign w:val="bottom"/>
          </w:tcPr>
          <w:p w14:paraId="392C5750" w14:textId="77777777" w:rsidR="00980E5F" w:rsidRDefault="00980E5F">
            <w:pPr>
              <w:rPr>
                <w:rFonts w:ascii="宋体"/>
                <w:vanish/>
              </w:rPr>
            </w:pPr>
          </w:p>
        </w:tc>
        <w:tc>
          <w:tcPr>
            <w:tcW w:w="0" w:type="auto"/>
            <w:gridSpan w:val="2"/>
            <w:shd w:val="clear" w:color="auto" w:fill="auto"/>
            <w:vAlign w:val="bottom"/>
          </w:tcPr>
          <w:p w14:paraId="392C5751" w14:textId="77777777" w:rsidR="00980E5F" w:rsidRDefault="00980E5F">
            <w:pPr>
              <w:rPr>
                <w:rFonts w:ascii="宋体"/>
                <w:vanish/>
              </w:rPr>
            </w:pPr>
          </w:p>
        </w:tc>
        <w:tc>
          <w:tcPr>
            <w:tcW w:w="0" w:type="auto"/>
            <w:shd w:val="clear" w:color="auto" w:fill="auto"/>
            <w:vAlign w:val="bottom"/>
          </w:tcPr>
          <w:p w14:paraId="392C5752" w14:textId="77777777" w:rsidR="00980E5F" w:rsidRDefault="00980E5F">
            <w:pPr>
              <w:rPr>
                <w:rFonts w:ascii="宋体"/>
                <w:vanish/>
              </w:rPr>
            </w:pPr>
          </w:p>
        </w:tc>
      </w:tr>
      <w:tr w:rsidR="00980E5F" w14:paraId="392C576A" w14:textId="77777777">
        <w:trPr>
          <w:hidden/>
        </w:trPr>
        <w:tc>
          <w:tcPr>
            <w:tcW w:w="0" w:type="auto"/>
            <w:gridSpan w:val="3"/>
            <w:shd w:val="clear" w:color="auto" w:fill="auto"/>
            <w:vAlign w:val="bottom"/>
          </w:tcPr>
          <w:p w14:paraId="392C5754" w14:textId="77777777" w:rsidR="00980E5F" w:rsidRDefault="00980E5F">
            <w:pPr>
              <w:rPr>
                <w:rFonts w:ascii="宋体"/>
                <w:vanish/>
              </w:rPr>
            </w:pPr>
          </w:p>
        </w:tc>
        <w:tc>
          <w:tcPr>
            <w:tcW w:w="0" w:type="auto"/>
            <w:gridSpan w:val="3"/>
            <w:shd w:val="clear" w:color="auto" w:fill="auto"/>
            <w:vAlign w:val="bottom"/>
          </w:tcPr>
          <w:p w14:paraId="392C5755" w14:textId="77777777" w:rsidR="00980E5F" w:rsidRDefault="00980E5F">
            <w:pPr>
              <w:rPr>
                <w:rFonts w:ascii="宋体"/>
                <w:vanish/>
              </w:rPr>
            </w:pPr>
          </w:p>
        </w:tc>
        <w:tc>
          <w:tcPr>
            <w:tcW w:w="0" w:type="auto"/>
            <w:gridSpan w:val="3"/>
            <w:shd w:val="clear" w:color="auto" w:fill="auto"/>
            <w:vAlign w:val="bottom"/>
          </w:tcPr>
          <w:p w14:paraId="392C5756" w14:textId="77777777" w:rsidR="00980E5F" w:rsidRDefault="00980E5F">
            <w:pPr>
              <w:rPr>
                <w:rFonts w:ascii="宋体"/>
                <w:vanish/>
              </w:rPr>
            </w:pPr>
          </w:p>
        </w:tc>
        <w:tc>
          <w:tcPr>
            <w:tcW w:w="0" w:type="auto"/>
            <w:gridSpan w:val="3"/>
            <w:shd w:val="clear" w:color="auto" w:fill="auto"/>
            <w:vAlign w:val="bottom"/>
          </w:tcPr>
          <w:p w14:paraId="392C5757" w14:textId="77777777" w:rsidR="00980E5F" w:rsidRDefault="00980E5F">
            <w:pPr>
              <w:rPr>
                <w:rFonts w:ascii="宋体"/>
                <w:vanish/>
              </w:rPr>
            </w:pPr>
          </w:p>
        </w:tc>
        <w:tc>
          <w:tcPr>
            <w:tcW w:w="0" w:type="auto"/>
            <w:gridSpan w:val="3"/>
            <w:shd w:val="clear" w:color="auto" w:fill="auto"/>
            <w:vAlign w:val="bottom"/>
          </w:tcPr>
          <w:p w14:paraId="392C5758" w14:textId="77777777" w:rsidR="00980E5F" w:rsidRDefault="00980E5F">
            <w:pPr>
              <w:rPr>
                <w:rFonts w:ascii="宋体"/>
                <w:vanish/>
              </w:rPr>
            </w:pPr>
          </w:p>
        </w:tc>
        <w:tc>
          <w:tcPr>
            <w:tcW w:w="0" w:type="auto"/>
            <w:gridSpan w:val="3"/>
            <w:shd w:val="clear" w:color="auto" w:fill="auto"/>
            <w:vAlign w:val="bottom"/>
          </w:tcPr>
          <w:p w14:paraId="392C5759" w14:textId="77777777" w:rsidR="00980E5F" w:rsidRDefault="00980E5F">
            <w:pPr>
              <w:rPr>
                <w:rFonts w:ascii="宋体"/>
                <w:vanish/>
              </w:rPr>
            </w:pPr>
          </w:p>
        </w:tc>
        <w:tc>
          <w:tcPr>
            <w:tcW w:w="0" w:type="auto"/>
            <w:gridSpan w:val="3"/>
            <w:shd w:val="clear" w:color="auto" w:fill="auto"/>
            <w:vAlign w:val="bottom"/>
          </w:tcPr>
          <w:p w14:paraId="392C575A" w14:textId="77777777" w:rsidR="00980E5F" w:rsidRDefault="00980E5F">
            <w:pPr>
              <w:rPr>
                <w:rFonts w:ascii="宋体"/>
                <w:vanish/>
              </w:rPr>
            </w:pPr>
          </w:p>
        </w:tc>
        <w:tc>
          <w:tcPr>
            <w:tcW w:w="0" w:type="auto"/>
            <w:gridSpan w:val="3"/>
            <w:shd w:val="clear" w:color="auto" w:fill="auto"/>
            <w:vAlign w:val="bottom"/>
          </w:tcPr>
          <w:p w14:paraId="392C575B" w14:textId="77777777" w:rsidR="00980E5F" w:rsidRDefault="00980E5F">
            <w:pPr>
              <w:rPr>
                <w:rFonts w:ascii="宋体"/>
                <w:vanish/>
              </w:rPr>
            </w:pPr>
          </w:p>
        </w:tc>
        <w:tc>
          <w:tcPr>
            <w:tcW w:w="0" w:type="auto"/>
            <w:gridSpan w:val="3"/>
            <w:shd w:val="clear" w:color="auto" w:fill="auto"/>
            <w:vAlign w:val="bottom"/>
          </w:tcPr>
          <w:p w14:paraId="392C575C" w14:textId="77777777" w:rsidR="00980E5F" w:rsidRDefault="00980E5F">
            <w:pPr>
              <w:rPr>
                <w:rFonts w:ascii="宋体"/>
                <w:vanish/>
              </w:rPr>
            </w:pPr>
          </w:p>
        </w:tc>
        <w:tc>
          <w:tcPr>
            <w:tcW w:w="0" w:type="auto"/>
            <w:gridSpan w:val="3"/>
            <w:shd w:val="clear" w:color="auto" w:fill="auto"/>
            <w:vAlign w:val="bottom"/>
          </w:tcPr>
          <w:p w14:paraId="392C575D" w14:textId="77777777" w:rsidR="00980E5F" w:rsidRDefault="00980E5F">
            <w:pPr>
              <w:rPr>
                <w:rFonts w:ascii="宋体"/>
                <w:vanish/>
              </w:rPr>
            </w:pPr>
          </w:p>
        </w:tc>
        <w:tc>
          <w:tcPr>
            <w:tcW w:w="0" w:type="auto"/>
            <w:gridSpan w:val="3"/>
            <w:shd w:val="clear" w:color="auto" w:fill="auto"/>
            <w:vAlign w:val="bottom"/>
          </w:tcPr>
          <w:p w14:paraId="392C575E" w14:textId="77777777" w:rsidR="00980E5F" w:rsidRDefault="00980E5F">
            <w:pPr>
              <w:rPr>
                <w:rFonts w:ascii="宋体"/>
                <w:vanish/>
              </w:rPr>
            </w:pPr>
          </w:p>
        </w:tc>
        <w:tc>
          <w:tcPr>
            <w:tcW w:w="0" w:type="auto"/>
            <w:gridSpan w:val="3"/>
            <w:shd w:val="clear" w:color="auto" w:fill="auto"/>
            <w:vAlign w:val="bottom"/>
          </w:tcPr>
          <w:p w14:paraId="392C575F" w14:textId="77777777" w:rsidR="00980E5F" w:rsidRDefault="00980E5F">
            <w:pPr>
              <w:rPr>
                <w:rFonts w:ascii="宋体"/>
                <w:vanish/>
              </w:rPr>
            </w:pPr>
          </w:p>
        </w:tc>
        <w:tc>
          <w:tcPr>
            <w:tcW w:w="0" w:type="auto"/>
            <w:gridSpan w:val="3"/>
            <w:shd w:val="clear" w:color="auto" w:fill="auto"/>
            <w:vAlign w:val="bottom"/>
          </w:tcPr>
          <w:p w14:paraId="392C5760" w14:textId="77777777" w:rsidR="00980E5F" w:rsidRDefault="00980E5F">
            <w:pPr>
              <w:rPr>
                <w:rFonts w:ascii="宋体"/>
                <w:vanish/>
              </w:rPr>
            </w:pPr>
          </w:p>
        </w:tc>
        <w:tc>
          <w:tcPr>
            <w:tcW w:w="0" w:type="auto"/>
            <w:gridSpan w:val="3"/>
            <w:shd w:val="clear" w:color="auto" w:fill="auto"/>
            <w:vAlign w:val="bottom"/>
          </w:tcPr>
          <w:p w14:paraId="392C5761" w14:textId="77777777" w:rsidR="00980E5F" w:rsidRDefault="00980E5F">
            <w:pPr>
              <w:rPr>
                <w:rFonts w:ascii="宋体"/>
                <w:vanish/>
              </w:rPr>
            </w:pPr>
          </w:p>
        </w:tc>
        <w:tc>
          <w:tcPr>
            <w:tcW w:w="0" w:type="auto"/>
            <w:gridSpan w:val="3"/>
            <w:shd w:val="clear" w:color="auto" w:fill="auto"/>
            <w:vAlign w:val="bottom"/>
          </w:tcPr>
          <w:p w14:paraId="392C5762" w14:textId="77777777" w:rsidR="00980E5F" w:rsidRDefault="00980E5F">
            <w:pPr>
              <w:rPr>
                <w:rFonts w:ascii="宋体"/>
                <w:vanish/>
              </w:rPr>
            </w:pPr>
          </w:p>
        </w:tc>
        <w:tc>
          <w:tcPr>
            <w:tcW w:w="0" w:type="auto"/>
            <w:gridSpan w:val="3"/>
            <w:shd w:val="clear" w:color="auto" w:fill="auto"/>
            <w:vAlign w:val="bottom"/>
          </w:tcPr>
          <w:p w14:paraId="392C5763" w14:textId="77777777" w:rsidR="00980E5F" w:rsidRDefault="00980E5F">
            <w:pPr>
              <w:rPr>
                <w:rFonts w:ascii="宋体"/>
                <w:vanish/>
              </w:rPr>
            </w:pPr>
          </w:p>
        </w:tc>
        <w:tc>
          <w:tcPr>
            <w:tcW w:w="0" w:type="auto"/>
            <w:gridSpan w:val="3"/>
            <w:shd w:val="clear" w:color="auto" w:fill="auto"/>
            <w:vAlign w:val="bottom"/>
          </w:tcPr>
          <w:p w14:paraId="392C5764" w14:textId="77777777" w:rsidR="00980E5F" w:rsidRDefault="00980E5F">
            <w:pPr>
              <w:rPr>
                <w:rFonts w:ascii="宋体"/>
                <w:vanish/>
              </w:rPr>
            </w:pPr>
          </w:p>
        </w:tc>
        <w:tc>
          <w:tcPr>
            <w:tcW w:w="0" w:type="auto"/>
            <w:gridSpan w:val="3"/>
            <w:shd w:val="clear" w:color="auto" w:fill="auto"/>
            <w:vAlign w:val="bottom"/>
          </w:tcPr>
          <w:p w14:paraId="392C5765" w14:textId="77777777" w:rsidR="00980E5F" w:rsidRDefault="00980E5F">
            <w:pPr>
              <w:rPr>
                <w:rFonts w:ascii="宋体"/>
                <w:vanish/>
              </w:rPr>
            </w:pPr>
          </w:p>
        </w:tc>
        <w:tc>
          <w:tcPr>
            <w:tcW w:w="0" w:type="auto"/>
            <w:gridSpan w:val="3"/>
            <w:shd w:val="clear" w:color="auto" w:fill="auto"/>
            <w:vAlign w:val="bottom"/>
          </w:tcPr>
          <w:p w14:paraId="392C5766" w14:textId="77777777" w:rsidR="00980E5F" w:rsidRDefault="00980E5F">
            <w:pPr>
              <w:rPr>
                <w:rFonts w:ascii="宋体"/>
                <w:vanish/>
              </w:rPr>
            </w:pPr>
          </w:p>
        </w:tc>
        <w:tc>
          <w:tcPr>
            <w:tcW w:w="0" w:type="auto"/>
            <w:gridSpan w:val="3"/>
            <w:shd w:val="clear" w:color="auto" w:fill="auto"/>
            <w:vAlign w:val="bottom"/>
          </w:tcPr>
          <w:p w14:paraId="392C5767" w14:textId="77777777" w:rsidR="00980E5F" w:rsidRDefault="00980E5F">
            <w:pPr>
              <w:rPr>
                <w:rFonts w:ascii="宋体"/>
                <w:vanish/>
              </w:rPr>
            </w:pPr>
          </w:p>
        </w:tc>
        <w:tc>
          <w:tcPr>
            <w:tcW w:w="0" w:type="auto"/>
            <w:gridSpan w:val="2"/>
            <w:shd w:val="clear" w:color="auto" w:fill="auto"/>
            <w:vAlign w:val="bottom"/>
          </w:tcPr>
          <w:p w14:paraId="392C5768" w14:textId="77777777" w:rsidR="00980E5F" w:rsidRDefault="00980E5F">
            <w:pPr>
              <w:rPr>
                <w:rFonts w:ascii="宋体"/>
                <w:vanish/>
              </w:rPr>
            </w:pPr>
          </w:p>
        </w:tc>
        <w:tc>
          <w:tcPr>
            <w:tcW w:w="0" w:type="auto"/>
            <w:shd w:val="clear" w:color="auto" w:fill="auto"/>
            <w:vAlign w:val="bottom"/>
          </w:tcPr>
          <w:p w14:paraId="392C5769" w14:textId="77777777" w:rsidR="00980E5F" w:rsidRDefault="00980E5F">
            <w:pPr>
              <w:rPr>
                <w:rFonts w:ascii="宋体"/>
                <w:vanish/>
              </w:rPr>
            </w:pPr>
          </w:p>
        </w:tc>
      </w:tr>
      <w:tr w:rsidR="00980E5F" w14:paraId="392C5781" w14:textId="77777777">
        <w:trPr>
          <w:hidden/>
        </w:trPr>
        <w:tc>
          <w:tcPr>
            <w:tcW w:w="0" w:type="auto"/>
            <w:gridSpan w:val="3"/>
            <w:shd w:val="clear" w:color="auto" w:fill="auto"/>
            <w:vAlign w:val="bottom"/>
          </w:tcPr>
          <w:p w14:paraId="392C576B" w14:textId="77777777" w:rsidR="00980E5F" w:rsidRDefault="00980E5F">
            <w:pPr>
              <w:rPr>
                <w:rFonts w:ascii="宋体"/>
                <w:vanish/>
              </w:rPr>
            </w:pPr>
          </w:p>
        </w:tc>
        <w:tc>
          <w:tcPr>
            <w:tcW w:w="0" w:type="auto"/>
            <w:gridSpan w:val="3"/>
            <w:shd w:val="clear" w:color="auto" w:fill="auto"/>
            <w:vAlign w:val="bottom"/>
          </w:tcPr>
          <w:p w14:paraId="392C576C" w14:textId="77777777" w:rsidR="00980E5F" w:rsidRDefault="00980E5F">
            <w:pPr>
              <w:rPr>
                <w:rFonts w:ascii="宋体"/>
                <w:vanish/>
              </w:rPr>
            </w:pPr>
          </w:p>
        </w:tc>
        <w:tc>
          <w:tcPr>
            <w:tcW w:w="0" w:type="auto"/>
            <w:gridSpan w:val="3"/>
            <w:shd w:val="clear" w:color="auto" w:fill="auto"/>
            <w:vAlign w:val="bottom"/>
          </w:tcPr>
          <w:p w14:paraId="392C576D" w14:textId="77777777" w:rsidR="00980E5F" w:rsidRDefault="00980E5F">
            <w:pPr>
              <w:rPr>
                <w:rFonts w:ascii="宋体"/>
                <w:vanish/>
              </w:rPr>
            </w:pPr>
          </w:p>
        </w:tc>
        <w:tc>
          <w:tcPr>
            <w:tcW w:w="0" w:type="auto"/>
            <w:gridSpan w:val="3"/>
            <w:shd w:val="clear" w:color="auto" w:fill="auto"/>
            <w:vAlign w:val="bottom"/>
          </w:tcPr>
          <w:p w14:paraId="392C576E" w14:textId="77777777" w:rsidR="00980E5F" w:rsidRDefault="00980E5F">
            <w:pPr>
              <w:rPr>
                <w:rFonts w:ascii="宋体"/>
                <w:vanish/>
              </w:rPr>
            </w:pPr>
          </w:p>
        </w:tc>
        <w:tc>
          <w:tcPr>
            <w:tcW w:w="0" w:type="auto"/>
            <w:gridSpan w:val="3"/>
            <w:shd w:val="clear" w:color="auto" w:fill="auto"/>
            <w:vAlign w:val="bottom"/>
          </w:tcPr>
          <w:p w14:paraId="392C576F" w14:textId="77777777" w:rsidR="00980E5F" w:rsidRDefault="00980E5F">
            <w:pPr>
              <w:rPr>
                <w:rFonts w:ascii="宋体"/>
                <w:vanish/>
              </w:rPr>
            </w:pPr>
          </w:p>
        </w:tc>
        <w:tc>
          <w:tcPr>
            <w:tcW w:w="0" w:type="auto"/>
            <w:gridSpan w:val="3"/>
            <w:shd w:val="clear" w:color="auto" w:fill="auto"/>
            <w:vAlign w:val="bottom"/>
          </w:tcPr>
          <w:p w14:paraId="392C5770" w14:textId="77777777" w:rsidR="00980E5F" w:rsidRDefault="00980E5F">
            <w:pPr>
              <w:rPr>
                <w:rFonts w:ascii="宋体"/>
                <w:vanish/>
              </w:rPr>
            </w:pPr>
          </w:p>
        </w:tc>
        <w:tc>
          <w:tcPr>
            <w:tcW w:w="0" w:type="auto"/>
            <w:gridSpan w:val="3"/>
            <w:shd w:val="clear" w:color="auto" w:fill="auto"/>
            <w:vAlign w:val="bottom"/>
          </w:tcPr>
          <w:p w14:paraId="392C5771" w14:textId="77777777" w:rsidR="00980E5F" w:rsidRDefault="00980E5F">
            <w:pPr>
              <w:rPr>
                <w:rFonts w:ascii="宋体"/>
                <w:vanish/>
              </w:rPr>
            </w:pPr>
          </w:p>
        </w:tc>
        <w:tc>
          <w:tcPr>
            <w:tcW w:w="0" w:type="auto"/>
            <w:gridSpan w:val="3"/>
            <w:shd w:val="clear" w:color="auto" w:fill="auto"/>
            <w:vAlign w:val="bottom"/>
          </w:tcPr>
          <w:p w14:paraId="392C5772" w14:textId="77777777" w:rsidR="00980E5F" w:rsidRDefault="00980E5F">
            <w:pPr>
              <w:rPr>
                <w:rFonts w:ascii="宋体"/>
                <w:vanish/>
              </w:rPr>
            </w:pPr>
          </w:p>
        </w:tc>
        <w:tc>
          <w:tcPr>
            <w:tcW w:w="0" w:type="auto"/>
            <w:gridSpan w:val="3"/>
            <w:shd w:val="clear" w:color="auto" w:fill="auto"/>
            <w:vAlign w:val="bottom"/>
          </w:tcPr>
          <w:p w14:paraId="392C5773" w14:textId="77777777" w:rsidR="00980E5F" w:rsidRDefault="00980E5F">
            <w:pPr>
              <w:rPr>
                <w:rFonts w:ascii="宋体"/>
                <w:vanish/>
              </w:rPr>
            </w:pPr>
          </w:p>
        </w:tc>
        <w:tc>
          <w:tcPr>
            <w:tcW w:w="0" w:type="auto"/>
            <w:gridSpan w:val="3"/>
            <w:shd w:val="clear" w:color="auto" w:fill="auto"/>
            <w:vAlign w:val="bottom"/>
          </w:tcPr>
          <w:p w14:paraId="392C5774" w14:textId="77777777" w:rsidR="00980E5F" w:rsidRDefault="00980E5F">
            <w:pPr>
              <w:rPr>
                <w:rFonts w:ascii="宋体"/>
                <w:vanish/>
              </w:rPr>
            </w:pPr>
          </w:p>
        </w:tc>
        <w:tc>
          <w:tcPr>
            <w:tcW w:w="0" w:type="auto"/>
            <w:gridSpan w:val="3"/>
            <w:shd w:val="clear" w:color="auto" w:fill="auto"/>
            <w:vAlign w:val="bottom"/>
          </w:tcPr>
          <w:p w14:paraId="392C5775" w14:textId="77777777" w:rsidR="00980E5F" w:rsidRDefault="00980E5F">
            <w:pPr>
              <w:rPr>
                <w:rFonts w:ascii="宋体"/>
                <w:vanish/>
              </w:rPr>
            </w:pPr>
          </w:p>
        </w:tc>
        <w:tc>
          <w:tcPr>
            <w:tcW w:w="0" w:type="auto"/>
            <w:gridSpan w:val="3"/>
            <w:shd w:val="clear" w:color="auto" w:fill="auto"/>
            <w:vAlign w:val="bottom"/>
          </w:tcPr>
          <w:p w14:paraId="392C5776" w14:textId="77777777" w:rsidR="00980E5F" w:rsidRDefault="00980E5F">
            <w:pPr>
              <w:rPr>
                <w:rFonts w:ascii="宋体"/>
                <w:vanish/>
              </w:rPr>
            </w:pPr>
          </w:p>
        </w:tc>
        <w:tc>
          <w:tcPr>
            <w:tcW w:w="0" w:type="auto"/>
            <w:gridSpan w:val="3"/>
            <w:shd w:val="clear" w:color="auto" w:fill="auto"/>
            <w:vAlign w:val="bottom"/>
          </w:tcPr>
          <w:p w14:paraId="392C5777" w14:textId="77777777" w:rsidR="00980E5F" w:rsidRDefault="00980E5F">
            <w:pPr>
              <w:rPr>
                <w:rFonts w:ascii="宋体"/>
                <w:vanish/>
              </w:rPr>
            </w:pPr>
          </w:p>
        </w:tc>
        <w:tc>
          <w:tcPr>
            <w:tcW w:w="0" w:type="auto"/>
            <w:gridSpan w:val="3"/>
            <w:shd w:val="clear" w:color="auto" w:fill="auto"/>
            <w:vAlign w:val="bottom"/>
          </w:tcPr>
          <w:p w14:paraId="392C5778" w14:textId="77777777" w:rsidR="00980E5F" w:rsidRDefault="00980E5F">
            <w:pPr>
              <w:rPr>
                <w:rFonts w:ascii="宋体"/>
                <w:vanish/>
              </w:rPr>
            </w:pPr>
          </w:p>
        </w:tc>
        <w:tc>
          <w:tcPr>
            <w:tcW w:w="0" w:type="auto"/>
            <w:gridSpan w:val="3"/>
            <w:shd w:val="clear" w:color="auto" w:fill="auto"/>
            <w:vAlign w:val="bottom"/>
          </w:tcPr>
          <w:p w14:paraId="392C5779" w14:textId="77777777" w:rsidR="00980E5F" w:rsidRDefault="00980E5F">
            <w:pPr>
              <w:rPr>
                <w:rFonts w:ascii="宋体"/>
                <w:vanish/>
              </w:rPr>
            </w:pPr>
          </w:p>
        </w:tc>
        <w:tc>
          <w:tcPr>
            <w:tcW w:w="0" w:type="auto"/>
            <w:gridSpan w:val="3"/>
            <w:shd w:val="clear" w:color="auto" w:fill="auto"/>
            <w:vAlign w:val="bottom"/>
          </w:tcPr>
          <w:p w14:paraId="392C577A" w14:textId="77777777" w:rsidR="00980E5F" w:rsidRDefault="00980E5F">
            <w:pPr>
              <w:rPr>
                <w:rFonts w:ascii="宋体"/>
                <w:vanish/>
              </w:rPr>
            </w:pPr>
          </w:p>
        </w:tc>
        <w:tc>
          <w:tcPr>
            <w:tcW w:w="0" w:type="auto"/>
            <w:gridSpan w:val="3"/>
            <w:shd w:val="clear" w:color="auto" w:fill="auto"/>
            <w:vAlign w:val="bottom"/>
          </w:tcPr>
          <w:p w14:paraId="392C577B" w14:textId="77777777" w:rsidR="00980E5F" w:rsidRDefault="00980E5F">
            <w:pPr>
              <w:rPr>
                <w:rFonts w:ascii="宋体"/>
                <w:vanish/>
              </w:rPr>
            </w:pPr>
          </w:p>
        </w:tc>
        <w:tc>
          <w:tcPr>
            <w:tcW w:w="0" w:type="auto"/>
            <w:gridSpan w:val="3"/>
            <w:shd w:val="clear" w:color="auto" w:fill="auto"/>
            <w:vAlign w:val="bottom"/>
          </w:tcPr>
          <w:p w14:paraId="392C577C" w14:textId="77777777" w:rsidR="00980E5F" w:rsidRDefault="00980E5F">
            <w:pPr>
              <w:rPr>
                <w:rFonts w:ascii="宋体"/>
                <w:vanish/>
              </w:rPr>
            </w:pPr>
          </w:p>
        </w:tc>
        <w:tc>
          <w:tcPr>
            <w:tcW w:w="0" w:type="auto"/>
            <w:gridSpan w:val="3"/>
            <w:shd w:val="clear" w:color="auto" w:fill="auto"/>
            <w:vAlign w:val="bottom"/>
          </w:tcPr>
          <w:p w14:paraId="392C577D" w14:textId="77777777" w:rsidR="00980E5F" w:rsidRDefault="00980E5F">
            <w:pPr>
              <w:rPr>
                <w:rFonts w:ascii="宋体"/>
                <w:vanish/>
              </w:rPr>
            </w:pPr>
          </w:p>
        </w:tc>
        <w:tc>
          <w:tcPr>
            <w:tcW w:w="0" w:type="auto"/>
            <w:gridSpan w:val="3"/>
            <w:shd w:val="clear" w:color="auto" w:fill="auto"/>
            <w:vAlign w:val="bottom"/>
          </w:tcPr>
          <w:p w14:paraId="392C577E" w14:textId="77777777" w:rsidR="00980E5F" w:rsidRDefault="00980E5F">
            <w:pPr>
              <w:rPr>
                <w:rFonts w:ascii="宋体"/>
                <w:vanish/>
              </w:rPr>
            </w:pPr>
          </w:p>
        </w:tc>
        <w:tc>
          <w:tcPr>
            <w:tcW w:w="0" w:type="auto"/>
            <w:gridSpan w:val="2"/>
            <w:shd w:val="clear" w:color="auto" w:fill="auto"/>
            <w:vAlign w:val="bottom"/>
          </w:tcPr>
          <w:p w14:paraId="392C577F" w14:textId="77777777" w:rsidR="00980E5F" w:rsidRDefault="00980E5F">
            <w:pPr>
              <w:rPr>
                <w:rFonts w:ascii="宋体"/>
                <w:vanish/>
              </w:rPr>
            </w:pPr>
          </w:p>
        </w:tc>
        <w:tc>
          <w:tcPr>
            <w:tcW w:w="0" w:type="auto"/>
            <w:shd w:val="clear" w:color="auto" w:fill="auto"/>
            <w:vAlign w:val="bottom"/>
          </w:tcPr>
          <w:p w14:paraId="392C5780" w14:textId="77777777" w:rsidR="00980E5F" w:rsidRDefault="00980E5F">
            <w:pPr>
              <w:rPr>
                <w:rFonts w:ascii="宋体"/>
                <w:vanish/>
              </w:rPr>
            </w:pPr>
          </w:p>
        </w:tc>
      </w:tr>
      <w:tr w:rsidR="00980E5F" w14:paraId="392C5798" w14:textId="77777777">
        <w:trPr>
          <w:hidden/>
        </w:trPr>
        <w:tc>
          <w:tcPr>
            <w:tcW w:w="0" w:type="auto"/>
            <w:gridSpan w:val="3"/>
            <w:shd w:val="clear" w:color="auto" w:fill="auto"/>
            <w:vAlign w:val="bottom"/>
          </w:tcPr>
          <w:p w14:paraId="392C5782" w14:textId="77777777" w:rsidR="00980E5F" w:rsidRDefault="00980E5F">
            <w:pPr>
              <w:rPr>
                <w:rFonts w:ascii="宋体"/>
                <w:vanish/>
              </w:rPr>
            </w:pPr>
          </w:p>
        </w:tc>
        <w:tc>
          <w:tcPr>
            <w:tcW w:w="0" w:type="auto"/>
            <w:gridSpan w:val="3"/>
            <w:shd w:val="clear" w:color="auto" w:fill="auto"/>
            <w:vAlign w:val="bottom"/>
          </w:tcPr>
          <w:p w14:paraId="392C5783" w14:textId="77777777" w:rsidR="00980E5F" w:rsidRDefault="00980E5F">
            <w:pPr>
              <w:rPr>
                <w:rFonts w:ascii="宋体"/>
                <w:vanish/>
              </w:rPr>
            </w:pPr>
          </w:p>
        </w:tc>
        <w:tc>
          <w:tcPr>
            <w:tcW w:w="0" w:type="auto"/>
            <w:gridSpan w:val="3"/>
            <w:shd w:val="clear" w:color="auto" w:fill="auto"/>
            <w:vAlign w:val="bottom"/>
          </w:tcPr>
          <w:p w14:paraId="392C5784" w14:textId="77777777" w:rsidR="00980E5F" w:rsidRDefault="00980E5F">
            <w:pPr>
              <w:rPr>
                <w:rFonts w:ascii="宋体"/>
                <w:vanish/>
              </w:rPr>
            </w:pPr>
          </w:p>
        </w:tc>
        <w:tc>
          <w:tcPr>
            <w:tcW w:w="0" w:type="auto"/>
            <w:gridSpan w:val="3"/>
            <w:shd w:val="clear" w:color="auto" w:fill="auto"/>
            <w:vAlign w:val="bottom"/>
          </w:tcPr>
          <w:p w14:paraId="392C5785" w14:textId="77777777" w:rsidR="00980E5F" w:rsidRDefault="00980E5F">
            <w:pPr>
              <w:rPr>
                <w:rFonts w:ascii="宋体"/>
                <w:vanish/>
              </w:rPr>
            </w:pPr>
          </w:p>
        </w:tc>
        <w:tc>
          <w:tcPr>
            <w:tcW w:w="0" w:type="auto"/>
            <w:gridSpan w:val="3"/>
            <w:shd w:val="clear" w:color="auto" w:fill="auto"/>
            <w:vAlign w:val="bottom"/>
          </w:tcPr>
          <w:p w14:paraId="392C5786" w14:textId="77777777" w:rsidR="00980E5F" w:rsidRDefault="00980E5F">
            <w:pPr>
              <w:rPr>
                <w:rFonts w:ascii="宋体"/>
                <w:vanish/>
              </w:rPr>
            </w:pPr>
          </w:p>
        </w:tc>
        <w:tc>
          <w:tcPr>
            <w:tcW w:w="0" w:type="auto"/>
            <w:gridSpan w:val="3"/>
            <w:shd w:val="clear" w:color="auto" w:fill="auto"/>
            <w:vAlign w:val="bottom"/>
          </w:tcPr>
          <w:p w14:paraId="392C5787" w14:textId="77777777" w:rsidR="00980E5F" w:rsidRDefault="00980E5F">
            <w:pPr>
              <w:rPr>
                <w:rFonts w:ascii="宋体"/>
                <w:vanish/>
              </w:rPr>
            </w:pPr>
          </w:p>
        </w:tc>
        <w:tc>
          <w:tcPr>
            <w:tcW w:w="0" w:type="auto"/>
            <w:gridSpan w:val="3"/>
            <w:shd w:val="clear" w:color="auto" w:fill="auto"/>
            <w:vAlign w:val="bottom"/>
          </w:tcPr>
          <w:p w14:paraId="392C5788" w14:textId="77777777" w:rsidR="00980E5F" w:rsidRDefault="00980E5F">
            <w:pPr>
              <w:rPr>
                <w:rFonts w:ascii="宋体"/>
                <w:vanish/>
              </w:rPr>
            </w:pPr>
          </w:p>
        </w:tc>
        <w:tc>
          <w:tcPr>
            <w:tcW w:w="0" w:type="auto"/>
            <w:gridSpan w:val="3"/>
            <w:shd w:val="clear" w:color="auto" w:fill="auto"/>
            <w:vAlign w:val="bottom"/>
          </w:tcPr>
          <w:p w14:paraId="392C5789" w14:textId="77777777" w:rsidR="00980E5F" w:rsidRDefault="00980E5F">
            <w:pPr>
              <w:rPr>
                <w:rFonts w:ascii="宋体"/>
                <w:vanish/>
              </w:rPr>
            </w:pPr>
          </w:p>
        </w:tc>
        <w:tc>
          <w:tcPr>
            <w:tcW w:w="0" w:type="auto"/>
            <w:gridSpan w:val="3"/>
            <w:shd w:val="clear" w:color="auto" w:fill="auto"/>
            <w:vAlign w:val="bottom"/>
          </w:tcPr>
          <w:p w14:paraId="392C578A" w14:textId="77777777" w:rsidR="00980E5F" w:rsidRDefault="00980E5F">
            <w:pPr>
              <w:rPr>
                <w:rFonts w:ascii="宋体"/>
                <w:vanish/>
              </w:rPr>
            </w:pPr>
          </w:p>
        </w:tc>
        <w:tc>
          <w:tcPr>
            <w:tcW w:w="0" w:type="auto"/>
            <w:gridSpan w:val="3"/>
            <w:shd w:val="clear" w:color="auto" w:fill="auto"/>
            <w:vAlign w:val="bottom"/>
          </w:tcPr>
          <w:p w14:paraId="392C578B" w14:textId="77777777" w:rsidR="00980E5F" w:rsidRDefault="00980E5F">
            <w:pPr>
              <w:rPr>
                <w:rFonts w:ascii="宋体"/>
                <w:vanish/>
              </w:rPr>
            </w:pPr>
          </w:p>
        </w:tc>
        <w:tc>
          <w:tcPr>
            <w:tcW w:w="0" w:type="auto"/>
            <w:gridSpan w:val="3"/>
            <w:shd w:val="clear" w:color="auto" w:fill="auto"/>
            <w:vAlign w:val="bottom"/>
          </w:tcPr>
          <w:p w14:paraId="392C578C" w14:textId="77777777" w:rsidR="00980E5F" w:rsidRDefault="00980E5F">
            <w:pPr>
              <w:rPr>
                <w:rFonts w:ascii="宋体"/>
                <w:vanish/>
              </w:rPr>
            </w:pPr>
          </w:p>
        </w:tc>
        <w:tc>
          <w:tcPr>
            <w:tcW w:w="0" w:type="auto"/>
            <w:gridSpan w:val="3"/>
            <w:shd w:val="clear" w:color="auto" w:fill="auto"/>
            <w:vAlign w:val="bottom"/>
          </w:tcPr>
          <w:p w14:paraId="392C578D" w14:textId="77777777" w:rsidR="00980E5F" w:rsidRDefault="00980E5F">
            <w:pPr>
              <w:rPr>
                <w:rFonts w:ascii="宋体"/>
                <w:vanish/>
              </w:rPr>
            </w:pPr>
          </w:p>
        </w:tc>
        <w:tc>
          <w:tcPr>
            <w:tcW w:w="0" w:type="auto"/>
            <w:gridSpan w:val="3"/>
            <w:shd w:val="clear" w:color="auto" w:fill="auto"/>
            <w:vAlign w:val="bottom"/>
          </w:tcPr>
          <w:p w14:paraId="392C578E" w14:textId="77777777" w:rsidR="00980E5F" w:rsidRDefault="00980E5F">
            <w:pPr>
              <w:rPr>
                <w:rFonts w:ascii="宋体"/>
                <w:vanish/>
              </w:rPr>
            </w:pPr>
          </w:p>
        </w:tc>
        <w:tc>
          <w:tcPr>
            <w:tcW w:w="0" w:type="auto"/>
            <w:gridSpan w:val="3"/>
            <w:shd w:val="clear" w:color="auto" w:fill="auto"/>
            <w:vAlign w:val="bottom"/>
          </w:tcPr>
          <w:p w14:paraId="392C578F" w14:textId="77777777" w:rsidR="00980E5F" w:rsidRDefault="00980E5F">
            <w:pPr>
              <w:rPr>
                <w:rFonts w:ascii="宋体"/>
                <w:vanish/>
              </w:rPr>
            </w:pPr>
          </w:p>
        </w:tc>
        <w:tc>
          <w:tcPr>
            <w:tcW w:w="0" w:type="auto"/>
            <w:gridSpan w:val="3"/>
            <w:shd w:val="clear" w:color="auto" w:fill="auto"/>
            <w:vAlign w:val="bottom"/>
          </w:tcPr>
          <w:p w14:paraId="392C5790" w14:textId="77777777" w:rsidR="00980E5F" w:rsidRDefault="00980E5F">
            <w:pPr>
              <w:rPr>
                <w:rFonts w:ascii="宋体"/>
                <w:vanish/>
              </w:rPr>
            </w:pPr>
          </w:p>
        </w:tc>
        <w:tc>
          <w:tcPr>
            <w:tcW w:w="0" w:type="auto"/>
            <w:gridSpan w:val="3"/>
            <w:shd w:val="clear" w:color="auto" w:fill="auto"/>
            <w:vAlign w:val="bottom"/>
          </w:tcPr>
          <w:p w14:paraId="392C5791" w14:textId="77777777" w:rsidR="00980E5F" w:rsidRDefault="00980E5F">
            <w:pPr>
              <w:rPr>
                <w:rFonts w:ascii="宋体"/>
                <w:vanish/>
              </w:rPr>
            </w:pPr>
          </w:p>
        </w:tc>
        <w:tc>
          <w:tcPr>
            <w:tcW w:w="0" w:type="auto"/>
            <w:gridSpan w:val="3"/>
            <w:shd w:val="clear" w:color="auto" w:fill="auto"/>
            <w:vAlign w:val="bottom"/>
          </w:tcPr>
          <w:p w14:paraId="392C5792" w14:textId="77777777" w:rsidR="00980E5F" w:rsidRDefault="00980E5F">
            <w:pPr>
              <w:rPr>
                <w:rFonts w:ascii="宋体"/>
                <w:vanish/>
              </w:rPr>
            </w:pPr>
          </w:p>
        </w:tc>
        <w:tc>
          <w:tcPr>
            <w:tcW w:w="0" w:type="auto"/>
            <w:gridSpan w:val="3"/>
            <w:shd w:val="clear" w:color="auto" w:fill="auto"/>
            <w:vAlign w:val="bottom"/>
          </w:tcPr>
          <w:p w14:paraId="392C5793" w14:textId="77777777" w:rsidR="00980E5F" w:rsidRDefault="00980E5F">
            <w:pPr>
              <w:rPr>
                <w:rFonts w:ascii="宋体"/>
                <w:vanish/>
              </w:rPr>
            </w:pPr>
          </w:p>
        </w:tc>
        <w:tc>
          <w:tcPr>
            <w:tcW w:w="0" w:type="auto"/>
            <w:gridSpan w:val="3"/>
            <w:shd w:val="clear" w:color="auto" w:fill="auto"/>
            <w:vAlign w:val="bottom"/>
          </w:tcPr>
          <w:p w14:paraId="392C5794" w14:textId="77777777" w:rsidR="00980E5F" w:rsidRDefault="00980E5F">
            <w:pPr>
              <w:rPr>
                <w:rFonts w:ascii="宋体"/>
                <w:vanish/>
              </w:rPr>
            </w:pPr>
          </w:p>
        </w:tc>
        <w:tc>
          <w:tcPr>
            <w:tcW w:w="0" w:type="auto"/>
            <w:gridSpan w:val="3"/>
            <w:shd w:val="clear" w:color="auto" w:fill="auto"/>
            <w:vAlign w:val="bottom"/>
          </w:tcPr>
          <w:p w14:paraId="392C5795" w14:textId="77777777" w:rsidR="00980E5F" w:rsidRDefault="00980E5F">
            <w:pPr>
              <w:rPr>
                <w:rFonts w:ascii="宋体"/>
                <w:vanish/>
              </w:rPr>
            </w:pPr>
          </w:p>
        </w:tc>
        <w:tc>
          <w:tcPr>
            <w:tcW w:w="0" w:type="auto"/>
            <w:gridSpan w:val="2"/>
            <w:shd w:val="clear" w:color="auto" w:fill="auto"/>
            <w:vAlign w:val="bottom"/>
          </w:tcPr>
          <w:p w14:paraId="392C5796" w14:textId="77777777" w:rsidR="00980E5F" w:rsidRDefault="00980E5F">
            <w:pPr>
              <w:rPr>
                <w:rFonts w:ascii="宋体"/>
                <w:vanish/>
              </w:rPr>
            </w:pPr>
          </w:p>
        </w:tc>
        <w:tc>
          <w:tcPr>
            <w:tcW w:w="0" w:type="auto"/>
            <w:shd w:val="clear" w:color="auto" w:fill="auto"/>
            <w:vAlign w:val="bottom"/>
          </w:tcPr>
          <w:p w14:paraId="392C5797" w14:textId="77777777" w:rsidR="00980E5F" w:rsidRDefault="00980E5F">
            <w:pPr>
              <w:rPr>
                <w:rFonts w:ascii="宋体"/>
                <w:vanish/>
              </w:rPr>
            </w:pPr>
          </w:p>
        </w:tc>
      </w:tr>
      <w:tr w:rsidR="00980E5F" w14:paraId="392C57AF" w14:textId="77777777">
        <w:trPr>
          <w:hidden/>
        </w:trPr>
        <w:tc>
          <w:tcPr>
            <w:tcW w:w="0" w:type="auto"/>
            <w:gridSpan w:val="3"/>
            <w:shd w:val="clear" w:color="auto" w:fill="auto"/>
            <w:vAlign w:val="bottom"/>
          </w:tcPr>
          <w:p w14:paraId="392C5799" w14:textId="77777777" w:rsidR="00980E5F" w:rsidRDefault="00980E5F">
            <w:pPr>
              <w:rPr>
                <w:rFonts w:ascii="宋体"/>
                <w:vanish/>
              </w:rPr>
            </w:pPr>
          </w:p>
        </w:tc>
        <w:tc>
          <w:tcPr>
            <w:tcW w:w="0" w:type="auto"/>
            <w:gridSpan w:val="3"/>
            <w:shd w:val="clear" w:color="auto" w:fill="auto"/>
            <w:vAlign w:val="bottom"/>
          </w:tcPr>
          <w:p w14:paraId="392C579A" w14:textId="77777777" w:rsidR="00980E5F" w:rsidRDefault="00980E5F">
            <w:pPr>
              <w:rPr>
                <w:rFonts w:ascii="宋体"/>
                <w:vanish/>
              </w:rPr>
            </w:pPr>
          </w:p>
        </w:tc>
        <w:tc>
          <w:tcPr>
            <w:tcW w:w="0" w:type="auto"/>
            <w:gridSpan w:val="3"/>
            <w:shd w:val="clear" w:color="auto" w:fill="auto"/>
            <w:vAlign w:val="bottom"/>
          </w:tcPr>
          <w:p w14:paraId="392C579B" w14:textId="77777777" w:rsidR="00980E5F" w:rsidRDefault="00980E5F">
            <w:pPr>
              <w:rPr>
                <w:rFonts w:ascii="宋体"/>
                <w:vanish/>
              </w:rPr>
            </w:pPr>
          </w:p>
        </w:tc>
        <w:tc>
          <w:tcPr>
            <w:tcW w:w="0" w:type="auto"/>
            <w:gridSpan w:val="3"/>
            <w:shd w:val="clear" w:color="auto" w:fill="auto"/>
            <w:vAlign w:val="bottom"/>
          </w:tcPr>
          <w:p w14:paraId="392C579C" w14:textId="77777777" w:rsidR="00980E5F" w:rsidRDefault="00980E5F">
            <w:pPr>
              <w:rPr>
                <w:rFonts w:ascii="宋体"/>
                <w:vanish/>
              </w:rPr>
            </w:pPr>
          </w:p>
        </w:tc>
        <w:tc>
          <w:tcPr>
            <w:tcW w:w="0" w:type="auto"/>
            <w:gridSpan w:val="3"/>
            <w:shd w:val="clear" w:color="auto" w:fill="auto"/>
            <w:vAlign w:val="bottom"/>
          </w:tcPr>
          <w:p w14:paraId="392C579D" w14:textId="77777777" w:rsidR="00980E5F" w:rsidRDefault="00980E5F">
            <w:pPr>
              <w:rPr>
                <w:rFonts w:ascii="宋体"/>
                <w:vanish/>
              </w:rPr>
            </w:pPr>
          </w:p>
        </w:tc>
        <w:tc>
          <w:tcPr>
            <w:tcW w:w="0" w:type="auto"/>
            <w:gridSpan w:val="3"/>
            <w:shd w:val="clear" w:color="auto" w:fill="auto"/>
            <w:vAlign w:val="bottom"/>
          </w:tcPr>
          <w:p w14:paraId="392C579E" w14:textId="77777777" w:rsidR="00980E5F" w:rsidRDefault="00980E5F">
            <w:pPr>
              <w:rPr>
                <w:rFonts w:ascii="宋体"/>
                <w:vanish/>
              </w:rPr>
            </w:pPr>
          </w:p>
        </w:tc>
        <w:tc>
          <w:tcPr>
            <w:tcW w:w="0" w:type="auto"/>
            <w:gridSpan w:val="3"/>
            <w:shd w:val="clear" w:color="auto" w:fill="auto"/>
            <w:vAlign w:val="bottom"/>
          </w:tcPr>
          <w:p w14:paraId="392C579F" w14:textId="77777777" w:rsidR="00980E5F" w:rsidRDefault="00980E5F">
            <w:pPr>
              <w:rPr>
                <w:rFonts w:ascii="宋体"/>
                <w:vanish/>
              </w:rPr>
            </w:pPr>
          </w:p>
        </w:tc>
        <w:tc>
          <w:tcPr>
            <w:tcW w:w="0" w:type="auto"/>
            <w:gridSpan w:val="3"/>
            <w:shd w:val="clear" w:color="auto" w:fill="auto"/>
            <w:vAlign w:val="bottom"/>
          </w:tcPr>
          <w:p w14:paraId="392C57A0" w14:textId="77777777" w:rsidR="00980E5F" w:rsidRDefault="00980E5F">
            <w:pPr>
              <w:rPr>
                <w:rFonts w:ascii="宋体"/>
                <w:vanish/>
              </w:rPr>
            </w:pPr>
          </w:p>
        </w:tc>
        <w:tc>
          <w:tcPr>
            <w:tcW w:w="0" w:type="auto"/>
            <w:gridSpan w:val="3"/>
            <w:shd w:val="clear" w:color="auto" w:fill="auto"/>
            <w:vAlign w:val="bottom"/>
          </w:tcPr>
          <w:p w14:paraId="392C57A1" w14:textId="77777777" w:rsidR="00980E5F" w:rsidRDefault="00980E5F">
            <w:pPr>
              <w:rPr>
                <w:rFonts w:ascii="宋体"/>
                <w:vanish/>
              </w:rPr>
            </w:pPr>
          </w:p>
        </w:tc>
        <w:tc>
          <w:tcPr>
            <w:tcW w:w="0" w:type="auto"/>
            <w:gridSpan w:val="3"/>
            <w:shd w:val="clear" w:color="auto" w:fill="auto"/>
            <w:vAlign w:val="bottom"/>
          </w:tcPr>
          <w:p w14:paraId="392C57A2" w14:textId="77777777" w:rsidR="00980E5F" w:rsidRDefault="00980E5F">
            <w:pPr>
              <w:rPr>
                <w:rFonts w:ascii="宋体"/>
                <w:vanish/>
              </w:rPr>
            </w:pPr>
          </w:p>
        </w:tc>
        <w:tc>
          <w:tcPr>
            <w:tcW w:w="0" w:type="auto"/>
            <w:gridSpan w:val="3"/>
            <w:shd w:val="clear" w:color="auto" w:fill="auto"/>
            <w:vAlign w:val="bottom"/>
          </w:tcPr>
          <w:p w14:paraId="392C57A3" w14:textId="77777777" w:rsidR="00980E5F" w:rsidRDefault="00980E5F">
            <w:pPr>
              <w:rPr>
                <w:rFonts w:ascii="宋体"/>
                <w:vanish/>
              </w:rPr>
            </w:pPr>
          </w:p>
        </w:tc>
        <w:tc>
          <w:tcPr>
            <w:tcW w:w="0" w:type="auto"/>
            <w:gridSpan w:val="3"/>
            <w:shd w:val="clear" w:color="auto" w:fill="auto"/>
            <w:vAlign w:val="bottom"/>
          </w:tcPr>
          <w:p w14:paraId="392C57A4" w14:textId="77777777" w:rsidR="00980E5F" w:rsidRDefault="00980E5F">
            <w:pPr>
              <w:rPr>
                <w:rFonts w:ascii="宋体"/>
                <w:vanish/>
              </w:rPr>
            </w:pPr>
          </w:p>
        </w:tc>
        <w:tc>
          <w:tcPr>
            <w:tcW w:w="0" w:type="auto"/>
            <w:gridSpan w:val="3"/>
            <w:shd w:val="clear" w:color="auto" w:fill="auto"/>
            <w:vAlign w:val="bottom"/>
          </w:tcPr>
          <w:p w14:paraId="392C57A5" w14:textId="77777777" w:rsidR="00980E5F" w:rsidRDefault="00980E5F">
            <w:pPr>
              <w:rPr>
                <w:rFonts w:ascii="宋体"/>
                <w:vanish/>
              </w:rPr>
            </w:pPr>
          </w:p>
        </w:tc>
        <w:tc>
          <w:tcPr>
            <w:tcW w:w="0" w:type="auto"/>
            <w:gridSpan w:val="3"/>
            <w:shd w:val="clear" w:color="auto" w:fill="auto"/>
            <w:vAlign w:val="bottom"/>
          </w:tcPr>
          <w:p w14:paraId="392C57A6" w14:textId="77777777" w:rsidR="00980E5F" w:rsidRDefault="00980E5F">
            <w:pPr>
              <w:rPr>
                <w:rFonts w:ascii="宋体"/>
                <w:vanish/>
              </w:rPr>
            </w:pPr>
          </w:p>
        </w:tc>
        <w:tc>
          <w:tcPr>
            <w:tcW w:w="0" w:type="auto"/>
            <w:gridSpan w:val="3"/>
            <w:shd w:val="clear" w:color="auto" w:fill="auto"/>
            <w:vAlign w:val="bottom"/>
          </w:tcPr>
          <w:p w14:paraId="392C57A7" w14:textId="77777777" w:rsidR="00980E5F" w:rsidRDefault="00980E5F">
            <w:pPr>
              <w:rPr>
                <w:rFonts w:ascii="宋体"/>
                <w:vanish/>
              </w:rPr>
            </w:pPr>
          </w:p>
        </w:tc>
        <w:tc>
          <w:tcPr>
            <w:tcW w:w="0" w:type="auto"/>
            <w:gridSpan w:val="3"/>
            <w:shd w:val="clear" w:color="auto" w:fill="auto"/>
            <w:vAlign w:val="bottom"/>
          </w:tcPr>
          <w:p w14:paraId="392C57A8" w14:textId="77777777" w:rsidR="00980E5F" w:rsidRDefault="00980E5F">
            <w:pPr>
              <w:rPr>
                <w:rFonts w:ascii="宋体"/>
                <w:vanish/>
              </w:rPr>
            </w:pPr>
          </w:p>
        </w:tc>
        <w:tc>
          <w:tcPr>
            <w:tcW w:w="0" w:type="auto"/>
            <w:gridSpan w:val="3"/>
            <w:shd w:val="clear" w:color="auto" w:fill="auto"/>
            <w:vAlign w:val="bottom"/>
          </w:tcPr>
          <w:p w14:paraId="392C57A9" w14:textId="77777777" w:rsidR="00980E5F" w:rsidRDefault="00980E5F">
            <w:pPr>
              <w:rPr>
                <w:rFonts w:ascii="宋体"/>
                <w:vanish/>
              </w:rPr>
            </w:pPr>
          </w:p>
        </w:tc>
        <w:tc>
          <w:tcPr>
            <w:tcW w:w="0" w:type="auto"/>
            <w:gridSpan w:val="3"/>
            <w:shd w:val="clear" w:color="auto" w:fill="auto"/>
            <w:vAlign w:val="bottom"/>
          </w:tcPr>
          <w:p w14:paraId="392C57AA" w14:textId="77777777" w:rsidR="00980E5F" w:rsidRDefault="00980E5F">
            <w:pPr>
              <w:rPr>
                <w:rFonts w:ascii="宋体"/>
                <w:vanish/>
              </w:rPr>
            </w:pPr>
          </w:p>
        </w:tc>
        <w:tc>
          <w:tcPr>
            <w:tcW w:w="0" w:type="auto"/>
            <w:gridSpan w:val="3"/>
            <w:shd w:val="clear" w:color="auto" w:fill="auto"/>
            <w:vAlign w:val="bottom"/>
          </w:tcPr>
          <w:p w14:paraId="392C57AB" w14:textId="77777777" w:rsidR="00980E5F" w:rsidRDefault="00980E5F">
            <w:pPr>
              <w:rPr>
                <w:rFonts w:ascii="宋体"/>
                <w:vanish/>
              </w:rPr>
            </w:pPr>
          </w:p>
        </w:tc>
        <w:tc>
          <w:tcPr>
            <w:tcW w:w="0" w:type="auto"/>
            <w:gridSpan w:val="3"/>
            <w:shd w:val="clear" w:color="auto" w:fill="auto"/>
            <w:vAlign w:val="bottom"/>
          </w:tcPr>
          <w:p w14:paraId="392C57AC" w14:textId="77777777" w:rsidR="00980E5F" w:rsidRDefault="00980E5F">
            <w:pPr>
              <w:rPr>
                <w:rFonts w:ascii="宋体"/>
                <w:vanish/>
              </w:rPr>
            </w:pPr>
          </w:p>
        </w:tc>
        <w:tc>
          <w:tcPr>
            <w:tcW w:w="0" w:type="auto"/>
            <w:gridSpan w:val="2"/>
            <w:shd w:val="clear" w:color="auto" w:fill="auto"/>
            <w:vAlign w:val="bottom"/>
          </w:tcPr>
          <w:p w14:paraId="392C57AD" w14:textId="77777777" w:rsidR="00980E5F" w:rsidRDefault="00980E5F">
            <w:pPr>
              <w:rPr>
                <w:rFonts w:ascii="宋体"/>
                <w:vanish/>
              </w:rPr>
            </w:pPr>
          </w:p>
        </w:tc>
        <w:tc>
          <w:tcPr>
            <w:tcW w:w="0" w:type="auto"/>
            <w:shd w:val="clear" w:color="auto" w:fill="auto"/>
            <w:vAlign w:val="bottom"/>
          </w:tcPr>
          <w:p w14:paraId="392C57AE" w14:textId="77777777" w:rsidR="00980E5F" w:rsidRDefault="00980E5F">
            <w:pPr>
              <w:rPr>
                <w:rFonts w:ascii="宋体"/>
                <w:vanish/>
              </w:rPr>
            </w:pPr>
          </w:p>
        </w:tc>
      </w:tr>
      <w:tr w:rsidR="00980E5F" w14:paraId="392C57C6" w14:textId="77777777">
        <w:trPr>
          <w:hidden/>
        </w:trPr>
        <w:tc>
          <w:tcPr>
            <w:tcW w:w="0" w:type="auto"/>
            <w:gridSpan w:val="3"/>
            <w:shd w:val="clear" w:color="auto" w:fill="auto"/>
            <w:vAlign w:val="bottom"/>
          </w:tcPr>
          <w:p w14:paraId="392C57B0" w14:textId="77777777" w:rsidR="00980E5F" w:rsidRDefault="00980E5F">
            <w:pPr>
              <w:rPr>
                <w:rFonts w:ascii="宋体"/>
                <w:vanish/>
              </w:rPr>
            </w:pPr>
          </w:p>
        </w:tc>
        <w:tc>
          <w:tcPr>
            <w:tcW w:w="0" w:type="auto"/>
            <w:gridSpan w:val="3"/>
            <w:shd w:val="clear" w:color="auto" w:fill="auto"/>
            <w:vAlign w:val="bottom"/>
          </w:tcPr>
          <w:p w14:paraId="392C57B1" w14:textId="77777777" w:rsidR="00980E5F" w:rsidRDefault="00980E5F">
            <w:pPr>
              <w:rPr>
                <w:rFonts w:ascii="宋体"/>
                <w:vanish/>
              </w:rPr>
            </w:pPr>
          </w:p>
        </w:tc>
        <w:tc>
          <w:tcPr>
            <w:tcW w:w="0" w:type="auto"/>
            <w:gridSpan w:val="3"/>
            <w:shd w:val="clear" w:color="auto" w:fill="auto"/>
            <w:vAlign w:val="bottom"/>
          </w:tcPr>
          <w:p w14:paraId="392C57B2" w14:textId="77777777" w:rsidR="00980E5F" w:rsidRDefault="00980E5F">
            <w:pPr>
              <w:rPr>
                <w:rFonts w:ascii="宋体"/>
                <w:vanish/>
              </w:rPr>
            </w:pPr>
          </w:p>
        </w:tc>
        <w:tc>
          <w:tcPr>
            <w:tcW w:w="0" w:type="auto"/>
            <w:gridSpan w:val="3"/>
            <w:shd w:val="clear" w:color="auto" w:fill="auto"/>
            <w:vAlign w:val="bottom"/>
          </w:tcPr>
          <w:p w14:paraId="392C57B3" w14:textId="77777777" w:rsidR="00980E5F" w:rsidRDefault="00980E5F">
            <w:pPr>
              <w:rPr>
                <w:rFonts w:ascii="宋体"/>
                <w:vanish/>
              </w:rPr>
            </w:pPr>
          </w:p>
        </w:tc>
        <w:tc>
          <w:tcPr>
            <w:tcW w:w="0" w:type="auto"/>
            <w:gridSpan w:val="3"/>
            <w:shd w:val="clear" w:color="auto" w:fill="auto"/>
            <w:vAlign w:val="bottom"/>
          </w:tcPr>
          <w:p w14:paraId="392C57B4" w14:textId="77777777" w:rsidR="00980E5F" w:rsidRDefault="00980E5F">
            <w:pPr>
              <w:rPr>
                <w:rFonts w:ascii="宋体"/>
                <w:vanish/>
              </w:rPr>
            </w:pPr>
          </w:p>
        </w:tc>
        <w:tc>
          <w:tcPr>
            <w:tcW w:w="0" w:type="auto"/>
            <w:gridSpan w:val="3"/>
            <w:shd w:val="clear" w:color="auto" w:fill="auto"/>
            <w:vAlign w:val="bottom"/>
          </w:tcPr>
          <w:p w14:paraId="392C57B5" w14:textId="77777777" w:rsidR="00980E5F" w:rsidRDefault="00980E5F">
            <w:pPr>
              <w:rPr>
                <w:rFonts w:ascii="宋体"/>
                <w:vanish/>
              </w:rPr>
            </w:pPr>
          </w:p>
        </w:tc>
        <w:tc>
          <w:tcPr>
            <w:tcW w:w="0" w:type="auto"/>
            <w:gridSpan w:val="3"/>
            <w:shd w:val="clear" w:color="auto" w:fill="auto"/>
            <w:vAlign w:val="bottom"/>
          </w:tcPr>
          <w:p w14:paraId="392C57B6" w14:textId="77777777" w:rsidR="00980E5F" w:rsidRDefault="00980E5F">
            <w:pPr>
              <w:rPr>
                <w:rFonts w:ascii="宋体"/>
                <w:vanish/>
              </w:rPr>
            </w:pPr>
          </w:p>
        </w:tc>
        <w:tc>
          <w:tcPr>
            <w:tcW w:w="0" w:type="auto"/>
            <w:gridSpan w:val="3"/>
            <w:shd w:val="clear" w:color="auto" w:fill="auto"/>
            <w:vAlign w:val="bottom"/>
          </w:tcPr>
          <w:p w14:paraId="392C57B7" w14:textId="77777777" w:rsidR="00980E5F" w:rsidRDefault="00980E5F">
            <w:pPr>
              <w:rPr>
                <w:rFonts w:ascii="宋体"/>
                <w:vanish/>
              </w:rPr>
            </w:pPr>
          </w:p>
        </w:tc>
        <w:tc>
          <w:tcPr>
            <w:tcW w:w="0" w:type="auto"/>
            <w:gridSpan w:val="3"/>
            <w:shd w:val="clear" w:color="auto" w:fill="auto"/>
            <w:vAlign w:val="bottom"/>
          </w:tcPr>
          <w:p w14:paraId="392C57B8" w14:textId="77777777" w:rsidR="00980E5F" w:rsidRDefault="00980E5F">
            <w:pPr>
              <w:rPr>
                <w:rFonts w:ascii="宋体"/>
                <w:vanish/>
              </w:rPr>
            </w:pPr>
          </w:p>
        </w:tc>
        <w:tc>
          <w:tcPr>
            <w:tcW w:w="0" w:type="auto"/>
            <w:gridSpan w:val="3"/>
            <w:shd w:val="clear" w:color="auto" w:fill="auto"/>
            <w:vAlign w:val="bottom"/>
          </w:tcPr>
          <w:p w14:paraId="392C57B9" w14:textId="77777777" w:rsidR="00980E5F" w:rsidRDefault="00980E5F">
            <w:pPr>
              <w:rPr>
                <w:rFonts w:ascii="宋体"/>
                <w:vanish/>
              </w:rPr>
            </w:pPr>
          </w:p>
        </w:tc>
        <w:tc>
          <w:tcPr>
            <w:tcW w:w="0" w:type="auto"/>
            <w:gridSpan w:val="3"/>
            <w:shd w:val="clear" w:color="auto" w:fill="auto"/>
            <w:vAlign w:val="bottom"/>
          </w:tcPr>
          <w:p w14:paraId="392C57BA" w14:textId="77777777" w:rsidR="00980E5F" w:rsidRDefault="00980E5F">
            <w:pPr>
              <w:rPr>
                <w:rFonts w:ascii="宋体"/>
                <w:vanish/>
              </w:rPr>
            </w:pPr>
          </w:p>
        </w:tc>
        <w:tc>
          <w:tcPr>
            <w:tcW w:w="0" w:type="auto"/>
            <w:gridSpan w:val="3"/>
            <w:shd w:val="clear" w:color="auto" w:fill="auto"/>
            <w:vAlign w:val="bottom"/>
          </w:tcPr>
          <w:p w14:paraId="392C57BB" w14:textId="77777777" w:rsidR="00980E5F" w:rsidRDefault="00980E5F">
            <w:pPr>
              <w:rPr>
                <w:rFonts w:ascii="宋体"/>
                <w:vanish/>
              </w:rPr>
            </w:pPr>
          </w:p>
        </w:tc>
        <w:tc>
          <w:tcPr>
            <w:tcW w:w="0" w:type="auto"/>
            <w:gridSpan w:val="3"/>
            <w:shd w:val="clear" w:color="auto" w:fill="auto"/>
            <w:vAlign w:val="bottom"/>
          </w:tcPr>
          <w:p w14:paraId="392C57BC" w14:textId="77777777" w:rsidR="00980E5F" w:rsidRDefault="00980E5F">
            <w:pPr>
              <w:rPr>
                <w:rFonts w:ascii="宋体"/>
                <w:vanish/>
              </w:rPr>
            </w:pPr>
          </w:p>
        </w:tc>
        <w:tc>
          <w:tcPr>
            <w:tcW w:w="0" w:type="auto"/>
            <w:gridSpan w:val="3"/>
            <w:shd w:val="clear" w:color="auto" w:fill="auto"/>
            <w:vAlign w:val="bottom"/>
          </w:tcPr>
          <w:p w14:paraId="392C57BD" w14:textId="77777777" w:rsidR="00980E5F" w:rsidRDefault="00980E5F">
            <w:pPr>
              <w:rPr>
                <w:rFonts w:ascii="宋体"/>
                <w:vanish/>
              </w:rPr>
            </w:pPr>
          </w:p>
        </w:tc>
        <w:tc>
          <w:tcPr>
            <w:tcW w:w="0" w:type="auto"/>
            <w:gridSpan w:val="3"/>
            <w:shd w:val="clear" w:color="auto" w:fill="auto"/>
            <w:vAlign w:val="bottom"/>
          </w:tcPr>
          <w:p w14:paraId="392C57BE" w14:textId="77777777" w:rsidR="00980E5F" w:rsidRDefault="00980E5F">
            <w:pPr>
              <w:rPr>
                <w:rFonts w:ascii="宋体"/>
                <w:vanish/>
              </w:rPr>
            </w:pPr>
          </w:p>
        </w:tc>
        <w:tc>
          <w:tcPr>
            <w:tcW w:w="0" w:type="auto"/>
            <w:gridSpan w:val="3"/>
            <w:shd w:val="clear" w:color="auto" w:fill="auto"/>
            <w:vAlign w:val="bottom"/>
          </w:tcPr>
          <w:p w14:paraId="392C57BF" w14:textId="77777777" w:rsidR="00980E5F" w:rsidRDefault="00980E5F">
            <w:pPr>
              <w:rPr>
                <w:rFonts w:ascii="宋体"/>
                <w:vanish/>
              </w:rPr>
            </w:pPr>
          </w:p>
        </w:tc>
        <w:tc>
          <w:tcPr>
            <w:tcW w:w="0" w:type="auto"/>
            <w:gridSpan w:val="3"/>
            <w:shd w:val="clear" w:color="auto" w:fill="auto"/>
            <w:vAlign w:val="bottom"/>
          </w:tcPr>
          <w:p w14:paraId="392C57C0" w14:textId="77777777" w:rsidR="00980E5F" w:rsidRDefault="00980E5F">
            <w:pPr>
              <w:rPr>
                <w:rFonts w:ascii="宋体"/>
                <w:vanish/>
              </w:rPr>
            </w:pPr>
          </w:p>
        </w:tc>
        <w:tc>
          <w:tcPr>
            <w:tcW w:w="0" w:type="auto"/>
            <w:gridSpan w:val="3"/>
            <w:shd w:val="clear" w:color="auto" w:fill="auto"/>
            <w:vAlign w:val="bottom"/>
          </w:tcPr>
          <w:p w14:paraId="392C57C1" w14:textId="77777777" w:rsidR="00980E5F" w:rsidRDefault="00980E5F">
            <w:pPr>
              <w:rPr>
                <w:rFonts w:ascii="宋体"/>
                <w:vanish/>
              </w:rPr>
            </w:pPr>
          </w:p>
        </w:tc>
        <w:tc>
          <w:tcPr>
            <w:tcW w:w="0" w:type="auto"/>
            <w:gridSpan w:val="3"/>
            <w:shd w:val="clear" w:color="auto" w:fill="auto"/>
            <w:vAlign w:val="bottom"/>
          </w:tcPr>
          <w:p w14:paraId="392C57C2" w14:textId="77777777" w:rsidR="00980E5F" w:rsidRDefault="00980E5F">
            <w:pPr>
              <w:rPr>
                <w:rFonts w:ascii="宋体"/>
                <w:vanish/>
              </w:rPr>
            </w:pPr>
          </w:p>
        </w:tc>
        <w:tc>
          <w:tcPr>
            <w:tcW w:w="0" w:type="auto"/>
            <w:gridSpan w:val="3"/>
            <w:shd w:val="clear" w:color="auto" w:fill="auto"/>
            <w:vAlign w:val="bottom"/>
          </w:tcPr>
          <w:p w14:paraId="392C57C3" w14:textId="77777777" w:rsidR="00980E5F" w:rsidRDefault="00980E5F">
            <w:pPr>
              <w:rPr>
                <w:rFonts w:ascii="宋体"/>
                <w:vanish/>
              </w:rPr>
            </w:pPr>
          </w:p>
        </w:tc>
        <w:tc>
          <w:tcPr>
            <w:tcW w:w="0" w:type="auto"/>
            <w:gridSpan w:val="2"/>
            <w:shd w:val="clear" w:color="auto" w:fill="auto"/>
            <w:vAlign w:val="bottom"/>
          </w:tcPr>
          <w:p w14:paraId="392C57C4" w14:textId="77777777" w:rsidR="00980E5F" w:rsidRDefault="00980E5F">
            <w:pPr>
              <w:rPr>
                <w:rFonts w:ascii="宋体"/>
                <w:vanish/>
              </w:rPr>
            </w:pPr>
          </w:p>
        </w:tc>
        <w:tc>
          <w:tcPr>
            <w:tcW w:w="0" w:type="auto"/>
            <w:shd w:val="clear" w:color="auto" w:fill="auto"/>
            <w:vAlign w:val="bottom"/>
          </w:tcPr>
          <w:p w14:paraId="392C57C5" w14:textId="77777777" w:rsidR="00980E5F" w:rsidRDefault="00980E5F">
            <w:pPr>
              <w:rPr>
                <w:rFonts w:ascii="宋体"/>
                <w:vanish/>
              </w:rPr>
            </w:pPr>
          </w:p>
        </w:tc>
      </w:tr>
      <w:tr w:rsidR="00980E5F" w14:paraId="392C57DD" w14:textId="77777777">
        <w:trPr>
          <w:hidden/>
        </w:trPr>
        <w:tc>
          <w:tcPr>
            <w:tcW w:w="0" w:type="auto"/>
            <w:gridSpan w:val="3"/>
            <w:shd w:val="clear" w:color="auto" w:fill="auto"/>
            <w:vAlign w:val="bottom"/>
          </w:tcPr>
          <w:p w14:paraId="392C57C7" w14:textId="77777777" w:rsidR="00980E5F" w:rsidRDefault="00980E5F">
            <w:pPr>
              <w:rPr>
                <w:rFonts w:ascii="宋体"/>
                <w:vanish/>
              </w:rPr>
            </w:pPr>
          </w:p>
        </w:tc>
        <w:tc>
          <w:tcPr>
            <w:tcW w:w="0" w:type="auto"/>
            <w:gridSpan w:val="3"/>
            <w:shd w:val="clear" w:color="auto" w:fill="auto"/>
            <w:vAlign w:val="bottom"/>
          </w:tcPr>
          <w:p w14:paraId="392C57C8" w14:textId="77777777" w:rsidR="00980E5F" w:rsidRDefault="00980E5F">
            <w:pPr>
              <w:rPr>
                <w:rFonts w:ascii="宋体"/>
                <w:vanish/>
              </w:rPr>
            </w:pPr>
          </w:p>
        </w:tc>
        <w:tc>
          <w:tcPr>
            <w:tcW w:w="0" w:type="auto"/>
            <w:gridSpan w:val="3"/>
            <w:shd w:val="clear" w:color="auto" w:fill="auto"/>
            <w:vAlign w:val="bottom"/>
          </w:tcPr>
          <w:p w14:paraId="392C57C9" w14:textId="77777777" w:rsidR="00980E5F" w:rsidRDefault="00980E5F">
            <w:pPr>
              <w:rPr>
                <w:rFonts w:ascii="宋体"/>
                <w:vanish/>
              </w:rPr>
            </w:pPr>
          </w:p>
        </w:tc>
        <w:tc>
          <w:tcPr>
            <w:tcW w:w="0" w:type="auto"/>
            <w:gridSpan w:val="3"/>
            <w:shd w:val="clear" w:color="auto" w:fill="auto"/>
            <w:vAlign w:val="bottom"/>
          </w:tcPr>
          <w:p w14:paraId="392C57CA" w14:textId="77777777" w:rsidR="00980E5F" w:rsidRDefault="00980E5F">
            <w:pPr>
              <w:rPr>
                <w:rFonts w:ascii="宋体"/>
                <w:vanish/>
              </w:rPr>
            </w:pPr>
          </w:p>
        </w:tc>
        <w:tc>
          <w:tcPr>
            <w:tcW w:w="0" w:type="auto"/>
            <w:gridSpan w:val="3"/>
            <w:shd w:val="clear" w:color="auto" w:fill="auto"/>
            <w:vAlign w:val="bottom"/>
          </w:tcPr>
          <w:p w14:paraId="392C57CB" w14:textId="77777777" w:rsidR="00980E5F" w:rsidRDefault="00980E5F">
            <w:pPr>
              <w:rPr>
                <w:rFonts w:ascii="宋体"/>
                <w:vanish/>
              </w:rPr>
            </w:pPr>
          </w:p>
        </w:tc>
        <w:tc>
          <w:tcPr>
            <w:tcW w:w="0" w:type="auto"/>
            <w:gridSpan w:val="3"/>
            <w:shd w:val="clear" w:color="auto" w:fill="auto"/>
            <w:vAlign w:val="bottom"/>
          </w:tcPr>
          <w:p w14:paraId="392C57CC" w14:textId="77777777" w:rsidR="00980E5F" w:rsidRDefault="00980E5F">
            <w:pPr>
              <w:rPr>
                <w:rFonts w:ascii="宋体"/>
                <w:vanish/>
              </w:rPr>
            </w:pPr>
          </w:p>
        </w:tc>
        <w:tc>
          <w:tcPr>
            <w:tcW w:w="0" w:type="auto"/>
            <w:gridSpan w:val="3"/>
            <w:shd w:val="clear" w:color="auto" w:fill="auto"/>
            <w:vAlign w:val="bottom"/>
          </w:tcPr>
          <w:p w14:paraId="392C57CD" w14:textId="77777777" w:rsidR="00980E5F" w:rsidRDefault="00980E5F">
            <w:pPr>
              <w:rPr>
                <w:rFonts w:ascii="宋体"/>
                <w:vanish/>
              </w:rPr>
            </w:pPr>
          </w:p>
        </w:tc>
        <w:tc>
          <w:tcPr>
            <w:tcW w:w="0" w:type="auto"/>
            <w:gridSpan w:val="3"/>
            <w:shd w:val="clear" w:color="auto" w:fill="auto"/>
            <w:vAlign w:val="bottom"/>
          </w:tcPr>
          <w:p w14:paraId="392C57CE" w14:textId="77777777" w:rsidR="00980E5F" w:rsidRDefault="00980E5F">
            <w:pPr>
              <w:rPr>
                <w:rFonts w:ascii="宋体"/>
                <w:vanish/>
              </w:rPr>
            </w:pPr>
          </w:p>
        </w:tc>
        <w:tc>
          <w:tcPr>
            <w:tcW w:w="0" w:type="auto"/>
            <w:gridSpan w:val="3"/>
            <w:shd w:val="clear" w:color="auto" w:fill="auto"/>
            <w:vAlign w:val="bottom"/>
          </w:tcPr>
          <w:p w14:paraId="392C57CF" w14:textId="77777777" w:rsidR="00980E5F" w:rsidRDefault="00980E5F">
            <w:pPr>
              <w:rPr>
                <w:rFonts w:ascii="宋体"/>
                <w:vanish/>
              </w:rPr>
            </w:pPr>
          </w:p>
        </w:tc>
        <w:tc>
          <w:tcPr>
            <w:tcW w:w="0" w:type="auto"/>
            <w:gridSpan w:val="3"/>
            <w:shd w:val="clear" w:color="auto" w:fill="auto"/>
            <w:vAlign w:val="bottom"/>
          </w:tcPr>
          <w:p w14:paraId="392C57D0" w14:textId="77777777" w:rsidR="00980E5F" w:rsidRDefault="00980E5F">
            <w:pPr>
              <w:rPr>
                <w:rFonts w:ascii="宋体"/>
                <w:vanish/>
              </w:rPr>
            </w:pPr>
          </w:p>
        </w:tc>
        <w:tc>
          <w:tcPr>
            <w:tcW w:w="0" w:type="auto"/>
            <w:gridSpan w:val="3"/>
            <w:shd w:val="clear" w:color="auto" w:fill="auto"/>
            <w:vAlign w:val="bottom"/>
          </w:tcPr>
          <w:p w14:paraId="392C57D1" w14:textId="77777777" w:rsidR="00980E5F" w:rsidRDefault="00980E5F">
            <w:pPr>
              <w:rPr>
                <w:rFonts w:ascii="宋体"/>
                <w:vanish/>
              </w:rPr>
            </w:pPr>
          </w:p>
        </w:tc>
        <w:tc>
          <w:tcPr>
            <w:tcW w:w="0" w:type="auto"/>
            <w:gridSpan w:val="3"/>
            <w:shd w:val="clear" w:color="auto" w:fill="auto"/>
            <w:vAlign w:val="bottom"/>
          </w:tcPr>
          <w:p w14:paraId="392C57D2" w14:textId="77777777" w:rsidR="00980E5F" w:rsidRDefault="00980E5F">
            <w:pPr>
              <w:rPr>
                <w:rFonts w:ascii="宋体"/>
                <w:vanish/>
              </w:rPr>
            </w:pPr>
          </w:p>
        </w:tc>
        <w:tc>
          <w:tcPr>
            <w:tcW w:w="0" w:type="auto"/>
            <w:gridSpan w:val="3"/>
            <w:shd w:val="clear" w:color="auto" w:fill="auto"/>
            <w:vAlign w:val="bottom"/>
          </w:tcPr>
          <w:p w14:paraId="392C57D3" w14:textId="77777777" w:rsidR="00980E5F" w:rsidRDefault="00980E5F">
            <w:pPr>
              <w:rPr>
                <w:rFonts w:ascii="宋体"/>
                <w:vanish/>
              </w:rPr>
            </w:pPr>
          </w:p>
        </w:tc>
        <w:tc>
          <w:tcPr>
            <w:tcW w:w="0" w:type="auto"/>
            <w:gridSpan w:val="3"/>
            <w:shd w:val="clear" w:color="auto" w:fill="auto"/>
            <w:vAlign w:val="bottom"/>
          </w:tcPr>
          <w:p w14:paraId="392C57D4" w14:textId="77777777" w:rsidR="00980E5F" w:rsidRDefault="00980E5F">
            <w:pPr>
              <w:rPr>
                <w:rFonts w:ascii="宋体"/>
                <w:vanish/>
              </w:rPr>
            </w:pPr>
          </w:p>
        </w:tc>
        <w:tc>
          <w:tcPr>
            <w:tcW w:w="0" w:type="auto"/>
            <w:gridSpan w:val="3"/>
            <w:shd w:val="clear" w:color="auto" w:fill="auto"/>
            <w:vAlign w:val="bottom"/>
          </w:tcPr>
          <w:p w14:paraId="392C57D5" w14:textId="77777777" w:rsidR="00980E5F" w:rsidRDefault="00980E5F">
            <w:pPr>
              <w:rPr>
                <w:rFonts w:ascii="宋体"/>
                <w:vanish/>
              </w:rPr>
            </w:pPr>
          </w:p>
        </w:tc>
        <w:tc>
          <w:tcPr>
            <w:tcW w:w="0" w:type="auto"/>
            <w:gridSpan w:val="3"/>
            <w:shd w:val="clear" w:color="auto" w:fill="auto"/>
            <w:vAlign w:val="bottom"/>
          </w:tcPr>
          <w:p w14:paraId="392C57D6" w14:textId="77777777" w:rsidR="00980E5F" w:rsidRDefault="00980E5F">
            <w:pPr>
              <w:rPr>
                <w:rFonts w:ascii="宋体"/>
                <w:vanish/>
              </w:rPr>
            </w:pPr>
          </w:p>
        </w:tc>
        <w:tc>
          <w:tcPr>
            <w:tcW w:w="0" w:type="auto"/>
            <w:gridSpan w:val="3"/>
            <w:shd w:val="clear" w:color="auto" w:fill="auto"/>
            <w:vAlign w:val="bottom"/>
          </w:tcPr>
          <w:p w14:paraId="392C57D7" w14:textId="77777777" w:rsidR="00980E5F" w:rsidRDefault="00980E5F">
            <w:pPr>
              <w:rPr>
                <w:rFonts w:ascii="宋体"/>
                <w:vanish/>
              </w:rPr>
            </w:pPr>
          </w:p>
        </w:tc>
        <w:tc>
          <w:tcPr>
            <w:tcW w:w="0" w:type="auto"/>
            <w:gridSpan w:val="3"/>
            <w:shd w:val="clear" w:color="auto" w:fill="auto"/>
            <w:vAlign w:val="bottom"/>
          </w:tcPr>
          <w:p w14:paraId="392C57D8" w14:textId="77777777" w:rsidR="00980E5F" w:rsidRDefault="00980E5F">
            <w:pPr>
              <w:rPr>
                <w:rFonts w:ascii="宋体"/>
                <w:vanish/>
              </w:rPr>
            </w:pPr>
          </w:p>
        </w:tc>
        <w:tc>
          <w:tcPr>
            <w:tcW w:w="0" w:type="auto"/>
            <w:gridSpan w:val="3"/>
            <w:shd w:val="clear" w:color="auto" w:fill="auto"/>
            <w:vAlign w:val="bottom"/>
          </w:tcPr>
          <w:p w14:paraId="392C57D9" w14:textId="77777777" w:rsidR="00980E5F" w:rsidRDefault="00980E5F">
            <w:pPr>
              <w:rPr>
                <w:rFonts w:ascii="宋体"/>
                <w:vanish/>
              </w:rPr>
            </w:pPr>
          </w:p>
        </w:tc>
        <w:tc>
          <w:tcPr>
            <w:tcW w:w="0" w:type="auto"/>
            <w:gridSpan w:val="3"/>
            <w:shd w:val="clear" w:color="auto" w:fill="auto"/>
            <w:vAlign w:val="bottom"/>
          </w:tcPr>
          <w:p w14:paraId="392C57DA" w14:textId="77777777" w:rsidR="00980E5F" w:rsidRDefault="00980E5F">
            <w:pPr>
              <w:rPr>
                <w:rFonts w:ascii="宋体"/>
                <w:vanish/>
              </w:rPr>
            </w:pPr>
          </w:p>
        </w:tc>
        <w:tc>
          <w:tcPr>
            <w:tcW w:w="0" w:type="auto"/>
            <w:gridSpan w:val="2"/>
            <w:shd w:val="clear" w:color="auto" w:fill="auto"/>
            <w:vAlign w:val="bottom"/>
          </w:tcPr>
          <w:p w14:paraId="392C57DB" w14:textId="77777777" w:rsidR="00980E5F" w:rsidRDefault="00980E5F">
            <w:pPr>
              <w:rPr>
                <w:rFonts w:ascii="宋体"/>
                <w:vanish/>
              </w:rPr>
            </w:pPr>
          </w:p>
        </w:tc>
        <w:tc>
          <w:tcPr>
            <w:tcW w:w="0" w:type="auto"/>
            <w:shd w:val="clear" w:color="auto" w:fill="auto"/>
            <w:vAlign w:val="bottom"/>
          </w:tcPr>
          <w:p w14:paraId="392C57DC" w14:textId="77777777" w:rsidR="00980E5F" w:rsidRDefault="00980E5F">
            <w:pPr>
              <w:rPr>
                <w:rFonts w:ascii="宋体"/>
                <w:vanish/>
              </w:rPr>
            </w:pPr>
          </w:p>
        </w:tc>
      </w:tr>
      <w:tr w:rsidR="00980E5F" w14:paraId="392C57F4" w14:textId="77777777">
        <w:trPr>
          <w:hidden/>
        </w:trPr>
        <w:tc>
          <w:tcPr>
            <w:tcW w:w="0" w:type="auto"/>
            <w:gridSpan w:val="3"/>
            <w:shd w:val="clear" w:color="auto" w:fill="auto"/>
            <w:vAlign w:val="bottom"/>
          </w:tcPr>
          <w:p w14:paraId="392C57DE" w14:textId="77777777" w:rsidR="00980E5F" w:rsidRDefault="00980E5F">
            <w:pPr>
              <w:rPr>
                <w:rFonts w:ascii="宋体"/>
                <w:vanish/>
              </w:rPr>
            </w:pPr>
          </w:p>
        </w:tc>
        <w:tc>
          <w:tcPr>
            <w:tcW w:w="0" w:type="auto"/>
            <w:gridSpan w:val="3"/>
            <w:shd w:val="clear" w:color="auto" w:fill="auto"/>
            <w:vAlign w:val="bottom"/>
          </w:tcPr>
          <w:p w14:paraId="392C57DF" w14:textId="77777777" w:rsidR="00980E5F" w:rsidRDefault="00980E5F">
            <w:pPr>
              <w:rPr>
                <w:rFonts w:ascii="宋体"/>
                <w:vanish/>
              </w:rPr>
            </w:pPr>
          </w:p>
        </w:tc>
        <w:tc>
          <w:tcPr>
            <w:tcW w:w="0" w:type="auto"/>
            <w:gridSpan w:val="3"/>
            <w:shd w:val="clear" w:color="auto" w:fill="auto"/>
            <w:vAlign w:val="bottom"/>
          </w:tcPr>
          <w:p w14:paraId="392C57E0" w14:textId="77777777" w:rsidR="00980E5F" w:rsidRDefault="00980E5F">
            <w:pPr>
              <w:rPr>
                <w:rFonts w:ascii="宋体"/>
                <w:vanish/>
              </w:rPr>
            </w:pPr>
          </w:p>
        </w:tc>
        <w:tc>
          <w:tcPr>
            <w:tcW w:w="0" w:type="auto"/>
            <w:gridSpan w:val="3"/>
            <w:shd w:val="clear" w:color="auto" w:fill="auto"/>
            <w:vAlign w:val="bottom"/>
          </w:tcPr>
          <w:p w14:paraId="392C57E1" w14:textId="77777777" w:rsidR="00980E5F" w:rsidRDefault="00980E5F">
            <w:pPr>
              <w:rPr>
                <w:rFonts w:ascii="宋体"/>
                <w:vanish/>
              </w:rPr>
            </w:pPr>
          </w:p>
        </w:tc>
        <w:tc>
          <w:tcPr>
            <w:tcW w:w="0" w:type="auto"/>
            <w:gridSpan w:val="3"/>
            <w:shd w:val="clear" w:color="auto" w:fill="auto"/>
            <w:vAlign w:val="bottom"/>
          </w:tcPr>
          <w:p w14:paraId="392C57E2" w14:textId="77777777" w:rsidR="00980E5F" w:rsidRDefault="00980E5F">
            <w:pPr>
              <w:rPr>
                <w:rFonts w:ascii="宋体"/>
                <w:vanish/>
              </w:rPr>
            </w:pPr>
          </w:p>
        </w:tc>
        <w:tc>
          <w:tcPr>
            <w:tcW w:w="0" w:type="auto"/>
            <w:gridSpan w:val="3"/>
            <w:shd w:val="clear" w:color="auto" w:fill="auto"/>
            <w:vAlign w:val="bottom"/>
          </w:tcPr>
          <w:p w14:paraId="392C57E3" w14:textId="77777777" w:rsidR="00980E5F" w:rsidRDefault="00980E5F">
            <w:pPr>
              <w:rPr>
                <w:rFonts w:ascii="宋体"/>
                <w:vanish/>
              </w:rPr>
            </w:pPr>
          </w:p>
        </w:tc>
        <w:tc>
          <w:tcPr>
            <w:tcW w:w="0" w:type="auto"/>
            <w:gridSpan w:val="3"/>
            <w:shd w:val="clear" w:color="auto" w:fill="auto"/>
            <w:vAlign w:val="bottom"/>
          </w:tcPr>
          <w:p w14:paraId="392C57E4" w14:textId="77777777" w:rsidR="00980E5F" w:rsidRDefault="00980E5F">
            <w:pPr>
              <w:rPr>
                <w:rFonts w:ascii="宋体"/>
                <w:vanish/>
              </w:rPr>
            </w:pPr>
          </w:p>
        </w:tc>
        <w:tc>
          <w:tcPr>
            <w:tcW w:w="0" w:type="auto"/>
            <w:gridSpan w:val="3"/>
            <w:shd w:val="clear" w:color="auto" w:fill="auto"/>
            <w:vAlign w:val="bottom"/>
          </w:tcPr>
          <w:p w14:paraId="392C57E5" w14:textId="77777777" w:rsidR="00980E5F" w:rsidRDefault="00980E5F">
            <w:pPr>
              <w:rPr>
                <w:rFonts w:ascii="宋体"/>
                <w:vanish/>
              </w:rPr>
            </w:pPr>
          </w:p>
        </w:tc>
        <w:tc>
          <w:tcPr>
            <w:tcW w:w="0" w:type="auto"/>
            <w:gridSpan w:val="3"/>
            <w:shd w:val="clear" w:color="auto" w:fill="auto"/>
            <w:vAlign w:val="bottom"/>
          </w:tcPr>
          <w:p w14:paraId="392C57E6" w14:textId="77777777" w:rsidR="00980E5F" w:rsidRDefault="00980E5F">
            <w:pPr>
              <w:rPr>
                <w:rFonts w:ascii="宋体"/>
                <w:vanish/>
              </w:rPr>
            </w:pPr>
          </w:p>
        </w:tc>
        <w:tc>
          <w:tcPr>
            <w:tcW w:w="0" w:type="auto"/>
            <w:gridSpan w:val="3"/>
            <w:shd w:val="clear" w:color="auto" w:fill="auto"/>
            <w:vAlign w:val="bottom"/>
          </w:tcPr>
          <w:p w14:paraId="392C57E7" w14:textId="77777777" w:rsidR="00980E5F" w:rsidRDefault="00980E5F">
            <w:pPr>
              <w:rPr>
                <w:rFonts w:ascii="宋体"/>
                <w:vanish/>
              </w:rPr>
            </w:pPr>
          </w:p>
        </w:tc>
        <w:tc>
          <w:tcPr>
            <w:tcW w:w="0" w:type="auto"/>
            <w:gridSpan w:val="3"/>
            <w:shd w:val="clear" w:color="auto" w:fill="auto"/>
            <w:vAlign w:val="bottom"/>
          </w:tcPr>
          <w:p w14:paraId="392C57E8" w14:textId="77777777" w:rsidR="00980E5F" w:rsidRDefault="00980E5F">
            <w:pPr>
              <w:rPr>
                <w:rFonts w:ascii="宋体"/>
                <w:vanish/>
              </w:rPr>
            </w:pPr>
          </w:p>
        </w:tc>
        <w:tc>
          <w:tcPr>
            <w:tcW w:w="0" w:type="auto"/>
            <w:gridSpan w:val="3"/>
            <w:shd w:val="clear" w:color="auto" w:fill="auto"/>
            <w:vAlign w:val="bottom"/>
          </w:tcPr>
          <w:p w14:paraId="392C57E9" w14:textId="77777777" w:rsidR="00980E5F" w:rsidRDefault="00980E5F">
            <w:pPr>
              <w:rPr>
                <w:rFonts w:ascii="宋体"/>
                <w:vanish/>
              </w:rPr>
            </w:pPr>
          </w:p>
        </w:tc>
        <w:tc>
          <w:tcPr>
            <w:tcW w:w="0" w:type="auto"/>
            <w:gridSpan w:val="3"/>
            <w:shd w:val="clear" w:color="auto" w:fill="auto"/>
            <w:vAlign w:val="bottom"/>
          </w:tcPr>
          <w:p w14:paraId="392C57EA" w14:textId="77777777" w:rsidR="00980E5F" w:rsidRDefault="00980E5F">
            <w:pPr>
              <w:rPr>
                <w:rFonts w:ascii="宋体"/>
                <w:vanish/>
              </w:rPr>
            </w:pPr>
          </w:p>
        </w:tc>
        <w:tc>
          <w:tcPr>
            <w:tcW w:w="0" w:type="auto"/>
            <w:gridSpan w:val="3"/>
            <w:shd w:val="clear" w:color="auto" w:fill="auto"/>
            <w:vAlign w:val="bottom"/>
          </w:tcPr>
          <w:p w14:paraId="392C57EB" w14:textId="77777777" w:rsidR="00980E5F" w:rsidRDefault="00980E5F">
            <w:pPr>
              <w:rPr>
                <w:rFonts w:ascii="宋体"/>
                <w:vanish/>
              </w:rPr>
            </w:pPr>
          </w:p>
        </w:tc>
        <w:tc>
          <w:tcPr>
            <w:tcW w:w="0" w:type="auto"/>
            <w:gridSpan w:val="3"/>
            <w:shd w:val="clear" w:color="auto" w:fill="auto"/>
            <w:vAlign w:val="bottom"/>
          </w:tcPr>
          <w:p w14:paraId="392C57EC" w14:textId="77777777" w:rsidR="00980E5F" w:rsidRDefault="00980E5F">
            <w:pPr>
              <w:rPr>
                <w:rFonts w:ascii="宋体"/>
                <w:vanish/>
              </w:rPr>
            </w:pPr>
          </w:p>
        </w:tc>
        <w:tc>
          <w:tcPr>
            <w:tcW w:w="0" w:type="auto"/>
            <w:gridSpan w:val="3"/>
            <w:shd w:val="clear" w:color="auto" w:fill="auto"/>
            <w:vAlign w:val="bottom"/>
          </w:tcPr>
          <w:p w14:paraId="392C57ED" w14:textId="77777777" w:rsidR="00980E5F" w:rsidRDefault="00980E5F">
            <w:pPr>
              <w:rPr>
                <w:rFonts w:ascii="宋体"/>
                <w:vanish/>
              </w:rPr>
            </w:pPr>
          </w:p>
        </w:tc>
        <w:tc>
          <w:tcPr>
            <w:tcW w:w="0" w:type="auto"/>
            <w:gridSpan w:val="3"/>
            <w:shd w:val="clear" w:color="auto" w:fill="auto"/>
            <w:vAlign w:val="bottom"/>
          </w:tcPr>
          <w:p w14:paraId="392C57EE" w14:textId="77777777" w:rsidR="00980E5F" w:rsidRDefault="00980E5F">
            <w:pPr>
              <w:rPr>
                <w:rFonts w:ascii="宋体"/>
                <w:vanish/>
              </w:rPr>
            </w:pPr>
          </w:p>
        </w:tc>
        <w:tc>
          <w:tcPr>
            <w:tcW w:w="0" w:type="auto"/>
            <w:gridSpan w:val="3"/>
            <w:shd w:val="clear" w:color="auto" w:fill="auto"/>
            <w:vAlign w:val="bottom"/>
          </w:tcPr>
          <w:p w14:paraId="392C57EF" w14:textId="77777777" w:rsidR="00980E5F" w:rsidRDefault="00980E5F">
            <w:pPr>
              <w:rPr>
                <w:rFonts w:ascii="宋体"/>
                <w:vanish/>
              </w:rPr>
            </w:pPr>
          </w:p>
        </w:tc>
        <w:tc>
          <w:tcPr>
            <w:tcW w:w="0" w:type="auto"/>
            <w:gridSpan w:val="3"/>
            <w:shd w:val="clear" w:color="auto" w:fill="auto"/>
            <w:vAlign w:val="bottom"/>
          </w:tcPr>
          <w:p w14:paraId="392C57F0" w14:textId="77777777" w:rsidR="00980E5F" w:rsidRDefault="00980E5F">
            <w:pPr>
              <w:rPr>
                <w:rFonts w:ascii="宋体"/>
                <w:vanish/>
              </w:rPr>
            </w:pPr>
          </w:p>
        </w:tc>
        <w:tc>
          <w:tcPr>
            <w:tcW w:w="0" w:type="auto"/>
            <w:gridSpan w:val="3"/>
            <w:shd w:val="clear" w:color="auto" w:fill="auto"/>
            <w:vAlign w:val="bottom"/>
          </w:tcPr>
          <w:p w14:paraId="392C57F1" w14:textId="77777777" w:rsidR="00980E5F" w:rsidRDefault="00980E5F">
            <w:pPr>
              <w:rPr>
                <w:rFonts w:ascii="宋体"/>
                <w:vanish/>
              </w:rPr>
            </w:pPr>
          </w:p>
        </w:tc>
        <w:tc>
          <w:tcPr>
            <w:tcW w:w="0" w:type="auto"/>
            <w:gridSpan w:val="2"/>
            <w:shd w:val="clear" w:color="auto" w:fill="auto"/>
            <w:vAlign w:val="bottom"/>
          </w:tcPr>
          <w:p w14:paraId="392C57F2" w14:textId="77777777" w:rsidR="00980E5F" w:rsidRDefault="00980E5F">
            <w:pPr>
              <w:rPr>
                <w:rFonts w:ascii="宋体"/>
                <w:vanish/>
              </w:rPr>
            </w:pPr>
          </w:p>
        </w:tc>
        <w:tc>
          <w:tcPr>
            <w:tcW w:w="0" w:type="auto"/>
            <w:shd w:val="clear" w:color="auto" w:fill="auto"/>
            <w:vAlign w:val="bottom"/>
          </w:tcPr>
          <w:p w14:paraId="392C57F3" w14:textId="77777777" w:rsidR="00980E5F" w:rsidRDefault="00980E5F">
            <w:pPr>
              <w:rPr>
                <w:rFonts w:ascii="宋体"/>
                <w:vanish/>
              </w:rPr>
            </w:pPr>
          </w:p>
        </w:tc>
      </w:tr>
      <w:tr w:rsidR="00980E5F" w14:paraId="392C580B" w14:textId="77777777">
        <w:trPr>
          <w:hidden/>
        </w:trPr>
        <w:tc>
          <w:tcPr>
            <w:tcW w:w="0" w:type="auto"/>
            <w:gridSpan w:val="3"/>
            <w:shd w:val="clear" w:color="auto" w:fill="auto"/>
            <w:vAlign w:val="bottom"/>
          </w:tcPr>
          <w:p w14:paraId="392C57F5" w14:textId="77777777" w:rsidR="00980E5F" w:rsidRDefault="00980E5F">
            <w:pPr>
              <w:rPr>
                <w:rFonts w:ascii="宋体"/>
                <w:vanish/>
              </w:rPr>
            </w:pPr>
          </w:p>
        </w:tc>
        <w:tc>
          <w:tcPr>
            <w:tcW w:w="0" w:type="auto"/>
            <w:gridSpan w:val="3"/>
            <w:shd w:val="clear" w:color="auto" w:fill="auto"/>
            <w:vAlign w:val="bottom"/>
          </w:tcPr>
          <w:p w14:paraId="392C57F6" w14:textId="77777777" w:rsidR="00980E5F" w:rsidRDefault="00980E5F">
            <w:pPr>
              <w:rPr>
                <w:rFonts w:ascii="宋体"/>
                <w:vanish/>
              </w:rPr>
            </w:pPr>
          </w:p>
        </w:tc>
        <w:tc>
          <w:tcPr>
            <w:tcW w:w="0" w:type="auto"/>
            <w:gridSpan w:val="3"/>
            <w:shd w:val="clear" w:color="auto" w:fill="auto"/>
            <w:vAlign w:val="bottom"/>
          </w:tcPr>
          <w:p w14:paraId="392C57F7" w14:textId="77777777" w:rsidR="00980E5F" w:rsidRDefault="00980E5F">
            <w:pPr>
              <w:rPr>
                <w:rFonts w:ascii="宋体"/>
                <w:vanish/>
              </w:rPr>
            </w:pPr>
          </w:p>
        </w:tc>
        <w:tc>
          <w:tcPr>
            <w:tcW w:w="0" w:type="auto"/>
            <w:gridSpan w:val="3"/>
            <w:shd w:val="clear" w:color="auto" w:fill="auto"/>
            <w:vAlign w:val="bottom"/>
          </w:tcPr>
          <w:p w14:paraId="392C57F8" w14:textId="77777777" w:rsidR="00980E5F" w:rsidRDefault="00980E5F">
            <w:pPr>
              <w:rPr>
                <w:rFonts w:ascii="宋体"/>
                <w:vanish/>
              </w:rPr>
            </w:pPr>
          </w:p>
        </w:tc>
        <w:tc>
          <w:tcPr>
            <w:tcW w:w="0" w:type="auto"/>
            <w:gridSpan w:val="3"/>
            <w:shd w:val="clear" w:color="auto" w:fill="auto"/>
            <w:vAlign w:val="bottom"/>
          </w:tcPr>
          <w:p w14:paraId="392C57F9" w14:textId="77777777" w:rsidR="00980E5F" w:rsidRDefault="00980E5F">
            <w:pPr>
              <w:rPr>
                <w:rFonts w:ascii="宋体"/>
                <w:vanish/>
              </w:rPr>
            </w:pPr>
          </w:p>
        </w:tc>
        <w:tc>
          <w:tcPr>
            <w:tcW w:w="0" w:type="auto"/>
            <w:gridSpan w:val="3"/>
            <w:shd w:val="clear" w:color="auto" w:fill="auto"/>
            <w:vAlign w:val="bottom"/>
          </w:tcPr>
          <w:p w14:paraId="392C57FA" w14:textId="77777777" w:rsidR="00980E5F" w:rsidRDefault="00980E5F">
            <w:pPr>
              <w:rPr>
                <w:rFonts w:ascii="宋体"/>
                <w:vanish/>
              </w:rPr>
            </w:pPr>
          </w:p>
        </w:tc>
        <w:tc>
          <w:tcPr>
            <w:tcW w:w="0" w:type="auto"/>
            <w:gridSpan w:val="3"/>
            <w:shd w:val="clear" w:color="auto" w:fill="auto"/>
            <w:vAlign w:val="bottom"/>
          </w:tcPr>
          <w:p w14:paraId="392C57FB" w14:textId="77777777" w:rsidR="00980E5F" w:rsidRDefault="00980E5F">
            <w:pPr>
              <w:rPr>
                <w:rFonts w:ascii="宋体"/>
                <w:vanish/>
              </w:rPr>
            </w:pPr>
          </w:p>
        </w:tc>
        <w:tc>
          <w:tcPr>
            <w:tcW w:w="0" w:type="auto"/>
            <w:gridSpan w:val="3"/>
            <w:shd w:val="clear" w:color="auto" w:fill="auto"/>
            <w:vAlign w:val="bottom"/>
          </w:tcPr>
          <w:p w14:paraId="392C57FC" w14:textId="77777777" w:rsidR="00980E5F" w:rsidRDefault="00980E5F">
            <w:pPr>
              <w:rPr>
                <w:rFonts w:ascii="宋体"/>
                <w:vanish/>
              </w:rPr>
            </w:pPr>
          </w:p>
        </w:tc>
        <w:tc>
          <w:tcPr>
            <w:tcW w:w="0" w:type="auto"/>
            <w:gridSpan w:val="3"/>
            <w:shd w:val="clear" w:color="auto" w:fill="auto"/>
            <w:vAlign w:val="bottom"/>
          </w:tcPr>
          <w:p w14:paraId="392C57FD" w14:textId="77777777" w:rsidR="00980E5F" w:rsidRDefault="00980E5F">
            <w:pPr>
              <w:rPr>
                <w:rFonts w:ascii="宋体"/>
                <w:vanish/>
              </w:rPr>
            </w:pPr>
          </w:p>
        </w:tc>
        <w:tc>
          <w:tcPr>
            <w:tcW w:w="0" w:type="auto"/>
            <w:gridSpan w:val="3"/>
            <w:shd w:val="clear" w:color="auto" w:fill="auto"/>
            <w:vAlign w:val="bottom"/>
          </w:tcPr>
          <w:p w14:paraId="392C57FE" w14:textId="77777777" w:rsidR="00980E5F" w:rsidRDefault="00980E5F">
            <w:pPr>
              <w:rPr>
                <w:rFonts w:ascii="宋体"/>
                <w:vanish/>
              </w:rPr>
            </w:pPr>
          </w:p>
        </w:tc>
        <w:tc>
          <w:tcPr>
            <w:tcW w:w="0" w:type="auto"/>
            <w:gridSpan w:val="3"/>
            <w:shd w:val="clear" w:color="auto" w:fill="auto"/>
            <w:vAlign w:val="bottom"/>
          </w:tcPr>
          <w:p w14:paraId="392C57FF" w14:textId="77777777" w:rsidR="00980E5F" w:rsidRDefault="00980E5F">
            <w:pPr>
              <w:rPr>
                <w:rFonts w:ascii="宋体"/>
                <w:vanish/>
              </w:rPr>
            </w:pPr>
          </w:p>
        </w:tc>
        <w:tc>
          <w:tcPr>
            <w:tcW w:w="0" w:type="auto"/>
            <w:gridSpan w:val="3"/>
            <w:shd w:val="clear" w:color="auto" w:fill="auto"/>
            <w:vAlign w:val="bottom"/>
          </w:tcPr>
          <w:p w14:paraId="392C5800" w14:textId="77777777" w:rsidR="00980E5F" w:rsidRDefault="00980E5F">
            <w:pPr>
              <w:rPr>
                <w:rFonts w:ascii="宋体"/>
                <w:vanish/>
              </w:rPr>
            </w:pPr>
          </w:p>
        </w:tc>
        <w:tc>
          <w:tcPr>
            <w:tcW w:w="0" w:type="auto"/>
            <w:gridSpan w:val="3"/>
            <w:shd w:val="clear" w:color="auto" w:fill="auto"/>
            <w:vAlign w:val="bottom"/>
          </w:tcPr>
          <w:p w14:paraId="392C5801" w14:textId="77777777" w:rsidR="00980E5F" w:rsidRDefault="00980E5F">
            <w:pPr>
              <w:rPr>
                <w:rFonts w:ascii="宋体"/>
                <w:vanish/>
              </w:rPr>
            </w:pPr>
          </w:p>
        </w:tc>
        <w:tc>
          <w:tcPr>
            <w:tcW w:w="0" w:type="auto"/>
            <w:gridSpan w:val="3"/>
            <w:shd w:val="clear" w:color="auto" w:fill="auto"/>
            <w:vAlign w:val="bottom"/>
          </w:tcPr>
          <w:p w14:paraId="392C5802" w14:textId="77777777" w:rsidR="00980E5F" w:rsidRDefault="00980E5F">
            <w:pPr>
              <w:rPr>
                <w:rFonts w:ascii="宋体"/>
                <w:vanish/>
              </w:rPr>
            </w:pPr>
          </w:p>
        </w:tc>
        <w:tc>
          <w:tcPr>
            <w:tcW w:w="0" w:type="auto"/>
            <w:gridSpan w:val="3"/>
            <w:shd w:val="clear" w:color="auto" w:fill="auto"/>
            <w:vAlign w:val="bottom"/>
          </w:tcPr>
          <w:p w14:paraId="392C5803" w14:textId="77777777" w:rsidR="00980E5F" w:rsidRDefault="00980E5F">
            <w:pPr>
              <w:rPr>
                <w:rFonts w:ascii="宋体"/>
                <w:vanish/>
              </w:rPr>
            </w:pPr>
          </w:p>
        </w:tc>
        <w:tc>
          <w:tcPr>
            <w:tcW w:w="0" w:type="auto"/>
            <w:gridSpan w:val="3"/>
            <w:shd w:val="clear" w:color="auto" w:fill="auto"/>
            <w:vAlign w:val="bottom"/>
          </w:tcPr>
          <w:p w14:paraId="392C5804" w14:textId="77777777" w:rsidR="00980E5F" w:rsidRDefault="00980E5F">
            <w:pPr>
              <w:rPr>
                <w:rFonts w:ascii="宋体"/>
                <w:vanish/>
              </w:rPr>
            </w:pPr>
          </w:p>
        </w:tc>
        <w:tc>
          <w:tcPr>
            <w:tcW w:w="0" w:type="auto"/>
            <w:gridSpan w:val="3"/>
            <w:shd w:val="clear" w:color="auto" w:fill="auto"/>
            <w:vAlign w:val="bottom"/>
          </w:tcPr>
          <w:p w14:paraId="392C5805" w14:textId="77777777" w:rsidR="00980E5F" w:rsidRDefault="00980E5F">
            <w:pPr>
              <w:rPr>
                <w:rFonts w:ascii="宋体"/>
                <w:vanish/>
              </w:rPr>
            </w:pPr>
          </w:p>
        </w:tc>
        <w:tc>
          <w:tcPr>
            <w:tcW w:w="0" w:type="auto"/>
            <w:gridSpan w:val="3"/>
            <w:shd w:val="clear" w:color="auto" w:fill="auto"/>
            <w:vAlign w:val="bottom"/>
          </w:tcPr>
          <w:p w14:paraId="392C5806" w14:textId="77777777" w:rsidR="00980E5F" w:rsidRDefault="00980E5F">
            <w:pPr>
              <w:rPr>
                <w:rFonts w:ascii="宋体"/>
                <w:vanish/>
              </w:rPr>
            </w:pPr>
          </w:p>
        </w:tc>
        <w:tc>
          <w:tcPr>
            <w:tcW w:w="0" w:type="auto"/>
            <w:gridSpan w:val="3"/>
            <w:shd w:val="clear" w:color="auto" w:fill="auto"/>
            <w:vAlign w:val="bottom"/>
          </w:tcPr>
          <w:p w14:paraId="392C5807" w14:textId="77777777" w:rsidR="00980E5F" w:rsidRDefault="00980E5F">
            <w:pPr>
              <w:rPr>
                <w:rFonts w:ascii="宋体"/>
                <w:vanish/>
              </w:rPr>
            </w:pPr>
          </w:p>
        </w:tc>
        <w:tc>
          <w:tcPr>
            <w:tcW w:w="0" w:type="auto"/>
            <w:gridSpan w:val="3"/>
            <w:shd w:val="clear" w:color="auto" w:fill="auto"/>
            <w:vAlign w:val="bottom"/>
          </w:tcPr>
          <w:p w14:paraId="392C5808" w14:textId="77777777" w:rsidR="00980E5F" w:rsidRDefault="00980E5F">
            <w:pPr>
              <w:rPr>
                <w:rFonts w:ascii="宋体"/>
                <w:vanish/>
              </w:rPr>
            </w:pPr>
          </w:p>
        </w:tc>
        <w:tc>
          <w:tcPr>
            <w:tcW w:w="0" w:type="auto"/>
            <w:gridSpan w:val="2"/>
            <w:shd w:val="clear" w:color="auto" w:fill="auto"/>
            <w:vAlign w:val="bottom"/>
          </w:tcPr>
          <w:p w14:paraId="392C5809" w14:textId="77777777" w:rsidR="00980E5F" w:rsidRDefault="00980E5F">
            <w:pPr>
              <w:rPr>
                <w:rFonts w:ascii="宋体"/>
                <w:vanish/>
              </w:rPr>
            </w:pPr>
          </w:p>
        </w:tc>
        <w:tc>
          <w:tcPr>
            <w:tcW w:w="0" w:type="auto"/>
            <w:shd w:val="clear" w:color="auto" w:fill="auto"/>
            <w:vAlign w:val="bottom"/>
          </w:tcPr>
          <w:p w14:paraId="392C580A" w14:textId="77777777" w:rsidR="00980E5F" w:rsidRDefault="00980E5F">
            <w:pPr>
              <w:rPr>
                <w:rFonts w:ascii="宋体"/>
                <w:vanish/>
              </w:rPr>
            </w:pPr>
          </w:p>
        </w:tc>
      </w:tr>
      <w:tr w:rsidR="00980E5F" w14:paraId="392C5822" w14:textId="77777777">
        <w:trPr>
          <w:hidden/>
        </w:trPr>
        <w:tc>
          <w:tcPr>
            <w:tcW w:w="0" w:type="auto"/>
            <w:gridSpan w:val="3"/>
            <w:shd w:val="clear" w:color="auto" w:fill="auto"/>
            <w:vAlign w:val="bottom"/>
          </w:tcPr>
          <w:p w14:paraId="392C580C" w14:textId="77777777" w:rsidR="00980E5F" w:rsidRDefault="00980E5F">
            <w:pPr>
              <w:rPr>
                <w:rFonts w:ascii="宋体"/>
                <w:vanish/>
              </w:rPr>
            </w:pPr>
          </w:p>
        </w:tc>
        <w:tc>
          <w:tcPr>
            <w:tcW w:w="0" w:type="auto"/>
            <w:gridSpan w:val="3"/>
            <w:shd w:val="clear" w:color="auto" w:fill="auto"/>
            <w:vAlign w:val="bottom"/>
          </w:tcPr>
          <w:p w14:paraId="392C580D" w14:textId="77777777" w:rsidR="00980E5F" w:rsidRDefault="00980E5F">
            <w:pPr>
              <w:rPr>
                <w:rFonts w:ascii="宋体"/>
                <w:vanish/>
              </w:rPr>
            </w:pPr>
          </w:p>
        </w:tc>
        <w:tc>
          <w:tcPr>
            <w:tcW w:w="0" w:type="auto"/>
            <w:gridSpan w:val="3"/>
            <w:shd w:val="clear" w:color="auto" w:fill="auto"/>
            <w:vAlign w:val="bottom"/>
          </w:tcPr>
          <w:p w14:paraId="392C580E" w14:textId="77777777" w:rsidR="00980E5F" w:rsidRDefault="00980E5F">
            <w:pPr>
              <w:rPr>
                <w:rFonts w:ascii="宋体"/>
                <w:vanish/>
              </w:rPr>
            </w:pPr>
          </w:p>
        </w:tc>
        <w:tc>
          <w:tcPr>
            <w:tcW w:w="0" w:type="auto"/>
            <w:gridSpan w:val="3"/>
            <w:shd w:val="clear" w:color="auto" w:fill="auto"/>
            <w:vAlign w:val="bottom"/>
          </w:tcPr>
          <w:p w14:paraId="392C580F" w14:textId="77777777" w:rsidR="00980E5F" w:rsidRDefault="00980E5F">
            <w:pPr>
              <w:rPr>
                <w:rFonts w:ascii="宋体"/>
                <w:vanish/>
              </w:rPr>
            </w:pPr>
          </w:p>
        </w:tc>
        <w:tc>
          <w:tcPr>
            <w:tcW w:w="0" w:type="auto"/>
            <w:gridSpan w:val="3"/>
            <w:shd w:val="clear" w:color="auto" w:fill="auto"/>
            <w:vAlign w:val="bottom"/>
          </w:tcPr>
          <w:p w14:paraId="392C5810" w14:textId="77777777" w:rsidR="00980E5F" w:rsidRDefault="00980E5F">
            <w:pPr>
              <w:rPr>
                <w:rFonts w:ascii="宋体"/>
                <w:vanish/>
              </w:rPr>
            </w:pPr>
          </w:p>
        </w:tc>
        <w:tc>
          <w:tcPr>
            <w:tcW w:w="0" w:type="auto"/>
            <w:gridSpan w:val="3"/>
            <w:shd w:val="clear" w:color="auto" w:fill="auto"/>
            <w:vAlign w:val="bottom"/>
          </w:tcPr>
          <w:p w14:paraId="392C5811" w14:textId="77777777" w:rsidR="00980E5F" w:rsidRDefault="00980E5F">
            <w:pPr>
              <w:rPr>
                <w:rFonts w:ascii="宋体"/>
                <w:vanish/>
              </w:rPr>
            </w:pPr>
          </w:p>
        </w:tc>
        <w:tc>
          <w:tcPr>
            <w:tcW w:w="0" w:type="auto"/>
            <w:gridSpan w:val="3"/>
            <w:shd w:val="clear" w:color="auto" w:fill="auto"/>
            <w:vAlign w:val="bottom"/>
          </w:tcPr>
          <w:p w14:paraId="392C5812" w14:textId="77777777" w:rsidR="00980E5F" w:rsidRDefault="00980E5F">
            <w:pPr>
              <w:rPr>
                <w:rFonts w:ascii="宋体"/>
                <w:vanish/>
              </w:rPr>
            </w:pPr>
          </w:p>
        </w:tc>
        <w:tc>
          <w:tcPr>
            <w:tcW w:w="0" w:type="auto"/>
            <w:gridSpan w:val="3"/>
            <w:shd w:val="clear" w:color="auto" w:fill="auto"/>
            <w:vAlign w:val="bottom"/>
          </w:tcPr>
          <w:p w14:paraId="392C5813" w14:textId="77777777" w:rsidR="00980E5F" w:rsidRDefault="00980E5F">
            <w:pPr>
              <w:rPr>
                <w:rFonts w:ascii="宋体"/>
                <w:vanish/>
              </w:rPr>
            </w:pPr>
          </w:p>
        </w:tc>
        <w:tc>
          <w:tcPr>
            <w:tcW w:w="0" w:type="auto"/>
            <w:gridSpan w:val="3"/>
            <w:shd w:val="clear" w:color="auto" w:fill="auto"/>
            <w:vAlign w:val="bottom"/>
          </w:tcPr>
          <w:p w14:paraId="392C5814" w14:textId="77777777" w:rsidR="00980E5F" w:rsidRDefault="00980E5F">
            <w:pPr>
              <w:rPr>
                <w:rFonts w:ascii="宋体"/>
                <w:vanish/>
              </w:rPr>
            </w:pPr>
          </w:p>
        </w:tc>
        <w:tc>
          <w:tcPr>
            <w:tcW w:w="0" w:type="auto"/>
            <w:gridSpan w:val="3"/>
            <w:shd w:val="clear" w:color="auto" w:fill="auto"/>
            <w:vAlign w:val="bottom"/>
          </w:tcPr>
          <w:p w14:paraId="392C5815" w14:textId="77777777" w:rsidR="00980E5F" w:rsidRDefault="00980E5F">
            <w:pPr>
              <w:rPr>
                <w:rFonts w:ascii="宋体"/>
                <w:vanish/>
              </w:rPr>
            </w:pPr>
          </w:p>
        </w:tc>
        <w:tc>
          <w:tcPr>
            <w:tcW w:w="0" w:type="auto"/>
            <w:gridSpan w:val="3"/>
            <w:shd w:val="clear" w:color="auto" w:fill="auto"/>
            <w:vAlign w:val="bottom"/>
          </w:tcPr>
          <w:p w14:paraId="392C5816" w14:textId="77777777" w:rsidR="00980E5F" w:rsidRDefault="00980E5F">
            <w:pPr>
              <w:rPr>
                <w:rFonts w:ascii="宋体"/>
                <w:vanish/>
              </w:rPr>
            </w:pPr>
          </w:p>
        </w:tc>
        <w:tc>
          <w:tcPr>
            <w:tcW w:w="0" w:type="auto"/>
            <w:gridSpan w:val="3"/>
            <w:shd w:val="clear" w:color="auto" w:fill="auto"/>
            <w:vAlign w:val="bottom"/>
          </w:tcPr>
          <w:p w14:paraId="392C5817" w14:textId="77777777" w:rsidR="00980E5F" w:rsidRDefault="00980E5F">
            <w:pPr>
              <w:rPr>
                <w:rFonts w:ascii="宋体"/>
                <w:vanish/>
              </w:rPr>
            </w:pPr>
          </w:p>
        </w:tc>
        <w:tc>
          <w:tcPr>
            <w:tcW w:w="0" w:type="auto"/>
            <w:gridSpan w:val="3"/>
            <w:shd w:val="clear" w:color="auto" w:fill="auto"/>
            <w:vAlign w:val="bottom"/>
          </w:tcPr>
          <w:p w14:paraId="392C5818" w14:textId="77777777" w:rsidR="00980E5F" w:rsidRDefault="00980E5F">
            <w:pPr>
              <w:rPr>
                <w:rFonts w:ascii="宋体"/>
                <w:vanish/>
              </w:rPr>
            </w:pPr>
          </w:p>
        </w:tc>
        <w:tc>
          <w:tcPr>
            <w:tcW w:w="0" w:type="auto"/>
            <w:gridSpan w:val="3"/>
            <w:shd w:val="clear" w:color="auto" w:fill="auto"/>
            <w:vAlign w:val="bottom"/>
          </w:tcPr>
          <w:p w14:paraId="392C5819" w14:textId="77777777" w:rsidR="00980E5F" w:rsidRDefault="00980E5F">
            <w:pPr>
              <w:rPr>
                <w:rFonts w:ascii="宋体"/>
                <w:vanish/>
              </w:rPr>
            </w:pPr>
          </w:p>
        </w:tc>
        <w:tc>
          <w:tcPr>
            <w:tcW w:w="0" w:type="auto"/>
            <w:gridSpan w:val="3"/>
            <w:shd w:val="clear" w:color="auto" w:fill="auto"/>
            <w:vAlign w:val="bottom"/>
          </w:tcPr>
          <w:p w14:paraId="392C581A" w14:textId="77777777" w:rsidR="00980E5F" w:rsidRDefault="00980E5F">
            <w:pPr>
              <w:rPr>
                <w:rFonts w:ascii="宋体"/>
                <w:vanish/>
              </w:rPr>
            </w:pPr>
          </w:p>
        </w:tc>
        <w:tc>
          <w:tcPr>
            <w:tcW w:w="0" w:type="auto"/>
            <w:gridSpan w:val="3"/>
            <w:shd w:val="clear" w:color="auto" w:fill="auto"/>
            <w:vAlign w:val="bottom"/>
          </w:tcPr>
          <w:p w14:paraId="392C581B" w14:textId="77777777" w:rsidR="00980E5F" w:rsidRDefault="00980E5F">
            <w:pPr>
              <w:rPr>
                <w:rFonts w:ascii="宋体"/>
                <w:vanish/>
              </w:rPr>
            </w:pPr>
          </w:p>
        </w:tc>
        <w:tc>
          <w:tcPr>
            <w:tcW w:w="0" w:type="auto"/>
            <w:gridSpan w:val="3"/>
            <w:shd w:val="clear" w:color="auto" w:fill="auto"/>
            <w:vAlign w:val="bottom"/>
          </w:tcPr>
          <w:p w14:paraId="392C581C" w14:textId="77777777" w:rsidR="00980E5F" w:rsidRDefault="00980E5F">
            <w:pPr>
              <w:rPr>
                <w:rFonts w:ascii="宋体"/>
                <w:vanish/>
              </w:rPr>
            </w:pPr>
          </w:p>
        </w:tc>
        <w:tc>
          <w:tcPr>
            <w:tcW w:w="0" w:type="auto"/>
            <w:gridSpan w:val="3"/>
            <w:shd w:val="clear" w:color="auto" w:fill="auto"/>
            <w:vAlign w:val="bottom"/>
          </w:tcPr>
          <w:p w14:paraId="392C581D" w14:textId="77777777" w:rsidR="00980E5F" w:rsidRDefault="00980E5F">
            <w:pPr>
              <w:rPr>
                <w:rFonts w:ascii="宋体"/>
                <w:vanish/>
              </w:rPr>
            </w:pPr>
          </w:p>
        </w:tc>
        <w:tc>
          <w:tcPr>
            <w:tcW w:w="0" w:type="auto"/>
            <w:gridSpan w:val="3"/>
            <w:shd w:val="clear" w:color="auto" w:fill="auto"/>
            <w:vAlign w:val="bottom"/>
          </w:tcPr>
          <w:p w14:paraId="392C581E" w14:textId="77777777" w:rsidR="00980E5F" w:rsidRDefault="00980E5F">
            <w:pPr>
              <w:rPr>
                <w:rFonts w:ascii="宋体"/>
                <w:vanish/>
              </w:rPr>
            </w:pPr>
          </w:p>
        </w:tc>
        <w:tc>
          <w:tcPr>
            <w:tcW w:w="0" w:type="auto"/>
            <w:gridSpan w:val="3"/>
            <w:shd w:val="clear" w:color="auto" w:fill="auto"/>
            <w:vAlign w:val="bottom"/>
          </w:tcPr>
          <w:p w14:paraId="392C581F" w14:textId="77777777" w:rsidR="00980E5F" w:rsidRDefault="00980E5F">
            <w:pPr>
              <w:rPr>
                <w:rFonts w:ascii="宋体"/>
                <w:vanish/>
              </w:rPr>
            </w:pPr>
          </w:p>
        </w:tc>
        <w:tc>
          <w:tcPr>
            <w:tcW w:w="0" w:type="auto"/>
            <w:gridSpan w:val="2"/>
            <w:shd w:val="clear" w:color="auto" w:fill="auto"/>
            <w:vAlign w:val="bottom"/>
          </w:tcPr>
          <w:p w14:paraId="392C5820" w14:textId="77777777" w:rsidR="00980E5F" w:rsidRDefault="00980E5F">
            <w:pPr>
              <w:rPr>
                <w:rFonts w:ascii="宋体"/>
                <w:vanish/>
              </w:rPr>
            </w:pPr>
          </w:p>
        </w:tc>
        <w:tc>
          <w:tcPr>
            <w:tcW w:w="0" w:type="auto"/>
            <w:shd w:val="clear" w:color="auto" w:fill="auto"/>
            <w:vAlign w:val="bottom"/>
          </w:tcPr>
          <w:p w14:paraId="392C5821" w14:textId="77777777" w:rsidR="00980E5F" w:rsidRDefault="00980E5F">
            <w:pPr>
              <w:rPr>
                <w:rFonts w:ascii="宋体"/>
                <w:vanish/>
              </w:rPr>
            </w:pPr>
          </w:p>
        </w:tc>
      </w:tr>
      <w:tr w:rsidR="00980E5F" w14:paraId="392C5839" w14:textId="77777777">
        <w:trPr>
          <w:hidden/>
        </w:trPr>
        <w:tc>
          <w:tcPr>
            <w:tcW w:w="0" w:type="auto"/>
            <w:gridSpan w:val="3"/>
            <w:shd w:val="clear" w:color="auto" w:fill="auto"/>
            <w:vAlign w:val="bottom"/>
          </w:tcPr>
          <w:p w14:paraId="392C5823" w14:textId="77777777" w:rsidR="00980E5F" w:rsidRDefault="00980E5F">
            <w:pPr>
              <w:rPr>
                <w:rFonts w:ascii="宋体"/>
                <w:vanish/>
              </w:rPr>
            </w:pPr>
          </w:p>
        </w:tc>
        <w:tc>
          <w:tcPr>
            <w:tcW w:w="0" w:type="auto"/>
            <w:gridSpan w:val="3"/>
            <w:shd w:val="clear" w:color="auto" w:fill="auto"/>
            <w:vAlign w:val="bottom"/>
          </w:tcPr>
          <w:p w14:paraId="392C5824" w14:textId="77777777" w:rsidR="00980E5F" w:rsidRDefault="00980E5F">
            <w:pPr>
              <w:rPr>
                <w:rFonts w:ascii="宋体"/>
                <w:vanish/>
              </w:rPr>
            </w:pPr>
          </w:p>
        </w:tc>
        <w:tc>
          <w:tcPr>
            <w:tcW w:w="0" w:type="auto"/>
            <w:gridSpan w:val="3"/>
            <w:shd w:val="clear" w:color="auto" w:fill="auto"/>
            <w:vAlign w:val="bottom"/>
          </w:tcPr>
          <w:p w14:paraId="392C5825" w14:textId="77777777" w:rsidR="00980E5F" w:rsidRDefault="00980E5F">
            <w:pPr>
              <w:rPr>
                <w:rFonts w:ascii="宋体"/>
                <w:vanish/>
              </w:rPr>
            </w:pPr>
          </w:p>
        </w:tc>
        <w:tc>
          <w:tcPr>
            <w:tcW w:w="0" w:type="auto"/>
            <w:gridSpan w:val="3"/>
            <w:shd w:val="clear" w:color="auto" w:fill="auto"/>
            <w:vAlign w:val="bottom"/>
          </w:tcPr>
          <w:p w14:paraId="392C5826" w14:textId="77777777" w:rsidR="00980E5F" w:rsidRDefault="00980E5F">
            <w:pPr>
              <w:rPr>
                <w:rFonts w:ascii="宋体"/>
                <w:vanish/>
              </w:rPr>
            </w:pPr>
          </w:p>
        </w:tc>
        <w:tc>
          <w:tcPr>
            <w:tcW w:w="0" w:type="auto"/>
            <w:gridSpan w:val="3"/>
            <w:shd w:val="clear" w:color="auto" w:fill="auto"/>
            <w:vAlign w:val="bottom"/>
          </w:tcPr>
          <w:p w14:paraId="392C5827" w14:textId="77777777" w:rsidR="00980E5F" w:rsidRDefault="00980E5F">
            <w:pPr>
              <w:rPr>
                <w:rFonts w:ascii="宋体"/>
                <w:vanish/>
              </w:rPr>
            </w:pPr>
          </w:p>
        </w:tc>
        <w:tc>
          <w:tcPr>
            <w:tcW w:w="0" w:type="auto"/>
            <w:gridSpan w:val="3"/>
            <w:shd w:val="clear" w:color="auto" w:fill="auto"/>
            <w:vAlign w:val="bottom"/>
          </w:tcPr>
          <w:p w14:paraId="392C5828" w14:textId="77777777" w:rsidR="00980E5F" w:rsidRDefault="00980E5F">
            <w:pPr>
              <w:rPr>
                <w:rFonts w:ascii="宋体"/>
                <w:vanish/>
              </w:rPr>
            </w:pPr>
          </w:p>
        </w:tc>
        <w:tc>
          <w:tcPr>
            <w:tcW w:w="0" w:type="auto"/>
            <w:gridSpan w:val="3"/>
            <w:shd w:val="clear" w:color="auto" w:fill="auto"/>
            <w:vAlign w:val="bottom"/>
          </w:tcPr>
          <w:p w14:paraId="392C5829" w14:textId="77777777" w:rsidR="00980E5F" w:rsidRDefault="00980E5F">
            <w:pPr>
              <w:rPr>
                <w:rFonts w:ascii="宋体"/>
                <w:vanish/>
              </w:rPr>
            </w:pPr>
          </w:p>
        </w:tc>
        <w:tc>
          <w:tcPr>
            <w:tcW w:w="0" w:type="auto"/>
            <w:gridSpan w:val="3"/>
            <w:shd w:val="clear" w:color="auto" w:fill="auto"/>
            <w:vAlign w:val="bottom"/>
          </w:tcPr>
          <w:p w14:paraId="392C582A" w14:textId="77777777" w:rsidR="00980E5F" w:rsidRDefault="00980E5F">
            <w:pPr>
              <w:rPr>
                <w:rFonts w:ascii="宋体"/>
                <w:vanish/>
              </w:rPr>
            </w:pPr>
          </w:p>
        </w:tc>
        <w:tc>
          <w:tcPr>
            <w:tcW w:w="0" w:type="auto"/>
            <w:gridSpan w:val="3"/>
            <w:shd w:val="clear" w:color="auto" w:fill="auto"/>
            <w:vAlign w:val="bottom"/>
          </w:tcPr>
          <w:p w14:paraId="392C582B" w14:textId="77777777" w:rsidR="00980E5F" w:rsidRDefault="00980E5F">
            <w:pPr>
              <w:rPr>
                <w:rFonts w:ascii="宋体"/>
                <w:vanish/>
              </w:rPr>
            </w:pPr>
          </w:p>
        </w:tc>
        <w:tc>
          <w:tcPr>
            <w:tcW w:w="0" w:type="auto"/>
            <w:gridSpan w:val="3"/>
            <w:shd w:val="clear" w:color="auto" w:fill="auto"/>
            <w:vAlign w:val="bottom"/>
          </w:tcPr>
          <w:p w14:paraId="392C582C" w14:textId="77777777" w:rsidR="00980E5F" w:rsidRDefault="00980E5F">
            <w:pPr>
              <w:rPr>
                <w:rFonts w:ascii="宋体"/>
                <w:vanish/>
              </w:rPr>
            </w:pPr>
          </w:p>
        </w:tc>
        <w:tc>
          <w:tcPr>
            <w:tcW w:w="0" w:type="auto"/>
            <w:gridSpan w:val="3"/>
            <w:shd w:val="clear" w:color="auto" w:fill="auto"/>
            <w:vAlign w:val="bottom"/>
          </w:tcPr>
          <w:p w14:paraId="392C582D" w14:textId="77777777" w:rsidR="00980E5F" w:rsidRDefault="00980E5F">
            <w:pPr>
              <w:rPr>
                <w:rFonts w:ascii="宋体"/>
                <w:vanish/>
              </w:rPr>
            </w:pPr>
          </w:p>
        </w:tc>
        <w:tc>
          <w:tcPr>
            <w:tcW w:w="0" w:type="auto"/>
            <w:gridSpan w:val="3"/>
            <w:shd w:val="clear" w:color="auto" w:fill="auto"/>
            <w:vAlign w:val="bottom"/>
          </w:tcPr>
          <w:p w14:paraId="392C582E" w14:textId="77777777" w:rsidR="00980E5F" w:rsidRDefault="00980E5F">
            <w:pPr>
              <w:rPr>
                <w:rFonts w:ascii="宋体"/>
                <w:vanish/>
              </w:rPr>
            </w:pPr>
          </w:p>
        </w:tc>
        <w:tc>
          <w:tcPr>
            <w:tcW w:w="0" w:type="auto"/>
            <w:gridSpan w:val="3"/>
            <w:shd w:val="clear" w:color="auto" w:fill="auto"/>
            <w:vAlign w:val="bottom"/>
          </w:tcPr>
          <w:p w14:paraId="392C582F" w14:textId="77777777" w:rsidR="00980E5F" w:rsidRDefault="00980E5F">
            <w:pPr>
              <w:rPr>
                <w:rFonts w:ascii="宋体"/>
                <w:vanish/>
              </w:rPr>
            </w:pPr>
          </w:p>
        </w:tc>
        <w:tc>
          <w:tcPr>
            <w:tcW w:w="0" w:type="auto"/>
            <w:gridSpan w:val="3"/>
            <w:shd w:val="clear" w:color="auto" w:fill="auto"/>
            <w:vAlign w:val="bottom"/>
          </w:tcPr>
          <w:p w14:paraId="392C5830" w14:textId="77777777" w:rsidR="00980E5F" w:rsidRDefault="00980E5F">
            <w:pPr>
              <w:rPr>
                <w:rFonts w:ascii="宋体"/>
                <w:vanish/>
              </w:rPr>
            </w:pPr>
          </w:p>
        </w:tc>
        <w:tc>
          <w:tcPr>
            <w:tcW w:w="0" w:type="auto"/>
            <w:gridSpan w:val="3"/>
            <w:shd w:val="clear" w:color="auto" w:fill="auto"/>
            <w:vAlign w:val="bottom"/>
          </w:tcPr>
          <w:p w14:paraId="392C5831" w14:textId="77777777" w:rsidR="00980E5F" w:rsidRDefault="00980E5F">
            <w:pPr>
              <w:rPr>
                <w:rFonts w:ascii="宋体"/>
                <w:vanish/>
              </w:rPr>
            </w:pPr>
          </w:p>
        </w:tc>
        <w:tc>
          <w:tcPr>
            <w:tcW w:w="0" w:type="auto"/>
            <w:gridSpan w:val="3"/>
            <w:shd w:val="clear" w:color="auto" w:fill="auto"/>
            <w:vAlign w:val="bottom"/>
          </w:tcPr>
          <w:p w14:paraId="392C5832" w14:textId="77777777" w:rsidR="00980E5F" w:rsidRDefault="00980E5F">
            <w:pPr>
              <w:rPr>
                <w:rFonts w:ascii="宋体"/>
                <w:vanish/>
              </w:rPr>
            </w:pPr>
          </w:p>
        </w:tc>
        <w:tc>
          <w:tcPr>
            <w:tcW w:w="0" w:type="auto"/>
            <w:gridSpan w:val="3"/>
            <w:shd w:val="clear" w:color="auto" w:fill="auto"/>
            <w:vAlign w:val="bottom"/>
          </w:tcPr>
          <w:p w14:paraId="392C5833" w14:textId="77777777" w:rsidR="00980E5F" w:rsidRDefault="00980E5F">
            <w:pPr>
              <w:rPr>
                <w:rFonts w:ascii="宋体"/>
                <w:vanish/>
              </w:rPr>
            </w:pPr>
          </w:p>
        </w:tc>
        <w:tc>
          <w:tcPr>
            <w:tcW w:w="0" w:type="auto"/>
            <w:gridSpan w:val="3"/>
            <w:shd w:val="clear" w:color="auto" w:fill="auto"/>
            <w:vAlign w:val="bottom"/>
          </w:tcPr>
          <w:p w14:paraId="392C5834" w14:textId="77777777" w:rsidR="00980E5F" w:rsidRDefault="00980E5F">
            <w:pPr>
              <w:rPr>
                <w:rFonts w:ascii="宋体"/>
                <w:vanish/>
              </w:rPr>
            </w:pPr>
          </w:p>
        </w:tc>
        <w:tc>
          <w:tcPr>
            <w:tcW w:w="0" w:type="auto"/>
            <w:gridSpan w:val="3"/>
            <w:shd w:val="clear" w:color="auto" w:fill="auto"/>
            <w:vAlign w:val="bottom"/>
          </w:tcPr>
          <w:p w14:paraId="392C5835" w14:textId="77777777" w:rsidR="00980E5F" w:rsidRDefault="00980E5F">
            <w:pPr>
              <w:rPr>
                <w:rFonts w:ascii="宋体"/>
                <w:vanish/>
              </w:rPr>
            </w:pPr>
          </w:p>
        </w:tc>
        <w:tc>
          <w:tcPr>
            <w:tcW w:w="0" w:type="auto"/>
            <w:gridSpan w:val="3"/>
            <w:shd w:val="clear" w:color="auto" w:fill="auto"/>
            <w:vAlign w:val="bottom"/>
          </w:tcPr>
          <w:p w14:paraId="392C5836" w14:textId="77777777" w:rsidR="00980E5F" w:rsidRDefault="00980E5F">
            <w:pPr>
              <w:rPr>
                <w:rFonts w:ascii="宋体"/>
                <w:vanish/>
              </w:rPr>
            </w:pPr>
          </w:p>
        </w:tc>
        <w:tc>
          <w:tcPr>
            <w:tcW w:w="0" w:type="auto"/>
            <w:gridSpan w:val="2"/>
            <w:shd w:val="clear" w:color="auto" w:fill="auto"/>
            <w:vAlign w:val="bottom"/>
          </w:tcPr>
          <w:p w14:paraId="392C5837" w14:textId="77777777" w:rsidR="00980E5F" w:rsidRDefault="00980E5F">
            <w:pPr>
              <w:rPr>
                <w:rFonts w:ascii="宋体"/>
                <w:vanish/>
              </w:rPr>
            </w:pPr>
          </w:p>
        </w:tc>
        <w:tc>
          <w:tcPr>
            <w:tcW w:w="0" w:type="auto"/>
            <w:shd w:val="clear" w:color="auto" w:fill="auto"/>
            <w:vAlign w:val="bottom"/>
          </w:tcPr>
          <w:p w14:paraId="392C5838" w14:textId="77777777" w:rsidR="00980E5F" w:rsidRDefault="00980E5F">
            <w:pPr>
              <w:rPr>
                <w:rFonts w:ascii="宋体"/>
                <w:vanish/>
              </w:rPr>
            </w:pPr>
          </w:p>
        </w:tc>
      </w:tr>
      <w:tr w:rsidR="00980E5F" w14:paraId="392C5850" w14:textId="77777777">
        <w:trPr>
          <w:hidden/>
        </w:trPr>
        <w:tc>
          <w:tcPr>
            <w:tcW w:w="0" w:type="auto"/>
            <w:gridSpan w:val="3"/>
            <w:shd w:val="clear" w:color="auto" w:fill="auto"/>
            <w:vAlign w:val="bottom"/>
          </w:tcPr>
          <w:p w14:paraId="392C583A" w14:textId="77777777" w:rsidR="00980E5F" w:rsidRDefault="00980E5F">
            <w:pPr>
              <w:rPr>
                <w:rFonts w:ascii="宋体"/>
                <w:vanish/>
              </w:rPr>
            </w:pPr>
          </w:p>
        </w:tc>
        <w:tc>
          <w:tcPr>
            <w:tcW w:w="0" w:type="auto"/>
            <w:gridSpan w:val="3"/>
            <w:shd w:val="clear" w:color="auto" w:fill="auto"/>
            <w:vAlign w:val="bottom"/>
          </w:tcPr>
          <w:p w14:paraId="392C583B" w14:textId="77777777" w:rsidR="00980E5F" w:rsidRDefault="00980E5F">
            <w:pPr>
              <w:rPr>
                <w:rFonts w:ascii="宋体"/>
                <w:vanish/>
              </w:rPr>
            </w:pPr>
          </w:p>
        </w:tc>
        <w:tc>
          <w:tcPr>
            <w:tcW w:w="0" w:type="auto"/>
            <w:gridSpan w:val="3"/>
            <w:shd w:val="clear" w:color="auto" w:fill="auto"/>
            <w:vAlign w:val="bottom"/>
          </w:tcPr>
          <w:p w14:paraId="392C583C" w14:textId="77777777" w:rsidR="00980E5F" w:rsidRDefault="00980E5F">
            <w:pPr>
              <w:rPr>
                <w:rFonts w:ascii="宋体"/>
                <w:vanish/>
              </w:rPr>
            </w:pPr>
          </w:p>
        </w:tc>
        <w:tc>
          <w:tcPr>
            <w:tcW w:w="0" w:type="auto"/>
            <w:gridSpan w:val="3"/>
            <w:shd w:val="clear" w:color="auto" w:fill="auto"/>
            <w:vAlign w:val="bottom"/>
          </w:tcPr>
          <w:p w14:paraId="392C583D" w14:textId="77777777" w:rsidR="00980E5F" w:rsidRDefault="00980E5F">
            <w:pPr>
              <w:rPr>
                <w:rFonts w:ascii="宋体"/>
                <w:vanish/>
              </w:rPr>
            </w:pPr>
          </w:p>
        </w:tc>
        <w:tc>
          <w:tcPr>
            <w:tcW w:w="0" w:type="auto"/>
            <w:gridSpan w:val="3"/>
            <w:shd w:val="clear" w:color="auto" w:fill="auto"/>
            <w:vAlign w:val="bottom"/>
          </w:tcPr>
          <w:p w14:paraId="392C583E" w14:textId="77777777" w:rsidR="00980E5F" w:rsidRDefault="00980E5F">
            <w:pPr>
              <w:rPr>
                <w:rFonts w:ascii="宋体"/>
                <w:vanish/>
              </w:rPr>
            </w:pPr>
          </w:p>
        </w:tc>
        <w:tc>
          <w:tcPr>
            <w:tcW w:w="0" w:type="auto"/>
            <w:gridSpan w:val="3"/>
            <w:shd w:val="clear" w:color="auto" w:fill="auto"/>
            <w:vAlign w:val="bottom"/>
          </w:tcPr>
          <w:p w14:paraId="392C583F" w14:textId="77777777" w:rsidR="00980E5F" w:rsidRDefault="00980E5F">
            <w:pPr>
              <w:rPr>
                <w:rFonts w:ascii="宋体"/>
                <w:vanish/>
              </w:rPr>
            </w:pPr>
          </w:p>
        </w:tc>
        <w:tc>
          <w:tcPr>
            <w:tcW w:w="0" w:type="auto"/>
            <w:gridSpan w:val="3"/>
            <w:shd w:val="clear" w:color="auto" w:fill="auto"/>
            <w:vAlign w:val="bottom"/>
          </w:tcPr>
          <w:p w14:paraId="392C5840" w14:textId="77777777" w:rsidR="00980E5F" w:rsidRDefault="00980E5F">
            <w:pPr>
              <w:rPr>
                <w:rFonts w:ascii="宋体"/>
                <w:vanish/>
              </w:rPr>
            </w:pPr>
          </w:p>
        </w:tc>
        <w:tc>
          <w:tcPr>
            <w:tcW w:w="0" w:type="auto"/>
            <w:gridSpan w:val="3"/>
            <w:shd w:val="clear" w:color="auto" w:fill="auto"/>
            <w:vAlign w:val="bottom"/>
          </w:tcPr>
          <w:p w14:paraId="392C5841" w14:textId="77777777" w:rsidR="00980E5F" w:rsidRDefault="00980E5F">
            <w:pPr>
              <w:rPr>
                <w:rFonts w:ascii="宋体"/>
                <w:vanish/>
              </w:rPr>
            </w:pPr>
          </w:p>
        </w:tc>
        <w:tc>
          <w:tcPr>
            <w:tcW w:w="0" w:type="auto"/>
            <w:gridSpan w:val="3"/>
            <w:shd w:val="clear" w:color="auto" w:fill="auto"/>
            <w:vAlign w:val="bottom"/>
          </w:tcPr>
          <w:p w14:paraId="392C5842" w14:textId="77777777" w:rsidR="00980E5F" w:rsidRDefault="00980E5F">
            <w:pPr>
              <w:rPr>
                <w:rFonts w:ascii="宋体"/>
                <w:vanish/>
              </w:rPr>
            </w:pPr>
          </w:p>
        </w:tc>
        <w:tc>
          <w:tcPr>
            <w:tcW w:w="0" w:type="auto"/>
            <w:gridSpan w:val="3"/>
            <w:shd w:val="clear" w:color="auto" w:fill="auto"/>
            <w:vAlign w:val="bottom"/>
          </w:tcPr>
          <w:p w14:paraId="392C5843" w14:textId="77777777" w:rsidR="00980E5F" w:rsidRDefault="00980E5F">
            <w:pPr>
              <w:rPr>
                <w:rFonts w:ascii="宋体"/>
                <w:vanish/>
              </w:rPr>
            </w:pPr>
          </w:p>
        </w:tc>
        <w:tc>
          <w:tcPr>
            <w:tcW w:w="0" w:type="auto"/>
            <w:gridSpan w:val="3"/>
            <w:shd w:val="clear" w:color="auto" w:fill="auto"/>
            <w:vAlign w:val="bottom"/>
          </w:tcPr>
          <w:p w14:paraId="392C5844" w14:textId="77777777" w:rsidR="00980E5F" w:rsidRDefault="00980E5F">
            <w:pPr>
              <w:rPr>
                <w:rFonts w:ascii="宋体"/>
                <w:vanish/>
              </w:rPr>
            </w:pPr>
          </w:p>
        </w:tc>
        <w:tc>
          <w:tcPr>
            <w:tcW w:w="0" w:type="auto"/>
            <w:gridSpan w:val="3"/>
            <w:shd w:val="clear" w:color="auto" w:fill="auto"/>
            <w:vAlign w:val="bottom"/>
          </w:tcPr>
          <w:p w14:paraId="392C5845" w14:textId="77777777" w:rsidR="00980E5F" w:rsidRDefault="00980E5F">
            <w:pPr>
              <w:rPr>
                <w:rFonts w:ascii="宋体"/>
                <w:vanish/>
              </w:rPr>
            </w:pPr>
          </w:p>
        </w:tc>
        <w:tc>
          <w:tcPr>
            <w:tcW w:w="0" w:type="auto"/>
            <w:gridSpan w:val="3"/>
            <w:shd w:val="clear" w:color="auto" w:fill="auto"/>
            <w:vAlign w:val="bottom"/>
          </w:tcPr>
          <w:p w14:paraId="392C5846" w14:textId="77777777" w:rsidR="00980E5F" w:rsidRDefault="00980E5F">
            <w:pPr>
              <w:rPr>
                <w:rFonts w:ascii="宋体"/>
                <w:vanish/>
              </w:rPr>
            </w:pPr>
          </w:p>
        </w:tc>
        <w:tc>
          <w:tcPr>
            <w:tcW w:w="0" w:type="auto"/>
            <w:gridSpan w:val="3"/>
            <w:shd w:val="clear" w:color="auto" w:fill="auto"/>
            <w:vAlign w:val="bottom"/>
          </w:tcPr>
          <w:p w14:paraId="392C5847" w14:textId="77777777" w:rsidR="00980E5F" w:rsidRDefault="00980E5F">
            <w:pPr>
              <w:rPr>
                <w:rFonts w:ascii="宋体"/>
                <w:vanish/>
              </w:rPr>
            </w:pPr>
          </w:p>
        </w:tc>
        <w:tc>
          <w:tcPr>
            <w:tcW w:w="0" w:type="auto"/>
            <w:gridSpan w:val="3"/>
            <w:shd w:val="clear" w:color="auto" w:fill="auto"/>
            <w:vAlign w:val="bottom"/>
          </w:tcPr>
          <w:p w14:paraId="392C5848" w14:textId="77777777" w:rsidR="00980E5F" w:rsidRDefault="00980E5F">
            <w:pPr>
              <w:rPr>
                <w:rFonts w:ascii="宋体"/>
                <w:vanish/>
              </w:rPr>
            </w:pPr>
          </w:p>
        </w:tc>
        <w:tc>
          <w:tcPr>
            <w:tcW w:w="0" w:type="auto"/>
            <w:gridSpan w:val="3"/>
            <w:shd w:val="clear" w:color="auto" w:fill="auto"/>
            <w:vAlign w:val="bottom"/>
          </w:tcPr>
          <w:p w14:paraId="392C5849" w14:textId="77777777" w:rsidR="00980E5F" w:rsidRDefault="00980E5F">
            <w:pPr>
              <w:rPr>
                <w:rFonts w:ascii="宋体"/>
                <w:vanish/>
              </w:rPr>
            </w:pPr>
          </w:p>
        </w:tc>
        <w:tc>
          <w:tcPr>
            <w:tcW w:w="0" w:type="auto"/>
            <w:gridSpan w:val="3"/>
            <w:shd w:val="clear" w:color="auto" w:fill="auto"/>
            <w:vAlign w:val="bottom"/>
          </w:tcPr>
          <w:p w14:paraId="392C584A" w14:textId="77777777" w:rsidR="00980E5F" w:rsidRDefault="00980E5F">
            <w:pPr>
              <w:rPr>
                <w:rFonts w:ascii="宋体"/>
                <w:vanish/>
              </w:rPr>
            </w:pPr>
          </w:p>
        </w:tc>
        <w:tc>
          <w:tcPr>
            <w:tcW w:w="0" w:type="auto"/>
            <w:gridSpan w:val="3"/>
            <w:shd w:val="clear" w:color="auto" w:fill="auto"/>
            <w:vAlign w:val="bottom"/>
          </w:tcPr>
          <w:p w14:paraId="392C584B" w14:textId="77777777" w:rsidR="00980E5F" w:rsidRDefault="00980E5F">
            <w:pPr>
              <w:rPr>
                <w:rFonts w:ascii="宋体"/>
                <w:vanish/>
              </w:rPr>
            </w:pPr>
          </w:p>
        </w:tc>
        <w:tc>
          <w:tcPr>
            <w:tcW w:w="0" w:type="auto"/>
            <w:gridSpan w:val="3"/>
            <w:shd w:val="clear" w:color="auto" w:fill="auto"/>
            <w:vAlign w:val="bottom"/>
          </w:tcPr>
          <w:p w14:paraId="392C584C" w14:textId="77777777" w:rsidR="00980E5F" w:rsidRDefault="00980E5F">
            <w:pPr>
              <w:rPr>
                <w:rFonts w:ascii="宋体"/>
                <w:vanish/>
              </w:rPr>
            </w:pPr>
          </w:p>
        </w:tc>
        <w:tc>
          <w:tcPr>
            <w:tcW w:w="0" w:type="auto"/>
            <w:gridSpan w:val="3"/>
            <w:shd w:val="clear" w:color="auto" w:fill="auto"/>
            <w:vAlign w:val="bottom"/>
          </w:tcPr>
          <w:p w14:paraId="392C584D" w14:textId="77777777" w:rsidR="00980E5F" w:rsidRDefault="00980E5F">
            <w:pPr>
              <w:rPr>
                <w:rFonts w:ascii="宋体"/>
                <w:vanish/>
              </w:rPr>
            </w:pPr>
          </w:p>
        </w:tc>
        <w:tc>
          <w:tcPr>
            <w:tcW w:w="0" w:type="auto"/>
            <w:gridSpan w:val="2"/>
            <w:shd w:val="clear" w:color="auto" w:fill="auto"/>
            <w:vAlign w:val="bottom"/>
          </w:tcPr>
          <w:p w14:paraId="392C584E" w14:textId="77777777" w:rsidR="00980E5F" w:rsidRDefault="00980E5F">
            <w:pPr>
              <w:rPr>
                <w:rFonts w:ascii="宋体"/>
                <w:vanish/>
              </w:rPr>
            </w:pPr>
          </w:p>
        </w:tc>
        <w:tc>
          <w:tcPr>
            <w:tcW w:w="0" w:type="auto"/>
            <w:shd w:val="clear" w:color="auto" w:fill="auto"/>
            <w:vAlign w:val="bottom"/>
          </w:tcPr>
          <w:p w14:paraId="392C584F" w14:textId="77777777" w:rsidR="00980E5F" w:rsidRDefault="00980E5F">
            <w:pPr>
              <w:rPr>
                <w:rFonts w:ascii="宋体"/>
                <w:vanish/>
              </w:rPr>
            </w:pPr>
          </w:p>
        </w:tc>
      </w:tr>
      <w:tr w:rsidR="00980E5F" w14:paraId="392C5867" w14:textId="77777777">
        <w:trPr>
          <w:hidden/>
        </w:trPr>
        <w:tc>
          <w:tcPr>
            <w:tcW w:w="0" w:type="auto"/>
            <w:gridSpan w:val="3"/>
            <w:shd w:val="clear" w:color="auto" w:fill="auto"/>
            <w:vAlign w:val="bottom"/>
          </w:tcPr>
          <w:p w14:paraId="392C5851" w14:textId="77777777" w:rsidR="00980E5F" w:rsidRDefault="00980E5F">
            <w:pPr>
              <w:rPr>
                <w:rFonts w:ascii="宋体"/>
                <w:vanish/>
              </w:rPr>
            </w:pPr>
          </w:p>
        </w:tc>
        <w:tc>
          <w:tcPr>
            <w:tcW w:w="0" w:type="auto"/>
            <w:gridSpan w:val="3"/>
            <w:shd w:val="clear" w:color="auto" w:fill="auto"/>
            <w:vAlign w:val="bottom"/>
          </w:tcPr>
          <w:p w14:paraId="392C5852" w14:textId="77777777" w:rsidR="00980E5F" w:rsidRDefault="00980E5F">
            <w:pPr>
              <w:rPr>
                <w:rFonts w:ascii="宋体"/>
                <w:vanish/>
              </w:rPr>
            </w:pPr>
          </w:p>
        </w:tc>
        <w:tc>
          <w:tcPr>
            <w:tcW w:w="0" w:type="auto"/>
            <w:gridSpan w:val="3"/>
            <w:shd w:val="clear" w:color="auto" w:fill="auto"/>
            <w:vAlign w:val="bottom"/>
          </w:tcPr>
          <w:p w14:paraId="392C5853" w14:textId="77777777" w:rsidR="00980E5F" w:rsidRDefault="00980E5F">
            <w:pPr>
              <w:rPr>
                <w:rFonts w:ascii="宋体"/>
                <w:vanish/>
              </w:rPr>
            </w:pPr>
          </w:p>
        </w:tc>
        <w:tc>
          <w:tcPr>
            <w:tcW w:w="0" w:type="auto"/>
            <w:gridSpan w:val="3"/>
            <w:shd w:val="clear" w:color="auto" w:fill="auto"/>
            <w:vAlign w:val="bottom"/>
          </w:tcPr>
          <w:p w14:paraId="392C5854" w14:textId="77777777" w:rsidR="00980E5F" w:rsidRDefault="00980E5F">
            <w:pPr>
              <w:rPr>
                <w:rFonts w:ascii="宋体"/>
                <w:vanish/>
              </w:rPr>
            </w:pPr>
          </w:p>
        </w:tc>
        <w:tc>
          <w:tcPr>
            <w:tcW w:w="0" w:type="auto"/>
            <w:gridSpan w:val="3"/>
            <w:shd w:val="clear" w:color="auto" w:fill="auto"/>
            <w:vAlign w:val="bottom"/>
          </w:tcPr>
          <w:p w14:paraId="392C5855" w14:textId="77777777" w:rsidR="00980E5F" w:rsidRDefault="00980E5F">
            <w:pPr>
              <w:rPr>
                <w:rFonts w:ascii="宋体"/>
                <w:vanish/>
              </w:rPr>
            </w:pPr>
          </w:p>
        </w:tc>
        <w:tc>
          <w:tcPr>
            <w:tcW w:w="0" w:type="auto"/>
            <w:gridSpan w:val="3"/>
            <w:shd w:val="clear" w:color="auto" w:fill="auto"/>
            <w:vAlign w:val="bottom"/>
          </w:tcPr>
          <w:p w14:paraId="392C5856" w14:textId="77777777" w:rsidR="00980E5F" w:rsidRDefault="00980E5F">
            <w:pPr>
              <w:rPr>
                <w:rFonts w:ascii="宋体"/>
                <w:vanish/>
              </w:rPr>
            </w:pPr>
          </w:p>
        </w:tc>
        <w:tc>
          <w:tcPr>
            <w:tcW w:w="0" w:type="auto"/>
            <w:gridSpan w:val="3"/>
            <w:shd w:val="clear" w:color="auto" w:fill="auto"/>
            <w:vAlign w:val="bottom"/>
          </w:tcPr>
          <w:p w14:paraId="392C5857" w14:textId="77777777" w:rsidR="00980E5F" w:rsidRDefault="00980E5F">
            <w:pPr>
              <w:rPr>
                <w:rFonts w:ascii="宋体"/>
                <w:vanish/>
              </w:rPr>
            </w:pPr>
          </w:p>
        </w:tc>
        <w:tc>
          <w:tcPr>
            <w:tcW w:w="0" w:type="auto"/>
            <w:gridSpan w:val="3"/>
            <w:shd w:val="clear" w:color="auto" w:fill="auto"/>
            <w:vAlign w:val="bottom"/>
          </w:tcPr>
          <w:p w14:paraId="392C5858" w14:textId="77777777" w:rsidR="00980E5F" w:rsidRDefault="00980E5F">
            <w:pPr>
              <w:rPr>
                <w:rFonts w:ascii="宋体"/>
                <w:vanish/>
              </w:rPr>
            </w:pPr>
          </w:p>
        </w:tc>
        <w:tc>
          <w:tcPr>
            <w:tcW w:w="0" w:type="auto"/>
            <w:gridSpan w:val="3"/>
            <w:shd w:val="clear" w:color="auto" w:fill="auto"/>
            <w:vAlign w:val="bottom"/>
          </w:tcPr>
          <w:p w14:paraId="392C5859" w14:textId="77777777" w:rsidR="00980E5F" w:rsidRDefault="00980E5F">
            <w:pPr>
              <w:rPr>
                <w:rFonts w:ascii="宋体"/>
                <w:vanish/>
              </w:rPr>
            </w:pPr>
          </w:p>
        </w:tc>
        <w:tc>
          <w:tcPr>
            <w:tcW w:w="0" w:type="auto"/>
            <w:gridSpan w:val="3"/>
            <w:shd w:val="clear" w:color="auto" w:fill="auto"/>
            <w:vAlign w:val="bottom"/>
          </w:tcPr>
          <w:p w14:paraId="392C585A" w14:textId="77777777" w:rsidR="00980E5F" w:rsidRDefault="00980E5F">
            <w:pPr>
              <w:rPr>
                <w:rFonts w:ascii="宋体"/>
                <w:vanish/>
              </w:rPr>
            </w:pPr>
          </w:p>
        </w:tc>
        <w:tc>
          <w:tcPr>
            <w:tcW w:w="0" w:type="auto"/>
            <w:gridSpan w:val="3"/>
            <w:shd w:val="clear" w:color="auto" w:fill="auto"/>
            <w:vAlign w:val="bottom"/>
          </w:tcPr>
          <w:p w14:paraId="392C585B" w14:textId="77777777" w:rsidR="00980E5F" w:rsidRDefault="00980E5F">
            <w:pPr>
              <w:rPr>
                <w:rFonts w:ascii="宋体"/>
                <w:vanish/>
              </w:rPr>
            </w:pPr>
          </w:p>
        </w:tc>
        <w:tc>
          <w:tcPr>
            <w:tcW w:w="0" w:type="auto"/>
            <w:gridSpan w:val="3"/>
            <w:shd w:val="clear" w:color="auto" w:fill="auto"/>
            <w:vAlign w:val="bottom"/>
          </w:tcPr>
          <w:p w14:paraId="392C585C" w14:textId="77777777" w:rsidR="00980E5F" w:rsidRDefault="00980E5F">
            <w:pPr>
              <w:rPr>
                <w:rFonts w:ascii="宋体"/>
                <w:vanish/>
              </w:rPr>
            </w:pPr>
          </w:p>
        </w:tc>
        <w:tc>
          <w:tcPr>
            <w:tcW w:w="0" w:type="auto"/>
            <w:gridSpan w:val="3"/>
            <w:shd w:val="clear" w:color="auto" w:fill="auto"/>
            <w:vAlign w:val="bottom"/>
          </w:tcPr>
          <w:p w14:paraId="392C585D" w14:textId="77777777" w:rsidR="00980E5F" w:rsidRDefault="00980E5F">
            <w:pPr>
              <w:rPr>
                <w:rFonts w:ascii="宋体"/>
                <w:vanish/>
              </w:rPr>
            </w:pPr>
          </w:p>
        </w:tc>
        <w:tc>
          <w:tcPr>
            <w:tcW w:w="0" w:type="auto"/>
            <w:gridSpan w:val="3"/>
            <w:shd w:val="clear" w:color="auto" w:fill="auto"/>
            <w:vAlign w:val="bottom"/>
          </w:tcPr>
          <w:p w14:paraId="392C585E" w14:textId="77777777" w:rsidR="00980E5F" w:rsidRDefault="00980E5F">
            <w:pPr>
              <w:rPr>
                <w:rFonts w:ascii="宋体"/>
                <w:vanish/>
              </w:rPr>
            </w:pPr>
          </w:p>
        </w:tc>
        <w:tc>
          <w:tcPr>
            <w:tcW w:w="0" w:type="auto"/>
            <w:gridSpan w:val="3"/>
            <w:shd w:val="clear" w:color="auto" w:fill="auto"/>
            <w:vAlign w:val="bottom"/>
          </w:tcPr>
          <w:p w14:paraId="392C585F" w14:textId="77777777" w:rsidR="00980E5F" w:rsidRDefault="00980E5F">
            <w:pPr>
              <w:rPr>
                <w:rFonts w:ascii="宋体"/>
                <w:vanish/>
              </w:rPr>
            </w:pPr>
          </w:p>
        </w:tc>
        <w:tc>
          <w:tcPr>
            <w:tcW w:w="0" w:type="auto"/>
            <w:gridSpan w:val="3"/>
            <w:shd w:val="clear" w:color="auto" w:fill="auto"/>
            <w:vAlign w:val="bottom"/>
          </w:tcPr>
          <w:p w14:paraId="392C5860" w14:textId="77777777" w:rsidR="00980E5F" w:rsidRDefault="00980E5F">
            <w:pPr>
              <w:rPr>
                <w:rFonts w:ascii="宋体"/>
                <w:vanish/>
              </w:rPr>
            </w:pPr>
          </w:p>
        </w:tc>
        <w:tc>
          <w:tcPr>
            <w:tcW w:w="0" w:type="auto"/>
            <w:gridSpan w:val="3"/>
            <w:shd w:val="clear" w:color="auto" w:fill="auto"/>
            <w:vAlign w:val="bottom"/>
          </w:tcPr>
          <w:p w14:paraId="392C5861" w14:textId="77777777" w:rsidR="00980E5F" w:rsidRDefault="00980E5F">
            <w:pPr>
              <w:rPr>
                <w:rFonts w:ascii="宋体"/>
                <w:vanish/>
              </w:rPr>
            </w:pPr>
          </w:p>
        </w:tc>
        <w:tc>
          <w:tcPr>
            <w:tcW w:w="0" w:type="auto"/>
            <w:gridSpan w:val="3"/>
            <w:shd w:val="clear" w:color="auto" w:fill="auto"/>
            <w:vAlign w:val="bottom"/>
          </w:tcPr>
          <w:p w14:paraId="392C5862" w14:textId="77777777" w:rsidR="00980E5F" w:rsidRDefault="00980E5F">
            <w:pPr>
              <w:rPr>
                <w:rFonts w:ascii="宋体"/>
                <w:vanish/>
              </w:rPr>
            </w:pPr>
          </w:p>
        </w:tc>
        <w:tc>
          <w:tcPr>
            <w:tcW w:w="0" w:type="auto"/>
            <w:gridSpan w:val="3"/>
            <w:shd w:val="clear" w:color="auto" w:fill="auto"/>
            <w:vAlign w:val="bottom"/>
          </w:tcPr>
          <w:p w14:paraId="392C5863" w14:textId="77777777" w:rsidR="00980E5F" w:rsidRDefault="00980E5F">
            <w:pPr>
              <w:rPr>
                <w:rFonts w:ascii="宋体"/>
                <w:vanish/>
              </w:rPr>
            </w:pPr>
          </w:p>
        </w:tc>
        <w:tc>
          <w:tcPr>
            <w:tcW w:w="0" w:type="auto"/>
            <w:gridSpan w:val="3"/>
            <w:shd w:val="clear" w:color="auto" w:fill="auto"/>
            <w:vAlign w:val="bottom"/>
          </w:tcPr>
          <w:p w14:paraId="392C5864" w14:textId="77777777" w:rsidR="00980E5F" w:rsidRDefault="00980E5F">
            <w:pPr>
              <w:rPr>
                <w:rFonts w:ascii="宋体"/>
                <w:vanish/>
              </w:rPr>
            </w:pPr>
          </w:p>
        </w:tc>
        <w:tc>
          <w:tcPr>
            <w:tcW w:w="0" w:type="auto"/>
            <w:gridSpan w:val="2"/>
            <w:shd w:val="clear" w:color="auto" w:fill="auto"/>
            <w:vAlign w:val="bottom"/>
          </w:tcPr>
          <w:p w14:paraId="392C5865" w14:textId="77777777" w:rsidR="00980E5F" w:rsidRDefault="00980E5F">
            <w:pPr>
              <w:rPr>
                <w:rFonts w:ascii="宋体"/>
                <w:vanish/>
              </w:rPr>
            </w:pPr>
          </w:p>
        </w:tc>
        <w:tc>
          <w:tcPr>
            <w:tcW w:w="0" w:type="auto"/>
            <w:shd w:val="clear" w:color="auto" w:fill="auto"/>
            <w:vAlign w:val="bottom"/>
          </w:tcPr>
          <w:p w14:paraId="392C5866" w14:textId="77777777" w:rsidR="00980E5F" w:rsidRDefault="00980E5F">
            <w:pPr>
              <w:rPr>
                <w:rFonts w:ascii="宋体"/>
                <w:vanish/>
              </w:rPr>
            </w:pPr>
          </w:p>
        </w:tc>
      </w:tr>
      <w:tr w:rsidR="00980E5F" w14:paraId="392C587E" w14:textId="77777777">
        <w:trPr>
          <w:hidden/>
        </w:trPr>
        <w:tc>
          <w:tcPr>
            <w:tcW w:w="0" w:type="auto"/>
            <w:gridSpan w:val="3"/>
            <w:shd w:val="clear" w:color="auto" w:fill="auto"/>
            <w:vAlign w:val="bottom"/>
          </w:tcPr>
          <w:p w14:paraId="392C5868" w14:textId="77777777" w:rsidR="00980E5F" w:rsidRDefault="00980E5F">
            <w:pPr>
              <w:rPr>
                <w:rFonts w:ascii="宋体"/>
                <w:vanish/>
              </w:rPr>
            </w:pPr>
          </w:p>
        </w:tc>
        <w:tc>
          <w:tcPr>
            <w:tcW w:w="0" w:type="auto"/>
            <w:gridSpan w:val="3"/>
            <w:shd w:val="clear" w:color="auto" w:fill="auto"/>
            <w:vAlign w:val="bottom"/>
          </w:tcPr>
          <w:p w14:paraId="392C5869" w14:textId="77777777" w:rsidR="00980E5F" w:rsidRDefault="00980E5F">
            <w:pPr>
              <w:rPr>
                <w:rFonts w:ascii="宋体"/>
                <w:vanish/>
              </w:rPr>
            </w:pPr>
          </w:p>
        </w:tc>
        <w:tc>
          <w:tcPr>
            <w:tcW w:w="0" w:type="auto"/>
            <w:gridSpan w:val="3"/>
            <w:shd w:val="clear" w:color="auto" w:fill="auto"/>
            <w:vAlign w:val="bottom"/>
          </w:tcPr>
          <w:p w14:paraId="392C586A" w14:textId="77777777" w:rsidR="00980E5F" w:rsidRDefault="00980E5F">
            <w:pPr>
              <w:rPr>
                <w:rFonts w:ascii="宋体"/>
                <w:vanish/>
              </w:rPr>
            </w:pPr>
          </w:p>
        </w:tc>
        <w:tc>
          <w:tcPr>
            <w:tcW w:w="0" w:type="auto"/>
            <w:gridSpan w:val="3"/>
            <w:shd w:val="clear" w:color="auto" w:fill="auto"/>
            <w:vAlign w:val="bottom"/>
          </w:tcPr>
          <w:p w14:paraId="392C586B" w14:textId="77777777" w:rsidR="00980E5F" w:rsidRDefault="00980E5F">
            <w:pPr>
              <w:rPr>
                <w:rFonts w:ascii="宋体"/>
                <w:vanish/>
              </w:rPr>
            </w:pPr>
          </w:p>
        </w:tc>
        <w:tc>
          <w:tcPr>
            <w:tcW w:w="0" w:type="auto"/>
            <w:gridSpan w:val="3"/>
            <w:shd w:val="clear" w:color="auto" w:fill="auto"/>
            <w:vAlign w:val="bottom"/>
          </w:tcPr>
          <w:p w14:paraId="392C586C" w14:textId="77777777" w:rsidR="00980E5F" w:rsidRDefault="00980E5F">
            <w:pPr>
              <w:rPr>
                <w:rFonts w:ascii="宋体"/>
                <w:vanish/>
              </w:rPr>
            </w:pPr>
          </w:p>
        </w:tc>
        <w:tc>
          <w:tcPr>
            <w:tcW w:w="0" w:type="auto"/>
            <w:gridSpan w:val="3"/>
            <w:shd w:val="clear" w:color="auto" w:fill="auto"/>
            <w:vAlign w:val="bottom"/>
          </w:tcPr>
          <w:p w14:paraId="392C586D" w14:textId="77777777" w:rsidR="00980E5F" w:rsidRDefault="00980E5F">
            <w:pPr>
              <w:rPr>
                <w:rFonts w:ascii="宋体"/>
                <w:vanish/>
              </w:rPr>
            </w:pPr>
          </w:p>
        </w:tc>
        <w:tc>
          <w:tcPr>
            <w:tcW w:w="0" w:type="auto"/>
            <w:gridSpan w:val="3"/>
            <w:shd w:val="clear" w:color="auto" w:fill="auto"/>
            <w:vAlign w:val="bottom"/>
          </w:tcPr>
          <w:p w14:paraId="392C586E" w14:textId="77777777" w:rsidR="00980E5F" w:rsidRDefault="00980E5F">
            <w:pPr>
              <w:rPr>
                <w:rFonts w:ascii="宋体"/>
                <w:vanish/>
              </w:rPr>
            </w:pPr>
          </w:p>
        </w:tc>
        <w:tc>
          <w:tcPr>
            <w:tcW w:w="0" w:type="auto"/>
            <w:gridSpan w:val="3"/>
            <w:shd w:val="clear" w:color="auto" w:fill="auto"/>
            <w:vAlign w:val="bottom"/>
          </w:tcPr>
          <w:p w14:paraId="392C586F" w14:textId="77777777" w:rsidR="00980E5F" w:rsidRDefault="00980E5F">
            <w:pPr>
              <w:rPr>
                <w:rFonts w:ascii="宋体"/>
                <w:vanish/>
              </w:rPr>
            </w:pPr>
          </w:p>
        </w:tc>
        <w:tc>
          <w:tcPr>
            <w:tcW w:w="0" w:type="auto"/>
            <w:gridSpan w:val="3"/>
            <w:shd w:val="clear" w:color="auto" w:fill="auto"/>
            <w:vAlign w:val="bottom"/>
          </w:tcPr>
          <w:p w14:paraId="392C5870" w14:textId="77777777" w:rsidR="00980E5F" w:rsidRDefault="00980E5F">
            <w:pPr>
              <w:rPr>
                <w:rFonts w:ascii="宋体"/>
                <w:vanish/>
              </w:rPr>
            </w:pPr>
          </w:p>
        </w:tc>
        <w:tc>
          <w:tcPr>
            <w:tcW w:w="0" w:type="auto"/>
            <w:gridSpan w:val="3"/>
            <w:shd w:val="clear" w:color="auto" w:fill="auto"/>
            <w:vAlign w:val="bottom"/>
          </w:tcPr>
          <w:p w14:paraId="392C5871" w14:textId="77777777" w:rsidR="00980E5F" w:rsidRDefault="00980E5F">
            <w:pPr>
              <w:rPr>
                <w:rFonts w:ascii="宋体"/>
                <w:vanish/>
              </w:rPr>
            </w:pPr>
          </w:p>
        </w:tc>
        <w:tc>
          <w:tcPr>
            <w:tcW w:w="0" w:type="auto"/>
            <w:gridSpan w:val="3"/>
            <w:shd w:val="clear" w:color="auto" w:fill="auto"/>
            <w:vAlign w:val="bottom"/>
          </w:tcPr>
          <w:p w14:paraId="392C5872" w14:textId="77777777" w:rsidR="00980E5F" w:rsidRDefault="00980E5F">
            <w:pPr>
              <w:rPr>
                <w:rFonts w:ascii="宋体"/>
                <w:vanish/>
              </w:rPr>
            </w:pPr>
          </w:p>
        </w:tc>
        <w:tc>
          <w:tcPr>
            <w:tcW w:w="0" w:type="auto"/>
            <w:gridSpan w:val="3"/>
            <w:shd w:val="clear" w:color="auto" w:fill="auto"/>
            <w:vAlign w:val="bottom"/>
          </w:tcPr>
          <w:p w14:paraId="392C5873" w14:textId="77777777" w:rsidR="00980E5F" w:rsidRDefault="00980E5F">
            <w:pPr>
              <w:rPr>
                <w:rFonts w:ascii="宋体"/>
                <w:vanish/>
              </w:rPr>
            </w:pPr>
          </w:p>
        </w:tc>
        <w:tc>
          <w:tcPr>
            <w:tcW w:w="0" w:type="auto"/>
            <w:gridSpan w:val="3"/>
            <w:shd w:val="clear" w:color="auto" w:fill="auto"/>
            <w:vAlign w:val="bottom"/>
          </w:tcPr>
          <w:p w14:paraId="392C5874" w14:textId="77777777" w:rsidR="00980E5F" w:rsidRDefault="00980E5F">
            <w:pPr>
              <w:rPr>
                <w:rFonts w:ascii="宋体"/>
                <w:vanish/>
              </w:rPr>
            </w:pPr>
          </w:p>
        </w:tc>
        <w:tc>
          <w:tcPr>
            <w:tcW w:w="0" w:type="auto"/>
            <w:gridSpan w:val="3"/>
            <w:shd w:val="clear" w:color="auto" w:fill="auto"/>
            <w:vAlign w:val="bottom"/>
          </w:tcPr>
          <w:p w14:paraId="392C5875" w14:textId="77777777" w:rsidR="00980E5F" w:rsidRDefault="00980E5F">
            <w:pPr>
              <w:rPr>
                <w:rFonts w:ascii="宋体"/>
                <w:vanish/>
              </w:rPr>
            </w:pPr>
          </w:p>
        </w:tc>
        <w:tc>
          <w:tcPr>
            <w:tcW w:w="0" w:type="auto"/>
            <w:gridSpan w:val="3"/>
            <w:shd w:val="clear" w:color="auto" w:fill="auto"/>
            <w:vAlign w:val="bottom"/>
          </w:tcPr>
          <w:p w14:paraId="392C5876" w14:textId="77777777" w:rsidR="00980E5F" w:rsidRDefault="00980E5F">
            <w:pPr>
              <w:rPr>
                <w:rFonts w:ascii="宋体"/>
                <w:vanish/>
              </w:rPr>
            </w:pPr>
          </w:p>
        </w:tc>
        <w:tc>
          <w:tcPr>
            <w:tcW w:w="0" w:type="auto"/>
            <w:gridSpan w:val="3"/>
            <w:shd w:val="clear" w:color="auto" w:fill="auto"/>
            <w:vAlign w:val="bottom"/>
          </w:tcPr>
          <w:p w14:paraId="392C5877" w14:textId="77777777" w:rsidR="00980E5F" w:rsidRDefault="00980E5F">
            <w:pPr>
              <w:rPr>
                <w:rFonts w:ascii="宋体"/>
                <w:vanish/>
              </w:rPr>
            </w:pPr>
          </w:p>
        </w:tc>
        <w:tc>
          <w:tcPr>
            <w:tcW w:w="0" w:type="auto"/>
            <w:gridSpan w:val="3"/>
            <w:shd w:val="clear" w:color="auto" w:fill="auto"/>
            <w:vAlign w:val="bottom"/>
          </w:tcPr>
          <w:p w14:paraId="392C5878" w14:textId="77777777" w:rsidR="00980E5F" w:rsidRDefault="00980E5F">
            <w:pPr>
              <w:rPr>
                <w:rFonts w:ascii="宋体"/>
                <w:vanish/>
              </w:rPr>
            </w:pPr>
          </w:p>
        </w:tc>
        <w:tc>
          <w:tcPr>
            <w:tcW w:w="0" w:type="auto"/>
            <w:gridSpan w:val="3"/>
            <w:shd w:val="clear" w:color="auto" w:fill="auto"/>
            <w:vAlign w:val="bottom"/>
          </w:tcPr>
          <w:p w14:paraId="392C5879" w14:textId="77777777" w:rsidR="00980E5F" w:rsidRDefault="00980E5F">
            <w:pPr>
              <w:rPr>
                <w:rFonts w:ascii="宋体"/>
                <w:vanish/>
              </w:rPr>
            </w:pPr>
          </w:p>
        </w:tc>
        <w:tc>
          <w:tcPr>
            <w:tcW w:w="0" w:type="auto"/>
            <w:gridSpan w:val="3"/>
            <w:shd w:val="clear" w:color="auto" w:fill="auto"/>
            <w:vAlign w:val="bottom"/>
          </w:tcPr>
          <w:p w14:paraId="392C587A" w14:textId="77777777" w:rsidR="00980E5F" w:rsidRDefault="00980E5F">
            <w:pPr>
              <w:rPr>
                <w:rFonts w:ascii="宋体"/>
                <w:vanish/>
              </w:rPr>
            </w:pPr>
          </w:p>
        </w:tc>
        <w:tc>
          <w:tcPr>
            <w:tcW w:w="0" w:type="auto"/>
            <w:gridSpan w:val="3"/>
            <w:shd w:val="clear" w:color="auto" w:fill="auto"/>
            <w:vAlign w:val="bottom"/>
          </w:tcPr>
          <w:p w14:paraId="392C587B" w14:textId="77777777" w:rsidR="00980E5F" w:rsidRDefault="00980E5F">
            <w:pPr>
              <w:rPr>
                <w:rFonts w:ascii="宋体"/>
                <w:vanish/>
              </w:rPr>
            </w:pPr>
          </w:p>
        </w:tc>
        <w:tc>
          <w:tcPr>
            <w:tcW w:w="0" w:type="auto"/>
            <w:gridSpan w:val="2"/>
            <w:shd w:val="clear" w:color="auto" w:fill="auto"/>
            <w:vAlign w:val="bottom"/>
          </w:tcPr>
          <w:p w14:paraId="392C587C" w14:textId="77777777" w:rsidR="00980E5F" w:rsidRDefault="00980E5F">
            <w:pPr>
              <w:rPr>
                <w:rFonts w:ascii="宋体"/>
                <w:vanish/>
              </w:rPr>
            </w:pPr>
          </w:p>
        </w:tc>
        <w:tc>
          <w:tcPr>
            <w:tcW w:w="0" w:type="auto"/>
            <w:shd w:val="clear" w:color="auto" w:fill="auto"/>
            <w:vAlign w:val="bottom"/>
          </w:tcPr>
          <w:p w14:paraId="392C587D" w14:textId="77777777" w:rsidR="00980E5F" w:rsidRDefault="00980E5F">
            <w:pPr>
              <w:rPr>
                <w:rFonts w:ascii="宋体"/>
                <w:vanish/>
              </w:rPr>
            </w:pPr>
          </w:p>
        </w:tc>
      </w:tr>
    </w:tbl>
    <w:p w14:paraId="392C587F" w14:textId="77777777" w:rsidR="00980E5F" w:rsidRDefault="00483613">
      <w:pPr>
        <w:ind w:firstLine="450"/>
        <w:jc w:val="right"/>
      </w:pPr>
      <w:r>
        <w:rPr>
          <w:rFonts w:ascii="Arial" w:eastAsia="宋体" w:hAnsi="Arial" w:cs="Arial"/>
          <w:color w:val="000000"/>
          <w:sz w:val="18"/>
          <w:szCs w:val="18"/>
        </w:rPr>
        <w:t>State Street Corporation | 64</w:t>
      </w:r>
    </w:p>
    <w:p w14:paraId="392C5880" w14:textId="77777777" w:rsidR="00980E5F" w:rsidRDefault="00980E5F">
      <w:pPr>
        <w:ind w:firstLine="450"/>
        <w:jc w:val="center"/>
      </w:pPr>
    </w:p>
    <w:p w14:paraId="392C5881" w14:textId="77777777" w:rsidR="00980E5F" w:rsidRDefault="00483613">
      <w:r>
        <w:pict w14:anchorId="392CBB0E">
          <v:rect id="_x0000_i1088" style="width:415.3pt;height:1.5pt" o:hralign="center" o:hrstd="t" o:hr="t" fillcolor="#a0a0a0" stroked="f"/>
        </w:pict>
      </w:r>
    </w:p>
    <w:p w14:paraId="392C5882" w14:textId="77777777" w:rsidR="00980E5F" w:rsidRDefault="00483613">
      <w:pPr>
        <w:ind w:firstLine="450"/>
        <w:jc w:val="center"/>
      </w:pPr>
      <w:r>
        <w:rPr>
          <w:rFonts w:ascii="Arial" w:eastAsia="宋体" w:hAnsi="Arial" w:cs="Arial"/>
          <w:b/>
          <w:bCs/>
          <w:color w:val="000000"/>
          <w:sz w:val="20"/>
          <w:szCs w:val="20"/>
        </w:rPr>
        <w:t>STATE STREET CORPORATION</w:t>
      </w:r>
    </w:p>
    <w:p w14:paraId="392C5883"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5884" w14:textId="77777777" w:rsidR="00980E5F" w:rsidRDefault="00483613">
      <w:pPr>
        <w:ind w:firstLine="450"/>
        <w:jc w:val="center"/>
      </w:pPr>
      <w:r>
        <w:rPr>
          <w:rFonts w:ascii="Arial" w:eastAsia="宋体" w:hAnsi="Arial" w:cs="Arial"/>
          <w:b/>
          <w:bCs/>
          <w:color w:val="000000"/>
          <w:sz w:val="20"/>
          <w:szCs w:val="20"/>
        </w:rPr>
        <w:t>(UNAUDITED)</w:t>
      </w:r>
    </w:p>
    <w:p w14:paraId="392C5885" w14:textId="77777777" w:rsidR="00980E5F" w:rsidRDefault="00483613">
      <w:pPr>
        <w:spacing w:before="60"/>
        <w:ind w:firstLine="450"/>
        <w:jc w:val="both"/>
      </w:pPr>
      <w:r>
        <w:rPr>
          <w:rFonts w:ascii="Arial" w:eastAsia="宋体" w:hAnsi="Arial" w:cs="Arial"/>
          <w:color w:val="000000"/>
          <w:sz w:val="20"/>
          <w:szCs w:val="20"/>
        </w:rPr>
        <w:t xml:space="preserve">The following table presents quantitative information, as of the dates indicated, about the </w:t>
      </w:r>
      <w:r>
        <w:rPr>
          <w:rFonts w:ascii="Arial" w:eastAsia="宋体" w:hAnsi="Arial" w:cs="Arial"/>
          <w:color w:val="000000"/>
          <w:sz w:val="20"/>
          <w:szCs w:val="20"/>
        </w:rPr>
        <w:t>valuation techniques and significant unobservable inputs used in the valuation of our level 3 financial assets and liabilities measured at fair value on a recurring basis for which we use internally-developed pricing models. The significant unobservable in</w:t>
      </w:r>
      <w:r>
        <w:rPr>
          <w:rFonts w:ascii="Arial" w:eastAsia="宋体" w:hAnsi="Arial" w:cs="Arial"/>
          <w:color w:val="000000"/>
          <w:sz w:val="20"/>
          <w:szCs w:val="20"/>
        </w:rPr>
        <w:t>puts for our level 3 financial assets and liabilities whose fair value is measured using pricing information from non-binding broker/dealer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80"/>
        <w:gridCol w:w="37"/>
        <w:gridCol w:w="94"/>
        <w:gridCol w:w="664"/>
        <w:gridCol w:w="37"/>
        <w:gridCol w:w="36"/>
        <w:gridCol w:w="36"/>
        <w:gridCol w:w="36"/>
        <w:gridCol w:w="94"/>
        <w:gridCol w:w="848"/>
        <w:gridCol w:w="36"/>
        <w:gridCol w:w="36"/>
        <w:gridCol w:w="36"/>
        <w:gridCol w:w="36"/>
        <w:gridCol w:w="75"/>
        <w:gridCol w:w="559"/>
        <w:gridCol w:w="36"/>
        <w:gridCol w:w="36"/>
        <w:gridCol w:w="36"/>
        <w:gridCol w:w="36"/>
        <w:gridCol w:w="96"/>
        <w:gridCol w:w="729"/>
        <w:gridCol w:w="36"/>
        <w:gridCol w:w="36"/>
        <w:gridCol w:w="36"/>
        <w:gridCol w:w="36"/>
        <w:gridCol w:w="52"/>
        <w:gridCol w:w="185"/>
        <w:gridCol w:w="137"/>
        <w:gridCol w:w="37"/>
        <w:gridCol w:w="37"/>
        <w:gridCol w:w="37"/>
        <w:gridCol w:w="88"/>
        <w:gridCol w:w="313"/>
        <w:gridCol w:w="37"/>
        <w:gridCol w:w="36"/>
        <w:gridCol w:w="36"/>
        <w:gridCol w:w="36"/>
        <w:gridCol w:w="52"/>
        <w:gridCol w:w="463"/>
        <w:gridCol w:w="137"/>
        <w:gridCol w:w="36"/>
        <w:gridCol w:w="36"/>
        <w:gridCol w:w="36"/>
        <w:gridCol w:w="51"/>
        <w:gridCol w:w="767"/>
        <w:gridCol w:w="136"/>
      </w:tblGrid>
      <w:tr w:rsidR="00980E5F" w14:paraId="392C58B6" w14:textId="77777777">
        <w:trPr>
          <w:jc w:val="center"/>
        </w:trPr>
        <w:tc>
          <w:tcPr>
            <w:tcW w:w="50" w:type="pct"/>
            <w:shd w:val="clear" w:color="auto" w:fill="auto"/>
            <w:vAlign w:val="bottom"/>
          </w:tcPr>
          <w:p w14:paraId="392C5886" w14:textId="77777777" w:rsidR="00980E5F" w:rsidRDefault="00980E5F">
            <w:pPr>
              <w:rPr>
                <w:rFonts w:ascii="宋体"/>
              </w:rPr>
            </w:pPr>
          </w:p>
        </w:tc>
        <w:tc>
          <w:tcPr>
            <w:tcW w:w="1143" w:type="pct"/>
            <w:shd w:val="clear" w:color="auto" w:fill="auto"/>
            <w:vAlign w:val="bottom"/>
          </w:tcPr>
          <w:p w14:paraId="392C5887" w14:textId="77777777" w:rsidR="00980E5F" w:rsidRDefault="00980E5F">
            <w:pPr>
              <w:rPr>
                <w:rFonts w:ascii="宋体"/>
              </w:rPr>
            </w:pPr>
          </w:p>
        </w:tc>
        <w:tc>
          <w:tcPr>
            <w:tcW w:w="5" w:type="pct"/>
            <w:shd w:val="clear" w:color="auto" w:fill="auto"/>
            <w:vAlign w:val="bottom"/>
          </w:tcPr>
          <w:p w14:paraId="392C5888" w14:textId="77777777" w:rsidR="00980E5F" w:rsidRDefault="00980E5F">
            <w:pPr>
              <w:rPr>
                <w:rFonts w:ascii="宋体"/>
              </w:rPr>
            </w:pPr>
          </w:p>
        </w:tc>
        <w:tc>
          <w:tcPr>
            <w:tcW w:w="50" w:type="pct"/>
            <w:shd w:val="clear" w:color="auto" w:fill="auto"/>
            <w:vAlign w:val="bottom"/>
          </w:tcPr>
          <w:p w14:paraId="392C5889" w14:textId="77777777" w:rsidR="00980E5F" w:rsidRDefault="00980E5F">
            <w:pPr>
              <w:rPr>
                <w:rFonts w:ascii="宋体"/>
              </w:rPr>
            </w:pPr>
          </w:p>
        </w:tc>
        <w:tc>
          <w:tcPr>
            <w:tcW w:w="449" w:type="pct"/>
            <w:shd w:val="clear" w:color="auto" w:fill="auto"/>
            <w:vAlign w:val="bottom"/>
          </w:tcPr>
          <w:p w14:paraId="392C588A" w14:textId="77777777" w:rsidR="00980E5F" w:rsidRDefault="00980E5F">
            <w:pPr>
              <w:rPr>
                <w:rFonts w:ascii="宋体"/>
              </w:rPr>
            </w:pPr>
          </w:p>
        </w:tc>
        <w:tc>
          <w:tcPr>
            <w:tcW w:w="5" w:type="pct"/>
            <w:shd w:val="clear" w:color="auto" w:fill="auto"/>
            <w:vAlign w:val="bottom"/>
          </w:tcPr>
          <w:p w14:paraId="392C588B" w14:textId="77777777" w:rsidR="00980E5F" w:rsidRDefault="00980E5F">
            <w:pPr>
              <w:rPr>
                <w:rFonts w:ascii="宋体"/>
              </w:rPr>
            </w:pPr>
          </w:p>
        </w:tc>
        <w:tc>
          <w:tcPr>
            <w:tcW w:w="5" w:type="pct"/>
            <w:shd w:val="clear" w:color="auto" w:fill="auto"/>
            <w:vAlign w:val="bottom"/>
          </w:tcPr>
          <w:p w14:paraId="392C588C" w14:textId="77777777" w:rsidR="00980E5F" w:rsidRDefault="00980E5F">
            <w:pPr>
              <w:rPr>
                <w:rFonts w:ascii="宋体"/>
              </w:rPr>
            </w:pPr>
          </w:p>
        </w:tc>
        <w:tc>
          <w:tcPr>
            <w:tcW w:w="19" w:type="pct"/>
            <w:shd w:val="clear" w:color="auto" w:fill="auto"/>
            <w:vAlign w:val="bottom"/>
          </w:tcPr>
          <w:p w14:paraId="392C588D" w14:textId="77777777" w:rsidR="00980E5F" w:rsidRDefault="00980E5F">
            <w:pPr>
              <w:rPr>
                <w:rFonts w:ascii="宋体"/>
              </w:rPr>
            </w:pPr>
          </w:p>
        </w:tc>
        <w:tc>
          <w:tcPr>
            <w:tcW w:w="5" w:type="pct"/>
            <w:shd w:val="clear" w:color="auto" w:fill="auto"/>
            <w:vAlign w:val="bottom"/>
          </w:tcPr>
          <w:p w14:paraId="392C588E" w14:textId="77777777" w:rsidR="00980E5F" w:rsidRDefault="00980E5F">
            <w:pPr>
              <w:rPr>
                <w:rFonts w:ascii="宋体"/>
              </w:rPr>
            </w:pPr>
          </w:p>
        </w:tc>
        <w:tc>
          <w:tcPr>
            <w:tcW w:w="50" w:type="pct"/>
            <w:shd w:val="clear" w:color="auto" w:fill="auto"/>
            <w:vAlign w:val="bottom"/>
          </w:tcPr>
          <w:p w14:paraId="392C588F" w14:textId="77777777" w:rsidR="00980E5F" w:rsidRDefault="00980E5F">
            <w:pPr>
              <w:rPr>
                <w:rFonts w:ascii="宋体"/>
              </w:rPr>
            </w:pPr>
          </w:p>
        </w:tc>
        <w:tc>
          <w:tcPr>
            <w:tcW w:w="559" w:type="pct"/>
            <w:shd w:val="clear" w:color="auto" w:fill="auto"/>
            <w:vAlign w:val="bottom"/>
          </w:tcPr>
          <w:p w14:paraId="392C5890" w14:textId="77777777" w:rsidR="00980E5F" w:rsidRDefault="00980E5F">
            <w:pPr>
              <w:rPr>
                <w:rFonts w:ascii="宋体"/>
              </w:rPr>
            </w:pPr>
          </w:p>
        </w:tc>
        <w:tc>
          <w:tcPr>
            <w:tcW w:w="5" w:type="pct"/>
            <w:shd w:val="clear" w:color="auto" w:fill="auto"/>
            <w:vAlign w:val="bottom"/>
          </w:tcPr>
          <w:p w14:paraId="392C5891" w14:textId="77777777" w:rsidR="00980E5F" w:rsidRDefault="00980E5F">
            <w:pPr>
              <w:rPr>
                <w:rFonts w:ascii="宋体"/>
              </w:rPr>
            </w:pPr>
          </w:p>
        </w:tc>
        <w:tc>
          <w:tcPr>
            <w:tcW w:w="5" w:type="pct"/>
            <w:shd w:val="clear" w:color="auto" w:fill="auto"/>
            <w:vAlign w:val="bottom"/>
          </w:tcPr>
          <w:p w14:paraId="392C5892" w14:textId="77777777" w:rsidR="00980E5F" w:rsidRDefault="00980E5F">
            <w:pPr>
              <w:rPr>
                <w:rFonts w:ascii="宋体"/>
              </w:rPr>
            </w:pPr>
          </w:p>
        </w:tc>
        <w:tc>
          <w:tcPr>
            <w:tcW w:w="19" w:type="pct"/>
            <w:shd w:val="clear" w:color="auto" w:fill="auto"/>
            <w:vAlign w:val="bottom"/>
          </w:tcPr>
          <w:p w14:paraId="392C5893" w14:textId="77777777" w:rsidR="00980E5F" w:rsidRDefault="00980E5F">
            <w:pPr>
              <w:rPr>
                <w:rFonts w:ascii="宋体"/>
              </w:rPr>
            </w:pPr>
          </w:p>
        </w:tc>
        <w:tc>
          <w:tcPr>
            <w:tcW w:w="5" w:type="pct"/>
            <w:shd w:val="clear" w:color="auto" w:fill="auto"/>
            <w:vAlign w:val="bottom"/>
          </w:tcPr>
          <w:p w14:paraId="392C5894" w14:textId="77777777" w:rsidR="00980E5F" w:rsidRDefault="00980E5F">
            <w:pPr>
              <w:rPr>
                <w:rFonts w:ascii="宋体"/>
              </w:rPr>
            </w:pPr>
          </w:p>
        </w:tc>
        <w:tc>
          <w:tcPr>
            <w:tcW w:w="50" w:type="pct"/>
            <w:shd w:val="clear" w:color="auto" w:fill="auto"/>
            <w:vAlign w:val="bottom"/>
          </w:tcPr>
          <w:p w14:paraId="392C5895" w14:textId="77777777" w:rsidR="00980E5F" w:rsidRDefault="00980E5F">
            <w:pPr>
              <w:rPr>
                <w:rFonts w:ascii="宋体"/>
              </w:rPr>
            </w:pPr>
          </w:p>
        </w:tc>
        <w:tc>
          <w:tcPr>
            <w:tcW w:w="376" w:type="pct"/>
            <w:shd w:val="clear" w:color="auto" w:fill="auto"/>
            <w:vAlign w:val="bottom"/>
          </w:tcPr>
          <w:p w14:paraId="392C5896" w14:textId="77777777" w:rsidR="00980E5F" w:rsidRDefault="00980E5F">
            <w:pPr>
              <w:rPr>
                <w:rFonts w:ascii="宋体"/>
              </w:rPr>
            </w:pPr>
          </w:p>
        </w:tc>
        <w:tc>
          <w:tcPr>
            <w:tcW w:w="5" w:type="pct"/>
            <w:shd w:val="clear" w:color="auto" w:fill="auto"/>
            <w:vAlign w:val="bottom"/>
          </w:tcPr>
          <w:p w14:paraId="392C5897" w14:textId="77777777" w:rsidR="00980E5F" w:rsidRDefault="00980E5F">
            <w:pPr>
              <w:rPr>
                <w:rFonts w:ascii="宋体"/>
              </w:rPr>
            </w:pPr>
          </w:p>
        </w:tc>
        <w:tc>
          <w:tcPr>
            <w:tcW w:w="5" w:type="pct"/>
            <w:shd w:val="clear" w:color="auto" w:fill="auto"/>
            <w:vAlign w:val="bottom"/>
          </w:tcPr>
          <w:p w14:paraId="392C5898" w14:textId="77777777" w:rsidR="00980E5F" w:rsidRDefault="00980E5F">
            <w:pPr>
              <w:rPr>
                <w:rFonts w:ascii="宋体"/>
              </w:rPr>
            </w:pPr>
          </w:p>
        </w:tc>
        <w:tc>
          <w:tcPr>
            <w:tcW w:w="19" w:type="pct"/>
            <w:shd w:val="clear" w:color="auto" w:fill="auto"/>
            <w:vAlign w:val="bottom"/>
          </w:tcPr>
          <w:p w14:paraId="392C5899" w14:textId="77777777" w:rsidR="00980E5F" w:rsidRDefault="00980E5F">
            <w:pPr>
              <w:rPr>
                <w:rFonts w:ascii="宋体"/>
              </w:rPr>
            </w:pPr>
          </w:p>
        </w:tc>
        <w:tc>
          <w:tcPr>
            <w:tcW w:w="5" w:type="pct"/>
            <w:shd w:val="clear" w:color="auto" w:fill="auto"/>
            <w:vAlign w:val="bottom"/>
          </w:tcPr>
          <w:p w14:paraId="392C589A" w14:textId="77777777" w:rsidR="00980E5F" w:rsidRDefault="00980E5F">
            <w:pPr>
              <w:rPr>
                <w:rFonts w:ascii="宋体"/>
              </w:rPr>
            </w:pPr>
          </w:p>
        </w:tc>
        <w:tc>
          <w:tcPr>
            <w:tcW w:w="50" w:type="pct"/>
            <w:shd w:val="clear" w:color="auto" w:fill="auto"/>
            <w:vAlign w:val="bottom"/>
          </w:tcPr>
          <w:p w14:paraId="392C589B" w14:textId="77777777" w:rsidR="00980E5F" w:rsidRDefault="00980E5F">
            <w:pPr>
              <w:rPr>
                <w:rFonts w:ascii="宋体"/>
              </w:rPr>
            </w:pPr>
          </w:p>
        </w:tc>
        <w:tc>
          <w:tcPr>
            <w:tcW w:w="383" w:type="pct"/>
            <w:shd w:val="clear" w:color="auto" w:fill="auto"/>
            <w:vAlign w:val="bottom"/>
          </w:tcPr>
          <w:p w14:paraId="392C589C" w14:textId="77777777" w:rsidR="00980E5F" w:rsidRDefault="00980E5F">
            <w:pPr>
              <w:rPr>
                <w:rFonts w:ascii="宋体"/>
              </w:rPr>
            </w:pPr>
          </w:p>
        </w:tc>
        <w:tc>
          <w:tcPr>
            <w:tcW w:w="5" w:type="pct"/>
            <w:shd w:val="clear" w:color="auto" w:fill="auto"/>
            <w:vAlign w:val="bottom"/>
          </w:tcPr>
          <w:p w14:paraId="392C589D" w14:textId="77777777" w:rsidR="00980E5F" w:rsidRDefault="00980E5F">
            <w:pPr>
              <w:rPr>
                <w:rFonts w:ascii="宋体"/>
              </w:rPr>
            </w:pPr>
          </w:p>
        </w:tc>
        <w:tc>
          <w:tcPr>
            <w:tcW w:w="5" w:type="pct"/>
            <w:shd w:val="clear" w:color="auto" w:fill="auto"/>
            <w:vAlign w:val="bottom"/>
          </w:tcPr>
          <w:p w14:paraId="392C589E" w14:textId="77777777" w:rsidR="00980E5F" w:rsidRDefault="00980E5F">
            <w:pPr>
              <w:rPr>
                <w:rFonts w:ascii="宋体"/>
              </w:rPr>
            </w:pPr>
          </w:p>
        </w:tc>
        <w:tc>
          <w:tcPr>
            <w:tcW w:w="19" w:type="pct"/>
            <w:shd w:val="clear" w:color="auto" w:fill="auto"/>
            <w:vAlign w:val="bottom"/>
          </w:tcPr>
          <w:p w14:paraId="392C589F" w14:textId="77777777" w:rsidR="00980E5F" w:rsidRDefault="00980E5F">
            <w:pPr>
              <w:rPr>
                <w:rFonts w:ascii="宋体"/>
              </w:rPr>
            </w:pPr>
          </w:p>
        </w:tc>
        <w:tc>
          <w:tcPr>
            <w:tcW w:w="5" w:type="pct"/>
            <w:shd w:val="clear" w:color="auto" w:fill="auto"/>
            <w:vAlign w:val="bottom"/>
          </w:tcPr>
          <w:p w14:paraId="392C58A0" w14:textId="77777777" w:rsidR="00980E5F" w:rsidRDefault="00980E5F">
            <w:pPr>
              <w:rPr>
                <w:rFonts w:ascii="宋体"/>
              </w:rPr>
            </w:pPr>
          </w:p>
        </w:tc>
        <w:tc>
          <w:tcPr>
            <w:tcW w:w="50" w:type="pct"/>
            <w:shd w:val="clear" w:color="auto" w:fill="auto"/>
            <w:vAlign w:val="bottom"/>
          </w:tcPr>
          <w:p w14:paraId="392C58A1" w14:textId="77777777" w:rsidR="00980E5F" w:rsidRDefault="00980E5F">
            <w:pPr>
              <w:rPr>
                <w:rFonts w:ascii="宋体"/>
              </w:rPr>
            </w:pPr>
          </w:p>
        </w:tc>
        <w:tc>
          <w:tcPr>
            <w:tcW w:w="178" w:type="pct"/>
            <w:shd w:val="clear" w:color="auto" w:fill="auto"/>
            <w:vAlign w:val="bottom"/>
          </w:tcPr>
          <w:p w14:paraId="392C58A2" w14:textId="77777777" w:rsidR="00980E5F" w:rsidRDefault="00980E5F">
            <w:pPr>
              <w:rPr>
                <w:rFonts w:ascii="宋体"/>
              </w:rPr>
            </w:pPr>
          </w:p>
        </w:tc>
        <w:tc>
          <w:tcPr>
            <w:tcW w:w="5" w:type="pct"/>
            <w:shd w:val="clear" w:color="auto" w:fill="auto"/>
            <w:vAlign w:val="bottom"/>
          </w:tcPr>
          <w:p w14:paraId="392C58A3" w14:textId="77777777" w:rsidR="00980E5F" w:rsidRDefault="00980E5F">
            <w:pPr>
              <w:rPr>
                <w:rFonts w:ascii="宋体"/>
              </w:rPr>
            </w:pPr>
          </w:p>
        </w:tc>
        <w:tc>
          <w:tcPr>
            <w:tcW w:w="5" w:type="pct"/>
            <w:shd w:val="clear" w:color="auto" w:fill="auto"/>
            <w:vAlign w:val="bottom"/>
          </w:tcPr>
          <w:p w14:paraId="392C58A4" w14:textId="77777777" w:rsidR="00980E5F" w:rsidRDefault="00980E5F">
            <w:pPr>
              <w:rPr>
                <w:rFonts w:ascii="宋体"/>
              </w:rPr>
            </w:pPr>
          </w:p>
        </w:tc>
        <w:tc>
          <w:tcPr>
            <w:tcW w:w="41" w:type="pct"/>
            <w:shd w:val="clear" w:color="auto" w:fill="auto"/>
            <w:vAlign w:val="bottom"/>
          </w:tcPr>
          <w:p w14:paraId="392C58A5" w14:textId="77777777" w:rsidR="00980E5F" w:rsidRDefault="00980E5F">
            <w:pPr>
              <w:rPr>
                <w:rFonts w:ascii="宋体"/>
              </w:rPr>
            </w:pPr>
          </w:p>
        </w:tc>
        <w:tc>
          <w:tcPr>
            <w:tcW w:w="5" w:type="pct"/>
            <w:shd w:val="clear" w:color="auto" w:fill="auto"/>
            <w:vAlign w:val="bottom"/>
          </w:tcPr>
          <w:p w14:paraId="392C58A6" w14:textId="77777777" w:rsidR="00980E5F" w:rsidRDefault="00980E5F">
            <w:pPr>
              <w:rPr>
                <w:rFonts w:ascii="宋体"/>
              </w:rPr>
            </w:pPr>
          </w:p>
        </w:tc>
        <w:tc>
          <w:tcPr>
            <w:tcW w:w="50" w:type="pct"/>
            <w:shd w:val="clear" w:color="auto" w:fill="auto"/>
            <w:vAlign w:val="bottom"/>
          </w:tcPr>
          <w:p w14:paraId="392C58A7" w14:textId="77777777" w:rsidR="00980E5F" w:rsidRDefault="00980E5F">
            <w:pPr>
              <w:rPr>
                <w:rFonts w:ascii="宋体"/>
              </w:rPr>
            </w:pPr>
          </w:p>
        </w:tc>
        <w:tc>
          <w:tcPr>
            <w:tcW w:w="178" w:type="pct"/>
            <w:shd w:val="clear" w:color="auto" w:fill="auto"/>
            <w:vAlign w:val="bottom"/>
          </w:tcPr>
          <w:p w14:paraId="392C58A8" w14:textId="77777777" w:rsidR="00980E5F" w:rsidRDefault="00980E5F">
            <w:pPr>
              <w:rPr>
                <w:rFonts w:ascii="宋体"/>
              </w:rPr>
            </w:pPr>
          </w:p>
        </w:tc>
        <w:tc>
          <w:tcPr>
            <w:tcW w:w="5" w:type="pct"/>
            <w:shd w:val="clear" w:color="auto" w:fill="auto"/>
            <w:vAlign w:val="bottom"/>
          </w:tcPr>
          <w:p w14:paraId="392C58A9" w14:textId="77777777" w:rsidR="00980E5F" w:rsidRDefault="00980E5F">
            <w:pPr>
              <w:rPr>
                <w:rFonts w:ascii="宋体"/>
              </w:rPr>
            </w:pPr>
          </w:p>
        </w:tc>
        <w:tc>
          <w:tcPr>
            <w:tcW w:w="5" w:type="pct"/>
            <w:shd w:val="clear" w:color="auto" w:fill="auto"/>
            <w:vAlign w:val="bottom"/>
          </w:tcPr>
          <w:p w14:paraId="392C58AA" w14:textId="77777777" w:rsidR="00980E5F" w:rsidRDefault="00980E5F">
            <w:pPr>
              <w:rPr>
                <w:rFonts w:ascii="宋体"/>
              </w:rPr>
            </w:pPr>
          </w:p>
        </w:tc>
        <w:tc>
          <w:tcPr>
            <w:tcW w:w="19" w:type="pct"/>
            <w:shd w:val="clear" w:color="auto" w:fill="auto"/>
            <w:vAlign w:val="bottom"/>
          </w:tcPr>
          <w:p w14:paraId="392C58AB" w14:textId="77777777" w:rsidR="00980E5F" w:rsidRDefault="00980E5F">
            <w:pPr>
              <w:rPr>
                <w:rFonts w:ascii="宋体"/>
              </w:rPr>
            </w:pPr>
          </w:p>
        </w:tc>
        <w:tc>
          <w:tcPr>
            <w:tcW w:w="5" w:type="pct"/>
            <w:shd w:val="clear" w:color="auto" w:fill="auto"/>
            <w:vAlign w:val="bottom"/>
          </w:tcPr>
          <w:p w14:paraId="392C58AC" w14:textId="77777777" w:rsidR="00980E5F" w:rsidRDefault="00980E5F">
            <w:pPr>
              <w:rPr>
                <w:rFonts w:ascii="宋体"/>
              </w:rPr>
            </w:pPr>
          </w:p>
        </w:tc>
        <w:tc>
          <w:tcPr>
            <w:tcW w:w="50" w:type="pct"/>
            <w:shd w:val="clear" w:color="auto" w:fill="auto"/>
            <w:vAlign w:val="bottom"/>
          </w:tcPr>
          <w:p w14:paraId="392C58AD" w14:textId="77777777" w:rsidR="00980E5F" w:rsidRDefault="00980E5F">
            <w:pPr>
              <w:rPr>
                <w:rFonts w:ascii="宋体"/>
              </w:rPr>
            </w:pPr>
          </w:p>
        </w:tc>
        <w:tc>
          <w:tcPr>
            <w:tcW w:w="449" w:type="pct"/>
            <w:shd w:val="clear" w:color="auto" w:fill="auto"/>
            <w:vAlign w:val="bottom"/>
          </w:tcPr>
          <w:p w14:paraId="392C58AE" w14:textId="77777777" w:rsidR="00980E5F" w:rsidRDefault="00980E5F">
            <w:pPr>
              <w:rPr>
                <w:rFonts w:ascii="宋体"/>
              </w:rPr>
            </w:pPr>
          </w:p>
        </w:tc>
        <w:tc>
          <w:tcPr>
            <w:tcW w:w="5" w:type="pct"/>
            <w:shd w:val="clear" w:color="auto" w:fill="auto"/>
            <w:vAlign w:val="bottom"/>
          </w:tcPr>
          <w:p w14:paraId="392C58AF" w14:textId="77777777" w:rsidR="00980E5F" w:rsidRDefault="00980E5F">
            <w:pPr>
              <w:rPr>
                <w:rFonts w:ascii="宋体"/>
              </w:rPr>
            </w:pPr>
          </w:p>
        </w:tc>
        <w:tc>
          <w:tcPr>
            <w:tcW w:w="5" w:type="pct"/>
            <w:shd w:val="clear" w:color="auto" w:fill="auto"/>
            <w:vAlign w:val="bottom"/>
          </w:tcPr>
          <w:p w14:paraId="392C58B0" w14:textId="77777777" w:rsidR="00980E5F" w:rsidRDefault="00980E5F">
            <w:pPr>
              <w:rPr>
                <w:rFonts w:ascii="宋体"/>
              </w:rPr>
            </w:pPr>
          </w:p>
        </w:tc>
        <w:tc>
          <w:tcPr>
            <w:tcW w:w="19" w:type="pct"/>
            <w:shd w:val="clear" w:color="auto" w:fill="auto"/>
            <w:vAlign w:val="bottom"/>
          </w:tcPr>
          <w:p w14:paraId="392C58B1" w14:textId="77777777" w:rsidR="00980E5F" w:rsidRDefault="00980E5F">
            <w:pPr>
              <w:rPr>
                <w:rFonts w:ascii="宋体"/>
              </w:rPr>
            </w:pPr>
          </w:p>
        </w:tc>
        <w:tc>
          <w:tcPr>
            <w:tcW w:w="5" w:type="pct"/>
            <w:shd w:val="clear" w:color="auto" w:fill="auto"/>
            <w:vAlign w:val="bottom"/>
          </w:tcPr>
          <w:p w14:paraId="392C58B2" w14:textId="77777777" w:rsidR="00980E5F" w:rsidRDefault="00980E5F">
            <w:pPr>
              <w:rPr>
                <w:rFonts w:ascii="宋体"/>
              </w:rPr>
            </w:pPr>
          </w:p>
        </w:tc>
        <w:tc>
          <w:tcPr>
            <w:tcW w:w="50" w:type="pct"/>
            <w:shd w:val="clear" w:color="auto" w:fill="auto"/>
            <w:vAlign w:val="bottom"/>
          </w:tcPr>
          <w:p w14:paraId="392C58B3" w14:textId="77777777" w:rsidR="00980E5F" w:rsidRDefault="00980E5F">
            <w:pPr>
              <w:rPr>
                <w:rFonts w:ascii="宋体"/>
              </w:rPr>
            </w:pPr>
          </w:p>
        </w:tc>
        <w:tc>
          <w:tcPr>
            <w:tcW w:w="559" w:type="pct"/>
            <w:shd w:val="clear" w:color="auto" w:fill="auto"/>
            <w:vAlign w:val="bottom"/>
          </w:tcPr>
          <w:p w14:paraId="392C58B4" w14:textId="77777777" w:rsidR="00980E5F" w:rsidRDefault="00980E5F">
            <w:pPr>
              <w:rPr>
                <w:rFonts w:ascii="宋体"/>
              </w:rPr>
            </w:pPr>
          </w:p>
        </w:tc>
        <w:tc>
          <w:tcPr>
            <w:tcW w:w="5" w:type="pct"/>
            <w:shd w:val="clear" w:color="auto" w:fill="auto"/>
            <w:vAlign w:val="bottom"/>
          </w:tcPr>
          <w:p w14:paraId="392C58B5" w14:textId="77777777" w:rsidR="00980E5F" w:rsidRDefault="00980E5F">
            <w:pPr>
              <w:rPr>
                <w:rFonts w:ascii="宋体"/>
              </w:rPr>
            </w:pPr>
          </w:p>
        </w:tc>
      </w:tr>
      <w:tr w:rsidR="00980E5F" w14:paraId="392C58B9" w14:textId="77777777">
        <w:trPr>
          <w:jc w:val="center"/>
        </w:trPr>
        <w:tc>
          <w:tcPr>
            <w:tcW w:w="0" w:type="auto"/>
            <w:gridSpan w:val="3"/>
            <w:shd w:val="clear" w:color="auto" w:fill="auto"/>
            <w:tcMar>
              <w:top w:w="0" w:type="dxa"/>
              <w:left w:w="20" w:type="dxa"/>
              <w:bottom w:w="0" w:type="dxa"/>
              <w:right w:w="20" w:type="dxa"/>
            </w:tcMar>
            <w:vAlign w:val="bottom"/>
          </w:tcPr>
          <w:p w14:paraId="392C58B7" w14:textId="77777777" w:rsidR="00980E5F" w:rsidRDefault="00980E5F">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392C58B8" w14:textId="77777777" w:rsidR="00980E5F" w:rsidRDefault="00483613">
            <w:pPr>
              <w:jc w:val="center"/>
              <w:textAlignment w:val="bottom"/>
            </w:pPr>
            <w:r>
              <w:rPr>
                <w:rFonts w:ascii="Arial" w:eastAsia="宋体" w:hAnsi="Arial" w:cs="Arial"/>
                <w:b/>
                <w:bCs/>
                <w:color w:val="000000"/>
                <w:sz w:val="14"/>
                <w:szCs w:val="14"/>
              </w:rPr>
              <w:t>Quantitative Information about Level 3 Fair Value Measurements</w:t>
            </w:r>
          </w:p>
        </w:tc>
      </w:tr>
      <w:tr w:rsidR="00980E5F" w14:paraId="392C58C4" w14:textId="77777777">
        <w:trPr>
          <w:jc w:val="center"/>
        </w:trPr>
        <w:tc>
          <w:tcPr>
            <w:tcW w:w="0" w:type="auto"/>
            <w:gridSpan w:val="3"/>
            <w:shd w:val="clear" w:color="auto" w:fill="auto"/>
            <w:tcMar>
              <w:top w:w="0" w:type="dxa"/>
              <w:left w:w="20" w:type="dxa"/>
              <w:bottom w:w="0" w:type="dxa"/>
              <w:right w:w="20" w:type="dxa"/>
            </w:tcMar>
            <w:vAlign w:val="bottom"/>
          </w:tcPr>
          <w:p w14:paraId="392C58B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8BB" w14:textId="77777777" w:rsidR="00980E5F" w:rsidRDefault="00483613">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B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B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B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B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C0" w14:textId="77777777" w:rsidR="00980E5F" w:rsidRDefault="00980E5F">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58C1" w14:textId="77777777" w:rsidR="00980E5F" w:rsidRDefault="00483613">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C2"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8C3" w14:textId="77777777" w:rsidR="00980E5F" w:rsidRDefault="00483613">
            <w:pPr>
              <w:jc w:val="center"/>
              <w:textAlignment w:val="bottom"/>
            </w:pPr>
            <w:r>
              <w:rPr>
                <w:rFonts w:ascii="Arial" w:eastAsia="宋体" w:hAnsi="Arial" w:cs="Arial"/>
                <w:b/>
                <w:bCs/>
                <w:color w:val="000000"/>
                <w:sz w:val="13"/>
                <w:szCs w:val="13"/>
              </w:rPr>
              <w:t>Weighted-Average</w:t>
            </w:r>
          </w:p>
        </w:tc>
      </w:tr>
      <w:tr w:rsidR="00980E5F" w14:paraId="392C58D3" w14:textId="77777777">
        <w:trPr>
          <w:jc w:val="center"/>
        </w:trPr>
        <w:tc>
          <w:tcPr>
            <w:tcW w:w="0" w:type="auto"/>
            <w:gridSpan w:val="3"/>
            <w:shd w:val="clear" w:color="auto" w:fill="auto"/>
            <w:tcMar>
              <w:top w:w="40" w:type="dxa"/>
              <w:left w:w="20" w:type="dxa"/>
              <w:bottom w:w="40" w:type="dxa"/>
              <w:right w:w="20" w:type="dxa"/>
            </w:tcMar>
            <w:vAlign w:val="bottom"/>
          </w:tcPr>
          <w:p w14:paraId="392C58C5" w14:textId="77777777" w:rsidR="00980E5F" w:rsidRDefault="00483613">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8C6" w14:textId="77777777" w:rsidR="00980E5F" w:rsidRDefault="00483613">
            <w:pPr>
              <w:jc w:val="center"/>
              <w:textAlignment w:val="bottom"/>
            </w:pPr>
            <w:r>
              <w:rPr>
                <w:rFonts w:ascii="Arial" w:eastAsia="宋体" w:hAnsi="Arial" w:cs="Arial"/>
                <w:b/>
                <w:bCs/>
                <w:color w:val="000000"/>
                <w:sz w:val="12"/>
                <w:szCs w:val="12"/>
              </w:rPr>
              <w:t>As of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C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8C8" w14:textId="77777777" w:rsidR="00980E5F" w:rsidRDefault="00483613">
            <w:pPr>
              <w:jc w:val="center"/>
              <w:textAlignment w:val="bottom"/>
            </w:pPr>
            <w:r>
              <w:rPr>
                <w:rFonts w:ascii="Arial" w:eastAsia="宋体" w:hAnsi="Arial" w:cs="Arial"/>
                <w:b/>
                <w:bCs/>
                <w:color w:val="000000"/>
                <w:sz w:val="12"/>
                <w:szCs w:val="12"/>
              </w:rPr>
              <w:t>As of December 31, 2021</w:t>
            </w:r>
          </w:p>
        </w:tc>
        <w:tc>
          <w:tcPr>
            <w:tcW w:w="0" w:type="auto"/>
            <w:gridSpan w:val="3"/>
            <w:shd w:val="clear" w:color="auto" w:fill="auto"/>
            <w:tcMar>
              <w:top w:w="0" w:type="dxa"/>
              <w:left w:w="20" w:type="dxa"/>
              <w:bottom w:w="0" w:type="dxa"/>
              <w:right w:w="20" w:type="dxa"/>
            </w:tcMar>
            <w:vAlign w:val="bottom"/>
          </w:tcPr>
          <w:p w14:paraId="392C58C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8CA" w14:textId="77777777" w:rsidR="00980E5F" w:rsidRDefault="00483613">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vAlign w:val="bottom"/>
          </w:tcPr>
          <w:p w14:paraId="392C58C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8CC" w14:textId="77777777" w:rsidR="00980E5F" w:rsidRDefault="00483613">
            <w:pPr>
              <w:jc w:val="center"/>
              <w:textAlignment w:val="bottom"/>
            </w:pPr>
            <w:r>
              <w:rPr>
                <w:rFonts w:ascii="Arial" w:eastAsia="宋体" w:hAnsi="Arial" w:cs="Arial"/>
                <w:b/>
                <w:bCs/>
                <w:color w:val="000000"/>
                <w:sz w:val="12"/>
                <w:szCs w:val="12"/>
              </w:rPr>
              <w:t>Significant 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392C58CD"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8CE" w14:textId="77777777" w:rsidR="00980E5F" w:rsidRDefault="00483613">
            <w:pPr>
              <w:jc w:val="center"/>
              <w:textAlignment w:val="bottom"/>
            </w:pPr>
            <w:r>
              <w:rPr>
                <w:rFonts w:ascii="Arial" w:eastAsia="宋体" w:hAnsi="Arial" w:cs="Arial"/>
                <w:b/>
                <w:bCs/>
                <w:color w:val="000000"/>
                <w:sz w:val="12"/>
                <w:szCs w:val="12"/>
              </w:rPr>
              <w:t xml:space="preserve">As of </w:t>
            </w:r>
            <w:r>
              <w:rPr>
                <w:rFonts w:ascii="Arial" w:eastAsia="宋体" w:hAnsi="Arial" w:cs="Arial"/>
                <w:b/>
                <w:bCs/>
                <w:color w:val="000000"/>
                <w:sz w:val="12"/>
                <w:szCs w:val="12"/>
              </w:rPr>
              <w:t>June 30, 2022</w:t>
            </w:r>
          </w:p>
        </w:tc>
        <w:tc>
          <w:tcPr>
            <w:tcW w:w="0" w:type="auto"/>
            <w:gridSpan w:val="3"/>
            <w:shd w:val="clear" w:color="auto" w:fill="auto"/>
            <w:tcMar>
              <w:top w:w="0" w:type="dxa"/>
              <w:left w:w="20" w:type="dxa"/>
              <w:bottom w:w="0" w:type="dxa"/>
              <w:right w:w="20" w:type="dxa"/>
            </w:tcMar>
            <w:vAlign w:val="bottom"/>
          </w:tcPr>
          <w:p w14:paraId="392C58C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8D0" w14:textId="77777777" w:rsidR="00980E5F" w:rsidRDefault="00483613">
            <w:pPr>
              <w:jc w:val="center"/>
              <w:textAlignment w:val="bottom"/>
            </w:pPr>
            <w:r>
              <w:rPr>
                <w:rFonts w:ascii="Arial" w:eastAsia="宋体" w:hAnsi="Arial" w:cs="Arial"/>
                <w:b/>
                <w:bCs/>
                <w:color w:val="000000"/>
                <w:sz w:val="12"/>
                <w:szCs w:val="12"/>
              </w:rPr>
              <w:t>As of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8D2" w14:textId="77777777" w:rsidR="00980E5F" w:rsidRDefault="00483613">
            <w:pPr>
              <w:jc w:val="center"/>
              <w:textAlignment w:val="bottom"/>
            </w:pPr>
            <w:r>
              <w:rPr>
                <w:rFonts w:ascii="Arial" w:eastAsia="宋体" w:hAnsi="Arial" w:cs="Arial"/>
                <w:b/>
                <w:bCs/>
                <w:color w:val="000000"/>
                <w:sz w:val="12"/>
                <w:szCs w:val="12"/>
              </w:rPr>
              <w:t>As of December 31, 2021</w:t>
            </w:r>
          </w:p>
        </w:tc>
      </w:tr>
      <w:tr w:rsidR="00980E5F" w14:paraId="392C58E4" w14:textId="77777777">
        <w:trPr>
          <w:jc w:val="center"/>
        </w:trPr>
        <w:tc>
          <w:tcPr>
            <w:tcW w:w="0" w:type="auto"/>
            <w:gridSpan w:val="3"/>
            <w:shd w:val="clear" w:color="auto" w:fill="auto"/>
            <w:tcMar>
              <w:top w:w="40" w:type="dxa"/>
              <w:left w:w="20" w:type="dxa"/>
              <w:bottom w:w="40" w:type="dxa"/>
              <w:right w:w="20" w:type="dxa"/>
            </w:tcMar>
            <w:vAlign w:val="bottom"/>
          </w:tcPr>
          <w:p w14:paraId="392C58D4" w14:textId="77777777" w:rsidR="00980E5F" w:rsidRDefault="00483613">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D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8D7" w14:textId="77777777" w:rsidR="00980E5F" w:rsidRDefault="00483613">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8D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D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D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E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8E3" w14:textId="77777777" w:rsidR="00980E5F" w:rsidRDefault="00980E5F">
            <w:pPr>
              <w:rPr>
                <w:rFonts w:ascii="宋体"/>
              </w:rPr>
            </w:pPr>
          </w:p>
        </w:tc>
      </w:tr>
      <w:tr w:rsidR="00980E5F" w14:paraId="392C58F5" w14:textId="77777777">
        <w:trPr>
          <w:jc w:val="center"/>
        </w:trPr>
        <w:tc>
          <w:tcPr>
            <w:tcW w:w="0" w:type="auto"/>
            <w:gridSpan w:val="3"/>
            <w:shd w:val="clear" w:color="auto" w:fill="auto"/>
            <w:tcMar>
              <w:top w:w="40" w:type="dxa"/>
              <w:left w:w="20" w:type="dxa"/>
              <w:bottom w:w="40" w:type="dxa"/>
              <w:right w:w="20" w:type="dxa"/>
            </w:tcMar>
            <w:vAlign w:val="bottom"/>
          </w:tcPr>
          <w:p w14:paraId="392C58E5" w14:textId="77777777" w:rsidR="00980E5F" w:rsidRDefault="00483613">
            <w:pPr>
              <w:textAlignment w:val="bottom"/>
            </w:pPr>
            <w:r>
              <w:rPr>
                <w:rFonts w:ascii="Arial" w:eastAsia="宋体" w:hAnsi="Arial" w:cs="Arial"/>
                <w:b/>
                <w:bCs/>
                <w:color w:val="000000"/>
                <w:sz w:val="13"/>
                <w:szCs w:val="13"/>
              </w:rPr>
              <w:t>Asse</w:t>
            </w:r>
            <w:r>
              <w:rPr>
                <w:rFonts w:ascii="Arial" w:eastAsia="宋体" w:hAnsi="Arial" w:cs="Arial"/>
                <w:b/>
                <w:bCs/>
                <w:color w:val="000000"/>
                <w:sz w:val="13"/>
                <w:szCs w:val="13"/>
              </w:rPr>
              <w:t>ts:</w:t>
            </w:r>
          </w:p>
        </w:tc>
        <w:tc>
          <w:tcPr>
            <w:tcW w:w="0" w:type="auto"/>
            <w:gridSpan w:val="3"/>
            <w:shd w:val="clear" w:color="auto" w:fill="auto"/>
            <w:tcMar>
              <w:top w:w="0" w:type="dxa"/>
              <w:left w:w="20" w:type="dxa"/>
              <w:bottom w:w="0" w:type="dxa"/>
              <w:right w:w="20" w:type="dxa"/>
            </w:tcMar>
            <w:vAlign w:val="bottom"/>
          </w:tcPr>
          <w:p w14:paraId="392C58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E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F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F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F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F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8F4" w14:textId="77777777" w:rsidR="00980E5F" w:rsidRDefault="00980E5F">
            <w:pPr>
              <w:rPr>
                <w:rFonts w:ascii="宋体"/>
              </w:rPr>
            </w:pPr>
          </w:p>
        </w:tc>
      </w:tr>
      <w:tr w:rsidR="00980E5F" w14:paraId="392C590D" w14:textId="77777777">
        <w:trPr>
          <w:jc w:val="center"/>
        </w:trPr>
        <w:tc>
          <w:tcPr>
            <w:tcW w:w="0" w:type="auto"/>
            <w:gridSpan w:val="3"/>
            <w:shd w:val="clear" w:color="auto" w:fill="CCEEFF"/>
            <w:tcMar>
              <w:top w:w="40" w:type="dxa"/>
              <w:left w:w="20" w:type="dxa"/>
              <w:bottom w:w="40" w:type="dxa"/>
              <w:right w:w="20" w:type="dxa"/>
            </w:tcMar>
            <w:vAlign w:val="bottom"/>
          </w:tcPr>
          <w:p w14:paraId="392C58F6" w14:textId="77777777" w:rsidR="00980E5F" w:rsidRDefault="00483613">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392C58F7"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8F8"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8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8F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8FB"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8FC"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8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8FE"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58FF" w14:textId="77777777" w:rsidR="00980E5F" w:rsidRDefault="00483613">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392C5900"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5901" w14:textId="77777777" w:rsidR="00980E5F" w:rsidRDefault="00483613">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392C590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03" w14:textId="77777777" w:rsidR="00980E5F" w:rsidRDefault="00483613">
            <w:pPr>
              <w:jc w:val="right"/>
              <w:textAlignment w:val="bottom"/>
            </w:pPr>
            <w:r>
              <w:rPr>
                <w:rFonts w:ascii="Arial" w:eastAsia="宋体" w:hAnsi="Arial" w:cs="Arial"/>
                <w:b/>
                <w:bCs/>
                <w:color w:val="000000"/>
                <w:sz w:val="13"/>
                <w:szCs w:val="13"/>
              </w:rPr>
              <w:t>5.4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04" w14:textId="77777777" w:rsidR="00980E5F" w:rsidRDefault="00483613">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392C5905" w14:textId="77777777" w:rsidR="00980E5F" w:rsidRDefault="00483613">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392C5906" w14:textId="77777777" w:rsidR="00980E5F" w:rsidRDefault="00483613">
            <w:pPr>
              <w:textAlignment w:val="bottom"/>
            </w:pPr>
            <w:r>
              <w:rPr>
                <w:rFonts w:ascii="Arial" w:eastAsia="宋体" w:hAnsi="Arial" w:cs="Arial"/>
                <w:b/>
                <w:bCs/>
                <w:color w:val="000000"/>
                <w:sz w:val="13"/>
                <w:szCs w:val="13"/>
              </w:rPr>
              <w:t>19.8%</w:t>
            </w:r>
          </w:p>
        </w:tc>
        <w:tc>
          <w:tcPr>
            <w:tcW w:w="0" w:type="auto"/>
            <w:gridSpan w:val="3"/>
            <w:shd w:val="clear" w:color="auto" w:fill="CCEEFF"/>
            <w:tcMar>
              <w:top w:w="0" w:type="dxa"/>
              <w:left w:w="20" w:type="dxa"/>
              <w:bottom w:w="0" w:type="dxa"/>
              <w:right w:w="20" w:type="dxa"/>
            </w:tcMar>
            <w:vAlign w:val="bottom"/>
          </w:tcPr>
          <w:p w14:paraId="392C59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08" w14:textId="77777777" w:rsidR="00980E5F" w:rsidRDefault="00483613">
            <w:pPr>
              <w:jc w:val="right"/>
              <w:textAlignment w:val="bottom"/>
            </w:pPr>
            <w:r>
              <w:rPr>
                <w:rFonts w:ascii="Arial" w:eastAsia="宋体" w:hAnsi="Arial" w:cs="Arial"/>
                <w:b/>
                <w:bCs/>
                <w:color w:val="000000"/>
                <w:sz w:val="13"/>
                <w:szCs w:val="13"/>
              </w:rPr>
              <w:t>11.9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09" w14:textId="77777777" w:rsidR="00980E5F" w:rsidRDefault="00483613">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392C59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0B" w14:textId="77777777" w:rsidR="00980E5F" w:rsidRDefault="00483613">
            <w:pPr>
              <w:jc w:val="right"/>
              <w:textAlignment w:val="bottom"/>
            </w:pPr>
            <w:r>
              <w:rPr>
                <w:rFonts w:ascii="Arial" w:eastAsia="宋体" w:hAnsi="Arial" w:cs="Arial"/>
                <w:color w:val="000000"/>
                <w:sz w:val="13"/>
                <w:szCs w:val="13"/>
              </w:rPr>
              <w:t>15.2 </w:t>
            </w:r>
          </w:p>
        </w:tc>
        <w:tc>
          <w:tcPr>
            <w:tcW w:w="0" w:type="auto"/>
            <w:shd w:val="clear" w:color="auto" w:fill="CCEEFF"/>
            <w:tcMar>
              <w:top w:w="40" w:type="dxa"/>
              <w:left w:w="0" w:type="dxa"/>
              <w:bottom w:w="40" w:type="dxa"/>
              <w:right w:w="20" w:type="dxa"/>
            </w:tcMar>
            <w:vAlign w:val="bottom"/>
          </w:tcPr>
          <w:p w14:paraId="392C590C" w14:textId="77777777" w:rsidR="00980E5F" w:rsidRDefault="00483613">
            <w:pPr>
              <w:jc w:val="right"/>
              <w:textAlignment w:val="bottom"/>
            </w:pPr>
            <w:r>
              <w:rPr>
                <w:rFonts w:ascii="Arial" w:eastAsia="宋体" w:hAnsi="Arial" w:cs="Arial"/>
                <w:color w:val="000000"/>
                <w:sz w:val="13"/>
                <w:szCs w:val="13"/>
              </w:rPr>
              <w:t>%</w:t>
            </w:r>
          </w:p>
        </w:tc>
      </w:tr>
      <w:tr w:rsidR="00980E5F" w14:paraId="392C5922" w14:textId="77777777">
        <w:trPr>
          <w:jc w:val="center"/>
        </w:trPr>
        <w:tc>
          <w:tcPr>
            <w:tcW w:w="0" w:type="auto"/>
            <w:gridSpan w:val="3"/>
            <w:shd w:val="clear" w:color="auto" w:fill="FFFFFF"/>
            <w:tcMar>
              <w:top w:w="40" w:type="dxa"/>
              <w:left w:w="155" w:type="dxa"/>
              <w:bottom w:w="40" w:type="dxa"/>
              <w:right w:w="20" w:type="dxa"/>
            </w:tcMar>
            <w:vAlign w:val="bottom"/>
          </w:tcPr>
          <w:p w14:paraId="392C590E"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590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910"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9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1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91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914" w14:textId="77777777" w:rsidR="00980E5F" w:rsidRDefault="00483613">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9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1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921" w14:textId="77777777" w:rsidR="00980E5F" w:rsidRDefault="00980E5F">
            <w:pPr>
              <w:rPr>
                <w:rFonts w:ascii="宋体"/>
              </w:rPr>
            </w:pPr>
          </w:p>
        </w:tc>
      </w:tr>
      <w:tr w:rsidR="00980E5F" w14:paraId="392C5933" w14:textId="77777777">
        <w:trPr>
          <w:jc w:val="center"/>
        </w:trPr>
        <w:tc>
          <w:tcPr>
            <w:tcW w:w="0" w:type="auto"/>
            <w:gridSpan w:val="3"/>
            <w:shd w:val="clear" w:color="auto" w:fill="CCEEFF"/>
            <w:tcMar>
              <w:top w:w="40" w:type="dxa"/>
              <w:left w:w="20" w:type="dxa"/>
              <w:bottom w:w="40" w:type="dxa"/>
              <w:right w:w="20" w:type="dxa"/>
            </w:tcMar>
            <w:vAlign w:val="bottom"/>
          </w:tcPr>
          <w:p w14:paraId="392C5923" w14:textId="77777777" w:rsidR="00980E5F" w:rsidRDefault="00483613">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92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5"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92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3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32" w14:textId="77777777" w:rsidR="00980E5F" w:rsidRDefault="00980E5F">
            <w:pPr>
              <w:rPr>
                <w:rFonts w:ascii="宋体"/>
              </w:rPr>
            </w:pPr>
          </w:p>
        </w:tc>
      </w:tr>
      <w:tr w:rsidR="00980E5F" w14:paraId="392C594B" w14:textId="77777777">
        <w:trPr>
          <w:jc w:val="center"/>
        </w:trPr>
        <w:tc>
          <w:tcPr>
            <w:tcW w:w="0" w:type="auto"/>
            <w:gridSpan w:val="3"/>
            <w:shd w:val="clear" w:color="auto" w:fill="FFFFFF"/>
            <w:tcMar>
              <w:top w:w="40" w:type="dxa"/>
              <w:left w:w="20" w:type="dxa"/>
              <w:bottom w:w="40" w:type="dxa"/>
              <w:right w:w="20" w:type="dxa"/>
            </w:tcMar>
            <w:vAlign w:val="bottom"/>
          </w:tcPr>
          <w:p w14:paraId="392C5934" w14:textId="77777777" w:rsidR="00980E5F" w:rsidRDefault="00483613">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392C593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392C5936"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392C59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3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5939" w14:textId="77777777" w:rsidR="00980E5F" w:rsidRDefault="00483613">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392C593A"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3C"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593D" w14:textId="77777777" w:rsidR="00980E5F" w:rsidRDefault="00483613">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392C593E"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593F" w14:textId="77777777" w:rsidR="00980E5F" w:rsidRDefault="00483613">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392C594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41" w14:textId="77777777" w:rsidR="00980E5F" w:rsidRDefault="00483613">
            <w:pPr>
              <w:jc w:val="right"/>
              <w:textAlignment w:val="bottom"/>
            </w:pPr>
            <w:r>
              <w:rPr>
                <w:rFonts w:ascii="Arial" w:eastAsia="宋体" w:hAnsi="Arial" w:cs="Arial"/>
                <w:b/>
                <w:bCs/>
                <w:color w:val="000000"/>
                <w:sz w:val="13"/>
                <w:szCs w:val="13"/>
              </w:rPr>
              <w:t>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42" w14:textId="77777777" w:rsidR="00980E5F" w:rsidRDefault="00483613">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392C5943" w14:textId="77777777" w:rsidR="00980E5F" w:rsidRDefault="00483613">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392C5944" w14:textId="77777777" w:rsidR="00980E5F" w:rsidRDefault="00483613">
            <w:pPr>
              <w:textAlignment w:val="bottom"/>
            </w:pPr>
            <w:r>
              <w:rPr>
                <w:rFonts w:ascii="Arial" w:eastAsia="宋体" w:hAnsi="Arial" w:cs="Arial"/>
                <w:b/>
                <w:bCs/>
                <w:color w:val="000000"/>
                <w:sz w:val="13"/>
                <w:szCs w:val="13"/>
              </w:rPr>
              <w:t>19.7%</w:t>
            </w:r>
          </w:p>
        </w:tc>
        <w:tc>
          <w:tcPr>
            <w:tcW w:w="0" w:type="auto"/>
            <w:gridSpan w:val="3"/>
            <w:shd w:val="clear" w:color="auto" w:fill="FFFFFF"/>
            <w:tcMar>
              <w:top w:w="0" w:type="dxa"/>
              <w:left w:w="20" w:type="dxa"/>
              <w:bottom w:w="0" w:type="dxa"/>
              <w:right w:w="20" w:type="dxa"/>
            </w:tcMar>
            <w:vAlign w:val="bottom"/>
          </w:tcPr>
          <w:p w14:paraId="392C59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46" w14:textId="77777777" w:rsidR="00980E5F" w:rsidRDefault="00483613">
            <w:pPr>
              <w:jc w:val="right"/>
              <w:textAlignment w:val="bottom"/>
            </w:pPr>
            <w:r>
              <w:rPr>
                <w:rFonts w:ascii="Arial" w:eastAsia="宋体" w:hAnsi="Arial" w:cs="Arial"/>
                <w:b/>
                <w:bCs/>
                <w:color w:val="000000"/>
                <w:sz w:val="13"/>
                <w:szCs w:val="13"/>
              </w:rPr>
              <w:t>11.9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47" w14:textId="77777777" w:rsidR="00980E5F" w:rsidRDefault="00483613">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392C59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49" w14:textId="77777777" w:rsidR="00980E5F" w:rsidRDefault="00483613">
            <w:pPr>
              <w:jc w:val="right"/>
              <w:textAlignment w:val="bottom"/>
            </w:pPr>
            <w:r>
              <w:rPr>
                <w:rFonts w:ascii="Arial" w:eastAsia="宋体" w:hAnsi="Arial" w:cs="Arial"/>
                <w:color w:val="000000"/>
                <w:sz w:val="13"/>
                <w:szCs w:val="13"/>
              </w:rPr>
              <w:t>14.7 </w:t>
            </w:r>
          </w:p>
        </w:tc>
        <w:tc>
          <w:tcPr>
            <w:tcW w:w="0" w:type="auto"/>
            <w:shd w:val="clear" w:color="auto" w:fill="FFFFFF"/>
            <w:tcMar>
              <w:top w:w="40" w:type="dxa"/>
              <w:left w:w="0" w:type="dxa"/>
              <w:bottom w:w="40" w:type="dxa"/>
              <w:right w:w="20" w:type="dxa"/>
            </w:tcMar>
            <w:vAlign w:val="bottom"/>
          </w:tcPr>
          <w:p w14:paraId="392C594A" w14:textId="77777777" w:rsidR="00980E5F" w:rsidRDefault="00483613">
            <w:pPr>
              <w:jc w:val="right"/>
              <w:textAlignment w:val="bottom"/>
            </w:pPr>
            <w:r>
              <w:rPr>
                <w:rFonts w:ascii="Arial" w:eastAsia="宋体" w:hAnsi="Arial" w:cs="Arial"/>
                <w:color w:val="000000"/>
                <w:sz w:val="13"/>
                <w:szCs w:val="13"/>
              </w:rPr>
              <w:t>%</w:t>
            </w:r>
          </w:p>
        </w:tc>
      </w:tr>
      <w:tr w:rsidR="00980E5F" w14:paraId="392C5960" w14:textId="77777777">
        <w:trPr>
          <w:jc w:val="center"/>
        </w:trPr>
        <w:tc>
          <w:tcPr>
            <w:tcW w:w="0" w:type="auto"/>
            <w:gridSpan w:val="3"/>
            <w:shd w:val="clear" w:color="auto" w:fill="CCEEFF"/>
            <w:tcMar>
              <w:top w:w="40" w:type="dxa"/>
              <w:left w:w="155" w:type="dxa"/>
              <w:bottom w:w="40" w:type="dxa"/>
              <w:right w:w="20" w:type="dxa"/>
            </w:tcMar>
            <w:vAlign w:val="bottom"/>
          </w:tcPr>
          <w:p w14:paraId="392C594C"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594D"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594E"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59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5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595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5952" w14:textId="77777777" w:rsidR="00980E5F" w:rsidRDefault="00483613">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595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5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95F" w14:textId="77777777" w:rsidR="00980E5F" w:rsidRDefault="00980E5F">
            <w:pPr>
              <w:rPr>
                <w:rFonts w:ascii="宋体"/>
              </w:rPr>
            </w:pPr>
          </w:p>
        </w:tc>
      </w:tr>
    </w:tbl>
    <w:p w14:paraId="392C5961" w14:textId="77777777" w:rsidR="00980E5F" w:rsidRDefault="00980E5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980E5F" w14:paraId="392C596E" w14:textId="77777777">
        <w:trPr>
          <w:jc w:val="center"/>
        </w:trPr>
        <w:tc>
          <w:tcPr>
            <w:tcW w:w="50" w:type="pct"/>
            <w:shd w:val="clear" w:color="auto" w:fill="auto"/>
            <w:vAlign w:val="bottom"/>
          </w:tcPr>
          <w:p w14:paraId="392C5962" w14:textId="77777777" w:rsidR="00980E5F" w:rsidRDefault="00980E5F">
            <w:pPr>
              <w:rPr>
                <w:rFonts w:ascii="宋体"/>
              </w:rPr>
            </w:pPr>
          </w:p>
        </w:tc>
        <w:tc>
          <w:tcPr>
            <w:tcW w:w="1348" w:type="pct"/>
            <w:shd w:val="clear" w:color="auto" w:fill="auto"/>
            <w:vAlign w:val="bottom"/>
          </w:tcPr>
          <w:p w14:paraId="392C5963" w14:textId="77777777" w:rsidR="00980E5F" w:rsidRDefault="00980E5F">
            <w:pPr>
              <w:rPr>
                <w:rFonts w:ascii="宋体"/>
              </w:rPr>
            </w:pPr>
          </w:p>
        </w:tc>
        <w:tc>
          <w:tcPr>
            <w:tcW w:w="5" w:type="pct"/>
            <w:shd w:val="clear" w:color="auto" w:fill="auto"/>
            <w:vAlign w:val="bottom"/>
          </w:tcPr>
          <w:p w14:paraId="392C5964" w14:textId="77777777" w:rsidR="00980E5F" w:rsidRDefault="00980E5F">
            <w:pPr>
              <w:rPr>
                <w:rFonts w:ascii="宋体"/>
              </w:rPr>
            </w:pPr>
          </w:p>
        </w:tc>
        <w:tc>
          <w:tcPr>
            <w:tcW w:w="50" w:type="pct"/>
            <w:shd w:val="clear" w:color="auto" w:fill="auto"/>
            <w:vAlign w:val="bottom"/>
          </w:tcPr>
          <w:p w14:paraId="392C5965" w14:textId="77777777" w:rsidR="00980E5F" w:rsidRDefault="00980E5F">
            <w:pPr>
              <w:rPr>
                <w:rFonts w:ascii="宋体"/>
              </w:rPr>
            </w:pPr>
          </w:p>
        </w:tc>
        <w:tc>
          <w:tcPr>
            <w:tcW w:w="668" w:type="pct"/>
            <w:shd w:val="clear" w:color="auto" w:fill="auto"/>
            <w:vAlign w:val="bottom"/>
          </w:tcPr>
          <w:p w14:paraId="392C5966" w14:textId="77777777" w:rsidR="00980E5F" w:rsidRDefault="00980E5F">
            <w:pPr>
              <w:rPr>
                <w:rFonts w:ascii="宋体"/>
              </w:rPr>
            </w:pPr>
          </w:p>
        </w:tc>
        <w:tc>
          <w:tcPr>
            <w:tcW w:w="5" w:type="pct"/>
            <w:shd w:val="clear" w:color="auto" w:fill="auto"/>
            <w:vAlign w:val="bottom"/>
          </w:tcPr>
          <w:p w14:paraId="392C5967" w14:textId="77777777" w:rsidR="00980E5F" w:rsidRDefault="00980E5F">
            <w:pPr>
              <w:rPr>
                <w:rFonts w:ascii="宋体"/>
              </w:rPr>
            </w:pPr>
          </w:p>
        </w:tc>
        <w:tc>
          <w:tcPr>
            <w:tcW w:w="50" w:type="pct"/>
            <w:shd w:val="clear" w:color="auto" w:fill="auto"/>
            <w:vAlign w:val="bottom"/>
          </w:tcPr>
          <w:p w14:paraId="392C5968" w14:textId="77777777" w:rsidR="00980E5F" w:rsidRDefault="00980E5F">
            <w:pPr>
              <w:rPr>
                <w:rFonts w:ascii="宋体"/>
              </w:rPr>
            </w:pPr>
          </w:p>
        </w:tc>
        <w:tc>
          <w:tcPr>
            <w:tcW w:w="909" w:type="pct"/>
            <w:shd w:val="clear" w:color="auto" w:fill="auto"/>
            <w:vAlign w:val="bottom"/>
          </w:tcPr>
          <w:p w14:paraId="392C5969" w14:textId="77777777" w:rsidR="00980E5F" w:rsidRDefault="00980E5F">
            <w:pPr>
              <w:rPr>
                <w:rFonts w:ascii="宋体"/>
              </w:rPr>
            </w:pPr>
          </w:p>
        </w:tc>
        <w:tc>
          <w:tcPr>
            <w:tcW w:w="5" w:type="pct"/>
            <w:shd w:val="clear" w:color="auto" w:fill="auto"/>
            <w:vAlign w:val="bottom"/>
          </w:tcPr>
          <w:p w14:paraId="392C596A" w14:textId="77777777" w:rsidR="00980E5F" w:rsidRDefault="00980E5F">
            <w:pPr>
              <w:rPr>
                <w:rFonts w:ascii="宋体"/>
              </w:rPr>
            </w:pPr>
          </w:p>
        </w:tc>
        <w:tc>
          <w:tcPr>
            <w:tcW w:w="50" w:type="pct"/>
            <w:shd w:val="clear" w:color="auto" w:fill="auto"/>
            <w:vAlign w:val="bottom"/>
          </w:tcPr>
          <w:p w14:paraId="392C596B" w14:textId="77777777" w:rsidR="00980E5F" w:rsidRDefault="00980E5F">
            <w:pPr>
              <w:rPr>
                <w:rFonts w:ascii="宋体"/>
              </w:rPr>
            </w:pPr>
          </w:p>
        </w:tc>
        <w:tc>
          <w:tcPr>
            <w:tcW w:w="1852" w:type="pct"/>
            <w:shd w:val="clear" w:color="auto" w:fill="auto"/>
            <w:vAlign w:val="bottom"/>
          </w:tcPr>
          <w:p w14:paraId="392C596C" w14:textId="77777777" w:rsidR="00980E5F" w:rsidRDefault="00980E5F">
            <w:pPr>
              <w:rPr>
                <w:rFonts w:ascii="宋体"/>
              </w:rPr>
            </w:pPr>
          </w:p>
        </w:tc>
        <w:tc>
          <w:tcPr>
            <w:tcW w:w="5" w:type="pct"/>
            <w:shd w:val="clear" w:color="auto" w:fill="auto"/>
            <w:vAlign w:val="bottom"/>
          </w:tcPr>
          <w:p w14:paraId="392C596D" w14:textId="77777777" w:rsidR="00980E5F" w:rsidRDefault="00980E5F">
            <w:pPr>
              <w:rPr>
                <w:rFonts w:ascii="宋体"/>
              </w:rPr>
            </w:pPr>
          </w:p>
        </w:tc>
      </w:tr>
      <w:tr w:rsidR="00980E5F" w14:paraId="392C597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596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7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7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72" w14:textId="77777777" w:rsidR="00980E5F" w:rsidRDefault="00980E5F">
            <w:pPr>
              <w:rPr>
                <w:rFonts w:ascii="宋体"/>
              </w:rPr>
            </w:pPr>
          </w:p>
        </w:tc>
      </w:tr>
    </w:tbl>
    <w:p w14:paraId="392C5974" w14:textId="77777777" w:rsidR="00980E5F" w:rsidRDefault="00483613">
      <w:pPr>
        <w:spacing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392C5975" w14:textId="77777777" w:rsidR="00980E5F" w:rsidRDefault="00483613">
      <w:pPr>
        <w:spacing w:before="60"/>
      </w:pPr>
      <w:r>
        <w:rPr>
          <w:rFonts w:ascii="Arial" w:eastAsia="宋体" w:hAnsi="Arial" w:cs="Arial"/>
          <w:b/>
          <w:bCs/>
          <w:i/>
          <w:iCs/>
          <w:color w:val="000000"/>
          <w:sz w:val="20"/>
          <w:szCs w:val="20"/>
        </w:rPr>
        <w:t xml:space="preserve">Fair Value </w:t>
      </w:r>
      <w:r>
        <w:rPr>
          <w:rFonts w:ascii="Arial" w:eastAsia="宋体" w:hAnsi="Arial" w:cs="Arial"/>
          <w:b/>
          <w:bCs/>
          <w:i/>
          <w:iCs/>
          <w:color w:val="000000"/>
          <w:sz w:val="20"/>
          <w:szCs w:val="20"/>
        </w:rPr>
        <w:t>Estimates</w:t>
      </w:r>
    </w:p>
    <w:p w14:paraId="392C5976" w14:textId="77777777" w:rsidR="00980E5F" w:rsidRDefault="00483613">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w:t>
      </w:r>
      <w:r>
        <w:rPr>
          <w:rFonts w:ascii="Arial" w:eastAsia="宋体" w:hAnsi="Arial" w:cs="Arial"/>
          <w:color w:val="000000"/>
          <w:sz w:val="20"/>
          <w:szCs w:val="20"/>
        </w:rPr>
        <w:t xml:space="preserve">cial instruments and relevant market information. </w:t>
      </w:r>
    </w:p>
    <w:p w14:paraId="392C5977" w14:textId="77777777" w:rsidR="00980E5F" w:rsidRDefault="00483613">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w:t>
      </w:r>
      <w:r>
        <w:rPr>
          <w:rFonts w:ascii="Arial" w:eastAsia="宋体" w:hAnsi="Arial" w:cs="Arial"/>
          <w:color w:val="000000"/>
          <w:sz w:val="20"/>
          <w:szCs w:val="20"/>
        </w:rPr>
        <w:t>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253"/>
        <w:gridCol w:w="38"/>
        <w:gridCol w:w="94"/>
        <w:gridCol w:w="738"/>
        <w:gridCol w:w="36"/>
        <w:gridCol w:w="36"/>
        <w:gridCol w:w="36"/>
        <w:gridCol w:w="36"/>
        <w:gridCol w:w="94"/>
        <w:gridCol w:w="674"/>
        <w:gridCol w:w="36"/>
        <w:gridCol w:w="36"/>
        <w:gridCol w:w="36"/>
        <w:gridCol w:w="36"/>
        <w:gridCol w:w="94"/>
        <w:gridCol w:w="1066"/>
        <w:gridCol w:w="36"/>
        <w:gridCol w:w="36"/>
        <w:gridCol w:w="36"/>
        <w:gridCol w:w="36"/>
        <w:gridCol w:w="94"/>
        <w:gridCol w:w="1178"/>
        <w:gridCol w:w="36"/>
        <w:gridCol w:w="36"/>
        <w:gridCol w:w="36"/>
        <w:gridCol w:w="36"/>
        <w:gridCol w:w="94"/>
        <w:gridCol w:w="1261"/>
        <w:gridCol w:w="36"/>
      </w:tblGrid>
      <w:tr w:rsidR="00980E5F" w14:paraId="392C5996" w14:textId="77777777">
        <w:tc>
          <w:tcPr>
            <w:tcW w:w="50" w:type="pct"/>
            <w:shd w:val="clear" w:color="auto" w:fill="auto"/>
            <w:vAlign w:val="bottom"/>
          </w:tcPr>
          <w:p w14:paraId="392C5978" w14:textId="77777777" w:rsidR="00980E5F" w:rsidRDefault="00980E5F">
            <w:pPr>
              <w:rPr>
                <w:rFonts w:ascii="宋体"/>
              </w:rPr>
            </w:pPr>
          </w:p>
        </w:tc>
        <w:tc>
          <w:tcPr>
            <w:tcW w:w="1399" w:type="pct"/>
            <w:shd w:val="clear" w:color="auto" w:fill="auto"/>
            <w:vAlign w:val="bottom"/>
          </w:tcPr>
          <w:p w14:paraId="392C5979" w14:textId="77777777" w:rsidR="00980E5F" w:rsidRDefault="00980E5F">
            <w:pPr>
              <w:rPr>
                <w:rFonts w:ascii="宋体"/>
              </w:rPr>
            </w:pPr>
          </w:p>
        </w:tc>
        <w:tc>
          <w:tcPr>
            <w:tcW w:w="5" w:type="pct"/>
            <w:shd w:val="clear" w:color="auto" w:fill="auto"/>
            <w:vAlign w:val="bottom"/>
          </w:tcPr>
          <w:p w14:paraId="392C597A" w14:textId="77777777" w:rsidR="00980E5F" w:rsidRDefault="00980E5F">
            <w:pPr>
              <w:rPr>
                <w:rFonts w:ascii="宋体"/>
              </w:rPr>
            </w:pPr>
          </w:p>
        </w:tc>
        <w:tc>
          <w:tcPr>
            <w:tcW w:w="50" w:type="pct"/>
            <w:shd w:val="clear" w:color="auto" w:fill="auto"/>
            <w:vAlign w:val="bottom"/>
          </w:tcPr>
          <w:p w14:paraId="392C597B" w14:textId="77777777" w:rsidR="00980E5F" w:rsidRDefault="00980E5F">
            <w:pPr>
              <w:rPr>
                <w:rFonts w:ascii="宋体"/>
              </w:rPr>
            </w:pPr>
          </w:p>
        </w:tc>
        <w:tc>
          <w:tcPr>
            <w:tcW w:w="478" w:type="pct"/>
            <w:shd w:val="clear" w:color="auto" w:fill="auto"/>
            <w:vAlign w:val="bottom"/>
          </w:tcPr>
          <w:p w14:paraId="392C597C" w14:textId="77777777" w:rsidR="00980E5F" w:rsidRDefault="00980E5F">
            <w:pPr>
              <w:rPr>
                <w:rFonts w:ascii="宋体"/>
              </w:rPr>
            </w:pPr>
          </w:p>
        </w:tc>
        <w:tc>
          <w:tcPr>
            <w:tcW w:w="5" w:type="pct"/>
            <w:shd w:val="clear" w:color="auto" w:fill="auto"/>
            <w:vAlign w:val="bottom"/>
          </w:tcPr>
          <w:p w14:paraId="392C597D" w14:textId="77777777" w:rsidR="00980E5F" w:rsidRDefault="00980E5F">
            <w:pPr>
              <w:rPr>
                <w:rFonts w:ascii="宋体"/>
              </w:rPr>
            </w:pPr>
          </w:p>
        </w:tc>
        <w:tc>
          <w:tcPr>
            <w:tcW w:w="5" w:type="pct"/>
            <w:shd w:val="clear" w:color="auto" w:fill="auto"/>
            <w:vAlign w:val="bottom"/>
          </w:tcPr>
          <w:p w14:paraId="392C597E" w14:textId="77777777" w:rsidR="00980E5F" w:rsidRDefault="00980E5F">
            <w:pPr>
              <w:rPr>
                <w:rFonts w:ascii="宋体"/>
              </w:rPr>
            </w:pPr>
          </w:p>
        </w:tc>
        <w:tc>
          <w:tcPr>
            <w:tcW w:w="26" w:type="pct"/>
            <w:shd w:val="clear" w:color="auto" w:fill="auto"/>
            <w:vAlign w:val="bottom"/>
          </w:tcPr>
          <w:p w14:paraId="392C597F" w14:textId="77777777" w:rsidR="00980E5F" w:rsidRDefault="00980E5F">
            <w:pPr>
              <w:rPr>
                <w:rFonts w:ascii="宋体"/>
              </w:rPr>
            </w:pPr>
          </w:p>
        </w:tc>
        <w:tc>
          <w:tcPr>
            <w:tcW w:w="5" w:type="pct"/>
            <w:shd w:val="clear" w:color="auto" w:fill="auto"/>
            <w:vAlign w:val="bottom"/>
          </w:tcPr>
          <w:p w14:paraId="392C5980" w14:textId="77777777" w:rsidR="00980E5F" w:rsidRDefault="00980E5F">
            <w:pPr>
              <w:rPr>
                <w:rFonts w:ascii="宋体"/>
              </w:rPr>
            </w:pPr>
          </w:p>
        </w:tc>
        <w:tc>
          <w:tcPr>
            <w:tcW w:w="50" w:type="pct"/>
            <w:shd w:val="clear" w:color="auto" w:fill="auto"/>
            <w:vAlign w:val="bottom"/>
          </w:tcPr>
          <w:p w14:paraId="392C5981" w14:textId="77777777" w:rsidR="00980E5F" w:rsidRDefault="00980E5F">
            <w:pPr>
              <w:rPr>
                <w:rFonts w:ascii="宋体"/>
              </w:rPr>
            </w:pPr>
          </w:p>
        </w:tc>
        <w:tc>
          <w:tcPr>
            <w:tcW w:w="471" w:type="pct"/>
            <w:shd w:val="clear" w:color="auto" w:fill="auto"/>
            <w:vAlign w:val="bottom"/>
          </w:tcPr>
          <w:p w14:paraId="392C5982" w14:textId="77777777" w:rsidR="00980E5F" w:rsidRDefault="00980E5F">
            <w:pPr>
              <w:rPr>
                <w:rFonts w:ascii="宋体"/>
              </w:rPr>
            </w:pPr>
          </w:p>
        </w:tc>
        <w:tc>
          <w:tcPr>
            <w:tcW w:w="5" w:type="pct"/>
            <w:shd w:val="clear" w:color="auto" w:fill="auto"/>
            <w:vAlign w:val="bottom"/>
          </w:tcPr>
          <w:p w14:paraId="392C5983" w14:textId="77777777" w:rsidR="00980E5F" w:rsidRDefault="00980E5F">
            <w:pPr>
              <w:rPr>
                <w:rFonts w:ascii="宋体"/>
              </w:rPr>
            </w:pPr>
          </w:p>
        </w:tc>
        <w:tc>
          <w:tcPr>
            <w:tcW w:w="5" w:type="pct"/>
            <w:shd w:val="clear" w:color="auto" w:fill="auto"/>
            <w:vAlign w:val="bottom"/>
          </w:tcPr>
          <w:p w14:paraId="392C5984" w14:textId="77777777" w:rsidR="00980E5F" w:rsidRDefault="00980E5F">
            <w:pPr>
              <w:rPr>
                <w:rFonts w:ascii="宋体"/>
              </w:rPr>
            </w:pPr>
          </w:p>
        </w:tc>
        <w:tc>
          <w:tcPr>
            <w:tcW w:w="26" w:type="pct"/>
            <w:shd w:val="clear" w:color="auto" w:fill="auto"/>
            <w:vAlign w:val="bottom"/>
          </w:tcPr>
          <w:p w14:paraId="392C5985" w14:textId="77777777" w:rsidR="00980E5F" w:rsidRDefault="00980E5F">
            <w:pPr>
              <w:rPr>
                <w:rFonts w:ascii="宋体"/>
              </w:rPr>
            </w:pPr>
          </w:p>
        </w:tc>
        <w:tc>
          <w:tcPr>
            <w:tcW w:w="5" w:type="pct"/>
            <w:shd w:val="clear" w:color="auto" w:fill="auto"/>
            <w:vAlign w:val="bottom"/>
          </w:tcPr>
          <w:p w14:paraId="392C5986" w14:textId="77777777" w:rsidR="00980E5F" w:rsidRDefault="00980E5F">
            <w:pPr>
              <w:rPr>
                <w:rFonts w:ascii="宋体"/>
              </w:rPr>
            </w:pPr>
          </w:p>
        </w:tc>
        <w:tc>
          <w:tcPr>
            <w:tcW w:w="50" w:type="pct"/>
            <w:shd w:val="clear" w:color="auto" w:fill="auto"/>
            <w:vAlign w:val="bottom"/>
          </w:tcPr>
          <w:p w14:paraId="392C5987" w14:textId="77777777" w:rsidR="00980E5F" w:rsidRDefault="00980E5F">
            <w:pPr>
              <w:rPr>
                <w:rFonts w:ascii="宋体"/>
              </w:rPr>
            </w:pPr>
          </w:p>
        </w:tc>
        <w:tc>
          <w:tcPr>
            <w:tcW w:w="705" w:type="pct"/>
            <w:shd w:val="clear" w:color="auto" w:fill="auto"/>
            <w:vAlign w:val="bottom"/>
          </w:tcPr>
          <w:p w14:paraId="392C5988" w14:textId="77777777" w:rsidR="00980E5F" w:rsidRDefault="00980E5F">
            <w:pPr>
              <w:rPr>
                <w:rFonts w:ascii="宋体"/>
              </w:rPr>
            </w:pPr>
          </w:p>
        </w:tc>
        <w:tc>
          <w:tcPr>
            <w:tcW w:w="5" w:type="pct"/>
            <w:shd w:val="clear" w:color="auto" w:fill="auto"/>
            <w:vAlign w:val="bottom"/>
          </w:tcPr>
          <w:p w14:paraId="392C5989" w14:textId="77777777" w:rsidR="00980E5F" w:rsidRDefault="00980E5F">
            <w:pPr>
              <w:rPr>
                <w:rFonts w:ascii="宋体"/>
              </w:rPr>
            </w:pPr>
          </w:p>
        </w:tc>
        <w:tc>
          <w:tcPr>
            <w:tcW w:w="5" w:type="pct"/>
            <w:shd w:val="clear" w:color="auto" w:fill="auto"/>
            <w:vAlign w:val="bottom"/>
          </w:tcPr>
          <w:p w14:paraId="392C598A" w14:textId="77777777" w:rsidR="00980E5F" w:rsidRDefault="00980E5F">
            <w:pPr>
              <w:rPr>
                <w:rFonts w:ascii="宋体"/>
              </w:rPr>
            </w:pPr>
          </w:p>
        </w:tc>
        <w:tc>
          <w:tcPr>
            <w:tcW w:w="19" w:type="pct"/>
            <w:shd w:val="clear" w:color="auto" w:fill="auto"/>
            <w:vAlign w:val="bottom"/>
          </w:tcPr>
          <w:p w14:paraId="392C598B" w14:textId="77777777" w:rsidR="00980E5F" w:rsidRDefault="00980E5F">
            <w:pPr>
              <w:rPr>
                <w:rFonts w:ascii="宋体"/>
              </w:rPr>
            </w:pPr>
          </w:p>
        </w:tc>
        <w:tc>
          <w:tcPr>
            <w:tcW w:w="5" w:type="pct"/>
            <w:shd w:val="clear" w:color="auto" w:fill="auto"/>
            <w:vAlign w:val="bottom"/>
          </w:tcPr>
          <w:p w14:paraId="392C598C" w14:textId="77777777" w:rsidR="00980E5F" w:rsidRDefault="00980E5F">
            <w:pPr>
              <w:rPr>
                <w:rFonts w:ascii="宋体"/>
              </w:rPr>
            </w:pPr>
          </w:p>
        </w:tc>
        <w:tc>
          <w:tcPr>
            <w:tcW w:w="50" w:type="pct"/>
            <w:shd w:val="clear" w:color="auto" w:fill="auto"/>
            <w:vAlign w:val="bottom"/>
          </w:tcPr>
          <w:p w14:paraId="392C598D" w14:textId="77777777" w:rsidR="00980E5F" w:rsidRDefault="00980E5F">
            <w:pPr>
              <w:rPr>
                <w:rFonts w:ascii="宋体"/>
              </w:rPr>
            </w:pPr>
          </w:p>
        </w:tc>
        <w:tc>
          <w:tcPr>
            <w:tcW w:w="741" w:type="pct"/>
            <w:shd w:val="clear" w:color="auto" w:fill="auto"/>
            <w:vAlign w:val="bottom"/>
          </w:tcPr>
          <w:p w14:paraId="392C598E" w14:textId="77777777" w:rsidR="00980E5F" w:rsidRDefault="00980E5F">
            <w:pPr>
              <w:rPr>
                <w:rFonts w:ascii="宋体"/>
              </w:rPr>
            </w:pPr>
          </w:p>
        </w:tc>
        <w:tc>
          <w:tcPr>
            <w:tcW w:w="5" w:type="pct"/>
            <w:shd w:val="clear" w:color="auto" w:fill="auto"/>
            <w:vAlign w:val="bottom"/>
          </w:tcPr>
          <w:p w14:paraId="392C598F" w14:textId="77777777" w:rsidR="00980E5F" w:rsidRDefault="00980E5F">
            <w:pPr>
              <w:rPr>
                <w:rFonts w:ascii="宋体"/>
              </w:rPr>
            </w:pPr>
          </w:p>
        </w:tc>
        <w:tc>
          <w:tcPr>
            <w:tcW w:w="5" w:type="pct"/>
            <w:shd w:val="clear" w:color="auto" w:fill="auto"/>
            <w:vAlign w:val="bottom"/>
          </w:tcPr>
          <w:p w14:paraId="392C5990" w14:textId="77777777" w:rsidR="00980E5F" w:rsidRDefault="00980E5F">
            <w:pPr>
              <w:rPr>
                <w:rFonts w:ascii="宋体"/>
              </w:rPr>
            </w:pPr>
          </w:p>
        </w:tc>
        <w:tc>
          <w:tcPr>
            <w:tcW w:w="19" w:type="pct"/>
            <w:shd w:val="clear" w:color="auto" w:fill="auto"/>
            <w:vAlign w:val="bottom"/>
          </w:tcPr>
          <w:p w14:paraId="392C5991" w14:textId="77777777" w:rsidR="00980E5F" w:rsidRDefault="00980E5F">
            <w:pPr>
              <w:rPr>
                <w:rFonts w:ascii="宋体"/>
              </w:rPr>
            </w:pPr>
          </w:p>
        </w:tc>
        <w:tc>
          <w:tcPr>
            <w:tcW w:w="5" w:type="pct"/>
            <w:shd w:val="clear" w:color="auto" w:fill="auto"/>
            <w:vAlign w:val="bottom"/>
          </w:tcPr>
          <w:p w14:paraId="392C5992" w14:textId="77777777" w:rsidR="00980E5F" w:rsidRDefault="00980E5F">
            <w:pPr>
              <w:rPr>
                <w:rFonts w:ascii="宋体"/>
              </w:rPr>
            </w:pPr>
          </w:p>
        </w:tc>
        <w:tc>
          <w:tcPr>
            <w:tcW w:w="50" w:type="pct"/>
            <w:shd w:val="clear" w:color="auto" w:fill="auto"/>
            <w:vAlign w:val="bottom"/>
          </w:tcPr>
          <w:p w14:paraId="392C5993" w14:textId="77777777" w:rsidR="00980E5F" w:rsidRDefault="00980E5F">
            <w:pPr>
              <w:rPr>
                <w:rFonts w:ascii="宋体"/>
              </w:rPr>
            </w:pPr>
          </w:p>
        </w:tc>
        <w:tc>
          <w:tcPr>
            <w:tcW w:w="742" w:type="pct"/>
            <w:shd w:val="clear" w:color="auto" w:fill="auto"/>
            <w:vAlign w:val="bottom"/>
          </w:tcPr>
          <w:p w14:paraId="392C5994" w14:textId="77777777" w:rsidR="00980E5F" w:rsidRDefault="00980E5F">
            <w:pPr>
              <w:rPr>
                <w:rFonts w:ascii="宋体"/>
              </w:rPr>
            </w:pPr>
          </w:p>
        </w:tc>
        <w:tc>
          <w:tcPr>
            <w:tcW w:w="5" w:type="pct"/>
            <w:shd w:val="clear" w:color="auto" w:fill="auto"/>
            <w:vAlign w:val="bottom"/>
          </w:tcPr>
          <w:p w14:paraId="392C5995" w14:textId="77777777" w:rsidR="00980E5F" w:rsidRDefault="00980E5F">
            <w:pPr>
              <w:rPr>
                <w:rFonts w:ascii="宋体"/>
              </w:rPr>
            </w:pPr>
          </w:p>
        </w:tc>
      </w:tr>
      <w:tr w:rsidR="00980E5F" w14:paraId="392C599D" w14:textId="77777777">
        <w:tc>
          <w:tcPr>
            <w:tcW w:w="0" w:type="auto"/>
            <w:gridSpan w:val="3"/>
            <w:shd w:val="clear" w:color="auto" w:fill="auto"/>
            <w:tcMar>
              <w:top w:w="40" w:type="dxa"/>
              <w:left w:w="20" w:type="dxa"/>
              <w:bottom w:w="40" w:type="dxa"/>
              <w:right w:w="20" w:type="dxa"/>
            </w:tcMar>
            <w:vAlign w:val="bottom"/>
          </w:tcPr>
          <w:p w14:paraId="392C5997" w14:textId="77777777" w:rsidR="00980E5F" w:rsidRDefault="00483613">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99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9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9B"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599C" w14:textId="77777777" w:rsidR="00980E5F" w:rsidRDefault="00483613">
            <w:pPr>
              <w:jc w:val="center"/>
              <w:textAlignment w:val="bottom"/>
            </w:pPr>
            <w:r>
              <w:rPr>
                <w:rFonts w:ascii="Arial" w:eastAsia="宋体" w:hAnsi="Arial" w:cs="Arial"/>
                <w:b/>
                <w:bCs/>
                <w:color w:val="000000"/>
                <w:sz w:val="13"/>
                <w:szCs w:val="13"/>
              </w:rPr>
              <w:t>Fair Value Hierarchy</w:t>
            </w:r>
          </w:p>
        </w:tc>
      </w:tr>
      <w:tr w:rsidR="00980E5F" w14:paraId="392C59A8" w14:textId="77777777">
        <w:tc>
          <w:tcPr>
            <w:tcW w:w="0" w:type="auto"/>
            <w:gridSpan w:val="3"/>
            <w:shd w:val="clear" w:color="auto" w:fill="auto"/>
            <w:tcMar>
              <w:top w:w="40" w:type="dxa"/>
              <w:left w:w="20" w:type="dxa"/>
              <w:bottom w:w="40" w:type="dxa"/>
              <w:right w:w="20" w:type="dxa"/>
            </w:tcMar>
            <w:vAlign w:val="bottom"/>
          </w:tcPr>
          <w:p w14:paraId="392C599E"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599F" w14:textId="77777777" w:rsidR="00980E5F" w:rsidRDefault="00483613">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392C59A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9A1" w14:textId="77777777" w:rsidR="00980E5F" w:rsidRDefault="00483613">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392C59A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9A3" w14:textId="77777777" w:rsidR="00980E5F" w:rsidRDefault="00483613">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A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9A5" w14:textId="77777777" w:rsidR="00980E5F" w:rsidRDefault="00483613">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A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9A7" w14:textId="77777777" w:rsidR="00980E5F" w:rsidRDefault="00483613">
            <w:pPr>
              <w:jc w:val="center"/>
              <w:textAlignment w:val="bottom"/>
            </w:pPr>
            <w:r>
              <w:rPr>
                <w:rFonts w:ascii="Arial" w:eastAsia="宋体" w:hAnsi="Arial" w:cs="Arial"/>
                <w:b/>
                <w:bCs/>
                <w:color w:val="000000"/>
                <w:sz w:val="13"/>
                <w:szCs w:val="13"/>
              </w:rPr>
              <w:t>Pricing Methods with Significant Unobservable Market Inputs (Level 3)</w:t>
            </w:r>
          </w:p>
        </w:tc>
      </w:tr>
      <w:tr w:rsidR="00980E5F" w14:paraId="392C59B3" w14:textId="77777777">
        <w:tc>
          <w:tcPr>
            <w:tcW w:w="0" w:type="auto"/>
            <w:gridSpan w:val="3"/>
            <w:shd w:val="clear" w:color="auto" w:fill="auto"/>
            <w:tcMar>
              <w:top w:w="40" w:type="dxa"/>
              <w:left w:w="20" w:type="dxa"/>
              <w:bottom w:w="40" w:type="dxa"/>
              <w:right w:w="20" w:type="dxa"/>
            </w:tcMar>
            <w:vAlign w:val="bottom"/>
          </w:tcPr>
          <w:p w14:paraId="392C59A9" w14:textId="77777777" w:rsidR="00980E5F" w:rsidRDefault="00483613">
            <w:pPr>
              <w:textAlignment w:val="bottom"/>
            </w:pPr>
            <w:r>
              <w:rPr>
                <w:rFonts w:ascii="Arial" w:eastAsia="宋体" w:hAnsi="Arial" w:cs="Arial"/>
                <w:b/>
                <w:bCs/>
                <w:color w:val="000000"/>
                <w:sz w:val="13"/>
                <w:szCs w:val="13"/>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A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A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A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A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A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B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B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9B2" w14:textId="77777777" w:rsidR="00980E5F" w:rsidRDefault="00980E5F">
            <w:pPr>
              <w:rPr>
                <w:rFonts w:ascii="宋体"/>
              </w:rPr>
            </w:pPr>
          </w:p>
        </w:tc>
      </w:tr>
      <w:tr w:rsidR="00980E5F" w14:paraId="392C59BE" w14:textId="77777777">
        <w:tc>
          <w:tcPr>
            <w:tcW w:w="0" w:type="auto"/>
            <w:gridSpan w:val="3"/>
            <w:shd w:val="clear" w:color="auto" w:fill="auto"/>
            <w:tcMar>
              <w:top w:w="40" w:type="dxa"/>
              <w:left w:w="20" w:type="dxa"/>
              <w:bottom w:w="40" w:type="dxa"/>
              <w:right w:w="20" w:type="dxa"/>
            </w:tcMar>
            <w:vAlign w:val="bottom"/>
          </w:tcPr>
          <w:p w14:paraId="392C59B4" w14:textId="77777777" w:rsidR="00980E5F" w:rsidRDefault="00483613">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392C59B5" w14:textId="77777777" w:rsidR="00980E5F" w:rsidRDefault="00483613">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9B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9B7" w14:textId="77777777" w:rsidR="00980E5F" w:rsidRDefault="00483613">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9B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9B9" w14:textId="77777777" w:rsidR="00980E5F" w:rsidRDefault="00483613">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9B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9BB" w14:textId="77777777" w:rsidR="00980E5F" w:rsidRDefault="00483613">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392C59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9BD" w14:textId="77777777" w:rsidR="00980E5F" w:rsidRDefault="00980E5F">
            <w:pPr>
              <w:rPr>
                <w:rFonts w:ascii="宋体"/>
              </w:rPr>
            </w:pPr>
          </w:p>
        </w:tc>
      </w:tr>
      <w:tr w:rsidR="00980E5F" w14:paraId="392C59D2" w14:textId="77777777">
        <w:tc>
          <w:tcPr>
            <w:tcW w:w="0" w:type="auto"/>
            <w:gridSpan w:val="3"/>
            <w:shd w:val="clear" w:color="auto" w:fill="CCEEFF"/>
            <w:tcMar>
              <w:top w:w="40" w:type="dxa"/>
              <w:left w:w="20" w:type="dxa"/>
              <w:bottom w:w="40" w:type="dxa"/>
              <w:right w:w="20" w:type="dxa"/>
            </w:tcMar>
            <w:vAlign w:val="bottom"/>
          </w:tcPr>
          <w:p w14:paraId="392C59BF" w14:textId="77777777" w:rsidR="00980E5F" w:rsidRDefault="00483613">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392C59C0"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9C1" w14:textId="77777777" w:rsidR="00980E5F" w:rsidRDefault="00483613">
            <w:pPr>
              <w:jc w:val="right"/>
              <w:textAlignment w:val="bottom"/>
            </w:pPr>
            <w:r>
              <w:rPr>
                <w:rFonts w:ascii="Arial" w:eastAsia="宋体" w:hAnsi="Arial" w:cs="Arial"/>
                <w:b/>
                <w:bCs/>
                <w:color w:val="000000"/>
                <w:sz w:val="13"/>
                <w:szCs w:val="13"/>
              </w:rPr>
              <w:t>3,515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C4" w14:textId="77777777" w:rsidR="00980E5F" w:rsidRDefault="00483613">
            <w:pPr>
              <w:jc w:val="right"/>
              <w:textAlignment w:val="bottom"/>
            </w:pPr>
            <w:r>
              <w:rPr>
                <w:rFonts w:ascii="Arial" w:eastAsia="宋体" w:hAnsi="Arial" w:cs="Arial"/>
                <w:b/>
                <w:bCs/>
                <w:color w:val="000000"/>
                <w:sz w:val="13"/>
                <w:szCs w:val="13"/>
              </w:rPr>
              <w:t>3,515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C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9C7"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9C8" w14:textId="77777777" w:rsidR="00980E5F" w:rsidRDefault="00483613">
            <w:pPr>
              <w:jc w:val="right"/>
              <w:textAlignment w:val="bottom"/>
            </w:pPr>
            <w:r>
              <w:rPr>
                <w:rFonts w:ascii="Arial" w:eastAsia="宋体" w:hAnsi="Arial" w:cs="Arial"/>
                <w:b/>
                <w:bCs/>
                <w:color w:val="000000"/>
                <w:sz w:val="13"/>
                <w:szCs w:val="13"/>
              </w:rPr>
              <w:t>3,515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C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9CB"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9CC"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C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9CF"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9D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D1" w14:textId="77777777" w:rsidR="00980E5F" w:rsidRDefault="00980E5F">
            <w:pPr>
              <w:jc w:val="right"/>
              <w:rPr>
                <w:rFonts w:ascii="宋体"/>
              </w:rPr>
            </w:pPr>
          </w:p>
        </w:tc>
      </w:tr>
      <w:tr w:rsidR="00980E5F" w14:paraId="392C59E2" w14:textId="77777777">
        <w:tc>
          <w:tcPr>
            <w:tcW w:w="0" w:type="auto"/>
            <w:gridSpan w:val="3"/>
            <w:shd w:val="clear" w:color="auto" w:fill="FFFFFF"/>
            <w:tcMar>
              <w:top w:w="40" w:type="dxa"/>
              <w:left w:w="20" w:type="dxa"/>
              <w:bottom w:w="40" w:type="dxa"/>
              <w:right w:w="20" w:type="dxa"/>
            </w:tcMar>
            <w:vAlign w:val="bottom"/>
          </w:tcPr>
          <w:p w14:paraId="392C59D3" w14:textId="77777777" w:rsidR="00980E5F" w:rsidRDefault="00483613">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392C59D4" w14:textId="77777777" w:rsidR="00980E5F" w:rsidRDefault="00483613">
            <w:pPr>
              <w:jc w:val="right"/>
              <w:textAlignment w:val="bottom"/>
            </w:pPr>
            <w:r>
              <w:rPr>
                <w:rFonts w:ascii="Arial" w:eastAsia="宋体" w:hAnsi="Arial" w:cs="Arial"/>
                <w:b/>
                <w:bCs/>
                <w:color w:val="000000"/>
                <w:sz w:val="13"/>
                <w:szCs w:val="13"/>
              </w:rPr>
              <w:t>91,360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D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D7" w14:textId="77777777" w:rsidR="00980E5F" w:rsidRDefault="00483613">
            <w:pPr>
              <w:jc w:val="right"/>
              <w:textAlignment w:val="bottom"/>
            </w:pPr>
            <w:r>
              <w:rPr>
                <w:rFonts w:ascii="Arial" w:eastAsia="宋体" w:hAnsi="Arial" w:cs="Arial"/>
                <w:b/>
                <w:bCs/>
                <w:color w:val="000000"/>
                <w:sz w:val="13"/>
                <w:szCs w:val="13"/>
              </w:rPr>
              <w:t>91,360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D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D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D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DD" w14:textId="77777777" w:rsidR="00980E5F" w:rsidRDefault="00483613">
            <w:pPr>
              <w:jc w:val="right"/>
              <w:textAlignment w:val="bottom"/>
            </w:pPr>
            <w:r>
              <w:rPr>
                <w:rFonts w:ascii="Arial" w:eastAsia="宋体" w:hAnsi="Arial" w:cs="Arial"/>
                <w:b/>
                <w:bCs/>
                <w:color w:val="000000"/>
                <w:sz w:val="13"/>
                <w:szCs w:val="13"/>
              </w:rPr>
              <w:t>91,360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9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9E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9E1" w14:textId="77777777" w:rsidR="00980E5F" w:rsidRDefault="00980E5F">
            <w:pPr>
              <w:jc w:val="right"/>
              <w:rPr>
                <w:rFonts w:ascii="宋体"/>
              </w:rPr>
            </w:pPr>
          </w:p>
        </w:tc>
      </w:tr>
      <w:tr w:rsidR="00980E5F" w14:paraId="392C59F2" w14:textId="77777777">
        <w:tc>
          <w:tcPr>
            <w:tcW w:w="0" w:type="auto"/>
            <w:gridSpan w:val="3"/>
            <w:shd w:val="clear" w:color="auto" w:fill="CCEEFF"/>
            <w:tcMar>
              <w:top w:w="40" w:type="dxa"/>
              <w:left w:w="20" w:type="dxa"/>
              <w:bottom w:w="40" w:type="dxa"/>
              <w:right w:w="20" w:type="dxa"/>
            </w:tcMar>
            <w:vAlign w:val="bottom"/>
          </w:tcPr>
          <w:p w14:paraId="392C59E3" w14:textId="77777777" w:rsidR="00980E5F" w:rsidRDefault="00483613">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92C59E4" w14:textId="77777777" w:rsidR="00980E5F" w:rsidRDefault="00483613">
            <w:pPr>
              <w:jc w:val="right"/>
              <w:textAlignment w:val="bottom"/>
            </w:pPr>
            <w:r>
              <w:rPr>
                <w:rFonts w:ascii="Arial" w:eastAsia="宋体" w:hAnsi="Arial" w:cs="Arial"/>
                <w:b/>
                <w:bCs/>
                <w:color w:val="000000"/>
                <w:sz w:val="13"/>
                <w:szCs w:val="13"/>
              </w:rPr>
              <w:t>5,203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E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E7" w14:textId="77777777" w:rsidR="00980E5F" w:rsidRDefault="00483613">
            <w:pPr>
              <w:jc w:val="right"/>
              <w:textAlignment w:val="bottom"/>
            </w:pPr>
            <w:r>
              <w:rPr>
                <w:rFonts w:ascii="Arial" w:eastAsia="宋体" w:hAnsi="Arial" w:cs="Arial"/>
                <w:b/>
                <w:bCs/>
                <w:color w:val="000000"/>
                <w:sz w:val="13"/>
                <w:szCs w:val="13"/>
              </w:rPr>
              <w:t>5,203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E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E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E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E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ED" w14:textId="77777777" w:rsidR="00980E5F" w:rsidRDefault="00483613">
            <w:pPr>
              <w:jc w:val="right"/>
              <w:textAlignment w:val="bottom"/>
            </w:pPr>
            <w:r>
              <w:rPr>
                <w:rFonts w:ascii="Arial" w:eastAsia="宋体" w:hAnsi="Arial" w:cs="Arial"/>
                <w:b/>
                <w:bCs/>
                <w:color w:val="000000"/>
                <w:sz w:val="13"/>
                <w:szCs w:val="13"/>
              </w:rPr>
              <w:t>5,203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E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9E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9F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9F1" w14:textId="77777777" w:rsidR="00980E5F" w:rsidRDefault="00980E5F">
            <w:pPr>
              <w:jc w:val="right"/>
              <w:rPr>
                <w:rFonts w:ascii="宋体"/>
              </w:rPr>
            </w:pPr>
          </w:p>
        </w:tc>
      </w:tr>
      <w:tr w:rsidR="00980E5F" w14:paraId="392C59FD" w14:textId="77777777">
        <w:trPr>
          <w:hidden/>
        </w:trPr>
        <w:tc>
          <w:tcPr>
            <w:tcW w:w="0" w:type="auto"/>
            <w:gridSpan w:val="3"/>
            <w:shd w:val="clear" w:color="auto" w:fill="auto"/>
            <w:vAlign w:val="bottom"/>
          </w:tcPr>
          <w:p w14:paraId="392C59F3" w14:textId="77777777" w:rsidR="00980E5F" w:rsidRDefault="00980E5F">
            <w:pPr>
              <w:rPr>
                <w:rFonts w:ascii="宋体"/>
                <w:vanish/>
              </w:rPr>
            </w:pPr>
          </w:p>
        </w:tc>
        <w:tc>
          <w:tcPr>
            <w:tcW w:w="0" w:type="auto"/>
            <w:gridSpan w:val="3"/>
            <w:shd w:val="clear" w:color="auto" w:fill="auto"/>
            <w:vAlign w:val="bottom"/>
          </w:tcPr>
          <w:p w14:paraId="392C59F4" w14:textId="77777777" w:rsidR="00980E5F" w:rsidRDefault="00980E5F">
            <w:pPr>
              <w:rPr>
                <w:rFonts w:ascii="宋体"/>
                <w:vanish/>
              </w:rPr>
            </w:pPr>
          </w:p>
        </w:tc>
        <w:tc>
          <w:tcPr>
            <w:tcW w:w="0" w:type="auto"/>
            <w:gridSpan w:val="3"/>
            <w:shd w:val="clear" w:color="auto" w:fill="auto"/>
            <w:vAlign w:val="bottom"/>
          </w:tcPr>
          <w:p w14:paraId="392C59F5" w14:textId="77777777" w:rsidR="00980E5F" w:rsidRDefault="00980E5F">
            <w:pPr>
              <w:rPr>
                <w:rFonts w:ascii="宋体"/>
                <w:vanish/>
              </w:rPr>
            </w:pPr>
          </w:p>
        </w:tc>
        <w:tc>
          <w:tcPr>
            <w:tcW w:w="0" w:type="auto"/>
            <w:gridSpan w:val="3"/>
            <w:shd w:val="clear" w:color="auto" w:fill="auto"/>
            <w:vAlign w:val="bottom"/>
          </w:tcPr>
          <w:p w14:paraId="392C59F6" w14:textId="77777777" w:rsidR="00980E5F" w:rsidRDefault="00980E5F">
            <w:pPr>
              <w:rPr>
                <w:rFonts w:ascii="宋体"/>
                <w:vanish/>
              </w:rPr>
            </w:pPr>
          </w:p>
        </w:tc>
        <w:tc>
          <w:tcPr>
            <w:tcW w:w="0" w:type="auto"/>
            <w:gridSpan w:val="3"/>
            <w:shd w:val="clear" w:color="auto" w:fill="auto"/>
            <w:vAlign w:val="bottom"/>
          </w:tcPr>
          <w:p w14:paraId="392C59F7" w14:textId="77777777" w:rsidR="00980E5F" w:rsidRDefault="00980E5F">
            <w:pPr>
              <w:rPr>
                <w:rFonts w:ascii="宋体"/>
                <w:vanish/>
              </w:rPr>
            </w:pPr>
          </w:p>
        </w:tc>
        <w:tc>
          <w:tcPr>
            <w:tcW w:w="0" w:type="auto"/>
            <w:gridSpan w:val="3"/>
            <w:shd w:val="clear" w:color="auto" w:fill="auto"/>
            <w:vAlign w:val="bottom"/>
          </w:tcPr>
          <w:p w14:paraId="392C59F8" w14:textId="77777777" w:rsidR="00980E5F" w:rsidRDefault="00980E5F">
            <w:pPr>
              <w:rPr>
                <w:rFonts w:ascii="宋体"/>
                <w:vanish/>
              </w:rPr>
            </w:pPr>
          </w:p>
        </w:tc>
        <w:tc>
          <w:tcPr>
            <w:tcW w:w="0" w:type="auto"/>
            <w:gridSpan w:val="3"/>
            <w:shd w:val="clear" w:color="auto" w:fill="auto"/>
            <w:vAlign w:val="bottom"/>
          </w:tcPr>
          <w:p w14:paraId="392C59F9" w14:textId="77777777" w:rsidR="00980E5F" w:rsidRDefault="00980E5F">
            <w:pPr>
              <w:rPr>
                <w:rFonts w:ascii="宋体"/>
                <w:vanish/>
              </w:rPr>
            </w:pPr>
          </w:p>
        </w:tc>
        <w:tc>
          <w:tcPr>
            <w:tcW w:w="0" w:type="auto"/>
            <w:gridSpan w:val="3"/>
            <w:shd w:val="clear" w:color="auto" w:fill="auto"/>
            <w:vAlign w:val="bottom"/>
          </w:tcPr>
          <w:p w14:paraId="392C59FA" w14:textId="77777777" w:rsidR="00980E5F" w:rsidRDefault="00980E5F">
            <w:pPr>
              <w:rPr>
                <w:rFonts w:ascii="宋体"/>
                <w:vanish/>
              </w:rPr>
            </w:pPr>
          </w:p>
        </w:tc>
        <w:tc>
          <w:tcPr>
            <w:tcW w:w="0" w:type="auto"/>
            <w:gridSpan w:val="3"/>
            <w:shd w:val="clear" w:color="auto" w:fill="auto"/>
            <w:vAlign w:val="bottom"/>
          </w:tcPr>
          <w:p w14:paraId="392C59FB" w14:textId="77777777" w:rsidR="00980E5F" w:rsidRDefault="00980E5F">
            <w:pPr>
              <w:rPr>
                <w:rFonts w:ascii="宋体"/>
                <w:vanish/>
              </w:rPr>
            </w:pPr>
          </w:p>
        </w:tc>
        <w:tc>
          <w:tcPr>
            <w:tcW w:w="0" w:type="auto"/>
            <w:gridSpan w:val="3"/>
            <w:shd w:val="clear" w:color="auto" w:fill="auto"/>
            <w:vAlign w:val="bottom"/>
          </w:tcPr>
          <w:p w14:paraId="392C59FC" w14:textId="77777777" w:rsidR="00980E5F" w:rsidRDefault="00980E5F">
            <w:pPr>
              <w:rPr>
                <w:rFonts w:ascii="宋体"/>
                <w:vanish/>
              </w:rPr>
            </w:pPr>
          </w:p>
        </w:tc>
      </w:tr>
      <w:tr w:rsidR="00980E5F" w14:paraId="392C5A0D" w14:textId="77777777">
        <w:tc>
          <w:tcPr>
            <w:tcW w:w="0" w:type="auto"/>
            <w:gridSpan w:val="3"/>
            <w:shd w:val="clear" w:color="auto" w:fill="FFFFFF"/>
            <w:tcMar>
              <w:top w:w="40" w:type="dxa"/>
              <w:left w:w="20" w:type="dxa"/>
              <w:bottom w:w="40" w:type="dxa"/>
              <w:right w:w="20" w:type="dxa"/>
            </w:tcMar>
            <w:vAlign w:val="bottom"/>
          </w:tcPr>
          <w:p w14:paraId="392C59FE" w14:textId="77777777" w:rsidR="00980E5F" w:rsidRDefault="00483613">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392C59FF" w14:textId="77777777" w:rsidR="00980E5F" w:rsidRDefault="00483613">
            <w:pPr>
              <w:jc w:val="right"/>
              <w:textAlignment w:val="bottom"/>
            </w:pPr>
            <w:r>
              <w:rPr>
                <w:rFonts w:ascii="Arial" w:eastAsia="宋体" w:hAnsi="Arial" w:cs="Arial"/>
                <w:b/>
                <w:bCs/>
                <w:color w:val="000000"/>
                <w:sz w:val="13"/>
                <w:szCs w:val="13"/>
              </w:rPr>
              <w:t>64,261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02" w14:textId="77777777" w:rsidR="00980E5F" w:rsidRDefault="00483613">
            <w:pPr>
              <w:jc w:val="right"/>
              <w:textAlignment w:val="bottom"/>
            </w:pPr>
            <w:r>
              <w:rPr>
                <w:rFonts w:ascii="Arial" w:eastAsia="宋体" w:hAnsi="Arial" w:cs="Arial"/>
                <w:b/>
                <w:bCs/>
                <w:color w:val="000000"/>
                <w:sz w:val="13"/>
                <w:szCs w:val="13"/>
              </w:rPr>
              <w:t>60,103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05" w14:textId="77777777" w:rsidR="00980E5F" w:rsidRDefault="00483613">
            <w:pPr>
              <w:jc w:val="right"/>
              <w:textAlignment w:val="bottom"/>
            </w:pPr>
            <w:r>
              <w:rPr>
                <w:rFonts w:ascii="Arial" w:eastAsia="宋体" w:hAnsi="Arial" w:cs="Arial"/>
                <w:b/>
                <w:bCs/>
                <w:color w:val="000000"/>
                <w:sz w:val="13"/>
                <w:szCs w:val="13"/>
              </w:rPr>
              <w:t>11,331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08" w14:textId="77777777" w:rsidR="00980E5F" w:rsidRDefault="00483613">
            <w:pPr>
              <w:jc w:val="right"/>
              <w:textAlignment w:val="bottom"/>
            </w:pPr>
            <w:r>
              <w:rPr>
                <w:rFonts w:ascii="Arial" w:eastAsia="宋体" w:hAnsi="Arial" w:cs="Arial"/>
                <w:b/>
                <w:bCs/>
                <w:color w:val="000000"/>
                <w:sz w:val="13"/>
                <w:szCs w:val="13"/>
              </w:rPr>
              <w:t>48,772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0B"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0C" w14:textId="77777777" w:rsidR="00980E5F" w:rsidRDefault="00980E5F">
            <w:pPr>
              <w:jc w:val="right"/>
              <w:rPr>
                <w:rFonts w:ascii="宋体"/>
              </w:rPr>
            </w:pPr>
          </w:p>
        </w:tc>
      </w:tr>
      <w:tr w:rsidR="00980E5F" w14:paraId="392C5A1D" w14:textId="77777777">
        <w:tc>
          <w:tcPr>
            <w:tcW w:w="0" w:type="auto"/>
            <w:gridSpan w:val="3"/>
            <w:shd w:val="clear" w:color="auto" w:fill="CCEEFF"/>
            <w:tcMar>
              <w:top w:w="40" w:type="dxa"/>
              <w:left w:w="20" w:type="dxa"/>
              <w:bottom w:w="40" w:type="dxa"/>
              <w:right w:w="20" w:type="dxa"/>
            </w:tcMar>
            <w:vAlign w:val="bottom"/>
          </w:tcPr>
          <w:p w14:paraId="392C5A0E" w14:textId="77777777" w:rsidR="00980E5F" w:rsidRDefault="00483613">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392C5A0F" w14:textId="77777777" w:rsidR="00980E5F" w:rsidRDefault="00483613">
            <w:pPr>
              <w:jc w:val="right"/>
              <w:textAlignment w:val="bottom"/>
            </w:pPr>
            <w:r>
              <w:rPr>
                <w:rFonts w:ascii="Arial" w:eastAsia="宋体" w:hAnsi="Arial" w:cs="Arial"/>
                <w:b/>
                <w:bCs/>
                <w:color w:val="000000"/>
                <w:sz w:val="13"/>
                <w:szCs w:val="13"/>
              </w:rPr>
              <w:t>33,470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1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12" w14:textId="77777777" w:rsidR="00980E5F" w:rsidRDefault="00483613">
            <w:pPr>
              <w:jc w:val="right"/>
              <w:textAlignment w:val="bottom"/>
            </w:pPr>
            <w:r>
              <w:rPr>
                <w:rFonts w:ascii="Arial" w:eastAsia="宋体" w:hAnsi="Arial" w:cs="Arial"/>
                <w:b/>
                <w:bCs/>
                <w:color w:val="000000"/>
                <w:sz w:val="13"/>
                <w:szCs w:val="13"/>
              </w:rPr>
              <w:t>33,209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1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15"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1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18" w14:textId="77777777" w:rsidR="00980E5F" w:rsidRDefault="00483613">
            <w:pPr>
              <w:jc w:val="right"/>
              <w:textAlignment w:val="bottom"/>
            </w:pPr>
            <w:r>
              <w:rPr>
                <w:rFonts w:ascii="Arial" w:eastAsia="宋体" w:hAnsi="Arial" w:cs="Arial"/>
                <w:b/>
                <w:bCs/>
                <w:color w:val="000000"/>
                <w:sz w:val="13"/>
                <w:szCs w:val="13"/>
              </w:rPr>
              <w:t>31,009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1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1B" w14:textId="77777777" w:rsidR="00980E5F" w:rsidRDefault="00483613">
            <w:pPr>
              <w:jc w:val="right"/>
              <w:textAlignment w:val="bottom"/>
            </w:pPr>
            <w:r>
              <w:rPr>
                <w:rFonts w:ascii="Arial" w:eastAsia="宋体" w:hAnsi="Arial" w:cs="Arial"/>
                <w:b/>
                <w:bCs/>
                <w:color w:val="000000"/>
                <w:sz w:val="13"/>
                <w:szCs w:val="13"/>
              </w:rPr>
              <w:t>2,200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1C" w14:textId="77777777" w:rsidR="00980E5F" w:rsidRDefault="00980E5F">
            <w:pPr>
              <w:jc w:val="right"/>
              <w:rPr>
                <w:rFonts w:ascii="宋体"/>
              </w:rPr>
            </w:pPr>
          </w:p>
        </w:tc>
      </w:tr>
      <w:tr w:rsidR="00980E5F" w14:paraId="392C5A2D" w14:textId="77777777">
        <w:tc>
          <w:tcPr>
            <w:tcW w:w="0" w:type="auto"/>
            <w:gridSpan w:val="3"/>
            <w:shd w:val="clear" w:color="auto" w:fill="FFFFFF"/>
            <w:tcMar>
              <w:top w:w="40" w:type="dxa"/>
              <w:left w:w="20" w:type="dxa"/>
              <w:bottom w:w="40" w:type="dxa"/>
              <w:right w:w="20" w:type="dxa"/>
            </w:tcMar>
            <w:vAlign w:val="bottom"/>
          </w:tcPr>
          <w:p w14:paraId="392C5A1E" w14:textId="77777777" w:rsidR="00980E5F" w:rsidRDefault="00483613">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392C5A1F"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22"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25"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28"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2B"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2C" w14:textId="77777777" w:rsidR="00980E5F" w:rsidRDefault="00980E5F">
            <w:pPr>
              <w:jc w:val="right"/>
              <w:rPr>
                <w:rFonts w:ascii="宋体"/>
              </w:rPr>
            </w:pPr>
          </w:p>
        </w:tc>
      </w:tr>
      <w:tr w:rsidR="00980E5F" w14:paraId="392C5A38" w14:textId="77777777">
        <w:tc>
          <w:tcPr>
            <w:tcW w:w="0" w:type="auto"/>
            <w:gridSpan w:val="3"/>
            <w:shd w:val="clear" w:color="auto" w:fill="CCEEFF"/>
            <w:tcMar>
              <w:top w:w="40" w:type="dxa"/>
              <w:left w:w="20" w:type="dxa"/>
              <w:bottom w:w="40" w:type="dxa"/>
              <w:right w:w="20" w:type="dxa"/>
            </w:tcMar>
            <w:vAlign w:val="bottom"/>
          </w:tcPr>
          <w:p w14:paraId="392C5A2E" w14:textId="77777777" w:rsidR="00980E5F" w:rsidRDefault="00483613">
            <w:pPr>
              <w:textAlignment w:val="bottom"/>
            </w:pPr>
            <w:r>
              <w:rPr>
                <w:rFonts w:ascii="Arial" w:eastAsia="宋体" w:hAnsi="Arial" w:cs="Arial"/>
                <w:b/>
                <w:bCs/>
                <w:color w:val="000000"/>
                <w:sz w:val="13"/>
                <w:szCs w:val="13"/>
              </w:rPr>
              <w:t>Financial Liabilities:</w:t>
            </w:r>
          </w:p>
        </w:tc>
        <w:tc>
          <w:tcPr>
            <w:tcW w:w="0" w:type="auto"/>
            <w:gridSpan w:val="3"/>
            <w:shd w:val="clear" w:color="auto" w:fill="CCEEFF"/>
            <w:tcMar>
              <w:top w:w="0" w:type="dxa"/>
              <w:left w:w="20" w:type="dxa"/>
              <w:bottom w:w="0" w:type="dxa"/>
              <w:right w:w="20" w:type="dxa"/>
            </w:tcMar>
            <w:vAlign w:val="bottom"/>
          </w:tcPr>
          <w:p w14:paraId="392C5A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A37" w14:textId="77777777" w:rsidR="00980E5F" w:rsidRDefault="00980E5F">
            <w:pPr>
              <w:rPr>
                <w:rFonts w:ascii="宋体"/>
              </w:rPr>
            </w:pPr>
          </w:p>
        </w:tc>
      </w:tr>
      <w:tr w:rsidR="00980E5F" w14:paraId="392C5A43" w14:textId="77777777">
        <w:tc>
          <w:tcPr>
            <w:tcW w:w="0" w:type="auto"/>
            <w:gridSpan w:val="3"/>
            <w:shd w:val="clear" w:color="auto" w:fill="FFFFFF"/>
            <w:tcMar>
              <w:top w:w="40" w:type="dxa"/>
              <w:left w:w="20" w:type="dxa"/>
              <w:bottom w:w="40" w:type="dxa"/>
              <w:right w:w="20" w:type="dxa"/>
            </w:tcMar>
            <w:vAlign w:val="bottom"/>
          </w:tcPr>
          <w:p w14:paraId="392C5A39" w14:textId="77777777" w:rsidR="00980E5F" w:rsidRDefault="00483613">
            <w:pPr>
              <w:textAlignment w:val="bottom"/>
            </w:pPr>
            <w:r>
              <w:rPr>
                <w:rFonts w:ascii="Arial" w:eastAsia="宋体" w:hAnsi="Arial" w:cs="Arial"/>
                <w:color w:val="000000"/>
                <w:sz w:val="13"/>
                <w:szCs w:val="13"/>
              </w:rPr>
              <w:t>Deposits:</w:t>
            </w:r>
          </w:p>
        </w:tc>
        <w:tc>
          <w:tcPr>
            <w:tcW w:w="0" w:type="auto"/>
            <w:gridSpan w:val="3"/>
            <w:shd w:val="clear" w:color="auto" w:fill="FFFFFF"/>
            <w:tcMar>
              <w:top w:w="0" w:type="dxa"/>
              <w:left w:w="20" w:type="dxa"/>
              <w:bottom w:w="0" w:type="dxa"/>
              <w:right w:w="20" w:type="dxa"/>
            </w:tcMar>
            <w:vAlign w:val="bottom"/>
          </w:tcPr>
          <w:p w14:paraId="392C5A3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3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3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3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3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3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4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A42" w14:textId="77777777" w:rsidR="00980E5F" w:rsidRDefault="00980E5F">
            <w:pPr>
              <w:rPr>
                <w:rFonts w:ascii="宋体"/>
              </w:rPr>
            </w:pPr>
          </w:p>
        </w:tc>
      </w:tr>
      <w:tr w:rsidR="00980E5F" w14:paraId="392C5A58" w14:textId="77777777">
        <w:tc>
          <w:tcPr>
            <w:tcW w:w="0" w:type="auto"/>
            <w:gridSpan w:val="3"/>
            <w:shd w:val="clear" w:color="auto" w:fill="CCEEFF"/>
            <w:tcMar>
              <w:top w:w="40" w:type="dxa"/>
              <w:left w:w="20" w:type="dxa"/>
              <w:bottom w:w="40" w:type="dxa"/>
              <w:right w:w="20" w:type="dxa"/>
            </w:tcMar>
            <w:vAlign w:val="bottom"/>
          </w:tcPr>
          <w:p w14:paraId="392C5A44" w14:textId="77777777" w:rsidR="00980E5F" w:rsidRDefault="00483613">
            <w:pPr>
              <w:textAlignment w:val="bottom"/>
            </w:pPr>
            <w:r>
              <w:rPr>
                <w:rFonts w:ascii="Arial" w:eastAsia="宋体" w:hAnsi="Arial" w:cs="Arial"/>
                <w:color w:val="000000"/>
                <w:sz w:val="13"/>
                <w:szCs w:val="13"/>
              </w:rPr>
              <w:t>   Non-interest-bearing</w:t>
            </w:r>
          </w:p>
        </w:tc>
        <w:tc>
          <w:tcPr>
            <w:tcW w:w="0" w:type="auto"/>
            <w:shd w:val="clear" w:color="auto" w:fill="CCEEFF"/>
            <w:tcMar>
              <w:top w:w="40" w:type="dxa"/>
              <w:left w:w="20" w:type="dxa"/>
              <w:bottom w:w="40" w:type="dxa"/>
              <w:right w:w="0" w:type="dxa"/>
            </w:tcMar>
            <w:vAlign w:val="bottom"/>
          </w:tcPr>
          <w:p w14:paraId="392C5A4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A46" w14:textId="77777777" w:rsidR="00980E5F" w:rsidRDefault="00483613">
            <w:pPr>
              <w:jc w:val="right"/>
              <w:textAlignment w:val="bottom"/>
            </w:pPr>
            <w:r>
              <w:rPr>
                <w:rFonts w:ascii="Arial" w:eastAsia="宋体" w:hAnsi="Arial" w:cs="Arial"/>
                <w:b/>
                <w:bCs/>
                <w:color w:val="000000"/>
                <w:sz w:val="13"/>
                <w:szCs w:val="13"/>
              </w:rPr>
              <w:t>55,062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4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A49"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A4A" w14:textId="77777777" w:rsidR="00980E5F" w:rsidRDefault="00483613">
            <w:pPr>
              <w:jc w:val="right"/>
              <w:textAlignment w:val="bottom"/>
            </w:pPr>
            <w:r>
              <w:rPr>
                <w:rFonts w:ascii="Arial" w:eastAsia="宋体" w:hAnsi="Arial" w:cs="Arial"/>
                <w:b/>
                <w:bCs/>
                <w:color w:val="000000"/>
                <w:sz w:val="13"/>
                <w:szCs w:val="13"/>
              </w:rPr>
              <w:t>55,062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4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A4D"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A4E"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5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A51"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A52" w14:textId="77777777" w:rsidR="00980E5F" w:rsidRDefault="00483613">
            <w:pPr>
              <w:jc w:val="right"/>
              <w:textAlignment w:val="bottom"/>
            </w:pPr>
            <w:r>
              <w:rPr>
                <w:rFonts w:ascii="Arial" w:eastAsia="宋体" w:hAnsi="Arial" w:cs="Arial"/>
                <w:b/>
                <w:bCs/>
                <w:color w:val="000000"/>
                <w:sz w:val="13"/>
                <w:szCs w:val="13"/>
              </w:rPr>
              <w:t>55,062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5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5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A5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5A5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57" w14:textId="77777777" w:rsidR="00980E5F" w:rsidRDefault="00980E5F">
            <w:pPr>
              <w:jc w:val="right"/>
              <w:rPr>
                <w:rFonts w:ascii="宋体"/>
              </w:rPr>
            </w:pPr>
          </w:p>
        </w:tc>
      </w:tr>
      <w:tr w:rsidR="00980E5F" w14:paraId="392C5A68" w14:textId="77777777">
        <w:tc>
          <w:tcPr>
            <w:tcW w:w="0" w:type="auto"/>
            <w:gridSpan w:val="3"/>
            <w:shd w:val="clear" w:color="auto" w:fill="FFFFFF"/>
            <w:tcMar>
              <w:top w:w="40" w:type="dxa"/>
              <w:left w:w="20" w:type="dxa"/>
              <w:bottom w:w="40" w:type="dxa"/>
              <w:right w:w="20" w:type="dxa"/>
            </w:tcMar>
            <w:vAlign w:val="bottom"/>
          </w:tcPr>
          <w:p w14:paraId="392C5A59" w14:textId="77777777" w:rsidR="00980E5F" w:rsidRDefault="00483613">
            <w:pPr>
              <w:textAlignment w:val="bottom"/>
            </w:pPr>
            <w:r>
              <w:rPr>
                <w:rFonts w:ascii="Arial" w:eastAsia="宋体" w:hAnsi="Arial" w:cs="Arial"/>
                <w:color w:val="000000"/>
                <w:sz w:val="13"/>
                <w:szCs w:val="13"/>
              </w:rPr>
              <w:t>   Interest-bearing - U.S.</w:t>
            </w:r>
          </w:p>
        </w:tc>
        <w:tc>
          <w:tcPr>
            <w:tcW w:w="0" w:type="auto"/>
            <w:gridSpan w:val="2"/>
            <w:shd w:val="clear" w:color="auto" w:fill="FFFFFF"/>
            <w:tcMar>
              <w:top w:w="40" w:type="dxa"/>
              <w:left w:w="20" w:type="dxa"/>
              <w:bottom w:w="40" w:type="dxa"/>
              <w:right w:w="0" w:type="dxa"/>
            </w:tcMar>
            <w:vAlign w:val="bottom"/>
          </w:tcPr>
          <w:p w14:paraId="392C5A5A" w14:textId="77777777" w:rsidR="00980E5F" w:rsidRDefault="00483613">
            <w:pPr>
              <w:jc w:val="right"/>
              <w:textAlignment w:val="bottom"/>
            </w:pPr>
            <w:r>
              <w:rPr>
                <w:rFonts w:ascii="Arial" w:eastAsia="宋体" w:hAnsi="Arial" w:cs="Arial"/>
                <w:b/>
                <w:bCs/>
                <w:color w:val="000000"/>
                <w:sz w:val="13"/>
                <w:szCs w:val="13"/>
              </w:rPr>
              <w:t>107,262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5D" w14:textId="77777777" w:rsidR="00980E5F" w:rsidRDefault="00483613">
            <w:pPr>
              <w:jc w:val="right"/>
              <w:textAlignment w:val="bottom"/>
            </w:pPr>
            <w:r>
              <w:rPr>
                <w:rFonts w:ascii="Arial" w:eastAsia="宋体" w:hAnsi="Arial" w:cs="Arial"/>
                <w:b/>
                <w:bCs/>
                <w:color w:val="000000"/>
                <w:sz w:val="13"/>
                <w:szCs w:val="13"/>
              </w:rPr>
              <w:t>107,262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5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6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63" w14:textId="77777777" w:rsidR="00980E5F" w:rsidRDefault="00483613">
            <w:pPr>
              <w:jc w:val="right"/>
              <w:textAlignment w:val="bottom"/>
            </w:pPr>
            <w:r>
              <w:rPr>
                <w:rFonts w:ascii="Arial" w:eastAsia="宋体" w:hAnsi="Arial" w:cs="Arial"/>
                <w:b/>
                <w:bCs/>
                <w:color w:val="000000"/>
                <w:sz w:val="13"/>
                <w:szCs w:val="13"/>
              </w:rPr>
              <w:t>107,262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6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67" w14:textId="77777777" w:rsidR="00980E5F" w:rsidRDefault="00980E5F">
            <w:pPr>
              <w:jc w:val="right"/>
              <w:rPr>
                <w:rFonts w:ascii="宋体"/>
              </w:rPr>
            </w:pPr>
          </w:p>
        </w:tc>
      </w:tr>
      <w:tr w:rsidR="00980E5F" w14:paraId="392C5A78" w14:textId="77777777">
        <w:tc>
          <w:tcPr>
            <w:tcW w:w="0" w:type="auto"/>
            <w:gridSpan w:val="3"/>
            <w:shd w:val="clear" w:color="auto" w:fill="CCEEFF"/>
            <w:tcMar>
              <w:top w:w="40" w:type="dxa"/>
              <w:left w:w="20" w:type="dxa"/>
              <w:bottom w:w="40" w:type="dxa"/>
              <w:right w:w="20" w:type="dxa"/>
            </w:tcMar>
            <w:vAlign w:val="bottom"/>
          </w:tcPr>
          <w:p w14:paraId="392C5A69" w14:textId="77777777" w:rsidR="00980E5F" w:rsidRDefault="00483613">
            <w:pPr>
              <w:textAlignment w:val="bottom"/>
            </w:pPr>
            <w:r>
              <w:rPr>
                <w:rFonts w:ascii="Arial" w:eastAsia="宋体" w:hAnsi="Arial" w:cs="Arial"/>
                <w:color w:val="000000"/>
                <w:sz w:val="13"/>
                <w:szCs w:val="13"/>
              </w:rPr>
              <w:t>   Interest-bearing - non-U.S.</w:t>
            </w:r>
          </w:p>
        </w:tc>
        <w:tc>
          <w:tcPr>
            <w:tcW w:w="0" w:type="auto"/>
            <w:gridSpan w:val="2"/>
            <w:shd w:val="clear" w:color="auto" w:fill="CCEEFF"/>
            <w:tcMar>
              <w:top w:w="40" w:type="dxa"/>
              <w:left w:w="20" w:type="dxa"/>
              <w:bottom w:w="40" w:type="dxa"/>
              <w:right w:w="0" w:type="dxa"/>
            </w:tcMar>
            <w:vAlign w:val="bottom"/>
          </w:tcPr>
          <w:p w14:paraId="392C5A6A" w14:textId="77777777" w:rsidR="00980E5F" w:rsidRDefault="00483613">
            <w:pPr>
              <w:jc w:val="right"/>
              <w:textAlignment w:val="bottom"/>
            </w:pPr>
            <w:r>
              <w:rPr>
                <w:rFonts w:ascii="Arial" w:eastAsia="宋体" w:hAnsi="Arial" w:cs="Arial"/>
                <w:b/>
                <w:bCs/>
                <w:color w:val="000000"/>
                <w:sz w:val="13"/>
                <w:szCs w:val="13"/>
              </w:rPr>
              <w:t>79,589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6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6D" w14:textId="77777777" w:rsidR="00980E5F" w:rsidRDefault="00483613">
            <w:pPr>
              <w:jc w:val="right"/>
              <w:textAlignment w:val="bottom"/>
            </w:pPr>
            <w:r>
              <w:rPr>
                <w:rFonts w:ascii="Arial" w:eastAsia="宋体" w:hAnsi="Arial" w:cs="Arial"/>
                <w:b/>
                <w:bCs/>
                <w:color w:val="000000"/>
                <w:sz w:val="13"/>
                <w:szCs w:val="13"/>
              </w:rPr>
              <w:t>79,589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6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7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7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73" w14:textId="77777777" w:rsidR="00980E5F" w:rsidRDefault="00483613">
            <w:pPr>
              <w:jc w:val="right"/>
              <w:textAlignment w:val="bottom"/>
            </w:pPr>
            <w:r>
              <w:rPr>
                <w:rFonts w:ascii="Arial" w:eastAsia="宋体" w:hAnsi="Arial" w:cs="Arial"/>
                <w:b/>
                <w:bCs/>
                <w:color w:val="000000"/>
                <w:sz w:val="13"/>
                <w:szCs w:val="13"/>
              </w:rPr>
              <w:t>79,589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7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7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77" w14:textId="77777777" w:rsidR="00980E5F" w:rsidRDefault="00980E5F">
            <w:pPr>
              <w:jc w:val="right"/>
              <w:rPr>
                <w:rFonts w:ascii="宋体"/>
              </w:rPr>
            </w:pPr>
          </w:p>
        </w:tc>
      </w:tr>
      <w:tr w:rsidR="00980E5F" w14:paraId="392C5A88" w14:textId="77777777">
        <w:tc>
          <w:tcPr>
            <w:tcW w:w="0" w:type="auto"/>
            <w:gridSpan w:val="3"/>
            <w:shd w:val="clear" w:color="auto" w:fill="FFFFFF"/>
            <w:tcMar>
              <w:top w:w="40" w:type="dxa"/>
              <w:left w:w="20" w:type="dxa"/>
              <w:bottom w:w="40" w:type="dxa"/>
              <w:right w:w="20" w:type="dxa"/>
            </w:tcMar>
            <w:vAlign w:val="bottom"/>
          </w:tcPr>
          <w:p w14:paraId="392C5A79" w14:textId="77777777" w:rsidR="00980E5F" w:rsidRDefault="00483613">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5A7A" w14:textId="77777777" w:rsidR="00980E5F" w:rsidRDefault="00483613">
            <w:pPr>
              <w:jc w:val="right"/>
              <w:textAlignment w:val="bottom"/>
            </w:pPr>
            <w:r>
              <w:rPr>
                <w:rFonts w:ascii="Arial" w:eastAsia="宋体" w:hAnsi="Arial" w:cs="Arial"/>
                <w:b/>
                <w:bCs/>
                <w:color w:val="000000"/>
                <w:sz w:val="13"/>
                <w:szCs w:val="13"/>
              </w:rPr>
              <w:t>951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7D" w14:textId="77777777" w:rsidR="00980E5F" w:rsidRDefault="00483613">
            <w:pPr>
              <w:jc w:val="right"/>
              <w:textAlignment w:val="bottom"/>
            </w:pPr>
            <w:r>
              <w:rPr>
                <w:rFonts w:ascii="Arial" w:eastAsia="宋体" w:hAnsi="Arial" w:cs="Arial"/>
                <w:b/>
                <w:bCs/>
                <w:color w:val="000000"/>
                <w:sz w:val="13"/>
                <w:szCs w:val="13"/>
              </w:rPr>
              <w:t>951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8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83" w14:textId="77777777" w:rsidR="00980E5F" w:rsidRDefault="00483613">
            <w:pPr>
              <w:jc w:val="right"/>
              <w:textAlignment w:val="bottom"/>
            </w:pPr>
            <w:r>
              <w:rPr>
                <w:rFonts w:ascii="Arial" w:eastAsia="宋体" w:hAnsi="Arial" w:cs="Arial"/>
                <w:b/>
                <w:bCs/>
                <w:color w:val="000000"/>
                <w:sz w:val="13"/>
                <w:szCs w:val="13"/>
              </w:rPr>
              <w:t>951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8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87" w14:textId="77777777" w:rsidR="00980E5F" w:rsidRDefault="00980E5F">
            <w:pPr>
              <w:jc w:val="right"/>
              <w:rPr>
                <w:rFonts w:ascii="宋体"/>
              </w:rPr>
            </w:pPr>
          </w:p>
        </w:tc>
      </w:tr>
      <w:tr w:rsidR="00980E5F" w14:paraId="392C5A93" w14:textId="77777777">
        <w:trPr>
          <w:hidden/>
        </w:trPr>
        <w:tc>
          <w:tcPr>
            <w:tcW w:w="0" w:type="auto"/>
            <w:gridSpan w:val="3"/>
            <w:shd w:val="clear" w:color="auto" w:fill="auto"/>
            <w:vAlign w:val="bottom"/>
          </w:tcPr>
          <w:p w14:paraId="392C5A89" w14:textId="77777777" w:rsidR="00980E5F" w:rsidRDefault="00980E5F">
            <w:pPr>
              <w:rPr>
                <w:rFonts w:ascii="宋体"/>
                <w:vanish/>
              </w:rPr>
            </w:pPr>
          </w:p>
        </w:tc>
        <w:tc>
          <w:tcPr>
            <w:tcW w:w="0" w:type="auto"/>
            <w:gridSpan w:val="3"/>
            <w:shd w:val="clear" w:color="auto" w:fill="auto"/>
            <w:vAlign w:val="bottom"/>
          </w:tcPr>
          <w:p w14:paraId="392C5A8A" w14:textId="77777777" w:rsidR="00980E5F" w:rsidRDefault="00980E5F">
            <w:pPr>
              <w:rPr>
                <w:rFonts w:ascii="宋体"/>
                <w:vanish/>
              </w:rPr>
            </w:pPr>
          </w:p>
        </w:tc>
        <w:tc>
          <w:tcPr>
            <w:tcW w:w="0" w:type="auto"/>
            <w:gridSpan w:val="3"/>
            <w:shd w:val="clear" w:color="auto" w:fill="auto"/>
            <w:vAlign w:val="bottom"/>
          </w:tcPr>
          <w:p w14:paraId="392C5A8B" w14:textId="77777777" w:rsidR="00980E5F" w:rsidRDefault="00980E5F">
            <w:pPr>
              <w:rPr>
                <w:rFonts w:ascii="宋体"/>
                <w:vanish/>
              </w:rPr>
            </w:pPr>
          </w:p>
        </w:tc>
        <w:tc>
          <w:tcPr>
            <w:tcW w:w="0" w:type="auto"/>
            <w:gridSpan w:val="3"/>
            <w:shd w:val="clear" w:color="auto" w:fill="auto"/>
            <w:vAlign w:val="bottom"/>
          </w:tcPr>
          <w:p w14:paraId="392C5A8C" w14:textId="77777777" w:rsidR="00980E5F" w:rsidRDefault="00980E5F">
            <w:pPr>
              <w:rPr>
                <w:rFonts w:ascii="宋体"/>
                <w:vanish/>
              </w:rPr>
            </w:pPr>
          </w:p>
        </w:tc>
        <w:tc>
          <w:tcPr>
            <w:tcW w:w="0" w:type="auto"/>
            <w:gridSpan w:val="3"/>
            <w:shd w:val="clear" w:color="auto" w:fill="auto"/>
            <w:vAlign w:val="bottom"/>
          </w:tcPr>
          <w:p w14:paraId="392C5A8D" w14:textId="77777777" w:rsidR="00980E5F" w:rsidRDefault="00980E5F">
            <w:pPr>
              <w:rPr>
                <w:rFonts w:ascii="宋体"/>
                <w:vanish/>
              </w:rPr>
            </w:pPr>
          </w:p>
        </w:tc>
        <w:tc>
          <w:tcPr>
            <w:tcW w:w="0" w:type="auto"/>
            <w:gridSpan w:val="3"/>
            <w:shd w:val="clear" w:color="auto" w:fill="auto"/>
            <w:vAlign w:val="bottom"/>
          </w:tcPr>
          <w:p w14:paraId="392C5A8E" w14:textId="77777777" w:rsidR="00980E5F" w:rsidRDefault="00980E5F">
            <w:pPr>
              <w:rPr>
                <w:rFonts w:ascii="宋体"/>
                <w:vanish/>
              </w:rPr>
            </w:pPr>
          </w:p>
        </w:tc>
        <w:tc>
          <w:tcPr>
            <w:tcW w:w="0" w:type="auto"/>
            <w:gridSpan w:val="3"/>
            <w:shd w:val="clear" w:color="auto" w:fill="auto"/>
            <w:vAlign w:val="bottom"/>
          </w:tcPr>
          <w:p w14:paraId="392C5A8F" w14:textId="77777777" w:rsidR="00980E5F" w:rsidRDefault="00980E5F">
            <w:pPr>
              <w:rPr>
                <w:rFonts w:ascii="宋体"/>
                <w:vanish/>
              </w:rPr>
            </w:pPr>
          </w:p>
        </w:tc>
        <w:tc>
          <w:tcPr>
            <w:tcW w:w="0" w:type="auto"/>
            <w:gridSpan w:val="3"/>
            <w:shd w:val="clear" w:color="auto" w:fill="auto"/>
            <w:vAlign w:val="bottom"/>
          </w:tcPr>
          <w:p w14:paraId="392C5A90" w14:textId="77777777" w:rsidR="00980E5F" w:rsidRDefault="00980E5F">
            <w:pPr>
              <w:rPr>
                <w:rFonts w:ascii="宋体"/>
                <w:vanish/>
              </w:rPr>
            </w:pPr>
          </w:p>
        </w:tc>
        <w:tc>
          <w:tcPr>
            <w:tcW w:w="0" w:type="auto"/>
            <w:gridSpan w:val="3"/>
            <w:shd w:val="clear" w:color="auto" w:fill="auto"/>
            <w:vAlign w:val="bottom"/>
          </w:tcPr>
          <w:p w14:paraId="392C5A91" w14:textId="77777777" w:rsidR="00980E5F" w:rsidRDefault="00980E5F">
            <w:pPr>
              <w:rPr>
                <w:rFonts w:ascii="宋体"/>
                <w:vanish/>
              </w:rPr>
            </w:pPr>
          </w:p>
        </w:tc>
        <w:tc>
          <w:tcPr>
            <w:tcW w:w="0" w:type="auto"/>
            <w:gridSpan w:val="3"/>
            <w:shd w:val="clear" w:color="auto" w:fill="auto"/>
            <w:vAlign w:val="bottom"/>
          </w:tcPr>
          <w:p w14:paraId="392C5A92" w14:textId="77777777" w:rsidR="00980E5F" w:rsidRDefault="00980E5F">
            <w:pPr>
              <w:rPr>
                <w:rFonts w:ascii="宋体"/>
                <w:vanish/>
              </w:rPr>
            </w:pPr>
          </w:p>
        </w:tc>
      </w:tr>
      <w:tr w:rsidR="00980E5F" w14:paraId="392C5AA3" w14:textId="77777777">
        <w:tc>
          <w:tcPr>
            <w:tcW w:w="0" w:type="auto"/>
            <w:gridSpan w:val="3"/>
            <w:shd w:val="clear" w:color="auto" w:fill="CCEEFF"/>
            <w:tcMar>
              <w:top w:w="40" w:type="dxa"/>
              <w:left w:w="20" w:type="dxa"/>
              <w:bottom w:w="40" w:type="dxa"/>
              <w:right w:w="20" w:type="dxa"/>
            </w:tcMar>
            <w:vAlign w:val="bottom"/>
          </w:tcPr>
          <w:p w14:paraId="392C5A94" w14:textId="77777777" w:rsidR="00980E5F" w:rsidRDefault="00483613">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392C5A95" w14:textId="77777777" w:rsidR="00980E5F" w:rsidRDefault="00483613">
            <w:pPr>
              <w:jc w:val="right"/>
              <w:textAlignment w:val="bottom"/>
            </w:pPr>
            <w:r>
              <w:rPr>
                <w:rFonts w:ascii="Arial" w:eastAsia="宋体" w:hAnsi="Arial" w:cs="Arial"/>
                <w:b/>
                <w:bCs/>
                <w:color w:val="000000"/>
                <w:sz w:val="13"/>
                <w:szCs w:val="13"/>
              </w:rPr>
              <w:t>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98" w14:textId="77777777" w:rsidR="00980E5F" w:rsidRDefault="00483613">
            <w:pPr>
              <w:jc w:val="right"/>
              <w:textAlignment w:val="bottom"/>
            </w:pPr>
            <w:r>
              <w:rPr>
                <w:rFonts w:ascii="Arial" w:eastAsia="宋体" w:hAnsi="Arial" w:cs="Arial"/>
                <w:b/>
                <w:bCs/>
                <w:color w:val="000000"/>
                <w:sz w:val="13"/>
                <w:szCs w:val="13"/>
              </w:rPr>
              <w:t>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9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9B"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9E" w14:textId="77777777" w:rsidR="00980E5F" w:rsidRDefault="00483613">
            <w:pPr>
              <w:jc w:val="right"/>
              <w:textAlignment w:val="bottom"/>
            </w:pPr>
            <w:r>
              <w:rPr>
                <w:rFonts w:ascii="Arial" w:eastAsia="宋体" w:hAnsi="Arial" w:cs="Arial"/>
                <w:b/>
                <w:bCs/>
                <w:color w:val="000000"/>
                <w:sz w:val="13"/>
                <w:szCs w:val="13"/>
              </w:rPr>
              <w:t>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A1"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A2" w14:textId="77777777" w:rsidR="00980E5F" w:rsidRDefault="00980E5F">
            <w:pPr>
              <w:jc w:val="right"/>
              <w:rPr>
                <w:rFonts w:ascii="宋体"/>
              </w:rPr>
            </w:pPr>
          </w:p>
        </w:tc>
      </w:tr>
      <w:tr w:rsidR="00980E5F" w14:paraId="392C5AAE" w14:textId="77777777">
        <w:trPr>
          <w:hidden/>
        </w:trPr>
        <w:tc>
          <w:tcPr>
            <w:tcW w:w="0" w:type="auto"/>
            <w:gridSpan w:val="3"/>
            <w:shd w:val="clear" w:color="auto" w:fill="auto"/>
            <w:vAlign w:val="bottom"/>
          </w:tcPr>
          <w:p w14:paraId="392C5AA4" w14:textId="77777777" w:rsidR="00980E5F" w:rsidRDefault="00980E5F">
            <w:pPr>
              <w:rPr>
                <w:rFonts w:ascii="宋体"/>
                <w:vanish/>
              </w:rPr>
            </w:pPr>
          </w:p>
        </w:tc>
        <w:tc>
          <w:tcPr>
            <w:tcW w:w="0" w:type="auto"/>
            <w:gridSpan w:val="3"/>
            <w:shd w:val="clear" w:color="auto" w:fill="auto"/>
            <w:vAlign w:val="bottom"/>
          </w:tcPr>
          <w:p w14:paraId="392C5AA5" w14:textId="77777777" w:rsidR="00980E5F" w:rsidRDefault="00980E5F">
            <w:pPr>
              <w:rPr>
                <w:rFonts w:ascii="宋体"/>
                <w:vanish/>
              </w:rPr>
            </w:pPr>
          </w:p>
        </w:tc>
        <w:tc>
          <w:tcPr>
            <w:tcW w:w="0" w:type="auto"/>
            <w:gridSpan w:val="3"/>
            <w:shd w:val="clear" w:color="auto" w:fill="auto"/>
            <w:vAlign w:val="bottom"/>
          </w:tcPr>
          <w:p w14:paraId="392C5AA6" w14:textId="77777777" w:rsidR="00980E5F" w:rsidRDefault="00980E5F">
            <w:pPr>
              <w:rPr>
                <w:rFonts w:ascii="宋体"/>
                <w:vanish/>
              </w:rPr>
            </w:pPr>
          </w:p>
        </w:tc>
        <w:tc>
          <w:tcPr>
            <w:tcW w:w="0" w:type="auto"/>
            <w:gridSpan w:val="3"/>
            <w:shd w:val="clear" w:color="auto" w:fill="auto"/>
            <w:vAlign w:val="bottom"/>
          </w:tcPr>
          <w:p w14:paraId="392C5AA7" w14:textId="77777777" w:rsidR="00980E5F" w:rsidRDefault="00980E5F">
            <w:pPr>
              <w:rPr>
                <w:rFonts w:ascii="宋体"/>
                <w:vanish/>
              </w:rPr>
            </w:pPr>
          </w:p>
        </w:tc>
        <w:tc>
          <w:tcPr>
            <w:tcW w:w="0" w:type="auto"/>
            <w:gridSpan w:val="3"/>
            <w:shd w:val="clear" w:color="auto" w:fill="auto"/>
            <w:vAlign w:val="bottom"/>
          </w:tcPr>
          <w:p w14:paraId="392C5AA8" w14:textId="77777777" w:rsidR="00980E5F" w:rsidRDefault="00980E5F">
            <w:pPr>
              <w:rPr>
                <w:rFonts w:ascii="宋体"/>
                <w:vanish/>
              </w:rPr>
            </w:pPr>
          </w:p>
        </w:tc>
        <w:tc>
          <w:tcPr>
            <w:tcW w:w="0" w:type="auto"/>
            <w:gridSpan w:val="3"/>
            <w:shd w:val="clear" w:color="auto" w:fill="auto"/>
            <w:vAlign w:val="bottom"/>
          </w:tcPr>
          <w:p w14:paraId="392C5AA9" w14:textId="77777777" w:rsidR="00980E5F" w:rsidRDefault="00980E5F">
            <w:pPr>
              <w:rPr>
                <w:rFonts w:ascii="宋体"/>
                <w:vanish/>
              </w:rPr>
            </w:pPr>
          </w:p>
        </w:tc>
        <w:tc>
          <w:tcPr>
            <w:tcW w:w="0" w:type="auto"/>
            <w:gridSpan w:val="3"/>
            <w:shd w:val="clear" w:color="auto" w:fill="auto"/>
            <w:vAlign w:val="bottom"/>
          </w:tcPr>
          <w:p w14:paraId="392C5AAA" w14:textId="77777777" w:rsidR="00980E5F" w:rsidRDefault="00980E5F">
            <w:pPr>
              <w:rPr>
                <w:rFonts w:ascii="宋体"/>
                <w:vanish/>
              </w:rPr>
            </w:pPr>
          </w:p>
        </w:tc>
        <w:tc>
          <w:tcPr>
            <w:tcW w:w="0" w:type="auto"/>
            <w:gridSpan w:val="3"/>
            <w:shd w:val="clear" w:color="auto" w:fill="auto"/>
            <w:vAlign w:val="bottom"/>
          </w:tcPr>
          <w:p w14:paraId="392C5AAB" w14:textId="77777777" w:rsidR="00980E5F" w:rsidRDefault="00980E5F">
            <w:pPr>
              <w:rPr>
                <w:rFonts w:ascii="宋体"/>
                <w:vanish/>
              </w:rPr>
            </w:pPr>
          </w:p>
        </w:tc>
        <w:tc>
          <w:tcPr>
            <w:tcW w:w="0" w:type="auto"/>
            <w:gridSpan w:val="3"/>
            <w:shd w:val="clear" w:color="auto" w:fill="auto"/>
            <w:vAlign w:val="bottom"/>
          </w:tcPr>
          <w:p w14:paraId="392C5AAC" w14:textId="77777777" w:rsidR="00980E5F" w:rsidRDefault="00980E5F">
            <w:pPr>
              <w:rPr>
                <w:rFonts w:ascii="宋体"/>
                <w:vanish/>
              </w:rPr>
            </w:pPr>
          </w:p>
        </w:tc>
        <w:tc>
          <w:tcPr>
            <w:tcW w:w="0" w:type="auto"/>
            <w:gridSpan w:val="3"/>
            <w:shd w:val="clear" w:color="auto" w:fill="auto"/>
            <w:vAlign w:val="bottom"/>
          </w:tcPr>
          <w:p w14:paraId="392C5AAD" w14:textId="77777777" w:rsidR="00980E5F" w:rsidRDefault="00980E5F">
            <w:pPr>
              <w:rPr>
                <w:rFonts w:ascii="宋体"/>
                <w:vanish/>
              </w:rPr>
            </w:pPr>
          </w:p>
        </w:tc>
      </w:tr>
      <w:tr w:rsidR="00980E5F" w14:paraId="392C5ABE" w14:textId="77777777">
        <w:tc>
          <w:tcPr>
            <w:tcW w:w="0" w:type="auto"/>
            <w:gridSpan w:val="3"/>
            <w:shd w:val="clear" w:color="auto" w:fill="FFFFFF"/>
            <w:tcMar>
              <w:top w:w="40" w:type="dxa"/>
              <w:left w:w="20" w:type="dxa"/>
              <w:bottom w:w="40" w:type="dxa"/>
              <w:right w:w="20" w:type="dxa"/>
            </w:tcMar>
            <w:vAlign w:val="bottom"/>
          </w:tcPr>
          <w:p w14:paraId="392C5AAF" w14:textId="77777777" w:rsidR="00980E5F" w:rsidRDefault="00483613">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392C5AB0" w14:textId="77777777" w:rsidR="00980E5F" w:rsidRDefault="00483613">
            <w:pPr>
              <w:jc w:val="right"/>
              <w:textAlignment w:val="bottom"/>
            </w:pPr>
            <w:r>
              <w:rPr>
                <w:rFonts w:ascii="Arial" w:eastAsia="宋体" w:hAnsi="Arial" w:cs="Arial"/>
                <w:b/>
                <w:bCs/>
                <w:color w:val="000000"/>
                <w:sz w:val="13"/>
                <w:szCs w:val="13"/>
              </w:rPr>
              <w:t>13,530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B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B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B3" w14:textId="77777777" w:rsidR="00980E5F" w:rsidRDefault="00483613">
            <w:pPr>
              <w:jc w:val="right"/>
              <w:textAlignment w:val="bottom"/>
            </w:pPr>
            <w:r>
              <w:rPr>
                <w:rFonts w:ascii="Arial" w:eastAsia="宋体" w:hAnsi="Arial" w:cs="Arial"/>
                <w:b/>
                <w:bCs/>
                <w:color w:val="000000"/>
                <w:sz w:val="13"/>
                <w:szCs w:val="13"/>
              </w:rPr>
              <w:t>12,771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B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B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B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B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B9" w14:textId="77777777" w:rsidR="00980E5F" w:rsidRDefault="00483613">
            <w:pPr>
              <w:jc w:val="right"/>
              <w:textAlignment w:val="bottom"/>
            </w:pPr>
            <w:r>
              <w:rPr>
                <w:rFonts w:ascii="Arial" w:eastAsia="宋体" w:hAnsi="Arial" w:cs="Arial"/>
                <w:b/>
                <w:bCs/>
                <w:color w:val="000000"/>
                <w:sz w:val="13"/>
                <w:szCs w:val="13"/>
              </w:rPr>
              <w:t>12,633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AB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ABC" w14:textId="77777777" w:rsidR="00980E5F" w:rsidRDefault="00483613">
            <w:pPr>
              <w:jc w:val="right"/>
              <w:textAlignment w:val="bottom"/>
            </w:pPr>
            <w:r>
              <w:rPr>
                <w:rFonts w:ascii="Arial" w:eastAsia="宋体" w:hAnsi="Arial" w:cs="Arial"/>
                <w:b/>
                <w:bCs/>
                <w:color w:val="000000"/>
                <w:sz w:val="13"/>
                <w:szCs w:val="13"/>
              </w:rPr>
              <w:t>138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ABD" w14:textId="77777777" w:rsidR="00980E5F" w:rsidRDefault="00980E5F">
            <w:pPr>
              <w:jc w:val="right"/>
              <w:rPr>
                <w:rFonts w:ascii="宋体"/>
              </w:rPr>
            </w:pPr>
          </w:p>
        </w:tc>
      </w:tr>
      <w:tr w:rsidR="00980E5F" w14:paraId="392C5ACE" w14:textId="77777777">
        <w:tc>
          <w:tcPr>
            <w:tcW w:w="0" w:type="auto"/>
            <w:gridSpan w:val="3"/>
            <w:shd w:val="clear" w:color="auto" w:fill="CCEEFF"/>
            <w:tcMar>
              <w:top w:w="40" w:type="dxa"/>
              <w:left w:w="20" w:type="dxa"/>
              <w:bottom w:w="40" w:type="dxa"/>
              <w:right w:w="20" w:type="dxa"/>
            </w:tcMar>
            <w:vAlign w:val="bottom"/>
          </w:tcPr>
          <w:p w14:paraId="392C5ABF" w14:textId="77777777" w:rsidR="00980E5F" w:rsidRDefault="00483613">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392C5AC0"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C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C3"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C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C6"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C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C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C9"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AC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ACC"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ACD" w14:textId="77777777" w:rsidR="00980E5F" w:rsidRDefault="00980E5F">
            <w:pPr>
              <w:jc w:val="right"/>
              <w:rPr>
                <w:rFonts w:ascii="宋体"/>
              </w:rPr>
            </w:pPr>
          </w:p>
        </w:tc>
      </w:tr>
    </w:tbl>
    <w:p w14:paraId="392C5ACF"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980E5F" w14:paraId="392C5ADC" w14:textId="77777777">
        <w:tc>
          <w:tcPr>
            <w:tcW w:w="50" w:type="pct"/>
            <w:shd w:val="clear" w:color="auto" w:fill="auto"/>
            <w:vAlign w:val="bottom"/>
          </w:tcPr>
          <w:p w14:paraId="392C5AD0" w14:textId="77777777" w:rsidR="00980E5F" w:rsidRDefault="00980E5F">
            <w:pPr>
              <w:rPr>
                <w:rFonts w:ascii="宋体"/>
              </w:rPr>
            </w:pPr>
          </w:p>
        </w:tc>
        <w:tc>
          <w:tcPr>
            <w:tcW w:w="1348" w:type="pct"/>
            <w:shd w:val="clear" w:color="auto" w:fill="auto"/>
            <w:vAlign w:val="bottom"/>
          </w:tcPr>
          <w:p w14:paraId="392C5AD1" w14:textId="77777777" w:rsidR="00980E5F" w:rsidRDefault="00980E5F">
            <w:pPr>
              <w:rPr>
                <w:rFonts w:ascii="宋体"/>
              </w:rPr>
            </w:pPr>
          </w:p>
        </w:tc>
        <w:tc>
          <w:tcPr>
            <w:tcW w:w="5" w:type="pct"/>
            <w:shd w:val="clear" w:color="auto" w:fill="auto"/>
            <w:vAlign w:val="bottom"/>
          </w:tcPr>
          <w:p w14:paraId="392C5AD2" w14:textId="77777777" w:rsidR="00980E5F" w:rsidRDefault="00980E5F">
            <w:pPr>
              <w:rPr>
                <w:rFonts w:ascii="宋体"/>
              </w:rPr>
            </w:pPr>
          </w:p>
        </w:tc>
        <w:tc>
          <w:tcPr>
            <w:tcW w:w="50" w:type="pct"/>
            <w:shd w:val="clear" w:color="auto" w:fill="auto"/>
            <w:vAlign w:val="bottom"/>
          </w:tcPr>
          <w:p w14:paraId="392C5AD3" w14:textId="77777777" w:rsidR="00980E5F" w:rsidRDefault="00980E5F">
            <w:pPr>
              <w:rPr>
                <w:rFonts w:ascii="宋体"/>
              </w:rPr>
            </w:pPr>
          </w:p>
        </w:tc>
        <w:tc>
          <w:tcPr>
            <w:tcW w:w="968" w:type="pct"/>
            <w:shd w:val="clear" w:color="auto" w:fill="auto"/>
            <w:vAlign w:val="bottom"/>
          </w:tcPr>
          <w:p w14:paraId="392C5AD4" w14:textId="77777777" w:rsidR="00980E5F" w:rsidRDefault="00980E5F">
            <w:pPr>
              <w:rPr>
                <w:rFonts w:ascii="宋体"/>
              </w:rPr>
            </w:pPr>
          </w:p>
        </w:tc>
        <w:tc>
          <w:tcPr>
            <w:tcW w:w="5" w:type="pct"/>
            <w:shd w:val="clear" w:color="auto" w:fill="auto"/>
            <w:vAlign w:val="bottom"/>
          </w:tcPr>
          <w:p w14:paraId="392C5AD5" w14:textId="77777777" w:rsidR="00980E5F" w:rsidRDefault="00980E5F">
            <w:pPr>
              <w:rPr>
                <w:rFonts w:ascii="宋体"/>
              </w:rPr>
            </w:pPr>
          </w:p>
        </w:tc>
        <w:tc>
          <w:tcPr>
            <w:tcW w:w="50" w:type="pct"/>
            <w:shd w:val="clear" w:color="auto" w:fill="auto"/>
            <w:vAlign w:val="bottom"/>
          </w:tcPr>
          <w:p w14:paraId="392C5AD6" w14:textId="77777777" w:rsidR="00980E5F" w:rsidRDefault="00980E5F">
            <w:pPr>
              <w:rPr>
                <w:rFonts w:ascii="宋体"/>
              </w:rPr>
            </w:pPr>
          </w:p>
        </w:tc>
        <w:tc>
          <w:tcPr>
            <w:tcW w:w="858" w:type="pct"/>
            <w:shd w:val="clear" w:color="auto" w:fill="auto"/>
            <w:vAlign w:val="bottom"/>
          </w:tcPr>
          <w:p w14:paraId="392C5AD7" w14:textId="77777777" w:rsidR="00980E5F" w:rsidRDefault="00980E5F">
            <w:pPr>
              <w:rPr>
                <w:rFonts w:ascii="宋体"/>
              </w:rPr>
            </w:pPr>
          </w:p>
        </w:tc>
        <w:tc>
          <w:tcPr>
            <w:tcW w:w="5" w:type="pct"/>
            <w:shd w:val="clear" w:color="auto" w:fill="auto"/>
            <w:vAlign w:val="bottom"/>
          </w:tcPr>
          <w:p w14:paraId="392C5AD8" w14:textId="77777777" w:rsidR="00980E5F" w:rsidRDefault="00980E5F">
            <w:pPr>
              <w:rPr>
                <w:rFonts w:ascii="宋体"/>
              </w:rPr>
            </w:pPr>
          </w:p>
        </w:tc>
        <w:tc>
          <w:tcPr>
            <w:tcW w:w="50" w:type="pct"/>
            <w:shd w:val="clear" w:color="auto" w:fill="auto"/>
            <w:vAlign w:val="bottom"/>
          </w:tcPr>
          <w:p w14:paraId="392C5AD9" w14:textId="77777777" w:rsidR="00980E5F" w:rsidRDefault="00980E5F">
            <w:pPr>
              <w:rPr>
                <w:rFonts w:ascii="宋体"/>
              </w:rPr>
            </w:pPr>
          </w:p>
        </w:tc>
        <w:tc>
          <w:tcPr>
            <w:tcW w:w="1604" w:type="pct"/>
            <w:shd w:val="clear" w:color="auto" w:fill="auto"/>
            <w:vAlign w:val="bottom"/>
          </w:tcPr>
          <w:p w14:paraId="392C5ADA" w14:textId="77777777" w:rsidR="00980E5F" w:rsidRDefault="00980E5F">
            <w:pPr>
              <w:rPr>
                <w:rFonts w:ascii="宋体"/>
              </w:rPr>
            </w:pPr>
          </w:p>
        </w:tc>
        <w:tc>
          <w:tcPr>
            <w:tcW w:w="5" w:type="pct"/>
            <w:shd w:val="clear" w:color="auto" w:fill="auto"/>
            <w:vAlign w:val="bottom"/>
          </w:tcPr>
          <w:p w14:paraId="392C5ADB" w14:textId="77777777" w:rsidR="00980E5F" w:rsidRDefault="00980E5F">
            <w:pPr>
              <w:rPr>
                <w:rFonts w:ascii="宋体"/>
              </w:rPr>
            </w:pPr>
          </w:p>
        </w:tc>
      </w:tr>
      <w:tr w:rsidR="00980E5F" w14:paraId="392C5AE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5AD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AD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A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AE0" w14:textId="77777777" w:rsidR="00980E5F" w:rsidRDefault="00980E5F">
            <w:pPr>
              <w:rPr>
                <w:rFonts w:ascii="宋体"/>
              </w:rPr>
            </w:pPr>
          </w:p>
        </w:tc>
      </w:tr>
    </w:tbl>
    <w:p w14:paraId="392C5AE2" w14:textId="77777777" w:rsidR="00980E5F" w:rsidRDefault="00483613">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Includes $155 million of loans classified as held-for-sale that were measured at fair value in level 2 as of June 30, 2022.</w:t>
      </w:r>
    </w:p>
    <w:p w14:paraId="392C5AE3" w14:textId="77777777" w:rsidR="00980E5F" w:rsidRDefault="00483613">
      <w:pPr>
        <w:spacing w:before="2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tra</w:t>
      </w:r>
      <w:r>
        <w:rPr>
          <w:rFonts w:ascii="Arial" w:eastAsia="宋体" w:hAnsi="Arial" w:cs="Arial"/>
          <w:color w:val="000000"/>
          <w:sz w:val="12"/>
          <w:szCs w:val="12"/>
        </w:rPr>
        <w:t>nsfer and re-pledge.</w:t>
      </w:r>
    </w:p>
    <w:p w14:paraId="392C5AE4" w14:textId="77777777" w:rsidR="00980E5F" w:rsidRDefault="00483613">
      <w:pPr>
        <w:ind w:firstLine="450"/>
        <w:jc w:val="right"/>
      </w:pPr>
      <w:r>
        <w:rPr>
          <w:rFonts w:ascii="Arial" w:eastAsia="宋体" w:hAnsi="Arial" w:cs="Arial"/>
          <w:color w:val="000000"/>
          <w:sz w:val="18"/>
          <w:szCs w:val="18"/>
        </w:rPr>
        <w:t>State Street Corporation | 65</w:t>
      </w:r>
    </w:p>
    <w:p w14:paraId="392C5AE5" w14:textId="77777777" w:rsidR="00980E5F" w:rsidRDefault="00980E5F">
      <w:pPr>
        <w:ind w:firstLine="450"/>
        <w:jc w:val="center"/>
      </w:pPr>
    </w:p>
    <w:p w14:paraId="392C5AE6" w14:textId="77777777" w:rsidR="00980E5F" w:rsidRDefault="00483613">
      <w:r>
        <w:pict w14:anchorId="392CBB0F">
          <v:rect id="_x0000_i1089" style="width:415.3pt;height:1.5pt" o:hralign="center" o:hrstd="t" o:hr="t" fillcolor="#a0a0a0" stroked="f"/>
        </w:pict>
      </w:r>
    </w:p>
    <w:p w14:paraId="392C5AE7" w14:textId="77777777" w:rsidR="00980E5F" w:rsidRDefault="00483613">
      <w:pPr>
        <w:ind w:firstLine="450"/>
        <w:jc w:val="center"/>
      </w:pPr>
      <w:r>
        <w:rPr>
          <w:rFonts w:ascii="Arial" w:eastAsia="宋体" w:hAnsi="Arial" w:cs="Arial"/>
          <w:b/>
          <w:bCs/>
          <w:color w:val="000000"/>
          <w:sz w:val="20"/>
          <w:szCs w:val="20"/>
        </w:rPr>
        <w:t>STATE STREET CORPORATION</w:t>
      </w:r>
    </w:p>
    <w:p w14:paraId="392C5AE8"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5AE9"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5"/>
        <w:gridCol w:w="2268"/>
        <w:gridCol w:w="39"/>
        <w:gridCol w:w="94"/>
        <w:gridCol w:w="741"/>
        <w:gridCol w:w="36"/>
        <w:gridCol w:w="36"/>
        <w:gridCol w:w="36"/>
        <w:gridCol w:w="36"/>
        <w:gridCol w:w="94"/>
        <w:gridCol w:w="688"/>
        <w:gridCol w:w="36"/>
        <w:gridCol w:w="36"/>
        <w:gridCol w:w="36"/>
        <w:gridCol w:w="36"/>
        <w:gridCol w:w="94"/>
        <w:gridCol w:w="1082"/>
        <w:gridCol w:w="36"/>
        <w:gridCol w:w="36"/>
        <w:gridCol w:w="36"/>
        <w:gridCol w:w="36"/>
        <w:gridCol w:w="94"/>
        <w:gridCol w:w="1130"/>
        <w:gridCol w:w="36"/>
        <w:gridCol w:w="36"/>
        <w:gridCol w:w="36"/>
        <w:gridCol w:w="36"/>
        <w:gridCol w:w="94"/>
        <w:gridCol w:w="1261"/>
        <w:gridCol w:w="36"/>
      </w:tblGrid>
      <w:tr w:rsidR="00980E5F" w14:paraId="392C5B08" w14:textId="77777777">
        <w:tc>
          <w:tcPr>
            <w:tcW w:w="50" w:type="pct"/>
            <w:shd w:val="clear" w:color="auto" w:fill="auto"/>
            <w:vAlign w:val="bottom"/>
          </w:tcPr>
          <w:p w14:paraId="392C5AEA" w14:textId="77777777" w:rsidR="00980E5F" w:rsidRDefault="00980E5F">
            <w:pPr>
              <w:rPr>
                <w:rFonts w:ascii="宋体"/>
              </w:rPr>
            </w:pPr>
          </w:p>
        </w:tc>
        <w:tc>
          <w:tcPr>
            <w:tcW w:w="1399" w:type="pct"/>
            <w:shd w:val="clear" w:color="auto" w:fill="auto"/>
            <w:vAlign w:val="bottom"/>
          </w:tcPr>
          <w:p w14:paraId="392C5AEB" w14:textId="77777777" w:rsidR="00980E5F" w:rsidRDefault="00980E5F">
            <w:pPr>
              <w:rPr>
                <w:rFonts w:ascii="宋体"/>
              </w:rPr>
            </w:pPr>
          </w:p>
        </w:tc>
        <w:tc>
          <w:tcPr>
            <w:tcW w:w="5" w:type="pct"/>
            <w:shd w:val="clear" w:color="auto" w:fill="auto"/>
            <w:vAlign w:val="bottom"/>
          </w:tcPr>
          <w:p w14:paraId="392C5AEC" w14:textId="77777777" w:rsidR="00980E5F" w:rsidRDefault="00980E5F">
            <w:pPr>
              <w:rPr>
                <w:rFonts w:ascii="宋体"/>
              </w:rPr>
            </w:pPr>
          </w:p>
        </w:tc>
        <w:tc>
          <w:tcPr>
            <w:tcW w:w="50" w:type="pct"/>
            <w:shd w:val="clear" w:color="auto" w:fill="auto"/>
            <w:vAlign w:val="bottom"/>
          </w:tcPr>
          <w:p w14:paraId="392C5AED" w14:textId="77777777" w:rsidR="00980E5F" w:rsidRDefault="00980E5F">
            <w:pPr>
              <w:rPr>
                <w:rFonts w:ascii="宋体"/>
              </w:rPr>
            </w:pPr>
          </w:p>
        </w:tc>
        <w:tc>
          <w:tcPr>
            <w:tcW w:w="478" w:type="pct"/>
            <w:shd w:val="clear" w:color="auto" w:fill="auto"/>
            <w:vAlign w:val="bottom"/>
          </w:tcPr>
          <w:p w14:paraId="392C5AEE" w14:textId="77777777" w:rsidR="00980E5F" w:rsidRDefault="00980E5F">
            <w:pPr>
              <w:rPr>
                <w:rFonts w:ascii="宋体"/>
              </w:rPr>
            </w:pPr>
          </w:p>
        </w:tc>
        <w:tc>
          <w:tcPr>
            <w:tcW w:w="5" w:type="pct"/>
            <w:shd w:val="clear" w:color="auto" w:fill="auto"/>
            <w:vAlign w:val="bottom"/>
          </w:tcPr>
          <w:p w14:paraId="392C5AEF" w14:textId="77777777" w:rsidR="00980E5F" w:rsidRDefault="00980E5F">
            <w:pPr>
              <w:rPr>
                <w:rFonts w:ascii="宋体"/>
              </w:rPr>
            </w:pPr>
          </w:p>
        </w:tc>
        <w:tc>
          <w:tcPr>
            <w:tcW w:w="5" w:type="pct"/>
            <w:shd w:val="clear" w:color="auto" w:fill="auto"/>
            <w:vAlign w:val="bottom"/>
          </w:tcPr>
          <w:p w14:paraId="392C5AF0" w14:textId="77777777" w:rsidR="00980E5F" w:rsidRDefault="00980E5F">
            <w:pPr>
              <w:rPr>
                <w:rFonts w:ascii="宋体"/>
              </w:rPr>
            </w:pPr>
          </w:p>
        </w:tc>
        <w:tc>
          <w:tcPr>
            <w:tcW w:w="26" w:type="pct"/>
            <w:shd w:val="clear" w:color="auto" w:fill="auto"/>
            <w:vAlign w:val="bottom"/>
          </w:tcPr>
          <w:p w14:paraId="392C5AF1" w14:textId="77777777" w:rsidR="00980E5F" w:rsidRDefault="00980E5F">
            <w:pPr>
              <w:rPr>
                <w:rFonts w:ascii="宋体"/>
              </w:rPr>
            </w:pPr>
          </w:p>
        </w:tc>
        <w:tc>
          <w:tcPr>
            <w:tcW w:w="5" w:type="pct"/>
            <w:shd w:val="clear" w:color="auto" w:fill="auto"/>
            <w:vAlign w:val="bottom"/>
          </w:tcPr>
          <w:p w14:paraId="392C5AF2" w14:textId="77777777" w:rsidR="00980E5F" w:rsidRDefault="00980E5F">
            <w:pPr>
              <w:rPr>
                <w:rFonts w:ascii="宋体"/>
              </w:rPr>
            </w:pPr>
          </w:p>
        </w:tc>
        <w:tc>
          <w:tcPr>
            <w:tcW w:w="50" w:type="pct"/>
            <w:shd w:val="clear" w:color="auto" w:fill="auto"/>
            <w:vAlign w:val="bottom"/>
          </w:tcPr>
          <w:p w14:paraId="392C5AF3" w14:textId="77777777" w:rsidR="00980E5F" w:rsidRDefault="00980E5F">
            <w:pPr>
              <w:rPr>
                <w:rFonts w:ascii="宋体"/>
              </w:rPr>
            </w:pPr>
          </w:p>
        </w:tc>
        <w:tc>
          <w:tcPr>
            <w:tcW w:w="471" w:type="pct"/>
            <w:shd w:val="clear" w:color="auto" w:fill="auto"/>
            <w:vAlign w:val="bottom"/>
          </w:tcPr>
          <w:p w14:paraId="392C5AF4" w14:textId="77777777" w:rsidR="00980E5F" w:rsidRDefault="00980E5F">
            <w:pPr>
              <w:rPr>
                <w:rFonts w:ascii="宋体"/>
              </w:rPr>
            </w:pPr>
          </w:p>
        </w:tc>
        <w:tc>
          <w:tcPr>
            <w:tcW w:w="5" w:type="pct"/>
            <w:shd w:val="clear" w:color="auto" w:fill="auto"/>
            <w:vAlign w:val="bottom"/>
          </w:tcPr>
          <w:p w14:paraId="392C5AF5" w14:textId="77777777" w:rsidR="00980E5F" w:rsidRDefault="00980E5F">
            <w:pPr>
              <w:rPr>
                <w:rFonts w:ascii="宋体"/>
              </w:rPr>
            </w:pPr>
          </w:p>
        </w:tc>
        <w:tc>
          <w:tcPr>
            <w:tcW w:w="5" w:type="pct"/>
            <w:shd w:val="clear" w:color="auto" w:fill="auto"/>
            <w:vAlign w:val="bottom"/>
          </w:tcPr>
          <w:p w14:paraId="392C5AF6" w14:textId="77777777" w:rsidR="00980E5F" w:rsidRDefault="00980E5F">
            <w:pPr>
              <w:rPr>
                <w:rFonts w:ascii="宋体"/>
              </w:rPr>
            </w:pPr>
          </w:p>
        </w:tc>
        <w:tc>
          <w:tcPr>
            <w:tcW w:w="26" w:type="pct"/>
            <w:shd w:val="clear" w:color="auto" w:fill="auto"/>
            <w:vAlign w:val="bottom"/>
          </w:tcPr>
          <w:p w14:paraId="392C5AF7" w14:textId="77777777" w:rsidR="00980E5F" w:rsidRDefault="00980E5F">
            <w:pPr>
              <w:rPr>
                <w:rFonts w:ascii="宋体"/>
              </w:rPr>
            </w:pPr>
          </w:p>
        </w:tc>
        <w:tc>
          <w:tcPr>
            <w:tcW w:w="5" w:type="pct"/>
            <w:shd w:val="clear" w:color="auto" w:fill="auto"/>
            <w:vAlign w:val="bottom"/>
          </w:tcPr>
          <w:p w14:paraId="392C5AF8" w14:textId="77777777" w:rsidR="00980E5F" w:rsidRDefault="00980E5F">
            <w:pPr>
              <w:rPr>
                <w:rFonts w:ascii="宋体"/>
              </w:rPr>
            </w:pPr>
          </w:p>
        </w:tc>
        <w:tc>
          <w:tcPr>
            <w:tcW w:w="50" w:type="pct"/>
            <w:shd w:val="clear" w:color="auto" w:fill="auto"/>
            <w:vAlign w:val="bottom"/>
          </w:tcPr>
          <w:p w14:paraId="392C5AF9" w14:textId="77777777" w:rsidR="00980E5F" w:rsidRDefault="00980E5F">
            <w:pPr>
              <w:rPr>
                <w:rFonts w:ascii="宋体"/>
              </w:rPr>
            </w:pPr>
          </w:p>
        </w:tc>
        <w:tc>
          <w:tcPr>
            <w:tcW w:w="705" w:type="pct"/>
            <w:shd w:val="clear" w:color="auto" w:fill="auto"/>
            <w:vAlign w:val="bottom"/>
          </w:tcPr>
          <w:p w14:paraId="392C5AFA" w14:textId="77777777" w:rsidR="00980E5F" w:rsidRDefault="00980E5F">
            <w:pPr>
              <w:rPr>
                <w:rFonts w:ascii="宋体"/>
              </w:rPr>
            </w:pPr>
          </w:p>
        </w:tc>
        <w:tc>
          <w:tcPr>
            <w:tcW w:w="5" w:type="pct"/>
            <w:shd w:val="clear" w:color="auto" w:fill="auto"/>
            <w:vAlign w:val="bottom"/>
          </w:tcPr>
          <w:p w14:paraId="392C5AFB" w14:textId="77777777" w:rsidR="00980E5F" w:rsidRDefault="00980E5F">
            <w:pPr>
              <w:rPr>
                <w:rFonts w:ascii="宋体"/>
              </w:rPr>
            </w:pPr>
          </w:p>
        </w:tc>
        <w:tc>
          <w:tcPr>
            <w:tcW w:w="5" w:type="pct"/>
            <w:shd w:val="clear" w:color="auto" w:fill="auto"/>
            <w:vAlign w:val="bottom"/>
          </w:tcPr>
          <w:p w14:paraId="392C5AFC" w14:textId="77777777" w:rsidR="00980E5F" w:rsidRDefault="00980E5F">
            <w:pPr>
              <w:rPr>
                <w:rFonts w:ascii="宋体"/>
              </w:rPr>
            </w:pPr>
          </w:p>
        </w:tc>
        <w:tc>
          <w:tcPr>
            <w:tcW w:w="26" w:type="pct"/>
            <w:shd w:val="clear" w:color="auto" w:fill="auto"/>
            <w:vAlign w:val="bottom"/>
          </w:tcPr>
          <w:p w14:paraId="392C5AFD" w14:textId="77777777" w:rsidR="00980E5F" w:rsidRDefault="00980E5F">
            <w:pPr>
              <w:rPr>
                <w:rFonts w:ascii="宋体"/>
              </w:rPr>
            </w:pPr>
          </w:p>
        </w:tc>
        <w:tc>
          <w:tcPr>
            <w:tcW w:w="5" w:type="pct"/>
            <w:shd w:val="clear" w:color="auto" w:fill="auto"/>
            <w:vAlign w:val="bottom"/>
          </w:tcPr>
          <w:p w14:paraId="392C5AFE" w14:textId="77777777" w:rsidR="00980E5F" w:rsidRDefault="00980E5F">
            <w:pPr>
              <w:rPr>
                <w:rFonts w:ascii="宋体"/>
              </w:rPr>
            </w:pPr>
          </w:p>
        </w:tc>
        <w:tc>
          <w:tcPr>
            <w:tcW w:w="50" w:type="pct"/>
            <w:shd w:val="clear" w:color="auto" w:fill="auto"/>
            <w:vAlign w:val="bottom"/>
          </w:tcPr>
          <w:p w14:paraId="392C5AFF" w14:textId="77777777" w:rsidR="00980E5F" w:rsidRDefault="00980E5F">
            <w:pPr>
              <w:rPr>
                <w:rFonts w:ascii="宋体"/>
              </w:rPr>
            </w:pPr>
          </w:p>
        </w:tc>
        <w:tc>
          <w:tcPr>
            <w:tcW w:w="734" w:type="pct"/>
            <w:shd w:val="clear" w:color="auto" w:fill="auto"/>
            <w:vAlign w:val="bottom"/>
          </w:tcPr>
          <w:p w14:paraId="392C5B00" w14:textId="77777777" w:rsidR="00980E5F" w:rsidRDefault="00980E5F">
            <w:pPr>
              <w:rPr>
                <w:rFonts w:ascii="宋体"/>
              </w:rPr>
            </w:pPr>
          </w:p>
        </w:tc>
        <w:tc>
          <w:tcPr>
            <w:tcW w:w="5" w:type="pct"/>
            <w:shd w:val="clear" w:color="auto" w:fill="auto"/>
            <w:vAlign w:val="bottom"/>
          </w:tcPr>
          <w:p w14:paraId="392C5B01" w14:textId="77777777" w:rsidR="00980E5F" w:rsidRDefault="00980E5F">
            <w:pPr>
              <w:rPr>
                <w:rFonts w:ascii="宋体"/>
              </w:rPr>
            </w:pPr>
          </w:p>
        </w:tc>
        <w:tc>
          <w:tcPr>
            <w:tcW w:w="5" w:type="pct"/>
            <w:shd w:val="clear" w:color="auto" w:fill="auto"/>
            <w:vAlign w:val="bottom"/>
          </w:tcPr>
          <w:p w14:paraId="392C5B02" w14:textId="77777777" w:rsidR="00980E5F" w:rsidRDefault="00980E5F">
            <w:pPr>
              <w:rPr>
                <w:rFonts w:ascii="宋体"/>
              </w:rPr>
            </w:pPr>
          </w:p>
        </w:tc>
        <w:tc>
          <w:tcPr>
            <w:tcW w:w="26" w:type="pct"/>
            <w:shd w:val="clear" w:color="auto" w:fill="auto"/>
            <w:vAlign w:val="bottom"/>
          </w:tcPr>
          <w:p w14:paraId="392C5B03" w14:textId="77777777" w:rsidR="00980E5F" w:rsidRDefault="00980E5F">
            <w:pPr>
              <w:rPr>
                <w:rFonts w:ascii="宋体"/>
              </w:rPr>
            </w:pPr>
          </w:p>
        </w:tc>
        <w:tc>
          <w:tcPr>
            <w:tcW w:w="5" w:type="pct"/>
            <w:shd w:val="clear" w:color="auto" w:fill="auto"/>
            <w:vAlign w:val="bottom"/>
          </w:tcPr>
          <w:p w14:paraId="392C5B04" w14:textId="77777777" w:rsidR="00980E5F" w:rsidRDefault="00980E5F">
            <w:pPr>
              <w:rPr>
                <w:rFonts w:ascii="宋体"/>
              </w:rPr>
            </w:pPr>
          </w:p>
        </w:tc>
        <w:tc>
          <w:tcPr>
            <w:tcW w:w="50" w:type="pct"/>
            <w:shd w:val="clear" w:color="auto" w:fill="auto"/>
            <w:vAlign w:val="bottom"/>
          </w:tcPr>
          <w:p w14:paraId="392C5B05" w14:textId="77777777" w:rsidR="00980E5F" w:rsidRDefault="00980E5F">
            <w:pPr>
              <w:rPr>
                <w:rFonts w:ascii="宋体"/>
              </w:rPr>
            </w:pPr>
          </w:p>
        </w:tc>
        <w:tc>
          <w:tcPr>
            <w:tcW w:w="734" w:type="pct"/>
            <w:shd w:val="clear" w:color="auto" w:fill="auto"/>
            <w:vAlign w:val="bottom"/>
          </w:tcPr>
          <w:p w14:paraId="392C5B06" w14:textId="77777777" w:rsidR="00980E5F" w:rsidRDefault="00980E5F">
            <w:pPr>
              <w:rPr>
                <w:rFonts w:ascii="宋体"/>
              </w:rPr>
            </w:pPr>
          </w:p>
        </w:tc>
        <w:tc>
          <w:tcPr>
            <w:tcW w:w="5" w:type="pct"/>
            <w:shd w:val="clear" w:color="auto" w:fill="auto"/>
            <w:vAlign w:val="bottom"/>
          </w:tcPr>
          <w:p w14:paraId="392C5B07" w14:textId="77777777" w:rsidR="00980E5F" w:rsidRDefault="00980E5F">
            <w:pPr>
              <w:rPr>
                <w:rFonts w:ascii="宋体"/>
              </w:rPr>
            </w:pPr>
          </w:p>
        </w:tc>
      </w:tr>
      <w:tr w:rsidR="00980E5F" w14:paraId="392C5B0F" w14:textId="77777777">
        <w:tc>
          <w:tcPr>
            <w:tcW w:w="0" w:type="auto"/>
            <w:gridSpan w:val="3"/>
            <w:shd w:val="clear" w:color="auto" w:fill="auto"/>
            <w:tcMar>
              <w:top w:w="0" w:type="dxa"/>
              <w:left w:w="20" w:type="dxa"/>
              <w:bottom w:w="0" w:type="dxa"/>
              <w:right w:w="20" w:type="dxa"/>
            </w:tcMar>
            <w:vAlign w:val="bottom"/>
          </w:tcPr>
          <w:p w14:paraId="392C5B0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0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0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0D"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5B0E" w14:textId="77777777" w:rsidR="00980E5F" w:rsidRDefault="00483613">
            <w:pPr>
              <w:jc w:val="center"/>
              <w:textAlignment w:val="bottom"/>
            </w:pPr>
            <w:r>
              <w:rPr>
                <w:rFonts w:ascii="Arial" w:eastAsia="宋体" w:hAnsi="Arial" w:cs="Arial"/>
                <w:b/>
                <w:bCs/>
                <w:color w:val="000000"/>
                <w:sz w:val="13"/>
                <w:szCs w:val="13"/>
              </w:rPr>
              <w:t>Fair Value Hierarchy</w:t>
            </w:r>
          </w:p>
        </w:tc>
      </w:tr>
      <w:tr w:rsidR="00980E5F" w14:paraId="392C5B1A" w14:textId="77777777">
        <w:tc>
          <w:tcPr>
            <w:tcW w:w="0" w:type="auto"/>
            <w:gridSpan w:val="3"/>
            <w:shd w:val="clear" w:color="auto" w:fill="auto"/>
            <w:tcMar>
              <w:top w:w="40" w:type="dxa"/>
              <w:left w:w="20" w:type="dxa"/>
              <w:bottom w:w="40" w:type="dxa"/>
              <w:right w:w="20" w:type="dxa"/>
            </w:tcMar>
            <w:vAlign w:val="bottom"/>
          </w:tcPr>
          <w:p w14:paraId="392C5B10"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5B11" w14:textId="77777777" w:rsidR="00980E5F" w:rsidRDefault="00483613">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392C5B1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5B13" w14:textId="77777777" w:rsidR="00980E5F" w:rsidRDefault="00483613">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392C5B1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B15" w14:textId="77777777" w:rsidR="00980E5F" w:rsidRDefault="00483613">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1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B17" w14:textId="77777777" w:rsidR="00980E5F" w:rsidRDefault="00483613">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1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B19" w14:textId="77777777" w:rsidR="00980E5F" w:rsidRDefault="00483613">
            <w:pPr>
              <w:jc w:val="center"/>
              <w:textAlignment w:val="bottom"/>
            </w:pPr>
            <w:r>
              <w:rPr>
                <w:rFonts w:ascii="Arial" w:eastAsia="宋体" w:hAnsi="Arial" w:cs="Arial"/>
                <w:b/>
                <w:bCs/>
                <w:color w:val="000000"/>
                <w:sz w:val="13"/>
                <w:szCs w:val="13"/>
              </w:rPr>
              <w:t>Pricing Methods with Significant Unobservable Market Inputs (Level 3)</w:t>
            </w:r>
          </w:p>
        </w:tc>
      </w:tr>
      <w:tr w:rsidR="00980E5F" w14:paraId="392C5B25" w14:textId="77777777">
        <w:tc>
          <w:tcPr>
            <w:tcW w:w="0" w:type="auto"/>
            <w:gridSpan w:val="3"/>
            <w:shd w:val="clear" w:color="auto" w:fill="auto"/>
            <w:tcMar>
              <w:top w:w="40" w:type="dxa"/>
              <w:left w:w="20" w:type="dxa"/>
              <w:bottom w:w="40" w:type="dxa"/>
              <w:right w:w="20" w:type="dxa"/>
            </w:tcMar>
            <w:vAlign w:val="bottom"/>
          </w:tcPr>
          <w:p w14:paraId="392C5B1B" w14:textId="77777777" w:rsidR="00980E5F" w:rsidRDefault="00483613">
            <w:pPr>
              <w:textAlignment w:val="bottom"/>
            </w:pPr>
            <w:r>
              <w:rPr>
                <w:rFonts w:ascii="Arial" w:eastAsia="宋体" w:hAnsi="Arial" w:cs="Arial"/>
                <w:b/>
                <w:bCs/>
                <w:color w:val="000000"/>
                <w:sz w:val="13"/>
                <w:szCs w:val="13"/>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1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1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1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1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2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2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B24" w14:textId="77777777" w:rsidR="00980E5F" w:rsidRDefault="00980E5F">
            <w:pPr>
              <w:rPr>
                <w:rFonts w:ascii="宋体"/>
              </w:rPr>
            </w:pPr>
          </w:p>
        </w:tc>
      </w:tr>
      <w:tr w:rsidR="00980E5F" w14:paraId="392C5B30" w14:textId="77777777">
        <w:tc>
          <w:tcPr>
            <w:tcW w:w="0" w:type="auto"/>
            <w:gridSpan w:val="3"/>
            <w:shd w:val="clear" w:color="auto" w:fill="auto"/>
            <w:tcMar>
              <w:top w:w="40" w:type="dxa"/>
              <w:left w:w="20" w:type="dxa"/>
              <w:bottom w:w="40" w:type="dxa"/>
              <w:right w:w="20" w:type="dxa"/>
            </w:tcMar>
            <w:vAlign w:val="bottom"/>
          </w:tcPr>
          <w:p w14:paraId="392C5B26" w14:textId="77777777" w:rsidR="00980E5F" w:rsidRDefault="00483613">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vAlign w:val="bottom"/>
          </w:tcPr>
          <w:p w14:paraId="392C5B2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B2F" w14:textId="77777777" w:rsidR="00980E5F" w:rsidRDefault="00980E5F">
            <w:pPr>
              <w:rPr>
                <w:rFonts w:ascii="宋体"/>
              </w:rPr>
            </w:pPr>
          </w:p>
        </w:tc>
      </w:tr>
      <w:tr w:rsidR="00980E5F" w14:paraId="392C5B45" w14:textId="77777777">
        <w:tc>
          <w:tcPr>
            <w:tcW w:w="0" w:type="auto"/>
            <w:gridSpan w:val="3"/>
            <w:shd w:val="clear" w:color="auto" w:fill="CCEEFF"/>
            <w:tcMar>
              <w:top w:w="40" w:type="dxa"/>
              <w:left w:w="20" w:type="dxa"/>
              <w:bottom w:w="40" w:type="dxa"/>
              <w:right w:w="20" w:type="dxa"/>
            </w:tcMar>
            <w:vAlign w:val="bottom"/>
          </w:tcPr>
          <w:p w14:paraId="392C5B31" w14:textId="77777777" w:rsidR="00980E5F" w:rsidRDefault="00483613">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392C5B32"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33" w14:textId="77777777" w:rsidR="00980E5F" w:rsidRDefault="00483613">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392C5B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3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36"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37" w14:textId="77777777" w:rsidR="00980E5F" w:rsidRDefault="00483613">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392C5B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3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3A"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3B" w14:textId="77777777" w:rsidR="00980E5F" w:rsidRDefault="00483613">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392C5B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3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3E"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3F"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4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42"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4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44" w14:textId="77777777" w:rsidR="00980E5F" w:rsidRDefault="00980E5F">
            <w:pPr>
              <w:jc w:val="right"/>
              <w:rPr>
                <w:rFonts w:ascii="宋体"/>
              </w:rPr>
            </w:pPr>
          </w:p>
        </w:tc>
      </w:tr>
      <w:tr w:rsidR="00980E5F" w14:paraId="392C5B55" w14:textId="77777777">
        <w:tc>
          <w:tcPr>
            <w:tcW w:w="0" w:type="auto"/>
            <w:gridSpan w:val="3"/>
            <w:shd w:val="clear" w:color="auto" w:fill="FFFFFF"/>
            <w:tcMar>
              <w:top w:w="40" w:type="dxa"/>
              <w:left w:w="20" w:type="dxa"/>
              <w:bottom w:w="40" w:type="dxa"/>
              <w:right w:w="20" w:type="dxa"/>
            </w:tcMar>
            <w:vAlign w:val="bottom"/>
          </w:tcPr>
          <w:p w14:paraId="392C5B46" w14:textId="77777777" w:rsidR="00980E5F" w:rsidRDefault="00483613">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392C5B47" w14:textId="77777777" w:rsidR="00980E5F" w:rsidRDefault="00483613">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392C5B4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4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4A" w14:textId="77777777" w:rsidR="00980E5F" w:rsidRDefault="00483613">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392C5B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4D"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4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50" w14:textId="77777777" w:rsidR="00980E5F" w:rsidRDefault="00483613">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392C5B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5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5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54" w14:textId="77777777" w:rsidR="00980E5F" w:rsidRDefault="00980E5F">
            <w:pPr>
              <w:jc w:val="right"/>
              <w:rPr>
                <w:rFonts w:ascii="宋体"/>
              </w:rPr>
            </w:pPr>
          </w:p>
        </w:tc>
      </w:tr>
      <w:tr w:rsidR="00980E5F" w14:paraId="392C5B65" w14:textId="77777777">
        <w:tc>
          <w:tcPr>
            <w:tcW w:w="0" w:type="auto"/>
            <w:gridSpan w:val="3"/>
            <w:shd w:val="clear" w:color="auto" w:fill="CCEEFF"/>
            <w:tcMar>
              <w:top w:w="40" w:type="dxa"/>
              <w:left w:w="20" w:type="dxa"/>
              <w:bottom w:w="40" w:type="dxa"/>
              <w:right w:w="20" w:type="dxa"/>
            </w:tcMar>
            <w:vAlign w:val="bottom"/>
          </w:tcPr>
          <w:p w14:paraId="392C5B56" w14:textId="77777777" w:rsidR="00980E5F" w:rsidRDefault="00483613">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92C5B57" w14:textId="77777777" w:rsidR="00980E5F" w:rsidRDefault="00483613">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392C5B5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5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5A" w14:textId="77777777" w:rsidR="00980E5F" w:rsidRDefault="00483613">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392C5B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5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5D"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5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60" w14:textId="77777777" w:rsidR="00980E5F" w:rsidRDefault="00483613">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392C5B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6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6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64" w14:textId="77777777" w:rsidR="00980E5F" w:rsidRDefault="00980E5F">
            <w:pPr>
              <w:jc w:val="right"/>
              <w:rPr>
                <w:rFonts w:ascii="宋体"/>
              </w:rPr>
            </w:pPr>
          </w:p>
        </w:tc>
      </w:tr>
      <w:tr w:rsidR="00980E5F" w14:paraId="392C5B70" w14:textId="77777777">
        <w:trPr>
          <w:hidden/>
        </w:trPr>
        <w:tc>
          <w:tcPr>
            <w:tcW w:w="0" w:type="auto"/>
            <w:gridSpan w:val="3"/>
            <w:shd w:val="clear" w:color="auto" w:fill="auto"/>
            <w:vAlign w:val="bottom"/>
          </w:tcPr>
          <w:p w14:paraId="392C5B66" w14:textId="77777777" w:rsidR="00980E5F" w:rsidRDefault="00980E5F">
            <w:pPr>
              <w:rPr>
                <w:rFonts w:ascii="宋体"/>
                <w:vanish/>
              </w:rPr>
            </w:pPr>
          </w:p>
        </w:tc>
        <w:tc>
          <w:tcPr>
            <w:tcW w:w="0" w:type="auto"/>
            <w:gridSpan w:val="3"/>
            <w:shd w:val="clear" w:color="auto" w:fill="auto"/>
            <w:vAlign w:val="bottom"/>
          </w:tcPr>
          <w:p w14:paraId="392C5B67" w14:textId="77777777" w:rsidR="00980E5F" w:rsidRDefault="00980E5F">
            <w:pPr>
              <w:rPr>
                <w:rFonts w:ascii="宋体"/>
                <w:vanish/>
              </w:rPr>
            </w:pPr>
          </w:p>
        </w:tc>
        <w:tc>
          <w:tcPr>
            <w:tcW w:w="0" w:type="auto"/>
            <w:gridSpan w:val="3"/>
            <w:shd w:val="clear" w:color="auto" w:fill="auto"/>
            <w:vAlign w:val="bottom"/>
          </w:tcPr>
          <w:p w14:paraId="392C5B68" w14:textId="77777777" w:rsidR="00980E5F" w:rsidRDefault="00980E5F">
            <w:pPr>
              <w:rPr>
                <w:rFonts w:ascii="宋体"/>
                <w:vanish/>
              </w:rPr>
            </w:pPr>
          </w:p>
        </w:tc>
        <w:tc>
          <w:tcPr>
            <w:tcW w:w="0" w:type="auto"/>
            <w:gridSpan w:val="3"/>
            <w:shd w:val="clear" w:color="auto" w:fill="auto"/>
            <w:vAlign w:val="bottom"/>
          </w:tcPr>
          <w:p w14:paraId="392C5B69" w14:textId="77777777" w:rsidR="00980E5F" w:rsidRDefault="00980E5F">
            <w:pPr>
              <w:rPr>
                <w:rFonts w:ascii="宋体"/>
                <w:vanish/>
              </w:rPr>
            </w:pPr>
          </w:p>
        </w:tc>
        <w:tc>
          <w:tcPr>
            <w:tcW w:w="0" w:type="auto"/>
            <w:gridSpan w:val="3"/>
            <w:shd w:val="clear" w:color="auto" w:fill="auto"/>
            <w:vAlign w:val="bottom"/>
          </w:tcPr>
          <w:p w14:paraId="392C5B6A" w14:textId="77777777" w:rsidR="00980E5F" w:rsidRDefault="00980E5F">
            <w:pPr>
              <w:rPr>
                <w:rFonts w:ascii="宋体"/>
                <w:vanish/>
              </w:rPr>
            </w:pPr>
          </w:p>
        </w:tc>
        <w:tc>
          <w:tcPr>
            <w:tcW w:w="0" w:type="auto"/>
            <w:gridSpan w:val="3"/>
            <w:shd w:val="clear" w:color="auto" w:fill="auto"/>
            <w:vAlign w:val="bottom"/>
          </w:tcPr>
          <w:p w14:paraId="392C5B6B" w14:textId="77777777" w:rsidR="00980E5F" w:rsidRDefault="00980E5F">
            <w:pPr>
              <w:rPr>
                <w:rFonts w:ascii="宋体"/>
                <w:vanish/>
              </w:rPr>
            </w:pPr>
          </w:p>
        </w:tc>
        <w:tc>
          <w:tcPr>
            <w:tcW w:w="0" w:type="auto"/>
            <w:gridSpan w:val="3"/>
            <w:shd w:val="clear" w:color="auto" w:fill="auto"/>
            <w:vAlign w:val="bottom"/>
          </w:tcPr>
          <w:p w14:paraId="392C5B6C" w14:textId="77777777" w:rsidR="00980E5F" w:rsidRDefault="00980E5F">
            <w:pPr>
              <w:rPr>
                <w:rFonts w:ascii="宋体"/>
                <w:vanish/>
              </w:rPr>
            </w:pPr>
          </w:p>
        </w:tc>
        <w:tc>
          <w:tcPr>
            <w:tcW w:w="0" w:type="auto"/>
            <w:gridSpan w:val="3"/>
            <w:shd w:val="clear" w:color="auto" w:fill="auto"/>
            <w:vAlign w:val="bottom"/>
          </w:tcPr>
          <w:p w14:paraId="392C5B6D" w14:textId="77777777" w:rsidR="00980E5F" w:rsidRDefault="00980E5F">
            <w:pPr>
              <w:rPr>
                <w:rFonts w:ascii="宋体"/>
                <w:vanish/>
              </w:rPr>
            </w:pPr>
          </w:p>
        </w:tc>
        <w:tc>
          <w:tcPr>
            <w:tcW w:w="0" w:type="auto"/>
            <w:gridSpan w:val="3"/>
            <w:shd w:val="clear" w:color="auto" w:fill="auto"/>
            <w:vAlign w:val="bottom"/>
          </w:tcPr>
          <w:p w14:paraId="392C5B6E" w14:textId="77777777" w:rsidR="00980E5F" w:rsidRDefault="00980E5F">
            <w:pPr>
              <w:rPr>
                <w:rFonts w:ascii="宋体"/>
                <w:vanish/>
              </w:rPr>
            </w:pPr>
          </w:p>
        </w:tc>
        <w:tc>
          <w:tcPr>
            <w:tcW w:w="0" w:type="auto"/>
            <w:gridSpan w:val="3"/>
            <w:shd w:val="clear" w:color="auto" w:fill="auto"/>
            <w:vAlign w:val="bottom"/>
          </w:tcPr>
          <w:p w14:paraId="392C5B6F" w14:textId="77777777" w:rsidR="00980E5F" w:rsidRDefault="00980E5F">
            <w:pPr>
              <w:rPr>
                <w:rFonts w:ascii="宋体"/>
                <w:vanish/>
              </w:rPr>
            </w:pPr>
          </w:p>
        </w:tc>
      </w:tr>
      <w:tr w:rsidR="00980E5F" w14:paraId="392C5B80" w14:textId="77777777">
        <w:tc>
          <w:tcPr>
            <w:tcW w:w="0" w:type="auto"/>
            <w:gridSpan w:val="3"/>
            <w:shd w:val="clear" w:color="auto" w:fill="FFFFFF"/>
            <w:tcMar>
              <w:top w:w="40" w:type="dxa"/>
              <w:left w:w="20" w:type="dxa"/>
              <w:bottom w:w="40" w:type="dxa"/>
              <w:right w:w="20" w:type="dxa"/>
            </w:tcMar>
            <w:vAlign w:val="bottom"/>
          </w:tcPr>
          <w:p w14:paraId="392C5B71" w14:textId="77777777" w:rsidR="00980E5F" w:rsidRDefault="00483613">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392C5B72" w14:textId="77777777" w:rsidR="00980E5F" w:rsidRDefault="00483613">
            <w:pPr>
              <w:jc w:val="right"/>
              <w:textAlignment w:val="bottom"/>
            </w:pPr>
            <w:r>
              <w:rPr>
                <w:rFonts w:ascii="Arial" w:eastAsia="宋体" w:hAnsi="Arial" w:cs="Arial"/>
                <w:color w:val="000000"/>
                <w:sz w:val="13"/>
                <w:szCs w:val="13"/>
              </w:rPr>
              <w:t>42,430 </w:t>
            </w:r>
          </w:p>
        </w:tc>
        <w:tc>
          <w:tcPr>
            <w:tcW w:w="0" w:type="auto"/>
            <w:shd w:val="clear" w:color="auto" w:fill="FFFFFF"/>
            <w:tcMar>
              <w:top w:w="40" w:type="dxa"/>
              <w:left w:w="0" w:type="dxa"/>
              <w:bottom w:w="40" w:type="dxa"/>
              <w:right w:w="20" w:type="dxa"/>
            </w:tcMar>
            <w:vAlign w:val="bottom"/>
          </w:tcPr>
          <w:p w14:paraId="392C5B7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7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75" w14:textId="77777777" w:rsidR="00980E5F" w:rsidRDefault="00483613">
            <w:pPr>
              <w:jc w:val="right"/>
              <w:textAlignment w:val="bottom"/>
            </w:pPr>
            <w:r>
              <w:rPr>
                <w:rFonts w:ascii="Arial" w:eastAsia="宋体" w:hAnsi="Arial" w:cs="Arial"/>
                <w:color w:val="000000"/>
                <w:sz w:val="13"/>
                <w:szCs w:val="13"/>
              </w:rPr>
              <w:t>42,271 </w:t>
            </w:r>
          </w:p>
        </w:tc>
        <w:tc>
          <w:tcPr>
            <w:tcW w:w="0" w:type="auto"/>
            <w:shd w:val="clear" w:color="auto" w:fill="FFFFFF"/>
            <w:tcMar>
              <w:top w:w="40" w:type="dxa"/>
              <w:left w:w="0" w:type="dxa"/>
              <w:bottom w:w="40" w:type="dxa"/>
              <w:right w:w="20" w:type="dxa"/>
            </w:tcMar>
            <w:vAlign w:val="bottom"/>
          </w:tcPr>
          <w:p w14:paraId="392C5B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7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78" w14:textId="77777777" w:rsidR="00980E5F" w:rsidRDefault="00483613">
            <w:pPr>
              <w:jc w:val="right"/>
              <w:textAlignment w:val="bottom"/>
            </w:pPr>
            <w:r>
              <w:rPr>
                <w:rFonts w:ascii="Arial" w:eastAsia="宋体" w:hAnsi="Arial" w:cs="Arial"/>
                <w:color w:val="000000"/>
                <w:sz w:val="13"/>
                <w:szCs w:val="13"/>
              </w:rPr>
              <w:t>2,160 </w:t>
            </w:r>
          </w:p>
        </w:tc>
        <w:tc>
          <w:tcPr>
            <w:tcW w:w="0" w:type="auto"/>
            <w:shd w:val="clear" w:color="auto" w:fill="FFFFFF"/>
            <w:tcMar>
              <w:top w:w="40" w:type="dxa"/>
              <w:left w:w="0" w:type="dxa"/>
              <w:bottom w:w="40" w:type="dxa"/>
              <w:right w:w="20" w:type="dxa"/>
            </w:tcMar>
            <w:vAlign w:val="bottom"/>
          </w:tcPr>
          <w:p w14:paraId="392C5B7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7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7B" w14:textId="77777777" w:rsidR="00980E5F" w:rsidRDefault="00483613">
            <w:pPr>
              <w:jc w:val="right"/>
              <w:textAlignment w:val="bottom"/>
            </w:pPr>
            <w:r>
              <w:rPr>
                <w:rFonts w:ascii="Arial" w:eastAsia="宋体" w:hAnsi="Arial" w:cs="Arial"/>
                <w:color w:val="000000"/>
                <w:sz w:val="13"/>
                <w:szCs w:val="13"/>
              </w:rPr>
              <w:t>40,111 </w:t>
            </w:r>
          </w:p>
        </w:tc>
        <w:tc>
          <w:tcPr>
            <w:tcW w:w="0" w:type="auto"/>
            <w:shd w:val="clear" w:color="auto" w:fill="FFFFFF"/>
            <w:tcMar>
              <w:top w:w="40" w:type="dxa"/>
              <w:left w:w="0" w:type="dxa"/>
              <w:bottom w:w="40" w:type="dxa"/>
              <w:right w:w="20" w:type="dxa"/>
            </w:tcMar>
            <w:vAlign w:val="bottom"/>
          </w:tcPr>
          <w:p w14:paraId="392C5B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7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7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7F" w14:textId="77777777" w:rsidR="00980E5F" w:rsidRDefault="00980E5F">
            <w:pPr>
              <w:jc w:val="right"/>
              <w:rPr>
                <w:rFonts w:ascii="宋体"/>
              </w:rPr>
            </w:pPr>
          </w:p>
        </w:tc>
      </w:tr>
      <w:tr w:rsidR="00980E5F" w14:paraId="392C5B90" w14:textId="77777777">
        <w:tc>
          <w:tcPr>
            <w:tcW w:w="0" w:type="auto"/>
            <w:gridSpan w:val="3"/>
            <w:shd w:val="clear" w:color="auto" w:fill="CCEEFF"/>
            <w:tcMar>
              <w:top w:w="40" w:type="dxa"/>
              <w:left w:w="20" w:type="dxa"/>
              <w:bottom w:w="40" w:type="dxa"/>
              <w:right w:w="20" w:type="dxa"/>
            </w:tcMar>
            <w:vAlign w:val="bottom"/>
          </w:tcPr>
          <w:p w14:paraId="392C5B81" w14:textId="77777777" w:rsidR="00980E5F" w:rsidRDefault="00483613">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392C5B82" w14:textId="77777777" w:rsidR="00980E5F" w:rsidRDefault="00483613">
            <w:pPr>
              <w:jc w:val="right"/>
              <w:textAlignment w:val="bottom"/>
            </w:pPr>
            <w:r>
              <w:rPr>
                <w:rFonts w:ascii="Arial" w:eastAsia="宋体" w:hAnsi="Arial" w:cs="Arial"/>
                <w:color w:val="000000"/>
                <w:sz w:val="13"/>
                <w:szCs w:val="13"/>
              </w:rPr>
              <w:t>32,445 </w:t>
            </w:r>
          </w:p>
        </w:tc>
        <w:tc>
          <w:tcPr>
            <w:tcW w:w="0" w:type="auto"/>
            <w:shd w:val="clear" w:color="auto" w:fill="CCEEFF"/>
            <w:tcMar>
              <w:top w:w="40" w:type="dxa"/>
              <w:left w:w="0" w:type="dxa"/>
              <w:bottom w:w="40" w:type="dxa"/>
              <w:right w:w="20" w:type="dxa"/>
            </w:tcMar>
            <w:vAlign w:val="bottom"/>
          </w:tcPr>
          <w:p w14:paraId="392C5B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8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85" w14:textId="77777777" w:rsidR="00980E5F" w:rsidRDefault="00483613">
            <w:pPr>
              <w:jc w:val="right"/>
              <w:textAlignment w:val="bottom"/>
            </w:pPr>
            <w:r>
              <w:rPr>
                <w:rFonts w:ascii="Arial" w:eastAsia="宋体" w:hAnsi="Arial" w:cs="Arial"/>
                <w:color w:val="000000"/>
                <w:sz w:val="13"/>
                <w:szCs w:val="13"/>
              </w:rPr>
              <w:t>32,528 </w:t>
            </w:r>
          </w:p>
        </w:tc>
        <w:tc>
          <w:tcPr>
            <w:tcW w:w="0" w:type="auto"/>
            <w:shd w:val="clear" w:color="auto" w:fill="CCEEFF"/>
            <w:tcMar>
              <w:top w:w="40" w:type="dxa"/>
              <w:left w:w="0" w:type="dxa"/>
              <w:bottom w:w="40" w:type="dxa"/>
              <w:right w:w="20" w:type="dxa"/>
            </w:tcMar>
            <w:vAlign w:val="bottom"/>
          </w:tcPr>
          <w:p w14:paraId="392C5B8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8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88"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8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8B" w14:textId="77777777" w:rsidR="00980E5F" w:rsidRDefault="00483613">
            <w:pPr>
              <w:jc w:val="right"/>
              <w:textAlignment w:val="bottom"/>
            </w:pPr>
            <w:r>
              <w:rPr>
                <w:rFonts w:ascii="Arial" w:eastAsia="宋体" w:hAnsi="Arial" w:cs="Arial"/>
                <w:color w:val="000000"/>
                <w:sz w:val="13"/>
                <w:szCs w:val="13"/>
              </w:rPr>
              <w:t>29,862 </w:t>
            </w:r>
          </w:p>
        </w:tc>
        <w:tc>
          <w:tcPr>
            <w:tcW w:w="0" w:type="auto"/>
            <w:shd w:val="clear" w:color="auto" w:fill="CCEEFF"/>
            <w:tcMar>
              <w:top w:w="40" w:type="dxa"/>
              <w:left w:w="0" w:type="dxa"/>
              <w:bottom w:w="40" w:type="dxa"/>
              <w:right w:w="20" w:type="dxa"/>
            </w:tcMar>
            <w:vAlign w:val="bottom"/>
          </w:tcPr>
          <w:p w14:paraId="392C5B8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8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8E" w14:textId="77777777" w:rsidR="00980E5F" w:rsidRDefault="00483613">
            <w:pPr>
              <w:jc w:val="right"/>
              <w:textAlignment w:val="bottom"/>
            </w:pPr>
            <w:r>
              <w:rPr>
                <w:rFonts w:ascii="Arial" w:eastAsia="宋体" w:hAnsi="Arial" w:cs="Arial"/>
                <w:color w:val="000000"/>
                <w:sz w:val="13"/>
                <w:szCs w:val="13"/>
              </w:rPr>
              <w:t>2,666 </w:t>
            </w:r>
          </w:p>
        </w:tc>
        <w:tc>
          <w:tcPr>
            <w:tcW w:w="0" w:type="auto"/>
            <w:shd w:val="clear" w:color="auto" w:fill="CCEEFF"/>
            <w:tcMar>
              <w:top w:w="40" w:type="dxa"/>
              <w:left w:w="0" w:type="dxa"/>
              <w:bottom w:w="40" w:type="dxa"/>
              <w:right w:w="20" w:type="dxa"/>
            </w:tcMar>
            <w:vAlign w:val="bottom"/>
          </w:tcPr>
          <w:p w14:paraId="392C5B8F" w14:textId="77777777" w:rsidR="00980E5F" w:rsidRDefault="00980E5F">
            <w:pPr>
              <w:jc w:val="right"/>
              <w:rPr>
                <w:rFonts w:ascii="宋体"/>
              </w:rPr>
            </w:pPr>
          </w:p>
        </w:tc>
      </w:tr>
      <w:tr w:rsidR="00980E5F" w14:paraId="392C5BA0" w14:textId="77777777">
        <w:tc>
          <w:tcPr>
            <w:tcW w:w="0" w:type="auto"/>
            <w:gridSpan w:val="3"/>
            <w:shd w:val="clear" w:color="auto" w:fill="FFFFFF"/>
            <w:tcMar>
              <w:top w:w="40" w:type="dxa"/>
              <w:left w:w="20" w:type="dxa"/>
              <w:bottom w:w="40" w:type="dxa"/>
              <w:right w:w="20" w:type="dxa"/>
            </w:tcMar>
            <w:vAlign w:val="bottom"/>
          </w:tcPr>
          <w:p w14:paraId="392C5B91" w14:textId="77777777" w:rsidR="00980E5F" w:rsidRDefault="00483613">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392C5B92"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392C5B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95"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392C5B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9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98"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9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9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9B"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392C5B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9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9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9F" w14:textId="77777777" w:rsidR="00980E5F" w:rsidRDefault="00980E5F">
            <w:pPr>
              <w:jc w:val="right"/>
              <w:rPr>
                <w:rFonts w:ascii="宋体"/>
              </w:rPr>
            </w:pPr>
          </w:p>
        </w:tc>
      </w:tr>
      <w:tr w:rsidR="00980E5F" w14:paraId="392C5BAB" w14:textId="77777777">
        <w:tc>
          <w:tcPr>
            <w:tcW w:w="0" w:type="auto"/>
            <w:gridSpan w:val="3"/>
            <w:shd w:val="clear" w:color="auto" w:fill="CCEEFF"/>
            <w:tcMar>
              <w:top w:w="40" w:type="dxa"/>
              <w:left w:w="20" w:type="dxa"/>
              <w:bottom w:w="40" w:type="dxa"/>
              <w:right w:w="20" w:type="dxa"/>
            </w:tcMar>
            <w:vAlign w:val="bottom"/>
          </w:tcPr>
          <w:p w14:paraId="392C5BA1" w14:textId="77777777" w:rsidR="00980E5F" w:rsidRDefault="00483613">
            <w:pPr>
              <w:textAlignment w:val="bottom"/>
            </w:pPr>
            <w:r>
              <w:rPr>
                <w:rFonts w:ascii="Arial" w:eastAsia="宋体" w:hAnsi="Arial" w:cs="Arial"/>
                <w:b/>
                <w:bCs/>
                <w:color w:val="000000"/>
                <w:sz w:val="13"/>
                <w:szCs w:val="13"/>
              </w:rPr>
              <w:t>Financial Liabilities:</w:t>
            </w:r>
          </w:p>
        </w:tc>
        <w:tc>
          <w:tcPr>
            <w:tcW w:w="0" w:type="auto"/>
            <w:gridSpan w:val="3"/>
            <w:shd w:val="clear" w:color="auto" w:fill="CCEEFF"/>
            <w:tcMar>
              <w:top w:w="0" w:type="dxa"/>
              <w:left w:w="20" w:type="dxa"/>
              <w:bottom w:w="0" w:type="dxa"/>
              <w:right w:w="20" w:type="dxa"/>
            </w:tcMar>
            <w:vAlign w:val="bottom"/>
          </w:tcPr>
          <w:p w14:paraId="392C5BA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BAA" w14:textId="77777777" w:rsidR="00980E5F" w:rsidRDefault="00980E5F">
            <w:pPr>
              <w:rPr>
                <w:rFonts w:ascii="宋体"/>
              </w:rPr>
            </w:pPr>
          </w:p>
        </w:tc>
      </w:tr>
      <w:tr w:rsidR="00980E5F" w14:paraId="392C5BB6" w14:textId="77777777">
        <w:tc>
          <w:tcPr>
            <w:tcW w:w="0" w:type="auto"/>
            <w:gridSpan w:val="3"/>
            <w:shd w:val="clear" w:color="auto" w:fill="FFFFFF"/>
            <w:tcMar>
              <w:top w:w="40" w:type="dxa"/>
              <w:left w:w="20" w:type="dxa"/>
              <w:bottom w:w="40" w:type="dxa"/>
              <w:right w:w="20" w:type="dxa"/>
            </w:tcMar>
            <w:vAlign w:val="bottom"/>
          </w:tcPr>
          <w:p w14:paraId="392C5BAC" w14:textId="77777777" w:rsidR="00980E5F" w:rsidRDefault="00483613">
            <w:pPr>
              <w:textAlignment w:val="bottom"/>
            </w:pPr>
            <w:r>
              <w:rPr>
                <w:rFonts w:ascii="Arial" w:eastAsia="宋体" w:hAnsi="Arial" w:cs="Arial"/>
                <w:color w:val="000000"/>
                <w:sz w:val="13"/>
                <w:szCs w:val="13"/>
              </w:rPr>
              <w:t>Deposits:</w:t>
            </w:r>
          </w:p>
        </w:tc>
        <w:tc>
          <w:tcPr>
            <w:tcW w:w="0" w:type="auto"/>
            <w:gridSpan w:val="3"/>
            <w:shd w:val="clear" w:color="auto" w:fill="FFFFFF"/>
            <w:tcMar>
              <w:top w:w="0" w:type="dxa"/>
              <w:left w:w="20" w:type="dxa"/>
              <w:bottom w:w="0" w:type="dxa"/>
              <w:right w:w="20" w:type="dxa"/>
            </w:tcMar>
            <w:vAlign w:val="bottom"/>
          </w:tcPr>
          <w:p w14:paraId="392C5B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A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A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BB5" w14:textId="77777777" w:rsidR="00980E5F" w:rsidRDefault="00980E5F">
            <w:pPr>
              <w:rPr>
                <w:rFonts w:ascii="宋体"/>
              </w:rPr>
            </w:pPr>
          </w:p>
        </w:tc>
      </w:tr>
      <w:tr w:rsidR="00980E5F" w14:paraId="392C5BCB" w14:textId="77777777">
        <w:tc>
          <w:tcPr>
            <w:tcW w:w="0" w:type="auto"/>
            <w:gridSpan w:val="3"/>
            <w:shd w:val="clear" w:color="auto" w:fill="CCEEFF"/>
            <w:tcMar>
              <w:top w:w="40" w:type="dxa"/>
              <w:left w:w="20" w:type="dxa"/>
              <w:bottom w:w="40" w:type="dxa"/>
              <w:right w:w="20" w:type="dxa"/>
            </w:tcMar>
            <w:vAlign w:val="bottom"/>
          </w:tcPr>
          <w:p w14:paraId="392C5BB7" w14:textId="77777777" w:rsidR="00980E5F" w:rsidRDefault="00483613">
            <w:pPr>
              <w:textAlignment w:val="bottom"/>
            </w:pPr>
            <w:r>
              <w:rPr>
                <w:rFonts w:ascii="Arial" w:eastAsia="宋体" w:hAnsi="Arial" w:cs="Arial"/>
                <w:color w:val="000000"/>
                <w:sz w:val="13"/>
                <w:szCs w:val="13"/>
              </w:rPr>
              <w:t>  Non-interest-bearing</w:t>
            </w:r>
          </w:p>
        </w:tc>
        <w:tc>
          <w:tcPr>
            <w:tcW w:w="0" w:type="auto"/>
            <w:shd w:val="clear" w:color="auto" w:fill="CCEEFF"/>
            <w:tcMar>
              <w:top w:w="40" w:type="dxa"/>
              <w:left w:w="20" w:type="dxa"/>
              <w:bottom w:w="40" w:type="dxa"/>
              <w:right w:w="0" w:type="dxa"/>
            </w:tcMar>
            <w:vAlign w:val="bottom"/>
          </w:tcPr>
          <w:p w14:paraId="392C5BB8"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B9" w14:textId="77777777" w:rsidR="00980E5F" w:rsidRDefault="00483613">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392C5B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B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BC"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BD" w14:textId="77777777" w:rsidR="00980E5F" w:rsidRDefault="00483613">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392C5B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B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C0"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C1"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C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C4"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C5" w14:textId="77777777" w:rsidR="00980E5F" w:rsidRDefault="00483613">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392C5B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C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BC8"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5BC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CA" w14:textId="77777777" w:rsidR="00980E5F" w:rsidRDefault="00980E5F">
            <w:pPr>
              <w:jc w:val="right"/>
              <w:rPr>
                <w:rFonts w:ascii="宋体"/>
              </w:rPr>
            </w:pPr>
          </w:p>
        </w:tc>
      </w:tr>
      <w:tr w:rsidR="00980E5F" w14:paraId="392C5BDB" w14:textId="77777777">
        <w:tc>
          <w:tcPr>
            <w:tcW w:w="0" w:type="auto"/>
            <w:gridSpan w:val="3"/>
            <w:shd w:val="clear" w:color="auto" w:fill="FFFFFF"/>
            <w:tcMar>
              <w:top w:w="40" w:type="dxa"/>
              <w:left w:w="20" w:type="dxa"/>
              <w:bottom w:w="40" w:type="dxa"/>
              <w:right w:w="20" w:type="dxa"/>
            </w:tcMar>
            <w:vAlign w:val="bottom"/>
          </w:tcPr>
          <w:p w14:paraId="392C5BCC" w14:textId="77777777" w:rsidR="00980E5F" w:rsidRDefault="00483613">
            <w:pPr>
              <w:textAlignment w:val="bottom"/>
            </w:pPr>
            <w:r>
              <w:rPr>
                <w:rFonts w:ascii="Arial" w:eastAsia="宋体" w:hAnsi="Arial" w:cs="Arial"/>
                <w:color w:val="000000"/>
                <w:sz w:val="13"/>
                <w:szCs w:val="13"/>
              </w:rPr>
              <w:t>  Interest-bearing - U.S.</w:t>
            </w:r>
          </w:p>
        </w:tc>
        <w:tc>
          <w:tcPr>
            <w:tcW w:w="0" w:type="auto"/>
            <w:gridSpan w:val="2"/>
            <w:shd w:val="clear" w:color="auto" w:fill="FFFFFF"/>
            <w:tcMar>
              <w:top w:w="40" w:type="dxa"/>
              <w:left w:w="20" w:type="dxa"/>
              <w:bottom w:w="40" w:type="dxa"/>
              <w:right w:w="0" w:type="dxa"/>
            </w:tcMar>
            <w:vAlign w:val="bottom"/>
          </w:tcPr>
          <w:p w14:paraId="392C5BCD" w14:textId="77777777" w:rsidR="00980E5F" w:rsidRDefault="00483613">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392C5B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C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D0" w14:textId="77777777" w:rsidR="00980E5F" w:rsidRDefault="00483613">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392C5BD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D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D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D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D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D6" w14:textId="77777777" w:rsidR="00980E5F" w:rsidRDefault="00483613">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392C5BD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D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D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DA" w14:textId="77777777" w:rsidR="00980E5F" w:rsidRDefault="00980E5F">
            <w:pPr>
              <w:jc w:val="right"/>
              <w:rPr>
                <w:rFonts w:ascii="宋体"/>
              </w:rPr>
            </w:pPr>
          </w:p>
        </w:tc>
      </w:tr>
      <w:tr w:rsidR="00980E5F" w14:paraId="392C5BEB" w14:textId="77777777">
        <w:tc>
          <w:tcPr>
            <w:tcW w:w="0" w:type="auto"/>
            <w:gridSpan w:val="3"/>
            <w:shd w:val="clear" w:color="auto" w:fill="CCEEFF"/>
            <w:tcMar>
              <w:top w:w="40" w:type="dxa"/>
              <w:left w:w="20" w:type="dxa"/>
              <w:bottom w:w="40" w:type="dxa"/>
              <w:right w:w="20" w:type="dxa"/>
            </w:tcMar>
            <w:vAlign w:val="bottom"/>
          </w:tcPr>
          <w:p w14:paraId="392C5BDC" w14:textId="77777777" w:rsidR="00980E5F" w:rsidRDefault="00483613">
            <w:pPr>
              <w:textAlignment w:val="bottom"/>
            </w:pPr>
            <w:r>
              <w:rPr>
                <w:rFonts w:ascii="Arial" w:eastAsia="宋体" w:hAnsi="Arial" w:cs="Arial"/>
                <w:color w:val="000000"/>
                <w:sz w:val="13"/>
                <w:szCs w:val="13"/>
              </w:rPr>
              <w:t>  Interest-bearing - non-U.S.</w:t>
            </w:r>
          </w:p>
        </w:tc>
        <w:tc>
          <w:tcPr>
            <w:tcW w:w="0" w:type="auto"/>
            <w:gridSpan w:val="2"/>
            <w:shd w:val="clear" w:color="auto" w:fill="CCEEFF"/>
            <w:tcMar>
              <w:top w:w="40" w:type="dxa"/>
              <w:left w:w="20" w:type="dxa"/>
              <w:bottom w:w="40" w:type="dxa"/>
              <w:right w:w="0" w:type="dxa"/>
            </w:tcMar>
            <w:vAlign w:val="bottom"/>
          </w:tcPr>
          <w:p w14:paraId="392C5BDD" w14:textId="77777777" w:rsidR="00980E5F" w:rsidRDefault="00483613">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392C5B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D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E0" w14:textId="77777777" w:rsidR="00980E5F" w:rsidRDefault="00483613">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392C5B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E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E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E6" w14:textId="77777777" w:rsidR="00980E5F" w:rsidRDefault="00483613">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392C5B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BE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BE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BEA" w14:textId="77777777" w:rsidR="00980E5F" w:rsidRDefault="00980E5F">
            <w:pPr>
              <w:jc w:val="right"/>
              <w:rPr>
                <w:rFonts w:ascii="宋体"/>
              </w:rPr>
            </w:pPr>
          </w:p>
        </w:tc>
      </w:tr>
      <w:tr w:rsidR="00980E5F" w14:paraId="392C5BFB" w14:textId="77777777">
        <w:tc>
          <w:tcPr>
            <w:tcW w:w="0" w:type="auto"/>
            <w:gridSpan w:val="3"/>
            <w:shd w:val="clear" w:color="auto" w:fill="FFFFFF"/>
            <w:tcMar>
              <w:top w:w="40" w:type="dxa"/>
              <w:left w:w="20" w:type="dxa"/>
              <w:bottom w:w="40" w:type="dxa"/>
              <w:right w:w="20" w:type="dxa"/>
            </w:tcMar>
            <w:vAlign w:val="bottom"/>
          </w:tcPr>
          <w:p w14:paraId="392C5BEC" w14:textId="77777777" w:rsidR="00980E5F" w:rsidRDefault="00483613">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5BED" w14:textId="77777777" w:rsidR="00980E5F" w:rsidRDefault="00483613">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392C5B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E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F0" w14:textId="77777777" w:rsidR="00980E5F" w:rsidRDefault="00483613">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392C5B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F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F3"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F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F6" w14:textId="77777777" w:rsidR="00980E5F" w:rsidRDefault="00483613">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392C5BF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BF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BF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BFA" w14:textId="77777777" w:rsidR="00980E5F" w:rsidRDefault="00980E5F">
            <w:pPr>
              <w:jc w:val="right"/>
              <w:rPr>
                <w:rFonts w:ascii="宋体"/>
              </w:rPr>
            </w:pPr>
          </w:p>
        </w:tc>
      </w:tr>
      <w:tr w:rsidR="00980E5F" w14:paraId="392C5C06" w14:textId="77777777">
        <w:trPr>
          <w:hidden/>
        </w:trPr>
        <w:tc>
          <w:tcPr>
            <w:tcW w:w="0" w:type="auto"/>
            <w:gridSpan w:val="3"/>
            <w:shd w:val="clear" w:color="auto" w:fill="auto"/>
            <w:vAlign w:val="bottom"/>
          </w:tcPr>
          <w:p w14:paraId="392C5BFC" w14:textId="77777777" w:rsidR="00980E5F" w:rsidRDefault="00980E5F">
            <w:pPr>
              <w:rPr>
                <w:rFonts w:ascii="宋体"/>
                <w:vanish/>
              </w:rPr>
            </w:pPr>
          </w:p>
        </w:tc>
        <w:tc>
          <w:tcPr>
            <w:tcW w:w="0" w:type="auto"/>
            <w:gridSpan w:val="3"/>
            <w:shd w:val="clear" w:color="auto" w:fill="auto"/>
            <w:vAlign w:val="bottom"/>
          </w:tcPr>
          <w:p w14:paraId="392C5BFD" w14:textId="77777777" w:rsidR="00980E5F" w:rsidRDefault="00980E5F">
            <w:pPr>
              <w:rPr>
                <w:rFonts w:ascii="宋体"/>
                <w:vanish/>
              </w:rPr>
            </w:pPr>
          </w:p>
        </w:tc>
        <w:tc>
          <w:tcPr>
            <w:tcW w:w="0" w:type="auto"/>
            <w:gridSpan w:val="3"/>
            <w:shd w:val="clear" w:color="auto" w:fill="auto"/>
            <w:vAlign w:val="bottom"/>
          </w:tcPr>
          <w:p w14:paraId="392C5BFE" w14:textId="77777777" w:rsidR="00980E5F" w:rsidRDefault="00980E5F">
            <w:pPr>
              <w:rPr>
                <w:rFonts w:ascii="宋体"/>
                <w:vanish/>
              </w:rPr>
            </w:pPr>
          </w:p>
        </w:tc>
        <w:tc>
          <w:tcPr>
            <w:tcW w:w="0" w:type="auto"/>
            <w:gridSpan w:val="3"/>
            <w:shd w:val="clear" w:color="auto" w:fill="auto"/>
            <w:vAlign w:val="bottom"/>
          </w:tcPr>
          <w:p w14:paraId="392C5BFF" w14:textId="77777777" w:rsidR="00980E5F" w:rsidRDefault="00980E5F">
            <w:pPr>
              <w:rPr>
                <w:rFonts w:ascii="宋体"/>
                <w:vanish/>
              </w:rPr>
            </w:pPr>
          </w:p>
        </w:tc>
        <w:tc>
          <w:tcPr>
            <w:tcW w:w="0" w:type="auto"/>
            <w:gridSpan w:val="3"/>
            <w:shd w:val="clear" w:color="auto" w:fill="auto"/>
            <w:vAlign w:val="bottom"/>
          </w:tcPr>
          <w:p w14:paraId="392C5C00" w14:textId="77777777" w:rsidR="00980E5F" w:rsidRDefault="00980E5F">
            <w:pPr>
              <w:rPr>
                <w:rFonts w:ascii="宋体"/>
                <w:vanish/>
              </w:rPr>
            </w:pPr>
          </w:p>
        </w:tc>
        <w:tc>
          <w:tcPr>
            <w:tcW w:w="0" w:type="auto"/>
            <w:gridSpan w:val="3"/>
            <w:shd w:val="clear" w:color="auto" w:fill="auto"/>
            <w:vAlign w:val="bottom"/>
          </w:tcPr>
          <w:p w14:paraId="392C5C01" w14:textId="77777777" w:rsidR="00980E5F" w:rsidRDefault="00980E5F">
            <w:pPr>
              <w:rPr>
                <w:rFonts w:ascii="宋体"/>
                <w:vanish/>
              </w:rPr>
            </w:pPr>
          </w:p>
        </w:tc>
        <w:tc>
          <w:tcPr>
            <w:tcW w:w="0" w:type="auto"/>
            <w:gridSpan w:val="3"/>
            <w:shd w:val="clear" w:color="auto" w:fill="auto"/>
            <w:vAlign w:val="bottom"/>
          </w:tcPr>
          <w:p w14:paraId="392C5C02" w14:textId="77777777" w:rsidR="00980E5F" w:rsidRDefault="00980E5F">
            <w:pPr>
              <w:rPr>
                <w:rFonts w:ascii="宋体"/>
                <w:vanish/>
              </w:rPr>
            </w:pPr>
          </w:p>
        </w:tc>
        <w:tc>
          <w:tcPr>
            <w:tcW w:w="0" w:type="auto"/>
            <w:gridSpan w:val="3"/>
            <w:shd w:val="clear" w:color="auto" w:fill="auto"/>
            <w:vAlign w:val="bottom"/>
          </w:tcPr>
          <w:p w14:paraId="392C5C03" w14:textId="77777777" w:rsidR="00980E5F" w:rsidRDefault="00980E5F">
            <w:pPr>
              <w:rPr>
                <w:rFonts w:ascii="宋体"/>
                <w:vanish/>
              </w:rPr>
            </w:pPr>
          </w:p>
        </w:tc>
        <w:tc>
          <w:tcPr>
            <w:tcW w:w="0" w:type="auto"/>
            <w:gridSpan w:val="3"/>
            <w:shd w:val="clear" w:color="auto" w:fill="auto"/>
            <w:vAlign w:val="bottom"/>
          </w:tcPr>
          <w:p w14:paraId="392C5C04" w14:textId="77777777" w:rsidR="00980E5F" w:rsidRDefault="00980E5F">
            <w:pPr>
              <w:rPr>
                <w:rFonts w:ascii="宋体"/>
                <w:vanish/>
              </w:rPr>
            </w:pPr>
          </w:p>
        </w:tc>
        <w:tc>
          <w:tcPr>
            <w:tcW w:w="0" w:type="auto"/>
            <w:gridSpan w:val="3"/>
            <w:shd w:val="clear" w:color="auto" w:fill="auto"/>
            <w:vAlign w:val="bottom"/>
          </w:tcPr>
          <w:p w14:paraId="392C5C05" w14:textId="77777777" w:rsidR="00980E5F" w:rsidRDefault="00980E5F">
            <w:pPr>
              <w:rPr>
                <w:rFonts w:ascii="宋体"/>
                <w:vanish/>
              </w:rPr>
            </w:pPr>
          </w:p>
        </w:tc>
      </w:tr>
      <w:tr w:rsidR="00980E5F" w14:paraId="392C5C16" w14:textId="77777777">
        <w:tc>
          <w:tcPr>
            <w:tcW w:w="0" w:type="auto"/>
            <w:gridSpan w:val="3"/>
            <w:shd w:val="clear" w:color="auto" w:fill="CCEEFF"/>
            <w:tcMar>
              <w:top w:w="40" w:type="dxa"/>
              <w:left w:w="20" w:type="dxa"/>
              <w:bottom w:w="40" w:type="dxa"/>
              <w:right w:w="20" w:type="dxa"/>
            </w:tcMar>
            <w:vAlign w:val="bottom"/>
          </w:tcPr>
          <w:p w14:paraId="392C5C07" w14:textId="77777777" w:rsidR="00980E5F" w:rsidRDefault="00483613">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392C5C08" w14:textId="77777777" w:rsidR="00980E5F" w:rsidRDefault="00483613">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392C5C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0B" w14:textId="77777777" w:rsidR="00980E5F" w:rsidRDefault="00483613">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392C5C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0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0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C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11" w14:textId="77777777" w:rsidR="00980E5F" w:rsidRDefault="00483613">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392C5C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14"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C15" w14:textId="77777777" w:rsidR="00980E5F" w:rsidRDefault="00980E5F">
            <w:pPr>
              <w:jc w:val="right"/>
              <w:rPr>
                <w:rFonts w:ascii="宋体"/>
              </w:rPr>
            </w:pPr>
          </w:p>
        </w:tc>
      </w:tr>
      <w:tr w:rsidR="00980E5F" w14:paraId="392C5C26" w14:textId="77777777">
        <w:tc>
          <w:tcPr>
            <w:tcW w:w="0" w:type="auto"/>
            <w:gridSpan w:val="3"/>
            <w:shd w:val="clear" w:color="auto" w:fill="FFFFFF"/>
            <w:tcMar>
              <w:top w:w="40" w:type="dxa"/>
              <w:left w:w="20" w:type="dxa"/>
              <w:bottom w:w="40" w:type="dxa"/>
              <w:right w:w="20" w:type="dxa"/>
            </w:tcMar>
            <w:vAlign w:val="bottom"/>
          </w:tcPr>
          <w:p w14:paraId="392C5C17" w14:textId="77777777" w:rsidR="00980E5F" w:rsidRDefault="00483613">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392C5C18" w14:textId="77777777" w:rsidR="00980E5F" w:rsidRDefault="00483613">
            <w:pPr>
              <w:jc w:val="right"/>
              <w:textAlignment w:val="bottom"/>
            </w:pPr>
            <w:r>
              <w:rPr>
                <w:rFonts w:ascii="Arial" w:eastAsia="宋体" w:hAnsi="Arial" w:cs="Arial"/>
                <w:color w:val="000000"/>
                <w:sz w:val="13"/>
                <w:szCs w:val="13"/>
              </w:rPr>
              <w:t>13,475 </w:t>
            </w:r>
          </w:p>
        </w:tc>
        <w:tc>
          <w:tcPr>
            <w:tcW w:w="0" w:type="auto"/>
            <w:shd w:val="clear" w:color="auto" w:fill="FFFFFF"/>
            <w:tcMar>
              <w:top w:w="40" w:type="dxa"/>
              <w:left w:w="0" w:type="dxa"/>
              <w:bottom w:w="40" w:type="dxa"/>
              <w:right w:w="20" w:type="dxa"/>
            </w:tcMar>
            <w:vAlign w:val="bottom"/>
          </w:tcPr>
          <w:p w14:paraId="392C5C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1B" w14:textId="77777777" w:rsidR="00980E5F" w:rsidRDefault="00483613">
            <w:pPr>
              <w:jc w:val="right"/>
              <w:textAlignment w:val="bottom"/>
            </w:pPr>
            <w:r>
              <w:rPr>
                <w:rFonts w:ascii="Arial" w:eastAsia="宋体" w:hAnsi="Arial" w:cs="Arial"/>
                <w:color w:val="000000"/>
                <w:sz w:val="13"/>
                <w:szCs w:val="13"/>
              </w:rPr>
              <w:t>13,552 </w:t>
            </w:r>
          </w:p>
        </w:tc>
        <w:tc>
          <w:tcPr>
            <w:tcW w:w="0" w:type="auto"/>
            <w:shd w:val="clear" w:color="auto" w:fill="FFFFFF"/>
            <w:tcMar>
              <w:top w:w="40" w:type="dxa"/>
              <w:left w:w="0" w:type="dxa"/>
              <w:bottom w:w="40" w:type="dxa"/>
              <w:right w:w="20" w:type="dxa"/>
            </w:tcMar>
            <w:vAlign w:val="bottom"/>
          </w:tcPr>
          <w:p w14:paraId="392C5C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1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5C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21" w14:textId="77777777" w:rsidR="00980E5F" w:rsidRDefault="00483613">
            <w:pPr>
              <w:jc w:val="right"/>
              <w:textAlignment w:val="bottom"/>
            </w:pPr>
            <w:r>
              <w:rPr>
                <w:rFonts w:ascii="Arial" w:eastAsia="宋体" w:hAnsi="Arial" w:cs="Arial"/>
                <w:color w:val="000000"/>
                <w:sz w:val="13"/>
                <w:szCs w:val="13"/>
              </w:rPr>
              <w:t>13,385 </w:t>
            </w:r>
          </w:p>
        </w:tc>
        <w:tc>
          <w:tcPr>
            <w:tcW w:w="0" w:type="auto"/>
            <w:shd w:val="clear" w:color="auto" w:fill="FFFFFF"/>
            <w:tcMar>
              <w:top w:w="40" w:type="dxa"/>
              <w:left w:w="0" w:type="dxa"/>
              <w:bottom w:w="40" w:type="dxa"/>
              <w:right w:w="20" w:type="dxa"/>
            </w:tcMar>
            <w:vAlign w:val="bottom"/>
          </w:tcPr>
          <w:p w14:paraId="392C5C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24" w14:textId="77777777" w:rsidR="00980E5F" w:rsidRDefault="00483613">
            <w:pPr>
              <w:jc w:val="right"/>
              <w:textAlignment w:val="bottom"/>
            </w:pPr>
            <w:r>
              <w:rPr>
                <w:rFonts w:ascii="Arial" w:eastAsia="宋体" w:hAnsi="Arial" w:cs="Arial"/>
                <w:color w:val="000000"/>
                <w:sz w:val="13"/>
                <w:szCs w:val="13"/>
              </w:rPr>
              <w:t>167 </w:t>
            </w:r>
          </w:p>
        </w:tc>
        <w:tc>
          <w:tcPr>
            <w:tcW w:w="0" w:type="auto"/>
            <w:shd w:val="clear" w:color="auto" w:fill="FFFFFF"/>
            <w:tcMar>
              <w:top w:w="40" w:type="dxa"/>
              <w:left w:w="0" w:type="dxa"/>
              <w:bottom w:w="40" w:type="dxa"/>
              <w:right w:w="20" w:type="dxa"/>
            </w:tcMar>
            <w:vAlign w:val="bottom"/>
          </w:tcPr>
          <w:p w14:paraId="392C5C25" w14:textId="77777777" w:rsidR="00980E5F" w:rsidRDefault="00980E5F">
            <w:pPr>
              <w:jc w:val="right"/>
              <w:rPr>
                <w:rFonts w:ascii="宋体"/>
              </w:rPr>
            </w:pPr>
          </w:p>
        </w:tc>
      </w:tr>
      <w:tr w:rsidR="00980E5F" w14:paraId="392C5C36" w14:textId="77777777">
        <w:tc>
          <w:tcPr>
            <w:tcW w:w="0" w:type="auto"/>
            <w:gridSpan w:val="3"/>
            <w:shd w:val="clear" w:color="auto" w:fill="CCEEFF"/>
            <w:tcMar>
              <w:top w:w="40" w:type="dxa"/>
              <w:left w:w="20" w:type="dxa"/>
              <w:bottom w:w="40" w:type="dxa"/>
              <w:right w:w="20" w:type="dxa"/>
            </w:tcMar>
            <w:vAlign w:val="bottom"/>
          </w:tcPr>
          <w:p w14:paraId="392C5C27" w14:textId="77777777" w:rsidR="00980E5F" w:rsidRDefault="00483613">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392C5C28"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392C5C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2B"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392C5C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2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2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C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31" w14:textId="77777777" w:rsidR="00980E5F" w:rsidRDefault="00483613">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392C5C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C34"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5C35" w14:textId="77777777" w:rsidR="00980E5F" w:rsidRDefault="00980E5F">
            <w:pPr>
              <w:jc w:val="right"/>
              <w:rPr>
                <w:rFonts w:ascii="宋体"/>
              </w:rPr>
            </w:pPr>
          </w:p>
        </w:tc>
      </w:tr>
    </w:tbl>
    <w:p w14:paraId="392C5C3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980E5F" w14:paraId="392C5C44" w14:textId="77777777">
        <w:tc>
          <w:tcPr>
            <w:tcW w:w="50" w:type="pct"/>
            <w:shd w:val="clear" w:color="auto" w:fill="auto"/>
            <w:vAlign w:val="bottom"/>
          </w:tcPr>
          <w:p w14:paraId="392C5C38" w14:textId="77777777" w:rsidR="00980E5F" w:rsidRDefault="00980E5F">
            <w:pPr>
              <w:rPr>
                <w:rFonts w:ascii="宋体"/>
              </w:rPr>
            </w:pPr>
          </w:p>
        </w:tc>
        <w:tc>
          <w:tcPr>
            <w:tcW w:w="1348" w:type="pct"/>
            <w:shd w:val="clear" w:color="auto" w:fill="auto"/>
            <w:vAlign w:val="bottom"/>
          </w:tcPr>
          <w:p w14:paraId="392C5C39" w14:textId="77777777" w:rsidR="00980E5F" w:rsidRDefault="00980E5F">
            <w:pPr>
              <w:rPr>
                <w:rFonts w:ascii="宋体"/>
              </w:rPr>
            </w:pPr>
          </w:p>
        </w:tc>
        <w:tc>
          <w:tcPr>
            <w:tcW w:w="5" w:type="pct"/>
            <w:shd w:val="clear" w:color="auto" w:fill="auto"/>
            <w:vAlign w:val="bottom"/>
          </w:tcPr>
          <w:p w14:paraId="392C5C3A" w14:textId="77777777" w:rsidR="00980E5F" w:rsidRDefault="00980E5F">
            <w:pPr>
              <w:rPr>
                <w:rFonts w:ascii="宋体"/>
              </w:rPr>
            </w:pPr>
          </w:p>
        </w:tc>
        <w:tc>
          <w:tcPr>
            <w:tcW w:w="50" w:type="pct"/>
            <w:shd w:val="clear" w:color="auto" w:fill="auto"/>
            <w:vAlign w:val="bottom"/>
          </w:tcPr>
          <w:p w14:paraId="392C5C3B" w14:textId="77777777" w:rsidR="00980E5F" w:rsidRDefault="00980E5F">
            <w:pPr>
              <w:rPr>
                <w:rFonts w:ascii="宋体"/>
              </w:rPr>
            </w:pPr>
          </w:p>
        </w:tc>
        <w:tc>
          <w:tcPr>
            <w:tcW w:w="968" w:type="pct"/>
            <w:shd w:val="clear" w:color="auto" w:fill="auto"/>
            <w:vAlign w:val="bottom"/>
          </w:tcPr>
          <w:p w14:paraId="392C5C3C" w14:textId="77777777" w:rsidR="00980E5F" w:rsidRDefault="00980E5F">
            <w:pPr>
              <w:rPr>
                <w:rFonts w:ascii="宋体"/>
              </w:rPr>
            </w:pPr>
          </w:p>
        </w:tc>
        <w:tc>
          <w:tcPr>
            <w:tcW w:w="5" w:type="pct"/>
            <w:shd w:val="clear" w:color="auto" w:fill="auto"/>
            <w:vAlign w:val="bottom"/>
          </w:tcPr>
          <w:p w14:paraId="392C5C3D" w14:textId="77777777" w:rsidR="00980E5F" w:rsidRDefault="00980E5F">
            <w:pPr>
              <w:rPr>
                <w:rFonts w:ascii="宋体"/>
              </w:rPr>
            </w:pPr>
          </w:p>
        </w:tc>
        <w:tc>
          <w:tcPr>
            <w:tcW w:w="50" w:type="pct"/>
            <w:shd w:val="clear" w:color="auto" w:fill="auto"/>
            <w:vAlign w:val="bottom"/>
          </w:tcPr>
          <w:p w14:paraId="392C5C3E" w14:textId="77777777" w:rsidR="00980E5F" w:rsidRDefault="00980E5F">
            <w:pPr>
              <w:rPr>
                <w:rFonts w:ascii="宋体"/>
              </w:rPr>
            </w:pPr>
          </w:p>
        </w:tc>
        <w:tc>
          <w:tcPr>
            <w:tcW w:w="858" w:type="pct"/>
            <w:shd w:val="clear" w:color="auto" w:fill="auto"/>
            <w:vAlign w:val="bottom"/>
          </w:tcPr>
          <w:p w14:paraId="392C5C3F" w14:textId="77777777" w:rsidR="00980E5F" w:rsidRDefault="00980E5F">
            <w:pPr>
              <w:rPr>
                <w:rFonts w:ascii="宋体"/>
              </w:rPr>
            </w:pPr>
          </w:p>
        </w:tc>
        <w:tc>
          <w:tcPr>
            <w:tcW w:w="5" w:type="pct"/>
            <w:shd w:val="clear" w:color="auto" w:fill="auto"/>
            <w:vAlign w:val="bottom"/>
          </w:tcPr>
          <w:p w14:paraId="392C5C40" w14:textId="77777777" w:rsidR="00980E5F" w:rsidRDefault="00980E5F">
            <w:pPr>
              <w:rPr>
                <w:rFonts w:ascii="宋体"/>
              </w:rPr>
            </w:pPr>
          </w:p>
        </w:tc>
        <w:tc>
          <w:tcPr>
            <w:tcW w:w="50" w:type="pct"/>
            <w:shd w:val="clear" w:color="auto" w:fill="auto"/>
            <w:vAlign w:val="bottom"/>
          </w:tcPr>
          <w:p w14:paraId="392C5C41" w14:textId="77777777" w:rsidR="00980E5F" w:rsidRDefault="00980E5F">
            <w:pPr>
              <w:rPr>
                <w:rFonts w:ascii="宋体"/>
              </w:rPr>
            </w:pPr>
          </w:p>
        </w:tc>
        <w:tc>
          <w:tcPr>
            <w:tcW w:w="1604" w:type="pct"/>
            <w:shd w:val="clear" w:color="auto" w:fill="auto"/>
            <w:vAlign w:val="bottom"/>
          </w:tcPr>
          <w:p w14:paraId="392C5C42" w14:textId="77777777" w:rsidR="00980E5F" w:rsidRDefault="00980E5F">
            <w:pPr>
              <w:rPr>
                <w:rFonts w:ascii="宋体"/>
              </w:rPr>
            </w:pPr>
          </w:p>
        </w:tc>
        <w:tc>
          <w:tcPr>
            <w:tcW w:w="5" w:type="pct"/>
            <w:shd w:val="clear" w:color="auto" w:fill="auto"/>
            <w:vAlign w:val="bottom"/>
          </w:tcPr>
          <w:p w14:paraId="392C5C43" w14:textId="77777777" w:rsidR="00980E5F" w:rsidRDefault="00980E5F">
            <w:pPr>
              <w:rPr>
                <w:rFonts w:ascii="宋体"/>
              </w:rPr>
            </w:pPr>
          </w:p>
        </w:tc>
      </w:tr>
      <w:tr w:rsidR="00980E5F" w14:paraId="392C5C4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5C4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4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48" w14:textId="77777777" w:rsidR="00980E5F" w:rsidRDefault="00980E5F">
            <w:pPr>
              <w:rPr>
                <w:rFonts w:ascii="宋体"/>
              </w:rPr>
            </w:pPr>
          </w:p>
        </w:tc>
      </w:tr>
    </w:tbl>
    <w:p w14:paraId="392C5C4A" w14:textId="77777777" w:rsidR="00980E5F" w:rsidRDefault="00483613">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Includes $8 million of loans classified as held-for-sale that were measured at fair value in level 2 as of December 31, 2021.</w:t>
      </w:r>
    </w:p>
    <w:p w14:paraId="392C5C4B" w14:textId="77777777" w:rsidR="00980E5F" w:rsidRDefault="00483613">
      <w:pPr>
        <w:spacing w:before="2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w:t>
      </w:r>
      <w:r>
        <w:rPr>
          <w:rFonts w:ascii="Arial" w:eastAsia="宋体" w:hAnsi="Arial" w:cs="Arial"/>
          <w:color w:val="000000"/>
          <w:sz w:val="12"/>
          <w:szCs w:val="12"/>
        </w:rPr>
        <w:t>ransfer and re-pledge.</w:t>
      </w:r>
    </w:p>
    <w:p w14:paraId="392C5C4C" w14:textId="77777777" w:rsidR="00980E5F" w:rsidRDefault="00980E5F">
      <w:pPr>
        <w:spacing w:before="60"/>
      </w:pPr>
    </w:p>
    <w:p w14:paraId="392C5C4D" w14:textId="77777777" w:rsidR="00980E5F" w:rsidRDefault="00483613">
      <w:pPr>
        <w:spacing w:before="60"/>
        <w:jc w:val="both"/>
      </w:pPr>
      <w:r>
        <w:rPr>
          <w:rFonts w:ascii="Arial" w:eastAsia="宋体" w:hAnsi="Arial" w:cs="Arial"/>
          <w:b/>
          <w:bCs/>
          <w:color w:val="000000"/>
          <w:sz w:val="20"/>
          <w:szCs w:val="20"/>
        </w:rPr>
        <w:t>Note 3.    Investment Securities</w:t>
      </w:r>
    </w:p>
    <w:p w14:paraId="392C5C4E" w14:textId="77777777" w:rsidR="00980E5F" w:rsidRDefault="00483613">
      <w:pPr>
        <w:spacing w:before="60"/>
        <w:ind w:firstLine="450"/>
        <w:jc w:val="both"/>
      </w:pPr>
      <w:r>
        <w:rPr>
          <w:rFonts w:ascii="Arial" w:eastAsia="宋体" w:hAnsi="Arial" w:cs="Arial"/>
          <w:color w:val="000000"/>
          <w:sz w:val="20"/>
          <w:szCs w:val="20"/>
        </w:rPr>
        <w:t>Investment securities held by us are classified as either trading account assets, AFS, HTM or equity securities held at fair value at the time of purchase and reassessed periodically, based on manage</w:t>
      </w:r>
      <w:r>
        <w:rPr>
          <w:rFonts w:ascii="Arial" w:eastAsia="宋体" w:hAnsi="Arial" w:cs="Arial"/>
          <w:color w:val="000000"/>
          <w:sz w:val="20"/>
          <w:szCs w:val="20"/>
        </w:rPr>
        <w:t>ment’s intent. For additional information on our accounting for investment securities, refer to page 144 in Note 3 to the consolidated financial statements included under Item 8, Financial Statements and Supplementary Data, in our 2021 Form 10-K.</w:t>
      </w:r>
    </w:p>
    <w:p w14:paraId="392C5C4F" w14:textId="77777777" w:rsidR="00980E5F" w:rsidRDefault="00483613">
      <w:pPr>
        <w:spacing w:before="60"/>
        <w:ind w:firstLine="450"/>
        <w:jc w:val="both"/>
      </w:pPr>
      <w:r>
        <w:rPr>
          <w:rFonts w:ascii="Arial" w:eastAsia="宋体" w:hAnsi="Arial" w:cs="Arial"/>
          <w:color w:val="000000"/>
          <w:sz w:val="20"/>
          <w:szCs w:val="20"/>
        </w:rPr>
        <w:t>Trading a</w:t>
      </w:r>
      <w:r>
        <w:rPr>
          <w:rFonts w:ascii="Arial" w:eastAsia="宋体" w:hAnsi="Arial" w:cs="Arial"/>
          <w:color w:val="000000"/>
          <w:sz w:val="20"/>
          <w:szCs w:val="20"/>
        </w:rPr>
        <w:t>ssets are carried at fair value. Both realized and unrealized gains and losses on trading assets are recorded in foreign exchange trading services revenue in our consolidated statement of income. AFS securities are carried at fair value, with any allowance</w:t>
      </w:r>
      <w:r>
        <w:rPr>
          <w:rFonts w:ascii="Arial" w:eastAsia="宋体" w:hAnsi="Arial" w:cs="Arial"/>
          <w:color w:val="000000"/>
          <w:sz w:val="20"/>
          <w:szCs w:val="20"/>
        </w:rPr>
        <w:t xml:space="preserve"> for credit losses recorded through the consolidated statement of income and after-tax net unrealized gains and losses are recorded in AOCI. Gains or losses realized on sales of AFS investment securities are computed using the specific identification metho</w:t>
      </w:r>
      <w:r>
        <w:rPr>
          <w:rFonts w:ascii="Arial" w:eastAsia="宋体" w:hAnsi="Arial" w:cs="Arial"/>
          <w:color w:val="000000"/>
          <w:sz w:val="20"/>
          <w:szCs w:val="20"/>
        </w:rPr>
        <w:t>d and are recorded in gains (losses) related to investment securities, net, in our consolidated statement of income. HTM investment securities are carried at cost, adjusted for amortization of premiums and accretion of discounts, with any allowance for cre</w:t>
      </w:r>
      <w:r>
        <w:rPr>
          <w:rFonts w:ascii="Arial" w:eastAsia="宋体" w:hAnsi="Arial" w:cs="Arial"/>
          <w:color w:val="000000"/>
          <w:sz w:val="20"/>
          <w:szCs w:val="20"/>
        </w:rPr>
        <w:t>dit losses recorded through the consolidated statement of income.</w:t>
      </w:r>
    </w:p>
    <w:p w14:paraId="392C5C50" w14:textId="77777777" w:rsidR="00980E5F" w:rsidRDefault="00980E5F">
      <w:pPr>
        <w:spacing w:before="60"/>
        <w:ind w:firstLine="450"/>
        <w:jc w:val="both"/>
      </w:pPr>
    </w:p>
    <w:p w14:paraId="392C5C51" w14:textId="77777777" w:rsidR="00980E5F" w:rsidRDefault="00483613">
      <w:pPr>
        <w:ind w:firstLine="450"/>
        <w:jc w:val="right"/>
      </w:pPr>
      <w:r>
        <w:rPr>
          <w:rFonts w:ascii="Arial" w:eastAsia="宋体" w:hAnsi="Arial" w:cs="Arial"/>
          <w:color w:val="000000"/>
          <w:sz w:val="18"/>
          <w:szCs w:val="18"/>
        </w:rPr>
        <w:t>State Street Corporation | 66</w:t>
      </w:r>
    </w:p>
    <w:p w14:paraId="392C5C52" w14:textId="77777777" w:rsidR="00980E5F" w:rsidRDefault="00980E5F">
      <w:pPr>
        <w:ind w:firstLine="450"/>
        <w:jc w:val="center"/>
      </w:pPr>
    </w:p>
    <w:p w14:paraId="392C5C53" w14:textId="77777777" w:rsidR="00980E5F" w:rsidRDefault="00483613">
      <w:r>
        <w:pict w14:anchorId="392CBB10">
          <v:rect id="_x0000_i1090" style="width:415.3pt;height:1.5pt" o:hralign="center" o:hrstd="t" o:hr="t" fillcolor="#a0a0a0" stroked="f"/>
        </w:pict>
      </w:r>
    </w:p>
    <w:p w14:paraId="392C5C54" w14:textId="77777777" w:rsidR="00980E5F" w:rsidRDefault="00483613">
      <w:pPr>
        <w:ind w:firstLine="450"/>
        <w:jc w:val="center"/>
      </w:pPr>
      <w:r>
        <w:rPr>
          <w:rFonts w:ascii="Arial" w:eastAsia="宋体" w:hAnsi="Arial" w:cs="Arial"/>
          <w:b/>
          <w:bCs/>
          <w:color w:val="000000"/>
          <w:sz w:val="20"/>
          <w:szCs w:val="20"/>
        </w:rPr>
        <w:t>STATE STREET CORPORATION</w:t>
      </w:r>
    </w:p>
    <w:p w14:paraId="392C5C55"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5C56" w14:textId="77777777" w:rsidR="00980E5F" w:rsidRDefault="00483613">
      <w:pPr>
        <w:ind w:firstLine="450"/>
        <w:jc w:val="center"/>
      </w:pPr>
      <w:r>
        <w:rPr>
          <w:rFonts w:ascii="Arial" w:eastAsia="宋体" w:hAnsi="Arial" w:cs="Arial"/>
          <w:b/>
          <w:bCs/>
          <w:color w:val="000000"/>
          <w:sz w:val="20"/>
          <w:szCs w:val="20"/>
        </w:rPr>
        <w:t>(UNAUDITED)</w:t>
      </w:r>
    </w:p>
    <w:p w14:paraId="392C5C57" w14:textId="77777777" w:rsidR="00980E5F" w:rsidRDefault="00483613">
      <w:pPr>
        <w:spacing w:before="60"/>
        <w:ind w:firstLine="450"/>
        <w:jc w:val="both"/>
      </w:pPr>
      <w:r>
        <w:rPr>
          <w:rFonts w:ascii="Arial" w:eastAsia="宋体" w:hAnsi="Arial" w:cs="Arial"/>
          <w:color w:val="000000"/>
          <w:sz w:val="20"/>
          <w:szCs w:val="20"/>
        </w:rPr>
        <w:t xml:space="preserve">The following table presents the amortized cost, fair value and </w:t>
      </w:r>
      <w:r>
        <w:rPr>
          <w:rFonts w:ascii="Arial" w:eastAsia="宋体" w:hAnsi="Arial" w:cs="Arial"/>
          <w:color w:val="000000"/>
          <w:sz w:val="20"/>
          <w:szCs w:val="20"/>
        </w:rPr>
        <w:t>associated 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76"/>
        <w:gridCol w:w="37"/>
        <w:gridCol w:w="105"/>
        <w:gridCol w:w="679"/>
        <w:gridCol w:w="36"/>
        <w:gridCol w:w="36"/>
        <w:gridCol w:w="36"/>
        <w:gridCol w:w="36"/>
        <w:gridCol w:w="105"/>
        <w:gridCol w:w="377"/>
        <w:gridCol w:w="36"/>
        <w:gridCol w:w="36"/>
        <w:gridCol w:w="36"/>
        <w:gridCol w:w="36"/>
        <w:gridCol w:w="104"/>
        <w:gridCol w:w="418"/>
        <w:gridCol w:w="36"/>
        <w:gridCol w:w="36"/>
        <w:gridCol w:w="36"/>
        <w:gridCol w:w="36"/>
        <w:gridCol w:w="104"/>
        <w:gridCol w:w="501"/>
        <w:gridCol w:w="36"/>
        <w:gridCol w:w="36"/>
        <w:gridCol w:w="36"/>
        <w:gridCol w:w="36"/>
        <w:gridCol w:w="105"/>
        <w:gridCol w:w="679"/>
        <w:gridCol w:w="36"/>
        <w:gridCol w:w="36"/>
        <w:gridCol w:w="36"/>
        <w:gridCol w:w="36"/>
        <w:gridCol w:w="105"/>
        <w:gridCol w:w="381"/>
        <w:gridCol w:w="36"/>
        <w:gridCol w:w="36"/>
        <w:gridCol w:w="36"/>
        <w:gridCol w:w="36"/>
        <w:gridCol w:w="105"/>
        <w:gridCol w:w="464"/>
        <w:gridCol w:w="36"/>
        <w:gridCol w:w="36"/>
        <w:gridCol w:w="36"/>
        <w:gridCol w:w="36"/>
        <w:gridCol w:w="104"/>
        <w:gridCol w:w="501"/>
        <w:gridCol w:w="36"/>
      </w:tblGrid>
      <w:tr w:rsidR="00980E5F" w14:paraId="392C5C88" w14:textId="77777777">
        <w:tc>
          <w:tcPr>
            <w:tcW w:w="50" w:type="pct"/>
            <w:shd w:val="clear" w:color="auto" w:fill="auto"/>
            <w:vAlign w:val="bottom"/>
          </w:tcPr>
          <w:p w14:paraId="392C5C58" w14:textId="77777777" w:rsidR="00980E5F" w:rsidRDefault="00980E5F">
            <w:pPr>
              <w:rPr>
                <w:rFonts w:ascii="宋体"/>
              </w:rPr>
            </w:pPr>
          </w:p>
        </w:tc>
        <w:tc>
          <w:tcPr>
            <w:tcW w:w="1655" w:type="pct"/>
            <w:shd w:val="clear" w:color="auto" w:fill="auto"/>
            <w:vAlign w:val="bottom"/>
          </w:tcPr>
          <w:p w14:paraId="392C5C59" w14:textId="77777777" w:rsidR="00980E5F" w:rsidRDefault="00980E5F">
            <w:pPr>
              <w:rPr>
                <w:rFonts w:ascii="宋体"/>
              </w:rPr>
            </w:pPr>
          </w:p>
        </w:tc>
        <w:tc>
          <w:tcPr>
            <w:tcW w:w="5" w:type="pct"/>
            <w:shd w:val="clear" w:color="auto" w:fill="auto"/>
            <w:vAlign w:val="bottom"/>
          </w:tcPr>
          <w:p w14:paraId="392C5C5A" w14:textId="77777777" w:rsidR="00980E5F" w:rsidRDefault="00980E5F">
            <w:pPr>
              <w:rPr>
                <w:rFonts w:ascii="宋体"/>
              </w:rPr>
            </w:pPr>
          </w:p>
        </w:tc>
        <w:tc>
          <w:tcPr>
            <w:tcW w:w="50" w:type="pct"/>
            <w:shd w:val="clear" w:color="auto" w:fill="auto"/>
            <w:vAlign w:val="bottom"/>
          </w:tcPr>
          <w:p w14:paraId="392C5C5B" w14:textId="77777777" w:rsidR="00980E5F" w:rsidRDefault="00980E5F">
            <w:pPr>
              <w:rPr>
                <w:rFonts w:ascii="宋体"/>
              </w:rPr>
            </w:pPr>
          </w:p>
        </w:tc>
        <w:tc>
          <w:tcPr>
            <w:tcW w:w="390" w:type="pct"/>
            <w:shd w:val="clear" w:color="auto" w:fill="auto"/>
            <w:vAlign w:val="bottom"/>
          </w:tcPr>
          <w:p w14:paraId="392C5C5C" w14:textId="77777777" w:rsidR="00980E5F" w:rsidRDefault="00980E5F">
            <w:pPr>
              <w:rPr>
                <w:rFonts w:ascii="宋体"/>
              </w:rPr>
            </w:pPr>
          </w:p>
        </w:tc>
        <w:tc>
          <w:tcPr>
            <w:tcW w:w="5" w:type="pct"/>
            <w:shd w:val="clear" w:color="auto" w:fill="auto"/>
            <w:vAlign w:val="bottom"/>
          </w:tcPr>
          <w:p w14:paraId="392C5C5D" w14:textId="77777777" w:rsidR="00980E5F" w:rsidRDefault="00980E5F">
            <w:pPr>
              <w:rPr>
                <w:rFonts w:ascii="宋体"/>
              </w:rPr>
            </w:pPr>
          </w:p>
        </w:tc>
        <w:tc>
          <w:tcPr>
            <w:tcW w:w="5" w:type="pct"/>
            <w:shd w:val="clear" w:color="auto" w:fill="auto"/>
            <w:vAlign w:val="bottom"/>
          </w:tcPr>
          <w:p w14:paraId="392C5C5E" w14:textId="77777777" w:rsidR="00980E5F" w:rsidRDefault="00980E5F">
            <w:pPr>
              <w:rPr>
                <w:rFonts w:ascii="宋体"/>
              </w:rPr>
            </w:pPr>
          </w:p>
        </w:tc>
        <w:tc>
          <w:tcPr>
            <w:tcW w:w="26" w:type="pct"/>
            <w:shd w:val="clear" w:color="auto" w:fill="auto"/>
            <w:vAlign w:val="bottom"/>
          </w:tcPr>
          <w:p w14:paraId="392C5C5F" w14:textId="77777777" w:rsidR="00980E5F" w:rsidRDefault="00980E5F">
            <w:pPr>
              <w:rPr>
                <w:rFonts w:ascii="宋体"/>
              </w:rPr>
            </w:pPr>
          </w:p>
        </w:tc>
        <w:tc>
          <w:tcPr>
            <w:tcW w:w="5" w:type="pct"/>
            <w:shd w:val="clear" w:color="auto" w:fill="auto"/>
            <w:vAlign w:val="bottom"/>
          </w:tcPr>
          <w:p w14:paraId="392C5C60" w14:textId="77777777" w:rsidR="00980E5F" w:rsidRDefault="00980E5F">
            <w:pPr>
              <w:rPr>
                <w:rFonts w:ascii="宋体"/>
              </w:rPr>
            </w:pPr>
          </w:p>
        </w:tc>
        <w:tc>
          <w:tcPr>
            <w:tcW w:w="50" w:type="pct"/>
            <w:shd w:val="clear" w:color="auto" w:fill="auto"/>
            <w:vAlign w:val="bottom"/>
          </w:tcPr>
          <w:p w14:paraId="392C5C61" w14:textId="77777777" w:rsidR="00980E5F" w:rsidRDefault="00980E5F">
            <w:pPr>
              <w:rPr>
                <w:rFonts w:ascii="宋体"/>
              </w:rPr>
            </w:pPr>
          </w:p>
        </w:tc>
        <w:tc>
          <w:tcPr>
            <w:tcW w:w="259" w:type="pct"/>
            <w:shd w:val="clear" w:color="auto" w:fill="auto"/>
            <w:vAlign w:val="bottom"/>
          </w:tcPr>
          <w:p w14:paraId="392C5C62" w14:textId="77777777" w:rsidR="00980E5F" w:rsidRDefault="00980E5F">
            <w:pPr>
              <w:rPr>
                <w:rFonts w:ascii="宋体"/>
              </w:rPr>
            </w:pPr>
          </w:p>
        </w:tc>
        <w:tc>
          <w:tcPr>
            <w:tcW w:w="5" w:type="pct"/>
            <w:shd w:val="clear" w:color="auto" w:fill="auto"/>
            <w:vAlign w:val="bottom"/>
          </w:tcPr>
          <w:p w14:paraId="392C5C63" w14:textId="77777777" w:rsidR="00980E5F" w:rsidRDefault="00980E5F">
            <w:pPr>
              <w:rPr>
                <w:rFonts w:ascii="宋体"/>
              </w:rPr>
            </w:pPr>
          </w:p>
        </w:tc>
        <w:tc>
          <w:tcPr>
            <w:tcW w:w="5" w:type="pct"/>
            <w:shd w:val="clear" w:color="auto" w:fill="auto"/>
            <w:vAlign w:val="bottom"/>
          </w:tcPr>
          <w:p w14:paraId="392C5C64" w14:textId="77777777" w:rsidR="00980E5F" w:rsidRDefault="00980E5F">
            <w:pPr>
              <w:rPr>
                <w:rFonts w:ascii="宋体"/>
              </w:rPr>
            </w:pPr>
          </w:p>
        </w:tc>
        <w:tc>
          <w:tcPr>
            <w:tcW w:w="26" w:type="pct"/>
            <w:shd w:val="clear" w:color="auto" w:fill="auto"/>
            <w:vAlign w:val="bottom"/>
          </w:tcPr>
          <w:p w14:paraId="392C5C65" w14:textId="77777777" w:rsidR="00980E5F" w:rsidRDefault="00980E5F">
            <w:pPr>
              <w:rPr>
                <w:rFonts w:ascii="宋体"/>
              </w:rPr>
            </w:pPr>
          </w:p>
        </w:tc>
        <w:tc>
          <w:tcPr>
            <w:tcW w:w="5" w:type="pct"/>
            <w:shd w:val="clear" w:color="auto" w:fill="auto"/>
            <w:vAlign w:val="bottom"/>
          </w:tcPr>
          <w:p w14:paraId="392C5C66" w14:textId="77777777" w:rsidR="00980E5F" w:rsidRDefault="00980E5F">
            <w:pPr>
              <w:rPr>
                <w:rFonts w:ascii="宋体"/>
              </w:rPr>
            </w:pPr>
          </w:p>
        </w:tc>
        <w:tc>
          <w:tcPr>
            <w:tcW w:w="50" w:type="pct"/>
            <w:shd w:val="clear" w:color="auto" w:fill="auto"/>
            <w:vAlign w:val="bottom"/>
          </w:tcPr>
          <w:p w14:paraId="392C5C67" w14:textId="77777777" w:rsidR="00980E5F" w:rsidRDefault="00980E5F">
            <w:pPr>
              <w:rPr>
                <w:rFonts w:ascii="宋体"/>
              </w:rPr>
            </w:pPr>
          </w:p>
        </w:tc>
        <w:tc>
          <w:tcPr>
            <w:tcW w:w="273" w:type="pct"/>
            <w:shd w:val="clear" w:color="auto" w:fill="auto"/>
            <w:vAlign w:val="bottom"/>
          </w:tcPr>
          <w:p w14:paraId="392C5C68" w14:textId="77777777" w:rsidR="00980E5F" w:rsidRDefault="00980E5F">
            <w:pPr>
              <w:rPr>
                <w:rFonts w:ascii="宋体"/>
              </w:rPr>
            </w:pPr>
          </w:p>
        </w:tc>
        <w:tc>
          <w:tcPr>
            <w:tcW w:w="5" w:type="pct"/>
            <w:shd w:val="clear" w:color="auto" w:fill="auto"/>
            <w:vAlign w:val="bottom"/>
          </w:tcPr>
          <w:p w14:paraId="392C5C69" w14:textId="77777777" w:rsidR="00980E5F" w:rsidRDefault="00980E5F">
            <w:pPr>
              <w:rPr>
                <w:rFonts w:ascii="宋体"/>
              </w:rPr>
            </w:pPr>
          </w:p>
        </w:tc>
        <w:tc>
          <w:tcPr>
            <w:tcW w:w="5" w:type="pct"/>
            <w:shd w:val="clear" w:color="auto" w:fill="auto"/>
            <w:vAlign w:val="bottom"/>
          </w:tcPr>
          <w:p w14:paraId="392C5C6A" w14:textId="77777777" w:rsidR="00980E5F" w:rsidRDefault="00980E5F">
            <w:pPr>
              <w:rPr>
                <w:rFonts w:ascii="宋体"/>
              </w:rPr>
            </w:pPr>
          </w:p>
        </w:tc>
        <w:tc>
          <w:tcPr>
            <w:tcW w:w="26" w:type="pct"/>
            <w:shd w:val="clear" w:color="auto" w:fill="auto"/>
            <w:vAlign w:val="bottom"/>
          </w:tcPr>
          <w:p w14:paraId="392C5C6B" w14:textId="77777777" w:rsidR="00980E5F" w:rsidRDefault="00980E5F">
            <w:pPr>
              <w:rPr>
                <w:rFonts w:ascii="宋体"/>
              </w:rPr>
            </w:pPr>
          </w:p>
        </w:tc>
        <w:tc>
          <w:tcPr>
            <w:tcW w:w="5" w:type="pct"/>
            <w:shd w:val="clear" w:color="auto" w:fill="auto"/>
            <w:vAlign w:val="bottom"/>
          </w:tcPr>
          <w:p w14:paraId="392C5C6C" w14:textId="77777777" w:rsidR="00980E5F" w:rsidRDefault="00980E5F">
            <w:pPr>
              <w:rPr>
                <w:rFonts w:ascii="宋体"/>
              </w:rPr>
            </w:pPr>
          </w:p>
        </w:tc>
        <w:tc>
          <w:tcPr>
            <w:tcW w:w="50" w:type="pct"/>
            <w:shd w:val="clear" w:color="auto" w:fill="auto"/>
            <w:vAlign w:val="bottom"/>
          </w:tcPr>
          <w:p w14:paraId="392C5C6D" w14:textId="77777777" w:rsidR="00980E5F" w:rsidRDefault="00980E5F">
            <w:pPr>
              <w:rPr>
                <w:rFonts w:ascii="宋体"/>
              </w:rPr>
            </w:pPr>
          </w:p>
        </w:tc>
        <w:tc>
          <w:tcPr>
            <w:tcW w:w="376" w:type="pct"/>
            <w:shd w:val="clear" w:color="auto" w:fill="auto"/>
            <w:vAlign w:val="bottom"/>
          </w:tcPr>
          <w:p w14:paraId="392C5C6E" w14:textId="77777777" w:rsidR="00980E5F" w:rsidRDefault="00980E5F">
            <w:pPr>
              <w:rPr>
                <w:rFonts w:ascii="宋体"/>
              </w:rPr>
            </w:pPr>
          </w:p>
        </w:tc>
        <w:tc>
          <w:tcPr>
            <w:tcW w:w="5" w:type="pct"/>
            <w:shd w:val="clear" w:color="auto" w:fill="auto"/>
            <w:vAlign w:val="bottom"/>
          </w:tcPr>
          <w:p w14:paraId="392C5C6F" w14:textId="77777777" w:rsidR="00980E5F" w:rsidRDefault="00980E5F">
            <w:pPr>
              <w:rPr>
                <w:rFonts w:ascii="宋体"/>
              </w:rPr>
            </w:pPr>
          </w:p>
        </w:tc>
        <w:tc>
          <w:tcPr>
            <w:tcW w:w="5" w:type="pct"/>
            <w:shd w:val="clear" w:color="auto" w:fill="auto"/>
            <w:vAlign w:val="bottom"/>
          </w:tcPr>
          <w:p w14:paraId="392C5C70" w14:textId="77777777" w:rsidR="00980E5F" w:rsidRDefault="00980E5F">
            <w:pPr>
              <w:rPr>
                <w:rFonts w:ascii="宋体"/>
              </w:rPr>
            </w:pPr>
          </w:p>
        </w:tc>
        <w:tc>
          <w:tcPr>
            <w:tcW w:w="26" w:type="pct"/>
            <w:shd w:val="clear" w:color="auto" w:fill="auto"/>
            <w:vAlign w:val="bottom"/>
          </w:tcPr>
          <w:p w14:paraId="392C5C71" w14:textId="77777777" w:rsidR="00980E5F" w:rsidRDefault="00980E5F">
            <w:pPr>
              <w:rPr>
                <w:rFonts w:ascii="宋体"/>
              </w:rPr>
            </w:pPr>
          </w:p>
        </w:tc>
        <w:tc>
          <w:tcPr>
            <w:tcW w:w="5" w:type="pct"/>
            <w:shd w:val="clear" w:color="auto" w:fill="auto"/>
            <w:vAlign w:val="bottom"/>
          </w:tcPr>
          <w:p w14:paraId="392C5C72" w14:textId="77777777" w:rsidR="00980E5F" w:rsidRDefault="00980E5F">
            <w:pPr>
              <w:rPr>
                <w:rFonts w:ascii="宋体"/>
              </w:rPr>
            </w:pPr>
          </w:p>
        </w:tc>
        <w:tc>
          <w:tcPr>
            <w:tcW w:w="50" w:type="pct"/>
            <w:shd w:val="clear" w:color="auto" w:fill="auto"/>
            <w:vAlign w:val="bottom"/>
          </w:tcPr>
          <w:p w14:paraId="392C5C73" w14:textId="77777777" w:rsidR="00980E5F" w:rsidRDefault="00980E5F">
            <w:pPr>
              <w:rPr>
                <w:rFonts w:ascii="宋体"/>
              </w:rPr>
            </w:pPr>
          </w:p>
        </w:tc>
        <w:tc>
          <w:tcPr>
            <w:tcW w:w="390" w:type="pct"/>
            <w:shd w:val="clear" w:color="auto" w:fill="auto"/>
            <w:vAlign w:val="bottom"/>
          </w:tcPr>
          <w:p w14:paraId="392C5C74" w14:textId="77777777" w:rsidR="00980E5F" w:rsidRDefault="00980E5F">
            <w:pPr>
              <w:rPr>
                <w:rFonts w:ascii="宋体"/>
              </w:rPr>
            </w:pPr>
          </w:p>
        </w:tc>
        <w:tc>
          <w:tcPr>
            <w:tcW w:w="5" w:type="pct"/>
            <w:shd w:val="clear" w:color="auto" w:fill="auto"/>
            <w:vAlign w:val="bottom"/>
          </w:tcPr>
          <w:p w14:paraId="392C5C75" w14:textId="77777777" w:rsidR="00980E5F" w:rsidRDefault="00980E5F">
            <w:pPr>
              <w:rPr>
                <w:rFonts w:ascii="宋体"/>
              </w:rPr>
            </w:pPr>
          </w:p>
        </w:tc>
        <w:tc>
          <w:tcPr>
            <w:tcW w:w="5" w:type="pct"/>
            <w:shd w:val="clear" w:color="auto" w:fill="auto"/>
            <w:vAlign w:val="bottom"/>
          </w:tcPr>
          <w:p w14:paraId="392C5C76" w14:textId="77777777" w:rsidR="00980E5F" w:rsidRDefault="00980E5F">
            <w:pPr>
              <w:rPr>
                <w:rFonts w:ascii="宋体"/>
              </w:rPr>
            </w:pPr>
          </w:p>
        </w:tc>
        <w:tc>
          <w:tcPr>
            <w:tcW w:w="26" w:type="pct"/>
            <w:shd w:val="clear" w:color="auto" w:fill="auto"/>
            <w:vAlign w:val="bottom"/>
          </w:tcPr>
          <w:p w14:paraId="392C5C77" w14:textId="77777777" w:rsidR="00980E5F" w:rsidRDefault="00980E5F">
            <w:pPr>
              <w:rPr>
                <w:rFonts w:ascii="宋体"/>
              </w:rPr>
            </w:pPr>
          </w:p>
        </w:tc>
        <w:tc>
          <w:tcPr>
            <w:tcW w:w="5" w:type="pct"/>
            <w:shd w:val="clear" w:color="auto" w:fill="auto"/>
            <w:vAlign w:val="bottom"/>
          </w:tcPr>
          <w:p w14:paraId="392C5C78" w14:textId="77777777" w:rsidR="00980E5F" w:rsidRDefault="00980E5F">
            <w:pPr>
              <w:rPr>
                <w:rFonts w:ascii="宋体"/>
              </w:rPr>
            </w:pPr>
          </w:p>
        </w:tc>
        <w:tc>
          <w:tcPr>
            <w:tcW w:w="50" w:type="pct"/>
            <w:shd w:val="clear" w:color="auto" w:fill="auto"/>
            <w:vAlign w:val="bottom"/>
          </w:tcPr>
          <w:p w14:paraId="392C5C79" w14:textId="77777777" w:rsidR="00980E5F" w:rsidRDefault="00980E5F">
            <w:pPr>
              <w:rPr>
                <w:rFonts w:ascii="宋体"/>
              </w:rPr>
            </w:pPr>
          </w:p>
        </w:tc>
        <w:tc>
          <w:tcPr>
            <w:tcW w:w="273" w:type="pct"/>
            <w:shd w:val="clear" w:color="auto" w:fill="auto"/>
            <w:vAlign w:val="bottom"/>
          </w:tcPr>
          <w:p w14:paraId="392C5C7A" w14:textId="77777777" w:rsidR="00980E5F" w:rsidRDefault="00980E5F">
            <w:pPr>
              <w:rPr>
                <w:rFonts w:ascii="宋体"/>
              </w:rPr>
            </w:pPr>
          </w:p>
        </w:tc>
        <w:tc>
          <w:tcPr>
            <w:tcW w:w="5" w:type="pct"/>
            <w:shd w:val="clear" w:color="auto" w:fill="auto"/>
            <w:vAlign w:val="bottom"/>
          </w:tcPr>
          <w:p w14:paraId="392C5C7B" w14:textId="77777777" w:rsidR="00980E5F" w:rsidRDefault="00980E5F">
            <w:pPr>
              <w:rPr>
                <w:rFonts w:ascii="宋体"/>
              </w:rPr>
            </w:pPr>
          </w:p>
        </w:tc>
        <w:tc>
          <w:tcPr>
            <w:tcW w:w="5" w:type="pct"/>
            <w:shd w:val="clear" w:color="auto" w:fill="auto"/>
            <w:vAlign w:val="bottom"/>
          </w:tcPr>
          <w:p w14:paraId="392C5C7C" w14:textId="77777777" w:rsidR="00980E5F" w:rsidRDefault="00980E5F">
            <w:pPr>
              <w:rPr>
                <w:rFonts w:ascii="宋体"/>
              </w:rPr>
            </w:pPr>
          </w:p>
        </w:tc>
        <w:tc>
          <w:tcPr>
            <w:tcW w:w="26" w:type="pct"/>
            <w:shd w:val="clear" w:color="auto" w:fill="auto"/>
            <w:vAlign w:val="bottom"/>
          </w:tcPr>
          <w:p w14:paraId="392C5C7D" w14:textId="77777777" w:rsidR="00980E5F" w:rsidRDefault="00980E5F">
            <w:pPr>
              <w:rPr>
                <w:rFonts w:ascii="宋体"/>
              </w:rPr>
            </w:pPr>
          </w:p>
        </w:tc>
        <w:tc>
          <w:tcPr>
            <w:tcW w:w="5" w:type="pct"/>
            <w:shd w:val="clear" w:color="auto" w:fill="auto"/>
            <w:vAlign w:val="bottom"/>
          </w:tcPr>
          <w:p w14:paraId="392C5C7E" w14:textId="77777777" w:rsidR="00980E5F" w:rsidRDefault="00980E5F">
            <w:pPr>
              <w:rPr>
                <w:rFonts w:ascii="宋体"/>
              </w:rPr>
            </w:pPr>
          </w:p>
        </w:tc>
        <w:tc>
          <w:tcPr>
            <w:tcW w:w="50" w:type="pct"/>
            <w:shd w:val="clear" w:color="auto" w:fill="auto"/>
            <w:vAlign w:val="bottom"/>
          </w:tcPr>
          <w:p w14:paraId="392C5C7F" w14:textId="77777777" w:rsidR="00980E5F" w:rsidRDefault="00980E5F">
            <w:pPr>
              <w:rPr>
                <w:rFonts w:ascii="宋体"/>
              </w:rPr>
            </w:pPr>
          </w:p>
        </w:tc>
        <w:tc>
          <w:tcPr>
            <w:tcW w:w="273" w:type="pct"/>
            <w:shd w:val="clear" w:color="auto" w:fill="auto"/>
            <w:vAlign w:val="bottom"/>
          </w:tcPr>
          <w:p w14:paraId="392C5C80" w14:textId="77777777" w:rsidR="00980E5F" w:rsidRDefault="00980E5F">
            <w:pPr>
              <w:rPr>
                <w:rFonts w:ascii="宋体"/>
              </w:rPr>
            </w:pPr>
          </w:p>
        </w:tc>
        <w:tc>
          <w:tcPr>
            <w:tcW w:w="5" w:type="pct"/>
            <w:shd w:val="clear" w:color="auto" w:fill="auto"/>
            <w:vAlign w:val="bottom"/>
          </w:tcPr>
          <w:p w14:paraId="392C5C81" w14:textId="77777777" w:rsidR="00980E5F" w:rsidRDefault="00980E5F">
            <w:pPr>
              <w:rPr>
                <w:rFonts w:ascii="宋体"/>
              </w:rPr>
            </w:pPr>
          </w:p>
        </w:tc>
        <w:tc>
          <w:tcPr>
            <w:tcW w:w="5" w:type="pct"/>
            <w:shd w:val="clear" w:color="auto" w:fill="auto"/>
            <w:vAlign w:val="bottom"/>
          </w:tcPr>
          <w:p w14:paraId="392C5C82" w14:textId="77777777" w:rsidR="00980E5F" w:rsidRDefault="00980E5F">
            <w:pPr>
              <w:rPr>
                <w:rFonts w:ascii="宋体"/>
              </w:rPr>
            </w:pPr>
          </w:p>
        </w:tc>
        <w:tc>
          <w:tcPr>
            <w:tcW w:w="26" w:type="pct"/>
            <w:shd w:val="clear" w:color="auto" w:fill="auto"/>
            <w:vAlign w:val="bottom"/>
          </w:tcPr>
          <w:p w14:paraId="392C5C83" w14:textId="77777777" w:rsidR="00980E5F" w:rsidRDefault="00980E5F">
            <w:pPr>
              <w:rPr>
                <w:rFonts w:ascii="宋体"/>
              </w:rPr>
            </w:pPr>
          </w:p>
        </w:tc>
        <w:tc>
          <w:tcPr>
            <w:tcW w:w="5" w:type="pct"/>
            <w:shd w:val="clear" w:color="auto" w:fill="auto"/>
            <w:vAlign w:val="bottom"/>
          </w:tcPr>
          <w:p w14:paraId="392C5C84" w14:textId="77777777" w:rsidR="00980E5F" w:rsidRDefault="00980E5F">
            <w:pPr>
              <w:rPr>
                <w:rFonts w:ascii="宋体"/>
              </w:rPr>
            </w:pPr>
          </w:p>
        </w:tc>
        <w:tc>
          <w:tcPr>
            <w:tcW w:w="50" w:type="pct"/>
            <w:shd w:val="clear" w:color="auto" w:fill="auto"/>
            <w:vAlign w:val="bottom"/>
          </w:tcPr>
          <w:p w14:paraId="392C5C85" w14:textId="77777777" w:rsidR="00980E5F" w:rsidRDefault="00980E5F">
            <w:pPr>
              <w:rPr>
                <w:rFonts w:ascii="宋体"/>
              </w:rPr>
            </w:pPr>
          </w:p>
        </w:tc>
        <w:tc>
          <w:tcPr>
            <w:tcW w:w="354" w:type="pct"/>
            <w:shd w:val="clear" w:color="auto" w:fill="auto"/>
            <w:vAlign w:val="bottom"/>
          </w:tcPr>
          <w:p w14:paraId="392C5C86" w14:textId="77777777" w:rsidR="00980E5F" w:rsidRDefault="00980E5F">
            <w:pPr>
              <w:rPr>
                <w:rFonts w:ascii="宋体"/>
              </w:rPr>
            </w:pPr>
          </w:p>
        </w:tc>
        <w:tc>
          <w:tcPr>
            <w:tcW w:w="5" w:type="pct"/>
            <w:shd w:val="clear" w:color="auto" w:fill="auto"/>
            <w:vAlign w:val="bottom"/>
          </w:tcPr>
          <w:p w14:paraId="392C5C87" w14:textId="77777777" w:rsidR="00980E5F" w:rsidRDefault="00980E5F">
            <w:pPr>
              <w:rPr>
                <w:rFonts w:ascii="宋体"/>
              </w:rPr>
            </w:pPr>
          </w:p>
        </w:tc>
      </w:tr>
      <w:tr w:rsidR="00980E5F" w14:paraId="392C5C8D" w14:textId="77777777">
        <w:tc>
          <w:tcPr>
            <w:tcW w:w="0" w:type="auto"/>
            <w:gridSpan w:val="3"/>
            <w:shd w:val="clear" w:color="auto" w:fill="auto"/>
            <w:tcMar>
              <w:top w:w="40" w:type="dxa"/>
              <w:left w:w="20" w:type="dxa"/>
              <w:bottom w:w="40" w:type="dxa"/>
              <w:right w:w="20" w:type="dxa"/>
            </w:tcMar>
            <w:vAlign w:val="bottom"/>
          </w:tcPr>
          <w:p w14:paraId="392C5C89" w14:textId="77777777" w:rsidR="00980E5F" w:rsidRDefault="00483613">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392C5C8A"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5C8B" w14:textId="77777777" w:rsidR="00980E5F" w:rsidRDefault="00980E5F">
            <w:pPr>
              <w:rPr>
                <w:rFonts w:ascii="宋体"/>
              </w:rPr>
            </w:pPr>
          </w:p>
        </w:tc>
        <w:tc>
          <w:tcPr>
            <w:tcW w:w="0" w:type="auto"/>
            <w:gridSpan w:val="21"/>
            <w:shd w:val="clear" w:color="auto" w:fill="auto"/>
            <w:tcMar>
              <w:top w:w="40" w:type="dxa"/>
              <w:left w:w="20" w:type="dxa"/>
              <w:bottom w:w="40" w:type="dxa"/>
              <w:right w:w="20" w:type="dxa"/>
            </w:tcMar>
            <w:vAlign w:val="bottom"/>
          </w:tcPr>
          <w:p w14:paraId="392C5C8C"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5CA0" w14:textId="77777777">
        <w:trPr>
          <w:trHeight w:val="400"/>
        </w:trPr>
        <w:tc>
          <w:tcPr>
            <w:tcW w:w="0" w:type="auto"/>
            <w:gridSpan w:val="3"/>
            <w:shd w:val="clear" w:color="auto" w:fill="auto"/>
            <w:tcMar>
              <w:top w:w="40" w:type="dxa"/>
              <w:left w:w="20" w:type="dxa"/>
              <w:bottom w:w="40" w:type="dxa"/>
              <w:right w:w="20" w:type="dxa"/>
            </w:tcMar>
            <w:vAlign w:val="bottom"/>
          </w:tcPr>
          <w:p w14:paraId="392C5C8E" w14:textId="77777777" w:rsidR="00980E5F" w:rsidRDefault="00483613">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C8F" w14:textId="77777777" w:rsidR="00980E5F" w:rsidRDefault="00483613">
            <w:pPr>
              <w:jc w:val="center"/>
              <w:textAlignment w:val="bottom"/>
            </w:pPr>
            <w:r>
              <w:rPr>
                <w:rFonts w:ascii="Arial" w:eastAsia="宋体" w:hAnsi="Arial" w:cs="Arial"/>
                <w:b/>
                <w:bCs/>
                <w:color w:val="000000"/>
                <w:sz w:val="15"/>
                <w:szCs w:val="15"/>
              </w:rPr>
              <w:t>Amortized</w:t>
            </w:r>
          </w:p>
          <w:p w14:paraId="392C5C90" w14:textId="77777777" w:rsidR="00980E5F" w:rsidRDefault="00483613">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92C5C91"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C92" w14:textId="77777777" w:rsidR="00980E5F" w:rsidRDefault="00483613">
            <w:pPr>
              <w:jc w:val="center"/>
              <w:textAlignment w:val="bottom"/>
            </w:pPr>
            <w:r>
              <w:rPr>
                <w:rFonts w:ascii="Arial" w:eastAsia="宋体" w:hAnsi="Arial" w:cs="Arial"/>
                <w:b/>
                <w:bCs/>
                <w:color w:val="000000"/>
                <w:sz w:val="15"/>
                <w:szCs w:val="15"/>
              </w:rPr>
              <w:t>Gross</w:t>
            </w:r>
          </w:p>
          <w:p w14:paraId="392C5C93" w14:textId="77777777" w:rsidR="00980E5F" w:rsidRDefault="00483613">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94"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C95" w14:textId="77777777" w:rsidR="00980E5F" w:rsidRDefault="00483613">
            <w:pPr>
              <w:jc w:val="center"/>
              <w:textAlignment w:val="bottom"/>
            </w:pPr>
            <w:r>
              <w:rPr>
                <w:rFonts w:ascii="Arial" w:eastAsia="宋体" w:hAnsi="Arial" w:cs="Arial"/>
                <w:b/>
                <w:bCs/>
                <w:color w:val="000000"/>
                <w:sz w:val="15"/>
                <w:szCs w:val="15"/>
              </w:rPr>
              <w:t>Fair</w:t>
            </w:r>
          </w:p>
          <w:p w14:paraId="392C5C96" w14:textId="77777777" w:rsidR="00980E5F" w:rsidRDefault="00483613">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392C5C97"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C98" w14:textId="77777777" w:rsidR="00980E5F" w:rsidRDefault="00483613">
            <w:pPr>
              <w:jc w:val="center"/>
              <w:textAlignment w:val="bottom"/>
            </w:pPr>
            <w:r>
              <w:rPr>
                <w:rFonts w:ascii="Arial" w:eastAsia="宋体" w:hAnsi="Arial" w:cs="Arial"/>
                <w:b/>
                <w:bCs/>
                <w:color w:val="000000"/>
                <w:sz w:val="15"/>
                <w:szCs w:val="15"/>
              </w:rPr>
              <w:t>Amortized</w:t>
            </w:r>
          </w:p>
          <w:p w14:paraId="392C5C99" w14:textId="77777777" w:rsidR="00980E5F" w:rsidRDefault="00483613">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92C5C9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5C9B" w14:textId="77777777" w:rsidR="00980E5F" w:rsidRDefault="00483613">
            <w:pPr>
              <w:jc w:val="center"/>
              <w:textAlignment w:val="bottom"/>
            </w:pPr>
            <w:r>
              <w:rPr>
                <w:rFonts w:ascii="Arial" w:eastAsia="宋体" w:hAnsi="Arial" w:cs="Arial"/>
                <w:b/>
                <w:bCs/>
                <w:color w:val="000000"/>
                <w:sz w:val="15"/>
                <w:szCs w:val="15"/>
              </w:rPr>
              <w:t>Gross</w:t>
            </w:r>
          </w:p>
          <w:p w14:paraId="392C5C9C" w14:textId="77777777" w:rsidR="00980E5F" w:rsidRDefault="00483613">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9D"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5C9E" w14:textId="77777777" w:rsidR="00980E5F" w:rsidRDefault="00483613">
            <w:pPr>
              <w:jc w:val="center"/>
              <w:textAlignment w:val="bottom"/>
            </w:pPr>
            <w:r>
              <w:rPr>
                <w:rFonts w:ascii="Arial" w:eastAsia="宋体" w:hAnsi="Arial" w:cs="Arial"/>
                <w:b/>
                <w:bCs/>
                <w:color w:val="000000"/>
                <w:sz w:val="15"/>
                <w:szCs w:val="15"/>
              </w:rPr>
              <w:t>Fair</w:t>
            </w:r>
          </w:p>
          <w:p w14:paraId="392C5C9F" w14:textId="77777777" w:rsidR="00980E5F" w:rsidRDefault="00483613">
            <w:pPr>
              <w:jc w:val="center"/>
              <w:textAlignment w:val="bottom"/>
            </w:pPr>
            <w:r>
              <w:rPr>
                <w:rFonts w:ascii="Arial" w:eastAsia="宋体" w:hAnsi="Arial" w:cs="Arial"/>
                <w:b/>
                <w:bCs/>
                <w:color w:val="000000"/>
                <w:sz w:val="15"/>
                <w:szCs w:val="15"/>
              </w:rPr>
              <w:t>Value</w:t>
            </w:r>
          </w:p>
        </w:tc>
      </w:tr>
      <w:tr w:rsidR="00980E5F" w14:paraId="392C5CB1" w14:textId="77777777">
        <w:trPr>
          <w:trHeight w:val="240"/>
        </w:trPr>
        <w:tc>
          <w:tcPr>
            <w:tcW w:w="0" w:type="auto"/>
            <w:gridSpan w:val="3"/>
            <w:shd w:val="clear" w:color="auto" w:fill="auto"/>
            <w:tcMar>
              <w:top w:w="40" w:type="dxa"/>
              <w:left w:w="20" w:type="dxa"/>
              <w:bottom w:w="40" w:type="dxa"/>
              <w:right w:w="20" w:type="dxa"/>
            </w:tcMar>
            <w:vAlign w:val="bottom"/>
          </w:tcPr>
          <w:p w14:paraId="392C5CA1"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CA2" w14:textId="77777777" w:rsidR="00980E5F" w:rsidRDefault="00980E5F">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92C5CA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CA4" w14:textId="77777777" w:rsidR="00980E5F" w:rsidRDefault="00483613">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A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CA6" w14:textId="77777777" w:rsidR="00980E5F" w:rsidRDefault="00483613">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392C5CA7"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CA8" w14:textId="77777777" w:rsidR="00980E5F" w:rsidRDefault="00980E5F">
            <w:pPr>
              <w:rPr>
                <w:rFonts w:ascii="宋体"/>
              </w:rPr>
            </w:pPr>
          </w:p>
        </w:tc>
        <w:tc>
          <w:tcPr>
            <w:tcW w:w="0" w:type="auto"/>
            <w:gridSpan w:val="3"/>
            <w:vMerge/>
            <w:shd w:val="clear" w:color="auto" w:fill="auto"/>
            <w:tcMar>
              <w:top w:w="0" w:type="dxa"/>
              <w:left w:w="20" w:type="dxa"/>
              <w:bottom w:w="0" w:type="dxa"/>
              <w:right w:w="20" w:type="dxa"/>
            </w:tcMar>
            <w:vAlign w:val="bottom"/>
          </w:tcPr>
          <w:p w14:paraId="392C5CA9"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CAA" w14:textId="77777777" w:rsidR="00980E5F" w:rsidRDefault="00980E5F">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92C5CA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CAC" w14:textId="77777777" w:rsidR="00980E5F" w:rsidRDefault="00483613">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A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5CAE" w14:textId="77777777" w:rsidR="00980E5F" w:rsidRDefault="00483613">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392C5CAF"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5CB0" w14:textId="77777777" w:rsidR="00980E5F" w:rsidRDefault="00980E5F">
            <w:pPr>
              <w:rPr>
                <w:rFonts w:ascii="宋体"/>
              </w:rPr>
            </w:pPr>
          </w:p>
        </w:tc>
      </w:tr>
      <w:tr w:rsidR="00980E5F" w14:paraId="392C5CC2" w14:textId="77777777">
        <w:tc>
          <w:tcPr>
            <w:tcW w:w="0" w:type="auto"/>
            <w:gridSpan w:val="3"/>
            <w:shd w:val="clear" w:color="auto" w:fill="auto"/>
            <w:tcMar>
              <w:top w:w="40" w:type="dxa"/>
              <w:left w:w="20" w:type="dxa"/>
              <w:bottom w:w="40" w:type="dxa"/>
              <w:right w:w="20" w:type="dxa"/>
            </w:tcMar>
            <w:vAlign w:val="bottom"/>
          </w:tcPr>
          <w:p w14:paraId="392C5CB2" w14:textId="77777777" w:rsidR="00980E5F" w:rsidRDefault="00483613">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B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5CC1" w14:textId="77777777" w:rsidR="00980E5F" w:rsidRDefault="00980E5F">
            <w:pPr>
              <w:rPr>
                <w:rFonts w:ascii="宋体"/>
              </w:rPr>
            </w:pPr>
          </w:p>
        </w:tc>
      </w:tr>
      <w:tr w:rsidR="00980E5F" w14:paraId="392C5CD3" w14:textId="77777777">
        <w:tc>
          <w:tcPr>
            <w:tcW w:w="0" w:type="auto"/>
            <w:gridSpan w:val="3"/>
            <w:shd w:val="clear" w:color="auto" w:fill="auto"/>
            <w:tcMar>
              <w:top w:w="40" w:type="dxa"/>
              <w:left w:w="20" w:type="dxa"/>
              <w:bottom w:w="40" w:type="dxa"/>
              <w:right w:w="20" w:type="dxa"/>
            </w:tcMar>
            <w:vAlign w:val="bottom"/>
          </w:tcPr>
          <w:p w14:paraId="392C5CC3" w14:textId="77777777" w:rsidR="00980E5F" w:rsidRDefault="00483613">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392C5C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C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D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D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5CD2" w14:textId="77777777" w:rsidR="00980E5F" w:rsidRDefault="00980E5F">
            <w:pPr>
              <w:rPr>
                <w:rFonts w:ascii="宋体"/>
              </w:rPr>
            </w:pPr>
          </w:p>
        </w:tc>
      </w:tr>
      <w:tr w:rsidR="00483613" w14:paraId="392C5CF4" w14:textId="77777777">
        <w:tc>
          <w:tcPr>
            <w:tcW w:w="0" w:type="auto"/>
            <w:gridSpan w:val="3"/>
            <w:shd w:val="clear" w:color="auto" w:fill="CCEEFF"/>
            <w:tcMar>
              <w:top w:w="40" w:type="dxa"/>
              <w:left w:w="245" w:type="dxa"/>
              <w:bottom w:w="40" w:type="dxa"/>
              <w:right w:w="20" w:type="dxa"/>
            </w:tcMar>
            <w:vAlign w:val="bottom"/>
          </w:tcPr>
          <w:p w14:paraId="392C5CD4" w14:textId="77777777" w:rsidR="00980E5F" w:rsidRDefault="00483613">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92C5CD5"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CD6" w14:textId="77777777" w:rsidR="00980E5F" w:rsidRDefault="00483613">
            <w:pPr>
              <w:jc w:val="right"/>
              <w:textAlignment w:val="bottom"/>
            </w:pPr>
            <w:r>
              <w:rPr>
                <w:rFonts w:ascii="Arial" w:eastAsia="宋体" w:hAnsi="Arial" w:cs="Arial"/>
                <w:b/>
                <w:bCs/>
                <w:color w:val="000000"/>
                <w:sz w:val="15"/>
                <w:szCs w:val="15"/>
              </w:rPr>
              <w:t>9,720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C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D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D9"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CDA" w14:textId="77777777" w:rsidR="00980E5F" w:rsidRDefault="00483613">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C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D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DD"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CDE" w14:textId="77777777" w:rsidR="00980E5F" w:rsidRDefault="00483613">
            <w:pPr>
              <w:jc w:val="right"/>
              <w:textAlignment w:val="bottom"/>
            </w:pPr>
            <w:r>
              <w:rPr>
                <w:rFonts w:ascii="Arial" w:eastAsia="宋体" w:hAnsi="Arial" w:cs="Arial"/>
                <w:b/>
                <w:bCs/>
                <w:color w:val="000000"/>
                <w:sz w:val="15"/>
                <w:szCs w:val="15"/>
              </w:rPr>
              <w:t>321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CD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E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E1"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CE2" w14:textId="77777777" w:rsidR="00980E5F" w:rsidRDefault="00483613">
            <w:pPr>
              <w:jc w:val="right"/>
              <w:textAlignment w:val="bottom"/>
            </w:pPr>
            <w:r>
              <w:rPr>
                <w:rFonts w:ascii="Arial" w:eastAsia="宋体" w:hAnsi="Arial" w:cs="Arial"/>
                <w:b/>
                <w:bCs/>
                <w:color w:val="000000"/>
                <w:sz w:val="15"/>
                <w:szCs w:val="15"/>
              </w:rPr>
              <w:t>9,411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CE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E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E5"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CE6" w14:textId="77777777" w:rsidR="00980E5F" w:rsidRDefault="00483613">
            <w:pPr>
              <w:jc w:val="right"/>
              <w:textAlignment w:val="bottom"/>
            </w:pPr>
            <w:r>
              <w:rPr>
                <w:rFonts w:ascii="Arial" w:eastAsia="宋体" w:hAnsi="Arial" w:cs="Arial"/>
                <w:color w:val="000000"/>
                <w:sz w:val="15"/>
                <w:szCs w:val="15"/>
              </w:rPr>
              <w:t>18,111 </w:t>
            </w:r>
          </w:p>
        </w:tc>
        <w:tc>
          <w:tcPr>
            <w:tcW w:w="0" w:type="auto"/>
            <w:shd w:val="clear" w:color="auto" w:fill="CCEEFF"/>
            <w:tcMar>
              <w:top w:w="40" w:type="dxa"/>
              <w:left w:w="0" w:type="dxa"/>
              <w:bottom w:w="40" w:type="dxa"/>
              <w:right w:w="20" w:type="dxa"/>
            </w:tcMar>
            <w:vAlign w:val="bottom"/>
          </w:tcPr>
          <w:p w14:paraId="392C5C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E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E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CEA" w14:textId="77777777" w:rsidR="00980E5F" w:rsidRDefault="00483613">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392C5C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E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ED"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CEE" w14:textId="77777777" w:rsidR="00980E5F" w:rsidRDefault="00483613">
            <w:pPr>
              <w:jc w:val="right"/>
              <w:textAlignment w:val="bottom"/>
            </w:pPr>
            <w:r>
              <w:rPr>
                <w:rFonts w:ascii="Arial" w:eastAsia="宋体" w:hAnsi="Arial" w:cs="Arial"/>
                <w:color w:val="000000"/>
                <w:sz w:val="15"/>
                <w:szCs w:val="15"/>
              </w:rPr>
              <w:t>196 </w:t>
            </w:r>
          </w:p>
        </w:tc>
        <w:tc>
          <w:tcPr>
            <w:tcW w:w="0" w:type="auto"/>
            <w:shd w:val="clear" w:color="auto" w:fill="CCEEFF"/>
            <w:tcMar>
              <w:top w:w="40" w:type="dxa"/>
              <w:left w:w="0" w:type="dxa"/>
              <w:bottom w:w="40" w:type="dxa"/>
              <w:right w:w="20" w:type="dxa"/>
            </w:tcMar>
            <w:vAlign w:val="bottom"/>
          </w:tcPr>
          <w:p w14:paraId="392C5C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CF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CF1"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CF2" w14:textId="77777777" w:rsidR="00980E5F" w:rsidRDefault="00483613">
            <w:pPr>
              <w:jc w:val="right"/>
              <w:textAlignment w:val="bottom"/>
            </w:pPr>
            <w:r>
              <w:rPr>
                <w:rFonts w:ascii="Arial" w:eastAsia="宋体" w:hAnsi="Arial" w:cs="Arial"/>
                <w:color w:val="000000"/>
                <w:sz w:val="15"/>
                <w:szCs w:val="15"/>
              </w:rPr>
              <w:t>17,939 </w:t>
            </w:r>
          </w:p>
        </w:tc>
        <w:tc>
          <w:tcPr>
            <w:tcW w:w="0" w:type="auto"/>
            <w:shd w:val="clear" w:color="auto" w:fill="CCEEFF"/>
            <w:tcMar>
              <w:top w:w="40" w:type="dxa"/>
              <w:left w:w="0" w:type="dxa"/>
              <w:bottom w:w="40" w:type="dxa"/>
              <w:right w:w="20" w:type="dxa"/>
            </w:tcMar>
            <w:vAlign w:val="bottom"/>
          </w:tcPr>
          <w:p w14:paraId="392C5CF3" w14:textId="77777777" w:rsidR="00980E5F" w:rsidRDefault="00980E5F">
            <w:pPr>
              <w:jc w:val="right"/>
              <w:rPr>
                <w:rFonts w:ascii="宋体"/>
              </w:rPr>
            </w:pPr>
          </w:p>
        </w:tc>
      </w:tr>
      <w:tr w:rsidR="00980E5F" w14:paraId="392C5D0D" w14:textId="77777777">
        <w:tc>
          <w:tcPr>
            <w:tcW w:w="0" w:type="auto"/>
            <w:gridSpan w:val="3"/>
            <w:shd w:val="clear" w:color="auto" w:fill="FFFFFF"/>
            <w:tcMar>
              <w:top w:w="40" w:type="dxa"/>
              <w:left w:w="245" w:type="dxa"/>
              <w:bottom w:w="40" w:type="dxa"/>
              <w:right w:w="20" w:type="dxa"/>
            </w:tcMar>
            <w:vAlign w:val="bottom"/>
          </w:tcPr>
          <w:p w14:paraId="392C5CF5" w14:textId="77777777" w:rsidR="00980E5F" w:rsidRDefault="00483613">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92C5CF6" w14:textId="77777777" w:rsidR="00980E5F" w:rsidRDefault="00483613">
            <w:pPr>
              <w:jc w:val="right"/>
              <w:textAlignment w:val="bottom"/>
            </w:pPr>
            <w:r>
              <w:rPr>
                <w:rFonts w:ascii="Arial" w:eastAsia="宋体" w:hAnsi="Arial" w:cs="Arial"/>
                <w:b/>
                <w:bCs/>
                <w:color w:val="000000"/>
                <w:sz w:val="15"/>
                <w:szCs w:val="15"/>
              </w:rPr>
              <w:t>10,409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CF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F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F9"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CF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F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FC" w14:textId="77777777" w:rsidR="00980E5F" w:rsidRDefault="00483613">
            <w:pPr>
              <w:jc w:val="right"/>
              <w:textAlignment w:val="bottom"/>
            </w:pPr>
            <w:r>
              <w:rPr>
                <w:rFonts w:ascii="Arial" w:eastAsia="宋体" w:hAnsi="Arial" w:cs="Arial"/>
                <w:b/>
                <w:bCs/>
                <w:color w:val="000000"/>
                <w:sz w:val="15"/>
                <w:szCs w:val="15"/>
              </w:rPr>
              <w:t>139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CF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CF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CFF" w14:textId="77777777" w:rsidR="00980E5F" w:rsidRDefault="00483613">
            <w:pPr>
              <w:jc w:val="right"/>
              <w:textAlignment w:val="bottom"/>
            </w:pPr>
            <w:r>
              <w:rPr>
                <w:rFonts w:ascii="Arial" w:eastAsia="宋体" w:hAnsi="Arial" w:cs="Arial"/>
                <w:b/>
                <w:bCs/>
                <w:color w:val="000000"/>
                <w:sz w:val="15"/>
                <w:szCs w:val="15"/>
              </w:rPr>
              <w:t>10,271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02" w14:textId="77777777" w:rsidR="00980E5F" w:rsidRDefault="00483613">
            <w:pPr>
              <w:jc w:val="right"/>
              <w:textAlignment w:val="bottom"/>
            </w:pPr>
            <w:r>
              <w:rPr>
                <w:rFonts w:ascii="Arial" w:eastAsia="宋体" w:hAnsi="Arial" w:cs="Arial"/>
                <w:color w:val="000000"/>
                <w:sz w:val="15"/>
                <w:szCs w:val="15"/>
              </w:rPr>
              <w:t>18,154 </w:t>
            </w:r>
          </w:p>
        </w:tc>
        <w:tc>
          <w:tcPr>
            <w:tcW w:w="0" w:type="auto"/>
            <w:shd w:val="clear" w:color="auto" w:fill="FFFFFF"/>
            <w:tcMar>
              <w:top w:w="40" w:type="dxa"/>
              <w:left w:w="0" w:type="dxa"/>
              <w:bottom w:w="40" w:type="dxa"/>
              <w:right w:w="20" w:type="dxa"/>
            </w:tcMar>
            <w:vAlign w:val="bottom"/>
          </w:tcPr>
          <w:p w14:paraId="392C5D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05" w14:textId="77777777" w:rsidR="00980E5F" w:rsidRDefault="00483613">
            <w:pPr>
              <w:jc w:val="right"/>
              <w:textAlignment w:val="bottom"/>
            </w:pPr>
            <w:r>
              <w:rPr>
                <w:rFonts w:ascii="Arial" w:eastAsia="宋体" w:hAnsi="Arial" w:cs="Arial"/>
                <w:color w:val="000000"/>
                <w:sz w:val="15"/>
                <w:szCs w:val="15"/>
              </w:rPr>
              <w:t>148 </w:t>
            </w:r>
          </w:p>
        </w:tc>
        <w:tc>
          <w:tcPr>
            <w:tcW w:w="0" w:type="auto"/>
            <w:shd w:val="clear" w:color="auto" w:fill="FFFFFF"/>
            <w:tcMar>
              <w:top w:w="40" w:type="dxa"/>
              <w:left w:w="0" w:type="dxa"/>
              <w:bottom w:w="40" w:type="dxa"/>
              <w:right w:w="20" w:type="dxa"/>
            </w:tcMar>
            <w:vAlign w:val="bottom"/>
          </w:tcPr>
          <w:p w14:paraId="392C5D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08" w14:textId="77777777" w:rsidR="00980E5F" w:rsidRDefault="00483613">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392C5D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0B" w14:textId="77777777" w:rsidR="00980E5F" w:rsidRDefault="00483613">
            <w:pPr>
              <w:jc w:val="right"/>
              <w:textAlignment w:val="bottom"/>
            </w:pPr>
            <w:r>
              <w:rPr>
                <w:rFonts w:ascii="Arial" w:eastAsia="宋体" w:hAnsi="Arial" w:cs="Arial"/>
                <w:color w:val="000000"/>
                <w:sz w:val="15"/>
                <w:szCs w:val="15"/>
              </w:rPr>
              <w:t>18,208 </w:t>
            </w:r>
          </w:p>
        </w:tc>
        <w:tc>
          <w:tcPr>
            <w:tcW w:w="0" w:type="auto"/>
            <w:shd w:val="clear" w:color="auto" w:fill="FFFFFF"/>
            <w:tcMar>
              <w:top w:w="40" w:type="dxa"/>
              <w:left w:w="0" w:type="dxa"/>
              <w:bottom w:w="40" w:type="dxa"/>
              <w:right w:w="20" w:type="dxa"/>
            </w:tcMar>
            <w:vAlign w:val="bottom"/>
          </w:tcPr>
          <w:p w14:paraId="392C5D0C" w14:textId="77777777" w:rsidR="00980E5F" w:rsidRDefault="00980E5F">
            <w:pPr>
              <w:jc w:val="right"/>
              <w:rPr>
                <w:rFonts w:ascii="宋体"/>
              </w:rPr>
            </w:pPr>
          </w:p>
        </w:tc>
      </w:tr>
      <w:tr w:rsidR="00980E5F" w14:paraId="392C5D26" w14:textId="77777777">
        <w:tc>
          <w:tcPr>
            <w:tcW w:w="0" w:type="auto"/>
            <w:gridSpan w:val="3"/>
            <w:shd w:val="clear" w:color="auto" w:fill="CCEEFF"/>
            <w:tcMar>
              <w:top w:w="40" w:type="dxa"/>
              <w:left w:w="380" w:type="dxa"/>
              <w:bottom w:w="40" w:type="dxa"/>
              <w:right w:w="20" w:type="dxa"/>
            </w:tcMar>
            <w:vAlign w:val="bottom"/>
          </w:tcPr>
          <w:p w14:paraId="392C5D0E" w14:textId="77777777" w:rsidR="00980E5F" w:rsidRDefault="00483613">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0F" w14:textId="77777777" w:rsidR="00980E5F" w:rsidRDefault="00483613">
            <w:pPr>
              <w:jc w:val="right"/>
              <w:textAlignment w:val="bottom"/>
            </w:pPr>
            <w:r>
              <w:rPr>
                <w:rFonts w:ascii="Arial" w:eastAsia="宋体" w:hAnsi="Arial" w:cs="Arial"/>
                <w:b/>
                <w:bCs/>
                <w:color w:val="000000"/>
                <w:sz w:val="15"/>
                <w:szCs w:val="15"/>
              </w:rPr>
              <w:t>20,129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1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12" w14:textId="77777777" w:rsidR="00980E5F" w:rsidRDefault="00483613">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1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15" w14:textId="77777777" w:rsidR="00980E5F" w:rsidRDefault="00483613">
            <w:pPr>
              <w:jc w:val="right"/>
              <w:textAlignment w:val="bottom"/>
            </w:pPr>
            <w:r>
              <w:rPr>
                <w:rFonts w:ascii="Arial" w:eastAsia="宋体" w:hAnsi="Arial" w:cs="Arial"/>
                <w:b/>
                <w:bCs/>
                <w:color w:val="000000"/>
                <w:sz w:val="15"/>
                <w:szCs w:val="15"/>
              </w:rPr>
              <w:t>460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1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18" w14:textId="77777777" w:rsidR="00980E5F" w:rsidRDefault="00483613">
            <w:pPr>
              <w:jc w:val="right"/>
              <w:textAlignment w:val="bottom"/>
            </w:pPr>
            <w:r>
              <w:rPr>
                <w:rFonts w:ascii="Arial" w:eastAsia="宋体" w:hAnsi="Arial" w:cs="Arial"/>
                <w:b/>
                <w:bCs/>
                <w:color w:val="000000"/>
                <w:sz w:val="15"/>
                <w:szCs w:val="15"/>
              </w:rPr>
              <w:t>19,682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1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1B" w14:textId="77777777" w:rsidR="00980E5F" w:rsidRDefault="00483613">
            <w:pPr>
              <w:jc w:val="right"/>
              <w:textAlignment w:val="bottom"/>
            </w:pPr>
            <w:r>
              <w:rPr>
                <w:rFonts w:ascii="Arial" w:eastAsia="宋体" w:hAnsi="Arial" w:cs="Arial"/>
                <w:color w:val="000000"/>
                <w:sz w:val="15"/>
                <w:szCs w:val="15"/>
              </w:rPr>
              <w:t>36,265 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1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1E" w14:textId="77777777" w:rsidR="00980E5F" w:rsidRDefault="00483613">
            <w:pPr>
              <w:jc w:val="right"/>
              <w:textAlignment w:val="bottom"/>
            </w:pPr>
            <w:r>
              <w:rPr>
                <w:rFonts w:ascii="Arial" w:eastAsia="宋体" w:hAnsi="Arial" w:cs="Arial"/>
                <w:color w:val="000000"/>
                <w:sz w:val="15"/>
                <w:szCs w:val="15"/>
              </w:rPr>
              <w:t>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2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21" w14:textId="77777777" w:rsidR="00980E5F" w:rsidRDefault="00483613">
            <w:pPr>
              <w:jc w:val="right"/>
              <w:textAlignment w:val="bottom"/>
            </w:pPr>
            <w:r>
              <w:rPr>
                <w:rFonts w:ascii="Arial" w:eastAsia="宋体" w:hAnsi="Arial" w:cs="Arial"/>
                <w:color w:val="000000"/>
                <w:sz w:val="15"/>
                <w:szCs w:val="15"/>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2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24" w14:textId="77777777" w:rsidR="00980E5F" w:rsidRDefault="00483613">
            <w:pPr>
              <w:jc w:val="right"/>
              <w:textAlignment w:val="bottom"/>
            </w:pPr>
            <w:r>
              <w:rPr>
                <w:rFonts w:ascii="Arial" w:eastAsia="宋体" w:hAnsi="Arial" w:cs="Arial"/>
                <w:color w:val="000000"/>
                <w:sz w:val="15"/>
                <w:szCs w:val="15"/>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25" w14:textId="77777777" w:rsidR="00980E5F" w:rsidRDefault="00980E5F">
            <w:pPr>
              <w:jc w:val="right"/>
              <w:rPr>
                <w:rFonts w:ascii="宋体"/>
              </w:rPr>
            </w:pPr>
          </w:p>
        </w:tc>
      </w:tr>
      <w:tr w:rsidR="00980E5F" w14:paraId="392C5D37" w14:textId="77777777">
        <w:tc>
          <w:tcPr>
            <w:tcW w:w="0" w:type="auto"/>
            <w:gridSpan w:val="3"/>
            <w:shd w:val="clear" w:color="auto" w:fill="FFFFFF"/>
            <w:tcMar>
              <w:top w:w="40" w:type="dxa"/>
              <w:left w:w="20" w:type="dxa"/>
              <w:bottom w:w="40" w:type="dxa"/>
              <w:right w:w="20" w:type="dxa"/>
            </w:tcMar>
            <w:vAlign w:val="bottom"/>
          </w:tcPr>
          <w:p w14:paraId="392C5D27" w14:textId="77777777" w:rsidR="00980E5F" w:rsidRDefault="00483613">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2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2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2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2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2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2F"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3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3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3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3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3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3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36" w14:textId="77777777" w:rsidR="00980E5F" w:rsidRDefault="00980E5F">
            <w:pPr>
              <w:rPr>
                <w:rFonts w:ascii="宋体"/>
              </w:rPr>
            </w:pPr>
          </w:p>
        </w:tc>
      </w:tr>
      <w:tr w:rsidR="00980E5F" w14:paraId="392C5D50" w14:textId="77777777">
        <w:tc>
          <w:tcPr>
            <w:tcW w:w="0" w:type="auto"/>
            <w:gridSpan w:val="3"/>
            <w:shd w:val="clear" w:color="auto" w:fill="CCEEFF"/>
            <w:tcMar>
              <w:top w:w="40" w:type="dxa"/>
              <w:left w:w="245" w:type="dxa"/>
              <w:bottom w:w="40" w:type="dxa"/>
              <w:right w:w="20" w:type="dxa"/>
            </w:tcMar>
            <w:vAlign w:val="bottom"/>
          </w:tcPr>
          <w:p w14:paraId="392C5D38" w14:textId="77777777" w:rsidR="00980E5F" w:rsidRDefault="00483613">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392C5D39" w14:textId="77777777" w:rsidR="00980E5F" w:rsidRDefault="00483613">
            <w:pPr>
              <w:jc w:val="right"/>
              <w:textAlignment w:val="bottom"/>
            </w:pPr>
            <w:r>
              <w:rPr>
                <w:rFonts w:ascii="Arial" w:eastAsia="宋体" w:hAnsi="Arial" w:cs="Arial"/>
                <w:b/>
                <w:bCs/>
                <w:color w:val="000000"/>
                <w:sz w:val="15"/>
                <w:szCs w:val="15"/>
              </w:rPr>
              <w:t>1,972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3C"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3F" w14:textId="77777777" w:rsidR="00980E5F" w:rsidRDefault="00483613">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42" w14:textId="77777777" w:rsidR="00980E5F" w:rsidRDefault="00483613">
            <w:pPr>
              <w:jc w:val="right"/>
              <w:textAlignment w:val="bottom"/>
            </w:pPr>
            <w:r>
              <w:rPr>
                <w:rFonts w:ascii="Arial" w:eastAsia="宋体" w:hAnsi="Arial" w:cs="Arial"/>
                <w:b/>
                <w:bCs/>
                <w:color w:val="000000"/>
                <w:sz w:val="15"/>
                <w:szCs w:val="15"/>
              </w:rPr>
              <w:t>1,959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45" w14:textId="77777777" w:rsidR="00980E5F" w:rsidRDefault="00483613">
            <w:pPr>
              <w:jc w:val="right"/>
              <w:textAlignment w:val="bottom"/>
            </w:pPr>
            <w:r>
              <w:rPr>
                <w:rFonts w:ascii="Arial" w:eastAsia="宋体" w:hAnsi="Arial" w:cs="Arial"/>
                <w:color w:val="000000"/>
                <w:sz w:val="15"/>
                <w:szCs w:val="15"/>
              </w:rPr>
              <w:t>1,986 </w:t>
            </w:r>
          </w:p>
        </w:tc>
        <w:tc>
          <w:tcPr>
            <w:tcW w:w="0" w:type="auto"/>
            <w:shd w:val="clear" w:color="auto" w:fill="CCEEFF"/>
            <w:tcMar>
              <w:top w:w="40" w:type="dxa"/>
              <w:left w:w="0" w:type="dxa"/>
              <w:bottom w:w="40" w:type="dxa"/>
              <w:right w:w="20" w:type="dxa"/>
            </w:tcMar>
            <w:vAlign w:val="bottom"/>
          </w:tcPr>
          <w:p w14:paraId="392C5D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48" w14:textId="77777777" w:rsidR="00980E5F" w:rsidRDefault="00483613">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392C5D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4B" w14:textId="77777777" w:rsidR="00980E5F" w:rsidRDefault="00483613">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392C5D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4E" w14:textId="77777777" w:rsidR="00980E5F" w:rsidRDefault="00483613">
            <w:pPr>
              <w:jc w:val="right"/>
              <w:textAlignment w:val="bottom"/>
            </w:pPr>
            <w:r>
              <w:rPr>
                <w:rFonts w:ascii="Arial" w:eastAsia="宋体" w:hAnsi="Arial" w:cs="Arial"/>
                <w:color w:val="000000"/>
                <w:sz w:val="15"/>
                <w:szCs w:val="15"/>
              </w:rPr>
              <w:t>1,995 </w:t>
            </w:r>
          </w:p>
        </w:tc>
        <w:tc>
          <w:tcPr>
            <w:tcW w:w="0" w:type="auto"/>
            <w:shd w:val="clear" w:color="auto" w:fill="CCEEFF"/>
            <w:tcMar>
              <w:top w:w="40" w:type="dxa"/>
              <w:left w:w="0" w:type="dxa"/>
              <w:bottom w:w="40" w:type="dxa"/>
              <w:right w:w="20" w:type="dxa"/>
            </w:tcMar>
            <w:vAlign w:val="bottom"/>
          </w:tcPr>
          <w:p w14:paraId="392C5D4F" w14:textId="77777777" w:rsidR="00980E5F" w:rsidRDefault="00980E5F">
            <w:pPr>
              <w:jc w:val="right"/>
              <w:rPr>
                <w:rFonts w:ascii="宋体"/>
              </w:rPr>
            </w:pPr>
          </w:p>
        </w:tc>
      </w:tr>
      <w:tr w:rsidR="00980E5F" w14:paraId="392C5D69" w14:textId="77777777">
        <w:tc>
          <w:tcPr>
            <w:tcW w:w="0" w:type="auto"/>
            <w:gridSpan w:val="3"/>
            <w:shd w:val="clear" w:color="auto" w:fill="FFFFFF"/>
            <w:tcMar>
              <w:top w:w="40" w:type="dxa"/>
              <w:left w:w="20" w:type="dxa"/>
              <w:bottom w:w="40" w:type="dxa"/>
              <w:right w:w="20" w:type="dxa"/>
            </w:tcMar>
            <w:vAlign w:val="bottom"/>
          </w:tcPr>
          <w:p w14:paraId="392C5D51" w14:textId="77777777" w:rsidR="00980E5F" w:rsidRDefault="00483613">
            <w:pPr>
              <w:textAlignment w:val="bottom"/>
            </w:pPr>
            <w:r>
              <w:rPr>
                <w:rFonts w:ascii="Arial" w:eastAsia="宋体" w:hAnsi="Arial" w:cs="Arial"/>
                <w:color w:val="000000"/>
                <w:sz w:val="15"/>
                <w:szCs w:val="15"/>
              </w:rPr>
              <w:t>Asset-backed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5D52" w14:textId="77777777" w:rsidR="00980E5F" w:rsidRDefault="00483613">
            <w:pPr>
              <w:jc w:val="right"/>
              <w:textAlignment w:val="bottom"/>
            </w:pPr>
            <w:r>
              <w:rPr>
                <w:rFonts w:ascii="Arial" w:eastAsia="宋体" w:hAnsi="Arial" w:cs="Arial"/>
                <w:b/>
                <w:bCs/>
                <w:color w:val="000000"/>
                <w:sz w:val="15"/>
                <w:szCs w:val="15"/>
              </w:rPr>
              <w:t>1,901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55"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58" w14:textId="77777777" w:rsidR="00980E5F" w:rsidRDefault="00483613">
            <w:pPr>
              <w:jc w:val="right"/>
              <w:textAlignment w:val="bottom"/>
            </w:pP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5B" w14:textId="77777777" w:rsidR="00980E5F" w:rsidRDefault="00483613">
            <w:pPr>
              <w:jc w:val="right"/>
              <w:textAlignment w:val="bottom"/>
            </w:pPr>
            <w:r>
              <w:rPr>
                <w:rFonts w:ascii="Arial" w:eastAsia="宋体" w:hAnsi="Arial" w:cs="Arial"/>
                <w:b/>
                <w:bCs/>
                <w:color w:val="000000"/>
                <w:sz w:val="15"/>
                <w:szCs w:val="15"/>
              </w:rPr>
              <w:t>1,876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5E" w14:textId="77777777" w:rsidR="00980E5F" w:rsidRDefault="00483613">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392C5D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61"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5D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6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64"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5D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6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67" w14:textId="77777777" w:rsidR="00980E5F" w:rsidRDefault="00483613">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392C5D68" w14:textId="77777777" w:rsidR="00980E5F" w:rsidRDefault="00980E5F">
            <w:pPr>
              <w:jc w:val="right"/>
              <w:rPr>
                <w:rFonts w:ascii="宋体"/>
              </w:rPr>
            </w:pPr>
          </w:p>
        </w:tc>
      </w:tr>
      <w:tr w:rsidR="00980E5F" w14:paraId="392C5D82" w14:textId="77777777">
        <w:tc>
          <w:tcPr>
            <w:tcW w:w="0" w:type="auto"/>
            <w:gridSpan w:val="3"/>
            <w:shd w:val="clear" w:color="auto" w:fill="CCEEFF"/>
            <w:tcMar>
              <w:top w:w="40" w:type="dxa"/>
              <w:left w:w="245" w:type="dxa"/>
              <w:bottom w:w="40" w:type="dxa"/>
              <w:right w:w="20" w:type="dxa"/>
            </w:tcMar>
            <w:vAlign w:val="bottom"/>
          </w:tcPr>
          <w:p w14:paraId="392C5D6A" w14:textId="77777777" w:rsidR="00980E5F" w:rsidRDefault="00483613">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5D6B" w14:textId="77777777" w:rsidR="00980E5F" w:rsidRDefault="00483613">
            <w:pPr>
              <w:jc w:val="right"/>
              <w:textAlignment w:val="bottom"/>
            </w:pPr>
            <w:r>
              <w:rPr>
                <w:rFonts w:ascii="Arial" w:eastAsia="宋体" w:hAnsi="Arial" w:cs="Arial"/>
                <w:b/>
                <w:bCs/>
                <w:color w:val="000000"/>
                <w:sz w:val="15"/>
                <w:szCs w:val="15"/>
              </w:rPr>
              <w:t>15,300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6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6E"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71" w14:textId="77777777" w:rsidR="00980E5F" w:rsidRDefault="00483613">
            <w:pPr>
              <w:jc w:val="right"/>
              <w:textAlignment w:val="bottom"/>
            </w:pPr>
            <w:r>
              <w:rPr>
                <w:rFonts w:ascii="Arial" w:eastAsia="宋体" w:hAnsi="Arial" w:cs="Arial"/>
                <w:b/>
                <w:bCs/>
                <w:color w:val="000000"/>
                <w:sz w:val="15"/>
                <w:szCs w:val="15"/>
              </w:rPr>
              <w:t>374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74" w14:textId="77777777" w:rsidR="00980E5F" w:rsidRDefault="00483613">
            <w:pPr>
              <w:jc w:val="right"/>
              <w:textAlignment w:val="bottom"/>
            </w:pPr>
            <w:r>
              <w:rPr>
                <w:rFonts w:ascii="Arial" w:eastAsia="宋体" w:hAnsi="Arial" w:cs="Arial"/>
                <w:b/>
                <w:bCs/>
                <w:color w:val="000000"/>
                <w:sz w:val="15"/>
                <w:szCs w:val="15"/>
              </w:rPr>
              <w:t>14,927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77" w14:textId="77777777" w:rsidR="00980E5F" w:rsidRDefault="00483613">
            <w:pPr>
              <w:jc w:val="right"/>
              <w:textAlignment w:val="bottom"/>
            </w:pPr>
            <w:r>
              <w:rPr>
                <w:rFonts w:ascii="Arial" w:eastAsia="宋体" w:hAnsi="Arial" w:cs="Arial"/>
                <w:color w:val="000000"/>
                <w:sz w:val="15"/>
                <w:szCs w:val="15"/>
              </w:rPr>
              <w:t>23,533 </w:t>
            </w:r>
          </w:p>
        </w:tc>
        <w:tc>
          <w:tcPr>
            <w:tcW w:w="0" w:type="auto"/>
            <w:shd w:val="clear" w:color="auto" w:fill="CCEEFF"/>
            <w:tcMar>
              <w:top w:w="40" w:type="dxa"/>
              <w:left w:w="0" w:type="dxa"/>
              <w:bottom w:w="40" w:type="dxa"/>
              <w:right w:w="20" w:type="dxa"/>
            </w:tcMar>
            <w:vAlign w:val="bottom"/>
          </w:tcPr>
          <w:p w14:paraId="392C5D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7A" w14:textId="77777777" w:rsidR="00980E5F" w:rsidRDefault="00483613">
            <w:pPr>
              <w:jc w:val="right"/>
              <w:textAlignment w:val="bottom"/>
            </w:pPr>
            <w:r>
              <w:rPr>
                <w:rFonts w:ascii="Arial" w:eastAsia="宋体" w:hAnsi="Arial" w:cs="Arial"/>
                <w:color w:val="000000"/>
                <w:sz w:val="15"/>
                <w:szCs w:val="15"/>
              </w:rPr>
              <w:t>114 </w:t>
            </w:r>
          </w:p>
        </w:tc>
        <w:tc>
          <w:tcPr>
            <w:tcW w:w="0" w:type="auto"/>
            <w:shd w:val="clear" w:color="auto" w:fill="CCEEFF"/>
            <w:tcMar>
              <w:top w:w="40" w:type="dxa"/>
              <w:left w:w="0" w:type="dxa"/>
              <w:bottom w:w="40" w:type="dxa"/>
              <w:right w:w="20" w:type="dxa"/>
            </w:tcMar>
            <w:vAlign w:val="bottom"/>
          </w:tcPr>
          <w:p w14:paraId="392C5D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7D" w14:textId="77777777" w:rsidR="00980E5F" w:rsidRDefault="00483613">
            <w:pPr>
              <w:jc w:val="right"/>
              <w:textAlignment w:val="bottom"/>
            </w:pPr>
            <w:r>
              <w:rPr>
                <w:rFonts w:ascii="Arial" w:eastAsia="宋体" w:hAnsi="Arial" w:cs="Arial"/>
                <w:color w:val="000000"/>
                <w:sz w:val="15"/>
                <w:szCs w:val="15"/>
              </w:rPr>
              <w:t>100 </w:t>
            </w:r>
          </w:p>
        </w:tc>
        <w:tc>
          <w:tcPr>
            <w:tcW w:w="0" w:type="auto"/>
            <w:shd w:val="clear" w:color="auto" w:fill="CCEEFF"/>
            <w:tcMar>
              <w:top w:w="40" w:type="dxa"/>
              <w:left w:w="0" w:type="dxa"/>
              <w:bottom w:w="40" w:type="dxa"/>
              <w:right w:w="20" w:type="dxa"/>
            </w:tcMar>
            <w:vAlign w:val="bottom"/>
          </w:tcPr>
          <w:p w14:paraId="392C5D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7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80" w14:textId="77777777" w:rsidR="00980E5F" w:rsidRDefault="00483613">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392C5D81" w14:textId="77777777" w:rsidR="00980E5F" w:rsidRDefault="00980E5F">
            <w:pPr>
              <w:jc w:val="right"/>
              <w:rPr>
                <w:rFonts w:ascii="宋体"/>
              </w:rPr>
            </w:pPr>
          </w:p>
        </w:tc>
      </w:tr>
      <w:tr w:rsidR="00980E5F" w14:paraId="392C5D9B" w14:textId="77777777">
        <w:tc>
          <w:tcPr>
            <w:tcW w:w="0" w:type="auto"/>
            <w:gridSpan w:val="3"/>
            <w:shd w:val="clear" w:color="auto" w:fill="FFFFFF"/>
            <w:tcMar>
              <w:top w:w="40" w:type="dxa"/>
              <w:left w:w="20" w:type="dxa"/>
              <w:bottom w:w="40" w:type="dxa"/>
              <w:right w:w="20" w:type="dxa"/>
            </w:tcMar>
            <w:vAlign w:val="bottom"/>
          </w:tcPr>
          <w:p w14:paraId="392C5D83" w14:textId="77777777" w:rsidR="00980E5F" w:rsidRDefault="00483613">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5D84" w14:textId="77777777" w:rsidR="00980E5F" w:rsidRDefault="00483613">
            <w:pPr>
              <w:jc w:val="right"/>
              <w:textAlignment w:val="bottom"/>
            </w:pPr>
            <w:r>
              <w:rPr>
                <w:rFonts w:ascii="Arial" w:eastAsia="宋体" w:hAnsi="Arial" w:cs="Arial"/>
                <w:b/>
                <w:bCs/>
                <w:color w:val="000000"/>
                <w:sz w:val="15"/>
                <w:szCs w:val="15"/>
              </w:rPr>
              <w:t>2,358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8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8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87"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8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8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8A" w14:textId="77777777" w:rsidR="00980E5F" w:rsidRDefault="00483613">
            <w:pPr>
              <w:jc w:val="right"/>
              <w:textAlignment w:val="bottom"/>
            </w:pPr>
            <w:r>
              <w:rPr>
                <w:rFonts w:ascii="Arial" w:eastAsia="宋体" w:hAnsi="Arial" w:cs="Arial"/>
                <w:b/>
                <w:bCs/>
                <w:color w:val="000000"/>
                <w:sz w:val="15"/>
                <w:szCs w:val="15"/>
              </w:rPr>
              <w:t>154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8D" w14:textId="77777777" w:rsidR="00980E5F" w:rsidRDefault="00483613">
            <w:pPr>
              <w:jc w:val="right"/>
              <w:textAlignment w:val="bottom"/>
            </w:pPr>
            <w:r>
              <w:rPr>
                <w:rFonts w:ascii="Arial" w:eastAsia="宋体" w:hAnsi="Arial" w:cs="Arial"/>
                <w:b/>
                <w:bCs/>
                <w:color w:val="000000"/>
                <w:sz w:val="15"/>
                <w:szCs w:val="15"/>
              </w:rPr>
              <w:t>2,204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D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8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90" w14:textId="77777777" w:rsidR="00980E5F" w:rsidRDefault="00483613">
            <w:pPr>
              <w:jc w:val="right"/>
              <w:textAlignment w:val="bottom"/>
            </w:pPr>
            <w:r>
              <w:rPr>
                <w:rFonts w:ascii="Arial" w:eastAsia="宋体" w:hAnsi="Arial" w:cs="Arial"/>
                <w:color w:val="000000"/>
                <w:sz w:val="15"/>
                <w:szCs w:val="15"/>
              </w:rPr>
              <w:t>3,113 </w:t>
            </w:r>
          </w:p>
        </w:tc>
        <w:tc>
          <w:tcPr>
            <w:tcW w:w="0" w:type="auto"/>
            <w:shd w:val="clear" w:color="auto" w:fill="FFFFFF"/>
            <w:tcMar>
              <w:top w:w="40" w:type="dxa"/>
              <w:left w:w="0" w:type="dxa"/>
              <w:bottom w:w="40" w:type="dxa"/>
              <w:right w:w="20" w:type="dxa"/>
            </w:tcMar>
            <w:vAlign w:val="bottom"/>
          </w:tcPr>
          <w:p w14:paraId="392C5D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9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93" w14:textId="77777777" w:rsidR="00980E5F" w:rsidRDefault="00483613">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392C5D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9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96" w14:textId="77777777" w:rsidR="00980E5F" w:rsidRDefault="00483613">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392C5D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D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D99" w14:textId="77777777" w:rsidR="00980E5F" w:rsidRDefault="00483613">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392C5D9A" w14:textId="77777777" w:rsidR="00980E5F" w:rsidRDefault="00980E5F">
            <w:pPr>
              <w:jc w:val="right"/>
              <w:rPr>
                <w:rFonts w:ascii="宋体"/>
              </w:rPr>
            </w:pPr>
          </w:p>
        </w:tc>
      </w:tr>
      <w:tr w:rsidR="00980E5F" w14:paraId="392C5DB4" w14:textId="77777777">
        <w:tc>
          <w:tcPr>
            <w:tcW w:w="0" w:type="auto"/>
            <w:gridSpan w:val="3"/>
            <w:shd w:val="clear" w:color="auto" w:fill="CCEEFF"/>
            <w:tcMar>
              <w:top w:w="40" w:type="dxa"/>
              <w:left w:w="380" w:type="dxa"/>
              <w:bottom w:w="40" w:type="dxa"/>
              <w:right w:w="20" w:type="dxa"/>
            </w:tcMar>
            <w:vAlign w:val="bottom"/>
          </w:tcPr>
          <w:p w14:paraId="392C5D9C" w14:textId="77777777" w:rsidR="00980E5F" w:rsidRDefault="00483613">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9D" w14:textId="77777777" w:rsidR="00980E5F" w:rsidRDefault="00483613">
            <w:pPr>
              <w:jc w:val="right"/>
              <w:textAlignment w:val="bottom"/>
            </w:pPr>
            <w:r>
              <w:rPr>
                <w:rFonts w:ascii="Arial" w:eastAsia="宋体" w:hAnsi="Arial" w:cs="Arial"/>
                <w:b/>
                <w:bCs/>
                <w:color w:val="000000"/>
                <w:sz w:val="15"/>
                <w:szCs w:val="15"/>
              </w:rPr>
              <w:t>21,531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9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0" w14:textId="77777777" w:rsidR="00980E5F" w:rsidRDefault="00483613">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A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3" w14:textId="77777777" w:rsidR="00980E5F" w:rsidRDefault="00483613">
            <w:pPr>
              <w:jc w:val="right"/>
              <w:textAlignment w:val="bottom"/>
            </w:pPr>
            <w:r>
              <w:rPr>
                <w:rFonts w:ascii="Arial" w:eastAsia="宋体" w:hAnsi="Arial" w:cs="Arial"/>
                <w:b/>
                <w:bCs/>
                <w:color w:val="000000"/>
                <w:sz w:val="15"/>
                <w:szCs w:val="15"/>
              </w:rPr>
              <w:t>571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A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A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6" w14:textId="77777777" w:rsidR="00980E5F" w:rsidRDefault="00483613">
            <w:pPr>
              <w:jc w:val="right"/>
              <w:textAlignment w:val="bottom"/>
            </w:pPr>
            <w:r>
              <w:rPr>
                <w:rFonts w:ascii="Arial" w:eastAsia="宋体" w:hAnsi="Arial" w:cs="Arial"/>
                <w:b/>
                <w:bCs/>
                <w:color w:val="000000"/>
                <w:sz w:val="15"/>
                <w:szCs w:val="15"/>
              </w:rPr>
              <w:t>20,966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A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9" w14:textId="77777777" w:rsidR="00980E5F" w:rsidRDefault="00483613">
            <w:pPr>
              <w:jc w:val="right"/>
              <w:textAlignment w:val="bottom"/>
            </w:pPr>
            <w:r>
              <w:rPr>
                <w:rFonts w:ascii="Arial" w:eastAsia="宋体" w:hAnsi="Arial" w:cs="Arial"/>
                <w:color w:val="000000"/>
                <w:sz w:val="15"/>
                <w:szCs w:val="15"/>
              </w:rPr>
              <w:t>30,719 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A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C" w14:textId="77777777" w:rsidR="00980E5F" w:rsidRDefault="00483613">
            <w:pPr>
              <w:jc w:val="right"/>
              <w:textAlignment w:val="bottom"/>
            </w:pPr>
            <w:r>
              <w:rPr>
                <w:rFonts w:ascii="Arial" w:eastAsia="宋体" w:hAnsi="Arial" w:cs="Arial"/>
                <w:color w:val="000000"/>
                <w:sz w:val="15"/>
                <w:szCs w:val="15"/>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A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AF" w14:textId="77777777" w:rsidR="00980E5F" w:rsidRDefault="00483613">
            <w:pPr>
              <w:jc w:val="right"/>
              <w:textAlignment w:val="bottom"/>
            </w:pPr>
            <w:r>
              <w:rPr>
                <w:rFonts w:ascii="Arial" w:eastAsia="宋体" w:hAnsi="Arial" w:cs="Arial"/>
                <w:color w:val="000000"/>
                <w:sz w:val="15"/>
                <w:szCs w:val="15"/>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B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DB2" w14:textId="77777777" w:rsidR="00980E5F" w:rsidRDefault="00483613">
            <w:pPr>
              <w:jc w:val="right"/>
              <w:textAlignment w:val="bottom"/>
            </w:pPr>
            <w:r>
              <w:rPr>
                <w:rFonts w:ascii="Arial" w:eastAsia="宋体" w:hAnsi="Arial" w:cs="Arial"/>
                <w:color w:val="000000"/>
                <w:sz w:val="15"/>
                <w:szCs w:val="15"/>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DB3" w14:textId="77777777" w:rsidR="00980E5F" w:rsidRDefault="00980E5F">
            <w:pPr>
              <w:jc w:val="right"/>
              <w:rPr>
                <w:rFonts w:ascii="宋体"/>
              </w:rPr>
            </w:pPr>
          </w:p>
        </w:tc>
      </w:tr>
      <w:tr w:rsidR="00980E5F" w14:paraId="392C5DC5" w14:textId="77777777">
        <w:tc>
          <w:tcPr>
            <w:tcW w:w="0" w:type="auto"/>
            <w:gridSpan w:val="3"/>
            <w:shd w:val="clear" w:color="auto" w:fill="FFFFFF"/>
            <w:tcMar>
              <w:top w:w="40" w:type="dxa"/>
              <w:left w:w="20" w:type="dxa"/>
              <w:bottom w:w="40" w:type="dxa"/>
              <w:right w:w="20" w:type="dxa"/>
            </w:tcMar>
            <w:vAlign w:val="bottom"/>
          </w:tcPr>
          <w:p w14:paraId="392C5DB5" w14:textId="77777777" w:rsidR="00980E5F" w:rsidRDefault="00483613">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B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B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B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B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B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B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B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B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B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BF"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C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C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DC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DC4" w14:textId="77777777" w:rsidR="00980E5F" w:rsidRDefault="00980E5F">
            <w:pPr>
              <w:rPr>
                <w:rFonts w:ascii="宋体"/>
              </w:rPr>
            </w:pPr>
          </w:p>
        </w:tc>
      </w:tr>
      <w:tr w:rsidR="00980E5F" w14:paraId="392C5DDE" w14:textId="77777777">
        <w:tc>
          <w:tcPr>
            <w:tcW w:w="0" w:type="auto"/>
            <w:gridSpan w:val="3"/>
            <w:shd w:val="clear" w:color="auto" w:fill="CCEEFF"/>
            <w:tcMar>
              <w:top w:w="40" w:type="dxa"/>
              <w:left w:w="20" w:type="dxa"/>
              <w:bottom w:w="40" w:type="dxa"/>
              <w:right w:w="20" w:type="dxa"/>
            </w:tcMar>
            <w:vAlign w:val="bottom"/>
          </w:tcPr>
          <w:p w14:paraId="392C5DC6" w14:textId="77777777" w:rsidR="00980E5F" w:rsidRDefault="00483613">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392C5DC7" w14:textId="77777777" w:rsidR="00980E5F" w:rsidRDefault="00483613">
            <w:pPr>
              <w:jc w:val="right"/>
              <w:textAlignment w:val="bottom"/>
            </w:pPr>
            <w:r>
              <w:rPr>
                <w:rFonts w:ascii="Arial" w:eastAsia="宋体" w:hAnsi="Arial" w:cs="Arial"/>
                <w:b/>
                <w:bCs/>
                <w:color w:val="000000"/>
                <w:sz w:val="15"/>
                <w:szCs w:val="15"/>
              </w:rPr>
              <w:t>152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CA"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CD"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C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D0" w14:textId="77777777" w:rsidR="00980E5F" w:rsidRDefault="00483613">
            <w:pPr>
              <w:jc w:val="right"/>
              <w:textAlignment w:val="bottom"/>
            </w:pPr>
            <w:r>
              <w:rPr>
                <w:rFonts w:ascii="Arial" w:eastAsia="宋体" w:hAnsi="Arial" w:cs="Arial"/>
                <w:b/>
                <w:bCs/>
                <w:color w:val="000000"/>
                <w:sz w:val="15"/>
                <w:szCs w:val="15"/>
              </w:rPr>
              <w:t>150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D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D3" w14:textId="77777777" w:rsidR="00980E5F" w:rsidRDefault="00483613">
            <w:pPr>
              <w:jc w:val="right"/>
              <w:textAlignment w:val="bottom"/>
            </w:pPr>
            <w:r>
              <w:rPr>
                <w:rFonts w:ascii="Arial" w:eastAsia="宋体" w:hAnsi="Arial" w:cs="Arial"/>
                <w:color w:val="000000"/>
                <w:sz w:val="15"/>
                <w:szCs w:val="15"/>
              </w:rPr>
              <w:t>209 </w:t>
            </w:r>
          </w:p>
        </w:tc>
        <w:tc>
          <w:tcPr>
            <w:tcW w:w="0" w:type="auto"/>
            <w:shd w:val="clear" w:color="auto" w:fill="CCEEFF"/>
            <w:tcMar>
              <w:top w:w="40" w:type="dxa"/>
              <w:left w:w="0" w:type="dxa"/>
              <w:bottom w:w="40" w:type="dxa"/>
              <w:right w:w="20" w:type="dxa"/>
            </w:tcMar>
            <w:vAlign w:val="bottom"/>
          </w:tcPr>
          <w:p w14:paraId="392C5D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D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D6"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392C5D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D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D9"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D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DD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DDC" w14:textId="77777777" w:rsidR="00980E5F" w:rsidRDefault="00483613">
            <w:pPr>
              <w:jc w:val="right"/>
              <w:textAlignment w:val="bottom"/>
            </w:pPr>
            <w:r>
              <w:rPr>
                <w:rFonts w:ascii="Arial" w:eastAsia="宋体" w:hAnsi="Arial" w:cs="Arial"/>
                <w:color w:val="000000"/>
                <w:sz w:val="15"/>
                <w:szCs w:val="15"/>
              </w:rPr>
              <w:t>211 </w:t>
            </w:r>
          </w:p>
        </w:tc>
        <w:tc>
          <w:tcPr>
            <w:tcW w:w="0" w:type="auto"/>
            <w:shd w:val="clear" w:color="auto" w:fill="CCEEFF"/>
            <w:tcMar>
              <w:top w:w="40" w:type="dxa"/>
              <w:left w:w="0" w:type="dxa"/>
              <w:bottom w:w="40" w:type="dxa"/>
              <w:right w:w="20" w:type="dxa"/>
            </w:tcMar>
            <w:vAlign w:val="bottom"/>
          </w:tcPr>
          <w:p w14:paraId="392C5DDD" w14:textId="77777777" w:rsidR="00980E5F" w:rsidRDefault="00980E5F">
            <w:pPr>
              <w:jc w:val="right"/>
              <w:rPr>
                <w:rFonts w:ascii="宋体"/>
              </w:rPr>
            </w:pPr>
          </w:p>
        </w:tc>
      </w:tr>
      <w:tr w:rsidR="00980E5F" w14:paraId="392C5DEF" w14:textId="77777777">
        <w:trPr>
          <w:hidden/>
        </w:trPr>
        <w:tc>
          <w:tcPr>
            <w:tcW w:w="0" w:type="auto"/>
            <w:gridSpan w:val="3"/>
            <w:shd w:val="clear" w:color="auto" w:fill="auto"/>
            <w:vAlign w:val="bottom"/>
          </w:tcPr>
          <w:p w14:paraId="392C5DDF" w14:textId="77777777" w:rsidR="00980E5F" w:rsidRDefault="00980E5F">
            <w:pPr>
              <w:rPr>
                <w:rFonts w:ascii="宋体"/>
                <w:vanish/>
              </w:rPr>
            </w:pPr>
          </w:p>
        </w:tc>
        <w:tc>
          <w:tcPr>
            <w:tcW w:w="0" w:type="auto"/>
            <w:gridSpan w:val="3"/>
            <w:shd w:val="clear" w:color="auto" w:fill="auto"/>
            <w:vAlign w:val="bottom"/>
          </w:tcPr>
          <w:p w14:paraId="392C5DE0" w14:textId="77777777" w:rsidR="00980E5F" w:rsidRDefault="00980E5F">
            <w:pPr>
              <w:rPr>
                <w:rFonts w:ascii="宋体"/>
                <w:vanish/>
              </w:rPr>
            </w:pPr>
          </w:p>
        </w:tc>
        <w:tc>
          <w:tcPr>
            <w:tcW w:w="0" w:type="auto"/>
            <w:gridSpan w:val="3"/>
            <w:shd w:val="clear" w:color="auto" w:fill="auto"/>
            <w:vAlign w:val="bottom"/>
          </w:tcPr>
          <w:p w14:paraId="392C5DE1" w14:textId="77777777" w:rsidR="00980E5F" w:rsidRDefault="00980E5F">
            <w:pPr>
              <w:rPr>
                <w:rFonts w:ascii="宋体"/>
                <w:vanish/>
              </w:rPr>
            </w:pPr>
          </w:p>
        </w:tc>
        <w:tc>
          <w:tcPr>
            <w:tcW w:w="0" w:type="auto"/>
            <w:gridSpan w:val="3"/>
            <w:shd w:val="clear" w:color="auto" w:fill="auto"/>
            <w:vAlign w:val="bottom"/>
          </w:tcPr>
          <w:p w14:paraId="392C5DE2" w14:textId="77777777" w:rsidR="00980E5F" w:rsidRDefault="00980E5F">
            <w:pPr>
              <w:rPr>
                <w:rFonts w:ascii="宋体"/>
                <w:vanish/>
              </w:rPr>
            </w:pPr>
          </w:p>
        </w:tc>
        <w:tc>
          <w:tcPr>
            <w:tcW w:w="0" w:type="auto"/>
            <w:gridSpan w:val="3"/>
            <w:shd w:val="clear" w:color="auto" w:fill="auto"/>
            <w:vAlign w:val="bottom"/>
          </w:tcPr>
          <w:p w14:paraId="392C5DE3" w14:textId="77777777" w:rsidR="00980E5F" w:rsidRDefault="00980E5F">
            <w:pPr>
              <w:rPr>
                <w:rFonts w:ascii="宋体"/>
                <w:vanish/>
              </w:rPr>
            </w:pPr>
          </w:p>
        </w:tc>
        <w:tc>
          <w:tcPr>
            <w:tcW w:w="0" w:type="auto"/>
            <w:gridSpan w:val="3"/>
            <w:shd w:val="clear" w:color="auto" w:fill="auto"/>
            <w:vAlign w:val="bottom"/>
          </w:tcPr>
          <w:p w14:paraId="392C5DE4" w14:textId="77777777" w:rsidR="00980E5F" w:rsidRDefault="00980E5F">
            <w:pPr>
              <w:rPr>
                <w:rFonts w:ascii="宋体"/>
                <w:vanish/>
              </w:rPr>
            </w:pPr>
          </w:p>
        </w:tc>
        <w:tc>
          <w:tcPr>
            <w:tcW w:w="0" w:type="auto"/>
            <w:gridSpan w:val="3"/>
            <w:shd w:val="clear" w:color="auto" w:fill="auto"/>
            <w:vAlign w:val="bottom"/>
          </w:tcPr>
          <w:p w14:paraId="392C5DE5" w14:textId="77777777" w:rsidR="00980E5F" w:rsidRDefault="00980E5F">
            <w:pPr>
              <w:rPr>
                <w:rFonts w:ascii="宋体"/>
                <w:vanish/>
              </w:rPr>
            </w:pPr>
          </w:p>
        </w:tc>
        <w:tc>
          <w:tcPr>
            <w:tcW w:w="0" w:type="auto"/>
            <w:gridSpan w:val="3"/>
            <w:shd w:val="clear" w:color="auto" w:fill="auto"/>
            <w:vAlign w:val="bottom"/>
          </w:tcPr>
          <w:p w14:paraId="392C5DE6" w14:textId="77777777" w:rsidR="00980E5F" w:rsidRDefault="00980E5F">
            <w:pPr>
              <w:rPr>
                <w:rFonts w:ascii="宋体"/>
                <w:vanish/>
              </w:rPr>
            </w:pPr>
          </w:p>
        </w:tc>
        <w:tc>
          <w:tcPr>
            <w:tcW w:w="0" w:type="auto"/>
            <w:gridSpan w:val="3"/>
            <w:shd w:val="clear" w:color="auto" w:fill="auto"/>
            <w:vAlign w:val="bottom"/>
          </w:tcPr>
          <w:p w14:paraId="392C5DE7" w14:textId="77777777" w:rsidR="00980E5F" w:rsidRDefault="00980E5F">
            <w:pPr>
              <w:rPr>
                <w:rFonts w:ascii="宋体"/>
                <w:vanish/>
              </w:rPr>
            </w:pPr>
          </w:p>
        </w:tc>
        <w:tc>
          <w:tcPr>
            <w:tcW w:w="0" w:type="auto"/>
            <w:gridSpan w:val="3"/>
            <w:shd w:val="clear" w:color="auto" w:fill="auto"/>
            <w:vAlign w:val="bottom"/>
          </w:tcPr>
          <w:p w14:paraId="392C5DE8" w14:textId="77777777" w:rsidR="00980E5F" w:rsidRDefault="00980E5F">
            <w:pPr>
              <w:rPr>
                <w:rFonts w:ascii="宋体"/>
                <w:vanish/>
              </w:rPr>
            </w:pPr>
          </w:p>
        </w:tc>
        <w:tc>
          <w:tcPr>
            <w:tcW w:w="0" w:type="auto"/>
            <w:gridSpan w:val="3"/>
            <w:shd w:val="clear" w:color="auto" w:fill="auto"/>
            <w:vAlign w:val="bottom"/>
          </w:tcPr>
          <w:p w14:paraId="392C5DE9" w14:textId="77777777" w:rsidR="00980E5F" w:rsidRDefault="00980E5F">
            <w:pPr>
              <w:rPr>
                <w:rFonts w:ascii="宋体"/>
                <w:vanish/>
              </w:rPr>
            </w:pPr>
          </w:p>
        </w:tc>
        <w:tc>
          <w:tcPr>
            <w:tcW w:w="0" w:type="auto"/>
            <w:gridSpan w:val="3"/>
            <w:shd w:val="clear" w:color="auto" w:fill="auto"/>
            <w:vAlign w:val="bottom"/>
          </w:tcPr>
          <w:p w14:paraId="392C5DEA" w14:textId="77777777" w:rsidR="00980E5F" w:rsidRDefault="00980E5F">
            <w:pPr>
              <w:rPr>
                <w:rFonts w:ascii="宋体"/>
                <w:vanish/>
              </w:rPr>
            </w:pPr>
          </w:p>
        </w:tc>
        <w:tc>
          <w:tcPr>
            <w:tcW w:w="0" w:type="auto"/>
            <w:gridSpan w:val="3"/>
            <w:shd w:val="clear" w:color="auto" w:fill="auto"/>
            <w:vAlign w:val="bottom"/>
          </w:tcPr>
          <w:p w14:paraId="392C5DEB" w14:textId="77777777" w:rsidR="00980E5F" w:rsidRDefault="00980E5F">
            <w:pPr>
              <w:rPr>
                <w:rFonts w:ascii="宋体"/>
                <w:vanish/>
              </w:rPr>
            </w:pPr>
          </w:p>
        </w:tc>
        <w:tc>
          <w:tcPr>
            <w:tcW w:w="0" w:type="auto"/>
            <w:gridSpan w:val="3"/>
            <w:shd w:val="clear" w:color="auto" w:fill="auto"/>
            <w:vAlign w:val="bottom"/>
          </w:tcPr>
          <w:p w14:paraId="392C5DEC" w14:textId="77777777" w:rsidR="00980E5F" w:rsidRDefault="00980E5F">
            <w:pPr>
              <w:rPr>
                <w:rFonts w:ascii="宋体"/>
                <w:vanish/>
              </w:rPr>
            </w:pPr>
          </w:p>
        </w:tc>
        <w:tc>
          <w:tcPr>
            <w:tcW w:w="0" w:type="auto"/>
            <w:gridSpan w:val="3"/>
            <w:shd w:val="clear" w:color="auto" w:fill="auto"/>
            <w:vAlign w:val="bottom"/>
          </w:tcPr>
          <w:p w14:paraId="392C5DED" w14:textId="77777777" w:rsidR="00980E5F" w:rsidRDefault="00980E5F">
            <w:pPr>
              <w:rPr>
                <w:rFonts w:ascii="宋体"/>
                <w:vanish/>
              </w:rPr>
            </w:pPr>
          </w:p>
        </w:tc>
        <w:tc>
          <w:tcPr>
            <w:tcW w:w="0" w:type="auto"/>
            <w:gridSpan w:val="3"/>
            <w:shd w:val="clear" w:color="auto" w:fill="auto"/>
            <w:vAlign w:val="bottom"/>
          </w:tcPr>
          <w:p w14:paraId="392C5DEE" w14:textId="77777777" w:rsidR="00980E5F" w:rsidRDefault="00980E5F">
            <w:pPr>
              <w:rPr>
                <w:rFonts w:ascii="宋体"/>
                <w:vanish/>
              </w:rPr>
            </w:pPr>
          </w:p>
        </w:tc>
      </w:tr>
      <w:tr w:rsidR="00980E5F" w14:paraId="392C5E00" w14:textId="77777777">
        <w:trPr>
          <w:hidden/>
        </w:trPr>
        <w:tc>
          <w:tcPr>
            <w:tcW w:w="0" w:type="auto"/>
            <w:gridSpan w:val="3"/>
            <w:shd w:val="clear" w:color="auto" w:fill="auto"/>
            <w:vAlign w:val="bottom"/>
          </w:tcPr>
          <w:p w14:paraId="392C5DF0" w14:textId="77777777" w:rsidR="00980E5F" w:rsidRDefault="00980E5F">
            <w:pPr>
              <w:rPr>
                <w:rFonts w:ascii="宋体"/>
                <w:vanish/>
              </w:rPr>
            </w:pPr>
          </w:p>
        </w:tc>
        <w:tc>
          <w:tcPr>
            <w:tcW w:w="0" w:type="auto"/>
            <w:gridSpan w:val="3"/>
            <w:shd w:val="clear" w:color="auto" w:fill="auto"/>
            <w:vAlign w:val="bottom"/>
          </w:tcPr>
          <w:p w14:paraId="392C5DF1" w14:textId="77777777" w:rsidR="00980E5F" w:rsidRDefault="00980E5F">
            <w:pPr>
              <w:rPr>
                <w:rFonts w:ascii="宋体"/>
                <w:vanish/>
              </w:rPr>
            </w:pPr>
          </w:p>
        </w:tc>
        <w:tc>
          <w:tcPr>
            <w:tcW w:w="0" w:type="auto"/>
            <w:gridSpan w:val="3"/>
            <w:shd w:val="clear" w:color="auto" w:fill="auto"/>
            <w:vAlign w:val="bottom"/>
          </w:tcPr>
          <w:p w14:paraId="392C5DF2" w14:textId="77777777" w:rsidR="00980E5F" w:rsidRDefault="00980E5F">
            <w:pPr>
              <w:rPr>
                <w:rFonts w:ascii="宋体"/>
                <w:vanish/>
              </w:rPr>
            </w:pPr>
          </w:p>
        </w:tc>
        <w:tc>
          <w:tcPr>
            <w:tcW w:w="0" w:type="auto"/>
            <w:gridSpan w:val="3"/>
            <w:shd w:val="clear" w:color="auto" w:fill="auto"/>
            <w:vAlign w:val="bottom"/>
          </w:tcPr>
          <w:p w14:paraId="392C5DF3" w14:textId="77777777" w:rsidR="00980E5F" w:rsidRDefault="00980E5F">
            <w:pPr>
              <w:rPr>
                <w:rFonts w:ascii="宋体"/>
                <w:vanish/>
              </w:rPr>
            </w:pPr>
          </w:p>
        </w:tc>
        <w:tc>
          <w:tcPr>
            <w:tcW w:w="0" w:type="auto"/>
            <w:gridSpan w:val="3"/>
            <w:shd w:val="clear" w:color="auto" w:fill="auto"/>
            <w:vAlign w:val="bottom"/>
          </w:tcPr>
          <w:p w14:paraId="392C5DF4" w14:textId="77777777" w:rsidR="00980E5F" w:rsidRDefault="00980E5F">
            <w:pPr>
              <w:rPr>
                <w:rFonts w:ascii="宋体"/>
                <w:vanish/>
              </w:rPr>
            </w:pPr>
          </w:p>
        </w:tc>
        <w:tc>
          <w:tcPr>
            <w:tcW w:w="0" w:type="auto"/>
            <w:gridSpan w:val="3"/>
            <w:shd w:val="clear" w:color="auto" w:fill="auto"/>
            <w:vAlign w:val="bottom"/>
          </w:tcPr>
          <w:p w14:paraId="392C5DF5" w14:textId="77777777" w:rsidR="00980E5F" w:rsidRDefault="00980E5F">
            <w:pPr>
              <w:rPr>
                <w:rFonts w:ascii="宋体"/>
                <w:vanish/>
              </w:rPr>
            </w:pPr>
          </w:p>
        </w:tc>
        <w:tc>
          <w:tcPr>
            <w:tcW w:w="0" w:type="auto"/>
            <w:gridSpan w:val="3"/>
            <w:shd w:val="clear" w:color="auto" w:fill="auto"/>
            <w:vAlign w:val="bottom"/>
          </w:tcPr>
          <w:p w14:paraId="392C5DF6" w14:textId="77777777" w:rsidR="00980E5F" w:rsidRDefault="00980E5F">
            <w:pPr>
              <w:rPr>
                <w:rFonts w:ascii="宋体"/>
                <w:vanish/>
              </w:rPr>
            </w:pPr>
          </w:p>
        </w:tc>
        <w:tc>
          <w:tcPr>
            <w:tcW w:w="0" w:type="auto"/>
            <w:gridSpan w:val="3"/>
            <w:shd w:val="clear" w:color="auto" w:fill="auto"/>
            <w:vAlign w:val="bottom"/>
          </w:tcPr>
          <w:p w14:paraId="392C5DF7" w14:textId="77777777" w:rsidR="00980E5F" w:rsidRDefault="00980E5F">
            <w:pPr>
              <w:rPr>
                <w:rFonts w:ascii="宋体"/>
                <w:vanish/>
              </w:rPr>
            </w:pPr>
          </w:p>
        </w:tc>
        <w:tc>
          <w:tcPr>
            <w:tcW w:w="0" w:type="auto"/>
            <w:gridSpan w:val="3"/>
            <w:shd w:val="clear" w:color="auto" w:fill="auto"/>
            <w:vAlign w:val="bottom"/>
          </w:tcPr>
          <w:p w14:paraId="392C5DF8" w14:textId="77777777" w:rsidR="00980E5F" w:rsidRDefault="00980E5F">
            <w:pPr>
              <w:rPr>
                <w:rFonts w:ascii="宋体"/>
                <w:vanish/>
              </w:rPr>
            </w:pPr>
          </w:p>
        </w:tc>
        <w:tc>
          <w:tcPr>
            <w:tcW w:w="0" w:type="auto"/>
            <w:gridSpan w:val="3"/>
            <w:shd w:val="clear" w:color="auto" w:fill="auto"/>
            <w:vAlign w:val="bottom"/>
          </w:tcPr>
          <w:p w14:paraId="392C5DF9" w14:textId="77777777" w:rsidR="00980E5F" w:rsidRDefault="00980E5F">
            <w:pPr>
              <w:rPr>
                <w:rFonts w:ascii="宋体"/>
                <w:vanish/>
              </w:rPr>
            </w:pPr>
          </w:p>
        </w:tc>
        <w:tc>
          <w:tcPr>
            <w:tcW w:w="0" w:type="auto"/>
            <w:gridSpan w:val="3"/>
            <w:shd w:val="clear" w:color="auto" w:fill="auto"/>
            <w:vAlign w:val="bottom"/>
          </w:tcPr>
          <w:p w14:paraId="392C5DFA" w14:textId="77777777" w:rsidR="00980E5F" w:rsidRDefault="00980E5F">
            <w:pPr>
              <w:rPr>
                <w:rFonts w:ascii="宋体"/>
                <w:vanish/>
              </w:rPr>
            </w:pPr>
          </w:p>
        </w:tc>
        <w:tc>
          <w:tcPr>
            <w:tcW w:w="0" w:type="auto"/>
            <w:gridSpan w:val="3"/>
            <w:shd w:val="clear" w:color="auto" w:fill="auto"/>
            <w:vAlign w:val="bottom"/>
          </w:tcPr>
          <w:p w14:paraId="392C5DFB" w14:textId="77777777" w:rsidR="00980E5F" w:rsidRDefault="00980E5F">
            <w:pPr>
              <w:rPr>
                <w:rFonts w:ascii="宋体"/>
                <w:vanish/>
              </w:rPr>
            </w:pPr>
          </w:p>
        </w:tc>
        <w:tc>
          <w:tcPr>
            <w:tcW w:w="0" w:type="auto"/>
            <w:gridSpan w:val="3"/>
            <w:shd w:val="clear" w:color="auto" w:fill="auto"/>
            <w:vAlign w:val="bottom"/>
          </w:tcPr>
          <w:p w14:paraId="392C5DFC" w14:textId="77777777" w:rsidR="00980E5F" w:rsidRDefault="00980E5F">
            <w:pPr>
              <w:rPr>
                <w:rFonts w:ascii="宋体"/>
                <w:vanish/>
              </w:rPr>
            </w:pPr>
          </w:p>
        </w:tc>
        <w:tc>
          <w:tcPr>
            <w:tcW w:w="0" w:type="auto"/>
            <w:gridSpan w:val="3"/>
            <w:shd w:val="clear" w:color="auto" w:fill="auto"/>
            <w:vAlign w:val="bottom"/>
          </w:tcPr>
          <w:p w14:paraId="392C5DFD" w14:textId="77777777" w:rsidR="00980E5F" w:rsidRDefault="00980E5F">
            <w:pPr>
              <w:rPr>
                <w:rFonts w:ascii="宋体"/>
                <w:vanish/>
              </w:rPr>
            </w:pPr>
          </w:p>
        </w:tc>
        <w:tc>
          <w:tcPr>
            <w:tcW w:w="0" w:type="auto"/>
            <w:gridSpan w:val="3"/>
            <w:shd w:val="clear" w:color="auto" w:fill="auto"/>
            <w:vAlign w:val="bottom"/>
          </w:tcPr>
          <w:p w14:paraId="392C5DFE" w14:textId="77777777" w:rsidR="00980E5F" w:rsidRDefault="00980E5F">
            <w:pPr>
              <w:rPr>
                <w:rFonts w:ascii="宋体"/>
                <w:vanish/>
              </w:rPr>
            </w:pPr>
          </w:p>
        </w:tc>
        <w:tc>
          <w:tcPr>
            <w:tcW w:w="0" w:type="auto"/>
            <w:gridSpan w:val="3"/>
            <w:shd w:val="clear" w:color="auto" w:fill="auto"/>
            <w:vAlign w:val="bottom"/>
          </w:tcPr>
          <w:p w14:paraId="392C5DFF" w14:textId="77777777" w:rsidR="00980E5F" w:rsidRDefault="00980E5F">
            <w:pPr>
              <w:rPr>
                <w:rFonts w:ascii="宋体"/>
                <w:vanish/>
              </w:rPr>
            </w:pPr>
          </w:p>
        </w:tc>
      </w:tr>
      <w:tr w:rsidR="00980E5F" w14:paraId="392C5E19" w14:textId="77777777">
        <w:tc>
          <w:tcPr>
            <w:tcW w:w="0" w:type="auto"/>
            <w:gridSpan w:val="3"/>
            <w:shd w:val="clear" w:color="auto" w:fill="FFFFFF"/>
            <w:tcMar>
              <w:top w:w="40" w:type="dxa"/>
              <w:left w:w="20" w:type="dxa"/>
              <w:bottom w:w="40" w:type="dxa"/>
              <w:right w:w="20" w:type="dxa"/>
            </w:tcMar>
            <w:vAlign w:val="bottom"/>
          </w:tcPr>
          <w:p w14:paraId="392C5E01" w14:textId="77777777" w:rsidR="00980E5F" w:rsidRDefault="00483613">
            <w:pP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392C5E02" w14:textId="77777777" w:rsidR="00980E5F" w:rsidRDefault="00483613">
            <w:pPr>
              <w:jc w:val="right"/>
              <w:textAlignment w:val="bottom"/>
            </w:pPr>
            <w:r>
              <w:rPr>
                <w:rFonts w:ascii="Arial" w:eastAsia="宋体" w:hAnsi="Arial" w:cs="Arial"/>
                <w:b/>
                <w:bCs/>
                <w:color w:val="000000"/>
                <w:sz w:val="15"/>
                <w:szCs w:val="15"/>
              </w:rPr>
              <w:t>2,378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05"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08" w14:textId="77777777" w:rsidR="00980E5F" w:rsidRDefault="00483613">
            <w:pPr>
              <w:jc w:val="right"/>
              <w:textAlignment w:val="bottom"/>
            </w:pPr>
            <w:r>
              <w:rPr>
                <w:rFonts w:ascii="Arial" w:eastAsia="宋体" w:hAnsi="Arial" w:cs="Arial"/>
                <w:b/>
                <w:bCs/>
                <w:color w:val="000000"/>
                <w:sz w:val="15"/>
                <w:szCs w:val="15"/>
              </w:rPr>
              <w:t>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0B" w14:textId="77777777" w:rsidR="00980E5F" w:rsidRDefault="00483613">
            <w:pPr>
              <w:jc w:val="right"/>
              <w:textAlignment w:val="bottom"/>
            </w:pPr>
            <w:r>
              <w:rPr>
                <w:rFonts w:ascii="Arial" w:eastAsia="宋体" w:hAnsi="Arial" w:cs="Arial"/>
                <w:b/>
                <w:bCs/>
                <w:color w:val="000000"/>
                <w:sz w:val="15"/>
                <w:szCs w:val="15"/>
              </w:rPr>
              <w:t>2,334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0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0E" w14:textId="77777777" w:rsidR="00980E5F" w:rsidRDefault="00483613">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392C5E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11"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5E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14"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5E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1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17" w14:textId="77777777" w:rsidR="00980E5F" w:rsidRDefault="00483613">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392C5E18" w14:textId="77777777" w:rsidR="00980E5F" w:rsidRDefault="00980E5F">
            <w:pPr>
              <w:jc w:val="right"/>
              <w:rPr>
                <w:rFonts w:ascii="宋体"/>
              </w:rPr>
            </w:pPr>
          </w:p>
        </w:tc>
      </w:tr>
      <w:tr w:rsidR="00980E5F" w14:paraId="392C5E32" w14:textId="77777777">
        <w:tc>
          <w:tcPr>
            <w:tcW w:w="0" w:type="auto"/>
            <w:gridSpan w:val="3"/>
            <w:shd w:val="clear" w:color="auto" w:fill="CCEEFF"/>
            <w:tcMar>
              <w:top w:w="40" w:type="dxa"/>
              <w:left w:w="20" w:type="dxa"/>
              <w:bottom w:w="40" w:type="dxa"/>
              <w:right w:w="20" w:type="dxa"/>
            </w:tcMar>
            <w:vAlign w:val="bottom"/>
          </w:tcPr>
          <w:p w14:paraId="392C5E1A" w14:textId="77777777" w:rsidR="00980E5F" w:rsidRDefault="00483613">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392C5E1B" w14:textId="77777777" w:rsidR="00980E5F" w:rsidRDefault="00483613">
            <w:pPr>
              <w:jc w:val="right"/>
              <w:textAlignment w:val="bottom"/>
            </w:pPr>
            <w:r>
              <w:rPr>
                <w:rFonts w:ascii="Arial" w:eastAsia="宋体" w:hAnsi="Arial" w:cs="Arial"/>
                <w:b/>
                <w:bCs/>
                <w:color w:val="000000"/>
                <w:sz w:val="15"/>
                <w:szCs w:val="15"/>
              </w:rPr>
              <w:t>200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1E"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21"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24" w14:textId="77777777" w:rsidR="00980E5F" w:rsidRDefault="00483613">
            <w:pPr>
              <w:jc w:val="right"/>
              <w:textAlignment w:val="bottom"/>
            </w:pPr>
            <w:r>
              <w:rPr>
                <w:rFonts w:ascii="Arial" w:eastAsia="宋体" w:hAnsi="Arial" w:cs="Arial"/>
                <w:b/>
                <w:bCs/>
                <w:color w:val="000000"/>
                <w:sz w:val="15"/>
                <w:szCs w:val="15"/>
              </w:rPr>
              <w:t>195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27" w14:textId="77777777" w:rsidR="00980E5F" w:rsidRDefault="00483613">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392C5E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2A"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2D"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2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30" w14:textId="77777777" w:rsidR="00980E5F" w:rsidRDefault="00483613">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392C5E31" w14:textId="77777777" w:rsidR="00980E5F" w:rsidRDefault="00980E5F">
            <w:pPr>
              <w:jc w:val="right"/>
              <w:rPr>
                <w:rFonts w:ascii="宋体"/>
              </w:rPr>
            </w:pPr>
          </w:p>
        </w:tc>
      </w:tr>
      <w:tr w:rsidR="00980E5F" w14:paraId="392C5E4B" w14:textId="77777777">
        <w:tc>
          <w:tcPr>
            <w:tcW w:w="0" w:type="auto"/>
            <w:gridSpan w:val="3"/>
            <w:shd w:val="clear" w:color="auto" w:fill="FFFFFF"/>
            <w:tcMar>
              <w:top w:w="40" w:type="dxa"/>
              <w:left w:w="245" w:type="dxa"/>
              <w:bottom w:w="40" w:type="dxa"/>
              <w:right w:w="20" w:type="dxa"/>
            </w:tcMar>
            <w:vAlign w:val="bottom"/>
          </w:tcPr>
          <w:p w14:paraId="392C5E33"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5E34" w14:textId="77777777" w:rsidR="00980E5F" w:rsidRDefault="00483613">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37"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3A"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3D" w14:textId="77777777" w:rsidR="00980E5F" w:rsidRDefault="00483613">
            <w:pPr>
              <w:jc w:val="right"/>
              <w:textAlignment w:val="bottom"/>
            </w:pPr>
            <w:r>
              <w:rPr>
                <w:rFonts w:ascii="Arial" w:eastAsia="宋体" w:hAnsi="Arial" w:cs="Arial"/>
                <w:b/>
                <w:bCs/>
                <w:color w:val="000000"/>
                <w:sz w:val="15"/>
                <w:szCs w:val="15"/>
              </w:rPr>
              <w:t>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3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40" w14:textId="77777777" w:rsidR="00980E5F" w:rsidRDefault="00483613">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392C5E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43" w14:textId="77777777" w:rsidR="00980E5F" w:rsidRDefault="00483613">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392C5E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46"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49" w14:textId="77777777" w:rsidR="00980E5F" w:rsidRDefault="00483613">
            <w:pPr>
              <w:jc w:val="right"/>
              <w:textAlignment w:val="bottom"/>
            </w:pPr>
            <w:r>
              <w:rPr>
                <w:rFonts w:ascii="Arial" w:eastAsia="宋体" w:hAnsi="Arial" w:cs="Arial"/>
                <w:color w:val="000000"/>
                <w:sz w:val="15"/>
                <w:szCs w:val="15"/>
              </w:rPr>
              <w:t>91 </w:t>
            </w:r>
          </w:p>
        </w:tc>
        <w:tc>
          <w:tcPr>
            <w:tcW w:w="0" w:type="auto"/>
            <w:shd w:val="clear" w:color="auto" w:fill="FFFFFF"/>
            <w:tcMar>
              <w:top w:w="40" w:type="dxa"/>
              <w:left w:w="0" w:type="dxa"/>
              <w:bottom w:w="40" w:type="dxa"/>
              <w:right w:w="20" w:type="dxa"/>
            </w:tcMar>
            <w:vAlign w:val="bottom"/>
          </w:tcPr>
          <w:p w14:paraId="392C5E4A" w14:textId="77777777" w:rsidR="00980E5F" w:rsidRDefault="00980E5F">
            <w:pPr>
              <w:jc w:val="right"/>
              <w:rPr>
                <w:rFonts w:ascii="宋体"/>
              </w:rPr>
            </w:pPr>
          </w:p>
        </w:tc>
      </w:tr>
      <w:tr w:rsidR="00980E5F" w14:paraId="392C5E64" w14:textId="77777777">
        <w:tc>
          <w:tcPr>
            <w:tcW w:w="0" w:type="auto"/>
            <w:gridSpan w:val="3"/>
            <w:shd w:val="clear" w:color="auto" w:fill="CCEEFF"/>
            <w:tcMar>
              <w:top w:w="40" w:type="dxa"/>
              <w:left w:w="380" w:type="dxa"/>
              <w:bottom w:w="40" w:type="dxa"/>
              <w:right w:w="20" w:type="dxa"/>
            </w:tcMar>
            <w:vAlign w:val="bottom"/>
          </w:tcPr>
          <w:p w14:paraId="392C5E4C" w14:textId="77777777" w:rsidR="00980E5F" w:rsidRDefault="00483613">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4D" w14:textId="77777777" w:rsidR="00980E5F" w:rsidRDefault="00483613">
            <w:pPr>
              <w:jc w:val="right"/>
              <w:textAlignment w:val="bottom"/>
            </w:pPr>
            <w:r>
              <w:rPr>
                <w:rFonts w:ascii="Arial" w:eastAsia="宋体" w:hAnsi="Arial" w:cs="Arial"/>
                <w:b/>
                <w:bCs/>
                <w:color w:val="000000"/>
                <w:sz w:val="15"/>
                <w:szCs w:val="15"/>
              </w:rPr>
              <w:t>2,820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4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0"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5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3" w14:textId="77777777" w:rsidR="00980E5F" w:rsidRDefault="00483613">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6" w14:textId="77777777" w:rsidR="00980E5F" w:rsidRDefault="00483613">
            <w:pPr>
              <w:jc w:val="right"/>
              <w:textAlignment w:val="bottom"/>
            </w:pPr>
            <w:r>
              <w:rPr>
                <w:rFonts w:ascii="Arial" w:eastAsia="宋体" w:hAnsi="Arial" w:cs="Arial"/>
                <w:b/>
                <w:bCs/>
                <w:color w:val="000000"/>
                <w:sz w:val="15"/>
                <w:szCs w:val="15"/>
              </w:rPr>
              <w:t>2,768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5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9" w14:textId="77777777" w:rsidR="00980E5F" w:rsidRDefault="00483613">
            <w:pPr>
              <w:jc w:val="right"/>
              <w:textAlignment w:val="bottom"/>
            </w:pPr>
            <w:r>
              <w:rPr>
                <w:rFonts w:ascii="Arial" w:eastAsia="宋体" w:hAnsi="Arial" w:cs="Arial"/>
                <w:color w:val="000000"/>
                <w:sz w:val="15"/>
                <w:szCs w:val="15"/>
              </w:rPr>
              <w:t>2,506 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5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C" w14:textId="77777777" w:rsidR="00980E5F" w:rsidRDefault="00483613">
            <w:pPr>
              <w:jc w:val="right"/>
              <w:textAlignment w:val="bottom"/>
            </w:pPr>
            <w:r>
              <w:rPr>
                <w:rFonts w:ascii="Arial" w:eastAsia="宋体" w:hAnsi="Arial" w:cs="Arial"/>
                <w:color w:val="000000"/>
                <w:sz w:val="15"/>
                <w:szCs w:val="15"/>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5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5F" w14:textId="77777777" w:rsidR="00980E5F" w:rsidRDefault="00483613">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6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E62" w14:textId="77777777" w:rsidR="00980E5F" w:rsidRDefault="00483613">
            <w:pPr>
              <w:jc w:val="right"/>
              <w:textAlignment w:val="bottom"/>
            </w:pPr>
            <w:r>
              <w:rPr>
                <w:rFonts w:ascii="Arial" w:eastAsia="宋体" w:hAnsi="Arial" w:cs="Arial"/>
                <w:color w:val="000000"/>
                <w:sz w:val="15"/>
                <w:szCs w:val="15"/>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E63" w14:textId="77777777" w:rsidR="00980E5F" w:rsidRDefault="00980E5F">
            <w:pPr>
              <w:jc w:val="right"/>
              <w:rPr>
                <w:rFonts w:ascii="宋体"/>
              </w:rPr>
            </w:pPr>
          </w:p>
        </w:tc>
      </w:tr>
      <w:tr w:rsidR="00980E5F" w14:paraId="392C5E75" w14:textId="77777777">
        <w:trPr>
          <w:hidden/>
        </w:trPr>
        <w:tc>
          <w:tcPr>
            <w:tcW w:w="0" w:type="auto"/>
            <w:gridSpan w:val="3"/>
            <w:shd w:val="clear" w:color="auto" w:fill="auto"/>
            <w:vAlign w:val="bottom"/>
          </w:tcPr>
          <w:p w14:paraId="392C5E65" w14:textId="77777777" w:rsidR="00980E5F" w:rsidRDefault="00980E5F">
            <w:pPr>
              <w:rPr>
                <w:rFonts w:ascii="宋体"/>
                <w:vanish/>
              </w:rPr>
            </w:pPr>
          </w:p>
        </w:tc>
        <w:tc>
          <w:tcPr>
            <w:tcW w:w="0" w:type="auto"/>
            <w:gridSpan w:val="3"/>
            <w:shd w:val="clear" w:color="auto" w:fill="auto"/>
            <w:vAlign w:val="bottom"/>
          </w:tcPr>
          <w:p w14:paraId="392C5E66" w14:textId="77777777" w:rsidR="00980E5F" w:rsidRDefault="00980E5F">
            <w:pPr>
              <w:rPr>
                <w:rFonts w:ascii="宋体"/>
                <w:vanish/>
              </w:rPr>
            </w:pPr>
          </w:p>
        </w:tc>
        <w:tc>
          <w:tcPr>
            <w:tcW w:w="0" w:type="auto"/>
            <w:gridSpan w:val="3"/>
            <w:shd w:val="clear" w:color="auto" w:fill="auto"/>
            <w:vAlign w:val="bottom"/>
          </w:tcPr>
          <w:p w14:paraId="392C5E67" w14:textId="77777777" w:rsidR="00980E5F" w:rsidRDefault="00980E5F">
            <w:pPr>
              <w:rPr>
                <w:rFonts w:ascii="宋体"/>
                <w:vanish/>
              </w:rPr>
            </w:pPr>
          </w:p>
        </w:tc>
        <w:tc>
          <w:tcPr>
            <w:tcW w:w="0" w:type="auto"/>
            <w:gridSpan w:val="3"/>
            <w:shd w:val="clear" w:color="auto" w:fill="auto"/>
            <w:vAlign w:val="bottom"/>
          </w:tcPr>
          <w:p w14:paraId="392C5E68" w14:textId="77777777" w:rsidR="00980E5F" w:rsidRDefault="00980E5F">
            <w:pPr>
              <w:rPr>
                <w:rFonts w:ascii="宋体"/>
                <w:vanish/>
              </w:rPr>
            </w:pPr>
          </w:p>
        </w:tc>
        <w:tc>
          <w:tcPr>
            <w:tcW w:w="0" w:type="auto"/>
            <w:gridSpan w:val="3"/>
            <w:shd w:val="clear" w:color="auto" w:fill="auto"/>
            <w:vAlign w:val="bottom"/>
          </w:tcPr>
          <w:p w14:paraId="392C5E69" w14:textId="77777777" w:rsidR="00980E5F" w:rsidRDefault="00980E5F">
            <w:pPr>
              <w:rPr>
                <w:rFonts w:ascii="宋体"/>
                <w:vanish/>
              </w:rPr>
            </w:pPr>
          </w:p>
        </w:tc>
        <w:tc>
          <w:tcPr>
            <w:tcW w:w="0" w:type="auto"/>
            <w:gridSpan w:val="3"/>
            <w:shd w:val="clear" w:color="auto" w:fill="auto"/>
            <w:vAlign w:val="bottom"/>
          </w:tcPr>
          <w:p w14:paraId="392C5E6A" w14:textId="77777777" w:rsidR="00980E5F" w:rsidRDefault="00980E5F">
            <w:pPr>
              <w:rPr>
                <w:rFonts w:ascii="宋体"/>
                <w:vanish/>
              </w:rPr>
            </w:pPr>
          </w:p>
        </w:tc>
        <w:tc>
          <w:tcPr>
            <w:tcW w:w="0" w:type="auto"/>
            <w:gridSpan w:val="3"/>
            <w:shd w:val="clear" w:color="auto" w:fill="auto"/>
            <w:vAlign w:val="bottom"/>
          </w:tcPr>
          <w:p w14:paraId="392C5E6B" w14:textId="77777777" w:rsidR="00980E5F" w:rsidRDefault="00980E5F">
            <w:pPr>
              <w:rPr>
                <w:rFonts w:ascii="宋体"/>
                <w:vanish/>
              </w:rPr>
            </w:pPr>
          </w:p>
        </w:tc>
        <w:tc>
          <w:tcPr>
            <w:tcW w:w="0" w:type="auto"/>
            <w:gridSpan w:val="3"/>
            <w:shd w:val="clear" w:color="auto" w:fill="auto"/>
            <w:vAlign w:val="bottom"/>
          </w:tcPr>
          <w:p w14:paraId="392C5E6C" w14:textId="77777777" w:rsidR="00980E5F" w:rsidRDefault="00980E5F">
            <w:pPr>
              <w:rPr>
                <w:rFonts w:ascii="宋体"/>
                <w:vanish/>
              </w:rPr>
            </w:pPr>
          </w:p>
        </w:tc>
        <w:tc>
          <w:tcPr>
            <w:tcW w:w="0" w:type="auto"/>
            <w:gridSpan w:val="3"/>
            <w:shd w:val="clear" w:color="auto" w:fill="auto"/>
            <w:vAlign w:val="bottom"/>
          </w:tcPr>
          <w:p w14:paraId="392C5E6D" w14:textId="77777777" w:rsidR="00980E5F" w:rsidRDefault="00980E5F">
            <w:pPr>
              <w:rPr>
                <w:rFonts w:ascii="宋体"/>
                <w:vanish/>
              </w:rPr>
            </w:pPr>
          </w:p>
        </w:tc>
        <w:tc>
          <w:tcPr>
            <w:tcW w:w="0" w:type="auto"/>
            <w:gridSpan w:val="3"/>
            <w:shd w:val="clear" w:color="auto" w:fill="auto"/>
            <w:vAlign w:val="bottom"/>
          </w:tcPr>
          <w:p w14:paraId="392C5E6E" w14:textId="77777777" w:rsidR="00980E5F" w:rsidRDefault="00980E5F">
            <w:pPr>
              <w:rPr>
                <w:rFonts w:ascii="宋体"/>
                <w:vanish/>
              </w:rPr>
            </w:pPr>
          </w:p>
        </w:tc>
        <w:tc>
          <w:tcPr>
            <w:tcW w:w="0" w:type="auto"/>
            <w:gridSpan w:val="3"/>
            <w:shd w:val="clear" w:color="auto" w:fill="auto"/>
            <w:vAlign w:val="bottom"/>
          </w:tcPr>
          <w:p w14:paraId="392C5E6F" w14:textId="77777777" w:rsidR="00980E5F" w:rsidRDefault="00980E5F">
            <w:pPr>
              <w:rPr>
                <w:rFonts w:ascii="宋体"/>
                <w:vanish/>
              </w:rPr>
            </w:pPr>
          </w:p>
        </w:tc>
        <w:tc>
          <w:tcPr>
            <w:tcW w:w="0" w:type="auto"/>
            <w:gridSpan w:val="3"/>
            <w:shd w:val="clear" w:color="auto" w:fill="auto"/>
            <w:vAlign w:val="bottom"/>
          </w:tcPr>
          <w:p w14:paraId="392C5E70" w14:textId="77777777" w:rsidR="00980E5F" w:rsidRDefault="00980E5F">
            <w:pPr>
              <w:rPr>
                <w:rFonts w:ascii="宋体"/>
                <w:vanish/>
              </w:rPr>
            </w:pPr>
          </w:p>
        </w:tc>
        <w:tc>
          <w:tcPr>
            <w:tcW w:w="0" w:type="auto"/>
            <w:gridSpan w:val="3"/>
            <w:shd w:val="clear" w:color="auto" w:fill="auto"/>
            <w:vAlign w:val="bottom"/>
          </w:tcPr>
          <w:p w14:paraId="392C5E71" w14:textId="77777777" w:rsidR="00980E5F" w:rsidRDefault="00980E5F">
            <w:pPr>
              <w:rPr>
                <w:rFonts w:ascii="宋体"/>
                <w:vanish/>
              </w:rPr>
            </w:pPr>
          </w:p>
        </w:tc>
        <w:tc>
          <w:tcPr>
            <w:tcW w:w="0" w:type="auto"/>
            <w:gridSpan w:val="3"/>
            <w:shd w:val="clear" w:color="auto" w:fill="auto"/>
            <w:vAlign w:val="bottom"/>
          </w:tcPr>
          <w:p w14:paraId="392C5E72" w14:textId="77777777" w:rsidR="00980E5F" w:rsidRDefault="00980E5F">
            <w:pPr>
              <w:rPr>
                <w:rFonts w:ascii="宋体"/>
                <w:vanish/>
              </w:rPr>
            </w:pPr>
          </w:p>
        </w:tc>
        <w:tc>
          <w:tcPr>
            <w:tcW w:w="0" w:type="auto"/>
            <w:gridSpan w:val="3"/>
            <w:shd w:val="clear" w:color="auto" w:fill="auto"/>
            <w:vAlign w:val="bottom"/>
          </w:tcPr>
          <w:p w14:paraId="392C5E73" w14:textId="77777777" w:rsidR="00980E5F" w:rsidRDefault="00980E5F">
            <w:pPr>
              <w:rPr>
                <w:rFonts w:ascii="宋体"/>
                <w:vanish/>
              </w:rPr>
            </w:pPr>
          </w:p>
        </w:tc>
        <w:tc>
          <w:tcPr>
            <w:tcW w:w="0" w:type="auto"/>
            <w:gridSpan w:val="3"/>
            <w:shd w:val="clear" w:color="auto" w:fill="auto"/>
            <w:vAlign w:val="bottom"/>
          </w:tcPr>
          <w:p w14:paraId="392C5E74" w14:textId="77777777" w:rsidR="00980E5F" w:rsidRDefault="00980E5F">
            <w:pPr>
              <w:rPr>
                <w:rFonts w:ascii="宋体"/>
                <w:vanish/>
              </w:rPr>
            </w:pPr>
          </w:p>
        </w:tc>
      </w:tr>
      <w:tr w:rsidR="00980E5F" w14:paraId="392C5E86" w14:textId="77777777">
        <w:trPr>
          <w:hidden/>
        </w:trPr>
        <w:tc>
          <w:tcPr>
            <w:tcW w:w="0" w:type="auto"/>
            <w:gridSpan w:val="3"/>
            <w:shd w:val="clear" w:color="auto" w:fill="auto"/>
            <w:vAlign w:val="bottom"/>
          </w:tcPr>
          <w:p w14:paraId="392C5E76" w14:textId="77777777" w:rsidR="00980E5F" w:rsidRDefault="00980E5F">
            <w:pPr>
              <w:rPr>
                <w:rFonts w:ascii="宋体"/>
                <w:vanish/>
              </w:rPr>
            </w:pPr>
          </w:p>
        </w:tc>
        <w:tc>
          <w:tcPr>
            <w:tcW w:w="0" w:type="auto"/>
            <w:gridSpan w:val="3"/>
            <w:shd w:val="clear" w:color="auto" w:fill="auto"/>
            <w:vAlign w:val="bottom"/>
          </w:tcPr>
          <w:p w14:paraId="392C5E77" w14:textId="77777777" w:rsidR="00980E5F" w:rsidRDefault="00980E5F">
            <w:pPr>
              <w:rPr>
                <w:rFonts w:ascii="宋体"/>
                <w:vanish/>
              </w:rPr>
            </w:pPr>
          </w:p>
        </w:tc>
        <w:tc>
          <w:tcPr>
            <w:tcW w:w="0" w:type="auto"/>
            <w:gridSpan w:val="3"/>
            <w:shd w:val="clear" w:color="auto" w:fill="auto"/>
            <w:vAlign w:val="bottom"/>
          </w:tcPr>
          <w:p w14:paraId="392C5E78" w14:textId="77777777" w:rsidR="00980E5F" w:rsidRDefault="00980E5F">
            <w:pPr>
              <w:rPr>
                <w:rFonts w:ascii="宋体"/>
                <w:vanish/>
              </w:rPr>
            </w:pPr>
          </w:p>
        </w:tc>
        <w:tc>
          <w:tcPr>
            <w:tcW w:w="0" w:type="auto"/>
            <w:gridSpan w:val="3"/>
            <w:shd w:val="clear" w:color="auto" w:fill="auto"/>
            <w:vAlign w:val="bottom"/>
          </w:tcPr>
          <w:p w14:paraId="392C5E79" w14:textId="77777777" w:rsidR="00980E5F" w:rsidRDefault="00980E5F">
            <w:pPr>
              <w:rPr>
                <w:rFonts w:ascii="宋体"/>
                <w:vanish/>
              </w:rPr>
            </w:pPr>
          </w:p>
        </w:tc>
        <w:tc>
          <w:tcPr>
            <w:tcW w:w="0" w:type="auto"/>
            <w:gridSpan w:val="3"/>
            <w:shd w:val="clear" w:color="auto" w:fill="auto"/>
            <w:vAlign w:val="bottom"/>
          </w:tcPr>
          <w:p w14:paraId="392C5E7A" w14:textId="77777777" w:rsidR="00980E5F" w:rsidRDefault="00980E5F">
            <w:pPr>
              <w:rPr>
                <w:rFonts w:ascii="宋体"/>
                <w:vanish/>
              </w:rPr>
            </w:pPr>
          </w:p>
        </w:tc>
        <w:tc>
          <w:tcPr>
            <w:tcW w:w="0" w:type="auto"/>
            <w:gridSpan w:val="3"/>
            <w:shd w:val="clear" w:color="auto" w:fill="auto"/>
            <w:vAlign w:val="bottom"/>
          </w:tcPr>
          <w:p w14:paraId="392C5E7B" w14:textId="77777777" w:rsidR="00980E5F" w:rsidRDefault="00980E5F">
            <w:pPr>
              <w:rPr>
                <w:rFonts w:ascii="宋体"/>
                <w:vanish/>
              </w:rPr>
            </w:pPr>
          </w:p>
        </w:tc>
        <w:tc>
          <w:tcPr>
            <w:tcW w:w="0" w:type="auto"/>
            <w:gridSpan w:val="3"/>
            <w:shd w:val="clear" w:color="auto" w:fill="auto"/>
            <w:vAlign w:val="bottom"/>
          </w:tcPr>
          <w:p w14:paraId="392C5E7C" w14:textId="77777777" w:rsidR="00980E5F" w:rsidRDefault="00980E5F">
            <w:pPr>
              <w:rPr>
                <w:rFonts w:ascii="宋体"/>
                <w:vanish/>
              </w:rPr>
            </w:pPr>
          </w:p>
        </w:tc>
        <w:tc>
          <w:tcPr>
            <w:tcW w:w="0" w:type="auto"/>
            <w:gridSpan w:val="3"/>
            <w:shd w:val="clear" w:color="auto" w:fill="auto"/>
            <w:vAlign w:val="bottom"/>
          </w:tcPr>
          <w:p w14:paraId="392C5E7D" w14:textId="77777777" w:rsidR="00980E5F" w:rsidRDefault="00980E5F">
            <w:pPr>
              <w:rPr>
                <w:rFonts w:ascii="宋体"/>
                <w:vanish/>
              </w:rPr>
            </w:pPr>
          </w:p>
        </w:tc>
        <w:tc>
          <w:tcPr>
            <w:tcW w:w="0" w:type="auto"/>
            <w:gridSpan w:val="3"/>
            <w:shd w:val="clear" w:color="auto" w:fill="auto"/>
            <w:vAlign w:val="bottom"/>
          </w:tcPr>
          <w:p w14:paraId="392C5E7E" w14:textId="77777777" w:rsidR="00980E5F" w:rsidRDefault="00980E5F">
            <w:pPr>
              <w:rPr>
                <w:rFonts w:ascii="宋体"/>
                <w:vanish/>
              </w:rPr>
            </w:pPr>
          </w:p>
        </w:tc>
        <w:tc>
          <w:tcPr>
            <w:tcW w:w="0" w:type="auto"/>
            <w:gridSpan w:val="3"/>
            <w:shd w:val="clear" w:color="auto" w:fill="auto"/>
            <w:vAlign w:val="bottom"/>
          </w:tcPr>
          <w:p w14:paraId="392C5E7F" w14:textId="77777777" w:rsidR="00980E5F" w:rsidRDefault="00980E5F">
            <w:pPr>
              <w:rPr>
                <w:rFonts w:ascii="宋体"/>
                <w:vanish/>
              </w:rPr>
            </w:pPr>
          </w:p>
        </w:tc>
        <w:tc>
          <w:tcPr>
            <w:tcW w:w="0" w:type="auto"/>
            <w:gridSpan w:val="3"/>
            <w:shd w:val="clear" w:color="auto" w:fill="auto"/>
            <w:vAlign w:val="bottom"/>
          </w:tcPr>
          <w:p w14:paraId="392C5E80" w14:textId="77777777" w:rsidR="00980E5F" w:rsidRDefault="00980E5F">
            <w:pPr>
              <w:rPr>
                <w:rFonts w:ascii="宋体"/>
                <w:vanish/>
              </w:rPr>
            </w:pPr>
          </w:p>
        </w:tc>
        <w:tc>
          <w:tcPr>
            <w:tcW w:w="0" w:type="auto"/>
            <w:gridSpan w:val="3"/>
            <w:shd w:val="clear" w:color="auto" w:fill="auto"/>
            <w:vAlign w:val="bottom"/>
          </w:tcPr>
          <w:p w14:paraId="392C5E81" w14:textId="77777777" w:rsidR="00980E5F" w:rsidRDefault="00980E5F">
            <w:pPr>
              <w:rPr>
                <w:rFonts w:ascii="宋体"/>
                <w:vanish/>
              </w:rPr>
            </w:pPr>
          </w:p>
        </w:tc>
        <w:tc>
          <w:tcPr>
            <w:tcW w:w="0" w:type="auto"/>
            <w:gridSpan w:val="3"/>
            <w:shd w:val="clear" w:color="auto" w:fill="auto"/>
            <w:vAlign w:val="bottom"/>
          </w:tcPr>
          <w:p w14:paraId="392C5E82" w14:textId="77777777" w:rsidR="00980E5F" w:rsidRDefault="00980E5F">
            <w:pPr>
              <w:rPr>
                <w:rFonts w:ascii="宋体"/>
                <w:vanish/>
              </w:rPr>
            </w:pPr>
          </w:p>
        </w:tc>
        <w:tc>
          <w:tcPr>
            <w:tcW w:w="0" w:type="auto"/>
            <w:gridSpan w:val="3"/>
            <w:shd w:val="clear" w:color="auto" w:fill="auto"/>
            <w:vAlign w:val="bottom"/>
          </w:tcPr>
          <w:p w14:paraId="392C5E83" w14:textId="77777777" w:rsidR="00980E5F" w:rsidRDefault="00980E5F">
            <w:pPr>
              <w:rPr>
                <w:rFonts w:ascii="宋体"/>
                <w:vanish/>
              </w:rPr>
            </w:pPr>
          </w:p>
        </w:tc>
        <w:tc>
          <w:tcPr>
            <w:tcW w:w="0" w:type="auto"/>
            <w:gridSpan w:val="3"/>
            <w:shd w:val="clear" w:color="auto" w:fill="auto"/>
            <w:vAlign w:val="bottom"/>
          </w:tcPr>
          <w:p w14:paraId="392C5E84" w14:textId="77777777" w:rsidR="00980E5F" w:rsidRDefault="00980E5F">
            <w:pPr>
              <w:rPr>
                <w:rFonts w:ascii="宋体"/>
                <w:vanish/>
              </w:rPr>
            </w:pPr>
          </w:p>
        </w:tc>
        <w:tc>
          <w:tcPr>
            <w:tcW w:w="0" w:type="auto"/>
            <w:gridSpan w:val="3"/>
            <w:shd w:val="clear" w:color="auto" w:fill="auto"/>
            <w:vAlign w:val="bottom"/>
          </w:tcPr>
          <w:p w14:paraId="392C5E85" w14:textId="77777777" w:rsidR="00980E5F" w:rsidRDefault="00980E5F">
            <w:pPr>
              <w:rPr>
                <w:rFonts w:ascii="宋体"/>
                <w:vanish/>
              </w:rPr>
            </w:pPr>
          </w:p>
        </w:tc>
      </w:tr>
      <w:tr w:rsidR="00980E5F" w14:paraId="392C5E97" w14:textId="77777777">
        <w:trPr>
          <w:hidden/>
        </w:trPr>
        <w:tc>
          <w:tcPr>
            <w:tcW w:w="0" w:type="auto"/>
            <w:gridSpan w:val="3"/>
            <w:shd w:val="clear" w:color="auto" w:fill="auto"/>
            <w:vAlign w:val="bottom"/>
          </w:tcPr>
          <w:p w14:paraId="392C5E87" w14:textId="77777777" w:rsidR="00980E5F" w:rsidRDefault="00980E5F">
            <w:pPr>
              <w:rPr>
                <w:rFonts w:ascii="宋体"/>
                <w:vanish/>
              </w:rPr>
            </w:pPr>
          </w:p>
        </w:tc>
        <w:tc>
          <w:tcPr>
            <w:tcW w:w="0" w:type="auto"/>
            <w:gridSpan w:val="3"/>
            <w:shd w:val="clear" w:color="auto" w:fill="auto"/>
            <w:vAlign w:val="bottom"/>
          </w:tcPr>
          <w:p w14:paraId="392C5E88" w14:textId="77777777" w:rsidR="00980E5F" w:rsidRDefault="00980E5F">
            <w:pPr>
              <w:rPr>
                <w:rFonts w:ascii="宋体"/>
                <w:vanish/>
              </w:rPr>
            </w:pPr>
          </w:p>
        </w:tc>
        <w:tc>
          <w:tcPr>
            <w:tcW w:w="0" w:type="auto"/>
            <w:gridSpan w:val="3"/>
            <w:shd w:val="clear" w:color="auto" w:fill="auto"/>
            <w:vAlign w:val="bottom"/>
          </w:tcPr>
          <w:p w14:paraId="392C5E89" w14:textId="77777777" w:rsidR="00980E5F" w:rsidRDefault="00980E5F">
            <w:pPr>
              <w:rPr>
                <w:rFonts w:ascii="宋体"/>
                <w:vanish/>
              </w:rPr>
            </w:pPr>
          </w:p>
        </w:tc>
        <w:tc>
          <w:tcPr>
            <w:tcW w:w="0" w:type="auto"/>
            <w:gridSpan w:val="3"/>
            <w:shd w:val="clear" w:color="auto" w:fill="auto"/>
            <w:vAlign w:val="bottom"/>
          </w:tcPr>
          <w:p w14:paraId="392C5E8A" w14:textId="77777777" w:rsidR="00980E5F" w:rsidRDefault="00980E5F">
            <w:pPr>
              <w:rPr>
                <w:rFonts w:ascii="宋体"/>
                <w:vanish/>
              </w:rPr>
            </w:pPr>
          </w:p>
        </w:tc>
        <w:tc>
          <w:tcPr>
            <w:tcW w:w="0" w:type="auto"/>
            <w:gridSpan w:val="3"/>
            <w:shd w:val="clear" w:color="auto" w:fill="auto"/>
            <w:vAlign w:val="bottom"/>
          </w:tcPr>
          <w:p w14:paraId="392C5E8B" w14:textId="77777777" w:rsidR="00980E5F" w:rsidRDefault="00980E5F">
            <w:pPr>
              <w:rPr>
                <w:rFonts w:ascii="宋体"/>
                <w:vanish/>
              </w:rPr>
            </w:pPr>
          </w:p>
        </w:tc>
        <w:tc>
          <w:tcPr>
            <w:tcW w:w="0" w:type="auto"/>
            <w:gridSpan w:val="3"/>
            <w:shd w:val="clear" w:color="auto" w:fill="auto"/>
            <w:vAlign w:val="bottom"/>
          </w:tcPr>
          <w:p w14:paraId="392C5E8C" w14:textId="77777777" w:rsidR="00980E5F" w:rsidRDefault="00980E5F">
            <w:pPr>
              <w:rPr>
                <w:rFonts w:ascii="宋体"/>
                <w:vanish/>
              </w:rPr>
            </w:pPr>
          </w:p>
        </w:tc>
        <w:tc>
          <w:tcPr>
            <w:tcW w:w="0" w:type="auto"/>
            <w:gridSpan w:val="3"/>
            <w:shd w:val="clear" w:color="auto" w:fill="auto"/>
            <w:vAlign w:val="bottom"/>
          </w:tcPr>
          <w:p w14:paraId="392C5E8D" w14:textId="77777777" w:rsidR="00980E5F" w:rsidRDefault="00980E5F">
            <w:pPr>
              <w:rPr>
                <w:rFonts w:ascii="宋体"/>
                <w:vanish/>
              </w:rPr>
            </w:pPr>
          </w:p>
        </w:tc>
        <w:tc>
          <w:tcPr>
            <w:tcW w:w="0" w:type="auto"/>
            <w:gridSpan w:val="3"/>
            <w:shd w:val="clear" w:color="auto" w:fill="auto"/>
            <w:vAlign w:val="bottom"/>
          </w:tcPr>
          <w:p w14:paraId="392C5E8E" w14:textId="77777777" w:rsidR="00980E5F" w:rsidRDefault="00980E5F">
            <w:pPr>
              <w:rPr>
                <w:rFonts w:ascii="宋体"/>
                <w:vanish/>
              </w:rPr>
            </w:pPr>
          </w:p>
        </w:tc>
        <w:tc>
          <w:tcPr>
            <w:tcW w:w="0" w:type="auto"/>
            <w:gridSpan w:val="3"/>
            <w:shd w:val="clear" w:color="auto" w:fill="auto"/>
            <w:vAlign w:val="bottom"/>
          </w:tcPr>
          <w:p w14:paraId="392C5E8F" w14:textId="77777777" w:rsidR="00980E5F" w:rsidRDefault="00980E5F">
            <w:pPr>
              <w:rPr>
                <w:rFonts w:ascii="宋体"/>
                <w:vanish/>
              </w:rPr>
            </w:pPr>
          </w:p>
        </w:tc>
        <w:tc>
          <w:tcPr>
            <w:tcW w:w="0" w:type="auto"/>
            <w:gridSpan w:val="3"/>
            <w:shd w:val="clear" w:color="auto" w:fill="auto"/>
            <w:vAlign w:val="bottom"/>
          </w:tcPr>
          <w:p w14:paraId="392C5E90" w14:textId="77777777" w:rsidR="00980E5F" w:rsidRDefault="00980E5F">
            <w:pPr>
              <w:rPr>
                <w:rFonts w:ascii="宋体"/>
                <w:vanish/>
              </w:rPr>
            </w:pPr>
          </w:p>
        </w:tc>
        <w:tc>
          <w:tcPr>
            <w:tcW w:w="0" w:type="auto"/>
            <w:gridSpan w:val="3"/>
            <w:shd w:val="clear" w:color="auto" w:fill="auto"/>
            <w:vAlign w:val="bottom"/>
          </w:tcPr>
          <w:p w14:paraId="392C5E91" w14:textId="77777777" w:rsidR="00980E5F" w:rsidRDefault="00980E5F">
            <w:pPr>
              <w:rPr>
                <w:rFonts w:ascii="宋体"/>
                <w:vanish/>
              </w:rPr>
            </w:pPr>
          </w:p>
        </w:tc>
        <w:tc>
          <w:tcPr>
            <w:tcW w:w="0" w:type="auto"/>
            <w:gridSpan w:val="3"/>
            <w:shd w:val="clear" w:color="auto" w:fill="auto"/>
            <w:vAlign w:val="bottom"/>
          </w:tcPr>
          <w:p w14:paraId="392C5E92" w14:textId="77777777" w:rsidR="00980E5F" w:rsidRDefault="00980E5F">
            <w:pPr>
              <w:rPr>
                <w:rFonts w:ascii="宋体"/>
                <w:vanish/>
              </w:rPr>
            </w:pPr>
          </w:p>
        </w:tc>
        <w:tc>
          <w:tcPr>
            <w:tcW w:w="0" w:type="auto"/>
            <w:gridSpan w:val="3"/>
            <w:shd w:val="clear" w:color="auto" w:fill="auto"/>
            <w:vAlign w:val="bottom"/>
          </w:tcPr>
          <w:p w14:paraId="392C5E93" w14:textId="77777777" w:rsidR="00980E5F" w:rsidRDefault="00980E5F">
            <w:pPr>
              <w:rPr>
                <w:rFonts w:ascii="宋体"/>
                <w:vanish/>
              </w:rPr>
            </w:pPr>
          </w:p>
        </w:tc>
        <w:tc>
          <w:tcPr>
            <w:tcW w:w="0" w:type="auto"/>
            <w:gridSpan w:val="3"/>
            <w:shd w:val="clear" w:color="auto" w:fill="auto"/>
            <w:vAlign w:val="bottom"/>
          </w:tcPr>
          <w:p w14:paraId="392C5E94" w14:textId="77777777" w:rsidR="00980E5F" w:rsidRDefault="00980E5F">
            <w:pPr>
              <w:rPr>
                <w:rFonts w:ascii="宋体"/>
                <w:vanish/>
              </w:rPr>
            </w:pPr>
          </w:p>
        </w:tc>
        <w:tc>
          <w:tcPr>
            <w:tcW w:w="0" w:type="auto"/>
            <w:gridSpan w:val="3"/>
            <w:shd w:val="clear" w:color="auto" w:fill="auto"/>
            <w:vAlign w:val="bottom"/>
          </w:tcPr>
          <w:p w14:paraId="392C5E95" w14:textId="77777777" w:rsidR="00980E5F" w:rsidRDefault="00980E5F">
            <w:pPr>
              <w:rPr>
                <w:rFonts w:ascii="宋体"/>
                <w:vanish/>
              </w:rPr>
            </w:pPr>
          </w:p>
        </w:tc>
        <w:tc>
          <w:tcPr>
            <w:tcW w:w="0" w:type="auto"/>
            <w:gridSpan w:val="3"/>
            <w:shd w:val="clear" w:color="auto" w:fill="auto"/>
            <w:vAlign w:val="bottom"/>
          </w:tcPr>
          <w:p w14:paraId="392C5E96" w14:textId="77777777" w:rsidR="00980E5F" w:rsidRDefault="00980E5F">
            <w:pPr>
              <w:rPr>
                <w:rFonts w:ascii="宋体"/>
                <w:vanish/>
              </w:rPr>
            </w:pPr>
          </w:p>
        </w:tc>
      </w:tr>
      <w:tr w:rsidR="00980E5F" w14:paraId="392C5EA8" w14:textId="77777777">
        <w:trPr>
          <w:hidden/>
        </w:trPr>
        <w:tc>
          <w:tcPr>
            <w:tcW w:w="0" w:type="auto"/>
            <w:gridSpan w:val="3"/>
            <w:shd w:val="clear" w:color="auto" w:fill="auto"/>
            <w:vAlign w:val="bottom"/>
          </w:tcPr>
          <w:p w14:paraId="392C5E98" w14:textId="77777777" w:rsidR="00980E5F" w:rsidRDefault="00980E5F">
            <w:pPr>
              <w:rPr>
                <w:rFonts w:ascii="宋体"/>
                <w:vanish/>
              </w:rPr>
            </w:pPr>
          </w:p>
        </w:tc>
        <w:tc>
          <w:tcPr>
            <w:tcW w:w="0" w:type="auto"/>
            <w:gridSpan w:val="3"/>
            <w:shd w:val="clear" w:color="auto" w:fill="auto"/>
            <w:vAlign w:val="bottom"/>
          </w:tcPr>
          <w:p w14:paraId="392C5E99" w14:textId="77777777" w:rsidR="00980E5F" w:rsidRDefault="00980E5F">
            <w:pPr>
              <w:rPr>
                <w:rFonts w:ascii="宋体"/>
                <w:vanish/>
              </w:rPr>
            </w:pPr>
          </w:p>
        </w:tc>
        <w:tc>
          <w:tcPr>
            <w:tcW w:w="0" w:type="auto"/>
            <w:gridSpan w:val="3"/>
            <w:shd w:val="clear" w:color="auto" w:fill="auto"/>
            <w:vAlign w:val="bottom"/>
          </w:tcPr>
          <w:p w14:paraId="392C5E9A" w14:textId="77777777" w:rsidR="00980E5F" w:rsidRDefault="00980E5F">
            <w:pPr>
              <w:rPr>
                <w:rFonts w:ascii="宋体"/>
                <w:vanish/>
              </w:rPr>
            </w:pPr>
          </w:p>
        </w:tc>
        <w:tc>
          <w:tcPr>
            <w:tcW w:w="0" w:type="auto"/>
            <w:gridSpan w:val="3"/>
            <w:shd w:val="clear" w:color="auto" w:fill="auto"/>
            <w:vAlign w:val="bottom"/>
          </w:tcPr>
          <w:p w14:paraId="392C5E9B" w14:textId="77777777" w:rsidR="00980E5F" w:rsidRDefault="00980E5F">
            <w:pPr>
              <w:rPr>
                <w:rFonts w:ascii="宋体"/>
                <w:vanish/>
              </w:rPr>
            </w:pPr>
          </w:p>
        </w:tc>
        <w:tc>
          <w:tcPr>
            <w:tcW w:w="0" w:type="auto"/>
            <w:gridSpan w:val="3"/>
            <w:shd w:val="clear" w:color="auto" w:fill="auto"/>
            <w:vAlign w:val="bottom"/>
          </w:tcPr>
          <w:p w14:paraId="392C5E9C" w14:textId="77777777" w:rsidR="00980E5F" w:rsidRDefault="00980E5F">
            <w:pPr>
              <w:rPr>
                <w:rFonts w:ascii="宋体"/>
                <w:vanish/>
              </w:rPr>
            </w:pPr>
          </w:p>
        </w:tc>
        <w:tc>
          <w:tcPr>
            <w:tcW w:w="0" w:type="auto"/>
            <w:gridSpan w:val="3"/>
            <w:shd w:val="clear" w:color="auto" w:fill="auto"/>
            <w:vAlign w:val="bottom"/>
          </w:tcPr>
          <w:p w14:paraId="392C5E9D" w14:textId="77777777" w:rsidR="00980E5F" w:rsidRDefault="00980E5F">
            <w:pPr>
              <w:rPr>
                <w:rFonts w:ascii="宋体"/>
                <w:vanish/>
              </w:rPr>
            </w:pPr>
          </w:p>
        </w:tc>
        <w:tc>
          <w:tcPr>
            <w:tcW w:w="0" w:type="auto"/>
            <w:gridSpan w:val="3"/>
            <w:shd w:val="clear" w:color="auto" w:fill="auto"/>
            <w:vAlign w:val="bottom"/>
          </w:tcPr>
          <w:p w14:paraId="392C5E9E" w14:textId="77777777" w:rsidR="00980E5F" w:rsidRDefault="00980E5F">
            <w:pPr>
              <w:rPr>
                <w:rFonts w:ascii="宋体"/>
                <w:vanish/>
              </w:rPr>
            </w:pPr>
          </w:p>
        </w:tc>
        <w:tc>
          <w:tcPr>
            <w:tcW w:w="0" w:type="auto"/>
            <w:gridSpan w:val="3"/>
            <w:shd w:val="clear" w:color="auto" w:fill="auto"/>
            <w:vAlign w:val="bottom"/>
          </w:tcPr>
          <w:p w14:paraId="392C5E9F" w14:textId="77777777" w:rsidR="00980E5F" w:rsidRDefault="00980E5F">
            <w:pPr>
              <w:rPr>
                <w:rFonts w:ascii="宋体"/>
                <w:vanish/>
              </w:rPr>
            </w:pPr>
          </w:p>
        </w:tc>
        <w:tc>
          <w:tcPr>
            <w:tcW w:w="0" w:type="auto"/>
            <w:gridSpan w:val="3"/>
            <w:shd w:val="clear" w:color="auto" w:fill="auto"/>
            <w:vAlign w:val="bottom"/>
          </w:tcPr>
          <w:p w14:paraId="392C5EA0" w14:textId="77777777" w:rsidR="00980E5F" w:rsidRDefault="00980E5F">
            <w:pPr>
              <w:rPr>
                <w:rFonts w:ascii="宋体"/>
                <w:vanish/>
              </w:rPr>
            </w:pPr>
          </w:p>
        </w:tc>
        <w:tc>
          <w:tcPr>
            <w:tcW w:w="0" w:type="auto"/>
            <w:gridSpan w:val="3"/>
            <w:shd w:val="clear" w:color="auto" w:fill="auto"/>
            <w:vAlign w:val="bottom"/>
          </w:tcPr>
          <w:p w14:paraId="392C5EA1" w14:textId="77777777" w:rsidR="00980E5F" w:rsidRDefault="00980E5F">
            <w:pPr>
              <w:rPr>
                <w:rFonts w:ascii="宋体"/>
                <w:vanish/>
              </w:rPr>
            </w:pPr>
          </w:p>
        </w:tc>
        <w:tc>
          <w:tcPr>
            <w:tcW w:w="0" w:type="auto"/>
            <w:gridSpan w:val="3"/>
            <w:shd w:val="clear" w:color="auto" w:fill="auto"/>
            <w:vAlign w:val="bottom"/>
          </w:tcPr>
          <w:p w14:paraId="392C5EA2" w14:textId="77777777" w:rsidR="00980E5F" w:rsidRDefault="00980E5F">
            <w:pPr>
              <w:rPr>
                <w:rFonts w:ascii="宋体"/>
                <w:vanish/>
              </w:rPr>
            </w:pPr>
          </w:p>
        </w:tc>
        <w:tc>
          <w:tcPr>
            <w:tcW w:w="0" w:type="auto"/>
            <w:gridSpan w:val="3"/>
            <w:shd w:val="clear" w:color="auto" w:fill="auto"/>
            <w:vAlign w:val="bottom"/>
          </w:tcPr>
          <w:p w14:paraId="392C5EA3" w14:textId="77777777" w:rsidR="00980E5F" w:rsidRDefault="00980E5F">
            <w:pPr>
              <w:rPr>
                <w:rFonts w:ascii="宋体"/>
                <w:vanish/>
              </w:rPr>
            </w:pPr>
          </w:p>
        </w:tc>
        <w:tc>
          <w:tcPr>
            <w:tcW w:w="0" w:type="auto"/>
            <w:gridSpan w:val="3"/>
            <w:shd w:val="clear" w:color="auto" w:fill="auto"/>
            <w:vAlign w:val="bottom"/>
          </w:tcPr>
          <w:p w14:paraId="392C5EA4" w14:textId="77777777" w:rsidR="00980E5F" w:rsidRDefault="00980E5F">
            <w:pPr>
              <w:rPr>
                <w:rFonts w:ascii="宋体"/>
                <w:vanish/>
              </w:rPr>
            </w:pPr>
          </w:p>
        </w:tc>
        <w:tc>
          <w:tcPr>
            <w:tcW w:w="0" w:type="auto"/>
            <w:gridSpan w:val="3"/>
            <w:shd w:val="clear" w:color="auto" w:fill="auto"/>
            <w:vAlign w:val="bottom"/>
          </w:tcPr>
          <w:p w14:paraId="392C5EA5" w14:textId="77777777" w:rsidR="00980E5F" w:rsidRDefault="00980E5F">
            <w:pPr>
              <w:rPr>
                <w:rFonts w:ascii="宋体"/>
                <w:vanish/>
              </w:rPr>
            </w:pPr>
          </w:p>
        </w:tc>
        <w:tc>
          <w:tcPr>
            <w:tcW w:w="0" w:type="auto"/>
            <w:gridSpan w:val="3"/>
            <w:shd w:val="clear" w:color="auto" w:fill="auto"/>
            <w:vAlign w:val="bottom"/>
          </w:tcPr>
          <w:p w14:paraId="392C5EA6" w14:textId="77777777" w:rsidR="00980E5F" w:rsidRDefault="00980E5F">
            <w:pPr>
              <w:rPr>
                <w:rFonts w:ascii="宋体"/>
                <w:vanish/>
              </w:rPr>
            </w:pPr>
          </w:p>
        </w:tc>
        <w:tc>
          <w:tcPr>
            <w:tcW w:w="0" w:type="auto"/>
            <w:gridSpan w:val="3"/>
            <w:shd w:val="clear" w:color="auto" w:fill="auto"/>
            <w:vAlign w:val="bottom"/>
          </w:tcPr>
          <w:p w14:paraId="392C5EA7" w14:textId="77777777" w:rsidR="00980E5F" w:rsidRDefault="00980E5F">
            <w:pPr>
              <w:rPr>
                <w:rFonts w:ascii="宋体"/>
                <w:vanish/>
              </w:rPr>
            </w:pPr>
          </w:p>
        </w:tc>
      </w:tr>
      <w:tr w:rsidR="00980E5F" w14:paraId="392C5EB9" w14:textId="77777777">
        <w:trPr>
          <w:hidden/>
        </w:trPr>
        <w:tc>
          <w:tcPr>
            <w:tcW w:w="0" w:type="auto"/>
            <w:gridSpan w:val="3"/>
            <w:shd w:val="clear" w:color="auto" w:fill="auto"/>
            <w:vAlign w:val="bottom"/>
          </w:tcPr>
          <w:p w14:paraId="392C5EA9" w14:textId="77777777" w:rsidR="00980E5F" w:rsidRDefault="00980E5F">
            <w:pPr>
              <w:rPr>
                <w:rFonts w:ascii="宋体"/>
                <w:vanish/>
              </w:rPr>
            </w:pPr>
          </w:p>
        </w:tc>
        <w:tc>
          <w:tcPr>
            <w:tcW w:w="0" w:type="auto"/>
            <w:gridSpan w:val="3"/>
            <w:shd w:val="clear" w:color="auto" w:fill="auto"/>
            <w:vAlign w:val="bottom"/>
          </w:tcPr>
          <w:p w14:paraId="392C5EAA" w14:textId="77777777" w:rsidR="00980E5F" w:rsidRDefault="00980E5F">
            <w:pPr>
              <w:rPr>
                <w:rFonts w:ascii="宋体"/>
                <w:vanish/>
              </w:rPr>
            </w:pPr>
          </w:p>
        </w:tc>
        <w:tc>
          <w:tcPr>
            <w:tcW w:w="0" w:type="auto"/>
            <w:gridSpan w:val="3"/>
            <w:shd w:val="clear" w:color="auto" w:fill="auto"/>
            <w:vAlign w:val="bottom"/>
          </w:tcPr>
          <w:p w14:paraId="392C5EAB" w14:textId="77777777" w:rsidR="00980E5F" w:rsidRDefault="00980E5F">
            <w:pPr>
              <w:rPr>
                <w:rFonts w:ascii="宋体"/>
                <w:vanish/>
              </w:rPr>
            </w:pPr>
          </w:p>
        </w:tc>
        <w:tc>
          <w:tcPr>
            <w:tcW w:w="0" w:type="auto"/>
            <w:gridSpan w:val="3"/>
            <w:shd w:val="clear" w:color="auto" w:fill="auto"/>
            <w:vAlign w:val="bottom"/>
          </w:tcPr>
          <w:p w14:paraId="392C5EAC" w14:textId="77777777" w:rsidR="00980E5F" w:rsidRDefault="00980E5F">
            <w:pPr>
              <w:rPr>
                <w:rFonts w:ascii="宋体"/>
                <w:vanish/>
              </w:rPr>
            </w:pPr>
          </w:p>
        </w:tc>
        <w:tc>
          <w:tcPr>
            <w:tcW w:w="0" w:type="auto"/>
            <w:gridSpan w:val="3"/>
            <w:shd w:val="clear" w:color="auto" w:fill="auto"/>
            <w:vAlign w:val="bottom"/>
          </w:tcPr>
          <w:p w14:paraId="392C5EAD" w14:textId="77777777" w:rsidR="00980E5F" w:rsidRDefault="00980E5F">
            <w:pPr>
              <w:rPr>
                <w:rFonts w:ascii="宋体"/>
                <w:vanish/>
              </w:rPr>
            </w:pPr>
          </w:p>
        </w:tc>
        <w:tc>
          <w:tcPr>
            <w:tcW w:w="0" w:type="auto"/>
            <w:gridSpan w:val="3"/>
            <w:shd w:val="clear" w:color="auto" w:fill="auto"/>
            <w:vAlign w:val="bottom"/>
          </w:tcPr>
          <w:p w14:paraId="392C5EAE" w14:textId="77777777" w:rsidR="00980E5F" w:rsidRDefault="00980E5F">
            <w:pPr>
              <w:rPr>
                <w:rFonts w:ascii="宋体"/>
                <w:vanish/>
              </w:rPr>
            </w:pPr>
          </w:p>
        </w:tc>
        <w:tc>
          <w:tcPr>
            <w:tcW w:w="0" w:type="auto"/>
            <w:gridSpan w:val="3"/>
            <w:shd w:val="clear" w:color="auto" w:fill="auto"/>
            <w:vAlign w:val="bottom"/>
          </w:tcPr>
          <w:p w14:paraId="392C5EAF" w14:textId="77777777" w:rsidR="00980E5F" w:rsidRDefault="00980E5F">
            <w:pPr>
              <w:rPr>
                <w:rFonts w:ascii="宋体"/>
                <w:vanish/>
              </w:rPr>
            </w:pPr>
          </w:p>
        </w:tc>
        <w:tc>
          <w:tcPr>
            <w:tcW w:w="0" w:type="auto"/>
            <w:gridSpan w:val="3"/>
            <w:shd w:val="clear" w:color="auto" w:fill="auto"/>
            <w:vAlign w:val="bottom"/>
          </w:tcPr>
          <w:p w14:paraId="392C5EB0" w14:textId="77777777" w:rsidR="00980E5F" w:rsidRDefault="00980E5F">
            <w:pPr>
              <w:rPr>
                <w:rFonts w:ascii="宋体"/>
                <w:vanish/>
              </w:rPr>
            </w:pPr>
          </w:p>
        </w:tc>
        <w:tc>
          <w:tcPr>
            <w:tcW w:w="0" w:type="auto"/>
            <w:gridSpan w:val="3"/>
            <w:shd w:val="clear" w:color="auto" w:fill="auto"/>
            <w:vAlign w:val="bottom"/>
          </w:tcPr>
          <w:p w14:paraId="392C5EB1" w14:textId="77777777" w:rsidR="00980E5F" w:rsidRDefault="00980E5F">
            <w:pPr>
              <w:rPr>
                <w:rFonts w:ascii="宋体"/>
                <w:vanish/>
              </w:rPr>
            </w:pPr>
          </w:p>
        </w:tc>
        <w:tc>
          <w:tcPr>
            <w:tcW w:w="0" w:type="auto"/>
            <w:gridSpan w:val="3"/>
            <w:shd w:val="clear" w:color="auto" w:fill="auto"/>
            <w:vAlign w:val="bottom"/>
          </w:tcPr>
          <w:p w14:paraId="392C5EB2" w14:textId="77777777" w:rsidR="00980E5F" w:rsidRDefault="00980E5F">
            <w:pPr>
              <w:rPr>
                <w:rFonts w:ascii="宋体"/>
                <w:vanish/>
              </w:rPr>
            </w:pPr>
          </w:p>
        </w:tc>
        <w:tc>
          <w:tcPr>
            <w:tcW w:w="0" w:type="auto"/>
            <w:gridSpan w:val="3"/>
            <w:shd w:val="clear" w:color="auto" w:fill="auto"/>
            <w:vAlign w:val="bottom"/>
          </w:tcPr>
          <w:p w14:paraId="392C5EB3" w14:textId="77777777" w:rsidR="00980E5F" w:rsidRDefault="00980E5F">
            <w:pPr>
              <w:rPr>
                <w:rFonts w:ascii="宋体"/>
                <w:vanish/>
              </w:rPr>
            </w:pPr>
          </w:p>
        </w:tc>
        <w:tc>
          <w:tcPr>
            <w:tcW w:w="0" w:type="auto"/>
            <w:gridSpan w:val="3"/>
            <w:shd w:val="clear" w:color="auto" w:fill="auto"/>
            <w:vAlign w:val="bottom"/>
          </w:tcPr>
          <w:p w14:paraId="392C5EB4" w14:textId="77777777" w:rsidR="00980E5F" w:rsidRDefault="00980E5F">
            <w:pPr>
              <w:rPr>
                <w:rFonts w:ascii="宋体"/>
                <w:vanish/>
              </w:rPr>
            </w:pPr>
          </w:p>
        </w:tc>
        <w:tc>
          <w:tcPr>
            <w:tcW w:w="0" w:type="auto"/>
            <w:gridSpan w:val="3"/>
            <w:shd w:val="clear" w:color="auto" w:fill="auto"/>
            <w:vAlign w:val="bottom"/>
          </w:tcPr>
          <w:p w14:paraId="392C5EB5" w14:textId="77777777" w:rsidR="00980E5F" w:rsidRDefault="00980E5F">
            <w:pPr>
              <w:rPr>
                <w:rFonts w:ascii="宋体"/>
                <w:vanish/>
              </w:rPr>
            </w:pPr>
          </w:p>
        </w:tc>
        <w:tc>
          <w:tcPr>
            <w:tcW w:w="0" w:type="auto"/>
            <w:gridSpan w:val="3"/>
            <w:shd w:val="clear" w:color="auto" w:fill="auto"/>
            <w:vAlign w:val="bottom"/>
          </w:tcPr>
          <w:p w14:paraId="392C5EB6" w14:textId="77777777" w:rsidR="00980E5F" w:rsidRDefault="00980E5F">
            <w:pPr>
              <w:rPr>
                <w:rFonts w:ascii="宋体"/>
                <w:vanish/>
              </w:rPr>
            </w:pPr>
          </w:p>
        </w:tc>
        <w:tc>
          <w:tcPr>
            <w:tcW w:w="0" w:type="auto"/>
            <w:gridSpan w:val="3"/>
            <w:shd w:val="clear" w:color="auto" w:fill="auto"/>
            <w:vAlign w:val="bottom"/>
          </w:tcPr>
          <w:p w14:paraId="392C5EB7" w14:textId="77777777" w:rsidR="00980E5F" w:rsidRDefault="00980E5F">
            <w:pPr>
              <w:rPr>
                <w:rFonts w:ascii="宋体"/>
                <w:vanish/>
              </w:rPr>
            </w:pPr>
          </w:p>
        </w:tc>
        <w:tc>
          <w:tcPr>
            <w:tcW w:w="0" w:type="auto"/>
            <w:gridSpan w:val="3"/>
            <w:shd w:val="clear" w:color="auto" w:fill="auto"/>
            <w:vAlign w:val="bottom"/>
          </w:tcPr>
          <w:p w14:paraId="392C5EB8" w14:textId="77777777" w:rsidR="00980E5F" w:rsidRDefault="00980E5F">
            <w:pPr>
              <w:rPr>
                <w:rFonts w:ascii="宋体"/>
                <w:vanish/>
              </w:rPr>
            </w:pPr>
          </w:p>
        </w:tc>
      </w:tr>
      <w:tr w:rsidR="00980E5F" w14:paraId="392C5ECA" w14:textId="77777777">
        <w:trPr>
          <w:hidden/>
        </w:trPr>
        <w:tc>
          <w:tcPr>
            <w:tcW w:w="0" w:type="auto"/>
            <w:gridSpan w:val="3"/>
            <w:shd w:val="clear" w:color="auto" w:fill="auto"/>
            <w:vAlign w:val="bottom"/>
          </w:tcPr>
          <w:p w14:paraId="392C5EBA" w14:textId="77777777" w:rsidR="00980E5F" w:rsidRDefault="00980E5F">
            <w:pPr>
              <w:rPr>
                <w:rFonts w:ascii="宋体"/>
                <w:vanish/>
              </w:rPr>
            </w:pPr>
          </w:p>
        </w:tc>
        <w:tc>
          <w:tcPr>
            <w:tcW w:w="0" w:type="auto"/>
            <w:gridSpan w:val="3"/>
            <w:shd w:val="clear" w:color="auto" w:fill="auto"/>
            <w:vAlign w:val="bottom"/>
          </w:tcPr>
          <w:p w14:paraId="392C5EBB" w14:textId="77777777" w:rsidR="00980E5F" w:rsidRDefault="00980E5F">
            <w:pPr>
              <w:rPr>
                <w:rFonts w:ascii="宋体"/>
                <w:vanish/>
              </w:rPr>
            </w:pPr>
          </w:p>
        </w:tc>
        <w:tc>
          <w:tcPr>
            <w:tcW w:w="0" w:type="auto"/>
            <w:gridSpan w:val="3"/>
            <w:shd w:val="clear" w:color="auto" w:fill="auto"/>
            <w:vAlign w:val="bottom"/>
          </w:tcPr>
          <w:p w14:paraId="392C5EBC" w14:textId="77777777" w:rsidR="00980E5F" w:rsidRDefault="00980E5F">
            <w:pPr>
              <w:rPr>
                <w:rFonts w:ascii="宋体"/>
                <w:vanish/>
              </w:rPr>
            </w:pPr>
          </w:p>
        </w:tc>
        <w:tc>
          <w:tcPr>
            <w:tcW w:w="0" w:type="auto"/>
            <w:gridSpan w:val="3"/>
            <w:shd w:val="clear" w:color="auto" w:fill="auto"/>
            <w:vAlign w:val="bottom"/>
          </w:tcPr>
          <w:p w14:paraId="392C5EBD" w14:textId="77777777" w:rsidR="00980E5F" w:rsidRDefault="00980E5F">
            <w:pPr>
              <w:rPr>
                <w:rFonts w:ascii="宋体"/>
                <w:vanish/>
              </w:rPr>
            </w:pPr>
          </w:p>
        </w:tc>
        <w:tc>
          <w:tcPr>
            <w:tcW w:w="0" w:type="auto"/>
            <w:gridSpan w:val="3"/>
            <w:shd w:val="clear" w:color="auto" w:fill="auto"/>
            <w:vAlign w:val="bottom"/>
          </w:tcPr>
          <w:p w14:paraId="392C5EBE" w14:textId="77777777" w:rsidR="00980E5F" w:rsidRDefault="00980E5F">
            <w:pPr>
              <w:rPr>
                <w:rFonts w:ascii="宋体"/>
                <w:vanish/>
              </w:rPr>
            </w:pPr>
          </w:p>
        </w:tc>
        <w:tc>
          <w:tcPr>
            <w:tcW w:w="0" w:type="auto"/>
            <w:gridSpan w:val="3"/>
            <w:shd w:val="clear" w:color="auto" w:fill="auto"/>
            <w:vAlign w:val="bottom"/>
          </w:tcPr>
          <w:p w14:paraId="392C5EBF" w14:textId="77777777" w:rsidR="00980E5F" w:rsidRDefault="00980E5F">
            <w:pPr>
              <w:rPr>
                <w:rFonts w:ascii="宋体"/>
                <w:vanish/>
              </w:rPr>
            </w:pPr>
          </w:p>
        </w:tc>
        <w:tc>
          <w:tcPr>
            <w:tcW w:w="0" w:type="auto"/>
            <w:gridSpan w:val="3"/>
            <w:shd w:val="clear" w:color="auto" w:fill="auto"/>
            <w:vAlign w:val="bottom"/>
          </w:tcPr>
          <w:p w14:paraId="392C5EC0" w14:textId="77777777" w:rsidR="00980E5F" w:rsidRDefault="00980E5F">
            <w:pPr>
              <w:rPr>
                <w:rFonts w:ascii="宋体"/>
                <w:vanish/>
              </w:rPr>
            </w:pPr>
          </w:p>
        </w:tc>
        <w:tc>
          <w:tcPr>
            <w:tcW w:w="0" w:type="auto"/>
            <w:gridSpan w:val="3"/>
            <w:shd w:val="clear" w:color="auto" w:fill="auto"/>
            <w:vAlign w:val="bottom"/>
          </w:tcPr>
          <w:p w14:paraId="392C5EC1" w14:textId="77777777" w:rsidR="00980E5F" w:rsidRDefault="00980E5F">
            <w:pPr>
              <w:rPr>
                <w:rFonts w:ascii="宋体"/>
                <w:vanish/>
              </w:rPr>
            </w:pPr>
          </w:p>
        </w:tc>
        <w:tc>
          <w:tcPr>
            <w:tcW w:w="0" w:type="auto"/>
            <w:gridSpan w:val="3"/>
            <w:shd w:val="clear" w:color="auto" w:fill="auto"/>
            <w:vAlign w:val="bottom"/>
          </w:tcPr>
          <w:p w14:paraId="392C5EC2" w14:textId="77777777" w:rsidR="00980E5F" w:rsidRDefault="00980E5F">
            <w:pPr>
              <w:rPr>
                <w:rFonts w:ascii="宋体"/>
                <w:vanish/>
              </w:rPr>
            </w:pPr>
          </w:p>
        </w:tc>
        <w:tc>
          <w:tcPr>
            <w:tcW w:w="0" w:type="auto"/>
            <w:gridSpan w:val="3"/>
            <w:shd w:val="clear" w:color="auto" w:fill="auto"/>
            <w:vAlign w:val="bottom"/>
          </w:tcPr>
          <w:p w14:paraId="392C5EC3" w14:textId="77777777" w:rsidR="00980E5F" w:rsidRDefault="00980E5F">
            <w:pPr>
              <w:rPr>
                <w:rFonts w:ascii="宋体"/>
                <w:vanish/>
              </w:rPr>
            </w:pPr>
          </w:p>
        </w:tc>
        <w:tc>
          <w:tcPr>
            <w:tcW w:w="0" w:type="auto"/>
            <w:gridSpan w:val="3"/>
            <w:shd w:val="clear" w:color="auto" w:fill="auto"/>
            <w:vAlign w:val="bottom"/>
          </w:tcPr>
          <w:p w14:paraId="392C5EC4" w14:textId="77777777" w:rsidR="00980E5F" w:rsidRDefault="00980E5F">
            <w:pPr>
              <w:rPr>
                <w:rFonts w:ascii="宋体"/>
                <w:vanish/>
              </w:rPr>
            </w:pPr>
          </w:p>
        </w:tc>
        <w:tc>
          <w:tcPr>
            <w:tcW w:w="0" w:type="auto"/>
            <w:gridSpan w:val="3"/>
            <w:shd w:val="clear" w:color="auto" w:fill="auto"/>
            <w:vAlign w:val="bottom"/>
          </w:tcPr>
          <w:p w14:paraId="392C5EC5" w14:textId="77777777" w:rsidR="00980E5F" w:rsidRDefault="00980E5F">
            <w:pPr>
              <w:rPr>
                <w:rFonts w:ascii="宋体"/>
                <w:vanish/>
              </w:rPr>
            </w:pPr>
          </w:p>
        </w:tc>
        <w:tc>
          <w:tcPr>
            <w:tcW w:w="0" w:type="auto"/>
            <w:gridSpan w:val="3"/>
            <w:shd w:val="clear" w:color="auto" w:fill="auto"/>
            <w:vAlign w:val="bottom"/>
          </w:tcPr>
          <w:p w14:paraId="392C5EC6" w14:textId="77777777" w:rsidR="00980E5F" w:rsidRDefault="00980E5F">
            <w:pPr>
              <w:rPr>
                <w:rFonts w:ascii="宋体"/>
                <w:vanish/>
              </w:rPr>
            </w:pPr>
          </w:p>
        </w:tc>
        <w:tc>
          <w:tcPr>
            <w:tcW w:w="0" w:type="auto"/>
            <w:gridSpan w:val="3"/>
            <w:shd w:val="clear" w:color="auto" w:fill="auto"/>
            <w:vAlign w:val="bottom"/>
          </w:tcPr>
          <w:p w14:paraId="392C5EC7" w14:textId="77777777" w:rsidR="00980E5F" w:rsidRDefault="00980E5F">
            <w:pPr>
              <w:rPr>
                <w:rFonts w:ascii="宋体"/>
                <w:vanish/>
              </w:rPr>
            </w:pPr>
          </w:p>
        </w:tc>
        <w:tc>
          <w:tcPr>
            <w:tcW w:w="0" w:type="auto"/>
            <w:gridSpan w:val="3"/>
            <w:shd w:val="clear" w:color="auto" w:fill="auto"/>
            <w:vAlign w:val="bottom"/>
          </w:tcPr>
          <w:p w14:paraId="392C5EC8" w14:textId="77777777" w:rsidR="00980E5F" w:rsidRDefault="00980E5F">
            <w:pPr>
              <w:rPr>
                <w:rFonts w:ascii="宋体"/>
                <w:vanish/>
              </w:rPr>
            </w:pPr>
          </w:p>
        </w:tc>
        <w:tc>
          <w:tcPr>
            <w:tcW w:w="0" w:type="auto"/>
            <w:gridSpan w:val="3"/>
            <w:shd w:val="clear" w:color="auto" w:fill="auto"/>
            <w:vAlign w:val="bottom"/>
          </w:tcPr>
          <w:p w14:paraId="392C5EC9" w14:textId="77777777" w:rsidR="00980E5F" w:rsidRDefault="00980E5F">
            <w:pPr>
              <w:rPr>
                <w:rFonts w:ascii="宋体"/>
                <w:vanish/>
              </w:rPr>
            </w:pPr>
          </w:p>
        </w:tc>
      </w:tr>
      <w:tr w:rsidR="00980E5F" w14:paraId="392C5EE3" w14:textId="77777777">
        <w:tc>
          <w:tcPr>
            <w:tcW w:w="0" w:type="auto"/>
            <w:gridSpan w:val="3"/>
            <w:shd w:val="clear" w:color="auto" w:fill="FFFFFF"/>
            <w:tcMar>
              <w:top w:w="40" w:type="dxa"/>
              <w:left w:w="20" w:type="dxa"/>
              <w:bottom w:w="40" w:type="dxa"/>
              <w:right w:w="20" w:type="dxa"/>
            </w:tcMar>
            <w:vAlign w:val="bottom"/>
          </w:tcPr>
          <w:p w14:paraId="392C5ECB" w14:textId="77777777" w:rsidR="00980E5F" w:rsidRDefault="00483613">
            <w:pPr>
              <w:textAlignment w:val="bottom"/>
            </w:pPr>
            <w:r>
              <w:rPr>
                <w:rFonts w:ascii="Arial" w:eastAsia="宋体" w:hAnsi="Arial" w:cs="Arial"/>
                <w:color w:val="000000"/>
                <w:sz w:val="15"/>
                <w:szCs w:val="15"/>
              </w:rPr>
              <w:t>State and political subdivisions</w:t>
            </w:r>
          </w:p>
        </w:tc>
        <w:tc>
          <w:tcPr>
            <w:tcW w:w="0" w:type="auto"/>
            <w:gridSpan w:val="2"/>
            <w:shd w:val="clear" w:color="auto" w:fill="FFFFFF"/>
            <w:tcMar>
              <w:top w:w="40" w:type="dxa"/>
              <w:left w:w="20" w:type="dxa"/>
              <w:bottom w:w="40" w:type="dxa"/>
              <w:right w:w="0" w:type="dxa"/>
            </w:tcMar>
            <w:vAlign w:val="bottom"/>
          </w:tcPr>
          <w:p w14:paraId="392C5ECC" w14:textId="77777777" w:rsidR="00980E5F" w:rsidRDefault="00483613">
            <w:pPr>
              <w:jc w:val="right"/>
              <w:textAlignment w:val="bottom"/>
            </w:pPr>
            <w:r>
              <w:rPr>
                <w:rFonts w:ascii="Arial" w:eastAsia="宋体" w:hAnsi="Arial" w:cs="Arial"/>
                <w:b/>
                <w:bCs/>
                <w:color w:val="000000"/>
                <w:sz w:val="15"/>
                <w:szCs w:val="15"/>
              </w:rPr>
              <w:t>1,042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C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CF"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D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D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D2" w14:textId="77777777" w:rsidR="00980E5F" w:rsidRDefault="00483613">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D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D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D5" w14:textId="77777777" w:rsidR="00980E5F" w:rsidRDefault="00483613">
            <w:pPr>
              <w:jc w:val="right"/>
              <w:textAlignment w:val="bottom"/>
            </w:pPr>
            <w:r>
              <w:rPr>
                <w:rFonts w:ascii="Arial" w:eastAsia="宋体" w:hAnsi="Arial" w:cs="Arial"/>
                <w:b/>
                <w:bCs/>
                <w:color w:val="000000"/>
                <w:sz w:val="15"/>
                <w:szCs w:val="15"/>
              </w:rPr>
              <w:t>1,034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E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D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D8" w14:textId="77777777" w:rsidR="00980E5F" w:rsidRDefault="00483613">
            <w:pPr>
              <w:jc w:val="right"/>
              <w:textAlignment w:val="bottom"/>
            </w:pPr>
            <w:r>
              <w:rPr>
                <w:rFonts w:ascii="Arial" w:eastAsia="宋体" w:hAnsi="Arial" w:cs="Arial"/>
                <w:color w:val="000000"/>
                <w:sz w:val="15"/>
                <w:szCs w:val="15"/>
              </w:rPr>
              <w:t>1,216 </w:t>
            </w:r>
          </w:p>
        </w:tc>
        <w:tc>
          <w:tcPr>
            <w:tcW w:w="0" w:type="auto"/>
            <w:shd w:val="clear" w:color="auto" w:fill="FFFFFF"/>
            <w:tcMar>
              <w:top w:w="40" w:type="dxa"/>
              <w:left w:w="0" w:type="dxa"/>
              <w:bottom w:w="40" w:type="dxa"/>
              <w:right w:w="20" w:type="dxa"/>
            </w:tcMar>
            <w:vAlign w:val="bottom"/>
          </w:tcPr>
          <w:p w14:paraId="392C5E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DB" w14:textId="77777777" w:rsidR="00980E5F" w:rsidRDefault="00483613">
            <w:pPr>
              <w:jc w:val="right"/>
              <w:textAlignment w:val="bottom"/>
            </w:pPr>
            <w:r>
              <w:rPr>
                <w:rFonts w:ascii="Arial" w:eastAsia="宋体" w:hAnsi="Arial" w:cs="Arial"/>
                <w:color w:val="000000"/>
                <w:sz w:val="15"/>
                <w:szCs w:val="15"/>
              </w:rPr>
              <w:t>59 </w:t>
            </w:r>
          </w:p>
        </w:tc>
        <w:tc>
          <w:tcPr>
            <w:tcW w:w="0" w:type="auto"/>
            <w:shd w:val="clear" w:color="auto" w:fill="FFFFFF"/>
            <w:tcMar>
              <w:top w:w="40" w:type="dxa"/>
              <w:left w:w="0" w:type="dxa"/>
              <w:bottom w:w="40" w:type="dxa"/>
              <w:right w:w="20" w:type="dxa"/>
            </w:tcMar>
            <w:vAlign w:val="bottom"/>
          </w:tcPr>
          <w:p w14:paraId="392C5E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DE" w14:textId="77777777" w:rsidR="00980E5F" w:rsidRDefault="00483613">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392C5E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E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EE1" w14:textId="77777777" w:rsidR="00980E5F" w:rsidRDefault="00483613">
            <w:pPr>
              <w:jc w:val="right"/>
              <w:textAlignment w:val="bottom"/>
            </w:pPr>
            <w:r>
              <w:rPr>
                <w:rFonts w:ascii="Arial" w:eastAsia="宋体" w:hAnsi="Arial" w:cs="Arial"/>
                <w:color w:val="000000"/>
                <w:sz w:val="15"/>
                <w:szCs w:val="15"/>
              </w:rPr>
              <w:t>1,272 </w:t>
            </w:r>
          </w:p>
        </w:tc>
        <w:tc>
          <w:tcPr>
            <w:tcW w:w="0" w:type="auto"/>
            <w:shd w:val="clear" w:color="auto" w:fill="FFFFFF"/>
            <w:tcMar>
              <w:top w:w="40" w:type="dxa"/>
              <w:left w:w="0" w:type="dxa"/>
              <w:bottom w:w="40" w:type="dxa"/>
              <w:right w:w="20" w:type="dxa"/>
            </w:tcMar>
            <w:vAlign w:val="bottom"/>
          </w:tcPr>
          <w:p w14:paraId="392C5EE2" w14:textId="77777777" w:rsidR="00980E5F" w:rsidRDefault="00980E5F">
            <w:pPr>
              <w:jc w:val="right"/>
              <w:rPr>
                <w:rFonts w:ascii="宋体"/>
              </w:rPr>
            </w:pPr>
          </w:p>
        </w:tc>
      </w:tr>
      <w:tr w:rsidR="00980E5F" w14:paraId="392C5EF4" w14:textId="77777777">
        <w:trPr>
          <w:hidden/>
        </w:trPr>
        <w:tc>
          <w:tcPr>
            <w:tcW w:w="0" w:type="auto"/>
            <w:gridSpan w:val="3"/>
            <w:shd w:val="clear" w:color="auto" w:fill="auto"/>
            <w:vAlign w:val="bottom"/>
          </w:tcPr>
          <w:p w14:paraId="392C5EE4" w14:textId="77777777" w:rsidR="00980E5F" w:rsidRDefault="00980E5F">
            <w:pPr>
              <w:rPr>
                <w:rFonts w:ascii="宋体"/>
                <w:vanish/>
              </w:rPr>
            </w:pPr>
          </w:p>
        </w:tc>
        <w:tc>
          <w:tcPr>
            <w:tcW w:w="0" w:type="auto"/>
            <w:gridSpan w:val="3"/>
            <w:shd w:val="clear" w:color="auto" w:fill="auto"/>
            <w:vAlign w:val="bottom"/>
          </w:tcPr>
          <w:p w14:paraId="392C5EE5" w14:textId="77777777" w:rsidR="00980E5F" w:rsidRDefault="00980E5F">
            <w:pPr>
              <w:rPr>
                <w:rFonts w:ascii="宋体"/>
                <w:vanish/>
              </w:rPr>
            </w:pPr>
          </w:p>
        </w:tc>
        <w:tc>
          <w:tcPr>
            <w:tcW w:w="0" w:type="auto"/>
            <w:gridSpan w:val="3"/>
            <w:shd w:val="clear" w:color="auto" w:fill="auto"/>
            <w:vAlign w:val="bottom"/>
          </w:tcPr>
          <w:p w14:paraId="392C5EE6" w14:textId="77777777" w:rsidR="00980E5F" w:rsidRDefault="00980E5F">
            <w:pPr>
              <w:rPr>
                <w:rFonts w:ascii="宋体"/>
                <w:vanish/>
              </w:rPr>
            </w:pPr>
          </w:p>
        </w:tc>
        <w:tc>
          <w:tcPr>
            <w:tcW w:w="0" w:type="auto"/>
            <w:gridSpan w:val="3"/>
            <w:shd w:val="clear" w:color="auto" w:fill="auto"/>
            <w:vAlign w:val="bottom"/>
          </w:tcPr>
          <w:p w14:paraId="392C5EE7" w14:textId="77777777" w:rsidR="00980E5F" w:rsidRDefault="00980E5F">
            <w:pPr>
              <w:rPr>
                <w:rFonts w:ascii="宋体"/>
                <w:vanish/>
              </w:rPr>
            </w:pPr>
          </w:p>
        </w:tc>
        <w:tc>
          <w:tcPr>
            <w:tcW w:w="0" w:type="auto"/>
            <w:gridSpan w:val="3"/>
            <w:shd w:val="clear" w:color="auto" w:fill="auto"/>
            <w:vAlign w:val="bottom"/>
          </w:tcPr>
          <w:p w14:paraId="392C5EE8" w14:textId="77777777" w:rsidR="00980E5F" w:rsidRDefault="00980E5F">
            <w:pPr>
              <w:rPr>
                <w:rFonts w:ascii="宋体"/>
                <w:vanish/>
              </w:rPr>
            </w:pPr>
          </w:p>
        </w:tc>
        <w:tc>
          <w:tcPr>
            <w:tcW w:w="0" w:type="auto"/>
            <w:gridSpan w:val="3"/>
            <w:shd w:val="clear" w:color="auto" w:fill="auto"/>
            <w:vAlign w:val="bottom"/>
          </w:tcPr>
          <w:p w14:paraId="392C5EE9" w14:textId="77777777" w:rsidR="00980E5F" w:rsidRDefault="00980E5F">
            <w:pPr>
              <w:rPr>
                <w:rFonts w:ascii="宋体"/>
                <w:vanish/>
              </w:rPr>
            </w:pPr>
          </w:p>
        </w:tc>
        <w:tc>
          <w:tcPr>
            <w:tcW w:w="0" w:type="auto"/>
            <w:gridSpan w:val="3"/>
            <w:shd w:val="clear" w:color="auto" w:fill="auto"/>
            <w:vAlign w:val="bottom"/>
          </w:tcPr>
          <w:p w14:paraId="392C5EEA" w14:textId="77777777" w:rsidR="00980E5F" w:rsidRDefault="00980E5F">
            <w:pPr>
              <w:rPr>
                <w:rFonts w:ascii="宋体"/>
                <w:vanish/>
              </w:rPr>
            </w:pPr>
          </w:p>
        </w:tc>
        <w:tc>
          <w:tcPr>
            <w:tcW w:w="0" w:type="auto"/>
            <w:gridSpan w:val="3"/>
            <w:shd w:val="clear" w:color="auto" w:fill="auto"/>
            <w:vAlign w:val="bottom"/>
          </w:tcPr>
          <w:p w14:paraId="392C5EEB" w14:textId="77777777" w:rsidR="00980E5F" w:rsidRDefault="00980E5F">
            <w:pPr>
              <w:rPr>
                <w:rFonts w:ascii="宋体"/>
                <w:vanish/>
              </w:rPr>
            </w:pPr>
          </w:p>
        </w:tc>
        <w:tc>
          <w:tcPr>
            <w:tcW w:w="0" w:type="auto"/>
            <w:gridSpan w:val="3"/>
            <w:shd w:val="clear" w:color="auto" w:fill="auto"/>
            <w:vAlign w:val="bottom"/>
          </w:tcPr>
          <w:p w14:paraId="392C5EEC" w14:textId="77777777" w:rsidR="00980E5F" w:rsidRDefault="00980E5F">
            <w:pPr>
              <w:rPr>
                <w:rFonts w:ascii="宋体"/>
                <w:vanish/>
              </w:rPr>
            </w:pPr>
          </w:p>
        </w:tc>
        <w:tc>
          <w:tcPr>
            <w:tcW w:w="0" w:type="auto"/>
            <w:gridSpan w:val="3"/>
            <w:shd w:val="clear" w:color="auto" w:fill="auto"/>
            <w:vAlign w:val="bottom"/>
          </w:tcPr>
          <w:p w14:paraId="392C5EED" w14:textId="77777777" w:rsidR="00980E5F" w:rsidRDefault="00980E5F">
            <w:pPr>
              <w:rPr>
                <w:rFonts w:ascii="宋体"/>
                <w:vanish/>
              </w:rPr>
            </w:pPr>
          </w:p>
        </w:tc>
        <w:tc>
          <w:tcPr>
            <w:tcW w:w="0" w:type="auto"/>
            <w:gridSpan w:val="3"/>
            <w:shd w:val="clear" w:color="auto" w:fill="auto"/>
            <w:vAlign w:val="bottom"/>
          </w:tcPr>
          <w:p w14:paraId="392C5EEE" w14:textId="77777777" w:rsidR="00980E5F" w:rsidRDefault="00980E5F">
            <w:pPr>
              <w:rPr>
                <w:rFonts w:ascii="宋体"/>
                <w:vanish/>
              </w:rPr>
            </w:pPr>
          </w:p>
        </w:tc>
        <w:tc>
          <w:tcPr>
            <w:tcW w:w="0" w:type="auto"/>
            <w:gridSpan w:val="3"/>
            <w:shd w:val="clear" w:color="auto" w:fill="auto"/>
            <w:vAlign w:val="bottom"/>
          </w:tcPr>
          <w:p w14:paraId="392C5EEF" w14:textId="77777777" w:rsidR="00980E5F" w:rsidRDefault="00980E5F">
            <w:pPr>
              <w:rPr>
                <w:rFonts w:ascii="宋体"/>
                <w:vanish/>
              </w:rPr>
            </w:pPr>
          </w:p>
        </w:tc>
        <w:tc>
          <w:tcPr>
            <w:tcW w:w="0" w:type="auto"/>
            <w:gridSpan w:val="3"/>
            <w:shd w:val="clear" w:color="auto" w:fill="auto"/>
            <w:vAlign w:val="bottom"/>
          </w:tcPr>
          <w:p w14:paraId="392C5EF0" w14:textId="77777777" w:rsidR="00980E5F" w:rsidRDefault="00980E5F">
            <w:pPr>
              <w:rPr>
                <w:rFonts w:ascii="宋体"/>
                <w:vanish/>
              </w:rPr>
            </w:pPr>
          </w:p>
        </w:tc>
        <w:tc>
          <w:tcPr>
            <w:tcW w:w="0" w:type="auto"/>
            <w:gridSpan w:val="3"/>
            <w:shd w:val="clear" w:color="auto" w:fill="auto"/>
            <w:vAlign w:val="bottom"/>
          </w:tcPr>
          <w:p w14:paraId="392C5EF1" w14:textId="77777777" w:rsidR="00980E5F" w:rsidRDefault="00980E5F">
            <w:pPr>
              <w:rPr>
                <w:rFonts w:ascii="宋体"/>
                <w:vanish/>
              </w:rPr>
            </w:pPr>
          </w:p>
        </w:tc>
        <w:tc>
          <w:tcPr>
            <w:tcW w:w="0" w:type="auto"/>
            <w:gridSpan w:val="3"/>
            <w:shd w:val="clear" w:color="auto" w:fill="auto"/>
            <w:vAlign w:val="bottom"/>
          </w:tcPr>
          <w:p w14:paraId="392C5EF2" w14:textId="77777777" w:rsidR="00980E5F" w:rsidRDefault="00980E5F">
            <w:pPr>
              <w:rPr>
                <w:rFonts w:ascii="宋体"/>
                <w:vanish/>
              </w:rPr>
            </w:pPr>
          </w:p>
        </w:tc>
        <w:tc>
          <w:tcPr>
            <w:tcW w:w="0" w:type="auto"/>
            <w:gridSpan w:val="3"/>
            <w:shd w:val="clear" w:color="auto" w:fill="auto"/>
            <w:vAlign w:val="bottom"/>
          </w:tcPr>
          <w:p w14:paraId="392C5EF3" w14:textId="77777777" w:rsidR="00980E5F" w:rsidRDefault="00980E5F">
            <w:pPr>
              <w:rPr>
                <w:rFonts w:ascii="宋体"/>
                <w:vanish/>
              </w:rPr>
            </w:pPr>
          </w:p>
        </w:tc>
      </w:tr>
      <w:tr w:rsidR="00980E5F" w14:paraId="392C5F0D" w14:textId="77777777">
        <w:tc>
          <w:tcPr>
            <w:tcW w:w="0" w:type="auto"/>
            <w:gridSpan w:val="3"/>
            <w:shd w:val="clear" w:color="auto" w:fill="CCEEFF"/>
            <w:tcMar>
              <w:top w:w="40" w:type="dxa"/>
              <w:left w:w="20" w:type="dxa"/>
              <w:bottom w:w="40" w:type="dxa"/>
              <w:right w:w="20" w:type="dxa"/>
            </w:tcMar>
            <w:vAlign w:val="bottom"/>
          </w:tcPr>
          <w:p w14:paraId="392C5EF5" w14:textId="77777777" w:rsidR="00980E5F" w:rsidRDefault="00483613">
            <w:pP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392C5EF6" w14:textId="77777777" w:rsidR="00980E5F" w:rsidRDefault="00483613">
            <w:pPr>
              <w:jc w:val="right"/>
              <w:textAlignment w:val="bottom"/>
            </w:pPr>
            <w:r>
              <w:rPr>
                <w:rFonts w:ascii="Arial" w:eastAsia="宋体" w:hAnsi="Arial" w:cs="Arial"/>
                <w:b/>
                <w:bCs/>
                <w:color w:val="000000"/>
                <w:sz w:val="15"/>
                <w:szCs w:val="15"/>
              </w:rPr>
              <w:t>1,074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F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F9"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F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F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FC" w14:textId="77777777" w:rsidR="00980E5F" w:rsidRDefault="00483613">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E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E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EFF" w14:textId="77777777" w:rsidR="00980E5F" w:rsidRDefault="00483613">
            <w:pPr>
              <w:jc w:val="right"/>
              <w:textAlignment w:val="bottom"/>
            </w:pPr>
            <w:r>
              <w:rPr>
                <w:rFonts w:ascii="Arial" w:eastAsia="宋体" w:hAnsi="Arial" w:cs="Arial"/>
                <w:b/>
                <w:bCs/>
                <w:color w:val="000000"/>
                <w:sz w:val="15"/>
                <w:szCs w:val="15"/>
              </w:rPr>
              <w:t>1,004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F02" w14:textId="77777777" w:rsidR="00980E5F" w:rsidRDefault="00483613">
            <w:pPr>
              <w:jc w:val="right"/>
              <w:textAlignment w:val="bottom"/>
            </w:pPr>
            <w:r>
              <w:rPr>
                <w:rFonts w:ascii="Arial" w:eastAsia="宋体" w:hAnsi="Arial" w:cs="Arial"/>
                <w:color w:val="000000"/>
                <w:sz w:val="15"/>
                <w:szCs w:val="15"/>
              </w:rPr>
              <w:t>2,734 </w:t>
            </w:r>
          </w:p>
        </w:tc>
        <w:tc>
          <w:tcPr>
            <w:tcW w:w="0" w:type="auto"/>
            <w:shd w:val="clear" w:color="auto" w:fill="CCEEFF"/>
            <w:tcMar>
              <w:top w:w="40" w:type="dxa"/>
              <w:left w:w="0" w:type="dxa"/>
              <w:bottom w:w="40" w:type="dxa"/>
              <w:right w:w="20" w:type="dxa"/>
            </w:tcMar>
            <w:vAlign w:val="bottom"/>
          </w:tcPr>
          <w:p w14:paraId="392C5F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F05" w14:textId="77777777" w:rsidR="00980E5F" w:rsidRDefault="00483613">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392C5F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F08" w14:textId="77777777" w:rsidR="00980E5F" w:rsidRDefault="00483613">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392C5F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5F0B" w14:textId="77777777" w:rsidR="00980E5F" w:rsidRDefault="00483613">
            <w:pPr>
              <w:jc w:val="right"/>
              <w:textAlignment w:val="bottom"/>
            </w:pPr>
            <w:r>
              <w:rPr>
                <w:rFonts w:ascii="Arial" w:eastAsia="宋体" w:hAnsi="Arial" w:cs="Arial"/>
                <w:color w:val="000000"/>
                <w:sz w:val="15"/>
                <w:szCs w:val="15"/>
              </w:rPr>
              <w:t>2,744 </w:t>
            </w:r>
          </w:p>
        </w:tc>
        <w:tc>
          <w:tcPr>
            <w:tcW w:w="0" w:type="auto"/>
            <w:shd w:val="clear" w:color="auto" w:fill="CCEEFF"/>
            <w:tcMar>
              <w:top w:w="40" w:type="dxa"/>
              <w:left w:w="0" w:type="dxa"/>
              <w:bottom w:w="40" w:type="dxa"/>
              <w:right w:w="20" w:type="dxa"/>
            </w:tcMar>
            <w:vAlign w:val="bottom"/>
          </w:tcPr>
          <w:p w14:paraId="392C5F0C" w14:textId="77777777" w:rsidR="00980E5F" w:rsidRDefault="00980E5F">
            <w:pPr>
              <w:jc w:val="right"/>
              <w:rPr>
                <w:rFonts w:ascii="宋体"/>
              </w:rPr>
            </w:pPr>
          </w:p>
        </w:tc>
      </w:tr>
      <w:tr w:rsidR="00980E5F" w14:paraId="392C5F1E" w14:textId="77777777">
        <w:trPr>
          <w:hidden/>
        </w:trPr>
        <w:tc>
          <w:tcPr>
            <w:tcW w:w="0" w:type="auto"/>
            <w:gridSpan w:val="3"/>
            <w:shd w:val="clear" w:color="auto" w:fill="auto"/>
            <w:vAlign w:val="bottom"/>
          </w:tcPr>
          <w:p w14:paraId="392C5F0E" w14:textId="77777777" w:rsidR="00980E5F" w:rsidRDefault="00980E5F">
            <w:pPr>
              <w:rPr>
                <w:rFonts w:ascii="宋体"/>
                <w:vanish/>
              </w:rPr>
            </w:pPr>
          </w:p>
        </w:tc>
        <w:tc>
          <w:tcPr>
            <w:tcW w:w="0" w:type="auto"/>
            <w:gridSpan w:val="3"/>
            <w:shd w:val="clear" w:color="auto" w:fill="auto"/>
            <w:vAlign w:val="bottom"/>
          </w:tcPr>
          <w:p w14:paraId="392C5F0F" w14:textId="77777777" w:rsidR="00980E5F" w:rsidRDefault="00980E5F">
            <w:pPr>
              <w:rPr>
                <w:rFonts w:ascii="宋体"/>
                <w:vanish/>
              </w:rPr>
            </w:pPr>
          </w:p>
        </w:tc>
        <w:tc>
          <w:tcPr>
            <w:tcW w:w="0" w:type="auto"/>
            <w:gridSpan w:val="3"/>
            <w:shd w:val="clear" w:color="auto" w:fill="auto"/>
            <w:vAlign w:val="bottom"/>
          </w:tcPr>
          <w:p w14:paraId="392C5F10" w14:textId="77777777" w:rsidR="00980E5F" w:rsidRDefault="00980E5F">
            <w:pPr>
              <w:rPr>
                <w:rFonts w:ascii="宋体"/>
                <w:vanish/>
              </w:rPr>
            </w:pPr>
          </w:p>
        </w:tc>
        <w:tc>
          <w:tcPr>
            <w:tcW w:w="0" w:type="auto"/>
            <w:gridSpan w:val="3"/>
            <w:shd w:val="clear" w:color="auto" w:fill="auto"/>
            <w:vAlign w:val="bottom"/>
          </w:tcPr>
          <w:p w14:paraId="392C5F11" w14:textId="77777777" w:rsidR="00980E5F" w:rsidRDefault="00980E5F">
            <w:pPr>
              <w:rPr>
                <w:rFonts w:ascii="宋体"/>
                <w:vanish/>
              </w:rPr>
            </w:pPr>
          </w:p>
        </w:tc>
        <w:tc>
          <w:tcPr>
            <w:tcW w:w="0" w:type="auto"/>
            <w:gridSpan w:val="3"/>
            <w:shd w:val="clear" w:color="auto" w:fill="auto"/>
            <w:vAlign w:val="bottom"/>
          </w:tcPr>
          <w:p w14:paraId="392C5F12" w14:textId="77777777" w:rsidR="00980E5F" w:rsidRDefault="00980E5F">
            <w:pPr>
              <w:rPr>
                <w:rFonts w:ascii="宋体"/>
                <w:vanish/>
              </w:rPr>
            </w:pPr>
          </w:p>
        </w:tc>
        <w:tc>
          <w:tcPr>
            <w:tcW w:w="0" w:type="auto"/>
            <w:gridSpan w:val="3"/>
            <w:shd w:val="clear" w:color="auto" w:fill="auto"/>
            <w:vAlign w:val="bottom"/>
          </w:tcPr>
          <w:p w14:paraId="392C5F13" w14:textId="77777777" w:rsidR="00980E5F" w:rsidRDefault="00980E5F">
            <w:pPr>
              <w:rPr>
                <w:rFonts w:ascii="宋体"/>
                <w:vanish/>
              </w:rPr>
            </w:pPr>
          </w:p>
        </w:tc>
        <w:tc>
          <w:tcPr>
            <w:tcW w:w="0" w:type="auto"/>
            <w:gridSpan w:val="3"/>
            <w:shd w:val="clear" w:color="auto" w:fill="auto"/>
            <w:vAlign w:val="bottom"/>
          </w:tcPr>
          <w:p w14:paraId="392C5F14" w14:textId="77777777" w:rsidR="00980E5F" w:rsidRDefault="00980E5F">
            <w:pPr>
              <w:rPr>
                <w:rFonts w:ascii="宋体"/>
                <w:vanish/>
              </w:rPr>
            </w:pPr>
          </w:p>
        </w:tc>
        <w:tc>
          <w:tcPr>
            <w:tcW w:w="0" w:type="auto"/>
            <w:gridSpan w:val="3"/>
            <w:shd w:val="clear" w:color="auto" w:fill="auto"/>
            <w:vAlign w:val="bottom"/>
          </w:tcPr>
          <w:p w14:paraId="392C5F15" w14:textId="77777777" w:rsidR="00980E5F" w:rsidRDefault="00980E5F">
            <w:pPr>
              <w:rPr>
                <w:rFonts w:ascii="宋体"/>
                <w:vanish/>
              </w:rPr>
            </w:pPr>
          </w:p>
        </w:tc>
        <w:tc>
          <w:tcPr>
            <w:tcW w:w="0" w:type="auto"/>
            <w:gridSpan w:val="3"/>
            <w:shd w:val="clear" w:color="auto" w:fill="auto"/>
            <w:vAlign w:val="bottom"/>
          </w:tcPr>
          <w:p w14:paraId="392C5F16" w14:textId="77777777" w:rsidR="00980E5F" w:rsidRDefault="00980E5F">
            <w:pPr>
              <w:rPr>
                <w:rFonts w:ascii="宋体"/>
                <w:vanish/>
              </w:rPr>
            </w:pPr>
          </w:p>
        </w:tc>
        <w:tc>
          <w:tcPr>
            <w:tcW w:w="0" w:type="auto"/>
            <w:gridSpan w:val="3"/>
            <w:shd w:val="clear" w:color="auto" w:fill="auto"/>
            <w:vAlign w:val="bottom"/>
          </w:tcPr>
          <w:p w14:paraId="392C5F17" w14:textId="77777777" w:rsidR="00980E5F" w:rsidRDefault="00980E5F">
            <w:pPr>
              <w:rPr>
                <w:rFonts w:ascii="宋体"/>
                <w:vanish/>
              </w:rPr>
            </w:pPr>
          </w:p>
        </w:tc>
        <w:tc>
          <w:tcPr>
            <w:tcW w:w="0" w:type="auto"/>
            <w:gridSpan w:val="3"/>
            <w:shd w:val="clear" w:color="auto" w:fill="auto"/>
            <w:vAlign w:val="bottom"/>
          </w:tcPr>
          <w:p w14:paraId="392C5F18" w14:textId="77777777" w:rsidR="00980E5F" w:rsidRDefault="00980E5F">
            <w:pPr>
              <w:rPr>
                <w:rFonts w:ascii="宋体"/>
                <w:vanish/>
              </w:rPr>
            </w:pPr>
          </w:p>
        </w:tc>
        <w:tc>
          <w:tcPr>
            <w:tcW w:w="0" w:type="auto"/>
            <w:gridSpan w:val="3"/>
            <w:shd w:val="clear" w:color="auto" w:fill="auto"/>
            <w:vAlign w:val="bottom"/>
          </w:tcPr>
          <w:p w14:paraId="392C5F19" w14:textId="77777777" w:rsidR="00980E5F" w:rsidRDefault="00980E5F">
            <w:pPr>
              <w:rPr>
                <w:rFonts w:ascii="宋体"/>
                <w:vanish/>
              </w:rPr>
            </w:pPr>
          </w:p>
        </w:tc>
        <w:tc>
          <w:tcPr>
            <w:tcW w:w="0" w:type="auto"/>
            <w:gridSpan w:val="3"/>
            <w:shd w:val="clear" w:color="auto" w:fill="auto"/>
            <w:vAlign w:val="bottom"/>
          </w:tcPr>
          <w:p w14:paraId="392C5F1A" w14:textId="77777777" w:rsidR="00980E5F" w:rsidRDefault="00980E5F">
            <w:pPr>
              <w:rPr>
                <w:rFonts w:ascii="宋体"/>
                <w:vanish/>
              </w:rPr>
            </w:pPr>
          </w:p>
        </w:tc>
        <w:tc>
          <w:tcPr>
            <w:tcW w:w="0" w:type="auto"/>
            <w:gridSpan w:val="3"/>
            <w:shd w:val="clear" w:color="auto" w:fill="auto"/>
            <w:vAlign w:val="bottom"/>
          </w:tcPr>
          <w:p w14:paraId="392C5F1B" w14:textId="77777777" w:rsidR="00980E5F" w:rsidRDefault="00980E5F">
            <w:pPr>
              <w:rPr>
                <w:rFonts w:ascii="宋体"/>
                <w:vanish/>
              </w:rPr>
            </w:pPr>
          </w:p>
        </w:tc>
        <w:tc>
          <w:tcPr>
            <w:tcW w:w="0" w:type="auto"/>
            <w:gridSpan w:val="3"/>
            <w:shd w:val="clear" w:color="auto" w:fill="auto"/>
            <w:vAlign w:val="bottom"/>
          </w:tcPr>
          <w:p w14:paraId="392C5F1C" w14:textId="77777777" w:rsidR="00980E5F" w:rsidRDefault="00980E5F">
            <w:pPr>
              <w:rPr>
                <w:rFonts w:ascii="宋体"/>
                <w:vanish/>
              </w:rPr>
            </w:pPr>
          </w:p>
        </w:tc>
        <w:tc>
          <w:tcPr>
            <w:tcW w:w="0" w:type="auto"/>
            <w:gridSpan w:val="3"/>
            <w:shd w:val="clear" w:color="auto" w:fill="auto"/>
            <w:vAlign w:val="bottom"/>
          </w:tcPr>
          <w:p w14:paraId="392C5F1D" w14:textId="77777777" w:rsidR="00980E5F" w:rsidRDefault="00980E5F">
            <w:pPr>
              <w:rPr>
                <w:rFonts w:ascii="宋体"/>
                <w:vanish/>
              </w:rPr>
            </w:pPr>
          </w:p>
        </w:tc>
      </w:tr>
      <w:tr w:rsidR="00980E5F" w14:paraId="392C5F2F" w14:textId="77777777">
        <w:trPr>
          <w:hidden/>
        </w:trPr>
        <w:tc>
          <w:tcPr>
            <w:tcW w:w="0" w:type="auto"/>
            <w:gridSpan w:val="3"/>
            <w:shd w:val="clear" w:color="auto" w:fill="auto"/>
            <w:vAlign w:val="bottom"/>
          </w:tcPr>
          <w:p w14:paraId="392C5F1F" w14:textId="77777777" w:rsidR="00980E5F" w:rsidRDefault="00980E5F">
            <w:pPr>
              <w:rPr>
                <w:rFonts w:ascii="宋体"/>
                <w:vanish/>
              </w:rPr>
            </w:pPr>
          </w:p>
        </w:tc>
        <w:tc>
          <w:tcPr>
            <w:tcW w:w="0" w:type="auto"/>
            <w:gridSpan w:val="3"/>
            <w:shd w:val="clear" w:color="auto" w:fill="auto"/>
            <w:vAlign w:val="bottom"/>
          </w:tcPr>
          <w:p w14:paraId="392C5F20" w14:textId="77777777" w:rsidR="00980E5F" w:rsidRDefault="00980E5F">
            <w:pPr>
              <w:rPr>
                <w:rFonts w:ascii="宋体"/>
                <w:vanish/>
              </w:rPr>
            </w:pPr>
          </w:p>
        </w:tc>
        <w:tc>
          <w:tcPr>
            <w:tcW w:w="0" w:type="auto"/>
            <w:gridSpan w:val="3"/>
            <w:shd w:val="clear" w:color="auto" w:fill="auto"/>
            <w:vAlign w:val="bottom"/>
          </w:tcPr>
          <w:p w14:paraId="392C5F21" w14:textId="77777777" w:rsidR="00980E5F" w:rsidRDefault="00980E5F">
            <w:pPr>
              <w:rPr>
                <w:rFonts w:ascii="宋体"/>
                <w:vanish/>
              </w:rPr>
            </w:pPr>
          </w:p>
        </w:tc>
        <w:tc>
          <w:tcPr>
            <w:tcW w:w="0" w:type="auto"/>
            <w:gridSpan w:val="3"/>
            <w:shd w:val="clear" w:color="auto" w:fill="auto"/>
            <w:vAlign w:val="bottom"/>
          </w:tcPr>
          <w:p w14:paraId="392C5F22" w14:textId="77777777" w:rsidR="00980E5F" w:rsidRDefault="00980E5F">
            <w:pPr>
              <w:rPr>
                <w:rFonts w:ascii="宋体"/>
                <w:vanish/>
              </w:rPr>
            </w:pPr>
          </w:p>
        </w:tc>
        <w:tc>
          <w:tcPr>
            <w:tcW w:w="0" w:type="auto"/>
            <w:gridSpan w:val="3"/>
            <w:shd w:val="clear" w:color="auto" w:fill="auto"/>
            <w:vAlign w:val="bottom"/>
          </w:tcPr>
          <w:p w14:paraId="392C5F23" w14:textId="77777777" w:rsidR="00980E5F" w:rsidRDefault="00980E5F">
            <w:pPr>
              <w:rPr>
                <w:rFonts w:ascii="宋体"/>
                <w:vanish/>
              </w:rPr>
            </w:pPr>
          </w:p>
        </w:tc>
        <w:tc>
          <w:tcPr>
            <w:tcW w:w="0" w:type="auto"/>
            <w:gridSpan w:val="3"/>
            <w:shd w:val="clear" w:color="auto" w:fill="auto"/>
            <w:vAlign w:val="bottom"/>
          </w:tcPr>
          <w:p w14:paraId="392C5F24" w14:textId="77777777" w:rsidR="00980E5F" w:rsidRDefault="00980E5F">
            <w:pPr>
              <w:rPr>
                <w:rFonts w:ascii="宋体"/>
                <w:vanish/>
              </w:rPr>
            </w:pPr>
          </w:p>
        </w:tc>
        <w:tc>
          <w:tcPr>
            <w:tcW w:w="0" w:type="auto"/>
            <w:gridSpan w:val="3"/>
            <w:shd w:val="clear" w:color="auto" w:fill="auto"/>
            <w:vAlign w:val="bottom"/>
          </w:tcPr>
          <w:p w14:paraId="392C5F25" w14:textId="77777777" w:rsidR="00980E5F" w:rsidRDefault="00980E5F">
            <w:pPr>
              <w:rPr>
                <w:rFonts w:ascii="宋体"/>
                <w:vanish/>
              </w:rPr>
            </w:pPr>
          </w:p>
        </w:tc>
        <w:tc>
          <w:tcPr>
            <w:tcW w:w="0" w:type="auto"/>
            <w:gridSpan w:val="3"/>
            <w:shd w:val="clear" w:color="auto" w:fill="auto"/>
            <w:vAlign w:val="bottom"/>
          </w:tcPr>
          <w:p w14:paraId="392C5F26" w14:textId="77777777" w:rsidR="00980E5F" w:rsidRDefault="00980E5F">
            <w:pPr>
              <w:rPr>
                <w:rFonts w:ascii="宋体"/>
                <w:vanish/>
              </w:rPr>
            </w:pPr>
          </w:p>
        </w:tc>
        <w:tc>
          <w:tcPr>
            <w:tcW w:w="0" w:type="auto"/>
            <w:gridSpan w:val="3"/>
            <w:shd w:val="clear" w:color="auto" w:fill="auto"/>
            <w:vAlign w:val="bottom"/>
          </w:tcPr>
          <w:p w14:paraId="392C5F27" w14:textId="77777777" w:rsidR="00980E5F" w:rsidRDefault="00980E5F">
            <w:pPr>
              <w:rPr>
                <w:rFonts w:ascii="宋体"/>
                <w:vanish/>
              </w:rPr>
            </w:pPr>
          </w:p>
        </w:tc>
        <w:tc>
          <w:tcPr>
            <w:tcW w:w="0" w:type="auto"/>
            <w:gridSpan w:val="3"/>
            <w:shd w:val="clear" w:color="auto" w:fill="auto"/>
            <w:vAlign w:val="bottom"/>
          </w:tcPr>
          <w:p w14:paraId="392C5F28" w14:textId="77777777" w:rsidR="00980E5F" w:rsidRDefault="00980E5F">
            <w:pPr>
              <w:rPr>
                <w:rFonts w:ascii="宋体"/>
                <w:vanish/>
              </w:rPr>
            </w:pPr>
          </w:p>
        </w:tc>
        <w:tc>
          <w:tcPr>
            <w:tcW w:w="0" w:type="auto"/>
            <w:gridSpan w:val="3"/>
            <w:shd w:val="clear" w:color="auto" w:fill="auto"/>
            <w:vAlign w:val="bottom"/>
          </w:tcPr>
          <w:p w14:paraId="392C5F29" w14:textId="77777777" w:rsidR="00980E5F" w:rsidRDefault="00980E5F">
            <w:pPr>
              <w:rPr>
                <w:rFonts w:ascii="宋体"/>
                <w:vanish/>
              </w:rPr>
            </w:pPr>
          </w:p>
        </w:tc>
        <w:tc>
          <w:tcPr>
            <w:tcW w:w="0" w:type="auto"/>
            <w:gridSpan w:val="3"/>
            <w:shd w:val="clear" w:color="auto" w:fill="auto"/>
            <w:vAlign w:val="bottom"/>
          </w:tcPr>
          <w:p w14:paraId="392C5F2A" w14:textId="77777777" w:rsidR="00980E5F" w:rsidRDefault="00980E5F">
            <w:pPr>
              <w:rPr>
                <w:rFonts w:ascii="宋体"/>
                <w:vanish/>
              </w:rPr>
            </w:pPr>
          </w:p>
        </w:tc>
        <w:tc>
          <w:tcPr>
            <w:tcW w:w="0" w:type="auto"/>
            <w:gridSpan w:val="3"/>
            <w:shd w:val="clear" w:color="auto" w:fill="auto"/>
            <w:vAlign w:val="bottom"/>
          </w:tcPr>
          <w:p w14:paraId="392C5F2B" w14:textId="77777777" w:rsidR="00980E5F" w:rsidRDefault="00980E5F">
            <w:pPr>
              <w:rPr>
                <w:rFonts w:ascii="宋体"/>
                <w:vanish/>
              </w:rPr>
            </w:pPr>
          </w:p>
        </w:tc>
        <w:tc>
          <w:tcPr>
            <w:tcW w:w="0" w:type="auto"/>
            <w:gridSpan w:val="3"/>
            <w:shd w:val="clear" w:color="auto" w:fill="auto"/>
            <w:vAlign w:val="bottom"/>
          </w:tcPr>
          <w:p w14:paraId="392C5F2C" w14:textId="77777777" w:rsidR="00980E5F" w:rsidRDefault="00980E5F">
            <w:pPr>
              <w:rPr>
                <w:rFonts w:ascii="宋体"/>
                <w:vanish/>
              </w:rPr>
            </w:pPr>
          </w:p>
        </w:tc>
        <w:tc>
          <w:tcPr>
            <w:tcW w:w="0" w:type="auto"/>
            <w:gridSpan w:val="3"/>
            <w:shd w:val="clear" w:color="auto" w:fill="auto"/>
            <w:vAlign w:val="bottom"/>
          </w:tcPr>
          <w:p w14:paraId="392C5F2D" w14:textId="77777777" w:rsidR="00980E5F" w:rsidRDefault="00980E5F">
            <w:pPr>
              <w:rPr>
                <w:rFonts w:ascii="宋体"/>
                <w:vanish/>
              </w:rPr>
            </w:pPr>
          </w:p>
        </w:tc>
        <w:tc>
          <w:tcPr>
            <w:tcW w:w="0" w:type="auto"/>
            <w:gridSpan w:val="3"/>
            <w:shd w:val="clear" w:color="auto" w:fill="auto"/>
            <w:vAlign w:val="bottom"/>
          </w:tcPr>
          <w:p w14:paraId="392C5F2E" w14:textId="77777777" w:rsidR="00980E5F" w:rsidRDefault="00980E5F">
            <w:pPr>
              <w:rPr>
                <w:rFonts w:ascii="宋体"/>
                <w:vanish/>
              </w:rPr>
            </w:pPr>
          </w:p>
        </w:tc>
      </w:tr>
      <w:tr w:rsidR="00980E5F" w14:paraId="392C5F40" w14:textId="77777777">
        <w:trPr>
          <w:hidden/>
        </w:trPr>
        <w:tc>
          <w:tcPr>
            <w:tcW w:w="0" w:type="auto"/>
            <w:gridSpan w:val="3"/>
            <w:shd w:val="clear" w:color="auto" w:fill="auto"/>
            <w:vAlign w:val="bottom"/>
          </w:tcPr>
          <w:p w14:paraId="392C5F30" w14:textId="77777777" w:rsidR="00980E5F" w:rsidRDefault="00980E5F">
            <w:pPr>
              <w:rPr>
                <w:rFonts w:ascii="宋体"/>
                <w:vanish/>
              </w:rPr>
            </w:pPr>
          </w:p>
        </w:tc>
        <w:tc>
          <w:tcPr>
            <w:tcW w:w="0" w:type="auto"/>
            <w:gridSpan w:val="3"/>
            <w:shd w:val="clear" w:color="auto" w:fill="auto"/>
            <w:vAlign w:val="bottom"/>
          </w:tcPr>
          <w:p w14:paraId="392C5F31" w14:textId="77777777" w:rsidR="00980E5F" w:rsidRDefault="00980E5F">
            <w:pPr>
              <w:rPr>
                <w:rFonts w:ascii="宋体"/>
                <w:vanish/>
              </w:rPr>
            </w:pPr>
          </w:p>
        </w:tc>
        <w:tc>
          <w:tcPr>
            <w:tcW w:w="0" w:type="auto"/>
            <w:gridSpan w:val="3"/>
            <w:shd w:val="clear" w:color="auto" w:fill="auto"/>
            <w:vAlign w:val="bottom"/>
          </w:tcPr>
          <w:p w14:paraId="392C5F32" w14:textId="77777777" w:rsidR="00980E5F" w:rsidRDefault="00980E5F">
            <w:pPr>
              <w:rPr>
                <w:rFonts w:ascii="宋体"/>
                <w:vanish/>
              </w:rPr>
            </w:pPr>
          </w:p>
        </w:tc>
        <w:tc>
          <w:tcPr>
            <w:tcW w:w="0" w:type="auto"/>
            <w:gridSpan w:val="3"/>
            <w:shd w:val="clear" w:color="auto" w:fill="auto"/>
            <w:vAlign w:val="bottom"/>
          </w:tcPr>
          <w:p w14:paraId="392C5F33" w14:textId="77777777" w:rsidR="00980E5F" w:rsidRDefault="00980E5F">
            <w:pPr>
              <w:rPr>
                <w:rFonts w:ascii="宋体"/>
                <w:vanish/>
              </w:rPr>
            </w:pPr>
          </w:p>
        </w:tc>
        <w:tc>
          <w:tcPr>
            <w:tcW w:w="0" w:type="auto"/>
            <w:gridSpan w:val="3"/>
            <w:shd w:val="clear" w:color="auto" w:fill="auto"/>
            <w:vAlign w:val="bottom"/>
          </w:tcPr>
          <w:p w14:paraId="392C5F34" w14:textId="77777777" w:rsidR="00980E5F" w:rsidRDefault="00980E5F">
            <w:pPr>
              <w:rPr>
                <w:rFonts w:ascii="宋体"/>
                <w:vanish/>
              </w:rPr>
            </w:pPr>
          </w:p>
        </w:tc>
        <w:tc>
          <w:tcPr>
            <w:tcW w:w="0" w:type="auto"/>
            <w:gridSpan w:val="3"/>
            <w:shd w:val="clear" w:color="auto" w:fill="auto"/>
            <w:vAlign w:val="bottom"/>
          </w:tcPr>
          <w:p w14:paraId="392C5F35" w14:textId="77777777" w:rsidR="00980E5F" w:rsidRDefault="00980E5F">
            <w:pPr>
              <w:rPr>
                <w:rFonts w:ascii="宋体"/>
                <w:vanish/>
              </w:rPr>
            </w:pPr>
          </w:p>
        </w:tc>
        <w:tc>
          <w:tcPr>
            <w:tcW w:w="0" w:type="auto"/>
            <w:gridSpan w:val="3"/>
            <w:shd w:val="clear" w:color="auto" w:fill="auto"/>
            <w:vAlign w:val="bottom"/>
          </w:tcPr>
          <w:p w14:paraId="392C5F36" w14:textId="77777777" w:rsidR="00980E5F" w:rsidRDefault="00980E5F">
            <w:pPr>
              <w:rPr>
                <w:rFonts w:ascii="宋体"/>
                <w:vanish/>
              </w:rPr>
            </w:pPr>
          </w:p>
        </w:tc>
        <w:tc>
          <w:tcPr>
            <w:tcW w:w="0" w:type="auto"/>
            <w:gridSpan w:val="3"/>
            <w:shd w:val="clear" w:color="auto" w:fill="auto"/>
            <w:vAlign w:val="bottom"/>
          </w:tcPr>
          <w:p w14:paraId="392C5F37" w14:textId="77777777" w:rsidR="00980E5F" w:rsidRDefault="00980E5F">
            <w:pPr>
              <w:rPr>
                <w:rFonts w:ascii="宋体"/>
                <w:vanish/>
              </w:rPr>
            </w:pPr>
          </w:p>
        </w:tc>
        <w:tc>
          <w:tcPr>
            <w:tcW w:w="0" w:type="auto"/>
            <w:gridSpan w:val="3"/>
            <w:shd w:val="clear" w:color="auto" w:fill="auto"/>
            <w:vAlign w:val="bottom"/>
          </w:tcPr>
          <w:p w14:paraId="392C5F38" w14:textId="77777777" w:rsidR="00980E5F" w:rsidRDefault="00980E5F">
            <w:pPr>
              <w:rPr>
                <w:rFonts w:ascii="宋体"/>
                <w:vanish/>
              </w:rPr>
            </w:pPr>
          </w:p>
        </w:tc>
        <w:tc>
          <w:tcPr>
            <w:tcW w:w="0" w:type="auto"/>
            <w:gridSpan w:val="3"/>
            <w:shd w:val="clear" w:color="auto" w:fill="auto"/>
            <w:vAlign w:val="bottom"/>
          </w:tcPr>
          <w:p w14:paraId="392C5F39" w14:textId="77777777" w:rsidR="00980E5F" w:rsidRDefault="00980E5F">
            <w:pPr>
              <w:rPr>
                <w:rFonts w:ascii="宋体"/>
                <w:vanish/>
              </w:rPr>
            </w:pPr>
          </w:p>
        </w:tc>
        <w:tc>
          <w:tcPr>
            <w:tcW w:w="0" w:type="auto"/>
            <w:gridSpan w:val="3"/>
            <w:shd w:val="clear" w:color="auto" w:fill="auto"/>
            <w:vAlign w:val="bottom"/>
          </w:tcPr>
          <w:p w14:paraId="392C5F3A" w14:textId="77777777" w:rsidR="00980E5F" w:rsidRDefault="00980E5F">
            <w:pPr>
              <w:rPr>
                <w:rFonts w:ascii="宋体"/>
                <w:vanish/>
              </w:rPr>
            </w:pPr>
          </w:p>
        </w:tc>
        <w:tc>
          <w:tcPr>
            <w:tcW w:w="0" w:type="auto"/>
            <w:gridSpan w:val="3"/>
            <w:shd w:val="clear" w:color="auto" w:fill="auto"/>
            <w:vAlign w:val="bottom"/>
          </w:tcPr>
          <w:p w14:paraId="392C5F3B" w14:textId="77777777" w:rsidR="00980E5F" w:rsidRDefault="00980E5F">
            <w:pPr>
              <w:rPr>
                <w:rFonts w:ascii="宋体"/>
                <w:vanish/>
              </w:rPr>
            </w:pPr>
          </w:p>
        </w:tc>
        <w:tc>
          <w:tcPr>
            <w:tcW w:w="0" w:type="auto"/>
            <w:gridSpan w:val="3"/>
            <w:shd w:val="clear" w:color="auto" w:fill="auto"/>
            <w:vAlign w:val="bottom"/>
          </w:tcPr>
          <w:p w14:paraId="392C5F3C" w14:textId="77777777" w:rsidR="00980E5F" w:rsidRDefault="00980E5F">
            <w:pPr>
              <w:rPr>
                <w:rFonts w:ascii="宋体"/>
                <w:vanish/>
              </w:rPr>
            </w:pPr>
          </w:p>
        </w:tc>
        <w:tc>
          <w:tcPr>
            <w:tcW w:w="0" w:type="auto"/>
            <w:gridSpan w:val="3"/>
            <w:shd w:val="clear" w:color="auto" w:fill="auto"/>
            <w:vAlign w:val="bottom"/>
          </w:tcPr>
          <w:p w14:paraId="392C5F3D" w14:textId="77777777" w:rsidR="00980E5F" w:rsidRDefault="00980E5F">
            <w:pPr>
              <w:rPr>
                <w:rFonts w:ascii="宋体"/>
                <w:vanish/>
              </w:rPr>
            </w:pPr>
          </w:p>
        </w:tc>
        <w:tc>
          <w:tcPr>
            <w:tcW w:w="0" w:type="auto"/>
            <w:gridSpan w:val="3"/>
            <w:shd w:val="clear" w:color="auto" w:fill="auto"/>
            <w:vAlign w:val="bottom"/>
          </w:tcPr>
          <w:p w14:paraId="392C5F3E" w14:textId="77777777" w:rsidR="00980E5F" w:rsidRDefault="00980E5F">
            <w:pPr>
              <w:rPr>
                <w:rFonts w:ascii="宋体"/>
                <w:vanish/>
              </w:rPr>
            </w:pPr>
          </w:p>
        </w:tc>
        <w:tc>
          <w:tcPr>
            <w:tcW w:w="0" w:type="auto"/>
            <w:gridSpan w:val="3"/>
            <w:shd w:val="clear" w:color="auto" w:fill="auto"/>
            <w:vAlign w:val="bottom"/>
          </w:tcPr>
          <w:p w14:paraId="392C5F3F" w14:textId="77777777" w:rsidR="00980E5F" w:rsidRDefault="00980E5F">
            <w:pPr>
              <w:rPr>
                <w:rFonts w:ascii="宋体"/>
                <w:vanish/>
              </w:rPr>
            </w:pPr>
          </w:p>
        </w:tc>
      </w:tr>
      <w:tr w:rsidR="00980E5F" w14:paraId="392C5F51" w14:textId="77777777">
        <w:trPr>
          <w:hidden/>
        </w:trPr>
        <w:tc>
          <w:tcPr>
            <w:tcW w:w="0" w:type="auto"/>
            <w:gridSpan w:val="3"/>
            <w:shd w:val="clear" w:color="auto" w:fill="auto"/>
            <w:vAlign w:val="bottom"/>
          </w:tcPr>
          <w:p w14:paraId="392C5F41" w14:textId="77777777" w:rsidR="00980E5F" w:rsidRDefault="00980E5F">
            <w:pPr>
              <w:rPr>
                <w:rFonts w:ascii="宋体"/>
                <w:vanish/>
              </w:rPr>
            </w:pPr>
          </w:p>
        </w:tc>
        <w:tc>
          <w:tcPr>
            <w:tcW w:w="0" w:type="auto"/>
            <w:gridSpan w:val="3"/>
            <w:shd w:val="clear" w:color="auto" w:fill="auto"/>
            <w:vAlign w:val="bottom"/>
          </w:tcPr>
          <w:p w14:paraId="392C5F42" w14:textId="77777777" w:rsidR="00980E5F" w:rsidRDefault="00980E5F">
            <w:pPr>
              <w:rPr>
                <w:rFonts w:ascii="宋体"/>
                <w:vanish/>
              </w:rPr>
            </w:pPr>
          </w:p>
        </w:tc>
        <w:tc>
          <w:tcPr>
            <w:tcW w:w="0" w:type="auto"/>
            <w:gridSpan w:val="3"/>
            <w:shd w:val="clear" w:color="auto" w:fill="auto"/>
            <w:vAlign w:val="bottom"/>
          </w:tcPr>
          <w:p w14:paraId="392C5F43" w14:textId="77777777" w:rsidR="00980E5F" w:rsidRDefault="00980E5F">
            <w:pPr>
              <w:rPr>
                <w:rFonts w:ascii="宋体"/>
                <w:vanish/>
              </w:rPr>
            </w:pPr>
          </w:p>
        </w:tc>
        <w:tc>
          <w:tcPr>
            <w:tcW w:w="0" w:type="auto"/>
            <w:gridSpan w:val="3"/>
            <w:shd w:val="clear" w:color="auto" w:fill="auto"/>
            <w:vAlign w:val="bottom"/>
          </w:tcPr>
          <w:p w14:paraId="392C5F44" w14:textId="77777777" w:rsidR="00980E5F" w:rsidRDefault="00980E5F">
            <w:pPr>
              <w:rPr>
                <w:rFonts w:ascii="宋体"/>
                <w:vanish/>
              </w:rPr>
            </w:pPr>
          </w:p>
        </w:tc>
        <w:tc>
          <w:tcPr>
            <w:tcW w:w="0" w:type="auto"/>
            <w:gridSpan w:val="3"/>
            <w:shd w:val="clear" w:color="auto" w:fill="auto"/>
            <w:vAlign w:val="bottom"/>
          </w:tcPr>
          <w:p w14:paraId="392C5F45" w14:textId="77777777" w:rsidR="00980E5F" w:rsidRDefault="00980E5F">
            <w:pPr>
              <w:rPr>
                <w:rFonts w:ascii="宋体"/>
                <w:vanish/>
              </w:rPr>
            </w:pPr>
          </w:p>
        </w:tc>
        <w:tc>
          <w:tcPr>
            <w:tcW w:w="0" w:type="auto"/>
            <w:gridSpan w:val="3"/>
            <w:shd w:val="clear" w:color="auto" w:fill="auto"/>
            <w:vAlign w:val="bottom"/>
          </w:tcPr>
          <w:p w14:paraId="392C5F46" w14:textId="77777777" w:rsidR="00980E5F" w:rsidRDefault="00980E5F">
            <w:pPr>
              <w:rPr>
                <w:rFonts w:ascii="宋体"/>
                <w:vanish/>
              </w:rPr>
            </w:pPr>
          </w:p>
        </w:tc>
        <w:tc>
          <w:tcPr>
            <w:tcW w:w="0" w:type="auto"/>
            <w:gridSpan w:val="3"/>
            <w:shd w:val="clear" w:color="auto" w:fill="auto"/>
            <w:vAlign w:val="bottom"/>
          </w:tcPr>
          <w:p w14:paraId="392C5F47" w14:textId="77777777" w:rsidR="00980E5F" w:rsidRDefault="00980E5F">
            <w:pPr>
              <w:rPr>
                <w:rFonts w:ascii="宋体"/>
                <w:vanish/>
              </w:rPr>
            </w:pPr>
          </w:p>
        </w:tc>
        <w:tc>
          <w:tcPr>
            <w:tcW w:w="0" w:type="auto"/>
            <w:gridSpan w:val="3"/>
            <w:shd w:val="clear" w:color="auto" w:fill="auto"/>
            <w:vAlign w:val="bottom"/>
          </w:tcPr>
          <w:p w14:paraId="392C5F48" w14:textId="77777777" w:rsidR="00980E5F" w:rsidRDefault="00980E5F">
            <w:pPr>
              <w:rPr>
                <w:rFonts w:ascii="宋体"/>
                <w:vanish/>
              </w:rPr>
            </w:pPr>
          </w:p>
        </w:tc>
        <w:tc>
          <w:tcPr>
            <w:tcW w:w="0" w:type="auto"/>
            <w:gridSpan w:val="3"/>
            <w:shd w:val="clear" w:color="auto" w:fill="auto"/>
            <w:vAlign w:val="bottom"/>
          </w:tcPr>
          <w:p w14:paraId="392C5F49" w14:textId="77777777" w:rsidR="00980E5F" w:rsidRDefault="00980E5F">
            <w:pPr>
              <w:rPr>
                <w:rFonts w:ascii="宋体"/>
                <w:vanish/>
              </w:rPr>
            </w:pPr>
          </w:p>
        </w:tc>
        <w:tc>
          <w:tcPr>
            <w:tcW w:w="0" w:type="auto"/>
            <w:gridSpan w:val="3"/>
            <w:shd w:val="clear" w:color="auto" w:fill="auto"/>
            <w:vAlign w:val="bottom"/>
          </w:tcPr>
          <w:p w14:paraId="392C5F4A" w14:textId="77777777" w:rsidR="00980E5F" w:rsidRDefault="00980E5F">
            <w:pPr>
              <w:rPr>
                <w:rFonts w:ascii="宋体"/>
                <w:vanish/>
              </w:rPr>
            </w:pPr>
          </w:p>
        </w:tc>
        <w:tc>
          <w:tcPr>
            <w:tcW w:w="0" w:type="auto"/>
            <w:gridSpan w:val="3"/>
            <w:shd w:val="clear" w:color="auto" w:fill="auto"/>
            <w:vAlign w:val="bottom"/>
          </w:tcPr>
          <w:p w14:paraId="392C5F4B" w14:textId="77777777" w:rsidR="00980E5F" w:rsidRDefault="00980E5F">
            <w:pPr>
              <w:rPr>
                <w:rFonts w:ascii="宋体"/>
                <w:vanish/>
              </w:rPr>
            </w:pPr>
          </w:p>
        </w:tc>
        <w:tc>
          <w:tcPr>
            <w:tcW w:w="0" w:type="auto"/>
            <w:gridSpan w:val="3"/>
            <w:shd w:val="clear" w:color="auto" w:fill="auto"/>
            <w:vAlign w:val="bottom"/>
          </w:tcPr>
          <w:p w14:paraId="392C5F4C" w14:textId="77777777" w:rsidR="00980E5F" w:rsidRDefault="00980E5F">
            <w:pPr>
              <w:rPr>
                <w:rFonts w:ascii="宋体"/>
                <w:vanish/>
              </w:rPr>
            </w:pPr>
          </w:p>
        </w:tc>
        <w:tc>
          <w:tcPr>
            <w:tcW w:w="0" w:type="auto"/>
            <w:gridSpan w:val="3"/>
            <w:shd w:val="clear" w:color="auto" w:fill="auto"/>
            <w:vAlign w:val="bottom"/>
          </w:tcPr>
          <w:p w14:paraId="392C5F4D" w14:textId="77777777" w:rsidR="00980E5F" w:rsidRDefault="00980E5F">
            <w:pPr>
              <w:rPr>
                <w:rFonts w:ascii="宋体"/>
                <w:vanish/>
              </w:rPr>
            </w:pPr>
          </w:p>
        </w:tc>
        <w:tc>
          <w:tcPr>
            <w:tcW w:w="0" w:type="auto"/>
            <w:gridSpan w:val="3"/>
            <w:shd w:val="clear" w:color="auto" w:fill="auto"/>
            <w:vAlign w:val="bottom"/>
          </w:tcPr>
          <w:p w14:paraId="392C5F4E" w14:textId="77777777" w:rsidR="00980E5F" w:rsidRDefault="00980E5F">
            <w:pPr>
              <w:rPr>
                <w:rFonts w:ascii="宋体"/>
                <w:vanish/>
              </w:rPr>
            </w:pPr>
          </w:p>
        </w:tc>
        <w:tc>
          <w:tcPr>
            <w:tcW w:w="0" w:type="auto"/>
            <w:gridSpan w:val="3"/>
            <w:shd w:val="clear" w:color="auto" w:fill="auto"/>
            <w:vAlign w:val="bottom"/>
          </w:tcPr>
          <w:p w14:paraId="392C5F4F" w14:textId="77777777" w:rsidR="00980E5F" w:rsidRDefault="00980E5F">
            <w:pPr>
              <w:rPr>
                <w:rFonts w:ascii="宋体"/>
                <w:vanish/>
              </w:rPr>
            </w:pPr>
          </w:p>
        </w:tc>
        <w:tc>
          <w:tcPr>
            <w:tcW w:w="0" w:type="auto"/>
            <w:gridSpan w:val="3"/>
            <w:shd w:val="clear" w:color="auto" w:fill="auto"/>
            <w:vAlign w:val="bottom"/>
          </w:tcPr>
          <w:p w14:paraId="392C5F50" w14:textId="77777777" w:rsidR="00980E5F" w:rsidRDefault="00980E5F">
            <w:pPr>
              <w:rPr>
                <w:rFonts w:ascii="宋体"/>
                <w:vanish/>
              </w:rPr>
            </w:pPr>
          </w:p>
        </w:tc>
      </w:tr>
      <w:tr w:rsidR="00483613" w14:paraId="392C5F72" w14:textId="77777777">
        <w:tc>
          <w:tcPr>
            <w:tcW w:w="0" w:type="auto"/>
            <w:gridSpan w:val="3"/>
            <w:shd w:val="clear" w:color="auto" w:fill="FFFFFF"/>
            <w:tcMar>
              <w:top w:w="40" w:type="dxa"/>
              <w:left w:w="20" w:type="dxa"/>
              <w:bottom w:w="40" w:type="dxa"/>
              <w:right w:w="20" w:type="dxa"/>
            </w:tcMar>
            <w:vAlign w:val="bottom"/>
          </w:tcPr>
          <w:p w14:paraId="392C5F52" w14:textId="77777777" w:rsidR="00980E5F" w:rsidRDefault="00483613">
            <w:pP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(7)(9)</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5F53"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54" w14:textId="77777777" w:rsidR="00980E5F" w:rsidRDefault="00483613">
            <w:pPr>
              <w:jc w:val="right"/>
              <w:textAlignment w:val="bottom"/>
            </w:pPr>
            <w:r>
              <w:rPr>
                <w:rFonts w:ascii="Arial" w:eastAsia="宋体" w:hAnsi="Arial" w:cs="Arial"/>
                <w:b/>
                <w:bCs/>
                <w:color w:val="000000"/>
                <w:sz w:val="15"/>
                <w:szCs w:val="15"/>
              </w:rPr>
              <w:t>46,596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56"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57"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58" w14:textId="77777777" w:rsidR="00980E5F" w:rsidRDefault="00483613">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5A"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5B"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5C" w14:textId="77777777" w:rsidR="00980E5F" w:rsidRDefault="00483613">
            <w:pPr>
              <w:jc w:val="right"/>
              <w:textAlignment w:val="bottom"/>
            </w:pPr>
            <w:r>
              <w:rPr>
                <w:rFonts w:ascii="Arial" w:eastAsia="宋体" w:hAnsi="Arial" w:cs="Arial"/>
                <w:b/>
                <w:bCs/>
                <w:color w:val="000000"/>
                <w:sz w:val="15"/>
                <w:szCs w:val="15"/>
              </w:rPr>
              <w:t>1,162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5E"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5F"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60" w14:textId="77777777" w:rsidR="00980E5F" w:rsidRDefault="00483613">
            <w:pPr>
              <w:jc w:val="right"/>
              <w:textAlignment w:val="bottom"/>
            </w:pPr>
            <w:r>
              <w:rPr>
                <w:rFonts w:ascii="Arial" w:eastAsia="宋体" w:hAnsi="Arial" w:cs="Arial"/>
                <w:b/>
                <w:bCs/>
                <w:color w:val="000000"/>
                <w:sz w:val="15"/>
                <w:szCs w:val="15"/>
              </w:rPr>
              <w:t>45,454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6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63"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64" w14:textId="77777777" w:rsidR="00980E5F" w:rsidRDefault="00483613">
            <w:pPr>
              <w:jc w:val="right"/>
              <w:textAlignment w:val="bottom"/>
            </w:pPr>
            <w:r>
              <w:rPr>
                <w:rFonts w:ascii="Arial" w:eastAsia="宋体" w:hAnsi="Arial" w:cs="Arial"/>
                <w:color w:val="000000"/>
                <w:sz w:val="15"/>
                <w:szCs w:val="15"/>
              </w:rPr>
              <w:t>73,440 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66"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67"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68" w14:textId="77777777" w:rsidR="00980E5F" w:rsidRDefault="00483613">
            <w:pPr>
              <w:jc w:val="right"/>
              <w:textAlignment w:val="bottom"/>
            </w:pPr>
            <w:r>
              <w:rPr>
                <w:rFonts w:ascii="Arial" w:eastAsia="宋体" w:hAnsi="Arial" w:cs="Arial"/>
                <w:color w:val="000000"/>
                <w:sz w:val="15"/>
                <w:szCs w:val="15"/>
              </w:rPr>
              <w:t>404 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6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6A"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6B"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6C" w14:textId="77777777" w:rsidR="00980E5F" w:rsidRDefault="00483613">
            <w:pPr>
              <w:jc w:val="right"/>
              <w:textAlignment w:val="bottom"/>
            </w:pPr>
            <w:r>
              <w:rPr>
                <w:rFonts w:ascii="Arial" w:eastAsia="宋体" w:hAnsi="Arial" w:cs="Arial"/>
                <w:color w:val="000000"/>
                <w:sz w:val="15"/>
                <w:szCs w:val="15"/>
              </w:rPr>
              <w:t>445 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6E"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5F6F"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5F70" w14:textId="77777777" w:rsidR="00980E5F" w:rsidRDefault="00483613">
            <w:pPr>
              <w:jc w:val="right"/>
              <w:textAlignment w:val="bottom"/>
            </w:pPr>
            <w:r>
              <w:rPr>
                <w:rFonts w:ascii="Arial" w:eastAsia="宋体" w:hAnsi="Arial" w:cs="Arial"/>
                <w:color w:val="000000"/>
                <w:sz w:val="15"/>
                <w:szCs w:val="15"/>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5F71" w14:textId="77777777" w:rsidR="00980E5F" w:rsidRDefault="00980E5F">
            <w:pPr>
              <w:jc w:val="right"/>
              <w:rPr>
                <w:rFonts w:ascii="宋体"/>
              </w:rPr>
            </w:pPr>
          </w:p>
        </w:tc>
      </w:tr>
      <w:tr w:rsidR="00980E5F" w14:paraId="392C5F83" w14:textId="77777777">
        <w:tc>
          <w:tcPr>
            <w:tcW w:w="0" w:type="auto"/>
            <w:gridSpan w:val="3"/>
            <w:shd w:val="clear" w:color="auto" w:fill="CCEEFF"/>
            <w:tcMar>
              <w:top w:w="40" w:type="dxa"/>
              <w:left w:w="20" w:type="dxa"/>
              <w:bottom w:w="40" w:type="dxa"/>
              <w:right w:w="20" w:type="dxa"/>
            </w:tcMar>
            <w:vAlign w:val="bottom"/>
          </w:tcPr>
          <w:p w14:paraId="392C5F73" w14:textId="77777777" w:rsidR="00980E5F" w:rsidRDefault="00483613">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5"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7"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9"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B"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D"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7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7F"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8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5F81"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5F82" w14:textId="77777777" w:rsidR="00980E5F" w:rsidRDefault="00980E5F">
            <w:pPr>
              <w:rPr>
                <w:rFonts w:ascii="宋体"/>
              </w:rPr>
            </w:pPr>
          </w:p>
        </w:tc>
      </w:tr>
      <w:tr w:rsidR="00980E5F" w14:paraId="392C5F94" w14:textId="77777777">
        <w:tc>
          <w:tcPr>
            <w:tcW w:w="0" w:type="auto"/>
            <w:gridSpan w:val="3"/>
            <w:shd w:val="clear" w:color="auto" w:fill="FFFFFF"/>
            <w:tcMar>
              <w:top w:w="40" w:type="dxa"/>
              <w:left w:w="20" w:type="dxa"/>
              <w:bottom w:w="40" w:type="dxa"/>
              <w:right w:w="20" w:type="dxa"/>
            </w:tcMar>
            <w:vAlign w:val="bottom"/>
          </w:tcPr>
          <w:p w14:paraId="392C5F84" w14:textId="77777777" w:rsidR="00980E5F" w:rsidRDefault="00483613">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392C5F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8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9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9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93" w14:textId="77777777" w:rsidR="00980E5F" w:rsidRDefault="00980E5F">
            <w:pPr>
              <w:rPr>
                <w:rFonts w:ascii="宋体"/>
              </w:rPr>
            </w:pPr>
          </w:p>
        </w:tc>
      </w:tr>
      <w:tr w:rsidR="00483613" w14:paraId="392C5FB5" w14:textId="77777777">
        <w:tc>
          <w:tcPr>
            <w:tcW w:w="0" w:type="auto"/>
            <w:gridSpan w:val="3"/>
            <w:shd w:val="clear" w:color="auto" w:fill="CCEEFF"/>
            <w:tcMar>
              <w:top w:w="40" w:type="dxa"/>
              <w:left w:w="245" w:type="dxa"/>
              <w:bottom w:w="40" w:type="dxa"/>
              <w:right w:w="20" w:type="dxa"/>
            </w:tcMar>
            <w:vAlign w:val="bottom"/>
          </w:tcPr>
          <w:p w14:paraId="392C5F95" w14:textId="77777777" w:rsidR="00980E5F" w:rsidRDefault="00483613">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392C5F96"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F97" w14:textId="77777777" w:rsidR="00980E5F" w:rsidRDefault="00483613">
            <w:pPr>
              <w:jc w:val="right"/>
              <w:textAlignment w:val="bottom"/>
            </w:pPr>
            <w:r>
              <w:rPr>
                <w:rFonts w:ascii="Arial" w:eastAsia="宋体" w:hAnsi="Arial" w:cs="Arial"/>
                <w:b/>
                <w:bCs/>
                <w:color w:val="000000"/>
                <w:sz w:val="15"/>
                <w:szCs w:val="15"/>
              </w:rPr>
              <w:t>11,424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9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9A"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F9B"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9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9E"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F9F" w14:textId="77777777" w:rsidR="00980E5F" w:rsidRDefault="00483613">
            <w:pPr>
              <w:jc w:val="right"/>
              <w:textAlignment w:val="bottom"/>
            </w:pPr>
            <w:r>
              <w:rPr>
                <w:rFonts w:ascii="Arial" w:eastAsia="宋体" w:hAnsi="Arial" w:cs="Arial"/>
                <w:b/>
                <w:bCs/>
                <w:color w:val="000000"/>
                <w:sz w:val="15"/>
                <w:szCs w:val="15"/>
              </w:rPr>
              <w:t>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A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A2"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5FA3" w14:textId="77777777" w:rsidR="00980E5F" w:rsidRDefault="00483613">
            <w:pPr>
              <w:jc w:val="right"/>
              <w:textAlignment w:val="bottom"/>
            </w:pPr>
            <w:r>
              <w:rPr>
                <w:rFonts w:ascii="Arial" w:eastAsia="宋体" w:hAnsi="Arial" w:cs="Arial"/>
                <w:b/>
                <w:bCs/>
                <w:color w:val="000000"/>
                <w:sz w:val="15"/>
                <w:szCs w:val="15"/>
              </w:rPr>
              <w:t>11,349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A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A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A6"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FA7" w14:textId="77777777" w:rsidR="00980E5F" w:rsidRDefault="00483613">
            <w:pPr>
              <w:jc w:val="right"/>
              <w:textAlignment w:val="bottom"/>
            </w:pPr>
            <w:r>
              <w:rPr>
                <w:rFonts w:ascii="Arial" w:eastAsia="宋体" w:hAnsi="Arial" w:cs="Arial"/>
                <w:color w:val="000000"/>
                <w:sz w:val="15"/>
                <w:szCs w:val="15"/>
              </w:rPr>
              <w:t>2,170 </w:t>
            </w:r>
          </w:p>
        </w:tc>
        <w:tc>
          <w:tcPr>
            <w:tcW w:w="0" w:type="auto"/>
            <w:shd w:val="clear" w:color="auto" w:fill="CCEEFF"/>
            <w:tcMar>
              <w:top w:w="40" w:type="dxa"/>
              <w:left w:w="0" w:type="dxa"/>
              <w:bottom w:w="40" w:type="dxa"/>
              <w:right w:w="20" w:type="dxa"/>
            </w:tcMar>
            <w:vAlign w:val="bottom"/>
          </w:tcPr>
          <w:p w14:paraId="392C5F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A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AA"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FAB" w14:textId="77777777" w:rsidR="00980E5F" w:rsidRDefault="00483613">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392C5F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A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AE"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FAF"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5F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B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5FB2"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5FB3" w14:textId="77777777" w:rsidR="00980E5F" w:rsidRDefault="00483613">
            <w:pPr>
              <w:jc w:val="right"/>
              <w:textAlignment w:val="bottom"/>
            </w:pPr>
            <w:r>
              <w:rPr>
                <w:rFonts w:ascii="Arial" w:eastAsia="宋体" w:hAnsi="Arial" w:cs="Arial"/>
                <w:color w:val="000000"/>
                <w:sz w:val="15"/>
                <w:szCs w:val="15"/>
              </w:rPr>
              <w:t>2,180 </w:t>
            </w:r>
          </w:p>
        </w:tc>
        <w:tc>
          <w:tcPr>
            <w:tcW w:w="0" w:type="auto"/>
            <w:shd w:val="clear" w:color="auto" w:fill="CCEEFF"/>
            <w:tcMar>
              <w:top w:w="40" w:type="dxa"/>
              <w:left w:w="0" w:type="dxa"/>
              <w:bottom w:w="40" w:type="dxa"/>
              <w:right w:w="20" w:type="dxa"/>
            </w:tcMar>
            <w:vAlign w:val="bottom"/>
          </w:tcPr>
          <w:p w14:paraId="392C5FB4" w14:textId="77777777" w:rsidR="00980E5F" w:rsidRDefault="00980E5F">
            <w:pPr>
              <w:jc w:val="right"/>
              <w:rPr>
                <w:rFonts w:ascii="宋体"/>
              </w:rPr>
            </w:pPr>
          </w:p>
        </w:tc>
      </w:tr>
      <w:tr w:rsidR="00980E5F" w14:paraId="392C5FCE" w14:textId="77777777">
        <w:tc>
          <w:tcPr>
            <w:tcW w:w="0" w:type="auto"/>
            <w:gridSpan w:val="3"/>
            <w:shd w:val="clear" w:color="auto" w:fill="FFFFFF"/>
            <w:tcMar>
              <w:top w:w="40" w:type="dxa"/>
              <w:left w:w="245" w:type="dxa"/>
              <w:bottom w:w="40" w:type="dxa"/>
              <w:right w:w="20" w:type="dxa"/>
            </w:tcMar>
            <w:vAlign w:val="bottom"/>
          </w:tcPr>
          <w:p w14:paraId="392C5FB6" w14:textId="77777777" w:rsidR="00980E5F" w:rsidRDefault="00483613">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392C5FB7" w14:textId="77777777" w:rsidR="00980E5F" w:rsidRDefault="00483613">
            <w:pPr>
              <w:jc w:val="right"/>
              <w:textAlignment w:val="bottom"/>
            </w:pPr>
            <w:r>
              <w:rPr>
                <w:rFonts w:ascii="Arial" w:eastAsia="宋体" w:hAnsi="Arial" w:cs="Arial"/>
                <w:b/>
                <w:bCs/>
                <w:color w:val="000000"/>
                <w:sz w:val="15"/>
                <w:szCs w:val="15"/>
              </w:rPr>
              <w:t>41,660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F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BA"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F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BD" w14:textId="77777777" w:rsidR="00980E5F" w:rsidRDefault="00483613">
            <w:pPr>
              <w:jc w:val="right"/>
              <w:textAlignment w:val="bottom"/>
            </w:pPr>
            <w:r>
              <w:rPr>
                <w:rFonts w:ascii="Arial" w:eastAsia="宋体" w:hAnsi="Arial" w:cs="Arial"/>
                <w:b/>
                <w:bCs/>
                <w:color w:val="000000"/>
                <w:sz w:val="15"/>
                <w:szCs w:val="15"/>
              </w:rPr>
              <w:t>3,854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F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C0" w14:textId="77777777" w:rsidR="00980E5F" w:rsidRDefault="00483613">
            <w:pPr>
              <w:jc w:val="right"/>
              <w:textAlignment w:val="bottom"/>
            </w:pPr>
            <w:r>
              <w:rPr>
                <w:rFonts w:ascii="Arial" w:eastAsia="宋体" w:hAnsi="Arial" w:cs="Arial"/>
                <w:b/>
                <w:bCs/>
                <w:color w:val="000000"/>
                <w:sz w:val="15"/>
                <w:szCs w:val="15"/>
              </w:rPr>
              <w:t>37,808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5F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C3" w14:textId="77777777" w:rsidR="00980E5F" w:rsidRDefault="00483613">
            <w:pPr>
              <w:jc w:val="right"/>
              <w:textAlignment w:val="bottom"/>
            </w:pPr>
            <w:r>
              <w:rPr>
                <w:rFonts w:ascii="Arial" w:eastAsia="宋体" w:hAnsi="Arial" w:cs="Arial"/>
                <w:color w:val="000000"/>
                <w:sz w:val="15"/>
                <w:szCs w:val="15"/>
              </w:rPr>
              <w:t>33,481 </w:t>
            </w:r>
          </w:p>
        </w:tc>
        <w:tc>
          <w:tcPr>
            <w:tcW w:w="0" w:type="auto"/>
            <w:shd w:val="clear" w:color="auto" w:fill="FFFFFF"/>
            <w:tcMar>
              <w:top w:w="40" w:type="dxa"/>
              <w:left w:w="0" w:type="dxa"/>
              <w:bottom w:w="40" w:type="dxa"/>
              <w:right w:w="20" w:type="dxa"/>
            </w:tcMar>
            <w:vAlign w:val="bottom"/>
          </w:tcPr>
          <w:p w14:paraId="392C5F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C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C6" w14:textId="77777777" w:rsidR="00980E5F" w:rsidRDefault="00483613">
            <w:pPr>
              <w:jc w:val="right"/>
              <w:textAlignment w:val="bottom"/>
            </w:pPr>
            <w:r>
              <w:rPr>
                <w:rFonts w:ascii="Arial" w:eastAsia="宋体" w:hAnsi="Arial" w:cs="Arial"/>
                <w:color w:val="000000"/>
                <w:sz w:val="15"/>
                <w:szCs w:val="15"/>
              </w:rPr>
              <w:t>362 </w:t>
            </w:r>
          </w:p>
        </w:tc>
        <w:tc>
          <w:tcPr>
            <w:tcW w:w="0" w:type="auto"/>
            <w:shd w:val="clear" w:color="auto" w:fill="FFFFFF"/>
            <w:tcMar>
              <w:top w:w="40" w:type="dxa"/>
              <w:left w:w="0" w:type="dxa"/>
              <w:bottom w:w="40" w:type="dxa"/>
              <w:right w:w="20" w:type="dxa"/>
            </w:tcMar>
            <w:vAlign w:val="bottom"/>
          </w:tcPr>
          <w:p w14:paraId="392C5FC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C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C9" w14:textId="77777777" w:rsidR="00980E5F" w:rsidRDefault="00483613">
            <w:pPr>
              <w:jc w:val="right"/>
              <w:textAlignment w:val="bottom"/>
            </w:pPr>
            <w:r>
              <w:rPr>
                <w:rFonts w:ascii="Arial" w:eastAsia="宋体" w:hAnsi="Arial" w:cs="Arial"/>
                <w:color w:val="000000"/>
                <w:sz w:val="15"/>
                <w:szCs w:val="15"/>
              </w:rPr>
              <w:t>578 </w:t>
            </w:r>
          </w:p>
        </w:tc>
        <w:tc>
          <w:tcPr>
            <w:tcW w:w="0" w:type="auto"/>
            <w:shd w:val="clear" w:color="auto" w:fill="FFFFFF"/>
            <w:tcMar>
              <w:top w:w="40" w:type="dxa"/>
              <w:left w:w="0" w:type="dxa"/>
              <w:bottom w:w="40" w:type="dxa"/>
              <w:right w:w="20" w:type="dxa"/>
            </w:tcMar>
            <w:vAlign w:val="bottom"/>
          </w:tcPr>
          <w:p w14:paraId="392C5F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5FC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5FCC" w14:textId="77777777" w:rsidR="00980E5F" w:rsidRDefault="00483613">
            <w:pPr>
              <w:jc w:val="right"/>
              <w:textAlignment w:val="bottom"/>
            </w:pPr>
            <w:r>
              <w:rPr>
                <w:rFonts w:ascii="Arial" w:eastAsia="宋体" w:hAnsi="Arial" w:cs="Arial"/>
                <w:color w:val="000000"/>
                <w:sz w:val="15"/>
                <w:szCs w:val="15"/>
              </w:rPr>
              <w:t>33,265 </w:t>
            </w:r>
          </w:p>
        </w:tc>
        <w:tc>
          <w:tcPr>
            <w:tcW w:w="0" w:type="auto"/>
            <w:shd w:val="clear" w:color="auto" w:fill="FFFFFF"/>
            <w:tcMar>
              <w:top w:w="40" w:type="dxa"/>
              <w:left w:w="0" w:type="dxa"/>
              <w:bottom w:w="40" w:type="dxa"/>
              <w:right w:w="20" w:type="dxa"/>
            </w:tcMar>
            <w:vAlign w:val="bottom"/>
          </w:tcPr>
          <w:p w14:paraId="392C5FCD" w14:textId="77777777" w:rsidR="00980E5F" w:rsidRDefault="00980E5F">
            <w:pPr>
              <w:jc w:val="right"/>
              <w:rPr>
                <w:rFonts w:ascii="宋体"/>
              </w:rPr>
            </w:pPr>
          </w:p>
        </w:tc>
      </w:tr>
      <w:tr w:rsidR="00980E5F" w14:paraId="392C5FE7" w14:textId="77777777">
        <w:tc>
          <w:tcPr>
            <w:tcW w:w="0" w:type="auto"/>
            <w:gridSpan w:val="3"/>
            <w:shd w:val="clear" w:color="auto" w:fill="CCEEFF"/>
            <w:tcMar>
              <w:top w:w="40" w:type="dxa"/>
              <w:left w:w="380" w:type="dxa"/>
              <w:bottom w:w="40" w:type="dxa"/>
              <w:right w:w="20" w:type="dxa"/>
            </w:tcMar>
            <w:vAlign w:val="bottom"/>
          </w:tcPr>
          <w:p w14:paraId="392C5FCF" w14:textId="77777777" w:rsidR="00980E5F" w:rsidRDefault="00483613">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0" w14:textId="77777777" w:rsidR="00980E5F" w:rsidRDefault="00483613">
            <w:pPr>
              <w:jc w:val="right"/>
              <w:textAlignment w:val="bottom"/>
            </w:pPr>
            <w:r>
              <w:rPr>
                <w:rFonts w:ascii="Arial" w:eastAsia="宋体" w:hAnsi="Arial" w:cs="Arial"/>
                <w:b/>
                <w:bCs/>
                <w:color w:val="000000"/>
                <w:sz w:val="15"/>
                <w:szCs w:val="15"/>
              </w:rPr>
              <w:t>53,084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D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3" w14:textId="77777777" w:rsidR="00980E5F" w:rsidRDefault="00483613">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D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6" w14:textId="77777777" w:rsidR="00980E5F" w:rsidRDefault="00483613">
            <w:pPr>
              <w:jc w:val="right"/>
              <w:textAlignment w:val="bottom"/>
            </w:pPr>
            <w:r>
              <w:rPr>
                <w:rFonts w:ascii="Arial" w:eastAsia="宋体" w:hAnsi="Arial" w:cs="Arial"/>
                <w:b/>
                <w:bCs/>
                <w:color w:val="000000"/>
                <w:sz w:val="15"/>
                <w:szCs w:val="15"/>
              </w:rPr>
              <w:t>3,929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D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D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9" w14:textId="77777777" w:rsidR="00980E5F" w:rsidRDefault="00483613">
            <w:pPr>
              <w:jc w:val="right"/>
              <w:textAlignment w:val="bottom"/>
            </w:pPr>
            <w:r>
              <w:rPr>
                <w:rFonts w:ascii="Arial" w:eastAsia="宋体" w:hAnsi="Arial" w:cs="Arial"/>
                <w:b/>
                <w:bCs/>
                <w:color w:val="000000"/>
                <w:sz w:val="15"/>
                <w:szCs w:val="15"/>
              </w:rPr>
              <w:t>49,157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D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C" w14:textId="77777777" w:rsidR="00980E5F" w:rsidRDefault="00483613">
            <w:pPr>
              <w:jc w:val="right"/>
              <w:textAlignment w:val="bottom"/>
            </w:pPr>
            <w:r>
              <w:rPr>
                <w:rFonts w:ascii="Arial" w:eastAsia="宋体" w:hAnsi="Arial" w:cs="Arial"/>
                <w:color w:val="000000"/>
                <w:sz w:val="15"/>
                <w:szCs w:val="15"/>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D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DF" w14:textId="77777777" w:rsidR="00980E5F" w:rsidRDefault="00483613">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E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E2" w14:textId="77777777" w:rsidR="00980E5F" w:rsidRDefault="00483613">
            <w:pPr>
              <w:jc w:val="right"/>
              <w:textAlignment w:val="bottom"/>
            </w:pPr>
            <w:r>
              <w:rPr>
                <w:rFonts w:ascii="Arial" w:eastAsia="宋体" w:hAnsi="Arial" w:cs="Arial"/>
                <w:color w:val="000000"/>
                <w:sz w:val="15"/>
                <w:szCs w:val="15"/>
              </w:rPr>
              <w:t>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E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5FE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5FE5" w14:textId="77777777" w:rsidR="00980E5F" w:rsidRDefault="00483613">
            <w:pPr>
              <w:jc w:val="right"/>
              <w:textAlignment w:val="bottom"/>
            </w:pPr>
            <w:r>
              <w:rPr>
                <w:rFonts w:ascii="Arial" w:eastAsia="宋体" w:hAnsi="Arial" w:cs="Arial"/>
                <w:color w:val="000000"/>
                <w:sz w:val="15"/>
                <w:szCs w:val="15"/>
              </w:rPr>
              <w:t>35,445 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5FE6" w14:textId="77777777" w:rsidR="00980E5F" w:rsidRDefault="00980E5F">
            <w:pPr>
              <w:jc w:val="right"/>
              <w:rPr>
                <w:rFonts w:ascii="宋体"/>
              </w:rPr>
            </w:pPr>
          </w:p>
        </w:tc>
      </w:tr>
      <w:tr w:rsidR="00980E5F" w14:paraId="392C5FF8" w14:textId="77777777">
        <w:tc>
          <w:tcPr>
            <w:tcW w:w="0" w:type="auto"/>
            <w:gridSpan w:val="3"/>
            <w:shd w:val="clear" w:color="auto" w:fill="FFFFFF"/>
            <w:tcMar>
              <w:top w:w="40" w:type="dxa"/>
              <w:left w:w="20" w:type="dxa"/>
              <w:bottom w:w="40" w:type="dxa"/>
              <w:right w:w="20" w:type="dxa"/>
            </w:tcMar>
            <w:vAlign w:val="bottom"/>
          </w:tcPr>
          <w:p w14:paraId="392C5FE8" w14:textId="77777777" w:rsidR="00980E5F" w:rsidRDefault="00483613">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E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E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E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E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EE"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F0"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F2"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F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F4"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F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5FF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5FF7" w14:textId="77777777" w:rsidR="00980E5F" w:rsidRDefault="00980E5F">
            <w:pPr>
              <w:rPr>
                <w:rFonts w:ascii="宋体"/>
              </w:rPr>
            </w:pPr>
          </w:p>
        </w:tc>
      </w:tr>
      <w:tr w:rsidR="00980E5F" w14:paraId="392C6009" w14:textId="77777777">
        <w:trPr>
          <w:hidden/>
        </w:trPr>
        <w:tc>
          <w:tcPr>
            <w:tcW w:w="0" w:type="auto"/>
            <w:gridSpan w:val="3"/>
            <w:shd w:val="clear" w:color="auto" w:fill="auto"/>
            <w:vAlign w:val="bottom"/>
          </w:tcPr>
          <w:p w14:paraId="392C5FF9" w14:textId="77777777" w:rsidR="00980E5F" w:rsidRDefault="00980E5F">
            <w:pPr>
              <w:rPr>
                <w:rFonts w:ascii="宋体"/>
                <w:vanish/>
              </w:rPr>
            </w:pPr>
          </w:p>
        </w:tc>
        <w:tc>
          <w:tcPr>
            <w:tcW w:w="0" w:type="auto"/>
            <w:gridSpan w:val="3"/>
            <w:shd w:val="clear" w:color="auto" w:fill="auto"/>
            <w:vAlign w:val="bottom"/>
          </w:tcPr>
          <w:p w14:paraId="392C5FFA" w14:textId="77777777" w:rsidR="00980E5F" w:rsidRDefault="00980E5F">
            <w:pPr>
              <w:rPr>
                <w:rFonts w:ascii="宋体"/>
                <w:vanish/>
              </w:rPr>
            </w:pPr>
          </w:p>
        </w:tc>
        <w:tc>
          <w:tcPr>
            <w:tcW w:w="0" w:type="auto"/>
            <w:gridSpan w:val="3"/>
            <w:shd w:val="clear" w:color="auto" w:fill="auto"/>
            <w:vAlign w:val="bottom"/>
          </w:tcPr>
          <w:p w14:paraId="392C5FFB" w14:textId="77777777" w:rsidR="00980E5F" w:rsidRDefault="00980E5F">
            <w:pPr>
              <w:rPr>
                <w:rFonts w:ascii="宋体"/>
                <w:vanish/>
              </w:rPr>
            </w:pPr>
          </w:p>
        </w:tc>
        <w:tc>
          <w:tcPr>
            <w:tcW w:w="0" w:type="auto"/>
            <w:gridSpan w:val="3"/>
            <w:shd w:val="clear" w:color="auto" w:fill="auto"/>
            <w:vAlign w:val="bottom"/>
          </w:tcPr>
          <w:p w14:paraId="392C5FFC" w14:textId="77777777" w:rsidR="00980E5F" w:rsidRDefault="00980E5F">
            <w:pPr>
              <w:rPr>
                <w:rFonts w:ascii="宋体"/>
                <w:vanish/>
              </w:rPr>
            </w:pPr>
          </w:p>
        </w:tc>
        <w:tc>
          <w:tcPr>
            <w:tcW w:w="0" w:type="auto"/>
            <w:gridSpan w:val="3"/>
            <w:shd w:val="clear" w:color="auto" w:fill="auto"/>
            <w:vAlign w:val="bottom"/>
          </w:tcPr>
          <w:p w14:paraId="392C5FFD" w14:textId="77777777" w:rsidR="00980E5F" w:rsidRDefault="00980E5F">
            <w:pPr>
              <w:rPr>
                <w:rFonts w:ascii="宋体"/>
                <w:vanish/>
              </w:rPr>
            </w:pPr>
          </w:p>
        </w:tc>
        <w:tc>
          <w:tcPr>
            <w:tcW w:w="0" w:type="auto"/>
            <w:gridSpan w:val="3"/>
            <w:shd w:val="clear" w:color="auto" w:fill="auto"/>
            <w:vAlign w:val="bottom"/>
          </w:tcPr>
          <w:p w14:paraId="392C5FFE" w14:textId="77777777" w:rsidR="00980E5F" w:rsidRDefault="00980E5F">
            <w:pPr>
              <w:rPr>
                <w:rFonts w:ascii="宋体"/>
                <w:vanish/>
              </w:rPr>
            </w:pPr>
          </w:p>
        </w:tc>
        <w:tc>
          <w:tcPr>
            <w:tcW w:w="0" w:type="auto"/>
            <w:gridSpan w:val="3"/>
            <w:shd w:val="clear" w:color="auto" w:fill="auto"/>
            <w:vAlign w:val="bottom"/>
          </w:tcPr>
          <w:p w14:paraId="392C5FFF" w14:textId="77777777" w:rsidR="00980E5F" w:rsidRDefault="00980E5F">
            <w:pPr>
              <w:rPr>
                <w:rFonts w:ascii="宋体"/>
                <w:vanish/>
              </w:rPr>
            </w:pPr>
          </w:p>
        </w:tc>
        <w:tc>
          <w:tcPr>
            <w:tcW w:w="0" w:type="auto"/>
            <w:gridSpan w:val="3"/>
            <w:shd w:val="clear" w:color="auto" w:fill="auto"/>
            <w:vAlign w:val="bottom"/>
          </w:tcPr>
          <w:p w14:paraId="392C6000" w14:textId="77777777" w:rsidR="00980E5F" w:rsidRDefault="00980E5F">
            <w:pPr>
              <w:rPr>
                <w:rFonts w:ascii="宋体"/>
                <w:vanish/>
              </w:rPr>
            </w:pPr>
          </w:p>
        </w:tc>
        <w:tc>
          <w:tcPr>
            <w:tcW w:w="0" w:type="auto"/>
            <w:gridSpan w:val="3"/>
            <w:shd w:val="clear" w:color="auto" w:fill="auto"/>
            <w:vAlign w:val="bottom"/>
          </w:tcPr>
          <w:p w14:paraId="392C6001" w14:textId="77777777" w:rsidR="00980E5F" w:rsidRDefault="00980E5F">
            <w:pPr>
              <w:rPr>
                <w:rFonts w:ascii="宋体"/>
                <w:vanish/>
              </w:rPr>
            </w:pPr>
          </w:p>
        </w:tc>
        <w:tc>
          <w:tcPr>
            <w:tcW w:w="0" w:type="auto"/>
            <w:gridSpan w:val="3"/>
            <w:shd w:val="clear" w:color="auto" w:fill="auto"/>
            <w:vAlign w:val="bottom"/>
          </w:tcPr>
          <w:p w14:paraId="392C6002" w14:textId="77777777" w:rsidR="00980E5F" w:rsidRDefault="00980E5F">
            <w:pPr>
              <w:rPr>
                <w:rFonts w:ascii="宋体"/>
                <w:vanish/>
              </w:rPr>
            </w:pPr>
          </w:p>
        </w:tc>
        <w:tc>
          <w:tcPr>
            <w:tcW w:w="0" w:type="auto"/>
            <w:gridSpan w:val="3"/>
            <w:shd w:val="clear" w:color="auto" w:fill="auto"/>
            <w:vAlign w:val="bottom"/>
          </w:tcPr>
          <w:p w14:paraId="392C6003" w14:textId="77777777" w:rsidR="00980E5F" w:rsidRDefault="00980E5F">
            <w:pPr>
              <w:rPr>
                <w:rFonts w:ascii="宋体"/>
                <w:vanish/>
              </w:rPr>
            </w:pPr>
          </w:p>
        </w:tc>
        <w:tc>
          <w:tcPr>
            <w:tcW w:w="0" w:type="auto"/>
            <w:gridSpan w:val="3"/>
            <w:shd w:val="clear" w:color="auto" w:fill="auto"/>
            <w:vAlign w:val="bottom"/>
          </w:tcPr>
          <w:p w14:paraId="392C6004" w14:textId="77777777" w:rsidR="00980E5F" w:rsidRDefault="00980E5F">
            <w:pPr>
              <w:rPr>
                <w:rFonts w:ascii="宋体"/>
                <w:vanish/>
              </w:rPr>
            </w:pPr>
          </w:p>
        </w:tc>
        <w:tc>
          <w:tcPr>
            <w:tcW w:w="0" w:type="auto"/>
            <w:gridSpan w:val="3"/>
            <w:shd w:val="clear" w:color="auto" w:fill="auto"/>
            <w:vAlign w:val="bottom"/>
          </w:tcPr>
          <w:p w14:paraId="392C6005" w14:textId="77777777" w:rsidR="00980E5F" w:rsidRDefault="00980E5F">
            <w:pPr>
              <w:rPr>
                <w:rFonts w:ascii="宋体"/>
                <w:vanish/>
              </w:rPr>
            </w:pPr>
          </w:p>
        </w:tc>
        <w:tc>
          <w:tcPr>
            <w:tcW w:w="0" w:type="auto"/>
            <w:gridSpan w:val="3"/>
            <w:shd w:val="clear" w:color="auto" w:fill="auto"/>
            <w:vAlign w:val="bottom"/>
          </w:tcPr>
          <w:p w14:paraId="392C6006" w14:textId="77777777" w:rsidR="00980E5F" w:rsidRDefault="00980E5F">
            <w:pPr>
              <w:rPr>
                <w:rFonts w:ascii="宋体"/>
                <w:vanish/>
              </w:rPr>
            </w:pPr>
          </w:p>
        </w:tc>
        <w:tc>
          <w:tcPr>
            <w:tcW w:w="0" w:type="auto"/>
            <w:gridSpan w:val="3"/>
            <w:shd w:val="clear" w:color="auto" w:fill="auto"/>
            <w:vAlign w:val="bottom"/>
          </w:tcPr>
          <w:p w14:paraId="392C6007" w14:textId="77777777" w:rsidR="00980E5F" w:rsidRDefault="00980E5F">
            <w:pPr>
              <w:rPr>
                <w:rFonts w:ascii="宋体"/>
                <w:vanish/>
              </w:rPr>
            </w:pPr>
          </w:p>
        </w:tc>
        <w:tc>
          <w:tcPr>
            <w:tcW w:w="0" w:type="auto"/>
            <w:gridSpan w:val="3"/>
            <w:shd w:val="clear" w:color="auto" w:fill="auto"/>
            <w:vAlign w:val="bottom"/>
          </w:tcPr>
          <w:p w14:paraId="392C6008" w14:textId="77777777" w:rsidR="00980E5F" w:rsidRDefault="00980E5F">
            <w:pPr>
              <w:rPr>
                <w:rFonts w:ascii="宋体"/>
                <w:vanish/>
              </w:rPr>
            </w:pPr>
          </w:p>
        </w:tc>
      </w:tr>
      <w:tr w:rsidR="00980E5F" w14:paraId="392C601A" w14:textId="77777777">
        <w:trPr>
          <w:hidden/>
        </w:trPr>
        <w:tc>
          <w:tcPr>
            <w:tcW w:w="0" w:type="auto"/>
            <w:gridSpan w:val="3"/>
            <w:shd w:val="clear" w:color="auto" w:fill="auto"/>
            <w:vAlign w:val="bottom"/>
          </w:tcPr>
          <w:p w14:paraId="392C600A" w14:textId="77777777" w:rsidR="00980E5F" w:rsidRDefault="00980E5F">
            <w:pPr>
              <w:rPr>
                <w:rFonts w:ascii="宋体"/>
                <w:vanish/>
              </w:rPr>
            </w:pPr>
          </w:p>
        </w:tc>
        <w:tc>
          <w:tcPr>
            <w:tcW w:w="0" w:type="auto"/>
            <w:gridSpan w:val="3"/>
            <w:shd w:val="clear" w:color="auto" w:fill="auto"/>
            <w:vAlign w:val="bottom"/>
          </w:tcPr>
          <w:p w14:paraId="392C600B" w14:textId="77777777" w:rsidR="00980E5F" w:rsidRDefault="00980E5F">
            <w:pPr>
              <w:rPr>
                <w:rFonts w:ascii="宋体"/>
                <w:vanish/>
              </w:rPr>
            </w:pPr>
          </w:p>
        </w:tc>
        <w:tc>
          <w:tcPr>
            <w:tcW w:w="0" w:type="auto"/>
            <w:gridSpan w:val="3"/>
            <w:shd w:val="clear" w:color="auto" w:fill="auto"/>
            <w:vAlign w:val="bottom"/>
          </w:tcPr>
          <w:p w14:paraId="392C600C" w14:textId="77777777" w:rsidR="00980E5F" w:rsidRDefault="00980E5F">
            <w:pPr>
              <w:rPr>
                <w:rFonts w:ascii="宋体"/>
                <w:vanish/>
              </w:rPr>
            </w:pPr>
          </w:p>
        </w:tc>
        <w:tc>
          <w:tcPr>
            <w:tcW w:w="0" w:type="auto"/>
            <w:gridSpan w:val="3"/>
            <w:shd w:val="clear" w:color="auto" w:fill="auto"/>
            <w:vAlign w:val="bottom"/>
          </w:tcPr>
          <w:p w14:paraId="392C600D" w14:textId="77777777" w:rsidR="00980E5F" w:rsidRDefault="00980E5F">
            <w:pPr>
              <w:rPr>
                <w:rFonts w:ascii="宋体"/>
                <w:vanish/>
              </w:rPr>
            </w:pPr>
          </w:p>
        </w:tc>
        <w:tc>
          <w:tcPr>
            <w:tcW w:w="0" w:type="auto"/>
            <w:gridSpan w:val="3"/>
            <w:shd w:val="clear" w:color="auto" w:fill="auto"/>
            <w:vAlign w:val="bottom"/>
          </w:tcPr>
          <w:p w14:paraId="392C600E" w14:textId="77777777" w:rsidR="00980E5F" w:rsidRDefault="00980E5F">
            <w:pPr>
              <w:rPr>
                <w:rFonts w:ascii="宋体"/>
                <w:vanish/>
              </w:rPr>
            </w:pPr>
          </w:p>
        </w:tc>
        <w:tc>
          <w:tcPr>
            <w:tcW w:w="0" w:type="auto"/>
            <w:gridSpan w:val="3"/>
            <w:shd w:val="clear" w:color="auto" w:fill="auto"/>
            <w:vAlign w:val="bottom"/>
          </w:tcPr>
          <w:p w14:paraId="392C600F" w14:textId="77777777" w:rsidR="00980E5F" w:rsidRDefault="00980E5F">
            <w:pPr>
              <w:rPr>
                <w:rFonts w:ascii="宋体"/>
                <w:vanish/>
              </w:rPr>
            </w:pPr>
          </w:p>
        </w:tc>
        <w:tc>
          <w:tcPr>
            <w:tcW w:w="0" w:type="auto"/>
            <w:gridSpan w:val="3"/>
            <w:shd w:val="clear" w:color="auto" w:fill="auto"/>
            <w:vAlign w:val="bottom"/>
          </w:tcPr>
          <w:p w14:paraId="392C6010" w14:textId="77777777" w:rsidR="00980E5F" w:rsidRDefault="00980E5F">
            <w:pPr>
              <w:rPr>
                <w:rFonts w:ascii="宋体"/>
                <w:vanish/>
              </w:rPr>
            </w:pPr>
          </w:p>
        </w:tc>
        <w:tc>
          <w:tcPr>
            <w:tcW w:w="0" w:type="auto"/>
            <w:gridSpan w:val="3"/>
            <w:shd w:val="clear" w:color="auto" w:fill="auto"/>
            <w:vAlign w:val="bottom"/>
          </w:tcPr>
          <w:p w14:paraId="392C6011" w14:textId="77777777" w:rsidR="00980E5F" w:rsidRDefault="00980E5F">
            <w:pPr>
              <w:rPr>
                <w:rFonts w:ascii="宋体"/>
                <w:vanish/>
              </w:rPr>
            </w:pPr>
          </w:p>
        </w:tc>
        <w:tc>
          <w:tcPr>
            <w:tcW w:w="0" w:type="auto"/>
            <w:gridSpan w:val="3"/>
            <w:shd w:val="clear" w:color="auto" w:fill="auto"/>
            <w:vAlign w:val="bottom"/>
          </w:tcPr>
          <w:p w14:paraId="392C6012" w14:textId="77777777" w:rsidR="00980E5F" w:rsidRDefault="00980E5F">
            <w:pPr>
              <w:rPr>
                <w:rFonts w:ascii="宋体"/>
                <w:vanish/>
              </w:rPr>
            </w:pPr>
          </w:p>
        </w:tc>
        <w:tc>
          <w:tcPr>
            <w:tcW w:w="0" w:type="auto"/>
            <w:gridSpan w:val="3"/>
            <w:shd w:val="clear" w:color="auto" w:fill="auto"/>
            <w:vAlign w:val="bottom"/>
          </w:tcPr>
          <w:p w14:paraId="392C6013" w14:textId="77777777" w:rsidR="00980E5F" w:rsidRDefault="00980E5F">
            <w:pPr>
              <w:rPr>
                <w:rFonts w:ascii="宋体"/>
                <w:vanish/>
              </w:rPr>
            </w:pPr>
          </w:p>
        </w:tc>
        <w:tc>
          <w:tcPr>
            <w:tcW w:w="0" w:type="auto"/>
            <w:gridSpan w:val="3"/>
            <w:shd w:val="clear" w:color="auto" w:fill="auto"/>
            <w:vAlign w:val="bottom"/>
          </w:tcPr>
          <w:p w14:paraId="392C6014" w14:textId="77777777" w:rsidR="00980E5F" w:rsidRDefault="00980E5F">
            <w:pPr>
              <w:rPr>
                <w:rFonts w:ascii="宋体"/>
                <w:vanish/>
              </w:rPr>
            </w:pPr>
          </w:p>
        </w:tc>
        <w:tc>
          <w:tcPr>
            <w:tcW w:w="0" w:type="auto"/>
            <w:gridSpan w:val="3"/>
            <w:shd w:val="clear" w:color="auto" w:fill="auto"/>
            <w:vAlign w:val="bottom"/>
          </w:tcPr>
          <w:p w14:paraId="392C6015" w14:textId="77777777" w:rsidR="00980E5F" w:rsidRDefault="00980E5F">
            <w:pPr>
              <w:rPr>
                <w:rFonts w:ascii="宋体"/>
                <w:vanish/>
              </w:rPr>
            </w:pPr>
          </w:p>
        </w:tc>
        <w:tc>
          <w:tcPr>
            <w:tcW w:w="0" w:type="auto"/>
            <w:gridSpan w:val="3"/>
            <w:shd w:val="clear" w:color="auto" w:fill="auto"/>
            <w:vAlign w:val="bottom"/>
          </w:tcPr>
          <w:p w14:paraId="392C6016" w14:textId="77777777" w:rsidR="00980E5F" w:rsidRDefault="00980E5F">
            <w:pPr>
              <w:rPr>
                <w:rFonts w:ascii="宋体"/>
                <w:vanish/>
              </w:rPr>
            </w:pPr>
          </w:p>
        </w:tc>
        <w:tc>
          <w:tcPr>
            <w:tcW w:w="0" w:type="auto"/>
            <w:gridSpan w:val="3"/>
            <w:shd w:val="clear" w:color="auto" w:fill="auto"/>
            <w:vAlign w:val="bottom"/>
          </w:tcPr>
          <w:p w14:paraId="392C6017" w14:textId="77777777" w:rsidR="00980E5F" w:rsidRDefault="00980E5F">
            <w:pPr>
              <w:rPr>
                <w:rFonts w:ascii="宋体"/>
                <w:vanish/>
              </w:rPr>
            </w:pPr>
          </w:p>
        </w:tc>
        <w:tc>
          <w:tcPr>
            <w:tcW w:w="0" w:type="auto"/>
            <w:gridSpan w:val="3"/>
            <w:shd w:val="clear" w:color="auto" w:fill="auto"/>
            <w:vAlign w:val="bottom"/>
          </w:tcPr>
          <w:p w14:paraId="392C6018" w14:textId="77777777" w:rsidR="00980E5F" w:rsidRDefault="00980E5F">
            <w:pPr>
              <w:rPr>
                <w:rFonts w:ascii="宋体"/>
                <w:vanish/>
              </w:rPr>
            </w:pPr>
          </w:p>
        </w:tc>
        <w:tc>
          <w:tcPr>
            <w:tcW w:w="0" w:type="auto"/>
            <w:gridSpan w:val="3"/>
            <w:shd w:val="clear" w:color="auto" w:fill="auto"/>
            <w:vAlign w:val="bottom"/>
          </w:tcPr>
          <w:p w14:paraId="392C6019" w14:textId="77777777" w:rsidR="00980E5F" w:rsidRDefault="00980E5F">
            <w:pPr>
              <w:rPr>
                <w:rFonts w:ascii="宋体"/>
                <w:vanish/>
              </w:rPr>
            </w:pPr>
          </w:p>
        </w:tc>
      </w:tr>
      <w:tr w:rsidR="00980E5F" w14:paraId="392C6033" w14:textId="77777777">
        <w:tc>
          <w:tcPr>
            <w:tcW w:w="0" w:type="auto"/>
            <w:gridSpan w:val="3"/>
            <w:shd w:val="clear" w:color="auto" w:fill="CCEEFF"/>
            <w:tcMar>
              <w:top w:w="40" w:type="dxa"/>
              <w:left w:w="245" w:type="dxa"/>
              <w:bottom w:w="40" w:type="dxa"/>
              <w:right w:w="20" w:type="dxa"/>
            </w:tcMar>
            <w:vAlign w:val="bottom"/>
          </w:tcPr>
          <w:p w14:paraId="392C601B" w14:textId="77777777" w:rsidR="00980E5F" w:rsidRDefault="00483613">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601C" w14:textId="77777777" w:rsidR="00980E5F" w:rsidRDefault="00483613">
            <w:pPr>
              <w:jc w:val="right"/>
              <w:textAlignment w:val="bottom"/>
            </w:pPr>
            <w:r>
              <w:rPr>
                <w:rFonts w:ascii="Arial" w:eastAsia="宋体" w:hAnsi="Arial" w:cs="Arial"/>
                <w:b/>
                <w:bCs/>
                <w:color w:val="000000"/>
                <w:sz w:val="15"/>
                <w:szCs w:val="15"/>
              </w:rPr>
              <w:t>6,443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1F"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2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22" w14:textId="77777777" w:rsidR="00980E5F" w:rsidRDefault="00483613">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25" w14:textId="77777777" w:rsidR="00980E5F" w:rsidRDefault="00483613">
            <w:pPr>
              <w:jc w:val="right"/>
              <w:textAlignment w:val="bottom"/>
            </w:pPr>
            <w:r>
              <w:rPr>
                <w:rFonts w:ascii="Arial" w:eastAsia="宋体" w:hAnsi="Arial" w:cs="Arial"/>
                <w:b/>
                <w:bCs/>
                <w:color w:val="000000"/>
                <w:sz w:val="15"/>
                <w:szCs w:val="15"/>
              </w:rPr>
              <w:t>6,315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2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28" w14:textId="77777777" w:rsidR="00980E5F" w:rsidRDefault="00483613">
            <w:pPr>
              <w:jc w:val="right"/>
              <w:textAlignment w:val="bottom"/>
            </w:pPr>
            <w:r>
              <w:rPr>
                <w:rFonts w:ascii="Arial" w:eastAsia="宋体" w:hAnsi="Arial" w:cs="Arial"/>
                <w:color w:val="000000"/>
                <w:sz w:val="15"/>
                <w:szCs w:val="15"/>
              </w:rPr>
              <w:t>1,564 </w:t>
            </w:r>
          </w:p>
        </w:tc>
        <w:tc>
          <w:tcPr>
            <w:tcW w:w="0" w:type="auto"/>
            <w:shd w:val="clear" w:color="auto" w:fill="CCEEFF"/>
            <w:tcMar>
              <w:top w:w="40" w:type="dxa"/>
              <w:left w:w="0" w:type="dxa"/>
              <w:bottom w:w="40" w:type="dxa"/>
              <w:right w:w="20" w:type="dxa"/>
            </w:tcMar>
            <w:vAlign w:val="bottom"/>
          </w:tcPr>
          <w:p w14:paraId="392C60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2B"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2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2E" w14:textId="77777777" w:rsidR="00980E5F" w:rsidRDefault="00483613">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392C60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31" w14:textId="77777777" w:rsidR="00980E5F" w:rsidRDefault="00483613">
            <w:pPr>
              <w:jc w:val="right"/>
              <w:textAlignment w:val="bottom"/>
            </w:pPr>
            <w:r>
              <w:rPr>
                <w:rFonts w:ascii="Arial" w:eastAsia="宋体" w:hAnsi="Arial" w:cs="Arial"/>
                <w:color w:val="000000"/>
                <w:sz w:val="15"/>
                <w:szCs w:val="15"/>
              </w:rPr>
              <w:t>1,555 </w:t>
            </w:r>
          </w:p>
        </w:tc>
        <w:tc>
          <w:tcPr>
            <w:tcW w:w="0" w:type="auto"/>
            <w:shd w:val="clear" w:color="auto" w:fill="CCEEFF"/>
            <w:tcMar>
              <w:top w:w="40" w:type="dxa"/>
              <w:left w:w="0" w:type="dxa"/>
              <w:bottom w:w="40" w:type="dxa"/>
              <w:right w:w="20" w:type="dxa"/>
            </w:tcMar>
            <w:vAlign w:val="bottom"/>
          </w:tcPr>
          <w:p w14:paraId="392C6032" w14:textId="77777777" w:rsidR="00980E5F" w:rsidRDefault="00980E5F">
            <w:pPr>
              <w:jc w:val="right"/>
              <w:rPr>
                <w:rFonts w:ascii="宋体"/>
              </w:rPr>
            </w:pPr>
          </w:p>
        </w:tc>
      </w:tr>
      <w:tr w:rsidR="00980E5F" w14:paraId="392C6044" w14:textId="77777777">
        <w:trPr>
          <w:hidden/>
        </w:trPr>
        <w:tc>
          <w:tcPr>
            <w:tcW w:w="0" w:type="auto"/>
            <w:gridSpan w:val="3"/>
            <w:shd w:val="clear" w:color="auto" w:fill="auto"/>
            <w:vAlign w:val="bottom"/>
          </w:tcPr>
          <w:p w14:paraId="392C6034" w14:textId="77777777" w:rsidR="00980E5F" w:rsidRDefault="00980E5F">
            <w:pPr>
              <w:rPr>
                <w:rFonts w:ascii="宋体"/>
                <w:vanish/>
              </w:rPr>
            </w:pPr>
          </w:p>
        </w:tc>
        <w:tc>
          <w:tcPr>
            <w:tcW w:w="0" w:type="auto"/>
            <w:gridSpan w:val="3"/>
            <w:shd w:val="clear" w:color="auto" w:fill="auto"/>
            <w:vAlign w:val="bottom"/>
          </w:tcPr>
          <w:p w14:paraId="392C6035" w14:textId="77777777" w:rsidR="00980E5F" w:rsidRDefault="00980E5F">
            <w:pPr>
              <w:rPr>
                <w:rFonts w:ascii="宋体"/>
                <w:vanish/>
              </w:rPr>
            </w:pPr>
          </w:p>
        </w:tc>
        <w:tc>
          <w:tcPr>
            <w:tcW w:w="0" w:type="auto"/>
            <w:gridSpan w:val="3"/>
            <w:shd w:val="clear" w:color="auto" w:fill="auto"/>
            <w:vAlign w:val="bottom"/>
          </w:tcPr>
          <w:p w14:paraId="392C6036" w14:textId="77777777" w:rsidR="00980E5F" w:rsidRDefault="00980E5F">
            <w:pPr>
              <w:rPr>
                <w:rFonts w:ascii="宋体"/>
                <w:vanish/>
              </w:rPr>
            </w:pPr>
          </w:p>
        </w:tc>
        <w:tc>
          <w:tcPr>
            <w:tcW w:w="0" w:type="auto"/>
            <w:gridSpan w:val="3"/>
            <w:shd w:val="clear" w:color="auto" w:fill="auto"/>
            <w:vAlign w:val="bottom"/>
          </w:tcPr>
          <w:p w14:paraId="392C6037" w14:textId="77777777" w:rsidR="00980E5F" w:rsidRDefault="00980E5F">
            <w:pPr>
              <w:rPr>
                <w:rFonts w:ascii="宋体"/>
                <w:vanish/>
              </w:rPr>
            </w:pPr>
          </w:p>
        </w:tc>
        <w:tc>
          <w:tcPr>
            <w:tcW w:w="0" w:type="auto"/>
            <w:gridSpan w:val="3"/>
            <w:shd w:val="clear" w:color="auto" w:fill="auto"/>
            <w:vAlign w:val="bottom"/>
          </w:tcPr>
          <w:p w14:paraId="392C6038" w14:textId="77777777" w:rsidR="00980E5F" w:rsidRDefault="00980E5F">
            <w:pPr>
              <w:rPr>
                <w:rFonts w:ascii="宋体"/>
                <w:vanish/>
              </w:rPr>
            </w:pPr>
          </w:p>
        </w:tc>
        <w:tc>
          <w:tcPr>
            <w:tcW w:w="0" w:type="auto"/>
            <w:gridSpan w:val="3"/>
            <w:shd w:val="clear" w:color="auto" w:fill="auto"/>
            <w:vAlign w:val="bottom"/>
          </w:tcPr>
          <w:p w14:paraId="392C6039" w14:textId="77777777" w:rsidR="00980E5F" w:rsidRDefault="00980E5F">
            <w:pPr>
              <w:rPr>
                <w:rFonts w:ascii="宋体"/>
                <w:vanish/>
              </w:rPr>
            </w:pPr>
          </w:p>
        </w:tc>
        <w:tc>
          <w:tcPr>
            <w:tcW w:w="0" w:type="auto"/>
            <w:gridSpan w:val="3"/>
            <w:shd w:val="clear" w:color="auto" w:fill="auto"/>
            <w:vAlign w:val="bottom"/>
          </w:tcPr>
          <w:p w14:paraId="392C603A" w14:textId="77777777" w:rsidR="00980E5F" w:rsidRDefault="00980E5F">
            <w:pPr>
              <w:rPr>
                <w:rFonts w:ascii="宋体"/>
                <w:vanish/>
              </w:rPr>
            </w:pPr>
          </w:p>
        </w:tc>
        <w:tc>
          <w:tcPr>
            <w:tcW w:w="0" w:type="auto"/>
            <w:gridSpan w:val="3"/>
            <w:shd w:val="clear" w:color="auto" w:fill="auto"/>
            <w:vAlign w:val="bottom"/>
          </w:tcPr>
          <w:p w14:paraId="392C603B" w14:textId="77777777" w:rsidR="00980E5F" w:rsidRDefault="00980E5F">
            <w:pPr>
              <w:rPr>
                <w:rFonts w:ascii="宋体"/>
                <w:vanish/>
              </w:rPr>
            </w:pPr>
          </w:p>
        </w:tc>
        <w:tc>
          <w:tcPr>
            <w:tcW w:w="0" w:type="auto"/>
            <w:gridSpan w:val="3"/>
            <w:shd w:val="clear" w:color="auto" w:fill="auto"/>
            <w:vAlign w:val="bottom"/>
          </w:tcPr>
          <w:p w14:paraId="392C603C" w14:textId="77777777" w:rsidR="00980E5F" w:rsidRDefault="00980E5F">
            <w:pPr>
              <w:rPr>
                <w:rFonts w:ascii="宋体"/>
                <w:vanish/>
              </w:rPr>
            </w:pPr>
          </w:p>
        </w:tc>
        <w:tc>
          <w:tcPr>
            <w:tcW w:w="0" w:type="auto"/>
            <w:gridSpan w:val="3"/>
            <w:shd w:val="clear" w:color="auto" w:fill="auto"/>
            <w:vAlign w:val="bottom"/>
          </w:tcPr>
          <w:p w14:paraId="392C603D" w14:textId="77777777" w:rsidR="00980E5F" w:rsidRDefault="00980E5F">
            <w:pPr>
              <w:rPr>
                <w:rFonts w:ascii="宋体"/>
                <w:vanish/>
              </w:rPr>
            </w:pPr>
          </w:p>
        </w:tc>
        <w:tc>
          <w:tcPr>
            <w:tcW w:w="0" w:type="auto"/>
            <w:gridSpan w:val="3"/>
            <w:shd w:val="clear" w:color="auto" w:fill="auto"/>
            <w:vAlign w:val="bottom"/>
          </w:tcPr>
          <w:p w14:paraId="392C603E" w14:textId="77777777" w:rsidR="00980E5F" w:rsidRDefault="00980E5F">
            <w:pPr>
              <w:rPr>
                <w:rFonts w:ascii="宋体"/>
                <w:vanish/>
              </w:rPr>
            </w:pPr>
          </w:p>
        </w:tc>
        <w:tc>
          <w:tcPr>
            <w:tcW w:w="0" w:type="auto"/>
            <w:gridSpan w:val="3"/>
            <w:shd w:val="clear" w:color="auto" w:fill="auto"/>
            <w:vAlign w:val="bottom"/>
          </w:tcPr>
          <w:p w14:paraId="392C603F" w14:textId="77777777" w:rsidR="00980E5F" w:rsidRDefault="00980E5F">
            <w:pPr>
              <w:rPr>
                <w:rFonts w:ascii="宋体"/>
                <w:vanish/>
              </w:rPr>
            </w:pPr>
          </w:p>
        </w:tc>
        <w:tc>
          <w:tcPr>
            <w:tcW w:w="0" w:type="auto"/>
            <w:gridSpan w:val="3"/>
            <w:shd w:val="clear" w:color="auto" w:fill="auto"/>
            <w:vAlign w:val="bottom"/>
          </w:tcPr>
          <w:p w14:paraId="392C6040" w14:textId="77777777" w:rsidR="00980E5F" w:rsidRDefault="00980E5F">
            <w:pPr>
              <w:rPr>
                <w:rFonts w:ascii="宋体"/>
                <w:vanish/>
              </w:rPr>
            </w:pPr>
          </w:p>
        </w:tc>
        <w:tc>
          <w:tcPr>
            <w:tcW w:w="0" w:type="auto"/>
            <w:gridSpan w:val="3"/>
            <w:shd w:val="clear" w:color="auto" w:fill="auto"/>
            <w:vAlign w:val="bottom"/>
          </w:tcPr>
          <w:p w14:paraId="392C6041" w14:textId="77777777" w:rsidR="00980E5F" w:rsidRDefault="00980E5F">
            <w:pPr>
              <w:rPr>
                <w:rFonts w:ascii="宋体"/>
                <w:vanish/>
              </w:rPr>
            </w:pPr>
          </w:p>
        </w:tc>
        <w:tc>
          <w:tcPr>
            <w:tcW w:w="0" w:type="auto"/>
            <w:gridSpan w:val="3"/>
            <w:shd w:val="clear" w:color="auto" w:fill="auto"/>
            <w:vAlign w:val="bottom"/>
          </w:tcPr>
          <w:p w14:paraId="392C6042" w14:textId="77777777" w:rsidR="00980E5F" w:rsidRDefault="00980E5F">
            <w:pPr>
              <w:rPr>
                <w:rFonts w:ascii="宋体"/>
                <w:vanish/>
              </w:rPr>
            </w:pPr>
          </w:p>
        </w:tc>
        <w:tc>
          <w:tcPr>
            <w:tcW w:w="0" w:type="auto"/>
            <w:gridSpan w:val="3"/>
            <w:shd w:val="clear" w:color="auto" w:fill="auto"/>
            <w:vAlign w:val="bottom"/>
          </w:tcPr>
          <w:p w14:paraId="392C6043" w14:textId="77777777" w:rsidR="00980E5F" w:rsidRDefault="00980E5F">
            <w:pPr>
              <w:rPr>
                <w:rFonts w:ascii="宋体"/>
                <w:vanish/>
              </w:rPr>
            </w:pPr>
          </w:p>
        </w:tc>
      </w:tr>
      <w:tr w:rsidR="00980E5F" w14:paraId="392C605D" w14:textId="77777777">
        <w:tc>
          <w:tcPr>
            <w:tcW w:w="0" w:type="auto"/>
            <w:gridSpan w:val="3"/>
            <w:shd w:val="clear" w:color="auto" w:fill="FFFFFF"/>
            <w:tcMar>
              <w:top w:w="40" w:type="dxa"/>
              <w:left w:w="380" w:type="dxa"/>
              <w:bottom w:w="40" w:type="dxa"/>
              <w:right w:w="20" w:type="dxa"/>
            </w:tcMar>
            <w:vAlign w:val="bottom"/>
          </w:tcPr>
          <w:p w14:paraId="392C6045" w14:textId="77777777" w:rsidR="00980E5F" w:rsidRDefault="00483613">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46" w14:textId="77777777" w:rsidR="00980E5F" w:rsidRDefault="00483613">
            <w:pPr>
              <w:jc w:val="right"/>
              <w:textAlignment w:val="bottom"/>
            </w:pPr>
            <w:r>
              <w:rPr>
                <w:rFonts w:ascii="Arial" w:eastAsia="宋体" w:hAnsi="Arial" w:cs="Arial"/>
                <w:b/>
                <w:bCs/>
                <w:color w:val="000000"/>
                <w:sz w:val="15"/>
                <w:szCs w:val="15"/>
              </w:rPr>
              <w:t>6,443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4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49"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4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4C" w14:textId="77777777" w:rsidR="00980E5F" w:rsidRDefault="00483613">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4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4F" w14:textId="77777777" w:rsidR="00980E5F" w:rsidRDefault="00483613">
            <w:pPr>
              <w:jc w:val="right"/>
              <w:textAlignment w:val="bottom"/>
            </w:pPr>
            <w:r>
              <w:rPr>
                <w:rFonts w:ascii="Arial" w:eastAsia="宋体" w:hAnsi="Arial" w:cs="Arial"/>
                <w:b/>
                <w:bCs/>
                <w:color w:val="000000"/>
                <w:sz w:val="15"/>
                <w:szCs w:val="15"/>
              </w:rPr>
              <w:t>6,315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5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52" w14:textId="77777777" w:rsidR="00980E5F" w:rsidRDefault="00483613">
            <w:pPr>
              <w:jc w:val="right"/>
              <w:textAlignment w:val="bottom"/>
            </w:pPr>
            <w:r>
              <w:rPr>
                <w:rFonts w:ascii="Arial" w:eastAsia="宋体" w:hAnsi="Arial" w:cs="Arial"/>
                <w:color w:val="000000"/>
                <w:sz w:val="15"/>
                <w:szCs w:val="15"/>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5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55" w14:textId="77777777" w:rsidR="00980E5F" w:rsidRDefault="00483613">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5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58" w14:textId="77777777" w:rsidR="00980E5F" w:rsidRDefault="00483613">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5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5B" w14:textId="77777777" w:rsidR="00980E5F" w:rsidRDefault="00483613">
            <w:pPr>
              <w:jc w:val="right"/>
              <w:textAlignment w:val="bottom"/>
            </w:pPr>
            <w:r>
              <w:rPr>
                <w:rFonts w:ascii="Arial" w:eastAsia="宋体" w:hAnsi="Arial" w:cs="Arial"/>
                <w:color w:val="000000"/>
                <w:sz w:val="15"/>
                <w:szCs w:val="15"/>
              </w:rPr>
              <w:t>1,555 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5C" w14:textId="77777777" w:rsidR="00980E5F" w:rsidRDefault="00980E5F">
            <w:pPr>
              <w:jc w:val="right"/>
              <w:rPr>
                <w:rFonts w:ascii="宋体"/>
              </w:rPr>
            </w:pPr>
          </w:p>
        </w:tc>
      </w:tr>
      <w:tr w:rsidR="00980E5F" w14:paraId="392C606E" w14:textId="77777777">
        <w:tc>
          <w:tcPr>
            <w:tcW w:w="0" w:type="auto"/>
            <w:gridSpan w:val="3"/>
            <w:shd w:val="clear" w:color="auto" w:fill="CCEEFF"/>
            <w:tcMar>
              <w:top w:w="40" w:type="dxa"/>
              <w:left w:w="20" w:type="dxa"/>
              <w:bottom w:w="40" w:type="dxa"/>
              <w:right w:w="20" w:type="dxa"/>
            </w:tcMar>
            <w:vAlign w:val="bottom"/>
          </w:tcPr>
          <w:p w14:paraId="392C605E" w14:textId="77777777" w:rsidR="00980E5F" w:rsidRDefault="00483613">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5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0"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2"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4"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6"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8"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A"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06C"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06D" w14:textId="77777777" w:rsidR="00980E5F" w:rsidRDefault="00980E5F">
            <w:pPr>
              <w:rPr>
                <w:rFonts w:ascii="宋体"/>
              </w:rPr>
            </w:pPr>
          </w:p>
        </w:tc>
      </w:tr>
      <w:tr w:rsidR="00980E5F" w14:paraId="392C6087" w14:textId="77777777">
        <w:tc>
          <w:tcPr>
            <w:tcW w:w="0" w:type="auto"/>
            <w:gridSpan w:val="3"/>
            <w:shd w:val="clear" w:color="auto" w:fill="FFFFFF"/>
            <w:tcMar>
              <w:top w:w="40" w:type="dxa"/>
              <w:left w:w="20" w:type="dxa"/>
              <w:bottom w:w="40" w:type="dxa"/>
              <w:right w:w="20" w:type="dxa"/>
            </w:tcMar>
            <w:vAlign w:val="bottom"/>
          </w:tcPr>
          <w:p w14:paraId="392C606F" w14:textId="77777777" w:rsidR="00980E5F" w:rsidRDefault="00483613">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92C6070" w14:textId="77777777" w:rsidR="00980E5F" w:rsidRDefault="00483613">
            <w:pPr>
              <w:jc w:val="right"/>
              <w:textAlignment w:val="bottom"/>
            </w:pPr>
            <w:r>
              <w:rPr>
                <w:rFonts w:ascii="Arial" w:eastAsia="宋体" w:hAnsi="Arial" w:cs="Arial"/>
                <w:b/>
                <w:bCs/>
                <w:color w:val="000000"/>
                <w:sz w:val="15"/>
                <w:szCs w:val="15"/>
              </w:rPr>
              <w:t>4,468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0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73" w14:textId="77777777" w:rsidR="00980E5F" w:rsidRDefault="00483613">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0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76" w14:textId="77777777" w:rsidR="00980E5F" w:rsidRDefault="00483613">
            <w:pPr>
              <w:jc w:val="right"/>
              <w:textAlignment w:val="bottom"/>
            </w:pPr>
            <w:r>
              <w:rPr>
                <w:rFonts w:ascii="Arial" w:eastAsia="宋体" w:hAnsi="Arial" w:cs="Arial"/>
                <w:b/>
                <w:bCs/>
                <w:color w:val="000000"/>
                <w:sz w:val="15"/>
                <w:szCs w:val="15"/>
              </w:rPr>
              <w:t>124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0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79" w14:textId="77777777" w:rsidR="00980E5F" w:rsidRDefault="00483613">
            <w:pPr>
              <w:jc w:val="right"/>
              <w:textAlignment w:val="bottom"/>
            </w:pPr>
            <w:r>
              <w:rPr>
                <w:rFonts w:ascii="Arial" w:eastAsia="宋体" w:hAnsi="Arial" w:cs="Arial"/>
                <w:b/>
                <w:bCs/>
                <w:color w:val="000000"/>
                <w:sz w:val="15"/>
                <w:szCs w:val="15"/>
              </w:rPr>
              <w:t>4,345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0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7C" w14:textId="77777777" w:rsidR="00980E5F" w:rsidRDefault="00483613">
            <w:pPr>
              <w:jc w:val="right"/>
              <w:textAlignment w:val="bottom"/>
            </w:pPr>
            <w:r>
              <w:rPr>
                <w:rFonts w:ascii="Arial" w:eastAsia="宋体" w:hAnsi="Arial" w:cs="Arial"/>
                <w:color w:val="000000"/>
                <w:sz w:val="15"/>
                <w:szCs w:val="15"/>
              </w:rPr>
              <w:t>4,908 </w:t>
            </w:r>
          </w:p>
        </w:tc>
        <w:tc>
          <w:tcPr>
            <w:tcW w:w="0" w:type="auto"/>
            <w:shd w:val="clear" w:color="auto" w:fill="FFFFFF"/>
            <w:tcMar>
              <w:top w:w="40" w:type="dxa"/>
              <w:left w:w="0" w:type="dxa"/>
              <w:bottom w:w="40" w:type="dxa"/>
              <w:right w:w="20" w:type="dxa"/>
            </w:tcMar>
            <w:vAlign w:val="bottom"/>
          </w:tcPr>
          <w:p w14:paraId="392C60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7F" w14:textId="77777777" w:rsidR="00980E5F" w:rsidRDefault="00483613">
            <w:pPr>
              <w:jc w:val="right"/>
              <w:textAlignment w:val="bottom"/>
            </w:pPr>
            <w:r>
              <w:rPr>
                <w:rFonts w:ascii="Arial" w:eastAsia="宋体" w:hAnsi="Arial" w:cs="Arial"/>
                <w:color w:val="000000"/>
                <w:sz w:val="15"/>
                <w:szCs w:val="15"/>
              </w:rPr>
              <w:t>48 </w:t>
            </w:r>
          </w:p>
        </w:tc>
        <w:tc>
          <w:tcPr>
            <w:tcW w:w="0" w:type="auto"/>
            <w:shd w:val="clear" w:color="auto" w:fill="FFFFFF"/>
            <w:tcMar>
              <w:top w:w="40" w:type="dxa"/>
              <w:left w:w="0" w:type="dxa"/>
              <w:bottom w:w="40" w:type="dxa"/>
              <w:right w:w="20" w:type="dxa"/>
            </w:tcMar>
            <w:vAlign w:val="bottom"/>
          </w:tcPr>
          <w:p w14:paraId="392C60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8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82"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392C60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085" w14:textId="77777777" w:rsidR="00980E5F" w:rsidRDefault="00483613">
            <w:pPr>
              <w:jc w:val="right"/>
              <w:textAlignment w:val="bottom"/>
            </w:pPr>
            <w:r>
              <w:rPr>
                <w:rFonts w:ascii="Arial" w:eastAsia="宋体" w:hAnsi="Arial" w:cs="Arial"/>
                <w:color w:val="000000"/>
                <w:sz w:val="15"/>
                <w:szCs w:val="15"/>
              </w:rPr>
              <w:t>4,942 </w:t>
            </w:r>
          </w:p>
        </w:tc>
        <w:tc>
          <w:tcPr>
            <w:tcW w:w="0" w:type="auto"/>
            <w:shd w:val="clear" w:color="auto" w:fill="FFFFFF"/>
            <w:tcMar>
              <w:top w:w="40" w:type="dxa"/>
              <w:left w:w="0" w:type="dxa"/>
              <w:bottom w:w="40" w:type="dxa"/>
              <w:right w:w="20" w:type="dxa"/>
            </w:tcMar>
            <w:vAlign w:val="bottom"/>
          </w:tcPr>
          <w:p w14:paraId="392C6086" w14:textId="77777777" w:rsidR="00980E5F" w:rsidRDefault="00980E5F">
            <w:pPr>
              <w:jc w:val="right"/>
              <w:rPr>
                <w:rFonts w:ascii="宋体"/>
              </w:rPr>
            </w:pPr>
          </w:p>
        </w:tc>
      </w:tr>
      <w:tr w:rsidR="00980E5F" w14:paraId="392C6098" w14:textId="77777777">
        <w:trPr>
          <w:hidden/>
        </w:trPr>
        <w:tc>
          <w:tcPr>
            <w:tcW w:w="0" w:type="auto"/>
            <w:gridSpan w:val="3"/>
            <w:shd w:val="clear" w:color="auto" w:fill="auto"/>
            <w:vAlign w:val="bottom"/>
          </w:tcPr>
          <w:p w14:paraId="392C6088" w14:textId="77777777" w:rsidR="00980E5F" w:rsidRDefault="00980E5F">
            <w:pPr>
              <w:rPr>
                <w:rFonts w:ascii="宋体"/>
                <w:vanish/>
              </w:rPr>
            </w:pPr>
          </w:p>
        </w:tc>
        <w:tc>
          <w:tcPr>
            <w:tcW w:w="0" w:type="auto"/>
            <w:gridSpan w:val="3"/>
            <w:shd w:val="clear" w:color="auto" w:fill="auto"/>
            <w:vAlign w:val="bottom"/>
          </w:tcPr>
          <w:p w14:paraId="392C6089" w14:textId="77777777" w:rsidR="00980E5F" w:rsidRDefault="00980E5F">
            <w:pPr>
              <w:rPr>
                <w:rFonts w:ascii="宋体"/>
                <w:vanish/>
              </w:rPr>
            </w:pPr>
          </w:p>
        </w:tc>
        <w:tc>
          <w:tcPr>
            <w:tcW w:w="0" w:type="auto"/>
            <w:gridSpan w:val="3"/>
            <w:shd w:val="clear" w:color="auto" w:fill="auto"/>
            <w:vAlign w:val="bottom"/>
          </w:tcPr>
          <w:p w14:paraId="392C608A" w14:textId="77777777" w:rsidR="00980E5F" w:rsidRDefault="00980E5F">
            <w:pPr>
              <w:rPr>
                <w:rFonts w:ascii="宋体"/>
                <w:vanish/>
              </w:rPr>
            </w:pPr>
          </w:p>
        </w:tc>
        <w:tc>
          <w:tcPr>
            <w:tcW w:w="0" w:type="auto"/>
            <w:gridSpan w:val="3"/>
            <w:shd w:val="clear" w:color="auto" w:fill="auto"/>
            <w:vAlign w:val="bottom"/>
          </w:tcPr>
          <w:p w14:paraId="392C608B" w14:textId="77777777" w:rsidR="00980E5F" w:rsidRDefault="00980E5F">
            <w:pPr>
              <w:rPr>
                <w:rFonts w:ascii="宋体"/>
                <w:vanish/>
              </w:rPr>
            </w:pPr>
          </w:p>
        </w:tc>
        <w:tc>
          <w:tcPr>
            <w:tcW w:w="0" w:type="auto"/>
            <w:gridSpan w:val="3"/>
            <w:shd w:val="clear" w:color="auto" w:fill="auto"/>
            <w:vAlign w:val="bottom"/>
          </w:tcPr>
          <w:p w14:paraId="392C608C" w14:textId="77777777" w:rsidR="00980E5F" w:rsidRDefault="00980E5F">
            <w:pPr>
              <w:rPr>
                <w:rFonts w:ascii="宋体"/>
                <w:vanish/>
              </w:rPr>
            </w:pPr>
          </w:p>
        </w:tc>
        <w:tc>
          <w:tcPr>
            <w:tcW w:w="0" w:type="auto"/>
            <w:gridSpan w:val="3"/>
            <w:shd w:val="clear" w:color="auto" w:fill="auto"/>
            <w:vAlign w:val="bottom"/>
          </w:tcPr>
          <w:p w14:paraId="392C608D" w14:textId="77777777" w:rsidR="00980E5F" w:rsidRDefault="00980E5F">
            <w:pPr>
              <w:rPr>
                <w:rFonts w:ascii="宋体"/>
                <w:vanish/>
              </w:rPr>
            </w:pPr>
          </w:p>
        </w:tc>
        <w:tc>
          <w:tcPr>
            <w:tcW w:w="0" w:type="auto"/>
            <w:gridSpan w:val="3"/>
            <w:shd w:val="clear" w:color="auto" w:fill="auto"/>
            <w:vAlign w:val="bottom"/>
          </w:tcPr>
          <w:p w14:paraId="392C608E" w14:textId="77777777" w:rsidR="00980E5F" w:rsidRDefault="00980E5F">
            <w:pPr>
              <w:rPr>
                <w:rFonts w:ascii="宋体"/>
                <w:vanish/>
              </w:rPr>
            </w:pPr>
          </w:p>
        </w:tc>
        <w:tc>
          <w:tcPr>
            <w:tcW w:w="0" w:type="auto"/>
            <w:gridSpan w:val="3"/>
            <w:shd w:val="clear" w:color="auto" w:fill="auto"/>
            <w:vAlign w:val="bottom"/>
          </w:tcPr>
          <w:p w14:paraId="392C608F" w14:textId="77777777" w:rsidR="00980E5F" w:rsidRDefault="00980E5F">
            <w:pPr>
              <w:rPr>
                <w:rFonts w:ascii="宋体"/>
                <w:vanish/>
              </w:rPr>
            </w:pPr>
          </w:p>
        </w:tc>
        <w:tc>
          <w:tcPr>
            <w:tcW w:w="0" w:type="auto"/>
            <w:gridSpan w:val="3"/>
            <w:shd w:val="clear" w:color="auto" w:fill="auto"/>
            <w:vAlign w:val="bottom"/>
          </w:tcPr>
          <w:p w14:paraId="392C6090" w14:textId="77777777" w:rsidR="00980E5F" w:rsidRDefault="00980E5F">
            <w:pPr>
              <w:rPr>
                <w:rFonts w:ascii="宋体"/>
                <w:vanish/>
              </w:rPr>
            </w:pPr>
          </w:p>
        </w:tc>
        <w:tc>
          <w:tcPr>
            <w:tcW w:w="0" w:type="auto"/>
            <w:gridSpan w:val="3"/>
            <w:shd w:val="clear" w:color="auto" w:fill="auto"/>
            <w:vAlign w:val="bottom"/>
          </w:tcPr>
          <w:p w14:paraId="392C6091" w14:textId="77777777" w:rsidR="00980E5F" w:rsidRDefault="00980E5F">
            <w:pPr>
              <w:rPr>
                <w:rFonts w:ascii="宋体"/>
                <w:vanish/>
              </w:rPr>
            </w:pPr>
          </w:p>
        </w:tc>
        <w:tc>
          <w:tcPr>
            <w:tcW w:w="0" w:type="auto"/>
            <w:gridSpan w:val="3"/>
            <w:shd w:val="clear" w:color="auto" w:fill="auto"/>
            <w:vAlign w:val="bottom"/>
          </w:tcPr>
          <w:p w14:paraId="392C6092" w14:textId="77777777" w:rsidR="00980E5F" w:rsidRDefault="00980E5F">
            <w:pPr>
              <w:rPr>
                <w:rFonts w:ascii="宋体"/>
                <w:vanish/>
              </w:rPr>
            </w:pPr>
          </w:p>
        </w:tc>
        <w:tc>
          <w:tcPr>
            <w:tcW w:w="0" w:type="auto"/>
            <w:gridSpan w:val="3"/>
            <w:shd w:val="clear" w:color="auto" w:fill="auto"/>
            <w:vAlign w:val="bottom"/>
          </w:tcPr>
          <w:p w14:paraId="392C6093" w14:textId="77777777" w:rsidR="00980E5F" w:rsidRDefault="00980E5F">
            <w:pPr>
              <w:rPr>
                <w:rFonts w:ascii="宋体"/>
                <w:vanish/>
              </w:rPr>
            </w:pPr>
          </w:p>
        </w:tc>
        <w:tc>
          <w:tcPr>
            <w:tcW w:w="0" w:type="auto"/>
            <w:gridSpan w:val="3"/>
            <w:shd w:val="clear" w:color="auto" w:fill="auto"/>
            <w:vAlign w:val="bottom"/>
          </w:tcPr>
          <w:p w14:paraId="392C6094" w14:textId="77777777" w:rsidR="00980E5F" w:rsidRDefault="00980E5F">
            <w:pPr>
              <w:rPr>
                <w:rFonts w:ascii="宋体"/>
                <w:vanish/>
              </w:rPr>
            </w:pPr>
          </w:p>
        </w:tc>
        <w:tc>
          <w:tcPr>
            <w:tcW w:w="0" w:type="auto"/>
            <w:gridSpan w:val="3"/>
            <w:shd w:val="clear" w:color="auto" w:fill="auto"/>
            <w:vAlign w:val="bottom"/>
          </w:tcPr>
          <w:p w14:paraId="392C6095" w14:textId="77777777" w:rsidR="00980E5F" w:rsidRDefault="00980E5F">
            <w:pPr>
              <w:rPr>
                <w:rFonts w:ascii="宋体"/>
                <w:vanish/>
              </w:rPr>
            </w:pPr>
          </w:p>
        </w:tc>
        <w:tc>
          <w:tcPr>
            <w:tcW w:w="0" w:type="auto"/>
            <w:gridSpan w:val="3"/>
            <w:shd w:val="clear" w:color="auto" w:fill="auto"/>
            <w:vAlign w:val="bottom"/>
          </w:tcPr>
          <w:p w14:paraId="392C6096" w14:textId="77777777" w:rsidR="00980E5F" w:rsidRDefault="00980E5F">
            <w:pPr>
              <w:rPr>
                <w:rFonts w:ascii="宋体"/>
                <w:vanish/>
              </w:rPr>
            </w:pPr>
          </w:p>
        </w:tc>
        <w:tc>
          <w:tcPr>
            <w:tcW w:w="0" w:type="auto"/>
            <w:gridSpan w:val="3"/>
            <w:shd w:val="clear" w:color="auto" w:fill="auto"/>
            <w:vAlign w:val="bottom"/>
          </w:tcPr>
          <w:p w14:paraId="392C6097" w14:textId="77777777" w:rsidR="00980E5F" w:rsidRDefault="00980E5F">
            <w:pPr>
              <w:rPr>
                <w:rFonts w:ascii="宋体"/>
                <w:vanish/>
              </w:rPr>
            </w:pPr>
          </w:p>
        </w:tc>
      </w:tr>
      <w:tr w:rsidR="00980E5F" w14:paraId="392C60A9" w14:textId="77777777">
        <w:trPr>
          <w:hidden/>
        </w:trPr>
        <w:tc>
          <w:tcPr>
            <w:tcW w:w="0" w:type="auto"/>
            <w:gridSpan w:val="3"/>
            <w:shd w:val="clear" w:color="auto" w:fill="auto"/>
            <w:vAlign w:val="bottom"/>
          </w:tcPr>
          <w:p w14:paraId="392C6099" w14:textId="77777777" w:rsidR="00980E5F" w:rsidRDefault="00980E5F">
            <w:pPr>
              <w:rPr>
                <w:rFonts w:ascii="宋体"/>
                <w:vanish/>
              </w:rPr>
            </w:pPr>
          </w:p>
        </w:tc>
        <w:tc>
          <w:tcPr>
            <w:tcW w:w="0" w:type="auto"/>
            <w:gridSpan w:val="3"/>
            <w:shd w:val="clear" w:color="auto" w:fill="auto"/>
            <w:vAlign w:val="bottom"/>
          </w:tcPr>
          <w:p w14:paraId="392C609A" w14:textId="77777777" w:rsidR="00980E5F" w:rsidRDefault="00980E5F">
            <w:pPr>
              <w:rPr>
                <w:rFonts w:ascii="宋体"/>
                <w:vanish/>
              </w:rPr>
            </w:pPr>
          </w:p>
        </w:tc>
        <w:tc>
          <w:tcPr>
            <w:tcW w:w="0" w:type="auto"/>
            <w:gridSpan w:val="3"/>
            <w:shd w:val="clear" w:color="auto" w:fill="auto"/>
            <w:vAlign w:val="bottom"/>
          </w:tcPr>
          <w:p w14:paraId="392C609B" w14:textId="77777777" w:rsidR="00980E5F" w:rsidRDefault="00980E5F">
            <w:pPr>
              <w:rPr>
                <w:rFonts w:ascii="宋体"/>
                <w:vanish/>
              </w:rPr>
            </w:pPr>
          </w:p>
        </w:tc>
        <w:tc>
          <w:tcPr>
            <w:tcW w:w="0" w:type="auto"/>
            <w:gridSpan w:val="3"/>
            <w:shd w:val="clear" w:color="auto" w:fill="auto"/>
            <w:vAlign w:val="bottom"/>
          </w:tcPr>
          <w:p w14:paraId="392C609C" w14:textId="77777777" w:rsidR="00980E5F" w:rsidRDefault="00980E5F">
            <w:pPr>
              <w:rPr>
                <w:rFonts w:ascii="宋体"/>
                <w:vanish/>
              </w:rPr>
            </w:pPr>
          </w:p>
        </w:tc>
        <w:tc>
          <w:tcPr>
            <w:tcW w:w="0" w:type="auto"/>
            <w:gridSpan w:val="3"/>
            <w:shd w:val="clear" w:color="auto" w:fill="auto"/>
            <w:vAlign w:val="bottom"/>
          </w:tcPr>
          <w:p w14:paraId="392C609D" w14:textId="77777777" w:rsidR="00980E5F" w:rsidRDefault="00980E5F">
            <w:pPr>
              <w:rPr>
                <w:rFonts w:ascii="宋体"/>
                <w:vanish/>
              </w:rPr>
            </w:pPr>
          </w:p>
        </w:tc>
        <w:tc>
          <w:tcPr>
            <w:tcW w:w="0" w:type="auto"/>
            <w:gridSpan w:val="3"/>
            <w:shd w:val="clear" w:color="auto" w:fill="auto"/>
            <w:vAlign w:val="bottom"/>
          </w:tcPr>
          <w:p w14:paraId="392C609E" w14:textId="77777777" w:rsidR="00980E5F" w:rsidRDefault="00980E5F">
            <w:pPr>
              <w:rPr>
                <w:rFonts w:ascii="宋体"/>
                <w:vanish/>
              </w:rPr>
            </w:pPr>
          </w:p>
        </w:tc>
        <w:tc>
          <w:tcPr>
            <w:tcW w:w="0" w:type="auto"/>
            <w:gridSpan w:val="3"/>
            <w:shd w:val="clear" w:color="auto" w:fill="auto"/>
            <w:vAlign w:val="bottom"/>
          </w:tcPr>
          <w:p w14:paraId="392C609F" w14:textId="77777777" w:rsidR="00980E5F" w:rsidRDefault="00980E5F">
            <w:pPr>
              <w:rPr>
                <w:rFonts w:ascii="宋体"/>
                <w:vanish/>
              </w:rPr>
            </w:pPr>
          </w:p>
        </w:tc>
        <w:tc>
          <w:tcPr>
            <w:tcW w:w="0" w:type="auto"/>
            <w:gridSpan w:val="3"/>
            <w:shd w:val="clear" w:color="auto" w:fill="auto"/>
            <w:vAlign w:val="bottom"/>
          </w:tcPr>
          <w:p w14:paraId="392C60A0" w14:textId="77777777" w:rsidR="00980E5F" w:rsidRDefault="00980E5F">
            <w:pPr>
              <w:rPr>
                <w:rFonts w:ascii="宋体"/>
                <w:vanish/>
              </w:rPr>
            </w:pPr>
          </w:p>
        </w:tc>
        <w:tc>
          <w:tcPr>
            <w:tcW w:w="0" w:type="auto"/>
            <w:gridSpan w:val="3"/>
            <w:shd w:val="clear" w:color="auto" w:fill="auto"/>
            <w:vAlign w:val="bottom"/>
          </w:tcPr>
          <w:p w14:paraId="392C60A1" w14:textId="77777777" w:rsidR="00980E5F" w:rsidRDefault="00980E5F">
            <w:pPr>
              <w:rPr>
                <w:rFonts w:ascii="宋体"/>
                <w:vanish/>
              </w:rPr>
            </w:pPr>
          </w:p>
        </w:tc>
        <w:tc>
          <w:tcPr>
            <w:tcW w:w="0" w:type="auto"/>
            <w:gridSpan w:val="3"/>
            <w:shd w:val="clear" w:color="auto" w:fill="auto"/>
            <w:vAlign w:val="bottom"/>
          </w:tcPr>
          <w:p w14:paraId="392C60A2" w14:textId="77777777" w:rsidR="00980E5F" w:rsidRDefault="00980E5F">
            <w:pPr>
              <w:rPr>
                <w:rFonts w:ascii="宋体"/>
                <w:vanish/>
              </w:rPr>
            </w:pPr>
          </w:p>
        </w:tc>
        <w:tc>
          <w:tcPr>
            <w:tcW w:w="0" w:type="auto"/>
            <w:gridSpan w:val="3"/>
            <w:shd w:val="clear" w:color="auto" w:fill="auto"/>
            <w:vAlign w:val="bottom"/>
          </w:tcPr>
          <w:p w14:paraId="392C60A3" w14:textId="77777777" w:rsidR="00980E5F" w:rsidRDefault="00980E5F">
            <w:pPr>
              <w:rPr>
                <w:rFonts w:ascii="宋体"/>
                <w:vanish/>
              </w:rPr>
            </w:pPr>
          </w:p>
        </w:tc>
        <w:tc>
          <w:tcPr>
            <w:tcW w:w="0" w:type="auto"/>
            <w:gridSpan w:val="3"/>
            <w:shd w:val="clear" w:color="auto" w:fill="auto"/>
            <w:vAlign w:val="bottom"/>
          </w:tcPr>
          <w:p w14:paraId="392C60A4" w14:textId="77777777" w:rsidR="00980E5F" w:rsidRDefault="00980E5F">
            <w:pPr>
              <w:rPr>
                <w:rFonts w:ascii="宋体"/>
                <w:vanish/>
              </w:rPr>
            </w:pPr>
          </w:p>
        </w:tc>
        <w:tc>
          <w:tcPr>
            <w:tcW w:w="0" w:type="auto"/>
            <w:gridSpan w:val="3"/>
            <w:shd w:val="clear" w:color="auto" w:fill="auto"/>
            <w:vAlign w:val="bottom"/>
          </w:tcPr>
          <w:p w14:paraId="392C60A5" w14:textId="77777777" w:rsidR="00980E5F" w:rsidRDefault="00980E5F">
            <w:pPr>
              <w:rPr>
                <w:rFonts w:ascii="宋体"/>
                <w:vanish/>
              </w:rPr>
            </w:pPr>
          </w:p>
        </w:tc>
        <w:tc>
          <w:tcPr>
            <w:tcW w:w="0" w:type="auto"/>
            <w:gridSpan w:val="3"/>
            <w:shd w:val="clear" w:color="auto" w:fill="auto"/>
            <w:vAlign w:val="bottom"/>
          </w:tcPr>
          <w:p w14:paraId="392C60A6" w14:textId="77777777" w:rsidR="00980E5F" w:rsidRDefault="00980E5F">
            <w:pPr>
              <w:rPr>
                <w:rFonts w:ascii="宋体"/>
                <w:vanish/>
              </w:rPr>
            </w:pPr>
          </w:p>
        </w:tc>
        <w:tc>
          <w:tcPr>
            <w:tcW w:w="0" w:type="auto"/>
            <w:gridSpan w:val="3"/>
            <w:shd w:val="clear" w:color="auto" w:fill="auto"/>
            <w:vAlign w:val="bottom"/>
          </w:tcPr>
          <w:p w14:paraId="392C60A7" w14:textId="77777777" w:rsidR="00980E5F" w:rsidRDefault="00980E5F">
            <w:pPr>
              <w:rPr>
                <w:rFonts w:ascii="宋体"/>
                <w:vanish/>
              </w:rPr>
            </w:pPr>
          </w:p>
        </w:tc>
        <w:tc>
          <w:tcPr>
            <w:tcW w:w="0" w:type="auto"/>
            <w:gridSpan w:val="3"/>
            <w:shd w:val="clear" w:color="auto" w:fill="auto"/>
            <w:vAlign w:val="bottom"/>
          </w:tcPr>
          <w:p w14:paraId="392C60A8" w14:textId="77777777" w:rsidR="00980E5F" w:rsidRDefault="00980E5F">
            <w:pPr>
              <w:rPr>
                <w:rFonts w:ascii="宋体"/>
                <w:vanish/>
              </w:rPr>
            </w:pPr>
          </w:p>
        </w:tc>
      </w:tr>
      <w:tr w:rsidR="00980E5F" w14:paraId="392C60C2" w14:textId="77777777">
        <w:tc>
          <w:tcPr>
            <w:tcW w:w="0" w:type="auto"/>
            <w:gridSpan w:val="3"/>
            <w:shd w:val="clear" w:color="auto" w:fill="CCEEFF"/>
            <w:tcMar>
              <w:top w:w="40" w:type="dxa"/>
              <w:left w:w="20" w:type="dxa"/>
              <w:bottom w:w="40" w:type="dxa"/>
              <w:right w:w="20" w:type="dxa"/>
            </w:tcMar>
            <w:vAlign w:val="bottom"/>
          </w:tcPr>
          <w:p w14:paraId="392C60AA" w14:textId="77777777" w:rsidR="00980E5F" w:rsidRDefault="00483613">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CCEEFF"/>
            <w:tcMar>
              <w:top w:w="40" w:type="dxa"/>
              <w:left w:w="20" w:type="dxa"/>
              <w:bottom w:w="40" w:type="dxa"/>
              <w:right w:w="0" w:type="dxa"/>
            </w:tcMar>
            <w:vAlign w:val="bottom"/>
          </w:tcPr>
          <w:p w14:paraId="392C60AB" w14:textId="77777777" w:rsidR="00980E5F" w:rsidRDefault="00483613">
            <w:pPr>
              <w:jc w:val="right"/>
              <w:textAlignment w:val="bottom"/>
            </w:pPr>
            <w:r>
              <w:rPr>
                <w:rFonts w:ascii="Arial" w:eastAsia="宋体" w:hAnsi="Arial" w:cs="Arial"/>
                <w:b/>
                <w:bCs/>
                <w:color w:val="000000"/>
                <w:sz w:val="15"/>
                <w:szCs w:val="15"/>
              </w:rPr>
              <w:t>266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A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AE" w14:textId="77777777" w:rsidR="00980E5F" w:rsidRDefault="00483613">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B1"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B4" w14:textId="77777777" w:rsidR="00980E5F" w:rsidRDefault="00483613">
            <w:pPr>
              <w:jc w:val="right"/>
              <w:textAlignment w:val="bottom"/>
            </w:pPr>
            <w:r>
              <w:rPr>
                <w:rFonts w:ascii="Arial" w:eastAsia="宋体" w:hAnsi="Arial" w:cs="Arial"/>
                <w:b/>
                <w:bCs/>
                <w:color w:val="000000"/>
                <w:sz w:val="15"/>
                <w:szCs w:val="15"/>
              </w:rPr>
              <w:t>286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B7" w14:textId="77777777" w:rsidR="00980E5F" w:rsidRDefault="00483613">
            <w:pPr>
              <w:jc w:val="right"/>
              <w:textAlignment w:val="bottom"/>
            </w:pPr>
            <w:r>
              <w:rPr>
                <w:rFonts w:ascii="Arial" w:eastAsia="宋体" w:hAnsi="Arial" w:cs="Arial"/>
                <w:color w:val="000000"/>
                <w:sz w:val="15"/>
                <w:szCs w:val="15"/>
              </w:rPr>
              <w:t>307 </w:t>
            </w:r>
          </w:p>
        </w:tc>
        <w:tc>
          <w:tcPr>
            <w:tcW w:w="0" w:type="auto"/>
            <w:shd w:val="clear" w:color="auto" w:fill="CCEEFF"/>
            <w:tcMar>
              <w:top w:w="40" w:type="dxa"/>
              <w:left w:w="0" w:type="dxa"/>
              <w:bottom w:w="40" w:type="dxa"/>
              <w:right w:w="20" w:type="dxa"/>
            </w:tcMar>
            <w:vAlign w:val="bottom"/>
          </w:tcPr>
          <w:p w14:paraId="392C60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BA" w14:textId="77777777" w:rsidR="00980E5F" w:rsidRDefault="00483613">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392C60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BD"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0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0B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0C0" w14:textId="77777777" w:rsidR="00980E5F" w:rsidRDefault="00483613">
            <w:pPr>
              <w:jc w:val="right"/>
              <w:textAlignment w:val="bottom"/>
            </w:pPr>
            <w:r>
              <w:rPr>
                <w:rFonts w:ascii="Arial" w:eastAsia="宋体" w:hAnsi="Arial" w:cs="Arial"/>
                <w:color w:val="000000"/>
                <w:sz w:val="15"/>
                <w:szCs w:val="15"/>
              </w:rPr>
              <w:t>329 </w:t>
            </w:r>
          </w:p>
        </w:tc>
        <w:tc>
          <w:tcPr>
            <w:tcW w:w="0" w:type="auto"/>
            <w:shd w:val="clear" w:color="auto" w:fill="CCEEFF"/>
            <w:tcMar>
              <w:top w:w="40" w:type="dxa"/>
              <w:left w:w="0" w:type="dxa"/>
              <w:bottom w:w="40" w:type="dxa"/>
              <w:right w:w="20" w:type="dxa"/>
            </w:tcMar>
            <w:vAlign w:val="bottom"/>
          </w:tcPr>
          <w:p w14:paraId="392C60C1" w14:textId="77777777" w:rsidR="00980E5F" w:rsidRDefault="00980E5F">
            <w:pPr>
              <w:jc w:val="right"/>
              <w:rPr>
                <w:rFonts w:ascii="宋体"/>
              </w:rPr>
            </w:pPr>
          </w:p>
        </w:tc>
      </w:tr>
      <w:tr w:rsidR="00980E5F" w14:paraId="392C60D3" w14:textId="77777777">
        <w:trPr>
          <w:hidden/>
        </w:trPr>
        <w:tc>
          <w:tcPr>
            <w:tcW w:w="0" w:type="auto"/>
            <w:gridSpan w:val="3"/>
            <w:shd w:val="clear" w:color="auto" w:fill="auto"/>
            <w:vAlign w:val="bottom"/>
          </w:tcPr>
          <w:p w14:paraId="392C60C3" w14:textId="77777777" w:rsidR="00980E5F" w:rsidRDefault="00980E5F">
            <w:pPr>
              <w:rPr>
                <w:rFonts w:ascii="宋体"/>
                <w:vanish/>
              </w:rPr>
            </w:pPr>
          </w:p>
        </w:tc>
        <w:tc>
          <w:tcPr>
            <w:tcW w:w="0" w:type="auto"/>
            <w:gridSpan w:val="3"/>
            <w:shd w:val="clear" w:color="auto" w:fill="auto"/>
            <w:vAlign w:val="bottom"/>
          </w:tcPr>
          <w:p w14:paraId="392C60C4" w14:textId="77777777" w:rsidR="00980E5F" w:rsidRDefault="00980E5F">
            <w:pPr>
              <w:rPr>
                <w:rFonts w:ascii="宋体"/>
                <w:vanish/>
              </w:rPr>
            </w:pPr>
          </w:p>
        </w:tc>
        <w:tc>
          <w:tcPr>
            <w:tcW w:w="0" w:type="auto"/>
            <w:gridSpan w:val="3"/>
            <w:shd w:val="clear" w:color="auto" w:fill="auto"/>
            <w:vAlign w:val="bottom"/>
          </w:tcPr>
          <w:p w14:paraId="392C60C5" w14:textId="77777777" w:rsidR="00980E5F" w:rsidRDefault="00980E5F">
            <w:pPr>
              <w:rPr>
                <w:rFonts w:ascii="宋体"/>
                <w:vanish/>
              </w:rPr>
            </w:pPr>
          </w:p>
        </w:tc>
        <w:tc>
          <w:tcPr>
            <w:tcW w:w="0" w:type="auto"/>
            <w:gridSpan w:val="3"/>
            <w:shd w:val="clear" w:color="auto" w:fill="auto"/>
            <w:vAlign w:val="bottom"/>
          </w:tcPr>
          <w:p w14:paraId="392C60C6" w14:textId="77777777" w:rsidR="00980E5F" w:rsidRDefault="00980E5F">
            <w:pPr>
              <w:rPr>
                <w:rFonts w:ascii="宋体"/>
                <w:vanish/>
              </w:rPr>
            </w:pPr>
          </w:p>
        </w:tc>
        <w:tc>
          <w:tcPr>
            <w:tcW w:w="0" w:type="auto"/>
            <w:gridSpan w:val="3"/>
            <w:shd w:val="clear" w:color="auto" w:fill="auto"/>
            <w:vAlign w:val="bottom"/>
          </w:tcPr>
          <w:p w14:paraId="392C60C7" w14:textId="77777777" w:rsidR="00980E5F" w:rsidRDefault="00980E5F">
            <w:pPr>
              <w:rPr>
                <w:rFonts w:ascii="宋体"/>
                <w:vanish/>
              </w:rPr>
            </w:pPr>
          </w:p>
        </w:tc>
        <w:tc>
          <w:tcPr>
            <w:tcW w:w="0" w:type="auto"/>
            <w:gridSpan w:val="3"/>
            <w:shd w:val="clear" w:color="auto" w:fill="auto"/>
            <w:vAlign w:val="bottom"/>
          </w:tcPr>
          <w:p w14:paraId="392C60C8" w14:textId="77777777" w:rsidR="00980E5F" w:rsidRDefault="00980E5F">
            <w:pPr>
              <w:rPr>
                <w:rFonts w:ascii="宋体"/>
                <w:vanish/>
              </w:rPr>
            </w:pPr>
          </w:p>
        </w:tc>
        <w:tc>
          <w:tcPr>
            <w:tcW w:w="0" w:type="auto"/>
            <w:gridSpan w:val="3"/>
            <w:shd w:val="clear" w:color="auto" w:fill="auto"/>
            <w:vAlign w:val="bottom"/>
          </w:tcPr>
          <w:p w14:paraId="392C60C9" w14:textId="77777777" w:rsidR="00980E5F" w:rsidRDefault="00980E5F">
            <w:pPr>
              <w:rPr>
                <w:rFonts w:ascii="宋体"/>
                <w:vanish/>
              </w:rPr>
            </w:pPr>
          </w:p>
        </w:tc>
        <w:tc>
          <w:tcPr>
            <w:tcW w:w="0" w:type="auto"/>
            <w:gridSpan w:val="3"/>
            <w:shd w:val="clear" w:color="auto" w:fill="auto"/>
            <w:vAlign w:val="bottom"/>
          </w:tcPr>
          <w:p w14:paraId="392C60CA" w14:textId="77777777" w:rsidR="00980E5F" w:rsidRDefault="00980E5F">
            <w:pPr>
              <w:rPr>
                <w:rFonts w:ascii="宋体"/>
                <w:vanish/>
              </w:rPr>
            </w:pPr>
          </w:p>
        </w:tc>
        <w:tc>
          <w:tcPr>
            <w:tcW w:w="0" w:type="auto"/>
            <w:gridSpan w:val="3"/>
            <w:shd w:val="clear" w:color="auto" w:fill="auto"/>
            <w:vAlign w:val="bottom"/>
          </w:tcPr>
          <w:p w14:paraId="392C60CB" w14:textId="77777777" w:rsidR="00980E5F" w:rsidRDefault="00980E5F">
            <w:pPr>
              <w:rPr>
                <w:rFonts w:ascii="宋体"/>
                <w:vanish/>
              </w:rPr>
            </w:pPr>
          </w:p>
        </w:tc>
        <w:tc>
          <w:tcPr>
            <w:tcW w:w="0" w:type="auto"/>
            <w:gridSpan w:val="3"/>
            <w:shd w:val="clear" w:color="auto" w:fill="auto"/>
            <w:vAlign w:val="bottom"/>
          </w:tcPr>
          <w:p w14:paraId="392C60CC" w14:textId="77777777" w:rsidR="00980E5F" w:rsidRDefault="00980E5F">
            <w:pPr>
              <w:rPr>
                <w:rFonts w:ascii="宋体"/>
                <w:vanish/>
              </w:rPr>
            </w:pPr>
          </w:p>
        </w:tc>
        <w:tc>
          <w:tcPr>
            <w:tcW w:w="0" w:type="auto"/>
            <w:gridSpan w:val="3"/>
            <w:shd w:val="clear" w:color="auto" w:fill="auto"/>
            <w:vAlign w:val="bottom"/>
          </w:tcPr>
          <w:p w14:paraId="392C60CD" w14:textId="77777777" w:rsidR="00980E5F" w:rsidRDefault="00980E5F">
            <w:pPr>
              <w:rPr>
                <w:rFonts w:ascii="宋体"/>
                <w:vanish/>
              </w:rPr>
            </w:pPr>
          </w:p>
        </w:tc>
        <w:tc>
          <w:tcPr>
            <w:tcW w:w="0" w:type="auto"/>
            <w:gridSpan w:val="3"/>
            <w:shd w:val="clear" w:color="auto" w:fill="auto"/>
            <w:vAlign w:val="bottom"/>
          </w:tcPr>
          <w:p w14:paraId="392C60CE" w14:textId="77777777" w:rsidR="00980E5F" w:rsidRDefault="00980E5F">
            <w:pPr>
              <w:rPr>
                <w:rFonts w:ascii="宋体"/>
                <w:vanish/>
              </w:rPr>
            </w:pPr>
          </w:p>
        </w:tc>
        <w:tc>
          <w:tcPr>
            <w:tcW w:w="0" w:type="auto"/>
            <w:gridSpan w:val="3"/>
            <w:shd w:val="clear" w:color="auto" w:fill="auto"/>
            <w:vAlign w:val="bottom"/>
          </w:tcPr>
          <w:p w14:paraId="392C60CF" w14:textId="77777777" w:rsidR="00980E5F" w:rsidRDefault="00980E5F">
            <w:pPr>
              <w:rPr>
                <w:rFonts w:ascii="宋体"/>
                <w:vanish/>
              </w:rPr>
            </w:pPr>
          </w:p>
        </w:tc>
        <w:tc>
          <w:tcPr>
            <w:tcW w:w="0" w:type="auto"/>
            <w:gridSpan w:val="3"/>
            <w:shd w:val="clear" w:color="auto" w:fill="auto"/>
            <w:vAlign w:val="bottom"/>
          </w:tcPr>
          <w:p w14:paraId="392C60D0" w14:textId="77777777" w:rsidR="00980E5F" w:rsidRDefault="00980E5F">
            <w:pPr>
              <w:rPr>
                <w:rFonts w:ascii="宋体"/>
                <w:vanish/>
              </w:rPr>
            </w:pPr>
          </w:p>
        </w:tc>
        <w:tc>
          <w:tcPr>
            <w:tcW w:w="0" w:type="auto"/>
            <w:gridSpan w:val="3"/>
            <w:shd w:val="clear" w:color="auto" w:fill="auto"/>
            <w:vAlign w:val="bottom"/>
          </w:tcPr>
          <w:p w14:paraId="392C60D1" w14:textId="77777777" w:rsidR="00980E5F" w:rsidRDefault="00980E5F">
            <w:pPr>
              <w:rPr>
                <w:rFonts w:ascii="宋体"/>
                <w:vanish/>
              </w:rPr>
            </w:pPr>
          </w:p>
        </w:tc>
        <w:tc>
          <w:tcPr>
            <w:tcW w:w="0" w:type="auto"/>
            <w:gridSpan w:val="3"/>
            <w:shd w:val="clear" w:color="auto" w:fill="auto"/>
            <w:vAlign w:val="bottom"/>
          </w:tcPr>
          <w:p w14:paraId="392C60D2" w14:textId="77777777" w:rsidR="00980E5F" w:rsidRDefault="00980E5F">
            <w:pPr>
              <w:rPr>
                <w:rFonts w:ascii="宋体"/>
                <w:vanish/>
              </w:rPr>
            </w:pPr>
          </w:p>
        </w:tc>
      </w:tr>
      <w:tr w:rsidR="00980E5F" w14:paraId="392C60EC" w14:textId="77777777">
        <w:tc>
          <w:tcPr>
            <w:tcW w:w="0" w:type="auto"/>
            <w:gridSpan w:val="3"/>
            <w:shd w:val="clear" w:color="auto" w:fill="FFFFFF"/>
            <w:tcMar>
              <w:top w:w="40" w:type="dxa"/>
              <w:left w:w="380" w:type="dxa"/>
              <w:bottom w:w="40" w:type="dxa"/>
              <w:right w:w="20" w:type="dxa"/>
            </w:tcMar>
            <w:vAlign w:val="bottom"/>
          </w:tcPr>
          <w:p w14:paraId="392C60D4" w14:textId="77777777" w:rsidR="00980E5F" w:rsidRDefault="00483613">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D5" w14:textId="77777777" w:rsidR="00980E5F" w:rsidRDefault="00483613">
            <w:pPr>
              <w:jc w:val="right"/>
              <w:textAlignment w:val="bottom"/>
            </w:pPr>
            <w:r>
              <w:rPr>
                <w:rFonts w:ascii="Arial" w:eastAsia="宋体" w:hAnsi="Arial" w:cs="Arial"/>
                <w:b/>
                <w:bCs/>
                <w:color w:val="000000"/>
                <w:sz w:val="15"/>
                <w:szCs w:val="15"/>
              </w:rPr>
              <w:t>4,734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D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D8" w14:textId="77777777" w:rsidR="00980E5F" w:rsidRDefault="00483613">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D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DB" w14:textId="77777777" w:rsidR="00980E5F" w:rsidRDefault="00483613">
            <w:pPr>
              <w:jc w:val="right"/>
              <w:textAlignment w:val="bottom"/>
            </w:pPr>
            <w:r>
              <w:rPr>
                <w:rFonts w:ascii="Arial" w:eastAsia="宋体" w:hAnsi="Arial" w:cs="Arial"/>
                <w:b/>
                <w:bCs/>
                <w:color w:val="000000"/>
                <w:sz w:val="15"/>
                <w:szCs w:val="15"/>
              </w:rPr>
              <w:t>124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D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DE" w14:textId="77777777" w:rsidR="00980E5F" w:rsidRDefault="00483613">
            <w:pPr>
              <w:jc w:val="right"/>
              <w:textAlignment w:val="bottom"/>
            </w:pPr>
            <w:r>
              <w:rPr>
                <w:rFonts w:ascii="Arial" w:eastAsia="宋体" w:hAnsi="Arial" w:cs="Arial"/>
                <w:b/>
                <w:bCs/>
                <w:color w:val="000000"/>
                <w:sz w:val="15"/>
                <w:szCs w:val="15"/>
              </w:rPr>
              <w:t>4,631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E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E1" w14:textId="77777777" w:rsidR="00980E5F" w:rsidRDefault="00483613">
            <w:pPr>
              <w:jc w:val="right"/>
              <w:textAlignment w:val="bottom"/>
            </w:pPr>
            <w:r>
              <w:rPr>
                <w:rFonts w:ascii="Arial" w:eastAsia="宋体" w:hAnsi="Arial" w:cs="Arial"/>
                <w:color w:val="000000"/>
                <w:sz w:val="15"/>
                <w:szCs w:val="15"/>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E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E4" w14:textId="77777777" w:rsidR="00980E5F" w:rsidRDefault="00483613">
            <w:pPr>
              <w:jc w:val="right"/>
              <w:textAlignment w:val="bottom"/>
            </w:pPr>
            <w:r>
              <w:rPr>
                <w:rFonts w:ascii="Arial" w:eastAsia="宋体" w:hAnsi="Arial" w:cs="Arial"/>
                <w:color w:val="000000"/>
                <w:sz w:val="15"/>
                <w:szCs w:val="15"/>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E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E7" w14:textId="77777777" w:rsidR="00980E5F" w:rsidRDefault="00483613">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0E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0EA" w14:textId="77777777" w:rsidR="00980E5F" w:rsidRDefault="00483613">
            <w:pPr>
              <w:jc w:val="right"/>
              <w:textAlignment w:val="bottom"/>
            </w:pPr>
            <w:r>
              <w:rPr>
                <w:rFonts w:ascii="Arial" w:eastAsia="宋体" w:hAnsi="Arial" w:cs="Arial"/>
                <w:color w:val="000000"/>
                <w:sz w:val="15"/>
                <w:szCs w:val="15"/>
              </w:rPr>
              <w:t>5,271 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0EB" w14:textId="77777777" w:rsidR="00980E5F" w:rsidRDefault="00980E5F">
            <w:pPr>
              <w:jc w:val="right"/>
              <w:rPr>
                <w:rFonts w:ascii="宋体"/>
              </w:rPr>
            </w:pPr>
          </w:p>
        </w:tc>
      </w:tr>
      <w:tr w:rsidR="00980E5F" w14:paraId="392C60FD" w14:textId="77777777">
        <w:trPr>
          <w:hidden/>
        </w:trPr>
        <w:tc>
          <w:tcPr>
            <w:tcW w:w="0" w:type="auto"/>
            <w:gridSpan w:val="3"/>
            <w:shd w:val="clear" w:color="auto" w:fill="auto"/>
            <w:vAlign w:val="bottom"/>
          </w:tcPr>
          <w:p w14:paraId="392C60ED" w14:textId="77777777" w:rsidR="00980E5F" w:rsidRDefault="00980E5F">
            <w:pPr>
              <w:rPr>
                <w:rFonts w:ascii="宋体"/>
                <w:vanish/>
              </w:rPr>
            </w:pPr>
          </w:p>
        </w:tc>
        <w:tc>
          <w:tcPr>
            <w:tcW w:w="0" w:type="auto"/>
            <w:gridSpan w:val="3"/>
            <w:shd w:val="clear" w:color="auto" w:fill="auto"/>
            <w:vAlign w:val="bottom"/>
          </w:tcPr>
          <w:p w14:paraId="392C60EE" w14:textId="77777777" w:rsidR="00980E5F" w:rsidRDefault="00980E5F">
            <w:pPr>
              <w:rPr>
                <w:rFonts w:ascii="宋体"/>
                <w:vanish/>
              </w:rPr>
            </w:pPr>
          </w:p>
        </w:tc>
        <w:tc>
          <w:tcPr>
            <w:tcW w:w="0" w:type="auto"/>
            <w:gridSpan w:val="3"/>
            <w:shd w:val="clear" w:color="auto" w:fill="auto"/>
            <w:vAlign w:val="bottom"/>
          </w:tcPr>
          <w:p w14:paraId="392C60EF" w14:textId="77777777" w:rsidR="00980E5F" w:rsidRDefault="00980E5F">
            <w:pPr>
              <w:rPr>
                <w:rFonts w:ascii="宋体"/>
                <w:vanish/>
              </w:rPr>
            </w:pPr>
          </w:p>
        </w:tc>
        <w:tc>
          <w:tcPr>
            <w:tcW w:w="0" w:type="auto"/>
            <w:gridSpan w:val="3"/>
            <w:shd w:val="clear" w:color="auto" w:fill="auto"/>
            <w:vAlign w:val="bottom"/>
          </w:tcPr>
          <w:p w14:paraId="392C60F0" w14:textId="77777777" w:rsidR="00980E5F" w:rsidRDefault="00980E5F">
            <w:pPr>
              <w:rPr>
                <w:rFonts w:ascii="宋体"/>
                <w:vanish/>
              </w:rPr>
            </w:pPr>
          </w:p>
        </w:tc>
        <w:tc>
          <w:tcPr>
            <w:tcW w:w="0" w:type="auto"/>
            <w:gridSpan w:val="3"/>
            <w:shd w:val="clear" w:color="auto" w:fill="auto"/>
            <w:vAlign w:val="bottom"/>
          </w:tcPr>
          <w:p w14:paraId="392C60F1" w14:textId="77777777" w:rsidR="00980E5F" w:rsidRDefault="00980E5F">
            <w:pPr>
              <w:rPr>
                <w:rFonts w:ascii="宋体"/>
                <w:vanish/>
              </w:rPr>
            </w:pPr>
          </w:p>
        </w:tc>
        <w:tc>
          <w:tcPr>
            <w:tcW w:w="0" w:type="auto"/>
            <w:gridSpan w:val="3"/>
            <w:shd w:val="clear" w:color="auto" w:fill="auto"/>
            <w:vAlign w:val="bottom"/>
          </w:tcPr>
          <w:p w14:paraId="392C60F2" w14:textId="77777777" w:rsidR="00980E5F" w:rsidRDefault="00980E5F">
            <w:pPr>
              <w:rPr>
                <w:rFonts w:ascii="宋体"/>
                <w:vanish/>
              </w:rPr>
            </w:pPr>
          </w:p>
        </w:tc>
        <w:tc>
          <w:tcPr>
            <w:tcW w:w="0" w:type="auto"/>
            <w:gridSpan w:val="3"/>
            <w:shd w:val="clear" w:color="auto" w:fill="auto"/>
            <w:vAlign w:val="bottom"/>
          </w:tcPr>
          <w:p w14:paraId="392C60F3" w14:textId="77777777" w:rsidR="00980E5F" w:rsidRDefault="00980E5F">
            <w:pPr>
              <w:rPr>
                <w:rFonts w:ascii="宋体"/>
                <w:vanish/>
              </w:rPr>
            </w:pPr>
          </w:p>
        </w:tc>
        <w:tc>
          <w:tcPr>
            <w:tcW w:w="0" w:type="auto"/>
            <w:gridSpan w:val="3"/>
            <w:shd w:val="clear" w:color="auto" w:fill="auto"/>
            <w:vAlign w:val="bottom"/>
          </w:tcPr>
          <w:p w14:paraId="392C60F4" w14:textId="77777777" w:rsidR="00980E5F" w:rsidRDefault="00980E5F">
            <w:pPr>
              <w:rPr>
                <w:rFonts w:ascii="宋体"/>
                <w:vanish/>
              </w:rPr>
            </w:pPr>
          </w:p>
        </w:tc>
        <w:tc>
          <w:tcPr>
            <w:tcW w:w="0" w:type="auto"/>
            <w:gridSpan w:val="3"/>
            <w:shd w:val="clear" w:color="auto" w:fill="auto"/>
            <w:vAlign w:val="bottom"/>
          </w:tcPr>
          <w:p w14:paraId="392C60F5" w14:textId="77777777" w:rsidR="00980E5F" w:rsidRDefault="00980E5F">
            <w:pPr>
              <w:rPr>
                <w:rFonts w:ascii="宋体"/>
                <w:vanish/>
              </w:rPr>
            </w:pPr>
          </w:p>
        </w:tc>
        <w:tc>
          <w:tcPr>
            <w:tcW w:w="0" w:type="auto"/>
            <w:gridSpan w:val="3"/>
            <w:shd w:val="clear" w:color="auto" w:fill="auto"/>
            <w:vAlign w:val="bottom"/>
          </w:tcPr>
          <w:p w14:paraId="392C60F6" w14:textId="77777777" w:rsidR="00980E5F" w:rsidRDefault="00980E5F">
            <w:pPr>
              <w:rPr>
                <w:rFonts w:ascii="宋体"/>
                <w:vanish/>
              </w:rPr>
            </w:pPr>
          </w:p>
        </w:tc>
        <w:tc>
          <w:tcPr>
            <w:tcW w:w="0" w:type="auto"/>
            <w:gridSpan w:val="3"/>
            <w:shd w:val="clear" w:color="auto" w:fill="auto"/>
            <w:vAlign w:val="bottom"/>
          </w:tcPr>
          <w:p w14:paraId="392C60F7" w14:textId="77777777" w:rsidR="00980E5F" w:rsidRDefault="00980E5F">
            <w:pPr>
              <w:rPr>
                <w:rFonts w:ascii="宋体"/>
                <w:vanish/>
              </w:rPr>
            </w:pPr>
          </w:p>
        </w:tc>
        <w:tc>
          <w:tcPr>
            <w:tcW w:w="0" w:type="auto"/>
            <w:gridSpan w:val="3"/>
            <w:shd w:val="clear" w:color="auto" w:fill="auto"/>
            <w:vAlign w:val="bottom"/>
          </w:tcPr>
          <w:p w14:paraId="392C60F8" w14:textId="77777777" w:rsidR="00980E5F" w:rsidRDefault="00980E5F">
            <w:pPr>
              <w:rPr>
                <w:rFonts w:ascii="宋体"/>
                <w:vanish/>
              </w:rPr>
            </w:pPr>
          </w:p>
        </w:tc>
        <w:tc>
          <w:tcPr>
            <w:tcW w:w="0" w:type="auto"/>
            <w:gridSpan w:val="3"/>
            <w:shd w:val="clear" w:color="auto" w:fill="auto"/>
            <w:vAlign w:val="bottom"/>
          </w:tcPr>
          <w:p w14:paraId="392C60F9" w14:textId="77777777" w:rsidR="00980E5F" w:rsidRDefault="00980E5F">
            <w:pPr>
              <w:rPr>
                <w:rFonts w:ascii="宋体"/>
                <w:vanish/>
              </w:rPr>
            </w:pPr>
          </w:p>
        </w:tc>
        <w:tc>
          <w:tcPr>
            <w:tcW w:w="0" w:type="auto"/>
            <w:gridSpan w:val="3"/>
            <w:shd w:val="clear" w:color="auto" w:fill="auto"/>
            <w:vAlign w:val="bottom"/>
          </w:tcPr>
          <w:p w14:paraId="392C60FA" w14:textId="77777777" w:rsidR="00980E5F" w:rsidRDefault="00980E5F">
            <w:pPr>
              <w:rPr>
                <w:rFonts w:ascii="宋体"/>
                <w:vanish/>
              </w:rPr>
            </w:pPr>
          </w:p>
        </w:tc>
        <w:tc>
          <w:tcPr>
            <w:tcW w:w="0" w:type="auto"/>
            <w:gridSpan w:val="3"/>
            <w:shd w:val="clear" w:color="auto" w:fill="auto"/>
            <w:vAlign w:val="bottom"/>
          </w:tcPr>
          <w:p w14:paraId="392C60FB" w14:textId="77777777" w:rsidR="00980E5F" w:rsidRDefault="00980E5F">
            <w:pPr>
              <w:rPr>
                <w:rFonts w:ascii="宋体"/>
                <w:vanish/>
              </w:rPr>
            </w:pPr>
          </w:p>
        </w:tc>
        <w:tc>
          <w:tcPr>
            <w:tcW w:w="0" w:type="auto"/>
            <w:gridSpan w:val="3"/>
            <w:shd w:val="clear" w:color="auto" w:fill="auto"/>
            <w:vAlign w:val="bottom"/>
          </w:tcPr>
          <w:p w14:paraId="392C60FC" w14:textId="77777777" w:rsidR="00980E5F" w:rsidRDefault="00980E5F">
            <w:pPr>
              <w:rPr>
                <w:rFonts w:ascii="宋体"/>
                <w:vanish/>
              </w:rPr>
            </w:pPr>
          </w:p>
        </w:tc>
      </w:tr>
      <w:tr w:rsidR="00980E5F" w14:paraId="392C610E" w14:textId="77777777">
        <w:trPr>
          <w:hidden/>
        </w:trPr>
        <w:tc>
          <w:tcPr>
            <w:tcW w:w="0" w:type="auto"/>
            <w:gridSpan w:val="3"/>
            <w:shd w:val="clear" w:color="auto" w:fill="auto"/>
            <w:vAlign w:val="bottom"/>
          </w:tcPr>
          <w:p w14:paraId="392C60FE" w14:textId="77777777" w:rsidR="00980E5F" w:rsidRDefault="00980E5F">
            <w:pPr>
              <w:rPr>
                <w:rFonts w:ascii="宋体"/>
                <w:vanish/>
              </w:rPr>
            </w:pPr>
          </w:p>
        </w:tc>
        <w:tc>
          <w:tcPr>
            <w:tcW w:w="0" w:type="auto"/>
            <w:gridSpan w:val="3"/>
            <w:shd w:val="clear" w:color="auto" w:fill="auto"/>
            <w:vAlign w:val="bottom"/>
          </w:tcPr>
          <w:p w14:paraId="392C60FF" w14:textId="77777777" w:rsidR="00980E5F" w:rsidRDefault="00980E5F">
            <w:pPr>
              <w:rPr>
                <w:rFonts w:ascii="宋体"/>
                <w:vanish/>
              </w:rPr>
            </w:pPr>
          </w:p>
        </w:tc>
        <w:tc>
          <w:tcPr>
            <w:tcW w:w="0" w:type="auto"/>
            <w:gridSpan w:val="3"/>
            <w:shd w:val="clear" w:color="auto" w:fill="auto"/>
            <w:vAlign w:val="bottom"/>
          </w:tcPr>
          <w:p w14:paraId="392C6100" w14:textId="77777777" w:rsidR="00980E5F" w:rsidRDefault="00980E5F">
            <w:pPr>
              <w:rPr>
                <w:rFonts w:ascii="宋体"/>
                <w:vanish/>
              </w:rPr>
            </w:pPr>
          </w:p>
        </w:tc>
        <w:tc>
          <w:tcPr>
            <w:tcW w:w="0" w:type="auto"/>
            <w:gridSpan w:val="3"/>
            <w:shd w:val="clear" w:color="auto" w:fill="auto"/>
            <w:vAlign w:val="bottom"/>
          </w:tcPr>
          <w:p w14:paraId="392C6101" w14:textId="77777777" w:rsidR="00980E5F" w:rsidRDefault="00980E5F">
            <w:pPr>
              <w:rPr>
                <w:rFonts w:ascii="宋体"/>
                <w:vanish/>
              </w:rPr>
            </w:pPr>
          </w:p>
        </w:tc>
        <w:tc>
          <w:tcPr>
            <w:tcW w:w="0" w:type="auto"/>
            <w:gridSpan w:val="3"/>
            <w:shd w:val="clear" w:color="auto" w:fill="auto"/>
            <w:vAlign w:val="bottom"/>
          </w:tcPr>
          <w:p w14:paraId="392C6102" w14:textId="77777777" w:rsidR="00980E5F" w:rsidRDefault="00980E5F">
            <w:pPr>
              <w:rPr>
                <w:rFonts w:ascii="宋体"/>
                <w:vanish/>
              </w:rPr>
            </w:pPr>
          </w:p>
        </w:tc>
        <w:tc>
          <w:tcPr>
            <w:tcW w:w="0" w:type="auto"/>
            <w:gridSpan w:val="3"/>
            <w:shd w:val="clear" w:color="auto" w:fill="auto"/>
            <w:vAlign w:val="bottom"/>
          </w:tcPr>
          <w:p w14:paraId="392C6103" w14:textId="77777777" w:rsidR="00980E5F" w:rsidRDefault="00980E5F">
            <w:pPr>
              <w:rPr>
                <w:rFonts w:ascii="宋体"/>
                <w:vanish/>
              </w:rPr>
            </w:pPr>
          </w:p>
        </w:tc>
        <w:tc>
          <w:tcPr>
            <w:tcW w:w="0" w:type="auto"/>
            <w:gridSpan w:val="3"/>
            <w:shd w:val="clear" w:color="auto" w:fill="auto"/>
            <w:vAlign w:val="bottom"/>
          </w:tcPr>
          <w:p w14:paraId="392C6104" w14:textId="77777777" w:rsidR="00980E5F" w:rsidRDefault="00980E5F">
            <w:pPr>
              <w:rPr>
                <w:rFonts w:ascii="宋体"/>
                <w:vanish/>
              </w:rPr>
            </w:pPr>
          </w:p>
        </w:tc>
        <w:tc>
          <w:tcPr>
            <w:tcW w:w="0" w:type="auto"/>
            <w:gridSpan w:val="3"/>
            <w:shd w:val="clear" w:color="auto" w:fill="auto"/>
            <w:vAlign w:val="bottom"/>
          </w:tcPr>
          <w:p w14:paraId="392C6105" w14:textId="77777777" w:rsidR="00980E5F" w:rsidRDefault="00980E5F">
            <w:pPr>
              <w:rPr>
                <w:rFonts w:ascii="宋体"/>
                <w:vanish/>
              </w:rPr>
            </w:pPr>
          </w:p>
        </w:tc>
        <w:tc>
          <w:tcPr>
            <w:tcW w:w="0" w:type="auto"/>
            <w:gridSpan w:val="3"/>
            <w:shd w:val="clear" w:color="auto" w:fill="auto"/>
            <w:vAlign w:val="bottom"/>
          </w:tcPr>
          <w:p w14:paraId="392C6106" w14:textId="77777777" w:rsidR="00980E5F" w:rsidRDefault="00980E5F">
            <w:pPr>
              <w:rPr>
                <w:rFonts w:ascii="宋体"/>
                <w:vanish/>
              </w:rPr>
            </w:pPr>
          </w:p>
        </w:tc>
        <w:tc>
          <w:tcPr>
            <w:tcW w:w="0" w:type="auto"/>
            <w:gridSpan w:val="3"/>
            <w:shd w:val="clear" w:color="auto" w:fill="auto"/>
            <w:vAlign w:val="bottom"/>
          </w:tcPr>
          <w:p w14:paraId="392C6107" w14:textId="77777777" w:rsidR="00980E5F" w:rsidRDefault="00980E5F">
            <w:pPr>
              <w:rPr>
                <w:rFonts w:ascii="宋体"/>
                <w:vanish/>
              </w:rPr>
            </w:pPr>
          </w:p>
        </w:tc>
        <w:tc>
          <w:tcPr>
            <w:tcW w:w="0" w:type="auto"/>
            <w:gridSpan w:val="3"/>
            <w:shd w:val="clear" w:color="auto" w:fill="auto"/>
            <w:vAlign w:val="bottom"/>
          </w:tcPr>
          <w:p w14:paraId="392C6108" w14:textId="77777777" w:rsidR="00980E5F" w:rsidRDefault="00980E5F">
            <w:pPr>
              <w:rPr>
                <w:rFonts w:ascii="宋体"/>
                <w:vanish/>
              </w:rPr>
            </w:pPr>
          </w:p>
        </w:tc>
        <w:tc>
          <w:tcPr>
            <w:tcW w:w="0" w:type="auto"/>
            <w:gridSpan w:val="3"/>
            <w:shd w:val="clear" w:color="auto" w:fill="auto"/>
            <w:vAlign w:val="bottom"/>
          </w:tcPr>
          <w:p w14:paraId="392C6109" w14:textId="77777777" w:rsidR="00980E5F" w:rsidRDefault="00980E5F">
            <w:pPr>
              <w:rPr>
                <w:rFonts w:ascii="宋体"/>
                <w:vanish/>
              </w:rPr>
            </w:pPr>
          </w:p>
        </w:tc>
        <w:tc>
          <w:tcPr>
            <w:tcW w:w="0" w:type="auto"/>
            <w:gridSpan w:val="3"/>
            <w:shd w:val="clear" w:color="auto" w:fill="auto"/>
            <w:vAlign w:val="bottom"/>
          </w:tcPr>
          <w:p w14:paraId="392C610A" w14:textId="77777777" w:rsidR="00980E5F" w:rsidRDefault="00980E5F">
            <w:pPr>
              <w:rPr>
                <w:rFonts w:ascii="宋体"/>
                <w:vanish/>
              </w:rPr>
            </w:pPr>
          </w:p>
        </w:tc>
        <w:tc>
          <w:tcPr>
            <w:tcW w:w="0" w:type="auto"/>
            <w:gridSpan w:val="3"/>
            <w:shd w:val="clear" w:color="auto" w:fill="auto"/>
            <w:vAlign w:val="bottom"/>
          </w:tcPr>
          <w:p w14:paraId="392C610B" w14:textId="77777777" w:rsidR="00980E5F" w:rsidRDefault="00980E5F">
            <w:pPr>
              <w:rPr>
                <w:rFonts w:ascii="宋体"/>
                <w:vanish/>
              </w:rPr>
            </w:pPr>
          </w:p>
        </w:tc>
        <w:tc>
          <w:tcPr>
            <w:tcW w:w="0" w:type="auto"/>
            <w:gridSpan w:val="3"/>
            <w:shd w:val="clear" w:color="auto" w:fill="auto"/>
            <w:vAlign w:val="bottom"/>
          </w:tcPr>
          <w:p w14:paraId="392C610C" w14:textId="77777777" w:rsidR="00980E5F" w:rsidRDefault="00980E5F">
            <w:pPr>
              <w:rPr>
                <w:rFonts w:ascii="宋体"/>
                <w:vanish/>
              </w:rPr>
            </w:pPr>
          </w:p>
        </w:tc>
        <w:tc>
          <w:tcPr>
            <w:tcW w:w="0" w:type="auto"/>
            <w:gridSpan w:val="3"/>
            <w:shd w:val="clear" w:color="auto" w:fill="auto"/>
            <w:vAlign w:val="bottom"/>
          </w:tcPr>
          <w:p w14:paraId="392C610D" w14:textId="77777777" w:rsidR="00980E5F" w:rsidRDefault="00980E5F">
            <w:pPr>
              <w:rPr>
                <w:rFonts w:ascii="宋体"/>
                <w:vanish/>
              </w:rPr>
            </w:pPr>
          </w:p>
        </w:tc>
      </w:tr>
      <w:tr w:rsidR="00980E5F" w14:paraId="392C611F" w14:textId="77777777">
        <w:trPr>
          <w:hidden/>
        </w:trPr>
        <w:tc>
          <w:tcPr>
            <w:tcW w:w="0" w:type="auto"/>
            <w:gridSpan w:val="3"/>
            <w:shd w:val="clear" w:color="auto" w:fill="auto"/>
            <w:vAlign w:val="bottom"/>
          </w:tcPr>
          <w:p w14:paraId="392C610F" w14:textId="77777777" w:rsidR="00980E5F" w:rsidRDefault="00980E5F">
            <w:pPr>
              <w:rPr>
                <w:rFonts w:ascii="宋体"/>
                <w:vanish/>
              </w:rPr>
            </w:pPr>
          </w:p>
        </w:tc>
        <w:tc>
          <w:tcPr>
            <w:tcW w:w="0" w:type="auto"/>
            <w:gridSpan w:val="3"/>
            <w:shd w:val="clear" w:color="auto" w:fill="auto"/>
            <w:vAlign w:val="bottom"/>
          </w:tcPr>
          <w:p w14:paraId="392C6110" w14:textId="77777777" w:rsidR="00980E5F" w:rsidRDefault="00980E5F">
            <w:pPr>
              <w:rPr>
                <w:rFonts w:ascii="宋体"/>
                <w:vanish/>
              </w:rPr>
            </w:pPr>
          </w:p>
        </w:tc>
        <w:tc>
          <w:tcPr>
            <w:tcW w:w="0" w:type="auto"/>
            <w:gridSpan w:val="3"/>
            <w:shd w:val="clear" w:color="auto" w:fill="auto"/>
            <w:vAlign w:val="bottom"/>
          </w:tcPr>
          <w:p w14:paraId="392C6111" w14:textId="77777777" w:rsidR="00980E5F" w:rsidRDefault="00980E5F">
            <w:pPr>
              <w:rPr>
                <w:rFonts w:ascii="宋体"/>
                <w:vanish/>
              </w:rPr>
            </w:pPr>
          </w:p>
        </w:tc>
        <w:tc>
          <w:tcPr>
            <w:tcW w:w="0" w:type="auto"/>
            <w:gridSpan w:val="3"/>
            <w:shd w:val="clear" w:color="auto" w:fill="auto"/>
            <w:vAlign w:val="bottom"/>
          </w:tcPr>
          <w:p w14:paraId="392C6112" w14:textId="77777777" w:rsidR="00980E5F" w:rsidRDefault="00980E5F">
            <w:pPr>
              <w:rPr>
                <w:rFonts w:ascii="宋体"/>
                <w:vanish/>
              </w:rPr>
            </w:pPr>
          </w:p>
        </w:tc>
        <w:tc>
          <w:tcPr>
            <w:tcW w:w="0" w:type="auto"/>
            <w:gridSpan w:val="3"/>
            <w:shd w:val="clear" w:color="auto" w:fill="auto"/>
            <w:vAlign w:val="bottom"/>
          </w:tcPr>
          <w:p w14:paraId="392C6113" w14:textId="77777777" w:rsidR="00980E5F" w:rsidRDefault="00980E5F">
            <w:pPr>
              <w:rPr>
                <w:rFonts w:ascii="宋体"/>
                <w:vanish/>
              </w:rPr>
            </w:pPr>
          </w:p>
        </w:tc>
        <w:tc>
          <w:tcPr>
            <w:tcW w:w="0" w:type="auto"/>
            <w:gridSpan w:val="3"/>
            <w:shd w:val="clear" w:color="auto" w:fill="auto"/>
            <w:vAlign w:val="bottom"/>
          </w:tcPr>
          <w:p w14:paraId="392C6114" w14:textId="77777777" w:rsidR="00980E5F" w:rsidRDefault="00980E5F">
            <w:pPr>
              <w:rPr>
                <w:rFonts w:ascii="宋体"/>
                <w:vanish/>
              </w:rPr>
            </w:pPr>
          </w:p>
        </w:tc>
        <w:tc>
          <w:tcPr>
            <w:tcW w:w="0" w:type="auto"/>
            <w:gridSpan w:val="3"/>
            <w:shd w:val="clear" w:color="auto" w:fill="auto"/>
            <w:vAlign w:val="bottom"/>
          </w:tcPr>
          <w:p w14:paraId="392C6115" w14:textId="77777777" w:rsidR="00980E5F" w:rsidRDefault="00980E5F">
            <w:pPr>
              <w:rPr>
                <w:rFonts w:ascii="宋体"/>
                <w:vanish/>
              </w:rPr>
            </w:pPr>
          </w:p>
        </w:tc>
        <w:tc>
          <w:tcPr>
            <w:tcW w:w="0" w:type="auto"/>
            <w:gridSpan w:val="3"/>
            <w:shd w:val="clear" w:color="auto" w:fill="auto"/>
            <w:vAlign w:val="bottom"/>
          </w:tcPr>
          <w:p w14:paraId="392C6116" w14:textId="77777777" w:rsidR="00980E5F" w:rsidRDefault="00980E5F">
            <w:pPr>
              <w:rPr>
                <w:rFonts w:ascii="宋体"/>
                <w:vanish/>
              </w:rPr>
            </w:pPr>
          </w:p>
        </w:tc>
        <w:tc>
          <w:tcPr>
            <w:tcW w:w="0" w:type="auto"/>
            <w:gridSpan w:val="3"/>
            <w:shd w:val="clear" w:color="auto" w:fill="auto"/>
            <w:vAlign w:val="bottom"/>
          </w:tcPr>
          <w:p w14:paraId="392C6117" w14:textId="77777777" w:rsidR="00980E5F" w:rsidRDefault="00980E5F">
            <w:pPr>
              <w:rPr>
                <w:rFonts w:ascii="宋体"/>
                <w:vanish/>
              </w:rPr>
            </w:pPr>
          </w:p>
        </w:tc>
        <w:tc>
          <w:tcPr>
            <w:tcW w:w="0" w:type="auto"/>
            <w:gridSpan w:val="3"/>
            <w:shd w:val="clear" w:color="auto" w:fill="auto"/>
            <w:vAlign w:val="bottom"/>
          </w:tcPr>
          <w:p w14:paraId="392C6118" w14:textId="77777777" w:rsidR="00980E5F" w:rsidRDefault="00980E5F">
            <w:pPr>
              <w:rPr>
                <w:rFonts w:ascii="宋体"/>
                <w:vanish/>
              </w:rPr>
            </w:pPr>
          </w:p>
        </w:tc>
        <w:tc>
          <w:tcPr>
            <w:tcW w:w="0" w:type="auto"/>
            <w:gridSpan w:val="3"/>
            <w:shd w:val="clear" w:color="auto" w:fill="auto"/>
            <w:vAlign w:val="bottom"/>
          </w:tcPr>
          <w:p w14:paraId="392C6119" w14:textId="77777777" w:rsidR="00980E5F" w:rsidRDefault="00980E5F">
            <w:pPr>
              <w:rPr>
                <w:rFonts w:ascii="宋体"/>
                <w:vanish/>
              </w:rPr>
            </w:pPr>
          </w:p>
        </w:tc>
        <w:tc>
          <w:tcPr>
            <w:tcW w:w="0" w:type="auto"/>
            <w:gridSpan w:val="3"/>
            <w:shd w:val="clear" w:color="auto" w:fill="auto"/>
            <w:vAlign w:val="bottom"/>
          </w:tcPr>
          <w:p w14:paraId="392C611A" w14:textId="77777777" w:rsidR="00980E5F" w:rsidRDefault="00980E5F">
            <w:pPr>
              <w:rPr>
                <w:rFonts w:ascii="宋体"/>
                <w:vanish/>
              </w:rPr>
            </w:pPr>
          </w:p>
        </w:tc>
        <w:tc>
          <w:tcPr>
            <w:tcW w:w="0" w:type="auto"/>
            <w:gridSpan w:val="3"/>
            <w:shd w:val="clear" w:color="auto" w:fill="auto"/>
            <w:vAlign w:val="bottom"/>
          </w:tcPr>
          <w:p w14:paraId="392C611B" w14:textId="77777777" w:rsidR="00980E5F" w:rsidRDefault="00980E5F">
            <w:pPr>
              <w:rPr>
                <w:rFonts w:ascii="宋体"/>
                <w:vanish/>
              </w:rPr>
            </w:pPr>
          </w:p>
        </w:tc>
        <w:tc>
          <w:tcPr>
            <w:tcW w:w="0" w:type="auto"/>
            <w:gridSpan w:val="3"/>
            <w:shd w:val="clear" w:color="auto" w:fill="auto"/>
            <w:vAlign w:val="bottom"/>
          </w:tcPr>
          <w:p w14:paraId="392C611C" w14:textId="77777777" w:rsidR="00980E5F" w:rsidRDefault="00980E5F">
            <w:pPr>
              <w:rPr>
                <w:rFonts w:ascii="宋体"/>
                <w:vanish/>
              </w:rPr>
            </w:pPr>
          </w:p>
        </w:tc>
        <w:tc>
          <w:tcPr>
            <w:tcW w:w="0" w:type="auto"/>
            <w:gridSpan w:val="3"/>
            <w:shd w:val="clear" w:color="auto" w:fill="auto"/>
            <w:vAlign w:val="bottom"/>
          </w:tcPr>
          <w:p w14:paraId="392C611D" w14:textId="77777777" w:rsidR="00980E5F" w:rsidRDefault="00980E5F">
            <w:pPr>
              <w:rPr>
                <w:rFonts w:ascii="宋体"/>
                <w:vanish/>
              </w:rPr>
            </w:pPr>
          </w:p>
        </w:tc>
        <w:tc>
          <w:tcPr>
            <w:tcW w:w="0" w:type="auto"/>
            <w:gridSpan w:val="3"/>
            <w:shd w:val="clear" w:color="auto" w:fill="auto"/>
            <w:vAlign w:val="bottom"/>
          </w:tcPr>
          <w:p w14:paraId="392C611E" w14:textId="77777777" w:rsidR="00980E5F" w:rsidRDefault="00980E5F">
            <w:pPr>
              <w:rPr>
                <w:rFonts w:ascii="宋体"/>
                <w:vanish/>
              </w:rPr>
            </w:pPr>
          </w:p>
        </w:tc>
      </w:tr>
      <w:tr w:rsidR="00980E5F" w14:paraId="392C6130" w14:textId="77777777">
        <w:trPr>
          <w:hidden/>
        </w:trPr>
        <w:tc>
          <w:tcPr>
            <w:tcW w:w="0" w:type="auto"/>
            <w:gridSpan w:val="3"/>
            <w:shd w:val="clear" w:color="auto" w:fill="auto"/>
            <w:vAlign w:val="bottom"/>
          </w:tcPr>
          <w:p w14:paraId="392C6120" w14:textId="77777777" w:rsidR="00980E5F" w:rsidRDefault="00980E5F">
            <w:pPr>
              <w:rPr>
                <w:rFonts w:ascii="宋体"/>
                <w:vanish/>
              </w:rPr>
            </w:pPr>
          </w:p>
        </w:tc>
        <w:tc>
          <w:tcPr>
            <w:tcW w:w="0" w:type="auto"/>
            <w:gridSpan w:val="3"/>
            <w:shd w:val="clear" w:color="auto" w:fill="auto"/>
            <w:vAlign w:val="bottom"/>
          </w:tcPr>
          <w:p w14:paraId="392C6121" w14:textId="77777777" w:rsidR="00980E5F" w:rsidRDefault="00980E5F">
            <w:pPr>
              <w:rPr>
                <w:rFonts w:ascii="宋体"/>
                <w:vanish/>
              </w:rPr>
            </w:pPr>
          </w:p>
        </w:tc>
        <w:tc>
          <w:tcPr>
            <w:tcW w:w="0" w:type="auto"/>
            <w:gridSpan w:val="3"/>
            <w:shd w:val="clear" w:color="auto" w:fill="auto"/>
            <w:vAlign w:val="bottom"/>
          </w:tcPr>
          <w:p w14:paraId="392C6122" w14:textId="77777777" w:rsidR="00980E5F" w:rsidRDefault="00980E5F">
            <w:pPr>
              <w:rPr>
                <w:rFonts w:ascii="宋体"/>
                <w:vanish/>
              </w:rPr>
            </w:pPr>
          </w:p>
        </w:tc>
        <w:tc>
          <w:tcPr>
            <w:tcW w:w="0" w:type="auto"/>
            <w:gridSpan w:val="3"/>
            <w:shd w:val="clear" w:color="auto" w:fill="auto"/>
            <w:vAlign w:val="bottom"/>
          </w:tcPr>
          <w:p w14:paraId="392C6123" w14:textId="77777777" w:rsidR="00980E5F" w:rsidRDefault="00980E5F">
            <w:pPr>
              <w:rPr>
                <w:rFonts w:ascii="宋体"/>
                <w:vanish/>
              </w:rPr>
            </w:pPr>
          </w:p>
        </w:tc>
        <w:tc>
          <w:tcPr>
            <w:tcW w:w="0" w:type="auto"/>
            <w:gridSpan w:val="3"/>
            <w:shd w:val="clear" w:color="auto" w:fill="auto"/>
            <w:vAlign w:val="bottom"/>
          </w:tcPr>
          <w:p w14:paraId="392C6124" w14:textId="77777777" w:rsidR="00980E5F" w:rsidRDefault="00980E5F">
            <w:pPr>
              <w:rPr>
                <w:rFonts w:ascii="宋体"/>
                <w:vanish/>
              </w:rPr>
            </w:pPr>
          </w:p>
        </w:tc>
        <w:tc>
          <w:tcPr>
            <w:tcW w:w="0" w:type="auto"/>
            <w:gridSpan w:val="3"/>
            <w:shd w:val="clear" w:color="auto" w:fill="auto"/>
            <w:vAlign w:val="bottom"/>
          </w:tcPr>
          <w:p w14:paraId="392C6125" w14:textId="77777777" w:rsidR="00980E5F" w:rsidRDefault="00980E5F">
            <w:pPr>
              <w:rPr>
                <w:rFonts w:ascii="宋体"/>
                <w:vanish/>
              </w:rPr>
            </w:pPr>
          </w:p>
        </w:tc>
        <w:tc>
          <w:tcPr>
            <w:tcW w:w="0" w:type="auto"/>
            <w:gridSpan w:val="3"/>
            <w:shd w:val="clear" w:color="auto" w:fill="auto"/>
            <w:vAlign w:val="bottom"/>
          </w:tcPr>
          <w:p w14:paraId="392C6126" w14:textId="77777777" w:rsidR="00980E5F" w:rsidRDefault="00980E5F">
            <w:pPr>
              <w:rPr>
                <w:rFonts w:ascii="宋体"/>
                <w:vanish/>
              </w:rPr>
            </w:pPr>
          </w:p>
        </w:tc>
        <w:tc>
          <w:tcPr>
            <w:tcW w:w="0" w:type="auto"/>
            <w:gridSpan w:val="3"/>
            <w:shd w:val="clear" w:color="auto" w:fill="auto"/>
            <w:vAlign w:val="bottom"/>
          </w:tcPr>
          <w:p w14:paraId="392C6127" w14:textId="77777777" w:rsidR="00980E5F" w:rsidRDefault="00980E5F">
            <w:pPr>
              <w:rPr>
                <w:rFonts w:ascii="宋体"/>
                <w:vanish/>
              </w:rPr>
            </w:pPr>
          </w:p>
        </w:tc>
        <w:tc>
          <w:tcPr>
            <w:tcW w:w="0" w:type="auto"/>
            <w:gridSpan w:val="3"/>
            <w:shd w:val="clear" w:color="auto" w:fill="auto"/>
            <w:vAlign w:val="bottom"/>
          </w:tcPr>
          <w:p w14:paraId="392C6128" w14:textId="77777777" w:rsidR="00980E5F" w:rsidRDefault="00980E5F">
            <w:pPr>
              <w:rPr>
                <w:rFonts w:ascii="宋体"/>
                <w:vanish/>
              </w:rPr>
            </w:pPr>
          </w:p>
        </w:tc>
        <w:tc>
          <w:tcPr>
            <w:tcW w:w="0" w:type="auto"/>
            <w:gridSpan w:val="3"/>
            <w:shd w:val="clear" w:color="auto" w:fill="auto"/>
            <w:vAlign w:val="bottom"/>
          </w:tcPr>
          <w:p w14:paraId="392C6129" w14:textId="77777777" w:rsidR="00980E5F" w:rsidRDefault="00980E5F">
            <w:pPr>
              <w:rPr>
                <w:rFonts w:ascii="宋体"/>
                <w:vanish/>
              </w:rPr>
            </w:pPr>
          </w:p>
        </w:tc>
        <w:tc>
          <w:tcPr>
            <w:tcW w:w="0" w:type="auto"/>
            <w:gridSpan w:val="3"/>
            <w:shd w:val="clear" w:color="auto" w:fill="auto"/>
            <w:vAlign w:val="bottom"/>
          </w:tcPr>
          <w:p w14:paraId="392C612A" w14:textId="77777777" w:rsidR="00980E5F" w:rsidRDefault="00980E5F">
            <w:pPr>
              <w:rPr>
                <w:rFonts w:ascii="宋体"/>
                <w:vanish/>
              </w:rPr>
            </w:pPr>
          </w:p>
        </w:tc>
        <w:tc>
          <w:tcPr>
            <w:tcW w:w="0" w:type="auto"/>
            <w:gridSpan w:val="3"/>
            <w:shd w:val="clear" w:color="auto" w:fill="auto"/>
            <w:vAlign w:val="bottom"/>
          </w:tcPr>
          <w:p w14:paraId="392C612B" w14:textId="77777777" w:rsidR="00980E5F" w:rsidRDefault="00980E5F">
            <w:pPr>
              <w:rPr>
                <w:rFonts w:ascii="宋体"/>
                <w:vanish/>
              </w:rPr>
            </w:pPr>
          </w:p>
        </w:tc>
        <w:tc>
          <w:tcPr>
            <w:tcW w:w="0" w:type="auto"/>
            <w:gridSpan w:val="3"/>
            <w:shd w:val="clear" w:color="auto" w:fill="auto"/>
            <w:vAlign w:val="bottom"/>
          </w:tcPr>
          <w:p w14:paraId="392C612C" w14:textId="77777777" w:rsidR="00980E5F" w:rsidRDefault="00980E5F">
            <w:pPr>
              <w:rPr>
                <w:rFonts w:ascii="宋体"/>
                <w:vanish/>
              </w:rPr>
            </w:pPr>
          </w:p>
        </w:tc>
        <w:tc>
          <w:tcPr>
            <w:tcW w:w="0" w:type="auto"/>
            <w:gridSpan w:val="3"/>
            <w:shd w:val="clear" w:color="auto" w:fill="auto"/>
            <w:vAlign w:val="bottom"/>
          </w:tcPr>
          <w:p w14:paraId="392C612D" w14:textId="77777777" w:rsidR="00980E5F" w:rsidRDefault="00980E5F">
            <w:pPr>
              <w:rPr>
                <w:rFonts w:ascii="宋体"/>
                <w:vanish/>
              </w:rPr>
            </w:pPr>
          </w:p>
        </w:tc>
        <w:tc>
          <w:tcPr>
            <w:tcW w:w="0" w:type="auto"/>
            <w:gridSpan w:val="3"/>
            <w:shd w:val="clear" w:color="auto" w:fill="auto"/>
            <w:vAlign w:val="bottom"/>
          </w:tcPr>
          <w:p w14:paraId="392C612E" w14:textId="77777777" w:rsidR="00980E5F" w:rsidRDefault="00980E5F">
            <w:pPr>
              <w:rPr>
                <w:rFonts w:ascii="宋体"/>
                <w:vanish/>
              </w:rPr>
            </w:pPr>
          </w:p>
        </w:tc>
        <w:tc>
          <w:tcPr>
            <w:tcW w:w="0" w:type="auto"/>
            <w:gridSpan w:val="3"/>
            <w:shd w:val="clear" w:color="auto" w:fill="auto"/>
            <w:vAlign w:val="bottom"/>
          </w:tcPr>
          <w:p w14:paraId="392C612F" w14:textId="77777777" w:rsidR="00980E5F" w:rsidRDefault="00980E5F">
            <w:pPr>
              <w:rPr>
                <w:rFonts w:ascii="宋体"/>
                <w:vanish/>
              </w:rPr>
            </w:pPr>
          </w:p>
        </w:tc>
      </w:tr>
      <w:tr w:rsidR="00980E5F" w14:paraId="392C6141" w14:textId="77777777">
        <w:trPr>
          <w:hidden/>
        </w:trPr>
        <w:tc>
          <w:tcPr>
            <w:tcW w:w="0" w:type="auto"/>
            <w:gridSpan w:val="3"/>
            <w:shd w:val="clear" w:color="auto" w:fill="auto"/>
            <w:vAlign w:val="bottom"/>
          </w:tcPr>
          <w:p w14:paraId="392C6131" w14:textId="77777777" w:rsidR="00980E5F" w:rsidRDefault="00980E5F">
            <w:pPr>
              <w:rPr>
                <w:rFonts w:ascii="宋体"/>
                <w:vanish/>
              </w:rPr>
            </w:pPr>
          </w:p>
        </w:tc>
        <w:tc>
          <w:tcPr>
            <w:tcW w:w="0" w:type="auto"/>
            <w:gridSpan w:val="3"/>
            <w:shd w:val="clear" w:color="auto" w:fill="auto"/>
            <w:vAlign w:val="bottom"/>
          </w:tcPr>
          <w:p w14:paraId="392C6132" w14:textId="77777777" w:rsidR="00980E5F" w:rsidRDefault="00980E5F">
            <w:pPr>
              <w:rPr>
                <w:rFonts w:ascii="宋体"/>
                <w:vanish/>
              </w:rPr>
            </w:pPr>
          </w:p>
        </w:tc>
        <w:tc>
          <w:tcPr>
            <w:tcW w:w="0" w:type="auto"/>
            <w:gridSpan w:val="3"/>
            <w:shd w:val="clear" w:color="auto" w:fill="auto"/>
            <w:vAlign w:val="bottom"/>
          </w:tcPr>
          <w:p w14:paraId="392C6133" w14:textId="77777777" w:rsidR="00980E5F" w:rsidRDefault="00980E5F">
            <w:pPr>
              <w:rPr>
                <w:rFonts w:ascii="宋体"/>
                <w:vanish/>
              </w:rPr>
            </w:pPr>
          </w:p>
        </w:tc>
        <w:tc>
          <w:tcPr>
            <w:tcW w:w="0" w:type="auto"/>
            <w:gridSpan w:val="3"/>
            <w:shd w:val="clear" w:color="auto" w:fill="auto"/>
            <w:vAlign w:val="bottom"/>
          </w:tcPr>
          <w:p w14:paraId="392C6134" w14:textId="77777777" w:rsidR="00980E5F" w:rsidRDefault="00980E5F">
            <w:pPr>
              <w:rPr>
                <w:rFonts w:ascii="宋体"/>
                <w:vanish/>
              </w:rPr>
            </w:pPr>
          </w:p>
        </w:tc>
        <w:tc>
          <w:tcPr>
            <w:tcW w:w="0" w:type="auto"/>
            <w:gridSpan w:val="3"/>
            <w:shd w:val="clear" w:color="auto" w:fill="auto"/>
            <w:vAlign w:val="bottom"/>
          </w:tcPr>
          <w:p w14:paraId="392C6135" w14:textId="77777777" w:rsidR="00980E5F" w:rsidRDefault="00980E5F">
            <w:pPr>
              <w:rPr>
                <w:rFonts w:ascii="宋体"/>
                <w:vanish/>
              </w:rPr>
            </w:pPr>
          </w:p>
        </w:tc>
        <w:tc>
          <w:tcPr>
            <w:tcW w:w="0" w:type="auto"/>
            <w:gridSpan w:val="3"/>
            <w:shd w:val="clear" w:color="auto" w:fill="auto"/>
            <w:vAlign w:val="bottom"/>
          </w:tcPr>
          <w:p w14:paraId="392C6136" w14:textId="77777777" w:rsidR="00980E5F" w:rsidRDefault="00980E5F">
            <w:pPr>
              <w:rPr>
                <w:rFonts w:ascii="宋体"/>
                <w:vanish/>
              </w:rPr>
            </w:pPr>
          </w:p>
        </w:tc>
        <w:tc>
          <w:tcPr>
            <w:tcW w:w="0" w:type="auto"/>
            <w:gridSpan w:val="3"/>
            <w:shd w:val="clear" w:color="auto" w:fill="auto"/>
            <w:vAlign w:val="bottom"/>
          </w:tcPr>
          <w:p w14:paraId="392C6137" w14:textId="77777777" w:rsidR="00980E5F" w:rsidRDefault="00980E5F">
            <w:pPr>
              <w:rPr>
                <w:rFonts w:ascii="宋体"/>
                <w:vanish/>
              </w:rPr>
            </w:pPr>
          </w:p>
        </w:tc>
        <w:tc>
          <w:tcPr>
            <w:tcW w:w="0" w:type="auto"/>
            <w:gridSpan w:val="3"/>
            <w:shd w:val="clear" w:color="auto" w:fill="auto"/>
            <w:vAlign w:val="bottom"/>
          </w:tcPr>
          <w:p w14:paraId="392C6138" w14:textId="77777777" w:rsidR="00980E5F" w:rsidRDefault="00980E5F">
            <w:pPr>
              <w:rPr>
                <w:rFonts w:ascii="宋体"/>
                <w:vanish/>
              </w:rPr>
            </w:pPr>
          </w:p>
        </w:tc>
        <w:tc>
          <w:tcPr>
            <w:tcW w:w="0" w:type="auto"/>
            <w:gridSpan w:val="3"/>
            <w:shd w:val="clear" w:color="auto" w:fill="auto"/>
            <w:vAlign w:val="bottom"/>
          </w:tcPr>
          <w:p w14:paraId="392C6139" w14:textId="77777777" w:rsidR="00980E5F" w:rsidRDefault="00980E5F">
            <w:pPr>
              <w:rPr>
                <w:rFonts w:ascii="宋体"/>
                <w:vanish/>
              </w:rPr>
            </w:pPr>
          </w:p>
        </w:tc>
        <w:tc>
          <w:tcPr>
            <w:tcW w:w="0" w:type="auto"/>
            <w:gridSpan w:val="3"/>
            <w:shd w:val="clear" w:color="auto" w:fill="auto"/>
            <w:vAlign w:val="bottom"/>
          </w:tcPr>
          <w:p w14:paraId="392C613A" w14:textId="77777777" w:rsidR="00980E5F" w:rsidRDefault="00980E5F">
            <w:pPr>
              <w:rPr>
                <w:rFonts w:ascii="宋体"/>
                <w:vanish/>
              </w:rPr>
            </w:pPr>
          </w:p>
        </w:tc>
        <w:tc>
          <w:tcPr>
            <w:tcW w:w="0" w:type="auto"/>
            <w:gridSpan w:val="3"/>
            <w:shd w:val="clear" w:color="auto" w:fill="auto"/>
            <w:vAlign w:val="bottom"/>
          </w:tcPr>
          <w:p w14:paraId="392C613B" w14:textId="77777777" w:rsidR="00980E5F" w:rsidRDefault="00980E5F">
            <w:pPr>
              <w:rPr>
                <w:rFonts w:ascii="宋体"/>
                <w:vanish/>
              </w:rPr>
            </w:pPr>
          </w:p>
        </w:tc>
        <w:tc>
          <w:tcPr>
            <w:tcW w:w="0" w:type="auto"/>
            <w:gridSpan w:val="3"/>
            <w:shd w:val="clear" w:color="auto" w:fill="auto"/>
            <w:vAlign w:val="bottom"/>
          </w:tcPr>
          <w:p w14:paraId="392C613C" w14:textId="77777777" w:rsidR="00980E5F" w:rsidRDefault="00980E5F">
            <w:pPr>
              <w:rPr>
                <w:rFonts w:ascii="宋体"/>
                <w:vanish/>
              </w:rPr>
            </w:pPr>
          </w:p>
        </w:tc>
        <w:tc>
          <w:tcPr>
            <w:tcW w:w="0" w:type="auto"/>
            <w:gridSpan w:val="3"/>
            <w:shd w:val="clear" w:color="auto" w:fill="auto"/>
            <w:vAlign w:val="bottom"/>
          </w:tcPr>
          <w:p w14:paraId="392C613D" w14:textId="77777777" w:rsidR="00980E5F" w:rsidRDefault="00980E5F">
            <w:pPr>
              <w:rPr>
                <w:rFonts w:ascii="宋体"/>
                <w:vanish/>
              </w:rPr>
            </w:pPr>
          </w:p>
        </w:tc>
        <w:tc>
          <w:tcPr>
            <w:tcW w:w="0" w:type="auto"/>
            <w:gridSpan w:val="3"/>
            <w:shd w:val="clear" w:color="auto" w:fill="auto"/>
            <w:vAlign w:val="bottom"/>
          </w:tcPr>
          <w:p w14:paraId="392C613E" w14:textId="77777777" w:rsidR="00980E5F" w:rsidRDefault="00980E5F">
            <w:pPr>
              <w:rPr>
                <w:rFonts w:ascii="宋体"/>
                <w:vanish/>
              </w:rPr>
            </w:pPr>
          </w:p>
        </w:tc>
        <w:tc>
          <w:tcPr>
            <w:tcW w:w="0" w:type="auto"/>
            <w:gridSpan w:val="3"/>
            <w:shd w:val="clear" w:color="auto" w:fill="auto"/>
            <w:vAlign w:val="bottom"/>
          </w:tcPr>
          <w:p w14:paraId="392C613F" w14:textId="77777777" w:rsidR="00980E5F" w:rsidRDefault="00980E5F">
            <w:pPr>
              <w:rPr>
                <w:rFonts w:ascii="宋体"/>
                <w:vanish/>
              </w:rPr>
            </w:pPr>
          </w:p>
        </w:tc>
        <w:tc>
          <w:tcPr>
            <w:tcW w:w="0" w:type="auto"/>
            <w:gridSpan w:val="3"/>
            <w:shd w:val="clear" w:color="auto" w:fill="auto"/>
            <w:vAlign w:val="bottom"/>
          </w:tcPr>
          <w:p w14:paraId="392C6140" w14:textId="77777777" w:rsidR="00980E5F" w:rsidRDefault="00980E5F">
            <w:pPr>
              <w:rPr>
                <w:rFonts w:ascii="宋体"/>
                <w:vanish/>
              </w:rPr>
            </w:pPr>
          </w:p>
        </w:tc>
      </w:tr>
      <w:tr w:rsidR="00980E5F" w14:paraId="392C6152" w14:textId="77777777">
        <w:trPr>
          <w:hidden/>
        </w:trPr>
        <w:tc>
          <w:tcPr>
            <w:tcW w:w="0" w:type="auto"/>
            <w:gridSpan w:val="3"/>
            <w:shd w:val="clear" w:color="auto" w:fill="auto"/>
            <w:vAlign w:val="bottom"/>
          </w:tcPr>
          <w:p w14:paraId="392C6142" w14:textId="77777777" w:rsidR="00980E5F" w:rsidRDefault="00980E5F">
            <w:pPr>
              <w:rPr>
                <w:rFonts w:ascii="宋体"/>
                <w:vanish/>
              </w:rPr>
            </w:pPr>
          </w:p>
        </w:tc>
        <w:tc>
          <w:tcPr>
            <w:tcW w:w="0" w:type="auto"/>
            <w:gridSpan w:val="3"/>
            <w:shd w:val="clear" w:color="auto" w:fill="auto"/>
            <w:vAlign w:val="bottom"/>
          </w:tcPr>
          <w:p w14:paraId="392C6143" w14:textId="77777777" w:rsidR="00980E5F" w:rsidRDefault="00980E5F">
            <w:pPr>
              <w:rPr>
                <w:rFonts w:ascii="宋体"/>
                <w:vanish/>
              </w:rPr>
            </w:pPr>
          </w:p>
        </w:tc>
        <w:tc>
          <w:tcPr>
            <w:tcW w:w="0" w:type="auto"/>
            <w:gridSpan w:val="3"/>
            <w:shd w:val="clear" w:color="auto" w:fill="auto"/>
            <w:vAlign w:val="bottom"/>
          </w:tcPr>
          <w:p w14:paraId="392C6144" w14:textId="77777777" w:rsidR="00980E5F" w:rsidRDefault="00980E5F">
            <w:pPr>
              <w:rPr>
                <w:rFonts w:ascii="宋体"/>
                <w:vanish/>
              </w:rPr>
            </w:pPr>
          </w:p>
        </w:tc>
        <w:tc>
          <w:tcPr>
            <w:tcW w:w="0" w:type="auto"/>
            <w:gridSpan w:val="3"/>
            <w:shd w:val="clear" w:color="auto" w:fill="auto"/>
            <w:vAlign w:val="bottom"/>
          </w:tcPr>
          <w:p w14:paraId="392C6145" w14:textId="77777777" w:rsidR="00980E5F" w:rsidRDefault="00980E5F">
            <w:pPr>
              <w:rPr>
                <w:rFonts w:ascii="宋体"/>
                <w:vanish/>
              </w:rPr>
            </w:pPr>
          </w:p>
        </w:tc>
        <w:tc>
          <w:tcPr>
            <w:tcW w:w="0" w:type="auto"/>
            <w:gridSpan w:val="3"/>
            <w:shd w:val="clear" w:color="auto" w:fill="auto"/>
            <w:vAlign w:val="bottom"/>
          </w:tcPr>
          <w:p w14:paraId="392C6146" w14:textId="77777777" w:rsidR="00980E5F" w:rsidRDefault="00980E5F">
            <w:pPr>
              <w:rPr>
                <w:rFonts w:ascii="宋体"/>
                <w:vanish/>
              </w:rPr>
            </w:pPr>
          </w:p>
        </w:tc>
        <w:tc>
          <w:tcPr>
            <w:tcW w:w="0" w:type="auto"/>
            <w:gridSpan w:val="3"/>
            <w:shd w:val="clear" w:color="auto" w:fill="auto"/>
            <w:vAlign w:val="bottom"/>
          </w:tcPr>
          <w:p w14:paraId="392C6147" w14:textId="77777777" w:rsidR="00980E5F" w:rsidRDefault="00980E5F">
            <w:pPr>
              <w:rPr>
                <w:rFonts w:ascii="宋体"/>
                <w:vanish/>
              </w:rPr>
            </w:pPr>
          </w:p>
        </w:tc>
        <w:tc>
          <w:tcPr>
            <w:tcW w:w="0" w:type="auto"/>
            <w:gridSpan w:val="3"/>
            <w:shd w:val="clear" w:color="auto" w:fill="auto"/>
            <w:vAlign w:val="bottom"/>
          </w:tcPr>
          <w:p w14:paraId="392C6148" w14:textId="77777777" w:rsidR="00980E5F" w:rsidRDefault="00980E5F">
            <w:pPr>
              <w:rPr>
                <w:rFonts w:ascii="宋体"/>
                <w:vanish/>
              </w:rPr>
            </w:pPr>
          </w:p>
        </w:tc>
        <w:tc>
          <w:tcPr>
            <w:tcW w:w="0" w:type="auto"/>
            <w:gridSpan w:val="3"/>
            <w:shd w:val="clear" w:color="auto" w:fill="auto"/>
            <w:vAlign w:val="bottom"/>
          </w:tcPr>
          <w:p w14:paraId="392C6149" w14:textId="77777777" w:rsidR="00980E5F" w:rsidRDefault="00980E5F">
            <w:pPr>
              <w:rPr>
                <w:rFonts w:ascii="宋体"/>
                <w:vanish/>
              </w:rPr>
            </w:pPr>
          </w:p>
        </w:tc>
        <w:tc>
          <w:tcPr>
            <w:tcW w:w="0" w:type="auto"/>
            <w:gridSpan w:val="3"/>
            <w:shd w:val="clear" w:color="auto" w:fill="auto"/>
            <w:vAlign w:val="bottom"/>
          </w:tcPr>
          <w:p w14:paraId="392C614A" w14:textId="77777777" w:rsidR="00980E5F" w:rsidRDefault="00980E5F">
            <w:pPr>
              <w:rPr>
                <w:rFonts w:ascii="宋体"/>
                <w:vanish/>
              </w:rPr>
            </w:pPr>
          </w:p>
        </w:tc>
        <w:tc>
          <w:tcPr>
            <w:tcW w:w="0" w:type="auto"/>
            <w:gridSpan w:val="3"/>
            <w:shd w:val="clear" w:color="auto" w:fill="auto"/>
            <w:vAlign w:val="bottom"/>
          </w:tcPr>
          <w:p w14:paraId="392C614B" w14:textId="77777777" w:rsidR="00980E5F" w:rsidRDefault="00980E5F">
            <w:pPr>
              <w:rPr>
                <w:rFonts w:ascii="宋体"/>
                <w:vanish/>
              </w:rPr>
            </w:pPr>
          </w:p>
        </w:tc>
        <w:tc>
          <w:tcPr>
            <w:tcW w:w="0" w:type="auto"/>
            <w:gridSpan w:val="3"/>
            <w:shd w:val="clear" w:color="auto" w:fill="auto"/>
            <w:vAlign w:val="bottom"/>
          </w:tcPr>
          <w:p w14:paraId="392C614C" w14:textId="77777777" w:rsidR="00980E5F" w:rsidRDefault="00980E5F">
            <w:pPr>
              <w:rPr>
                <w:rFonts w:ascii="宋体"/>
                <w:vanish/>
              </w:rPr>
            </w:pPr>
          </w:p>
        </w:tc>
        <w:tc>
          <w:tcPr>
            <w:tcW w:w="0" w:type="auto"/>
            <w:gridSpan w:val="3"/>
            <w:shd w:val="clear" w:color="auto" w:fill="auto"/>
            <w:vAlign w:val="bottom"/>
          </w:tcPr>
          <w:p w14:paraId="392C614D" w14:textId="77777777" w:rsidR="00980E5F" w:rsidRDefault="00980E5F">
            <w:pPr>
              <w:rPr>
                <w:rFonts w:ascii="宋体"/>
                <w:vanish/>
              </w:rPr>
            </w:pPr>
          </w:p>
        </w:tc>
        <w:tc>
          <w:tcPr>
            <w:tcW w:w="0" w:type="auto"/>
            <w:gridSpan w:val="3"/>
            <w:shd w:val="clear" w:color="auto" w:fill="auto"/>
            <w:vAlign w:val="bottom"/>
          </w:tcPr>
          <w:p w14:paraId="392C614E" w14:textId="77777777" w:rsidR="00980E5F" w:rsidRDefault="00980E5F">
            <w:pPr>
              <w:rPr>
                <w:rFonts w:ascii="宋体"/>
                <w:vanish/>
              </w:rPr>
            </w:pPr>
          </w:p>
        </w:tc>
        <w:tc>
          <w:tcPr>
            <w:tcW w:w="0" w:type="auto"/>
            <w:gridSpan w:val="3"/>
            <w:shd w:val="clear" w:color="auto" w:fill="auto"/>
            <w:vAlign w:val="bottom"/>
          </w:tcPr>
          <w:p w14:paraId="392C614F" w14:textId="77777777" w:rsidR="00980E5F" w:rsidRDefault="00980E5F">
            <w:pPr>
              <w:rPr>
                <w:rFonts w:ascii="宋体"/>
                <w:vanish/>
              </w:rPr>
            </w:pPr>
          </w:p>
        </w:tc>
        <w:tc>
          <w:tcPr>
            <w:tcW w:w="0" w:type="auto"/>
            <w:gridSpan w:val="3"/>
            <w:shd w:val="clear" w:color="auto" w:fill="auto"/>
            <w:vAlign w:val="bottom"/>
          </w:tcPr>
          <w:p w14:paraId="392C6150" w14:textId="77777777" w:rsidR="00980E5F" w:rsidRDefault="00980E5F">
            <w:pPr>
              <w:rPr>
                <w:rFonts w:ascii="宋体"/>
                <w:vanish/>
              </w:rPr>
            </w:pPr>
          </w:p>
        </w:tc>
        <w:tc>
          <w:tcPr>
            <w:tcW w:w="0" w:type="auto"/>
            <w:gridSpan w:val="3"/>
            <w:shd w:val="clear" w:color="auto" w:fill="auto"/>
            <w:vAlign w:val="bottom"/>
          </w:tcPr>
          <w:p w14:paraId="392C6151" w14:textId="77777777" w:rsidR="00980E5F" w:rsidRDefault="00980E5F">
            <w:pPr>
              <w:rPr>
                <w:rFonts w:ascii="宋体"/>
                <w:vanish/>
              </w:rPr>
            </w:pPr>
          </w:p>
        </w:tc>
      </w:tr>
      <w:tr w:rsidR="00980E5F" w14:paraId="392C6163" w14:textId="77777777">
        <w:trPr>
          <w:hidden/>
        </w:trPr>
        <w:tc>
          <w:tcPr>
            <w:tcW w:w="0" w:type="auto"/>
            <w:gridSpan w:val="3"/>
            <w:shd w:val="clear" w:color="auto" w:fill="auto"/>
            <w:vAlign w:val="bottom"/>
          </w:tcPr>
          <w:p w14:paraId="392C6153" w14:textId="77777777" w:rsidR="00980E5F" w:rsidRDefault="00980E5F">
            <w:pPr>
              <w:rPr>
                <w:rFonts w:ascii="宋体"/>
                <w:vanish/>
              </w:rPr>
            </w:pPr>
          </w:p>
        </w:tc>
        <w:tc>
          <w:tcPr>
            <w:tcW w:w="0" w:type="auto"/>
            <w:gridSpan w:val="3"/>
            <w:shd w:val="clear" w:color="auto" w:fill="auto"/>
            <w:vAlign w:val="bottom"/>
          </w:tcPr>
          <w:p w14:paraId="392C6154" w14:textId="77777777" w:rsidR="00980E5F" w:rsidRDefault="00980E5F">
            <w:pPr>
              <w:rPr>
                <w:rFonts w:ascii="宋体"/>
                <w:vanish/>
              </w:rPr>
            </w:pPr>
          </w:p>
        </w:tc>
        <w:tc>
          <w:tcPr>
            <w:tcW w:w="0" w:type="auto"/>
            <w:gridSpan w:val="3"/>
            <w:shd w:val="clear" w:color="auto" w:fill="auto"/>
            <w:vAlign w:val="bottom"/>
          </w:tcPr>
          <w:p w14:paraId="392C6155" w14:textId="77777777" w:rsidR="00980E5F" w:rsidRDefault="00980E5F">
            <w:pPr>
              <w:rPr>
                <w:rFonts w:ascii="宋体"/>
                <w:vanish/>
              </w:rPr>
            </w:pPr>
          </w:p>
        </w:tc>
        <w:tc>
          <w:tcPr>
            <w:tcW w:w="0" w:type="auto"/>
            <w:gridSpan w:val="3"/>
            <w:shd w:val="clear" w:color="auto" w:fill="auto"/>
            <w:vAlign w:val="bottom"/>
          </w:tcPr>
          <w:p w14:paraId="392C6156" w14:textId="77777777" w:rsidR="00980E5F" w:rsidRDefault="00980E5F">
            <w:pPr>
              <w:rPr>
                <w:rFonts w:ascii="宋体"/>
                <w:vanish/>
              </w:rPr>
            </w:pPr>
          </w:p>
        </w:tc>
        <w:tc>
          <w:tcPr>
            <w:tcW w:w="0" w:type="auto"/>
            <w:gridSpan w:val="3"/>
            <w:shd w:val="clear" w:color="auto" w:fill="auto"/>
            <w:vAlign w:val="bottom"/>
          </w:tcPr>
          <w:p w14:paraId="392C6157" w14:textId="77777777" w:rsidR="00980E5F" w:rsidRDefault="00980E5F">
            <w:pPr>
              <w:rPr>
                <w:rFonts w:ascii="宋体"/>
                <w:vanish/>
              </w:rPr>
            </w:pPr>
          </w:p>
        </w:tc>
        <w:tc>
          <w:tcPr>
            <w:tcW w:w="0" w:type="auto"/>
            <w:gridSpan w:val="3"/>
            <w:shd w:val="clear" w:color="auto" w:fill="auto"/>
            <w:vAlign w:val="bottom"/>
          </w:tcPr>
          <w:p w14:paraId="392C6158" w14:textId="77777777" w:rsidR="00980E5F" w:rsidRDefault="00980E5F">
            <w:pPr>
              <w:rPr>
                <w:rFonts w:ascii="宋体"/>
                <w:vanish/>
              </w:rPr>
            </w:pPr>
          </w:p>
        </w:tc>
        <w:tc>
          <w:tcPr>
            <w:tcW w:w="0" w:type="auto"/>
            <w:gridSpan w:val="3"/>
            <w:shd w:val="clear" w:color="auto" w:fill="auto"/>
            <w:vAlign w:val="bottom"/>
          </w:tcPr>
          <w:p w14:paraId="392C6159" w14:textId="77777777" w:rsidR="00980E5F" w:rsidRDefault="00980E5F">
            <w:pPr>
              <w:rPr>
                <w:rFonts w:ascii="宋体"/>
                <w:vanish/>
              </w:rPr>
            </w:pPr>
          </w:p>
        </w:tc>
        <w:tc>
          <w:tcPr>
            <w:tcW w:w="0" w:type="auto"/>
            <w:gridSpan w:val="3"/>
            <w:shd w:val="clear" w:color="auto" w:fill="auto"/>
            <w:vAlign w:val="bottom"/>
          </w:tcPr>
          <w:p w14:paraId="392C615A" w14:textId="77777777" w:rsidR="00980E5F" w:rsidRDefault="00980E5F">
            <w:pPr>
              <w:rPr>
                <w:rFonts w:ascii="宋体"/>
                <w:vanish/>
              </w:rPr>
            </w:pPr>
          </w:p>
        </w:tc>
        <w:tc>
          <w:tcPr>
            <w:tcW w:w="0" w:type="auto"/>
            <w:gridSpan w:val="3"/>
            <w:shd w:val="clear" w:color="auto" w:fill="auto"/>
            <w:vAlign w:val="bottom"/>
          </w:tcPr>
          <w:p w14:paraId="392C615B" w14:textId="77777777" w:rsidR="00980E5F" w:rsidRDefault="00980E5F">
            <w:pPr>
              <w:rPr>
                <w:rFonts w:ascii="宋体"/>
                <w:vanish/>
              </w:rPr>
            </w:pPr>
          </w:p>
        </w:tc>
        <w:tc>
          <w:tcPr>
            <w:tcW w:w="0" w:type="auto"/>
            <w:gridSpan w:val="3"/>
            <w:shd w:val="clear" w:color="auto" w:fill="auto"/>
            <w:vAlign w:val="bottom"/>
          </w:tcPr>
          <w:p w14:paraId="392C615C" w14:textId="77777777" w:rsidR="00980E5F" w:rsidRDefault="00980E5F">
            <w:pPr>
              <w:rPr>
                <w:rFonts w:ascii="宋体"/>
                <w:vanish/>
              </w:rPr>
            </w:pPr>
          </w:p>
        </w:tc>
        <w:tc>
          <w:tcPr>
            <w:tcW w:w="0" w:type="auto"/>
            <w:gridSpan w:val="3"/>
            <w:shd w:val="clear" w:color="auto" w:fill="auto"/>
            <w:vAlign w:val="bottom"/>
          </w:tcPr>
          <w:p w14:paraId="392C615D" w14:textId="77777777" w:rsidR="00980E5F" w:rsidRDefault="00980E5F">
            <w:pPr>
              <w:rPr>
                <w:rFonts w:ascii="宋体"/>
                <w:vanish/>
              </w:rPr>
            </w:pPr>
          </w:p>
        </w:tc>
        <w:tc>
          <w:tcPr>
            <w:tcW w:w="0" w:type="auto"/>
            <w:gridSpan w:val="3"/>
            <w:shd w:val="clear" w:color="auto" w:fill="auto"/>
            <w:vAlign w:val="bottom"/>
          </w:tcPr>
          <w:p w14:paraId="392C615E" w14:textId="77777777" w:rsidR="00980E5F" w:rsidRDefault="00980E5F">
            <w:pPr>
              <w:rPr>
                <w:rFonts w:ascii="宋体"/>
                <w:vanish/>
              </w:rPr>
            </w:pPr>
          </w:p>
        </w:tc>
        <w:tc>
          <w:tcPr>
            <w:tcW w:w="0" w:type="auto"/>
            <w:gridSpan w:val="3"/>
            <w:shd w:val="clear" w:color="auto" w:fill="auto"/>
            <w:vAlign w:val="bottom"/>
          </w:tcPr>
          <w:p w14:paraId="392C615F" w14:textId="77777777" w:rsidR="00980E5F" w:rsidRDefault="00980E5F">
            <w:pPr>
              <w:rPr>
                <w:rFonts w:ascii="宋体"/>
                <w:vanish/>
              </w:rPr>
            </w:pPr>
          </w:p>
        </w:tc>
        <w:tc>
          <w:tcPr>
            <w:tcW w:w="0" w:type="auto"/>
            <w:gridSpan w:val="3"/>
            <w:shd w:val="clear" w:color="auto" w:fill="auto"/>
            <w:vAlign w:val="bottom"/>
          </w:tcPr>
          <w:p w14:paraId="392C6160" w14:textId="77777777" w:rsidR="00980E5F" w:rsidRDefault="00980E5F">
            <w:pPr>
              <w:rPr>
                <w:rFonts w:ascii="宋体"/>
                <w:vanish/>
              </w:rPr>
            </w:pPr>
          </w:p>
        </w:tc>
        <w:tc>
          <w:tcPr>
            <w:tcW w:w="0" w:type="auto"/>
            <w:gridSpan w:val="3"/>
            <w:shd w:val="clear" w:color="auto" w:fill="auto"/>
            <w:vAlign w:val="bottom"/>
          </w:tcPr>
          <w:p w14:paraId="392C6161" w14:textId="77777777" w:rsidR="00980E5F" w:rsidRDefault="00980E5F">
            <w:pPr>
              <w:rPr>
                <w:rFonts w:ascii="宋体"/>
                <w:vanish/>
              </w:rPr>
            </w:pPr>
          </w:p>
        </w:tc>
        <w:tc>
          <w:tcPr>
            <w:tcW w:w="0" w:type="auto"/>
            <w:gridSpan w:val="3"/>
            <w:shd w:val="clear" w:color="auto" w:fill="auto"/>
            <w:vAlign w:val="bottom"/>
          </w:tcPr>
          <w:p w14:paraId="392C6162" w14:textId="77777777" w:rsidR="00980E5F" w:rsidRDefault="00980E5F">
            <w:pPr>
              <w:rPr>
                <w:rFonts w:ascii="宋体"/>
                <w:vanish/>
              </w:rPr>
            </w:pPr>
          </w:p>
        </w:tc>
      </w:tr>
      <w:tr w:rsidR="00980E5F" w14:paraId="392C6174" w14:textId="77777777">
        <w:trPr>
          <w:hidden/>
        </w:trPr>
        <w:tc>
          <w:tcPr>
            <w:tcW w:w="0" w:type="auto"/>
            <w:gridSpan w:val="3"/>
            <w:shd w:val="clear" w:color="auto" w:fill="auto"/>
            <w:vAlign w:val="bottom"/>
          </w:tcPr>
          <w:p w14:paraId="392C6164" w14:textId="77777777" w:rsidR="00980E5F" w:rsidRDefault="00980E5F">
            <w:pPr>
              <w:rPr>
                <w:rFonts w:ascii="宋体"/>
                <w:vanish/>
              </w:rPr>
            </w:pPr>
          </w:p>
        </w:tc>
        <w:tc>
          <w:tcPr>
            <w:tcW w:w="0" w:type="auto"/>
            <w:gridSpan w:val="3"/>
            <w:shd w:val="clear" w:color="auto" w:fill="auto"/>
            <w:vAlign w:val="bottom"/>
          </w:tcPr>
          <w:p w14:paraId="392C6165" w14:textId="77777777" w:rsidR="00980E5F" w:rsidRDefault="00980E5F">
            <w:pPr>
              <w:rPr>
                <w:rFonts w:ascii="宋体"/>
                <w:vanish/>
              </w:rPr>
            </w:pPr>
          </w:p>
        </w:tc>
        <w:tc>
          <w:tcPr>
            <w:tcW w:w="0" w:type="auto"/>
            <w:gridSpan w:val="3"/>
            <w:shd w:val="clear" w:color="auto" w:fill="auto"/>
            <w:vAlign w:val="bottom"/>
          </w:tcPr>
          <w:p w14:paraId="392C6166" w14:textId="77777777" w:rsidR="00980E5F" w:rsidRDefault="00980E5F">
            <w:pPr>
              <w:rPr>
                <w:rFonts w:ascii="宋体"/>
                <w:vanish/>
              </w:rPr>
            </w:pPr>
          </w:p>
        </w:tc>
        <w:tc>
          <w:tcPr>
            <w:tcW w:w="0" w:type="auto"/>
            <w:gridSpan w:val="3"/>
            <w:shd w:val="clear" w:color="auto" w:fill="auto"/>
            <w:vAlign w:val="bottom"/>
          </w:tcPr>
          <w:p w14:paraId="392C6167" w14:textId="77777777" w:rsidR="00980E5F" w:rsidRDefault="00980E5F">
            <w:pPr>
              <w:rPr>
                <w:rFonts w:ascii="宋体"/>
                <w:vanish/>
              </w:rPr>
            </w:pPr>
          </w:p>
        </w:tc>
        <w:tc>
          <w:tcPr>
            <w:tcW w:w="0" w:type="auto"/>
            <w:gridSpan w:val="3"/>
            <w:shd w:val="clear" w:color="auto" w:fill="auto"/>
            <w:vAlign w:val="bottom"/>
          </w:tcPr>
          <w:p w14:paraId="392C6168" w14:textId="77777777" w:rsidR="00980E5F" w:rsidRDefault="00980E5F">
            <w:pPr>
              <w:rPr>
                <w:rFonts w:ascii="宋体"/>
                <w:vanish/>
              </w:rPr>
            </w:pPr>
          </w:p>
        </w:tc>
        <w:tc>
          <w:tcPr>
            <w:tcW w:w="0" w:type="auto"/>
            <w:gridSpan w:val="3"/>
            <w:shd w:val="clear" w:color="auto" w:fill="auto"/>
            <w:vAlign w:val="bottom"/>
          </w:tcPr>
          <w:p w14:paraId="392C6169" w14:textId="77777777" w:rsidR="00980E5F" w:rsidRDefault="00980E5F">
            <w:pPr>
              <w:rPr>
                <w:rFonts w:ascii="宋体"/>
                <w:vanish/>
              </w:rPr>
            </w:pPr>
          </w:p>
        </w:tc>
        <w:tc>
          <w:tcPr>
            <w:tcW w:w="0" w:type="auto"/>
            <w:gridSpan w:val="3"/>
            <w:shd w:val="clear" w:color="auto" w:fill="auto"/>
            <w:vAlign w:val="bottom"/>
          </w:tcPr>
          <w:p w14:paraId="392C616A" w14:textId="77777777" w:rsidR="00980E5F" w:rsidRDefault="00980E5F">
            <w:pPr>
              <w:rPr>
                <w:rFonts w:ascii="宋体"/>
                <w:vanish/>
              </w:rPr>
            </w:pPr>
          </w:p>
        </w:tc>
        <w:tc>
          <w:tcPr>
            <w:tcW w:w="0" w:type="auto"/>
            <w:gridSpan w:val="3"/>
            <w:shd w:val="clear" w:color="auto" w:fill="auto"/>
            <w:vAlign w:val="bottom"/>
          </w:tcPr>
          <w:p w14:paraId="392C616B" w14:textId="77777777" w:rsidR="00980E5F" w:rsidRDefault="00980E5F">
            <w:pPr>
              <w:rPr>
                <w:rFonts w:ascii="宋体"/>
                <w:vanish/>
              </w:rPr>
            </w:pPr>
          </w:p>
        </w:tc>
        <w:tc>
          <w:tcPr>
            <w:tcW w:w="0" w:type="auto"/>
            <w:gridSpan w:val="3"/>
            <w:shd w:val="clear" w:color="auto" w:fill="auto"/>
            <w:vAlign w:val="bottom"/>
          </w:tcPr>
          <w:p w14:paraId="392C616C" w14:textId="77777777" w:rsidR="00980E5F" w:rsidRDefault="00980E5F">
            <w:pPr>
              <w:rPr>
                <w:rFonts w:ascii="宋体"/>
                <w:vanish/>
              </w:rPr>
            </w:pPr>
          </w:p>
        </w:tc>
        <w:tc>
          <w:tcPr>
            <w:tcW w:w="0" w:type="auto"/>
            <w:gridSpan w:val="3"/>
            <w:shd w:val="clear" w:color="auto" w:fill="auto"/>
            <w:vAlign w:val="bottom"/>
          </w:tcPr>
          <w:p w14:paraId="392C616D" w14:textId="77777777" w:rsidR="00980E5F" w:rsidRDefault="00980E5F">
            <w:pPr>
              <w:rPr>
                <w:rFonts w:ascii="宋体"/>
                <w:vanish/>
              </w:rPr>
            </w:pPr>
          </w:p>
        </w:tc>
        <w:tc>
          <w:tcPr>
            <w:tcW w:w="0" w:type="auto"/>
            <w:gridSpan w:val="3"/>
            <w:shd w:val="clear" w:color="auto" w:fill="auto"/>
            <w:vAlign w:val="bottom"/>
          </w:tcPr>
          <w:p w14:paraId="392C616E" w14:textId="77777777" w:rsidR="00980E5F" w:rsidRDefault="00980E5F">
            <w:pPr>
              <w:rPr>
                <w:rFonts w:ascii="宋体"/>
                <w:vanish/>
              </w:rPr>
            </w:pPr>
          </w:p>
        </w:tc>
        <w:tc>
          <w:tcPr>
            <w:tcW w:w="0" w:type="auto"/>
            <w:gridSpan w:val="3"/>
            <w:shd w:val="clear" w:color="auto" w:fill="auto"/>
            <w:vAlign w:val="bottom"/>
          </w:tcPr>
          <w:p w14:paraId="392C616F" w14:textId="77777777" w:rsidR="00980E5F" w:rsidRDefault="00980E5F">
            <w:pPr>
              <w:rPr>
                <w:rFonts w:ascii="宋体"/>
                <w:vanish/>
              </w:rPr>
            </w:pPr>
          </w:p>
        </w:tc>
        <w:tc>
          <w:tcPr>
            <w:tcW w:w="0" w:type="auto"/>
            <w:gridSpan w:val="3"/>
            <w:shd w:val="clear" w:color="auto" w:fill="auto"/>
            <w:vAlign w:val="bottom"/>
          </w:tcPr>
          <w:p w14:paraId="392C6170" w14:textId="77777777" w:rsidR="00980E5F" w:rsidRDefault="00980E5F">
            <w:pPr>
              <w:rPr>
                <w:rFonts w:ascii="宋体"/>
                <w:vanish/>
              </w:rPr>
            </w:pPr>
          </w:p>
        </w:tc>
        <w:tc>
          <w:tcPr>
            <w:tcW w:w="0" w:type="auto"/>
            <w:gridSpan w:val="3"/>
            <w:shd w:val="clear" w:color="auto" w:fill="auto"/>
            <w:vAlign w:val="bottom"/>
          </w:tcPr>
          <w:p w14:paraId="392C6171" w14:textId="77777777" w:rsidR="00980E5F" w:rsidRDefault="00980E5F">
            <w:pPr>
              <w:rPr>
                <w:rFonts w:ascii="宋体"/>
                <w:vanish/>
              </w:rPr>
            </w:pPr>
          </w:p>
        </w:tc>
        <w:tc>
          <w:tcPr>
            <w:tcW w:w="0" w:type="auto"/>
            <w:gridSpan w:val="3"/>
            <w:shd w:val="clear" w:color="auto" w:fill="auto"/>
            <w:vAlign w:val="bottom"/>
          </w:tcPr>
          <w:p w14:paraId="392C6172" w14:textId="77777777" w:rsidR="00980E5F" w:rsidRDefault="00980E5F">
            <w:pPr>
              <w:rPr>
                <w:rFonts w:ascii="宋体"/>
                <w:vanish/>
              </w:rPr>
            </w:pPr>
          </w:p>
        </w:tc>
        <w:tc>
          <w:tcPr>
            <w:tcW w:w="0" w:type="auto"/>
            <w:gridSpan w:val="3"/>
            <w:shd w:val="clear" w:color="auto" w:fill="auto"/>
            <w:vAlign w:val="bottom"/>
          </w:tcPr>
          <w:p w14:paraId="392C6173" w14:textId="77777777" w:rsidR="00980E5F" w:rsidRDefault="00980E5F">
            <w:pPr>
              <w:rPr>
                <w:rFonts w:ascii="宋体"/>
                <w:vanish/>
              </w:rPr>
            </w:pPr>
          </w:p>
        </w:tc>
      </w:tr>
      <w:tr w:rsidR="00980E5F" w14:paraId="392C6185" w14:textId="77777777">
        <w:trPr>
          <w:hidden/>
        </w:trPr>
        <w:tc>
          <w:tcPr>
            <w:tcW w:w="0" w:type="auto"/>
            <w:gridSpan w:val="3"/>
            <w:shd w:val="clear" w:color="auto" w:fill="auto"/>
            <w:vAlign w:val="bottom"/>
          </w:tcPr>
          <w:p w14:paraId="392C6175" w14:textId="77777777" w:rsidR="00980E5F" w:rsidRDefault="00980E5F">
            <w:pPr>
              <w:rPr>
                <w:rFonts w:ascii="宋体"/>
                <w:vanish/>
              </w:rPr>
            </w:pPr>
          </w:p>
        </w:tc>
        <w:tc>
          <w:tcPr>
            <w:tcW w:w="0" w:type="auto"/>
            <w:gridSpan w:val="3"/>
            <w:shd w:val="clear" w:color="auto" w:fill="auto"/>
            <w:vAlign w:val="bottom"/>
          </w:tcPr>
          <w:p w14:paraId="392C6176" w14:textId="77777777" w:rsidR="00980E5F" w:rsidRDefault="00980E5F">
            <w:pPr>
              <w:rPr>
                <w:rFonts w:ascii="宋体"/>
                <w:vanish/>
              </w:rPr>
            </w:pPr>
          </w:p>
        </w:tc>
        <w:tc>
          <w:tcPr>
            <w:tcW w:w="0" w:type="auto"/>
            <w:gridSpan w:val="3"/>
            <w:shd w:val="clear" w:color="auto" w:fill="auto"/>
            <w:vAlign w:val="bottom"/>
          </w:tcPr>
          <w:p w14:paraId="392C6177" w14:textId="77777777" w:rsidR="00980E5F" w:rsidRDefault="00980E5F">
            <w:pPr>
              <w:rPr>
                <w:rFonts w:ascii="宋体"/>
                <w:vanish/>
              </w:rPr>
            </w:pPr>
          </w:p>
        </w:tc>
        <w:tc>
          <w:tcPr>
            <w:tcW w:w="0" w:type="auto"/>
            <w:gridSpan w:val="3"/>
            <w:shd w:val="clear" w:color="auto" w:fill="auto"/>
            <w:vAlign w:val="bottom"/>
          </w:tcPr>
          <w:p w14:paraId="392C6178" w14:textId="77777777" w:rsidR="00980E5F" w:rsidRDefault="00980E5F">
            <w:pPr>
              <w:rPr>
                <w:rFonts w:ascii="宋体"/>
                <w:vanish/>
              </w:rPr>
            </w:pPr>
          </w:p>
        </w:tc>
        <w:tc>
          <w:tcPr>
            <w:tcW w:w="0" w:type="auto"/>
            <w:gridSpan w:val="3"/>
            <w:shd w:val="clear" w:color="auto" w:fill="auto"/>
            <w:vAlign w:val="bottom"/>
          </w:tcPr>
          <w:p w14:paraId="392C6179" w14:textId="77777777" w:rsidR="00980E5F" w:rsidRDefault="00980E5F">
            <w:pPr>
              <w:rPr>
                <w:rFonts w:ascii="宋体"/>
                <w:vanish/>
              </w:rPr>
            </w:pPr>
          </w:p>
        </w:tc>
        <w:tc>
          <w:tcPr>
            <w:tcW w:w="0" w:type="auto"/>
            <w:gridSpan w:val="3"/>
            <w:shd w:val="clear" w:color="auto" w:fill="auto"/>
            <w:vAlign w:val="bottom"/>
          </w:tcPr>
          <w:p w14:paraId="392C617A" w14:textId="77777777" w:rsidR="00980E5F" w:rsidRDefault="00980E5F">
            <w:pPr>
              <w:rPr>
                <w:rFonts w:ascii="宋体"/>
                <w:vanish/>
              </w:rPr>
            </w:pPr>
          </w:p>
        </w:tc>
        <w:tc>
          <w:tcPr>
            <w:tcW w:w="0" w:type="auto"/>
            <w:gridSpan w:val="3"/>
            <w:shd w:val="clear" w:color="auto" w:fill="auto"/>
            <w:vAlign w:val="bottom"/>
          </w:tcPr>
          <w:p w14:paraId="392C617B" w14:textId="77777777" w:rsidR="00980E5F" w:rsidRDefault="00980E5F">
            <w:pPr>
              <w:rPr>
                <w:rFonts w:ascii="宋体"/>
                <w:vanish/>
              </w:rPr>
            </w:pPr>
          </w:p>
        </w:tc>
        <w:tc>
          <w:tcPr>
            <w:tcW w:w="0" w:type="auto"/>
            <w:gridSpan w:val="3"/>
            <w:shd w:val="clear" w:color="auto" w:fill="auto"/>
            <w:vAlign w:val="bottom"/>
          </w:tcPr>
          <w:p w14:paraId="392C617C" w14:textId="77777777" w:rsidR="00980E5F" w:rsidRDefault="00980E5F">
            <w:pPr>
              <w:rPr>
                <w:rFonts w:ascii="宋体"/>
                <w:vanish/>
              </w:rPr>
            </w:pPr>
          </w:p>
        </w:tc>
        <w:tc>
          <w:tcPr>
            <w:tcW w:w="0" w:type="auto"/>
            <w:gridSpan w:val="3"/>
            <w:shd w:val="clear" w:color="auto" w:fill="auto"/>
            <w:vAlign w:val="bottom"/>
          </w:tcPr>
          <w:p w14:paraId="392C617D" w14:textId="77777777" w:rsidR="00980E5F" w:rsidRDefault="00980E5F">
            <w:pPr>
              <w:rPr>
                <w:rFonts w:ascii="宋体"/>
                <w:vanish/>
              </w:rPr>
            </w:pPr>
          </w:p>
        </w:tc>
        <w:tc>
          <w:tcPr>
            <w:tcW w:w="0" w:type="auto"/>
            <w:gridSpan w:val="3"/>
            <w:shd w:val="clear" w:color="auto" w:fill="auto"/>
            <w:vAlign w:val="bottom"/>
          </w:tcPr>
          <w:p w14:paraId="392C617E" w14:textId="77777777" w:rsidR="00980E5F" w:rsidRDefault="00980E5F">
            <w:pPr>
              <w:rPr>
                <w:rFonts w:ascii="宋体"/>
                <w:vanish/>
              </w:rPr>
            </w:pPr>
          </w:p>
        </w:tc>
        <w:tc>
          <w:tcPr>
            <w:tcW w:w="0" w:type="auto"/>
            <w:gridSpan w:val="3"/>
            <w:shd w:val="clear" w:color="auto" w:fill="auto"/>
            <w:vAlign w:val="bottom"/>
          </w:tcPr>
          <w:p w14:paraId="392C617F" w14:textId="77777777" w:rsidR="00980E5F" w:rsidRDefault="00980E5F">
            <w:pPr>
              <w:rPr>
                <w:rFonts w:ascii="宋体"/>
                <w:vanish/>
              </w:rPr>
            </w:pPr>
          </w:p>
        </w:tc>
        <w:tc>
          <w:tcPr>
            <w:tcW w:w="0" w:type="auto"/>
            <w:gridSpan w:val="3"/>
            <w:shd w:val="clear" w:color="auto" w:fill="auto"/>
            <w:vAlign w:val="bottom"/>
          </w:tcPr>
          <w:p w14:paraId="392C6180" w14:textId="77777777" w:rsidR="00980E5F" w:rsidRDefault="00980E5F">
            <w:pPr>
              <w:rPr>
                <w:rFonts w:ascii="宋体"/>
                <w:vanish/>
              </w:rPr>
            </w:pPr>
          </w:p>
        </w:tc>
        <w:tc>
          <w:tcPr>
            <w:tcW w:w="0" w:type="auto"/>
            <w:gridSpan w:val="3"/>
            <w:shd w:val="clear" w:color="auto" w:fill="auto"/>
            <w:vAlign w:val="bottom"/>
          </w:tcPr>
          <w:p w14:paraId="392C6181" w14:textId="77777777" w:rsidR="00980E5F" w:rsidRDefault="00980E5F">
            <w:pPr>
              <w:rPr>
                <w:rFonts w:ascii="宋体"/>
                <w:vanish/>
              </w:rPr>
            </w:pPr>
          </w:p>
        </w:tc>
        <w:tc>
          <w:tcPr>
            <w:tcW w:w="0" w:type="auto"/>
            <w:gridSpan w:val="3"/>
            <w:shd w:val="clear" w:color="auto" w:fill="auto"/>
            <w:vAlign w:val="bottom"/>
          </w:tcPr>
          <w:p w14:paraId="392C6182" w14:textId="77777777" w:rsidR="00980E5F" w:rsidRDefault="00980E5F">
            <w:pPr>
              <w:rPr>
                <w:rFonts w:ascii="宋体"/>
                <w:vanish/>
              </w:rPr>
            </w:pPr>
          </w:p>
        </w:tc>
        <w:tc>
          <w:tcPr>
            <w:tcW w:w="0" w:type="auto"/>
            <w:gridSpan w:val="3"/>
            <w:shd w:val="clear" w:color="auto" w:fill="auto"/>
            <w:vAlign w:val="bottom"/>
          </w:tcPr>
          <w:p w14:paraId="392C6183" w14:textId="77777777" w:rsidR="00980E5F" w:rsidRDefault="00980E5F">
            <w:pPr>
              <w:rPr>
                <w:rFonts w:ascii="宋体"/>
                <w:vanish/>
              </w:rPr>
            </w:pPr>
          </w:p>
        </w:tc>
        <w:tc>
          <w:tcPr>
            <w:tcW w:w="0" w:type="auto"/>
            <w:gridSpan w:val="3"/>
            <w:shd w:val="clear" w:color="auto" w:fill="auto"/>
            <w:vAlign w:val="bottom"/>
          </w:tcPr>
          <w:p w14:paraId="392C6184" w14:textId="77777777" w:rsidR="00980E5F" w:rsidRDefault="00980E5F">
            <w:pPr>
              <w:rPr>
                <w:rFonts w:ascii="宋体"/>
                <w:vanish/>
              </w:rPr>
            </w:pPr>
          </w:p>
        </w:tc>
      </w:tr>
      <w:tr w:rsidR="00980E5F" w14:paraId="392C6196" w14:textId="77777777">
        <w:trPr>
          <w:hidden/>
        </w:trPr>
        <w:tc>
          <w:tcPr>
            <w:tcW w:w="0" w:type="auto"/>
            <w:gridSpan w:val="3"/>
            <w:shd w:val="clear" w:color="auto" w:fill="auto"/>
            <w:vAlign w:val="bottom"/>
          </w:tcPr>
          <w:p w14:paraId="392C6186" w14:textId="77777777" w:rsidR="00980E5F" w:rsidRDefault="00980E5F">
            <w:pPr>
              <w:rPr>
                <w:rFonts w:ascii="宋体"/>
                <w:vanish/>
              </w:rPr>
            </w:pPr>
          </w:p>
        </w:tc>
        <w:tc>
          <w:tcPr>
            <w:tcW w:w="0" w:type="auto"/>
            <w:gridSpan w:val="3"/>
            <w:shd w:val="clear" w:color="auto" w:fill="auto"/>
            <w:vAlign w:val="bottom"/>
          </w:tcPr>
          <w:p w14:paraId="392C6187" w14:textId="77777777" w:rsidR="00980E5F" w:rsidRDefault="00980E5F">
            <w:pPr>
              <w:rPr>
                <w:rFonts w:ascii="宋体"/>
                <w:vanish/>
              </w:rPr>
            </w:pPr>
          </w:p>
        </w:tc>
        <w:tc>
          <w:tcPr>
            <w:tcW w:w="0" w:type="auto"/>
            <w:gridSpan w:val="3"/>
            <w:shd w:val="clear" w:color="auto" w:fill="auto"/>
            <w:vAlign w:val="bottom"/>
          </w:tcPr>
          <w:p w14:paraId="392C6188" w14:textId="77777777" w:rsidR="00980E5F" w:rsidRDefault="00980E5F">
            <w:pPr>
              <w:rPr>
                <w:rFonts w:ascii="宋体"/>
                <w:vanish/>
              </w:rPr>
            </w:pPr>
          </w:p>
        </w:tc>
        <w:tc>
          <w:tcPr>
            <w:tcW w:w="0" w:type="auto"/>
            <w:gridSpan w:val="3"/>
            <w:shd w:val="clear" w:color="auto" w:fill="auto"/>
            <w:vAlign w:val="bottom"/>
          </w:tcPr>
          <w:p w14:paraId="392C6189" w14:textId="77777777" w:rsidR="00980E5F" w:rsidRDefault="00980E5F">
            <w:pPr>
              <w:rPr>
                <w:rFonts w:ascii="宋体"/>
                <w:vanish/>
              </w:rPr>
            </w:pPr>
          </w:p>
        </w:tc>
        <w:tc>
          <w:tcPr>
            <w:tcW w:w="0" w:type="auto"/>
            <w:gridSpan w:val="3"/>
            <w:shd w:val="clear" w:color="auto" w:fill="auto"/>
            <w:vAlign w:val="bottom"/>
          </w:tcPr>
          <w:p w14:paraId="392C618A" w14:textId="77777777" w:rsidR="00980E5F" w:rsidRDefault="00980E5F">
            <w:pPr>
              <w:rPr>
                <w:rFonts w:ascii="宋体"/>
                <w:vanish/>
              </w:rPr>
            </w:pPr>
          </w:p>
        </w:tc>
        <w:tc>
          <w:tcPr>
            <w:tcW w:w="0" w:type="auto"/>
            <w:gridSpan w:val="3"/>
            <w:shd w:val="clear" w:color="auto" w:fill="auto"/>
            <w:vAlign w:val="bottom"/>
          </w:tcPr>
          <w:p w14:paraId="392C618B" w14:textId="77777777" w:rsidR="00980E5F" w:rsidRDefault="00980E5F">
            <w:pPr>
              <w:rPr>
                <w:rFonts w:ascii="宋体"/>
                <w:vanish/>
              </w:rPr>
            </w:pPr>
          </w:p>
        </w:tc>
        <w:tc>
          <w:tcPr>
            <w:tcW w:w="0" w:type="auto"/>
            <w:gridSpan w:val="3"/>
            <w:shd w:val="clear" w:color="auto" w:fill="auto"/>
            <w:vAlign w:val="bottom"/>
          </w:tcPr>
          <w:p w14:paraId="392C618C" w14:textId="77777777" w:rsidR="00980E5F" w:rsidRDefault="00980E5F">
            <w:pPr>
              <w:rPr>
                <w:rFonts w:ascii="宋体"/>
                <w:vanish/>
              </w:rPr>
            </w:pPr>
          </w:p>
        </w:tc>
        <w:tc>
          <w:tcPr>
            <w:tcW w:w="0" w:type="auto"/>
            <w:gridSpan w:val="3"/>
            <w:shd w:val="clear" w:color="auto" w:fill="auto"/>
            <w:vAlign w:val="bottom"/>
          </w:tcPr>
          <w:p w14:paraId="392C618D" w14:textId="77777777" w:rsidR="00980E5F" w:rsidRDefault="00980E5F">
            <w:pPr>
              <w:rPr>
                <w:rFonts w:ascii="宋体"/>
                <w:vanish/>
              </w:rPr>
            </w:pPr>
          </w:p>
        </w:tc>
        <w:tc>
          <w:tcPr>
            <w:tcW w:w="0" w:type="auto"/>
            <w:gridSpan w:val="3"/>
            <w:shd w:val="clear" w:color="auto" w:fill="auto"/>
            <w:vAlign w:val="bottom"/>
          </w:tcPr>
          <w:p w14:paraId="392C618E" w14:textId="77777777" w:rsidR="00980E5F" w:rsidRDefault="00980E5F">
            <w:pPr>
              <w:rPr>
                <w:rFonts w:ascii="宋体"/>
                <w:vanish/>
              </w:rPr>
            </w:pPr>
          </w:p>
        </w:tc>
        <w:tc>
          <w:tcPr>
            <w:tcW w:w="0" w:type="auto"/>
            <w:gridSpan w:val="3"/>
            <w:shd w:val="clear" w:color="auto" w:fill="auto"/>
            <w:vAlign w:val="bottom"/>
          </w:tcPr>
          <w:p w14:paraId="392C618F" w14:textId="77777777" w:rsidR="00980E5F" w:rsidRDefault="00980E5F">
            <w:pPr>
              <w:rPr>
                <w:rFonts w:ascii="宋体"/>
                <w:vanish/>
              </w:rPr>
            </w:pPr>
          </w:p>
        </w:tc>
        <w:tc>
          <w:tcPr>
            <w:tcW w:w="0" w:type="auto"/>
            <w:gridSpan w:val="3"/>
            <w:shd w:val="clear" w:color="auto" w:fill="auto"/>
            <w:vAlign w:val="bottom"/>
          </w:tcPr>
          <w:p w14:paraId="392C6190" w14:textId="77777777" w:rsidR="00980E5F" w:rsidRDefault="00980E5F">
            <w:pPr>
              <w:rPr>
                <w:rFonts w:ascii="宋体"/>
                <w:vanish/>
              </w:rPr>
            </w:pPr>
          </w:p>
        </w:tc>
        <w:tc>
          <w:tcPr>
            <w:tcW w:w="0" w:type="auto"/>
            <w:gridSpan w:val="3"/>
            <w:shd w:val="clear" w:color="auto" w:fill="auto"/>
            <w:vAlign w:val="bottom"/>
          </w:tcPr>
          <w:p w14:paraId="392C6191" w14:textId="77777777" w:rsidR="00980E5F" w:rsidRDefault="00980E5F">
            <w:pPr>
              <w:rPr>
                <w:rFonts w:ascii="宋体"/>
                <w:vanish/>
              </w:rPr>
            </w:pPr>
          </w:p>
        </w:tc>
        <w:tc>
          <w:tcPr>
            <w:tcW w:w="0" w:type="auto"/>
            <w:gridSpan w:val="3"/>
            <w:shd w:val="clear" w:color="auto" w:fill="auto"/>
            <w:vAlign w:val="bottom"/>
          </w:tcPr>
          <w:p w14:paraId="392C6192" w14:textId="77777777" w:rsidR="00980E5F" w:rsidRDefault="00980E5F">
            <w:pPr>
              <w:rPr>
                <w:rFonts w:ascii="宋体"/>
                <w:vanish/>
              </w:rPr>
            </w:pPr>
          </w:p>
        </w:tc>
        <w:tc>
          <w:tcPr>
            <w:tcW w:w="0" w:type="auto"/>
            <w:gridSpan w:val="3"/>
            <w:shd w:val="clear" w:color="auto" w:fill="auto"/>
            <w:vAlign w:val="bottom"/>
          </w:tcPr>
          <w:p w14:paraId="392C6193" w14:textId="77777777" w:rsidR="00980E5F" w:rsidRDefault="00980E5F">
            <w:pPr>
              <w:rPr>
                <w:rFonts w:ascii="宋体"/>
                <w:vanish/>
              </w:rPr>
            </w:pPr>
          </w:p>
        </w:tc>
        <w:tc>
          <w:tcPr>
            <w:tcW w:w="0" w:type="auto"/>
            <w:gridSpan w:val="3"/>
            <w:shd w:val="clear" w:color="auto" w:fill="auto"/>
            <w:vAlign w:val="bottom"/>
          </w:tcPr>
          <w:p w14:paraId="392C6194" w14:textId="77777777" w:rsidR="00980E5F" w:rsidRDefault="00980E5F">
            <w:pPr>
              <w:rPr>
                <w:rFonts w:ascii="宋体"/>
                <w:vanish/>
              </w:rPr>
            </w:pPr>
          </w:p>
        </w:tc>
        <w:tc>
          <w:tcPr>
            <w:tcW w:w="0" w:type="auto"/>
            <w:gridSpan w:val="3"/>
            <w:shd w:val="clear" w:color="auto" w:fill="auto"/>
            <w:vAlign w:val="bottom"/>
          </w:tcPr>
          <w:p w14:paraId="392C6195" w14:textId="77777777" w:rsidR="00980E5F" w:rsidRDefault="00980E5F">
            <w:pPr>
              <w:rPr>
                <w:rFonts w:ascii="宋体"/>
                <w:vanish/>
              </w:rPr>
            </w:pPr>
          </w:p>
        </w:tc>
      </w:tr>
      <w:tr w:rsidR="00483613" w14:paraId="392C61B7" w14:textId="77777777">
        <w:tc>
          <w:tcPr>
            <w:tcW w:w="0" w:type="auto"/>
            <w:gridSpan w:val="3"/>
            <w:shd w:val="clear" w:color="auto" w:fill="CCEEFF"/>
            <w:tcMar>
              <w:top w:w="40" w:type="dxa"/>
              <w:left w:w="20" w:type="dxa"/>
              <w:bottom w:w="40" w:type="dxa"/>
              <w:right w:w="20" w:type="dxa"/>
            </w:tcMar>
            <w:vAlign w:val="bottom"/>
          </w:tcPr>
          <w:p w14:paraId="392C6197" w14:textId="77777777" w:rsidR="00980E5F" w:rsidRDefault="00483613">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held-to-maturity securities</w:t>
            </w:r>
            <w:r>
              <w:rPr>
                <w:rFonts w:ascii="Arial" w:eastAsia="宋体" w:hAnsi="Arial" w:cs="Arial"/>
                <w:color w:val="000000"/>
                <w:sz w:val="9"/>
                <w:szCs w:val="9"/>
              </w:rPr>
              <w:t>(7)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98"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99" w14:textId="77777777" w:rsidR="00980E5F" w:rsidRDefault="00483613">
            <w:pPr>
              <w:jc w:val="right"/>
              <w:textAlignment w:val="bottom"/>
            </w:pPr>
            <w:r>
              <w:rPr>
                <w:rFonts w:ascii="Arial" w:eastAsia="宋体" w:hAnsi="Arial" w:cs="Arial"/>
                <w:b/>
                <w:bCs/>
                <w:color w:val="000000"/>
                <w:sz w:val="15"/>
                <w:szCs w:val="15"/>
              </w:rPr>
              <w:t>64,261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9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9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9C"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9D" w14:textId="77777777" w:rsidR="00980E5F" w:rsidRDefault="00483613">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9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A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A1" w14:textId="77777777" w:rsidR="00980E5F" w:rsidRDefault="00483613">
            <w:pPr>
              <w:jc w:val="right"/>
              <w:textAlignment w:val="bottom"/>
            </w:pPr>
            <w:r>
              <w:rPr>
                <w:rFonts w:ascii="Arial" w:eastAsia="宋体" w:hAnsi="Arial" w:cs="Arial"/>
                <w:b/>
                <w:bCs/>
                <w:color w:val="000000"/>
                <w:sz w:val="15"/>
                <w:szCs w:val="15"/>
              </w:rPr>
              <w:t>4,186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A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A4"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A5" w14:textId="77777777" w:rsidR="00980E5F" w:rsidRDefault="00483613">
            <w:pPr>
              <w:jc w:val="right"/>
              <w:textAlignment w:val="bottom"/>
            </w:pPr>
            <w:r>
              <w:rPr>
                <w:rFonts w:ascii="Arial" w:eastAsia="宋体" w:hAnsi="Arial" w:cs="Arial"/>
                <w:b/>
                <w:bCs/>
                <w:color w:val="000000"/>
                <w:sz w:val="15"/>
                <w:szCs w:val="15"/>
              </w:rPr>
              <w:t>60,103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A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A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A9" w14:textId="77777777" w:rsidR="00980E5F" w:rsidRDefault="00483613">
            <w:pPr>
              <w:jc w:val="right"/>
              <w:textAlignment w:val="bottom"/>
            </w:pPr>
            <w:r>
              <w:rPr>
                <w:rFonts w:ascii="Arial" w:eastAsia="宋体" w:hAnsi="Arial" w:cs="Arial"/>
                <w:color w:val="000000"/>
                <w:sz w:val="15"/>
                <w:szCs w:val="15"/>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A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A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AD" w14:textId="77777777" w:rsidR="00980E5F" w:rsidRDefault="00483613">
            <w:pPr>
              <w:jc w:val="right"/>
              <w:textAlignment w:val="bottom"/>
            </w:pPr>
            <w:r>
              <w:rPr>
                <w:rFonts w:ascii="Arial" w:eastAsia="宋体" w:hAnsi="Arial" w:cs="Arial"/>
                <w:color w:val="000000"/>
                <w:sz w:val="15"/>
                <w:szCs w:val="15"/>
              </w:rPr>
              <w:t>442 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A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B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B1" w14:textId="77777777" w:rsidR="00980E5F" w:rsidRDefault="00483613">
            <w:pPr>
              <w:jc w:val="right"/>
              <w:textAlignment w:val="bottom"/>
            </w:pPr>
            <w:r>
              <w:rPr>
                <w:rFonts w:ascii="Arial" w:eastAsia="宋体" w:hAnsi="Arial" w:cs="Arial"/>
                <w:color w:val="000000"/>
                <w:sz w:val="15"/>
                <w:szCs w:val="15"/>
              </w:rPr>
              <w:t>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1B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1B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1B5" w14:textId="77777777" w:rsidR="00980E5F" w:rsidRDefault="00483613">
            <w:pPr>
              <w:jc w:val="right"/>
              <w:textAlignment w:val="bottom"/>
            </w:pPr>
            <w:r>
              <w:rPr>
                <w:rFonts w:ascii="Arial" w:eastAsia="宋体" w:hAnsi="Arial" w:cs="Arial"/>
                <w:color w:val="000000"/>
                <w:sz w:val="15"/>
                <w:szCs w:val="15"/>
              </w:rPr>
              <w:t>42,271 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1B6" w14:textId="77777777" w:rsidR="00980E5F" w:rsidRDefault="00980E5F">
            <w:pPr>
              <w:jc w:val="right"/>
              <w:rPr>
                <w:rFonts w:ascii="宋体"/>
              </w:rPr>
            </w:pPr>
          </w:p>
        </w:tc>
      </w:tr>
    </w:tbl>
    <w:p w14:paraId="392C61B8" w14:textId="77777777" w:rsidR="00980E5F" w:rsidRDefault="00980E5F">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980E5F" w14:paraId="392C61C5" w14:textId="77777777">
        <w:tc>
          <w:tcPr>
            <w:tcW w:w="50" w:type="pct"/>
            <w:shd w:val="clear" w:color="auto" w:fill="auto"/>
            <w:vAlign w:val="bottom"/>
          </w:tcPr>
          <w:p w14:paraId="392C61B9" w14:textId="77777777" w:rsidR="00980E5F" w:rsidRDefault="00980E5F">
            <w:pPr>
              <w:rPr>
                <w:rFonts w:ascii="宋体"/>
              </w:rPr>
            </w:pPr>
          </w:p>
        </w:tc>
        <w:tc>
          <w:tcPr>
            <w:tcW w:w="1350" w:type="pct"/>
            <w:shd w:val="clear" w:color="auto" w:fill="auto"/>
            <w:vAlign w:val="bottom"/>
          </w:tcPr>
          <w:p w14:paraId="392C61BA" w14:textId="77777777" w:rsidR="00980E5F" w:rsidRDefault="00980E5F">
            <w:pPr>
              <w:rPr>
                <w:rFonts w:ascii="宋体"/>
              </w:rPr>
            </w:pPr>
          </w:p>
        </w:tc>
        <w:tc>
          <w:tcPr>
            <w:tcW w:w="5" w:type="pct"/>
            <w:shd w:val="clear" w:color="auto" w:fill="auto"/>
            <w:vAlign w:val="bottom"/>
          </w:tcPr>
          <w:p w14:paraId="392C61BB" w14:textId="77777777" w:rsidR="00980E5F" w:rsidRDefault="00980E5F">
            <w:pPr>
              <w:rPr>
                <w:rFonts w:ascii="宋体"/>
              </w:rPr>
            </w:pPr>
          </w:p>
        </w:tc>
        <w:tc>
          <w:tcPr>
            <w:tcW w:w="50" w:type="pct"/>
            <w:shd w:val="clear" w:color="auto" w:fill="auto"/>
            <w:vAlign w:val="bottom"/>
          </w:tcPr>
          <w:p w14:paraId="392C61BC" w14:textId="77777777" w:rsidR="00980E5F" w:rsidRDefault="00980E5F">
            <w:pPr>
              <w:rPr>
                <w:rFonts w:ascii="宋体"/>
              </w:rPr>
            </w:pPr>
          </w:p>
        </w:tc>
        <w:tc>
          <w:tcPr>
            <w:tcW w:w="918" w:type="pct"/>
            <w:shd w:val="clear" w:color="auto" w:fill="auto"/>
            <w:vAlign w:val="bottom"/>
          </w:tcPr>
          <w:p w14:paraId="392C61BD" w14:textId="77777777" w:rsidR="00980E5F" w:rsidRDefault="00980E5F">
            <w:pPr>
              <w:rPr>
                <w:rFonts w:ascii="宋体"/>
              </w:rPr>
            </w:pPr>
          </w:p>
        </w:tc>
        <w:tc>
          <w:tcPr>
            <w:tcW w:w="5" w:type="pct"/>
            <w:shd w:val="clear" w:color="auto" w:fill="auto"/>
            <w:vAlign w:val="bottom"/>
          </w:tcPr>
          <w:p w14:paraId="392C61BE" w14:textId="77777777" w:rsidR="00980E5F" w:rsidRDefault="00980E5F">
            <w:pPr>
              <w:rPr>
                <w:rFonts w:ascii="宋体"/>
              </w:rPr>
            </w:pPr>
          </w:p>
        </w:tc>
        <w:tc>
          <w:tcPr>
            <w:tcW w:w="50" w:type="pct"/>
            <w:shd w:val="clear" w:color="auto" w:fill="auto"/>
            <w:vAlign w:val="bottom"/>
          </w:tcPr>
          <w:p w14:paraId="392C61BF" w14:textId="77777777" w:rsidR="00980E5F" w:rsidRDefault="00980E5F">
            <w:pPr>
              <w:rPr>
                <w:rFonts w:ascii="宋体"/>
              </w:rPr>
            </w:pPr>
          </w:p>
        </w:tc>
        <w:tc>
          <w:tcPr>
            <w:tcW w:w="918" w:type="pct"/>
            <w:shd w:val="clear" w:color="auto" w:fill="auto"/>
            <w:vAlign w:val="bottom"/>
          </w:tcPr>
          <w:p w14:paraId="392C61C0" w14:textId="77777777" w:rsidR="00980E5F" w:rsidRDefault="00980E5F">
            <w:pPr>
              <w:rPr>
                <w:rFonts w:ascii="宋体"/>
              </w:rPr>
            </w:pPr>
          </w:p>
        </w:tc>
        <w:tc>
          <w:tcPr>
            <w:tcW w:w="5" w:type="pct"/>
            <w:shd w:val="clear" w:color="auto" w:fill="auto"/>
            <w:vAlign w:val="bottom"/>
          </w:tcPr>
          <w:p w14:paraId="392C61C1" w14:textId="77777777" w:rsidR="00980E5F" w:rsidRDefault="00980E5F">
            <w:pPr>
              <w:rPr>
                <w:rFonts w:ascii="宋体"/>
              </w:rPr>
            </w:pPr>
          </w:p>
        </w:tc>
        <w:tc>
          <w:tcPr>
            <w:tcW w:w="50" w:type="pct"/>
            <w:shd w:val="clear" w:color="auto" w:fill="auto"/>
            <w:vAlign w:val="bottom"/>
          </w:tcPr>
          <w:p w14:paraId="392C61C2" w14:textId="77777777" w:rsidR="00980E5F" w:rsidRDefault="00980E5F">
            <w:pPr>
              <w:rPr>
                <w:rFonts w:ascii="宋体"/>
              </w:rPr>
            </w:pPr>
          </w:p>
        </w:tc>
        <w:tc>
          <w:tcPr>
            <w:tcW w:w="1592" w:type="pct"/>
            <w:shd w:val="clear" w:color="auto" w:fill="auto"/>
            <w:vAlign w:val="bottom"/>
          </w:tcPr>
          <w:p w14:paraId="392C61C3" w14:textId="77777777" w:rsidR="00980E5F" w:rsidRDefault="00980E5F">
            <w:pPr>
              <w:rPr>
                <w:rFonts w:ascii="宋体"/>
              </w:rPr>
            </w:pPr>
          </w:p>
        </w:tc>
        <w:tc>
          <w:tcPr>
            <w:tcW w:w="5" w:type="pct"/>
            <w:shd w:val="clear" w:color="auto" w:fill="auto"/>
            <w:vAlign w:val="bottom"/>
          </w:tcPr>
          <w:p w14:paraId="392C61C4" w14:textId="77777777" w:rsidR="00980E5F" w:rsidRDefault="00980E5F">
            <w:pPr>
              <w:rPr>
                <w:rFonts w:ascii="宋体"/>
              </w:rPr>
            </w:pPr>
          </w:p>
        </w:tc>
      </w:tr>
      <w:tr w:rsidR="00980E5F" w14:paraId="392C61C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61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1C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1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1C9" w14:textId="77777777" w:rsidR="00980E5F" w:rsidRDefault="00980E5F">
            <w:pPr>
              <w:rPr>
                <w:rFonts w:ascii="宋体"/>
              </w:rPr>
            </w:pPr>
          </w:p>
        </w:tc>
      </w:tr>
    </w:tbl>
    <w:p w14:paraId="392C61CB" w14:textId="77777777" w:rsidR="00980E5F" w:rsidRDefault="00483613">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As of June 30, 2022 and December 31, 2021, the fair value includes non-U.S. collateralized loan obligations of $0.85 billion and $0.83 billion, respectively.</w:t>
      </w:r>
    </w:p>
    <w:p w14:paraId="392C61CC" w14:textId="77777777" w:rsidR="00980E5F" w:rsidRDefault="00483613">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As of June 30, 2022 and December 31, 2021, the fair value includes non-U.S. corporate bonds o</w:t>
      </w:r>
      <w:r>
        <w:rPr>
          <w:rFonts w:ascii="Arial" w:eastAsia="宋体" w:hAnsi="Arial" w:cs="Arial"/>
          <w:color w:val="000000"/>
          <w:sz w:val="13"/>
          <w:szCs w:val="13"/>
        </w:rPr>
        <w:t>f $1.10 billion and $1.53 billion, respectively.</w:t>
      </w:r>
    </w:p>
    <w:p w14:paraId="392C61CD" w14:textId="77777777" w:rsidR="00980E5F" w:rsidRDefault="00483613">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392C61CE" w14:textId="77777777" w:rsidR="00980E5F" w:rsidRDefault="00483613">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Excludes collateralized loan o</w:t>
      </w:r>
      <w:r>
        <w:rPr>
          <w:rFonts w:ascii="Arial" w:eastAsia="宋体" w:hAnsi="Arial" w:cs="Arial"/>
          <w:color w:val="000000"/>
          <w:sz w:val="13"/>
          <w:szCs w:val="13"/>
        </w:rPr>
        <w:t xml:space="preserve">bligations in loan form. Refer to Note 4 for additional information. </w:t>
      </w:r>
    </w:p>
    <w:p w14:paraId="392C61CF" w14:textId="77777777" w:rsidR="00980E5F" w:rsidRDefault="00483613">
      <w:pPr>
        <w:spacing w:before="60"/>
        <w:jc w:val="both"/>
      </w:pPr>
      <w:r>
        <w:rPr>
          <w:rFonts w:ascii="Arial" w:eastAsia="宋体" w:hAnsi="Arial" w:cs="Arial"/>
          <w:color w:val="000000"/>
          <w:sz w:val="8"/>
          <w:szCs w:val="8"/>
        </w:rPr>
        <w:t>(5)</w:t>
      </w:r>
      <w:r>
        <w:rPr>
          <w:rFonts w:ascii="Arial" w:eastAsia="宋体" w:hAnsi="Arial" w:cs="Arial"/>
          <w:color w:val="000000"/>
          <w:sz w:val="13"/>
          <w:szCs w:val="13"/>
        </w:rPr>
        <w:t xml:space="preserve"> Consists entirely of non-agency CMBS as of both June 30, 2022 and December 31, 2021.</w:t>
      </w:r>
    </w:p>
    <w:p w14:paraId="392C61D0" w14:textId="77777777" w:rsidR="00980E5F" w:rsidRDefault="00483613">
      <w:pPr>
        <w:spacing w:before="60"/>
        <w:jc w:val="both"/>
      </w:pPr>
      <w:r>
        <w:rPr>
          <w:rFonts w:ascii="Arial" w:eastAsia="宋体" w:hAnsi="Arial" w:cs="Arial"/>
          <w:color w:val="000000"/>
          <w:sz w:val="8"/>
          <w:szCs w:val="8"/>
        </w:rPr>
        <w:t>(6)</w:t>
      </w:r>
      <w:r>
        <w:rPr>
          <w:rFonts w:ascii="Arial" w:eastAsia="宋体" w:hAnsi="Arial" w:cs="Arial"/>
          <w:color w:val="000000"/>
          <w:sz w:val="13"/>
          <w:szCs w:val="13"/>
        </w:rPr>
        <w:t xml:space="preserve"> As of June 30, 2022 and December 31, 2021, the fair value of U.S. corporate bonds was $1.00 b</w:t>
      </w:r>
      <w:r>
        <w:rPr>
          <w:rFonts w:ascii="Arial" w:eastAsia="宋体" w:hAnsi="Arial" w:cs="Arial"/>
          <w:color w:val="000000"/>
          <w:sz w:val="13"/>
          <w:szCs w:val="13"/>
        </w:rPr>
        <w:t xml:space="preserve">illion and $2.44 billion, respectively. </w:t>
      </w:r>
    </w:p>
    <w:p w14:paraId="392C61D1" w14:textId="77777777" w:rsidR="00980E5F" w:rsidRDefault="00483613">
      <w:pPr>
        <w:spacing w:before="60"/>
        <w:jc w:val="both"/>
      </w:pPr>
      <w:r>
        <w:rPr>
          <w:rFonts w:ascii="Arial" w:eastAsia="宋体" w:hAnsi="Arial" w:cs="Arial"/>
          <w:color w:val="000000"/>
          <w:sz w:val="8"/>
          <w:szCs w:val="8"/>
        </w:rPr>
        <w:t>(7)</w:t>
      </w:r>
      <w:r>
        <w:rPr>
          <w:rFonts w:ascii="Arial" w:eastAsia="宋体" w:hAnsi="Arial" w:cs="Arial"/>
          <w:color w:val="000000"/>
          <w:sz w:val="13"/>
          <w:szCs w:val="13"/>
        </w:rPr>
        <w:t xml:space="preserve"> An immaterial amount of accrued interest related to HTM and AFS investment securities was excluded from the amortized cost basis for the period ended June 30, 2022.</w:t>
      </w:r>
    </w:p>
    <w:p w14:paraId="392C61D2" w14:textId="77777777" w:rsidR="00980E5F" w:rsidRDefault="00483613">
      <w:pPr>
        <w:spacing w:before="60"/>
        <w:jc w:val="both"/>
      </w:pPr>
      <w:r>
        <w:rPr>
          <w:rFonts w:ascii="Arial" w:eastAsia="宋体" w:hAnsi="Arial" w:cs="Arial"/>
          <w:color w:val="000000"/>
          <w:sz w:val="8"/>
          <w:szCs w:val="8"/>
        </w:rPr>
        <w:t>(8)</w:t>
      </w:r>
      <w:r>
        <w:rPr>
          <w:rFonts w:ascii="Arial" w:eastAsia="宋体" w:hAnsi="Arial" w:cs="Arial"/>
          <w:color w:val="000000"/>
          <w:sz w:val="13"/>
          <w:szCs w:val="13"/>
        </w:rPr>
        <w:t xml:space="preserve"> As of June 30, 2022 and December 31, 2021,</w:t>
      </w:r>
      <w:r>
        <w:rPr>
          <w:rFonts w:ascii="Arial" w:eastAsia="宋体" w:hAnsi="Arial" w:cs="Arial"/>
          <w:color w:val="000000"/>
          <w:sz w:val="13"/>
          <w:szCs w:val="13"/>
        </w:rPr>
        <w:t xml:space="preserve"> the total amortized cost included $256 million and $292 million, respectively, of non-agency CMBS and $11 million and $14 million of non-agency RMBS, respectively. </w:t>
      </w:r>
    </w:p>
    <w:p w14:paraId="392C61D3" w14:textId="77777777" w:rsidR="00980E5F" w:rsidRDefault="00483613">
      <w:pPr>
        <w:spacing w:before="60"/>
        <w:jc w:val="both"/>
      </w:pPr>
      <w:r>
        <w:rPr>
          <w:rFonts w:ascii="Arial" w:eastAsia="宋体" w:hAnsi="Arial" w:cs="Arial"/>
          <w:color w:val="000000"/>
          <w:sz w:val="8"/>
          <w:szCs w:val="8"/>
        </w:rPr>
        <w:t>(9)</w:t>
      </w:r>
      <w:r>
        <w:rPr>
          <w:rFonts w:ascii="Arial" w:eastAsia="宋体" w:hAnsi="Arial" w:cs="Arial"/>
          <w:color w:val="000000"/>
          <w:sz w:val="13"/>
          <w:szCs w:val="13"/>
        </w:rPr>
        <w:t xml:space="preserve"> As of both June 30, 2022 and December 31, 2021, total amortized cost included an allow</w:t>
      </w:r>
      <w:r>
        <w:rPr>
          <w:rFonts w:ascii="Arial" w:eastAsia="宋体" w:hAnsi="Arial" w:cs="Arial"/>
          <w:color w:val="000000"/>
          <w:sz w:val="13"/>
          <w:szCs w:val="13"/>
        </w:rPr>
        <w:t xml:space="preserve">ance for credit losses on AFS investment securities of $2 million. </w:t>
      </w:r>
    </w:p>
    <w:p w14:paraId="392C61D4" w14:textId="77777777" w:rsidR="00980E5F" w:rsidRDefault="00483613">
      <w:pPr>
        <w:ind w:firstLine="450"/>
        <w:jc w:val="right"/>
      </w:pPr>
      <w:r>
        <w:rPr>
          <w:rFonts w:ascii="Arial" w:eastAsia="宋体" w:hAnsi="Arial" w:cs="Arial"/>
          <w:color w:val="000000"/>
          <w:sz w:val="18"/>
          <w:szCs w:val="18"/>
        </w:rPr>
        <w:t>State Street Corporation | 67</w:t>
      </w:r>
    </w:p>
    <w:p w14:paraId="392C61D5" w14:textId="77777777" w:rsidR="00980E5F" w:rsidRDefault="00980E5F">
      <w:pPr>
        <w:ind w:firstLine="450"/>
        <w:jc w:val="center"/>
      </w:pPr>
    </w:p>
    <w:p w14:paraId="392C61D6" w14:textId="77777777" w:rsidR="00980E5F" w:rsidRDefault="00483613">
      <w:r>
        <w:pict w14:anchorId="392CBB11">
          <v:rect id="_x0000_i1091" style="width:415.3pt;height:1.5pt" o:hralign="center" o:hrstd="t" o:hr="t" fillcolor="#a0a0a0" stroked="f"/>
        </w:pict>
      </w:r>
    </w:p>
    <w:p w14:paraId="392C61D7" w14:textId="77777777" w:rsidR="00980E5F" w:rsidRDefault="00483613">
      <w:pPr>
        <w:ind w:firstLine="450"/>
        <w:jc w:val="center"/>
      </w:pPr>
      <w:r>
        <w:rPr>
          <w:rFonts w:ascii="Arial" w:eastAsia="宋体" w:hAnsi="Arial" w:cs="Arial"/>
          <w:b/>
          <w:bCs/>
          <w:color w:val="000000"/>
          <w:sz w:val="20"/>
          <w:szCs w:val="20"/>
        </w:rPr>
        <w:t>STATE STREET CORPORATION</w:t>
      </w:r>
    </w:p>
    <w:p w14:paraId="392C61D8"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61D9" w14:textId="77777777" w:rsidR="00980E5F" w:rsidRDefault="00483613">
      <w:pPr>
        <w:ind w:firstLine="450"/>
        <w:jc w:val="center"/>
      </w:pPr>
      <w:r>
        <w:rPr>
          <w:rFonts w:ascii="Arial" w:eastAsia="宋体" w:hAnsi="Arial" w:cs="Arial"/>
          <w:b/>
          <w:bCs/>
          <w:color w:val="000000"/>
          <w:sz w:val="20"/>
          <w:szCs w:val="20"/>
        </w:rPr>
        <w:t>(UNAUDITED)</w:t>
      </w:r>
    </w:p>
    <w:p w14:paraId="392C61DA" w14:textId="77777777" w:rsidR="00980E5F" w:rsidRDefault="00483613">
      <w:pPr>
        <w:spacing w:before="60"/>
        <w:ind w:firstLine="450"/>
        <w:jc w:val="both"/>
      </w:pPr>
      <w:r>
        <w:rPr>
          <w:rFonts w:ascii="Arial" w:eastAsia="宋体" w:hAnsi="Arial" w:cs="Arial"/>
          <w:color w:val="000000"/>
          <w:sz w:val="20"/>
          <w:szCs w:val="20"/>
        </w:rPr>
        <w:t xml:space="preserve">Aggregate investment securities with carrying values of </w:t>
      </w:r>
      <w:r>
        <w:rPr>
          <w:rFonts w:ascii="Arial" w:eastAsia="宋体" w:hAnsi="Arial" w:cs="Arial"/>
          <w:color w:val="000000"/>
          <w:sz w:val="20"/>
          <w:szCs w:val="20"/>
        </w:rPr>
        <w:t>approximately $74.57 billion and $80.81 billion as of June 30, 2022 and December 31, 2021, respectively, were designated as pledged for public and trust deposits, short-term borrowings and for other purposes as provided by law.</w:t>
      </w:r>
    </w:p>
    <w:p w14:paraId="392C61DB" w14:textId="77777777" w:rsidR="00980E5F" w:rsidRDefault="00483613">
      <w:pPr>
        <w:spacing w:before="60"/>
        <w:ind w:firstLine="450"/>
        <w:jc w:val="both"/>
      </w:pPr>
      <w:r>
        <w:rPr>
          <w:rFonts w:ascii="Arial" w:eastAsia="宋体" w:hAnsi="Arial" w:cs="Arial"/>
          <w:color w:val="000000"/>
          <w:sz w:val="20"/>
          <w:szCs w:val="20"/>
        </w:rPr>
        <w:t>In the second quarter of 202</w:t>
      </w:r>
      <w:r>
        <w:rPr>
          <w:rFonts w:ascii="Arial" w:eastAsia="宋体" w:hAnsi="Arial" w:cs="Arial"/>
          <w:color w:val="000000"/>
          <w:sz w:val="20"/>
          <w:szCs w:val="20"/>
        </w:rPr>
        <w:t>2, $21.23 billion of investment securities previously classified as AFS were transferred to HTM. These transfers reflect our intent to hold these securities until their maturity. These securities were transferred at fair value, which included a net unreali</w:t>
      </w:r>
      <w:r>
        <w:rPr>
          <w:rFonts w:ascii="Arial" w:eastAsia="宋体" w:hAnsi="Arial" w:cs="Arial"/>
          <w:color w:val="000000"/>
          <w:sz w:val="20"/>
          <w:szCs w:val="20"/>
        </w:rPr>
        <w:t>zed loss of $1.29 billion. Upon transfer of a debt security from AFS to HTM, the amortized cost is reset to fair value. Any net unrealized gain or loss at the date of transfer will remain in AOCI and be amortized into net interest income over the remaining</w:t>
      </w:r>
      <w:r>
        <w:rPr>
          <w:rFonts w:ascii="Arial" w:eastAsia="宋体" w:hAnsi="Arial" w:cs="Arial"/>
          <w:color w:val="000000"/>
          <w:sz w:val="20"/>
          <w:szCs w:val="20"/>
        </w:rPr>
        <w:t xml:space="preserve"> life of the security. The amortization of amounts retained in AOCI will offset the effect on net interest income of the amortization of the premium or discount resulting from transferring securities at fair value.</w:t>
      </w:r>
    </w:p>
    <w:p w14:paraId="392C61DC" w14:textId="77777777" w:rsidR="00980E5F" w:rsidRDefault="00483613">
      <w:pPr>
        <w:spacing w:before="60"/>
        <w:ind w:firstLine="450"/>
        <w:jc w:val="both"/>
      </w:pPr>
      <w:r>
        <w:rPr>
          <w:rFonts w:ascii="Arial" w:eastAsia="宋体" w:hAnsi="Arial" w:cs="Arial"/>
          <w:color w:val="000000"/>
          <w:sz w:val="20"/>
          <w:szCs w:val="20"/>
        </w:rPr>
        <w:t>The following tables present the aggregat</w:t>
      </w:r>
      <w:r>
        <w:rPr>
          <w:rFonts w:ascii="Arial" w:eastAsia="宋体" w:hAnsi="Arial" w:cs="Arial"/>
          <w:color w:val="000000"/>
          <w:sz w:val="20"/>
          <w:szCs w:val="20"/>
        </w:rPr>
        <w:t>e fair values of AFS investment securities that have been in a continuous unrealized loss position for less than 12 months, and those that have been in a continuous unrealized loss position for 12 months or longer,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3"/>
        <w:gridCol w:w="36"/>
        <w:gridCol w:w="98"/>
        <w:gridCol w:w="630"/>
        <w:gridCol w:w="36"/>
        <w:gridCol w:w="36"/>
        <w:gridCol w:w="36"/>
        <w:gridCol w:w="36"/>
        <w:gridCol w:w="99"/>
        <w:gridCol w:w="664"/>
        <w:gridCol w:w="36"/>
        <w:gridCol w:w="36"/>
        <w:gridCol w:w="36"/>
        <w:gridCol w:w="36"/>
        <w:gridCol w:w="98"/>
        <w:gridCol w:w="504"/>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980E5F" w14:paraId="392C6201" w14:textId="77777777">
        <w:tc>
          <w:tcPr>
            <w:tcW w:w="50" w:type="pct"/>
            <w:shd w:val="clear" w:color="auto" w:fill="auto"/>
            <w:vAlign w:val="bottom"/>
          </w:tcPr>
          <w:p w14:paraId="392C61DD" w14:textId="77777777" w:rsidR="00980E5F" w:rsidRDefault="00980E5F">
            <w:pPr>
              <w:rPr>
                <w:rFonts w:ascii="宋体"/>
              </w:rPr>
            </w:pPr>
          </w:p>
        </w:tc>
        <w:tc>
          <w:tcPr>
            <w:tcW w:w="1994" w:type="pct"/>
            <w:shd w:val="clear" w:color="auto" w:fill="auto"/>
            <w:vAlign w:val="bottom"/>
          </w:tcPr>
          <w:p w14:paraId="392C61DE" w14:textId="77777777" w:rsidR="00980E5F" w:rsidRDefault="00980E5F">
            <w:pPr>
              <w:rPr>
                <w:rFonts w:ascii="宋体"/>
              </w:rPr>
            </w:pPr>
          </w:p>
        </w:tc>
        <w:tc>
          <w:tcPr>
            <w:tcW w:w="5" w:type="pct"/>
            <w:shd w:val="clear" w:color="auto" w:fill="auto"/>
            <w:vAlign w:val="bottom"/>
          </w:tcPr>
          <w:p w14:paraId="392C61DF" w14:textId="77777777" w:rsidR="00980E5F" w:rsidRDefault="00980E5F">
            <w:pPr>
              <w:rPr>
                <w:rFonts w:ascii="宋体"/>
              </w:rPr>
            </w:pPr>
          </w:p>
        </w:tc>
        <w:tc>
          <w:tcPr>
            <w:tcW w:w="50" w:type="pct"/>
            <w:shd w:val="clear" w:color="auto" w:fill="auto"/>
            <w:vAlign w:val="bottom"/>
          </w:tcPr>
          <w:p w14:paraId="392C61E0" w14:textId="77777777" w:rsidR="00980E5F" w:rsidRDefault="00980E5F">
            <w:pPr>
              <w:rPr>
                <w:rFonts w:ascii="宋体"/>
              </w:rPr>
            </w:pPr>
          </w:p>
        </w:tc>
        <w:tc>
          <w:tcPr>
            <w:tcW w:w="406" w:type="pct"/>
            <w:shd w:val="clear" w:color="auto" w:fill="auto"/>
            <w:vAlign w:val="bottom"/>
          </w:tcPr>
          <w:p w14:paraId="392C61E1" w14:textId="77777777" w:rsidR="00980E5F" w:rsidRDefault="00980E5F">
            <w:pPr>
              <w:rPr>
                <w:rFonts w:ascii="宋体"/>
              </w:rPr>
            </w:pPr>
          </w:p>
        </w:tc>
        <w:tc>
          <w:tcPr>
            <w:tcW w:w="5" w:type="pct"/>
            <w:shd w:val="clear" w:color="auto" w:fill="auto"/>
            <w:vAlign w:val="bottom"/>
          </w:tcPr>
          <w:p w14:paraId="392C61E2" w14:textId="77777777" w:rsidR="00980E5F" w:rsidRDefault="00980E5F">
            <w:pPr>
              <w:rPr>
                <w:rFonts w:ascii="宋体"/>
              </w:rPr>
            </w:pPr>
          </w:p>
        </w:tc>
        <w:tc>
          <w:tcPr>
            <w:tcW w:w="5" w:type="pct"/>
            <w:shd w:val="clear" w:color="auto" w:fill="auto"/>
            <w:vAlign w:val="bottom"/>
          </w:tcPr>
          <w:p w14:paraId="392C61E3" w14:textId="77777777" w:rsidR="00980E5F" w:rsidRDefault="00980E5F">
            <w:pPr>
              <w:rPr>
                <w:rFonts w:ascii="宋体"/>
              </w:rPr>
            </w:pPr>
          </w:p>
        </w:tc>
        <w:tc>
          <w:tcPr>
            <w:tcW w:w="26" w:type="pct"/>
            <w:shd w:val="clear" w:color="auto" w:fill="auto"/>
            <w:vAlign w:val="bottom"/>
          </w:tcPr>
          <w:p w14:paraId="392C61E4" w14:textId="77777777" w:rsidR="00980E5F" w:rsidRDefault="00980E5F">
            <w:pPr>
              <w:rPr>
                <w:rFonts w:ascii="宋体"/>
              </w:rPr>
            </w:pPr>
          </w:p>
        </w:tc>
        <w:tc>
          <w:tcPr>
            <w:tcW w:w="5" w:type="pct"/>
            <w:shd w:val="clear" w:color="auto" w:fill="auto"/>
            <w:vAlign w:val="bottom"/>
          </w:tcPr>
          <w:p w14:paraId="392C61E5" w14:textId="77777777" w:rsidR="00980E5F" w:rsidRDefault="00980E5F">
            <w:pPr>
              <w:rPr>
                <w:rFonts w:ascii="宋体"/>
              </w:rPr>
            </w:pPr>
          </w:p>
        </w:tc>
        <w:tc>
          <w:tcPr>
            <w:tcW w:w="50" w:type="pct"/>
            <w:shd w:val="clear" w:color="auto" w:fill="auto"/>
            <w:vAlign w:val="bottom"/>
          </w:tcPr>
          <w:p w14:paraId="392C61E6" w14:textId="77777777" w:rsidR="00980E5F" w:rsidRDefault="00980E5F">
            <w:pPr>
              <w:rPr>
                <w:rFonts w:ascii="宋体"/>
              </w:rPr>
            </w:pPr>
          </w:p>
        </w:tc>
        <w:tc>
          <w:tcPr>
            <w:tcW w:w="435" w:type="pct"/>
            <w:shd w:val="clear" w:color="auto" w:fill="auto"/>
            <w:vAlign w:val="bottom"/>
          </w:tcPr>
          <w:p w14:paraId="392C61E7" w14:textId="77777777" w:rsidR="00980E5F" w:rsidRDefault="00980E5F">
            <w:pPr>
              <w:rPr>
                <w:rFonts w:ascii="宋体"/>
              </w:rPr>
            </w:pPr>
          </w:p>
        </w:tc>
        <w:tc>
          <w:tcPr>
            <w:tcW w:w="5" w:type="pct"/>
            <w:shd w:val="clear" w:color="auto" w:fill="auto"/>
            <w:vAlign w:val="bottom"/>
          </w:tcPr>
          <w:p w14:paraId="392C61E8" w14:textId="77777777" w:rsidR="00980E5F" w:rsidRDefault="00980E5F">
            <w:pPr>
              <w:rPr>
                <w:rFonts w:ascii="宋体"/>
              </w:rPr>
            </w:pPr>
          </w:p>
        </w:tc>
        <w:tc>
          <w:tcPr>
            <w:tcW w:w="5" w:type="pct"/>
            <w:shd w:val="clear" w:color="auto" w:fill="auto"/>
            <w:vAlign w:val="bottom"/>
          </w:tcPr>
          <w:p w14:paraId="392C61E9" w14:textId="77777777" w:rsidR="00980E5F" w:rsidRDefault="00980E5F">
            <w:pPr>
              <w:rPr>
                <w:rFonts w:ascii="宋体"/>
              </w:rPr>
            </w:pPr>
          </w:p>
        </w:tc>
        <w:tc>
          <w:tcPr>
            <w:tcW w:w="26" w:type="pct"/>
            <w:shd w:val="clear" w:color="auto" w:fill="auto"/>
            <w:vAlign w:val="bottom"/>
          </w:tcPr>
          <w:p w14:paraId="392C61EA" w14:textId="77777777" w:rsidR="00980E5F" w:rsidRDefault="00980E5F">
            <w:pPr>
              <w:rPr>
                <w:rFonts w:ascii="宋体"/>
              </w:rPr>
            </w:pPr>
          </w:p>
        </w:tc>
        <w:tc>
          <w:tcPr>
            <w:tcW w:w="5" w:type="pct"/>
            <w:shd w:val="clear" w:color="auto" w:fill="auto"/>
            <w:vAlign w:val="bottom"/>
          </w:tcPr>
          <w:p w14:paraId="392C61EB" w14:textId="77777777" w:rsidR="00980E5F" w:rsidRDefault="00980E5F">
            <w:pPr>
              <w:rPr>
                <w:rFonts w:ascii="宋体"/>
              </w:rPr>
            </w:pPr>
          </w:p>
        </w:tc>
        <w:tc>
          <w:tcPr>
            <w:tcW w:w="50" w:type="pct"/>
            <w:shd w:val="clear" w:color="auto" w:fill="auto"/>
            <w:vAlign w:val="bottom"/>
          </w:tcPr>
          <w:p w14:paraId="392C61EC" w14:textId="77777777" w:rsidR="00980E5F" w:rsidRDefault="00980E5F">
            <w:pPr>
              <w:rPr>
                <w:rFonts w:ascii="宋体"/>
              </w:rPr>
            </w:pPr>
          </w:p>
        </w:tc>
        <w:tc>
          <w:tcPr>
            <w:tcW w:w="362" w:type="pct"/>
            <w:shd w:val="clear" w:color="auto" w:fill="auto"/>
            <w:vAlign w:val="bottom"/>
          </w:tcPr>
          <w:p w14:paraId="392C61ED" w14:textId="77777777" w:rsidR="00980E5F" w:rsidRDefault="00980E5F">
            <w:pPr>
              <w:rPr>
                <w:rFonts w:ascii="宋体"/>
              </w:rPr>
            </w:pPr>
          </w:p>
        </w:tc>
        <w:tc>
          <w:tcPr>
            <w:tcW w:w="5" w:type="pct"/>
            <w:shd w:val="clear" w:color="auto" w:fill="auto"/>
            <w:vAlign w:val="bottom"/>
          </w:tcPr>
          <w:p w14:paraId="392C61EE" w14:textId="77777777" w:rsidR="00980E5F" w:rsidRDefault="00980E5F">
            <w:pPr>
              <w:rPr>
                <w:rFonts w:ascii="宋体"/>
              </w:rPr>
            </w:pPr>
          </w:p>
        </w:tc>
        <w:tc>
          <w:tcPr>
            <w:tcW w:w="5" w:type="pct"/>
            <w:shd w:val="clear" w:color="auto" w:fill="auto"/>
            <w:vAlign w:val="bottom"/>
          </w:tcPr>
          <w:p w14:paraId="392C61EF" w14:textId="77777777" w:rsidR="00980E5F" w:rsidRDefault="00980E5F">
            <w:pPr>
              <w:rPr>
                <w:rFonts w:ascii="宋体"/>
              </w:rPr>
            </w:pPr>
          </w:p>
        </w:tc>
        <w:tc>
          <w:tcPr>
            <w:tcW w:w="26" w:type="pct"/>
            <w:shd w:val="clear" w:color="auto" w:fill="auto"/>
            <w:vAlign w:val="bottom"/>
          </w:tcPr>
          <w:p w14:paraId="392C61F0" w14:textId="77777777" w:rsidR="00980E5F" w:rsidRDefault="00980E5F">
            <w:pPr>
              <w:rPr>
                <w:rFonts w:ascii="宋体"/>
              </w:rPr>
            </w:pPr>
          </w:p>
        </w:tc>
        <w:tc>
          <w:tcPr>
            <w:tcW w:w="5" w:type="pct"/>
            <w:shd w:val="clear" w:color="auto" w:fill="auto"/>
            <w:vAlign w:val="bottom"/>
          </w:tcPr>
          <w:p w14:paraId="392C61F1" w14:textId="77777777" w:rsidR="00980E5F" w:rsidRDefault="00980E5F">
            <w:pPr>
              <w:rPr>
                <w:rFonts w:ascii="宋体"/>
              </w:rPr>
            </w:pPr>
          </w:p>
        </w:tc>
        <w:tc>
          <w:tcPr>
            <w:tcW w:w="50" w:type="pct"/>
            <w:shd w:val="clear" w:color="auto" w:fill="auto"/>
            <w:vAlign w:val="bottom"/>
          </w:tcPr>
          <w:p w14:paraId="392C61F2" w14:textId="77777777" w:rsidR="00980E5F" w:rsidRDefault="00980E5F">
            <w:pPr>
              <w:rPr>
                <w:rFonts w:ascii="宋体"/>
              </w:rPr>
            </w:pPr>
          </w:p>
        </w:tc>
        <w:tc>
          <w:tcPr>
            <w:tcW w:w="435" w:type="pct"/>
            <w:shd w:val="clear" w:color="auto" w:fill="auto"/>
            <w:vAlign w:val="bottom"/>
          </w:tcPr>
          <w:p w14:paraId="392C61F3" w14:textId="77777777" w:rsidR="00980E5F" w:rsidRDefault="00980E5F">
            <w:pPr>
              <w:rPr>
                <w:rFonts w:ascii="宋体"/>
              </w:rPr>
            </w:pPr>
          </w:p>
        </w:tc>
        <w:tc>
          <w:tcPr>
            <w:tcW w:w="5" w:type="pct"/>
            <w:shd w:val="clear" w:color="auto" w:fill="auto"/>
            <w:vAlign w:val="bottom"/>
          </w:tcPr>
          <w:p w14:paraId="392C61F4" w14:textId="77777777" w:rsidR="00980E5F" w:rsidRDefault="00980E5F">
            <w:pPr>
              <w:rPr>
                <w:rFonts w:ascii="宋体"/>
              </w:rPr>
            </w:pPr>
          </w:p>
        </w:tc>
        <w:tc>
          <w:tcPr>
            <w:tcW w:w="5" w:type="pct"/>
            <w:shd w:val="clear" w:color="auto" w:fill="auto"/>
            <w:vAlign w:val="bottom"/>
          </w:tcPr>
          <w:p w14:paraId="392C61F5" w14:textId="77777777" w:rsidR="00980E5F" w:rsidRDefault="00980E5F">
            <w:pPr>
              <w:rPr>
                <w:rFonts w:ascii="宋体"/>
              </w:rPr>
            </w:pPr>
          </w:p>
        </w:tc>
        <w:tc>
          <w:tcPr>
            <w:tcW w:w="26" w:type="pct"/>
            <w:shd w:val="clear" w:color="auto" w:fill="auto"/>
            <w:vAlign w:val="bottom"/>
          </w:tcPr>
          <w:p w14:paraId="392C61F6" w14:textId="77777777" w:rsidR="00980E5F" w:rsidRDefault="00980E5F">
            <w:pPr>
              <w:rPr>
                <w:rFonts w:ascii="宋体"/>
              </w:rPr>
            </w:pPr>
          </w:p>
        </w:tc>
        <w:tc>
          <w:tcPr>
            <w:tcW w:w="5" w:type="pct"/>
            <w:shd w:val="clear" w:color="auto" w:fill="auto"/>
            <w:vAlign w:val="bottom"/>
          </w:tcPr>
          <w:p w14:paraId="392C61F7" w14:textId="77777777" w:rsidR="00980E5F" w:rsidRDefault="00980E5F">
            <w:pPr>
              <w:rPr>
                <w:rFonts w:ascii="宋体"/>
              </w:rPr>
            </w:pPr>
          </w:p>
        </w:tc>
        <w:tc>
          <w:tcPr>
            <w:tcW w:w="50" w:type="pct"/>
            <w:shd w:val="clear" w:color="auto" w:fill="auto"/>
            <w:vAlign w:val="bottom"/>
          </w:tcPr>
          <w:p w14:paraId="392C61F8" w14:textId="77777777" w:rsidR="00980E5F" w:rsidRDefault="00980E5F">
            <w:pPr>
              <w:rPr>
                <w:rFonts w:ascii="宋体"/>
              </w:rPr>
            </w:pPr>
          </w:p>
        </w:tc>
        <w:tc>
          <w:tcPr>
            <w:tcW w:w="362" w:type="pct"/>
            <w:shd w:val="clear" w:color="auto" w:fill="auto"/>
            <w:vAlign w:val="bottom"/>
          </w:tcPr>
          <w:p w14:paraId="392C61F9" w14:textId="77777777" w:rsidR="00980E5F" w:rsidRDefault="00980E5F">
            <w:pPr>
              <w:rPr>
                <w:rFonts w:ascii="宋体"/>
              </w:rPr>
            </w:pPr>
          </w:p>
        </w:tc>
        <w:tc>
          <w:tcPr>
            <w:tcW w:w="5" w:type="pct"/>
            <w:shd w:val="clear" w:color="auto" w:fill="auto"/>
            <w:vAlign w:val="bottom"/>
          </w:tcPr>
          <w:p w14:paraId="392C61FA" w14:textId="77777777" w:rsidR="00980E5F" w:rsidRDefault="00980E5F">
            <w:pPr>
              <w:rPr>
                <w:rFonts w:ascii="宋体"/>
              </w:rPr>
            </w:pPr>
          </w:p>
        </w:tc>
        <w:tc>
          <w:tcPr>
            <w:tcW w:w="5" w:type="pct"/>
            <w:shd w:val="clear" w:color="auto" w:fill="auto"/>
            <w:vAlign w:val="bottom"/>
          </w:tcPr>
          <w:p w14:paraId="392C61FB" w14:textId="77777777" w:rsidR="00980E5F" w:rsidRDefault="00980E5F">
            <w:pPr>
              <w:rPr>
                <w:rFonts w:ascii="宋体"/>
              </w:rPr>
            </w:pPr>
          </w:p>
        </w:tc>
        <w:tc>
          <w:tcPr>
            <w:tcW w:w="26" w:type="pct"/>
            <w:shd w:val="clear" w:color="auto" w:fill="auto"/>
            <w:vAlign w:val="bottom"/>
          </w:tcPr>
          <w:p w14:paraId="392C61FC" w14:textId="77777777" w:rsidR="00980E5F" w:rsidRDefault="00980E5F">
            <w:pPr>
              <w:rPr>
                <w:rFonts w:ascii="宋体"/>
              </w:rPr>
            </w:pPr>
          </w:p>
        </w:tc>
        <w:tc>
          <w:tcPr>
            <w:tcW w:w="5" w:type="pct"/>
            <w:shd w:val="clear" w:color="auto" w:fill="auto"/>
            <w:vAlign w:val="bottom"/>
          </w:tcPr>
          <w:p w14:paraId="392C61FD" w14:textId="77777777" w:rsidR="00980E5F" w:rsidRDefault="00980E5F">
            <w:pPr>
              <w:rPr>
                <w:rFonts w:ascii="宋体"/>
              </w:rPr>
            </w:pPr>
          </w:p>
        </w:tc>
        <w:tc>
          <w:tcPr>
            <w:tcW w:w="50" w:type="pct"/>
            <w:shd w:val="clear" w:color="auto" w:fill="auto"/>
            <w:vAlign w:val="bottom"/>
          </w:tcPr>
          <w:p w14:paraId="392C61FE" w14:textId="77777777" w:rsidR="00980E5F" w:rsidRDefault="00980E5F">
            <w:pPr>
              <w:rPr>
                <w:rFonts w:ascii="宋体"/>
              </w:rPr>
            </w:pPr>
          </w:p>
        </w:tc>
        <w:tc>
          <w:tcPr>
            <w:tcW w:w="435" w:type="pct"/>
            <w:shd w:val="clear" w:color="auto" w:fill="auto"/>
            <w:vAlign w:val="bottom"/>
          </w:tcPr>
          <w:p w14:paraId="392C61FF" w14:textId="77777777" w:rsidR="00980E5F" w:rsidRDefault="00980E5F">
            <w:pPr>
              <w:rPr>
                <w:rFonts w:ascii="宋体"/>
              </w:rPr>
            </w:pPr>
          </w:p>
        </w:tc>
        <w:tc>
          <w:tcPr>
            <w:tcW w:w="5" w:type="pct"/>
            <w:shd w:val="clear" w:color="auto" w:fill="auto"/>
            <w:vAlign w:val="bottom"/>
          </w:tcPr>
          <w:p w14:paraId="392C6200" w14:textId="77777777" w:rsidR="00980E5F" w:rsidRDefault="00980E5F">
            <w:pPr>
              <w:rPr>
                <w:rFonts w:ascii="宋体"/>
              </w:rPr>
            </w:pPr>
          </w:p>
        </w:tc>
      </w:tr>
      <w:tr w:rsidR="00980E5F" w14:paraId="392C6204" w14:textId="77777777">
        <w:tc>
          <w:tcPr>
            <w:tcW w:w="0" w:type="auto"/>
            <w:gridSpan w:val="3"/>
            <w:shd w:val="clear" w:color="auto" w:fill="auto"/>
            <w:tcMar>
              <w:top w:w="0" w:type="dxa"/>
              <w:left w:w="20" w:type="dxa"/>
              <w:bottom w:w="0" w:type="dxa"/>
              <w:right w:w="20" w:type="dxa"/>
            </w:tcMar>
            <w:vAlign w:val="bottom"/>
          </w:tcPr>
          <w:p w14:paraId="392C6202"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6203" w14:textId="77777777" w:rsidR="00980E5F" w:rsidRDefault="00483613">
            <w:pPr>
              <w:jc w:val="center"/>
              <w:textAlignment w:val="bottom"/>
            </w:pPr>
            <w:r>
              <w:rPr>
                <w:rFonts w:ascii="Arial" w:eastAsia="宋体" w:hAnsi="Arial" w:cs="Arial"/>
                <w:b/>
                <w:bCs/>
                <w:color w:val="000000"/>
                <w:sz w:val="14"/>
                <w:szCs w:val="14"/>
              </w:rPr>
              <w:t>As of June 30, 2022</w:t>
            </w:r>
          </w:p>
        </w:tc>
      </w:tr>
      <w:tr w:rsidR="00980E5F" w14:paraId="392C620B" w14:textId="77777777">
        <w:tc>
          <w:tcPr>
            <w:tcW w:w="0" w:type="auto"/>
            <w:gridSpan w:val="3"/>
            <w:shd w:val="clear" w:color="auto" w:fill="auto"/>
            <w:tcMar>
              <w:top w:w="0" w:type="dxa"/>
              <w:left w:w="20" w:type="dxa"/>
              <w:bottom w:w="0" w:type="dxa"/>
              <w:right w:w="20" w:type="dxa"/>
            </w:tcMar>
            <w:vAlign w:val="bottom"/>
          </w:tcPr>
          <w:p w14:paraId="392C6205"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206" w14:textId="77777777" w:rsidR="00980E5F" w:rsidRDefault="00483613">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07"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208" w14:textId="77777777" w:rsidR="00980E5F" w:rsidRDefault="00483613">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09"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20A"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6218" w14:textId="77777777">
        <w:tc>
          <w:tcPr>
            <w:tcW w:w="0" w:type="auto"/>
            <w:gridSpan w:val="3"/>
            <w:shd w:val="clear" w:color="auto" w:fill="auto"/>
            <w:tcMar>
              <w:top w:w="40" w:type="dxa"/>
              <w:left w:w="20" w:type="dxa"/>
              <w:bottom w:w="40" w:type="dxa"/>
              <w:right w:w="20" w:type="dxa"/>
            </w:tcMar>
            <w:vAlign w:val="bottom"/>
          </w:tcPr>
          <w:p w14:paraId="392C620C"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0D"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0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0F"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392C621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11"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1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13"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392C621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15"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1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217"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980E5F" w14:paraId="392C6225" w14:textId="77777777">
        <w:tc>
          <w:tcPr>
            <w:tcW w:w="0" w:type="auto"/>
            <w:gridSpan w:val="3"/>
            <w:shd w:val="clear" w:color="auto" w:fill="auto"/>
            <w:tcMar>
              <w:top w:w="40" w:type="dxa"/>
              <w:left w:w="20" w:type="dxa"/>
              <w:bottom w:w="40" w:type="dxa"/>
              <w:right w:w="20" w:type="dxa"/>
            </w:tcMar>
            <w:vAlign w:val="bottom"/>
          </w:tcPr>
          <w:p w14:paraId="392C6219" w14:textId="77777777" w:rsidR="00980E5F" w:rsidRDefault="00483613">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1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1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1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1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1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1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2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2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224" w14:textId="77777777" w:rsidR="00980E5F" w:rsidRDefault="00980E5F">
            <w:pPr>
              <w:rPr>
                <w:rFonts w:ascii="宋体"/>
              </w:rPr>
            </w:pPr>
          </w:p>
        </w:tc>
      </w:tr>
      <w:tr w:rsidR="00980E5F" w14:paraId="392C6232" w14:textId="77777777">
        <w:tc>
          <w:tcPr>
            <w:tcW w:w="0" w:type="auto"/>
            <w:gridSpan w:val="3"/>
            <w:shd w:val="clear" w:color="auto" w:fill="auto"/>
            <w:tcMar>
              <w:top w:w="40" w:type="dxa"/>
              <w:left w:w="20" w:type="dxa"/>
              <w:bottom w:w="40" w:type="dxa"/>
              <w:right w:w="20" w:type="dxa"/>
            </w:tcMar>
            <w:vAlign w:val="bottom"/>
          </w:tcPr>
          <w:p w14:paraId="392C6226" w14:textId="77777777" w:rsidR="00980E5F" w:rsidRDefault="00483613">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392C622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2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3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231" w14:textId="77777777" w:rsidR="00980E5F" w:rsidRDefault="00980E5F">
            <w:pPr>
              <w:rPr>
                <w:rFonts w:ascii="宋体"/>
              </w:rPr>
            </w:pPr>
          </w:p>
        </w:tc>
      </w:tr>
      <w:tr w:rsidR="00980E5F" w14:paraId="392C624B" w14:textId="77777777">
        <w:tc>
          <w:tcPr>
            <w:tcW w:w="0" w:type="auto"/>
            <w:gridSpan w:val="3"/>
            <w:shd w:val="clear" w:color="auto" w:fill="CCEEFF"/>
            <w:tcMar>
              <w:top w:w="40" w:type="dxa"/>
              <w:left w:w="155" w:type="dxa"/>
              <w:bottom w:w="40" w:type="dxa"/>
              <w:right w:w="20" w:type="dxa"/>
            </w:tcMar>
            <w:vAlign w:val="bottom"/>
          </w:tcPr>
          <w:p w14:paraId="392C6233" w14:textId="77777777" w:rsidR="00980E5F" w:rsidRDefault="00483613">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92C6234"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35" w14:textId="77777777" w:rsidR="00980E5F" w:rsidRDefault="00483613">
            <w:pPr>
              <w:jc w:val="right"/>
              <w:textAlignment w:val="bottom"/>
            </w:pPr>
            <w:r>
              <w:rPr>
                <w:rFonts w:ascii="Arial" w:eastAsia="宋体" w:hAnsi="Arial" w:cs="Arial"/>
                <w:b/>
                <w:bCs/>
                <w:color w:val="000000"/>
                <w:sz w:val="14"/>
                <w:szCs w:val="14"/>
              </w:rPr>
              <w:t>6,778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3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23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39" w14:textId="77777777" w:rsidR="00980E5F" w:rsidRDefault="00483613">
            <w:pPr>
              <w:jc w:val="right"/>
              <w:textAlignment w:val="bottom"/>
            </w:pPr>
            <w:r>
              <w:rPr>
                <w:rFonts w:ascii="Arial" w:eastAsia="宋体" w:hAnsi="Arial" w:cs="Arial"/>
                <w:b/>
                <w:bCs/>
                <w:color w:val="000000"/>
                <w:sz w:val="14"/>
                <w:szCs w:val="14"/>
              </w:rPr>
              <w:t>283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3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23C"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3D" w14:textId="77777777" w:rsidR="00980E5F" w:rsidRDefault="00483613">
            <w:pPr>
              <w:jc w:val="right"/>
              <w:textAlignment w:val="bottom"/>
            </w:pPr>
            <w:r>
              <w:rPr>
                <w:rFonts w:ascii="Arial" w:eastAsia="宋体" w:hAnsi="Arial" w:cs="Arial"/>
                <w:b/>
                <w:bCs/>
                <w:color w:val="000000"/>
                <w:sz w:val="14"/>
                <w:szCs w:val="14"/>
              </w:rPr>
              <w:t>2,062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3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240"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41" w14:textId="77777777" w:rsidR="00980E5F" w:rsidRDefault="00483613">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4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244"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45" w14:textId="77777777" w:rsidR="00980E5F" w:rsidRDefault="00483613">
            <w:pPr>
              <w:jc w:val="right"/>
              <w:textAlignment w:val="bottom"/>
            </w:pPr>
            <w:r>
              <w:rPr>
                <w:rFonts w:ascii="Arial" w:eastAsia="宋体" w:hAnsi="Arial" w:cs="Arial"/>
                <w:b/>
                <w:bCs/>
                <w:color w:val="000000"/>
                <w:sz w:val="14"/>
                <w:szCs w:val="14"/>
              </w:rPr>
              <w:t>8,840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4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24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6249" w14:textId="77777777" w:rsidR="00980E5F" w:rsidRDefault="00483613">
            <w:pPr>
              <w:jc w:val="right"/>
              <w:textAlignment w:val="bottom"/>
            </w:pPr>
            <w:r>
              <w:rPr>
                <w:rFonts w:ascii="Arial" w:eastAsia="宋体" w:hAnsi="Arial" w:cs="Arial"/>
                <w:b/>
                <w:bCs/>
                <w:color w:val="000000"/>
                <w:sz w:val="14"/>
                <w:szCs w:val="14"/>
              </w:rPr>
              <w:t>321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4A" w14:textId="77777777" w:rsidR="00980E5F" w:rsidRDefault="00980E5F">
            <w:pPr>
              <w:jc w:val="right"/>
              <w:rPr>
                <w:rFonts w:ascii="宋体"/>
              </w:rPr>
            </w:pPr>
          </w:p>
        </w:tc>
      </w:tr>
      <w:tr w:rsidR="00980E5F" w14:paraId="392C625E" w14:textId="77777777">
        <w:tc>
          <w:tcPr>
            <w:tcW w:w="0" w:type="auto"/>
            <w:gridSpan w:val="3"/>
            <w:shd w:val="clear" w:color="auto" w:fill="FFFFFF"/>
            <w:tcMar>
              <w:top w:w="40" w:type="dxa"/>
              <w:left w:w="155" w:type="dxa"/>
              <w:bottom w:w="40" w:type="dxa"/>
              <w:right w:w="20" w:type="dxa"/>
            </w:tcMar>
            <w:vAlign w:val="bottom"/>
          </w:tcPr>
          <w:p w14:paraId="392C624C" w14:textId="77777777" w:rsidR="00980E5F" w:rsidRDefault="00483613">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392C624D" w14:textId="77777777" w:rsidR="00980E5F" w:rsidRDefault="00483613">
            <w:pPr>
              <w:jc w:val="right"/>
              <w:textAlignment w:val="bottom"/>
            </w:pPr>
            <w:r>
              <w:rPr>
                <w:rFonts w:ascii="Arial" w:eastAsia="宋体" w:hAnsi="Arial" w:cs="Arial"/>
                <w:b/>
                <w:bCs/>
                <w:color w:val="000000"/>
                <w:sz w:val="14"/>
                <w:szCs w:val="14"/>
              </w:rPr>
              <w:t>9,768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4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50" w14:textId="77777777" w:rsidR="00980E5F" w:rsidRDefault="00483613">
            <w:pPr>
              <w:jc w:val="right"/>
              <w:textAlignment w:val="bottom"/>
            </w:pPr>
            <w:r>
              <w:rPr>
                <w:rFonts w:ascii="Arial" w:eastAsia="宋体" w:hAnsi="Arial" w:cs="Arial"/>
                <w:b/>
                <w:bCs/>
                <w:color w:val="000000"/>
                <w:sz w:val="14"/>
                <w:szCs w:val="14"/>
              </w:rPr>
              <w:t>119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5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53" w14:textId="77777777" w:rsidR="00980E5F" w:rsidRDefault="00483613">
            <w:pPr>
              <w:jc w:val="right"/>
              <w:textAlignment w:val="bottom"/>
            </w:pPr>
            <w:r>
              <w:rPr>
                <w:rFonts w:ascii="Arial" w:eastAsia="宋体" w:hAnsi="Arial" w:cs="Arial"/>
                <w:b/>
                <w:bCs/>
                <w:color w:val="000000"/>
                <w:sz w:val="14"/>
                <w:szCs w:val="14"/>
              </w:rPr>
              <w:t>278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5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56" w14:textId="77777777" w:rsidR="00980E5F" w:rsidRDefault="00483613">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59" w14:textId="77777777" w:rsidR="00980E5F" w:rsidRDefault="00483613">
            <w:pPr>
              <w:jc w:val="right"/>
              <w:textAlignment w:val="bottom"/>
            </w:pPr>
            <w:r>
              <w:rPr>
                <w:rFonts w:ascii="Arial" w:eastAsia="宋体" w:hAnsi="Arial" w:cs="Arial"/>
                <w:b/>
                <w:bCs/>
                <w:color w:val="000000"/>
                <w:sz w:val="14"/>
                <w:szCs w:val="14"/>
              </w:rPr>
              <w:t>10,046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5C" w14:textId="77777777" w:rsidR="00980E5F" w:rsidRDefault="00483613">
            <w:pPr>
              <w:jc w:val="right"/>
              <w:textAlignment w:val="bottom"/>
            </w:pPr>
            <w:r>
              <w:rPr>
                <w:rFonts w:ascii="Arial" w:eastAsia="宋体" w:hAnsi="Arial" w:cs="Arial"/>
                <w:b/>
                <w:bCs/>
                <w:color w:val="000000"/>
                <w:sz w:val="14"/>
                <w:szCs w:val="14"/>
              </w:rPr>
              <w:t>139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5D" w14:textId="77777777" w:rsidR="00980E5F" w:rsidRDefault="00980E5F">
            <w:pPr>
              <w:jc w:val="right"/>
              <w:rPr>
                <w:rFonts w:ascii="宋体"/>
              </w:rPr>
            </w:pPr>
          </w:p>
        </w:tc>
      </w:tr>
      <w:tr w:rsidR="00980E5F" w14:paraId="392C6271" w14:textId="77777777">
        <w:tc>
          <w:tcPr>
            <w:tcW w:w="0" w:type="auto"/>
            <w:gridSpan w:val="3"/>
            <w:shd w:val="clear" w:color="auto" w:fill="CCEEFF"/>
            <w:tcMar>
              <w:top w:w="40" w:type="dxa"/>
              <w:left w:w="245" w:type="dxa"/>
              <w:bottom w:w="40" w:type="dxa"/>
              <w:right w:w="20" w:type="dxa"/>
            </w:tcMar>
            <w:vAlign w:val="bottom"/>
          </w:tcPr>
          <w:p w14:paraId="392C625F" w14:textId="77777777" w:rsidR="00980E5F" w:rsidRDefault="00483613">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0" w14:textId="77777777" w:rsidR="00980E5F" w:rsidRDefault="00483613">
            <w:pPr>
              <w:jc w:val="right"/>
              <w:textAlignment w:val="bottom"/>
            </w:pPr>
            <w:r>
              <w:rPr>
                <w:rFonts w:ascii="Arial" w:eastAsia="宋体" w:hAnsi="Arial" w:cs="Arial"/>
                <w:b/>
                <w:bCs/>
                <w:color w:val="000000"/>
                <w:sz w:val="14"/>
                <w:szCs w:val="14"/>
              </w:rPr>
              <w:t>16,546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6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3" w14:textId="77777777" w:rsidR="00980E5F" w:rsidRDefault="00483613">
            <w:pPr>
              <w:jc w:val="right"/>
              <w:textAlignment w:val="bottom"/>
            </w:pPr>
            <w:r>
              <w:rPr>
                <w:rFonts w:ascii="Arial" w:eastAsia="宋体" w:hAnsi="Arial" w:cs="Arial"/>
                <w:b/>
                <w:bCs/>
                <w:color w:val="000000"/>
                <w:sz w:val="14"/>
                <w:szCs w:val="14"/>
              </w:rPr>
              <w:t>402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6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6" w14:textId="77777777" w:rsidR="00980E5F" w:rsidRDefault="00483613">
            <w:pPr>
              <w:jc w:val="right"/>
              <w:textAlignment w:val="bottom"/>
            </w:pPr>
            <w:r>
              <w:rPr>
                <w:rFonts w:ascii="Arial" w:eastAsia="宋体" w:hAnsi="Arial" w:cs="Arial"/>
                <w:b/>
                <w:bCs/>
                <w:color w:val="000000"/>
                <w:sz w:val="14"/>
                <w:szCs w:val="14"/>
              </w:rPr>
              <w:t>2,340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6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9" w14:textId="77777777" w:rsidR="00980E5F" w:rsidRDefault="00483613">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6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C" w14:textId="77777777" w:rsidR="00980E5F" w:rsidRDefault="00483613">
            <w:pPr>
              <w:jc w:val="right"/>
              <w:textAlignment w:val="bottom"/>
            </w:pPr>
            <w:r>
              <w:rPr>
                <w:rFonts w:ascii="Arial" w:eastAsia="宋体" w:hAnsi="Arial" w:cs="Arial"/>
                <w:b/>
                <w:bCs/>
                <w:color w:val="000000"/>
                <w:sz w:val="14"/>
                <w:szCs w:val="14"/>
              </w:rPr>
              <w:t>18,886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6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6F" w14:textId="77777777" w:rsidR="00980E5F" w:rsidRDefault="00483613">
            <w:pPr>
              <w:jc w:val="right"/>
              <w:textAlignment w:val="bottom"/>
            </w:pPr>
            <w:r>
              <w:rPr>
                <w:rFonts w:ascii="Arial" w:eastAsia="宋体" w:hAnsi="Arial" w:cs="Arial"/>
                <w:b/>
                <w:bCs/>
                <w:color w:val="000000"/>
                <w:sz w:val="14"/>
                <w:szCs w:val="14"/>
              </w:rPr>
              <w:t>460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70" w14:textId="77777777" w:rsidR="00980E5F" w:rsidRDefault="00980E5F">
            <w:pPr>
              <w:jc w:val="right"/>
              <w:rPr>
                <w:rFonts w:ascii="宋体"/>
              </w:rPr>
            </w:pPr>
          </w:p>
        </w:tc>
      </w:tr>
      <w:tr w:rsidR="00980E5F" w14:paraId="392C627E" w14:textId="77777777">
        <w:tc>
          <w:tcPr>
            <w:tcW w:w="0" w:type="auto"/>
            <w:gridSpan w:val="3"/>
            <w:shd w:val="clear" w:color="auto" w:fill="FFFFFF"/>
            <w:tcMar>
              <w:top w:w="40" w:type="dxa"/>
              <w:left w:w="20" w:type="dxa"/>
              <w:bottom w:w="40" w:type="dxa"/>
              <w:right w:w="20" w:type="dxa"/>
            </w:tcMar>
            <w:vAlign w:val="bottom"/>
          </w:tcPr>
          <w:p w14:paraId="392C6272" w14:textId="77777777" w:rsidR="00980E5F" w:rsidRDefault="00483613">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74"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7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78"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7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7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7D" w14:textId="77777777" w:rsidR="00980E5F" w:rsidRDefault="00980E5F">
            <w:pPr>
              <w:rPr>
                <w:rFonts w:ascii="宋体"/>
              </w:rPr>
            </w:pPr>
          </w:p>
        </w:tc>
      </w:tr>
      <w:tr w:rsidR="00980E5F" w14:paraId="392C6291" w14:textId="77777777">
        <w:tc>
          <w:tcPr>
            <w:tcW w:w="0" w:type="auto"/>
            <w:gridSpan w:val="3"/>
            <w:shd w:val="clear" w:color="auto" w:fill="CCEEFF"/>
            <w:tcMar>
              <w:top w:w="40" w:type="dxa"/>
              <w:left w:w="155" w:type="dxa"/>
              <w:bottom w:w="40" w:type="dxa"/>
              <w:right w:w="20" w:type="dxa"/>
            </w:tcMar>
            <w:vAlign w:val="bottom"/>
          </w:tcPr>
          <w:p w14:paraId="392C627F" w14:textId="77777777" w:rsidR="00980E5F" w:rsidRDefault="00483613">
            <w:pPr>
              <w:textAlignment w:val="bottom"/>
            </w:pPr>
            <w:r>
              <w:rPr>
                <w:rFonts w:ascii="Arial" w:eastAsia="宋体" w:hAnsi="Arial" w:cs="Arial"/>
                <w:color w:val="000000"/>
                <w:sz w:val="14"/>
                <w:szCs w:val="14"/>
              </w:rPr>
              <w:t xml:space="preserve">Mortgage-backed </w:t>
            </w:r>
            <w:r>
              <w:rPr>
                <w:rFonts w:ascii="Arial" w:eastAsia="宋体" w:hAnsi="Arial" w:cs="Arial"/>
                <w:color w:val="000000"/>
                <w:sz w:val="14"/>
                <w:szCs w:val="14"/>
              </w:rPr>
              <w:t>securities</w:t>
            </w:r>
          </w:p>
        </w:tc>
        <w:tc>
          <w:tcPr>
            <w:tcW w:w="0" w:type="auto"/>
            <w:gridSpan w:val="2"/>
            <w:shd w:val="clear" w:color="auto" w:fill="CCEEFF"/>
            <w:tcMar>
              <w:top w:w="40" w:type="dxa"/>
              <w:left w:w="20" w:type="dxa"/>
              <w:bottom w:w="40" w:type="dxa"/>
              <w:right w:w="0" w:type="dxa"/>
            </w:tcMar>
            <w:vAlign w:val="bottom"/>
          </w:tcPr>
          <w:p w14:paraId="392C6280" w14:textId="77777777" w:rsidR="00980E5F" w:rsidRDefault="00483613">
            <w:pPr>
              <w:jc w:val="right"/>
              <w:textAlignment w:val="bottom"/>
            </w:pPr>
            <w:r>
              <w:rPr>
                <w:rFonts w:ascii="Arial" w:eastAsia="宋体" w:hAnsi="Arial" w:cs="Arial"/>
                <w:b/>
                <w:bCs/>
                <w:color w:val="000000"/>
                <w:sz w:val="14"/>
                <w:szCs w:val="14"/>
              </w:rPr>
              <w:t>1,783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8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83"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8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86" w14:textId="77777777" w:rsidR="00980E5F" w:rsidRDefault="00483613">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8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8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8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8C" w14:textId="77777777" w:rsidR="00980E5F" w:rsidRDefault="00483613">
            <w:pPr>
              <w:jc w:val="right"/>
              <w:textAlignment w:val="bottom"/>
            </w:pPr>
            <w:r>
              <w:rPr>
                <w:rFonts w:ascii="Arial" w:eastAsia="宋体" w:hAnsi="Arial" w:cs="Arial"/>
                <w:b/>
                <w:bCs/>
                <w:color w:val="000000"/>
                <w:sz w:val="14"/>
                <w:szCs w:val="14"/>
              </w:rPr>
              <w:t>1,824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8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8F"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90" w14:textId="77777777" w:rsidR="00980E5F" w:rsidRDefault="00980E5F">
            <w:pPr>
              <w:jc w:val="right"/>
              <w:rPr>
                <w:rFonts w:ascii="宋体"/>
              </w:rPr>
            </w:pPr>
          </w:p>
        </w:tc>
      </w:tr>
      <w:tr w:rsidR="00980E5F" w14:paraId="392C62A4" w14:textId="77777777">
        <w:tc>
          <w:tcPr>
            <w:tcW w:w="0" w:type="auto"/>
            <w:gridSpan w:val="3"/>
            <w:shd w:val="clear" w:color="auto" w:fill="FFFFFF"/>
            <w:tcMar>
              <w:top w:w="40" w:type="dxa"/>
              <w:left w:w="155" w:type="dxa"/>
              <w:bottom w:w="40" w:type="dxa"/>
              <w:right w:w="20" w:type="dxa"/>
            </w:tcMar>
            <w:vAlign w:val="bottom"/>
          </w:tcPr>
          <w:p w14:paraId="392C6292"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392C6293" w14:textId="77777777" w:rsidR="00980E5F" w:rsidRDefault="00483613">
            <w:pPr>
              <w:jc w:val="right"/>
              <w:textAlignment w:val="bottom"/>
            </w:pPr>
            <w:r>
              <w:rPr>
                <w:rFonts w:ascii="Arial" w:eastAsia="宋体" w:hAnsi="Arial" w:cs="Arial"/>
                <w:b/>
                <w:bCs/>
                <w:color w:val="000000"/>
                <w:sz w:val="14"/>
                <w:szCs w:val="14"/>
              </w:rPr>
              <w:t>1,637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9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96" w14:textId="77777777" w:rsidR="00980E5F" w:rsidRDefault="00483613">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99" w14:textId="77777777" w:rsidR="00980E5F" w:rsidRDefault="00483613">
            <w:pPr>
              <w:jc w:val="right"/>
              <w:textAlignment w:val="bottom"/>
            </w:pPr>
            <w:r>
              <w:rPr>
                <w:rFonts w:ascii="Arial" w:eastAsia="宋体" w:hAnsi="Arial" w:cs="Arial"/>
                <w:b/>
                <w:bCs/>
                <w:color w:val="000000"/>
                <w:sz w:val="14"/>
                <w:szCs w:val="14"/>
              </w:rPr>
              <w:t>166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9C"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9F" w14:textId="77777777" w:rsidR="00980E5F" w:rsidRDefault="00483613">
            <w:pPr>
              <w:jc w:val="right"/>
              <w:textAlignment w:val="bottom"/>
            </w:pPr>
            <w:r>
              <w:rPr>
                <w:rFonts w:ascii="Arial" w:eastAsia="宋体" w:hAnsi="Arial" w:cs="Arial"/>
                <w:b/>
                <w:bCs/>
                <w:color w:val="000000"/>
                <w:sz w:val="14"/>
                <w:szCs w:val="14"/>
              </w:rPr>
              <w:t>1,803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A2" w14:textId="77777777" w:rsidR="00980E5F" w:rsidRDefault="00483613">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A3" w14:textId="77777777" w:rsidR="00980E5F" w:rsidRDefault="00980E5F">
            <w:pPr>
              <w:jc w:val="right"/>
              <w:rPr>
                <w:rFonts w:ascii="宋体"/>
              </w:rPr>
            </w:pPr>
          </w:p>
        </w:tc>
      </w:tr>
      <w:tr w:rsidR="00980E5F" w14:paraId="392C62B7" w14:textId="77777777">
        <w:tc>
          <w:tcPr>
            <w:tcW w:w="0" w:type="auto"/>
            <w:gridSpan w:val="3"/>
            <w:shd w:val="clear" w:color="auto" w:fill="CCEEFF"/>
            <w:tcMar>
              <w:top w:w="40" w:type="dxa"/>
              <w:left w:w="155" w:type="dxa"/>
              <w:bottom w:w="40" w:type="dxa"/>
              <w:right w:w="20" w:type="dxa"/>
            </w:tcMar>
            <w:vAlign w:val="bottom"/>
          </w:tcPr>
          <w:p w14:paraId="392C62A5" w14:textId="77777777" w:rsidR="00980E5F" w:rsidRDefault="00483613">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62A6" w14:textId="77777777" w:rsidR="00980E5F" w:rsidRDefault="00483613">
            <w:pPr>
              <w:jc w:val="right"/>
              <w:textAlignment w:val="bottom"/>
            </w:pPr>
            <w:r>
              <w:rPr>
                <w:rFonts w:ascii="Arial" w:eastAsia="宋体" w:hAnsi="Arial" w:cs="Arial"/>
                <w:b/>
                <w:bCs/>
                <w:color w:val="000000"/>
                <w:sz w:val="14"/>
                <w:szCs w:val="14"/>
              </w:rPr>
              <w:t>12,529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A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A9" w14:textId="77777777" w:rsidR="00980E5F" w:rsidRDefault="00483613">
            <w:pPr>
              <w:jc w:val="right"/>
              <w:textAlignment w:val="bottom"/>
            </w:pPr>
            <w:r>
              <w:rPr>
                <w:rFonts w:ascii="Arial" w:eastAsia="宋体" w:hAnsi="Arial" w:cs="Arial"/>
                <w:b/>
                <w:bCs/>
                <w:color w:val="000000"/>
                <w:sz w:val="14"/>
                <w:szCs w:val="14"/>
              </w:rPr>
              <w:t>301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AC" w14:textId="77777777" w:rsidR="00980E5F" w:rsidRDefault="00483613">
            <w:pPr>
              <w:jc w:val="right"/>
              <w:textAlignment w:val="bottom"/>
            </w:pPr>
            <w:r>
              <w:rPr>
                <w:rFonts w:ascii="Arial" w:eastAsia="宋体" w:hAnsi="Arial" w:cs="Arial"/>
                <w:b/>
                <w:bCs/>
                <w:color w:val="000000"/>
                <w:sz w:val="14"/>
                <w:szCs w:val="14"/>
              </w:rPr>
              <w:t>1,454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A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AF" w14:textId="77777777" w:rsidR="00980E5F" w:rsidRDefault="00483613">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B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B2" w14:textId="77777777" w:rsidR="00980E5F" w:rsidRDefault="00483613">
            <w:pPr>
              <w:jc w:val="right"/>
              <w:textAlignment w:val="bottom"/>
            </w:pPr>
            <w:r>
              <w:rPr>
                <w:rFonts w:ascii="Arial" w:eastAsia="宋体" w:hAnsi="Arial" w:cs="Arial"/>
                <w:b/>
                <w:bCs/>
                <w:color w:val="000000"/>
                <w:sz w:val="14"/>
                <w:szCs w:val="14"/>
              </w:rPr>
              <w:t>13,983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B5" w14:textId="77777777" w:rsidR="00980E5F" w:rsidRDefault="00483613">
            <w:pPr>
              <w:jc w:val="right"/>
              <w:textAlignment w:val="bottom"/>
            </w:pPr>
            <w:r>
              <w:rPr>
                <w:rFonts w:ascii="Arial" w:eastAsia="宋体" w:hAnsi="Arial" w:cs="Arial"/>
                <w:b/>
                <w:bCs/>
                <w:color w:val="000000"/>
                <w:sz w:val="14"/>
                <w:szCs w:val="14"/>
              </w:rPr>
              <w:t>374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B6" w14:textId="77777777" w:rsidR="00980E5F" w:rsidRDefault="00980E5F">
            <w:pPr>
              <w:jc w:val="right"/>
              <w:rPr>
                <w:rFonts w:ascii="宋体"/>
              </w:rPr>
            </w:pPr>
          </w:p>
        </w:tc>
      </w:tr>
      <w:tr w:rsidR="00980E5F" w14:paraId="392C62CA" w14:textId="77777777">
        <w:tc>
          <w:tcPr>
            <w:tcW w:w="0" w:type="auto"/>
            <w:gridSpan w:val="3"/>
            <w:shd w:val="clear" w:color="auto" w:fill="FFFFFF"/>
            <w:tcMar>
              <w:top w:w="40" w:type="dxa"/>
              <w:left w:w="155" w:type="dxa"/>
              <w:bottom w:w="40" w:type="dxa"/>
              <w:right w:w="20" w:type="dxa"/>
            </w:tcMar>
            <w:vAlign w:val="bottom"/>
          </w:tcPr>
          <w:p w14:paraId="392C62B8"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62B9" w14:textId="77777777" w:rsidR="00980E5F" w:rsidRDefault="00483613">
            <w:pPr>
              <w:jc w:val="right"/>
              <w:textAlignment w:val="bottom"/>
            </w:pPr>
            <w:r>
              <w:rPr>
                <w:rFonts w:ascii="Arial" w:eastAsia="宋体" w:hAnsi="Arial" w:cs="Arial"/>
                <w:b/>
                <w:bCs/>
                <w:color w:val="000000"/>
                <w:sz w:val="14"/>
                <w:szCs w:val="14"/>
              </w:rPr>
              <w:t>1,423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B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BC" w14:textId="77777777" w:rsidR="00980E5F" w:rsidRDefault="00483613">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B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B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BF" w14:textId="77777777" w:rsidR="00980E5F" w:rsidRDefault="00483613">
            <w:pPr>
              <w:jc w:val="right"/>
              <w:textAlignment w:val="bottom"/>
            </w:pPr>
            <w:r>
              <w:rPr>
                <w:rFonts w:ascii="Arial" w:eastAsia="宋体" w:hAnsi="Arial" w:cs="Arial"/>
                <w:b/>
                <w:bCs/>
                <w:color w:val="000000"/>
                <w:sz w:val="14"/>
                <w:szCs w:val="14"/>
              </w:rPr>
              <w:t>637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C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C2" w14:textId="77777777" w:rsidR="00980E5F" w:rsidRDefault="00483613">
            <w:pPr>
              <w:jc w:val="right"/>
              <w:textAlignment w:val="bottom"/>
            </w:pPr>
            <w:r>
              <w:rPr>
                <w:rFonts w:ascii="Arial" w:eastAsia="宋体" w:hAnsi="Arial" w:cs="Arial"/>
                <w:b/>
                <w:bCs/>
                <w:color w:val="000000"/>
                <w:sz w:val="14"/>
                <w:szCs w:val="14"/>
              </w:rPr>
              <w:t>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C5" w14:textId="77777777" w:rsidR="00980E5F" w:rsidRDefault="00483613">
            <w:pPr>
              <w:jc w:val="right"/>
              <w:textAlignment w:val="bottom"/>
            </w:pPr>
            <w:r>
              <w:rPr>
                <w:rFonts w:ascii="Arial" w:eastAsia="宋体" w:hAnsi="Arial" w:cs="Arial"/>
                <w:b/>
                <w:bCs/>
                <w:color w:val="000000"/>
                <w:sz w:val="14"/>
                <w:szCs w:val="14"/>
              </w:rPr>
              <w:t>2,060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2C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2C8" w14:textId="77777777" w:rsidR="00980E5F" w:rsidRDefault="00483613">
            <w:pPr>
              <w:jc w:val="right"/>
              <w:textAlignment w:val="bottom"/>
            </w:pPr>
            <w:r>
              <w:rPr>
                <w:rFonts w:ascii="Arial" w:eastAsia="宋体" w:hAnsi="Arial" w:cs="Arial"/>
                <w:b/>
                <w:bCs/>
                <w:color w:val="000000"/>
                <w:sz w:val="14"/>
                <w:szCs w:val="14"/>
              </w:rPr>
              <w:t>154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2C9" w14:textId="77777777" w:rsidR="00980E5F" w:rsidRDefault="00980E5F">
            <w:pPr>
              <w:jc w:val="right"/>
              <w:rPr>
                <w:rFonts w:ascii="宋体"/>
              </w:rPr>
            </w:pPr>
          </w:p>
        </w:tc>
      </w:tr>
      <w:tr w:rsidR="00980E5F" w14:paraId="392C62DD" w14:textId="77777777">
        <w:tc>
          <w:tcPr>
            <w:tcW w:w="0" w:type="auto"/>
            <w:gridSpan w:val="3"/>
            <w:shd w:val="clear" w:color="auto" w:fill="CCEEFF"/>
            <w:tcMar>
              <w:top w:w="40" w:type="dxa"/>
              <w:left w:w="245" w:type="dxa"/>
              <w:bottom w:w="40" w:type="dxa"/>
              <w:right w:w="20" w:type="dxa"/>
            </w:tcMar>
            <w:vAlign w:val="bottom"/>
          </w:tcPr>
          <w:p w14:paraId="392C62CB" w14:textId="77777777" w:rsidR="00980E5F" w:rsidRDefault="00483613">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CC" w14:textId="77777777" w:rsidR="00980E5F" w:rsidRDefault="00483613">
            <w:pPr>
              <w:jc w:val="right"/>
              <w:textAlignment w:val="bottom"/>
            </w:pPr>
            <w:r>
              <w:rPr>
                <w:rFonts w:ascii="Arial" w:eastAsia="宋体" w:hAnsi="Arial" w:cs="Arial"/>
                <w:b/>
                <w:bCs/>
                <w:color w:val="000000"/>
                <w:sz w:val="14"/>
                <w:szCs w:val="14"/>
              </w:rPr>
              <w:t>17,372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C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CF" w14:textId="77777777" w:rsidR="00980E5F" w:rsidRDefault="00483613">
            <w:pPr>
              <w:jc w:val="right"/>
              <w:textAlignment w:val="bottom"/>
            </w:pPr>
            <w:r>
              <w:rPr>
                <w:rFonts w:ascii="Arial" w:eastAsia="宋体" w:hAnsi="Arial" w:cs="Arial"/>
                <w:b/>
                <w:bCs/>
                <w:color w:val="000000"/>
                <w:sz w:val="14"/>
                <w:szCs w:val="14"/>
              </w:rPr>
              <w:t>429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D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D2" w14:textId="77777777" w:rsidR="00980E5F" w:rsidRDefault="00483613">
            <w:pPr>
              <w:jc w:val="right"/>
              <w:textAlignment w:val="bottom"/>
            </w:pPr>
            <w:r>
              <w:rPr>
                <w:rFonts w:ascii="Arial" w:eastAsia="宋体" w:hAnsi="Arial" w:cs="Arial"/>
                <w:b/>
                <w:bCs/>
                <w:color w:val="000000"/>
                <w:sz w:val="14"/>
                <w:szCs w:val="14"/>
              </w:rPr>
              <w:t>2,298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D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D5" w14:textId="77777777" w:rsidR="00980E5F" w:rsidRDefault="00483613">
            <w:pPr>
              <w:jc w:val="right"/>
              <w:textAlignment w:val="bottom"/>
            </w:pPr>
            <w:r>
              <w:rPr>
                <w:rFonts w:ascii="Arial" w:eastAsia="宋体" w:hAnsi="Arial" w:cs="Arial"/>
                <w:b/>
                <w:bCs/>
                <w:color w:val="000000"/>
                <w:sz w:val="14"/>
                <w:szCs w:val="14"/>
              </w:rPr>
              <w:t>142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D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D8" w14:textId="77777777" w:rsidR="00980E5F" w:rsidRDefault="00483613">
            <w:pPr>
              <w:jc w:val="right"/>
              <w:textAlignment w:val="bottom"/>
            </w:pPr>
            <w:r>
              <w:rPr>
                <w:rFonts w:ascii="Arial" w:eastAsia="宋体" w:hAnsi="Arial" w:cs="Arial"/>
                <w:b/>
                <w:bCs/>
                <w:color w:val="000000"/>
                <w:sz w:val="14"/>
                <w:szCs w:val="14"/>
              </w:rPr>
              <w:t>19,670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D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2DB" w14:textId="77777777" w:rsidR="00980E5F" w:rsidRDefault="00483613">
            <w:pPr>
              <w:jc w:val="right"/>
              <w:textAlignment w:val="bottom"/>
            </w:pPr>
            <w:r>
              <w:rPr>
                <w:rFonts w:ascii="Arial" w:eastAsia="宋体" w:hAnsi="Arial" w:cs="Arial"/>
                <w:b/>
                <w:bCs/>
                <w:color w:val="000000"/>
                <w:sz w:val="14"/>
                <w:szCs w:val="14"/>
              </w:rPr>
              <w:t>571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2DC" w14:textId="77777777" w:rsidR="00980E5F" w:rsidRDefault="00980E5F">
            <w:pPr>
              <w:jc w:val="right"/>
              <w:rPr>
                <w:rFonts w:ascii="宋体"/>
              </w:rPr>
            </w:pPr>
          </w:p>
        </w:tc>
      </w:tr>
      <w:tr w:rsidR="00980E5F" w14:paraId="392C62EA" w14:textId="77777777">
        <w:tc>
          <w:tcPr>
            <w:tcW w:w="0" w:type="auto"/>
            <w:gridSpan w:val="3"/>
            <w:shd w:val="clear" w:color="auto" w:fill="FFFFFF"/>
            <w:tcMar>
              <w:top w:w="40" w:type="dxa"/>
              <w:left w:w="20" w:type="dxa"/>
              <w:bottom w:w="40" w:type="dxa"/>
              <w:right w:w="20" w:type="dxa"/>
            </w:tcMar>
            <w:vAlign w:val="bottom"/>
          </w:tcPr>
          <w:p w14:paraId="392C62DE"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D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E0"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E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E2"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E4"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E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2E8"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2E9" w14:textId="77777777" w:rsidR="00980E5F" w:rsidRDefault="00980E5F">
            <w:pPr>
              <w:rPr>
                <w:rFonts w:ascii="宋体"/>
              </w:rPr>
            </w:pPr>
          </w:p>
        </w:tc>
      </w:tr>
      <w:tr w:rsidR="00980E5F" w14:paraId="392C62FD" w14:textId="77777777">
        <w:tc>
          <w:tcPr>
            <w:tcW w:w="0" w:type="auto"/>
            <w:gridSpan w:val="3"/>
            <w:shd w:val="clear" w:color="auto" w:fill="CCEEFF"/>
            <w:tcMar>
              <w:top w:w="40" w:type="dxa"/>
              <w:left w:w="155" w:type="dxa"/>
              <w:bottom w:w="40" w:type="dxa"/>
              <w:right w:w="20" w:type="dxa"/>
            </w:tcMar>
            <w:vAlign w:val="bottom"/>
          </w:tcPr>
          <w:p w14:paraId="392C62EB" w14:textId="77777777" w:rsidR="00980E5F" w:rsidRDefault="00483613">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392C62EC" w14:textId="77777777" w:rsidR="00980E5F" w:rsidRDefault="00483613">
            <w:pPr>
              <w:jc w:val="right"/>
              <w:textAlignment w:val="bottom"/>
            </w:pPr>
            <w:r>
              <w:rPr>
                <w:rFonts w:ascii="Arial" w:eastAsia="宋体" w:hAnsi="Arial" w:cs="Arial"/>
                <w:b/>
                <w:bCs/>
                <w:color w:val="000000"/>
                <w:sz w:val="14"/>
                <w:szCs w:val="14"/>
              </w:rPr>
              <w:t>102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E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EF"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F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F2" w14:textId="77777777" w:rsidR="00980E5F" w:rsidRDefault="00483613">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F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F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F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F8" w14:textId="77777777" w:rsidR="00980E5F" w:rsidRDefault="00483613">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2F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2FB"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2FC" w14:textId="77777777" w:rsidR="00980E5F" w:rsidRDefault="00980E5F">
            <w:pPr>
              <w:jc w:val="right"/>
              <w:rPr>
                <w:rFonts w:ascii="宋体"/>
              </w:rPr>
            </w:pPr>
          </w:p>
        </w:tc>
      </w:tr>
      <w:tr w:rsidR="00980E5F" w14:paraId="392C6310" w14:textId="77777777">
        <w:tc>
          <w:tcPr>
            <w:tcW w:w="0" w:type="auto"/>
            <w:gridSpan w:val="3"/>
            <w:shd w:val="clear" w:color="auto" w:fill="FFFFFF"/>
            <w:tcMar>
              <w:top w:w="40" w:type="dxa"/>
              <w:left w:w="245" w:type="dxa"/>
              <w:bottom w:w="40" w:type="dxa"/>
              <w:right w:w="20" w:type="dxa"/>
            </w:tcMar>
            <w:vAlign w:val="bottom"/>
          </w:tcPr>
          <w:p w14:paraId="392C62FE" w14:textId="77777777" w:rsidR="00980E5F" w:rsidRDefault="00483613">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392C62FF" w14:textId="77777777" w:rsidR="00980E5F" w:rsidRDefault="00483613">
            <w:pPr>
              <w:jc w:val="right"/>
              <w:textAlignment w:val="bottom"/>
            </w:pPr>
            <w:r>
              <w:rPr>
                <w:rFonts w:ascii="Arial" w:eastAsia="宋体" w:hAnsi="Arial" w:cs="Arial"/>
                <w:b/>
                <w:bCs/>
                <w:color w:val="000000"/>
                <w:sz w:val="14"/>
                <w:szCs w:val="14"/>
              </w:rPr>
              <w:t>1,902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02" w14:textId="77777777" w:rsidR="00980E5F" w:rsidRDefault="00483613">
            <w:pPr>
              <w:jc w:val="right"/>
              <w:textAlignment w:val="bottom"/>
            </w:pPr>
            <w:r>
              <w:rPr>
                <w:rFonts w:ascii="Arial" w:eastAsia="宋体" w:hAnsi="Arial" w:cs="Arial"/>
                <w:b/>
                <w:bCs/>
                <w:color w:val="000000"/>
                <w:sz w:val="14"/>
                <w:szCs w:val="14"/>
              </w:rPr>
              <w:t>36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05" w14:textId="77777777" w:rsidR="00980E5F" w:rsidRDefault="00483613">
            <w:pPr>
              <w:jc w:val="right"/>
              <w:textAlignment w:val="bottom"/>
            </w:pPr>
            <w:r>
              <w:rPr>
                <w:rFonts w:ascii="Arial" w:eastAsia="宋体" w:hAnsi="Arial" w:cs="Arial"/>
                <w:b/>
                <w:bCs/>
                <w:color w:val="000000"/>
                <w:sz w:val="14"/>
                <w:szCs w:val="14"/>
              </w:rPr>
              <w:t>433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08" w14:textId="77777777" w:rsidR="00980E5F" w:rsidRDefault="00483613">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0B" w14:textId="77777777" w:rsidR="00980E5F" w:rsidRDefault="00483613">
            <w:pPr>
              <w:jc w:val="right"/>
              <w:textAlignment w:val="bottom"/>
            </w:pPr>
            <w:r>
              <w:rPr>
                <w:rFonts w:ascii="Arial" w:eastAsia="宋体" w:hAnsi="Arial" w:cs="Arial"/>
                <w:b/>
                <w:bCs/>
                <w:color w:val="000000"/>
                <w:sz w:val="14"/>
                <w:szCs w:val="14"/>
              </w:rPr>
              <w:t>2,335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0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0E" w14:textId="77777777" w:rsidR="00980E5F" w:rsidRDefault="00483613">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0F" w14:textId="77777777" w:rsidR="00980E5F" w:rsidRDefault="00980E5F">
            <w:pPr>
              <w:jc w:val="right"/>
              <w:rPr>
                <w:rFonts w:ascii="宋体"/>
              </w:rPr>
            </w:pPr>
          </w:p>
        </w:tc>
      </w:tr>
      <w:tr w:rsidR="00980E5F" w14:paraId="392C6323" w14:textId="77777777">
        <w:tc>
          <w:tcPr>
            <w:tcW w:w="0" w:type="auto"/>
            <w:gridSpan w:val="3"/>
            <w:shd w:val="clear" w:color="auto" w:fill="CCEEFF"/>
            <w:tcMar>
              <w:top w:w="40" w:type="dxa"/>
              <w:left w:w="245" w:type="dxa"/>
              <w:bottom w:w="40" w:type="dxa"/>
              <w:right w:w="20" w:type="dxa"/>
            </w:tcMar>
            <w:vAlign w:val="bottom"/>
          </w:tcPr>
          <w:p w14:paraId="392C6311" w14:textId="77777777" w:rsidR="00980E5F" w:rsidRDefault="00483613">
            <w:pPr>
              <w:textAlignment w:val="bottom"/>
            </w:pPr>
            <w:r>
              <w:rPr>
                <w:rFonts w:ascii="Arial" w:eastAsia="宋体" w:hAnsi="Arial" w:cs="Arial"/>
                <w:color w:val="000000"/>
                <w:sz w:val="14"/>
                <w:szCs w:val="14"/>
              </w:rPr>
              <w:t>Non-agency CMBS and RMBS</w:t>
            </w:r>
          </w:p>
        </w:tc>
        <w:tc>
          <w:tcPr>
            <w:tcW w:w="0" w:type="auto"/>
            <w:gridSpan w:val="2"/>
            <w:shd w:val="clear" w:color="auto" w:fill="CCEEFF"/>
            <w:tcMar>
              <w:top w:w="40" w:type="dxa"/>
              <w:left w:w="20" w:type="dxa"/>
              <w:bottom w:w="40" w:type="dxa"/>
              <w:right w:w="0" w:type="dxa"/>
            </w:tcMar>
            <w:vAlign w:val="bottom"/>
          </w:tcPr>
          <w:p w14:paraId="392C6312"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1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15"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1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1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1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1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1E"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2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21"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22" w14:textId="77777777" w:rsidR="00980E5F" w:rsidRDefault="00980E5F">
            <w:pPr>
              <w:jc w:val="right"/>
              <w:rPr>
                <w:rFonts w:ascii="宋体"/>
              </w:rPr>
            </w:pPr>
          </w:p>
        </w:tc>
      </w:tr>
      <w:tr w:rsidR="00980E5F" w14:paraId="392C6336" w14:textId="77777777">
        <w:tc>
          <w:tcPr>
            <w:tcW w:w="0" w:type="auto"/>
            <w:gridSpan w:val="3"/>
            <w:shd w:val="clear" w:color="auto" w:fill="FFFFFF"/>
            <w:tcMar>
              <w:top w:w="40" w:type="dxa"/>
              <w:left w:w="245" w:type="dxa"/>
              <w:bottom w:w="40" w:type="dxa"/>
              <w:right w:w="20" w:type="dxa"/>
            </w:tcMar>
            <w:vAlign w:val="bottom"/>
          </w:tcPr>
          <w:p w14:paraId="392C6324"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6325"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28"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2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2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2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31"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334"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335" w14:textId="77777777" w:rsidR="00980E5F" w:rsidRDefault="00980E5F">
            <w:pPr>
              <w:jc w:val="right"/>
              <w:rPr>
                <w:rFonts w:ascii="宋体"/>
              </w:rPr>
            </w:pPr>
          </w:p>
        </w:tc>
      </w:tr>
      <w:tr w:rsidR="00980E5F" w14:paraId="392C6349" w14:textId="77777777">
        <w:tc>
          <w:tcPr>
            <w:tcW w:w="0" w:type="auto"/>
            <w:gridSpan w:val="3"/>
            <w:shd w:val="clear" w:color="auto" w:fill="CCEEFF"/>
            <w:tcMar>
              <w:top w:w="40" w:type="dxa"/>
              <w:left w:w="245" w:type="dxa"/>
              <w:bottom w:w="40" w:type="dxa"/>
              <w:right w:w="20" w:type="dxa"/>
            </w:tcMar>
            <w:vAlign w:val="bottom"/>
          </w:tcPr>
          <w:p w14:paraId="392C6337" w14:textId="77777777" w:rsidR="00980E5F" w:rsidRDefault="00483613">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38" w14:textId="77777777" w:rsidR="00980E5F" w:rsidRDefault="00483613">
            <w:pPr>
              <w:jc w:val="right"/>
              <w:textAlignment w:val="bottom"/>
            </w:pPr>
            <w:r>
              <w:rPr>
                <w:rFonts w:ascii="Arial" w:eastAsia="宋体" w:hAnsi="Arial" w:cs="Arial"/>
                <w:b/>
                <w:bCs/>
                <w:color w:val="000000"/>
                <w:sz w:val="14"/>
                <w:szCs w:val="14"/>
              </w:rPr>
              <w:t>2,288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3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3B" w14:textId="77777777" w:rsidR="00980E5F" w:rsidRDefault="00483613">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3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3E" w14:textId="77777777" w:rsidR="00980E5F" w:rsidRDefault="00483613">
            <w:pPr>
              <w:jc w:val="right"/>
              <w:textAlignment w:val="bottom"/>
            </w:pPr>
            <w:r>
              <w:rPr>
                <w:rFonts w:ascii="Arial" w:eastAsia="宋体" w:hAnsi="Arial" w:cs="Arial"/>
                <w:b/>
                <w:bCs/>
                <w:color w:val="000000"/>
                <w:sz w:val="14"/>
                <w:szCs w:val="14"/>
              </w:rPr>
              <w:t>449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4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41" w14:textId="77777777" w:rsidR="00980E5F" w:rsidRDefault="00483613">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4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44" w14:textId="77777777" w:rsidR="00980E5F" w:rsidRDefault="00483613">
            <w:pPr>
              <w:jc w:val="right"/>
              <w:textAlignment w:val="bottom"/>
            </w:pPr>
            <w:r>
              <w:rPr>
                <w:rFonts w:ascii="Arial" w:eastAsia="宋体" w:hAnsi="Arial" w:cs="Arial"/>
                <w:b/>
                <w:bCs/>
                <w:color w:val="000000"/>
                <w:sz w:val="14"/>
                <w:szCs w:val="14"/>
              </w:rPr>
              <w:t>2,737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4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347" w14:textId="77777777" w:rsidR="00980E5F" w:rsidRDefault="00483613">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348" w14:textId="77777777" w:rsidR="00980E5F" w:rsidRDefault="00980E5F">
            <w:pPr>
              <w:jc w:val="right"/>
              <w:rPr>
                <w:rFonts w:ascii="宋体"/>
              </w:rPr>
            </w:pPr>
          </w:p>
        </w:tc>
      </w:tr>
      <w:tr w:rsidR="00980E5F" w14:paraId="392C6356" w14:textId="77777777">
        <w:trPr>
          <w:hidden/>
        </w:trPr>
        <w:tc>
          <w:tcPr>
            <w:tcW w:w="0" w:type="auto"/>
            <w:gridSpan w:val="3"/>
            <w:shd w:val="clear" w:color="auto" w:fill="auto"/>
            <w:vAlign w:val="bottom"/>
          </w:tcPr>
          <w:p w14:paraId="392C634A" w14:textId="77777777" w:rsidR="00980E5F" w:rsidRDefault="00980E5F">
            <w:pPr>
              <w:rPr>
                <w:rFonts w:ascii="宋体"/>
                <w:vanish/>
              </w:rPr>
            </w:pPr>
          </w:p>
        </w:tc>
        <w:tc>
          <w:tcPr>
            <w:tcW w:w="0" w:type="auto"/>
            <w:gridSpan w:val="3"/>
            <w:shd w:val="clear" w:color="auto" w:fill="auto"/>
            <w:vAlign w:val="bottom"/>
          </w:tcPr>
          <w:p w14:paraId="392C634B" w14:textId="77777777" w:rsidR="00980E5F" w:rsidRDefault="00980E5F">
            <w:pPr>
              <w:rPr>
                <w:rFonts w:ascii="宋体"/>
                <w:vanish/>
              </w:rPr>
            </w:pPr>
          </w:p>
        </w:tc>
        <w:tc>
          <w:tcPr>
            <w:tcW w:w="0" w:type="auto"/>
            <w:gridSpan w:val="3"/>
            <w:shd w:val="clear" w:color="auto" w:fill="auto"/>
            <w:vAlign w:val="bottom"/>
          </w:tcPr>
          <w:p w14:paraId="392C634C" w14:textId="77777777" w:rsidR="00980E5F" w:rsidRDefault="00980E5F">
            <w:pPr>
              <w:rPr>
                <w:rFonts w:ascii="宋体"/>
                <w:vanish/>
              </w:rPr>
            </w:pPr>
          </w:p>
        </w:tc>
        <w:tc>
          <w:tcPr>
            <w:tcW w:w="0" w:type="auto"/>
            <w:gridSpan w:val="3"/>
            <w:shd w:val="clear" w:color="auto" w:fill="auto"/>
            <w:vAlign w:val="bottom"/>
          </w:tcPr>
          <w:p w14:paraId="392C634D" w14:textId="77777777" w:rsidR="00980E5F" w:rsidRDefault="00980E5F">
            <w:pPr>
              <w:rPr>
                <w:rFonts w:ascii="宋体"/>
                <w:vanish/>
              </w:rPr>
            </w:pPr>
          </w:p>
        </w:tc>
        <w:tc>
          <w:tcPr>
            <w:tcW w:w="0" w:type="auto"/>
            <w:gridSpan w:val="3"/>
            <w:shd w:val="clear" w:color="auto" w:fill="auto"/>
            <w:vAlign w:val="bottom"/>
          </w:tcPr>
          <w:p w14:paraId="392C634E" w14:textId="77777777" w:rsidR="00980E5F" w:rsidRDefault="00980E5F">
            <w:pPr>
              <w:rPr>
                <w:rFonts w:ascii="宋体"/>
                <w:vanish/>
              </w:rPr>
            </w:pPr>
          </w:p>
        </w:tc>
        <w:tc>
          <w:tcPr>
            <w:tcW w:w="0" w:type="auto"/>
            <w:gridSpan w:val="3"/>
            <w:shd w:val="clear" w:color="auto" w:fill="auto"/>
            <w:vAlign w:val="bottom"/>
          </w:tcPr>
          <w:p w14:paraId="392C634F" w14:textId="77777777" w:rsidR="00980E5F" w:rsidRDefault="00980E5F">
            <w:pPr>
              <w:rPr>
                <w:rFonts w:ascii="宋体"/>
                <w:vanish/>
              </w:rPr>
            </w:pPr>
          </w:p>
        </w:tc>
        <w:tc>
          <w:tcPr>
            <w:tcW w:w="0" w:type="auto"/>
            <w:gridSpan w:val="3"/>
            <w:shd w:val="clear" w:color="auto" w:fill="auto"/>
            <w:vAlign w:val="bottom"/>
          </w:tcPr>
          <w:p w14:paraId="392C6350" w14:textId="77777777" w:rsidR="00980E5F" w:rsidRDefault="00980E5F">
            <w:pPr>
              <w:rPr>
                <w:rFonts w:ascii="宋体"/>
                <w:vanish/>
              </w:rPr>
            </w:pPr>
          </w:p>
        </w:tc>
        <w:tc>
          <w:tcPr>
            <w:tcW w:w="0" w:type="auto"/>
            <w:gridSpan w:val="3"/>
            <w:shd w:val="clear" w:color="auto" w:fill="auto"/>
            <w:vAlign w:val="bottom"/>
          </w:tcPr>
          <w:p w14:paraId="392C6351" w14:textId="77777777" w:rsidR="00980E5F" w:rsidRDefault="00980E5F">
            <w:pPr>
              <w:rPr>
                <w:rFonts w:ascii="宋体"/>
                <w:vanish/>
              </w:rPr>
            </w:pPr>
          </w:p>
        </w:tc>
        <w:tc>
          <w:tcPr>
            <w:tcW w:w="0" w:type="auto"/>
            <w:gridSpan w:val="3"/>
            <w:shd w:val="clear" w:color="auto" w:fill="auto"/>
            <w:vAlign w:val="bottom"/>
          </w:tcPr>
          <w:p w14:paraId="392C6352" w14:textId="77777777" w:rsidR="00980E5F" w:rsidRDefault="00980E5F">
            <w:pPr>
              <w:rPr>
                <w:rFonts w:ascii="宋体"/>
                <w:vanish/>
              </w:rPr>
            </w:pPr>
          </w:p>
        </w:tc>
        <w:tc>
          <w:tcPr>
            <w:tcW w:w="0" w:type="auto"/>
            <w:gridSpan w:val="3"/>
            <w:shd w:val="clear" w:color="auto" w:fill="auto"/>
            <w:vAlign w:val="bottom"/>
          </w:tcPr>
          <w:p w14:paraId="392C6353" w14:textId="77777777" w:rsidR="00980E5F" w:rsidRDefault="00980E5F">
            <w:pPr>
              <w:rPr>
                <w:rFonts w:ascii="宋体"/>
                <w:vanish/>
              </w:rPr>
            </w:pPr>
          </w:p>
        </w:tc>
        <w:tc>
          <w:tcPr>
            <w:tcW w:w="0" w:type="auto"/>
            <w:gridSpan w:val="3"/>
            <w:shd w:val="clear" w:color="auto" w:fill="auto"/>
            <w:vAlign w:val="bottom"/>
          </w:tcPr>
          <w:p w14:paraId="392C6354" w14:textId="77777777" w:rsidR="00980E5F" w:rsidRDefault="00980E5F">
            <w:pPr>
              <w:rPr>
                <w:rFonts w:ascii="宋体"/>
                <w:vanish/>
              </w:rPr>
            </w:pPr>
          </w:p>
        </w:tc>
        <w:tc>
          <w:tcPr>
            <w:tcW w:w="0" w:type="auto"/>
            <w:gridSpan w:val="3"/>
            <w:shd w:val="clear" w:color="auto" w:fill="auto"/>
            <w:vAlign w:val="bottom"/>
          </w:tcPr>
          <w:p w14:paraId="392C6355" w14:textId="77777777" w:rsidR="00980E5F" w:rsidRDefault="00980E5F">
            <w:pPr>
              <w:rPr>
                <w:rFonts w:ascii="宋体"/>
                <w:vanish/>
              </w:rPr>
            </w:pPr>
          </w:p>
        </w:tc>
      </w:tr>
      <w:tr w:rsidR="00980E5F" w14:paraId="392C6363" w14:textId="77777777">
        <w:trPr>
          <w:hidden/>
        </w:trPr>
        <w:tc>
          <w:tcPr>
            <w:tcW w:w="0" w:type="auto"/>
            <w:gridSpan w:val="3"/>
            <w:shd w:val="clear" w:color="auto" w:fill="auto"/>
            <w:vAlign w:val="bottom"/>
          </w:tcPr>
          <w:p w14:paraId="392C6357" w14:textId="77777777" w:rsidR="00980E5F" w:rsidRDefault="00980E5F">
            <w:pPr>
              <w:rPr>
                <w:rFonts w:ascii="宋体"/>
                <w:vanish/>
              </w:rPr>
            </w:pPr>
          </w:p>
        </w:tc>
        <w:tc>
          <w:tcPr>
            <w:tcW w:w="0" w:type="auto"/>
            <w:gridSpan w:val="3"/>
            <w:shd w:val="clear" w:color="auto" w:fill="auto"/>
            <w:vAlign w:val="bottom"/>
          </w:tcPr>
          <w:p w14:paraId="392C6358" w14:textId="77777777" w:rsidR="00980E5F" w:rsidRDefault="00980E5F">
            <w:pPr>
              <w:rPr>
                <w:rFonts w:ascii="宋体"/>
                <w:vanish/>
              </w:rPr>
            </w:pPr>
          </w:p>
        </w:tc>
        <w:tc>
          <w:tcPr>
            <w:tcW w:w="0" w:type="auto"/>
            <w:gridSpan w:val="3"/>
            <w:shd w:val="clear" w:color="auto" w:fill="auto"/>
            <w:vAlign w:val="bottom"/>
          </w:tcPr>
          <w:p w14:paraId="392C6359" w14:textId="77777777" w:rsidR="00980E5F" w:rsidRDefault="00980E5F">
            <w:pPr>
              <w:rPr>
                <w:rFonts w:ascii="宋体"/>
                <w:vanish/>
              </w:rPr>
            </w:pPr>
          </w:p>
        </w:tc>
        <w:tc>
          <w:tcPr>
            <w:tcW w:w="0" w:type="auto"/>
            <w:gridSpan w:val="3"/>
            <w:shd w:val="clear" w:color="auto" w:fill="auto"/>
            <w:vAlign w:val="bottom"/>
          </w:tcPr>
          <w:p w14:paraId="392C635A" w14:textId="77777777" w:rsidR="00980E5F" w:rsidRDefault="00980E5F">
            <w:pPr>
              <w:rPr>
                <w:rFonts w:ascii="宋体"/>
                <w:vanish/>
              </w:rPr>
            </w:pPr>
          </w:p>
        </w:tc>
        <w:tc>
          <w:tcPr>
            <w:tcW w:w="0" w:type="auto"/>
            <w:gridSpan w:val="3"/>
            <w:shd w:val="clear" w:color="auto" w:fill="auto"/>
            <w:vAlign w:val="bottom"/>
          </w:tcPr>
          <w:p w14:paraId="392C635B" w14:textId="77777777" w:rsidR="00980E5F" w:rsidRDefault="00980E5F">
            <w:pPr>
              <w:rPr>
                <w:rFonts w:ascii="宋体"/>
                <w:vanish/>
              </w:rPr>
            </w:pPr>
          </w:p>
        </w:tc>
        <w:tc>
          <w:tcPr>
            <w:tcW w:w="0" w:type="auto"/>
            <w:gridSpan w:val="3"/>
            <w:shd w:val="clear" w:color="auto" w:fill="auto"/>
            <w:vAlign w:val="bottom"/>
          </w:tcPr>
          <w:p w14:paraId="392C635C" w14:textId="77777777" w:rsidR="00980E5F" w:rsidRDefault="00980E5F">
            <w:pPr>
              <w:rPr>
                <w:rFonts w:ascii="宋体"/>
                <w:vanish/>
              </w:rPr>
            </w:pPr>
          </w:p>
        </w:tc>
        <w:tc>
          <w:tcPr>
            <w:tcW w:w="0" w:type="auto"/>
            <w:gridSpan w:val="3"/>
            <w:shd w:val="clear" w:color="auto" w:fill="auto"/>
            <w:vAlign w:val="bottom"/>
          </w:tcPr>
          <w:p w14:paraId="392C635D" w14:textId="77777777" w:rsidR="00980E5F" w:rsidRDefault="00980E5F">
            <w:pPr>
              <w:rPr>
                <w:rFonts w:ascii="宋体"/>
                <w:vanish/>
              </w:rPr>
            </w:pPr>
          </w:p>
        </w:tc>
        <w:tc>
          <w:tcPr>
            <w:tcW w:w="0" w:type="auto"/>
            <w:gridSpan w:val="3"/>
            <w:shd w:val="clear" w:color="auto" w:fill="auto"/>
            <w:vAlign w:val="bottom"/>
          </w:tcPr>
          <w:p w14:paraId="392C635E" w14:textId="77777777" w:rsidR="00980E5F" w:rsidRDefault="00980E5F">
            <w:pPr>
              <w:rPr>
                <w:rFonts w:ascii="宋体"/>
                <w:vanish/>
              </w:rPr>
            </w:pPr>
          </w:p>
        </w:tc>
        <w:tc>
          <w:tcPr>
            <w:tcW w:w="0" w:type="auto"/>
            <w:gridSpan w:val="3"/>
            <w:shd w:val="clear" w:color="auto" w:fill="auto"/>
            <w:vAlign w:val="bottom"/>
          </w:tcPr>
          <w:p w14:paraId="392C635F" w14:textId="77777777" w:rsidR="00980E5F" w:rsidRDefault="00980E5F">
            <w:pPr>
              <w:rPr>
                <w:rFonts w:ascii="宋体"/>
                <w:vanish/>
              </w:rPr>
            </w:pPr>
          </w:p>
        </w:tc>
        <w:tc>
          <w:tcPr>
            <w:tcW w:w="0" w:type="auto"/>
            <w:gridSpan w:val="3"/>
            <w:shd w:val="clear" w:color="auto" w:fill="auto"/>
            <w:vAlign w:val="bottom"/>
          </w:tcPr>
          <w:p w14:paraId="392C6360" w14:textId="77777777" w:rsidR="00980E5F" w:rsidRDefault="00980E5F">
            <w:pPr>
              <w:rPr>
                <w:rFonts w:ascii="宋体"/>
                <w:vanish/>
              </w:rPr>
            </w:pPr>
          </w:p>
        </w:tc>
        <w:tc>
          <w:tcPr>
            <w:tcW w:w="0" w:type="auto"/>
            <w:gridSpan w:val="3"/>
            <w:shd w:val="clear" w:color="auto" w:fill="auto"/>
            <w:vAlign w:val="bottom"/>
          </w:tcPr>
          <w:p w14:paraId="392C6361" w14:textId="77777777" w:rsidR="00980E5F" w:rsidRDefault="00980E5F">
            <w:pPr>
              <w:rPr>
                <w:rFonts w:ascii="宋体"/>
                <w:vanish/>
              </w:rPr>
            </w:pPr>
          </w:p>
        </w:tc>
        <w:tc>
          <w:tcPr>
            <w:tcW w:w="0" w:type="auto"/>
            <w:gridSpan w:val="3"/>
            <w:shd w:val="clear" w:color="auto" w:fill="auto"/>
            <w:vAlign w:val="bottom"/>
          </w:tcPr>
          <w:p w14:paraId="392C6362" w14:textId="77777777" w:rsidR="00980E5F" w:rsidRDefault="00980E5F">
            <w:pPr>
              <w:rPr>
                <w:rFonts w:ascii="宋体"/>
                <w:vanish/>
              </w:rPr>
            </w:pPr>
          </w:p>
        </w:tc>
      </w:tr>
      <w:tr w:rsidR="00980E5F" w14:paraId="392C6370" w14:textId="77777777">
        <w:trPr>
          <w:hidden/>
        </w:trPr>
        <w:tc>
          <w:tcPr>
            <w:tcW w:w="0" w:type="auto"/>
            <w:gridSpan w:val="3"/>
            <w:shd w:val="clear" w:color="auto" w:fill="auto"/>
            <w:vAlign w:val="bottom"/>
          </w:tcPr>
          <w:p w14:paraId="392C6364" w14:textId="77777777" w:rsidR="00980E5F" w:rsidRDefault="00980E5F">
            <w:pPr>
              <w:rPr>
                <w:rFonts w:ascii="宋体"/>
                <w:vanish/>
              </w:rPr>
            </w:pPr>
          </w:p>
        </w:tc>
        <w:tc>
          <w:tcPr>
            <w:tcW w:w="0" w:type="auto"/>
            <w:gridSpan w:val="3"/>
            <w:shd w:val="clear" w:color="auto" w:fill="auto"/>
            <w:vAlign w:val="bottom"/>
          </w:tcPr>
          <w:p w14:paraId="392C6365" w14:textId="77777777" w:rsidR="00980E5F" w:rsidRDefault="00980E5F">
            <w:pPr>
              <w:rPr>
                <w:rFonts w:ascii="宋体"/>
                <w:vanish/>
              </w:rPr>
            </w:pPr>
          </w:p>
        </w:tc>
        <w:tc>
          <w:tcPr>
            <w:tcW w:w="0" w:type="auto"/>
            <w:gridSpan w:val="3"/>
            <w:shd w:val="clear" w:color="auto" w:fill="auto"/>
            <w:vAlign w:val="bottom"/>
          </w:tcPr>
          <w:p w14:paraId="392C6366" w14:textId="77777777" w:rsidR="00980E5F" w:rsidRDefault="00980E5F">
            <w:pPr>
              <w:rPr>
                <w:rFonts w:ascii="宋体"/>
                <w:vanish/>
              </w:rPr>
            </w:pPr>
          </w:p>
        </w:tc>
        <w:tc>
          <w:tcPr>
            <w:tcW w:w="0" w:type="auto"/>
            <w:gridSpan w:val="3"/>
            <w:shd w:val="clear" w:color="auto" w:fill="auto"/>
            <w:vAlign w:val="bottom"/>
          </w:tcPr>
          <w:p w14:paraId="392C6367" w14:textId="77777777" w:rsidR="00980E5F" w:rsidRDefault="00980E5F">
            <w:pPr>
              <w:rPr>
                <w:rFonts w:ascii="宋体"/>
                <w:vanish/>
              </w:rPr>
            </w:pPr>
          </w:p>
        </w:tc>
        <w:tc>
          <w:tcPr>
            <w:tcW w:w="0" w:type="auto"/>
            <w:gridSpan w:val="3"/>
            <w:shd w:val="clear" w:color="auto" w:fill="auto"/>
            <w:vAlign w:val="bottom"/>
          </w:tcPr>
          <w:p w14:paraId="392C6368" w14:textId="77777777" w:rsidR="00980E5F" w:rsidRDefault="00980E5F">
            <w:pPr>
              <w:rPr>
                <w:rFonts w:ascii="宋体"/>
                <w:vanish/>
              </w:rPr>
            </w:pPr>
          </w:p>
        </w:tc>
        <w:tc>
          <w:tcPr>
            <w:tcW w:w="0" w:type="auto"/>
            <w:gridSpan w:val="3"/>
            <w:shd w:val="clear" w:color="auto" w:fill="auto"/>
            <w:vAlign w:val="bottom"/>
          </w:tcPr>
          <w:p w14:paraId="392C6369" w14:textId="77777777" w:rsidR="00980E5F" w:rsidRDefault="00980E5F">
            <w:pPr>
              <w:rPr>
                <w:rFonts w:ascii="宋体"/>
                <w:vanish/>
              </w:rPr>
            </w:pPr>
          </w:p>
        </w:tc>
        <w:tc>
          <w:tcPr>
            <w:tcW w:w="0" w:type="auto"/>
            <w:gridSpan w:val="3"/>
            <w:shd w:val="clear" w:color="auto" w:fill="auto"/>
            <w:vAlign w:val="bottom"/>
          </w:tcPr>
          <w:p w14:paraId="392C636A" w14:textId="77777777" w:rsidR="00980E5F" w:rsidRDefault="00980E5F">
            <w:pPr>
              <w:rPr>
                <w:rFonts w:ascii="宋体"/>
                <w:vanish/>
              </w:rPr>
            </w:pPr>
          </w:p>
        </w:tc>
        <w:tc>
          <w:tcPr>
            <w:tcW w:w="0" w:type="auto"/>
            <w:gridSpan w:val="3"/>
            <w:shd w:val="clear" w:color="auto" w:fill="auto"/>
            <w:vAlign w:val="bottom"/>
          </w:tcPr>
          <w:p w14:paraId="392C636B" w14:textId="77777777" w:rsidR="00980E5F" w:rsidRDefault="00980E5F">
            <w:pPr>
              <w:rPr>
                <w:rFonts w:ascii="宋体"/>
                <w:vanish/>
              </w:rPr>
            </w:pPr>
          </w:p>
        </w:tc>
        <w:tc>
          <w:tcPr>
            <w:tcW w:w="0" w:type="auto"/>
            <w:gridSpan w:val="3"/>
            <w:shd w:val="clear" w:color="auto" w:fill="auto"/>
            <w:vAlign w:val="bottom"/>
          </w:tcPr>
          <w:p w14:paraId="392C636C" w14:textId="77777777" w:rsidR="00980E5F" w:rsidRDefault="00980E5F">
            <w:pPr>
              <w:rPr>
                <w:rFonts w:ascii="宋体"/>
                <w:vanish/>
              </w:rPr>
            </w:pPr>
          </w:p>
        </w:tc>
        <w:tc>
          <w:tcPr>
            <w:tcW w:w="0" w:type="auto"/>
            <w:gridSpan w:val="3"/>
            <w:shd w:val="clear" w:color="auto" w:fill="auto"/>
            <w:vAlign w:val="bottom"/>
          </w:tcPr>
          <w:p w14:paraId="392C636D" w14:textId="77777777" w:rsidR="00980E5F" w:rsidRDefault="00980E5F">
            <w:pPr>
              <w:rPr>
                <w:rFonts w:ascii="宋体"/>
                <w:vanish/>
              </w:rPr>
            </w:pPr>
          </w:p>
        </w:tc>
        <w:tc>
          <w:tcPr>
            <w:tcW w:w="0" w:type="auto"/>
            <w:gridSpan w:val="3"/>
            <w:shd w:val="clear" w:color="auto" w:fill="auto"/>
            <w:vAlign w:val="bottom"/>
          </w:tcPr>
          <w:p w14:paraId="392C636E" w14:textId="77777777" w:rsidR="00980E5F" w:rsidRDefault="00980E5F">
            <w:pPr>
              <w:rPr>
                <w:rFonts w:ascii="宋体"/>
                <w:vanish/>
              </w:rPr>
            </w:pPr>
          </w:p>
        </w:tc>
        <w:tc>
          <w:tcPr>
            <w:tcW w:w="0" w:type="auto"/>
            <w:gridSpan w:val="3"/>
            <w:shd w:val="clear" w:color="auto" w:fill="auto"/>
            <w:vAlign w:val="bottom"/>
          </w:tcPr>
          <w:p w14:paraId="392C636F" w14:textId="77777777" w:rsidR="00980E5F" w:rsidRDefault="00980E5F">
            <w:pPr>
              <w:rPr>
                <w:rFonts w:ascii="宋体"/>
                <w:vanish/>
              </w:rPr>
            </w:pPr>
          </w:p>
        </w:tc>
      </w:tr>
      <w:tr w:rsidR="00980E5F" w14:paraId="392C637D" w14:textId="77777777">
        <w:trPr>
          <w:hidden/>
        </w:trPr>
        <w:tc>
          <w:tcPr>
            <w:tcW w:w="0" w:type="auto"/>
            <w:gridSpan w:val="3"/>
            <w:shd w:val="clear" w:color="auto" w:fill="auto"/>
            <w:vAlign w:val="bottom"/>
          </w:tcPr>
          <w:p w14:paraId="392C6371" w14:textId="77777777" w:rsidR="00980E5F" w:rsidRDefault="00980E5F">
            <w:pPr>
              <w:rPr>
                <w:rFonts w:ascii="宋体"/>
                <w:vanish/>
              </w:rPr>
            </w:pPr>
          </w:p>
        </w:tc>
        <w:tc>
          <w:tcPr>
            <w:tcW w:w="0" w:type="auto"/>
            <w:gridSpan w:val="3"/>
            <w:shd w:val="clear" w:color="auto" w:fill="auto"/>
            <w:vAlign w:val="bottom"/>
          </w:tcPr>
          <w:p w14:paraId="392C6372" w14:textId="77777777" w:rsidR="00980E5F" w:rsidRDefault="00980E5F">
            <w:pPr>
              <w:rPr>
                <w:rFonts w:ascii="宋体"/>
                <w:vanish/>
              </w:rPr>
            </w:pPr>
          </w:p>
        </w:tc>
        <w:tc>
          <w:tcPr>
            <w:tcW w:w="0" w:type="auto"/>
            <w:gridSpan w:val="3"/>
            <w:shd w:val="clear" w:color="auto" w:fill="auto"/>
            <w:vAlign w:val="bottom"/>
          </w:tcPr>
          <w:p w14:paraId="392C6373" w14:textId="77777777" w:rsidR="00980E5F" w:rsidRDefault="00980E5F">
            <w:pPr>
              <w:rPr>
                <w:rFonts w:ascii="宋体"/>
                <w:vanish/>
              </w:rPr>
            </w:pPr>
          </w:p>
        </w:tc>
        <w:tc>
          <w:tcPr>
            <w:tcW w:w="0" w:type="auto"/>
            <w:gridSpan w:val="3"/>
            <w:shd w:val="clear" w:color="auto" w:fill="auto"/>
            <w:vAlign w:val="bottom"/>
          </w:tcPr>
          <w:p w14:paraId="392C6374" w14:textId="77777777" w:rsidR="00980E5F" w:rsidRDefault="00980E5F">
            <w:pPr>
              <w:rPr>
                <w:rFonts w:ascii="宋体"/>
                <w:vanish/>
              </w:rPr>
            </w:pPr>
          </w:p>
        </w:tc>
        <w:tc>
          <w:tcPr>
            <w:tcW w:w="0" w:type="auto"/>
            <w:gridSpan w:val="3"/>
            <w:shd w:val="clear" w:color="auto" w:fill="auto"/>
            <w:vAlign w:val="bottom"/>
          </w:tcPr>
          <w:p w14:paraId="392C6375" w14:textId="77777777" w:rsidR="00980E5F" w:rsidRDefault="00980E5F">
            <w:pPr>
              <w:rPr>
                <w:rFonts w:ascii="宋体"/>
                <w:vanish/>
              </w:rPr>
            </w:pPr>
          </w:p>
        </w:tc>
        <w:tc>
          <w:tcPr>
            <w:tcW w:w="0" w:type="auto"/>
            <w:gridSpan w:val="3"/>
            <w:shd w:val="clear" w:color="auto" w:fill="auto"/>
            <w:vAlign w:val="bottom"/>
          </w:tcPr>
          <w:p w14:paraId="392C6376" w14:textId="77777777" w:rsidR="00980E5F" w:rsidRDefault="00980E5F">
            <w:pPr>
              <w:rPr>
                <w:rFonts w:ascii="宋体"/>
                <w:vanish/>
              </w:rPr>
            </w:pPr>
          </w:p>
        </w:tc>
        <w:tc>
          <w:tcPr>
            <w:tcW w:w="0" w:type="auto"/>
            <w:gridSpan w:val="3"/>
            <w:shd w:val="clear" w:color="auto" w:fill="auto"/>
            <w:vAlign w:val="bottom"/>
          </w:tcPr>
          <w:p w14:paraId="392C6377" w14:textId="77777777" w:rsidR="00980E5F" w:rsidRDefault="00980E5F">
            <w:pPr>
              <w:rPr>
                <w:rFonts w:ascii="宋体"/>
                <w:vanish/>
              </w:rPr>
            </w:pPr>
          </w:p>
        </w:tc>
        <w:tc>
          <w:tcPr>
            <w:tcW w:w="0" w:type="auto"/>
            <w:gridSpan w:val="3"/>
            <w:shd w:val="clear" w:color="auto" w:fill="auto"/>
            <w:vAlign w:val="bottom"/>
          </w:tcPr>
          <w:p w14:paraId="392C6378" w14:textId="77777777" w:rsidR="00980E5F" w:rsidRDefault="00980E5F">
            <w:pPr>
              <w:rPr>
                <w:rFonts w:ascii="宋体"/>
                <w:vanish/>
              </w:rPr>
            </w:pPr>
          </w:p>
        </w:tc>
        <w:tc>
          <w:tcPr>
            <w:tcW w:w="0" w:type="auto"/>
            <w:gridSpan w:val="3"/>
            <w:shd w:val="clear" w:color="auto" w:fill="auto"/>
            <w:vAlign w:val="bottom"/>
          </w:tcPr>
          <w:p w14:paraId="392C6379" w14:textId="77777777" w:rsidR="00980E5F" w:rsidRDefault="00980E5F">
            <w:pPr>
              <w:rPr>
                <w:rFonts w:ascii="宋体"/>
                <w:vanish/>
              </w:rPr>
            </w:pPr>
          </w:p>
        </w:tc>
        <w:tc>
          <w:tcPr>
            <w:tcW w:w="0" w:type="auto"/>
            <w:gridSpan w:val="3"/>
            <w:shd w:val="clear" w:color="auto" w:fill="auto"/>
            <w:vAlign w:val="bottom"/>
          </w:tcPr>
          <w:p w14:paraId="392C637A" w14:textId="77777777" w:rsidR="00980E5F" w:rsidRDefault="00980E5F">
            <w:pPr>
              <w:rPr>
                <w:rFonts w:ascii="宋体"/>
                <w:vanish/>
              </w:rPr>
            </w:pPr>
          </w:p>
        </w:tc>
        <w:tc>
          <w:tcPr>
            <w:tcW w:w="0" w:type="auto"/>
            <w:gridSpan w:val="3"/>
            <w:shd w:val="clear" w:color="auto" w:fill="auto"/>
            <w:vAlign w:val="bottom"/>
          </w:tcPr>
          <w:p w14:paraId="392C637B" w14:textId="77777777" w:rsidR="00980E5F" w:rsidRDefault="00980E5F">
            <w:pPr>
              <w:rPr>
                <w:rFonts w:ascii="宋体"/>
                <w:vanish/>
              </w:rPr>
            </w:pPr>
          </w:p>
        </w:tc>
        <w:tc>
          <w:tcPr>
            <w:tcW w:w="0" w:type="auto"/>
            <w:gridSpan w:val="3"/>
            <w:shd w:val="clear" w:color="auto" w:fill="auto"/>
            <w:vAlign w:val="bottom"/>
          </w:tcPr>
          <w:p w14:paraId="392C637C" w14:textId="77777777" w:rsidR="00980E5F" w:rsidRDefault="00980E5F">
            <w:pPr>
              <w:rPr>
                <w:rFonts w:ascii="宋体"/>
                <w:vanish/>
              </w:rPr>
            </w:pPr>
          </w:p>
        </w:tc>
      </w:tr>
      <w:tr w:rsidR="00980E5F" w14:paraId="392C638A" w14:textId="77777777">
        <w:trPr>
          <w:hidden/>
        </w:trPr>
        <w:tc>
          <w:tcPr>
            <w:tcW w:w="0" w:type="auto"/>
            <w:gridSpan w:val="3"/>
            <w:shd w:val="clear" w:color="auto" w:fill="auto"/>
            <w:vAlign w:val="bottom"/>
          </w:tcPr>
          <w:p w14:paraId="392C637E" w14:textId="77777777" w:rsidR="00980E5F" w:rsidRDefault="00980E5F">
            <w:pPr>
              <w:rPr>
                <w:rFonts w:ascii="宋体"/>
                <w:vanish/>
              </w:rPr>
            </w:pPr>
          </w:p>
        </w:tc>
        <w:tc>
          <w:tcPr>
            <w:tcW w:w="0" w:type="auto"/>
            <w:gridSpan w:val="3"/>
            <w:shd w:val="clear" w:color="auto" w:fill="auto"/>
            <w:vAlign w:val="bottom"/>
          </w:tcPr>
          <w:p w14:paraId="392C637F" w14:textId="77777777" w:rsidR="00980E5F" w:rsidRDefault="00980E5F">
            <w:pPr>
              <w:rPr>
                <w:rFonts w:ascii="宋体"/>
                <w:vanish/>
              </w:rPr>
            </w:pPr>
          </w:p>
        </w:tc>
        <w:tc>
          <w:tcPr>
            <w:tcW w:w="0" w:type="auto"/>
            <w:gridSpan w:val="3"/>
            <w:shd w:val="clear" w:color="auto" w:fill="auto"/>
            <w:vAlign w:val="bottom"/>
          </w:tcPr>
          <w:p w14:paraId="392C6380" w14:textId="77777777" w:rsidR="00980E5F" w:rsidRDefault="00980E5F">
            <w:pPr>
              <w:rPr>
                <w:rFonts w:ascii="宋体"/>
                <w:vanish/>
              </w:rPr>
            </w:pPr>
          </w:p>
        </w:tc>
        <w:tc>
          <w:tcPr>
            <w:tcW w:w="0" w:type="auto"/>
            <w:gridSpan w:val="3"/>
            <w:shd w:val="clear" w:color="auto" w:fill="auto"/>
            <w:vAlign w:val="bottom"/>
          </w:tcPr>
          <w:p w14:paraId="392C6381" w14:textId="77777777" w:rsidR="00980E5F" w:rsidRDefault="00980E5F">
            <w:pPr>
              <w:rPr>
                <w:rFonts w:ascii="宋体"/>
                <w:vanish/>
              </w:rPr>
            </w:pPr>
          </w:p>
        </w:tc>
        <w:tc>
          <w:tcPr>
            <w:tcW w:w="0" w:type="auto"/>
            <w:gridSpan w:val="3"/>
            <w:shd w:val="clear" w:color="auto" w:fill="auto"/>
            <w:vAlign w:val="bottom"/>
          </w:tcPr>
          <w:p w14:paraId="392C6382" w14:textId="77777777" w:rsidR="00980E5F" w:rsidRDefault="00980E5F">
            <w:pPr>
              <w:rPr>
                <w:rFonts w:ascii="宋体"/>
                <w:vanish/>
              </w:rPr>
            </w:pPr>
          </w:p>
        </w:tc>
        <w:tc>
          <w:tcPr>
            <w:tcW w:w="0" w:type="auto"/>
            <w:gridSpan w:val="3"/>
            <w:shd w:val="clear" w:color="auto" w:fill="auto"/>
            <w:vAlign w:val="bottom"/>
          </w:tcPr>
          <w:p w14:paraId="392C6383" w14:textId="77777777" w:rsidR="00980E5F" w:rsidRDefault="00980E5F">
            <w:pPr>
              <w:rPr>
                <w:rFonts w:ascii="宋体"/>
                <w:vanish/>
              </w:rPr>
            </w:pPr>
          </w:p>
        </w:tc>
        <w:tc>
          <w:tcPr>
            <w:tcW w:w="0" w:type="auto"/>
            <w:gridSpan w:val="3"/>
            <w:shd w:val="clear" w:color="auto" w:fill="auto"/>
            <w:vAlign w:val="bottom"/>
          </w:tcPr>
          <w:p w14:paraId="392C6384" w14:textId="77777777" w:rsidR="00980E5F" w:rsidRDefault="00980E5F">
            <w:pPr>
              <w:rPr>
                <w:rFonts w:ascii="宋体"/>
                <w:vanish/>
              </w:rPr>
            </w:pPr>
          </w:p>
        </w:tc>
        <w:tc>
          <w:tcPr>
            <w:tcW w:w="0" w:type="auto"/>
            <w:gridSpan w:val="3"/>
            <w:shd w:val="clear" w:color="auto" w:fill="auto"/>
            <w:vAlign w:val="bottom"/>
          </w:tcPr>
          <w:p w14:paraId="392C6385" w14:textId="77777777" w:rsidR="00980E5F" w:rsidRDefault="00980E5F">
            <w:pPr>
              <w:rPr>
                <w:rFonts w:ascii="宋体"/>
                <w:vanish/>
              </w:rPr>
            </w:pPr>
          </w:p>
        </w:tc>
        <w:tc>
          <w:tcPr>
            <w:tcW w:w="0" w:type="auto"/>
            <w:gridSpan w:val="3"/>
            <w:shd w:val="clear" w:color="auto" w:fill="auto"/>
            <w:vAlign w:val="bottom"/>
          </w:tcPr>
          <w:p w14:paraId="392C6386" w14:textId="77777777" w:rsidR="00980E5F" w:rsidRDefault="00980E5F">
            <w:pPr>
              <w:rPr>
                <w:rFonts w:ascii="宋体"/>
                <w:vanish/>
              </w:rPr>
            </w:pPr>
          </w:p>
        </w:tc>
        <w:tc>
          <w:tcPr>
            <w:tcW w:w="0" w:type="auto"/>
            <w:gridSpan w:val="3"/>
            <w:shd w:val="clear" w:color="auto" w:fill="auto"/>
            <w:vAlign w:val="bottom"/>
          </w:tcPr>
          <w:p w14:paraId="392C6387" w14:textId="77777777" w:rsidR="00980E5F" w:rsidRDefault="00980E5F">
            <w:pPr>
              <w:rPr>
                <w:rFonts w:ascii="宋体"/>
                <w:vanish/>
              </w:rPr>
            </w:pPr>
          </w:p>
        </w:tc>
        <w:tc>
          <w:tcPr>
            <w:tcW w:w="0" w:type="auto"/>
            <w:gridSpan w:val="3"/>
            <w:shd w:val="clear" w:color="auto" w:fill="auto"/>
            <w:vAlign w:val="bottom"/>
          </w:tcPr>
          <w:p w14:paraId="392C6388" w14:textId="77777777" w:rsidR="00980E5F" w:rsidRDefault="00980E5F">
            <w:pPr>
              <w:rPr>
                <w:rFonts w:ascii="宋体"/>
                <w:vanish/>
              </w:rPr>
            </w:pPr>
          </w:p>
        </w:tc>
        <w:tc>
          <w:tcPr>
            <w:tcW w:w="0" w:type="auto"/>
            <w:gridSpan w:val="3"/>
            <w:shd w:val="clear" w:color="auto" w:fill="auto"/>
            <w:vAlign w:val="bottom"/>
          </w:tcPr>
          <w:p w14:paraId="392C6389" w14:textId="77777777" w:rsidR="00980E5F" w:rsidRDefault="00980E5F">
            <w:pPr>
              <w:rPr>
                <w:rFonts w:ascii="宋体"/>
                <w:vanish/>
              </w:rPr>
            </w:pPr>
          </w:p>
        </w:tc>
      </w:tr>
      <w:tr w:rsidR="00980E5F" w14:paraId="392C6397" w14:textId="77777777">
        <w:trPr>
          <w:hidden/>
        </w:trPr>
        <w:tc>
          <w:tcPr>
            <w:tcW w:w="0" w:type="auto"/>
            <w:gridSpan w:val="3"/>
            <w:shd w:val="clear" w:color="auto" w:fill="auto"/>
            <w:vAlign w:val="bottom"/>
          </w:tcPr>
          <w:p w14:paraId="392C638B" w14:textId="77777777" w:rsidR="00980E5F" w:rsidRDefault="00980E5F">
            <w:pPr>
              <w:rPr>
                <w:rFonts w:ascii="宋体"/>
                <w:vanish/>
              </w:rPr>
            </w:pPr>
          </w:p>
        </w:tc>
        <w:tc>
          <w:tcPr>
            <w:tcW w:w="0" w:type="auto"/>
            <w:gridSpan w:val="3"/>
            <w:shd w:val="clear" w:color="auto" w:fill="auto"/>
            <w:vAlign w:val="bottom"/>
          </w:tcPr>
          <w:p w14:paraId="392C638C" w14:textId="77777777" w:rsidR="00980E5F" w:rsidRDefault="00980E5F">
            <w:pPr>
              <w:rPr>
                <w:rFonts w:ascii="宋体"/>
                <w:vanish/>
              </w:rPr>
            </w:pPr>
          </w:p>
        </w:tc>
        <w:tc>
          <w:tcPr>
            <w:tcW w:w="0" w:type="auto"/>
            <w:gridSpan w:val="3"/>
            <w:shd w:val="clear" w:color="auto" w:fill="auto"/>
            <w:vAlign w:val="bottom"/>
          </w:tcPr>
          <w:p w14:paraId="392C638D" w14:textId="77777777" w:rsidR="00980E5F" w:rsidRDefault="00980E5F">
            <w:pPr>
              <w:rPr>
                <w:rFonts w:ascii="宋体"/>
                <w:vanish/>
              </w:rPr>
            </w:pPr>
          </w:p>
        </w:tc>
        <w:tc>
          <w:tcPr>
            <w:tcW w:w="0" w:type="auto"/>
            <w:gridSpan w:val="3"/>
            <w:shd w:val="clear" w:color="auto" w:fill="auto"/>
            <w:vAlign w:val="bottom"/>
          </w:tcPr>
          <w:p w14:paraId="392C638E" w14:textId="77777777" w:rsidR="00980E5F" w:rsidRDefault="00980E5F">
            <w:pPr>
              <w:rPr>
                <w:rFonts w:ascii="宋体"/>
                <w:vanish/>
              </w:rPr>
            </w:pPr>
          </w:p>
        </w:tc>
        <w:tc>
          <w:tcPr>
            <w:tcW w:w="0" w:type="auto"/>
            <w:gridSpan w:val="3"/>
            <w:shd w:val="clear" w:color="auto" w:fill="auto"/>
            <w:vAlign w:val="bottom"/>
          </w:tcPr>
          <w:p w14:paraId="392C638F" w14:textId="77777777" w:rsidR="00980E5F" w:rsidRDefault="00980E5F">
            <w:pPr>
              <w:rPr>
                <w:rFonts w:ascii="宋体"/>
                <w:vanish/>
              </w:rPr>
            </w:pPr>
          </w:p>
        </w:tc>
        <w:tc>
          <w:tcPr>
            <w:tcW w:w="0" w:type="auto"/>
            <w:gridSpan w:val="3"/>
            <w:shd w:val="clear" w:color="auto" w:fill="auto"/>
            <w:vAlign w:val="bottom"/>
          </w:tcPr>
          <w:p w14:paraId="392C6390" w14:textId="77777777" w:rsidR="00980E5F" w:rsidRDefault="00980E5F">
            <w:pPr>
              <w:rPr>
                <w:rFonts w:ascii="宋体"/>
                <w:vanish/>
              </w:rPr>
            </w:pPr>
          </w:p>
        </w:tc>
        <w:tc>
          <w:tcPr>
            <w:tcW w:w="0" w:type="auto"/>
            <w:gridSpan w:val="3"/>
            <w:shd w:val="clear" w:color="auto" w:fill="auto"/>
            <w:vAlign w:val="bottom"/>
          </w:tcPr>
          <w:p w14:paraId="392C6391" w14:textId="77777777" w:rsidR="00980E5F" w:rsidRDefault="00980E5F">
            <w:pPr>
              <w:rPr>
                <w:rFonts w:ascii="宋体"/>
                <w:vanish/>
              </w:rPr>
            </w:pPr>
          </w:p>
        </w:tc>
        <w:tc>
          <w:tcPr>
            <w:tcW w:w="0" w:type="auto"/>
            <w:gridSpan w:val="3"/>
            <w:shd w:val="clear" w:color="auto" w:fill="auto"/>
            <w:vAlign w:val="bottom"/>
          </w:tcPr>
          <w:p w14:paraId="392C6392" w14:textId="77777777" w:rsidR="00980E5F" w:rsidRDefault="00980E5F">
            <w:pPr>
              <w:rPr>
                <w:rFonts w:ascii="宋体"/>
                <w:vanish/>
              </w:rPr>
            </w:pPr>
          </w:p>
        </w:tc>
        <w:tc>
          <w:tcPr>
            <w:tcW w:w="0" w:type="auto"/>
            <w:gridSpan w:val="3"/>
            <w:shd w:val="clear" w:color="auto" w:fill="auto"/>
            <w:vAlign w:val="bottom"/>
          </w:tcPr>
          <w:p w14:paraId="392C6393" w14:textId="77777777" w:rsidR="00980E5F" w:rsidRDefault="00980E5F">
            <w:pPr>
              <w:rPr>
                <w:rFonts w:ascii="宋体"/>
                <w:vanish/>
              </w:rPr>
            </w:pPr>
          </w:p>
        </w:tc>
        <w:tc>
          <w:tcPr>
            <w:tcW w:w="0" w:type="auto"/>
            <w:gridSpan w:val="3"/>
            <w:shd w:val="clear" w:color="auto" w:fill="auto"/>
            <w:vAlign w:val="bottom"/>
          </w:tcPr>
          <w:p w14:paraId="392C6394" w14:textId="77777777" w:rsidR="00980E5F" w:rsidRDefault="00980E5F">
            <w:pPr>
              <w:rPr>
                <w:rFonts w:ascii="宋体"/>
                <w:vanish/>
              </w:rPr>
            </w:pPr>
          </w:p>
        </w:tc>
        <w:tc>
          <w:tcPr>
            <w:tcW w:w="0" w:type="auto"/>
            <w:gridSpan w:val="3"/>
            <w:shd w:val="clear" w:color="auto" w:fill="auto"/>
            <w:vAlign w:val="bottom"/>
          </w:tcPr>
          <w:p w14:paraId="392C6395" w14:textId="77777777" w:rsidR="00980E5F" w:rsidRDefault="00980E5F">
            <w:pPr>
              <w:rPr>
                <w:rFonts w:ascii="宋体"/>
                <w:vanish/>
              </w:rPr>
            </w:pPr>
          </w:p>
        </w:tc>
        <w:tc>
          <w:tcPr>
            <w:tcW w:w="0" w:type="auto"/>
            <w:gridSpan w:val="3"/>
            <w:shd w:val="clear" w:color="auto" w:fill="auto"/>
            <w:vAlign w:val="bottom"/>
          </w:tcPr>
          <w:p w14:paraId="392C6396" w14:textId="77777777" w:rsidR="00980E5F" w:rsidRDefault="00980E5F">
            <w:pPr>
              <w:rPr>
                <w:rFonts w:ascii="宋体"/>
                <w:vanish/>
              </w:rPr>
            </w:pPr>
          </w:p>
        </w:tc>
      </w:tr>
      <w:tr w:rsidR="00980E5F" w14:paraId="392C63AA" w14:textId="77777777">
        <w:tc>
          <w:tcPr>
            <w:tcW w:w="0" w:type="auto"/>
            <w:gridSpan w:val="3"/>
            <w:shd w:val="clear" w:color="auto" w:fill="FFFFFF"/>
            <w:tcMar>
              <w:top w:w="40" w:type="dxa"/>
              <w:left w:w="20" w:type="dxa"/>
              <w:bottom w:w="40" w:type="dxa"/>
              <w:right w:w="20" w:type="dxa"/>
            </w:tcMar>
            <w:vAlign w:val="bottom"/>
          </w:tcPr>
          <w:p w14:paraId="392C6398" w14:textId="77777777" w:rsidR="00980E5F" w:rsidRDefault="00483613">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99" w14:textId="77777777" w:rsidR="00980E5F" w:rsidRDefault="00483613">
            <w:pPr>
              <w:jc w:val="right"/>
              <w:textAlignment w:val="bottom"/>
            </w:pPr>
            <w:r>
              <w:rPr>
                <w:rFonts w:ascii="Arial" w:eastAsia="宋体" w:hAnsi="Arial" w:cs="Arial"/>
                <w:b/>
                <w:bCs/>
                <w:color w:val="000000"/>
                <w:sz w:val="14"/>
                <w:szCs w:val="14"/>
              </w:rPr>
              <w:t>667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9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9C" w14:textId="77777777" w:rsidR="00980E5F" w:rsidRDefault="00483613">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9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9F" w14:textId="77777777" w:rsidR="00980E5F" w:rsidRDefault="00483613">
            <w:pPr>
              <w:jc w:val="right"/>
              <w:textAlignment w:val="bottom"/>
            </w:pPr>
            <w:r>
              <w:rPr>
                <w:rFonts w:ascii="Arial" w:eastAsia="宋体" w:hAnsi="Arial" w:cs="Arial"/>
                <w:b/>
                <w:bCs/>
                <w:color w:val="000000"/>
                <w:sz w:val="14"/>
                <w:szCs w:val="14"/>
              </w:rPr>
              <w:t>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A2" w14:textId="77777777" w:rsidR="00980E5F" w:rsidRDefault="00483613">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A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A5" w14:textId="77777777" w:rsidR="00980E5F" w:rsidRDefault="00483613">
            <w:pPr>
              <w:jc w:val="right"/>
              <w:textAlignment w:val="bottom"/>
            </w:pPr>
            <w:r>
              <w:rPr>
                <w:rFonts w:ascii="Arial" w:eastAsia="宋体" w:hAnsi="Arial" w:cs="Arial"/>
                <w:b/>
                <w:bCs/>
                <w:color w:val="000000"/>
                <w:sz w:val="14"/>
                <w:szCs w:val="14"/>
              </w:rPr>
              <w:t>710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A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3A8"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3A9" w14:textId="77777777" w:rsidR="00980E5F" w:rsidRDefault="00980E5F">
            <w:pPr>
              <w:jc w:val="right"/>
              <w:rPr>
                <w:rFonts w:ascii="宋体"/>
              </w:rPr>
            </w:pPr>
          </w:p>
        </w:tc>
      </w:tr>
      <w:tr w:rsidR="00980E5F" w14:paraId="392C63B7" w14:textId="77777777">
        <w:trPr>
          <w:hidden/>
        </w:trPr>
        <w:tc>
          <w:tcPr>
            <w:tcW w:w="0" w:type="auto"/>
            <w:gridSpan w:val="3"/>
            <w:shd w:val="clear" w:color="auto" w:fill="auto"/>
            <w:vAlign w:val="bottom"/>
          </w:tcPr>
          <w:p w14:paraId="392C63AB" w14:textId="77777777" w:rsidR="00980E5F" w:rsidRDefault="00980E5F">
            <w:pPr>
              <w:rPr>
                <w:rFonts w:ascii="宋体"/>
                <w:vanish/>
              </w:rPr>
            </w:pPr>
          </w:p>
        </w:tc>
        <w:tc>
          <w:tcPr>
            <w:tcW w:w="0" w:type="auto"/>
            <w:gridSpan w:val="3"/>
            <w:shd w:val="clear" w:color="auto" w:fill="auto"/>
            <w:vAlign w:val="bottom"/>
          </w:tcPr>
          <w:p w14:paraId="392C63AC" w14:textId="77777777" w:rsidR="00980E5F" w:rsidRDefault="00980E5F">
            <w:pPr>
              <w:rPr>
                <w:rFonts w:ascii="宋体"/>
                <w:vanish/>
              </w:rPr>
            </w:pPr>
          </w:p>
        </w:tc>
        <w:tc>
          <w:tcPr>
            <w:tcW w:w="0" w:type="auto"/>
            <w:gridSpan w:val="3"/>
            <w:shd w:val="clear" w:color="auto" w:fill="auto"/>
            <w:vAlign w:val="bottom"/>
          </w:tcPr>
          <w:p w14:paraId="392C63AD" w14:textId="77777777" w:rsidR="00980E5F" w:rsidRDefault="00980E5F">
            <w:pPr>
              <w:rPr>
                <w:rFonts w:ascii="宋体"/>
                <w:vanish/>
              </w:rPr>
            </w:pPr>
          </w:p>
        </w:tc>
        <w:tc>
          <w:tcPr>
            <w:tcW w:w="0" w:type="auto"/>
            <w:gridSpan w:val="3"/>
            <w:shd w:val="clear" w:color="auto" w:fill="auto"/>
            <w:vAlign w:val="bottom"/>
          </w:tcPr>
          <w:p w14:paraId="392C63AE" w14:textId="77777777" w:rsidR="00980E5F" w:rsidRDefault="00980E5F">
            <w:pPr>
              <w:rPr>
                <w:rFonts w:ascii="宋体"/>
                <w:vanish/>
              </w:rPr>
            </w:pPr>
          </w:p>
        </w:tc>
        <w:tc>
          <w:tcPr>
            <w:tcW w:w="0" w:type="auto"/>
            <w:gridSpan w:val="3"/>
            <w:shd w:val="clear" w:color="auto" w:fill="auto"/>
            <w:vAlign w:val="bottom"/>
          </w:tcPr>
          <w:p w14:paraId="392C63AF" w14:textId="77777777" w:rsidR="00980E5F" w:rsidRDefault="00980E5F">
            <w:pPr>
              <w:rPr>
                <w:rFonts w:ascii="宋体"/>
                <w:vanish/>
              </w:rPr>
            </w:pPr>
          </w:p>
        </w:tc>
        <w:tc>
          <w:tcPr>
            <w:tcW w:w="0" w:type="auto"/>
            <w:gridSpan w:val="3"/>
            <w:shd w:val="clear" w:color="auto" w:fill="auto"/>
            <w:vAlign w:val="bottom"/>
          </w:tcPr>
          <w:p w14:paraId="392C63B0" w14:textId="77777777" w:rsidR="00980E5F" w:rsidRDefault="00980E5F">
            <w:pPr>
              <w:rPr>
                <w:rFonts w:ascii="宋体"/>
                <w:vanish/>
              </w:rPr>
            </w:pPr>
          </w:p>
        </w:tc>
        <w:tc>
          <w:tcPr>
            <w:tcW w:w="0" w:type="auto"/>
            <w:gridSpan w:val="3"/>
            <w:shd w:val="clear" w:color="auto" w:fill="auto"/>
            <w:vAlign w:val="bottom"/>
          </w:tcPr>
          <w:p w14:paraId="392C63B1" w14:textId="77777777" w:rsidR="00980E5F" w:rsidRDefault="00980E5F">
            <w:pPr>
              <w:rPr>
                <w:rFonts w:ascii="宋体"/>
                <w:vanish/>
              </w:rPr>
            </w:pPr>
          </w:p>
        </w:tc>
        <w:tc>
          <w:tcPr>
            <w:tcW w:w="0" w:type="auto"/>
            <w:gridSpan w:val="3"/>
            <w:shd w:val="clear" w:color="auto" w:fill="auto"/>
            <w:vAlign w:val="bottom"/>
          </w:tcPr>
          <w:p w14:paraId="392C63B2" w14:textId="77777777" w:rsidR="00980E5F" w:rsidRDefault="00980E5F">
            <w:pPr>
              <w:rPr>
                <w:rFonts w:ascii="宋体"/>
                <w:vanish/>
              </w:rPr>
            </w:pPr>
          </w:p>
        </w:tc>
        <w:tc>
          <w:tcPr>
            <w:tcW w:w="0" w:type="auto"/>
            <w:gridSpan w:val="3"/>
            <w:shd w:val="clear" w:color="auto" w:fill="auto"/>
            <w:vAlign w:val="bottom"/>
          </w:tcPr>
          <w:p w14:paraId="392C63B3" w14:textId="77777777" w:rsidR="00980E5F" w:rsidRDefault="00980E5F">
            <w:pPr>
              <w:rPr>
                <w:rFonts w:ascii="宋体"/>
                <w:vanish/>
              </w:rPr>
            </w:pPr>
          </w:p>
        </w:tc>
        <w:tc>
          <w:tcPr>
            <w:tcW w:w="0" w:type="auto"/>
            <w:gridSpan w:val="3"/>
            <w:shd w:val="clear" w:color="auto" w:fill="auto"/>
            <w:vAlign w:val="bottom"/>
          </w:tcPr>
          <w:p w14:paraId="392C63B4" w14:textId="77777777" w:rsidR="00980E5F" w:rsidRDefault="00980E5F">
            <w:pPr>
              <w:rPr>
                <w:rFonts w:ascii="宋体"/>
                <w:vanish/>
              </w:rPr>
            </w:pPr>
          </w:p>
        </w:tc>
        <w:tc>
          <w:tcPr>
            <w:tcW w:w="0" w:type="auto"/>
            <w:gridSpan w:val="3"/>
            <w:shd w:val="clear" w:color="auto" w:fill="auto"/>
            <w:vAlign w:val="bottom"/>
          </w:tcPr>
          <w:p w14:paraId="392C63B5" w14:textId="77777777" w:rsidR="00980E5F" w:rsidRDefault="00980E5F">
            <w:pPr>
              <w:rPr>
                <w:rFonts w:ascii="宋体"/>
                <w:vanish/>
              </w:rPr>
            </w:pPr>
          </w:p>
        </w:tc>
        <w:tc>
          <w:tcPr>
            <w:tcW w:w="0" w:type="auto"/>
            <w:gridSpan w:val="3"/>
            <w:shd w:val="clear" w:color="auto" w:fill="auto"/>
            <w:vAlign w:val="bottom"/>
          </w:tcPr>
          <w:p w14:paraId="392C63B6" w14:textId="77777777" w:rsidR="00980E5F" w:rsidRDefault="00980E5F">
            <w:pPr>
              <w:rPr>
                <w:rFonts w:ascii="宋体"/>
                <w:vanish/>
              </w:rPr>
            </w:pPr>
          </w:p>
        </w:tc>
      </w:tr>
      <w:tr w:rsidR="00980E5F" w14:paraId="392C63CA" w14:textId="77777777">
        <w:tc>
          <w:tcPr>
            <w:tcW w:w="0" w:type="auto"/>
            <w:gridSpan w:val="3"/>
            <w:shd w:val="clear" w:color="auto" w:fill="CCEEFF"/>
            <w:tcMar>
              <w:top w:w="40" w:type="dxa"/>
              <w:left w:w="20" w:type="dxa"/>
              <w:bottom w:w="40" w:type="dxa"/>
              <w:right w:w="20" w:type="dxa"/>
            </w:tcMar>
            <w:vAlign w:val="bottom"/>
          </w:tcPr>
          <w:p w14:paraId="392C63B8" w14:textId="77777777" w:rsidR="00980E5F" w:rsidRDefault="00483613">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392C63B9" w14:textId="77777777" w:rsidR="00980E5F" w:rsidRDefault="00483613">
            <w:pPr>
              <w:jc w:val="right"/>
              <w:textAlignment w:val="bottom"/>
            </w:pPr>
            <w:r>
              <w:rPr>
                <w:rFonts w:ascii="Arial" w:eastAsia="宋体" w:hAnsi="Arial" w:cs="Arial"/>
                <w:b/>
                <w:bCs/>
                <w:color w:val="000000"/>
                <w:sz w:val="14"/>
                <w:szCs w:val="14"/>
              </w:rPr>
              <w:t>763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BC" w14:textId="77777777" w:rsidR="00980E5F" w:rsidRDefault="00483613">
            <w:pPr>
              <w:jc w:val="right"/>
              <w:textAlignment w:val="bottom"/>
            </w:pPr>
            <w:r>
              <w:rPr>
                <w:rFonts w:ascii="Arial" w:eastAsia="宋体" w:hAnsi="Arial" w:cs="Arial"/>
                <w:b/>
                <w:bCs/>
                <w:color w:val="000000"/>
                <w:sz w:val="14"/>
                <w:szCs w:val="14"/>
              </w:rPr>
              <w:t>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B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BF" w14:textId="77777777" w:rsidR="00980E5F" w:rsidRDefault="00483613">
            <w:pPr>
              <w:jc w:val="right"/>
              <w:textAlignment w:val="bottom"/>
            </w:pPr>
            <w:r>
              <w:rPr>
                <w:rFonts w:ascii="Arial" w:eastAsia="宋体" w:hAnsi="Arial" w:cs="Arial"/>
                <w:b/>
                <w:bCs/>
                <w:color w:val="000000"/>
                <w:sz w:val="14"/>
                <w:szCs w:val="14"/>
              </w:rPr>
              <w:t>238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C2" w14:textId="77777777" w:rsidR="00980E5F" w:rsidRDefault="00483613">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C5" w14:textId="77777777" w:rsidR="00980E5F" w:rsidRDefault="00483613">
            <w:pPr>
              <w:jc w:val="right"/>
              <w:textAlignment w:val="bottom"/>
            </w:pPr>
            <w:r>
              <w:rPr>
                <w:rFonts w:ascii="Arial" w:eastAsia="宋体" w:hAnsi="Arial" w:cs="Arial"/>
                <w:b/>
                <w:bCs/>
                <w:color w:val="000000"/>
                <w:sz w:val="14"/>
                <w:szCs w:val="14"/>
              </w:rPr>
              <w:t>1,001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3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3C8" w14:textId="77777777" w:rsidR="00980E5F" w:rsidRDefault="00483613">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3C9" w14:textId="77777777" w:rsidR="00980E5F" w:rsidRDefault="00980E5F">
            <w:pPr>
              <w:jc w:val="right"/>
              <w:rPr>
                <w:rFonts w:ascii="宋体"/>
              </w:rPr>
            </w:pPr>
          </w:p>
        </w:tc>
      </w:tr>
      <w:tr w:rsidR="00980E5F" w14:paraId="392C63D7" w14:textId="77777777">
        <w:trPr>
          <w:hidden/>
        </w:trPr>
        <w:tc>
          <w:tcPr>
            <w:tcW w:w="0" w:type="auto"/>
            <w:gridSpan w:val="3"/>
            <w:shd w:val="clear" w:color="auto" w:fill="auto"/>
            <w:vAlign w:val="bottom"/>
          </w:tcPr>
          <w:p w14:paraId="392C63CB" w14:textId="77777777" w:rsidR="00980E5F" w:rsidRDefault="00980E5F">
            <w:pPr>
              <w:rPr>
                <w:rFonts w:ascii="宋体"/>
                <w:vanish/>
              </w:rPr>
            </w:pPr>
          </w:p>
        </w:tc>
        <w:tc>
          <w:tcPr>
            <w:tcW w:w="0" w:type="auto"/>
            <w:gridSpan w:val="3"/>
            <w:shd w:val="clear" w:color="auto" w:fill="auto"/>
            <w:vAlign w:val="bottom"/>
          </w:tcPr>
          <w:p w14:paraId="392C63CC" w14:textId="77777777" w:rsidR="00980E5F" w:rsidRDefault="00980E5F">
            <w:pPr>
              <w:rPr>
                <w:rFonts w:ascii="宋体"/>
                <w:vanish/>
              </w:rPr>
            </w:pPr>
          </w:p>
        </w:tc>
        <w:tc>
          <w:tcPr>
            <w:tcW w:w="0" w:type="auto"/>
            <w:gridSpan w:val="3"/>
            <w:shd w:val="clear" w:color="auto" w:fill="auto"/>
            <w:vAlign w:val="bottom"/>
          </w:tcPr>
          <w:p w14:paraId="392C63CD" w14:textId="77777777" w:rsidR="00980E5F" w:rsidRDefault="00980E5F">
            <w:pPr>
              <w:rPr>
                <w:rFonts w:ascii="宋体"/>
                <w:vanish/>
              </w:rPr>
            </w:pPr>
          </w:p>
        </w:tc>
        <w:tc>
          <w:tcPr>
            <w:tcW w:w="0" w:type="auto"/>
            <w:gridSpan w:val="3"/>
            <w:shd w:val="clear" w:color="auto" w:fill="auto"/>
            <w:vAlign w:val="bottom"/>
          </w:tcPr>
          <w:p w14:paraId="392C63CE" w14:textId="77777777" w:rsidR="00980E5F" w:rsidRDefault="00980E5F">
            <w:pPr>
              <w:rPr>
                <w:rFonts w:ascii="宋体"/>
                <w:vanish/>
              </w:rPr>
            </w:pPr>
          </w:p>
        </w:tc>
        <w:tc>
          <w:tcPr>
            <w:tcW w:w="0" w:type="auto"/>
            <w:gridSpan w:val="3"/>
            <w:shd w:val="clear" w:color="auto" w:fill="auto"/>
            <w:vAlign w:val="bottom"/>
          </w:tcPr>
          <w:p w14:paraId="392C63CF" w14:textId="77777777" w:rsidR="00980E5F" w:rsidRDefault="00980E5F">
            <w:pPr>
              <w:rPr>
                <w:rFonts w:ascii="宋体"/>
                <w:vanish/>
              </w:rPr>
            </w:pPr>
          </w:p>
        </w:tc>
        <w:tc>
          <w:tcPr>
            <w:tcW w:w="0" w:type="auto"/>
            <w:gridSpan w:val="3"/>
            <w:shd w:val="clear" w:color="auto" w:fill="auto"/>
            <w:vAlign w:val="bottom"/>
          </w:tcPr>
          <w:p w14:paraId="392C63D0" w14:textId="77777777" w:rsidR="00980E5F" w:rsidRDefault="00980E5F">
            <w:pPr>
              <w:rPr>
                <w:rFonts w:ascii="宋体"/>
                <w:vanish/>
              </w:rPr>
            </w:pPr>
          </w:p>
        </w:tc>
        <w:tc>
          <w:tcPr>
            <w:tcW w:w="0" w:type="auto"/>
            <w:gridSpan w:val="3"/>
            <w:shd w:val="clear" w:color="auto" w:fill="auto"/>
            <w:vAlign w:val="bottom"/>
          </w:tcPr>
          <w:p w14:paraId="392C63D1" w14:textId="77777777" w:rsidR="00980E5F" w:rsidRDefault="00980E5F">
            <w:pPr>
              <w:rPr>
                <w:rFonts w:ascii="宋体"/>
                <w:vanish/>
              </w:rPr>
            </w:pPr>
          </w:p>
        </w:tc>
        <w:tc>
          <w:tcPr>
            <w:tcW w:w="0" w:type="auto"/>
            <w:gridSpan w:val="3"/>
            <w:shd w:val="clear" w:color="auto" w:fill="auto"/>
            <w:vAlign w:val="bottom"/>
          </w:tcPr>
          <w:p w14:paraId="392C63D2" w14:textId="77777777" w:rsidR="00980E5F" w:rsidRDefault="00980E5F">
            <w:pPr>
              <w:rPr>
                <w:rFonts w:ascii="宋体"/>
                <w:vanish/>
              </w:rPr>
            </w:pPr>
          </w:p>
        </w:tc>
        <w:tc>
          <w:tcPr>
            <w:tcW w:w="0" w:type="auto"/>
            <w:gridSpan w:val="3"/>
            <w:shd w:val="clear" w:color="auto" w:fill="auto"/>
            <w:vAlign w:val="bottom"/>
          </w:tcPr>
          <w:p w14:paraId="392C63D3" w14:textId="77777777" w:rsidR="00980E5F" w:rsidRDefault="00980E5F">
            <w:pPr>
              <w:rPr>
                <w:rFonts w:ascii="宋体"/>
                <w:vanish/>
              </w:rPr>
            </w:pPr>
          </w:p>
        </w:tc>
        <w:tc>
          <w:tcPr>
            <w:tcW w:w="0" w:type="auto"/>
            <w:gridSpan w:val="3"/>
            <w:shd w:val="clear" w:color="auto" w:fill="auto"/>
            <w:vAlign w:val="bottom"/>
          </w:tcPr>
          <w:p w14:paraId="392C63D4" w14:textId="77777777" w:rsidR="00980E5F" w:rsidRDefault="00980E5F">
            <w:pPr>
              <w:rPr>
                <w:rFonts w:ascii="宋体"/>
                <w:vanish/>
              </w:rPr>
            </w:pPr>
          </w:p>
        </w:tc>
        <w:tc>
          <w:tcPr>
            <w:tcW w:w="0" w:type="auto"/>
            <w:gridSpan w:val="3"/>
            <w:shd w:val="clear" w:color="auto" w:fill="auto"/>
            <w:vAlign w:val="bottom"/>
          </w:tcPr>
          <w:p w14:paraId="392C63D5" w14:textId="77777777" w:rsidR="00980E5F" w:rsidRDefault="00980E5F">
            <w:pPr>
              <w:rPr>
                <w:rFonts w:ascii="宋体"/>
                <w:vanish/>
              </w:rPr>
            </w:pPr>
          </w:p>
        </w:tc>
        <w:tc>
          <w:tcPr>
            <w:tcW w:w="0" w:type="auto"/>
            <w:gridSpan w:val="3"/>
            <w:shd w:val="clear" w:color="auto" w:fill="auto"/>
            <w:vAlign w:val="bottom"/>
          </w:tcPr>
          <w:p w14:paraId="392C63D6" w14:textId="77777777" w:rsidR="00980E5F" w:rsidRDefault="00980E5F">
            <w:pPr>
              <w:rPr>
                <w:rFonts w:ascii="宋体"/>
                <w:vanish/>
              </w:rPr>
            </w:pPr>
          </w:p>
        </w:tc>
      </w:tr>
      <w:tr w:rsidR="00980E5F" w14:paraId="392C63E4" w14:textId="77777777">
        <w:trPr>
          <w:hidden/>
        </w:trPr>
        <w:tc>
          <w:tcPr>
            <w:tcW w:w="0" w:type="auto"/>
            <w:gridSpan w:val="3"/>
            <w:shd w:val="clear" w:color="auto" w:fill="auto"/>
            <w:vAlign w:val="bottom"/>
          </w:tcPr>
          <w:p w14:paraId="392C63D8" w14:textId="77777777" w:rsidR="00980E5F" w:rsidRDefault="00980E5F">
            <w:pPr>
              <w:rPr>
                <w:rFonts w:ascii="宋体"/>
                <w:vanish/>
              </w:rPr>
            </w:pPr>
          </w:p>
        </w:tc>
        <w:tc>
          <w:tcPr>
            <w:tcW w:w="0" w:type="auto"/>
            <w:gridSpan w:val="3"/>
            <w:shd w:val="clear" w:color="auto" w:fill="auto"/>
            <w:vAlign w:val="bottom"/>
          </w:tcPr>
          <w:p w14:paraId="392C63D9" w14:textId="77777777" w:rsidR="00980E5F" w:rsidRDefault="00980E5F">
            <w:pPr>
              <w:rPr>
                <w:rFonts w:ascii="宋体"/>
                <w:vanish/>
              </w:rPr>
            </w:pPr>
          </w:p>
        </w:tc>
        <w:tc>
          <w:tcPr>
            <w:tcW w:w="0" w:type="auto"/>
            <w:gridSpan w:val="3"/>
            <w:shd w:val="clear" w:color="auto" w:fill="auto"/>
            <w:vAlign w:val="bottom"/>
          </w:tcPr>
          <w:p w14:paraId="392C63DA" w14:textId="77777777" w:rsidR="00980E5F" w:rsidRDefault="00980E5F">
            <w:pPr>
              <w:rPr>
                <w:rFonts w:ascii="宋体"/>
                <w:vanish/>
              </w:rPr>
            </w:pPr>
          </w:p>
        </w:tc>
        <w:tc>
          <w:tcPr>
            <w:tcW w:w="0" w:type="auto"/>
            <w:gridSpan w:val="3"/>
            <w:shd w:val="clear" w:color="auto" w:fill="auto"/>
            <w:vAlign w:val="bottom"/>
          </w:tcPr>
          <w:p w14:paraId="392C63DB" w14:textId="77777777" w:rsidR="00980E5F" w:rsidRDefault="00980E5F">
            <w:pPr>
              <w:rPr>
                <w:rFonts w:ascii="宋体"/>
                <w:vanish/>
              </w:rPr>
            </w:pPr>
          </w:p>
        </w:tc>
        <w:tc>
          <w:tcPr>
            <w:tcW w:w="0" w:type="auto"/>
            <w:gridSpan w:val="3"/>
            <w:shd w:val="clear" w:color="auto" w:fill="auto"/>
            <w:vAlign w:val="bottom"/>
          </w:tcPr>
          <w:p w14:paraId="392C63DC" w14:textId="77777777" w:rsidR="00980E5F" w:rsidRDefault="00980E5F">
            <w:pPr>
              <w:rPr>
                <w:rFonts w:ascii="宋体"/>
                <w:vanish/>
              </w:rPr>
            </w:pPr>
          </w:p>
        </w:tc>
        <w:tc>
          <w:tcPr>
            <w:tcW w:w="0" w:type="auto"/>
            <w:gridSpan w:val="3"/>
            <w:shd w:val="clear" w:color="auto" w:fill="auto"/>
            <w:vAlign w:val="bottom"/>
          </w:tcPr>
          <w:p w14:paraId="392C63DD" w14:textId="77777777" w:rsidR="00980E5F" w:rsidRDefault="00980E5F">
            <w:pPr>
              <w:rPr>
                <w:rFonts w:ascii="宋体"/>
                <w:vanish/>
              </w:rPr>
            </w:pPr>
          </w:p>
        </w:tc>
        <w:tc>
          <w:tcPr>
            <w:tcW w:w="0" w:type="auto"/>
            <w:gridSpan w:val="3"/>
            <w:shd w:val="clear" w:color="auto" w:fill="auto"/>
            <w:vAlign w:val="bottom"/>
          </w:tcPr>
          <w:p w14:paraId="392C63DE" w14:textId="77777777" w:rsidR="00980E5F" w:rsidRDefault="00980E5F">
            <w:pPr>
              <w:rPr>
                <w:rFonts w:ascii="宋体"/>
                <w:vanish/>
              </w:rPr>
            </w:pPr>
          </w:p>
        </w:tc>
        <w:tc>
          <w:tcPr>
            <w:tcW w:w="0" w:type="auto"/>
            <w:gridSpan w:val="3"/>
            <w:shd w:val="clear" w:color="auto" w:fill="auto"/>
            <w:vAlign w:val="bottom"/>
          </w:tcPr>
          <w:p w14:paraId="392C63DF" w14:textId="77777777" w:rsidR="00980E5F" w:rsidRDefault="00980E5F">
            <w:pPr>
              <w:rPr>
                <w:rFonts w:ascii="宋体"/>
                <w:vanish/>
              </w:rPr>
            </w:pPr>
          </w:p>
        </w:tc>
        <w:tc>
          <w:tcPr>
            <w:tcW w:w="0" w:type="auto"/>
            <w:gridSpan w:val="3"/>
            <w:shd w:val="clear" w:color="auto" w:fill="auto"/>
            <w:vAlign w:val="bottom"/>
          </w:tcPr>
          <w:p w14:paraId="392C63E0" w14:textId="77777777" w:rsidR="00980E5F" w:rsidRDefault="00980E5F">
            <w:pPr>
              <w:rPr>
                <w:rFonts w:ascii="宋体"/>
                <w:vanish/>
              </w:rPr>
            </w:pPr>
          </w:p>
        </w:tc>
        <w:tc>
          <w:tcPr>
            <w:tcW w:w="0" w:type="auto"/>
            <w:gridSpan w:val="3"/>
            <w:shd w:val="clear" w:color="auto" w:fill="auto"/>
            <w:vAlign w:val="bottom"/>
          </w:tcPr>
          <w:p w14:paraId="392C63E1" w14:textId="77777777" w:rsidR="00980E5F" w:rsidRDefault="00980E5F">
            <w:pPr>
              <w:rPr>
                <w:rFonts w:ascii="宋体"/>
                <w:vanish/>
              </w:rPr>
            </w:pPr>
          </w:p>
        </w:tc>
        <w:tc>
          <w:tcPr>
            <w:tcW w:w="0" w:type="auto"/>
            <w:gridSpan w:val="3"/>
            <w:shd w:val="clear" w:color="auto" w:fill="auto"/>
            <w:vAlign w:val="bottom"/>
          </w:tcPr>
          <w:p w14:paraId="392C63E2" w14:textId="77777777" w:rsidR="00980E5F" w:rsidRDefault="00980E5F">
            <w:pPr>
              <w:rPr>
                <w:rFonts w:ascii="宋体"/>
                <w:vanish/>
              </w:rPr>
            </w:pPr>
          </w:p>
        </w:tc>
        <w:tc>
          <w:tcPr>
            <w:tcW w:w="0" w:type="auto"/>
            <w:gridSpan w:val="3"/>
            <w:shd w:val="clear" w:color="auto" w:fill="auto"/>
            <w:vAlign w:val="bottom"/>
          </w:tcPr>
          <w:p w14:paraId="392C63E3" w14:textId="77777777" w:rsidR="00980E5F" w:rsidRDefault="00980E5F">
            <w:pPr>
              <w:rPr>
                <w:rFonts w:ascii="宋体"/>
                <w:vanish/>
              </w:rPr>
            </w:pPr>
          </w:p>
        </w:tc>
      </w:tr>
      <w:tr w:rsidR="00980E5F" w14:paraId="392C63FD" w14:textId="77777777">
        <w:tc>
          <w:tcPr>
            <w:tcW w:w="0" w:type="auto"/>
            <w:gridSpan w:val="3"/>
            <w:shd w:val="clear" w:color="auto" w:fill="FFFFFF"/>
            <w:tcMar>
              <w:top w:w="40" w:type="dxa"/>
              <w:left w:w="20" w:type="dxa"/>
              <w:bottom w:w="40" w:type="dxa"/>
              <w:right w:w="20" w:type="dxa"/>
            </w:tcMar>
            <w:vAlign w:val="bottom"/>
          </w:tcPr>
          <w:p w14:paraId="392C63E5" w14:textId="77777777" w:rsidR="00980E5F" w:rsidRDefault="00483613">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E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E7" w14:textId="77777777" w:rsidR="00980E5F" w:rsidRDefault="00483613">
            <w:pPr>
              <w:jc w:val="right"/>
              <w:textAlignment w:val="bottom"/>
            </w:pPr>
            <w:r>
              <w:rPr>
                <w:rFonts w:ascii="Arial" w:eastAsia="宋体" w:hAnsi="Arial" w:cs="Arial"/>
                <w:b/>
                <w:bCs/>
                <w:color w:val="000000"/>
                <w:sz w:val="14"/>
                <w:szCs w:val="14"/>
              </w:rPr>
              <w:t>37,636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E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E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EB" w14:textId="77777777" w:rsidR="00980E5F" w:rsidRDefault="00483613">
            <w:pPr>
              <w:jc w:val="right"/>
              <w:textAlignment w:val="bottom"/>
            </w:pPr>
            <w:r>
              <w:rPr>
                <w:rFonts w:ascii="Arial" w:eastAsia="宋体" w:hAnsi="Arial" w:cs="Arial"/>
                <w:b/>
                <w:bCs/>
                <w:color w:val="000000"/>
                <w:sz w:val="14"/>
                <w:szCs w:val="14"/>
              </w:rPr>
              <w:t>929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ED"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E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EF" w14:textId="77777777" w:rsidR="00980E5F" w:rsidRDefault="00483613">
            <w:pPr>
              <w:jc w:val="right"/>
              <w:textAlignment w:val="bottom"/>
            </w:pPr>
            <w:r>
              <w:rPr>
                <w:rFonts w:ascii="Arial" w:eastAsia="宋体" w:hAnsi="Arial" w:cs="Arial"/>
                <w:b/>
                <w:bCs/>
                <w:color w:val="000000"/>
                <w:sz w:val="14"/>
                <w:szCs w:val="14"/>
              </w:rPr>
              <w:t>5,368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F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F1"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F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F3" w14:textId="77777777" w:rsidR="00980E5F" w:rsidRDefault="00483613">
            <w:pPr>
              <w:jc w:val="right"/>
              <w:textAlignment w:val="bottom"/>
            </w:pPr>
            <w:r>
              <w:rPr>
                <w:rFonts w:ascii="Arial" w:eastAsia="宋体" w:hAnsi="Arial" w:cs="Arial"/>
                <w:b/>
                <w:bCs/>
                <w:color w:val="000000"/>
                <w:sz w:val="14"/>
                <w:szCs w:val="14"/>
              </w:rPr>
              <w:t>233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F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F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F7" w14:textId="77777777" w:rsidR="00980E5F" w:rsidRDefault="00483613">
            <w:pPr>
              <w:jc w:val="right"/>
              <w:textAlignment w:val="bottom"/>
            </w:pPr>
            <w:r>
              <w:rPr>
                <w:rFonts w:ascii="Arial" w:eastAsia="宋体" w:hAnsi="Arial" w:cs="Arial"/>
                <w:b/>
                <w:bCs/>
                <w:color w:val="000000"/>
                <w:sz w:val="14"/>
                <w:szCs w:val="14"/>
              </w:rPr>
              <w:t>43,004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F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3F9"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63F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63FB" w14:textId="77777777" w:rsidR="00980E5F" w:rsidRDefault="00483613">
            <w:pPr>
              <w:jc w:val="right"/>
              <w:textAlignment w:val="bottom"/>
            </w:pPr>
            <w:r>
              <w:rPr>
                <w:rFonts w:ascii="Arial" w:eastAsia="宋体" w:hAnsi="Arial" w:cs="Arial"/>
                <w:b/>
                <w:bCs/>
                <w:color w:val="000000"/>
                <w:sz w:val="14"/>
                <w:szCs w:val="14"/>
              </w:rPr>
              <w:t>1,162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63FC" w14:textId="77777777" w:rsidR="00980E5F" w:rsidRDefault="00980E5F">
            <w:pPr>
              <w:jc w:val="right"/>
              <w:rPr>
                <w:rFonts w:ascii="宋体"/>
              </w:rPr>
            </w:pPr>
          </w:p>
        </w:tc>
      </w:tr>
      <w:tr w:rsidR="00980E5F" w14:paraId="392C640A" w14:textId="77777777">
        <w:trPr>
          <w:hidden/>
        </w:trPr>
        <w:tc>
          <w:tcPr>
            <w:tcW w:w="0" w:type="auto"/>
            <w:gridSpan w:val="3"/>
            <w:shd w:val="clear" w:color="auto" w:fill="auto"/>
            <w:vAlign w:val="bottom"/>
          </w:tcPr>
          <w:p w14:paraId="392C63FE" w14:textId="77777777" w:rsidR="00980E5F" w:rsidRDefault="00980E5F">
            <w:pPr>
              <w:rPr>
                <w:rFonts w:ascii="宋体"/>
                <w:vanish/>
              </w:rPr>
            </w:pPr>
          </w:p>
        </w:tc>
        <w:tc>
          <w:tcPr>
            <w:tcW w:w="0" w:type="auto"/>
            <w:gridSpan w:val="3"/>
            <w:shd w:val="clear" w:color="auto" w:fill="auto"/>
            <w:vAlign w:val="bottom"/>
          </w:tcPr>
          <w:p w14:paraId="392C63FF" w14:textId="77777777" w:rsidR="00980E5F" w:rsidRDefault="00980E5F">
            <w:pPr>
              <w:rPr>
                <w:rFonts w:ascii="宋体"/>
                <w:vanish/>
              </w:rPr>
            </w:pPr>
          </w:p>
        </w:tc>
        <w:tc>
          <w:tcPr>
            <w:tcW w:w="0" w:type="auto"/>
            <w:gridSpan w:val="3"/>
            <w:shd w:val="clear" w:color="auto" w:fill="auto"/>
            <w:vAlign w:val="bottom"/>
          </w:tcPr>
          <w:p w14:paraId="392C6400" w14:textId="77777777" w:rsidR="00980E5F" w:rsidRDefault="00980E5F">
            <w:pPr>
              <w:rPr>
                <w:rFonts w:ascii="宋体"/>
                <w:vanish/>
              </w:rPr>
            </w:pPr>
          </w:p>
        </w:tc>
        <w:tc>
          <w:tcPr>
            <w:tcW w:w="0" w:type="auto"/>
            <w:gridSpan w:val="3"/>
            <w:shd w:val="clear" w:color="auto" w:fill="auto"/>
            <w:vAlign w:val="bottom"/>
          </w:tcPr>
          <w:p w14:paraId="392C6401" w14:textId="77777777" w:rsidR="00980E5F" w:rsidRDefault="00980E5F">
            <w:pPr>
              <w:rPr>
                <w:rFonts w:ascii="宋体"/>
                <w:vanish/>
              </w:rPr>
            </w:pPr>
          </w:p>
        </w:tc>
        <w:tc>
          <w:tcPr>
            <w:tcW w:w="0" w:type="auto"/>
            <w:gridSpan w:val="3"/>
            <w:shd w:val="clear" w:color="auto" w:fill="auto"/>
            <w:vAlign w:val="bottom"/>
          </w:tcPr>
          <w:p w14:paraId="392C6402" w14:textId="77777777" w:rsidR="00980E5F" w:rsidRDefault="00980E5F">
            <w:pPr>
              <w:rPr>
                <w:rFonts w:ascii="宋体"/>
                <w:vanish/>
              </w:rPr>
            </w:pPr>
          </w:p>
        </w:tc>
        <w:tc>
          <w:tcPr>
            <w:tcW w:w="0" w:type="auto"/>
            <w:gridSpan w:val="3"/>
            <w:shd w:val="clear" w:color="auto" w:fill="auto"/>
            <w:vAlign w:val="bottom"/>
          </w:tcPr>
          <w:p w14:paraId="392C6403" w14:textId="77777777" w:rsidR="00980E5F" w:rsidRDefault="00980E5F">
            <w:pPr>
              <w:rPr>
                <w:rFonts w:ascii="宋体"/>
                <w:vanish/>
              </w:rPr>
            </w:pPr>
          </w:p>
        </w:tc>
        <w:tc>
          <w:tcPr>
            <w:tcW w:w="0" w:type="auto"/>
            <w:gridSpan w:val="3"/>
            <w:shd w:val="clear" w:color="auto" w:fill="auto"/>
            <w:vAlign w:val="bottom"/>
          </w:tcPr>
          <w:p w14:paraId="392C6404" w14:textId="77777777" w:rsidR="00980E5F" w:rsidRDefault="00980E5F">
            <w:pPr>
              <w:rPr>
                <w:rFonts w:ascii="宋体"/>
                <w:vanish/>
              </w:rPr>
            </w:pPr>
          </w:p>
        </w:tc>
        <w:tc>
          <w:tcPr>
            <w:tcW w:w="0" w:type="auto"/>
            <w:gridSpan w:val="3"/>
            <w:shd w:val="clear" w:color="auto" w:fill="auto"/>
            <w:vAlign w:val="bottom"/>
          </w:tcPr>
          <w:p w14:paraId="392C6405" w14:textId="77777777" w:rsidR="00980E5F" w:rsidRDefault="00980E5F">
            <w:pPr>
              <w:rPr>
                <w:rFonts w:ascii="宋体"/>
                <w:vanish/>
              </w:rPr>
            </w:pPr>
          </w:p>
        </w:tc>
        <w:tc>
          <w:tcPr>
            <w:tcW w:w="0" w:type="auto"/>
            <w:gridSpan w:val="3"/>
            <w:shd w:val="clear" w:color="auto" w:fill="auto"/>
            <w:vAlign w:val="bottom"/>
          </w:tcPr>
          <w:p w14:paraId="392C6406" w14:textId="77777777" w:rsidR="00980E5F" w:rsidRDefault="00980E5F">
            <w:pPr>
              <w:rPr>
                <w:rFonts w:ascii="宋体"/>
                <w:vanish/>
              </w:rPr>
            </w:pPr>
          </w:p>
        </w:tc>
        <w:tc>
          <w:tcPr>
            <w:tcW w:w="0" w:type="auto"/>
            <w:gridSpan w:val="3"/>
            <w:shd w:val="clear" w:color="auto" w:fill="auto"/>
            <w:vAlign w:val="bottom"/>
          </w:tcPr>
          <w:p w14:paraId="392C6407" w14:textId="77777777" w:rsidR="00980E5F" w:rsidRDefault="00980E5F">
            <w:pPr>
              <w:rPr>
                <w:rFonts w:ascii="宋体"/>
                <w:vanish/>
              </w:rPr>
            </w:pPr>
          </w:p>
        </w:tc>
        <w:tc>
          <w:tcPr>
            <w:tcW w:w="0" w:type="auto"/>
            <w:gridSpan w:val="3"/>
            <w:shd w:val="clear" w:color="auto" w:fill="auto"/>
            <w:vAlign w:val="bottom"/>
          </w:tcPr>
          <w:p w14:paraId="392C6408" w14:textId="77777777" w:rsidR="00980E5F" w:rsidRDefault="00980E5F">
            <w:pPr>
              <w:rPr>
                <w:rFonts w:ascii="宋体"/>
                <w:vanish/>
              </w:rPr>
            </w:pPr>
          </w:p>
        </w:tc>
        <w:tc>
          <w:tcPr>
            <w:tcW w:w="0" w:type="auto"/>
            <w:gridSpan w:val="3"/>
            <w:shd w:val="clear" w:color="auto" w:fill="auto"/>
            <w:vAlign w:val="bottom"/>
          </w:tcPr>
          <w:p w14:paraId="392C6409" w14:textId="77777777" w:rsidR="00980E5F" w:rsidRDefault="00980E5F">
            <w:pPr>
              <w:rPr>
                <w:rFonts w:ascii="宋体"/>
                <w:vanish/>
              </w:rPr>
            </w:pPr>
          </w:p>
        </w:tc>
      </w:tr>
      <w:tr w:rsidR="00980E5F" w14:paraId="392C6417" w14:textId="77777777">
        <w:trPr>
          <w:hidden/>
        </w:trPr>
        <w:tc>
          <w:tcPr>
            <w:tcW w:w="0" w:type="auto"/>
            <w:gridSpan w:val="3"/>
            <w:shd w:val="clear" w:color="auto" w:fill="auto"/>
            <w:vAlign w:val="bottom"/>
          </w:tcPr>
          <w:p w14:paraId="392C640B" w14:textId="77777777" w:rsidR="00980E5F" w:rsidRDefault="00980E5F">
            <w:pPr>
              <w:rPr>
                <w:rFonts w:ascii="宋体"/>
                <w:vanish/>
              </w:rPr>
            </w:pPr>
          </w:p>
        </w:tc>
        <w:tc>
          <w:tcPr>
            <w:tcW w:w="0" w:type="auto"/>
            <w:gridSpan w:val="3"/>
            <w:shd w:val="clear" w:color="auto" w:fill="auto"/>
            <w:vAlign w:val="bottom"/>
          </w:tcPr>
          <w:p w14:paraId="392C640C" w14:textId="77777777" w:rsidR="00980E5F" w:rsidRDefault="00980E5F">
            <w:pPr>
              <w:rPr>
                <w:rFonts w:ascii="宋体"/>
                <w:vanish/>
              </w:rPr>
            </w:pPr>
          </w:p>
        </w:tc>
        <w:tc>
          <w:tcPr>
            <w:tcW w:w="0" w:type="auto"/>
            <w:gridSpan w:val="3"/>
            <w:shd w:val="clear" w:color="auto" w:fill="auto"/>
            <w:vAlign w:val="bottom"/>
          </w:tcPr>
          <w:p w14:paraId="392C640D" w14:textId="77777777" w:rsidR="00980E5F" w:rsidRDefault="00980E5F">
            <w:pPr>
              <w:rPr>
                <w:rFonts w:ascii="宋体"/>
                <w:vanish/>
              </w:rPr>
            </w:pPr>
          </w:p>
        </w:tc>
        <w:tc>
          <w:tcPr>
            <w:tcW w:w="0" w:type="auto"/>
            <w:gridSpan w:val="3"/>
            <w:shd w:val="clear" w:color="auto" w:fill="auto"/>
            <w:vAlign w:val="bottom"/>
          </w:tcPr>
          <w:p w14:paraId="392C640E" w14:textId="77777777" w:rsidR="00980E5F" w:rsidRDefault="00980E5F">
            <w:pPr>
              <w:rPr>
                <w:rFonts w:ascii="宋体"/>
                <w:vanish/>
              </w:rPr>
            </w:pPr>
          </w:p>
        </w:tc>
        <w:tc>
          <w:tcPr>
            <w:tcW w:w="0" w:type="auto"/>
            <w:gridSpan w:val="3"/>
            <w:shd w:val="clear" w:color="auto" w:fill="auto"/>
            <w:vAlign w:val="bottom"/>
          </w:tcPr>
          <w:p w14:paraId="392C640F" w14:textId="77777777" w:rsidR="00980E5F" w:rsidRDefault="00980E5F">
            <w:pPr>
              <w:rPr>
                <w:rFonts w:ascii="宋体"/>
                <w:vanish/>
              </w:rPr>
            </w:pPr>
          </w:p>
        </w:tc>
        <w:tc>
          <w:tcPr>
            <w:tcW w:w="0" w:type="auto"/>
            <w:gridSpan w:val="3"/>
            <w:shd w:val="clear" w:color="auto" w:fill="auto"/>
            <w:vAlign w:val="bottom"/>
          </w:tcPr>
          <w:p w14:paraId="392C6410" w14:textId="77777777" w:rsidR="00980E5F" w:rsidRDefault="00980E5F">
            <w:pPr>
              <w:rPr>
                <w:rFonts w:ascii="宋体"/>
                <w:vanish/>
              </w:rPr>
            </w:pPr>
          </w:p>
        </w:tc>
        <w:tc>
          <w:tcPr>
            <w:tcW w:w="0" w:type="auto"/>
            <w:gridSpan w:val="3"/>
            <w:shd w:val="clear" w:color="auto" w:fill="auto"/>
            <w:vAlign w:val="bottom"/>
          </w:tcPr>
          <w:p w14:paraId="392C6411" w14:textId="77777777" w:rsidR="00980E5F" w:rsidRDefault="00980E5F">
            <w:pPr>
              <w:rPr>
                <w:rFonts w:ascii="宋体"/>
                <w:vanish/>
              </w:rPr>
            </w:pPr>
          </w:p>
        </w:tc>
        <w:tc>
          <w:tcPr>
            <w:tcW w:w="0" w:type="auto"/>
            <w:gridSpan w:val="3"/>
            <w:shd w:val="clear" w:color="auto" w:fill="auto"/>
            <w:vAlign w:val="bottom"/>
          </w:tcPr>
          <w:p w14:paraId="392C6412" w14:textId="77777777" w:rsidR="00980E5F" w:rsidRDefault="00980E5F">
            <w:pPr>
              <w:rPr>
                <w:rFonts w:ascii="宋体"/>
                <w:vanish/>
              </w:rPr>
            </w:pPr>
          </w:p>
        </w:tc>
        <w:tc>
          <w:tcPr>
            <w:tcW w:w="0" w:type="auto"/>
            <w:gridSpan w:val="3"/>
            <w:shd w:val="clear" w:color="auto" w:fill="auto"/>
            <w:vAlign w:val="bottom"/>
          </w:tcPr>
          <w:p w14:paraId="392C6413" w14:textId="77777777" w:rsidR="00980E5F" w:rsidRDefault="00980E5F">
            <w:pPr>
              <w:rPr>
                <w:rFonts w:ascii="宋体"/>
                <w:vanish/>
              </w:rPr>
            </w:pPr>
          </w:p>
        </w:tc>
        <w:tc>
          <w:tcPr>
            <w:tcW w:w="0" w:type="auto"/>
            <w:gridSpan w:val="3"/>
            <w:shd w:val="clear" w:color="auto" w:fill="auto"/>
            <w:vAlign w:val="bottom"/>
          </w:tcPr>
          <w:p w14:paraId="392C6414" w14:textId="77777777" w:rsidR="00980E5F" w:rsidRDefault="00980E5F">
            <w:pPr>
              <w:rPr>
                <w:rFonts w:ascii="宋体"/>
                <w:vanish/>
              </w:rPr>
            </w:pPr>
          </w:p>
        </w:tc>
        <w:tc>
          <w:tcPr>
            <w:tcW w:w="0" w:type="auto"/>
            <w:gridSpan w:val="3"/>
            <w:shd w:val="clear" w:color="auto" w:fill="auto"/>
            <w:vAlign w:val="bottom"/>
          </w:tcPr>
          <w:p w14:paraId="392C6415" w14:textId="77777777" w:rsidR="00980E5F" w:rsidRDefault="00980E5F">
            <w:pPr>
              <w:rPr>
                <w:rFonts w:ascii="宋体"/>
                <w:vanish/>
              </w:rPr>
            </w:pPr>
          </w:p>
        </w:tc>
        <w:tc>
          <w:tcPr>
            <w:tcW w:w="0" w:type="auto"/>
            <w:gridSpan w:val="3"/>
            <w:shd w:val="clear" w:color="auto" w:fill="auto"/>
            <w:vAlign w:val="bottom"/>
          </w:tcPr>
          <w:p w14:paraId="392C6416" w14:textId="77777777" w:rsidR="00980E5F" w:rsidRDefault="00980E5F">
            <w:pPr>
              <w:rPr>
                <w:rFonts w:ascii="宋体"/>
                <w:vanish/>
              </w:rPr>
            </w:pPr>
          </w:p>
        </w:tc>
      </w:tr>
      <w:tr w:rsidR="00980E5F" w14:paraId="392C6424" w14:textId="77777777">
        <w:trPr>
          <w:hidden/>
        </w:trPr>
        <w:tc>
          <w:tcPr>
            <w:tcW w:w="0" w:type="auto"/>
            <w:gridSpan w:val="3"/>
            <w:shd w:val="clear" w:color="auto" w:fill="auto"/>
            <w:vAlign w:val="bottom"/>
          </w:tcPr>
          <w:p w14:paraId="392C6418" w14:textId="77777777" w:rsidR="00980E5F" w:rsidRDefault="00980E5F">
            <w:pPr>
              <w:rPr>
                <w:rFonts w:ascii="宋体"/>
                <w:vanish/>
              </w:rPr>
            </w:pPr>
          </w:p>
        </w:tc>
        <w:tc>
          <w:tcPr>
            <w:tcW w:w="0" w:type="auto"/>
            <w:gridSpan w:val="3"/>
            <w:shd w:val="clear" w:color="auto" w:fill="auto"/>
            <w:vAlign w:val="bottom"/>
          </w:tcPr>
          <w:p w14:paraId="392C6419" w14:textId="77777777" w:rsidR="00980E5F" w:rsidRDefault="00980E5F">
            <w:pPr>
              <w:rPr>
                <w:rFonts w:ascii="宋体"/>
                <w:vanish/>
              </w:rPr>
            </w:pPr>
          </w:p>
        </w:tc>
        <w:tc>
          <w:tcPr>
            <w:tcW w:w="0" w:type="auto"/>
            <w:gridSpan w:val="3"/>
            <w:shd w:val="clear" w:color="auto" w:fill="auto"/>
            <w:vAlign w:val="bottom"/>
          </w:tcPr>
          <w:p w14:paraId="392C641A" w14:textId="77777777" w:rsidR="00980E5F" w:rsidRDefault="00980E5F">
            <w:pPr>
              <w:rPr>
                <w:rFonts w:ascii="宋体"/>
                <w:vanish/>
              </w:rPr>
            </w:pPr>
          </w:p>
        </w:tc>
        <w:tc>
          <w:tcPr>
            <w:tcW w:w="0" w:type="auto"/>
            <w:gridSpan w:val="3"/>
            <w:shd w:val="clear" w:color="auto" w:fill="auto"/>
            <w:vAlign w:val="bottom"/>
          </w:tcPr>
          <w:p w14:paraId="392C641B" w14:textId="77777777" w:rsidR="00980E5F" w:rsidRDefault="00980E5F">
            <w:pPr>
              <w:rPr>
                <w:rFonts w:ascii="宋体"/>
                <w:vanish/>
              </w:rPr>
            </w:pPr>
          </w:p>
        </w:tc>
        <w:tc>
          <w:tcPr>
            <w:tcW w:w="0" w:type="auto"/>
            <w:gridSpan w:val="3"/>
            <w:shd w:val="clear" w:color="auto" w:fill="auto"/>
            <w:vAlign w:val="bottom"/>
          </w:tcPr>
          <w:p w14:paraId="392C641C" w14:textId="77777777" w:rsidR="00980E5F" w:rsidRDefault="00980E5F">
            <w:pPr>
              <w:rPr>
                <w:rFonts w:ascii="宋体"/>
                <w:vanish/>
              </w:rPr>
            </w:pPr>
          </w:p>
        </w:tc>
        <w:tc>
          <w:tcPr>
            <w:tcW w:w="0" w:type="auto"/>
            <w:gridSpan w:val="3"/>
            <w:shd w:val="clear" w:color="auto" w:fill="auto"/>
            <w:vAlign w:val="bottom"/>
          </w:tcPr>
          <w:p w14:paraId="392C641D" w14:textId="77777777" w:rsidR="00980E5F" w:rsidRDefault="00980E5F">
            <w:pPr>
              <w:rPr>
                <w:rFonts w:ascii="宋体"/>
                <w:vanish/>
              </w:rPr>
            </w:pPr>
          </w:p>
        </w:tc>
        <w:tc>
          <w:tcPr>
            <w:tcW w:w="0" w:type="auto"/>
            <w:gridSpan w:val="3"/>
            <w:shd w:val="clear" w:color="auto" w:fill="auto"/>
            <w:vAlign w:val="bottom"/>
          </w:tcPr>
          <w:p w14:paraId="392C641E" w14:textId="77777777" w:rsidR="00980E5F" w:rsidRDefault="00980E5F">
            <w:pPr>
              <w:rPr>
                <w:rFonts w:ascii="宋体"/>
                <w:vanish/>
              </w:rPr>
            </w:pPr>
          </w:p>
        </w:tc>
        <w:tc>
          <w:tcPr>
            <w:tcW w:w="0" w:type="auto"/>
            <w:gridSpan w:val="3"/>
            <w:shd w:val="clear" w:color="auto" w:fill="auto"/>
            <w:vAlign w:val="bottom"/>
          </w:tcPr>
          <w:p w14:paraId="392C641F" w14:textId="77777777" w:rsidR="00980E5F" w:rsidRDefault="00980E5F">
            <w:pPr>
              <w:rPr>
                <w:rFonts w:ascii="宋体"/>
                <w:vanish/>
              </w:rPr>
            </w:pPr>
          </w:p>
        </w:tc>
        <w:tc>
          <w:tcPr>
            <w:tcW w:w="0" w:type="auto"/>
            <w:gridSpan w:val="3"/>
            <w:shd w:val="clear" w:color="auto" w:fill="auto"/>
            <w:vAlign w:val="bottom"/>
          </w:tcPr>
          <w:p w14:paraId="392C6420" w14:textId="77777777" w:rsidR="00980E5F" w:rsidRDefault="00980E5F">
            <w:pPr>
              <w:rPr>
                <w:rFonts w:ascii="宋体"/>
                <w:vanish/>
              </w:rPr>
            </w:pPr>
          </w:p>
        </w:tc>
        <w:tc>
          <w:tcPr>
            <w:tcW w:w="0" w:type="auto"/>
            <w:gridSpan w:val="3"/>
            <w:shd w:val="clear" w:color="auto" w:fill="auto"/>
            <w:vAlign w:val="bottom"/>
          </w:tcPr>
          <w:p w14:paraId="392C6421" w14:textId="77777777" w:rsidR="00980E5F" w:rsidRDefault="00980E5F">
            <w:pPr>
              <w:rPr>
                <w:rFonts w:ascii="宋体"/>
                <w:vanish/>
              </w:rPr>
            </w:pPr>
          </w:p>
        </w:tc>
        <w:tc>
          <w:tcPr>
            <w:tcW w:w="0" w:type="auto"/>
            <w:gridSpan w:val="3"/>
            <w:shd w:val="clear" w:color="auto" w:fill="auto"/>
            <w:vAlign w:val="bottom"/>
          </w:tcPr>
          <w:p w14:paraId="392C6422" w14:textId="77777777" w:rsidR="00980E5F" w:rsidRDefault="00980E5F">
            <w:pPr>
              <w:rPr>
                <w:rFonts w:ascii="宋体"/>
                <w:vanish/>
              </w:rPr>
            </w:pPr>
          </w:p>
        </w:tc>
        <w:tc>
          <w:tcPr>
            <w:tcW w:w="0" w:type="auto"/>
            <w:gridSpan w:val="3"/>
            <w:shd w:val="clear" w:color="auto" w:fill="auto"/>
            <w:vAlign w:val="bottom"/>
          </w:tcPr>
          <w:p w14:paraId="392C6423" w14:textId="77777777" w:rsidR="00980E5F" w:rsidRDefault="00980E5F">
            <w:pPr>
              <w:rPr>
                <w:rFonts w:ascii="宋体"/>
                <w:vanish/>
              </w:rPr>
            </w:pPr>
          </w:p>
        </w:tc>
      </w:tr>
      <w:tr w:rsidR="00980E5F" w14:paraId="392C6431" w14:textId="77777777">
        <w:trPr>
          <w:hidden/>
        </w:trPr>
        <w:tc>
          <w:tcPr>
            <w:tcW w:w="0" w:type="auto"/>
            <w:gridSpan w:val="3"/>
            <w:shd w:val="clear" w:color="auto" w:fill="auto"/>
            <w:vAlign w:val="bottom"/>
          </w:tcPr>
          <w:p w14:paraId="392C6425" w14:textId="77777777" w:rsidR="00980E5F" w:rsidRDefault="00980E5F">
            <w:pPr>
              <w:rPr>
                <w:rFonts w:ascii="宋体"/>
                <w:vanish/>
              </w:rPr>
            </w:pPr>
          </w:p>
        </w:tc>
        <w:tc>
          <w:tcPr>
            <w:tcW w:w="0" w:type="auto"/>
            <w:gridSpan w:val="3"/>
            <w:shd w:val="clear" w:color="auto" w:fill="auto"/>
            <w:vAlign w:val="bottom"/>
          </w:tcPr>
          <w:p w14:paraId="392C6426" w14:textId="77777777" w:rsidR="00980E5F" w:rsidRDefault="00980E5F">
            <w:pPr>
              <w:rPr>
                <w:rFonts w:ascii="宋体"/>
                <w:vanish/>
              </w:rPr>
            </w:pPr>
          </w:p>
        </w:tc>
        <w:tc>
          <w:tcPr>
            <w:tcW w:w="0" w:type="auto"/>
            <w:gridSpan w:val="3"/>
            <w:shd w:val="clear" w:color="auto" w:fill="auto"/>
            <w:vAlign w:val="bottom"/>
          </w:tcPr>
          <w:p w14:paraId="392C6427" w14:textId="77777777" w:rsidR="00980E5F" w:rsidRDefault="00980E5F">
            <w:pPr>
              <w:rPr>
                <w:rFonts w:ascii="宋体"/>
                <w:vanish/>
              </w:rPr>
            </w:pPr>
          </w:p>
        </w:tc>
        <w:tc>
          <w:tcPr>
            <w:tcW w:w="0" w:type="auto"/>
            <w:gridSpan w:val="3"/>
            <w:shd w:val="clear" w:color="auto" w:fill="auto"/>
            <w:vAlign w:val="bottom"/>
          </w:tcPr>
          <w:p w14:paraId="392C6428" w14:textId="77777777" w:rsidR="00980E5F" w:rsidRDefault="00980E5F">
            <w:pPr>
              <w:rPr>
                <w:rFonts w:ascii="宋体"/>
                <w:vanish/>
              </w:rPr>
            </w:pPr>
          </w:p>
        </w:tc>
        <w:tc>
          <w:tcPr>
            <w:tcW w:w="0" w:type="auto"/>
            <w:gridSpan w:val="3"/>
            <w:shd w:val="clear" w:color="auto" w:fill="auto"/>
            <w:vAlign w:val="bottom"/>
          </w:tcPr>
          <w:p w14:paraId="392C6429" w14:textId="77777777" w:rsidR="00980E5F" w:rsidRDefault="00980E5F">
            <w:pPr>
              <w:rPr>
                <w:rFonts w:ascii="宋体"/>
                <w:vanish/>
              </w:rPr>
            </w:pPr>
          </w:p>
        </w:tc>
        <w:tc>
          <w:tcPr>
            <w:tcW w:w="0" w:type="auto"/>
            <w:gridSpan w:val="3"/>
            <w:shd w:val="clear" w:color="auto" w:fill="auto"/>
            <w:vAlign w:val="bottom"/>
          </w:tcPr>
          <w:p w14:paraId="392C642A" w14:textId="77777777" w:rsidR="00980E5F" w:rsidRDefault="00980E5F">
            <w:pPr>
              <w:rPr>
                <w:rFonts w:ascii="宋体"/>
                <w:vanish/>
              </w:rPr>
            </w:pPr>
          </w:p>
        </w:tc>
        <w:tc>
          <w:tcPr>
            <w:tcW w:w="0" w:type="auto"/>
            <w:gridSpan w:val="3"/>
            <w:shd w:val="clear" w:color="auto" w:fill="auto"/>
            <w:vAlign w:val="bottom"/>
          </w:tcPr>
          <w:p w14:paraId="392C642B" w14:textId="77777777" w:rsidR="00980E5F" w:rsidRDefault="00980E5F">
            <w:pPr>
              <w:rPr>
                <w:rFonts w:ascii="宋体"/>
                <w:vanish/>
              </w:rPr>
            </w:pPr>
          </w:p>
        </w:tc>
        <w:tc>
          <w:tcPr>
            <w:tcW w:w="0" w:type="auto"/>
            <w:gridSpan w:val="3"/>
            <w:shd w:val="clear" w:color="auto" w:fill="auto"/>
            <w:vAlign w:val="bottom"/>
          </w:tcPr>
          <w:p w14:paraId="392C642C" w14:textId="77777777" w:rsidR="00980E5F" w:rsidRDefault="00980E5F">
            <w:pPr>
              <w:rPr>
                <w:rFonts w:ascii="宋体"/>
                <w:vanish/>
              </w:rPr>
            </w:pPr>
          </w:p>
        </w:tc>
        <w:tc>
          <w:tcPr>
            <w:tcW w:w="0" w:type="auto"/>
            <w:gridSpan w:val="3"/>
            <w:shd w:val="clear" w:color="auto" w:fill="auto"/>
            <w:vAlign w:val="bottom"/>
          </w:tcPr>
          <w:p w14:paraId="392C642D" w14:textId="77777777" w:rsidR="00980E5F" w:rsidRDefault="00980E5F">
            <w:pPr>
              <w:rPr>
                <w:rFonts w:ascii="宋体"/>
                <w:vanish/>
              </w:rPr>
            </w:pPr>
          </w:p>
        </w:tc>
        <w:tc>
          <w:tcPr>
            <w:tcW w:w="0" w:type="auto"/>
            <w:gridSpan w:val="3"/>
            <w:shd w:val="clear" w:color="auto" w:fill="auto"/>
            <w:vAlign w:val="bottom"/>
          </w:tcPr>
          <w:p w14:paraId="392C642E" w14:textId="77777777" w:rsidR="00980E5F" w:rsidRDefault="00980E5F">
            <w:pPr>
              <w:rPr>
                <w:rFonts w:ascii="宋体"/>
                <w:vanish/>
              </w:rPr>
            </w:pPr>
          </w:p>
        </w:tc>
        <w:tc>
          <w:tcPr>
            <w:tcW w:w="0" w:type="auto"/>
            <w:gridSpan w:val="3"/>
            <w:shd w:val="clear" w:color="auto" w:fill="auto"/>
            <w:vAlign w:val="bottom"/>
          </w:tcPr>
          <w:p w14:paraId="392C642F" w14:textId="77777777" w:rsidR="00980E5F" w:rsidRDefault="00980E5F">
            <w:pPr>
              <w:rPr>
                <w:rFonts w:ascii="宋体"/>
                <w:vanish/>
              </w:rPr>
            </w:pPr>
          </w:p>
        </w:tc>
        <w:tc>
          <w:tcPr>
            <w:tcW w:w="0" w:type="auto"/>
            <w:gridSpan w:val="3"/>
            <w:shd w:val="clear" w:color="auto" w:fill="auto"/>
            <w:vAlign w:val="bottom"/>
          </w:tcPr>
          <w:p w14:paraId="392C6430" w14:textId="77777777" w:rsidR="00980E5F" w:rsidRDefault="00980E5F">
            <w:pPr>
              <w:rPr>
                <w:rFonts w:ascii="宋体"/>
                <w:vanish/>
              </w:rPr>
            </w:pPr>
          </w:p>
        </w:tc>
      </w:tr>
      <w:tr w:rsidR="00980E5F" w14:paraId="392C643E" w14:textId="77777777">
        <w:trPr>
          <w:hidden/>
        </w:trPr>
        <w:tc>
          <w:tcPr>
            <w:tcW w:w="0" w:type="auto"/>
            <w:gridSpan w:val="3"/>
            <w:shd w:val="clear" w:color="auto" w:fill="auto"/>
            <w:vAlign w:val="bottom"/>
          </w:tcPr>
          <w:p w14:paraId="392C6432" w14:textId="77777777" w:rsidR="00980E5F" w:rsidRDefault="00980E5F">
            <w:pPr>
              <w:rPr>
                <w:rFonts w:ascii="宋体"/>
                <w:vanish/>
              </w:rPr>
            </w:pPr>
          </w:p>
        </w:tc>
        <w:tc>
          <w:tcPr>
            <w:tcW w:w="0" w:type="auto"/>
            <w:gridSpan w:val="3"/>
            <w:shd w:val="clear" w:color="auto" w:fill="auto"/>
            <w:vAlign w:val="bottom"/>
          </w:tcPr>
          <w:p w14:paraId="392C6433" w14:textId="77777777" w:rsidR="00980E5F" w:rsidRDefault="00980E5F">
            <w:pPr>
              <w:rPr>
                <w:rFonts w:ascii="宋体"/>
                <w:vanish/>
              </w:rPr>
            </w:pPr>
          </w:p>
        </w:tc>
        <w:tc>
          <w:tcPr>
            <w:tcW w:w="0" w:type="auto"/>
            <w:gridSpan w:val="3"/>
            <w:shd w:val="clear" w:color="auto" w:fill="auto"/>
            <w:vAlign w:val="bottom"/>
          </w:tcPr>
          <w:p w14:paraId="392C6434" w14:textId="77777777" w:rsidR="00980E5F" w:rsidRDefault="00980E5F">
            <w:pPr>
              <w:rPr>
                <w:rFonts w:ascii="宋体"/>
                <w:vanish/>
              </w:rPr>
            </w:pPr>
          </w:p>
        </w:tc>
        <w:tc>
          <w:tcPr>
            <w:tcW w:w="0" w:type="auto"/>
            <w:gridSpan w:val="3"/>
            <w:shd w:val="clear" w:color="auto" w:fill="auto"/>
            <w:vAlign w:val="bottom"/>
          </w:tcPr>
          <w:p w14:paraId="392C6435" w14:textId="77777777" w:rsidR="00980E5F" w:rsidRDefault="00980E5F">
            <w:pPr>
              <w:rPr>
                <w:rFonts w:ascii="宋体"/>
                <w:vanish/>
              </w:rPr>
            </w:pPr>
          </w:p>
        </w:tc>
        <w:tc>
          <w:tcPr>
            <w:tcW w:w="0" w:type="auto"/>
            <w:gridSpan w:val="3"/>
            <w:shd w:val="clear" w:color="auto" w:fill="auto"/>
            <w:vAlign w:val="bottom"/>
          </w:tcPr>
          <w:p w14:paraId="392C6436" w14:textId="77777777" w:rsidR="00980E5F" w:rsidRDefault="00980E5F">
            <w:pPr>
              <w:rPr>
                <w:rFonts w:ascii="宋体"/>
                <w:vanish/>
              </w:rPr>
            </w:pPr>
          </w:p>
        </w:tc>
        <w:tc>
          <w:tcPr>
            <w:tcW w:w="0" w:type="auto"/>
            <w:gridSpan w:val="3"/>
            <w:shd w:val="clear" w:color="auto" w:fill="auto"/>
            <w:vAlign w:val="bottom"/>
          </w:tcPr>
          <w:p w14:paraId="392C6437" w14:textId="77777777" w:rsidR="00980E5F" w:rsidRDefault="00980E5F">
            <w:pPr>
              <w:rPr>
                <w:rFonts w:ascii="宋体"/>
                <w:vanish/>
              </w:rPr>
            </w:pPr>
          </w:p>
        </w:tc>
        <w:tc>
          <w:tcPr>
            <w:tcW w:w="0" w:type="auto"/>
            <w:gridSpan w:val="3"/>
            <w:shd w:val="clear" w:color="auto" w:fill="auto"/>
            <w:vAlign w:val="bottom"/>
          </w:tcPr>
          <w:p w14:paraId="392C6438" w14:textId="77777777" w:rsidR="00980E5F" w:rsidRDefault="00980E5F">
            <w:pPr>
              <w:rPr>
                <w:rFonts w:ascii="宋体"/>
                <w:vanish/>
              </w:rPr>
            </w:pPr>
          </w:p>
        </w:tc>
        <w:tc>
          <w:tcPr>
            <w:tcW w:w="0" w:type="auto"/>
            <w:gridSpan w:val="3"/>
            <w:shd w:val="clear" w:color="auto" w:fill="auto"/>
            <w:vAlign w:val="bottom"/>
          </w:tcPr>
          <w:p w14:paraId="392C6439" w14:textId="77777777" w:rsidR="00980E5F" w:rsidRDefault="00980E5F">
            <w:pPr>
              <w:rPr>
                <w:rFonts w:ascii="宋体"/>
                <w:vanish/>
              </w:rPr>
            </w:pPr>
          </w:p>
        </w:tc>
        <w:tc>
          <w:tcPr>
            <w:tcW w:w="0" w:type="auto"/>
            <w:gridSpan w:val="3"/>
            <w:shd w:val="clear" w:color="auto" w:fill="auto"/>
            <w:vAlign w:val="bottom"/>
          </w:tcPr>
          <w:p w14:paraId="392C643A" w14:textId="77777777" w:rsidR="00980E5F" w:rsidRDefault="00980E5F">
            <w:pPr>
              <w:rPr>
                <w:rFonts w:ascii="宋体"/>
                <w:vanish/>
              </w:rPr>
            </w:pPr>
          </w:p>
        </w:tc>
        <w:tc>
          <w:tcPr>
            <w:tcW w:w="0" w:type="auto"/>
            <w:gridSpan w:val="3"/>
            <w:shd w:val="clear" w:color="auto" w:fill="auto"/>
            <w:vAlign w:val="bottom"/>
          </w:tcPr>
          <w:p w14:paraId="392C643B" w14:textId="77777777" w:rsidR="00980E5F" w:rsidRDefault="00980E5F">
            <w:pPr>
              <w:rPr>
                <w:rFonts w:ascii="宋体"/>
                <w:vanish/>
              </w:rPr>
            </w:pPr>
          </w:p>
        </w:tc>
        <w:tc>
          <w:tcPr>
            <w:tcW w:w="0" w:type="auto"/>
            <w:gridSpan w:val="3"/>
            <w:shd w:val="clear" w:color="auto" w:fill="auto"/>
            <w:vAlign w:val="bottom"/>
          </w:tcPr>
          <w:p w14:paraId="392C643C" w14:textId="77777777" w:rsidR="00980E5F" w:rsidRDefault="00980E5F">
            <w:pPr>
              <w:rPr>
                <w:rFonts w:ascii="宋体"/>
                <w:vanish/>
              </w:rPr>
            </w:pPr>
          </w:p>
        </w:tc>
        <w:tc>
          <w:tcPr>
            <w:tcW w:w="0" w:type="auto"/>
            <w:gridSpan w:val="3"/>
            <w:shd w:val="clear" w:color="auto" w:fill="auto"/>
            <w:vAlign w:val="bottom"/>
          </w:tcPr>
          <w:p w14:paraId="392C643D" w14:textId="77777777" w:rsidR="00980E5F" w:rsidRDefault="00980E5F">
            <w:pPr>
              <w:rPr>
                <w:rFonts w:ascii="宋体"/>
                <w:vanish/>
              </w:rPr>
            </w:pPr>
          </w:p>
        </w:tc>
      </w:tr>
      <w:tr w:rsidR="00980E5F" w14:paraId="392C644B" w14:textId="77777777">
        <w:trPr>
          <w:hidden/>
        </w:trPr>
        <w:tc>
          <w:tcPr>
            <w:tcW w:w="0" w:type="auto"/>
            <w:gridSpan w:val="3"/>
            <w:shd w:val="clear" w:color="auto" w:fill="auto"/>
            <w:vAlign w:val="bottom"/>
          </w:tcPr>
          <w:p w14:paraId="392C643F" w14:textId="77777777" w:rsidR="00980E5F" w:rsidRDefault="00980E5F">
            <w:pPr>
              <w:rPr>
                <w:rFonts w:ascii="宋体"/>
                <w:vanish/>
              </w:rPr>
            </w:pPr>
          </w:p>
        </w:tc>
        <w:tc>
          <w:tcPr>
            <w:tcW w:w="0" w:type="auto"/>
            <w:gridSpan w:val="3"/>
            <w:shd w:val="clear" w:color="auto" w:fill="auto"/>
            <w:vAlign w:val="bottom"/>
          </w:tcPr>
          <w:p w14:paraId="392C6440" w14:textId="77777777" w:rsidR="00980E5F" w:rsidRDefault="00980E5F">
            <w:pPr>
              <w:rPr>
                <w:rFonts w:ascii="宋体"/>
                <w:vanish/>
              </w:rPr>
            </w:pPr>
          </w:p>
        </w:tc>
        <w:tc>
          <w:tcPr>
            <w:tcW w:w="0" w:type="auto"/>
            <w:gridSpan w:val="3"/>
            <w:shd w:val="clear" w:color="auto" w:fill="auto"/>
            <w:vAlign w:val="bottom"/>
          </w:tcPr>
          <w:p w14:paraId="392C6441" w14:textId="77777777" w:rsidR="00980E5F" w:rsidRDefault="00980E5F">
            <w:pPr>
              <w:rPr>
                <w:rFonts w:ascii="宋体"/>
                <w:vanish/>
              </w:rPr>
            </w:pPr>
          </w:p>
        </w:tc>
        <w:tc>
          <w:tcPr>
            <w:tcW w:w="0" w:type="auto"/>
            <w:gridSpan w:val="3"/>
            <w:shd w:val="clear" w:color="auto" w:fill="auto"/>
            <w:vAlign w:val="bottom"/>
          </w:tcPr>
          <w:p w14:paraId="392C6442" w14:textId="77777777" w:rsidR="00980E5F" w:rsidRDefault="00980E5F">
            <w:pPr>
              <w:rPr>
                <w:rFonts w:ascii="宋体"/>
                <w:vanish/>
              </w:rPr>
            </w:pPr>
          </w:p>
        </w:tc>
        <w:tc>
          <w:tcPr>
            <w:tcW w:w="0" w:type="auto"/>
            <w:gridSpan w:val="3"/>
            <w:shd w:val="clear" w:color="auto" w:fill="auto"/>
            <w:vAlign w:val="bottom"/>
          </w:tcPr>
          <w:p w14:paraId="392C6443" w14:textId="77777777" w:rsidR="00980E5F" w:rsidRDefault="00980E5F">
            <w:pPr>
              <w:rPr>
                <w:rFonts w:ascii="宋体"/>
                <w:vanish/>
              </w:rPr>
            </w:pPr>
          </w:p>
        </w:tc>
        <w:tc>
          <w:tcPr>
            <w:tcW w:w="0" w:type="auto"/>
            <w:gridSpan w:val="3"/>
            <w:shd w:val="clear" w:color="auto" w:fill="auto"/>
            <w:vAlign w:val="bottom"/>
          </w:tcPr>
          <w:p w14:paraId="392C6444" w14:textId="77777777" w:rsidR="00980E5F" w:rsidRDefault="00980E5F">
            <w:pPr>
              <w:rPr>
                <w:rFonts w:ascii="宋体"/>
                <w:vanish/>
              </w:rPr>
            </w:pPr>
          </w:p>
        </w:tc>
        <w:tc>
          <w:tcPr>
            <w:tcW w:w="0" w:type="auto"/>
            <w:gridSpan w:val="3"/>
            <w:shd w:val="clear" w:color="auto" w:fill="auto"/>
            <w:vAlign w:val="bottom"/>
          </w:tcPr>
          <w:p w14:paraId="392C6445" w14:textId="77777777" w:rsidR="00980E5F" w:rsidRDefault="00980E5F">
            <w:pPr>
              <w:rPr>
                <w:rFonts w:ascii="宋体"/>
                <w:vanish/>
              </w:rPr>
            </w:pPr>
          </w:p>
        </w:tc>
        <w:tc>
          <w:tcPr>
            <w:tcW w:w="0" w:type="auto"/>
            <w:gridSpan w:val="3"/>
            <w:shd w:val="clear" w:color="auto" w:fill="auto"/>
            <w:vAlign w:val="bottom"/>
          </w:tcPr>
          <w:p w14:paraId="392C6446" w14:textId="77777777" w:rsidR="00980E5F" w:rsidRDefault="00980E5F">
            <w:pPr>
              <w:rPr>
                <w:rFonts w:ascii="宋体"/>
                <w:vanish/>
              </w:rPr>
            </w:pPr>
          </w:p>
        </w:tc>
        <w:tc>
          <w:tcPr>
            <w:tcW w:w="0" w:type="auto"/>
            <w:gridSpan w:val="3"/>
            <w:shd w:val="clear" w:color="auto" w:fill="auto"/>
            <w:vAlign w:val="bottom"/>
          </w:tcPr>
          <w:p w14:paraId="392C6447" w14:textId="77777777" w:rsidR="00980E5F" w:rsidRDefault="00980E5F">
            <w:pPr>
              <w:rPr>
                <w:rFonts w:ascii="宋体"/>
                <w:vanish/>
              </w:rPr>
            </w:pPr>
          </w:p>
        </w:tc>
        <w:tc>
          <w:tcPr>
            <w:tcW w:w="0" w:type="auto"/>
            <w:gridSpan w:val="3"/>
            <w:shd w:val="clear" w:color="auto" w:fill="auto"/>
            <w:vAlign w:val="bottom"/>
          </w:tcPr>
          <w:p w14:paraId="392C6448" w14:textId="77777777" w:rsidR="00980E5F" w:rsidRDefault="00980E5F">
            <w:pPr>
              <w:rPr>
                <w:rFonts w:ascii="宋体"/>
                <w:vanish/>
              </w:rPr>
            </w:pPr>
          </w:p>
        </w:tc>
        <w:tc>
          <w:tcPr>
            <w:tcW w:w="0" w:type="auto"/>
            <w:gridSpan w:val="3"/>
            <w:shd w:val="clear" w:color="auto" w:fill="auto"/>
            <w:vAlign w:val="bottom"/>
          </w:tcPr>
          <w:p w14:paraId="392C6449" w14:textId="77777777" w:rsidR="00980E5F" w:rsidRDefault="00980E5F">
            <w:pPr>
              <w:rPr>
                <w:rFonts w:ascii="宋体"/>
                <w:vanish/>
              </w:rPr>
            </w:pPr>
          </w:p>
        </w:tc>
        <w:tc>
          <w:tcPr>
            <w:tcW w:w="0" w:type="auto"/>
            <w:gridSpan w:val="3"/>
            <w:shd w:val="clear" w:color="auto" w:fill="auto"/>
            <w:vAlign w:val="bottom"/>
          </w:tcPr>
          <w:p w14:paraId="392C644A" w14:textId="77777777" w:rsidR="00980E5F" w:rsidRDefault="00980E5F">
            <w:pPr>
              <w:rPr>
                <w:rFonts w:ascii="宋体"/>
                <w:vanish/>
              </w:rPr>
            </w:pPr>
          </w:p>
        </w:tc>
      </w:tr>
      <w:tr w:rsidR="00980E5F" w14:paraId="392C6458" w14:textId="77777777">
        <w:trPr>
          <w:hidden/>
        </w:trPr>
        <w:tc>
          <w:tcPr>
            <w:tcW w:w="0" w:type="auto"/>
            <w:gridSpan w:val="3"/>
            <w:shd w:val="clear" w:color="auto" w:fill="auto"/>
            <w:vAlign w:val="bottom"/>
          </w:tcPr>
          <w:p w14:paraId="392C644C" w14:textId="77777777" w:rsidR="00980E5F" w:rsidRDefault="00980E5F">
            <w:pPr>
              <w:rPr>
                <w:rFonts w:ascii="宋体"/>
                <w:vanish/>
              </w:rPr>
            </w:pPr>
          </w:p>
        </w:tc>
        <w:tc>
          <w:tcPr>
            <w:tcW w:w="0" w:type="auto"/>
            <w:gridSpan w:val="3"/>
            <w:shd w:val="clear" w:color="auto" w:fill="auto"/>
            <w:vAlign w:val="bottom"/>
          </w:tcPr>
          <w:p w14:paraId="392C644D" w14:textId="77777777" w:rsidR="00980E5F" w:rsidRDefault="00980E5F">
            <w:pPr>
              <w:rPr>
                <w:rFonts w:ascii="宋体"/>
                <w:vanish/>
              </w:rPr>
            </w:pPr>
          </w:p>
        </w:tc>
        <w:tc>
          <w:tcPr>
            <w:tcW w:w="0" w:type="auto"/>
            <w:gridSpan w:val="3"/>
            <w:shd w:val="clear" w:color="auto" w:fill="auto"/>
            <w:vAlign w:val="bottom"/>
          </w:tcPr>
          <w:p w14:paraId="392C644E" w14:textId="77777777" w:rsidR="00980E5F" w:rsidRDefault="00980E5F">
            <w:pPr>
              <w:rPr>
                <w:rFonts w:ascii="宋体"/>
                <w:vanish/>
              </w:rPr>
            </w:pPr>
          </w:p>
        </w:tc>
        <w:tc>
          <w:tcPr>
            <w:tcW w:w="0" w:type="auto"/>
            <w:gridSpan w:val="3"/>
            <w:shd w:val="clear" w:color="auto" w:fill="auto"/>
            <w:vAlign w:val="bottom"/>
          </w:tcPr>
          <w:p w14:paraId="392C644F" w14:textId="77777777" w:rsidR="00980E5F" w:rsidRDefault="00980E5F">
            <w:pPr>
              <w:rPr>
                <w:rFonts w:ascii="宋体"/>
                <w:vanish/>
              </w:rPr>
            </w:pPr>
          </w:p>
        </w:tc>
        <w:tc>
          <w:tcPr>
            <w:tcW w:w="0" w:type="auto"/>
            <w:gridSpan w:val="3"/>
            <w:shd w:val="clear" w:color="auto" w:fill="auto"/>
            <w:vAlign w:val="bottom"/>
          </w:tcPr>
          <w:p w14:paraId="392C6450" w14:textId="77777777" w:rsidR="00980E5F" w:rsidRDefault="00980E5F">
            <w:pPr>
              <w:rPr>
                <w:rFonts w:ascii="宋体"/>
                <w:vanish/>
              </w:rPr>
            </w:pPr>
          </w:p>
        </w:tc>
        <w:tc>
          <w:tcPr>
            <w:tcW w:w="0" w:type="auto"/>
            <w:gridSpan w:val="3"/>
            <w:shd w:val="clear" w:color="auto" w:fill="auto"/>
            <w:vAlign w:val="bottom"/>
          </w:tcPr>
          <w:p w14:paraId="392C6451" w14:textId="77777777" w:rsidR="00980E5F" w:rsidRDefault="00980E5F">
            <w:pPr>
              <w:rPr>
                <w:rFonts w:ascii="宋体"/>
                <w:vanish/>
              </w:rPr>
            </w:pPr>
          </w:p>
        </w:tc>
        <w:tc>
          <w:tcPr>
            <w:tcW w:w="0" w:type="auto"/>
            <w:gridSpan w:val="3"/>
            <w:shd w:val="clear" w:color="auto" w:fill="auto"/>
            <w:vAlign w:val="bottom"/>
          </w:tcPr>
          <w:p w14:paraId="392C6452" w14:textId="77777777" w:rsidR="00980E5F" w:rsidRDefault="00980E5F">
            <w:pPr>
              <w:rPr>
                <w:rFonts w:ascii="宋体"/>
                <w:vanish/>
              </w:rPr>
            </w:pPr>
          </w:p>
        </w:tc>
        <w:tc>
          <w:tcPr>
            <w:tcW w:w="0" w:type="auto"/>
            <w:gridSpan w:val="3"/>
            <w:shd w:val="clear" w:color="auto" w:fill="auto"/>
            <w:vAlign w:val="bottom"/>
          </w:tcPr>
          <w:p w14:paraId="392C6453" w14:textId="77777777" w:rsidR="00980E5F" w:rsidRDefault="00980E5F">
            <w:pPr>
              <w:rPr>
                <w:rFonts w:ascii="宋体"/>
                <w:vanish/>
              </w:rPr>
            </w:pPr>
          </w:p>
        </w:tc>
        <w:tc>
          <w:tcPr>
            <w:tcW w:w="0" w:type="auto"/>
            <w:gridSpan w:val="3"/>
            <w:shd w:val="clear" w:color="auto" w:fill="auto"/>
            <w:vAlign w:val="bottom"/>
          </w:tcPr>
          <w:p w14:paraId="392C6454" w14:textId="77777777" w:rsidR="00980E5F" w:rsidRDefault="00980E5F">
            <w:pPr>
              <w:rPr>
                <w:rFonts w:ascii="宋体"/>
                <w:vanish/>
              </w:rPr>
            </w:pPr>
          </w:p>
        </w:tc>
        <w:tc>
          <w:tcPr>
            <w:tcW w:w="0" w:type="auto"/>
            <w:gridSpan w:val="3"/>
            <w:shd w:val="clear" w:color="auto" w:fill="auto"/>
            <w:vAlign w:val="bottom"/>
          </w:tcPr>
          <w:p w14:paraId="392C6455" w14:textId="77777777" w:rsidR="00980E5F" w:rsidRDefault="00980E5F">
            <w:pPr>
              <w:rPr>
                <w:rFonts w:ascii="宋体"/>
                <w:vanish/>
              </w:rPr>
            </w:pPr>
          </w:p>
        </w:tc>
        <w:tc>
          <w:tcPr>
            <w:tcW w:w="0" w:type="auto"/>
            <w:gridSpan w:val="3"/>
            <w:shd w:val="clear" w:color="auto" w:fill="auto"/>
            <w:vAlign w:val="bottom"/>
          </w:tcPr>
          <w:p w14:paraId="392C6456" w14:textId="77777777" w:rsidR="00980E5F" w:rsidRDefault="00980E5F">
            <w:pPr>
              <w:rPr>
                <w:rFonts w:ascii="宋体"/>
                <w:vanish/>
              </w:rPr>
            </w:pPr>
          </w:p>
        </w:tc>
        <w:tc>
          <w:tcPr>
            <w:tcW w:w="0" w:type="auto"/>
            <w:gridSpan w:val="3"/>
            <w:shd w:val="clear" w:color="auto" w:fill="auto"/>
            <w:vAlign w:val="bottom"/>
          </w:tcPr>
          <w:p w14:paraId="392C6457" w14:textId="77777777" w:rsidR="00980E5F" w:rsidRDefault="00980E5F">
            <w:pPr>
              <w:rPr>
                <w:rFonts w:ascii="宋体"/>
                <w:vanish/>
              </w:rPr>
            </w:pPr>
          </w:p>
        </w:tc>
      </w:tr>
      <w:tr w:rsidR="00980E5F" w14:paraId="392C6465" w14:textId="77777777">
        <w:trPr>
          <w:hidden/>
        </w:trPr>
        <w:tc>
          <w:tcPr>
            <w:tcW w:w="0" w:type="auto"/>
            <w:gridSpan w:val="3"/>
            <w:shd w:val="clear" w:color="auto" w:fill="auto"/>
            <w:vAlign w:val="bottom"/>
          </w:tcPr>
          <w:p w14:paraId="392C6459" w14:textId="77777777" w:rsidR="00980E5F" w:rsidRDefault="00980E5F">
            <w:pPr>
              <w:rPr>
                <w:rFonts w:ascii="宋体"/>
                <w:vanish/>
              </w:rPr>
            </w:pPr>
          </w:p>
        </w:tc>
        <w:tc>
          <w:tcPr>
            <w:tcW w:w="0" w:type="auto"/>
            <w:gridSpan w:val="3"/>
            <w:shd w:val="clear" w:color="auto" w:fill="auto"/>
            <w:vAlign w:val="bottom"/>
          </w:tcPr>
          <w:p w14:paraId="392C645A" w14:textId="77777777" w:rsidR="00980E5F" w:rsidRDefault="00980E5F">
            <w:pPr>
              <w:rPr>
                <w:rFonts w:ascii="宋体"/>
                <w:vanish/>
              </w:rPr>
            </w:pPr>
          </w:p>
        </w:tc>
        <w:tc>
          <w:tcPr>
            <w:tcW w:w="0" w:type="auto"/>
            <w:gridSpan w:val="3"/>
            <w:shd w:val="clear" w:color="auto" w:fill="auto"/>
            <w:vAlign w:val="bottom"/>
          </w:tcPr>
          <w:p w14:paraId="392C645B" w14:textId="77777777" w:rsidR="00980E5F" w:rsidRDefault="00980E5F">
            <w:pPr>
              <w:rPr>
                <w:rFonts w:ascii="宋体"/>
                <w:vanish/>
              </w:rPr>
            </w:pPr>
          </w:p>
        </w:tc>
        <w:tc>
          <w:tcPr>
            <w:tcW w:w="0" w:type="auto"/>
            <w:gridSpan w:val="3"/>
            <w:shd w:val="clear" w:color="auto" w:fill="auto"/>
            <w:vAlign w:val="bottom"/>
          </w:tcPr>
          <w:p w14:paraId="392C645C" w14:textId="77777777" w:rsidR="00980E5F" w:rsidRDefault="00980E5F">
            <w:pPr>
              <w:rPr>
                <w:rFonts w:ascii="宋体"/>
                <w:vanish/>
              </w:rPr>
            </w:pPr>
          </w:p>
        </w:tc>
        <w:tc>
          <w:tcPr>
            <w:tcW w:w="0" w:type="auto"/>
            <w:gridSpan w:val="3"/>
            <w:shd w:val="clear" w:color="auto" w:fill="auto"/>
            <w:vAlign w:val="bottom"/>
          </w:tcPr>
          <w:p w14:paraId="392C645D" w14:textId="77777777" w:rsidR="00980E5F" w:rsidRDefault="00980E5F">
            <w:pPr>
              <w:rPr>
                <w:rFonts w:ascii="宋体"/>
                <w:vanish/>
              </w:rPr>
            </w:pPr>
          </w:p>
        </w:tc>
        <w:tc>
          <w:tcPr>
            <w:tcW w:w="0" w:type="auto"/>
            <w:gridSpan w:val="3"/>
            <w:shd w:val="clear" w:color="auto" w:fill="auto"/>
            <w:vAlign w:val="bottom"/>
          </w:tcPr>
          <w:p w14:paraId="392C645E" w14:textId="77777777" w:rsidR="00980E5F" w:rsidRDefault="00980E5F">
            <w:pPr>
              <w:rPr>
                <w:rFonts w:ascii="宋体"/>
                <w:vanish/>
              </w:rPr>
            </w:pPr>
          </w:p>
        </w:tc>
        <w:tc>
          <w:tcPr>
            <w:tcW w:w="0" w:type="auto"/>
            <w:gridSpan w:val="3"/>
            <w:shd w:val="clear" w:color="auto" w:fill="auto"/>
            <w:vAlign w:val="bottom"/>
          </w:tcPr>
          <w:p w14:paraId="392C645F" w14:textId="77777777" w:rsidR="00980E5F" w:rsidRDefault="00980E5F">
            <w:pPr>
              <w:rPr>
                <w:rFonts w:ascii="宋体"/>
                <w:vanish/>
              </w:rPr>
            </w:pPr>
          </w:p>
        </w:tc>
        <w:tc>
          <w:tcPr>
            <w:tcW w:w="0" w:type="auto"/>
            <w:gridSpan w:val="3"/>
            <w:shd w:val="clear" w:color="auto" w:fill="auto"/>
            <w:vAlign w:val="bottom"/>
          </w:tcPr>
          <w:p w14:paraId="392C6460" w14:textId="77777777" w:rsidR="00980E5F" w:rsidRDefault="00980E5F">
            <w:pPr>
              <w:rPr>
                <w:rFonts w:ascii="宋体"/>
                <w:vanish/>
              </w:rPr>
            </w:pPr>
          </w:p>
        </w:tc>
        <w:tc>
          <w:tcPr>
            <w:tcW w:w="0" w:type="auto"/>
            <w:gridSpan w:val="3"/>
            <w:shd w:val="clear" w:color="auto" w:fill="auto"/>
            <w:vAlign w:val="bottom"/>
          </w:tcPr>
          <w:p w14:paraId="392C6461" w14:textId="77777777" w:rsidR="00980E5F" w:rsidRDefault="00980E5F">
            <w:pPr>
              <w:rPr>
                <w:rFonts w:ascii="宋体"/>
                <w:vanish/>
              </w:rPr>
            </w:pPr>
          </w:p>
        </w:tc>
        <w:tc>
          <w:tcPr>
            <w:tcW w:w="0" w:type="auto"/>
            <w:gridSpan w:val="3"/>
            <w:shd w:val="clear" w:color="auto" w:fill="auto"/>
            <w:vAlign w:val="bottom"/>
          </w:tcPr>
          <w:p w14:paraId="392C6462" w14:textId="77777777" w:rsidR="00980E5F" w:rsidRDefault="00980E5F">
            <w:pPr>
              <w:rPr>
                <w:rFonts w:ascii="宋体"/>
                <w:vanish/>
              </w:rPr>
            </w:pPr>
          </w:p>
        </w:tc>
        <w:tc>
          <w:tcPr>
            <w:tcW w:w="0" w:type="auto"/>
            <w:gridSpan w:val="3"/>
            <w:shd w:val="clear" w:color="auto" w:fill="auto"/>
            <w:vAlign w:val="bottom"/>
          </w:tcPr>
          <w:p w14:paraId="392C6463" w14:textId="77777777" w:rsidR="00980E5F" w:rsidRDefault="00980E5F">
            <w:pPr>
              <w:rPr>
                <w:rFonts w:ascii="宋体"/>
                <w:vanish/>
              </w:rPr>
            </w:pPr>
          </w:p>
        </w:tc>
        <w:tc>
          <w:tcPr>
            <w:tcW w:w="0" w:type="auto"/>
            <w:gridSpan w:val="3"/>
            <w:shd w:val="clear" w:color="auto" w:fill="auto"/>
            <w:vAlign w:val="bottom"/>
          </w:tcPr>
          <w:p w14:paraId="392C6464" w14:textId="77777777" w:rsidR="00980E5F" w:rsidRDefault="00980E5F">
            <w:pPr>
              <w:rPr>
                <w:rFonts w:ascii="宋体"/>
                <w:vanish/>
              </w:rPr>
            </w:pPr>
          </w:p>
        </w:tc>
      </w:tr>
      <w:tr w:rsidR="00980E5F" w14:paraId="392C6472" w14:textId="77777777">
        <w:trPr>
          <w:hidden/>
        </w:trPr>
        <w:tc>
          <w:tcPr>
            <w:tcW w:w="0" w:type="auto"/>
            <w:gridSpan w:val="3"/>
            <w:shd w:val="clear" w:color="auto" w:fill="auto"/>
            <w:vAlign w:val="bottom"/>
          </w:tcPr>
          <w:p w14:paraId="392C6466" w14:textId="77777777" w:rsidR="00980E5F" w:rsidRDefault="00980E5F">
            <w:pPr>
              <w:rPr>
                <w:rFonts w:ascii="宋体"/>
                <w:vanish/>
              </w:rPr>
            </w:pPr>
          </w:p>
        </w:tc>
        <w:tc>
          <w:tcPr>
            <w:tcW w:w="0" w:type="auto"/>
            <w:gridSpan w:val="3"/>
            <w:shd w:val="clear" w:color="auto" w:fill="auto"/>
            <w:vAlign w:val="bottom"/>
          </w:tcPr>
          <w:p w14:paraId="392C6467" w14:textId="77777777" w:rsidR="00980E5F" w:rsidRDefault="00980E5F">
            <w:pPr>
              <w:rPr>
                <w:rFonts w:ascii="宋体"/>
                <w:vanish/>
              </w:rPr>
            </w:pPr>
          </w:p>
        </w:tc>
        <w:tc>
          <w:tcPr>
            <w:tcW w:w="0" w:type="auto"/>
            <w:gridSpan w:val="3"/>
            <w:shd w:val="clear" w:color="auto" w:fill="auto"/>
            <w:vAlign w:val="bottom"/>
          </w:tcPr>
          <w:p w14:paraId="392C6468" w14:textId="77777777" w:rsidR="00980E5F" w:rsidRDefault="00980E5F">
            <w:pPr>
              <w:rPr>
                <w:rFonts w:ascii="宋体"/>
                <w:vanish/>
              </w:rPr>
            </w:pPr>
          </w:p>
        </w:tc>
        <w:tc>
          <w:tcPr>
            <w:tcW w:w="0" w:type="auto"/>
            <w:gridSpan w:val="3"/>
            <w:shd w:val="clear" w:color="auto" w:fill="auto"/>
            <w:vAlign w:val="bottom"/>
          </w:tcPr>
          <w:p w14:paraId="392C6469" w14:textId="77777777" w:rsidR="00980E5F" w:rsidRDefault="00980E5F">
            <w:pPr>
              <w:rPr>
                <w:rFonts w:ascii="宋体"/>
                <w:vanish/>
              </w:rPr>
            </w:pPr>
          </w:p>
        </w:tc>
        <w:tc>
          <w:tcPr>
            <w:tcW w:w="0" w:type="auto"/>
            <w:gridSpan w:val="3"/>
            <w:shd w:val="clear" w:color="auto" w:fill="auto"/>
            <w:vAlign w:val="bottom"/>
          </w:tcPr>
          <w:p w14:paraId="392C646A" w14:textId="77777777" w:rsidR="00980E5F" w:rsidRDefault="00980E5F">
            <w:pPr>
              <w:rPr>
                <w:rFonts w:ascii="宋体"/>
                <w:vanish/>
              </w:rPr>
            </w:pPr>
          </w:p>
        </w:tc>
        <w:tc>
          <w:tcPr>
            <w:tcW w:w="0" w:type="auto"/>
            <w:gridSpan w:val="3"/>
            <w:shd w:val="clear" w:color="auto" w:fill="auto"/>
            <w:vAlign w:val="bottom"/>
          </w:tcPr>
          <w:p w14:paraId="392C646B" w14:textId="77777777" w:rsidR="00980E5F" w:rsidRDefault="00980E5F">
            <w:pPr>
              <w:rPr>
                <w:rFonts w:ascii="宋体"/>
                <w:vanish/>
              </w:rPr>
            </w:pPr>
          </w:p>
        </w:tc>
        <w:tc>
          <w:tcPr>
            <w:tcW w:w="0" w:type="auto"/>
            <w:gridSpan w:val="3"/>
            <w:shd w:val="clear" w:color="auto" w:fill="auto"/>
            <w:vAlign w:val="bottom"/>
          </w:tcPr>
          <w:p w14:paraId="392C646C" w14:textId="77777777" w:rsidR="00980E5F" w:rsidRDefault="00980E5F">
            <w:pPr>
              <w:rPr>
                <w:rFonts w:ascii="宋体"/>
                <w:vanish/>
              </w:rPr>
            </w:pPr>
          </w:p>
        </w:tc>
        <w:tc>
          <w:tcPr>
            <w:tcW w:w="0" w:type="auto"/>
            <w:gridSpan w:val="3"/>
            <w:shd w:val="clear" w:color="auto" w:fill="auto"/>
            <w:vAlign w:val="bottom"/>
          </w:tcPr>
          <w:p w14:paraId="392C646D" w14:textId="77777777" w:rsidR="00980E5F" w:rsidRDefault="00980E5F">
            <w:pPr>
              <w:rPr>
                <w:rFonts w:ascii="宋体"/>
                <w:vanish/>
              </w:rPr>
            </w:pPr>
          </w:p>
        </w:tc>
        <w:tc>
          <w:tcPr>
            <w:tcW w:w="0" w:type="auto"/>
            <w:gridSpan w:val="3"/>
            <w:shd w:val="clear" w:color="auto" w:fill="auto"/>
            <w:vAlign w:val="bottom"/>
          </w:tcPr>
          <w:p w14:paraId="392C646E" w14:textId="77777777" w:rsidR="00980E5F" w:rsidRDefault="00980E5F">
            <w:pPr>
              <w:rPr>
                <w:rFonts w:ascii="宋体"/>
                <w:vanish/>
              </w:rPr>
            </w:pPr>
          </w:p>
        </w:tc>
        <w:tc>
          <w:tcPr>
            <w:tcW w:w="0" w:type="auto"/>
            <w:gridSpan w:val="3"/>
            <w:shd w:val="clear" w:color="auto" w:fill="auto"/>
            <w:vAlign w:val="bottom"/>
          </w:tcPr>
          <w:p w14:paraId="392C646F" w14:textId="77777777" w:rsidR="00980E5F" w:rsidRDefault="00980E5F">
            <w:pPr>
              <w:rPr>
                <w:rFonts w:ascii="宋体"/>
                <w:vanish/>
              </w:rPr>
            </w:pPr>
          </w:p>
        </w:tc>
        <w:tc>
          <w:tcPr>
            <w:tcW w:w="0" w:type="auto"/>
            <w:gridSpan w:val="3"/>
            <w:shd w:val="clear" w:color="auto" w:fill="auto"/>
            <w:vAlign w:val="bottom"/>
          </w:tcPr>
          <w:p w14:paraId="392C6470" w14:textId="77777777" w:rsidR="00980E5F" w:rsidRDefault="00980E5F">
            <w:pPr>
              <w:rPr>
                <w:rFonts w:ascii="宋体"/>
                <w:vanish/>
              </w:rPr>
            </w:pPr>
          </w:p>
        </w:tc>
        <w:tc>
          <w:tcPr>
            <w:tcW w:w="0" w:type="auto"/>
            <w:gridSpan w:val="3"/>
            <w:shd w:val="clear" w:color="auto" w:fill="auto"/>
            <w:vAlign w:val="bottom"/>
          </w:tcPr>
          <w:p w14:paraId="392C6471" w14:textId="77777777" w:rsidR="00980E5F" w:rsidRDefault="00980E5F">
            <w:pPr>
              <w:rPr>
                <w:rFonts w:ascii="宋体"/>
                <w:vanish/>
              </w:rPr>
            </w:pPr>
          </w:p>
        </w:tc>
      </w:tr>
      <w:tr w:rsidR="00980E5F" w14:paraId="392C647F" w14:textId="77777777">
        <w:trPr>
          <w:hidden/>
        </w:trPr>
        <w:tc>
          <w:tcPr>
            <w:tcW w:w="0" w:type="auto"/>
            <w:gridSpan w:val="3"/>
            <w:shd w:val="clear" w:color="auto" w:fill="auto"/>
            <w:vAlign w:val="bottom"/>
          </w:tcPr>
          <w:p w14:paraId="392C6473" w14:textId="77777777" w:rsidR="00980E5F" w:rsidRDefault="00980E5F">
            <w:pPr>
              <w:rPr>
                <w:rFonts w:ascii="宋体"/>
                <w:vanish/>
              </w:rPr>
            </w:pPr>
          </w:p>
        </w:tc>
        <w:tc>
          <w:tcPr>
            <w:tcW w:w="0" w:type="auto"/>
            <w:gridSpan w:val="3"/>
            <w:shd w:val="clear" w:color="auto" w:fill="auto"/>
            <w:vAlign w:val="bottom"/>
          </w:tcPr>
          <w:p w14:paraId="392C6474" w14:textId="77777777" w:rsidR="00980E5F" w:rsidRDefault="00980E5F">
            <w:pPr>
              <w:rPr>
                <w:rFonts w:ascii="宋体"/>
                <w:vanish/>
              </w:rPr>
            </w:pPr>
          </w:p>
        </w:tc>
        <w:tc>
          <w:tcPr>
            <w:tcW w:w="0" w:type="auto"/>
            <w:gridSpan w:val="3"/>
            <w:shd w:val="clear" w:color="auto" w:fill="auto"/>
            <w:vAlign w:val="bottom"/>
          </w:tcPr>
          <w:p w14:paraId="392C6475" w14:textId="77777777" w:rsidR="00980E5F" w:rsidRDefault="00980E5F">
            <w:pPr>
              <w:rPr>
                <w:rFonts w:ascii="宋体"/>
                <w:vanish/>
              </w:rPr>
            </w:pPr>
          </w:p>
        </w:tc>
        <w:tc>
          <w:tcPr>
            <w:tcW w:w="0" w:type="auto"/>
            <w:gridSpan w:val="3"/>
            <w:shd w:val="clear" w:color="auto" w:fill="auto"/>
            <w:vAlign w:val="bottom"/>
          </w:tcPr>
          <w:p w14:paraId="392C6476" w14:textId="77777777" w:rsidR="00980E5F" w:rsidRDefault="00980E5F">
            <w:pPr>
              <w:rPr>
                <w:rFonts w:ascii="宋体"/>
                <w:vanish/>
              </w:rPr>
            </w:pPr>
          </w:p>
        </w:tc>
        <w:tc>
          <w:tcPr>
            <w:tcW w:w="0" w:type="auto"/>
            <w:gridSpan w:val="3"/>
            <w:shd w:val="clear" w:color="auto" w:fill="auto"/>
            <w:vAlign w:val="bottom"/>
          </w:tcPr>
          <w:p w14:paraId="392C6477" w14:textId="77777777" w:rsidR="00980E5F" w:rsidRDefault="00980E5F">
            <w:pPr>
              <w:rPr>
                <w:rFonts w:ascii="宋体"/>
                <w:vanish/>
              </w:rPr>
            </w:pPr>
          </w:p>
        </w:tc>
        <w:tc>
          <w:tcPr>
            <w:tcW w:w="0" w:type="auto"/>
            <w:gridSpan w:val="3"/>
            <w:shd w:val="clear" w:color="auto" w:fill="auto"/>
            <w:vAlign w:val="bottom"/>
          </w:tcPr>
          <w:p w14:paraId="392C6478" w14:textId="77777777" w:rsidR="00980E5F" w:rsidRDefault="00980E5F">
            <w:pPr>
              <w:rPr>
                <w:rFonts w:ascii="宋体"/>
                <w:vanish/>
              </w:rPr>
            </w:pPr>
          </w:p>
        </w:tc>
        <w:tc>
          <w:tcPr>
            <w:tcW w:w="0" w:type="auto"/>
            <w:gridSpan w:val="3"/>
            <w:shd w:val="clear" w:color="auto" w:fill="auto"/>
            <w:vAlign w:val="bottom"/>
          </w:tcPr>
          <w:p w14:paraId="392C6479" w14:textId="77777777" w:rsidR="00980E5F" w:rsidRDefault="00980E5F">
            <w:pPr>
              <w:rPr>
                <w:rFonts w:ascii="宋体"/>
                <w:vanish/>
              </w:rPr>
            </w:pPr>
          </w:p>
        </w:tc>
        <w:tc>
          <w:tcPr>
            <w:tcW w:w="0" w:type="auto"/>
            <w:gridSpan w:val="3"/>
            <w:shd w:val="clear" w:color="auto" w:fill="auto"/>
            <w:vAlign w:val="bottom"/>
          </w:tcPr>
          <w:p w14:paraId="392C647A" w14:textId="77777777" w:rsidR="00980E5F" w:rsidRDefault="00980E5F">
            <w:pPr>
              <w:rPr>
                <w:rFonts w:ascii="宋体"/>
                <w:vanish/>
              </w:rPr>
            </w:pPr>
          </w:p>
        </w:tc>
        <w:tc>
          <w:tcPr>
            <w:tcW w:w="0" w:type="auto"/>
            <w:gridSpan w:val="3"/>
            <w:shd w:val="clear" w:color="auto" w:fill="auto"/>
            <w:vAlign w:val="bottom"/>
          </w:tcPr>
          <w:p w14:paraId="392C647B" w14:textId="77777777" w:rsidR="00980E5F" w:rsidRDefault="00980E5F">
            <w:pPr>
              <w:rPr>
                <w:rFonts w:ascii="宋体"/>
                <w:vanish/>
              </w:rPr>
            </w:pPr>
          </w:p>
        </w:tc>
        <w:tc>
          <w:tcPr>
            <w:tcW w:w="0" w:type="auto"/>
            <w:gridSpan w:val="3"/>
            <w:shd w:val="clear" w:color="auto" w:fill="auto"/>
            <w:vAlign w:val="bottom"/>
          </w:tcPr>
          <w:p w14:paraId="392C647C" w14:textId="77777777" w:rsidR="00980E5F" w:rsidRDefault="00980E5F">
            <w:pPr>
              <w:rPr>
                <w:rFonts w:ascii="宋体"/>
                <w:vanish/>
              </w:rPr>
            </w:pPr>
          </w:p>
        </w:tc>
        <w:tc>
          <w:tcPr>
            <w:tcW w:w="0" w:type="auto"/>
            <w:gridSpan w:val="3"/>
            <w:shd w:val="clear" w:color="auto" w:fill="auto"/>
            <w:vAlign w:val="bottom"/>
          </w:tcPr>
          <w:p w14:paraId="392C647D" w14:textId="77777777" w:rsidR="00980E5F" w:rsidRDefault="00980E5F">
            <w:pPr>
              <w:rPr>
                <w:rFonts w:ascii="宋体"/>
                <w:vanish/>
              </w:rPr>
            </w:pPr>
          </w:p>
        </w:tc>
        <w:tc>
          <w:tcPr>
            <w:tcW w:w="0" w:type="auto"/>
            <w:gridSpan w:val="3"/>
            <w:shd w:val="clear" w:color="auto" w:fill="auto"/>
            <w:vAlign w:val="bottom"/>
          </w:tcPr>
          <w:p w14:paraId="392C647E" w14:textId="77777777" w:rsidR="00980E5F" w:rsidRDefault="00980E5F">
            <w:pPr>
              <w:rPr>
                <w:rFonts w:ascii="宋体"/>
                <w:vanish/>
              </w:rPr>
            </w:pPr>
          </w:p>
        </w:tc>
      </w:tr>
      <w:tr w:rsidR="00980E5F" w14:paraId="392C648C" w14:textId="77777777">
        <w:trPr>
          <w:hidden/>
        </w:trPr>
        <w:tc>
          <w:tcPr>
            <w:tcW w:w="0" w:type="auto"/>
            <w:gridSpan w:val="3"/>
            <w:shd w:val="clear" w:color="auto" w:fill="auto"/>
            <w:vAlign w:val="bottom"/>
          </w:tcPr>
          <w:p w14:paraId="392C6480" w14:textId="77777777" w:rsidR="00980E5F" w:rsidRDefault="00980E5F">
            <w:pPr>
              <w:rPr>
                <w:rFonts w:ascii="宋体"/>
                <w:vanish/>
              </w:rPr>
            </w:pPr>
          </w:p>
        </w:tc>
        <w:tc>
          <w:tcPr>
            <w:tcW w:w="0" w:type="auto"/>
            <w:gridSpan w:val="3"/>
            <w:shd w:val="clear" w:color="auto" w:fill="auto"/>
            <w:vAlign w:val="bottom"/>
          </w:tcPr>
          <w:p w14:paraId="392C6481" w14:textId="77777777" w:rsidR="00980E5F" w:rsidRDefault="00980E5F">
            <w:pPr>
              <w:rPr>
                <w:rFonts w:ascii="宋体"/>
                <w:vanish/>
              </w:rPr>
            </w:pPr>
          </w:p>
        </w:tc>
        <w:tc>
          <w:tcPr>
            <w:tcW w:w="0" w:type="auto"/>
            <w:gridSpan w:val="3"/>
            <w:shd w:val="clear" w:color="auto" w:fill="auto"/>
            <w:vAlign w:val="bottom"/>
          </w:tcPr>
          <w:p w14:paraId="392C6482" w14:textId="77777777" w:rsidR="00980E5F" w:rsidRDefault="00980E5F">
            <w:pPr>
              <w:rPr>
                <w:rFonts w:ascii="宋体"/>
                <w:vanish/>
              </w:rPr>
            </w:pPr>
          </w:p>
        </w:tc>
        <w:tc>
          <w:tcPr>
            <w:tcW w:w="0" w:type="auto"/>
            <w:gridSpan w:val="3"/>
            <w:shd w:val="clear" w:color="auto" w:fill="auto"/>
            <w:vAlign w:val="bottom"/>
          </w:tcPr>
          <w:p w14:paraId="392C6483" w14:textId="77777777" w:rsidR="00980E5F" w:rsidRDefault="00980E5F">
            <w:pPr>
              <w:rPr>
                <w:rFonts w:ascii="宋体"/>
                <w:vanish/>
              </w:rPr>
            </w:pPr>
          </w:p>
        </w:tc>
        <w:tc>
          <w:tcPr>
            <w:tcW w:w="0" w:type="auto"/>
            <w:gridSpan w:val="3"/>
            <w:shd w:val="clear" w:color="auto" w:fill="auto"/>
            <w:vAlign w:val="bottom"/>
          </w:tcPr>
          <w:p w14:paraId="392C6484" w14:textId="77777777" w:rsidR="00980E5F" w:rsidRDefault="00980E5F">
            <w:pPr>
              <w:rPr>
                <w:rFonts w:ascii="宋体"/>
                <w:vanish/>
              </w:rPr>
            </w:pPr>
          </w:p>
        </w:tc>
        <w:tc>
          <w:tcPr>
            <w:tcW w:w="0" w:type="auto"/>
            <w:gridSpan w:val="3"/>
            <w:shd w:val="clear" w:color="auto" w:fill="auto"/>
            <w:vAlign w:val="bottom"/>
          </w:tcPr>
          <w:p w14:paraId="392C6485" w14:textId="77777777" w:rsidR="00980E5F" w:rsidRDefault="00980E5F">
            <w:pPr>
              <w:rPr>
                <w:rFonts w:ascii="宋体"/>
                <w:vanish/>
              </w:rPr>
            </w:pPr>
          </w:p>
        </w:tc>
        <w:tc>
          <w:tcPr>
            <w:tcW w:w="0" w:type="auto"/>
            <w:gridSpan w:val="3"/>
            <w:shd w:val="clear" w:color="auto" w:fill="auto"/>
            <w:vAlign w:val="bottom"/>
          </w:tcPr>
          <w:p w14:paraId="392C6486" w14:textId="77777777" w:rsidR="00980E5F" w:rsidRDefault="00980E5F">
            <w:pPr>
              <w:rPr>
                <w:rFonts w:ascii="宋体"/>
                <w:vanish/>
              </w:rPr>
            </w:pPr>
          </w:p>
        </w:tc>
        <w:tc>
          <w:tcPr>
            <w:tcW w:w="0" w:type="auto"/>
            <w:gridSpan w:val="3"/>
            <w:shd w:val="clear" w:color="auto" w:fill="auto"/>
            <w:vAlign w:val="bottom"/>
          </w:tcPr>
          <w:p w14:paraId="392C6487" w14:textId="77777777" w:rsidR="00980E5F" w:rsidRDefault="00980E5F">
            <w:pPr>
              <w:rPr>
                <w:rFonts w:ascii="宋体"/>
                <w:vanish/>
              </w:rPr>
            </w:pPr>
          </w:p>
        </w:tc>
        <w:tc>
          <w:tcPr>
            <w:tcW w:w="0" w:type="auto"/>
            <w:gridSpan w:val="3"/>
            <w:shd w:val="clear" w:color="auto" w:fill="auto"/>
            <w:vAlign w:val="bottom"/>
          </w:tcPr>
          <w:p w14:paraId="392C6488" w14:textId="77777777" w:rsidR="00980E5F" w:rsidRDefault="00980E5F">
            <w:pPr>
              <w:rPr>
                <w:rFonts w:ascii="宋体"/>
                <w:vanish/>
              </w:rPr>
            </w:pPr>
          </w:p>
        </w:tc>
        <w:tc>
          <w:tcPr>
            <w:tcW w:w="0" w:type="auto"/>
            <w:gridSpan w:val="3"/>
            <w:shd w:val="clear" w:color="auto" w:fill="auto"/>
            <w:vAlign w:val="bottom"/>
          </w:tcPr>
          <w:p w14:paraId="392C6489" w14:textId="77777777" w:rsidR="00980E5F" w:rsidRDefault="00980E5F">
            <w:pPr>
              <w:rPr>
                <w:rFonts w:ascii="宋体"/>
                <w:vanish/>
              </w:rPr>
            </w:pPr>
          </w:p>
        </w:tc>
        <w:tc>
          <w:tcPr>
            <w:tcW w:w="0" w:type="auto"/>
            <w:gridSpan w:val="3"/>
            <w:shd w:val="clear" w:color="auto" w:fill="auto"/>
            <w:vAlign w:val="bottom"/>
          </w:tcPr>
          <w:p w14:paraId="392C648A" w14:textId="77777777" w:rsidR="00980E5F" w:rsidRDefault="00980E5F">
            <w:pPr>
              <w:rPr>
                <w:rFonts w:ascii="宋体"/>
                <w:vanish/>
              </w:rPr>
            </w:pPr>
          </w:p>
        </w:tc>
        <w:tc>
          <w:tcPr>
            <w:tcW w:w="0" w:type="auto"/>
            <w:gridSpan w:val="3"/>
            <w:shd w:val="clear" w:color="auto" w:fill="auto"/>
            <w:vAlign w:val="bottom"/>
          </w:tcPr>
          <w:p w14:paraId="392C648B" w14:textId="77777777" w:rsidR="00980E5F" w:rsidRDefault="00980E5F">
            <w:pPr>
              <w:rPr>
                <w:rFonts w:ascii="宋体"/>
                <w:vanish/>
              </w:rPr>
            </w:pPr>
          </w:p>
        </w:tc>
      </w:tr>
      <w:tr w:rsidR="00980E5F" w14:paraId="392C6499" w14:textId="77777777">
        <w:trPr>
          <w:hidden/>
        </w:trPr>
        <w:tc>
          <w:tcPr>
            <w:tcW w:w="0" w:type="auto"/>
            <w:gridSpan w:val="3"/>
            <w:shd w:val="clear" w:color="auto" w:fill="auto"/>
            <w:vAlign w:val="bottom"/>
          </w:tcPr>
          <w:p w14:paraId="392C648D" w14:textId="77777777" w:rsidR="00980E5F" w:rsidRDefault="00980E5F">
            <w:pPr>
              <w:rPr>
                <w:rFonts w:ascii="宋体"/>
                <w:vanish/>
              </w:rPr>
            </w:pPr>
          </w:p>
        </w:tc>
        <w:tc>
          <w:tcPr>
            <w:tcW w:w="0" w:type="auto"/>
            <w:gridSpan w:val="3"/>
            <w:shd w:val="clear" w:color="auto" w:fill="auto"/>
            <w:vAlign w:val="bottom"/>
          </w:tcPr>
          <w:p w14:paraId="392C648E" w14:textId="77777777" w:rsidR="00980E5F" w:rsidRDefault="00980E5F">
            <w:pPr>
              <w:rPr>
                <w:rFonts w:ascii="宋体"/>
                <w:vanish/>
              </w:rPr>
            </w:pPr>
          </w:p>
        </w:tc>
        <w:tc>
          <w:tcPr>
            <w:tcW w:w="0" w:type="auto"/>
            <w:gridSpan w:val="3"/>
            <w:shd w:val="clear" w:color="auto" w:fill="auto"/>
            <w:vAlign w:val="bottom"/>
          </w:tcPr>
          <w:p w14:paraId="392C648F" w14:textId="77777777" w:rsidR="00980E5F" w:rsidRDefault="00980E5F">
            <w:pPr>
              <w:rPr>
                <w:rFonts w:ascii="宋体"/>
                <w:vanish/>
              </w:rPr>
            </w:pPr>
          </w:p>
        </w:tc>
        <w:tc>
          <w:tcPr>
            <w:tcW w:w="0" w:type="auto"/>
            <w:gridSpan w:val="3"/>
            <w:shd w:val="clear" w:color="auto" w:fill="auto"/>
            <w:vAlign w:val="bottom"/>
          </w:tcPr>
          <w:p w14:paraId="392C6490" w14:textId="77777777" w:rsidR="00980E5F" w:rsidRDefault="00980E5F">
            <w:pPr>
              <w:rPr>
                <w:rFonts w:ascii="宋体"/>
                <w:vanish/>
              </w:rPr>
            </w:pPr>
          </w:p>
        </w:tc>
        <w:tc>
          <w:tcPr>
            <w:tcW w:w="0" w:type="auto"/>
            <w:gridSpan w:val="3"/>
            <w:shd w:val="clear" w:color="auto" w:fill="auto"/>
            <w:vAlign w:val="bottom"/>
          </w:tcPr>
          <w:p w14:paraId="392C6491" w14:textId="77777777" w:rsidR="00980E5F" w:rsidRDefault="00980E5F">
            <w:pPr>
              <w:rPr>
                <w:rFonts w:ascii="宋体"/>
                <w:vanish/>
              </w:rPr>
            </w:pPr>
          </w:p>
        </w:tc>
        <w:tc>
          <w:tcPr>
            <w:tcW w:w="0" w:type="auto"/>
            <w:gridSpan w:val="3"/>
            <w:shd w:val="clear" w:color="auto" w:fill="auto"/>
            <w:vAlign w:val="bottom"/>
          </w:tcPr>
          <w:p w14:paraId="392C6492" w14:textId="77777777" w:rsidR="00980E5F" w:rsidRDefault="00980E5F">
            <w:pPr>
              <w:rPr>
                <w:rFonts w:ascii="宋体"/>
                <w:vanish/>
              </w:rPr>
            </w:pPr>
          </w:p>
        </w:tc>
        <w:tc>
          <w:tcPr>
            <w:tcW w:w="0" w:type="auto"/>
            <w:gridSpan w:val="3"/>
            <w:shd w:val="clear" w:color="auto" w:fill="auto"/>
            <w:vAlign w:val="bottom"/>
          </w:tcPr>
          <w:p w14:paraId="392C6493" w14:textId="77777777" w:rsidR="00980E5F" w:rsidRDefault="00980E5F">
            <w:pPr>
              <w:rPr>
                <w:rFonts w:ascii="宋体"/>
                <w:vanish/>
              </w:rPr>
            </w:pPr>
          </w:p>
        </w:tc>
        <w:tc>
          <w:tcPr>
            <w:tcW w:w="0" w:type="auto"/>
            <w:gridSpan w:val="3"/>
            <w:shd w:val="clear" w:color="auto" w:fill="auto"/>
            <w:vAlign w:val="bottom"/>
          </w:tcPr>
          <w:p w14:paraId="392C6494" w14:textId="77777777" w:rsidR="00980E5F" w:rsidRDefault="00980E5F">
            <w:pPr>
              <w:rPr>
                <w:rFonts w:ascii="宋体"/>
                <w:vanish/>
              </w:rPr>
            </w:pPr>
          </w:p>
        </w:tc>
        <w:tc>
          <w:tcPr>
            <w:tcW w:w="0" w:type="auto"/>
            <w:gridSpan w:val="3"/>
            <w:shd w:val="clear" w:color="auto" w:fill="auto"/>
            <w:vAlign w:val="bottom"/>
          </w:tcPr>
          <w:p w14:paraId="392C6495" w14:textId="77777777" w:rsidR="00980E5F" w:rsidRDefault="00980E5F">
            <w:pPr>
              <w:rPr>
                <w:rFonts w:ascii="宋体"/>
                <w:vanish/>
              </w:rPr>
            </w:pPr>
          </w:p>
        </w:tc>
        <w:tc>
          <w:tcPr>
            <w:tcW w:w="0" w:type="auto"/>
            <w:gridSpan w:val="3"/>
            <w:shd w:val="clear" w:color="auto" w:fill="auto"/>
            <w:vAlign w:val="bottom"/>
          </w:tcPr>
          <w:p w14:paraId="392C6496" w14:textId="77777777" w:rsidR="00980E5F" w:rsidRDefault="00980E5F">
            <w:pPr>
              <w:rPr>
                <w:rFonts w:ascii="宋体"/>
                <w:vanish/>
              </w:rPr>
            </w:pPr>
          </w:p>
        </w:tc>
        <w:tc>
          <w:tcPr>
            <w:tcW w:w="0" w:type="auto"/>
            <w:gridSpan w:val="3"/>
            <w:shd w:val="clear" w:color="auto" w:fill="auto"/>
            <w:vAlign w:val="bottom"/>
          </w:tcPr>
          <w:p w14:paraId="392C6497" w14:textId="77777777" w:rsidR="00980E5F" w:rsidRDefault="00980E5F">
            <w:pPr>
              <w:rPr>
                <w:rFonts w:ascii="宋体"/>
                <w:vanish/>
              </w:rPr>
            </w:pPr>
          </w:p>
        </w:tc>
        <w:tc>
          <w:tcPr>
            <w:tcW w:w="0" w:type="auto"/>
            <w:gridSpan w:val="3"/>
            <w:shd w:val="clear" w:color="auto" w:fill="auto"/>
            <w:vAlign w:val="bottom"/>
          </w:tcPr>
          <w:p w14:paraId="392C6498" w14:textId="77777777" w:rsidR="00980E5F" w:rsidRDefault="00980E5F">
            <w:pPr>
              <w:rPr>
                <w:rFonts w:ascii="宋体"/>
                <w:vanish/>
              </w:rPr>
            </w:pPr>
          </w:p>
        </w:tc>
      </w:tr>
      <w:tr w:rsidR="00980E5F" w14:paraId="392C64A6" w14:textId="77777777">
        <w:trPr>
          <w:hidden/>
        </w:trPr>
        <w:tc>
          <w:tcPr>
            <w:tcW w:w="0" w:type="auto"/>
            <w:gridSpan w:val="3"/>
            <w:shd w:val="clear" w:color="auto" w:fill="auto"/>
            <w:vAlign w:val="bottom"/>
          </w:tcPr>
          <w:p w14:paraId="392C649A" w14:textId="77777777" w:rsidR="00980E5F" w:rsidRDefault="00980E5F">
            <w:pPr>
              <w:rPr>
                <w:rFonts w:ascii="宋体"/>
                <w:vanish/>
              </w:rPr>
            </w:pPr>
          </w:p>
        </w:tc>
        <w:tc>
          <w:tcPr>
            <w:tcW w:w="0" w:type="auto"/>
            <w:gridSpan w:val="3"/>
            <w:shd w:val="clear" w:color="auto" w:fill="auto"/>
            <w:vAlign w:val="bottom"/>
          </w:tcPr>
          <w:p w14:paraId="392C649B" w14:textId="77777777" w:rsidR="00980E5F" w:rsidRDefault="00980E5F">
            <w:pPr>
              <w:rPr>
                <w:rFonts w:ascii="宋体"/>
                <w:vanish/>
              </w:rPr>
            </w:pPr>
          </w:p>
        </w:tc>
        <w:tc>
          <w:tcPr>
            <w:tcW w:w="0" w:type="auto"/>
            <w:gridSpan w:val="3"/>
            <w:shd w:val="clear" w:color="auto" w:fill="auto"/>
            <w:vAlign w:val="bottom"/>
          </w:tcPr>
          <w:p w14:paraId="392C649C" w14:textId="77777777" w:rsidR="00980E5F" w:rsidRDefault="00980E5F">
            <w:pPr>
              <w:rPr>
                <w:rFonts w:ascii="宋体"/>
                <w:vanish/>
              </w:rPr>
            </w:pPr>
          </w:p>
        </w:tc>
        <w:tc>
          <w:tcPr>
            <w:tcW w:w="0" w:type="auto"/>
            <w:gridSpan w:val="3"/>
            <w:shd w:val="clear" w:color="auto" w:fill="auto"/>
            <w:vAlign w:val="bottom"/>
          </w:tcPr>
          <w:p w14:paraId="392C649D" w14:textId="77777777" w:rsidR="00980E5F" w:rsidRDefault="00980E5F">
            <w:pPr>
              <w:rPr>
                <w:rFonts w:ascii="宋体"/>
                <w:vanish/>
              </w:rPr>
            </w:pPr>
          </w:p>
        </w:tc>
        <w:tc>
          <w:tcPr>
            <w:tcW w:w="0" w:type="auto"/>
            <w:gridSpan w:val="3"/>
            <w:shd w:val="clear" w:color="auto" w:fill="auto"/>
            <w:vAlign w:val="bottom"/>
          </w:tcPr>
          <w:p w14:paraId="392C649E" w14:textId="77777777" w:rsidR="00980E5F" w:rsidRDefault="00980E5F">
            <w:pPr>
              <w:rPr>
                <w:rFonts w:ascii="宋体"/>
                <w:vanish/>
              </w:rPr>
            </w:pPr>
          </w:p>
        </w:tc>
        <w:tc>
          <w:tcPr>
            <w:tcW w:w="0" w:type="auto"/>
            <w:gridSpan w:val="3"/>
            <w:shd w:val="clear" w:color="auto" w:fill="auto"/>
            <w:vAlign w:val="bottom"/>
          </w:tcPr>
          <w:p w14:paraId="392C649F" w14:textId="77777777" w:rsidR="00980E5F" w:rsidRDefault="00980E5F">
            <w:pPr>
              <w:rPr>
                <w:rFonts w:ascii="宋体"/>
                <w:vanish/>
              </w:rPr>
            </w:pPr>
          </w:p>
        </w:tc>
        <w:tc>
          <w:tcPr>
            <w:tcW w:w="0" w:type="auto"/>
            <w:gridSpan w:val="3"/>
            <w:shd w:val="clear" w:color="auto" w:fill="auto"/>
            <w:vAlign w:val="bottom"/>
          </w:tcPr>
          <w:p w14:paraId="392C64A0" w14:textId="77777777" w:rsidR="00980E5F" w:rsidRDefault="00980E5F">
            <w:pPr>
              <w:rPr>
                <w:rFonts w:ascii="宋体"/>
                <w:vanish/>
              </w:rPr>
            </w:pPr>
          </w:p>
        </w:tc>
        <w:tc>
          <w:tcPr>
            <w:tcW w:w="0" w:type="auto"/>
            <w:gridSpan w:val="3"/>
            <w:shd w:val="clear" w:color="auto" w:fill="auto"/>
            <w:vAlign w:val="bottom"/>
          </w:tcPr>
          <w:p w14:paraId="392C64A1" w14:textId="77777777" w:rsidR="00980E5F" w:rsidRDefault="00980E5F">
            <w:pPr>
              <w:rPr>
                <w:rFonts w:ascii="宋体"/>
                <w:vanish/>
              </w:rPr>
            </w:pPr>
          </w:p>
        </w:tc>
        <w:tc>
          <w:tcPr>
            <w:tcW w:w="0" w:type="auto"/>
            <w:gridSpan w:val="3"/>
            <w:shd w:val="clear" w:color="auto" w:fill="auto"/>
            <w:vAlign w:val="bottom"/>
          </w:tcPr>
          <w:p w14:paraId="392C64A2" w14:textId="77777777" w:rsidR="00980E5F" w:rsidRDefault="00980E5F">
            <w:pPr>
              <w:rPr>
                <w:rFonts w:ascii="宋体"/>
                <w:vanish/>
              </w:rPr>
            </w:pPr>
          </w:p>
        </w:tc>
        <w:tc>
          <w:tcPr>
            <w:tcW w:w="0" w:type="auto"/>
            <w:gridSpan w:val="3"/>
            <w:shd w:val="clear" w:color="auto" w:fill="auto"/>
            <w:vAlign w:val="bottom"/>
          </w:tcPr>
          <w:p w14:paraId="392C64A3" w14:textId="77777777" w:rsidR="00980E5F" w:rsidRDefault="00980E5F">
            <w:pPr>
              <w:rPr>
                <w:rFonts w:ascii="宋体"/>
                <w:vanish/>
              </w:rPr>
            </w:pPr>
          </w:p>
        </w:tc>
        <w:tc>
          <w:tcPr>
            <w:tcW w:w="0" w:type="auto"/>
            <w:gridSpan w:val="3"/>
            <w:shd w:val="clear" w:color="auto" w:fill="auto"/>
            <w:vAlign w:val="bottom"/>
          </w:tcPr>
          <w:p w14:paraId="392C64A4" w14:textId="77777777" w:rsidR="00980E5F" w:rsidRDefault="00980E5F">
            <w:pPr>
              <w:rPr>
                <w:rFonts w:ascii="宋体"/>
                <w:vanish/>
              </w:rPr>
            </w:pPr>
          </w:p>
        </w:tc>
        <w:tc>
          <w:tcPr>
            <w:tcW w:w="0" w:type="auto"/>
            <w:gridSpan w:val="3"/>
            <w:shd w:val="clear" w:color="auto" w:fill="auto"/>
            <w:vAlign w:val="bottom"/>
          </w:tcPr>
          <w:p w14:paraId="392C64A5" w14:textId="77777777" w:rsidR="00980E5F" w:rsidRDefault="00980E5F">
            <w:pPr>
              <w:rPr>
                <w:rFonts w:ascii="宋体"/>
                <w:vanish/>
              </w:rPr>
            </w:pPr>
          </w:p>
        </w:tc>
      </w:tr>
    </w:tbl>
    <w:p w14:paraId="392C64A7" w14:textId="77777777" w:rsidR="00980E5F" w:rsidRDefault="00483613">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68</w:t>
      </w:r>
    </w:p>
    <w:p w14:paraId="392C64A8" w14:textId="77777777" w:rsidR="00980E5F" w:rsidRDefault="00980E5F">
      <w:pPr>
        <w:ind w:firstLine="450"/>
        <w:jc w:val="center"/>
      </w:pPr>
    </w:p>
    <w:p w14:paraId="392C64A9" w14:textId="77777777" w:rsidR="00980E5F" w:rsidRDefault="00483613">
      <w:r>
        <w:pict w14:anchorId="392CBB12">
          <v:rect id="_x0000_i1092" style="width:415.3pt;height:1.5pt" o:hralign="center" o:hrstd="t" o:hr="t" fillcolor="#a0a0a0" stroked="f"/>
        </w:pict>
      </w:r>
    </w:p>
    <w:p w14:paraId="392C64AA" w14:textId="77777777" w:rsidR="00980E5F" w:rsidRDefault="00483613">
      <w:pPr>
        <w:ind w:firstLine="450"/>
        <w:jc w:val="center"/>
      </w:pPr>
      <w:r>
        <w:rPr>
          <w:rFonts w:ascii="Arial" w:eastAsia="宋体" w:hAnsi="Arial" w:cs="Arial"/>
          <w:b/>
          <w:bCs/>
          <w:color w:val="000000"/>
          <w:sz w:val="20"/>
          <w:szCs w:val="20"/>
        </w:rPr>
        <w:t>STATE STREET CORPORATION</w:t>
      </w:r>
    </w:p>
    <w:p w14:paraId="392C64AB"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64AC" w14:textId="77777777" w:rsidR="00980E5F" w:rsidRDefault="00483613">
      <w:pPr>
        <w:ind w:firstLine="450"/>
        <w:jc w:val="center"/>
      </w:pPr>
      <w:r>
        <w:rPr>
          <w:rFonts w:ascii="Arial" w:eastAsia="宋体" w:hAnsi="Arial" w:cs="Arial"/>
          <w:b/>
          <w:bCs/>
          <w:color w:val="000000"/>
          <w:sz w:val="20"/>
          <w:szCs w:val="20"/>
        </w:rPr>
        <w:t>(UNAUDITED)</w:t>
      </w:r>
    </w:p>
    <w:p w14:paraId="392C64AD" w14:textId="77777777" w:rsidR="00980E5F" w:rsidRDefault="00980E5F">
      <w:pPr>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980E5F" w14:paraId="392C64D2" w14:textId="77777777">
        <w:tc>
          <w:tcPr>
            <w:tcW w:w="50" w:type="pct"/>
            <w:shd w:val="clear" w:color="auto" w:fill="auto"/>
            <w:vAlign w:val="bottom"/>
          </w:tcPr>
          <w:p w14:paraId="392C64AE" w14:textId="77777777" w:rsidR="00980E5F" w:rsidRDefault="00980E5F">
            <w:pPr>
              <w:rPr>
                <w:rFonts w:ascii="宋体"/>
              </w:rPr>
            </w:pPr>
          </w:p>
        </w:tc>
        <w:tc>
          <w:tcPr>
            <w:tcW w:w="2034" w:type="pct"/>
            <w:shd w:val="clear" w:color="auto" w:fill="auto"/>
            <w:vAlign w:val="bottom"/>
          </w:tcPr>
          <w:p w14:paraId="392C64AF" w14:textId="77777777" w:rsidR="00980E5F" w:rsidRDefault="00980E5F">
            <w:pPr>
              <w:rPr>
                <w:rFonts w:ascii="宋体"/>
              </w:rPr>
            </w:pPr>
          </w:p>
        </w:tc>
        <w:tc>
          <w:tcPr>
            <w:tcW w:w="5" w:type="pct"/>
            <w:shd w:val="clear" w:color="auto" w:fill="auto"/>
            <w:vAlign w:val="bottom"/>
          </w:tcPr>
          <w:p w14:paraId="392C64B0" w14:textId="77777777" w:rsidR="00980E5F" w:rsidRDefault="00980E5F">
            <w:pPr>
              <w:rPr>
                <w:rFonts w:ascii="宋体"/>
              </w:rPr>
            </w:pPr>
          </w:p>
        </w:tc>
        <w:tc>
          <w:tcPr>
            <w:tcW w:w="50" w:type="pct"/>
            <w:shd w:val="clear" w:color="auto" w:fill="auto"/>
            <w:vAlign w:val="bottom"/>
          </w:tcPr>
          <w:p w14:paraId="392C64B1" w14:textId="77777777" w:rsidR="00980E5F" w:rsidRDefault="00980E5F">
            <w:pPr>
              <w:rPr>
                <w:rFonts w:ascii="宋体"/>
              </w:rPr>
            </w:pPr>
          </w:p>
        </w:tc>
        <w:tc>
          <w:tcPr>
            <w:tcW w:w="362" w:type="pct"/>
            <w:shd w:val="clear" w:color="auto" w:fill="auto"/>
            <w:vAlign w:val="bottom"/>
          </w:tcPr>
          <w:p w14:paraId="392C64B2" w14:textId="77777777" w:rsidR="00980E5F" w:rsidRDefault="00980E5F">
            <w:pPr>
              <w:rPr>
                <w:rFonts w:ascii="宋体"/>
              </w:rPr>
            </w:pPr>
          </w:p>
        </w:tc>
        <w:tc>
          <w:tcPr>
            <w:tcW w:w="5" w:type="pct"/>
            <w:shd w:val="clear" w:color="auto" w:fill="auto"/>
            <w:vAlign w:val="bottom"/>
          </w:tcPr>
          <w:p w14:paraId="392C64B3" w14:textId="77777777" w:rsidR="00980E5F" w:rsidRDefault="00980E5F">
            <w:pPr>
              <w:rPr>
                <w:rFonts w:ascii="宋体"/>
              </w:rPr>
            </w:pPr>
          </w:p>
        </w:tc>
        <w:tc>
          <w:tcPr>
            <w:tcW w:w="5" w:type="pct"/>
            <w:shd w:val="clear" w:color="auto" w:fill="auto"/>
            <w:vAlign w:val="bottom"/>
          </w:tcPr>
          <w:p w14:paraId="392C64B4" w14:textId="77777777" w:rsidR="00980E5F" w:rsidRDefault="00980E5F">
            <w:pPr>
              <w:rPr>
                <w:rFonts w:ascii="宋体"/>
              </w:rPr>
            </w:pPr>
          </w:p>
        </w:tc>
        <w:tc>
          <w:tcPr>
            <w:tcW w:w="26" w:type="pct"/>
            <w:shd w:val="clear" w:color="auto" w:fill="auto"/>
            <w:vAlign w:val="bottom"/>
          </w:tcPr>
          <w:p w14:paraId="392C64B5" w14:textId="77777777" w:rsidR="00980E5F" w:rsidRDefault="00980E5F">
            <w:pPr>
              <w:rPr>
                <w:rFonts w:ascii="宋体"/>
              </w:rPr>
            </w:pPr>
          </w:p>
        </w:tc>
        <w:tc>
          <w:tcPr>
            <w:tcW w:w="5" w:type="pct"/>
            <w:shd w:val="clear" w:color="auto" w:fill="auto"/>
            <w:vAlign w:val="bottom"/>
          </w:tcPr>
          <w:p w14:paraId="392C64B6" w14:textId="77777777" w:rsidR="00980E5F" w:rsidRDefault="00980E5F">
            <w:pPr>
              <w:rPr>
                <w:rFonts w:ascii="宋体"/>
              </w:rPr>
            </w:pPr>
          </w:p>
        </w:tc>
        <w:tc>
          <w:tcPr>
            <w:tcW w:w="50" w:type="pct"/>
            <w:shd w:val="clear" w:color="auto" w:fill="auto"/>
            <w:vAlign w:val="bottom"/>
          </w:tcPr>
          <w:p w14:paraId="392C64B7" w14:textId="77777777" w:rsidR="00980E5F" w:rsidRDefault="00980E5F">
            <w:pPr>
              <w:rPr>
                <w:rFonts w:ascii="宋体"/>
              </w:rPr>
            </w:pPr>
          </w:p>
        </w:tc>
        <w:tc>
          <w:tcPr>
            <w:tcW w:w="436" w:type="pct"/>
            <w:shd w:val="clear" w:color="auto" w:fill="auto"/>
            <w:vAlign w:val="bottom"/>
          </w:tcPr>
          <w:p w14:paraId="392C64B8" w14:textId="77777777" w:rsidR="00980E5F" w:rsidRDefault="00980E5F">
            <w:pPr>
              <w:rPr>
                <w:rFonts w:ascii="宋体"/>
              </w:rPr>
            </w:pPr>
          </w:p>
        </w:tc>
        <w:tc>
          <w:tcPr>
            <w:tcW w:w="5" w:type="pct"/>
            <w:shd w:val="clear" w:color="auto" w:fill="auto"/>
            <w:vAlign w:val="bottom"/>
          </w:tcPr>
          <w:p w14:paraId="392C64B9" w14:textId="77777777" w:rsidR="00980E5F" w:rsidRDefault="00980E5F">
            <w:pPr>
              <w:rPr>
                <w:rFonts w:ascii="宋体"/>
              </w:rPr>
            </w:pPr>
          </w:p>
        </w:tc>
        <w:tc>
          <w:tcPr>
            <w:tcW w:w="5" w:type="pct"/>
            <w:shd w:val="clear" w:color="auto" w:fill="auto"/>
            <w:vAlign w:val="bottom"/>
          </w:tcPr>
          <w:p w14:paraId="392C64BA" w14:textId="77777777" w:rsidR="00980E5F" w:rsidRDefault="00980E5F">
            <w:pPr>
              <w:rPr>
                <w:rFonts w:ascii="宋体"/>
              </w:rPr>
            </w:pPr>
          </w:p>
        </w:tc>
        <w:tc>
          <w:tcPr>
            <w:tcW w:w="26" w:type="pct"/>
            <w:shd w:val="clear" w:color="auto" w:fill="auto"/>
            <w:vAlign w:val="bottom"/>
          </w:tcPr>
          <w:p w14:paraId="392C64BB" w14:textId="77777777" w:rsidR="00980E5F" w:rsidRDefault="00980E5F">
            <w:pPr>
              <w:rPr>
                <w:rFonts w:ascii="宋体"/>
              </w:rPr>
            </w:pPr>
          </w:p>
        </w:tc>
        <w:tc>
          <w:tcPr>
            <w:tcW w:w="5" w:type="pct"/>
            <w:shd w:val="clear" w:color="auto" w:fill="auto"/>
            <w:vAlign w:val="bottom"/>
          </w:tcPr>
          <w:p w14:paraId="392C64BC" w14:textId="77777777" w:rsidR="00980E5F" w:rsidRDefault="00980E5F">
            <w:pPr>
              <w:rPr>
                <w:rFonts w:ascii="宋体"/>
              </w:rPr>
            </w:pPr>
          </w:p>
        </w:tc>
        <w:tc>
          <w:tcPr>
            <w:tcW w:w="50" w:type="pct"/>
            <w:shd w:val="clear" w:color="auto" w:fill="auto"/>
            <w:vAlign w:val="bottom"/>
          </w:tcPr>
          <w:p w14:paraId="392C64BD" w14:textId="77777777" w:rsidR="00980E5F" w:rsidRDefault="00980E5F">
            <w:pPr>
              <w:rPr>
                <w:rFonts w:ascii="宋体"/>
              </w:rPr>
            </w:pPr>
          </w:p>
        </w:tc>
        <w:tc>
          <w:tcPr>
            <w:tcW w:w="362" w:type="pct"/>
            <w:shd w:val="clear" w:color="auto" w:fill="auto"/>
            <w:vAlign w:val="bottom"/>
          </w:tcPr>
          <w:p w14:paraId="392C64BE" w14:textId="77777777" w:rsidR="00980E5F" w:rsidRDefault="00980E5F">
            <w:pPr>
              <w:rPr>
                <w:rFonts w:ascii="宋体"/>
              </w:rPr>
            </w:pPr>
          </w:p>
        </w:tc>
        <w:tc>
          <w:tcPr>
            <w:tcW w:w="5" w:type="pct"/>
            <w:shd w:val="clear" w:color="auto" w:fill="auto"/>
            <w:vAlign w:val="bottom"/>
          </w:tcPr>
          <w:p w14:paraId="392C64BF" w14:textId="77777777" w:rsidR="00980E5F" w:rsidRDefault="00980E5F">
            <w:pPr>
              <w:rPr>
                <w:rFonts w:ascii="宋体"/>
              </w:rPr>
            </w:pPr>
          </w:p>
        </w:tc>
        <w:tc>
          <w:tcPr>
            <w:tcW w:w="5" w:type="pct"/>
            <w:shd w:val="clear" w:color="auto" w:fill="auto"/>
            <w:vAlign w:val="bottom"/>
          </w:tcPr>
          <w:p w14:paraId="392C64C0" w14:textId="77777777" w:rsidR="00980E5F" w:rsidRDefault="00980E5F">
            <w:pPr>
              <w:rPr>
                <w:rFonts w:ascii="宋体"/>
              </w:rPr>
            </w:pPr>
          </w:p>
        </w:tc>
        <w:tc>
          <w:tcPr>
            <w:tcW w:w="26" w:type="pct"/>
            <w:shd w:val="clear" w:color="auto" w:fill="auto"/>
            <w:vAlign w:val="bottom"/>
          </w:tcPr>
          <w:p w14:paraId="392C64C1" w14:textId="77777777" w:rsidR="00980E5F" w:rsidRDefault="00980E5F">
            <w:pPr>
              <w:rPr>
                <w:rFonts w:ascii="宋体"/>
              </w:rPr>
            </w:pPr>
          </w:p>
        </w:tc>
        <w:tc>
          <w:tcPr>
            <w:tcW w:w="5" w:type="pct"/>
            <w:shd w:val="clear" w:color="auto" w:fill="auto"/>
            <w:vAlign w:val="bottom"/>
          </w:tcPr>
          <w:p w14:paraId="392C64C2" w14:textId="77777777" w:rsidR="00980E5F" w:rsidRDefault="00980E5F">
            <w:pPr>
              <w:rPr>
                <w:rFonts w:ascii="宋体"/>
              </w:rPr>
            </w:pPr>
          </w:p>
        </w:tc>
        <w:tc>
          <w:tcPr>
            <w:tcW w:w="50" w:type="pct"/>
            <w:shd w:val="clear" w:color="auto" w:fill="auto"/>
            <w:vAlign w:val="bottom"/>
          </w:tcPr>
          <w:p w14:paraId="392C64C3" w14:textId="77777777" w:rsidR="00980E5F" w:rsidRDefault="00980E5F">
            <w:pPr>
              <w:rPr>
                <w:rFonts w:ascii="宋体"/>
              </w:rPr>
            </w:pPr>
          </w:p>
        </w:tc>
        <w:tc>
          <w:tcPr>
            <w:tcW w:w="436" w:type="pct"/>
            <w:shd w:val="clear" w:color="auto" w:fill="auto"/>
            <w:vAlign w:val="bottom"/>
          </w:tcPr>
          <w:p w14:paraId="392C64C4" w14:textId="77777777" w:rsidR="00980E5F" w:rsidRDefault="00980E5F">
            <w:pPr>
              <w:rPr>
                <w:rFonts w:ascii="宋体"/>
              </w:rPr>
            </w:pPr>
          </w:p>
        </w:tc>
        <w:tc>
          <w:tcPr>
            <w:tcW w:w="5" w:type="pct"/>
            <w:shd w:val="clear" w:color="auto" w:fill="auto"/>
            <w:vAlign w:val="bottom"/>
          </w:tcPr>
          <w:p w14:paraId="392C64C5" w14:textId="77777777" w:rsidR="00980E5F" w:rsidRDefault="00980E5F">
            <w:pPr>
              <w:rPr>
                <w:rFonts w:ascii="宋体"/>
              </w:rPr>
            </w:pPr>
          </w:p>
        </w:tc>
        <w:tc>
          <w:tcPr>
            <w:tcW w:w="5" w:type="pct"/>
            <w:shd w:val="clear" w:color="auto" w:fill="auto"/>
            <w:vAlign w:val="bottom"/>
          </w:tcPr>
          <w:p w14:paraId="392C64C6" w14:textId="77777777" w:rsidR="00980E5F" w:rsidRDefault="00980E5F">
            <w:pPr>
              <w:rPr>
                <w:rFonts w:ascii="宋体"/>
              </w:rPr>
            </w:pPr>
          </w:p>
        </w:tc>
        <w:tc>
          <w:tcPr>
            <w:tcW w:w="26" w:type="pct"/>
            <w:shd w:val="clear" w:color="auto" w:fill="auto"/>
            <w:vAlign w:val="bottom"/>
          </w:tcPr>
          <w:p w14:paraId="392C64C7" w14:textId="77777777" w:rsidR="00980E5F" w:rsidRDefault="00980E5F">
            <w:pPr>
              <w:rPr>
                <w:rFonts w:ascii="宋体"/>
              </w:rPr>
            </w:pPr>
          </w:p>
        </w:tc>
        <w:tc>
          <w:tcPr>
            <w:tcW w:w="5" w:type="pct"/>
            <w:shd w:val="clear" w:color="auto" w:fill="auto"/>
            <w:vAlign w:val="bottom"/>
          </w:tcPr>
          <w:p w14:paraId="392C64C8" w14:textId="77777777" w:rsidR="00980E5F" w:rsidRDefault="00980E5F">
            <w:pPr>
              <w:rPr>
                <w:rFonts w:ascii="宋体"/>
              </w:rPr>
            </w:pPr>
          </w:p>
        </w:tc>
        <w:tc>
          <w:tcPr>
            <w:tcW w:w="50" w:type="pct"/>
            <w:shd w:val="clear" w:color="auto" w:fill="auto"/>
            <w:vAlign w:val="bottom"/>
          </w:tcPr>
          <w:p w14:paraId="392C64C9" w14:textId="77777777" w:rsidR="00980E5F" w:rsidRDefault="00980E5F">
            <w:pPr>
              <w:rPr>
                <w:rFonts w:ascii="宋体"/>
              </w:rPr>
            </w:pPr>
          </w:p>
        </w:tc>
        <w:tc>
          <w:tcPr>
            <w:tcW w:w="362" w:type="pct"/>
            <w:shd w:val="clear" w:color="auto" w:fill="auto"/>
            <w:vAlign w:val="bottom"/>
          </w:tcPr>
          <w:p w14:paraId="392C64CA" w14:textId="77777777" w:rsidR="00980E5F" w:rsidRDefault="00980E5F">
            <w:pPr>
              <w:rPr>
                <w:rFonts w:ascii="宋体"/>
              </w:rPr>
            </w:pPr>
          </w:p>
        </w:tc>
        <w:tc>
          <w:tcPr>
            <w:tcW w:w="5" w:type="pct"/>
            <w:shd w:val="clear" w:color="auto" w:fill="auto"/>
            <w:vAlign w:val="bottom"/>
          </w:tcPr>
          <w:p w14:paraId="392C64CB" w14:textId="77777777" w:rsidR="00980E5F" w:rsidRDefault="00980E5F">
            <w:pPr>
              <w:rPr>
                <w:rFonts w:ascii="宋体"/>
              </w:rPr>
            </w:pPr>
          </w:p>
        </w:tc>
        <w:tc>
          <w:tcPr>
            <w:tcW w:w="5" w:type="pct"/>
            <w:shd w:val="clear" w:color="auto" w:fill="auto"/>
            <w:vAlign w:val="bottom"/>
          </w:tcPr>
          <w:p w14:paraId="392C64CC" w14:textId="77777777" w:rsidR="00980E5F" w:rsidRDefault="00980E5F">
            <w:pPr>
              <w:rPr>
                <w:rFonts w:ascii="宋体"/>
              </w:rPr>
            </w:pPr>
          </w:p>
        </w:tc>
        <w:tc>
          <w:tcPr>
            <w:tcW w:w="26" w:type="pct"/>
            <w:shd w:val="clear" w:color="auto" w:fill="auto"/>
            <w:vAlign w:val="bottom"/>
          </w:tcPr>
          <w:p w14:paraId="392C64CD" w14:textId="77777777" w:rsidR="00980E5F" w:rsidRDefault="00980E5F">
            <w:pPr>
              <w:rPr>
                <w:rFonts w:ascii="宋体"/>
              </w:rPr>
            </w:pPr>
          </w:p>
        </w:tc>
        <w:tc>
          <w:tcPr>
            <w:tcW w:w="5" w:type="pct"/>
            <w:shd w:val="clear" w:color="auto" w:fill="auto"/>
            <w:vAlign w:val="bottom"/>
          </w:tcPr>
          <w:p w14:paraId="392C64CE" w14:textId="77777777" w:rsidR="00980E5F" w:rsidRDefault="00980E5F">
            <w:pPr>
              <w:rPr>
                <w:rFonts w:ascii="宋体"/>
              </w:rPr>
            </w:pPr>
          </w:p>
        </w:tc>
        <w:tc>
          <w:tcPr>
            <w:tcW w:w="50" w:type="pct"/>
            <w:shd w:val="clear" w:color="auto" w:fill="auto"/>
            <w:vAlign w:val="bottom"/>
          </w:tcPr>
          <w:p w14:paraId="392C64CF" w14:textId="77777777" w:rsidR="00980E5F" w:rsidRDefault="00980E5F">
            <w:pPr>
              <w:rPr>
                <w:rFonts w:ascii="宋体"/>
              </w:rPr>
            </w:pPr>
          </w:p>
        </w:tc>
        <w:tc>
          <w:tcPr>
            <w:tcW w:w="436" w:type="pct"/>
            <w:shd w:val="clear" w:color="auto" w:fill="auto"/>
            <w:vAlign w:val="bottom"/>
          </w:tcPr>
          <w:p w14:paraId="392C64D0" w14:textId="77777777" w:rsidR="00980E5F" w:rsidRDefault="00980E5F">
            <w:pPr>
              <w:rPr>
                <w:rFonts w:ascii="宋体"/>
              </w:rPr>
            </w:pPr>
          </w:p>
        </w:tc>
        <w:tc>
          <w:tcPr>
            <w:tcW w:w="5" w:type="pct"/>
            <w:shd w:val="clear" w:color="auto" w:fill="auto"/>
            <w:vAlign w:val="bottom"/>
          </w:tcPr>
          <w:p w14:paraId="392C64D1" w14:textId="77777777" w:rsidR="00980E5F" w:rsidRDefault="00980E5F">
            <w:pPr>
              <w:rPr>
                <w:rFonts w:ascii="宋体"/>
              </w:rPr>
            </w:pPr>
          </w:p>
        </w:tc>
      </w:tr>
      <w:tr w:rsidR="00980E5F" w14:paraId="392C64D5" w14:textId="77777777">
        <w:tc>
          <w:tcPr>
            <w:tcW w:w="0" w:type="auto"/>
            <w:gridSpan w:val="3"/>
            <w:shd w:val="clear" w:color="auto" w:fill="auto"/>
            <w:tcMar>
              <w:top w:w="0" w:type="dxa"/>
              <w:left w:w="20" w:type="dxa"/>
              <w:bottom w:w="0" w:type="dxa"/>
              <w:right w:w="20" w:type="dxa"/>
            </w:tcMar>
            <w:vAlign w:val="bottom"/>
          </w:tcPr>
          <w:p w14:paraId="392C64D3"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64D4" w14:textId="77777777" w:rsidR="00980E5F" w:rsidRDefault="00483613">
            <w:pPr>
              <w:jc w:val="center"/>
              <w:textAlignment w:val="bottom"/>
            </w:pPr>
            <w:r>
              <w:rPr>
                <w:rFonts w:ascii="Arial" w:eastAsia="宋体" w:hAnsi="Arial" w:cs="Arial"/>
                <w:b/>
                <w:bCs/>
                <w:color w:val="000000"/>
                <w:sz w:val="14"/>
                <w:szCs w:val="14"/>
              </w:rPr>
              <w:t>As of December 31, 2021</w:t>
            </w:r>
          </w:p>
        </w:tc>
      </w:tr>
      <w:tr w:rsidR="00980E5F" w14:paraId="392C64DC" w14:textId="77777777">
        <w:tc>
          <w:tcPr>
            <w:tcW w:w="0" w:type="auto"/>
            <w:gridSpan w:val="3"/>
            <w:shd w:val="clear" w:color="auto" w:fill="auto"/>
            <w:tcMar>
              <w:top w:w="0" w:type="dxa"/>
              <w:left w:w="20" w:type="dxa"/>
              <w:bottom w:w="0" w:type="dxa"/>
              <w:right w:w="20" w:type="dxa"/>
            </w:tcMar>
            <w:vAlign w:val="bottom"/>
          </w:tcPr>
          <w:p w14:paraId="392C64D6"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4D7" w14:textId="77777777" w:rsidR="00980E5F" w:rsidRDefault="00483613">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D8"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4D9" w14:textId="77777777" w:rsidR="00980E5F" w:rsidRDefault="00483613">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D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4DB"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64E9" w14:textId="77777777">
        <w:tc>
          <w:tcPr>
            <w:tcW w:w="0" w:type="auto"/>
            <w:gridSpan w:val="3"/>
            <w:shd w:val="clear" w:color="auto" w:fill="auto"/>
            <w:tcMar>
              <w:top w:w="40" w:type="dxa"/>
              <w:left w:w="20" w:type="dxa"/>
              <w:bottom w:w="40" w:type="dxa"/>
              <w:right w:w="20" w:type="dxa"/>
            </w:tcMar>
            <w:vAlign w:val="bottom"/>
          </w:tcPr>
          <w:p w14:paraId="392C64DD"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DE"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D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E0"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392C64E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E2"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E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E4"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392C64E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E6" w14:textId="77777777" w:rsidR="00980E5F" w:rsidRDefault="00483613">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E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4E8" w14:textId="77777777" w:rsidR="00980E5F" w:rsidRDefault="00483613">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980E5F" w14:paraId="392C64F6" w14:textId="77777777">
        <w:tc>
          <w:tcPr>
            <w:tcW w:w="0" w:type="auto"/>
            <w:gridSpan w:val="3"/>
            <w:shd w:val="clear" w:color="auto" w:fill="auto"/>
            <w:tcMar>
              <w:top w:w="40" w:type="dxa"/>
              <w:left w:w="20" w:type="dxa"/>
              <w:bottom w:w="40" w:type="dxa"/>
              <w:right w:w="20" w:type="dxa"/>
            </w:tcMar>
            <w:vAlign w:val="bottom"/>
          </w:tcPr>
          <w:p w14:paraId="392C64EA" w14:textId="77777777" w:rsidR="00980E5F" w:rsidRDefault="00483613">
            <w:pPr>
              <w:textAlignment w:val="bottom"/>
            </w:pPr>
            <w:r>
              <w:rPr>
                <w:rFonts w:ascii="Arial" w:eastAsia="宋体" w:hAnsi="Arial" w:cs="Arial"/>
                <w:b/>
                <w:bCs/>
                <w:color w:val="000000"/>
                <w:sz w:val="14"/>
                <w:szCs w:val="14"/>
              </w:rPr>
              <w:t>Ava</w:t>
            </w:r>
            <w:r>
              <w:rPr>
                <w:rFonts w:ascii="Arial" w:eastAsia="宋体" w:hAnsi="Arial" w:cs="Arial"/>
                <w:b/>
                <w:bCs/>
                <w:color w:val="000000"/>
                <w:sz w:val="14"/>
                <w:szCs w:val="14"/>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E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E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E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F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F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4F5" w14:textId="77777777" w:rsidR="00980E5F" w:rsidRDefault="00980E5F">
            <w:pPr>
              <w:rPr>
                <w:rFonts w:ascii="宋体"/>
              </w:rPr>
            </w:pPr>
          </w:p>
        </w:tc>
      </w:tr>
      <w:tr w:rsidR="00980E5F" w14:paraId="392C6503" w14:textId="77777777">
        <w:tc>
          <w:tcPr>
            <w:tcW w:w="0" w:type="auto"/>
            <w:gridSpan w:val="3"/>
            <w:shd w:val="clear" w:color="auto" w:fill="auto"/>
            <w:tcMar>
              <w:top w:w="40" w:type="dxa"/>
              <w:left w:w="20" w:type="dxa"/>
              <w:bottom w:w="40" w:type="dxa"/>
              <w:right w:w="20" w:type="dxa"/>
            </w:tcMar>
            <w:vAlign w:val="bottom"/>
          </w:tcPr>
          <w:p w14:paraId="392C64F7" w14:textId="77777777" w:rsidR="00980E5F" w:rsidRDefault="00483613">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392C64F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4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50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5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502" w14:textId="77777777" w:rsidR="00980E5F" w:rsidRDefault="00980E5F">
            <w:pPr>
              <w:rPr>
                <w:rFonts w:ascii="宋体"/>
              </w:rPr>
            </w:pPr>
          </w:p>
        </w:tc>
      </w:tr>
      <w:tr w:rsidR="00980E5F" w14:paraId="392C651C" w14:textId="77777777">
        <w:tc>
          <w:tcPr>
            <w:tcW w:w="0" w:type="auto"/>
            <w:gridSpan w:val="3"/>
            <w:shd w:val="clear" w:color="auto" w:fill="CCEEFF"/>
            <w:tcMar>
              <w:top w:w="40" w:type="dxa"/>
              <w:left w:w="245" w:type="dxa"/>
              <w:bottom w:w="40" w:type="dxa"/>
              <w:right w:w="20" w:type="dxa"/>
            </w:tcMar>
            <w:vAlign w:val="bottom"/>
          </w:tcPr>
          <w:p w14:paraId="392C6504" w14:textId="77777777" w:rsidR="00980E5F" w:rsidRDefault="00483613">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392C6505"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06" w14:textId="77777777" w:rsidR="00980E5F" w:rsidRDefault="00483613">
            <w:pPr>
              <w:jc w:val="right"/>
              <w:textAlignment w:val="bottom"/>
            </w:pPr>
            <w:r>
              <w:rPr>
                <w:rFonts w:ascii="Arial" w:eastAsia="宋体" w:hAnsi="Arial" w:cs="Arial"/>
                <w:color w:val="000000"/>
                <w:sz w:val="14"/>
                <w:szCs w:val="14"/>
              </w:rPr>
              <w:t>14,749 </w:t>
            </w:r>
          </w:p>
        </w:tc>
        <w:tc>
          <w:tcPr>
            <w:tcW w:w="0" w:type="auto"/>
            <w:shd w:val="clear" w:color="auto" w:fill="CCEEFF"/>
            <w:tcMar>
              <w:top w:w="40" w:type="dxa"/>
              <w:left w:w="0" w:type="dxa"/>
              <w:bottom w:w="40" w:type="dxa"/>
              <w:right w:w="20" w:type="dxa"/>
            </w:tcMar>
            <w:vAlign w:val="bottom"/>
          </w:tcPr>
          <w:p w14:paraId="392C65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0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509"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0A" w14:textId="77777777" w:rsidR="00980E5F" w:rsidRDefault="00483613">
            <w:pPr>
              <w:jc w:val="right"/>
              <w:textAlignment w:val="bottom"/>
            </w:pPr>
            <w:r>
              <w:rPr>
                <w:rFonts w:ascii="Arial" w:eastAsia="宋体" w:hAnsi="Arial" w:cs="Arial"/>
                <w:color w:val="000000"/>
                <w:sz w:val="14"/>
                <w:szCs w:val="14"/>
              </w:rPr>
              <w:t>194 </w:t>
            </w:r>
          </w:p>
        </w:tc>
        <w:tc>
          <w:tcPr>
            <w:tcW w:w="0" w:type="auto"/>
            <w:shd w:val="clear" w:color="auto" w:fill="CCEEFF"/>
            <w:tcMar>
              <w:top w:w="40" w:type="dxa"/>
              <w:left w:w="0" w:type="dxa"/>
              <w:bottom w:w="40" w:type="dxa"/>
              <w:right w:w="20" w:type="dxa"/>
            </w:tcMar>
            <w:vAlign w:val="bottom"/>
          </w:tcPr>
          <w:p w14:paraId="392C65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0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50D"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0E" w14:textId="77777777" w:rsidR="00980E5F" w:rsidRDefault="00483613">
            <w:pPr>
              <w:jc w:val="right"/>
              <w:textAlignment w:val="bottom"/>
            </w:pPr>
            <w:r>
              <w:rPr>
                <w:rFonts w:ascii="Arial" w:eastAsia="宋体" w:hAnsi="Arial" w:cs="Arial"/>
                <w:color w:val="000000"/>
                <w:sz w:val="14"/>
                <w:szCs w:val="14"/>
              </w:rPr>
              <w:t>1,624 </w:t>
            </w:r>
          </w:p>
        </w:tc>
        <w:tc>
          <w:tcPr>
            <w:tcW w:w="0" w:type="auto"/>
            <w:shd w:val="clear" w:color="auto" w:fill="CCEEFF"/>
            <w:tcMar>
              <w:top w:w="40" w:type="dxa"/>
              <w:left w:w="0" w:type="dxa"/>
              <w:bottom w:w="40" w:type="dxa"/>
              <w:right w:w="20" w:type="dxa"/>
            </w:tcMar>
            <w:vAlign w:val="bottom"/>
          </w:tcPr>
          <w:p w14:paraId="392C65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1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511"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12"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65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1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515"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16" w14:textId="77777777" w:rsidR="00980E5F" w:rsidRDefault="00483613">
            <w:pPr>
              <w:jc w:val="right"/>
              <w:textAlignment w:val="bottom"/>
            </w:pPr>
            <w:r>
              <w:rPr>
                <w:rFonts w:ascii="Arial" w:eastAsia="宋体" w:hAnsi="Arial" w:cs="Arial"/>
                <w:color w:val="000000"/>
                <w:sz w:val="14"/>
                <w:szCs w:val="14"/>
              </w:rPr>
              <w:t>16,373 </w:t>
            </w:r>
          </w:p>
        </w:tc>
        <w:tc>
          <w:tcPr>
            <w:tcW w:w="0" w:type="auto"/>
            <w:shd w:val="clear" w:color="auto" w:fill="CCEEFF"/>
            <w:tcMar>
              <w:top w:w="40" w:type="dxa"/>
              <w:left w:w="0" w:type="dxa"/>
              <w:bottom w:w="40" w:type="dxa"/>
              <w:right w:w="20" w:type="dxa"/>
            </w:tcMar>
            <w:vAlign w:val="bottom"/>
          </w:tcPr>
          <w:p w14:paraId="392C65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1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519"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651A" w14:textId="77777777" w:rsidR="00980E5F" w:rsidRDefault="00483613">
            <w:pPr>
              <w:jc w:val="right"/>
              <w:textAlignment w:val="bottom"/>
            </w:pPr>
            <w:r>
              <w:rPr>
                <w:rFonts w:ascii="Arial" w:eastAsia="宋体" w:hAnsi="Arial" w:cs="Arial"/>
                <w:color w:val="000000"/>
                <w:sz w:val="14"/>
                <w:szCs w:val="14"/>
              </w:rPr>
              <w:t>196 </w:t>
            </w:r>
          </w:p>
        </w:tc>
        <w:tc>
          <w:tcPr>
            <w:tcW w:w="0" w:type="auto"/>
            <w:shd w:val="clear" w:color="auto" w:fill="CCEEFF"/>
            <w:tcMar>
              <w:top w:w="40" w:type="dxa"/>
              <w:left w:w="0" w:type="dxa"/>
              <w:bottom w:w="40" w:type="dxa"/>
              <w:right w:w="20" w:type="dxa"/>
            </w:tcMar>
            <w:vAlign w:val="bottom"/>
          </w:tcPr>
          <w:p w14:paraId="392C651B" w14:textId="77777777" w:rsidR="00980E5F" w:rsidRDefault="00980E5F">
            <w:pPr>
              <w:jc w:val="right"/>
              <w:rPr>
                <w:rFonts w:ascii="宋体"/>
              </w:rPr>
            </w:pPr>
          </w:p>
        </w:tc>
      </w:tr>
      <w:tr w:rsidR="00980E5F" w14:paraId="392C652F" w14:textId="77777777">
        <w:tc>
          <w:tcPr>
            <w:tcW w:w="0" w:type="auto"/>
            <w:gridSpan w:val="3"/>
            <w:shd w:val="clear" w:color="auto" w:fill="FFFFFF"/>
            <w:tcMar>
              <w:top w:w="40" w:type="dxa"/>
              <w:left w:w="245" w:type="dxa"/>
              <w:bottom w:w="40" w:type="dxa"/>
              <w:right w:w="20" w:type="dxa"/>
            </w:tcMar>
            <w:vAlign w:val="bottom"/>
          </w:tcPr>
          <w:p w14:paraId="392C651D" w14:textId="77777777" w:rsidR="00980E5F" w:rsidRDefault="00483613">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392C651E" w14:textId="77777777" w:rsidR="00980E5F" w:rsidRDefault="00483613">
            <w:pPr>
              <w:jc w:val="right"/>
              <w:textAlignment w:val="bottom"/>
            </w:pPr>
            <w:r>
              <w:rPr>
                <w:rFonts w:ascii="Arial" w:eastAsia="宋体" w:hAnsi="Arial" w:cs="Arial"/>
                <w:color w:val="000000"/>
                <w:sz w:val="14"/>
                <w:szCs w:val="14"/>
              </w:rPr>
              <w:t>10,417 </w:t>
            </w:r>
          </w:p>
        </w:tc>
        <w:tc>
          <w:tcPr>
            <w:tcW w:w="0" w:type="auto"/>
            <w:shd w:val="clear" w:color="auto" w:fill="FFFFFF"/>
            <w:tcMar>
              <w:top w:w="40" w:type="dxa"/>
              <w:left w:w="0" w:type="dxa"/>
              <w:bottom w:w="40" w:type="dxa"/>
              <w:right w:w="20" w:type="dxa"/>
            </w:tcMar>
            <w:vAlign w:val="bottom"/>
          </w:tcPr>
          <w:p w14:paraId="392C65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21" w14:textId="77777777" w:rsidR="00980E5F" w:rsidRDefault="00483613">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392C65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24" w14:textId="77777777" w:rsidR="00980E5F" w:rsidRDefault="00483613">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392C65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27"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92C65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2A" w14:textId="77777777" w:rsidR="00980E5F" w:rsidRDefault="00483613">
            <w:pPr>
              <w:jc w:val="right"/>
              <w:textAlignment w:val="bottom"/>
            </w:pPr>
            <w:r>
              <w:rPr>
                <w:rFonts w:ascii="Arial" w:eastAsia="宋体" w:hAnsi="Arial" w:cs="Arial"/>
                <w:color w:val="000000"/>
                <w:sz w:val="14"/>
                <w:szCs w:val="14"/>
              </w:rPr>
              <w:t>10,786 </w:t>
            </w:r>
          </w:p>
        </w:tc>
        <w:tc>
          <w:tcPr>
            <w:tcW w:w="0" w:type="auto"/>
            <w:shd w:val="clear" w:color="auto" w:fill="FFFFFF"/>
            <w:tcMar>
              <w:top w:w="40" w:type="dxa"/>
              <w:left w:w="0" w:type="dxa"/>
              <w:bottom w:w="40" w:type="dxa"/>
              <w:right w:w="20" w:type="dxa"/>
            </w:tcMar>
            <w:vAlign w:val="bottom"/>
          </w:tcPr>
          <w:p w14:paraId="392C65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2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2D" w14:textId="77777777" w:rsidR="00980E5F" w:rsidRDefault="00483613">
            <w:pPr>
              <w:jc w:val="right"/>
              <w:textAlignment w:val="bottom"/>
            </w:pPr>
            <w:r>
              <w:rPr>
                <w:rFonts w:ascii="Arial" w:eastAsia="宋体" w:hAnsi="Arial" w:cs="Arial"/>
                <w:color w:val="000000"/>
                <w:sz w:val="14"/>
                <w:szCs w:val="14"/>
              </w:rPr>
              <w:t>94 </w:t>
            </w:r>
          </w:p>
        </w:tc>
        <w:tc>
          <w:tcPr>
            <w:tcW w:w="0" w:type="auto"/>
            <w:shd w:val="clear" w:color="auto" w:fill="FFFFFF"/>
            <w:tcMar>
              <w:top w:w="40" w:type="dxa"/>
              <w:left w:w="0" w:type="dxa"/>
              <w:bottom w:w="40" w:type="dxa"/>
              <w:right w:w="20" w:type="dxa"/>
            </w:tcMar>
            <w:vAlign w:val="bottom"/>
          </w:tcPr>
          <w:p w14:paraId="392C652E" w14:textId="77777777" w:rsidR="00980E5F" w:rsidRDefault="00980E5F">
            <w:pPr>
              <w:jc w:val="right"/>
              <w:rPr>
                <w:rFonts w:ascii="宋体"/>
              </w:rPr>
            </w:pPr>
          </w:p>
        </w:tc>
      </w:tr>
      <w:tr w:rsidR="00980E5F" w14:paraId="392C6542" w14:textId="77777777">
        <w:tc>
          <w:tcPr>
            <w:tcW w:w="0" w:type="auto"/>
            <w:gridSpan w:val="3"/>
            <w:shd w:val="clear" w:color="auto" w:fill="CCEEFF"/>
            <w:tcMar>
              <w:top w:w="40" w:type="dxa"/>
              <w:left w:w="515" w:type="dxa"/>
              <w:bottom w:w="40" w:type="dxa"/>
              <w:right w:w="20" w:type="dxa"/>
            </w:tcMar>
            <w:vAlign w:val="bottom"/>
          </w:tcPr>
          <w:p w14:paraId="392C6530" w14:textId="77777777" w:rsidR="00980E5F" w:rsidRDefault="00483613">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31" w14:textId="77777777" w:rsidR="00980E5F" w:rsidRDefault="00483613">
            <w:pPr>
              <w:jc w:val="right"/>
              <w:textAlignment w:val="bottom"/>
            </w:pPr>
            <w:r>
              <w:rPr>
                <w:rFonts w:ascii="Arial" w:eastAsia="宋体" w:hAnsi="Arial" w:cs="Arial"/>
                <w:color w:val="000000"/>
                <w:sz w:val="14"/>
                <w:szCs w:val="14"/>
              </w:rPr>
              <w:t>25,166 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3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34" w14:textId="77777777" w:rsidR="00980E5F" w:rsidRDefault="00483613">
            <w:pPr>
              <w:jc w:val="right"/>
              <w:textAlignment w:val="bottom"/>
            </w:pPr>
            <w:r>
              <w:rPr>
                <w:rFonts w:ascii="Arial" w:eastAsia="宋体" w:hAnsi="Arial" w:cs="Arial"/>
                <w:color w:val="000000"/>
                <w:sz w:val="14"/>
                <w:szCs w:val="14"/>
              </w:rPr>
              <w:t>274 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3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37" w14:textId="77777777" w:rsidR="00980E5F" w:rsidRDefault="00483613">
            <w:pPr>
              <w:jc w:val="right"/>
              <w:textAlignment w:val="bottom"/>
            </w:pPr>
            <w:r>
              <w:rPr>
                <w:rFonts w:ascii="Arial" w:eastAsia="宋体" w:hAnsi="Arial" w:cs="Arial"/>
                <w:color w:val="000000"/>
                <w:sz w:val="14"/>
                <w:szCs w:val="14"/>
              </w:rPr>
              <w:t>1,993 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3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3A" w14:textId="77777777" w:rsidR="00980E5F" w:rsidRDefault="00483613">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3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3D" w14:textId="77777777" w:rsidR="00980E5F" w:rsidRDefault="00483613">
            <w:pPr>
              <w:jc w:val="right"/>
              <w:textAlignment w:val="bottom"/>
            </w:pPr>
            <w:r>
              <w:rPr>
                <w:rFonts w:ascii="Arial" w:eastAsia="宋体" w:hAnsi="Arial" w:cs="Arial"/>
                <w:color w:val="000000"/>
                <w:sz w:val="14"/>
                <w:szCs w:val="14"/>
              </w:rPr>
              <w:t>27,159 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3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40" w14:textId="77777777" w:rsidR="00980E5F" w:rsidRDefault="00483613">
            <w:pPr>
              <w:jc w:val="right"/>
              <w:textAlignment w:val="bottom"/>
            </w:pPr>
            <w:r>
              <w:rPr>
                <w:rFonts w:ascii="Arial" w:eastAsia="宋体" w:hAnsi="Arial" w:cs="Arial"/>
                <w:color w:val="000000"/>
                <w:sz w:val="14"/>
                <w:szCs w:val="14"/>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41" w14:textId="77777777" w:rsidR="00980E5F" w:rsidRDefault="00980E5F">
            <w:pPr>
              <w:jc w:val="right"/>
              <w:rPr>
                <w:rFonts w:ascii="宋体"/>
              </w:rPr>
            </w:pPr>
          </w:p>
        </w:tc>
      </w:tr>
      <w:tr w:rsidR="00980E5F" w14:paraId="392C654F" w14:textId="77777777">
        <w:trPr>
          <w:hidden/>
        </w:trPr>
        <w:tc>
          <w:tcPr>
            <w:tcW w:w="0" w:type="auto"/>
            <w:gridSpan w:val="3"/>
            <w:shd w:val="clear" w:color="auto" w:fill="auto"/>
            <w:vAlign w:val="bottom"/>
          </w:tcPr>
          <w:p w14:paraId="392C6543" w14:textId="77777777" w:rsidR="00980E5F" w:rsidRDefault="00980E5F">
            <w:pPr>
              <w:rPr>
                <w:rFonts w:ascii="宋体"/>
                <w:vanish/>
              </w:rPr>
            </w:pPr>
          </w:p>
        </w:tc>
        <w:tc>
          <w:tcPr>
            <w:tcW w:w="0" w:type="auto"/>
            <w:gridSpan w:val="3"/>
            <w:shd w:val="clear" w:color="auto" w:fill="auto"/>
            <w:vAlign w:val="bottom"/>
          </w:tcPr>
          <w:p w14:paraId="392C6544" w14:textId="77777777" w:rsidR="00980E5F" w:rsidRDefault="00980E5F">
            <w:pPr>
              <w:rPr>
                <w:rFonts w:ascii="宋体"/>
                <w:vanish/>
              </w:rPr>
            </w:pPr>
          </w:p>
        </w:tc>
        <w:tc>
          <w:tcPr>
            <w:tcW w:w="0" w:type="auto"/>
            <w:gridSpan w:val="3"/>
            <w:shd w:val="clear" w:color="auto" w:fill="auto"/>
            <w:vAlign w:val="bottom"/>
          </w:tcPr>
          <w:p w14:paraId="392C6545" w14:textId="77777777" w:rsidR="00980E5F" w:rsidRDefault="00980E5F">
            <w:pPr>
              <w:rPr>
                <w:rFonts w:ascii="宋体"/>
                <w:vanish/>
              </w:rPr>
            </w:pPr>
          </w:p>
        </w:tc>
        <w:tc>
          <w:tcPr>
            <w:tcW w:w="0" w:type="auto"/>
            <w:gridSpan w:val="3"/>
            <w:shd w:val="clear" w:color="auto" w:fill="auto"/>
            <w:vAlign w:val="bottom"/>
          </w:tcPr>
          <w:p w14:paraId="392C6546" w14:textId="77777777" w:rsidR="00980E5F" w:rsidRDefault="00980E5F">
            <w:pPr>
              <w:rPr>
                <w:rFonts w:ascii="宋体"/>
                <w:vanish/>
              </w:rPr>
            </w:pPr>
          </w:p>
        </w:tc>
        <w:tc>
          <w:tcPr>
            <w:tcW w:w="0" w:type="auto"/>
            <w:gridSpan w:val="3"/>
            <w:shd w:val="clear" w:color="auto" w:fill="auto"/>
            <w:vAlign w:val="bottom"/>
          </w:tcPr>
          <w:p w14:paraId="392C6547" w14:textId="77777777" w:rsidR="00980E5F" w:rsidRDefault="00980E5F">
            <w:pPr>
              <w:rPr>
                <w:rFonts w:ascii="宋体"/>
                <w:vanish/>
              </w:rPr>
            </w:pPr>
          </w:p>
        </w:tc>
        <w:tc>
          <w:tcPr>
            <w:tcW w:w="0" w:type="auto"/>
            <w:gridSpan w:val="3"/>
            <w:shd w:val="clear" w:color="auto" w:fill="auto"/>
            <w:vAlign w:val="bottom"/>
          </w:tcPr>
          <w:p w14:paraId="392C6548" w14:textId="77777777" w:rsidR="00980E5F" w:rsidRDefault="00980E5F">
            <w:pPr>
              <w:rPr>
                <w:rFonts w:ascii="宋体"/>
                <w:vanish/>
              </w:rPr>
            </w:pPr>
          </w:p>
        </w:tc>
        <w:tc>
          <w:tcPr>
            <w:tcW w:w="0" w:type="auto"/>
            <w:gridSpan w:val="3"/>
            <w:shd w:val="clear" w:color="auto" w:fill="auto"/>
            <w:vAlign w:val="bottom"/>
          </w:tcPr>
          <w:p w14:paraId="392C6549" w14:textId="77777777" w:rsidR="00980E5F" w:rsidRDefault="00980E5F">
            <w:pPr>
              <w:rPr>
                <w:rFonts w:ascii="宋体"/>
                <w:vanish/>
              </w:rPr>
            </w:pPr>
          </w:p>
        </w:tc>
        <w:tc>
          <w:tcPr>
            <w:tcW w:w="0" w:type="auto"/>
            <w:gridSpan w:val="3"/>
            <w:shd w:val="clear" w:color="auto" w:fill="auto"/>
            <w:vAlign w:val="bottom"/>
          </w:tcPr>
          <w:p w14:paraId="392C654A" w14:textId="77777777" w:rsidR="00980E5F" w:rsidRDefault="00980E5F">
            <w:pPr>
              <w:rPr>
                <w:rFonts w:ascii="宋体"/>
                <w:vanish/>
              </w:rPr>
            </w:pPr>
          </w:p>
        </w:tc>
        <w:tc>
          <w:tcPr>
            <w:tcW w:w="0" w:type="auto"/>
            <w:gridSpan w:val="3"/>
            <w:shd w:val="clear" w:color="auto" w:fill="auto"/>
            <w:vAlign w:val="bottom"/>
          </w:tcPr>
          <w:p w14:paraId="392C654B" w14:textId="77777777" w:rsidR="00980E5F" w:rsidRDefault="00980E5F">
            <w:pPr>
              <w:rPr>
                <w:rFonts w:ascii="宋体"/>
                <w:vanish/>
              </w:rPr>
            </w:pPr>
          </w:p>
        </w:tc>
        <w:tc>
          <w:tcPr>
            <w:tcW w:w="0" w:type="auto"/>
            <w:gridSpan w:val="3"/>
            <w:shd w:val="clear" w:color="auto" w:fill="auto"/>
            <w:vAlign w:val="bottom"/>
          </w:tcPr>
          <w:p w14:paraId="392C654C" w14:textId="77777777" w:rsidR="00980E5F" w:rsidRDefault="00980E5F">
            <w:pPr>
              <w:rPr>
                <w:rFonts w:ascii="宋体"/>
                <w:vanish/>
              </w:rPr>
            </w:pPr>
          </w:p>
        </w:tc>
        <w:tc>
          <w:tcPr>
            <w:tcW w:w="0" w:type="auto"/>
            <w:gridSpan w:val="3"/>
            <w:shd w:val="clear" w:color="auto" w:fill="auto"/>
            <w:vAlign w:val="bottom"/>
          </w:tcPr>
          <w:p w14:paraId="392C654D" w14:textId="77777777" w:rsidR="00980E5F" w:rsidRDefault="00980E5F">
            <w:pPr>
              <w:rPr>
                <w:rFonts w:ascii="宋体"/>
                <w:vanish/>
              </w:rPr>
            </w:pPr>
          </w:p>
        </w:tc>
        <w:tc>
          <w:tcPr>
            <w:tcW w:w="0" w:type="auto"/>
            <w:gridSpan w:val="3"/>
            <w:shd w:val="clear" w:color="auto" w:fill="auto"/>
            <w:vAlign w:val="bottom"/>
          </w:tcPr>
          <w:p w14:paraId="392C654E" w14:textId="77777777" w:rsidR="00980E5F" w:rsidRDefault="00980E5F">
            <w:pPr>
              <w:rPr>
                <w:rFonts w:ascii="宋体"/>
                <w:vanish/>
              </w:rPr>
            </w:pPr>
          </w:p>
        </w:tc>
      </w:tr>
      <w:tr w:rsidR="00980E5F" w14:paraId="392C655C" w14:textId="77777777">
        <w:trPr>
          <w:hidden/>
        </w:trPr>
        <w:tc>
          <w:tcPr>
            <w:tcW w:w="0" w:type="auto"/>
            <w:gridSpan w:val="3"/>
            <w:shd w:val="clear" w:color="auto" w:fill="auto"/>
            <w:vAlign w:val="bottom"/>
          </w:tcPr>
          <w:p w14:paraId="392C6550" w14:textId="77777777" w:rsidR="00980E5F" w:rsidRDefault="00980E5F">
            <w:pPr>
              <w:rPr>
                <w:rFonts w:ascii="宋体"/>
                <w:vanish/>
              </w:rPr>
            </w:pPr>
          </w:p>
        </w:tc>
        <w:tc>
          <w:tcPr>
            <w:tcW w:w="0" w:type="auto"/>
            <w:gridSpan w:val="3"/>
            <w:shd w:val="clear" w:color="auto" w:fill="auto"/>
            <w:vAlign w:val="bottom"/>
          </w:tcPr>
          <w:p w14:paraId="392C6551" w14:textId="77777777" w:rsidR="00980E5F" w:rsidRDefault="00980E5F">
            <w:pPr>
              <w:rPr>
                <w:rFonts w:ascii="宋体"/>
                <w:vanish/>
              </w:rPr>
            </w:pPr>
          </w:p>
        </w:tc>
        <w:tc>
          <w:tcPr>
            <w:tcW w:w="0" w:type="auto"/>
            <w:gridSpan w:val="3"/>
            <w:shd w:val="clear" w:color="auto" w:fill="auto"/>
            <w:vAlign w:val="bottom"/>
          </w:tcPr>
          <w:p w14:paraId="392C6552" w14:textId="77777777" w:rsidR="00980E5F" w:rsidRDefault="00980E5F">
            <w:pPr>
              <w:rPr>
                <w:rFonts w:ascii="宋体"/>
                <w:vanish/>
              </w:rPr>
            </w:pPr>
          </w:p>
        </w:tc>
        <w:tc>
          <w:tcPr>
            <w:tcW w:w="0" w:type="auto"/>
            <w:gridSpan w:val="3"/>
            <w:shd w:val="clear" w:color="auto" w:fill="auto"/>
            <w:vAlign w:val="bottom"/>
          </w:tcPr>
          <w:p w14:paraId="392C6553" w14:textId="77777777" w:rsidR="00980E5F" w:rsidRDefault="00980E5F">
            <w:pPr>
              <w:rPr>
                <w:rFonts w:ascii="宋体"/>
                <w:vanish/>
              </w:rPr>
            </w:pPr>
          </w:p>
        </w:tc>
        <w:tc>
          <w:tcPr>
            <w:tcW w:w="0" w:type="auto"/>
            <w:gridSpan w:val="3"/>
            <w:shd w:val="clear" w:color="auto" w:fill="auto"/>
            <w:vAlign w:val="bottom"/>
          </w:tcPr>
          <w:p w14:paraId="392C6554" w14:textId="77777777" w:rsidR="00980E5F" w:rsidRDefault="00980E5F">
            <w:pPr>
              <w:rPr>
                <w:rFonts w:ascii="宋体"/>
                <w:vanish/>
              </w:rPr>
            </w:pPr>
          </w:p>
        </w:tc>
        <w:tc>
          <w:tcPr>
            <w:tcW w:w="0" w:type="auto"/>
            <w:gridSpan w:val="3"/>
            <w:shd w:val="clear" w:color="auto" w:fill="auto"/>
            <w:vAlign w:val="bottom"/>
          </w:tcPr>
          <w:p w14:paraId="392C6555" w14:textId="77777777" w:rsidR="00980E5F" w:rsidRDefault="00980E5F">
            <w:pPr>
              <w:rPr>
                <w:rFonts w:ascii="宋体"/>
                <w:vanish/>
              </w:rPr>
            </w:pPr>
          </w:p>
        </w:tc>
        <w:tc>
          <w:tcPr>
            <w:tcW w:w="0" w:type="auto"/>
            <w:gridSpan w:val="3"/>
            <w:shd w:val="clear" w:color="auto" w:fill="auto"/>
            <w:vAlign w:val="bottom"/>
          </w:tcPr>
          <w:p w14:paraId="392C6556" w14:textId="77777777" w:rsidR="00980E5F" w:rsidRDefault="00980E5F">
            <w:pPr>
              <w:rPr>
                <w:rFonts w:ascii="宋体"/>
                <w:vanish/>
              </w:rPr>
            </w:pPr>
          </w:p>
        </w:tc>
        <w:tc>
          <w:tcPr>
            <w:tcW w:w="0" w:type="auto"/>
            <w:gridSpan w:val="3"/>
            <w:shd w:val="clear" w:color="auto" w:fill="auto"/>
            <w:vAlign w:val="bottom"/>
          </w:tcPr>
          <w:p w14:paraId="392C6557" w14:textId="77777777" w:rsidR="00980E5F" w:rsidRDefault="00980E5F">
            <w:pPr>
              <w:rPr>
                <w:rFonts w:ascii="宋体"/>
                <w:vanish/>
              </w:rPr>
            </w:pPr>
          </w:p>
        </w:tc>
        <w:tc>
          <w:tcPr>
            <w:tcW w:w="0" w:type="auto"/>
            <w:gridSpan w:val="3"/>
            <w:shd w:val="clear" w:color="auto" w:fill="auto"/>
            <w:vAlign w:val="bottom"/>
          </w:tcPr>
          <w:p w14:paraId="392C6558" w14:textId="77777777" w:rsidR="00980E5F" w:rsidRDefault="00980E5F">
            <w:pPr>
              <w:rPr>
                <w:rFonts w:ascii="宋体"/>
                <w:vanish/>
              </w:rPr>
            </w:pPr>
          </w:p>
        </w:tc>
        <w:tc>
          <w:tcPr>
            <w:tcW w:w="0" w:type="auto"/>
            <w:gridSpan w:val="3"/>
            <w:shd w:val="clear" w:color="auto" w:fill="auto"/>
            <w:vAlign w:val="bottom"/>
          </w:tcPr>
          <w:p w14:paraId="392C6559" w14:textId="77777777" w:rsidR="00980E5F" w:rsidRDefault="00980E5F">
            <w:pPr>
              <w:rPr>
                <w:rFonts w:ascii="宋体"/>
                <w:vanish/>
              </w:rPr>
            </w:pPr>
          </w:p>
        </w:tc>
        <w:tc>
          <w:tcPr>
            <w:tcW w:w="0" w:type="auto"/>
            <w:gridSpan w:val="3"/>
            <w:shd w:val="clear" w:color="auto" w:fill="auto"/>
            <w:vAlign w:val="bottom"/>
          </w:tcPr>
          <w:p w14:paraId="392C655A" w14:textId="77777777" w:rsidR="00980E5F" w:rsidRDefault="00980E5F">
            <w:pPr>
              <w:rPr>
                <w:rFonts w:ascii="宋体"/>
                <w:vanish/>
              </w:rPr>
            </w:pPr>
          </w:p>
        </w:tc>
        <w:tc>
          <w:tcPr>
            <w:tcW w:w="0" w:type="auto"/>
            <w:gridSpan w:val="3"/>
            <w:shd w:val="clear" w:color="auto" w:fill="auto"/>
            <w:vAlign w:val="bottom"/>
          </w:tcPr>
          <w:p w14:paraId="392C655B" w14:textId="77777777" w:rsidR="00980E5F" w:rsidRDefault="00980E5F">
            <w:pPr>
              <w:rPr>
                <w:rFonts w:ascii="宋体"/>
                <w:vanish/>
              </w:rPr>
            </w:pPr>
          </w:p>
        </w:tc>
      </w:tr>
      <w:tr w:rsidR="00980E5F" w14:paraId="392C6569" w14:textId="77777777">
        <w:trPr>
          <w:hidden/>
        </w:trPr>
        <w:tc>
          <w:tcPr>
            <w:tcW w:w="0" w:type="auto"/>
            <w:gridSpan w:val="3"/>
            <w:shd w:val="clear" w:color="auto" w:fill="auto"/>
            <w:vAlign w:val="bottom"/>
          </w:tcPr>
          <w:p w14:paraId="392C655D" w14:textId="77777777" w:rsidR="00980E5F" w:rsidRDefault="00980E5F">
            <w:pPr>
              <w:rPr>
                <w:rFonts w:ascii="宋体"/>
                <w:vanish/>
              </w:rPr>
            </w:pPr>
          </w:p>
        </w:tc>
        <w:tc>
          <w:tcPr>
            <w:tcW w:w="0" w:type="auto"/>
            <w:gridSpan w:val="3"/>
            <w:shd w:val="clear" w:color="auto" w:fill="auto"/>
            <w:vAlign w:val="bottom"/>
          </w:tcPr>
          <w:p w14:paraId="392C655E" w14:textId="77777777" w:rsidR="00980E5F" w:rsidRDefault="00980E5F">
            <w:pPr>
              <w:rPr>
                <w:rFonts w:ascii="宋体"/>
                <w:vanish/>
              </w:rPr>
            </w:pPr>
          </w:p>
        </w:tc>
        <w:tc>
          <w:tcPr>
            <w:tcW w:w="0" w:type="auto"/>
            <w:gridSpan w:val="3"/>
            <w:shd w:val="clear" w:color="auto" w:fill="auto"/>
            <w:vAlign w:val="bottom"/>
          </w:tcPr>
          <w:p w14:paraId="392C655F" w14:textId="77777777" w:rsidR="00980E5F" w:rsidRDefault="00980E5F">
            <w:pPr>
              <w:rPr>
                <w:rFonts w:ascii="宋体"/>
                <w:vanish/>
              </w:rPr>
            </w:pPr>
          </w:p>
        </w:tc>
        <w:tc>
          <w:tcPr>
            <w:tcW w:w="0" w:type="auto"/>
            <w:gridSpan w:val="3"/>
            <w:shd w:val="clear" w:color="auto" w:fill="auto"/>
            <w:vAlign w:val="bottom"/>
          </w:tcPr>
          <w:p w14:paraId="392C6560" w14:textId="77777777" w:rsidR="00980E5F" w:rsidRDefault="00980E5F">
            <w:pPr>
              <w:rPr>
                <w:rFonts w:ascii="宋体"/>
                <w:vanish/>
              </w:rPr>
            </w:pPr>
          </w:p>
        </w:tc>
        <w:tc>
          <w:tcPr>
            <w:tcW w:w="0" w:type="auto"/>
            <w:gridSpan w:val="3"/>
            <w:shd w:val="clear" w:color="auto" w:fill="auto"/>
            <w:vAlign w:val="bottom"/>
          </w:tcPr>
          <w:p w14:paraId="392C6561" w14:textId="77777777" w:rsidR="00980E5F" w:rsidRDefault="00980E5F">
            <w:pPr>
              <w:rPr>
                <w:rFonts w:ascii="宋体"/>
                <w:vanish/>
              </w:rPr>
            </w:pPr>
          </w:p>
        </w:tc>
        <w:tc>
          <w:tcPr>
            <w:tcW w:w="0" w:type="auto"/>
            <w:gridSpan w:val="3"/>
            <w:shd w:val="clear" w:color="auto" w:fill="auto"/>
            <w:vAlign w:val="bottom"/>
          </w:tcPr>
          <w:p w14:paraId="392C6562" w14:textId="77777777" w:rsidR="00980E5F" w:rsidRDefault="00980E5F">
            <w:pPr>
              <w:rPr>
                <w:rFonts w:ascii="宋体"/>
                <w:vanish/>
              </w:rPr>
            </w:pPr>
          </w:p>
        </w:tc>
        <w:tc>
          <w:tcPr>
            <w:tcW w:w="0" w:type="auto"/>
            <w:gridSpan w:val="3"/>
            <w:shd w:val="clear" w:color="auto" w:fill="auto"/>
            <w:vAlign w:val="bottom"/>
          </w:tcPr>
          <w:p w14:paraId="392C6563" w14:textId="77777777" w:rsidR="00980E5F" w:rsidRDefault="00980E5F">
            <w:pPr>
              <w:rPr>
                <w:rFonts w:ascii="宋体"/>
                <w:vanish/>
              </w:rPr>
            </w:pPr>
          </w:p>
        </w:tc>
        <w:tc>
          <w:tcPr>
            <w:tcW w:w="0" w:type="auto"/>
            <w:gridSpan w:val="3"/>
            <w:shd w:val="clear" w:color="auto" w:fill="auto"/>
            <w:vAlign w:val="bottom"/>
          </w:tcPr>
          <w:p w14:paraId="392C6564" w14:textId="77777777" w:rsidR="00980E5F" w:rsidRDefault="00980E5F">
            <w:pPr>
              <w:rPr>
                <w:rFonts w:ascii="宋体"/>
                <w:vanish/>
              </w:rPr>
            </w:pPr>
          </w:p>
        </w:tc>
        <w:tc>
          <w:tcPr>
            <w:tcW w:w="0" w:type="auto"/>
            <w:gridSpan w:val="3"/>
            <w:shd w:val="clear" w:color="auto" w:fill="auto"/>
            <w:vAlign w:val="bottom"/>
          </w:tcPr>
          <w:p w14:paraId="392C6565" w14:textId="77777777" w:rsidR="00980E5F" w:rsidRDefault="00980E5F">
            <w:pPr>
              <w:rPr>
                <w:rFonts w:ascii="宋体"/>
                <w:vanish/>
              </w:rPr>
            </w:pPr>
          </w:p>
        </w:tc>
        <w:tc>
          <w:tcPr>
            <w:tcW w:w="0" w:type="auto"/>
            <w:gridSpan w:val="3"/>
            <w:shd w:val="clear" w:color="auto" w:fill="auto"/>
            <w:vAlign w:val="bottom"/>
          </w:tcPr>
          <w:p w14:paraId="392C6566" w14:textId="77777777" w:rsidR="00980E5F" w:rsidRDefault="00980E5F">
            <w:pPr>
              <w:rPr>
                <w:rFonts w:ascii="宋体"/>
                <w:vanish/>
              </w:rPr>
            </w:pPr>
          </w:p>
        </w:tc>
        <w:tc>
          <w:tcPr>
            <w:tcW w:w="0" w:type="auto"/>
            <w:gridSpan w:val="3"/>
            <w:shd w:val="clear" w:color="auto" w:fill="auto"/>
            <w:vAlign w:val="bottom"/>
          </w:tcPr>
          <w:p w14:paraId="392C6567" w14:textId="77777777" w:rsidR="00980E5F" w:rsidRDefault="00980E5F">
            <w:pPr>
              <w:rPr>
                <w:rFonts w:ascii="宋体"/>
                <w:vanish/>
              </w:rPr>
            </w:pPr>
          </w:p>
        </w:tc>
        <w:tc>
          <w:tcPr>
            <w:tcW w:w="0" w:type="auto"/>
            <w:gridSpan w:val="3"/>
            <w:shd w:val="clear" w:color="auto" w:fill="auto"/>
            <w:vAlign w:val="bottom"/>
          </w:tcPr>
          <w:p w14:paraId="392C6568" w14:textId="77777777" w:rsidR="00980E5F" w:rsidRDefault="00980E5F">
            <w:pPr>
              <w:rPr>
                <w:rFonts w:ascii="宋体"/>
                <w:vanish/>
              </w:rPr>
            </w:pPr>
          </w:p>
        </w:tc>
      </w:tr>
      <w:tr w:rsidR="00980E5F" w14:paraId="392C6576" w14:textId="77777777">
        <w:trPr>
          <w:hidden/>
        </w:trPr>
        <w:tc>
          <w:tcPr>
            <w:tcW w:w="0" w:type="auto"/>
            <w:gridSpan w:val="3"/>
            <w:shd w:val="clear" w:color="auto" w:fill="auto"/>
            <w:vAlign w:val="bottom"/>
          </w:tcPr>
          <w:p w14:paraId="392C656A" w14:textId="77777777" w:rsidR="00980E5F" w:rsidRDefault="00980E5F">
            <w:pPr>
              <w:rPr>
                <w:rFonts w:ascii="宋体"/>
                <w:vanish/>
              </w:rPr>
            </w:pPr>
          </w:p>
        </w:tc>
        <w:tc>
          <w:tcPr>
            <w:tcW w:w="0" w:type="auto"/>
            <w:gridSpan w:val="3"/>
            <w:shd w:val="clear" w:color="auto" w:fill="auto"/>
            <w:vAlign w:val="bottom"/>
          </w:tcPr>
          <w:p w14:paraId="392C656B" w14:textId="77777777" w:rsidR="00980E5F" w:rsidRDefault="00980E5F">
            <w:pPr>
              <w:rPr>
                <w:rFonts w:ascii="宋体"/>
                <w:vanish/>
              </w:rPr>
            </w:pPr>
          </w:p>
        </w:tc>
        <w:tc>
          <w:tcPr>
            <w:tcW w:w="0" w:type="auto"/>
            <w:gridSpan w:val="3"/>
            <w:shd w:val="clear" w:color="auto" w:fill="auto"/>
            <w:vAlign w:val="bottom"/>
          </w:tcPr>
          <w:p w14:paraId="392C656C" w14:textId="77777777" w:rsidR="00980E5F" w:rsidRDefault="00980E5F">
            <w:pPr>
              <w:rPr>
                <w:rFonts w:ascii="宋体"/>
                <w:vanish/>
              </w:rPr>
            </w:pPr>
          </w:p>
        </w:tc>
        <w:tc>
          <w:tcPr>
            <w:tcW w:w="0" w:type="auto"/>
            <w:gridSpan w:val="3"/>
            <w:shd w:val="clear" w:color="auto" w:fill="auto"/>
            <w:vAlign w:val="bottom"/>
          </w:tcPr>
          <w:p w14:paraId="392C656D" w14:textId="77777777" w:rsidR="00980E5F" w:rsidRDefault="00980E5F">
            <w:pPr>
              <w:rPr>
                <w:rFonts w:ascii="宋体"/>
                <w:vanish/>
              </w:rPr>
            </w:pPr>
          </w:p>
        </w:tc>
        <w:tc>
          <w:tcPr>
            <w:tcW w:w="0" w:type="auto"/>
            <w:gridSpan w:val="3"/>
            <w:shd w:val="clear" w:color="auto" w:fill="auto"/>
            <w:vAlign w:val="bottom"/>
          </w:tcPr>
          <w:p w14:paraId="392C656E" w14:textId="77777777" w:rsidR="00980E5F" w:rsidRDefault="00980E5F">
            <w:pPr>
              <w:rPr>
                <w:rFonts w:ascii="宋体"/>
                <w:vanish/>
              </w:rPr>
            </w:pPr>
          </w:p>
        </w:tc>
        <w:tc>
          <w:tcPr>
            <w:tcW w:w="0" w:type="auto"/>
            <w:gridSpan w:val="3"/>
            <w:shd w:val="clear" w:color="auto" w:fill="auto"/>
            <w:vAlign w:val="bottom"/>
          </w:tcPr>
          <w:p w14:paraId="392C656F" w14:textId="77777777" w:rsidR="00980E5F" w:rsidRDefault="00980E5F">
            <w:pPr>
              <w:rPr>
                <w:rFonts w:ascii="宋体"/>
                <w:vanish/>
              </w:rPr>
            </w:pPr>
          </w:p>
        </w:tc>
        <w:tc>
          <w:tcPr>
            <w:tcW w:w="0" w:type="auto"/>
            <w:gridSpan w:val="3"/>
            <w:shd w:val="clear" w:color="auto" w:fill="auto"/>
            <w:vAlign w:val="bottom"/>
          </w:tcPr>
          <w:p w14:paraId="392C6570" w14:textId="77777777" w:rsidR="00980E5F" w:rsidRDefault="00980E5F">
            <w:pPr>
              <w:rPr>
                <w:rFonts w:ascii="宋体"/>
                <w:vanish/>
              </w:rPr>
            </w:pPr>
          </w:p>
        </w:tc>
        <w:tc>
          <w:tcPr>
            <w:tcW w:w="0" w:type="auto"/>
            <w:gridSpan w:val="3"/>
            <w:shd w:val="clear" w:color="auto" w:fill="auto"/>
            <w:vAlign w:val="bottom"/>
          </w:tcPr>
          <w:p w14:paraId="392C6571" w14:textId="77777777" w:rsidR="00980E5F" w:rsidRDefault="00980E5F">
            <w:pPr>
              <w:rPr>
                <w:rFonts w:ascii="宋体"/>
                <w:vanish/>
              </w:rPr>
            </w:pPr>
          </w:p>
        </w:tc>
        <w:tc>
          <w:tcPr>
            <w:tcW w:w="0" w:type="auto"/>
            <w:gridSpan w:val="3"/>
            <w:shd w:val="clear" w:color="auto" w:fill="auto"/>
            <w:vAlign w:val="bottom"/>
          </w:tcPr>
          <w:p w14:paraId="392C6572" w14:textId="77777777" w:rsidR="00980E5F" w:rsidRDefault="00980E5F">
            <w:pPr>
              <w:rPr>
                <w:rFonts w:ascii="宋体"/>
                <w:vanish/>
              </w:rPr>
            </w:pPr>
          </w:p>
        </w:tc>
        <w:tc>
          <w:tcPr>
            <w:tcW w:w="0" w:type="auto"/>
            <w:gridSpan w:val="3"/>
            <w:shd w:val="clear" w:color="auto" w:fill="auto"/>
            <w:vAlign w:val="bottom"/>
          </w:tcPr>
          <w:p w14:paraId="392C6573" w14:textId="77777777" w:rsidR="00980E5F" w:rsidRDefault="00980E5F">
            <w:pPr>
              <w:rPr>
                <w:rFonts w:ascii="宋体"/>
                <w:vanish/>
              </w:rPr>
            </w:pPr>
          </w:p>
        </w:tc>
        <w:tc>
          <w:tcPr>
            <w:tcW w:w="0" w:type="auto"/>
            <w:gridSpan w:val="3"/>
            <w:shd w:val="clear" w:color="auto" w:fill="auto"/>
            <w:vAlign w:val="bottom"/>
          </w:tcPr>
          <w:p w14:paraId="392C6574" w14:textId="77777777" w:rsidR="00980E5F" w:rsidRDefault="00980E5F">
            <w:pPr>
              <w:rPr>
                <w:rFonts w:ascii="宋体"/>
                <w:vanish/>
              </w:rPr>
            </w:pPr>
          </w:p>
        </w:tc>
        <w:tc>
          <w:tcPr>
            <w:tcW w:w="0" w:type="auto"/>
            <w:gridSpan w:val="3"/>
            <w:shd w:val="clear" w:color="auto" w:fill="auto"/>
            <w:vAlign w:val="bottom"/>
          </w:tcPr>
          <w:p w14:paraId="392C6575" w14:textId="77777777" w:rsidR="00980E5F" w:rsidRDefault="00980E5F">
            <w:pPr>
              <w:rPr>
                <w:rFonts w:ascii="宋体"/>
                <w:vanish/>
              </w:rPr>
            </w:pPr>
          </w:p>
        </w:tc>
      </w:tr>
      <w:tr w:rsidR="00980E5F" w14:paraId="392C6583" w14:textId="77777777">
        <w:trPr>
          <w:hidden/>
        </w:trPr>
        <w:tc>
          <w:tcPr>
            <w:tcW w:w="0" w:type="auto"/>
            <w:gridSpan w:val="3"/>
            <w:shd w:val="clear" w:color="auto" w:fill="auto"/>
            <w:vAlign w:val="bottom"/>
          </w:tcPr>
          <w:p w14:paraId="392C6577" w14:textId="77777777" w:rsidR="00980E5F" w:rsidRDefault="00980E5F">
            <w:pPr>
              <w:rPr>
                <w:rFonts w:ascii="宋体"/>
                <w:vanish/>
              </w:rPr>
            </w:pPr>
          </w:p>
        </w:tc>
        <w:tc>
          <w:tcPr>
            <w:tcW w:w="0" w:type="auto"/>
            <w:gridSpan w:val="3"/>
            <w:shd w:val="clear" w:color="auto" w:fill="auto"/>
            <w:vAlign w:val="bottom"/>
          </w:tcPr>
          <w:p w14:paraId="392C6578" w14:textId="77777777" w:rsidR="00980E5F" w:rsidRDefault="00980E5F">
            <w:pPr>
              <w:rPr>
                <w:rFonts w:ascii="宋体"/>
                <w:vanish/>
              </w:rPr>
            </w:pPr>
          </w:p>
        </w:tc>
        <w:tc>
          <w:tcPr>
            <w:tcW w:w="0" w:type="auto"/>
            <w:gridSpan w:val="3"/>
            <w:shd w:val="clear" w:color="auto" w:fill="auto"/>
            <w:vAlign w:val="bottom"/>
          </w:tcPr>
          <w:p w14:paraId="392C6579" w14:textId="77777777" w:rsidR="00980E5F" w:rsidRDefault="00980E5F">
            <w:pPr>
              <w:rPr>
                <w:rFonts w:ascii="宋体"/>
                <w:vanish/>
              </w:rPr>
            </w:pPr>
          </w:p>
        </w:tc>
        <w:tc>
          <w:tcPr>
            <w:tcW w:w="0" w:type="auto"/>
            <w:gridSpan w:val="3"/>
            <w:shd w:val="clear" w:color="auto" w:fill="auto"/>
            <w:vAlign w:val="bottom"/>
          </w:tcPr>
          <w:p w14:paraId="392C657A" w14:textId="77777777" w:rsidR="00980E5F" w:rsidRDefault="00980E5F">
            <w:pPr>
              <w:rPr>
                <w:rFonts w:ascii="宋体"/>
                <w:vanish/>
              </w:rPr>
            </w:pPr>
          </w:p>
        </w:tc>
        <w:tc>
          <w:tcPr>
            <w:tcW w:w="0" w:type="auto"/>
            <w:gridSpan w:val="3"/>
            <w:shd w:val="clear" w:color="auto" w:fill="auto"/>
            <w:vAlign w:val="bottom"/>
          </w:tcPr>
          <w:p w14:paraId="392C657B" w14:textId="77777777" w:rsidR="00980E5F" w:rsidRDefault="00980E5F">
            <w:pPr>
              <w:rPr>
                <w:rFonts w:ascii="宋体"/>
                <w:vanish/>
              </w:rPr>
            </w:pPr>
          </w:p>
        </w:tc>
        <w:tc>
          <w:tcPr>
            <w:tcW w:w="0" w:type="auto"/>
            <w:gridSpan w:val="3"/>
            <w:shd w:val="clear" w:color="auto" w:fill="auto"/>
            <w:vAlign w:val="bottom"/>
          </w:tcPr>
          <w:p w14:paraId="392C657C" w14:textId="77777777" w:rsidR="00980E5F" w:rsidRDefault="00980E5F">
            <w:pPr>
              <w:rPr>
                <w:rFonts w:ascii="宋体"/>
                <w:vanish/>
              </w:rPr>
            </w:pPr>
          </w:p>
        </w:tc>
        <w:tc>
          <w:tcPr>
            <w:tcW w:w="0" w:type="auto"/>
            <w:gridSpan w:val="3"/>
            <w:shd w:val="clear" w:color="auto" w:fill="auto"/>
            <w:vAlign w:val="bottom"/>
          </w:tcPr>
          <w:p w14:paraId="392C657D" w14:textId="77777777" w:rsidR="00980E5F" w:rsidRDefault="00980E5F">
            <w:pPr>
              <w:rPr>
                <w:rFonts w:ascii="宋体"/>
                <w:vanish/>
              </w:rPr>
            </w:pPr>
          </w:p>
        </w:tc>
        <w:tc>
          <w:tcPr>
            <w:tcW w:w="0" w:type="auto"/>
            <w:gridSpan w:val="3"/>
            <w:shd w:val="clear" w:color="auto" w:fill="auto"/>
            <w:vAlign w:val="bottom"/>
          </w:tcPr>
          <w:p w14:paraId="392C657E" w14:textId="77777777" w:rsidR="00980E5F" w:rsidRDefault="00980E5F">
            <w:pPr>
              <w:rPr>
                <w:rFonts w:ascii="宋体"/>
                <w:vanish/>
              </w:rPr>
            </w:pPr>
          </w:p>
        </w:tc>
        <w:tc>
          <w:tcPr>
            <w:tcW w:w="0" w:type="auto"/>
            <w:gridSpan w:val="3"/>
            <w:shd w:val="clear" w:color="auto" w:fill="auto"/>
            <w:vAlign w:val="bottom"/>
          </w:tcPr>
          <w:p w14:paraId="392C657F" w14:textId="77777777" w:rsidR="00980E5F" w:rsidRDefault="00980E5F">
            <w:pPr>
              <w:rPr>
                <w:rFonts w:ascii="宋体"/>
                <w:vanish/>
              </w:rPr>
            </w:pPr>
          </w:p>
        </w:tc>
        <w:tc>
          <w:tcPr>
            <w:tcW w:w="0" w:type="auto"/>
            <w:gridSpan w:val="3"/>
            <w:shd w:val="clear" w:color="auto" w:fill="auto"/>
            <w:vAlign w:val="bottom"/>
          </w:tcPr>
          <w:p w14:paraId="392C6580" w14:textId="77777777" w:rsidR="00980E5F" w:rsidRDefault="00980E5F">
            <w:pPr>
              <w:rPr>
                <w:rFonts w:ascii="宋体"/>
                <w:vanish/>
              </w:rPr>
            </w:pPr>
          </w:p>
        </w:tc>
        <w:tc>
          <w:tcPr>
            <w:tcW w:w="0" w:type="auto"/>
            <w:gridSpan w:val="3"/>
            <w:shd w:val="clear" w:color="auto" w:fill="auto"/>
            <w:vAlign w:val="bottom"/>
          </w:tcPr>
          <w:p w14:paraId="392C6581" w14:textId="77777777" w:rsidR="00980E5F" w:rsidRDefault="00980E5F">
            <w:pPr>
              <w:rPr>
                <w:rFonts w:ascii="宋体"/>
                <w:vanish/>
              </w:rPr>
            </w:pPr>
          </w:p>
        </w:tc>
        <w:tc>
          <w:tcPr>
            <w:tcW w:w="0" w:type="auto"/>
            <w:gridSpan w:val="3"/>
            <w:shd w:val="clear" w:color="auto" w:fill="auto"/>
            <w:vAlign w:val="bottom"/>
          </w:tcPr>
          <w:p w14:paraId="392C6582" w14:textId="77777777" w:rsidR="00980E5F" w:rsidRDefault="00980E5F">
            <w:pPr>
              <w:rPr>
                <w:rFonts w:ascii="宋体"/>
                <w:vanish/>
              </w:rPr>
            </w:pPr>
          </w:p>
        </w:tc>
      </w:tr>
      <w:tr w:rsidR="00980E5F" w14:paraId="392C6590" w14:textId="77777777">
        <w:trPr>
          <w:hidden/>
        </w:trPr>
        <w:tc>
          <w:tcPr>
            <w:tcW w:w="0" w:type="auto"/>
            <w:gridSpan w:val="3"/>
            <w:shd w:val="clear" w:color="auto" w:fill="auto"/>
            <w:vAlign w:val="bottom"/>
          </w:tcPr>
          <w:p w14:paraId="392C6584" w14:textId="77777777" w:rsidR="00980E5F" w:rsidRDefault="00980E5F">
            <w:pPr>
              <w:rPr>
                <w:rFonts w:ascii="宋体"/>
                <w:vanish/>
              </w:rPr>
            </w:pPr>
          </w:p>
        </w:tc>
        <w:tc>
          <w:tcPr>
            <w:tcW w:w="0" w:type="auto"/>
            <w:gridSpan w:val="3"/>
            <w:shd w:val="clear" w:color="auto" w:fill="auto"/>
            <w:vAlign w:val="bottom"/>
          </w:tcPr>
          <w:p w14:paraId="392C6585" w14:textId="77777777" w:rsidR="00980E5F" w:rsidRDefault="00980E5F">
            <w:pPr>
              <w:rPr>
                <w:rFonts w:ascii="宋体"/>
                <w:vanish/>
              </w:rPr>
            </w:pPr>
          </w:p>
        </w:tc>
        <w:tc>
          <w:tcPr>
            <w:tcW w:w="0" w:type="auto"/>
            <w:gridSpan w:val="3"/>
            <w:shd w:val="clear" w:color="auto" w:fill="auto"/>
            <w:vAlign w:val="bottom"/>
          </w:tcPr>
          <w:p w14:paraId="392C6586" w14:textId="77777777" w:rsidR="00980E5F" w:rsidRDefault="00980E5F">
            <w:pPr>
              <w:rPr>
                <w:rFonts w:ascii="宋体"/>
                <w:vanish/>
              </w:rPr>
            </w:pPr>
          </w:p>
        </w:tc>
        <w:tc>
          <w:tcPr>
            <w:tcW w:w="0" w:type="auto"/>
            <w:gridSpan w:val="3"/>
            <w:shd w:val="clear" w:color="auto" w:fill="auto"/>
            <w:vAlign w:val="bottom"/>
          </w:tcPr>
          <w:p w14:paraId="392C6587" w14:textId="77777777" w:rsidR="00980E5F" w:rsidRDefault="00980E5F">
            <w:pPr>
              <w:rPr>
                <w:rFonts w:ascii="宋体"/>
                <w:vanish/>
              </w:rPr>
            </w:pPr>
          </w:p>
        </w:tc>
        <w:tc>
          <w:tcPr>
            <w:tcW w:w="0" w:type="auto"/>
            <w:gridSpan w:val="3"/>
            <w:shd w:val="clear" w:color="auto" w:fill="auto"/>
            <w:vAlign w:val="bottom"/>
          </w:tcPr>
          <w:p w14:paraId="392C6588" w14:textId="77777777" w:rsidR="00980E5F" w:rsidRDefault="00980E5F">
            <w:pPr>
              <w:rPr>
                <w:rFonts w:ascii="宋体"/>
                <w:vanish/>
              </w:rPr>
            </w:pPr>
          </w:p>
        </w:tc>
        <w:tc>
          <w:tcPr>
            <w:tcW w:w="0" w:type="auto"/>
            <w:gridSpan w:val="3"/>
            <w:shd w:val="clear" w:color="auto" w:fill="auto"/>
            <w:vAlign w:val="bottom"/>
          </w:tcPr>
          <w:p w14:paraId="392C6589" w14:textId="77777777" w:rsidR="00980E5F" w:rsidRDefault="00980E5F">
            <w:pPr>
              <w:rPr>
                <w:rFonts w:ascii="宋体"/>
                <w:vanish/>
              </w:rPr>
            </w:pPr>
          </w:p>
        </w:tc>
        <w:tc>
          <w:tcPr>
            <w:tcW w:w="0" w:type="auto"/>
            <w:gridSpan w:val="3"/>
            <w:shd w:val="clear" w:color="auto" w:fill="auto"/>
            <w:vAlign w:val="bottom"/>
          </w:tcPr>
          <w:p w14:paraId="392C658A" w14:textId="77777777" w:rsidR="00980E5F" w:rsidRDefault="00980E5F">
            <w:pPr>
              <w:rPr>
                <w:rFonts w:ascii="宋体"/>
                <w:vanish/>
              </w:rPr>
            </w:pPr>
          </w:p>
        </w:tc>
        <w:tc>
          <w:tcPr>
            <w:tcW w:w="0" w:type="auto"/>
            <w:gridSpan w:val="3"/>
            <w:shd w:val="clear" w:color="auto" w:fill="auto"/>
            <w:vAlign w:val="bottom"/>
          </w:tcPr>
          <w:p w14:paraId="392C658B" w14:textId="77777777" w:rsidR="00980E5F" w:rsidRDefault="00980E5F">
            <w:pPr>
              <w:rPr>
                <w:rFonts w:ascii="宋体"/>
                <w:vanish/>
              </w:rPr>
            </w:pPr>
          </w:p>
        </w:tc>
        <w:tc>
          <w:tcPr>
            <w:tcW w:w="0" w:type="auto"/>
            <w:gridSpan w:val="3"/>
            <w:shd w:val="clear" w:color="auto" w:fill="auto"/>
            <w:vAlign w:val="bottom"/>
          </w:tcPr>
          <w:p w14:paraId="392C658C" w14:textId="77777777" w:rsidR="00980E5F" w:rsidRDefault="00980E5F">
            <w:pPr>
              <w:rPr>
                <w:rFonts w:ascii="宋体"/>
                <w:vanish/>
              </w:rPr>
            </w:pPr>
          </w:p>
        </w:tc>
        <w:tc>
          <w:tcPr>
            <w:tcW w:w="0" w:type="auto"/>
            <w:gridSpan w:val="3"/>
            <w:shd w:val="clear" w:color="auto" w:fill="auto"/>
            <w:vAlign w:val="bottom"/>
          </w:tcPr>
          <w:p w14:paraId="392C658D" w14:textId="77777777" w:rsidR="00980E5F" w:rsidRDefault="00980E5F">
            <w:pPr>
              <w:rPr>
                <w:rFonts w:ascii="宋体"/>
                <w:vanish/>
              </w:rPr>
            </w:pPr>
          </w:p>
        </w:tc>
        <w:tc>
          <w:tcPr>
            <w:tcW w:w="0" w:type="auto"/>
            <w:gridSpan w:val="3"/>
            <w:shd w:val="clear" w:color="auto" w:fill="auto"/>
            <w:vAlign w:val="bottom"/>
          </w:tcPr>
          <w:p w14:paraId="392C658E" w14:textId="77777777" w:rsidR="00980E5F" w:rsidRDefault="00980E5F">
            <w:pPr>
              <w:rPr>
                <w:rFonts w:ascii="宋体"/>
                <w:vanish/>
              </w:rPr>
            </w:pPr>
          </w:p>
        </w:tc>
        <w:tc>
          <w:tcPr>
            <w:tcW w:w="0" w:type="auto"/>
            <w:gridSpan w:val="3"/>
            <w:shd w:val="clear" w:color="auto" w:fill="auto"/>
            <w:vAlign w:val="bottom"/>
          </w:tcPr>
          <w:p w14:paraId="392C658F" w14:textId="77777777" w:rsidR="00980E5F" w:rsidRDefault="00980E5F">
            <w:pPr>
              <w:rPr>
                <w:rFonts w:ascii="宋体"/>
                <w:vanish/>
              </w:rPr>
            </w:pPr>
          </w:p>
        </w:tc>
      </w:tr>
      <w:tr w:rsidR="00980E5F" w14:paraId="392C659D" w14:textId="77777777">
        <w:tc>
          <w:tcPr>
            <w:tcW w:w="0" w:type="auto"/>
            <w:gridSpan w:val="3"/>
            <w:shd w:val="clear" w:color="auto" w:fill="FFFFFF"/>
            <w:tcMar>
              <w:top w:w="40" w:type="dxa"/>
              <w:left w:w="20" w:type="dxa"/>
              <w:bottom w:w="40" w:type="dxa"/>
              <w:right w:w="20" w:type="dxa"/>
            </w:tcMar>
            <w:vAlign w:val="bottom"/>
          </w:tcPr>
          <w:p w14:paraId="392C6591" w14:textId="77777777" w:rsidR="00980E5F" w:rsidRDefault="00483613">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9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9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9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9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9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9C" w14:textId="77777777" w:rsidR="00980E5F" w:rsidRDefault="00980E5F">
            <w:pPr>
              <w:rPr>
                <w:rFonts w:ascii="宋体"/>
              </w:rPr>
            </w:pPr>
          </w:p>
        </w:tc>
      </w:tr>
      <w:tr w:rsidR="00980E5F" w14:paraId="392C65B0" w14:textId="77777777">
        <w:tc>
          <w:tcPr>
            <w:tcW w:w="0" w:type="auto"/>
            <w:gridSpan w:val="3"/>
            <w:shd w:val="clear" w:color="auto" w:fill="CCEEFF"/>
            <w:tcMar>
              <w:top w:w="40" w:type="dxa"/>
              <w:left w:w="245" w:type="dxa"/>
              <w:bottom w:w="40" w:type="dxa"/>
              <w:right w:w="20" w:type="dxa"/>
            </w:tcMar>
            <w:vAlign w:val="bottom"/>
          </w:tcPr>
          <w:p w14:paraId="392C659E" w14:textId="77777777" w:rsidR="00980E5F" w:rsidRDefault="00483613">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392C659F" w14:textId="77777777" w:rsidR="00980E5F" w:rsidRDefault="00483613">
            <w:pPr>
              <w:jc w:val="right"/>
              <w:textAlignment w:val="bottom"/>
            </w:pPr>
            <w:r>
              <w:rPr>
                <w:rFonts w:ascii="Arial" w:eastAsia="宋体" w:hAnsi="Arial" w:cs="Arial"/>
                <w:color w:val="000000"/>
                <w:sz w:val="14"/>
                <w:szCs w:val="14"/>
              </w:rPr>
              <w:t>577 </w:t>
            </w:r>
          </w:p>
        </w:tc>
        <w:tc>
          <w:tcPr>
            <w:tcW w:w="0" w:type="auto"/>
            <w:shd w:val="clear" w:color="auto" w:fill="CCEEFF"/>
            <w:tcMar>
              <w:top w:w="40" w:type="dxa"/>
              <w:left w:w="0" w:type="dxa"/>
              <w:bottom w:w="40" w:type="dxa"/>
              <w:right w:w="20" w:type="dxa"/>
            </w:tcMar>
            <w:vAlign w:val="bottom"/>
          </w:tcPr>
          <w:p w14:paraId="392C65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A2"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65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A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A5" w14:textId="77777777" w:rsidR="00980E5F" w:rsidRDefault="00483613">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392C65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A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A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5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A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AB" w14:textId="77777777" w:rsidR="00980E5F" w:rsidRDefault="00483613">
            <w:pPr>
              <w:jc w:val="right"/>
              <w:textAlignment w:val="bottom"/>
            </w:pPr>
            <w:r>
              <w:rPr>
                <w:rFonts w:ascii="Arial" w:eastAsia="宋体" w:hAnsi="Arial" w:cs="Arial"/>
                <w:color w:val="000000"/>
                <w:sz w:val="14"/>
                <w:szCs w:val="14"/>
              </w:rPr>
              <w:t>607 </w:t>
            </w:r>
          </w:p>
        </w:tc>
        <w:tc>
          <w:tcPr>
            <w:tcW w:w="0" w:type="auto"/>
            <w:shd w:val="clear" w:color="auto" w:fill="CCEEFF"/>
            <w:tcMar>
              <w:top w:w="40" w:type="dxa"/>
              <w:left w:w="0" w:type="dxa"/>
              <w:bottom w:w="40" w:type="dxa"/>
              <w:right w:w="20" w:type="dxa"/>
            </w:tcMar>
            <w:vAlign w:val="bottom"/>
          </w:tcPr>
          <w:p w14:paraId="392C65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A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AE"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65AF" w14:textId="77777777" w:rsidR="00980E5F" w:rsidRDefault="00980E5F">
            <w:pPr>
              <w:jc w:val="right"/>
              <w:rPr>
                <w:rFonts w:ascii="宋体"/>
              </w:rPr>
            </w:pPr>
          </w:p>
        </w:tc>
      </w:tr>
      <w:tr w:rsidR="00980E5F" w14:paraId="392C65C3" w14:textId="77777777">
        <w:tc>
          <w:tcPr>
            <w:tcW w:w="0" w:type="auto"/>
            <w:gridSpan w:val="3"/>
            <w:shd w:val="clear" w:color="auto" w:fill="FFFFFF"/>
            <w:tcMar>
              <w:top w:w="40" w:type="dxa"/>
              <w:left w:w="245" w:type="dxa"/>
              <w:bottom w:w="40" w:type="dxa"/>
              <w:right w:w="20" w:type="dxa"/>
            </w:tcMar>
            <w:vAlign w:val="bottom"/>
          </w:tcPr>
          <w:p w14:paraId="392C65B1"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392C65B2" w14:textId="77777777" w:rsidR="00980E5F" w:rsidRDefault="00483613">
            <w:pPr>
              <w:jc w:val="right"/>
              <w:textAlignment w:val="bottom"/>
            </w:pPr>
            <w:r>
              <w:rPr>
                <w:rFonts w:ascii="Arial" w:eastAsia="宋体" w:hAnsi="Arial" w:cs="Arial"/>
                <w:color w:val="000000"/>
                <w:sz w:val="14"/>
                <w:szCs w:val="14"/>
              </w:rPr>
              <w:t>1,021 </w:t>
            </w:r>
          </w:p>
        </w:tc>
        <w:tc>
          <w:tcPr>
            <w:tcW w:w="0" w:type="auto"/>
            <w:shd w:val="clear" w:color="auto" w:fill="FFFFFF"/>
            <w:tcMar>
              <w:top w:w="40" w:type="dxa"/>
              <w:left w:w="0" w:type="dxa"/>
              <w:bottom w:w="40" w:type="dxa"/>
              <w:right w:w="20" w:type="dxa"/>
            </w:tcMar>
            <w:vAlign w:val="bottom"/>
          </w:tcPr>
          <w:p w14:paraId="392C65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B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B5"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65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B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B8" w14:textId="77777777" w:rsidR="00980E5F" w:rsidRDefault="00483613">
            <w:pPr>
              <w:jc w:val="right"/>
              <w:textAlignment w:val="bottom"/>
            </w:pPr>
            <w:r>
              <w:rPr>
                <w:rFonts w:ascii="Arial" w:eastAsia="宋体" w:hAnsi="Arial" w:cs="Arial"/>
                <w:color w:val="000000"/>
                <w:sz w:val="14"/>
                <w:szCs w:val="14"/>
              </w:rPr>
              <w:t>127 </w:t>
            </w:r>
          </w:p>
        </w:tc>
        <w:tc>
          <w:tcPr>
            <w:tcW w:w="0" w:type="auto"/>
            <w:shd w:val="clear" w:color="auto" w:fill="FFFFFF"/>
            <w:tcMar>
              <w:top w:w="40" w:type="dxa"/>
              <w:left w:w="0" w:type="dxa"/>
              <w:bottom w:w="40" w:type="dxa"/>
              <w:right w:w="20" w:type="dxa"/>
            </w:tcMar>
            <w:vAlign w:val="bottom"/>
          </w:tcPr>
          <w:p w14:paraId="392C65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B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5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B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BE" w14:textId="77777777" w:rsidR="00980E5F" w:rsidRDefault="00483613">
            <w:pPr>
              <w:jc w:val="right"/>
              <w:textAlignment w:val="bottom"/>
            </w:pPr>
            <w:r>
              <w:rPr>
                <w:rFonts w:ascii="Arial" w:eastAsia="宋体" w:hAnsi="Arial" w:cs="Arial"/>
                <w:color w:val="000000"/>
                <w:sz w:val="14"/>
                <w:szCs w:val="14"/>
              </w:rPr>
              <w:t>1,148 </w:t>
            </w:r>
          </w:p>
        </w:tc>
        <w:tc>
          <w:tcPr>
            <w:tcW w:w="0" w:type="auto"/>
            <w:shd w:val="clear" w:color="auto" w:fill="FFFFFF"/>
            <w:tcMar>
              <w:top w:w="40" w:type="dxa"/>
              <w:left w:w="0" w:type="dxa"/>
              <w:bottom w:w="40" w:type="dxa"/>
              <w:right w:w="20" w:type="dxa"/>
            </w:tcMar>
            <w:vAlign w:val="bottom"/>
          </w:tcPr>
          <w:p w14:paraId="392C65B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C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C1"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65C2" w14:textId="77777777" w:rsidR="00980E5F" w:rsidRDefault="00980E5F">
            <w:pPr>
              <w:jc w:val="right"/>
              <w:rPr>
                <w:rFonts w:ascii="宋体"/>
              </w:rPr>
            </w:pPr>
          </w:p>
        </w:tc>
      </w:tr>
      <w:tr w:rsidR="00980E5F" w14:paraId="392C65D6" w14:textId="77777777">
        <w:tc>
          <w:tcPr>
            <w:tcW w:w="0" w:type="auto"/>
            <w:gridSpan w:val="3"/>
            <w:shd w:val="clear" w:color="auto" w:fill="CCEEFF"/>
            <w:tcMar>
              <w:top w:w="40" w:type="dxa"/>
              <w:left w:w="245" w:type="dxa"/>
              <w:bottom w:w="40" w:type="dxa"/>
              <w:right w:w="20" w:type="dxa"/>
            </w:tcMar>
            <w:vAlign w:val="bottom"/>
          </w:tcPr>
          <w:p w14:paraId="392C65C4" w14:textId="77777777" w:rsidR="00980E5F" w:rsidRDefault="00483613">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65C5" w14:textId="77777777" w:rsidR="00980E5F" w:rsidRDefault="00483613">
            <w:pPr>
              <w:jc w:val="right"/>
              <w:textAlignment w:val="bottom"/>
            </w:pPr>
            <w:r>
              <w:rPr>
                <w:rFonts w:ascii="Arial" w:eastAsia="宋体" w:hAnsi="Arial" w:cs="Arial"/>
                <w:color w:val="000000"/>
                <w:sz w:val="14"/>
                <w:szCs w:val="14"/>
              </w:rPr>
              <w:t>10,406 </w:t>
            </w:r>
          </w:p>
        </w:tc>
        <w:tc>
          <w:tcPr>
            <w:tcW w:w="0" w:type="auto"/>
            <w:shd w:val="clear" w:color="auto" w:fill="CCEEFF"/>
            <w:tcMar>
              <w:top w:w="40" w:type="dxa"/>
              <w:left w:w="0" w:type="dxa"/>
              <w:bottom w:w="40" w:type="dxa"/>
              <w:right w:w="20" w:type="dxa"/>
            </w:tcMar>
            <w:vAlign w:val="bottom"/>
          </w:tcPr>
          <w:p w14:paraId="392C65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C8" w14:textId="77777777" w:rsidR="00980E5F" w:rsidRDefault="00483613">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392C65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CB" w14:textId="77777777" w:rsidR="00980E5F" w:rsidRDefault="00483613">
            <w:pPr>
              <w:jc w:val="right"/>
              <w:textAlignment w:val="bottom"/>
            </w:pPr>
            <w:r>
              <w:rPr>
                <w:rFonts w:ascii="Arial" w:eastAsia="宋体" w:hAnsi="Arial" w:cs="Arial"/>
                <w:color w:val="000000"/>
                <w:sz w:val="14"/>
                <w:szCs w:val="14"/>
              </w:rPr>
              <w:t>63 </w:t>
            </w:r>
          </w:p>
        </w:tc>
        <w:tc>
          <w:tcPr>
            <w:tcW w:w="0" w:type="auto"/>
            <w:shd w:val="clear" w:color="auto" w:fill="CCEEFF"/>
            <w:tcMar>
              <w:top w:w="40" w:type="dxa"/>
              <w:left w:w="0" w:type="dxa"/>
              <w:bottom w:w="40" w:type="dxa"/>
              <w:right w:w="20" w:type="dxa"/>
            </w:tcMar>
            <w:vAlign w:val="bottom"/>
          </w:tcPr>
          <w:p w14:paraId="392C65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CE"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65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D1" w14:textId="77777777" w:rsidR="00980E5F" w:rsidRDefault="00483613">
            <w:pPr>
              <w:jc w:val="right"/>
              <w:textAlignment w:val="bottom"/>
            </w:pPr>
            <w:r>
              <w:rPr>
                <w:rFonts w:ascii="Arial" w:eastAsia="宋体" w:hAnsi="Arial" w:cs="Arial"/>
                <w:color w:val="000000"/>
                <w:sz w:val="14"/>
                <w:szCs w:val="14"/>
              </w:rPr>
              <w:t>10,469 </w:t>
            </w:r>
          </w:p>
        </w:tc>
        <w:tc>
          <w:tcPr>
            <w:tcW w:w="0" w:type="auto"/>
            <w:shd w:val="clear" w:color="auto" w:fill="CCEEFF"/>
            <w:tcMar>
              <w:top w:w="40" w:type="dxa"/>
              <w:left w:w="0" w:type="dxa"/>
              <w:bottom w:w="40" w:type="dxa"/>
              <w:right w:w="20" w:type="dxa"/>
            </w:tcMar>
            <w:vAlign w:val="bottom"/>
          </w:tcPr>
          <w:p w14:paraId="392C65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5D4" w14:textId="77777777" w:rsidR="00980E5F" w:rsidRDefault="00483613">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392C65D5" w14:textId="77777777" w:rsidR="00980E5F" w:rsidRDefault="00980E5F">
            <w:pPr>
              <w:jc w:val="right"/>
              <w:rPr>
                <w:rFonts w:ascii="宋体"/>
              </w:rPr>
            </w:pPr>
          </w:p>
        </w:tc>
      </w:tr>
      <w:tr w:rsidR="00980E5F" w14:paraId="392C65E9" w14:textId="77777777">
        <w:tc>
          <w:tcPr>
            <w:tcW w:w="0" w:type="auto"/>
            <w:gridSpan w:val="3"/>
            <w:shd w:val="clear" w:color="auto" w:fill="FFFFFF"/>
            <w:tcMar>
              <w:top w:w="40" w:type="dxa"/>
              <w:left w:w="245" w:type="dxa"/>
              <w:bottom w:w="40" w:type="dxa"/>
              <w:right w:w="20" w:type="dxa"/>
            </w:tcMar>
            <w:vAlign w:val="bottom"/>
          </w:tcPr>
          <w:p w14:paraId="392C65D7"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65D8" w14:textId="77777777" w:rsidR="00980E5F" w:rsidRDefault="00483613">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392C65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DB" w14:textId="77777777" w:rsidR="00980E5F" w:rsidRDefault="00483613">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392C65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DE" w14:textId="77777777" w:rsidR="00980E5F" w:rsidRDefault="00483613">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392C65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E1"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392C65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E4" w14:textId="77777777" w:rsidR="00980E5F" w:rsidRDefault="00483613">
            <w:pPr>
              <w:jc w:val="right"/>
              <w:textAlignment w:val="bottom"/>
            </w:pPr>
            <w:r>
              <w:rPr>
                <w:rFonts w:ascii="Arial" w:eastAsia="宋体" w:hAnsi="Arial" w:cs="Arial"/>
                <w:color w:val="000000"/>
                <w:sz w:val="14"/>
                <w:szCs w:val="14"/>
              </w:rPr>
              <w:t>1,589 </w:t>
            </w:r>
          </w:p>
        </w:tc>
        <w:tc>
          <w:tcPr>
            <w:tcW w:w="0" w:type="auto"/>
            <w:shd w:val="clear" w:color="auto" w:fill="FFFFFF"/>
            <w:tcMar>
              <w:top w:w="40" w:type="dxa"/>
              <w:left w:w="0" w:type="dxa"/>
              <w:bottom w:w="40" w:type="dxa"/>
              <w:right w:w="20" w:type="dxa"/>
            </w:tcMar>
            <w:vAlign w:val="bottom"/>
          </w:tcPr>
          <w:p w14:paraId="392C65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5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5E7" w14:textId="77777777" w:rsidR="00980E5F" w:rsidRDefault="00483613">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392C65E8" w14:textId="77777777" w:rsidR="00980E5F" w:rsidRDefault="00980E5F">
            <w:pPr>
              <w:jc w:val="right"/>
              <w:rPr>
                <w:rFonts w:ascii="宋体"/>
              </w:rPr>
            </w:pPr>
          </w:p>
        </w:tc>
      </w:tr>
      <w:tr w:rsidR="00980E5F" w14:paraId="392C65FC" w14:textId="77777777">
        <w:tc>
          <w:tcPr>
            <w:tcW w:w="0" w:type="auto"/>
            <w:gridSpan w:val="3"/>
            <w:shd w:val="clear" w:color="auto" w:fill="CCEEFF"/>
            <w:tcMar>
              <w:top w:w="40" w:type="dxa"/>
              <w:left w:w="515" w:type="dxa"/>
              <w:bottom w:w="40" w:type="dxa"/>
              <w:right w:w="20" w:type="dxa"/>
            </w:tcMar>
            <w:vAlign w:val="bottom"/>
          </w:tcPr>
          <w:p w14:paraId="392C65EA" w14:textId="77777777" w:rsidR="00980E5F" w:rsidRDefault="00483613">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EB" w14:textId="77777777" w:rsidR="00980E5F" w:rsidRDefault="00483613">
            <w:pPr>
              <w:jc w:val="right"/>
              <w:textAlignment w:val="bottom"/>
            </w:pPr>
            <w:r>
              <w:rPr>
                <w:rFonts w:ascii="Arial" w:eastAsia="宋体" w:hAnsi="Arial" w:cs="Arial"/>
                <w:color w:val="000000"/>
                <w:sz w:val="14"/>
                <w:szCs w:val="14"/>
              </w:rPr>
              <w:t>13,574 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E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EE" w14:textId="77777777" w:rsidR="00980E5F" w:rsidRDefault="00483613">
            <w:pPr>
              <w:jc w:val="right"/>
              <w:textAlignment w:val="bottom"/>
            </w:pPr>
            <w:r>
              <w:rPr>
                <w:rFonts w:ascii="Arial" w:eastAsia="宋体" w:hAnsi="Arial" w:cs="Arial"/>
                <w:color w:val="000000"/>
                <w:sz w:val="14"/>
                <w:szCs w:val="14"/>
              </w:rPr>
              <w:t>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F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F1" w14:textId="77777777" w:rsidR="00980E5F" w:rsidRDefault="00483613">
            <w:pPr>
              <w:jc w:val="right"/>
              <w:textAlignment w:val="bottom"/>
            </w:pPr>
            <w:r>
              <w:rPr>
                <w:rFonts w:ascii="Arial" w:eastAsia="宋体" w:hAnsi="Arial" w:cs="Arial"/>
                <w:color w:val="000000"/>
                <w:sz w:val="14"/>
                <w:szCs w:val="14"/>
              </w:rPr>
              <w:t>239 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F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F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F4" w14:textId="77777777" w:rsidR="00980E5F" w:rsidRDefault="00483613">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F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F7" w14:textId="77777777" w:rsidR="00980E5F" w:rsidRDefault="00483613">
            <w:pPr>
              <w:jc w:val="right"/>
              <w:textAlignment w:val="bottom"/>
            </w:pPr>
            <w:r>
              <w:rPr>
                <w:rFonts w:ascii="Arial" w:eastAsia="宋体" w:hAnsi="Arial" w:cs="Arial"/>
                <w:color w:val="000000"/>
                <w:sz w:val="14"/>
                <w:szCs w:val="14"/>
              </w:rPr>
              <w:t>13,813 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5F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5FA" w14:textId="77777777" w:rsidR="00980E5F" w:rsidRDefault="00483613">
            <w:pPr>
              <w:jc w:val="right"/>
              <w:textAlignment w:val="bottom"/>
            </w:pPr>
            <w:r>
              <w:rPr>
                <w:rFonts w:ascii="Arial" w:eastAsia="宋体" w:hAnsi="Arial" w:cs="Arial"/>
                <w:color w:val="000000"/>
                <w:sz w:val="14"/>
                <w:szCs w:val="14"/>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5FB" w14:textId="77777777" w:rsidR="00980E5F" w:rsidRDefault="00980E5F">
            <w:pPr>
              <w:jc w:val="right"/>
              <w:rPr>
                <w:rFonts w:ascii="宋体"/>
              </w:rPr>
            </w:pPr>
          </w:p>
        </w:tc>
      </w:tr>
      <w:tr w:rsidR="00980E5F" w14:paraId="392C6609" w14:textId="77777777">
        <w:tc>
          <w:tcPr>
            <w:tcW w:w="0" w:type="auto"/>
            <w:gridSpan w:val="3"/>
            <w:shd w:val="clear" w:color="auto" w:fill="FFFFFF"/>
            <w:tcMar>
              <w:top w:w="40" w:type="dxa"/>
              <w:left w:w="20" w:type="dxa"/>
              <w:bottom w:w="40" w:type="dxa"/>
              <w:right w:w="20" w:type="dxa"/>
            </w:tcMar>
            <w:vAlign w:val="bottom"/>
          </w:tcPr>
          <w:p w14:paraId="392C65FD" w14:textId="77777777" w:rsidR="00980E5F" w:rsidRDefault="00483613">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5F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5FF"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60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60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60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60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60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60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60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60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608" w14:textId="77777777" w:rsidR="00980E5F" w:rsidRDefault="00980E5F">
            <w:pPr>
              <w:rPr>
                <w:rFonts w:ascii="宋体"/>
              </w:rPr>
            </w:pPr>
          </w:p>
        </w:tc>
      </w:tr>
      <w:tr w:rsidR="00980E5F" w14:paraId="392C661C" w14:textId="77777777">
        <w:tc>
          <w:tcPr>
            <w:tcW w:w="0" w:type="auto"/>
            <w:gridSpan w:val="3"/>
            <w:shd w:val="clear" w:color="auto" w:fill="CCEEFF"/>
            <w:tcMar>
              <w:top w:w="40" w:type="dxa"/>
              <w:left w:w="245" w:type="dxa"/>
              <w:bottom w:w="40" w:type="dxa"/>
              <w:right w:w="20" w:type="dxa"/>
            </w:tcMar>
            <w:vAlign w:val="bottom"/>
          </w:tcPr>
          <w:p w14:paraId="392C660A" w14:textId="77777777" w:rsidR="00980E5F" w:rsidRDefault="00483613">
            <w:pPr>
              <w:textAlignment w:val="bottom"/>
            </w:pPr>
            <w:r>
              <w:rPr>
                <w:rFonts w:ascii="Arial" w:eastAsia="宋体" w:hAnsi="Arial" w:cs="Arial"/>
                <w:color w:val="000000"/>
                <w:sz w:val="14"/>
                <w:szCs w:val="14"/>
              </w:rPr>
              <w:t xml:space="preserve">Collateralized loan </w:t>
            </w:r>
            <w:r>
              <w:rPr>
                <w:rFonts w:ascii="Arial" w:eastAsia="宋体" w:hAnsi="Arial" w:cs="Arial"/>
                <w:color w:val="000000"/>
                <w:sz w:val="14"/>
                <w:szCs w:val="14"/>
              </w:rPr>
              <w:t>obligations</w:t>
            </w:r>
          </w:p>
        </w:tc>
        <w:tc>
          <w:tcPr>
            <w:tcW w:w="0" w:type="auto"/>
            <w:gridSpan w:val="2"/>
            <w:shd w:val="clear" w:color="auto" w:fill="CCEEFF"/>
            <w:tcMar>
              <w:top w:w="40" w:type="dxa"/>
              <w:left w:w="20" w:type="dxa"/>
              <w:bottom w:w="40" w:type="dxa"/>
              <w:right w:w="0" w:type="dxa"/>
            </w:tcMar>
            <w:vAlign w:val="bottom"/>
          </w:tcPr>
          <w:p w14:paraId="392C660B" w14:textId="77777777" w:rsidR="00980E5F" w:rsidRDefault="00483613">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392C66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0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60E"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66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61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6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61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6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1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617" w14:textId="77777777" w:rsidR="00980E5F" w:rsidRDefault="00483613">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392C661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1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61A"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661B" w14:textId="77777777" w:rsidR="00980E5F" w:rsidRDefault="00980E5F">
            <w:pPr>
              <w:jc w:val="right"/>
              <w:rPr>
                <w:rFonts w:ascii="宋体"/>
              </w:rPr>
            </w:pPr>
          </w:p>
        </w:tc>
      </w:tr>
      <w:tr w:rsidR="00980E5F" w14:paraId="392C662F" w14:textId="77777777">
        <w:tc>
          <w:tcPr>
            <w:tcW w:w="0" w:type="auto"/>
            <w:gridSpan w:val="3"/>
            <w:shd w:val="clear" w:color="auto" w:fill="FFFFFF"/>
            <w:tcMar>
              <w:top w:w="40" w:type="dxa"/>
              <w:left w:w="515" w:type="dxa"/>
              <w:bottom w:w="40" w:type="dxa"/>
              <w:right w:w="20" w:type="dxa"/>
            </w:tcMar>
            <w:vAlign w:val="bottom"/>
          </w:tcPr>
          <w:p w14:paraId="392C661D" w14:textId="77777777" w:rsidR="00980E5F" w:rsidRDefault="00483613">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1E" w14:textId="77777777" w:rsidR="00980E5F" w:rsidRDefault="00483613">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2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21" w14:textId="77777777" w:rsidR="00980E5F" w:rsidRDefault="00483613">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2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2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2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27"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2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2A" w14:textId="77777777" w:rsidR="00980E5F" w:rsidRDefault="00483613">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2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62D" w14:textId="77777777" w:rsidR="00980E5F" w:rsidRDefault="00483613">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62E" w14:textId="77777777" w:rsidR="00980E5F" w:rsidRDefault="00980E5F">
            <w:pPr>
              <w:jc w:val="right"/>
              <w:rPr>
                <w:rFonts w:ascii="宋体"/>
              </w:rPr>
            </w:pPr>
          </w:p>
        </w:tc>
      </w:tr>
      <w:tr w:rsidR="00980E5F" w14:paraId="392C6642" w14:textId="77777777">
        <w:tc>
          <w:tcPr>
            <w:tcW w:w="0" w:type="auto"/>
            <w:gridSpan w:val="3"/>
            <w:shd w:val="clear" w:color="auto" w:fill="CCEEFF"/>
            <w:tcMar>
              <w:top w:w="40" w:type="dxa"/>
              <w:left w:w="20" w:type="dxa"/>
              <w:bottom w:w="40" w:type="dxa"/>
              <w:right w:w="20" w:type="dxa"/>
            </w:tcMar>
            <w:vAlign w:val="bottom"/>
          </w:tcPr>
          <w:p w14:paraId="392C6630" w14:textId="77777777" w:rsidR="00980E5F" w:rsidRDefault="00483613">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31" w14:textId="77777777" w:rsidR="00980E5F" w:rsidRDefault="00483613">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3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3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3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37" w14:textId="77777777" w:rsidR="00980E5F" w:rsidRDefault="00483613">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3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3A" w14:textId="77777777" w:rsidR="00980E5F" w:rsidRDefault="00483613">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3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3D" w14:textId="77777777" w:rsidR="00980E5F" w:rsidRDefault="00483613">
            <w:pPr>
              <w:jc w:val="right"/>
              <w:textAlignment w:val="bottom"/>
            </w:pPr>
            <w:r>
              <w:rPr>
                <w:rFonts w:ascii="Arial" w:eastAsia="宋体" w:hAnsi="Arial" w:cs="Arial"/>
                <w:color w:val="000000"/>
                <w:sz w:val="14"/>
                <w:szCs w:val="14"/>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3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640" w14:textId="77777777" w:rsidR="00980E5F" w:rsidRDefault="00483613">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641" w14:textId="77777777" w:rsidR="00980E5F" w:rsidRDefault="00980E5F">
            <w:pPr>
              <w:jc w:val="right"/>
              <w:rPr>
                <w:rFonts w:ascii="宋体"/>
              </w:rPr>
            </w:pPr>
          </w:p>
        </w:tc>
      </w:tr>
      <w:tr w:rsidR="00980E5F" w14:paraId="392C664F" w14:textId="77777777">
        <w:trPr>
          <w:hidden/>
        </w:trPr>
        <w:tc>
          <w:tcPr>
            <w:tcW w:w="0" w:type="auto"/>
            <w:gridSpan w:val="3"/>
            <w:shd w:val="clear" w:color="auto" w:fill="auto"/>
            <w:vAlign w:val="bottom"/>
          </w:tcPr>
          <w:p w14:paraId="392C6643" w14:textId="77777777" w:rsidR="00980E5F" w:rsidRDefault="00980E5F">
            <w:pPr>
              <w:rPr>
                <w:rFonts w:ascii="宋体"/>
                <w:vanish/>
              </w:rPr>
            </w:pPr>
          </w:p>
        </w:tc>
        <w:tc>
          <w:tcPr>
            <w:tcW w:w="0" w:type="auto"/>
            <w:gridSpan w:val="3"/>
            <w:shd w:val="clear" w:color="auto" w:fill="auto"/>
            <w:vAlign w:val="bottom"/>
          </w:tcPr>
          <w:p w14:paraId="392C6644" w14:textId="77777777" w:rsidR="00980E5F" w:rsidRDefault="00980E5F">
            <w:pPr>
              <w:rPr>
                <w:rFonts w:ascii="宋体"/>
                <w:vanish/>
              </w:rPr>
            </w:pPr>
          </w:p>
        </w:tc>
        <w:tc>
          <w:tcPr>
            <w:tcW w:w="0" w:type="auto"/>
            <w:gridSpan w:val="3"/>
            <w:shd w:val="clear" w:color="auto" w:fill="auto"/>
            <w:vAlign w:val="bottom"/>
          </w:tcPr>
          <w:p w14:paraId="392C6645" w14:textId="77777777" w:rsidR="00980E5F" w:rsidRDefault="00980E5F">
            <w:pPr>
              <w:rPr>
                <w:rFonts w:ascii="宋体"/>
                <w:vanish/>
              </w:rPr>
            </w:pPr>
          </w:p>
        </w:tc>
        <w:tc>
          <w:tcPr>
            <w:tcW w:w="0" w:type="auto"/>
            <w:gridSpan w:val="3"/>
            <w:shd w:val="clear" w:color="auto" w:fill="auto"/>
            <w:vAlign w:val="bottom"/>
          </w:tcPr>
          <w:p w14:paraId="392C6646" w14:textId="77777777" w:rsidR="00980E5F" w:rsidRDefault="00980E5F">
            <w:pPr>
              <w:rPr>
                <w:rFonts w:ascii="宋体"/>
                <w:vanish/>
              </w:rPr>
            </w:pPr>
          </w:p>
        </w:tc>
        <w:tc>
          <w:tcPr>
            <w:tcW w:w="0" w:type="auto"/>
            <w:gridSpan w:val="3"/>
            <w:shd w:val="clear" w:color="auto" w:fill="auto"/>
            <w:vAlign w:val="bottom"/>
          </w:tcPr>
          <w:p w14:paraId="392C6647" w14:textId="77777777" w:rsidR="00980E5F" w:rsidRDefault="00980E5F">
            <w:pPr>
              <w:rPr>
                <w:rFonts w:ascii="宋体"/>
                <w:vanish/>
              </w:rPr>
            </w:pPr>
          </w:p>
        </w:tc>
        <w:tc>
          <w:tcPr>
            <w:tcW w:w="0" w:type="auto"/>
            <w:gridSpan w:val="3"/>
            <w:shd w:val="clear" w:color="auto" w:fill="auto"/>
            <w:vAlign w:val="bottom"/>
          </w:tcPr>
          <w:p w14:paraId="392C6648" w14:textId="77777777" w:rsidR="00980E5F" w:rsidRDefault="00980E5F">
            <w:pPr>
              <w:rPr>
                <w:rFonts w:ascii="宋体"/>
                <w:vanish/>
              </w:rPr>
            </w:pPr>
          </w:p>
        </w:tc>
        <w:tc>
          <w:tcPr>
            <w:tcW w:w="0" w:type="auto"/>
            <w:gridSpan w:val="3"/>
            <w:shd w:val="clear" w:color="auto" w:fill="auto"/>
            <w:vAlign w:val="bottom"/>
          </w:tcPr>
          <w:p w14:paraId="392C6649" w14:textId="77777777" w:rsidR="00980E5F" w:rsidRDefault="00980E5F">
            <w:pPr>
              <w:rPr>
                <w:rFonts w:ascii="宋体"/>
                <w:vanish/>
              </w:rPr>
            </w:pPr>
          </w:p>
        </w:tc>
        <w:tc>
          <w:tcPr>
            <w:tcW w:w="0" w:type="auto"/>
            <w:gridSpan w:val="3"/>
            <w:shd w:val="clear" w:color="auto" w:fill="auto"/>
            <w:vAlign w:val="bottom"/>
          </w:tcPr>
          <w:p w14:paraId="392C664A" w14:textId="77777777" w:rsidR="00980E5F" w:rsidRDefault="00980E5F">
            <w:pPr>
              <w:rPr>
                <w:rFonts w:ascii="宋体"/>
                <w:vanish/>
              </w:rPr>
            </w:pPr>
          </w:p>
        </w:tc>
        <w:tc>
          <w:tcPr>
            <w:tcW w:w="0" w:type="auto"/>
            <w:gridSpan w:val="3"/>
            <w:shd w:val="clear" w:color="auto" w:fill="auto"/>
            <w:vAlign w:val="bottom"/>
          </w:tcPr>
          <w:p w14:paraId="392C664B" w14:textId="77777777" w:rsidR="00980E5F" w:rsidRDefault="00980E5F">
            <w:pPr>
              <w:rPr>
                <w:rFonts w:ascii="宋体"/>
                <w:vanish/>
              </w:rPr>
            </w:pPr>
          </w:p>
        </w:tc>
        <w:tc>
          <w:tcPr>
            <w:tcW w:w="0" w:type="auto"/>
            <w:gridSpan w:val="3"/>
            <w:shd w:val="clear" w:color="auto" w:fill="auto"/>
            <w:vAlign w:val="bottom"/>
          </w:tcPr>
          <w:p w14:paraId="392C664C" w14:textId="77777777" w:rsidR="00980E5F" w:rsidRDefault="00980E5F">
            <w:pPr>
              <w:rPr>
                <w:rFonts w:ascii="宋体"/>
                <w:vanish/>
              </w:rPr>
            </w:pPr>
          </w:p>
        </w:tc>
        <w:tc>
          <w:tcPr>
            <w:tcW w:w="0" w:type="auto"/>
            <w:gridSpan w:val="3"/>
            <w:shd w:val="clear" w:color="auto" w:fill="auto"/>
            <w:vAlign w:val="bottom"/>
          </w:tcPr>
          <w:p w14:paraId="392C664D" w14:textId="77777777" w:rsidR="00980E5F" w:rsidRDefault="00980E5F">
            <w:pPr>
              <w:rPr>
                <w:rFonts w:ascii="宋体"/>
                <w:vanish/>
              </w:rPr>
            </w:pPr>
          </w:p>
        </w:tc>
        <w:tc>
          <w:tcPr>
            <w:tcW w:w="0" w:type="auto"/>
            <w:gridSpan w:val="3"/>
            <w:shd w:val="clear" w:color="auto" w:fill="auto"/>
            <w:vAlign w:val="bottom"/>
          </w:tcPr>
          <w:p w14:paraId="392C664E" w14:textId="77777777" w:rsidR="00980E5F" w:rsidRDefault="00980E5F">
            <w:pPr>
              <w:rPr>
                <w:rFonts w:ascii="宋体"/>
                <w:vanish/>
              </w:rPr>
            </w:pPr>
          </w:p>
        </w:tc>
      </w:tr>
      <w:tr w:rsidR="00980E5F" w14:paraId="392C6662" w14:textId="77777777">
        <w:tc>
          <w:tcPr>
            <w:tcW w:w="0" w:type="auto"/>
            <w:gridSpan w:val="3"/>
            <w:shd w:val="clear" w:color="auto" w:fill="FFFFFF"/>
            <w:tcMar>
              <w:top w:w="40" w:type="dxa"/>
              <w:left w:w="20" w:type="dxa"/>
              <w:bottom w:w="40" w:type="dxa"/>
              <w:right w:w="20" w:type="dxa"/>
            </w:tcMar>
            <w:vAlign w:val="bottom"/>
          </w:tcPr>
          <w:p w14:paraId="392C6650" w14:textId="77777777" w:rsidR="00980E5F" w:rsidRDefault="00483613">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392C6651" w14:textId="77777777" w:rsidR="00980E5F" w:rsidRDefault="00483613">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392C66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654" w14:textId="77777777" w:rsidR="00980E5F" w:rsidRDefault="00483613">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92C66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5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65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65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5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65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6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65D" w14:textId="77777777" w:rsidR="00980E5F" w:rsidRDefault="00483613">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392C66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65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660" w14:textId="77777777" w:rsidR="00980E5F" w:rsidRDefault="00483613">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92C6661" w14:textId="77777777" w:rsidR="00980E5F" w:rsidRDefault="00980E5F">
            <w:pPr>
              <w:jc w:val="right"/>
              <w:rPr>
                <w:rFonts w:ascii="宋体"/>
              </w:rPr>
            </w:pPr>
          </w:p>
        </w:tc>
      </w:tr>
      <w:tr w:rsidR="00980E5F" w14:paraId="392C666F" w14:textId="77777777">
        <w:trPr>
          <w:hidden/>
        </w:trPr>
        <w:tc>
          <w:tcPr>
            <w:tcW w:w="0" w:type="auto"/>
            <w:gridSpan w:val="3"/>
            <w:shd w:val="clear" w:color="auto" w:fill="auto"/>
            <w:vAlign w:val="bottom"/>
          </w:tcPr>
          <w:p w14:paraId="392C6663" w14:textId="77777777" w:rsidR="00980E5F" w:rsidRDefault="00980E5F">
            <w:pPr>
              <w:rPr>
                <w:rFonts w:ascii="宋体"/>
                <w:vanish/>
              </w:rPr>
            </w:pPr>
          </w:p>
        </w:tc>
        <w:tc>
          <w:tcPr>
            <w:tcW w:w="0" w:type="auto"/>
            <w:gridSpan w:val="3"/>
            <w:shd w:val="clear" w:color="auto" w:fill="auto"/>
            <w:vAlign w:val="bottom"/>
          </w:tcPr>
          <w:p w14:paraId="392C6664" w14:textId="77777777" w:rsidR="00980E5F" w:rsidRDefault="00980E5F">
            <w:pPr>
              <w:rPr>
                <w:rFonts w:ascii="宋体"/>
                <w:vanish/>
              </w:rPr>
            </w:pPr>
          </w:p>
        </w:tc>
        <w:tc>
          <w:tcPr>
            <w:tcW w:w="0" w:type="auto"/>
            <w:gridSpan w:val="3"/>
            <w:shd w:val="clear" w:color="auto" w:fill="auto"/>
            <w:vAlign w:val="bottom"/>
          </w:tcPr>
          <w:p w14:paraId="392C6665" w14:textId="77777777" w:rsidR="00980E5F" w:rsidRDefault="00980E5F">
            <w:pPr>
              <w:rPr>
                <w:rFonts w:ascii="宋体"/>
                <w:vanish/>
              </w:rPr>
            </w:pPr>
          </w:p>
        </w:tc>
        <w:tc>
          <w:tcPr>
            <w:tcW w:w="0" w:type="auto"/>
            <w:gridSpan w:val="3"/>
            <w:shd w:val="clear" w:color="auto" w:fill="auto"/>
            <w:vAlign w:val="bottom"/>
          </w:tcPr>
          <w:p w14:paraId="392C6666" w14:textId="77777777" w:rsidR="00980E5F" w:rsidRDefault="00980E5F">
            <w:pPr>
              <w:rPr>
                <w:rFonts w:ascii="宋体"/>
                <w:vanish/>
              </w:rPr>
            </w:pPr>
          </w:p>
        </w:tc>
        <w:tc>
          <w:tcPr>
            <w:tcW w:w="0" w:type="auto"/>
            <w:gridSpan w:val="3"/>
            <w:shd w:val="clear" w:color="auto" w:fill="auto"/>
            <w:vAlign w:val="bottom"/>
          </w:tcPr>
          <w:p w14:paraId="392C6667" w14:textId="77777777" w:rsidR="00980E5F" w:rsidRDefault="00980E5F">
            <w:pPr>
              <w:rPr>
                <w:rFonts w:ascii="宋体"/>
                <w:vanish/>
              </w:rPr>
            </w:pPr>
          </w:p>
        </w:tc>
        <w:tc>
          <w:tcPr>
            <w:tcW w:w="0" w:type="auto"/>
            <w:gridSpan w:val="3"/>
            <w:shd w:val="clear" w:color="auto" w:fill="auto"/>
            <w:vAlign w:val="bottom"/>
          </w:tcPr>
          <w:p w14:paraId="392C6668" w14:textId="77777777" w:rsidR="00980E5F" w:rsidRDefault="00980E5F">
            <w:pPr>
              <w:rPr>
                <w:rFonts w:ascii="宋体"/>
                <w:vanish/>
              </w:rPr>
            </w:pPr>
          </w:p>
        </w:tc>
        <w:tc>
          <w:tcPr>
            <w:tcW w:w="0" w:type="auto"/>
            <w:gridSpan w:val="3"/>
            <w:shd w:val="clear" w:color="auto" w:fill="auto"/>
            <w:vAlign w:val="bottom"/>
          </w:tcPr>
          <w:p w14:paraId="392C6669" w14:textId="77777777" w:rsidR="00980E5F" w:rsidRDefault="00980E5F">
            <w:pPr>
              <w:rPr>
                <w:rFonts w:ascii="宋体"/>
                <w:vanish/>
              </w:rPr>
            </w:pPr>
          </w:p>
        </w:tc>
        <w:tc>
          <w:tcPr>
            <w:tcW w:w="0" w:type="auto"/>
            <w:gridSpan w:val="3"/>
            <w:shd w:val="clear" w:color="auto" w:fill="auto"/>
            <w:vAlign w:val="bottom"/>
          </w:tcPr>
          <w:p w14:paraId="392C666A" w14:textId="77777777" w:rsidR="00980E5F" w:rsidRDefault="00980E5F">
            <w:pPr>
              <w:rPr>
                <w:rFonts w:ascii="宋体"/>
                <w:vanish/>
              </w:rPr>
            </w:pPr>
          </w:p>
        </w:tc>
        <w:tc>
          <w:tcPr>
            <w:tcW w:w="0" w:type="auto"/>
            <w:gridSpan w:val="3"/>
            <w:shd w:val="clear" w:color="auto" w:fill="auto"/>
            <w:vAlign w:val="bottom"/>
          </w:tcPr>
          <w:p w14:paraId="392C666B" w14:textId="77777777" w:rsidR="00980E5F" w:rsidRDefault="00980E5F">
            <w:pPr>
              <w:rPr>
                <w:rFonts w:ascii="宋体"/>
                <w:vanish/>
              </w:rPr>
            </w:pPr>
          </w:p>
        </w:tc>
        <w:tc>
          <w:tcPr>
            <w:tcW w:w="0" w:type="auto"/>
            <w:gridSpan w:val="3"/>
            <w:shd w:val="clear" w:color="auto" w:fill="auto"/>
            <w:vAlign w:val="bottom"/>
          </w:tcPr>
          <w:p w14:paraId="392C666C" w14:textId="77777777" w:rsidR="00980E5F" w:rsidRDefault="00980E5F">
            <w:pPr>
              <w:rPr>
                <w:rFonts w:ascii="宋体"/>
                <w:vanish/>
              </w:rPr>
            </w:pPr>
          </w:p>
        </w:tc>
        <w:tc>
          <w:tcPr>
            <w:tcW w:w="0" w:type="auto"/>
            <w:gridSpan w:val="3"/>
            <w:shd w:val="clear" w:color="auto" w:fill="auto"/>
            <w:vAlign w:val="bottom"/>
          </w:tcPr>
          <w:p w14:paraId="392C666D" w14:textId="77777777" w:rsidR="00980E5F" w:rsidRDefault="00980E5F">
            <w:pPr>
              <w:rPr>
                <w:rFonts w:ascii="宋体"/>
                <w:vanish/>
              </w:rPr>
            </w:pPr>
          </w:p>
        </w:tc>
        <w:tc>
          <w:tcPr>
            <w:tcW w:w="0" w:type="auto"/>
            <w:gridSpan w:val="3"/>
            <w:shd w:val="clear" w:color="auto" w:fill="auto"/>
            <w:vAlign w:val="bottom"/>
          </w:tcPr>
          <w:p w14:paraId="392C666E" w14:textId="77777777" w:rsidR="00980E5F" w:rsidRDefault="00980E5F">
            <w:pPr>
              <w:rPr>
                <w:rFonts w:ascii="宋体"/>
                <w:vanish/>
              </w:rPr>
            </w:pPr>
          </w:p>
        </w:tc>
      </w:tr>
      <w:tr w:rsidR="00980E5F" w14:paraId="392C6688" w14:textId="77777777">
        <w:tc>
          <w:tcPr>
            <w:tcW w:w="0" w:type="auto"/>
            <w:gridSpan w:val="3"/>
            <w:shd w:val="clear" w:color="auto" w:fill="CCEEFF"/>
            <w:tcMar>
              <w:top w:w="40" w:type="dxa"/>
              <w:left w:w="20" w:type="dxa"/>
              <w:bottom w:w="40" w:type="dxa"/>
              <w:right w:w="20" w:type="dxa"/>
            </w:tcMar>
            <w:vAlign w:val="bottom"/>
          </w:tcPr>
          <w:p w14:paraId="392C6670" w14:textId="77777777" w:rsidR="00980E5F" w:rsidRDefault="00483613">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7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72" w14:textId="77777777" w:rsidR="00980E5F" w:rsidRDefault="00483613">
            <w:pPr>
              <w:jc w:val="right"/>
              <w:textAlignment w:val="bottom"/>
            </w:pPr>
            <w:r>
              <w:rPr>
                <w:rFonts w:ascii="Arial" w:eastAsia="宋体" w:hAnsi="Arial" w:cs="Arial"/>
                <w:color w:val="000000"/>
                <w:sz w:val="14"/>
                <w:szCs w:val="14"/>
              </w:rPr>
              <w:t>41,232 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7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7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76" w14:textId="77777777" w:rsidR="00980E5F" w:rsidRDefault="00483613">
            <w:pPr>
              <w:jc w:val="right"/>
              <w:textAlignment w:val="bottom"/>
            </w:pPr>
            <w:r>
              <w:rPr>
                <w:rFonts w:ascii="Arial" w:eastAsia="宋体" w:hAnsi="Arial" w:cs="Arial"/>
                <w:color w:val="000000"/>
                <w:sz w:val="14"/>
                <w:szCs w:val="14"/>
              </w:rPr>
              <w:t>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78"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7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7A" w14:textId="77777777" w:rsidR="00980E5F" w:rsidRDefault="00483613">
            <w:pPr>
              <w:jc w:val="right"/>
              <w:textAlignment w:val="bottom"/>
            </w:pPr>
            <w:r>
              <w:rPr>
                <w:rFonts w:ascii="Arial" w:eastAsia="宋体" w:hAnsi="Arial" w:cs="Arial"/>
                <w:color w:val="000000"/>
                <w:sz w:val="14"/>
                <w:szCs w:val="14"/>
              </w:rPr>
              <w:t>2,277 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7C"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7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7E" w14:textId="77777777" w:rsidR="00980E5F" w:rsidRDefault="00483613">
            <w:pPr>
              <w:jc w:val="right"/>
              <w:textAlignment w:val="bottom"/>
            </w:pPr>
            <w:r>
              <w:rPr>
                <w:rFonts w:ascii="Arial" w:eastAsia="宋体" w:hAnsi="Arial" w:cs="Arial"/>
                <w:color w:val="000000"/>
                <w:sz w:val="14"/>
                <w:szCs w:val="14"/>
              </w:rPr>
              <w:t>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8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8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82" w14:textId="77777777" w:rsidR="00980E5F" w:rsidRDefault="00483613">
            <w:pPr>
              <w:jc w:val="right"/>
              <w:textAlignment w:val="bottom"/>
            </w:pPr>
            <w:r>
              <w:rPr>
                <w:rFonts w:ascii="Arial" w:eastAsia="宋体" w:hAnsi="Arial" w:cs="Arial"/>
                <w:color w:val="000000"/>
                <w:sz w:val="14"/>
                <w:szCs w:val="14"/>
              </w:rPr>
              <w:t>43,509 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68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68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686" w14:textId="77777777" w:rsidR="00980E5F" w:rsidRDefault="00483613">
            <w:pPr>
              <w:jc w:val="right"/>
              <w:textAlignment w:val="bottom"/>
            </w:pPr>
            <w:r>
              <w:rPr>
                <w:rFonts w:ascii="Arial" w:eastAsia="宋体" w:hAnsi="Arial" w:cs="Arial"/>
                <w:color w:val="000000"/>
                <w:sz w:val="14"/>
                <w:szCs w:val="14"/>
              </w:rPr>
              <w:t>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687" w14:textId="77777777" w:rsidR="00980E5F" w:rsidRDefault="00980E5F">
            <w:pPr>
              <w:jc w:val="right"/>
              <w:rPr>
                <w:rFonts w:ascii="宋体"/>
              </w:rPr>
            </w:pPr>
          </w:p>
        </w:tc>
      </w:tr>
      <w:tr w:rsidR="00980E5F" w14:paraId="392C6695" w14:textId="77777777">
        <w:trPr>
          <w:hidden/>
        </w:trPr>
        <w:tc>
          <w:tcPr>
            <w:tcW w:w="0" w:type="auto"/>
            <w:gridSpan w:val="3"/>
            <w:shd w:val="clear" w:color="auto" w:fill="auto"/>
            <w:vAlign w:val="bottom"/>
          </w:tcPr>
          <w:p w14:paraId="392C6689" w14:textId="77777777" w:rsidR="00980E5F" w:rsidRDefault="00980E5F">
            <w:pPr>
              <w:rPr>
                <w:rFonts w:ascii="宋体"/>
                <w:vanish/>
              </w:rPr>
            </w:pPr>
          </w:p>
        </w:tc>
        <w:tc>
          <w:tcPr>
            <w:tcW w:w="0" w:type="auto"/>
            <w:gridSpan w:val="3"/>
            <w:shd w:val="clear" w:color="auto" w:fill="auto"/>
            <w:vAlign w:val="bottom"/>
          </w:tcPr>
          <w:p w14:paraId="392C668A" w14:textId="77777777" w:rsidR="00980E5F" w:rsidRDefault="00980E5F">
            <w:pPr>
              <w:rPr>
                <w:rFonts w:ascii="宋体"/>
                <w:vanish/>
              </w:rPr>
            </w:pPr>
          </w:p>
        </w:tc>
        <w:tc>
          <w:tcPr>
            <w:tcW w:w="0" w:type="auto"/>
            <w:gridSpan w:val="3"/>
            <w:shd w:val="clear" w:color="auto" w:fill="auto"/>
            <w:vAlign w:val="bottom"/>
          </w:tcPr>
          <w:p w14:paraId="392C668B" w14:textId="77777777" w:rsidR="00980E5F" w:rsidRDefault="00980E5F">
            <w:pPr>
              <w:rPr>
                <w:rFonts w:ascii="宋体"/>
                <w:vanish/>
              </w:rPr>
            </w:pPr>
          </w:p>
        </w:tc>
        <w:tc>
          <w:tcPr>
            <w:tcW w:w="0" w:type="auto"/>
            <w:gridSpan w:val="3"/>
            <w:shd w:val="clear" w:color="auto" w:fill="auto"/>
            <w:vAlign w:val="bottom"/>
          </w:tcPr>
          <w:p w14:paraId="392C668C" w14:textId="77777777" w:rsidR="00980E5F" w:rsidRDefault="00980E5F">
            <w:pPr>
              <w:rPr>
                <w:rFonts w:ascii="宋体"/>
                <w:vanish/>
              </w:rPr>
            </w:pPr>
          </w:p>
        </w:tc>
        <w:tc>
          <w:tcPr>
            <w:tcW w:w="0" w:type="auto"/>
            <w:gridSpan w:val="3"/>
            <w:shd w:val="clear" w:color="auto" w:fill="auto"/>
            <w:vAlign w:val="bottom"/>
          </w:tcPr>
          <w:p w14:paraId="392C668D" w14:textId="77777777" w:rsidR="00980E5F" w:rsidRDefault="00980E5F">
            <w:pPr>
              <w:rPr>
                <w:rFonts w:ascii="宋体"/>
                <w:vanish/>
              </w:rPr>
            </w:pPr>
          </w:p>
        </w:tc>
        <w:tc>
          <w:tcPr>
            <w:tcW w:w="0" w:type="auto"/>
            <w:gridSpan w:val="3"/>
            <w:shd w:val="clear" w:color="auto" w:fill="auto"/>
            <w:vAlign w:val="bottom"/>
          </w:tcPr>
          <w:p w14:paraId="392C668E" w14:textId="77777777" w:rsidR="00980E5F" w:rsidRDefault="00980E5F">
            <w:pPr>
              <w:rPr>
                <w:rFonts w:ascii="宋体"/>
                <w:vanish/>
              </w:rPr>
            </w:pPr>
          </w:p>
        </w:tc>
        <w:tc>
          <w:tcPr>
            <w:tcW w:w="0" w:type="auto"/>
            <w:gridSpan w:val="3"/>
            <w:shd w:val="clear" w:color="auto" w:fill="auto"/>
            <w:vAlign w:val="bottom"/>
          </w:tcPr>
          <w:p w14:paraId="392C668F" w14:textId="77777777" w:rsidR="00980E5F" w:rsidRDefault="00980E5F">
            <w:pPr>
              <w:rPr>
                <w:rFonts w:ascii="宋体"/>
                <w:vanish/>
              </w:rPr>
            </w:pPr>
          </w:p>
        </w:tc>
        <w:tc>
          <w:tcPr>
            <w:tcW w:w="0" w:type="auto"/>
            <w:gridSpan w:val="3"/>
            <w:shd w:val="clear" w:color="auto" w:fill="auto"/>
            <w:vAlign w:val="bottom"/>
          </w:tcPr>
          <w:p w14:paraId="392C6690" w14:textId="77777777" w:rsidR="00980E5F" w:rsidRDefault="00980E5F">
            <w:pPr>
              <w:rPr>
                <w:rFonts w:ascii="宋体"/>
                <w:vanish/>
              </w:rPr>
            </w:pPr>
          </w:p>
        </w:tc>
        <w:tc>
          <w:tcPr>
            <w:tcW w:w="0" w:type="auto"/>
            <w:gridSpan w:val="3"/>
            <w:shd w:val="clear" w:color="auto" w:fill="auto"/>
            <w:vAlign w:val="bottom"/>
          </w:tcPr>
          <w:p w14:paraId="392C6691" w14:textId="77777777" w:rsidR="00980E5F" w:rsidRDefault="00980E5F">
            <w:pPr>
              <w:rPr>
                <w:rFonts w:ascii="宋体"/>
                <w:vanish/>
              </w:rPr>
            </w:pPr>
          </w:p>
        </w:tc>
        <w:tc>
          <w:tcPr>
            <w:tcW w:w="0" w:type="auto"/>
            <w:gridSpan w:val="3"/>
            <w:shd w:val="clear" w:color="auto" w:fill="auto"/>
            <w:vAlign w:val="bottom"/>
          </w:tcPr>
          <w:p w14:paraId="392C6692" w14:textId="77777777" w:rsidR="00980E5F" w:rsidRDefault="00980E5F">
            <w:pPr>
              <w:rPr>
                <w:rFonts w:ascii="宋体"/>
                <w:vanish/>
              </w:rPr>
            </w:pPr>
          </w:p>
        </w:tc>
        <w:tc>
          <w:tcPr>
            <w:tcW w:w="0" w:type="auto"/>
            <w:gridSpan w:val="3"/>
            <w:shd w:val="clear" w:color="auto" w:fill="auto"/>
            <w:vAlign w:val="bottom"/>
          </w:tcPr>
          <w:p w14:paraId="392C6693" w14:textId="77777777" w:rsidR="00980E5F" w:rsidRDefault="00980E5F">
            <w:pPr>
              <w:rPr>
                <w:rFonts w:ascii="宋体"/>
                <w:vanish/>
              </w:rPr>
            </w:pPr>
          </w:p>
        </w:tc>
        <w:tc>
          <w:tcPr>
            <w:tcW w:w="0" w:type="auto"/>
            <w:gridSpan w:val="3"/>
            <w:shd w:val="clear" w:color="auto" w:fill="auto"/>
            <w:vAlign w:val="bottom"/>
          </w:tcPr>
          <w:p w14:paraId="392C6694" w14:textId="77777777" w:rsidR="00980E5F" w:rsidRDefault="00980E5F">
            <w:pPr>
              <w:rPr>
                <w:rFonts w:ascii="宋体"/>
                <w:vanish/>
              </w:rPr>
            </w:pPr>
          </w:p>
        </w:tc>
      </w:tr>
      <w:tr w:rsidR="00980E5F" w14:paraId="392C66A2" w14:textId="77777777">
        <w:trPr>
          <w:hidden/>
        </w:trPr>
        <w:tc>
          <w:tcPr>
            <w:tcW w:w="0" w:type="auto"/>
            <w:gridSpan w:val="3"/>
            <w:shd w:val="clear" w:color="auto" w:fill="auto"/>
            <w:vAlign w:val="bottom"/>
          </w:tcPr>
          <w:p w14:paraId="392C6696" w14:textId="77777777" w:rsidR="00980E5F" w:rsidRDefault="00980E5F">
            <w:pPr>
              <w:rPr>
                <w:rFonts w:ascii="宋体"/>
                <w:vanish/>
              </w:rPr>
            </w:pPr>
          </w:p>
        </w:tc>
        <w:tc>
          <w:tcPr>
            <w:tcW w:w="0" w:type="auto"/>
            <w:gridSpan w:val="3"/>
            <w:shd w:val="clear" w:color="auto" w:fill="auto"/>
            <w:vAlign w:val="bottom"/>
          </w:tcPr>
          <w:p w14:paraId="392C6697" w14:textId="77777777" w:rsidR="00980E5F" w:rsidRDefault="00980E5F">
            <w:pPr>
              <w:rPr>
                <w:rFonts w:ascii="宋体"/>
                <w:vanish/>
              </w:rPr>
            </w:pPr>
          </w:p>
        </w:tc>
        <w:tc>
          <w:tcPr>
            <w:tcW w:w="0" w:type="auto"/>
            <w:gridSpan w:val="3"/>
            <w:shd w:val="clear" w:color="auto" w:fill="auto"/>
            <w:vAlign w:val="bottom"/>
          </w:tcPr>
          <w:p w14:paraId="392C6698" w14:textId="77777777" w:rsidR="00980E5F" w:rsidRDefault="00980E5F">
            <w:pPr>
              <w:rPr>
                <w:rFonts w:ascii="宋体"/>
                <w:vanish/>
              </w:rPr>
            </w:pPr>
          </w:p>
        </w:tc>
        <w:tc>
          <w:tcPr>
            <w:tcW w:w="0" w:type="auto"/>
            <w:gridSpan w:val="3"/>
            <w:shd w:val="clear" w:color="auto" w:fill="auto"/>
            <w:vAlign w:val="bottom"/>
          </w:tcPr>
          <w:p w14:paraId="392C6699" w14:textId="77777777" w:rsidR="00980E5F" w:rsidRDefault="00980E5F">
            <w:pPr>
              <w:rPr>
                <w:rFonts w:ascii="宋体"/>
                <w:vanish/>
              </w:rPr>
            </w:pPr>
          </w:p>
        </w:tc>
        <w:tc>
          <w:tcPr>
            <w:tcW w:w="0" w:type="auto"/>
            <w:gridSpan w:val="3"/>
            <w:shd w:val="clear" w:color="auto" w:fill="auto"/>
            <w:vAlign w:val="bottom"/>
          </w:tcPr>
          <w:p w14:paraId="392C669A" w14:textId="77777777" w:rsidR="00980E5F" w:rsidRDefault="00980E5F">
            <w:pPr>
              <w:rPr>
                <w:rFonts w:ascii="宋体"/>
                <w:vanish/>
              </w:rPr>
            </w:pPr>
          </w:p>
        </w:tc>
        <w:tc>
          <w:tcPr>
            <w:tcW w:w="0" w:type="auto"/>
            <w:gridSpan w:val="3"/>
            <w:shd w:val="clear" w:color="auto" w:fill="auto"/>
            <w:vAlign w:val="bottom"/>
          </w:tcPr>
          <w:p w14:paraId="392C669B" w14:textId="77777777" w:rsidR="00980E5F" w:rsidRDefault="00980E5F">
            <w:pPr>
              <w:rPr>
                <w:rFonts w:ascii="宋体"/>
                <w:vanish/>
              </w:rPr>
            </w:pPr>
          </w:p>
        </w:tc>
        <w:tc>
          <w:tcPr>
            <w:tcW w:w="0" w:type="auto"/>
            <w:gridSpan w:val="3"/>
            <w:shd w:val="clear" w:color="auto" w:fill="auto"/>
            <w:vAlign w:val="bottom"/>
          </w:tcPr>
          <w:p w14:paraId="392C669C" w14:textId="77777777" w:rsidR="00980E5F" w:rsidRDefault="00980E5F">
            <w:pPr>
              <w:rPr>
                <w:rFonts w:ascii="宋体"/>
                <w:vanish/>
              </w:rPr>
            </w:pPr>
          </w:p>
        </w:tc>
        <w:tc>
          <w:tcPr>
            <w:tcW w:w="0" w:type="auto"/>
            <w:gridSpan w:val="3"/>
            <w:shd w:val="clear" w:color="auto" w:fill="auto"/>
            <w:vAlign w:val="bottom"/>
          </w:tcPr>
          <w:p w14:paraId="392C669D" w14:textId="77777777" w:rsidR="00980E5F" w:rsidRDefault="00980E5F">
            <w:pPr>
              <w:rPr>
                <w:rFonts w:ascii="宋体"/>
                <w:vanish/>
              </w:rPr>
            </w:pPr>
          </w:p>
        </w:tc>
        <w:tc>
          <w:tcPr>
            <w:tcW w:w="0" w:type="auto"/>
            <w:gridSpan w:val="3"/>
            <w:shd w:val="clear" w:color="auto" w:fill="auto"/>
            <w:vAlign w:val="bottom"/>
          </w:tcPr>
          <w:p w14:paraId="392C669E" w14:textId="77777777" w:rsidR="00980E5F" w:rsidRDefault="00980E5F">
            <w:pPr>
              <w:rPr>
                <w:rFonts w:ascii="宋体"/>
                <w:vanish/>
              </w:rPr>
            </w:pPr>
          </w:p>
        </w:tc>
        <w:tc>
          <w:tcPr>
            <w:tcW w:w="0" w:type="auto"/>
            <w:gridSpan w:val="3"/>
            <w:shd w:val="clear" w:color="auto" w:fill="auto"/>
            <w:vAlign w:val="bottom"/>
          </w:tcPr>
          <w:p w14:paraId="392C669F" w14:textId="77777777" w:rsidR="00980E5F" w:rsidRDefault="00980E5F">
            <w:pPr>
              <w:rPr>
                <w:rFonts w:ascii="宋体"/>
                <w:vanish/>
              </w:rPr>
            </w:pPr>
          </w:p>
        </w:tc>
        <w:tc>
          <w:tcPr>
            <w:tcW w:w="0" w:type="auto"/>
            <w:gridSpan w:val="3"/>
            <w:shd w:val="clear" w:color="auto" w:fill="auto"/>
            <w:vAlign w:val="bottom"/>
          </w:tcPr>
          <w:p w14:paraId="392C66A0" w14:textId="77777777" w:rsidR="00980E5F" w:rsidRDefault="00980E5F">
            <w:pPr>
              <w:rPr>
                <w:rFonts w:ascii="宋体"/>
                <w:vanish/>
              </w:rPr>
            </w:pPr>
          </w:p>
        </w:tc>
        <w:tc>
          <w:tcPr>
            <w:tcW w:w="0" w:type="auto"/>
            <w:gridSpan w:val="3"/>
            <w:shd w:val="clear" w:color="auto" w:fill="auto"/>
            <w:vAlign w:val="bottom"/>
          </w:tcPr>
          <w:p w14:paraId="392C66A1" w14:textId="77777777" w:rsidR="00980E5F" w:rsidRDefault="00980E5F">
            <w:pPr>
              <w:rPr>
                <w:rFonts w:ascii="宋体"/>
                <w:vanish/>
              </w:rPr>
            </w:pPr>
          </w:p>
        </w:tc>
      </w:tr>
      <w:tr w:rsidR="00980E5F" w14:paraId="392C66AF" w14:textId="77777777">
        <w:trPr>
          <w:hidden/>
        </w:trPr>
        <w:tc>
          <w:tcPr>
            <w:tcW w:w="0" w:type="auto"/>
            <w:gridSpan w:val="3"/>
            <w:shd w:val="clear" w:color="auto" w:fill="auto"/>
            <w:vAlign w:val="bottom"/>
          </w:tcPr>
          <w:p w14:paraId="392C66A3" w14:textId="77777777" w:rsidR="00980E5F" w:rsidRDefault="00980E5F">
            <w:pPr>
              <w:rPr>
                <w:rFonts w:ascii="宋体"/>
                <w:vanish/>
              </w:rPr>
            </w:pPr>
          </w:p>
        </w:tc>
        <w:tc>
          <w:tcPr>
            <w:tcW w:w="0" w:type="auto"/>
            <w:gridSpan w:val="3"/>
            <w:shd w:val="clear" w:color="auto" w:fill="auto"/>
            <w:vAlign w:val="bottom"/>
          </w:tcPr>
          <w:p w14:paraId="392C66A4" w14:textId="77777777" w:rsidR="00980E5F" w:rsidRDefault="00980E5F">
            <w:pPr>
              <w:rPr>
                <w:rFonts w:ascii="宋体"/>
                <w:vanish/>
              </w:rPr>
            </w:pPr>
          </w:p>
        </w:tc>
        <w:tc>
          <w:tcPr>
            <w:tcW w:w="0" w:type="auto"/>
            <w:gridSpan w:val="3"/>
            <w:shd w:val="clear" w:color="auto" w:fill="auto"/>
            <w:vAlign w:val="bottom"/>
          </w:tcPr>
          <w:p w14:paraId="392C66A5" w14:textId="77777777" w:rsidR="00980E5F" w:rsidRDefault="00980E5F">
            <w:pPr>
              <w:rPr>
                <w:rFonts w:ascii="宋体"/>
                <w:vanish/>
              </w:rPr>
            </w:pPr>
          </w:p>
        </w:tc>
        <w:tc>
          <w:tcPr>
            <w:tcW w:w="0" w:type="auto"/>
            <w:gridSpan w:val="3"/>
            <w:shd w:val="clear" w:color="auto" w:fill="auto"/>
            <w:vAlign w:val="bottom"/>
          </w:tcPr>
          <w:p w14:paraId="392C66A6" w14:textId="77777777" w:rsidR="00980E5F" w:rsidRDefault="00980E5F">
            <w:pPr>
              <w:rPr>
                <w:rFonts w:ascii="宋体"/>
                <w:vanish/>
              </w:rPr>
            </w:pPr>
          </w:p>
        </w:tc>
        <w:tc>
          <w:tcPr>
            <w:tcW w:w="0" w:type="auto"/>
            <w:gridSpan w:val="3"/>
            <w:shd w:val="clear" w:color="auto" w:fill="auto"/>
            <w:vAlign w:val="bottom"/>
          </w:tcPr>
          <w:p w14:paraId="392C66A7" w14:textId="77777777" w:rsidR="00980E5F" w:rsidRDefault="00980E5F">
            <w:pPr>
              <w:rPr>
                <w:rFonts w:ascii="宋体"/>
                <w:vanish/>
              </w:rPr>
            </w:pPr>
          </w:p>
        </w:tc>
        <w:tc>
          <w:tcPr>
            <w:tcW w:w="0" w:type="auto"/>
            <w:gridSpan w:val="3"/>
            <w:shd w:val="clear" w:color="auto" w:fill="auto"/>
            <w:vAlign w:val="bottom"/>
          </w:tcPr>
          <w:p w14:paraId="392C66A8" w14:textId="77777777" w:rsidR="00980E5F" w:rsidRDefault="00980E5F">
            <w:pPr>
              <w:rPr>
                <w:rFonts w:ascii="宋体"/>
                <w:vanish/>
              </w:rPr>
            </w:pPr>
          </w:p>
        </w:tc>
        <w:tc>
          <w:tcPr>
            <w:tcW w:w="0" w:type="auto"/>
            <w:gridSpan w:val="3"/>
            <w:shd w:val="clear" w:color="auto" w:fill="auto"/>
            <w:vAlign w:val="bottom"/>
          </w:tcPr>
          <w:p w14:paraId="392C66A9" w14:textId="77777777" w:rsidR="00980E5F" w:rsidRDefault="00980E5F">
            <w:pPr>
              <w:rPr>
                <w:rFonts w:ascii="宋体"/>
                <w:vanish/>
              </w:rPr>
            </w:pPr>
          </w:p>
        </w:tc>
        <w:tc>
          <w:tcPr>
            <w:tcW w:w="0" w:type="auto"/>
            <w:gridSpan w:val="3"/>
            <w:shd w:val="clear" w:color="auto" w:fill="auto"/>
            <w:vAlign w:val="bottom"/>
          </w:tcPr>
          <w:p w14:paraId="392C66AA" w14:textId="77777777" w:rsidR="00980E5F" w:rsidRDefault="00980E5F">
            <w:pPr>
              <w:rPr>
                <w:rFonts w:ascii="宋体"/>
                <w:vanish/>
              </w:rPr>
            </w:pPr>
          </w:p>
        </w:tc>
        <w:tc>
          <w:tcPr>
            <w:tcW w:w="0" w:type="auto"/>
            <w:gridSpan w:val="3"/>
            <w:shd w:val="clear" w:color="auto" w:fill="auto"/>
            <w:vAlign w:val="bottom"/>
          </w:tcPr>
          <w:p w14:paraId="392C66AB" w14:textId="77777777" w:rsidR="00980E5F" w:rsidRDefault="00980E5F">
            <w:pPr>
              <w:rPr>
                <w:rFonts w:ascii="宋体"/>
                <w:vanish/>
              </w:rPr>
            </w:pPr>
          </w:p>
        </w:tc>
        <w:tc>
          <w:tcPr>
            <w:tcW w:w="0" w:type="auto"/>
            <w:gridSpan w:val="3"/>
            <w:shd w:val="clear" w:color="auto" w:fill="auto"/>
            <w:vAlign w:val="bottom"/>
          </w:tcPr>
          <w:p w14:paraId="392C66AC" w14:textId="77777777" w:rsidR="00980E5F" w:rsidRDefault="00980E5F">
            <w:pPr>
              <w:rPr>
                <w:rFonts w:ascii="宋体"/>
                <w:vanish/>
              </w:rPr>
            </w:pPr>
          </w:p>
        </w:tc>
        <w:tc>
          <w:tcPr>
            <w:tcW w:w="0" w:type="auto"/>
            <w:gridSpan w:val="3"/>
            <w:shd w:val="clear" w:color="auto" w:fill="auto"/>
            <w:vAlign w:val="bottom"/>
          </w:tcPr>
          <w:p w14:paraId="392C66AD" w14:textId="77777777" w:rsidR="00980E5F" w:rsidRDefault="00980E5F">
            <w:pPr>
              <w:rPr>
                <w:rFonts w:ascii="宋体"/>
                <w:vanish/>
              </w:rPr>
            </w:pPr>
          </w:p>
        </w:tc>
        <w:tc>
          <w:tcPr>
            <w:tcW w:w="0" w:type="auto"/>
            <w:gridSpan w:val="3"/>
            <w:shd w:val="clear" w:color="auto" w:fill="auto"/>
            <w:vAlign w:val="bottom"/>
          </w:tcPr>
          <w:p w14:paraId="392C66AE" w14:textId="77777777" w:rsidR="00980E5F" w:rsidRDefault="00980E5F">
            <w:pPr>
              <w:rPr>
                <w:rFonts w:ascii="宋体"/>
                <w:vanish/>
              </w:rPr>
            </w:pPr>
          </w:p>
        </w:tc>
      </w:tr>
      <w:tr w:rsidR="00980E5F" w14:paraId="392C66BC" w14:textId="77777777">
        <w:trPr>
          <w:hidden/>
        </w:trPr>
        <w:tc>
          <w:tcPr>
            <w:tcW w:w="0" w:type="auto"/>
            <w:gridSpan w:val="3"/>
            <w:shd w:val="clear" w:color="auto" w:fill="auto"/>
            <w:vAlign w:val="bottom"/>
          </w:tcPr>
          <w:p w14:paraId="392C66B0" w14:textId="77777777" w:rsidR="00980E5F" w:rsidRDefault="00980E5F">
            <w:pPr>
              <w:rPr>
                <w:rFonts w:ascii="宋体"/>
                <w:vanish/>
              </w:rPr>
            </w:pPr>
          </w:p>
        </w:tc>
        <w:tc>
          <w:tcPr>
            <w:tcW w:w="0" w:type="auto"/>
            <w:gridSpan w:val="3"/>
            <w:shd w:val="clear" w:color="auto" w:fill="auto"/>
            <w:vAlign w:val="bottom"/>
          </w:tcPr>
          <w:p w14:paraId="392C66B1" w14:textId="77777777" w:rsidR="00980E5F" w:rsidRDefault="00980E5F">
            <w:pPr>
              <w:rPr>
                <w:rFonts w:ascii="宋体"/>
                <w:vanish/>
              </w:rPr>
            </w:pPr>
          </w:p>
        </w:tc>
        <w:tc>
          <w:tcPr>
            <w:tcW w:w="0" w:type="auto"/>
            <w:gridSpan w:val="3"/>
            <w:shd w:val="clear" w:color="auto" w:fill="auto"/>
            <w:vAlign w:val="bottom"/>
          </w:tcPr>
          <w:p w14:paraId="392C66B2" w14:textId="77777777" w:rsidR="00980E5F" w:rsidRDefault="00980E5F">
            <w:pPr>
              <w:rPr>
                <w:rFonts w:ascii="宋体"/>
                <w:vanish/>
              </w:rPr>
            </w:pPr>
          </w:p>
        </w:tc>
        <w:tc>
          <w:tcPr>
            <w:tcW w:w="0" w:type="auto"/>
            <w:gridSpan w:val="3"/>
            <w:shd w:val="clear" w:color="auto" w:fill="auto"/>
            <w:vAlign w:val="bottom"/>
          </w:tcPr>
          <w:p w14:paraId="392C66B3" w14:textId="77777777" w:rsidR="00980E5F" w:rsidRDefault="00980E5F">
            <w:pPr>
              <w:rPr>
                <w:rFonts w:ascii="宋体"/>
                <w:vanish/>
              </w:rPr>
            </w:pPr>
          </w:p>
        </w:tc>
        <w:tc>
          <w:tcPr>
            <w:tcW w:w="0" w:type="auto"/>
            <w:gridSpan w:val="3"/>
            <w:shd w:val="clear" w:color="auto" w:fill="auto"/>
            <w:vAlign w:val="bottom"/>
          </w:tcPr>
          <w:p w14:paraId="392C66B4" w14:textId="77777777" w:rsidR="00980E5F" w:rsidRDefault="00980E5F">
            <w:pPr>
              <w:rPr>
                <w:rFonts w:ascii="宋体"/>
                <w:vanish/>
              </w:rPr>
            </w:pPr>
          </w:p>
        </w:tc>
        <w:tc>
          <w:tcPr>
            <w:tcW w:w="0" w:type="auto"/>
            <w:gridSpan w:val="3"/>
            <w:shd w:val="clear" w:color="auto" w:fill="auto"/>
            <w:vAlign w:val="bottom"/>
          </w:tcPr>
          <w:p w14:paraId="392C66B5" w14:textId="77777777" w:rsidR="00980E5F" w:rsidRDefault="00980E5F">
            <w:pPr>
              <w:rPr>
                <w:rFonts w:ascii="宋体"/>
                <w:vanish/>
              </w:rPr>
            </w:pPr>
          </w:p>
        </w:tc>
        <w:tc>
          <w:tcPr>
            <w:tcW w:w="0" w:type="auto"/>
            <w:gridSpan w:val="3"/>
            <w:shd w:val="clear" w:color="auto" w:fill="auto"/>
            <w:vAlign w:val="bottom"/>
          </w:tcPr>
          <w:p w14:paraId="392C66B6" w14:textId="77777777" w:rsidR="00980E5F" w:rsidRDefault="00980E5F">
            <w:pPr>
              <w:rPr>
                <w:rFonts w:ascii="宋体"/>
                <w:vanish/>
              </w:rPr>
            </w:pPr>
          </w:p>
        </w:tc>
        <w:tc>
          <w:tcPr>
            <w:tcW w:w="0" w:type="auto"/>
            <w:gridSpan w:val="3"/>
            <w:shd w:val="clear" w:color="auto" w:fill="auto"/>
            <w:vAlign w:val="bottom"/>
          </w:tcPr>
          <w:p w14:paraId="392C66B7" w14:textId="77777777" w:rsidR="00980E5F" w:rsidRDefault="00980E5F">
            <w:pPr>
              <w:rPr>
                <w:rFonts w:ascii="宋体"/>
                <w:vanish/>
              </w:rPr>
            </w:pPr>
          </w:p>
        </w:tc>
        <w:tc>
          <w:tcPr>
            <w:tcW w:w="0" w:type="auto"/>
            <w:gridSpan w:val="3"/>
            <w:shd w:val="clear" w:color="auto" w:fill="auto"/>
            <w:vAlign w:val="bottom"/>
          </w:tcPr>
          <w:p w14:paraId="392C66B8" w14:textId="77777777" w:rsidR="00980E5F" w:rsidRDefault="00980E5F">
            <w:pPr>
              <w:rPr>
                <w:rFonts w:ascii="宋体"/>
                <w:vanish/>
              </w:rPr>
            </w:pPr>
          </w:p>
        </w:tc>
        <w:tc>
          <w:tcPr>
            <w:tcW w:w="0" w:type="auto"/>
            <w:gridSpan w:val="3"/>
            <w:shd w:val="clear" w:color="auto" w:fill="auto"/>
            <w:vAlign w:val="bottom"/>
          </w:tcPr>
          <w:p w14:paraId="392C66B9" w14:textId="77777777" w:rsidR="00980E5F" w:rsidRDefault="00980E5F">
            <w:pPr>
              <w:rPr>
                <w:rFonts w:ascii="宋体"/>
                <w:vanish/>
              </w:rPr>
            </w:pPr>
          </w:p>
        </w:tc>
        <w:tc>
          <w:tcPr>
            <w:tcW w:w="0" w:type="auto"/>
            <w:gridSpan w:val="3"/>
            <w:shd w:val="clear" w:color="auto" w:fill="auto"/>
            <w:vAlign w:val="bottom"/>
          </w:tcPr>
          <w:p w14:paraId="392C66BA" w14:textId="77777777" w:rsidR="00980E5F" w:rsidRDefault="00980E5F">
            <w:pPr>
              <w:rPr>
                <w:rFonts w:ascii="宋体"/>
                <w:vanish/>
              </w:rPr>
            </w:pPr>
          </w:p>
        </w:tc>
        <w:tc>
          <w:tcPr>
            <w:tcW w:w="0" w:type="auto"/>
            <w:gridSpan w:val="3"/>
            <w:shd w:val="clear" w:color="auto" w:fill="auto"/>
            <w:vAlign w:val="bottom"/>
          </w:tcPr>
          <w:p w14:paraId="392C66BB" w14:textId="77777777" w:rsidR="00980E5F" w:rsidRDefault="00980E5F">
            <w:pPr>
              <w:rPr>
                <w:rFonts w:ascii="宋体"/>
                <w:vanish/>
              </w:rPr>
            </w:pPr>
          </w:p>
        </w:tc>
      </w:tr>
      <w:tr w:rsidR="00980E5F" w14:paraId="392C66C9" w14:textId="77777777">
        <w:trPr>
          <w:hidden/>
        </w:trPr>
        <w:tc>
          <w:tcPr>
            <w:tcW w:w="0" w:type="auto"/>
            <w:gridSpan w:val="3"/>
            <w:shd w:val="clear" w:color="auto" w:fill="auto"/>
            <w:vAlign w:val="bottom"/>
          </w:tcPr>
          <w:p w14:paraId="392C66BD" w14:textId="77777777" w:rsidR="00980E5F" w:rsidRDefault="00980E5F">
            <w:pPr>
              <w:rPr>
                <w:rFonts w:ascii="宋体"/>
                <w:vanish/>
              </w:rPr>
            </w:pPr>
          </w:p>
        </w:tc>
        <w:tc>
          <w:tcPr>
            <w:tcW w:w="0" w:type="auto"/>
            <w:gridSpan w:val="3"/>
            <w:shd w:val="clear" w:color="auto" w:fill="auto"/>
            <w:vAlign w:val="bottom"/>
          </w:tcPr>
          <w:p w14:paraId="392C66BE" w14:textId="77777777" w:rsidR="00980E5F" w:rsidRDefault="00980E5F">
            <w:pPr>
              <w:rPr>
                <w:rFonts w:ascii="宋体"/>
                <w:vanish/>
              </w:rPr>
            </w:pPr>
          </w:p>
        </w:tc>
        <w:tc>
          <w:tcPr>
            <w:tcW w:w="0" w:type="auto"/>
            <w:gridSpan w:val="3"/>
            <w:shd w:val="clear" w:color="auto" w:fill="auto"/>
            <w:vAlign w:val="bottom"/>
          </w:tcPr>
          <w:p w14:paraId="392C66BF" w14:textId="77777777" w:rsidR="00980E5F" w:rsidRDefault="00980E5F">
            <w:pPr>
              <w:rPr>
                <w:rFonts w:ascii="宋体"/>
                <w:vanish/>
              </w:rPr>
            </w:pPr>
          </w:p>
        </w:tc>
        <w:tc>
          <w:tcPr>
            <w:tcW w:w="0" w:type="auto"/>
            <w:gridSpan w:val="3"/>
            <w:shd w:val="clear" w:color="auto" w:fill="auto"/>
            <w:vAlign w:val="bottom"/>
          </w:tcPr>
          <w:p w14:paraId="392C66C0" w14:textId="77777777" w:rsidR="00980E5F" w:rsidRDefault="00980E5F">
            <w:pPr>
              <w:rPr>
                <w:rFonts w:ascii="宋体"/>
                <w:vanish/>
              </w:rPr>
            </w:pPr>
          </w:p>
        </w:tc>
        <w:tc>
          <w:tcPr>
            <w:tcW w:w="0" w:type="auto"/>
            <w:gridSpan w:val="3"/>
            <w:shd w:val="clear" w:color="auto" w:fill="auto"/>
            <w:vAlign w:val="bottom"/>
          </w:tcPr>
          <w:p w14:paraId="392C66C1" w14:textId="77777777" w:rsidR="00980E5F" w:rsidRDefault="00980E5F">
            <w:pPr>
              <w:rPr>
                <w:rFonts w:ascii="宋体"/>
                <w:vanish/>
              </w:rPr>
            </w:pPr>
          </w:p>
        </w:tc>
        <w:tc>
          <w:tcPr>
            <w:tcW w:w="0" w:type="auto"/>
            <w:gridSpan w:val="3"/>
            <w:shd w:val="clear" w:color="auto" w:fill="auto"/>
            <w:vAlign w:val="bottom"/>
          </w:tcPr>
          <w:p w14:paraId="392C66C2" w14:textId="77777777" w:rsidR="00980E5F" w:rsidRDefault="00980E5F">
            <w:pPr>
              <w:rPr>
                <w:rFonts w:ascii="宋体"/>
                <w:vanish/>
              </w:rPr>
            </w:pPr>
          </w:p>
        </w:tc>
        <w:tc>
          <w:tcPr>
            <w:tcW w:w="0" w:type="auto"/>
            <w:gridSpan w:val="3"/>
            <w:shd w:val="clear" w:color="auto" w:fill="auto"/>
            <w:vAlign w:val="bottom"/>
          </w:tcPr>
          <w:p w14:paraId="392C66C3" w14:textId="77777777" w:rsidR="00980E5F" w:rsidRDefault="00980E5F">
            <w:pPr>
              <w:rPr>
                <w:rFonts w:ascii="宋体"/>
                <w:vanish/>
              </w:rPr>
            </w:pPr>
          </w:p>
        </w:tc>
        <w:tc>
          <w:tcPr>
            <w:tcW w:w="0" w:type="auto"/>
            <w:gridSpan w:val="3"/>
            <w:shd w:val="clear" w:color="auto" w:fill="auto"/>
            <w:vAlign w:val="bottom"/>
          </w:tcPr>
          <w:p w14:paraId="392C66C4" w14:textId="77777777" w:rsidR="00980E5F" w:rsidRDefault="00980E5F">
            <w:pPr>
              <w:rPr>
                <w:rFonts w:ascii="宋体"/>
                <w:vanish/>
              </w:rPr>
            </w:pPr>
          </w:p>
        </w:tc>
        <w:tc>
          <w:tcPr>
            <w:tcW w:w="0" w:type="auto"/>
            <w:gridSpan w:val="3"/>
            <w:shd w:val="clear" w:color="auto" w:fill="auto"/>
            <w:vAlign w:val="bottom"/>
          </w:tcPr>
          <w:p w14:paraId="392C66C5" w14:textId="77777777" w:rsidR="00980E5F" w:rsidRDefault="00980E5F">
            <w:pPr>
              <w:rPr>
                <w:rFonts w:ascii="宋体"/>
                <w:vanish/>
              </w:rPr>
            </w:pPr>
          </w:p>
        </w:tc>
        <w:tc>
          <w:tcPr>
            <w:tcW w:w="0" w:type="auto"/>
            <w:gridSpan w:val="3"/>
            <w:shd w:val="clear" w:color="auto" w:fill="auto"/>
            <w:vAlign w:val="bottom"/>
          </w:tcPr>
          <w:p w14:paraId="392C66C6" w14:textId="77777777" w:rsidR="00980E5F" w:rsidRDefault="00980E5F">
            <w:pPr>
              <w:rPr>
                <w:rFonts w:ascii="宋体"/>
                <w:vanish/>
              </w:rPr>
            </w:pPr>
          </w:p>
        </w:tc>
        <w:tc>
          <w:tcPr>
            <w:tcW w:w="0" w:type="auto"/>
            <w:gridSpan w:val="3"/>
            <w:shd w:val="clear" w:color="auto" w:fill="auto"/>
            <w:vAlign w:val="bottom"/>
          </w:tcPr>
          <w:p w14:paraId="392C66C7" w14:textId="77777777" w:rsidR="00980E5F" w:rsidRDefault="00980E5F">
            <w:pPr>
              <w:rPr>
                <w:rFonts w:ascii="宋体"/>
                <w:vanish/>
              </w:rPr>
            </w:pPr>
          </w:p>
        </w:tc>
        <w:tc>
          <w:tcPr>
            <w:tcW w:w="0" w:type="auto"/>
            <w:gridSpan w:val="3"/>
            <w:shd w:val="clear" w:color="auto" w:fill="auto"/>
            <w:vAlign w:val="bottom"/>
          </w:tcPr>
          <w:p w14:paraId="392C66C8" w14:textId="77777777" w:rsidR="00980E5F" w:rsidRDefault="00980E5F">
            <w:pPr>
              <w:rPr>
                <w:rFonts w:ascii="宋体"/>
                <w:vanish/>
              </w:rPr>
            </w:pPr>
          </w:p>
        </w:tc>
      </w:tr>
      <w:tr w:rsidR="00980E5F" w14:paraId="392C66D6" w14:textId="77777777">
        <w:trPr>
          <w:hidden/>
        </w:trPr>
        <w:tc>
          <w:tcPr>
            <w:tcW w:w="0" w:type="auto"/>
            <w:gridSpan w:val="3"/>
            <w:shd w:val="clear" w:color="auto" w:fill="auto"/>
            <w:vAlign w:val="bottom"/>
          </w:tcPr>
          <w:p w14:paraId="392C66CA" w14:textId="77777777" w:rsidR="00980E5F" w:rsidRDefault="00980E5F">
            <w:pPr>
              <w:rPr>
                <w:rFonts w:ascii="宋体"/>
                <w:vanish/>
              </w:rPr>
            </w:pPr>
          </w:p>
        </w:tc>
        <w:tc>
          <w:tcPr>
            <w:tcW w:w="0" w:type="auto"/>
            <w:gridSpan w:val="3"/>
            <w:shd w:val="clear" w:color="auto" w:fill="auto"/>
            <w:vAlign w:val="bottom"/>
          </w:tcPr>
          <w:p w14:paraId="392C66CB" w14:textId="77777777" w:rsidR="00980E5F" w:rsidRDefault="00980E5F">
            <w:pPr>
              <w:rPr>
                <w:rFonts w:ascii="宋体"/>
                <w:vanish/>
              </w:rPr>
            </w:pPr>
          </w:p>
        </w:tc>
        <w:tc>
          <w:tcPr>
            <w:tcW w:w="0" w:type="auto"/>
            <w:gridSpan w:val="3"/>
            <w:shd w:val="clear" w:color="auto" w:fill="auto"/>
            <w:vAlign w:val="bottom"/>
          </w:tcPr>
          <w:p w14:paraId="392C66CC" w14:textId="77777777" w:rsidR="00980E5F" w:rsidRDefault="00980E5F">
            <w:pPr>
              <w:rPr>
                <w:rFonts w:ascii="宋体"/>
                <w:vanish/>
              </w:rPr>
            </w:pPr>
          </w:p>
        </w:tc>
        <w:tc>
          <w:tcPr>
            <w:tcW w:w="0" w:type="auto"/>
            <w:gridSpan w:val="3"/>
            <w:shd w:val="clear" w:color="auto" w:fill="auto"/>
            <w:vAlign w:val="bottom"/>
          </w:tcPr>
          <w:p w14:paraId="392C66CD" w14:textId="77777777" w:rsidR="00980E5F" w:rsidRDefault="00980E5F">
            <w:pPr>
              <w:rPr>
                <w:rFonts w:ascii="宋体"/>
                <w:vanish/>
              </w:rPr>
            </w:pPr>
          </w:p>
        </w:tc>
        <w:tc>
          <w:tcPr>
            <w:tcW w:w="0" w:type="auto"/>
            <w:gridSpan w:val="3"/>
            <w:shd w:val="clear" w:color="auto" w:fill="auto"/>
            <w:vAlign w:val="bottom"/>
          </w:tcPr>
          <w:p w14:paraId="392C66CE" w14:textId="77777777" w:rsidR="00980E5F" w:rsidRDefault="00980E5F">
            <w:pPr>
              <w:rPr>
                <w:rFonts w:ascii="宋体"/>
                <w:vanish/>
              </w:rPr>
            </w:pPr>
          </w:p>
        </w:tc>
        <w:tc>
          <w:tcPr>
            <w:tcW w:w="0" w:type="auto"/>
            <w:gridSpan w:val="3"/>
            <w:shd w:val="clear" w:color="auto" w:fill="auto"/>
            <w:vAlign w:val="bottom"/>
          </w:tcPr>
          <w:p w14:paraId="392C66CF" w14:textId="77777777" w:rsidR="00980E5F" w:rsidRDefault="00980E5F">
            <w:pPr>
              <w:rPr>
                <w:rFonts w:ascii="宋体"/>
                <w:vanish/>
              </w:rPr>
            </w:pPr>
          </w:p>
        </w:tc>
        <w:tc>
          <w:tcPr>
            <w:tcW w:w="0" w:type="auto"/>
            <w:gridSpan w:val="3"/>
            <w:shd w:val="clear" w:color="auto" w:fill="auto"/>
            <w:vAlign w:val="bottom"/>
          </w:tcPr>
          <w:p w14:paraId="392C66D0" w14:textId="77777777" w:rsidR="00980E5F" w:rsidRDefault="00980E5F">
            <w:pPr>
              <w:rPr>
                <w:rFonts w:ascii="宋体"/>
                <w:vanish/>
              </w:rPr>
            </w:pPr>
          </w:p>
        </w:tc>
        <w:tc>
          <w:tcPr>
            <w:tcW w:w="0" w:type="auto"/>
            <w:gridSpan w:val="3"/>
            <w:shd w:val="clear" w:color="auto" w:fill="auto"/>
            <w:vAlign w:val="bottom"/>
          </w:tcPr>
          <w:p w14:paraId="392C66D1" w14:textId="77777777" w:rsidR="00980E5F" w:rsidRDefault="00980E5F">
            <w:pPr>
              <w:rPr>
                <w:rFonts w:ascii="宋体"/>
                <w:vanish/>
              </w:rPr>
            </w:pPr>
          </w:p>
        </w:tc>
        <w:tc>
          <w:tcPr>
            <w:tcW w:w="0" w:type="auto"/>
            <w:gridSpan w:val="3"/>
            <w:shd w:val="clear" w:color="auto" w:fill="auto"/>
            <w:vAlign w:val="bottom"/>
          </w:tcPr>
          <w:p w14:paraId="392C66D2" w14:textId="77777777" w:rsidR="00980E5F" w:rsidRDefault="00980E5F">
            <w:pPr>
              <w:rPr>
                <w:rFonts w:ascii="宋体"/>
                <w:vanish/>
              </w:rPr>
            </w:pPr>
          </w:p>
        </w:tc>
        <w:tc>
          <w:tcPr>
            <w:tcW w:w="0" w:type="auto"/>
            <w:gridSpan w:val="3"/>
            <w:shd w:val="clear" w:color="auto" w:fill="auto"/>
            <w:vAlign w:val="bottom"/>
          </w:tcPr>
          <w:p w14:paraId="392C66D3" w14:textId="77777777" w:rsidR="00980E5F" w:rsidRDefault="00980E5F">
            <w:pPr>
              <w:rPr>
                <w:rFonts w:ascii="宋体"/>
                <w:vanish/>
              </w:rPr>
            </w:pPr>
          </w:p>
        </w:tc>
        <w:tc>
          <w:tcPr>
            <w:tcW w:w="0" w:type="auto"/>
            <w:gridSpan w:val="3"/>
            <w:shd w:val="clear" w:color="auto" w:fill="auto"/>
            <w:vAlign w:val="bottom"/>
          </w:tcPr>
          <w:p w14:paraId="392C66D4" w14:textId="77777777" w:rsidR="00980E5F" w:rsidRDefault="00980E5F">
            <w:pPr>
              <w:rPr>
                <w:rFonts w:ascii="宋体"/>
                <w:vanish/>
              </w:rPr>
            </w:pPr>
          </w:p>
        </w:tc>
        <w:tc>
          <w:tcPr>
            <w:tcW w:w="0" w:type="auto"/>
            <w:gridSpan w:val="3"/>
            <w:shd w:val="clear" w:color="auto" w:fill="auto"/>
            <w:vAlign w:val="bottom"/>
          </w:tcPr>
          <w:p w14:paraId="392C66D5" w14:textId="77777777" w:rsidR="00980E5F" w:rsidRDefault="00980E5F">
            <w:pPr>
              <w:rPr>
                <w:rFonts w:ascii="宋体"/>
                <w:vanish/>
              </w:rPr>
            </w:pPr>
          </w:p>
        </w:tc>
      </w:tr>
      <w:tr w:rsidR="00980E5F" w14:paraId="392C66E3" w14:textId="77777777">
        <w:trPr>
          <w:hidden/>
        </w:trPr>
        <w:tc>
          <w:tcPr>
            <w:tcW w:w="0" w:type="auto"/>
            <w:gridSpan w:val="3"/>
            <w:shd w:val="clear" w:color="auto" w:fill="auto"/>
            <w:vAlign w:val="bottom"/>
          </w:tcPr>
          <w:p w14:paraId="392C66D7" w14:textId="77777777" w:rsidR="00980E5F" w:rsidRDefault="00980E5F">
            <w:pPr>
              <w:rPr>
                <w:rFonts w:ascii="宋体"/>
                <w:vanish/>
              </w:rPr>
            </w:pPr>
          </w:p>
        </w:tc>
        <w:tc>
          <w:tcPr>
            <w:tcW w:w="0" w:type="auto"/>
            <w:gridSpan w:val="3"/>
            <w:shd w:val="clear" w:color="auto" w:fill="auto"/>
            <w:vAlign w:val="bottom"/>
          </w:tcPr>
          <w:p w14:paraId="392C66D8" w14:textId="77777777" w:rsidR="00980E5F" w:rsidRDefault="00980E5F">
            <w:pPr>
              <w:rPr>
                <w:rFonts w:ascii="宋体"/>
                <w:vanish/>
              </w:rPr>
            </w:pPr>
          </w:p>
        </w:tc>
        <w:tc>
          <w:tcPr>
            <w:tcW w:w="0" w:type="auto"/>
            <w:gridSpan w:val="3"/>
            <w:shd w:val="clear" w:color="auto" w:fill="auto"/>
            <w:vAlign w:val="bottom"/>
          </w:tcPr>
          <w:p w14:paraId="392C66D9" w14:textId="77777777" w:rsidR="00980E5F" w:rsidRDefault="00980E5F">
            <w:pPr>
              <w:rPr>
                <w:rFonts w:ascii="宋体"/>
                <w:vanish/>
              </w:rPr>
            </w:pPr>
          </w:p>
        </w:tc>
        <w:tc>
          <w:tcPr>
            <w:tcW w:w="0" w:type="auto"/>
            <w:gridSpan w:val="3"/>
            <w:shd w:val="clear" w:color="auto" w:fill="auto"/>
            <w:vAlign w:val="bottom"/>
          </w:tcPr>
          <w:p w14:paraId="392C66DA" w14:textId="77777777" w:rsidR="00980E5F" w:rsidRDefault="00980E5F">
            <w:pPr>
              <w:rPr>
                <w:rFonts w:ascii="宋体"/>
                <w:vanish/>
              </w:rPr>
            </w:pPr>
          </w:p>
        </w:tc>
        <w:tc>
          <w:tcPr>
            <w:tcW w:w="0" w:type="auto"/>
            <w:gridSpan w:val="3"/>
            <w:shd w:val="clear" w:color="auto" w:fill="auto"/>
            <w:vAlign w:val="bottom"/>
          </w:tcPr>
          <w:p w14:paraId="392C66DB" w14:textId="77777777" w:rsidR="00980E5F" w:rsidRDefault="00980E5F">
            <w:pPr>
              <w:rPr>
                <w:rFonts w:ascii="宋体"/>
                <w:vanish/>
              </w:rPr>
            </w:pPr>
          </w:p>
        </w:tc>
        <w:tc>
          <w:tcPr>
            <w:tcW w:w="0" w:type="auto"/>
            <w:gridSpan w:val="3"/>
            <w:shd w:val="clear" w:color="auto" w:fill="auto"/>
            <w:vAlign w:val="bottom"/>
          </w:tcPr>
          <w:p w14:paraId="392C66DC" w14:textId="77777777" w:rsidR="00980E5F" w:rsidRDefault="00980E5F">
            <w:pPr>
              <w:rPr>
                <w:rFonts w:ascii="宋体"/>
                <w:vanish/>
              </w:rPr>
            </w:pPr>
          </w:p>
        </w:tc>
        <w:tc>
          <w:tcPr>
            <w:tcW w:w="0" w:type="auto"/>
            <w:gridSpan w:val="3"/>
            <w:shd w:val="clear" w:color="auto" w:fill="auto"/>
            <w:vAlign w:val="bottom"/>
          </w:tcPr>
          <w:p w14:paraId="392C66DD" w14:textId="77777777" w:rsidR="00980E5F" w:rsidRDefault="00980E5F">
            <w:pPr>
              <w:rPr>
                <w:rFonts w:ascii="宋体"/>
                <w:vanish/>
              </w:rPr>
            </w:pPr>
          </w:p>
        </w:tc>
        <w:tc>
          <w:tcPr>
            <w:tcW w:w="0" w:type="auto"/>
            <w:gridSpan w:val="3"/>
            <w:shd w:val="clear" w:color="auto" w:fill="auto"/>
            <w:vAlign w:val="bottom"/>
          </w:tcPr>
          <w:p w14:paraId="392C66DE" w14:textId="77777777" w:rsidR="00980E5F" w:rsidRDefault="00980E5F">
            <w:pPr>
              <w:rPr>
                <w:rFonts w:ascii="宋体"/>
                <w:vanish/>
              </w:rPr>
            </w:pPr>
          </w:p>
        </w:tc>
        <w:tc>
          <w:tcPr>
            <w:tcW w:w="0" w:type="auto"/>
            <w:gridSpan w:val="3"/>
            <w:shd w:val="clear" w:color="auto" w:fill="auto"/>
            <w:vAlign w:val="bottom"/>
          </w:tcPr>
          <w:p w14:paraId="392C66DF" w14:textId="77777777" w:rsidR="00980E5F" w:rsidRDefault="00980E5F">
            <w:pPr>
              <w:rPr>
                <w:rFonts w:ascii="宋体"/>
                <w:vanish/>
              </w:rPr>
            </w:pPr>
          </w:p>
        </w:tc>
        <w:tc>
          <w:tcPr>
            <w:tcW w:w="0" w:type="auto"/>
            <w:gridSpan w:val="3"/>
            <w:shd w:val="clear" w:color="auto" w:fill="auto"/>
            <w:vAlign w:val="bottom"/>
          </w:tcPr>
          <w:p w14:paraId="392C66E0" w14:textId="77777777" w:rsidR="00980E5F" w:rsidRDefault="00980E5F">
            <w:pPr>
              <w:rPr>
                <w:rFonts w:ascii="宋体"/>
                <w:vanish/>
              </w:rPr>
            </w:pPr>
          </w:p>
        </w:tc>
        <w:tc>
          <w:tcPr>
            <w:tcW w:w="0" w:type="auto"/>
            <w:gridSpan w:val="3"/>
            <w:shd w:val="clear" w:color="auto" w:fill="auto"/>
            <w:vAlign w:val="bottom"/>
          </w:tcPr>
          <w:p w14:paraId="392C66E1" w14:textId="77777777" w:rsidR="00980E5F" w:rsidRDefault="00980E5F">
            <w:pPr>
              <w:rPr>
                <w:rFonts w:ascii="宋体"/>
                <w:vanish/>
              </w:rPr>
            </w:pPr>
          </w:p>
        </w:tc>
        <w:tc>
          <w:tcPr>
            <w:tcW w:w="0" w:type="auto"/>
            <w:gridSpan w:val="3"/>
            <w:shd w:val="clear" w:color="auto" w:fill="auto"/>
            <w:vAlign w:val="bottom"/>
          </w:tcPr>
          <w:p w14:paraId="392C66E2" w14:textId="77777777" w:rsidR="00980E5F" w:rsidRDefault="00980E5F">
            <w:pPr>
              <w:rPr>
                <w:rFonts w:ascii="宋体"/>
                <w:vanish/>
              </w:rPr>
            </w:pPr>
          </w:p>
        </w:tc>
      </w:tr>
      <w:tr w:rsidR="00980E5F" w14:paraId="392C66F0" w14:textId="77777777">
        <w:trPr>
          <w:hidden/>
        </w:trPr>
        <w:tc>
          <w:tcPr>
            <w:tcW w:w="0" w:type="auto"/>
            <w:gridSpan w:val="3"/>
            <w:shd w:val="clear" w:color="auto" w:fill="auto"/>
            <w:vAlign w:val="bottom"/>
          </w:tcPr>
          <w:p w14:paraId="392C66E4" w14:textId="77777777" w:rsidR="00980E5F" w:rsidRDefault="00980E5F">
            <w:pPr>
              <w:rPr>
                <w:rFonts w:ascii="宋体"/>
                <w:vanish/>
              </w:rPr>
            </w:pPr>
          </w:p>
        </w:tc>
        <w:tc>
          <w:tcPr>
            <w:tcW w:w="0" w:type="auto"/>
            <w:gridSpan w:val="3"/>
            <w:shd w:val="clear" w:color="auto" w:fill="auto"/>
            <w:vAlign w:val="bottom"/>
          </w:tcPr>
          <w:p w14:paraId="392C66E5" w14:textId="77777777" w:rsidR="00980E5F" w:rsidRDefault="00980E5F">
            <w:pPr>
              <w:rPr>
                <w:rFonts w:ascii="宋体"/>
                <w:vanish/>
              </w:rPr>
            </w:pPr>
          </w:p>
        </w:tc>
        <w:tc>
          <w:tcPr>
            <w:tcW w:w="0" w:type="auto"/>
            <w:gridSpan w:val="3"/>
            <w:shd w:val="clear" w:color="auto" w:fill="auto"/>
            <w:vAlign w:val="bottom"/>
          </w:tcPr>
          <w:p w14:paraId="392C66E6" w14:textId="77777777" w:rsidR="00980E5F" w:rsidRDefault="00980E5F">
            <w:pPr>
              <w:rPr>
                <w:rFonts w:ascii="宋体"/>
                <w:vanish/>
              </w:rPr>
            </w:pPr>
          </w:p>
        </w:tc>
        <w:tc>
          <w:tcPr>
            <w:tcW w:w="0" w:type="auto"/>
            <w:gridSpan w:val="3"/>
            <w:shd w:val="clear" w:color="auto" w:fill="auto"/>
            <w:vAlign w:val="bottom"/>
          </w:tcPr>
          <w:p w14:paraId="392C66E7" w14:textId="77777777" w:rsidR="00980E5F" w:rsidRDefault="00980E5F">
            <w:pPr>
              <w:rPr>
                <w:rFonts w:ascii="宋体"/>
                <w:vanish/>
              </w:rPr>
            </w:pPr>
          </w:p>
        </w:tc>
        <w:tc>
          <w:tcPr>
            <w:tcW w:w="0" w:type="auto"/>
            <w:gridSpan w:val="3"/>
            <w:shd w:val="clear" w:color="auto" w:fill="auto"/>
            <w:vAlign w:val="bottom"/>
          </w:tcPr>
          <w:p w14:paraId="392C66E8" w14:textId="77777777" w:rsidR="00980E5F" w:rsidRDefault="00980E5F">
            <w:pPr>
              <w:rPr>
                <w:rFonts w:ascii="宋体"/>
                <w:vanish/>
              </w:rPr>
            </w:pPr>
          </w:p>
        </w:tc>
        <w:tc>
          <w:tcPr>
            <w:tcW w:w="0" w:type="auto"/>
            <w:gridSpan w:val="3"/>
            <w:shd w:val="clear" w:color="auto" w:fill="auto"/>
            <w:vAlign w:val="bottom"/>
          </w:tcPr>
          <w:p w14:paraId="392C66E9" w14:textId="77777777" w:rsidR="00980E5F" w:rsidRDefault="00980E5F">
            <w:pPr>
              <w:rPr>
                <w:rFonts w:ascii="宋体"/>
                <w:vanish/>
              </w:rPr>
            </w:pPr>
          </w:p>
        </w:tc>
        <w:tc>
          <w:tcPr>
            <w:tcW w:w="0" w:type="auto"/>
            <w:gridSpan w:val="3"/>
            <w:shd w:val="clear" w:color="auto" w:fill="auto"/>
            <w:vAlign w:val="bottom"/>
          </w:tcPr>
          <w:p w14:paraId="392C66EA" w14:textId="77777777" w:rsidR="00980E5F" w:rsidRDefault="00980E5F">
            <w:pPr>
              <w:rPr>
                <w:rFonts w:ascii="宋体"/>
                <w:vanish/>
              </w:rPr>
            </w:pPr>
          </w:p>
        </w:tc>
        <w:tc>
          <w:tcPr>
            <w:tcW w:w="0" w:type="auto"/>
            <w:gridSpan w:val="3"/>
            <w:shd w:val="clear" w:color="auto" w:fill="auto"/>
            <w:vAlign w:val="bottom"/>
          </w:tcPr>
          <w:p w14:paraId="392C66EB" w14:textId="77777777" w:rsidR="00980E5F" w:rsidRDefault="00980E5F">
            <w:pPr>
              <w:rPr>
                <w:rFonts w:ascii="宋体"/>
                <w:vanish/>
              </w:rPr>
            </w:pPr>
          </w:p>
        </w:tc>
        <w:tc>
          <w:tcPr>
            <w:tcW w:w="0" w:type="auto"/>
            <w:gridSpan w:val="3"/>
            <w:shd w:val="clear" w:color="auto" w:fill="auto"/>
            <w:vAlign w:val="bottom"/>
          </w:tcPr>
          <w:p w14:paraId="392C66EC" w14:textId="77777777" w:rsidR="00980E5F" w:rsidRDefault="00980E5F">
            <w:pPr>
              <w:rPr>
                <w:rFonts w:ascii="宋体"/>
                <w:vanish/>
              </w:rPr>
            </w:pPr>
          </w:p>
        </w:tc>
        <w:tc>
          <w:tcPr>
            <w:tcW w:w="0" w:type="auto"/>
            <w:gridSpan w:val="3"/>
            <w:shd w:val="clear" w:color="auto" w:fill="auto"/>
            <w:vAlign w:val="bottom"/>
          </w:tcPr>
          <w:p w14:paraId="392C66ED" w14:textId="77777777" w:rsidR="00980E5F" w:rsidRDefault="00980E5F">
            <w:pPr>
              <w:rPr>
                <w:rFonts w:ascii="宋体"/>
                <w:vanish/>
              </w:rPr>
            </w:pPr>
          </w:p>
        </w:tc>
        <w:tc>
          <w:tcPr>
            <w:tcW w:w="0" w:type="auto"/>
            <w:gridSpan w:val="3"/>
            <w:shd w:val="clear" w:color="auto" w:fill="auto"/>
            <w:vAlign w:val="bottom"/>
          </w:tcPr>
          <w:p w14:paraId="392C66EE" w14:textId="77777777" w:rsidR="00980E5F" w:rsidRDefault="00980E5F">
            <w:pPr>
              <w:rPr>
                <w:rFonts w:ascii="宋体"/>
                <w:vanish/>
              </w:rPr>
            </w:pPr>
          </w:p>
        </w:tc>
        <w:tc>
          <w:tcPr>
            <w:tcW w:w="0" w:type="auto"/>
            <w:gridSpan w:val="3"/>
            <w:shd w:val="clear" w:color="auto" w:fill="auto"/>
            <w:vAlign w:val="bottom"/>
          </w:tcPr>
          <w:p w14:paraId="392C66EF" w14:textId="77777777" w:rsidR="00980E5F" w:rsidRDefault="00980E5F">
            <w:pPr>
              <w:rPr>
                <w:rFonts w:ascii="宋体"/>
                <w:vanish/>
              </w:rPr>
            </w:pPr>
          </w:p>
        </w:tc>
      </w:tr>
      <w:tr w:rsidR="00980E5F" w14:paraId="392C66FD" w14:textId="77777777">
        <w:trPr>
          <w:hidden/>
        </w:trPr>
        <w:tc>
          <w:tcPr>
            <w:tcW w:w="0" w:type="auto"/>
            <w:gridSpan w:val="3"/>
            <w:shd w:val="clear" w:color="auto" w:fill="auto"/>
            <w:vAlign w:val="bottom"/>
          </w:tcPr>
          <w:p w14:paraId="392C66F1" w14:textId="77777777" w:rsidR="00980E5F" w:rsidRDefault="00980E5F">
            <w:pPr>
              <w:rPr>
                <w:rFonts w:ascii="宋体"/>
                <w:vanish/>
              </w:rPr>
            </w:pPr>
          </w:p>
        </w:tc>
        <w:tc>
          <w:tcPr>
            <w:tcW w:w="0" w:type="auto"/>
            <w:gridSpan w:val="3"/>
            <w:shd w:val="clear" w:color="auto" w:fill="auto"/>
            <w:vAlign w:val="bottom"/>
          </w:tcPr>
          <w:p w14:paraId="392C66F2" w14:textId="77777777" w:rsidR="00980E5F" w:rsidRDefault="00980E5F">
            <w:pPr>
              <w:rPr>
                <w:rFonts w:ascii="宋体"/>
                <w:vanish/>
              </w:rPr>
            </w:pPr>
          </w:p>
        </w:tc>
        <w:tc>
          <w:tcPr>
            <w:tcW w:w="0" w:type="auto"/>
            <w:gridSpan w:val="3"/>
            <w:shd w:val="clear" w:color="auto" w:fill="auto"/>
            <w:vAlign w:val="bottom"/>
          </w:tcPr>
          <w:p w14:paraId="392C66F3" w14:textId="77777777" w:rsidR="00980E5F" w:rsidRDefault="00980E5F">
            <w:pPr>
              <w:rPr>
                <w:rFonts w:ascii="宋体"/>
                <w:vanish/>
              </w:rPr>
            </w:pPr>
          </w:p>
        </w:tc>
        <w:tc>
          <w:tcPr>
            <w:tcW w:w="0" w:type="auto"/>
            <w:gridSpan w:val="3"/>
            <w:shd w:val="clear" w:color="auto" w:fill="auto"/>
            <w:vAlign w:val="bottom"/>
          </w:tcPr>
          <w:p w14:paraId="392C66F4" w14:textId="77777777" w:rsidR="00980E5F" w:rsidRDefault="00980E5F">
            <w:pPr>
              <w:rPr>
                <w:rFonts w:ascii="宋体"/>
                <w:vanish/>
              </w:rPr>
            </w:pPr>
          </w:p>
        </w:tc>
        <w:tc>
          <w:tcPr>
            <w:tcW w:w="0" w:type="auto"/>
            <w:gridSpan w:val="3"/>
            <w:shd w:val="clear" w:color="auto" w:fill="auto"/>
            <w:vAlign w:val="bottom"/>
          </w:tcPr>
          <w:p w14:paraId="392C66F5" w14:textId="77777777" w:rsidR="00980E5F" w:rsidRDefault="00980E5F">
            <w:pPr>
              <w:rPr>
                <w:rFonts w:ascii="宋体"/>
                <w:vanish/>
              </w:rPr>
            </w:pPr>
          </w:p>
        </w:tc>
        <w:tc>
          <w:tcPr>
            <w:tcW w:w="0" w:type="auto"/>
            <w:gridSpan w:val="3"/>
            <w:shd w:val="clear" w:color="auto" w:fill="auto"/>
            <w:vAlign w:val="bottom"/>
          </w:tcPr>
          <w:p w14:paraId="392C66F6" w14:textId="77777777" w:rsidR="00980E5F" w:rsidRDefault="00980E5F">
            <w:pPr>
              <w:rPr>
                <w:rFonts w:ascii="宋体"/>
                <w:vanish/>
              </w:rPr>
            </w:pPr>
          </w:p>
        </w:tc>
        <w:tc>
          <w:tcPr>
            <w:tcW w:w="0" w:type="auto"/>
            <w:gridSpan w:val="3"/>
            <w:shd w:val="clear" w:color="auto" w:fill="auto"/>
            <w:vAlign w:val="bottom"/>
          </w:tcPr>
          <w:p w14:paraId="392C66F7" w14:textId="77777777" w:rsidR="00980E5F" w:rsidRDefault="00980E5F">
            <w:pPr>
              <w:rPr>
                <w:rFonts w:ascii="宋体"/>
                <w:vanish/>
              </w:rPr>
            </w:pPr>
          </w:p>
        </w:tc>
        <w:tc>
          <w:tcPr>
            <w:tcW w:w="0" w:type="auto"/>
            <w:gridSpan w:val="3"/>
            <w:shd w:val="clear" w:color="auto" w:fill="auto"/>
            <w:vAlign w:val="bottom"/>
          </w:tcPr>
          <w:p w14:paraId="392C66F8" w14:textId="77777777" w:rsidR="00980E5F" w:rsidRDefault="00980E5F">
            <w:pPr>
              <w:rPr>
                <w:rFonts w:ascii="宋体"/>
                <w:vanish/>
              </w:rPr>
            </w:pPr>
          </w:p>
        </w:tc>
        <w:tc>
          <w:tcPr>
            <w:tcW w:w="0" w:type="auto"/>
            <w:gridSpan w:val="3"/>
            <w:shd w:val="clear" w:color="auto" w:fill="auto"/>
            <w:vAlign w:val="bottom"/>
          </w:tcPr>
          <w:p w14:paraId="392C66F9" w14:textId="77777777" w:rsidR="00980E5F" w:rsidRDefault="00980E5F">
            <w:pPr>
              <w:rPr>
                <w:rFonts w:ascii="宋体"/>
                <w:vanish/>
              </w:rPr>
            </w:pPr>
          </w:p>
        </w:tc>
        <w:tc>
          <w:tcPr>
            <w:tcW w:w="0" w:type="auto"/>
            <w:gridSpan w:val="3"/>
            <w:shd w:val="clear" w:color="auto" w:fill="auto"/>
            <w:vAlign w:val="bottom"/>
          </w:tcPr>
          <w:p w14:paraId="392C66FA" w14:textId="77777777" w:rsidR="00980E5F" w:rsidRDefault="00980E5F">
            <w:pPr>
              <w:rPr>
                <w:rFonts w:ascii="宋体"/>
                <w:vanish/>
              </w:rPr>
            </w:pPr>
          </w:p>
        </w:tc>
        <w:tc>
          <w:tcPr>
            <w:tcW w:w="0" w:type="auto"/>
            <w:gridSpan w:val="3"/>
            <w:shd w:val="clear" w:color="auto" w:fill="auto"/>
            <w:vAlign w:val="bottom"/>
          </w:tcPr>
          <w:p w14:paraId="392C66FB" w14:textId="77777777" w:rsidR="00980E5F" w:rsidRDefault="00980E5F">
            <w:pPr>
              <w:rPr>
                <w:rFonts w:ascii="宋体"/>
                <w:vanish/>
              </w:rPr>
            </w:pPr>
          </w:p>
        </w:tc>
        <w:tc>
          <w:tcPr>
            <w:tcW w:w="0" w:type="auto"/>
            <w:gridSpan w:val="3"/>
            <w:shd w:val="clear" w:color="auto" w:fill="auto"/>
            <w:vAlign w:val="bottom"/>
          </w:tcPr>
          <w:p w14:paraId="392C66FC" w14:textId="77777777" w:rsidR="00980E5F" w:rsidRDefault="00980E5F">
            <w:pPr>
              <w:rPr>
                <w:rFonts w:ascii="宋体"/>
                <w:vanish/>
              </w:rPr>
            </w:pPr>
          </w:p>
        </w:tc>
      </w:tr>
      <w:tr w:rsidR="00980E5F" w14:paraId="392C670A" w14:textId="77777777">
        <w:trPr>
          <w:hidden/>
        </w:trPr>
        <w:tc>
          <w:tcPr>
            <w:tcW w:w="0" w:type="auto"/>
            <w:gridSpan w:val="3"/>
            <w:shd w:val="clear" w:color="auto" w:fill="auto"/>
            <w:vAlign w:val="bottom"/>
          </w:tcPr>
          <w:p w14:paraId="392C66FE" w14:textId="77777777" w:rsidR="00980E5F" w:rsidRDefault="00980E5F">
            <w:pPr>
              <w:rPr>
                <w:rFonts w:ascii="宋体"/>
                <w:vanish/>
              </w:rPr>
            </w:pPr>
          </w:p>
        </w:tc>
        <w:tc>
          <w:tcPr>
            <w:tcW w:w="0" w:type="auto"/>
            <w:gridSpan w:val="3"/>
            <w:shd w:val="clear" w:color="auto" w:fill="auto"/>
            <w:vAlign w:val="bottom"/>
          </w:tcPr>
          <w:p w14:paraId="392C66FF" w14:textId="77777777" w:rsidR="00980E5F" w:rsidRDefault="00980E5F">
            <w:pPr>
              <w:rPr>
                <w:rFonts w:ascii="宋体"/>
                <w:vanish/>
              </w:rPr>
            </w:pPr>
          </w:p>
        </w:tc>
        <w:tc>
          <w:tcPr>
            <w:tcW w:w="0" w:type="auto"/>
            <w:gridSpan w:val="3"/>
            <w:shd w:val="clear" w:color="auto" w:fill="auto"/>
            <w:vAlign w:val="bottom"/>
          </w:tcPr>
          <w:p w14:paraId="392C6700" w14:textId="77777777" w:rsidR="00980E5F" w:rsidRDefault="00980E5F">
            <w:pPr>
              <w:rPr>
                <w:rFonts w:ascii="宋体"/>
                <w:vanish/>
              </w:rPr>
            </w:pPr>
          </w:p>
        </w:tc>
        <w:tc>
          <w:tcPr>
            <w:tcW w:w="0" w:type="auto"/>
            <w:gridSpan w:val="3"/>
            <w:shd w:val="clear" w:color="auto" w:fill="auto"/>
            <w:vAlign w:val="bottom"/>
          </w:tcPr>
          <w:p w14:paraId="392C6701" w14:textId="77777777" w:rsidR="00980E5F" w:rsidRDefault="00980E5F">
            <w:pPr>
              <w:rPr>
                <w:rFonts w:ascii="宋体"/>
                <w:vanish/>
              </w:rPr>
            </w:pPr>
          </w:p>
        </w:tc>
        <w:tc>
          <w:tcPr>
            <w:tcW w:w="0" w:type="auto"/>
            <w:gridSpan w:val="3"/>
            <w:shd w:val="clear" w:color="auto" w:fill="auto"/>
            <w:vAlign w:val="bottom"/>
          </w:tcPr>
          <w:p w14:paraId="392C6702" w14:textId="77777777" w:rsidR="00980E5F" w:rsidRDefault="00980E5F">
            <w:pPr>
              <w:rPr>
                <w:rFonts w:ascii="宋体"/>
                <w:vanish/>
              </w:rPr>
            </w:pPr>
          </w:p>
        </w:tc>
        <w:tc>
          <w:tcPr>
            <w:tcW w:w="0" w:type="auto"/>
            <w:gridSpan w:val="3"/>
            <w:shd w:val="clear" w:color="auto" w:fill="auto"/>
            <w:vAlign w:val="bottom"/>
          </w:tcPr>
          <w:p w14:paraId="392C6703" w14:textId="77777777" w:rsidR="00980E5F" w:rsidRDefault="00980E5F">
            <w:pPr>
              <w:rPr>
                <w:rFonts w:ascii="宋体"/>
                <w:vanish/>
              </w:rPr>
            </w:pPr>
          </w:p>
        </w:tc>
        <w:tc>
          <w:tcPr>
            <w:tcW w:w="0" w:type="auto"/>
            <w:gridSpan w:val="3"/>
            <w:shd w:val="clear" w:color="auto" w:fill="auto"/>
            <w:vAlign w:val="bottom"/>
          </w:tcPr>
          <w:p w14:paraId="392C6704" w14:textId="77777777" w:rsidR="00980E5F" w:rsidRDefault="00980E5F">
            <w:pPr>
              <w:rPr>
                <w:rFonts w:ascii="宋体"/>
                <w:vanish/>
              </w:rPr>
            </w:pPr>
          </w:p>
        </w:tc>
        <w:tc>
          <w:tcPr>
            <w:tcW w:w="0" w:type="auto"/>
            <w:gridSpan w:val="3"/>
            <w:shd w:val="clear" w:color="auto" w:fill="auto"/>
            <w:vAlign w:val="bottom"/>
          </w:tcPr>
          <w:p w14:paraId="392C6705" w14:textId="77777777" w:rsidR="00980E5F" w:rsidRDefault="00980E5F">
            <w:pPr>
              <w:rPr>
                <w:rFonts w:ascii="宋体"/>
                <w:vanish/>
              </w:rPr>
            </w:pPr>
          </w:p>
        </w:tc>
        <w:tc>
          <w:tcPr>
            <w:tcW w:w="0" w:type="auto"/>
            <w:gridSpan w:val="3"/>
            <w:shd w:val="clear" w:color="auto" w:fill="auto"/>
            <w:vAlign w:val="bottom"/>
          </w:tcPr>
          <w:p w14:paraId="392C6706" w14:textId="77777777" w:rsidR="00980E5F" w:rsidRDefault="00980E5F">
            <w:pPr>
              <w:rPr>
                <w:rFonts w:ascii="宋体"/>
                <w:vanish/>
              </w:rPr>
            </w:pPr>
          </w:p>
        </w:tc>
        <w:tc>
          <w:tcPr>
            <w:tcW w:w="0" w:type="auto"/>
            <w:gridSpan w:val="3"/>
            <w:shd w:val="clear" w:color="auto" w:fill="auto"/>
            <w:vAlign w:val="bottom"/>
          </w:tcPr>
          <w:p w14:paraId="392C6707" w14:textId="77777777" w:rsidR="00980E5F" w:rsidRDefault="00980E5F">
            <w:pPr>
              <w:rPr>
                <w:rFonts w:ascii="宋体"/>
                <w:vanish/>
              </w:rPr>
            </w:pPr>
          </w:p>
        </w:tc>
        <w:tc>
          <w:tcPr>
            <w:tcW w:w="0" w:type="auto"/>
            <w:gridSpan w:val="3"/>
            <w:shd w:val="clear" w:color="auto" w:fill="auto"/>
            <w:vAlign w:val="bottom"/>
          </w:tcPr>
          <w:p w14:paraId="392C6708" w14:textId="77777777" w:rsidR="00980E5F" w:rsidRDefault="00980E5F">
            <w:pPr>
              <w:rPr>
                <w:rFonts w:ascii="宋体"/>
                <w:vanish/>
              </w:rPr>
            </w:pPr>
          </w:p>
        </w:tc>
        <w:tc>
          <w:tcPr>
            <w:tcW w:w="0" w:type="auto"/>
            <w:gridSpan w:val="3"/>
            <w:shd w:val="clear" w:color="auto" w:fill="auto"/>
            <w:vAlign w:val="bottom"/>
          </w:tcPr>
          <w:p w14:paraId="392C6709" w14:textId="77777777" w:rsidR="00980E5F" w:rsidRDefault="00980E5F">
            <w:pPr>
              <w:rPr>
                <w:rFonts w:ascii="宋体"/>
                <w:vanish/>
              </w:rPr>
            </w:pPr>
          </w:p>
        </w:tc>
      </w:tr>
      <w:tr w:rsidR="00980E5F" w14:paraId="392C6717" w14:textId="77777777">
        <w:trPr>
          <w:hidden/>
        </w:trPr>
        <w:tc>
          <w:tcPr>
            <w:tcW w:w="0" w:type="auto"/>
            <w:gridSpan w:val="3"/>
            <w:shd w:val="clear" w:color="auto" w:fill="auto"/>
            <w:vAlign w:val="bottom"/>
          </w:tcPr>
          <w:p w14:paraId="392C670B" w14:textId="77777777" w:rsidR="00980E5F" w:rsidRDefault="00980E5F">
            <w:pPr>
              <w:rPr>
                <w:rFonts w:ascii="宋体"/>
                <w:vanish/>
              </w:rPr>
            </w:pPr>
          </w:p>
        </w:tc>
        <w:tc>
          <w:tcPr>
            <w:tcW w:w="0" w:type="auto"/>
            <w:gridSpan w:val="3"/>
            <w:shd w:val="clear" w:color="auto" w:fill="auto"/>
            <w:vAlign w:val="bottom"/>
          </w:tcPr>
          <w:p w14:paraId="392C670C" w14:textId="77777777" w:rsidR="00980E5F" w:rsidRDefault="00980E5F">
            <w:pPr>
              <w:rPr>
                <w:rFonts w:ascii="宋体"/>
                <w:vanish/>
              </w:rPr>
            </w:pPr>
          </w:p>
        </w:tc>
        <w:tc>
          <w:tcPr>
            <w:tcW w:w="0" w:type="auto"/>
            <w:gridSpan w:val="3"/>
            <w:shd w:val="clear" w:color="auto" w:fill="auto"/>
            <w:vAlign w:val="bottom"/>
          </w:tcPr>
          <w:p w14:paraId="392C670D" w14:textId="77777777" w:rsidR="00980E5F" w:rsidRDefault="00980E5F">
            <w:pPr>
              <w:rPr>
                <w:rFonts w:ascii="宋体"/>
                <w:vanish/>
              </w:rPr>
            </w:pPr>
          </w:p>
        </w:tc>
        <w:tc>
          <w:tcPr>
            <w:tcW w:w="0" w:type="auto"/>
            <w:gridSpan w:val="3"/>
            <w:shd w:val="clear" w:color="auto" w:fill="auto"/>
            <w:vAlign w:val="bottom"/>
          </w:tcPr>
          <w:p w14:paraId="392C670E" w14:textId="77777777" w:rsidR="00980E5F" w:rsidRDefault="00980E5F">
            <w:pPr>
              <w:rPr>
                <w:rFonts w:ascii="宋体"/>
                <w:vanish/>
              </w:rPr>
            </w:pPr>
          </w:p>
        </w:tc>
        <w:tc>
          <w:tcPr>
            <w:tcW w:w="0" w:type="auto"/>
            <w:gridSpan w:val="3"/>
            <w:shd w:val="clear" w:color="auto" w:fill="auto"/>
            <w:vAlign w:val="bottom"/>
          </w:tcPr>
          <w:p w14:paraId="392C670F" w14:textId="77777777" w:rsidR="00980E5F" w:rsidRDefault="00980E5F">
            <w:pPr>
              <w:rPr>
                <w:rFonts w:ascii="宋体"/>
                <w:vanish/>
              </w:rPr>
            </w:pPr>
          </w:p>
        </w:tc>
        <w:tc>
          <w:tcPr>
            <w:tcW w:w="0" w:type="auto"/>
            <w:gridSpan w:val="3"/>
            <w:shd w:val="clear" w:color="auto" w:fill="auto"/>
            <w:vAlign w:val="bottom"/>
          </w:tcPr>
          <w:p w14:paraId="392C6710" w14:textId="77777777" w:rsidR="00980E5F" w:rsidRDefault="00980E5F">
            <w:pPr>
              <w:rPr>
                <w:rFonts w:ascii="宋体"/>
                <w:vanish/>
              </w:rPr>
            </w:pPr>
          </w:p>
        </w:tc>
        <w:tc>
          <w:tcPr>
            <w:tcW w:w="0" w:type="auto"/>
            <w:gridSpan w:val="3"/>
            <w:shd w:val="clear" w:color="auto" w:fill="auto"/>
            <w:vAlign w:val="bottom"/>
          </w:tcPr>
          <w:p w14:paraId="392C6711" w14:textId="77777777" w:rsidR="00980E5F" w:rsidRDefault="00980E5F">
            <w:pPr>
              <w:rPr>
                <w:rFonts w:ascii="宋体"/>
                <w:vanish/>
              </w:rPr>
            </w:pPr>
          </w:p>
        </w:tc>
        <w:tc>
          <w:tcPr>
            <w:tcW w:w="0" w:type="auto"/>
            <w:gridSpan w:val="3"/>
            <w:shd w:val="clear" w:color="auto" w:fill="auto"/>
            <w:vAlign w:val="bottom"/>
          </w:tcPr>
          <w:p w14:paraId="392C6712" w14:textId="77777777" w:rsidR="00980E5F" w:rsidRDefault="00980E5F">
            <w:pPr>
              <w:rPr>
                <w:rFonts w:ascii="宋体"/>
                <w:vanish/>
              </w:rPr>
            </w:pPr>
          </w:p>
        </w:tc>
        <w:tc>
          <w:tcPr>
            <w:tcW w:w="0" w:type="auto"/>
            <w:gridSpan w:val="3"/>
            <w:shd w:val="clear" w:color="auto" w:fill="auto"/>
            <w:vAlign w:val="bottom"/>
          </w:tcPr>
          <w:p w14:paraId="392C6713" w14:textId="77777777" w:rsidR="00980E5F" w:rsidRDefault="00980E5F">
            <w:pPr>
              <w:rPr>
                <w:rFonts w:ascii="宋体"/>
                <w:vanish/>
              </w:rPr>
            </w:pPr>
          </w:p>
        </w:tc>
        <w:tc>
          <w:tcPr>
            <w:tcW w:w="0" w:type="auto"/>
            <w:gridSpan w:val="3"/>
            <w:shd w:val="clear" w:color="auto" w:fill="auto"/>
            <w:vAlign w:val="bottom"/>
          </w:tcPr>
          <w:p w14:paraId="392C6714" w14:textId="77777777" w:rsidR="00980E5F" w:rsidRDefault="00980E5F">
            <w:pPr>
              <w:rPr>
                <w:rFonts w:ascii="宋体"/>
                <w:vanish/>
              </w:rPr>
            </w:pPr>
          </w:p>
        </w:tc>
        <w:tc>
          <w:tcPr>
            <w:tcW w:w="0" w:type="auto"/>
            <w:gridSpan w:val="3"/>
            <w:shd w:val="clear" w:color="auto" w:fill="auto"/>
            <w:vAlign w:val="bottom"/>
          </w:tcPr>
          <w:p w14:paraId="392C6715" w14:textId="77777777" w:rsidR="00980E5F" w:rsidRDefault="00980E5F">
            <w:pPr>
              <w:rPr>
                <w:rFonts w:ascii="宋体"/>
                <w:vanish/>
              </w:rPr>
            </w:pPr>
          </w:p>
        </w:tc>
        <w:tc>
          <w:tcPr>
            <w:tcW w:w="0" w:type="auto"/>
            <w:gridSpan w:val="3"/>
            <w:shd w:val="clear" w:color="auto" w:fill="auto"/>
            <w:vAlign w:val="bottom"/>
          </w:tcPr>
          <w:p w14:paraId="392C6716" w14:textId="77777777" w:rsidR="00980E5F" w:rsidRDefault="00980E5F">
            <w:pPr>
              <w:rPr>
                <w:rFonts w:ascii="宋体"/>
                <w:vanish/>
              </w:rPr>
            </w:pPr>
          </w:p>
        </w:tc>
      </w:tr>
      <w:tr w:rsidR="00980E5F" w14:paraId="392C6724" w14:textId="77777777">
        <w:trPr>
          <w:hidden/>
        </w:trPr>
        <w:tc>
          <w:tcPr>
            <w:tcW w:w="0" w:type="auto"/>
            <w:gridSpan w:val="3"/>
            <w:shd w:val="clear" w:color="auto" w:fill="auto"/>
            <w:vAlign w:val="bottom"/>
          </w:tcPr>
          <w:p w14:paraId="392C6718" w14:textId="77777777" w:rsidR="00980E5F" w:rsidRDefault="00980E5F">
            <w:pPr>
              <w:rPr>
                <w:rFonts w:ascii="宋体"/>
                <w:vanish/>
              </w:rPr>
            </w:pPr>
          </w:p>
        </w:tc>
        <w:tc>
          <w:tcPr>
            <w:tcW w:w="0" w:type="auto"/>
            <w:gridSpan w:val="3"/>
            <w:shd w:val="clear" w:color="auto" w:fill="auto"/>
            <w:vAlign w:val="bottom"/>
          </w:tcPr>
          <w:p w14:paraId="392C6719" w14:textId="77777777" w:rsidR="00980E5F" w:rsidRDefault="00980E5F">
            <w:pPr>
              <w:rPr>
                <w:rFonts w:ascii="宋体"/>
                <w:vanish/>
              </w:rPr>
            </w:pPr>
          </w:p>
        </w:tc>
        <w:tc>
          <w:tcPr>
            <w:tcW w:w="0" w:type="auto"/>
            <w:gridSpan w:val="3"/>
            <w:shd w:val="clear" w:color="auto" w:fill="auto"/>
            <w:vAlign w:val="bottom"/>
          </w:tcPr>
          <w:p w14:paraId="392C671A" w14:textId="77777777" w:rsidR="00980E5F" w:rsidRDefault="00980E5F">
            <w:pPr>
              <w:rPr>
                <w:rFonts w:ascii="宋体"/>
                <w:vanish/>
              </w:rPr>
            </w:pPr>
          </w:p>
        </w:tc>
        <w:tc>
          <w:tcPr>
            <w:tcW w:w="0" w:type="auto"/>
            <w:gridSpan w:val="3"/>
            <w:shd w:val="clear" w:color="auto" w:fill="auto"/>
            <w:vAlign w:val="bottom"/>
          </w:tcPr>
          <w:p w14:paraId="392C671B" w14:textId="77777777" w:rsidR="00980E5F" w:rsidRDefault="00980E5F">
            <w:pPr>
              <w:rPr>
                <w:rFonts w:ascii="宋体"/>
                <w:vanish/>
              </w:rPr>
            </w:pPr>
          </w:p>
        </w:tc>
        <w:tc>
          <w:tcPr>
            <w:tcW w:w="0" w:type="auto"/>
            <w:gridSpan w:val="3"/>
            <w:shd w:val="clear" w:color="auto" w:fill="auto"/>
            <w:vAlign w:val="bottom"/>
          </w:tcPr>
          <w:p w14:paraId="392C671C" w14:textId="77777777" w:rsidR="00980E5F" w:rsidRDefault="00980E5F">
            <w:pPr>
              <w:rPr>
                <w:rFonts w:ascii="宋体"/>
                <w:vanish/>
              </w:rPr>
            </w:pPr>
          </w:p>
        </w:tc>
        <w:tc>
          <w:tcPr>
            <w:tcW w:w="0" w:type="auto"/>
            <w:gridSpan w:val="3"/>
            <w:shd w:val="clear" w:color="auto" w:fill="auto"/>
            <w:vAlign w:val="bottom"/>
          </w:tcPr>
          <w:p w14:paraId="392C671D" w14:textId="77777777" w:rsidR="00980E5F" w:rsidRDefault="00980E5F">
            <w:pPr>
              <w:rPr>
                <w:rFonts w:ascii="宋体"/>
                <w:vanish/>
              </w:rPr>
            </w:pPr>
          </w:p>
        </w:tc>
        <w:tc>
          <w:tcPr>
            <w:tcW w:w="0" w:type="auto"/>
            <w:gridSpan w:val="3"/>
            <w:shd w:val="clear" w:color="auto" w:fill="auto"/>
            <w:vAlign w:val="bottom"/>
          </w:tcPr>
          <w:p w14:paraId="392C671E" w14:textId="77777777" w:rsidR="00980E5F" w:rsidRDefault="00980E5F">
            <w:pPr>
              <w:rPr>
                <w:rFonts w:ascii="宋体"/>
                <w:vanish/>
              </w:rPr>
            </w:pPr>
          </w:p>
        </w:tc>
        <w:tc>
          <w:tcPr>
            <w:tcW w:w="0" w:type="auto"/>
            <w:gridSpan w:val="3"/>
            <w:shd w:val="clear" w:color="auto" w:fill="auto"/>
            <w:vAlign w:val="bottom"/>
          </w:tcPr>
          <w:p w14:paraId="392C671F" w14:textId="77777777" w:rsidR="00980E5F" w:rsidRDefault="00980E5F">
            <w:pPr>
              <w:rPr>
                <w:rFonts w:ascii="宋体"/>
                <w:vanish/>
              </w:rPr>
            </w:pPr>
          </w:p>
        </w:tc>
        <w:tc>
          <w:tcPr>
            <w:tcW w:w="0" w:type="auto"/>
            <w:gridSpan w:val="3"/>
            <w:shd w:val="clear" w:color="auto" w:fill="auto"/>
            <w:vAlign w:val="bottom"/>
          </w:tcPr>
          <w:p w14:paraId="392C6720" w14:textId="77777777" w:rsidR="00980E5F" w:rsidRDefault="00980E5F">
            <w:pPr>
              <w:rPr>
                <w:rFonts w:ascii="宋体"/>
                <w:vanish/>
              </w:rPr>
            </w:pPr>
          </w:p>
        </w:tc>
        <w:tc>
          <w:tcPr>
            <w:tcW w:w="0" w:type="auto"/>
            <w:gridSpan w:val="3"/>
            <w:shd w:val="clear" w:color="auto" w:fill="auto"/>
            <w:vAlign w:val="bottom"/>
          </w:tcPr>
          <w:p w14:paraId="392C6721" w14:textId="77777777" w:rsidR="00980E5F" w:rsidRDefault="00980E5F">
            <w:pPr>
              <w:rPr>
                <w:rFonts w:ascii="宋体"/>
                <w:vanish/>
              </w:rPr>
            </w:pPr>
          </w:p>
        </w:tc>
        <w:tc>
          <w:tcPr>
            <w:tcW w:w="0" w:type="auto"/>
            <w:gridSpan w:val="3"/>
            <w:shd w:val="clear" w:color="auto" w:fill="auto"/>
            <w:vAlign w:val="bottom"/>
          </w:tcPr>
          <w:p w14:paraId="392C6722" w14:textId="77777777" w:rsidR="00980E5F" w:rsidRDefault="00980E5F">
            <w:pPr>
              <w:rPr>
                <w:rFonts w:ascii="宋体"/>
                <w:vanish/>
              </w:rPr>
            </w:pPr>
          </w:p>
        </w:tc>
        <w:tc>
          <w:tcPr>
            <w:tcW w:w="0" w:type="auto"/>
            <w:gridSpan w:val="3"/>
            <w:shd w:val="clear" w:color="auto" w:fill="auto"/>
            <w:vAlign w:val="bottom"/>
          </w:tcPr>
          <w:p w14:paraId="392C6723" w14:textId="77777777" w:rsidR="00980E5F" w:rsidRDefault="00980E5F">
            <w:pPr>
              <w:rPr>
                <w:rFonts w:ascii="宋体"/>
                <w:vanish/>
              </w:rPr>
            </w:pPr>
          </w:p>
        </w:tc>
      </w:tr>
      <w:tr w:rsidR="00980E5F" w14:paraId="392C6731" w14:textId="77777777">
        <w:trPr>
          <w:hidden/>
        </w:trPr>
        <w:tc>
          <w:tcPr>
            <w:tcW w:w="0" w:type="auto"/>
            <w:gridSpan w:val="3"/>
            <w:shd w:val="clear" w:color="auto" w:fill="auto"/>
            <w:vAlign w:val="bottom"/>
          </w:tcPr>
          <w:p w14:paraId="392C6725" w14:textId="77777777" w:rsidR="00980E5F" w:rsidRDefault="00980E5F">
            <w:pPr>
              <w:rPr>
                <w:rFonts w:ascii="宋体"/>
                <w:vanish/>
              </w:rPr>
            </w:pPr>
          </w:p>
        </w:tc>
        <w:tc>
          <w:tcPr>
            <w:tcW w:w="0" w:type="auto"/>
            <w:gridSpan w:val="3"/>
            <w:shd w:val="clear" w:color="auto" w:fill="auto"/>
            <w:vAlign w:val="bottom"/>
          </w:tcPr>
          <w:p w14:paraId="392C6726" w14:textId="77777777" w:rsidR="00980E5F" w:rsidRDefault="00980E5F">
            <w:pPr>
              <w:rPr>
                <w:rFonts w:ascii="宋体"/>
                <w:vanish/>
              </w:rPr>
            </w:pPr>
          </w:p>
        </w:tc>
        <w:tc>
          <w:tcPr>
            <w:tcW w:w="0" w:type="auto"/>
            <w:gridSpan w:val="3"/>
            <w:shd w:val="clear" w:color="auto" w:fill="auto"/>
            <w:vAlign w:val="bottom"/>
          </w:tcPr>
          <w:p w14:paraId="392C6727" w14:textId="77777777" w:rsidR="00980E5F" w:rsidRDefault="00980E5F">
            <w:pPr>
              <w:rPr>
                <w:rFonts w:ascii="宋体"/>
                <w:vanish/>
              </w:rPr>
            </w:pPr>
          </w:p>
        </w:tc>
        <w:tc>
          <w:tcPr>
            <w:tcW w:w="0" w:type="auto"/>
            <w:gridSpan w:val="3"/>
            <w:shd w:val="clear" w:color="auto" w:fill="auto"/>
            <w:vAlign w:val="bottom"/>
          </w:tcPr>
          <w:p w14:paraId="392C6728" w14:textId="77777777" w:rsidR="00980E5F" w:rsidRDefault="00980E5F">
            <w:pPr>
              <w:rPr>
                <w:rFonts w:ascii="宋体"/>
                <w:vanish/>
              </w:rPr>
            </w:pPr>
          </w:p>
        </w:tc>
        <w:tc>
          <w:tcPr>
            <w:tcW w:w="0" w:type="auto"/>
            <w:gridSpan w:val="3"/>
            <w:shd w:val="clear" w:color="auto" w:fill="auto"/>
            <w:vAlign w:val="bottom"/>
          </w:tcPr>
          <w:p w14:paraId="392C6729" w14:textId="77777777" w:rsidR="00980E5F" w:rsidRDefault="00980E5F">
            <w:pPr>
              <w:rPr>
                <w:rFonts w:ascii="宋体"/>
                <w:vanish/>
              </w:rPr>
            </w:pPr>
          </w:p>
        </w:tc>
        <w:tc>
          <w:tcPr>
            <w:tcW w:w="0" w:type="auto"/>
            <w:gridSpan w:val="3"/>
            <w:shd w:val="clear" w:color="auto" w:fill="auto"/>
            <w:vAlign w:val="bottom"/>
          </w:tcPr>
          <w:p w14:paraId="392C672A" w14:textId="77777777" w:rsidR="00980E5F" w:rsidRDefault="00980E5F">
            <w:pPr>
              <w:rPr>
                <w:rFonts w:ascii="宋体"/>
                <w:vanish/>
              </w:rPr>
            </w:pPr>
          </w:p>
        </w:tc>
        <w:tc>
          <w:tcPr>
            <w:tcW w:w="0" w:type="auto"/>
            <w:gridSpan w:val="3"/>
            <w:shd w:val="clear" w:color="auto" w:fill="auto"/>
            <w:vAlign w:val="bottom"/>
          </w:tcPr>
          <w:p w14:paraId="392C672B" w14:textId="77777777" w:rsidR="00980E5F" w:rsidRDefault="00980E5F">
            <w:pPr>
              <w:rPr>
                <w:rFonts w:ascii="宋体"/>
                <w:vanish/>
              </w:rPr>
            </w:pPr>
          </w:p>
        </w:tc>
        <w:tc>
          <w:tcPr>
            <w:tcW w:w="0" w:type="auto"/>
            <w:gridSpan w:val="3"/>
            <w:shd w:val="clear" w:color="auto" w:fill="auto"/>
            <w:vAlign w:val="bottom"/>
          </w:tcPr>
          <w:p w14:paraId="392C672C" w14:textId="77777777" w:rsidR="00980E5F" w:rsidRDefault="00980E5F">
            <w:pPr>
              <w:rPr>
                <w:rFonts w:ascii="宋体"/>
                <w:vanish/>
              </w:rPr>
            </w:pPr>
          </w:p>
        </w:tc>
        <w:tc>
          <w:tcPr>
            <w:tcW w:w="0" w:type="auto"/>
            <w:gridSpan w:val="3"/>
            <w:shd w:val="clear" w:color="auto" w:fill="auto"/>
            <w:vAlign w:val="bottom"/>
          </w:tcPr>
          <w:p w14:paraId="392C672D" w14:textId="77777777" w:rsidR="00980E5F" w:rsidRDefault="00980E5F">
            <w:pPr>
              <w:rPr>
                <w:rFonts w:ascii="宋体"/>
                <w:vanish/>
              </w:rPr>
            </w:pPr>
          </w:p>
        </w:tc>
        <w:tc>
          <w:tcPr>
            <w:tcW w:w="0" w:type="auto"/>
            <w:gridSpan w:val="3"/>
            <w:shd w:val="clear" w:color="auto" w:fill="auto"/>
            <w:vAlign w:val="bottom"/>
          </w:tcPr>
          <w:p w14:paraId="392C672E" w14:textId="77777777" w:rsidR="00980E5F" w:rsidRDefault="00980E5F">
            <w:pPr>
              <w:rPr>
                <w:rFonts w:ascii="宋体"/>
                <w:vanish/>
              </w:rPr>
            </w:pPr>
          </w:p>
        </w:tc>
        <w:tc>
          <w:tcPr>
            <w:tcW w:w="0" w:type="auto"/>
            <w:gridSpan w:val="3"/>
            <w:shd w:val="clear" w:color="auto" w:fill="auto"/>
            <w:vAlign w:val="bottom"/>
          </w:tcPr>
          <w:p w14:paraId="392C672F" w14:textId="77777777" w:rsidR="00980E5F" w:rsidRDefault="00980E5F">
            <w:pPr>
              <w:rPr>
                <w:rFonts w:ascii="宋体"/>
                <w:vanish/>
              </w:rPr>
            </w:pPr>
          </w:p>
        </w:tc>
        <w:tc>
          <w:tcPr>
            <w:tcW w:w="0" w:type="auto"/>
            <w:gridSpan w:val="3"/>
            <w:shd w:val="clear" w:color="auto" w:fill="auto"/>
            <w:vAlign w:val="bottom"/>
          </w:tcPr>
          <w:p w14:paraId="392C6730" w14:textId="77777777" w:rsidR="00980E5F" w:rsidRDefault="00980E5F">
            <w:pPr>
              <w:rPr>
                <w:rFonts w:ascii="宋体"/>
                <w:vanish/>
              </w:rPr>
            </w:pPr>
          </w:p>
        </w:tc>
      </w:tr>
      <w:tr w:rsidR="00980E5F" w14:paraId="392C673E" w14:textId="77777777">
        <w:trPr>
          <w:hidden/>
        </w:trPr>
        <w:tc>
          <w:tcPr>
            <w:tcW w:w="0" w:type="auto"/>
            <w:gridSpan w:val="3"/>
            <w:shd w:val="clear" w:color="auto" w:fill="auto"/>
            <w:vAlign w:val="bottom"/>
          </w:tcPr>
          <w:p w14:paraId="392C6732" w14:textId="77777777" w:rsidR="00980E5F" w:rsidRDefault="00980E5F">
            <w:pPr>
              <w:rPr>
                <w:rFonts w:ascii="宋体"/>
                <w:vanish/>
              </w:rPr>
            </w:pPr>
          </w:p>
        </w:tc>
        <w:tc>
          <w:tcPr>
            <w:tcW w:w="0" w:type="auto"/>
            <w:gridSpan w:val="3"/>
            <w:shd w:val="clear" w:color="auto" w:fill="auto"/>
            <w:vAlign w:val="bottom"/>
          </w:tcPr>
          <w:p w14:paraId="392C6733" w14:textId="77777777" w:rsidR="00980E5F" w:rsidRDefault="00980E5F">
            <w:pPr>
              <w:rPr>
                <w:rFonts w:ascii="宋体"/>
                <w:vanish/>
              </w:rPr>
            </w:pPr>
          </w:p>
        </w:tc>
        <w:tc>
          <w:tcPr>
            <w:tcW w:w="0" w:type="auto"/>
            <w:gridSpan w:val="3"/>
            <w:shd w:val="clear" w:color="auto" w:fill="auto"/>
            <w:vAlign w:val="bottom"/>
          </w:tcPr>
          <w:p w14:paraId="392C6734" w14:textId="77777777" w:rsidR="00980E5F" w:rsidRDefault="00980E5F">
            <w:pPr>
              <w:rPr>
                <w:rFonts w:ascii="宋体"/>
                <w:vanish/>
              </w:rPr>
            </w:pPr>
          </w:p>
        </w:tc>
        <w:tc>
          <w:tcPr>
            <w:tcW w:w="0" w:type="auto"/>
            <w:gridSpan w:val="3"/>
            <w:shd w:val="clear" w:color="auto" w:fill="auto"/>
            <w:vAlign w:val="bottom"/>
          </w:tcPr>
          <w:p w14:paraId="392C6735" w14:textId="77777777" w:rsidR="00980E5F" w:rsidRDefault="00980E5F">
            <w:pPr>
              <w:rPr>
                <w:rFonts w:ascii="宋体"/>
                <w:vanish/>
              </w:rPr>
            </w:pPr>
          </w:p>
        </w:tc>
        <w:tc>
          <w:tcPr>
            <w:tcW w:w="0" w:type="auto"/>
            <w:gridSpan w:val="3"/>
            <w:shd w:val="clear" w:color="auto" w:fill="auto"/>
            <w:vAlign w:val="bottom"/>
          </w:tcPr>
          <w:p w14:paraId="392C6736" w14:textId="77777777" w:rsidR="00980E5F" w:rsidRDefault="00980E5F">
            <w:pPr>
              <w:rPr>
                <w:rFonts w:ascii="宋体"/>
                <w:vanish/>
              </w:rPr>
            </w:pPr>
          </w:p>
        </w:tc>
        <w:tc>
          <w:tcPr>
            <w:tcW w:w="0" w:type="auto"/>
            <w:gridSpan w:val="3"/>
            <w:shd w:val="clear" w:color="auto" w:fill="auto"/>
            <w:vAlign w:val="bottom"/>
          </w:tcPr>
          <w:p w14:paraId="392C6737" w14:textId="77777777" w:rsidR="00980E5F" w:rsidRDefault="00980E5F">
            <w:pPr>
              <w:rPr>
                <w:rFonts w:ascii="宋体"/>
                <w:vanish/>
              </w:rPr>
            </w:pPr>
          </w:p>
        </w:tc>
        <w:tc>
          <w:tcPr>
            <w:tcW w:w="0" w:type="auto"/>
            <w:gridSpan w:val="3"/>
            <w:shd w:val="clear" w:color="auto" w:fill="auto"/>
            <w:vAlign w:val="bottom"/>
          </w:tcPr>
          <w:p w14:paraId="392C6738" w14:textId="77777777" w:rsidR="00980E5F" w:rsidRDefault="00980E5F">
            <w:pPr>
              <w:rPr>
                <w:rFonts w:ascii="宋体"/>
                <w:vanish/>
              </w:rPr>
            </w:pPr>
          </w:p>
        </w:tc>
        <w:tc>
          <w:tcPr>
            <w:tcW w:w="0" w:type="auto"/>
            <w:gridSpan w:val="3"/>
            <w:shd w:val="clear" w:color="auto" w:fill="auto"/>
            <w:vAlign w:val="bottom"/>
          </w:tcPr>
          <w:p w14:paraId="392C6739" w14:textId="77777777" w:rsidR="00980E5F" w:rsidRDefault="00980E5F">
            <w:pPr>
              <w:rPr>
                <w:rFonts w:ascii="宋体"/>
                <w:vanish/>
              </w:rPr>
            </w:pPr>
          </w:p>
        </w:tc>
        <w:tc>
          <w:tcPr>
            <w:tcW w:w="0" w:type="auto"/>
            <w:gridSpan w:val="3"/>
            <w:shd w:val="clear" w:color="auto" w:fill="auto"/>
            <w:vAlign w:val="bottom"/>
          </w:tcPr>
          <w:p w14:paraId="392C673A" w14:textId="77777777" w:rsidR="00980E5F" w:rsidRDefault="00980E5F">
            <w:pPr>
              <w:rPr>
                <w:rFonts w:ascii="宋体"/>
                <w:vanish/>
              </w:rPr>
            </w:pPr>
          </w:p>
        </w:tc>
        <w:tc>
          <w:tcPr>
            <w:tcW w:w="0" w:type="auto"/>
            <w:gridSpan w:val="3"/>
            <w:shd w:val="clear" w:color="auto" w:fill="auto"/>
            <w:vAlign w:val="bottom"/>
          </w:tcPr>
          <w:p w14:paraId="392C673B" w14:textId="77777777" w:rsidR="00980E5F" w:rsidRDefault="00980E5F">
            <w:pPr>
              <w:rPr>
                <w:rFonts w:ascii="宋体"/>
                <w:vanish/>
              </w:rPr>
            </w:pPr>
          </w:p>
        </w:tc>
        <w:tc>
          <w:tcPr>
            <w:tcW w:w="0" w:type="auto"/>
            <w:gridSpan w:val="3"/>
            <w:shd w:val="clear" w:color="auto" w:fill="auto"/>
            <w:vAlign w:val="bottom"/>
          </w:tcPr>
          <w:p w14:paraId="392C673C" w14:textId="77777777" w:rsidR="00980E5F" w:rsidRDefault="00980E5F">
            <w:pPr>
              <w:rPr>
                <w:rFonts w:ascii="宋体"/>
                <w:vanish/>
              </w:rPr>
            </w:pPr>
          </w:p>
        </w:tc>
        <w:tc>
          <w:tcPr>
            <w:tcW w:w="0" w:type="auto"/>
            <w:gridSpan w:val="3"/>
            <w:shd w:val="clear" w:color="auto" w:fill="auto"/>
            <w:vAlign w:val="bottom"/>
          </w:tcPr>
          <w:p w14:paraId="392C673D" w14:textId="77777777" w:rsidR="00980E5F" w:rsidRDefault="00980E5F">
            <w:pPr>
              <w:rPr>
                <w:rFonts w:ascii="宋体"/>
                <w:vanish/>
              </w:rPr>
            </w:pPr>
          </w:p>
        </w:tc>
      </w:tr>
      <w:tr w:rsidR="00980E5F" w14:paraId="392C674B" w14:textId="77777777">
        <w:trPr>
          <w:hidden/>
        </w:trPr>
        <w:tc>
          <w:tcPr>
            <w:tcW w:w="0" w:type="auto"/>
            <w:gridSpan w:val="3"/>
            <w:shd w:val="clear" w:color="auto" w:fill="auto"/>
            <w:vAlign w:val="bottom"/>
          </w:tcPr>
          <w:p w14:paraId="392C673F" w14:textId="77777777" w:rsidR="00980E5F" w:rsidRDefault="00980E5F">
            <w:pPr>
              <w:rPr>
                <w:rFonts w:ascii="宋体"/>
                <w:vanish/>
              </w:rPr>
            </w:pPr>
          </w:p>
        </w:tc>
        <w:tc>
          <w:tcPr>
            <w:tcW w:w="0" w:type="auto"/>
            <w:gridSpan w:val="3"/>
            <w:shd w:val="clear" w:color="auto" w:fill="auto"/>
            <w:vAlign w:val="bottom"/>
          </w:tcPr>
          <w:p w14:paraId="392C6740" w14:textId="77777777" w:rsidR="00980E5F" w:rsidRDefault="00980E5F">
            <w:pPr>
              <w:rPr>
                <w:rFonts w:ascii="宋体"/>
                <w:vanish/>
              </w:rPr>
            </w:pPr>
          </w:p>
        </w:tc>
        <w:tc>
          <w:tcPr>
            <w:tcW w:w="0" w:type="auto"/>
            <w:gridSpan w:val="3"/>
            <w:shd w:val="clear" w:color="auto" w:fill="auto"/>
            <w:vAlign w:val="bottom"/>
          </w:tcPr>
          <w:p w14:paraId="392C6741" w14:textId="77777777" w:rsidR="00980E5F" w:rsidRDefault="00980E5F">
            <w:pPr>
              <w:rPr>
                <w:rFonts w:ascii="宋体"/>
                <w:vanish/>
              </w:rPr>
            </w:pPr>
          </w:p>
        </w:tc>
        <w:tc>
          <w:tcPr>
            <w:tcW w:w="0" w:type="auto"/>
            <w:gridSpan w:val="3"/>
            <w:shd w:val="clear" w:color="auto" w:fill="auto"/>
            <w:vAlign w:val="bottom"/>
          </w:tcPr>
          <w:p w14:paraId="392C6742" w14:textId="77777777" w:rsidR="00980E5F" w:rsidRDefault="00980E5F">
            <w:pPr>
              <w:rPr>
                <w:rFonts w:ascii="宋体"/>
                <w:vanish/>
              </w:rPr>
            </w:pPr>
          </w:p>
        </w:tc>
        <w:tc>
          <w:tcPr>
            <w:tcW w:w="0" w:type="auto"/>
            <w:gridSpan w:val="3"/>
            <w:shd w:val="clear" w:color="auto" w:fill="auto"/>
            <w:vAlign w:val="bottom"/>
          </w:tcPr>
          <w:p w14:paraId="392C6743" w14:textId="77777777" w:rsidR="00980E5F" w:rsidRDefault="00980E5F">
            <w:pPr>
              <w:rPr>
                <w:rFonts w:ascii="宋体"/>
                <w:vanish/>
              </w:rPr>
            </w:pPr>
          </w:p>
        </w:tc>
        <w:tc>
          <w:tcPr>
            <w:tcW w:w="0" w:type="auto"/>
            <w:gridSpan w:val="3"/>
            <w:shd w:val="clear" w:color="auto" w:fill="auto"/>
            <w:vAlign w:val="bottom"/>
          </w:tcPr>
          <w:p w14:paraId="392C6744" w14:textId="77777777" w:rsidR="00980E5F" w:rsidRDefault="00980E5F">
            <w:pPr>
              <w:rPr>
                <w:rFonts w:ascii="宋体"/>
                <w:vanish/>
              </w:rPr>
            </w:pPr>
          </w:p>
        </w:tc>
        <w:tc>
          <w:tcPr>
            <w:tcW w:w="0" w:type="auto"/>
            <w:gridSpan w:val="3"/>
            <w:shd w:val="clear" w:color="auto" w:fill="auto"/>
            <w:vAlign w:val="bottom"/>
          </w:tcPr>
          <w:p w14:paraId="392C6745" w14:textId="77777777" w:rsidR="00980E5F" w:rsidRDefault="00980E5F">
            <w:pPr>
              <w:rPr>
                <w:rFonts w:ascii="宋体"/>
                <w:vanish/>
              </w:rPr>
            </w:pPr>
          </w:p>
        </w:tc>
        <w:tc>
          <w:tcPr>
            <w:tcW w:w="0" w:type="auto"/>
            <w:gridSpan w:val="3"/>
            <w:shd w:val="clear" w:color="auto" w:fill="auto"/>
            <w:vAlign w:val="bottom"/>
          </w:tcPr>
          <w:p w14:paraId="392C6746" w14:textId="77777777" w:rsidR="00980E5F" w:rsidRDefault="00980E5F">
            <w:pPr>
              <w:rPr>
                <w:rFonts w:ascii="宋体"/>
                <w:vanish/>
              </w:rPr>
            </w:pPr>
          </w:p>
        </w:tc>
        <w:tc>
          <w:tcPr>
            <w:tcW w:w="0" w:type="auto"/>
            <w:gridSpan w:val="3"/>
            <w:shd w:val="clear" w:color="auto" w:fill="auto"/>
            <w:vAlign w:val="bottom"/>
          </w:tcPr>
          <w:p w14:paraId="392C6747" w14:textId="77777777" w:rsidR="00980E5F" w:rsidRDefault="00980E5F">
            <w:pPr>
              <w:rPr>
                <w:rFonts w:ascii="宋体"/>
                <w:vanish/>
              </w:rPr>
            </w:pPr>
          </w:p>
        </w:tc>
        <w:tc>
          <w:tcPr>
            <w:tcW w:w="0" w:type="auto"/>
            <w:gridSpan w:val="3"/>
            <w:shd w:val="clear" w:color="auto" w:fill="auto"/>
            <w:vAlign w:val="bottom"/>
          </w:tcPr>
          <w:p w14:paraId="392C6748" w14:textId="77777777" w:rsidR="00980E5F" w:rsidRDefault="00980E5F">
            <w:pPr>
              <w:rPr>
                <w:rFonts w:ascii="宋体"/>
                <w:vanish/>
              </w:rPr>
            </w:pPr>
          </w:p>
        </w:tc>
        <w:tc>
          <w:tcPr>
            <w:tcW w:w="0" w:type="auto"/>
            <w:gridSpan w:val="3"/>
            <w:shd w:val="clear" w:color="auto" w:fill="auto"/>
            <w:vAlign w:val="bottom"/>
          </w:tcPr>
          <w:p w14:paraId="392C6749" w14:textId="77777777" w:rsidR="00980E5F" w:rsidRDefault="00980E5F">
            <w:pPr>
              <w:rPr>
                <w:rFonts w:ascii="宋体"/>
                <w:vanish/>
              </w:rPr>
            </w:pPr>
          </w:p>
        </w:tc>
        <w:tc>
          <w:tcPr>
            <w:tcW w:w="0" w:type="auto"/>
            <w:gridSpan w:val="3"/>
            <w:shd w:val="clear" w:color="auto" w:fill="auto"/>
            <w:vAlign w:val="bottom"/>
          </w:tcPr>
          <w:p w14:paraId="392C674A" w14:textId="77777777" w:rsidR="00980E5F" w:rsidRDefault="00980E5F">
            <w:pPr>
              <w:rPr>
                <w:rFonts w:ascii="宋体"/>
                <w:vanish/>
              </w:rPr>
            </w:pPr>
          </w:p>
        </w:tc>
      </w:tr>
      <w:tr w:rsidR="00980E5F" w14:paraId="392C6758" w14:textId="77777777">
        <w:trPr>
          <w:hidden/>
        </w:trPr>
        <w:tc>
          <w:tcPr>
            <w:tcW w:w="0" w:type="auto"/>
            <w:gridSpan w:val="3"/>
            <w:shd w:val="clear" w:color="auto" w:fill="auto"/>
            <w:vAlign w:val="bottom"/>
          </w:tcPr>
          <w:p w14:paraId="392C674C" w14:textId="77777777" w:rsidR="00980E5F" w:rsidRDefault="00980E5F">
            <w:pPr>
              <w:rPr>
                <w:rFonts w:ascii="宋体"/>
                <w:vanish/>
              </w:rPr>
            </w:pPr>
          </w:p>
        </w:tc>
        <w:tc>
          <w:tcPr>
            <w:tcW w:w="0" w:type="auto"/>
            <w:gridSpan w:val="3"/>
            <w:shd w:val="clear" w:color="auto" w:fill="auto"/>
            <w:vAlign w:val="bottom"/>
          </w:tcPr>
          <w:p w14:paraId="392C674D" w14:textId="77777777" w:rsidR="00980E5F" w:rsidRDefault="00980E5F">
            <w:pPr>
              <w:rPr>
                <w:rFonts w:ascii="宋体"/>
                <w:vanish/>
              </w:rPr>
            </w:pPr>
          </w:p>
        </w:tc>
        <w:tc>
          <w:tcPr>
            <w:tcW w:w="0" w:type="auto"/>
            <w:gridSpan w:val="3"/>
            <w:shd w:val="clear" w:color="auto" w:fill="auto"/>
            <w:vAlign w:val="bottom"/>
          </w:tcPr>
          <w:p w14:paraId="392C674E" w14:textId="77777777" w:rsidR="00980E5F" w:rsidRDefault="00980E5F">
            <w:pPr>
              <w:rPr>
                <w:rFonts w:ascii="宋体"/>
                <w:vanish/>
              </w:rPr>
            </w:pPr>
          </w:p>
        </w:tc>
        <w:tc>
          <w:tcPr>
            <w:tcW w:w="0" w:type="auto"/>
            <w:gridSpan w:val="3"/>
            <w:shd w:val="clear" w:color="auto" w:fill="auto"/>
            <w:vAlign w:val="bottom"/>
          </w:tcPr>
          <w:p w14:paraId="392C674F" w14:textId="77777777" w:rsidR="00980E5F" w:rsidRDefault="00980E5F">
            <w:pPr>
              <w:rPr>
                <w:rFonts w:ascii="宋体"/>
                <w:vanish/>
              </w:rPr>
            </w:pPr>
          </w:p>
        </w:tc>
        <w:tc>
          <w:tcPr>
            <w:tcW w:w="0" w:type="auto"/>
            <w:gridSpan w:val="3"/>
            <w:shd w:val="clear" w:color="auto" w:fill="auto"/>
            <w:vAlign w:val="bottom"/>
          </w:tcPr>
          <w:p w14:paraId="392C6750" w14:textId="77777777" w:rsidR="00980E5F" w:rsidRDefault="00980E5F">
            <w:pPr>
              <w:rPr>
                <w:rFonts w:ascii="宋体"/>
                <w:vanish/>
              </w:rPr>
            </w:pPr>
          </w:p>
        </w:tc>
        <w:tc>
          <w:tcPr>
            <w:tcW w:w="0" w:type="auto"/>
            <w:gridSpan w:val="3"/>
            <w:shd w:val="clear" w:color="auto" w:fill="auto"/>
            <w:vAlign w:val="bottom"/>
          </w:tcPr>
          <w:p w14:paraId="392C6751" w14:textId="77777777" w:rsidR="00980E5F" w:rsidRDefault="00980E5F">
            <w:pPr>
              <w:rPr>
                <w:rFonts w:ascii="宋体"/>
                <w:vanish/>
              </w:rPr>
            </w:pPr>
          </w:p>
        </w:tc>
        <w:tc>
          <w:tcPr>
            <w:tcW w:w="0" w:type="auto"/>
            <w:gridSpan w:val="3"/>
            <w:shd w:val="clear" w:color="auto" w:fill="auto"/>
            <w:vAlign w:val="bottom"/>
          </w:tcPr>
          <w:p w14:paraId="392C6752" w14:textId="77777777" w:rsidR="00980E5F" w:rsidRDefault="00980E5F">
            <w:pPr>
              <w:rPr>
                <w:rFonts w:ascii="宋体"/>
                <w:vanish/>
              </w:rPr>
            </w:pPr>
          </w:p>
        </w:tc>
        <w:tc>
          <w:tcPr>
            <w:tcW w:w="0" w:type="auto"/>
            <w:gridSpan w:val="3"/>
            <w:shd w:val="clear" w:color="auto" w:fill="auto"/>
            <w:vAlign w:val="bottom"/>
          </w:tcPr>
          <w:p w14:paraId="392C6753" w14:textId="77777777" w:rsidR="00980E5F" w:rsidRDefault="00980E5F">
            <w:pPr>
              <w:rPr>
                <w:rFonts w:ascii="宋体"/>
                <w:vanish/>
              </w:rPr>
            </w:pPr>
          </w:p>
        </w:tc>
        <w:tc>
          <w:tcPr>
            <w:tcW w:w="0" w:type="auto"/>
            <w:gridSpan w:val="3"/>
            <w:shd w:val="clear" w:color="auto" w:fill="auto"/>
            <w:vAlign w:val="bottom"/>
          </w:tcPr>
          <w:p w14:paraId="392C6754" w14:textId="77777777" w:rsidR="00980E5F" w:rsidRDefault="00980E5F">
            <w:pPr>
              <w:rPr>
                <w:rFonts w:ascii="宋体"/>
                <w:vanish/>
              </w:rPr>
            </w:pPr>
          </w:p>
        </w:tc>
        <w:tc>
          <w:tcPr>
            <w:tcW w:w="0" w:type="auto"/>
            <w:gridSpan w:val="3"/>
            <w:shd w:val="clear" w:color="auto" w:fill="auto"/>
            <w:vAlign w:val="bottom"/>
          </w:tcPr>
          <w:p w14:paraId="392C6755" w14:textId="77777777" w:rsidR="00980E5F" w:rsidRDefault="00980E5F">
            <w:pPr>
              <w:rPr>
                <w:rFonts w:ascii="宋体"/>
                <w:vanish/>
              </w:rPr>
            </w:pPr>
          </w:p>
        </w:tc>
        <w:tc>
          <w:tcPr>
            <w:tcW w:w="0" w:type="auto"/>
            <w:gridSpan w:val="3"/>
            <w:shd w:val="clear" w:color="auto" w:fill="auto"/>
            <w:vAlign w:val="bottom"/>
          </w:tcPr>
          <w:p w14:paraId="392C6756" w14:textId="77777777" w:rsidR="00980E5F" w:rsidRDefault="00980E5F">
            <w:pPr>
              <w:rPr>
                <w:rFonts w:ascii="宋体"/>
                <w:vanish/>
              </w:rPr>
            </w:pPr>
          </w:p>
        </w:tc>
        <w:tc>
          <w:tcPr>
            <w:tcW w:w="0" w:type="auto"/>
            <w:gridSpan w:val="3"/>
            <w:shd w:val="clear" w:color="auto" w:fill="auto"/>
            <w:vAlign w:val="bottom"/>
          </w:tcPr>
          <w:p w14:paraId="392C6757" w14:textId="77777777" w:rsidR="00980E5F" w:rsidRDefault="00980E5F">
            <w:pPr>
              <w:rPr>
                <w:rFonts w:ascii="宋体"/>
                <w:vanish/>
              </w:rPr>
            </w:pPr>
          </w:p>
        </w:tc>
      </w:tr>
      <w:tr w:rsidR="00980E5F" w14:paraId="392C6765" w14:textId="77777777">
        <w:trPr>
          <w:hidden/>
        </w:trPr>
        <w:tc>
          <w:tcPr>
            <w:tcW w:w="0" w:type="auto"/>
            <w:gridSpan w:val="3"/>
            <w:shd w:val="clear" w:color="auto" w:fill="auto"/>
            <w:vAlign w:val="bottom"/>
          </w:tcPr>
          <w:p w14:paraId="392C6759" w14:textId="77777777" w:rsidR="00980E5F" w:rsidRDefault="00980E5F">
            <w:pPr>
              <w:rPr>
                <w:rFonts w:ascii="宋体"/>
                <w:vanish/>
              </w:rPr>
            </w:pPr>
          </w:p>
        </w:tc>
        <w:tc>
          <w:tcPr>
            <w:tcW w:w="0" w:type="auto"/>
            <w:gridSpan w:val="3"/>
            <w:shd w:val="clear" w:color="auto" w:fill="auto"/>
            <w:vAlign w:val="bottom"/>
          </w:tcPr>
          <w:p w14:paraId="392C675A" w14:textId="77777777" w:rsidR="00980E5F" w:rsidRDefault="00980E5F">
            <w:pPr>
              <w:rPr>
                <w:rFonts w:ascii="宋体"/>
                <w:vanish/>
              </w:rPr>
            </w:pPr>
          </w:p>
        </w:tc>
        <w:tc>
          <w:tcPr>
            <w:tcW w:w="0" w:type="auto"/>
            <w:gridSpan w:val="3"/>
            <w:shd w:val="clear" w:color="auto" w:fill="auto"/>
            <w:vAlign w:val="bottom"/>
          </w:tcPr>
          <w:p w14:paraId="392C675B" w14:textId="77777777" w:rsidR="00980E5F" w:rsidRDefault="00980E5F">
            <w:pPr>
              <w:rPr>
                <w:rFonts w:ascii="宋体"/>
                <w:vanish/>
              </w:rPr>
            </w:pPr>
          </w:p>
        </w:tc>
        <w:tc>
          <w:tcPr>
            <w:tcW w:w="0" w:type="auto"/>
            <w:gridSpan w:val="3"/>
            <w:shd w:val="clear" w:color="auto" w:fill="auto"/>
            <w:vAlign w:val="bottom"/>
          </w:tcPr>
          <w:p w14:paraId="392C675C" w14:textId="77777777" w:rsidR="00980E5F" w:rsidRDefault="00980E5F">
            <w:pPr>
              <w:rPr>
                <w:rFonts w:ascii="宋体"/>
                <w:vanish/>
              </w:rPr>
            </w:pPr>
          </w:p>
        </w:tc>
        <w:tc>
          <w:tcPr>
            <w:tcW w:w="0" w:type="auto"/>
            <w:gridSpan w:val="3"/>
            <w:shd w:val="clear" w:color="auto" w:fill="auto"/>
            <w:vAlign w:val="bottom"/>
          </w:tcPr>
          <w:p w14:paraId="392C675D" w14:textId="77777777" w:rsidR="00980E5F" w:rsidRDefault="00980E5F">
            <w:pPr>
              <w:rPr>
                <w:rFonts w:ascii="宋体"/>
                <w:vanish/>
              </w:rPr>
            </w:pPr>
          </w:p>
        </w:tc>
        <w:tc>
          <w:tcPr>
            <w:tcW w:w="0" w:type="auto"/>
            <w:gridSpan w:val="3"/>
            <w:shd w:val="clear" w:color="auto" w:fill="auto"/>
            <w:vAlign w:val="bottom"/>
          </w:tcPr>
          <w:p w14:paraId="392C675E" w14:textId="77777777" w:rsidR="00980E5F" w:rsidRDefault="00980E5F">
            <w:pPr>
              <w:rPr>
                <w:rFonts w:ascii="宋体"/>
                <w:vanish/>
              </w:rPr>
            </w:pPr>
          </w:p>
        </w:tc>
        <w:tc>
          <w:tcPr>
            <w:tcW w:w="0" w:type="auto"/>
            <w:gridSpan w:val="3"/>
            <w:shd w:val="clear" w:color="auto" w:fill="auto"/>
            <w:vAlign w:val="bottom"/>
          </w:tcPr>
          <w:p w14:paraId="392C675F" w14:textId="77777777" w:rsidR="00980E5F" w:rsidRDefault="00980E5F">
            <w:pPr>
              <w:rPr>
                <w:rFonts w:ascii="宋体"/>
                <w:vanish/>
              </w:rPr>
            </w:pPr>
          </w:p>
        </w:tc>
        <w:tc>
          <w:tcPr>
            <w:tcW w:w="0" w:type="auto"/>
            <w:gridSpan w:val="3"/>
            <w:shd w:val="clear" w:color="auto" w:fill="auto"/>
            <w:vAlign w:val="bottom"/>
          </w:tcPr>
          <w:p w14:paraId="392C6760" w14:textId="77777777" w:rsidR="00980E5F" w:rsidRDefault="00980E5F">
            <w:pPr>
              <w:rPr>
                <w:rFonts w:ascii="宋体"/>
                <w:vanish/>
              </w:rPr>
            </w:pPr>
          </w:p>
        </w:tc>
        <w:tc>
          <w:tcPr>
            <w:tcW w:w="0" w:type="auto"/>
            <w:gridSpan w:val="3"/>
            <w:shd w:val="clear" w:color="auto" w:fill="auto"/>
            <w:vAlign w:val="bottom"/>
          </w:tcPr>
          <w:p w14:paraId="392C6761" w14:textId="77777777" w:rsidR="00980E5F" w:rsidRDefault="00980E5F">
            <w:pPr>
              <w:rPr>
                <w:rFonts w:ascii="宋体"/>
                <w:vanish/>
              </w:rPr>
            </w:pPr>
          </w:p>
        </w:tc>
        <w:tc>
          <w:tcPr>
            <w:tcW w:w="0" w:type="auto"/>
            <w:gridSpan w:val="3"/>
            <w:shd w:val="clear" w:color="auto" w:fill="auto"/>
            <w:vAlign w:val="bottom"/>
          </w:tcPr>
          <w:p w14:paraId="392C6762" w14:textId="77777777" w:rsidR="00980E5F" w:rsidRDefault="00980E5F">
            <w:pPr>
              <w:rPr>
                <w:rFonts w:ascii="宋体"/>
                <w:vanish/>
              </w:rPr>
            </w:pPr>
          </w:p>
        </w:tc>
        <w:tc>
          <w:tcPr>
            <w:tcW w:w="0" w:type="auto"/>
            <w:gridSpan w:val="3"/>
            <w:shd w:val="clear" w:color="auto" w:fill="auto"/>
            <w:vAlign w:val="bottom"/>
          </w:tcPr>
          <w:p w14:paraId="392C6763" w14:textId="77777777" w:rsidR="00980E5F" w:rsidRDefault="00980E5F">
            <w:pPr>
              <w:rPr>
                <w:rFonts w:ascii="宋体"/>
                <w:vanish/>
              </w:rPr>
            </w:pPr>
          </w:p>
        </w:tc>
        <w:tc>
          <w:tcPr>
            <w:tcW w:w="0" w:type="auto"/>
            <w:gridSpan w:val="3"/>
            <w:shd w:val="clear" w:color="auto" w:fill="auto"/>
            <w:vAlign w:val="bottom"/>
          </w:tcPr>
          <w:p w14:paraId="392C6764" w14:textId="77777777" w:rsidR="00980E5F" w:rsidRDefault="00980E5F">
            <w:pPr>
              <w:rPr>
                <w:rFonts w:ascii="宋体"/>
                <w:vanish/>
              </w:rPr>
            </w:pPr>
          </w:p>
        </w:tc>
      </w:tr>
      <w:tr w:rsidR="00980E5F" w14:paraId="392C6772" w14:textId="77777777">
        <w:trPr>
          <w:hidden/>
        </w:trPr>
        <w:tc>
          <w:tcPr>
            <w:tcW w:w="0" w:type="auto"/>
            <w:gridSpan w:val="3"/>
            <w:shd w:val="clear" w:color="auto" w:fill="auto"/>
            <w:vAlign w:val="bottom"/>
          </w:tcPr>
          <w:p w14:paraId="392C6766" w14:textId="77777777" w:rsidR="00980E5F" w:rsidRDefault="00980E5F">
            <w:pPr>
              <w:rPr>
                <w:rFonts w:ascii="宋体"/>
                <w:vanish/>
              </w:rPr>
            </w:pPr>
          </w:p>
        </w:tc>
        <w:tc>
          <w:tcPr>
            <w:tcW w:w="0" w:type="auto"/>
            <w:gridSpan w:val="3"/>
            <w:shd w:val="clear" w:color="auto" w:fill="auto"/>
            <w:vAlign w:val="bottom"/>
          </w:tcPr>
          <w:p w14:paraId="392C6767" w14:textId="77777777" w:rsidR="00980E5F" w:rsidRDefault="00980E5F">
            <w:pPr>
              <w:rPr>
                <w:rFonts w:ascii="宋体"/>
                <w:vanish/>
              </w:rPr>
            </w:pPr>
          </w:p>
        </w:tc>
        <w:tc>
          <w:tcPr>
            <w:tcW w:w="0" w:type="auto"/>
            <w:gridSpan w:val="3"/>
            <w:shd w:val="clear" w:color="auto" w:fill="auto"/>
            <w:vAlign w:val="bottom"/>
          </w:tcPr>
          <w:p w14:paraId="392C6768" w14:textId="77777777" w:rsidR="00980E5F" w:rsidRDefault="00980E5F">
            <w:pPr>
              <w:rPr>
                <w:rFonts w:ascii="宋体"/>
                <w:vanish/>
              </w:rPr>
            </w:pPr>
          </w:p>
        </w:tc>
        <w:tc>
          <w:tcPr>
            <w:tcW w:w="0" w:type="auto"/>
            <w:gridSpan w:val="3"/>
            <w:shd w:val="clear" w:color="auto" w:fill="auto"/>
            <w:vAlign w:val="bottom"/>
          </w:tcPr>
          <w:p w14:paraId="392C6769" w14:textId="77777777" w:rsidR="00980E5F" w:rsidRDefault="00980E5F">
            <w:pPr>
              <w:rPr>
                <w:rFonts w:ascii="宋体"/>
                <w:vanish/>
              </w:rPr>
            </w:pPr>
          </w:p>
        </w:tc>
        <w:tc>
          <w:tcPr>
            <w:tcW w:w="0" w:type="auto"/>
            <w:gridSpan w:val="3"/>
            <w:shd w:val="clear" w:color="auto" w:fill="auto"/>
            <w:vAlign w:val="bottom"/>
          </w:tcPr>
          <w:p w14:paraId="392C676A" w14:textId="77777777" w:rsidR="00980E5F" w:rsidRDefault="00980E5F">
            <w:pPr>
              <w:rPr>
                <w:rFonts w:ascii="宋体"/>
                <w:vanish/>
              </w:rPr>
            </w:pPr>
          </w:p>
        </w:tc>
        <w:tc>
          <w:tcPr>
            <w:tcW w:w="0" w:type="auto"/>
            <w:gridSpan w:val="3"/>
            <w:shd w:val="clear" w:color="auto" w:fill="auto"/>
            <w:vAlign w:val="bottom"/>
          </w:tcPr>
          <w:p w14:paraId="392C676B" w14:textId="77777777" w:rsidR="00980E5F" w:rsidRDefault="00980E5F">
            <w:pPr>
              <w:rPr>
                <w:rFonts w:ascii="宋体"/>
                <w:vanish/>
              </w:rPr>
            </w:pPr>
          </w:p>
        </w:tc>
        <w:tc>
          <w:tcPr>
            <w:tcW w:w="0" w:type="auto"/>
            <w:gridSpan w:val="3"/>
            <w:shd w:val="clear" w:color="auto" w:fill="auto"/>
            <w:vAlign w:val="bottom"/>
          </w:tcPr>
          <w:p w14:paraId="392C676C" w14:textId="77777777" w:rsidR="00980E5F" w:rsidRDefault="00980E5F">
            <w:pPr>
              <w:rPr>
                <w:rFonts w:ascii="宋体"/>
                <w:vanish/>
              </w:rPr>
            </w:pPr>
          </w:p>
        </w:tc>
        <w:tc>
          <w:tcPr>
            <w:tcW w:w="0" w:type="auto"/>
            <w:gridSpan w:val="3"/>
            <w:shd w:val="clear" w:color="auto" w:fill="auto"/>
            <w:vAlign w:val="bottom"/>
          </w:tcPr>
          <w:p w14:paraId="392C676D" w14:textId="77777777" w:rsidR="00980E5F" w:rsidRDefault="00980E5F">
            <w:pPr>
              <w:rPr>
                <w:rFonts w:ascii="宋体"/>
                <w:vanish/>
              </w:rPr>
            </w:pPr>
          </w:p>
        </w:tc>
        <w:tc>
          <w:tcPr>
            <w:tcW w:w="0" w:type="auto"/>
            <w:gridSpan w:val="3"/>
            <w:shd w:val="clear" w:color="auto" w:fill="auto"/>
            <w:vAlign w:val="bottom"/>
          </w:tcPr>
          <w:p w14:paraId="392C676E" w14:textId="77777777" w:rsidR="00980E5F" w:rsidRDefault="00980E5F">
            <w:pPr>
              <w:rPr>
                <w:rFonts w:ascii="宋体"/>
                <w:vanish/>
              </w:rPr>
            </w:pPr>
          </w:p>
        </w:tc>
        <w:tc>
          <w:tcPr>
            <w:tcW w:w="0" w:type="auto"/>
            <w:gridSpan w:val="3"/>
            <w:shd w:val="clear" w:color="auto" w:fill="auto"/>
            <w:vAlign w:val="bottom"/>
          </w:tcPr>
          <w:p w14:paraId="392C676F" w14:textId="77777777" w:rsidR="00980E5F" w:rsidRDefault="00980E5F">
            <w:pPr>
              <w:rPr>
                <w:rFonts w:ascii="宋体"/>
                <w:vanish/>
              </w:rPr>
            </w:pPr>
          </w:p>
        </w:tc>
        <w:tc>
          <w:tcPr>
            <w:tcW w:w="0" w:type="auto"/>
            <w:gridSpan w:val="3"/>
            <w:shd w:val="clear" w:color="auto" w:fill="auto"/>
            <w:vAlign w:val="bottom"/>
          </w:tcPr>
          <w:p w14:paraId="392C6770" w14:textId="77777777" w:rsidR="00980E5F" w:rsidRDefault="00980E5F">
            <w:pPr>
              <w:rPr>
                <w:rFonts w:ascii="宋体"/>
                <w:vanish/>
              </w:rPr>
            </w:pPr>
          </w:p>
        </w:tc>
        <w:tc>
          <w:tcPr>
            <w:tcW w:w="0" w:type="auto"/>
            <w:gridSpan w:val="3"/>
            <w:shd w:val="clear" w:color="auto" w:fill="auto"/>
            <w:vAlign w:val="bottom"/>
          </w:tcPr>
          <w:p w14:paraId="392C6771" w14:textId="77777777" w:rsidR="00980E5F" w:rsidRDefault="00980E5F">
            <w:pPr>
              <w:rPr>
                <w:rFonts w:ascii="宋体"/>
                <w:vanish/>
              </w:rPr>
            </w:pPr>
          </w:p>
        </w:tc>
      </w:tr>
    </w:tbl>
    <w:p w14:paraId="392C6773" w14:textId="77777777" w:rsidR="00980E5F" w:rsidRDefault="00483613">
      <w:pPr>
        <w:ind w:firstLine="450"/>
        <w:jc w:val="right"/>
      </w:pPr>
      <w:r>
        <w:rPr>
          <w:rFonts w:ascii="Arial" w:eastAsia="宋体" w:hAnsi="Arial" w:cs="Arial"/>
          <w:color w:val="000000"/>
          <w:sz w:val="18"/>
          <w:szCs w:val="18"/>
        </w:rPr>
        <w:t>State Street Corporation | 69</w:t>
      </w:r>
    </w:p>
    <w:p w14:paraId="392C6774" w14:textId="77777777" w:rsidR="00980E5F" w:rsidRDefault="00980E5F">
      <w:pPr>
        <w:ind w:firstLine="450"/>
        <w:jc w:val="center"/>
      </w:pPr>
    </w:p>
    <w:p w14:paraId="392C6775" w14:textId="77777777" w:rsidR="00980E5F" w:rsidRDefault="00483613">
      <w:r>
        <w:pict w14:anchorId="392CBB13">
          <v:rect id="_x0000_i1093" style="width:415.3pt;height:1.5pt" o:hralign="center" o:hrstd="t" o:hr="t" fillcolor="#a0a0a0" stroked="f"/>
        </w:pict>
      </w:r>
    </w:p>
    <w:p w14:paraId="392C6776" w14:textId="77777777" w:rsidR="00980E5F" w:rsidRDefault="00483613">
      <w:pPr>
        <w:ind w:firstLine="450"/>
        <w:jc w:val="center"/>
      </w:pPr>
      <w:r>
        <w:rPr>
          <w:rFonts w:ascii="Arial" w:eastAsia="宋体" w:hAnsi="Arial" w:cs="Arial"/>
          <w:b/>
          <w:bCs/>
          <w:color w:val="000000"/>
          <w:sz w:val="20"/>
          <w:szCs w:val="20"/>
        </w:rPr>
        <w:t>STATE STREET CORPORATION</w:t>
      </w:r>
    </w:p>
    <w:p w14:paraId="392C6777"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6778" w14:textId="77777777" w:rsidR="00980E5F" w:rsidRDefault="00483613">
      <w:pPr>
        <w:ind w:firstLine="450"/>
        <w:jc w:val="center"/>
      </w:pPr>
      <w:r>
        <w:rPr>
          <w:rFonts w:ascii="Arial" w:eastAsia="宋体" w:hAnsi="Arial" w:cs="Arial"/>
          <w:b/>
          <w:bCs/>
          <w:color w:val="000000"/>
          <w:sz w:val="20"/>
          <w:szCs w:val="20"/>
        </w:rPr>
        <w:t>(UNAUDITED)</w:t>
      </w:r>
    </w:p>
    <w:p w14:paraId="392C6779" w14:textId="77777777" w:rsidR="00980E5F" w:rsidRDefault="00483613">
      <w:pPr>
        <w:ind w:firstLine="450"/>
        <w:jc w:val="both"/>
      </w:pPr>
      <w:r>
        <w:rPr>
          <w:rFonts w:ascii="Arial" w:eastAsia="宋体" w:hAnsi="Arial" w:cs="Arial"/>
          <w:color w:val="000000"/>
          <w:sz w:val="20"/>
          <w:szCs w:val="20"/>
        </w:rPr>
        <w:t xml:space="preserve">The following table presents the amortized cost and the fair value of </w:t>
      </w:r>
      <w:r>
        <w:rPr>
          <w:rFonts w:ascii="Arial" w:eastAsia="宋体" w:hAnsi="Arial" w:cs="Arial"/>
          <w:color w:val="000000"/>
          <w:sz w:val="20"/>
          <w:szCs w:val="20"/>
        </w:rPr>
        <w:t>contractual maturities of debt investment securities as of June 30, 2022. The maturities of certain ABS, MBS and collateralized mortgage obligations are based on expected principal payments. Actual maturities may differ from these expected maturities since</w:t>
      </w:r>
      <w:r>
        <w:rPr>
          <w:rFonts w:ascii="Arial" w:eastAsia="宋体" w:hAnsi="Arial" w:cs="Arial"/>
          <w:color w:val="000000"/>
          <w:sz w:val="20"/>
          <w:szCs w:val="20"/>
        </w:rPr>
        <w:t xml:space="preserv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87"/>
        <w:gridCol w:w="1151"/>
        <w:gridCol w:w="36"/>
        <w:gridCol w:w="91"/>
        <w:gridCol w:w="558"/>
        <w:gridCol w:w="35"/>
        <w:gridCol w:w="36"/>
        <w:gridCol w:w="35"/>
        <w:gridCol w:w="35"/>
        <w:gridCol w:w="91"/>
        <w:gridCol w:w="34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tblGrid>
      <w:tr w:rsidR="00980E5F" w14:paraId="392C67B6" w14:textId="77777777">
        <w:tc>
          <w:tcPr>
            <w:tcW w:w="50" w:type="pct"/>
            <w:shd w:val="clear" w:color="auto" w:fill="auto"/>
            <w:vAlign w:val="bottom"/>
          </w:tcPr>
          <w:p w14:paraId="392C677A" w14:textId="77777777" w:rsidR="00980E5F" w:rsidRDefault="00980E5F">
            <w:pPr>
              <w:rPr>
                <w:rFonts w:ascii="宋体"/>
              </w:rPr>
            </w:pPr>
          </w:p>
        </w:tc>
        <w:tc>
          <w:tcPr>
            <w:tcW w:w="814" w:type="pct"/>
            <w:shd w:val="clear" w:color="auto" w:fill="auto"/>
            <w:vAlign w:val="bottom"/>
          </w:tcPr>
          <w:p w14:paraId="392C677B" w14:textId="77777777" w:rsidR="00980E5F" w:rsidRDefault="00980E5F">
            <w:pPr>
              <w:rPr>
                <w:rFonts w:ascii="宋体"/>
              </w:rPr>
            </w:pPr>
          </w:p>
        </w:tc>
        <w:tc>
          <w:tcPr>
            <w:tcW w:w="5" w:type="pct"/>
            <w:shd w:val="clear" w:color="auto" w:fill="auto"/>
            <w:vAlign w:val="bottom"/>
          </w:tcPr>
          <w:p w14:paraId="392C677C" w14:textId="77777777" w:rsidR="00980E5F" w:rsidRDefault="00980E5F">
            <w:pPr>
              <w:rPr>
                <w:rFonts w:ascii="宋体"/>
              </w:rPr>
            </w:pPr>
          </w:p>
        </w:tc>
        <w:tc>
          <w:tcPr>
            <w:tcW w:w="50" w:type="pct"/>
            <w:shd w:val="clear" w:color="auto" w:fill="auto"/>
            <w:vAlign w:val="bottom"/>
          </w:tcPr>
          <w:p w14:paraId="392C677D" w14:textId="77777777" w:rsidR="00980E5F" w:rsidRDefault="00980E5F">
            <w:pPr>
              <w:rPr>
                <w:rFonts w:ascii="宋体"/>
              </w:rPr>
            </w:pPr>
          </w:p>
        </w:tc>
        <w:tc>
          <w:tcPr>
            <w:tcW w:w="332" w:type="pct"/>
            <w:shd w:val="clear" w:color="auto" w:fill="auto"/>
            <w:vAlign w:val="bottom"/>
          </w:tcPr>
          <w:p w14:paraId="392C677E" w14:textId="77777777" w:rsidR="00980E5F" w:rsidRDefault="00980E5F">
            <w:pPr>
              <w:rPr>
                <w:rFonts w:ascii="宋体"/>
              </w:rPr>
            </w:pPr>
          </w:p>
        </w:tc>
        <w:tc>
          <w:tcPr>
            <w:tcW w:w="5" w:type="pct"/>
            <w:shd w:val="clear" w:color="auto" w:fill="auto"/>
            <w:vAlign w:val="bottom"/>
          </w:tcPr>
          <w:p w14:paraId="392C677F" w14:textId="77777777" w:rsidR="00980E5F" w:rsidRDefault="00980E5F">
            <w:pPr>
              <w:rPr>
                <w:rFonts w:ascii="宋体"/>
              </w:rPr>
            </w:pPr>
          </w:p>
        </w:tc>
        <w:tc>
          <w:tcPr>
            <w:tcW w:w="5" w:type="pct"/>
            <w:shd w:val="clear" w:color="auto" w:fill="auto"/>
            <w:vAlign w:val="bottom"/>
          </w:tcPr>
          <w:p w14:paraId="392C6780" w14:textId="77777777" w:rsidR="00980E5F" w:rsidRDefault="00980E5F">
            <w:pPr>
              <w:rPr>
                <w:rFonts w:ascii="宋体"/>
              </w:rPr>
            </w:pPr>
          </w:p>
        </w:tc>
        <w:tc>
          <w:tcPr>
            <w:tcW w:w="26" w:type="pct"/>
            <w:shd w:val="clear" w:color="auto" w:fill="auto"/>
            <w:vAlign w:val="bottom"/>
          </w:tcPr>
          <w:p w14:paraId="392C6781" w14:textId="77777777" w:rsidR="00980E5F" w:rsidRDefault="00980E5F">
            <w:pPr>
              <w:rPr>
                <w:rFonts w:ascii="宋体"/>
              </w:rPr>
            </w:pPr>
          </w:p>
        </w:tc>
        <w:tc>
          <w:tcPr>
            <w:tcW w:w="5" w:type="pct"/>
            <w:shd w:val="clear" w:color="auto" w:fill="auto"/>
            <w:vAlign w:val="bottom"/>
          </w:tcPr>
          <w:p w14:paraId="392C6782" w14:textId="77777777" w:rsidR="00980E5F" w:rsidRDefault="00980E5F">
            <w:pPr>
              <w:rPr>
                <w:rFonts w:ascii="宋体"/>
              </w:rPr>
            </w:pPr>
          </w:p>
        </w:tc>
        <w:tc>
          <w:tcPr>
            <w:tcW w:w="50" w:type="pct"/>
            <w:shd w:val="clear" w:color="auto" w:fill="auto"/>
            <w:vAlign w:val="bottom"/>
          </w:tcPr>
          <w:p w14:paraId="392C6783" w14:textId="77777777" w:rsidR="00980E5F" w:rsidRDefault="00980E5F">
            <w:pPr>
              <w:rPr>
                <w:rFonts w:ascii="宋体"/>
              </w:rPr>
            </w:pPr>
          </w:p>
        </w:tc>
        <w:tc>
          <w:tcPr>
            <w:tcW w:w="317" w:type="pct"/>
            <w:shd w:val="clear" w:color="auto" w:fill="auto"/>
            <w:vAlign w:val="bottom"/>
          </w:tcPr>
          <w:p w14:paraId="392C6784" w14:textId="77777777" w:rsidR="00980E5F" w:rsidRDefault="00980E5F">
            <w:pPr>
              <w:rPr>
                <w:rFonts w:ascii="宋体"/>
              </w:rPr>
            </w:pPr>
          </w:p>
        </w:tc>
        <w:tc>
          <w:tcPr>
            <w:tcW w:w="5" w:type="pct"/>
            <w:shd w:val="clear" w:color="auto" w:fill="auto"/>
            <w:vAlign w:val="bottom"/>
          </w:tcPr>
          <w:p w14:paraId="392C6785" w14:textId="77777777" w:rsidR="00980E5F" w:rsidRDefault="00980E5F">
            <w:pPr>
              <w:rPr>
                <w:rFonts w:ascii="宋体"/>
              </w:rPr>
            </w:pPr>
          </w:p>
        </w:tc>
        <w:tc>
          <w:tcPr>
            <w:tcW w:w="5" w:type="pct"/>
            <w:shd w:val="clear" w:color="auto" w:fill="auto"/>
            <w:vAlign w:val="bottom"/>
          </w:tcPr>
          <w:p w14:paraId="392C6786" w14:textId="77777777" w:rsidR="00980E5F" w:rsidRDefault="00980E5F">
            <w:pPr>
              <w:rPr>
                <w:rFonts w:ascii="宋体"/>
              </w:rPr>
            </w:pPr>
          </w:p>
        </w:tc>
        <w:tc>
          <w:tcPr>
            <w:tcW w:w="26" w:type="pct"/>
            <w:shd w:val="clear" w:color="auto" w:fill="auto"/>
            <w:vAlign w:val="bottom"/>
          </w:tcPr>
          <w:p w14:paraId="392C6787" w14:textId="77777777" w:rsidR="00980E5F" w:rsidRDefault="00980E5F">
            <w:pPr>
              <w:rPr>
                <w:rFonts w:ascii="宋体"/>
              </w:rPr>
            </w:pPr>
          </w:p>
        </w:tc>
        <w:tc>
          <w:tcPr>
            <w:tcW w:w="5" w:type="pct"/>
            <w:shd w:val="clear" w:color="auto" w:fill="auto"/>
            <w:vAlign w:val="bottom"/>
          </w:tcPr>
          <w:p w14:paraId="392C6788" w14:textId="77777777" w:rsidR="00980E5F" w:rsidRDefault="00980E5F">
            <w:pPr>
              <w:rPr>
                <w:rFonts w:ascii="宋体"/>
              </w:rPr>
            </w:pPr>
          </w:p>
        </w:tc>
        <w:tc>
          <w:tcPr>
            <w:tcW w:w="50" w:type="pct"/>
            <w:shd w:val="clear" w:color="auto" w:fill="auto"/>
            <w:vAlign w:val="bottom"/>
          </w:tcPr>
          <w:p w14:paraId="392C6789" w14:textId="77777777" w:rsidR="00980E5F" w:rsidRDefault="00980E5F">
            <w:pPr>
              <w:rPr>
                <w:rFonts w:ascii="宋体"/>
              </w:rPr>
            </w:pPr>
          </w:p>
        </w:tc>
        <w:tc>
          <w:tcPr>
            <w:tcW w:w="332" w:type="pct"/>
            <w:shd w:val="clear" w:color="auto" w:fill="auto"/>
            <w:vAlign w:val="bottom"/>
          </w:tcPr>
          <w:p w14:paraId="392C678A" w14:textId="77777777" w:rsidR="00980E5F" w:rsidRDefault="00980E5F">
            <w:pPr>
              <w:rPr>
                <w:rFonts w:ascii="宋体"/>
              </w:rPr>
            </w:pPr>
          </w:p>
        </w:tc>
        <w:tc>
          <w:tcPr>
            <w:tcW w:w="5" w:type="pct"/>
            <w:shd w:val="clear" w:color="auto" w:fill="auto"/>
            <w:vAlign w:val="bottom"/>
          </w:tcPr>
          <w:p w14:paraId="392C678B" w14:textId="77777777" w:rsidR="00980E5F" w:rsidRDefault="00980E5F">
            <w:pPr>
              <w:rPr>
                <w:rFonts w:ascii="宋体"/>
              </w:rPr>
            </w:pPr>
          </w:p>
        </w:tc>
        <w:tc>
          <w:tcPr>
            <w:tcW w:w="5" w:type="pct"/>
            <w:shd w:val="clear" w:color="auto" w:fill="auto"/>
            <w:vAlign w:val="bottom"/>
          </w:tcPr>
          <w:p w14:paraId="392C678C" w14:textId="77777777" w:rsidR="00980E5F" w:rsidRDefault="00980E5F">
            <w:pPr>
              <w:rPr>
                <w:rFonts w:ascii="宋体"/>
              </w:rPr>
            </w:pPr>
          </w:p>
        </w:tc>
        <w:tc>
          <w:tcPr>
            <w:tcW w:w="26" w:type="pct"/>
            <w:shd w:val="clear" w:color="auto" w:fill="auto"/>
            <w:vAlign w:val="bottom"/>
          </w:tcPr>
          <w:p w14:paraId="392C678D" w14:textId="77777777" w:rsidR="00980E5F" w:rsidRDefault="00980E5F">
            <w:pPr>
              <w:rPr>
                <w:rFonts w:ascii="宋体"/>
              </w:rPr>
            </w:pPr>
          </w:p>
        </w:tc>
        <w:tc>
          <w:tcPr>
            <w:tcW w:w="5" w:type="pct"/>
            <w:shd w:val="clear" w:color="auto" w:fill="auto"/>
            <w:vAlign w:val="bottom"/>
          </w:tcPr>
          <w:p w14:paraId="392C678E" w14:textId="77777777" w:rsidR="00980E5F" w:rsidRDefault="00980E5F">
            <w:pPr>
              <w:rPr>
                <w:rFonts w:ascii="宋体"/>
              </w:rPr>
            </w:pPr>
          </w:p>
        </w:tc>
        <w:tc>
          <w:tcPr>
            <w:tcW w:w="50" w:type="pct"/>
            <w:shd w:val="clear" w:color="auto" w:fill="auto"/>
            <w:vAlign w:val="bottom"/>
          </w:tcPr>
          <w:p w14:paraId="392C678F" w14:textId="77777777" w:rsidR="00980E5F" w:rsidRDefault="00980E5F">
            <w:pPr>
              <w:rPr>
                <w:rFonts w:ascii="宋体"/>
              </w:rPr>
            </w:pPr>
          </w:p>
        </w:tc>
        <w:tc>
          <w:tcPr>
            <w:tcW w:w="317" w:type="pct"/>
            <w:shd w:val="clear" w:color="auto" w:fill="auto"/>
            <w:vAlign w:val="bottom"/>
          </w:tcPr>
          <w:p w14:paraId="392C6790" w14:textId="77777777" w:rsidR="00980E5F" w:rsidRDefault="00980E5F">
            <w:pPr>
              <w:rPr>
                <w:rFonts w:ascii="宋体"/>
              </w:rPr>
            </w:pPr>
          </w:p>
        </w:tc>
        <w:tc>
          <w:tcPr>
            <w:tcW w:w="5" w:type="pct"/>
            <w:shd w:val="clear" w:color="auto" w:fill="auto"/>
            <w:vAlign w:val="bottom"/>
          </w:tcPr>
          <w:p w14:paraId="392C6791" w14:textId="77777777" w:rsidR="00980E5F" w:rsidRDefault="00980E5F">
            <w:pPr>
              <w:rPr>
                <w:rFonts w:ascii="宋体"/>
              </w:rPr>
            </w:pPr>
          </w:p>
        </w:tc>
        <w:tc>
          <w:tcPr>
            <w:tcW w:w="5" w:type="pct"/>
            <w:shd w:val="clear" w:color="auto" w:fill="auto"/>
            <w:vAlign w:val="bottom"/>
          </w:tcPr>
          <w:p w14:paraId="392C6792" w14:textId="77777777" w:rsidR="00980E5F" w:rsidRDefault="00980E5F">
            <w:pPr>
              <w:rPr>
                <w:rFonts w:ascii="宋体"/>
              </w:rPr>
            </w:pPr>
          </w:p>
        </w:tc>
        <w:tc>
          <w:tcPr>
            <w:tcW w:w="26" w:type="pct"/>
            <w:shd w:val="clear" w:color="auto" w:fill="auto"/>
            <w:vAlign w:val="bottom"/>
          </w:tcPr>
          <w:p w14:paraId="392C6793" w14:textId="77777777" w:rsidR="00980E5F" w:rsidRDefault="00980E5F">
            <w:pPr>
              <w:rPr>
                <w:rFonts w:ascii="宋体"/>
              </w:rPr>
            </w:pPr>
          </w:p>
        </w:tc>
        <w:tc>
          <w:tcPr>
            <w:tcW w:w="5" w:type="pct"/>
            <w:shd w:val="clear" w:color="auto" w:fill="auto"/>
            <w:vAlign w:val="bottom"/>
          </w:tcPr>
          <w:p w14:paraId="392C6794" w14:textId="77777777" w:rsidR="00980E5F" w:rsidRDefault="00980E5F">
            <w:pPr>
              <w:rPr>
                <w:rFonts w:ascii="宋体"/>
              </w:rPr>
            </w:pPr>
          </w:p>
        </w:tc>
        <w:tc>
          <w:tcPr>
            <w:tcW w:w="50" w:type="pct"/>
            <w:shd w:val="clear" w:color="auto" w:fill="auto"/>
            <w:vAlign w:val="bottom"/>
          </w:tcPr>
          <w:p w14:paraId="392C6795" w14:textId="77777777" w:rsidR="00980E5F" w:rsidRDefault="00980E5F">
            <w:pPr>
              <w:rPr>
                <w:rFonts w:ascii="宋体"/>
              </w:rPr>
            </w:pPr>
          </w:p>
        </w:tc>
        <w:tc>
          <w:tcPr>
            <w:tcW w:w="332" w:type="pct"/>
            <w:shd w:val="clear" w:color="auto" w:fill="auto"/>
            <w:vAlign w:val="bottom"/>
          </w:tcPr>
          <w:p w14:paraId="392C6796" w14:textId="77777777" w:rsidR="00980E5F" w:rsidRDefault="00980E5F">
            <w:pPr>
              <w:rPr>
                <w:rFonts w:ascii="宋体"/>
              </w:rPr>
            </w:pPr>
          </w:p>
        </w:tc>
        <w:tc>
          <w:tcPr>
            <w:tcW w:w="5" w:type="pct"/>
            <w:shd w:val="clear" w:color="auto" w:fill="auto"/>
            <w:vAlign w:val="bottom"/>
          </w:tcPr>
          <w:p w14:paraId="392C6797" w14:textId="77777777" w:rsidR="00980E5F" w:rsidRDefault="00980E5F">
            <w:pPr>
              <w:rPr>
                <w:rFonts w:ascii="宋体"/>
              </w:rPr>
            </w:pPr>
          </w:p>
        </w:tc>
        <w:tc>
          <w:tcPr>
            <w:tcW w:w="5" w:type="pct"/>
            <w:shd w:val="clear" w:color="auto" w:fill="auto"/>
            <w:vAlign w:val="bottom"/>
          </w:tcPr>
          <w:p w14:paraId="392C6798" w14:textId="77777777" w:rsidR="00980E5F" w:rsidRDefault="00980E5F">
            <w:pPr>
              <w:rPr>
                <w:rFonts w:ascii="宋体"/>
              </w:rPr>
            </w:pPr>
          </w:p>
        </w:tc>
        <w:tc>
          <w:tcPr>
            <w:tcW w:w="26" w:type="pct"/>
            <w:shd w:val="clear" w:color="auto" w:fill="auto"/>
            <w:vAlign w:val="bottom"/>
          </w:tcPr>
          <w:p w14:paraId="392C6799" w14:textId="77777777" w:rsidR="00980E5F" w:rsidRDefault="00980E5F">
            <w:pPr>
              <w:rPr>
                <w:rFonts w:ascii="宋体"/>
              </w:rPr>
            </w:pPr>
          </w:p>
        </w:tc>
        <w:tc>
          <w:tcPr>
            <w:tcW w:w="5" w:type="pct"/>
            <w:shd w:val="clear" w:color="auto" w:fill="auto"/>
            <w:vAlign w:val="bottom"/>
          </w:tcPr>
          <w:p w14:paraId="392C679A" w14:textId="77777777" w:rsidR="00980E5F" w:rsidRDefault="00980E5F">
            <w:pPr>
              <w:rPr>
                <w:rFonts w:ascii="宋体"/>
              </w:rPr>
            </w:pPr>
          </w:p>
        </w:tc>
        <w:tc>
          <w:tcPr>
            <w:tcW w:w="50" w:type="pct"/>
            <w:shd w:val="clear" w:color="auto" w:fill="auto"/>
            <w:vAlign w:val="bottom"/>
          </w:tcPr>
          <w:p w14:paraId="392C679B" w14:textId="77777777" w:rsidR="00980E5F" w:rsidRDefault="00980E5F">
            <w:pPr>
              <w:rPr>
                <w:rFonts w:ascii="宋体"/>
              </w:rPr>
            </w:pPr>
          </w:p>
        </w:tc>
        <w:tc>
          <w:tcPr>
            <w:tcW w:w="317" w:type="pct"/>
            <w:shd w:val="clear" w:color="auto" w:fill="auto"/>
            <w:vAlign w:val="bottom"/>
          </w:tcPr>
          <w:p w14:paraId="392C679C" w14:textId="77777777" w:rsidR="00980E5F" w:rsidRDefault="00980E5F">
            <w:pPr>
              <w:rPr>
                <w:rFonts w:ascii="宋体"/>
              </w:rPr>
            </w:pPr>
          </w:p>
        </w:tc>
        <w:tc>
          <w:tcPr>
            <w:tcW w:w="5" w:type="pct"/>
            <w:shd w:val="clear" w:color="auto" w:fill="auto"/>
            <w:vAlign w:val="bottom"/>
          </w:tcPr>
          <w:p w14:paraId="392C679D" w14:textId="77777777" w:rsidR="00980E5F" w:rsidRDefault="00980E5F">
            <w:pPr>
              <w:rPr>
                <w:rFonts w:ascii="宋体"/>
              </w:rPr>
            </w:pPr>
          </w:p>
        </w:tc>
        <w:tc>
          <w:tcPr>
            <w:tcW w:w="5" w:type="pct"/>
            <w:shd w:val="clear" w:color="auto" w:fill="auto"/>
            <w:vAlign w:val="bottom"/>
          </w:tcPr>
          <w:p w14:paraId="392C679E" w14:textId="77777777" w:rsidR="00980E5F" w:rsidRDefault="00980E5F">
            <w:pPr>
              <w:rPr>
                <w:rFonts w:ascii="宋体"/>
              </w:rPr>
            </w:pPr>
          </w:p>
        </w:tc>
        <w:tc>
          <w:tcPr>
            <w:tcW w:w="26" w:type="pct"/>
            <w:shd w:val="clear" w:color="auto" w:fill="auto"/>
            <w:vAlign w:val="bottom"/>
          </w:tcPr>
          <w:p w14:paraId="392C679F" w14:textId="77777777" w:rsidR="00980E5F" w:rsidRDefault="00980E5F">
            <w:pPr>
              <w:rPr>
                <w:rFonts w:ascii="宋体"/>
              </w:rPr>
            </w:pPr>
          </w:p>
        </w:tc>
        <w:tc>
          <w:tcPr>
            <w:tcW w:w="5" w:type="pct"/>
            <w:shd w:val="clear" w:color="auto" w:fill="auto"/>
            <w:vAlign w:val="bottom"/>
          </w:tcPr>
          <w:p w14:paraId="392C67A0" w14:textId="77777777" w:rsidR="00980E5F" w:rsidRDefault="00980E5F">
            <w:pPr>
              <w:rPr>
                <w:rFonts w:ascii="宋体"/>
              </w:rPr>
            </w:pPr>
          </w:p>
        </w:tc>
        <w:tc>
          <w:tcPr>
            <w:tcW w:w="50" w:type="pct"/>
            <w:shd w:val="clear" w:color="auto" w:fill="auto"/>
            <w:vAlign w:val="bottom"/>
          </w:tcPr>
          <w:p w14:paraId="392C67A1" w14:textId="77777777" w:rsidR="00980E5F" w:rsidRDefault="00980E5F">
            <w:pPr>
              <w:rPr>
                <w:rFonts w:ascii="宋体"/>
              </w:rPr>
            </w:pPr>
          </w:p>
        </w:tc>
        <w:tc>
          <w:tcPr>
            <w:tcW w:w="332" w:type="pct"/>
            <w:shd w:val="clear" w:color="auto" w:fill="auto"/>
            <w:vAlign w:val="bottom"/>
          </w:tcPr>
          <w:p w14:paraId="392C67A2" w14:textId="77777777" w:rsidR="00980E5F" w:rsidRDefault="00980E5F">
            <w:pPr>
              <w:rPr>
                <w:rFonts w:ascii="宋体"/>
              </w:rPr>
            </w:pPr>
          </w:p>
        </w:tc>
        <w:tc>
          <w:tcPr>
            <w:tcW w:w="5" w:type="pct"/>
            <w:shd w:val="clear" w:color="auto" w:fill="auto"/>
            <w:vAlign w:val="bottom"/>
          </w:tcPr>
          <w:p w14:paraId="392C67A3" w14:textId="77777777" w:rsidR="00980E5F" w:rsidRDefault="00980E5F">
            <w:pPr>
              <w:rPr>
                <w:rFonts w:ascii="宋体"/>
              </w:rPr>
            </w:pPr>
          </w:p>
        </w:tc>
        <w:tc>
          <w:tcPr>
            <w:tcW w:w="5" w:type="pct"/>
            <w:shd w:val="clear" w:color="auto" w:fill="auto"/>
            <w:vAlign w:val="bottom"/>
          </w:tcPr>
          <w:p w14:paraId="392C67A4" w14:textId="77777777" w:rsidR="00980E5F" w:rsidRDefault="00980E5F">
            <w:pPr>
              <w:rPr>
                <w:rFonts w:ascii="宋体"/>
              </w:rPr>
            </w:pPr>
          </w:p>
        </w:tc>
        <w:tc>
          <w:tcPr>
            <w:tcW w:w="26" w:type="pct"/>
            <w:shd w:val="clear" w:color="auto" w:fill="auto"/>
            <w:vAlign w:val="bottom"/>
          </w:tcPr>
          <w:p w14:paraId="392C67A5" w14:textId="77777777" w:rsidR="00980E5F" w:rsidRDefault="00980E5F">
            <w:pPr>
              <w:rPr>
                <w:rFonts w:ascii="宋体"/>
              </w:rPr>
            </w:pPr>
          </w:p>
        </w:tc>
        <w:tc>
          <w:tcPr>
            <w:tcW w:w="5" w:type="pct"/>
            <w:shd w:val="clear" w:color="auto" w:fill="auto"/>
            <w:vAlign w:val="bottom"/>
          </w:tcPr>
          <w:p w14:paraId="392C67A6" w14:textId="77777777" w:rsidR="00980E5F" w:rsidRDefault="00980E5F">
            <w:pPr>
              <w:rPr>
                <w:rFonts w:ascii="宋体"/>
              </w:rPr>
            </w:pPr>
          </w:p>
        </w:tc>
        <w:tc>
          <w:tcPr>
            <w:tcW w:w="50" w:type="pct"/>
            <w:shd w:val="clear" w:color="auto" w:fill="auto"/>
            <w:vAlign w:val="bottom"/>
          </w:tcPr>
          <w:p w14:paraId="392C67A7" w14:textId="77777777" w:rsidR="00980E5F" w:rsidRDefault="00980E5F">
            <w:pPr>
              <w:rPr>
                <w:rFonts w:ascii="宋体"/>
              </w:rPr>
            </w:pPr>
          </w:p>
        </w:tc>
        <w:tc>
          <w:tcPr>
            <w:tcW w:w="317" w:type="pct"/>
            <w:shd w:val="clear" w:color="auto" w:fill="auto"/>
            <w:vAlign w:val="bottom"/>
          </w:tcPr>
          <w:p w14:paraId="392C67A8" w14:textId="77777777" w:rsidR="00980E5F" w:rsidRDefault="00980E5F">
            <w:pPr>
              <w:rPr>
                <w:rFonts w:ascii="宋体"/>
              </w:rPr>
            </w:pPr>
          </w:p>
        </w:tc>
        <w:tc>
          <w:tcPr>
            <w:tcW w:w="5" w:type="pct"/>
            <w:shd w:val="clear" w:color="auto" w:fill="auto"/>
            <w:vAlign w:val="bottom"/>
          </w:tcPr>
          <w:p w14:paraId="392C67A9" w14:textId="77777777" w:rsidR="00980E5F" w:rsidRDefault="00980E5F">
            <w:pPr>
              <w:rPr>
                <w:rFonts w:ascii="宋体"/>
              </w:rPr>
            </w:pPr>
          </w:p>
        </w:tc>
        <w:tc>
          <w:tcPr>
            <w:tcW w:w="5" w:type="pct"/>
            <w:shd w:val="clear" w:color="auto" w:fill="auto"/>
            <w:vAlign w:val="bottom"/>
          </w:tcPr>
          <w:p w14:paraId="392C67AA" w14:textId="77777777" w:rsidR="00980E5F" w:rsidRDefault="00980E5F">
            <w:pPr>
              <w:rPr>
                <w:rFonts w:ascii="宋体"/>
              </w:rPr>
            </w:pPr>
          </w:p>
        </w:tc>
        <w:tc>
          <w:tcPr>
            <w:tcW w:w="26" w:type="pct"/>
            <w:shd w:val="clear" w:color="auto" w:fill="auto"/>
            <w:vAlign w:val="bottom"/>
          </w:tcPr>
          <w:p w14:paraId="392C67AB" w14:textId="77777777" w:rsidR="00980E5F" w:rsidRDefault="00980E5F">
            <w:pPr>
              <w:rPr>
                <w:rFonts w:ascii="宋体"/>
              </w:rPr>
            </w:pPr>
          </w:p>
        </w:tc>
        <w:tc>
          <w:tcPr>
            <w:tcW w:w="5" w:type="pct"/>
            <w:shd w:val="clear" w:color="auto" w:fill="auto"/>
            <w:vAlign w:val="bottom"/>
          </w:tcPr>
          <w:p w14:paraId="392C67AC" w14:textId="77777777" w:rsidR="00980E5F" w:rsidRDefault="00980E5F">
            <w:pPr>
              <w:rPr>
                <w:rFonts w:ascii="宋体"/>
              </w:rPr>
            </w:pPr>
          </w:p>
        </w:tc>
        <w:tc>
          <w:tcPr>
            <w:tcW w:w="50" w:type="pct"/>
            <w:shd w:val="clear" w:color="auto" w:fill="auto"/>
            <w:vAlign w:val="bottom"/>
          </w:tcPr>
          <w:p w14:paraId="392C67AD" w14:textId="77777777" w:rsidR="00980E5F" w:rsidRDefault="00980E5F">
            <w:pPr>
              <w:rPr>
                <w:rFonts w:ascii="宋体"/>
              </w:rPr>
            </w:pPr>
          </w:p>
        </w:tc>
        <w:tc>
          <w:tcPr>
            <w:tcW w:w="332" w:type="pct"/>
            <w:shd w:val="clear" w:color="auto" w:fill="auto"/>
            <w:vAlign w:val="bottom"/>
          </w:tcPr>
          <w:p w14:paraId="392C67AE" w14:textId="77777777" w:rsidR="00980E5F" w:rsidRDefault="00980E5F">
            <w:pPr>
              <w:rPr>
                <w:rFonts w:ascii="宋体"/>
              </w:rPr>
            </w:pPr>
          </w:p>
        </w:tc>
        <w:tc>
          <w:tcPr>
            <w:tcW w:w="5" w:type="pct"/>
            <w:shd w:val="clear" w:color="auto" w:fill="auto"/>
            <w:vAlign w:val="bottom"/>
          </w:tcPr>
          <w:p w14:paraId="392C67AF" w14:textId="77777777" w:rsidR="00980E5F" w:rsidRDefault="00980E5F">
            <w:pPr>
              <w:rPr>
                <w:rFonts w:ascii="宋体"/>
              </w:rPr>
            </w:pPr>
          </w:p>
        </w:tc>
        <w:tc>
          <w:tcPr>
            <w:tcW w:w="5" w:type="pct"/>
            <w:shd w:val="clear" w:color="auto" w:fill="auto"/>
            <w:vAlign w:val="bottom"/>
          </w:tcPr>
          <w:p w14:paraId="392C67B0" w14:textId="77777777" w:rsidR="00980E5F" w:rsidRDefault="00980E5F">
            <w:pPr>
              <w:rPr>
                <w:rFonts w:ascii="宋体"/>
              </w:rPr>
            </w:pPr>
          </w:p>
        </w:tc>
        <w:tc>
          <w:tcPr>
            <w:tcW w:w="26" w:type="pct"/>
            <w:shd w:val="clear" w:color="auto" w:fill="auto"/>
            <w:vAlign w:val="bottom"/>
          </w:tcPr>
          <w:p w14:paraId="392C67B1" w14:textId="77777777" w:rsidR="00980E5F" w:rsidRDefault="00980E5F">
            <w:pPr>
              <w:rPr>
                <w:rFonts w:ascii="宋体"/>
              </w:rPr>
            </w:pPr>
          </w:p>
        </w:tc>
        <w:tc>
          <w:tcPr>
            <w:tcW w:w="5" w:type="pct"/>
            <w:shd w:val="clear" w:color="auto" w:fill="auto"/>
            <w:vAlign w:val="bottom"/>
          </w:tcPr>
          <w:p w14:paraId="392C67B2" w14:textId="77777777" w:rsidR="00980E5F" w:rsidRDefault="00980E5F">
            <w:pPr>
              <w:rPr>
                <w:rFonts w:ascii="宋体"/>
              </w:rPr>
            </w:pPr>
          </w:p>
        </w:tc>
        <w:tc>
          <w:tcPr>
            <w:tcW w:w="50" w:type="pct"/>
            <w:shd w:val="clear" w:color="auto" w:fill="auto"/>
            <w:vAlign w:val="bottom"/>
          </w:tcPr>
          <w:p w14:paraId="392C67B3" w14:textId="77777777" w:rsidR="00980E5F" w:rsidRDefault="00980E5F">
            <w:pPr>
              <w:rPr>
                <w:rFonts w:ascii="宋体"/>
              </w:rPr>
            </w:pPr>
          </w:p>
        </w:tc>
        <w:tc>
          <w:tcPr>
            <w:tcW w:w="318" w:type="pct"/>
            <w:shd w:val="clear" w:color="auto" w:fill="auto"/>
            <w:vAlign w:val="bottom"/>
          </w:tcPr>
          <w:p w14:paraId="392C67B4" w14:textId="77777777" w:rsidR="00980E5F" w:rsidRDefault="00980E5F">
            <w:pPr>
              <w:rPr>
                <w:rFonts w:ascii="宋体"/>
              </w:rPr>
            </w:pPr>
          </w:p>
        </w:tc>
        <w:tc>
          <w:tcPr>
            <w:tcW w:w="5" w:type="pct"/>
            <w:shd w:val="clear" w:color="auto" w:fill="auto"/>
            <w:vAlign w:val="bottom"/>
          </w:tcPr>
          <w:p w14:paraId="392C67B5" w14:textId="77777777" w:rsidR="00980E5F" w:rsidRDefault="00980E5F">
            <w:pPr>
              <w:rPr>
                <w:rFonts w:ascii="宋体"/>
              </w:rPr>
            </w:pPr>
          </w:p>
        </w:tc>
      </w:tr>
      <w:tr w:rsidR="00980E5F" w14:paraId="392C67B9" w14:textId="77777777">
        <w:tc>
          <w:tcPr>
            <w:tcW w:w="0" w:type="auto"/>
            <w:gridSpan w:val="3"/>
            <w:shd w:val="clear" w:color="auto" w:fill="auto"/>
            <w:tcMar>
              <w:top w:w="0" w:type="dxa"/>
              <w:left w:w="20" w:type="dxa"/>
              <w:bottom w:w="0" w:type="dxa"/>
              <w:right w:w="20" w:type="dxa"/>
            </w:tcMar>
            <w:vAlign w:val="bottom"/>
          </w:tcPr>
          <w:p w14:paraId="392C67B7" w14:textId="77777777" w:rsidR="00980E5F" w:rsidRDefault="00980E5F">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392C67B8" w14:textId="77777777" w:rsidR="00980E5F" w:rsidRDefault="00483613">
            <w:pPr>
              <w:jc w:val="center"/>
              <w:textAlignment w:val="bottom"/>
            </w:pPr>
            <w:r>
              <w:rPr>
                <w:rFonts w:ascii="Arial" w:eastAsia="宋体" w:hAnsi="Arial" w:cs="Arial"/>
                <w:b/>
                <w:bCs/>
                <w:color w:val="000000"/>
                <w:sz w:val="13"/>
                <w:szCs w:val="13"/>
              </w:rPr>
              <w:t>As of June 30, 2022</w:t>
            </w:r>
          </w:p>
        </w:tc>
      </w:tr>
      <w:tr w:rsidR="00980E5F" w14:paraId="392C67C4" w14:textId="77777777">
        <w:tc>
          <w:tcPr>
            <w:tcW w:w="0" w:type="auto"/>
            <w:gridSpan w:val="3"/>
            <w:shd w:val="clear" w:color="auto" w:fill="auto"/>
            <w:tcMar>
              <w:top w:w="40" w:type="dxa"/>
              <w:left w:w="20" w:type="dxa"/>
              <w:bottom w:w="40" w:type="dxa"/>
              <w:right w:w="20" w:type="dxa"/>
            </w:tcMar>
            <w:vAlign w:val="bottom"/>
          </w:tcPr>
          <w:p w14:paraId="392C67BA"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7BB" w14:textId="77777777" w:rsidR="00980E5F" w:rsidRDefault="00483613">
            <w:pPr>
              <w:jc w:val="center"/>
              <w:textAlignment w:val="bottom"/>
            </w:pPr>
            <w:r>
              <w:rPr>
                <w:rFonts w:ascii="Arial" w:eastAsia="宋体" w:hAnsi="Arial" w:cs="Arial"/>
                <w:b/>
                <w:bCs/>
                <w:color w:val="000000"/>
                <w:sz w:val="13"/>
                <w:szCs w:val="13"/>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BC"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7BD" w14:textId="77777777" w:rsidR="00980E5F" w:rsidRDefault="00483613">
            <w:pPr>
              <w:jc w:val="center"/>
              <w:textAlignment w:val="bottom"/>
            </w:pPr>
            <w:r>
              <w:rPr>
                <w:rFonts w:ascii="Arial" w:eastAsia="宋体" w:hAnsi="Arial" w:cs="Arial"/>
                <w:b/>
                <w:bCs/>
                <w:color w:val="000000"/>
                <w:sz w:val="13"/>
                <w:szCs w:val="13"/>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BE"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7BF" w14:textId="77777777" w:rsidR="00980E5F" w:rsidRDefault="00483613">
            <w:pPr>
              <w:jc w:val="center"/>
              <w:textAlignment w:val="bottom"/>
            </w:pPr>
            <w:r>
              <w:rPr>
                <w:rFonts w:ascii="Arial" w:eastAsia="宋体" w:hAnsi="Arial" w:cs="Arial"/>
                <w:b/>
                <w:bCs/>
                <w:color w:val="000000"/>
                <w:sz w:val="13"/>
                <w:szCs w:val="13"/>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C0"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7C1" w14:textId="77777777" w:rsidR="00980E5F" w:rsidRDefault="00483613">
            <w:pPr>
              <w:jc w:val="center"/>
              <w:textAlignment w:val="bottom"/>
            </w:pPr>
            <w:r>
              <w:rPr>
                <w:rFonts w:ascii="Arial" w:eastAsia="宋体" w:hAnsi="Arial" w:cs="Arial"/>
                <w:b/>
                <w:bCs/>
                <w:color w:val="000000"/>
                <w:sz w:val="13"/>
                <w:szCs w:val="13"/>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C2"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67C3" w14:textId="77777777" w:rsidR="00980E5F" w:rsidRDefault="00483613">
            <w:pPr>
              <w:jc w:val="center"/>
              <w:textAlignment w:val="bottom"/>
            </w:pPr>
            <w:r>
              <w:rPr>
                <w:rFonts w:ascii="Arial" w:eastAsia="宋体" w:hAnsi="Arial" w:cs="Arial"/>
                <w:b/>
                <w:bCs/>
                <w:color w:val="000000"/>
                <w:sz w:val="13"/>
                <w:szCs w:val="13"/>
              </w:rPr>
              <w:t>Total</w:t>
            </w:r>
          </w:p>
        </w:tc>
      </w:tr>
      <w:tr w:rsidR="00980E5F" w14:paraId="392C67D9" w14:textId="77777777">
        <w:tc>
          <w:tcPr>
            <w:tcW w:w="0" w:type="auto"/>
            <w:gridSpan w:val="3"/>
            <w:shd w:val="clear" w:color="auto" w:fill="auto"/>
            <w:tcMar>
              <w:top w:w="0" w:type="dxa"/>
              <w:left w:w="20" w:type="dxa"/>
              <w:bottom w:w="0" w:type="dxa"/>
              <w:right w:w="20" w:type="dxa"/>
            </w:tcMar>
            <w:vAlign w:val="bottom"/>
          </w:tcPr>
          <w:p w14:paraId="392C67C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C6" w14:textId="77777777" w:rsidR="00980E5F" w:rsidRDefault="00483613">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C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C8" w14:textId="77777777" w:rsidR="00980E5F" w:rsidRDefault="00483613">
            <w:pPr>
              <w:jc w:val="center"/>
              <w:textAlignment w:val="bottom"/>
            </w:pPr>
            <w:r>
              <w:rPr>
                <w:rFonts w:ascii="Arial" w:eastAsia="宋体" w:hAnsi="Arial" w:cs="Arial"/>
                <w:b/>
                <w:bCs/>
                <w:color w:val="000000"/>
                <w:sz w:val="13"/>
                <w:szCs w:val="13"/>
              </w:rPr>
              <w:t xml:space="preserve">Fair </w:t>
            </w:r>
            <w:r>
              <w:rPr>
                <w:rFonts w:ascii="Arial" w:eastAsia="宋体" w:hAnsi="Arial" w:cs="Arial"/>
                <w:b/>
                <w:bCs/>
                <w:color w:val="000000"/>
                <w:sz w:val="13"/>
                <w:szCs w:val="13"/>
              </w:rPr>
              <w:t>Value</w:t>
            </w:r>
          </w:p>
        </w:tc>
        <w:tc>
          <w:tcPr>
            <w:tcW w:w="0" w:type="auto"/>
            <w:gridSpan w:val="3"/>
            <w:shd w:val="clear" w:color="auto" w:fill="auto"/>
            <w:tcMar>
              <w:top w:w="0" w:type="dxa"/>
              <w:left w:w="20" w:type="dxa"/>
              <w:bottom w:w="0" w:type="dxa"/>
              <w:right w:w="20" w:type="dxa"/>
            </w:tcMar>
            <w:vAlign w:val="bottom"/>
          </w:tcPr>
          <w:p w14:paraId="392C67C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CA" w14:textId="77777777" w:rsidR="00980E5F" w:rsidRDefault="00483613">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C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CC" w14:textId="77777777" w:rsidR="00980E5F" w:rsidRDefault="00483613">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392C67C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CE" w14:textId="77777777" w:rsidR="00980E5F" w:rsidRDefault="00483613">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C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D0" w14:textId="77777777" w:rsidR="00980E5F" w:rsidRDefault="00483613">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392C67D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D2" w14:textId="77777777" w:rsidR="00980E5F" w:rsidRDefault="00483613">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D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D4" w14:textId="77777777" w:rsidR="00980E5F" w:rsidRDefault="00483613">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392C67D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D6" w14:textId="77777777" w:rsidR="00980E5F" w:rsidRDefault="00483613">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D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67D8" w14:textId="77777777" w:rsidR="00980E5F" w:rsidRDefault="00483613">
            <w:pPr>
              <w:jc w:val="center"/>
              <w:textAlignment w:val="bottom"/>
            </w:pPr>
            <w:r>
              <w:rPr>
                <w:rFonts w:ascii="Arial" w:eastAsia="宋体" w:hAnsi="Arial" w:cs="Arial"/>
                <w:b/>
                <w:bCs/>
                <w:color w:val="000000"/>
                <w:sz w:val="13"/>
                <w:szCs w:val="13"/>
              </w:rPr>
              <w:t>Fair Value</w:t>
            </w:r>
          </w:p>
        </w:tc>
      </w:tr>
      <w:tr w:rsidR="00980E5F" w14:paraId="392C67EE" w14:textId="77777777">
        <w:tc>
          <w:tcPr>
            <w:tcW w:w="0" w:type="auto"/>
            <w:gridSpan w:val="3"/>
            <w:shd w:val="clear" w:color="auto" w:fill="auto"/>
            <w:tcMar>
              <w:top w:w="40" w:type="dxa"/>
              <w:left w:w="20" w:type="dxa"/>
              <w:bottom w:w="40" w:type="dxa"/>
              <w:right w:w="20" w:type="dxa"/>
            </w:tcMar>
            <w:vAlign w:val="bottom"/>
          </w:tcPr>
          <w:p w14:paraId="392C67DA" w14:textId="77777777" w:rsidR="00980E5F" w:rsidRDefault="00483613">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D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D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D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E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7ED" w14:textId="77777777" w:rsidR="00980E5F" w:rsidRDefault="00980E5F">
            <w:pPr>
              <w:rPr>
                <w:rFonts w:ascii="宋体"/>
              </w:rPr>
            </w:pPr>
          </w:p>
        </w:tc>
      </w:tr>
      <w:tr w:rsidR="00980E5F" w14:paraId="392C6803" w14:textId="77777777">
        <w:tc>
          <w:tcPr>
            <w:tcW w:w="0" w:type="auto"/>
            <w:gridSpan w:val="3"/>
            <w:shd w:val="clear" w:color="auto" w:fill="auto"/>
            <w:tcMar>
              <w:top w:w="40" w:type="dxa"/>
              <w:left w:w="20" w:type="dxa"/>
              <w:bottom w:w="40" w:type="dxa"/>
              <w:right w:w="20" w:type="dxa"/>
            </w:tcMar>
            <w:vAlign w:val="bottom"/>
          </w:tcPr>
          <w:p w14:paraId="392C67EF" w14:textId="77777777" w:rsidR="00980E5F" w:rsidRDefault="00483613">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top w:w="0" w:type="dxa"/>
              <w:left w:w="20" w:type="dxa"/>
              <w:bottom w:w="0" w:type="dxa"/>
              <w:right w:w="20" w:type="dxa"/>
            </w:tcMar>
            <w:vAlign w:val="bottom"/>
          </w:tcPr>
          <w:p w14:paraId="392C67F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7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80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8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802" w14:textId="77777777" w:rsidR="00980E5F" w:rsidRDefault="00980E5F">
            <w:pPr>
              <w:rPr>
                <w:rFonts w:ascii="宋体"/>
              </w:rPr>
            </w:pPr>
          </w:p>
        </w:tc>
      </w:tr>
      <w:tr w:rsidR="00483613" w14:paraId="392C682C" w14:textId="77777777">
        <w:tc>
          <w:tcPr>
            <w:tcW w:w="0" w:type="auto"/>
            <w:gridSpan w:val="3"/>
            <w:shd w:val="clear" w:color="auto" w:fill="CCEEFF"/>
            <w:tcMar>
              <w:top w:w="40" w:type="dxa"/>
              <w:left w:w="245" w:type="dxa"/>
              <w:bottom w:w="40" w:type="dxa"/>
              <w:right w:w="20" w:type="dxa"/>
            </w:tcMar>
            <w:vAlign w:val="bottom"/>
          </w:tcPr>
          <w:p w14:paraId="392C6804" w14:textId="77777777" w:rsidR="00980E5F" w:rsidRDefault="00483613">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right w:w="0" w:type="dxa"/>
            </w:tcMar>
            <w:vAlign w:val="bottom"/>
          </w:tcPr>
          <w:p w14:paraId="392C680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06" w14:textId="77777777" w:rsidR="00980E5F" w:rsidRDefault="00483613">
            <w:pPr>
              <w:jc w:val="right"/>
              <w:textAlignment w:val="bottom"/>
            </w:pPr>
            <w:r>
              <w:rPr>
                <w:rFonts w:ascii="Arial" w:eastAsia="宋体" w:hAnsi="Arial" w:cs="Arial"/>
                <w:b/>
                <w:bCs/>
                <w:color w:val="000000"/>
                <w:sz w:val="13"/>
                <w:szCs w:val="13"/>
              </w:rPr>
              <w:t>2,049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0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09"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0A" w14:textId="77777777" w:rsidR="00980E5F" w:rsidRDefault="00483613">
            <w:pPr>
              <w:jc w:val="right"/>
              <w:textAlignment w:val="bottom"/>
            </w:pPr>
            <w:r>
              <w:rPr>
                <w:rFonts w:ascii="Arial" w:eastAsia="宋体" w:hAnsi="Arial" w:cs="Arial"/>
                <w:b/>
                <w:bCs/>
                <w:color w:val="000000"/>
                <w:sz w:val="13"/>
                <w:szCs w:val="13"/>
              </w:rPr>
              <w:t>2,039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0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0D"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0E" w14:textId="77777777" w:rsidR="00980E5F" w:rsidRDefault="00483613">
            <w:pPr>
              <w:jc w:val="right"/>
              <w:textAlignment w:val="bottom"/>
            </w:pPr>
            <w:r>
              <w:rPr>
                <w:rFonts w:ascii="Arial" w:eastAsia="宋体" w:hAnsi="Arial" w:cs="Arial"/>
                <w:b/>
                <w:bCs/>
                <w:color w:val="000000"/>
                <w:sz w:val="13"/>
                <w:szCs w:val="13"/>
              </w:rPr>
              <w:t>7,112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1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11"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12" w14:textId="77777777" w:rsidR="00980E5F" w:rsidRDefault="00483613">
            <w:pPr>
              <w:jc w:val="right"/>
              <w:textAlignment w:val="bottom"/>
            </w:pPr>
            <w:r>
              <w:rPr>
                <w:rFonts w:ascii="Arial" w:eastAsia="宋体" w:hAnsi="Arial" w:cs="Arial"/>
                <w:b/>
                <w:bCs/>
                <w:color w:val="000000"/>
                <w:sz w:val="13"/>
                <w:szCs w:val="13"/>
              </w:rPr>
              <w:t>6,800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1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1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16" w14:textId="77777777" w:rsidR="00980E5F" w:rsidRDefault="00483613">
            <w:pPr>
              <w:jc w:val="right"/>
              <w:textAlignment w:val="bottom"/>
            </w:pPr>
            <w:r>
              <w:rPr>
                <w:rFonts w:ascii="Arial" w:eastAsia="宋体" w:hAnsi="Arial" w:cs="Arial"/>
                <w:b/>
                <w:bCs/>
                <w:color w:val="000000"/>
                <w:sz w:val="13"/>
                <w:szCs w:val="13"/>
              </w:rPr>
              <w:t>559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1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19"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1A" w14:textId="77777777" w:rsidR="00980E5F" w:rsidRDefault="00483613">
            <w:pPr>
              <w:jc w:val="right"/>
              <w:textAlignment w:val="bottom"/>
            </w:pPr>
            <w:r>
              <w:rPr>
                <w:rFonts w:ascii="Arial" w:eastAsia="宋体" w:hAnsi="Arial" w:cs="Arial"/>
                <w:b/>
                <w:bCs/>
                <w:color w:val="000000"/>
                <w:sz w:val="13"/>
                <w:szCs w:val="13"/>
              </w:rPr>
              <w:t>572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1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1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1D"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1E"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1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2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21"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22"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2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2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26" w14:textId="77777777" w:rsidR="00980E5F" w:rsidRDefault="00483613">
            <w:pPr>
              <w:jc w:val="right"/>
              <w:textAlignment w:val="bottom"/>
            </w:pPr>
            <w:r>
              <w:rPr>
                <w:rFonts w:ascii="Arial" w:eastAsia="宋体" w:hAnsi="Arial" w:cs="Arial"/>
                <w:b/>
                <w:bCs/>
                <w:color w:val="000000"/>
                <w:sz w:val="13"/>
                <w:szCs w:val="13"/>
              </w:rPr>
              <w:t>9,720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2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829"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82A" w14:textId="77777777" w:rsidR="00980E5F" w:rsidRDefault="00483613">
            <w:pPr>
              <w:jc w:val="right"/>
              <w:textAlignment w:val="bottom"/>
            </w:pPr>
            <w:r>
              <w:rPr>
                <w:rFonts w:ascii="Arial" w:eastAsia="宋体" w:hAnsi="Arial" w:cs="Arial"/>
                <w:b/>
                <w:bCs/>
                <w:color w:val="000000"/>
                <w:sz w:val="13"/>
                <w:szCs w:val="13"/>
              </w:rPr>
              <w:t>9,411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2B" w14:textId="77777777" w:rsidR="00980E5F" w:rsidRDefault="00980E5F">
            <w:pPr>
              <w:jc w:val="right"/>
              <w:rPr>
                <w:rFonts w:ascii="宋体"/>
              </w:rPr>
            </w:pPr>
          </w:p>
        </w:tc>
      </w:tr>
      <w:tr w:rsidR="00980E5F" w14:paraId="392C684B" w14:textId="77777777">
        <w:tc>
          <w:tcPr>
            <w:tcW w:w="0" w:type="auto"/>
            <w:gridSpan w:val="3"/>
            <w:shd w:val="clear" w:color="auto" w:fill="FFFFFF"/>
            <w:tcMar>
              <w:top w:w="40" w:type="dxa"/>
              <w:left w:w="245" w:type="dxa"/>
              <w:bottom w:w="40" w:type="dxa"/>
              <w:right w:w="20" w:type="dxa"/>
            </w:tcMar>
            <w:vAlign w:val="bottom"/>
          </w:tcPr>
          <w:p w14:paraId="392C682D" w14:textId="77777777" w:rsidR="00980E5F" w:rsidRDefault="00483613">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392C682E" w14:textId="77777777" w:rsidR="00980E5F" w:rsidRDefault="00483613">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31" w14:textId="77777777" w:rsidR="00980E5F" w:rsidRDefault="00483613">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34" w14:textId="77777777" w:rsidR="00980E5F" w:rsidRDefault="00483613">
            <w:pPr>
              <w:jc w:val="right"/>
              <w:textAlignment w:val="bottom"/>
            </w:pPr>
            <w:r>
              <w:rPr>
                <w:rFonts w:ascii="Arial" w:eastAsia="宋体" w:hAnsi="Arial" w:cs="Arial"/>
                <w:b/>
                <w:bCs/>
                <w:color w:val="000000"/>
                <w:sz w:val="13"/>
                <w:szCs w:val="13"/>
              </w:rPr>
              <w:t>549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37" w14:textId="77777777" w:rsidR="00980E5F" w:rsidRDefault="00483613">
            <w:pPr>
              <w:jc w:val="right"/>
              <w:textAlignment w:val="bottom"/>
            </w:pPr>
            <w:r>
              <w:rPr>
                <w:rFonts w:ascii="Arial" w:eastAsia="宋体" w:hAnsi="Arial" w:cs="Arial"/>
                <w:b/>
                <w:bCs/>
                <w:color w:val="000000"/>
                <w:sz w:val="13"/>
                <w:szCs w:val="13"/>
              </w:rPr>
              <w:t>548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3A" w14:textId="77777777" w:rsidR="00980E5F" w:rsidRDefault="00483613">
            <w:pPr>
              <w:jc w:val="right"/>
              <w:textAlignment w:val="bottom"/>
            </w:pPr>
            <w:r>
              <w:rPr>
                <w:rFonts w:ascii="Arial" w:eastAsia="宋体" w:hAnsi="Arial" w:cs="Arial"/>
                <w:b/>
                <w:bCs/>
                <w:color w:val="000000"/>
                <w:sz w:val="13"/>
                <w:szCs w:val="13"/>
              </w:rPr>
              <w:t>7,862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3D" w14:textId="77777777" w:rsidR="00980E5F" w:rsidRDefault="00483613">
            <w:pPr>
              <w:jc w:val="right"/>
              <w:textAlignment w:val="bottom"/>
            </w:pPr>
            <w:r>
              <w:rPr>
                <w:rFonts w:ascii="Arial" w:eastAsia="宋体" w:hAnsi="Arial" w:cs="Arial"/>
                <w:b/>
                <w:bCs/>
                <w:color w:val="000000"/>
                <w:sz w:val="13"/>
                <w:szCs w:val="13"/>
              </w:rPr>
              <w:t>7,793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3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40" w14:textId="77777777" w:rsidR="00980E5F" w:rsidRDefault="00483613">
            <w:pPr>
              <w:jc w:val="right"/>
              <w:textAlignment w:val="bottom"/>
            </w:pPr>
            <w:r>
              <w:rPr>
                <w:rFonts w:ascii="Arial" w:eastAsia="宋体" w:hAnsi="Arial" w:cs="Arial"/>
                <w:b/>
                <w:bCs/>
                <w:color w:val="000000"/>
                <w:sz w:val="13"/>
                <w:szCs w:val="13"/>
              </w:rPr>
              <w:t>1,942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43" w14:textId="77777777" w:rsidR="00980E5F" w:rsidRDefault="00483613">
            <w:pPr>
              <w:jc w:val="right"/>
              <w:textAlignment w:val="bottom"/>
            </w:pPr>
            <w:r>
              <w:rPr>
                <w:rFonts w:ascii="Arial" w:eastAsia="宋体" w:hAnsi="Arial" w:cs="Arial"/>
                <w:b/>
                <w:bCs/>
                <w:color w:val="000000"/>
                <w:sz w:val="13"/>
                <w:szCs w:val="13"/>
              </w:rPr>
              <w:t>1,874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46" w14:textId="77777777" w:rsidR="00980E5F" w:rsidRDefault="00483613">
            <w:pPr>
              <w:jc w:val="right"/>
              <w:textAlignment w:val="bottom"/>
            </w:pPr>
            <w:r>
              <w:rPr>
                <w:rFonts w:ascii="Arial" w:eastAsia="宋体" w:hAnsi="Arial" w:cs="Arial"/>
                <w:b/>
                <w:bCs/>
                <w:color w:val="000000"/>
                <w:sz w:val="13"/>
                <w:szCs w:val="13"/>
              </w:rPr>
              <w:t>10,409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49" w14:textId="77777777" w:rsidR="00980E5F" w:rsidRDefault="00483613">
            <w:pPr>
              <w:jc w:val="right"/>
              <w:textAlignment w:val="bottom"/>
            </w:pPr>
            <w:r>
              <w:rPr>
                <w:rFonts w:ascii="Arial" w:eastAsia="宋体" w:hAnsi="Arial" w:cs="Arial"/>
                <w:b/>
                <w:bCs/>
                <w:color w:val="000000"/>
                <w:sz w:val="13"/>
                <w:szCs w:val="13"/>
              </w:rPr>
              <w:t>10,271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4A" w14:textId="77777777" w:rsidR="00980E5F" w:rsidRDefault="00980E5F">
            <w:pPr>
              <w:jc w:val="right"/>
              <w:rPr>
                <w:rFonts w:ascii="宋体"/>
              </w:rPr>
            </w:pPr>
          </w:p>
        </w:tc>
      </w:tr>
      <w:tr w:rsidR="00980E5F" w14:paraId="392C686A" w14:textId="77777777">
        <w:tc>
          <w:tcPr>
            <w:tcW w:w="0" w:type="auto"/>
            <w:gridSpan w:val="3"/>
            <w:shd w:val="clear" w:color="auto" w:fill="CCEEFF"/>
            <w:tcMar>
              <w:top w:w="40" w:type="dxa"/>
              <w:left w:w="395" w:type="dxa"/>
              <w:bottom w:w="40" w:type="dxa"/>
              <w:right w:w="20" w:type="dxa"/>
            </w:tcMar>
            <w:vAlign w:val="bottom"/>
          </w:tcPr>
          <w:p w14:paraId="392C684C" w14:textId="77777777" w:rsidR="00980E5F" w:rsidRDefault="00483613">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4D" w14:textId="77777777" w:rsidR="00980E5F" w:rsidRDefault="00483613">
            <w:pPr>
              <w:jc w:val="right"/>
              <w:textAlignment w:val="bottom"/>
            </w:pPr>
            <w:r>
              <w:rPr>
                <w:rFonts w:ascii="Arial" w:eastAsia="宋体" w:hAnsi="Arial" w:cs="Arial"/>
                <w:b/>
                <w:bCs/>
                <w:color w:val="000000"/>
                <w:sz w:val="13"/>
                <w:szCs w:val="13"/>
              </w:rPr>
              <w:t>2,105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4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0" w14:textId="77777777" w:rsidR="00980E5F" w:rsidRDefault="00483613">
            <w:pPr>
              <w:jc w:val="right"/>
              <w:textAlignment w:val="bottom"/>
            </w:pPr>
            <w:r>
              <w:rPr>
                <w:rFonts w:ascii="Arial" w:eastAsia="宋体" w:hAnsi="Arial" w:cs="Arial"/>
                <w:b/>
                <w:bCs/>
                <w:color w:val="000000"/>
                <w:sz w:val="13"/>
                <w:szCs w:val="13"/>
              </w:rPr>
              <w:t>2,095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5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3" w14:textId="77777777" w:rsidR="00980E5F" w:rsidRDefault="00483613">
            <w:pPr>
              <w:jc w:val="right"/>
              <w:textAlignment w:val="bottom"/>
            </w:pPr>
            <w:r>
              <w:rPr>
                <w:rFonts w:ascii="Arial" w:eastAsia="宋体" w:hAnsi="Arial" w:cs="Arial"/>
                <w:b/>
                <w:bCs/>
                <w:color w:val="000000"/>
                <w:sz w:val="13"/>
                <w:szCs w:val="13"/>
              </w:rPr>
              <w:t>7,661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6" w14:textId="77777777" w:rsidR="00980E5F" w:rsidRDefault="00483613">
            <w:pPr>
              <w:jc w:val="right"/>
              <w:textAlignment w:val="bottom"/>
            </w:pPr>
            <w:r>
              <w:rPr>
                <w:rFonts w:ascii="Arial" w:eastAsia="宋体" w:hAnsi="Arial" w:cs="Arial"/>
                <w:b/>
                <w:bCs/>
                <w:color w:val="000000"/>
                <w:sz w:val="13"/>
                <w:szCs w:val="13"/>
              </w:rPr>
              <w:t>7,348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5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9" w14:textId="77777777" w:rsidR="00980E5F" w:rsidRDefault="00483613">
            <w:pPr>
              <w:jc w:val="right"/>
              <w:textAlignment w:val="bottom"/>
            </w:pPr>
            <w:r>
              <w:rPr>
                <w:rFonts w:ascii="Arial" w:eastAsia="宋体" w:hAnsi="Arial" w:cs="Arial"/>
                <w:b/>
                <w:bCs/>
                <w:color w:val="000000"/>
                <w:sz w:val="13"/>
                <w:szCs w:val="13"/>
              </w:rPr>
              <w:t>8,421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5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C" w14:textId="77777777" w:rsidR="00980E5F" w:rsidRDefault="00483613">
            <w:pPr>
              <w:jc w:val="right"/>
              <w:textAlignment w:val="bottom"/>
            </w:pPr>
            <w:r>
              <w:rPr>
                <w:rFonts w:ascii="Arial" w:eastAsia="宋体" w:hAnsi="Arial" w:cs="Arial"/>
                <w:b/>
                <w:bCs/>
                <w:color w:val="000000"/>
                <w:sz w:val="13"/>
                <w:szCs w:val="13"/>
              </w:rPr>
              <w:t>8,365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5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5F" w14:textId="77777777" w:rsidR="00980E5F" w:rsidRDefault="00483613">
            <w:pPr>
              <w:jc w:val="right"/>
              <w:textAlignment w:val="bottom"/>
            </w:pPr>
            <w:r>
              <w:rPr>
                <w:rFonts w:ascii="Arial" w:eastAsia="宋体" w:hAnsi="Arial" w:cs="Arial"/>
                <w:b/>
                <w:bCs/>
                <w:color w:val="000000"/>
                <w:sz w:val="13"/>
                <w:szCs w:val="13"/>
              </w:rPr>
              <w:t>1,942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6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62" w14:textId="77777777" w:rsidR="00980E5F" w:rsidRDefault="00483613">
            <w:pPr>
              <w:jc w:val="right"/>
              <w:textAlignment w:val="bottom"/>
            </w:pPr>
            <w:r>
              <w:rPr>
                <w:rFonts w:ascii="Arial" w:eastAsia="宋体" w:hAnsi="Arial" w:cs="Arial"/>
                <w:b/>
                <w:bCs/>
                <w:color w:val="000000"/>
                <w:sz w:val="13"/>
                <w:szCs w:val="13"/>
              </w:rPr>
              <w:t>1,874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6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65" w14:textId="77777777" w:rsidR="00980E5F" w:rsidRDefault="00483613">
            <w:pPr>
              <w:jc w:val="right"/>
              <w:textAlignment w:val="bottom"/>
            </w:pPr>
            <w:r>
              <w:rPr>
                <w:rFonts w:ascii="Arial" w:eastAsia="宋体" w:hAnsi="Arial" w:cs="Arial"/>
                <w:b/>
                <w:bCs/>
                <w:color w:val="000000"/>
                <w:sz w:val="13"/>
                <w:szCs w:val="13"/>
              </w:rPr>
              <w:t>20,129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6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68" w14:textId="77777777" w:rsidR="00980E5F" w:rsidRDefault="00483613">
            <w:pPr>
              <w:jc w:val="right"/>
              <w:textAlignment w:val="bottom"/>
            </w:pPr>
            <w:r>
              <w:rPr>
                <w:rFonts w:ascii="Arial" w:eastAsia="宋体" w:hAnsi="Arial" w:cs="Arial"/>
                <w:b/>
                <w:bCs/>
                <w:color w:val="000000"/>
                <w:sz w:val="13"/>
                <w:szCs w:val="13"/>
              </w:rPr>
              <w:t>19,682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69" w14:textId="77777777" w:rsidR="00980E5F" w:rsidRDefault="00980E5F">
            <w:pPr>
              <w:jc w:val="right"/>
              <w:rPr>
                <w:rFonts w:ascii="宋体"/>
              </w:rPr>
            </w:pPr>
          </w:p>
        </w:tc>
      </w:tr>
      <w:tr w:rsidR="00980E5F" w14:paraId="392C687F" w14:textId="77777777">
        <w:tc>
          <w:tcPr>
            <w:tcW w:w="0" w:type="auto"/>
            <w:gridSpan w:val="3"/>
            <w:shd w:val="clear" w:color="auto" w:fill="FFFFFF"/>
            <w:tcMar>
              <w:top w:w="40" w:type="dxa"/>
              <w:left w:w="20" w:type="dxa"/>
              <w:bottom w:w="40" w:type="dxa"/>
              <w:right w:w="20" w:type="dxa"/>
            </w:tcMar>
            <w:vAlign w:val="bottom"/>
          </w:tcPr>
          <w:p w14:paraId="392C686B" w14:textId="77777777" w:rsidR="00980E5F" w:rsidRDefault="00483613">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6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6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6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6F"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87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87E" w14:textId="77777777" w:rsidR="00980E5F" w:rsidRDefault="00980E5F">
            <w:pPr>
              <w:rPr>
                <w:rFonts w:ascii="宋体"/>
              </w:rPr>
            </w:pPr>
          </w:p>
        </w:tc>
      </w:tr>
      <w:tr w:rsidR="00980E5F" w14:paraId="392C689E" w14:textId="77777777">
        <w:tc>
          <w:tcPr>
            <w:tcW w:w="0" w:type="auto"/>
            <w:gridSpan w:val="3"/>
            <w:shd w:val="clear" w:color="auto" w:fill="CCEEFF"/>
            <w:tcMar>
              <w:top w:w="40" w:type="dxa"/>
              <w:left w:w="245" w:type="dxa"/>
              <w:bottom w:w="40" w:type="dxa"/>
              <w:right w:w="20" w:type="dxa"/>
            </w:tcMar>
            <w:vAlign w:val="bottom"/>
          </w:tcPr>
          <w:p w14:paraId="392C6880" w14:textId="77777777" w:rsidR="00980E5F" w:rsidRDefault="00483613">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392C6881" w14:textId="77777777" w:rsidR="00980E5F" w:rsidRDefault="00483613">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84" w14:textId="77777777" w:rsidR="00980E5F" w:rsidRDefault="00483613">
            <w:pPr>
              <w:jc w:val="right"/>
              <w:textAlignment w:val="bottom"/>
            </w:pPr>
            <w:r>
              <w:rPr>
                <w:rFonts w:ascii="Arial" w:eastAsia="宋体" w:hAnsi="Arial" w:cs="Arial"/>
                <w:b/>
                <w:bCs/>
                <w:color w:val="000000"/>
                <w:sz w:val="13"/>
                <w:szCs w:val="13"/>
              </w:rPr>
              <w:t>174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87" w14:textId="77777777" w:rsidR="00980E5F" w:rsidRDefault="00483613">
            <w:pPr>
              <w:jc w:val="right"/>
              <w:textAlignment w:val="bottom"/>
            </w:pPr>
            <w:r>
              <w:rPr>
                <w:rFonts w:ascii="Arial" w:eastAsia="宋体" w:hAnsi="Arial" w:cs="Arial"/>
                <w:b/>
                <w:bCs/>
                <w:color w:val="000000"/>
                <w:sz w:val="13"/>
                <w:szCs w:val="13"/>
              </w:rPr>
              <w:t>388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8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8A" w14:textId="77777777" w:rsidR="00980E5F" w:rsidRDefault="00483613">
            <w:pPr>
              <w:jc w:val="right"/>
              <w:textAlignment w:val="bottom"/>
            </w:pPr>
            <w:r>
              <w:rPr>
                <w:rFonts w:ascii="Arial" w:eastAsia="宋体" w:hAnsi="Arial" w:cs="Arial"/>
                <w:b/>
                <w:bCs/>
                <w:color w:val="000000"/>
                <w:sz w:val="13"/>
                <w:szCs w:val="13"/>
              </w:rPr>
              <w:t>386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8D" w14:textId="77777777" w:rsidR="00980E5F" w:rsidRDefault="00483613">
            <w:pPr>
              <w:jc w:val="right"/>
              <w:textAlignment w:val="bottom"/>
            </w:pPr>
            <w:r>
              <w:rPr>
                <w:rFonts w:ascii="Arial" w:eastAsia="宋体" w:hAnsi="Arial" w:cs="Arial"/>
                <w:b/>
                <w:bCs/>
                <w:color w:val="000000"/>
                <w:sz w:val="13"/>
                <w:szCs w:val="13"/>
              </w:rPr>
              <w:t>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8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90" w14:textId="77777777" w:rsidR="00980E5F" w:rsidRDefault="00483613">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93" w14:textId="77777777" w:rsidR="00980E5F" w:rsidRDefault="00483613">
            <w:pPr>
              <w:jc w:val="right"/>
              <w:textAlignment w:val="bottom"/>
            </w:pPr>
            <w:r>
              <w:rPr>
                <w:rFonts w:ascii="Arial" w:eastAsia="宋体" w:hAnsi="Arial" w:cs="Arial"/>
                <w:b/>
                <w:bCs/>
                <w:color w:val="000000"/>
                <w:sz w:val="13"/>
                <w:szCs w:val="13"/>
              </w:rPr>
              <w:t>1,382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9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96" w14:textId="77777777" w:rsidR="00980E5F" w:rsidRDefault="00483613">
            <w:pPr>
              <w:jc w:val="right"/>
              <w:textAlignment w:val="bottom"/>
            </w:pPr>
            <w:r>
              <w:rPr>
                <w:rFonts w:ascii="Arial" w:eastAsia="宋体" w:hAnsi="Arial" w:cs="Arial"/>
                <w:b/>
                <w:bCs/>
                <w:color w:val="000000"/>
                <w:sz w:val="13"/>
                <w:szCs w:val="13"/>
              </w:rPr>
              <w:t>1,372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9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99" w14:textId="77777777" w:rsidR="00980E5F" w:rsidRDefault="00483613">
            <w:pPr>
              <w:jc w:val="right"/>
              <w:textAlignment w:val="bottom"/>
            </w:pPr>
            <w:r>
              <w:rPr>
                <w:rFonts w:ascii="Arial" w:eastAsia="宋体" w:hAnsi="Arial" w:cs="Arial"/>
                <w:b/>
                <w:bCs/>
                <w:color w:val="000000"/>
                <w:sz w:val="13"/>
                <w:szCs w:val="13"/>
              </w:rPr>
              <w:t>1,972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9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9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9C" w14:textId="77777777" w:rsidR="00980E5F" w:rsidRDefault="00483613">
            <w:pPr>
              <w:jc w:val="right"/>
              <w:textAlignment w:val="bottom"/>
            </w:pPr>
            <w:r>
              <w:rPr>
                <w:rFonts w:ascii="Arial" w:eastAsia="宋体" w:hAnsi="Arial" w:cs="Arial"/>
                <w:b/>
                <w:bCs/>
                <w:color w:val="000000"/>
                <w:sz w:val="13"/>
                <w:szCs w:val="13"/>
              </w:rPr>
              <w:t>1,959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9D" w14:textId="77777777" w:rsidR="00980E5F" w:rsidRDefault="00980E5F">
            <w:pPr>
              <w:jc w:val="right"/>
              <w:rPr>
                <w:rFonts w:ascii="宋体"/>
              </w:rPr>
            </w:pPr>
          </w:p>
        </w:tc>
      </w:tr>
      <w:tr w:rsidR="00980E5F" w14:paraId="392C68BD" w14:textId="77777777">
        <w:tc>
          <w:tcPr>
            <w:tcW w:w="0" w:type="auto"/>
            <w:gridSpan w:val="3"/>
            <w:shd w:val="clear" w:color="auto" w:fill="FFFFFF"/>
            <w:tcMar>
              <w:top w:w="40" w:type="dxa"/>
              <w:left w:w="245" w:type="dxa"/>
              <w:bottom w:w="40" w:type="dxa"/>
              <w:right w:w="20" w:type="dxa"/>
            </w:tcMar>
            <w:vAlign w:val="bottom"/>
          </w:tcPr>
          <w:p w14:paraId="392C689F" w14:textId="77777777" w:rsidR="00980E5F" w:rsidRDefault="00483613">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392C68A0" w14:textId="77777777" w:rsidR="00980E5F" w:rsidRDefault="00483613">
            <w:pPr>
              <w:jc w:val="right"/>
              <w:textAlignment w:val="bottom"/>
            </w:pPr>
            <w:r>
              <w:rPr>
                <w:rFonts w:ascii="Arial" w:eastAsia="宋体" w:hAnsi="Arial" w:cs="Arial"/>
                <w:b/>
                <w:bCs/>
                <w:color w:val="000000"/>
                <w:sz w:val="13"/>
                <w:szCs w:val="13"/>
              </w:rPr>
              <w:t>265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A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A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A3" w14:textId="77777777" w:rsidR="00980E5F" w:rsidRDefault="00483613">
            <w:pPr>
              <w:jc w:val="right"/>
              <w:textAlignment w:val="bottom"/>
            </w:pPr>
            <w:r>
              <w:rPr>
                <w:rFonts w:ascii="Arial" w:eastAsia="宋体" w:hAnsi="Arial" w:cs="Arial"/>
                <w:b/>
                <w:bCs/>
                <w:color w:val="000000"/>
                <w:sz w:val="13"/>
                <w:szCs w:val="13"/>
              </w:rPr>
              <w:t>260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A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A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A6" w14:textId="77777777" w:rsidR="00980E5F" w:rsidRDefault="00483613">
            <w:pPr>
              <w:jc w:val="right"/>
              <w:textAlignment w:val="bottom"/>
            </w:pPr>
            <w:r>
              <w:rPr>
                <w:rFonts w:ascii="Arial" w:eastAsia="宋体" w:hAnsi="Arial" w:cs="Arial"/>
                <w:b/>
                <w:bCs/>
                <w:color w:val="000000"/>
                <w:sz w:val="13"/>
                <w:szCs w:val="13"/>
              </w:rPr>
              <w:t>810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A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A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A9" w14:textId="77777777" w:rsidR="00980E5F" w:rsidRDefault="00483613">
            <w:pPr>
              <w:jc w:val="right"/>
              <w:textAlignment w:val="bottom"/>
            </w:pPr>
            <w:r>
              <w:rPr>
                <w:rFonts w:ascii="Arial" w:eastAsia="宋体" w:hAnsi="Arial" w:cs="Arial"/>
                <w:b/>
                <w:bCs/>
                <w:color w:val="000000"/>
                <w:sz w:val="13"/>
                <w:szCs w:val="13"/>
              </w:rPr>
              <w:t>801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A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A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AC" w14:textId="77777777" w:rsidR="00980E5F" w:rsidRDefault="00483613">
            <w:pPr>
              <w:jc w:val="right"/>
              <w:textAlignment w:val="bottom"/>
            </w:pPr>
            <w:r>
              <w:rPr>
                <w:rFonts w:ascii="Arial" w:eastAsia="宋体" w:hAnsi="Arial" w:cs="Arial"/>
                <w:b/>
                <w:bCs/>
                <w:color w:val="000000"/>
                <w:sz w:val="13"/>
                <w:szCs w:val="13"/>
              </w:rPr>
              <w:t>459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AF" w14:textId="77777777" w:rsidR="00980E5F" w:rsidRDefault="00483613">
            <w:pPr>
              <w:jc w:val="right"/>
              <w:textAlignment w:val="bottom"/>
            </w:pPr>
            <w:r>
              <w:rPr>
                <w:rFonts w:ascii="Arial" w:eastAsia="宋体" w:hAnsi="Arial" w:cs="Arial"/>
                <w:b/>
                <w:bCs/>
                <w:color w:val="000000"/>
                <w:sz w:val="13"/>
                <w:szCs w:val="13"/>
              </w:rPr>
              <w:t>453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B2" w14:textId="77777777" w:rsidR="00980E5F" w:rsidRDefault="00483613">
            <w:pPr>
              <w:jc w:val="right"/>
              <w:textAlignment w:val="bottom"/>
            </w:pPr>
            <w:r>
              <w:rPr>
                <w:rFonts w:ascii="Arial" w:eastAsia="宋体" w:hAnsi="Arial" w:cs="Arial"/>
                <w:b/>
                <w:bCs/>
                <w:color w:val="000000"/>
                <w:sz w:val="13"/>
                <w:szCs w:val="13"/>
              </w:rPr>
              <w:t>367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B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B5" w14:textId="77777777" w:rsidR="00980E5F" w:rsidRDefault="00483613">
            <w:pPr>
              <w:jc w:val="right"/>
              <w:textAlignment w:val="bottom"/>
            </w:pPr>
            <w:r>
              <w:rPr>
                <w:rFonts w:ascii="Arial" w:eastAsia="宋体" w:hAnsi="Arial" w:cs="Arial"/>
                <w:b/>
                <w:bCs/>
                <w:color w:val="000000"/>
                <w:sz w:val="13"/>
                <w:szCs w:val="13"/>
              </w:rPr>
              <w:t>362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B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B8" w14:textId="77777777" w:rsidR="00980E5F" w:rsidRDefault="00483613">
            <w:pPr>
              <w:jc w:val="right"/>
              <w:textAlignment w:val="bottom"/>
            </w:pPr>
            <w:r>
              <w:rPr>
                <w:rFonts w:ascii="Arial" w:eastAsia="宋体" w:hAnsi="Arial" w:cs="Arial"/>
                <w:b/>
                <w:bCs/>
                <w:color w:val="000000"/>
                <w:sz w:val="13"/>
                <w:szCs w:val="13"/>
              </w:rPr>
              <w:t>1,901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BB" w14:textId="77777777" w:rsidR="00980E5F" w:rsidRDefault="00483613">
            <w:pPr>
              <w:jc w:val="right"/>
              <w:textAlignment w:val="bottom"/>
            </w:pPr>
            <w:r>
              <w:rPr>
                <w:rFonts w:ascii="Arial" w:eastAsia="宋体" w:hAnsi="Arial" w:cs="Arial"/>
                <w:b/>
                <w:bCs/>
                <w:color w:val="000000"/>
                <w:sz w:val="13"/>
                <w:szCs w:val="13"/>
              </w:rPr>
              <w:t>1,876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BC" w14:textId="77777777" w:rsidR="00980E5F" w:rsidRDefault="00980E5F">
            <w:pPr>
              <w:jc w:val="right"/>
              <w:rPr>
                <w:rFonts w:ascii="宋体"/>
              </w:rPr>
            </w:pPr>
          </w:p>
        </w:tc>
      </w:tr>
      <w:tr w:rsidR="00980E5F" w14:paraId="392C68DC" w14:textId="77777777">
        <w:tc>
          <w:tcPr>
            <w:tcW w:w="0" w:type="auto"/>
            <w:gridSpan w:val="3"/>
            <w:shd w:val="clear" w:color="auto" w:fill="CCEEFF"/>
            <w:tcMar>
              <w:top w:w="40" w:type="dxa"/>
              <w:left w:w="245" w:type="dxa"/>
              <w:bottom w:w="40" w:type="dxa"/>
              <w:right w:w="20" w:type="dxa"/>
            </w:tcMar>
            <w:vAlign w:val="bottom"/>
          </w:tcPr>
          <w:p w14:paraId="392C68BE" w14:textId="77777777" w:rsidR="00980E5F" w:rsidRDefault="00483613">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68BF" w14:textId="77777777" w:rsidR="00980E5F" w:rsidRDefault="00483613">
            <w:pPr>
              <w:jc w:val="right"/>
              <w:textAlignment w:val="bottom"/>
            </w:pPr>
            <w:r>
              <w:rPr>
                <w:rFonts w:ascii="Arial" w:eastAsia="宋体" w:hAnsi="Arial" w:cs="Arial"/>
                <w:b/>
                <w:bCs/>
                <w:color w:val="000000"/>
                <w:sz w:val="13"/>
                <w:szCs w:val="13"/>
              </w:rPr>
              <w:t>3,345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C2" w14:textId="77777777" w:rsidR="00980E5F" w:rsidRDefault="00483613">
            <w:pPr>
              <w:jc w:val="right"/>
              <w:textAlignment w:val="bottom"/>
            </w:pPr>
            <w:r>
              <w:rPr>
                <w:rFonts w:ascii="Arial" w:eastAsia="宋体" w:hAnsi="Arial" w:cs="Arial"/>
                <w:b/>
                <w:bCs/>
                <w:color w:val="000000"/>
                <w:sz w:val="13"/>
                <w:szCs w:val="13"/>
              </w:rPr>
              <w:t>3,335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C5" w14:textId="77777777" w:rsidR="00980E5F" w:rsidRDefault="00483613">
            <w:pPr>
              <w:jc w:val="right"/>
              <w:textAlignment w:val="bottom"/>
            </w:pPr>
            <w:r>
              <w:rPr>
                <w:rFonts w:ascii="Arial" w:eastAsia="宋体" w:hAnsi="Arial" w:cs="Arial"/>
                <w:b/>
                <w:bCs/>
                <w:color w:val="000000"/>
                <w:sz w:val="13"/>
                <w:szCs w:val="13"/>
              </w:rPr>
              <w:t>9,142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C8" w14:textId="77777777" w:rsidR="00980E5F" w:rsidRDefault="00483613">
            <w:pPr>
              <w:jc w:val="right"/>
              <w:textAlignment w:val="bottom"/>
            </w:pPr>
            <w:r>
              <w:rPr>
                <w:rFonts w:ascii="Arial" w:eastAsia="宋体" w:hAnsi="Arial" w:cs="Arial"/>
                <w:b/>
                <w:bCs/>
                <w:color w:val="000000"/>
                <w:sz w:val="13"/>
                <w:szCs w:val="13"/>
              </w:rPr>
              <w:t>8,800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CB" w14:textId="77777777" w:rsidR="00980E5F" w:rsidRDefault="00483613">
            <w:pPr>
              <w:jc w:val="right"/>
              <w:textAlignment w:val="bottom"/>
            </w:pPr>
            <w:r>
              <w:rPr>
                <w:rFonts w:ascii="Arial" w:eastAsia="宋体" w:hAnsi="Arial" w:cs="Arial"/>
                <w:b/>
                <w:bCs/>
                <w:color w:val="000000"/>
                <w:sz w:val="13"/>
                <w:szCs w:val="13"/>
              </w:rPr>
              <w:t>2,813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CE" w14:textId="77777777" w:rsidR="00980E5F" w:rsidRDefault="00483613">
            <w:pPr>
              <w:jc w:val="right"/>
              <w:textAlignment w:val="bottom"/>
            </w:pPr>
            <w:r>
              <w:rPr>
                <w:rFonts w:ascii="Arial" w:eastAsia="宋体" w:hAnsi="Arial" w:cs="Arial"/>
                <w:b/>
                <w:bCs/>
                <w:color w:val="000000"/>
                <w:sz w:val="13"/>
                <w:szCs w:val="13"/>
              </w:rPr>
              <w:t>2,792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D1"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D4"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D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D7" w14:textId="77777777" w:rsidR="00980E5F" w:rsidRDefault="00483613">
            <w:pPr>
              <w:jc w:val="right"/>
              <w:textAlignment w:val="bottom"/>
            </w:pPr>
            <w:r>
              <w:rPr>
                <w:rFonts w:ascii="Arial" w:eastAsia="宋体" w:hAnsi="Arial" w:cs="Arial"/>
                <w:b/>
                <w:bCs/>
                <w:color w:val="000000"/>
                <w:sz w:val="13"/>
                <w:szCs w:val="13"/>
              </w:rPr>
              <w:t>15,300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D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8DA" w14:textId="77777777" w:rsidR="00980E5F" w:rsidRDefault="00483613">
            <w:pPr>
              <w:jc w:val="right"/>
              <w:textAlignment w:val="bottom"/>
            </w:pPr>
            <w:r>
              <w:rPr>
                <w:rFonts w:ascii="Arial" w:eastAsia="宋体" w:hAnsi="Arial" w:cs="Arial"/>
                <w:b/>
                <w:bCs/>
                <w:color w:val="000000"/>
                <w:sz w:val="13"/>
                <w:szCs w:val="13"/>
              </w:rPr>
              <w:t>14,927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8DB" w14:textId="77777777" w:rsidR="00980E5F" w:rsidRDefault="00980E5F">
            <w:pPr>
              <w:jc w:val="right"/>
              <w:rPr>
                <w:rFonts w:ascii="宋体"/>
              </w:rPr>
            </w:pPr>
          </w:p>
        </w:tc>
      </w:tr>
      <w:tr w:rsidR="00980E5F" w14:paraId="392C68FB" w14:textId="77777777">
        <w:tc>
          <w:tcPr>
            <w:tcW w:w="0" w:type="auto"/>
            <w:gridSpan w:val="3"/>
            <w:shd w:val="clear" w:color="auto" w:fill="FFFFFF"/>
            <w:tcMar>
              <w:top w:w="40" w:type="dxa"/>
              <w:left w:w="245" w:type="dxa"/>
              <w:bottom w:w="40" w:type="dxa"/>
              <w:right w:w="20" w:type="dxa"/>
            </w:tcMar>
            <w:vAlign w:val="bottom"/>
          </w:tcPr>
          <w:p w14:paraId="392C68DD" w14:textId="77777777" w:rsidR="00980E5F" w:rsidRDefault="00483613">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392C68DE" w14:textId="77777777" w:rsidR="00980E5F" w:rsidRDefault="00483613">
            <w:pPr>
              <w:jc w:val="right"/>
              <w:textAlignment w:val="bottom"/>
            </w:pPr>
            <w:r>
              <w:rPr>
                <w:rFonts w:ascii="Arial" w:eastAsia="宋体" w:hAnsi="Arial" w:cs="Arial"/>
                <w:b/>
                <w:bCs/>
                <w:color w:val="000000"/>
                <w:sz w:val="13"/>
                <w:szCs w:val="13"/>
              </w:rPr>
              <w:t>267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E1" w14:textId="77777777" w:rsidR="00980E5F" w:rsidRDefault="00483613">
            <w:pPr>
              <w:jc w:val="right"/>
              <w:textAlignment w:val="bottom"/>
            </w:pPr>
            <w:r>
              <w:rPr>
                <w:rFonts w:ascii="Arial" w:eastAsia="宋体" w:hAnsi="Arial" w:cs="Arial"/>
                <w:b/>
                <w:bCs/>
                <w:color w:val="000000"/>
                <w:sz w:val="13"/>
                <w:szCs w:val="13"/>
              </w:rPr>
              <w:t>266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E4" w14:textId="77777777" w:rsidR="00980E5F" w:rsidRDefault="00483613">
            <w:pPr>
              <w:jc w:val="right"/>
              <w:textAlignment w:val="bottom"/>
            </w:pPr>
            <w:r>
              <w:rPr>
                <w:rFonts w:ascii="Arial" w:eastAsia="宋体" w:hAnsi="Arial" w:cs="Arial"/>
                <w:b/>
                <w:bCs/>
                <w:color w:val="000000"/>
                <w:sz w:val="13"/>
                <w:szCs w:val="13"/>
              </w:rPr>
              <w:t>1,940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E7" w14:textId="77777777" w:rsidR="00980E5F" w:rsidRDefault="00483613">
            <w:pPr>
              <w:jc w:val="right"/>
              <w:textAlignment w:val="bottom"/>
            </w:pPr>
            <w:r>
              <w:rPr>
                <w:rFonts w:ascii="Arial" w:eastAsia="宋体" w:hAnsi="Arial" w:cs="Arial"/>
                <w:b/>
                <w:bCs/>
                <w:color w:val="000000"/>
                <w:sz w:val="13"/>
                <w:szCs w:val="13"/>
              </w:rPr>
              <w:t>1,812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EA" w14:textId="77777777" w:rsidR="00980E5F" w:rsidRDefault="00483613">
            <w:pPr>
              <w:jc w:val="right"/>
              <w:textAlignment w:val="bottom"/>
            </w:pPr>
            <w:r>
              <w:rPr>
                <w:rFonts w:ascii="Arial" w:eastAsia="宋体" w:hAnsi="Arial" w:cs="Arial"/>
                <w:b/>
                <w:bCs/>
                <w:color w:val="000000"/>
                <w:sz w:val="13"/>
                <w:szCs w:val="13"/>
              </w:rPr>
              <w:t>122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ED" w14:textId="77777777" w:rsidR="00980E5F" w:rsidRDefault="00483613">
            <w:pPr>
              <w:jc w:val="right"/>
              <w:textAlignment w:val="bottom"/>
            </w:pPr>
            <w:r>
              <w:rPr>
                <w:rFonts w:ascii="Arial" w:eastAsia="宋体" w:hAnsi="Arial" w:cs="Arial"/>
                <w:b/>
                <w:bCs/>
                <w:color w:val="000000"/>
                <w:sz w:val="13"/>
                <w:szCs w:val="13"/>
              </w:rPr>
              <w:t>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E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F0" w14:textId="77777777" w:rsidR="00980E5F" w:rsidRDefault="00483613">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F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F3" w14:textId="77777777" w:rsidR="00980E5F" w:rsidRDefault="00483613">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F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F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F6" w14:textId="77777777" w:rsidR="00980E5F" w:rsidRDefault="00483613">
            <w:pPr>
              <w:jc w:val="right"/>
              <w:textAlignment w:val="bottom"/>
            </w:pPr>
            <w:r>
              <w:rPr>
                <w:rFonts w:ascii="Arial" w:eastAsia="宋体" w:hAnsi="Arial" w:cs="Arial"/>
                <w:b/>
                <w:bCs/>
                <w:color w:val="000000"/>
                <w:sz w:val="13"/>
                <w:szCs w:val="13"/>
              </w:rPr>
              <w:t>2,358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F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8F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8F9" w14:textId="77777777" w:rsidR="00980E5F" w:rsidRDefault="00483613">
            <w:pPr>
              <w:jc w:val="right"/>
              <w:textAlignment w:val="bottom"/>
            </w:pPr>
            <w:r>
              <w:rPr>
                <w:rFonts w:ascii="Arial" w:eastAsia="宋体" w:hAnsi="Arial" w:cs="Arial"/>
                <w:b/>
                <w:bCs/>
                <w:color w:val="000000"/>
                <w:sz w:val="13"/>
                <w:szCs w:val="13"/>
              </w:rPr>
              <w:t>2,204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8FA" w14:textId="77777777" w:rsidR="00980E5F" w:rsidRDefault="00980E5F">
            <w:pPr>
              <w:jc w:val="right"/>
              <w:rPr>
                <w:rFonts w:ascii="宋体"/>
              </w:rPr>
            </w:pPr>
          </w:p>
        </w:tc>
      </w:tr>
      <w:tr w:rsidR="00980E5F" w14:paraId="392C691A" w14:textId="77777777">
        <w:tc>
          <w:tcPr>
            <w:tcW w:w="0" w:type="auto"/>
            <w:gridSpan w:val="3"/>
            <w:shd w:val="clear" w:color="auto" w:fill="CCEEFF"/>
            <w:tcMar>
              <w:top w:w="40" w:type="dxa"/>
              <w:left w:w="395" w:type="dxa"/>
              <w:bottom w:w="40" w:type="dxa"/>
              <w:right w:w="20" w:type="dxa"/>
            </w:tcMar>
            <w:vAlign w:val="bottom"/>
          </w:tcPr>
          <w:p w14:paraId="392C68FC" w14:textId="77777777" w:rsidR="00980E5F" w:rsidRDefault="00483613">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8FD" w14:textId="77777777" w:rsidR="00980E5F" w:rsidRDefault="00483613">
            <w:pPr>
              <w:jc w:val="right"/>
              <w:textAlignment w:val="bottom"/>
            </w:pPr>
            <w:r>
              <w:rPr>
                <w:rFonts w:ascii="Arial" w:eastAsia="宋体" w:hAnsi="Arial" w:cs="Arial"/>
                <w:b/>
                <w:bCs/>
                <w:color w:val="000000"/>
                <w:sz w:val="13"/>
                <w:szCs w:val="13"/>
              </w:rPr>
              <w:t>4,051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8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8F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0" w14:textId="77777777" w:rsidR="00980E5F" w:rsidRDefault="00483613">
            <w:pPr>
              <w:jc w:val="right"/>
              <w:textAlignment w:val="bottom"/>
            </w:pPr>
            <w:r>
              <w:rPr>
                <w:rFonts w:ascii="Arial" w:eastAsia="宋体" w:hAnsi="Arial" w:cs="Arial"/>
                <w:b/>
                <w:bCs/>
                <w:color w:val="000000"/>
                <w:sz w:val="13"/>
                <w:szCs w:val="13"/>
              </w:rPr>
              <w:t>4,035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0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3" w14:textId="77777777" w:rsidR="00980E5F" w:rsidRDefault="00483613">
            <w:pPr>
              <w:jc w:val="right"/>
              <w:textAlignment w:val="bottom"/>
            </w:pPr>
            <w:r>
              <w:rPr>
                <w:rFonts w:ascii="Arial" w:eastAsia="宋体" w:hAnsi="Arial" w:cs="Arial"/>
                <w:b/>
                <w:bCs/>
                <w:color w:val="000000"/>
                <w:sz w:val="13"/>
                <w:szCs w:val="13"/>
              </w:rPr>
              <w:t>12,280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0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6" w14:textId="77777777" w:rsidR="00980E5F" w:rsidRDefault="00483613">
            <w:pPr>
              <w:jc w:val="right"/>
              <w:textAlignment w:val="bottom"/>
            </w:pPr>
            <w:r>
              <w:rPr>
                <w:rFonts w:ascii="Arial" w:eastAsia="宋体" w:hAnsi="Arial" w:cs="Arial"/>
                <w:b/>
                <w:bCs/>
                <w:color w:val="000000"/>
                <w:sz w:val="13"/>
                <w:szCs w:val="13"/>
              </w:rPr>
              <w:t>11,799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0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9" w14:textId="77777777" w:rsidR="00980E5F" w:rsidRDefault="00483613">
            <w:pPr>
              <w:jc w:val="right"/>
              <w:textAlignment w:val="bottom"/>
            </w:pPr>
            <w:r>
              <w:rPr>
                <w:rFonts w:ascii="Arial" w:eastAsia="宋体" w:hAnsi="Arial" w:cs="Arial"/>
                <w:b/>
                <w:bCs/>
                <w:color w:val="000000"/>
                <w:sz w:val="13"/>
                <w:szCs w:val="13"/>
              </w:rPr>
              <w:t>3,422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0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C" w14:textId="77777777" w:rsidR="00980E5F" w:rsidRDefault="00483613">
            <w:pPr>
              <w:jc w:val="right"/>
              <w:textAlignment w:val="bottom"/>
            </w:pPr>
            <w:r>
              <w:rPr>
                <w:rFonts w:ascii="Arial" w:eastAsia="宋体" w:hAnsi="Arial" w:cs="Arial"/>
                <w:b/>
                <w:bCs/>
                <w:color w:val="000000"/>
                <w:sz w:val="13"/>
                <w:szCs w:val="13"/>
              </w:rPr>
              <w:t>3,375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0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0F" w14:textId="77777777" w:rsidR="00980E5F" w:rsidRDefault="00483613">
            <w:pPr>
              <w:jc w:val="right"/>
              <w:textAlignment w:val="bottom"/>
            </w:pPr>
            <w:r>
              <w:rPr>
                <w:rFonts w:ascii="Arial" w:eastAsia="宋体" w:hAnsi="Arial" w:cs="Arial"/>
                <w:b/>
                <w:bCs/>
                <w:color w:val="000000"/>
                <w:sz w:val="13"/>
                <w:szCs w:val="13"/>
              </w:rPr>
              <w:t>1,778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1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12" w14:textId="77777777" w:rsidR="00980E5F" w:rsidRDefault="00483613">
            <w:pPr>
              <w:jc w:val="right"/>
              <w:textAlignment w:val="bottom"/>
            </w:pPr>
            <w:r>
              <w:rPr>
                <w:rFonts w:ascii="Arial" w:eastAsia="宋体" w:hAnsi="Arial" w:cs="Arial"/>
                <w:b/>
                <w:bCs/>
                <w:color w:val="000000"/>
                <w:sz w:val="13"/>
                <w:szCs w:val="13"/>
              </w:rPr>
              <w:t>1,757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1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1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15" w14:textId="77777777" w:rsidR="00980E5F" w:rsidRDefault="00483613">
            <w:pPr>
              <w:jc w:val="right"/>
              <w:textAlignment w:val="bottom"/>
            </w:pPr>
            <w:r>
              <w:rPr>
                <w:rFonts w:ascii="Arial" w:eastAsia="宋体" w:hAnsi="Arial" w:cs="Arial"/>
                <w:b/>
                <w:bCs/>
                <w:color w:val="000000"/>
                <w:sz w:val="13"/>
                <w:szCs w:val="13"/>
              </w:rPr>
              <w:t>21,531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1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18" w14:textId="77777777" w:rsidR="00980E5F" w:rsidRDefault="00483613">
            <w:pPr>
              <w:jc w:val="right"/>
              <w:textAlignment w:val="bottom"/>
            </w:pPr>
            <w:r>
              <w:rPr>
                <w:rFonts w:ascii="Arial" w:eastAsia="宋体" w:hAnsi="Arial" w:cs="Arial"/>
                <w:b/>
                <w:bCs/>
                <w:color w:val="000000"/>
                <w:sz w:val="13"/>
                <w:szCs w:val="13"/>
              </w:rPr>
              <w:t>20,966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19" w14:textId="77777777" w:rsidR="00980E5F" w:rsidRDefault="00980E5F">
            <w:pPr>
              <w:jc w:val="right"/>
              <w:rPr>
                <w:rFonts w:ascii="宋体"/>
              </w:rPr>
            </w:pPr>
          </w:p>
        </w:tc>
      </w:tr>
      <w:tr w:rsidR="00980E5F" w14:paraId="392C692F" w14:textId="77777777">
        <w:tc>
          <w:tcPr>
            <w:tcW w:w="0" w:type="auto"/>
            <w:gridSpan w:val="3"/>
            <w:shd w:val="clear" w:color="auto" w:fill="FFFFFF"/>
            <w:tcMar>
              <w:top w:w="40" w:type="dxa"/>
              <w:left w:w="20" w:type="dxa"/>
              <w:bottom w:w="40" w:type="dxa"/>
              <w:right w:w="20" w:type="dxa"/>
            </w:tcMar>
            <w:vAlign w:val="bottom"/>
          </w:tcPr>
          <w:p w14:paraId="392C691B" w14:textId="77777777" w:rsidR="00980E5F" w:rsidRDefault="00483613">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1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1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1F"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1"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3"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5"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7"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9"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92D"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92E" w14:textId="77777777" w:rsidR="00980E5F" w:rsidRDefault="00980E5F">
            <w:pPr>
              <w:rPr>
                <w:rFonts w:ascii="宋体"/>
              </w:rPr>
            </w:pPr>
          </w:p>
        </w:tc>
      </w:tr>
      <w:tr w:rsidR="00980E5F" w14:paraId="392C694E" w14:textId="77777777">
        <w:tc>
          <w:tcPr>
            <w:tcW w:w="0" w:type="auto"/>
            <w:gridSpan w:val="3"/>
            <w:shd w:val="clear" w:color="auto" w:fill="CCEEFF"/>
            <w:tcMar>
              <w:top w:w="40" w:type="dxa"/>
              <w:left w:w="245" w:type="dxa"/>
              <w:bottom w:w="40" w:type="dxa"/>
              <w:right w:w="20" w:type="dxa"/>
            </w:tcMar>
            <w:vAlign w:val="bottom"/>
          </w:tcPr>
          <w:p w14:paraId="392C6930" w14:textId="77777777" w:rsidR="00980E5F" w:rsidRDefault="00483613">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392C6931" w14:textId="77777777" w:rsidR="00980E5F" w:rsidRDefault="00483613">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34" w14:textId="77777777" w:rsidR="00980E5F" w:rsidRDefault="00483613">
            <w:pPr>
              <w:jc w:val="right"/>
              <w:textAlignment w:val="bottom"/>
            </w:pPr>
            <w:r>
              <w:rPr>
                <w:rFonts w:ascii="Arial" w:eastAsia="宋体" w:hAnsi="Arial" w:cs="Arial"/>
                <w:b/>
                <w:bCs/>
                <w:color w:val="000000"/>
                <w:sz w:val="13"/>
                <w:szCs w:val="13"/>
              </w:rPr>
              <w:t>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3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37"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3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3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3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3D"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3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4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4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43" w14:textId="77777777" w:rsidR="00980E5F" w:rsidRDefault="00483613">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4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46" w14:textId="77777777" w:rsidR="00980E5F" w:rsidRDefault="00483613">
            <w:pPr>
              <w:jc w:val="right"/>
              <w:textAlignment w:val="bottom"/>
            </w:pPr>
            <w:r>
              <w:rPr>
                <w:rFonts w:ascii="Arial" w:eastAsia="宋体" w:hAnsi="Arial" w:cs="Arial"/>
                <w:b/>
                <w:bCs/>
                <w:color w:val="000000"/>
                <w:sz w:val="13"/>
                <w:szCs w:val="13"/>
              </w:rPr>
              <w:t>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4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49" w14:textId="77777777" w:rsidR="00980E5F" w:rsidRDefault="00483613">
            <w:pPr>
              <w:jc w:val="right"/>
              <w:textAlignment w:val="bottom"/>
            </w:pPr>
            <w:r>
              <w:rPr>
                <w:rFonts w:ascii="Arial" w:eastAsia="宋体" w:hAnsi="Arial" w:cs="Arial"/>
                <w:b/>
                <w:bCs/>
                <w:color w:val="000000"/>
                <w:sz w:val="13"/>
                <w:szCs w:val="13"/>
              </w:rPr>
              <w:t>152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4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4C" w14:textId="77777777" w:rsidR="00980E5F" w:rsidRDefault="00483613">
            <w:pPr>
              <w:jc w:val="right"/>
              <w:textAlignment w:val="bottom"/>
            </w:pPr>
            <w:r>
              <w:rPr>
                <w:rFonts w:ascii="Arial" w:eastAsia="宋体" w:hAnsi="Arial" w:cs="Arial"/>
                <w:b/>
                <w:bCs/>
                <w:color w:val="000000"/>
                <w:sz w:val="13"/>
                <w:szCs w:val="13"/>
              </w:rPr>
              <w:t>150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4D" w14:textId="77777777" w:rsidR="00980E5F" w:rsidRDefault="00980E5F">
            <w:pPr>
              <w:jc w:val="right"/>
              <w:rPr>
                <w:rFonts w:ascii="宋体"/>
              </w:rPr>
            </w:pPr>
          </w:p>
        </w:tc>
      </w:tr>
      <w:tr w:rsidR="00980E5F" w14:paraId="392C6963" w14:textId="77777777">
        <w:trPr>
          <w:hidden/>
        </w:trPr>
        <w:tc>
          <w:tcPr>
            <w:tcW w:w="0" w:type="auto"/>
            <w:gridSpan w:val="3"/>
            <w:shd w:val="clear" w:color="auto" w:fill="auto"/>
            <w:vAlign w:val="bottom"/>
          </w:tcPr>
          <w:p w14:paraId="392C694F" w14:textId="77777777" w:rsidR="00980E5F" w:rsidRDefault="00980E5F">
            <w:pPr>
              <w:rPr>
                <w:rFonts w:ascii="宋体"/>
                <w:vanish/>
              </w:rPr>
            </w:pPr>
          </w:p>
        </w:tc>
        <w:tc>
          <w:tcPr>
            <w:tcW w:w="0" w:type="auto"/>
            <w:gridSpan w:val="3"/>
            <w:shd w:val="clear" w:color="auto" w:fill="auto"/>
            <w:vAlign w:val="bottom"/>
          </w:tcPr>
          <w:p w14:paraId="392C6950" w14:textId="77777777" w:rsidR="00980E5F" w:rsidRDefault="00980E5F">
            <w:pPr>
              <w:rPr>
                <w:rFonts w:ascii="宋体"/>
                <w:vanish/>
              </w:rPr>
            </w:pPr>
          </w:p>
        </w:tc>
        <w:tc>
          <w:tcPr>
            <w:tcW w:w="0" w:type="auto"/>
            <w:gridSpan w:val="3"/>
            <w:shd w:val="clear" w:color="auto" w:fill="auto"/>
            <w:vAlign w:val="bottom"/>
          </w:tcPr>
          <w:p w14:paraId="392C6951" w14:textId="77777777" w:rsidR="00980E5F" w:rsidRDefault="00980E5F">
            <w:pPr>
              <w:rPr>
                <w:rFonts w:ascii="宋体"/>
                <w:vanish/>
              </w:rPr>
            </w:pPr>
          </w:p>
        </w:tc>
        <w:tc>
          <w:tcPr>
            <w:tcW w:w="0" w:type="auto"/>
            <w:gridSpan w:val="3"/>
            <w:shd w:val="clear" w:color="auto" w:fill="auto"/>
            <w:vAlign w:val="bottom"/>
          </w:tcPr>
          <w:p w14:paraId="392C6952" w14:textId="77777777" w:rsidR="00980E5F" w:rsidRDefault="00980E5F">
            <w:pPr>
              <w:rPr>
                <w:rFonts w:ascii="宋体"/>
                <w:vanish/>
              </w:rPr>
            </w:pPr>
          </w:p>
        </w:tc>
        <w:tc>
          <w:tcPr>
            <w:tcW w:w="0" w:type="auto"/>
            <w:gridSpan w:val="3"/>
            <w:shd w:val="clear" w:color="auto" w:fill="auto"/>
            <w:vAlign w:val="bottom"/>
          </w:tcPr>
          <w:p w14:paraId="392C6953" w14:textId="77777777" w:rsidR="00980E5F" w:rsidRDefault="00980E5F">
            <w:pPr>
              <w:rPr>
                <w:rFonts w:ascii="宋体"/>
                <w:vanish/>
              </w:rPr>
            </w:pPr>
          </w:p>
        </w:tc>
        <w:tc>
          <w:tcPr>
            <w:tcW w:w="0" w:type="auto"/>
            <w:gridSpan w:val="3"/>
            <w:shd w:val="clear" w:color="auto" w:fill="auto"/>
            <w:vAlign w:val="bottom"/>
          </w:tcPr>
          <w:p w14:paraId="392C6954" w14:textId="77777777" w:rsidR="00980E5F" w:rsidRDefault="00980E5F">
            <w:pPr>
              <w:rPr>
                <w:rFonts w:ascii="宋体"/>
                <w:vanish/>
              </w:rPr>
            </w:pPr>
          </w:p>
        </w:tc>
        <w:tc>
          <w:tcPr>
            <w:tcW w:w="0" w:type="auto"/>
            <w:gridSpan w:val="3"/>
            <w:shd w:val="clear" w:color="auto" w:fill="auto"/>
            <w:vAlign w:val="bottom"/>
          </w:tcPr>
          <w:p w14:paraId="392C6955" w14:textId="77777777" w:rsidR="00980E5F" w:rsidRDefault="00980E5F">
            <w:pPr>
              <w:rPr>
                <w:rFonts w:ascii="宋体"/>
                <w:vanish/>
              </w:rPr>
            </w:pPr>
          </w:p>
        </w:tc>
        <w:tc>
          <w:tcPr>
            <w:tcW w:w="0" w:type="auto"/>
            <w:gridSpan w:val="3"/>
            <w:shd w:val="clear" w:color="auto" w:fill="auto"/>
            <w:vAlign w:val="bottom"/>
          </w:tcPr>
          <w:p w14:paraId="392C6956" w14:textId="77777777" w:rsidR="00980E5F" w:rsidRDefault="00980E5F">
            <w:pPr>
              <w:rPr>
                <w:rFonts w:ascii="宋体"/>
                <w:vanish/>
              </w:rPr>
            </w:pPr>
          </w:p>
        </w:tc>
        <w:tc>
          <w:tcPr>
            <w:tcW w:w="0" w:type="auto"/>
            <w:gridSpan w:val="3"/>
            <w:shd w:val="clear" w:color="auto" w:fill="auto"/>
            <w:vAlign w:val="bottom"/>
          </w:tcPr>
          <w:p w14:paraId="392C6957" w14:textId="77777777" w:rsidR="00980E5F" w:rsidRDefault="00980E5F">
            <w:pPr>
              <w:rPr>
                <w:rFonts w:ascii="宋体"/>
                <w:vanish/>
              </w:rPr>
            </w:pPr>
          </w:p>
        </w:tc>
        <w:tc>
          <w:tcPr>
            <w:tcW w:w="0" w:type="auto"/>
            <w:gridSpan w:val="3"/>
            <w:shd w:val="clear" w:color="auto" w:fill="auto"/>
            <w:vAlign w:val="bottom"/>
          </w:tcPr>
          <w:p w14:paraId="392C6958" w14:textId="77777777" w:rsidR="00980E5F" w:rsidRDefault="00980E5F">
            <w:pPr>
              <w:rPr>
                <w:rFonts w:ascii="宋体"/>
                <w:vanish/>
              </w:rPr>
            </w:pPr>
          </w:p>
        </w:tc>
        <w:tc>
          <w:tcPr>
            <w:tcW w:w="0" w:type="auto"/>
            <w:gridSpan w:val="3"/>
            <w:shd w:val="clear" w:color="auto" w:fill="auto"/>
            <w:vAlign w:val="bottom"/>
          </w:tcPr>
          <w:p w14:paraId="392C6959" w14:textId="77777777" w:rsidR="00980E5F" w:rsidRDefault="00980E5F">
            <w:pPr>
              <w:rPr>
                <w:rFonts w:ascii="宋体"/>
                <w:vanish/>
              </w:rPr>
            </w:pPr>
          </w:p>
        </w:tc>
        <w:tc>
          <w:tcPr>
            <w:tcW w:w="0" w:type="auto"/>
            <w:gridSpan w:val="3"/>
            <w:shd w:val="clear" w:color="auto" w:fill="auto"/>
            <w:vAlign w:val="bottom"/>
          </w:tcPr>
          <w:p w14:paraId="392C695A" w14:textId="77777777" w:rsidR="00980E5F" w:rsidRDefault="00980E5F">
            <w:pPr>
              <w:rPr>
                <w:rFonts w:ascii="宋体"/>
                <w:vanish/>
              </w:rPr>
            </w:pPr>
          </w:p>
        </w:tc>
        <w:tc>
          <w:tcPr>
            <w:tcW w:w="0" w:type="auto"/>
            <w:gridSpan w:val="3"/>
            <w:shd w:val="clear" w:color="auto" w:fill="auto"/>
            <w:vAlign w:val="bottom"/>
          </w:tcPr>
          <w:p w14:paraId="392C695B" w14:textId="77777777" w:rsidR="00980E5F" w:rsidRDefault="00980E5F">
            <w:pPr>
              <w:rPr>
                <w:rFonts w:ascii="宋体"/>
                <w:vanish/>
              </w:rPr>
            </w:pPr>
          </w:p>
        </w:tc>
        <w:tc>
          <w:tcPr>
            <w:tcW w:w="0" w:type="auto"/>
            <w:gridSpan w:val="3"/>
            <w:shd w:val="clear" w:color="auto" w:fill="auto"/>
            <w:vAlign w:val="bottom"/>
          </w:tcPr>
          <w:p w14:paraId="392C695C" w14:textId="77777777" w:rsidR="00980E5F" w:rsidRDefault="00980E5F">
            <w:pPr>
              <w:rPr>
                <w:rFonts w:ascii="宋体"/>
                <w:vanish/>
              </w:rPr>
            </w:pPr>
          </w:p>
        </w:tc>
        <w:tc>
          <w:tcPr>
            <w:tcW w:w="0" w:type="auto"/>
            <w:gridSpan w:val="3"/>
            <w:shd w:val="clear" w:color="auto" w:fill="auto"/>
            <w:vAlign w:val="bottom"/>
          </w:tcPr>
          <w:p w14:paraId="392C695D" w14:textId="77777777" w:rsidR="00980E5F" w:rsidRDefault="00980E5F">
            <w:pPr>
              <w:rPr>
                <w:rFonts w:ascii="宋体"/>
                <w:vanish/>
              </w:rPr>
            </w:pPr>
          </w:p>
        </w:tc>
        <w:tc>
          <w:tcPr>
            <w:tcW w:w="0" w:type="auto"/>
            <w:gridSpan w:val="3"/>
            <w:shd w:val="clear" w:color="auto" w:fill="auto"/>
            <w:vAlign w:val="bottom"/>
          </w:tcPr>
          <w:p w14:paraId="392C695E" w14:textId="77777777" w:rsidR="00980E5F" w:rsidRDefault="00980E5F">
            <w:pPr>
              <w:rPr>
                <w:rFonts w:ascii="宋体"/>
                <w:vanish/>
              </w:rPr>
            </w:pPr>
          </w:p>
        </w:tc>
        <w:tc>
          <w:tcPr>
            <w:tcW w:w="0" w:type="auto"/>
            <w:gridSpan w:val="3"/>
            <w:shd w:val="clear" w:color="auto" w:fill="auto"/>
            <w:vAlign w:val="bottom"/>
          </w:tcPr>
          <w:p w14:paraId="392C695F" w14:textId="77777777" w:rsidR="00980E5F" w:rsidRDefault="00980E5F">
            <w:pPr>
              <w:rPr>
                <w:rFonts w:ascii="宋体"/>
                <w:vanish/>
              </w:rPr>
            </w:pPr>
          </w:p>
        </w:tc>
        <w:tc>
          <w:tcPr>
            <w:tcW w:w="0" w:type="auto"/>
            <w:gridSpan w:val="3"/>
            <w:shd w:val="clear" w:color="auto" w:fill="auto"/>
            <w:vAlign w:val="bottom"/>
          </w:tcPr>
          <w:p w14:paraId="392C6960" w14:textId="77777777" w:rsidR="00980E5F" w:rsidRDefault="00980E5F">
            <w:pPr>
              <w:rPr>
                <w:rFonts w:ascii="宋体"/>
                <w:vanish/>
              </w:rPr>
            </w:pPr>
          </w:p>
        </w:tc>
        <w:tc>
          <w:tcPr>
            <w:tcW w:w="0" w:type="auto"/>
            <w:gridSpan w:val="3"/>
            <w:shd w:val="clear" w:color="auto" w:fill="auto"/>
            <w:vAlign w:val="bottom"/>
          </w:tcPr>
          <w:p w14:paraId="392C6961" w14:textId="77777777" w:rsidR="00980E5F" w:rsidRDefault="00980E5F">
            <w:pPr>
              <w:rPr>
                <w:rFonts w:ascii="宋体"/>
                <w:vanish/>
              </w:rPr>
            </w:pPr>
          </w:p>
        </w:tc>
        <w:tc>
          <w:tcPr>
            <w:tcW w:w="0" w:type="auto"/>
            <w:gridSpan w:val="3"/>
            <w:shd w:val="clear" w:color="auto" w:fill="auto"/>
            <w:vAlign w:val="bottom"/>
          </w:tcPr>
          <w:p w14:paraId="392C6962" w14:textId="77777777" w:rsidR="00980E5F" w:rsidRDefault="00980E5F">
            <w:pPr>
              <w:rPr>
                <w:rFonts w:ascii="宋体"/>
                <w:vanish/>
              </w:rPr>
            </w:pPr>
          </w:p>
        </w:tc>
      </w:tr>
      <w:tr w:rsidR="00980E5F" w14:paraId="392C6978" w14:textId="77777777">
        <w:trPr>
          <w:hidden/>
        </w:trPr>
        <w:tc>
          <w:tcPr>
            <w:tcW w:w="0" w:type="auto"/>
            <w:gridSpan w:val="3"/>
            <w:shd w:val="clear" w:color="auto" w:fill="auto"/>
            <w:vAlign w:val="bottom"/>
          </w:tcPr>
          <w:p w14:paraId="392C6964" w14:textId="77777777" w:rsidR="00980E5F" w:rsidRDefault="00980E5F">
            <w:pPr>
              <w:rPr>
                <w:rFonts w:ascii="宋体"/>
                <w:vanish/>
              </w:rPr>
            </w:pPr>
          </w:p>
        </w:tc>
        <w:tc>
          <w:tcPr>
            <w:tcW w:w="0" w:type="auto"/>
            <w:gridSpan w:val="3"/>
            <w:shd w:val="clear" w:color="auto" w:fill="auto"/>
            <w:vAlign w:val="bottom"/>
          </w:tcPr>
          <w:p w14:paraId="392C6965" w14:textId="77777777" w:rsidR="00980E5F" w:rsidRDefault="00980E5F">
            <w:pPr>
              <w:rPr>
                <w:rFonts w:ascii="宋体"/>
                <w:vanish/>
              </w:rPr>
            </w:pPr>
          </w:p>
        </w:tc>
        <w:tc>
          <w:tcPr>
            <w:tcW w:w="0" w:type="auto"/>
            <w:gridSpan w:val="3"/>
            <w:shd w:val="clear" w:color="auto" w:fill="auto"/>
            <w:vAlign w:val="bottom"/>
          </w:tcPr>
          <w:p w14:paraId="392C6966" w14:textId="77777777" w:rsidR="00980E5F" w:rsidRDefault="00980E5F">
            <w:pPr>
              <w:rPr>
                <w:rFonts w:ascii="宋体"/>
                <w:vanish/>
              </w:rPr>
            </w:pPr>
          </w:p>
        </w:tc>
        <w:tc>
          <w:tcPr>
            <w:tcW w:w="0" w:type="auto"/>
            <w:gridSpan w:val="3"/>
            <w:shd w:val="clear" w:color="auto" w:fill="auto"/>
            <w:vAlign w:val="bottom"/>
          </w:tcPr>
          <w:p w14:paraId="392C6967" w14:textId="77777777" w:rsidR="00980E5F" w:rsidRDefault="00980E5F">
            <w:pPr>
              <w:rPr>
                <w:rFonts w:ascii="宋体"/>
                <w:vanish/>
              </w:rPr>
            </w:pPr>
          </w:p>
        </w:tc>
        <w:tc>
          <w:tcPr>
            <w:tcW w:w="0" w:type="auto"/>
            <w:gridSpan w:val="3"/>
            <w:shd w:val="clear" w:color="auto" w:fill="auto"/>
            <w:vAlign w:val="bottom"/>
          </w:tcPr>
          <w:p w14:paraId="392C6968" w14:textId="77777777" w:rsidR="00980E5F" w:rsidRDefault="00980E5F">
            <w:pPr>
              <w:rPr>
                <w:rFonts w:ascii="宋体"/>
                <w:vanish/>
              </w:rPr>
            </w:pPr>
          </w:p>
        </w:tc>
        <w:tc>
          <w:tcPr>
            <w:tcW w:w="0" w:type="auto"/>
            <w:gridSpan w:val="3"/>
            <w:shd w:val="clear" w:color="auto" w:fill="auto"/>
            <w:vAlign w:val="bottom"/>
          </w:tcPr>
          <w:p w14:paraId="392C6969" w14:textId="77777777" w:rsidR="00980E5F" w:rsidRDefault="00980E5F">
            <w:pPr>
              <w:rPr>
                <w:rFonts w:ascii="宋体"/>
                <w:vanish/>
              </w:rPr>
            </w:pPr>
          </w:p>
        </w:tc>
        <w:tc>
          <w:tcPr>
            <w:tcW w:w="0" w:type="auto"/>
            <w:gridSpan w:val="3"/>
            <w:shd w:val="clear" w:color="auto" w:fill="auto"/>
            <w:vAlign w:val="bottom"/>
          </w:tcPr>
          <w:p w14:paraId="392C696A" w14:textId="77777777" w:rsidR="00980E5F" w:rsidRDefault="00980E5F">
            <w:pPr>
              <w:rPr>
                <w:rFonts w:ascii="宋体"/>
                <w:vanish/>
              </w:rPr>
            </w:pPr>
          </w:p>
        </w:tc>
        <w:tc>
          <w:tcPr>
            <w:tcW w:w="0" w:type="auto"/>
            <w:gridSpan w:val="3"/>
            <w:shd w:val="clear" w:color="auto" w:fill="auto"/>
            <w:vAlign w:val="bottom"/>
          </w:tcPr>
          <w:p w14:paraId="392C696B" w14:textId="77777777" w:rsidR="00980E5F" w:rsidRDefault="00980E5F">
            <w:pPr>
              <w:rPr>
                <w:rFonts w:ascii="宋体"/>
                <w:vanish/>
              </w:rPr>
            </w:pPr>
          </w:p>
        </w:tc>
        <w:tc>
          <w:tcPr>
            <w:tcW w:w="0" w:type="auto"/>
            <w:gridSpan w:val="3"/>
            <w:shd w:val="clear" w:color="auto" w:fill="auto"/>
            <w:vAlign w:val="bottom"/>
          </w:tcPr>
          <w:p w14:paraId="392C696C" w14:textId="77777777" w:rsidR="00980E5F" w:rsidRDefault="00980E5F">
            <w:pPr>
              <w:rPr>
                <w:rFonts w:ascii="宋体"/>
                <w:vanish/>
              </w:rPr>
            </w:pPr>
          </w:p>
        </w:tc>
        <w:tc>
          <w:tcPr>
            <w:tcW w:w="0" w:type="auto"/>
            <w:gridSpan w:val="3"/>
            <w:shd w:val="clear" w:color="auto" w:fill="auto"/>
            <w:vAlign w:val="bottom"/>
          </w:tcPr>
          <w:p w14:paraId="392C696D" w14:textId="77777777" w:rsidR="00980E5F" w:rsidRDefault="00980E5F">
            <w:pPr>
              <w:rPr>
                <w:rFonts w:ascii="宋体"/>
                <w:vanish/>
              </w:rPr>
            </w:pPr>
          </w:p>
        </w:tc>
        <w:tc>
          <w:tcPr>
            <w:tcW w:w="0" w:type="auto"/>
            <w:gridSpan w:val="3"/>
            <w:shd w:val="clear" w:color="auto" w:fill="auto"/>
            <w:vAlign w:val="bottom"/>
          </w:tcPr>
          <w:p w14:paraId="392C696E" w14:textId="77777777" w:rsidR="00980E5F" w:rsidRDefault="00980E5F">
            <w:pPr>
              <w:rPr>
                <w:rFonts w:ascii="宋体"/>
                <w:vanish/>
              </w:rPr>
            </w:pPr>
          </w:p>
        </w:tc>
        <w:tc>
          <w:tcPr>
            <w:tcW w:w="0" w:type="auto"/>
            <w:gridSpan w:val="3"/>
            <w:shd w:val="clear" w:color="auto" w:fill="auto"/>
            <w:vAlign w:val="bottom"/>
          </w:tcPr>
          <w:p w14:paraId="392C696F" w14:textId="77777777" w:rsidR="00980E5F" w:rsidRDefault="00980E5F">
            <w:pPr>
              <w:rPr>
                <w:rFonts w:ascii="宋体"/>
                <w:vanish/>
              </w:rPr>
            </w:pPr>
          </w:p>
        </w:tc>
        <w:tc>
          <w:tcPr>
            <w:tcW w:w="0" w:type="auto"/>
            <w:gridSpan w:val="3"/>
            <w:shd w:val="clear" w:color="auto" w:fill="auto"/>
            <w:vAlign w:val="bottom"/>
          </w:tcPr>
          <w:p w14:paraId="392C6970" w14:textId="77777777" w:rsidR="00980E5F" w:rsidRDefault="00980E5F">
            <w:pPr>
              <w:rPr>
                <w:rFonts w:ascii="宋体"/>
                <w:vanish/>
              </w:rPr>
            </w:pPr>
          </w:p>
        </w:tc>
        <w:tc>
          <w:tcPr>
            <w:tcW w:w="0" w:type="auto"/>
            <w:gridSpan w:val="3"/>
            <w:shd w:val="clear" w:color="auto" w:fill="auto"/>
            <w:vAlign w:val="bottom"/>
          </w:tcPr>
          <w:p w14:paraId="392C6971" w14:textId="77777777" w:rsidR="00980E5F" w:rsidRDefault="00980E5F">
            <w:pPr>
              <w:rPr>
                <w:rFonts w:ascii="宋体"/>
                <w:vanish/>
              </w:rPr>
            </w:pPr>
          </w:p>
        </w:tc>
        <w:tc>
          <w:tcPr>
            <w:tcW w:w="0" w:type="auto"/>
            <w:gridSpan w:val="3"/>
            <w:shd w:val="clear" w:color="auto" w:fill="auto"/>
            <w:vAlign w:val="bottom"/>
          </w:tcPr>
          <w:p w14:paraId="392C6972" w14:textId="77777777" w:rsidR="00980E5F" w:rsidRDefault="00980E5F">
            <w:pPr>
              <w:rPr>
                <w:rFonts w:ascii="宋体"/>
                <w:vanish/>
              </w:rPr>
            </w:pPr>
          </w:p>
        </w:tc>
        <w:tc>
          <w:tcPr>
            <w:tcW w:w="0" w:type="auto"/>
            <w:gridSpan w:val="3"/>
            <w:shd w:val="clear" w:color="auto" w:fill="auto"/>
            <w:vAlign w:val="bottom"/>
          </w:tcPr>
          <w:p w14:paraId="392C6973" w14:textId="77777777" w:rsidR="00980E5F" w:rsidRDefault="00980E5F">
            <w:pPr>
              <w:rPr>
                <w:rFonts w:ascii="宋体"/>
                <w:vanish/>
              </w:rPr>
            </w:pPr>
          </w:p>
        </w:tc>
        <w:tc>
          <w:tcPr>
            <w:tcW w:w="0" w:type="auto"/>
            <w:gridSpan w:val="3"/>
            <w:shd w:val="clear" w:color="auto" w:fill="auto"/>
            <w:vAlign w:val="bottom"/>
          </w:tcPr>
          <w:p w14:paraId="392C6974" w14:textId="77777777" w:rsidR="00980E5F" w:rsidRDefault="00980E5F">
            <w:pPr>
              <w:rPr>
                <w:rFonts w:ascii="宋体"/>
                <w:vanish/>
              </w:rPr>
            </w:pPr>
          </w:p>
        </w:tc>
        <w:tc>
          <w:tcPr>
            <w:tcW w:w="0" w:type="auto"/>
            <w:gridSpan w:val="3"/>
            <w:shd w:val="clear" w:color="auto" w:fill="auto"/>
            <w:vAlign w:val="bottom"/>
          </w:tcPr>
          <w:p w14:paraId="392C6975" w14:textId="77777777" w:rsidR="00980E5F" w:rsidRDefault="00980E5F">
            <w:pPr>
              <w:rPr>
                <w:rFonts w:ascii="宋体"/>
                <w:vanish/>
              </w:rPr>
            </w:pPr>
          </w:p>
        </w:tc>
        <w:tc>
          <w:tcPr>
            <w:tcW w:w="0" w:type="auto"/>
            <w:gridSpan w:val="3"/>
            <w:shd w:val="clear" w:color="auto" w:fill="auto"/>
            <w:vAlign w:val="bottom"/>
          </w:tcPr>
          <w:p w14:paraId="392C6976" w14:textId="77777777" w:rsidR="00980E5F" w:rsidRDefault="00980E5F">
            <w:pPr>
              <w:rPr>
                <w:rFonts w:ascii="宋体"/>
                <w:vanish/>
              </w:rPr>
            </w:pPr>
          </w:p>
        </w:tc>
        <w:tc>
          <w:tcPr>
            <w:tcW w:w="0" w:type="auto"/>
            <w:gridSpan w:val="3"/>
            <w:shd w:val="clear" w:color="auto" w:fill="auto"/>
            <w:vAlign w:val="bottom"/>
          </w:tcPr>
          <w:p w14:paraId="392C6977" w14:textId="77777777" w:rsidR="00980E5F" w:rsidRDefault="00980E5F">
            <w:pPr>
              <w:rPr>
                <w:rFonts w:ascii="宋体"/>
                <w:vanish/>
              </w:rPr>
            </w:pPr>
          </w:p>
        </w:tc>
      </w:tr>
      <w:tr w:rsidR="00980E5F" w14:paraId="392C6997" w14:textId="77777777">
        <w:tc>
          <w:tcPr>
            <w:tcW w:w="0" w:type="auto"/>
            <w:gridSpan w:val="3"/>
            <w:shd w:val="clear" w:color="auto" w:fill="FFFFFF"/>
            <w:tcMar>
              <w:top w:w="40" w:type="dxa"/>
              <w:left w:w="245" w:type="dxa"/>
              <w:bottom w:w="40" w:type="dxa"/>
              <w:right w:w="20" w:type="dxa"/>
            </w:tcMar>
            <w:vAlign w:val="bottom"/>
          </w:tcPr>
          <w:p w14:paraId="392C6979" w14:textId="77777777" w:rsidR="00980E5F" w:rsidRDefault="00483613">
            <w:pPr>
              <w:textAlignment w:val="bottom"/>
            </w:pPr>
            <w:r>
              <w:rPr>
                <w:rFonts w:ascii="Arial" w:eastAsia="宋体" w:hAnsi="Arial" w:cs="Arial"/>
                <w:color w:val="000000"/>
                <w:sz w:val="13"/>
                <w:szCs w:val="13"/>
              </w:rPr>
              <w:t>Collateralized loan obligations</w:t>
            </w:r>
          </w:p>
        </w:tc>
        <w:tc>
          <w:tcPr>
            <w:tcW w:w="0" w:type="auto"/>
            <w:gridSpan w:val="2"/>
            <w:shd w:val="clear" w:color="auto" w:fill="FFFFFF"/>
            <w:tcMar>
              <w:top w:w="40" w:type="dxa"/>
              <w:left w:w="20" w:type="dxa"/>
              <w:bottom w:w="40" w:type="dxa"/>
              <w:right w:w="0" w:type="dxa"/>
            </w:tcMar>
            <w:vAlign w:val="bottom"/>
          </w:tcPr>
          <w:p w14:paraId="392C697A" w14:textId="77777777" w:rsidR="00980E5F" w:rsidRDefault="00483613">
            <w:pPr>
              <w:jc w:val="right"/>
              <w:textAlignment w:val="bottom"/>
            </w:pPr>
            <w:r>
              <w:rPr>
                <w:rFonts w:ascii="Arial" w:eastAsia="宋体" w:hAnsi="Arial" w:cs="Arial"/>
                <w:b/>
                <w:bCs/>
                <w:color w:val="000000"/>
                <w:sz w:val="13"/>
                <w:szCs w:val="13"/>
              </w:rPr>
              <w:t>108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7D" w14:textId="77777777" w:rsidR="00980E5F" w:rsidRDefault="00483613">
            <w:pPr>
              <w:jc w:val="right"/>
              <w:textAlignment w:val="bottom"/>
            </w:pPr>
            <w:r>
              <w:rPr>
                <w:rFonts w:ascii="Arial" w:eastAsia="宋体" w:hAnsi="Arial" w:cs="Arial"/>
                <w:b/>
                <w:bCs/>
                <w:color w:val="000000"/>
                <w:sz w:val="13"/>
                <w:szCs w:val="13"/>
              </w:rPr>
              <w:t>106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0" w14:textId="77777777" w:rsidR="00980E5F" w:rsidRDefault="00483613">
            <w:pPr>
              <w:jc w:val="right"/>
              <w:textAlignment w:val="bottom"/>
            </w:pPr>
            <w:r>
              <w:rPr>
                <w:rFonts w:ascii="Arial" w:eastAsia="宋体" w:hAnsi="Arial" w:cs="Arial"/>
                <w:b/>
                <w:bCs/>
                <w:color w:val="000000"/>
                <w:sz w:val="13"/>
                <w:szCs w:val="13"/>
              </w:rPr>
              <w:t>485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3" w14:textId="77777777" w:rsidR="00980E5F" w:rsidRDefault="00483613">
            <w:pPr>
              <w:jc w:val="right"/>
              <w:textAlignment w:val="bottom"/>
            </w:pPr>
            <w:r>
              <w:rPr>
                <w:rFonts w:ascii="Arial" w:eastAsia="宋体" w:hAnsi="Arial" w:cs="Arial"/>
                <w:b/>
                <w:bCs/>
                <w:color w:val="000000"/>
                <w:sz w:val="13"/>
                <w:szCs w:val="13"/>
              </w:rPr>
              <w:t>477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6" w14:textId="77777777" w:rsidR="00980E5F" w:rsidRDefault="00483613">
            <w:pPr>
              <w:jc w:val="right"/>
              <w:textAlignment w:val="bottom"/>
            </w:pPr>
            <w:r>
              <w:rPr>
                <w:rFonts w:ascii="Arial" w:eastAsia="宋体" w:hAnsi="Arial" w:cs="Arial"/>
                <w:b/>
                <w:bCs/>
                <w:color w:val="000000"/>
                <w:sz w:val="13"/>
                <w:szCs w:val="13"/>
              </w:rPr>
              <w:t>1,197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9" w14:textId="77777777" w:rsidR="00980E5F" w:rsidRDefault="00483613">
            <w:pPr>
              <w:jc w:val="right"/>
              <w:textAlignment w:val="bottom"/>
            </w:pPr>
            <w:r>
              <w:rPr>
                <w:rFonts w:ascii="Arial" w:eastAsia="宋体" w:hAnsi="Arial" w:cs="Arial"/>
                <w:b/>
                <w:bCs/>
                <w:color w:val="000000"/>
                <w:sz w:val="13"/>
                <w:szCs w:val="13"/>
              </w:rPr>
              <w:t>1,177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C" w14:textId="77777777" w:rsidR="00980E5F" w:rsidRDefault="00483613">
            <w:pPr>
              <w:jc w:val="right"/>
              <w:textAlignment w:val="bottom"/>
            </w:pPr>
            <w:r>
              <w:rPr>
                <w:rFonts w:ascii="Arial" w:eastAsia="宋体" w:hAnsi="Arial" w:cs="Arial"/>
                <w:b/>
                <w:bCs/>
                <w:color w:val="000000"/>
                <w:sz w:val="13"/>
                <w:szCs w:val="13"/>
              </w:rPr>
              <w:t>588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8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8F" w14:textId="77777777" w:rsidR="00980E5F" w:rsidRDefault="00483613">
            <w:pPr>
              <w:jc w:val="right"/>
              <w:textAlignment w:val="bottom"/>
            </w:pPr>
            <w:r>
              <w:rPr>
                <w:rFonts w:ascii="Arial" w:eastAsia="宋体" w:hAnsi="Arial" w:cs="Arial"/>
                <w:b/>
                <w:bCs/>
                <w:color w:val="000000"/>
                <w:sz w:val="13"/>
                <w:szCs w:val="13"/>
              </w:rPr>
              <w:t>574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9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92" w14:textId="77777777" w:rsidR="00980E5F" w:rsidRDefault="00483613">
            <w:pPr>
              <w:jc w:val="right"/>
              <w:textAlignment w:val="bottom"/>
            </w:pPr>
            <w:r>
              <w:rPr>
                <w:rFonts w:ascii="Arial" w:eastAsia="宋体" w:hAnsi="Arial" w:cs="Arial"/>
                <w:b/>
                <w:bCs/>
                <w:color w:val="000000"/>
                <w:sz w:val="13"/>
                <w:szCs w:val="13"/>
              </w:rPr>
              <w:t>2,378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95" w14:textId="77777777" w:rsidR="00980E5F" w:rsidRDefault="00483613">
            <w:pPr>
              <w:jc w:val="right"/>
              <w:textAlignment w:val="bottom"/>
            </w:pPr>
            <w:r>
              <w:rPr>
                <w:rFonts w:ascii="Arial" w:eastAsia="宋体" w:hAnsi="Arial" w:cs="Arial"/>
                <w:b/>
                <w:bCs/>
                <w:color w:val="000000"/>
                <w:sz w:val="13"/>
                <w:szCs w:val="13"/>
              </w:rPr>
              <w:t>2,334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96" w14:textId="77777777" w:rsidR="00980E5F" w:rsidRDefault="00980E5F">
            <w:pPr>
              <w:jc w:val="right"/>
              <w:rPr>
                <w:rFonts w:ascii="宋体"/>
              </w:rPr>
            </w:pPr>
          </w:p>
        </w:tc>
      </w:tr>
      <w:tr w:rsidR="00980E5F" w14:paraId="392C69B6" w14:textId="77777777">
        <w:tc>
          <w:tcPr>
            <w:tcW w:w="0" w:type="auto"/>
            <w:gridSpan w:val="3"/>
            <w:shd w:val="clear" w:color="auto" w:fill="CCEEFF"/>
            <w:tcMar>
              <w:top w:w="40" w:type="dxa"/>
              <w:left w:w="245" w:type="dxa"/>
              <w:bottom w:w="40" w:type="dxa"/>
              <w:right w:w="20" w:type="dxa"/>
            </w:tcMar>
            <w:vAlign w:val="bottom"/>
          </w:tcPr>
          <w:p w14:paraId="392C6998" w14:textId="77777777" w:rsidR="00980E5F" w:rsidRDefault="00483613">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392C6999"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9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9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9C"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9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9F"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A2"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A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A5"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A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A8"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A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AB" w14:textId="77777777" w:rsidR="00980E5F" w:rsidRDefault="00483613">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A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AE" w14:textId="77777777" w:rsidR="00980E5F" w:rsidRDefault="00483613">
            <w:pPr>
              <w:jc w:val="right"/>
              <w:textAlignment w:val="bottom"/>
            </w:pPr>
            <w:r>
              <w:rPr>
                <w:rFonts w:ascii="Arial" w:eastAsia="宋体" w:hAnsi="Arial" w:cs="Arial"/>
                <w:b/>
                <w:bCs/>
                <w:color w:val="000000"/>
                <w:sz w:val="13"/>
                <w:szCs w:val="13"/>
              </w:rPr>
              <w:t>195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B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B1" w14:textId="77777777" w:rsidR="00980E5F" w:rsidRDefault="00483613">
            <w:pPr>
              <w:jc w:val="right"/>
              <w:textAlignment w:val="bottom"/>
            </w:pPr>
            <w:r>
              <w:rPr>
                <w:rFonts w:ascii="Arial" w:eastAsia="宋体" w:hAnsi="Arial" w:cs="Arial"/>
                <w:b/>
                <w:bCs/>
                <w:color w:val="000000"/>
                <w:sz w:val="13"/>
                <w:szCs w:val="13"/>
              </w:rPr>
              <w:t>200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B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9B4" w14:textId="77777777" w:rsidR="00980E5F" w:rsidRDefault="00483613">
            <w:pPr>
              <w:jc w:val="right"/>
              <w:textAlignment w:val="bottom"/>
            </w:pPr>
            <w:r>
              <w:rPr>
                <w:rFonts w:ascii="Arial" w:eastAsia="宋体" w:hAnsi="Arial" w:cs="Arial"/>
                <w:b/>
                <w:bCs/>
                <w:color w:val="000000"/>
                <w:sz w:val="13"/>
                <w:szCs w:val="13"/>
              </w:rPr>
              <w:t>195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9B5" w14:textId="77777777" w:rsidR="00980E5F" w:rsidRDefault="00980E5F">
            <w:pPr>
              <w:jc w:val="right"/>
              <w:rPr>
                <w:rFonts w:ascii="宋体"/>
              </w:rPr>
            </w:pPr>
          </w:p>
        </w:tc>
      </w:tr>
      <w:tr w:rsidR="00980E5F" w14:paraId="392C69D5" w14:textId="77777777">
        <w:tc>
          <w:tcPr>
            <w:tcW w:w="0" w:type="auto"/>
            <w:gridSpan w:val="3"/>
            <w:shd w:val="clear" w:color="auto" w:fill="FFFFFF"/>
            <w:tcMar>
              <w:top w:w="40" w:type="dxa"/>
              <w:left w:w="245" w:type="dxa"/>
              <w:bottom w:w="40" w:type="dxa"/>
              <w:right w:w="20" w:type="dxa"/>
            </w:tcMar>
            <w:vAlign w:val="bottom"/>
          </w:tcPr>
          <w:p w14:paraId="392C69B7" w14:textId="77777777" w:rsidR="00980E5F" w:rsidRDefault="00483613">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392C69B8"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B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BB"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B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BE" w14:textId="77777777" w:rsidR="00980E5F" w:rsidRDefault="00483613">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B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C1" w14:textId="77777777" w:rsidR="00980E5F" w:rsidRDefault="00483613">
            <w:pPr>
              <w:jc w:val="right"/>
              <w:textAlignment w:val="bottom"/>
            </w:pPr>
            <w:r>
              <w:rPr>
                <w:rFonts w:ascii="Arial" w:eastAsia="宋体" w:hAnsi="Arial" w:cs="Arial"/>
                <w:b/>
                <w:bCs/>
                <w:color w:val="000000"/>
                <w:sz w:val="13"/>
                <w:szCs w:val="13"/>
              </w:rPr>
              <w:t>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C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C4"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C7"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C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CD"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C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D0" w14:textId="77777777" w:rsidR="00980E5F" w:rsidRDefault="00483613">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D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9D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9D3" w14:textId="77777777" w:rsidR="00980E5F" w:rsidRDefault="00483613">
            <w:pPr>
              <w:jc w:val="right"/>
              <w:textAlignment w:val="bottom"/>
            </w:pPr>
            <w:r>
              <w:rPr>
                <w:rFonts w:ascii="Arial" w:eastAsia="宋体" w:hAnsi="Arial" w:cs="Arial"/>
                <w:b/>
                <w:bCs/>
                <w:color w:val="000000"/>
                <w:sz w:val="13"/>
                <w:szCs w:val="13"/>
              </w:rPr>
              <w:t>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9D4" w14:textId="77777777" w:rsidR="00980E5F" w:rsidRDefault="00980E5F">
            <w:pPr>
              <w:jc w:val="right"/>
              <w:rPr>
                <w:rFonts w:ascii="宋体"/>
              </w:rPr>
            </w:pPr>
          </w:p>
        </w:tc>
      </w:tr>
      <w:tr w:rsidR="00980E5F" w14:paraId="392C69F4" w14:textId="77777777">
        <w:tc>
          <w:tcPr>
            <w:tcW w:w="0" w:type="auto"/>
            <w:gridSpan w:val="3"/>
            <w:shd w:val="clear" w:color="auto" w:fill="CCEEFF"/>
            <w:tcMar>
              <w:top w:w="40" w:type="dxa"/>
              <w:left w:w="395" w:type="dxa"/>
              <w:bottom w:w="40" w:type="dxa"/>
              <w:right w:w="20" w:type="dxa"/>
            </w:tcMar>
            <w:vAlign w:val="bottom"/>
          </w:tcPr>
          <w:p w14:paraId="392C69D6" w14:textId="77777777" w:rsidR="00980E5F" w:rsidRDefault="00483613">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D7" w14:textId="77777777" w:rsidR="00980E5F" w:rsidRDefault="00483613">
            <w:pPr>
              <w:jc w:val="right"/>
              <w:textAlignment w:val="bottom"/>
            </w:pPr>
            <w:r>
              <w:rPr>
                <w:rFonts w:ascii="Arial" w:eastAsia="宋体" w:hAnsi="Arial" w:cs="Arial"/>
                <w:b/>
                <w:bCs/>
                <w:color w:val="000000"/>
                <w:sz w:val="13"/>
                <w:szCs w:val="13"/>
              </w:rPr>
              <w:t>172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D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DA" w14:textId="77777777" w:rsidR="00980E5F" w:rsidRDefault="00483613">
            <w:pPr>
              <w:jc w:val="right"/>
              <w:textAlignment w:val="bottom"/>
            </w:pPr>
            <w:r>
              <w:rPr>
                <w:rFonts w:ascii="Arial" w:eastAsia="宋体" w:hAnsi="Arial" w:cs="Arial"/>
                <w:b/>
                <w:bCs/>
                <w:color w:val="000000"/>
                <w:sz w:val="13"/>
                <w:szCs w:val="13"/>
              </w:rPr>
              <w:t>171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D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DD" w14:textId="77777777" w:rsidR="00980E5F" w:rsidRDefault="00483613">
            <w:pPr>
              <w:jc w:val="right"/>
              <w:textAlignment w:val="bottom"/>
            </w:pPr>
            <w:r>
              <w:rPr>
                <w:rFonts w:ascii="Arial" w:eastAsia="宋体" w:hAnsi="Arial" w:cs="Arial"/>
                <w:b/>
                <w:bCs/>
                <w:color w:val="000000"/>
                <w:sz w:val="13"/>
                <w:szCs w:val="13"/>
              </w:rPr>
              <w:t>575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D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0" w14:textId="77777777" w:rsidR="00980E5F" w:rsidRDefault="00483613">
            <w:pPr>
              <w:jc w:val="right"/>
              <w:textAlignment w:val="bottom"/>
            </w:pPr>
            <w:r>
              <w:rPr>
                <w:rFonts w:ascii="Arial" w:eastAsia="宋体" w:hAnsi="Arial" w:cs="Arial"/>
                <w:b/>
                <w:bCs/>
                <w:color w:val="000000"/>
                <w:sz w:val="13"/>
                <w:szCs w:val="13"/>
              </w:rPr>
              <w:t>566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E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3" w14:textId="77777777" w:rsidR="00980E5F" w:rsidRDefault="00483613">
            <w:pPr>
              <w:jc w:val="right"/>
              <w:textAlignment w:val="bottom"/>
            </w:pPr>
            <w:r>
              <w:rPr>
                <w:rFonts w:ascii="Arial" w:eastAsia="宋体" w:hAnsi="Arial" w:cs="Arial"/>
                <w:b/>
                <w:bCs/>
                <w:color w:val="000000"/>
                <w:sz w:val="13"/>
                <w:szCs w:val="13"/>
              </w:rPr>
              <w:t>1,197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E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6" w14:textId="77777777" w:rsidR="00980E5F" w:rsidRDefault="00483613">
            <w:pPr>
              <w:jc w:val="right"/>
              <w:textAlignment w:val="bottom"/>
            </w:pPr>
            <w:r>
              <w:rPr>
                <w:rFonts w:ascii="Arial" w:eastAsia="宋体" w:hAnsi="Arial" w:cs="Arial"/>
                <w:b/>
                <w:bCs/>
                <w:color w:val="000000"/>
                <w:sz w:val="13"/>
                <w:szCs w:val="13"/>
              </w:rPr>
              <w:t>1,177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E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9" w14:textId="77777777" w:rsidR="00980E5F" w:rsidRDefault="00483613">
            <w:pPr>
              <w:jc w:val="right"/>
              <w:textAlignment w:val="bottom"/>
            </w:pPr>
            <w:r>
              <w:rPr>
                <w:rFonts w:ascii="Arial" w:eastAsia="宋体" w:hAnsi="Arial" w:cs="Arial"/>
                <w:b/>
                <w:bCs/>
                <w:color w:val="000000"/>
                <w:sz w:val="13"/>
                <w:szCs w:val="13"/>
              </w:rPr>
              <w:t>876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E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E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C" w14:textId="77777777" w:rsidR="00980E5F" w:rsidRDefault="00483613">
            <w:pPr>
              <w:jc w:val="right"/>
              <w:textAlignment w:val="bottom"/>
            </w:pPr>
            <w:r>
              <w:rPr>
                <w:rFonts w:ascii="Arial" w:eastAsia="宋体" w:hAnsi="Arial" w:cs="Arial"/>
                <w:b/>
                <w:bCs/>
                <w:color w:val="000000"/>
                <w:sz w:val="13"/>
                <w:szCs w:val="13"/>
              </w:rPr>
              <w:t>854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E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EF" w14:textId="77777777" w:rsidR="00980E5F" w:rsidRDefault="00483613">
            <w:pPr>
              <w:jc w:val="right"/>
              <w:textAlignment w:val="bottom"/>
            </w:pPr>
            <w:r>
              <w:rPr>
                <w:rFonts w:ascii="Arial" w:eastAsia="宋体" w:hAnsi="Arial" w:cs="Arial"/>
                <w:b/>
                <w:bCs/>
                <w:color w:val="000000"/>
                <w:sz w:val="13"/>
                <w:szCs w:val="13"/>
              </w:rPr>
              <w:t>2,820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9F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9F2" w14:textId="77777777" w:rsidR="00980E5F" w:rsidRDefault="00483613">
            <w:pPr>
              <w:jc w:val="right"/>
              <w:textAlignment w:val="bottom"/>
            </w:pPr>
            <w:r>
              <w:rPr>
                <w:rFonts w:ascii="Arial" w:eastAsia="宋体" w:hAnsi="Arial" w:cs="Arial"/>
                <w:b/>
                <w:bCs/>
                <w:color w:val="000000"/>
                <w:sz w:val="13"/>
                <w:szCs w:val="13"/>
              </w:rPr>
              <w:t>2,768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9F3" w14:textId="77777777" w:rsidR="00980E5F" w:rsidRDefault="00980E5F">
            <w:pPr>
              <w:jc w:val="right"/>
              <w:rPr>
                <w:rFonts w:ascii="宋体"/>
              </w:rPr>
            </w:pPr>
          </w:p>
        </w:tc>
      </w:tr>
      <w:tr w:rsidR="00980E5F" w14:paraId="392C6A09" w14:textId="77777777">
        <w:trPr>
          <w:hidden/>
        </w:trPr>
        <w:tc>
          <w:tcPr>
            <w:tcW w:w="0" w:type="auto"/>
            <w:gridSpan w:val="3"/>
            <w:shd w:val="clear" w:color="auto" w:fill="auto"/>
            <w:vAlign w:val="bottom"/>
          </w:tcPr>
          <w:p w14:paraId="392C69F5" w14:textId="77777777" w:rsidR="00980E5F" w:rsidRDefault="00980E5F">
            <w:pPr>
              <w:rPr>
                <w:rFonts w:ascii="宋体"/>
                <w:vanish/>
              </w:rPr>
            </w:pPr>
          </w:p>
        </w:tc>
        <w:tc>
          <w:tcPr>
            <w:tcW w:w="0" w:type="auto"/>
            <w:gridSpan w:val="3"/>
            <w:shd w:val="clear" w:color="auto" w:fill="auto"/>
            <w:vAlign w:val="bottom"/>
          </w:tcPr>
          <w:p w14:paraId="392C69F6" w14:textId="77777777" w:rsidR="00980E5F" w:rsidRDefault="00980E5F">
            <w:pPr>
              <w:rPr>
                <w:rFonts w:ascii="宋体"/>
                <w:vanish/>
              </w:rPr>
            </w:pPr>
          </w:p>
        </w:tc>
        <w:tc>
          <w:tcPr>
            <w:tcW w:w="0" w:type="auto"/>
            <w:gridSpan w:val="3"/>
            <w:shd w:val="clear" w:color="auto" w:fill="auto"/>
            <w:vAlign w:val="bottom"/>
          </w:tcPr>
          <w:p w14:paraId="392C69F7" w14:textId="77777777" w:rsidR="00980E5F" w:rsidRDefault="00980E5F">
            <w:pPr>
              <w:rPr>
                <w:rFonts w:ascii="宋体"/>
                <w:vanish/>
              </w:rPr>
            </w:pPr>
          </w:p>
        </w:tc>
        <w:tc>
          <w:tcPr>
            <w:tcW w:w="0" w:type="auto"/>
            <w:gridSpan w:val="3"/>
            <w:shd w:val="clear" w:color="auto" w:fill="auto"/>
            <w:vAlign w:val="bottom"/>
          </w:tcPr>
          <w:p w14:paraId="392C69F8" w14:textId="77777777" w:rsidR="00980E5F" w:rsidRDefault="00980E5F">
            <w:pPr>
              <w:rPr>
                <w:rFonts w:ascii="宋体"/>
                <w:vanish/>
              </w:rPr>
            </w:pPr>
          </w:p>
        </w:tc>
        <w:tc>
          <w:tcPr>
            <w:tcW w:w="0" w:type="auto"/>
            <w:gridSpan w:val="3"/>
            <w:shd w:val="clear" w:color="auto" w:fill="auto"/>
            <w:vAlign w:val="bottom"/>
          </w:tcPr>
          <w:p w14:paraId="392C69F9" w14:textId="77777777" w:rsidR="00980E5F" w:rsidRDefault="00980E5F">
            <w:pPr>
              <w:rPr>
                <w:rFonts w:ascii="宋体"/>
                <w:vanish/>
              </w:rPr>
            </w:pPr>
          </w:p>
        </w:tc>
        <w:tc>
          <w:tcPr>
            <w:tcW w:w="0" w:type="auto"/>
            <w:gridSpan w:val="3"/>
            <w:shd w:val="clear" w:color="auto" w:fill="auto"/>
            <w:vAlign w:val="bottom"/>
          </w:tcPr>
          <w:p w14:paraId="392C69FA" w14:textId="77777777" w:rsidR="00980E5F" w:rsidRDefault="00980E5F">
            <w:pPr>
              <w:rPr>
                <w:rFonts w:ascii="宋体"/>
                <w:vanish/>
              </w:rPr>
            </w:pPr>
          </w:p>
        </w:tc>
        <w:tc>
          <w:tcPr>
            <w:tcW w:w="0" w:type="auto"/>
            <w:gridSpan w:val="3"/>
            <w:shd w:val="clear" w:color="auto" w:fill="auto"/>
            <w:vAlign w:val="bottom"/>
          </w:tcPr>
          <w:p w14:paraId="392C69FB" w14:textId="77777777" w:rsidR="00980E5F" w:rsidRDefault="00980E5F">
            <w:pPr>
              <w:rPr>
                <w:rFonts w:ascii="宋体"/>
                <w:vanish/>
              </w:rPr>
            </w:pPr>
          </w:p>
        </w:tc>
        <w:tc>
          <w:tcPr>
            <w:tcW w:w="0" w:type="auto"/>
            <w:gridSpan w:val="3"/>
            <w:shd w:val="clear" w:color="auto" w:fill="auto"/>
            <w:vAlign w:val="bottom"/>
          </w:tcPr>
          <w:p w14:paraId="392C69FC" w14:textId="77777777" w:rsidR="00980E5F" w:rsidRDefault="00980E5F">
            <w:pPr>
              <w:rPr>
                <w:rFonts w:ascii="宋体"/>
                <w:vanish/>
              </w:rPr>
            </w:pPr>
          </w:p>
        </w:tc>
        <w:tc>
          <w:tcPr>
            <w:tcW w:w="0" w:type="auto"/>
            <w:gridSpan w:val="3"/>
            <w:shd w:val="clear" w:color="auto" w:fill="auto"/>
            <w:vAlign w:val="bottom"/>
          </w:tcPr>
          <w:p w14:paraId="392C69FD" w14:textId="77777777" w:rsidR="00980E5F" w:rsidRDefault="00980E5F">
            <w:pPr>
              <w:rPr>
                <w:rFonts w:ascii="宋体"/>
                <w:vanish/>
              </w:rPr>
            </w:pPr>
          </w:p>
        </w:tc>
        <w:tc>
          <w:tcPr>
            <w:tcW w:w="0" w:type="auto"/>
            <w:gridSpan w:val="3"/>
            <w:shd w:val="clear" w:color="auto" w:fill="auto"/>
            <w:vAlign w:val="bottom"/>
          </w:tcPr>
          <w:p w14:paraId="392C69FE" w14:textId="77777777" w:rsidR="00980E5F" w:rsidRDefault="00980E5F">
            <w:pPr>
              <w:rPr>
                <w:rFonts w:ascii="宋体"/>
                <w:vanish/>
              </w:rPr>
            </w:pPr>
          </w:p>
        </w:tc>
        <w:tc>
          <w:tcPr>
            <w:tcW w:w="0" w:type="auto"/>
            <w:gridSpan w:val="3"/>
            <w:shd w:val="clear" w:color="auto" w:fill="auto"/>
            <w:vAlign w:val="bottom"/>
          </w:tcPr>
          <w:p w14:paraId="392C69FF" w14:textId="77777777" w:rsidR="00980E5F" w:rsidRDefault="00980E5F">
            <w:pPr>
              <w:rPr>
                <w:rFonts w:ascii="宋体"/>
                <w:vanish/>
              </w:rPr>
            </w:pPr>
          </w:p>
        </w:tc>
        <w:tc>
          <w:tcPr>
            <w:tcW w:w="0" w:type="auto"/>
            <w:gridSpan w:val="3"/>
            <w:shd w:val="clear" w:color="auto" w:fill="auto"/>
            <w:vAlign w:val="bottom"/>
          </w:tcPr>
          <w:p w14:paraId="392C6A00" w14:textId="77777777" w:rsidR="00980E5F" w:rsidRDefault="00980E5F">
            <w:pPr>
              <w:rPr>
                <w:rFonts w:ascii="宋体"/>
                <w:vanish/>
              </w:rPr>
            </w:pPr>
          </w:p>
        </w:tc>
        <w:tc>
          <w:tcPr>
            <w:tcW w:w="0" w:type="auto"/>
            <w:gridSpan w:val="3"/>
            <w:shd w:val="clear" w:color="auto" w:fill="auto"/>
            <w:vAlign w:val="bottom"/>
          </w:tcPr>
          <w:p w14:paraId="392C6A01" w14:textId="77777777" w:rsidR="00980E5F" w:rsidRDefault="00980E5F">
            <w:pPr>
              <w:rPr>
                <w:rFonts w:ascii="宋体"/>
                <w:vanish/>
              </w:rPr>
            </w:pPr>
          </w:p>
        </w:tc>
        <w:tc>
          <w:tcPr>
            <w:tcW w:w="0" w:type="auto"/>
            <w:gridSpan w:val="3"/>
            <w:shd w:val="clear" w:color="auto" w:fill="auto"/>
            <w:vAlign w:val="bottom"/>
          </w:tcPr>
          <w:p w14:paraId="392C6A02" w14:textId="77777777" w:rsidR="00980E5F" w:rsidRDefault="00980E5F">
            <w:pPr>
              <w:rPr>
                <w:rFonts w:ascii="宋体"/>
                <w:vanish/>
              </w:rPr>
            </w:pPr>
          </w:p>
        </w:tc>
        <w:tc>
          <w:tcPr>
            <w:tcW w:w="0" w:type="auto"/>
            <w:gridSpan w:val="3"/>
            <w:shd w:val="clear" w:color="auto" w:fill="auto"/>
            <w:vAlign w:val="bottom"/>
          </w:tcPr>
          <w:p w14:paraId="392C6A03" w14:textId="77777777" w:rsidR="00980E5F" w:rsidRDefault="00980E5F">
            <w:pPr>
              <w:rPr>
                <w:rFonts w:ascii="宋体"/>
                <w:vanish/>
              </w:rPr>
            </w:pPr>
          </w:p>
        </w:tc>
        <w:tc>
          <w:tcPr>
            <w:tcW w:w="0" w:type="auto"/>
            <w:gridSpan w:val="3"/>
            <w:shd w:val="clear" w:color="auto" w:fill="auto"/>
            <w:vAlign w:val="bottom"/>
          </w:tcPr>
          <w:p w14:paraId="392C6A04" w14:textId="77777777" w:rsidR="00980E5F" w:rsidRDefault="00980E5F">
            <w:pPr>
              <w:rPr>
                <w:rFonts w:ascii="宋体"/>
                <w:vanish/>
              </w:rPr>
            </w:pPr>
          </w:p>
        </w:tc>
        <w:tc>
          <w:tcPr>
            <w:tcW w:w="0" w:type="auto"/>
            <w:gridSpan w:val="3"/>
            <w:shd w:val="clear" w:color="auto" w:fill="auto"/>
            <w:vAlign w:val="bottom"/>
          </w:tcPr>
          <w:p w14:paraId="392C6A05" w14:textId="77777777" w:rsidR="00980E5F" w:rsidRDefault="00980E5F">
            <w:pPr>
              <w:rPr>
                <w:rFonts w:ascii="宋体"/>
                <w:vanish/>
              </w:rPr>
            </w:pPr>
          </w:p>
        </w:tc>
        <w:tc>
          <w:tcPr>
            <w:tcW w:w="0" w:type="auto"/>
            <w:gridSpan w:val="3"/>
            <w:shd w:val="clear" w:color="auto" w:fill="auto"/>
            <w:vAlign w:val="bottom"/>
          </w:tcPr>
          <w:p w14:paraId="392C6A06" w14:textId="77777777" w:rsidR="00980E5F" w:rsidRDefault="00980E5F">
            <w:pPr>
              <w:rPr>
                <w:rFonts w:ascii="宋体"/>
                <w:vanish/>
              </w:rPr>
            </w:pPr>
          </w:p>
        </w:tc>
        <w:tc>
          <w:tcPr>
            <w:tcW w:w="0" w:type="auto"/>
            <w:gridSpan w:val="3"/>
            <w:shd w:val="clear" w:color="auto" w:fill="auto"/>
            <w:vAlign w:val="bottom"/>
          </w:tcPr>
          <w:p w14:paraId="392C6A07" w14:textId="77777777" w:rsidR="00980E5F" w:rsidRDefault="00980E5F">
            <w:pPr>
              <w:rPr>
                <w:rFonts w:ascii="宋体"/>
                <w:vanish/>
              </w:rPr>
            </w:pPr>
          </w:p>
        </w:tc>
        <w:tc>
          <w:tcPr>
            <w:tcW w:w="0" w:type="auto"/>
            <w:gridSpan w:val="3"/>
            <w:shd w:val="clear" w:color="auto" w:fill="auto"/>
            <w:vAlign w:val="bottom"/>
          </w:tcPr>
          <w:p w14:paraId="392C6A08" w14:textId="77777777" w:rsidR="00980E5F" w:rsidRDefault="00980E5F">
            <w:pPr>
              <w:rPr>
                <w:rFonts w:ascii="宋体"/>
                <w:vanish/>
              </w:rPr>
            </w:pPr>
          </w:p>
        </w:tc>
      </w:tr>
      <w:tr w:rsidR="00980E5F" w14:paraId="392C6A1E" w14:textId="77777777">
        <w:trPr>
          <w:hidden/>
        </w:trPr>
        <w:tc>
          <w:tcPr>
            <w:tcW w:w="0" w:type="auto"/>
            <w:gridSpan w:val="3"/>
            <w:shd w:val="clear" w:color="auto" w:fill="auto"/>
            <w:vAlign w:val="bottom"/>
          </w:tcPr>
          <w:p w14:paraId="392C6A0A" w14:textId="77777777" w:rsidR="00980E5F" w:rsidRDefault="00980E5F">
            <w:pPr>
              <w:rPr>
                <w:rFonts w:ascii="宋体"/>
                <w:vanish/>
              </w:rPr>
            </w:pPr>
          </w:p>
        </w:tc>
        <w:tc>
          <w:tcPr>
            <w:tcW w:w="0" w:type="auto"/>
            <w:gridSpan w:val="3"/>
            <w:shd w:val="clear" w:color="auto" w:fill="auto"/>
            <w:vAlign w:val="bottom"/>
          </w:tcPr>
          <w:p w14:paraId="392C6A0B" w14:textId="77777777" w:rsidR="00980E5F" w:rsidRDefault="00980E5F">
            <w:pPr>
              <w:rPr>
                <w:rFonts w:ascii="宋体"/>
                <w:vanish/>
              </w:rPr>
            </w:pPr>
          </w:p>
        </w:tc>
        <w:tc>
          <w:tcPr>
            <w:tcW w:w="0" w:type="auto"/>
            <w:gridSpan w:val="3"/>
            <w:shd w:val="clear" w:color="auto" w:fill="auto"/>
            <w:vAlign w:val="bottom"/>
          </w:tcPr>
          <w:p w14:paraId="392C6A0C" w14:textId="77777777" w:rsidR="00980E5F" w:rsidRDefault="00980E5F">
            <w:pPr>
              <w:rPr>
                <w:rFonts w:ascii="宋体"/>
                <w:vanish/>
              </w:rPr>
            </w:pPr>
          </w:p>
        </w:tc>
        <w:tc>
          <w:tcPr>
            <w:tcW w:w="0" w:type="auto"/>
            <w:gridSpan w:val="3"/>
            <w:shd w:val="clear" w:color="auto" w:fill="auto"/>
            <w:vAlign w:val="bottom"/>
          </w:tcPr>
          <w:p w14:paraId="392C6A0D" w14:textId="77777777" w:rsidR="00980E5F" w:rsidRDefault="00980E5F">
            <w:pPr>
              <w:rPr>
                <w:rFonts w:ascii="宋体"/>
                <w:vanish/>
              </w:rPr>
            </w:pPr>
          </w:p>
        </w:tc>
        <w:tc>
          <w:tcPr>
            <w:tcW w:w="0" w:type="auto"/>
            <w:gridSpan w:val="3"/>
            <w:shd w:val="clear" w:color="auto" w:fill="auto"/>
            <w:vAlign w:val="bottom"/>
          </w:tcPr>
          <w:p w14:paraId="392C6A0E" w14:textId="77777777" w:rsidR="00980E5F" w:rsidRDefault="00980E5F">
            <w:pPr>
              <w:rPr>
                <w:rFonts w:ascii="宋体"/>
                <w:vanish/>
              </w:rPr>
            </w:pPr>
          </w:p>
        </w:tc>
        <w:tc>
          <w:tcPr>
            <w:tcW w:w="0" w:type="auto"/>
            <w:gridSpan w:val="3"/>
            <w:shd w:val="clear" w:color="auto" w:fill="auto"/>
            <w:vAlign w:val="bottom"/>
          </w:tcPr>
          <w:p w14:paraId="392C6A0F" w14:textId="77777777" w:rsidR="00980E5F" w:rsidRDefault="00980E5F">
            <w:pPr>
              <w:rPr>
                <w:rFonts w:ascii="宋体"/>
                <w:vanish/>
              </w:rPr>
            </w:pPr>
          </w:p>
        </w:tc>
        <w:tc>
          <w:tcPr>
            <w:tcW w:w="0" w:type="auto"/>
            <w:gridSpan w:val="3"/>
            <w:shd w:val="clear" w:color="auto" w:fill="auto"/>
            <w:vAlign w:val="bottom"/>
          </w:tcPr>
          <w:p w14:paraId="392C6A10" w14:textId="77777777" w:rsidR="00980E5F" w:rsidRDefault="00980E5F">
            <w:pPr>
              <w:rPr>
                <w:rFonts w:ascii="宋体"/>
                <w:vanish/>
              </w:rPr>
            </w:pPr>
          </w:p>
        </w:tc>
        <w:tc>
          <w:tcPr>
            <w:tcW w:w="0" w:type="auto"/>
            <w:gridSpan w:val="3"/>
            <w:shd w:val="clear" w:color="auto" w:fill="auto"/>
            <w:vAlign w:val="bottom"/>
          </w:tcPr>
          <w:p w14:paraId="392C6A11" w14:textId="77777777" w:rsidR="00980E5F" w:rsidRDefault="00980E5F">
            <w:pPr>
              <w:rPr>
                <w:rFonts w:ascii="宋体"/>
                <w:vanish/>
              </w:rPr>
            </w:pPr>
          </w:p>
        </w:tc>
        <w:tc>
          <w:tcPr>
            <w:tcW w:w="0" w:type="auto"/>
            <w:gridSpan w:val="3"/>
            <w:shd w:val="clear" w:color="auto" w:fill="auto"/>
            <w:vAlign w:val="bottom"/>
          </w:tcPr>
          <w:p w14:paraId="392C6A12" w14:textId="77777777" w:rsidR="00980E5F" w:rsidRDefault="00980E5F">
            <w:pPr>
              <w:rPr>
                <w:rFonts w:ascii="宋体"/>
                <w:vanish/>
              </w:rPr>
            </w:pPr>
          </w:p>
        </w:tc>
        <w:tc>
          <w:tcPr>
            <w:tcW w:w="0" w:type="auto"/>
            <w:gridSpan w:val="3"/>
            <w:shd w:val="clear" w:color="auto" w:fill="auto"/>
            <w:vAlign w:val="bottom"/>
          </w:tcPr>
          <w:p w14:paraId="392C6A13" w14:textId="77777777" w:rsidR="00980E5F" w:rsidRDefault="00980E5F">
            <w:pPr>
              <w:rPr>
                <w:rFonts w:ascii="宋体"/>
                <w:vanish/>
              </w:rPr>
            </w:pPr>
          </w:p>
        </w:tc>
        <w:tc>
          <w:tcPr>
            <w:tcW w:w="0" w:type="auto"/>
            <w:gridSpan w:val="3"/>
            <w:shd w:val="clear" w:color="auto" w:fill="auto"/>
            <w:vAlign w:val="bottom"/>
          </w:tcPr>
          <w:p w14:paraId="392C6A14" w14:textId="77777777" w:rsidR="00980E5F" w:rsidRDefault="00980E5F">
            <w:pPr>
              <w:rPr>
                <w:rFonts w:ascii="宋体"/>
                <w:vanish/>
              </w:rPr>
            </w:pPr>
          </w:p>
        </w:tc>
        <w:tc>
          <w:tcPr>
            <w:tcW w:w="0" w:type="auto"/>
            <w:gridSpan w:val="3"/>
            <w:shd w:val="clear" w:color="auto" w:fill="auto"/>
            <w:vAlign w:val="bottom"/>
          </w:tcPr>
          <w:p w14:paraId="392C6A15" w14:textId="77777777" w:rsidR="00980E5F" w:rsidRDefault="00980E5F">
            <w:pPr>
              <w:rPr>
                <w:rFonts w:ascii="宋体"/>
                <w:vanish/>
              </w:rPr>
            </w:pPr>
          </w:p>
        </w:tc>
        <w:tc>
          <w:tcPr>
            <w:tcW w:w="0" w:type="auto"/>
            <w:gridSpan w:val="3"/>
            <w:shd w:val="clear" w:color="auto" w:fill="auto"/>
            <w:vAlign w:val="bottom"/>
          </w:tcPr>
          <w:p w14:paraId="392C6A16" w14:textId="77777777" w:rsidR="00980E5F" w:rsidRDefault="00980E5F">
            <w:pPr>
              <w:rPr>
                <w:rFonts w:ascii="宋体"/>
                <w:vanish/>
              </w:rPr>
            </w:pPr>
          </w:p>
        </w:tc>
        <w:tc>
          <w:tcPr>
            <w:tcW w:w="0" w:type="auto"/>
            <w:gridSpan w:val="3"/>
            <w:shd w:val="clear" w:color="auto" w:fill="auto"/>
            <w:vAlign w:val="bottom"/>
          </w:tcPr>
          <w:p w14:paraId="392C6A17" w14:textId="77777777" w:rsidR="00980E5F" w:rsidRDefault="00980E5F">
            <w:pPr>
              <w:rPr>
                <w:rFonts w:ascii="宋体"/>
                <w:vanish/>
              </w:rPr>
            </w:pPr>
          </w:p>
        </w:tc>
        <w:tc>
          <w:tcPr>
            <w:tcW w:w="0" w:type="auto"/>
            <w:gridSpan w:val="3"/>
            <w:shd w:val="clear" w:color="auto" w:fill="auto"/>
            <w:vAlign w:val="bottom"/>
          </w:tcPr>
          <w:p w14:paraId="392C6A18" w14:textId="77777777" w:rsidR="00980E5F" w:rsidRDefault="00980E5F">
            <w:pPr>
              <w:rPr>
                <w:rFonts w:ascii="宋体"/>
                <w:vanish/>
              </w:rPr>
            </w:pPr>
          </w:p>
        </w:tc>
        <w:tc>
          <w:tcPr>
            <w:tcW w:w="0" w:type="auto"/>
            <w:gridSpan w:val="3"/>
            <w:shd w:val="clear" w:color="auto" w:fill="auto"/>
            <w:vAlign w:val="bottom"/>
          </w:tcPr>
          <w:p w14:paraId="392C6A19" w14:textId="77777777" w:rsidR="00980E5F" w:rsidRDefault="00980E5F">
            <w:pPr>
              <w:rPr>
                <w:rFonts w:ascii="宋体"/>
                <w:vanish/>
              </w:rPr>
            </w:pPr>
          </w:p>
        </w:tc>
        <w:tc>
          <w:tcPr>
            <w:tcW w:w="0" w:type="auto"/>
            <w:gridSpan w:val="3"/>
            <w:shd w:val="clear" w:color="auto" w:fill="auto"/>
            <w:vAlign w:val="bottom"/>
          </w:tcPr>
          <w:p w14:paraId="392C6A1A" w14:textId="77777777" w:rsidR="00980E5F" w:rsidRDefault="00980E5F">
            <w:pPr>
              <w:rPr>
                <w:rFonts w:ascii="宋体"/>
                <w:vanish/>
              </w:rPr>
            </w:pPr>
          </w:p>
        </w:tc>
        <w:tc>
          <w:tcPr>
            <w:tcW w:w="0" w:type="auto"/>
            <w:gridSpan w:val="3"/>
            <w:shd w:val="clear" w:color="auto" w:fill="auto"/>
            <w:vAlign w:val="bottom"/>
          </w:tcPr>
          <w:p w14:paraId="392C6A1B" w14:textId="77777777" w:rsidR="00980E5F" w:rsidRDefault="00980E5F">
            <w:pPr>
              <w:rPr>
                <w:rFonts w:ascii="宋体"/>
                <w:vanish/>
              </w:rPr>
            </w:pPr>
          </w:p>
        </w:tc>
        <w:tc>
          <w:tcPr>
            <w:tcW w:w="0" w:type="auto"/>
            <w:gridSpan w:val="3"/>
            <w:shd w:val="clear" w:color="auto" w:fill="auto"/>
            <w:vAlign w:val="bottom"/>
          </w:tcPr>
          <w:p w14:paraId="392C6A1C" w14:textId="77777777" w:rsidR="00980E5F" w:rsidRDefault="00980E5F">
            <w:pPr>
              <w:rPr>
                <w:rFonts w:ascii="宋体"/>
                <w:vanish/>
              </w:rPr>
            </w:pPr>
          </w:p>
        </w:tc>
        <w:tc>
          <w:tcPr>
            <w:tcW w:w="0" w:type="auto"/>
            <w:gridSpan w:val="3"/>
            <w:shd w:val="clear" w:color="auto" w:fill="auto"/>
            <w:vAlign w:val="bottom"/>
          </w:tcPr>
          <w:p w14:paraId="392C6A1D" w14:textId="77777777" w:rsidR="00980E5F" w:rsidRDefault="00980E5F">
            <w:pPr>
              <w:rPr>
                <w:rFonts w:ascii="宋体"/>
                <w:vanish/>
              </w:rPr>
            </w:pPr>
          </w:p>
        </w:tc>
      </w:tr>
      <w:tr w:rsidR="00980E5F" w14:paraId="392C6A33" w14:textId="77777777">
        <w:trPr>
          <w:hidden/>
        </w:trPr>
        <w:tc>
          <w:tcPr>
            <w:tcW w:w="0" w:type="auto"/>
            <w:gridSpan w:val="3"/>
            <w:shd w:val="clear" w:color="auto" w:fill="auto"/>
            <w:vAlign w:val="bottom"/>
          </w:tcPr>
          <w:p w14:paraId="392C6A1F" w14:textId="77777777" w:rsidR="00980E5F" w:rsidRDefault="00980E5F">
            <w:pPr>
              <w:rPr>
                <w:rFonts w:ascii="宋体"/>
                <w:vanish/>
              </w:rPr>
            </w:pPr>
          </w:p>
        </w:tc>
        <w:tc>
          <w:tcPr>
            <w:tcW w:w="0" w:type="auto"/>
            <w:gridSpan w:val="3"/>
            <w:shd w:val="clear" w:color="auto" w:fill="auto"/>
            <w:vAlign w:val="bottom"/>
          </w:tcPr>
          <w:p w14:paraId="392C6A20" w14:textId="77777777" w:rsidR="00980E5F" w:rsidRDefault="00980E5F">
            <w:pPr>
              <w:rPr>
                <w:rFonts w:ascii="宋体"/>
                <w:vanish/>
              </w:rPr>
            </w:pPr>
          </w:p>
        </w:tc>
        <w:tc>
          <w:tcPr>
            <w:tcW w:w="0" w:type="auto"/>
            <w:gridSpan w:val="3"/>
            <w:shd w:val="clear" w:color="auto" w:fill="auto"/>
            <w:vAlign w:val="bottom"/>
          </w:tcPr>
          <w:p w14:paraId="392C6A21" w14:textId="77777777" w:rsidR="00980E5F" w:rsidRDefault="00980E5F">
            <w:pPr>
              <w:rPr>
                <w:rFonts w:ascii="宋体"/>
                <w:vanish/>
              </w:rPr>
            </w:pPr>
          </w:p>
        </w:tc>
        <w:tc>
          <w:tcPr>
            <w:tcW w:w="0" w:type="auto"/>
            <w:gridSpan w:val="3"/>
            <w:shd w:val="clear" w:color="auto" w:fill="auto"/>
            <w:vAlign w:val="bottom"/>
          </w:tcPr>
          <w:p w14:paraId="392C6A22" w14:textId="77777777" w:rsidR="00980E5F" w:rsidRDefault="00980E5F">
            <w:pPr>
              <w:rPr>
                <w:rFonts w:ascii="宋体"/>
                <w:vanish/>
              </w:rPr>
            </w:pPr>
          </w:p>
        </w:tc>
        <w:tc>
          <w:tcPr>
            <w:tcW w:w="0" w:type="auto"/>
            <w:gridSpan w:val="3"/>
            <w:shd w:val="clear" w:color="auto" w:fill="auto"/>
            <w:vAlign w:val="bottom"/>
          </w:tcPr>
          <w:p w14:paraId="392C6A23" w14:textId="77777777" w:rsidR="00980E5F" w:rsidRDefault="00980E5F">
            <w:pPr>
              <w:rPr>
                <w:rFonts w:ascii="宋体"/>
                <w:vanish/>
              </w:rPr>
            </w:pPr>
          </w:p>
        </w:tc>
        <w:tc>
          <w:tcPr>
            <w:tcW w:w="0" w:type="auto"/>
            <w:gridSpan w:val="3"/>
            <w:shd w:val="clear" w:color="auto" w:fill="auto"/>
            <w:vAlign w:val="bottom"/>
          </w:tcPr>
          <w:p w14:paraId="392C6A24" w14:textId="77777777" w:rsidR="00980E5F" w:rsidRDefault="00980E5F">
            <w:pPr>
              <w:rPr>
                <w:rFonts w:ascii="宋体"/>
                <w:vanish/>
              </w:rPr>
            </w:pPr>
          </w:p>
        </w:tc>
        <w:tc>
          <w:tcPr>
            <w:tcW w:w="0" w:type="auto"/>
            <w:gridSpan w:val="3"/>
            <w:shd w:val="clear" w:color="auto" w:fill="auto"/>
            <w:vAlign w:val="bottom"/>
          </w:tcPr>
          <w:p w14:paraId="392C6A25" w14:textId="77777777" w:rsidR="00980E5F" w:rsidRDefault="00980E5F">
            <w:pPr>
              <w:rPr>
                <w:rFonts w:ascii="宋体"/>
                <w:vanish/>
              </w:rPr>
            </w:pPr>
          </w:p>
        </w:tc>
        <w:tc>
          <w:tcPr>
            <w:tcW w:w="0" w:type="auto"/>
            <w:gridSpan w:val="3"/>
            <w:shd w:val="clear" w:color="auto" w:fill="auto"/>
            <w:vAlign w:val="bottom"/>
          </w:tcPr>
          <w:p w14:paraId="392C6A26" w14:textId="77777777" w:rsidR="00980E5F" w:rsidRDefault="00980E5F">
            <w:pPr>
              <w:rPr>
                <w:rFonts w:ascii="宋体"/>
                <w:vanish/>
              </w:rPr>
            </w:pPr>
          </w:p>
        </w:tc>
        <w:tc>
          <w:tcPr>
            <w:tcW w:w="0" w:type="auto"/>
            <w:gridSpan w:val="3"/>
            <w:shd w:val="clear" w:color="auto" w:fill="auto"/>
            <w:vAlign w:val="bottom"/>
          </w:tcPr>
          <w:p w14:paraId="392C6A27" w14:textId="77777777" w:rsidR="00980E5F" w:rsidRDefault="00980E5F">
            <w:pPr>
              <w:rPr>
                <w:rFonts w:ascii="宋体"/>
                <w:vanish/>
              </w:rPr>
            </w:pPr>
          </w:p>
        </w:tc>
        <w:tc>
          <w:tcPr>
            <w:tcW w:w="0" w:type="auto"/>
            <w:gridSpan w:val="3"/>
            <w:shd w:val="clear" w:color="auto" w:fill="auto"/>
            <w:vAlign w:val="bottom"/>
          </w:tcPr>
          <w:p w14:paraId="392C6A28" w14:textId="77777777" w:rsidR="00980E5F" w:rsidRDefault="00980E5F">
            <w:pPr>
              <w:rPr>
                <w:rFonts w:ascii="宋体"/>
                <w:vanish/>
              </w:rPr>
            </w:pPr>
          </w:p>
        </w:tc>
        <w:tc>
          <w:tcPr>
            <w:tcW w:w="0" w:type="auto"/>
            <w:gridSpan w:val="3"/>
            <w:shd w:val="clear" w:color="auto" w:fill="auto"/>
            <w:vAlign w:val="bottom"/>
          </w:tcPr>
          <w:p w14:paraId="392C6A29" w14:textId="77777777" w:rsidR="00980E5F" w:rsidRDefault="00980E5F">
            <w:pPr>
              <w:rPr>
                <w:rFonts w:ascii="宋体"/>
                <w:vanish/>
              </w:rPr>
            </w:pPr>
          </w:p>
        </w:tc>
        <w:tc>
          <w:tcPr>
            <w:tcW w:w="0" w:type="auto"/>
            <w:gridSpan w:val="3"/>
            <w:shd w:val="clear" w:color="auto" w:fill="auto"/>
            <w:vAlign w:val="bottom"/>
          </w:tcPr>
          <w:p w14:paraId="392C6A2A" w14:textId="77777777" w:rsidR="00980E5F" w:rsidRDefault="00980E5F">
            <w:pPr>
              <w:rPr>
                <w:rFonts w:ascii="宋体"/>
                <w:vanish/>
              </w:rPr>
            </w:pPr>
          </w:p>
        </w:tc>
        <w:tc>
          <w:tcPr>
            <w:tcW w:w="0" w:type="auto"/>
            <w:gridSpan w:val="3"/>
            <w:shd w:val="clear" w:color="auto" w:fill="auto"/>
            <w:vAlign w:val="bottom"/>
          </w:tcPr>
          <w:p w14:paraId="392C6A2B" w14:textId="77777777" w:rsidR="00980E5F" w:rsidRDefault="00980E5F">
            <w:pPr>
              <w:rPr>
                <w:rFonts w:ascii="宋体"/>
                <w:vanish/>
              </w:rPr>
            </w:pPr>
          </w:p>
        </w:tc>
        <w:tc>
          <w:tcPr>
            <w:tcW w:w="0" w:type="auto"/>
            <w:gridSpan w:val="3"/>
            <w:shd w:val="clear" w:color="auto" w:fill="auto"/>
            <w:vAlign w:val="bottom"/>
          </w:tcPr>
          <w:p w14:paraId="392C6A2C" w14:textId="77777777" w:rsidR="00980E5F" w:rsidRDefault="00980E5F">
            <w:pPr>
              <w:rPr>
                <w:rFonts w:ascii="宋体"/>
                <w:vanish/>
              </w:rPr>
            </w:pPr>
          </w:p>
        </w:tc>
        <w:tc>
          <w:tcPr>
            <w:tcW w:w="0" w:type="auto"/>
            <w:gridSpan w:val="3"/>
            <w:shd w:val="clear" w:color="auto" w:fill="auto"/>
            <w:vAlign w:val="bottom"/>
          </w:tcPr>
          <w:p w14:paraId="392C6A2D" w14:textId="77777777" w:rsidR="00980E5F" w:rsidRDefault="00980E5F">
            <w:pPr>
              <w:rPr>
                <w:rFonts w:ascii="宋体"/>
                <w:vanish/>
              </w:rPr>
            </w:pPr>
          </w:p>
        </w:tc>
        <w:tc>
          <w:tcPr>
            <w:tcW w:w="0" w:type="auto"/>
            <w:gridSpan w:val="3"/>
            <w:shd w:val="clear" w:color="auto" w:fill="auto"/>
            <w:vAlign w:val="bottom"/>
          </w:tcPr>
          <w:p w14:paraId="392C6A2E" w14:textId="77777777" w:rsidR="00980E5F" w:rsidRDefault="00980E5F">
            <w:pPr>
              <w:rPr>
                <w:rFonts w:ascii="宋体"/>
                <w:vanish/>
              </w:rPr>
            </w:pPr>
          </w:p>
        </w:tc>
        <w:tc>
          <w:tcPr>
            <w:tcW w:w="0" w:type="auto"/>
            <w:gridSpan w:val="3"/>
            <w:shd w:val="clear" w:color="auto" w:fill="auto"/>
            <w:vAlign w:val="bottom"/>
          </w:tcPr>
          <w:p w14:paraId="392C6A2F" w14:textId="77777777" w:rsidR="00980E5F" w:rsidRDefault="00980E5F">
            <w:pPr>
              <w:rPr>
                <w:rFonts w:ascii="宋体"/>
                <w:vanish/>
              </w:rPr>
            </w:pPr>
          </w:p>
        </w:tc>
        <w:tc>
          <w:tcPr>
            <w:tcW w:w="0" w:type="auto"/>
            <w:gridSpan w:val="3"/>
            <w:shd w:val="clear" w:color="auto" w:fill="auto"/>
            <w:vAlign w:val="bottom"/>
          </w:tcPr>
          <w:p w14:paraId="392C6A30" w14:textId="77777777" w:rsidR="00980E5F" w:rsidRDefault="00980E5F">
            <w:pPr>
              <w:rPr>
                <w:rFonts w:ascii="宋体"/>
                <w:vanish/>
              </w:rPr>
            </w:pPr>
          </w:p>
        </w:tc>
        <w:tc>
          <w:tcPr>
            <w:tcW w:w="0" w:type="auto"/>
            <w:gridSpan w:val="3"/>
            <w:shd w:val="clear" w:color="auto" w:fill="auto"/>
            <w:vAlign w:val="bottom"/>
          </w:tcPr>
          <w:p w14:paraId="392C6A31" w14:textId="77777777" w:rsidR="00980E5F" w:rsidRDefault="00980E5F">
            <w:pPr>
              <w:rPr>
                <w:rFonts w:ascii="宋体"/>
                <w:vanish/>
              </w:rPr>
            </w:pPr>
          </w:p>
        </w:tc>
        <w:tc>
          <w:tcPr>
            <w:tcW w:w="0" w:type="auto"/>
            <w:gridSpan w:val="3"/>
            <w:shd w:val="clear" w:color="auto" w:fill="auto"/>
            <w:vAlign w:val="bottom"/>
          </w:tcPr>
          <w:p w14:paraId="392C6A32" w14:textId="77777777" w:rsidR="00980E5F" w:rsidRDefault="00980E5F">
            <w:pPr>
              <w:rPr>
                <w:rFonts w:ascii="宋体"/>
                <w:vanish/>
              </w:rPr>
            </w:pPr>
          </w:p>
        </w:tc>
      </w:tr>
      <w:tr w:rsidR="00980E5F" w14:paraId="392C6A48" w14:textId="77777777">
        <w:trPr>
          <w:hidden/>
        </w:trPr>
        <w:tc>
          <w:tcPr>
            <w:tcW w:w="0" w:type="auto"/>
            <w:gridSpan w:val="3"/>
            <w:shd w:val="clear" w:color="auto" w:fill="auto"/>
            <w:vAlign w:val="bottom"/>
          </w:tcPr>
          <w:p w14:paraId="392C6A34" w14:textId="77777777" w:rsidR="00980E5F" w:rsidRDefault="00980E5F">
            <w:pPr>
              <w:rPr>
                <w:rFonts w:ascii="宋体"/>
                <w:vanish/>
              </w:rPr>
            </w:pPr>
          </w:p>
        </w:tc>
        <w:tc>
          <w:tcPr>
            <w:tcW w:w="0" w:type="auto"/>
            <w:gridSpan w:val="3"/>
            <w:shd w:val="clear" w:color="auto" w:fill="auto"/>
            <w:vAlign w:val="bottom"/>
          </w:tcPr>
          <w:p w14:paraId="392C6A35" w14:textId="77777777" w:rsidR="00980E5F" w:rsidRDefault="00980E5F">
            <w:pPr>
              <w:rPr>
                <w:rFonts w:ascii="宋体"/>
                <w:vanish/>
              </w:rPr>
            </w:pPr>
          </w:p>
        </w:tc>
        <w:tc>
          <w:tcPr>
            <w:tcW w:w="0" w:type="auto"/>
            <w:gridSpan w:val="3"/>
            <w:shd w:val="clear" w:color="auto" w:fill="auto"/>
            <w:vAlign w:val="bottom"/>
          </w:tcPr>
          <w:p w14:paraId="392C6A36" w14:textId="77777777" w:rsidR="00980E5F" w:rsidRDefault="00980E5F">
            <w:pPr>
              <w:rPr>
                <w:rFonts w:ascii="宋体"/>
                <w:vanish/>
              </w:rPr>
            </w:pPr>
          </w:p>
        </w:tc>
        <w:tc>
          <w:tcPr>
            <w:tcW w:w="0" w:type="auto"/>
            <w:gridSpan w:val="3"/>
            <w:shd w:val="clear" w:color="auto" w:fill="auto"/>
            <w:vAlign w:val="bottom"/>
          </w:tcPr>
          <w:p w14:paraId="392C6A37" w14:textId="77777777" w:rsidR="00980E5F" w:rsidRDefault="00980E5F">
            <w:pPr>
              <w:rPr>
                <w:rFonts w:ascii="宋体"/>
                <w:vanish/>
              </w:rPr>
            </w:pPr>
          </w:p>
        </w:tc>
        <w:tc>
          <w:tcPr>
            <w:tcW w:w="0" w:type="auto"/>
            <w:gridSpan w:val="3"/>
            <w:shd w:val="clear" w:color="auto" w:fill="auto"/>
            <w:vAlign w:val="bottom"/>
          </w:tcPr>
          <w:p w14:paraId="392C6A38" w14:textId="77777777" w:rsidR="00980E5F" w:rsidRDefault="00980E5F">
            <w:pPr>
              <w:rPr>
                <w:rFonts w:ascii="宋体"/>
                <w:vanish/>
              </w:rPr>
            </w:pPr>
          </w:p>
        </w:tc>
        <w:tc>
          <w:tcPr>
            <w:tcW w:w="0" w:type="auto"/>
            <w:gridSpan w:val="3"/>
            <w:shd w:val="clear" w:color="auto" w:fill="auto"/>
            <w:vAlign w:val="bottom"/>
          </w:tcPr>
          <w:p w14:paraId="392C6A39" w14:textId="77777777" w:rsidR="00980E5F" w:rsidRDefault="00980E5F">
            <w:pPr>
              <w:rPr>
                <w:rFonts w:ascii="宋体"/>
                <w:vanish/>
              </w:rPr>
            </w:pPr>
          </w:p>
        </w:tc>
        <w:tc>
          <w:tcPr>
            <w:tcW w:w="0" w:type="auto"/>
            <w:gridSpan w:val="3"/>
            <w:shd w:val="clear" w:color="auto" w:fill="auto"/>
            <w:vAlign w:val="bottom"/>
          </w:tcPr>
          <w:p w14:paraId="392C6A3A" w14:textId="77777777" w:rsidR="00980E5F" w:rsidRDefault="00980E5F">
            <w:pPr>
              <w:rPr>
                <w:rFonts w:ascii="宋体"/>
                <w:vanish/>
              </w:rPr>
            </w:pPr>
          </w:p>
        </w:tc>
        <w:tc>
          <w:tcPr>
            <w:tcW w:w="0" w:type="auto"/>
            <w:gridSpan w:val="3"/>
            <w:shd w:val="clear" w:color="auto" w:fill="auto"/>
            <w:vAlign w:val="bottom"/>
          </w:tcPr>
          <w:p w14:paraId="392C6A3B" w14:textId="77777777" w:rsidR="00980E5F" w:rsidRDefault="00980E5F">
            <w:pPr>
              <w:rPr>
                <w:rFonts w:ascii="宋体"/>
                <w:vanish/>
              </w:rPr>
            </w:pPr>
          </w:p>
        </w:tc>
        <w:tc>
          <w:tcPr>
            <w:tcW w:w="0" w:type="auto"/>
            <w:gridSpan w:val="3"/>
            <w:shd w:val="clear" w:color="auto" w:fill="auto"/>
            <w:vAlign w:val="bottom"/>
          </w:tcPr>
          <w:p w14:paraId="392C6A3C" w14:textId="77777777" w:rsidR="00980E5F" w:rsidRDefault="00980E5F">
            <w:pPr>
              <w:rPr>
                <w:rFonts w:ascii="宋体"/>
                <w:vanish/>
              </w:rPr>
            </w:pPr>
          </w:p>
        </w:tc>
        <w:tc>
          <w:tcPr>
            <w:tcW w:w="0" w:type="auto"/>
            <w:gridSpan w:val="3"/>
            <w:shd w:val="clear" w:color="auto" w:fill="auto"/>
            <w:vAlign w:val="bottom"/>
          </w:tcPr>
          <w:p w14:paraId="392C6A3D" w14:textId="77777777" w:rsidR="00980E5F" w:rsidRDefault="00980E5F">
            <w:pPr>
              <w:rPr>
                <w:rFonts w:ascii="宋体"/>
                <w:vanish/>
              </w:rPr>
            </w:pPr>
          </w:p>
        </w:tc>
        <w:tc>
          <w:tcPr>
            <w:tcW w:w="0" w:type="auto"/>
            <w:gridSpan w:val="3"/>
            <w:shd w:val="clear" w:color="auto" w:fill="auto"/>
            <w:vAlign w:val="bottom"/>
          </w:tcPr>
          <w:p w14:paraId="392C6A3E" w14:textId="77777777" w:rsidR="00980E5F" w:rsidRDefault="00980E5F">
            <w:pPr>
              <w:rPr>
                <w:rFonts w:ascii="宋体"/>
                <w:vanish/>
              </w:rPr>
            </w:pPr>
          </w:p>
        </w:tc>
        <w:tc>
          <w:tcPr>
            <w:tcW w:w="0" w:type="auto"/>
            <w:gridSpan w:val="3"/>
            <w:shd w:val="clear" w:color="auto" w:fill="auto"/>
            <w:vAlign w:val="bottom"/>
          </w:tcPr>
          <w:p w14:paraId="392C6A3F" w14:textId="77777777" w:rsidR="00980E5F" w:rsidRDefault="00980E5F">
            <w:pPr>
              <w:rPr>
                <w:rFonts w:ascii="宋体"/>
                <w:vanish/>
              </w:rPr>
            </w:pPr>
          </w:p>
        </w:tc>
        <w:tc>
          <w:tcPr>
            <w:tcW w:w="0" w:type="auto"/>
            <w:gridSpan w:val="3"/>
            <w:shd w:val="clear" w:color="auto" w:fill="auto"/>
            <w:vAlign w:val="bottom"/>
          </w:tcPr>
          <w:p w14:paraId="392C6A40" w14:textId="77777777" w:rsidR="00980E5F" w:rsidRDefault="00980E5F">
            <w:pPr>
              <w:rPr>
                <w:rFonts w:ascii="宋体"/>
                <w:vanish/>
              </w:rPr>
            </w:pPr>
          </w:p>
        </w:tc>
        <w:tc>
          <w:tcPr>
            <w:tcW w:w="0" w:type="auto"/>
            <w:gridSpan w:val="3"/>
            <w:shd w:val="clear" w:color="auto" w:fill="auto"/>
            <w:vAlign w:val="bottom"/>
          </w:tcPr>
          <w:p w14:paraId="392C6A41" w14:textId="77777777" w:rsidR="00980E5F" w:rsidRDefault="00980E5F">
            <w:pPr>
              <w:rPr>
                <w:rFonts w:ascii="宋体"/>
                <w:vanish/>
              </w:rPr>
            </w:pPr>
          </w:p>
        </w:tc>
        <w:tc>
          <w:tcPr>
            <w:tcW w:w="0" w:type="auto"/>
            <w:gridSpan w:val="3"/>
            <w:shd w:val="clear" w:color="auto" w:fill="auto"/>
            <w:vAlign w:val="bottom"/>
          </w:tcPr>
          <w:p w14:paraId="392C6A42" w14:textId="77777777" w:rsidR="00980E5F" w:rsidRDefault="00980E5F">
            <w:pPr>
              <w:rPr>
                <w:rFonts w:ascii="宋体"/>
                <w:vanish/>
              </w:rPr>
            </w:pPr>
          </w:p>
        </w:tc>
        <w:tc>
          <w:tcPr>
            <w:tcW w:w="0" w:type="auto"/>
            <w:gridSpan w:val="3"/>
            <w:shd w:val="clear" w:color="auto" w:fill="auto"/>
            <w:vAlign w:val="bottom"/>
          </w:tcPr>
          <w:p w14:paraId="392C6A43" w14:textId="77777777" w:rsidR="00980E5F" w:rsidRDefault="00980E5F">
            <w:pPr>
              <w:rPr>
                <w:rFonts w:ascii="宋体"/>
                <w:vanish/>
              </w:rPr>
            </w:pPr>
          </w:p>
        </w:tc>
        <w:tc>
          <w:tcPr>
            <w:tcW w:w="0" w:type="auto"/>
            <w:gridSpan w:val="3"/>
            <w:shd w:val="clear" w:color="auto" w:fill="auto"/>
            <w:vAlign w:val="bottom"/>
          </w:tcPr>
          <w:p w14:paraId="392C6A44" w14:textId="77777777" w:rsidR="00980E5F" w:rsidRDefault="00980E5F">
            <w:pPr>
              <w:rPr>
                <w:rFonts w:ascii="宋体"/>
                <w:vanish/>
              </w:rPr>
            </w:pPr>
          </w:p>
        </w:tc>
        <w:tc>
          <w:tcPr>
            <w:tcW w:w="0" w:type="auto"/>
            <w:gridSpan w:val="3"/>
            <w:shd w:val="clear" w:color="auto" w:fill="auto"/>
            <w:vAlign w:val="bottom"/>
          </w:tcPr>
          <w:p w14:paraId="392C6A45" w14:textId="77777777" w:rsidR="00980E5F" w:rsidRDefault="00980E5F">
            <w:pPr>
              <w:rPr>
                <w:rFonts w:ascii="宋体"/>
                <w:vanish/>
              </w:rPr>
            </w:pPr>
          </w:p>
        </w:tc>
        <w:tc>
          <w:tcPr>
            <w:tcW w:w="0" w:type="auto"/>
            <w:gridSpan w:val="3"/>
            <w:shd w:val="clear" w:color="auto" w:fill="auto"/>
            <w:vAlign w:val="bottom"/>
          </w:tcPr>
          <w:p w14:paraId="392C6A46" w14:textId="77777777" w:rsidR="00980E5F" w:rsidRDefault="00980E5F">
            <w:pPr>
              <w:rPr>
                <w:rFonts w:ascii="宋体"/>
                <w:vanish/>
              </w:rPr>
            </w:pPr>
          </w:p>
        </w:tc>
        <w:tc>
          <w:tcPr>
            <w:tcW w:w="0" w:type="auto"/>
            <w:gridSpan w:val="3"/>
            <w:shd w:val="clear" w:color="auto" w:fill="auto"/>
            <w:vAlign w:val="bottom"/>
          </w:tcPr>
          <w:p w14:paraId="392C6A47" w14:textId="77777777" w:rsidR="00980E5F" w:rsidRDefault="00980E5F">
            <w:pPr>
              <w:rPr>
                <w:rFonts w:ascii="宋体"/>
                <w:vanish/>
              </w:rPr>
            </w:pPr>
          </w:p>
        </w:tc>
      </w:tr>
      <w:tr w:rsidR="00980E5F" w14:paraId="392C6A5D" w14:textId="77777777">
        <w:trPr>
          <w:hidden/>
        </w:trPr>
        <w:tc>
          <w:tcPr>
            <w:tcW w:w="0" w:type="auto"/>
            <w:gridSpan w:val="3"/>
            <w:shd w:val="clear" w:color="auto" w:fill="auto"/>
            <w:vAlign w:val="bottom"/>
          </w:tcPr>
          <w:p w14:paraId="392C6A49" w14:textId="77777777" w:rsidR="00980E5F" w:rsidRDefault="00980E5F">
            <w:pPr>
              <w:rPr>
                <w:rFonts w:ascii="宋体"/>
                <w:vanish/>
              </w:rPr>
            </w:pPr>
          </w:p>
        </w:tc>
        <w:tc>
          <w:tcPr>
            <w:tcW w:w="0" w:type="auto"/>
            <w:gridSpan w:val="3"/>
            <w:shd w:val="clear" w:color="auto" w:fill="auto"/>
            <w:vAlign w:val="bottom"/>
          </w:tcPr>
          <w:p w14:paraId="392C6A4A" w14:textId="77777777" w:rsidR="00980E5F" w:rsidRDefault="00980E5F">
            <w:pPr>
              <w:rPr>
                <w:rFonts w:ascii="宋体"/>
                <w:vanish/>
              </w:rPr>
            </w:pPr>
          </w:p>
        </w:tc>
        <w:tc>
          <w:tcPr>
            <w:tcW w:w="0" w:type="auto"/>
            <w:gridSpan w:val="3"/>
            <w:shd w:val="clear" w:color="auto" w:fill="auto"/>
            <w:vAlign w:val="bottom"/>
          </w:tcPr>
          <w:p w14:paraId="392C6A4B" w14:textId="77777777" w:rsidR="00980E5F" w:rsidRDefault="00980E5F">
            <w:pPr>
              <w:rPr>
                <w:rFonts w:ascii="宋体"/>
                <w:vanish/>
              </w:rPr>
            </w:pPr>
          </w:p>
        </w:tc>
        <w:tc>
          <w:tcPr>
            <w:tcW w:w="0" w:type="auto"/>
            <w:gridSpan w:val="3"/>
            <w:shd w:val="clear" w:color="auto" w:fill="auto"/>
            <w:vAlign w:val="bottom"/>
          </w:tcPr>
          <w:p w14:paraId="392C6A4C" w14:textId="77777777" w:rsidR="00980E5F" w:rsidRDefault="00980E5F">
            <w:pPr>
              <w:rPr>
                <w:rFonts w:ascii="宋体"/>
                <w:vanish/>
              </w:rPr>
            </w:pPr>
          </w:p>
        </w:tc>
        <w:tc>
          <w:tcPr>
            <w:tcW w:w="0" w:type="auto"/>
            <w:gridSpan w:val="3"/>
            <w:shd w:val="clear" w:color="auto" w:fill="auto"/>
            <w:vAlign w:val="bottom"/>
          </w:tcPr>
          <w:p w14:paraId="392C6A4D" w14:textId="77777777" w:rsidR="00980E5F" w:rsidRDefault="00980E5F">
            <w:pPr>
              <w:rPr>
                <w:rFonts w:ascii="宋体"/>
                <w:vanish/>
              </w:rPr>
            </w:pPr>
          </w:p>
        </w:tc>
        <w:tc>
          <w:tcPr>
            <w:tcW w:w="0" w:type="auto"/>
            <w:gridSpan w:val="3"/>
            <w:shd w:val="clear" w:color="auto" w:fill="auto"/>
            <w:vAlign w:val="bottom"/>
          </w:tcPr>
          <w:p w14:paraId="392C6A4E" w14:textId="77777777" w:rsidR="00980E5F" w:rsidRDefault="00980E5F">
            <w:pPr>
              <w:rPr>
                <w:rFonts w:ascii="宋体"/>
                <w:vanish/>
              </w:rPr>
            </w:pPr>
          </w:p>
        </w:tc>
        <w:tc>
          <w:tcPr>
            <w:tcW w:w="0" w:type="auto"/>
            <w:gridSpan w:val="3"/>
            <w:shd w:val="clear" w:color="auto" w:fill="auto"/>
            <w:vAlign w:val="bottom"/>
          </w:tcPr>
          <w:p w14:paraId="392C6A4F" w14:textId="77777777" w:rsidR="00980E5F" w:rsidRDefault="00980E5F">
            <w:pPr>
              <w:rPr>
                <w:rFonts w:ascii="宋体"/>
                <w:vanish/>
              </w:rPr>
            </w:pPr>
          </w:p>
        </w:tc>
        <w:tc>
          <w:tcPr>
            <w:tcW w:w="0" w:type="auto"/>
            <w:gridSpan w:val="3"/>
            <w:shd w:val="clear" w:color="auto" w:fill="auto"/>
            <w:vAlign w:val="bottom"/>
          </w:tcPr>
          <w:p w14:paraId="392C6A50" w14:textId="77777777" w:rsidR="00980E5F" w:rsidRDefault="00980E5F">
            <w:pPr>
              <w:rPr>
                <w:rFonts w:ascii="宋体"/>
                <w:vanish/>
              </w:rPr>
            </w:pPr>
          </w:p>
        </w:tc>
        <w:tc>
          <w:tcPr>
            <w:tcW w:w="0" w:type="auto"/>
            <w:gridSpan w:val="3"/>
            <w:shd w:val="clear" w:color="auto" w:fill="auto"/>
            <w:vAlign w:val="bottom"/>
          </w:tcPr>
          <w:p w14:paraId="392C6A51" w14:textId="77777777" w:rsidR="00980E5F" w:rsidRDefault="00980E5F">
            <w:pPr>
              <w:rPr>
                <w:rFonts w:ascii="宋体"/>
                <w:vanish/>
              </w:rPr>
            </w:pPr>
          </w:p>
        </w:tc>
        <w:tc>
          <w:tcPr>
            <w:tcW w:w="0" w:type="auto"/>
            <w:gridSpan w:val="3"/>
            <w:shd w:val="clear" w:color="auto" w:fill="auto"/>
            <w:vAlign w:val="bottom"/>
          </w:tcPr>
          <w:p w14:paraId="392C6A52" w14:textId="77777777" w:rsidR="00980E5F" w:rsidRDefault="00980E5F">
            <w:pPr>
              <w:rPr>
                <w:rFonts w:ascii="宋体"/>
                <w:vanish/>
              </w:rPr>
            </w:pPr>
          </w:p>
        </w:tc>
        <w:tc>
          <w:tcPr>
            <w:tcW w:w="0" w:type="auto"/>
            <w:gridSpan w:val="3"/>
            <w:shd w:val="clear" w:color="auto" w:fill="auto"/>
            <w:vAlign w:val="bottom"/>
          </w:tcPr>
          <w:p w14:paraId="392C6A53" w14:textId="77777777" w:rsidR="00980E5F" w:rsidRDefault="00980E5F">
            <w:pPr>
              <w:rPr>
                <w:rFonts w:ascii="宋体"/>
                <w:vanish/>
              </w:rPr>
            </w:pPr>
          </w:p>
        </w:tc>
        <w:tc>
          <w:tcPr>
            <w:tcW w:w="0" w:type="auto"/>
            <w:gridSpan w:val="3"/>
            <w:shd w:val="clear" w:color="auto" w:fill="auto"/>
            <w:vAlign w:val="bottom"/>
          </w:tcPr>
          <w:p w14:paraId="392C6A54" w14:textId="77777777" w:rsidR="00980E5F" w:rsidRDefault="00980E5F">
            <w:pPr>
              <w:rPr>
                <w:rFonts w:ascii="宋体"/>
                <w:vanish/>
              </w:rPr>
            </w:pPr>
          </w:p>
        </w:tc>
        <w:tc>
          <w:tcPr>
            <w:tcW w:w="0" w:type="auto"/>
            <w:gridSpan w:val="3"/>
            <w:shd w:val="clear" w:color="auto" w:fill="auto"/>
            <w:vAlign w:val="bottom"/>
          </w:tcPr>
          <w:p w14:paraId="392C6A55" w14:textId="77777777" w:rsidR="00980E5F" w:rsidRDefault="00980E5F">
            <w:pPr>
              <w:rPr>
                <w:rFonts w:ascii="宋体"/>
                <w:vanish/>
              </w:rPr>
            </w:pPr>
          </w:p>
        </w:tc>
        <w:tc>
          <w:tcPr>
            <w:tcW w:w="0" w:type="auto"/>
            <w:gridSpan w:val="3"/>
            <w:shd w:val="clear" w:color="auto" w:fill="auto"/>
            <w:vAlign w:val="bottom"/>
          </w:tcPr>
          <w:p w14:paraId="392C6A56" w14:textId="77777777" w:rsidR="00980E5F" w:rsidRDefault="00980E5F">
            <w:pPr>
              <w:rPr>
                <w:rFonts w:ascii="宋体"/>
                <w:vanish/>
              </w:rPr>
            </w:pPr>
          </w:p>
        </w:tc>
        <w:tc>
          <w:tcPr>
            <w:tcW w:w="0" w:type="auto"/>
            <w:gridSpan w:val="3"/>
            <w:shd w:val="clear" w:color="auto" w:fill="auto"/>
            <w:vAlign w:val="bottom"/>
          </w:tcPr>
          <w:p w14:paraId="392C6A57" w14:textId="77777777" w:rsidR="00980E5F" w:rsidRDefault="00980E5F">
            <w:pPr>
              <w:rPr>
                <w:rFonts w:ascii="宋体"/>
                <w:vanish/>
              </w:rPr>
            </w:pPr>
          </w:p>
        </w:tc>
        <w:tc>
          <w:tcPr>
            <w:tcW w:w="0" w:type="auto"/>
            <w:gridSpan w:val="3"/>
            <w:shd w:val="clear" w:color="auto" w:fill="auto"/>
            <w:vAlign w:val="bottom"/>
          </w:tcPr>
          <w:p w14:paraId="392C6A58" w14:textId="77777777" w:rsidR="00980E5F" w:rsidRDefault="00980E5F">
            <w:pPr>
              <w:rPr>
                <w:rFonts w:ascii="宋体"/>
                <w:vanish/>
              </w:rPr>
            </w:pPr>
          </w:p>
        </w:tc>
        <w:tc>
          <w:tcPr>
            <w:tcW w:w="0" w:type="auto"/>
            <w:gridSpan w:val="3"/>
            <w:shd w:val="clear" w:color="auto" w:fill="auto"/>
            <w:vAlign w:val="bottom"/>
          </w:tcPr>
          <w:p w14:paraId="392C6A59" w14:textId="77777777" w:rsidR="00980E5F" w:rsidRDefault="00980E5F">
            <w:pPr>
              <w:rPr>
                <w:rFonts w:ascii="宋体"/>
                <w:vanish/>
              </w:rPr>
            </w:pPr>
          </w:p>
        </w:tc>
        <w:tc>
          <w:tcPr>
            <w:tcW w:w="0" w:type="auto"/>
            <w:gridSpan w:val="3"/>
            <w:shd w:val="clear" w:color="auto" w:fill="auto"/>
            <w:vAlign w:val="bottom"/>
          </w:tcPr>
          <w:p w14:paraId="392C6A5A" w14:textId="77777777" w:rsidR="00980E5F" w:rsidRDefault="00980E5F">
            <w:pPr>
              <w:rPr>
                <w:rFonts w:ascii="宋体"/>
                <w:vanish/>
              </w:rPr>
            </w:pPr>
          </w:p>
        </w:tc>
        <w:tc>
          <w:tcPr>
            <w:tcW w:w="0" w:type="auto"/>
            <w:gridSpan w:val="3"/>
            <w:shd w:val="clear" w:color="auto" w:fill="auto"/>
            <w:vAlign w:val="bottom"/>
          </w:tcPr>
          <w:p w14:paraId="392C6A5B" w14:textId="77777777" w:rsidR="00980E5F" w:rsidRDefault="00980E5F">
            <w:pPr>
              <w:rPr>
                <w:rFonts w:ascii="宋体"/>
                <w:vanish/>
              </w:rPr>
            </w:pPr>
          </w:p>
        </w:tc>
        <w:tc>
          <w:tcPr>
            <w:tcW w:w="0" w:type="auto"/>
            <w:gridSpan w:val="3"/>
            <w:shd w:val="clear" w:color="auto" w:fill="auto"/>
            <w:vAlign w:val="bottom"/>
          </w:tcPr>
          <w:p w14:paraId="392C6A5C" w14:textId="77777777" w:rsidR="00980E5F" w:rsidRDefault="00980E5F">
            <w:pPr>
              <w:rPr>
                <w:rFonts w:ascii="宋体"/>
                <w:vanish/>
              </w:rPr>
            </w:pPr>
          </w:p>
        </w:tc>
      </w:tr>
      <w:tr w:rsidR="00980E5F" w14:paraId="392C6A72" w14:textId="77777777">
        <w:trPr>
          <w:hidden/>
        </w:trPr>
        <w:tc>
          <w:tcPr>
            <w:tcW w:w="0" w:type="auto"/>
            <w:gridSpan w:val="3"/>
            <w:shd w:val="clear" w:color="auto" w:fill="auto"/>
            <w:vAlign w:val="bottom"/>
          </w:tcPr>
          <w:p w14:paraId="392C6A5E" w14:textId="77777777" w:rsidR="00980E5F" w:rsidRDefault="00980E5F">
            <w:pPr>
              <w:rPr>
                <w:rFonts w:ascii="宋体"/>
                <w:vanish/>
              </w:rPr>
            </w:pPr>
          </w:p>
        </w:tc>
        <w:tc>
          <w:tcPr>
            <w:tcW w:w="0" w:type="auto"/>
            <w:gridSpan w:val="3"/>
            <w:shd w:val="clear" w:color="auto" w:fill="auto"/>
            <w:vAlign w:val="bottom"/>
          </w:tcPr>
          <w:p w14:paraId="392C6A5F" w14:textId="77777777" w:rsidR="00980E5F" w:rsidRDefault="00980E5F">
            <w:pPr>
              <w:rPr>
                <w:rFonts w:ascii="宋体"/>
                <w:vanish/>
              </w:rPr>
            </w:pPr>
          </w:p>
        </w:tc>
        <w:tc>
          <w:tcPr>
            <w:tcW w:w="0" w:type="auto"/>
            <w:gridSpan w:val="3"/>
            <w:shd w:val="clear" w:color="auto" w:fill="auto"/>
            <w:vAlign w:val="bottom"/>
          </w:tcPr>
          <w:p w14:paraId="392C6A60" w14:textId="77777777" w:rsidR="00980E5F" w:rsidRDefault="00980E5F">
            <w:pPr>
              <w:rPr>
                <w:rFonts w:ascii="宋体"/>
                <w:vanish/>
              </w:rPr>
            </w:pPr>
          </w:p>
        </w:tc>
        <w:tc>
          <w:tcPr>
            <w:tcW w:w="0" w:type="auto"/>
            <w:gridSpan w:val="3"/>
            <w:shd w:val="clear" w:color="auto" w:fill="auto"/>
            <w:vAlign w:val="bottom"/>
          </w:tcPr>
          <w:p w14:paraId="392C6A61" w14:textId="77777777" w:rsidR="00980E5F" w:rsidRDefault="00980E5F">
            <w:pPr>
              <w:rPr>
                <w:rFonts w:ascii="宋体"/>
                <w:vanish/>
              </w:rPr>
            </w:pPr>
          </w:p>
        </w:tc>
        <w:tc>
          <w:tcPr>
            <w:tcW w:w="0" w:type="auto"/>
            <w:gridSpan w:val="3"/>
            <w:shd w:val="clear" w:color="auto" w:fill="auto"/>
            <w:vAlign w:val="bottom"/>
          </w:tcPr>
          <w:p w14:paraId="392C6A62" w14:textId="77777777" w:rsidR="00980E5F" w:rsidRDefault="00980E5F">
            <w:pPr>
              <w:rPr>
                <w:rFonts w:ascii="宋体"/>
                <w:vanish/>
              </w:rPr>
            </w:pPr>
          </w:p>
        </w:tc>
        <w:tc>
          <w:tcPr>
            <w:tcW w:w="0" w:type="auto"/>
            <w:gridSpan w:val="3"/>
            <w:shd w:val="clear" w:color="auto" w:fill="auto"/>
            <w:vAlign w:val="bottom"/>
          </w:tcPr>
          <w:p w14:paraId="392C6A63" w14:textId="77777777" w:rsidR="00980E5F" w:rsidRDefault="00980E5F">
            <w:pPr>
              <w:rPr>
                <w:rFonts w:ascii="宋体"/>
                <w:vanish/>
              </w:rPr>
            </w:pPr>
          </w:p>
        </w:tc>
        <w:tc>
          <w:tcPr>
            <w:tcW w:w="0" w:type="auto"/>
            <w:gridSpan w:val="3"/>
            <w:shd w:val="clear" w:color="auto" w:fill="auto"/>
            <w:vAlign w:val="bottom"/>
          </w:tcPr>
          <w:p w14:paraId="392C6A64" w14:textId="77777777" w:rsidR="00980E5F" w:rsidRDefault="00980E5F">
            <w:pPr>
              <w:rPr>
                <w:rFonts w:ascii="宋体"/>
                <w:vanish/>
              </w:rPr>
            </w:pPr>
          </w:p>
        </w:tc>
        <w:tc>
          <w:tcPr>
            <w:tcW w:w="0" w:type="auto"/>
            <w:gridSpan w:val="3"/>
            <w:shd w:val="clear" w:color="auto" w:fill="auto"/>
            <w:vAlign w:val="bottom"/>
          </w:tcPr>
          <w:p w14:paraId="392C6A65" w14:textId="77777777" w:rsidR="00980E5F" w:rsidRDefault="00980E5F">
            <w:pPr>
              <w:rPr>
                <w:rFonts w:ascii="宋体"/>
                <w:vanish/>
              </w:rPr>
            </w:pPr>
          </w:p>
        </w:tc>
        <w:tc>
          <w:tcPr>
            <w:tcW w:w="0" w:type="auto"/>
            <w:gridSpan w:val="3"/>
            <w:shd w:val="clear" w:color="auto" w:fill="auto"/>
            <w:vAlign w:val="bottom"/>
          </w:tcPr>
          <w:p w14:paraId="392C6A66" w14:textId="77777777" w:rsidR="00980E5F" w:rsidRDefault="00980E5F">
            <w:pPr>
              <w:rPr>
                <w:rFonts w:ascii="宋体"/>
                <w:vanish/>
              </w:rPr>
            </w:pPr>
          </w:p>
        </w:tc>
        <w:tc>
          <w:tcPr>
            <w:tcW w:w="0" w:type="auto"/>
            <w:gridSpan w:val="3"/>
            <w:shd w:val="clear" w:color="auto" w:fill="auto"/>
            <w:vAlign w:val="bottom"/>
          </w:tcPr>
          <w:p w14:paraId="392C6A67" w14:textId="77777777" w:rsidR="00980E5F" w:rsidRDefault="00980E5F">
            <w:pPr>
              <w:rPr>
                <w:rFonts w:ascii="宋体"/>
                <w:vanish/>
              </w:rPr>
            </w:pPr>
          </w:p>
        </w:tc>
        <w:tc>
          <w:tcPr>
            <w:tcW w:w="0" w:type="auto"/>
            <w:gridSpan w:val="3"/>
            <w:shd w:val="clear" w:color="auto" w:fill="auto"/>
            <w:vAlign w:val="bottom"/>
          </w:tcPr>
          <w:p w14:paraId="392C6A68" w14:textId="77777777" w:rsidR="00980E5F" w:rsidRDefault="00980E5F">
            <w:pPr>
              <w:rPr>
                <w:rFonts w:ascii="宋体"/>
                <w:vanish/>
              </w:rPr>
            </w:pPr>
          </w:p>
        </w:tc>
        <w:tc>
          <w:tcPr>
            <w:tcW w:w="0" w:type="auto"/>
            <w:gridSpan w:val="3"/>
            <w:shd w:val="clear" w:color="auto" w:fill="auto"/>
            <w:vAlign w:val="bottom"/>
          </w:tcPr>
          <w:p w14:paraId="392C6A69" w14:textId="77777777" w:rsidR="00980E5F" w:rsidRDefault="00980E5F">
            <w:pPr>
              <w:rPr>
                <w:rFonts w:ascii="宋体"/>
                <w:vanish/>
              </w:rPr>
            </w:pPr>
          </w:p>
        </w:tc>
        <w:tc>
          <w:tcPr>
            <w:tcW w:w="0" w:type="auto"/>
            <w:gridSpan w:val="3"/>
            <w:shd w:val="clear" w:color="auto" w:fill="auto"/>
            <w:vAlign w:val="bottom"/>
          </w:tcPr>
          <w:p w14:paraId="392C6A6A" w14:textId="77777777" w:rsidR="00980E5F" w:rsidRDefault="00980E5F">
            <w:pPr>
              <w:rPr>
                <w:rFonts w:ascii="宋体"/>
                <w:vanish/>
              </w:rPr>
            </w:pPr>
          </w:p>
        </w:tc>
        <w:tc>
          <w:tcPr>
            <w:tcW w:w="0" w:type="auto"/>
            <w:gridSpan w:val="3"/>
            <w:shd w:val="clear" w:color="auto" w:fill="auto"/>
            <w:vAlign w:val="bottom"/>
          </w:tcPr>
          <w:p w14:paraId="392C6A6B" w14:textId="77777777" w:rsidR="00980E5F" w:rsidRDefault="00980E5F">
            <w:pPr>
              <w:rPr>
                <w:rFonts w:ascii="宋体"/>
                <w:vanish/>
              </w:rPr>
            </w:pPr>
          </w:p>
        </w:tc>
        <w:tc>
          <w:tcPr>
            <w:tcW w:w="0" w:type="auto"/>
            <w:gridSpan w:val="3"/>
            <w:shd w:val="clear" w:color="auto" w:fill="auto"/>
            <w:vAlign w:val="bottom"/>
          </w:tcPr>
          <w:p w14:paraId="392C6A6C" w14:textId="77777777" w:rsidR="00980E5F" w:rsidRDefault="00980E5F">
            <w:pPr>
              <w:rPr>
                <w:rFonts w:ascii="宋体"/>
                <w:vanish/>
              </w:rPr>
            </w:pPr>
          </w:p>
        </w:tc>
        <w:tc>
          <w:tcPr>
            <w:tcW w:w="0" w:type="auto"/>
            <w:gridSpan w:val="3"/>
            <w:shd w:val="clear" w:color="auto" w:fill="auto"/>
            <w:vAlign w:val="bottom"/>
          </w:tcPr>
          <w:p w14:paraId="392C6A6D" w14:textId="77777777" w:rsidR="00980E5F" w:rsidRDefault="00980E5F">
            <w:pPr>
              <w:rPr>
                <w:rFonts w:ascii="宋体"/>
                <w:vanish/>
              </w:rPr>
            </w:pPr>
          </w:p>
        </w:tc>
        <w:tc>
          <w:tcPr>
            <w:tcW w:w="0" w:type="auto"/>
            <w:gridSpan w:val="3"/>
            <w:shd w:val="clear" w:color="auto" w:fill="auto"/>
            <w:vAlign w:val="bottom"/>
          </w:tcPr>
          <w:p w14:paraId="392C6A6E" w14:textId="77777777" w:rsidR="00980E5F" w:rsidRDefault="00980E5F">
            <w:pPr>
              <w:rPr>
                <w:rFonts w:ascii="宋体"/>
                <w:vanish/>
              </w:rPr>
            </w:pPr>
          </w:p>
        </w:tc>
        <w:tc>
          <w:tcPr>
            <w:tcW w:w="0" w:type="auto"/>
            <w:gridSpan w:val="3"/>
            <w:shd w:val="clear" w:color="auto" w:fill="auto"/>
            <w:vAlign w:val="bottom"/>
          </w:tcPr>
          <w:p w14:paraId="392C6A6F" w14:textId="77777777" w:rsidR="00980E5F" w:rsidRDefault="00980E5F">
            <w:pPr>
              <w:rPr>
                <w:rFonts w:ascii="宋体"/>
                <w:vanish/>
              </w:rPr>
            </w:pPr>
          </w:p>
        </w:tc>
        <w:tc>
          <w:tcPr>
            <w:tcW w:w="0" w:type="auto"/>
            <w:gridSpan w:val="3"/>
            <w:shd w:val="clear" w:color="auto" w:fill="auto"/>
            <w:vAlign w:val="bottom"/>
          </w:tcPr>
          <w:p w14:paraId="392C6A70" w14:textId="77777777" w:rsidR="00980E5F" w:rsidRDefault="00980E5F">
            <w:pPr>
              <w:rPr>
                <w:rFonts w:ascii="宋体"/>
                <w:vanish/>
              </w:rPr>
            </w:pPr>
          </w:p>
        </w:tc>
        <w:tc>
          <w:tcPr>
            <w:tcW w:w="0" w:type="auto"/>
            <w:gridSpan w:val="3"/>
            <w:shd w:val="clear" w:color="auto" w:fill="auto"/>
            <w:vAlign w:val="bottom"/>
          </w:tcPr>
          <w:p w14:paraId="392C6A71" w14:textId="77777777" w:rsidR="00980E5F" w:rsidRDefault="00980E5F">
            <w:pPr>
              <w:rPr>
                <w:rFonts w:ascii="宋体"/>
                <w:vanish/>
              </w:rPr>
            </w:pPr>
          </w:p>
        </w:tc>
      </w:tr>
      <w:tr w:rsidR="00980E5F" w14:paraId="392C6A91" w14:textId="77777777">
        <w:tc>
          <w:tcPr>
            <w:tcW w:w="0" w:type="auto"/>
            <w:gridSpan w:val="3"/>
            <w:shd w:val="clear" w:color="auto" w:fill="FFFFFF"/>
            <w:tcMar>
              <w:top w:w="40" w:type="dxa"/>
              <w:left w:w="20" w:type="dxa"/>
              <w:bottom w:w="40" w:type="dxa"/>
              <w:right w:w="20" w:type="dxa"/>
            </w:tcMar>
            <w:vAlign w:val="bottom"/>
          </w:tcPr>
          <w:p w14:paraId="392C6A73" w14:textId="77777777" w:rsidR="00980E5F" w:rsidRDefault="00483613">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74" w14:textId="77777777" w:rsidR="00980E5F" w:rsidRDefault="00483613">
            <w:pPr>
              <w:jc w:val="right"/>
              <w:textAlignment w:val="bottom"/>
            </w:pPr>
            <w:r>
              <w:rPr>
                <w:rFonts w:ascii="Arial" w:eastAsia="宋体" w:hAnsi="Arial" w:cs="Arial"/>
                <w:b/>
                <w:bCs/>
                <w:color w:val="000000"/>
                <w:sz w:val="13"/>
                <w:szCs w:val="13"/>
              </w:rPr>
              <w:t>175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7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77" w14:textId="77777777" w:rsidR="00980E5F" w:rsidRDefault="00483613">
            <w:pPr>
              <w:jc w:val="right"/>
              <w:textAlignment w:val="bottom"/>
            </w:pPr>
            <w:r>
              <w:rPr>
                <w:rFonts w:ascii="Arial" w:eastAsia="宋体" w:hAnsi="Arial" w:cs="Arial"/>
                <w:b/>
                <w:bCs/>
                <w:color w:val="000000"/>
                <w:sz w:val="13"/>
                <w:szCs w:val="13"/>
              </w:rPr>
              <w:t>175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7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7A" w14:textId="77777777" w:rsidR="00980E5F" w:rsidRDefault="00483613">
            <w:pPr>
              <w:jc w:val="right"/>
              <w:textAlignment w:val="bottom"/>
            </w:pPr>
            <w:r>
              <w:rPr>
                <w:rFonts w:ascii="Arial" w:eastAsia="宋体" w:hAnsi="Arial" w:cs="Arial"/>
                <w:b/>
                <w:bCs/>
                <w:color w:val="000000"/>
                <w:sz w:val="13"/>
                <w:szCs w:val="13"/>
              </w:rPr>
              <w:t>404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7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7D" w14:textId="77777777" w:rsidR="00980E5F" w:rsidRDefault="00483613">
            <w:pPr>
              <w:jc w:val="right"/>
              <w:textAlignment w:val="bottom"/>
            </w:pPr>
            <w:r>
              <w:rPr>
                <w:rFonts w:ascii="Arial" w:eastAsia="宋体" w:hAnsi="Arial" w:cs="Arial"/>
                <w:b/>
                <w:bCs/>
                <w:color w:val="000000"/>
                <w:sz w:val="13"/>
                <w:szCs w:val="13"/>
              </w:rPr>
              <w:t>401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7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0" w14:textId="77777777" w:rsidR="00980E5F" w:rsidRDefault="00483613">
            <w:pPr>
              <w:jc w:val="right"/>
              <w:textAlignment w:val="bottom"/>
            </w:pPr>
            <w:r>
              <w:rPr>
                <w:rFonts w:ascii="Arial" w:eastAsia="宋体" w:hAnsi="Arial" w:cs="Arial"/>
                <w:b/>
                <w:bCs/>
                <w:color w:val="000000"/>
                <w:sz w:val="13"/>
                <w:szCs w:val="13"/>
              </w:rPr>
              <w:t>407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8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3" w14:textId="77777777" w:rsidR="00980E5F" w:rsidRDefault="00483613">
            <w:pPr>
              <w:jc w:val="right"/>
              <w:textAlignment w:val="bottom"/>
            </w:pPr>
            <w:r>
              <w:rPr>
                <w:rFonts w:ascii="Arial" w:eastAsia="宋体" w:hAnsi="Arial" w:cs="Arial"/>
                <w:b/>
                <w:bCs/>
                <w:color w:val="000000"/>
                <w:sz w:val="13"/>
                <w:szCs w:val="13"/>
              </w:rPr>
              <w:t>406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8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6" w14:textId="77777777" w:rsidR="00980E5F" w:rsidRDefault="00483613">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8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9" w14:textId="77777777" w:rsidR="00980E5F" w:rsidRDefault="00483613">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8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C" w14:textId="77777777" w:rsidR="00980E5F" w:rsidRDefault="00483613">
            <w:pPr>
              <w:jc w:val="right"/>
              <w:textAlignment w:val="bottom"/>
            </w:pPr>
            <w:r>
              <w:rPr>
                <w:rFonts w:ascii="Arial" w:eastAsia="宋体" w:hAnsi="Arial" w:cs="Arial"/>
                <w:b/>
                <w:bCs/>
                <w:color w:val="000000"/>
                <w:sz w:val="13"/>
                <w:szCs w:val="13"/>
              </w:rPr>
              <w:t>1,042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8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A8F" w14:textId="77777777" w:rsidR="00980E5F" w:rsidRDefault="00483613">
            <w:pPr>
              <w:jc w:val="right"/>
              <w:textAlignment w:val="bottom"/>
            </w:pPr>
            <w:r>
              <w:rPr>
                <w:rFonts w:ascii="Arial" w:eastAsia="宋体" w:hAnsi="Arial" w:cs="Arial"/>
                <w:b/>
                <w:bCs/>
                <w:color w:val="000000"/>
                <w:sz w:val="13"/>
                <w:szCs w:val="13"/>
              </w:rPr>
              <w:t>1,034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90" w14:textId="77777777" w:rsidR="00980E5F" w:rsidRDefault="00980E5F">
            <w:pPr>
              <w:jc w:val="right"/>
              <w:rPr>
                <w:rFonts w:ascii="宋体"/>
              </w:rPr>
            </w:pPr>
          </w:p>
        </w:tc>
      </w:tr>
      <w:tr w:rsidR="00980E5F" w14:paraId="392C6AA6" w14:textId="77777777">
        <w:trPr>
          <w:hidden/>
        </w:trPr>
        <w:tc>
          <w:tcPr>
            <w:tcW w:w="0" w:type="auto"/>
            <w:gridSpan w:val="3"/>
            <w:shd w:val="clear" w:color="auto" w:fill="auto"/>
            <w:vAlign w:val="bottom"/>
          </w:tcPr>
          <w:p w14:paraId="392C6A92" w14:textId="77777777" w:rsidR="00980E5F" w:rsidRDefault="00980E5F">
            <w:pPr>
              <w:rPr>
                <w:rFonts w:ascii="宋体"/>
                <w:vanish/>
              </w:rPr>
            </w:pPr>
          </w:p>
        </w:tc>
        <w:tc>
          <w:tcPr>
            <w:tcW w:w="0" w:type="auto"/>
            <w:gridSpan w:val="3"/>
            <w:shd w:val="clear" w:color="auto" w:fill="auto"/>
            <w:vAlign w:val="bottom"/>
          </w:tcPr>
          <w:p w14:paraId="392C6A93" w14:textId="77777777" w:rsidR="00980E5F" w:rsidRDefault="00980E5F">
            <w:pPr>
              <w:rPr>
                <w:rFonts w:ascii="宋体"/>
                <w:vanish/>
              </w:rPr>
            </w:pPr>
          </w:p>
        </w:tc>
        <w:tc>
          <w:tcPr>
            <w:tcW w:w="0" w:type="auto"/>
            <w:gridSpan w:val="3"/>
            <w:shd w:val="clear" w:color="auto" w:fill="auto"/>
            <w:vAlign w:val="bottom"/>
          </w:tcPr>
          <w:p w14:paraId="392C6A94" w14:textId="77777777" w:rsidR="00980E5F" w:rsidRDefault="00980E5F">
            <w:pPr>
              <w:rPr>
                <w:rFonts w:ascii="宋体"/>
                <w:vanish/>
              </w:rPr>
            </w:pPr>
          </w:p>
        </w:tc>
        <w:tc>
          <w:tcPr>
            <w:tcW w:w="0" w:type="auto"/>
            <w:gridSpan w:val="3"/>
            <w:shd w:val="clear" w:color="auto" w:fill="auto"/>
            <w:vAlign w:val="bottom"/>
          </w:tcPr>
          <w:p w14:paraId="392C6A95" w14:textId="77777777" w:rsidR="00980E5F" w:rsidRDefault="00980E5F">
            <w:pPr>
              <w:rPr>
                <w:rFonts w:ascii="宋体"/>
                <w:vanish/>
              </w:rPr>
            </w:pPr>
          </w:p>
        </w:tc>
        <w:tc>
          <w:tcPr>
            <w:tcW w:w="0" w:type="auto"/>
            <w:gridSpan w:val="3"/>
            <w:shd w:val="clear" w:color="auto" w:fill="auto"/>
            <w:vAlign w:val="bottom"/>
          </w:tcPr>
          <w:p w14:paraId="392C6A96" w14:textId="77777777" w:rsidR="00980E5F" w:rsidRDefault="00980E5F">
            <w:pPr>
              <w:rPr>
                <w:rFonts w:ascii="宋体"/>
                <w:vanish/>
              </w:rPr>
            </w:pPr>
          </w:p>
        </w:tc>
        <w:tc>
          <w:tcPr>
            <w:tcW w:w="0" w:type="auto"/>
            <w:gridSpan w:val="3"/>
            <w:shd w:val="clear" w:color="auto" w:fill="auto"/>
            <w:vAlign w:val="bottom"/>
          </w:tcPr>
          <w:p w14:paraId="392C6A97" w14:textId="77777777" w:rsidR="00980E5F" w:rsidRDefault="00980E5F">
            <w:pPr>
              <w:rPr>
                <w:rFonts w:ascii="宋体"/>
                <w:vanish/>
              </w:rPr>
            </w:pPr>
          </w:p>
        </w:tc>
        <w:tc>
          <w:tcPr>
            <w:tcW w:w="0" w:type="auto"/>
            <w:gridSpan w:val="3"/>
            <w:shd w:val="clear" w:color="auto" w:fill="auto"/>
            <w:vAlign w:val="bottom"/>
          </w:tcPr>
          <w:p w14:paraId="392C6A98" w14:textId="77777777" w:rsidR="00980E5F" w:rsidRDefault="00980E5F">
            <w:pPr>
              <w:rPr>
                <w:rFonts w:ascii="宋体"/>
                <w:vanish/>
              </w:rPr>
            </w:pPr>
          </w:p>
        </w:tc>
        <w:tc>
          <w:tcPr>
            <w:tcW w:w="0" w:type="auto"/>
            <w:gridSpan w:val="3"/>
            <w:shd w:val="clear" w:color="auto" w:fill="auto"/>
            <w:vAlign w:val="bottom"/>
          </w:tcPr>
          <w:p w14:paraId="392C6A99" w14:textId="77777777" w:rsidR="00980E5F" w:rsidRDefault="00980E5F">
            <w:pPr>
              <w:rPr>
                <w:rFonts w:ascii="宋体"/>
                <w:vanish/>
              </w:rPr>
            </w:pPr>
          </w:p>
        </w:tc>
        <w:tc>
          <w:tcPr>
            <w:tcW w:w="0" w:type="auto"/>
            <w:gridSpan w:val="3"/>
            <w:shd w:val="clear" w:color="auto" w:fill="auto"/>
            <w:vAlign w:val="bottom"/>
          </w:tcPr>
          <w:p w14:paraId="392C6A9A" w14:textId="77777777" w:rsidR="00980E5F" w:rsidRDefault="00980E5F">
            <w:pPr>
              <w:rPr>
                <w:rFonts w:ascii="宋体"/>
                <w:vanish/>
              </w:rPr>
            </w:pPr>
          </w:p>
        </w:tc>
        <w:tc>
          <w:tcPr>
            <w:tcW w:w="0" w:type="auto"/>
            <w:gridSpan w:val="3"/>
            <w:shd w:val="clear" w:color="auto" w:fill="auto"/>
            <w:vAlign w:val="bottom"/>
          </w:tcPr>
          <w:p w14:paraId="392C6A9B" w14:textId="77777777" w:rsidR="00980E5F" w:rsidRDefault="00980E5F">
            <w:pPr>
              <w:rPr>
                <w:rFonts w:ascii="宋体"/>
                <w:vanish/>
              </w:rPr>
            </w:pPr>
          </w:p>
        </w:tc>
        <w:tc>
          <w:tcPr>
            <w:tcW w:w="0" w:type="auto"/>
            <w:gridSpan w:val="3"/>
            <w:shd w:val="clear" w:color="auto" w:fill="auto"/>
            <w:vAlign w:val="bottom"/>
          </w:tcPr>
          <w:p w14:paraId="392C6A9C" w14:textId="77777777" w:rsidR="00980E5F" w:rsidRDefault="00980E5F">
            <w:pPr>
              <w:rPr>
                <w:rFonts w:ascii="宋体"/>
                <w:vanish/>
              </w:rPr>
            </w:pPr>
          </w:p>
        </w:tc>
        <w:tc>
          <w:tcPr>
            <w:tcW w:w="0" w:type="auto"/>
            <w:gridSpan w:val="3"/>
            <w:shd w:val="clear" w:color="auto" w:fill="auto"/>
            <w:vAlign w:val="bottom"/>
          </w:tcPr>
          <w:p w14:paraId="392C6A9D" w14:textId="77777777" w:rsidR="00980E5F" w:rsidRDefault="00980E5F">
            <w:pPr>
              <w:rPr>
                <w:rFonts w:ascii="宋体"/>
                <w:vanish/>
              </w:rPr>
            </w:pPr>
          </w:p>
        </w:tc>
        <w:tc>
          <w:tcPr>
            <w:tcW w:w="0" w:type="auto"/>
            <w:gridSpan w:val="3"/>
            <w:shd w:val="clear" w:color="auto" w:fill="auto"/>
            <w:vAlign w:val="bottom"/>
          </w:tcPr>
          <w:p w14:paraId="392C6A9E" w14:textId="77777777" w:rsidR="00980E5F" w:rsidRDefault="00980E5F">
            <w:pPr>
              <w:rPr>
                <w:rFonts w:ascii="宋体"/>
                <w:vanish/>
              </w:rPr>
            </w:pPr>
          </w:p>
        </w:tc>
        <w:tc>
          <w:tcPr>
            <w:tcW w:w="0" w:type="auto"/>
            <w:gridSpan w:val="3"/>
            <w:shd w:val="clear" w:color="auto" w:fill="auto"/>
            <w:vAlign w:val="bottom"/>
          </w:tcPr>
          <w:p w14:paraId="392C6A9F" w14:textId="77777777" w:rsidR="00980E5F" w:rsidRDefault="00980E5F">
            <w:pPr>
              <w:rPr>
                <w:rFonts w:ascii="宋体"/>
                <w:vanish/>
              </w:rPr>
            </w:pPr>
          </w:p>
        </w:tc>
        <w:tc>
          <w:tcPr>
            <w:tcW w:w="0" w:type="auto"/>
            <w:gridSpan w:val="3"/>
            <w:shd w:val="clear" w:color="auto" w:fill="auto"/>
            <w:vAlign w:val="bottom"/>
          </w:tcPr>
          <w:p w14:paraId="392C6AA0" w14:textId="77777777" w:rsidR="00980E5F" w:rsidRDefault="00980E5F">
            <w:pPr>
              <w:rPr>
                <w:rFonts w:ascii="宋体"/>
                <w:vanish/>
              </w:rPr>
            </w:pPr>
          </w:p>
        </w:tc>
        <w:tc>
          <w:tcPr>
            <w:tcW w:w="0" w:type="auto"/>
            <w:gridSpan w:val="3"/>
            <w:shd w:val="clear" w:color="auto" w:fill="auto"/>
            <w:vAlign w:val="bottom"/>
          </w:tcPr>
          <w:p w14:paraId="392C6AA1" w14:textId="77777777" w:rsidR="00980E5F" w:rsidRDefault="00980E5F">
            <w:pPr>
              <w:rPr>
                <w:rFonts w:ascii="宋体"/>
                <w:vanish/>
              </w:rPr>
            </w:pPr>
          </w:p>
        </w:tc>
        <w:tc>
          <w:tcPr>
            <w:tcW w:w="0" w:type="auto"/>
            <w:gridSpan w:val="3"/>
            <w:shd w:val="clear" w:color="auto" w:fill="auto"/>
            <w:vAlign w:val="bottom"/>
          </w:tcPr>
          <w:p w14:paraId="392C6AA2" w14:textId="77777777" w:rsidR="00980E5F" w:rsidRDefault="00980E5F">
            <w:pPr>
              <w:rPr>
                <w:rFonts w:ascii="宋体"/>
                <w:vanish/>
              </w:rPr>
            </w:pPr>
          </w:p>
        </w:tc>
        <w:tc>
          <w:tcPr>
            <w:tcW w:w="0" w:type="auto"/>
            <w:gridSpan w:val="3"/>
            <w:shd w:val="clear" w:color="auto" w:fill="auto"/>
            <w:vAlign w:val="bottom"/>
          </w:tcPr>
          <w:p w14:paraId="392C6AA3" w14:textId="77777777" w:rsidR="00980E5F" w:rsidRDefault="00980E5F">
            <w:pPr>
              <w:rPr>
                <w:rFonts w:ascii="宋体"/>
                <w:vanish/>
              </w:rPr>
            </w:pPr>
          </w:p>
        </w:tc>
        <w:tc>
          <w:tcPr>
            <w:tcW w:w="0" w:type="auto"/>
            <w:gridSpan w:val="3"/>
            <w:shd w:val="clear" w:color="auto" w:fill="auto"/>
            <w:vAlign w:val="bottom"/>
          </w:tcPr>
          <w:p w14:paraId="392C6AA4" w14:textId="77777777" w:rsidR="00980E5F" w:rsidRDefault="00980E5F">
            <w:pPr>
              <w:rPr>
                <w:rFonts w:ascii="宋体"/>
                <w:vanish/>
              </w:rPr>
            </w:pPr>
          </w:p>
        </w:tc>
        <w:tc>
          <w:tcPr>
            <w:tcW w:w="0" w:type="auto"/>
            <w:gridSpan w:val="3"/>
            <w:shd w:val="clear" w:color="auto" w:fill="auto"/>
            <w:vAlign w:val="bottom"/>
          </w:tcPr>
          <w:p w14:paraId="392C6AA5" w14:textId="77777777" w:rsidR="00980E5F" w:rsidRDefault="00980E5F">
            <w:pPr>
              <w:rPr>
                <w:rFonts w:ascii="宋体"/>
                <w:vanish/>
              </w:rPr>
            </w:pPr>
          </w:p>
        </w:tc>
      </w:tr>
      <w:tr w:rsidR="00980E5F" w14:paraId="392C6AC5" w14:textId="77777777">
        <w:tc>
          <w:tcPr>
            <w:tcW w:w="0" w:type="auto"/>
            <w:gridSpan w:val="3"/>
            <w:shd w:val="clear" w:color="auto" w:fill="CCEEFF"/>
            <w:tcMar>
              <w:top w:w="40" w:type="dxa"/>
              <w:left w:w="20" w:type="dxa"/>
              <w:bottom w:w="40" w:type="dxa"/>
              <w:right w:w="20" w:type="dxa"/>
            </w:tcMar>
            <w:vAlign w:val="bottom"/>
          </w:tcPr>
          <w:p w14:paraId="392C6AA7" w14:textId="77777777" w:rsidR="00980E5F" w:rsidRDefault="00483613">
            <w:pPr>
              <w:textAlignment w:val="bottom"/>
            </w:pPr>
            <w:r>
              <w:rPr>
                <w:rFonts w:ascii="Arial" w:eastAsia="宋体" w:hAnsi="Arial" w:cs="Arial"/>
                <w:color w:val="000000"/>
                <w:sz w:val="13"/>
                <w:szCs w:val="13"/>
              </w:rPr>
              <w:t>Other U.S. debt securities</w:t>
            </w:r>
          </w:p>
        </w:tc>
        <w:tc>
          <w:tcPr>
            <w:tcW w:w="0" w:type="auto"/>
            <w:gridSpan w:val="2"/>
            <w:shd w:val="clear" w:color="auto" w:fill="CCEEFF"/>
            <w:tcMar>
              <w:top w:w="40" w:type="dxa"/>
              <w:left w:w="20" w:type="dxa"/>
              <w:bottom w:w="40" w:type="dxa"/>
              <w:right w:w="0" w:type="dxa"/>
            </w:tcMar>
            <w:vAlign w:val="bottom"/>
          </w:tcPr>
          <w:p w14:paraId="392C6AA8" w14:textId="77777777" w:rsidR="00980E5F" w:rsidRDefault="00483613">
            <w:pPr>
              <w:jc w:val="right"/>
              <w:textAlignment w:val="bottom"/>
            </w:pPr>
            <w:r>
              <w:rPr>
                <w:rFonts w:ascii="Arial" w:eastAsia="宋体" w:hAnsi="Arial" w:cs="Arial"/>
                <w:b/>
                <w:bCs/>
                <w:color w:val="000000"/>
                <w:sz w:val="13"/>
                <w:szCs w:val="13"/>
              </w:rPr>
              <w:t>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A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AB" w14:textId="77777777" w:rsidR="00980E5F" w:rsidRDefault="00483613">
            <w:pPr>
              <w:jc w:val="right"/>
              <w:textAlignment w:val="bottom"/>
            </w:pPr>
            <w:r>
              <w:rPr>
                <w:rFonts w:ascii="Arial" w:eastAsia="宋体" w:hAnsi="Arial" w:cs="Arial"/>
                <w:b/>
                <w:bCs/>
                <w:color w:val="000000"/>
                <w:sz w:val="13"/>
                <w:szCs w:val="13"/>
              </w:rPr>
              <w:t>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A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AE" w14:textId="77777777" w:rsidR="00980E5F" w:rsidRDefault="00483613">
            <w:pPr>
              <w:jc w:val="right"/>
              <w:textAlignment w:val="bottom"/>
            </w:pPr>
            <w:r>
              <w:rPr>
                <w:rFonts w:ascii="Arial" w:eastAsia="宋体" w:hAnsi="Arial" w:cs="Arial"/>
                <w:b/>
                <w:bCs/>
                <w:color w:val="000000"/>
                <w:sz w:val="13"/>
                <w:szCs w:val="13"/>
              </w:rPr>
              <w:t>997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B1" w14:textId="77777777" w:rsidR="00980E5F" w:rsidRDefault="00483613">
            <w:pPr>
              <w:jc w:val="right"/>
              <w:textAlignment w:val="bottom"/>
            </w:pPr>
            <w:r>
              <w:rPr>
                <w:rFonts w:ascii="Arial" w:eastAsia="宋体" w:hAnsi="Arial" w:cs="Arial"/>
                <w:b/>
                <w:bCs/>
                <w:color w:val="000000"/>
                <w:sz w:val="13"/>
                <w:szCs w:val="13"/>
              </w:rPr>
              <w:t>928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B4"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B7"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B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BD"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B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C0" w14:textId="77777777" w:rsidR="00980E5F" w:rsidRDefault="00483613">
            <w:pPr>
              <w:jc w:val="right"/>
              <w:textAlignment w:val="bottom"/>
            </w:pPr>
            <w:r>
              <w:rPr>
                <w:rFonts w:ascii="Arial" w:eastAsia="宋体" w:hAnsi="Arial" w:cs="Arial"/>
                <w:b/>
                <w:bCs/>
                <w:color w:val="000000"/>
                <w:sz w:val="13"/>
                <w:szCs w:val="13"/>
              </w:rPr>
              <w:t>1,074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AC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AC3" w14:textId="77777777" w:rsidR="00980E5F" w:rsidRDefault="00483613">
            <w:pPr>
              <w:jc w:val="right"/>
              <w:textAlignment w:val="bottom"/>
            </w:pPr>
            <w:r>
              <w:rPr>
                <w:rFonts w:ascii="Arial" w:eastAsia="宋体" w:hAnsi="Arial" w:cs="Arial"/>
                <w:b/>
                <w:bCs/>
                <w:color w:val="000000"/>
                <w:sz w:val="13"/>
                <w:szCs w:val="13"/>
              </w:rPr>
              <w:t>1,004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AC4" w14:textId="77777777" w:rsidR="00980E5F" w:rsidRDefault="00980E5F">
            <w:pPr>
              <w:jc w:val="right"/>
              <w:rPr>
                <w:rFonts w:ascii="宋体"/>
              </w:rPr>
            </w:pPr>
          </w:p>
        </w:tc>
      </w:tr>
      <w:tr w:rsidR="00483613" w14:paraId="392C6AEE" w14:textId="77777777">
        <w:tc>
          <w:tcPr>
            <w:tcW w:w="0" w:type="auto"/>
            <w:gridSpan w:val="3"/>
            <w:shd w:val="clear" w:color="auto" w:fill="FFFFFF"/>
            <w:tcMar>
              <w:top w:w="40" w:type="dxa"/>
              <w:left w:w="20" w:type="dxa"/>
              <w:bottom w:w="40" w:type="dxa"/>
              <w:right w:w="20" w:type="dxa"/>
            </w:tcMar>
            <w:vAlign w:val="bottom"/>
          </w:tcPr>
          <w:p w14:paraId="392C6AC6"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6AC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C8" w14:textId="77777777" w:rsidR="00980E5F" w:rsidRDefault="00483613">
            <w:pPr>
              <w:jc w:val="right"/>
              <w:textAlignment w:val="bottom"/>
            </w:pPr>
            <w:r>
              <w:rPr>
                <w:rFonts w:ascii="Arial" w:eastAsia="宋体" w:hAnsi="Arial" w:cs="Arial"/>
                <w:b/>
                <w:bCs/>
                <w:color w:val="000000"/>
                <w:sz w:val="13"/>
                <w:szCs w:val="13"/>
              </w:rPr>
              <w:t>6,565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CA"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C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CC" w14:textId="77777777" w:rsidR="00980E5F" w:rsidRDefault="00483613">
            <w:pPr>
              <w:jc w:val="right"/>
              <w:textAlignment w:val="bottom"/>
            </w:pPr>
            <w:r>
              <w:rPr>
                <w:rFonts w:ascii="Arial" w:eastAsia="宋体" w:hAnsi="Arial" w:cs="Arial"/>
                <w:b/>
                <w:bCs/>
                <w:color w:val="000000"/>
                <w:sz w:val="13"/>
                <w:szCs w:val="13"/>
              </w:rPr>
              <w:t>6,537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CE"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C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D0" w14:textId="77777777" w:rsidR="00980E5F" w:rsidRDefault="00483613">
            <w:pPr>
              <w:jc w:val="right"/>
              <w:textAlignment w:val="bottom"/>
            </w:pPr>
            <w:r>
              <w:rPr>
                <w:rFonts w:ascii="Arial" w:eastAsia="宋体" w:hAnsi="Arial" w:cs="Arial"/>
                <w:b/>
                <w:bCs/>
                <w:color w:val="000000"/>
                <w:sz w:val="13"/>
                <w:szCs w:val="13"/>
              </w:rPr>
              <w:t>21,917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D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D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D3"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D4" w14:textId="77777777" w:rsidR="00980E5F" w:rsidRDefault="00483613">
            <w:pPr>
              <w:jc w:val="right"/>
              <w:textAlignment w:val="bottom"/>
            </w:pPr>
            <w:r>
              <w:rPr>
                <w:rFonts w:ascii="Arial" w:eastAsia="宋体" w:hAnsi="Arial" w:cs="Arial"/>
                <w:b/>
                <w:bCs/>
                <w:color w:val="000000"/>
                <w:sz w:val="13"/>
                <w:szCs w:val="13"/>
              </w:rPr>
              <w:t>21,042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D6"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D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D8" w14:textId="77777777" w:rsidR="00980E5F" w:rsidRDefault="00483613">
            <w:pPr>
              <w:jc w:val="right"/>
              <w:textAlignment w:val="bottom"/>
            </w:pPr>
            <w:r>
              <w:rPr>
                <w:rFonts w:ascii="Arial" w:eastAsia="宋体" w:hAnsi="Arial" w:cs="Arial"/>
                <w:b/>
                <w:bCs/>
                <w:color w:val="000000"/>
                <w:sz w:val="13"/>
                <w:szCs w:val="13"/>
              </w:rPr>
              <w:t>13,462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DA"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D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DC" w14:textId="77777777" w:rsidR="00980E5F" w:rsidRDefault="00483613">
            <w:pPr>
              <w:jc w:val="right"/>
              <w:textAlignment w:val="bottom"/>
            </w:pPr>
            <w:r>
              <w:rPr>
                <w:rFonts w:ascii="Arial" w:eastAsia="宋体" w:hAnsi="Arial" w:cs="Arial"/>
                <w:b/>
                <w:bCs/>
                <w:color w:val="000000"/>
                <w:sz w:val="13"/>
                <w:szCs w:val="13"/>
              </w:rPr>
              <w:t>13,338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D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DE"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D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E0" w14:textId="77777777" w:rsidR="00980E5F" w:rsidRDefault="00483613">
            <w:pPr>
              <w:jc w:val="right"/>
              <w:textAlignment w:val="bottom"/>
            </w:pPr>
            <w:r>
              <w:rPr>
                <w:rFonts w:ascii="Arial" w:eastAsia="宋体" w:hAnsi="Arial" w:cs="Arial"/>
                <w:b/>
                <w:bCs/>
                <w:color w:val="000000"/>
                <w:sz w:val="13"/>
                <w:szCs w:val="13"/>
              </w:rPr>
              <w:t>4,652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E2"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E3"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E4" w14:textId="77777777" w:rsidR="00980E5F" w:rsidRDefault="00483613">
            <w:pPr>
              <w:jc w:val="right"/>
              <w:textAlignment w:val="bottom"/>
            </w:pPr>
            <w:r>
              <w:rPr>
                <w:rFonts w:ascii="Arial" w:eastAsia="宋体" w:hAnsi="Arial" w:cs="Arial"/>
                <w:b/>
                <w:bCs/>
                <w:color w:val="000000"/>
                <w:sz w:val="13"/>
                <w:szCs w:val="13"/>
              </w:rPr>
              <w:t>4,537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E6"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E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E8" w14:textId="77777777" w:rsidR="00980E5F" w:rsidRDefault="00483613">
            <w:pPr>
              <w:jc w:val="right"/>
              <w:textAlignment w:val="bottom"/>
            </w:pPr>
            <w:r>
              <w:rPr>
                <w:rFonts w:ascii="Arial" w:eastAsia="宋体" w:hAnsi="Arial" w:cs="Arial"/>
                <w:b/>
                <w:bCs/>
                <w:color w:val="000000"/>
                <w:sz w:val="13"/>
                <w:szCs w:val="13"/>
              </w:rPr>
              <w:t>46,596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AEA"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6AE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6AEC" w14:textId="77777777" w:rsidR="00980E5F" w:rsidRDefault="00483613">
            <w:pPr>
              <w:jc w:val="right"/>
              <w:textAlignment w:val="bottom"/>
            </w:pPr>
            <w:r>
              <w:rPr>
                <w:rFonts w:ascii="Arial" w:eastAsia="宋体" w:hAnsi="Arial" w:cs="Arial"/>
                <w:b/>
                <w:bCs/>
                <w:color w:val="000000"/>
                <w:sz w:val="13"/>
                <w:szCs w:val="13"/>
              </w:rPr>
              <w:t>45,454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AED" w14:textId="77777777" w:rsidR="00980E5F" w:rsidRDefault="00980E5F">
            <w:pPr>
              <w:jc w:val="right"/>
              <w:rPr>
                <w:rFonts w:ascii="宋体"/>
              </w:rPr>
            </w:pPr>
          </w:p>
        </w:tc>
      </w:tr>
      <w:tr w:rsidR="00980E5F" w14:paraId="392C6B03" w14:textId="77777777">
        <w:tc>
          <w:tcPr>
            <w:tcW w:w="0" w:type="auto"/>
            <w:gridSpan w:val="3"/>
            <w:shd w:val="clear" w:color="auto" w:fill="auto"/>
            <w:tcMar>
              <w:top w:w="40" w:type="dxa"/>
              <w:left w:w="20" w:type="dxa"/>
              <w:bottom w:w="40" w:type="dxa"/>
              <w:right w:w="20" w:type="dxa"/>
            </w:tcMar>
            <w:vAlign w:val="bottom"/>
          </w:tcPr>
          <w:p w14:paraId="392C6AEF" w14:textId="77777777" w:rsidR="00980E5F" w:rsidRDefault="00483613">
            <w:pPr>
              <w:textAlignment w:val="bottom"/>
            </w:pPr>
            <w:r>
              <w:rPr>
                <w:rFonts w:ascii="Arial" w:eastAsia="宋体" w:hAnsi="Arial" w:cs="Arial"/>
                <w:b/>
                <w:bCs/>
                <w:color w:val="000000"/>
                <w:sz w:val="13"/>
                <w:szCs w:val="13"/>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1"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3"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5"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B"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D"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AF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AFF"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B0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B01"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6B02" w14:textId="77777777" w:rsidR="00980E5F" w:rsidRDefault="00980E5F">
            <w:pPr>
              <w:rPr>
                <w:rFonts w:ascii="宋体"/>
              </w:rPr>
            </w:pPr>
          </w:p>
        </w:tc>
      </w:tr>
      <w:tr w:rsidR="00980E5F" w14:paraId="392C6B18" w14:textId="77777777">
        <w:tc>
          <w:tcPr>
            <w:tcW w:w="0" w:type="auto"/>
            <w:gridSpan w:val="3"/>
            <w:shd w:val="clear" w:color="auto" w:fill="FFFFFF"/>
            <w:tcMar>
              <w:top w:w="40" w:type="dxa"/>
              <w:left w:w="20" w:type="dxa"/>
              <w:bottom w:w="40" w:type="dxa"/>
              <w:right w:w="20" w:type="dxa"/>
            </w:tcMar>
            <w:vAlign w:val="bottom"/>
          </w:tcPr>
          <w:p w14:paraId="392C6B04" w14:textId="77777777" w:rsidR="00980E5F" w:rsidRDefault="00483613">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top w:w="0" w:type="dxa"/>
              <w:left w:w="20" w:type="dxa"/>
              <w:bottom w:w="0" w:type="dxa"/>
              <w:right w:w="20" w:type="dxa"/>
            </w:tcMar>
            <w:vAlign w:val="bottom"/>
          </w:tcPr>
          <w:p w14:paraId="392C6B0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B17" w14:textId="77777777" w:rsidR="00980E5F" w:rsidRDefault="00980E5F">
            <w:pPr>
              <w:rPr>
                <w:rFonts w:ascii="宋体"/>
              </w:rPr>
            </w:pPr>
          </w:p>
        </w:tc>
      </w:tr>
      <w:tr w:rsidR="00483613" w14:paraId="392C6B41" w14:textId="77777777">
        <w:tc>
          <w:tcPr>
            <w:tcW w:w="0" w:type="auto"/>
            <w:gridSpan w:val="3"/>
            <w:shd w:val="clear" w:color="auto" w:fill="CCEEFF"/>
            <w:tcMar>
              <w:top w:w="40" w:type="dxa"/>
              <w:left w:w="245" w:type="dxa"/>
              <w:bottom w:w="40" w:type="dxa"/>
              <w:right w:w="20" w:type="dxa"/>
            </w:tcMar>
            <w:vAlign w:val="bottom"/>
          </w:tcPr>
          <w:p w14:paraId="392C6B19" w14:textId="77777777" w:rsidR="00980E5F" w:rsidRDefault="00483613">
            <w:pPr>
              <w:textAlignment w:val="bottom"/>
            </w:pPr>
            <w:r>
              <w:rPr>
                <w:rFonts w:ascii="Arial" w:eastAsia="宋体" w:hAnsi="Arial" w:cs="Arial"/>
                <w:color w:val="000000"/>
                <w:sz w:val="13"/>
                <w:szCs w:val="13"/>
              </w:rPr>
              <w:t xml:space="preserve">Direct </w:t>
            </w:r>
            <w:r>
              <w:rPr>
                <w:rFonts w:ascii="Arial" w:eastAsia="宋体" w:hAnsi="Arial" w:cs="Arial"/>
                <w:color w:val="000000"/>
                <w:sz w:val="13"/>
                <w:szCs w:val="13"/>
              </w:rPr>
              <w:t>obligations</w:t>
            </w:r>
          </w:p>
        </w:tc>
        <w:tc>
          <w:tcPr>
            <w:tcW w:w="0" w:type="auto"/>
            <w:shd w:val="clear" w:color="auto" w:fill="CCEEFF"/>
            <w:tcMar>
              <w:top w:w="40" w:type="dxa"/>
              <w:left w:w="20" w:type="dxa"/>
              <w:bottom w:w="40" w:type="dxa"/>
              <w:right w:w="0" w:type="dxa"/>
            </w:tcMar>
            <w:vAlign w:val="bottom"/>
          </w:tcPr>
          <w:p w14:paraId="392C6B1A"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1B" w14:textId="77777777" w:rsidR="00980E5F" w:rsidRDefault="00483613">
            <w:pPr>
              <w:jc w:val="right"/>
              <w:textAlignment w:val="bottom"/>
            </w:pPr>
            <w:r>
              <w:rPr>
                <w:rFonts w:ascii="Arial" w:eastAsia="宋体" w:hAnsi="Arial" w:cs="Arial"/>
                <w:b/>
                <w:bCs/>
                <w:color w:val="000000"/>
                <w:sz w:val="13"/>
                <w:szCs w:val="13"/>
              </w:rPr>
              <w:t>400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1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1E"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1F" w14:textId="77777777" w:rsidR="00980E5F" w:rsidRDefault="00483613">
            <w:pPr>
              <w:jc w:val="right"/>
              <w:textAlignment w:val="bottom"/>
            </w:pPr>
            <w:r>
              <w:rPr>
                <w:rFonts w:ascii="Arial" w:eastAsia="宋体" w:hAnsi="Arial" w:cs="Arial"/>
                <w:b/>
                <w:bCs/>
                <w:color w:val="000000"/>
                <w:sz w:val="13"/>
                <w:szCs w:val="13"/>
              </w:rPr>
              <w:t>400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2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22"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23" w14:textId="77777777" w:rsidR="00980E5F" w:rsidRDefault="00483613">
            <w:pPr>
              <w:jc w:val="right"/>
              <w:textAlignment w:val="bottom"/>
            </w:pPr>
            <w:r>
              <w:rPr>
                <w:rFonts w:ascii="Arial" w:eastAsia="宋体" w:hAnsi="Arial" w:cs="Arial"/>
                <w:b/>
                <w:bCs/>
                <w:color w:val="000000"/>
                <w:sz w:val="13"/>
                <w:szCs w:val="13"/>
              </w:rPr>
              <w:t>10,985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2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26"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27" w14:textId="77777777" w:rsidR="00980E5F" w:rsidRDefault="00483613">
            <w:pPr>
              <w:jc w:val="right"/>
              <w:textAlignment w:val="bottom"/>
            </w:pPr>
            <w:r>
              <w:rPr>
                <w:rFonts w:ascii="Arial" w:eastAsia="宋体" w:hAnsi="Arial" w:cs="Arial"/>
                <w:b/>
                <w:bCs/>
                <w:color w:val="000000"/>
                <w:sz w:val="13"/>
                <w:szCs w:val="13"/>
              </w:rPr>
              <w:t>10,911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2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2A"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2B" w14:textId="77777777" w:rsidR="00980E5F" w:rsidRDefault="00483613">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2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2E"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2F" w14:textId="77777777" w:rsidR="00980E5F" w:rsidRDefault="00483613">
            <w:pPr>
              <w:jc w:val="right"/>
              <w:textAlignment w:val="bottom"/>
            </w:pPr>
            <w:r>
              <w:rPr>
                <w:rFonts w:ascii="Arial" w:eastAsia="宋体" w:hAnsi="Arial" w:cs="Arial"/>
                <w:b/>
                <w:bCs/>
                <w:color w:val="000000"/>
                <w:sz w:val="13"/>
                <w:szCs w:val="13"/>
              </w:rPr>
              <w:t>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3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32"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33"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3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36"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37"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3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3A"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3B" w14:textId="77777777" w:rsidR="00980E5F" w:rsidRDefault="00483613">
            <w:pPr>
              <w:jc w:val="right"/>
              <w:textAlignment w:val="bottom"/>
            </w:pPr>
            <w:r>
              <w:rPr>
                <w:rFonts w:ascii="Arial" w:eastAsia="宋体" w:hAnsi="Arial" w:cs="Arial"/>
                <w:b/>
                <w:bCs/>
                <w:color w:val="000000"/>
                <w:sz w:val="13"/>
                <w:szCs w:val="13"/>
              </w:rPr>
              <w:t>11,424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3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B3E"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6B3F" w14:textId="77777777" w:rsidR="00980E5F" w:rsidRDefault="00483613">
            <w:pPr>
              <w:jc w:val="right"/>
              <w:textAlignment w:val="bottom"/>
            </w:pPr>
            <w:r>
              <w:rPr>
                <w:rFonts w:ascii="Arial" w:eastAsia="宋体" w:hAnsi="Arial" w:cs="Arial"/>
                <w:b/>
                <w:bCs/>
                <w:color w:val="000000"/>
                <w:sz w:val="13"/>
                <w:szCs w:val="13"/>
              </w:rPr>
              <w:t>11,349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B40" w14:textId="77777777" w:rsidR="00980E5F" w:rsidRDefault="00980E5F">
            <w:pPr>
              <w:jc w:val="right"/>
              <w:rPr>
                <w:rFonts w:ascii="宋体"/>
              </w:rPr>
            </w:pPr>
          </w:p>
        </w:tc>
      </w:tr>
      <w:tr w:rsidR="00980E5F" w14:paraId="392C6B60" w14:textId="77777777">
        <w:tc>
          <w:tcPr>
            <w:tcW w:w="0" w:type="auto"/>
            <w:gridSpan w:val="3"/>
            <w:shd w:val="clear" w:color="auto" w:fill="FFFFFF"/>
            <w:tcMar>
              <w:top w:w="40" w:type="dxa"/>
              <w:left w:w="245" w:type="dxa"/>
              <w:bottom w:w="40" w:type="dxa"/>
              <w:right w:w="20" w:type="dxa"/>
            </w:tcMar>
            <w:vAlign w:val="bottom"/>
          </w:tcPr>
          <w:p w14:paraId="392C6B42" w14:textId="77777777" w:rsidR="00980E5F" w:rsidRDefault="00483613">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392C6B43" w14:textId="77777777" w:rsidR="00980E5F" w:rsidRDefault="00483613">
            <w:pPr>
              <w:jc w:val="right"/>
              <w:textAlignment w:val="bottom"/>
            </w:pPr>
            <w:r>
              <w:rPr>
                <w:rFonts w:ascii="Arial" w:eastAsia="宋体" w:hAnsi="Arial" w:cs="Arial"/>
                <w:b/>
                <w:bCs/>
                <w:color w:val="000000"/>
                <w:sz w:val="13"/>
                <w:szCs w:val="13"/>
              </w:rPr>
              <w:t>157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46" w14:textId="77777777" w:rsidR="00980E5F" w:rsidRDefault="00483613">
            <w:pPr>
              <w:jc w:val="right"/>
              <w:textAlignment w:val="bottom"/>
            </w:pPr>
            <w:r>
              <w:rPr>
                <w:rFonts w:ascii="Arial" w:eastAsia="宋体" w:hAnsi="Arial" w:cs="Arial"/>
                <w:b/>
                <w:bCs/>
                <w:color w:val="000000"/>
                <w:sz w:val="13"/>
                <w:szCs w:val="13"/>
              </w:rPr>
              <w:t>151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49" w14:textId="77777777" w:rsidR="00980E5F" w:rsidRDefault="00483613">
            <w:pPr>
              <w:jc w:val="right"/>
              <w:textAlignment w:val="bottom"/>
            </w:pPr>
            <w:r>
              <w:rPr>
                <w:rFonts w:ascii="Arial" w:eastAsia="宋体" w:hAnsi="Arial" w:cs="Arial"/>
                <w:b/>
                <w:bCs/>
                <w:color w:val="000000"/>
                <w:sz w:val="13"/>
                <w:szCs w:val="13"/>
              </w:rPr>
              <w:t>556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4C" w14:textId="77777777" w:rsidR="00980E5F" w:rsidRDefault="00483613">
            <w:pPr>
              <w:jc w:val="right"/>
              <w:textAlignment w:val="bottom"/>
            </w:pPr>
            <w:r>
              <w:rPr>
                <w:rFonts w:ascii="Arial" w:eastAsia="宋体" w:hAnsi="Arial" w:cs="Arial"/>
                <w:b/>
                <w:bCs/>
                <w:color w:val="000000"/>
                <w:sz w:val="13"/>
                <w:szCs w:val="13"/>
              </w:rPr>
              <w:t>540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4F" w14:textId="77777777" w:rsidR="00980E5F" w:rsidRDefault="00483613">
            <w:pPr>
              <w:jc w:val="right"/>
              <w:textAlignment w:val="bottom"/>
            </w:pPr>
            <w:r>
              <w:rPr>
                <w:rFonts w:ascii="Arial" w:eastAsia="宋体" w:hAnsi="Arial" w:cs="Arial"/>
                <w:b/>
                <w:bCs/>
                <w:color w:val="000000"/>
                <w:sz w:val="13"/>
                <w:szCs w:val="13"/>
              </w:rPr>
              <w:t>4,706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52" w14:textId="77777777" w:rsidR="00980E5F" w:rsidRDefault="00483613">
            <w:pPr>
              <w:jc w:val="right"/>
              <w:textAlignment w:val="bottom"/>
            </w:pPr>
            <w:r>
              <w:rPr>
                <w:rFonts w:ascii="Arial" w:eastAsia="宋体" w:hAnsi="Arial" w:cs="Arial"/>
                <w:b/>
                <w:bCs/>
                <w:color w:val="000000"/>
                <w:sz w:val="13"/>
                <w:szCs w:val="13"/>
              </w:rPr>
              <w:t>4,141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55" w14:textId="77777777" w:rsidR="00980E5F" w:rsidRDefault="00483613">
            <w:pPr>
              <w:jc w:val="right"/>
              <w:textAlignment w:val="bottom"/>
            </w:pPr>
            <w:r>
              <w:rPr>
                <w:rFonts w:ascii="Arial" w:eastAsia="宋体" w:hAnsi="Arial" w:cs="Arial"/>
                <w:b/>
                <w:bCs/>
                <w:color w:val="000000"/>
                <w:sz w:val="13"/>
                <w:szCs w:val="13"/>
              </w:rPr>
              <w:t>36,241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58" w14:textId="77777777" w:rsidR="00980E5F" w:rsidRDefault="00483613">
            <w:pPr>
              <w:jc w:val="right"/>
              <w:textAlignment w:val="bottom"/>
            </w:pPr>
            <w:r>
              <w:rPr>
                <w:rFonts w:ascii="Arial" w:eastAsia="宋体" w:hAnsi="Arial" w:cs="Arial"/>
                <w:b/>
                <w:bCs/>
                <w:color w:val="000000"/>
                <w:sz w:val="13"/>
                <w:szCs w:val="13"/>
              </w:rPr>
              <w:t>32,976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5B" w14:textId="77777777" w:rsidR="00980E5F" w:rsidRDefault="00483613">
            <w:pPr>
              <w:jc w:val="right"/>
              <w:textAlignment w:val="bottom"/>
            </w:pPr>
            <w:r>
              <w:rPr>
                <w:rFonts w:ascii="Arial" w:eastAsia="宋体" w:hAnsi="Arial" w:cs="Arial"/>
                <w:b/>
                <w:bCs/>
                <w:color w:val="000000"/>
                <w:sz w:val="13"/>
                <w:szCs w:val="13"/>
              </w:rPr>
              <w:t>41,660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B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B5E" w14:textId="77777777" w:rsidR="00980E5F" w:rsidRDefault="00483613">
            <w:pPr>
              <w:jc w:val="right"/>
              <w:textAlignment w:val="bottom"/>
            </w:pPr>
            <w:r>
              <w:rPr>
                <w:rFonts w:ascii="Arial" w:eastAsia="宋体" w:hAnsi="Arial" w:cs="Arial"/>
                <w:b/>
                <w:bCs/>
                <w:color w:val="000000"/>
                <w:sz w:val="13"/>
                <w:szCs w:val="13"/>
              </w:rPr>
              <w:t>37,808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B5F" w14:textId="77777777" w:rsidR="00980E5F" w:rsidRDefault="00980E5F">
            <w:pPr>
              <w:jc w:val="right"/>
              <w:rPr>
                <w:rFonts w:ascii="宋体"/>
              </w:rPr>
            </w:pPr>
          </w:p>
        </w:tc>
      </w:tr>
      <w:tr w:rsidR="00980E5F" w14:paraId="392C6B7F" w14:textId="77777777">
        <w:tc>
          <w:tcPr>
            <w:tcW w:w="0" w:type="auto"/>
            <w:gridSpan w:val="3"/>
            <w:shd w:val="clear" w:color="auto" w:fill="CCEEFF"/>
            <w:tcMar>
              <w:top w:w="40" w:type="dxa"/>
              <w:left w:w="395" w:type="dxa"/>
              <w:bottom w:w="40" w:type="dxa"/>
              <w:right w:w="20" w:type="dxa"/>
            </w:tcMar>
            <w:vAlign w:val="bottom"/>
          </w:tcPr>
          <w:p w14:paraId="392C6B61" w14:textId="77777777" w:rsidR="00980E5F" w:rsidRDefault="00483613">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62" w14:textId="77777777" w:rsidR="00980E5F" w:rsidRDefault="00483613">
            <w:pPr>
              <w:jc w:val="right"/>
              <w:textAlignment w:val="bottom"/>
            </w:pPr>
            <w:r>
              <w:rPr>
                <w:rFonts w:ascii="Arial" w:eastAsia="宋体" w:hAnsi="Arial" w:cs="Arial"/>
                <w:b/>
                <w:bCs/>
                <w:color w:val="000000"/>
                <w:sz w:val="13"/>
                <w:szCs w:val="13"/>
              </w:rPr>
              <w:t>557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64"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65" w14:textId="77777777" w:rsidR="00980E5F" w:rsidRDefault="00483613">
            <w:pPr>
              <w:jc w:val="right"/>
              <w:textAlignment w:val="bottom"/>
            </w:pPr>
            <w:r>
              <w:rPr>
                <w:rFonts w:ascii="Arial" w:eastAsia="宋体" w:hAnsi="Arial" w:cs="Arial"/>
                <w:b/>
                <w:bCs/>
                <w:color w:val="000000"/>
                <w:sz w:val="13"/>
                <w:szCs w:val="13"/>
              </w:rPr>
              <w:t>551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6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68" w14:textId="77777777" w:rsidR="00980E5F" w:rsidRDefault="00483613">
            <w:pPr>
              <w:jc w:val="right"/>
              <w:textAlignment w:val="bottom"/>
            </w:pPr>
            <w:r>
              <w:rPr>
                <w:rFonts w:ascii="Arial" w:eastAsia="宋体" w:hAnsi="Arial" w:cs="Arial"/>
                <w:b/>
                <w:bCs/>
                <w:color w:val="000000"/>
                <w:sz w:val="13"/>
                <w:szCs w:val="13"/>
              </w:rPr>
              <w:t>11,541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6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6B" w14:textId="77777777" w:rsidR="00980E5F" w:rsidRDefault="00483613">
            <w:pPr>
              <w:jc w:val="right"/>
              <w:textAlignment w:val="bottom"/>
            </w:pPr>
            <w:r>
              <w:rPr>
                <w:rFonts w:ascii="Arial" w:eastAsia="宋体" w:hAnsi="Arial" w:cs="Arial"/>
                <w:b/>
                <w:bCs/>
                <w:color w:val="000000"/>
                <w:sz w:val="13"/>
                <w:szCs w:val="13"/>
              </w:rPr>
              <w:t>11,451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6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6E" w14:textId="77777777" w:rsidR="00980E5F" w:rsidRDefault="00483613">
            <w:pPr>
              <w:jc w:val="right"/>
              <w:textAlignment w:val="bottom"/>
            </w:pPr>
            <w:r>
              <w:rPr>
                <w:rFonts w:ascii="Arial" w:eastAsia="宋体" w:hAnsi="Arial" w:cs="Arial"/>
                <w:b/>
                <w:bCs/>
                <w:color w:val="000000"/>
                <w:sz w:val="13"/>
                <w:szCs w:val="13"/>
              </w:rPr>
              <w:t>4,730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70"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71" w14:textId="77777777" w:rsidR="00980E5F" w:rsidRDefault="00483613">
            <w:pPr>
              <w:jc w:val="right"/>
              <w:textAlignment w:val="bottom"/>
            </w:pPr>
            <w:r>
              <w:rPr>
                <w:rFonts w:ascii="Arial" w:eastAsia="宋体" w:hAnsi="Arial" w:cs="Arial"/>
                <w:b/>
                <w:bCs/>
                <w:color w:val="000000"/>
                <w:sz w:val="13"/>
                <w:szCs w:val="13"/>
              </w:rPr>
              <w:t>4,164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7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74" w14:textId="77777777" w:rsidR="00980E5F" w:rsidRDefault="00483613">
            <w:pPr>
              <w:jc w:val="right"/>
              <w:textAlignment w:val="bottom"/>
            </w:pPr>
            <w:r>
              <w:rPr>
                <w:rFonts w:ascii="Arial" w:eastAsia="宋体" w:hAnsi="Arial" w:cs="Arial"/>
                <w:b/>
                <w:bCs/>
                <w:color w:val="000000"/>
                <w:sz w:val="13"/>
                <w:szCs w:val="13"/>
              </w:rPr>
              <w:t>36,256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7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77" w14:textId="77777777" w:rsidR="00980E5F" w:rsidRDefault="00483613">
            <w:pPr>
              <w:jc w:val="right"/>
              <w:textAlignment w:val="bottom"/>
            </w:pPr>
            <w:r>
              <w:rPr>
                <w:rFonts w:ascii="Arial" w:eastAsia="宋体" w:hAnsi="Arial" w:cs="Arial"/>
                <w:b/>
                <w:bCs/>
                <w:color w:val="000000"/>
                <w:sz w:val="13"/>
                <w:szCs w:val="13"/>
              </w:rPr>
              <w:t>32,991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7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7A" w14:textId="77777777" w:rsidR="00980E5F" w:rsidRDefault="00483613">
            <w:pPr>
              <w:jc w:val="right"/>
              <w:textAlignment w:val="bottom"/>
            </w:pPr>
            <w:r>
              <w:rPr>
                <w:rFonts w:ascii="Arial" w:eastAsia="宋体" w:hAnsi="Arial" w:cs="Arial"/>
                <w:b/>
                <w:bCs/>
                <w:color w:val="000000"/>
                <w:sz w:val="13"/>
                <w:szCs w:val="13"/>
              </w:rPr>
              <w:t>53,084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B7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B7D" w14:textId="77777777" w:rsidR="00980E5F" w:rsidRDefault="00483613">
            <w:pPr>
              <w:jc w:val="right"/>
              <w:textAlignment w:val="bottom"/>
            </w:pPr>
            <w:r>
              <w:rPr>
                <w:rFonts w:ascii="Arial" w:eastAsia="宋体" w:hAnsi="Arial" w:cs="Arial"/>
                <w:b/>
                <w:bCs/>
                <w:color w:val="000000"/>
                <w:sz w:val="13"/>
                <w:szCs w:val="13"/>
              </w:rPr>
              <w:t>49,157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B7E" w14:textId="77777777" w:rsidR="00980E5F" w:rsidRDefault="00980E5F">
            <w:pPr>
              <w:jc w:val="right"/>
              <w:rPr>
                <w:rFonts w:ascii="宋体"/>
              </w:rPr>
            </w:pPr>
          </w:p>
        </w:tc>
      </w:tr>
      <w:tr w:rsidR="00980E5F" w14:paraId="392C6B94" w14:textId="77777777">
        <w:trPr>
          <w:hidden/>
        </w:trPr>
        <w:tc>
          <w:tcPr>
            <w:tcW w:w="0" w:type="auto"/>
            <w:gridSpan w:val="3"/>
            <w:shd w:val="clear" w:color="auto" w:fill="auto"/>
            <w:vAlign w:val="bottom"/>
          </w:tcPr>
          <w:p w14:paraId="392C6B80" w14:textId="77777777" w:rsidR="00980E5F" w:rsidRDefault="00980E5F">
            <w:pPr>
              <w:rPr>
                <w:rFonts w:ascii="宋体"/>
                <w:vanish/>
              </w:rPr>
            </w:pPr>
          </w:p>
        </w:tc>
        <w:tc>
          <w:tcPr>
            <w:tcW w:w="0" w:type="auto"/>
            <w:gridSpan w:val="3"/>
            <w:shd w:val="clear" w:color="auto" w:fill="auto"/>
            <w:vAlign w:val="bottom"/>
          </w:tcPr>
          <w:p w14:paraId="392C6B81" w14:textId="77777777" w:rsidR="00980E5F" w:rsidRDefault="00980E5F">
            <w:pPr>
              <w:rPr>
                <w:rFonts w:ascii="宋体"/>
                <w:vanish/>
              </w:rPr>
            </w:pPr>
          </w:p>
        </w:tc>
        <w:tc>
          <w:tcPr>
            <w:tcW w:w="0" w:type="auto"/>
            <w:gridSpan w:val="3"/>
            <w:shd w:val="clear" w:color="auto" w:fill="auto"/>
            <w:vAlign w:val="bottom"/>
          </w:tcPr>
          <w:p w14:paraId="392C6B82" w14:textId="77777777" w:rsidR="00980E5F" w:rsidRDefault="00980E5F">
            <w:pPr>
              <w:rPr>
                <w:rFonts w:ascii="宋体"/>
                <w:vanish/>
              </w:rPr>
            </w:pPr>
          </w:p>
        </w:tc>
        <w:tc>
          <w:tcPr>
            <w:tcW w:w="0" w:type="auto"/>
            <w:gridSpan w:val="3"/>
            <w:shd w:val="clear" w:color="auto" w:fill="auto"/>
            <w:vAlign w:val="bottom"/>
          </w:tcPr>
          <w:p w14:paraId="392C6B83" w14:textId="77777777" w:rsidR="00980E5F" w:rsidRDefault="00980E5F">
            <w:pPr>
              <w:rPr>
                <w:rFonts w:ascii="宋体"/>
                <w:vanish/>
              </w:rPr>
            </w:pPr>
          </w:p>
        </w:tc>
        <w:tc>
          <w:tcPr>
            <w:tcW w:w="0" w:type="auto"/>
            <w:gridSpan w:val="3"/>
            <w:shd w:val="clear" w:color="auto" w:fill="auto"/>
            <w:vAlign w:val="bottom"/>
          </w:tcPr>
          <w:p w14:paraId="392C6B84" w14:textId="77777777" w:rsidR="00980E5F" w:rsidRDefault="00980E5F">
            <w:pPr>
              <w:rPr>
                <w:rFonts w:ascii="宋体"/>
                <w:vanish/>
              </w:rPr>
            </w:pPr>
          </w:p>
        </w:tc>
        <w:tc>
          <w:tcPr>
            <w:tcW w:w="0" w:type="auto"/>
            <w:gridSpan w:val="3"/>
            <w:shd w:val="clear" w:color="auto" w:fill="auto"/>
            <w:vAlign w:val="bottom"/>
          </w:tcPr>
          <w:p w14:paraId="392C6B85" w14:textId="77777777" w:rsidR="00980E5F" w:rsidRDefault="00980E5F">
            <w:pPr>
              <w:rPr>
                <w:rFonts w:ascii="宋体"/>
                <w:vanish/>
              </w:rPr>
            </w:pPr>
          </w:p>
        </w:tc>
        <w:tc>
          <w:tcPr>
            <w:tcW w:w="0" w:type="auto"/>
            <w:gridSpan w:val="3"/>
            <w:shd w:val="clear" w:color="auto" w:fill="auto"/>
            <w:vAlign w:val="bottom"/>
          </w:tcPr>
          <w:p w14:paraId="392C6B86" w14:textId="77777777" w:rsidR="00980E5F" w:rsidRDefault="00980E5F">
            <w:pPr>
              <w:rPr>
                <w:rFonts w:ascii="宋体"/>
                <w:vanish/>
              </w:rPr>
            </w:pPr>
          </w:p>
        </w:tc>
        <w:tc>
          <w:tcPr>
            <w:tcW w:w="0" w:type="auto"/>
            <w:gridSpan w:val="3"/>
            <w:shd w:val="clear" w:color="auto" w:fill="auto"/>
            <w:vAlign w:val="bottom"/>
          </w:tcPr>
          <w:p w14:paraId="392C6B87" w14:textId="77777777" w:rsidR="00980E5F" w:rsidRDefault="00980E5F">
            <w:pPr>
              <w:rPr>
                <w:rFonts w:ascii="宋体"/>
                <w:vanish/>
              </w:rPr>
            </w:pPr>
          </w:p>
        </w:tc>
        <w:tc>
          <w:tcPr>
            <w:tcW w:w="0" w:type="auto"/>
            <w:gridSpan w:val="3"/>
            <w:shd w:val="clear" w:color="auto" w:fill="auto"/>
            <w:vAlign w:val="bottom"/>
          </w:tcPr>
          <w:p w14:paraId="392C6B88" w14:textId="77777777" w:rsidR="00980E5F" w:rsidRDefault="00980E5F">
            <w:pPr>
              <w:rPr>
                <w:rFonts w:ascii="宋体"/>
                <w:vanish/>
              </w:rPr>
            </w:pPr>
          </w:p>
        </w:tc>
        <w:tc>
          <w:tcPr>
            <w:tcW w:w="0" w:type="auto"/>
            <w:gridSpan w:val="3"/>
            <w:shd w:val="clear" w:color="auto" w:fill="auto"/>
            <w:vAlign w:val="bottom"/>
          </w:tcPr>
          <w:p w14:paraId="392C6B89" w14:textId="77777777" w:rsidR="00980E5F" w:rsidRDefault="00980E5F">
            <w:pPr>
              <w:rPr>
                <w:rFonts w:ascii="宋体"/>
                <w:vanish/>
              </w:rPr>
            </w:pPr>
          </w:p>
        </w:tc>
        <w:tc>
          <w:tcPr>
            <w:tcW w:w="0" w:type="auto"/>
            <w:gridSpan w:val="3"/>
            <w:shd w:val="clear" w:color="auto" w:fill="auto"/>
            <w:vAlign w:val="bottom"/>
          </w:tcPr>
          <w:p w14:paraId="392C6B8A" w14:textId="77777777" w:rsidR="00980E5F" w:rsidRDefault="00980E5F">
            <w:pPr>
              <w:rPr>
                <w:rFonts w:ascii="宋体"/>
                <w:vanish/>
              </w:rPr>
            </w:pPr>
          </w:p>
        </w:tc>
        <w:tc>
          <w:tcPr>
            <w:tcW w:w="0" w:type="auto"/>
            <w:gridSpan w:val="3"/>
            <w:shd w:val="clear" w:color="auto" w:fill="auto"/>
            <w:vAlign w:val="bottom"/>
          </w:tcPr>
          <w:p w14:paraId="392C6B8B" w14:textId="77777777" w:rsidR="00980E5F" w:rsidRDefault="00980E5F">
            <w:pPr>
              <w:rPr>
                <w:rFonts w:ascii="宋体"/>
                <w:vanish/>
              </w:rPr>
            </w:pPr>
          </w:p>
        </w:tc>
        <w:tc>
          <w:tcPr>
            <w:tcW w:w="0" w:type="auto"/>
            <w:gridSpan w:val="3"/>
            <w:shd w:val="clear" w:color="auto" w:fill="auto"/>
            <w:vAlign w:val="bottom"/>
          </w:tcPr>
          <w:p w14:paraId="392C6B8C" w14:textId="77777777" w:rsidR="00980E5F" w:rsidRDefault="00980E5F">
            <w:pPr>
              <w:rPr>
                <w:rFonts w:ascii="宋体"/>
                <w:vanish/>
              </w:rPr>
            </w:pPr>
          </w:p>
        </w:tc>
        <w:tc>
          <w:tcPr>
            <w:tcW w:w="0" w:type="auto"/>
            <w:gridSpan w:val="3"/>
            <w:shd w:val="clear" w:color="auto" w:fill="auto"/>
            <w:vAlign w:val="bottom"/>
          </w:tcPr>
          <w:p w14:paraId="392C6B8D" w14:textId="77777777" w:rsidR="00980E5F" w:rsidRDefault="00980E5F">
            <w:pPr>
              <w:rPr>
                <w:rFonts w:ascii="宋体"/>
                <w:vanish/>
              </w:rPr>
            </w:pPr>
          </w:p>
        </w:tc>
        <w:tc>
          <w:tcPr>
            <w:tcW w:w="0" w:type="auto"/>
            <w:gridSpan w:val="3"/>
            <w:shd w:val="clear" w:color="auto" w:fill="auto"/>
            <w:vAlign w:val="bottom"/>
          </w:tcPr>
          <w:p w14:paraId="392C6B8E" w14:textId="77777777" w:rsidR="00980E5F" w:rsidRDefault="00980E5F">
            <w:pPr>
              <w:rPr>
                <w:rFonts w:ascii="宋体"/>
                <w:vanish/>
              </w:rPr>
            </w:pPr>
          </w:p>
        </w:tc>
        <w:tc>
          <w:tcPr>
            <w:tcW w:w="0" w:type="auto"/>
            <w:gridSpan w:val="3"/>
            <w:shd w:val="clear" w:color="auto" w:fill="auto"/>
            <w:vAlign w:val="bottom"/>
          </w:tcPr>
          <w:p w14:paraId="392C6B8F" w14:textId="77777777" w:rsidR="00980E5F" w:rsidRDefault="00980E5F">
            <w:pPr>
              <w:rPr>
                <w:rFonts w:ascii="宋体"/>
                <w:vanish/>
              </w:rPr>
            </w:pPr>
          </w:p>
        </w:tc>
        <w:tc>
          <w:tcPr>
            <w:tcW w:w="0" w:type="auto"/>
            <w:gridSpan w:val="3"/>
            <w:shd w:val="clear" w:color="auto" w:fill="auto"/>
            <w:vAlign w:val="bottom"/>
          </w:tcPr>
          <w:p w14:paraId="392C6B90" w14:textId="77777777" w:rsidR="00980E5F" w:rsidRDefault="00980E5F">
            <w:pPr>
              <w:rPr>
                <w:rFonts w:ascii="宋体"/>
                <w:vanish/>
              </w:rPr>
            </w:pPr>
          </w:p>
        </w:tc>
        <w:tc>
          <w:tcPr>
            <w:tcW w:w="0" w:type="auto"/>
            <w:gridSpan w:val="3"/>
            <w:shd w:val="clear" w:color="auto" w:fill="auto"/>
            <w:vAlign w:val="bottom"/>
          </w:tcPr>
          <w:p w14:paraId="392C6B91" w14:textId="77777777" w:rsidR="00980E5F" w:rsidRDefault="00980E5F">
            <w:pPr>
              <w:rPr>
                <w:rFonts w:ascii="宋体"/>
                <w:vanish/>
              </w:rPr>
            </w:pPr>
          </w:p>
        </w:tc>
        <w:tc>
          <w:tcPr>
            <w:tcW w:w="0" w:type="auto"/>
            <w:gridSpan w:val="3"/>
            <w:shd w:val="clear" w:color="auto" w:fill="auto"/>
            <w:vAlign w:val="bottom"/>
          </w:tcPr>
          <w:p w14:paraId="392C6B92" w14:textId="77777777" w:rsidR="00980E5F" w:rsidRDefault="00980E5F">
            <w:pPr>
              <w:rPr>
                <w:rFonts w:ascii="宋体"/>
                <w:vanish/>
              </w:rPr>
            </w:pPr>
          </w:p>
        </w:tc>
        <w:tc>
          <w:tcPr>
            <w:tcW w:w="0" w:type="auto"/>
            <w:gridSpan w:val="3"/>
            <w:shd w:val="clear" w:color="auto" w:fill="auto"/>
            <w:vAlign w:val="bottom"/>
          </w:tcPr>
          <w:p w14:paraId="392C6B93" w14:textId="77777777" w:rsidR="00980E5F" w:rsidRDefault="00980E5F">
            <w:pPr>
              <w:rPr>
                <w:rFonts w:ascii="宋体"/>
                <w:vanish/>
              </w:rPr>
            </w:pPr>
          </w:p>
        </w:tc>
      </w:tr>
      <w:tr w:rsidR="00980E5F" w14:paraId="392C6BA9" w14:textId="77777777">
        <w:trPr>
          <w:hidden/>
        </w:trPr>
        <w:tc>
          <w:tcPr>
            <w:tcW w:w="0" w:type="auto"/>
            <w:gridSpan w:val="3"/>
            <w:shd w:val="clear" w:color="auto" w:fill="auto"/>
            <w:vAlign w:val="bottom"/>
          </w:tcPr>
          <w:p w14:paraId="392C6B95" w14:textId="77777777" w:rsidR="00980E5F" w:rsidRDefault="00980E5F">
            <w:pPr>
              <w:rPr>
                <w:rFonts w:ascii="宋体"/>
                <w:vanish/>
              </w:rPr>
            </w:pPr>
          </w:p>
        </w:tc>
        <w:tc>
          <w:tcPr>
            <w:tcW w:w="0" w:type="auto"/>
            <w:gridSpan w:val="3"/>
            <w:shd w:val="clear" w:color="auto" w:fill="auto"/>
            <w:vAlign w:val="bottom"/>
          </w:tcPr>
          <w:p w14:paraId="392C6B96" w14:textId="77777777" w:rsidR="00980E5F" w:rsidRDefault="00980E5F">
            <w:pPr>
              <w:rPr>
                <w:rFonts w:ascii="宋体"/>
                <w:vanish/>
              </w:rPr>
            </w:pPr>
          </w:p>
        </w:tc>
        <w:tc>
          <w:tcPr>
            <w:tcW w:w="0" w:type="auto"/>
            <w:gridSpan w:val="3"/>
            <w:shd w:val="clear" w:color="auto" w:fill="auto"/>
            <w:vAlign w:val="bottom"/>
          </w:tcPr>
          <w:p w14:paraId="392C6B97" w14:textId="77777777" w:rsidR="00980E5F" w:rsidRDefault="00980E5F">
            <w:pPr>
              <w:rPr>
                <w:rFonts w:ascii="宋体"/>
                <w:vanish/>
              </w:rPr>
            </w:pPr>
          </w:p>
        </w:tc>
        <w:tc>
          <w:tcPr>
            <w:tcW w:w="0" w:type="auto"/>
            <w:gridSpan w:val="3"/>
            <w:shd w:val="clear" w:color="auto" w:fill="auto"/>
            <w:vAlign w:val="bottom"/>
          </w:tcPr>
          <w:p w14:paraId="392C6B98" w14:textId="77777777" w:rsidR="00980E5F" w:rsidRDefault="00980E5F">
            <w:pPr>
              <w:rPr>
                <w:rFonts w:ascii="宋体"/>
                <w:vanish/>
              </w:rPr>
            </w:pPr>
          </w:p>
        </w:tc>
        <w:tc>
          <w:tcPr>
            <w:tcW w:w="0" w:type="auto"/>
            <w:gridSpan w:val="3"/>
            <w:shd w:val="clear" w:color="auto" w:fill="auto"/>
            <w:vAlign w:val="bottom"/>
          </w:tcPr>
          <w:p w14:paraId="392C6B99" w14:textId="77777777" w:rsidR="00980E5F" w:rsidRDefault="00980E5F">
            <w:pPr>
              <w:rPr>
                <w:rFonts w:ascii="宋体"/>
                <w:vanish/>
              </w:rPr>
            </w:pPr>
          </w:p>
        </w:tc>
        <w:tc>
          <w:tcPr>
            <w:tcW w:w="0" w:type="auto"/>
            <w:gridSpan w:val="3"/>
            <w:shd w:val="clear" w:color="auto" w:fill="auto"/>
            <w:vAlign w:val="bottom"/>
          </w:tcPr>
          <w:p w14:paraId="392C6B9A" w14:textId="77777777" w:rsidR="00980E5F" w:rsidRDefault="00980E5F">
            <w:pPr>
              <w:rPr>
                <w:rFonts w:ascii="宋体"/>
                <w:vanish/>
              </w:rPr>
            </w:pPr>
          </w:p>
        </w:tc>
        <w:tc>
          <w:tcPr>
            <w:tcW w:w="0" w:type="auto"/>
            <w:gridSpan w:val="3"/>
            <w:shd w:val="clear" w:color="auto" w:fill="auto"/>
            <w:vAlign w:val="bottom"/>
          </w:tcPr>
          <w:p w14:paraId="392C6B9B" w14:textId="77777777" w:rsidR="00980E5F" w:rsidRDefault="00980E5F">
            <w:pPr>
              <w:rPr>
                <w:rFonts w:ascii="宋体"/>
                <w:vanish/>
              </w:rPr>
            </w:pPr>
          </w:p>
        </w:tc>
        <w:tc>
          <w:tcPr>
            <w:tcW w:w="0" w:type="auto"/>
            <w:gridSpan w:val="3"/>
            <w:shd w:val="clear" w:color="auto" w:fill="auto"/>
            <w:vAlign w:val="bottom"/>
          </w:tcPr>
          <w:p w14:paraId="392C6B9C" w14:textId="77777777" w:rsidR="00980E5F" w:rsidRDefault="00980E5F">
            <w:pPr>
              <w:rPr>
                <w:rFonts w:ascii="宋体"/>
                <w:vanish/>
              </w:rPr>
            </w:pPr>
          </w:p>
        </w:tc>
        <w:tc>
          <w:tcPr>
            <w:tcW w:w="0" w:type="auto"/>
            <w:gridSpan w:val="3"/>
            <w:shd w:val="clear" w:color="auto" w:fill="auto"/>
            <w:vAlign w:val="bottom"/>
          </w:tcPr>
          <w:p w14:paraId="392C6B9D" w14:textId="77777777" w:rsidR="00980E5F" w:rsidRDefault="00980E5F">
            <w:pPr>
              <w:rPr>
                <w:rFonts w:ascii="宋体"/>
                <w:vanish/>
              </w:rPr>
            </w:pPr>
          </w:p>
        </w:tc>
        <w:tc>
          <w:tcPr>
            <w:tcW w:w="0" w:type="auto"/>
            <w:gridSpan w:val="3"/>
            <w:shd w:val="clear" w:color="auto" w:fill="auto"/>
            <w:vAlign w:val="bottom"/>
          </w:tcPr>
          <w:p w14:paraId="392C6B9E" w14:textId="77777777" w:rsidR="00980E5F" w:rsidRDefault="00980E5F">
            <w:pPr>
              <w:rPr>
                <w:rFonts w:ascii="宋体"/>
                <w:vanish/>
              </w:rPr>
            </w:pPr>
          </w:p>
        </w:tc>
        <w:tc>
          <w:tcPr>
            <w:tcW w:w="0" w:type="auto"/>
            <w:gridSpan w:val="3"/>
            <w:shd w:val="clear" w:color="auto" w:fill="auto"/>
            <w:vAlign w:val="bottom"/>
          </w:tcPr>
          <w:p w14:paraId="392C6B9F" w14:textId="77777777" w:rsidR="00980E5F" w:rsidRDefault="00980E5F">
            <w:pPr>
              <w:rPr>
                <w:rFonts w:ascii="宋体"/>
                <w:vanish/>
              </w:rPr>
            </w:pPr>
          </w:p>
        </w:tc>
        <w:tc>
          <w:tcPr>
            <w:tcW w:w="0" w:type="auto"/>
            <w:gridSpan w:val="3"/>
            <w:shd w:val="clear" w:color="auto" w:fill="auto"/>
            <w:vAlign w:val="bottom"/>
          </w:tcPr>
          <w:p w14:paraId="392C6BA0" w14:textId="77777777" w:rsidR="00980E5F" w:rsidRDefault="00980E5F">
            <w:pPr>
              <w:rPr>
                <w:rFonts w:ascii="宋体"/>
                <w:vanish/>
              </w:rPr>
            </w:pPr>
          </w:p>
        </w:tc>
        <w:tc>
          <w:tcPr>
            <w:tcW w:w="0" w:type="auto"/>
            <w:gridSpan w:val="3"/>
            <w:shd w:val="clear" w:color="auto" w:fill="auto"/>
            <w:vAlign w:val="bottom"/>
          </w:tcPr>
          <w:p w14:paraId="392C6BA1" w14:textId="77777777" w:rsidR="00980E5F" w:rsidRDefault="00980E5F">
            <w:pPr>
              <w:rPr>
                <w:rFonts w:ascii="宋体"/>
                <w:vanish/>
              </w:rPr>
            </w:pPr>
          </w:p>
        </w:tc>
        <w:tc>
          <w:tcPr>
            <w:tcW w:w="0" w:type="auto"/>
            <w:gridSpan w:val="3"/>
            <w:shd w:val="clear" w:color="auto" w:fill="auto"/>
            <w:vAlign w:val="bottom"/>
          </w:tcPr>
          <w:p w14:paraId="392C6BA2" w14:textId="77777777" w:rsidR="00980E5F" w:rsidRDefault="00980E5F">
            <w:pPr>
              <w:rPr>
                <w:rFonts w:ascii="宋体"/>
                <w:vanish/>
              </w:rPr>
            </w:pPr>
          </w:p>
        </w:tc>
        <w:tc>
          <w:tcPr>
            <w:tcW w:w="0" w:type="auto"/>
            <w:gridSpan w:val="3"/>
            <w:shd w:val="clear" w:color="auto" w:fill="auto"/>
            <w:vAlign w:val="bottom"/>
          </w:tcPr>
          <w:p w14:paraId="392C6BA3" w14:textId="77777777" w:rsidR="00980E5F" w:rsidRDefault="00980E5F">
            <w:pPr>
              <w:rPr>
                <w:rFonts w:ascii="宋体"/>
                <w:vanish/>
              </w:rPr>
            </w:pPr>
          </w:p>
        </w:tc>
        <w:tc>
          <w:tcPr>
            <w:tcW w:w="0" w:type="auto"/>
            <w:gridSpan w:val="3"/>
            <w:shd w:val="clear" w:color="auto" w:fill="auto"/>
            <w:vAlign w:val="bottom"/>
          </w:tcPr>
          <w:p w14:paraId="392C6BA4" w14:textId="77777777" w:rsidR="00980E5F" w:rsidRDefault="00980E5F">
            <w:pPr>
              <w:rPr>
                <w:rFonts w:ascii="宋体"/>
                <w:vanish/>
              </w:rPr>
            </w:pPr>
          </w:p>
        </w:tc>
        <w:tc>
          <w:tcPr>
            <w:tcW w:w="0" w:type="auto"/>
            <w:gridSpan w:val="3"/>
            <w:shd w:val="clear" w:color="auto" w:fill="auto"/>
            <w:vAlign w:val="bottom"/>
          </w:tcPr>
          <w:p w14:paraId="392C6BA5" w14:textId="77777777" w:rsidR="00980E5F" w:rsidRDefault="00980E5F">
            <w:pPr>
              <w:rPr>
                <w:rFonts w:ascii="宋体"/>
                <w:vanish/>
              </w:rPr>
            </w:pPr>
          </w:p>
        </w:tc>
        <w:tc>
          <w:tcPr>
            <w:tcW w:w="0" w:type="auto"/>
            <w:gridSpan w:val="3"/>
            <w:shd w:val="clear" w:color="auto" w:fill="auto"/>
            <w:vAlign w:val="bottom"/>
          </w:tcPr>
          <w:p w14:paraId="392C6BA6" w14:textId="77777777" w:rsidR="00980E5F" w:rsidRDefault="00980E5F">
            <w:pPr>
              <w:rPr>
                <w:rFonts w:ascii="宋体"/>
                <w:vanish/>
              </w:rPr>
            </w:pPr>
          </w:p>
        </w:tc>
        <w:tc>
          <w:tcPr>
            <w:tcW w:w="0" w:type="auto"/>
            <w:gridSpan w:val="3"/>
            <w:shd w:val="clear" w:color="auto" w:fill="auto"/>
            <w:vAlign w:val="bottom"/>
          </w:tcPr>
          <w:p w14:paraId="392C6BA7" w14:textId="77777777" w:rsidR="00980E5F" w:rsidRDefault="00980E5F">
            <w:pPr>
              <w:rPr>
                <w:rFonts w:ascii="宋体"/>
                <w:vanish/>
              </w:rPr>
            </w:pPr>
          </w:p>
        </w:tc>
        <w:tc>
          <w:tcPr>
            <w:tcW w:w="0" w:type="auto"/>
            <w:gridSpan w:val="3"/>
            <w:shd w:val="clear" w:color="auto" w:fill="auto"/>
            <w:vAlign w:val="bottom"/>
          </w:tcPr>
          <w:p w14:paraId="392C6BA8" w14:textId="77777777" w:rsidR="00980E5F" w:rsidRDefault="00980E5F">
            <w:pPr>
              <w:rPr>
                <w:rFonts w:ascii="宋体"/>
                <w:vanish/>
              </w:rPr>
            </w:pPr>
          </w:p>
        </w:tc>
      </w:tr>
      <w:tr w:rsidR="00980E5F" w14:paraId="392C6BBE" w14:textId="77777777">
        <w:trPr>
          <w:hidden/>
        </w:trPr>
        <w:tc>
          <w:tcPr>
            <w:tcW w:w="0" w:type="auto"/>
            <w:gridSpan w:val="3"/>
            <w:shd w:val="clear" w:color="auto" w:fill="auto"/>
            <w:vAlign w:val="bottom"/>
          </w:tcPr>
          <w:p w14:paraId="392C6BAA" w14:textId="77777777" w:rsidR="00980E5F" w:rsidRDefault="00980E5F">
            <w:pPr>
              <w:rPr>
                <w:rFonts w:ascii="宋体"/>
                <w:vanish/>
              </w:rPr>
            </w:pPr>
          </w:p>
        </w:tc>
        <w:tc>
          <w:tcPr>
            <w:tcW w:w="0" w:type="auto"/>
            <w:gridSpan w:val="3"/>
            <w:shd w:val="clear" w:color="auto" w:fill="auto"/>
            <w:vAlign w:val="bottom"/>
          </w:tcPr>
          <w:p w14:paraId="392C6BAB" w14:textId="77777777" w:rsidR="00980E5F" w:rsidRDefault="00980E5F">
            <w:pPr>
              <w:rPr>
                <w:rFonts w:ascii="宋体"/>
                <w:vanish/>
              </w:rPr>
            </w:pPr>
          </w:p>
        </w:tc>
        <w:tc>
          <w:tcPr>
            <w:tcW w:w="0" w:type="auto"/>
            <w:gridSpan w:val="3"/>
            <w:shd w:val="clear" w:color="auto" w:fill="auto"/>
            <w:vAlign w:val="bottom"/>
          </w:tcPr>
          <w:p w14:paraId="392C6BAC" w14:textId="77777777" w:rsidR="00980E5F" w:rsidRDefault="00980E5F">
            <w:pPr>
              <w:rPr>
                <w:rFonts w:ascii="宋体"/>
                <w:vanish/>
              </w:rPr>
            </w:pPr>
          </w:p>
        </w:tc>
        <w:tc>
          <w:tcPr>
            <w:tcW w:w="0" w:type="auto"/>
            <w:gridSpan w:val="3"/>
            <w:shd w:val="clear" w:color="auto" w:fill="auto"/>
            <w:vAlign w:val="bottom"/>
          </w:tcPr>
          <w:p w14:paraId="392C6BAD" w14:textId="77777777" w:rsidR="00980E5F" w:rsidRDefault="00980E5F">
            <w:pPr>
              <w:rPr>
                <w:rFonts w:ascii="宋体"/>
                <w:vanish/>
              </w:rPr>
            </w:pPr>
          </w:p>
        </w:tc>
        <w:tc>
          <w:tcPr>
            <w:tcW w:w="0" w:type="auto"/>
            <w:gridSpan w:val="3"/>
            <w:shd w:val="clear" w:color="auto" w:fill="auto"/>
            <w:vAlign w:val="bottom"/>
          </w:tcPr>
          <w:p w14:paraId="392C6BAE" w14:textId="77777777" w:rsidR="00980E5F" w:rsidRDefault="00980E5F">
            <w:pPr>
              <w:rPr>
                <w:rFonts w:ascii="宋体"/>
                <w:vanish/>
              </w:rPr>
            </w:pPr>
          </w:p>
        </w:tc>
        <w:tc>
          <w:tcPr>
            <w:tcW w:w="0" w:type="auto"/>
            <w:gridSpan w:val="3"/>
            <w:shd w:val="clear" w:color="auto" w:fill="auto"/>
            <w:vAlign w:val="bottom"/>
          </w:tcPr>
          <w:p w14:paraId="392C6BAF" w14:textId="77777777" w:rsidR="00980E5F" w:rsidRDefault="00980E5F">
            <w:pPr>
              <w:rPr>
                <w:rFonts w:ascii="宋体"/>
                <w:vanish/>
              </w:rPr>
            </w:pPr>
          </w:p>
        </w:tc>
        <w:tc>
          <w:tcPr>
            <w:tcW w:w="0" w:type="auto"/>
            <w:gridSpan w:val="3"/>
            <w:shd w:val="clear" w:color="auto" w:fill="auto"/>
            <w:vAlign w:val="bottom"/>
          </w:tcPr>
          <w:p w14:paraId="392C6BB0" w14:textId="77777777" w:rsidR="00980E5F" w:rsidRDefault="00980E5F">
            <w:pPr>
              <w:rPr>
                <w:rFonts w:ascii="宋体"/>
                <w:vanish/>
              </w:rPr>
            </w:pPr>
          </w:p>
        </w:tc>
        <w:tc>
          <w:tcPr>
            <w:tcW w:w="0" w:type="auto"/>
            <w:gridSpan w:val="3"/>
            <w:shd w:val="clear" w:color="auto" w:fill="auto"/>
            <w:vAlign w:val="bottom"/>
          </w:tcPr>
          <w:p w14:paraId="392C6BB1" w14:textId="77777777" w:rsidR="00980E5F" w:rsidRDefault="00980E5F">
            <w:pPr>
              <w:rPr>
                <w:rFonts w:ascii="宋体"/>
                <w:vanish/>
              </w:rPr>
            </w:pPr>
          </w:p>
        </w:tc>
        <w:tc>
          <w:tcPr>
            <w:tcW w:w="0" w:type="auto"/>
            <w:gridSpan w:val="3"/>
            <w:shd w:val="clear" w:color="auto" w:fill="auto"/>
            <w:vAlign w:val="bottom"/>
          </w:tcPr>
          <w:p w14:paraId="392C6BB2" w14:textId="77777777" w:rsidR="00980E5F" w:rsidRDefault="00980E5F">
            <w:pPr>
              <w:rPr>
                <w:rFonts w:ascii="宋体"/>
                <w:vanish/>
              </w:rPr>
            </w:pPr>
          </w:p>
        </w:tc>
        <w:tc>
          <w:tcPr>
            <w:tcW w:w="0" w:type="auto"/>
            <w:gridSpan w:val="3"/>
            <w:shd w:val="clear" w:color="auto" w:fill="auto"/>
            <w:vAlign w:val="bottom"/>
          </w:tcPr>
          <w:p w14:paraId="392C6BB3" w14:textId="77777777" w:rsidR="00980E5F" w:rsidRDefault="00980E5F">
            <w:pPr>
              <w:rPr>
                <w:rFonts w:ascii="宋体"/>
                <w:vanish/>
              </w:rPr>
            </w:pPr>
          </w:p>
        </w:tc>
        <w:tc>
          <w:tcPr>
            <w:tcW w:w="0" w:type="auto"/>
            <w:gridSpan w:val="3"/>
            <w:shd w:val="clear" w:color="auto" w:fill="auto"/>
            <w:vAlign w:val="bottom"/>
          </w:tcPr>
          <w:p w14:paraId="392C6BB4" w14:textId="77777777" w:rsidR="00980E5F" w:rsidRDefault="00980E5F">
            <w:pPr>
              <w:rPr>
                <w:rFonts w:ascii="宋体"/>
                <w:vanish/>
              </w:rPr>
            </w:pPr>
          </w:p>
        </w:tc>
        <w:tc>
          <w:tcPr>
            <w:tcW w:w="0" w:type="auto"/>
            <w:gridSpan w:val="3"/>
            <w:shd w:val="clear" w:color="auto" w:fill="auto"/>
            <w:vAlign w:val="bottom"/>
          </w:tcPr>
          <w:p w14:paraId="392C6BB5" w14:textId="77777777" w:rsidR="00980E5F" w:rsidRDefault="00980E5F">
            <w:pPr>
              <w:rPr>
                <w:rFonts w:ascii="宋体"/>
                <w:vanish/>
              </w:rPr>
            </w:pPr>
          </w:p>
        </w:tc>
        <w:tc>
          <w:tcPr>
            <w:tcW w:w="0" w:type="auto"/>
            <w:gridSpan w:val="3"/>
            <w:shd w:val="clear" w:color="auto" w:fill="auto"/>
            <w:vAlign w:val="bottom"/>
          </w:tcPr>
          <w:p w14:paraId="392C6BB6" w14:textId="77777777" w:rsidR="00980E5F" w:rsidRDefault="00980E5F">
            <w:pPr>
              <w:rPr>
                <w:rFonts w:ascii="宋体"/>
                <w:vanish/>
              </w:rPr>
            </w:pPr>
          </w:p>
        </w:tc>
        <w:tc>
          <w:tcPr>
            <w:tcW w:w="0" w:type="auto"/>
            <w:gridSpan w:val="3"/>
            <w:shd w:val="clear" w:color="auto" w:fill="auto"/>
            <w:vAlign w:val="bottom"/>
          </w:tcPr>
          <w:p w14:paraId="392C6BB7" w14:textId="77777777" w:rsidR="00980E5F" w:rsidRDefault="00980E5F">
            <w:pPr>
              <w:rPr>
                <w:rFonts w:ascii="宋体"/>
                <w:vanish/>
              </w:rPr>
            </w:pPr>
          </w:p>
        </w:tc>
        <w:tc>
          <w:tcPr>
            <w:tcW w:w="0" w:type="auto"/>
            <w:gridSpan w:val="3"/>
            <w:shd w:val="clear" w:color="auto" w:fill="auto"/>
            <w:vAlign w:val="bottom"/>
          </w:tcPr>
          <w:p w14:paraId="392C6BB8" w14:textId="77777777" w:rsidR="00980E5F" w:rsidRDefault="00980E5F">
            <w:pPr>
              <w:rPr>
                <w:rFonts w:ascii="宋体"/>
                <w:vanish/>
              </w:rPr>
            </w:pPr>
          </w:p>
        </w:tc>
        <w:tc>
          <w:tcPr>
            <w:tcW w:w="0" w:type="auto"/>
            <w:gridSpan w:val="3"/>
            <w:shd w:val="clear" w:color="auto" w:fill="auto"/>
            <w:vAlign w:val="bottom"/>
          </w:tcPr>
          <w:p w14:paraId="392C6BB9" w14:textId="77777777" w:rsidR="00980E5F" w:rsidRDefault="00980E5F">
            <w:pPr>
              <w:rPr>
                <w:rFonts w:ascii="宋体"/>
                <w:vanish/>
              </w:rPr>
            </w:pPr>
          </w:p>
        </w:tc>
        <w:tc>
          <w:tcPr>
            <w:tcW w:w="0" w:type="auto"/>
            <w:gridSpan w:val="3"/>
            <w:shd w:val="clear" w:color="auto" w:fill="auto"/>
            <w:vAlign w:val="bottom"/>
          </w:tcPr>
          <w:p w14:paraId="392C6BBA" w14:textId="77777777" w:rsidR="00980E5F" w:rsidRDefault="00980E5F">
            <w:pPr>
              <w:rPr>
                <w:rFonts w:ascii="宋体"/>
                <w:vanish/>
              </w:rPr>
            </w:pPr>
          </w:p>
        </w:tc>
        <w:tc>
          <w:tcPr>
            <w:tcW w:w="0" w:type="auto"/>
            <w:gridSpan w:val="3"/>
            <w:shd w:val="clear" w:color="auto" w:fill="auto"/>
            <w:vAlign w:val="bottom"/>
          </w:tcPr>
          <w:p w14:paraId="392C6BBB" w14:textId="77777777" w:rsidR="00980E5F" w:rsidRDefault="00980E5F">
            <w:pPr>
              <w:rPr>
                <w:rFonts w:ascii="宋体"/>
                <w:vanish/>
              </w:rPr>
            </w:pPr>
          </w:p>
        </w:tc>
        <w:tc>
          <w:tcPr>
            <w:tcW w:w="0" w:type="auto"/>
            <w:gridSpan w:val="3"/>
            <w:shd w:val="clear" w:color="auto" w:fill="auto"/>
            <w:vAlign w:val="bottom"/>
          </w:tcPr>
          <w:p w14:paraId="392C6BBC" w14:textId="77777777" w:rsidR="00980E5F" w:rsidRDefault="00980E5F">
            <w:pPr>
              <w:rPr>
                <w:rFonts w:ascii="宋体"/>
                <w:vanish/>
              </w:rPr>
            </w:pPr>
          </w:p>
        </w:tc>
        <w:tc>
          <w:tcPr>
            <w:tcW w:w="0" w:type="auto"/>
            <w:gridSpan w:val="3"/>
            <w:shd w:val="clear" w:color="auto" w:fill="auto"/>
            <w:vAlign w:val="bottom"/>
          </w:tcPr>
          <w:p w14:paraId="392C6BBD" w14:textId="77777777" w:rsidR="00980E5F" w:rsidRDefault="00980E5F">
            <w:pPr>
              <w:rPr>
                <w:rFonts w:ascii="宋体"/>
                <w:vanish/>
              </w:rPr>
            </w:pPr>
          </w:p>
        </w:tc>
      </w:tr>
      <w:tr w:rsidR="00980E5F" w14:paraId="392C6BD3" w14:textId="77777777">
        <w:trPr>
          <w:hidden/>
        </w:trPr>
        <w:tc>
          <w:tcPr>
            <w:tcW w:w="0" w:type="auto"/>
            <w:gridSpan w:val="3"/>
            <w:shd w:val="clear" w:color="auto" w:fill="auto"/>
            <w:vAlign w:val="bottom"/>
          </w:tcPr>
          <w:p w14:paraId="392C6BBF" w14:textId="77777777" w:rsidR="00980E5F" w:rsidRDefault="00980E5F">
            <w:pPr>
              <w:rPr>
                <w:rFonts w:ascii="宋体"/>
                <w:vanish/>
              </w:rPr>
            </w:pPr>
          </w:p>
        </w:tc>
        <w:tc>
          <w:tcPr>
            <w:tcW w:w="0" w:type="auto"/>
            <w:gridSpan w:val="3"/>
            <w:shd w:val="clear" w:color="auto" w:fill="auto"/>
            <w:vAlign w:val="bottom"/>
          </w:tcPr>
          <w:p w14:paraId="392C6BC0" w14:textId="77777777" w:rsidR="00980E5F" w:rsidRDefault="00980E5F">
            <w:pPr>
              <w:rPr>
                <w:rFonts w:ascii="宋体"/>
                <w:vanish/>
              </w:rPr>
            </w:pPr>
          </w:p>
        </w:tc>
        <w:tc>
          <w:tcPr>
            <w:tcW w:w="0" w:type="auto"/>
            <w:gridSpan w:val="3"/>
            <w:shd w:val="clear" w:color="auto" w:fill="auto"/>
            <w:vAlign w:val="bottom"/>
          </w:tcPr>
          <w:p w14:paraId="392C6BC1" w14:textId="77777777" w:rsidR="00980E5F" w:rsidRDefault="00980E5F">
            <w:pPr>
              <w:rPr>
                <w:rFonts w:ascii="宋体"/>
                <w:vanish/>
              </w:rPr>
            </w:pPr>
          </w:p>
        </w:tc>
        <w:tc>
          <w:tcPr>
            <w:tcW w:w="0" w:type="auto"/>
            <w:gridSpan w:val="3"/>
            <w:shd w:val="clear" w:color="auto" w:fill="auto"/>
            <w:vAlign w:val="bottom"/>
          </w:tcPr>
          <w:p w14:paraId="392C6BC2" w14:textId="77777777" w:rsidR="00980E5F" w:rsidRDefault="00980E5F">
            <w:pPr>
              <w:rPr>
                <w:rFonts w:ascii="宋体"/>
                <w:vanish/>
              </w:rPr>
            </w:pPr>
          </w:p>
        </w:tc>
        <w:tc>
          <w:tcPr>
            <w:tcW w:w="0" w:type="auto"/>
            <w:gridSpan w:val="3"/>
            <w:shd w:val="clear" w:color="auto" w:fill="auto"/>
            <w:vAlign w:val="bottom"/>
          </w:tcPr>
          <w:p w14:paraId="392C6BC3" w14:textId="77777777" w:rsidR="00980E5F" w:rsidRDefault="00980E5F">
            <w:pPr>
              <w:rPr>
                <w:rFonts w:ascii="宋体"/>
                <w:vanish/>
              </w:rPr>
            </w:pPr>
          </w:p>
        </w:tc>
        <w:tc>
          <w:tcPr>
            <w:tcW w:w="0" w:type="auto"/>
            <w:gridSpan w:val="3"/>
            <w:shd w:val="clear" w:color="auto" w:fill="auto"/>
            <w:vAlign w:val="bottom"/>
          </w:tcPr>
          <w:p w14:paraId="392C6BC4" w14:textId="77777777" w:rsidR="00980E5F" w:rsidRDefault="00980E5F">
            <w:pPr>
              <w:rPr>
                <w:rFonts w:ascii="宋体"/>
                <w:vanish/>
              </w:rPr>
            </w:pPr>
          </w:p>
        </w:tc>
        <w:tc>
          <w:tcPr>
            <w:tcW w:w="0" w:type="auto"/>
            <w:gridSpan w:val="3"/>
            <w:shd w:val="clear" w:color="auto" w:fill="auto"/>
            <w:vAlign w:val="bottom"/>
          </w:tcPr>
          <w:p w14:paraId="392C6BC5" w14:textId="77777777" w:rsidR="00980E5F" w:rsidRDefault="00980E5F">
            <w:pPr>
              <w:rPr>
                <w:rFonts w:ascii="宋体"/>
                <w:vanish/>
              </w:rPr>
            </w:pPr>
          </w:p>
        </w:tc>
        <w:tc>
          <w:tcPr>
            <w:tcW w:w="0" w:type="auto"/>
            <w:gridSpan w:val="3"/>
            <w:shd w:val="clear" w:color="auto" w:fill="auto"/>
            <w:vAlign w:val="bottom"/>
          </w:tcPr>
          <w:p w14:paraId="392C6BC6" w14:textId="77777777" w:rsidR="00980E5F" w:rsidRDefault="00980E5F">
            <w:pPr>
              <w:rPr>
                <w:rFonts w:ascii="宋体"/>
                <w:vanish/>
              </w:rPr>
            </w:pPr>
          </w:p>
        </w:tc>
        <w:tc>
          <w:tcPr>
            <w:tcW w:w="0" w:type="auto"/>
            <w:gridSpan w:val="3"/>
            <w:shd w:val="clear" w:color="auto" w:fill="auto"/>
            <w:vAlign w:val="bottom"/>
          </w:tcPr>
          <w:p w14:paraId="392C6BC7" w14:textId="77777777" w:rsidR="00980E5F" w:rsidRDefault="00980E5F">
            <w:pPr>
              <w:rPr>
                <w:rFonts w:ascii="宋体"/>
                <w:vanish/>
              </w:rPr>
            </w:pPr>
          </w:p>
        </w:tc>
        <w:tc>
          <w:tcPr>
            <w:tcW w:w="0" w:type="auto"/>
            <w:gridSpan w:val="3"/>
            <w:shd w:val="clear" w:color="auto" w:fill="auto"/>
            <w:vAlign w:val="bottom"/>
          </w:tcPr>
          <w:p w14:paraId="392C6BC8" w14:textId="77777777" w:rsidR="00980E5F" w:rsidRDefault="00980E5F">
            <w:pPr>
              <w:rPr>
                <w:rFonts w:ascii="宋体"/>
                <w:vanish/>
              </w:rPr>
            </w:pPr>
          </w:p>
        </w:tc>
        <w:tc>
          <w:tcPr>
            <w:tcW w:w="0" w:type="auto"/>
            <w:gridSpan w:val="3"/>
            <w:shd w:val="clear" w:color="auto" w:fill="auto"/>
            <w:vAlign w:val="bottom"/>
          </w:tcPr>
          <w:p w14:paraId="392C6BC9" w14:textId="77777777" w:rsidR="00980E5F" w:rsidRDefault="00980E5F">
            <w:pPr>
              <w:rPr>
                <w:rFonts w:ascii="宋体"/>
                <w:vanish/>
              </w:rPr>
            </w:pPr>
          </w:p>
        </w:tc>
        <w:tc>
          <w:tcPr>
            <w:tcW w:w="0" w:type="auto"/>
            <w:gridSpan w:val="3"/>
            <w:shd w:val="clear" w:color="auto" w:fill="auto"/>
            <w:vAlign w:val="bottom"/>
          </w:tcPr>
          <w:p w14:paraId="392C6BCA" w14:textId="77777777" w:rsidR="00980E5F" w:rsidRDefault="00980E5F">
            <w:pPr>
              <w:rPr>
                <w:rFonts w:ascii="宋体"/>
                <w:vanish/>
              </w:rPr>
            </w:pPr>
          </w:p>
        </w:tc>
        <w:tc>
          <w:tcPr>
            <w:tcW w:w="0" w:type="auto"/>
            <w:gridSpan w:val="3"/>
            <w:shd w:val="clear" w:color="auto" w:fill="auto"/>
            <w:vAlign w:val="bottom"/>
          </w:tcPr>
          <w:p w14:paraId="392C6BCB" w14:textId="77777777" w:rsidR="00980E5F" w:rsidRDefault="00980E5F">
            <w:pPr>
              <w:rPr>
                <w:rFonts w:ascii="宋体"/>
                <w:vanish/>
              </w:rPr>
            </w:pPr>
          </w:p>
        </w:tc>
        <w:tc>
          <w:tcPr>
            <w:tcW w:w="0" w:type="auto"/>
            <w:gridSpan w:val="3"/>
            <w:shd w:val="clear" w:color="auto" w:fill="auto"/>
            <w:vAlign w:val="bottom"/>
          </w:tcPr>
          <w:p w14:paraId="392C6BCC" w14:textId="77777777" w:rsidR="00980E5F" w:rsidRDefault="00980E5F">
            <w:pPr>
              <w:rPr>
                <w:rFonts w:ascii="宋体"/>
                <w:vanish/>
              </w:rPr>
            </w:pPr>
          </w:p>
        </w:tc>
        <w:tc>
          <w:tcPr>
            <w:tcW w:w="0" w:type="auto"/>
            <w:gridSpan w:val="3"/>
            <w:shd w:val="clear" w:color="auto" w:fill="auto"/>
            <w:vAlign w:val="bottom"/>
          </w:tcPr>
          <w:p w14:paraId="392C6BCD" w14:textId="77777777" w:rsidR="00980E5F" w:rsidRDefault="00980E5F">
            <w:pPr>
              <w:rPr>
                <w:rFonts w:ascii="宋体"/>
                <w:vanish/>
              </w:rPr>
            </w:pPr>
          </w:p>
        </w:tc>
        <w:tc>
          <w:tcPr>
            <w:tcW w:w="0" w:type="auto"/>
            <w:gridSpan w:val="3"/>
            <w:shd w:val="clear" w:color="auto" w:fill="auto"/>
            <w:vAlign w:val="bottom"/>
          </w:tcPr>
          <w:p w14:paraId="392C6BCE" w14:textId="77777777" w:rsidR="00980E5F" w:rsidRDefault="00980E5F">
            <w:pPr>
              <w:rPr>
                <w:rFonts w:ascii="宋体"/>
                <w:vanish/>
              </w:rPr>
            </w:pPr>
          </w:p>
        </w:tc>
        <w:tc>
          <w:tcPr>
            <w:tcW w:w="0" w:type="auto"/>
            <w:gridSpan w:val="3"/>
            <w:shd w:val="clear" w:color="auto" w:fill="auto"/>
            <w:vAlign w:val="bottom"/>
          </w:tcPr>
          <w:p w14:paraId="392C6BCF" w14:textId="77777777" w:rsidR="00980E5F" w:rsidRDefault="00980E5F">
            <w:pPr>
              <w:rPr>
                <w:rFonts w:ascii="宋体"/>
                <w:vanish/>
              </w:rPr>
            </w:pPr>
          </w:p>
        </w:tc>
        <w:tc>
          <w:tcPr>
            <w:tcW w:w="0" w:type="auto"/>
            <w:gridSpan w:val="3"/>
            <w:shd w:val="clear" w:color="auto" w:fill="auto"/>
            <w:vAlign w:val="bottom"/>
          </w:tcPr>
          <w:p w14:paraId="392C6BD0" w14:textId="77777777" w:rsidR="00980E5F" w:rsidRDefault="00980E5F">
            <w:pPr>
              <w:rPr>
                <w:rFonts w:ascii="宋体"/>
                <w:vanish/>
              </w:rPr>
            </w:pPr>
          </w:p>
        </w:tc>
        <w:tc>
          <w:tcPr>
            <w:tcW w:w="0" w:type="auto"/>
            <w:gridSpan w:val="3"/>
            <w:shd w:val="clear" w:color="auto" w:fill="auto"/>
            <w:vAlign w:val="bottom"/>
          </w:tcPr>
          <w:p w14:paraId="392C6BD1" w14:textId="77777777" w:rsidR="00980E5F" w:rsidRDefault="00980E5F">
            <w:pPr>
              <w:rPr>
                <w:rFonts w:ascii="宋体"/>
                <w:vanish/>
              </w:rPr>
            </w:pPr>
          </w:p>
        </w:tc>
        <w:tc>
          <w:tcPr>
            <w:tcW w:w="0" w:type="auto"/>
            <w:gridSpan w:val="3"/>
            <w:shd w:val="clear" w:color="auto" w:fill="auto"/>
            <w:vAlign w:val="bottom"/>
          </w:tcPr>
          <w:p w14:paraId="392C6BD2" w14:textId="77777777" w:rsidR="00980E5F" w:rsidRDefault="00980E5F">
            <w:pPr>
              <w:rPr>
                <w:rFonts w:ascii="宋体"/>
                <w:vanish/>
              </w:rPr>
            </w:pPr>
          </w:p>
        </w:tc>
      </w:tr>
      <w:tr w:rsidR="00980E5F" w14:paraId="392C6BE8" w14:textId="77777777">
        <w:trPr>
          <w:hidden/>
        </w:trPr>
        <w:tc>
          <w:tcPr>
            <w:tcW w:w="0" w:type="auto"/>
            <w:gridSpan w:val="3"/>
            <w:shd w:val="clear" w:color="auto" w:fill="auto"/>
            <w:vAlign w:val="bottom"/>
          </w:tcPr>
          <w:p w14:paraId="392C6BD4" w14:textId="77777777" w:rsidR="00980E5F" w:rsidRDefault="00980E5F">
            <w:pPr>
              <w:rPr>
                <w:rFonts w:ascii="宋体"/>
                <w:vanish/>
              </w:rPr>
            </w:pPr>
          </w:p>
        </w:tc>
        <w:tc>
          <w:tcPr>
            <w:tcW w:w="0" w:type="auto"/>
            <w:gridSpan w:val="3"/>
            <w:shd w:val="clear" w:color="auto" w:fill="auto"/>
            <w:vAlign w:val="bottom"/>
          </w:tcPr>
          <w:p w14:paraId="392C6BD5" w14:textId="77777777" w:rsidR="00980E5F" w:rsidRDefault="00980E5F">
            <w:pPr>
              <w:rPr>
                <w:rFonts w:ascii="宋体"/>
                <w:vanish/>
              </w:rPr>
            </w:pPr>
          </w:p>
        </w:tc>
        <w:tc>
          <w:tcPr>
            <w:tcW w:w="0" w:type="auto"/>
            <w:gridSpan w:val="3"/>
            <w:shd w:val="clear" w:color="auto" w:fill="auto"/>
            <w:vAlign w:val="bottom"/>
          </w:tcPr>
          <w:p w14:paraId="392C6BD6" w14:textId="77777777" w:rsidR="00980E5F" w:rsidRDefault="00980E5F">
            <w:pPr>
              <w:rPr>
                <w:rFonts w:ascii="宋体"/>
                <w:vanish/>
              </w:rPr>
            </w:pPr>
          </w:p>
        </w:tc>
        <w:tc>
          <w:tcPr>
            <w:tcW w:w="0" w:type="auto"/>
            <w:gridSpan w:val="3"/>
            <w:shd w:val="clear" w:color="auto" w:fill="auto"/>
            <w:vAlign w:val="bottom"/>
          </w:tcPr>
          <w:p w14:paraId="392C6BD7" w14:textId="77777777" w:rsidR="00980E5F" w:rsidRDefault="00980E5F">
            <w:pPr>
              <w:rPr>
                <w:rFonts w:ascii="宋体"/>
                <w:vanish/>
              </w:rPr>
            </w:pPr>
          </w:p>
        </w:tc>
        <w:tc>
          <w:tcPr>
            <w:tcW w:w="0" w:type="auto"/>
            <w:gridSpan w:val="3"/>
            <w:shd w:val="clear" w:color="auto" w:fill="auto"/>
            <w:vAlign w:val="bottom"/>
          </w:tcPr>
          <w:p w14:paraId="392C6BD8" w14:textId="77777777" w:rsidR="00980E5F" w:rsidRDefault="00980E5F">
            <w:pPr>
              <w:rPr>
                <w:rFonts w:ascii="宋体"/>
                <w:vanish/>
              </w:rPr>
            </w:pPr>
          </w:p>
        </w:tc>
        <w:tc>
          <w:tcPr>
            <w:tcW w:w="0" w:type="auto"/>
            <w:gridSpan w:val="3"/>
            <w:shd w:val="clear" w:color="auto" w:fill="auto"/>
            <w:vAlign w:val="bottom"/>
          </w:tcPr>
          <w:p w14:paraId="392C6BD9" w14:textId="77777777" w:rsidR="00980E5F" w:rsidRDefault="00980E5F">
            <w:pPr>
              <w:rPr>
                <w:rFonts w:ascii="宋体"/>
                <w:vanish/>
              </w:rPr>
            </w:pPr>
          </w:p>
        </w:tc>
        <w:tc>
          <w:tcPr>
            <w:tcW w:w="0" w:type="auto"/>
            <w:gridSpan w:val="3"/>
            <w:shd w:val="clear" w:color="auto" w:fill="auto"/>
            <w:vAlign w:val="bottom"/>
          </w:tcPr>
          <w:p w14:paraId="392C6BDA" w14:textId="77777777" w:rsidR="00980E5F" w:rsidRDefault="00980E5F">
            <w:pPr>
              <w:rPr>
                <w:rFonts w:ascii="宋体"/>
                <w:vanish/>
              </w:rPr>
            </w:pPr>
          </w:p>
        </w:tc>
        <w:tc>
          <w:tcPr>
            <w:tcW w:w="0" w:type="auto"/>
            <w:gridSpan w:val="3"/>
            <w:shd w:val="clear" w:color="auto" w:fill="auto"/>
            <w:vAlign w:val="bottom"/>
          </w:tcPr>
          <w:p w14:paraId="392C6BDB" w14:textId="77777777" w:rsidR="00980E5F" w:rsidRDefault="00980E5F">
            <w:pPr>
              <w:rPr>
                <w:rFonts w:ascii="宋体"/>
                <w:vanish/>
              </w:rPr>
            </w:pPr>
          </w:p>
        </w:tc>
        <w:tc>
          <w:tcPr>
            <w:tcW w:w="0" w:type="auto"/>
            <w:gridSpan w:val="3"/>
            <w:shd w:val="clear" w:color="auto" w:fill="auto"/>
            <w:vAlign w:val="bottom"/>
          </w:tcPr>
          <w:p w14:paraId="392C6BDC" w14:textId="77777777" w:rsidR="00980E5F" w:rsidRDefault="00980E5F">
            <w:pPr>
              <w:rPr>
                <w:rFonts w:ascii="宋体"/>
                <w:vanish/>
              </w:rPr>
            </w:pPr>
          </w:p>
        </w:tc>
        <w:tc>
          <w:tcPr>
            <w:tcW w:w="0" w:type="auto"/>
            <w:gridSpan w:val="3"/>
            <w:shd w:val="clear" w:color="auto" w:fill="auto"/>
            <w:vAlign w:val="bottom"/>
          </w:tcPr>
          <w:p w14:paraId="392C6BDD" w14:textId="77777777" w:rsidR="00980E5F" w:rsidRDefault="00980E5F">
            <w:pPr>
              <w:rPr>
                <w:rFonts w:ascii="宋体"/>
                <w:vanish/>
              </w:rPr>
            </w:pPr>
          </w:p>
        </w:tc>
        <w:tc>
          <w:tcPr>
            <w:tcW w:w="0" w:type="auto"/>
            <w:gridSpan w:val="3"/>
            <w:shd w:val="clear" w:color="auto" w:fill="auto"/>
            <w:vAlign w:val="bottom"/>
          </w:tcPr>
          <w:p w14:paraId="392C6BDE" w14:textId="77777777" w:rsidR="00980E5F" w:rsidRDefault="00980E5F">
            <w:pPr>
              <w:rPr>
                <w:rFonts w:ascii="宋体"/>
                <w:vanish/>
              </w:rPr>
            </w:pPr>
          </w:p>
        </w:tc>
        <w:tc>
          <w:tcPr>
            <w:tcW w:w="0" w:type="auto"/>
            <w:gridSpan w:val="3"/>
            <w:shd w:val="clear" w:color="auto" w:fill="auto"/>
            <w:vAlign w:val="bottom"/>
          </w:tcPr>
          <w:p w14:paraId="392C6BDF" w14:textId="77777777" w:rsidR="00980E5F" w:rsidRDefault="00980E5F">
            <w:pPr>
              <w:rPr>
                <w:rFonts w:ascii="宋体"/>
                <w:vanish/>
              </w:rPr>
            </w:pPr>
          </w:p>
        </w:tc>
        <w:tc>
          <w:tcPr>
            <w:tcW w:w="0" w:type="auto"/>
            <w:gridSpan w:val="3"/>
            <w:shd w:val="clear" w:color="auto" w:fill="auto"/>
            <w:vAlign w:val="bottom"/>
          </w:tcPr>
          <w:p w14:paraId="392C6BE0" w14:textId="77777777" w:rsidR="00980E5F" w:rsidRDefault="00980E5F">
            <w:pPr>
              <w:rPr>
                <w:rFonts w:ascii="宋体"/>
                <w:vanish/>
              </w:rPr>
            </w:pPr>
          </w:p>
        </w:tc>
        <w:tc>
          <w:tcPr>
            <w:tcW w:w="0" w:type="auto"/>
            <w:gridSpan w:val="3"/>
            <w:shd w:val="clear" w:color="auto" w:fill="auto"/>
            <w:vAlign w:val="bottom"/>
          </w:tcPr>
          <w:p w14:paraId="392C6BE1" w14:textId="77777777" w:rsidR="00980E5F" w:rsidRDefault="00980E5F">
            <w:pPr>
              <w:rPr>
                <w:rFonts w:ascii="宋体"/>
                <w:vanish/>
              </w:rPr>
            </w:pPr>
          </w:p>
        </w:tc>
        <w:tc>
          <w:tcPr>
            <w:tcW w:w="0" w:type="auto"/>
            <w:gridSpan w:val="3"/>
            <w:shd w:val="clear" w:color="auto" w:fill="auto"/>
            <w:vAlign w:val="bottom"/>
          </w:tcPr>
          <w:p w14:paraId="392C6BE2" w14:textId="77777777" w:rsidR="00980E5F" w:rsidRDefault="00980E5F">
            <w:pPr>
              <w:rPr>
                <w:rFonts w:ascii="宋体"/>
                <w:vanish/>
              </w:rPr>
            </w:pPr>
          </w:p>
        </w:tc>
        <w:tc>
          <w:tcPr>
            <w:tcW w:w="0" w:type="auto"/>
            <w:gridSpan w:val="3"/>
            <w:shd w:val="clear" w:color="auto" w:fill="auto"/>
            <w:vAlign w:val="bottom"/>
          </w:tcPr>
          <w:p w14:paraId="392C6BE3" w14:textId="77777777" w:rsidR="00980E5F" w:rsidRDefault="00980E5F">
            <w:pPr>
              <w:rPr>
                <w:rFonts w:ascii="宋体"/>
                <w:vanish/>
              </w:rPr>
            </w:pPr>
          </w:p>
        </w:tc>
        <w:tc>
          <w:tcPr>
            <w:tcW w:w="0" w:type="auto"/>
            <w:gridSpan w:val="3"/>
            <w:shd w:val="clear" w:color="auto" w:fill="auto"/>
            <w:vAlign w:val="bottom"/>
          </w:tcPr>
          <w:p w14:paraId="392C6BE4" w14:textId="77777777" w:rsidR="00980E5F" w:rsidRDefault="00980E5F">
            <w:pPr>
              <w:rPr>
                <w:rFonts w:ascii="宋体"/>
                <w:vanish/>
              </w:rPr>
            </w:pPr>
          </w:p>
        </w:tc>
        <w:tc>
          <w:tcPr>
            <w:tcW w:w="0" w:type="auto"/>
            <w:gridSpan w:val="3"/>
            <w:shd w:val="clear" w:color="auto" w:fill="auto"/>
            <w:vAlign w:val="bottom"/>
          </w:tcPr>
          <w:p w14:paraId="392C6BE5" w14:textId="77777777" w:rsidR="00980E5F" w:rsidRDefault="00980E5F">
            <w:pPr>
              <w:rPr>
                <w:rFonts w:ascii="宋体"/>
                <w:vanish/>
              </w:rPr>
            </w:pPr>
          </w:p>
        </w:tc>
        <w:tc>
          <w:tcPr>
            <w:tcW w:w="0" w:type="auto"/>
            <w:gridSpan w:val="3"/>
            <w:shd w:val="clear" w:color="auto" w:fill="auto"/>
            <w:vAlign w:val="bottom"/>
          </w:tcPr>
          <w:p w14:paraId="392C6BE6" w14:textId="77777777" w:rsidR="00980E5F" w:rsidRDefault="00980E5F">
            <w:pPr>
              <w:rPr>
                <w:rFonts w:ascii="宋体"/>
                <w:vanish/>
              </w:rPr>
            </w:pPr>
          </w:p>
        </w:tc>
        <w:tc>
          <w:tcPr>
            <w:tcW w:w="0" w:type="auto"/>
            <w:gridSpan w:val="3"/>
            <w:shd w:val="clear" w:color="auto" w:fill="auto"/>
            <w:vAlign w:val="bottom"/>
          </w:tcPr>
          <w:p w14:paraId="392C6BE7" w14:textId="77777777" w:rsidR="00980E5F" w:rsidRDefault="00980E5F">
            <w:pPr>
              <w:rPr>
                <w:rFonts w:ascii="宋体"/>
                <w:vanish/>
              </w:rPr>
            </w:pPr>
          </w:p>
        </w:tc>
      </w:tr>
      <w:tr w:rsidR="00980E5F" w14:paraId="392C6BFD" w14:textId="77777777">
        <w:trPr>
          <w:hidden/>
        </w:trPr>
        <w:tc>
          <w:tcPr>
            <w:tcW w:w="0" w:type="auto"/>
            <w:gridSpan w:val="3"/>
            <w:shd w:val="clear" w:color="auto" w:fill="auto"/>
            <w:vAlign w:val="bottom"/>
          </w:tcPr>
          <w:p w14:paraId="392C6BE9" w14:textId="77777777" w:rsidR="00980E5F" w:rsidRDefault="00980E5F">
            <w:pPr>
              <w:rPr>
                <w:rFonts w:ascii="宋体"/>
                <w:vanish/>
              </w:rPr>
            </w:pPr>
          </w:p>
        </w:tc>
        <w:tc>
          <w:tcPr>
            <w:tcW w:w="0" w:type="auto"/>
            <w:gridSpan w:val="3"/>
            <w:shd w:val="clear" w:color="auto" w:fill="auto"/>
            <w:vAlign w:val="bottom"/>
          </w:tcPr>
          <w:p w14:paraId="392C6BEA" w14:textId="77777777" w:rsidR="00980E5F" w:rsidRDefault="00980E5F">
            <w:pPr>
              <w:rPr>
                <w:rFonts w:ascii="宋体"/>
                <w:vanish/>
              </w:rPr>
            </w:pPr>
          </w:p>
        </w:tc>
        <w:tc>
          <w:tcPr>
            <w:tcW w:w="0" w:type="auto"/>
            <w:gridSpan w:val="3"/>
            <w:shd w:val="clear" w:color="auto" w:fill="auto"/>
            <w:vAlign w:val="bottom"/>
          </w:tcPr>
          <w:p w14:paraId="392C6BEB" w14:textId="77777777" w:rsidR="00980E5F" w:rsidRDefault="00980E5F">
            <w:pPr>
              <w:rPr>
                <w:rFonts w:ascii="宋体"/>
                <w:vanish/>
              </w:rPr>
            </w:pPr>
          </w:p>
        </w:tc>
        <w:tc>
          <w:tcPr>
            <w:tcW w:w="0" w:type="auto"/>
            <w:gridSpan w:val="3"/>
            <w:shd w:val="clear" w:color="auto" w:fill="auto"/>
            <w:vAlign w:val="bottom"/>
          </w:tcPr>
          <w:p w14:paraId="392C6BEC" w14:textId="77777777" w:rsidR="00980E5F" w:rsidRDefault="00980E5F">
            <w:pPr>
              <w:rPr>
                <w:rFonts w:ascii="宋体"/>
                <w:vanish/>
              </w:rPr>
            </w:pPr>
          </w:p>
        </w:tc>
        <w:tc>
          <w:tcPr>
            <w:tcW w:w="0" w:type="auto"/>
            <w:gridSpan w:val="3"/>
            <w:shd w:val="clear" w:color="auto" w:fill="auto"/>
            <w:vAlign w:val="bottom"/>
          </w:tcPr>
          <w:p w14:paraId="392C6BED" w14:textId="77777777" w:rsidR="00980E5F" w:rsidRDefault="00980E5F">
            <w:pPr>
              <w:rPr>
                <w:rFonts w:ascii="宋体"/>
                <w:vanish/>
              </w:rPr>
            </w:pPr>
          </w:p>
        </w:tc>
        <w:tc>
          <w:tcPr>
            <w:tcW w:w="0" w:type="auto"/>
            <w:gridSpan w:val="3"/>
            <w:shd w:val="clear" w:color="auto" w:fill="auto"/>
            <w:vAlign w:val="bottom"/>
          </w:tcPr>
          <w:p w14:paraId="392C6BEE" w14:textId="77777777" w:rsidR="00980E5F" w:rsidRDefault="00980E5F">
            <w:pPr>
              <w:rPr>
                <w:rFonts w:ascii="宋体"/>
                <w:vanish/>
              </w:rPr>
            </w:pPr>
          </w:p>
        </w:tc>
        <w:tc>
          <w:tcPr>
            <w:tcW w:w="0" w:type="auto"/>
            <w:gridSpan w:val="3"/>
            <w:shd w:val="clear" w:color="auto" w:fill="auto"/>
            <w:vAlign w:val="bottom"/>
          </w:tcPr>
          <w:p w14:paraId="392C6BEF" w14:textId="77777777" w:rsidR="00980E5F" w:rsidRDefault="00980E5F">
            <w:pPr>
              <w:rPr>
                <w:rFonts w:ascii="宋体"/>
                <w:vanish/>
              </w:rPr>
            </w:pPr>
          </w:p>
        </w:tc>
        <w:tc>
          <w:tcPr>
            <w:tcW w:w="0" w:type="auto"/>
            <w:gridSpan w:val="3"/>
            <w:shd w:val="clear" w:color="auto" w:fill="auto"/>
            <w:vAlign w:val="bottom"/>
          </w:tcPr>
          <w:p w14:paraId="392C6BF0" w14:textId="77777777" w:rsidR="00980E5F" w:rsidRDefault="00980E5F">
            <w:pPr>
              <w:rPr>
                <w:rFonts w:ascii="宋体"/>
                <w:vanish/>
              </w:rPr>
            </w:pPr>
          </w:p>
        </w:tc>
        <w:tc>
          <w:tcPr>
            <w:tcW w:w="0" w:type="auto"/>
            <w:gridSpan w:val="3"/>
            <w:shd w:val="clear" w:color="auto" w:fill="auto"/>
            <w:vAlign w:val="bottom"/>
          </w:tcPr>
          <w:p w14:paraId="392C6BF1" w14:textId="77777777" w:rsidR="00980E5F" w:rsidRDefault="00980E5F">
            <w:pPr>
              <w:rPr>
                <w:rFonts w:ascii="宋体"/>
                <w:vanish/>
              </w:rPr>
            </w:pPr>
          </w:p>
        </w:tc>
        <w:tc>
          <w:tcPr>
            <w:tcW w:w="0" w:type="auto"/>
            <w:gridSpan w:val="3"/>
            <w:shd w:val="clear" w:color="auto" w:fill="auto"/>
            <w:vAlign w:val="bottom"/>
          </w:tcPr>
          <w:p w14:paraId="392C6BF2" w14:textId="77777777" w:rsidR="00980E5F" w:rsidRDefault="00980E5F">
            <w:pPr>
              <w:rPr>
                <w:rFonts w:ascii="宋体"/>
                <w:vanish/>
              </w:rPr>
            </w:pPr>
          </w:p>
        </w:tc>
        <w:tc>
          <w:tcPr>
            <w:tcW w:w="0" w:type="auto"/>
            <w:gridSpan w:val="3"/>
            <w:shd w:val="clear" w:color="auto" w:fill="auto"/>
            <w:vAlign w:val="bottom"/>
          </w:tcPr>
          <w:p w14:paraId="392C6BF3" w14:textId="77777777" w:rsidR="00980E5F" w:rsidRDefault="00980E5F">
            <w:pPr>
              <w:rPr>
                <w:rFonts w:ascii="宋体"/>
                <w:vanish/>
              </w:rPr>
            </w:pPr>
          </w:p>
        </w:tc>
        <w:tc>
          <w:tcPr>
            <w:tcW w:w="0" w:type="auto"/>
            <w:gridSpan w:val="3"/>
            <w:shd w:val="clear" w:color="auto" w:fill="auto"/>
            <w:vAlign w:val="bottom"/>
          </w:tcPr>
          <w:p w14:paraId="392C6BF4" w14:textId="77777777" w:rsidR="00980E5F" w:rsidRDefault="00980E5F">
            <w:pPr>
              <w:rPr>
                <w:rFonts w:ascii="宋体"/>
                <w:vanish/>
              </w:rPr>
            </w:pPr>
          </w:p>
        </w:tc>
        <w:tc>
          <w:tcPr>
            <w:tcW w:w="0" w:type="auto"/>
            <w:gridSpan w:val="3"/>
            <w:shd w:val="clear" w:color="auto" w:fill="auto"/>
            <w:vAlign w:val="bottom"/>
          </w:tcPr>
          <w:p w14:paraId="392C6BF5" w14:textId="77777777" w:rsidR="00980E5F" w:rsidRDefault="00980E5F">
            <w:pPr>
              <w:rPr>
                <w:rFonts w:ascii="宋体"/>
                <w:vanish/>
              </w:rPr>
            </w:pPr>
          </w:p>
        </w:tc>
        <w:tc>
          <w:tcPr>
            <w:tcW w:w="0" w:type="auto"/>
            <w:gridSpan w:val="3"/>
            <w:shd w:val="clear" w:color="auto" w:fill="auto"/>
            <w:vAlign w:val="bottom"/>
          </w:tcPr>
          <w:p w14:paraId="392C6BF6" w14:textId="77777777" w:rsidR="00980E5F" w:rsidRDefault="00980E5F">
            <w:pPr>
              <w:rPr>
                <w:rFonts w:ascii="宋体"/>
                <w:vanish/>
              </w:rPr>
            </w:pPr>
          </w:p>
        </w:tc>
        <w:tc>
          <w:tcPr>
            <w:tcW w:w="0" w:type="auto"/>
            <w:gridSpan w:val="3"/>
            <w:shd w:val="clear" w:color="auto" w:fill="auto"/>
            <w:vAlign w:val="bottom"/>
          </w:tcPr>
          <w:p w14:paraId="392C6BF7" w14:textId="77777777" w:rsidR="00980E5F" w:rsidRDefault="00980E5F">
            <w:pPr>
              <w:rPr>
                <w:rFonts w:ascii="宋体"/>
                <w:vanish/>
              </w:rPr>
            </w:pPr>
          </w:p>
        </w:tc>
        <w:tc>
          <w:tcPr>
            <w:tcW w:w="0" w:type="auto"/>
            <w:gridSpan w:val="3"/>
            <w:shd w:val="clear" w:color="auto" w:fill="auto"/>
            <w:vAlign w:val="bottom"/>
          </w:tcPr>
          <w:p w14:paraId="392C6BF8" w14:textId="77777777" w:rsidR="00980E5F" w:rsidRDefault="00980E5F">
            <w:pPr>
              <w:rPr>
                <w:rFonts w:ascii="宋体"/>
                <w:vanish/>
              </w:rPr>
            </w:pPr>
          </w:p>
        </w:tc>
        <w:tc>
          <w:tcPr>
            <w:tcW w:w="0" w:type="auto"/>
            <w:gridSpan w:val="3"/>
            <w:shd w:val="clear" w:color="auto" w:fill="auto"/>
            <w:vAlign w:val="bottom"/>
          </w:tcPr>
          <w:p w14:paraId="392C6BF9" w14:textId="77777777" w:rsidR="00980E5F" w:rsidRDefault="00980E5F">
            <w:pPr>
              <w:rPr>
                <w:rFonts w:ascii="宋体"/>
                <w:vanish/>
              </w:rPr>
            </w:pPr>
          </w:p>
        </w:tc>
        <w:tc>
          <w:tcPr>
            <w:tcW w:w="0" w:type="auto"/>
            <w:gridSpan w:val="3"/>
            <w:shd w:val="clear" w:color="auto" w:fill="auto"/>
            <w:vAlign w:val="bottom"/>
          </w:tcPr>
          <w:p w14:paraId="392C6BFA" w14:textId="77777777" w:rsidR="00980E5F" w:rsidRDefault="00980E5F">
            <w:pPr>
              <w:rPr>
                <w:rFonts w:ascii="宋体"/>
                <w:vanish/>
              </w:rPr>
            </w:pPr>
          </w:p>
        </w:tc>
        <w:tc>
          <w:tcPr>
            <w:tcW w:w="0" w:type="auto"/>
            <w:gridSpan w:val="3"/>
            <w:shd w:val="clear" w:color="auto" w:fill="auto"/>
            <w:vAlign w:val="bottom"/>
          </w:tcPr>
          <w:p w14:paraId="392C6BFB" w14:textId="77777777" w:rsidR="00980E5F" w:rsidRDefault="00980E5F">
            <w:pPr>
              <w:rPr>
                <w:rFonts w:ascii="宋体"/>
                <w:vanish/>
              </w:rPr>
            </w:pPr>
          </w:p>
        </w:tc>
        <w:tc>
          <w:tcPr>
            <w:tcW w:w="0" w:type="auto"/>
            <w:gridSpan w:val="3"/>
            <w:shd w:val="clear" w:color="auto" w:fill="auto"/>
            <w:vAlign w:val="bottom"/>
          </w:tcPr>
          <w:p w14:paraId="392C6BFC" w14:textId="77777777" w:rsidR="00980E5F" w:rsidRDefault="00980E5F">
            <w:pPr>
              <w:rPr>
                <w:rFonts w:ascii="宋体"/>
                <w:vanish/>
              </w:rPr>
            </w:pPr>
          </w:p>
        </w:tc>
      </w:tr>
      <w:tr w:rsidR="00980E5F" w14:paraId="392C6C12" w14:textId="77777777">
        <w:trPr>
          <w:hidden/>
        </w:trPr>
        <w:tc>
          <w:tcPr>
            <w:tcW w:w="0" w:type="auto"/>
            <w:gridSpan w:val="3"/>
            <w:shd w:val="clear" w:color="auto" w:fill="auto"/>
            <w:vAlign w:val="bottom"/>
          </w:tcPr>
          <w:p w14:paraId="392C6BFE" w14:textId="77777777" w:rsidR="00980E5F" w:rsidRDefault="00980E5F">
            <w:pPr>
              <w:rPr>
                <w:rFonts w:ascii="宋体"/>
                <w:vanish/>
              </w:rPr>
            </w:pPr>
          </w:p>
        </w:tc>
        <w:tc>
          <w:tcPr>
            <w:tcW w:w="0" w:type="auto"/>
            <w:gridSpan w:val="3"/>
            <w:shd w:val="clear" w:color="auto" w:fill="auto"/>
            <w:vAlign w:val="bottom"/>
          </w:tcPr>
          <w:p w14:paraId="392C6BFF" w14:textId="77777777" w:rsidR="00980E5F" w:rsidRDefault="00980E5F">
            <w:pPr>
              <w:rPr>
                <w:rFonts w:ascii="宋体"/>
                <w:vanish/>
              </w:rPr>
            </w:pPr>
          </w:p>
        </w:tc>
        <w:tc>
          <w:tcPr>
            <w:tcW w:w="0" w:type="auto"/>
            <w:gridSpan w:val="3"/>
            <w:shd w:val="clear" w:color="auto" w:fill="auto"/>
            <w:vAlign w:val="bottom"/>
          </w:tcPr>
          <w:p w14:paraId="392C6C00" w14:textId="77777777" w:rsidR="00980E5F" w:rsidRDefault="00980E5F">
            <w:pPr>
              <w:rPr>
                <w:rFonts w:ascii="宋体"/>
                <w:vanish/>
              </w:rPr>
            </w:pPr>
          </w:p>
        </w:tc>
        <w:tc>
          <w:tcPr>
            <w:tcW w:w="0" w:type="auto"/>
            <w:gridSpan w:val="3"/>
            <w:shd w:val="clear" w:color="auto" w:fill="auto"/>
            <w:vAlign w:val="bottom"/>
          </w:tcPr>
          <w:p w14:paraId="392C6C01" w14:textId="77777777" w:rsidR="00980E5F" w:rsidRDefault="00980E5F">
            <w:pPr>
              <w:rPr>
                <w:rFonts w:ascii="宋体"/>
                <w:vanish/>
              </w:rPr>
            </w:pPr>
          </w:p>
        </w:tc>
        <w:tc>
          <w:tcPr>
            <w:tcW w:w="0" w:type="auto"/>
            <w:gridSpan w:val="3"/>
            <w:shd w:val="clear" w:color="auto" w:fill="auto"/>
            <w:vAlign w:val="bottom"/>
          </w:tcPr>
          <w:p w14:paraId="392C6C02" w14:textId="77777777" w:rsidR="00980E5F" w:rsidRDefault="00980E5F">
            <w:pPr>
              <w:rPr>
                <w:rFonts w:ascii="宋体"/>
                <w:vanish/>
              </w:rPr>
            </w:pPr>
          </w:p>
        </w:tc>
        <w:tc>
          <w:tcPr>
            <w:tcW w:w="0" w:type="auto"/>
            <w:gridSpan w:val="3"/>
            <w:shd w:val="clear" w:color="auto" w:fill="auto"/>
            <w:vAlign w:val="bottom"/>
          </w:tcPr>
          <w:p w14:paraId="392C6C03" w14:textId="77777777" w:rsidR="00980E5F" w:rsidRDefault="00980E5F">
            <w:pPr>
              <w:rPr>
                <w:rFonts w:ascii="宋体"/>
                <w:vanish/>
              </w:rPr>
            </w:pPr>
          </w:p>
        </w:tc>
        <w:tc>
          <w:tcPr>
            <w:tcW w:w="0" w:type="auto"/>
            <w:gridSpan w:val="3"/>
            <w:shd w:val="clear" w:color="auto" w:fill="auto"/>
            <w:vAlign w:val="bottom"/>
          </w:tcPr>
          <w:p w14:paraId="392C6C04" w14:textId="77777777" w:rsidR="00980E5F" w:rsidRDefault="00980E5F">
            <w:pPr>
              <w:rPr>
                <w:rFonts w:ascii="宋体"/>
                <w:vanish/>
              </w:rPr>
            </w:pPr>
          </w:p>
        </w:tc>
        <w:tc>
          <w:tcPr>
            <w:tcW w:w="0" w:type="auto"/>
            <w:gridSpan w:val="3"/>
            <w:shd w:val="clear" w:color="auto" w:fill="auto"/>
            <w:vAlign w:val="bottom"/>
          </w:tcPr>
          <w:p w14:paraId="392C6C05" w14:textId="77777777" w:rsidR="00980E5F" w:rsidRDefault="00980E5F">
            <w:pPr>
              <w:rPr>
                <w:rFonts w:ascii="宋体"/>
                <w:vanish/>
              </w:rPr>
            </w:pPr>
          </w:p>
        </w:tc>
        <w:tc>
          <w:tcPr>
            <w:tcW w:w="0" w:type="auto"/>
            <w:gridSpan w:val="3"/>
            <w:shd w:val="clear" w:color="auto" w:fill="auto"/>
            <w:vAlign w:val="bottom"/>
          </w:tcPr>
          <w:p w14:paraId="392C6C06" w14:textId="77777777" w:rsidR="00980E5F" w:rsidRDefault="00980E5F">
            <w:pPr>
              <w:rPr>
                <w:rFonts w:ascii="宋体"/>
                <w:vanish/>
              </w:rPr>
            </w:pPr>
          </w:p>
        </w:tc>
        <w:tc>
          <w:tcPr>
            <w:tcW w:w="0" w:type="auto"/>
            <w:gridSpan w:val="3"/>
            <w:shd w:val="clear" w:color="auto" w:fill="auto"/>
            <w:vAlign w:val="bottom"/>
          </w:tcPr>
          <w:p w14:paraId="392C6C07" w14:textId="77777777" w:rsidR="00980E5F" w:rsidRDefault="00980E5F">
            <w:pPr>
              <w:rPr>
                <w:rFonts w:ascii="宋体"/>
                <w:vanish/>
              </w:rPr>
            </w:pPr>
          </w:p>
        </w:tc>
        <w:tc>
          <w:tcPr>
            <w:tcW w:w="0" w:type="auto"/>
            <w:gridSpan w:val="3"/>
            <w:shd w:val="clear" w:color="auto" w:fill="auto"/>
            <w:vAlign w:val="bottom"/>
          </w:tcPr>
          <w:p w14:paraId="392C6C08" w14:textId="77777777" w:rsidR="00980E5F" w:rsidRDefault="00980E5F">
            <w:pPr>
              <w:rPr>
                <w:rFonts w:ascii="宋体"/>
                <w:vanish/>
              </w:rPr>
            </w:pPr>
          </w:p>
        </w:tc>
        <w:tc>
          <w:tcPr>
            <w:tcW w:w="0" w:type="auto"/>
            <w:gridSpan w:val="3"/>
            <w:shd w:val="clear" w:color="auto" w:fill="auto"/>
            <w:vAlign w:val="bottom"/>
          </w:tcPr>
          <w:p w14:paraId="392C6C09" w14:textId="77777777" w:rsidR="00980E5F" w:rsidRDefault="00980E5F">
            <w:pPr>
              <w:rPr>
                <w:rFonts w:ascii="宋体"/>
                <w:vanish/>
              </w:rPr>
            </w:pPr>
          </w:p>
        </w:tc>
        <w:tc>
          <w:tcPr>
            <w:tcW w:w="0" w:type="auto"/>
            <w:gridSpan w:val="3"/>
            <w:shd w:val="clear" w:color="auto" w:fill="auto"/>
            <w:vAlign w:val="bottom"/>
          </w:tcPr>
          <w:p w14:paraId="392C6C0A" w14:textId="77777777" w:rsidR="00980E5F" w:rsidRDefault="00980E5F">
            <w:pPr>
              <w:rPr>
                <w:rFonts w:ascii="宋体"/>
                <w:vanish/>
              </w:rPr>
            </w:pPr>
          </w:p>
        </w:tc>
        <w:tc>
          <w:tcPr>
            <w:tcW w:w="0" w:type="auto"/>
            <w:gridSpan w:val="3"/>
            <w:shd w:val="clear" w:color="auto" w:fill="auto"/>
            <w:vAlign w:val="bottom"/>
          </w:tcPr>
          <w:p w14:paraId="392C6C0B" w14:textId="77777777" w:rsidR="00980E5F" w:rsidRDefault="00980E5F">
            <w:pPr>
              <w:rPr>
                <w:rFonts w:ascii="宋体"/>
                <w:vanish/>
              </w:rPr>
            </w:pPr>
          </w:p>
        </w:tc>
        <w:tc>
          <w:tcPr>
            <w:tcW w:w="0" w:type="auto"/>
            <w:gridSpan w:val="3"/>
            <w:shd w:val="clear" w:color="auto" w:fill="auto"/>
            <w:vAlign w:val="bottom"/>
          </w:tcPr>
          <w:p w14:paraId="392C6C0C" w14:textId="77777777" w:rsidR="00980E5F" w:rsidRDefault="00980E5F">
            <w:pPr>
              <w:rPr>
                <w:rFonts w:ascii="宋体"/>
                <w:vanish/>
              </w:rPr>
            </w:pPr>
          </w:p>
        </w:tc>
        <w:tc>
          <w:tcPr>
            <w:tcW w:w="0" w:type="auto"/>
            <w:gridSpan w:val="3"/>
            <w:shd w:val="clear" w:color="auto" w:fill="auto"/>
            <w:vAlign w:val="bottom"/>
          </w:tcPr>
          <w:p w14:paraId="392C6C0D" w14:textId="77777777" w:rsidR="00980E5F" w:rsidRDefault="00980E5F">
            <w:pPr>
              <w:rPr>
                <w:rFonts w:ascii="宋体"/>
                <w:vanish/>
              </w:rPr>
            </w:pPr>
          </w:p>
        </w:tc>
        <w:tc>
          <w:tcPr>
            <w:tcW w:w="0" w:type="auto"/>
            <w:gridSpan w:val="3"/>
            <w:shd w:val="clear" w:color="auto" w:fill="auto"/>
            <w:vAlign w:val="bottom"/>
          </w:tcPr>
          <w:p w14:paraId="392C6C0E" w14:textId="77777777" w:rsidR="00980E5F" w:rsidRDefault="00980E5F">
            <w:pPr>
              <w:rPr>
                <w:rFonts w:ascii="宋体"/>
                <w:vanish/>
              </w:rPr>
            </w:pPr>
          </w:p>
        </w:tc>
        <w:tc>
          <w:tcPr>
            <w:tcW w:w="0" w:type="auto"/>
            <w:gridSpan w:val="3"/>
            <w:shd w:val="clear" w:color="auto" w:fill="auto"/>
            <w:vAlign w:val="bottom"/>
          </w:tcPr>
          <w:p w14:paraId="392C6C0F" w14:textId="77777777" w:rsidR="00980E5F" w:rsidRDefault="00980E5F">
            <w:pPr>
              <w:rPr>
                <w:rFonts w:ascii="宋体"/>
                <w:vanish/>
              </w:rPr>
            </w:pPr>
          </w:p>
        </w:tc>
        <w:tc>
          <w:tcPr>
            <w:tcW w:w="0" w:type="auto"/>
            <w:gridSpan w:val="3"/>
            <w:shd w:val="clear" w:color="auto" w:fill="auto"/>
            <w:vAlign w:val="bottom"/>
          </w:tcPr>
          <w:p w14:paraId="392C6C10" w14:textId="77777777" w:rsidR="00980E5F" w:rsidRDefault="00980E5F">
            <w:pPr>
              <w:rPr>
                <w:rFonts w:ascii="宋体"/>
                <w:vanish/>
              </w:rPr>
            </w:pPr>
          </w:p>
        </w:tc>
        <w:tc>
          <w:tcPr>
            <w:tcW w:w="0" w:type="auto"/>
            <w:gridSpan w:val="3"/>
            <w:shd w:val="clear" w:color="auto" w:fill="auto"/>
            <w:vAlign w:val="bottom"/>
          </w:tcPr>
          <w:p w14:paraId="392C6C11" w14:textId="77777777" w:rsidR="00980E5F" w:rsidRDefault="00980E5F">
            <w:pPr>
              <w:rPr>
                <w:rFonts w:ascii="宋体"/>
                <w:vanish/>
              </w:rPr>
            </w:pPr>
          </w:p>
        </w:tc>
      </w:tr>
      <w:tr w:rsidR="00980E5F" w14:paraId="392C6C27" w14:textId="77777777">
        <w:trPr>
          <w:hidden/>
        </w:trPr>
        <w:tc>
          <w:tcPr>
            <w:tcW w:w="0" w:type="auto"/>
            <w:gridSpan w:val="3"/>
            <w:shd w:val="clear" w:color="auto" w:fill="auto"/>
            <w:vAlign w:val="bottom"/>
          </w:tcPr>
          <w:p w14:paraId="392C6C13" w14:textId="77777777" w:rsidR="00980E5F" w:rsidRDefault="00980E5F">
            <w:pPr>
              <w:rPr>
                <w:rFonts w:ascii="宋体"/>
                <w:vanish/>
              </w:rPr>
            </w:pPr>
          </w:p>
        </w:tc>
        <w:tc>
          <w:tcPr>
            <w:tcW w:w="0" w:type="auto"/>
            <w:gridSpan w:val="3"/>
            <w:shd w:val="clear" w:color="auto" w:fill="auto"/>
            <w:vAlign w:val="bottom"/>
          </w:tcPr>
          <w:p w14:paraId="392C6C14" w14:textId="77777777" w:rsidR="00980E5F" w:rsidRDefault="00980E5F">
            <w:pPr>
              <w:rPr>
                <w:rFonts w:ascii="宋体"/>
                <w:vanish/>
              </w:rPr>
            </w:pPr>
          </w:p>
        </w:tc>
        <w:tc>
          <w:tcPr>
            <w:tcW w:w="0" w:type="auto"/>
            <w:gridSpan w:val="3"/>
            <w:shd w:val="clear" w:color="auto" w:fill="auto"/>
            <w:vAlign w:val="bottom"/>
          </w:tcPr>
          <w:p w14:paraId="392C6C15" w14:textId="77777777" w:rsidR="00980E5F" w:rsidRDefault="00980E5F">
            <w:pPr>
              <w:rPr>
                <w:rFonts w:ascii="宋体"/>
                <w:vanish/>
              </w:rPr>
            </w:pPr>
          </w:p>
        </w:tc>
        <w:tc>
          <w:tcPr>
            <w:tcW w:w="0" w:type="auto"/>
            <w:gridSpan w:val="3"/>
            <w:shd w:val="clear" w:color="auto" w:fill="auto"/>
            <w:vAlign w:val="bottom"/>
          </w:tcPr>
          <w:p w14:paraId="392C6C16" w14:textId="77777777" w:rsidR="00980E5F" w:rsidRDefault="00980E5F">
            <w:pPr>
              <w:rPr>
                <w:rFonts w:ascii="宋体"/>
                <w:vanish/>
              </w:rPr>
            </w:pPr>
          </w:p>
        </w:tc>
        <w:tc>
          <w:tcPr>
            <w:tcW w:w="0" w:type="auto"/>
            <w:gridSpan w:val="3"/>
            <w:shd w:val="clear" w:color="auto" w:fill="auto"/>
            <w:vAlign w:val="bottom"/>
          </w:tcPr>
          <w:p w14:paraId="392C6C17" w14:textId="77777777" w:rsidR="00980E5F" w:rsidRDefault="00980E5F">
            <w:pPr>
              <w:rPr>
                <w:rFonts w:ascii="宋体"/>
                <w:vanish/>
              </w:rPr>
            </w:pPr>
          </w:p>
        </w:tc>
        <w:tc>
          <w:tcPr>
            <w:tcW w:w="0" w:type="auto"/>
            <w:gridSpan w:val="3"/>
            <w:shd w:val="clear" w:color="auto" w:fill="auto"/>
            <w:vAlign w:val="bottom"/>
          </w:tcPr>
          <w:p w14:paraId="392C6C18" w14:textId="77777777" w:rsidR="00980E5F" w:rsidRDefault="00980E5F">
            <w:pPr>
              <w:rPr>
                <w:rFonts w:ascii="宋体"/>
                <w:vanish/>
              </w:rPr>
            </w:pPr>
          </w:p>
        </w:tc>
        <w:tc>
          <w:tcPr>
            <w:tcW w:w="0" w:type="auto"/>
            <w:gridSpan w:val="3"/>
            <w:shd w:val="clear" w:color="auto" w:fill="auto"/>
            <w:vAlign w:val="bottom"/>
          </w:tcPr>
          <w:p w14:paraId="392C6C19" w14:textId="77777777" w:rsidR="00980E5F" w:rsidRDefault="00980E5F">
            <w:pPr>
              <w:rPr>
                <w:rFonts w:ascii="宋体"/>
                <w:vanish/>
              </w:rPr>
            </w:pPr>
          </w:p>
        </w:tc>
        <w:tc>
          <w:tcPr>
            <w:tcW w:w="0" w:type="auto"/>
            <w:gridSpan w:val="3"/>
            <w:shd w:val="clear" w:color="auto" w:fill="auto"/>
            <w:vAlign w:val="bottom"/>
          </w:tcPr>
          <w:p w14:paraId="392C6C1A" w14:textId="77777777" w:rsidR="00980E5F" w:rsidRDefault="00980E5F">
            <w:pPr>
              <w:rPr>
                <w:rFonts w:ascii="宋体"/>
                <w:vanish/>
              </w:rPr>
            </w:pPr>
          </w:p>
        </w:tc>
        <w:tc>
          <w:tcPr>
            <w:tcW w:w="0" w:type="auto"/>
            <w:gridSpan w:val="3"/>
            <w:shd w:val="clear" w:color="auto" w:fill="auto"/>
            <w:vAlign w:val="bottom"/>
          </w:tcPr>
          <w:p w14:paraId="392C6C1B" w14:textId="77777777" w:rsidR="00980E5F" w:rsidRDefault="00980E5F">
            <w:pPr>
              <w:rPr>
                <w:rFonts w:ascii="宋体"/>
                <w:vanish/>
              </w:rPr>
            </w:pPr>
          </w:p>
        </w:tc>
        <w:tc>
          <w:tcPr>
            <w:tcW w:w="0" w:type="auto"/>
            <w:gridSpan w:val="3"/>
            <w:shd w:val="clear" w:color="auto" w:fill="auto"/>
            <w:vAlign w:val="bottom"/>
          </w:tcPr>
          <w:p w14:paraId="392C6C1C" w14:textId="77777777" w:rsidR="00980E5F" w:rsidRDefault="00980E5F">
            <w:pPr>
              <w:rPr>
                <w:rFonts w:ascii="宋体"/>
                <w:vanish/>
              </w:rPr>
            </w:pPr>
          </w:p>
        </w:tc>
        <w:tc>
          <w:tcPr>
            <w:tcW w:w="0" w:type="auto"/>
            <w:gridSpan w:val="3"/>
            <w:shd w:val="clear" w:color="auto" w:fill="auto"/>
            <w:vAlign w:val="bottom"/>
          </w:tcPr>
          <w:p w14:paraId="392C6C1D" w14:textId="77777777" w:rsidR="00980E5F" w:rsidRDefault="00980E5F">
            <w:pPr>
              <w:rPr>
                <w:rFonts w:ascii="宋体"/>
                <w:vanish/>
              </w:rPr>
            </w:pPr>
          </w:p>
        </w:tc>
        <w:tc>
          <w:tcPr>
            <w:tcW w:w="0" w:type="auto"/>
            <w:gridSpan w:val="3"/>
            <w:shd w:val="clear" w:color="auto" w:fill="auto"/>
            <w:vAlign w:val="bottom"/>
          </w:tcPr>
          <w:p w14:paraId="392C6C1E" w14:textId="77777777" w:rsidR="00980E5F" w:rsidRDefault="00980E5F">
            <w:pPr>
              <w:rPr>
                <w:rFonts w:ascii="宋体"/>
                <w:vanish/>
              </w:rPr>
            </w:pPr>
          </w:p>
        </w:tc>
        <w:tc>
          <w:tcPr>
            <w:tcW w:w="0" w:type="auto"/>
            <w:gridSpan w:val="3"/>
            <w:shd w:val="clear" w:color="auto" w:fill="auto"/>
            <w:vAlign w:val="bottom"/>
          </w:tcPr>
          <w:p w14:paraId="392C6C1F" w14:textId="77777777" w:rsidR="00980E5F" w:rsidRDefault="00980E5F">
            <w:pPr>
              <w:rPr>
                <w:rFonts w:ascii="宋体"/>
                <w:vanish/>
              </w:rPr>
            </w:pPr>
          </w:p>
        </w:tc>
        <w:tc>
          <w:tcPr>
            <w:tcW w:w="0" w:type="auto"/>
            <w:gridSpan w:val="3"/>
            <w:shd w:val="clear" w:color="auto" w:fill="auto"/>
            <w:vAlign w:val="bottom"/>
          </w:tcPr>
          <w:p w14:paraId="392C6C20" w14:textId="77777777" w:rsidR="00980E5F" w:rsidRDefault="00980E5F">
            <w:pPr>
              <w:rPr>
                <w:rFonts w:ascii="宋体"/>
                <w:vanish/>
              </w:rPr>
            </w:pPr>
          </w:p>
        </w:tc>
        <w:tc>
          <w:tcPr>
            <w:tcW w:w="0" w:type="auto"/>
            <w:gridSpan w:val="3"/>
            <w:shd w:val="clear" w:color="auto" w:fill="auto"/>
            <w:vAlign w:val="bottom"/>
          </w:tcPr>
          <w:p w14:paraId="392C6C21" w14:textId="77777777" w:rsidR="00980E5F" w:rsidRDefault="00980E5F">
            <w:pPr>
              <w:rPr>
                <w:rFonts w:ascii="宋体"/>
                <w:vanish/>
              </w:rPr>
            </w:pPr>
          </w:p>
        </w:tc>
        <w:tc>
          <w:tcPr>
            <w:tcW w:w="0" w:type="auto"/>
            <w:gridSpan w:val="3"/>
            <w:shd w:val="clear" w:color="auto" w:fill="auto"/>
            <w:vAlign w:val="bottom"/>
          </w:tcPr>
          <w:p w14:paraId="392C6C22" w14:textId="77777777" w:rsidR="00980E5F" w:rsidRDefault="00980E5F">
            <w:pPr>
              <w:rPr>
                <w:rFonts w:ascii="宋体"/>
                <w:vanish/>
              </w:rPr>
            </w:pPr>
          </w:p>
        </w:tc>
        <w:tc>
          <w:tcPr>
            <w:tcW w:w="0" w:type="auto"/>
            <w:gridSpan w:val="3"/>
            <w:shd w:val="clear" w:color="auto" w:fill="auto"/>
            <w:vAlign w:val="bottom"/>
          </w:tcPr>
          <w:p w14:paraId="392C6C23" w14:textId="77777777" w:rsidR="00980E5F" w:rsidRDefault="00980E5F">
            <w:pPr>
              <w:rPr>
                <w:rFonts w:ascii="宋体"/>
                <w:vanish/>
              </w:rPr>
            </w:pPr>
          </w:p>
        </w:tc>
        <w:tc>
          <w:tcPr>
            <w:tcW w:w="0" w:type="auto"/>
            <w:gridSpan w:val="3"/>
            <w:shd w:val="clear" w:color="auto" w:fill="auto"/>
            <w:vAlign w:val="bottom"/>
          </w:tcPr>
          <w:p w14:paraId="392C6C24" w14:textId="77777777" w:rsidR="00980E5F" w:rsidRDefault="00980E5F">
            <w:pPr>
              <w:rPr>
                <w:rFonts w:ascii="宋体"/>
                <w:vanish/>
              </w:rPr>
            </w:pPr>
          </w:p>
        </w:tc>
        <w:tc>
          <w:tcPr>
            <w:tcW w:w="0" w:type="auto"/>
            <w:gridSpan w:val="3"/>
            <w:shd w:val="clear" w:color="auto" w:fill="auto"/>
            <w:vAlign w:val="bottom"/>
          </w:tcPr>
          <w:p w14:paraId="392C6C25" w14:textId="77777777" w:rsidR="00980E5F" w:rsidRDefault="00980E5F">
            <w:pPr>
              <w:rPr>
                <w:rFonts w:ascii="宋体"/>
                <w:vanish/>
              </w:rPr>
            </w:pPr>
          </w:p>
        </w:tc>
        <w:tc>
          <w:tcPr>
            <w:tcW w:w="0" w:type="auto"/>
            <w:gridSpan w:val="3"/>
            <w:shd w:val="clear" w:color="auto" w:fill="auto"/>
            <w:vAlign w:val="bottom"/>
          </w:tcPr>
          <w:p w14:paraId="392C6C26" w14:textId="77777777" w:rsidR="00980E5F" w:rsidRDefault="00980E5F">
            <w:pPr>
              <w:rPr>
                <w:rFonts w:ascii="宋体"/>
                <w:vanish/>
              </w:rPr>
            </w:pPr>
          </w:p>
        </w:tc>
      </w:tr>
      <w:tr w:rsidR="00980E5F" w14:paraId="392C6C3C" w14:textId="77777777">
        <w:tc>
          <w:tcPr>
            <w:tcW w:w="0" w:type="auto"/>
            <w:gridSpan w:val="3"/>
            <w:shd w:val="clear" w:color="auto" w:fill="FFFFFF"/>
            <w:tcMar>
              <w:top w:w="40" w:type="dxa"/>
              <w:left w:w="20" w:type="dxa"/>
              <w:bottom w:w="40" w:type="dxa"/>
              <w:right w:w="20" w:type="dxa"/>
            </w:tcMar>
            <w:vAlign w:val="bottom"/>
          </w:tcPr>
          <w:p w14:paraId="392C6C28" w14:textId="77777777" w:rsidR="00980E5F" w:rsidRDefault="00483613">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2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2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2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2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2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2E"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2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0"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2"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4"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6"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8"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C3A"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6C3B" w14:textId="77777777" w:rsidR="00980E5F" w:rsidRDefault="00980E5F">
            <w:pPr>
              <w:rPr>
                <w:rFonts w:ascii="宋体"/>
              </w:rPr>
            </w:pPr>
          </w:p>
        </w:tc>
      </w:tr>
      <w:tr w:rsidR="00980E5F" w14:paraId="392C6C51" w14:textId="77777777">
        <w:trPr>
          <w:hidden/>
        </w:trPr>
        <w:tc>
          <w:tcPr>
            <w:tcW w:w="0" w:type="auto"/>
            <w:gridSpan w:val="3"/>
            <w:shd w:val="clear" w:color="auto" w:fill="auto"/>
            <w:vAlign w:val="bottom"/>
          </w:tcPr>
          <w:p w14:paraId="392C6C3D" w14:textId="77777777" w:rsidR="00980E5F" w:rsidRDefault="00980E5F">
            <w:pPr>
              <w:rPr>
                <w:rFonts w:ascii="宋体"/>
                <w:vanish/>
              </w:rPr>
            </w:pPr>
          </w:p>
        </w:tc>
        <w:tc>
          <w:tcPr>
            <w:tcW w:w="0" w:type="auto"/>
            <w:gridSpan w:val="3"/>
            <w:shd w:val="clear" w:color="auto" w:fill="auto"/>
            <w:vAlign w:val="bottom"/>
          </w:tcPr>
          <w:p w14:paraId="392C6C3E" w14:textId="77777777" w:rsidR="00980E5F" w:rsidRDefault="00980E5F">
            <w:pPr>
              <w:rPr>
                <w:rFonts w:ascii="宋体"/>
                <w:vanish/>
              </w:rPr>
            </w:pPr>
          </w:p>
        </w:tc>
        <w:tc>
          <w:tcPr>
            <w:tcW w:w="0" w:type="auto"/>
            <w:gridSpan w:val="3"/>
            <w:shd w:val="clear" w:color="auto" w:fill="auto"/>
            <w:vAlign w:val="bottom"/>
          </w:tcPr>
          <w:p w14:paraId="392C6C3F" w14:textId="77777777" w:rsidR="00980E5F" w:rsidRDefault="00980E5F">
            <w:pPr>
              <w:rPr>
                <w:rFonts w:ascii="宋体"/>
                <w:vanish/>
              </w:rPr>
            </w:pPr>
          </w:p>
        </w:tc>
        <w:tc>
          <w:tcPr>
            <w:tcW w:w="0" w:type="auto"/>
            <w:gridSpan w:val="3"/>
            <w:shd w:val="clear" w:color="auto" w:fill="auto"/>
            <w:vAlign w:val="bottom"/>
          </w:tcPr>
          <w:p w14:paraId="392C6C40" w14:textId="77777777" w:rsidR="00980E5F" w:rsidRDefault="00980E5F">
            <w:pPr>
              <w:rPr>
                <w:rFonts w:ascii="宋体"/>
                <w:vanish/>
              </w:rPr>
            </w:pPr>
          </w:p>
        </w:tc>
        <w:tc>
          <w:tcPr>
            <w:tcW w:w="0" w:type="auto"/>
            <w:gridSpan w:val="3"/>
            <w:shd w:val="clear" w:color="auto" w:fill="auto"/>
            <w:vAlign w:val="bottom"/>
          </w:tcPr>
          <w:p w14:paraId="392C6C41" w14:textId="77777777" w:rsidR="00980E5F" w:rsidRDefault="00980E5F">
            <w:pPr>
              <w:rPr>
                <w:rFonts w:ascii="宋体"/>
                <w:vanish/>
              </w:rPr>
            </w:pPr>
          </w:p>
        </w:tc>
        <w:tc>
          <w:tcPr>
            <w:tcW w:w="0" w:type="auto"/>
            <w:gridSpan w:val="3"/>
            <w:shd w:val="clear" w:color="auto" w:fill="auto"/>
            <w:vAlign w:val="bottom"/>
          </w:tcPr>
          <w:p w14:paraId="392C6C42" w14:textId="77777777" w:rsidR="00980E5F" w:rsidRDefault="00980E5F">
            <w:pPr>
              <w:rPr>
                <w:rFonts w:ascii="宋体"/>
                <w:vanish/>
              </w:rPr>
            </w:pPr>
          </w:p>
        </w:tc>
        <w:tc>
          <w:tcPr>
            <w:tcW w:w="0" w:type="auto"/>
            <w:gridSpan w:val="3"/>
            <w:shd w:val="clear" w:color="auto" w:fill="auto"/>
            <w:vAlign w:val="bottom"/>
          </w:tcPr>
          <w:p w14:paraId="392C6C43" w14:textId="77777777" w:rsidR="00980E5F" w:rsidRDefault="00980E5F">
            <w:pPr>
              <w:rPr>
                <w:rFonts w:ascii="宋体"/>
                <w:vanish/>
              </w:rPr>
            </w:pPr>
          </w:p>
        </w:tc>
        <w:tc>
          <w:tcPr>
            <w:tcW w:w="0" w:type="auto"/>
            <w:gridSpan w:val="3"/>
            <w:shd w:val="clear" w:color="auto" w:fill="auto"/>
            <w:vAlign w:val="bottom"/>
          </w:tcPr>
          <w:p w14:paraId="392C6C44" w14:textId="77777777" w:rsidR="00980E5F" w:rsidRDefault="00980E5F">
            <w:pPr>
              <w:rPr>
                <w:rFonts w:ascii="宋体"/>
                <w:vanish/>
              </w:rPr>
            </w:pPr>
          </w:p>
        </w:tc>
        <w:tc>
          <w:tcPr>
            <w:tcW w:w="0" w:type="auto"/>
            <w:gridSpan w:val="3"/>
            <w:shd w:val="clear" w:color="auto" w:fill="auto"/>
            <w:vAlign w:val="bottom"/>
          </w:tcPr>
          <w:p w14:paraId="392C6C45" w14:textId="77777777" w:rsidR="00980E5F" w:rsidRDefault="00980E5F">
            <w:pPr>
              <w:rPr>
                <w:rFonts w:ascii="宋体"/>
                <w:vanish/>
              </w:rPr>
            </w:pPr>
          </w:p>
        </w:tc>
        <w:tc>
          <w:tcPr>
            <w:tcW w:w="0" w:type="auto"/>
            <w:gridSpan w:val="3"/>
            <w:shd w:val="clear" w:color="auto" w:fill="auto"/>
            <w:vAlign w:val="bottom"/>
          </w:tcPr>
          <w:p w14:paraId="392C6C46" w14:textId="77777777" w:rsidR="00980E5F" w:rsidRDefault="00980E5F">
            <w:pPr>
              <w:rPr>
                <w:rFonts w:ascii="宋体"/>
                <w:vanish/>
              </w:rPr>
            </w:pPr>
          </w:p>
        </w:tc>
        <w:tc>
          <w:tcPr>
            <w:tcW w:w="0" w:type="auto"/>
            <w:gridSpan w:val="3"/>
            <w:shd w:val="clear" w:color="auto" w:fill="auto"/>
            <w:vAlign w:val="bottom"/>
          </w:tcPr>
          <w:p w14:paraId="392C6C47" w14:textId="77777777" w:rsidR="00980E5F" w:rsidRDefault="00980E5F">
            <w:pPr>
              <w:rPr>
                <w:rFonts w:ascii="宋体"/>
                <w:vanish/>
              </w:rPr>
            </w:pPr>
          </w:p>
        </w:tc>
        <w:tc>
          <w:tcPr>
            <w:tcW w:w="0" w:type="auto"/>
            <w:gridSpan w:val="3"/>
            <w:shd w:val="clear" w:color="auto" w:fill="auto"/>
            <w:vAlign w:val="bottom"/>
          </w:tcPr>
          <w:p w14:paraId="392C6C48" w14:textId="77777777" w:rsidR="00980E5F" w:rsidRDefault="00980E5F">
            <w:pPr>
              <w:rPr>
                <w:rFonts w:ascii="宋体"/>
                <w:vanish/>
              </w:rPr>
            </w:pPr>
          </w:p>
        </w:tc>
        <w:tc>
          <w:tcPr>
            <w:tcW w:w="0" w:type="auto"/>
            <w:gridSpan w:val="3"/>
            <w:shd w:val="clear" w:color="auto" w:fill="auto"/>
            <w:vAlign w:val="bottom"/>
          </w:tcPr>
          <w:p w14:paraId="392C6C49" w14:textId="77777777" w:rsidR="00980E5F" w:rsidRDefault="00980E5F">
            <w:pPr>
              <w:rPr>
                <w:rFonts w:ascii="宋体"/>
                <w:vanish/>
              </w:rPr>
            </w:pPr>
          </w:p>
        </w:tc>
        <w:tc>
          <w:tcPr>
            <w:tcW w:w="0" w:type="auto"/>
            <w:gridSpan w:val="3"/>
            <w:shd w:val="clear" w:color="auto" w:fill="auto"/>
            <w:vAlign w:val="bottom"/>
          </w:tcPr>
          <w:p w14:paraId="392C6C4A" w14:textId="77777777" w:rsidR="00980E5F" w:rsidRDefault="00980E5F">
            <w:pPr>
              <w:rPr>
                <w:rFonts w:ascii="宋体"/>
                <w:vanish/>
              </w:rPr>
            </w:pPr>
          </w:p>
        </w:tc>
        <w:tc>
          <w:tcPr>
            <w:tcW w:w="0" w:type="auto"/>
            <w:gridSpan w:val="3"/>
            <w:shd w:val="clear" w:color="auto" w:fill="auto"/>
            <w:vAlign w:val="bottom"/>
          </w:tcPr>
          <w:p w14:paraId="392C6C4B" w14:textId="77777777" w:rsidR="00980E5F" w:rsidRDefault="00980E5F">
            <w:pPr>
              <w:rPr>
                <w:rFonts w:ascii="宋体"/>
                <w:vanish/>
              </w:rPr>
            </w:pPr>
          </w:p>
        </w:tc>
        <w:tc>
          <w:tcPr>
            <w:tcW w:w="0" w:type="auto"/>
            <w:gridSpan w:val="3"/>
            <w:shd w:val="clear" w:color="auto" w:fill="auto"/>
            <w:vAlign w:val="bottom"/>
          </w:tcPr>
          <w:p w14:paraId="392C6C4C" w14:textId="77777777" w:rsidR="00980E5F" w:rsidRDefault="00980E5F">
            <w:pPr>
              <w:rPr>
                <w:rFonts w:ascii="宋体"/>
                <w:vanish/>
              </w:rPr>
            </w:pPr>
          </w:p>
        </w:tc>
        <w:tc>
          <w:tcPr>
            <w:tcW w:w="0" w:type="auto"/>
            <w:gridSpan w:val="3"/>
            <w:shd w:val="clear" w:color="auto" w:fill="auto"/>
            <w:vAlign w:val="bottom"/>
          </w:tcPr>
          <w:p w14:paraId="392C6C4D" w14:textId="77777777" w:rsidR="00980E5F" w:rsidRDefault="00980E5F">
            <w:pPr>
              <w:rPr>
                <w:rFonts w:ascii="宋体"/>
                <w:vanish/>
              </w:rPr>
            </w:pPr>
          </w:p>
        </w:tc>
        <w:tc>
          <w:tcPr>
            <w:tcW w:w="0" w:type="auto"/>
            <w:gridSpan w:val="3"/>
            <w:shd w:val="clear" w:color="auto" w:fill="auto"/>
            <w:vAlign w:val="bottom"/>
          </w:tcPr>
          <w:p w14:paraId="392C6C4E" w14:textId="77777777" w:rsidR="00980E5F" w:rsidRDefault="00980E5F">
            <w:pPr>
              <w:rPr>
                <w:rFonts w:ascii="宋体"/>
                <w:vanish/>
              </w:rPr>
            </w:pPr>
          </w:p>
        </w:tc>
        <w:tc>
          <w:tcPr>
            <w:tcW w:w="0" w:type="auto"/>
            <w:gridSpan w:val="3"/>
            <w:shd w:val="clear" w:color="auto" w:fill="auto"/>
            <w:vAlign w:val="bottom"/>
          </w:tcPr>
          <w:p w14:paraId="392C6C4F" w14:textId="77777777" w:rsidR="00980E5F" w:rsidRDefault="00980E5F">
            <w:pPr>
              <w:rPr>
                <w:rFonts w:ascii="宋体"/>
                <w:vanish/>
              </w:rPr>
            </w:pPr>
          </w:p>
        </w:tc>
        <w:tc>
          <w:tcPr>
            <w:tcW w:w="0" w:type="auto"/>
            <w:gridSpan w:val="3"/>
            <w:shd w:val="clear" w:color="auto" w:fill="auto"/>
            <w:vAlign w:val="bottom"/>
          </w:tcPr>
          <w:p w14:paraId="392C6C50" w14:textId="77777777" w:rsidR="00980E5F" w:rsidRDefault="00980E5F">
            <w:pPr>
              <w:rPr>
                <w:rFonts w:ascii="宋体"/>
                <w:vanish/>
              </w:rPr>
            </w:pPr>
          </w:p>
        </w:tc>
      </w:tr>
      <w:tr w:rsidR="00980E5F" w14:paraId="392C6C66" w14:textId="77777777">
        <w:trPr>
          <w:hidden/>
        </w:trPr>
        <w:tc>
          <w:tcPr>
            <w:tcW w:w="0" w:type="auto"/>
            <w:gridSpan w:val="3"/>
            <w:shd w:val="clear" w:color="auto" w:fill="auto"/>
            <w:vAlign w:val="bottom"/>
          </w:tcPr>
          <w:p w14:paraId="392C6C52" w14:textId="77777777" w:rsidR="00980E5F" w:rsidRDefault="00980E5F">
            <w:pPr>
              <w:rPr>
                <w:rFonts w:ascii="宋体"/>
                <w:vanish/>
              </w:rPr>
            </w:pPr>
          </w:p>
        </w:tc>
        <w:tc>
          <w:tcPr>
            <w:tcW w:w="0" w:type="auto"/>
            <w:gridSpan w:val="3"/>
            <w:shd w:val="clear" w:color="auto" w:fill="auto"/>
            <w:vAlign w:val="bottom"/>
          </w:tcPr>
          <w:p w14:paraId="392C6C53" w14:textId="77777777" w:rsidR="00980E5F" w:rsidRDefault="00980E5F">
            <w:pPr>
              <w:rPr>
                <w:rFonts w:ascii="宋体"/>
                <w:vanish/>
              </w:rPr>
            </w:pPr>
          </w:p>
        </w:tc>
        <w:tc>
          <w:tcPr>
            <w:tcW w:w="0" w:type="auto"/>
            <w:gridSpan w:val="3"/>
            <w:shd w:val="clear" w:color="auto" w:fill="auto"/>
            <w:vAlign w:val="bottom"/>
          </w:tcPr>
          <w:p w14:paraId="392C6C54" w14:textId="77777777" w:rsidR="00980E5F" w:rsidRDefault="00980E5F">
            <w:pPr>
              <w:rPr>
                <w:rFonts w:ascii="宋体"/>
                <w:vanish/>
              </w:rPr>
            </w:pPr>
          </w:p>
        </w:tc>
        <w:tc>
          <w:tcPr>
            <w:tcW w:w="0" w:type="auto"/>
            <w:gridSpan w:val="3"/>
            <w:shd w:val="clear" w:color="auto" w:fill="auto"/>
            <w:vAlign w:val="bottom"/>
          </w:tcPr>
          <w:p w14:paraId="392C6C55" w14:textId="77777777" w:rsidR="00980E5F" w:rsidRDefault="00980E5F">
            <w:pPr>
              <w:rPr>
                <w:rFonts w:ascii="宋体"/>
                <w:vanish/>
              </w:rPr>
            </w:pPr>
          </w:p>
        </w:tc>
        <w:tc>
          <w:tcPr>
            <w:tcW w:w="0" w:type="auto"/>
            <w:gridSpan w:val="3"/>
            <w:shd w:val="clear" w:color="auto" w:fill="auto"/>
            <w:vAlign w:val="bottom"/>
          </w:tcPr>
          <w:p w14:paraId="392C6C56" w14:textId="77777777" w:rsidR="00980E5F" w:rsidRDefault="00980E5F">
            <w:pPr>
              <w:rPr>
                <w:rFonts w:ascii="宋体"/>
                <w:vanish/>
              </w:rPr>
            </w:pPr>
          </w:p>
        </w:tc>
        <w:tc>
          <w:tcPr>
            <w:tcW w:w="0" w:type="auto"/>
            <w:gridSpan w:val="3"/>
            <w:shd w:val="clear" w:color="auto" w:fill="auto"/>
            <w:vAlign w:val="bottom"/>
          </w:tcPr>
          <w:p w14:paraId="392C6C57" w14:textId="77777777" w:rsidR="00980E5F" w:rsidRDefault="00980E5F">
            <w:pPr>
              <w:rPr>
                <w:rFonts w:ascii="宋体"/>
                <w:vanish/>
              </w:rPr>
            </w:pPr>
          </w:p>
        </w:tc>
        <w:tc>
          <w:tcPr>
            <w:tcW w:w="0" w:type="auto"/>
            <w:gridSpan w:val="3"/>
            <w:shd w:val="clear" w:color="auto" w:fill="auto"/>
            <w:vAlign w:val="bottom"/>
          </w:tcPr>
          <w:p w14:paraId="392C6C58" w14:textId="77777777" w:rsidR="00980E5F" w:rsidRDefault="00980E5F">
            <w:pPr>
              <w:rPr>
                <w:rFonts w:ascii="宋体"/>
                <w:vanish/>
              </w:rPr>
            </w:pPr>
          </w:p>
        </w:tc>
        <w:tc>
          <w:tcPr>
            <w:tcW w:w="0" w:type="auto"/>
            <w:gridSpan w:val="3"/>
            <w:shd w:val="clear" w:color="auto" w:fill="auto"/>
            <w:vAlign w:val="bottom"/>
          </w:tcPr>
          <w:p w14:paraId="392C6C59" w14:textId="77777777" w:rsidR="00980E5F" w:rsidRDefault="00980E5F">
            <w:pPr>
              <w:rPr>
                <w:rFonts w:ascii="宋体"/>
                <w:vanish/>
              </w:rPr>
            </w:pPr>
          </w:p>
        </w:tc>
        <w:tc>
          <w:tcPr>
            <w:tcW w:w="0" w:type="auto"/>
            <w:gridSpan w:val="3"/>
            <w:shd w:val="clear" w:color="auto" w:fill="auto"/>
            <w:vAlign w:val="bottom"/>
          </w:tcPr>
          <w:p w14:paraId="392C6C5A" w14:textId="77777777" w:rsidR="00980E5F" w:rsidRDefault="00980E5F">
            <w:pPr>
              <w:rPr>
                <w:rFonts w:ascii="宋体"/>
                <w:vanish/>
              </w:rPr>
            </w:pPr>
          </w:p>
        </w:tc>
        <w:tc>
          <w:tcPr>
            <w:tcW w:w="0" w:type="auto"/>
            <w:gridSpan w:val="3"/>
            <w:shd w:val="clear" w:color="auto" w:fill="auto"/>
            <w:vAlign w:val="bottom"/>
          </w:tcPr>
          <w:p w14:paraId="392C6C5B" w14:textId="77777777" w:rsidR="00980E5F" w:rsidRDefault="00980E5F">
            <w:pPr>
              <w:rPr>
                <w:rFonts w:ascii="宋体"/>
                <w:vanish/>
              </w:rPr>
            </w:pPr>
          </w:p>
        </w:tc>
        <w:tc>
          <w:tcPr>
            <w:tcW w:w="0" w:type="auto"/>
            <w:gridSpan w:val="3"/>
            <w:shd w:val="clear" w:color="auto" w:fill="auto"/>
            <w:vAlign w:val="bottom"/>
          </w:tcPr>
          <w:p w14:paraId="392C6C5C" w14:textId="77777777" w:rsidR="00980E5F" w:rsidRDefault="00980E5F">
            <w:pPr>
              <w:rPr>
                <w:rFonts w:ascii="宋体"/>
                <w:vanish/>
              </w:rPr>
            </w:pPr>
          </w:p>
        </w:tc>
        <w:tc>
          <w:tcPr>
            <w:tcW w:w="0" w:type="auto"/>
            <w:gridSpan w:val="3"/>
            <w:shd w:val="clear" w:color="auto" w:fill="auto"/>
            <w:vAlign w:val="bottom"/>
          </w:tcPr>
          <w:p w14:paraId="392C6C5D" w14:textId="77777777" w:rsidR="00980E5F" w:rsidRDefault="00980E5F">
            <w:pPr>
              <w:rPr>
                <w:rFonts w:ascii="宋体"/>
                <w:vanish/>
              </w:rPr>
            </w:pPr>
          </w:p>
        </w:tc>
        <w:tc>
          <w:tcPr>
            <w:tcW w:w="0" w:type="auto"/>
            <w:gridSpan w:val="3"/>
            <w:shd w:val="clear" w:color="auto" w:fill="auto"/>
            <w:vAlign w:val="bottom"/>
          </w:tcPr>
          <w:p w14:paraId="392C6C5E" w14:textId="77777777" w:rsidR="00980E5F" w:rsidRDefault="00980E5F">
            <w:pPr>
              <w:rPr>
                <w:rFonts w:ascii="宋体"/>
                <w:vanish/>
              </w:rPr>
            </w:pPr>
          </w:p>
        </w:tc>
        <w:tc>
          <w:tcPr>
            <w:tcW w:w="0" w:type="auto"/>
            <w:gridSpan w:val="3"/>
            <w:shd w:val="clear" w:color="auto" w:fill="auto"/>
            <w:vAlign w:val="bottom"/>
          </w:tcPr>
          <w:p w14:paraId="392C6C5F" w14:textId="77777777" w:rsidR="00980E5F" w:rsidRDefault="00980E5F">
            <w:pPr>
              <w:rPr>
                <w:rFonts w:ascii="宋体"/>
                <w:vanish/>
              </w:rPr>
            </w:pPr>
          </w:p>
        </w:tc>
        <w:tc>
          <w:tcPr>
            <w:tcW w:w="0" w:type="auto"/>
            <w:gridSpan w:val="3"/>
            <w:shd w:val="clear" w:color="auto" w:fill="auto"/>
            <w:vAlign w:val="bottom"/>
          </w:tcPr>
          <w:p w14:paraId="392C6C60" w14:textId="77777777" w:rsidR="00980E5F" w:rsidRDefault="00980E5F">
            <w:pPr>
              <w:rPr>
                <w:rFonts w:ascii="宋体"/>
                <w:vanish/>
              </w:rPr>
            </w:pPr>
          </w:p>
        </w:tc>
        <w:tc>
          <w:tcPr>
            <w:tcW w:w="0" w:type="auto"/>
            <w:gridSpan w:val="3"/>
            <w:shd w:val="clear" w:color="auto" w:fill="auto"/>
            <w:vAlign w:val="bottom"/>
          </w:tcPr>
          <w:p w14:paraId="392C6C61" w14:textId="77777777" w:rsidR="00980E5F" w:rsidRDefault="00980E5F">
            <w:pPr>
              <w:rPr>
                <w:rFonts w:ascii="宋体"/>
                <w:vanish/>
              </w:rPr>
            </w:pPr>
          </w:p>
        </w:tc>
        <w:tc>
          <w:tcPr>
            <w:tcW w:w="0" w:type="auto"/>
            <w:gridSpan w:val="3"/>
            <w:shd w:val="clear" w:color="auto" w:fill="auto"/>
            <w:vAlign w:val="bottom"/>
          </w:tcPr>
          <w:p w14:paraId="392C6C62" w14:textId="77777777" w:rsidR="00980E5F" w:rsidRDefault="00980E5F">
            <w:pPr>
              <w:rPr>
                <w:rFonts w:ascii="宋体"/>
                <w:vanish/>
              </w:rPr>
            </w:pPr>
          </w:p>
        </w:tc>
        <w:tc>
          <w:tcPr>
            <w:tcW w:w="0" w:type="auto"/>
            <w:gridSpan w:val="3"/>
            <w:shd w:val="clear" w:color="auto" w:fill="auto"/>
            <w:vAlign w:val="bottom"/>
          </w:tcPr>
          <w:p w14:paraId="392C6C63" w14:textId="77777777" w:rsidR="00980E5F" w:rsidRDefault="00980E5F">
            <w:pPr>
              <w:rPr>
                <w:rFonts w:ascii="宋体"/>
                <w:vanish/>
              </w:rPr>
            </w:pPr>
          </w:p>
        </w:tc>
        <w:tc>
          <w:tcPr>
            <w:tcW w:w="0" w:type="auto"/>
            <w:gridSpan w:val="3"/>
            <w:shd w:val="clear" w:color="auto" w:fill="auto"/>
            <w:vAlign w:val="bottom"/>
          </w:tcPr>
          <w:p w14:paraId="392C6C64" w14:textId="77777777" w:rsidR="00980E5F" w:rsidRDefault="00980E5F">
            <w:pPr>
              <w:rPr>
                <w:rFonts w:ascii="宋体"/>
                <w:vanish/>
              </w:rPr>
            </w:pPr>
          </w:p>
        </w:tc>
        <w:tc>
          <w:tcPr>
            <w:tcW w:w="0" w:type="auto"/>
            <w:gridSpan w:val="3"/>
            <w:shd w:val="clear" w:color="auto" w:fill="auto"/>
            <w:vAlign w:val="bottom"/>
          </w:tcPr>
          <w:p w14:paraId="392C6C65" w14:textId="77777777" w:rsidR="00980E5F" w:rsidRDefault="00980E5F">
            <w:pPr>
              <w:rPr>
                <w:rFonts w:ascii="宋体"/>
                <w:vanish/>
              </w:rPr>
            </w:pPr>
          </w:p>
        </w:tc>
      </w:tr>
      <w:tr w:rsidR="00980E5F" w14:paraId="392C6C85" w14:textId="77777777">
        <w:tc>
          <w:tcPr>
            <w:tcW w:w="0" w:type="auto"/>
            <w:gridSpan w:val="3"/>
            <w:shd w:val="clear" w:color="auto" w:fill="CCEEFF"/>
            <w:tcMar>
              <w:top w:w="40" w:type="dxa"/>
              <w:left w:w="245" w:type="dxa"/>
              <w:bottom w:w="40" w:type="dxa"/>
              <w:right w:w="20" w:type="dxa"/>
            </w:tcMar>
            <w:vAlign w:val="bottom"/>
          </w:tcPr>
          <w:p w14:paraId="392C6C67" w14:textId="77777777" w:rsidR="00980E5F" w:rsidRDefault="00483613">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392C6C68" w14:textId="77777777" w:rsidR="00980E5F" w:rsidRDefault="00483613">
            <w:pPr>
              <w:jc w:val="right"/>
              <w:textAlignment w:val="bottom"/>
            </w:pPr>
            <w:r>
              <w:rPr>
                <w:rFonts w:ascii="Arial" w:eastAsia="宋体" w:hAnsi="Arial" w:cs="Arial"/>
                <w:b/>
                <w:bCs/>
                <w:color w:val="000000"/>
                <w:sz w:val="13"/>
                <w:szCs w:val="13"/>
              </w:rPr>
              <w:t>546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6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6B" w14:textId="77777777" w:rsidR="00980E5F" w:rsidRDefault="00483613">
            <w:pPr>
              <w:jc w:val="right"/>
              <w:textAlignment w:val="bottom"/>
            </w:pPr>
            <w:r>
              <w:rPr>
                <w:rFonts w:ascii="Arial" w:eastAsia="宋体" w:hAnsi="Arial" w:cs="Arial"/>
                <w:b/>
                <w:bCs/>
                <w:color w:val="000000"/>
                <w:sz w:val="13"/>
                <w:szCs w:val="13"/>
              </w:rPr>
              <w:t>543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6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6E" w14:textId="77777777" w:rsidR="00980E5F" w:rsidRDefault="00483613">
            <w:pPr>
              <w:jc w:val="right"/>
              <w:textAlignment w:val="bottom"/>
            </w:pPr>
            <w:r>
              <w:rPr>
                <w:rFonts w:ascii="Arial" w:eastAsia="宋体" w:hAnsi="Arial" w:cs="Arial"/>
                <w:b/>
                <w:bCs/>
                <w:color w:val="000000"/>
                <w:sz w:val="13"/>
                <w:szCs w:val="13"/>
              </w:rPr>
              <w:t>5,303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71" w14:textId="77777777" w:rsidR="00980E5F" w:rsidRDefault="00483613">
            <w:pPr>
              <w:jc w:val="right"/>
              <w:textAlignment w:val="bottom"/>
            </w:pPr>
            <w:r>
              <w:rPr>
                <w:rFonts w:ascii="Arial" w:eastAsia="宋体" w:hAnsi="Arial" w:cs="Arial"/>
                <w:b/>
                <w:bCs/>
                <w:color w:val="000000"/>
                <w:sz w:val="13"/>
                <w:szCs w:val="13"/>
              </w:rPr>
              <w:t>5,186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74" w14:textId="77777777" w:rsidR="00980E5F" w:rsidRDefault="00483613">
            <w:pPr>
              <w:jc w:val="right"/>
              <w:textAlignment w:val="bottom"/>
            </w:pPr>
            <w:r>
              <w:rPr>
                <w:rFonts w:ascii="Arial" w:eastAsia="宋体" w:hAnsi="Arial" w:cs="Arial"/>
                <w:b/>
                <w:bCs/>
                <w:color w:val="000000"/>
                <w:sz w:val="13"/>
                <w:szCs w:val="13"/>
              </w:rPr>
              <w:t>594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77" w14:textId="77777777" w:rsidR="00980E5F" w:rsidRDefault="00483613">
            <w:pPr>
              <w:jc w:val="right"/>
              <w:textAlignment w:val="bottom"/>
            </w:pPr>
            <w:r>
              <w:rPr>
                <w:rFonts w:ascii="Arial" w:eastAsia="宋体" w:hAnsi="Arial" w:cs="Arial"/>
                <w:b/>
                <w:bCs/>
                <w:color w:val="000000"/>
                <w:sz w:val="13"/>
                <w:szCs w:val="13"/>
              </w:rPr>
              <w:t>586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7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7D"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7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80" w14:textId="77777777" w:rsidR="00980E5F" w:rsidRDefault="00483613">
            <w:pPr>
              <w:jc w:val="right"/>
              <w:textAlignment w:val="bottom"/>
            </w:pPr>
            <w:r>
              <w:rPr>
                <w:rFonts w:ascii="Arial" w:eastAsia="宋体" w:hAnsi="Arial" w:cs="Arial"/>
                <w:b/>
                <w:bCs/>
                <w:color w:val="000000"/>
                <w:sz w:val="13"/>
                <w:szCs w:val="13"/>
              </w:rPr>
              <w:t>6,443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C8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C83" w14:textId="77777777" w:rsidR="00980E5F" w:rsidRDefault="00483613">
            <w:pPr>
              <w:jc w:val="right"/>
              <w:textAlignment w:val="bottom"/>
            </w:pPr>
            <w:r>
              <w:rPr>
                <w:rFonts w:ascii="Arial" w:eastAsia="宋体" w:hAnsi="Arial" w:cs="Arial"/>
                <w:b/>
                <w:bCs/>
                <w:color w:val="000000"/>
                <w:sz w:val="13"/>
                <w:szCs w:val="13"/>
              </w:rPr>
              <w:t>6,315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C84" w14:textId="77777777" w:rsidR="00980E5F" w:rsidRDefault="00980E5F">
            <w:pPr>
              <w:jc w:val="right"/>
              <w:rPr>
                <w:rFonts w:ascii="宋体"/>
              </w:rPr>
            </w:pPr>
          </w:p>
        </w:tc>
      </w:tr>
      <w:tr w:rsidR="00980E5F" w14:paraId="392C6C9A" w14:textId="77777777">
        <w:trPr>
          <w:hidden/>
        </w:trPr>
        <w:tc>
          <w:tcPr>
            <w:tcW w:w="0" w:type="auto"/>
            <w:gridSpan w:val="3"/>
            <w:shd w:val="clear" w:color="auto" w:fill="auto"/>
            <w:vAlign w:val="bottom"/>
          </w:tcPr>
          <w:p w14:paraId="392C6C86" w14:textId="77777777" w:rsidR="00980E5F" w:rsidRDefault="00980E5F">
            <w:pPr>
              <w:rPr>
                <w:rFonts w:ascii="宋体"/>
                <w:vanish/>
              </w:rPr>
            </w:pPr>
          </w:p>
        </w:tc>
        <w:tc>
          <w:tcPr>
            <w:tcW w:w="0" w:type="auto"/>
            <w:gridSpan w:val="3"/>
            <w:shd w:val="clear" w:color="auto" w:fill="auto"/>
            <w:vAlign w:val="bottom"/>
          </w:tcPr>
          <w:p w14:paraId="392C6C87" w14:textId="77777777" w:rsidR="00980E5F" w:rsidRDefault="00980E5F">
            <w:pPr>
              <w:rPr>
                <w:rFonts w:ascii="宋体"/>
                <w:vanish/>
              </w:rPr>
            </w:pPr>
          </w:p>
        </w:tc>
        <w:tc>
          <w:tcPr>
            <w:tcW w:w="0" w:type="auto"/>
            <w:gridSpan w:val="3"/>
            <w:shd w:val="clear" w:color="auto" w:fill="auto"/>
            <w:vAlign w:val="bottom"/>
          </w:tcPr>
          <w:p w14:paraId="392C6C88" w14:textId="77777777" w:rsidR="00980E5F" w:rsidRDefault="00980E5F">
            <w:pPr>
              <w:rPr>
                <w:rFonts w:ascii="宋体"/>
                <w:vanish/>
              </w:rPr>
            </w:pPr>
          </w:p>
        </w:tc>
        <w:tc>
          <w:tcPr>
            <w:tcW w:w="0" w:type="auto"/>
            <w:gridSpan w:val="3"/>
            <w:shd w:val="clear" w:color="auto" w:fill="auto"/>
            <w:vAlign w:val="bottom"/>
          </w:tcPr>
          <w:p w14:paraId="392C6C89" w14:textId="77777777" w:rsidR="00980E5F" w:rsidRDefault="00980E5F">
            <w:pPr>
              <w:rPr>
                <w:rFonts w:ascii="宋体"/>
                <w:vanish/>
              </w:rPr>
            </w:pPr>
          </w:p>
        </w:tc>
        <w:tc>
          <w:tcPr>
            <w:tcW w:w="0" w:type="auto"/>
            <w:gridSpan w:val="3"/>
            <w:shd w:val="clear" w:color="auto" w:fill="auto"/>
            <w:vAlign w:val="bottom"/>
          </w:tcPr>
          <w:p w14:paraId="392C6C8A" w14:textId="77777777" w:rsidR="00980E5F" w:rsidRDefault="00980E5F">
            <w:pPr>
              <w:rPr>
                <w:rFonts w:ascii="宋体"/>
                <w:vanish/>
              </w:rPr>
            </w:pPr>
          </w:p>
        </w:tc>
        <w:tc>
          <w:tcPr>
            <w:tcW w:w="0" w:type="auto"/>
            <w:gridSpan w:val="3"/>
            <w:shd w:val="clear" w:color="auto" w:fill="auto"/>
            <w:vAlign w:val="bottom"/>
          </w:tcPr>
          <w:p w14:paraId="392C6C8B" w14:textId="77777777" w:rsidR="00980E5F" w:rsidRDefault="00980E5F">
            <w:pPr>
              <w:rPr>
                <w:rFonts w:ascii="宋体"/>
                <w:vanish/>
              </w:rPr>
            </w:pPr>
          </w:p>
        </w:tc>
        <w:tc>
          <w:tcPr>
            <w:tcW w:w="0" w:type="auto"/>
            <w:gridSpan w:val="3"/>
            <w:shd w:val="clear" w:color="auto" w:fill="auto"/>
            <w:vAlign w:val="bottom"/>
          </w:tcPr>
          <w:p w14:paraId="392C6C8C" w14:textId="77777777" w:rsidR="00980E5F" w:rsidRDefault="00980E5F">
            <w:pPr>
              <w:rPr>
                <w:rFonts w:ascii="宋体"/>
                <w:vanish/>
              </w:rPr>
            </w:pPr>
          </w:p>
        </w:tc>
        <w:tc>
          <w:tcPr>
            <w:tcW w:w="0" w:type="auto"/>
            <w:gridSpan w:val="3"/>
            <w:shd w:val="clear" w:color="auto" w:fill="auto"/>
            <w:vAlign w:val="bottom"/>
          </w:tcPr>
          <w:p w14:paraId="392C6C8D" w14:textId="77777777" w:rsidR="00980E5F" w:rsidRDefault="00980E5F">
            <w:pPr>
              <w:rPr>
                <w:rFonts w:ascii="宋体"/>
                <w:vanish/>
              </w:rPr>
            </w:pPr>
          </w:p>
        </w:tc>
        <w:tc>
          <w:tcPr>
            <w:tcW w:w="0" w:type="auto"/>
            <w:gridSpan w:val="3"/>
            <w:shd w:val="clear" w:color="auto" w:fill="auto"/>
            <w:vAlign w:val="bottom"/>
          </w:tcPr>
          <w:p w14:paraId="392C6C8E" w14:textId="77777777" w:rsidR="00980E5F" w:rsidRDefault="00980E5F">
            <w:pPr>
              <w:rPr>
                <w:rFonts w:ascii="宋体"/>
                <w:vanish/>
              </w:rPr>
            </w:pPr>
          </w:p>
        </w:tc>
        <w:tc>
          <w:tcPr>
            <w:tcW w:w="0" w:type="auto"/>
            <w:gridSpan w:val="3"/>
            <w:shd w:val="clear" w:color="auto" w:fill="auto"/>
            <w:vAlign w:val="bottom"/>
          </w:tcPr>
          <w:p w14:paraId="392C6C8F" w14:textId="77777777" w:rsidR="00980E5F" w:rsidRDefault="00980E5F">
            <w:pPr>
              <w:rPr>
                <w:rFonts w:ascii="宋体"/>
                <w:vanish/>
              </w:rPr>
            </w:pPr>
          </w:p>
        </w:tc>
        <w:tc>
          <w:tcPr>
            <w:tcW w:w="0" w:type="auto"/>
            <w:gridSpan w:val="3"/>
            <w:shd w:val="clear" w:color="auto" w:fill="auto"/>
            <w:vAlign w:val="bottom"/>
          </w:tcPr>
          <w:p w14:paraId="392C6C90" w14:textId="77777777" w:rsidR="00980E5F" w:rsidRDefault="00980E5F">
            <w:pPr>
              <w:rPr>
                <w:rFonts w:ascii="宋体"/>
                <w:vanish/>
              </w:rPr>
            </w:pPr>
          </w:p>
        </w:tc>
        <w:tc>
          <w:tcPr>
            <w:tcW w:w="0" w:type="auto"/>
            <w:gridSpan w:val="3"/>
            <w:shd w:val="clear" w:color="auto" w:fill="auto"/>
            <w:vAlign w:val="bottom"/>
          </w:tcPr>
          <w:p w14:paraId="392C6C91" w14:textId="77777777" w:rsidR="00980E5F" w:rsidRDefault="00980E5F">
            <w:pPr>
              <w:rPr>
                <w:rFonts w:ascii="宋体"/>
                <w:vanish/>
              </w:rPr>
            </w:pPr>
          </w:p>
        </w:tc>
        <w:tc>
          <w:tcPr>
            <w:tcW w:w="0" w:type="auto"/>
            <w:gridSpan w:val="3"/>
            <w:shd w:val="clear" w:color="auto" w:fill="auto"/>
            <w:vAlign w:val="bottom"/>
          </w:tcPr>
          <w:p w14:paraId="392C6C92" w14:textId="77777777" w:rsidR="00980E5F" w:rsidRDefault="00980E5F">
            <w:pPr>
              <w:rPr>
                <w:rFonts w:ascii="宋体"/>
                <w:vanish/>
              </w:rPr>
            </w:pPr>
          </w:p>
        </w:tc>
        <w:tc>
          <w:tcPr>
            <w:tcW w:w="0" w:type="auto"/>
            <w:gridSpan w:val="3"/>
            <w:shd w:val="clear" w:color="auto" w:fill="auto"/>
            <w:vAlign w:val="bottom"/>
          </w:tcPr>
          <w:p w14:paraId="392C6C93" w14:textId="77777777" w:rsidR="00980E5F" w:rsidRDefault="00980E5F">
            <w:pPr>
              <w:rPr>
                <w:rFonts w:ascii="宋体"/>
                <w:vanish/>
              </w:rPr>
            </w:pPr>
          </w:p>
        </w:tc>
        <w:tc>
          <w:tcPr>
            <w:tcW w:w="0" w:type="auto"/>
            <w:gridSpan w:val="3"/>
            <w:shd w:val="clear" w:color="auto" w:fill="auto"/>
            <w:vAlign w:val="bottom"/>
          </w:tcPr>
          <w:p w14:paraId="392C6C94" w14:textId="77777777" w:rsidR="00980E5F" w:rsidRDefault="00980E5F">
            <w:pPr>
              <w:rPr>
                <w:rFonts w:ascii="宋体"/>
                <w:vanish/>
              </w:rPr>
            </w:pPr>
          </w:p>
        </w:tc>
        <w:tc>
          <w:tcPr>
            <w:tcW w:w="0" w:type="auto"/>
            <w:gridSpan w:val="3"/>
            <w:shd w:val="clear" w:color="auto" w:fill="auto"/>
            <w:vAlign w:val="bottom"/>
          </w:tcPr>
          <w:p w14:paraId="392C6C95" w14:textId="77777777" w:rsidR="00980E5F" w:rsidRDefault="00980E5F">
            <w:pPr>
              <w:rPr>
                <w:rFonts w:ascii="宋体"/>
                <w:vanish/>
              </w:rPr>
            </w:pPr>
          </w:p>
        </w:tc>
        <w:tc>
          <w:tcPr>
            <w:tcW w:w="0" w:type="auto"/>
            <w:gridSpan w:val="3"/>
            <w:shd w:val="clear" w:color="auto" w:fill="auto"/>
            <w:vAlign w:val="bottom"/>
          </w:tcPr>
          <w:p w14:paraId="392C6C96" w14:textId="77777777" w:rsidR="00980E5F" w:rsidRDefault="00980E5F">
            <w:pPr>
              <w:rPr>
                <w:rFonts w:ascii="宋体"/>
                <w:vanish/>
              </w:rPr>
            </w:pPr>
          </w:p>
        </w:tc>
        <w:tc>
          <w:tcPr>
            <w:tcW w:w="0" w:type="auto"/>
            <w:gridSpan w:val="3"/>
            <w:shd w:val="clear" w:color="auto" w:fill="auto"/>
            <w:vAlign w:val="bottom"/>
          </w:tcPr>
          <w:p w14:paraId="392C6C97" w14:textId="77777777" w:rsidR="00980E5F" w:rsidRDefault="00980E5F">
            <w:pPr>
              <w:rPr>
                <w:rFonts w:ascii="宋体"/>
                <w:vanish/>
              </w:rPr>
            </w:pPr>
          </w:p>
        </w:tc>
        <w:tc>
          <w:tcPr>
            <w:tcW w:w="0" w:type="auto"/>
            <w:gridSpan w:val="3"/>
            <w:shd w:val="clear" w:color="auto" w:fill="auto"/>
            <w:vAlign w:val="bottom"/>
          </w:tcPr>
          <w:p w14:paraId="392C6C98" w14:textId="77777777" w:rsidR="00980E5F" w:rsidRDefault="00980E5F">
            <w:pPr>
              <w:rPr>
                <w:rFonts w:ascii="宋体"/>
                <w:vanish/>
              </w:rPr>
            </w:pPr>
          </w:p>
        </w:tc>
        <w:tc>
          <w:tcPr>
            <w:tcW w:w="0" w:type="auto"/>
            <w:gridSpan w:val="3"/>
            <w:shd w:val="clear" w:color="auto" w:fill="auto"/>
            <w:vAlign w:val="bottom"/>
          </w:tcPr>
          <w:p w14:paraId="392C6C99" w14:textId="77777777" w:rsidR="00980E5F" w:rsidRDefault="00980E5F">
            <w:pPr>
              <w:rPr>
                <w:rFonts w:ascii="宋体"/>
                <w:vanish/>
              </w:rPr>
            </w:pPr>
          </w:p>
        </w:tc>
      </w:tr>
      <w:tr w:rsidR="00980E5F" w14:paraId="392C6CB9" w14:textId="77777777">
        <w:tc>
          <w:tcPr>
            <w:tcW w:w="0" w:type="auto"/>
            <w:gridSpan w:val="3"/>
            <w:shd w:val="clear" w:color="auto" w:fill="FFFFFF"/>
            <w:tcMar>
              <w:top w:w="40" w:type="dxa"/>
              <w:left w:w="395" w:type="dxa"/>
              <w:bottom w:w="40" w:type="dxa"/>
              <w:right w:w="20" w:type="dxa"/>
            </w:tcMar>
            <w:vAlign w:val="bottom"/>
          </w:tcPr>
          <w:p w14:paraId="392C6C9B" w14:textId="77777777" w:rsidR="00980E5F" w:rsidRDefault="00483613">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9C" w14:textId="77777777" w:rsidR="00980E5F" w:rsidRDefault="00483613">
            <w:pPr>
              <w:jc w:val="right"/>
              <w:textAlignment w:val="bottom"/>
            </w:pPr>
            <w:r>
              <w:rPr>
                <w:rFonts w:ascii="Arial" w:eastAsia="宋体" w:hAnsi="Arial" w:cs="Arial"/>
                <w:b/>
                <w:bCs/>
                <w:color w:val="000000"/>
                <w:sz w:val="13"/>
                <w:szCs w:val="13"/>
              </w:rPr>
              <w:t>546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9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9F" w14:textId="77777777" w:rsidR="00980E5F" w:rsidRDefault="00483613">
            <w:pPr>
              <w:jc w:val="right"/>
              <w:textAlignment w:val="bottom"/>
            </w:pPr>
            <w:r>
              <w:rPr>
                <w:rFonts w:ascii="Arial" w:eastAsia="宋体" w:hAnsi="Arial" w:cs="Arial"/>
                <w:b/>
                <w:bCs/>
                <w:color w:val="000000"/>
                <w:sz w:val="13"/>
                <w:szCs w:val="13"/>
              </w:rPr>
              <w:t>543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A2" w14:textId="77777777" w:rsidR="00980E5F" w:rsidRDefault="00483613">
            <w:pPr>
              <w:jc w:val="right"/>
              <w:textAlignment w:val="bottom"/>
            </w:pPr>
            <w:r>
              <w:rPr>
                <w:rFonts w:ascii="Arial" w:eastAsia="宋体" w:hAnsi="Arial" w:cs="Arial"/>
                <w:b/>
                <w:bCs/>
                <w:color w:val="000000"/>
                <w:sz w:val="13"/>
                <w:szCs w:val="13"/>
              </w:rPr>
              <w:t>5,303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A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A5" w14:textId="77777777" w:rsidR="00980E5F" w:rsidRDefault="00483613">
            <w:pPr>
              <w:jc w:val="right"/>
              <w:textAlignment w:val="bottom"/>
            </w:pPr>
            <w:r>
              <w:rPr>
                <w:rFonts w:ascii="Arial" w:eastAsia="宋体" w:hAnsi="Arial" w:cs="Arial"/>
                <w:b/>
                <w:bCs/>
                <w:color w:val="000000"/>
                <w:sz w:val="13"/>
                <w:szCs w:val="13"/>
              </w:rPr>
              <w:t>5,186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A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A8" w14:textId="77777777" w:rsidR="00980E5F" w:rsidRDefault="00483613">
            <w:pPr>
              <w:jc w:val="right"/>
              <w:textAlignment w:val="bottom"/>
            </w:pPr>
            <w:r>
              <w:rPr>
                <w:rFonts w:ascii="Arial" w:eastAsia="宋体" w:hAnsi="Arial" w:cs="Arial"/>
                <w:b/>
                <w:bCs/>
                <w:color w:val="000000"/>
                <w:sz w:val="13"/>
                <w:szCs w:val="13"/>
              </w:rPr>
              <w:t>594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A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AB" w14:textId="77777777" w:rsidR="00980E5F" w:rsidRDefault="00483613">
            <w:pPr>
              <w:jc w:val="right"/>
              <w:textAlignment w:val="bottom"/>
            </w:pPr>
            <w:r>
              <w:rPr>
                <w:rFonts w:ascii="Arial" w:eastAsia="宋体" w:hAnsi="Arial" w:cs="Arial"/>
                <w:b/>
                <w:bCs/>
                <w:color w:val="000000"/>
                <w:sz w:val="13"/>
                <w:szCs w:val="13"/>
              </w:rPr>
              <w:t>586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A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AE"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B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B1"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B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B4" w14:textId="77777777" w:rsidR="00980E5F" w:rsidRDefault="00483613">
            <w:pPr>
              <w:jc w:val="right"/>
              <w:textAlignment w:val="bottom"/>
            </w:pPr>
            <w:r>
              <w:rPr>
                <w:rFonts w:ascii="Arial" w:eastAsia="宋体" w:hAnsi="Arial" w:cs="Arial"/>
                <w:b/>
                <w:bCs/>
                <w:color w:val="000000"/>
                <w:sz w:val="13"/>
                <w:szCs w:val="13"/>
              </w:rPr>
              <w:t>6,443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B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CB7" w14:textId="77777777" w:rsidR="00980E5F" w:rsidRDefault="00483613">
            <w:pPr>
              <w:jc w:val="right"/>
              <w:textAlignment w:val="bottom"/>
            </w:pPr>
            <w:r>
              <w:rPr>
                <w:rFonts w:ascii="Arial" w:eastAsia="宋体" w:hAnsi="Arial" w:cs="Arial"/>
                <w:b/>
                <w:bCs/>
                <w:color w:val="000000"/>
                <w:sz w:val="13"/>
                <w:szCs w:val="13"/>
              </w:rPr>
              <w:t>6,315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CB8" w14:textId="77777777" w:rsidR="00980E5F" w:rsidRDefault="00980E5F">
            <w:pPr>
              <w:jc w:val="right"/>
              <w:rPr>
                <w:rFonts w:ascii="宋体"/>
              </w:rPr>
            </w:pPr>
          </w:p>
        </w:tc>
      </w:tr>
      <w:tr w:rsidR="00980E5F" w14:paraId="392C6CCE" w14:textId="77777777">
        <w:trPr>
          <w:hidden/>
        </w:trPr>
        <w:tc>
          <w:tcPr>
            <w:tcW w:w="0" w:type="auto"/>
            <w:gridSpan w:val="3"/>
            <w:shd w:val="clear" w:color="auto" w:fill="auto"/>
            <w:vAlign w:val="bottom"/>
          </w:tcPr>
          <w:p w14:paraId="392C6CBA" w14:textId="77777777" w:rsidR="00980E5F" w:rsidRDefault="00980E5F">
            <w:pPr>
              <w:rPr>
                <w:rFonts w:ascii="宋体"/>
                <w:vanish/>
              </w:rPr>
            </w:pPr>
          </w:p>
        </w:tc>
        <w:tc>
          <w:tcPr>
            <w:tcW w:w="0" w:type="auto"/>
            <w:gridSpan w:val="3"/>
            <w:shd w:val="clear" w:color="auto" w:fill="auto"/>
            <w:vAlign w:val="bottom"/>
          </w:tcPr>
          <w:p w14:paraId="392C6CBB" w14:textId="77777777" w:rsidR="00980E5F" w:rsidRDefault="00980E5F">
            <w:pPr>
              <w:rPr>
                <w:rFonts w:ascii="宋体"/>
                <w:vanish/>
              </w:rPr>
            </w:pPr>
          </w:p>
        </w:tc>
        <w:tc>
          <w:tcPr>
            <w:tcW w:w="0" w:type="auto"/>
            <w:gridSpan w:val="3"/>
            <w:shd w:val="clear" w:color="auto" w:fill="auto"/>
            <w:vAlign w:val="bottom"/>
          </w:tcPr>
          <w:p w14:paraId="392C6CBC" w14:textId="77777777" w:rsidR="00980E5F" w:rsidRDefault="00980E5F">
            <w:pPr>
              <w:rPr>
                <w:rFonts w:ascii="宋体"/>
                <w:vanish/>
              </w:rPr>
            </w:pPr>
          </w:p>
        </w:tc>
        <w:tc>
          <w:tcPr>
            <w:tcW w:w="0" w:type="auto"/>
            <w:gridSpan w:val="3"/>
            <w:shd w:val="clear" w:color="auto" w:fill="auto"/>
            <w:vAlign w:val="bottom"/>
          </w:tcPr>
          <w:p w14:paraId="392C6CBD" w14:textId="77777777" w:rsidR="00980E5F" w:rsidRDefault="00980E5F">
            <w:pPr>
              <w:rPr>
                <w:rFonts w:ascii="宋体"/>
                <w:vanish/>
              </w:rPr>
            </w:pPr>
          </w:p>
        </w:tc>
        <w:tc>
          <w:tcPr>
            <w:tcW w:w="0" w:type="auto"/>
            <w:gridSpan w:val="3"/>
            <w:shd w:val="clear" w:color="auto" w:fill="auto"/>
            <w:vAlign w:val="bottom"/>
          </w:tcPr>
          <w:p w14:paraId="392C6CBE" w14:textId="77777777" w:rsidR="00980E5F" w:rsidRDefault="00980E5F">
            <w:pPr>
              <w:rPr>
                <w:rFonts w:ascii="宋体"/>
                <w:vanish/>
              </w:rPr>
            </w:pPr>
          </w:p>
        </w:tc>
        <w:tc>
          <w:tcPr>
            <w:tcW w:w="0" w:type="auto"/>
            <w:gridSpan w:val="3"/>
            <w:shd w:val="clear" w:color="auto" w:fill="auto"/>
            <w:vAlign w:val="bottom"/>
          </w:tcPr>
          <w:p w14:paraId="392C6CBF" w14:textId="77777777" w:rsidR="00980E5F" w:rsidRDefault="00980E5F">
            <w:pPr>
              <w:rPr>
                <w:rFonts w:ascii="宋体"/>
                <w:vanish/>
              </w:rPr>
            </w:pPr>
          </w:p>
        </w:tc>
        <w:tc>
          <w:tcPr>
            <w:tcW w:w="0" w:type="auto"/>
            <w:gridSpan w:val="3"/>
            <w:shd w:val="clear" w:color="auto" w:fill="auto"/>
            <w:vAlign w:val="bottom"/>
          </w:tcPr>
          <w:p w14:paraId="392C6CC0" w14:textId="77777777" w:rsidR="00980E5F" w:rsidRDefault="00980E5F">
            <w:pPr>
              <w:rPr>
                <w:rFonts w:ascii="宋体"/>
                <w:vanish/>
              </w:rPr>
            </w:pPr>
          </w:p>
        </w:tc>
        <w:tc>
          <w:tcPr>
            <w:tcW w:w="0" w:type="auto"/>
            <w:gridSpan w:val="3"/>
            <w:shd w:val="clear" w:color="auto" w:fill="auto"/>
            <w:vAlign w:val="bottom"/>
          </w:tcPr>
          <w:p w14:paraId="392C6CC1" w14:textId="77777777" w:rsidR="00980E5F" w:rsidRDefault="00980E5F">
            <w:pPr>
              <w:rPr>
                <w:rFonts w:ascii="宋体"/>
                <w:vanish/>
              </w:rPr>
            </w:pPr>
          </w:p>
        </w:tc>
        <w:tc>
          <w:tcPr>
            <w:tcW w:w="0" w:type="auto"/>
            <w:gridSpan w:val="3"/>
            <w:shd w:val="clear" w:color="auto" w:fill="auto"/>
            <w:vAlign w:val="bottom"/>
          </w:tcPr>
          <w:p w14:paraId="392C6CC2" w14:textId="77777777" w:rsidR="00980E5F" w:rsidRDefault="00980E5F">
            <w:pPr>
              <w:rPr>
                <w:rFonts w:ascii="宋体"/>
                <w:vanish/>
              </w:rPr>
            </w:pPr>
          </w:p>
        </w:tc>
        <w:tc>
          <w:tcPr>
            <w:tcW w:w="0" w:type="auto"/>
            <w:gridSpan w:val="3"/>
            <w:shd w:val="clear" w:color="auto" w:fill="auto"/>
            <w:vAlign w:val="bottom"/>
          </w:tcPr>
          <w:p w14:paraId="392C6CC3" w14:textId="77777777" w:rsidR="00980E5F" w:rsidRDefault="00980E5F">
            <w:pPr>
              <w:rPr>
                <w:rFonts w:ascii="宋体"/>
                <w:vanish/>
              </w:rPr>
            </w:pPr>
          </w:p>
        </w:tc>
        <w:tc>
          <w:tcPr>
            <w:tcW w:w="0" w:type="auto"/>
            <w:gridSpan w:val="3"/>
            <w:shd w:val="clear" w:color="auto" w:fill="auto"/>
            <w:vAlign w:val="bottom"/>
          </w:tcPr>
          <w:p w14:paraId="392C6CC4" w14:textId="77777777" w:rsidR="00980E5F" w:rsidRDefault="00980E5F">
            <w:pPr>
              <w:rPr>
                <w:rFonts w:ascii="宋体"/>
                <w:vanish/>
              </w:rPr>
            </w:pPr>
          </w:p>
        </w:tc>
        <w:tc>
          <w:tcPr>
            <w:tcW w:w="0" w:type="auto"/>
            <w:gridSpan w:val="3"/>
            <w:shd w:val="clear" w:color="auto" w:fill="auto"/>
            <w:vAlign w:val="bottom"/>
          </w:tcPr>
          <w:p w14:paraId="392C6CC5" w14:textId="77777777" w:rsidR="00980E5F" w:rsidRDefault="00980E5F">
            <w:pPr>
              <w:rPr>
                <w:rFonts w:ascii="宋体"/>
                <w:vanish/>
              </w:rPr>
            </w:pPr>
          </w:p>
        </w:tc>
        <w:tc>
          <w:tcPr>
            <w:tcW w:w="0" w:type="auto"/>
            <w:gridSpan w:val="3"/>
            <w:shd w:val="clear" w:color="auto" w:fill="auto"/>
            <w:vAlign w:val="bottom"/>
          </w:tcPr>
          <w:p w14:paraId="392C6CC6" w14:textId="77777777" w:rsidR="00980E5F" w:rsidRDefault="00980E5F">
            <w:pPr>
              <w:rPr>
                <w:rFonts w:ascii="宋体"/>
                <w:vanish/>
              </w:rPr>
            </w:pPr>
          </w:p>
        </w:tc>
        <w:tc>
          <w:tcPr>
            <w:tcW w:w="0" w:type="auto"/>
            <w:gridSpan w:val="3"/>
            <w:shd w:val="clear" w:color="auto" w:fill="auto"/>
            <w:vAlign w:val="bottom"/>
          </w:tcPr>
          <w:p w14:paraId="392C6CC7" w14:textId="77777777" w:rsidR="00980E5F" w:rsidRDefault="00980E5F">
            <w:pPr>
              <w:rPr>
                <w:rFonts w:ascii="宋体"/>
                <w:vanish/>
              </w:rPr>
            </w:pPr>
          </w:p>
        </w:tc>
        <w:tc>
          <w:tcPr>
            <w:tcW w:w="0" w:type="auto"/>
            <w:gridSpan w:val="3"/>
            <w:shd w:val="clear" w:color="auto" w:fill="auto"/>
            <w:vAlign w:val="bottom"/>
          </w:tcPr>
          <w:p w14:paraId="392C6CC8" w14:textId="77777777" w:rsidR="00980E5F" w:rsidRDefault="00980E5F">
            <w:pPr>
              <w:rPr>
                <w:rFonts w:ascii="宋体"/>
                <w:vanish/>
              </w:rPr>
            </w:pPr>
          </w:p>
        </w:tc>
        <w:tc>
          <w:tcPr>
            <w:tcW w:w="0" w:type="auto"/>
            <w:gridSpan w:val="3"/>
            <w:shd w:val="clear" w:color="auto" w:fill="auto"/>
            <w:vAlign w:val="bottom"/>
          </w:tcPr>
          <w:p w14:paraId="392C6CC9" w14:textId="77777777" w:rsidR="00980E5F" w:rsidRDefault="00980E5F">
            <w:pPr>
              <w:rPr>
                <w:rFonts w:ascii="宋体"/>
                <w:vanish/>
              </w:rPr>
            </w:pPr>
          </w:p>
        </w:tc>
        <w:tc>
          <w:tcPr>
            <w:tcW w:w="0" w:type="auto"/>
            <w:gridSpan w:val="3"/>
            <w:shd w:val="clear" w:color="auto" w:fill="auto"/>
            <w:vAlign w:val="bottom"/>
          </w:tcPr>
          <w:p w14:paraId="392C6CCA" w14:textId="77777777" w:rsidR="00980E5F" w:rsidRDefault="00980E5F">
            <w:pPr>
              <w:rPr>
                <w:rFonts w:ascii="宋体"/>
                <w:vanish/>
              </w:rPr>
            </w:pPr>
          </w:p>
        </w:tc>
        <w:tc>
          <w:tcPr>
            <w:tcW w:w="0" w:type="auto"/>
            <w:gridSpan w:val="3"/>
            <w:shd w:val="clear" w:color="auto" w:fill="auto"/>
            <w:vAlign w:val="bottom"/>
          </w:tcPr>
          <w:p w14:paraId="392C6CCB" w14:textId="77777777" w:rsidR="00980E5F" w:rsidRDefault="00980E5F">
            <w:pPr>
              <w:rPr>
                <w:rFonts w:ascii="宋体"/>
                <w:vanish/>
              </w:rPr>
            </w:pPr>
          </w:p>
        </w:tc>
        <w:tc>
          <w:tcPr>
            <w:tcW w:w="0" w:type="auto"/>
            <w:gridSpan w:val="3"/>
            <w:shd w:val="clear" w:color="auto" w:fill="auto"/>
            <w:vAlign w:val="bottom"/>
          </w:tcPr>
          <w:p w14:paraId="392C6CCC" w14:textId="77777777" w:rsidR="00980E5F" w:rsidRDefault="00980E5F">
            <w:pPr>
              <w:rPr>
                <w:rFonts w:ascii="宋体"/>
                <w:vanish/>
              </w:rPr>
            </w:pPr>
          </w:p>
        </w:tc>
        <w:tc>
          <w:tcPr>
            <w:tcW w:w="0" w:type="auto"/>
            <w:gridSpan w:val="3"/>
            <w:shd w:val="clear" w:color="auto" w:fill="auto"/>
            <w:vAlign w:val="bottom"/>
          </w:tcPr>
          <w:p w14:paraId="392C6CCD" w14:textId="77777777" w:rsidR="00980E5F" w:rsidRDefault="00980E5F">
            <w:pPr>
              <w:rPr>
                <w:rFonts w:ascii="宋体"/>
                <w:vanish/>
              </w:rPr>
            </w:pPr>
          </w:p>
        </w:tc>
      </w:tr>
      <w:tr w:rsidR="00980E5F" w14:paraId="392C6CE3" w14:textId="77777777">
        <w:trPr>
          <w:hidden/>
        </w:trPr>
        <w:tc>
          <w:tcPr>
            <w:tcW w:w="0" w:type="auto"/>
            <w:gridSpan w:val="3"/>
            <w:shd w:val="clear" w:color="auto" w:fill="auto"/>
            <w:vAlign w:val="bottom"/>
          </w:tcPr>
          <w:p w14:paraId="392C6CCF" w14:textId="77777777" w:rsidR="00980E5F" w:rsidRDefault="00980E5F">
            <w:pPr>
              <w:rPr>
                <w:rFonts w:ascii="宋体"/>
                <w:vanish/>
              </w:rPr>
            </w:pPr>
          </w:p>
        </w:tc>
        <w:tc>
          <w:tcPr>
            <w:tcW w:w="0" w:type="auto"/>
            <w:gridSpan w:val="3"/>
            <w:shd w:val="clear" w:color="auto" w:fill="auto"/>
            <w:vAlign w:val="bottom"/>
          </w:tcPr>
          <w:p w14:paraId="392C6CD0" w14:textId="77777777" w:rsidR="00980E5F" w:rsidRDefault="00980E5F">
            <w:pPr>
              <w:rPr>
                <w:rFonts w:ascii="宋体"/>
                <w:vanish/>
              </w:rPr>
            </w:pPr>
          </w:p>
        </w:tc>
        <w:tc>
          <w:tcPr>
            <w:tcW w:w="0" w:type="auto"/>
            <w:gridSpan w:val="3"/>
            <w:shd w:val="clear" w:color="auto" w:fill="auto"/>
            <w:vAlign w:val="bottom"/>
          </w:tcPr>
          <w:p w14:paraId="392C6CD1" w14:textId="77777777" w:rsidR="00980E5F" w:rsidRDefault="00980E5F">
            <w:pPr>
              <w:rPr>
                <w:rFonts w:ascii="宋体"/>
                <w:vanish/>
              </w:rPr>
            </w:pPr>
          </w:p>
        </w:tc>
        <w:tc>
          <w:tcPr>
            <w:tcW w:w="0" w:type="auto"/>
            <w:gridSpan w:val="3"/>
            <w:shd w:val="clear" w:color="auto" w:fill="auto"/>
            <w:vAlign w:val="bottom"/>
          </w:tcPr>
          <w:p w14:paraId="392C6CD2" w14:textId="77777777" w:rsidR="00980E5F" w:rsidRDefault="00980E5F">
            <w:pPr>
              <w:rPr>
                <w:rFonts w:ascii="宋体"/>
                <w:vanish/>
              </w:rPr>
            </w:pPr>
          </w:p>
        </w:tc>
        <w:tc>
          <w:tcPr>
            <w:tcW w:w="0" w:type="auto"/>
            <w:gridSpan w:val="3"/>
            <w:shd w:val="clear" w:color="auto" w:fill="auto"/>
            <w:vAlign w:val="bottom"/>
          </w:tcPr>
          <w:p w14:paraId="392C6CD3" w14:textId="77777777" w:rsidR="00980E5F" w:rsidRDefault="00980E5F">
            <w:pPr>
              <w:rPr>
                <w:rFonts w:ascii="宋体"/>
                <w:vanish/>
              </w:rPr>
            </w:pPr>
          </w:p>
        </w:tc>
        <w:tc>
          <w:tcPr>
            <w:tcW w:w="0" w:type="auto"/>
            <w:gridSpan w:val="3"/>
            <w:shd w:val="clear" w:color="auto" w:fill="auto"/>
            <w:vAlign w:val="bottom"/>
          </w:tcPr>
          <w:p w14:paraId="392C6CD4" w14:textId="77777777" w:rsidR="00980E5F" w:rsidRDefault="00980E5F">
            <w:pPr>
              <w:rPr>
                <w:rFonts w:ascii="宋体"/>
                <w:vanish/>
              </w:rPr>
            </w:pPr>
          </w:p>
        </w:tc>
        <w:tc>
          <w:tcPr>
            <w:tcW w:w="0" w:type="auto"/>
            <w:gridSpan w:val="3"/>
            <w:shd w:val="clear" w:color="auto" w:fill="auto"/>
            <w:vAlign w:val="bottom"/>
          </w:tcPr>
          <w:p w14:paraId="392C6CD5" w14:textId="77777777" w:rsidR="00980E5F" w:rsidRDefault="00980E5F">
            <w:pPr>
              <w:rPr>
                <w:rFonts w:ascii="宋体"/>
                <w:vanish/>
              </w:rPr>
            </w:pPr>
          </w:p>
        </w:tc>
        <w:tc>
          <w:tcPr>
            <w:tcW w:w="0" w:type="auto"/>
            <w:gridSpan w:val="3"/>
            <w:shd w:val="clear" w:color="auto" w:fill="auto"/>
            <w:vAlign w:val="bottom"/>
          </w:tcPr>
          <w:p w14:paraId="392C6CD6" w14:textId="77777777" w:rsidR="00980E5F" w:rsidRDefault="00980E5F">
            <w:pPr>
              <w:rPr>
                <w:rFonts w:ascii="宋体"/>
                <w:vanish/>
              </w:rPr>
            </w:pPr>
          </w:p>
        </w:tc>
        <w:tc>
          <w:tcPr>
            <w:tcW w:w="0" w:type="auto"/>
            <w:gridSpan w:val="3"/>
            <w:shd w:val="clear" w:color="auto" w:fill="auto"/>
            <w:vAlign w:val="bottom"/>
          </w:tcPr>
          <w:p w14:paraId="392C6CD7" w14:textId="77777777" w:rsidR="00980E5F" w:rsidRDefault="00980E5F">
            <w:pPr>
              <w:rPr>
                <w:rFonts w:ascii="宋体"/>
                <w:vanish/>
              </w:rPr>
            </w:pPr>
          </w:p>
        </w:tc>
        <w:tc>
          <w:tcPr>
            <w:tcW w:w="0" w:type="auto"/>
            <w:gridSpan w:val="3"/>
            <w:shd w:val="clear" w:color="auto" w:fill="auto"/>
            <w:vAlign w:val="bottom"/>
          </w:tcPr>
          <w:p w14:paraId="392C6CD8" w14:textId="77777777" w:rsidR="00980E5F" w:rsidRDefault="00980E5F">
            <w:pPr>
              <w:rPr>
                <w:rFonts w:ascii="宋体"/>
                <w:vanish/>
              </w:rPr>
            </w:pPr>
          </w:p>
        </w:tc>
        <w:tc>
          <w:tcPr>
            <w:tcW w:w="0" w:type="auto"/>
            <w:gridSpan w:val="3"/>
            <w:shd w:val="clear" w:color="auto" w:fill="auto"/>
            <w:vAlign w:val="bottom"/>
          </w:tcPr>
          <w:p w14:paraId="392C6CD9" w14:textId="77777777" w:rsidR="00980E5F" w:rsidRDefault="00980E5F">
            <w:pPr>
              <w:rPr>
                <w:rFonts w:ascii="宋体"/>
                <w:vanish/>
              </w:rPr>
            </w:pPr>
          </w:p>
        </w:tc>
        <w:tc>
          <w:tcPr>
            <w:tcW w:w="0" w:type="auto"/>
            <w:gridSpan w:val="3"/>
            <w:shd w:val="clear" w:color="auto" w:fill="auto"/>
            <w:vAlign w:val="bottom"/>
          </w:tcPr>
          <w:p w14:paraId="392C6CDA" w14:textId="77777777" w:rsidR="00980E5F" w:rsidRDefault="00980E5F">
            <w:pPr>
              <w:rPr>
                <w:rFonts w:ascii="宋体"/>
                <w:vanish/>
              </w:rPr>
            </w:pPr>
          </w:p>
        </w:tc>
        <w:tc>
          <w:tcPr>
            <w:tcW w:w="0" w:type="auto"/>
            <w:gridSpan w:val="3"/>
            <w:shd w:val="clear" w:color="auto" w:fill="auto"/>
            <w:vAlign w:val="bottom"/>
          </w:tcPr>
          <w:p w14:paraId="392C6CDB" w14:textId="77777777" w:rsidR="00980E5F" w:rsidRDefault="00980E5F">
            <w:pPr>
              <w:rPr>
                <w:rFonts w:ascii="宋体"/>
                <w:vanish/>
              </w:rPr>
            </w:pPr>
          </w:p>
        </w:tc>
        <w:tc>
          <w:tcPr>
            <w:tcW w:w="0" w:type="auto"/>
            <w:gridSpan w:val="3"/>
            <w:shd w:val="clear" w:color="auto" w:fill="auto"/>
            <w:vAlign w:val="bottom"/>
          </w:tcPr>
          <w:p w14:paraId="392C6CDC" w14:textId="77777777" w:rsidR="00980E5F" w:rsidRDefault="00980E5F">
            <w:pPr>
              <w:rPr>
                <w:rFonts w:ascii="宋体"/>
                <w:vanish/>
              </w:rPr>
            </w:pPr>
          </w:p>
        </w:tc>
        <w:tc>
          <w:tcPr>
            <w:tcW w:w="0" w:type="auto"/>
            <w:gridSpan w:val="3"/>
            <w:shd w:val="clear" w:color="auto" w:fill="auto"/>
            <w:vAlign w:val="bottom"/>
          </w:tcPr>
          <w:p w14:paraId="392C6CDD" w14:textId="77777777" w:rsidR="00980E5F" w:rsidRDefault="00980E5F">
            <w:pPr>
              <w:rPr>
                <w:rFonts w:ascii="宋体"/>
                <w:vanish/>
              </w:rPr>
            </w:pPr>
          </w:p>
        </w:tc>
        <w:tc>
          <w:tcPr>
            <w:tcW w:w="0" w:type="auto"/>
            <w:gridSpan w:val="3"/>
            <w:shd w:val="clear" w:color="auto" w:fill="auto"/>
            <w:vAlign w:val="bottom"/>
          </w:tcPr>
          <w:p w14:paraId="392C6CDE" w14:textId="77777777" w:rsidR="00980E5F" w:rsidRDefault="00980E5F">
            <w:pPr>
              <w:rPr>
                <w:rFonts w:ascii="宋体"/>
                <w:vanish/>
              </w:rPr>
            </w:pPr>
          </w:p>
        </w:tc>
        <w:tc>
          <w:tcPr>
            <w:tcW w:w="0" w:type="auto"/>
            <w:gridSpan w:val="3"/>
            <w:shd w:val="clear" w:color="auto" w:fill="auto"/>
            <w:vAlign w:val="bottom"/>
          </w:tcPr>
          <w:p w14:paraId="392C6CDF" w14:textId="77777777" w:rsidR="00980E5F" w:rsidRDefault="00980E5F">
            <w:pPr>
              <w:rPr>
                <w:rFonts w:ascii="宋体"/>
                <w:vanish/>
              </w:rPr>
            </w:pPr>
          </w:p>
        </w:tc>
        <w:tc>
          <w:tcPr>
            <w:tcW w:w="0" w:type="auto"/>
            <w:gridSpan w:val="3"/>
            <w:shd w:val="clear" w:color="auto" w:fill="auto"/>
            <w:vAlign w:val="bottom"/>
          </w:tcPr>
          <w:p w14:paraId="392C6CE0" w14:textId="77777777" w:rsidR="00980E5F" w:rsidRDefault="00980E5F">
            <w:pPr>
              <w:rPr>
                <w:rFonts w:ascii="宋体"/>
                <w:vanish/>
              </w:rPr>
            </w:pPr>
          </w:p>
        </w:tc>
        <w:tc>
          <w:tcPr>
            <w:tcW w:w="0" w:type="auto"/>
            <w:gridSpan w:val="3"/>
            <w:shd w:val="clear" w:color="auto" w:fill="auto"/>
            <w:vAlign w:val="bottom"/>
          </w:tcPr>
          <w:p w14:paraId="392C6CE1" w14:textId="77777777" w:rsidR="00980E5F" w:rsidRDefault="00980E5F">
            <w:pPr>
              <w:rPr>
                <w:rFonts w:ascii="宋体"/>
                <w:vanish/>
              </w:rPr>
            </w:pPr>
          </w:p>
        </w:tc>
        <w:tc>
          <w:tcPr>
            <w:tcW w:w="0" w:type="auto"/>
            <w:gridSpan w:val="3"/>
            <w:shd w:val="clear" w:color="auto" w:fill="auto"/>
            <w:vAlign w:val="bottom"/>
          </w:tcPr>
          <w:p w14:paraId="392C6CE2" w14:textId="77777777" w:rsidR="00980E5F" w:rsidRDefault="00980E5F">
            <w:pPr>
              <w:rPr>
                <w:rFonts w:ascii="宋体"/>
                <w:vanish/>
              </w:rPr>
            </w:pPr>
          </w:p>
        </w:tc>
      </w:tr>
      <w:tr w:rsidR="00980E5F" w14:paraId="392C6CF8" w14:textId="77777777">
        <w:tc>
          <w:tcPr>
            <w:tcW w:w="0" w:type="auto"/>
            <w:gridSpan w:val="3"/>
            <w:shd w:val="clear" w:color="auto" w:fill="CCEEFF"/>
            <w:tcMar>
              <w:top w:w="40" w:type="dxa"/>
              <w:left w:w="20" w:type="dxa"/>
              <w:bottom w:w="40" w:type="dxa"/>
              <w:right w:w="20" w:type="dxa"/>
            </w:tcMar>
            <w:vAlign w:val="bottom"/>
          </w:tcPr>
          <w:p w14:paraId="392C6CE4" w14:textId="77777777" w:rsidR="00980E5F" w:rsidRDefault="00483613">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E6"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E8"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EA"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EC"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EE"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E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F0"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F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F2"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F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F4"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F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CF6"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CF7" w14:textId="77777777" w:rsidR="00980E5F" w:rsidRDefault="00980E5F">
            <w:pPr>
              <w:rPr>
                <w:rFonts w:ascii="宋体"/>
              </w:rPr>
            </w:pPr>
          </w:p>
        </w:tc>
      </w:tr>
      <w:tr w:rsidR="00980E5F" w14:paraId="392C6D17" w14:textId="77777777">
        <w:tc>
          <w:tcPr>
            <w:tcW w:w="0" w:type="auto"/>
            <w:gridSpan w:val="3"/>
            <w:shd w:val="clear" w:color="auto" w:fill="FFFFFF"/>
            <w:tcMar>
              <w:top w:w="40" w:type="dxa"/>
              <w:left w:w="245" w:type="dxa"/>
              <w:bottom w:w="40" w:type="dxa"/>
              <w:right w:w="20" w:type="dxa"/>
            </w:tcMar>
            <w:vAlign w:val="bottom"/>
          </w:tcPr>
          <w:p w14:paraId="392C6CF9" w14:textId="77777777" w:rsidR="00980E5F" w:rsidRDefault="00483613">
            <w:pPr>
              <w:textAlignment w:val="bottom"/>
            </w:pPr>
            <w:r>
              <w:rPr>
                <w:rFonts w:ascii="Arial" w:eastAsia="宋体" w:hAnsi="Arial" w:cs="Arial"/>
                <w:color w:val="000000"/>
                <w:sz w:val="13"/>
                <w:szCs w:val="13"/>
              </w:rPr>
              <w:t>Student loans</w:t>
            </w:r>
          </w:p>
        </w:tc>
        <w:tc>
          <w:tcPr>
            <w:tcW w:w="0" w:type="auto"/>
            <w:gridSpan w:val="2"/>
            <w:shd w:val="clear" w:color="auto" w:fill="FFFFFF"/>
            <w:tcMar>
              <w:top w:w="40" w:type="dxa"/>
              <w:left w:w="20" w:type="dxa"/>
              <w:bottom w:w="40" w:type="dxa"/>
              <w:right w:w="0" w:type="dxa"/>
            </w:tcMar>
            <w:vAlign w:val="bottom"/>
          </w:tcPr>
          <w:p w14:paraId="392C6CFA" w14:textId="77777777" w:rsidR="00980E5F" w:rsidRDefault="00483613">
            <w:pPr>
              <w:jc w:val="right"/>
              <w:textAlignment w:val="bottom"/>
            </w:pPr>
            <w:r>
              <w:rPr>
                <w:rFonts w:ascii="Arial" w:eastAsia="宋体" w:hAnsi="Arial" w:cs="Arial"/>
                <w:b/>
                <w:bCs/>
                <w:color w:val="000000"/>
                <w:sz w:val="13"/>
                <w:szCs w:val="13"/>
              </w:rPr>
              <w:t>332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CF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F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CFD" w14:textId="77777777" w:rsidR="00980E5F" w:rsidRDefault="00483613">
            <w:pPr>
              <w:jc w:val="right"/>
              <w:textAlignment w:val="bottom"/>
            </w:pPr>
            <w:r>
              <w:rPr>
                <w:rFonts w:ascii="Arial" w:eastAsia="宋体" w:hAnsi="Arial" w:cs="Arial"/>
                <w:b/>
                <w:bCs/>
                <w:color w:val="000000"/>
                <w:sz w:val="13"/>
                <w:szCs w:val="13"/>
              </w:rPr>
              <w:t>319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CF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CF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0" w14:textId="77777777" w:rsidR="00980E5F" w:rsidRDefault="00483613">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0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0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3" w14:textId="77777777" w:rsidR="00980E5F" w:rsidRDefault="00483613">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0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0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6" w14:textId="77777777" w:rsidR="00980E5F" w:rsidRDefault="00483613">
            <w:pPr>
              <w:jc w:val="right"/>
              <w:textAlignment w:val="bottom"/>
            </w:pPr>
            <w:r>
              <w:rPr>
                <w:rFonts w:ascii="Arial" w:eastAsia="宋体" w:hAnsi="Arial" w:cs="Arial"/>
                <w:b/>
                <w:bCs/>
                <w:color w:val="000000"/>
                <w:sz w:val="13"/>
                <w:szCs w:val="13"/>
              </w:rPr>
              <w:t>960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9" w14:textId="77777777" w:rsidR="00980E5F" w:rsidRDefault="00483613">
            <w:pPr>
              <w:jc w:val="right"/>
              <w:textAlignment w:val="bottom"/>
            </w:pPr>
            <w:r>
              <w:rPr>
                <w:rFonts w:ascii="Arial" w:eastAsia="宋体" w:hAnsi="Arial" w:cs="Arial"/>
                <w:b/>
                <w:bCs/>
                <w:color w:val="000000"/>
                <w:sz w:val="13"/>
                <w:szCs w:val="13"/>
              </w:rPr>
              <w:t>941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C" w14:textId="77777777" w:rsidR="00980E5F" w:rsidRDefault="00483613">
            <w:pPr>
              <w:jc w:val="right"/>
              <w:textAlignment w:val="bottom"/>
            </w:pPr>
            <w:r>
              <w:rPr>
                <w:rFonts w:ascii="Arial" w:eastAsia="宋体" w:hAnsi="Arial" w:cs="Arial"/>
                <w:b/>
                <w:bCs/>
                <w:color w:val="000000"/>
                <w:sz w:val="13"/>
                <w:szCs w:val="13"/>
              </w:rPr>
              <w:t>3,163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0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0F" w14:textId="77777777" w:rsidR="00980E5F" w:rsidRDefault="00483613">
            <w:pPr>
              <w:jc w:val="right"/>
              <w:textAlignment w:val="bottom"/>
            </w:pPr>
            <w:r>
              <w:rPr>
                <w:rFonts w:ascii="Arial" w:eastAsia="宋体" w:hAnsi="Arial" w:cs="Arial"/>
                <w:b/>
                <w:bCs/>
                <w:color w:val="000000"/>
                <w:sz w:val="13"/>
                <w:szCs w:val="13"/>
              </w:rPr>
              <w:t>3,072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1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12" w14:textId="77777777" w:rsidR="00980E5F" w:rsidRDefault="00483613">
            <w:pPr>
              <w:jc w:val="right"/>
              <w:textAlignment w:val="bottom"/>
            </w:pPr>
            <w:r>
              <w:rPr>
                <w:rFonts w:ascii="Arial" w:eastAsia="宋体" w:hAnsi="Arial" w:cs="Arial"/>
                <w:b/>
                <w:bCs/>
                <w:color w:val="000000"/>
                <w:sz w:val="13"/>
                <w:szCs w:val="13"/>
              </w:rPr>
              <w:t>4,468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1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D15" w14:textId="77777777" w:rsidR="00980E5F" w:rsidRDefault="00483613">
            <w:pPr>
              <w:jc w:val="right"/>
              <w:textAlignment w:val="bottom"/>
            </w:pPr>
            <w:r>
              <w:rPr>
                <w:rFonts w:ascii="Arial" w:eastAsia="宋体" w:hAnsi="Arial" w:cs="Arial"/>
                <w:b/>
                <w:bCs/>
                <w:color w:val="000000"/>
                <w:sz w:val="13"/>
                <w:szCs w:val="13"/>
              </w:rPr>
              <w:t>4,345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6D16" w14:textId="77777777" w:rsidR="00980E5F" w:rsidRDefault="00980E5F">
            <w:pPr>
              <w:jc w:val="right"/>
              <w:rPr>
                <w:rFonts w:ascii="宋体"/>
              </w:rPr>
            </w:pPr>
          </w:p>
        </w:tc>
      </w:tr>
      <w:tr w:rsidR="00980E5F" w14:paraId="392C6D2C" w14:textId="77777777">
        <w:trPr>
          <w:hidden/>
        </w:trPr>
        <w:tc>
          <w:tcPr>
            <w:tcW w:w="0" w:type="auto"/>
            <w:gridSpan w:val="3"/>
            <w:shd w:val="clear" w:color="auto" w:fill="auto"/>
            <w:vAlign w:val="bottom"/>
          </w:tcPr>
          <w:p w14:paraId="392C6D18" w14:textId="77777777" w:rsidR="00980E5F" w:rsidRDefault="00980E5F">
            <w:pPr>
              <w:rPr>
                <w:rFonts w:ascii="宋体"/>
                <w:vanish/>
              </w:rPr>
            </w:pPr>
          </w:p>
        </w:tc>
        <w:tc>
          <w:tcPr>
            <w:tcW w:w="0" w:type="auto"/>
            <w:gridSpan w:val="3"/>
            <w:shd w:val="clear" w:color="auto" w:fill="auto"/>
            <w:vAlign w:val="bottom"/>
          </w:tcPr>
          <w:p w14:paraId="392C6D19" w14:textId="77777777" w:rsidR="00980E5F" w:rsidRDefault="00980E5F">
            <w:pPr>
              <w:rPr>
                <w:rFonts w:ascii="宋体"/>
                <w:vanish/>
              </w:rPr>
            </w:pPr>
          </w:p>
        </w:tc>
        <w:tc>
          <w:tcPr>
            <w:tcW w:w="0" w:type="auto"/>
            <w:gridSpan w:val="3"/>
            <w:shd w:val="clear" w:color="auto" w:fill="auto"/>
            <w:vAlign w:val="bottom"/>
          </w:tcPr>
          <w:p w14:paraId="392C6D1A" w14:textId="77777777" w:rsidR="00980E5F" w:rsidRDefault="00980E5F">
            <w:pPr>
              <w:rPr>
                <w:rFonts w:ascii="宋体"/>
                <w:vanish/>
              </w:rPr>
            </w:pPr>
          </w:p>
        </w:tc>
        <w:tc>
          <w:tcPr>
            <w:tcW w:w="0" w:type="auto"/>
            <w:gridSpan w:val="3"/>
            <w:shd w:val="clear" w:color="auto" w:fill="auto"/>
            <w:vAlign w:val="bottom"/>
          </w:tcPr>
          <w:p w14:paraId="392C6D1B" w14:textId="77777777" w:rsidR="00980E5F" w:rsidRDefault="00980E5F">
            <w:pPr>
              <w:rPr>
                <w:rFonts w:ascii="宋体"/>
                <w:vanish/>
              </w:rPr>
            </w:pPr>
          </w:p>
        </w:tc>
        <w:tc>
          <w:tcPr>
            <w:tcW w:w="0" w:type="auto"/>
            <w:gridSpan w:val="3"/>
            <w:shd w:val="clear" w:color="auto" w:fill="auto"/>
            <w:vAlign w:val="bottom"/>
          </w:tcPr>
          <w:p w14:paraId="392C6D1C" w14:textId="77777777" w:rsidR="00980E5F" w:rsidRDefault="00980E5F">
            <w:pPr>
              <w:rPr>
                <w:rFonts w:ascii="宋体"/>
                <w:vanish/>
              </w:rPr>
            </w:pPr>
          </w:p>
        </w:tc>
        <w:tc>
          <w:tcPr>
            <w:tcW w:w="0" w:type="auto"/>
            <w:gridSpan w:val="3"/>
            <w:shd w:val="clear" w:color="auto" w:fill="auto"/>
            <w:vAlign w:val="bottom"/>
          </w:tcPr>
          <w:p w14:paraId="392C6D1D" w14:textId="77777777" w:rsidR="00980E5F" w:rsidRDefault="00980E5F">
            <w:pPr>
              <w:rPr>
                <w:rFonts w:ascii="宋体"/>
                <w:vanish/>
              </w:rPr>
            </w:pPr>
          </w:p>
        </w:tc>
        <w:tc>
          <w:tcPr>
            <w:tcW w:w="0" w:type="auto"/>
            <w:gridSpan w:val="3"/>
            <w:shd w:val="clear" w:color="auto" w:fill="auto"/>
            <w:vAlign w:val="bottom"/>
          </w:tcPr>
          <w:p w14:paraId="392C6D1E" w14:textId="77777777" w:rsidR="00980E5F" w:rsidRDefault="00980E5F">
            <w:pPr>
              <w:rPr>
                <w:rFonts w:ascii="宋体"/>
                <w:vanish/>
              </w:rPr>
            </w:pPr>
          </w:p>
        </w:tc>
        <w:tc>
          <w:tcPr>
            <w:tcW w:w="0" w:type="auto"/>
            <w:gridSpan w:val="3"/>
            <w:shd w:val="clear" w:color="auto" w:fill="auto"/>
            <w:vAlign w:val="bottom"/>
          </w:tcPr>
          <w:p w14:paraId="392C6D1F" w14:textId="77777777" w:rsidR="00980E5F" w:rsidRDefault="00980E5F">
            <w:pPr>
              <w:rPr>
                <w:rFonts w:ascii="宋体"/>
                <w:vanish/>
              </w:rPr>
            </w:pPr>
          </w:p>
        </w:tc>
        <w:tc>
          <w:tcPr>
            <w:tcW w:w="0" w:type="auto"/>
            <w:gridSpan w:val="3"/>
            <w:shd w:val="clear" w:color="auto" w:fill="auto"/>
            <w:vAlign w:val="bottom"/>
          </w:tcPr>
          <w:p w14:paraId="392C6D20" w14:textId="77777777" w:rsidR="00980E5F" w:rsidRDefault="00980E5F">
            <w:pPr>
              <w:rPr>
                <w:rFonts w:ascii="宋体"/>
                <w:vanish/>
              </w:rPr>
            </w:pPr>
          </w:p>
        </w:tc>
        <w:tc>
          <w:tcPr>
            <w:tcW w:w="0" w:type="auto"/>
            <w:gridSpan w:val="3"/>
            <w:shd w:val="clear" w:color="auto" w:fill="auto"/>
            <w:vAlign w:val="bottom"/>
          </w:tcPr>
          <w:p w14:paraId="392C6D21" w14:textId="77777777" w:rsidR="00980E5F" w:rsidRDefault="00980E5F">
            <w:pPr>
              <w:rPr>
                <w:rFonts w:ascii="宋体"/>
                <w:vanish/>
              </w:rPr>
            </w:pPr>
          </w:p>
        </w:tc>
        <w:tc>
          <w:tcPr>
            <w:tcW w:w="0" w:type="auto"/>
            <w:gridSpan w:val="3"/>
            <w:shd w:val="clear" w:color="auto" w:fill="auto"/>
            <w:vAlign w:val="bottom"/>
          </w:tcPr>
          <w:p w14:paraId="392C6D22" w14:textId="77777777" w:rsidR="00980E5F" w:rsidRDefault="00980E5F">
            <w:pPr>
              <w:rPr>
                <w:rFonts w:ascii="宋体"/>
                <w:vanish/>
              </w:rPr>
            </w:pPr>
          </w:p>
        </w:tc>
        <w:tc>
          <w:tcPr>
            <w:tcW w:w="0" w:type="auto"/>
            <w:gridSpan w:val="3"/>
            <w:shd w:val="clear" w:color="auto" w:fill="auto"/>
            <w:vAlign w:val="bottom"/>
          </w:tcPr>
          <w:p w14:paraId="392C6D23" w14:textId="77777777" w:rsidR="00980E5F" w:rsidRDefault="00980E5F">
            <w:pPr>
              <w:rPr>
                <w:rFonts w:ascii="宋体"/>
                <w:vanish/>
              </w:rPr>
            </w:pPr>
          </w:p>
        </w:tc>
        <w:tc>
          <w:tcPr>
            <w:tcW w:w="0" w:type="auto"/>
            <w:gridSpan w:val="3"/>
            <w:shd w:val="clear" w:color="auto" w:fill="auto"/>
            <w:vAlign w:val="bottom"/>
          </w:tcPr>
          <w:p w14:paraId="392C6D24" w14:textId="77777777" w:rsidR="00980E5F" w:rsidRDefault="00980E5F">
            <w:pPr>
              <w:rPr>
                <w:rFonts w:ascii="宋体"/>
                <w:vanish/>
              </w:rPr>
            </w:pPr>
          </w:p>
        </w:tc>
        <w:tc>
          <w:tcPr>
            <w:tcW w:w="0" w:type="auto"/>
            <w:gridSpan w:val="3"/>
            <w:shd w:val="clear" w:color="auto" w:fill="auto"/>
            <w:vAlign w:val="bottom"/>
          </w:tcPr>
          <w:p w14:paraId="392C6D25" w14:textId="77777777" w:rsidR="00980E5F" w:rsidRDefault="00980E5F">
            <w:pPr>
              <w:rPr>
                <w:rFonts w:ascii="宋体"/>
                <w:vanish/>
              </w:rPr>
            </w:pPr>
          </w:p>
        </w:tc>
        <w:tc>
          <w:tcPr>
            <w:tcW w:w="0" w:type="auto"/>
            <w:gridSpan w:val="3"/>
            <w:shd w:val="clear" w:color="auto" w:fill="auto"/>
            <w:vAlign w:val="bottom"/>
          </w:tcPr>
          <w:p w14:paraId="392C6D26" w14:textId="77777777" w:rsidR="00980E5F" w:rsidRDefault="00980E5F">
            <w:pPr>
              <w:rPr>
                <w:rFonts w:ascii="宋体"/>
                <w:vanish/>
              </w:rPr>
            </w:pPr>
          </w:p>
        </w:tc>
        <w:tc>
          <w:tcPr>
            <w:tcW w:w="0" w:type="auto"/>
            <w:gridSpan w:val="3"/>
            <w:shd w:val="clear" w:color="auto" w:fill="auto"/>
            <w:vAlign w:val="bottom"/>
          </w:tcPr>
          <w:p w14:paraId="392C6D27" w14:textId="77777777" w:rsidR="00980E5F" w:rsidRDefault="00980E5F">
            <w:pPr>
              <w:rPr>
                <w:rFonts w:ascii="宋体"/>
                <w:vanish/>
              </w:rPr>
            </w:pPr>
          </w:p>
        </w:tc>
        <w:tc>
          <w:tcPr>
            <w:tcW w:w="0" w:type="auto"/>
            <w:gridSpan w:val="3"/>
            <w:shd w:val="clear" w:color="auto" w:fill="auto"/>
            <w:vAlign w:val="bottom"/>
          </w:tcPr>
          <w:p w14:paraId="392C6D28" w14:textId="77777777" w:rsidR="00980E5F" w:rsidRDefault="00980E5F">
            <w:pPr>
              <w:rPr>
                <w:rFonts w:ascii="宋体"/>
                <w:vanish/>
              </w:rPr>
            </w:pPr>
          </w:p>
        </w:tc>
        <w:tc>
          <w:tcPr>
            <w:tcW w:w="0" w:type="auto"/>
            <w:gridSpan w:val="3"/>
            <w:shd w:val="clear" w:color="auto" w:fill="auto"/>
            <w:vAlign w:val="bottom"/>
          </w:tcPr>
          <w:p w14:paraId="392C6D29" w14:textId="77777777" w:rsidR="00980E5F" w:rsidRDefault="00980E5F">
            <w:pPr>
              <w:rPr>
                <w:rFonts w:ascii="宋体"/>
                <w:vanish/>
              </w:rPr>
            </w:pPr>
          </w:p>
        </w:tc>
        <w:tc>
          <w:tcPr>
            <w:tcW w:w="0" w:type="auto"/>
            <w:gridSpan w:val="3"/>
            <w:shd w:val="clear" w:color="auto" w:fill="auto"/>
            <w:vAlign w:val="bottom"/>
          </w:tcPr>
          <w:p w14:paraId="392C6D2A" w14:textId="77777777" w:rsidR="00980E5F" w:rsidRDefault="00980E5F">
            <w:pPr>
              <w:rPr>
                <w:rFonts w:ascii="宋体"/>
                <w:vanish/>
              </w:rPr>
            </w:pPr>
          </w:p>
        </w:tc>
        <w:tc>
          <w:tcPr>
            <w:tcW w:w="0" w:type="auto"/>
            <w:gridSpan w:val="3"/>
            <w:shd w:val="clear" w:color="auto" w:fill="auto"/>
            <w:vAlign w:val="bottom"/>
          </w:tcPr>
          <w:p w14:paraId="392C6D2B" w14:textId="77777777" w:rsidR="00980E5F" w:rsidRDefault="00980E5F">
            <w:pPr>
              <w:rPr>
                <w:rFonts w:ascii="宋体"/>
                <w:vanish/>
              </w:rPr>
            </w:pPr>
          </w:p>
        </w:tc>
      </w:tr>
      <w:tr w:rsidR="00980E5F" w14:paraId="392C6D4B" w14:textId="77777777">
        <w:tc>
          <w:tcPr>
            <w:tcW w:w="0" w:type="auto"/>
            <w:gridSpan w:val="3"/>
            <w:shd w:val="clear" w:color="auto" w:fill="CCEEFF"/>
            <w:tcMar>
              <w:top w:w="40" w:type="dxa"/>
              <w:left w:w="245" w:type="dxa"/>
              <w:bottom w:w="40" w:type="dxa"/>
              <w:right w:w="20" w:type="dxa"/>
            </w:tcMar>
            <w:vAlign w:val="bottom"/>
          </w:tcPr>
          <w:p w14:paraId="392C6D2D" w14:textId="77777777" w:rsidR="00980E5F" w:rsidRDefault="00483613">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392C6D2E" w14:textId="77777777" w:rsidR="00980E5F" w:rsidRDefault="00483613">
            <w:pPr>
              <w:jc w:val="right"/>
              <w:textAlignment w:val="bottom"/>
            </w:pPr>
            <w:r>
              <w:rPr>
                <w:rFonts w:ascii="Arial" w:eastAsia="宋体" w:hAnsi="Arial" w:cs="Arial"/>
                <w:b/>
                <w:bCs/>
                <w:color w:val="000000"/>
                <w:sz w:val="13"/>
                <w:szCs w:val="13"/>
              </w:rPr>
              <w:t>181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31" w14:textId="77777777" w:rsidR="00980E5F" w:rsidRDefault="00483613">
            <w:pPr>
              <w:jc w:val="right"/>
              <w:textAlignment w:val="bottom"/>
            </w:pPr>
            <w:r>
              <w:rPr>
                <w:rFonts w:ascii="Arial" w:eastAsia="宋体" w:hAnsi="Arial" w:cs="Arial"/>
                <w:b/>
                <w:bCs/>
                <w:color w:val="000000"/>
                <w:sz w:val="13"/>
                <w:szCs w:val="13"/>
              </w:rPr>
              <w:t>188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34" w14:textId="77777777" w:rsidR="00980E5F" w:rsidRDefault="00483613">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37" w14:textId="77777777" w:rsidR="00980E5F" w:rsidRDefault="00483613">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3A"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3D"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3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40" w14:textId="77777777" w:rsidR="00980E5F" w:rsidRDefault="00483613">
            <w:pPr>
              <w:jc w:val="right"/>
              <w:textAlignment w:val="bottom"/>
            </w:pPr>
            <w:r>
              <w:rPr>
                <w:rFonts w:ascii="Arial" w:eastAsia="宋体" w:hAnsi="Arial" w:cs="Arial"/>
                <w:b/>
                <w:bCs/>
                <w:color w:val="000000"/>
                <w:sz w:val="13"/>
                <w:szCs w:val="13"/>
              </w:rPr>
              <w:t>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4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43" w14:textId="77777777" w:rsidR="00980E5F" w:rsidRDefault="00483613">
            <w:pPr>
              <w:jc w:val="right"/>
              <w:textAlignment w:val="bottom"/>
            </w:pPr>
            <w:r>
              <w:rPr>
                <w:rFonts w:ascii="Arial" w:eastAsia="宋体" w:hAnsi="Arial" w:cs="Arial"/>
                <w:b/>
                <w:bCs/>
                <w:color w:val="000000"/>
                <w:sz w:val="13"/>
                <w:szCs w:val="13"/>
              </w:rPr>
              <w:t>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4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46" w14:textId="77777777" w:rsidR="00980E5F" w:rsidRDefault="00483613">
            <w:pPr>
              <w:jc w:val="right"/>
              <w:textAlignment w:val="bottom"/>
            </w:pPr>
            <w:r>
              <w:rPr>
                <w:rFonts w:ascii="Arial" w:eastAsia="宋体" w:hAnsi="Arial" w:cs="Arial"/>
                <w:b/>
                <w:bCs/>
                <w:color w:val="000000"/>
                <w:sz w:val="13"/>
                <w:szCs w:val="13"/>
              </w:rPr>
              <w:t>266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4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D49" w14:textId="77777777" w:rsidR="00980E5F" w:rsidRDefault="00483613">
            <w:pPr>
              <w:jc w:val="right"/>
              <w:textAlignment w:val="bottom"/>
            </w:pPr>
            <w:r>
              <w:rPr>
                <w:rFonts w:ascii="Arial" w:eastAsia="宋体" w:hAnsi="Arial" w:cs="Arial"/>
                <w:b/>
                <w:bCs/>
                <w:color w:val="000000"/>
                <w:sz w:val="13"/>
                <w:szCs w:val="13"/>
              </w:rPr>
              <w:t>286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6D4A" w14:textId="77777777" w:rsidR="00980E5F" w:rsidRDefault="00980E5F">
            <w:pPr>
              <w:jc w:val="right"/>
              <w:rPr>
                <w:rFonts w:ascii="宋体"/>
              </w:rPr>
            </w:pPr>
          </w:p>
        </w:tc>
      </w:tr>
      <w:tr w:rsidR="00980E5F" w14:paraId="392C6D6A" w14:textId="77777777">
        <w:tc>
          <w:tcPr>
            <w:tcW w:w="0" w:type="auto"/>
            <w:gridSpan w:val="3"/>
            <w:shd w:val="clear" w:color="auto" w:fill="FFFFFF"/>
            <w:tcMar>
              <w:top w:w="40" w:type="dxa"/>
              <w:left w:w="395" w:type="dxa"/>
              <w:bottom w:w="40" w:type="dxa"/>
              <w:right w:w="20" w:type="dxa"/>
            </w:tcMar>
            <w:vAlign w:val="bottom"/>
          </w:tcPr>
          <w:p w14:paraId="392C6D4C" w14:textId="77777777" w:rsidR="00980E5F" w:rsidRDefault="00483613">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4D" w14:textId="77777777" w:rsidR="00980E5F" w:rsidRDefault="00483613">
            <w:pPr>
              <w:jc w:val="right"/>
              <w:textAlignment w:val="bottom"/>
            </w:pPr>
            <w:r>
              <w:rPr>
                <w:rFonts w:ascii="Arial" w:eastAsia="宋体" w:hAnsi="Arial" w:cs="Arial"/>
                <w:b/>
                <w:bCs/>
                <w:color w:val="000000"/>
                <w:sz w:val="13"/>
                <w:szCs w:val="13"/>
              </w:rPr>
              <w:t>513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4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0" w14:textId="77777777" w:rsidR="00980E5F" w:rsidRDefault="00483613">
            <w:pPr>
              <w:jc w:val="right"/>
              <w:textAlignment w:val="bottom"/>
            </w:pPr>
            <w:r>
              <w:rPr>
                <w:rFonts w:ascii="Arial" w:eastAsia="宋体" w:hAnsi="Arial" w:cs="Arial"/>
                <w:b/>
                <w:bCs/>
                <w:color w:val="000000"/>
                <w:sz w:val="13"/>
                <w:szCs w:val="13"/>
              </w:rPr>
              <w:t>507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5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3" w14:textId="77777777" w:rsidR="00980E5F" w:rsidRDefault="00483613">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5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6" w14:textId="77777777" w:rsidR="00980E5F" w:rsidRDefault="00483613">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5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9" w14:textId="77777777" w:rsidR="00980E5F" w:rsidRDefault="00483613">
            <w:pPr>
              <w:jc w:val="right"/>
              <w:textAlignment w:val="bottom"/>
            </w:pPr>
            <w:r>
              <w:rPr>
                <w:rFonts w:ascii="Arial" w:eastAsia="宋体" w:hAnsi="Arial" w:cs="Arial"/>
                <w:b/>
                <w:bCs/>
                <w:color w:val="000000"/>
                <w:sz w:val="13"/>
                <w:szCs w:val="13"/>
              </w:rPr>
              <w:t>960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5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C" w14:textId="77777777" w:rsidR="00980E5F" w:rsidRDefault="00483613">
            <w:pPr>
              <w:jc w:val="right"/>
              <w:textAlignment w:val="bottom"/>
            </w:pPr>
            <w:r>
              <w:rPr>
                <w:rFonts w:ascii="Arial" w:eastAsia="宋体" w:hAnsi="Arial" w:cs="Arial"/>
                <w:b/>
                <w:bCs/>
                <w:color w:val="000000"/>
                <w:sz w:val="13"/>
                <w:szCs w:val="13"/>
              </w:rPr>
              <w:t>941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5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5F" w14:textId="77777777" w:rsidR="00980E5F" w:rsidRDefault="00483613">
            <w:pPr>
              <w:jc w:val="right"/>
              <w:textAlignment w:val="bottom"/>
            </w:pPr>
            <w:r>
              <w:rPr>
                <w:rFonts w:ascii="Arial" w:eastAsia="宋体" w:hAnsi="Arial" w:cs="Arial"/>
                <w:b/>
                <w:bCs/>
                <w:color w:val="000000"/>
                <w:sz w:val="13"/>
                <w:szCs w:val="13"/>
              </w:rPr>
              <w:t>3,237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6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62" w14:textId="77777777" w:rsidR="00980E5F" w:rsidRDefault="00483613">
            <w:pPr>
              <w:jc w:val="right"/>
              <w:textAlignment w:val="bottom"/>
            </w:pPr>
            <w:r>
              <w:rPr>
                <w:rFonts w:ascii="Arial" w:eastAsia="宋体" w:hAnsi="Arial" w:cs="Arial"/>
                <w:b/>
                <w:bCs/>
                <w:color w:val="000000"/>
                <w:sz w:val="13"/>
                <w:szCs w:val="13"/>
              </w:rPr>
              <w:t>3,158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6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65" w14:textId="77777777" w:rsidR="00980E5F" w:rsidRDefault="00483613">
            <w:pPr>
              <w:jc w:val="right"/>
              <w:textAlignment w:val="bottom"/>
            </w:pPr>
            <w:r>
              <w:rPr>
                <w:rFonts w:ascii="Arial" w:eastAsia="宋体" w:hAnsi="Arial" w:cs="Arial"/>
                <w:b/>
                <w:bCs/>
                <w:color w:val="000000"/>
                <w:sz w:val="13"/>
                <w:szCs w:val="13"/>
              </w:rPr>
              <w:t>4,734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D6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D68" w14:textId="77777777" w:rsidR="00980E5F" w:rsidRDefault="00483613">
            <w:pPr>
              <w:jc w:val="right"/>
              <w:textAlignment w:val="bottom"/>
            </w:pPr>
            <w:r>
              <w:rPr>
                <w:rFonts w:ascii="Arial" w:eastAsia="宋体" w:hAnsi="Arial" w:cs="Arial"/>
                <w:b/>
                <w:bCs/>
                <w:color w:val="000000"/>
                <w:sz w:val="13"/>
                <w:szCs w:val="13"/>
              </w:rPr>
              <w:t>4,631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D69" w14:textId="77777777" w:rsidR="00980E5F" w:rsidRDefault="00980E5F">
            <w:pPr>
              <w:jc w:val="right"/>
              <w:rPr>
                <w:rFonts w:ascii="宋体"/>
              </w:rPr>
            </w:pPr>
          </w:p>
        </w:tc>
      </w:tr>
      <w:tr w:rsidR="00483613" w14:paraId="392C6D93" w14:textId="77777777">
        <w:tc>
          <w:tcPr>
            <w:tcW w:w="0" w:type="auto"/>
            <w:gridSpan w:val="3"/>
            <w:shd w:val="clear" w:color="auto" w:fill="CCEEFF"/>
            <w:tcMar>
              <w:top w:w="40" w:type="dxa"/>
              <w:left w:w="20" w:type="dxa"/>
              <w:bottom w:w="40" w:type="dxa"/>
              <w:right w:w="20" w:type="dxa"/>
            </w:tcMar>
            <w:vAlign w:val="bottom"/>
          </w:tcPr>
          <w:p w14:paraId="392C6D6B"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6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6D" w14:textId="77777777" w:rsidR="00980E5F" w:rsidRDefault="00483613">
            <w:pPr>
              <w:jc w:val="right"/>
              <w:textAlignment w:val="bottom"/>
            </w:pPr>
            <w:r>
              <w:rPr>
                <w:rFonts w:ascii="Arial" w:eastAsia="宋体" w:hAnsi="Arial" w:cs="Arial"/>
                <w:b/>
                <w:bCs/>
                <w:color w:val="000000"/>
                <w:sz w:val="13"/>
                <w:szCs w:val="13"/>
              </w:rPr>
              <w:t>1,616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6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7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71" w14:textId="77777777" w:rsidR="00980E5F" w:rsidRDefault="00483613">
            <w:pPr>
              <w:jc w:val="right"/>
              <w:textAlignment w:val="bottom"/>
            </w:pPr>
            <w:r>
              <w:rPr>
                <w:rFonts w:ascii="Arial" w:eastAsia="宋体" w:hAnsi="Arial" w:cs="Arial"/>
                <w:b/>
                <w:bCs/>
                <w:color w:val="000000"/>
                <w:sz w:val="13"/>
                <w:szCs w:val="13"/>
              </w:rPr>
              <w:t>1,601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7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74"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75" w14:textId="77777777" w:rsidR="00980E5F" w:rsidRDefault="00483613">
            <w:pPr>
              <w:jc w:val="right"/>
              <w:textAlignment w:val="bottom"/>
            </w:pPr>
            <w:r>
              <w:rPr>
                <w:rFonts w:ascii="Arial" w:eastAsia="宋体" w:hAnsi="Arial" w:cs="Arial"/>
                <w:b/>
                <w:bCs/>
                <w:color w:val="000000"/>
                <w:sz w:val="13"/>
                <w:szCs w:val="13"/>
              </w:rPr>
              <w:t>16,868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7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78"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79" w14:textId="77777777" w:rsidR="00980E5F" w:rsidRDefault="00483613">
            <w:pPr>
              <w:jc w:val="right"/>
              <w:textAlignment w:val="bottom"/>
            </w:pPr>
            <w:r>
              <w:rPr>
                <w:rFonts w:ascii="Arial" w:eastAsia="宋体" w:hAnsi="Arial" w:cs="Arial"/>
                <w:b/>
                <w:bCs/>
                <w:color w:val="000000"/>
                <w:sz w:val="13"/>
                <w:szCs w:val="13"/>
              </w:rPr>
              <w:t>16,662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7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7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7D" w14:textId="77777777" w:rsidR="00980E5F" w:rsidRDefault="00483613">
            <w:pPr>
              <w:jc w:val="right"/>
              <w:textAlignment w:val="bottom"/>
            </w:pPr>
            <w:r>
              <w:rPr>
                <w:rFonts w:ascii="Arial" w:eastAsia="宋体" w:hAnsi="Arial" w:cs="Arial"/>
                <w:b/>
                <w:bCs/>
                <w:color w:val="000000"/>
                <w:sz w:val="13"/>
                <w:szCs w:val="13"/>
              </w:rPr>
              <w:t>6,284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7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8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81" w14:textId="77777777" w:rsidR="00980E5F" w:rsidRDefault="00483613">
            <w:pPr>
              <w:jc w:val="right"/>
              <w:textAlignment w:val="bottom"/>
            </w:pPr>
            <w:r>
              <w:rPr>
                <w:rFonts w:ascii="Arial" w:eastAsia="宋体" w:hAnsi="Arial" w:cs="Arial"/>
                <w:b/>
                <w:bCs/>
                <w:color w:val="000000"/>
                <w:sz w:val="13"/>
                <w:szCs w:val="13"/>
              </w:rPr>
              <w:t>5,691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8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84"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85" w14:textId="77777777" w:rsidR="00980E5F" w:rsidRDefault="00483613">
            <w:pPr>
              <w:jc w:val="right"/>
              <w:textAlignment w:val="bottom"/>
            </w:pPr>
            <w:r>
              <w:rPr>
                <w:rFonts w:ascii="Arial" w:eastAsia="宋体" w:hAnsi="Arial" w:cs="Arial"/>
                <w:b/>
                <w:bCs/>
                <w:color w:val="000000"/>
                <w:sz w:val="13"/>
                <w:szCs w:val="13"/>
              </w:rPr>
              <w:t>39,493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8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8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88"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89" w14:textId="77777777" w:rsidR="00980E5F" w:rsidRDefault="00483613">
            <w:pPr>
              <w:jc w:val="right"/>
              <w:textAlignment w:val="bottom"/>
            </w:pPr>
            <w:r>
              <w:rPr>
                <w:rFonts w:ascii="Arial" w:eastAsia="宋体" w:hAnsi="Arial" w:cs="Arial"/>
                <w:b/>
                <w:bCs/>
                <w:color w:val="000000"/>
                <w:sz w:val="13"/>
                <w:szCs w:val="13"/>
              </w:rPr>
              <w:t>36,149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8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8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8D" w14:textId="77777777" w:rsidR="00980E5F" w:rsidRDefault="00483613">
            <w:pPr>
              <w:jc w:val="right"/>
              <w:textAlignment w:val="bottom"/>
            </w:pPr>
            <w:r>
              <w:rPr>
                <w:rFonts w:ascii="Arial" w:eastAsia="宋体" w:hAnsi="Arial" w:cs="Arial"/>
                <w:b/>
                <w:bCs/>
                <w:color w:val="000000"/>
                <w:sz w:val="13"/>
                <w:szCs w:val="13"/>
              </w:rPr>
              <w:t>64,261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8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D90"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D91" w14:textId="77777777" w:rsidR="00980E5F" w:rsidRDefault="00483613">
            <w:pPr>
              <w:jc w:val="right"/>
              <w:textAlignment w:val="bottom"/>
            </w:pPr>
            <w:r>
              <w:rPr>
                <w:rFonts w:ascii="Arial" w:eastAsia="宋体" w:hAnsi="Arial" w:cs="Arial"/>
                <w:b/>
                <w:bCs/>
                <w:color w:val="000000"/>
                <w:sz w:val="13"/>
                <w:szCs w:val="13"/>
              </w:rPr>
              <w:t>60,103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D92" w14:textId="77777777" w:rsidR="00980E5F" w:rsidRDefault="00980E5F">
            <w:pPr>
              <w:jc w:val="right"/>
              <w:rPr>
                <w:rFonts w:ascii="宋体"/>
              </w:rPr>
            </w:pPr>
          </w:p>
        </w:tc>
      </w:tr>
      <w:tr w:rsidR="00980E5F" w14:paraId="392C6DA8" w14:textId="77777777">
        <w:trPr>
          <w:hidden/>
        </w:trPr>
        <w:tc>
          <w:tcPr>
            <w:tcW w:w="0" w:type="auto"/>
            <w:gridSpan w:val="3"/>
            <w:shd w:val="clear" w:color="auto" w:fill="auto"/>
            <w:vAlign w:val="bottom"/>
          </w:tcPr>
          <w:p w14:paraId="392C6D94" w14:textId="77777777" w:rsidR="00980E5F" w:rsidRDefault="00980E5F">
            <w:pPr>
              <w:rPr>
                <w:rFonts w:ascii="宋体"/>
                <w:vanish/>
              </w:rPr>
            </w:pPr>
          </w:p>
        </w:tc>
        <w:tc>
          <w:tcPr>
            <w:tcW w:w="0" w:type="auto"/>
            <w:gridSpan w:val="3"/>
            <w:shd w:val="clear" w:color="auto" w:fill="auto"/>
            <w:vAlign w:val="bottom"/>
          </w:tcPr>
          <w:p w14:paraId="392C6D95" w14:textId="77777777" w:rsidR="00980E5F" w:rsidRDefault="00980E5F">
            <w:pPr>
              <w:rPr>
                <w:rFonts w:ascii="宋体"/>
                <w:vanish/>
              </w:rPr>
            </w:pPr>
          </w:p>
        </w:tc>
        <w:tc>
          <w:tcPr>
            <w:tcW w:w="0" w:type="auto"/>
            <w:gridSpan w:val="3"/>
            <w:shd w:val="clear" w:color="auto" w:fill="auto"/>
            <w:vAlign w:val="bottom"/>
          </w:tcPr>
          <w:p w14:paraId="392C6D96" w14:textId="77777777" w:rsidR="00980E5F" w:rsidRDefault="00980E5F">
            <w:pPr>
              <w:rPr>
                <w:rFonts w:ascii="宋体"/>
                <w:vanish/>
              </w:rPr>
            </w:pPr>
          </w:p>
        </w:tc>
        <w:tc>
          <w:tcPr>
            <w:tcW w:w="0" w:type="auto"/>
            <w:gridSpan w:val="3"/>
            <w:shd w:val="clear" w:color="auto" w:fill="auto"/>
            <w:vAlign w:val="bottom"/>
          </w:tcPr>
          <w:p w14:paraId="392C6D97" w14:textId="77777777" w:rsidR="00980E5F" w:rsidRDefault="00980E5F">
            <w:pPr>
              <w:rPr>
                <w:rFonts w:ascii="宋体"/>
                <w:vanish/>
              </w:rPr>
            </w:pPr>
          </w:p>
        </w:tc>
        <w:tc>
          <w:tcPr>
            <w:tcW w:w="0" w:type="auto"/>
            <w:gridSpan w:val="3"/>
            <w:shd w:val="clear" w:color="auto" w:fill="auto"/>
            <w:vAlign w:val="bottom"/>
          </w:tcPr>
          <w:p w14:paraId="392C6D98" w14:textId="77777777" w:rsidR="00980E5F" w:rsidRDefault="00980E5F">
            <w:pPr>
              <w:rPr>
                <w:rFonts w:ascii="宋体"/>
                <w:vanish/>
              </w:rPr>
            </w:pPr>
          </w:p>
        </w:tc>
        <w:tc>
          <w:tcPr>
            <w:tcW w:w="0" w:type="auto"/>
            <w:gridSpan w:val="3"/>
            <w:shd w:val="clear" w:color="auto" w:fill="auto"/>
            <w:vAlign w:val="bottom"/>
          </w:tcPr>
          <w:p w14:paraId="392C6D99" w14:textId="77777777" w:rsidR="00980E5F" w:rsidRDefault="00980E5F">
            <w:pPr>
              <w:rPr>
                <w:rFonts w:ascii="宋体"/>
                <w:vanish/>
              </w:rPr>
            </w:pPr>
          </w:p>
        </w:tc>
        <w:tc>
          <w:tcPr>
            <w:tcW w:w="0" w:type="auto"/>
            <w:gridSpan w:val="3"/>
            <w:shd w:val="clear" w:color="auto" w:fill="auto"/>
            <w:vAlign w:val="bottom"/>
          </w:tcPr>
          <w:p w14:paraId="392C6D9A" w14:textId="77777777" w:rsidR="00980E5F" w:rsidRDefault="00980E5F">
            <w:pPr>
              <w:rPr>
                <w:rFonts w:ascii="宋体"/>
                <w:vanish/>
              </w:rPr>
            </w:pPr>
          </w:p>
        </w:tc>
        <w:tc>
          <w:tcPr>
            <w:tcW w:w="0" w:type="auto"/>
            <w:gridSpan w:val="3"/>
            <w:shd w:val="clear" w:color="auto" w:fill="auto"/>
            <w:vAlign w:val="bottom"/>
          </w:tcPr>
          <w:p w14:paraId="392C6D9B" w14:textId="77777777" w:rsidR="00980E5F" w:rsidRDefault="00980E5F">
            <w:pPr>
              <w:rPr>
                <w:rFonts w:ascii="宋体"/>
                <w:vanish/>
              </w:rPr>
            </w:pPr>
          </w:p>
        </w:tc>
        <w:tc>
          <w:tcPr>
            <w:tcW w:w="0" w:type="auto"/>
            <w:gridSpan w:val="3"/>
            <w:shd w:val="clear" w:color="auto" w:fill="auto"/>
            <w:vAlign w:val="bottom"/>
          </w:tcPr>
          <w:p w14:paraId="392C6D9C" w14:textId="77777777" w:rsidR="00980E5F" w:rsidRDefault="00980E5F">
            <w:pPr>
              <w:rPr>
                <w:rFonts w:ascii="宋体"/>
                <w:vanish/>
              </w:rPr>
            </w:pPr>
          </w:p>
        </w:tc>
        <w:tc>
          <w:tcPr>
            <w:tcW w:w="0" w:type="auto"/>
            <w:gridSpan w:val="3"/>
            <w:shd w:val="clear" w:color="auto" w:fill="auto"/>
            <w:vAlign w:val="bottom"/>
          </w:tcPr>
          <w:p w14:paraId="392C6D9D" w14:textId="77777777" w:rsidR="00980E5F" w:rsidRDefault="00980E5F">
            <w:pPr>
              <w:rPr>
                <w:rFonts w:ascii="宋体"/>
                <w:vanish/>
              </w:rPr>
            </w:pPr>
          </w:p>
        </w:tc>
        <w:tc>
          <w:tcPr>
            <w:tcW w:w="0" w:type="auto"/>
            <w:gridSpan w:val="3"/>
            <w:shd w:val="clear" w:color="auto" w:fill="auto"/>
            <w:vAlign w:val="bottom"/>
          </w:tcPr>
          <w:p w14:paraId="392C6D9E" w14:textId="77777777" w:rsidR="00980E5F" w:rsidRDefault="00980E5F">
            <w:pPr>
              <w:rPr>
                <w:rFonts w:ascii="宋体"/>
                <w:vanish/>
              </w:rPr>
            </w:pPr>
          </w:p>
        </w:tc>
        <w:tc>
          <w:tcPr>
            <w:tcW w:w="0" w:type="auto"/>
            <w:gridSpan w:val="3"/>
            <w:shd w:val="clear" w:color="auto" w:fill="auto"/>
            <w:vAlign w:val="bottom"/>
          </w:tcPr>
          <w:p w14:paraId="392C6D9F" w14:textId="77777777" w:rsidR="00980E5F" w:rsidRDefault="00980E5F">
            <w:pPr>
              <w:rPr>
                <w:rFonts w:ascii="宋体"/>
                <w:vanish/>
              </w:rPr>
            </w:pPr>
          </w:p>
        </w:tc>
        <w:tc>
          <w:tcPr>
            <w:tcW w:w="0" w:type="auto"/>
            <w:gridSpan w:val="3"/>
            <w:shd w:val="clear" w:color="auto" w:fill="auto"/>
            <w:vAlign w:val="bottom"/>
          </w:tcPr>
          <w:p w14:paraId="392C6DA0" w14:textId="77777777" w:rsidR="00980E5F" w:rsidRDefault="00980E5F">
            <w:pPr>
              <w:rPr>
                <w:rFonts w:ascii="宋体"/>
                <w:vanish/>
              </w:rPr>
            </w:pPr>
          </w:p>
        </w:tc>
        <w:tc>
          <w:tcPr>
            <w:tcW w:w="0" w:type="auto"/>
            <w:gridSpan w:val="3"/>
            <w:shd w:val="clear" w:color="auto" w:fill="auto"/>
            <w:vAlign w:val="bottom"/>
          </w:tcPr>
          <w:p w14:paraId="392C6DA1" w14:textId="77777777" w:rsidR="00980E5F" w:rsidRDefault="00980E5F">
            <w:pPr>
              <w:rPr>
                <w:rFonts w:ascii="宋体"/>
                <w:vanish/>
              </w:rPr>
            </w:pPr>
          </w:p>
        </w:tc>
        <w:tc>
          <w:tcPr>
            <w:tcW w:w="0" w:type="auto"/>
            <w:gridSpan w:val="3"/>
            <w:shd w:val="clear" w:color="auto" w:fill="auto"/>
            <w:vAlign w:val="bottom"/>
          </w:tcPr>
          <w:p w14:paraId="392C6DA2" w14:textId="77777777" w:rsidR="00980E5F" w:rsidRDefault="00980E5F">
            <w:pPr>
              <w:rPr>
                <w:rFonts w:ascii="宋体"/>
                <w:vanish/>
              </w:rPr>
            </w:pPr>
          </w:p>
        </w:tc>
        <w:tc>
          <w:tcPr>
            <w:tcW w:w="0" w:type="auto"/>
            <w:gridSpan w:val="3"/>
            <w:shd w:val="clear" w:color="auto" w:fill="auto"/>
            <w:vAlign w:val="bottom"/>
          </w:tcPr>
          <w:p w14:paraId="392C6DA3" w14:textId="77777777" w:rsidR="00980E5F" w:rsidRDefault="00980E5F">
            <w:pPr>
              <w:rPr>
                <w:rFonts w:ascii="宋体"/>
                <w:vanish/>
              </w:rPr>
            </w:pPr>
          </w:p>
        </w:tc>
        <w:tc>
          <w:tcPr>
            <w:tcW w:w="0" w:type="auto"/>
            <w:gridSpan w:val="3"/>
            <w:shd w:val="clear" w:color="auto" w:fill="auto"/>
            <w:vAlign w:val="bottom"/>
          </w:tcPr>
          <w:p w14:paraId="392C6DA4" w14:textId="77777777" w:rsidR="00980E5F" w:rsidRDefault="00980E5F">
            <w:pPr>
              <w:rPr>
                <w:rFonts w:ascii="宋体"/>
                <w:vanish/>
              </w:rPr>
            </w:pPr>
          </w:p>
        </w:tc>
        <w:tc>
          <w:tcPr>
            <w:tcW w:w="0" w:type="auto"/>
            <w:gridSpan w:val="3"/>
            <w:shd w:val="clear" w:color="auto" w:fill="auto"/>
            <w:vAlign w:val="bottom"/>
          </w:tcPr>
          <w:p w14:paraId="392C6DA5" w14:textId="77777777" w:rsidR="00980E5F" w:rsidRDefault="00980E5F">
            <w:pPr>
              <w:rPr>
                <w:rFonts w:ascii="宋体"/>
                <w:vanish/>
              </w:rPr>
            </w:pPr>
          </w:p>
        </w:tc>
        <w:tc>
          <w:tcPr>
            <w:tcW w:w="0" w:type="auto"/>
            <w:gridSpan w:val="3"/>
            <w:shd w:val="clear" w:color="auto" w:fill="auto"/>
            <w:vAlign w:val="bottom"/>
          </w:tcPr>
          <w:p w14:paraId="392C6DA6" w14:textId="77777777" w:rsidR="00980E5F" w:rsidRDefault="00980E5F">
            <w:pPr>
              <w:rPr>
                <w:rFonts w:ascii="宋体"/>
                <w:vanish/>
              </w:rPr>
            </w:pPr>
          </w:p>
        </w:tc>
        <w:tc>
          <w:tcPr>
            <w:tcW w:w="0" w:type="auto"/>
            <w:gridSpan w:val="3"/>
            <w:shd w:val="clear" w:color="auto" w:fill="auto"/>
            <w:vAlign w:val="bottom"/>
          </w:tcPr>
          <w:p w14:paraId="392C6DA7" w14:textId="77777777" w:rsidR="00980E5F" w:rsidRDefault="00980E5F">
            <w:pPr>
              <w:rPr>
                <w:rFonts w:ascii="宋体"/>
                <w:vanish/>
              </w:rPr>
            </w:pPr>
          </w:p>
        </w:tc>
      </w:tr>
      <w:tr w:rsidR="00980E5F" w14:paraId="392C6DBD" w14:textId="77777777">
        <w:trPr>
          <w:hidden/>
        </w:trPr>
        <w:tc>
          <w:tcPr>
            <w:tcW w:w="0" w:type="auto"/>
            <w:gridSpan w:val="3"/>
            <w:shd w:val="clear" w:color="auto" w:fill="auto"/>
            <w:vAlign w:val="bottom"/>
          </w:tcPr>
          <w:p w14:paraId="392C6DA9" w14:textId="77777777" w:rsidR="00980E5F" w:rsidRDefault="00980E5F">
            <w:pPr>
              <w:rPr>
                <w:rFonts w:ascii="宋体"/>
                <w:vanish/>
              </w:rPr>
            </w:pPr>
          </w:p>
        </w:tc>
        <w:tc>
          <w:tcPr>
            <w:tcW w:w="0" w:type="auto"/>
            <w:gridSpan w:val="3"/>
            <w:shd w:val="clear" w:color="auto" w:fill="auto"/>
            <w:vAlign w:val="bottom"/>
          </w:tcPr>
          <w:p w14:paraId="392C6DAA" w14:textId="77777777" w:rsidR="00980E5F" w:rsidRDefault="00980E5F">
            <w:pPr>
              <w:rPr>
                <w:rFonts w:ascii="宋体"/>
                <w:vanish/>
              </w:rPr>
            </w:pPr>
          </w:p>
        </w:tc>
        <w:tc>
          <w:tcPr>
            <w:tcW w:w="0" w:type="auto"/>
            <w:gridSpan w:val="3"/>
            <w:shd w:val="clear" w:color="auto" w:fill="auto"/>
            <w:vAlign w:val="bottom"/>
          </w:tcPr>
          <w:p w14:paraId="392C6DAB" w14:textId="77777777" w:rsidR="00980E5F" w:rsidRDefault="00980E5F">
            <w:pPr>
              <w:rPr>
                <w:rFonts w:ascii="宋体"/>
                <w:vanish/>
              </w:rPr>
            </w:pPr>
          </w:p>
        </w:tc>
        <w:tc>
          <w:tcPr>
            <w:tcW w:w="0" w:type="auto"/>
            <w:gridSpan w:val="3"/>
            <w:shd w:val="clear" w:color="auto" w:fill="auto"/>
            <w:vAlign w:val="bottom"/>
          </w:tcPr>
          <w:p w14:paraId="392C6DAC" w14:textId="77777777" w:rsidR="00980E5F" w:rsidRDefault="00980E5F">
            <w:pPr>
              <w:rPr>
                <w:rFonts w:ascii="宋体"/>
                <w:vanish/>
              </w:rPr>
            </w:pPr>
          </w:p>
        </w:tc>
        <w:tc>
          <w:tcPr>
            <w:tcW w:w="0" w:type="auto"/>
            <w:gridSpan w:val="3"/>
            <w:shd w:val="clear" w:color="auto" w:fill="auto"/>
            <w:vAlign w:val="bottom"/>
          </w:tcPr>
          <w:p w14:paraId="392C6DAD" w14:textId="77777777" w:rsidR="00980E5F" w:rsidRDefault="00980E5F">
            <w:pPr>
              <w:rPr>
                <w:rFonts w:ascii="宋体"/>
                <w:vanish/>
              </w:rPr>
            </w:pPr>
          </w:p>
        </w:tc>
        <w:tc>
          <w:tcPr>
            <w:tcW w:w="0" w:type="auto"/>
            <w:gridSpan w:val="3"/>
            <w:shd w:val="clear" w:color="auto" w:fill="auto"/>
            <w:vAlign w:val="bottom"/>
          </w:tcPr>
          <w:p w14:paraId="392C6DAE" w14:textId="77777777" w:rsidR="00980E5F" w:rsidRDefault="00980E5F">
            <w:pPr>
              <w:rPr>
                <w:rFonts w:ascii="宋体"/>
                <w:vanish/>
              </w:rPr>
            </w:pPr>
          </w:p>
        </w:tc>
        <w:tc>
          <w:tcPr>
            <w:tcW w:w="0" w:type="auto"/>
            <w:gridSpan w:val="3"/>
            <w:shd w:val="clear" w:color="auto" w:fill="auto"/>
            <w:vAlign w:val="bottom"/>
          </w:tcPr>
          <w:p w14:paraId="392C6DAF" w14:textId="77777777" w:rsidR="00980E5F" w:rsidRDefault="00980E5F">
            <w:pPr>
              <w:rPr>
                <w:rFonts w:ascii="宋体"/>
                <w:vanish/>
              </w:rPr>
            </w:pPr>
          </w:p>
        </w:tc>
        <w:tc>
          <w:tcPr>
            <w:tcW w:w="0" w:type="auto"/>
            <w:gridSpan w:val="3"/>
            <w:shd w:val="clear" w:color="auto" w:fill="auto"/>
            <w:vAlign w:val="bottom"/>
          </w:tcPr>
          <w:p w14:paraId="392C6DB0" w14:textId="77777777" w:rsidR="00980E5F" w:rsidRDefault="00980E5F">
            <w:pPr>
              <w:rPr>
                <w:rFonts w:ascii="宋体"/>
                <w:vanish/>
              </w:rPr>
            </w:pPr>
          </w:p>
        </w:tc>
        <w:tc>
          <w:tcPr>
            <w:tcW w:w="0" w:type="auto"/>
            <w:gridSpan w:val="3"/>
            <w:shd w:val="clear" w:color="auto" w:fill="auto"/>
            <w:vAlign w:val="bottom"/>
          </w:tcPr>
          <w:p w14:paraId="392C6DB1" w14:textId="77777777" w:rsidR="00980E5F" w:rsidRDefault="00980E5F">
            <w:pPr>
              <w:rPr>
                <w:rFonts w:ascii="宋体"/>
                <w:vanish/>
              </w:rPr>
            </w:pPr>
          </w:p>
        </w:tc>
        <w:tc>
          <w:tcPr>
            <w:tcW w:w="0" w:type="auto"/>
            <w:gridSpan w:val="3"/>
            <w:shd w:val="clear" w:color="auto" w:fill="auto"/>
            <w:vAlign w:val="bottom"/>
          </w:tcPr>
          <w:p w14:paraId="392C6DB2" w14:textId="77777777" w:rsidR="00980E5F" w:rsidRDefault="00980E5F">
            <w:pPr>
              <w:rPr>
                <w:rFonts w:ascii="宋体"/>
                <w:vanish/>
              </w:rPr>
            </w:pPr>
          </w:p>
        </w:tc>
        <w:tc>
          <w:tcPr>
            <w:tcW w:w="0" w:type="auto"/>
            <w:gridSpan w:val="3"/>
            <w:shd w:val="clear" w:color="auto" w:fill="auto"/>
            <w:vAlign w:val="bottom"/>
          </w:tcPr>
          <w:p w14:paraId="392C6DB3" w14:textId="77777777" w:rsidR="00980E5F" w:rsidRDefault="00980E5F">
            <w:pPr>
              <w:rPr>
                <w:rFonts w:ascii="宋体"/>
                <w:vanish/>
              </w:rPr>
            </w:pPr>
          </w:p>
        </w:tc>
        <w:tc>
          <w:tcPr>
            <w:tcW w:w="0" w:type="auto"/>
            <w:gridSpan w:val="3"/>
            <w:shd w:val="clear" w:color="auto" w:fill="auto"/>
            <w:vAlign w:val="bottom"/>
          </w:tcPr>
          <w:p w14:paraId="392C6DB4" w14:textId="77777777" w:rsidR="00980E5F" w:rsidRDefault="00980E5F">
            <w:pPr>
              <w:rPr>
                <w:rFonts w:ascii="宋体"/>
                <w:vanish/>
              </w:rPr>
            </w:pPr>
          </w:p>
        </w:tc>
        <w:tc>
          <w:tcPr>
            <w:tcW w:w="0" w:type="auto"/>
            <w:gridSpan w:val="3"/>
            <w:shd w:val="clear" w:color="auto" w:fill="auto"/>
            <w:vAlign w:val="bottom"/>
          </w:tcPr>
          <w:p w14:paraId="392C6DB5" w14:textId="77777777" w:rsidR="00980E5F" w:rsidRDefault="00980E5F">
            <w:pPr>
              <w:rPr>
                <w:rFonts w:ascii="宋体"/>
                <w:vanish/>
              </w:rPr>
            </w:pPr>
          </w:p>
        </w:tc>
        <w:tc>
          <w:tcPr>
            <w:tcW w:w="0" w:type="auto"/>
            <w:gridSpan w:val="3"/>
            <w:shd w:val="clear" w:color="auto" w:fill="auto"/>
            <w:vAlign w:val="bottom"/>
          </w:tcPr>
          <w:p w14:paraId="392C6DB6" w14:textId="77777777" w:rsidR="00980E5F" w:rsidRDefault="00980E5F">
            <w:pPr>
              <w:rPr>
                <w:rFonts w:ascii="宋体"/>
                <w:vanish/>
              </w:rPr>
            </w:pPr>
          </w:p>
        </w:tc>
        <w:tc>
          <w:tcPr>
            <w:tcW w:w="0" w:type="auto"/>
            <w:gridSpan w:val="3"/>
            <w:shd w:val="clear" w:color="auto" w:fill="auto"/>
            <w:vAlign w:val="bottom"/>
          </w:tcPr>
          <w:p w14:paraId="392C6DB7" w14:textId="77777777" w:rsidR="00980E5F" w:rsidRDefault="00980E5F">
            <w:pPr>
              <w:rPr>
                <w:rFonts w:ascii="宋体"/>
                <w:vanish/>
              </w:rPr>
            </w:pPr>
          </w:p>
        </w:tc>
        <w:tc>
          <w:tcPr>
            <w:tcW w:w="0" w:type="auto"/>
            <w:gridSpan w:val="3"/>
            <w:shd w:val="clear" w:color="auto" w:fill="auto"/>
            <w:vAlign w:val="bottom"/>
          </w:tcPr>
          <w:p w14:paraId="392C6DB8" w14:textId="77777777" w:rsidR="00980E5F" w:rsidRDefault="00980E5F">
            <w:pPr>
              <w:rPr>
                <w:rFonts w:ascii="宋体"/>
                <w:vanish/>
              </w:rPr>
            </w:pPr>
          </w:p>
        </w:tc>
        <w:tc>
          <w:tcPr>
            <w:tcW w:w="0" w:type="auto"/>
            <w:gridSpan w:val="3"/>
            <w:shd w:val="clear" w:color="auto" w:fill="auto"/>
            <w:vAlign w:val="bottom"/>
          </w:tcPr>
          <w:p w14:paraId="392C6DB9" w14:textId="77777777" w:rsidR="00980E5F" w:rsidRDefault="00980E5F">
            <w:pPr>
              <w:rPr>
                <w:rFonts w:ascii="宋体"/>
                <w:vanish/>
              </w:rPr>
            </w:pPr>
          </w:p>
        </w:tc>
        <w:tc>
          <w:tcPr>
            <w:tcW w:w="0" w:type="auto"/>
            <w:gridSpan w:val="3"/>
            <w:shd w:val="clear" w:color="auto" w:fill="auto"/>
            <w:vAlign w:val="bottom"/>
          </w:tcPr>
          <w:p w14:paraId="392C6DBA" w14:textId="77777777" w:rsidR="00980E5F" w:rsidRDefault="00980E5F">
            <w:pPr>
              <w:rPr>
                <w:rFonts w:ascii="宋体"/>
                <w:vanish/>
              </w:rPr>
            </w:pPr>
          </w:p>
        </w:tc>
        <w:tc>
          <w:tcPr>
            <w:tcW w:w="0" w:type="auto"/>
            <w:gridSpan w:val="3"/>
            <w:shd w:val="clear" w:color="auto" w:fill="auto"/>
            <w:vAlign w:val="bottom"/>
          </w:tcPr>
          <w:p w14:paraId="392C6DBB" w14:textId="77777777" w:rsidR="00980E5F" w:rsidRDefault="00980E5F">
            <w:pPr>
              <w:rPr>
                <w:rFonts w:ascii="宋体"/>
                <w:vanish/>
              </w:rPr>
            </w:pPr>
          </w:p>
        </w:tc>
        <w:tc>
          <w:tcPr>
            <w:tcW w:w="0" w:type="auto"/>
            <w:gridSpan w:val="3"/>
            <w:shd w:val="clear" w:color="auto" w:fill="auto"/>
            <w:vAlign w:val="bottom"/>
          </w:tcPr>
          <w:p w14:paraId="392C6DBC" w14:textId="77777777" w:rsidR="00980E5F" w:rsidRDefault="00980E5F">
            <w:pPr>
              <w:rPr>
                <w:rFonts w:ascii="宋体"/>
                <w:vanish/>
              </w:rPr>
            </w:pPr>
          </w:p>
        </w:tc>
      </w:tr>
    </w:tbl>
    <w:p w14:paraId="392C6DBE" w14:textId="77777777" w:rsidR="00980E5F" w:rsidRDefault="00483613">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70</w:t>
      </w:r>
    </w:p>
    <w:p w14:paraId="392C6DBF" w14:textId="77777777" w:rsidR="00980E5F" w:rsidRDefault="00980E5F">
      <w:pPr>
        <w:ind w:firstLine="450"/>
        <w:jc w:val="center"/>
      </w:pPr>
    </w:p>
    <w:p w14:paraId="392C6DC0" w14:textId="77777777" w:rsidR="00980E5F" w:rsidRDefault="00483613">
      <w:r>
        <w:pict w14:anchorId="392CBB14">
          <v:rect id="_x0000_i1094" style="width:415.3pt;height:1.5pt" o:hralign="center" o:hrstd="t" o:hr="t" fillcolor="#a0a0a0" stroked="f"/>
        </w:pict>
      </w:r>
    </w:p>
    <w:p w14:paraId="392C6DC1" w14:textId="77777777" w:rsidR="00980E5F" w:rsidRDefault="00483613">
      <w:pPr>
        <w:ind w:firstLine="450"/>
        <w:jc w:val="center"/>
      </w:pPr>
      <w:r>
        <w:rPr>
          <w:rFonts w:ascii="Arial" w:eastAsia="宋体" w:hAnsi="Arial" w:cs="Arial"/>
          <w:b/>
          <w:bCs/>
          <w:color w:val="000000"/>
          <w:sz w:val="20"/>
          <w:szCs w:val="20"/>
        </w:rPr>
        <w:t>STATE STREET CORPORATION</w:t>
      </w:r>
    </w:p>
    <w:p w14:paraId="392C6DC2"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6DC3" w14:textId="77777777" w:rsidR="00980E5F" w:rsidRDefault="00483613">
      <w:pPr>
        <w:ind w:firstLine="450"/>
        <w:jc w:val="center"/>
      </w:pPr>
      <w:r>
        <w:rPr>
          <w:rFonts w:ascii="Arial" w:eastAsia="宋体" w:hAnsi="Arial" w:cs="Arial"/>
          <w:b/>
          <w:bCs/>
          <w:color w:val="000000"/>
          <w:sz w:val="20"/>
          <w:szCs w:val="20"/>
        </w:rPr>
        <w:t>(UNAUDITED)</w:t>
      </w:r>
    </w:p>
    <w:p w14:paraId="392C6DC4" w14:textId="77777777" w:rsidR="00980E5F" w:rsidRDefault="00483613">
      <w:pPr>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w:t>
      </w:r>
      <w:r>
        <w:rPr>
          <w:rFonts w:ascii="Arial" w:eastAsia="宋体" w:hAnsi="Arial" w:cs="Arial"/>
          <w:color w:val="000000"/>
          <w:sz w:val="20"/>
          <w:szCs w:val="20"/>
        </w:rPr>
        <w:t>basis approximating a level rate of return over the contractual or estimated life of the security. The level rate of return considers any non-refundable fees or costs, as well as purchase premiums or discounts, adjusted as prepayments occur, resulting in a</w:t>
      </w:r>
      <w:r>
        <w:rPr>
          <w:rFonts w:ascii="Arial" w:eastAsia="宋体" w:hAnsi="Arial" w:cs="Arial"/>
          <w:color w:val="000000"/>
          <w:sz w:val="20"/>
          <w:szCs w:val="20"/>
        </w:rPr>
        <w:t>mortization or accretion, accordingly.</w:t>
      </w:r>
    </w:p>
    <w:p w14:paraId="392C6DC5" w14:textId="77777777" w:rsidR="00980E5F" w:rsidRDefault="00483613">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392C6DC6" w14:textId="77777777" w:rsidR="00980E5F" w:rsidRDefault="00483613">
      <w:pPr>
        <w:spacing w:before="60"/>
        <w:ind w:firstLine="450"/>
        <w:jc w:val="both"/>
        <w:textAlignment w:val="top"/>
      </w:pPr>
      <w:r>
        <w:rPr>
          <w:rFonts w:ascii="Arial" w:eastAsia="宋体" w:hAnsi="Arial" w:cs="Arial"/>
          <w:color w:val="000000"/>
          <w:sz w:val="20"/>
          <w:szCs w:val="20"/>
        </w:rPr>
        <w:t xml:space="preserve">We conduct quarterly reviews of HTM and AFS securities on a collective (pool) basis when similar risk characteristics exist to determine </w:t>
      </w:r>
      <w:r>
        <w:rPr>
          <w:rFonts w:ascii="Arial" w:eastAsia="宋体" w:hAnsi="Arial" w:cs="Arial"/>
          <w:color w:val="000000"/>
          <w:sz w:val="20"/>
          <w:szCs w:val="20"/>
        </w:rPr>
        <w:t>whether an allowance for credit losses should be recognized. We review individual AFS securities periodically to assess if additional impairment is required. For additional information about the Current Expected Credit Loss methodology and the review of in</w:t>
      </w:r>
      <w:r>
        <w:rPr>
          <w:rFonts w:ascii="Arial" w:eastAsia="宋体" w:hAnsi="Arial" w:cs="Arial"/>
          <w:color w:val="000000"/>
          <w:sz w:val="20"/>
          <w:szCs w:val="20"/>
        </w:rPr>
        <w:t>vestment securities for expected credit losses or impairment, refer to pages 148 to 149 in Note 3 to the consolidated financial statements included under Item 8, Financial Statements and Supplementary Data, in our 2021 Form 10-K.</w:t>
      </w:r>
    </w:p>
    <w:p w14:paraId="392C6DC7" w14:textId="77777777" w:rsidR="00980E5F" w:rsidRDefault="00483613">
      <w:pPr>
        <w:spacing w:before="60"/>
        <w:ind w:firstLine="450"/>
        <w:jc w:val="both"/>
        <w:textAlignment w:val="top"/>
      </w:pPr>
      <w:r>
        <w:rPr>
          <w:rFonts w:ascii="Arial" w:eastAsia="宋体" w:hAnsi="Arial" w:cs="Arial"/>
          <w:color w:val="000000"/>
          <w:sz w:val="20"/>
          <w:szCs w:val="20"/>
        </w:rPr>
        <w:t>We monitor the credit qual</w:t>
      </w:r>
      <w:r>
        <w:rPr>
          <w:rFonts w:ascii="Arial" w:eastAsia="宋体" w:hAnsi="Arial" w:cs="Arial"/>
          <w:color w:val="000000"/>
          <w:sz w:val="20"/>
          <w:szCs w:val="20"/>
        </w:rPr>
        <w:t>ity of the HTM and AFS investment securities using a variety of methods, including both external and internal credit ratings. As of June 30, 2022, 99% of our HTM and AFS investment portfolio is publicly rated investment grade.</w:t>
      </w:r>
    </w:p>
    <w:p w14:paraId="392C6DC8" w14:textId="77777777" w:rsidR="00980E5F" w:rsidRDefault="00483613">
      <w:pPr>
        <w:spacing w:before="60"/>
        <w:ind w:firstLine="450"/>
        <w:jc w:val="both"/>
        <w:textAlignment w:val="top"/>
      </w:pPr>
      <w:r>
        <w:rPr>
          <w:rFonts w:ascii="Arial" w:eastAsia="宋体" w:hAnsi="Arial" w:cs="Arial"/>
          <w:color w:val="000000"/>
          <w:sz w:val="20"/>
          <w:szCs w:val="20"/>
        </w:rPr>
        <w:t>We had no allowance for credi</w:t>
      </w:r>
      <w:r>
        <w:rPr>
          <w:rFonts w:ascii="Arial" w:eastAsia="宋体" w:hAnsi="Arial" w:cs="Arial"/>
          <w:color w:val="000000"/>
          <w:sz w:val="20"/>
          <w:szCs w:val="20"/>
        </w:rPr>
        <w:t>t losses on our HTM securities as of June 30, 2022 and December 31, 2021.</w:t>
      </w:r>
    </w:p>
    <w:p w14:paraId="392C6DC9" w14:textId="77777777" w:rsidR="00980E5F" w:rsidRDefault="00483613">
      <w:pPr>
        <w:spacing w:before="60"/>
        <w:ind w:firstLine="450"/>
        <w:jc w:val="both"/>
        <w:textAlignment w:val="top"/>
      </w:pPr>
      <w:r>
        <w:rPr>
          <w:rFonts w:ascii="Arial" w:eastAsia="宋体" w:hAnsi="Arial" w:cs="Arial"/>
          <w:color w:val="000000"/>
          <w:sz w:val="20"/>
          <w:szCs w:val="20"/>
        </w:rPr>
        <w:t>Our allowance for credit losses on our AFS securities was approximately $2 million as of both June 30, 2022 and December 31, 2021. In the second quarter of 2022, we recorded no provi</w:t>
      </w:r>
      <w:r>
        <w:rPr>
          <w:rFonts w:ascii="Arial" w:eastAsia="宋体" w:hAnsi="Arial" w:cs="Arial"/>
          <w:color w:val="000000"/>
          <w:sz w:val="20"/>
          <w:szCs w:val="20"/>
        </w:rPr>
        <w:t>sion for credit losses and no charge-offs on AFS securities.</w:t>
      </w:r>
    </w:p>
    <w:p w14:paraId="392C6DCA" w14:textId="77777777" w:rsidR="00980E5F" w:rsidRDefault="00483613">
      <w:pPr>
        <w:spacing w:before="60"/>
        <w:ind w:firstLine="450"/>
        <w:jc w:val="both"/>
        <w:textAlignment w:val="top"/>
      </w:pPr>
      <w:r>
        <w:rPr>
          <w:rFonts w:ascii="Arial" w:eastAsia="宋体" w:hAnsi="Arial" w:cs="Arial"/>
          <w:color w:val="000000"/>
          <w:sz w:val="20"/>
          <w:szCs w:val="20"/>
        </w:rPr>
        <w:t>We have elected to not record an allowance on accrued interest for HTM and AFS securities. Accrued interest on these securities is reversed against interest income when payment on a security is d</w:t>
      </w:r>
      <w:r>
        <w:rPr>
          <w:rFonts w:ascii="Arial" w:eastAsia="宋体" w:hAnsi="Arial" w:cs="Arial"/>
          <w:color w:val="000000"/>
          <w:sz w:val="20"/>
          <w:szCs w:val="20"/>
        </w:rPr>
        <w:t>elinquent for greater than 90 days from the date of payment.</w:t>
      </w:r>
    </w:p>
    <w:p w14:paraId="392C6DCB" w14:textId="77777777" w:rsidR="00980E5F" w:rsidRDefault="00483613">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adverse situations that might affect our ability to fully collect principal and interest, t</w:t>
      </w:r>
      <w:r>
        <w:rPr>
          <w:rFonts w:ascii="Arial" w:eastAsia="宋体" w:hAnsi="Arial" w:cs="Arial"/>
          <w:color w:val="000000"/>
          <w:sz w:val="20"/>
          <w:szCs w:val="20"/>
        </w:rPr>
        <w:t>he timing of future payments, the credit quality and performance of the collateral underlying MBS and ABS and other relevant factors, management considered the resulting gross pre-tax unrealized losses of $5.35 billion related to 2,050 securities as of Jun</w:t>
      </w:r>
      <w:r>
        <w:rPr>
          <w:rFonts w:ascii="Arial" w:eastAsia="宋体" w:hAnsi="Arial" w:cs="Arial"/>
          <w:color w:val="000000"/>
          <w:sz w:val="20"/>
          <w:szCs w:val="20"/>
        </w:rPr>
        <w:t xml:space="preserve">e 30, 2022 to be primarily related to changes in interest rates, and not the result of any material changes in the credit characteristics of the securities. </w:t>
      </w:r>
    </w:p>
    <w:p w14:paraId="392C6DCC" w14:textId="77777777" w:rsidR="00980E5F" w:rsidRDefault="00483613">
      <w:pPr>
        <w:spacing w:before="180"/>
        <w:textAlignment w:val="top"/>
      </w:pPr>
      <w:r>
        <w:rPr>
          <w:rFonts w:ascii="Arial" w:eastAsia="宋体" w:hAnsi="Arial" w:cs="Arial"/>
          <w:b/>
          <w:bCs/>
          <w:color w:val="000000"/>
          <w:sz w:val="20"/>
          <w:szCs w:val="20"/>
        </w:rPr>
        <w:t>Note 4.    Loans and Allowance for Credit Losses</w:t>
      </w:r>
    </w:p>
    <w:p w14:paraId="392C6DCD" w14:textId="77777777" w:rsidR="00980E5F" w:rsidRDefault="00483613">
      <w:pPr>
        <w:spacing w:before="60"/>
        <w:ind w:firstLine="450"/>
        <w:jc w:val="both"/>
        <w:textAlignment w:val="top"/>
      </w:pPr>
      <w:r>
        <w:rPr>
          <w:rFonts w:ascii="Arial" w:eastAsia="宋体" w:hAnsi="Arial" w:cs="Arial"/>
          <w:color w:val="000000"/>
          <w:sz w:val="20"/>
          <w:szCs w:val="20"/>
        </w:rPr>
        <w:t>We segregate our loans into two segments: commerc</w:t>
      </w:r>
      <w:r>
        <w:rPr>
          <w:rFonts w:ascii="Arial" w:eastAsia="宋体" w:hAnsi="Arial" w:cs="Arial"/>
          <w:color w:val="000000"/>
          <w:sz w:val="20"/>
          <w:szCs w:val="20"/>
        </w:rPr>
        <w:t>ial and financial loans and commercial real estate loans. We further classify commercial and financial loans as fund finance loans, leveraged loans, overdrafts and other. These classifications reflect their risk characteristics, their initial measurement a</w:t>
      </w:r>
      <w:r>
        <w:rPr>
          <w:rFonts w:ascii="Arial" w:eastAsia="宋体" w:hAnsi="Arial" w:cs="Arial"/>
          <w:color w:val="000000"/>
          <w:sz w:val="20"/>
          <w:szCs w:val="20"/>
        </w:rPr>
        <w:t>ttributes and the methods we use to monitor and assess credit risk. For additional information on our loans, including our internal risk-rating system used to assess our risk of credit loss for each loan, refer to pages 149 to 154 in Note 4 to the consolid</w:t>
      </w:r>
      <w:r>
        <w:rPr>
          <w:rFonts w:ascii="Arial" w:eastAsia="宋体" w:hAnsi="Arial" w:cs="Arial"/>
          <w:color w:val="000000"/>
          <w:sz w:val="20"/>
          <w:szCs w:val="20"/>
        </w:rPr>
        <w:t>ated financial statements included under Item 8, Financial Statements and Supplementary Data, in our 2021 Form 10-K.</w:t>
      </w:r>
    </w:p>
    <w:p w14:paraId="392C6DCE" w14:textId="77777777" w:rsidR="00980E5F" w:rsidRDefault="00483613">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809"/>
        <w:gridCol w:w="37"/>
        <w:gridCol w:w="104"/>
        <w:gridCol w:w="2524"/>
        <w:gridCol w:w="36"/>
        <w:gridCol w:w="36"/>
        <w:gridCol w:w="75"/>
        <w:gridCol w:w="36"/>
        <w:gridCol w:w="105"/>
        <w:gridCol w:w="2420"/>
        <w:gridCol w:w="36"/>
        <w:gridCol w:w="36"/>
        <w:gridCol w:w="36"/>
      </w:tblGrid>
      <w:tr w:rsidR="00980E5F" w14:paraId="392C6DDD" w14:textId="77777777">
        <w:tc>
          <w:tcPr>
            <w:tcW w:w="50" w:type="pct"/>
            <w:shd w:val="clear" w:color="auto" w:fill="auto"/>
            <w:vAlign w:val="bottom"/>
          </w:tcPr>
          <w:p w14:paraId="392C6DCF" w14:textId="77777777" w:rsidR="00980E5F" w:rsidRDefault="00980E5F">
            <w:pPr>
              <w:rPr>
                <w:rFonts w:ascii="宋体"/>
              </w:rPr>
            </w:pPr>
          </w:p>
        </w:tc>
        <w:tc>
          <w:tcPr>
            <w:tcW w:w="1721" w:type="pct"/>
            <w:shd w:val="clear" w:color="auto" w:fill="auto"/>
            <w:vAlign w:val="bottom"/>
          </w:tcPr>
          <w:p w14:paraId="392C6DD0" w14:textId="77777777" w:rsidR="00980E5F" w:rsidRDefault="00980E5F">
            <w:pPr>
              <w:rPr>
                <w:rFonts w:ascii="宋体"/>
              </w:rPr>
            </w:pPr>
          </w:p>
        </w:tc>
        <w:tc>
          <w:tcPr>
            <w:tcW w:w="5" w:type="pct"/>
            <w:shd w:val="clear" w:color="auto" w:fill="auto"/>
            <w:vAlign w:val="bottom"/>
          </w:tcPr>
          <w:p w14:paraId="392C6DD1" w14:textId="77777777" w:rsidR="00980E5F" w:rsidRDefault="00980E5F">
            <w:pPr>
              <w:rPr>
                <w:rFonts w:ascii="宋体"/>
              </w:rPr>
            </w:pPr>
          </w:p>
        </w:tc>
        <w:tc>
          <w:tcPr>
            <w:tcW w:w="50" w:type="pct"/>
            <w:shd w:val="clear" w:color="auto" w:fill="auto"/>
            <w:vAlign w:val="bottom"/>
          </w:tcPr>
          <w:p w14:paraId="392C6DD2" w14:textId="77777777" w:rsidR="00980E5F" w:rsidRDefault="00980E5F">
            <w:pPr>
              <w:rPr>
                <w:rFonts w:ascii="宋体"/>
              </w:rPr>
            </w:pPr>
          </w:p>
        </w:tc>
        <w:tc>
          <w:tcPr>
            <w:tcW w:w="1548" w:type="pct"/>
            <w:shd w:val="clear" w:color="auto" w:fill="auto"/>
            <w:vAlign w:val="bottom"/>
          </w:tcPr>
          <w:p w14:paraId="392C6DD3" w14:textId="77777777" w:rsidR="00980E5F" w:rsidRDefault="00980E5F">
            <w:pPr>
              <w:rPr>
                <w:rFonts w:ascii="宋体"/>
              </w:rPr>
            </w:pPr>
          </w:p>
        </w:tc>
        <w:tc>
          <w:tcPr>
            <w:tcW w:w="5" w:type="pct"/>
            <w:shd w:val="clear" w:color="auto" w:fill="auto"/>
            <w:vAlign w:val="bottom"/>
          </w:tcPr>
          <w:p w14:paraId="392C6DD4" w14:textId="77777777" w:rsidR="00980E5F" w:rsidRDefault="00980E5F">
            <w:pPr>
              <w:rPr>
                <w:rFonts w:ascii="宋体"/>
              </w:rPr>
            </w:pPr>
          </w:p>
        </w:tc>
        <w:tc>
          <w:tcPr>
            <w:tcW w:w="5" w:type="pct"/>
            <w:shd w:val="clear" w:color="auto" w:fill="auto"/>
            <w:vAlign w:val="bottom"/>
          </w:tcPr>
          <w:p w14:paraId="392C6DD5" w14:textId="77777777" w:rsidR="00980E5F" w:rsidRDefault="00980E5F">
            <w:pPr>
              <w:rPr>
                <w:rFonts w:ascii="宋体"/>
              </w:rPr>
            </w:pPr>
          </w:p>
        </w:tc>
        <w:tc>
          <w:tcPr>
            <w:tcW w:w="68" w:type="pct"/>
            <w:shd w:val="clear" w:color="auto" w:fill="auto"/>
            <w:vAlign w:val="bottom"/>
          </w:tcPr>
          <w:p w14:paraId="392C6DD6" w14:textId="77777777" w:rsidR="00980E5F" w:rsidRDefault="00980E5F">
            <w:pPr>
              <w:rPr>
                <w:rFonts w:ascii="宋体"/>
              </w:rPr>
            </w:pPr>
          </w:p>
        </w:tc>
        <w:tc>
          <w:tcPr>
            <w:tcW w:w="5" w:type="pct"/>
            <w:shd w:val="clear" w:color="auto" w:fill="auto"/>
            <w:vAlign w:val="bottom"/>
          </w:tcPr>
          <w:p w14:paraId="392C6DD7" w14:textId="77777777" w:rsidR="00980E5F" w:rsidRDefault="00980E5F">
            <w:pPr>
              <w:rPr>
                <w:rFonts w:ascii="宋体"/>
              </w:rPr>
            </w:pPr>
          </w:p>
        </w:tc>
        <w:tc>
          <w:tcPr>
            <w:tcW w:w="50" w:type="pct"/>
            <w:shd w:val="clear" w:color="auto" w:fill="auto"/>
            <w:vAlign w:val="bottom"/>
          </w:tcPr>
          <w:p w14:paraId="392C6DD8" w14:textId="77777777" w:rsidR="00980E5F" w:rsidRDefault="00980E5F">
            <w:pPr>
              <w:rPr>
                <w:rFonts w:ascii="宋体"/>
              </w:rPr>
            </w:pPr>
          </w:p>
        </w:tc>
        <w:tc>
          <w:tcPr>
            <w:tcW w:w="1485" w:type="pct"/>
            <w:shd w:val="clear" w:color="auto" w:fill="auto"/>
            <w:vAlign w:val="bottom"/>
          </w:tcPr>
          <w:p w14:paraId="392C6DD9" w14:textId="77777777" w:rsidR="00980E5F" w:rsidRDefault="00980E5F">
            <w:pPr>
              <w:rPr>
                <w:rFonts w:ascii="宋体"/>
              </w:rPr>
            </w:pPr>
          </w:p>
        </w:tc>
        <w:tc>
          <w:tcPr>
            <w:tcW w:w="5" w:type="pct"/>
            <w:shd w:val="clear" w:color="auto" w:fill="auto"/>
            <w:vAlign w:val="bottom"/>
          </w:tcPr>
          <w:p w14:paraId="392C6DDA" w14:textId="77777777" w:rsidR="00980E5F" w:rsidRDefault="00980E5F">
            <w:pPr>
              <w:rPr>
                <w:rFonts w:ascii="宋体"/>
              </w:rPr>
            </w:pPr>
          </w:p>
        </w:tc>
        <w:tc>
          <w:tcPr>
            <w:tcW w:w="0" w:type="auto"/>
            <w:shd w:val="clear" w:color="auto" w:fill="auto"/>
            <w:vAlign w:val="bottom"/>
          </w:tcPr>
          <w:p w14:paraId="392C6DDB" w14:textId="77777777" w:rsidR="00980E5F" w:rsidRDefault="00980E5F">
            <w:pPr>
              <w:rPr>
                <w:rFonts w:ascii="宋体"/>
                <w:vanish/>
              </w:rPr>
            </w:pPr>
          </w:p>
        </w:tc>
        <w:tc>
          <w:tcPr>
            <w:tcW w:w="0" w:type="auto"/>
            <w:shd w:val="clear" w:color="auto" w:fill="auto"/>
            <w:vAlign w:val="bottom"/>
          </w:tcPr>
          <w:p w14:paraId="392C6DDC" w14:textId="77777777" w:rsidR="00980E5F" w:rsidRDefault="00980E5F">
            <w:pPr>
              <w:rPr>
                <w:rFonts w:ascii="宋体"/>
                <w:vanish/>
              </w:rPr>
            </w:pPr>
          </w:p>
        </w:tc>
      </w:tr>
      <w:tr w:rsidR="00980E5F" w14:paraId="392C6DE4" w14:textId="77777777">
        <w:tc>
          <w:tcPr>
            <w:tcW w:w="0" w:type="auto"/>
            <w:gridSpan w:val="3"/>
            <w:shd w:val="clear" w:color="auto" w:fill="auto"/>
            <w:tcMar>
              <w:top w:w="40" w:type="dxa"/>
              <w:left w:w="20" w:type="dxa"/>
              <w:bottom w:w="40" w:type="dxa"/>
              <w:right w:w="20" w:type="dxa"/>
            </w:tcMar>
            <w:vAlign w:val="bottom"/>
          </w:tcPr>
          <w:p w14:paraId="392C6DDE"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92C6DDF" w14:textId="77777777" w:rsidR="00980E5F" w:rsidRDefault="00483613">
            <w:pPr>
              <w:jc w:val="center"/>
              <w:textAlignment w:val="bottom"/>
            </w:pPr>
            <w:r>
              <w:rPr>
                <w:rFonts w:ascii="Arial" w:eastAsia="宋体" w:hAnsi="Arial" w:cs="Arial"/>
                <w:b/>
                <w:bCs/>
                <w:color w:val="000000"/>
                <w:sz w:val="15"/>
                <w:szCs w:val="15"/>
              </w:rPr>
              <w:t xml:space="preserve">June </w:t>
            </w:r>
            <w:r>
              <w:rPr>
                <w:rFonts w:ascii="Arial" w:eastAsia="宋体" w:hAnsi="Arial" w:cs="Arial"/>
                <w:b/>
                <w:bCs/>
                <w:color w:val="000000"/>
                <w:sz w:val="15"/>
                <w:szCs w:val="15"/>
              </w:rPr>
              <w:t>30, 2022</w:t>
            </w:r>
          </w:p>
        </w:tc>
        <w:tc>
          <w:tcPr>
            <w:tcW w:w="0" w:type="auto"/>
            <w:gridSpan w:val="3"/>
            <w:shd w:val="clear" w:color="auto" w:fill="auto"/>
            <w:tcMar>
              <w:top w:w="0" w:type="dxa"/>
              <w:left w:w="20" w:type="dxa"/>
              <w:bottom w:w="0" w:type="dxa"/>
              <w:right w:w="20" w:type="dxa"/>
            </w:tcMar>
            <w:vAlign w:val="bottom"/>
          </w:tcPr>
          <w:p w14:paraId="392C6DE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6DE1"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shd w:val="clear" w:color="auto" w:fill="auto"/>
            <w:vAlign w:val="bottom"/>
          </w:tcPr>
          <w:p w14:paraId="392C6DE2" w14:textId="77777777" w:rsidR="00980E5F" w:rsidRDefault="00980E5F">
            <w:pPr>
              <w:rPr>
                <w:rFonts w:ascii="宋体"/>
                <w:vanish/>
              </w:rPr>
            </w:pPr>
          </w:p>
        </w:tc>
        <w:tc>
          <w:tcPr>
            <w:tcW w:w="0" w:type="auto"/>
            <w:shd w:val="clear" w:color="auto" w:fill="auto"/>
            <w:vAlign w:val="bottom"/>
          </w:tcPr>
          <w:p w14:paraId="392C6DE3" w14:textId="77777777" w:rsidR="00980E5F" w:rsidRDefault="00980E5F">
            <w:pPr>
              <w:rPr>
                <w:rFonts w:ascii="宋体"/>
                <w:vanish/>
              </w:rPr>
            </w:pPr>
          </w:p>
        </w:tc>
      </w:tr>
      <w:tr w:rsidR="00980E5F" w14:paraId="392C6DEB" w14:textId="77777777">
        <w:tc>
          <w:tcPr>
            <w:tcW w:w="0" w:type="auto"/>
            <w:gridSpan w:val="3"/>
            <w:shd w:val="clear" w:color="auto" w:fill="auto"/>
            <w:tcMar>
              <w:top w:w="40" w:type="dxa"/>
              <w:left w:w="20" w:type="dxa"/>
              <w:bottom w:w="40" w:type="dxa"/>
              <w:right w:w="20" w:type="dxa"/>
            </w:tcMar>
            <w:vAlign w:val="bottom"/>
          </w:tcPr>
          <w:p w14:paraId="392C6DE5" w14:textId="77777777" w:rsidR="00980E5F" w:rsidRDefault="00483613">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D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DE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DE8" w14:textId="77777777" w:rsidR="00980E5F" w:rsidRDefault="00980E5F">
            <w:pPr>
              <w:rPr>
                <w:rFonts w:ascii="宋体"/>
              </w:rPr>
            </w:pPr>
          </w:p>
        </w:tc>
        <w:tc>
          <w:tcPr>
            <w:tcW w:w="0" w:type="auto"/>
            <w:shd w:val="clear" w:color="auto" w:fill="auto"/>
            <w:vAlign w:val="bottom"/>
          </w:tcPr>
          <w:p w14:paraId="392C6DE9" w14:textId="77777777" w:rsidR="00980E5F" w:rsidRDefault="00980E5F">
            <w:pPr>
              <w:rPr>
                <w:rFonts w:ascii="宋体"/>
                <w:vanish/>
              </w:rPr>
            </w:pPr>
          </w:p>
        </w:tc>
        <w:tc>
          <w:tcPr>
            <w:tcW w:w="0" w:type="auto"/>
            <w:shd w:val="clear" w:color="auto" w:fill="auto"/>
            <w:vAlign w:val="bottom"/>
          </w:tcPr>
          <w:p w14:paraId="392C6DEA" w14:textId="77777777" w:rsidR="00980E5F" w:rsidRDefault="00980E5F">
            <w:pPr>
              <w:rPr>
                <w:rFonts w:ascii="宋体"/>
                <w:vanish/>
              </w:rPr>
            </w:pPr>
          </w:p>
        </w:tc>
      </w:tr>
      <w:tr w:rsidR="00980E5F" w14:paraId="392C6DF2" w14:textId="77777777">
        <w:tc>
          <w:tcPr>
            <w:tcW w:w="0" w:type="auto"/>
            <w:gridSpan w:val="3"/>
            <w:shd w:val="clear" w:color="auto" w:fill="auto"/>
            <w:tcMar>
              <w:top w:w="40" w:type="dxa"/>
              <w:left w:w="155" w:type="dxa"/>
              <w:bottom w:w="40" w:type="dxa"/>
              <w:right w:w="20" w:type="dxa"/>
            </w:tcMar>
            <w:vAlign w:val="bottom"/>
          </w:tcPr>
          <w:p w14:paraId="392C6DEC" w14:textId="77777777" w:rsidR="00980E5F" w:rsidRDefault="00483613">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vAlign w:val="bottom"/>
          </w:tcPr>
          <w:p w14:paraId="392C6D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DE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DEF" w14:textId="77777777" w:rsidR="00980E5F" w:rsidRDefault="00980E5F">
            <w:pPr>
              <w:rPr>
                <w:rFonts w:ascii="宋体"/>
              </w:rPr>
            </w:pPr>
          </w:p>
        </w:tc>
        <w:tc>
          <w:tcPr>
            <w:tcW w:w="0" w:type="auto"/>
            <w:shd w:val="clear" w:color="auto" w:fill="auto"/>
            <w:vAlign w:val="bottom"/>
          </w:tcPr>
          <w:p w14:paraId="392C6DF0" w14:textId="77777777" w:rsidR="00980E5F" w:rsidRDefault="00980E5F">
            <w:pPr>
              <w:rPr>
                <w:rFonts w:ascii="宋体"/>
                <w:vanish/>
              </w:rPr>
            </w:pPr>
          </w:p>
        </w:tc>
        <w:tc>
          <w:tcPr>
            <w:tcW w:w="0" w:type="auto"/>
            <w:shd w:val="clear" w:color="auto" w:fill="auto"/>
            <w:vAlign w:val="bottom"/>
          </w:tcPr>
          <w:p w14:paraId="392C6DF1" w14:textId="77777777" w:rsidR="00980E5F" w:rsidRDefault="00980E5F">
            <w:pPr>
              <w:rPr>
                <w:rFonts w:ascii="宋体"/>
                <w:vanish/>
              </w:rPr>
            </w:pPr>
          </w:p>
        </w:tc>
      </w:tr>
      <w:tr w:rsidR="00980E5F" w14:paraId="392C6DFD" w14:textId="77777777">
        <w:tc>
          <w:tcPr>
            <w:tcW w:w="0" w:type="auto"/>
            <w:gridSpan w:val="3"/>
            <w:shd w:val="clear" w:color="auto" w:fill="CCEEFF"/>
            <w:tcMar>
              <w:top w:w="40" w:type="dxa"/>
              <w:left w:w="20" w:type="dxa"/>
              <w:bottom w:w="40" w:type="dxa"/>
              <w:right w:w="20" w:type="dxa"/>
            </w:tcMar>
            <w:vAlign w:val="bottom"/>
          </w:tcPr>
          <w:p w14:paraId="392C6DF3" w14:textId="77777777" w:rsidR="00980E5F" w:rsidRDefault="00483613">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392C6DF4"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6DF5" w14:textId="77777777" w:rsidR="00980E5F" w:rsidRDefault="00483613">
            <w:pPr>
              <w:jc w:val="right"/>
              <w:textAlignment w:val="bottom"/>
            </w:pPr>
            <w:r>
              <w:rPr>
                <w:rFonts w:ascii="Arial" w:eastAsia="宋体" w:hAnsi="Arial" w:cs="Arial"/>
                <w:b/>
                <w:bCs/>
                <w:color w:val="000000"/>
                <w:sz w:val="15"/>
                <w:szCs w:val="15"/>
              </w:rPr>
              <w:t>12,363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DF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DF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6DF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6DF9" w14:textId="77777777" w:rsidR="00980E5F" w:rsidRDefault="00483613">
            <w:pPr>
              <w:jc w:val="right"/>
              <w:textAlignment w:val="bottom"/>
            </w:pPr>
            <w:r>
              <w:rPr>
                <w:rFonts w:ascii="Arial" w:eastAsia="宋体" w:hAnsi="Arial" w:cs="Arial"/>
                <w:color w:val="000000"/>
                <w:sz w:val="15"/>
                <w:szCs w:val="15"/>
              </w:rPr>
              <w:t>12,396 </w:t>
            </w:r>
          </w:p>
        </w:tc>
        <w:tc>
          <w:tcPr>
            <w:tcW w:w="0" w:type="auto"/>
            <w:shd w:val="clear" w:color="auto" w:fill="CCEEFF"/>
            <w:tcMar>
              <w:top w:w="40" w:type="dxa"/>
              <w:left w:w="0" w:type="dxa"/>
              <w:bottom w:w="40" w:type="dxa"/>
              <w:right w:w="20" w:type="dxa"/>
            </w:tcMar>
            <w:vAlign w:val="bottom"/>
          </w:tcPr>
          <w:p w14:paraId="392C6DFA" w14:textId="77777777" w:rsidR="00980E5F" w:rsidRDefault="00980E5F">
            <w:pPr>
              <w:jc w:val="right"/>
              <w:rPr>
                <w:rFonts w:ascii="宋体"/>
              </w:rPr>
            </w:pPr>
          </w:p>
        </w:tc>
        <w:tc>
          <w:tcPr>
            <w:tcW w:w="0" w:type="auto"/>
            <w:shd w:val="clear" w:color="auto" w:fill="auto"/>
            <w:vAlign w:val="bottom"/>
          </w:tcPr>
          <w:p w14:paraId="392C6DFB" w14:textId="77777777" w:rsidR="00980E5F" w:rsidRDefault="00980E5F">
            <w:pPr>
              <w:rPr>
                <w:rFonts w:ascii="宋体"/>
                <w:vanish/>
              </w:rPr>
            </w:pPr>
          </w:p>
        </w:tc>
        <w:tc>
          <w:tcPr>
            <w:tcW w:w="0" w:type="auto"/>
            <w:shd w:val="clear" w:color="auto" w:fill="auto"/>
            <w:vAlign w:val="bottom"/>
          </w:tcPr>
          <w:p w14:paraId="392C6DFC" w14:textId="77777777" w:rsidR="00980E5F" w:rsidRDefault="00980E5F">
            <w:pPr>
              <w:rPr>
                <w:rFonts w:ascii="宋体"/>
                <w:vanish/>
              </w:rPr>
            </w:pPr>
          </w:p>
        </w:tc>
      </w:tr>
      <w:tr w:rsidR="00980E5F" w14:paraId="392C6E06" w14:textId="77777777">
        <w:tc>
          <w:tcPr>
            <w:tcW w:w="0" w:type="auto"/>
            <w:gridSpan w:val="3"/>
            <w:shd w:val="clear" w:color="auto" w:fill="FFFFFF"/>
            <w:tcMar>
              <w:top w:w="40" w:type="dxa"/>
              <w:left w:w="245" w:type="dxa"/>
              <w:bottom w:w="40" w:type="dxa"/>
              <w:right w:w="20" w:type="dxa"/>
            </w:tcMar>
            <w:vAlign w:val="bottom"/>
          </w:tcPr>
          <w:p w14:paraId="392C6DFE" w14:textId="77777777" w:rsidR="00980E5F" w:rsidRDefault="00483613">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392C6DFF" w14:textId="77777777" w:rsidR="00980E5F" w:rsidRDefault="00483613">
            <w:pPr>
              <w:jc w:val="right"/>
              <w:textAlignment w:val="bottom"/>
            </w:pPr>
            <w:r>
              <w:rPr>
                <w:rFonts w:ascii="Arial" w:eastAsia="宋体" w:hAnsi="Arial" w:cs="Arial"/>
                <w:b/>
                <w:bCs/>
                <w:color w:val="000000"/>
                <w:sz w:val="15"/>
                <w:szCs w:val="15"/>
              </w:rPr>
              <w:t>2,468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E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E02" w14:textId="77777777" w:rsidR="00980E5F" w:rsidRDefault="00483613">
            <w:pPr>
              <w:jc w:val="right"/>
              <w:textAlignment w:val="bottom"/>
            </w:pPr>
            <w:r>
              <w:rPr>
                <w:rFonts w:ascii="Arial" w:eastAsia="宋体" w:hAnsi="Arial" w:cs="Arial"/>
                <w:color w:val="000000"/>
                <w:sz w:val="15"/>
                <w:szCs w:val="15"/>
              </w:rPr>
              <w:t>3,106 </w:t>
            </w:r>
          </w:p>
        </w:tc>
        <w:tc>
          <w:tcPr>
            <w:tcW w:w="0" w:type="auto"/>
            <w:shd w:val="clear" w:color="auto" w:fill="FFFFFF"/>
            <w:tcMar>
              <w:top w:w="40" w:type="dxa"/>
              <w:left w:w="0" w:type="dxa"/>
              <w:bottom w:w="40" w:type="dxa"/>
              <w:right w:w="20" w:type="dxa"/>
            </w:tcMar>
            <w:vAlign w:val="bottom"/>
          </w:tcPr>
          <w:p w14:paraId="392C6E03" w14:textId="77777777" w:rsidR="00980E5F" w:rsidRDefault="00980E5F">
            <w:pPr>
              <w:jc w:val="right"/>
              <w:rPr>
                <w:rFonts w:ascii="宋体"/>
              </w:rPr>
            </w:pPr>
          </w:p>
        </w:tc>
        <w:tc>
          <w:tcPr>
            <w:tcW w:w="0" w:type="auto"/>
            <w:shd w:val="clear" w:color="auto" w:fill="auto"/>
            <w:vAlign w:val="bottom"/>
          </w:tcPr>
          <w:p w14:paraId="392C6E04" w14:textId="77777777" w:rsidR="00980E5F" w:rsidRDefault="00980E5F">
            <w:pPr>
              <w:rPr>
                <w:rFonts w:ascii="宋体"/>
                <w:vanish/>
              </w:rPr>
            </w:pPr>
          </w:p>
        </w:tc>
        <w:tc>
          <w:tcPr>
            <w:tcW w:w="0" w:type="auto"/>
            <w:shd w:val="clear" w:color="auto" w:fill="auto"/>
            <w:vAlign w:val="bottom"/>
          </w:tcPr>
          <w:p w14:paraId="392C6E05" w14:textId="77777777" w:rsidR="00980E5F" w:rsidRDefault="00980E5F">
            <w:pPr>
              <w:rPr>
                <w:rFonts w:ascii="宋体"/>
                <w:vanish/>
              </w:rPr>
            </w:pPr>
          </w:p>
        </w:tc>
      </w:tr>
      <w:tr w:rsidR="00980E5F" w14:paraId="392C6E0D" w14:textId="77777777">
        <w:trPr>
          <w:hidden/>
        </w:trPr>
        <w:tc>
          <w:tcPr>
            <w:tcW w:w="0" w:type="auto"/>
            <w:gridSpan w:val="3"/>
            <w:shd w:val="clear" w:color="auto" w:fill="auto"/>
            <w:vAlign w:val="bottom"/>
          </w:tcPr>
          <w:p w14:paraId="392C6E07" w14:textId="77777777" w:rsidR="00980E5F" w:rsidRDefault="00980E5F">
            <w:pPr>
              <w:rPr>
                <w:rFonts w:ascii="宋体"/>
                <w:vanish/>
              </w:rPr>
            </w:pPr>
          </w:p>
        </w:tc>
        <w:tc>
          <w:tcPr>
            <w:tcW w:w="0" w:type="auto"/>
            <w:gridSpan w:val="3"/>
            <w:shd w:val="clear" w:color="auto" w:fill="auto"/>
            <w:vAlign w:val="bottom"/>
          </w:tcPr>
          <w:p w14:paraId="392C6E08" w14:textId="77777777" w:rsidR="00980E5F" w:rsidRDefault="00980E5F">
            <w:pPr>
              <w:rPr>
                <w:rFonts w:ascii="宋体"/>
                <w:vanish/>
              </w:rPr>
            </w:pPr>
          </w:p>
        </w:tc>
        <w:tc>
          <w:tcPr>
            <w:tcW w:w="0" w:type="auto"/>
            <w:gridSpan w:val="3"/>
            <w:shd w:val="clear" w:color="auto" w:fill="auto"/>
            <w:vAlign w:val="bottom"/>
          </w:tcPr>
          <w:p w14:paraId="392C6E09" w14:textId="77777777" w:rsidR="00980E5F" w:rsidRDefault="00980E5F">
            <w:pPr>
              <w:rPr>
                <w:rFonts w:ascii="宋体"/>
                <w:vanish/>
              </w:rPr>
            </w:pPr>
          </w:p>
        </w:tc>
        <w:tc>
          <w:tcPr>
            <w:tcW w:w="0" w:type="auto"/>
            <w:gridSpan w:val="3"/>
            <w:shd w:val="clear" w:color="auto" w:fill="auto"/>
            <w:vAlign w:val="bottom"/>
          </w:tcPr>
          <w:p w14:paraId="392C6E0A" w14:textId="77777777" w:rsidR="00980E5F" w:rsidRDefault="00980E5F">
            <w:pPr>
              <w:rPr>
                <w:rFonts w:ascii="宋体"/>
                <w:vanish/>
              </w:rPr>
            </w:pPr>
          </w:p>
        </w:tc>
        <w:tc>
          <w:tcPr>
            <w:tcW w:w="0" w:type="auto"/>
            <w:shd w:val="clear" w:color="auto" w:fill="auto"/>
            <w:vAlign w:val="bottom"/>
          </w:tcPr>
          <w:p w14:paraId="392C6E0B" w14:textId="77777777" w:rsidR="00980E5F" w:rsidRDefault="00980E5F">
            <w:pPr>
              <w:rPr>
                <w:rFonts w:ascii="宋体"/>
                <w:vanish/>
              </w:rPr>
            </w:pPr>
          </w:p>
        </w:tc>
        <w:tc>
          <w:tcPr>
            <w:tcW w:w="0" w:type="auto"/>
            <w:shd w:val="clear" w:color="auto" w:fill="auto"/>
            <w:vAlign w:val="bottom"/>
          </w:tcPr>
          <w:p w14:paraId="392C6E0C" w14:textId="77777777" w:rsidR="00980E5F" w:rsidRDefault="00980E5F">
            <w:pPr>
              <w:rPr>
                <w:rFonts w:ascii="宋体"/>
                <w:vanish/>
              </w:rPr>
            </w:pPr>
          </w:p>
        </w:tc>
      </w:tr>
      <w:tr w:rsidR="00980E5F" w14:paraId="392C6E16" w14:textId="77777777">
        <w:tc>
          <w:tcPr>
            <w:tcW w:w="0" w:type="auto"/>
            <w:gridSpan w:val="3"/>
            <w:shd w:val="clear" w:color="auto" w:fill="CCEEFF"/>
            <w:tcMar>
              <w:top w:w="40" w:type="dxa"/>
              <w:left w:w="245" w:type="dxa"/>
              <w:bottom w:w="40" w:type="dxa"/>
              <w:right w:w="20" w:type="dxa"/>
            </w:tcMar>
            <w:vAlign w:val="bottom"/>
          </w:tcPr>
          <w:p w14:paraId="392C6E0E" w14:textId="77777777" w:rsidR="00980E5F" w:rsidRDefault="00483613">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392C6E0F" w14:textId="77777777" w:rsidR="00980E5F" w:rsidRDefault="00483613">
            <w:pPr>
              <w:jc w:val="right"/>
              <w:textAlignment w:val="bottom"/>
            </w:pPr>
            <w:r>
              <w:rPr>
                <w:rFonts w:ascii="Arial" w:eastAsia="宋体" w:hAnsi="Arial" w:cs="Arial"/>
                <w:b/>
                <w:bCs/>
                <w:color w:val="000000"/>
                <w:sz w:val="15"/>
                <w:szCs w:val="15"/>
              </w:rPr>
              <w:t>2,220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E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1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E12" w14:textId="77777777" w:rsidR="00980E5F" w:rsidRDefault="00483613">
            <w:pPr>
              <w:jc w:val="right"/>
              <w:textAlignment w:val="bottom"/>
            </w:pPr>
            <w:r>
              <w:rPr>
                <w:rFonts w:ascii="Arial" w:eastAsia="宋体" w:hAnsi="Arial" w:cs="Arial"/>
                <w:color w:val="000000"/>
                <w:sz w:val="15"/>
                <w:szCs w:val="15"/>
              </w:rPr>
              <w:t>1,796 </w:t>
            </w:r>
          </w:p>
        </w:tc>
        <w:tc>
          <w:tcPr>
            <w:tcW w:w="0" w:type="auto"/>
            <w:shd w:val="clear" w:color="auto" w:fill="CCEEFF"/>
            <w:tcMar>
              <w:top w:w="40" w:type="dxa"/>
              <w:left w:w="0" w:type="dxa"/>
              <w:bottom w:w="40" w:type="dxa"/>
              <w:right w:w="20" w:type="dxa"/>
            </w:tcMar>
            <w:vAlign w:val="bottom"/>
          </w:tcPr>
          <w:p w14:paraId="392C6E13" w14:textId="77777777" w:rsidR="00980E5F" w:rsidRDefault="00980E5F">
            <w:pPr>
              <w:jc w:val="right"/>
              <w:rPr>
                <w:rFonts w:ascii="宋体"/>
              </w:rPr>
            </w:pPr>
          </w:p>
        </w:tc>
        <w:tc>
          <w:tcPr>
            <w:tcW w:w="0" w:type="auto"/>
            <w:shd w:val="clear" w:color="auto" w:fill="auto"/>
            <w:vAlign w:val="bottom"/>
          </w:tcPr>
          <w:p w14:paraId="392C6E14" w14:textId="77777777" w:rsidR="00980E5F" w:rsidRDefault="00980E5F">
            <w:pPr>
              <w:rPr>
                <w:rFonts w:ascii="宋体"/>
                <w:vanish/>
              </w:rPr>
            </w:pPr>
          </w:p>
        </w:tc>
        <w:tc>
          <w:tcPr>
            <w:tcW w:w="0" w:type="auto"/>
            <w:shd w:val="clear" w:color="auto" w:fill="auto"/>
            <w:vAlign w:val="bottom"/>
          </w:tcPr>
          <w:p w14:paraId="392C6E15" w14:textId="77777777" w:rsidR="00980E5F" w:rsidRDefault="00980E5F">
            <w:pPr>
              <w:rPr>
                <w:rFonts w:ascii="宋体"/>
                <w:vanish/>
              </w:rPr>
            </w:pPr>
          </w:p>
        </w:tc>
      </w:tr>
      <w:tr w:rsidR="00980E5F" w14:paraId="392C6E1F" w14:textId="77777777">
        <w:tc>
          <w:tcPr>
            <w:tcW w:w="0" w:type="auto"/>
            <w:gridSpan w:val="3"/>
            <w:shd w:val="clear" w:color="auto" w:fill="FFFFFF"/>
            <w:tcMar>
              <w:top w:w="40" w:type="dxa"/>
              <w:left w:w="20" w:type="dxa"/>
              <w:bottom w:w="40" w:type="dxa"/>
              <w:right w:w="20" w:type="dxa"/>
            </w:tcMar>
            <w:vAlign w:val="bottom"/>
          </w:tcPr>
          <w:p w14:paraId="392C6E17" w14:textId="77777777" w:rsidR="00980E5F" w:rsidRDefault="00483613">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392C6E18" w14:textId="77777777" w:rsidR="00980E5F" w:rsidRDefault="00483613">
            <w:pPr>
              <w:jc w:val="right"/>
              <w:textAlignment w:val="bottom"/>
            </w:pPr>
            <w:r>
              <w:rPr>
                <w:rFonts w:ascii="Arial" w:eastAsia="宋体" w:hAnsi="Arial" w:cs="Arial"/>
                <w:b/>
                <w:bCs/>
                <w:color w:val="000000"/>
                <w:sz w:val="15"/>
                <w:szCs w:val="15"/>
              </w:rPr>
              <w:t>1,968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E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E1B" w14:textId="77777777" w:rsidR="00980E5F" w:rsidRDefault="00483613">
            <w:pPr>
              <w:jc w:val="right"/>
              <w:textAlignment w:val="bottom"/>
            </w:pPr>
            <w:r>
              <w:rPr>
                <w:rFonts w:ascii="Arial" w:eastAsia="宋体" w:hAnsi="Arial" w:cs="Arial"/>
                <w:color w:val="000000"/>
                <w:sz w:val="15"/>
                <w:szCs w:val="15"/>
              </w:rPr>
              <w:t>2,262 </w:t>
            </w:r>
          </w:p>
        </w:tc>
        <w:tc>
          <w:tcPr>
            <w:tcW w:w="0" w:type="auto"/>
            <w:shd w:val="clear" w:color="auto" w:fill="FFFFFF"/>
            <w:tcMar>
              <w:top w:w="40" w:type="dxa"/>
              <w:left w:w="0" w:type="dxa"/>
              <w:bottom w:w="40" w:type="dxa"/>
              <w:right w:w="20" w:type="dxa"/>
            </w:tcMar>
            <w:vAlign w:val="bottom"/>
          </w:tcPr>
          <w:p w14:paraId="392C6E1C" w14:textId="77777777" w:rsidR="00980E5F" w:rsidRDefault="00980E5F">
            <w:pPr>
              <w:jc w:val="right"/>
              <w:rPr>
                <w:rFonts w:ascii="宋体"/>
              </w:rPr>
            </w:pPr>
          </w:p>
        </w:tc>
        <w:tc>
          <w:tcPr>
            <w:tcW w:w="0" w:type="auto"/>
            <w:shd w:val="clear" w:color="auto" w:fill="auto"/>
            <w:vAlign w:val="bottom"/>
          </w:tcPr>
          <w:p w14:paraId="392C6E1D" w14:textId="77777777" w:rsidR="00980E5F" w:rsidRDefault="00980E5F">
            <w:pPr>
              <w:rPr>
                <w:rFonts w:ascii="宋体"/>
                <w:vanish/>
              </w:rPr>
            </w:pPr>
          </w:p>
        </w:tc>
        <w:tc>
          <w:tcPr>
            <w:tcW w:w="0" w:type="auto"/>
            <w:shd w:val="clear" w:color="auto" w:fill="auto"/>
            <w:vAlign w:val="bottom"/>
          </w:tcPr>
          <w:p w14:paraId="392C6E1E" w14:textId="77777777" w:rsidR="00980E5F" w:rsidRDefault="00980E5F">
            <w:pPr>
              <w:rPr>
                <w:rFonts w:ascii="宋体"/>
                <w:vanish/>
              </w:rPr>
            </w:pPr>
          </w:p>
        </w:tc>
      </w:tr>
      <w:tr w:rsidR="00980E5F" w14:paraId="392C6E28" w14:textId="77777777">
        <w:tc>
          <w:tcPr>
            <w:tcW w:w="0" w:type="auto"/>
            <w:gridSpan w:val="3"/>
            <w:shd w:val="clear" w:color="auto" w:fill="CCEEFF"/>
            <w:tcMar>
              <w:top w:w="40" w:type="dxa"/>
              <w:left w:w="155" w:type="dxa"/>
              <w:bottom w:w="40" w:type="dxa"/>
              <w:right w:w="20" w:type="dxa"/>
            </w:tcMar>
            <w:vAlign w:val="bottom"/>
          </w:tcPr>
          <w:p w14:paraId="392C6E20" w14:textId="77777777" w:rsidR="00980E5F" w:rsidRDefault="00483613">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392C6E21" w14:textId="77777777" w:rsidR="00980E5F" w:rsidRDefault="00483613">
            <w:pPr>
              <w:jc w:val="right"/>
              <w:textAlignment w:val="bottom"/>
            </w:pPr>
            <w:r>
              <w:rPr>
                <w:rFonts w:ascii="Arial" w:eastAsia="宋体" w:hAnsi="Arial" w:cs="Arial"/>
                <w:b/>
                <w:bCs/>
                <w:color w:val="000000"/>
                <w:sz w:val="15"/>
                <w:szCs w:val="15"/>
              </w:rPr>
              <w:t>2,682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E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2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E24" w14:textId="77777777" w:rsidR="00980E5F" w:rsidRDefault="00483613">
            <w:pPr>
              <w:jc w:val="right"/>
              <w:textAlignment w:val="bottom"/>
            </w:pPr>
            <w:r>
              <w:rPr>
                <w:rFonts w:ascii="Arial" w:eastAsia="宋体" w:hAnsi="Arial" w:cs="Arial"/>
                <w:color w:val="000000"/>
                <w:sz w:val="15"/>
                <w:szCs w:val="15"/>
              </w:rPr>
              <w:t>2,554 </w:t>
            </w:r>
          </w:p>
        </w:tc>
        <w:tc>
          <w:tcPr>
            <w:tcW w:w="0" w:type="auto"/>
            <w:shd w:val="clear" w:color="auto" w:fill="CCEEFF"/>
            <w:tcMar>
              <w:top w:w="40" w:type="dxa"/>
              <w:left w:w="0" w:type="dxa"/>
              <w:bottom w:w="40" w:type="dxa"/>
              <w:right w:w="20" w:type="dxa"/>
            </w:tcMar>
            <w:vAlign w:val="bottom"/>
          </w:tcPr>
          <w:p w14:paraId="392C6E25" w14:textId="77777777" w:rsidR="00980E5F" w:rsidRDefault="00980E5F">
            <w:pPr>
              <w:jc w:val="right"/>
              <w:rPr>
                <w:rFonts w:ascii="宋体"/>
              </w:rPr>
            </w:pPr>
          </w:p>
        </w:tc>
        <w:tc>
          <w:tcPr>
            <w:tcW w:w="0" w:type="auto"/>
            <w:shd w:val="clear" w:color="auto" w:fill="auto"/>
            <w:vAlign w:val="bottom"/>
          </w:tcPr>
          <w:p w14:paraId="392C6E26" w14:textId="77777777" w:rsidR="00980E5F" w:rsidRDefault="00980E5F">
            <w:pPr>
              <w:rPr>
                <w:rFonts w:ascii="宋体"/>
                <w:vanish/>
              </w:rPr>
            </w:pPr>
          </w:p>
        </w:tc>
        <w:tc>
          <w:tcPr>
            <w:tcW w:w="0" w:type="auto"/>
            <w:shd w:val="clear" w:color="auto" w:fill="auto"/>
            <w:vAlign w:val="bottom"/>
          </w:tcPr>
          <w:p w14:paraId="392C6E27" w14:textId="77777777" w:rsidR="00980E5F" w:rsidRDefault="00980E5F">
            <w:pPr>
              <w:rPr>
                <w:rFonts w:ascii="宋体"/>
                <w:vanish/>
              </w:rPr>
            </w:pPr>
          </w:p>
        </w:tc>
      </w:tr>
      <w:tr w:rsidR="00980E5F" w14:paraId="392C6E2F" w14:textId="77777777">
        <w:trPr>
          <w:hidden/>
        </w:trPr>
        <w:tc>
          <w:tcPr>
            <w:tcW w:w="0" w:type="auto"/>
            <w:gridSpan w:val="3"/>
            <w:shd w:val="clear" w:color="auto" w:fill="auto"/>
            <w:vAlign w:val="bottom"/>
          </w:tcPr>
          <w:p w14:paraId="392C6E29" w14:textId="77777777" w:rsidR="00980E5F" w:rsidRDefault="00980E5F">
            <w:pPr>
              <w:rPr>
                <w:rFonts w:ascii="宋体"/>
                <w:vanish/>
              </w:rPr>
            </w:pPr>
          </w:p>
        </w:tc>
        <w:tc>
          <w:tcPr>
            <w:tcW w:w="0" w:type="auto"/>
            <w:gridSpan w:val="3"/>
            <w:shd w:val="clear" w:color="auto" w:fill="auto"/>
            <w:vAlign w:val="bottom"/>
          </w:tcPr>
          <w:p w14:paraId="392C6E2A" w14:textId="77777777" w:rsidR="00980E5F" w:rsidRDefault="00980E5F">
            <w:pPr>
              <w:rPr>
                <w:rFonts w:ascii="宋体"/>
                <w:vanish/>
              </w:rPr>
            </w:pPr>
          </w:p>
        </w:tc>
        <w:tc>
          <w:tcPr>
            <w:tcW w:w="0" w:type="auto"/>
            <w:gridSpan w:val="3"/>
            <w:shd w:val="clear" w:color="auto" w:fill="auto"/>
            <w:vAlign w:val="bottom"/>
          </w:tcPr>
          <w:p w14:paraId="392C6E2B" w14:textId="77777777" w:rsidR="00980E5F" w:rsidRDefault="00980E5F">
            <w:pPr>
              <w:rPr>
                <w:rFonts w:ascii="宋体"/>
                <w:vanish/>
              </w:rPr>
            </w:pPr>
          </w:p>
        </w:tc>
        <w:tc>
          <w:tcPr>
            <w:tcW w:w="0" w:type="auto"/>
            <w:gridSpan w:val="3"/>
            <w:shd w:val="clear" w:color="auto" w:fill="auto"/>
            <w:vAlign w:val="bottom"/>
          </w:tcPr>
          <w:p w14:paraId="392C6E2C" w14:textId="77777777" w:rsidR="00980E5F" w:rsidRDefault="00980E5F">
            <w:pPr>
              <w:rPr>
                <w:rFonts w:ascii="宋体"/>
                <w:vanish/>
              </w:rPr>
            </w:pPr>
          </w:p>
        </w:tc>
        <w:tc>
          <w:tcPr>
            <w:tcW w:w="0" w:type="auto"/>
            <w:shd w:val="clear" w:color="auto" w:fill="auto"/>
            <w:vAlign w:val="bottom"/>
          </w:tcPr>
          <w:p w14:paraId="392C6E2D" w14:textId="77777777" w:rsidR="00980E5F" w:rsidRDefault="00980E5F">
            <w:pPr>
              <w:rPr>
                <w:rFonts w:ascii="宋体"/>
                <w:vanish/>
              </w:rPr>
            </w:pPr>
          </w:p>
        </w:tc>
        <w:tc>
          <w:tcPr>
            <w:tcW w:w="0" w:type="auto"/>
            <w:shd w:val="clear" w:color="auto" w:fill="auto"/>
            <w:vAlign w:val="bottom"/>
          </w:tcPr>
          <w:p w14:paraId="392C6E2E" w14:textId="77777777" w:rsidR="00980E5F" w:rsidRDefault="00980E5F">
            <w:pPr>
              <w:rPr>
                <w:rFonts w:ascii="宋体"/>
                <w:vanish/>
              </w:rPr>
            </w:pPr>
          </w:p>
        </w:tc>
      </w:tr>
      <w:tr w:rsidR="00980E5F" w14:paraId="392C6E38" w14:textId="77777777">
        <w:tc>
          <w:tcPr>
            <w:tcW w:w="0" w:type="auto"/>
            <w:gridSpan w:val="3"/>
            <w:shd w:val="clear" w:color="auto" w:fill="FFFFFF"/>
            <w:tcMar>
              <w:top w:w="40" w:type="dxa"/>
              <w:left w:w="245" w:type="dxa"/>
              <w:bottom w:w="40" w:type="dxa"/>
              <w:right w:w="20" w:type="dxa"/>
            </w:tcMar>
            <w:vAlign w:val="bottom"/>
          </w:tcPr>
          <w:p w14:paraId="392C6E30" w14:textId="77777777" w:rsidR="00980E5F" w:rsidRDefault="00483613">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31" w14:textId="77777777" w:rsidR="00980E5F" w:rsidRDefault="00483613">
            <w:pPr>
              <w:jc w:val="right"/>
              <w:textAlignment w:val="bottom"/>
            </w:pPr>
            <w:r>
              <w:rPr>
                <w:rFonts w:ascii="Arial" w:eastAsia="宋体" w:hAnsi="Arial" w:cs="Arial"/>
                <w:b/>
                <w:bCs/>
                <w:color w:val="000000"/>
                <w:sz w:val="15"/>
                <w:szCs w:val="15"/>
              </w:rPr>
              <w:t>21,701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3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34" w14:textId="77777777" w:rsidR="00980E5F" w:rsidRDefault="00483613">
            <w:pPr>
              <w:jc w:val="right"/>
              <w:textAlignment w:val="bottom"/>
            </w:pPr>
            <w:r>
              <w:rPr>
                <w:rFonts w:ascii="Arial" w:eastAsia="宋体" w:hAnsi="Arial" w:cs="Arial"/>
                <w:color w:val="000000"/>
                <w:sz w:val="15"/>
                <w:szCs w:val="15"/>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35" w14:textId="77777777" w:rsidR="00980E5F" w:rsidRDefault="00980E5F">
            <w:pPr>
              <w:jc w:val="right"/>
              <w:rPr>
                <w:rFonts w:ascii="宋体"/>
              </w:rPr>
            </w:pPr>
          </w:p>
        </w:tc>
        <w:tc>
          <w:tcPr>
            <w:tcW w:w="0" w:type="auto"/>
            <w:shd w:val="clear" w:color="auto" w:fill="auto"/>
            <w:vAlign w:val="bottom"/>
          </w:tcPr>
          <w:p w14:paraId="392C6E36" w14:textId="77777777" w:rsidR="00980E5F" w:rsidRDefault="00980E5F">
            <w:pPr>
              <w:rPr>
                <w:rFonts w:ascii="宋体"/>
                <w:vanish/>
              </w:rPr>
            </w:pPr>
          </w:p>
        </w:tc>
        <w:tc>
          <w:tcPr>
            <w:tcW w:w="0" w:type="auto"/>
            <w:shd w:val="clear" w:color="auto" w:fill="auto"/>
            <w:vAlign w:val="bottom"/>
          </w:tcPr>
          <w:p w14:paraId="392C6E37" w14:textId="77777777" w:rsidR="00980E5F" w:rsidRDefault="00980E5F">
            <w:pPr>
              <w:rPr>
                <w:rFonts w:ascii="宋体"/>
                <w:vanish/>
              </w:rPr>
            </w:pPr>
          </w:p>
        </w:tc>
      </w:tr>
      <w:tr w:rsidR="00980E5F" w14:paraId="392C6E3F" w14:textId="77777777">
        <w:tc>
          <w:tcPr>
            <w:tcW w:w="0" w:type="auto"/>
            <w:gridSpan w:val="3"/>
            <w:shd w:val="clear" w:color="auto" w:fill="CCEEFF"/>
            <w:tcMar>
              <w:top w:w="40" w:type="dxa"/>
              <w:left w:w="20" w:type="dxa"/>
              <w:bottom w:w="40" w:type="dxa"/>
              <w:right w:w="20" w:type="dxa"/>
            </w:tcMar>
            <w:vAlign w:val="bottom"/>
          </w:tcPr>
          <w:p w14:paraId="392C6E39" w14:textId="77777777" w:rsidR="00980E5F" w:rsidRDefault="00483613">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E3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6E3B"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6E3C" w14:textId="77777777" w:rsidR="00980E5F" w:rsidRDefault="00980E5F">
            <w:pPr>
              <w:rPr>
                <w:rFonts w:ascii="宋体"/>
              </w:rPr>
            </w:pPr>
          </w:p>
        </w:tc>
        <w:tc>
          <w:tcPr>
            <w:tcW w:w="0" w:type="auto"/>
            <w:shd w:val="clear" w:color="auto" w:fill="auto"/>
            <w:vAlign w:val="bottom"/>
          </w:tcPr>
          <w:p w14:paraId="392C6E3D" w14:textId="77777777" w:rsidR="00980E5F" w:rsidRDefault="00980E5F">
            <w:pPr>
              <w:rPr>
                <w:rFonts w:ascii="宋体"/>
                <w:vanish/>
              </w:rPr>
            </w:pPr>
          </w:p>
        </w:tc>
        <w:tc>
          <w:tcPr>
            <w:tcW w:w="0" w:type="auto"/>
            <w:shd w:val="clear" w:color="auto" w:fill="auto"/>
            <w:vAlign w:val="bottom"/>
          </w:tcPr>
          <w:p w14:paraId="392C6E3E" w14:textId="77777777" w:rsidR="00980E5F" w:rsidRDefault="00980E5F">
            <w:pPr>
              <w:rPr>
                <w:rFonts w:ascii="宋体"/>
                <w:vanish/>
              </w:rPr>
            </w:pPr>
          </w:p>
        </w:tc>
      </w:tr>
      <w:tr w:rsidR="00980E5F" w14:paraId="392C6E46" w14:textId="77777777">
        <w:tc>
          <w:tcPr>
            <w:tcW w:w="0" w:type="auto"/>
            <w:gridSpan w:val="3"/>
            <w:shd w:val="clear" w:color="auto" w:fill="FFFFFF"/>
            <w:tcMar>
              <w:top w:w="40" w:type="dxa"/>
              <w:left w:w="155" w:type="dxa"/>
              <w:bottom w:w="40" w:type="dxa"/>
              <w:right w:w="20" w:type="dxa"/>
            </w:tcMar>
            <w:vAlign w:val="bottom"/>
          </w:tcPr>
          <w:p w14:paraId="392C6E40" w14:textId="77777777" w:rsidR="00980E5F" w:rsidRDefault="00483613">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392C6E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E4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6E43" w14:textId="77777777" w:rsidR="00980E5F" w:rsidRDefault="00980E5F">
            <w:pPr>
              <w:rPr>
                <w:rFonts w:ascii="宋体"/>
              </w:rPr>
            </w:pPr>
          </w:p>
        </w:tc>
        <w:tc>
          <w:tcPr>
            <w:tcW w:w="0" w:type="auto"/>
            <w:shd w:val="clear" w:color="auto" w:fill="auto"/>
            <w:vAlign w:val="bottom"/>
          </w:tcPr>
          <w:p w14:paraId="392C6E44" w14:textId="77777777" w:rsidR="00980E5F" w:rsidRDefault="00980E5F">
            <w:pPr>
              <w:rPr>
                <w:rFonts w:ascii="宋体"/>
                <w:vanish/>
              </w:rPr>
            </w:pPr>
          </w:p>
        </w:tc>
        <w:tc>
          <w:tcPr>
            <w:tcW w:w="0" w:type="auto"/>
            <w:shd w:val="clear" w:color="auto" w:fill="auto"/>
            <w:vAlign w:val="bottom"/>
          </w:tcPr>
          <w:p w14:paraId="392C6E45" w14:textId="77777777" w:rsidR="00980E5F" w:rsidRDefault="00980E5F">
            <w:pPr>
              <w:rPr>
                <w:rFonts w:ascii="宋体"/>
                <w:vanish/>
              </w:rPr>
            </w:pPr>
          </w:p>
        </w:tc>
      </w:tr>
      <w:tr w:rsidR="00980E5F" w14:paraId="392C6E4F" w14:textId="77777777">
        <w:tc>
          <w:tcPr>
            <w:tcW w:w="0" w:type="auto"/>
            <w:gridSpan w:val="3"/>
            <w:shd w:val="clear" w:color="auto" w:fill="CCEEFF"/>
            <w:tcMar>
              <w:top w:w="40" w:type="dxa"/>
              <w:left w:w="20" w:type="dxa"/>
              <w:bottom w:w="40" w:type="dxa"/>
              <w:right w:w="20" w:type="dxa"/>
            </w:tcMar>
            <w:vAlign w:val="bottom"/>
          </w:tcPr>
          <w:p w14:paraId="392C6E47" w14:textId="77777777" w:rsidR="00980E5F" w:rsidRDefault="00483613">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6E48" w14:textId="77777777" w:rsidR="00980E5F" w:rsidRDefault="00483613">
            <w:pPr>
              <w:jc w:val="right"/>
              <w:textAlignment w:val="bottom"/>
            </w:pPr>
            <w:r>
              <w:rPr>
                <w:rFonts w:ascii="Arial" w:eastAsia="宋体" w:hAnsi="Arial" w:cs="Arial"/>
                <w:b/>
                <w:bCs/>
                <w:color w:val="000000"/>
                <w:sz w:val="15"/>
                <w:szCs w:val="15"/>
              </w:rPr>
              <w:t>8,131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E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E4B" w14:textId="77777777" w:rsidR="00980E5F" w:rsidRDefault="00483613">
            <w:pPr>
              <w:jc w:val="right"/>
              <w:textAlignment w:val="bottom"/>
            </w:pPr>
            <w:r>
              <w:rPr>
                <w:rFonts w:ascii="Arial" w:eastAsia="宋体" w:hAnsi="Arial" w:cs="Arial"/>
                <w:color w:val="000000"/>
                <w:sz w:val="15"/>
                <w:szCs w:val="15"/>
              </w:rPr>
              <w:t>7,778 </w:t>
            </w:r>
          </w:p>
        </w:tc>
        <w:tc>
          <w:tcPr>
            <w:tcW w:w="0" w:type="auto"/>
            <w:shd w:val="clear" w:color="auto" w:fill="CCEEFF"/>
            <w:tcMar>
              <w:top w:w="40" w:type="dxa"/>
              <w:left w:w="0" w:type="dxa"/>
              <w:bottom w:w="40" w:type="dxa"/>
              <w:right w:w="20" w:type="dxa"/>
            </w:tcMar>
            <w:vAlign w:val="bottom"/>
          </w:tcPr>
          <w:p w14:paraId="392C6E4C" w14:textId="77777777" w:rsidR="00980E5F" w:rsidRDefault="00980E5F">
            <w:pPr>
              <w:jc w:val="right"/>
              <w:rPr>
                <w:rFonts w:ascii="宋体"/>
              </w:rPr>
            </w:pPr>
          </w:p>
        </w:tc>
        <w:tc>
          <w:tcPr>
            <w:tcW w:w="0" w:type="auto"/>
            <w:shd w:val="clear" w:color="auto" w:fill="auto"/>
            <w:vAlign w:val="bottom"/>
          </w:tcPr>
          <w:p w14:paraId="392C6E4D" w14:textId="77777777" w:rsidR="00980E5F" w:rsidRDefault="00980E5F">
            <w:pPr>
              <w:rPr>
                <w:rFonts w:ascii="宋体"/>
                <w:vanish/>
              </w:rPr>
            </w:pPr>
          </w:p>
        </w:tc>
        <w:tc>
          <w:tcPr>
            <w:tcW w:w="0" w:type="auto"/>
            <w:shd w:val="clear" w:color="auto" w:fill="auto"/>
            <w:vAlign w:val="bottom"/>
          </w:tcPr>
          <w:p w14:paraId="392C6E4E" w14:textId="77777777" w:rsidR="00980E5F" w:rsidRDefault="00980E5F">
            <w:pPr>
              <w:rPr>
                <w:rFonts w:ascii="宋体"/>
                <w:vanish/>
              </w:rPr>
            </w:pPr>
          </w:p>
        </w:tc>
      </w:tr>
      <w:tr w:rsidR="00980E5F" w14:paraId="392C6E58" w14:textId="77777777">
        <w:tc>
          <w:tcPr>
            <w:tcW w:w="0" w:type="auto"/>
            <w:gridSpan w:val="3"/>
            <w:shd w:val="clear" w:color="auto" w:fill="FFFFFF"/>
            <w:tcMar>
              <w:top w:w="40" w:type="dxa"/>
              <w:left w:w="245" w:type="dxa"/>
              <w:bottom w:w="40" w:type="dxa"/>
              <w:right w:w="20" w:type="dxa"/>
            </w:tcMar>
            <w:vAlign w:val="bottom"/>
          </w:tcPr>
          <w:p w14:paraId="392C6E50" w14:textId="77777777" w:rsidR="00980E5F" w:rsidRDefault="00483613">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392C6E51" w14:textId="77777777" w:rsidR="00980E5F" w:rsidRDefault="00483613">
            <w:pPr>
              <w:jc w:val="right"/>
              <w:textAlignment w:val="bottom"/>
            </w:pPr>
            <w:r>
              <w:rPr>
                <w:rFonts w:ascii="Arial" w:eastAsia="宋体" w:hAnsi="Arial" w:cs="Arial"/>
                <w:b/>
                <w:bCs/>
                <w:color w:val="000000"/>
                <w:sz w:val="15"/>
                <w:szCs w:val="15"/>
              </w:rPr>
              <w:t>1,123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6E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E54" w14:textId="77777777" w:rsidR="00980E5F" w:rsidRDefault="00483613">
            <w:pPr>
              <w:jc w:val="right"/>
              <w:textAlignment w:val="bottom"/>
            </w:pPr>
            <w:r>
              <w:rPr>
                <w:rFonts w:ascii="Arial" w:eastAsia="宋体" w:hAnsi="Arial" w:cs="Arial"/>
                <w:color w:val="000000"/>
                <w:sz w:val="15"/>
                <w:szCs w:val="15"/>
              </w:rPr>
              <w:t>1,328 </w:t>
            </w:r>
          </w:p>
        </w:tc>
        <w:tc>
          <w:tcPr>
            <w:tcW w:w="0" w:type="auto"/>
            <w:shd w:val="clear" w:color="auto" w:fill="FFFFFF"/>
            <w:tcMar>
              <w:top w:w="40" w:type="dxa"/>
              <w:left w:w="0" w:type="dxa"/>
              <w:bottom w:w="40" w:type="dxa"/>
              <w:right w:w="20" w:type="dxa"/>
            </w:tcMar>
            <w:vAlign w:val="bottom"/>
          </w:tcPr>
          <w:p w14:paraId="392C6E55" w14:textId="77777777" w:rsidR="00980E5F" w:rsidRDefault="00980E5F">
            <w:pPr>
              <w:jc w:val="right"/>
              <w:rPr>
                <w:rFonts w:ascii="宋体"/>
              </w:rPr>
            </w:pPr>
          </w:p>
        </w:tc>
        <w:tc>
          <w:tcPr>
            <w:tcW w:w="0" w:type="auto"/>
            <w:shd w:val="clear" w:color="auto" w:fill="auto"/>
            <w:vAlign w:val="bottom"/>
          </w:tcPr>
          <w:p w14:paraId="392C6E56" w14:textId="77777777" w:rsidR="00980E5F" w:rsidRDefault="00980E5F">
            <w:pPr>
              <w:rPr>
                <w:rFonts w:ascii="宋体"/>
                <w:vanish/>
              </w:rPr>
            </w:pPr>
          </w:p>
        </w:tc>
        <w:tc>
          <w:tcPr>
            <w:tcW w:w="0" w:type="auto"/>
            <w:shd w:val="clear" w:color="auto" w:fill="auto"/>
            <w:vAlign w:val="bottom"/>
          </w:tcPr>
          <w:p w14:paraId="392C6E57" w14:textId="77777777" w:rsidR="00980E5F" w:rsidRDefault="00980E5F">
            <w:pPr>
              <w:rPr>
                <w:rFonts w:ascii="宋体"/>
                <w:vanish/>
              </w:rPr>
            </w:pPr>
          </w:p>
        </w:tc>
      </w:tr>
      <w:tr w:rsidR="00980E5F" w14:paraId="392C6E5F" w14:textId="77777777">
        <w:trPr>
          <w:hidden/>
        </w:trPr>
        <w:tc>
          <w:tcPr>
            <w:tcW w:w="0" w:type="auto"/>
            <w:gridSpan w:val="3"/>
            <w:shd w:val="clear" w:color="auto" w:fill="auto"/>
            <w:vAlign w:val="bottom"/>
          </w:tcPr>
          <w:p w14:paraId="392C6E59" w14:textId="77777777" w:rsidR="00980E5F" w:rsidRDefault="00980E5F">
            <w:pPr>
              <w:rPr>
                <w:rFonts w:ascii="宋体"/>
                <w:vanish/>
              </w:rPr>
            </w:pPr>
          </w:p>
        </w:tc>
        <w:tc>
          <w:tcPr>
            <w:tcW w:w="0" w:type="auto"/>
            <w:gridSpan w:val="3"/>
            <w:shd w:val="clear" w:color="auto" w:fill="auto"/>
            <w:vAlign w:val="bottom"/>
          </w:tcPr>
          <w:p w14:paraId="392C6E5A" w14:textId="77777777" w:rsidR="00980E5F" w:rsidRDefault="00980E5F">
            <w:pPr>
              <w:rPr>
                <w:rFonts w:ascii="宋体"/>
                <w:vanish/>
              </w:rPr>
            </w:pPr>
          </w:p>
        </w:tc>
        <w:tc>
          <w:tcPr>
            <w:tcW w:w="0" w:type="auto"/>
            <w:gridSpan w:val="3"/>
            <w:shd w:val="clear" w:color="auto" w:fill="auto"/>
            <w:vAlign w:val="bottom"/>
          </w:tcPr>
          <w:p w14:paraId="392C6E5B" w14:textId="77777777" w:rsidR="00980E5F" w:rsidRDefault="00980E5F">
            <w:pPr>
              <w:rPr>
                <w:rFonts w:ascii="宋体"/>
                <w:vanish/>
              </w:rPr>
            </w:pPr>
          </w:p>
        </w:tc>
        <w:tc>
          <w:tcPr>
            <w:tcW w:w="0" w:type="auto"/>
            <w:gridSpan w:val="3"/>
            <w:shd w:val="clear" w:color="auto" w:fill="auto"/>
            <w:vAlign w:val="bottom"/>
          </w:tcPr>
          <w:p w14:paraId="392C6E5C" w14:textId="77777777" w:rsidR="00980E5F" w:rsidRDefault="00980E5F">
            <w:pPr>
              <w:rPr>
                <w:rFonts w:ascii="宋体"/>
                <w:vanish/>
              </w:rPr>
            </w:pPr>
          </w:p>
        </w:tc>
        <w:tc>
          <w:tcPr>
            <w:tcW w:w="0" w:type="auto"/>
            <w:shd w:val="clear" w:color="auto" w:fill="auto"/>
            <w:vAlign w:val="bottom"/>
          </w:tcPr>
          <w:p w14:paraId="392C6E5D" w14:textId="77777777" w:rsidR="00980E5F" w:rsidRDefault="00980E5F">
            <w:pPr>
              <w:rPr>
                <w:rFonts w:ascii="宋体"/>
                <w:vanish/>
              </w:rPr>
            </w:pPr>
          </w:p>
        </w:tc>
        <w:tc>
          <w:tcPr>
            <w:tcW w:w="0" w:type="auto"/>
            <w:shd w:val="clear" w:color="auto" w:fill="auto"/>
            <w:vAlign w:val="bottom"/>
          </w:tcPr>
          <w:p w14:paraId="392C6E5E" w14:textId="77777777" w:rsidR="00980E5F" w:rsidRDefault="00980E5F">
            <w:pPr>
              <w:rPr>
                <w:rFonts w:ascii="宋体"/>
                <w:vanish/>
              </w:rPr>
            </w:pPr>
          </w:p>
        </w:tc>
      </w:tr>
      <w:tr w:rsidR="00980E5F" w14:paraId="392C6E68" w14:textId="77777777">
        <w:tc>
          <w:tcPr>
            <w:tcW w:w="0" w:type="auto"/>
            <w:gridSpan w:val="3"/>
            <w:shd w:val="clear" w:color="auto" w:fill="CCEEFF"/>
            <w:tcMar>
              <w:top w:w="40" w:type="dxa"/>
              <w:left w:w="245" w:type="dxa"/>
              <w:bottom w:w="40" w:type="dxa"/>
              <w:right w:w="20" w:type="dxa"/>
            </w:tcMar>
            <w:vAlign w:val="bottom"/>
          </w:tcPr>
          <w:p w14:paraId="392C6E60" w14:textId="77777777" w:rsidR="00980E5F" w:rsidRDefault="00483613">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392C6E61" w14:textId="77777777" w:rsidR="00980E5F" w:rsidRDefault="00483613">
            <w:pPr>
              <w:jc w:val="right"/>
              <w:textAlignment w:val="bottom"/>
            </w:pPr>
            <w:r>
              <w:rPr>
                <w:rFonts w:ascii="Arial" w:eastAsia="宋体" w:hAnsi="Arial" w:cs="Arial"/>
                <w:b/>
                <w:bCs/>
                <w:color w:val="000000"/>
                <w:sz w:val="15"/>
                <w:szCs w:val="15"/>
              </w:rPr>
              <w:t>2,610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6E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6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E64" w14:textId="77777777" w:rsidR="00980E5F" w:rsidRDefault="00483613">
            <w:pPr>
              <w:jc w:val="right"/>
              <w:textAlignment w:val="bottom"/>
            </w:pPr>
            <w:r>
              <w:rPr>
                <w:rFonts w:ascii="Arial" w:eastAsia="宋体" w:hAnsi="Arial" w:cs="Arial"/>
                <w:color w:val="000000"/>
                <w:sz w:val="15"/>
                <w:szCs w:val="15"/>
              </w:rPr>
              <w:t>1,312 </w:t>
            </w:r>
          </w:p>
        </w:tc>
        <w:tc>
          <w:tcPr>
            <w:tcW w:w="0" w:type="auto"/>
            <w:shd w:val="clear" w:color="auto" w:fill="CCEEFF"/>
            <w:tcMar>
              <w:top w:w="40" w:type="dxa"/>
              <w:left w:w="0" w:type="dxa"/>
              <w:bottom w:w="40" w:type="dxa"/>
              <w:right w:w="20" w:type="dxa"/>
            </w:tcMar>
            <w:vAlign w:val="bottom"/>
          </w:tcPr>
          <w:p w14:paraId="392C6E65" w14:textId="77777777" w:rsidR="00980E5F" w:rsidRDefault="00980E5F">
            <w:pPr>
              <w:jc w:val="right"/>
              <w:rPr>
                <w:rFonts w:ascii="宋体"/>
              </w:rPr>
            </w:pPr>
          </w:p>
        </w:tc>
        <w:tc>
          <w:tcPr>
            <w:tcW w:w="0" w:type="auto"/>
            <w:shd w:val="clear" w:color="auto" w:fill="auto"/>
            <w:vAlign w:val="bottom"/>
          </w:tcPr>
          <w:p w14:paraId="392C6E66" w14:textId="77777777" w:rsidR="00980E5F" w:rsidRDefault="00980E5F">
            <w:pPr>
              <w:rPr>
                <w:rFonts w:ascii="宋体"/>
                <w:vanish/>
              </w:rPr>
            </w:pPr>
          </w:p>
        </w:tc>
        <w:tc>
          <w:tcPr>
            <w:tcW w:w="0" w:type="auto"/>
            <w:shd w:val="clear" w:color="auto" w:fill="auto"/>
            <w:vAlign w:val="bottom"/>
          </w:tcPr>
          <w:p w14:paraId="392C6E67" w14:textId="77777777" w:rsidR="00980E5F" w:rsidRDefault="00980E5F">
            <w:pPr>
              <w:rPr>
                <w:rFonts w:ascii="宋体"/>
                <w:vanish/>
              </w:rPr>
            </w:pPr>
          </w:p>
        </w:tc>
      </w:tr>
      <w:tr w:rsidR="00980E5F" w14:paraId="392C6E6F" w14:textId="77777777">
        <w:trPr>
          <w:hidden/>
        </w:trPr>
        <w:tc>
          <w:tcPr>
            <w:tcW w:w="0" w:type="auto"/>
            <w:gridSpan w:val="3"/>
            <w:shd w:val="clear" w:color="auto" w:fill="auto"/>
            <w:vAlign w:val="bottom"/>
          </w:tcPr>
          <w:p w14:paraId="392C6E69" w14:textId="77777777" w:rsidR="00980E5F" w:rsidRDefault="00980E5F">
            <w:pPr>
              <w:rPr>
                <w:rFonts w:ascii="宋体"/>
                <w:vanish/>
              </w:rPr>
            </w:pPr>
          </w:p>
        </w:tc>
        <w:tc>
          <w:tcPr>
            <w:tcW w:w="0" w:type="auto"/>
            <w:gridSpan w:val="3"/>
            <w:shd w:val="clear" w:color="auto" w:fill="auto"/>
            <w:vAlign w:val="bottom"/>
          </w:tcPr>
          <w:p w14:paraId="392C6E6A" w14:textId="77777777" w:rsidR="00980E5F" w:rsidRDefault="00980E5F">
            <w:pPr>
              <w:rPr>
                <w:rFonts w:ascii="宋体"/>
                <w:vanish/>
              </w:rPr>
            </w:pPr>
          </w:p>
        </w:tc>
        <w:tc>
          <w:tcPr>
            <w:tcW w:w="0" w:type="auto"/>
            <w:gridSpan w:val="3"/>
            <w:shd w:val="clear" w:color="auto" w:fill="auto"/>
            <w:vAlign w:val="bottom"/>
          </w:tcPr>
          <w:p w14:paraId="392C6E6B" w14:textId="77777777" w:rsidR="00980E5F" w:rsidRDefault="00980E5F">
            <w:pPr>
              <w:rPr>
                <w:rFonts w:ascii="宋体"/>
                <w:vanish/>
              </w:rPr>
            </w:pPr>
          </w:p>
        </w:tc>
        <w:tc>
          <w:tcPr>
            <w:tcW w:w="0" w:type="auto"/>
            <w:gridSpan w:val="3"/>
            <w:shd w:val="clear" w:color="auto" w:fill="auto"/>
            <w:vAlign w:val="bottom"/>
          </w:tcPr>
          <w:p w14:paraId="392C6E6C" w14:textId="77777777" w:rsidR="00980E5F" w:rsidRDefault="00980E5F">
            <w:pPr>
              <w:rPr>
                <w:rFonts w:ascii="宋体"/>
                <w:vanish/>
              </w:rPr>
            </w:pPr>
          </w:p>
        </w:tc>
        <w:tc>
          <w:tcPr>
            <w:tcW w:w="0" w:type="auto"/>
            <w:shd w:val="clear" w:color="auto" w:fill="auto"/>
            <w:vAlign w:val="bottom"/>
          </w:tcPr>
          <w:p w14:paraId="392C6E6D" w14:textId="77777777" w:rsidR="00980E5F" w:rsidRDefault="00980E5F">
            <w:pPr>
              <w:rPr>
                <w:rFonts w:ascii="宋体"/>
                <w:vanish/>
              </w:rPr>
            </w:pPr>
          </w:p>
        </w:tc>
        <w:tc>
          <w:tcPr>
            <w:tcW w:w="0" w:type="auto"/>
            <w:shd w:val="clear" w:color="auto" w:fill="auto"/>
            <w:vAlign w:val="bottom"/>
          </w:tcPr>
          <w:p w14:paraId="392C6E6E" w14:textId="77777777" w:rsidR="00980E5F" w:rsidRDefault="00980E5F">
            <w:pPr>
              <w:rPr>
                <w:rFonts w:ascii="宋体"/>
                <w:vanish/>
              </w:rPr>
            </w:pPr>
          </w:p>
        </w:tc>
      </w:tr>
      <w:tr w:rsidR="00980E5F" w14:paraId="392C6E76" w14:textId="77777777">
        <w:trPr>
          <w:hidden/>
        </w:trPr>
        <w:tc>
          <w:tcPr>
            <w:tcW w:w="0" w:type="auto"/>
            <w:gridSpan w:val="3"/>
            <w:shd w:val="clear" w:color="auto" w:fill="auto"/>
            <w:vAlign w:val="bottom"/>
          </w:tcPr>
          <w:p w14:paraId="392C6E70" w14:textId="77777777" w:rsidR="00980E5F" w:rsidRDefault="00980E5F">
            <w:pPr>
              <w:rPr>
                <w:rFonts w:ascii="宋体"/>
                <w:vanish/>
              </w:rPr>
            </w:pPr>
          </w:p>
        </w:tc>
        <w:tc>
          <w:tcPr>
            <w:tcW w:w="0" w:type="auto"/>
            <w:gridSpan w:val="3"/>
            <w:shd w:val="clear" w:color="auto" w:fill="auto"/>
            <w:vAlign w:val="bottom"/>
          </w:tcPr>
          <w:p w14:paraId="392C6E71" w14:textId="77777777" w:rsidR="00980E5F" w:rsidRDefault="00980E5F">
            <w:pPr>
              <w:rPr>
                <w:rFonts w:ascii="宋体"/>
                <w:vanish/>
              </w:rPr>
            </w:pPr>
          </w:p>
        </w:tc>
        <w:tc>
          <w:tcPr>
            <w:tcW w:w="0" w:type="auto"/>
            <w:gridSpan w:val="3"/>
            <w:shd w:val="clear" w:color="auto" w:fill="auto"/>
            <w:vAlign w:val="bottom"/>
          </w:tcPr>
          <w:p w14:paraId="392C6E72" w14:textId="77777777" w:rsidR="00980E5F" w:rsidRDefault="00980E5F">
            <w:pPr>
              <w:rPr>
                <w:rFonts w:ascii="宋体"/>
                <w:vanish/>
              </w:rPr>
            </w:pPr>
          </w:p>
        </w:tc>
        <w:tc>
          <w:tcPr>
            <w:tcW w:w="0" w:type="auto"/>
            <w:gridSpan w:val="3"/>
            <w:shd w:val="clear" w:color="auto" w:fill="auto"/>
            <w:vAlign w:val="bottom"/>
          </w:tcPr>
          <w:p w14:paraId="392C6E73" w14:textId="77777777" w:rsidR="00980E5F" w:rsidRDefault="00980E5F">
            <w:pPr>
              <w:rPr>
                <w:rFonts w:ascii="宋体"/>
                <w:vanish/>
              </w:rPr>
            </w:pPr>
          </w:p>
        </w:tc>
        <w:tc>
          <w:tcPr>
            <w:tcW w:w="0" w:type="auto"/>
            <w:shd w:val="clear" w:color="auto" w:fill="auto"/>
            <w:vAlign w:val="bottom"/>
          </w:tcPr>
          <w:p w14:paraId="392C6E74" w14:textId="77777777" w:rsidR="00980E5F" w:rsidRDefault="00980E5F">
            <w:pPr>
              <w:rPr>
                <w:rFonts w:ascii="宋体"/>
                <w:vanish/>
              </w:rPr>
            </w:pPr>
          </w:p>
        </w:tc>
        <w:tc>
          <w:tcPr>
            <w:tcW w:w="0" w:type="auto"/>
            <w:shd w:val="clear" w:color="auto" w:fill="auto"/>
            <w:vAlign w:val="bottom"/>
          </w:tcPr>
          <w:p w14:paraId="392C6E75" w14:textId="77777777" w:rsidR="00980E5F" w:rsidRDefault="00980E5F">
            <w:pPr>
              <w:rPr>
                <w:rFonts w:ascii="宋体"/>
                <w:vanish/>
              </w:rPr>
            </w:pPr>
          </w:p>
        </w:tc>
      </w:tr>
      <w:tr w:rsidR="00980E5F" w14:paraId="392C6E7D" w14:textId="77777777">
        <w:trPr>
          <w:hidden/>
        </w:trPr>
        <w:tc>
          <w:tcPr>
            <w:tcW w:w="0" w:type="auto"/>
            <w:gridSpan w:val="3"/>
            <w:shd w:val="clear" w:color="auto" w:fill="auto"/>
            <w:vAlign w:val="bottom"/>
          </w:tcPr>
          <w:p w14:paraId="392C6E77" w14:textId="77777777" w:rsidR="00980E5F" w:rsidRDefault="00980E5F">
            <w:pPr>
              <w:rPr>
                <w:rFonts w:ascii="宋体"/>
                <w:vanish/>
              </w:rPr>
            </w:pPr>
          </w:p>
        </w:tc>
        <w:tc>
          <w:tcPr>
            <w:tcW w:w="0" w:type="auto"/>
            <w:gridSpan w:val="3"/>
            <w:shd w:val="clear" w:color="auto" w:fill="auto"/>
            <w:vAlign w:val="bottom"/>
          </w:tcPr>
          <w:p w14:paraId="392C6E78" w14:textId="77777777" w:rsidR="00980E5F" w:rsidRDefault="00980E5F">
            <w:pPr>
              <w:rPr>
                <w:rFonts w:ascii="宋体"/>
                <w:vanish/>
              </w:rPr>
            </w:pPr>
          </w:p>
        </w:tc>
        <w:tc>
          <w:tcPr>
            <w:tcW w:w="0" w:type="auto"/>
            <w:gridSpan w:val="3"/>
            <w:shd w:val="clear" w:color="auto" w:fill="auto"/>
            <w:vAlign w:val="bottom"/>
          </w:tcPr>
          <w:p w14:paraId="392C6E79" w14:textId="77777777" w:rsidR="00980E5F" w:rsidRDefault="00980E5F">
            <w:pPr>
              <w:rPr>
                <w:rFonts w:ascii="宋体"/>
                <w:vanish/>
              </w:rPr>
            </w:pPr>
          </w:p>
        </w:tc>
        <w:tc>
          <w:tcPr>
            <w:tcW w:w="0" w:type="auto"/>
            <w:gridSpan w:val="3"/>
            <w:shd w:val="clear" w:color="auto" w:fill="auto"/>
            <w:vAlign w:val="bottom"/>
          </w:tcPr>
          <w:p w14:paraId="392C6E7A" w14:textId="77777777" w:rsidR="00980E5F" w:rsidRDefault="00980E5F">
            <w:pPr>
              <w:rPr>
                <w:rFonts w:ascii="宋体"/>
                <w:vanish/>
              </w:rPr>
            </w:pPr>
          </w:p>
        </w:tc>
        <w:tc>
          <w:tcPr>
            <w:tcW w:w="0" w:type="auto"/>
            <w:shd w:val="clear" w:color="auto" w:fill="auto"/>
            <w:vAlign w:val="bottom"/>
          </w:tcPr>
          <w:p w14:paraId="392C6E7B" w14:textId="77777777" w:rsidR="00980E5F" w:rsidRDefault="00980E5F">
            <w:pPr>
              <w:rPr>
                <w:rFonts w:ascii="宋体"/>
                <w:vanish/>
              </w:rPr>
            </w:pPr>
          </w:p>
        </w:tc>
        <w:tc>
          <w:tcPr>
            <w:tcW w:w="0" w:type="auto"/>
            <w:shd w:val="clear" w:color="auto" w:fill="auto"/>
            <w:vAlign w:val="bottom"/>
          </w:tcPr>
          <w:p w14:paraId="392C6E7C" w14:textId="77777777" w:rsidR="00980E5F" w:rsidRDefault="00980E5F">
            <w:pPr>
              <w:rPr>
                <w:rFonts w:ascii="宋体"/>
                <w:vanish/>
              </w:rPr>
            </w:pPr>
          </w:p>
        </w:tc>
      </w:tr>
      <w:tr w:rsidR="00980E5F" w14:paraId="392C6E84" w14:textId="77777777">
        <w:trPr>
          <w:hidden/>
        </w:trPr>
        <w:tc>
          <w:tcPr>
            <w:tcW w:w="0" w:type="auto"/>
            <w:gridSpan w:val="3"/>
            <w:shd w:val="clear" w:color="auto" w:fill="auto"/>
            <w:vAlign w:val="bottom"/>
          </w:tcPr>
          <w:p w14:paraId="392C6E7E" w14:textId="77777777" w:rsidR="00980E5F" w:rsidRDefault="00980E5F">
            <w:pPr>
              <w:rPr>
                <w:rFonts w:ascii="宋体"/>
                <w:vanish/>
              </w:rPr>
            </w:pPr>
          </w:p>
        </w:tc>
        <w:tc>
          <w:tcPr>
            <w:tcW w:w="0" w:type="auto"/>
            <w:gridSpan w:val="3"/>
            <w:shd w:val="clear" w:color="auto" w:fill="auto"/>
            <w:vAlign w:val="bottom"/>
          </w:tcPr>
          <w:p w14:paraId="392C6E7F" w14:textId="77777777" w:rsidR="00980E5F" w:rsidRDefault="00980E5F">
            <w:pPr>
              <w:rPr>
                <w:rFonts w:ascii="宋体"/>
                <w:vanish/>
              </w:rPr>
            </w:pPr>
          </w:p>
        </w:tc>
        <w:tc>
          <w:tcPr>
            <w:tcW w:w="0" w:type="auto"/>
            <w:gridSpan w:val="3"/>
            <w:shd w:val="clear" w:color="auto" w:fill="auto"/>
            <w:vAlign w:val="bottom"/>
          </w:tcPr>
          <w:p w14:paraId="392C6E80" w14:textId="77777777" w:rsidR="00980E5F" w:rsidRDefault="00980E5F">
            <w:pPr>
              <w:rPr>
                <w:rFonts w:ascii="宋体"/>
                <w:vanish/>
              </w:rPr>
            </w:pPr>
          </w:p>
        </w:tc>
        <w:tc>
          <w:tcPr>
            <w:tcW w:w="0" w:type="auto"/>
            <w:gridSpan w:val="3"/>
            <w:shd w:val="clear" w:color="auto" w:fill="auto"/>
            <w:vAlign w:val="bottom"/>
          </w:tcPr>
          <w:p w14:paraId="392C6E81" w14:textId="77777777" w:rsidR="00980E5F" w:rsidRDefault="00980E5F">
            <w:pPr>
              <w:rPr>
                <w:rFonts w:ascii="宋体"/>
                <w:vanish/>
              </w:rPr>
            </w:pPr>
          </w:p>
        </w:tc>
        <w:tc>
          <w:tcPr>
            <w:tcW w:w="0" w:type="auto"/>
            <w:shd w:val="clear" w:color="auto" w:fill="auto"/>
            <w:vAlign w:val="bottom"/>
          </w:tcPr>
          <w:p w14:paraId="392C6E82" w14:textId="77777777" w:rsidR="00980E5F" w:rsidRDefault="00980E5F">
            <w:pPr>
              <w:rPr>
                <w:rFonts w:ascii="宋体"/>
                <w:vanish/>
              </w:rPr>
            </w:pPr>
          </w:p>
        </w:tc>
        <w:tc>
          <w:tcPr>
            <w:tcW w:w="0" w:type="auto"/>
            <w:shd w:val="clear" w:color="auto" w:fill="auto"/>
            <w:vAlign w:val="bottom"/>
          </w:tcPr>
          <w:p w14:paraId="392C6E83" w14:textId="77777777" w:rsidR="00980E5F" w:rsidRDefault="00980E5F">
            <w:pPr>
              <w:rPr>
                <w:rFonts w:ascii="宋体"/>
                <w:vanish/>
              </w:rPr>
            </w:pPr>
          </w:p>
        </w:tc>
      </w:tr>
      <w:tr w:rsidR="00980E5F" w14:paraId="392C6E8B" w14:textId="77777777">
        <w:trPr>
          <w:hidden/>
        </w:trPr>
        <w:tc>
          <w:tcPr>
            <w:tcW w:w="0" w:type="auto"/>
            <w:gridSpan w:val="3"/>
            <w:shd w:val="clear" w:color="auto" w:fill="auto"/>
            <w:vAlign w:val="bottom"/>
          </w:tcPr>
          <w:p w14:paraId="392C6E85" w14:textId="77777777" w:rsidR="00980E5F" w:rsidRDefault="00980E5F">
            <w:pPr>
              <w:rPr>
                <w:rFonts w:ascii="宋体"/>
                <w:vanish/>
              </w:rPr>
            </w:pPr>
          </w:p>
        </w:tc>
        <w:tc>
          <w:tcPr>
            <w:tcW w:w="0" w:type="auto"/>
            <w:gridSpan w:val="3"/>
            <w:shd w:val="clear" w:color="auto" w:fill="auto"/>
            <w:vAlign w:val="bottom"/>
          </w:tcPr>
          <w:p w14:paraId="392C6E86" w14:textId="77777777" w:rsidR="00980E5F" w:rsidRDefault="00980E5F">
            <w:pPr>
              <w:rPr>
                <w:rFonts w:ascii="宋体"/>
                <w:vanish/>
              </w:rPr>
            </w:pPr>
          </w:p>
        </w:tc>
        <w:tc>
          <w:tcPr>
            <w:tcW w:w="0" w:type="auto"/>
            <w:gridSpan w:val="3"/>
            <w:shd w:val="clear" w:color="auto" w:fill="auto"/>
            <w:vAlign w:val="bottom"/>
          </w:tcPr>
          <w:p w14:paraId="392C6E87" w14:textId="77777777" w:rsidR="00980E5F" w:rsidRDefault="00980E5F">
            <w:pPr>
              <w:rPr>
                <w:rFonts w:ascii="宋体"/>
                <w:vanish/>
              </w:rPr>
            </w:pPr>
          </w:p>
        </w:tc>
        <w:tc>
          <w:tcPr>
            <w:tcW w:w="0" w:type="auto"/>
            <w:gridSpan w:val="3"/>
            <w:shd w:val="clear" w:color="auto" w:fill="auto"/>
            <w:vAlign w:val="bottom"/>
          </w:tcPr>
          <w:p w14:paraId="392C6E88" w14:textId="77777777" w:rsidR="00980E5F" w:rsidRDefault="00980E5F">
            <w:pPr>
              <w:rPr>
                <w:rFonts w:ascii="宋体"/>
                <w:vanish/>
              </w:rPr>
            </w:pPr>
          </w:p>
        </w:tc>
        <w:tc>
          <w:tcPr>
            <w:tcW w:w="0" w:type="auto"/>
            <w:shd w:val="clear" w:color="auto" w:fill="auto"/>
            <w:vAlign w:val="bottom"/>
          </w:tcPr>
          <w:p w14:paraId="392C6E89" w14:textId="77777777" w:rsidR="00980E5F" w:rsidRDefault="00980E5F">
            <w:pPr>
              <w:rPr>
                <w:rFonts w:ascii="宋体"/>
                <w:vanish/>
              </w:rPr>
            </w:pPr>
          </w:p>
        </w:tc>
        <w:tc>
          <w:tcPr>
            <w:tcW w:w="0" w:type="auto"/>
            <w:shd w:val="clear" w:color="auto" w:fill="auto"/>
            <w:vAlign w:val="bottom"/>
          </w:tcPr>
          <w:p w14:paraId="392C6E8A" w14:textId="77777777" w:rsidR="00980E5F" w:rsidRDefault="00980E5F">
            <w:pPr>
              <w:rPr>
                <w:rFonts w:ascii="宋体"/>
                <w:vanish/>
              </w:rPr>
            </w:pPr>
          </w:p>
        </w:tc>
      </w:tr>
      <w:tr w:rsidR="00980E5F" w14:paraId="392C6E94" w14:textId="77777777">
        <w:tc>
          <w:tcPr>
            <w:tcW w:w="0" w:type="auto"/>
            <w:gridSpan w:val="3"/>
            <w:shd w:val="clear" w:color="auto" w:fill="FFFFFF"/>
            <w:tcMar>
              <w:top w:w="40" w:type="dxa"/>
              <w:left w:w="245" w:type="dxa"/>
              <w:bottom w:w="40" w:type="dxa"/>
              <w:right w:w="20" w:type="dxa"/>
            </w:tcMar>
            <w:vAlign w:val="bottom"/>
          </w:tcPr>
          <w:p w14:paraId="392C6E8C" w14:textId="77777777" w:rsidR="00980E5F" w:rsidRDefault="00483613">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8D" w14:textId="77777777" w:rsidR="00980E5F" w:rsidRDefault="00483613">
            <w:pPr>
              <w:jc w:val="right"/>
              <w:textAlignment w:val="bottom"/>
            </w:pPr>
            <w:r>
              <w:rPr>
                <w:rFonts w:ascii="Arial" w:eastAsia="宋体" w:hAnsi="Arial" w:cs="Arial"/>
                <w:b/>
                <w:bCs/>
                <w:color w:val="000000"/>
                <w:sz w:val="15"/>
                <w:szCs w:val="15"/>
              </w:rPr>
              <w:t>11,864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8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90" w14:textId="77777777" w:rsidR="00980E5F" w:rsidRDefault="00483613">
            <w:pPr>
              <w:jc w:val="right"/>
              <w:textAlignment w:val="bottom"/>
            </w:pPr>
            <w:r>
              <w:rPr>
                <w:rFonts w:ascii="Arial" w:eastAsia="宋体" w:hAnsi="Arial" w:cs="Arial"/>
                <w:color w:val="000000"/>
                <w:sz w:val="15"/>
                <w:szCs w:val="15"/>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91" w14:textId="77777777" w:rsidR="00980E5F" w:rsidRDefault="00980E5F">
            <w:pPr>
              <w:jc w:val="right"/>
              <w:rPr>
                <w:rFonts w:ascii="宋体"/>
              </w:rPr>
            </w:pPr>
          </w:p>
        </w:tc>
        <w:tc>
          <w:tcPr>
            <w:tcW w:w="0" w:type="auto"/>
            <w:shd w:val="clear" w:color="auto" w:fill="auto"/>
            <w:vAlign w:val="bottom"/>
          </w:tcPr>
          <w:p w14:paraId="392C6E92" w14:textId="77777777" w:rsidR="00980E5F" w:rsidRDefault="00980E5F">
            <w:pPr>
              <w:rPr>
                <w:rFonts w:ascii="宋体"/>
                <w:vanish/>
              </w:rPr>
            </w:pPr>
          </w:p>
        </w:tc>
        <w:tc>
          <w:tcPr>
            <w:tcW w:w="0" w:type="auto"/>
            <w:shd w:val="clear" w:color="auto" w:fill="auto"/>
            <w:vAlign w:val="bottom"/>
          </w:tcPr>
          <w:p w14:paraId="392C6E93" w14:textId="77777777" w:rsidR="00980E5F" w:rsidRDefault="00980E5F">
            <w:pPr>
              <w:rPr>
                <w:rFonts w:ascii="宋体"/>
                <w:vanish/>
              </w:rPr>
            </w:pPr>
          </w:p>
        </w:tc>
      </w:tr>
      <w:tr w:rsidR="00980E5F" w14:paraId="392C6E9D" w14:textId="77777777">
        <w:tc>
          <w:tcPr>
            <w:tcW w:w="0" w:type="auto"/>
            <w:gridSpan w:val="3"/>
            <w:shd w:val="clear" w:color="auto" w:fill="CCEEFF"/>
            <w:tcMar>
              <w:top w:w="40" w:type="dxa"/>
              <w:left w:w="20" w:type="dxa"/>
              <w:bottom w:w="40" w:type="dxa"/>
              <w:right w:w="20" w:type="dxa"/>
            </w:tcMar>
            <w:vAlign w:val="bottom"/>
          </w:tcPr>
          <w:p w14:paraId="392C6E95" w14:textId="77777777" w:rsidR="00980E5F" w:rsidRDefault="00483613">
            <w:pP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E96" w14:textId="77777777" w:rsidR="00980E5F" w:rsidRDefault="00483613">
            <w:pPr>
              <w:jc w:val="right"/>
              <w:textAlignment w:val="bottom"/>
            </w:pPr>
            <w:r>
              <w:rPr>
                <w:rFonts w:ascii="Arial" w:eastAsia="宋体" w:hAnsi="Arial" w:cs="Arial"/>
                <w:b/>
                <w:bCs/>
                <w:color w:val="000000"/>
                <w:sz w:val="15"/>
                <w:szCs w:val="15"/>
              </w:rPr>
              <w:t>33,565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E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9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6E99" w14:textId="77777777" w:rsidR="00980E5F" w:rsidRDefault="00483613">
            <w:pPr>
              <w:jc w:val="right"/>
              <w:textAlignment w:val="bottom"/>
            </w:pPr>
            <w:r>
              <w:rPr>
                <w:rFonts w:ascii="Arial" w:eastAsia="宋体" w:hAnsi="Arial" w:cs="Arial"/>
                <w:color w:val="000000"/>
                <w:sz w:val="15"/>
                <w:szCs w:val="15"/>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E9A" w14:textId="77777777" w:rsidR="00980E5F" w:rsidRDefault="00980E5F">
            <w:pPr>
              <w:jc w:val="right"/>
              <w:rPr>
                <w:rFonts w:ascii="宋体"/>
              </w:rPr>
            </w:pPr>
          </w:p>
        </w:tc>
        <w:tc>
          <w:tcPr>
            <w:tcW w:w="0" w:type="auto"/>
            <w:shd w:val="clear" w:color="auto" w:fill="auto"/>
            <w:vAlign w:val="bottom"/>
          </w:tcPr>
          <w:p w14:paraId="392C6E9B" w14:textId="77777777" w:rsidR="00980E5F" w:rsidRDefault="00980E5F">
            <w:pPr>
              <w:rPr>
                <w:rFonts w:ascii="宋体"/>
                <w:vanish/>
              </w:rPr>
            </w:pPr>
          </w:p>
        </w:tc>
        <w:tc>
          <w:tcPr>
            <w:tcW w:w="0" w:type="auto"/>
            <w:shd w:val="clear" w:color="auto" w:fill="auto"/>
            <w:vAlign w:val="bottom"/>
          </w:tcPr>
          <w:p w14:paraId="392C6E9C" w14:textId="77777777" w:rsidR="00980E5F" w:rsidRDefault="00980E5F">
            <w:pPr>
              <w:rPr>
                <w:rFonts w:ascii="宋体"/>
                <w:vanish/>
              </w:rPr>
            </w:pPr>
          </w:p>
        </w:tc>
      </w:tr>
      <w:tr w:rsidR="00980E5F" w14:paraId="392C6EA6" w14:textId="77777777">
        <w:tc>
          <w:tcPr>
            <w:tcW w:w="0" w:type="auto"/>
            <w:gridSpan w:val="3"/>
            <w:shd w:val="clear" w:color="auto" w:fill="FFFFFF"/>
            <w:tcMar>
              <w:top w:w="40" w:type="dxa"/>
              <w:left w:w="20" w:type="dxa"/>
              <w:bottom w:w="40" w:type="dxa"/>
              <w:right w:w="20" w:type="dxa"/>
            </w:tcMar>
            <w:vAlign w:val="bottom"/>
          </w:tcPr>
          <w:p w14:paraId="392C6E9E" w14:textId="77777777" w:rsidR="00980E5F" w:rsidRDefault="00483613">
            <w:pPr>
              <w:textAlignment w:val="bottom"/>
            </w:pPr>
            <w:r>
              <w:rPr>
                <w:rFonts w:ascii="Arial" w:eastAsia="宋体" w:hAnsi="Arial" w:cs="Arial"/>
                <w:b/>
                <w:bCs/>
                <w:color w:val="000000"/>
                <w:sz w:val="15"/>
                <w:szCs w:val="15"/>
              </w:rPr>
              <w:t>Allowance for credit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9F" w14:textId="77777777" w:rsidR="00980E5F" w:rsidRDefault="00483613">
            <w:pPr>
              <w:jc w:val="right"/>
              <w:textAlignment w:val="bottom"/>
            </w:pPr>
            <w:r>
              <w:rPr>
                <w:rFonts w:ascii="Arial" w:eastAsia="宋体" w:hAnsi="Arial" w:cs="Arial"/>
                <w:b/>
                <w:bCs/>
                <w:color w:val="000000"/>
                <w:sz w:val="15"/>
                <w:szCs w:val="15"/>
              </w:rPr>
              <w:t>(95)</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E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6EA2" w14:textId="77777777" w:rsidR="00980E5F" w:rsidRDefault="00483613">
            <w:pPr>
              <w:jc w:val="right"/>
              <w:textAlignment w:val="bottom"/>
            </w:pPr>
            <w:r>
              <w:rPr>
                <w:rFonts w:ascii="Arial" w:eastAsia="宋体" w:hAnsi="Arial" w:cs="Arial"/>
                <w:color w:val="000000"/>
                <w:sz w:val="15"/>
                <w:szCs w:val="15"/>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6EA3" w14:textId="77777777" w:rsidR="00980E5F" w:rsidRDefault="00980E5F">
            <w:pPr>
              <w:jc w:val="right"/>
              <w:rPr>
                <w:rFonts w:ascii="宋体"/>
              </w:rPr>
            </w:pPr>
          </w:p>
        </w:tc>
        <w:tc>
          <w:tcPr>
            <w:tcW w:w="0" w:type="auto"/>
            <w:shd w:val="clear" w:color="auto" w:fill="auto"/>
            <w:vAlign w:val="bottom"/>
          </w:tcPr>
          <w:p w14:paraId="392C6EA4" w14:textId="77777777" w:rsidR="00980E5F" w:rsidRDefault="00980E5F">
            <w:pPr>
              <w:rPr>
                <w:rFonts w:ascii="宋体"/>
                <w:vanish/>
              </w:rPr>
            </w:pPr>
          </w:p>
        </w:tc>
        <w:tc>
          <w:tcPr>
            <w:tcW w:w="0" w:type="auto"/>
            <w:shd w:val="clear" w:color="auto" w:fill="auto"/>
            <w:vAlign w:val="bottom"/>
          </w:tcPr>
          <w:p w14:paraId="392C6EA5" w14:textId="77777777" w:rsidR="00980E5F" w:rsidRDefault="00980E5F">
            <w:pPr>
              <w:rPr>
                <w:rFonts w:ascii="宋体"/>
                <w:vanish/>
              </w:rPr>
            </w:pPr>
          </w:p>
        </w:tc>
      </w:tr>
      <w:tr w:rsidR="00980E5F" w14:paraId="392C6EB1" w14:textId="77777777">
        <w:tc>
          <w:tcPr>
            <w:tcW w:w="0" w:type="auto"/>
            <w:gridSpan w:val="3"/>
            <w:shd w:val="clear" w:color="auto" w:fill="CCEEFF"/>
            <w:tcMar>
              <w:top w:w="40" w:type="dxa"/>
              <w:left w:w="20" w:type="dxa"/>
              <w:bottom w:w="40" w:type="dxa"/>
              <w:right w:w="20" w:type="dxa"/>
            </w:tcMar>
            <w:vAlign w:val="bottom"/>
          </w:tcPr>
          <w:p w14:paraId="392C6EA7" w14:textId="77777777" w:rsidR="00980E5F" w:rsidRDefault="00483613">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EA8"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EA9" w14:textId="77777777" w:rsidR="00980E5F" w:rsidRDefault="00483613">
            <w:pPr>
              <w:jc w:val="right"/>
              <w:textAlignment w:val="bottom"/>
            </w:pPr>
            <w:r>
              <w:rPr>
                <w:rFonts w:ascii="Arial" w:eastAsia="宋体" w:hAnsi="Arial" w:cs="Arial"/>
                <w:b/>
                <w:bCs/>
                <w:color w:val="000000"/>
                <w:sz w:val="15"/>
                <w:szCs w:val="15"/>
              </w:rPr>
              <w:t>33,470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E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EA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EA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EAD" w14:textId="77777777" w:rsidR="00980E5F" w:rsidRDefault="00483613">
            <w:pPr>
              <w:jc w:val="right"/>
              <w:textAlignment w:val="bottom"/>
            </w:pPr>
            <w:r>
              <w:rPr>
                <w:rFonts w:ascii="Arial" w:eastAsia="宋体" w:hAnsi="Arial" w:cs="Arial"/>
                <w:color w:val="000000"/>
                <w:sz w:val="15"/>
                <w:szCs w:val="15"/>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EAE" w14:textId="77777777" w:rsidR="00980E5F" w:rsidRDefault="00980E5F">
            <w:pPr>
              <w:jc w:val="right"/>
              <w:rPr>
                <w:rFonts w:ascii="宋体"/>
              </w:rPr>
            </w:pPr>
          </w:p>
        </w:tc>
        <w:tc>
          <w:tcPr>
            <w:tcW w:w="0" w:type="auto"/>
            <w:shd w:val="clear" w:color="auto" w:fill="auto"/>
            <w:vAlign w:val="bottom"/>
          </w:tcPr>
          <w:p w14:paraId="392C6EAF" w14:textId="77777777" w:rsidR="00980E5F" w:rsidRDefault="00980E5F">
            <w:pPr>
              <w:rPr>
                <w:rFonts w:ascii="宋体"/>
                <w:vanish/>
              </w:rPr>
            </w:pPr>
          </w:p>
        </w:tc>
        <w:tc>
          <w:tcPr>
            <w:tcW w:w="0" w:type="auto"/>
            <w:shd w:val="clear" w:color="auto" w:fill="auto"/>
            <w:vAlign w:val="bottom"/>
          </w:tcPr>
          <w:p w14:paraId="392C6EB0" w14:textId="77777777" w:rsidR="00980E5F" w:rsidRDefault="00980E5F">
            <w:pPr>
              <w:rPr>
                <w:rFonts w:ascii="宋体"/>
                <w:vanish/>
              </w:rPr>
            </w:pPr>
          </w:p>
        </w:tc>
      </w:tr>
    </w:tbl>
    <w:p w14:paraId="392C6EB2"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980E5F" w14:paraId="392C6EB9" w14:textId="77777777">
        <w:tc>
          <w:tcPr>
            <w:tcW w:w="50" w:type="pct"/>
            <w:shd w:val="clear" w:color="auto" w:fill="auto"/>
            <w:vAlign w:val="bottom"/>
          </w:tcPr>
          <w:p w14:paraId="392C6EB3" w14:textId="77777777" w:rsidR="00980E5F" w:rsidRDefault="00980E5F">
            <w:pPr>
              <w:rPr>
                <w:rFonts w:ascii="宋体"/>
              </w:rPr>
            </w:pPr>
          </w:p>
        </w:tc>
        <w:tc>
          <w:tcPr>
            <w:tcW w:w="2327" w:type="pct"/>
            <w:shd w:val="clear" w:color="auto" w:fill="auto"/>
            <w:vAlign w:val="bottom"/>
          </w:tcPr>
          <w:p w14:paraId="392C6EB4" w14:textId="77777777" w:rsidR="00980E5F" w:rsidRDefault="00980E5F">
            <w:pPr>
              <w:rPr>
                <w:rFonts w:ascii="宋体"/>
              </w:rPr>
            </w:pPr>
          </w:p>
        </w:tc>
        <w:tc>
          <w:tcPr>
            <w:tcW w:w="5" w:type="pct"/>
            <w:shd w:val="clear" w:color="auto" w:fill="auto"/>
            <w:vAlign w:val="bottom"/>
          </w:tcPr>
          <w:p w14:paraId="392C6EB5" w14:textId="77777777" w:rsidR="00980E5F" w:rsidRDefault="00980E5F">
            <w:pPr>
              <w:rPr>
                <w:rFonts w:ascii="宋体"/>
              </w:rPr>
            </w:pPr>
          </w:p>
        </w:tc>
        <w:tc>
          <w:tcPr>
            <w:tcW w:w="50" w:type="pct"/>
            <w:shd w:val="clear" w:color="auto" w:fill="auto"/>
            <w:vAlign w:val="bottom"/>
          </w:tcPr>
          <w:p w14:paraId="392C6EB6" w14:textId="77777777" w:rsidR="00980E5F" w:rsidRDefault="00980E5F">
            <w:pPr>
              <w:rPr>
                <w:rFonts w:ascii="宋体"/>
              </w:rPr>
            </w:pPr>
          </w:p>
        </w:tc>
        <w:tc>
          <w:tcPr>
            <w:tcW w:w="2562" w:type="pct"/>
            <w:shd w:val="clear" w:color="auto" w:fill="auto"/>
            <w:vAlign w:val="bottom"/>
          </w:tcPr>
          <w:p w14:paraId="392C6EB7" w14:textId="77777777" w:rsidR="00980E5F" w:rsidRDefault="00980E5F">
            <w:pPr>
              <w:rPr>
                <w:rFonts w:ascii="宋体"/>
              </w:rPr>
            </w:pPr>
          </w:p>
        </w:tc>
        <w:tc>
          <w:tcPr>
            <w:tcW w:w="5" w:type="pct"/>
            <w:shd w:val="clear" w:color="auto" w:fill="auto"/>
            <w:vAlign w:val="bottom"/>
          </w:tcPr>
          <w:p w14:paraId="392C6EB8" w14:textId="77777777" w:rsidR="00980E5F" w:rsidRDefault="00980E5F">
            <w:pPr>
              <w:rPr>
                <w:rFonts w:ascii="宋体"/>
              </w:rPr>
            </w:pPr>
          </w:p>
        </w:tc>
      </w:tr>
      <w:tr w:rsidR="00980E5F" w14:paraId="392C6EB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6EB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EBB" w14:textId="77777777" w:rsidR="00980E5F" w:rsidRDefault="00980E5F">
            <w:pPr>
              <w:rPr>
                <w:rFonts w:ascii="宋体"/>
              </w:rPr>
            </w:pPr>
          </w:p>
        </w:tc>
      </w:tr>
    </w:tbl>
    <w:p w14:paraId="392C6EBD" w14:textId="77777777" w:rsidR="00980E5F" w:rsidRDefault="00483613">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392C6EBE" w14:textId="77777777" w:rsidR="00980E5F" w:rsidRDefault="00483613">
      <w:pPr>
        <w:spacing w:before="9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w:t>
      </w:r>
      <w:r>
        <w:rPr>
          <w:rFonts w:ascii="Arial" w:eastAsia="宋体" w:hAnsi="Arial" w:cs="Arial"/>
          <w:color w:val="000000"/>
          <w:sz w:val="14"/>
          <w:szCs w:val="14"/>
          <w:shd w:val="clear" w:color="auto" w:fill="FFFFFF"/>
        </w:rPr>
        <w:t>$8.17 billion</w:t>
      </w:r>
      <w:r>
        <w:rPr>
          <w:rFonts w:ascii="Arial" w:eastAsia="宋体" w:hAnsi="Arial" w:cs="Arial"/>
          <w:color w:val="000000"/>
          <w:sz w:val="14"/>
          <w:szCs w:val="14"/>
        </w:rPr>
        <w:t xml:space="preserve"> private equity capital call finance loans, </w:t>
      </w:r>
      <w:r>
        <w:rPr>
          <w:rFonts w:ascii="Arial" w:eastAsia="宋体" w:hAnsi="Arial" w:cs="Arial"/>
          <w:color w:val="000000"/>
          <w:sz w:val="14"/>
          <w:szCs w:val="14"/>
          <w:shd w:val="clear" w:color="auto" w:fill="FFFFFF"/>
        </w:rPr>
        <w:t>$6.48 billion</w:t>
      </w:r>
      <w:r>
        <w:rPr>
          <w:rFonts w:ascii="Arial" w:eastAsia="宋体" w:hAnsi="Arial" w:cs="Arial"/>
          <w:color w:val="000000"/>
          <w:sz w:val="14"/>
          <w:szCs w:val="14"/>
        </w:rPr>
        <w:t xml:space="preserve"> loans to real money funds, </w:t>
      </w:r>
      <w:r>
        <w:rPr>
          <w:rFonts w:ascii="Arial" w:eastAsia="宋体" w:hAnsi="Arial" w:cs="Arial"/>
          <w:color w:val="000000"/>
          <w:sz w:val="14"/>
          <w:szCs w:val="14"/>
          <w:shd w:val="clear" w:color="auto" w:fill="FFFFFF"/>
        </w:rPr>
        <w:t>$4.11 billion</w:t>
      </w:r>
      <w:r>
        <w:rPr>
          <w:rFonts w:ascii="Arial" w:eastAsia="宋体" w:hAnsi="Arial" w:cs="Arial"/>
          <w:color w:val="000000"/>
          <w:sz w:val="14"/>
          <w:szCs w:val="14"/>
        </w:rPr>
        <w:t xml:space="preserve"> collateralized loa</w:t>
      </w:r>
      <w:r>
        <w:rPr>
          <w:rFonts w:ascii="Arial" w:eastAsia="宋体" w:hAnsi="Arial" w:cs="Arial"/>
          <w:color w:val="000000"/>
          <w:sz w:val="14"/>
          <w:szCs w:val="14"/>
        </w:rPr>
        <w:t xml:space="preserve">n obligations in loan form and </w:t>
      </w:r>
      <w:r>
        <w:rPr>
          <w:rFonts w:ascii="Arial" w:eastAsia="宋体" w:hAnsi="Arial" w:cs="Arial"/>
          <w:color w:val="000000"/>
          <w:sz w:val="14"/>
          <w:szCs w:val="14"/>
          <w:shd w:val="clear" w:color="auto" w:fill="FFFFFF"/>
        </w:rPr>
        <w:t>$1.26 billion</w:t>
      </w:r>
      <w:r>
        <w:rPr>
          <w:rFonts w:ascii="Arial" w:eastAsia="宋体" w:hAnsi="Arial" w:cs="Arial"/>
          <w:color w:val="000000"/>
          <w:sz w:val="14"/>
          <w:szCs w:val="14"/>
        </w:rPr>
        <w:t xml:space="preserve"> loans to business development companies as of June 30, 2022, compared to $9.15 billion private equity capital call finance loans, $6.40 billion loans to real money funds, $2.91 billion collateralized loan obliga</w:t>
      </w:r>
      <w:r>
        <w:rPr>
          <w:rFonts w:ascii="Arial" w:eastAsia="宋体" w:hAnsi="Arial" w:cs="Arial"/>
          <w:color w:val="000000"/>
          <w:sz w:val="14"/>
          <w:szCs w:val="14"/>
        </w:rPr>
        <w:t>tions in loan form and $1.39 billion loans to business development companies as of December 31, 2021.</w:t>
      </w:r>
    </w:p>
    <w:p w14:paraId="392C6EBF" w14:textId="77777777" w:rsidR="00980E5F" w:rsidRDefault="00483613">
      <w:pPr>
        <w:spacing w:before="9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Includes</w:t>
      </w:r>
      <w:r>
        <w:rPr>
          <w:rFonts w:ascii="Arial" w:eastAsia="宋体" w:hAnsi="Arial" w:cs="Arial"/>
          <w:color w:val="000000"/>
          <w:sz w:val="14"/>
          <w:szCs w:val="14"/>
          <w:shd w:val="clear" w:color="auto" w:fill="FFFFFF"/>
        </w:rPr>
        <w:t xml:space="preserve"> $1.53 billion securities finance loans, $420 million loans to municipalities and $21 million other loans as of June 30, 2022</w:t>
      </w:r>
      <w:r>
        <w:rPr>
          <w:rFonts w:ascii="Arial" w:eastAsia="宋体" w:hAnsi="Arial" w:cs="Arial"/>
          <w:color w:val="000000"/>
          <w:sz w:val="14"/>
          <w:szCs w:val="14"/>
        </w:rPr>
        <w:t xml:space="preserve"> and $1.78 billio</w:t>
      </w:r>
      <w:r>
        <w:rPr>
          <w:rFonts w:ascii="Arial" w:eastAsia="宋体" w:hAnsi="Arial" w:cs="Arial"/>
          <w:color w:val="000000"/>
          <w:sz w:val="14"/>
          <w:szCs w:val="14"/>
        </w:rPr>
        <w:t>n securities finance loans, $455 million loans to municipalities and $23 million other loans as of December 31, 2021.</w:t>
      </w:r>
    </w:p>
    <w:p w14:paraId="392C6EC0" w14:textId="77777777" w:rsidR="00980E5F" w:rsidRDefault="00483613">
      <w:pPr>
        <w:ind w:firstLine="450"/>
        <w:jc w:val="right"/>
      </w:pPr>
      <w:r>
        <w:rPr>
          <w:rFonts w:ascii="Arial" w:eastAsia="宋体" w:hAnsi="Arial" w:cs="Arial"/>
          <w:color w:val="000000"/>
          <w:sz w:val="18"/>
          <w:szCs w:val="18"/>
        </w:rPr>
        <w:t>State Street Corporation | 71</w:t>
      </w:r>
    </w:p>
    <w:p w14:paraId="392C6EC1" w14:textId="77777777" w:rsidR="00980E5F" w:rsidRDefault="00980E5F">
      <w:pPr>
        <w:ind w:firstLine="450"/>
        <w:jc w:val="center"/>
      </w:pPr>
    </w:p>
    <w:p w14:paraId="392C6EC2" w14:textId="77777777" w:rsidR="00980E5F" w:rsidRDefault="00483613">
      <w:r>
        <w:pict w14:anchorId="392CBB15">
          <v:rect id="_x0000_i1095" style="width:415.3pt;height:1.5pt" o:hralign="center" o:hrstd="t" o:hr="t" fillcolor="#a0a0a0" stroked="f"/>
        </w:pict>
      </w:r>
    </w:p>
    <w:p w14:paraId="392C6EC3" w14:textId="77777777" w:rsidR="00980E5F" w:rsidRDefault="00483613">
      <w:pPr>
        <w:ind w:firstLine="450"/>
        <w:jc w:val="center"/>
      </w:pPr>
      <w:r>
        <w:rPr>
          <w:rFonts w:ascii="Arial" w:eastAsia="宋体" w:hAnsi="Arial" w:cs="Arial"/>
          <w:b/>
          <w:bCs/>
          <w:color w:val="000000"/>
          <w:sz w:val="20"/>
          <w:szCs w:val="20"/>
        </w:rPr>
        <w:t>STATE STREET CORPORATION</w:t>
      </w:r>
    </w:p>
    <w:p w14:paraId="392C6EC4"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6EC5" w14:textId="77777777" w:rsidR="00980E5F" w:rsidRDefault="00483613">
      <w:pPr>
        <w:ind w:firstLine="450"/>
        <w:jc w:val="center"/>
      </w:pPr>
      <w:r>
        <w:rPr>
          <w:rFonts w:ascii="Arial" w:eastAsia="宋体" w:hAnsi="Arial" w:cs="Arial"/>
          <w:b/>
          <w:bCs/>
          <w:color w:val="000000"/>
          <w:sz w:val="20"/>
          <w:szCs w:val="20"/>
        </w:rPr>
        <w:t>(UNAUDITED)</w:t>
      </w:r>
    </w:p>
    <w:p w14:paraId="392C6EC6" w14:textId="77777777" w:rsidR="00980E5F" w:rsidRDefault="00483613">
      <w:pPr>
        <w:spacing w:before="60"/>
        <w:ind w:firstLine="450"/>
        <w:jc w:val="both"/>
        <w:textAlignment w:val="top"/>
      </w:pPr>
      <w:r>
        <w:rPr>
          <w:rFonts w:ascii="Arial" w:eastAsia="宋体" w:hAnsi="Arial" w:cs="Arial"/>
          <w:color w:val="000000"/>
          <w:sz w:val="20"/>
          <w:szCs w:val="20"/>
        </w:rPr>
        <w:t xml:space="preserve">The commercial </w:t>
      </w:r>
      <w:r>
        <w:rPr>
          <w:rFonts w:ascii="Arial" w:eastAsia="宋体" w:hAnsi="Arial" w:cs="Arial"/>
          <w:color w:val="000000"/>
          <w:sz w:val="20"/>
          <w:szCs w:val="20"/>
        </w:rPr>
        <w:t>and financial segment is composed of primarily fund finance loans, purchased leveraged loans, overdrafts and other loans. Fund finance loans are composed of revolving credit lines providing liquidity and leverage to mutual fund and private equity fund clie</w:t>
      </w:r>
      <w:r>
        <w:rPr>
          <w:rFonts w:ascii="Arial" w:eastAsia="宋体" w:hAnsi="Arial" w:cs="Arial"/>
          <w:color w:val="000000"/>
          <w:sz w:val="20"/>
          <w:szCs w:val="20"/>
        </w:rPr>
        <w:t xml:space="preserve">nts, as well as collateralized loan obligations in loan form. </w:t>
      </w:r>
    </w:p>
    <w:p w14:paraId="392C6EC7" w14:textId="77777777" w:rsidR="00980E5F" w:rsidRDefault="00483613">
      <w:pPr>
        <w:spacing w:before="60"/>
        <w:ind w:firstLine="450"/>
        <w:jc w:val="both"/>
        <w:textAlignment w:val="top"/>
      </w:pPr>
      <w:r>
        <w:rPr>
          <w:rFonts w:ascii="Arial" w:eastAsia="宋体" w:hAnsi="Arial" w:cs="Arial"/>
          <w:color w:val="000000"/>
          <w:sz w:val="20"/>
          <w:szCs w:val="20"/>
        </w:rPr>
        <w:t xml:space="preserve">Certain loans are pledged as collateral for access to the Federal Reserve's discount window. As of June 30, 2022 and December 31, 2021, the loans pledged as collateral totaled $10.92 </w:t>
      </w:r>
      <w:r>
        <w:rPr>
          <w:rFonts w:ascii="Arial" w:eastAsia="宋体" w:hAnsi="Arial" w:cs="Arial"/>
          <w:color w:val="000000"/>
          <w:sz w:val="20"/>
          <w:szCs w:val="20"/>
        </w:rPr>
        <w:t>billion and $10.08 billion, respectively.</w:t>
      </w:r>
    </w:p>
    <w:p w14:paraId="392C6EC8" w14:textId="77777777" w:rsidR="00980E5F" w:rsidRDefault="00483613">
      <w:pPr>
        <w:spacing w:before="60"/>
        <w:ind w:firstLine="450"/>
        <w:jc w:val="both"/>
        <w:textAlignment w:val="top"/>
      </w:pPr>
      <w:r>
        <w:rPr>
          <w:rFonts w:ascii="Arial" w:eastAsia="宋体" w:hAnsi="Arial" w:cs="Arial"/>
          <w:color w:val="000000"/>
          <w:sz w:val="20"/>
          <w:szCs w:val="20"/>
        </w:rPr>
        <w:t xml:space="preserve">As of both June 30, 2022 and December 31, 2021, we had no loans on non-accrual status. </w:t>
      </w:r>
    </w:p>
    <w:p w14:paraId="392C6EC9" w14:textId="77777777" w:rsidR="00980E5F" w:rsidRDefault="00483613">
      <w:pPr>
        <w:spacing w:before="60"/>
        <w:ind w:firstLine="450"/>
        <w:jc w:val="both"/>
        <w:textAlignment w:val="top"/>
      </w:pPr>
      <w:r>
        <w:rPr>
          <w:rFonts w:ascii="Arial" w:eastAsia="宋体" w:hAnsi="Arial" w:cs="Arial"/>
          <w:color w:val="000000"/>
          <w:sz w:val="20"/>
          <w:szCs w:val="20"/>
        </w:rPr>
        <w:t>We sold $1.63 billion of loans in the second quarter of 2022, of which $155 million remained unsettled and was held for sale a</w:t>
      </w:r>
      <w:r>
        <w:rPr>
          <w:rFonts w:ascii="Arial" w:eastAsia="宋体" w:hAnsi="Arial" w:cs="Arial"/>
          <w:color w:val="000000"/>
          <w:sz w:val="20"/>
          <w:szCs w:val="20"/>
        </w:rPr>
        <w:t xml:space="preserve">s of June 30, 2022. </w:t>
      </w:r>
    </w:p>
    <w:p w14:paraId="392C6ECA" w14:textId="77777777" w:rsidR="00980E5F" w:rsidRDefault="00483613">
      <w:pPr>
        <w:spacing w:before="60"/>
        <w:ind w:firstLine="450"/>
        <w:jc w:val="both"/>
        <w:textAlignment w:val="top"/>
      </w:pPr>
      <w:r>
        <w:rPr>
          <w:rFonts w:ascii="Arial" w:eastAsia="宋体" w:hAnsi="Arial" w:cs="Arial"/>
          <w:color w:val="000000"/>
          <w:sz w:val="20"/>
          <w:szCs w:val="20"/>
        </w:rPr>
        <w:t xml:space="preserve">In certain circumstances, we restructure troubled loans by granting concessions to borrowers experiencing financial difficulty. Once restructured, the loans are generally considered impaired until their maturity, regardless of whether </w:t>
      </w:r>
      <w:r>
        <w:rPr>
          <w:rFonts w:ascii="Arial" w:eastAsia="宋体" w:hAnsi="Arial" w:cs="Arial"/>
          <w:color w:val="000000"/>
          <w:sz w:val="20"/>
          <w:szCs w:val="20"/>
        </w:rPr>
        <w:t>the borrowers perform under the modified terms of the loans. There were no loans modified in troubled debt restructurings during the second quarter of 2022.</w:t>
      </w:r>
    </w:p>
    <w:p w14:paraId="392C6ECB" w14:textId="77777777" w:rsidR="00980E5F" w:rsidRDefault="00483613">
      <w:pPr>
        <w:spacing w:before="60"/>
        <w:jc w:val="both"/>
        <w:textAlignment w:val="top"/>
      </w:pPr>
      <w:r>
        <w:rPr>
          <w:rFonts w:ascii="Arial" w:eastAsia="宋体" w:hAnsi="Arial" w:cs="Arial"/>
          <w:b/>
          <w:bCs/>
          <w:i/>
          <w:iCs/>
          <w:color w:val="000000"/>
          <w:sz w:val="20"/>
          <w:szCs w:val="20"/>
        </w:rPr>
        <w:t>Allowance for Credit Losses</w:t>
      </w:r>
    </w:p>
    <w:p w14:paraId="392C6ECC" w14:textId="77777777" w:rsidR="00980E5F" w:rsidRDefault="00483613">
      <w:pPr>
        <w:spacing w:before="60"/>
        <w:ind w:firstLine="450"/>
        <w:jc w:val="both"/>
        <w:textAlignment w:val="top"/>
      </w:pPr>
      <w:r>
        <w:rPr>
          <w:rFonts w:ascii="Arial" w:eastAsia="宋体" w:hAnsi="Arial" w:cs="Arial"/>
          <w:color w:val="000000"/>
          <w:sz w:val="20"/>
          <w:szCs w:val="20"/>
        </w:rPr>
        <w:t>We recognize an allowance for credit losses in accordance with ASC 326 for certain on-balance sheet credit exposures, including financial assets held at amortized cost and off-balance sheet commitments. The allowance for credit losses is reviewed on a regu</w:t>
      </w:r>
      <w:r>
        <w:rPr>
          <w:rFonts w:ascii="Arial" w:eastAsia="宋体" w:hAnsi="Arial" w:cs="Arial"/>
          <w:color w:val="000000"/>
          <w:sz w:val="20"/>
          <w:szCs w:val="20"/>
        </w:rPr>
        <w:t>lar basis, and any provision for credit losses is recorded to reflect the amount necessary to maintain the allowance for expected credit losses at a level which represents what management does not expect to recover due to expected credit losses. For additi</w:t>
      </w:r>
      <w:r>
        <w:rPr>
          <w:rFonts w:ascii="Arial" w:eastAsia="宋体" w:hAnsi="Arial" w:cs="Arial"/>
          <w:color w:val="000000"/>
          <w:sz w:val="20"/>
          <w:szCs w:val="20"/>
        </w:rPr>
        <w:t xml:space="preserve">onal discussion on the allowance for credit losses for investment securities, please refer to Note 3, to the consolidated financial statements in this Form 10-Q. </w:t>
      </w:r>
    </w:p>
    <w:p w14:paraId="392C6ECD" w14:textId="77777777" w:rsidR="00980E5F" w:rsidRDefault="00483613">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w:t>
      </w:r>
      <w:r>
        <w:rPr>
          <w:rFonts w:ascii="Arial" w:eastAsia="宋体" w:hAnsi="Arial" w:cs="Arial"/>
          <w:color w:val="000000"/>
          <w:sz w:val="20"/>
          <w:szCs w:val="20"/>
        </w:rPr>
        <w:t xml:space="preserve">me. The allowance for credit losses for financial assets (excluding investment securities, as discussed in Note 3) represents the portion of the amortized cost basis, including accrued interest for financial assets held at amortized cost, which management </w:t>
      </w:r>
      <w:r>
        <w:rPr>
          <w:rFonts w:ascii="Arial" w:eastAsia="宋体" w:hAnsi="Arial" w:cs="Arial"/>
          <w:color w:val="000000"/>
          <w:sz w:val="20"/>
          <w:szCs w:val="20"/>
        </w:rPr>
        <w:t>does not expect to recover due to expected credit losses and is presented on the statement of condition as an offset to the amortized cost basis. The accrued interest balance is presented separately on the statement of condition within accrued interest and</w:t>
      </w:r>
      <w:r>
        <w:rPr>
          <w:rFonts w:ascii="Arial" w:eastAsia="宋体" w:hAnsi="Arial" w:cs="Arial"/>
          <w:color w:val="000000"/>
          <w:sz w:val="20"/>
          <w:szCs w:val="20"/>
        </w:rPr>
        <w:t xml:space="preserve"> fees receivable. The allowance for off-balance sheet commitments is presented within other liabilities.</w:t>
      </w:r>
    </w:p>
    <w:p w14:paraId="392C6ECE" w14:textId="77777777" w:rsidR="00980E5F" w:rsidRDefault="00483613">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w:t>
      </w:r>
      <w:r>
        <w:rPr>
          <w:rFonts w:ascii="Arial" w:eastAsia="宋体" w:hAnsi="Arial" w:cs="Arial"/>
          <w:color w:val="000000"/>
          <w:sz w:val="20"/>
          <w:szCs w:val="20"/>
        </w:rPr>
        <w:t>ult methods, and other quantitative or qualitative methods as determined by us. The method used to estimate expected credit losses may vary depending on the type of financial asset, our ability to predict the timing of cash flows, and the information avail</w:t>
      </w:r>
      <w:r>
        <w:rPr>
          <w:rFonts w:ascii="Arial" w:eastAsia="宋体" w:hAnsi="Arial" w:cs="Arial"/>
          <w:color w:val="000000"/>
          <w:sz w:val="20"/>
          <w:szCs w:val="20"/>
        </w:rPr>
        <w:t>able to us.</w:t>
      </w:r>
    </w:p>
    <w:p w14:paraId="392C6ECF" w14:textId="77777777" w:rsidR="00980E5F" w:rsidRDefault="00483613">
      <w:pPr>
        <w:spacing w:before="60"/>
        <w:ind w:firstLine="450"/>
        <w:jc w:val="both"/>
        <w:textAlignment w:val="top"/>
      </w:pPr>
      <w:r>
        <w:rPr>
          <w:rFonts w:ascii="Arial" w:eastAsia="宋体" w:hAnsi="Arial" w:cs="Arial"/>
          <w:color w:val="000000"/>
          <w:sz w:val="20"/>
          <w:szCs w:val="20"/>
        </w:rPr>
        <w:t>We measure expected credit losses of financial assets on a collective (pool) basis when similar risk characteristic exist. Each reporting period, we assess whether the assets in the pool continue to display similar risk characteristics.</w:t>
      </w:r>
    </w:p>
    <w:p w14:paraId="392C6ED0" w14:textId="77777777" w:rsidR="00980E5F" w:rsidRDefault="00483613">
      <w:pPr>
        <w:spacing w:before="60"/>
        <w:ind w:firstLine="450"/>
        <w:jc w:val="both"/>
        <w:textAlignment w:val="top"/>
      </w:pPr>
      <w:r>
        <w:rPr>
          <w:rFonts w:ascii="Arial" w:eastAsia="宋体" w:hAnsi="Arial" w:cs="Arial"/>
          <w:color w:val="000000"/>
          <w:sz w:val="20"/>
          <w:szCs w:val="20"/>
        </w:rPr>
        <w:t>For a f</w:t>
      </w:r>
      <w:r>
        <w:rPr>
          <w:rFonts w:ascii="Arial" w:eastAsia="宋体" w:hAnsi="Arial" w:cs="Arial"/>
          <w:color w:val="000000"/>
          <w:sz w:val="20"/>
          <w:szCs w:val="20"/>
        </w:rPr>
        <w:t>inancial asset that does not share risk characteristics with other assets, expected credit losses are measured separately using one or more of the methods noted above. As of June 30, 2022, we had 5 loans for $130 million in the commercial and financial seg</w:t>
      </w:r>
      <w:r>
        <w:rPr>
          <w:rFonts w:ascii="Arial" w:eastAsia="宋体" w:hAnsi="Arial" w:cs="Arial"/>
          <w:color w:val="000000"/>
          <w:sz w:val="20"/>
          <w:szCs w:val="20"/>
        </w:rPr>
        <w:t>ment that no longer met the similar risk characteristics of their collective pool. We recorded an allowance for credit losses of $7 million as of June 30, 2022 on these loans.</w:t>
      </w:r>
    </w:p>
    <w:p w14:paraId="392C6ED1" w14:textId="77777777" w:rsidR="00980E5F" w:rsidRDefault="00483613">
      <w:pPr>
        <w:spacing w:before="60"/>
        <w:ind w:firstLine="450"/>
        <w:jc w:val="both"/>
        <w:textAlignment w:val="top"/>
      </w:pPr>
      <w:r>
        <w:rPr>
          <w:rFonts w:ascii="Arial" w:eastAsia="宋体" w:hAnsi="Arial" w:cs="Arial"/>
          <w:color w:val="000000"/>
          <w:sz w:val="20"/>
          <w:szCs w:val="20"/>
        </w:rPr>
        <w:t>Determining the appropriateness of the allowance is complex and requires judgmen</w:t>
      </w:r>
      <w:r>
        <w:rPr>
          <w:rFonts w:ascii="Arial" w:eastAsia="宋体" w:hAnsi="Arial" w:cs="Arial"/>
          <w:color w:val="000000"/>
          <w:sz w:val="20"/>
          <w:szCs w:val="20"/>
        </w:rPr>
        <w:t xml:space="preserve">t by management about the effect of matters that are inherently uncertain. In future periods, factors and forecasts then prevailing may result in significant changes in the allowance for credit losses in those future periods. </w:t>
      </w:r>
    </w:p>
    <w:p w14:paraId="392C6ED2" w14:textId="77777777" w:rsidR="00980E5F" w:rsidRDefault="00483613">
      <w:pPr>
        <w:spacing w:before="60"/>
        <w:ind w:firstLine="450"/>
        <w:jc w:val="both"/>
        <w:textAlignment w:val="top"/>
      </w:pPr>
      <w:r>
        <w:rPr>
          <w:rFonts w:ascii="Arial" w:eastAsia="宋体" w:hAnsi="Arial" w:cs="Arial"/>
          <w:color w:val="000000"/>
          <w:sz w:val="20"/>
          <w:szCs w:val="20"/>
        </w:rPr>
        <w:t>We estimate credit losses ove</w:t>
      </w:r>
      <w:r>
        <w:rPr>
          <w:rFonts w:ascii="Arial" w:eastAsia="宋体" w:hAnsi="Arial" w:cs="Arial"/>
          <w:color w:val="000000"/>
          <w:sz w:val="20"/>
          <w:szCs w:val="20"/>
        </w:rPr>
        <w:t>r the contractual life of the financial asset, while factoring in prepayment activity, where supported by data, over a 3 year reasonable and supportable forecast period. We utilize a baseline, upside and downside scenario which are applied based on a proba</w:t>
      </w:r>
      <w:r>
        <w:rPr>
          <w:rFonts w:ascii="Arial" w:eastAsia="宋体" w:hAnsi="Arial" w:cs="Arial"/>
          <w:color w:val="000000"/>
          <w:sz w:val="20"/>
          <w:szCs w:val="20"/>
        </w:rPr>
        <w:t>bility weighting, in order to better reflect management’s expectation of expected credit losses given existing market conditions and the changes in the economic environment. The multiple scenarios are based on a three year horizon (or less depending on con</w:t>
      </w:r>
      <w:r>
        <w:rPr>
          <w:rFonts w:ascii="Arial" w:eastAsia="宋体" w:hAnsi="Arial" w:cs="Arial"/>
          <w:color w:val="000000"/>
          <w:sz w:val="20"/>
          <w:szCs w:val="20"/>
        </w:rPr>
        <w:t xml:space="preserve">tractual maturity) and then revert linearly over a two year period to a ten-year historical average thereafter. The contractual term excludes expected extensions, renewals and modifications, but includes prepayment assumptions where applicable. </w:t>
      </w:r>
    </w:p>
    <w:p w14:paraId="392C6ED3" w14:textId="77777777" w:rsidR="00980E5F" w:rsidRDefault="00483613">
      <w:pPr>
        <w:spacing w:before="60"/>
        <w:ind w:firstLine="450"/>
        <w:jc w:val="both"/>
        <w:textAlignment w:val="top"/>
      </w:pPr>
      <w:r>
        <w:rPr>
          <w:rFonts w:ascii="Arial" w:eastAsia="宋体" w:hAnsi="Arial" w:cs="Arial"/>
          <w:color w:val="000000"/>
          <w:sz w:val="20"/>
          <w:szCs w:val="20"/>
        </w:rPr>
        <w:t>As part of</w:t>
      </w:r>
      <w:r>
        <w:rPr>
          <w:rFonts w:ascii="Arial" w:eastAsia="宋体" w:hAnsi="Arial" w:cs="Arial"/>
          <w:color w:val="000000"/>
          <w:sz w:val="20"/>
          <w:szCs w:val="20"/>
        </w:rPr>
        <w:t xml:space="preserve"> our allowance methodology, we establish qualitative reserves to address any risks inherent in our portfolio that are not addressed through our quantitative reserve assessment. These factors may relate to, among other things, legislation changes or new reg</w:t>
      </w:r>
      <w:r>
        <w:rPr>
          <w:rFonts w:ascii="Arial" w:eastAsia="宋体" w:hAnsi="Arial" w:cs="Arial"/>
          <w:color w:val="000000"/>
          <w:sz w:val="20"/>
          <w:szCs w:val="20"/>
        </w:rPr>
        <w:t xml:space="preserve">ulation, credit concentration, loan markets, scenario weighting and overall model limitations. The qualitative adjustments are applied to our portfolio of financial instruments under the </w:t>
      </w:r>
    </w:p>
    <w:p w14:paraId="392C6ED4" w14:textId="77777777" w:rsidR="00980E5F" w:rsidRDefault="00483613">
      <w:pPr>
        <w:ind w:firstLine="450"/>
        <w:jc w:val="right"/>
      </w:pPr>
      <w:r>
        <w:rPr>
          <w:rFonts w:ascii="Arial" w:eastAsia="宋体" w:hAnsi="Arial" w:cs="Arial"/>
          <w:color w:val="000000"/>
          <w:sz w:val="18"/>
          <w:szCs w:val="18"/>
        </w:rPr>
        <w:t>State Street Corporation | 72</w:t>
      </w:r>
    </w:p>
    <w:p w14:paraId="392C6ED5" w14:textId="77777777" w:rsidR="00980E5F" w:rsidRDefault="00980E5F">
      <w:pPr>
        <w:ind w:firstLine="450"/>
        <w:jc w:val="center"/>
      </w:pPr>
    </w:p>
    <w:p w14:paraId="392C6ED6" w14:textId="77777777" w:rsidR="00980E5F" w:rsidRDefault="00483613">
      <w:r>
        <w:pict w14:anchorId="392CBB16">
          <v:rect id="_x0000_i1096" style="width:415.3pt;height:1.5pt" o:hralign="center" o:hrstd="t" o:hr="t" fillcolor="#a0a0a0" stroked="f"/>
        </w:pict>
      </w:r>
    </w:p>
    <w:p w14:paraId="392C6ED7" w14:textId="77777777" w:rsidR="00980E5F" w:rsidRDefault="00483613">
      <w:pPr>
        <w:ind w:firstLine="450"/>
        <w:jc w:val="center"/>
      </w:pPr>
      <w:r>
        <w:rPr>
          <w:rFonts w:ascii="Arial" w:eastAsia="宋体" w:hAnsi="Arial" w:cs="Arial"/>
          <w:b/>
          <w:bCs/>
          <w:color w:val="000000"/>
          <w:sz w:val="20"/>
          <w:szCs w:val="20"/>
        </w:rPr>
        <w:t>STATE STREET CORPORATION</w:t>
      </w:r>
    </w:p>
    <w:p w14:paraId="392C6ED8" w14:textId="77777777" w:rsidR="00980E5F" w:rsidRDefault="00483613">
      <w:pPr>
        <w:ind w:firstLine="450"/>
        <w:jc w:val="center"/>
      </w:pPr>
      <w:r>
        <w:rPr>
          <w:rFonts w:ascii="Arial" w:eastAsia="宋体" w:hAnsi="Arial" w:cs="Arial"/>
          <w:b/>
          <w:bCs/>
          <w:color w:val="000000"/>
          <w:sz w:val="20"/>
          <w:szCs w:val="20"/>
        </w:rPr>
        <w:t xml:space="preserve">CONDENSED </w:t>
      </w:r>
      <w:r>
        <w:rPr>
          <w:rFonts w:ascii="Arial" w:eastAsia="宋体" w:hAnsi="Arial" w:cs="Arial"/>
          <w:b/>
          <w:bCs/>
          <w:color w:val="000000"/>
          <w:sz w:val="20"/>
          <w:szCs w:val="20"/>
        </w:rPr>
        <w:t>NOTES TO CONSOLIDATED FINANCIAL STATEMENTS</w:t>
      </w:r>
    </w:p>
    <w:p w14:paraId="392C6ED9" w14:textId="77777777" w:rsidR="00980E5F" w:rsidRDefault="00483613">
      <w:pPr>
        <w:ind w:firstLine="450"/>
        <w:jc w:val="center"/>
      </w:pPr>
      <w:r>
        <w:rPr>
          <w:rFonts w:ascii="Arial" w:eastAsia="宋体" w:hAnsi="Arial" w:cs="Arial"/>
          <w:b/>
          <w:bCs/>
          <w:color w:val="000000"/>
          <w:sz w:val="20"/>
          <w:szCs w:val="20"/>
        </w:rPr>
        <w:t>(UNAUDITED)</w:t>
      </w:r>
    </w:p>
    <w:p w14:paraId="392C6EDA" w14:textId="77777777" w:rsidR="00980E5F" w:rsidRDefault="00483613">
      <w:pPr>
        <w:spacing w:before="60"/>
        <w:jc w:val="both"/>
        <w:textAlignment w:val="top"/>
      </w:pPr>
      <w:r>
        <w:rPr>
          <w:rFonts w:ascii="Arial" w:eastAsia="宋体" w:hAnsi="Arial" w:cs="Arial"/>
          <w:color w:val="000000"/>
          <w:sz w:val="20"/>
          <w:szCs w:val="20"/>
        </w:rPr>
        <w:t>existing governance structure and are inherently judgmental.</w:t>
      </w:r>
    </w:p>
    <w:p w14:paraId="392C6EDB" w14:textId="77777777" w:rsidR="00980E5F" w:rsidRDefault="00483613">
      <w:pPr>
        <w:spacing w:before="60"/>
        <w:ind w:firstLine="450"/>
        <w:jc w:val="both"/>
        <w:textAlignment w:val="top"/>
      </w:pPr>
      <w:r>
        <w:rPr>
          <w:rFonts w:ascii="Arial" w:eastAsia="宋体" w:hAnsi="Arial" w:cs="Arial"/>
          <w:color w:val="000000"/>
          <w:sz w:val="20"/>
          <w:szCs w:val="20"/>
        </w:rPr>
        <w:t xml:space="preserve">For additional information on the allowance for credit losses, refer to pages 149 to 154 in Note 4 to the consolidated financial statements </w:t>
      </w:r>
      <w:r>
        <w:rPr>
          <w:rFonts w:ascii="Arial" w:eastAsia="宋体" w:hAnsi="Arial" w:cs="Arial"/>
          <w:color w:val="000000"/>
          <w:sz w:val="20"/>
          <w:szCs w:val="20"/>
        </w:rPr>
        <w:t>included under item 8, Financial Statements and Supplementary Data, in our 2021 Form 10-K.</w:t>
      </w:r>
    </w:p>
    <w:p w14:paraId="392C6EDC" w14:textId="77777777" w:rsidR="00980E5F" w:rsidRDefault="00483613">
      <w:pPr>
        <w:spacing w:before="90"/>
        <w:jc w:val="both"/>
        <w:textAlignment w:val="top"/>
      </w:pPr>
      <w:r>
        <w:rPr>
          <w:rFonts w:ascii="Arial" w:eastAsia="宋体" w:hAnsi="Arial" w:cs="Arial"/>
          <w:b/>
          <w:bCs/>
          <w:color w:val="000000"/>
          <w:sz w:val="20"/>
          <w:szCs w:val="20"/>
        </w:rPr>
        <w:t>Credit Quality</w:t>
      </w:r>
    </w:p>
    <w:p w14:paraId="392C6EDD" w14:textId="77777777" w:rsidR="00980E5F" w:rsidRDefault="00483613">
      <w:pPr>
        <w:spacing w:before="60"/>
        <w:ind w:firstLine="450"/>
        <w:jc w:val="both"/>
        <w:textAlignment w:val="top"/>
      </w:pPr>
      <w:r>
        <w:rPr>
          <w:rFonts w:ascii="Arial" w:eastAsia="宋体" w:hAnsi="Arial" w:cs="Arial"/>
          <w:color w:val="000000"/>
          <w:sz w:val="20"/>
          <w:szCs w:val="20"/>
        </w:rPr>
        <w:t>Credit quality for financial assets held at amortized cost is continuously monitored by management and is reflected within the allowance for credit lo</w:t>
      </w:r>
      <w:r>
        <w:rPr>
          <w:rFonts w:ascii="Arial" w:eastAsia="宋体" w:hAnsi="Arial" w:cs="Arial"/>
          <w:color w:val="000000"/>
          <w:sz w:val="20"/>
          <w:szCs w:val="20"/>
        </w:rPr>
        <w:t xml:space="preserve">sses. </w:t>
      </w:r>
    </w:p>
    <w:p w14:paraId="392C6EDE" w14:textId="77777777" w:rsidR="00980E5F" w:rsidRDefault="00483613">
      <w:pPr>
        <w:spacing w:before="60"/>
        <w:ind w:firstLine="450"/>
        <w:jc w:val="both"/>
        <w:textAlignment w:val="top"/>
      </w:pPr>
      <w:r>
        <w:rPr>
          <w:rFonts w:ascii="Arial" w:eastAsia="宋体" w:hAnsi="Arial" w:cs="Arial"/>
          <w:color w:val="000000"/>
          <w:sz w:val="20"/>
          <w:szCs w:val="20"/>
        </w:rPr>
        <w:t xml:space="preserve">We use an internal risk-rating system to assess our risk of credit loss for each loan. This risk-rating process incorporates the use of risk-rating tools in conjunction with management judgment. Qualitative and quantitative inputs are captured in a </w:t>
      </w:r>
      <w:r>
        <w:rPr>
          <w:rFonts w:ascii="Arial" w:eastAsia="宋体" w:hAnsi="Arial" w:cs="Arial"/>
          <w:color w:val="000000"/>
          <w:sz w:val="20"/>
          <w:szCs w:val="20"/>
        </w:rPr>
        <w:t xml:space="preserve">systematic manner, and following a formal review and approval process, an internal credit rating based on our credit scale is assigned. </w:t>
      </w:r>
    </w:p>
    <w:p w14:paraId="392C6EDF" w14:textId="77777777" w:rsidR="00980E5F" w:rsidRDefault="00483613">
      <w:pPr>
        <w:spacing w:before="60"/>
        <w:ind w:firstLine="450"/>
        <w:jc w:val="both"/>
        <w:textAlignment w:val="top"/>
      </w:pPr>
      <w:r>
        <w:rPr>
          <w:rFonts w:ascii="Arial" w:eastAsia="宋体" w:hAnsi="Arial" w:cs="Arial"/>
          <w:color w:val="000000"/>
          <w:sz w:val="20"/>
          <w:szCs w:val="20"/>
        </w:rPr>
        <w:t>When computing allowance levels, credit loss assumptions are estimated using a model that categorizes asset pools based</w:t>
      </w:r>
      <w:r>
        <w:rPr>
          <w:rFonts w:ascii="Arial" w:eastAsia="宋体" w:hAnsi="Arial" w:cs="Arial"/>
          <w:color w:val="000000"/>
          <w:sz w:val="20"/>
          <w:szCs w:val="20"/>
        </w:rPr>
        <w:t xml:space="preserve"> on loss history, delinquency status and other credit trends and risk characteristics, including current conditions and reasonable and supportable forecasts about the future. Determining the appropriateness of the allowance is complex and requires judgment</w:t>
      </w:r>
      <w:r>
        <w:rPr>
          <w:rFonts w:ascii="Arial" w:eastAsia="宋体" w:hAnsi="Arial" w:cs="Arial"/>
          <w:color w:val="000000"/>
          <w:sz w:val="20"/>
          <w:szCs w:val="20"/>
        </w:rPr>
        <w:t xml:space="preserve"> by management about the effect of matters that are inherently uncertain. In future periods evaluations of the overall asset portfolio, in light of the factors and forecasts then prevailing, may result in significant changes in the allowance and credit los</w:t>
      </w:r>
      <w:r>
        <w:rPr>
          <w:rFonts w:ascii="Arial" w:eastAsia="宋体" w:hAnsi="Arial" w:cs="Arial"/>
          <w:color w:val="000000"/>
          <w:sz w:val="20"/>
          <w:szCs w:val="20"/>
        </w:rPr>
        <w:t>s expense in those future periods.</w:t>
      </w:r>
    </w:p>
    <w:p w14:paraId="392C6EE0" w14:textId="77777777" w:rsidR="00980E5F" w:rsidRDefault="00483613">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possible detection of any concerns with the customer’s credit rating. The results of those evaluations are utilized</w:t>
      </w:r>
      <w:r>
        <w:rPr>
          <w:rFonts w:ascii="Arial" w:eastAsia="宋体" w:hAnsi="Arial" w:cs="Arial"/>
          <w:color w:val="000000"/>
          <w:sz w:val="20"/>
          <w:szCs w:val="20"/>
        </w:rPr>
        <w:t xml:space="preserve"> in underwriting new loans and transactions with counterparties and in our process for estimation of expected credit losses. </w:t>
      </w:r>
    </w:p>
    <w:p w14:paraId="392C6EE1" w14:textId="77777777" w:rsidR="00980E5F" w:rsidRDefault="00483613">
      <w:pPr>
        <w:spacing w:before="60"/>
        <w:ind w:firstLine="450"/>
        <w:jc w:val="both"/>
        <w:textAlignment w:val="top"/>
      </w:pPr>
      <w:r>
        <w:rPr>
          <w:rFonts w:ascii="Arial" w:eastAsia="宋体" w:hAnsi="Arial" w:cs="Arial"/>
          <w:color w:val="000000"/>
          <w:sz w:val="20"/>
          <w:szCs w:val="20"/>
        </w:rPr>
        <w:t>In assessing the risk rating assigned to each individual loan, among the factors considered are the borrower's debt capacity, coll</w:t>
      </w:r>
      <w:r>
        <w:rPr>
          <w:rFonts w:ascii="Arial" w:eastAsia="宋体" w:hAnsi="Arial" w:cs="Arial"/>
          <w:color w:val="000000"/>
          <w:sz w:val="20"/>
          <w:szCs w:val="20"/>
        </w:rPr>
        <w:t xml:space="preserve">ateral coverage, payment history and delinquency experience, financial flexibility and earnings strength, the </w:t>
      </w:r>
    </w:p>
    <w:p w14:paraId="392C6EE2" w14:textId="77777777" w:rsidR="00980E5F" w:rsidRDefault="00483613">
      <w:pPr>
        <w:spacing w:before="60"/>
        <w:jc w:val="both"/>
        <w:textAlignment w:val="top"/>
      </w:pPr>
      <w:r>
        <w:rPr>
          <w:rFonts w:ascii="Arial" w:eastAsia="宋体" w:hAnsi="Arial" w:cs="Arial"/>
          <w:color w:val="000000"/>
          <w:sz w:val="20"/>
          <w:szCs w:val="20"/>
        </w:rPr>
        <w:t xml:space="preserve">expected amounts and source of repayment, the level and nature of contingencies, if any, and the industry and geography in which the </w:t>
      </w:r>
      <w:r>
        <w:rPr>
          <w:rFonts w:ascii="Arial" w:eastAsia="宋体" w:hAnsi="Arial" w:cs="Arial"/>
          <w:color w:val="000000"/>
          <w:sz w:val="20"/>
          <w:szCs w:val="20"/>
        </w:rPr>
        <w:t>borrower operates. These factors are based on an evaluation of historical and current information, and involve subjective assessment and interpretation. Credit counterparties are evaluated and risk-rated on an individual basis at least annually. Management</w:t>
      </w:r>
      <w:r>
        <w:rPr>
          <w:rFonts w:ascii="Arial" w:eastAsia="宋体" w:hAnsi="Arial" w:cs="Arial"/>
          <w:color w:val="000000"/>
          <w:sz w:val="20"/>
          <w:szCs w:val="20"/>
        </w:rPr>
        <w:t xml:space="preserve"> considers the ratings to be current as of June 30, 2022.</w:t>
      </w:r>
    </w:p>
    <w:p w14:paraId="392C6EE3" w14:textId="77777777" w:rsidR="00980E5F" w:rsidRDefault="00483613">
      <w:pPr>
        <w:spacing w:before="60"/>
        <w:ind w:firstLine="450"/>
        <w:jc w:val="both"/>
        <w:textAlignment w:val="top"/>
      </w:pPr>
      <w:r>
        <w:rPr>
          <w:rFonts w:ascii="Arial" w:eastAsia="宋体" w:hAnsi="Arial" w:cs="Arial"/>
          <w:color w:val="000000"/>
          <w:sz w:val="20"/>
          <w:szCs w:val="20"/>
        </w:rPr>
        <w:t>Our internal risk rating methodology assigns risk ratings to counterparties ranging from Investment Grade, Speculative, Special Mention, Substandard, Doubtful and Loss.</w:t>
      </w:r>
    </w:p>
    <w:p w14:paraId="392C6EE4" w14:textId="77777777" w:rsidR="00980E5F" w:rsidRDefault="00483613">
      <w:pPr>
        <w:spacing w:before="60"/>
        <w:ind w:hanging="360"/>
        <w:jc w:val="both"/>
        <w:textAlignment w:val="top"/>
      </w:pPr>
      <w:r>
        <w:rPr>
          <w:rFonts w:ascii="Arial" w:eastAsia="宋体" w:hAnsi="Arial" w:cs="Arial"/>
          <w:color w:val="000000"/>
          <w:sz w:val="20"/>
          <w:szCs w:val="20"/>
        </w:rPr>
        <w:t>•Investment Grade: Counterpar</w:t>
      </w:r>
      <w:r>
        <w:rPr>
          <w:rFonts w:ascii="Arial" w:eastAsia="宋体" w:hAnsi="Arial" w:cs="Arial"/>
          <w:color w:val="000000"/>
          <w:sz w:val="20"/>
          <w:szCs w:val="20"/>
        </w:rPr>
        <w:t>ties with strong credit quality and low expected credit risk and probability of default. Approximately 86% of our loans were rated as investment grade as of June 30, 2022 with external credit ratings, or equivalent, of "BBB-" or better.</w:t>
      </w:r>
    </w:p>
    <w:p w14:paraId="392C6EE5" w14:textId="77777777" w:rsidR="00980E5F" w:rsidRDefault="00483613">
      <w:pPr>
        <w:spacing w:before="60"/>
        <w:ind w:hanging="360"/>
        <w:jc w:val="both"/>
        <w:textAlignment w:val="top"/>
      </w:pPr>
      <w:r>
        <w:rPr>
          <w:rFonts w:ascii="Arial" w:eastAsia="宋体" w:hAnsi="Arial" w:cs="Arial"/>
          <w:color w:val="000000"/>
          <w:sz w:val="20"/>
          <w:szCs w:val="20"/>
        </w:rPr>
        <w:t>•Speculative: Count</w:t>
      </w:r>
      <w:r>
        <w:rPr>
          <w:rFonts w:ascii="Arial" w:eastAsia="宋体" w:hAnsi="Arial" w:cs="Arial"/>
          <w:color w:val="000000"/>
          <w:sz w:val="20"/>
          <w:szCs w:val="20"/>
        </w:rPr>
        <w:t>erparties that have the ability to repay but face significant uncertainties, such as adverse business or financial circumstances that could affect credit risk or economic downturns. Loans to counterparties rated as speculative account for approximately 12%</w:t>
      </w:r>
      <w:r>
        <w:rPr>
          <w:rFonts w:ascii="Arial" w:eastAsia="宋体" w:hAnsi="Arial" w:cs="Arial"/>
          <w:color w:val="000000"/>
          <w:sz w:val="20"/>
          <w:szCs w:val="20"/>
        </w:rPr>
        <w:t xml:space="preserve"> of our loans as of June 30, 2022, and are concentrated in leveraged loans. Approximately 96% of those leveraged loans have an external credit rating, or equivalent, of "BB" or "B" as of June 30, 2022.</w:t>
      </w:r>
    </w:p>
    <w:p w14:paraId="392C6EE6" w14:textId="77777777" w:rsidR="00980E5F" w:rsidRDefault="00483613">
      <w:pPr>
        <w:spacing w:before="60"/>
        <w:ind w:hanging="360"/>
        <w:jc w:val="both"/>
        <w:textAlignment w:val="top"/>
      </w:pPr>
      <w:r>
        <w:rPr>
          <w:rFonts w:ascii="Arial" w:eastAsia="宋体" w:hAnsi="Arial" w:cs="Arial"/>
          <w:color w:val="000000"/>
          <w:sz w:val="20"/>
          <w:szCs w:val="20"/>
        </w:rPr>
        <w:t xml:space="preserve">•Special Mention: Counterparties with </w:t>
      </w:r>
      <w:r>
        <w:rPr>
          <w:rFonts w:ascii="Arial" w:eastAsia="宋体" w:hAnsi="Arial" w:cs="Arial"/>
          <w:color w:val="000000"/>
          <w:sz w:val="20"/>
          <w:szCs w:val="20"/>
        </w:rPr>
        <w:t>potential weaknesses that, if uncorrected, may result in deterioration of repayment prospects.</w:t>
      </w:r>
    </w:p>
    <w:p w14:paraId="392C6EE7" w14:textId="77777777" w:rsidR="00980E5F" w:rsidRDefault="00483613">
      <w:pPr>
        <w:spacing w:before="60"/>
        <w:ind w:hanging="360"/>
        <w:jc w:val="both"/>
        <w:textAlignment w:val="top"/>
      </w:pPr>
      <w:r>
        <w:rPr>
          <w:rFonts w:ascii="Arial" w:eastAsia="宋体" w:hAnsi="Arial" w:cs="Arial"/>
          <w:color w:val="000000"/>
          <w:sz w:val="20"/>
          <w:szCs w:val="20"/>
        </w:rPr>
        <w:t xml:space="preserve">•Substandard: Counterparties with well-defined weakness that jeopardizes repayment with the possibility we will sustain some loss. </w:t>
      </w:r>
    </w:p>
    <w:p w14:paraId="392C6EE8" w14:textId="77777777" w:rsidR="00980E5F" w:rsidRDefault="00483613">
      <w:pPr>
        <w:spacing w:before="60"/>
        <w:ind w:hanging="360"/>
        <w:jc w:val="both"/>
        <w:textAlignment w:val="top"/>
      </w:pPr>
      <w:r>
        <w:rPr>
          <w:rFonts w:ascii="Arial" w:eastAsia="宋体" w:hAnsi="Arial" w:cs="Arial"/>
          <w:color w:val="000000"/>
          <w:sz w:val="20"/>
          <w:szCs w:val="20"/>
        </w:rPr>
        <w:t>•Doubtful: Counterparties wit</w:t>
      </w:r>
      <w:r>
        <w:rPr>
          <w:rFonts w:ascii="Arial" w:eastAsia="宋体" w:hAnsi="Arial" w:cs="Arial"/>
          <w:color w:val="000000"/>
          <w:sz w:val="20"/>
          <w:szCs w:val="20"/>
        </w:rPr>
        <w:t xml:space="preserve">h well-defined weakness which make collection or liquidation in full highly questionable and improbable. </w:t>
      </w:r>
    </w:p>
    <w:p w14:paraId="392C6EE9" w14:textId="77777777" w:rsidR="00980E5F" w:rsidRDefault="00483613">
      <w:pPr>
        <w:spacing w:before="60"/>
        <w:ind w:hanging="360"/>
        <w:jc w:val="both"/>
        <w:textAlignment w:val="top"/>
      </w:pPr>
      <w:r>
        <w:rPr>
          <w:rFonts w:ascii="Arial" w:eastAsia="宋体" w:hAnsi="Arial" w:cs="Arial"/>
          <w:color w:val="000000"/>
          <w:sz w:val="20"/>
          <w:szCs w:val="20"/>
        </w:rPr>
        <w:t xml:space="preserve">•Loss: Counterparties which are uncollectible or have little value. </w:t>
      </w:r>
    </w:p>
    <w:p w14:paraId="392C6EEA" w14:textId="77777777" w:rsidR="00980E5F" w:rsidRDefault="00483613">
      <w:pPr>
        <w:ind w:firstLine="450"/>
        <w:jc w:val="right"/>
      </w:pPr>
      <w:r>
        <w:rPr>
          <w:rFonts w:ascii="Arial" w:eastAsia="宋体" w:hAnsi="Arial" w:cs="Arial"/>
          <w:color w:val="000000"/>
          <w:sz w:val="18"/>
          <w:szCs w:val="18"/>
        </w:rPr>
        <w:t>State Street Corporation | 73</w:t>
      </w:r>
    </w:p>
    <w:p w14:paraId="392C6EEB" w14:textId="77777777" w:rsidR="00980E5F" w:rsidRDefault="00980E5F">
      <w:pPr>
        <w:ind w:firstLine="450"/>
        <w:jc w:val="center"/>
      </w:pPr>
    </w:p>
    <w:p w14:paraId="392C6EEC" w14:textId="77777777" w:rsidR="00980E5F" w:rsidRDefault="00483613">
      <w:r>
        <w:pict w14:anchorId="392CBB17">
          <v:rect id="_x0000_i1097" style="width:415.3pt;height:1.5pt" o:hralign="center" o:hrstd="t" o:hr="t" fillcolor="#a0a0a0" stroked="f"/>
        </w:pict>
      </w:r>
    </w:p>
    <w:p w14:paraId="392C6EED" w14:textId="77777777" w:rsidR="00980E5F" w:rsidRDefault="00483613">
      <w:pPr>
        <w:ind w:firstLine="450"/>
        <w:jc w:val="center"/>
      </w:pPr>
      <w:r>
        <w:rPr>
          <w:rFonts w:ascii="Arial" w:eastAsia="宋体" w:hAnsi="Arial" w:cs="Arial"/>
          <w:b/>
          <w:bCs/>
          <w:color w:val="000000"/>
          <w:sz w:val="20"/>
          <w:szCs w:val="20"/>
        </w:rPr>
        <w:t>STATE STREET CORPORATION</w:t>
      </w:r>
    </w:p>
    <w:p w14:paraId="392C6EEE" w14:textId="77777777" w:rsidR="00980E5F" w:rsidRDefault="00483613">
      <w:pPr>
        <w:ind w:firstLine="450"/>
        <w:jc w:val="center"/>
      </w:pPr>
      <w:r>
        <w:rPr>
          <w:rFonts w:ascii="Arial" w:eastAsia="宋体" w:hAnsi="Arial" w:cs="Arial"/>
          <w:b/>
          <w:bCs/>
          <w:color w:val="000000"/>
          <w:sz w:val="20"/>
          <w:szCs w:val="20"/>
        </w:rPr>
        <w:t>CONDENSED NOTES TO CONS</w:t>
      </w:r>
      <w:r>
        <w:rPr>
          <w:rFonts w:ascii="Arial" w:eastAsia="宋体" w:hAnsi="Arial" w:cs="Arial"/>
          <w:b/>
          <w:bCs/>
          <w:color w:val="000000"/>
          <w:sz w:val="20"/>
          <w:szCs w:val="20"/>
        </w:rPr>
        <w:t>OLIDATED FINANCIAL STATEMENTS</w:t>
      </w:r>
    </w:p>
    <w:p w14:paraId="392C6EEF" w14:textId="77777777" w:rsidR="00980E5F" w:rsidRDefault="00483613">
      <w:pPr>
        <w:ind w:firstLine="450"/>
        <w:jc w:val="center"/>
      </w:pPr>
      <w:r>
        <w:rPr>
          <w:rFonts w:ascii="Arial" w:eastAsia="宋体" w:hAnsi="Arial" w:cs="Arial"/>
          <w:b/>
          <w:bCs/>
          <w:color w:val="000000"/>
          <w:sz w:val="20"/>
          <w:szCs w:val="20"/>
        </w:rPr>
        <w:t>(UNAUDITED)</w:t>
      </w:r>
    </w:p>
    <w:p w14:paraId="392C6EF0" w14:textId="77777777" w:rsidR="00980E5F" w:rsidRDefault="00483613">
      <w:pPr>
        <w:spacing w:before="60"/>
        <w:ind w:firstLine="450"/>
        <w:jc w:val="both"/>
      </w:pPr>
      <w:r>
        <w:rPr>
          <w:rFonts w:ascii="Arial" w:eastAsia="宋体" w:hAnsi="Arial" w:cs="Arial"/>
          <w:color w:val="000000"/>
          <w:sz w:val="20"/>
          <w:szCs w:val="20"/>
        </w:rPr>
        <w:t>The following tables present our recorded loans to counterparties by risk rating, as noted above,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3149"/>
        <w:gridCol w:w="39"/>
        <w:gridCol w:w="99"/>
        <w:gridCol w:w="1515"/>
        <w:gridCol w:w="36"/>
        <w:gridCol w:w="36"/>
        <w:gridCol w:w="36"/>
        <w:gridCol w:w="36"/>
        <w:gridCol w:w="99"/>
        <w:gridCol w:w="1483"/>
        <w:gridCol w:w="36"/>
        <w:gridCol w:w="36"/>
        <w:gridCol w:w="36"/>
        <w:gridCol w:w="36"/>
        <w:gridCol w:w="98"/>
        <w:gridCol w:w="1486"/>
        <w:gridCol w:w="36"/>
      </w:tblGrid>
      <w:tr w:rsidR="00980E5F" w14:paraId="392C6F03" w14:textId="77777777">
        <w:tc>
          <w:tcPr>
            <w:tcW w:w="50" w:type="pct"/>
            <w:shd w:val="clear" w:color="auto" w:fill="auto"/>
            <w:vAlign w:val="bottom"/>
          </w:tcPr>
          <w:p w14:paraId="392C6EF1" w14:textId="77777777" w:rsidR="00980E5F" w:rsidRDefault="00980E5F">
            <w:pPr>
              <w:rPr>
                <w:rFonts w:ascii="宋体"/>
              </w:rPr>
            </w:pPr>
          </w:p>
        </w:tc>
        <w:tc>
          <w:tcPr>
            <w:tcW w:w="1911" w:type="pct"/>
            <w:shd w:val="clear" w:color="auto" w:fill="auto"/>
            <w:vAlign w:val="bottom"/>
          </w:tcPr>
          <w:p w14:paraId="392C6EF2" w14:textId="77777777" w:rsidR="00980E5F" w:rsidRDefault="00980E5F">
            <w:pPr>
              <w:rPr>
                <w:rFonts w:ascii="宋体"/>
              </w:rPr>
            </w:pPr>
          </w:p>
        </w:tc>
        <w:tc>
          <w:tcPr>
            <w:tcW w:w="5" w:type="pct"/>
            <w:shd w:val="clear" w:color="auto" w:fill="auto"/>
            <w:vAlign w:val="bottom"/>
          </w:tcPr>
          <w:p w14:paraId="392C6EF3" w14:textId="77777777" w:rsidR="00980E5F" w:rsidRDefault="00980E5F">
            <w:pPr>
              <w:rPr>
                <w:rFonts w:ascii="宋体"/>
              </w:rPr>
            </w:pPr>
          </w:p>
        </w:tc>
        <w:tc>
          <w:tcPr>
            <w:tcW w:w="50" w:type="pct"/>
            <w:shd w:val="clear" w:color="auto" w:fill="auto"/>
            <w:vAlign w:val="bottom"/>
          </w:tcPr>
          <w:p w14:paraId="392C6EF4" w14:textId="77777777" w:rsidR="00980E5F" w:rsidRDefault="00980E5F">
            <w:pPr>
              <w:rPr>
                <w:rFonts w:ascii="宋体"/>
              </w:rPr>
            </w:pPr>
          </w:p>
        </w:tc>
        <w:tc>
          <w:tcPr>
            <w:tcW w:w="931" w:type="pct"/>
            <w:shd w:val="clear" w:color="auto" w:fill="auto"/>
            <w:vAlign w:val="bottom"/>
          </w:tcPr>
          <w:p w14:paraId="392C6EF5" w14:textId="77777777" w:rsidR="00980E5F" w:rsidRDefault="00980E5F">
            <w:pPr>
              <w:rPr>
                <w:rFonts w:ascii="宋体"/>
              </w:rPr>
            </w:pPr>
          </w:p>
        </w:tc>
        <w:tc>
          <w:tcPr>
            <w:tcW w:w="5" w:type="pct"/>
            <w:shd w:val="clear" w:color="auto" w:fill="auto"/>
            <w:vAlign w:val="bottom"/>
          </w:tcPr>
          <w:p w14:paraId="392C6EF6" w14:textId="77777777" w:rsidR="00980E5F" w:rsidRDefault="00980E5F">
            <w:pPr>
              <w:rPr>
                <w:rFonts w:ascii="宋体"/>
              </w:rPr>
            </w:pPr>
          </w:p>
        </w:tc>
        <w:tc>
          <w:tcPr>
            <w:tcW w:w="5" w:type="pct"/>
            <w:shd w:val="clear" w:color="auto" w:fill="auto"/>
            <w:vAlign w:val="bottom"/>
          </w:tcPr>
          <w:p w14:paraId="392C6EF7" w14:textId="77777777" w:rsidR="00980E5F" w:rsidRDefault="00980E5F">
            <w:pPr>
              <w:rPr>
                <w:rFonts w:ascii="宋体"/>
              </w:rPr>
            </w:pPr>
          </w:p>
        </w:tc>
        <w:tc>
          <w:tcPr>
            <w:tcW w:w="26" w:type="pct"/>
            <w:shd w:val="clear" w:color="auto" w:fill="auto"/>
            <w:vAlign w:val="bottom"/>
          </w:tcPr>
          <w:p w14:paraId="392C6EF8" w14:textId="77777777" w:rsidR="00980E5F" w:rsidRDefault="00980E5F">
            <w:pPr>
              <w:rPr>
                <w:rFonts w:ascii="宋体"/>
              </w:rPr>
            </w:pPr>
          </w:p>
        </w:tc>
        <w:tc>
          <w:tcPr>
            <w:tcW w:w="5" w:type="pct"/>
            <w:shd w:val="clear" w:color="auto" w:fill="auto"/>
            <w:vAlign w:val="bottom"/>
          </w:tcPr>
          <w:p w14:paraId="392C6EF9" w14:textId="77777777" w:rsidR="00980E5F" w:rsidRDefault="00980E5F">
            <w:pPr>
              <w:rPr>
                <w:rFonts w:ascii="宋体"/>
              </w:rPr>
            </w:pPr>
          </w:p>
        </w:tc>
        <w:tc>
          <w:tcPr>
            <w:tcW w:w="50" w:type="pct"/>
            <w:shd w:val="clear" w:color="auto" w:fill="auto"/>
            <w:vAlign w:val="bottom"/>
          </w:tcPr>
          <w:p w14:paraId="392C6EFA" w14:textId="77777777" w:rsidR="00980E5F" w:rsidRDefault="00980E5F">
            <w:pPr>
              <w:rPr>
                <w:rFonts w:ascii="宋体"/>
              </w:rPr>
            </w:pPr>
          </w:p>
        </w:tc>
        <w:tc>
          <w:tcPr>
            <w:tcW w:w="931" w:type="pct"/>
            <w:shd w:val="clear" w:color="auto" w:fill="auto"/>
            <w:vAlign w:val="bottom"/>
          </w:tcPr>
          <w:p w14:paraId="392C6EFB" w14:textId="77777777" w:rsidR="00980E5F" w:rsidRDefault="00980E5F">
            <w:pPr>
              <w:rPr>
                <w:rFonts w:ascii="宋体"/>
              </w:rPr>
            </w:pPr>
          </w:p>
        </w:tc>
        <w:tc>
          <w:tcPr>
            <w:tcW w:w="5" w:type="pct"/>
            <w:shd w:val="clear" w:color="auto" w:fill="auto"/>
            <w:vAlign w:val="bottom"/>
          </w:tcPr>
          <w:p w14:paraId="392C6EFC" w14:textId="77777777" w:rsidR="00980E5F" w:rsidRDefault="00980E5F">
            <w:pPr>
              <w:rPr>
                <w:rFonts w:ascii="宋体"/>
              </w:rPr>
            </w:pPr>
          </w:p>
        </w:tc>
        <w:tc>
          <w:tcPr>
            <w:tcW w:w="5" w:type="pct"/>
            <w:shd w:val="clear" w:color="auto" w:fill="auto"/>
            <w:vAlign w:val="bottom"/>
          </w:tcPr>
          <w:p w14:paraId="392C6EFD" w14:textId="77777777" w:rsidR="00980E5F" w:rsidRDefault="00980E5F">
            <w:pPr>
              <w:rPr>
                <w:rFonts w:ascii="宋体"/>
              </w:rPr>
            </w:pPr>
          </w:p>
        </w:tc>
        <w:tc>
          <w:tcPr>
            <w:tcW w:w="26" w:type="pct"/>
            <w:shd w:val="clear" w:color="auto" w:fill="auto"/>
            <w:vAlign w:val="bottom"/>
          </w:tcPr>
          <w:p w14:paraId="392C6EFE" w14:textId="77777777" w:rsidR="00980E5F" w:rsidRDefault="00980E5F">
            <w:pPr>
              <w:rPr>
                <w:rFonts w:ascii="宋体"/>
              </w:rPr>
            </w:pPr>
          </w:p>
        </w:tc>
        <w:tc>
          <w:tcPr>
            <w:tcW w:w="5" w:type="pct"/>
            <w:shd w:val="clear" w:color="auto" w:fill="auto"/>
            <w:vAlign w:val="bottom"/>
          </w:tcPr>
          <w:p w14:paraId="392C6EFF" w14:textId="77777777" w:rsidR="00980E5F" w:rsidRDefault="00980E5F">
            <w:pPr>
              <w:rPr>
                <w:rFonts w:ascii="宋体"/>
              </w:rPr>
            </w:pPr>
          </w:p>
        </w:tc>
        <w:tc>
          <w:tcPr>
            <w:tcW w:w="50" w:type="pct"/>
            <w:shd w:val="clear" w:color="auto" w:fill="auto"/>
            <w:vAlign w:val="bottom"/>
          </w:tcPr>
          <w:p w14:paraId="392C6F00" w14:textId="77777777" w:rsidR="00980E5F" w:rsidRDefault="00980E5F">
            <w:pPr>
              <w:rPr>
                <w:rFonts w:ascii="宋体"/>
              </w:rPr>
            </w:pPr>
          </w:p>
        </w:tc>
        <w:tc>
          <w:tcPr>
            <w:tcW w:w="932" w:type="pct"/>
            <w:shd w:val="clear" w:color="auto" w:fill="auto"/>
            <w:vAlign w:val="bottom"/>
          </w:tcPr>
          <w:p w14:paraId="392C6F01" w14:textId="77777777" w:rsidR="00980E5F" w:rsidRDefault="00980E5F">
            <w:pPr>
              <w:rPr>
                <w:rFonts w:ascii="宋体"/>
              </w:rPr>
            </w:pPr>
          </w:p>
        </w:tc>
        <w:tc>
          <w:tcPr>
            <w:tcW w:w="5" w:type="pct"/>
            <w:shd w:val="clear" w:color="auto" w:fill="auto"/>
            <w:vAlign w:val="bottom"/>
          </w:tcPr>
          <w:p w14:paraId="392C6F02" w14:textId="77777777" w:rsidR="00980E5F" w:rsidRDefault="00980E5F">
            <w:pPr>
              <w:rPr>
                <w:rFonts w:ascii="宋体"/>
              </w:rPr>
            </w:pPr>
          </w:p>
        </w:tc>
      </w:tr>
      <w:tr w:rsidR="00980E5F" w14:paraId="392C6F0A" w14:textId="77777777">
        <w:trPr>
          <w:trHeight w:val="220"/>
        </w:trPr>
        <w:tc>
          <w:tcPr>
            <w:tcW w:w="0" w:type="auto"/>
            <w:gridSpan w:val="3"/>
            <w:shd w:val="clear" w:color="auto" w:fill="auto"/>
            <w:tcMar>
              <w:top w:w="40" w:type="dxa"/>
              <w:left w:w="20" w:type="dxa"/>
              <w:bottom w:w="40" w:type="dxa"/>
              <w:right w:w="20" w:type="dxa"/>
            </w:tcMar>
            <w:vAlign w:val="bottom"/>
          </w:tcPr>
          <w:p w14:paraId="392C6F04" w14:textId="77777777" w:rsidR="00980E5F" w:rsidRDefault="00483613">
            <w:pPr>
              <w:textAlignment w:val="bottom"/>
            </w:pPr>
            <w:r>
              <w:rPr>
                <w:rFonts w:ascii="Arial" w:eastAsia="宋体" w:hAnsi="Arial" w:cs="Arial"/>
                <w:b/>
                <w:bCs/>
                <w:color w:val="000000"/>
                <w:sz w:val="14"/>
                <w:szCs w:val="14"/>
              </w:rPr>
              <w:t>June 30, 2022</w:t>
            </w:r>
          </w:p>
        </w:tc>
        <w:tc>
          <w:tcPr>
            <w:tcW w:w="0" w:type="auto"/>
            <w:gridSpan w:val="3"/>
            <w:vMerge w:val="restart"/>
            <w:shd w:val="clear" w:color="auto" w:fill="auto"/>
            <w:tcMar>
              <w:top w:w="40" w:type="dxa"/>
              <w:left w:w="20" w:type="dxa"/>
              <w:bottom w:w="40" w:type="dxa"/>
              <w:right w:w="20" w:type="dxa"/>
            </w:tcMar>
            <w:vAlign w:val="bottom"/>
          </w:tcPr>
          <w:p w14:paraId="392C6F05"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392C6F06"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6F07"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392C6F08"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6F09" w14:textId="77777777" w:rsidR="00980E5F" w:rsidRDefault="00483613">
            <w:pPr>
              <w:jc w:val="center"/>
              <w:textAlignment w:val="bottom"/>
            </w:pPr>
            <w:r>
              <w:rPr>
                <w:rFonts w:ascii="Arial" w:eastAsia="宋体" w:hAnsi="Arial" w:cs="Arial"/>
                <w:b/>
                <w:bCs/>
                <w:color w:val="000000"/>
                <w:sz w:val="14"/>
                <w:szCs w:val="14"/>
              </w:rPr>
              <w:t>Total Loans</w:t>
            </w:r>
          </w:p>
        </w:tc>
      </w:tr>
      <w:tr w:rsidR="00980E5F" w14:paraId="392C6F11" w14:textId="77777777">
        <w:trPr>
          <w:trHeight w:val="220"/>
        </w:trPr>
        <w:tc>
          <w:tcPr>
            <w:tcW w:w="0" w:type="auto"/>
            <w:gridSpan w:val="3"/>
            <w:shd w:val="clear" w:color="auto" w:fill="auto"/>
            <w:tcMar>
              <w:top w:w="40" w:type="dxa"/>
              <w:left w:w="20" w:type="dxa"/>
              <w:bottom w:w="40" w:type="dxa"/>
              <w:right w:w="20" w:type="dxa"/>
            </w:tcMar>
            <w:vAlign w:val="bottom"/>
          </w:tcPr>
          <w:p w14:paraId="392C6F0B"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392C6F0C" w14:textId="77777777" w:rsidR="00980E5F" w:rsidRDefault="00980E5F">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92C6F0D"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6F0E" w14:textId="77777777" w:rsidR="00980E5F" w:rsidRDefault="00980E5F">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92C6F0F"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6F10" w14:textId="77777777" w:rsidR="00980E5F" w:rsidRDefault="00980E5F">
            <w:pPr>
              <w:jc w:val="center"/>
              <w:rPr>
                <w:rFonts w:ascii="宋体"/>
              </w:rPr>
            </w:pPr>
          </w:p>
        </w:tc>
      </w:tr>
      <w:tr w:rsidR="00980E5F" w14:paraId="392C6F1E" w14:textId="77777777">
        <w:tc>
          <w:tcPr>
            <w:tcW w:w="0" w:type="auto"/>
            <w:gridSpan w:val="3"/>
            <w:shd w:val="clear" w:color="auto" w:fill="CCEEFF"/>
            <w:tcMar>
              <w:top w:w="40" w:type="dxa"/>
              <w:left w:w="20" w:type="dxa"/>
              <w:bottom w:w="40" w:type="dxa"/>
              <w:right w:w="20" w:type="dxa"/>
            </w:tcMar>
            <w:vAlign w:val="bottom"/>
          </w:tcPr>
          <w:p w14:paraId="392C6F12" w14:textId="77777777" w:rsidR="00980E5F" w:rsidRDefault="00483613">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6F1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14" w14:textId="77777777" w:rsidR="00980E5F" w:rsidRDefault="00483613">
            <w:pPr>
              <w:jc w:val="right"/>
              <w:textAlignment w:val="bottom"/>
            </w:pPr>
            <w:r>
              <w:rPr>
                <w:rFonts w:ascii="Arial" w:eastAsia="宋体" w:hAnsi="Arial" w:cs="Arial"/>
                <w:b/>
                <w:bCs/>
                <w:color w:val="000000"/>
                <w:sz w:val="14"/>
                <w:szCs w:val="14"/>
              </w:rPr>
              <w:t>26,549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1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6F1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18" w14:textId="77777777" w:rsidR="00980E5F" w:rsidRDefault="00483613">
            <w:pPr>
              <w:jc w:val="right"/>
              <w:textAlignment w:val="bottom"/>
            </w:pPr>
            <w:r>
              <w:rPr>
                <w:rFonts w:ascii="Arial" w:eastAsia="宋体" w:hAnsi="Arial" w:cs="Arial"/>
                <w:b/>
                <w:bCs/>
                <w:color w:val="000000"/>
                <w:sz w:val="14"/>
                <w:szCs w:val="14"/>
              </w:rPr>
              <w:t>2,373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1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6F1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1C" w14:textId="77777777" w:rsidR="00980E5F" w:rsidRDefault="00483613">
            <w:pPr>
              <w:jc w:val="right"/>
              <w:textAlignment w:val="bottom"/>
            </w:pPr>
            <w:r>
              <w:rPr>
                <w:rFonts w:ascii="Arial" w:eastAsia="宋体" w:hAnsi="Arial" w:cs="Arial"/>
                <w:b/>
                <w:bCs/>
                <w:color w:val="000000"/>
                <w:sz w:val="14"/>
                <w:szCs w:val="14"/>
              </w:rPr>
              <w:t>28,922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1D" w14:textId="77777777" w:rsidR="00980E5F" w:rsidRDefault="00980E5F">
            <w:pPr>
              <w:jc w:val="right"/>
              <w:rPr>
                <w:rFonts w:ascii="宋体"/>
              </w:rPr>
            </w:pPr>
          </w:p>
        </w:tc>
      </w:tr>
      <w:tr w:rsidR="00980E5F" w14:paraId="392C6F28" w14:textId="77777777">
        <w:tc>
          <w:tcPr>
            <w:tcW w:w="0" w:type="auto"/>
            <w:gridSpan w:val="3"/>
            <w:shd w:val="clear" w:color="auto" w:fill="FFFFFF"/>
            <w:tcMar>
              <w:top w:w="40" w:type="dxa"/>
              <w:left w:w="20" w:type="dxa"/>
              <w:bottom w:w="40" w:type="dxa"/>
              <w:right w:w="20" w:type="dxa"/>
            </w:tcMar>
            <w:vAlign w:val="bottom"/>
          </w:tcPr>
          <w:p w14:paraId="392C6F1F"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6F20" w14:textId="77777777" w:rsidR="00980E5F" w:rsidRDefault="00483613">
            <w:pPr>
              <w:jc w:val="right"/>
              <w:textAlignment w:val="bottom"/>
            </w:pPr>
            <w:r>
              <w:rPr>
                <w:rFonts w:ascii="Arial" w:eastAsia="宋体" w:hAnsi="Arial" w:cs="Arial"/>
                <w:b/>
                <w:bCs/>
                <w:color w:val="000000"/>
                <w:sz w:val="14"/>
                <w:szCs w:val="14"/>
              </w:rPr>
              <w:t>3,851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23" w14:textId="77777777" w:rsidR="00980E5F" w:rsidRDefault="00483613">
            <w:pPr>
              <w:jc w:val="right"/>
              <w:textAlignment w:val="bottom"/>
            </w:pPr>
            <w:r>
              <w:rPr>
                <w:rFonts w:ascii="Arial" w:eastAsia="宋体" w:hAnsi="Arial" w:cs="Arial"/>
                <w:b/>
                <w:bCs/>
                <w:color w:val="000000"/>
                <w:sz w:val="14"/>
                <w:szCs w:val="14"/>
              </w:rPr>
              <w:t>220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26" w14:textId="77777777" w:rsidR="00980E5F" w:rsidRDefault="00483613">
            <w:pPr>
              <w:jc w:val="right"/>
              <w:textAlignment w:val="bottom"/>
            </w:pPr>
            <w:r>
              <w:rPr>
                <w:rFonts w:ascii="Arial" w:eastAsia="宋体" w:hAnsi="Arial" w:cs="Arial"/>
                <w:b/>
                <w:bCs/>
                <w:color w:val="000000"/>
                <w:sz w:val="14"/>
                <w:szCs w:val="14"/>
              </w:rPr>
              <w:t>4,071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27" w14:textId="77777777" w:rsidR="00980E5F" w:rsidRDefault="00980E5F">
            <w:pPr>
              <w:jc w:val="right"/>
              <w:rPr>
                <w:rFonts w:ascii="宋体"/>
              </w:rPr>
            </w:pPr>
          </w:p>
        </w:tc>
      </w:tr>
      <w:tr w:rsidR="00980E5F" w14:paraId="392C6F32" w14:textId="77777777">
        <w:tc>
          <w:tcPr>
            <w:tcW w:w="0" w:type="auto"/>
            <w:gridSpan w:val="3"/>
            <w:shd w:val="clear" w:color="auto" w:fill="CCEEFF"/>
            <w:tcMar>
              <w:top w:w="40" w:type="dxa"/>
              <w:left w:w="20" w:type="dxa"/>
              <w:bottom w:w="40" w:type="dxa"/>
              <w:right w:w="20" w:type="dxa"/>
            </w:tcMar>
            <w:vAlign w:val="bottom"/>
          </w:tcPr>
          <w:p w14:paraId="392C6F29"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92C6F2A" w14:textId="77777777" w:rsidR="00980E5F" w:rsidRDefault="00483613">
            <w:pPr>
              <w:jc w:val="right"/>
              <w:textAlignment w:val="bottom"/>
            </w:pPr>
            <w:r>
              <w:rPr>
                <w:rFonts w:ascii="Arial" w:eastAsia="宋体" w:hAnsi="Arial" w:cs="Arial"/>
                <w:b/>
                <w:bCs/>
                <w:color w:val="000000"/>
                <w:sz w:val="14"/>
                <w:szCs w:val="14"/>
              </w:rPr>
              <w:t>162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F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2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F2D" w14:textId="77777777" w:rsidR="00980E5F" w:rsidRDefault="00483613">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F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2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F30" w14:textId="77777777" w:rsidR="00980E5F" w:rsidRDefault="00483613">
            <w:pPr>
              <w:jc w:val="right"/>
              <w:textAlignment w:val="bottom"/>
            </w:pPr>
            <w:r>
              <w:rPr>
                <w:rFonts w:ascii="Arial" w:eastAsia="宋体" w:hAnsi="Arial" w:cs="Arial"/>
                <w:b/>
                <w:bCs/>
                <w:color w:val="000000"/>
                <w:sz w:val="14"/>
                <w:szCs w:val="14"/>
              </w:rPr>
              <w:t>251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6F31" w14:textId="77777777" w:rsidR="00980E5F" w:rsidRDefault="00980E5F">
            <w:pPr>
              <w:jc w:val="right"/>
              <w:rPr>
                <w:rFonts w:ascii="宋体"/>
              </w:rPr>
            </w:pPr>
          </w:p>
        </w:tc>
      </w:tr>
      <w:tr w:rsidR="00980E5F" w14:paraId="392C6F3C" w14:textId="77777777">
        <w:tc>
          <w:tcPr>
            <w:tcW w:w="0" w:type="auto"/>
            <w:gridSpan w:val="3"/>
            <w:shd w:val="clear" w:color="auto" w:fill="FFFFFF"/>
            <w:tcMar>
              <w:top w:w="40" w:type="dxa"/>
              <w:left w:w="20" w:type="dxa"/>
              <w:bottom w:w="40" w:type="dxa"/>
              <w:right w:w="20" w:type="dxa"/>
            </w:tcMar>
            <w:vAlign w:val="bottom"/>
          </w:tcPr>
          <w:p w14:paraId="392C6F33"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92C6F34" w14:textId="77777777" w:rsidR="00980E5F" w:rsidRDefault="00483613">
            <w:pPr>
              <w:jc w:val="right"/>
              <w:textAlignment w:val="bottom"/>
            </w:pPr>
            <w:r>
              <w:rPr>
                <w:rFonts w:ascii="Arial" w:eastAsia="宋体" w:hAnsi="Arial" w:cs="Arial"/>
                <w:b/>
                <w:bCs/>
                <w:color w:val="000000"/>
                <w:sz w:val="14"/>
                <w:szCs w:val="14"/>
              </w:rPr>
              <w:t>166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3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3A" w14:textId="77777777" w:rsidR="00980E5F" w:rsidRDefault="00483613">
            <w:pPr>
              <w:jc w:val="right"/>
              <w:textAlignment w:val="bottom"/>
            </w:pPr>
            <w:r>
              <w:rPr>
                <w:rFonts w:ascii="Arial" w:eastAsia="宋体" w:hAnsi="Arial" w:cs="Arial"/>
                <w:b/>
                <w:bCs/>
                <w:color w:val="000000"/>
                <w:sz w:val="14"/>
                <w:szCs w:val="14"/>
              </w:rPr>
              <w:t>166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3B" w14:textId="77777777" w:rsidR="00980E5F" w:rsidRDefault="00980E5F">
            <w:pPr>
              <w:jc w:val="right"/>
              <w:rPr>
                <w:rFonts w:ascii="宋体"/>
              </w:rPr>
            </w:pPr>
          </w:p>
        </w:tc>
      </w:tr>
      <w:tr w:rsidR="00980E5F" w14:paraId="392C6F43" w14:textId="77777777">
        <w:trPr>
          <w:hidden/>
        </w:trPr>
        <w:tc>
          <w:tcPr>
            <w:tcW w:w="0" w:type="auto"/>
            <w:gridSpan w:val="3"/>
            <w:shd w:val="clear" w:color="auto" w:fill="auto"/>
            <w:vAlign w:val="bottom"/>
          </w:tcPr>
          <w:p w14:paraId="392C6F3D" w14:textId="77777777" w:rsidR="00980E5F" w:rsidRDefault="00980E5F">
            <w:pPr>
              <w:rPr>
                <w:rFonts w:ascii="宋体"/>
                <w:vanish/>
              </w:rPr>
            </w:pPr>
          </w:p>
        </w:tc>
        <w:tc>
          <w:tcPr>
            <w:tcW w:w="0" w:type="auto"/>
            <w:gridSpan w:val="3"/>
            <w:shd w:val="clear" w:color="auto" w:fill="auto"/>
            <w:vAlign w:val="bottom"/>
          </w:tcPr>
          <w:p w14:paraId="392C6F3E" w14:textId="77777777" w:rsidR="00980E5F" w:rsidRDefault="00980E5F">
            <w:pPr>
              <w:rPr>
                <w:rFonts w:ascii="宋体"/>
                <w:vanish/>
              </w:rPr>
            </w:pPr>
          </w:p>
        </w:tc>
        <w:tc>
          <w:tcPr>
            <w:tcW w:w="0" w:type="auto"/>
            <w:gridSpan w:val="3"/>
            <w:shd w:val="clear" w:color="auto" w:fill="auto"/>
            <w:vAlign w:val="bottom"/>
          </w:tcPr>
          <w:p w14:paraId="392C6F3F" w14:textId="77777777" w:rsidR="00980E5F" w:rsidRDefault="00980E5F">
            <w:pPr>
              <w:rPr>
                <w:rFonts w:ascii="宋体"/>
                <w:vanish/>
              </w:rPr>
            </w:pPr>
          </w:p>
        </w:tc>
        <w:tc>
          <w:tcPr>
            <w:tcW w:w="0" w:type="auto"/>
            <w:gridSpan w:val="3"/>
            <w:shd w:val="clear" w:color="auto" w:fill="auto"/>
            <w:vAlign w:val="bottom"/>
          </w:tcPr>
          <w:p w14:paraId="392C6F40" w14:textId="77777777" w:rsidR="00980E5F" w:rsidRDefault="00980E5F">
            <w:pPr>
              <w:rPr>
                <w:rFonts w:ascii="宋体"/>
                <w:vanish/>
              </w:rPr>
            </w:pPr>
          </w:p>
        </w:tc>
        <w:tc>
          <w:tcPr>
            <w:tcW w:w="0" w:type="auto"/>
            <w:gridSpan w:val="3"/>
            <w:shd w:val="clear" w:color="auto" w:fill="auto"/>
            <w:vAlign w:val="bottom"/>
          </w:tcPr>
          <w:p w14:paraId="392C6F41" w14:textId="77777777" w:rsidR="00980E5F" w:rsidRDefault="00980E5F">
            <w:pPr>
              <w:rPr>
                <w:rFonts w:ascii="宋体"/>
                <w:vanish/>
              </w:rPr>
            </w:pPr>
          </w:p>
        </w:tc>
        <w:tc>
          <w:tcPr>
            <w:tcW w:w="0" w:type="auto"/>
            <w:gridSpan w:val="3"/>
            <w:shd w:val="clear" w:color="auto" w:fill="auto"/>
            <w:vAlign w:val="bottom"/>
          </w:tcPr>
          <w:p w14:paraId="392C6F42" w14:textId="77777777" w:rsidR="00980E5F" w:rsidRDefault="00980E5F">
            <w:pPr>
              <w:rPr>
                <w:rFonts w:ascii="宋体"/>
                <w:vanish/>
              </w:rPr>
            </w:pPr>
          </w:p>
        </w:tc>
      </w:tr>
      <w:tr w:rsidR="00980E5F" w14:paraId="392C6F4A" w14:textId="77777777">
        <w:trPr>
          <w:hidden/>
        </w:trPr>
        <w:tc>
          <w:tcPr>
            <w:tcW w:w="0" w:type="auto"/>
            <w:gridSpan w:val="3"/>
            <w:shd w:val="clear" w:color="auto" w:fill="auto"/>
            <w:vAlign w:val="bottom"/>
          </w:tcPr>
          <w:p w14:paraId="392C6F44" w14:textId="77777777" w:rsidR="00980E5F" w:rsidRDefault="00980E5F">
            <w:pPr>
              <w:rPr>
                <w:rFonts w:ascii="宋体"/>
                <w:vanish/>
              </w:rPr>
            </w:pPr>
          </w:p>
        </w:tc>
        <w:tc>
          <w:tcPr>
            <w:tcW w:w="0" w:type="auto"/>
            <w:gridSpan w:val="3"/>
            <w:shd w:val="clear" w:color="auto" w:fill="auto"/>
            <w:vAlign w:val="bottom"/>
          </w:tcPr>
          <w:p w14:paraId="392C6F45" w14:textId="77777777" w:rsidR="00980E5F" w:rsidRDefault="00980E5F">
            <w:pPr>
              <w:rPr>
                <w:rFonts w:ascii="宋体"/>
                <w:vanish/>
              </w:rPr>
            </w:pPr>
          </w:p>
        </w:tc>
        <w:tc>
          <w:tcPr>
            <w:tcW w:w="0" w:type="auto"/>
            <w:gridSpan w:val="3"/>
            <w:shd w:val="clear" w:color="auto" w:fill="auto"/>
            <w:vAlign w:val="bottom"/>
          </w:tcPr>
          <w:p w14:paraId="392C6F46" w14:textId="77777777" w:rsidR="00980E5F" w:rsidRDefault="00980E5F">
            <w:pPr>
              <w:rPr>
                <w:rFonts w:ascii="宋体"/>
                <w:vanish/>
              </w:rPr>
            </w:pPr>
          </w:p>
        </w:tc>
        <w:tc>
          <w:tcPr>
            <w:tcW w:w="0" w:type="auto"/>
            <w:gridSpan w:val="3"/>
            <w:shd w:val="clear" w:color="auto" w:fill="auto"/>
            <w:vAlign w:val="bottom"/>
          </w:tcPr>
          <w:p w14:paraId="392C6F47" w14:textId="77777777" w:rsidR="00980E5F" w:rsidRDefault="00980E5F">
            <w:pPr>
              <w:rPr>
                <w:rFonts w:ascii="宋体"/>
                <w:vanish/>
              </w:rPr>
            </w:pPr>
          </w:p>
        </w:tc>
        <w:tc>
          <w:tcPr>
            <w:tcW w:w="0" w:type="auto"/>
            <w:gridSpan w:val="3"/>
            <w:shd w:val="clear" w:color="auto" w:fill="auto"/>
            <w:vAlign w:val="bottom"/>
          </w:tcPr>
          <w:p w14:paraId="392C6F48" w14:textId="77777777" w:rsidR="00980E5F" w:rsidRDefault="00980E5F">
            <w:pPr>
              <w:rPr>
                <w:rFonts w:ascii="宋体"/>
                <w:vanish/>
              </w:rPr>
            </w:pPr>
          </w:p>
        </w:tc>
        <w:tc>
          <w:tcPr>
            <w:tcW w:w="0" w:type="auto"/>
            <w:gridSpan w:val="3"/>
            <w:shd w:val="clear" w:color="auto" w:fill="auto"/>
            <w:vAlign w:val="bottom"/>
          </w:tcPr>
          <w:p w14:paraId="392C6F49" w14:textId="77777777" w:rsidR="00980E5F" w:rsidRDefault="00980E5F">
            <w:pPr>
              <w:rPr>
                <w:rFonts w:ascii="宋体"/>
                <w:vanish/>
              </w:rPr>
            </w:pPr>
          </w:p>
        </w:tc>
      </w:tr>
      <w:tr w:rsidR="00980E5F" w14:paraId="392C6F57" w14:textId="77777777">
        <w:tc>
          <w:tcPr>
            <w:tcW w:w="0" w:type="auto"/>
            <w:gridSpan w:val="3"/>
            <w:shd w:val="clear" w:color="auto" w:fill="CCEEFF"/>
            <w:tcMar>
              <w:top w:w="40" w:type="dxa"/>
              <w:left w:w="20" w:type="dxa"/>
              <w:bottom w:w="40" w:type="dxa"/>
              <w:right w:w="20" w:type="dxa"/>
            </w:tcMar>
            <w:vAlign w:val="bottom"/>
          </w:tcPr>
          <w:p w14:paraId="392C6F4B" w14:textId="77777777" w:rsidR="00980E5F" w:rsidRDefault="00483613">
            <w:pP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4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4D" w14:textId="77777777" w:rsidR="00980E5F" w:rsidRDefault="00483613">
            <w:pPr>
              <w:jc w:val="right"/>
              <w:textAlignment w:val="bottom"/>
            </w:pPr>
            <w:r>
              <w:rPr>
                <w:rFonts w:ascii="Arial" w:eastAsia="宋体" w:hAnsi="Arial" w:cs="Arial"/>
                <w:b/>
                <w:bCs/>
                <w:color w:val="000000"/>
                <w:sz w:val="14"/>
                <w:szCs w:val="14"/>
              </w:rPr>
              <w:t>30,728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4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5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51" w14:textId="77777777" w:rsidR="00980E5F" w:rsidRDefault="00483613">
            <w:pPr>
              <w:jc w:val="right"/>
              <w:textAlignment w:val="bottom"/>
            </w:pPr>
            <w:r>
              <w:rPr>
                <w:rFonts w:ascii="Arial" w:eastAsia="宋体" w:hAnsi="Arial" w:cs="Arial"/>
                <w:b/>
                <w:bCs/>
                <w:color w:val="000000"/>
                <w:sz w:val="14"/>
                <w:szCs w:val="14"/>
              </w:rPr>
              <w:t>2,682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5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5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55" w14:textId="77777777" w:rsidR="00980E5F" w:rsidRDefault="00483613">
            <w:pPr>
              <w:jc w:val="right"/>
              <w:textAlignment w:val="bottom"/>
            </w:pPr>
            <w:r>
              <w:rPr>
                <w:rFonts w:ascii="Arial" w:eastAsia="宋体" w:hAnsi="Arial" w:cs="Arial"/>
                <w:b/>
                <w:bCs/>
                <w:color w:val="000000"/>
                <w:sz w:val="14"/>
                <w:szCs w:val="14"/>
              </w:rPr>
              <w:t>33,410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56" w14:textId="77777777" w:rsidR="00980E5F" w:rsidRDefault="00980E5F">
            <w:pPr>
              <w:jc w:val="right"/>
              <w:rPr>
                <w:rFonts w:ascii="宋体"/>
              </w:rPr>
            </w:pPr>
          </w:p>
        </w:tc>
      </w:tr>
    </w:tbl>
    <w:p w14:paraId="392C6F58"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3149"/>
        <w:gridCol w:w="37"/>
        <w:gridCol w:w="99"/>
        <w:gridCol w:w="1515"/>
        <w:gridCol w:w="36"/>
        <w:gridCol w:w="36"/>
        <w:gridCol w:w="36"/>
        <w:gridCol w:w="36"/>
        <w:gridCol w:w="99"/>
        <w:gridCol w:w="1485"/>
        <w:gridCol w:w="36"/>
        <w:gridCol w:w="36"/>
        <w:gridCol w:w="36"/>
        <w:gridCol w:w="36"/>
        <w:gridCol w:w="98"/>
        <w:gridCol w:w="1486"/>
        <w:gridCol w:w="36"/>
      </w:tblGrid>
      <w:tr w:rsidR="00980E5F" w14:paraId="392C6F6B" w14:textId="77777777">
        <w:tc>
          <w:tcPr>
            <w:tcW w:w="50" w:type="pct"/>
            <w:shd w:val="clear" w:color="auto" w:fill="auto"/>
            <w:vAlign w:val="bottom"/>
          </w:tcPr>
          <w:p w14:paraId="392C6F59" w14:textId="77777777" w:rsidR="00980E5F" w:rsidRDefault="00980E5F">
            <w:pPr>
              <w:rPr>
                <w:rFonts w:ascii="宋体"/>
              </w:rPr>
            </w:pPr>
          </w:p>
        </w:tc>
        <w:tc>
          <w:tcPr>
            <w:tcW w:w="1911" w:type="pct"/>
            <w:shd w:val="clear" w:color="auto" w:fill="auto"/>
            <w:vAlign w:val="bottom"/>
          </w:tcPr>
          <w:p w14:paraId="392C6F5A" w14:textId="77777777" w:rsidR="00980E5F" w:rsidRDefault="00980E5F">
            <w:pPr>
              <w:rPr>
                <w:rFonts w:ascii="宋体"/>
              </w:rPr>
            </w:pPr>
          </w:p>
        </w:tc>
        <w:tc>
          <w:tcPr>
            <w:tcW w:w="5" w:type="pct"/>
            <w:shd w:val="clear" w:color="auto" w:fill="auto"/>
            <w:vAlign w:val="bottom"/>
          </w:tcPr>
          <w:p w14:paraId="392C6F5B" w14:textId="77777777" w:rsidR="00980E5F" w:rsidRDefault="00980E5F">
            <w:pPr>
              <w:rPr>
                <w:rFonts w:ascii="宋体"/>
              </w:rPr>
            </w:pPr>
          </w:p>
        </w:tc>
        <w:tc>
          <w:tcPr>
            <w:tcW w:w="50" w:type="pct"/>
            <w:shd w:val="clear" w:color="auto" w:fill="auto"/>
            <w:vAlign w:val="bottom"/>
          </w:tcPr>
          <w:p w14:paraId="392C6F5C" w14:textId="77777777" w:rsidR="00980E5F" w:rsidRDefault="00980E5F">
            <w:pPr>
              <w:rPr>
                <w:rFonts w:ascii="宋体"/>
              </w:rPr>
            </w:pPr>
          </w:p>
        </w:tc>
        <w:tc>
          <w:tcPr>
            <w:tcW w:w="931" w:type="pct"/>
            <w:shd w:val="clear" w:color="auto" w:fill="auto"/>
            <w:vAlign w:val="bottom"/>
          </w:tcPr>
          <w:p w14:paraId="392C6F5D" w14:textId="77777777" w:rsidR="00980E5F" w:rsidRDefault="00980E5F">
            <w:pPr>
              <w:rPr>
                <w:rFonts w:ascii="宋体"/>
              </w:rPr>
            </w:pPr>
          </w:p>
        </w:tc>
        <w:tc>
          <w:tcPr>
            <w:tcW w:w="5" w:type="pct"/>
            <w:shd w:val="clear" w:color="auto" w:fill="auto"/>
            <w:vAlign w:val="bottom"/>
          </w:tcPr>
          <w:p w14:paraId="392C6F5E" w14:textId="77777777" w:rsidR="00980E5F" w:rsidRDefault="00980E5F">
            <w:pPr>
              <w:rPr>
                <w:rFonts w:ascii="宋体"/>
              </w:rPr>
            </w:pPr>
          </w:p>
        </w:tc>
        <w:tc>
          <w:tcPr>
            <w:tcW w:w="5" w:type="pct"/>
            <w:shd w:val="clear" w:color="auto" w:fill="auto"/>
            <w:vAlign w:val="bottom"/>
          </w:tcPr>
          <w:p w14:paraId="392C6F5F" w14:textId="77777777" w:rsidR="00980E5F" w:rsidRDefault="00980E5F">
            <w:pPr>
              <w:rPr>
                <w:rFonts w:ascii="宋体"/>
              </w:rPr>
            </w:pPr>
          </w:p>
        </w:tc>
        <w:tc>
          <w:tcPr>
            <w:tcW w:w="26" w:type="pct"/>
            <w:shd w:val="clear" w:color="auto" w:fill="auto"/>
            <w:vAlign w:val="bottom"/>
          </w:tcPr>
          <w:p w14:paraId="392C6F60" w14:textId="77777777" w:rsidR="00980E5F" w:rsidRDefault="00980E5F">
            <w:pPr>
              <w:rPr>
                <w:rFonts w:ascii="宋体"/>
              </w:rPr>
            </w:pPr>
          </w:p>
        </w:tc>
        <w:tc>
          <w:tcPr>
            <w:tcW w:w="5" w:type="pct"/>
            <w:shd w:val="clear" w:color="auto" w:fill="auto"/>
            <w:vAlign w:val="bottom"/>
          </w:tcPr>
          <w:p w14:paraId="392C6F61" w14:textId="77777777" w:rsidR="00980E5F" w:rsidRDefault="00980E5F">
            <w:pPr>
              <w:rPr>
                <w:rFonts w:ascii="宋体"/>
              </w:rPr>
            </w:pPr>
          </w:p>
        </w:tc>
        <w:tc>
          <w:tcPr>
            <w:tcW w:w="50" w:type="pct"/>
            <w:shd w:val="clear" w:color="auto" w:fill="auto"/>
            <w:vAlign w:val="bottom"/>
          </w:tcPr>
          <w:p w14:paraId="392C6F62" w14:textId="77777777" w:rsidR="00980E5F" w:rsidRDefault="00980E5F">
            <w:pPr>
              <w:rPr>
                <w:rFonts w:ascii="宋体"/>
              </w:rPr>
            </w:pPr>
          </w:p>
        </w:tc>
        <w:tc>
          <w:tcPr>
            <w:tcW w:w="931" w:type="pct"/>
            <w:shd w:val="clear" w:color="auto" w:fill="auto"/>
            <w:vAlign w:val="bottom"/>
          </w:tcPr>
          <w:p w14:paraId="392C6F63" w14:textId="77777777" w:rsidR="00980E5F" w:rsidRDefault="00980E5F">
            <w:pPr>
              <w:rPr>
                <w:rFonts w:ascii="宋体"/>
              </w:rPr>
            </w:pPr>
          </w:p>
        </w:tc>
        <w:tc>
          <w:tcPr>
            <w:tcW w:w="5" w:type="pct"/>
            <w:shd w:val="clear" w:color="auto" w:fill="auto"/>
            <w:vAlign w:val="bottom"/>
          </w:tcPr>
          <w:p w14:paraId="392C6F64" w14:textId="77777777" w:rsidR="00980E5F" w:rsidRDefault="00980E5F">
            <w:pPr>
              <w:rPr>
                <w:rFonts w:ascii="宋体"/>
              </w:rPr>
            </w:pPr>
          </w:p>
        </w:tc>
        <w:tc>
          <w:tcPr>
            <w:tcW w:w="5" w:type="pct"/>
            <w:shd w:val="clear" w:color="auto" w:fill="auto"/>
            <w:vAlign w:val="bottom"/>
          </w:tcPr>
          <w:p w14:paraId="392C6F65" w14:textId="77777777" w:rsidR="00980E5F" w:rsidRDefault="00980E5F">
            <w:pPr>
              <w:rPr>
                <w:rFonts w:ascii="宋体"/>
              </w:rPr>
            </w:pPr>
          </w:p>
        </w:tc>
        <w:tc>
          <w:tcPr>
            <w:tcW w:w="26" w:type="pct"/>
            <w:shd w:val="clear" w:color="auto" w:fill="auto"/>
            <w:vAlign w:val="bottom"/>
          </w:tcPr>
          <w:p w14:paraId="392C6F66" w14:textId="77777777" w:rsidR="00980E5F" w:rsidRDefault="00980E5F">
            <w:pPr>
              <w:rPr>
                <w:rFonts w:ascii="宋体"/>
              </w:rPr>
            </w:pPr>
          </w:p>
        </w:tc>
        <w:tc>
          <w:tcPr>
            <w:tcW w:w="5" w:type="pct"/>
            <w:shd w:val="clear" w:color="auto" w:fill="auto"/>
            <w:vAlign w:val="bottom"/>
          </w:tcPr>
          <w:p w14:paraId="392C6F67" w14:textId="77777777" w:rsidR="00980E5F" w:rsidRDefault="00980E5F">
            <w:pPr>
              <w:rPr>
                <w:rFonts w:ascii="宋体"/>
              </w:rPr>
            </w:pPr>
          </w:p>
        </w:tc>
        <w:tc>
          <w:tcPr>
            <w:tcW w:w="50" w:type="pct"/>
            <w:shd w:val="clear" w:color="auto" w:fill="auto"/>
            <w:vAlign w:val="bottom"/>
          </w:tcPr>
          <w:p w14:paraId="392C6F68" w14:textId="77777777" w:rsidR="00980E5F" w:rsidRDefault="00980E5F">
            <w:pPr>
              <w:rPr>
                <w:rFonts w:ascii="宋体"/>
              </w:rPr>
            </w:pPr>
          </w:p>
        </w:tc>
        <w:tc>
          <w:tcPr>
            <w:tcW w:w="932" w:type="pct"/>
            <w:shd w:val="clear" w:color="auto" w:fill="auto"/>
            <w:vAlign w:val="bottom"/>
          </w:tcPr>
          <w:p w14:paraId="392C6F69" w14:textId="77777777" w:rsidR="00980E5F" w:rsidRDefault="00980E5F">
            <w:pPr>
              <w:rPr>
                <w:rFonts w:ascii="宋体"/>
              </w:rPr>
            </w:pPr>
          </w:p>
        </w:tc>
        <w:tc>
          <w:tcPr>
            <w:tcW w:w="5" w:type="pct"/>
            <w:shd w:val="clear" w:color="auto" w:fill="auto"/>
            <w:vAlign w:val="bottom"/>
          </w:tcPr>
          <w:p w14:paraId="392C6F6A" w14:textId="77777777" w:rsidR="00980E5F" w:rsidRDefault="00980E5F">
            <w:pPr>
              <w:rPr>
                <w:rFonts w:ascii="宋体"/>
              </w:rPr>
            </w:pPr>
          </w:p>
        </w:tc>
      </w:tr>
      <w:tr w:rsidR="00980E5F" w14:paraId="392C6F72" w14:textId="77777777">
        <w:trPr>
          <w:trHeight w:val="220"/>
        </w:trPr>
        <w:tc>
          <w:tcPr>
            <w:tcW w:w="0" w:type="auto"/>
            <w:gridSpan w:val="3"/>
            <w:shd w:val="clear" w:color="auto" w:fill="auto"/>
            <w:tcMar>
              <w:top w:w="40" w:type="dxa"/>
              <w:left w:w="20" w:type="dxa"/>
              <w:bottom w:w="40" w:type="dxa"/>
              <w:right w:w="20" w:type="dxa"/>
            </w:tcMar>
            <w:vAlign w:val="bottom"/>
          </w:tcPr>
          <w:p w14:paraId="392C6F6C" w14:textId="77777777" w:rsidR="00980E5F" w:rsidRDefault="00483613">
            <w:pPr>
              <w:textAlignment w:val="bottom"/>
            </w:pPr>
            <w:r>
              <w:rPr>
                <w:rFonts w:ascii="Arial" w:eastAsia="宋体" w:hAnsi="Arial" w:cs="Arial"/>
                <w:b/>
                <w:bCs/>
                <w:color w:val="000000"/>
                <w:sz w:val="14"/>
                <w:szCs w:val="14"/>
              </w:rPr>
              <w:t>December 31, 2021</w:t>
            </w:r>
          </w:p>
        </w:tc>
        <w:tc>
          <w:tcPr>
            <w:tcW w:w="0" w:type="auto"/>
            <w:gridSpan w:val="3"/>
            <w:vMerge w:val="restart"/>
            <w:shd w:val="clear" w:color="auto" w:fill="auto"/>
            <w:tcMar>
              <w:top w:w="40" w:type="dxa"/>
              <w:left w:w="20" w:type="dxa"/>
              <w:bottom w:w="40" w:type="dxa"/>
              <w:right w:w="20" w:type="dxa"/>
            </w:tcMar>
            <w:vAlign w:val="bottom"/>
          </w:tcPr>
          <w:p w14:paraId="392C6F6D"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392C6F6E"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6F6F"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392C6F70"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6F71" w14:textId="77777777" w:rsidR="00980E5F" w:rsidRDefault="00483613">
            <w:pPr>
              <w:jc w:val="center"/>
              <w:textAlignment w:val="bottom"/>
            </w:pPr>
            <w:r>
              <w:rPr>
                <w:rFonts w:ascii="Arial" w:eastAsia="宋体" w:hAnsi="Arial" w:cs="Arial"/>
                <w:b/>
                <w:bCs/>
                <w:color w:val="000000"/>
                <w:sz w:val="14"/>
                <w:szCs w:val="14"/>
              </w:rPr>
              <w:t>Total Loans </w:t>
            </w:r>
          </w:p>
        </w:tc>
      </w:tr>
      <w:tr w:rsidR="00980E5F" w14:paraId="392C6F79" w14:textId="77777777">
        <w:trPr>
          <w:trHeight w:val="220"/>
        </w:trPr>
        <w:tc>
          <w:tcPr>
            <w:tcW w:w="0" w:type="auto"/>
            <w:gridSpan w:val="3"/>
            <w:shd w:val="clear" w:color="auto" w:fill="auto"/>
            <w:tcMar>
              <w:top w:w="40" w:type="dxa"/>
              <w:left w:w="20" w:type="dxa"/>
              <w:bottom w:w="40" w:type="dxa"/>
              <w:right w:w="20" w:type="dxa"/>
            </w:tcMar>
            <w:vAlign w:val="bottom"/>
          </w:tcPr>
          <w:p w14:paraId="392C6F73"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392C6F74" w14:textId="77777777" w:rsidR="00980E5F" w:rsidRDefault="00980E5F">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92C6F75"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6F76" w14:textId="77777777" w:rsidR="00980E5F" w:rsidRDefault="00980E5F">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392C6F77"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6F78" w14:textId="77777777" w:rsidR="00980E5F" w:rsidRDefault="00980E5F">
            <w:pPr>
              <w:jc w:val="center"/>
              <w:rPr>
                <w:rFonts w:ascii="宋体"/>
              </w:rPr>
            </w:pPr>
          </w:p>
        </w:tc>
      </w:tr>
      <w:tr w:rsidR="00980E5F" w14:paraId="392C6F86" w14:textId="77777777">
        <w:tc>
          <w:tcPr>
            <w:tcW w:w="0" w:type="auto"/>
            <w:gridSpan w:val="3"/>
            <w:shd w:val="clear" w:color="auto" w:fill="CCEEFF"/>
            <w:tcMar>
              <w:top w:w="40" w:type="dxa"/>
              <w:left w:w="20" w:type="dxa"/>
              <w:bottom w:w="40" w:type="dxa"/>
              <w:right w:w="20" w:type="dxa"/>
            </w:tcMar>
            <w:vAlign w:val="bottom"/>
          </w:tcPr>
          <w:p w14:paraId="392C6F7A" w14:textId="77777777" w:rsidR="00980E5F" w:rsidRDefault="00483613">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6F7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7C" w14:textId="77777777" w:rsidR="00980E5F" w:rsidRDefault="00483613">
            <w:pPr>
              <w:jc w:val="right"/>
              <w:textAlignment w:val="bottom"/>
            </w:pPr>
            <w:r>
              <w:rPr>
                <w:rFonts w:ascii="Arial" w:eastAsia="宋体" w:hAnsi="Arial" w:cs="Arial"/>
                <w:color w:val="000000"/>
                <w:sz w:val="14"/>
                <w:szCs w:val="14"/>
              </w:rPr>
              <w:t>24,974 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7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6F7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80" w14:textId="77777777" w:rsidR="00980E5F" w:rsidRDefault="00483613">
            <w:pPr>
              <w:jc w:val="right"/>
              <w:textAlignment w:val="bottom"/>
            </w:pPr>
            <w:r>
              <w:rPr>
                <w:rFonts w:ascii="Arial" w:eastAsia="宋体" w:hAnsi="Arial" w:cs="Arial"/>
                <w:color w:val="000000"/>
                <w:sz w:val="14"/>
                <w:szCs w:val="14"/>
              </w:rPr>
              <w:t>2,222 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8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6F8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6F84" w14:textId="77777777" w:rsidR="00980E5F" w:rsidRDefault="00483613">
            <w:pPr>
              <w:jc w:val="right"/>
              <w:textAlignment w:val="bottom"/>
            </w:pPr>
            <w:r>
              <w:rPr>
                <w:rFonts w:ascii="Arial" w:eastAsia="宋体" w:hAnsi="Arial" w:cs="Arial"/>
                <w:color w:val="000000"/>
                <w:sz w:val="14"/>
                <w:szCs w:val="14"/>
              </w:rPr>
              <w:t>27,196 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6F85" w14:textId="77777777" w:rsidR="00980E5F" w:rsidRDefault="00980E5F">
            <w:pPr>
              <w:jc w:val="right"/>
              <w:rPr>
                <w:rFonts w:ascii="宋体"/>
              </w:rPr>
            </w:pPr>
          </w:p>
        </w:tc>
      </w:tr>
      <w:tr w:rsidR="00980E5F" w14:paraId="392C6F90" w14:textId="77777777">
        <w:tc>
          <w:tcPr>
            <w:tcW w:w="0" w:type="auto"/>
            <w:gridSpan w:val="3"/>
            <w:shd w:val="clear" w:color="auto" w:fill="FFFFFF"/>
            <w:tcMar>
              <w:top w:w="40" w:type="dxa"/>
              <w:left w:w="20" w:type="dxa"/>
              <w:bottom w:w="40" w:type="dxa"/>
              <w:right w:w="20" w:type="dxa"/>
            </w:tcMar>
            <w:vAlign w:val="bottom"/>
          </w:tcPr>
          <w:p w14:paraId="392C6F87"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6F88" w14:textId="77777777" w:rsidR="00980E5F" w:rsidRDefault="00483613">
            <w:pPr>
              <w:jc w:val="right"/>
              <w:textAlignment w:val="bottom"/>
            </w:pPr>
            <w:r>
              <w:rPr>
                <w:rFonts w:ascii="Arial" w:eastAsia="宋体" w:hAnsi="Arial" w:cs="Arial"/>
                <w:color w:val="000000"/>
                <w:sz w:val="14"/>
                <w:szCs w:val="14"/>
              </w:rPr>
              <w:t>4,714 </w:t>
            </w:r>
          </w:p>
        </w:tc>
        <w:tc>
          <w:tcPr>
            <w:tcW w:w="0" w:type="auto"/>
            <w:shd w:val="clear" w:color="auto" w:fill="FFFFFF"/>
            <w:tcMar>
              <w:top w:w="40" w:type="dxa"/>
              <w:left w:w="0" w:type="dxa"/>
              <w:bottom w:w="40" w:type="dxa"/>
              <w:right w:w="20" w:type="dxa"/>
            </w:tcMar>
            <w:vAlign w:val="bottom"/>
          </w:tcPr>
          <w:p w14:paraId="392C6F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8B" w14:textId="77777777" w:rsidR="00980E5F" w:rsidRDefault="00483613">
            <w:pPr>
              <w:jc w:val="right"/>
              <w:textAlignment w:val="bottom"/>
            </w:pPr>
            <w:r>
              <w:rPr>
                <w:rFonts w:ascii="Arial" w:eastAsia="宋体" w:hAnsi="Arial" w:cs="Arial"/>
                <w:color w:val="000000"/>
                <w:sz w:val="14"/>
                <w:szCs w:val="14"/>
              </w:rPr>
              <w:t>270 </w:t>
            </w:r>
          </w:p>
        </w:tc>
        <w:tc>
          <w:tcPr>
            <w:tcW w:w="0" w:type="auto"/>
            <w:shd w:val="clear" w:color="auto" w:fill="FFFFFF"/>
            <w:tcMar>
              <w:top w:w="40" w:type="dxa"/>
              <w:left w:w="0" w:type="dxa"/>
              <w:bottom w:w="40" w:type="dxa"/>
              <w:right w:w="20" w:type="dxa"/>
            </w:tcMar>
            <w:vAlign w:val="bottom"/>
          </w:tcPr>
          <w:p w14:paraId="392C6F8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8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8E" w14:textId="77777777" w:rsidR="00980E5F" w:rsidRDefault="00483613">
            <w:pPr>
              <w:jc w:val="right"/>
              <w:textAlignment w:val="bottom"/>
            </w:pPr>
            <w:r>
              <w:rPr>
                <w:rFonts w:ascii="Arial" w:eastAsia="宋体" w:hAnsi="Arial" w:cs="Arial"/>
                <w:color w:val="000000"/>
                <w:sz w:val="14"/>
                <w:szCs w:val="14"/>
              </w:rPr>
              <w:t>4,984 </w:t>
            </w:r>
          </w:p>
        </w:tc>
        <w:tc>
          <w:tcPr>
            <w:tcW w:w="0" w:type="auto"/>
            <w:shd w:val="clear" w:color="auto" w:fill="FFFFFF"/>
            <w:tcMar>
              <w:top w:w="40" w:type="dxa"/>
              <w:left w:w="0" w:type="dxa"/>
              <w:bottom w:w="40" w:type="dxa"/>
              <w:right w:w="20" w:type="dxa"/>
            </w:tcMar>
            <w:vAlign w:val="bottom"/>
          </w:tcPr>
          <w:p w14:paraId="392C6F8F" w14:textId="77777777" w:rsidR="00980E5F" w:rsidRDefault="00980E5F">
            <w:pPr>
              <w:jc w:val="right"/>
              <w:rPr>
                <w:rFonts w:ascii="宋体"/>
              </w:rPr>
            </w:pPr>
          </w:p>
        </w:tc>
      </w:tr>
      <w:tr w:rsidR="00980E5F" w14:paraId="392C6F9A" w14:textId="77777777">
        <w:tc>
          <w:tcPr>
            <w:tcW w:w="0" w:type="auto"/>
            <w:gridSpan w:val="3"/>
            <w:shd w:val="clear" w:color="auto" w:fill="CCEEFF"/>
            <w:tcMar>
              <w:top w:w="40" w:type="dxa"/>
              <w:left w:w="20" w:type="dxa"/>
              <w:bottom w:w="40" w:type="dxa"/>
              <w:right w:w="20" w:type="dxa"/>
            </w:tcMar>
            <w:vAlign w:val="bottom"/>
          </w:tcPr>
          <w:p w14:paraId="392C6F91"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92C6F92" w14:textId="77777777" w:rsidR="00980E5F" w:rsidRDefault="00483613">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392C6F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F95" w14:textId="77777777" w:rsidR="00980E5F" w:rsidRDefault="00483613">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392C6F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6F98" w14:textId="77777777" w:rsidR="00980E5F" w:rsidRDefault="00483613">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392C6F99" w14:textId="77777777" w:rsidR="00980E5F" w:rsidRDefault="00980E5F">
            <w:pPr>
              <w:jc w:val="right"/>
              <w:rPr>
                <w:rFonts w:ascii="宋体"/>
              </w:rPr>
            </w:pPr>
          </w:p>
        </w:tc>
      </w:tr>
      <w:tr w:rsidR="00980E5F" w14:paraId="392C6FA4" w14:textId="77777777">
        <w:tc>
          <w:tcPr>
            <w:tcW w:w="0" w:type="auto"/>
            <w:gridSpan w:val="3"/>
            <w:shd w:val="clear" w:color="auto" w:fill="FFFFFF"/>
            <w:tcMar>
              <w:top w:w="40" w:type="dxa"/>
              <w:left w:w="20" w:type="dxa"/>
              <w:bottom w:w="40" w:type="dxa"/>
              <w:right w:w="20" w:type="dxa"/>
            </w:tcMar>
            <w:vAlign w:val="bottom"/>
          </w:tcPr>
          <w:p w14:paraId="392C6F9B"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92C6F9C" w14:textId="77777777" w:rsidR="00980E5F" w:rsidRDefault="00483613">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392C6F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9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6F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6F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6FA2" w14:textId="77777777" w:rsidR="00980E5F" w:rsidRDefault="00483613">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392C6FA3" w14:textId="77777777" w:rsidR="00980E5F" w:rsidRDefault="00980E5F">
            <w:pPr>
              <w:jc w:val="right"/>
              <w:rPr>
                <w:rFonts w:ascii="宋体"/>
              </w:rPr>
            </w:pPr>
          </w:p>
        </w:tc>
      </w:tr>
      <w:tr w:rsidR="00980E5F" w14:paraId="392C6FAB" w14:textId="77777777">
        <w:trPr>
          <w:hidden/>
        </w:trPr>
        <w:tc>
          <w:tcPr>
            <w:tcW w:w="0" w:type="auto"/>
            <w:gridSpan w:val="3"/>
            <w:shd w:val="clear" w:color="auto" w:fill="auto"/>
            <w:vAlign w:val="bottom"/>
          </w:tcPr>
          <w:p w14:paraId="392C6FA5" w14:textId="77777777" w:rsidR="00980E5F" w:rsidRDefault="00980E5F">
            <w:pPr>
              <w:rPr>
                <w:rFonts w:ascii="宋体"/>
                <w:vanish/>
              </w:rPr>
            </w:pPr>
          </w:p>
        </w:tc>
        <w:tc>
          <w:tcPr>
            <w:tcW w:w="0" w:type="auto"/>
            <w:gridSpan w:val="3"/>
            <w:shd w:val="clear" w:color="auto" w:fill="auto"/>
            <w:vAlign w:val="bottom"/>
          </w:tcPr>
          <w:p w14:paraId="392C6FA6" w14:textId="77777777" w:rsidR="00980E5F" w:rsidRDefault="00980E5F">
            <w:pPr>
              <w:rPr>
                <w:rFonts w:ascii="宋体"/>
                <w:vanish/>
              </w:rPr>
            </w:pPr>
          </w:p>
        </w:tc>
        <w:tc>
          <w:tcPr>
            <w:tcW w:w="0" w:type="auto"/>
            <w:gridSpan w:val="3"/>
            <w:shd w:val="clear" w:color="auto" w:fill="auto"/>
            <w:vAlign w:val="bottom"/>
          </w:tcPr>
          <w:p w14:paraId="392C6FA7" w14:textId="77777777" w:rsidR="00980E5F" w:rsidRDefault="00980E5F">
            <w:pPr>
              <w:rPr>
                <w:rFonts w:ascii="宋体"/>
                <w:vanish/>
              </w:rPr>
            </w:pPr>
          </w:p>
        </w:tc>
        <w:tc>
          <w:tcPr>
            <w:tcW w:w="0" w:type="auto"/>
            <w:gridSpan w:val="3"/>
            <w:shd w:val="clear" w:color="auto" w:fill="auto"/>
            <w:vAlign w:val="bottom"/>
          </w:tcPr>
          <w:p w14:paraId="392C6FA8" w14:textId="77777777" w:rsidR="00980E5F" w:rsidRDefault="00980E5F">
            <w:pPr>
              <w:rPr>
                <w:rFonts w:ascii="宋体"/>
                <w:vanish/>
              </w:rPr>
            </w:pPr>
          </w:p>
        </w:tc>
        <w:tc>
          <w:tcPr>
            <w:tcW w:w="0" w:type="auto"/>
            <w:gridSpan w:val="3"/>
            <w:shd w:val="clear" w:color="auto" w:fill="auto"/>
            <w:vAlign w:val="bottom"/>
          </w:tcPr>
          <w:p w14:paraId="392C6FA9" w14:textId="77777777" w:rsidR="00980E5F" w:rsidRDefault="00980E5F">
            <w:pPr>
              <w:rPr>
                <w:rFonts w:ascii="宋体"/>
                <w:vanish/>
              </w:rPr>
            </w:pPr>
          </w:p>
        </w:tc>
        <w:tc>
          <w:tcPr>
            <w:tcW w:w="0" w:type="auto"/>
            <w:gridSpan w:val="3"/>
            <w:shd w:val="clear" w:color="auto" w:fill="auto"/>
            <w:vAlign w:val="bottom"/>
          </w:tcPr>
          <w:p w14:paraId="392C6FAA" w14:textId="77777777" w:rsidR="00980E5F" w:rsidRDefault="00980E5F">
            <w:pPr>
              <w:rPr>
                <w:rFonts w:ascii="宋体"/>
                <w:vanish/>
              </w:rPr>
            </w:pPr>
          </w:p>
        </w:tc>
      </w:tr>
      <w:tr w:rsidR="00980E5F" w14:paraId="392C6FB8" w14:textId="77777777">
        <w:tc>
          <w:tcPr>
            <w:tcW w:w="0" w:type="auto"/>
            <w:gridSpan w:val="3"/>
            <w:shd w:val="clear" w:color="auto" w:fill="CCEEFF"/>
            <w:tcMar>
              <w:top w:w="40" w:type="dxa"/>
              <w:left w:w="20" w:type="dxa"/>
              <w:bottom w:w="40" w:type="dxa"/>
              <w:right w:w="20" w:type="dxa"/>
            </w:tcMar>
            <w:vAlign w:val="bottom"/>
          </w:tcPr>
          <w:p w14:paraId="392C6FAC" w14:textId="77777777" w:rsidR="00980E5F" w:rsidRDefault="00483613">
            <w:pP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A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AE" w14:textId="77777777" w:rsidR="00980E5F" w:rsidRDefault="00483613">
            <w:pPr>
              <w:jc w:val="right"/>
              <w:textAlignment w:val="bottom"/>
            </w:pPr>
            <w:r>
              <w:rPr>
                <w:rFonts w:ascii="Arial" w:eastAsia="宋体" w:hAnsi="Arial" w:cs="Arial"/>
                <w:color w:val="000000"/>
                <w:sz w:val="14"/>
                <w:szCs w:val="14"/>
              </w:rPr>
              <w:t>29,970 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B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B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B2" w14:textId="77777777" w:rsidR="00980E5F" w:rsidRDefault="00483613">
            <w:pPr>
              <w:jc w:val="right"/>
              <w:textAlignment w:val="bottom"/>
            </w:pPr>
            <w:r>
              <w:rPr>
                <w:rFonts w:ascii="Arial" w:eastAsia="宋体" w:hAnsi="Arial" w:cs="Arial"/>
                <w:color w:val="000000"/>
                <w:sz w:val="14"/>
                <w:szCs w:val="14"/>
              </w:rPr>
              <w:t>2,554 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6FB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6FB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6FB6" w14:textId="77777777" w:rsidR="00980E5F" w:rsidRDefault="00483613">
            <w:pPr>
              <w:jc w:val="right"/>
              <w:textAlignment w:val="bottom"/>
            </w:pPr>
            <w:r>
              <w:rPr>
                <w:rFonts w:ascii="Arial" w:eastAsia="宋体" w:hAnsi="Arial" w:cs="Arial"/>
                <w:color w:val="000000"/>
                <w:sz w:val="14"/>
                <w:szCs w:val="14"/>
              </w:rPr>
              <w:t>32,524 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6FB7" w14:textId="77777777" w:rsidR="00980E5F" w:rsidRDefault="00980E5F">
            <w:pPr>
              <w:jc w:val="right"/>
              <w:rPr>
                <w:rFonts w:ascii="宋体"/>
              </w:rPr>
            </w:pPr>
          </w:p>
        </w:tc>
      </w:tr>
    </w:tbl>
    <w:p w14:paraId="392C6FB9" w14:textId="77777777" w:rsidR="00980E5F" w:rsidRDefault="00980E5F">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980E5F" w14:paraId="392C6FC3" w14:textId="77777777">
        <w:tc>
          <w:tcPr>
            <w:tcW w:w="50" w:type="pct"/>
            <w:shd w:val="clear" w:color="auto" w:fill="auto"/>
            <w:vAlign w:val="bottom"/>
          </w:tcPr>
          <w:p w14:paraId="392C6FBA" w14:textId="77777777" w:rsidR="00980E5F" w:rsidRDefault="00980E5F">
            <w:pPr>
              <w:rPr>
                <w:rFonts w:ascii="宋体"/>
              </w:rPr>
            </w:pPr>
          </w:p>
        </w:tc>
        <w:tc>
          <w:tcPr>
            <w:tcW w:w="2963" w:type="pct"/>
            <w:shd w:val="clear" w:color="auto" w:fill="auto"/>
            <w:vAlign w:val="bottom"/>
          </w:tcPr>
          <w:p w14:paraId="392C6FBB" w14:textId="77777777" w:rsidR="00980E5F" w:rsidRDefault="00980E5F">
            <w:pPr>
              <w:rPr>
                <w:rFonts w:ascii="宋体"/>
              </w:rPr>
            </w:pPr>
          </w:p>
        </w:tc>
        <w:tc>
          <w:tcPr>
            <w:tcW w:w="5" w:type="pct"/>
            <w:shd w:val="clear" w:color="auto" w:fill="auto"/>
            <w:vAlign w:val="bottom"/>
          </w:tcPr>
          <w:p w14:paraId="392C6FBC" w14:textId="77777777" w:rsidR="00980E5F" w:rsidRDefault="00980E5F">
            <w:pPr>
              <w:rPr>
                <w:rFonts w:ascii="宋体"/>
              </w:rPr>
            </w:pPr>
          </w:p>
        </w:tc>
        <w:tc>
          <w:tcPr>
            <w:tcW w:w="5" w:type="pct"/>
            <w:shd w:val="clear" w:color="auto" w:fill="auto"/>
            <w:vAlign w:val="bottom"/>
          </w:tcPr>
          <w:p w14:paraId="392C6FBD" w14:textId="77777777" w:rsidR="00980E5F" w:rsidRDefault="00980E5F">
            <w:pPr>
              <w:rPr>
                <w:rFonts w:ascii="宋体"/>
              </w:rPr>
            </w:pPr>
          </w:p>
        </w:tc>
        <w:tc>
          <w:tcPr>
            <w:tcW w:w="68" w:type="pct"/>
            <w:shd w:val="clear" w:color="auto" w:fill="auto"/>
            <w:vAlign w:val="bottom"/>
          </w:tcPr>
          <w:p w14:paraId="392C6FBE" w14:textId="77777777" w:rsidR="00980E5F" w:rsidRDefault="00980E5F">
            <w:pPr>
              <w:rPr>
                <w:rFonts w:ascii="宋体"/>
              </w:rPr>
            </w:pPr>
          </w:p>
        </w:tc>
        <w:tc>
          <w:tcPr>
            <w:tcW w:w="5" w:type="pct"/>
            <w:shd w:val="clear" w:color="auto" w:fill="auto"/>
            <w:vAlign w:val="bottom"/>
          </w:tcPr>
          <w:p w14:paraId="392C6FBF" w14:textId="77777777" w:rsidR="00980E5F" w:rsidRDefault="00980E5F">
            <w:pPr>
              <w:rPr>
                <w:rFonts w:ascii="宋体"/>
              </w:rPr>
            </w:pPr>
          </w:p>
        </w:tc>
        <w:tc>
          <w:tcPr>
            <w:tcW w:w="50" w:type="pct"/>
            <w:shd w:val="clear" w:color="auto" w:fill="auto"/>
            <w:vAlign w:val="bottom"/>
          </w:tcPr>
          <w:p w14:paraId="392C6FC0" w14:textId="77777777" w:rsidR="00980E5F" w:rsidRDefault="00980E5F">
            <w:pPr>
              <w:rPr>
                <w:rFonts w:ascii="宋体"/>
              </w:rPr>
            </w:pPr>
          </w:p>
        </w:tc>
        <w:tc>
          <w:tcPr>
            <w:tcW w:w="1847" w:type="pct"/>
            <w:shd w:val="clear" w:color="auto" w:fill="auto"/>
            <w:vAlign w:val="bottom"/>
          </w:tcPr>
          <w:p w14:paraId="392C6FC1" w14:textId="77777777" w:rsidR="00980E5F" w:rsidRDefault="00980E5F">
            <w:pPr>
              <w:rPr>
                <w:rFonts w:ascii="宋体"/>
              </w:rPr>
            </w:pPr>
          </w:p>
        </w:tc>
        <w:tc>
          <w:tcPr>
            <w:tcW w:w="5" w:type="pct"/>
            <w:shd w:val="clear" w:color="auto" w:fill="auto"/>
            <w:vAlign w:val="bottom"/>
          </w:tcPr>
          <w:p w14:paraId="392C6FC2" w14:textId="77777777" w:rsidR="00980E5F" w:rsidRDefault="00980E5F">
            <w:pPr>
              <w:rPr>
                <w:rFonts w:ascii="宋体"/>
              </w:rPr>
            </w:pPr>
          </w:p>
        </w:tc>
      </w:tr>
      <w:tr w:rsidR="00980E5F" w14:paraId="392C6FC7" w14:textId="77777777">
        <w:trPr>
          <w:trHeight w:val="60"/>
        </w:trPr>
        <w:tc>
          <w:tcPr>
            <w:tcW w:w="0" w:type="auto"/>
            <w:gridSpan w:val="3"/>
            <w:shd w:val="clear" w:color="auto" w:fill="auto"/>
            <w:tcMar>
              <w:top w:w="0" w:type="dxa"/>
              <w:left w:w="20" w:type="dxa"/>
              <w:bottom w:w="0" w:type="dxa"/>
              <w:right w:w="20" w:type="dxa"/>
            </w:tcMar>
            <w:vAlign w:val="bottom"/>
          </w:tcPr>
          <w:p w14:paraId="392C6F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F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FC6" w14:textId="77777777" w:rsidR="00980E5F" w:rsidRDefault="00980E5F">
            <w:pPr>
              <w:rPr>
                <w:rFonts w:ascii="宋体"/>
              </w:rPr>
            </w:pPr>
          </w:p>
        </w:tc>
      </w:tr>
      <w:tr w:rsidR="00980E5F" w14:paraId="392C6FC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6F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FC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6FCA" w14:textId="77777777" w:rsidR="00980E5F" w:rsidRDefault="00980E5F">
            <w:pPr>
              <w:rPr>
                <w:rFonts w:ascii="宋体"/>
              </w:rPr>
            </w:pPr>
          </w:p>
        </w:tc>
      </w:tr>
    </w:tbl>
    <w:p w14:paraId="392C6FCC" w14:textId="77777777" w:rsidR="00980E5F" w:rsidRDefault="00483613">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$4.83 billion and $3.11 billion of overdrafts as of June 30, 2022 and </w:t>
      </w:r>
      <w:r>
        <w:rPr>
          <w:rFonts w:ascii="Arial" w:eastAsia="宋体" w:hAnsi="Arial" w:cs="Arial"/>
          <w:color w:val="000000"/>
          <w:sz w:val="14"/>
          <w:szCs w:val="14"/>
        </w:rPr>
        <w:t>December 31, 2021,</w:t>
      </w:r>
      <w:r>
        <w:rPr>
          <w:rFonts w:ascii="Arial" w:eastAsia="宋体" w:hAnsi="Arial" w:cs="Arial"/>
          <w:color w:val="000000"/>
          <w:sz w:val="13"/>
          <w:szCs w:val="13"/>
        </w:rPr>
        <w:t xml:space="preserve"> respectively. Overdrafts are short-term in nature and do not present a significant credit risk to us. As of June 30, 2022, $4.47 billion overdrafts were investment grade, $356 million overdrafts were speculative and $2 million were substandard.</w:t>
      </w:r>
    </w:p>
    <w:p w14:paraId="392C6FCD" w14:textId="77777777" w:rsidR="00980E5F" w:rsidRDefault="00483613">
      <w:pPr>
        <w:jc w:val="both"/>
      </w:pPr>
      <w:r>
        <w:rPr>
          <w:rFonts w:ascii="Arial" w:eastAsia="宋体" w:hAnsi="Arial" w:cs="Arial"/>
          <w:color w:val="000000"/>
          <w:sz w:val="8"/>
          <w:szCs w:val="8"/>
        </w:rPr>
        <w:t>(2)</w:t>
      </w:r>
      <w:r>
        <w:rPr>
          <w:rFonts w:ascii="Arial" w:eastAsia="宋体" w:hAnsi="Arial" w:cs="Arial"/>
          <w:color w:val="000000"/>
          <w:sz w:val="13"/>
          <w:szCs w:val="13"/>
        </w:rPr>
        <w:t xml:space="preserve"> Total </w:t>
      </w:r>
      <w:r>
        <w:rPr>
          <w:rFonts w:ascii="Arial" w:eastAsia="宋体" w:hAnsi="Arial" w:cs="Arial"/>
          <w:color w:val="000000"/>
          <w:sz w:val="13"/>
          <w:szCs w:val="13"/>
        </w:rPr>
        <w:t>does not include $155 million and $8 million of loans classified as held-for-sale as of June 30, 2022 and December 31, 2021, respectively.</w:t>
      </w:r>
    </w:p>
    <w:p w14:paraId="392C6FCE" w14:textId="77777777" w:rsidR="00980E5F" w:rsidRDefault="00483613">
      <w:pPr>
        <w:spacing w:before="60"/>
        <w:ind w:firstLine="450"/>
        <w:jc w:val="both"/>
      </w:pPr>
      <w:r>
        <w:rPr>
          <w:rFonts w:ascii="Arial" w:eastAsia="宋体" w:hAnsi="Arial" w:cs="Arial"/>
          <w:color w:val="000000"/>
          <w:sz w:val="20"/>
          <w:szCs w:val="20"/>
        </w:rPr>
        <w:t>For additional information about credit quality, refer to pages 151 to 154 in Note 4 to the consolidated financial st</w:t>
      </w:r>
      <w:r>
        <w:rPr>
          <w:rFonts w:ascii="Arial" w:eastAsia="宋体" w:hAnsi="Arial" w:cs="Arial"/>
          <w:color w:val="000000"/>
          <w:sz w:val="20"/>
          <w:szCs w:val="20"/>
        </w:rPr>
        <w:t>atements included under Item 8, Financial Statements and Supplementary Data, in our 2021 Form 10-K.</w:t>
      </w:r>
    </w:p>
    <w:p w14:paraId="392C6FCF" w14:textId="77777777" w:rsidR="00980E5F" w:rsidRDefault="00483613">
      <w:pPr>
        <w:spacing w:before="60"/>
        <w:ind w:firstLine="450"/>
        <w:jc w:val="both"/>
      </w:pPr>
      <w:r>
        <w:rPr>
          <w:rFonts w:ascii="Arial" w:eastAsia="宋体" w:hAnsi="Arial" w:cs="Arial"/>
          <w:color w:val="000000"/>
          <w:sz w:val="20"/>
          <w:szCs w:val="20"/>
        </w:rPr>
        <w:t>The following table presents the amortized cost basis, by year of origination and credit quality indicator, as of June 30, 2022. For origination years befor</w:t>
      </w:r>
      <w:r>
        <w:rPr>
          <w:rFonts w:ascii="Arial" w:eastAsia="宋体" w:hAnsi="Arial" w:cs="Arial"/>
          <w:color w:val="000000"/>
          <w:sz w:val="20"/>
          <w:szCs w:val="20"/>
        </w:rPr>
        <w:t xml:space="preserve">e the fifth annual period, we present the aggregate amortized cost basis of loans. For purchased loans, the date of issuance is used to determine the year of origination, not the date of acquisition. For modified, extended or renewed lending arrangements, </w:t>
      </w:r>
      <w:r>
        <w:rPr>
          <w:rFonts w:ascii="Arial" w:eastAsia="宋体" w:hAnsi="Arial" w:cs="Arial"/>
          <w:color w:val="000000"/>
          <w:sz w:val="20"/>
          <w:szCs w:val="20"/>
        </w:rPr>
        <w:t>we evaluate whether a credit event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980E5F" w14:paraId="392C7002" w14:textId="77777777">
        <w:tc>
          <w:tcPr>
            <w:tcW w:w="50" w:type="pct"/>
            <w:shd w:val="clear" w:color="auto" w:fill="auto"/>
            <w:vAlign w:val="bottom"/>
          </w:tcPr>
          <w:p w14:paraId="392C6FD0" w14:textId="77777777" w:rsidR="00980E5F" w:rsidRDefault="00980E5F">
            <w:pPr>
              <w:rPr>
                <w:rFonts w:ascii="宋体"/>
              </w:rPr>
            </w:pPr>
          </w:p>
        </w:tc>
        <w:tc>
          <w:tcPr>
            <w:tcW w:w="1458" w:type="pct"/>
            <w:shd w:val="clear" w:color="auto" w:fill="auto"/>
            <w:vAlign w:val="bottom"/>
          </w:tcPr>
          <w:p w14:paraId="392C6FD1" w14:textId="77777777" w:rsidR="00980E5F" w:rsidRDefault="00980E5F">
            <w:pPr>
              <w:rPr>
                <w:rFonts w:ascii="宋体"/>
              </w:rPr>
            </w:pPr>
          </w:p>
        </w:tc>
        <w:tc>
          <w:tcPr>
            <w:tcW w:w="5" w:type="pct"/>
            <w:shd w:val="clear" w:color="auto" w:fill="auto"/>
            <w:vAlign w:val="bottom"/>
          </w:tcPr>
          <w:p w14:paraId="392C6FD2" w14:textId="77777777" w:rsidR="00980E5F" w:rsidRDefault="00980E5F">
            <w:pPr>
              <w:rPr>
                <w:rFonts w:ascii="宋体"/>
              </w:rPr>
            </w:pPr>
          </w:p>
        </w:tc>
        <w:tc>
          <w:tcPr>
            <w:tcW w:w="50" w:type="pct"/>
            <w:shd w:val="clear" w:color="auto" w:fill="auto"/>
            <w:vAlign w:val="bottom"/>
          </w:tcPr>
          <w:p w14:paraId="392C6FD3" w14:textId="77777777" w:rsidR="00980E5F" w:rsidRDefault="00980E5F">
            <w:pPr>
              <w:rPr>
                <w:rFonts w:ascii="宋体"/>
              </w:rPr>
            </w:pPr>
          </w:p>
        </w:tc>
        <w:tc>
          <w:tcPr>
            <w:tcW w:w="317" w:type="pct"/>
            <w:shd w:val="clear" w:color="auto" w:fill="auto"/>
            <w:vAlign w:val="bottom"/>
          </w:tcPr>
          <w:p w14:paraId="392C6FD4" w14:textId="77777777" w:rsidR="00980E5F" w:rsidRDefault="00980E5F">
            <w:pPr>
              <w:rPr>
                <w:rFonts w:ascii="宋体"/>
              </w:rPr>
            </w:pPr>
          </w:p>
        </w:tc>
        <w:tc>
          <w:tcPr>
            <w:tcW w:w="5" w:type="pct"/>
            <w:shd w:val="clear" w:color="auto" w:fill="auto"/>
            <w:vAlign w:val="bottom"/>
          </w:tcPr>
          <w:p w14:paraId="392C6FD5" w14:textId="77777777" w:rsidR="00980E5F" w:rsidRDefault="00980E5F">
            <w:pPr>
              <w:rPr>
                <w:rFonts w:ascii="宋体"/>
              </w:rPr>
            </w:pPr>
          </w:p>
        </w:tc>
        <w:tc>
          <w:tcPr>
            <w:tcW w:w="5" w:type="pct"/>
            <w:shd w:val="clear" w:color="auto" w:fill="auto"/>
            <w:vAlign w:val="bottom"/>
          </w:tcPr>
          <w:p w14:paraId="392C6FD6" w14:textId="77777777" w:rsidR="00980E5F" w:rsidRDefault="00980E5F">
            <w:pPr>
              <w:rPr>
                <w:rFonts w:ascii="宋体"/>
              </w:rPr>
            </w:pPr>
          </w:p>
        </w:tc>
        <w:tc>
          <w:tcPr>
            <w:tcW w:w="26" w:type="pct"/>
            <w:shd w:val="clear" w:color="auto" w:fill="auto"/>
            <w:vAlign w:val="bottom"/>
          </w:tcPr>
          <w:p w14:paraId="392C6FD7" w14:textId="77777777" w:rsidR="00980E5F" w:rsidRDefault="00980E5F">
            <w:pPr>
              <w:rPr>
                <w:rFonts w:ascii="宋体"/>
              </w:rPr>
            </w:pPr>
          </w:p>
        </w:tc>
        <w:tc>
          <w:tcPr>
            <w:tcW w:w="5" w:type="pct"/>
            <w:shd w:val="clear" w:color="auto" w:fill="auto"/>
            <w:vAlign w:val="bottom"/>
          </w:tcPr>
          <w:p w14:paraId="392C6FD8" w14:textId="77777777" w:rsidR="00980E5F" w:rsidRDefault="00980E5F">
            <w:pPr>
              <w:rPr>
                <w:rFonts w:ascii="宋体"/>
              </w:rPr>
            </w:pPr>
          </w:p>
        </w:tc>
        <w:tc>
          <w:tcPr>
            <w:tcW w:w="50" w:type="pct"/>
            <w:shd w:val="clear" w:color="auto" w:fill="auto"/>
            <w:vAlign w:val="bottom"/>
          </w:tcPr>
          <w:p w14:paraId="392C6FD9" w14:textId="77777777" w:rsidR="00980E5F" w:rsidRDefault="00980E5F">
            <w:pPr>
              <w:rPr>
                <w:rFonts w:ascii="宋体"/>
              </w:rPr>
            </w:pPr>
          </w:p>
        </w:tc>
        <w:tc>
          <w:tcPr>
            <w:tcW w:w="317" w:type="pct"/>
            <w:shd w:val="clear" w:color="auto" w:fill="auto"/>
            <w:vAlign w:val="bottom"/>
          </w:tcPr>
          <w:p w14:paraId="392C6FDA" w14:textId="77777777" w:rsidR="00980E5F" w:rsidRDefault="00980E5F">
            <w:pPr>
              <w:rPr>
                <w:rFonts w:ascii="宋体"/>
              </w:rPr>
            </w:pPr>
          </w:p>
        </w:tc>
        <w:tc>
          <w:tcPr>
            <w:tcW w:w="5" w:type="pct"/>
            <w:shd w:val="clear" w:color="auto" w:fill="auto"/>
            <w:vAlign w:val="bottom"/>
          </w:tcPr>
          <w:p w14:paraId="392C6FDB" w14:textId="77777777" w:rsidR="00980E5F" w:rsidRDefault="00980E5F">
            <w:pPr>
              <w:rPr>
                <w:rFonts w:ascii="宋体"/>
              </w:rPr>
            </w:pPr>
          </w:p>
        </w:tc>
        <w:tc>
          <w:tcPr>
            <w:tcW w:w="5" w:type="pct"/>
            <w:shd w:val="clear" w:color="auto" w:fill="auto"/>
            <w:vAlign w:val="bottom"/>
          </w:tcPr>
          <w:p w14:paraId="392C6FDC" w14:textId="77777777" w:rsidR="00980E5F" w:rsidRDefault="00980E5F">
            <w:pPr>
              <w:rPr>
                <w:rFonts w:ascii="宋体"/>
              </w:rPr>
            </w:pPr>
          </w:p>
        </w:tc>
        <w:tc>
          <w:tcPr>
            <w:tcW w:w="26" w:type="pct"/>
            <w:shd w:val="clear" w:color="auto" w:fill="auto"/>
            <w:vAlign w:val="bottom"/>
          </w:tcPr>
          <w:p w14:paraId="392C6FDD" w14:textId="77777777" w:rsidR="00980E5F" w:rsidRDefault="00980E5F">
            <w:pPr>
              <w:rPr>
                <w:rFonts w:ascii="宋体"/>
              </w:rPr>
            </w:pPr>
          </w:p>
        </w:tc>
        <w:tc>
          <w:tcPr>
            <w:tcW w:w="5" w:type="pct"/>
            <w:shd w:val="clear" w:color="auto" w:fill="auto"/>
            <w:vAlign w:val="bottom"/>
          </w:tcPr>
          <w:p w14:paraId="392C6FDE" w14:textId="77777777" w:rsidR="00980E5F" w:rsidRDefault="00980E5F">
            <w:pPr>
              <w:rPr>
                <w:rFonts w:ascii="宋体"/>
              </w:rPr>
            </w:pPr>
          </w:p>
        </w:tc>
        <w:tc>
          <w:tcPr>
            <w:tcW w:w="50" w:type="pct"/>
            <w:shd w:val="clear" w:color="auto" w:fill="auto"/>
            <w:vAlign w:val="bottom"/>
          </w:tcPr>
          <w:p w14:paraId="392C6FDF" w14:textId="77777777" w:rsidR="00980E5F" w:rsidRDefault="00980E5F">
            <w:pPr>
              <w:rPr>
                <w:rFonts w:ascii="宋体"/>
              </w:rPr>
            </w:pPr>
          </w:p>
        </w:tc>
        <w:tc>
          <w:tcPr>
            <w:tcW w:w="317" w:type="pct"/>
            <w:shd w:val="clear" w:color="auto" w:fill="auto"/>
            <w:vAlign w:val="bottom"/>
          </w:tcPr>
          <w:p w14:paraId="392C6FE0" w14:textId="77777777" w:rsidR="00980E5F" w:rsidRDefault="00980E5F">
            <w:pPr>
              <w:rPr>
                <w:rFonts w:ascii="宋体"/>
              </w:rPr>
            </w:pPr>
          </w:p>
        </w:tc>
        <w:tc>
          <w:tcPr>
            <w:tcW w:w="5" w:type="pct"/>
            <w:shd w:val="clear" w:color="auto" w:fill="auto"/>
            <w:vAlign w:val="bottom"/>
          </w:tcPr>
          <w:p w14:paraId="392C6FE1" w14:textId="77777777" w:rsidR="00980E5F" w:rsidRDefault="00980E5F">
            <w:pPr>
              <w:rPr>
                <w:rFonts w:ascii="宋体"/>
              </w:rPr>
            </w:pPr>
          </w:p>
        </w:tc>
        <w:tc>
          <w:tcPr>
            <w:tcW w:w="5" w:type="pct"/>
            <w:shd w:val="clear" w:color="auto" w:fill="auto"/>
            <w:vAlign w:val="bottom"/>
          </w:tcPr>
          <w:p w14:paraId="392C6FE2" w14:textId="77777777" w:rsidR="00980E5F" w:rsidRDefault="00980E5F">
            <w:pPr>
              <w:rPr>
                <w:rFonts w:ascii="宋体"/>
              </w:rPr>
            </w:pPr>
          </w:p>
        </w:tc>
        <w:tc>
          <w:tcPr>
            <w:tcW w:w="26" w:type="pct"/>
            <w:shd w:val="clear" w:color="auto" w:fill="auto"/>
            <w:vAlign w:val="bottom"/>
          </w:tcPr>
          <w:p w14:paraId="392C6FE3" w14:textId="77777777" w:rsidR="00980E5F" w:rsidRDefault="00980E5F">
            <w:pPr>
              <w:rPr>
                <w:rFonts w:ascii="宋体"/>
              </w:rPr>
            </w:pPr>
          </w:p>
        </w:tc>
        <w:tc>
          <w:tcPr>
            <w:tcW w:w="5" w:type="pct"/>
            <w:shd w:val="clear" w:color="auto" w:fill="auto"/>
            <w:vAlign w:val="bottom"/>
          </w:tcPr>
          <w:p w14:paraId="392C6FE4" w14:textId="77777777" w:rsidR="00980E5F" w:rsidRDefault="00980E5F">
            <w:pPr>
              <w:rPr>
                <w:rFonts w:ascii="宋体"/>
              </w:rPr>
            </w:pPr>
          </w:p>
        </w:tc>
        <w:tc>
          <w:tcPr>
            <w:tcW w:w="50" w:type="pct"/>
            <w:shd w:val="clear" w:color="auto" w:fill="auto"/>
            <w:vAlign w:val="bottom"/>
          </w:tcPr>
          <w:p w14:paraId="392C6FE5" w14:textId="77777777" w:rsidR="00980E5F" w:rsidRDefault="00980E5F">
            <w:pPr>
              <w:rPr>
                <w:rFonts w:ascii="宋体"/>
              </w:rPr>
            </w:pPr>
          </w:p>
        </w:tc>
        <w:tc>
          <w:tcPr>
            <w:tcW w:w="317" w:type="pct"/>
            <w:shd w:val="clear" w:color="auto" w:fill="auto"/>
            <w:vAlign w:val="bottom"/>
          </w:tcPr>
          <w:p w14:paraId="392C6FE6" w14:textId="77777777" w:rsidR="00980E5F" w:rsidRDefault="00980E5F">
            <w:pPr>
              <w:rPr>
                <w:rFonts w:ascii="宋体"/>
              </w:rPr>
            </w:pPr>
          </w:p>
        </w:tc>
        <w:tc>
          <w:tcPr>
            <w:tcW w:w="5" w:type="pct"/>
            <w:shd w:val="clear" w:color="auto" w:fill="auto"/>
            <w:vAlign w:val="bottom"/>
          </w:tcPr>
          <w:p w14:paraId="392C6FE7" w14:textId="77777777" w:rsidR="00980E5F" w:rsidRDefault="00980E5F">
            <w:pPr>
              <w:rPr>
                <w:rFonts w:ascii="宋体"/>
              </w:rPr>
            </w:pPr>
          </w:p>
        </w:tc>
        <w:tc>
          <w:tcPr>
            <w:tcW w:w="5" w:type="pct"/>
            <w:shd w:val="clear" w:color="auto" w:fill="auto"/>
            <w:vAlign w:val="bottom"/>
          </w:tcPr>
          <w:p w14:paraId="392C6FE8" w14:textId="77777777" w:rsidR="00980E5F" w:rsidRDefault="00980E5F">
            <w:pPr>
              <w:rPr>
                <w:rFonts w:ascii="宋体"/>
              </w:rPr>
            </w:pPr>
          </w:p>
        </w:tc>
        <w:tc>
          <w:tcPr>
            <w:tcW w:w="26" w:type="pct"/>
            <w:shd w:val="clear" w:color="auto" w:fill="auto"/>
            <w:vAlign w:val="bottom"/>
          </w:tcPr>
          <w:p w14:paraId="392C6FE9" w14:textId="77777777" w:rsidR="00980E5F" w:rsidRDefault="00980E5F">
            <w:pPr>
              <w:rPr>
                <w:rFonts w:ascii="宋体"/>
              </w:rPr>
            </w:pPr>
          </w:p>
        </w:tc>
        <w:tc>
          <w:tcPr>
            <w:tcW w:w="5" w:type="pct"/>
            <w:shd w:val="clear" w:color="auto" w:fill="auto"/>
            <w:vAlign w:val="bottom"/>
          </w:tcPr>
          <w:p w14:paraId="392C6FEA" w14:textId="77777777" w:rsidR="00980E5F" w:rsidRDefault="00980E5F">
            <w:pPr>
              <w:rPr>
                <w:rFonts w:ascii="宋体"/>
              </w:rPr>
            </w:pPr>
          </w:p>
        </w:tc>
        <w:tc>
          <w:tcPr>
            <w:tcW w:w="50" w:type="pct"/>
            <w:shd w:val="clear" w:color="auto" w:fill="auto"/>
            <w:vAlign w:val="bottom"/>
          </w:tcPr>
          <w:p w14:paraId="392C6FEB" w14:textId="77777777" w:rsidR="00980E5F" w:rsidRDefault="00980E5F">
            <w:pPr>
              <w:rPr>
                <w:rFonts w:ascii="宋体"/>
              </w:rPr>
            </w:pPr>
          </w:p>
        </w:tc>
        <w:tc>
          <w:tcPr>
            <w:tcW w:w="317" w:type="pct"/>
            <w:shd w:val="clear" w:color="auto" w:fill="auto"/>
            <w:vAlign w:val="bottom"/>
          </w:tcPr>
          <w:p w14:paraId="392C6FEC" w14:textId="77777777" w:rsidR="00980E5F" w:rsidRDefault="00980E5F">
            <w:pPr>
              <w:rPr>
                <w:rFonts w:ascii="宋体"/>
              </w:rPr>
            </w:pPr>
          </w:p>
        </w:tc>
        <w:tc>
          <w:tcPr>
            <w:tcW w:w="5" w:type="pct"/>
            <w:shd w:val="clear" w:color="auto" w:fill="auto"/>
            <w:vAlign w:val="bottom"/>
          </w:tcPr>
          <w:p w14:paraId="392C6FED" w14:textId="77777777" w:rsidR="00980E5F" w:rsidRDefault="00980E5F">
            <w:pPr>
              <w:rPr>
                <w:rFonts w:ascii="宋体"/>
              </w:rPr>
            </w:pPr>
          </w:p>
        </w:tc>
        <w:tc>
          <w:tcPr>
            <w:tcW w:w="5" w:type="pct"/>
            <w:shd w:val="clear" w:color="auto" w:fill="auto"/>
            <w:vAlign w:val="bottom"/>
          </w:tcPr>
          <w:p w14:paraId="392C6FEE" w14:textId="77777777" w:rsidR="00980E5F" w:rsidRDefault="00980E5F">
            <w:pPr>
              <w:rPr>
                <w:rFonts w:ascii="宋体"/>
              </w:rPr>
            </w:pPr>
          </w:p>
        </w:tc>
        <w:tc>
          <w:tcPr>
            <w:tcW w:w="26" w:type="pct"/>
            <w:shd w:val="clear" w:color="auto" w:fill="auto"/>
            <w:vAlign w:val="bottom"/>
          </w:tcPr>
          <w:p w14:paraId="392C6FEF" w14:textId="77777777" w:rsidR="00980E5F" w:rsidRDefault="00980E5F">
            <w:pPr>
              <w:rPr>
                <w:rFonts w:ascii="宋体"/>
              </w:rPr>
            </w:pPr>
          </w:p>
        </w:tc>
        <w:tc>
          <w:tcPr>
            <w:tcW w:w="5" w:type="pct"/>
            <w:shd w:val="clear" w:color="auto" w:fill="auto"/>
            <w:vAlign w:val="bottom"/>
          </w:tcPr>
          <w:p w14:paraId="392C6FF0" w14:textId="77777777" w:rsidR="00980E5F" w:rsidRDefault="00980E5F">
            <w:pPr>
              <w:rPr>
                <w:rFonts w:ascii="宋体"/>
              </w:rPr>
            </w:pPr>
          </w:p>
        </w:tc>
        <w:tc>
          <w:tcPr>
            <w:tcW w:w="0" w:type="auto"/>
            <w:shd w:val="clear" w:color="auto" w:fill="auto"/>
            <w:vAlign w:val="bottom"/>
          </w:tcPr>
          <w:p w14:paraId="392C6FF1" w14:textId="77777777" w:rsidR="00980E5F" w:rsidRDefault="00980E5F">
            <w:pPr>
              <w:rPr>
                <w:rFonts w:ascii="宋体"/>
                <w:vanish/>
              </w:rPr>
            </w:pPr>
          </w:p>
        </w:tc>
        <w:tc>
          <w:tcPr>
            <w:tcW w:w="0" w:type="auto"/>
            <w:shd w:val="clear" w:color="auto" w:fill="auto"/>
            <w:vAlign w:val="bottom"/>
          </w:tcPr>
          <w:p w14:paraId="392C6FF2" w14:textId="77777777" w:rsidR="00980E5F" w:rsidRDefault="00980E5F">
            <w:pPr>
              <w:rPr>
                <w:rFonts w:ascii="宋体"/>
                <w:vanish/>
              </w:rPr>
            </w:pPr>
          </w:p>
        </w:tc>
        <w:tc>
          <w:tcPr>
            <w:tcW w:w="50" w:type="pct"/>
            <w:shd w:val="clear" w:color="auto" w:fill="auto"/>
            <w:vAlign w:val="bottom"/>
          </w:tcPr>
          <w:p w14:paraId="392C6FF3" w14:textId="77777777" w:rsidR="00980E5F" w:rsidRDefault="00980E5F">
            <w:pPr>
              <w:rPr>
                <w:rFonts w:ascii="宋体"/>
              </w:rPr>
            </w:pPr>
          </w:p>
        </w:tc>
        <w:tc>
          <w:tcPr>
            <w:tcW w:w="317" w:type="pct"/>
            <w:shd w:val="clear" w:color="auto" w:fill="auto"/>
            <w:vAlign w:val="bottom"/>
          </w:tcPr>
          <w:p w14:paraId="392C6FF4" w14:textId="77777777" w:rsidR="00980E5F" w:rsidRDefault="00980E5F">
            <w:pPr>
              <w:rPr>
                <w:rFonts w:ascii="宋体"/>
              </w:rPr>
            </w:pPr>
          </w:p>
        </w:tc>
        <w:tc>
          <w:tcPr>
            <w:tcW w:w="5" w:type="pct"/>
            <w:shd w:val="clear" w:color="auto" w:fill="auto"/>
            <w:vAlign w:val="bottom"/>
          </w:tcPr>
          <w:p w14:paraId="392C6FF5" w14:textId="77777777" w:rsidR="00980E5F" w:rsidRDefault="00980E5F">
            <w:pPr>
              <w:rPr>
                <w:rFonts w:ascii="宋体"/>
              </w:rPr>
            </w:pPr>
          </w:p>
        </w:tc>
        <w:tc>
          <w:tcPr>
            <w:tcW w:w="5" w:type="pct"/>
            <w:shd w:val="clear" w:color="auto" w:fill="auto"/>
            <w:vAlign w:val="bottom"/>
          </w:tcPr>
          <w:p w14:paraId="392C6FF6" w14:textId="77777777" w:rsidR="00980E5F" w:rsidRDefault="00980E5F">
            <w:pPr>
              <w:rPr>
                <w:rFonts w:ascii="宋体"/>
              </w:rPr>
            </w:pPr>
          </w:p>
        </w:tc>
        <w:tc>
          <w:tcPr>
            <w:tcW w:w="26" w:type="pct"/>
            <w:shd w:val="clear" w:color="auto" w:fill="auto"/>
            <w:vAlign w:val="bottom"/>
          </w:tcPr>
          <w:p w14:paraId="392C6FF7" w14:textId="77777777" w:rsidR="00980E5F" w:rsidRDefault="00980E5F">
            <w:pPr>
              <w:rPr>
                <w:rFonts w:ascii="宋体"/>
              </w:rPr>
            </w:pPr>
          </w:p>
        </w:tc>
        <w:tc>
          <w:tcPr>
            <w:tcW w:w="5" w:type="pct"/>
            <w:shd w:val="clear" w:color="auto" w:fill="auto"/>
            <w:vAlign w:val="bottom"/>
          </w:tcPr>
          <w:p w14:paraId="392C6FF8" w14:textId="77777777" w:rsidR="00980E5F" w:rsidRDefault="00980E5F">
            <w:pPr>
              <w:rPr>
                <w:rFonts w:ascii="宋体"/>
              </w:rPr>
            </w:pPr>
          </w:p>
        </w:tc>
        <w:tc>
          <w:tcPr>
            <w:tcW w:w="50" w:type="pct"/>
            <w:shd w:val="clear" w:color="auto" w:fill="auto"/>
            <w:vAlign w:val="bottom"/>
          </w:tcPr>
          <w:p w14:paraId="392C6FF9" w14:textId="77777777" w:rsidR="00980E5F" w:rsidRDefault="00980E5F">
            <w:pPr>
              <w:rPr>
                <w:rFonts w:ascii="宋体"/>
              </w:rPr>
            </w:pPr>
          </w:p>
        </w:tc>
        <w:tc>
          <w:tcPr>
            <w:tcW w:w="566" w:type="pct"/>
            <w:shd w:val="clear" w:color="auto" w:fill="auto"/>
            <w:vAlign w:val="bottom"/>
          </w:tcPr>
          <w:p w14:paraId="392C6FFA" w14:textId="77777777" w:rsidR="00980E5F" w:rsidRDefault="00980E5F">
            <w:pPr>
              <w:rPr>
                <w:rFonts w:ascii="宋体"/>
              </w:rPr>
            </w:pPr>
          </w:p>
        </w:tc>
        <w:tc>
          <w:tcPr>
            <w:tcW w:w="5" w:type="pct"/>
            <w:shd w:val="clear" w:color="auto" w:fill="auto"/>
            <w:vAlign w:val="bottom"/>
          </w:tcPr>
          <w:p w14:paraId="392C6FFB" w14:textId="77777777" w:rsidR="00980E5F" w:rsidRDefault="00980E5F">
            <w:pPr>
              <w:rPr>
                <w:rFonts w:ascii="宋体"/>
              </w:rPr>
            </w:pPr>
          </w:p>
        </w:tc>
        <w:tc>
          <w:tcPr>
            <w:tcW w:w="5" w:type="pct"/>
            <w:shd w:val="clear" w:color="auto" w:fill="auto"/>
            <w:vAlign w:val="bottom"/>
          </w:tcPr>
          <w:p w14:paraId="392C6FFC" w14:textId="77777777" w:rsidR="00980E5F" w:rsidRDefault="00980E5F">
            <w:pPr>
              <w:rPr>
                <w:rFonts w:ascii="宋体"/>
              </w:rPr>
            </w:pPr>
          </w:p>
        </w:tc>
        <w:tc>
          <w:tcPr>
            <w:tcW w:w="26" w:type="pct"/>
            <w:shd w:val="clear" w:color="auto" w:fill="auto"/>
            <w:vAlign w:val="bottom"/>
          </w:tcPr>
          <w:p w14:paraId="392C6FFD" w14:textId="77777777" w:rsidR="00980E5F" w:rsidRDefault="00980E5F">
            <w:pPr>
              <w:rPr>
                <w:rFonts w:ascii="宋体"/>
              </w:rPr>
            </w:pPr>
          </w:p>
        </w:tc>
        <w:tc>
          <w:tcPr>
            <w:tcW w:w="5" w:type="pct"/>
            <w:shd w:val="clear" w:color="auto" w:fill="auto"/>
            <w:vAlign w:val="bottom"/>
          </w:tcPr>
          <w:p w14:paraId="392C6FFE" w14:textId="77777777" w:rsidR="00980E5F" w:rsidRDefault="00980E5F">
            <w:pPr>
              <w:rPr>
                <w:rFonts w:ascii="宋体"/>
              </w:rPr>
            </w:pPr>
          </w:p>
        </w:tc>
        <w:tc>
          <w:tcPr>
            <w:tcW w:w="50" w:type="pct"/>
            <w:shd w:val="clear" w:color="auto" w:fill="auto"/>
            <w:vAlign w:val="bottom"/>
          </w:tcPr>
          <w:p w14:paraId="392C6FFF" w14:textId="77777777" w:rsidR="00980E5F" w:rsidRDefault="00980E5F">
            <w:pPr>
              <w:rPr>
                <w:rFonts w:ascii="宋体"/>
              </w:rPr>
            </w:pPr>
          </w:p>
        </w:tc>
        <w:tc>
          <w:tcPr>
            <w:tcW w:w="318" w:type="pct"/>
            <w:shd w:val="clear" w:color="auto" w:fill="auto"/>
            <w:vAlign w:val="bottom"/>
          </w:tcPr>
          <w:p w14:paraId="392C7000" w14:textId="77777777" w:rsidR="00980E5F" w:rsidRDefault="00980E5F">
            <w:pPr>
              <w:rPr>
                <w:rFonts w:ascii="宋体"/>
              </w:rPr>
            </w:pPr>
          </w:p>
        </w:tc>
        <w:tc>
          <w:tcPr>
            <w:tcW w:w="5" w:type="pct"/>
            <w:shd w:val="clear" w:color="auto" w:fill="auto"/>
            <w:vAlign w:val="bottom"/>
          </w:tcPr>
          <w:p w14:paraId="392C7001" w14:textId="77777777" w:rsidR="00980E5F" w:rsidRDefault="00980E5F">
            <w:pPr>
              <w:rPr>
                <w:rFonts w:ascii="宋体"/>
              </w:rPr>
            </w:pPr>
          </w:p>
        </w:tc>
      </w:tr>
      <w:tr w:rsidR="00980E5F" w14:paraId="392C7015" w14:textId="77777777">
        <w:tc>
          <w:tcPr>
            <w:tcW w:w="0" w:type="auto"/>
            <w:gridSpan w:val="3"/>
            <w:shd w:val="clear" w:color="auto" w:fill="auto"/>
            <w:tcMar>
              <w:top w:w="40" w:type="dxa"/>
              <w:left w:w="20" w:type="dxa"/>
              <w:bottom w:w="40" w:type="dxa"/>
              <w:right w:w="20" w:type="dxa"/>
            </w:tcMar>
            <w:vAlign w:val="bottom"/>
          </w:tcPr>
          <w:p w14:paraId="392C7003"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7004"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shd w:val="clear" w:color="auto" w:fill="auto"/>
            <w:tcMar>
              <w:top w:w="0" w:type="dxa"/>
              <w:left w:w="20" w:type="dxa"/>
              <w:bottom w:w="0" w:type="dxa"/>
              <w:right w:w="20" w:type="dxa"/>
            </w:tcMar>
            <w:vAlign w:val="bottom"/>
          </w:tcPr>
          <w:p w14:paraId="392C700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06"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700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08" w14:textId="77777777" w:rsidR="00980E5F" w:rsidRDefault="00483613">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392C700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0A" w14:textId="77777777" w:rsidR="00980E5F" w:rsidRDefault="0048361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392C700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0C" w14:textId="77777777" w:rsidR="00980E5F" w:rsidRDefault="00483613">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392C700D" w14:textId="77777777" w:rsidR="00980E5F" w:rsidRDefault="00980E5F">
            <w:pPr>
              <w:rPr>
                <w:rFonts w:ascii="宋体"/>
              </w:rPr>
            </w:pPr>
          </w:p>
        </w:tc>
        <w:tc>
          <w:tcPr>
            <w:tcW w:w="0" w:type="auto"/>
            <w:shd w:val="clear" w:color="auto" w:fill="auto"/>
            <w:vAlign w:val="bottom"/>
          </w:tcPr>
          <w:p w14:paraId="392C700E" w14:textId="77777777" w:rsidR="00980E5F" w:rsidRDefault="00980E5F">
            <w:pPr>
              <w:rPr>
                <w:rFonts w:ascii="宋体"/>
                <w:vanish/>
              </w:rPr>
            </w:pPr>
          </w:p>
        </w:tc>
        <w:tc>
          <w:tcPr>
            <w:tcW w:w="0" w:type="auto"/>
            <w:shd w:val="clear" w:color="auto" w:fill="auto"/>
            <w:vAlign w:val="bottom"/>
          </w:tcPr>
          <w:p w14:paraId="392C700F" w14:textId="77777777" w:rsidR="00980E5F" w:rsidRDefault="00980E5F">
            <w:pPr>
              <w:rPr>
                <w:rFonts w:ascii="宋体"/>
                <w:vanish/>
              </w:rPr>
            </w:pPr>
          </w:p>
        </w:tc>
        <w:tc>
          <w:tcPr>
            <w:tcW w:w="0" w:type="auto"/>
            <w:gridSpan w:val="3"/>
            <w:shd w:val="clear" w:color="auto" w:fill="auto"/>
            <w:tcMar>
              <w:top w:w="40" w:type="dxa"/>
              <w:left w:w="20" w:type="dxa"/>
              <w:bottom w:w="40" w:type="dxa"/>
              <w:right w:w="20" w:type="dxa"/>
            </w:tcMar>
            <w:vAlign w:val="bottom"/>
          </w:tcPr>
          <w:p w14:paraId="392C7010" w14:textId="77777777" w:rsidR="00980E5F" w:rsidRDefault="00483613">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392C701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12" w14:textId="77777777" w:rsidR="00980E5F" w:rsidRDefault="00483613">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392C701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014" w14:textId="77777777" w:rsidR="00980E5F" w:rsidRDefault="00483613">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980E5F" w14:paraId="392C7028" w14:textId="77777777">
        <w:tc>
          <w:tcPr>
            <w:tcW w:w="0" w:type="auto"/>
            <w:gridSpan w:val="3"/>
            <w:shd w:val="clear" w:color="auto" w:fill="auto"/>
            <w:tcMar>
              <w:top w:w="40" w:type="dxa"/>
              <w:left w:w="20" w:type="dxa"/>
              <w:bottom w:w="40" w:type="dxa"/>
              <w:right w:w="20" w:type="dxa"/>
            </w:tcMar>
            <w:vAlign w:val="bottom"/>
          </w:tcPr>
          <w:p w14:paraId="392C7016" w14:textId="77777777" w:rsidR="00980E5F" w:rsidRDefault="00483613">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1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1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1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1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1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1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1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1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1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0" w14:textId="77777777" w:rsidR="00980E5F" w:rsidRDefault="00980E5F">
            <w:pPr>
              <w:rPr>
                <w:rFonts w:ascii="宋体"/>
              </w:rPr>
            </w:pPr>
          </w:p>
        </w:tc>
        <w:tc>
          <w:tcPr>
            <w:tcW w:w="0" w:type="auto"/>
            <w:shd w:val="clear" w:color="auto" w:fill="auto"/>
            <w:vAlign w:val="bottom"/>
          </w:tcPr>
          <w:p w14:paraId="392C7021" w14:textId="77777777" w:rsidR="00980E5F" w:rsidRDefault="00980E5F">
            <w:pPr>
              <w:rPr>
                <w:rFonts w:ascii="宋体"/>
                <w:vanish/>
              </w:rPr>
            </w:pPr>
          </w:p>
        </w:tc>
        <w:tc>
          <w:tcPr>
            <w:tcW w:w="0" w:type="auto"/>
            <w:shd w:val="clear" w:color="auto" w:fill="auto"/>
            <w:vAlign w:val="bottom"/>
          </w:tcPr>
          <w:p w14:paraId="392C7022"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2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2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027" w14:textId="77777777" w:rsidR="00980E5F" w:rsidRDefault="00980E5F">
            <w:pPr>
              <w:rPr>
                <w:rFonts w:ascii="宋体"/>
              </w:rPr>
            </w:pPr>
          </w:p>
        </w:tc>
      </w:tr>
      <w:tr w:rsidR="00980E5F" w14:paraId="392C703B" w14:textId="77777777">
        <w:tc>
          <w:tcPr>
            <w:tcW w:w="0" w:type="auto"/>
            <w:gridSpan w:val="3"/>
            <w:shd w:val="clear" w:color="auto" w:fill="auto"/>
            <w:tcMar>
              <w:top w:w="40" w:type="dxa"/>
              <w:left w:w="155" w:type="dxa"/>
              <w:bottom w:w="40" w:type="dxa"/>
              <w:right w:w="20" w:type="dxa"/>
            </w:tcMar>
            <w:vAlign w:val="bottom"/>
          </w:tcPr>
          <w:p w14:paraId="392C7029"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392C70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2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3" w14:textId="77777777" w:rsidR="00980E5F" w:rsidRDefault="00980E5F">
            <w:pPr>
              <w:rPr>
                <w:rFonts w:ascii="宋体"/>
              </w:rPr>
            </w:pPr>
          </w:p>
        </w:tc>
        <w:tc>
          <w:tcPr>
            <w:tcW w:w="0" w:type="auto"/>
            <w:shd w:val="clear" w:color="auto" w:fill="auto"/>
            <w:vAlign w:val="bottom"/>
          </w:tcPr>
          <w:p w14:paraId="392C7034" w14:textId="77777777" w:rsidR="00980E5F" w:rsidRDefault="00980E5F">
            <w:pPr>
              <w:rPr>
                <w:rFonts w:ascii="宋体"/>
                <w:vanish/>
              </w:rPr>
            </w:pPr>
          </w:p>
        </w:tc>
        <w:tc>
          <w:tcPr>
            <w:tcW w:w="0" w:type="auto"/>
            <w:shd w:val="clear" w:color="auto" w:fill="auto"/>
            <w:vAlign w:val="bottom"/>
          </w:tcPr>
          <w:p w14:paraId="392C703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703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A" w14:textId="77777777" w:rsidR="00980E5F" w:rsidRDefault="00980E5F">
            <w:pPr>
              <w:rPr>
                <w:rFonts w:ascii="宋体"/>
              </w:rPr>
            </w:pPr>
          </w:p>
        </w:tc>
      </w:tr>
      <w:tr w:rsidR="00980E5F" w14:paraId="392C704E" w14:textId="77777777">
        <w:tc>
          <w:tcPr>
            <w:tcW w:w="0" w:type="auto"/>
            <w:gridSpan w:val="3"/>
            <w:shd w:val="clear" w:color="auto" w:fill="auto"/>
            <w:tcMar>
              <w:top w:w="40" w:type="dxa"/>
              <w:left w:w="245" w:type="dxa"/>
              <w:bottom w:w="40" w:type="dxa"/>
              <w:right w:w="20" w:type="dxa"/>
            </w:tcMar>
            <w:vAlign w:val="bottom"/>
          </w:tcPr>
          <w:p w14:paraId="392C703C"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392C70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3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6" w14:textId="77777777" w:rsidR="00980E5F" w:rsidRDefault="00980E5F">
            <w:pPr>
              <w:rPr>
                <w:rFonts w:ascii="宋体"/>
              </w:rPr>
            </w:pPr>
          </w:p>
        </w:tc>
        <w:tc>
          <w:tcPr>
            <w:tcW w:w="0" w:type="auto"/>
            <w:shd w:val="clear" w:color="auto" w:fill="auto"/>
            <w:vAlign w:val="bottom"/>
          </w:tcPr>
          <w:p w14:paraId="392C7047" w14:textId="77777777" w:rsidR="00980E5F" w:rsidRDefault="00980E5F">
            <w:pPr>
              <w:rPr>
                <w:rFonts w:ascii="宋体"/>
                <w:vanish/>
              </w:rPr>
            </w:pPr>
          </w:p>
        </w:tc>
        <w:tc>
          <w:tcPr>
            <w:tcW w:w="0" w:type="auto"/>
            <w:shd w:val="clear" w:color="auto" w:fill="auto"/>
            <w:vAlign w:val="bottom"/>
          </w:tcPr>
          <w:p w14:paraId="392C704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704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04D" w14:textId="77777777" w:rsidR="00980E5F" w:rsidRDefault="00980E5F">
            <w:pPr>
              <w:rPr>
                <w:rFonts w:ascii="宋体"/>
              </w:rPr>
            </w:pPr>
          </w:p>
        </w:tc>
      </w:tr>
      <w:tr w:rsidR="00980E5F" w14:paraId="392C7071" w14:textId="77777777">
        <w:tc>
          <w:tcPr>
            <w:tcW w:w="0" w:type="auto"/>
            <w:gridSpan w:val="3"/>
            <w:shd w:val="clear" w:color="auto" w:fill="CCEEFF"/>
            <w:tcMar>
              <w:top w:w="40" w:type="dxa"/>
              <w:left w:w="380" w:type="dxa"/>
              <w:bottom w:w="40" w:type="dxa"/>
              <w:right w:w="20" w:type="dxa"/>
            </w:tcMar>
            <w:vAlign w:val="bottom"/>
          </w:tcPr>
          <w:p w14:paraId="392C704F"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92C705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51" w14:textId="77777777" w:rsidR="00980E5F" w:rsidRDefault="00483613">
            <w:pPr>
              <w:jc w:val="right"/>
              <w:textAlignment w:val="bottom"/>
            </w:pPr>
            <w:r>
              <w:rPr>
                <w:rFonts w:ascii="Arial" w:eastAsia="宋体" w:hAnsi="Arial" w:cs="Arial"/>
                <w:color w:val="000000"/>
                <w:sz w:val="14"/>
                <w:szCs w:val="14"/>
              </w:rPr>
              <w:t>2,297 </w:t>
            </w:r>
          </w:p>
        </w:tc>
        <w:tc>
          <w:tcPr>
            <w:tcW w:w="0" w:type="auto"/>
            <w:shd w:val="clear" w:color="auto" w:fill="CCEEFF"/>
            <w:tcMar>
              <w:top w:w="40" w:type="dxa"/>
              <w:left w:w="0" w:type="dxa"/>
              <w:bottom w:w="40" w:type="dxa"/>
              <w:right w:w="20" w:type="dxa"/>
            </w:tcMar>
            <w:vAlign w:val="bottom"/>
          </w:tcPr>
          <w:p w14:paraId="392C70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5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5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55" w14:textId="77777777" w:rsidR="00980E5F" w:rsidRDefault="00483613">
            <w:pPr>
              <w:jc w:val="right"/>
              <w:textAlignment w:val="bottom"/>
            </w:pPr>
            <w:r>
              <w:rPr>
                <w:rFonts w:ascii="Arial" w:eastAsia="宋体" w:hAnsi="Arial" w:cs="Arial"/>
                <w:color w:val="000000"/>
                <w:sz w:val="14"/>
                <w:szCs w:val="14"/>
              </w:rPr>
              <w:t>185 </w:t>
            </w:r>
          </w:p>
        </w:tc>
        <w:tc>
          <w:tcPr>
            <w:tcW w:w="0" w:type="auto"/>
            <w:shd w:val="clear" w:color="auto" w:fill="CCEEFF"/>
            <w:tcMar>
              <w:top w:w="40" w:type="dxa"/>
              <w:left w:w="0" w:type="dxa"/>
              <w:bottom w:w="40" w:type="dxa"/>
              <w:right w:w="20" w:type="dxa"/>
            </w:tcMar>
            <w:vAlign w:val="bottom"/>
          </w:tcPr>
          <w:p w14:paraId="392C70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5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5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59" w14:textId="77777777" w:rsidR="00980E5F" w:rsidRDefault="00483613">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392C705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5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5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5D" w14:textId="77777777" w:rsidR="00980E5F" w:rsidRDefault="00483613">
            <w:pPr>
              <w:jc w:val="right"/>
              <w:textAlignment w:val="bottom"/>
            </w:pPr>
            <w:r>
              <w:rPr>
                <w:rFonts w:ascii="Arial" w:eastAsia="宋体" w:hAnsi="Arial" w:cs="Arial"/>
                <w:color w:val="000000"/>
                <w:sz w:val="14"/>
                <w:szCs w:val="14"/>
              </w:rPr>
              <w:t>341 </w:t>
            </w:r>
          </w:p>
        </w:tc>
        <w:tc>
          <w:tcPr>
            <w:tcW w:w="0" w:type="auto"/>
            <w:shd w:val="clear" w:color="auto" w:fill="CCEEFF"/>
            <w:tcMar>
              <w:top w:w="40" w:type="dxa"/>
              <w:left w:w="0" w:type="dxa"/>
              <w:bottom w:w="40" w:type="dxa"/>
              <w:right w:w="20" w:type="dxa"/>
            </w:tcMar>
            <w:vAlign w:val="bottom"/>
          </w:tcPr>
          <w:p w14:paraId="392C70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5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6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6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0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63" w14:textId="77777777" w:rsidR="00980E5F" w:rsidRDefault="00980E5F">
            <w:pPr>
              <w:rPr>
                <w:rFonts w:ascii="宋体"/>
              </w:rPr>
            </w:pPr>
          </w:p>
        </w:tc>
        <w:tc>
          <w:tcPr>
            <w:tcW w:w="0" w:type="auto"/>
            <w:shd w:val="clear" w:color="auto" w:fill="auto"/>
            <w:vAlign w:val="bottom"/>
          </w:tcPr>
          <w:p w14:paraId="392C7064" w14:textId="77777777" w:rsidR="00980E5F" w:rsidRDefault="00980E5F">
            <w:pPr>
              <w:rPr>
                <w:rFonts w:ascii="宋体"/>
                <w:vanish/>
              </w:rPr>
            </w:pPr>
          </w:p>
        </w:tc>
        <w:tc>
          <w:tcPr>
            <w:tcW w:w="0" w:type="auto"/>
            <w:shd w:val="clear" w:color="auto" w:fill="auto"/>
            <w:vAlign w:val="bottom"/>
          </w:tcPr>
          <w:p w14:paraId="392C7065"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06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67" w14:textId="77777777" w:rsidR="00980E5F" w:rsidRDefault="00483613">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92C70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6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6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6B" w14:textId="77777777" w:rsidR="00980E5F" w:rsidRDefault="00483613">
            <w:pPr>
              <w:jc w:val="right"/>
              <w:textAlignment w:val="bottom"/>
            </w:pPr>
            <w:r>
              <w:rPr>
                <w:rFonts w:ascii="Arial" w:eastAsia="宋体" w:hAnsi="Arial" w:cs="Arial"/>
                <w:color w:val="000000"/>
                <w:sz w:val="14"/>
                <w:szCs w:val="14"/>
              </w:rPr>
              <w:t>13,197 </w:t>
            </w:r>
          </w:p>
        </w:tc>
        <w:tc>
          <w:tcPr>
            <w:tcW w:w="0" w:type="auto"/>
            <w:shd w:val="clear" w:color="auto" w:fill="CCEEFF"/>
            <w:tcMar>
              <w:top w:w="40" w:type="dxa"/>
              <w:left w:w="0" w:type="dxa"/>
              <w:bottom w:w="40" w:type="dxa"/>
              <w:right w:w="20" w:type="dxa"/>
            </w:tcMar>
            <w:vAlign w:val="bottom"/>
          </w:tcPr>
          <w:p w14:paraId="392C70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6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06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06F" w14:textId="77777777" w:rsidR="00980E5F" w:rsidRDefault="00483613">
            <w:pPr>
              <w:jc w:val="right"/>
              <w:textAlignment w:val="bottom"/>
            </w:pPr>
            <w:r>
              <w:rPr>
                <w:rFonts w:ascii="Arial" w:eastAsia="宋体" w:hAnsi="Arial" w:cs="Arial"/>
                <w:color w:val="000000"/>
                <w:sz w:val="14"/>
                <w:szCs w:val="14"/>
              </w:rPr>
              <w:t>16,127 </w:t>
            </w:r>
          </w:p>
        </w:tc>
        <w:tc>
          <w:tcPr>
            <w:tcW w:w="0" w:type="auto"/>
            <w:shd w:val="clear" w:color="auto" w:fill="CCEEFF"/>
            <w:tcMar>
              <w:top w:w="40" w:type="dxa"/>
              <w:left w:w="0" w:type="dxa"/>
              <w:bottom w:w="40" w:type="dxa"/>
              <w:right w:w="20" w:type="dxa"/>
            </w:tcMar>
            <w:vAlign w:val="bottom"/>
          </w:tcPr>
          <w:p w14:paraId="392C7070" w14:textId="77777777" w:rsidR="00980E5F" w:rsidRDefault="00980E5F">
            <w:pPr>
              <w:jc w:val="right"/>
              <w:rPr>
                <w:rFonts w:ascii="宋体"/>
              </w:rPr>
            </w:pPr>
          </w:p>
        </w:tc>
      </w:tr>
      <w:tr w:rsidR="00980E5F" w14:paraId="392C708C" w14:textId="77777777">
        <w:tc>
          <w:tcPr>
            <w:tcW w:w="0" w:type="auto"/>
            <w:gridSpan w:val="3"/>
            <w:shd w:val="clear" w:color="auto" w:fill="FFFFFF"/>
            <w:tcMar>
              <w:top w:w="40" w:type="dxa"/>
              <w:left w:w="380" w:type="dxa"/>
              <w:bottom w:w="40" w:type="dxa"/>
              <w:right w:w="20" w:type="dxa"/>
            </w:tcMar>
            <w:vAlign w:val="bottom"/>
          </w:tcPr>
          <w:p w14:paraId="392C7072"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7073" w14:textId="77777777" w:rsidR="00980E5F" w:rsidRDefault="00483613">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392C70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76" w14:textId="77777777" w:rsidR="00980E5F" w:rsidRDefault="00483613">
            <w:pPr>
              <w:jc w:val="right"/>
              <w:textAlignment w:val="bottom"/>
            </w:pPr>
            <w:r>
              <w:rPr>
                <w:rFonts w:ascii="Arial" w:eastAsia="宋体" w:hAnsi="Arial" w:cs="Arial"/>
                <w:color w:val="000000"/>
                <w:sz w:val="14"/>
                <w:szCs w:val="14"/>
              </w:rPr>
              <w:t>849 </w:t>
            </w:r>
          </w:p>
        </w:tc>
        <w:tc>
          <w:tcPr>
            <w:tcW w:w="0" w:type="auto"/>
            <w:shd w:val="clear" w:color="auto" w:fill="FFFFFF"/>
            <w:tcMar>
              <w:top w:w="40" w:type="dxa"/>
              <w:left w:w="0" w:type="dxa"/>
              <w:bottom w:w="40" w:type="dxa"/>
              <w:right w:w="20" w:type="dxa"/>
            </w:tcMar>
            <w:vAlign w:val="bottom"/>
          </w:tcPr>
          <w:p w14:paraId="392C70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79" w14:textId="77777777" w:rsidR="00980E5F" w:rsidRDefault="00483613">
            <w:pPr>
              <w:jc w:val="right"/>
              <w:textAlignment w:val="bottom"/>
            </w:pPr>
            <w:r>
              <w:rPr>
                <w:rFonts w:ascii="Arial" w:eastAsia="宋体" w:hAnsi="Arial" w:cs="Arial"/>
                <w:color w:val="000000"/>
                <w:sz w:val="14"/>
                <w:szCs w:val="14"/>
              </w:rPr>
              <w:t>192 </w:t>
            </w:r>
          </w:p>
        </w:tc>
        <w:tc>
          <w:tcPr>
            <w:tcW w:w="0" w:type="auto"/>
            <w:shd w:val="clear" w:color="auto" w:fill="FFFFFF"/>
            <w:tcMar>
              <w:top w:w="40" w:type="dxa"/>
              <w:left w:w="0" w:type="dxa"/>
              <w:bottom w:w="40" w:type="dxa"/>
              <w:right w:w="20" w:type="dxa"/>
            </w:tcMar>
            <w:vAlign w:val="bottom"/>
          </w:tcPr>
          <w:p w14:paraId="392C70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7C" w14:textId="77777777" w:rsidR="00980E5F" w:rsidRDefault="00483613">
            <w:pPr>
              <w:jc w:val="right"/>
              <w:textAlignment w:val="bottom"/>
            </w:pPr>
            <w:r>
              <w:rPr>
                <w:rFonts w:ascii="Arial" w:eastAsia="宋体" w:hAnsi="Arial" w:cs="Arial"/>
                <w:color w:val="000000"/>
                <w:sz w:val="14"/>
                <w:szCs w:val="14"/>
              </w:rPr>
              <w:t>486 </w:t>
            </w:r>
          </w:p>
        </w:tc>
        <w:tc>
          <w:tcPr>
            <w:tcW w:w="0" w:type="auto"/>
            <w:shd w:val="clear" w:color="auto" w:fill="FFFFFF"/>
            <w:tcMar>
              <w:top w:w="40" w:type="dxa"/>
              <w:left w:w="0" w:type="dxa"/>
              <w:bottom w:w="40" w:type="dxa"/>
              <w:right w:w="20" w:type="dxa"/>
            </w:tcMar>
            <w:vAlign w:val="bottom"/>
          </w:tcPr>
          <w:p w14:paraId="392C70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7F" w14:textId="77777777" w:rsidR="00980E5F" w:rsidRDefault="00483613">
            <w:pPr>
              <w:jc w:val="right"/>
              <w:textAlignment w:val="bottom"/>
            </w:pPr>
            <w:r>
              <w:rPr>
                <w:rFonts w:ascii="Arial" w:eastAsia="宋体" w:hAnsi="Arial" w:cs="Arial"/>
                <w:color w:val="000000"/>
                <w:sz w:val="14"/>
                <w:szCs w:val="14"/>
              </w:rPr>
              <w:t>340 </w:t>
            </w:r>
          </w:p>
        </w:tc>
        <w:tc>
          <w:tcPr>
            <w:tcW w:w="0" w:type="auto"/>
            <w:shd w:val="clear" w:color="auto" w:fill="FFFFFF"/>
            <w:tcMar>
              <w:top w:w="40" w:type="dxa"/>
              <w:left w:w="0" w:type="dxa"/>
              <w:bottom w:w="40" w:type="dxa"/>
              <w:right w:w="20" w:type="dxa"/>
            </w:tcMar>
            <w:vAlign w:val="bottom"/>
          </w:tcPr>
          <w:p w14:paraId="392C70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81" w14:textId="77777777" w:rsidR="00980E5F" w:rsidRDefault="00980E5F">
            <w:pPr>
              <w:rPr>
                <w:rFonts w:ascii="宋体"/>
              </w:rPr>
            </w:pPr>
          </w:p>
        </w:tc>
        <w:tc>
          <w:tcPr>
            <w:tcW w:w="0" w:type="auto"/>
            <w:shd w:val="clear" w:color="auto" w:fill="auto"/>
            <w:vAlign w:val="bottom"/>
          </w:tcPr>
          <w:p w14:paraId="392C7082" w14:textId="77777777" w:rsidR="00980E5F" w:rsidRDefault="00980E5F">
            <w:pPr>
              <w:rPr>
                <w:rFonts w:ascii="宋体"/>
                <w:vanish/>
              </w:rPr>
            </w:pPr>
          </w:p>
        </w:tc>
        <w:tc>
          <w:tcPr>
            <w:tcW w:w="0" w:type="auto"/>
            <w:shd w:val="clear" w:color="auto" w:fill="auto"/>
            <w:vAlign w:val="bottom"/>
          </w:tcPr>
          <w:p w14:paraId="392C708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084" w14:textId="77777777" w:rsidR="00980E5F" w:rsidRDefault="00483613">
            <w:pPr>
              <w:jc w:val="right"/>
              <w:textAlignment w:val="bottom"/>
            </w:pPr>
            <w:r>
              <w:rPr>
                <w:rFonts w:ascii="Arial" w:eastAsia="宋体" w:hAnsi="Arial" w:cs="Arial"/>
                <w:color w:val="000000"/>
                <w:sz w:val="14"/>
                <w:szCs w:val="14"/>
              </w:rPr>
              <w:t>150 </w:t>
            </w:r>
          </w:p>
        </w:tc>
        <w:tc>
          <w:tcPr>
            <w:tcW w:w="0" w:type="auto"/>
            <w:shd w:val="clear" w:color="auto" w:fill="FFFFFF"/>
            <w:tcMar>
              <w:top w:w="40" w:type="dxa"/>
              <w:left w:w="0" w:type="dxa"/>
              <w:bottom w:w="40" w:type="dxa"/>
              <w:right w:w="20" w:type="dxa"/>
            </w:tcMar>
            <w:vAlign w:val="bottom"/>
          </w:tcPr>
          <w:p w14:paraId="392C708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8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87" w14:textId="77777777" w:rsidR="00980E5F" w:rsidRDefault="00483613">
            <w:pPr>
              <w:jc w:val="right"/>
              <w:textAlignment w:val="bottom"/>
            </w:pPr>
            <w:r>
              <w:rPr>
                <w:rFonts w:ascii="Arial" w:eastAsia="宋体" w:hAnsi="Arial" w:cs="Arial"/>
                <w:color w:val="000000"/>
                <w:sz w:val="14"/>
                <w:szCs w:val="14"/>
              </w:rPr>
              <w:t>363 </w:t>
            </w:r>
          </w:p>
        </w:tc>
        <w:tc>
          <w:tcPr>
            <w:tcW w:w="0" w:type="auto"/>
            <w:shd w:val="clear" w:color="auto" w:fill="FFFFFF"/>
            <w:tcMar>
              <w:top w:w="40" w:type="dxa"/>
              <w:left w:w="0" w:type="dxa"/>
              <w:bottom w:w="40" w:type="dxa"/>
              <w:right w:w="20" w:type="dxa"/>
            </w:tcMar>
            <w:vAlign w:val="bottom"/>
          </w:tcPr>
          <w:p w14:paraId="392C708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8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8A" w14:textId="77777777" w:rsidR="00980E5F" w:rsidRDefault="00483613">
            <w:pPr>
              <w:jc w:val="right"/>
              <w:textAlignment w:val="bottom"/>
            </w:pPr>
            <w:r>
              <w:rPr>
                <w:rFonts w:ascii="Arial" w:eastAsia="宋体" w:hAnsi="Arial" w:cs="Arial"/>
                <w:color w:val="000000"/>
                <w:sz w:val="14"/>
                <w:szCs w:val="14"/>
              </w:rPr>
              <w:t>2,509 </w:t>
            </w:r>
          </w:p>
        </w:tc>
        <w:tc>
          <w:tcPr>
            <w:tcW w:w="0" w:type="auto"/>
            <w:shd w:val="clear" w:color="auto" w:fill="FFFFFF"/>
            <w:tcMar>
              <w:top w:w="40" w:type="dxa"/>
              <w:left w:w="0" w:type="dxa"/>
              <w:bottom w:w="40" w:type="dxa"/>
              <w:right w:w="20" w:type="dxa"/>
            </w:tcMar>
            <w:vAlign w:val="bottom"/>
          </w:tcPr>
          <w:p w14:paraId="392C708B" w14:textId="77777777" w:rsidR="00980E5F" w:rsidRDefault="00980E5F">
            <w:pPr>
              <w:jc w:val="right"/>
              <w:rPr>
                <w:rFonts w:ascii="宋体"/>
              </w:rPr>
            </w:pPr>
          </w:p>
        </w:tc>
      </w:tr>
      <w:tr w:rsidR="00980E5F" w14:paraId="392C70A7" w14:textId="77777777">
        <w:tc>
          <w:tcPr>
            <w:tcW w:w="0" w:type="auto"/>
            <w:gridSpan w:val="3"/>
            <w:shd w:val="clear" w:color="auto" w:fill="CCEEFF"/>
            <w:tcMar>
              <w:top w:w="40" w:type="dxa"/>
              <w:left w:w="380" w:type="dxa"/>
              <w:bottom w:w="40" w:type="dxa"/>
              <w:right w:w="20" w:type="dxa"/>
            </w:tcMar>
            <w:vAlign w:val="bottom"/>
          </w:tcPr>
          <w:p w14:paraId="392C708D"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92C708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0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9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91" w14:textId="77777777" w:rsidR="00980E5F" w:rsidRDefault="00483613">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392C70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9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9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0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97" w14:textId="77777777" w:rsidR="00980E5F" w:rsidRDefault="00483613">
            <w:pPr>
              <w:jc w:val="right"/>
              <w:textAlignment w:val="bottom"/>
            </w:pPr>
            <w:r>
              <w:rPr>
                <w:rFonts w:ascii="Arial" w:eastAsia="宋体" w:hAnsi="Arial" w:cs="Arial"/>
                <w:color w:val="000000"/>
                <w:sz w:val="14"/>
                <w:szCs w:val="14"/>
              </w:rPr>
              <w:t>96 </w:t>
            </w:r>
          </w:p>
        </w:tc>
        <w:tc>
          <w:tcPr>
            <w:tcW w:w="0" w:type="auto"/>
            <w:shd w:val="clear" w:color="auto" w:fill="CCEEFF"/>
            <w:tcMar>
              <w:top w:w="40" w:type="dxa"/>
              <w:left w:w="0" w:type="dxa"/>
              <w:bottom w:w="40" w:type="dxa"/>
              <w:right w:w="20" w:type="dxa"/>
            </w:tcMar>
            <w:vAlign w:val="bottom"/>
          </w:tcPr>
          <w:p w14:paraId="392C70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9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9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0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9C" w14:textId="77777777" w:rsidR="00980E5F" w:rsidRDefault="00980E5F">
            <w:pPr>
              <w:rPr>
                <w:rFonts w:ascii="宋体"/>
              </w:rPr>
            </w:pPr>
          </w:p>
        </w:tc>
        <w:tc>
          <w:tcPr>
            <w:tcW w:w="0" w:type="auto"/>
            <w:shd w:val="clear" w:color="auto" w:fill="auto"/>
            <w:vAlign w:val="bottom"/>
          </w:tcPr>
          <w:p w14:paraId="392C709D" w14:textId="77777777" w:rsidR="00980E5F" w:rsidRDefault="00980E5F">
            <w:pPr>
              <w:rPr>
                <w:rFonts w:ascii="宋体"/>
                <w:vanish/>
              </w:rPr>
            </w:pPr>
          </w:p>
        </w:tc>
        <w:tc>
          <w:tcPr>
            <w:tcW w:w="0" w:type="auto"/>
            <w:shd w:val="clear" w:color="auto" w:fill="auto"/>
            <w:vAlign w:val="bottom"/>
          </w:tcPr>
          <w:p w14:paraId="392C709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09F" w14:textId="77777777" w:rsidR="00980E5F" w:rsidRDefault="00483613">
            <w:pPr>
              <w:jc w:val="right"/>
              <w:textAlignment w:val="bottom"/>
            </w:pPr>
            <w:r>
              <w:rPr>
                <w:rFonts w:ascii="Arial" w:eastAsia="宋体" w:hAnsi="Arial" w:cs="Arial"/>
                <w:color w:val="000000"/>
                <w:sz w:val="14"/>
                <w:szCs w:val="14"/>
              </w:rPr>
              <w:t>27 </w:t>
            </w:r>
          </w:p>
        </w:tc>
        <w:tc>
          <w:tcPr>
            <w:tcW w:w="0" w:type="auto"/>
            <w:shd w:val="clear" w:color="auto" w:fill="CCEEFF"/>
            <w:tcMar>
              <w:top w:w="40" w:type="dxa"/>
              <w:left w:w="0" w:type="dxa"/>
              <w:bottom w:w="40" w:type="dxa"/>
              <w:right w:w="20" w:type="dxa"/>
            </w:tcMar>
            <w:vAlign w:val="bottom"/>
          </w:tcPr>
          <w:p w14:paraId="392C70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A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0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A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0A5" w14:textId="77777777" w:rsidR="00980E5F" w:rsidRDefault="00483613">
            <w:pPr>
              <w:jc w:val="right"/>
              <w:textAlignment w:val="bottom"/>
            </w:pPr>
            <w:r>
              <w:rPr>
                <w:rFonts w:ascii="Arial" w:eastAsia="宋体" w:hAnsi="Arial" w:cs="Arial"/>
                <w:color w:val="000000"/>
                <w:sz w:val="14"/>
                <w:szCs w:val="14"/>
              </w:rPr>
              <w:t>162 </w:t>
            </w:r>
          </w:p>
        </w:tc>
        <w:tc>
          <w:tcPr>
            <w:tcW w:w="0" w:type="auto"/>
            <w:shd w:val="clear" w:color="auto" w:fill="CCEEFF"/>
            <w:tcMar>
              <w:top w:w="40" w:type="dxa"/>
              <w:left w:w="0" w:type="dxa"/>
              <w:bottom w:w="40" w:type="dxa"/>
              <w:right w:w="20" w:type="dxa"/>
            </w:tcMar>
            <w:vAlign w:val="bottom"/>
          </w:tcPr>
          <w:p w14:paraId="392C70A6" w14:textId="77777777" w:rsidR="00980E5F" w:rsidRDefault="00980E5F">
            <w:pPr>
              <w:jc w:val="right"/>
              <w:rPr>
                <w:rFonts w:ascii="宋体"/>
              </w:rPr>
            </w:pPr>
          </w:p>
        </w:tc>
      </w:tr>
      <w:tr w:rsidR="00980E5F" w14:paraId="392C70C2" w14:textId="77777777">
        <w:tc>
          <w:tcPr>
            <w:tcW w:w="0" w:type="auto"/>
            <w:gridSpan w:val="3"/>
            <w:shd w:val="clear" w:color="auto" w:fill="FFFFFF"/>
            <w:tcMar>
              <w:top w:w="40" w:type="dxa"/>
              <w:left w:w="380" w:type="dxa"/>
              <w:bottom w:w="40" w:type="dxa"/>
              <w:right w:w="20" w:type="dxa"/>
            </w:tcMar>
            <w:vAlign w:val="bottom"/>
          </w:tcPr>
          <w:p w14:paraId="392C70A8"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92C70A9"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70A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A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A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0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AF" w14:textId="77777777" w:rsidR="00980E5F" w:rsidRDefault="00483613">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392C70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B2" w14:textId="77777777" w:rsidR="00980E5F" w:rsidRDefault="00483613">
            <w:pPr>
              <w:jc w:val="right"/>
              <w:textAlignment w:val="bottom"/>
            </w:pPr>
            <w:r>
              <w:rPr>
                <w:rFonts w:ascii="Arial" w:eastAsia="宋体" w:hAnsi="Arial" w:cs="Arial"/>
                <w:color w:val="000000"/>
                <w:sz w:val="14"/>
                <w:szCs w:val="14"/>
              </w:rPr>
              <w:t>70 </w:t>
            </w:r>
          </w:p>
        </w:tc>
        <w:tc>
          <w:tcPr>
            <w:tcW w:w="0" w:type="auto"/>
            <w:shd w:val="clear" w:color="auto" w:fill="FFFFFF"/>
            <w:tcMar>
              <w:top w:w="40" w:type="dxa"/>
              <w:left w:w="0" w:type="dxa"/>
              <w:bottom w:w="40" w:type="dxa"/>
              <w:right w:w="20" w:type="dxa"/>
            </w:tcMar>
            <w:vAlign w:val="bottom"/>
          </w:tcPr>
          <w:p w14:paraId="392C70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B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B5" w14:textId="77777777" w:rsidR="00980E5F" w:rsidRDefault="00483613">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392C70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B7" w14:textId="77777777" w:rsidR="00980E5F" w:rsidRDefault="00980E5F">
            <w:pPr>
              <w:rPr>
                <w:rFonts w:ascii="宋体"/>
              </w:rPr>
            </w:pPr>
          </w:p>
        </w:tc>
        <w:tc>
          <w:tcPr>
            <w:tcW w:w="0" w:type="auto"/>
            <w:shd w:val="clear" w:color="auto" w:fill="auto"/>
            <w:vAlign w:val="bottom"/>
          </w:tcPr>
          <w:p w14:paraId="392C70B8" w14:textId="77777777" w:rsidR="00980E5F" w:rsidRDefault="00980E5F">
            <w:pPr>
              <w:rPr>
                <w:rFonts w:ascii="宋体"/>
                <w:vanish/>
              </w:rPr>
            </w:pPr>
          </w:p>
        </w:tc>
        <w:tc>
          <w:tcPr>
            <w:tcW w:w="0" w:type="auto"/>
            <w:shd w:val="clear" w:color="auto" w:fill="auto"/>
            <w:vAlign w:val="bottom"/>
          </w:tcPr>
          <w:p w14:paraId="392C70B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0BA" w14:textId="77777777" w:rsidR="00980E5F" w:rsidRDefault="00483613">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92C70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B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0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0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0C0" w14:textId="77777777" w:rsidR="00980E5F" w:rsidRDefault="00483613">
            <w:pPr>
              <w:jc w:val="right"/>
              <w:textAlignment w:val="bottom"/>
            </w:pPr>
            <w:r>
              <w:rPr>
                <w:rFonts w:ascii="Arial" w:eastAsia="宋体" w:hAnsi="Arial" w:cs="Arial"/>
                <w:color w:val="000000"/>
                <w:sz w:val="14"/>
                <w:szCs w:val="14"/>
              </w:rPr>
              <w:t>128 </w:t>
            </w:r>
          </w:p>
        </w:tc>
        <w:tc>
          <w:tcPr>
            <w:tcW w:w="0" w:type="auto"/>
            <w:shd w:val="clear" w:color="auto" w:fill="FFFFFF"/>
            <w:tcMar>
              <w:top w:w="40" w:type="dxa"/>
              <w:left w:w="0" w:type="dxa"/>
              <w:bottom w:w="40" w:type="dxa"/>
              <w:right w:w="20" w:type="dxa"/>
            </w:tcMar>
            <w:vAlign w:val="bottom"/>
          </w:tcPr>
          <w:p w14:paraId="392C70C1" w14:textId="77777777" w:rsidR="00980E5F" w:rsidRDefault="00980E5F">
            <w:pPr>
              <w:jc w:val="right"/>
              <w:rPr>
                <w:rFonts w:ascii="宋体"/>
              </w:rPr>
            </w:pPr>
          </w:p>
        </w:tc>
      </w:tr>
      <w:tr w:rsidR="00980E5F" w14:paraId="392C70D5" w14:textId="77777777">
        <w:trPr>
          <w:hidden/>
        </w:trPr>
        <w:tc>
          <w:tcPr>
            <w:tcW w:w="0" w:type="auto"/>
            <w:gridSpan w:val="3"/>
            <w:shd w:val="clear" w:color="auto" w:fill="auto"/>
            <w:vAlign w:val="bottom"/>
          </w:tcPr>
          <w:p w14:paraId="392C70C3" w14:textId="77777777" w:rsidR="00980E5F" w:rsidRDefault="00980E5F">
            <w:pPr>
              <w:rPr>
                <w:rFonts w:ascii="宋体"/>
                <w:vanish/>
              </w:rPr>
            </w:pPr>
          </w:p>
        </w:tc>
        <w:tc>
          <w:tcPr>
            <w:tcW w:w="0" w:type="auto"/>
            <w:gridSpan w:val="3"/>
            <w:shd w:val="clear" w:color="auto" w:fill="auto"/>
            <w:vAlign w:val="bottom"/>
          </w:tcPr>
          <w:p w14:paraId="392C70C4" w14:textId="77777777" w:rsidR="00980E5F" w:rsidRDefault="00980E5F">
            <w:pPr>
              <w:rPr>
                <w:rFonts w:ascii="宋体"/>
                <w:vanish/>
              </w:rPr>
            </w:pPr>
          </w:p>
        </w:tc>
        <w:tc>
          <w:tcPr>
            <w:tcW w:w="0" w:type="auto"/>
            <w:gridSpan w:val="3"/>
            <w:shd w:val="clear" w:color="auto" w:fill="auto"/>
            <w:vAlign w:val="bottom"/>
          </w:tcPr>
          <w:p w14:paraId="392C70C5" w14:textId="77777777" w:rsidR="00980E5F" w:rsidRDefault="00980E5F">
            <w:pPr>
              <w:rPr>
                <w:rFonts w:ascii="宋体"/>
                <w:vanish/>
              </w:rPr>
            </w:pPr>
          </w:p>
        </w:tc>
        <w:tc>
          <w:tcPr>
            <w:tcW w:w="0" w:type="auto"/>
            <w:gridSpan w:val="3"/>
            <w:shd w:val="clear" w:color="auto" w:fill="auto"/>
            <w:vAlign w:val="bottom"/>
          </w:tcPr>
          <w:p w14:paraId="392C70C6" w14:textId="77777777" w:rsidR="00980E5F" w:rsidRDefault="00980E5F">
            <w:pPr>
              <w:rPr>
                <w:rFonts w:ascii="宋体"/>
                <w:vanish/>
              </w:rPr>
            </w:pPr>
          </w:p>
        </w:tc>
        <w:tc>
          <w:tcPr>
            <w:tcW w:w="0" w:type="auto"/>
            <w:gridSpan w:val="3"/>
            <w:shd w:val="clear" w:color="auto" w:fill="auto"/>
            <w:vAlign w:val="bottom"/>
          </w:tcPr>
          <w:p w14:paraId="392C70C7" w14:textId="77777777" w:rsidR="00980E5F" w:rsidRDefault="00980E5F">
            <w:pPr>
              <w:rPr>
                <w:rFonts w:ascii="宋体"/>
                <w:vanish/>
              </w:rPr>
            </w:pPr>
          </w:p>
        </w:tc>
        <w:tc>
          <w:tcPr>
            <w:tcW w:w="0" w:type="auto"/>
            <w:gridSpan w:val="3"/>
            <w:shd w:val="clear" w:color="auto" w:fill="auto"/>
            <w:vAlign w:val="bottom"/>
          </w:tcPr>
          <w:p w14:paraId="392C70C8" w14:textId="77777777" w:rsidR="00980E5F" w:rsidRDefault="00980E5F">
            <w:pPr>
              <w:rPr>
                <w:rFonts w:ascii="宋体"/>
                <w:vanish/>
              </w:rPr>
            </w:pPr>
          </w:p>
        </w:tc>
        <w:tc>
          <w:tcPr>
            <w:tcW w:w="0" w:type="auto"/>
            <w:gridSpan w:val="3"/>
            <w:shd w:val="clear" w:color="auto" w:fill="auto"/>
            <w:vAlign w:val="bottom"/>
          </w:tcPr>
          <w:p w14:paraId="392C70C9" w14:textId="77777777" w:rsidR="00980E5F" w:rsidRDefault="00980E5F">
            <w:pPr>
              <w:rPr>
                <w:rFonts w:ascii="宋体"/>
                <w:vanish/>
              </w:rPr>
            </w:pPr>
          </w:p>
        </w:tc>
        <w:tc>
          <w:tcPr>
            <w:tcW w:w="0" w:type="auto"/>
            <w:gridSpan w:val="3"/>
            <w:shd w:val="clear" w:color="auto" w:fill="auto"/>
            <w:vAlign w:val="bottom"/>
          </w:tcPr>
          <w:p w14:paraId="392C70CA" w14:textId="77777777" w:rsidR="00980E5F" w:rsidRDefault="00980E5F">
            <w:pPr>
              <w:rPr>
                <w:rFonts w:ascii="宋体"/>
                <w:vanish/>
              </w:rPr>
            </w:pPr>
          </w:p>
        </w:tc>
        <w:tc>
          <w:tcPr>
            <w:tcW w:w="0" w:type="auto"/>
            <w:gridSpan w:val="3"/>
            <w:shd w:val="clear" w:color="auto" w:fill="auto"/>
            <w:vAlign w:val="bottom"/>
          </w:tcPr>
          <w:p w14:paraId="392C70CB" w14:textId="77777777" w:rsidR="00980E5F" w:rsidRDefault="00980E5F">
            <w:pPr>
              <w:rPr>
                <w:rFonts w:ascii="宋体"/>
                <w:vanish/>
              </w:rPr>
            </w:pPr>
          </w:p>
        </w:tc>
        <w:tc>
          <w:tcPr>
            <w:tcW w:w="0" w:type="auto"/>
            <w:gridSpan w:val="3"/>
            <w:shd w:val="clear" w:color="auto" w:fill="auto"/>
            <w:vAlign w:val="bottom"/>
          </w:tcPr>
          <w:p w14:paraId="392C70CC" w14:textId="77777777" w:rsidR="00980E5F" w:rsidRDefault="00980E5F">
            <w:pPr>
              <w:rPr>
                <w:rFonts w:ascii="宋体"/>
                <w:vanish/>
              </w:rPr>
            </w:pPr>
          </w:p>
        </w:tc>
        <w:tc>
          <w:tcPr>
            <w:tcW w:w="0" w:type="auto"/>
            <w:gridSpan w:val="3"/>
            <w:shd w:val="clear" w:color="auto" w:fill="auto"/>
            <w:vAlign w:val="bottom"/>
          </w:tcPr>
          <w:p w14:paraId="392C70CD" w14:textId="77777777" w:rsidR="00980E5F" w:rsidRDefault="00980E5F">
            <w:pPr>
              <w:rPr>
                <w:rFonts w:ascii="宋体"/>
                <w:vanish/>
              </w:rPr>
            </w:pPr>
          </w:p>
        </w:tc>
        <w:tc>
          <w:tcPr>
            <w:tcW w:w="0" w:type="auto"/>
            <w:shd w:val="clear" w:color="auto" w:fill="auto"/>
            <w:vAlign w:val="bottom"/>
          </w:tcPr>
          <w:p w14:paraId="392C70CE" w14:textId="77777777" w:rsidR="00980E5F" w:rsidRDefault="00980E5F">
            <w:pPr>
              <w:rPr>
                <w:rFonts w:ascii="宋体"/>
                <w:vanish/>
              </w:rPr>
            </w:pPr>
          </w:p>
        </w:tc>
        <w:tc>
          <w:tcPr>
            <w:tcW w:w="0" w:type="auto"/>
            <w:shd w:val="clear" w:color="auto" w:fill="auto"/>
            <w:vAlign w:val="bottom"/>
          </w:tcPr>
          <w:p w14:paraId="392C70CF" w14:textId="77777777" w:rsidR="00980E5F" w:rsidRDefault="00980E5F">
            <w:pPr>
              <w:rPr>
                <w:rFonts w:ascii="宋体"/>
                <w:vanish/>
              </w:rPr>
            </w:pPr>
          </w:p>
        </w:tc>
        <w:tc>
          <w:tcPr>
            <w:tcW w:w="0" w:type="auto"/>
            <w:gridSpan w:val="3"/>
            <w:shd w:val="clear" w:color="auto" w:fill="auto"/>
            <w:vAlign w:val="bottom"/>
          </w:tcPr>
          <w:p w14:paraId="392C70D0" w14:textId="77777777" w:rsidR="00980E5F" w:rsidRDefault="00980E5F">
            <w:pPr>
              <w:rPr>
                <w:rFonts w:ascii="宋体"/>
                <w:vanish/>
              </w:rPr>
            </w:pPr>
          </w:p>
        </w:tc>
        <w:tc>
          <w:tcPr>
            <w:tcW w:w="0" w:type="auto"/>
            <w:gridSpan w:val="3"/>
            <w:shd w:val="clear" w:color="auto" w:fill="auto"/>
            <w:vAlign w:val="bottom"/>
          </w:tcPr>
          <w:p w14:paraId="392C70D1" w14:textId="77777777" w:rsidR="00980E5F" w:rsidRDefault="00980E5F">
            <w:pPr>
              <w:rPr>
                <w:rFonts w:ascii="宋体"/>
                <w:vanish/>
              </w:rPr>
            </w:pPr>
          </w:p>
        </w:tc>
        <w:tc>
          <w:tcPr>
            <w:tcW w:w="0" w:type="auto"/>
            <w:gridSpan w:val="3"/>
            <w:shd w:val="clear" w:color="auto" w:fill="auto"/>
            <w:vAlign w:val="bottom"/>
          </w:tcPr>
          <w:p w14:paraId="392C70D2" w14:textId="77777777" w:rsidR="00980E5F" w:rsidRDefault="00980E5F">
            <w:pPr>
              <w:rPr>
                <w:rFonts w:ascii="宋体"/>
                <w:vanish/>
              </w:rPr>
            </w:pPr>
          </w:p>
        </w:tc>
        <w:tc>
          <w:tcPr>
            <w:tcW w:w="0" w:type="auto"/>
            <w:gridSpan w:val="3"/>
            <w:shd w:val="clear" w:color="auto" w:fill="auto"/>
            <w:vAlign w:val="bottom"/>
          </w:tcPr>
          <w:p w14:paraId="392C70D3" w14:textId="77777777" w:rsidR="00980E5F" w:rsidRDefault="00980E5F">
            <w:pPr>
              <w:rPr>
                <w:rFonts w:ascii="宋体"/>
                <w:vanish/>
              </w:rPr>
            </w:pPr>
          </w:p>
        </w:tc>
        <w:tc>
          <w:tcPr>
            <w:tcW w:w="0" w:type="auto"/>
            <w:gridSpan w:val="3"/>
            <w:shd w:val="clear" w:color="auto" w:fill="auto"/>
            <w:vAlign w:val="bottom"/>
          </w:tcPr>
          <w:p w14:paraId="392C70D4" w14:textId="77777777" w:rsidR="00980E5F" w:rsidRDefault="00980E5F">
            <w:pPr>
              <w:rPr>
                <w:rFonts w:ascii="宋体"/>
                <w:vanish/>
              </w:rPr>
            </w:pPr>
          </w:p>
        </w:tc>
      </w:tr>
      <w:tr w:rsidR="00980E5F" w14:paraId="392C70E8" w14:textId="77777777">
        <w:trPr>
          <w:hidden/>
        </w:trPr>
        <w:tc>
          <w:tcPr>
            <w:tcW w:w="0" w:type="auto"/>
            <w:gridSpan w:val="3"/>
            <w:shd w:val="clear" w:color="auto" w:fill="auto"/>
            <w:vAlign w:val="bottom"/>
          </w:tcPr>
          <w:p w14:paraId="392C70D6" w14:textId="77777777" w:rsidR="00980E5F" w:rsidRDefault="00980E5F">
            <w:pPr>
              <w:rPr>
                <w:rFonts w:ascii="宋体"/>
                <w:vanish/>
              </w:rPr>
            </w:pPr>
          </w:p>
        </w:tc>
        <w:tc>
          <w:tcPr>
            <w:tcW w:w="0" w:type="auto"/>
            <w:gridSpan w:val="3"/>
            <w:shd w:val="clear" w:color="auto" w:fill="auto"/>
            <w:vAlign w:val="bottom"/>
          </w:tcPr>
          <w:p w14:paraId="392C70D7" w14:textId="77777777" w:rsidR="00980E5F" w:rsidRDefault="00980E5F">
            <w:pPr>
              <w:rPr>
                <w:rFonts w:ascii="宋体"/>
                <w:vanish/>
              </w:rPr>
            </w:pPr>
          </w:p>
        </w:tc>
        <w:tc>
          <w:tcPr>
            <w:tcW w:w="0" w:type="auto"/>
            <w:gridSpan w:val="3"/>
            <w:shd w:val="clear" w:color="auto" w:fill="auto"/>
            <w:vAlign w:val="bottom"/>
          </w:tcPr>
          <w:p w14:paraId="392C70D8" w14:textId="77777777" w:rsidR="00980E5F" w:rsidRDefault="00980E5F">
            <w:pPr>
              <w:rPr>
                <w:rFonts w:ascii="宋体"/>
                <w:vanish/>
              </w:rPr>
            </w:pPr>
          </w:p>
        </w:tc>
        <w:tc>
          <w:tcPr>
            <w:tcW w:w="0" w:type="auto"/>
            <w:gridSpan w:val="3"/>
            <w:shd w:val="clear" w:color="auto" w:fill="auto"/>
            <w:vAlign w:val="bottom"/>
          </w:tcPr>
          <w:p w14:paraId="392C70D9" w14:textId="77777777" w:rsidR="00980E5F" w:rsidRDefault="00980E5F">
            <w:pPr>
              <w:rPr>
                <w:rFonts w:ascii="宋体"/>
                <w:vanish/>
              </w:rPr>
            </w:pPr>
          </w:p>
        </w:tc>
        <w:tc>
          <w:tcPr>
            <w:tcW w:w="0" w:type="auto"/>
            <w:gridSpan w:val="3"/>
            <w:shd w:val="clear" w:color="auto" w:fill="auto"/>
            <w:vAlign w:val="bottom"/>
          </w:tcPr>
          <w:p w14:paraId="392C70DA" w14:textId="77777777" w:rsidR="00980E5F" w:rsidRDefault="00980E5F">
            <w:pPr>
              <w:rPr>
                <w:rFonts w:ascii="宋体"/>
                <w:vanish/>
              </w:rPr>
            </w:pPr>
          </w:p>
        </w:tc>
        <w:tc>
          <w:tcPr>
            <w:tcW w:w="0" w:type="auto"/>
            <w:gridSpan w:val="3"/>
            <w:shd w:val="clear" w:color="auto" w:fill="auto"/>
            <w:vAlign w:val="bottom"/>
          </w:tcPr>
          <w:p w14:paraId="392C70DB" w14:textId="77777777" w:rsidR="00980E5F" w:rsidRDefault="00980E5F">
            <w:pPr>
              <w:rPr>
                <w:rFonts w:ascii="宋体"/>
                <w:vanish/>
              </w:rPr>
            </w:pPr>
          </w:p>
        </w:tc>
        <w:tc>
          <w:tcPr>
            <w:tcW w:w="0" w:type="auto"/>
            <w:gridSpan w:val="3"/>
            <w:shd w:val="clear" w:color="auto" w:fill="auto"/>
            <w:vAlign w:val="bottom"/>
          </w:tcPr>
          <w:p w14:paraId="392C70DC" w14:textId="77777777" w:rsidR="00980E5F" w:rsidRDefault="00980E5F">
            <w:pPr>
              <w:rPr>
                <w:rFonts w:ascii="宋体"/>
                <w:vanish/>
              </w:rPr>
            </w:pPr>
          </w:p>
        </w:tc>
        <w:tc>
          <w:tcPr>
            <w:tcW w:w="0" w:type="auto"/>
            <w:gridSpan w:val="3"/>
            <w:shd w:val="clear" w:color="auto" w:fill="auto"/>
            <w:vAlign w:val="bottom"/>
          </w:tcPr>
          <w:p w14:paraId="392C70DD" w14:textId="77777777" w:rsidR="00980E5F" w:rsidRDefault="00980E5F">
            <w:pPr>
              <w:rPr>
                <w:rFonts w:ascii="宋体"/>
                <w:vanish/>
              </w:rPr>
            </w:pPr>
          </w:p>
        </w:tc>
        <w:tc>
          <w:tcPr>
            <w:tcW w:w="0" w:type="auto"/>
            <w:gridSpan w:val="3"/>
            <w:shd w:val="clear" w:color="auto" w:fill="auto"/>
            <w:vAlign w:val="bottom"/>
          </w:tcPr>
          <w:p w14:paraId="392C70DE" w14:textId="77777777" w:rsidR="00980E5F" w:rsidRDefault="00980E5F">
            <w:pPr>
              <w:rPr>
                <w:rFonts w:ascii="宋体"/>
                <w:vanish/>
              </w:rPr>
            </w:pPr>
          </w:p>
        </w:tc>
        <w:tc>
          <w:tcPr>
            <w:tcW w:w="0" w:type="auto"/>
            <w:gridSpan w:val="3"/>
            <w:shd w:val="clear" w:color="auto" w:fill="auto"/>
            <w:vAlign w:val="bottom"/>
          </w:tcPr>
          <w:p w14:paraId="392C70DF" w14:textId="77777777" w:rsidR="00980E5F" w:rsidRDefault="00980E5F">
            <w:pPr>
              <w:rPr>
                <w:rFonts w:ascii="宋体"/>
                <w:vanish/>
              </w:rPr>
            </w:pPr>
          </w:p>
        </w:tc>
        <w:tc>
          <w:tcPr>
            <w:tcW w:w="0" w:type="auto"/>
            <w:gridSpan w:val="3"/>
            <w:shd w:val="clear" w:color="auto" w:fill="auto"/>
            <w:vAlign w:val="bottom"/>
          </w:tcPr>
          <w:p w14:paraId="392C70E0" w14:textId="77777777" w:rsidR="00980E5F" w:rsidRDefault="00980E5F">
            <w:pPr>
              <w:rPr>
                <w:rFonts w:ascii="宋体"/>
                <w:vanish/>
              </w:rPr>
            </w:pPr>
          </w:p>
        </w:tc>
        <w:tc>
          <w:tcPr>
            <w:tcW w:w="0" w:type="auto"/>
            <w:shd w:val="clear" w:color="auto" w:fill="auto"/>
            <w:vAlign w:val="bottom"/>
          </w:tcPr>
          <w:p w14:paraId="392C70E1" w14:textId="77777777" w:rsidR="00980E5F" w:rsidRDefault="00980E5F">
            <w:pPr>
              <w:rPr>
                <w:rFonts w:ascii="宋体"/>
                <w:vanish/>
              </w:rPr>
            </w:pPr>
          </w:p>
        </w:tc>
        <w:tc>
          <w:tcPr>
            <w:tcW w:w="0" w:type="auto"/>
            <w:shd w:val="clear" w:color="auto" w:fill="auto"/>
            <w:vAlign w:val="bottom"/>
          </w:tcPr>
          <w:p w14:paraId="392C70E2" w14:textId="77777777" w:rsidR="00980E5F" w:rsidRDefault="00980E5F">
            <w:pPr>
              <w:rPr>
                <w:rFonts w:ascii="宋体"/>
                <w:vanish/>
              </w:rPr>
            </w:pPr>
          </w:p>
        </w:tc>
        <w:tc>
          <w:tcPr>
            <w:tcW w:w="0" w:type="auto"/>
            <w:gridSpan w:val="3"/>
            <w:shd w:val="clear" w:color="auto" w:fill="auto"/>
            <w:vAlign w:val="bottom"/>
          </w:tcPr>
          <w:p w14:paraId="392C70E3" w14:textId="77777777" w:rsidR="00980E5F" w:rsidRDefault="00980E5F">
            <w:pPr>
              <w:rPr>
                <w:rFonts w:ascii="宋体"/>
                <w:vanish/>
              </w:rPr>
            </w:pPr>
          </w:p>
        </w:tc>
        <w:tc>
          <w:tcPr>
            <w:tcW w:w="0" w:type="auto"/>
            <w:gridSpan w:val="3"/>
            <w:shd w:val="clear" w:color="auto" w:fill="auto"/>
            <w:vAlign w:val="bottom"/>
          </w:tcPr>
          <w:p w14:paraId="392C70E4" w14:textId="77777777" w:rsidR="00980E5F" w:rsidRDefault="00980E5F">
            <w:pPr>
              <w:rPr>
                <w:rFonts w:ascii="宋体"/>
                <w:vanish/>
              </w:rPr>
            </w:pPr>
          </w:p>
        </w:tc>
        <w:tc>
          <w:tcPr>
            <w:tcW w:w="0" w:type="auto"/>
            <w:gridSpan w:val="3"/>
            <w:shd w:val="clear" w:color="auto" w:fill="auto"/>
            <w:vAlign w:val="bottom"/>
          </w:tcPr>
          <w:p w14:paraId="392C70E5" w14:textId="77777777" w:rsidR="00980E5F" w:rsidRDefault="00980E5F">
            <w:pPr>
              <w:rPr>
                <w:rFonts w:ascii="宋体"/>
                <w:vanish/>
              </w:rPr>
            </w:pPr>
          </w:p>
        </w:tc>
        <w:tc>
          <w:tcPr>
            <w:tcW w:w="0" w:type="auto"/>
            <w:gridSpan w:val="3"/>
            <w:shd w:val="clear" w:color="auto" w:fill="auto"/>
            <w:vAlign w:val="bottom"/>
          </w:tcPr>
          <w:p w14:paraId="392C70E6" w14:textId="77777777" w:rsidR="00980E5F" w:rsidRDefault="00980E5F">
            <w:pPr>
              <w:rPr>
                <w:rFonts w:ascii="宋体"/>
                <w:vanish/>
              </w:rPr>
            </w:pPr>
          </w:p>
        </w:tc>
        <w:tc>
          <w:tcPr>
            <w:tcW w:w="0" w:type="auto"/>
            <w:gridSpan w:val="3"/>
            <w:shd w:val="clear" w:color="auto" w:fill="auto"/>
            <w:vAlign w:val="bottom"/>
          </w:tcPr>
          <w:p w14:paraId="392C70E7" w14:textId="77777777" w:rsidR="00980E5F" w:rsidRDefault="00980E5F">
            <w:pPr>
              <w:rPr>
                <w:rFonts w:ascii="宋体"/>
                <w:vanish/>
              </w:rPr>
            </w:pPr>
          </w:p>
        </w:tc>
      </w:tr>
      <w:tr w:rsidR="00980E5F" w14:paraId="392C710B" w14:textId="77777777">
        <w:tc>
          <w:tcPr>
            <w:tcW w:w="0" w:type="auto"/>
            <w:gridSpan w:val="3"/>
            <w:shd w:val="clear" w:color="auto" w:fill="CCEEFF"/>
            <w:tcMar>
              <w:top w:w="40" w:type="dxa"/>
              <w:left w:w="155" w:type="dxa"/>
              <w:bottom w:w="40" w:type="dxa"/>
              <w:right w:w="20" w:type="dxa"/>
            </w:tcMar>
            <w:vAlign w:val="bottom"/>
          </w:tcPr>
          <w:p w14:paraId="392C70E9" w14:textId="77777777" w:rsidR="00980E5F" w:rsidRDefault="00483613">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0E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0EB" w14:textId="77777777" w:rsidR="00980E5F" w:rsidRDefault="00483613">
            <w:pPr>
              <w:jc w:val="right"/>
              <w:textAlignment w:val="bottom"/>
            </w:pPr>
            <w:r>
              <w:rPr>
                <w:rFonts w:ascii="Arial" w:eastAsia="宋体" w:hAnsi="Arial" w:cs="Arial"/>
                <w:color w:val="000000"/>
                <w:sz w:val="14"/>
                <w:szCs w:val="14"/>
              </w:rPr>
              <w:t>2,428 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0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E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0E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0EF" w14:textId="77777777" w:rsidR="00980E5F" w:rsidRDefault="00483613">
            <w:pPr>
              <w:jc w:val="right"/>
              <w:textAlignment w:val="bottom"/>
            </w:pPr>
            <w:r>
              <w:rPr>
                <w:rFonts w:ascii="Arial" w:eastAsia="宋体" w:hAnsi="Arial" w:cs="Arial"/>
                <w:color w:val="000000"/>
                <w:sz w:val="14"/>
                <w:szCs w:val="14"/>
              </w:rPr>
              <w:t>1,073 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0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F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0F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0F3" w14:textId="77777777" w:rsidR="00980E5F" w:rsidRDefault="00483613">
            <w:pPr>
              <w:jc w:val="right"/>
              <w:textAlignment w:val="bottom"/>
            </w:pPr>
            <w:r>
              <w:rPr>
                <w:rFonts w:ascii="Arial" w:eastAsia="宋体" w:hAnsi="Arial" w:cs="Arial"/>
                <w:color w:val="000000"/>
                <w:sz w:val="14"/>
                <w:szCs w:val="14"/>
              </w:rPr>
              <w:t>292 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0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F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0F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0F7" w14:textId="77777777" w:rsidR="00980E5F" w:rsidRDefault="00483613">
            <w:pPr>
              <w:jc w:val="right"/>
              <w:textAlignment w:val="bottom"/>
            </w:pPr>
            <w:r>
              <w:rPr>
                <w:rFonts w:ascii="Arial" w:eastAsia="宋体" w:hAnsi="Arial" w:cs="Arial"/>
                <w:color w:val="000000"/>
                <w:sz w:val="14"/>
                <w:szCs w:val="14"/>
              </w:rPr>
              <w:t>993 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0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F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0F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0FB" w14:textId="77777777" w:rsidR="00980E5F" w:rsidRDefault="00483613">
            <w:pPr>
              <w:jc w:val="right"/>
              <w:textAlignment w:val="bottom"/>
            </w:pPr>
            <w:r>
              <w:rPr>
                <w:rFonts w:ascii="Arial" w:eastAsia="宋体" w:hAnsi="Arial" w:cs="Arial"/>
                <w:color w:val="000000"/>
                <w:sz w:val="14"/>
                <w:szCs w:val="14"/>
              </w:rPr>
              <w:t>385 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0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0FD" w14:textId="77777777" w:rsidR="00980E5F" w:rsidRDefault="00980E5F">
            <w:pPr>
              <w:rPr>
                <w:rFonts w:ascii="宋体"/>
              </w:rPr>
            </w:pPr>
          </w:p>
        </w:tc>
        <w:tc>
          <w:tcPr>
            <w:tcW w:w="0" w:type="auto"/>
            <w:shd w:val="clear" w:color="auto" w:fill="auto"/>
            <w:vAlign w:val="bottom"/>
          </w:tcPr>
          <w:p w14:paraId="392C70FE" w14:textId="77777777" w:rsidR="00980E5F" w:rsidRDefault="00980E5F">
            <w:pPr>
              <w:rPr>
                <w:rFonts w:ascii="宋体"/>
                <w:vanish/>
              </w:rPr>
            </w:pPr>
          </w:p>
        </w:tc>
        <w:tc>
          <w:tcPr>
            <w:tcW w:w="0" w:type="auto"/>
            <w:shd w:val="clear" w:color="auto" w:fill="auto"/>
            <w:vAlign w:val="bottom"/>
          </w:tcPr>
          <w:p w14:paraId="392C70FF"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0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01" w14:textId="77777777" w:rsidR="00980E5F" w:rsidRDefault="00483613">
            <w:pPr>
              <w:jc w:val="right"/>
              <w:textAlignment w:val="bottom"/>
            </w:pPr>
            <w:r>
              <w:rPr>
                <w:rFonts w:ascii="Arial" w:eastAsia="宋体" w:hAnsi="Arial" w:cs="Arial"/>
                <w:color w:val="000000"/>
                <w:sz w:val="14"/>
                <w:szCs w:val="14"/>
              </w:rPr>
              <w:t>195 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0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0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0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05" w14:textId="77777777" w:rsidR="00980E5F" w:rsidRDefault="00483613">
            <w:pPr>
              <w:jc w:val="right"/>
              <w:textAlignment w:val="bottom"/>
            </w:pPr>
            <w:r>
              <w:rPr>
                <w:rFonts w:ascii="Arial" w:eastAsia="宋体" w:hAnsi="Arial" w:cs="Arial"/>
                <w:color w:val="000000"/>
                <w:sz w:val="14"/>
                <w:szCs w:val="14"/>
              </w:rPr>
              <w:t>13,560 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0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0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09" w14:textId="77777777" w:rsidR="00980E5F" w:rsidRDefault="00483613">
            <w:pPr>
              <w:jc w:val="right"/>
              <w:textAlignment w:val="bottom"/>
            </w:pPr>
            <w:r>
              <w:rPr>
                <w:rFonts w:ascii="Arial" w:eastAsia="宋体" w:hAnsi="Arial" w:cs="Arial"/>
                <w:color w:val="000000"/>
                <w:sz w:val="14"/>
                <w:szCs w:val="14"/>
              </w:rPr>
              <w:t>18,926 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0A" w14:textId="77777777" w:rsidR="00980E5F" w:rsidRDefault="00980E5F">
            <w:pPr>
              <w:jc w:val="right"/>
              <w:rPr>
                <w:rFonts w:ascii="宋体"/>
              </w:rPr>
            </w:pPr>
          </w:p>
        </w:tc>
      </w:tr>
      <w:tr w:rsidR="00980E5F" w14:paraId="392C711E" w14:textId="77777777">
        <w:tc>
          <w:tcPr>
            <w:tcW w:w="0" w:type="auto"/>
            <w:gridSpan w:val="3"/>
            <w:shd w:val="clear" w:color="auto" w:fill="FFFFFF"/>
            <w:tcMar>
              <w:top w:w="40" w:type="dxa"/>
              <w:left w:w="155" w:type="dxa"/>
              <w:bottom w:w="40" w:type="dxa"/>
              <w:right w:w="20" w:type="dxa"/>
            </w:tcMar>
            <w:vAlign w:val="bottom"/>
          </w:tcPr>
          <w:p w14:paraId="392C710C" w14:textId="77777777" w:rsidR="00980E5F" w:rsidRDefault="00483613">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0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6" w14:textId="77777777" w:rsidR="00980E5F" w:rsidRDefault="00980E5F">
            <w:pPr>
              <w:rPr>
                <w:rFonts w:ascii="宋体"/>
              </w:rPr>
            </w:pPr>
          </w:p>
        </w:tc>
        <w:tc>
          <w:tcPr>
            <w:tcW w:w="0" w:type="auto"/>
            <w:shd w:val="clear" w:color="auto" w:fill="auto"/>
            <w:vAlign w:val="bottom"/>
          </w:tcPr>
          <w:p w14:paraId="392C7117" w14:textId="77777777" w:rsidR="00980E5F" w:rsidRDefault="00980E5F">
            <w:pPr>
              <w:rPr>
                <w:rFonts w:ascii="宋体"/>
                <w:vanish/>
              </w:rPr>
            </w:pPr>
          </w:p>
        </w:tc>
        <w:tc>
          <w:tcPr>
            <w:tcW w:w="0" w:type="auto"/>
            <w:shd w:val="clear" w:color="auto" w:fill="auto"/>
            <w:vAlign w:val="bottom"/>
          </w:tcPr>
          <w:p w14:paraId="392C7118"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1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1D" w14:textId="77777777" w:rsidR="00980E5F" w:rsidRDefault="00980E5F">
            <w:pPr>
              <w:rPr>
                <w:rFonts w:ascii="宋体"/>
              </w:rPr>
            </w:pPr>
          </w:p>
        </w:tc>
      </w:tr>
      <w:tr w:rsidR="00980E5F" w14:paraId="392C7131" w14:textId="77777777">
        <w:tc>
          <w:tcPr>
            <w:tcW w:w="0" w:type="auto"/>
            <w:gridSpan w:val="3"/>
            <w:shd w:val="clear" w:color="auto" w:fill="CCEEFF"/>
            <w:tcMar>
              <w:top w:w="40" w:type="dxa"/>
              <w:left w:w="245" w:type="dxa"/>
              <w:bottom w:w="40" w:type="dxa"/>
              <w:right w:w="20" w:type="dxa"/>
            </w:tcMar>
            <w:vAlign w:val="bottom"/>
          </w:tcPr>
          <w:p w14:paraId="392C711F"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392C712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9" w14:textId="77777777" w:rsidR="00980E5F" w:rsidRDefault="00980E5F">
            <w:pPr>
              <w:rPr>
                <w:rFonts w:ascii="宋体"/>
              </w:rPr>
            </w:pPr>
          </w:p>
        </w:tc>
        <w:tc>
          <w:tcPr>
            <w:tcW w:w="0" w:type="auto"/>
            <w:shd w:val="clear" w:color="auto" w:fill="auto"/>
            <w:vAlign w:val="bottom"/>
          </w:tcPr>
          <w:p w14:paraId="392C712A" w14:textId="77777777" w:rsidR="00980E5F" w:rsidRDefault="00980E5F">
            <w:pPr>
              <w:rPr>
                <w:rFonts w:ascii="宋体"/>
                <w:vanish/>
              </w:rPr>
            </w:pPr>
          </w:p>
        </w:tc>
        <w:tc>
          <w:tcPr>
            <w:tcW w:w="0" w:type="auto"/>
            <w:shd w:val="clear" w:color="auto" w:fill="auto"/>
            <w:vAlign w:val="bottom"/>
          </w:tcPr>
          <w:p w14:paraId="392C712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712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30" w14:textId="77777777" w:rsidR="00980E5F" w:rsidRDefault="00980E5F">
            <w:pPr>
              <w:rPr>
                <w:rFonts w:ascii="宋体"/>
              </w:rPr>
            </w:pPr>
          </w:p>
        </w:tc>
      </w:tr>
      <w:tr w:rsidR="00980E5F" w14:paraId="392C7153" w14:textId="77777777">
        <w:tc>
          <w:tcPr>
            <w:tcW w:w="0" w:type="auto"/>
            <w:gridSpan w:val="3"/>
            <w:shd w:val="clear" w:color="auto" w:fill="FFFFFF"/>
            <w:tcMar>
              <w:top w:w="40" w:type="dxa"/>
              <w:left w:w="380" w:type="dxa"/>
              <w:bottom w:w="40" w:type="dxa"/>
              <w:right w:w="20" w:type="dxa"/>
            </w:tcMar>
            <w:vAlign w:val="bottom"/>
          </w:tcPr>
          <w:p w14:paraId="392C7132"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392C713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34" w14:textId="77777777" w:rsidR="00980E5F" w:rsidRDefault="00483613">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392C71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36"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13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38" w14:textId="77777777" w:rsidR="00980E5F" w:rsidRDefault="00483613">
            <w:pPr>
              <w:jc w:val="right"/>
              <w:textAlignment w:val="bottom"/>
            </w:pPr>
            <w:r>
              <w:rPr>
                <w:rFonts w:ascii="Arial" w:eastAsia="宋体" w:hAnsi="Arial" w:cs="Arial"/>
                <w:color w:val="000000"/>
                <w:sz w:val="14"/>
                <w:szCs w:val="14"/>
              </w:rPr>
              <w:t>612 </w:t>
            </w:r>
          </w:p>
        </w:tc>
        <w:tc>
          <w:tcPr>
            <w:tcW w:w="0" w:type="auto"/>
            <w:shd w:val="clear" w:color="auto" w:fill="FFFFFF"/>
            <w:tcMar>
              <w:top w:w="40" w:type="dxa"/>
              <w:left w:w="0" w:type="dxa"/>
              <w:bottom w:w="40" w:type="dxa"/>
              <w:right w:w="20" w:type="dxa"/>
            </w:tcMar>
            <w:vAlign w:val="bottom"/>
          </w:tcPr>
          <w:p w14:paraId="392C713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3A"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13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3C" w14:textId="77777777" w:rsidR="00980E5F" w:rsidRDefault="00483613">
            <w:pPr>
              <w:jc w:val="right"/>
              <w:textAlignment w:val="bottom"/>
            </w:pPr>
            <w:r>
              <w:rPr>
                <w:rFonts w:ascii="Arial" w:eastAsia="宋体" w:hAnsi="Arial" w:cs="Arial"/>
                <w:color w:val="000000"/>
                <w:sz w:val="14"/>
                <w:szCs w:val="14"/>
              </w:rPr>
              <w:t>100 </w:t>
            </w:r>
          </w:p>
        </w:tc>
        <w:tc>
          <w:tcPr>
            <w:tcW w:w="0" w:type="auto"/>
            <w:shd w:val="clear" w:color="auto" w:fill="FFFFFF"/>
            <w:tcMar>
              <w:top w:w="40" w:type="dxa"/>
              <w:left w:w="0" w:type="dxa"/>
              <w:bottom w:w="40" w:type="dxa"/>
              <w:right w:w="20" w:type="dxa"/>
            </w:tcMar>
            <w:vAlign w:val="bottom"/>
          </w:tcPr>
          <w:p w14:paraId="392C71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3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3F" w14:textId="77777777" w:rsidR="00980E5F" w:rsidRDefault="00483613">
            <w:pPr>
              <w:jc w:val="right"/>
              <w:textAlignment w:val="bottom"/>
            </w:pPr>
            <w:r>
              <w:rPr>
                <w:rFonts w:ascii="Arial" w:eastAsia="宋体" w:hAnsi="Arial" w:cs="Arial"/>
                <w:color w:val="000000"/>
                <w:sz w:val="14"/>
                <w:szCs w:val="14"/>
              </w:rPr>
              <w:t>397 </w:t>
            </w:r>
          </w:p>
        </w:tc>
        <w:tc>
          <w:tcPr>
            <w:tcW w:w="0" w:type="auto"/>
            <w:shd w:val="clear" w:color="auto" w:fill="FFFFFF"/>
            <w:tcMar>
              <w:top w:w="40" w:type="dxa"/>
              <w:left w:w="0" w:type="dxa"/>
              <w:bottom w:w="40" w:type="dxa"/>
              <w:right w:w="20" w:type="dxa"/>
            </w:tcMar>
            <w:vAlign w:val="bottom"/>
          </w:tcPr>
          <w:p w14:paraId="392C714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41"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14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43" w14:textId="77777777" w:rsidR="00980E5F" w:rsidRDefault="00483613">
            <w:pPr>
              <w:jc w:val="right"/>
              <w:textAlignment w:val="bottom"/>
            </w:pPr>
            <w:r>
              <w:rPr>
                <w:rFonts w:ascii="Arial" w:eastAsia="宋体" w:hAnsi="Arial" w:cs="Arial"/>
                <w:color w:val="000000"/>
                <w:sz w:val="14"/>
                <w:szCs w:val="14"/>
              </w:rPr>
              <w:t>657 </w:t>
            </w:r>
          </w:p>
        </w:tc>
        <w:tc>
          <w:tcPr>
            <w:tcW w:w="0" w:type="auto"/>
            <w:shd w:val="clear" w:color="auto" w:fill="FFFFFF"/>
            <w:tcMar>
              <w:top w:w="40" w:type="dxa"/>
              <w:left w:w="0" w:type="dxa"/>
              <w:bottom w:w="40" w:type="dxa"/>
              <w:right w:w="20" w:type="dxa"/>
            </w:tcMar>
            <w:vAlign w:val="bottom"/>
          </w:tcPr>
          <w:p w14:paraId="392C71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45" w14:textId="77777777" w:rsidR="00980E5F" w:rsidRDefault="00980E5F">
            <w:pPr>
              <w:rPr>
                <w:rFonts w:ascii="宋体"/>
              </w:rPr>
            </w:pPr>
          </w:p>
        </w:tc>
        <w:tc>
          <w:tcPr>
            <w:tcW w:w="0" w:type="auto"/>
            <w:shd w:val="clear" w:color="auto" w:fill="auto"/>
            <w:vAlign w:val="bottom"/>
          </w:tcPr>
          <w:p w14:paraId="392C7146" w14:textId="77777777" w:rsidR="00980E5F" w:rsidRDefault="00980E5F">
            <w:pPr>
              <w:rPr>
                <w:rFonts w:ascii="宋体"/>
                <w:vanish/>
              </w:rPr>
            </w:pPr>
          </w:p>
        </w:tc>
        <w:tc>
          <w:tcPr>
            <w:tcW w:w="0" w:type="auto"/>
            <w:shd w:val="clear" w:color="auto" w:fill="auto"/>
            <w:vAlign w:val="bottom"/>
          </w:tcPr>
          <w:p w14:paraId="392C7147" w14:textId="77777777" w:rsidR="00980E5F" w:rsidRDefault="00980E5F">
            <w:pPr>
              <w:rPr>
                <w:rFonts w:ascii="宋体"/>
                <w:vanish/>
              </w:rPr>
            </w:pPr>
          </w:p>
        </w:tc>
        <w:tc>
          <w:tcPr>
            <w:tcW w:w="0" w:type="auto"/>
            <w:shd w:val="clear" w:color="auto" w:fill="FFFFFF"/>
            <w:tcMar>
              <w:top w:w="40" w:type="dxa"/>
              <w:left w:w="20" w:type="dxa"/>
              <w:bottom w:w="40" w:type="dxa"/>
              <w:right w:w="0" w:type="dxa"/>
            </w:tcMar>
            <w:vAlign w:val="bottom"/>
          </w:tcPr>
          <w:p w14:paraId="392C714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49" w14:textId="77777777" w:rsidR="00980E5F" w:rsidRDefault="00483613">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392C71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4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14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4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4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15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151" w14:textId="77777777" w:rsidR="00980E5F" w:rsidRDefault="00483613">
            <w:pPr>
              <w:jc w:val="right"/>
              <w:textAlignment w:val="bottom"/>
            </w:pPr>
            <w:r>
              <w:rPr>
                <w:rFonts w:ascii="Arial" w:eastAsia="宋体" w:hAnsi="Arial" w:cs="Arial"/>
                <w:color w:val="000000"/>
                <w:sz w:val="14"/>
                <w:szCs w:val="14"/>
              </w:rPr>
              <w:t>2,373 </w:t>
            </w:r>
          </w:p>
        </w:tc>
        <w:tc>
          <w:tcPr>
            <w:tcW w:w="0" w:type="auto"/>
            <w:shd w:val="clear" w:color="auto" w:fill="FFFFFF"/>
            <w:tcMar>
              <w:top w:w="40" w:type="dxa"/>
              <w:left w:w="0" w:type="dxa"/>
              <w:bottom w:w="40" w:type="dxa"/>
              <w:right w:w="20" w:type="dxa"/>
            </w:tcMar>
            <w:vAlign w:val="bottom"/>
          </w:tcPr>
          <w:p w14:paraId="392C7152" w14:textId="77777777" w:rsidR="00980E5F" w:rsidRDefault="00980E5F">
            <w:pPr>
              <w:jc w:val="right"/>
              <w:rPr>
                <w:rFonts w:ascii="宋体"/>
              </w:rPr>
            </w:pPr>
          </w:p>
        </w:tc>
      </w:tr>
      <w:tr w:rsidR="00980E5F" w14:paraId="392C716E" w14:textId="77777777">
        <w:tc>
          <w:tcPr>
            <w:tcW w:w="0" w:type="auto"/>
            <w:gridSpan w:val="3"/>
            <w:shd w:val="clear" w:color="auto" w:fill="CCEEFF"/>
            <w:tcMar>
              <w:top w:w="40" w:type="dxa"/>
              <w:left w:w="380" w:type="dxa"/>
              <w:bottom w:w="40" w:type="dxa"/>
              <w:right w:w="20" w:type="dxa"/>
            </w:tcMar>
            <w:vAlign w:val="bottom"/>
          </w:tcPr>
          <w:p w14:paraId="392C7154"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392C715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1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5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5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1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5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5B" w14:textId="77777777" w:rsidR="00980E5F" w:rsidRDefault="00483613">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392C71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5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5E" w14:textId="77777777" w:rsidR="00980E5F" w:rsidRDefault="00483613">
            <w:pPr>
              <w:jc w:val="right"/>
              <w:textAlignment w:val="bottom"/>
            </w:pPr>
            <w:r>
              <w:rPr>
                <w:rFonts w:ascii="Arial" w:eastAsia="宋体" w:hAnsi="Arial" w:cs="Arial"/>
                <w:color w:val="000000"/>
                <w:sz w:val="14"/>
                <w:szCs w:val="14"/>
              </w:rPr>
              <w:t>124 </w:t>
            </w:r>
          </w:p>
        </w:tc>
        <w:tc>
          <w:tcPr>
            <w:tcW w:w="0" w:type="auto"/>
            <w:shd w:val="clear" w:color="auto" w:fill="CCEEFF"/>
            <w:tcMar>
              <w:top w:w="40" w:type="dxa"/>
              <w:left w:w="0" w:type="dxa"/>
              <w:bottom w:w="40" w:type="dxa"/>
              <w:right w:w="20" w:type="dxa"/>
            </w:tcMar>
            <w:vAlign w:val="bottom"/>
          </w:tcPr>
          <w:p w14:paraId="392C71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6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61" w14:textId="77777777" w:rsidR="00980E5F" w:rsidRDefault="00483613">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392C71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63" w14:textId="77777777" w:rsidR="00980E5F" w:rsidRDefault="00980E5F">
            <w:pPr>
              <w:rPr>
                <w:rFonts w:ascii="宋体"/>
              </w:rPr>
            </w:pPr>
          </w:p>
        </w:tc>
        <w:tc>
          <w:tcPr>
            <w:tcW w:w="0" w:type="auto"/>
            <w:shd w:val="clear" w:color="auto" w:fill="auto"/>
            <w:vAlign w:val="bottom"/>
          </w:tcPr>
          <w:p w14:paraId="392C7164" w14:textId="77777777" w:rsidR="00980E5F" w:rsidRDefault="00980E5F">
            <w:pPr>
              <w:rPr>
                <w:rFonts w:ascii="宋体"/>
                <w:vanish/>
              </w:rPr>
            </w:pPr>
          </w:p>
        </w:tc>
        <w:tc>
          <w:tcPr>
            <w:tcW w:w="0" w:type="auto"/>
            <w:shd w:val="clear" w:color="auto" w:fill="auto"/>
            <w:vAlign w:val="bottom"/>
          </w:tcPr>
          <w:p w14:paraId="392C7165"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166" w14:textId="77777777" w:rsidR="00980E5F" w:rsidRDefault="00483613">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392C71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6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1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16C" w14:textId="77777777" w:rsidR="00980E5F" w:rsidRDefault="00483613">
            <w:pPr>
              <w:jc w:val="right"/>
              <w:textAlignment w:val="bottom"/>
            </w:pPr>
            <w:r>
              <w:rPr>
                <w:rFonts w:ascii="Arial" w:eastAsia="宋体" w:hAnsi="Arial" w:cs="Arial"/>
                <w:color w:val="000000"/>
                <w:sz w:val="14"/>
                <w:szCs w:val="14"/>
              </w:rPr>
              <w:t>220 </w:t>
            </w:r>
          </w:p>
        </w:tc>
        <w:tc>
          <w:tcPr>
            <w:tcW w:w="0" w:type="auto"/>
            <w:shd w:val="clear" w:color="auto" w:fill="CCEEFF"/>
            <w:tcMar>
              <w:top w:w="40" w:type="dxa"/>
              <w:left w:w="0" w:type="dxa"/>
              <w:bottom w:w="40" w:type="dxa"/>
              <w:right w:w="20" w:type="dxa"/>
            </w:tcMar>
            <w:vAlign w:val="bottom"/>
          </w:tcPr>
          <w:p w14:paraId="392C716D" w14:textId="77777777" w:rsidR="00980E5F" w:rsidRDefault="00980E5F">
            <w:pPr>
              <w:jc w:val="right"/>
              <w:rPr>
                <w:rFonts w:ascii="宋体"/>
              </w:rPr>
            </w:pPr>
          </w:p>
        </w:tc>
      </w:tr>
      <w:tr w:rsidR="00980E5F" w14:paraId="392C7189" w14:textId="77777777">
        <w:tc>
          <w:tcPr>
            <w:tcW w:w="0" w:type="auto"/>
            <w:gridSpan w:val="3"/>
            <w:shd w:val="clear" w:color="auto" w:fill="FFFFFF"/>
            <w:tcMar>
              <w:top w:w="40" w:type="dxa"/>
              <w:left w:w="380" w:type="dxa"/>
              <w:bottom w:w="40" w:type="dxa"/>
              <w:right w:w="20" w:type="dxa"/>
            </w:tcMar>
            <w:vAlign w:val="bottom"/>
          </w:tcPr>
          <w:p w14:paraId="392C716F"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392C717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7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7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7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7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79" w14:textId="77777777" w:rsidR="00980E5F" w:rsidRDefault="00483613">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392C71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7C" w14:textId="77777777" w:rsidR="00980E5F" w:rsidRDefault="00483613">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392C71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7E" w14:textId="77777777" w:rsidR="00980E5F" w:rsidRDefault="00980E5F">
            <w:pPr>
              <w:rPr>
                <w:rFonts w:ascii="宋体"/>
              </w:rPr>
            </w:pPr>
          </w:p>
        </w:tc>
        <w:tc>
          <w:tcPr>
            <w:tcW w:w="0" w:type="auto"/>
            <w:shd w:val="clear" w:color="auto" w:fill="auto"/>
            <w:vAlign w:val="bottom"/>
          </w:tcPr>
          <w:p w14:paraId="392C717F" w14:textId="77777777" w:rsidR="00980E5F" w:rsidRDefault="00980E5F">
            <w:pPr>
              <w:rPr>
                <w:rFonts w:ascii="宋体"/>
                <w:vanish/>
              </w:rPr>
            </w:pPr>
          </w:p>
        </w:tc>
        <w:tc>
          <w:tcPr>
            <w:tcW w:w="0" w:type="auto"/>
            <w:shd w:val="clear" w:color="auto" w:fill="auto"/>
            <w:vAlign w:val="bottom"/>
          </w:tcPr>
          <w:p w14:paraId="392C718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18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8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8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18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18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187" w14:textId="77777777" w:rsidR="00980E5F" w:rsidRDefault="00483613">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392C7188" w14:textId="77777777" w:rsidR="00980E5F" w:rsidRDefault="00980E5F">
            <w:pPr>
              <w:jc w:val="right"/>
              <w:rPr>
                <w:rFonts w:ascii="宋体"/>
              </w:rPr>
            </w:pPr>
          </w:p>
        </w:tc>
      </w:tr>
      <w:tr w:rsidR="00980E5F" w14:paraId="392C719C" w14:textId="77777777">
        <w:trPr>
          <w:hidden/>
        </w:trPr>
        <w:tc>
          <w:tcPr>
            <w:tcW w:w="0" w:type="auto"/>
            <w:gridSpan w:val="3"/>
            <w:shd w:val="clear" w:color="auto" w:fill="auto"/>
            <w:vAlign w:val="bottom"/>
          </w:tcPr>
          <w:p w14:paraId="392C718A" w14:textId="77777777" w:rsidR="00980E5F" w:rsidRDefault="00980E5F">
            <w:pPr>
              <w:rPr>
                <w:rFonts w:ascii="宋体"/>
                <w:vanish/>
              </w:rPr>
            </w:pPr>
          </w:p>
        </w:tc>
        <w:tc>
          <w:tcPr>
            <w:tcW w:w="0" w:type="auto"/>
            <w:gridSpan w:val="3"/>
            <w:shd w:val="clear" w:color="auto" w:fill="auto"/>
            <w:vAlign w:val="bottom"/>
          </w:tcPr>
          <w:p w14:paraId="392C718B" w14:textId="77777777" w:rsidR="00980E5F" w:rsidRDefault="00980E5F">
            <w:pPr>
              <w:rPr>
                <w:rFonts w:ascii="宋体"/>
                <w:vanish/>
              </w:rPr>
            </w:pPr>
          </w:p>
        </w:tc>
        <w:tc>
          <w:tcPr>
            <w:tcW w:w="0" w:type="auto"/>
            <w:gridSpan w:val="3"/>
            <w:shd w:val="clear" w:color="auto" w:fill="auto"/>
            <w:vAlign w:val="bottom"/>
          </w:tcPr>
          <w:p w14:paraId="392C718C" w14:textId="77777777" w:rsidR="00980E5F" w:rsidRDefault="00980E5F">
            <w:pPr>
              <w:rPr>
                <w:rFonts w:ascii="宋体"/>
                <w:vanish/>
              </w:rPr>
            </w:pPr>
          </w:p>
        </w:tc>
        <w:tc>
          <w:tcPr>
            <w:tcW w:w="0" w:type="auto"/>
            <w:gridSpan w:val="3"/>
            <w:shd w:val="clear" w:color="auto" w:fill="auto"/>
            <w:vAlign w:val="bottom"/>
          </w:tcPr>
          <w:p w14:paraId="392C718D" w14:textId="77777777" w:rsidR="00980E5F" w:rsidRDefault="00980E5F">
            <w:pPr>
              <w:rPr>
                <w:rFonts w:ascii="宋体"/>
                <w:vanish/>
              </w:rPr>
            </w:pPr>
          </w:p>
        </w:tc>
        <w:tc>
          <w:tcPr>
            <w:tcW w:w="0" w:type="auto"/>
            <w:gridSpan w:val="3"/>
            <w:shd w:val="clear" w:color="auto" w:fill="auto"/>
            <w:vAlign w:val="bottom"/>
          </w:tcPr>
          <w:p w14:paraId="392C718E" w14:textId="77777777" w:rsidR="00980E5F" w:rsidRDefault="00980E5F">
            <w:pPr>
              <w:rPr>
                <w:rFonts w:ascii="宋体"/>
                <w:vanish/>
              </w:rPr>
            </w:pPr>
          </w:p>
        </w:tc>
        <w:tc>
          <w:tcPr>
            <w:tcW w:w="0" w:type="auto"/>
            <w:gridSpan w:val="3"/>
            <w:shd w:val="clear" w:color="auto" w:fill="auto"/>
            <w:vAlign w:val="bottom"/>
          </w:tcPr>
          <w:p w14:paraId="392C718F" w14:textId="77777777" w:rsidR="00980E5F" w:rsidRDefault="00980E5F">
            <w:pPr>
              <w:rPr>
                <w:rFonts w:ascii="宋体"/>
                <w:vanish/>
              </w:rPr>
            </w:pPr>
          </w:p>
        </w:tc>
        <w:tc>
          <w:tcPr>
            <w:tcW w:w="0" w:type="auto"/>
            <w:gridSpan w:val="3"/>
            <w:shd w:val="clear" w:color="auto" w:fill="auto"/>
            <w:vAlign w:val="bottom"/>
          </w:tcPr>
          <w:p w14:paraId="392C7190" w14:textId="77777777" w:rsidR="00980E5F" w:rsidRDefault="00980E5F">
            <w:pPr>
              <w:rPr>
                <w:rFonts w:ascii="宋体"/>
                <w:vanish/>
              </w:rPr>
            </w:pPr>
          </w:p>
        </w:tc>
        <w:tc>
          <w:tcPr>
            <w:tcW w:w="0" w:type="auto"/>
            <w:gridSpan w:val="3"/>
            <w:shd w:val="clear" w:color="auto" w:fill="auto"/>
            <w:vAlign w:val="bottom"/>
          </w:tcPr>
          <w:p w14:paraId="392C7191" w14:textId="77777777" w:rsidR="00980E5F" w:rsidRDefault="00980E5F">
            <w:pPr>
              <w:rPr>
                <w:rFonts w:ascii="宋体"/>
                <w:vanish/>
              </w:rPr>
            </w:pPr>
          </w:p>
        </w:tc>
        <w:tc>
          <w:tcPr>
            <w:tcW w:w="0" w:type="auto"/>
            <w:gridSpan w:val="3"/>
            <w:shd w:val="clear" w:color="auto" w:fill="auto"/>
            <w:vAlign w:val="bottom"/>
          </w:tcPr>
          <w:p w14:paraId="392C7192" w14:textId="77777777" w:rsidR="00980E5F" w:rsidRDefault="00980E5F">
            <w:pPr>
              <w:rPr>
                <w:rFonts w:ascii="宋体"/>
                <w:vanish/>
              </w:rPr>
            </w:pPr>
          </w:p>
        </w:tc>
        <w:tc>
          <w:tcPr>
            <w:tcW w:w="0" w:type="auto"/>
            <w:gridSpan w:val="3"/>
            <w:shd w:val="clear" w:color="auto" w:fill="auto"/>
            <w:vAlign w:val="bottom"/>
          </w:tcPr>
          <w:p w14:paraId="392C7193" w14:textId="77777777" w:rsidR="00980E5F" w:rsidRDefault="00980E5F">
            <w:pPr>
              <w:rPr>
                <w:rFonts w:ascii="宋体"/>
                <w:vanish/>
              </w:rPr>
            </w:pPr>
          </w:p>
        </w:tc>
        <w:tc>
          <w:tcPr>
            <w:tcW w:w="0" w:type="auto"/>
            <w:gridSpan w:val="3"/>
            <w:shd w:val="clear" w:color="auto" w:fill="auto"/>
            <w:vAlign w:val="bottom"/>
          </w:tcPr>
          <w:p w14:paraId="392C7194" w14:textId="77777777" w:rsidR="00980E5F" w:rsidRDefault="00980E5F">
            <w:pPr>
              <w:rPr>
                <w:rFonts w:ascii="宋体"/>
                <w:vanish/>
              </w:rPr>
            </w:pPr>
          </w:p>
        </w:tc>
        <w:tc>
          <w:tcPr>
            <w:tcW w:w="0" w:type="auto"/>
            <w:shd w:val="clear" w:color="auto" w:fill="auto"/>
            <w:vAlign w:val="bottom"/>
          </w:tcPr>
          <w:p w14:paraId="392C7195" w14:textId="77777777" w:rsidR="00980E5F" w:rsidRDefault="00980E5F">
            <w:pPr>
              <w:rPr>
                <w:rFonts w:ascii="宋体"/>
                <w:vanish/>
              </w:rPr>
            </w:pPr>
          </w:p>
        </w:tc>
        <w:tc>
          <w:tcPr>
            <w:tcW w:w="0" w:type="auto"/>
            <w:shd w:val="clear" w:color="auto" w:fill="auto"/>
            <w:vAlign w:val="bottom"/>
          </w:tcPr>
          <w:p w14:paraId="392C7196" w14:textId="77777777" w:rsidR="00980E5F" w:rsidRDefault="00980E5F">
            <w:pPr>
              <w:rPr>
                <w:rFonts w:ascii="宋体"/>
                <w:vanish/>
              </w:rPr>
            </w:pPr>
          </w:p>
        </w:tc>
        <w:tc>
          <w:tcPr>
            <w:tcW w:w="0" w:type="auto"/>
            <w:gridSpan w:val="3"/>
            <w:shd w:val="clear" w:color="auto" w:fill="auto"/>
            <w:vAlign w:val="bottom"/>
          </w:tcPr>
          <w:p w14:paraId="392C7197" w14:textId="77777777" w:rsidR="00980E5F" w:rsidRDefault="00980E5F">
            <w:pPr>
              <w:rPr>
                <w:rFonts w:ascii="宋体"/>
                <w:vanish/>
              </w:rPr>
            </w:pPr>
          </w:p>
        </w:tc>
        <w:tc>
          <w:tcPr>
            <w:tcW w:w="0" w:type="auto"/>
            <w:gridSpan w:val="3"/>
            <w:shd w:val="clear" w:color="auto" w:fill="auto"/>
            <w:vAlign w:val="bottom"/>
          </w:tcPr>
          <w:p w14:paraId="392C7198" w14:textId="77777777" w:rsidR="00980E5F" w:rsidRDefault="00980E5F">
            <w:pPr>
              <w:rPr>
                <w:rFonts w:ascii="宋体"/>
                <w:vanish/>
              </w:rPr>
            </w:pPr>
          </w:p>
        </w:tc>
        <w:tc>
          <w:tcPr>
            <w:tcW w:w="0" w:type="auto"/>
            <w:gridSpan w:val="3"/>
            <w:shd w:val="clear" w:color="auto" w:fill="auto"/>
            <w:vAlign w:val="bottom"/>
          </w:tcPr>
          <w:p w14:paraId="392C7199" w14:textId="77777777" w:rsidR="00980E5F" w:rsidRDefault="00980E5F">
            <w:pPr>
              <w:rPr>
                <w:rFonts w:ascii="宋体"/>
                <w:vanish/>
              </w:rPr>
            </w:pPr>
          </w:p>
        </w:tc>
        <w:tc>
          <w:tcPr>
            <w:tcW w:w="0" w:type="auto"/>
            <w:gridSpan w:val="3"/>
            <w:shd w:val="clear" w:color="auto" w:fill="auto"/>
            <w:vAlign w:val="bottom"/>
          </w:tcPr>
          <w:p w14:paraId="392C719A" w14:textId="77777777" w:rsidR="00980E5F" w:rsidRDefault="00980E5F">
            <w:pPr>
              <w:rPr>
                <w:rFonts w:ascii="宋体"/>
                <w:vanish/>
              </w:rPr>
            </w:pPr>
          </w:p>
        </w:tc>
        <w:tc>
          <w:tcPr>
            <w:tcW w:w="0" w:type="auto"/>
            <w:gridSpan w:val="3"/>
            <w:shd w:val="clear" w:color="auto" w:fill="auto"/>
            <w:vAlign w:val="bottom"/>
          </w:tcPr>
          <w:p w14:paraId="392C719B" w14:textId="77777777" w:rsidR="00980E5F" w:rsidRDefault="00980E5F">
            <w:pPr>
              <w:rPr>
                <w:rFonts w:ascii="宋体"/>
                <w:vanish/>
              </w:rPr>
            </w:pPr>
          </w:p>
        </w:tc>
      </w:tr>
      <w:tr w:rsidR="00980E5F" w14:paraId="392C71AF" w14:textId="77777777">
        <w:trPr>
          <w:hidden/>
        </w:trPr>
        <w:tc>
          <w:tcPr>
            <w:tcW w:w="0" w:type="auto"/>
            <w:gridSpan w:val="3"/>
            <w:shd w:val="clear" w:color="auto" w:fill="auto"/>
            <w:vAlign w:val="bottom"/>
          </w:tcPr>
          <w:p w14:paraId="392C719D" w14:textId="77777777" w:rsidR="00980E5F" w:rsidRDefault="00980E5F">
            <w:pPr>
              <w:rPr>
                <w:rFonts w:ascii="宋体"/>
                <w:vanish/>
              </w:rPr>
            </w:pPr>
          </w:p>
        </w:tc>
        <w:tc>
          <w:tcPr>
            <w:tcW w:w="0" w:type="auto"/>
            <w:gridSpan w:val="3"/>
            <w:shd w:val="clear" w:color="auto" w:fill="auto"/>
            <w:vAlign w:val="bottom"/>
          </w:tcPr>
          <w:p w14:paraId="392C719E" w14:textId="77777777" w:rsidR="00980E5F" w:rsidRDefault="00980E5F">
            <w:pPr>
              <w:rPr>
                <w:rFonts w:ascii="宋体"/>
                <w:vanish/>
              </w:rPr>
            </w:pPr>
          </w:p>
        </w:tc>
        <w:tc>
          <w:tcPr>
            <w:tcW w:w="0" w:type="auto"/>
            <w:gridSpan w:val="3"/>
            <w:shd w:val="clear" w:color="auto" w:fill="auto"/>
            <w:vAlign w:val="bottom"/>
          </w:tcPr>
          <w:p w14:paraId="392C719F" w14:textId="77777777" w:rsidR="00980E5F" w:rsidRDefault="00980E5F">
            <w:pPr>
              <w:rPr>
                <w:rFonts w:ascii="宋体"/>
                <w:vanish/>
              </w:rPr>
            </w:pPr>
          </w:p>
        </w:tc>
        <w:tc>
          <w:tcPr>
            <w:tcW w:w="0" w:type="auto"/>
            <w:gridSpan w:val="3"/>
            <w:shd w:val="clear" w:color="auto" w:fill="auto"/>
            <w:vAlign w:val="bottom"/>
          </w:tcPr>
          <w:p w14:paraId="392C71A0" w14:textId="77777777" w:rsidR="00980E5F" w:rsidRDefault="00980E5F">
            <w:pPr>
              <w:rPr>
                <w:rFonts w:ascii="宋体"/>
                <w:vanish/>
              </w:rPr>
            </w:pPr>
          </w:p>
        </w:tc>
        <w:tc>
          <w:tcPr>
            <w:tcW w:w="0" w:type="auto"/>
            <w:gridSpan w:val="3"/>
            <w:shd w:val="clear" w:color="auto" w:fill="auto"/>
            <w:vAlign w:val="bottom"/>
          </w:tcPr>
          <w:p w14:paraId="392C71A1" w14:textId="77777777" w:rsidR="00980E5F" w:rsidRDefault="00980E5F">
            <w:pPr>
              <w:rPr>
                <w:rFonts w:ascii="宋体"/>
                <w:vanish/>
              </w:rPr>
            </w:pPr>
          </w:p>
        </w:tc>
        <w:tc>
          <w:tcPr>
            <w:tcW w:w="0" w:type="auto"/>
            <w:gridSpan w:val="3"/>
            <w:shd w:val="clear" w:color="auto" w:fill="auto"/>
            <w:vAlign w:val="bottom"/>
          </w:tcPr>
          <w:p w14:paraId="392C71A2" w14:textId="77777777" w:rsidR="00980E5F" w:rsidRDefault="00980E5F">
            <w:pPr>
              <w:rPr>
                <w:rFonts w:ascii="宋体"/>
                <w:vanish/>
              </w:rPr>
            </w:pPr>
          </w:p>
        </w:tc>
        <w:tc>
          <w:tcPr>
            <w:tcW w:w="0" w:type="auto"/>
            <w:gridSpan w:val="3"/>
            <w:shd w:val="clear" w:color="auto" w:fill="auto"/>
            <w:vAlign w:val="bottom"/>
          </w:tcPr>
          <w:p w14:paraId="392C71A3" w14:textId="77777777" w:rsidR="00980E5F" w:rsidRDefault="00980E5F">
            <w:pPr>
              <w:rPr>
                <w:rFonts w:ascii="宋体"/>
                <w:vanish/>
              </w:rPr>
            </w:pPr>
          </w:p>
        </w:tc>
        <w:tc>
          <w:tcPr>
            <w:tcW w:w="0" w:type="auto"/>
            <w:gridSpan w:val="3"/>
            <w:shd w:val="clear" w:color="auto" w:fill="auto"/>
            <w:vAlign w:val="bottom"/>
          </w:tcPr>
          <w:p w14:paraId="392C71A4" w14:textId="77777777" w:rsidR="00980E5F" w:rsidRDefault="00980E5F">
            <w:pPr>
              <w:rPr>
                <w:rFonts w:ascii="宋体"/>
                <w:vanish/>
              </w:rPr>
            </w:pPr>
          </w:p>
        </w:tc>
        <w:tc>
          <w:tcPr>
            <w:tcW w:w="0" w:type="auto"/>
            <w:gridSpan w:val="3"/>
            <w:shd w:val="clear" w:color="auto" w:fill="auto"/>
            <w:vAlign w:val="bottom"/>
          </w:tcPr>
          <w:p w14:paraId="392C71A5" w14:textId="77777777" w:rsidR="00980E5F" w:rsidRDefault="00980E5F">
            <w:pPr>
              <w:rPr>
                <w:rFonts w:ascii="宋体"/>
                <w:vanish/>
              </w:rPr>
            </w:pPr>
          </w:p>
        </w:tc>
        <w:tc>
          <w:tcPr>
            <w:tcW w:w="0" w:type="auto"/>
            <w:gridSpan w:val="3"/>
            <w:shd w:val="clear" w:color="auto" w:fill="auto"/>
            <w:vAlign w:val="bottom"/>
          </w:tcPr>
          <w:p w14:paraId="392C71A6" w14:textId="77777777" w:rsidR="00980E5F" w:rsidRDefault="00980E5F">
            <w:pPr>
              <w:rPr>
                <w:rFonts w:ascii="宋体"/>
                <w:vanish/>
              </w:rPr>
            </w:pPr>
          </w:p>
        </w:tc>
        <w:tc>
          <w:tcPr>
            <w:tcW w:w="0" w:type="auto"/>
            <w:gridSpan w:val="3"/>
            <w:shd w:val="clear" w:color="auto" w:fill="auto"/>
            <w:vAlign w:val="bottom"/>
          </w:tcPr>
          <w:p w14:paraId="392C71A7" w14:textId="77777777" w:rsidR="00980E5F" w:rsidRDefault="00980E5F">
            <w:pPr>
              <w:rPr>
                <w:rFonts w:ascii="宋体"/>
                <w:vanish/>
              </w:rPr>
            </w:pPr>
          </w:p>
        </w:tc>
        <w:tc>
          <w:tcPr>
            <w:tcW w:w="0" w:type="auto"/>
            <w:shd w:val="clear" w:color="auto" w:fill="auto"/>
            <w:vAlign w:val="bottom"/>
          </w:tcPr>
          <w:p w14:paraId="392C71A8" w14:textId="77777777" w:rsidR="00980E5F" w:rsidRDefault="00980E5F">
            <w:pPr>
              <w:rPr>
                <w:rFonts w:ascii="宋体"/>
                <w:vanish/>
              </w:rPr>
            </w:pPr>
          </w:p>
        </w:tc>
        <w:tc>
          <w:tcPr>
            <w:tcW w:w="0" w:type="auto"/>
            <w:shd w:val="clear" w:color="auto" w:fill="auto"/>
            <w:vAlign w:val="bottom"/>
          </w:tcPr>
          <w:p w14:paraId="392C71A9" w14:textId="77777777" w:rsidR="00980E5F" w:rsidRDefault="00980E5F">
            <w:pPr>
              <w:rPr>
                <w:rFonts w:ascii="宋体"/>
                <w:vanish/>
              </w:rPr>
            </w:pPr>
          </w:p>
        </w:tc>
        <w:tc>
          <w:tcPr>
            <w:tcW w:w="0" w:type="auto"/>
            <w:gridSpan w:val="3"/>
            <w:shd w:val="clear" w:color="auto" w:fill="auto"/>
            <w:vAlign w:val="bottom"/>
          </w:tcPr>
          <w:p w14:paraId="392C71AA" w14:textId="77777777" w:rsidR="00980E5F" w:rsidRDefault="00980E5F">
            <w:pPr>
              <w:rPr>
                <w:rFonts w:ascii="宋体"/>
                <w:vanish/>
              </w:rPr>
            </w:pPr>
          </w:p>
        </w:tc>
        <w:tc>
          <w:tcPr>
            <w:tcW w:w="0" w:type="auto"/>
            <w:gridSpan w:val="3"/>
            <w:shd w:val="clear" w:color="auto" w:fill="auto"/>
            <w:vAlign w:val="bottom"/>
          </w:tcPr>
          <w:p w14:paraId="392C71AB" w14:textId="77777777" w:rsidR="00980E5F" w:rsidRDefault="00980E5F">
            <w:pPr>
              <w:rPr>
                <w:rFonts w:ascii="宋体"/>
                <w:vanish/>
              </w:rPr>
            </w:pPr>
          </w:p>
        </w:tc>
        <w:tc>
          <w:tcPr>
            <w:tcW w:w="0" w:type="auto"/>
            <w:gridSpan w:val="3"/>
            <w:shd w:val="clear" w:color="auto" w:fill="auto"/>
            <w:vAlign w:val="bottom"/>
          </w:tcPr>
          <w:p w14:paraId="392C71AC" w14:textId="77777777" w:rsidR="00980E5F" w:rsidRDefault="00980E5F">
            <w:pPr>
              <w:rPr>
                <w:rFonts w:ascii="宋体"/>
                <w:vanish/>
              </w:rPr>
            </w:pPr>
          </w:p>
        </w:tc>
        <w:tc>
          <w:tcPr>
            <w:tcW w:w="0" w:type="auto"/>
            <w:gridSpan w:val="3"/>
            <w:shd w:val="clear" w:color="auto" w:fill="auto"/>
            <w:vAlign w:val="bottom"/>
          </w:tcPr>
          <w:p w14:paraId="392C71AD" w14:textId="77777777" w:rsidR="00980E5F" w:rsidRDefault="00980E5F">
            <w:pPr>
              <w:rPr>
                <w:rFonts w:ascii="宋体"/>
                <w:vanish/>
              </w:rPr>
            </w:pPr>
          </w:p>
        </w:tc>
        <w:tc>
          <w:tcPr>
            <w:tcW w:w="0" w:type="auto"/>
            <w:gridSpan w:val="3"/>
            <w:shd w:val="clear" w:color="auto" w:fill="auto"/>
            <w:vAlign w:val="bottom"/>
          </w:tcPr>
          <w:p w14:paraId="392C71AE" w14:textId="77777777" w:rsidR="00980E5F" w:rsidRDefault="00980E5F">
            <w:pPr>
              <w:rPr>
                <w:rFonts w:ascii="宋体"/>
                <w:vanish/>
              </w:rPr>
            </w:pPr>
          </w:p>
        </w:tc>
      </w:tr>
      <w:tr w:rsidR="00980E5F" w14:paraId="392C71C2" w14:textId="77777777">
        <w:trPr>
          <w:hidden/>
        </w:trPr>
        <w:tc>
          <w:tcPr>
            <w:tcW w:w="0" w:type="auto"/>
            <w:gridSpan w:val="3"/>
            <w:shd w:val="clear" w:color="auto" w:fill="auto"/>
            <w:vAlign w:val="bottom"/>
          </w:tcPr>
          <w:p w14:paraId="392C71B0" w14:textId="77777777" w:rsidR="00980E5F" w:rsidRDefault="00980E5F">
            <w:pPr>
              <w:rPr>
                <w:rFonts w:ascii="宋体"/>
                <w:vanish/>
              </w:rPr>
            </w:pPr>
          </w:p>
        </w:tc>
        <w:tc>
          <w:tcPr>
            <w:tcW w:w="0" w:type="auto"/>
            <w:gridSpan w:val="3"/>
            <w:shd w:val="clear" w:color="auto" w:fill="auto"/>
            <w:vAlign w:val="bottom"/>
          </w:tcPr>
          <w:p w14:paraId="392C71B1" w14:textId="77777777" w:rsidR="00980E5F" w:rsidRDefault="00980E5F">
            <w:pPr>
              <w:rPr>
                <w:rFonts w:ascii="宋体"/>
                <w:vanish/>
              </w:rPr>
            </w:pPr>
          </w:p>
        </w:tc>
        <w:tc>
          <w:tcPr>
            <w:tcW w:w="0" w:type="auto"/>
            <w:gridSpan w:val="3"/>
            <w:shd w:val="clear" w:color="auto" w:fill="auto"/>
            <w:vAlign w:val="bottom"/>
          </w:tcPr>
          <w:p w14:paraId="392C71B2" w14:textId="77777777" w:rsidR="00980E5F" w:rsidRDefault="00980E5F">
            <w:pPr>
              <w:rPr>
                <w:rFonts w:ascii="宋体"/>
                <w:vanish/>
              </w:rPr>
            </w:pPr>
          </w:p>
        </w:tc>
        <w:tc>
          <w:tcPr>
            <w:tcW w:w="0" w:type="auto"/>
            <w:gridSpan w:val="3"/>
            <w:shd w:val="clear" w:color="auto" w:fill="auto"/>
            <w:vAlign w:val="bottom"/>
          </w:tcPr>
          <w:p w14:paraId="392C71B3" w14:textId="77777777" w:rsidR="00980E5F" w:rsidRDefault="00980E5F">
            <w:pPr>
              <w:rPr>
                <w:rFonts w:ascii="宋体"/>
                <w:vanish/>
              </w:rPr>
            </w:pPr>
          </w:p>
        </w:tc>
        <w:tc>
          <w:tcPr>
            <w:tcW w:w="0" w:type="auto"/>
            <w:gridSpan w:val="3"/>
            <w:shd w:val="clear" w:color="auto" w:fill="auto"/>
            <w:vAlign w:val="bottom"/>
          </w:tcPr>
          <w:p w14:paraId="392C71B4" w14:textId="77777777" w:rsidR="00980E5F" w:rsidRDefault="00980E5F">
            <w:pPr>
              <w:rPr>
                <w:rFonts w:ascii="宋体"/>
                <w:vanish/>
              </w:rPr>
            </w:pPr>
          </w:p>
        </w:tc>
        <w:tc>
          <w:tcPr>
            <w:tcW w:w="0" w:type="auto"/>
            <w:gridSpan w:val="3"/>
            <w:shd w:val="clear" w:color="auto" w:fill="auto"/>
            <w:vAlign w:val="bottom"/>
          </w:tcPr>
          <w:p w14:paraId="392C71B5" w14:textId="77777777" w:rsidR="00980E5F" w:rsidRDefault="00980E5F">
            <w:pPr>
              <w:rPr>
                <w:rFonts w:ascii="宋体"/>
                <w:vanish/>
              </w:rPr>
            </w:pPr>
          </w:p>
        </w:tc>
        <w:tc>
          <w:tcPr>
            <w:tcW w:w="0" w:type="auto"/>
            <w:gridSpan w:val="3"/>
            <w:shd w:val="clear" w:color="auto" w:fill="auto"/>
            <w:vAlign w:val="bottom"/>
          </w:tcPr>
          <w:p w14:paraId="392C71B6" w14:textId="77777777" w:rsidR="00980E5F" w:rsidRDefault="00980E5F">
            <w:pPr>
              <w:rPr>
                <w:rFonts w:ascii="宋体"/>
                <w:vanish/>
              </w:rPr>
            </w:pPr>
          </w:p>
        </w:tc>
        <w:tc>
          <w:tcPr>
            <w:tcW w:w="0" w:type="auto"/>
            <w:gridSpan w:val="3"/>
            <w:shd w:val="clear" w:color="auto" w:fill="auto"/>
            <w:vAlign w:val="bottom"/>
          </w:tcPr>
          <w:p w14:paraId="392C71B7" w14:textId="77777777" w:rsidR="00980E5F" w:rsidRDefault="00980E5F">
            <w:pPr>
              <w:rPr>
                <w:rFonts w:ascii="宋体"/>
                <w:vanish/>
              </w:rPr>
            </w:pPr>
          </w:p>
        </w:tc>
        <w:tc>
          <w:tcPr>
            <w:tcW w:w="0" w:type="auto"/>
            <w:gridSpan w:val="3"/>
            <w:shd w:val="clear" w:color="auto" w:fill="auto"/>
            <w:vAlign w:val="bottom"/>
          </w:tcPr>
          <w:p w14:paraId="392C71B8" w14:textId="77777777" w:rsidR="00980E5F" w:rsidRDefault="00980E5F">
            <w:pPr>
              <w:rPr>
                <w:rFonts w:ascii="宋体"/>
                <w:vanish/>
              </w:rPr>
            </w:pPr>
          </w:p>
        </w:tc>
        <w:tc>
          <w:tcPr>
            <w:tcW w:w="0" w:type="auto"/>
            <w:gridSpan w:val="3"/>
            <w:shd w:val="clear" w:color="auto" w:fill="auto"/>
            <w:vAlign w:val="bottom"/>
          </w:tcPr>
          <w:p w14:paraId="392C71B9" w14:textId="77777777" w:rsidR="00980E5F" w:rsidRDefault="00980E5F">
            <w:pPr>
              <w:rPr>
                <w:rFonts w:ascii="宋体"/>
                <w:vanish/>
              </w:rPr>
            </w:pPr>
          </w:p>
        </w:tc>
        <w:tc>
          <w:tcPr>
            <w:tcW w:w="0" w:type="auto"/>
            <w:gridSpan w:val="3"/>
            <w:shd w:val="clear" w:color="auto" w:fill="auto"/>
            <w:vAlign w:val="bottom"/>
          </w:tcPr>
          <w:p w14:paraId="392C71BA" w14:textId="77777777" w:rsidR="00980E5F" w:rsidRDefault="00980E5F">
            <w:pPr>
              <w:rPr>
                <w:rFonts w:ascii="宋体"/>
                <w:vanish/>
              </w:rPr>
            </w:pPr>
          </w:p>
        </w:tc>
        <w:tc>
          <w:tcPr>
            <w:tcW w:w="0" w:type="auto"/>
            <w:shd w:val="clear" w:color="auto" w:fill="auto"/>
            <w:vAlign w:val="bottom"/>
          </w:tcPr>
          <w:p w14:paraId="392C71BB" w14:textId="77777777" w:rsidR="00980E5F" w:rsidRDefault="00980E5F">
            <w:pPr>
              <w:rPr>
                <w:rFonts w:ascii="宋体"/>
                <w:vanish/>
              </w:rPr>
            </w:pPr>
          </w:p>
        </w:tc>
        <w:tc>
          <w:tcPr>
            <w:tcW w:w="0" w:type="auto"/>
            <w:shd w:val="clear" w:color="auto" w:fill="auto"/>
            <w:vAlign w:val="bottom"/>
          </w:tcPr>
          <w:p w14:paraId="392C71BC" w14:textId="77777777" w:rsidR="00980E5F" w:rsidRDefault="00980E5F">
            <w:pPr>
              <w:rPr>
                <w:rFonts w:ascii="宋体"/>
                <w:vanish/>
              </w:rPr>
            </w:pPr>
          </w:p>
        </w:tc>
        <w:tc>
          <w:tcPr>
            <w:tcW w:w="0" w:type="auto"/>
            <w:gridSpan w:val="3"/>
            <w:shd w:val="clear" w:color="auto" w:fill="auto"/>
            <w:vAlign w:val="bottom"/>
          </w:tcPr>
          <w:p w14:paraId="392C71BD" w14:textId="77777777" w:rsidR="00980E5F" w:rsidRDefault="00980E5F">
            <w:pPr>
              <w:rPr>
                <w:rFonts w:ascii="宋体"/>
                <w:vanish/>
              </w:rPr>
            </w:pPr>
          </w:p>
        </w:tc>
        <w:tc>
          <w:tcPr>
            <w:tcW w:w="0" w:type="auto"/>
            <w:gridSpan w:val="3"/>
            <w:shd w:val="clear" w:color="auto" w:fill="auto"/>
            <w:vAlign w:val="bottom"/>
          </w:tcPr>
          <w:p w14:paraId="392C71BE" w14:textId="77777777" w:rsidR="00980E5F" w:rsidRDefault="00980E5F">
            <w:pPr>
              <w:rPr>
                <w:rFonts w:ascii="宋体"/>
                <w:vanish/>
              </w:rPr>
            </w:pPr>
          </w:p>
        </w:tc>
        <w:tc>
          <w:tcPr>
            <w:tcW w:w="0" w:type="auto"/>
            <w:gridSpan w:val="3"/>
            <w:shd w:val="clear" w:color="auto" w:fill="auto"/>
            <w:vAlign w:val="bottom"/>
          </w:tcPr>
          <w:p w14:paraId="392C71BF" w14:textId="77777777" w:rsidR="00980E5F" w:rsidRDefault="00980E5F">
            <w:pPr>
              <w:rPr>
                <w:rFonts w:ascii="宋体"/>
                <w:vanish/>
              </w:rPr>
            </w:pPr>
          </w:p>
        </w:tc>
        <w:tc>
          <w:tcPr>
            <w:tcW w:w="0" w:type="auto"/>
            <w:gridSpan w:val="3"/>
            <w:shd w:val="clear" w:color="auto" w:fill="auto"/>
            <w:vAlign w:val="bottom"/>
          </w:tcPr>
          <w:p w14:paraId="392C71C0" w14:textId="77777777" w:rsidR="00980E5F" w:rsidRDefault="00980E5F">
            <w:pPr>
              <w:rPr>
                <w:rFonts w:ascii="宋体"/>
                <w:vanish/>
              </w:rPr>
            </w:pPr>
          </w:p>
        </w:tc>
        <w:tc>
          <w:tcPr>
            <w:tcW w:w="0" w:type="auto"/>
            <w:gridSpan w:val="3"/>
            <w:shd w:val="clear" w:color="auto" w:fill="auto"/>
            <w:vAlign w:val="bottom"/>
          </w:tcPr>
          <w:p w14:paraId="392C71C1" w14:textId="77777777" w:rsidR="00980E5F" w:rsidRDefault="00980E5F">
            <w:pPr>
              <w:rPr>
                <w:rFonts w:ascii="宋体"/>
                <w:vanish/>
              </w:rPr>
            </w:pPr>
          </w:p>
        </w:tc>
      </w:tr>
      <w:tr w:rsidR="00980E5F" w14:paraId="392C71E5" w14:textId="77777777">
        <w:tc>
          <w:tcPr>
            <w:tcW w:w="0" w:type="auto"/>
            <w:gridSpan w:val="3"/>
            <w:shd w:val="clear" w:color="auto" w:fill="CCEEFF"/>
            <w:tcMar>
              <w:top w:w="40" w:type="dxa"/>
              <w:left w:w="155" w:type="dxa"/>
              <w:bottom w:w="40" w:type="dxa"/>
              <w:right w:w="20" w:type="dxa"/>
            </w:tcMar>
            <w:vAlign w:val="bottom"/>
          </w:tcPr>
          <w:p w14:paraId="392C71C3" w14:textId="77777777" w:rsidR="00980E5F" w:rsidRDefault="00483613">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1C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C5" w14:textId="77777777" w:rsidR="00980E5F" w:rsidRDefault="00483613">
            <w:pPr>
              <w:jc w:val="right"/>
              <w:textAlignment w:val="bottom"/>
            </w:pPr>
            <w:r>
              <w:rPr>
                <w:rFonts w:ascii="Arial" w:eastAsia="宋体" w:hAnsi="Arial" w:cs="Arial"/>
                <w:color w:val="000000"/>
                <w:sz w:val="14"/>
                <w:szCs w:val="14"/>
              </w:rPr>
              <w:t>134 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C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C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C9" w14:textId="77777777" w:rsidR="00980E5F" w:rsidRDefault="00483613">
            <w:pPr>
              <w:jc w:val="right"/>
              <w:textAlignment w:val="bottom"/>
            </w:pPr>
            <w:r>
              <w:rPr>
                <w:rFonts w:ascii="Arial" w:eastAsia="宋体" w:hAnsi="Arial" w:cs="Arial"/>
                <w:color w:val="000000"/>
                <w:sz w:val="14"/>
                <w:szCs w:val="14"/>
              </w:rPr>
              <w:t>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C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C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CD" w14:textId="77777777" w:rsidR="00980E5F" w:rsidRDefault="00483613">
            <w:pPr>
              <w:jc w:val="right"/>
              <w:textAlignment w:val="bottom"/>
            </w:pPr>
            <w:r>
              <w:rPr>
                <w:rFonts w:ascii="Arial" w:eastAsia="宋体" w:hAnsi="Arial" w:cs="Arial"/>
                <w:color w:val="000000"/>
                <w:sz w:val="14"/>
                <w:szCs w:val="14"/>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C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D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D1" w14:textId="77777777" w:rsidR="00980E5F" w:rsidRDefault="00483613">
            <w:pPr>
              <w:jc w:val="right"/>
              <w:textAlignment w:val="bottom"/>
            </w:pPr>
            <w:r>
              <w:rPr>
                <w:rFonts w:ascii="Arial" w:eastAsia="宋体" w:hAnsi="Arial" w:cs="Arial"/>
                <w:color w:val="000000"/>
                <w:sz w:val="14"/>
                <w:szCs w:val="14"/>
              </w:rPr>
              <w:t>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D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D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D5" w14:textId="77777777" w:rsidR="00980E5F" w:rsidRDefault="00483613">
            <w:pPr>
              <w:jc w:val="right"/>
              <w:textAlignment w:val="bottom"/>
            </w:pPr>
            <w:r>
              <w:rPr>
                <w:rFonts w:ascii="Arial" w:eastAsia="宋体" w:hAnsi="Arial" w:cs="Arial"/>
                <w:color w:val="000000"/>
                <w:sz w:val="14"/>
                <w:szCs w:val="14"/>
              </w:rPr>
              <w:t>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D7" w14:textId="77777777" w:rsidR="00980E5F" w:rsidRDefault="00980E5F">
            <w:pPr>
              <w:rPr>
                <w:rFonts w:ascii="宋体"/>
              </w:rPr>
            </w:pPr>
          </w:p>
        </w:tc>
        <w:tc>
          <w:tcPr>
            <w:tcW w:w="0" w:type="auto"/>
            <w:shd w:val="clear" w:color="auto" w:fill="auto"/>
            <w:vAlign w:val="bottom"/>
          </w:tcPr>
          <w:p w14:paraId="392C71D8" w14:textId="77777777" w:rsidR="00980E5F" w:rsidRDefault="00980E5F">
            <w:pPr>
              <w:rPr>
                <w:rFonts w:ascii="宋体"/>
                <w:vanish/>
              </w:rPr>
            </w:pPr>
          </w:p>
        </w:tc>
        <w:tc>
          <w:tcPr>
            <w:tcW w:w="0" w:type="auto"/>
            <w:shd w:val="clear" w:color="auto" w:fill="auto"/>
            <w:vAlign w:val="bottom"/>
          </w:tcPr>
          <w:p w14:paraId="392C71D9"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D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DB" w14:textId="77777777" w:rsidR="00980E5F" w:rsidRDefault="00483613">
            <w:pPr>
              <w:jc w:val="right"/>
              <w:textAlignment w:val="bottom"/>
            </w:pPr>
            <w:r>
              <w:rPr>
                <w:rFonts w:ascii="Arial" w:eastAsia="宋体" w:hAnsi="Arial" w:cs="Arial"/>
                <w:color w:val="000000"/>
                <w:sz w:val="14"/>
                <w:szCs w:val="14"/>
              </w:rPr>
              <w:t>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D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D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DF"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1E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1E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1E3" w14:textId="77777777" w:rsidR="00980E5F" w:rsidRDefault="00483613">
            <w:pPr>
              <w:jc w:val="right"/>
              <w:textAlignment w:val="bottom"/>
            </w:pPr>
            <w:r>
              <w:rPr>
                <w:rFonts w:ascii="Arial" w:eastAsia="宋体" w:hAnsi="Arial" w:cs="Arial"/>
                <w:color w:val="000000"/>
                <w:sz w:val="14"/>
                <w:szCs w:val="14"/>
              </w:rPr>
              <w:t>2,682 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1E4" w14:textId="77777777" w:rsidR="00980E5F" w:rsidRDefault="00980E5F">
            <w:pPr>
              <w:jc w:val="right"/>
              <w:rPr>
                <w:rFonts w:ascii="宋体"/>
              </w:rPr>
            </w:pPr>
          </w:p>
        </w:tc>
      </w:tr>
      <w:tr w:rsidR="00980E5F" w14:paraId="392C71F8" w14:textId="77777777">
        <w:tc>
          <w:tcPr>
            <w:tcW w:w="0" w:type="auto"/>
            <w:gridSpan w:val="3"/>
            <w:shd w:val="clear" w:color="auto" w:fill="FFFFFF"/>
            <w:tcMar>
              <w:top w:w="40" w:type="dxa"/>
              <w:left w:w="20" w:type="dxa"/>
              <w:bottom w:w="40" w:type="dxa"/>
              <w:right w:w="20" w:type="dxa"/>
            </w:tcMar>
            <w:vAlign w:val="bottom"/>
          </w:tcPr>
          <w:p w14:paraId="392C71E6" w14:textId="77777777" w:rsidR="00980E5F" w:rsidRDefault="00483613">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E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E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E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E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E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E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F0" w14:textId="77777777" w:rsidR="00980E5F" w:rsidRDefault="00980E5F">
            <w:pPr>
              <w:rPr>
                <w:rFonts w:ascii="宋体"/>
              </w:rPr>
            </w:pPr>
          </w:p>
        </w:tc>
        <w:tc>
          <w:tcPr>
            <w:tcW w:w="0" w:type="auto"/>
            <w:shd w:val="clear" w:color="auto" w:fill="auto"/>
            <w:vAlign w:val="bottom"/>
          </w:tcPr>
          <w:p w14:paraId="392C71F1" w14:textId="77777777" w:rsidR="00980E5F" w:rsidRDefault="00980E5F">
            <w:pPr>
              <w:rPr>
                <w:rFonts w:ascii="宋体"/>
                <w:vanish/>
              </w:rPr>
            </w:pPr>
          </w:p>
        </w:tc>
        <w:tc>
          <w:tcPr>
            <w:tcW w:w="0" w:type="auto"/>
            <w:shd w:val="clear" w:color="auto" w:fill="auto"/>
            <w:vAlign w:val="bottom"/>
          </w:tcPr>
          <w:p w14:paraId="392C71F2"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F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F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F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1F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1F7" w14:textId="77777777" w:rsidR="00980E5F" w:rsidRDefault="00980E5F">
            <w:pPr>
              <w:rPr>
                <w:rFonts w:ascii="宋体"/>
              </w:rPr>
            </w:pPr>
          </w:p>
        </w:tc>
      </w:tr>
      <w:tr w:rsidR="00980E5F" w14:paraId="392C720B" w14:textId="77777777">
        <w:tc>
          <w:tcPr>
            <w:tcW w:w="0" w:type="auto"/>
            <w:gridSpan w:val="3"/>
            <w:shd w:val="clear" w:color="auto" w:fill="CCEEFF"/>
            <w:tcMar>
              <w:top w:w="40" w:type="dxa"/>
              <w:left w:w="155" w:type="dxa"/>
              <w:bottom w:w="40" w:type="dxa"/>
              <w:right w:w="20" w:type="dxa"/>
            </w:tcMar>
            <w:vAlign w:val="bottom"/>
          </w:tcPr>
          <w:p w14:paraId="392C71F9"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392C71F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F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F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F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F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1F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3" w14:textId="77777777" w:rsidR="00980E5F" w:rsidRDefault="00980E5F">
            <w:pPr>
              <w:rPr>
                <w:rFonts w:ascii="宋体"/>
              </w:rPr>
            </w:pPr>
          </w:p>
        </w:tc>
        <w:tc>
          <w:tcPr>
            <w:tcW w:w="0" w:type="auto"/>
            <w:shd w:val="clear" w:color="auto" w:fill="auto"/>
            <w:vAlign w:val="bottom"/>
          </w:tcPr>
          <w:p w14:paraId="392C7204" w14:textId="77777777" w:rsidR="00980E5F" w:rsidRDefault="00980E5F">
            <w:pPr>
              <w:rPr>
                <w:rFonts w:ascii="宋体"/>
                <w:vanish/>
              </w:rPr>
            </w:pPr>
          </w:p>
        </w:tc>
        <w:tc>
          <w:tcPr>
            <w:tcW w:w="0" w:type="auto"/>
            <w:shd w:val="clear" w:color="auto" w:fill="auto"/>
            <w:vAlign w:val="bottom"/>
          </w:tcPr>
          <w:p w14:paraId="392C7205"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720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20A" w14:textId="77777777" w:rsidR="00980E5F" w:rsidRDefault="00980E5F">
            <w:pPr>
              <w:rPr>
                <w:rFonts w:ascii="宋体"/>
              </w:rPr>
            </w:pPr>
          </w:p>
        </w:tc>
      </w:tr>
      <w:tr w:rsidR="00980E5F" w14:paraId="392C721E" w14:textId="77777777">
        <w:tc>
          <w:tcPr>
            <w:tcW w:w="0" w:type="auto"/>
            <w:gridSpan w:val="3"/>
            <w:shd w:val="clear" w:color="auto" w:fill="FFFFFF"/>
            <w:tcMar>
              <w:top w:w="40" w:type="dxa"/>
              <w:left w:w="245" w:type="dxa"/>
              <w:bottom w:w="40" w:type="dxa"/>
              <w:right w:w="20" w:type="dxa"/>
            </w:tcMar>
            <w:vAlign w:val="bottom"/>
          </w:tcPr>
          <w:p w14:paraId="392C720C"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392C720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0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0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6" w14:textId="77777777" w:rsidR="00980E5F" w:rsidRDefault="00980E5F">
            <w:pPr>
              <w:rPr>
                <w:rFonts w:ascii="宋体"/>
              </w:rPr>
            </w:pPr>
          </w:p>
        </w:tc>
        <w:tc>
          <w:tcPr>
            <w:tcW w:w="0" w:type="auto"/>
            <w:shd w:val="clear" w:color="auto" w:fill="auto"/>
            <w:vAlign w:val="bottom"/>
          </w:tcPr>
          <w:p w14:paraId="392C7217" w14:textId="77777777" w:rsidR="00980E5F" w:rsidRDefault="00980E5F">
            <w:pPr>
              <w:rPr>
                <w:rFonts w:ascii="宋体"/>
                <w:vanish/>
              </w:rPr>
            </w:pPr>
          </w:p>
        </w:tc>
        <w:tc>
          <w:tcPr>
            <w:tcW w:w="0" w:type="auto"/>
            <w:shd w:val="clear" w:color="auto" w:fill="auto"/>
            <w:vAlign w:val="bottom"/>
          </w:tcPr>
          <w:p w14:paraId="392C721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721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1D" w14:textId="77777777" w:rsidR="00980E5F" w:rsidRDefault="00980E5F">
            <w:pPr>
              <w:rPr>
                <w:rFonts w:ascii="宋体"/>
              </w:rPr>
            </w:pPr>
          </w:p>
        </w:tc>
      </w:tr>
      <w:tr w:rsidR="00980E5F" w14:paraId="392C7241" w14:textId="77777777">
        <w:tc>
          <w:tcPr>
            <w:tcW w:w="0" w:type="auto"/>
            <w:gridSpan w:val="3"/>
            <w:shd w:val="clear" w:color="auto" w:fill="CCEEFF"/>
            <w:tcMar>
              <w:top w:w="40" w:type="dxa"/>
              <w:left w:w="380" w:type="dxa"/>
              <w:bottom w:w="40" w:type="dxa"/>
              <w:right w:w="20" w:type="dxa"/>
            </w:tcMar>
            <w:vAlign w:val="bottom"/>
          </w:tcPr>
          <w:p w14:paraId="392C721F"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92C722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21" w14:textId="77777777" w:rsidR="00980E5F" w:rsidRDefault="00483613">
            <w:pPr>
              <w:jc w:val="right"/>
              <w:textAlignment w:val="bottom"/>
            </w:pPr>
            <w:r>
              <w:rPr>
                <w:rFonts w:ascii="Arial" w:eastAsia="宋体" w:hAnsi="Arial" w:cs="Arial"/>
                <w:color w:val="000000"/>
                <w:sz w:val="14"/>
                <w:szCs w:val="14"/>
              </w:rPr>
              <w:t>3,505 </w:t>
            </w:r>
          </w:p>
        </w:tc>
        <w:tc>
          <w:tcPr>
            <w:tcW w:w="0" w:type="auto"/>
            <w:shd w:val="clear" w:color="auto" w:fill="CCEEFF"/>
            <w:tcMar>
              <w:top w:w="40" w:type="dxa"/>
              <w:left w:w="0" w:type="dxa"/>
              <w:bottom w:w="40" w:type="dxa"/>
              <w:right w:w="20" w:type="dxa"/>
            </w:tcMar>
            <w:vAlign w:val="bottom"/>
          </w:tcPr>
          <w:p w14:paraId="392C72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2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2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25" w14:textId="77777777" w:rsidR="00980E5F" w:rsidRDefault="00483613">
            <w:pPr>
              <w:jc w:val="right"/>
              <w:textAlignment w:val="bottom"/>
            </w:pPr>
            <w:r>
              <w:rPr>
                <w:rFonts w:ascii="Arial" w:eastAsia="宋体" w:hAnsi="Arial" w:cs="Arial"/>
                <w:color w:val="000000"/>
                <w:sz w:val="14"/>
                <w:szCs w:val="14"/>
              </w:rPr>
              <w:t>2,783 </w:t>
            </w:r>
          </w:p>
        </w:tc>
        <w:tc>
          <w:tcPr>
            <w:tcW w:w="0" w:type="auto"/>
            <w:shd w:val="clear" w:color="auto" w:fill="CCEEFF"/>
            <w:tcMar>
              <w:top w:w="40" w:type="dxa"/>
              <w:left w:w="0" w:type="dxa"/>
              <w:bottom w:w="40" w:type="dxa"/>
              <w:right w:w="20" w:type="dxa"/>
            </w:tcMar>
            <w:vAlign w:val="bottom"/>
          </w:tcPr>
          <w:p w14:paraId="392C72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2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2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2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2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2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2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2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3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3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33" w14:textId="77777777" w:rsidR="00980E5F" w:rsidRDefault="00980E5F">
            <w:pPr>
              <w:rPr>
                <w:rFonts w:ascii="宋体"/>
              </w:rPr>
            </w:pPr>
          </w:p>
        </w:tc>
        <w:tc>
          <w:tcPr>
            <w:tcW w:w="0" w:type="auto"/>
            <w:shd w:val="clear" w:color="auto" w:fill="auto"/>
            <w:vAlign w:val="bottom"/>
          </w:tcPr>
          <w:p w14:paraId="392C7234" w14:textId="77777777" w:rsidR="00980E5F" w:rsidRDefault="00980E5F">
            <w:pPr>
              <w:rPr>
                <w:rFonts w:ascii="宋体"/>
                <w:vanish/>
              </w:rPr>
            </w:pPr>
          </w:p>
        </w:tc>
        <w:tc>
          <w:tcPr>
            <w:tcW w:w="0" w:type="auto"/>
            <w:shd w:val="clear" w:color="auto" w:fill="auto"/>
            <w:vAlign w:val="bottom"/>
          </w:tcPr>
          <w:p w14:paraId="392C7235"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23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3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3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3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3B" w14:textId="77777777" w:rsidR="00980E5F" w:rsidRDefault="00483613">
            <w:pPr>
              <w:jc w:val="right"/>
              <w:textAlignment w:val="bottom"/>
            </w:pPr>
            <w:r>
              <w:rPr>
                <w:rFonts w:ascii="Arial" w:eastAsia="宋体" w:hAnsi="Arial" w:cs="Arial"/>
                <w:color w:val="000000"/>
                <w:sz w:val="14"/>
                <w:szCs w:val="14"/>
              </w:rPr>
              <w:t>4,134 </w:t>
            </w:r>
          </w:p>
        </w:tc>
        <w:tc>
          <w:tcPr>
            <w:tcW w:w="0" w:type="auto"/>
            <w:shd w:val="clear" w:color="auto" w:fill="CCEEFF"/>
            <w:tcMar>
              <w:top w:w="40" w:type="dxa"/>
              <w:left w:w="0" w:type="dxa"/>
              <w:bottom w:w="40" w:type="dxa"/>
              <w:right w:w="20" w:type="dxa"/>
            </w:tcMar>
            <w:vAlign w:val="bottom"/>
          </w:tcPr>
          <w:p w14:paraId="392C72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3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23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23F" w14:textId="77777777" w:rsidR="00980E5F" w:rsidRDefault="00483613">
            <w:pPr>
              <w:jc w:val="right"/>
              <w:textAlignment w:val="bottom"/>
            </w:pPr>
            <w:r>
              <w:rPr>
                <w:rFonts w:ascii="Arial" w:eastAsia="宋体" w:hAnsi="Arial" w:cs="Arial"/>
                <w:color w:val="000000"/>
                <w:sz w:val="14"/>
                <w:szCs w:val="14"/>
              </w:rPr>
              <w:t>10,422 </w:t>
            </w:r>
          </w:p>
        </w:tc>
        <w:tc>
          <w:tcPr>
            <w:tcW w:w="0" w:type="auto"/>
            <w:shd w:val="clear" w:color="auto" w:fill="CCEEFF"/>
            <w:tcMar>
              <w:top w:w="40" w:type="dxa"/>
              <w:left w:w="0" w:type="dxa"/>
              <w:bottom w:w="40" w:type="dxa"/>
              <w:right w:w="20" w:type="dxa"/>
            </w:tcMar>
            <w:vAlign w:val="bottom"/>
          </w:tcPr>
          <w:p w14:paraId="392C7240" w14:textId="77777777" w:rsidR="00980E5F" w:rsidRDefault="00980E5F">
            <w:pPr>
              <w:jc w:val="right"/>
              <w:rPr>
                <w:rFonts w:ascii="宋体"/>
              </w:rPr>
            </w:pPr>
          </w:p>
        </w:tc>
      </w:tr>
      <w:tr w:rsidR="00980E5F" w14:paraId="392C725C" w14:textId="77777777">
        <w:tc>
          <w:tcPr>
            <w:tcW w:w="0" w:type="auto"/>
            <w:gridSpan w:val="3"/>
            <w:shd w:val="clear" w:color="auto" w:fill="FFFFFF"/>
            <w:tcMar>
              <w:top w:w="40" w:type="dxa"/>
              <w:left w:w="380" w:type="dxa"/>
              <w:bottom w:w="40" w:type="dxa"/>
              <w:right w:w="20" w:type="dxa"/>
            </w:tcMar>
            <w:vAlign w:val="bottom"/>
          </w:tcPr>
          <w:p w14:paraId="392C7242"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7243" w14:textId="77777777" w:rsidR="00980E5F" w:rsidRDefault="00483613">
            <w:pPr>
              <w:jc w:val="right"/>
              <w:textAlignment w:val="bottom"/>
            </w:pPr>
            <w:r>
              <w:rPr>
                <w:rFonts w:ascii="Arial" w:eastAsia="宋体" w:hAnsi="Arial" w:cs="Arial"/>
                <w:color w:val="000000"/>
                <w:sz w:val="14"/>
                <w:szCs w:val="14"/>
              </w:rPr>
              <w:t>350 </w:t>
            </w:r>
          </w:p>
        </w:tc>
        <w:tc>
          <w:tcPr>
            <w:tcW w:w="0" w:type="auto"/>
            <w:shd w:val="clear" w:color="auto" w:fill="FFFFFF"/>
            <w:tcMar>
              <w:top w:w="40" w:type="dxa"/>
              <w:left w:w="0" w:type="dxa"/>
              <w:bottom w:w="40" w:type="dxa"/>
              <w:right w:w="20" w:type="dxa"/>
            </w:tcMar>
            <w:vAlign w:val="bottom"/>
          </w:tcPr>
          <w:p w14:paraId="392C72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46" w14:textId="77777777" w:rsidR="00980E5F" w:rsidRDefault="00483613">
            <w:pPr>
              <w:jc w:val="right"/>
              <w:textAlignment w:val="bottom"/>
            </w:pPr>
            <w:r>
              <w:rPr>
                <w:rFonts w:ascii="Arial" w:eastAsia="宋体" w:hAnsi="Arial" w:cs="Arial"/>
                <w:color w:val="000000"/>
                <w:sz w:val="14"/>
                <w:szCs w:val="14"/>
              </w:rPr>
              <w:t>513 </w:t>
            </w:r>
          </w:p>
        </w:tc>
        <w:tc>
          <w:tcPr>
            <w:tcW w:w="0" w:type="auto"/>
            <w:shd w:val="clear" w:color="auto" w:fill="FFFFFF"/>
            <w:tcMar>
              <w:top w:w="40" w:type="dxa"/>
              <w:left w:w="0" w:type="dxa"/>
              <w:bottom w:w="40" w:type="dxa"/>
              <w:right w:w="20" w:type="dxa"/>
            </w:tcMar>
            <w:vAlign w:val="bottom"/>
          </w:tcPr>
          <w:p w14:paraId="392C72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49" w14:textId="77777777" w:rsidR="00980E5F" w:rsidRDefault="00483613">
            <w:pPr>
              <w:jc w:val="right"/>
              <w:textAlignment w:val="bottom"/>
            </w:pPr>
            <w:r>
              <w:rPr>
                <w:rFonts w:ascii="Arial" w:eastAsia="宋体" w:hAnsi="Arial" w:cs="Arial"/>
                <w:color w:val="000000"/>
                <w:sz w:val="14"/>
                <w:szCs w:val="14"/>
              </w:rPr>
              <w:t>122 </w:t>
            </w:r>
          </w:p>
        </w:tc>
        <w:tc>
          <w:tcPr>
            <w:tcW w:w="0" w:type="auto"/>
            <w:shd w:val="clear" w:color="auto" w:fill="FFFFFF"/>
            <w:tcMar>
              <w:top w:w="40" w:type="dxa"/>
              <w:left w:w="0" w:type="dxa"/>
              <w:bottom w:w="40" w:type="dxa"/>
              <w:right w:w="20" w:type="dxa"/>
            </w:tcMar>
            <w:vAlign w:val="bottom"/>
          </w:tcPr>
          <w:p w14:paraId="392C72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4C" w14:textId="77777777" w:rsidR="00980E5F" w:rsidRDefault="00483613">
            <w:pPr>
              <w:jc w:val="right"/>
              <w:textAlignment w:val="bottom"/>
            </w:pPr>
            <w:r>
              <w:rPr>
                <w:rFonts w:ascii="Arial" w:eastAsia="宋体" w:hAnsi="Arial" w:cs="Arial"/>
                <w:color w:val="000000"/>
                <w:sz w:val="14"/>
                <w:szCs w:val="14"/>
              </w:rPr>
              <w:t>180 </w:t>
            </w:r>
          </w:p>
        </w:tc>
        <w:tc>
          <w:tcPr>
            <w:tcW w:w="0" w:type="auto"/>
            <w:shd w:val="clear" w:color="auto" w:fill="FFFFFF"/>
            <w:tcMar>
              <w:top w:w="40" w:type="dxa"/>
              <w:left w:w="0" w:type="dxa"/>
              <w:bottom w:w="40" w:type="dxa"/>
              <w:right w:w="20" w:type="dxa"/>
            </w:tcMar>
            <w:vAlign w:val="bottom"/>
          </w:tcPr>
          <w:p w14:paraId="392C72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4F" w14:textId="77777777" w:rsidR="00980E5F" w:rsidRDefault="00483613">
            <w:pPr>
              <w:jc w:val="right"/>
              <w:textAlignment w:val="bottom"/>
            </w:pPr>
            <w:r>
              <w:rPr>
                <w:rFonts w:ascii="Arial" w:eastAsia="宋体" w:hAnsi="Arial" w:cs="Arial"/>
                <w:color w:val="000000"/>
                <w:sz w:val="14"/>
                <w:szCs w:val="14"/>
              </w:rPr>
              <w:t>99 </w:t>
            </w:r>
          </w:p>
        </w:tc>
        <w:tc>
          <w:tcPr>
            <w:tcW w:w="0" w:type="auto"/>
            <w:shd w:val="clear" w:color="auto" w:fill="FFFFFF"/>
            <w:tcMar>
              <w:top w:w="40" w:type="dxa"/>
              <w:left w:w="0" w:type="dxa"/>
              <w:bottom w:w="40" w:type="dxa"/>
              <w:right w:w="20" w:type="dxa"/>
            </w:tcMar>
            <w:vAlign w:val="bottom"/>
          </w:tcPr>
          <w:p w14:paraId="392C72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51" w14:textId="77777777" w:rsidR="00980E5F" w:rsidRDefault="00980E5F">
            <w:pPr>
              <w:rPr>
                <w:rFonts w:ascii="宋体"/>
              </w:rPr>
            </w:pPr>
          </w:p>
        </w:tc>
        <w:tc>
          <w:tcPr>
            <w:tcW w:w="0" w:type="auto"/>
            <w:shd w:val="clear" w:color="auto" w:fill="auto"/>
            <w:vAlign w:val="bottom"/>
          </w:tcPr>
          <w:p w14:paraId="392C7252" w14:textId="77777777" w:rsidR="00980E5F" w:rsidRDefault="00980E5F">
            <w:pPr>
              <w:rPr>
                <w:rFonts w:ascii="宋体"/>
                <w:vanish/>
              </w:rPr>
            </w:pPr>
          </w:p>
        </w:tc>
        <w:tc>
          <w:tcPr>
            <w:tcW w:w="0" w:type="auto"/>
            <w:shd w:val="clear" w:color="auto" w:fill="auto"/>
            <w:vAlign w:val="bottom"/>
          </w:tcPr>
          <w:p w14:paraId="392C7253"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254" w14:textId="77777777" w:rsidR="00980E5F" w:rsidRDefault="00483613">
            <w:pPr>
              <w:jc w:val="right"/>
              <w:textAlignment w:val="bottom"/>
            </w:pPr>
            <w:r>
              <w:rPr>
                <w:rFonts w:ascii="Arial" w:eastAsia="宋体" w:hAnsi="Arial" w:cs="Arial"/>
                <w:color w:val="000000"/>
                <w:sz w:val="14"/>
                <w:szCs w:val="14"/>
              </w:rPr>
              <w:t>65 </w:t>
            </w:r>
          </w:p>
        </w:tc>
        <w:tc>
          <w:tcPr>
            <w:tcW w:w="0" w:type="auto"/>
            <w:shd w:val="clear" w:color="auto" w:fill="FFFFFF"/>
            <w:tcMar>
              <w:top w:w="40" w:type="dxa"/>
              <w:left w:w="0" w:type="dxa"/>
              <w:bottom w:w="40" w:type="dxa"/>
              <w:right w:w="20" w:type="dxa"/>
            </w:tcMar>
            <w:vAlign w:val="bottom"/>
          </w:tcPr>
          <w:p w14:paraId="392C72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5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57" w14:textId="77777777" w:rsidR="00980E5F" w:rsidRDefault="00483613">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392C725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5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5A" w14:textId="77777777" w:rsidR="00980E5F" w:rsidRDefault="00483613">
            <w:pPr>
              <w:jc w:val="right"/>
              <w:textAlignment w:val="bottom"/>
            </w:pPr>
            <w:r>
              <w:rPr>
                <w:rFonts w:ascii="Arial" w:eastAsia="宋体" w:hAnsi="Arial" w:cs="Arial"/>
                <w:color w:val="000000"/>
                <w:sz w:val="14"/>
                <w:szCs w:val="14"/>
              </w:rPr>
              <w:t>1,342 </w:t>
            </w:r>
          </w:p>
        </w:tc>
        <w:tc>
          <w:tcPr>
            <w:tcW w:w="0" w:type="auto"/>
            <w:shd w:val="clear" w:color="auto" w:fill="FFFFFF"/>
            <w:tcMar>
              <w:top w:w="40" w:type="dxa"/>
              <w:left w:w="0" w:type="dxa"/>
              <w:bottom w:w="40" w:type="dxa"/>
              <w:right w:w="20" w:type="dxa"/>
            </w:tcMar>
            <w:vAlign w:val="bottom"/>
          </w:tcPr>
          <w:p w14:paraId="392C725B" w14:textId="77777777" w:rsidR="00980E5F" w:rsidRDefault="00980E5F">
            <w:pPr>
              <w:jc w:val="right"/>
              <w:rPr>
                <w:rFonts w:ascii="宋体"/>
              </w:rPr>
            </w:pPr>
          </w:p>
        </w:tc>
      </w:tr>
      <w:tr w:rsidR="00980E5F" w14:paraId="392C7277" w14:textId="77777777">
        <w:tc>
          <w:tcPr>
            <w:tcW w:w="0" w:type="auto"/>
            <w:gridSpan w:val="3"/>
            <w:shd w:val="clear" w:color="auto" w:fill="CCEEFF"/>
            <w:tcMar>
              <w:top w:w="40" w:type="dxa"/>
              <w:left w:w="380" w:type="dxa"/>
              <w:bottom w:w="40" w:type="dxa"/>
              <w:right w:w="20" w:type="dxa"/>
            </w:tcMar>
            <w:vAlign w:val="bottom"/>
          </w:tcPr>
          <w:p w14:paraId="392C725D"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92C725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6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6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6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6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6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6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6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6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6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6C" w14:textId="77777777" w:rsidR="00980E5F" w:rsidRDefault="00980E5F">
            <w:pPr>
              <w:rPr>
                <w:rFonts w:ascii="宋体"/>
              </w:rPr>
            </w:pPr>
          </w:p>
        </w:tc>
        <w:tc>
          <w:tcPr>
            <w:tcW w:w="0" w:type="auto"/>
            <w:shd w:val="clear" w:color="auto" w:fill="auto"/>
            <w:vAlign w:val="bottom"/>
          </w:tcPr>
          <w:p w14:paraId="392C726D" w14:textId="77777777" w:rsidR="00980E5F" w:rsidRDefault="00980E5F">
            <w:pPr>
              <w:rPr>
                <w:rFonts w:ascii="宋体"/>
                <w:vanish/>
              </w:rPr>
            </w:pPr>
          </w:p>
        </w:tc>
        <w:tc>
          <w:tcPr>
            <w:tcW w:w="0" w:type="auto"/>
            <w:shd w:val="clear" w:color="auto" w:fill="auto"/>
            <w:vAlign w:val="bottom"/>
          </w:tcPr>
          <w:p w14:paraId="392C726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26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7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7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27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276" w14:textId="77777777" w:rsidR="00980E5F" w:rsidRDefault="00980E5F">
            <w:pPr>
              <w:jc w:val="right"/>
              <w:rPr>
                <w:rFonts w:ascii="宋体"/>
              </w:rPr>
            </w:pPr>
          </w:p>
        </w:tc>
      </w:tr>
      <w:tr w:rsidR="00980E5F" w14:paraId="392C7292" w14:textId="77777777">
        <w:tc>
          <w:tcPr>
            <w:tcW w:w="0" w:type="auto"/>
            <w:gridSpan w:val="3"/>
            <w:shd w:val="clear" w:color="auto" w:fill="FFFFFF"/>
            <w:tcMar>
              <w:top w:w="40" w:type="dxa"/>
              <w:left w:w="380" w:type="dxa"/>
              <w:bottom w:w="40" w:type="dxa"/>
              <w:right w:w="20" w:type="dxa"/>
            </w:tcMar>
            <w:vAlign w:val="bottom"/>
          </w:tcPr>
          <w:p w14:paraId="392C7278"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92C727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7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7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8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8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85" w14:textId="77777777" w:rsidR="00980E5F" w:rsidRDefault="00483613">
            <w:pPr>
              <w:jc w:val="right"/>
              <w:textAlignment w:val="bottom"/>
            </w:pPr>
            <w:r>
              <w:rPr>
                <w:rFonts w:ascii="Arial" w:eastAsia="宋体" w:hAnsi="Arial" w:cs="Arial"/>
                <w:color w:val="000000"/>
                <w:sz w:val="14"/>
                <w:szCs w:val="14"/>
              </w:rPr>
              <w:t>38 </w:t>
            </w:r>
          </w:p>
        </w:tc>
        <w:tc>
          <w:tcPr>
            <w:tcW w:w="0" w:type="auto"/>
            <w:shd w:val="clear" w:color="auto" w:fill="FFFFFF"/>
            <w:tcMar>
              <w:top w:w="40" w:type="dxa"/>
              <w:left w:w="0" w:type="dxa"/>
              <w:bottom w:w="40" w:type="dxa"/>
              <w:right w:w="20" w:type="dxa"/>
            </w:tcMar>
            <w:vAlign w:val="bottom"/>
          </w:tcPr>
          <w:p w14:paraId="392C728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87" w14:textId="77777777" w:rsidR="00980E5F" w:rsidRDefault="00980E5F">
            <w:pPr>
              <w:rPr>
                <w:rFonts w:ascii="宋体"/>
              </w:rPr>
            </w:pPr>
          </w:p>
        </w:tc>
        <w:tc>
          <w:tcPr>
            <w:tcW w:w="0" w:type="auto"/>
            <w:shd w:val="clear" w:color="auto" w:fill="auto"/>
            <w:vAlign w:val="bottom"/>
          </w:tcPr>
          <w:p w14:paraId="392C7288" w14:textId="77777777" w:rsidR="00980E5F" w:rsidRDefault="00980E5F">
            <w:pPr>
              <w:rPr>
                <w:rFonts w:ascii="宋体"/>
                <w:vanish/>
              </w:rPr>
            </w:pPr>
          </w:p>
        </w:tc>
        <w:tc>
          <w:tcPr>
            <w:tcW w:w="0" w:type="auto"/>
            <w:shd w:val="clear" w:color="auto" w:fill="auto"/>
            <w:vAlign w:val="bottom"/>
          </w:tcPr>
          <w:p w14:paraId="392C728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28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8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2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28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290" w14:textId="77777777" w:rsidR="00980E5F" w:rsidRDefault="00483613">
            <w:pPr>
              <w:jc w:val="right"/>
              <w:textAlignment w:val="bottom"/>
            </w:pPr>
            <w:r>
              <w:rPr>
                <w:rFonts w:ascii="Arial" w:eastAsia="宋体" w:hAnsi="Arial" w:cs="Arial"/>
                <w:color w:val="000000"/>
                <w:sz w:val="14"/>
                <w:szCs w:val="14"/>
              </w:rPr>
              <w:t>38 </w:t>
            </w:r>
          </w:p>
        </w:tc>
        <w:tc>
          <w:tcPr>
            <w:tcW w:w="0" w:type="auto"/>
            <w:shd w:val="clear" w:color="auto" w:fill="FFFFFF"/>
            <w:tcMar>
              <w:top w:w="40" w:type="dxa"/>
              <w:left w:w="0" w:type="dxa"/>
              <w:bottom w:w="40" w:type="dxa"/>
              <w:right w:w="20" w:type="dxa"/>
            </w:tcMar>
            <w:vAlign w:val="bottom"/>
          </w:tcPr>
          <w:p w14:paraId="392C7291" w14:textId="77777777" w:rsidR="00980E5F" w:rsidRDefault="00980E5F">
            <w:pPr>
              <w:jc w:val="right"/>
              <w:rPr>
                <w:rFonts w:ascii="宋体"/>
              </w:rPr>
            </w:pPr>
          </w:p>
        </w:tc>
      </w:tr>
      <w:tr w:rsidR="00980E5F" w14:paraId="392C72A5" w14:textId="77777777">
        <w:trPr>
          <w:hidden/>
        </w:trPr>
        <w:tc>
          <w:tcPr>
            <w:tcW w:w="0" w:type="auto"/>
            <w:gridSpan w:val="3"/>
            <w:shd w:val="clear" w:color="auto" w:fill="auto"/>
            <w:vAlign w:val="bottom"/>
          </w:tcPr>
          <w:p w14:paraId="392C7293" w14:textId="77777777" w:rsidR="00980E5F" w:rsidRDefault="00980E5F">
            <w:pPr>
              <w:rPr>
                <w:rFonts w:ascii="宋体"/>
                <w:vanish/>
              </w:rPr>
            </w:pPr>
          </w:p>
        </w:tc>
        <w:tc>
          <w:tcPr>
            <w:tcW w:w="0" w:type="auto"/>
            <w:gridSpan w:val="3"/>
            <w:shd w:val="clear" w:color="auto" w:fill="auto"/>
            <w:vAlign w:val="bottom"/>
          </w:tcPr>
          <w:p w14:paraId="392C7294" w14:textId="77777777" w:rsidR="00980E5F" w:rsidRDefault="00980E5F">
            <w:pPr>
              <w:rPr>
                <w:rFonts w:ascii="宋体"/>
                <w:vanish/>
              </w:rPr>
            </w:pPr>
          </w:p>
        </w:tc>
        <w:tc>
          <w:tcPr>
            <w:tcW w:w="0" w:type="auto"/>
            <w:gridSpan w:val="3"/>
            <w:shd w:val="clear" w:color="auto" w:fill="auto"/>
            <w:vAlign w:val="bottom"/>
          </w:tcPr>
          <w:p w14:paraId="392C7295" w14:textId="77777777" w:rsidR="00980E5F" w:rsidRDefault="00980E5F">
            <w:pPr>
              <w:rPr>
                <w:rFonts w:ascii="宋体"/>
                <w:vanish/>
              </w:rPr>
            </w:pPr>
          </w:p>
        </w:tc>
        <w:tc>
          <w:tcPr>
            <w:tcW w:w="0" w:type="auto"/>
            <w:gridSpan w:val="3"/>
            <w:shd w:val="clear" w:color="auto" w:fill="auto"/>
            <w:vAlign w:val="bottom"/>
          </w:tcPr>
          <w:p w14:paraId="392C7296" w14:textId="77777777" w:rsidR="00980E5F" w:rsidRDefault="00980E5F">
            <w:pPr>
              <w:rPr>
                <w:rFonts w:ascii="宋体"/>
                <w:vanish/>
              </w:rPr>
            </w:pPr>
          </w:p>
        </w:tc>
        <w:tc>
          <w:tcPr>
            <w:tcW w:w="0" w:type="auto"/>
            <w:gridSpan w:val="3"/>
            <w:shd w:val="clear" w:color="auto" w:fill="auto"/>
            <w:vAlign w:val="bottom"/>
          </w:tcPr>
          <w:p w14:paraId="392C7297" w14:textId="77777777" w:rsidR="00980E5F" w:rsidRDefault="00980E5F">
            <w:pPr>
              <w:rPr>
                <w:rFonts w:ascii="宋体"/>
                <w:vanish/>
              </w:rPr>
            </w:pPr>
          </w:p>
        </w:tc>
        <w:tc>
          <w:tcPr>
            <w:tcW w:w="0" w:type="auto"/>
            <w:gridSpan w:val="3"/>
            <w:shd w:val="clear" w:color="auto" w:fill="auto"/>
            <w:vAlign w:val="bottom"/>
          </w:tcPr>
          <w:p w14:paraId="392C7298" w14:textId="77777777" w:rsidR="00980E5F" w:rsidRDefault="00980E5F">
            <w:pPr>
              <w:rPr>
                <w:rFonts w:ascii="宋体"/>
                <w:vanish/>
              </w:rPr>
            </w:pPr>
          </w:p>
        </w:tc>
        <w:tc>
          <w:tcPr>
            <w:tcW w:w="0" w:type="auto"/>
            <w:gridSpan w:val="3"/>
            <w:shd w:val="clear" w:color="auto" w:fill="auto"/>
            <w:vAlign w:val="bottom"/>
          </w:tcPr>
          <w:p w14:paraId="392C7299" w14:textId="77777777" w:rsidR="00980E5F" w:rsidRDefault="00980E5F">
            <w:pPr>
              <w:rPr>
                <w:rFonts w:ascii="宋体"/>
                <w:vanish/>
              </w:rPr>
            </w:pPr>
          </w:p>
        </w:tc>
        <w:tc>
          <w:tcPr>
            <w:tcW w:w="0" w:type="auto"/>
            <w:gridSpan w:val="3"/>
            <w:shd w:val="clear" w:color="auto" w:fill="auto"/>
            <w:vAlign w:val="bottom"/>
          </w:tcPr>
          <w:p w14:paraId="392C729A" w14:textId="77777777" w:rsidR="00980E5F" w:rsidRDefault="00980E5F">
            <w:pPr>
              <w:rPr>
                <w:rFonts w:ascii="宋体"/>
                <w:vanish/>
              </w:rPr>
            </w:pPr>
          </w:p>
        </w:tc>
        <w:tc>
          <w:tcPr>
            <w:tcW w:w="0" w:type="auto"/>
            <w:gridSpan w:val="3"/>
            <w:shd w:val="clear" w:color="auto" w:fill="auto"/>
            <w:vAlign w:val="bottom"/>
          </w:tcPr>
          <w:p w14:paraId="392C729B" w14:textId="77777777" w:rsidR="00980E5F" w:rsidRDefault="00980E5F">
            <w:pPr>
              <w:rPr>
                <w:rFonts w:ascii="宋体"/>
                <w:vanish/>
              </w:rPr>
            </w:pPr>
          </w:p>
        </w:tc>
        <w:tc>
          <w:tcPr>
            <w:tcW w:w="0" w:type="auto"/>
            <w:gridSpan w:val="3"/>
            <w:shd w:val="clear" w:color="auto" w:fill="auto"/>
            <w:vAlign w:val="bottom"/>
          </w:tcPr>
          <w:p w14:paraId="392C729C" w14:textId="77777777" w:rsidR="00980E5F" w:rsidRDefault="00980E5F">
            <w:pPr>
              <w:rPr>
                <w:rFonts w:ascii="宋体"/>
                <w:vanish/>
              </w:rPr>
            </w:pPr>
          </w:p>
        </w:tc>
        <w:tc>
          <w:tcPr>
            <w:tcW w:w="0" w:type="auto"/>
            <w:gridSpan w:val="3"/>
            <w:shd w:val="clear" w:color="auto" w:fill="auto"/>
            <w:vAlign w:val="bottom"/>
          </w:tcPr>
          <w:p w14:paraId="392C729D" w14:textId="77777777" w:rsidR="00980E5F" w:rsidRDefault="00980E5F">
            <w:pPr>
              <w:rPr>
                <w:rFonts w:ascii="宋体"/>
                <w:vanish/>
              </w:rPr>
            </w:pPr>
          </w:p>
        </w:tc>
        <w:tc>
          <w:tcPr>
            <w:tcW w:w="0" w:type="auto"/>
            <w:shd w:val="clear" w:color="auto" w:fill="auto"/>
            <w:vAlign w:val="bottom"/>
          </w:tcPr>
          <w:p w14:paraId="392C729E" w14:textId="77777777" w:rsidR="00980E5F" w:rsidRDefault="00980E5F">
            <w:pPr>
              <w:rPr>
                <w:rFonts w:ascii="宋体"/>
                <w:vanish/>
              </w:rPr>
            </w:pPr>
          </w:p>
        </w:tc>
        <w:tc>
          <w:tcPr>
            <w:tcW w:w="0" w:type="auto"/>
            <w:shd w:val="clear" w:color="auto" w:fill="auto"/>
            <w:vAlign w:val="bottom"/>
          </w:tcPr>
          <w:p w14:paraId="392C729F" w14:textId="77777777" w:rsidR="00980E5F" w:rsidRDefault="00980E5F">
            <w:pPr>
              <w:rPr>
                <w:rFonts w:ascii="宋体"/>
                <w:vanish/>
              </w:rPr>
            </w:pPr>
          </w:p>
        </w:tc>
        <w:tc>
          <w:tcPr>
            <w:tcW w:w="0" w:type="auto"/>
            <w:gridSpan w:val="3"/>
            <w:shd w:val="clear" w:color="auto" w:fill="auto"/>
            <w:vAlign w:val="bottom"/>
          </w:tcPr>
          <w:p w14:paraId="392C72A0" w14:textId="77777777" w:rsidR="00980E5F" w:rsidRDefault="00980E5F">
            <w:pPr>
              <w:rPr>
                <w:rFonts w:ascii="宋体"/>
                <w:vanish/>
              </w:rPr>
            </w:pPr>
          </w:p>
        </w:tc>
        <w:tc>
          <w:tcPr>
            <w:tcW w:w="0" w:type="auto"/>
            <w:gridSpan w:val="3"/>
            <w:shd w:val="clear" w:color="auto" w:fill="auto"/>
            <w:vAlign w:val="bottom"/>
          </w:tcPr>
          <w:p w14:paraId="392C72A1" w14:textId="77777777" w:rsidR="00980E5F" w:rsidRDefault="00980E5F">
            <w:pPr>
              <w:rPr>
                <w:rFonts w:ascii="宋体"/>
                <w:vanish/>
              </w:rPr>
            </w:pPr>
          </w:p>
        </w:tc>
        <w:tc>
          <w:tcPr>
            <w:tcW w:w="0" w:type="auto"/>
            <w:gridSpan w:val="3"/>
            <w:shd w:val="clear" w:color="auto" w:fill="auto"/>
            <w:vAlign w:val="bottom"/>
          </w:tcPr>
          <w:p w14:paraId="392C72A2" w14:textId="77777777" w:rsidR="00980E5F" w:rsidRDefault="00980E5F">
            <w:pPr>
              <w:rPr>
                <w:rFonts w:ascii="宋体"/>
                <w:vanish/>
              </w:rPr>
            </w:pPr>
          </w:p>
        </w:tc>
        <w:tc>
          <w:tcPr>
            <w:tcW w:w="0" w:type="auto"/>
            <w:gridSpan w:val="3"/>
            <w:shd w:val="clear" w:color="auto" w:fill="auto"/>
            <w:vAlign w:val="bottom"/>
          </w:tcPr>
          <w:p w14:paraId="392C72A3" w14:textId="77777777" w:rsidR="00980E5F" w:rsidRDefault="00980E5F">
            <w:pPr>
              <w:rPr>
                <w:rFonts w:ascii="宋体"/>
                <w:vanish/>
              </w:rPr>
            </w:pPr>
          </w:p>
        </w:tc>
        <w:tc>
          <w:tcPr>
            <w:tcW w:w="0" w:type="auto"/>
            <w:gridSpan w:val="3"/>
            <w:shd w:val="clear" w:color="auto" w:fill="auto"/>
            <w:vAlign w:val="bottom"/>
          </w:tcPr>
          <w:p w14:paraId="392C72A4" w14:textId="77777777" w:rsidR="00980E5F" w:rsidRDefault="00980E5F">
            <w:pPr>
              <w:rPr>
                <w:rFonts w:ascii="宋体"/>
                <w:vanish/>
              </w:rPr>
            </w:pPr>
          </w:p>
        </w:tc>
      </w:tr>
      <w:tr w:rsidR="00980E5F" w14:paraId="392C72B8" w14:textId="77777777">
        <w:trPr>
          <w:hidden/>
        </w:trPr>
        <w:tc>
          <w:tcPr>
            <w:tcW w:w="0" w:type="auto"/>
            <w:gridSpan w:val="3"/>
            <w:shd w:val="clear" w:color="auto" w:fill="auto"/>
            <w:vAlign w:val="bottom"/>
          </w:tcPr>
          <w:p w14:paraId="392C72A6" w14:textId="77777777" w:rsidR="00980E5F" w:rsidRDefault="00980E5F">
            <w:pPr>
              <w:rPr>
                <w:rFonts w:ascii="宋体"/>
                <w:vanish/>
              </w:rPr>
            </w:pPr>
          </w:p>
        </w:tc>
        <w:tc>
          <w:tcPr>
            <w:tcW w:w="0" w:type="auto"/>
            <w:gridSpan w:val="3"/>
            <w:shd w:val="clear" w:color="auto" w:fill="auto"/>
            <w:vAlign w:val="bottom"/>
          </w:tcPr>
          <w:p w14:paraId="392C72A7" w14:textId="77777777" w:rsidR="00980E5F" w:rsidRDefault="00980E5F">
            <w:pPr>
              <w:rPr>
                <w:rFonts w:ascii="宋体"/>
                <w:vanish/>
              </w:rPr>
            </w:pPr>
          </w:p>
        </w:tc>
        <w:tc>
          <w:tcPr>
            <w:tcW w:w="0" w:type="auto"/>
            <w:gridSpan w:val="3"/>
            <w:shd w:val="clear" w:color="auto" w:fill="auto"/>
            <w:vAlign w:val="bottom"/>
          </w:tcPr>
          <w:p w14:paraId="392C72A8" w14:textId="77777777" w:rsidR="00980E5F" w:rsidRDefault="00980E5F">
            <w:pPr>
              <w:rPr>
                <w:rFonts w:ascii="宋体"/>
                <w:vanish/>
              </w:rPr>
            </w:pPr>
          </w:p>
        </w:tc>
        <w:tc>
          <w:tcPr>
            <w:tcW w:w="0" w:type="auto"/>
            <w:gridSpan w:val="3"/>
            <w:shd w:val="clear" w:color="auto" w:fill="auto"/>
            <w:vAlign w:val="bottom"/>
          </w:tcPr>
          <w:p w14:paraId="392C72A9" w14:textId="77777777" w:rsidR="00980E5F" w:rsidRDefault="00980E5F">
            <w:pPr>
              <w:rPr>
                <w:rFonts w:ascii="宋体"/>
                <w:vanish/>
              </w:rPr>
            </w:pPr>
          </w:p>
        </w:tc>
        <w:tc>
          <w:tcPr>
            <w:tcW w:w="0" w:type="auto"/>
            <w:gridSpan w:val="3"/>
            <w:shd w:val="clear" w:color="auto" w:fill="auto"/>
            <w:vAlign w:val="bottom"/>
          </w:tcPr>
          <w:p w14:paraId="392C72AA" w14:textId="77777777" w:rsidR="00980E5F" w:rsidRDefault="00980E5F">
            <w:pPr>
              <w:rPr>
                <w:rFonts w:ascii="宋体"/>
                <w:vanish/>
              </w:rPr>
            </w:pPr>
          </w:p>
        </w:tc>
        <w:tc>
          <w:tcPr>
            <w:tcW w:w="0" w:type="auto"/>
            <w:gridSpan w:val="3"/>
            <w:shd w:val="clear" w:color="auto" w:fill="auto"/>
            <w:vAlign w:val="bottom"/>
          </w:tcPr>
          <w:p w14:paraId="392C72AB" w14:textId="77777777" w:rsidR="00980E5F" w:rsidRDefault="00980E5F">
            <w:pPr>
              <w:rPr>
                <w:rFonts w:ascii="宋体"/>
                <w:vanish/>
              </w:rPr>
            </w:pPr>
          </w:p>
        </w:tc>
        <w:tc>
          <w:tcPr>
            <w:tcW w:w="0" w:type="auto"/>
            <w:gridSpan w:val="3"/>
            <w:shd w:val="clear" w:color="auto" w:fill="auto"/>
            <w:vAlign w:val="bottom"/>
          </w:tcPr>
          <w:p w14:paraId="392C72AC" w14:textId="77777777" w:rsidR="00980E5F" w:rsidRDefault="00980E5F">
            <w:pPr>
              <w:rPr>
                <w:rFonts w:ascii="宋体"/>
                <w:vanish/>
              </w:rPr>
            </w:pPr>
          </w:p>
        </w:tc>
        <w:tc>
          <w:tcPr>
            <w:tcW w:w="0" w:type="auto"/>
            <w:gridSpan w:val="3"/>
            <w:shd w:val="clear" w:color="auto" w:fill="auto"/>
            <w:vAlign w:val="bottom"/>
          </w:tcPr>
          <w:p w14:paraId="392C72AD" w14:textId="77777777" w:rsidR="00980E5F" w:rsidRDefault="00980E5F">
            <w:pPr>
              <w:rPr>
                <w:rFonts w:ascii="宋体"/>
                <w:vanish/>
              </w:rPr>
            </w:pPr>
          </w:p>
        </w:tc>
        <w:tc>
          <w:tcPr>
            <w:tcW w:w="0" w:type="auto"/>
            <w:gridSpan w:val="3"/>
            <w:shd w:val="clear" w:color="auto" w:fill="auto"/>
            <w:vAlign w:val="bottom"/>
          </w:tcPr>
          <w:p w14:paraId="392C72AE" w14:textId="77777777" w:rsidR="00980E5F" w:rsidRDefault="00980E5F">
            <w:pPr>
              <w:rPr>
                <w:rFonts w:ascii="宋体"/>
                <w:vanish/>
              </w:rPr>
            </w:pPr>
          </w:p>
        </w:tc>
        <w:tc>
          <w:tcPr>
            <w:tcW w:w="0" w:type="auto"/>
            <w:gridSpan w:val="3"/>
            <w:shd w:val="clear" w:color="auto" w:fill="auto"/>
            <w:vAlign w:val="bottom"/>
          </w:tcPr>
          <w:p w14:paraId="392C72AF" w14:textId="77777777" w:rsidR="00980E5F" w:rsidRDefault="00980E5F">
            <w:pPr>
              <w:rPr>
                <w:rFonts w:ascii="宋体"/>
                <w:vanish/>
              </w:rPr>
            </w:pPr>
          </w:p>
        </w:tc>
        <w:tc>
          <w:tcPr>
            <w:tcW w:w="0" w:type="auto"/>
            <w:gridSpan w:val="3"/>
            <w:shd w:val="clear" w:color="auto" w:fill="auto"/>
            <w:vAlign w:val="bottom"/>
          </w:tcPr>
          <w:p w14:paraId="392C72B0" w14:textId="77777777" w:rsidR="00980E5F" w:rsidRDefault="00980E5F">
            <w:pPr>
              <w:rPr>
                <w:rFonts w:ascii="宋体"/>
                <w:vanish/>
              </w:rPr>
            </w:pPr>
          </w:p>
        </w:tc>
        <w:tc>
          <w:tcPr>
            <w:tcW w:w="0" w:type="auto"/>
            <w:shd w:val="clear" w:color="auto" w:fill="auto"/>
            <w:vAlign w:val="bottom"/>
          </w:tcPr>
          <w:p w14:paraId="392C72B1" w14:textId="77777777" w:rsidR="00980E5F" w:rsidRDefault="00980E5F">
            <w:pPr>
              <w:rPr>
                <w:rFonts w:ascii="宋体"/>
                <w:vanish/>
              </w:rPr>
            </w:pPr>
          </w:p>
        </w:tc>
        <w:tc>
          <w:tcPr>
            <w:tcW w:w="0" w:type="auto"/>
            <w:shd w:val="clear" w:color="auto" w:fill="auto"/>
            <w:vAlign w:val="bottom"/>
          </w:tcPr>
          <w:p w14:paraId="392C72B2" w14:textId="77777777" w:rsidR="00980E5F" w:rsidRDefault="00980E5F">
            <w:pPr>
              <w:rPr>
                <w:rFonts w:ascii="宋体"/>
                <w:vanish/>
              </w:rPr>
            </w:pPr>
          </w:p>
        </w:tc>
        <w:tc>
          <w:tcPr>
            <w:tcW w:w="0" w:type="auto"/>
            <w:gridSpan w:val="3"/>
            <w:shd w:val="clear" w:color="auto" w:fill="auto"/>
            <w:vAlign w:val="bottom"/>
          </w:tcPr>
          <w:p w14:paraId="392C72B3" w14:textId="77777777" w:rsidR="00980E5F" w:rsidRDefault="00980E5F">
            <w:pPr>
              <w:rPr>
                <w:rFonts w:ascii="宋体"/>
                <w:vanish/>
              </w:rPr>
            </w:pPr>
          </w:p>
        </w:tc>
        <w:tc>
          <w:tcPr>
            <w:tcW w:w="0" w:type="auto"/>
            <w:gridSpan w:val="3"/>
            <w:shd w:val="clear" w:color="auto" w:fill="auto"/>
            <w:vAlign w:val="bottom"/>
          </w:tcPr>
          <w:p w14:paraId="392C72B4" w14:textId="77777777" w:rsidR="00980E5F" w:rsidRDefault="00980E5F">
            <w:pPr>
              <w:rPr>
                <w:rFonts w:ascii="宋体"/>
                <w:vanish/>
              </w:rPr>
            </w:pPr>
          </w:p>
        </w:tc>
        <w:tc>
          <w:tcPr>
            <w:tcW w:w="0" w:type="auto"/>
            <w:gridSpan w:val="3"/>
            <w:shd w:val="clear" w:color="auto" w:fill="auto"/>
            <w:vAlign w:val="bottom"/>
          </w:tcPr>
          <w:p w14:paraId="392C72B5" w14:textId="77777777" w:rsidR="00980E5F" w:rsidRDefault="00980E5F">
            <w:pPr>
              <w:rPr>
                <w:rFonts w:ascii="宋体"/>
                <w:vanish/>
              </w:rPr>
            </w:pPr>
          </w:p>
        </w:tc>
        <w:tc>
          <w:tcPr>
            <w:tcW w:w="0" w:type="auto"/>
            <w:gridSpan w:val="3"/>
            <w:shd w:val="clear" w:color="auto" w:fill="auto"/>
            <w:vAlign w:val="bottom"/>
          </w:tcPr>
          <w:p w14:paraId="392C72B6" w14:textId="77777777" w:rsidR="00980E5F" w:rsidRDefault="00980E5F">
            <w:pPr>
              <w:rPr>
                <w:rFonts w:ascii="宋体"/>
                <w:vanish/>
              </w:rPr>
            </w:pPr>
          </w:p>
        </w:tc>
        <w:tc>
          <w:tcPr>
            <w:tcW w:w="0" w:type="auto"/>
            <w:gridSpan w:val="3"/>
            <w:shd w:val="clear" w:color="auto" w:fill="auto"/>
            <w:vAlign w:val="bottom"/>
          </w:tcPr>
          <w:p w14:paraId="392C72B7" w14:textId="77777777" w:rsidR="00980E5F" w:rsidRDefault="00980E5F">
            <w:pPr>
              <w:rPr>
                <w:rFonts w:ascii="宋体"/>
                <w:vanish/>
              </w:rPr>
            </w:pPr>
          </w:p>
        </w:tc>
      </w:tr>
      <w:tr w:rsidR="00980E5F" w14:paraId="392C72DB" w14:textId="77777777">
        <w:tc>
          <w:tcPr>
            <w:tcW w:w="0" w:type="auto"/>
            <w:gridSpan w:val="3"/>
            <w:shd w:val="clear" w:color="auto" w:fill="CCEEFF"/>
            <w:tcMar>
              <w:top w:w="40" w:type="dxa"/>
              <w:left w:w="155" w:type="dxa"/>
              <w:bottom w:w="40" w:type="dxa"/>
              <w:right w:w="20" w:type="dxa"/>
            </w:tcMar>
            <w:vAlign w:val="bottom"/>
          </w:tcPr>
          <w:p w14:paraId="392C72B9" w14:textId="77777777" w:rsidR="00980E5F" w:rsidRDefault="00483613">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2B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BB" w14:textId="77777777" w:rsidR="00980E5F" w:rsidRDefault="00483613">
            <w:pPr>
              <w:jc w:val="right"/>
              <w:textAlignment w:val="bottom"/>
            </w:pPr>
            <w:r>
              <w:rPr>
                <w:rFonts w:ascii="Arial" w:eastAsia="宋体" w:hAnsi="Arial" w:cs="Arial"/>
                <w:color w:val="000000"/>
                <w:sz w:val="14"/>
                <w:szCs w:val="14"/>
              </w:rPr>
              <w:t>3,855 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B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B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BF" w14:textId="77777777" w:rsidR="00980E5F" w:rsidRDefault="00483613">
            <w:pPr>
              <w:jc w:val="right"/>
              <w:textAlignment w:val="bottom"/>
            </w:pPr>
            <w:r>
              <w:rPr>
                <w:rFonts w:ascii="Arial" w:eastAsia="宋体" w:hAnsi="Arial" w:cs="Arial"/>
                <w:color w:val="000000"/>
                <w:sz w:val="14"/>
                <w:szCs w:val="14"/>
              </w:rPr>
              <w:t>3,296 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C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C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C3" w14:textId="77777777" w:rsidR="00980E5F" w:rsidRDefault="00483613">
            <w:pPr>
              <w:jc w:val="right"/>
              <w:textAlignment w:val="bottom"/>
            </w:pPr>
            <w:r>
              <w:rPr>
                <w:rFonts w:ascii="Arial" w:eastAsia="宋体" w:hAnsi="Arial" w:cs="Arial"/>
                <w:color w:val="000000"/>
                <w:sz w:val="14"/>
                <w:szCs w:val="14"/>
              </w:rPr>
              <w:t>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C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C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C7" w14:textId="77777777" w:rsidR="00980E5F" w:rsidRDefault="00483613">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C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C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CB" w14:textId="77777777" w:rsidR="00980E5F" w:rsidRDefault="00483613">
            <w:pPr>
              <w:jc w:val="right"/>
              <w:textAlignment w:val="bottom"/>
            </w:pPr>
            <w:r>
              <w:rPr>
                <w:rFonts w:ascii="Arial" w:eastAsia="宋体" w:hAnsi="Arial" w:cs="Arial"/>
                <w:color w:val="000000"/>
                <w:sz w:val="14"/>
                <w:szCs w:val="14"/>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CD" w14:textId="77777777" w:rsidR="00980E5F" w:rsidRDefault="00980E5F">
            <w:pPr>
              <w:rPr>
                <w:rFonts w:ascii="宋体"/>
              </w:rPr>
            </w:pPr>
          </w:p>
        </w:tc>
        <w:tc>
          <w:tcPr>
            <w:tcW w:w="0" w:type="auto"/>
            <w:shd w:val="clear" w:color="auto" w:fill="auto"/>
            <w:vAlign w:val="bottom"/>
          </w:tcPr>
          <w:p w14:paraId="392C72CE" w14:textId="77777777" w:rsidR="00980E5F" w:rsidRDefault="00980E5F">
            <w:pPr>
              <w:rPr>
                <w:rFonts w:ascii="宋体"/>
                <w:vanish/>
              </w:rPr>
            </w:pPr>
          </w:p>
        </w:tc>
        <w:tc>
          <w:tcPr>
            <w:tcW w:w="0" w:type="auto"/>
            <w:shd w:val="clear" w:color="auto" w:fill="auto"/>
            <w:vAlign w:val="bottom"/>
          </w:tcPr>
          <w:p w14:paraId="392C72CF"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D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D1" w14:textId="77777777" w:rsidR="00980E5F" w:rsidRDefault="00483613">
            <w:pPr>
              <w:jc w:val="right"/>
              <w:textAlignment w:val="bottom"/>
            </w:pPr>
            <w:r>
              <w:rPr>
                <w:rFonts w:ascii="Arial" w:eastAsia="宋体" w:hAnsi="Arial" w:cs="Arial"/>
                <w:color w:val="000000"/>
                <w:sz w:val="14"/>
                <w:szCs w:val="14"/>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D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D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D5" w14:textId="77777777" w:rsidR="00980E5F" w:rsidRDefault="00483613">
            <w:pPr>
              <w:jc w:val="right"/>
              <w:textAlignment w:val="bottom"/>
            </w:pPr>
            <w:r>
              <w:rPr>
                <w:rFonts w:ascii="Arial" w:eastAsia="宋体" w:hAnsi="Arial" w:cs="Arial"/>
                <w:color w:val="000000"/>
                <w:sz w:val="14"/>
                <w:szCs w:val="14"/>
              </w:rPr>
              <w:t>4,147 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2D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2D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2D9" w14:textId="77777777" w:rsidR="00980E5F" w:rsidRDefault="00483613">
            <w:pPr>
              <w:jc w:val="right"/>
              <w:textAlignment w:val="bottom"/>
            </w:pPr>
            <w:r>
              <w:rPr>
                <w:rFonts w:ascii="Arial" w:eastAsia="宋体" w:hAnsi="Arial" w:cs="Arial"/>
                <w:color w:val="000000"/>
                <w:sz w:val="14"/>
                <w:szCs w:val="14"/>
              </w:rPr>
              <w:t>11,802 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2DA" w14:textId="77777777" w:rsidR="00980E5F" w:rsidRDefault="00980E5F">
            <w:pPr>
              <w:jc w:val="right"/>
              <w:rPr>
                <w:rFonts w:ascii="宋体"/>
              </w:rPr>
            </w:pPr>
          </w:p>
        </w:tc>
      </w:tr>
      <w:tr w:rsidR="00980E5F" w14:paraId="392C72EE" w14:textId="77777777">
        <w:trPr>
          <w:trHeight w:val="220"/>
        </w:trPr>
        <w:tc>
          <w:tcPr>
            <w:tcW w:w="0" w:type="auto"/>
            <w:gridSpan w:val="3"/>
            <w:shd w:val="clear" w:color="auto" w:fill="FFFFFF"/>
            <w:tcMar>
              <w:top w:w="0" w:type="dxa"/>
              <w:left w:w="20" w:type="dxa"/>
              <w:bottom w:w="0" w:type="dxa"/>
              <w:right w:w="20" w:type="dxa"/>
            </w:tcMar>
            <w:vAlign w:val="bottom"/>
          </w:tcPr>
          <w:p w14:paraId="392C72D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D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D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D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6" w14:textId="77777777" w:rsidR="00980E5F" w:rsidRDefault="00980E5F">
            <w:pPr>
              <w:rPr>
                <w:rFonts w:ascii="宋体"/>
              </w:rPr>
            </w:pPr>
          </w:p>
        </w:tc>
        <w:tc>
          <w:tcPr>
            <w:tcW w:w="0" w:type="auto"/>
            <w:shd w:val="clear" w:color="auto" w:fill="auto"/>
            <w:vAlign w:val="bottom"/>
          </w:tcPr>
          <w:p w14:paraId="392C72E7" w14:textId="77777777" w:rsidR="00980E5F" w:rsidRDefault="00980E5F">
            <w:pPr>
              <w:rPr>
                <w:rFonts w:ascii="宋体"/>
                <w:vanish/>
              </w:rPr>
            </w:pPr>
          </w:p>
        </w:tc>
        <w:tc>
          <w:tcPr>
            <w:tcW w:w="0" w:type="auto"/>
            <w:shd w:val="clear" w:color="auto" w:fill="auto"/>
            <w:vAlign w:val="bottom"/>
          </w:tcPr>
          <w:p w14:paraId="392C72E8"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2E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2ED" w14:textId="77777777" w:rsidR="00980E5F" w:rsidRDefault="00980E5F">
            <w:pPr>
              <w:rPr>
                <w:rFonts w:ascii="宋体"/>
              </w:rPr>
            </w:pPr>
          </w:p>
        </w:tc>
      </w:tr>
      <w:tr w:rsidR="00980E5F" w14:paraId="392C7301" w14:textId="77777777">
        <w:trPr>
          <w:hidden/>
        </w:trPr>
        <w:tc>
          <w:tcPr>
            <w:tcW w:w="0" w:type="auto"/>
            <w:gridSpan w:val="3"/>
            <w:shd w:val="clear" w:color="auto" w:fill="auto"/>
            <w:vAlign w:val="bottom"/>
          </w:tcPr>
          <w:p w14:paraId="392C72EF" w14:textId="77777777" w:rsidR="00980E5F" w:rsidRDefault="00980E5F">
            <w:pPr>
              <w:rPr>
                <w:rFonts w:ascii="宋体"/>
                <w:vanish/>
              </w:rPr>
            </w:pPr>
          </w:p>
        </w:tc>
        <w:tc>
          <w:tcPr>
            <w:tcW w:w="0" w:type="auto"/>
            <w:gridSpan w:val="3"/>
            <w:shd w:val="clear" w:color="auto" w:fill="auto"/>
            <w:vAlign w:val="bottom"/>
          </w:tcPr>
          <w:p w14:paraId="392C72F0" w14:textId="77777777" w:rsidR="00980E5F" w:rsidRDefault="00980E5F">
            <w:pPr>
              <w:rPr>
                <w:rFonts w:ascii="宋体"/>
                <w:vanish/>
              </w:rPr>
            </w:pPr>
          </w:p>
        </w:tc>
        <w:tc>
          <w:tcPr>
            <w:tcW w:w="0" w:type="auto"/>
            <w:gridSpan w:val="3"/>
            <w:shd w:val="clear" w:color="auto" w:fill="auto"/>
            <w:vAlign w:val="bottom"/>
          </w:tcPr>
          <w:p w14:paraId="392C72F1" w14:textId="77777777" w:rsidR="00980E5F" w:rsidRDefault="00980E5F">
            <w:pPr>
              <w:rPr>
                <w:rFonts w:ascii="宋体"/>
                <w:vanish/>
              </w:rPr>
            </w:pPr>
          </w:p>
        </w:tc>
        <w:tc>
          <w:tcPr>
            <w:tcW w:w="0" w:type="auto"/>
            <w:gridSpan w:val="3"/>
            <w:shd w:val="clear" w:color="auto" w:fill="auto"/>
            <w:vAlign w:val="bottom"/>
          </w:tcPr>
          <w:p w14:paraId="392C72F2" w14:textId="77777777" w:rsidR="00980E5F" w:rsidRDefault="00980E5F">
            <w:pPr>
              <w:rPr>
                <w:rFonts w:ascii="宋体"/>
                <w:vanish/>
              </w:rPr>
            </w:pPr>
          </w:p>
        </w:tc>
        <w:tc>
          <w:tcPr>
            <w:tcW w:w="0" w:type="auto"/>
            <w:gridSpan w:val="3"/>
            <w:shd w:val="clear" w:color="auto" w:fill="auto"/>
            <w:vAlign w:val="bottom"/>
          </w:tcPr>
          <w:p w14:paraId="392C72F3" w14:textId="77777777" w:rsidR="00980E5F" w:rsidRDefault="00980E5F">
            <w:pPr>
              <w:rPr>
                <w:rFonts w:ascii="宋体"/>
                <w:vanish/>
              </w:rPr>
            </w:pPr>
          </w:p>
        </w:tc>
        <w:tc>
          <w:tcPr>
            <w:tcW w:w="0" w:type="auto"/>
            <w:gridSpan w:val="3"/>
            <w:shd w:val="clear" w:color="auto" w:fill="auto"/>
            <w:vAlign w:val="bottom"/>
          </w:tcPr>
          <w:p w14:paraId="392C72F4" w14:textId="77777777" w:rsidR="00980E5F" w:rsidRDefault="00980E5F">
            <w:pPr>
              <w:rPr>
                <w:rFonts w:ascii="宋体"/>
                <w:vanish/>
              </w:rPr>
            </w:pPr>
          </w:p>
        </w:tc>
        <w:tc>
          <w:tcPr>
            <w:tcW w:w="0" w:type="auto"/>
            <w:gridSpan w:val="3"/>
            <w:shd w:val="clear" w:color="auto" w:fill="auto"/>
            <w:vAlign w:val="bottom"/>
          </w:tcPr>
          <w:p w14:paraId="392C72F5" w14:textId="77777777" w:rsidR="00980E5F" w:rsidRDefault="00980E5F">
            <w:pPr>
              <w:rPr>
                <w:rFonts w:ascii="宋体"/>
                <w:vanish/>
              </w:rPr>
            </w:pPr>
          </w:p>
        </w:tc>
        <w:tc>
          <w:tcPr>
            <w:tcW w:w="0" w:type="auto"/>
            <w:gridSpan w:val="3"/>
            <w:shd w:val="clear" w:color="auto" w:fill="auto"/>
            <w:vAlign w:val="bottom"/>
          </w:tcPr>
          <w:p w14:paraId="392C72F6" w14:textId="77777777" w:rsidR="00980E5F" w:rsidRDefault="00980E5F">
            <w:pPr>
              <w:rPr>
                <w:rFonts w:ascii="宋体"/>
                <w:vanish/>
              </w:rPr>
            </w:pPr>
          </w:p>
        </w:tc>
        <w:tc>
          <w:tcPr>
            <w:tcW w:w="0" w:type="auto"/>
            <w:gridSpan w:val="3"/>
            <w:shd w:val="clear" w:color="auto" w:fill="auto"/>
            <w:vAlign w:val="bottom"/>
          </w:tcPr>
          <w:p w14:paraId="392C72F7" w14:textId="77777777" w:rsidR="00980E5F" w:rsidRDefault="00980E5F">
            <w:pPr>
              <w:rPr>
                <w:rFonts w:ascii="宋体"/>
                <w:vanish/>
              </w:rPr>
            </w:pPr>
          </w:p>
        </w:tc>
        <w:tc>
          <w:tcPr>
            <w:tcW w:w="0" w:type="auto"/>
            <w:gridSpan w:val="3"/>
            <w:shd w:val="clear" w:color="auto" w:fill="auto"/>
            <w:vAlign w:val="bottom"/>
          </w:tcPr>
          <w:p w14:paraId="392C72F8" w14:textId="77777777" w:rsidR="00980E5F" w:rsidRDefault="00980E5F">
            <w:pPr>
              <w:rPr>
                <w:rFonts w:ascii="宋体"/>
                <w:vanish/>
              </w:rPr>
            </w:pPr>
          </w:p>
        </w:tc>
        <w:tc>
          <w:tcPr>
            <w:tcW w:w="0" w:type="auto"/>
            <w:gridSpan w:val="3"/>
            <w:shd w:val="clear" w:color="auto" w:fill="auto"/>
            <w:vAlign w:val="bottom"/>
          </w:tcPr>
          <w:p w14:paraId="392C72F9" w14:textId="77777777" w:rsidR="00980E5F" w:rsidRDefault="00980E5F">
            <w:pPr>
              <w:rPr>
                <w:rFonts w:ascii="宋体"/>
                <w:vanish/>
              </w:rPr>
            </w:pPr>
          </w:p>
        </w:tc>
        <w:tc>
          <w:tcPr>
            <w:tcW w:w="0" w:type="auto"/>
            <w:shd w:val="clear" w:color="auto" w:fill="auto"/>
            <w:vAlign w:val="bottom"/>
          </w:tcPr>
          <w:p w14:paraId="392C72FA" w14:textId="77777777" w:rsidR="00980E5F" w:rsidRDefault="00980E5F">
            <w:pPr>
              <w:rPr>
                <w:rFonts w:ascii="宋体"/>
                <w:vanish/>
              </w:rPr>
            </w:pPr>
          </w:p>
        </w:tc>
        <w:tc>
          <w:tcPr>
            <w:tcW w:w="0" w:type="auto"/>
            <w:shd w:val="clear" w:color="auto" w:fill="auto"/>
            <w:vAlign w:val="bottom"/>
          </w:tcPr>
          <w:p w14:paraId="392C72FB" w14:textId="77777777" w:rsidR="00980E5F" w:rsidRDefault="00980E5F">
            <w:pPr>
              <w:rPr>
                <w:rFonts w:ascii="宋体"/>
                <w:vanish/>
              </w:rPr>
            </w:pPr>
          </w:p>
        </w:tc>
        <w:tc>
          <w:tcPr>
            <w:tcW w:w="0" w:type="auto"/>
            <w:gridSpan w:val="3"/>
            <w:shd w:val="clear" w:color="auto" w:fill="auto"/>
            <w:vAlign w:val="bottom"/>
          </w:tcPr>
          <w:p w14:paraId="392C72FC" w14:textId="77777777" w:rsidR="00980E5F" w:rsidRDefault="00980E5F">
            <w:pPr>
              <w:rPr>
                <w:rFonts w:ascii="宋体"/>
                <w:vanish/>
              </w:rPr>
            </w:pPr>
          </w:p>
        </w:tc>
        <w:tc>
          <w:tcPr>
            <w:tcW w:w="0" w:type="auto"/>
            <w:gridSpan w:val="3"/>
            <w:shd w:val="clear" w:color="auto" w:fill="auto"/>
            <w:vAlign w:val="bottom"/>
          </w:tcPr>
          <w:p w14:paraId="392C72FD" w14:textId="77777777" w:rsidR="00980E5F" w:rsidRDefault="00980E5F">
            <w:pPr>
              <w:rPr>
                <w:rFonts w:ascii="宋体"/>
                <w:vanish/>
              </w:rPr>
            </w:pPr>
          </w:p>
        </w:tc>
        <w:tc>
          <w:tcPr>
            <w:tcW w:w="0" w:type="auto"/>
            <w:gridSpan w:val="3"/>
            <w:shd w:val="clear" w:color="auto" w:fill="auto"/>
            <w:vAlign w:val="bottom"/>
          </w:tcPr>
          <w:p w14:paraId="392C72FE" w14:textId="77777777" w:rsidR="00980E5F" w:rsidRDefault="00980E5F">
            <w:pPr>
              <w:rPr>
                <w:rFonts w:ascii="宋体"/>
                <w:vanish/>
              </w:rPr>
            </w:pPr>
          </w:p>
        </w:tc>
        <w:tc>
          <w:tcPr>
            <w:tcW w:w="0" w:type="auto"/>
            <w:gridSpan w:val="3"/>
            <w:shd w:val="clear" w:color="auto" w:fill="auto"/>
            <w:vAlign w:val="bottom"/>
          </w:tcPr>
          <w:p w14:paraId="392C72FF" w14:textId="77777777" w:rsidR="00980E5F" w:rsidRDefault="00980E5F">
            <w:pPr>
              <w:rPr>
                <w:rFonts w:ascii="宋体"/>
                <w:vanish/>
              </w:rPr>
            </w:pPr>
          </w:p>
        </w:tc>
        <w:tc>
          <w:tcPr>
            <w:tcW w:w="0" w:type="auto"/>
            <w:gridSpan w:val="3"/>
            <w:shd w:val="clear" w:color="auto" w:fill="auto"/>
            <w:vAlign w:val="bottom"/>
          </w:tcPr>
          <w:p w14:paraId="392C7300" w14:textId="77777777" w:rsidR="00980E5F" w:rsidRDefault="00980E5F">
            <w:pPr>
              <w:rPr>
                <w:rFonts w:ascii="宋体"/>
                <w:vanish/>
              </w:rPr>
            </w:pPr>
          </w:p>
        </w:tc>
      </w:tr>
      <w:tr w:rsidR="00980E5F" w14:paraId="392C7314" w14:textId="77777777">
        <w:trPr>
          <w:hidden/>
        </w:trPr>
        <w:tc>
          <w:tcPr>
            <w:tcW w:w="0" w:type="auto"/>
            <w:gridSpan w:val="3"/>
            <w:shd w:val="clear" w:color="auto" w:fill="auto"/>
            <w:vAlign w:val="bottom"/>
          </w:tcPr>
          <w:p w14:paraId="392C7302" w14:textId="77777777" w:rsidR="00980E5F" w:rsidRDefault="00980E5F">
            <w:pPr>
              <w:rPr>
                <w:rFonts w:ascii="宋体"/>
                <w:vanish/>
              </w:rPr>
            </w:pPr>
          </w:p>
        </w:tc>
        <w:tc>
          <w:tcPr>
            <w:tcW w:w="0" w:type="auto"/>
            <w:gridSpan w:val="3"/>
            <w:shd w:val="clear" w:color="auto" w:fill="auto"/>
            <w:vAlign w:val="bottom"/>
          </w:tcPr>
          <w:p w14:paraId="392C7303" w14:textId="77777777" w:rsidR="00980E5F" w:rsidRDefault="00980E5F">
            <w:pPr>
              <w:rPr>
                <w:rFonts w:ascii="宋体"/>
                <w:vanish/>
              </w:rPr>
            </w:pPr>
          </w:p>
        </w:tc>
        <w:tc>
          <w:tcPr>
            <w:tcW w:w="0" w:type="auto"/>
            <w:gridSpan w:val="3"/>
            <w:shd w:val="clear" w:color="auto" w:fill="auto"/>
            <w:vAlign w:val="bottom"/>
          </w:tcPr>
          <w:p w14:paraId="392C7304" w14:textId="77777777" w:rsidR="00980E5F" w:rsidRDefault="00980E5F">
            <w:pPr>
              <w:rPr>
                <w:rFonts w:ascii="宋体"/>
                <w:vanish/>
              </w:rPr>
            </w:pPr>
          </w:p>
        </w:tc>
        <w:tc>
          <w:tcPr>
            <w:tcW w:w="0" w:type="auto"/>
            <w:gridSpan w:val="3"/>
            <w:shd w:val="clear" w:color="auto" w:fill="auto"/>
            <w:vAlign w:val="bottom"/>
          </w:tcPr>
          <w:p w14:paraId="392C7305" w14:textId="77777777" w:rsidR="00980E5F" w:rsidRDefault="00980E5F">
            <w:pPr>
              <w:rPr>
                <w:rFonts w:ascii="宋体"/>
                <w:vanish/>
              </w:rPr>
            </w:pPr>
          </w:p>
        </w:tc>
        <w:tc>
          <w:tcPr>
            <w:tcW w:w="0" w:type="auto"/>
            <w:gridSpan w:val="3"/>
            <w:shd w:val="clear" w:color="auto" w:fill="auto"/>
            <w:vAlign w:val="bottom"/>
          </w:tcPr>
          <w:p w14:paraId="392C7306" w14:textId="77777777" w:rsidR="00980E5F" w:rsidRDefault="00980E5F">
            <w:pPr>
              <w:rPr>
                <w:rFonts w:ascii="宋体"/>
                <w:vanish/>
              </w:rPr>
            </w:pPr>
          </w:p>
        </w:tc>
        <w:tc>
          <w:tcPr>
            <w:tcW w:w="0" w:type="auto"/>
            <w:gridSpan w:val="3"/>
            <w:shd w:val="clear" w:color="auto" w:fill="auto"/>
            <w:vAlign w:val="bottom"/>
          </w:tcPr>
          <w:p w14:paraId="392C7307" w14:textId="77777777" w:rsidR="00980E5F" w:rsidRDefault="00980E5F">
            <w:pPr>
              <w:rPr>
                <w:rFonts w:ascii="宋体"/>
                <w:vanish/>
              </w:rPr>
            </w:pPr>
          </w:p>
        </w:tc>
        <w:tc>
          <w:tcPr>
            <w:tcW w:w="0" w:type="auto"/>
            <w:gridSpan w:val="3"/>
            <w:shd w:val="clear" w:color="auto" w:fill="auto"/>
            <w:vAlign w:val="bottom"/>
          </w:tcPr>
          <w:p w14:paraId="392C7308" w14:textId="77777777" w:rsidR="00980E5F" w:rsidRDefault="00980E5F">
            <w:pPr>
              <w:rPr>
                <w:rFonts w:ascii="宋体"/>
                <w:vanish/>
              </w:rPr>
            </w:pPr>
          </w:p>
        </w:tc>
        <w:tc>
          <w:tcPr>
            <w:tcW w:w="0" w:type="auto"/>
            <w:gridSpan w:val="3"/>
            <w:shd w:val="clear" w:color="auto" w:fill="auto"/>
            <w:vAlign w:val="bottom"/>
          </w:tcPr>
          <w:p w14:paraId="392C7309" w14:textId="77777777" w:rsidR="00980E5F" w:rsidRDefault="00980E5F">
            <w:pPr>
              <w:rPr>
                <w:rFonts w:ascii="宋体"/>
                <w:vanish/>
              </w:rPr>
            </w:pPr>
          </w:p>
        </w:tc>
        <w:tc>
          <w:tcPr>
            <w:tcW w:w="0" w:type="auto"/>
            <w:gridSpan w:val="3"/>
            <w:shd w:val="clear" w:color="auto" w:fill="auto"/>
            <w:vAlign w:val="bottom"/>
          </w:tcPr>
          <w:p w14:paraId="392C730A" w14:textId="77777777" w:rsidR="00980E5F" w:rsidRDefault="00980E5F">
            <w:pPr>
              <w:rPr>
                <w:rFonts w:ascii="宋体"/>
                <w:vanish/>
              </w:rPr>
            </w:pPr>
          </w:p>
        </w:tc>
        <w:tc>
          <w:tcPr>
            <w:tcW w:w="0" w:type="auto"/>
            <w:gridSpan w:val="3"/>
            <w:shd w:val="clear" w:color="auto" w:fill="auto"/>
            <w:vAlign w:val="bottom"/>
          </w:tcPr>
          <w:p w14:paraId="392C730B" w14:textId="77777777" w:rsidR="00980E5F" w:rsidRDefault="00980E5F">
            <w:pPr>
              <w:rPr>
                <w:rFonts w:ascii="宋体"/>
                <w:vanish/>
              </w:rPr>
            </w:pPr>
          </w:p>
        </w:tc>
        <w:tc>
          <w:tcPr>
            <w:tcW w:w="0" w:type="auto"/>
            <w:gridSpan w:val="3"/>
            <w:shd w:val="clear" w:color="auto" w:fill="auto"/>
            <w:vAlign w:val="bottom"/>
          </w:tcPr>
          <w:p w14:paraId="392C730C" w14:textId="77777777" w:rsidR="00980E5F" w:rsidRDefault="00980E5F">
            <w:pPr>
              <w:rPr>
                <w:rFonts w:ascii="宋体"/>
                <w:vanish/>
              </w:rPr>
            </w:pPr>
          </w:p>
        </w:tc>
        <w:tc>
          <w:tcPr>
            <w:tcW w:w="0" w:type="auto"/>
            <w:shd w:val="clear" w:color="auto" w:fill="auto"/>
            <w:vAlign w:val="bottom"/>
          </w:tcPr>
          <w:p w14:paraId="392C730D" w14:textId="77777777" w:rsidR="00980E5F" w:rsidRDefault="00980E5F">
            <w:pPr>
              <w:rPr>
                <w:rFonts w:ascii="宋体"/>
                <w:vanish/>
              </w:rPr>
            </w:pPr>
          </w:p>
        </w:tc>
        <w:tc>
          <w:tcPr>
            <w:tcW w:w="0" w:type="auto"/>
            <w:shd w:val="clear" w:color="auto" w:fill="auto"/>
            <w:vAlign w:val="bottom"/>
          </w:tcPr>
          <w:p w14:paraId="392C730E" w14:textId="77777777" w:rsidR="00980E5F" w:rsidRDefault="00980E5F">
            <w:pPr>
              <w:rPr>
                <w:rFonts w:ascii="宋体"/>
                <w:vanish/>
              </w:rPr>
            </w:pPr>
          </w:p>
        </w:tc>
        <w:tc>
          <w:tcPr>
            <w:tcW w:w="0" w:type="auto"/>
            <w:gridSpan w:val="3"/>
            <w:shd w:val="clear" w:color="auto" w:fill="auto"/>
            <w:vAlign w:val="bottom"/>
          </w:tcPr>
          <w:p w14:paraId="392C730F" w14:textId="77777777" w:rsidR="00980E5F" w:rsidRDefault="00980E5F">
            <w:pPr>
              <w:rPr>
                <w:rFonts w:ascii="宋体"/>
                <w:vanish/>
              </w:rPr>
            </w:pPr>
          </w:p>
        </w:tc>
        <w:tc>
          <w:tcPr>
            <w:tcW w:w="0" w:type="auto"/>
            <w:gridSpan w:val="3"/>
            <w:shd w:val="clear" w:color="auto" w:fill="auto"/>
            <w:vAlign w:val="bottom"/>
          </w:tcPr>
          <w:p w14:paraId="392C7310" w14:textId="77777777" w:rsidR="00980E5F" w:rsidRDefault="00980E5F">
            <w:pPr>
              <w:rPr>
                <w:rFonts w:ascii="宋体"/>
                <w:vanish/>
              </w:rPr>
            </w:pPr>
          </w:p>
        </w:tc>
        <w:tc>
          <w:tcPr>
            <w:tcW w:w="0" w:type="auto"/>
            <w:gridSpan w:val="3"/>
            <w:shd w:val="clear" w:color="auto" w:fill="auto"/>
            <w:vAlign w:val="bottom"/>
          </w:tcPr>
          <w:p w14:paraId="392C7311" w14:textId="77777777" w:rsidR="00980E5F" w:rsidRDefault="00980E5F">
            <w:pPr>
              <w:rPr>
                <w:rFonts w:ascii="宋体"/>
                <w:vanish/>
              </w:rPr>
            </w:pPr>
          </w:p>
        </w:tc>
        <w:tc>
          <w:tcPr>
            <w:tcW w:w="0" w:type="auto"/>
            <w:gridSpan w:val="3"/>
            <w:shd w:val="clear" w:color="auto" w:fill="auto"/>
            <w:vAlign w:val="bottom"/>
          </w:tcPr>
          <w:p w14:paraId="392C7312" w14:textId="77777777" w:rsidR="00980E5F" w:rsidRDefault="00980E5F">
            <w:pPr>
              <w:rPr>
                <w:rFonts w:ascii="宋体"/>
                <w:vanish/>
              </w:rPr>
            </w:pPr>
          </w:p>
        </w:tc>
        <w:tc>
          <w:tcPr>
            <w:tcW w:w="0" w:type="auto"/>
            <w:gridSpan w:val="3"/>
            <w:shd w:val="clear" w:color="auto" w:fill="auto"/>
            <w:vAlign w:val="bottom"/>
          </w:tcPr>
          <w:p w14:paraId="392C7313" w14:textId="77777777" w:rsidR="00980E5F" w:rsidRDefault="00980E5F">
            <w:pPr>
              <w:rPr>
                <w:rFonts w:ascii="宋体"/>
                <w:vanish/>
              </w:rPr>
            </w:pPr>
          </w:p>
        </w:tc>
      </w:tr>
      <w:tr w:rsidR="00980E5F" w14:paraId="392C7327" w14:textId="77777777">
        <w:trPr>
          <w:hidden/>
        </w:trPr>
        <w:tc>
          <w:tcPr>
            <w:tcW w:w="0" w:type="auto"/>
            <w:gridSpan w:val="3"/>
            <w:shd w:val="clear" w:color="auto" w:fill="auto"/>
            <w:vAlign w:val="bottom"/>
          </w:tcPr>
          <w:p w14:paraId="392C7315" w14:textId="77777777" w:rsidR="00980E5F" w:rsidRDefault="00980E5F">
            <w:pPr>
              <w:rPr>
                <w:rFonts w:ascii="宋体"/>
                <w:vanish/>
              </w:rPr>
            </w:pPr>
          </w:p>
        </w:tc>
        <w:tc>
          <w:tcPr>
            <w:tcW w:w="0" w:type="auto"/>
            <w:gridSpan w:val="3"/>
            <w:shd w:val="clear" w:color="auto" w:fill="auto"/>
            <w:vAlign w:val="bottom"/>
          </w:tcPr>
          <w:p w14:paraId="392C7316" w14:textId="77777777" w:rsidR="00980E5F" w:rsidRDefault="00980E5F">
            <w:pPr>
              <w:rPr>
                <w:rFonts w:ascii="宋体"/>
                <w:vanish/>
              </w:rPr>
            </w:pPr>
          </w:p>
        </w:tc>
        <w:tc>
          <w:tcPr>
            <w:tcW w:w="0" w:type="auto"/>
            <w:gridSpan w:val="3"/>
            <w:shd w:val="clear" w:color="auto" w:fill="auto"/>
            <w:vAlign w:val="bottom"/>
          </w:tcPr>
          <w:p w14:paraId="392C7317" w14:textId="77777777" w:rsidR="00980E5F" w:rsidRDefault="00980E5F">
            <w:pPr>
              <w:rPr>
                <w:rFonts w:ascii="宋体"/>
                <w:vanish/>
              </w:rPr>
            </w:pPr>
          </w:p>
        </w:tc>
        <w:tc>
          <w:tcPr>
            <w:tcW w:w="0" w:type="auto"/>
            <w:gridSpan w:val="3"/>
            <w:shd w:val="clear" w:color="auto" w:fill="auto"/>
            <w:vAlign w:val="bottom"/>
          </w:tcPr>
          <w:p w14:paraId="392C7318" w14:textId="77777777" w:rsidR="00980E5F" w:rsidRDefault="00980E5F">
            <w:pPr>
              <w:rPr>
                <w:rFonts w:ascii="宋体"/>
                <w:vanish/>
              </w:rPr>
            </w:pPr>
          </w:p>
        </w:tc>
        <w:tc>
          <w:tcPr>
            <w:tcW w:w="0" w:type="auto"/>
            <w:gridSpan w:val="3"/>
            <w:shd w:val="clear" w:color="auto" w:fill="auto"/>
            <w:vAlign w:val="bottom"/>
          </w:tcPr>
          <w:p w14:paraId="392C7319" w14:textId="77777777" w:rsidR="00980E5F" w:rsidRDefault="00980E5F">
            <w:pPr>
              <w:rPr>
                <w:rFonts w:ascii="宋体"/>
                <w:vanish/>
              </w:rPr>
            </w:pPr>
          </w:p>
        </w:tc>
        <w:tc>
          <w:tcPr>
            <w:tcW w:w="0" w:type="auto"/>
            <w:gridSpan w:val="3"/>
            <w:shd w:val="clear" w:color="auto" w:fill="auto"/>
            <w:vAlign w:val="bottom"/>
          </w:tcPr>
          <w:p w14:paraId="392C731A" w14:textId="77777777" w:rsidR="00980E5F" w:rsidRDefault="00980E5F">
            <w:pPr>
              <w:rPr>
                <w:rFonts w:ascii="宋体"/>
                <w:vanish/>
              </w:rPr>
            </w:pPr>
          </w:p>
        </w:tc>
        <w:tc>
          <w:tcPr>
            <w:tcW w:w="0" w:type="auto"/>
            <w:gridSpan w:val="3"/>
            <w:shd w:val="clear" w:color="auto" w:fill="auto"/>
            <w:vAlign w:val="bottom"/>
          </w:tcPr>
          <w:p w14:paraId="392C731B" w14:textId="77777777" w:rsidR="00980E5F" w:rsidRDefault="00980E5F">
            <w:pPr>
              <w:rPr>
                <w:rFonts w:ascii="宋体"/>
                <w:vanish/>
              </w:rPr>
            </w:pPr>
          </w:p>
        </w:tc>
        <w:tc>
          <w:tcPr>
            <w:tcW w:w="0" w:type="auto"/>
            <w:gridSpan w:val="3"/>
            <w:shd w:val="clear" w:color="auto" w:fill="auto"/>
            <w:vAlign w:val="bottom"/>
          </w:tcPr>
          <w:p w14:paraId="392C731C" w14:textId="77777777" w:rsidR="00980E5F" w:rsidRDefault="00980E5F">
            <w:pPr>
              <w:rPr>
                <w:rFonts w:ascii="宋体"/>
                <w:vanish/>
              </w:rPr>
            </w:pPr>
          </w:p>
        </w:tc>
        <w:tc>
          <w:tcPr>
            <w:tcW w:w="0" w:type="auto"/>
            <w:gridSpan w:val="3"/>
            <w:shd w:val="clear" w:color="auto" w:fill="auto"/>
            <w:vAlign w:val="bottom"/>
          </w:tcPr>
          <w:p w14:paraId="392C731D" w14:textId="77777777" w:rsidR="00980E5F" w:rsidRDefault="00980E5F">
            <w:pPr>
              <w:rPr>
                <w:rFonts w:ascii="宋体"/>
                <w:vanish/>
              </w:rPr>
            </w:pPr>
          </w:p>
        </w:tc>
        <w:tc>
          <w:tcPr>
            <w:tcW w:w="0" w:type="auto"/>
            <w:gridSpan w:val="3"/>
            <w:shd w:val="clear" w:color="auto" w:fill="auto"/>
            <w:vAlign w:val="bottom"/>
          </w:tcPr>
          <w:p w14:paraId="392C731E" w14:textId="77777777" w:rsidR="00980E5F" w:rsidRDefault="00980E5F">
            <w:pPr>
              <w:rPr>
                <w:rFonts w:ascii="宋体"/>
                <w:vanish/>
              </w:rPr>
            </w:pPr>
          </w:p>
        </w:tc>
        <w:tc>
          <w:tcPr>
            <w:tcW w:w="0" w:type="auto"/>
            <w:gridSpan w:val="3"/>
            <w:shd w:val="clear" w:color="auto" w:fill="auto"/>
            <w:vAlign w:val="bottom"/>
          </w:tcPr>
          <w:p w14:paraId="392C731F" w14:textId="77777777" w:rsidR="00980E5F" w:rsidRDefault="00980E5F">
            <w:pPr>
              <w:rPr>
                <w:rFonts w:ascii="宋体"/>
                <w:vanish/>
              </w:rPr>
            </w:pPr>
          </w:p>
        </w:tc>
        <w:tc>
          <w:tcPr>
            <w:tcW w:w="0" w:type="auto"/>
            <w:shd w:val="clear" w:color="auto" w:fill="auto"/>
            <w:vAlign w:val="bottom"/>
          </w:tcPr>
          <w:p w14:paraId="392C7320" w14:textId="77777777" w:rsidR="00980E5F" w:rsidRDefault="00980E5F">
            <w:pPr>
              <w:rPr>
                <w:rFonts w:ascii="宋体"/>
                <w:vanish/>
              </w:rPr>
            </w:pPr>
          </w:p>
        </w:tc>
        <w:tc>
          <w:tcPr>
            <w:tcW w:w="0" w:type="auto"/>
            <w:shd w:val="clear" w:color="auto" w:fill="auto"/>
            <w:vAlign w:val="bottom"/>
          </w:tcPr>
          <w:p w14:paraId="392C7321" w14:textId="77777777" w:rsidR="00980E5F" w:rsidRDefault="00980E5F">
            <w:pPr>
              <w:rPr>
                <w:rFonts w:ascii="宋体"/>
                <w:vanish/>
              </w:rPr>
            </w:pPr>
          </w:p>
        </w:tc>
        <w:tc>
          <w:tcPr>
            <w:tcW w:w="0" w:type="auto"/>
            <w:gridSpan w:val="3"/>
            <w:shd w:val="clear" w:color="auto" w:fill="auto"/>
            <w:vAlign w:val="bottom"/>
          </w:tcPr>
          <w:p w14:paraId="392C7322" w14:textId="77777777" w:rsidR="00980E5F" w:rsidRDefault="00980E5F">
            <w:pPr>
              <w:rPr>
                <w:rFonts w:ascii="宋体"/>
                <w:vanish/>
              </w:rPr>
            </w:pPr>
          </w:p>
        </w:tc>
        <w:tc>
          <w:tcPr>
            <w:tcW w:w="0" w:type="auto"/>
            <w:gridSpan w:val="3"/>
            <w:shd w:val="clear" w:color="auto" w:fill="auto"/>
            <w:vAlign w:val="bottom"/>
          </w:tcPr>
          <w:p w14:paraId="392C7323" w14:textId="77777777" w:rsidR="00980E5F" w:rsidRDefault="00980E5F">
            <w:pPr>
              <w:rPr>
                <w:rFonts w:ascii="宋体"/>
                <w:vanish/>
              </w:rPr>
            </w:pPr>
          </w:p>
        </w:tc>
        <w:tc>
          <w:tcPr>
            <w:tcW w:w="0" w:type="auto"/>
            <w:gridSpan w:val="3"/>
            <w:shd w:val="clear" w:color="auto" w:fill="auto"/>
            <w:vAlign w:val="bottom"/>
          </w:tcPr>
          <w:p w14:paraId="392C7324" w14:textId="77777777" w:rsidR="00980E5F" w:rsidRDefault="00980E5F">
            <w:pPr>
              <w:rPr>
                <w:rFonts w:ascii="宋体"/>
                <w:vanish/>
              </w:rPr>
            </w:pPr>
          </w:p>
        </w:tc>
        <w:tc>
          <w:tcPr>
            <w:tcW w:w="0" w:type="auto"/>
            <w:gridSpan w:val="3"/>
            <w:shd w:val="clear" w:color="auto" w:fill="auto"/>
            <w:vAlign w:val="bottom"/>
          </w:tcPr>
          <w:p w14:paraId="392C7325" w14:textId="77777777" w:rsidR="00980E5F" w:rsidRDefault="00980E5F">
            <w:pPr>
              <w:rPr>
                <w:rFonts w:ascii="宋体"/>
                <w:vanish/>
              </w:rPr>
            </w:pPr>
          </w:p>
        </w:tc>
        <w:tc>
          <w:tcPr>
            <w:tcW w:w="0" w:type="auto"/>
            <w:gridSpan w:val="3"/>
            <w:shd w:val="clear" w:color="auto" w:fill="auto"/>
            <w:vAlign w:val="bottom"/>
          </w:tcPr>
          <w:p w14:paraId="392C7326" w14:textId="77777777" w:rsidR="00980E5F" w:rsidRDefault="00980E5F">
            <w:pPr>
              <w:rPr>
                <w:rFonts w:ascii="宋体"/>
                <w:vanish/>
              </w:rPr>
            </w:pPr>
          </w:p>
        </w:tc>
      </w:tr>
      <w:tr w:rsidR="00980E5F" w14:paraId="392C733A" w14:textId="77777777">
        <w:trPr>
          <w:hidden/>
        </w:trPr>
        <w:tc>
          <w:tcPr>
            <w:tcW w:w="0" w:type="auto"/>
            <w:gridSpan w:val="3"/>
            <w:shd w:val="clear" w:color="auto" w:fill="auto"/>
            <w:vAlign w:val="bottom"/>
          </w:tcPr>
          <w:p w14:paraId="392C7328" w14:textId="77777777" w:rsidR="00980E5F" w:rsidRDefault="00980E5F">
            <w:pPr>
              <w:rPr>
                <w:rFonts w:ascii="宋体"/>
                <w:vanish/>
              </w:rPr>
            </w:pPr>
          </w:p>
        </w:tc>
        <w:tc>
          <w:tcPr>
            <w:tcW w:w="0" w:type="auto"/>
            <w:gridSpan w:val="3"/>
            <w:shd w:val="clear" w:color="auto" w:fill="auto"/>
            <w:vAlign w:val="bottom"/>
          </w:tcPr>
          <w:p w14:paraId="392C7329" w14:textId="77777777" w:rsidR="00980E5F" w:rsidRDefault="00980E5F">
            <w:pPr>
              <w:rPr>
                <w:rFonts w:ascii="宋体"/>
                <w:vanish/>
              </w:rPr>
            </w:pPr>
          </w:p>
        </w:tc>
        <w:tc>
          <w:tcPr>
            <w:tcW w:w="0" w:type="auto"/>
            <w:gridSpan w:val="3"/>
            <w:shd w:val="clear" w:color="auto" w:fill="auto"/>
            <w:vAlign w:val="bottom"/>
          </w:tcPr>
          <w:p w14:paraId="392C732A" w14:textId="77777777" w:rsidR="00980E5F" w:rsidRDefault="00980E5F">
            <w:pPr>
              <w:rPr>
                <w:rFonts w:ascii="宋体"/>
                <w:vanish/>
              </w:rPr>
            </w:pPr>
          </w:p>
        </w:tc>
        <w:tc>
          <w:tcPr>
            <w:tcW w:w="0" w:type="auto"/>
            <w:gridSpan w:val="3"/>
            <w:shd w:val="clear" w:color="auto" w:fill="auto"/>
            <w:vAlign w:val="bottom"/>
          </w:tcPr>
          <w:p w14:paraId="392C732B" w14:textId="77777777" w:rsidR="00980E5F" w:rsidRDefault="00980E5F">
            <w:pPr>
              <w:rPr>
                <w:rFonts w:ascii="宋体"/>
                <w:vanish/>
              </w:rPr>
            </w:pPr>
          </w:p>
        </w:tc>
        <w:tc>
          <w:tcPr>
            <w:tcW w:w="0" w:type="auto"/>
            <w:gridSpan w:val="3"/>
            <w:shd w:val="clear" w:color="auto" w:fill="auto"/>
            <w:vAlign w:val="bottom"/>
          </w:tcPr>
          <w:p w14:paraId="392C732C" w14:textId="77777777" w:rsidR="00980E5F" w:rsidRDefault="00980E5F">
            <w:pPr>
              <w:rPr>
                <w:rFonts w:ascii="宋体"/>
                <w:vanish/>
              </w:rPr>
            </w:pPr>
          </w:p>
        </w:tc>
        <w:tc>
          <w:tcPr>
            <w:tcW w:w="0" w:type="auto"/>
            <w:gridSpan w:val="3"/>
            <w:shd w:val="clear" w:color="auto" w:fill="auto"/>
            <w:vAlign w:val="bottom"/>
          </w:tcPr>
          <w:p w14:paraId="392C732D" w14:textId="77777777" w:rsidR="00980E5F" w:rsidRDefault="00980E5F">
            <w:pPr>
              <w:rPr>
                <w:rFonts w:ascii="宋体"/>
                <w:vanish/>
              </w:rPr>
            </w:pPr>
          </w:p>
        </w:tc>
        <w:tc>
          <w:tcPr>
            <w:tcW w:w="0" w:type="auto"/>
            <w:gridSpan w:val="3"/>
            <w:shd w:val="clear" w:color="auto" w:fill="auto"/>
            <w:vAlign w:val="bottom"/>
          </w:tcPr>
          <w:p w14:paraId="392C732E" w14:textId="77777777" w:rsidR="00980E5F" w:rsidRDefault="00980E5F">
            <w:pPr>
              <w:rPr>
                <w:rFonts w:ascii="宋体"/>
                <w:vanish/>
              </w:rPr>
            </w:pPr>
          </w:p>
        </w:tc>
        <w:tc>
          <w:tcPr>
            <w:tcW w:w="0" w:type="auto"/>
            <w:gridSpan w:val="3"/>
            <w:shd w:val="clear" w:color="auto" w:fill="auto"/>
            <w:vAlign w:val="bottom"/>
          </w:tcPr>
          <w:p w14:paraId="392C732F" w14:textId="77777777" w:rsidR="00980E5F" w:rsidRDefault="00980E5F">
            <w:pPr>
              <w:rPr>
                <w:rFonts w:ascii="宋体"/>
                <w:vanish/>
              </w:rPr>
            </w:pPr>
          </w:p>
        </w:tc>
        <w:tc>
          <w:tcPr>
            <w:tcW w:w="0" w:type="auto"/>
            <w:gridSpan w:val="3"/>
            <w:shd w:val="clear" w:color="auto" w:fill="auto"/>
            <w:vAlign w:val="bottom"/>
          </w:tcPr>
          <w:p w14:paraId="392C7330" w14:textId="77777777" w:rsidR="00980E5F" w:rsidRDefault="00980E5F">
            <w:pPr>
              <w:rPr>
                <w:rFonts w:ascii="宋体"/>
                <w:vanish/>
              </w:rPr>
            </w:pPr>
          </w:p>
        </w:tc>
        <w:tc>
          <w:tcPr>
            <w:tcW w:w="0" w:type="auto"/>
            <w:gridSpan w:val="3"/>
            <w:shd w:val="clear" w:color="auto" w:fill="auto"/>
            <w:vAlign w:val="bottom"/>
          </w:tcPr>
          <w:p w14:paraId="392C7331" w14:textId="77777777" w:rsidR="00980E5F" w:rsidRDefault="00980E5F">
            <w:pPr>
              <w:rPr>
                <w:rFonts w:ascii="宋体"/>
                <w:vanish/>
              </w:rPr>
            </w:pPr>
          </w:p>
        </w:tc>
        <w:tc>
          <w:tcPr>
            <w:tcW w:w="0" w:type="auto"/>
            <w:gridSpan w:val="3"/>
            <w:shd w:val="clear" w:color="auto" w:fill="auto"/>
            <w:vAlign w:val="bottom"/>
          </w:tcPr>
          <w:p w14:paraId="392C7332" w14:textId="77777777" w:rsidR="00980E5F" w:rsidRDefault="00980E5F">
            <w:pPr>
              <w:rPr>
                <w:rFonts w:ascii="宋体"/>
                <w:vanish/>
              </w:rPr>
            </w:pPr>
          </w:p>
        </w:tc>
        <w:tc>
          <w:tcPr>
            <w:tcW w:w="0" w:type="auto"/>
            <w:shd w:val="clear" w:color="auto" w:fill="auto"/>
            <w:vAlign w:val="bottom"/>
          </w:tcPr>
          <w:p w14:paraId="392C7333" w14:textId="77777777" w:rsidR="00980E5F" w:rsidRDefault="00980E5F">
            <w:pPr>
              <w:rPr>
                <w:rFonts w:ascii="宋体"/>
                <w:vanish/>
              </w:rPr>
            </w:pPr>
          </w:p>
        </w:tc>
        <w:tc>
          <w:tcPr>
            <w:tcW w:w="0" w:type="auto"/>
            <w:shd w:val="clear" w:color="auto" w:fill="auto"/>
            <w:vAlign w:val="bottom"/>
          </w:tcPr>
          <w:p w14:paraId="392C7334" w14:textId="77777777" w:rsidR="00980E5F" w:rsidRDefault="00980E5F">
            <w:pPr>
              <w:rPr>
                <w:rFonts w:ascii="宋体"/>
                <w:vanish/>
              </w:rPr>
            </w:pPr>
          </w:p>
        </w:tc>
        <w:tc>
          <w:tcPr>
            <w:tcW w:w="0" w:type="auto"/>
            <w:gridSpan w:val="3"/>
            <w:shd w:val="clear" w:color="auto" w:fill="auto"/>
            <w:vAlign w:val="bottom"/>
          </w:tcPr>
          <w:p w14:paraId="392C7335" w14:textId="77777777" w:rsidR="00980E5F" w:rsidRDefault="00980E5F">
            <w:pPr>
              <w:rPr>
                <w:rFonts w:ascii="宋体"/>
                <w:vanish/>
              </w:rPr>
            </w:pPr>
          </w:p>
        </w:tc>
        <w:tc>
          <w:tcPr>
            <w:tcW w:w="0" w:type="auto"/>
            <w:gridSpan w:val="3"/>
            <w:shd w:val="clear" w:color="auto" w:fill="auto"/>
            <w:vAlign w:val="bottom"/>
          </w:tcPr>
          <w:p w14:paraId="392C7336" w14:textId="77777777" w:rsidR="00980E5F" w:rsidRDefault="00980E5F">
            <w:pPr>
              <w:rPr>
                <w:rFonts w:ascii="宋体"/>
                <w:vanish/>
              </w:rPr>
            </w:pPr>
          </w:p>
        </w:tc>
        <w:tc>
          <w:tcPr>
            <w:tcW w:w="0" w:type="auto"/>
            <w:gridSpan w:val="3"/>
            <w:shd w:val="clear" w:color="auto" w:fill="auto"/>
            <w:vAlign w:val="bottom"/>
          </w:tcPr>
          <w:p w14:paraId="392C7337" w14:textId="77777777" w:rsidR="00980E5F" w:rsidRDefault="00980E5F">
            <w:pPr>
              <w:rPr>
                <w:rFonts w:ascii="宋体"/>
                <w:vanish/>
              </w:rPr>
            </w:pPr>
          </w:p>
        </w:tc>
        <w:tc>
          <w:tcPr>
            <w:tcW w:w="0" w:type="auto"/>
            <w:gridSpan w:val="3"/>
            <w:shd w:val="clear" w:color="auto" w:fill="auto"/>
            <w:vAlign w:val="bottom"/>
          </w:tcPr>
          <w:p w14:paraId="392C7338" w14:textId="77777777" w:rsidR="00980E5F" w:rsidRDefault="00980E5F">
            <w:pPr>
              <w:rPr>
                <w:rFonts w:ascii="宋体"/>
                <w:vanish/>
              </w:rPr>
            </w:pPr>
          </w:p>
        </w:tc>
        <w:tc>
          <w:tcPr>
            <w:tcW w:w="0" w:type="auto"/>
            <w:gridSpan w:val="3"/>
            <w:shd w:val="clear" w:color="auto" w:fill="auto"/>
            <w:vAlign w:val="bottom"/>
          </w:tcPr>
          <w:p w14:paraId="392C7339" w14:textId="77777777" w:rsidR="00980E5F" w:rsidRDefault="00980E5F">
            <w:pPr>
              <w:rPr>
                <w:rFonts w:ascii="宋体"/>
                <w:vanish/>
              </w:rPr>
            </w:pPr>
          </w:p>
        </w:tc>
      </w:tr>
      <w:tr w:rsidR="00980E5F" w14:paraId="392C734D" w14:textId="77777777">
        <w:trPr>
          <w:hidden/>
        </w:trPr>
        <w:tc>
          <w:tcPr>
            <w:tcW w:w="0" w:type="auto"/>
            <w:gridSpan w:val="3"/>
            <w:shd w:val="clear" w:color="auto" w:fill="auto"/>
            <w:vAlign w:val="bottom"/>
          </w:tcPr>
          <w:p w14:paraId="392C733B" w14:textId="77777777" w:rsidR="00980E5F" w:rsidRDefault="00980E5F">
            <w:pPr>
              <w:rPr>
                <w:rFonts w:ascii="宋体"/>
                <w:vanish/>
              </w:rPr>
            </w:pPr>
          </w:p>
        </w:tc>
        <w:tc>
          <w:tcPr>
            <w:tcW w:w="0" w:type="auto"/>
            <w:gridSpan w:val="3"/>
            <w:shd w:val="clear" w:color="auto" w:fill="auto"/>
            <w:vAlign w:val="bottom"/>
          </w:tcPr>
          <w:p w14:paraId="392C733C" w14:textId="77777777" w:rsidR="00980E5F" w:rsidRDefault="00980E5F">
            <w:pPr>
              <w:rPr>
                <w:rFonts w:ascii="宋体"/>
                <w:vanish/>
              </w:rPr>
            </w:pPr>
          </w:p>
        </w:tc>
        <w:tc>
          <w:tcPr>
            <w:tcW w:w="0" w:type="auto"/>
            <w:gridSpan w:val="3"/>
            <w:shd w:val="clear" w:color="auto" w:fill="auto"/>
            <w:vAlign w:val="bottom"/>
          </w:tcPr>
          <w:p w14:paraId="392C733D" w14:textId="77777777" w:rsidR="00980E5F" w:rsidRDefault="00980E5F">
            <w:pPr>
              <w:rPr>
                <w:rFonts w:ascii="宋体"/>
                <w:vanish/>
              </w:rPr>
            </w:pPr>
          </w:p>
        </w:tc>
        <w:tc>
          <w:tcPr>
            <w:tcW w:w="0" w:type="auto"/>
            <w:gridSpan w:val="3"/>
            <w:shd w:val="clear" w:color="auto" w:fill="auto"/>
            <w:vAlign w:val="bottom"/>
          </w:tcPr>
          <w:p w14:paraId="392C733E" w14:textId="77777777" w:rsidR="00980E5F" w:rsidRDefault="00980E5F">
            <w:pPr>
              <w:rPr>
                <w:rFonts w:ascii="宋体"/>
                <w:vanish/>
              </w:rPr>
            </w:pPr>
          </w:p>
        </w:tc>
        <w:tc>
          <w:tcPr>
            <w:tcW w:w="0" w:type="auto"/>
            <w:gridSpan w:val="3"/>
            <w:shd w:val="clear" w:color="auto" w:fill="auto"/>
            <w:vAlign w:val="bottom"/>
          </w:tcPr>
          <w:p w14:paraId="392C733F" w14:textId="77777777" w:rsidR="00980E5F" w:rsidRDefault="00980E5F">
            <w:pPr>
              <w:rPr>
                <w:rFonts w:ascii="宋体"/>
                <w:vanish/>
              </w:rPr>
            </w:pPr>
          </w:p>
        </w:tc>
        <w:tc>
          <w:tcPr>
            <w:tcW w:w="0" w:type="auto"/>
            <w:gridSpan w:val="3"/>
            <w:shd w:val="clear" w:color="auto" w:fill="auto"/>
            <w:vAlign w:val="bottom"/>
          </w:tcPr>
          <w:p w14:paraId="392C7340" w14:textId="77777777" w:rsidR="00980E5F" w:rsidRDefault="00980E5F">
            <w:pPr>
              <w:rPr>
                <w:rFonts w:ascii="宋体"/>
                <w:vanish/>
              </w:rPr>
            </w:pPr>
          </w:p>
        </w:tc>
        <w:tc>
          <w:tcPr>
            <w:tcW w:w="0" w:type="auto"/>
            <w:gridSpan w:val="3"/>
            <w:shd w:val="clear" w:color="auto" w:fill="auto"/>
            <w:vAlign w:val="bottom"/>
          </w:tcPr>
          <w:p w14:paraId="392C7341" w14:textId="77777777" w:rsidR="00980E5F" w:rsidRDefault="00980E5F">
            <w:pPr>
              <w:rPr>
                <w:rFonts w:ascii="宋体"/>
                <w:vanish/>
              </w:rPr>
            </w:pPr>
          </w:p>
        </w:tc>
        <w:tc>
          <w:tcPr>
            <w:tcW w:w="0" w:type="auto"/>
            <w:gridSpan w:val="3"/>
            <w:shd w:val="clear" w:color="auto" w:fill="auto"/>
            <w:vAlign w:val="bottom"/>
          </w:tcPr>
          <w:p w14:paraId="392C7342" w14:textId="77777777" w:rsidR="00980E5F" w:rsidRDefault="00980E5F">
            <w:pPr>
              <w:rPr>
                <w:rFonts w:ascii="宋体"/>
                <w:vanish/>
              </w:rPr>
            </w:pPr>
          </w:p>
        </w:tc>
        <w:tc>
          <w:tcPr>
            <w:tcW w:w="0" w:type="auto"/>
            <w:gridSpan w:val="3"/>
            <w:shd w:val="clear" w:color="auto" w:fill="auto"/>
            <w:vAlign w:val="bottom"/>
          </w:tcPr>
          <w:p w14:paraId="392C7343" w14:textId="77777777" w:rsidR="00980E5F" w:rsidRDefault="00980E5F">
            <w:pPr>
              <w:rPr>
                <w:rFonts w:ascii="宋体"/>
                <w:vanish/>
              </w:rPr>
            </w:pPr>
          </w:p>
        </w:tc>
        <w:tc>
          <w:tcPr>
            <w:tcW w:w="0" w:type="auto"/>
            <w:gridSpan w:val="3"/>
            <w:shd w:val="clear" w:color="auto" w:fill="auto"/>
            <w:vAlign w:val="bottom"/>
          </w:tcPr>
          <w:p w14:paraId="392C7344" w14:textId="77777777" w:rsidR="00980E5F" w:rsidRDefault="00980E5F">
            <w:pPr>
              <w:rPr>
                <w:rFonts w:ascii="宋体"/>
                <w:vanish/>
              </w:rPr>
            </w:pPr>
          </w:p>
        </w:tc>
        <w:tc>
          <w:tcPr>
            <w:tcW w:w="0" w:type="auto"/>
            <w:gridSpan w:val="3"/>
            <w:shd w:val="clear" w:color="auto" w:fill="auto"/>
            <w:vAlign w:val="bottom"/>
          </w:tcPr>
          <w:p w14:paraId="392C7345" w14:textId="77777777" w:rsidR="00980E5F" w:rsidRDefault="00980E5F">
            <w:pPr>
              <w:rPr>
                <w:rFonts w:ascii="宋体"/>
                <w:vanish/>
              </w:rPr>
            </w:pPr>
          </w:p>
        </w:tc>
        <w:tc>
          <w:tcPr>
            <w:tcW w:w="0" w:type="auto"/>
            <w:shd w:val="clear" w:color="auto" w:fill="auto"/>
            <w:vAlign w:val="bottom"/>
          </w:tcPr>
          <w:p w14:paraId="392C7346" w14:textId="77777777" w:rsidR="00980E5F" w:rsidRDefault="00980E5F">
            <w:pPr>
              <w:rPr>
                <w:rFonts w:ascii="宋体"/>
                <w:vanish/>
              </w:rPr>
            </w:pPr>
          </w:p>
        </w:tc>
        <w:tc>
          <w:tcPr>
            <w:tcW w:w="0" w:type="auto"/>
            <w:shd w:val="clear" w:color="auto" w:fill="auto"/>
            <w:vAlign w:val="bottom"/>
          </w:tcPr>
          <w:p w14:paraId="392C7347" w14:textId="77777777" w:rsidR="00980E5F" w:rsidRDefault="00980E5F">
            <w:pPr>
              <w:rPr>
                <w:rFonts w:ascii="宋体"/>
                <w:vanish/>
              </w:rPr>
            </w:pPr>
          </w:p>
        </w:tc>
        <w:tc>
          <w:tcPr>
            <w:tcW w:w="0" w:type="auto"/>
            <w:gridSpan w:val="3"/>
            <w:shd w:val="clear" w:color="auto" w:fill="auto"/>
            <w:vAlign w:val="bottom"/>
          </w:tcPr>
          <w:p w14:paraId="392C7348" w14:textId="77777777" w:rsidR="00980E5F" w:rsidRDefault="00980E5F">
            <w:pPr>
              <w:rPr>
                <w:rFonts w:ascii="宋体"/>
                <w:vanish/>
              </w:rPr>
            </w:pPr>
          </w:p>
        </w:tc>
        <w:tc>
          <w:tcPr>
            <w:tcW w:w="0" w:type="auto"/>
            <w:gridSpan w:val="3"/>
            <w:shd w:val="clear" w:color="auto" w:fill="auto"/>
            <w:vAlign w:val="bottom"/>
          </w:tcPr>
          <w:p w14:paraId="392C7349" w14:textId="77777777" w:rsidR="00980E5F" w:rsidRDefault="00980E5F">
            <w:pPr>
              <w:rPr>
                <w:rFonts w:ascii="宋体"/>
                <w:vanish/>
              </w:rPr>
            </w:pPr>
          </w:p>
        </w:tc>
        <w:tc>
          <w:tcPr>
            <w:tcW w:w="0" w:type="auto"/>
            <w:gridSpan w:val="3"/>
            <w:shd w:val="clear" w:color="auto" w:fill="auto"/>
            <w:vAlign w:val="bottom"/>
          </w:tcPr>
          <w:p w14:paraId="392C734A" w14:textId="77777777" w:rsidR="00980E5F" w:rsidRDefault="00980E5F">
            <w:pPr>
              <w:rPr>
                <w:rFonts w:ascii="宋体"/>
                <w:vanish/>
              </w:rPr>
            </w:pPr>
          </w:p>
        </w:tc>
        <w:tc>
          <w:tcPr>
            <w:tcW w:w="0" w:type="auto"/>
            <w:gridSpan w:val="3"/>
            <w:shd w:val="clear" w:color="auto" w:fill="auto"/>
            <w:vAlign w:val="bottom"/>
          </w:tcPr>
          <w:p w14:paraId="392C734B" w14:textId="77777777" w:rsidR="00980E5F" w:rsidRDefault="00980E5F">
            <w:pPr>
              <w:rPr>
                <w:rFonts w:ascii="宋体"/>
                <w:vanish/>
              </w:rPr>
            </w:pPr>
          </w:p>
        </w:tc>
        <w:tc>
          <w:tcPr>
            <w:tcW w:w="0" w:type="auto"/>
            <w:gridSpan w:val="3"/>
            <w:shd w:val="clear" w:color="auto" w:fill="auto"/>
            <w:vAlign w:val="bottom"/>
          </w:tcPr>
          <w:p w14:paraId="392C734C" w14:textId="77777777" w:rsidR="00980E5F" w:rsidRDefault="00980E5F">
            <w:pPr>
              <w:rPr>
                <w:rFonts w:ascii="宋体"/>
                <w:vanish/>
              </w:rPr>
            </w:pPr>
          </w:p>
        </w:tc>
      </w:tr>
      <w:tr w:rsidR="00980E5F" w14:paraId="392C7360" w14:textId="77777777">
        <w:trPr>
          <w:hidden/>
        </w:trPr>
        <w:tc>
          <w:tcPr>
            <w:tcW w:w="0" w:type="auto"/>
            <w:gridSpan w:val="3"/>
            <w:shd w:val="clear" w:color="auto" w:fill="auto"/>
            <w:vAlign w:val="bottom"/>
          </w:tcPr>
          <w:p w14:paraId="392C734E" w14:textId="77777777" w:rsidR="00980E5F" w:rsidRDefault="00980E5F">
            <w:pPr>
              <w:rPr>
                <w:rFonts w:ascii="宋体"/>
                <w:vanish/>
              </w:rPr>
            </w:pPr>
          </w:p>
        </w:tc>
        <w:tc>
          <w:tcPr>
            <w:tcW w:w="0" w:type="auto"/>
            <w:gridSpan w:val="3"/>
            <w:shd w:val="clear" w:color="auto" w:fill="auto"/>
            <w:vAlign w:val="bottom"/>
          </w:tcPr>
          <w:p w14:paraId="392C734F" w14:textId="77777777" w:rsidR="00980E5F" w:rsidRDefault="00980E5F">
            <w:pPr>
              <w:rPr>
                <w:rFonts w:ascii="宋体"/>
                <w:vanish/>
              </w:rPr>
            </w:pPr>
          </w:p>
        </w:tc>
        <w:tc>
          <w:tcPr>
            <w:tcW w:w="0" w:type="auto"/>
            <w:gridSpan w:val="3"/>
            <w:shd w:val="clear" w:color="auto" w:fill="auto"/>
            <w:vAlign w:val="bottom"/>
          </w:tcPr>
          <w:p w14:paraId="392C7350" w14:textId="77777777" w:rsidR="00980E5F" w:rsidRDefault="00980E5F">
            <w:pPr>
              <w:rPr>
                <w:rFonts w:ascii="宋体"/>
                <w:vanish/>
              </w:rPr>
            </w:pPr>
          </w:p>
        </w:tc>
        <w:tc>
          <w:tcPr>
            <w:tcW w:w="0" w:type="auto"/>
            <w:gridSpan w:val="3"/>
            <w:shd w:val="clear" w:color="auto" w:fill="auto"/>
            <w:vAlign w:val="bottom"/>
          </w:tcPr>
          <w:p w14:paraId="392C7351" w14:textId="77777777" w:rsidR="00980E5F" w:rsidRDefault="00980E5F">
            <w:pPr>
              <w:rPr>
                <w:rFonts w:ascii="宋体"/>
                <w:vanish/>
              </w:rPr>
            </w:pPr>
          </w:p>
        </w:tc>
        <w:tc>
          <w:tcPr>
            <w:tcW w:w="0" w:type="auto"/>
            <w:gridSpan w:val="3"/>
            <w:shd w:val="clear" w:color="auto" w:fill="auto"/>
            <w:vAlign w:val="bottom"/>
          </w:tcPr>
          <w:p w14:paraId="392C7352" w14:textId="77777777" w:rsidR="00980E5F" w:rsidRDefault="00980E5F">
            <w:pPr>
              <w:rPr>
                <w:rFonts w:ascii="宋体"/>
                <w:vanish/>
              </w:rPr>
            </w:pPr>
          </w:p>
        </w:tc>
        <w:tc>
          <w:tcPr>
            <w:tcW w:w="0" w:type="auto"/>
            <w:gridSpan w:val="3"/>
            <w:shd w:val="clear" w:color="auto" w:fill="auto"/>
            <w:vAlign w:val="bottom"/>
          </w:tcPr>
          <w:p w14:paraId="392C7353" w14:textId="77777777" w:rsidR="00980E5F" w:rsidRDefault="00980E5F">
            <w:pPr>
              <w:rPr>
                <w:rFonts w:ascii="宋体"/>
                <w:vanish/>
              </w:rPr>
            </w:pPr>
          </w:p>
        </w:tc>
        <w:tc>
          <w:tcPr>
            <w:tcW w:w="0" w:type="auto"/>
            <w:gridSpan w:val="3"/>
            <w:shd w:val="clear" w:color="auto" w:fill="auto"/>
            <w:vAlign w:val="bottom"/>
          </w:tcPr>
          <w:p w14:paraId="392C7354" w14:textId="77777777" w:rsidR="00980E5F" w:rsidRDefault="00980E5F">
            <w:pPr>
              <w:rPr>
                <w:rFonts w:ascii="宋体"/>
                <w:vanish/>
              </w:rPr>
            </w:pPr>
          </w:p>
        </w:tc>
        <w:tc>
          <w:tcPr>
            <w:tcW w:w="0" w:type="auto"/>
            <w:gridSpan w:val="3"/>
            <w:shd w:val="clear" w:color="auto" w:fill="auto"/>
            <w:vAlign w:val="bottom"/>
          </w:tcPr>
          <w:p w14:paraId="392C7355" w14:textId="77777777" w:rsidR="00980E5F" w:rsidRDefault="00980E5F">
            <w:pPr>
              <w:rPr>
                <w:rFonts w:ascii="宋体"/>
                <w:vanish/>
              </w:rPr>
            </w:pPr>
          </w:p>
        </w:tc>
        <w:tc>
          <w:tcPr>
            <w:tcW w:w="0" w:type="auto"/>
            <w:gridSpan w:val="3"/>
            <w:shd w:val="clear" w:color="auto" w:fill="auto"/>
            <w:vAlign w:val="bottom"/>
          </w:tcPr>
          <w:p w14:paraId="392C7356" w14:textId="77777777" w:rsidR="00980E5F" w:rsidRDefault="00980E5F">
            <w:pPr>
              <w:rPr>
                <w:rFonts w:ascii="宋体"/>
                <w:vanish/>
              </w:rPr>
            </w:pPr>
          </w:p>
        </w:tc>
        <w:tc>
          <w:tcPr>
            <w:tcW w:w="0" w:type="auto"/>
            <w:gridSpan w:val="3"/>
            <w:shd w:val="clear" w:color="auto" w:fill="auto"/>
            <w:vAlign w:val="bottom"/>
          </w:tcPr>
          <w:p w14:paraId="392C7357" w14:textId="77777777" w:rsidR="00980E5F" w:rsidRDefault="00980E5F">
            <w:pPr>
              <w:rPr>
                <w:rFonts w:ascii="宋体"/>
                <w:vanish/>
              </w:rPr>
            </w:pPr>
          </w:p>
        </w:tc>
        <w:tc>
          <w:tcPr>
            <w:tcW w:w="0" w:type="auto"/>
            <w:gridSpan w:val="3"/>
            <w:shd w:val="clear" w:color="auto" w:fill="auto"/>
            <w:vAlign w:val="bottom"/>
          </w:tcPr>
          <w:p w14:paraId="392C7358" w14:textId="77777777" w:rsidR="00980E5F" w:rsidRDefault="00980E5F">
            <w:pPr>
              <w:rPr>
                <w:rFonts w:ascii="宋体"/>
                <w:vanish/>
              </w:rPr>
            </w:pPr>
          </w:p>
        </w:tc>
        <w:tc>
          <w:tcPr>
            <w:tcW w:w="0" w:type="auto"/>
            <w:shd w:val="clear" w:color="auto" w:fill="auto"/>
            <w:vAlign w:val="bottom"/>
          </w:tcPr>
          <w:p w14:paraId="392C7359" w14:textId="77777777" w:rsidR="00980E5F" w:rsidRDefault="00980E5F">
            <w:pPr>
              <w:rPr>
                <w:rFonts w:ascii="宋体"/>
                <w:vanish/>
              </w:rPr>
            </w:pPr>
          </w:p>
        </w:tc>
        <w:tc>
          <w:tcPr>
            <w:tcW w:w="0" w:type="auto"/>
            <w:shd w:val="clear" w:color="auto" w:fill="auto"/>
            <w:vAlign w:val="bottom"/>
          </w:tcPr>
          <w:p w14:paraId="392C735A" w14:textId="77777777" w:rsidR="00980E5F" w:rsidRDefault="00980E5F">
            <w:pPr>
              <w:rPr>
                <w:rFonts w:ascii="宋体"/>
                <w:vanish/>
              </w:rPr>
            </w:pPr>
          </w:p>
        </w:tc>
        <w:tc>
          <w:tcPr>
            <w:tcW w:w="0" w:type="auto"/>
            <w:gridSpan w:val="3"/>
            <w:shd w:val="clear" w:color="auto" w:fill="auto"/>
            <w:vAlign w:val="bottom"/>
          </w:tcPr>
          <w:p w14:paraId="392C735B" w14:textId="77777777" w:rsidR="00980E5F" w:rsidRDefault="00980E5F">
            <w:pPr>
              <w:rPr>
                <w:rFonts w:ascii="宋体"/>
                <w:vanish/>
              </w:rPr>
            </w:pPr>
          </w:p>
        </w:tc>
        <w:tc>
          <w:tcPr>
            <w:tcW w:w="0" w:type="auto"/>
            <w:gridSpan w:val="3"/>
            <w:shd w:val="clear" w:color="auto" w:fill="auto"/>
            <w:vAlign w:val="bottom"/>
          </w:tcPr>
          <w:p w14:paraId="392C735C" w14:textId="77777777" w:rsidR="00980E5F" w:rsidRDefault="00980E5F">
            <w:pPr>
              <w:rPr>
                <w:rFonts w:ascii="宋体"/>
                <w:vanish/>
              </w:rPr>
            </w:pPr>
          </w:p>
        </w:tc>
        <w:tc>
          <w:tcPr>
            <w:tcW w:w="0" w:type="auto"/>
            <w:gridSpan w:val="3"/>
            <w:shd w:val="clear" w:color="auto" w:fill="auto"/>
            <w:vAlign w:val="bottom"/>
          </w:tcPr>
          <w:p w14:paraId="392C735D" w14:textId="77777777" w:rsidR="00980E5F" w:rsidRDefault="00980E5F">
            <w:pPr>
              <w:rPr>
                <w:rFonts w:ascii="宋体"/>
                <w:vanish/>
              </w:rPr>
            </w:pPr>
          </w:p>
        </w:tc>
        <w:tc>
          <w:tcPr>
            <w:tcW w:w="0" w:type="auto"/>
            <w:gridSpan w:val="3"/>
            <w:shd w:val="clear" w:color="auto" w:fill="auto"/>
            <w:vAlign w:val="bottom"/>
          </w:tcPr>
          <w:p w14:paraId="392C735E" w14:textId="77777777" w:rsidR="00980E5F" w:rsidRDefault="00980E5F">
            <w:pPr>
              <w:rPr>
                <w:rFonts w:ascii="宋体"/>
                <w:vanish/>
              </w:rPr>
            </w:pPr>
          </w:p>
        </w:tc>
        <w:tc>
          <w:tcPr>
            <w:tcW w:w="0" w:type="auto"/>
            <w:gridSpan w:val="3"/>
            <w:shd w:val="clear" w:color="auto" w:fill="auto"/>
            <w:vAlign w:val="bottom"/>
          </w:tcPr>
          <w:p w14:paraId="392C735F" w14:textId="77777777" w:rsidR="00980E5F" w:rsidRDefault="00980E5F">
            <w:pPr>
              <w:rPr>
                <w:rFonts w:ascii="宋体"/>
                <w:vanish/>
              </w:rPr>
            </w:pPr>
          </w:p>
        </w:tc>
      </w:tr>
      <w:tr w:rsidR="00980E5F" w14:paraId="392C7373" w14:textId="77777777">
        <w:trPr>
          <w:hidden/>
        </w:trPr>
        <w:tc>
          <w:tcPr>
            <w:tcW w:w="0" w:type="auto"/>
            <w:gridSpan w:val="3"/>
            <w:shd w:val="clear" w:color="auto" w:fill="auto"/>
            <w:vAlign w:val="bottom"/>
          </w:tcPr>
          <w:p w14:paraId="392C7361" w14:textId="77777777" w:rsidR="00980E5F" w:rsidRDefault="00980E5F">
            <w:pPr>
              <w:rPr>
                <w:rFonts w:ascii="宋体"/>
                <w:vanish/>
              </w:rPr>
            </w:pPr>
          </w:p>
        </w:tc>
        <w:tc>
          <w:tcPr>
            <w:tcW w:w="0" w:type="auto"/>
            <w:gridSpan w:val="3"/>
            <w:shd w:val="clear" w:color="auto" w:fill="auto"/>
            <w:vAlign w:val="bottom"/>
          </w:tcPr>
          <w:p w14:paraId="392C7362" w14:textId="77777777" w:rsidR="00980E5F" w:rsidRDefault="00980E5F">
            <w:pPr>
              <w:rPr>
                <w:rFonts w:ascii="宋体"/>
                <w:vanish/>
              </w:rPr>
            </w:pPr>
          </w:p>
        </w:tc>
        <w:tc>
          <w:tcPr>
            <w:tcW w:w="0" w:type="auto"/>
            <w:gridSpan w:val="3"/>
            <w:shd w:val="clear" w:color="auto" w:fill="auto"/>
            <w:vAlign w:val="bottom"/>
          </w:tcPr>
          <w:p w14:paraId="392C7363" w14:textId="77777777" w:rsidR="00980E5F" w:rsidRDefault="00980E5F">
            <w:pPr>
              <w:rPr>
                <w:rFonts w:ascii="宋体"/>
                <w:vanish/>
              </w:rPr>
            </w:pPr>
          </w:p>
        </w:tc>
        <w:tc>
          <w:tcPr>
            <w:tcW w:w="0" w:type="auto"/>
            <w:gridSpan w:val="3"/>
            <w:shd w:val="clear" w:color="auto" w:fill="auto"/>
            <w:vAlign w:val="bottom"/>
          </w:tcPr>
          <w:p w14:paraId="392C7364" w14:textId="77777777" w:rsidR="00980E5F" w:rsidRDefault="00980E5F">
            <w:pPr>
              <w:rPr>
                <w:rFonts w:ascii="宋体"/>
                <w:vanish/>
              </w:rPr>
            </w:pPr>
          </w:p>
        </w:tc>
        <w:tc>
          <w:tcPr>
            <w:tcW w:w="0" w:type="auto"/>
            <w:gridSpan w:val="3"/>
            <w:shd w:val="clear" w:color="auto" w:fill="auto"/>
            <w:vAlign w:val="bottom"/>
          </w:tcPr>
          <w:p w14:paraId="392C7365" w14:textId="77777777" w:rsidR="00980E5F" w:rsidRDefault="00980E5F">
            <w:pPr>
              <w:rPr>
                <w:rFonts w:ascii="宋体"/>
                <w:vanish/>
              </w:rPr>
            </w:pPr>
          </w:p>
        </w:tc>
        <w:tc>
          <w:tcPr>
            <w:tcW w:w="0" w:type="auto"/>
            <w:gridSpan w:val="3"/>
            <w:shd w:val="clear" w:color="auto" w:fill="auto"/>
            <w:vAlign w:val="bottom"/>
          </w:tcPr>
          <w:p w14:paraId="392C7366" w14:textId="77777777" w:rsidR="00980E5F" w:rsidRDefault="00980E5F">
            <w:pPr>
              <w:rPr>
                <w:rFonts w:ascii="宋体"/>
                <w:vanish/>
              </w:rPr>
            </w:pPr>
          </w:p>
        </w:tc>
        <w:tc>
          <w:tcPr>
            <w:tcW w:w="0" w:type="auto"/>
            <w:gridSpan w:val="3"/>
            <w:shd w:val="clear" w:color="auto" w:fill="auto"/>
            <w:vAlign w:val="bottom"/>
          </w:tcPr>
          <w:p w14:paraId="392C7367" w14:textId="77777777" w:rsidR="00980E5F" w:rsidRDefault="00980E5F">
            <w:pPr>
              <w:rPr>
                <w:rFonts w:ascii="宋体"/>
                <w:vanish/>
              </w:rPr>
            </w:pPr>
          </w:p>
        </w:tc>
        <w:tc>
          <w:tcPr>
            <w:tcW w:w="0" w:type="auto"/>
            <w:gridSpan w:val="3"/>
            <w:shd w:val="clear" w:color="auto" w:fill="auto"/>
            <w:vAlign w:val="bottom"/>
          </w:tcPr>
          <w:p w14:paraId="392C7368" w14:textId="77777777" w:rsidR="00980E5F" w:rsidRDefault="00980E5F">
            <w:pPr>
              <w:rPr>
                <w:rFonts w:ascii="宋体"/>
                <w:vanish/>
              </w:rPr>
            </w:pPr>
          </w:p>
        </w:tc>
        <w:tc>
          <w:tcPr>
            <w:tcW w:w="0" w:type="auto"/>
            <w:gridSpan w:val="3"/>
            <w:shd w:val="clear" w:color="auto" w:fill="auto"/>
            <w:vAlign w:val="bottom"/>
          </w:tcPr>
          <w:p w14:paraId="392C7369" w14:textId="77777777" w:rsidR="00980E5F" w:rsidRDefault="00980E5F">
            <w:pPr>
              <w:rPr>
                <w:rFonts w:ascii="宋体"/>
                <w:vanish/>
              </w:rPr>
            </w:pPr>
          </w:p>
        </w:tc>
        <w:tc>
          <w:tcPr>
            <w:tcW w:w="0" w:type="auto"/>
            <w:gridSpan w:val="3"/>
            <w:shd w:val="clear" w:color="auto" w:fill="auto"/>
            <w:vAlign w:val="bottom"/>
          </w:tcPr>
          <w:p w14:paraId="392C736A" w14:textId="77777777" w:rsidR="00980E5F" w:rsidRDefault="00980E5F">
            <w:pPr>
              <w:rPr>
                <w:rFonts w:ascii="宋体"/>
                <w:vanish/>
              </w:rPr>
            </w:pPr>
          </w:p>
        </w:tc>
        <w:tc>
          <w:tcPr>
            <w:tcW w:w="0" w:type="auto"/>
            <w:gridSpan w:val="3"/>
            <w:shd w:val="clear" w:color="auto" w:fill="auto"/>
            <w:vAlign w:val="bottom"/>
          </w:tcPr>
          <w:p w14:paraId="392C736B" w14:textId="77777777" w:rsidR="00980E5F" w:rsidRDefault="00980E5F">
            <w:pPr>
              <w:rPr>
                <w:rFonts w:ascii="宋体"/>
                <w:vanish/>
              </w:rPr>
            </w:pPr>
          </w:p>
        </w:tc>
        <w:tc>
          <w:tcPr>
            <w:tcW w:w="0" w:type="auto"/>
            <w:shd w:val="clear" w:color="auto" w:fill="auto"/>
            <w:vAlign w:val="bottom"/>
          </w:tcPr>
          <w:p w14:paraId="392C736C" w14:textId="77777777" w:rsidR="00980E5F" w:rsidRDefault="00980E5F">
            <w:pPr>
              <w:rPr>
                <w:rFonts w:ascii="宋体"/>
                <w:vanish/>
              </w:rPr>
            </w:pPr>
          </w:p>
        </w:tc>
        <w:tc>
          <w:tcPr>
            <w:tcW w:w="0" w:type="auto"/>
            <w:shd w:val="clear" w:color="auto" w:fill="auto"/>
            <w:vAlign w:val="bottom"/>
          </w:tcPr>
          <w:p w14:paraId="392C736D" w14:textId="77777777" w:rsidR="00980E5F" w:rsidRDefault="00980E5F">
            <w:pPr>
              <w:rPr>
                <w:rFonts w:ascii="宋体"/>
                <w:vanish/>
              </w:rPr>
            </w:pPr>
          </w:p>
        </w:tc>
        <w:tc>
          <w:tcPr>
            <w:tcW w:w="0" w:type="auto"/>
            <w:gridSpan w:val="3"/>
            <w:shd w:val="clear" w:color="auto" w:fill="auto"/>
            <w:vAlign w:val="bottom"/>
          </w:tcPr>
          <w:p w14:paraId="392C736E" w14:textId="77777777" w:rsidR="00980E5F" w:rsidRDefault="00980E5F">
            <w:pPr>
              <w:rPr>
                <w:rFonts w:ascii="宋体"/>
                <w:vanish/>
              </w:rPr>
            </w:pPr>
          </w:p>
        </w:tc>
        <w:tc>
          <w:tcPr>
            <w:tcW w:w="0" w:type="auto"/>
            <w:gridSpan w:val="3"/>
            <w:shd w:val="clear" w:color="auto" w:fill="auto"/>
            <w:vAlign w:val="bottom"/>
          </w:tcPr>
          <w:p w14:paraId="392C736F" w14:textId="77777777" w:rsidR="00980E5F" w:rsidRDefault="00980E5F">
            <w:pPr>
              <w:rPr>
                <w:rFonts w:ascii="宋体"/>
                <w:vanish/>
              </w:rPr>
            </w:pPr>
          </w:p>
        </w:tc>
        <w:tc>
          <w:tcPr>
            <w:tcW w:w="0" w:type="auto"/>
            <w:gridSpan w:val="3"/>
            <w:shd w:val="clear" w:color="auto" w:fill="auto"/>
            <w:vAlign w:val="bottom"/>
          </w:tcPr>
          <w:p w14:paraId="392C7370" w14:textId="77777777" w:rsidR="00980E5F" w:rsidRDefault="00980E5F">
            <w:pPr>
              <w:rPr>
                <w:rFonts w:ascii="宋体"/>
                <w:vanish/>
              </w:rPr>
            </w:pPr>
          </w:p>
        </w:tc>
        <w:tc>
          <w:tcPr>
            <w:tcW w:w="0" w:type="auto"/>
            <w:gridSpan w:val="3"/>
            <w:shd w:val="clear" w:color="auto" w:fill="auto"/>
            <w:vAlign w:val="bottom"/>
          </w:tcPr>
          <w:p w14:paraId="392C7371" w14:textId="77777777" w:rsidR="00980E5F" w:rsidRDefault="00980E5F">
            <w:pPr>
              <w:rPr>
                <w:rFonts w:ascii="宋体"/>
                <w:vanish/>
              </w:rPr>
            </w:pPr>
          </w:p>
        </w:tc>
        <w:tc>
          <w:tcPr>
            <w:tcW w:w="0" w:type="auto"/>
            <w:gridSpan w:val="3"/>
            <w:shd w:val="clear" w:color="auto" w:fill="auto"/>
            <w:vAlign w:val="bottom"/>
          </w:tcPr>
          <w:p w14:paraId="392C7372" w14:textId="77777777" w:rsidR="00980E5F" w:rsidRDefault="00980E5F">
            <w:pPr>
              <w:rPr>
                <w:rFonts w:ascii="宋体"/>
                <w:vanish/>
              </w:rPr>
            </w:pPr>
          </w:p>
        </w:tc>
      </w:tr>
      <w:tr w:rsidR="00980E5F" w14:paraId="392C7386" w14:textId="77777777">
        <w:trPr>
          <w:hidden/>
        </w:trPr>
        <w:tc>
          <w:tcPr>
            <w:tcW w:w="0" w:type="auto"/>
            <w:gridSpan w:val="3"/>
            <w:shd w:val="clear" w:color="auto" w:fill="auto"/>
            <w:vAlign w:val="bottom"/>
          </w:tcPr>
          <w:p w14:paraId="392C7374" w14:textId="77777777" w:rsidR="00980E5F" w:rsidRDefault="00980E5F">
            <w:pPr>
              <w:rPr>
                <w:rFonts w:ascii="宋体"/>
                <w:vanish/>
              </w:rPr>
            </w:pPr>
          </w:p>
        </w:tc>
        <w:tc>
          <w:tcPr>
            <w:tcW w:w="0" w:type="auto"/>
            <w:gridSpan w:val="3"/>
            <w:shd w:val="clear" w:color="auto" w:fill="auto"/>
            <w:vAlign w:val="bottom"/>
          </w:tcPr>
          <w:p w14:paraId="392C7375" w14:textId="77777777" w:rsidR="00980E5F" w:rsidRDefault="00980E5F">
            <w:pPr>
              <w:rPr>
                <w:rFonts w:ascii="宋体"/>
                <w:vanish/>
              </w:rPr>
            </w:pPr>
          </w:p>
        </w:tc>
        <w:tc>
          <w:tcPr>
            <w:tcW w:w="0" w:type="auto"/>
            <w:gridSpan w:val="3"/>
            <w:shd w:val="clear" w:color="auto" w:fill="auto"/>
            <w:vAlign w:val="bottom"/>
          </w:tcPr>
          <w:p w14:paraId="392C7376" w14:textId="77777777" w:rsidR="00980E5F" w:rsidRDefault="00980E5F">
            <w:pPr>
              <w:rPr>
                <w:rFonts w:ascii="宋体"/>
                <w:vanish/>
              </w:rPr>
            </w:pPr>
          </w:p>
        </w:tc>
        <w:tc>
          <w:tcPr>
            <w:tcW w:w="0" w:type="auto"/>
            <w:gridSpan w:val="3"/>
            <w:shd w:val="clear" w:color="auto" w:fill="auto"/>
            <w:vAlign w:val="bottom"/>
          </w:tcPr>
          <w:p w14:paraId="392C7377" w14:textId="77777777" w:rsidR="00980E5F" w:rsidRDefault="00980E5F">
            <w:pPr>
              <w:rPr>
                <w:rFonts w:ascii="宋体"/>
                <w:vanish/>
              </w:rPr>
            </w:pPr>
          </w:p>
        </w:tc>
        <w:tc>
          <w:tcPr>
            <w:tcW w:w="0" w:type="auto"/>
            <w:gridSpan w:val="3"/>
            <w:shd w:val="clear" w:color="auto" w:fill="auto"/>
            <w:vAlign w:val="bottom"/>
          </w:tcPr>
          <w:p w14:paraId="392C7378" w14:textId="77777777" w:rsidR="00980E5F" w:rsidRDefault="00980E5F">
            <w:pPr>
              <w:rPr>
                <w:rFonts w:ascii="宋体"/>
                <w:vanish/>
              </w:rPr>
            </w:pPr>
          </w:p>
        </w:tc>
        <w:tc>
          <w:tcPr>
            <w:tcW w:w="0" w:type="auto"/>
            <w:gridSpan w:val="3"/>
            <w:shd w:val="clear" w:color="auto" w:fill="auto"/>
            <w:vAlign w:val="bottom"/>
          </w:tcPr>
          <w:p w14:paraId="392C7379" w14:textId="77777777" w:rsidR="00980E5F" w:rsidRDefault="00980E5F">
            <w:pPr>
              <w:rPr>
                <w:rFonts w:ascii="宋体"/>
                <w:vanish/>
              </w:rPr>
            </w:pPr>
          </w:p>
        </w:tc>
        <w:tc>
          <w:tcPr>
            <w:tcW w:w="0" w:type="auto"/>
            <w:gridSpan w:val="3"/>
            <w:shd w:val="clear" w:color="auto" w:fill="auto"/>
            <w:vAlign w:val="bottom"/>
          </w:tcPr>
          <w:p w14:paraId="392C737A" w14:textId="77777777" w:rsidR="00980E5F" w:rsidRDefault="00980E5F">
            <w:pPr>
              <w:rPr>
                <w:rFonts w:ascii="宋体"/>
                <w:vanish/>
              </w:rPr>
            </w:pPr>
          </w:p>
        </w:tc>
        <w:tc>
          <w:tcPr>
            <w:tcW w:w="0" w:type="auto"/>
            <w:gridSpan w:val="3"/>
            <w:shd w:val="clear" w:color="auto" w:fill="auto"/>
            <w:vAlign w:val="bottom"/>
          </w:tcPr>
          <w:p w14:paraId="392C737B" w14:textId="77777777" w:rsidR="00980E5F" w:rsidRDefault="00980E5F">
            <w:pPr>
              <w:rPr>
                <w:rFonts w:ascii="宋体"/>
                <w:vanish/>
              </w:rPr>
            </w:pPr>
          </w:p>
        </w:tc>
        <w:tc>
          <w:tcPr>
            <w:tcW w:w="0" w:type="auto"/>
            <w:gridSpan w:val="3"/>
            <w:shd w:val="clear" w:color="auto" w:fill="auto"/>
            <w:vAlign w:val="bottom"/>
          </w:tcPr>
          <w:p w14:paraId="392C737C" w14:textId="77777777" w:rsidR="00980E5F" w:rsidRDefault="00980E5F">
            <w:pPr>
              <w:rPr>
                <w:rFonts w:ascii="宋体"/>
                <w:vanish/>
              </w:rPr>
            </w:pPr>
          </w:p>
        </w:tc>
        <w:tc>
          <w:tcPr>
            <w:tcW w:w="0" w:type="auto"/>
            <w:gridSpan w:val="3"/>
            <w:shd w:val="clear" w:color="auto" w:fill="auto"/>
            <w:vAlign w:val="bottom"/>
          </w:tcPr>
          <w:p w14:paraId="392C737D" w14:textId="77777777" w:rsidR="00980E5F" w:rsidRDefault="00980E5F">
            <w:pPr>
              <w:rPr>
                <w:rFonts w:ascii="宋体"/>
                <w:vanish/>
              </w:rPr>
            </w:pPr>
          </w:p>
        </w:tc>
        <w:tc>
          <w:tcPr>
            <w:tcW w:w="0" w:type="auto"/>
            <w:gridSpan w:val="3"/>
            <w:shd w:val="clear" w:color="auto" w:fill="auto"/>
            <w:vAlign w:val="bottom"/>
          </w:tcPr>
          <w:p w14:paraId="392C737E" w14:textId="77777777" w:rsidR="00980E5F" w:rsidRDefault="00980E5F">
            <w:pPr>
              <w:rPr>
                <w:rFonts w:ascii="宋体"/>
                <w:vanish/>
              </w:rPr>
            </w:pPr>
          </w:p>
        </w:tc>
        <w:tc>
          <w:tcPr>
            <w:tcW w:w="0" w:type="auto"/>
            <w:shd w:val="clear" w:color="auto" w:fill="auto"/>
            <w:vAlign w:val="bottom"/>
          </w:tcPr>
          <w:p w14:paraId="392C737F" w14:textId="77777777" w:rsidR="00980E5F" w:rsidRDefault="00980E5F">
            <w:pPr>
              <w:rPr>
                <w:rFonts w:ascii="宋体"/>
                <w:vanish/>
              </w:rPr>
            </w:pPr>
          </w:p>
        </w:tc>
        <w:tc>
          <w:tcPr>
            <w:tcW w:w="0" w:type="auto"/>
            <w:shd w:val="clear" w:color="auto" w:fill="auto"/>
            <w:vAlign w:val="bottom"/>
          </w:tcPr>
          <w:p w14:paraId="392C7380" w14:textId="77777777" w:rsidR="00980E5F" w:rsidRDefault="00980E5F">
            <w:pPr>
              <w:rPr>
                <w:rFonts w:ascii="宋体"/>
                <w:vanish/>
              </w:rPr>
            </w:pPr>
          </w:p>
        </w:tc>
        <w:tc>
          <w:tcPr>
            <w:tcW w:w="0" w:type="auto"/>
            <w:gridSpan w:val="3"/>
            <w:shd w:val="clear" w:color="auto" w:fill="auto"/>
            <w:vAlign w:val="bottom"/>
          </w:tcPr>
          <w:p w14:paraId="392C7381" w14:textId="77777777" w:rsidR="00980E5F" w:rsidRDefault="00980E5F">
            <w:pPr>
              <w:rPr>
                <w:rFonts w:ascii="宋体"/>
                <w:vanish/>
              </w:rPr>
            </w:pPr>
          </w:p>
        </w:tc>
        <w:tc>
          <w:tcPr>
            <w:tcW w:w="0" w:type="auto"/>
            <w:gridSpan w:val="3"/>
            <w:shd w:val="clear" w:color="auto" w:fill="auto"/>
            <w:vAlign w:val="bottom"/>
          </w:tcPr>
          <w:p w14:paraId="392C7382" w14:textId="77777777" w:rsidR="00980E5F" w:rsidRDefault="00980E5F">
            <w:pPr>
              <w:rPr>
                <w:rFonts w:ascii="宋体"/>
                <w:vanish/>
              </w:rPr>
            </w:pPr>
          </w:p>
        </w:tc>
        <w:tc>
          <w:tcPr>
            <w:tcW w:w="0" w:type="auto"/>
            <w:gridSpan w:val="3"/>
            <w:shd w:val="clear" w:color="auto" w:fill="auto"/>
            <w:vAlign w:val="bottom"/>
          </w:tcPr>
          <w:p w14:paraId="392C7383" w14:textId="77777777" w:rsidR="00980E5F" w:rsidRDefault="00980E5F">
            <w:pPr>
              <w:rPr>
                <w:rFonts w:ascii="宋体"/>
                <w:vanish/>
              </w:rPr>
            </w:pPr>
          </w:p>
        </w:tc>
        <w:tc>
          <w:tcPr>
            <w:tcW w:w="0" w:type="auto"/>
            <w:gridSpan w:val="3"/>
            <w:shd w:val="clear" w:color="auto" w:fill="auto"/>
            <w:vAlign w:val="bottom"/>
          </w:tcPr>
          <w:p w14:paraId="392C7384" w14:textId="77777777" w:rsidR="00980E5F" w:rsidRDefault="00980E5F">
            <w:pPr>
              <w:rPr>
                <w:rFonts w:ascii="宋体"/>
                <w:vanish/>
              </w:rPr>
            </w:pPr>
          </w:p>
        </w:tc>
        <w:tc>
          <w:tcPr>
            <w:tcW w:w="0" w:type="auto"/>
            <w:gridSpan w:val="3"/>
            <w:shd w:val="clear" w:color="auto" w:fill="auto"/>
            <w:vAlign w:val="bottom"/>
          </w:tcPr>
          <w:p w14:paraId="392C7385" w14:textId="77777777" w:rsidR="00980E5F" w:rsidRDefault="00980E5F">
            <w:pPr>
              <w:rPr>
                <w:rFonts w:ascii="宋体"/>
                <w:vanish/>
              </w:rPr>
            </w:pPr>
          </w:p>
        </w:tc>
      </w:tr>
      <w:tr w:rsidR="00980E5F" w14:paraId="392C7399" w14:textId="77777777">
        <w:trPr>
          <w:hidden/>
        </w:trPr>
        <w:tc>
          <w:tcPr>
            <w:tcW w:w="0" w:type="auto"/>
            <w:gridSpan w:val="3"/>
            <w:shd w:val="clear" w:color="auto" w:fill="auto"/>
            <w:vAlign w:val="bottom"/>
          </w:tcPr>
          <w:p w14:paraId="392C7387" w14:textId="77777777" w:rsidR="00980E5F" w:rsidRDefault="00980E5F">
            <w:pPr>
              <w:rPr>
                <w:rFonts w:ascii="宋体"/>
                <w:vanish/>
              </w:rPr>
            </w:pPr>
          </w:p>
        </w:tc>
        <w:tc>
          <w:tcPr>
            <w:tcW w:w="0" w:type="auto"/>
            <w:gridSpan w:val="3"/>
            <w:shd w:val="clear" w:color="auto" w:fill="auto"/>
            <w:vAlign w:val="bottom"/>
          </w:tcPr>
          <w:p w14:paraId="392C7388" w14:textId="77777777" w:rsidR="00980E5F" w:rsidRDefault="00980E5F">
            <w:pPr>
              <w:rPr>
                <w:rFonts w:ascii="宋体"/>
                <w:vanish/>
              </w:rPr>
            </w:pPr>
          </w:p>
        </w:tc>
        <w:tc>
          <w:tcPr>
            <w:tcW w:w="0" w:type="auto"/>
            <w:gridSpan w:val="3"/>
            <w:shd w:val="clear" w:color="auto" w:fill="auto"/>
            <w:vAlign w:val="bottom"/>
          </w:tcPr>
          <w:p w14:paraId="392C7389" w14:textId="77777777" w:rsidR="00980E5F" w:rsidRDefault="00980E5F">
            <w:pPr>
              <w:rPr>
                <w:rFonts w:ascii="宋体"/>
                <w:vanish/>
              </w:rPr>
            </w:pPr>
          </w:p>
        </w:tc>
        <w:tc>
          <w:tcPr>
            <w:tcW w:w="0" w:type="auto"/>
            <w:gridSpan w:val="3"/>
            <w:shd w:val="clear" w:color="auto" w:fill="auto"/>
            <w:vAlign w:val="bottom"/>
          </w:tcPr>
          <w:p w14:paraId="392C738A" w14:textId="77777777" w:rsidR="00980E5F" w:rsidRDefault="00980E5F">
            <w:pPr>
              <w:rPr>
                <w:rFonts w:ascii="宋体"/>
                <w:vanish/>
              </w:rPr>
            </w:pPr>
          </w:p>
        </w:tc>
        <w:tc>
          <w:tcPr>
            <w:tcW w:w="0" w:type="auto"/>
            <w:gridSpan w:val="3"/>
            <w:shd w:val="clear" w:color="auto" w:fill="auto"/>
            <w:vAlign w:val="bottom"/>
          </w:tcPr>
          <w:p w14:paraId="392C738B" w14:textId="77777777" w:rsidR="00980E5F" w:rsidRDefault="00980E5F">
            <w:pPr>
              <w:rPr>
                <w:rFonts w:ascii="宋体"/>
                <w:vanish/>
              </w:rPr>
            </w:pPr>
          </w:p>
        </w:tc>
        <w:tc>
          <w:tcPr>
            <w:tcW w:w="0" w:type="auto"/>
            <w:gridSpan w:val="3"/>
            <w:shd w:val="clear" w:color="auto" w:fill="auto"/>
            <w:vAlign w:val="bottom"/>
          </w:tcPr>
          <w:p w14:paraId="392C738C" w14:textId="77777777" w:rsidR="00980E5F" w:rsidRDefault="00980E5F">
            <w:pPr>
              <w:rPr>
                <w:rFonts w:ascii="宋体"/>
                <w:vanish/>
              </w:rPr>
            </w:pPr>
          </w:p>
        </w:tc>
        <w:tc>
          <w:tcPr>
            <w:tcW w:w="0" w:type="auto"/>
            <w:gridSpan w:val="3"/>
            <w:shd w:val="clear" w:color="auto" w:fill="auto"/>
            <w:vAlign w:val="bottom"/>
          </w:tcPr>
          <w:p w14:paraId="392C738D" w14:textId="77777777" w:rsidR="00980E5F" w:rsidRDefault="00980E5F">
            <w:pPr>
              <w:rPr>
                <w:rFonts w:ascii="宋体"/>
                <w:vanish/>
              </w:rPr>
            </w:pPr>
          </w:p>
        </w:tc>
        <w:tc>
          <w:tcPr>
            <w:tcW w:w="0" w:type="auto"/>
            <w:gridSpan w:val="3"/>
            <w:shd w:val="clear" w:color="auto" w:fill="auto"/>
            <w:vAlign w:val="bottom"/>
          </w:tcPr>
          <w:p w14:paraId="392C738E" w14:textId="77777777" w:rsidR="00980E5F" w:rsidRDefault="00980E5F">
            <w:pPr>
              <w:rPr>
                <w:rFonts w:ascii="宋体"/>
                <w:vanish/>
              </w:rPr>
            </w:pPr>
          </w:p>
        </w:tc>
        <w:tc>
          <w:tcPr>
            <w:tcW w:w="0" w:type="auto"/>
            <w:gridSpan w:val="3"/>
            <w:shd w:val="clear" w:color="auto" w:fill="auto"/>
            <w:vAlign w:val="bottom"/>
          </w:tcPr>
          <w:p w14:paraId="392C738F" w14:textId="77777777" w:rsidR="00980E5F" w:rsidRDefault="00980E5F">
            <w:pPr>
              <w:rPr>
                <w:rFonts w:ascii="宋体"/>
                <w:vanish/>
              </w:rPr>
            </w:pPr>
          </w:p>
        </w:tc>
        <w:tc>
          <w:tcPr>
            <w:tcW w:w="0" w:type="auto"/>
            <w:gridSpan w:val="3"/>
            <w:shd w:val="clear" w:color="auto" w:fill="auto"/>
            <w:vAlign w:val="bottom"/>
          </w:tcPr>
          <w:p w14:paraId="392C7390" w14:textId="77777777" w:rsidR="00980E5F" w:rsidRDefault="00980E5F">
            <w:pPr>
              <w:rPr>
                <w:rFonts w:ascii="宋体"/>
                <w:vanish/>
              </w:rPr>
            </w:pPr>
          </w:p>
        </w:tc>
        <w:tc>
          <w:tcPr>
            <w:tcW w:w="0" w:type="auto"/>
            <w:gridSpan w:val="3"/>
            <w:shd w:val="clear" w:color="auto" w:fill="auto"/>
            <w:vAlign w:val="bottom"/>
          </w:tcPr>
          <w:p w14:paraId="392C7391" w14:textId="77777777" w:rsidR="00980E5F" w:rsidRDefault="00980E5F">
            <w:pPr>
              <w:rPr>
                <w:rFonts w:ascii="宋体"/>
                <w:vanish/>
              </w:rPr>
            </w:pPr>
          </w:p>
        </w:tc>
        <w:tc>
          <w:tcPr>
            <w:tcW w:w="0" w:type="auto"/>
            <w:shd w:val="clear" w:color="auto" w:fill="auto"/>
            <w:vAlign w:val="bottom"/>
          </w:tcPr>
          <w:p w14:paraId="392C7392" w14:textId="77777777" w:rsidR="00980E5F" w:rsidRDefault="00980E5F">
            <w:pPr>
              <w:rPr>
                <w:rFonts w:ascii="宋体"/>
                <w:vanish/>
              </w:rPr>
            </w:pPr>
          </w:p>
        </w:tc>
        <w:tc>
          <w:tcPr>
            <w:tcW w:w="0" w:type="auto"/>
            <w:shd w:val="clear" w:color="auto" w:fill="auto"/>
            <w:vAlign w:val="bottom"/>
          </w:tcPr>
          <w:p w14:paraId="392C7393" w14:textId="77777777" w:rsidR="00980E5F" w:rsidRDefault="00980E5F">
            <w:pPr>
              <w:rPr>
                <w:rFonts w:ascii="宋体"/>
                <w:vanish/>
              </w:rPr>
            </w:pPr>
          </w:p>
        </w:tc>
        <w:tc>
          <w:tcPr>
            <w:tcW w:w="0" w:type="auto"/>
            <w:gridSpan w:val="3"/>
            <w:shd w:val="clear" w:color="auto" w:fill="auto"/>
            <w:vAlign w:val="bottom"/>
          </w:tcPr>
          <w:p w14:paraId="392C7394" w14:textId="77777777" w:rsidR="00980E5F" w:rsidRDefault="00980E5F">
            <w:pPr>
              <w:rPr>
                <w:rFonts w:ascii="宋体"/>
                <w:vanish/>
              </w:rPr>
            </w:pPr>
          </w:p>
        </w:tc>
        <w:tc>
          <w:tcPr>
            <w:tcW w:w="0" w:type="auto"/>
            <w:gridSpan w:val="3"/>
            <w:shd w:val="clear" w:color="auto" w:fill="auto"/>
            <w:vAlign w:val="bottom"/>
          </w:tcPr>
          <w:p w14:paraId="392C7395" w14:textId="77777777" w:rsidR="00980E5F" w:rsidRDefault="00980E5F">
            <w:pPr>
              <w:rPr>
                <w:rFonts w:ascii="宋体"/>
                <w:vanish/>
              </w:rPr>
            </w:pPr>
          </w:p>
        </w:tc>
        <w:tc>
          <w:tcPr>
            <w:tcW w:w="0" w:type="auto"/>
            <w:gridSpan w:val="3"/>
            <w:shd w:val="clear" w:color="auto" w:fill="auto"/>
            <w:vAlign w:val="bottom"/>
          </w:tcPr>
          <w:p w14:paraId="392C7396" w14:textId="77777777" w:rsidR="00980E5F" w:rsidRDefault="00980E5F">
            <w:pPr>
              <w:rPr>
                <w:rFonts w:ascii="宋体"/>
                <w:vanish/>
              </w:rPr>
            </w:pPr>
          </w:p>
        </w:tc>
        <w:tc>
          <w:tcPr>
            <w:tcW w:w="0" w:type="auto"/>
            <w:gridSpan w:val="3"/>
            <w:shd w:val="clear" w:color="auto" w:fill="auto"/>
            <w:vAlign w:val="bottom"/>
          </w:tcPr>
          <w:p w14:paraId="392C7397" w14:textId="77777777" w:rsidR="00980E5F" w:rsidRDefault="00980E5F">
            <w:pPr>
              <w:rPr>
                <w:rFonts w:ascii="宋体"/>
                <w:vanish/>
              </w:rPr>
            </w:pPr>
          </w:p>
        </w:tc>
        <w:tc>
          <w:tcPr>
            <w:tcW w:w="0" w:type="auto"/>
            <w:gridSpan w:val="3"/>
            <w:shd w:val="clear" w:color="auto" w:fill="auto"/>
            <w:vAlign w:val="bottom"/>
          </w:tcPr>
          <w:p w14:paraId="392C7398" w14:textId="77777777" w:rsidR="00980E5F" w:rsidRDefault="00980E5F">
            <w:pPr>
              <w:rPr>
                <w:rFonts w:ascii="宋体"/>
                <w:vanish/>
              </w:rPr>
            </w:pPr>
          </w:p>
        </w:tc>
      </w:tr>
      <w:tr w:rsidR="00980E5F" w14:paraId="392C73AC" w14:textId="77777777">
        <w:trPr>
          <w:hidden/>
        </w:trPr>
        <w:tc>
          <w:tcPr>
            <w:tcW w:w="0" w:type="auto"/>
            <w:gridSpan w:val="3"/>
            <w:shd w:val="clear" w:color="auto" w:fill="auto"/>
            <w:vAlign w:val="bottom"/>
          </w:tcPr>
          <w:p w14:paraId="392C739A" w14:textId="77777777" w:rsidR="00980E5F" w:rsidRDefault="00980E5F">
            <w:pPr>
              <w:rPr>
                <w:rFonts w:ascii="宋体"/>
                <w:vanish/>
              </w:rPr>
            </w:pPr>
          </w:p>
        </w:tc>
        <w:tc>
          <w:tcPr>
            <w:tcW w:w="0" w:type="auto"/>
            <w:gridSpan w:val="3"/>
            <w:shd w:val="clear" w:color="auto" w:fill="auto"/>
            <w:vAlign w:val="bottom"/>
          </w:tcPr>
          <w:p w14:paraId="392C739B" w14:textId="77777777" w:rsidR="00980E5F" w:rsidRDefault="00980E5F">
            <w:pPr>
              <w:rPr>
                <w:rFonts w:ascii="宋体"/>
                <w:vanish/>
              </w:rPr>
            </w:pPr>
          </w:p>
        </w:tc>
        <w:tc>
          <w:tcPr>
            <w:tcW w:w="0" w:type="auto"/>
            <w:gridSpan w:val="3"/>
            <w:shd w:val="clear" w:color="auto" w:fill="auto"/>
            <w:vAlign w:val="bottom"/>
          </w:tcPr>
          <w:p w14:paraId="392C739C" w14:textId="77777777" w:rsidR="00980E5F" w:rsidRDefault="00980E5F">
            <w:pPr>
              <w:rPr>
                <w:rFonts w:ascii="宋体"/>
                <w:vanish/>
              </w:rPr>
            </w:pPr>
          </w:p>
        </w:tc>
        <w:tc>
          <w:tcPr>
            <w:tcW w:w="0" w:type="auto"/>
            <w:gridSpan w:val="3"/>
            <w:shd w:val="clear" w:color="auto" w:fill="auto"/>
            <w:vAlign w:val="bottom"/>
          </w:tcPr>
          <w:p w14:paraId="392C739D" w14:textId="77777777" w:rsidR="00980E5F" w:rsidRDefault="00980E5F">
            <w:pPr>
              <w:rPr>
                <w:rFonts w:ascii="宋体"/>
                <w:vanish/>
              </w:rPr>
            </w:pPr>
          </w:p>
        </w:tc>
        <w:tc>
          <w:tcPr>
            <w:tcW w:w="0" w:type="auto"/>
            <w:gridSpan w:val="3"/>
            <w:shd w:val="clear" w:color="auto" w:fill="auto"/>
            <w:vAlign w:val="bottom"/>
          </w:tcPr>
          <w:p w14:paraId="392C739E" w14:textId="77777777" w:rsidR="00980E5F" w:rsidRDefault="00980E5F">
            <w:pPr>
              <w:rPr>
                <w:rFonts w:ascii="宋体"/>
                <w:vanish/>
              </w:rPr>
            </w:pPr>
          </w:p>
        </w:tc>
        <w:tc>
          <w:tcPr>
            <w:tcW w:w="0" w:type="auto"/>
            <w:gridSpan w:val="3"/>
            <w:shd w:val="clear" w:color="auto" w:fill="auto"/>
            <w:vAlign w:val="bottom"/>
          </w:tcPr>
          <w:p w14:paraId="392C739F" w14:textId="77777777" w:rsidR="00980E5F" w:rsidRDefault="00980E5F">
            <w:pPr>
              <w:rPr>
                <w:rFonts w:ascii="宋体"/>
                <w:vanish/>
              </w:rPr>
            </w:pPr>
          </w:p>
        </w:tc>
        <w:tc>
          <w:tcPr>
            <w:tcW w:w="0" w:type="auto"/>
            <w:gridSpan w:val="3"/>
            <w:shd w:val="clear" w:color="auto" w:fill="auto"/>
            <w:vAlign w:val="bottom"/>
          </w:tcPr>
          <w:p w14:paraId="392C73A0" w14:textId="77777777" w:rsidR="00980E5F" w:rsidRDefault="00980E5F">
            <w:pPr>
              <w:rPr>
                <w:rFonts w:ascii="宋体"/>
                <w:vanish/>
              </w:rPr>
            </w:pPr>
          </w:p>
        </w:tc>
        <w:tc>
          <w:tcPr>
            <w:tcW w:w="0" w:type="auto"/>
            <w:gridSpan w:val="3"/>
            <w:shd w:val="clear" w:color="auto" w:fill="auto"/>
            <w:vAlign w:val="bottom"/>
          </w:tcPr>
          <w:p w14:paraId="392C73A1" w14:textId="77777777" w:rsidR="00980E5F" w:rsidRDefault="00980E5F">
            <w:pPr>
              <w:rPr>
                <w:rFonts w:ascii="宋体"/>
                <w:vanish/>
              </w:rPr>
            </w:pPr>
          </w:p>
        </w:tc>
        <w:tc>
          <w:tcPr>
            <w:tcW w:w="0" w:type="auto"/>
            <w:gridSpan w:val="3"/>
            <w:shd w:val="clear" w:color="auto" w:fill="auto"/>
            <w:vAlign w:val="bottom"/>
          </w:tcPr>
          <w:p w14:paraId="392C73A2" w14:textId="77777777" w:rsidR="00980E5F" w:rsidRDefault="00980E5F">
            <w:pPr>
              <w:rPr>
                <w:rFonts w:ascii="宋体"/>
                <w:vanish/>
              </w:rPr>
            </w:pPr>
          </w:p>
        </w:tc>
        <w:tc>
          <w:tcPr>
            <w:tcW w:w="0" w:type="auto"/>
            <w:gridSpan w:val="3"/>
            <w:shd w:val="clear" w:color="auto" w:fill="auto"/>
            <w:vAlign w:val="bottom"/>
          </w:tcPr>
          <w:p w14:paraId="392C73A3" w14:textId="77777777" w:rsidR="00980E5F" w:rsidRDefault="00980E5F">
            <w:pPr>
              <w:rPr>
                <w:rFonts w:ascii="宋体"/>
                <w:vanish/>
              </w:rPr>
            </w:pPr>
          </w:p>
        </w:tc>
        <w:tc>
          <w:tcPr>
            <w:tcW w:w="0" w:type="auto"/>
            <w:gridSpan w:val="3"/>
            <w:shd w:val="clear" w:color="auto" w:fill="auto"/>
            <w:vAlign w:val="bottom"/>
          </w:tcPr>
          <w:p w14:paraId="392C73A4" w14:textId="77777777" w:rsidR="00980E5F" w:rsidRDefault="00980E5F">
            <w:pPr>
              <w:rPr>
                <w:rFonts w:ascii="宋体"/>
                <w:vanish/>
              </w:rPr>
            </w:pPr>
          </w:p>
        </w:tc>
        <w:tc>
          <w:tcPr>
            <w:tcW w:w="0" w:type="auto"/>
            <w:shd w:val="clear" w:color="auto" w:fill="auto"/>
            <w:vAlign w:val="bottom"/>
          </w:tcPr>
          <w:p w14:paraId="392C73A5" w14:textId="77777777" w:rsidR="00980E5F" w:rsidRDefault="00980E5F">
            <w:pPr>
              <w:rPr>
                <w:rFonts w:ascii="宋体"/>
                <w:vanish/>
              </w:rPr>
            </w:pPr>
          </w:p>
        </w:tc>
        <w:tc>
          <w:tcPr>
            <w:tcW w:w="0" w:type="auto"/>
            <w:shd w:val="clear" w:color="auto" w:fill="auto"/>
            <w:vAlign w:val="bottom"/>
          </w:tcPr>
          <w:p w14:paraId="392C73A6" w14:textId="77777777" w:rsidR="00980E5F" w:rsidRDefault="00980E5F">
            <w:pPr>
              <w:rPr>
                <w:rFonts w:ascii="宋体"/>
                <w:vanish/>
              </w:rPr>
            </w:pPr>
          </w:p>
        </w:tc>
        <w:tc>
          <w:tcPr>
            <w:tcW w:w="0" w:type="auto"/>
            <w:gridSpan w:val="3"/>
            <w:shd w:val="clear" w:color="auto" w:fill="auto"/>
            <w:vAlign w:val="bottom"/>
          </w:tcPr>
          <w:p w14:paraId="392C73A7" w14:textId="77777777" w:rsidR="00980E5F" w:rsidRDefault="00980E5F">
            <w:pPr>
              <w:rPr>
                <w:rFonts w:ascii="宋体"/>
                <w:vanish/>
              </w:rPr>
            </w:pPr>
          </w:p>
        </w:tc>
        <w:tc>
          <w:tcPr>
            <w:tcW w:w="0" w:type="auto"/>
            <w:gridSpan w:val="3"/>
            <w:shd w:val="clear" w:color="auto" w:fill="auto"/>
            <w:vAlign w:val="bottom"/>
          </w:tcPr>
          <w:p w14:paraId="392C73A8" w14:textId="77777777" w:rsidR="00980E5F" w:rsidRDefault="00980E5F">
            <w:pPr>
              <w:rPr>
                <w:rFonts w:ascii="宋体"/>
                <w:vanish/>
              </w:rPr>
            </w:pPr>
          </w:p>
        </w:tc>
        <w:tc>
          <w:tcPr>
            <w:tcW w:w="0" w:type="auto"/>
            <w:gridSpan w:val="3"/>
            <w:shd w:val="clear" w:color="auto" w:fill="auto"/>
            <w:vAlign w:val="bottom"/>
          </w:tcPr>
          <w:p w14:paraId="392C73A9" w14:textId="77777777" w:rsidR="00980E5F" w:rsidRDefault="00980E5F">
            <w:pPr>
              <w:rPr>
                <w:rFonts w:ascii="宋体"/>
                <w:vanish/>
              </w:rPr>
            </w:pPr>
          </w:p>
        </w:tc>
        <w:tc>
          <w:tcPr>
            <w:tcW w:w="0" w:type="auto"/>
            <w:gridSpan w:val="3"/>
            <w:shd w:val="clear" w:color="auto" w:fill="auto"/>
            <w:vAlign w:val="bottom"/>
          </w:tcPr>
          <w:p w14:paraId="392C73AA" w14:textId="77777777" w:rsidR="00980E5F" w:rsidRDefault="00980E5F">
            <w:pPr>
              <w:rPr>
                <w:rFonts w:ascii="宋体"/>
                <w:vanish/>
              </w:rPr>
            </w:pPr>
          </w:p>
        </w:tc>
        <w:tc>
          <w:tcPr>
            <w:tcW w:w="0" w:type="auto"/>
            <w:gridSpan w:val="3"/>
            <w:shd w:val="clear" w:color="auto" w:fill="auto"/>
            <w:vAlign w:val="bottom"/>
          </w:tcPr>
          <w:p w14:paraId="392C73AB" w14:textId="77777777" w:rsidR="00980E5F" w:rsidRDefault="00980E5F">
            <w:pPr>
              <w:rPr>
                <w:rFonts w:ascii="宋体"/>
                <w:vanish/>
              </w:rPr>
            </w:pPr>
          </w:p>
        </w:tc>
      </w:tr>
      <w:tr w:rsidR="00980E5F" w14:paraId="392C73CF" w14:textId="77777777">
        <w:tc>
          <w:tcPr>
            <w:tcW w:w="0" w:type="auto"/>
            <w:gridSpan w:val="3"/>
            <w:shd w:val="clear" w:color="auto" w:fill="CCEEFF"/>
            <w:tcMar>
              <w:top w:w="40" w:type="dxa"/>
              <w:left w:w="20" w:type="dxa"/>
              <w:bottom w:w="40" w:type="dxa"/>
              <w:right w:w="20" w:type="dxa"/>
            </w:tcMar>
            <w:vAlign w:val="bottom"/>
          </w:tcPr>
          <w:p w14:paraId="392C73AD" w14:textId="77777777" w:rsidR="00980E5F" w:rsidRDefault="00483613">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392C73A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AF" w14:textId="77777777" w:rsidR="00980E5F" w:rsidRDefault="00483613">
            <w:pPr>
              <w:jc w:val="right"/>
              <w:textAlignment w:val="bottom"/>
            </w:pPr>
            <w:r>
              <w:rPr>
                <w:rFonts w:ascii="Arial" w:eastAsia="宋体" w:hAnsi="Arial" w:cs="Arial"/>
                <w:color w:val="000000"/>
                <w:sz w:val="14"/>
                <w:szCs w:val="14"/>
              </w:rPr>
              <w:t>6,417 </w:t>
            </w:r>
          </w:p>
        </w:tc>
        <w:tc>
          <w:tcPr>
            <w:tcW w:w="0" w:type="auto"/>
            <w:shd w:val="clear" w:color="auto" w:fill="CCEEFF"/>
            <w:tcMar>
              <w:top w:w="40" w:type="dxa"/>
              <w:left w:w="0" w:type="dxa"/>
              <w:bottom w:w="40" w:type="dxa"/>
              <w:right w:w="20" w:type="dxa"/>
            </w:tcMar>
            <w:vAlign w:val="bottom"/>
          </w:tcPr>
          <w:p w14:paraId="392C73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B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B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B3" w14:textId="77777777" w:rsidR="00980E5F" w:rsidRDefault="00483613">
            <w:pPr>
              <w:jc w:val="right"/>
              <w:textAlignment w:val="bottom"/>
            </w:pPr>
            <w:r>
              <w:rPr>
                <w:rFonts w:ascii="Arial" w:eastAsia="宋体" w:hAnsi="Arial" w:cs="Arial"/>
                <w:color w:val="000000"/>
                <w:sz w:val="14"/>
                <w:szCs w:val="14"/>
              </w:rPr>
              <w:t>4,981 </w:t>
            </w:r>
          </w:p>
        </w:tc>
        <w:tc>
          <w:tcPr>
            <w:tcW w:w="0" w:type="auto"/>
            <w:shd w:val="clear" w:color="auto" w:fill="CCEEFF"/>
            <w:tcMar>
              <w:top w:w="40" w:type="dxa"/>
              <w:left w:w="0" w:type="dxa"/>
              <w:bottom w:w="40" w:type="dxa"/>
              <w:right w:w="20" w:type="dxa"/>
            </w:tcMar>
            <w:vAlign w:val="bottom"/>
          </w:tcPr>
          <w:p w14:paraId="392C73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B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B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B7" w14:textId="77777777" w:rsidR="00980E5F" w:rsidRDefault="00483613">
            <w:pPr>
              <w:jc w:val="right"/>
              <w:textAlignment w:val="bottom"/>
            </w:pPr>
            <w:r>
              <w:rPr>
                <w:rFonts w:ascii="Arial" w:eastAsia="宋体" w:hAnsi="Arial" w:cs="Arial"/>
                <w:color w:val="000000"/>
                <w:sz w:val="14"/>
                <w:szCs w:val="14"/>
              </w:rPr>
              <w:t>563 </w:t>
            </w:r>
          </w:p>
        </w:tc>
        <w:tc>
          <w:tcPr>
            <w:tcW w:w="0" w:type="auto"/>
            <w:shd w:val="clear" w:color="auto" w:fill="CCEEFF"/>
            <w:tcMar>
              <w:top w:w="40" w:type="dxa"/>
              <w:left w:w="0" w:type="dxa"/>
              <w:bottom w:w="40" w:type="dxa"/>
              <w:right w:w="20" w:type="dxa"/>
            </w:tcMar>
            <w:vAlign w:val="bottom"/>
          </w:tcPr>
          <w:p w14:paraId="392C73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B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B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BB" w14:textId="77777777" w:rsidR="00980E5F" w:rsidRDefault="00483613">
            <w:pPr>
              <w:jc w:val="right"/>
              <w:textAlignment w:val="bottom"/>
            </w:pPr>
            <w:r>
              <w:rPr>
                <w:rFonts w:ascii="Arial" w:eastAsia="宋体" w:hAnsi="Arial" w:cs="Arial"/>
                <w:color w:val="000000"/>
                <w:sz w:val="14"/>
                <w:szCs w:val="14"/>
              </w:rPr>
              <w:t>1,743 </w:t>
            </w:r>
          </w:p>
        </w:tc>
        <w:tc>
          <w:tcPr>
            <w:tcW w:w="0" w:type="auto"/>
            <w:shd w:val="clear" w:color="auto" w:fill="CCEEFF"/>
            <w:tcMar>
              <w:top w:w="40" w:type="dxa"/>
              <w:left w:w="0" w:type="dxa"/>
              <w:bottom w:w="40" w:type="dxa"/>
              <w:right w:w="20" w:type="dxa"/>
            </w:tcMar>
            <w:vAlign w:val="bottom"/>
          </w:tcPr>
          <w:p w14:paraId="392C73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B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B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BF" w14:textId="77777777" w:rsidR="00980E5F" w:rsidRDefault="00483613">
            <w:pPr>
              <w:jc w:val="right"/>
              <w:textAlignment w:val="bottom"/>
            </w:pPr>
            <w:r>
              <w:rPr>
                <w:rFonts w:ascii="Arial" w:eastAsia="宋体" w:hAnsi="Arial" w:cs="Arial"/>
                <w:color w:val="000000"/>
                <w:sz w:val="14"/>
                <w:szCs w:val="14"/>
              </w:rPr>
              <w:t>1,238 </w:t>
            </w:r>
          </w:p>
        </w:tc>
        <w:tc>
          <w:tcPr>
            <w:tcW w:w="0" w:type="auto"/>
            <w:shd w:val="clear" w:color="auto" w:fill="CCEEFF"/>
            <w:tcMar>
              <w:top w:w="40" w:type="dxa"/>
              <w:left w:w="0" w:type="dxa"/>
              <w:bottom w:w="40" w:type="dxa"/>
              <w:right w:w="20" w:type="dxa"/>
            </w:tcMar>
            <w:vAlign w:val="bottom"/>
          </w:tcPr>
          <w:p w14:paraId="392C73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C1" w14:textId="77777777" w:rsidR="00980E5F" w:rsidRDefault="00980E5F">
            <w:pPr>
              <w:rPr>
                <w:rFonts w:ascii="宋体"/>
              </w:rPr>
            </w:pPr>
          </w:p>
        </w:tc>
        <w:tc>
          <w:tcPr>
            <w:tcW w:w="0" w:type="auto"/>
            <w:shd w:val="clear" w:color="auto" w:fill="auto"/>
            <w:vAlign w:val="bottom"/>
          </w:tcPr>
          <w:p w14:paraId="392C73C2" w14:textId="77777777" w:rsidR="00980E5F" w:rsidRDefault="00980E5F">
            <w:pPr>
              <w:rPr>
                <w:rFonts w:ascii="宋体"/>
                <w:vanish/>
              </w:rPr>
            </w:pPr>
          </w:p>
        </w:tc>
        <w:tc>
          <w:tcPr>
            <w:tcW w:w="0" w:type="auto"/>
            <w:shd w:val="clear" w:color="auto" w:fill="auto"/>
            <w:vAlign w:val="bottom"/>
          </w:tcPr>
          <w:p w14:paraId="392C73C3"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3C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C5" w14:textId="77777777" w:rsidR="00980E5F" w:rsidRDefault="00483613">
            <w:pPr>
              <w:jc w:val="right"/>
              <w:textAlignment w:val="bottom"/>
            </w:pPr>
            <w:r>
              <w:rPr>
                <w:rFonts w:ascii="Arial" w:eastAsia="宋体" w:hAnsi="Arial" w:cs="Arial"/>
                <w:color w:val="000000"/>
                <w:sz w:val="14"/>
                <w:szCs w:val="14"/>
              </w:rPr>
              <w:t>761 </w:t>
            </w:r>
          </w:p>
        </w:tc>
        <w:tc>
          <w:tcPr>
            <w:tcW w:w="0" w:type="auto"/>
            <w:shd w:val="clear" w:color="auto" w:fill="CCEEFF"/>
            <w:tcMar>
              <w:top w:w="40" w:type="dxa"/>
              <w:left w:w="0" w:type="dxa"/>
              <w:bottom w:w="40" w:type="dxa"/>
              <w:right w:w="20" w:type="dxa"/>
            </w:tcMar>
            <w:vAlign w:val="bottom"/>
          </w:tcPr>
          <w:p w14:paraId="392C73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C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C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C9" w14:textId="77777777" w:rsidR="00980E5F" w:rsidRDefault="00483613">
            <w:pPr>
              <w:jc w:val="right"/>
              <w:textAlignment w:val="bottom"/>
            </w:pPr>
            <w:r>
              <w:rPr>
                <w:rFonts w:ascii="Arial" w:eastAsia="宋体" w:hAnsi="Arial" w:cs="Arial"/>
                <w:color w:val="000000"/>
                <w:sz w:val="14"/>
                <w:szCs w:val="14"/>
              </w:rPr>
              <w:t>17,707 </w:t>
            </w:r>
          </w:p>
        </w:tc>
        <w:tc>
          <w:tcPr>
            <w:tcW w:w="0" w:type="auto"/>
            <w:shd w:val="clear" w:color="auto" w:fill="CCEEFF"/>
            <w:tcMar>
              <w:top w:w="40" w:type="dxa"/>
              <w:left w:w="0" w:type="dxa"/>
              <w:bottom w:w="40" w:type="dxa"/>
              <w:right w:w="20" w:type="dxa"/>
            </w:tcMar>
            <w:vAlign w:val="bottom"/>
          </w:tcPr>
          <w:p w14:paraId="392C73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3C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3C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3CD" w14:textId="77777777" w:rsidR="00980E5F" w:rsidRDefault="00483613">
            <w:pPr>
              <w:jc w:val="right"/>
              <w:textAlignment w:val="bottom"/>
            </w:pPr>
            <w:r>
              <w:rPr>
                <w:rFonts w:ascii="Arial" w:eastAsia="宋体" w:hAnsi="Arial" w:cs="Arial"/>
                <w:color w:val="000000"/>
                <w:sz w:val="14"/>
                <w:szCs w:val="14"/>
              </w:rPr>
              <w:t>33,410 </w:t>
            </w:r>
          </w:p>
        </w:tc>
        <w:tc>
          <w:tcPr>
            <w:tcW w:w="0" w:type="auto"/>
            <w:shd w:val="clear" w:color="auto" w:fill="CCEEFF"/>
            <w:tcMar>
              <w:top w:w="40" w:type="dxa"/>
              <w:left w:w="0" w:type="dxa"/>
              <w:bottom w:w="40" w:type="dxa"/>
              <w:right w:w="20" w:type="dxa"/>
            </w:tcMar>
            <w:vAlign w:val="bottom"/>
          </w:tcPr>
          <w:p w14:paraId="392C73CE" w14:textId="77777777" w:rsidR="00980E5F" w:rsidRDefault="00980E5F">
            <w:pPr>
              <w:jc w:val="right"/>
              <w:rPr>
                <w:rFonts w:ascii="宋体"/>
              </w:rPr>
            </w:pPr>
          </w:p>
        </w:tc>
      </w:tr>
      <w:tr w:rsidR="00980E5F" w14:paraId="392C73E2" w14:textId="77777777">
        <w:trPr>
          <w:hidden/>
        </w:trPr>
        <w:tc>
          <w:tcPr>
            <w:tcW w:w="0" w:type="auto"/>
            <w:gridSpan w:val="3"/>
            <w:shd w:val="clear" w:color="auto" w:fill="auto"/>
            <w:vAlign w:val="bottom"/>
          </w:tcPr>
          <w:p w14:paraId="392C73D0" w14:textId="77777777" w:rsidR="00980E5F" w:rsidRDefault="00980E5F">
            <w:pPr>
              <w:rPr>
                <w:rFonts w:ascii="宋体"/>
                <w:vanish/>
              </w:rPr>
            </w:pPr>
          </w:p>
        </w:tc>
        <w:tc>
          <w:tcPr>
            <w:tcW w:w="0" w:type="auto"/>
            <w:gridSpan w:val="3"/>
            <w:shd w:val="clear" w:color="auto" w:fill="auto"/>
            <w:vAlign w:val="bottom"/>
          </w:tcPr>
          <w:p w14:paraId="392C73D1" w14:textId="77777777" w:rsidR="00980E5F" w:rsidRDefault="00980E5F">
            <w:pPr>
              <w:rPr>
                <w:rFonts w:ascii="宋体"/>
                <w:vanish/>
              </w:rPr>
            </w:pPr>
          </w:p>
        </w:tc>
        <w:tc>
          <w:tcPr>
            <w:tcW w:w="0" w:type="auto"/>
            <w:gridSpan w:val="3"/>
            <w:shd w:val="clear" w:color="auto" w:fill="auto"/>
            <w:vAlign w:val="bottom"/>
          </w:tcPr>
          <w:p w14:paraId="392C73D2" w14:textId="77777777" w:rsidR="00980E5F" w:rsidRDefault="00980E5F">
            <w:pPr>
              <w:rPr>
                <w:rFonts w:ascii="宋体"/>
                <w:vanish/>
              </w:rPr>
            </w:pPr>
          </w:p>
        </w:tc>
        <w:tc>
          <w:tcPr>
            <w:tcW w:w="0" w:type="auto"/>
            <w:gridSpan w:val="3"/>
            <w:shd w:val="clear" w:color="auto" w:fill="auto"/>
            <w:vAlign w:val="bottom"/>
          </w:tcPr>
          <w:p w14:paraId="392C73D3" w14:textId="77777777" w:rsidR="00980E5F" w:rsidRDefault="00980E5F">
            <w:pPr>
              <w:rPr>
                <w:rFonts w:ascii="宋体"/>
                <w:vanish/>
              </w:rPr>
            </w:pPr>
          </w:p>
        </w:tc>
        <w:tc>
          <w:tcPr>
            <w:tcW w:w="0" w:type="auto"/>
            <w:gridSpan w:val="3"/>
            <w:shd w:val="clear" w:color="auto" w:fill="auto"/>
            <w:vAlign w:val="bottom"/>
          </w:tcPr>
          <w:p w14:paraId="392C73D4" w14:textId="77777777" w:rsidR="00980E5F" w:rsidRDefault="00980E5F">
            <w:pPr>
              <w:rPr>
                <w:rFonts w:ascii="宋体"/>
                <w:vanish/>
              </w:rPr>
            </w:pPr>
          </w:p>
        </w:tc>
        <w:tc>
          <w:tcPr>
            <w:tcW w:w="0" w:type="auto"/>
            <w:gridSpan w:val="3"/>
            <w:shd w:val="clear" w:color="auto" w:fill="auto"/>
            <w:vAlign w:val="bottom"/>
          </w:tcPr>
          <w:p w14:paraId="392C73D5" w14:textId="77777777" w:rsidR="00980E5F" w:rsidRDefault="00980E5F">
            <w:pPr>
              <w:rPr>
                <w:rFonts w:ascii="宋体"/>
                <w:vanish/>
              </w:rPr>
            </w:pPr>
          </w:p>
        </w:tc>
        <w:tc>
          <w:tcPr>
            <w:tcW w:w="0" w:type="auto"/>
            <w:gridSpan w:val="3"/>
            <w:shd w:val="clear" w:color="auto" w:fill="auto"/>
            <w:vAlign w:val="bottom"/>
          </w:tcPr>
          <w:p w14:paraId="392C73D6" w14:textId="77777777" w:rsidR="00980E5F" w:rsidRDefault="00980E5F">
            <w:pPr>
              <w:rPr>
                <w:rFonts w:ascii="宋体"/>
                <w:vanish/>
              </w:rPr>
            </w:pPr>
          </w:p>
        </w:tc>
        <w:tc>
          <w:tcPr>
            <w:tcW w:w="0" w:type="auto"/>
            <w:gridSpan w:val="3"/>
            <w:shd w:val="clear" w:color="auto" w:fill="auto"/>
            <w:vAlign w:val="bottom"/>
          </w:tcPr>
          <w:p w14:paraId="392C73D7" w14:textId="77777777" w:rsidR="00980E5F" w:rsidRDefault="00980E5F">
            <w:pPr>
              <w:rPr>
                <w:rFonts w:ascii="宋体"/>
                <w:vanish/>
              </w:rPr>
            </w:pPr>
          </w:p>
        </w:tc>
        <w:tc>
          <w:tcPr>
            <w:tcW w:w="0" w:type="auto"/>
            <w:gridSpan w:val="3"/>
            <w:shd w:val="clear" w:color="auto" w:fill="auto"/>
            <w:vAlign w:val="bottom"/>
          </w:tcPr>
          <w:p w14:paraId="392C73D8" w14:textId="77777777" w:rsidR="00980E5F" w:rsidRDefault="00980E5F">
            <w:pPr>
              <w:rPr>
                <w:rFonts w:ascii="宋体"/>
                <w:vanish/>
              </w:rPr>
            </w:pPr>
          </w:p>
        </w:tc>
        <w:tc>
          <w:tcPr>
            <w:tcW w:w="0" w:type="auto"/>
            <w:gridSpan w:val="3"/>
            <w:shd w:val="clear" w:color="auto" w:fill="auto"/>
            <w:vAlign w:val="bottom"/>
          </w:tcPr>
          <w:p w14:paraId="392C73D9" w14:textId="77777777" w:rsidR="00980E5F" w:rsidRDefault="00980E5F">
            <w:pPr>
              <w:rPr>
                <w:rFonts w:ascii="宋体"/>
                <w:vanish/>
              </w:rPr>
            </w:pPr>
          </w:p>
        </w:tc>
        <w:tc>
          <w:tcPr>
            <w:tcW w:w="0" w:type="auto"/>
            <w:gridSpan w:val="3"/>
            <w:shd w:val="clear" w:color="auto" w:fill="auto"/>
            <w:vAlign w:val="bottom"/>
          </w:tcPr>
          <w:p w14:paraId="392C73DA" w14:textId="77777777" w:rsidR="00980E5F" w:rsidRDefault="00980E5F">
            <w:pPr>
              <w:rPr>
                <w:rFonts w:ascii="宋体"/>
                <w:vanish/>
              </w:rPr>
            </w:pPr>
          </w:p>
        </w:tc>
        <w:tc>
          <w:tcPr>
            <w:tcW w:w="0" w:type="auto"/>
            <w:shd w:val="clear" w:color="auto" w:fill="auto"/>
            <w:vAlign w:val="bottom"/>
          </w:tcPr>
          <w:p w14:paraId="392C73DB" w14:textId="77777777" w:rsidR="00980E5F" w:rsidRDefault="00980E5F">
            <w:pPr>
              <w:rPr>
                <w:rFonts w:ascii="宋体"/>
                <w:vanish/>
              </w:rPr>
            </w:pPr>
          </w:p>
        </w:tc>
        <w:tc>
          <w:tcPr>
            <w:tcW w:w="0" w:type="auto"/>
            <w:shd w:val="clear" w:color="auto" w:fill="auto"/>
            <w:vAlign w:val="bottom"/>
          </w:tcPr>
          <w:p w14:paraId="392C73DC" w14:textId="77777777" w:rsidR="00980E5F" w:rsidRDefault="00980E5F">
            <w:pPr>
              <w:rPr>
                <w:rFonts w:ascii="宋体"/>
                <w:vanish/>
              </w:rPr>
            </w:pPr>
          </w:p>
        </w:tc>
        <w:tc>
          <w:tcPr>
            <w:tcW w:w="0" w:type="auto"/>
            <w:gridSpan w:val="3"/>
            <w:shd w:val="clear" w:color="auto" w:fill="auto"/>
            <w:vAlign w:val="bottom"/>
          </w:tcPr>
          <w:p w14:paraId="392C73DD" w14:textId="77777777" w:rsidR="00980E5F" w:rsidRDefault="00980E5F">
            <w:pPr>
              <w:rPr>
                <w:rFonts w:ascii="宋体"/>
                <w:vanish/>
              </w:rPr>
            </w:pPr>
          </w:p>
        </w:tc>
        <w:tc>
          <w:tcPr>
            <w:tcW w:w="0" w:type="auto"/>
            <w:gridSpan w:val="3"/>
            <w:shd w:val="clear" w:color="auto" w:fill="auto"/>
            <w:vAlign w:val="bottom"/>
          </w:tcPr>
          <w:p w14:paraId="392C73DE" w14:textId="77777777" w:rsidR="00980E5F" w:rsidRDefault="00980E5F">
            <w:pPr>
              <w:rPr>
                <w:rFonts w:ascii="宋体"/>
                <w:vanish/>
              </w:rPr>
            </w:pPr>
          </w:p>
        </w:tc>
        <w:tc>
          <w:tcPr>
            <w:tcW w:w="0" w:type="auto"/>
            <w:gridSpan w:val="3"/>
            <w:shd w:val="clear" w:color="auto" w:fill="auto"/>
            <w:vAlign w:val="bottom"/>
          </w:tcPr>
          <w:p w14:paraId="392C73DF" w14:textId="77777777" w:rsidR="00980E5F" w:rsidRDefault="00980E5F">
            <w:pPr>
              <w:rPr>
                <w:rFonts w:ascii="宋体"/>
                <w:vanish/>
              </w:rPr>
            </w:pPr>
          </w:p>
        </w:tc>
        <w:tc>
          <w:tcPr>
            <w:tcW w:w="0" w:type="auto"/>
            <w:gridSpan w:val="3"/>
            <w:shd w:val="clear" w:color="auto" w:fill="auto"/>
            <w:vAlign w:val="bottom"/>
          </w:tcPr>
          <w:p w14:paraId="392C73E0" w14:textId="77777777" w:rsidR="00980E5F" w:rsidRDefault="00980E5F">
            <w:pPr>
              <w:rPr>
                <w:rFonts w:ascii="宋体"/>
                <w:vanish/>
              </w:rPr>
            </w:pPr>
          </w:p>
        </w:tc>
        <w:tc>
          <w:tcPr>
            <w:tcW w:w="0" w:type="auto"/>
            <w:gridSpan w:val="3"/>
            <w:shd w:val="clear" w:color="auto" w:fill="auto"/>
            <w:vAlign w:val="bottom"/>
          </w:tcPr>
          <w:p w14:paraId="392C73E1" w14:textId="77777777" w:rsidR="00980E5F" w:rsidRDefault="00980E5F">
            <w:pPr>
              <w:rPr>
                <w:rFonts w:ascii="宋体"/>
                <w:vanish/>
              </w:rPr>
            </w:pPr>
          </w:p>
        </w:tc>
      </w:tr>
      <w:tr w:rsidR="00980E5F" w14:paraId="392C73F5" w14:textId="77777777">
        <w:trPr>
          <w:hidden/>
        </w:trPr>
        <w:tc>
          <w:tcPr>
            <w:tcW w:w="0" w:type="auto"/>
            <w:gridSpan w:val="3"/>
            <w:shd w:val="clear" w:color="auto" w:fill="auto"/>
            <w:vAlign w:val="bottom"/>
          </w:tcPr>
          <w:p w14:paraId="392C73E3" w14:textId="77777777" w:rsidR="00980E5F" w:rsidRDefault="00980E5F">
            <w:pPr>
              <w:rPr>
                <w:rFonts w:ascii="宋体"/>
                <w:vanish/>
              </w:rPr>
            </w:pPr>
          </w:p>
        </w:tc>
        <w:tc>
          <w:tcPr>
            <w:tcW w:w="0" w:type="auto"/>
            <w:gridSpan w:val="3"/>
            <w:shd w:val="clear" w:color="auto" w:fill="auto"/>
            <w:vAlign w:val="bottom"/>
          </w:tcPr>
          <w:p w14:paraId="392C73E4" w14:textId="77777777" w:rsidR="00980E5F" w:rsidRDefault="00980E5F">
            <w:pPr>
              <w:rPr>
                <w:rFonts w:ascii="宋体"/>
                <w:vanish/>
              </w:rPr>
            </w:pPr>
          </w:p>
        </w:tc>
        <w:tc>
          <w:tcPr>
            <w:tcW w:w="0" w:type="auto"/>
            <w:gridSpan w:val="3"/>
            <w:shd w:val="clear" w:color="auto" w:fill="auto"/>
            <w:vAlign w:val="bottom"/>
          </w:tcPr>
          <w:p w14:paraId="392C73E5" w14:textId="77777777" w:rsidR="00980E5F" w:rsidRDefault="00980E5F">
            <w:pPr>
              <w:rPr>
                <w:rFonts w:ascii="宋体"/>
                <w:vanish/>
              </w:rPr>
            </w:pPr>
          </w:p>
        </w:tc>
        <w:tc>
          <w:tcPr>
            <w:tcW w:w="0" w:type="auto"/>
            <w:gridSpan w:val="3"/>
            <w:shd w:val="clear" w:color="auto" w:fill="auto"/>
            <w:vAlign w:val="bottom"/>
          </w:tcPr>
          <w:p w14:paraId="392C73E6" w14:textId="77777777" w:rsidR="00980E5F" w:rsidRDefault="00980E5F">
            <w:pPr>
              <w:rPr>
                <w:rFonts w:ascii="宋体"/>
                <w:vanish/>
              </w:rPr>
            </w:pPr>
          </w:p>
        </w:tc>
        <w:tc>
          <w:tcPr>
            <w:tcW w:w="0" w:type="auto"/>
            <w:gridSpan w:val="3"/>
            <w:shd w:val="clear" w:color="auto" w:fill="auto"/>
            <w:vAlign w:val="bottom"/>
          </w:tcPr>
          <w:p w14:paraId="392C73E7" w14:textId="77777777" w:rsidR="00980E5F" w:rsidRDefault="00980E5F">
            <w:pPr>
              <w:rPr>
                <w:rFonts w:ascii="宋体"/>
                <w:vanish/>
              </w:rPr>
            </w:pPr>
          </w:p>
        </w:tc>
        <w:tc>
          <w:tcPr>
            <w:tcW w:w="0" w:type="auto"/>
            <w:gridSpan w:val="3"/>
            <w:shd w:val="clear" w:color="auto" w:fill="auto"/>
            <w:vAlign w:val="bottom"/>
          </w:tcPr>
          <w:p w14:paraId="392C73E8" w14:textId="77777777" w:rsidR="00980E5F" w:rsidRDefault="00980E5F">
            <w:pPr>
              <w:rPr>
                <w:rFonts w:ascii="宋体"/>
                <w:vanish/>
              </w:rPr>
            </w:pPr>
          </w:p>
        </w:tc>
        <w:tc>
          <w:tcPr>
            <w:tcW w:w="0" w:type="auto"/>
            <w:gridSpan w:val="3"/>
            <w:shd w:val="clear" w:color="auto" w:fill="auto"/>
            <w:vAlign w:val="bottom"/>
          </w:tcPr>
          <w:p w14:paraId="392C73E9" w14:textId="77777777" w:rsidR="00980E5F" w:rsidRDefault="00980E5F">
            <w:pPr>
              <w:rPr>
                <w:rFonts w:ascii="宋体"/>
                <w:vanish/>
              </w:rPr>
            </w:pPr>
          </w:p>
        </w:tc>
        <w:tc>
          <w:tcPr>
            <w:tcW w:w="0" w:type="auto"/>
            <w:gridSpan w:val="3"/>
            <w:shd w:val="clear" w:color="auto" w:fill="auto"/>
            <w:vAlign w:val="bottom"/>
          </w:tcPr>
          <w:p w14:paraId="392C73EA" w14:textId="77777777" w:rsidR="00980E5F" w:rsidRDefault="00980E5F">
            <w:pPr>
              <w:rPr>
                <w:rFonts w:ascii="宋体"/>
                <w:vanish/>
              </w:rPr>
            </w:pPr>
          </w:p>
        </w:tc>
        <w:tc>
          <w:tcPr>
            <w:tcW w:w="0" w:type="auto"/>
            <w:gridSpan w:val="3"/>
            <w:shd w:val="clear" w:color="auto" w:fill="auto"/>
            <w:vAlign w:val="bottom"/>
          </w:tcPr>
          <w:p w14:paraId="392C73EB" w14:textId="77777777" w:rsidR="00980E5F" w:rsidRDefault="00980E5F">
            <w:pPr>
              <w:rPr>
                <w:rFonts w:ascii="宋体"/>
                <w:vanish/>
              </w:rPr>
            </w:pPr>
          </w:p>
        </w:tc>
        <w:tc>
          <w:tcPr>
            <w:tcW w:w="0" w:type="auto"/>
            <w:gridSpan w:val="3"/>
            <w:shd w:val="clear" w:color="auto" w:fill="auto"/>
            <w:vAlign w:val="bottom"/>
          </w:tcPr>
          <w:p w14:paraId="392C73EC" w14:textId="77777777" w:rsidR="00980E5F" w:rsidRDefault="00980E5F">
            <w:pPr>
              <w:rPr>
                <w:rFonts w:ascii="宋体"/>
                <w:vanish/>
              </w:rPr>
            </w:pPr>
          </w:p>
        </w:tc>
        <w:tc>
          <w:tcPr>
            <w:tcW w:w="0" w:type="auto"/>
            <w:gridSpan w:val="3"/>
            <w:shd w:val="clear" w:color="auto" w:fill="auto"/>
            <w:vAlign w:val="bottom"/>
          </w:tcPr>
          <w:p w14:paraId="392C73ED" w14:textId="77777777" w:rsidR="00980E5F" w:rsidRDefault="00980E5F">
            <w:pPr>
              <w:rPr>
                <w:rFonts w:ascii="宋体"/>
                <w:vanish/>
              </w:rPr>
            </w:pPr>
          </w:p>
        </w:tc>
        <w:tc>
          <w:tcPr>
            <w:tcW w:w="0" w:type="auto"/>
            <w:shd w:val="clear" w:color="auto" w:fill="auto"/>
            <w:vAlign w:val="bottom"/>
          </w:tcPr>
          <w:p w14:paraId="392C73EE" w14:textId="77777777" w:rsidR="00980E5F" w:rsidRDefault="00980E5F">
            <w:pPr>
              <w:rPr>
                <w:rFonts w:ascii="宋体"/>
                <w:vanish/>
              </w:rPr>
            </w:pPr>
          </w:p>
        </w:tc>
        <w:tc>
          <w:tcPr>
            <w:tcW w:w="0" w:type="auto"/>
            <w:shd w:val="clear" w:color="auto" w:fill="auto"/>
            <w:vAlign w:val="bottom"/>
          </w:tcPr>
          <w:p w14:paraId="392C73EF" w14:textId="77777777" w:rsidR="00980E5F" w:rsidRDefault="00980E5F">
            <w:pPr>
              <w:rPr>
                <w:rFonts w:ascii="宋体"/>
                <w:vanish/>
              </w:rPr>
            </w:pPr>
          </w:p>
        </w:tc>
        <w:tc>
          <w:tcPr>
            <w:tcW w:w="0" w:type="auto"/>
            <w:gridSpan w:val="3"/>
            <w:shd w:val="clear" w:color="auto" w:fill="auto"/>
            <w:vAlign w:val="bottom"/>
          </w:tcPr>
          <w:p w14:paraId="392C73F0" w14:textId="77777777" w:rsidR="00980E5F" w:rsidRDefault="00980E5F">
            <w:pPr>
              <w:rPr>
                <w:rFonts w:ascii="宋体"/>
                <w:vanish/>
              </w:rPr>
            </w:pPr>
          </w:p>
        </w:tc>
        <w:tc>
          <w:tcPr>
            <w:tcW w:w="0" w:type="auto"/>
            <w:gridSpan w:val="3"/>
            <w:shd w:val="clear" w:color="auto" w:fill="auto"/>
            <w:vAlign w:val="bottom"/>
          </w:tcPr>
          <w:p w14:paraId="392C73F1" w14:textId="77777777" w:rsidR="00980E5F" w:rsidRDefault="00980E5F">
            <w:pPr>
              <w:rPr>
                <w:rFonts w:ascii="宋体"/>
                <w:vanish/>
              </w:rPr>
            </w:pPr>
          </w:p>
        </w:tc>
        <w:tc>
          <w:tcPr>
            <w:tcW w:w="0" w:type="auto"/>
            <w:gridSpan w:val="3"/>
            <w:shd w:val="clear" w:color="auto" w:fill="auto"/>
            <w:vAlign w:val="bottom"/>
          </w:tcPr>
          <w:p w14:paraId="392C73F2" w14:textId="77777777" w:rsidR="00980E5F" w:rsidRDefault="00980E5F">
            <w:pPr>
              <w:rPr>
                <w:rFonts w:ascii="宋体"/>
                <w:vanish/>
              </w:rPr>
            </w:pPr>
          </w:p>
        </w:tc>
        <w:tc>
          <w:tcPr>
            <w:tcW w:w="0" w:type="auto"/>
            <w:gridSpan w:val="3"/>
            <w:shd w:val="clear" w:color="auto" w:fill="auto"/>
            <w:vAlign w:val="bottom"/>
          </w:tcPr>
          <w:p w14:paraId="392C73F3" w14:textId="77777777" w:rsidR="00980E5F" w:rsidRDefault="00980E5F">
            <w:pPr>
              <w:rPr>
                <w:rFonts w:ascii="宋体"/>
                <w:vanish/>
              </w:rPr>
            </w:pPr>
          </w:p>
        </w:tc>
        <w:tc>
          <w:tcPr>
            <w:tcW w:w="0" w:type="auto"/>
            <w:gridSpan w:val="3"/>
            <w:shd w:val="clear" w:color="auto" w:fill="auto"/>
            <w:vAlign w:val="bottom"/>
          </w:tcPr>
          <w:p w14:paraId="392C73F4" w14:textId="77777777" w:rsidR="00980E5F" w:rsidRDefault="00980E5F">
            <w:pPr>
              <w:rPr>
                <w:rFonts w:ascii="宋体"/>
                <w:vanish/>
              </w:rPr>
            </w:pPr>
          </w:p>
        </w:tc>
      </w:tr>
      <w:tr w:rsidR="00980E5F" w14:paraId="392C7408" w14:textId="77777777">
        <w:trPr>
          <w:hidden/>
        </w:trPr>
        <w:tc>
          <w:tcPr>
            <w:tcW w:w="0" w:type="auto"/>
            <w:gridSpan w:val="3"/>
            <w:shd w:val="clear" w:color="auto" w:fill="auto"/>
            <w:vAlign w:val="bottom"/>
          </w:tcPr>
          <w:p w14:paraId="392C73F6" w14:textId="77777777" w:rsidR="00980E5F" w:rsidRDefault="00980E5F">
            <w:pPr>
              <w:rPr>
                <w:rFonts w:ascii="宋体"/>
                <w:vanish/>
              </w:rPr>
            </w:pPr>
          </w:p>
        </w:tc>
        <w:tc>
          <w:tcPr>
            <w:tcW w:w="0" w:type="auto"/>
            <w:gridSpan w:val="3"/>
            <w:shd w:val="clear" w:color="auto" w:fill="auto"/>
            <w:vAlign w:val="bottom"/>
          </w:tcPr>
          <w:p w14:paraId="392C73F7" w14:textId="77777777" w:rsidR="00980E5F" w:rsidRDefault="00980E5F">
            <w:pPr>
              <w:rPr>
                <w:rFonts w:ascii="宋体"/>
                <w:vanish/>
              </w:rPr>
            </w:pPr>
          </w:p>
        </w:tc>
        <w:tc>
          <w:tcPr>
            <w:tcW w:w="0" w:type="auto"/>
            <w:gridSpan w:val="3"/>
            <w:shd w:val="clear" w:color="auto" w:fill="auto"/>
            <w:vAlign w:val="bottom"/>
          </w:tcPr>
          <w:p w14:paraId="392C73F8" w14:textId="77777777" w:rsidR="00980E5F" w:rsidRDefault="00980E5F">
            <w:pPr>
              <w:rPr>
                <w:rFonts w:ascii="宋体"/>
                <w:vanish/>
              </w:rPr>
            </w:pPr>
          </w:p>
        </w:tc>
        <w:tc>
          <w:tcPr>
            <w:tcW w:w="0" w:type="auto"/>
            <w:gridSpan w:val="3"/>
            <w:shd w:val="clear" w:color="auto" w:fill="auto"/>
            <w:vAlign w:val="bottom"/>
          </w:tcPr>
          <w:p w14:paraId="392C73F9" w14:textId="77777777" w:rsidR="00980E5F" w:rsidRDefault="00980E5F">
            <w:pPr>
              <w:rPr>
                <w:rFonts w:ascii="宋体"/>
                <w:vanish/>
              </w:rPr>
            </w:pPr>
          </w:p>
        </w:tc>
        <w:tc>
          <w:tcPr>
            <w:tcW w:w="0" w:type="auto"/>
            <w:gridSpan w:val="3"/>
            <w:shd w:val="clear" w:color="auto" w:fill="auto"/>
            <w:vAlign w:val="bottom"/>
          </w:tcPr>
          <w:p w14:paraId="392C73FA" w14:textId="77777777" w:rsidR="00980E5F" w:rsidRDefault="00980E5F">
            <w:pPr>
              <w:rPr>
                <w:rFonts w:ascii="宋体"/>
                <w:vanish/>
              </w:rPr>
            </w:pPr>
          </w:p>
        </w:tc>
        <w:tc>
          <w:tcPr>
            <w:tcW w:w="0" w:type="auto"/>
            <w:gridSpan w:val="3"/>
            <w:shd w:val="clear" w:color="auto" w:fill="auto"/>
            <w:vAlign w:val="bottom"/>
          </w:tcPr>
          <w:p w14:paraId="392C73FB" w14:textId="77777777" w:rsidR="00980E5F" w:rsidRDefault="00980E5F">
            <w:pPr>
              <w:rPr>
                <w:rFonts w:ascii="宋体"/>
                <w:vanish/>
              </w:rPr>
            </w:pPr>
          </w:p>
        </w:tc>
        <w:tc>
          <w:tcPr>
            <w:tcW w:w="0" w:type="auto"/>
            <w:gridSpan w:val="3"/>
            <w:shd w:val="clear" w:color="auto" w:fill="auto"/>
            <w:vAlign w:val="bottom"/>
          </w:tcPr>
          <w:p w14:paraId="392C73FC" w14:textId="77777777" w:rsidR="00980E5F" w:rsidRDefault="00980E5F">
            <w:pPr>
              <w:rPr>
                <w:rFonts w:ascii="宋体"/>
                <w:vanish/>
              </w:rPr>
            </w:pPr>
          </w:p>
        </w:tc>
        <w:tc>
          <w:tcPr>
            <w:tcW w:w="0" w:type="auto"/>
            <w:gridSpan w:val="3"/>
            <w:shd w:val="clear" w:color="auto" w:fill="auto"/>
            <w:vAlign w:val="bottom"/>
          </w:tcPr>
          <w:p w14:paraId="392C73FD" w14:textId="77777777" w:rsidR="00980E5F" w:rsidRDefault="00980E5F">
            <w:pPr>
              <w:rPr>
                <w:rFonts w:ascii="宋体"/>
                <w:vanish/>
              </w:rPr>
            </w:pPr>
          </w:p>
        </w:tc>
        <w:tc>
          <w:tcPr>
            <w:tcW w:w="0" w:type="auto"/>
            <w:gridSpan w:val="3"/>
            <w:shd w:val="clear" w:color="auto" w:fill="auto"/>
            <w:vAlign w:val="bottom"/>
          </w:tcPr>
          <w:p w14:paraId="392C73FE" w14:textId="77777777" w:rsidR="00980E5F" w:rsidRDefault="00980E5F">
            <w:pPr>
              <w:rPr>
                <w:rFonts w:ascii="宋体"/>
                <w:vanish/>
              </w:rPr>
            </w:pPr>
          </w:p>
        </w:tc>
        <w:tc>
          <w:tcPr>
            <w:tcW w:w="0" w:type="auto"/>
            <w:gridSpan w:val="3"/>
            <w:shd w:val="clear" w:color="auto" w:fill="auto"/>
            <w:vAlign w:val="bottom"/>
          </w:tcPr>
          <w:p w14:paraId="392C73FF" w14:textId="77777777" w:rsidR="00980E5F" w:rsidRDefault="00980E5F">
            <w:pPr>
              <w:rPr>
                <w:rFonts w:ascii="宋体"/>
                <w:vanish/>
              </w:rPr>
            </w:pPr>
          </w:p>
        </w:tc>
        <w:tc>
          <w:tcPr>
            <w:tcW w:w="0" w:type="auto"/>
            <w:gridSpan w:val="3"/>
            <w:shd w:val="clear" w:color="auto" w:fill="auto"/>
            <w:vAlign w:val="bottom"/>
          </w:tcPr>
          <w:p w14:paraId="392C7400" w14:textId="77777777" w:rsidR="00980E5F" w:rsidRDefault="00980E5F">
            <w:pPr>
              <w:rPr>
                <w:rFonts w:ascii="宋体"/>
                <w:vanish/>
              </w:rPr>
            </w:pPr>
          </w:p>
        </w:tc>
        <w:tc>
          <w:tcPr>
            <w:tcW w:w="0" w:type="auto"/>
            <w:shd w:val="clear" w:color="auto" w:fill="auto"/>
            <w:vAlign w:val="bottom"/>
          </w:tcPr>
          <w:p w14:paraId="392C7401" w14:textId="77777777" w:rsidR="00980E5F" w:rsidRDefault="00980E5F">
            <w:pPr>
              <w:rPr>
                <w:rFonts w:ascii="宋体"/>
                <w:vanish/>
              </w:rPr>
            </w:pPr>
          </w:p>
        </w:tc>
        <w:tc>
          <w:tcPr>
            <w:tcW w:w="0" w:type="auto"/>
            <w:shd w:val="clear" w:color="auto" w:fill="auto"/>
            <w:vAlign w:val="bottom"/>
          </w:tcPr>
          <w:p w14:paraId="392C7402" w14:textId="77777777" w:rsidR="00980E5F" w:rsidRDefault="00980E5F">
            <w:pPr>
              <w:rPr>
                <w:rFonts w:ascii="宋体"/>
                <w:vanish/>
              </w:rPr>
            </w:pPr>
          </w:p>
        </w:tc>
        <w:tc>
          <w:tcPr>
            <w:tcW w:w="0" w:type="auto"/>
            <w:gridSpan w:val="3"/>
            <w:shd w:val="clear" w:color="auto" w:fill="auto"/>
            <w:vAlign w:val="bottom"/>
          </w:tcPr>
          <w:p w14:paraId="392C7403" w14:textId="77777777" w:rsidR="00980E5F" w:rsidRDefault="00980E5F">
            <w:pPr>
              <w:rPr>
                <w:rFonts w:ascii="宋体"/>
                <w:vanish/>
              </w:rPr>
            </w:pPr>
          </w:p>
        </w:tc>
        <w:tc>
          <w:tcPr>
            <w:tcW w:w="0" w:type="auto"/>
            <w:gridSpan w:val="3"/>
            <w:shd w:val="clear" w:color="auto" w:fill="auto"/>
            <w:vAlign w:val="bottom"/>
          </w:tcPr>
          <w:p w14:paraId="392C7404" w14:textId="77777777" w:rsidR="00980E5F" w:rsidRDefault="00980E5F">
            <w:pPr>
              <w:rPr>
                <w:rFonts w:ascii="宋体"/>
                <w:vanish/>
              </w:rPr>
            </w:pPr>
          </w:p>
        </w:tc>
        <w:tc>
          <w:tcPr>
            <w:tcW w:w="0" w:type="auto"/>
            <w:gridSpan w:val="3"/>
            <w:shd w:val="clear" w:color="auto" w:fill="auto"/>
            <w:vAlign w:val="bottom"/>
          </w:tcPr>
          <w:p w14:paraId="392C7405" w14:textId="77777777" w:rsidR="00980E5F" w:rsidRDefault="00980E5F">
            <w:pPr>
              <w:rPr>
                <w:rFonts w:ascii="宋体"/>
                <w:vanish/>
              </w:rPr>
            </w:pPr>
          </w:p>
        </w:tc>
        <w:tc>
          <w:tcPr>
            <w:tcW w:w="0" w:type="auto"/>
            <w:gridSpan w:val="3"/>
            <w:shd w:val="clear" w:color="auto" w:fill="auto"/>
            <w:vAlign w:val="bottom"/>
          </w:tcPr>
          <w:p w14:paraId="392C7406" w14:textId="77777777" w:rsidR="00980E5F" w:rsidRDefault="00980E5F">
            <w:pPr>
              <w:rPr>
                <w:rFonts w:ascii="宋体"/>
                <w:vanish/>
              </w:rPr>
            </w:pPr>
          </w:p>
        </w:tc>
        <w:tc>
          <w:tcPr>
            <w:tcW w:w="0" w:type="auto"/>
            <w:gridSpan w:val="3"/>
            <w:shd w:val="clear" w:color="auto" w:fill="auto"/>
            <w:vAlign w:val="bottom"/>
          </w:tcPr>
          <w:p w14:paraId="392C7407" w14:textId="77777777" w:rsidR="00980E5F" w:rsidRDefault="00980E5F">
            <w:pPr>
              <w:rPr>
                <w:rFonts w:ascii="宋体"/>
                <w:vanish/>
              </w:rPr>
            </w:pPr>
          </w:p>
        </w:tc>
      </w:tr>
      <w:tr w:rsidR="00980E5F" w14:paraId="392C741B" w14:textId="77777777">
        <w:trPr>
          <w:hidden/>
        </w:trPr>
        <w:tc>
          <w:tcPr>
            <w:tcW w:w="0" w:type="auto"/>
            <w:gridSpan w:val="3"/>
            <w:shd w:val="clear" w:color="auto" w:fill="auto"/>
            <w:vAlign w:val="bottom"/>
          </w:tcPr>
          <w:p w14:paraId="392C7409" w14:textId="77777777" w:rsidR="00980E5F" w:rsidRDefault="00980E5F">
            <w:pPr>
              <w:rPr>
                <w:rFonts w:ascii="宋体"/>
                <w:vanish/>
              </w:rPr>
            </w:pPr>
          </w:p>
        </w:tc>
        <w:tc>
          <w:tcPr>
            <w:tcW w:w="0" w:type="auto"/>
            <w:gridSpan w:val="3"/>
            <w:shd w:val="clear" w:color="auto" w:fill="auto"/>
            <w:vAlign w:val="bottom"/>
          </w:tcPr>
          <w:p w14:paraId="392C740A" w14:textId="77777777" w:rsidR="00980E5F" w:rsidRDefault="00980E5F">
            <w:pPr>
              <w:rPr>
                <w:rFonts w:ascii="宋体"/>
                <w:vanish/>
              </w:rPr>
            </w:pPr>
          </w:p>
        </w:tc>
        <w:tc>
          <w:tcPr>
            <w:tcW w:w="0" w:type="auto"/>
            <w:gridSpan w:val="3"/>
            <w:shd w:val="clear" w:color="auto" w:fill="auto"/>
            <w:vAlign w:val="bottom"/>
          </w:tcPr>
          <w:p w14:paraId="392C740B" w14:textId="77777777" w:rsidR="00980E5F" w:rsidRDefault="00980E5F">
            <w:pPr>
              <w:rPr>
                <w:rFonts w:ascii="宋体"/>
                <w:vanish/>
              </w:rPr>
            </w:pPr>
          </w:p>
        </w:tc>
        <w:tc>
          <w:tcPr>
            <w:tcW w:w="0" w:type="auto"/>
            <w:gridSpan w:val="3"/>
            <w:shd w:val="clear" w:color="auto" w:fill="auto"/>
            <w:vAlign w:val="bottom"/>
          </w:tcPr>
          <w:p w14:paraId="392C740C" w14:textId="77777777" w:rsidR="00980E5F" w:rsidRDefault="00980E5F">
            <w:pPr>
              <w:rPr>
                <w:rFonts w:ascii="宋体"/>
                <w:vanish/>
              </w:rPr>
            </w:pPr>
          </w:p>
        </w:tc>
        <w:tc>
          <w:tcPr>
            <w:tcW w:w="0" w:type="auto"/>
            <w:gridSpan w:val="3"/>
            <w:shd w:val="clear" w:color="auto" w:fill="auto"/>
            <w:vAlign w:val="bottom"/>
          </w:tcPr>
          <w:p w14:paraId="392C740D" w14:textId="77777777" w:rsidR="00980E5F" w:rsidRDefault="00980E5F">
            <w:pPr>
              <w:rPr>
                <w:rFonts w:ascii="宋体"/>
                <w:vanish/>
              </w:rPr>
            </w:pPr>
          </w:p>
        </w:tc>
        <w:tc>
          <w:tcPr>
            <w:tcW w:w="0" w:type="auto"/>
            <w:gridSpan w:val="3"/>
            <w:shd w:val="clear" w:color="auto" w:fill="auto"/>
            <w:vAlign w:val="bottom"/>
          </w:tcPr>
          <w:p w14:paraId="392C740E" w14:textId="77777777" w:rsidR="00980E5F" w:rsidRDefault="00980E5F">
            <w:pPr>
              <w:rPr>
                <w:rFonts w:ascii="宋体"/>
                <w:vanish/>
              </w:rPr>
            </w:pPr>
          </w:p>
        </w:tc>
        <w:tc>
          <w:tcPr>
            <w:tcW w:w="0" w:type="auto"/>
            <w:gridSpan w:val="3"/>
            <w:shd w:val="clear" w:color="auto" w:fill="auto"/>
            <w:vAlign w:val="bottom"/>
          </w:tcPr>
          <w:p w14:paraId="392C740F" w14:textId="77777777" w:rsidR="00980E5F" w:rsidRDefault="00980E5F">
            <w:pPr>
              <w:rPr>
                <w:rFonts w:ascii="宋体"/>
                <w:vanish/>
              </w:rPr>
            </w:pPr>
          </w:p>
        </w:tc>
        <w:tc>
          <w:tcPr>
            <w:tcW w:w="0" w:type="auto"/>
            <w:gridSpan w:val="3"/>
            <w:shd w:val="clear" w:color="auto" w:fill="auto"/>
            <w:vAlign w:val="bottom"/>
          </w:tcPr>
          <w:p w14:paraId="392C7410" w14:textId="77777777" w:rsidR="00980E5F" w:rsidRDefault="00980E5F">
            <w:pPr>
              <w:rPr>
                <w:rFonts w:ascii="宋体"/>
                <w:vanish/>
              </w:rPr>
            </w:pPr>
          </w:p>
        </w:tc>
        <w:tc>
          <w:tcPr>
            <w:tcW w:w="0" w:type="auto"/>
            <w:gridSpan w:val="3"/>
            <w:shd w:val="clear" w:color="auto" w:fill="auto"/>
            <w:vAlign w:val="bottom"/>
          </w:tcPr>
          <w:p w14:paraId="392C7411" w14:textId="77777777" w:rsidR="00980E5F" w:rsidRDefault="00980E5F">
            <w:pPr>
              <w:rPr>
                <w:rFonts w:ascii="宋体"/>
                <w:vanish/>
              </w:rPr>
            </w:pPr>
          </w:p>
        </w:tc>
        <w:tc>
          <w:tcPr>
            <w:tcW w:w="0" w:type="auto"/>
            <w:gridSpan w:val="3"/>
            <w:shd w:val="clear" w:color="auto" w:fill="auto"/>
            <w:vAlign w:val="bottom"/>
          </w:tcPr>
          <w:p w14:paraId="392C7412" w14:textId="77777777" w:rsidR="00980E5F" w:rsidRDefault="00980E5F">
            <w:pPr>
              <w:rPr>
                <w:rFonts w:ascii="宋体"/>
                <w:vanish/>
              </w:rPr>
            </w:pPr>
          </w:p>
        </w:tc>
        <w:tc>
          <w:tcPr>
            <w:tcW w:w="0" w:type="auto"/>
            <w:gridSpan w:val="3"/>
            <w:shd w:val="clear" w:color="auto" w:fill="auto"/>
            <w:vAlign w:val="bottom"/>
          </w:tcPr>
          <w:p w14:paraId="392C7413" w14:textId="77777777" w:rsidR="00980E5F" w:rsidRDefault="00980E5F">
            <w:pPr>
              <w:rPr>
                <w:rFonts w:ascii="宋体"/>
                <w:vanish/>
              </w:rPr>
            </w:pPr>
          </w:p>
        </w:tc>
        <w:tc>
          <w:tcPr>
            <w:tcW w:w="0" w:type="auto"/>
            <w:shd w:val="clear" w:color="auto" w:fill="auto"/>
            <w:vAlign w:val="bottom"/>
          </w:tcPr>
          <w:p w14:paraId="392C7414" w14:textId="77777777" w:rsidR="00980E5F" w:rsidRDefault="00980E5F">
            <w:pPr>
              <w:rPr>
                <w:rFonts w:ascii="宋体"/>
                <w:vanish/>
              </w:rPr>
            </w:pPr>
          </w:p>
        </w:tc>
        <w:tc>
          <w:tcPr>
            <w:tcW w:w="0" w:type="auto"/>
            <w:shd w:val="clear" w:color="auto" w:fill="auto"/>
            <w:vAlign w:val="bottom"/>
          </w:tcPr>
          <w:p w14:paraId="392C7415" w14:textId="77777777" w:rsidR="00980E5F" w:rsidRDefault="00980E5F">
            <w:pPr>
              <w:rPr>
                <w:rFonts w:ascii="宋体"/>
                <w:vanish/>
              </w:rPr>
            </w:pPr>
          </w:p>
        </w:tc>
        <w:tc>
          <w:tcPr>
            <w:tcW w:w="0" w:type="auto"/>
            <w:gridSpan w:val="3"/>
            <w:shd w:val="clear" w:color="auto" w:fill="auto"/>
            <w:vAlign w:val="bottom"/>
          </w:tcPr>
          <w:p w14:paraId="392C7416" w14:textId="77777777" w:rsidR="00980E5F" w:rsidRDefault="00980E5F">
            <w:pPr>
              <w:rPr>
                <w:rFonts w:ascii="宋体"/>
                <w:vanish/>
              </w:rPr>
            </w:pPr>
          </w:p>
        </w:tc>
        <w:tc>
          <w:tcPr>
            <w:tcW w:w="0" w:type="auto"/>
            <w:gridSpan w:val="3"/>
            <w:shd w:val="clear" w:color="auto" w:fill="auto"/>
            <w:vAlign w:val="bottom"/>
          </w:tcPr>
          <w:p w14:paraId="392C7417" w14:textId="77777777" w:rsidR="00980E5F" w:rsidRDefault="00980E5F">
            <w:pPr>
              <w:rPr>
                <w:rFonts w:ascii="宋体"/>
                <w:vanish/>
              </w:rPr>
            </w:pPr>
          </w:p>
        </w:tc>
        <w:tc>
          <w:tcPr>
            <w:tcW w:w="0" w:type="auto"/>
            <w:gridSpan w:val="3"/>
            <w:shd w:val="clear" w:color="auto" w:fill="auto"/>
            <w:vAlign w:val="bottom"/>
          </w:tcPr>
          <w:p w14:paraId="392C7418" w14:textId="77777777" w:rsidR="00980E5F" w:rsidRDefault="00980E5F">
            <w:pPr>
              <w:rPr>
                <w:rFonts w:ascii="宋体"/>
                <w:vanish/>
              </w:rPr>
            </w:pPr>
          </w:p>
        </w:tc>
        <w:tc>
          <w:tcPr>
            <w:tcW w:w="0" w:type="auto"/>
            <w:gridSpan w:val="3"/>
            <w:shd w:val="clear" w:color="auto" w:fill="auto"/>
            <w:vAlign w:val="bottom"/>
          </w:tcPr>
          <w:p w14:paraId="392C7419" w14:textId="77777777" w:rsidR="00980E5F" w:rsidRDefault="00980E5F">
            <w:pPr>
              <w:rPr>
                <w:rFonts w:ascii="宋体"/>
                <w:vanish/>
              </w:rPr>
            </w:pPr>
          </w:p>
        </w:tc>
        <w:tc>
          <w:tcPr>
            <w:tcW w:w="0" w:type="auto"/>
            <w:gridSpan w:val="3"/>
            <w:shd w:val="clear" w:color="auto" w:fill="auto"/>
            <w:vAlign w:val="bottom"/>
          </w:tcPr>
          <w:p w14:paraId="392C741A" w14:textId="77777777" w:rsidR="00980E5F" w:rsidRDefault="00980E5F">
            <w:pPr>
              <w:rPr>
                <w:rFonts w:ascii="宋体"/>
                <w:vanish/>
              </w:rPr>
            </w:pPr>
          </w:p>
        </w:tc>
      </w:tr>
      <w:tr w:rsidR="00980E5F" w14:paraId="392C742E" w14:textId="77777777">
        <w:trPr>
          <w:hidden/>
        </w:trPr>
        <w:tc>
          <w:tcPr>
            <w:tcW w:w="0" w:type="auto"/>
            <w:gridSpan w:val="3"/>
            <w:shd w:val="clear" w:color="auto" w:fill="auto"/>
            <w:vAlign w:val="bottom"/>
          </w:tcPr>
          <w:p w14:paraId="392C741C" w14:textId="77777777" w:rsidR="00980E5F" w:rsidRDefault="00980E5F">
            <w:pPr>
              <w:rPr>
                <w:rFonts w:ascii="宋体"/>
                <w:vanish/>
              </w:rPr>
            </w:pPr>
          </w:p>
        </w:tc>
        <w:tc>
          <w:tcPr>
            <w:tcW w:w="0" w:type="auto"/>
            <w:gridSpan w:val="3"/>
            <w:shd w:val="clear" w:color="auto" w:fill="auto"/>
            <w:vAlign w:val="bottom"/>
          </w:tcPr>
          <w:p w14:paraId="392C741D" w14:textId="77777777" w:rsidR="00980E5F" w:rsidRDefault="00980E5F">
            <w:pPr>
              <w:rPr>
                <w:rFonts w:ascii="宋体"/>
                <w:vanish/>
              </w:rPr>
            </w:pPr>
          </w:p>
        </w:tc>
        <w:tc>
          <w:tcPr>
            <w:tcW w:w="0" w:type="auto"/>
            <w:gridSpan w:val="3"/>
            <w:shd w:val="clear" w:color="auto" w:fill="auto"/>
            <w:vAlign w:val="bottom"/>
          </w:tcPr>
          <w:p w14:paraId="392C741E" w14:textId="77777777" w:rsidR="00980E5F" w:rsidRDefault="00980E5F">
            <w:pPr>
              <w:rPr>
                <w:rFonts w:ascii="宋体"/>
                <w:vanish/>
              </w:rPr>
            </w:pPr>
          </w:p>
        </w:tc>
        <w:tc>
          <w:tcPr>
            <w:tcW w:w="0" w:type="auto"/>
            <w:gridSpan w:val="3"/>
            <w:shd w:val="clear" w:color="auto" w:fill="auto"/>
            <w:vAlign w:val="bottom"/>
          </w:tcPr>
          <w:p w14:paraId="392C741F" w14:textId="77777777" w:rsidR="00980E5F" w:rsidRDefault="00980E5F">
            <w:pPr>
              <w:rPr>
                <w:rFonts w:ascii="宋体"/>
                <w:vanish/>
              </w:rPr>
            </w:pPr>
          </w:p>
        </w:tc>
        <w:tc>
          <w:tcPr>
            <w:tcW w:w="0" w:type="auto"/>
            <w:gridSpan w:val="3"/>
            <w:shd w:val="clear" w:color="auto" w:fill="auto"/>
            <w:vAlign w:val="bottom"/>
          </w:tcPr>
          <w:p w14:paraId="392C7420" w14:textId="77777777" w:rsidR="00980E5F" w:rsidRDefault="00980E5F">
            <w:pPr>
              <w:rPr>
                <w:rFonts w:ascii="宋体"/>
                <w:vanish/>
              </w:rPr>
            </w:pPr>
          </w:p>
        </w:tc>
        <w:tc>
          <w:tcPr>
            <w:tcW w:w="0" w:type="auto"/>
            <w:gridSpan w:val="3"/>
            <w:shd w:val="clear" w:color="auto" w:fill="auto"/>
            <w:vAlign w:val="bottom"/>
          </w:tcPr>
          <w:p w14:paraId="392C7421" w14:textId="77777777" w:rsidR="00980E5F" w:rsidRDefault="00980E5F">
            <w:pPr>
              <w:rPr>
                <w:rFonts w:ascii="宋体"/>
                <w:vanish/>
              </w:rPr>
            </w:pPr>
          </w:p>
        </w:tc>
        <w:tc>
          <w:tcPr>
            <w:tcW w:w="0" w:type="auto"/>
            <w:gridSpan w:val="3"/>
            <w:shd w:val="clear" w:color="auto" w:fill="auto"/>
            <w:vAlign w:val="bottom"/>
          </w:tcPr>
          <w:p w14:paraId="392C7422" w14:textId="77777777" w:rsidR="00980E5F" w:rsidRDefault="00980E5F">
            <w:pPr>
              <w:rPr>
                <w:rFonts w:ascii="宋体"/>
                <w:vanish/>
              </w:rPr>
            </w:pPr>
          </w:p>
        </w:tc>
        <w:tc>
          <w:tcPr>
            <w:tcW w:w="0" w:type="auto"/>
            <w:gridSpan w:val="3"/>
            <w:shd w:val="clear" w:color="auto" w:fill="auto"/>
            <w:vAlign w:val="bottom"/>
          </w:tcPr>
          <w:p w14:paraId="392C7423" w14:textId="77777777" w:rsidR="00980E5F" w:rsidRDefault="00980E5F">
            <w:pPr>
              <w:rPr>
                <w:rFonts w:ascii="宋体"/>
                <w:vanish/>
              </w:rPr>
            </w:pPr>
          </w:p>
        </w:tc>
        <w:tc>
          <w:tcPr>
            <w:tcW w:w="0" w:type="auto"/>
            <w:gridSpan w:val="3"/>
            <w:shd w:val="clear" w:color="auto" w:fill="auto"/>
            <w:vAlign w:val="bottom"/>
          </w:tcPr>
          <w:p w14:paraId="392C7424" w14:textId="77777777" w:rsidR="00980E5F" w:rsidRDefault="00980E5F">
            <w:pPr>
              <w:rPr>
                <w:rFonts w:ascii="宋体"/>
                <w:vanish/>
              </w:rPr>
            </w:pPr>
          </w:p>
        </w:tc>
        <w:tc>
          <w:tcPr>
            <w:tcW w:w="0" w:type="auto"/>
            <w:gridSpan w:val="3"/>
            <w:shd w:val="clear" w:color="auto" w:fill="auto"/>
            <w:vAlign w:val="bottom"/>
          </w:tcPr>
          <w:p w14:paraId="392C7425" w14:textId="77777777" w:rsidR="00980E5F" w:rsidRDefault="00980E5F">
            <w:pPr>
              <w:rPr>
                <w:rFonts w:ascii="宋体"/>
                <w:vanish/>
              </w:rPr>
            </w:pPr>
          </w:p>
        </w:tc>
        <w:tc>
          <w:tcPr>
            <w:tcW w:w="0" w:type="auto"/>
            <w:gridSpan w:val="3"/>
            <w:shd w:val="clear" w:color="auto" w:fill="auto"/>
            <w:vAlign w:val="bottom"/>
          </w:tcPr>
          <w:p w14:paraId="392C7426" w14:textId="77777777" w:rsidR="00980E5F" w:rsidRDefault="00980E5F">
            <w:pPr>
              <w:rPr>
                <w:rFonts w:ascii="宋体"/>
                <w:vanish/>
              </w:rPr>
            </w:pPr>
          </w:p>
        </w:tc>
        <w:tc>
          <w:tcPr>
            <w:tcW w:w="0" w:type="auto"/>
            <w:shd w:val="clear" w:color="auto" w:fill="auto"/>
            <w:vAlign w:val="bottom"/>
          </w:tcPr>
          <w:p w14:paraId="392C7427" w14:textId="77777777" w:rsidR="00980E5F" w:rsidRDefault="00980E5F">
            <w:pPr>
              <w:rPr>
                <w:rFonts w:ascii="宋体"/>
                <w:vanish/>
              </w:rPr>
            </w:pPr>
          </w:p>
        </w:tc>
        <w:tc>
          <w:tcPr>
            <w:tcW w:w="0" w:type="auto"/>
            <w:shd w:val="clear" w:color="auto" w:fill="auto"/>
            <w:vAlign w:val="bottom"/>
          </w:tcPr>
          <w:p w14:paraId="392C7428" w14:textId="77777777" w:rsidR="00980E5F" w:rsidRDefault="00980E5F">
            <w:pPr>
              <w:rPr>
                <w:rFonts w:ascii="宋体"/>
                <w:vanish/>
              </w:rPr>
            </w:pPr>
          </w:p>
        </w:tc>
        <w:tc>
          <w:tcPr>
            <w:tcW w:w="0" w:type="auto"/>
            <w:gridSpan w:val="3"/>
            <w:shd w:val="clear" w:color="auto" w:fill="auto"/>
            <w:vAlign w:val="bottom"/>
          </w:tcPr>
          <w:p w14:paraId="392C7429" w14:textId="77777777" w:rsidR="00980E5F" w:rsidRDefault="00980E5F">
            <w:pPr>
              <w:rPr>
                <w:rFonts w:ascii="宋体"/>
                <w:vanish/>
              </w:rPr>
            </w:pPr>
          </w:p>
        </w:tc>
        <w:tc>
          <w:tcPr>
            <w:tcW w:w="0" w:type="auto"/>
            <w:gridSpan w:val="3"/>
            <w:shd w:val="clear" w:color="auto" w:fill="auto"/>
            <w:vAlign w:val="bottom"/>
          </w:tcPr>
          <w:p w14:paraId="392C742A" w14:textId="77777777" w:rsidR="00980E5F" w:rsidRDefault="00980E5F">
            <w:pPr>
              <w:rPr>
                <w:rFonts w:ascii="宋体"/>
                <w:vanish/>
              </w:rPr>
            </w:pPr>
          </w:p>
        </w:tc>
        <w:tc>
          <w:tcPr>
            <w:tcW w:w="0" w:type="auto"/>
            <w:gridSpan w:val="3"/>
            <w:shd w:val="clear" w:color="auto" w:fill="auto"/>
            <w:vAlign w:val="bottom"/>
          </w:tcPr>
          <w:p w14:paraId="392C742B" w14:textId="77777777" w:rsidR="00980E5F" w:rsidRDefault="00980E5F">
            <w:pPr>
              <w:rPr>
                <w:rFonts w:ascii="宋体"/>
                <w:vanish/>
              </w:rPr>
            </w:pPr>
          </w:p>
        </w:tc>
        <w:tc>
          <w:tcPr>
            <w:tcW w:w="0" w:type="auto"/>
            <w:gridSpan w:val="3"/>
            <w:shd w:val="clear" w:color="auto" w:fill="auto"/>
            <w:vAlign w:val="bottom"/>
          </w:tcPr>
          <w:p w14:paraId="392C742C" w14:textId="77777777" w:rsidR="00980E5F" w:rsidRDefault="00980E5F">
            <w:pPr>
              <w:rPr>
                <w:rFonts w:ascii="宋体"/>
                <w:vanish/>
              </w:rPr>
            </w:pPr>
          </w:p>
        </w:tc>
        <w:tc>
          <w:tcPr>
            <w:tcW w:w="0" w:type="auto"/>
            <w:gridSpan w:val="3"/>
            <w:shd w:val="clear" w:color="auto" w:fill="auto"/>
            <w:vAlign w:val="bottom"/>
          </w:tcPr>
          <w:p w14:paraId="392C742D" w14:textId="77777777" w:rsidR="00980E5F" w:rsidRDefault="00980E5F">
            <w:pPr>
              <w:rPr>
                <w:rFonts w:ascii="宋体"/>
                <w:vanish/>
              </w:rPr>
            </w:pPr>
          </w:p>
        </w:tc>
      </w:tr>
      <w:tr w:rsidR="00980E5F" w14:paraId="392C7441" w14:textId="77777777">
        <w:trPr>
          <w:hidden/>
        </w:trPr>
        <w:tc>
          <w:tcPr>
            <w:tcW w:w="0" w:type="auto"/>
            <w:gridSpan w:val="3"/>
            <w:shd w:val="clear" w:color="auto" w:fill="auto"/>
            <w:vAlign w:val="bottom"/>
          </w:tcPr>
          <w:p w14:paraId="392C742F" w14:textId="77777777" w:rsidR="00980E5F" w:rsidRDefault="00980E5F">
            <w:pPr>
              <w:rPr>
                <w:rFonts w:ascii="宋体"/>
                <w:vanish/>
              </w:rPr>
            </w:pPr>
          </w:p>
        </w:tc>
        <w:tc>
          <w:tcPr>
            <w:tcW w:w="0" w:type="auto"/>
            <w:gridSpan w:val="3"/>
            <w:shd w:val="clear" w:color="auto" w:fill="auto"/>
            <w:vAlign w:val="bottom"/>
          </w:tcPr>
          <w:p w14:paraId="392C7430" w14:textId="77777777" w:rsidR="00980E5F" w:rsidRDefault="00980E5F">
            <w:pPr>
              <w:rPr>
                <w:rFonts w:ascii="宋体"/>
                <w:vanish/>
              </w:rPr>
            </w:pPr>
          </w:p>
        </w:tc>
        <w:tc>
          <w:tcPr>
            <w:tcW w:w="0" w:type="auto"/>
            <w:gridSpan w:val="3"/>
            <w:shd w:val="clear" w:color="auto" w:fill="auto"/>
            <w:vAlign w:val="bottom"/>
          </w:tcPr>
          <w:p w14:paraId="392C7431" w14:textId="77777777" w:rsidR="00980E5F" w:rsidRDefault="00980E5F">
            <w:pPr>
              <w:rPr>
                <w:rFonts w:ascii="宋体"/>
                <w:vanish/>
              </w:rPr>
            </w:pPr>
          </w:p>
        </w:tc>
        <w:tc>
          <w:tcPr>
            <w:tcW w:w="0" w:type="auto"/>
            <w:gridSpan w:val="3"/>
            <w:shd w:val="clear" w:color="auto" w:fill="auto"/>
            <w:vAlign w:val="bottom"/>
          </w:tcPr>
          <w:p w14:paraId="392C7432" w14:textId="77777777" w:rsidR="00980E5F" w:rsidRDefault="00980E5F">
            <w:pPr>
              <w:rPr>
                <w:rFonts w:ascii="宋体"/>
                <w:vanish/>
              </w:rPr>
            </w:pPr>
          </w:p>
        </w:tc>
        <w:tc>
          <w:tcPr>
            <w:tcW w:w="0" w:type="auto"/>
            <w:gridSpan w:val="3"/>
            <w:shd w:val="clear" w:color="auto" w:fill="auto"/>
            <w:vAlign w:val="bottom"/>
          </w:tcPr>
          <w:p w14:paraId="392C7433" w14:textId="77777777" w:rsidR="00980E5F" w:rsidRDefault="00980E5F">
            <w:pPr>
              <w:rPr>
                <w:rFonts w:ascii="宋体"/>
                <w:vanish/>
              </w:rPr>
            </w:pPr>
          </w:p>
        </w:tc>
        <w:tc>
          <w:tcPr>
            <w:tcW w:w="0" w:type="auto"/>
            <w:gridSpan w:val="3"/>
            <w:shd w:val="clear" w:color="auto" w:fill="auto"/>
            <w:vAlign w:val="bottom"/>
          </w:tcPr>
          <w:p w14:paraId="392C7434" w14:textId="77777777" w:rsidR="00980E5F" w:rsidRDefault="00980E5F">
            <w:pPr>
              <w:rPr>
                <w:rFonts w:ascii="宋体"/>
                <w:vanish/>
              </w:rPr>
            </w:pPr>
          </w:p>
        </w:tc>
        <w:tc>
          <w:tcPr>
            <w:tcW w:w="0" w:type="auto"/>
            <w:gridSpan w:val="3"/>
            <w:shd w:val="clear" w:color="auto" w:fill="auto"/>
            <w:vAlign w:val="bottom"/>
          </w:tcPr>
          <w:p w14:paraId="392C7435" w14:textId="77777777" w:rsidR="00980E5F" w:rsidRDefault="00980E5F">
            <w:pPr>
              <w:rPr>
                <w:rFonts w:ascii="宋体"/>
                <w:vanish/>
              </w:rPr>
            </w:pPr>
          </w:p>
        </w:tc>
        <w:tc>
          <w:tcPr>
            <w:tcW w:w="0" w:type="auto"/>
            <w:gridSpan w:val="3"/>
            <w:shd w:val="clear" w:color="auto" w:fill="auto"/>
            <w:vAlign w:val="bottom"/>
          </w:tcPr>
          <w:p w14:paraId="392C7436" w14:textId="77777777" w:rsidR="00980E5F" w:rsidRDefault="00980E5F">
            <w:pPr>
              <w:rPr>
                <w:rFonts w:ascii="宋体"/>
                <w:vanish/>
              </w:rPr>
            </w:pPr>
          </w:p>
        </w:tc>
        <w:tc>
          <w:tcPr>
            <w:tcW w:w="0" w:type="auto"/>
            <w:gridSpan w:val="3"/>
            <w:shd w:val="clear" w:color="auto" w:fill="auto"/>
            <w:vAlign w:val="bottom"/>
          </w:tcPr>
          <w:p w14:paraId="392C7437" w14:textId="77777777" w:rsidR="00980E5F" w:rsidRDefault="00980E5F">
            <w:pPr>
              <w:rPr>
                <w:rFonts w:ascii="宋体"/>
                <w:vanish/>
              </w:rPr>
            </w:pPr>
          </w:p>
        </w:tc>
        <w:tc>
          <w:tcPr>
            <w:tcW w:w="0" w:type="auto"/>
            <w:gridSpan w:val="3"/>
            <w:shd w:val="clear" w:color="auto" w:fill="auto"/>
            <w:vAlign w:val="bottom"/>
          </w:tcPr>
          <w:p w14:paraId="392C7438" w14:textId="77777777" w:rsidR="00980E5F" w:rsidRDefault="00980E5F">
            <w:pPr>
              <w:rPr>
                <w:rFonts w:ascii="宋体"/>
                <w:vanish/>
              </w:rPr>
            </w:pPr>
          </w:p>
        </w:tc>
        <w:tc>
          <w:tcPr>
            <w:tcW w:w="0" w:type="auto"/>
            <w:gridSpan w:val="3"/>
            <w:shd w:val="clear" w:color="auto" w:fill="auto"/>
            <w:vAlign w:val="bottom"/>
          </w:tcPr>
          <w:p w14:paraId="392C7439" w14:textId="77777777" w:rsidR="00980E5F" w:rsidRDefault="00980E5F">
            <w:pPr>
              <w:rPr>
                <w:rFonts w:ascii="宋体"/>
                <w:vanish/>
              </w:rPr>
            </w:pPr>
          </w:p>
        </w:tc>
        <w:tc>
          <w:tcPr>
            <w:tcW w:w="0" w:type="auto"/>
            <w:shd w:val="clear" w:color="auto" w:fill="auto"/>
            <w:vAlign w:val="bottom"/>
          </w:tcPr>
          <w:p w14:paraId="392C743A" w14:textId="77777777" w:rsidR="00980E5F" w:rsidRDefault="00980E5F">
            <w:pPr>
              <w:rPr>
                <w:rFonts w:ascii="宋体"/>
                <w:vanish/>
              </w:rPr>
            </w:pPr>
          </w:p>
        </w:tc>
        <w:tc>
          <w:tcPr>
            <w:tcW w:w="0" w:type="auto"/>
            <w:shd w:val="clear" w:color="auto" w:fill="auto"/>
            <w:vAlign w:val="bottom"/>
          </w:tcPr>
          <w:p w14:paraId="392C743B" w14:textId="77777777" w:rsidR="00980E5F" w:rsidRDefault="00980E5F">
            <w:pPr>
              <w:rPr>
                <w:rFonts w:ascii="宋体"/>
                <w:vanish/>
              </w:rPr>
            </w:pPr>
          </w:p>
        </w:tc>
        <w:tc>
          <w:tcPr>
            <w:tcW w:w="0" w:type="auto"/>
            <w:gridSpan w:val="3"/>
            <w:shd w:val="clear" w:color="auto" w:fill="auto"/>
            <w:vAlign w:val="bottom"/>
          </w:tcPr>
          <w:p w14:paraId="392C743C" w14:textId="77777777" w:rsidR="00980E5F" w:rsidRDefault="00980E5F">
            <w:pPr>
              <w:rPr>
                <w:rFonts w:ascii="宋体"/>
                <w:vanish/>
              </w:rPr>
            </w:pPr>
          </w:p>
        </w:tc>
        <w:tc>
          <w:tcPr>
            <w:tcW w:w="0" w:type="auto"/>
            <w:gridSpan w:val="3"/>
            <w:shd w:val="clear" w:color="auto" w:fill="auto"/>
            <w:vAlign w:val="bottom"/>
          </w:tcPr>
          <w:p w14:paraId="392C743D" w14:textId="77777777" w:rsidR="00980E5F" w:rsidRDefault="00980E5F">
            <w:pPr>
              <w:rPr>
                <w:rFonts w:ascii="宋体"/>
                <w:vanish/>
              </w:rPr>
            </w:pPr>
          </w:p>
        </w:tc>
        <w:tc>
          <w:tcPr>
            <w:tcW w:w="0" w:type="auto"/>
            <w:gridSpan w:val="3"/>
            <w:shd w:val="clear" w:color="auto" w:fill="auto"/>
            <w:vAlign w:val="bottom"/>
          </w:tcPr>
          <w:p w14:paraId="392C743E" w14:textId="77777777" w:rsidR="00980E5F" w:rsidRDefault="00980E5F">
            <w:pPr>
              <w:rPr>
                <w:rFonts w:ascii="宋体"/>
                <w:vanish/>
              </w:rPr>
            </w:pPr>
          </w:p>
        </w:tc>
        <w:tc>
          <w:tcPr>
            <w:tcW w:w="0" w:type="auto"/>
            <w:gridSpan w:val="3"/>
            <w:shd w:val="clear" w:color="auto" w:fill="auto"/>
            <w:vAlign w:val="bottom"/>
          </w:tcPr>
          <w:p w14:paraId="392C743F" w14:textId="77777777" w:rsidR="00980E5F" w:rsidRDefault="00980E5F">
            <w:pPr>
              <w:rPr>
                <w:rFonts w:ascii="宋体"/>
                <w:vanish/>
              </w:rPr>
            </w:pPr>
          </w:p>
        </w:tc>
        <w:tc>
          <w:tcPr>
            <w:tcW w:w="0" w:type="auto"/>
            <w:gridSpan w:val="3"/>
            <w:shd w:val="clear" w:color="auto" w:fill="auto"/>
            <w:vAlign w:val="bottom"/>
          </w:tcPr>
          <w:p w14:paraId="392C7440" w14:textId="77777777" w:rsidR="00980E5F" w:rsidRDefault="00980E5F">
            <w:pPr>
              <w:rPr>
                <w:rFonts w:ascii="宋体"/>
                <w:vanish/>
              </w:rPr>
            </w:pPr>
          </w:p>
        </w:tc>
      </w:tr>
      <w:tr w:rsidR="00980E5F" w14:paraId="392C7454" w14:textId="77777777">
        <w:trPr>
          <w:hidden/>
        </w:trPr>
        <w:tc>
          <w:tcPr>
            <w:tcW w:w="0" w:type="auto"/>
            <w:gridSpan w:val="3"/>
            <w:shd w:val="clear" w:color="auto" w:fill="auto"/>
            <w:vAlign w:val="bottom"/>
          </w:tcPr>
          <w:p w14:paraId="392C7442" w14:textId="77777777" w:rsidR="00980E5F" w:rsidRDefault="00980E5F">
            <w:pPr>
              <w:rPr>
                <w:rFonts w:ascii="宋体"/>
                <w:vanish/>
              </w:rPr>
            </w:pPr>
          </w:p>
        </w:tc>
        <w:tc>
          <w:tcPr>
            <w:tcW w:w="0" w:type="auto"/>
            <w:gridSpan w:val="3"/>
            <w:shd w:val="clear" w:color="auto" w:fill="auto"/>
            <w:vAlign w:val="bottom"/>
          </w:tcPr>
          <w:p w14:paraId="392C7443" w14:textId="77777777" w:rsidR="00980E5F" w:rsidRDefault="00980E5F">
            <w:pPr>
              <w:rPr>
                <w:rFonts w:ascii="宋体"/>
                <w:vanish/>
              </w:rPr>
            </w:pPr>
          </w:p>
        </w:tc>
        <w:tc>
          <w:tcPr>
            <w:tcW w:w="0" w:type="auto"/>
            <w:gridSpan w:val="3"/>
            <w:shd w:val="clear" w:color="auto" w:fill="auto"/>
            <w:vAlign w:val="bottom"/>
          </w:tcPr>
          <w:p w14:paraId="392C7444" w14:textId="77777777" w:rsidR="00980E5F" w:rsidRDefault="00980E5F">
            <w:pPr>
              <w:rPr>
                <w:rFonts w:ascii="宋体"/>
                <w:vanish/>
              </w:rPr>
            </w:pPr>
          </w:p>
        </w:tc>
        <w:tc>
          <w:tcPr>
            <w:tcW w:w="0" w:type="auto"/>
            <w:gridSpan w:val="3"/>
            <w:shd w:val="clear" w:color="auto" w:fill="auto"/>
            <w:vAlign w:val="bottom"/>
          </w:tcPr>
          <w:p w14:paraId="392C7445" w14:textId="77777777" w:rsidR="00980E5F" w:rsidRDefault="00980E5F">
            <w:pPr>
              <w:rPr>
                <w:rFonts w:ascii="宋体"/>
                <w:vanish/>
              </w:rPr>
            </w:pPr>
          </w:p>
        </w:tc>
        <w:tc>
          <w:tcPr>
            <w:tcW w:w="0" w:type="auto"/>
            <w:gridSpan w:val="3"/>
            <w:shd w:val="clear" w:color="auto" w:fill="auto"/>
            <w:vAlign w:val="bottom"/>
          </w:tcPr>
          <w:p w14:paraId="392C7446" w14:textId="77777777" w:rsidR="00980E5F" w:rsidRDefault="00980E5F">
            <w:pPr>
              <w:rPr>
                <w:rFonts w:ascii="宋体"/>
                <w:vanish/>
              </w:rPr>
            </w:pPr>
          </w:p>
        </w:tc>
        <w:tc>
          <w:tcPr>
            <w:tcW w:w="0" w:type="auto"/>
            <w:gridSpan w:val="3"/>
            <w:shd w:val="clear" w:color="auto" w:fill="auto"/>
            <w:vAlign w:val="bottom"/>
          </w:tcPr>
          <w:p w14:paraId="392C7447" w14:textId="77777777" w:rsidR="00980E5F" w:rsidRDefault="00980E5F">
            <w:pPr>
              <w:rPr>
                <w:rFonts w:ascii="宋体"/>
                <w:vanish/>
              </w:rPr>
            </w:pPr>
          </w:p>
        </w:tc>
        <w:tc>
          <w:tcPr>
            <w:tcW w:w="0" w:type="auto"/>
            <w:gridSpan w:val="3"/>
            <w:shd w:val="clear" w:color="auto" w:fill="auto"/>
            <w:vAlign w:val="bottom"/>
          </w:tcPr>
          <w:p w14:paraId="392C7448" w14:textId="77777777" w:rsidR="00980E5F" w:rsidRDefault="00980E5F">
            <w:pPr>
              <w:rPr>
                <w:rFonts w:ascii="宋体"/>
                <w:vanish/>
              </w:rPr>
            </w:pPr>
          </w:p>
        </w:tc>
        <w:tc>
          <w:tcPr>
            <w:tcW w:w="0" w:type="auto"/>
            <w:gridSpan w:val="3"/>
            <w:shd w:val="clear" w:color="auto" w:fill="auto"/>
            <w:vAlign w:val="bottom"/>
          </w:tcPr>
          <w:p w14:paraId="392C7449" w14:textId="77777777" w:rsidR="00980E5F" w:rsidRDefault="00980E5F">
            <w:pPr>
              <w:rPr>
                <w:rFonts w:ascii="宋体"/>
                <w:vanish/>
              </w:rPr>
            </w:pPr>
          </w:p>
        </w:tc>
        <w:tc>
          <w:tcPr>
            <w:tcW w:w="0" w:type="auto"/>
            <w:gridSpan w:val="3"/>
            <w:shd w:val="clear" w:color="auto" w:fill="auto"/>
            <w:vAlign w:val="bottom"/>
          </w:tcPr>
          <w:p w14:paraId="392C744A" w14:textId="77777777" w:rsidR="00980E5F" w:rsidRDefault="00980E5F">
            <w:pPr>
              <w:rPr>
                <w:rFonts w:ascii="宋体"/>
                <w:vanish/>
              </w:rPr>
            </w:pPr>
          </w:p>
        </w:tc>
        <w:tc>
          <w:tcPr>
            <w:tcW w:w="0" w:type="auto"/>
            <w:gridSpan w:val="3"/>
            <w:shd w:val="clear" w:color="auto" w:fill="auto"/>
            <w:vAlign w:val="bottom"/>
          </w:tcPr>
          <w:p w14:paraId="392C744B" w14:textId="77777777" w:rsidR="00980E5F" w:rsidRDefault="00980E5F">
            <w:pPr>
              <w:rPr>
                <w:rFonts w:ascii="宋体"/>
                <w:vanish/>
              </w:rPr>
            </w:pPr>
          </w:p>
        </w:tc>
        <w:tc>
          <w:tcPr>
            <w:tcW w:w="0" w:type="auto"/>
            <w:gridSpan w:val="3"/>
            <w:shd w:val="clear" w:color="auto" w:fill="auto"/>
            <w:vAlign w:val="bottom"/>
          </w:tcPr>
          <w:p w14:paraId="392C744C" w14:textId="77777777" w:rsidR="00980E5F" w:rsidRDefault="00980E5F">
            <w:pPr>
              <w:rPr>
                <w:rFonts w:ascii="宋体"/>
                <w:vanish/>
              </w:rPr>
            </w:pPr>
          </w:p>
        </w:tc>
        <w:tc>
          <w:tcPr>
            <w:tcW w:w="0" w:type="auto"/>
            <w:shd w:val="clear" w:color="auto" w:fill="auto"/>
            <w:vAlign w:val="bottom"/>
          </w:tcPr>
          <w:p w14:paraId="392C744D" w14:textId="77777777" w:rsidR="00980E5F" w:rsidRDefault="00980E5F">
            <w:pPr>
              <w:rPr>
                <w:rFonts w:ascii="宋体"/>
                <w:vanish/>
              </w:rPr>
            </w:pPr>
          </w:p>
        </w:tc>
        <w:tc>
          <w:tcPr>
            <w:tcW w:w="0" w:type="auto"/>
            <w:shd w:val="clear" w:color="auto" w:fill="auto"/>
            <w:vAlign w:val="bottom"/>
          </w:tcPr>
          <w:p w14:paraId="392C744E" w14:textId="77777777" w:rsidR="00980E5F" w:rsidRDefault="00980E5F">
            <w:pPr>
              <w:rPr>
                <w:rFonts w:ascii="宋体"/>
                <w:vanish/>
              </w:rPr>
            </w:pPr>
          </w:p>
        </w:tc>
        <w:tc>
          <w:tcPr>
            <w:tcW w:w="0" w:type="auto"/>
            <w:gridSpan w:val="3"/>
            <w:shd w:val="clear" w:color="auto" w:fill="auto"/>
            <w:vAlign w:val="bottom"/>
          </w:tcPr>
          <w:p w14:paraId="392C744F" w14:textId="77777777" w:rsidR="00980E5F" w:rsidRDefault="00980E5F">
            <w:pPr>
              <w:rPr>
                <w:rFonts w:ascii="宋体"/>
                <w:vanish/>
              </w:rPr>
            </w:pPr>
          </w:p>
        </w:tc>
        <w:tc>
          <w:tcPr>
            <w:tcW w:w="0" w:type="auto"/>
            <w:gridSpan w:val="3"/>
            <w:shd w:val="clear" w:color="auto" w:fill="auto"/>
            <w:vAlign w:val="bottom"/>
          </w:tcPr>
          <w:p w14:paraId="392C7450" w14:textId="77777777" w:rsidR="00980E5F" w:rsidRDefault="00980E5F">
            <w:pPr>
              <w:rPr>
                <w:rFonts w:ascii="宋体"/>
                <w:vanish/>
              </w:rPr>
            </w:pPr>
          </w:p>
        </w:tc>
        <w:tc>
          <w:tcPr>
            <w:tcW w:w="0" w:type="auto"/>
            <w:gridSpan w:val="3"/>
            <w:shd w:val="clear" w:color="auto" w:fill="auto"/>
            <w:vAlign w:val="bottom"/>
          </w:tcPr>
          <w:p w14:paraId="392C7451" w14:textId="77777777" w:rsidR="00980E5F" w:rsidRDefault="00980E5F">
            <w:pPr>
              <w:rPr>
                <w:rFonts w:ascii="宋体"/>
                <w:vanish/>
              </w:rPr>
            </w:pPr>
          </w:p>
        </w:tc>
        <w:tc>
          <w:tcPr>
            <w:tcW w:w="0" w:type="auto"/>
            <w:gridSpan w:val="3"/>
            <w:shd w:val="clear" w:color="auto" w:fill="auto"/>
            <w:vAlign w:val="bottom"/>
          </w:tcPr>
          <w:p w14:paraId="392C7452" w14:textId="77777777" w:rsidR="00980E5F" w:rsidRDefault="00980E5F">
            <w:pPr>
              <w:rPr>
                <w:rFonts w:ascii="宋体"/>
                <w:vanish/>
              </w:rPr>
            </w:pPr>
          </w:p>
        </w:tc>
        <w:tc>
          <w:tcPr>
            <w:tcW w:w="0" w:type="auto"/>
            <w:gridSpan w:val="3"/>
            <w:shd w:val="clear" w:color="auto" w:fill="auto"/>
            <w:vAlign w:val="bottom"/>
          </w:tcPr>
          <w:p w14:paraId="392C7453" w14:textId="77777777" w:rsidR="00980E5F" w:rsidRDefault="00980E5F">
            <w:pPr>
              <w:rPr>
                <w:rFonts w:ascii="宋体"/>
                <w:vanish/>
              </w:rPr>
            </w:pPr>
          </w:p>
        </w:tc>
      </w:tr>
      <w:tr w:rsidR="00980E5F" w14:paraId="392C7467" w14:textId="77777777">
        <w:trPr>
          <w:hidden/>
        </w:trPr>
        <w:tc>
          <w:tcPr>
            <w:tcW w:w="0" w:type="auto"/>
            <w:gridSpan w:val="3"/>
            <w:shd w:val="clear" w:color="auto" w:fill="auto"/>
            <w:vAlign w:val="bottom"/>
          </w:tcPr>
          <w:p w14:paraId="392C7455" w14:textId="77777777" w:rsidR="00980E5F" w:rsidRDefault="00980E5F">
            <w:pPr>
              <w:rPr>
                <w:rFonts w:ascii="宋体"/>
                <w:vanish/>
              </w:rPr>
            </w:pPr>
          </w:p>
        </w:tc>
        <w:tc>
          <w:tcPr>
            <w:tcW w:w="0" w:type="auto"/>
            <w:gridSpan w:val="3"/>
            <w:shd w:val="clear" w:color="auto" w:fill="auto"/>
            <w:vAlign w:val="bottom"/>
          </w:tcPr>
          <w:p w14:paraId="392C7456" w14:textId="77777777" w:rsidR="00980E5F" w:rsidRDefault="00980E5F">
            <w:pPr>
              <w:rPr>
                <w:rFonts w:ascii="宋体"/>
                <w:vanish/>
              </w:rPr>
            </w:pPr>
          </w:p>
        </w:tc>
        <w:tc>
          <w:tcPr>
            <w:tcW w:w="0" w:type="auto"/>
            <w:gridSpan w:val="3"/>
            <w:shd w:val="clear" w:color="auto" w:fill="auto"/>
            <w:vAlign w:val="bottom"/>
          </w:tcPr>
          <w:p w14:paraId="392C7457" w14:textId="77777777" w:rsidR="00980E5F" w:rsidRDefault="00980E5F">
            <w:pPr>
              <w:rPr>
                <w:rFonts w:ascii="宋体"/>
                <w:vanish/>
              </w:rPr>
            </w:pPr>
          </w:p>
        </w:tc>
        <w:tc>
          <w:tcPr>
            <w:tcW w:w="0" w:type="auto"/>
            <w:gridSpan w:val="3"/>
            <w:shd w:val="clear" w:color="auto" w:fill="auto"/>
            <w:vAlign w:val="bottom"/>
          </w:tcPr>
          <w:p w14:paraId="392C7458" w14:textId="77777777" w:rsidR="00980E5F" w:rsidRDefault="00980E5F">
            <w:pPr>
              <w:rPr>
                <w:rFonts w:ascii="宋体"/>
                <w:vanish/>
              </w:rPr>
            </w:pPr>
          </w:p>
        </w:tc>
        <w:tc>
          <w:tcPr>
            <w:tcW w:w="0" w:type="auto"/>
            <w:gridSpan w:val="3"/>
            <w:shd w:val="clear" w:color="auto" w:fill="auto"/>
            <w:vAlign w:val="bottom"/>
          </w:tcPr>
          <w:p w14:paraId="392C7459" w14:textId="77777777" w:rsidR="00980E5F" w:rsidRDefault="00980E5F">
            <w:pPr>
              <w:rPr>
                <w:rFonts w:ascii="宋体"/>
                <w:vanish/>
              </w:rPr>
            </w:pPr>
          </w:p>
        </w:tc>
        <w:tc>
          <w:tcPr>
            <w:tcW w:w="0" w:type="auto"/>
            <w:gridSpan w:val="3"/>
            <w:shd w:val="clear" w:color="auto" w:fill="auto"/>
            <w:vAlign w:val="bottom"/>
          </w:tcPr>
          <w:p w14:paraId="392C745A" w14:textId="77777777" w:rsidR="00980E5F" w:rsidRDefault="00980E5F">
            <w:pPr>
              <w:rPr>
                <w:rFonts w:ascii="宋体"/>
                <w:vanish/>
              </w:rPr>
            </w:pPr>
          </w:p>
        </w:tc>
        <w:tc>
          <w:tcPr>
            <w:tcW w:w="0" w:type="auto"/>
            <w:gridSpan w:val="3"/>
            <w:shd w:val="clear" w:color="auto" w:fill="auto"/>
            <w:vAlign w:val="bottom"/>
          </w:tcPr>
          <w:p w14:paraId="392C745B" w14:textId="77777777" w:rsidR="00980E5F" w:rsidRDefault="00980E5F">
            <w:pPr>
              <w:rPr>
                <w:rFonts w:ascii="宋体"/>
                <w:vanish/>
              </w:rPr>
            </w:pPr>
          </w:p>
        </w:tc>
        <w:tc>
          <w:tcPr>
            <w:tcW w:w="0" w:type="auto"/>
            <w:gridSpan w:val="3"/>
            <w:shd w:val="clear" w:color="auto" w:fill="auto"/>
            <w:vAlign w:val="bottom"/>
          </w:tcPr>
          <w:p w14:paraId="392C745C" w14:textId="77777777" w:rsidR="00980E5F" w:rsidRDefault="00980E5F">
            <w:pPr>
              <w:rPr>
                <w:rFonts w:ascii="宋体"/>
                <w:vanish/>
              </w:rPr>
            </w:pPr>
          </w:p>
        </w:tc>
        <w:tc>
          <w:tcPr>
            <w:tcW w:w="0" w:type="auto"/>
            <w:gridSpan w:val="3"/>
            <w:shd w:val="clear" w:color="auto" w:fill="auto"/>
            <w:vAlign w:val="bottom"/>
          </w:tcPr>
          <w:p w14:paraId="392C745D" w14:textId="77777777" w:rsidR="00980E5F" w:rsidRDefault="00980E5F">
            <w:pPr>
              <w:rPr>
                <w:rFonts w:ascii="宋体"/>
                <w:vanish/>
              </w:rPr>
            </w:pPr>
          </w:p>
        </w:tc>
        <w:tc>
          <w:tcPr>
            <w:tcW w:w="0" w:type="auto"/>
            <w:gridSpan w:val="3"/>
            <w:shd w:val="clear" w:color="auto" w:fill="auto"/>
            <w:vAlign w:val="bottom"/>
          </w:tcPr>
          <w:p w14:paraId="392C745E" w14:textId="77777777" w:rsidR="00980E5F" w:rsidRDefault="00980E5F">
            <w:pPr>
              <w:rPr>
                <w:rFonts w:ascii="宋体"/>
                <w:vanish/>
              </w:rPr>
            </w:pPr>
          </w:p>
        </w:tc>
        <w:tc>
          <w:tcPr>
            <w:tcW w:w="0" w:type="auto"/>
            <w:gridSpan w:val="3"/>
            <w:shd w:val="clear" w:color="auto" w:fill="auto"/>
            <w:vAlign w:val="bottom"/>
          </w:tcPr>
          <w:p w14:paraId="392C745F" w14:textId="77777777" w:rsidR="00980E5F" w:rsidRDefault="00980E5F">
            <w:pPr>
              <w:rPr>
                <w:rFonts w:ascii="宋体"/>
                <w:vanish/>
              </w:rPr>
            </w:pPr>
          </w:p>
        </w:tc>
        <w:tc>
          <w:tcPr>
            <w:tcW w:w="0" w:type="auto"/>
            <w:shd w:val="clear" w:color="auto" w:fill="auto"/>
            <w:vAlign w:val="bottom"/>
          </w:tcPr>
          <w:p w14:paraId="392C7460" w14:textId="77777777" w:rsidR="00980E5F" w:rsidRDefault="00980E5F">
            <w:pPr>
              <w:rPr>
                <w:rFonts w:ascii="宋体"/>
                <w:vanish/>
              </w:rPr>
            </w:pPr>
          </w:p>
        </w:tc>
        <w:tc>
          <w:tcPr>
            <w:tcW w:w="0" w:type="auto"/>
            <w:shd w:val="clear" w:color="auto" w:fill="auto"/>
            <w:vAlign w:val="bottom"/>
          </w:tcPr>
          <w:p w14:paraId="392C7461" w14:textId="77777777" w:rsidR="00980E5F" w:rsidRDefault="00980E5F">
            <w:pPr>
              <w:rPr>
                <w:rFonts w:ascii="宋体"/>
                <w:vanish/>
              </w:rPr>
            </w:pPr>
          </w:p>
        </w:tc>
        <w:tc>
          <w:tcPr>
            <w:tcW w:w="0" w:type="auto"/>
            <w:gridSpan w:val="3"/>
            <w:shd w:val="clear" w:color="auto" w:fill="auto"/>
            <w:vAlign w:val="bottom"/>
          </w:tcPr>
          <w:p w14:paraId="392C7462" w14:textId="77777777" w:rsidR="00980E5F" w:rsidRDefault="00980E5F">
            <w:pPr>
              <w:rPr>
                <w:rFonts w:ascii="宋体"/>
                <w:vanish/>
              </w:rPr>
            </w:pPr>
          </w:p>
        </w:tc>
        <w:tc>
          <w:tcPr>
            <w:tcW w:w="0" w:type="auto"/>
            <w:gridSpan w:val="3"/>
            <w:shd w:val="clear" w:color="auto" w:fill="auto"/>
            <w:vAlign w:val="bottom"/>
          </w:tcPr>
          <w:p w14:paraId="392C7463" w14:textId="77777777" w:rsidR="00980E5F" w:rsidRDefault="00980E5F">
            <w:pPr>
              <w:rPr>
                <w:rFonts w:ascii="宋体"/>
                <w:vanish/>
              </w:rPr>
            </w:pPr>
          </w:p>
        </w:tc>
        <w:tc>
          <w:tcPr>
            <w:tcW w:w="0" w:type="auto"/>
            <w:gridSpan w:val="3"/>
            <w:shd w:val="clear" w:color="auto" w:fill="auto"/>
            <w:vAlign w:val="bottom"/>
          </w:tcPr>
          <w:p w14:paraId="392C7464" w14:textId="77777777" w:rsidR="00980E5F" w:rsidRDefault="00980E5F">
            <w:pPr>
              <w:rPr>
                <w:rFonts w:ascii="宋体"/>
                <w:vanish/>
              </w:rPr>
            </w:pPr>
          </w:p>
        </w:tc>
        <w:tc>
          <w:tcPr>
            <w:tcW w:w="0" w:type="auto"/>
            <w:gridSpan w:val="3"/>
            <w:shd w:val="clear" w:color="auto" w:fill="auto"/>
            <w:vAlign w:val="bottom"/>
          </w:tcPr>
          <w:p w14:paraId="392C7465" w14:textId="77777777" w:rsidR="00980E5F" w:rsidRDefault="00980E5F">
            <w:pPr>
              <w:rPr>
                <w:rFonts w:ascii="宋体"/>
                <w:vanish/>
              </w:rPr>
            </w:pPr>
          </w:p>
        </w:tc>
        <w:tc>
          <w:tcPr>
            <w:tcW w:w="0" w:type="auto"/>
            <w:gridSpan w:val="3"/>
            <w:shd w:val="clear" w:color="auto" w:fill="auto"/>
            <w:vAlign w:val="bottom"/>
          </w:tcPr>
          <w:p w14:paraId="392C7466" w14:textId="77777777" w:rsidR="00980E5F" w:rsidRDefault="00980E5F">
            <w:pPr>
              <w:rPr>
                <w:rFonts w:ascii="宋体"/>
                <w:vanish/>
              </w:rPr>
            </w:pPr>
          </w:p>
        </w:tc>
      </w:tr>
    </w:tbl>
    <w:p w14:paraId="392C7468"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C746F" w14:textId="77777777">
        <w:tc>
          <w:tcPr>
            <w:tcW w:w="50" w:type="pct"/>
            <w:shd w:val="clear" w:color="auto" w:fill="auto"/>
            <w:vAlign w:val="bottom"/>
          </w:tcPr>
          <w:p w14:paraId="392C7469" w14:textId="77777777" w:rsidR="00980E5F" w:rsidRDefault="00980E5F">
            <w:pPr>
              <w:rPr>
                <w:rFonts w:ascii="宋体"/>
              </w:rPr>
            </w:pPr>
          </w:p>
        </w:tc>
        <w:tc>
          <w:tcPr>
            <w:tcW w:w="1348" w:type="pct"/>
            <w:shd w:val="clear" w:color="auto" w:fill="auto"/>
            <w:vAlign w:val="bottom"/>
          </w:tcPr>
          <w:p w14:paraId="392C746A" w14:textId="77777777" w:rsidR="00980E5F" w:rsidRDefault="00980E5F">
            <w:pPr>
              <w:rPr>
                <w:rFonts w:ascii="宋体"/>
              </w:rPr>
            </w:pPr>
          </w:p>
        </w:tc>
        <w:tc>
          <w:tcPr>
            <w:tcW w:w="5" w:type="pct"/>
            <w:shd w:val="clear" w:color="auto" w:fill="auto"/>
            <w:vAlign w:val="bottom"/>
          </w:tcPr>
          <w:p w14:paraId="392C746B" w14:textId="77777777" w:rsidR="00980E5F" w:rsidRDefault="00980E5F">
            <w:pPr>
              <w:rPr>
                <w:rFonts w:ascii="宋体"/>
              </w:rPr>
            </w:pPr>
          </w:p>
        </w:tc>
        <w:tc>
          <w:tcPr>
            <w:tcW w:w="50" w:type="pct"/>
            <w:shd w:val="clear" w:color="auto" w:fill="auto"/>
            <w:vAlign w:val="bottom"/>
          </w:tcPr>
          <w:p w14:paraId="392C746C" w14:textId="77777777" w:rsidR="00980E5F" w:rsidRDefault="00980E5F">
            <w:pPr>
              <w:rPr>
                <w:rFonts w:ascii="宋体"/>
              </w:rPr>
            </w:pPr>
          </w:p>
        </w:tc>
        <w:tc>
          <w:tcPr>
            <w:tcW w:w="3541" w:type="pct"/>
            <w:shd w:val="clear" w:color="auto" w:fill="auto"/>
            <w:vAlign w:val="bottom"/>
          </w:tcPr>
          <w:p w14:paraId="392C746D" w14:textId="77777777" w:rsidR="00980E5F" w:rsidRDefault="00980E5F">
            <w:pPr>
              <w:rPr>
                <w:rFonts w:ascii="宋体"/>
              </w:rPr>
            </w:pPr>
          </w:p>
        </w:tc>
        <w:tc>
          <w:tcPr>
            <w:tcW w:w="5" w:type="pct"/>
            <w:shd w:val="clear" w:color="auto" w:fill="auto"/>
            <w:vAlign w:val="bottom"/>
          </w:tcPr>
          <w:p w14:paraId="392C746E" w14:textId="77777777" w:rsidR="00980E5F" w:rsidRDefault="00980E5F">
            <w:pPr>
              <w:rPr>
                <w:rFonts w:ascii="宋体"/>
              </w:rPr>
            </w:pPr>
          </w:p>
        </w:tc>
      </w:tr>
      <w:tr w:rsidR="00980E5F" w14:paraId="392C747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747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71" w14:textId="77777777" w:rsidR="00980E5F" w:rsidRDefault="00980E5F">
            <w:pPr>
              <w:rPr>
                <w:rFonts w:ascii="宋体"/>
              </w:rPr>
            </w:pPr>
          </w:p>
        </w:tc>
      </w:tr>
    </w:tbl>
    <w:p w14:paraId="392C7473" w14:textId="77777777" w:rsidR="00980E5F" w:rsidRDefault="00483613">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June 30, 2022, accrued interest receivable of $91 million included in the amortized cost basis of loans has been </w:t>
      </w:r>
      <w:r>
        <w:rPr>
          <w:rFonts w:ascii="Arial" w:eastAsia="宋体" w:hAnsi="Arial" w:cs="Arial"/>
          <w:color w:val="000000"/>
          <w:sz w:val="13"/>
          <w:szCs w:val="13"/>
        </w:rPr>
        <w:t>excluded from the amortized cost basis within this table.</w:t>
      </w:r>
    </w:p>
    <w:p w14:paraId="392C7474" w14:textId="77777777" w:rsidR="00980E5F" w:rsidRDefault="00483613">
      <w:pPr>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$155 million of loans classified as held-for-sale as of June 30, 2022.</w:t>
      </w:r>
    </w:p>
    <w:p w14:paraId="392C7475" w14:textId="77777777" w:rsidR="00980E5F" w:rsidRDefault="00980E5F">
      <w:pPr>
        <w:spacing w:before="20"/>
        <w:ind w:firstLine="450"/>
        <w:jc w:val="both"/>
      </w:pPr>
    </w:p>
    <w:p w14:paraId="392C7476" w14:textId="77777777" w:rsidR="00980E5F" w:rsidRDefault="00483613">
      <w:pPr>
        <w:ind w:firstLine="450"/>
        <w:jc w:val="right"/>
      </w:pPr>
      <w:r>
        <w:rPr>
          <w:rFonts w:ascii="Arial" w:eastAsia="宋体" w:hAnsi="Arial" w:cs="Arial"/>
          <w:color w:val="000000"/>
          <w:sz w:val="18"/>
          <w:szCs w:val="18"/>
        </w:rPr>
        <w:t>State Street Corporation | 74</w:t>
      </w:r>
    </w:p>
    <w:p w14:paraId="392C7477" w14:textId="77777777" w:rsidR="00980E5F" w:rsidRDefault="00980E5F">
      <w:pPr>
        <w:ind w:firstLine="450"/>
        <w:jc w:val="center"/>
      </w:pPr>
    </w:p>
    <w:p w14:paraId="392C7478" w14:textId="77777777" w:rsidR="00980E5F" w:rsidRDefault="00483613">
      <w:r>
        <w:pict w14:anchorId="392CBB18">
          <v:rect id="_x0000_i1098" style="width:415.3pt;height:1.5pt" o:hralign="center" o:hrstd="t" o:hr="t" fillcolor="#a0a0a0" stroked="f"/>
        </w:pict>
      </w:r>
    </w:p>
    <w:p w14:paraId="392C7479" w14:textId="77777777" w:rsidR="00980E5F" w:rsidRDefault="00483613">
      <w:pPr>
        <w:ind w:firstLine="450"/>
        <w:jc w:val="center"/>
      </w:pPr>
      <w:r>
        <w:rPr>
          <w:rFonts w:ascii="Arial" w:eastAsia="宋体" w:hAnsi="Arial" w:cs="Arial"/>
          <w:b/>
          <w:bCs/>
          <w:color w:val="000000"/>
          <w:sz w:val="20"/>
          <w:szCs w:val="20"/>
        </w:rPr>
        <w:t>STATE STREET CORPORATION</w:t>
      </w:r>
    </w:p>
    <w:p w14:paraId="392C747A" w14:textId="77777777" w:rsidR="00980E5F" w:rsidRDefault="00483613">
      <w:pPr>
        <w:ind w:firstLine="450"/>
        <w:jc w:val="center"/>
      </w:pPr>
      <w:r>
        <w:rPr>
          <w:rFonts w:ascii="Arial" w:eastAsia="宋体" w:hAnsi="Arial" w:cs="Arial"/>
          <w:b/>
          <w:bCs/>
          <w:color w:val="000000"/>
          <w:sz w:val="20"/>
          <w:szCs w:val="20"/>
        </w:rPr>
        <w:t xml:space="preserve">CONDENSED NOTES TO </w:t>
      </w:r>
      <w:r>
        <w:rPr>
          <w:rFonts w:ascii="Arial" w:eastAsia="宋体" w:hAnsi="Arial" w:cs="Arial"/>
          <w:b/>
          <w:bCs/>
          <w:color w:val="000000"/>
          <w:sz w:val="20"/>
          <w:szCs w:val="20"/>
        </w:rPr>
        <w:t>CONSOLIDATED FINANCIAL STATEMENTS</w:t>
      </w:r>
    </w:p>
    <w:p w14:paraId="392C747B" w14:textId="77777777" w:rsidR="00980E5F" w:rsidRDefault="00483613">
      <w:pPr>
        <w:ind w:firstLine="450"/>
        <w:jc w:val="center"/>
      </w:pPr>
      <w:r>
        <w:rPr>
          <w:rFonts w:ascii="Arial" w:eastAsia="宋体" w:hAnsi="Arial" w:cs="Arial"/>
          <w:b/>
          <w:bCs/>
          <w:color w:val="000000"/>
          <w:sz w:val="20"/>
          <w:szCs w:val="20"/>
        </w:rPr>
        <w:t>(UNAUDITED)</w:t>
      </w:r>
    </w:p>
    <w:p w14:paraId="392C747C" w14:textId="77777777" w:rsidR="00980E5F" w:rsidRDefault="00483613">
      <w:pPr>
        <w:spacing w:before="60"/>
        <w:ind w:firstLine="450"/>
        <w:jc w:val="both"/>
      </w:pPr>
      <w:r>
        <w:rPr>
          <w:rFonts w:ascii="Arial" w:eastAsia="宋体" w:hAnsi="Arial" w:cs="Arial"/>
          <w:color w:val="000000"/>
          <w:sz w:val="20"/>
          <w:szCs w:val="20"/>
        </w:rPr>
        <w:t>The following table presents the amortized cost basis, by year of origination and credit quality indicator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980E5F" w14:paraId="392C74AF" w14:textId="77777777">
        <w:tc>
          <w:tcPr>
            <w:tcW w:w="50" w:type="pct"/>
            <w:shd w:val="clear" w:color="auto" w:fill="auto"/>
            <w:vAlign w:val="bottom"/>
          </w:tcPr>
          <w:p w14:paraId="392C747D" w14:textId="77777777" w:rsidR="00980E5F" w:rsidRDefault="00980E5F">
            <w:pPr>
              <w:rPr>
                <w:rFonts w:ascii="宋体"/>
              </w:rPr>
            </w:pPr>
          </w:p>
        </w:tc>
        <w:tc>
          <w:tcPr>
            <w:tcW w:w="1458" w:type="pct"/>
            <w:shd w:val="clear" w:color="auto" w:fill="auto"/>
            <w:vAlign w:val="bottom"/>
          </w:tcPr>
          <w:p w14:paraId="392C747E" w14:textId="77777777" w:rsidR="00980E5F" w:rsidRDefault="00980E5F">
            <w:pPr>
              <w:rPr>
                <w:rFonts w:ascii="宋体"/>
              </w:rPr>
            </w:pPr>
          </w:p>
        </w:tc>
        <w:tc>
          <w:tcPr>
            <w:tcW w:w="5" w:type="pct"/>
            <w:shd w:val="clear" w:color="auto" w:fill="auto"/>
            <w:vAlign w:val="bottom"/>
          </w:tcPr>
          <w:p w14:paraId="392C747F" w14:textId="77777777" w:rsidR="00980E5F" w:rsidRDefault="00980E5F">
            <w:pPr>
              <w:rPr>
                <w:rFonts w:ascii="宋体"/>
              </w:rPr>
            </w:pPr>
          </w:p>
        </w:tc>
        <w:tc>
          <w:tcPr>
            <w:tcW w:w="50" w:type="pct"/>
            <w:shd w:val="clear" w:color="auto" w:fill="auto"/>
            <w:vAlign w:val="bottom"/>
          </w:tcPr>
          <w:p w14:paraId="392C7480" w14:textId="77777777" w:rsidR="00980E5F" w:rsidRDefault="00980E5F">
            <w:pPr>
              <w:rPr>
                <w:rFonts w:ascii="宋体"/>
              </w:rPr>
            </w:pPr>
          </w:p>
        </w:tc>
        <w:tc>
          <w:tcPr>
            <w:tcW w:w="317" w:type="pct"/>
            <w:shd w:val="clear" w:color="auto" w:fill="auto"/>
            <w:vAlign w:val="bottom"/>
          </w:tcPr>
          <w:p w14:paraId="392C7481" w14:textId="77777777" w:rsidR="00980E5F" w:rsidRDefault="00980E5F">
            <w:pPr>
              <w:rPr>
                <w:rFonts w:ascii="宋体"/>
              </w:rPr>
            </w:pPr>
          </w:p>
        </w:tc>
        <w:tc>
          <w:tcPr>
            <w:tcW w:w="5" w:type="pct"/>
            <w:shd w:val="clear" w:color="auto" w:fill="auto"/>
            <w:vAlign w:val="bottom"/>
          </w:tcPr>
          <w:p w14:paraId="392C7482" w14:textId="77777777" w:rsidR="00980E5F" w:rsidRDefault="00980E5F">
            <w:pPr>
              <w:rPr>
                <w:rFonts w:ascii="宋体"/>
              </w:rPr>
            </w:pPr>
          </w:p>
        </w:tc>
        <w:tc>
          <w:tcPr>
            <w:tcW w:w="5" w:type="pct"/>
            <w:shd w:val="clear" w:color="auto" w:fill="auto"/>
            <w:vAlign w:val="bottom"/>
          </w:tcPr>
          <w:p w14:paraId="392C7483" w14:textId="77777777" w:rsidR="00980E5F" w:rsidRDefault="00980E5F">
            <w:pPr>
              <w:rPr>
                <w:rFonts w:ascii="宋体"/>
              </w:rPr>
            </w:pPr>
          </w:p>
        </w:tc>
        <w:tc>
          <w:tcPr>
            <w:tcW w:w="26" w:type="pct"/>
            <w:shd w:val="clear" w:color="auto" w:fill="auto"/>
            <w:vAlign w:val="bottom"/>
          </w:tcPr>
          <w:p w14:paraId="392C7484" w14:textId="77777777" w:rsidR="00980E5F" w:rsidRDefault="00980E5F">
            <w:pPr>
              <w:rPr>
                <w:rFonts w:ascii="宋体"/>
              </w:rPr>
            </w:pPr>
          </w:p>
        </w:tc>
        <w:tc>
          <w:tcPr>
            <w:tcW w:w="5" w:type="pct"/>
            <w:shd w:val="clear" w:color="auto" w:fill="auto"/>
            <w:vAlign w:val="bottom"/>
          </w:tcPr>
          <w:p w14:paraId="392C7485" w14:textId="77777777" w:rsidR="00980E5F" w:rsidRDefault="00980E5F">
            <w:pPr>
              <w:rPr>
                <w:rFonts w:ascii="宋体"/>
              </w:rPr>
            </w:pPr>
          </w:p>
        </w:tc>
        <w:tc>
          <w:tcPr>
            <w:tcW w:w="50" w:type="pct"/>
            <w:shd w:val="clear" w:color="auto" w:fill="auto"/>
            <w:vAlign w:val="bottom"/>
          </w:tcPr>
          <w:p w14:paraId="392C7486" w14:textId="77777777" w:rsidR="00980E5F" w:rsidRDefault="00980E5F">
            <w:pPr>
              <w:rPr>
                <w:rFonts w:ascii="宋体"/>
              </w:rPr>
            </w:pPr>
          </w:p>
        </w:tc>
        <w:tc>
          <w:tcPr>
            <w:tcW w:w="317" w:type="pct"/>
            <w:shd w:val="clear" w:color="auto" w:fill="auto"/>
            <w:vAlign w:val="bottom"/>
          </w:tcPr>
          <w:p w14:paraId="392C7487" w14:textId="77777777" w:rsidR="00980E5F" w:rsidRDefault="00980E5F">
            <w:pPr>
              <w:rPr>
                <w:rFonts w:ascii="宋体"/>
              </w:rPr>
            </w:pPr>
          </w:p>
        </w:tc>
        <w:tc>
          <w:tcPr>
            <w:tcW w:w="5" w:type="pct"/>
            <w:shd w:val="clear" w:color="auto" w:fill="auto"/>
            <w:vAlign w:val="bottom"/>
          </w:tcPr>
          <w:p w14:paraId="392C7488" w14:textId="77777777" w:rsidR="00980E5F" w:rsidRDefault="00980E5F">
            <w:pPr>
              <w:rPr>
                <w:rFonts w:ascii="宋体"/>
              </w:rPr>
            </w:pPr>
          </w:p>
        </w:tc>
        <w:tc>
          <w:tcPr>
            <w:tcW w:w="5" w:type="pct"/>
            <w:shd w:val="clear" w:color="auto" w:fill="auto"/>
            <w:vAlign w:val="bottom"/>
          </w:tcPr>
          <w:p w14:paraId="392C7489" w14:textId="77777777" w:rsidR="00980E5F" w:rsidRDefault="00980E5F">
            <w:pPr>
              <w:rPr>
                <w:rFonts w:ascii="宋体"/>
              </w:rPr>
            </w:pPr>
          </w:p>
        </w:tc>
        <w:tc>
          <w:tcPr>
            <w:tcW w:w="26" w:type="pct"/>
            <w:shd w:val="clear" w:color="auto" w:fill="auto"/>
            <w:vAlign w:val="bottom"/>
          </w:tcPr>
          <w:p w14:paraId="392C748A" w14:textId="77777777" w:rsidR="00980E5F" w:rsidRDefault="00980E5F">
            <w:pPr>
              <w:rPr>
                <w:rFonts w:ascii="宋体"/>
              </w:rPr>
            </w:pPr>
          </w:p>
        </w:tc>
        <w:tc>
          <w:tcPr>
            <w:tcW w:w="5" w:type="pct"/>
            <w:shd w:val="clear" w:color="auto" w:fill="auto"/>
            <w:vAlign w:val="bottom"/>
          </w:tcPr>
          <w:p w14:paraId="392C748B" w14:textId="77777777" w:rsidR="00980E5F" w:rsidRDefault="00980E5F">
            <w:pPr>
              <w:rPr>
                <w:rFonts w:ascii="宋体"/>
              </w:rPr>
            </w:pPr>
          </w:p>
        </w:tc>
        <w:tc>
          <w:tcPr>
            <w:tcW w:w="50" w:type="pct"/>
            <w:shd w:val="clear" w:color="auto" w:fill="auto"/>
            <w:vAlign w:val="bottom"/>
          </w:tcPr>
          <w:p w14:paraId="392C748C" w14:textId="77777777" w:rsidR="00980E5F" w:rsidRDefault="00980E5F">
            <w:pPr>
              <w:rPr>
                <w:rFonts w:ascii="宋体"/>
              </w:rPr>
            </w:pPr>
          </w:p>
        </w:tc>
        <w:tc>
          <w:tcPr>
            <w:tcW w:w="317" w:type="pct"/>
            <w:shd w:val="clear" w:color="auto" w:fill="auto"/>
            <w:vAlign w:val="bottom"/>
          </w:tcPr>
          <w:p w14:paraId="392C748D" w14:textId="77777777" w:rsidR="00980E5F" w:rsidRDefault="00980E5F">
            <w:pPr>
              <w:rPr>
                <w:rFonts w:ascii="宋体"/>
              </w:rPr>
            </w:pPr>
          </w:p>
        </w:tc>
        <w:tc>
          <w:tcPr>
            <w:tcW w:w="5" w:type="pct"/>
            <w:shd w:val="clear" w:color="auto" w:fill="auto"/>
            <w:vAlign w:val="bottom"/>
          </w:tcPr>
          <w:p w14:paraId="392C748E" w14:textId="77777777" w:rsidR="00980E5F" w:rsidRDefault="00980E5F">
            <w:pPr>
              <w:rPr>
                <w:rFonts w:ascii="宋体"/>
              </w:rPr>
            </w:pPr>
          </w:p>
        </w:tc>
        <w:tc>
          <w:tcPr>
            <w:tcW w:w="5" w:type="pct"/>
            <w:shd w:val="clear" w:color="auto" w:fill="auto"/>
            <w:vAlign w:val="bottom"/>
          </w:tcPr>
          <w:p w14:paraId="392C748F" w14:textId="77777777" w:rsidR="00980E5F" w:rsidRDefault="00980E5F">
            <w:pPr>
              <w:rPr>
                <w:rFonts w:ascii="宋体"/>
              </w:rPr>
            </w:pPr>
          </w:p>
        </w:tc>
        <w:tc>
          <w:tcPr>
            <w:tcW w:w="26" w:type="pct"/>
            <w:shd w:val="clear" w:color="auto" w:fill="auto"/>
            <w:vAlign w:val="bottom"/>
          </w:tcPr>
          <w:p w14:paraId="392C7490" w14:textId="77777777" w:rsidR="00980E5F" w:rsidRDefault="00980E5F">
            <w:pPr>
              <w:rPr>
                <w:rFonts w:ascii="宋体"/>
              </w:rPr>
            </w:pPr>
          </w:p>
        </w:tc>
        <w:tc>
          <w:tcPr>
            <w:tcW w:w="5" w:type="pct"/>
            <w:shd w:val="clear" w:color="auto" w:fill="auto"/>
            <w:vAlign w:val="bottom"/>
          </w:tcPr>
          <w:p w14:paraId="392C7491" w14:textId="77777777" w:rsidR="00980E5F" w:rsidRDefault="00980E5F">
            <w:pPr>
              <w:rPr>
                <w:rFonts w:ascii="宋体"/>
              </w:rPr>
            </w:pPr>
          </w:p>
        </w:tc>
        <w:tc>
          <w:tcPr>
            <w:tcW w:w="50" w:type="pct"/>
            <w:shd w:val="clear" w:color="auto" w:fill="auto"/>
            <w:vAlign w:val="bottom"/>
          </w:tcPr>
          <w:p w14:paraId="392C7492" w14:textId="77777777" w:rsidR="00980E5F" w:rsidRDefault="00980E5F">
            <w:pPr>
              <w:rPr>
                <w:rFonts w:ascii="宋体"/>
              </w:rPr>
            </w:pPr>
          </w:p>
        </w:tc>
        <w:tc>
          <w:tcPr>
            <w:tcW w:w="317" w:type="pct"/>
            <w:shd w:val="clear" w:color="auto" w:fill="auto"/>
            <w:vAlign w:val="bottom"/>
          </w:tcPr>
          <w:p w14:paraId="392C7493" w14:textId="77777777" w:rsidR="00980E5F" w:rsidRDefault="00980E5F">
            <w:pPr>
              <w:rPr>
                <w:rFonts w:ascii="宋体"/>
              </w:rPr>
            </w:pPr>
          </w:p>
        </w:tc>
        <w:tc>
          <w:tcPr>
            <w:tcW w:w="5" w:type="pct"/>
            <w:shd w:val="clear" w:color="auto" w:fill="auto"/>
            <w:vAlign w:val="bottom"/>
          </w:tcPr>
          <w:p w14:paraId="392C7494" w14:textId="77777777" w:rsidR="00980E5F" w:rsidRDefault="00980E5F">
            <w:pPr>
              <w:rPr>
                <w:rFonts w:ascii="宋体"/>
              </w:rPr>
            </w:pPr>
          </w:p>
        </w:tc>
        <w:tc>
          <w:tcPr>
            <w:tcW w:w="5" w:type="pct"/>
            <w:shd w:val="clear" w:color="auto" w:fill="auto"/>
            <w:vAlign w:val="bottom"/>
          </w:tcPr>
          <w:p w14:paraId="392C7495" w14:textId="77777777" w:rsidR="00980E5F" w:rsidRDefault="00980E5F">
            <w:pPr>
              <w:rPr>
                <w:rFonts w:ascii="宋体"/>
              </w:rPr>
            </w:pPr>
          </w:p>
        </w:tc>
        <w:tc>
          <w:tcPr>
            <w:tcW w:w="26" w:type="pct"/>
            <w:shd w:val="clear" w:color="auto" w:fill="auto"/>
            <w:vAlign w:val="bottom"/>
          </w:tcPr>
          <w:p w14:paraId="392C7496" w14:textId="77777777" w:rsidR="00980E5F" w:rsidRDefault="00980E5F">
            <w:pPr>
              <w:rPr>
                <w:rFonts w:ascii="宋体"/>
              </w:rPr>
            </w:pPr>
          </w:p>
        </w:tc>
        <w:tc>
          <w:tcPr>
            <w:tcW w:w="5" w:type="pct"/>
            <w:shd w:val="clear" w:color="auto" w:fill="auto"/>
            <w:vAlign w:val="bottom"/>
          </w:tcPr>
          <w:p w14:paraId="392C7497" w14:textId="77777777" w:rsidR="00980E5F" w:rsidRDefault="00980E5F">
            <w:pPr>
              <w:rPr>
                <w:rFonts w:ascii="宋体"/>
              </w:rPr>
            </w:pPr>
          </w:p>
        </w:tc>
        <w:tc>
          <w:tcPr>
            <w:tcW w:w="50" w:type="pct"/>
            <w:shd w:val="clear" w:color="auto" w:fill="auto"/>
            <w:vAlign w:val="bottom"/>
          </w:tcPr>
          <w:p w14:paraId="392C7498" w14:textId="77777777" w:rsidR="00980E5F" w:rsidRDefault="00980E5F">
            <w:pPr>
              <w:rPr>
                <w:rFonts w:ascii="宋体"/>
              </w:rPr>
            </w:pPr>
          </w:p>
        </w:tc>
        <w:tc>
          <w:tcPr>
            <w:tcW w:w="317" w:type="pct"/>
            <w:shd w:val="clear" w:color="auto" w:fill="auto"/>
            <w:vAlign w:val="bottom"/>
          </w:tcPr>
          <w:p w14:paraId="392C7499" w14:textId="77777777" w:rsidR="00980E5F" w:rsidRDefault="00980E5F">
            <w:pPr>
              <w:rPr>
                <w:rFonts w:ascii="宋体"/>
              </w:rPr>
            </w:pPr>
          </w:p>
        </w:tc>
        <w:tc>
          <w:tcPr>
            <w:tcW w:w="5" w:type="pct"/>
            <w:shd w:val="clear" w:color="auto" w:fill="auto"/>
            <w:vAlign w:val="bottom"/>
          </w:tcPr>
          <w:p w14:paraId="392C749A" w14:textId="77777777" w:rsidR="00980E5F" w:rsidRDefault="00980E5F">
            <w:pPr>
              <w:rPr>
                <w:rFonts w:ascii="宋体"/>
              </w:rPr>
            </w:pPr>
          </w:p>
        </w:tc>
        <w:tc>
          <w:tcPr>
            <w:tcW w:w="5" w:type="pct"/>
            <w:shd w:val="clear" w:color="auto" w:fill="auto"/>
            <w:vAlign w:val="bottom"/>
          </w:tcPr>
          <w:p w14:paraId="392C749B" w14:textId="77777777" w:rsidR="00980E5F" w:rsidRDefault="00980E5F">
            <w:pPr>
              <w:rPr>
                <w:rFonts w:ascii="宋体"/>
              </w:rPr>
            </w:pPr>
          </w:p>
        </w:tc>
        <w:tc>
          <w:tcPr>
            <w:tcW w:w="26" w:type="pct"/>
            <w:shd w:val="clear" w:color="auto" w:fill="auto"/>
            <w:vAlign w:val="bottom"/>
          </w:tcPr>
          <w:p w14:paraId="392C749C" w14:textId="77777777" w:rsidR="00980E5F" w:rsidRDefault="00980E5F">
            <w:pPr>
              <w:rPr>
                <w:rFonts w:ascii="宋体"/>
              </w:rPr>
            </w:pPr>
          </w:p>
        </w:tc>
        <w:tc>
          <w:tcPr>
            <w:tcW w:w="5" w:type="pct"/>
            <w:shd w:val="clear" w:color="auto" w:fill="auto"/>
            <w:vAlign w:val="bottom"/>
          </w:tcPr>
          <w:p w14:paraId="392C749D" w14:textId="77777777" w:rsidR="00980E5F" w:rsidRDefault="00980E5F">
            <w:pPr>
              <w:rPr>
                <w:rFonts w:ascii="宋体"/>
              </w:rPr>
            </w:pPr>
          </w:p>
        </w:tc>
        <w:tc>
          <w:tcPr>
            <w:tcW w:w="0" w:type="auto"/>
            <w:shd w:val="clear" w:color="auto" w:fill="auto"/>
            <w:vAlign w:val="bottom"/>
          </w:tcPr>
          <w:p w14:paraId="392C749E" w14:textId="77777777" w:rsidR="00980E5F" w:rsidRDefault="00980E5F">
            <w:pPr>
              <w:rPr>
                <w:rFonts w:ascii="宋体"/>
                <w:vanish/>
              </w:rPr>
            </w:pPr>
          </w:p>
        </w:tc>
        <w:tc>
          <w:tcPr>
            <w:tcW w:w="0" w:type="auto"/>
            <w:shd w:val="clear" w:color="auto" w:fill="auto"/>
            <w:vAlign w:val="bottom"/>
          </w:tcPr>
          <w:p w14:paraId="392C749F" w14:textId="77777777" w:rsidR="00980E5F" w:rsidRDefault="00980E5F">
            <w:pPr>
              <w:rPr>
                <w:rFonts w:ascii="宋体"/>
                <w:vanish/>
              </w:rPr>
            </w:pPr>
          </w:p>
        </w:tc>
        <w:tc>
          <w:tcPr>
            <w:tcW w:w="50" w:type="pct"/>
            <w:shd w:val="clear" w:color="auto" w:fill="auto"/>
            <w:vAlign w:val="bottom"/>
          </w:tcPr>
          <w:p w14:paraId="392C74A0" w14:textId="77777777" w:rsidR="00980E5F" w:rsidRDefault="00980E5F">
            <w:pPr>
              <w:rPr>
                <w:rFonts w:ascii="宋体"/>
              </w:rPr>
            </w:pPr>
          </w:p>
        </w:tc>
        <w:tc>
          <w:tcPr>
            <w:tcW w:w="317" w:type="pct"/>
            <w:shd w:val="clear" w:color="auto" w:fill="auto"/>
            <w:vAlign w:val="bottom"/>
          </w:tcPr>
          <w:p w14:paraId="392C74A1" w14:textId="77777777" w:rsidR="00980E5F" w:rsidRDefault="00980E5F">
            <w:pPr>
              <w:rPr>
                <w:rFonts w:ascii="宋体"/>
              </w:rPr>
            </w:pPr>
          </w:p>
        </w:tc>
        <w:tc>
          <w:tcPr>
            <w:tcW w:w="5" w:type="pct"/>
            <w:shd w:val="clear" w:color="auto" w:fill="auto"/>
            <w:vAlign w:val="bottom"/>
          </w:tcPr>
          <w:p w14:paraId="392C74A2" w14:textId="77777777" w:rsidR="00980E5F" w:rsidRDefault="00980E5F">
            <w:pPr>
              <w:rPr>
                <w:rFonts w:ascii="宋体"/>
              </w:rPr>
            </w:pPr>
          </w:p>
        </w:tc>
        <w:tc>
          <w:tcPr>
            <w:tcW w:w="5" w:type="pct"/>
            <w:shd w:val="clear" w:color="auto" w:fill="auto"/>
            <w:vAlign w:val="bottom"/>
          </w:tcPr>
          <w:p w14:paraId="392C74A3" w14:textId="77777777" w:rsidR="00980E5F" w:rsidRDefault="00980E5F">
            <w:pPr>
              <w:rPr>
                <w:rFonts w:ascii="宋体"/>
              </w:rPr>
            </w:pPr>
          </w:p>
        </w:tc>
        <w:tc>
          <w:tcPr>
            <w:tcW w:w="26" w:type="pct"/>
            <w:shd w:val="clear" w:color="auto" w:fill="auto"/>
            <w:vAlign w:val="bottom"/>
          </w:tcPr>
          <w:p w14:paraId="392C74A4" w14:textId="77777777" w:rsidR="00980E5F" w:rsidRDefault="00980E5F">
            <w:pPr>
              <w:rPr>
                <w:rFonts w:ascii="宋体"/>
              </w:rPr>
            </w:pPr>
          </w:p>
        </w:tc>
        <w:tc>
          <w:tcPr>
            <w:tcW w:w="5" w:type="pct"/>
            <w:shd w:val="clear" w:color="auto" w:fill="auto"/>
            <w:vAlign w:val="bottom"/>
          </w:tcPr>
          <w:p w14:paraId="392C74A5" w14:textId="77777777" w:rsidR="00980E5F" w:rsidRDefault="00980E5F">
            <w:pPr>
              <w:rPr>
                <w:rFonts w:ascii="宋体"/>
              </w:rPr>
            </w:pPr>
          </w:p>
        </w:tc>
        <w:tc>
          <w:tcPr>
            <w:tcW w:w="50" w:type="pct"/>
            <w:shd w:val="clear" w:color="auto" w:fill="auto"/>
            <w:vAlign w:val="bottom"/>
          </w:tcPr>
          <w:p w14:paraId="392C74A6" w14:textId="77777777" w:rsidR="00980E5F" w:rsidRDefault="00980E5F">
            <w:pPr>
              <w:rPr>
                <w:rFonts w:ascii="宋体"/>
              </w:rPr>
            </w:pPr>
          </w:p>
        </w:tc>
        <w:tc>
          <w:tcPr>
            <w:tcW w:w="566" w:type="pct"/>
            <w:shd w:val="clear" w:color="auto" w:fill="auto"/>
            <w:vAlign w:val="bottom"/>
          </w:tcPr>
          <w:p w14:paraId="392C74A7" w14:textId="77777777" w:rsidR="00980E5F" w:rsidRDefault="00980E5F">
            <w:pPr>
              <w:rPr>
                <w:rFonts w:ascii="宋体"/>
              </w:rPr>
            </w:pPr>
          </w:p>
        </w:tc>
        <w:tc>
          <w:tcPr>
            <w:tcW w:w="5" w:type="pct"/>
            <w:shd w:val="clear" w:color="auto" w:fill="auto"/>
            <w:vAlign w:val="bottom"/>
          </w:tcPr>
          <w:p w14:paraId="392C74A8" w14:textId="77777777" w:rsidR="00980E5F" w:rsidRDefault="00980E5F">
            <w:pPr>
              <w:rPr>
                <w:rFonts w:ascii="宋体"/>
              </w:rPr>
            </w:pPr>
          </w:p>
        </w:tc>
        <w:tc>
          <w:tcPr>
            <w:tcW w:w="5" w:type="pct"/>
            <w:shd w:val="clear" w:color="auto" w:fill="auto"/>
            <w:vAlign w:val="bottom"/>
          </w:tcPr>
          <w:p w14:paraId="392C74A9" w14:textId="77777777" w:rsidR="00980E5F" w:rsidRDefault="00980E5F">
            <w:pPr>
              <w:rPr>
                <w:rFonts w:ascii="宋体"/>
              </w:rPr>
            </w:pPr>
          </w:p>
        </w:tc>
        <w:tc>
          <w:tcPr>
            <w:tcW w:w="26" w:type="pct"/>
            <w:shd w:val="clear" w:color="auto" w:fill="auto"/>
            <w:vAlign w:val="bottom"/>
          </w:tcPr>
          <w:p w14:paraId="392C74AA" w14:textId="77777777" w:rsidR="00980E5F" w:rsidRDefault="00980E5F">
            <w:pPr>
              <w:rPr>
                <w:rFonts w:ascii="宋体"/>
              </w:rPr>
            </w:pPr>
          </w:p>
        </w:tc>
        <w:tc>
          <w:tcPr>
            <w:tcW w:w="5" w:type="pct"/>
            <w:shd w:val="clear" w:color="auto" w:fill="auto"/>
            <w:vAlign w:val="bottom"/>
          </w:tcPr>
          <w:p w14:paraId="392C74AB" w14:textId="77777777" w:rsidR="00980E5F" w:rsidRDefault="00980E5F">
            <w:pPr>
              <w:rPr>
                <w:rFonts w:ascii="宋体"/>
              </w:rPr>
            </w:pPr>
          </w:p>
        </w:tc>
        <w:tc>
          <w:tcPr>
            <w:tcW w:w="50" w:type="pct"/>
            <w:shd w:val="clear" w:color="auto" w:fill="auto"/>
            <w:vAlign w:val="bottom"/>
          </w:tcPr>
          <w:p w14:paraId="392C74AC" w14:textId="77777777" w:rsidR="00980E5F" w:rsidRDefault="00980E5F">
            <w:pPr>
              <w:rPr>
                <w:rFonts w:ascii="宋体"/>
              </w:rPr>
            </w:pPr>
          </w:p>
        </w:tc>
        <w:tc>
          <w:tcPr>
            <w:tcW w:w="318" w:type="pct"/>
            <w:shd w:val="clear" w:color="auto" w:fill="auto"/>
            <w:vAlign w:val="bottom"/>
          </w:tcPr>
          <w:p w14:paraId="392C74AD" w14:textId="77777777" w:rsidR="00980E5F" w:rsidRDefault="00980E5F">
            <w:pPr>
              <w:rPr>
                <w:rFonts w:ascii="宋体"/>
              </w:rPr>
            </w:pPr>
          </w:p>
        </w:tc>
        <w:tc>
          <w:tcPr>
            <w:tcW w:w="5" w:type="pct"/>
            <w:shd w:val="clear" w:color="auto" w:fill="auto"/>
            <w:vAlign w:val="bottom"/>
          </w:tcPr>
          <w:p w14:paraId="392C74AE" w14:textId="77777777" w:rsidR="00980E5F" w:rsidRDefault="00980E5F">
            <w:pPr>
              <w:rPr>
                <w:rFonts w:ascii="宋体"/>
              </w:rPr>
            </w:pPr>
          </w:p>
        </w:tc>
      </w:tr>
      <w:tr w:rsidR="00980E5F" w14:paraId="392C74C2" w14:textId="77777777">
        <w:tc>
          <w:tcPr>
            <w:tcW w:w="0" w:type="auto"/>
            <w:gridSpan w:val="3"/>
            <w:shd w:val="clear" w:color="auto" w:fill="auto"/>
            <w:tcMar>
              <w:top w:w="40" w:type="dxa"/>
              <w:left w:w="20" w:type="dxa"/>
              <w:bottom w:w="40" w:type="dxa"/>
              <w:right w:w="20" w:type="dxa"/>
            </w:tcMar>
            <w:vAlign w:val="bottom"/>
          </w:tcPr>
          <w:p w14:paraId="392C74B0"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74B1"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74B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B3" w14:textId="77777777" w:rsidR="00980E5F" w:rsidRDefault="00483613">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392C74B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B5" w14:textId="77777777" w:rsidR="00980E5F" w:rsidRDefault="00483613">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392C74B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B7" w14:textId="77777777" w:rsidR="00980E5F" w:rsidRDefault="00483613">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392C74B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B9" w14:textId="77777777" w:rsidR="00980E5F" w:rsidRDefault="00483613">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392C74BA" w14:textId="77777777" w:rsidR="00980E5F" w:rsidRDefault="00980E5F">
            <w:pPr>
              <w:rPr>
                <w:rFonts w:ascii="宋体"/>
              </w:rPr>
            </w:pPr>
          </w:p>
        </w:tc>
        <w:tc>
          <w:tcPr>
            <w:tcW w:w="0" w:type="auto"/>
            <w:shd w:val="clear" w:color="auto" w:fill="auto"/>
            <w:vAlign w:val="bottom"/>
          </w:tcPr>
          <w:p w14:paraId="392C74BB" w14:textId="77777777" w:rsidR="00980E5F" w:rsidRDefault="00980E5F">
            <w:pPr>
              <w:rPr>
                <w:rFonts w:ascii="宋体"/>
                <w:vanish/>
              </w:rPr>
            </w:pPr>
          </w:p>
        </w:tc>
        <w:tc>
          <w:tcPr>
            <w:tcW w:w="0" w:type="auto"/>
            <w:shd w:val="clear" w:color="auto" w:fill="auto"/>
            <w:vAlign w:val="bottom"/>
          </w:tcPr>
          <w:p w14:paraId="392C74BC" w14:textId="77777777" w:rsidR="00980E5F" w:rsidRDefault="00980E5F">
            <w:pPr>
              <w:rPr>
                <w:rFonts w:ascii="宋体"/>
                <w:vanish/>
              </w:rPr>
            </w:pPr>
          </w:p>
        </w:tc>
        <w:tc>
          <w:tcPr>
            <w:tcW w:w="0" w:type="auto"/>
            <w:gridSpan w:val="3"/>
            <w:shd w:val="clear" w:color="auto" w:fill="auto"/>
            <w:tcMar>
              <w:top w:w="40" w:type="dxa"/>
              <w:left w:w="20" w:type="dxa"/>
              <w:bottom w:w="40" w:type="dxa"/>
              <w:right w:w="20" w:type="dxa"/>
            </w:tcMar>
            <w:vAlign w:val="bottom"/>
          </w:tcPr>
          <w:p w14:paraId="392C74BD" w14:textId="77777777" w:rsidR="00980E5F" w:rsidRDefault="00483613">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392C74B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BF" w14:textId="77777777" w:rsidR="00980E5F" w:rsidRDefault="00483613">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392C74C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4C1" w14:textId="77777777" w:rsidR="00980E5F" w:rsidRDefault="00483613">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980E5F" w14:paraId="392C74D5" w14:textId="77777777">
        <w:tc>
          <w:tcPr>
            <w:tcW w:w="0" w:type="auto"/>
            <w:gridSpan w:val="3"/>
            <w:shd w:val="clear" w:color="auto" w:fill="auto"/>
            <w:tcMar>
              <w:top w:w="40" w:type="dxa"/>
              <w:left w:w="20" w:type="dxa"/>
              <w:bottom w:w="40" w:type="dxa"/>
              <w:right w:w="20" w:type="dxa"/>
            </w:tcMar>
            <w:vAlign w:val="bottom"/>
          </w:tcPr>
          <w:p w14:paraId="392C74C3" w14:textId="77777777" w:rsidR="00980E5F" w:rsidRDefault="00483613">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C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C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C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C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C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CD" w14:textId="77777777" w:rsidR="00980E5F" w:rsidRDefault="00980E5F">
            <w:pPr>
              <w:rPr>
                <w:rFonts w:ascii="宋体"/>
              </w:rPr>
            </w:pPr>
          </w:p>
        </w:tc>
        <w:tc>
          <w:tcPr>
            <w:tcW w:w="0" w:type="auto"/>
            <w:shd w:val="clear" w:color="auto" w:fill="auto"/>
            <w:vAlign w:val="bottom"/>
          </w:tcPr>
          <w:p w14:paraId="392C74CE" w14:textId="77777777" w:rsidR="00980E5F" w:rsidRDefault="00980E5F">
            <w:pPr>
              <w:rPr>
                <w:rFonts w:ascii="宋体"/>
                <w:vanish/>
              </w:rPr>
            </w:pPr>
          </w:p>
        </w:tc>
        <w:tc>
          <w:tcPr>
            <w:tcW w:w="0" w:type="auto"/>
            <w:shd w:val="clear" w:color="auto" w:fill="auto"/>
            <w:vAlign w:val="bottom"/>
          </w:tcPr>
          <w:p w14:paraId="392C74CF"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D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4D4" w14:textId="77777777" w:rsidR="00980E5F" w:rsidRDefault="00980E5F">
            <w:pPr>
              <w:rPr>
                <w:rFonts w:ascii="宋体"/>
              </w:rPr>
            </w:pPr>
          </w:p>
        </w:tc>
      </w:tr>
      <w:tr w:rsidR="00980E5F" w14:paraId="392C74E8" w14:textId="77777777">
        <w:tc>
          <w:tcPr>
            <w:tcW w:w="0" w:type="auto"/>
            <w:gridSpan w:val="3"/>
            <w:shd w:val="clear" w:color="auto" w:fill="auto"/>
            <w:tcMar>
              <w:top w:w="40" w:type="dxa"/>
              <w:left w:w="155" w:type="dxa"/>
              <w:bottom w:w="40" w:type="dxa"/>
              <w:right w:w="20" w:type="dxa"/>
            </w:tcMar>
            <w:vAlign w:val="bottom"/>
          </w:tcPr>
          <w:p w14:paraId="392C74D6"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392C74D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0" w14:textId="77777777" w:rsidR="00980E5F" w:rsidRDefault="00980E5F">
            <w:pPr>
              <w:rPr>
                <w:rFonts w:ascii="宋体"/>
              </w:rPr>
            </w:pPr>
          </w:p>
        </w:tc>
        <w:tc>
          <w:tcPr>
            <w:tcW w:w="0" w:type="auto"/>
            <w:shd w:val="clear" w:color="auto" w:fill="auto"/>
            <w:vAlign w:val="bottom"/>
          </w:tcPr>
          <w:p w14:paraId="392C74E1" w14:textId="77777777" w:rsidR="00980E5F" w:rsidRDefault="00980E5F">
            <w:pPr>
              <w:rPr>
                <w:rFonts w:ascii="宋体"/>
                <w:vanish/>
              </w:rPr>
            </w:pPr>
          </w:p>
        </w:tc>
        <w:tc>
          <w:tcPr>
            <w:tcW w:w="0" w:type="auto"/>
            <w:shd w:val="clear" w:color="auto" w:fill="auto"/>
            <w:vAlign w:val="bottom"/>
          </w:tcPr>
          <w:p w14:paraId="392C74E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74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7" w14:textId="77777777" w:rsidR="00980E5F" w:rsidRDefault="00980E5F">
            <w:pPr>
              <w:rPr>
                <w:rFonts w:ascii="宋体"/>
              </w:rPr>
            </w:pPr>
          </w:p>
        </w:tc>
      </w:tr>
      <w:tr w:rsidR="00980E5F" w14:paraId="392C74FB" w14:textId="77777777">
        <w:tc>
          <w:tcPr>
            <w:tcW w:w="0" w:type="auto"/>
            <w:gridSpan w:val="3"/>
            <w:shd w:val="clear" w:color="auto" w:fill="auto"/>
            <w:tcMar>
              <w:top w:w="40" w:type="dxa"/>
              <w:left w:w="245" w:type="dxa"/>
              <w:bottom w:w="40" w:type="dxa"/>
              <w:right w:w="20" w:type="dxa"/>
            </w:tcMar>
            <w:vAlign w:val="bottom"/>
          </w:tcPr>
          <w:p w14:paraId="392C74E9"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392C74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E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3" w14:textId="77777777" w:rsidR="00980E5F" w:rsidRDefault="00980E5F">
            <w:pPr>
              <w:rPr>
                <w:rFonts w:ascii="宋体"/>
              </w:rPr>
            </w:pPr>
          </w:p>
        </w:tc>
        <w:tc>
          <w:tcPr>
            <w:tcW w:w="0" w:type="auto"/>
            <w:shd w:val="clear" w:color="auto" w:fill="auto"/>
            <w:vAlign w:val="bottom"/>
          </w:tcPr>
          <w:p w14:paraId="392C74F4" w14:textId="77777777" w:rsidR="00980E5F" w:rsidRDefault="00980E5F">
            <w:pPr>
              <w:rPr>
                <w:rFonts w:ascii="宋体"/>
                <w:vanish/>
              </w:rPr>
            </w:pPr>
          </w:p>
        </w:tc>
        <w:tc>
          <w:tcPr>
            <w:tcW w:w="0" w:type="auto"/>
            <w:shd w:val="clear" w:color="auto" w:fill="auto"/>
            <w:vAlign w:val="bottom"/>
          </w:tcPr>
          <w:p w14:paraId="392C74F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74F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4FA" w14:textId="77777777" w:rsidR="00980E5F" w:rsidRDefault="00980E5F">
            <w:pPr>
              <w:rPr>
                <w:rFonts w:ascii="宋体"/>
              </w:rPr>
            </w:pPr>
          </w:p>
        </w:tc>
      </w:tr>
      <w:tr w:rsidR="00980E5F" w14:paraId="392C751E" w14:textId="77777777">
        <w:tc>
          <w:tcPr>
            <w:tcW w:w="0" w:type="auto"/>
            <w:gridSpan w:val="3"/>
            <w:shd w:val="clear" w:color="auto" w:fill="CCEEFF"/>
            <w:tcMar>
              <w:top w:w="40" w:type="dxa"/>
              <w:left w:w="380" w:type="dxa"/>
              <w:bottom w:w="40" w:type="dxa"/>
              <w:right w:w="20" w:type="dxa"/>
            </w:tcMar>
            <w:vAlign w:val="bottom"/>
          </w:tcPr>
          <w:p w14:paraId="392C74FC"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92C74FD"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4FE" w14:textId="77777777" w:rsidR="00980E5F" w:rsidRDefault="00483613">
            <w:pPr>
              <w:jc w:val="right"/>
              <w:textAlignment w:val="bottom"/>
            </w:pPr>
            <w:r>
              <w:rPr>
                <w:rFonts w:ascii="Arial" w:eastAsia="宋体" w:hAnsi="Arial" w:cs="Arial"/>
                <w:color w:val="000000"/>
                <w:sz w:val="14"/>
                <w:szCs w:val="14"/>
              </w:rPr>
              <w:t>1,988 </w:t>
            </w:r>
          </w:p>
        </w:tc>
        <w:tc>
          <w:tcPr>
            <w:tcW w:w="0" w:type="auto"/>
            <w:shd w:val="clear" w:color="auto" w:fill="CCEEFF"/>
            <w:tcMar>
              <w:top w:w="40" w:type="dxa"/>
              <w:left w:w="0" w:type="dxa"/>
              <w:bottom w:w="40" w:type="dxa"/>
              <w:right w:w="20" w:type="dxa"/>
            </w:tcMar>
            <w:vAlign w:val="bottom"/>
          </w:tcPr>
          <w:p w14:paraId="392C74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0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01"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02" w14:textId="77777777" w:rsidR="00980E5F" w:rsidRDefault="00483613">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392C75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0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05"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06" w14:textId="77777777" w:rsidR="00980E5F" w:rsidRDefault="00483613">
            <w:pPr>
              <w:jc w:val="right"/>
              <w:textAlignment w:val="bottom"/>
            </w:pPr>
            <w:r>
              <w:rPr>
                <w:rFonts w:ascii="Arial" w:eastAsia="宋体" w:hAnsi="Arial" w:cs="Arial"/>
                <w:color w:val="000000"/>
                <w:sz w:val="14"/>
                <w:szCs w:val="14"/>
              </w:rPr>
              <w:t>347 </w:t>
            </w:r>
          </w:p>
        </w:tc>
        <w:tc>
          <w:tcPr>
            <w:tcW w:w="0" w:type="auto"/>
            <w:shd w:val="clear" w:color="auto" w:fill="CCEEFF"/>
            <w:tcMar>
              <w:top w:w="40" w:type="dxa"/>
              <w:left w:w="0" w:type="dxa"/>
              <w:bottom w:w="40" w:type="dxa"/>
              <w:right w:w="20" w:type="dxa"/>
            </w:tcMar>
            <w:vAlign w:val="bottom"/>
          </w:tcPr>
          <w:p w14:paraId="392C75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0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09"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0A"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75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0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0D"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0E" w14:textId="77777777" w:rsidR="00980E5F" w:rsidRDefault="00483613">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392C75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10" w14:textId="77777777" w:rsidR="00980E5F" w:rsidRDefault="00980E5F">
            <w:pPr>
              <w:rPr>
                <w:rFonts w:ascii="宋体"/>
              </w:rPr>
            </w:pPr>
          </w:p>
        </w:tc>
        <w:tc>
          <w:tcPr>
            <w:tcW w:w="0" w:type="auto"/>
            <w:shd w:val="clear" w:color="auto" w:fill="auto"/>
            <w:vAlign w:val="bottom"/>
          </w:tcPr>
          <w:p w14:paraId="392C7511" w14:textId="77777777" w:rsidR="00980E5F" w:rsidRDefault="00980E5F">
            <w:pPr>
              <w:rPr>
                <w:rFonts w:ascii="宋体"/>
                <w:vanish/>
              </w:rPr>
            </w:pPr>
          </w:p>
        </w:tc>
        <w:tc>
          <w:tcPr>
            <w:tcW w:w="0" w:type="auto"/>
            <w:shd w:val="clear" w:color="auto" w:fill="auto"/>
            <w:vAlign w:val="bottom"/>
          </w:tcPr>
          <w:p w14:paraId="392C7512"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51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1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5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1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1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18" w14:textId="77777777" w:rsidR="00980E5F" w:rsidRDefault="00483613">
            <w:pPr>
              <w:jc w:val="right"/>
              <w:textAlignment w:val="bottom"/>
            </w:pPr>
            <w:r>
              <w:rPr>
                <w:rFonts w:ascii="Arial" w:eastAsia="宋体" w:hAnsi="Arial" w:cs="Arial"/>
                <w:color w:val="000000"/>
                <w:sz w:val="14"/>
                <w:szCs w:val="14"/>
              </w:rPr>
              <w:t>13,591 </w:t>
            </w:r>
          </w:p>
        </w:tc>
        <w:tc>
          <w:tcPr>
            <w:tcW w:w="0" w:type="auto"/>
            <w:shd w:val="clear" w:color="auto" w:fill="CCEEFF"/>
            <w:tcMar>
              <w:top w:w="40" w:type="dxa"/>
              <w:left w:w="0" w:type="dxa"/>
              <w:bottom w:w="40" w:type="dxa"/>
              <w:right w:w="20" w:type="dxa"/>
            </w:tcMar>
            <w:vAlign w:val="bottom"/>
          </w:tcPr>
          <w:p w14:paraId="392C75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1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51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51C" w14:textId="77777777" w:rsidR="00980E5F" w:rsidRDefault="00483613">
            <w:pPr>
              <w:jc w:val="right"/>
              <w:textAlignment w:val="bottom"/>
            </w:pPr>
            <w:r>
              <w:rPr>
                <w:rFonts w:ascii="Arial" w:eastAsia="宋体" w:hAnsi="Arial" w:cs="Arial"/>
                <w:color w:val="000000"/>
                <w:sz w:val="14"/>
                <w:szCs w:val="14"/>
              </w:rPr>
              <w:t>16,024 </w:t>
            </w:r>
          </w:p>
        </w:tc>
        <w:tc>
          <w:tcPr>
            <w:tcW w:w="0" w:type="auto"/>
            <w:shd w:val="clear" w:color="auto" w:fill="CCEEFF"/>
            <w:tcMar>
              <w:top w:w="40" w:type="dxa"/>
              <w:left w:w="0" w:type="dxa"/>
              <w:bottom w:w="40" w:type="dxa"/>
              <w:right w:w="20" w:type="dxa"/>
            </w:tcMar>
            <w:vAlign w:val="bottom"/>
          </w:tcPr>
          <w:p w14:paraId="392C751D" w14:textId="77777777" w:rsidR="00980E5F" w:rsidRDefault="00980E5F">
            <w:pPr>
              <w:jc w:val="right"/>
              <w:rPr>
                <w:rFonts w:ascii="宋体"/>
              </w:rPr>
            </w:pPr>
          </w:p>
        </w:tc>
      </w:tr>
      <w:tr w:rsidR="00980E5F" w14:paraId="392C7539" w14:textId="77777777">
        <w:tc>
          <w:tcPr>
            <w:tcW w:w="0" w:type="auto"/>
            <w:gridSpan w:val="3"/>
            <w:shd w:val="clear" w:color="auto" w:fill="FFFFFF"/>
            <w:tcMar>
              <w:top w:w="40" w:type="dxa"/>
              <w:left w:w="380" w:type="dxa"/>
              <w:bottom w:w="40" w:type="dxa"/>
              <w:right w:w="20" w:type="dxa"/>
            </w:tcMar>
            <w:vAlign w:val="bottom"/>
          </w:tcPr>
          <w:p w14:paraId="392C751F"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7520" w14:textId="77777777" w:rsidR="00980E5F" w:rsidRDefault="00483613">
            <w:pPr>
              <w:jc w:val="right"/>
              <w:textAlignment w:val="bottom"/>
            </w:pPr>
            <w:r>
              <w:rPr>
                <w:rFonts w:ascii="Arial" w:eastAsia="宋体" w:hAnsi="Arial" w:cs="Arial"/>
                <w:color w:val="000000"/>
                <w:sz w:val="14"/>
                <w:szCs w:val="14"/>
              </w:rPr>
              <w:t>1,096 </w:t>
            </w:r>
          </w:p>
        </w:tc>
        <w:tc>
          <w:tcPr>
            <w:tcW w:w="0" w:type="auto"/>
            <w:shd w:val="clear" w:color="auto" w:fill="FFFFFF"/>
            <w:tcMar>
              <w:top w:w="40" w:type="dxa"/>
              <w:left w:w="0" w:type="dxa"/>
              <w:bottom w:w="40" w:type="dxa"/>
              <w:right w:w="20" w:type="dxa"/>
            </w:tcMar>
            <w:vAlign w:val="bottom"/>
          </w:tcPr>
          <w:p w14:paraId="392C75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23" w14:textId="77777777" w:rsidR="00980E5F" w:rsidRDefault="00483613">
            <w:pPr>
              <w:jc w:val="right"/>
              <w:textAlignment w:val="bottom"/>
            </w:pPr>
            <w:r>
              <w:rPr>
                <w:rFonts w:ascii="Arial" w:eastAsia="宋体" w:hAnsi="Arial" w:cs="Arial"/>
                <w:color w:val="000000"/>
                <w:sz w:val="14"/>
                <w:szCs w:val="14"/>
              </w:rPr>
              <w:t>351 </w:t>
            </w:r>
          </w:p>
        </w:tc>
        <w:tc>
          <w:tcPr>
            <w:tcW w:w="0" w:type="auto"/>
            <w:shd w:val="clear" w:color="auto" w:fill="FFFFFF"/>
            <w:tcMar>
              <w:top w:w="40" w:type="dxa"/>
              <w:left w:w="0" w:type="dxa"/>
              <w:bottom w:w="40" w:type="dxa"/>
              <w:right w:w="20" w:type="dxa"/>
            </w:tcMar>
            <w:vAlign w:val="bottom"/>
          </w:tcPr>
          <w:p w14:paraId="392C75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26" w14:textId="77777777" w:rsidR="00980E5F" w:rsidRDefault="00483613">
            <w:pPr>
              <w:jc w:val="right"/>
              <w:textAlignment w:val="bottom"/>
            </w:pPr>
            <w:r>
              <w:rPr>
                <w:rFonts w:ascii="Arial" w:eastAsia="宋体" w:hAnsi="Arial" w:cs="Arial"/>
                <w:color w:val="000000"/>
                <w:sz w:val="14"/>
                <w:szCs w:val="14"/>
              </w:rPr>
              <w:t>706 </w:t>
            </w:r>
          </w:p>
        </w:tc>
        <w:tc>
          <w:tcPr>
            <w:tcW w:w="0" w:type="auto"/>
            <w:shd w:val="clear" w:color="auto" w:fill="FFFFFF"/>
            <w:tcMar>
              <w:top w:w="40" w:type="dxa"/>
              <w:left w:w="0" w:type="dxa"/>
              <w:bottom w:w="40" w:type="dxa"/>
              <w:right w:w="20" w:type="dxa"/>
            </w:tcMar>
            <w:vAlign w:val="bottom"/>
          </w:tcPr>
          <w:p w14:paraId="392C75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29" w14:textId="77777777" w:rsidR="00980E5F" w:rsidRDefault="00483613">
            <w:pPr>
              <w:jc w:val="right"/>
              <w:textAlignment w:val="bottom"/>
            </w:pPr>
            <w:r>
              <w:rPr>
                <w:rFonts w:ascii="Arial" w:eastAsia="宋体" w:hAnsi="Arial" w:cs="Arial"/>
                <w:color w:val="000000"/>
                <w:sz w:val="14"/>
                <w:szCs w:val="14"/>
              </w:rPr>
              <w:t>425 </w:t>
            </w:r>
          </w:p>
        </w:tc>
        <w:tc>
          <w:tcPr>
            <w:tcW w:w="0" w:type="auto"/>
            <w:shd w:val="clear" w:color="auto" w:fill="FFFFFF"/>
            <w:tcMar>
              <w:top w:w="40" w:type="dxa"/>
              <w:left w:w="0" w:type="dxa"/>
              <w:bottom w:w="40" w:type="dxa"/>
              <w:right w:w="20" w:type="dxa"/>
            </w:tcMar>
            <w:vAlign w:val="bottom"/>
          </w:tcPr>
          <w:p w14:paraId="392C75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2C" w14:textId="77777777" w:rsidR="00980E5F" w:rsidRDefault="00483613">
            <w:pPr>
              <w:jc w:val="right"/>
              <w:textAlignment w:val="bottom"/>
            </w:pPr>
            <w:r>
              <w:rPr>
                <w:rFonts w:ascii="Arial" w:eastAsia="宋体" w:hAnsi="Arial" w:cs="Arial"/>
                <w:color w:val="000000"/>
                <w:sz w:val="14"/>
                <w:szCs w:val="14"/>
              </w:rPr>
              <w:t>350 </w:t>
            </w:r>
          </w:p>
        </w:tc>
        <w:tc>
          <w:tcPr>
            <w:tcW w:w="0" w:type="auto"/>
            <w:shd w:val="clear" w:color="auto" w:fill="FFFFFF"/>
            <w:tcMar>
              <w:top w:w="40" w:type="dxa"/>
              <w:left w:w="0" w:type="dxa"/>
              <w:bottom w:w="40" w:type="dxa"/>
              <w:right w:w="20" w:type="dxa"/>
            </w:tcMar>
            <w:vAlign w:val="bottom"/>
          </w:tcPr>
          <w:p w14:paraId="392C752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2E" w14:textId="77777777" w:rsidR="00980E5F" w:rsidRDefault="00980E5F">
            <w:pPr>
              <w:rPr>
                <w:rFonts w:ascii="宋体"/>
              </w:rPr>
            </w:pPr>
          </w:p>
        </w:tc>
        <w:tc>
          <w:tcPr>
            <w:tcW w:w="0" w:type="auto"/>
            <w:shd w:val="clear" w:color="auto" w:fill="auto"/>
            <w:vAlign w:val="bottom"/>
          </w:tcPr>
          <w:p w14:paraId="392C752F" w14:textId="77777777" w:rsidR="00980E5F" w:rsidRDefault="00980E5F">
            <w:pPr>
              <w:rPr>
                <w:rFonts w:ascii="宋体"/>
                <w:vanish/>
              </w:rPr>
            </w:pPr>
          </w:p>
        </w:tc>
        <w:tc>
          <w:tcPr>
            <w:tcW w:w="0" w:type="auto"/>
            <w:shd w:val="clear" w:color="auto" w:fill="auto"/>
            <w:vAlign w:val="bottom"/>
          </w:tcPr>
          <w:p w14:paraId="392C753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531"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75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34" w14:textId="77777777" w:rsidR="00980E5F" w:rsidRDefault="00483613">
            <w:pPr>
              <w:jc w:val="right"/>
              <w:textAlignment w:val="bottom"/>
            </w:pPr>
            <w:r>
              <w:rPr>
                <w:rFonts w:ascii="Arial" w:eastAsia="宋体" w:hAnsi="Arial" w:cs="Arial"/>
                <w:color w:val="000000"/>
                <w:sz w:val="14"/>
                <w:szCs w:val="14"/>
              </w:rPr>
              <w:t>343 </w:t>
            </w:r>
          </w:p>
        </w:tc>
        <w:tc>
          <w:tcPr>
            <w:tcW w:w="0" w:type="auto"/>
            <w:shd w:val="clear" w:color="auto" w:fill="FFFFFF"/>
            <w:tcMar>
              <w:top w:w="40" w:type="dxa"/>
              <w:left w:w="0" w:type="dxa"/>
              <w:bottom w:w="40" w:type="dxa"/>
              <w:right w:w="20" w:type="dxa"/>
            </w:tcMar>
            <w:vAlign w:val="bottom"/>
          </w:tcPr>
          <w:p w14:paraId="392C75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37" w14:textId="77777777" w:rsidR="00980E5F" w:rsidRDefault="00483613">
            <w:pPr>
              <w:jc w:val="right"/>
              <w:textAlignment w:val="bottom"/>
            </w:pPr>
            <w:r>
              <w:rPr>
                <w:rFonts w:ascii="Arial" w:eastAsia="宋体" w:hAnsi="Arial" w:cs="Arial"/>
                <w:color w:val="000000"/>
                <w:sz w:val="14"/>
                <w:szCs w:val="14"/>
              </w:rPr>
              <w:t>3,278 </w:t>
            </w:r>
          </w:p>
        </w:tc>
        <w:tc>
          <w:tcPr>
            <w:tcW w:w="0" w:type="auto"/>
            <w:shd w:val="clear" w:color="auto" w:fill="FFFFFF"/>
            <w:tcMar>
              <w:top w:w="40" w:type="dxa"/>
              <w:left w:w="0" w:type="dxa"/>
              <w:bottom w:w="40" w:type="dxa"/>
              <w:right w:w="20" w:type="dxa"/>
            </w:tcMar>
            <w:vAlign w:val="bottom"/>
          </w:tcPr>
          <w:p w14:paraId="392C7538" w14:textId="77777777" w:rsidR="00980E5F" w:rsidRDefault="00980E5F">
            <w:pPr>
              <w:jc w:val="right"/>
              <w:rPr>
                <w:rFonts w:ascii="宋体"/>
              </w:rPr>
            </w:pPr>
          </w:p>
        </w:tc>
      </w:tr>
      <w:tr w:rsidR="00980E5F" w14:paraId="392C7554" w14:textId="77777777">
        <w:tc>
          <w:tcPr>
            <w:tcW w:w="0" w:type="auto"/>
            <w:gridSpan w:val="3"/>
            <w:shd w:val="clear" w:color="auto" w:fill="CCEEFF"/>
            <w:tcMar>
              <w:top w:w="40" w:type="dxa"/>
              <w:left w:w="380" w:type="dxa"/>
              <w:bottom w:w="40" w:type="dxa"/>
              <w:right w:w="20" w:type="dxa"/>
            </w:tcMar>
            <w:vAlign w:val="bottom"/>
          </w:tcPr>
          <w:p w14:paraId="392C753A"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392C753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5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3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5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41" w14:textId="77777777" w:rsidR="00980E5F" w:rsidRDefault="00483613">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392C75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4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44" w14:textId="77777777" w:rsidR="00980E5F" w:rsidRDefault="00483613">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92C75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4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47" w14:textId="77777777" w:rsidR="00980E5F" w:rsidRDefault="00483613">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392C754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49" w14:textId="77777777" w:rsidR="00980E5F" w:rsidRDefault="00980E5F">
            <w:pPr>
              <w:rPr>
                <w:rFonts w:ascii="宋体"/>
              </w:rPr>
            </w:pPr>
          </w:p>
        </w:tc>
        <w:tc>
          <w:tcPr>
            <w:tcW w:w="0" w:type="auto"/>
            <w:shd w:val="clear" w:color="auto" w:fill="auto"/>
            <w:vAlign w:val="bottom"/>
          </w:tcPr>
          <w:p w14:paraId="392C754A" w14:textId="77777777" w:rsidR="00980E5F" w:rsidRDefault="00980E5F">
            <w:pPr>
              <w:rPr>
                <w:rFonts w:ascii="宋体"/>
                <w:vanish/>
              </w:rPr>
            </w:pPr>
          </w:p>
        </w:tc>
        <w:tc>
          <w:tcPr>
            <w:tcW w:w="0" w:type="auto"/>
            <w:shd w:val="clear" w:color="auto" w:fill="auto"/>
            <w:vAlign w:val="bottom"/>
          </w:tcPr>
          <w:p w14:paraId="392C754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54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5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4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4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55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5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552" w14:textId="77777777" w:rsidR="00980E5F" w:rsidRDefault="00483613">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392C7553" w14:textId="77777777" w:rsidR="00980E5F" w:rsidRDefault="00980E5F">
            <w:pPr>
              <w:jc w:val="right"/>
              <w:rPr>
                <w:rFonts w:ascii="宋体"/>
              </w:rPr>
            </w:pPr>
          </w:p>
        </w:tc>
      </w:tr>
      <w:tr w:rsidR="00980E5F" w14:paraId="392C756F" w14:textId="77777777">
        <w:tc>
          <w:tcPr>
            <w:tcW w:w="0" w:type="auto"/>
            <w:gridSpan w:val="3"/>
            <w:shd w:val="clear" w:color="auto" w:fill="FFFFFF"/>
            <w:tcMar>
              <w:top w:w="40" w:type="dxa"/>
              <w:left w:w="380" w:type="dxa"/>
              <w:bottom w:w="40" w:type="dxa"/>
              <w:right w:w="20" w:type="dxa"/>
            </w:tcMar>
            <w:vAlign w:val="bottom"/>
          </w:tcPr>
          <w:p w14:paraId="392C7555"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392C755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5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59" w14:textId="77777777" w:rsidR="00980E5F" w:rsidRDefault="00483613">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392C75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5C" w14:textId="77777777" w:rsidR="00980E5F" w:rsidRDefault="00483613">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392C75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5F" w14:textId="77777777" w:rsidR="00980E5F" w:rsidRDefault="00483613">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392C75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62" w14:textId="77777777" w:rsidR="00980E5F" w:rsidRDefault="00483613">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392C75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64" w14:textId="77777777" w:rsidR="00980E5F" w:rsidRDefault="00980E5F">
            <w:pPr>
              <w:rPr>
                <w:rFonts w:ascii="宋体"/>
              </w:rPr>
            </w:pPr>
          </w:p>
        </w:tc>
        <w:tc>
          <w:tcPr>
            <w:tcW w:w="0" w:type="auto"/>
            <w:shd w:val="clear" w:color="auto" w:fill="auto"/>
            <w:vAlign w:val="bottom"/>
          </w:tcPr>
          <w:p w14:paraId="392C7565" w14:textId="77777777" w:rsidR="00980E5F" w:rsidRDefault="00980E5F">
            <w:pPr>
              <w:rPr>
                <w:rFonts w:ascii="宋体"/>
                <w:vanish/>
              </w:rPr>
            </w:pPr>
          </w:p>
        </w:tc>
        <w:tc>
          <w:tcPr>
            <w:tcW w:w="0" w:type="auto"/>
            <w:shd w:val="clear" w:color="auto" w:fill="auto"/>
            <w:vAlign w:val="bottom"/>
          </w:tcPr>
          <w:p w14:paraId="392C7566"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56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5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6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5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56D" w14:textId="77777777" w:rsidR="00980E5F" w:rsidRDefault="00483613">
            <w:pPr>
              <w:jc w:val="right"/>
              <w:textAlignment w:val="bottom"/>
            </w:pPr>
            <w:r>
              <w:rPr>
                <w:rFonts w:ascii="Arial" w:eastAsia="宋体" w:hAnsi="Arial" w:cs="Arial"/>
                <w:color w:val="000000"/>
                <w:sz w:val="14"/>
                <w:szCs w:val="14"/>
              </w:rPr>
              <w:t>140 </w:t>
            </w:r>
          </w:p>
        </w:tc>
        <w:tc>
          <w:tcPr>
            <w:tcW w:w="0" w:type="auto"/>
            <w:shd w:val="clear" w:color="auto" w:fill="FFFFFF"/>
            <w:tcMar>
              <w:top w:w="40" w:type="dxa"/>
              <w:left w:w="0" w:type="dxa"/>
              <w:bottom w:w="40" w:type="dxa"/>
              <w:right w:w="20" w:type="dxa"/>
            </w:tcMar>
            <w:vAlign w:val="bottom"/>
          </w:tcPr>
          <w:p w14:paraId="392C756E" w14:textId="77777777" w:rsidR="00980E5F" w:rsidRDefault="00980E5F">
            <w:pPr>
              <w:jc w:val="right"/>
              <w:rPr>
                <w:rFonts w:ascii="宋体"/>
              </w:rPr>
            </w:pPr>
          </w:p>
        </w:tc>
      </w:tr>
      <w:tr w:rsidR="00980E5F" w14:paraId="392C7582" w14:textId="77777777">
        <w:trPr>
          <w:hidden/>
        </w:trPr>
        <w:tc>
          <w:tcPr>
            <w:tcW w:w="0" w:type="auto"/>
            <w:gridSpan w:val="3"/>
            <w:shd w:val="clear" w:color="auto" w:fill="auto"/>
            <w:vAlign w:val="bottom"/>
          </w:tcPr>
          <w:p w14:paraId="392C7570" w14:textId="77777777" w:rsidR="00980E5F" w:rsidRDefault="00980E5F">
            <w:pPr>
              <w:rPr>
                <w:rFonts w:ascii="宋体"/>
                <w:vanish/>
              </w:rPr>
            </w:pPr>
          </w:p>
        </w:tc>
        <w:tc>
          <w:tcPr>
            <w:tcW w:w="0" w:type="auto"/>
            <w:gridSpan w:val="3"/>
            <w:shd w:val="clear" w:color="auto" w:fill="auto"/>
            <w:vAlign w:val="bottom"/>
          </w:tcPr>
          <w:p w14:paraId="392C7571" w14:textId="77777777" w:rsidR="00980E5F" w:rsidRDefault="00980E5F">
            <w:pPr>
              <w:rPr>
                <w:rFonts w:ascii="宋体"/>
                <w:vanish/>
              </w:rPr>
            </w:pPr>
          </w:p>
        </w:tc>
        <w:tc>
          <w:tcPr>
            <w:tcW w:w="0" w:type="auto"/>
            <w:gridSpan w:val="3"/>
            <w:shd w:val="clear" w:color="auto" w:fill="auto"/>
            <w:vAlign w:val="bottom"/>
          </w:tcPr>
          <w:p w14:paraId="392C7572" w14:textId="77777777" w:rsidR="00980E5F" w:rsidRDefault="00980E5F">
            <w:pPr>
              <w:rPr>
                <w:rFonts w:ascii="宋体"/>
                <w:vanish/>
              </w:rPr>
            </w:pPr>
          </w:p>
        </w:tc>
        <w:tc>
          <w:tcPr>
            <w:tcW w:w="0" w:type="auto"/>
            <w:gridSpan w:val="3"/>
            <w:shd w:val="clear" w:color="auto" w:fill="auto"/>
            <w:vAlign w:val="bottom"/>
          </w:tcPr>
          <w:p w14:paraId="392C7573" w14:textId="77777777" w:rsidR="00980E5F" w:rsidRDefault="00980E5F">
            <w:pPr>
              <w:rPr>
                <w:rFonts w:ascii="宋体"/>
                <w:vanish/>
              </w:rPr>
            </w:pPr>
          </w:p>
        </w:tc>
        <w:tc>
          <w:tcPr>
            <w:tcW w:w="0" w:type="auto"/>
            <w:gridSpan w:val="3"/>
            <w:shd w:val="clear" w:color="auto" w:fill="auto"/>
            <w:vAlign w:val="bottom"/>
          </w:tcPr>
          <w:p w14:paraId="392C7574" w14:textId="77777777" w:rsidR="00980E5F" w:rsidRDefault="00980E5F">
            <w:pPr>
              <w:rPr>
                <w:rFonts w:ascii="宋体"/>
                <w:vanish/>
              </w:rPr>
            </w:pPr>
          </w:p>
        </w:tc>
        <w:tc>
          <w:tcPr>
            <w:tcW w:w="0" w:type="auto"/>
            <w:gridSpan w:val="3"/>
            <w:shd w:val="clear" w:color="auto" w:fill="auto"/>
            <w:vAlign w:val="bottom"/>
          </w:tcPr>
          <w:p w14:paraId="392C7575" w14:textId="77777777" w:rsidR="00980E5F" w:rsidRDefault="00980E5F">
            <w:pPr>
              <w:rPr>
                <w:rFonts w:ascii="宋体"/>
                <w:vanish/>
              </w:rPr>
            </w:pPr>
          </w:p>
        </w:tc>
        <w:tc>
          <w:tcPr>
            <w:tcW w:w="0" w:type="auto"/>
            <w:gridSpan w:val="3"/>
            <w:shd w:val="clear" w:color="auto" w:fill="auto"/>
            <w:vAlign w:val="bottom"/>
          </w:tcPr>
          <w:p w14:paraId="392C7576" w14:textId="77777777" w:rsidR="00980E5F" w:rsidRDefault="00980E5F">
            <w:pPr>
              <w:rPr>
                <w:rFonts w:ascii="宋体"/>
                <w:vanish/>
              </w:rPr>
            </w:pPr>
          </w:p>
        </w:tc>
        <w:tc>
          <w:tcPr>
            <w:tcW w:w="0" w:type="auto"/>
            <w:gridSpan w:val="3"/>
            <w:shd w:val="clear" w:color="auto" w:fill="auto"/>
            <w:vAlign w:val="bottom"/>
          </w:tcPr>
          <w:p w14:paraId="392C7577" w14:textId="77777777" w:rsidR="00980E5F" w:rsidRDefault="00980E5F">
            <w:pPr>
              <w:rPr>
                <w:rFonts w:ascii="宋体"/>
                <w:vanish/>
              </w:rPr>
            </w:pPr>
          </w:p>
        </w:tc>
        <w:tc>
          <w:tcPr>
            <w:tcW w:w="0" w:type="auto"/>
            <w:gridSpan w:val="3"/>
            <w:shd w:val="clear" w:color="auto" w:fill="auto"/>
            <w:vAlign w:val="bottom"/>
          </w:tcPr>
          <w:p w14:paraId="392C7578" w14:textId="77777777" w:rsidR="00980E5F" w:rsidRDefault="00980E5F">
            <w:pPr>
              <w:rPr>
                <w:rFonts w:ascii="宋体"/>
                <w:vanish/>
              </w:rPr>
            </w:pPr>
          </w:p>
        </w:tc>
        <w:tc>
          <w:tcPr>
            <w:tcW w:w="0" w:type="auto"/>
            <w:gridSpan w:val="3"/>
            <w:shd w:val="clear" w:color="auto" w:fill="auto"/>
            <w:vAlign w:val="bottom"/>
          </w:tcPr>
          <w:p w14:paraId="392C7579" w14:textId="77777777" w:rsidR="00980E5F" w:rsidRDefault="00980E5F">
            <w:pPr>
              <w:rPr>
                <w:rFonts w:ascii="宋体"/>
                <w:vanish/>
              </w:rPr>
            </w:pPr>
          </w:p>
        </w:tc>
        <w:tc>
          <w:tcPr>
            <w:tcW w:w="0" w:type="auto"/>
            <w:gridSpan w:val="3"/>
            <w:shd w:val="clear" w:color="auto" w:fill="auto"/>
            <w:vAlign w:val="bottom"/>
          </w:tcPr>
          <w:p w14:paraId="392C757A" w14:textId="77777777" w:rsidR="00980E5F" w:rsidRDefault="00980E5F">
            <w:pPr>
              <w:rPr>
                <w:rFonts w:ascii="宋体"/>
                <w:vanish/>
              </w:rPr>
            </w:pPr>
          </w:p>
        </w:tc>
        <w:tc>
          <w:tcPr>
            <w:tcW w:w="0" w:type="auto"/>
            <w:shd w:val="clear" w:color="auto" w:fill="auto"/>
            <w:vAlign w:val="bottom"/>
          </w:tcPr>
          <w:p w14:paraId="392C757B" w14:textId="77777777" w:rsidR="00980E5F" w:rsidRDefault="00980E5F">
            <w:pPr>
              <w:rPr>
                <w:rFonts w:ascii="宋体"/>
                <w:vanish/>
              </w:rPr>
            </w:pPr>
          </w:p>
        </w:tc>
        <w:tc>
          <w:tcPr>
            <w:tcW w:w="0" w:type="auto"/>
            <w:shd w:val="clear" w:color="auto" w:fill="auto"/>
            <w:vAlign w:val="bottom"/>
          </w:tcPr>
          <w:p w14:paraId="392C757C" w14:textId="77777777" w:rsidR="00980E5F" w:rsidRDefault="00980E5F">
            <w:pPr>
              <w:rPr>
                <w:rFonts w:ascii="宋体"/>
                <w:vanish/>
              </w:rPr>
            </w:pPr>
          </w:p>
        </w:tc>
        <w:tc>
          <w:tcPr>
            <w:tcW w:w="0" w:type="auto"/>
            <w:gridSpan w:val="3"/>
            <w:shd w:val="clear" w:color="auto" w:fill="auto"/>
            <w:vAlign w:val="bottom"/>
          </w:tcPr>
          <w:p w14:paraId="392C757D" w14:textId="77777777" w:rsidR="00980E5F" w:rsidRDefault="00980E5F">
            <w:pPr>
              <w:rPr>
                <w:rFonts w:ascii="宋体"/>
                <w:vanish/>
              </w:rPr>
            </w:pPr>
          </w:p>
        </w:tc>
        <w:tc>
          <w:tcPr>
            <w:tcW w:w="0" w:type="auto"/>
            <w:gridSpan w:val="3"/>
            <w:shd w:val="clear" w:color="auto" w:fill="auto"/>
            <w:vAlign w:val="bottom"/>
          </w:tcPr>
          <w:p w14:paraId="392C757E" w14:textId="77777777" w:rsidR="00980E5F" w:rsidRDefault="00980E5F">
            <w:pPr>
              <w:rPr>
                <w:rFonts w:ascii="宋体"/>
                <w:vanish/>
              </w:rPr>
            </w:pPr>
          </w:p>
        </w:tc>
        <w:tc>
          <w:tcPr>
            <w:tcW w:w="0" w:type="auto"/>
            <w:gridSpan w:val="3"/>
            <w:shd w:val="clear" w:color="auto" w:fill="auto"/>
            <w:vAlign w:val="bottom"/>
          </w:tcPr>
          <w:p w14:paraId="392C757F" w14:textId="77777777" w:rsidR="00980E5F" w:rsidRDefault="00980E5F">
            <w:pPr>
              <w:rPr>
                <w:rFonts w:ascii="宋体"/>
                <w:vanish/>
              </w:rPr>
            </w:pPr>
          </w:p>
        </w:tc>
        <w:tc>
          <w:tcPr>
            <w:tcW w:w="0" w:type="auto"/>
            <w:gridSpan w:val="3"/>
            <w:shd w:val="clear" w:color="auto" w:fill="auto"/>
            <w:vAlign w:val="bottom"/>
          </w:tcPr>
          <w:p w14:paraId="392C7580" w14:textId="77777777" w:rsidR="00980E5F" w:rsidRDefault="00980E5F">
            <w:pPr>
              <w:rPr>
                <w:rFonts w:ascii="宋体"/>
                <w:vanish/>
              </w:rPr>
            </w:pPr>
          </w:p>
        </w:tc>
        <w:tc>
          <w:tcPr>
            <w:tcW w:w="0" w:type="auto"/>
            <w:gridSpan w:val="3"/>
            <w:shd w:val="clear" w:color="auto" w:fill="auto"/>
            <w:vAlign w:val="bottom"/>
          </w:tcPr>
          <w:p w14:paraId="392C7581" w14:textId="77777777" w:rsidR="00980E5F" w:rsidRDefault="00980E5F">
            <w:pPr>
              <w:rPr>
                <w:rFonts w:ascii="宋体"/>
                <w:vanish/>
              </w:rPr>
            </w:pPr>
          </w:p>
        </w:tc>
      </w:tr>
      <w:tr w:rsidR="00980E5F" w14:paraId="392C7595" w14:textId="77777777">
        <w:trPr>
          <w:hidden/>
        </w:trPr>
        <w:tc>
          <w:tcPr>
            <w:tcW w:w="0" w:type="auto"/>
            <w:gridSpan w:val="3"/>
            <w:shd w:val="clear" w:color="auto" w:fill="auto"/>
            <w:vAlign w:val="bottom"/>
          </w:tcPr>
          <w:p w14:paraId="392C7583" w14:textId="77777777" w:rsidR="00980E5F" w:rsidRDefault="00980E5F">
            <w:pPr>
              <w:rPr>
                <w:rFonts w:ascii="宋体"/>
                <w:vanish/>
              </w:rPr>
            </w:pPr>
          </w:p>
        </w:tc>
        <w:tc>
          <w:tcPr>
            <w:tcW w:w="0" w:type="auto"/>
            <w:gridSpan w:val="3"/>
            <w:shd w:val="clear" w:color="auto" w:fill="auto"/>
            <w:vAlign w:val="bottom"/>
          </w:tcPr>
          <w:p w14:paraId="392C7584" w14:textId="77777777" w:rsidR="00980E5F" w:rsidRDefault="00980E5F">
            <w:pPr>
              <w:rPr>
                <w:rFonts w:ascii="宋体"/>
                <w:vanish/>
              </w:rPr>
            </w:pPr>
          </w:p>
        </w:tc>
        <w:tc>
          <w:tcPr>
            <w:tcW w:w="0" w:type="auto"/>
            <w:gridSpan w:val="3"/>
            <w:shd w:val="clear" w:color="auto" w:fill="auto"/>
            <w:vAlign w:val="bottom"/>
          </w:tcPr>
          <w:p w14:paraId="392C7585" w14:textId="77777777" w:rsidR="00980E5F" w:rsidRDefault="00980E5F">
            <w:pPr>
              <w:rPr>
                <w:rFonts w:ascii="宋体"/>
                <w:vanish/>
              </w:rPr>
            </w:pPr>
          </w:p>
        </w:tc>
        <w:tc>
          <w:tcPr>
            <w:tcW w:w="0" w:type="auto"/>
            <w:gridSpan w:val="3"/>
            <w:shd w:val="clear" w:color="auto" w:fill="auto"/>
            <w:vAlign w:val="bottom"/>
          </w:tcPr>
          <w:p w14:paraId="392C7586" w14:textId="77777777" w:rsidR="00980E5F" w:rsidRDefault="00980E5F">
            <w:pPr>
              <w:rPr>
                <w:rFonts w:ascii="宋体"/>
                <w:vanish/>
              </w:rPr>
            </w:pPr>
          </w:p>
        </w:tc>
        <w:tc>
          <w:tcPr>
            <w:tcW w:w="0" w:type="auto"/>
            <w:gridSpan w:val="3"/>
            <w:shd w:val="clear" w:color="auto" w:fill="auto"/>
            <w:vAlign w:val="bottom"/>
          </w:tcPr>
          <w:p w14:paraId="392C7587" w14:textId="77777777" w:rsidR="00980E5F" w:rsidRDefault="00980E5F">
            <w:pPr>
              <w:rPr>
                <w:rFonts w:ascii="宋体"/>
                <w:vanish/>
              </w:rPr>
            </w:pPr>
          </w:p>
        </w:tc>
        <w:tc>
          <w:tcPr>
            <w:tcW w:w="0" w:type="auto"/>
            <w:gridSpan w:val="3"/>
            <w:shd w:val="clear" w:color="auto" w:fill="auto"/>
            <w:vAlign w:val="bottom"/>
          </w:tcPr>
          <w:p w14:paraId="392C7588" w14:textId="77777777" w:rsidR="00980E5F" w:rsidRDefault="00980E5F">
            <w:pPr>
              <w:rPr>
                <w:rFonts w:ascii="宋体"/>
                <w:vanish/>
              </w:rPr>
            </w:pPr>
          </w:p>
        </w:tc>
        <w:tc>
          <w:tcPr>
            <w:tcW w:w="0" w:type="auto"/>
            <w:gridSpan w:val="3"/>
            <w:shd w:val="clear" w:color="auto" w:fill="auto"/>
            <w:vAlign w:val="bottom"/>
          </w:tcPr>
          <w:p w14:paraId="392C7589" w14:textId="77777777" w:rsidR="00980E5F" w:rsidRDefault="00980E5F">
            <w:pPr>
              <w:rPr>
                <w:rFonts w:ascii="宋体"/>
                <w:vanish/>
              </w:rPr>
            </w:pPr>
          </w:p>
        </w:tc>
        <w:tc>
          <w:tcPr>
            <w:tcW w:w="0" w:type="auto"/>
            <w:gridSpan w:val="3"/>
            <w:shd w:val="clear" w:color="auto" w:fill="auto"/>
            <w:vAlign w:val="bottom"/>
          </w:tcPr>
          <w:p w14:paraId="392C758A" w14:textId="77777777" w:rsidR="00980E5F" w:rsidRDefault="00980E5F">
            <w:pPr>
              <w:rPr>
                <w:rFonts w:ascii="宋体"/>
                <w:vanish/>
              </w:rPr>
            </w:pPr>
          </w:p>
        </w:tc>
        <w:tc>
          <w:tcPr>
            <w:tcW w:w="0" w:type="auto"/>
            <w:gridSpan w:val="3"/>
            <w:shd w:val="clear" w:color="auto" w:fill="auto"/>
            <w:vAlign w:val="bottom"/>
          </w:tcPr>
          <w:p w14:paraId="392C758B" w14:textId="77777777" w:rsidR="00980E5F" w:rsidRDefault="00980E5F">
            <w:pPr>
              <w:rPr>
                <w:rFonts w:ascii="宋体"/>
                <w:vanish/>
              </w:rPr>
            </w:pPr>
          </w:p>
        </w:tc>
        <w:tc>
          <w:tcPr>
            <w:tcW w:w="0" w:type="auto"/>
            <w:gridSpan w:val="3"/>
            <w:shd w:val="clear" w:color="auto" w:fill="auto"/>
            <w:vAlign w:val="bottom"/>
          </w:tcPr>
          <w:p w14:paraId="392C758C" w14:textId="77777777" w:rsidR="00980E5F" w:rsidRDefault="00980E5F">
            <w:pPr>
              <w:rPr>
                <w:rFonts w:ascii="宋体"/>
                <w:vanish/>
              </w:rPr>
            </w:pPr>
          </w:p>
        </w:tc>
        <w:tc>
          <w:tcPr>
            <w:tcW w:w="0" w:type="auto"/>
            <w:gridSpan w:val="3"/>
            <w:shd w:val="clear" w:color="auto" w:fill="auto"/>
            <w:vAlign w:val="bottom"/>
          </w:tcPr>
          <w:p w14:paraId="392C758D" w14:textId="77777777" w:rsidR="00980E5F" w:rsidRDefault="00980E5F">
            <w:pPr>
              <w:rPr>
                <w:rFonts w:ascii="宋体"/>
                <w:vanish/>
              </w:rPr>
            </w:pPr>
          </w:p>
        </w:tc>
        <w:tc>
          <w:tcPr>
            <w:tcW w:w="0" w:type="auto"/>
            <w:shd w:val="clear" w:color="auto" w:fill="auto"/>
            <w:vAlign w:val="bottom"/>
          </w:tcPr>
          <w:p w14:paraId="392C758E" w14:textId="77777777" w:rsidR="00980E5F" w:rsidRDefault="00980E5F">
            <w:pPr>
              <w:rPr>
                <w:rFonts w:ascii="宋体"/>
                <w:vanish/>
              </w:rPr>
            </w:pPr>
          </w:p>
        </w:tc>
        <w:tc>
          <w:tcPr>
            <w:tcW w:w="0" w:type="auto"/>
            <w:shd w:val="clear" w:color="auto" w:fill="auto"/>
            <w:vAlign w:val="bottom"/>
          </w:tcPr>
          <w:p w14:paraId="392C758F" w14:textId="77777777" w:rsidR="00980E5F" w:rsidRDefault="00980E5F">
            <w:pPr>
              <w:rPr>
                <w:rFonts w:ascii="宋体"/>
                <w:vanish/>
              </w:rPr>
            </w:pPr>
          </w:p>
        </w:tc>
        <w:tc>
          <w:tcPr>
            <w:tcW w:w="0" w:type="auto"/>
            <w:gridSpan w:val="3"/>
            <w:shd w:val="clear" w:color="auto" w:fill="auto"/>
            <w:vAlign w:val="bottom"/>
          </w:tcPr>
          <w:p w14:paraId="392C7590" w14:textId="77777777" w:rsidR="00980E5F" w:rsidRDefault="00980E5F">
            <w:pPr>
              <w:rPr>
                <w:rFonts w:ascii="宋体"/>
                <w:vanish/>
              </w:rPr>
            </w:pPr>
          </w:p>
        </w:tc>
        <w:tc>
          <w:tcPr>
            <w:tcW w:w="0" w:type="auto"/>
            <w:gridSpan w:val="3"/>
            <w:shd w:val="clear" w:color="auto" w:fill="auto"/>
            <w:vAlign w:val="bottom"/>
          </w:tcPr>
          <w:p w14:paraId="392C7591" w14:textId="77777777" w:rsidR="00980E5F" w:rsidRDefault="00980E5F">
            <w:pPr>
              <w:rPr>
                <w:rFonts w:ascii="宋体"/>
                <w:vanish/>
              </w:rPr>
            </w:pPr>
          </w:p>
        </w:tc>
        <w:tc>
          <w:tcPr>
            <w:tcW w:w="0" w:type="auto"/>
            <w:gridSpan w:val="3"/>
            <w:shd w:val="clear" w:color="auto" w:fill="auto"/>
            <w:vAlign w:val="bottom"/>
          </w:tcPr>
          <w:p w14:paraId="392C7592" w14:textId="77777777" w:rsidR="00980E5F" w:rsidRDefault="00980E5F">
            <w:pPr>
              <w:rPr>
                <w:rFonts w:ascii="宋体"/>
                <w:vanish/>
              </w:rPr>
            </w:pPr>
          </w:p>
        </w:tc>
        <w:tc>
          <w:tcPr>
            <w:tcW w:w="0" w:type="auto"/>
            <w:gridSpan w:val="3"/>
            <w:shd w:val="clear" w:color="auto" w:fill="auto"/>
            <w:vAlign w:val="bottom"/>
          </w:tcPr>
          <w:p w14:paraId="392C7593" w14:textId="77777777" w:rsidR="00980E5F" w:rsidRDefault="00980E5F">
            <w:pPr>
              <w:rPr>
                <w:rFonts w:ascii="宋体"/>
                <w:vanish/>
              </w:rPr>
            </w:pPr>
          </w:p>
        </w:tc>
        <w:tc>
          <w:tcPr>
            <w:tcW w:w="0" w:type="auto"/>
            <w:gridSpan w:val="3"/>
            <w:shd w:val="clear" w:color="auto" w:fill="auto"/>
            <w:vAlign w:val="bottom"/>
          </w:tcPr>
          <w:p w14:paraId="392C7594" w14:textId="77777777" w:rsidR="00980E5F" w:rsidRDefault="00980E5F">
            <w:pPr>
              <w:rPr>
                <w:rFonts w:ascii="宋体"/>
                <w:vanish/>
              </w:rPr>
            </w:pPr>
          </w:p>
        </w:tc>
      </w:tr>
      <w:tr w:rsidR="00980E5F" w14:paraId="392C75B8" w14:textId="77777777">
        <w:tc>
          <w:tcPr>
            <w:tcW w:w="0" w:type="auto"/>
            <w:gridSpan w:val="3"/>
            <w:shd w:val="clear" w:color="auto" w:fill="CCEEFF"/>
            <w:tcMar>
              <w:top w:w="40" w:type="dxa"/>
              <w:left w:w="155" w:type="dxa"/>
              <w:bottom w:w="40" w:type="dxa"/>
              <w:right w:w="20" w:type="dxa"/>
            </w:tcMar>
            <w:vAlign w:val="bottom"/>
          </w:tcPr>
          <w:p w14:paraId="392C7596" w14:textId="77777777" w:rsidR="00980E5F" w:rsidRDefault="00483613">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59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98" w14:textId="77777777" w:rsidR="00980E5F" w:rsidRDefault="00483613">
            <w:pPr>
              <w:jc w:val="right"/>
              <w:textAlignment w:val="bottom"/>
            </w:pPr>
            <w:r>
              <w:rPr>
                <w:rFonts w:ascii="Arial" w:eastAsia="宋体" w:hAnsi="Arial" w:cs="Arial"/>
                <w:color w:val="000000"/>
                <w:sz w:val="14"/>
                <w:szCs w:val="14"/>
              </w:rPr>
              <w:t>3,084 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9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9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9C" w14:textId="77777777" w:rsidR="00980E5F" w:rsidRDefault="00483613">
            <w:pPr>
              <w:jc w:val="right"/>
              <w:textAlignment w:val="bottom"/>
            </w:pPr>
            <w:r>
              <w:rPr>
                <w:rFonts w:ascii="Arial" w:eastAsia="宋体" w:hAnsi="Arial" w:cs="Arial"/>
                <w:color w:val="000000"/>
                <w:sz w:val="14"/>
                <w:szCs w:val="14"/>
              </w:rPr>
              <w:t>415 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9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9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A0" w14:textId="77777777" w:rsidR="00980E5F" w:rsidRDefault="00483613">
            <w:pPr>
              <w:jc w:val="right"/>
              <w:textAlignment w:val="bottom"/>
            </w:pPr>
            <w:r>
              <w:rPr>
                <w:rFonts w:ascii="Arial" w:eastAsia="宋体" w:hAnsi="Arial" w:cs="Arial"/>
                <w:color w:val="000000"/>
                <w:sz w:val="14"/>
                <w:szCs w:val="14"/>
              </w:rPr>
              <w:t>1,194 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A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A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A4" w14:textId="77777777" w:rsidR="00980E5F" w:rsidRDefault="00483613">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A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A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A8" w14:textId="77777777" w:rsidR="00980E5F" w:rsidRDefault="00483613">
            <w:pPr>
              <w:jc w:val="right"/>
              <w:textAlignment w:val="bottom"/>
            </w:pPr>
            <w:r>
              <w:rPr>
                <w:rFonts w:ascii="Arial" w:eastAsia="宋体" w:hAnsi="Arial" w:cs="Arial"/>
                <w:color w:val="000000"/>
                <w:sz w:val="14"/>
                <w:szCs w:val="14"/>
              </w:rPr>
              <w:t>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AA" w14:textId="77777777" w:rsidR="00980E5F" w:rsidRDefault="00980E5F">
            <w:pPr>
              <w:rPr>
                <w:rFonts w:ascii="宋体"/>
              </w:rPr>
            </w:pPr>
          </w:p>
        </w:tc>
        <w:tc>
          <w:tcPr>
            <w:tcW w:w="0" w:type="auto"/>
            <w:shd w:val="clear" w:color="auto" w:fill="auto"/>
            <w:vAlign w:val="bottom"/>
          </w:tcPr>
          <w:p w14:paraId="392C75AB" w14:textId="77777777" w:rsidR="00980E5F" w:rsidRDefault="00980E5F">
            <w:pPr>
              <w:rPr>
                <w:rFonts w:ascii="宋体"/>
                <w:vanish/>
              </w:rPr>
            </w:pPr>
          </w:p>
        </w:tc>
        <w:tc>
          <w:tcPr>
            <w:tcW w:w="0" w:type="auto"/>
            <w:shd w:val="clear" w:color="auto" w:fill="auto"/>
            <w:vAlign w:val="bottom"/>
          </w:tcPr>
          <w:p w14:paraId="392C75AC"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A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AE" w14:textId="77777777" w:rsidR="00980E5F" w:rsidRDefault="00483613">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B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B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B2" w14:textId="77777777" w:rsidR="00980E5F" w:rsidRDefault="00483613">
            <w:pPr>
              <w:jc w:val="right"/>
              <w:textAlignment w:val="bottom"/>
            </w:pPr>
            <w:r>
              <w:rPr>
                <w:rFonts w:ascii="Arial" w:eastAsia="宋体" w:hAnsi="Arial" w:cs="Arial"/>
                <w:color w:val="000000"/>
                <w:sz w:val="14"/>
                <w:szCs w:val="14"/>
              </w:rPr>
              <w:t>13,934 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5B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5B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5B6" w14:textId="77777777" w:rsidR="00980E5F" w:rsidRDefault="00483613">
            <w:pPr>
              <w:jc w:val="right"/>
              <w:textAlignment w:val="bottom"/>
            </w:pPr>
            <w:r>
              <w:rPr>
                <w:rFonts w:ascii="Arial" w:eastAsia="宋体" w:hAnsi="Arial" w:cs="Arial"/>
                <w:color w:val="000000"/>
                <w:sz w:val="14"/>
                <w:szCs w:val="14"/>
              </w:rPr>
              <w:t>19,560 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5B7" w14:textId="77777777" w:rsidR="00980E5F" w:rsidRDefault="00980E5F">
            <w:pPr>
              <w:jc w:val="right"/>
              <w:rPr>
                <w:rFonts w:ascii="宋体"/>
              </w:rPr>
            </w:pPr>
          </w:p>
        </w:tc>
      </w:tr>
      <w:tr w:rsidR="00980E5F" w14:paraId="392C75CB" w14:textId="77777777">
        <w:tc>
          <w:tcPr>
            <w:tcW w:w="0" w:type="auto"/>
            <w:gridSpan w:val="3"/>
            <w:shd w:val="clear" w:color="auto" w:fill="FFFFFF"/>
            <w:tcMar>
              <w:top w:w="40" w:type="dxa"/>
              <w:left w:w="155" w:type="dxa"/>
              <w:bottom w:w="40" w:type="dxa"/>
              <w:right w:w="20" w:type="dxa"/>
            </w:tcMar>
            <w:vAlign w:val="bottom"/>
          </w:tcPr>
          <w:p w14:paraId="392C75B9" w14:textId="77777777" w:rsidR="00980E5F" w:rsidRDefault="00483613">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B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BB"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B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BD"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B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B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C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C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C3" w14:textId="77777777" w:rsidR="00980E5F" w:rsidRDefault="00980E5F">
            <w:pPr>
              <w:rPr>
                <w:rFonts w:ascii="宋体"/>
              </w:rPr>
            </w:pPr>
          </w:p>
        </w:tc>
        <w:tc>
          <w:tcPr>
            <w:tcW w:w="0" w:type="auto"/>
            <w:shd w:val="clear" w:color="auto" w:fill="auto"/>
            <w:vAlign w:val="bottom"/>
          </w:tcPr>
          <w:p w14:paraId="392C75C4" w14:textId="77777777" w:rsidR="00980E5F" w:rsidRDefault="00980E5F">
            <w:pPr>
              <w:rPr>
                <w:rFonts w:ascii="宋体"/>
                <w:vanish/>
              </w:rPr>
            </w:pPr>
          </w:p>
        </w:tc>
        <w:tc>
          <w:tcPr>
            <w:tcW w:w="0" w:type="auto"/>
            <w:shd w:val="clear" w:color="auto" w:fill="auto"/>
            <w:vAlign w:val="bottom"/>
          </w:tcPr>
          <w:p w14:paraId="392C75C5"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C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C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5C9"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5CA" w14:textId="77777777" w:rsidR="00980E5F" w:rsidRDefault="00980E5F">
            <w:pPr>
              <w:rPr>
                <w:rFonts w:ascii="宋体"/>
              </w:rPr>
            </w:pPr>
          </w:p>
        </w:tc>
      </w:tr>
      <w:tr w:rsidR="00980E5F" w14:paraId="392C75DE" w14:textId="77777777">
        <w:tc>
          <w:tcPr>
            <w:tcW w:w="0" w:type="auto"/>
            <w:gridSpan w:val="3"/>
            <w:shd w:val="clear" w:color="auto" w:fill="CCEEFF"/>
            <w:tcMar>
              <w:top w:w="40" w:type="dxa"/>
              <w:left w:w="245" w:type="dxa"/>
              <w:bottom w:w="40" w:type="dxa"/>
              <w:right w:w="20" w:type="dxa"/>
            </w:tcMar>
            <w:vAlign w:val="bottom"/>
          </w:tcPr>
          <w:p w14:paraId="392C75CC"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392C75C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C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C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6" w14:textId="77777777" w:rsidR="00980E5F" w:rsidRDefault="00980E5F">
            <w:pPr>
              <w:rPr>
                <w:rFonts w:ascii="宋体"/>
              </w:rPr>
            </w:pPr>
          </w:p>
        </w:tc>
        <w:tc>
          <w:tcPr>
            <w:tcW w:w="0" w:type="auto"/>
            <w:shd w:val="clear" w:color="auto" w:fill="auto"/>
            <w:vAlign w:val="bottom"/>
          </w:tcPr>
          <w:p w14:paraId="392C75D7" w14:textId="77777777" w:rsidR="00980E5F" w:rsidRDefault="00980E5F">
            <w:pPr>
              <w:rPr>
                <w:rFonts w:ascii="宋体"/>
                <w:vanish/>
              </w:rPr>
            </w:pPr>
          </w:p>
        </w:tc>
        <w:tc>
          <w:tcPr>
            <w:tcW w:w="0" w:type="auto"/>
            <w:shd w:val="clear" w:color="auto" w:fill="auto"/>
            <w:vAlign w:val="bottom"/>
          </w:tcPr>
          <w:p w14:paraId="392C75D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75D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5DD" w14:textId="77777777" w:rsidR="00980E5F" w:rsidRDefault="00980E5F">
            <w:pPr>
              <w:rPr>
                <w:rFonts w:ascii="宋体"/>
              </w:rPr>
            </w:pPr>
          </w:p>
        </w:tc>
      </w:tr>
      <w:tr w:rsidR="00980E5F" w14:paraId="392C7601" w14:textId="77777777">
        <w:tc>
          <w:tcPr>
            <w:tcW w:w="0" w:type="auto"/>
            <w:gridSpan w:val="3"/>
            <w:shd w:val="clear" w:color="auto" w:fill="FFFFFF"/>
            <w:tcMar>
              <w:top w:w="40" w:type="dxa"/>
              <w:left w:w="380" w:type="dxa"/>
              <w:bottom w:w="40" w:type="dxa"/>
              <w:right w:w="20" w:type="dxa"/>
            </w:tcMar>
            <w:vAlign w:val="bottom"/>
          </w:tcPr>
          <w:p w14:paraId="392C75DF"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392C75E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E1" w14:textId="77777777" w:rsidR="00980E5F" w:rsidRDefault="00483613">
            <w:pPr>
              <w:jc w:val="right"/>
              <w:textAlignment w:val="bottom"/>
            </w:pPr>
            <w:r>
              <w:rPr>
                <w:rFonts w:ascii="Arial" w:eastAsia="宋体" w:hAnsi="Arial" w:cs="Arial"/>
                <w:color w:val="000000"/>
                <w:sz w:val="14"/>
                <w:szCs w:val="14"/>
              </w:rPr>
              <w:t>580 </w:t>
            </w:r>
          </w:p>
        </w:tc>
        <w:tc>
          <w:tcPr>
            <w:tcW w:w="0" w:type="auto"/>
            <w:shd w:val="clear" w:color="auto" w:fill="FFFFFF"/>
            <w:tcMar>
              <w:top w:w="40" w:type="dxa"/>
              <w:left w:w="0" w:type="dxa"/>
              <w:bottom w:w="40" w:type="dxa"/>
              <w:right w:w="20" w:type="dxa"/>
            </w:tcMar>
            <w:vAlign w:val="bottom"/>
          </w:tcPr>
          <w:p w14:paraId="392C75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E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E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E5" w14:textId="77777777" w:rsidR="00980E5F" w:rsidRDefault="00483613">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392C75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E7"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E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E9" w14:textId="77777777" w:rsidR="00980E5F" w:rsidRDefault="00483613">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392C75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E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E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ED" w14:textId="77777777" w:rsidR="00980E5F" w:rsidRDefault="00483613">
            <w:pPr>
              <w:jc w:val="right"/>
              <w:textAlignment w:val="bottom"/>
            </w:pPr>
            <w:r>
              <w:rPr>
                <w:rFonts w:ascii="Arial" w:eastAsia="宋体" w:hAnsi="Arial" w:cs="Arial"/>
                <w:color w:val="000000"/>
                <w:sz w:val="14"/>
                <w:szCs w:val="14"/>
              </w:rPr>
              <w:t>657 </w:t>
            </w:r>
          </w:p>
        </w:tc>
        <w:tc>
          <w:tcPr>
            <w:tcW w:w="0" w:type="auto"/>
            <w:shd w:val="clear" w:color="auto" w:fill="FFFFFF"/>
            <w:tcMar>
              <w:top w:w="40" w:type="dxa"/>
              <w:left w:w="0" w:type="dxa"/>
              <w:bottom w:w="40" w:type="dxa"/>
              <w:right w:w="20" w:type="dxa"/>
            </w:tcMar>
            <w:vAlign w:val="bottom"/>
          </w:tcPr>
          <w:p w14:paraId="392C75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E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F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F1" w14:textId="77777777" w:rsidR="00980E5F" w:rsidRDefault="00483613">
            <w:pPr>
              <w:jc w:val="right"/>
              <w:textAlignment w:val="bottom"/>
            </w:pPr>
            <w:r>
              <w:rPr>
                <w:rFonts w:ascii="Arial" w:eastAsia="宋体" w:hAnsi="Arial" w:cs="Arial"/>
                <w:color w:val="000000"/>
                <w:sz w:val="14"/>
                <w:szCs w:val="14"/>
              </w:rPr>
              <w:t>276 </w:t>
            </w:r>
          </w:p>
        </w:tc>
        <w:tc>
          <w:tcPr>
            <w:tcW w:w="0" w:type="auto"/>
            <w:shd w:val="clear" w:color="auto" w:fill="FFFFFF"/>
            <w:tcMar>
              <w:top w:w="40" w:type="dxa"/>
              <w:left w:w="0" w:type="dxa"/>
              <w:bottom w:w="40" w:type="dxa"/>
              <w:right w:w="20" w:type="dxa"/>
            </w:tcMar>
            <w:vAlign w:val="bottom"/>
          </w:tcPr>
          <w:p w14:paraId="392C75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F3" w14:textId="77777777" w:rsidR="00980E5F" w:rsidRDefault="00980E5F">
            <w:pPr>
              <w:rPr>
                <w:rFonts w:ascii="宋体"/>
              </w:rPr>
            </w:pPr>
          </w:p>
        </w:tc>
        <w:tc>
          <w:tcPr>
            <w:tcW w:w="0" w:type="auto"/>
            <w:shd w:val="clear" w:color="auto" w:fill="auto"/>
            <w:vAlign w:val="bottom"/>
          </w:tcPr>
          <w:p w14:paraId="392C75F4" w14:textId="77777777" w:rsidR="00980E5F" w:rsidRDefault="00980E5F">
            <w:pPr>
              <w:rPr>
                <w:rFonts w:ascii="宋体"/>
                <w:vanish/>
              </w:rPr>
            </w:pPr>
          </w:p>
        </w:tc>
        <w:tc>
          <w:tcPr>
            <w:tcW w:w="0" w:type="auto"/>
            <w:shd w:val="clear" w:color="auto" w:fill="auto"/>
            <w:vAlign w:val="bottom"/>
          </w:tcPr>
          <w:p w14:paraId="392C75F5" w14:textId="77777777" w:rsidR="00980E5F" w:rsidRDefault="00980E5F">
            <w:pPr>
              <w:rPr>
                <w:rFonts w:ascii="宋体"/>
                <w:vanish/>
              </w:rPr>
            </w:pPr>
          </w:p>
        </w:tc>
        <w:tc>
          <w:tcPr>
            <w:tcW w:w="0" w:type="auto"/>
            <w:shd w:val="clear" w:color="auto" w:fill="FFFFFF"/>
            <w:tcMar>
              <w:top w:w="40" w:type="dxa"/>
              <w:left w:w="20" w:type="dxa"/>
              <w:bottom w:w="40" w:type="dxa"/>
              <w:right w:w="0" w:type="dxa"/>
            </w:tcMar>
            <w:vAlign w:val="bottom"/>
          </w:tcPr>
          <w:p w14:paraId="392C75F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F7" w14:textId="77777777" w:rsidR="00980E5F" w:rsidRDefault="00483613">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392C75F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F9"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F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F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5F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5FD"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5F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5FF" w14:textId="77777777" w:rsidR="00980E5F" w:rsidRDefault="00483613">
            <w:pPr>
              <w:jc w:val="right"/>
              <w:textAlignment w:val="bottom"/>
            </w:pPr>
            <w:r>
              <w:rPr>
                <w:rFonts w:ascii="Arial" w:eastAsia="宋体" w:hAnsi="Arial" w:cs="Arial"/>
                <w:color w:val="000000"/>
                <w:sz w:val="14"/>
                <w:szCs w:val="14"/>
              </w:rPr>
              <w:t>2,222 </w:t>
            </w:r>
          </w:p>
        </w:tc>
        <w:tc>
          <w:tcPr>
            <w:tcW w:w="0" w:type="auto"/>
            <w:shd w:val="clear" w:color="auto" w:fill="FFFFFF"/>
            <w:tcMar>
              <w:top w:w="40" w:type="dxa"/>
              <w:left w:w="0" w:type="dxa"/>
              <w:bottom w:w="40" w:type="dxa"/>
              <w:right w:w="20" w:type="dxa"/>
            </w:tcMar>
            <w:vAlign w:val="bottom"/>
          </w:tcPr>
          <w:p w14:paraId="392C7600" w14:textId="77777777" w:rsidR="00980E5F" w:rsidRDefault="00980E5F">
            <w:pPr>
              <w:jc w:val="right"/>
              <w:rPr>
                <w:rFonts w:ascii="宋体"/>
              </w:rPr>
            </w:pPr>
          </w:p>
        </w:tc>
      </w:tr>
      <w:tr w:rsidR="00980E5F" w14:paraId="392C761C" w14:textId="77777777">
        <w:tc>
          <w:tcPr>
            <w:tcW w:w="0" w:type="auto"/>
            <w:gridSpan w:val="3"/>
            <w:shd w:val="clear" w:color="auto" w:fill="CCEEFF"/>
            <w:tcMar>
              <w:top w:w="40" w:type="dxa"/>
              <w:left w:w="380" w:type="dxa"/>
              <w:bottom w:w="40" w:type="dxa"/>
              <w:right w:w="20" w:type="dxa"/>
            </w:tcMar>
            <w:vAlign w:val="bottom"/>
          </w:tcPr>
          <w:p w14:paraId="392C7602"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392C7603" w14:textId="77777777" w:rsidR="00980E5F" w:rsidRDefault="00483613">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392C76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0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06" w14:textId="77777777" w:rsidR="00980E5F" w:rsidRDefault="00483613">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392C76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0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09" w14:textId="77777777" w:rsidR="00980E5F" w:rsidRDefault="00483613">
            <w:pPr>
              <w:jc w:val="right"/>
              <w:textAlignment w:val="bottom"/>
            </w:pPr>
            <w:r>
              <w:rPr>
                <w:rFonts w:ascii="Arial" w:eastAsia="宋体" w:hAnsi="Arial" w:cs="Arial"/>
                <w:color w:val="000000"/>
                <w:sz w:val="14"/>
                <w:szCs w:val="14"/>
              </w:rPr>
              <w:t>149 </w:t>
            </w:r>
          </w:p>
        </w:tc>
        <w:tc>
          <w:tcPr>
            <w:tcW w:w="0" w:type="auto"/>
            <w:shd w:val="clear" w:color="auto" w:fill="CCEEFF"/>
            <w:tcMar>
              <w:top w:w="40" w:type="dxa"/>
              <w:left w:w="0" w:type="dxa"/>
              <w:bottom w:w="40" w:type="dxa"/>
              <w:right w:w="20" w:type="dxa"/>
            </w:tcMar>
            <w:vAlign w:val="bottom"/>
          </w:tcPr>
          <w:p w14:paraId="392C76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0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0C" w14:textId="77777777" w:rsidR="00980E5F" w:rsidRDefault="00483613">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392C76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0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0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11" w14:textId="77777777" w:rsidR="00980E5F" w:rsidRDefault="00980E5F">
            <w:pPr>
              <w:rPr>
                <w:rFonts w:ascii="宋体"/>
              </w:rPr>
            </w:pPr>
          </w:p>
        </w:tc>
        <w:tc>
          <w:tcPr>
            <w:tcW w:w="0" w:type="auto"/>
            <w:shd w:val="clear" w:color="auto" w:fill="auto"/>
            <w:vAlign w:val="bottom"/>
          </w:tcPr>
          <w:p w14:paraId="392C7612" w14:textId="77777777" w:rsidR="00980E5F" w:rsidRDefault="00980E5F">
            <w:pPr>
              <w:rPr>
                <w:rFonts w:ascii="宋体"/>
                <w:vanish/>
              </w:rPr>
            </w:pPr>
          </w:p>
        </w:tc>
        <w:tc>
          <w:tcPr>
            <w:tcW w:w="0" w:type="auto"/>
            <w:shd w:val="clear" w:color="auto" w:fill="auto"/>
            <w:vAlign w:val="bottom"/>
          </w:tcPr>
          <w:p w14:paraId="392C761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614" w14:textId="77777777" w:rsidR="00980E5F" w:rsidRDefault="00483613">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392C76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1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1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1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1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61A" w14:textId="77777777" w:rsidR="00980E5F" w:rsidRDefault="00483613">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392C761B" w14:textId="77777777" w:rsidR="00980E5F" w:rsidRDefault="00980E5F">
            <w:pPr>
              <w:jc w:val="right"/>
              <w:rPr>
                <w:rFonts w:ascii="宋体"/>
              </w:rPr>
            </w:pPr>
          </w:p>
        </w:tc>
      </w:tr>
      <w:tr w:rsidR="00980E5F" w14:paraId="392C7637" w14:textId="77777777">
        <w:tc>
          <w:tcPr>
            <w:tcW w:w="0" w:type="auto"/>
            <w:gridSpan w:val="3"/>
            <w:shd w:val="clear" w:color="auto" w:fill="FFFFFF"/>
            <w:tcMar>
              <w:top w:w="40" w:type="dxa"/>
              <w:left w:w="380" w:type="dxa"/>
              <w:bottom w:w="40" w:type="dxa"/>
              <w:right w:w="20" w:type="dxa"/>
            </w:tcMar>
            <w:vAlign w:val="bottom"/>
          </w:tcPr>
          <w:p w14:paraId="392C761D" w14:textId="77777777" w:rsidR="00980E5F" w:rsidRDefault="00483613">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392C761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6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2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6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24" w14:textId="77777777" w:rsidR="00980E5F" w:rsidRDefault="00483613">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392C76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27" w14:textId="77777777" w:rsidR="00980E5F" w:rsidRDefault="00483613">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392C76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2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6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2C" w14:textId="77777777" w:rsidR="00980E5F" w:rsidRDefault="00980E5F">
            <w:pPr>
              <w:rPr>
                <w:rFonts w:ascii="宋体"/>
              </w:rPr>
            </w:pPr>
          </w:p>
        </w:tc>
        <w:tc>
          <w:tcPr>
            <w:tcW w:w="0" w:type="auto"/>
            <w:shd w:val="clear" w:color="auto" w:fill="auto"/>
            <w:vAlign w:val="bottom"/>
          </w:tcPr>
          <w:p w14:paraId="392C762D" w14:textId="77777777" w:rsidR="00980E5F" w:rsidRDefault="00980E5F">
            <w:pPr>
              <w:rPr>
                <w:rFonts w:ascii="宋体"/>
                <w:vanish/>
              </w:rPr>
            </w:pPr>
          </w:p>
        </w:tc>
        <w:tc>
          <w:tcPr>
            <w:tcW w:w="0" w:type="auto"/>
            <w:shd w:val="clear" w:color="auto" w:fill="auto"/>
            <w:vAlign w:val="bottom"/>
          </w:tcPr>
          <w:p w14:paraId="392C762E"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62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63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3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3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6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3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35" w14:textId="77777777" w:rsidR="00980E5F" w:rsidRDefault="00483613">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392C7636" w14:textId="77777777" w:rsidR="00980E5F" w:rsidRDefault="00980E5F">
            <w:pPr>
              <w:jc w:val="right"/>
              <w:rPr>
                <w:rFonts w:ascii="宋体"/>
              </w:rPr>
            </w:pPr>
          </w:p>
        </w:tc>
      </w:tr>
      <w:tr w:rsidR="00980E5F" w14:paraId="392C764A" w14:textId="77777777">
        <w:trPr>
          <w:hidden/>
        </w:trPr>
        <w:tc>
          <w:tcPr>
            <w:tcW w:w="0" w:type="auto"/>
            <w:gridSpan w:val="3"/>
            <w:shd w:val="clear" w:color="auto" w:fill="auto"/>
            <w:vAlign w:val="bottom"/>
          </w:tcPr>
          <w:p w14:paraId="392C7638" w14:textId="77777777" w:rsidR="00980E5F" w:rsidRDefault="00980E5F">
            <w:pPr>
              <w:rPr>
                <w:rFonts w:ascii="宋体"/>
                <w:vanish/>
              </w:rPr>
            </w:pPr>
          </w:p>
        </w:tc>
        <w:tc>
          <w:tcPr>
            <w:tcW w:w="0" w:type="auto"/>
            <w:gridSpan w:val="3"/>
            <w:shd w:val="clear" w:color="auto" w:fill="auto"/>
            <w:vAlign w:val="bottom"/>
          </w:tcPr>
          <w:p w14:paraId="392C7639" w14:textId="77777777" w:rsidR="00980E5F" w:rsidRDefault="00980E5F">
            <w:pPr>
              <w:rPr>
                <w:rFonts w:ascii="宋体"/>
                <w:vanish/>
              </w:rPr>
            </w:pPr>
          </w:p>
        </w:tc>
        <w:tc>
          <w:tcPr>
            <w:tcW w:w="0" w:type="auto"/>
            <w:gridSpan w:val="3"/>
            <w:shd w:val="clear" w:color="auto" w:fill="auto"/>
            <w:vAlign w:val="bottom"/>
          </w:tcPr>
          <w:p w14:paraId="392C763A" w14:textId="77777777" w:rsidR="00980E5F" w:rsidRDefault="00980E5F">
            <w:pPr>
              <w:rPr>
                <w:rFonts w:ascii="宋体"/>
                <w:vanish/>
              </w:rPr>
            </w:pPr>
          </w:p>
        </w:tc>
        <w:tc>
          <w:tcPr>
            <w:tcW w:w="0" w:type="auto"/>
            <w:gridSpan w:val="3"/>
            <w:shd w:val="clear" w:color="auto" w:fill="auto"/>
            <w:vAlign w:val="bottom"/>
          </w:tcPr>
          <w:p w14:paraId="392C763B" w14:textId="77777777" w:rsidR="00980E5F" w:rsidRDefault="00980E5F">
            <w:pPr>
              <w:rPr>
                <w:rFonts w:ascii="宋体"/>
                <w:vanish/>
              </w:rPr>
            </w:pPr>
          </w:p>
        </w:tc>
        <w:tc>
          <w:tcPr>
            <w:tcW w:w="0" w:type="auto"/>
            <w:gridSpan w:val="3"/>
            <w:shd w:val="clear" w:color="auto" w:fill="auto"/>
            <w:vAlign w:val="bottom"/>
          </w:tcPr>
          <w:p w14:paraId="392C763C" w14:textId="77777777" w:rsidR="00980E5F" w:rsidRDefault="00980E5F">
            <w:pPr>
              <w:rPr>
                <w:rFonts w:ascii="宋体"/>
                <w:vanish/>
              </w:rPr>
            </w:pPr>
          </w:p>
        </w:tc>
        <w:tc>
          <w:tcPr>
            <w:tcW w:w="0" w:type="auto"/>
            <w:gridSpan w:val="3"/>
            <w:shd w:val="clear" w:color="auto" w:fill="auto"/>
            <w:vAlign w:val="bottom"/>
          </w:tcPr>
          <w:p w14:paraId="392C763D" w14:textId="77777777" w:rsidR="00980E5F" w:rsidRDefault="00980E5F">
            <w:pPr>
              <w:rPr>
                <w:rFonts w:ascii="宋体"/>
                <w:vanish/>
              </w:rPr>
            </w:pPr>
          </w:p>
        </w:tc>
        <w:tc>
          <w:tcPr>
            <w:tcW w:w="0" w:type="auto"/>
            <w:gridSpan w:val="3"/>
            <w:shd w:val="clear" w:color="auto" w:fill="auto"/>
            <w:vAlign w:val="bottom"/>
          </w:tcPr>
          <w:p w14:paraId="392C763E" w14:textId="77777777" w:rsidR="00980E5F" w:rsidRDefault="00980E5F">
            <w:pPr>
              <w:rPr>
                <w:rFonts w:ascii="宋体"/>
                <w:vanish/>
              </w:rPr>
            </w:pPr>
          </w:p>
        </w:tc>
        <w:tc>
          <w:tcPr>
            <w:tcW w:w="0" w:type="auto"/>
            <w:gridSpan w:val="3"/>
            <w:shd w:val="clear" w:color="auto" w:fill="auto"/>
            <w:vAlign w:val="bottom"/>
          </w:tcPr>
          <w:p w14:paraId="392C763F" w14:textId="77777777" w:rsidR="00980E5F" w:rsidRDefault="00980E5F">
            <w:pPr>
              <w:rPr>
                <w:rFonts w:ascii="宋体"/>
                <w:vanish/>
              </w:rPr>
            </w:pPr>
          </w:p>
        </w:tc>
        <w:tc>
          <w:tcPr>
            <w:tcW w:w="0" w:type="auto"/>
            <w:gridSpan w:val="3"/>
            <w:shd w:val="clear" w:color="auto" w:fill="auto"/>
            <w:vAlign w:val="bottom"/>
          </w:tcPr>
          <w:p w14:paraId="392C7640" w14:textId="77777777" w:rsidR="00980E5F" w:rsidRDefault="00980E5F">
            <w:pPr>
              <w:rPr>
                <w:rFonts w:ascii="宋体"/>
                <w:vanish/>
              </w:rPr>
            </w:pPr>
          </w:p>
        </w:tc>
        <w:tc>
          <w:tcPr>
            <w:tcW w:w="0" w:type="auto"/>
            <w:gridSpan w:val="3"/>
            <w:shd w:val="clear" w:color="auto" w:fill="auto"/>
            <w:vAlign w:val="bottom"/>
          </w:tcPr>
          <w:p w14:paraId="392C7641" w14:textId="77777777" w:rsidR="00980E5F" w:rsidRDefault="00980E5F">
            <w:pPr>
              <w:rPr>
                <w:rFonts w:ascii="宋体"/>
                <w:vanish/>
              </w:rPr>
            </w:pPr>
          </w:p>
        </w:tc>
        <w:tc>
          <w:tcPr>
            <w:tcW w:w="0" w:type="auto"/>
            <w:gridSpan w:val="3"/>
            <w:shd w:val="clear" w:color="auto" w:fill="auto"/>
            <w:vAlign w:val="bottom"/>
          </w:tcPr>
          <w:p w14:paraId="392C7642" w14:textId="77777777" w:rsidR="00980E5F" w:rsidRDefault="00980E5F">
            <w:pPr>
              <w:rPr>
                <w:rFonts w:ascii="宋体"/>
                <w:vanish/>
              </w:rPr>
            </w:pPr>
          </w:p>
        </w:tc>
        <w:tc>
          <w:tcPr>
            <w:tcW w:w="0" w:type="auto"/>
            <w:shd w:val="clear" w:color="auto" w:fill="auto"/>
            <w:vAlign w:val="bottom"/>
          </w:tcPr>
          <w:p w14:paraId="392C7643" w14:textId="77777777" w:rsidR="00980E5F" w:rsidRDefault="00980E5F">
            <w:pPr>
              <w:rPr>
                <w:rFonts w:ascii="宋体"/>
                <w:vanish/>
              </w:rPr>
            </w:pPr>
          </w:p>
        </w:tc>
        <w:tc>
          <w:tcPr>
            <w:tcW w:w="0" w:type="auto"/>
            <w:shd w:val="clear" w:color="auto" w:fill="auto"/>
            <w:vAlign w:val="bottom"/>
          </w:tcPr>
          <w:p w14:paraId="392C7644" w14:textId="77777777" w:rsidR="00980E5F" w:rsidRDefault="00980E5F">
            <w:pPr>
              <w:rPr>
                <w:rFonts w:ascii="宋体"/>
                <w:vanish/>
              </w:rPr>
            </w:pPr>
          </w:p>
        </w:tc>
        <w:tc>
          <w:tcPr>
            <w:tcW w:w="0" w:type="auto"/>
            <w:gridSpan w:val="3"/>
            <w:shd w:val="clear" w:color="auto" w:fill="auto"/>
            <w:vAlign w:val="bottom"/>
          </w:tcPr>
          <w:p w14:paraId="392C7645" w14:textId="77777777" w:rsidR="00980E5F" w:rsidRDefault="00980E5F">
            <w:pPr>
              <w:rPr>
                <w:rFonts w:ascii="宋体"/>
                <w:vanish/>
              </w:rPr>
            </w:pPr>
          </w:p>
        </w:tc>
        <w:tc>
          <w:tcPr>
            <w:tcW w:w="0" w:type="auto"/>
            <w:gridSpan w:val="3"/>
            <w:shd w:val="clear" w:color="auto" w:fill="auto"/>
            <w:vAlign w:val="bottom"/>
          </w:tcPr>
          <w:p w14:paraId="392C7646" w14:textId="77777777" w:rsidR="00980E5F" w:rsidRDefault="00980E5F">
            <w:pPr>
              <w:rPr>
                <w:rFonts w:ascii="宋体"/>
                <w:vanish/>
              </w:rPr>
            </w:pPr>
          </w:p>
        </w:tc>
        <w:tc>
          <w:tcPr>
            <w:tcW w:w="0" w:type="auto"/>
            <w:gridSpan w:val="3"/>
            <w:shd w:val="clear" w:color="auto" w:fill="auto"/>
            <w:vAlign w:val="bottom"/>
          </w:tcPr>
          <w:p w14:paraId="392C7647" w14:textId="77777777" w:rsidR="00980E5F" w:rsidRDefault="00980E5F">
            <w:pPr>
              <w:rPr>
                <w:rFonts w:ascii="宋体"/>
                <w:vanish/>
              </w:rPr>
            </w:pPr>
          </w:p>
        </w:tc>
        <w:tc>
          <w:tcPr>
            <w:tcW w:w="0" w:type="auto"/>
            <w:gridSpan w:val="3"/>
            <w:shd w:val="clear" w:color="auto" w:fill="auto"/>
            <w:vAlign w:val="bottom"/>
          </w:tcPr>
          <w:p w14:paraId="392C7648" w14:textId="77777777" w:rsidR="00980E5F" w:rsidRDefault="00980E5F">
            <w:pPr>
              <w:rPr>
                <w:rFonts w:ascii="宋体"/>
                <w:vanish/>
              </w:rPr>
            </w:pPr>
          </w:p>
        </w:tc>
        <w:tc>
          <w:tcPr>
            <w:tcW w:w="0" w:type="auto"/>
            <w:gridSpan w:val="3"/>
            <w:shd w:val="clear" w:color="auto" w:fill="auto"/>
            <w:vAlign w:val="bottom"/>
          </w:tcPr>
          <w:p w14:paraId="392C7649" w14:textId="77777777" w:rsidR="00980E5F" w:rsidRDefault="00980E5F">
            <w:pPr>
              <w:rPr>
                <w:rFonts w:ascii="宋体"/>
                <w:vanish/>
              </w:rPr>
            </w:pPr>
          </w:p>
        </w:tc>
      </w:tr>
      <w:tr w:rsidR="00980E5F" w14:paraId="392C765D" w14:textId="77777777">
        <w:trPr>
          <w:hidden/>
        </w:trPr>
        <w:tc>
          <w:tcPr>
            <w:tcW w:w="0" w:type="auto"/>
            <w:gridSpan w:val="3"/>
            <w:shd w:val="clear" w:color="auto" w:fill="auto"/>
            <w:vAlign w:val="bottom"/>
          </w:tcPr>
          <w:p w14:paraId="392C764B" w14:textId="77777777" w:rsidR="00980E5F" w:rsidRDefault="00980E5F">
            <w:pPr>
              <w:rPr>
                <w:rFonts w:ascii="宋体"/>
                <w:vanish/>
              </w:rPr>
            </w:pPr>
          </w:p>
        </w:tc>
        <w:tc>
          <w:tcPr>
            <w:tcW w:w="0" w:type="auto"/>
            <w:gridSpan w:val="3"/>
            <w:shd w:val="clear" w:color="auto" w:fill="auto"/>
            <w:vAlign w:val="bottom"/>
          </w:tcPr>
          <w:p w14:paraId="392C764C" w14:textId="77777777" w:rsidR="00980E5F" w:rsidRDefault="00980E5F">
            <w:pPr>
              <w:rPr>
                <w:rFonts w:ascii="宋体"/>
                <w:vanish/>
              </w:rPr>
            </w:pPr>
          </w:p>
        </w:tc>
        <w:tc>
          <w:tcPr>
            <w:tcW w:w="0" w:type="auto"/>
            <w:gridSpan w:val="3"/>
            <w:shd w:val="clear" w:color="auto" w:fill="auto"/>
            <w:vAlign w:val="bottom"/>
          </w:tcPr>
          <w:p w14:paraId="392C764D" w14:textId="77777777" w:rsidR="00980E5F" w:rsidRDefault="00980E5F">
            <w:pPr>
              <w:rPr>
                <w:rFonts w:ascii="宋体"/>
                <w:vanish/>
              </w:rPr>
            </w:pPr>
          </w:p>
        </w:tc>
        <w:tc>
          <w:tcPr>
            <w:tcW w:w="0" w:type="auto"/>
            <w:gridSpan w:val="3"/>
            <w:shd w:val="clear" w:color="auto" w:fill="auto"/>
            <w:vAlign w:val="bottom"/>
          </w:tcPr>
          <w:p w14:paraId="392C764E" w14:textId="77777777" w:rsidR="00980E5F" w:rsidRDefault="00980E5F">
            <w:pPr>
              <w:rPr>
                <w:rFonts w:ascii="宋体"/>
                <w:vanish/>
              </w:rPr>
            </w:pPr>
          </w:p>
        </w:tc>
        <w:tc>
          <w:tcPr>
            <w:tcW w:w="0" w:type="auto"/>
            <w:gridSpan w:val="3"/>
            <w:shd w:val="clear" w:color="auto" w:fill="auto"/>
            <w:vAlign w:val="bottom"/>
          </w:tcPr>
          <w:p w14:paraId="392C764F" w14:textId="77777777" w:rsidR="00980E5F" w:rsidRDefault="00980E5F">
            <w:pPr>
              <w:rPr>
                <w:rFonts w:ascii="宋体"/>
                <w:vanish/>
              </w:rPr>
            </w:pPr>
          </w:p>
        </w:tc>
        <w:tc>
          <w:tcPr>
            <w:tcW w:w="0" w:type="auto"/>
            <w:gridSpan w:val="3"/>
            <w:shd w:val="clear" w:color="auto" w:fill="auto"/>
            <w:vAlign w:val="bottom"/>
          </w:tcPr>
          <w:p w14:paraId="392C7650" w14:textId="77777777" w:rsidR="00980E5F" w:rsidRDefault="00980E5F">
            <w:pPr>
              <w:rPr>
                <w:rFonts w:ascii="宋体"/>
                <w:vanish/>
              </w:rPr>
            </w:pPr>
          </w:p>
        </w:tc>
        <w:tc>
          <w:tcPr>
            <w:tcW w:w="0" w:type="auto"/>
            <w:gridSpan w:val="3"/>
            <w:shd w:val="clear" w:color="auto" w:fill="auto"/>
            <w:vAlign w:val="bottom"/>
          </w:tcPr>
          <w:p w14:paraId="392C7651" w14:textId="77777777" w:rsidR="00980E5F" w:rsidRDefault="00980E5F">
            <w:pPr>
              <w:rPr>
                <w:rFonts w:ascii="宋体"/>
                <w:vanish/>
              </w:rPr>
            </w:pPr>
          </w:p>
        </w:tc>
        <w:tc>
          <w:tcPr>
            <w:tcW w:w="0" w:type="auto"/>
            <w:gridSpan w:val="3"/>
            <w:shd w:val="clear" w:color="auto" w:fill="auto"/>
            <w:vAlign w:val="bottom"/>
          </w:tcPr>
          <w:p w14:paraId="392C7652" w14:textId="77777777" w:rsidR="00980E5F" w:rsidRDefault="00980E5F">
            <w:pPr>
              <w:rPr>
                <w:rFonts w:ascii="宋体"/>
                <w:vanish/>
              </w:rPr>
            </w:pPr>
          </w:p>
        </w:tc>
        <w:tc>
          <w:tcPr>
            <w:tcW w:w="0" w:type="auto"/>
            <w:gridSpan w:val="3"/>
            <w:shd w:val="clear" w:color="auto" w:fill="auto"/>
            <w:vAlign w:val="bottom"/>
          </w:tcPr>
          <w:p w14:paraId="392C7653" w14:textId="77777777" w:rsidR="00980E5F" w:rsidRDefault="00980E5F">
            <w:pPr>
              <w:rPr>
                <w:rFonts w:ascii="宋体"/>
                <w:vanish/>
              </w:rPr>
            </w:pPr>
          </w:p>
        </w:tc>
        <w:tc>
          <w:tcPr>
            <w:tcW w:w="0" w:type="auto"/>
            <w:gridSpan w:val="3"/>
            <w:shd w:val="clear" w:color="auto" w:fill="auto"/>
            <w:vAlign w:val="bottom"/>
          </w:tcPr>
          <w:p w14:paraId="392C7654" w14:textId="77777777" w:rsidR="00980E5F" w:rsidRDefault="00980E5F">
            <w:pPr>
              <w:rPr>
                <w:rFonts w:ascii="宋体"/>
                <w:vanish/>
              </w:rPr>
            </w:pPr>
          </w:p>
        </w:tc>
        <w:tc>
          <w:tcPr>
            <w:tcW w:w="0" w:type="auto"/>
            <w:gridSpan w:val="3"/>
            <w:shd w:val="clear" w:color="auto" w:fill="auto"/>
            <w:vAlign w:val="bottom"/>
          </w:tcPr>
          <w:p w14:paraId="392C7655" w14:textId="77777777" w:rsidR="00980E5F" w:rsidRDefault="00980E5F">
            <w:pPr>
              <w:rPr>
                <w:rFonts w:ascii="宋体"/>
                <w:vanish/>
              </w:rPr>
            </w:pPr>
          </w:p>
        </w:tc>
        <w:tc>
          <w:tcPr>
            <w:tcW w:w="0" w:type="auto"/>
            <w:shd w:val="clear" w:color="auto" w:fill="auto"/>
            <w:vAlign w:val="bottom"/>
          </w:tcPr>
          <w:p w14:paraId="392C7656" w14:textId="77777777" w:rsidR="00980E5F" w:rsidRDefault="00980E5F">
            <w:pPr>
              <w:rPr>
                <w:rFonts w:ascii="宋体"/>
                <w:vanish/>
              </w:rPr>
            </w:pPr>
          </w:p>
        </w:tc>
        <w:tc>
          <w:tcPr>
            <w:tcW w:w="0" w:type="auto"/>
            <w:shd w:val="clear" w:color="auto" w:fill="auto"/>
            <w:vAlign w:val="bottom"/>
          </w:tcPr>
          <w:p w14:paraId="392C7657" w14:textId="77777777" w:rsidR="00980E5F" w:rsidRDefault="00980E5F">
            <w:pPr>
              <w:rPr>
                <w:rFonts w:ascii="宋体"/>
                <w:vanish/>
              </w:rPr>
            </w:pPr>
          </w:p>
        </w:tc>
        <w:tc>
          <w:tcPr>
            <w:tcW w:w="0" w:type="auto"/>
            <w:gridSpan w:val="3"/>
            <w:shd w:val="clear" w:color="auto" w:fill="auto"/>
            <w:vAlign w:val="bottom"/>
          </w:tcPr>
          <w:p w14:paraId="392C7658" w14:textId="77777777" w:rsidR="00980E5F" w:rsidRDefault="00980E5F">
            <w:pPr>
              <w:rPr>
                <w:rFonts w:ascii="宋体"/>
                <w:vanish/>
              </w:rPr>
            </w:pPr>
          </w:p>
        </w:tc>
        <w:tc>
          <w:tcPr>
            <w:tcW w:w="0" w:type="auto"/>
            <w:gridSpan w:val="3"/>
            <w:shd w:val="clear" w:color="auto" w:fill="auto"/>
            <w:vAlign w:val="bottom"/>
          </w:tcPr>
          <w:p w14:paraId="392C7659" w14:textId="77777777" w:rsidR="00980E5F" w:rsidRDefault="00980E5F">
            <w:pPr>
              <w:rPr>
                <w:rFonts w:ascii="宋体"/>
                <w:vanish/>
              </w:rPr>
            </w:pPr>
          </w:p>
        </w:tc>
        <w:tc>
          <w:tcPr>
            <w:tcW w:w="0" w:type="auto"/>
            <w:gridSpan w:val="3"/>
            <w:shd w:val="clear" w:color="auto" w:fill="auto"/>
            <w:vAlign w:val="bottom"/>
          </w:tcPr>
          <w:p w14:paraId="392C765A" w14:textId="77777777" w:rsidR="00980E5F" w:rsidRDefault="00980E5F">
            <w:pPr>
              <w:rPr>
                <w:rFonts w:ascii="宋体"/>
                <w:vanish/>
              </w:rPr>
            </w:pPr>
          </w:p>
        </w:tc>
        <w:tc>
          <w:tcPr>
            <w:tcW w:w="0" w:type="auto"/>
            <w:gridSpan w:val="3"/>
            <w:shd w:val="clear" w:color="auto" w:fill="auto"/>
            <w:vAlign w:val="bottom"/>
          </w:tcPr>
          <w:p w14:paraId="392C765B" w14:textId="77777777" w:rsidR="00980E5F" w:rsidRDefault="00980E5F">
            <w:pPr>
              <w:rPr>
                <w:rFonts w:ascii="宋体"/>
                <w:vanish/>
              </w:rPr>
            </w:pPr>
          </w:p>
        </w:tc>
        <w:tc>
          <w:tcPr>
            <w:tcW w:w="0" w:type="auto"/>
            <w:gridSpan w:val="3"/>
            <w:shd w:val="clear" w:color="auto" w:fill="auto"/>
            <w:vAlign w:val="bottom"/>
          </w:tcPr>
          <w:p w14:paraId="392C765C" w14:textId="77777777" w:rsidR="00980E5F" w:rsidRDefault="00980E5F">
            <w:pPr>
              <w:rPr>
                <w:rFonts w:ascii="宋体"/>
                <w:vanish/>
              </w:rPr>
            </w:pPr>
          </w:p>
        </w:tc>
      </w:tr>
      <w:tr w:rsidR="00980E5F" w14:paraId="392C7670" w14:textId="77777777">
        <w:trPr>
          <w:hidden/>
        </w:trPr>
        <w:tc>
          <w:tcPr>
            <w:tcW w:w="0" w:type="auto"/>
            <w:gridSpan w:val="3"/>
            <w:shd w:val="clear" w:color="auto" w:fill="auto"/>
            <w:vAlign w:val="bottom"/>
          </w:tcPr>
          <w:p w14:paraId="392C765E" w14:textId="77777777" w:rsidR="00980E5F" w:rsidRDefault="00980E5F">
            <w:pPr>
              <w:rPr>
                <w:rFonts w:ascii="宋体"/>
                <w:vanish/>
              </w:rPr>
            </w:pPr>
          </w:p>
        </w:tc>
        <w:tc>
          <w:tcPr>
            <w:tcW w:w="0" w:type="auto"/>
            <w:gridSpan w:val="3"/>
            <w:shd w:val="clear" w:color="auto" w:fill="auto"/>
            <w:vAlign w:val="bottom"/>
          </w:tcPr>
          <w:p w14:paraId="392C765F" w14:textId="77777777" w:rsidR="00980E5F" w:rsidRDefault="00980E5F">
            <w:pPr>
              <w:rPr>
                <w:rFonts w:ascii="宋体"/>
                <w:vanish/>
              </w:rPr>
            </w:pPr>
          </w:p>
        </w:tc>
        <w:tc>
          <w:tcPr>
            <w:tcW w:w="0" w:type="auto"/>
            <w:gridSpan w:val="3"/>
            <w:shd w:val="clear" w:color="auto" w:fill="auto"/>
            <w:vAlign w:val="bottom"/>
          </w:tcPr>
          <w:p w14:paraId="392C7660" w14:textId="77777777" w:rsidR="00980E5F" w:rsidRDefault="00980E5F">
            <w:pPr>
              <w:rPr>
                <w:rFonts w:ascii="宋体"/>
                <w:vanish/>
              </w:rPr>
            </w:pPr>
          </w:p>
        </w:tc>
        <w:tc>
          <w:tcPr>
            <w:tcW w:w="0" w:type="auto"/>
            <w:gridSpan w:val="3"/>
            <w:shd w:val="clear" w:color="auto" w:fill="auto"/>
            <w:vAlign w:val="bottom"/>
          </w:tcPr>
          <w:p w14:paraId="392C7661" w14:textId="77777777" w:rsidR="00980E5F" w:rsidRDefault="00980E5F">
            <w:pPr>
              <w:rPr>
                <w:rFonts w:ascii="宋体"/>
                <w:vanish/>
              </w:rPr>
            </w:pPr>
          </w:p>
        </w:tc>
        <w:tc>
          <w:tcPr>
            <w:tcW w:w="0" w:type="auto"/>
            <w:gridSpan w:val="3"/>
            <w:shd w:val="clear" w:color="auto" w:fill="auto"/>
            <w:vAlign w:val="bottom"/>
          </w:tcPr>
          <w:p w14:paraId="392C7662" w14:textId="77777777" w:rsidR="00980E5F" w:rsidRDefault="00980E5F">
            <w:pPr>
              <w:rPr>
                <w:rFonts w:ascii="宋体"/>
                <w:vanish/>
              </w:rPr>
            </w:pPr>
          </w:p>
        </w:tc>
        <w:tc>
          <w:tcPr>
            <w:tcW w:w="0" w:type="auto"/>
            <w:gridSpan w:val="3"/>
            <w:shd w:val="clear" w:color="auto" w:fill="auto"/>
            <w:vAlign w:val="bottom"/>
          </w:tcPr>
          <w:p w14:paraId="392C7663" w14:textId="77777777" w:rsidR="00980E5F" w:rsidRDefault="00980E5F">
            <w:pPr>
              <w:rPr>
                <w:rFonts w:ascii="宋体"/>
                <w:vanish/>
              </w:rPr>
            </w:pPr>
          </w:p>
        </w:tc>
        <w:tc>
          <w:tcPr>
            <w:tcW w:w="0" w:type="auto"/>
            <w:gridSpan w:val="3"/>
            <w:shd w:val="clear" w:color="auto" w:fill="auto"/>
            <w:vAlign w:val="bottom"/>
          </w:tcPr>
          <w:p w14:paraId="392C7664" w14:textId="77777777" w:rsidR="00980E5F" w:rsidRDefault="00980E5F">
            <w:pPr>
              <w:rPr>
                <w:rFonts w:ascii="宋体"/>
                <w:vanish/>
              </w:rPr>
            </w:pPr>
          </w:p>
        </w:tc>
        <w:tc>
          <w:tcPr>
            <w:tcW w:w="0" w:type="auto"/>
            <w:gridSpan w:val="3"/>
            <w:shd w:val="clear" w:color="auto" w:fill="auto"/>
            <w:vAlign w:val="bottom"/>
          </w:tcPr>
          <w:p w14:paraId="392C7665" w14:textId="77777777" w:rsidR="00980E5F" w:rsidRDefault="00980E5F">
            <w:pPr>
              <w:rPr>
                <w:rFonts w:ascii="宋体"/>
                <w:vanish/>
              </w:rPr>
            </w:pPr>
          </w:p>
        </w:tc>
        <w:tc>
          <w:tcPr>
            <w:tcW w:w="0" w:type="auto"/>
            <w:gridSpan w:val="3"/>
            <w:shd w:val="clear" w:color="auto" w:fill="auto"/>
            <w:vAlign w:val="bottom"/>
          </w:tcPr>
          <w:p w14:paraId="392C7666" w14:textId="77777777" w:rsidR="00980E5F" w:rsidRDefault="00980E5F">
            <w:pPr>
              <w:rPr>
                <w:rFonts w:ascii="宋体"/>
                <w:vanish/>
              </w:rPr>
            </w:pPr>
          </w:p>
        </w:tc>
        <w:tc>
          <w:tcPr>
            <w:tcW w:w="0" w:type="auto"/>
            <w:gridSpan w:val="3"/>
            <w:shd w:val="clear" w:color="auto" w:fill="auto"/>
            <w:vAlign w:val="bottom"/>
          </w:tcPr>
          <w:p w14:paraId="392C7667" w14:textId="77777777" w:rsidR="00980E5F" w:rsidRDefault="00980E5F">
            <w:pPr>
              <w:rPr>
                <w:rFonts w:ascii="宋体"/>
                <w:vanish/>
              </w:rPr>
            </w:pPr>
          </w:p>
        </w:tc>
        <w:tc>
          <w:tcPr>
            <w:tcW w:w="0" w:type="auto"/>
            <w:gridSpan w:val="3"/>
            <w:shd w:val="clear" w:color="auto" w:fill="auto"/>
            <w:vAlign w:val="bottom"/>
          </w:tcPr>
          <w:p w14:paraId="392C7668" w14:textId="77777777" w:rsidR="00980E5F" w:rsidRDefault="00980E5F">
            <w:pPr>
              <w:rPr>
                <w:rFonts w:ascii="宋体"/>
                <w:vanish/>
              </w:rPr>
            </w:pPr>
          </w:p>
        </w:tc>
        <w:tc>
          <w:tcPr>
            <w:tcW w:w="0" w:type="auto"/>
            <w:shd w:val="clear" w:color="auto" w:fill="auto"/>
            <w:vAlign w:val="bottom"/>
          </w:tcPr>
          <w:p w14:paraId="392C7669" w14:textId="77777777" w:rsidR="00980E5F" w:rsidRDefault="00980E5F">
            <w:pPr>
              <w:rPr>
                <w:rFonts w:ascii="宋体"/>
                <w:vanish/>
              </w:rPr>
            </w:pPr>
          </w:p>
        </w:tc>
        <w:tc>
          <w:tcPr>
            <w:tcW w:w="0" w:type="auto"/>
            <w:shd w:val="clear" w:color="auto" w:fill="auto"/>
            <w:vAlign w:val="bottom"/>
          </w:tcPr>
          <w:p w14:paraId="392C766A" w14:textId="77777777" w:rsidR="00980E5F" w:rsidRDefault="00980E5F">
            <w:pPr>
              <w:rPr>
                <w:rFonts w:ascii="宋体"/>
                <w:vanish/>
              </w:rPr>
            </w:pPr>
          </w:p>
        </w:tc>
        <w:tc>
          <w:tcPr>
            <w:tcW w:w="0" w:type="auto"/>
            <w:gridSpan w:val="3"/>
            <w:shd w:val="clear" w:color="auto" w:fill="auto"/>
            <w:vAlign w:val="bottom"/>
          </w:tcPr>
          <w:p w14:paraId="392C766B" w14:textId="77777777" w:rsidR="00980E5F" w:rsidRDefault="00980E5F">
            <w:pPr>
              <w:rPr>
                <w:rFonts w:ascii="宋体"/>
                <w:vanish/>
              </w:rPr>
            </w:pPr>
          </w:p>
        </w:tc>
        <w:tc>
          <w:tcPr>
            <w:tcW w:w="0" w:type="auto"/>
            <w:gridSpan w:val="3"/>
            <w:shd w:val="clear" w:color="auto" w:fill="auto"/>
            <w:vAlign w:val="bottom"/>
          </w:tcPr>
          <w:p w14:paraId="392C766C" w14:textId="77777777" w:rsidR="00980E5F" w:rsidRDefault="00980E5F">
            <w:pPr>
              <w:rPr>
                <w:rFonts w:ascii="宋体"/>
                <w:vanish/>
              </w:rPr>
            </w:pPr>
          </w:p>
        </w:tc>
        <w:tc>
          <w:tcPr>
            <w:tcW w:w="0" w:type="auto"/>
            <w:gridSpan w:val="3"/>
            <w:shd w:val="clear" w:color="auto" w:fill="auto"/>
            <w:vAlign w:val="bottom"/>
          </w:tcPr>
          <w:p w14:paraId="392C766D" w14:textId="77777777" w:rsidR="00980E5F" w:rsidRDefault="00980E5F">
            <w:pPr>
              <w:rPr>
                <w:rFonts w:ascii="宋体"/>
                <w:vanish/>
              </w:rPr>
            </w:pPr>
          </w:p>
        </w:tc>
        <w:tc>
          <w:tcPr>
            <w:tcW w:w="0" w:type="auto"/>
            <w:gridSpan w:val="3"/>
            <w:shd w:val="clear" w:color="auto" w:fill="auto"/>
            <w:vAlign w:val="bottom"/>
          </w:tcPr>
          <w:p w14:paraId="392C766E" w14:textId="77777777" w:rsidR="00980E5F" w:rsidRDefault="00980E5F">
            <w:pPr>
              <w:rPr>
                <w:rFonts w:ascii="宋体"/>
                <w:vanish/>
              </w:rPr>
            </w:pPr>
          </w:p>
        </w:tc>
        <w:tc>
          <w:tcPr>
            <w:tcW w:w="0" w:type="auto"/>
            <w:gridSpan w:val="3"/>
            <w:shd w:val="clear" w:color="auto" w:fill="auto"/>
            <w:vAlign w:val="bottom"/>
          </w:tcPr>
          <w:p w14:paraId="392C766F" w14:textId="77777777" w:rsidR="00980E5F" w:rsidRDefault="00980E5F">
            <w:pPr>
              <w:rPr>
                <w:rFonts w:ascii="宋体"/>
                <w:vanish/>
              </w:rPr>
            </w:pPr>
          </w:p>
        </w:tc>
      </w:tr>
      <w:tr w:rsidR="00980E5F" w14:paraId="392C7693" w14:textId="77777777">
        <w:tc>
          <w:tcPr>
            <w:tcW w:w="0" w:type="auto"/>
            <w:gridSpan w:val="3"/>
            <w:shd w:val="clear" w:color="auto" w:fill="CCEEFF"/>
            <w:tcMar>
              <w:top w:w="40" w:type="dxa"/>
              <w:left w:w="155" w:type="dxa"/>
              <w:bottom w:w="40" w:type="dxa"/>
              <w:right w:w="20" w:type="dxa"/>
            </w:tcMar>
            <w:vAlign w:val="bottom"/>
          </w:tcPr>
          <w:p w14:paraId="392C7671" w14:textId="77777777" w:rsidR="00980E5F" w:rsidRDefault="00483613">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67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73" w14:textId="77777777" w:rsidR="00980E5F" w:rsidRDefault="00483613">
            <w:pPr>
              <w:jc w:val="right"/>
              <w:textAlignment w:val="bottom"/>
            </w:pPr>
            <w:r>
              <w:rPr>
                <w:rFonts w:ascii="Arial" w:eastAsia="宋体" w:hAnsi="Arial" w:cs="Arial"/>
                <w:color w:val="000000"/>
                <w:sz w:val="14"/>
                <w:szCs w:val="14"/>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7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7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77" w14:textId="77777777" w:rsidR="00980E5F" w:rsidRDefault="00483613">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7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7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7B" w14:textId="77777777" w:rsidR="00980E5F" w:rsidRDefault="00483613">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7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7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7F" w14:textId="77777777" w:rsidR="00980E5F" w:rsidRDefault="00483613">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8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8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83" w14:textId="77777777" w:rsidR="00980E5F" w:rsidRDefault="00483613">
            <w:pPr>
              <w:jc w:val="right"/>
              <w:textAlignment w:val="bottom"/>
            </w:pPr>
            <w:r>
              <w:rPr>
                <w:rFonts w:ascii="Arial" w:eastAsia="宋体" w:hAnsi="Arial" w:cs="Arial"/>
                <w:color w:val="000000"/>
                <w:sz w:val="14"/>
                <w:szCs w:val="14"/>
              </w:rPr>
              <w:t>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85" w14:textId="77777777" w:rsidR="00980E5F" w:rsidRDefault="00980E5F">
            <w:pPr>
              <w:rPr>
                <w:rFonts w:ascii="宋体"/>
              </w:rPr>
            </w:pPr>
          </w:p>
        </w:tc>
        <w:tc>
          <w:tcPr>
            <w:tcW w:w="0" w:type="auto"/>
            <w:shd w:val="clear" w:color="auto" w:fill="auto"/>
            <w:vAlign w:val="bottom"/>
          </w:tcPr>
          <w:p w14:paraId="392C7686" w14:textId="77777777" w:rsidR="00980E5F" w:rsidRDefault="00980E5F">
            <w:pPr>
              <w:rPr>
                <w:rFonts w:ascii="宋体"/>
                <w:vanish/>
              </w:rPr>
            </w:pPr>
          </w:p>
        </w:tc>
        <w:tc>
          <w:tcPr>
            <w:tcW w:w="0" w:type="auto"/>
            <w:shd w:val="clear" w:color="auto" w:fill="auto"/>
            <w:vAlign w:val="bottom"/>
          </w:tcPr>
          <w:p w14:paraId="392C7687"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8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89" w14:textId="77777777" w:rsidR="00980E5F" w:rsidRDefault="00483613">
            <w:pPr>
              <w:jc w:val="right"/>
              <w:textAlignment w:val="bottom"/>
            </w:pPr>
            <w:r>
              <w:rPr>
                <w:rFonts w:ascii="Arial" w:eastAsia="宋体" w:hAnsi="Arial" w:cs="Arial"/>
                <w:color w:val="000000"/>
                <w:sz w:val="14"/>
                <w:szCs w:val="14"/>
              </w:rPr>
              <w:t>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8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8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8D"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8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69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691" w14:textId="77777777" w:rsidR="00980E5F" w:rsidRDefault="00483613">
            <w:pPr>
              <w:jc w:val="right"/>
              <w:textAlignment w:val="bottom"/>
            </w:pPr>
            <w:r>
              <w:rPr>
                <w:rFonts w:ascii="Arial" w:eastAsia="宋体" w:hAnsi="Arial" w:cs="Arial"/>
                <w:color w:val="000000"/>
                <w:sz w:val="14"/>
                <w:szCs w:val="14"/>
              </w:rPr>
              <w:t>2,554 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692" w14:textId="77777777" w:rsidR="00980E5F" w:rsidRDefault="00980E5F">
            <w:pPr>
              <w:jc w:val="right"/>
              <w:rPr>
                <w:rFonts w:ascii="宋体"/>
              </w:rPr>
            </w:pPr>
          </w:p>
        </w:tc>
      </w:tr>
      <w:tr w:rsidR="00980E5F" w14:paraId="392C76A6" w14:textId="77777777">
        <w:tc>
          <w:tcPr>
            <w:tcW w:w="0" w:type="auto"/>
            <w:gridSpan w:val="3"/>
            <w:shd w:val="clear" w:color="auto" w:fill="FFFFFF"/>
            <w:tcMar>
              <w:top w:w="40" w:type="dxa"/>
              <w:left w:w="20" w:type="dxa"/>
              <w:bottom w:w="40" w:type="dxa"/>
              <w:right w:w="20" w:type="dxa"/>
            </w:tcMar>
            <w:vAlign w:val="bottom"/>
          </w:tcPr>
          <w:p w14:paraId="392C7694" w14:textId="77777777" w:rsidR="00980E5F" w:rsidRDefault="00483613">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9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9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9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9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9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9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9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9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9E" w14:textId="77777777" w:rsidR="00980E5F" w:rsidRDefault="00980E5F">
            <w:pPr>
              <w:rPr>
                <w:rFonts w:ascii="宋体"/>
              </w:rPr>
            </w:pPr>
          </w:p>
        </w:tc>
        <w:tc>
          <w:tcPr>
            <w:tcW w:w="0" w:type="auto"/>
            <w:shd w:val="clear" w:color="auto" w:fill="auto"/>
            <w:vAlign w:val="bottom"/>
          </w:tcPr>
          <w:p w14:paraId="392C769F" w14:textId="77777777" w:rsidR="00980E5F" w:rsidRDefault="00980E5F">
            <w:pPr>
              <w:rPr>
                <w:rFonts w:ascii="宋体"/>
                <w:vanish/>
              </w:rPr>
            </w:pPr>
          </w:p>
        </w:tc>
        <w:tc>
          <w:tcPr>
            <w:tcW w:w="0" w:type="auto"/>
            <w:shd w:val="clear" w:color="auto" w:fill="auto"/>
            <w:vAlign w:val="bottom"/>
          </w:tcPr>
          <w:p w14:paraId="392C76A0"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A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A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A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A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6A5" w14:textId="77777777" w:rsidR="00980E5F" w:rsidRDefault="00980E5F">
            <w:pPr>
              <w:rPr>
                <w:rFonts w:ascii="宋体"/>
              </w:rPr>
            </w:pPr>
          </w:p>
        </w:tc>
      </w:tr>
      <w:tr w:rsidR="00980E5F" w14:paraId="392C76B9" w14:textId="77777777">
        <w:tc>
          <w:tcPr>
            <w:tcW w:w="0" w:type="auto"/>
            <w:gridSpan w:val="3"/>
            <w:shd w:val="clear" w:color="auto" w:fill="CCEEFF"/>
            <w:tcMar>
              <w:top w:w="40" w:type="dxa"/>
              <w:left w:w="155" w:type="dxa"/>
              <w:bottom w:w="40" w:type="dxa"/>
              <w:right w:w="20" w:type="dxa"/>
            </w:tcMar>
            <w:vAlign w:val="bottom"/>
          </w:tcPr>
          <w:p w14:paraId="392C76A7" w14:textId="77777777" w:rsidR="00980E5F" w:rsidRDefault="00483613">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392C76A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A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1" w14:textId="77777777" w:rsidR="00980E5F" w:rsidRDefault="00980E5F">
            <w:pPr>
              <w:rPr>
                <w:rFonts w:ascii="宋体"/>
              </w:rPr>
            </w:pPr>
          </w:p>
        </w:tc>
        <w:tc>
          <w:tcPr>
            <w:tcW w:w="0" w:type="auto"/>
            <w:shd w:val="clear" w:color="auto" w:fill="auto"/>
            <w:vAlign w:val="bottom"/>
          </w:tcPr>
          <w:p w14:paraId="392C76B2" w14:textId="77777777" w:rsidR="00980E5F" w:rsidRDefault="00980E5F">
            <w:pPr>
              <w:rPr>
                <w:rFonts w:ascii="宋体"/>
                <w:vanish/>
              </w:rPr>
            </w:pPr>
          </w:p>
        </w:tc>
        <w:tc>
          <w:tcPr>
            <w:tcW w:w="0" w:type="auto"/>
            <w:shd w:val="clear" w:color="auto" w:fill="auto"/>
            <w:vAlign w:val="bottom"/>
          </w:tcPr>
          <w:p w14:paraId="392C76B3"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76B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6B8" w14:textId="77777777" w:rsidR="00980E5F" w:rsidRDefault="00980E5F">
            <w:pPr>
              <w:rPr>
                <w:rFonts w:ascii="宋体"/>
              </w:rPr>
            </w:pPr>
          </w:p>
        </w:tc>
      </w:tr>
      <w:tr w:rsidR="00980E5F" w14:paraId="392C76CC" w14:textId="77777777">
        <w:tc>
          <w:tcPr>
            <w:tcW w:w="0" w:type="auto"/>
            <w:gridSpan w:val="3"/>
            <w:shd w:val="clear" w:color="auto" w:fill="FFFFFF"/>
            <w:tcMar>
              <w:top w:w="40" w:type="dxa"/>
              <w:left w:w="245" w:type="dxa"/>
              <w:bottom w:w="40" w:type="dxa"/>
              <w:right w:w="20" w:type="dxa"/>
            </w:tcMar>
            <w:vAlign w:val="bottom"/>
          </w:tcPr>
          <w:p w14:paraId="392C76BA" w14:textId="77777777" w:rsidR="00980E5F" w:rsidRDefault="00483613">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392C76B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B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B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B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B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4" w14:textId="77777777" w:rsidR="00980E5F" w:rsidRDefault="00980E5F">
            <w:pPr>
              <w:rPr>
                <w:rFonts w:ascii="宋体"/>
              </w:rPr>
            </w:pPr>
          </w:p>
        </w:tc>
        <w:tc>
          <w:tcPr>
            <w:tcW w:w="0" w:type="auto"/>
            <w:shd w:val="clear" w:color="auto" w:fill="auto"/>
            <w:vAlign w:val="bottom"/>
          </w:tcPr>
          <w:p w14:paraId="392C76C5" w14:textId="77777777" w:rsidR="00980E5F" w:rsidRDefault="00980E5F">
            <w:pPr>
              <w:rPr>
                <w:rFonts w:ascii="宋体"/>
                <w:vanish/>
              </w:rPr>
            </w:pPr>
          </w:p>
        </w:tc>
        <w:tc>
          <w:tcPr>
            <w:tcW w:w="0" w:type="auto"/>
            <w:shd w:val="clear" w:color="auto" w:fill="auto"/>
            <w:vAlign w:val="bottom"/>
          </w:tcPr>
          <w:p w14:paraId="392C76C6"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76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6CB" w14:textId="77777777" w:rsidR="00980E5F" w:rsidRDefault="00980E5F">
            <w:pPr>
              <w:rPr>
                <w:rFonts w:ascii="宋体"/>
              </w:rPr>
            </w:pPr>
          </w:p>
        </w:tc>
      </w:tr>
      <w:tr w:rsidR="00980E5F" w14:paraId="392C76EF" w14:textId="77777777">
        <w:tc>
          <w:tcPr>
            <w:tcW w:w="0" w:type="auto"/>
            <w:gridSpan w:val="3"/>
            <w:shd w:val="clear" w:color="auto" w:fill="CCEEFF"/>
            <w:tcMar>
              <w:top w:w="40" w:type="dxa"/>
              <w:left w:w="380" w:type="dxa"/>
              <w:bottom w:w="40" w:type="dxa"/>
              <w:right w:w="20" w:type="dxa"/>
            </w:tcMar>
            <w:vAlign w:val="bottom"/>
          </w:tcPr>
          <w:p w14:paraId="392C76CD" w14:textId="77777777" w:rsidR="00980E5F" w:rsidRDefault="00483613">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392C76C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CF" w14:textId="77777777" w:rsidR="00980E5F" w:rsidRDefault="00483613">
            <w:pPr>
              <w:jc w:val="right"/>
              <w:textAlignment w:val="bottom"/>
            </w:pPr>
            <w:r>
              <w:rPr>
                <w:rFonts w:ascii="Arial" w:eastAsia="宋体" w:hAnsi="Arial" w:cs="Arial"/>
                <w:color w:val="000000"/>
                <w:sz w:val="14"/>
                <w:szCs w:val="14"/>
              </w:rPr>
              <w:t>4,087 </w:t>
            </w:r>
          </w:p>
        </w:tc>
        <w:tc>
          <w:tcPr>
            <w:tcW w:w="0" w:type="auto"/>
            <w:shd w:val="clear" w:color="auto" w:fill="CCEEFF"/>
            <w:tcMar>
              <w:top w:w="40" w:type="dxa"/>
              <w:left w:w="0" w:type="dxa"/>
              <w:bottom w:w="40" w:type="dxa"/>
              <w:right w:w="20" w:type="dxa"/>
            </w:tcMar>
            <w:vAlign w:val="bottom"/>
          </w:tcPr>
          <w:p w14:paraId="392C76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D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D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D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D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D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D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D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D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D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D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D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D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E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E1" w14:textId="77777777" w:rsidR="00980E5F" w:rsidRDefault="00980E5F">
            <w:pPr>
              <w:rPr>
                <w:rFonts w:ascii="宋体"/>
              </w:rPr>
            </w:pPr>
          </w:p>
        </w:tc>
        <w:tc>
          <w:tcPr>
            <w:tcW w:w="0" w:type="auto"/>
            <w:shd w:val="clear" w:color="auto" w:fill="auto"/>
            <w:vAlign w:val="bottom"/>
          </w:tcPr>
          <w:p w14:paraId="392C76E2" w14:textId="77777777" w:rsidR="00980E5F" w:rsidRDefault="00980E5F">
            <w:pPr>
              <w:rPr>
                <w:rFonts w:ascii="宋体"/>
                <w:vanish/>
              </w:rPr>
            </w:pPr>
          </w:p>
        </w:tc>
        <w:tc>
          <w:tcPr>
            <w:tcW w:w="0" w:type="auto"/>
            <w:shd w:val="clear" w:color="auto" w:fill="auto"/>
            <w:vAlign w:val="bottom"/>
          </w:tcPr>
          <w:p w14:paraId="392C76E3"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6E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E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6E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E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E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E9" w14:textId="77777777" w:rsidR="00980E5F" w:rsidRDefault="00483613">
            <w:pPr>
              <w:jc w:val="right"/>
              <w:textAlignment w:val="bottom"/>
            </w:pPr>
            <w:r>
              <w:rPr>
                <w:rFonts w:ascii="Arial" w:eastAsia="宋体" w:hAnsi="Arial" w:cs="Arial"/>
                <w:color w:val="000000"/>
                <w:sz w:val="14"/>
                <w:szCs w:val="14"/>
              </w:rPr>
              <w:t>4,863 </w:t>
            </w:r>
          </w:p>
        </w:tc>
        <w:tc>
          <w:tcPr>
            <w:tcW w:w="0" w:type="auto"/>
            <w:shd w:val="clear" w:color="auto" w:fill="CCEEFF"/>
            <w:tcMar>
              <w:top w:w="40" w:type="dxa"/>
              <w:left w:w="0" w:type="dxa"/>
              <w:bottom w:w="40" w:type="dxa"/>
              <w:right w:w="20" w:type="dxa"/>
            </w:tcMar>
            <w:vAlign w:val="bottom"/>
          </w:tcPr>
          <w:p w14:paraId="392C76E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6E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6E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6ED" w14:textId="77777777" w:rsidR="00980E5F" w:rsidRDefault="00483613">
            <w:pPr>
              <w:jc w:val="right"/>
              <w:textAlignment w:val="bottom"/>
            </w:pPr>
            <w:r>
              <w:rPr>
                <w:rFonts w:ascii="Arial" w:eastAsia="宋体" w:hAnsi="Arial" w:cs="Arial"/>
                <w:color w:val="000000"/>
                <w:sz w:val="14"/>
                <w:szCs w:val="14"/>
              </w:rPr>
              <w:t>8,950 </w:t>
            </w:r>
          </w:p>
        </w:tc>
        <w:tc>
          <w:tcPr>
            <w:tcW w:w="0" w:type="auto"/>
            <w:shd w:val="clear" w:color="auto" w:fill="CCEEFF"/>
            <w:tcMar>
              <w:top w:w="40" w:type="dxa"/>
              <w:left w:w="0" w:type="dxa"/>
              <w:bottom w:w="40" w:type="dxa"/>
              <w:right w:w="20" w:type="dxa"/>
            </w:tcMar>
            <w:vAlign w:val="bottom"/>
          </w:tcPr>
          <w:p w14:paraId="392C76EE" w14:textId="77777777" w:rsidR="00980E5F" w:rsidRDefault="00980E5F">
            <w:pPr>
              <w:jc w:val="right"/>
              <w:rPr>
                <w:rFonts w:ascii="宋体"/>
              </w:rPr>
            </w:pPr>
          </w:p>
        </w:tc>
      </w:tr>
      <w:tr w:rsidR="00980E5F" w14:paraId="392C770A" w14:textId="77777777">
        <w:tc>
          <w:tcPr>
            <w:tcW w:w="0" w:type="auto"/>
            <w:gridSpan w:val="3"/>
            <w:shd w:val="clear" w:color="auto" w:fill="FFFFFF"/>
            <w:tcMar>
              <w:top w:w="40" w:type="dxa"/>
              <w:left w:w="380" w:type="dxa"/>
              <w:bottom w:w="40" w:type="dxa"/>
              <w:right w:w="20" w:type="dxa"/>
            </w:tcMar>
            <w:vAlign w:val="bottom"/>
          </w:tcPr>
          <w:p w14:paraId="392C76F0" w14:textId="77777777" w:rsidR="00980E5F" w:rsidRDefault="00483613">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392C76F1" w14:textId="77777777" w:rsidR="00980E5F" w:rsidRDefault="00483613">
            <w:pPr>
              <w:jc w:val="right"/>
              <w:textAlignment w:val="bottom"/>
            </w:pPr>
            <w:r>
              <w:rPr>
                <w:rFonts w:ascii="Arial" w:eastAsia="宋体" w:hAnsi="Arial" w:cs="Arial"/>
                <w:color w:val="000000"/>
                <w:sz w:val="14"/>
                <w:szCs w:val="14"/>
              </w:rPr>
              <w:t>561 </w:t>
            </w:r>
          </w:p>
        </w:tc>
        <w:tc>
          <w:tcPr>
            <w:tcW w:w="0" w:type="auto"/>
            <w:shd w:val="clear" w:color="auto" w:fill="FFFFFF"/>
            <w:tcMar>
              <w:top w:w="40" w:type="dxa"/>
              <w:left w:w="0" w:type="dxa"/>
              <w:bottom w:w="40" w:type="dxa"/>
              <w:right w:w="20" w:type="dxa"/>
            </w:tcMar>
            <w:vAlign w:val="bottom"/>
          </w:tcPr>
          <w:p w14:paraId="392C76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F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F4" w14:textId="77777777" w:rsidR="00980E5F" w:rsidRDefault="00483613">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392C76F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F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F7" w14:textId="77777777" w:rsidR="00980E5F" w:rsidRDefault="00483613">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392C76F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F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FA" w14:textId="77777777" w:rsidR="00980E5F" w:rsidRDefault="00483613">
            <w:pPr>
              <w:jc w:val="right"/>
              <w:textAlignment w:val="bottom"/>
            </w:pPr>
            <w:r>
              <w:rPr>
                <w:rFonts w:ascii="Arial" w:eastAsia="宋体" w:hAnsi="Arial" w:cs="Arial"/>
                <w:color w:val="000000"/>
                <w:sz w:val="14"/>
                <w:szCs w:val="14"/>
              </w:rPr>
              <w:t>204 </w:t>
            </w:r>
          </w:p>
        </w:tc>
        <w:tc>
          <w:tcPr>
            <w:tcW w:w="0" w:type="auto"/>
            <w:shd w:val="clear" w:color="auto" w:fill="FFFFFF"/>
            <w:tcMar>
              <w:top w:w="40" w:type="dxa"/>
              <w:left w:w="0" w:type="dxa"/>
              <w:bottom w:w="40" w:type="dxa"/>
              <w:right w:w="20" w:type="dxa"/>
            </w:tcMar>
            <w:vAlign w:val="bottom"/>
          </w:tcPr>
          <w:p w14:paraId="392C76F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F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6FD" w14:textId="77777777" w:rsidR="00980E5F" w:rsidRDefault="00483613">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392C76F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6FF" w14:textId="77777777" w:rsidR="00980E5F" w:rsidRDefault="00980E5F">
            <w:pPr>
              <w:rPr>
                <w:rFonts w:ascii="宋体"/>
              </w:rPr>
            </w:pPr>
          </w:p>
        </w:tc>
        <w:tc>
          <w:tcPr>
            <w:tcW w:w="0" w:type="auto"/>
            <w:shd w:val="clear" w:color="auto" w:fill="auto"/>
            <w:vAlign w:val="bottom"/>
          </w:tcPr>
          <w:p w14:paraId="392C7700" w14:textId="77777777" w:rsidR="00980E5F" w:rsidRDefault="00980E5F">
            <w:pPr>
              <w:rPr>
                <w:rFonts w:ascii="宋体"/>
                <w:vanish/>
              </w:rPr>
            </w:pPr>
          </w:p>
        </w:tc>
        <w:tc>
          <w:tcPr>
            <w:tcW w:w="0" w:type="auto"/>
            <w:shd w:val="clear" w:color="auto" w:fill="auto"/>
            <w:vAlign w:val="bottom"/>
          </w:tcPr>
          <w:p w14:paraId="392C770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702" w14:textId="77777777" w:rsidR="00980E5F" w:rsidRDefault="00483613">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392C77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705" w14:textId="77777777" w:rsidR="00980E5F" w:rsidRDefault="00483613">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392C77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708" w14:textId="77777777" w:rsidR="00980E5F" w:rsidRDefault="00483613">
            <w:pPr>
              <w:jc w:val="right"/>
              <w:textAlignment w:val="bottom"/>
            </w:pPr>
            <w:r>
              <w:rPr>
                <w:rFonts w:ascii="Arial" w:eastAsia="宋体" w:hAnsi="Arial" w:cs="Arial"/>
                <w:color w:val="000000"/>
                <w:sz w:val="14"/>
                <w:szCs w:val="14"/>
              </w:rPr>
              <w:t>1,436 </w:t>
            </w:r>
          </w:p>
        </w:tc>
        <w:tc>
          <w:tcPr>
            <w:tcW w:w="0" w:type="auto"/>
            <w:shd w:val="clear" w:color="auto" w:fill="FFFFFF"/>
            <w:tcMar>
              <w:top w:w="40" w:type="dxa"/>
              <w:left w:w="0" w:type="dxa"/>
              <w:bottom w:w="40" w:type="dxa"/>
              <w:right w:w="20" w:type="dxa"/>
            </w:tcMar>
            <w:vAlign w:val="bottom"/>
          </w:tcPr>
          <w:p w14:paraId="392C7709" w14:textId="77777777" w:rsidR="00980E5F" w:rsidRDefault="00980E5F">
            <w:pPr>
              <w:jc w:val="right"/>
              <w:rPr>
                <w:rFonts w:ascii="宋体"/>
              </w:rPr>
            </w:pPr>
          </w:p>
        </w:tc>
      </w:tr>
      <w:tr w:rsidR="00980E5F" w14:paraId="392C771D" w14:textId="77777777">
        <w:trPr>
          <w:hidden/>
        </w:trPr>
        <w:tc>
          <w:tcPr>
            <w:tcW w:w="0" w:type="auto"/>
            <w:gridSpan w:val="3"/>
            <w:shd w:val="clear" w:color="auto" w:fill="auto"/>
            <w:vAlign w:val="bottom"/>
          </w:tcPr>
          <w:p w14:paraId="392C770B" w14:textId="77777777" w:rsidR="00980E5F" w:rsidRDefault="00980E5F">
            <w:pPr>
              <w:rPr>
                <w:rFonts w:ascii="宋体"/>
                <w:vanish/>
              </w:rPr>
            </w:pPr>
          </w:p>
        </w:tc>
        <w:tc>
          <w:tcPr>
            <w:tcW w:w="0" w:type="auto"/>
            <w:gridSpan w:val="3"/>
            <w:shd w:val="clear" w:color="auto" w:fill="auto"/>
            <w:vAlign w:val="bottom"/>
          </w:tcPr>
          <w:p w14:paraId="392C770C" w14:textId="77777777" w:rsidR="00980E5F" w:rsidRDefault="00980E5F">
            <w:pPr>
              <w:rPr>
                <w:rFonts w:ascii="宋体"/>
                <w:vanish/>
              </w:rPr>
            </w:pPr>
          </w:p>
        </w:tc>
        <w:tc>
          <w:tcPr>
            <w:tcW w:w="0" w:type="auto"/>
            <w:gridSpan w:val="3"/>
            <w:shd w:val="clear" w:color="auto" w:fill="auto"/>
            <w:vAlign w:val="bottom"/>
          </w:tcPr>
          <w:p w14:paraId="392C770D" w14:textId="77777777" w:rsidR="00980E5F" w:rsidRDefault="00980E5F">
            <w:pPr>
              <w:rPr>
                <w:rFonts w:ascii="宋体"/>
                <w:vanish/>
              </w:rPr>
            </w:pPr>
          </w:p>
        </w:tc>
        <w:tc>
          <w:tcPr>
            <w:tcW w:w="0" w:type="auto"/>
            <w:gridSpan w:val="3"/>
            <w:shd w:val="clear" w:color="auto" w:fill="auto"/>
            <w:vAlign w:val="bottom"/>
          </w:tcPr>
          <w:p w14:paraId="392C770E" w14:textId="77777777" w:rsidR="00980E5F" w:rsidRDefault="00980E5F">
            <w:pPr>
              <w:rPr>
                <w:rFonts w:ascii="宋体"/>
                <w:vanish/>
              </w:rPr>
            </w:pPr>
          </w:p>
        </w:tc>
        <w:tc>
          <w:tcPr>
            <w:tcW w:w="0" w:type="auto"/>
            <w:gridSpan w:val="3"/>
            <w:shd w:val="clear" w:color="auto" w:fill="auto"/>
            <w:vAlign w:val="bottom"/>
          </w:tcPr>
          <w:p w14:paraId="392C770F" w14:textId="77777777" w:rsidR="00980E5F" w:rsidRDefault="00980E5F">
            <w:pPr>
              <w:rPr>
                <w:rFonts w:ascii="宋体"/>
                <w:vanish/>
              </w:rPr>
            </w:pPr>
          </w:p>
        </w:tc>
        <w:tc>
          <w:tcPr>
            <w:tcW w:w="0" w:type="auto"/>
            <w:gridSpan w:val="3"/>
            <w:shd w:val="clear" w:color="auto" w:fill="auto"/>
            <w:vAlign w:val="bottom"/>
          </w:tcPr>
          <w:p w14:paraId="392C7710" w14:textId="77777777" w:rsidR="00980E5F" w:rsidRDefault="00980E5F">
            <w:pPr>
              <w:rPr>
                <w:rFonts w:ascii="宋体"/>
                <w:vanish/>
              </w:rPr>
            </w:pPr>
          </w:p>
        </w:tc>
        <w:tc>
          <w:tcPr>
            <w:tcW w:w="0" w:type="auto"/>
            <w:gridSpan w:val="3"/>
            <w:shd w:val="clear" w:color="auto" w:fill="auto"/>
            <w:vAlign w:val="bottom"/>
          </w:tcPr>
          <w:p w14:paraId="392C7711" w14:textId="77777777" w:rsidR="00980E5F" w:rsidRDefault="00980E5F">
            <w:pPr>
              <w:rPr>
                <w:rFonts w:ascii="宋体"/>
                <w:vanish/>
              </w:rPr>
            </w:pPr>
          </w:p>
        </w:tc>
        <w:tc>
          <w:tcPr>
            <w:tcW w:w="0" w:type="auto"/>
            <w:gridSpan w:val="3"/>
            <w:shd w:val="clear" w:color="auto" w:fill="auto"/>
            <w:vAlign w:val="bottom"/>
          </w:tcPr>
          <w:p w14:paraId="392C7712" w14:textId="77777777" w:rsidR="00980E5F" w:rsidRDefault="00980E5F">
            <w:pPr>
              <w:rPr>
                <w:rFonts w:ascii="宋体"/>
                <w:vanish/>
              </w:rPr>
            </w:pPr>
          </w:p>
        </w:tc>
        <w:tc>
          <w:tcPr>
            <w:tcW w:w="0" w:type="auto"/>
            <w:gridSpan w:val="3"/>
            <w:shd w:val="clear" w:color="auto" w:fill="auto"/>
            <w:vAlign w:val="bottom"/>
          </w:tcPr>
          <w:p w14:paraId="392C7713" w14:textId="77777777" w:rsidR="00980E5F" w:rsidRDefault="00980E5F">
            <w:pPr>
              <w:rPr>
                <w:rFonts w:ascii="宋体"/>
                <w:vanish/>
              </w:rPr>
            </w:pPr>
          </w:p>
        </w:tc>
        <w:tc>
          <w:tcPr>
            <w:tcW w:w="0" w:type="auto"/>
            <w:gridSpan w:val="3"/>
            <w:shd w:val="clear" w:color="auto" w:fill="auto"/>
            <w:vAlign w:val="bottom"/>
          </w:tcPr>
          <w:p w14:paraId="392C7714" w14:textId="77777777" w:rsidR="00980E5F" w:rsidRDefault="00980E5F">
            <w:pPr>
              <w:rPr>
                <w:rFonts w:ascii="宋体"/>
                <w:vanish/>
              </w:rPr>
            </w:pPr>
          </w:p>
        </w:tc>
        <w:tc>
          <w:tcPr>
            <w:tcW w:w="0" w:type="auto"/>
            <w:gridSpan w:val="3"/>
            <w:shd w:val="clear" w:color="auto" w:fill="auto"/>
            <w:vAlign w:val="bottom"/>
          </w:tcPr>
          <w:p w14:paraId="392C7715" w14:textId="77777777" w:rsidR="00980E5F" w:rsidRDefault="00980E5F">
            <w:pPr>
              <w:rPr>
                <w:rFonts w:ascii="宋体"/>
                <w:vanish/>
              </w:rPr>
            </w:pPr>
          </w:p>
        </w:tc>
        <w:tc>
          <w:tcPr>
            <w:tcW w:w="0" w:type="auto"/>
            <w:shd w:val="clear" w:color="auto" w:fill="auto"/>
            <w:vAlign w:val="bottom"/>
          </w:tcPr>
          <w:p w14:paraId="392C7716" w14:textId="77777777" w:rsidR="00980E5F" w:rsidRDefault="00980E5F">
            <w:pPr>
              <w:rPr>
                <w:rFonts w:ascii="宋体"/>
                <w:vanish/>
              </w:rPr>
            </w:pPr>
          </w:p>
        </w:tc>
        <w:tc>
          <w:tcPr>
            <w:tcW w:w="0" w:type="auto"/>
            <w:shd w:val="clear" w:color="auto" w:fill="auto"/>
            <w:vAlign w:val="bottom"/>
          </w:tcPr>
          <w:p w14:paraId="392C7717" w14:textId="77777777" w:rsidR="00980E5F" w:rsidRDefault="00980E5F">
            <w:pPr>
              <w:rPr>
                <w:rFonts w:ascii="宋体"/>
                <w:vanish/>
              </w:rPr>
            </w:pPr>
          </w:p>
        </w:tc>
        <w:tc>
          <w:tcPr>
            <w:tcW w:w="0" w:type="auto"/>
            <w:gridSpan w:val="3"/>
            <w:shd w:val="clear" w:color="auto" w:fill="auto"/>
            <w:vAlign w:val="bottom"/>
          </w:tcPr>
          <w:p w14:paraId="392C7718" w14:textId="77777777" w:rsidR="00980E5F" w:rsidRDefault="00980E5F">
            <w:pPr>
              <w:rPr>
                <w:rFonts w:ascii="宋体"/>
                <w:vanish/>
              </w:rPr>
            </w:pPr>
          </w:p>
        </w:tc>
        <w:tc>
          <w:tcPr>
            <w:tcW w:w="0" w:type="auto"/>
            <w:gridSpan w:val="3"/>
            <w:shd w:val="clear" w:color="auto" w:fill="auto"/>
            <w:vAlign w:val="bottom"/>
          </w:tcPr>
          <w:p w14:paraId="392C7719" w14:textId="77777777" w:rsidR="00980E5F" w:rsidRDefault="00980E5F">
            <w:pPr>
              <w:rPr>
                <w:rFonts w:ascii="宋体"/>
                <w:vanish/>
              </w:rPr>
            </w:pPr>
          </w:p>
        </w:tc>
        <w:tc>
          <w:tcPr>
            <w:tcW w:w="0" w:type="auto"/>
            <w:gridSpan w:val="3"/>
            <w:shd w:val="clear" w:color="auto" w:fill="auto"/>
            <w:vAlign w:val="bottom"/>
          </w:tcPr>
          <w:p w14:paraId="392C771A" w14:textId="77777777" w:rsidR="00980E5F" w:rsidRDefault="00980E5F">
            <w:pPr>
              <w:rPr>
                <w:rFonts w:ascii="宋体"/>
                <w:vanish/>
              </w:rPr>
            </w:pPr>
          </w:p>
        </w:tc>
        <w:tc>
          <w:tcPr>
            <w:tcW w:w="0" w:type="auto"/>
            <w:gridSpan w:val="3"/>
            <w:shd w:val="clear" w:color="auto" w:fill="auto"/>
            <w:vAlign w:val="bottom"/>
          </w:tcPr>
          <w:p w14:paraId="392C771B" w14:textId="77777777" w:rsidR="00980E5F" w:rsidRDefault="00980E5F">
            <w:pPr>
              <w:rPr>
                <w:rFonts w:ascii="宋体"/>
                <w:vanish/>
              </w:rPr>
            </w:pPr>
          </w:p>
        </w:tc>
        <w:tc>
          <w:tcPr>
            <w:tcW w:w="0" w:type="auto"/>
            <w:gridSpan w:val="3"/>
            <w:shd w:val="clear" w:color="auto" w:fill="auto"/>
            <w:vAlign w:val="bottom"/>
          </w:tcPr>
          <w:p w14:paraId="392C771C" w14:textId="77777777" w:rsidR="00980E5F" w:rsidRDefault="00980E5F">
            <w:pPr>
              <w:rPr>
                <w:rFonts w:ascii="宋体"/>
                <w:vanish/>
              </w:rPr>
            </w:pPr>
          </w:p>
        </w:tc>
      </w:tr>
      <w:tr w:rsidR="00980E5F" w14:paraId="392C7730" w14:textId="77777777">
        <w:trPr>
          <w:hidden/>
        </w:trPr>
        <w:tc>
          <w:tcPr>
            <w:tcW w:w="0" w:type="auto"/>
            <w:gridSpan w:val="3"/>
            <w:shd w:val="clear" w:color="auto" w:fill="auto"/>
            <w:vAlign w:val="bottom"/>
          </w:tcPr>
          <w:p w14:paraId="392C771E" w14:textId="77777777" w:rsidR="00980E5F" w:rsidRDefault="00980E5F">
            <w:pPr>
              <w:rPr>
                <w:rFonts w:ascii="宋体"/>
                <w:vanish/>
              </w:rPr>
            </w:pPr>
          </w:p>
        </w:tc>
        <w:tc>
          <w:tcPr>
            <w:tcW w:w="0" w:type="auto"/>
            <w:gridSpan w:val="3"/>
            <w:shd w:val="clear" w:color="auto" w:fill="auto"/>
            <w:vAlign w:val="bottom"/>
          </w:tcPr>
          <w:p w14:paraId="392C771F" w14:textId="77777777" w:rsidR="00980E5F" w:rsidRDefault="00980E5F">
            <w:pPr>
              <w:rPr>
                <w:rFonts w:ascii="宋体"/>
                <w:vanish/>
              </w:rPr>
            </w:pPr>
          </w:p>
        </w:tc>
        <w:tc>
          <w:tcPr>
            <w:tcW w:w="0" w:type="auto"/>
            <w:gridSpan w:val="3"/>
            <w:shd w:val="clear" w:color="auto" w:fill="auto"/>
            <w:vAlign w:val="bottom"/>
          </w:tcPr>
          <w:p w14:paraId="392C7720" w14:textId="77777777" w:rsidR="00980E5F" w:rsidRDefault="00980E5F">
            <w:pPr>
              <w:rPr>
                <w:rFonts w:ascii="宋体"/>
                <w:vanish/>
              </w:rPr>
            </w:pPr>
          </w:p>
        </w:tc>
        <w:tc>
          <w:tcPr>
            <w:tcW w:w="0" w:type="auto"/>
            <w:gridSpan w:val="3"/>
            <w:shd w:val="clear" w:color="auto" w:fill="auto"/>
            <w:vAlign w:val="bottom"/>
          </w:tcPr>
          <w:p w14:paraId="392C7721" w14:textId="77777777" w:rsidR="00980E5F" w:rsidRDefault="00980E5F">
            <w:pPr>
              <w:rPr>
                <w:rFonts w:ascii="宋体"/>
                <w:vanish/>
              </w:rPr>
            </w:pPr>
          </w:p>
        </w:tc>
        <w:tc>
          <w:tcPr>
            <w:tcW w:w="0" w:type="auto"/>
            <w:gridSpan w:val="3"/>
            <w:shd w:val="clear" w:color="auto" w:fill="auto"/>
            <w:vAlign w:val="bottom"/>
          </w:tcPr>
          <w:p w14:paraId="392C7722" w14:textId="77777777" w:rsidR="00980E5F" w:rsidRDefault="00980E5F">
            <w:pPr>
              <w:rPr>
                <w:rFonts w:ascii="宋体"/>
                <w:vanish/>
              </w:rPr>
            </w:pPr>
          </w:p>
        </w:tc>
        <w:tc>
          <w:tcPr>
            <w:tcW w:w="0" w:type="auto"/>
            <w:gridSpan w:val="3"/>
            <w:shd w:val="clear" w:color="auto" w:fill="auto"/>
            <w:vAlign w:val="bottom"/>
          </w:tcPr>
          <w:p w14:paraId="392C7723" w14:textId="77777777" w:rsidR="00980E5F" w:rsidRDefault="00980E5F">
            <w:pPr>
              <w:rPr>
                <w:rFonts w:ascii="宋体"/>
                <w:vanish/>
              </w:rPr>
            </w:pPr>
          </w:p>
        </w:tc>
        <w:tc>
          <w:tcPr>
            <w:tcW w:w="0" w:type="auto"/>
            <w:gridSpan w:val="3"/>
            <w:shd w:val="clear" w:color="auto" w:fill="auto"/>
            <w:vAlign w:val="bottom"/>
          </w:tcPr>
          <w:p w14:paraId="392C7724" w14:textId="77777777" w:rsidR="00980E5F" w:rsidRDefault="00980E5F">
            <w:pPr>
              <w:rPr>
                <w:rFonts w:ascii="宋体"/>
                <w:vanish/>
              </w:rPr>
            </w:pPr>
          </w:p>
        </w:tc>
        <w:tc>
          <w:tcPr>
            <w:tcW w:w="0" w:type="auto"/>
            <w:gridSpan w:val="3"/>
            <w:shd w:val="clear" w:color="auto" w:fill="auto"/>
            <w:vAlign w:val="bottom"/>
          </w:tcPr>
          <w:p w14:paraId="392C7725" w14:textId="77777777" w:rsidR="00980E5F" w:rsidRDefault="00980E5F">
            <w:pPr>
              <w:rPr>
                <w:rFonts w:ascii="宋体"/>
                <w:vanish/>
              </w:rPr>
            </w:pPr>
          </w:p>
        </w:tc>
        <w:tc>
          <w:tcPr>
            <w:tcW w:w="0" w:type="auto"/>
            <w:gridSpan w:val="3"/>
            <w:shd w:val="clear" w:color="auto" w:fill="auto"/>
            <w:vAlign w:val="bottom"/>
          </w:tcPr>
          <w:p w14:paraId="392C7726" w14:textId="77777777" w:rsidR="00980E5F" w:rsidRDefault="00980E5F">
            <w:pPr>
              <w:rPr>
                <w:rFonts w:ascii="宋体"/>
                <w:vanish/>
              </w:rPr>
            </w:pPr>
          </w:p>
        </w:tc>
        <w:tc>
          <w:tcPr>
            <w:tcW w:w="0" w:type="auto"/>
            <w:gridSpan w:val="3"/>
            <w:shd w:val="clear" w:color="auto" w:fill="auto"/>
            <w:vAlign w:val="bottom"/>
          </w:tcPr>
          <w:p w14:paraId="392C7727" w14:textId="77777777" w:rsidR="00980E5F" w:rsidRDefault="00980E5F">
            <w:pPr>
              <w:rPr>
                <w:rFonts w:ascii="宋体"/>
                <w:vanish/>
              </w:rPr>
            </w:pPr>
          </w:p>
        </w:tc>
        <w:tc>
          <w:tcPr>
            <w:tcW w:w="0" w:type="auto"/>
            <w:gridSpan w:val="3"/>
            <w:shd w:val="clear" w:color="auto" w:fill="auto"/>
            <w:vAlign w:val="bottom"/>
          </w:tcPr>
          <w:p w14:paraId="392C7728" w14:textId="77777777" w:rsidR="00980E5F" w:rsidRDefault="00980E5F">
            <w:pPr>
              <w:rPr>
                <w:rFonts w:ascii="宋体"/>
                <w:vanish/>
              </w:rPr>
            </w:pPr>
          </w:p>
        </w:tc>
        <w:tc>
          <w:tcPr>
            <w:tcW w:w="0" w:type="auto"/>
            <w:shd w:val="clear" w:color="auto" w:fill="auto"/>
            <w:vAlign w:val="bottom"/>
          </w:tcPr>
          <w:p w14:paraId="392C7729" w14:textId="77777777" w:rsidR="00980E5F" w:rsidRDefault="00980E5F">
            <w:pPr>
              <w:rPr>
                <w:rFonts w:ascii="宋体"/>
                <w:vanish/>
              </w:rPr>
            </w:pPr>
          </w:p>
        </w:tc>
        <w:tc>
          <w:tcPr>
            <w:tcW w:w="0" w:type="auto"/>
            <w:shd w:val="clear" w:color="auto" w:fill="auto"/>
            <w:vAlign w:val="bottom"/>
          </w:tcPr>
          <w:p w14:paraId="392C772A" w14:textId="77777777" w:rsidR="00980E5F" w:rsidRDefault="00980E5F">
            <w:pPr>
              <w:rPr>
                <w:rFonts w:ascii="宋体"/>
                <w:vanish/>
              </w:rPr>
            </w:pPr>
          </w:p>
        </w:tc>
        <w:tc>
          <w:tcPr>
            <w:tcW w:w="0" w:type="auto"/>
            <w:gridSpan w:val="3"/>
            <w:shd w:val="clear" w:color="auto" w:fill="auto"/>
            <w:vAlign w:val="bottom"/>
          </w:tcPr>
          <w:p w14:paraId="392C772B" w14:textId="77777777" w:rsidR="00980E5F" w:rsidRDefault="00980E5F">
            <w:pPr>
              <w:rPr>
                <w:rFonts w:ascii="宋体"/>
                <w:vanish/>
              </w:rPr>
            </w:pPr>
          </w:p>
        </w:tc>
        <w:tc>
          <w:tcPr>
            <w:tcW w:w="0" w:type="auto"/>
            <w:gridSpan w:val="3"/>
            <w:shd w:val="clear" w:color="auto" w:fill="auto"/>
            <w:vAlign w:val="bottom"/>
          </w:tcPr>
          <w:p w14:paraId="392C772C" w14:textId="77777777" w:rsidR="00980E5F" w:rsidRDefault="00980E5F">
            <w:pPr>
              <w:rPr>
                <w:rFonts w:ascii="宋体"/>
                <w:vanish/>
              </w:rPr>
            </w:pPr>
          </w:p>
        </w:tc>
        <w:tc>
          <w:tcPr>
            <w:tcW w:w="0" w:type="auto"/>
            <w:gridSpan w:val="3"/>
            <w:shd w:val="clear" w:color="auto" w:fill="auto"/>
            <w:vAlign w:val="bottom"/>
          </w:tcPr>
          <w:p w14:paraId="392C772D" w14:textId="77777777" w:rsidR="00980E5F" w:rsidRDefault="00980E5F">
            <w:pPr>
              <w:rPr>
                <w:rFonts w:ascii="宋体"/>
                <w:vanish/>
              </w:rPr>
            </w:pPr>
          </w:p>
        </w:tc>
        <w:tc>
          <w:tcPr>
            <w:tcW w:w="0" w:type="auto"/>
            <w:gridSpan w:val="3"/>
            <w:shd w:val="clear" w:color="auto" w:fill="auto"/>
            <w:vAlign w:val="bottom"/>
          </w:tcPr>
          <w:p w14:paraId="392C772E" w14:textId="77777777" w:rsidR="00980E5F" w:rsidRDefault="00980E5F">
            <w:pPr>
              <w:rPr>
                <w:rFonts w:ascii="宋体"/>
                <w:vanish/>
              </w:rPr>
            </w:pPr>
          </w:p>
        </w:tc>
        <w:tc>
          <w:tcPr>
            <w:tcW w:w="0" w:type="auto"/>
            <w:gridSpan w:val="3"/>
            <w:shd w:val="clear" w:color="auto" w:fill="auto"/>
            <w:vAlign w:val="bottom"/>
          </w:tcPr>
          <w:p w14:paraId="392C772F" w14:textId="77777777" w:rsidR="00980E5F" w:rsidRDefault="00980E5F">
            <w:pPr>
              <w:rPr>
                <w:rFonts w:ascii="宋体"/>
                <w:vanish/>
              </w:rPr>
            </w:pPr>
          </w:p>
        </w:tc>
      </w:tr>
      <w:tr w:rsidR="00980E5F" w14:paraId="392C774B" w14:textId="77777777">
        <w:tc>
          <w:tcPr>
            <w:tcW w:w="0" w:type="auto"/>
            <w:gridSpan w:val="3"/>
            <w:shd w:val="clear" w:color="auto" w:fill="CCEEFF"/>
            <w:tcMar>
              <w:top w:w="40" w:type="dxa"/>
              <w:left w:w="380" w:type="dxa"/>
              <w:bottom w:w="40" w:type="dxa"/>
              <w:right w:w="20" w:type="dxa"/>
            </w:tcMar>
            <w:vAlign w:val="bottom"/>
          </w:tcPr>
          <w:p w14:paraId="392C7731" w14:textId="77777777" w:rsidR="00980E5F" w:rsidRDefault="00483613">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392C773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3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3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3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3B" w14:textId="77777777" w:rsidR="00980E5F" w:rsidRDefault="00483613">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392C77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3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40" w14:textId="77777777" w:rsidR="00980E5F" w:rsidRDefault="00980E5F">
            <w:pPr>
              <w:rPr>
                <w:rFonts w:ascii="宋体"/>
              </w:rPr>
            </w:pPr>
          </w:p>
        </w:tc>
        <w:tc>
          <w:tcPr>
            <w:tcW w:w="0" w:type="auto"/>
            <w:shd w:val="clear" w:color="auto" w:fill="auto"/>
            <w:vAlign w:val="bottom"/>
          </w:tcPr>
          <w:p w14:paraId="392C7741" w14:textId="77777777" w:rsidR="00980E5F" w:rsidRDefault="00980E5F">
            <w:pPr>
              <w:rPr>
                <w:rFonts w:ascii="宋体"/>
                <w:vanish/>
              </w:rPr>
            </w:pPr>
          </w:p>
        </w:tc>
        <w:tc>
          <w:tcPr>
            <w:tcW w:w="0" w:type="auto"/>
            <w:shd w:val="clear" w:color="auto" w:fill="auto"/>
            <w:vAlign w:val="bottom"/>
          </w:tcPr>
          <w:p w14:paraId="392C774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74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4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4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7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74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749" w14:textId="77777777" w:rsidR="00980E5F" w:rsidRDefault="00483613">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392C774A" w14:textId="77777777" w:rsidR="00980E5F" w:rsidRDefault="00980E5F">
            <w:pPr>
              <w:jc w:val="right"/>
              <w:rPr>
                <w:rFonts w:ascii="宋体"/>
              </w:rPr>
            </w:pPr>
          </w:p>
        </w:tc>
      </w:tr>
      <w:tr w:rsidR="00980E5F" w14:paraId="392C775E" w14:textId="77777777">
        <w:trPr>
          <w:hidden/>
        </w:trPr>
        <w:tc>
          <w:tcPr>
            <w:tcW w:w="0" w:type="auto"/>
            <w:gridSpan w:val="3"/>
            <w:shd w:val="clear" w:color="auto" w:fill="auto"/>
            <w:vAlign w:val="bottom"/>
          </w:tcPr>
          <w:p w14:paraId="392C774C" w14:textId="77777777" w:rsidR="00980E5F" w:rsidRDefault="00980E5F">
            <w:pPr>
              <w:rPr>
                <w:rFonts w:ascii="宋体"/>
                <w:vanish/>
              </w:rPr>
            </w:pPr>
          </w:p>
        </w:tc>
        <w:tc>
          <w:tcPr>
            <w:tcW w:w="0" w:type="auto"/>
            <w:gridSpan w:val="3"/>
            <w:shd w:val="clear" w:color="auto" w:fill="auto"/>
            <w:vAlign w:val="bottom"/>
          </w:tcPr>
          <w:p w14:paraId="392C774D" w14:textId="77777777" w:rsidR="00980E5F" w:rsidRDefault="00980E5F">
            <w:pPr>
              <w:rPr>
                <w:rFonts w:ascii="宋体"/>
                <w:vanish/>
              </w:rPr>
            </w:pPr>
          </w:p>
        </w:tc>
        <w:tc>
          <w:tcPr>
            <w:tcW w:w="0" w:type="auto"/>
            <w:gridSpan w:val="3"/>
            <w:shd w:val="clear" w:color="auto" w:fill="auto"/>
            <w:vAlign w:val="bottom"/>
          </w:tcPr>
          <w:p w14:paraId="392C774E" w14:textId="77777777" w:rsidR="00980E5F" w:rsidRDefault="00980E5F">
            <w:pPr>
              <w:rPr>
                <w:rFonts w:ascii="宋体"/>
                <w:vanish/>
              </w:rPr>
            </w:pPr>
          </w:p>
        </w:tc>
        <w:tc>
          <w:tcPr>
            <w:tcW w:w="0" w:type="auto"/>
            <w:gridSpan w:val="3"/>
            <w:shd w:val="clear" w:color="auto" w:fill="auto"/>
            <w:vAlign w:val="bottom"/>
          </w:tcPr>
          <w:p w14:paraId="392C774F" w14:textId="77777777" w:rsidR="00980E5F" w:rsidRDefault="00980E5F">
            <w:pPr>
              <w:rPr>
                <w:rFonts w:ascii="宋体"/>
                <w:vanish/>
              </w:rPr>
            </w:pPr>
          </w:p>
        </w:tc>
        <w:tc>
          <w:tcPr>
            <w:tcW w:w="0" w:type="auto"/>
            <w:gridSpan w:val="3"/>
            <w:shd w:val="clear" w:color="auto" w:fill="auto"/>
            <w:vAlign w:val="bottom"/>
          </w:tcPr>
          <w:p w14:paraId="392C7750" w14:textId="77777777" w:rsidR="00980E5F" w:rsidRDefault="00980E5F">
            <w:pPr>
              <w:rPr>
                <w:rFonts w:ascii="宋体"/>
                <w:vanish/>
              </w:rPr>
            </w:pPr>
          </w:p>
        </w:tc>
        <w:tc>
          <w:tcPr>
            <w:tcW w:w="0" w:type="auto"/>
            <w:gridSpan w:val="3"/>
            <w:shd w:val="clear" w:color="auto" w:fill="auto"/>
            <w:vAlign w:val="bottom"/>
          </w:tcPr>
          <w:p w14:paraId="392C7751" w14:textId="77777777" w:rsidR="00980E5F" w:rsidRDefault="00980E5F">
            <w:pPr>
              <w:rPr>
                <w:rFonts w:ascii="宋体"/>
                <w:vanish/>
              </w:rPr>
            </w:pPr>
          </w:p>
        </w:tc>
        <w:tc>
          <w:tcPr>
            <w:tcW w:w="0" w:type="auto"/>
            <w:gridSpan w:val="3"/>
            <w:shd w:val="clear" w:color="auto" w:fill="auto"/>
            <w:vAlign w:val="bottom"/>
          </w:tcPr>
          <w:p w14:paraId="392C7752" w14:textId="77777777" w:rsidR="00980E5F" w:rsidRDefault="00980E5F">
            <w:pPr>
              <w:rPr>
                <w:rFonts w:ascii="宋体"/>
                <w:vanish/>
              </w:rPr>
            </w:pPr>
          </w:p>
        </w:tc>
        <w:tc>
          <w:tcPr>
            <w:tcW w:w="0" w:type="auto"/>
            <w:gridSpan w:val="3"/>
            <w:shd w:val="clear" w:color="auto" w:fill="auto"/>
            <w:vAlign w:val="bottom"/>
          </w:tcPr>
          <w:p w14:paraId="392C7753" w14:textId="77777777" w:rsidR="00980E5F" w:rsidRDefault="00980E5F">
            <w:pPr>
              <w:rPr>
                <w:rFonts w:ascii="宋体"/>
                <w:vanish/>
              </w:rPr>
            </w:pPr>
          </w:p>
        </w:tc>
        <w:tc>
          <w:tcPr>
            <w:tcW w:w="0" w:type="auto"/>
            <w:gridSpan w:val="3"/>
            <w:shd w:val="clear" w:color="auto" w:fill="auto"/>
            <w:vAlign w:val="bottom"/>
          </w:tcPr>
          <w:p w14:paraId="392C7754" w14:textId="77777777" w:rsidR="00980E5F" w:rsidRDefault="00980E5F">
            <w:pPr>
              <w:rPr>
                <w:rFonts w:ascii="宋体"/>
                <w:vanish/>
              </w:rPr>
            </w:pPr>
          </w:p>
        </w:tc>
        <w:tc>
          <w:tcPr>
            <w:tcW w:w="0" w:type="auto"/>
            <w:gridSpan w:val="3"/>
            <w:shd w:val="clear" w:color="auto" w:fill="auto"/>
            <w:vAlign w:val="bottom"/>
          </w:tcPr>
          <w:p w14:paraId="392C7755" w14:textId="77777777" w:rsidR="00980E5F" w:rsidRDefault="00980E5F">
            <w:pPr>
              <w:rPr>
                <w:rFonts w:ascii="宋体"/>
                <w:vanish/>
              </w:rPr>
            </w:pPr>
          </w:p>
        </w:tc>
        <w:tc>
          <w:tcPr>
            <w:tcW w:w="0" w:type="auto"/>
            <w:gridSpan w:val="3"/>
            <w:shd w:val="clear" w:color="auto" w:fill="auto"/>
            <w:vAlign w:val="bottom"/>
          </w:tcPr>
          <w:p w14:paraId="392C7756" w14:textId="77777777" w:rsidR="00980E5F" w:rsidRDefault="00980E5F">
            <w:pPr>
              <w:rPr>
                <w:rFonts w:ascii="宋体"/>
                <w:vanish/>
              </w:rPr>
            </w:pPr>
          </w:p>
        </w:tc>
        <w:tc>
          <w:tcPr>
            <w:tcW w:w="0" w:type="auto"/>
            <w:shd w:val="clear" w:color="auto" w:fill="auto"/>
            <w:vAlign w:val="bottom"/>
          </w:tcPr>
          <w:p w14:paraId="392C7757" w14:textId="77777777" w:rsidR="00980E5F" w:rsidRDefault="00980E5F">
            <w:pPr>
              <w:rPr>
                <w:rFonts w:ascii="宋体"/>
                <w:vanish/>
              </w:rPr>
            </w:pPr>
          </w:p>
        </w:tc>
        <w:tc>
          <w:tcPr>
            <w:tcW w:w="0" w:type="auto"/>
            <w:shd w:val="clear" w:color="auto" w:fill="auto"/>
            <w:vAlign w:val="bottom"/>
          </w:tcPr>
          <w:p w14:paraId="392C7758" w14:textId="77777777" w:rsidR="00980E5F" w:rsidRDefault="00980E5F">
            <w:pPr>
              <w:rPr>
                <w:rFonts w:ascii="宋体"/>
                <w:vanish/>
              </w:rPr>
            </w:pPr>
          </w:p>
        </w:tc>
        <w:tc>
          <w:tcPr>
            <w:tcW w:w="0" w:type="auto"/>
            <w:gridSpan w:val="3"/>
            <w:shd w:val="clear" w:color="auto" w:fill="auto"/>
            <w:vAlign w:val="bottom"/>
          </w:tcPr>
          <w:p w14:paraId="392C7759" w14:textId="77777777" w:rsidR="00980E5F" w:rsidRDefault="00980E5F">
            <w:pPr>
              <w:rPr>
                <w:rFonts w:ascii="宋体"/>
                <w:vanish/>
              </w:rPr>
            </w:pPr>
          </w:p>
        </w:tc>
        <w:tc>
          <w:tcPr>
            <w:tcW w:w="0" w:type="auto"/>
            <w:gridSpan w:val="3"/>
            <w:shd w:val="clear" w:color="auto" w:fill="auto"/>
            <w:vAlign w:val="bottom"/>
          </w:tcPr>
          <w:p w14:paraId="392C775A" w14:textId="77777777" w:rsidR="00980E5F" w:rsidRDefault="00980E5F">
            <w:pPr>
              <w:rPr>
                <w:rFonts w:ascii="宋体"/>
                <w:vanish/>
              </w:rPr>
            </w:pPr>
          </w:p>
        </w:tc>
        <w:tc>
          <w:tcPr>
            <w:tcW w:w="0" w:type="auto"/>
            <w:gridSpan w:val="3"/>
            <w:shd w:val="clear" w:color="auto" w:fill="auto"/>
            <w:vAlign w:val="bottom"/>
          </w:tcPr>
          <w:p w14:paraId="392C775B" w14:textId="77777777" w:rsidR="00980E5F" w:rsidRDefault="00980E5F">
            <w:pPr>
              <w:rPr>
                <w:rFonts w:ascii="宋体"/>
                <w:vanish/>
              </w:rPr>
            </w:pPr>
          </w:p>
        </w:tc>
        <w:tc>
          <w:tcPr>
            <w:tcW w:w="0" w:type="auto"/>
            <w:gridSpan w:val="3"/>
            <w:shd w:val="clear" w:color="auto" w:fill="auto"/>
            <w:vAlign w:val="bottom"/>
          </w:tcPr>
          <w:p w14:paraId="392C775C" w14:textId="77777777" w:rsidR="00980E5F" w:rsidRDefault="00980E5F">
            <w:pPr>
              <w:rPr>
                <w:rFonts w:ascii="宋体"/>
                <w:vanish/>
              </w:rPr>
            </w:pPr>
          </w:p>
        </w:tc>
        <w:tc>
          <w:tcPr>
            <w:tcW w:w="0" w:type="auto"/>
            <w:gridSpan w:val="3"/>
            <w:shd w:val="clear" w:color="auto" w:fill="auto"/>
            <w:vAlign w:val="bottom"/>
          </w:tcPr>
          <w:p w14:paraId="392C775D" w14:textId="77777777" w:rsidR="00980E5F" w:rsidRDefault="00980E5F">
            <w:pPr>
              <w:rPr>
                <w:rFonts w:ascii="宋体"/>
                <w:vanish/>
              </w:rPr>
            </w:pPr>
          </w:p>
        </w:tc>
      </w:tr>
      <w:tr w:rsidR="00980E5F" w14:paraId="392C7781" w14:textId="77777777">
        <w:tc>
          <w:tcPr>
            <w:tcW w:w="0" w:type="auto"/>
            <w:gridSpan w:val="3"/>
            <w:shd w:val="clear" w:color="auto" w:fill="FFFFFF"/>
            <w:tcMar>
              <w:top w:w="40" w:type="dxa"/>
              <w:left w:w="155" w:type="dxa"/>
              <w:bottom w:w="40" w:type="dxa"/>
              <w:right w:w="20" w:type="dxa"/>
            </w:tcMar>
            <w:vAlign w:val="bottom"/>
          </w:tcPr>
          <w:p w14:paraId="392C775F" w14:textId="77777777" w:rsidR="00980E5F" w:rsidRDefault="00483613">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776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61" w14:textId="77777777" w:rsidR="00980E5F" w:rsidRDefault="00483613">
            <w:pPr>
              <w:jc w:val="right"/>
              <w:textAlignment w:val="bottom"/>
            </w:pPr>
            <w:r>
              <w:rPr>
                <w:rFonts w:ascii="Arial" w:eastAsia="宋体" w:hAnsi="Arial" w:cs="Arial"/>
                <w:color w:val="000000"/>
                <w:sz w:val="14"/>
                <w:szCs w:val="14"/>
              </w:rPr>
              <w:t>4,648 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6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6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65" w14:textId="77777777" w:rsidR="00980E5F" w:rsidRDefault="00483613">
            <w:pPr>
              <w:jc w:val="right"/>
              <w:textAlignment w:val="bottom"/>
            </w:pPr>
            <w:r>
              <w:rPr>
                <w:rFonts w:ascii="Arial" w:eastAsia="宋体" w:hAnsi="Arial" w:cs="Arial"/>
                <w:color w:val="000000"/>
                <w:sz w:val="14"/>
                <w:szCs w:val="14"/>
              </w:rPr>
              <w:t>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6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6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69" w14:textId="77777777" w:rsidR="00980E5F" w:rsidRDefault="00483613">
            <w:pPr>
              <w:jc w:val="right"/>
              <w:textAlignment w:val="bottom"/>
            </w:pPr>
            <w:r>
              <w:rPr>
                <w:rFonts w:ascii="Arial" w:eastAsia="宋体" w:hAnsi="Arial" w:cs="Arial"/>
                <w:color w:val="000000"/>
                <w:sz w:val="14"/>
                <w:szCs w:val="14"/>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6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6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6D" w14:textId="77777777" w:rsidR="00980E5F" w:rsidRDefault="00483613">
            <w:pPr>
              <w:jc w:val="right"/>
              <w:textAlignment w:val="bottom"/>
            </w:pPr>
            <w:r>
              <w:rPr>
                <w:rFonts w:ascii="Arial" w:eastAsia="宋体" w:hAnsi="Arial" w:cs="Arial"/>
                <w:color w:val="000000"/>
                <w:sz w:val="14"/>
                <w:szCs w:val="14"/>
              </w:rPr>
              <w:t>228 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6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7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71" w14:textId="77777777" w:rsidR="00980E5F" w:rsidRDefault="00483613">
            <w:pPr>
              <w:jc w:val="right"/>
              <w:textAlignment w:val="bottom"/>
            </w:pPr>
            <w:r>
              <w:rPr>
                <w:rFonts w:ascii="Arial" w:eastAsia="宋体" w:hAnsi="Arial" w:cs="Arial"/>
                <w:color w:val="000000"/>
                <w:sz w:val="14"/>
                <w:szCs w:val="14"/>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73" w14:textId="77777777" w:rsidR="00980E5F" w:rsidRDefault="00980E5F">
            <w:pPr>
              <w:rPr>
                <w:rFonts w:ascii="宋体"/>
              </w:rPr>
            </w:pPr>
          </w:p>
        </w:tc>
        <w:tc>
          <w:tcPr>
            <w:tcW w:w="0" w:type="auto"/>
            <w:shd w:val="clear" w:color="auto" w:fill="auto"/>
            <w:vAlign w:val="bottom"/>
          </w:tcPr>
          <w:p w14:paraId="392C7774" w14:textId="77777777" w:rsidR="00980E5F" w:rsidRDefault="00980E5F">
            <w:pPr>
              <w:rPr>
                <w:rFonts w:ascii="宋体"/>
                <w:vanish/>
              </w:rPr>
            </w:pPr>
          </w:p>
        </w:tc>
        <w:tc>
          <w:tcPr>
            <w:tcW w:w="0" w:type="auto"/>
            <w:shd w:val="clear" w:color="auto" w:fill="auto"/>
            <w:vAlign w:val="bottom"/>
          </w:tcPr>
          <w:p w14:paraId="392C7775" w14:textId="77777777" w:rsidR="00980E5F" w:rsidRDefault="00980E5F">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7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77" w14:textId="77777777" w:rsidR="00980E5F" w:rsidRDefault="00483613">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79"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7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7B" w14:textId="77777777" w:rsidR="00980E5F" w:rsidRDefault="00483613">
            <w:pPr>
              <w:jc w:val="right"/>
              <w:textAlignment w:val="bottom"/>
            </w:pPr>
            <w:r>
              <w:rPr>
                <w:rFonts w:ascii="Arial" w:eastAsia="宋体" w:hAnsi="Arial" w:cs="Arial"/>
                <w:color w:val="000000"/>
                <w:sz w:val="14"/>
                <w:szCs w:val="14"/>
              </w:rPr>
              <w:t>4,918 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77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777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777F" w14:textId="77777777" w:rsidR="00980E5F" w:rsidRDefault="00483613">
            <w:pPr>
              <w:jc w:val="right"/>
              <w:textAlignment w:val="bottom"/>
            </w:pPr>
            <w:r>
              <w:rPr>
                <w:rFonts w:ascii="Arial" w:eastAsia="宋体" w:hAnsi="Arial" w:cs="Arial"/>
                <w:color w:val="000000"/>
                <w:sz w:val="14"/>
                <w:szCs w:val="14"/>
              </w:rPr>
              <w:t>10,410 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7780" w14:textId="77777777" w:rsidR="00980E5F" w:rsidRDefault="00980E5F">
            <w:pPr>
              <w:jc w:val="right"/>
              <w:rPr>
                <w:rFonts w:ascii="宋体"/>
              </w:rPr>
            </w:pPr>
          </w:p>
        </w:tc>
      </w:tr>
      <w:tr w:rsidR="00980E5F" w14:paraId="392C7794" w14:textId="77777777">
        <w:trPr>
          <w:trHeight w:val="220"/>
        </w:trPr>
        <w:tc>
          <w:tcPr>
            <w:tcW w:w="0" w:type="auto"/>
            <w:gridSpan w:val="3"/>
            <w:shd w:val="clear" w:color="auto" w:fill="CCEEFF"/>
            <w:tcMar>
              <w:top w:w="0" w:type="dxa"/>
              <w:left w:w="20" w:type="dxa"/>
              <w:bottom w:w="0" w:type="dxa"/>
              <w:right w:w="20" w:type="dxa"/>
            </w:tcMar>
            <w:vAlign w:val="bottom"/>
          </w:tcPr>
          <w:p w14:paraId="392C7782"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84"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86"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88"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8A"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8C" w14:textId="77777777" w:rsidR="00980E5F" w:rsidRDefault="00980E5F">
            <w:pPr>
              <w:rPr>
                <w:rFonts w:ascii="宋体"/>
              </w:rPr>
            </w:pPr>
          </w:p>
        </w:tc>
        <w:tc>
          <w:tcPr>
            <w:tcW w:w="0" w:type="auto"/>
            <w:shd w:val="clear" w:color="auto" w:fill="auto"/>
            <w:vAlign w:val="bottom"/>
          </w:tcPr>
          <w:p w14:paraId="392C778D" w14:textId="77777777" w:rsidR="00980E5F" w:rsidRDefault="00980E5F">
            <w:pPr>
              <w:rPr>
                <w:rFonts w:ascii="宋体"/>
                <w:vanish/>
              </w:rPr>
            </w:pPr>
          </w:p>
        </w:tc>
        <w:tc>
          <w:tcPr>
            <w:tcW w:w="0" w:type="auto"/>
            <w:shd w:val="clear" w:color="auto" w:fill="auto"/>
            <w:vAlign w:val="bottom"/>
          </w:tcPr>
          <w:p w14:paraId="392C778E" w14:textId="77777777" w:rsidR="00980E5F" w:rsidRDefault="00980E5F">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8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90"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9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7792"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7793" w14:textId="77777777" w:rsidR="00980E5F" w:rsidRDefault="00980E5F">
            <w:pPr>
              <w:rPr>
                <w:rFonts w:ascii="宋体"/>
              </w:rPr>
            </w:pPr>
          </w:p>
        </w:tc>
      </w:tr>
      <w:tr w:rsidR="00980E5F" w14:paraId="392C77A7" w14:textId="77777777">
        <w:trPr>
          <w:hidden/>
        </w:trPr>
        <w:tc>
          <w:tcPr>
            <w:tcW w:w="0" w:type="auto"/>
            <w:gridSpan w:val="3"/>
            <w:shd w:val="clear" w:color="auto" w:fill="auto"/>
            <w:vAlign w:val="bottom"/>
          </w:tcPr>
          <w:p w14:paraId="392C7795" w14:textId="77777777" w:rsidR="00980E5F" w:rsidRDefault="00980E5F">
            <w:pPr>
              <w:rPr>
                <w:rFonts w:ascii="宋体"/>
                <w:vanish/>
              </w:rPr>
            </w:pPr>
          </w:p>
        </w:tc>
        <w:tc>
          <w:tcPr>
            <w:tcW w:w="0" w:type="auto"/>
            <w:gridSpan w:val="3"/>
            <w:shd w:val="clear" w:color="auto" w:fill="auto"/>
            <w:vAlign w:val="bottom"/>
          </w:tcPr>
          <w:p w14:paraId="392C7796" w14:textId="77777777" w:rsidR="00980E5F" w:rsidRDefault="00980E5F">
            <w:pPr>
              <w:rPr>
                <w:rFonts w:ascii="宋体"/>
                <w:vanish/>
              </w:rPr>
            </w:pPr>
          </w:p>
        </w:tc>
        <w:tc>
          <w:tcPr>
            <w:tcW w:w="0" w:type="auto"/>
            <w:gridSpan w:val="3"/>
            <w:shd w:val="clear" w:color="auto" w:fill="auto"/>
            <w:vAlign w:val="bottom"/>
          </w:tcPr>
          <w:p w14:paraId="392C7797" w14:textId="77777777" w:rsidR="00980E5F" w:rsidRDefault="00980E5F">
            <w:pPr>
              <w:rPr>
                <w:rFonts w:ascii="宋体"/>
                <w:vanish/>
              </w:rPr>
            </w:pPr>
          </w:p>
        </w:tc>
        <w:tc>
          <w:tcPr>
            <w:tcW w:w="0" w:type="auto"/>
            <w:gridSpan w:val="3"/>
            <w:shd w:val="clear" w:color="auto" w:fill="auto"/>
            <w:vAlign w:val="bottom"/>
          </w:tcPr>
          <w:p w14:paraId="392C7798" w14:textId="77777777" w:rsidR="00980E5F" w:rsidRDefault="00980E5F">
            <w:pPr>
              <w:rPr>
                <w:rFonts w:ascii="宋体"/>
                <w:vanish/>
              </w:rPr>
            </w:pPr>
          </w:p>
        </w:tc>
        <w:tc>
          <w:tcPr>
            <w:tcW w:w="0" w:type="auto"/>
            <w:gridSpan w:val="3"/>
            <w:shd w:val="clear" w:color="auto" w:fill="auto"/>
            <w:vAlign w:val="bottom"/>
          </w:tcPr>
          <w:p w14:paraId="392C7799" w14:textId="77777777" w:rsidR="00980E5F" w:rsidRDefault="00980E5F">
            <w:pPr>
              <w:rPr>
                <w:rFonts w:ascii="宋体"/>
                <w:vanish/>
              </w:rPr>
            </w:pPr>
          </w:p>
        </w:tc>
        <w:tc>
          <w:tcPr>
            <w:tcW w:w="0" w:type="auto"/>
            <w:gridSpan w:val="3"/>
            <w:shd w:val="clear" w:color="auto" w:fill="auto"/>
            <w:vAlign w:val="bottom"/>
          </w:tcPr>
          <w:p w14:paraId="392C779A" w14:textId="77777777" w:rsidR="00980E5F" w:rsidRDefault="00980E5F">
            <w:pPr>
              <w:rPr>
                <w:rFonts w:ascii="宋体"/>
                <w:vanish/>
              </w:rPr>
            </w:pPr>
          </w:p>
        </w:tc>
        <w:tc>
          <w:tcPr>
            <w:tcW w:w="0" w:type="auto"/>
            <w:gridSpan w:val="3"/>
            <w:shd w:val="clear" w:color="auto" w:fill="auto"/>
            <w:vAlign w:val="bottom"/>
          </w:tcPr>
          <w:p w14:paraId="392C779B" w14:textId="77777777" w:rsidR="00980E5F" w:rsidRDefault="00980E5F">
            <w:pPr>
              <w:rPr>
                <w:rFonts w:ascii="宋体"/>
                <w:vanish/>
              </w:rPr>
            </w:pPr>
          </w:p>
        </w:tc>
        <w:tc>
          <w:tcPr>
            <w:tcW w:w="0" w:type="auto"/>
            <w:gridSpan w:val="3"/>
            <w:shd w:val="clear" w:color="auto" w:fill="auto"/>
            <w:vAlign w:val="bottom"/>
          </w:tcPr>
          <w:p w14:paraId="392C779C" w14:textId="77777777" w:rsidR="00980E5F" w:rsidRDefault="00980E5F">
            <w:pPr>
              <w:rPr>
                <w:rFonts w:ascii="宋体"/>
                <w:vanish/>
              </w:rPr>
            </w:pPr>
          </w:p>
        </w:tc>
        <w:tc>
          <w:tcPr>
            <w:tcW w:w="0" w:type="auto"/>
            <w:gridSpan w:val="3"/>
            <w:shd w:val="clear" w:color="auto" w:fill="auto"/>
            <w:vAlign w:val="bottom"/>
          </w:tcPr>
          <w:p w14:paraId="392C779D" w14:textId="77777777" w:rsidR="00980E5F" w:rsidRDefault="00980E5F">
            <w:pPr>
              <w:rPr>
                <w:rFonts w:ascii="宋体"/>
                <w:vanish/>
              </w:rPr>
            </w:pPr>
          </w:p>
        </w:tc>
        <w:tc>
          <w:tcPr>
            <w:tcW w:w="0" w:type="auto"/>
            <w:gridSpan w:val="3"/>
            <w:shd w:val="clear" w:color="auto" w:fill="auto"/>
            <w:vAlign w:val="bottom"/>
          </w:tcPr>
          <w:p w14:paraId="392C779E" w14:textId="77777777" w:rsidR="00980E5F" w:rsidRDefault="00980E5F">
            <w:pPr>
              <w:rPr>
                <w:rFonts w:ascii="宋体"/>
                <w:vanish/>
              </w:rPr>
            </w:pPr>
          </w:p>
        </w:tc>
        <w:tc>
          <w:tcPr>
            <w:tcW w:w="0" w:type="auto"/>
            <w:gridSpan w:val="3"/>
            <w:shd w:val="clear" w:color="auto" w:fill="auto"/>
            <w:vAlign w:val="bottom"/>
          </w:tcPr>
          <w:p w14:paraId="392C779F" w14:textId="77777777" w:rsidR="00980E5F" w:rsidRDefault="00980E5F">
            <w:pPr>
              <w:rPr>
                <w:rFonts w:ascii="宋体"/>
                <w:vanish/>
              </w:rPr>
            </w:pPr>
          </w:p>
        </w:tc>
        <w:tc>
          <w:tcPr>
            <w:tcW w:w="0" w:type="auto"/>
            <w:shd w:val="clear" w:color="auto" w:fill="auto"/>
            <w:vAlign w:val="bottom"/>
          </w:tcPr>
          <w:p w14:paraId="392C77A0" w14:textId="77777777" w:rsidR="00980E5F" w:rsidRDefault="00980E5F">
            <w:pPr>
              <w:rPr>
                <w:rFonts w:ascii="宋体"/>
                <w:vanish/>
              </w:rPr>
            </w:pPr>
          </w:p>
        </w:tc>
        <w:tc>
          <w:tcPr>
            <w:tcW w:w="0" w:type="auto"/>
            <w:shd w:val="clear" w:color="auto" w:fill="auto"/>
            <w:vAlign w:val="bottom"/>
          </w:tcPr>
          <w:p w14:paraId="392C77A1" w14:textId="77777777" w:rsidR="00980E5F" w:rsidRDefault="00980E5F">
            <w:pPr>
              <w:rPr>
                <w:rFonts w:ascii="宋体"/>
                <w:vanish/>
              </w:rPr>
            </w:pPr>
          </w:p>
        </w:tc>
        <w:tc>
          <w:tcPr>
            <w:tcW w:w="0" w:type="auto"/>
            <w:gridSpan w:val="3"/>
            <w:shd w:val="clear" w:color="auto" w:fill="auto"/>
            <w:vAlign w:val="bottom"/>
          </w:tcPr>
          <w:p w14:paraId="392C77A2" w14:textId="77777777" w:rsidR="00980E5F" w:rsidRDefault="00980E5F">
            <w:pPr>
              <w:rPr>
                <w:rFonts w:ascii="宋体"/>
                <w:vanish/>
              </w:rPr>
            </w:pPr>
          </w:p>
        </w:tc>
        <w:tc>
          <w:tcPr>
            <w:tcW w:w="0" w:type="auto"/>
            <w:gridSpan w:val="3"/>
            <w:shd w:val="clear" w:color="auto" w:fill="auto"/>
            <w:vAlign w:val="bottom"/>
          </w:tcPr>
          <w:p w14:paraId="392C77A3" w14:textId="77777777" w:rsidR="00980E5F" w:rsidRDefault="00980E5F">
            <w:pPr>
              <w:rPr>
                <w:rFonts w:ascii="宋体"/>
                <w:vanish/>
              </w:rPr>
            </w:pPr>
          </w:p>
        </w:tc>
        <w:tc>
          <w:tcPr>
            <w:tcW w:w="0" w:type="auto"/>
            <w:gridSpan w:val="3"/>
            <w:shd w:val="clear" w:color="auto" w:fill="auto"/>
            <w:vAlign w:val="bottom"/>
          </w:tcPr>
          <w:p w14:paraId="392C77A4" w14:textId="77777777" w:rsidR="00980E5F" w:rsidRDefault="00980E5F">
            <w:pPr>
              <w:rPr>
                <w:rFonts w:ascii="宋体"/>
                <w:vanish/>
              </w:rPr>
            </w:pPr>
          </w:p>
        </w:tc>
        <w:tc>
          <w:tcPr>
            <w:tcW w:w="0" w:type="auto"/>
            <w:gridSpan w:val="3"/>
            <w:shd w:val="clear" w:color="auto" w:fill="auto"/>
            <w:vAlign w:val="bottom"/>
          </w:tcPr>
          <w:p w14:paraId="392C77A5" w14:textId="77777777" w:rsidR="00980E5F" w:rsidRDefault="00980E5F">
            <w:pPr>
              <w:rPr>
                <w:rFonts w:ascii="宋体"/>
                <w:vanish/>
              </w:rPr>
            </w:pPr>
          </w:p>
        </w:tc>
        <w:tc>
          <w:tcPr>
            <w:tcW w:w="0" w:type="auto"/>
            <w:gridSpan w:val="3"/>
            <w:shd w:val="clear" w:color="auto" w:fill="auto"/>
            <w:vAlign w:val="bottom"/>
          </w:tcPr>
          <w:p w14:paraId="392C77A6" w14:textId="77777777" w:rsidR="00980E5F" w:rsidRDefault="00980E5F">
            <w:pPr>
              <w:rPr>
                <w:rFonts w:ascii="宋体"/>
                <w:vanish/>
              </w:rPr>
            </w:pPr>
          </w:p>
        </w:tc>
      </w:tr>
      <w:tr w:rsidR="00980E5F" w14:paraId="392C77BA" w14:textId="77777777">
        <w:trPr>
          <w:hidden/>
        </w:trPr>
        <w:tc>
          <w:tcPr>
            <w:tcW w:w="0" w:type="auto"/>
            <w:gridSpan w:val="3"/>
            <w:shd w:val="clear" w:color="auto" w:fill="auto"/>
            <w:vAlign w:val="bottom"/>
          </w:tcPr>
          <w:p w14:paraId="392C77A8" w14:textId="77777777" w:rsidR="00980E5F" w:rsidRDefault="00980E5F">
            <w:pPr>
              <w:rPr>
                <w:rFonts w:ascii="宋体"/>
                <w:vanish/>
              </w:rPr>
            </w:pPr>
          </w:p>
        </w:tc>
        <w:tc>
          <w:tcPr>
            <w:tcW w:w="0" w:type="auto"/>
            <w:gridSpan w:val="3"/>
            <w:shd w:val="clear" w:color="auto" w:fill="auto"/>
            <w:vAlign w:val="bottom"/>
          </w:tcPr>
          <w:p w14:paraId="392C77A9" w14:textId="77777777" w:rsidR="00980E5F" w:rsidRDefault="00980E5F">
            <w:pPr>
              <w:rPr>
                <w:rFonts w:ascii="宋体"/>
                <w:vanish/>
              </w:rPr>
            </w:pPr>
          </w:p>
        </w:tc>
        <w:tc>
          <w:tcPr>
            <w:tcW w:w="0" w:type="auto"/>
            <w:gridSpan w:val="3"/>
            <w:shd w:val="clear" w:color="auto" w:fill="auto"/>
            <w:vAlign w:val="bottom"/>
          </w:tcPr>
          <w:p w14:paraId="392C77AA" w14:textId="77777777" w:rsidR="00980E5F" w:rsidRDefault="00980E5F">
            <w:pPr>
              <w:rPr>
                <w:rFonts w:ascii="宋体"/>
                <w:vanish/>
              </w:rPr>
            </w:pPr>
          </w:p>
        </w:tc>
        <w:tc>
          <w:tcPr>
            <w:tcW w:w="0" w:type="auto"/>
            <w:gridSpan w:val="3"/>
            <w:shd w:val="clear" w:color="auto" w:fill="auto"/>
            <w:vAlign w:val="bottom"/>
          </w:tcPr>
          <w:p w14:paraId="392C77AB" w14:textId="77777777" w:rsidR="00980E5F" w:rsidRDefault="00980E5F">
            <w:pPr>
              <w:rPr>
                <w:rFonts w:ascii="宋体"/>
                <w:vanish/>
              </w:rPr>
            </w:pPr>
          </w:p>
        </w:tc>
        <w:tc>
          <w:tcPr>
            <w:tcW w:w="0" w:type="auto"/>
            <w:gridSpan w:val="3"/>
            <w:shd w:val="clear" w:color="auto" w:fill="auto"/>
            <w:vAlign w:val="bottom"/>
          </w:tcPr>
          <w:p w14:paraId="392C77AC" w14:textId="77777777" w:rsidR="00980E5F" w:rsidRDefault="00980E5F">
            <w:pPr>
              <w:rPr>
                <w:rFonts w:ascii="宋体"/>
                <w:vanish/>
              </w:rPr>
            </w:pPr>
          </w:p>
        </w:tc>
        <w:tc>
          <w:tcPr>
            <w:tcW w:w="0" w:type="auto"/>
            <w:gridSpan w:val="3"/>
            <w:shd w:val="clear" w:color="auto" w:fill="auto"/>
            <w:vAlign w:val="bottom"/>
          </w:tcPr>
          <w:p w14:paraId="392C77AD" w14:textId="77777777" w:rsidR="00980E5F" w:rsidRDefault="00980E5F">
            <w:pPr>
              <w:rPr>
                <w:rFonts w:ascii="宋体"/>
                <w:vanish/>
              </w:rPr>
            </w:pPr>
          </w:p>
        </w:tc>
        <w:tc>
          <w:tcPr>
            <w:tcW w:w="0" w:type="auto"/>
            <w:gridSpan w:val="3"/>
            <w:shd w:val="clear" w:color="auto" w:fill="auto"/>
            <w:vAlign w:val="bottom"/>
          </w:tcPr>
          <w:p w14:paraId="392C77AE" w14:textId="77777777" w:rsidR="00980E5F" w:rsidRDefault="00980E5F">
            <w:pPr>
              <w:rPr>
                <w:rFonts w:ascii="宋体"/>
                <w:vanish/>
              </w:rPr>
            </w:pPr>
          </w:p>
        </w:tc>
        <w:tc>
          <w:tcPr>
            <w:tcW w:w="0" w:type="auto"/>
            <w:gridSpan w:val="3"/>
            <w:shd w:val="clear" w:color="auto" w:fill="auto"/>
            <w:vAlign w:val="bottom"/>
          </w:tcPr>
          <w:p w14:paraId="392C77AF" w14:textId="77777777" w:rsidR="00980E5F" w:rsidRDefault="00980E5F">
            <w:pPr>
              <w:rPr>
                <w:rFonts w:ascii="宋体"/>
                <w:vanish/>
              </w:rPr>
            </w:pPr>
          </w:p>
        </w:tc>
        <w:tc>
          <w:tcPr>
            <w:tcW w:w="0" w:type="auto"/>
            <w:gridSpan w:val="3"/>
            <w:shd w:val="clear" w:color="auto" w:fill="auto"/>
            <w:vAlign w:val="bottom"/>
          </w:tcPr>
          <w:p w14:paraId="392C77B0" w14:textId="77777777" w:rsidR="00980E5F" w:rsidRDefault="00980E5F">
            <w:pPr>
              <w:rPr>
                <w:rFonts w:ascii="宋体"/>
                <w:vanish/>
              </w:rPr>
            </w:pPr>
          </w:p>
        </w:tc>
        <w:tc>
          <w:tcPr>
            <w:tcW w:w="0" w:type="auto"/>
            <w:gridSpan w:val="3"/>
            <w:shd w:val="clear" w:color="auto" w:fill="auto"/>
            <w:vAlign w:val="bottom"/>
          </w:tcPr>
          <w:p w14:paraId="392C77B1" w14:textId="77777777" w:rsidR="00980E5F" w:rsidRDefault="00980E5F">
            <w:pPr>
              <w:rPr>
                <w:rFonts w:ascii="宋体"/>
                <w:vanish/>
              </w:rPr>
            </w:pPr>
          </w:p>
        </w:tc>
        <w:tc>
          <w:tcPr>
            <w:tcW w:w="0" w:type="auto"/>
            <w:gridSpan w:val="3"/>
            <w:shd w:val="clear" w:color="auto" w:fill="auto"/>
            <w:vAlign w:val="bottom"/>
          </w:tcPr>
          <w:p w14:paraId="392C77B2" w14:textId="77777777" w:rsidR="00980E5F" w:rsidRDefault="00980E5F">
            <w:pPr>
              <w:rPr>
                <w:rFonts w:ascii="宋体"/>
                <w:vanish/>
              </w:rPr>
            </w:pPr>
          </w:p>
        </w:tc>
        <w:tc>
          <w:tcPr>
            <w:tcW w:w="0" w:type="auto"/>
            <w:shd w:val="clear" w:color="auto" w:fill="auto"/>
            <w:vAlign w:val="bottom"/>
          </w:tcPr>
          <w:p w14:paraId="392C77B3" w14:textId="77777777" w:rsidR="00980E5F" w:rsidRDefault="00980E5F">
            <w:pPr>
              <w:rPr>
                <w:rFonts w:ascii="宋体"/>
                <w:vanish/>
              </w:rPr>
            </w:pPr>
          </w:p>
        </w:tc>
        <w:tc>
          <w:tcPr>
            <w:tcW w:w="0" w:type="auto"/>
            <w:shd w:val="clear" w:color="auto" w:fill="auto"/>
            <w:vAlign w:val="bottom"/>
          </w:tcPr>
          <w:p w14:paraId="392C77B4" w14:textId="77777777" w:rsidR="00980E5F" w:rsidRDefault="00980E5F">
            <w:pPr>
              <w:rPr>
                <w:rFonts w:ascii="宋体"/>
                <w:vanish/>
              </w:rPr>
            </w:pPr>
          </w:p>
        </w:tc>
        <w:tc>
          <w:tcPr>
            <w:tcW w:w="0" w:type="auto"/>
            <w:gridSpan w:val="3"/>
            <w:shd w:val="clear" w:color="auto" w:fill="auto"/>
            <w:vAlign w:val="bottom"/>
          </w:tcPr>
          <w:p w14:paraId="392C77B5" w14:textId="77777777" w:rsidR="00980E5F" w:rsidRDefault="00980E5F">
            <w:pPr>
              <w:rPr>
                <w:rFonts w:ascii="宋体"/>
                <w:vanish/>
              </w:rPr>
            </w:pPr>
          </w:p>
        </w:tc>
        <w:tc>
          <w:tcPr>
            <w:tcW w:w="0" w:type="auto"/>
            <w:gridSpan w:val="3"/>
            <w:shd w:val="clear" w:color="auto" w:fill="auto"/>
            <w:vAlign w:val="bottom"/>
          </w:tcPr>
          <w:p w14:paraId="392C77B6" w14:textId="77777777" w:rsidR="00980E5F" w:rsidRDefault="00980E5F">
            <w:pPr>
              <w:rPr>
                <w:rFonts w:ascii="宋体"/>
                <w:vanish/>
              </w:rPr>
            </w:pPr>
          </w:p>
        </w:tc>
        <w:tc>
          <w:tcPr>
            <w:tcW w:w="0" w:type="auto"/>
            <w:gridSpan w:val="3"/>
            <w:shd w:val="clear" w:color="auto" w:fill="auto"/>
            <w:vAlign w:val="bottom"/>
          </w:tcPr>
          <w:p w14:paraId="392C77B7" w14:textId="77777777" w:rsidR="00980E5F" w:rsidRDefault="00980E5F">
            <w:pPr>
              <w:rPr>
                <w:rFonts w:ascii="宋体"/>
                <w:vanish/>
              </w:rPr>
            </w:pPr>
          </w:p>
        </w:tc>
        <w:tc>
          <w:tcPr>
            <w:tcW w:w="0" w:type="auto"/>
            <w:gridSpan w:val="3"/>
            <w:shd w:val="clear" w:color="auto" w:fill="auto"/>
            <w:vAlign w:val="bottom"/>
          </w:tcPr>
          <w:p w14:paraId="392C77B8" w14:textId="77777777" w:rsidR="00980E5F" w:rsidRDefault="00980E5F">
            <w:pPr>
              <w:rPr>
                <w:rFonts w:ascii="宋体"/>
                <w:vanish/>
              </w:rPr>
            </w:pPr>
          </w:p>
        </w:tc>
        <w:tc>
          <w:tcPr>
            <w:tcW w:w="0" w:type="auto"/>
            <w:gridSpan w:val="3"/>
            <w:shd w:val="clear" w:color="auto" w:fill="auto"/>
            <w:vAlign w:val="bottom"/>
          </w:tcPr>
          <w:p w14:paraId="392C77B9" w14:textId="77777777" w:rsidR="00980E5F" w:rsidRDefault="00980E5F">
            <w:pPr>
              <w:rPr>
                <w:rFonts w:ascii="宋体"/>
                <w:vanish/>
              </w:rPr>
            </w:pPr>
          </w:p>
        </w:tc>
      </w:tr>
      <w:tr w:rsidR="00980E5F" w14:paraId="392C77CD" w14:textId="77777777">
        <w:trPr>
          <w:hidden/>
        </w:trPr>
        <w:tc>
          <w:tcPr>
            <w:tcW w:w="0" w:type="auto"/>
            <w:gridSpan w:val="3"/>
            <w:shd w:val="clear" w:color="auto" w:fill="auto"/>
            <w:vAlign w:val="bottom"/>
          </w:tcPr>
          <w:p w14:paraId="392C77BB" w14:textId="77777777" w:rsidR="00980E5F" w:rsidRDefault="00980E5F">
            <w:pPr>
              <w:rPr>
                <w:rFonts w:ascii="宋体"/>
                <w:vanish/>
              </w:rPr>
            </w:pPr>
          </w:p>
        </w:tc>
        <w:tc>
          <w:tcPr>
            <w:tcW w:w="0" w:type="auto"/>
            <w:gridSpan w:val="3"/>
            <w:shd w:val="clear" w:color="auto" w:fill="auto"/>
            <w:vAlign w:val="bottom"/>
          </w:tcPr>
          <w:p w14:paraId="392C77BC" w14:textId="77777777" w:rsidR="00980E5F" w:rsidRDefault="00980E5F">
            <w:pPr>
              <w:rPr>
                <w:rFonts w:ascii="宋体"/>
                <w:vanish/>
              </w:rPr>
            </w:pPr>
          </w:p>
        </w:tc>
        <w:tc>
          <w:tcPr>
            <w:tcW w:w="0" w:type="auto"/>
            <w:gridSpan w:val="3"/>
            <w:shd w:val="clear" w:color="auto" w:fill="auto"/>
            <w:vAlign w:val="bottom"/>
          </w:tcPr>
          <w:p w14:paraId="392C77BD" w14:textId="77777777" w:rsidR="00980E5F" w:rsidRDefault="00980E5F">
            <w:pPr>
              <w:rPr>
                <w:rFonts w:ascii="宋体"/>
                <w:vanish/>
              </w:rPr>
            </w:pPr>
          </w:p>
        </w:tc>
        <w:tc>
          <w:tcPr>
            <w:tcW w:w="0" w:type="auto"/>
            <w:gridSpan w:val="3"/>
            <w:shd w:val="clear" w:color="auto" w:fill="auto"/>
            <w:vAlign w:val="bottom"/>
          </w:tcPr>
          <w:p w14:paraId="392C77BE" w14:textId="77777777" w:rsidR="00980E5F" w:rsidRDefault="00980E5F">
            <w:pPr>
              <w:rPr>
                <w:rFonts w:ascii="宋体"/>
                <w:vanish/>
              </w:rPr>
            </w:pPr>
          </w:p>
        </w:tc>
        <w:tc>
          <w:tcPr>
            <w:tcW w:w="0" w:type="auto"/>
            <w:gridSpan w:val="3"/>
            <w:shd w:val="clear" w:color="auto" w:fill="auto"/>
            <w:vAlign w:val="bottom"/>
          </w:tcPr>
          <w:p w14:paraId="392C77BF" w14:textId="77777777" w:rsidR="00980E5F" w:rsidRDefault="00980E5F">
            <w:pPr>
              <w:rPr>
                <w:rFonts w:ascii="宋体"/>
                <w:vanish/>
              </w:rPr>
            </w:pPr>
          </w:p>
        </w:tc>
        <w:tc>
          <w:tcPr>
            <w:tcW w:w="0" w:type="auto"/>
            <w:gridSpan w:val="3"/>
            <w:shd w:val="clear" w:color="auto" w:fill="auto"/>
            <w:vAlign w:val="bottom"/>
          </w:tcPr>
          <w:p w14:paraId="392C77C0" w14:textId="77777777" w:rsidR="00980E5F" w:rsidRDefault="00980E5F">
            <w:pPr>
              <w:rPr>
                <w:rFonts w:ascii="宋体"/>
                <w:vanish/>
              </w:rPr>
            </w:pPr>
          </w:p>
        </w:tc>
        <w:tc>
          <w:tcPr>
            <w:tcW w:w="0" w:type="auto"/>
            <w:gridSpan w:val="3"/>
            <w:shd w:val="clear" w:color="auto" w:fill="auto"/>
            <w:vAlign w:val="bottom"/>
          </w:tcPr>
          <w:p w14:paraId="392C77C1" w14:textId="77777777" w:rsidR="00980E5F" w:rsidRDefault="00980E5F">
            <w:pPr>
              <w:rPr>
                <w:rFonts w:ascii="宋体"/>
                <w:vanish/>
              </w:rPr>
            </w:pPr>
          </w:p>
        </w:tc>
        <w:tc>
          <w:tcPr>
            <w:tcW w:w="0" w:type="auto"/>
            <w:gridSpan w:val="3"/>
            <w:shd w:val="clear" w:color="auto" w:fill="auto"/>
            <w:vAlign w:val="bottom"/>
          </w:tcPr>
          <w:p w14:paraId="392C77C2" w14:textId="77777777" w:rsidR="00980E5F" w:rsidRDefault="00980E5F">
            <w:pPr>
              <w:rPr>
                <w:rFonts w:ascii="宋体"/>
                <w:vanish/>
              </w:rPr>
            </w:pPr>
          </w:p>
        </w:tc>
        <w:tc>
          <w:tcPr>
            <w:tcW w:w="0" w:type="auto"/>
            <w:gridSpan w:val="3"/>
            <w:shd w:val="clear" w:color="auto" w:fill="auto"/>
            <w:vAlign w:val="bottom"/>
          </w:tcPr>
          <w:p w14:paraId="392C77C3" w14:textId="77777777" w:rsidR="00980E5F" w:rsidRDefault="00980E5F">
            <w:pPr>
              <w:rPr>
                <w:rFonts w:ascii="宋体"/>
                <w:vanish/>
              </w:rPr>
            </w:pPr>
          </w:p>
        </w:tc>
        <w:tc>
          <w:tcPr>
            <w:tcW w:w="0" w:type="auto"/>
            <w:gridSpan w:val="3"/>
            <w:shd w:val="clear" w:color="auto" w:fill="auto"/>
            <w:vAlign w:val="bottom"/>
          </w:tcPr>
          <w:p w14:paraId="392C77C4" w14:textId="77777777" w:rsidR="00980E5F" w:rsidRDefault="00980E5F">
            <w:pPr>
              <w:rPr>
                <w:rFonts w:ascii="宋体"/>
                <w:vanish/>
              </w:rPr>
            </w:pPr>
          </w:p>
        </w:tc>
        <w:tc>
          <w:tcPr>
            <w:tcW w:w="0" w:type="auto"/>
            <w:gridSpan w:val="3"/>
            <w:shd w:val="clear" w:color="auto" w:fill="auto"/>
            <w:vAlign w:val="bottom"/>
          </w:tcPr>
          <w:p w14:paraId="392C77C5" w14:textId="77777777" w:rsidR="00980E5F" w:rsidRDefault="00980E5F">
            <w:pPr>
              <w:rPr>
                <w:rFonts w:ascii="宋体"/>
                <w:vanish/>
              </w:rPr>
            </w:pPr>
          </w:p>
        </w:tc>
        <w:tc>
          <w:tcPr>
            <w:tcW w:w="0" w:type="auto"/>
            <w:shd w:val="clear" w:color="auto" w:fill="auto"/>
            <w:vAlign w:val="bottom"/>
          </w:tcPr>
          <w:p w14:paraId="392C77C6" w14:textId="77777777" w:rsidR="00980E5F" w:rsidRDefault="00980E5F">
            <w:pPr>
              <w:rPr>
                <w:rFonts w:ascii="宋体"/>
                <w:vanish/>
              </w:rPr>
            </w:pPr>
          </w:p>
        </w:tc>
        <w:tc>
          <w:tcPr>
            <w:tcW w:w="0" w:type="auto"/>
            <w:shd w:val="clear" w:color="auto" w:fill="auto"/>
            <w:vAlign w:val="bottom"/>
          </w:tcPr>
          <w:p w14:paraId="392C77C7" w14:textId="77777777" w:rsidR="00980E5F" w:rsidRDefault="00980E5F">
            <w:pPr>
              <w:rPr>
                <w:rFonts w:ascii="宋体"/>
                <w:vanish/>
              </w:rPr>
            </w:pPr>
          </w:p>
        </w:tc>
        <w:tc>
          <w:tcPr>
            <w:tcW w:w="0" w:type="auto"/>
            <w:gridSpan w:val="3"/>
            <w:shd w:val="clear" w:color="auto" w:fill="auto"/>
            <w:vAlign w:val="bottom"/>
          </w:tcPr>
          <w:p w14:paraId="392C77C8" w14:textId="77777777" w:rsidR="00980E5F" w:rsidRDefault="00980E5F">
            <w:pPr>
              <w:rPr>
                <w:rFonts w:ascii="宋体"/>
                <w:vanish/>
              </w:rPr>
            </w:pPr>
          </w:p>
        </w:tc>
        <w:tc>
          <w:tcPr>
            <w:tcW w:w="0" w:type="auto"/>
            <w:gridSpan w:val="3"/>
            <w:shd w:val="clear" w:color="auto" w:fill="auto"/>
            <w:vAlign w:val="bottom"/>
          </w:tcPr>
          <w:p w14:paraId="392C77C9" w14:textId="77777777" w:rsidR="00980E5F" w:rsidRDefault="00980E5F">
            <w:pPr>
              <w:rPr>
                <w:rFonts w:ascii="宋体"/>
                <w:vanish/>
              </w:rPr>
            </w:pPr>
          </w:p>
        </w:tc>
        <w:tc>
          <w:tcPr>
            <w:tcW w:w="0" w:type="auto"/>
            <w:gridSpan w:val="3"/>
            <w:shd w:val="clear" w:color="auto" w:fill="auto"/>
            <w:vAlign w:val="bottom"/>
          </w:tcPr>
          <w:p w14:paraId="392C77CA" w14:textId="77777777" w:rsidR="00980E5F" w:rsidRDefault="00980E5F">
            <w:pPr>
              <w:rPr>
                <w:rFonts w:ascii="宋体"/>
                <w:vanish/>
              </w:rPr>
            </w:pPr>
          </w:p>
        </w:tc>
        <w:tc>
          <w:tcPr>
            <w:tcW w:w="0" w:type="auto"/>
            <w:gridSpan w:val="3"/>
            <w:shd w:val="clear" w:color="auto" w:fill="auto"/>
            <w:vAlign w:val="bottom"/>
          </w:tcPr>
          <w:p w14:paraId="392C77CB" w14:textId="77777777" w:rsidR="00980E5F" w:rsidRDefault="00980E5F">
            <w:pPr>
              <w:rPr>
                <w:rFonts w:ascii="宋体"/>
                <w:vanish/>
              </w:rPr>
            </w:pPr>
          </w:p>
        </w:tc>
        <w:tc>
          <w:tcPr>
            <w:tcW w:w="0" w:type="auto"/>
            <w:gridSpan w:val="3"/>
            <w:shd w:val="clear" w:color="auto" w:fill="auto"/>
            <w:vAlign w:val="bottom"/>
          </w:tcPr>
          <w:p w14:paraId="392C77CC" w14:textId="77777777" w:rsidR="00980E5F" w:rsidRDefault="00980E5F">
            <w:pPr>
              <w:rPr>
                <w:rFonts w:ascii="宋体"/>
                <w:vanish/>
              </w:rPr>
            </w:pPr>
          </w:p>
        </w:tc>
      </w:tr>
      <w:tr w:rsidR="00980E5F" w14:paraId="392C77E0" w14:textId="77777777">
        <w:trPr>
          <w:hidden/>
        </w:trPr>
        <w:tc>
          <w:tcPr>
            <w:tcW w:w="0" w:type="auto"/>
            <w:gridSpan w:val="3"/>
            <w:shd w:val="clear" w:color="auto" w:fill="auto"/>
            <w:vAlign w:val="bottom"/>
          </w:tcPr>
          <w:p w14:paraId="392C77CE" w14:textId="77777777" w:rsidR="00980E5F" w:rsidRDefault="00980E5F">
            <w:pPr>
              <w:rPr>
                <w:rFonts w:ascii="宋体"/>
                <w:vanish/>
              </w:rPr>
            </w:pPr>
          </w:p>
        </w:tc>
        <w:tc>
          <w:tcPr>
            <w:tcW w:w="0" w:type="auto"/>
            <w:gridSpan w:val="3"/>
            <w:shd w:val="clear" w:color="auto" w:fill="auto"/>
            <w:vAlign w:val="bottom"/>
          </w:tcPr>
          <w:p w14:paraId="392C77CF" w14:textId="77777777" w:rsidR="00980E5F" w:rsidRDefault="00980E5F">
            <w:pPr>
              <w:rPr>
                <w:rFonts w:ascii="宋体"/>
                <w:vanish/>
              </w:rPr>
            </w:pPr>
          </w:p>
        </w:tc>
        <w:tc>
          <w:tcPr>
            <w:tcW w:w="0" w:type="auto"/>
            <w:gridSpan w:val="3"/>
            <w:shd w:val="clear" w:color="auto" w:fill="auto"/>
            <w:vAlign w:val="bottom"/>
          </w:tcPr>
          <w:p w14:paraId="392C77D0" w14:textId="77777777" w:rsidR="00980E5F" w:rsidRDefault="00980E5F">
            <w:pPr>
              <w:rPr>
                <w:rFonts w:ascii="宋体"/>
                <w:vanish/>
              </w:rPr>
            </w:pPr>
          </w:p>
        </w:tc>
        <w:tc>
          <w:tcPr>
            <w:tcW w:w="0" w:type="auto"/>
            <w:gridSpan w:val="3"/>
            <w:shd w:val="clear" w:color="auto" w:fill="auto"/>
            <w:vAlign w:val="bottom"/>
          </w:tcPr>
          <w:p w14:paraId="392C77D1" w14:textId="77777777" w:rsidR="00980E5F" w:rsidRDefault="00980E5F">
            <w:pPr>
              <w:rPr>
                <w:rFonts w:ascii="宋体"/>
                <w:vanish/>
              </w:rPr>
            </w:pPr>
          </w:p>
        </w:tc>
        <w:tc>
          <w:tcPr>
            <w:tcW w:w="0" w:type="auto"/>
            <w:gridSpan w:val="3"/>
            <w:shd w:val="clear" w:color="auto" w:fill="auto"/>
            <w:vAlign w:val="bottom"/>
          </w:tcPr>
          <w:p w14:paraId="392C77D2" w14:textId="77777777" w:rsidR="00980E5F" w:rsidRDefault="00980E5F">
            <w:pPr>
              <w:rPr>
                <w:rFonts w:ascii="宋体"/>
                <w:vanish/>
              </w:rPr>
            </w:pPr>
          </w:p>
        </w:tc>
        <w:tc>
          <w:tcPr>
            <w:tcW w:w="0" w:type="auto"/>
            <w:gridSpan w:val="3"/>
            <w:shd w:val="clear" w:color="auto" w:fill="auto"/>
            <w:vAlign w:val="bottom"/>
          </w:tcPr>
          <w:p w14:paraId="392C77D3" w14:textId="77777777" w:rsidR="00980E5F" w:rsidRDefault="00980E5F">
            <w:pPr>
              <w:rPr>
                <w:rFonts w:ascii="宋体"/>
                <w:vanish/>
              </w:rPr>
            </w:pPr>
          </w:p>
        </w:tc>
        <w:tc>
          <w:tcPr>
            <w:tcW w:w="0" w:type="auto"/>
            <w:gridSpan w:val="3"/>
            <w:shd w:val="clear" w:color="auto" w:fill="auto"/>
            <w:vAlign w:val="bottom"/>
          </w:tcPr>
          <w:p w14:paraId="392C77D4" w14:textId="77777777" w:rsidR="00980E5F" w:rsidRDefault="00980E5F">
            <w:pPr>
              <w:rPr>
                <w:rFonts w:ascii="宋体"/>
                <w:vanish/>
              </w:rPr>
            </w:pPr>
          </w:p>
        </w:tc>
        <w:tc>
          <w:tcPr>
            <w:tcW w:w="0" w:type="auto"/>
            <w:gridSpan w:val="3"/>
            <w:shd w:val="clear" w:color="auto" w:fill="auto"/>
            <w:vAlign w:val="bottom"/>
          </w:tcPr>
          <w:p w14:paraId="392C77D5" w14:textId="77777777" w:rsidR="00980E5F" w:rsidRDefault="00980E5F">
            <w:pPr>
              <w:rPr>
                <w:rFonts w:ascii="宋体"/>
                <w:vanish/>
              </w:rPr>
            </w:pPr>
          </w:p>
        </w:tc>
        <w:tc>
          <w:tcPr>
            <w:tcW w:w="0" w:type="auto"/>
            <w:gridSpan w:val="3"/>
            <w:shd w:val="clear" w:color="auto" w:fill="auto"/>
            <w:vAlign w:val="bottom"/>
          </w:tcPr>
          <w:p w14:paraId="392C77D6" w14:textId="77777777" w:rsidR="00980E5F" w:rsidRDefault="00980E5F">
            <w:pPr>
              <w:rPr>
                <w:rFonts w:ascii="宋体"/>
                <w:vanish/>
              </w:rPr>
            </w:pPr>
          </w:p>
        </w:tc>
        <w:tc>
          <w:tcPr>
            <w:tcW w:w="0" w:type="auto"/>
            <w:gridSpan w:val="3"/>
            <w:shd w:val="clear" w:color="auto" w:fill="auto"/>
            <w:vAlign w:val="bottom"/>
          </w:tcPr>
          <w:p w14:paraId="392C77D7" w14:textId="77777777" w:rsidR="00980E5F" w:rsidRDefault="00980E5F">
            <w:pPr>
              <w:rPr>
                <w:rFonts w:ascii="宋体"/>
                <w:vanish/>
              </w:rPr>
            </w:pPr>
          </w:p>
        </w:tc>
        <w:tc>
          <w:tcPr>
            <w:tcW w:w="0" w:type="auto"/>
            <w:gridSpan w:val="3"/>
            <w:shd w:val="clear" w:color="auto" w:fill="auto"/>
            <w:vAlign w:val="bottom"/>
          </w:tcPr>
          <w:p w14:paraId="392C77D8" w14:textId="77777777" w:rsidR="00980E5F" w:rsidRDefault="00980E5F">
            <w:pPr>
              <w:rPr>
                <w:rFonts w:ascii="宋体"/>
                <w:vanish/>
              </w:rPr>
            </w:pPr>
          </w:p>
        </w:tc>
        <w:tc>
          <w:tcPr>
            <w:tcW w:w="0" w:type="auto"/>
            <w:shd w:val="clear" w:color="auto" w:fill="auto"/>
            <w:vAlign w:val="bottom"/>
          </w:tcPr>
          <w:p w14:paraId="392C77D9" w14:textId="77777777" w:rsidR="00980E5F" w:rsidRDefault="00980E5F">
            <w:pPr>
              <w:rPr>
                <w:rFonts w:ascii="宋体"/>
                <w:vanish/>
              </w:rPr>
            </w:pPr>
          </w:p>
        </w:tc>
        <w:tc>
          <w:tcPr>
            <w:tcW w:w="0" w:type="auto"/>
            <w:shd w:val="clear" w:color="auto" w:fill="auto"/>
            <w:vAlign w:val="bottom"/>
          </w:tcPr>
          <w:p w14:paraId="392C77DA" w14:textId="77777777" w:rsidR="00980E5F" w:rsidRDefault="00980E5F">
            <w:pPr>
              <w:rPr>
                <w:rFonts w:ascii="宋体"/>
                <w:vanish/>
              </w:rPr>
            </w:pPr>
          </w:p>
        </w:tc>
        <w:tc>
          <w:tcPr>
            <w:tcW w:w="0" w:type="auto"/>
            <w:gridSpan w:val="3"/>
            <w:shd w:val="clear" w:color="auto" w:fill="auto"/>
            <w:vAlign w:val="bottom"/>
          </w:tcPr>
          <w:p w14:paraId="392C77DB" w14:textId="77777777" w:rsidR="00980E5F" w:rsidRDefault="00980E5F">
            <w:pPr>
              <w:rPr>
                <w:rFonts w:ascii="宋体"/>
                <w:vanish/>
              </w:rPr>
            </w:pPr>
          </w:p>
        </w:tc>
        <w:tc>
          <w:tcPr>
            <w:tcW w:w="0" w:type="auto"/>
            <w:gridSpan w:val="3"/>
            <w:shd w:val="clear" w:color="auto" w:fill="auto"/>
            <w:vAlign w:val="bottom"/>
          </w:tcPr>
          <w:p w14:paraId="392C77DC" w14:textId="77777777" w:rsidR="00980E5F" w:rsidRDefault="00980E5F">
            <w:pPr>
              <w:rPr>
                <w:rFonts w:ascii="宋体"/>
                <w:vanish/>
              </w:rPr>
            </w:pPr>
          </w:p>
        </w:tc>
        <w:tc>
          <w:tcPr>
            <w:tcW w:w="0" w:type="auto"/>
            <w:gridSpan w:val="3"/>
            <w:shd w:val="clear" w:color="auto" w:fill="auto"/>
            <w:vAlign w:val="bottom"/>
          </w:tcPr>
          <w:p w14:paraId="392C77DD" w14:textId="77777777" w:rsidR="00980E5F" w:rsidRDefault="00980E5F">
            <w:pPr>
              <w:rPr>
                <w:rFonts w:ascii="宋体"/>
                <w:vanish/>
              </w:rPr>
            </w:pPr>
          </w:p>
        </w:tc>
        <w:tc>
          <w:tcPr>
            <w:tcW w:w="0" w:type="auto"/>
            <w:gridSpan w:val="3"/>
            <w:shd w:val="clear" w:color="auto" w:fill="auto"/>
            <w:vAlign w:val="bottom"/>
          </w:tcPr>
          <w:p w14:paraId="392C77DE" w14:textId="77777777" w:rsidR="00980E5F" w:rsidRDefault="00980E5F">
            <w:pPr>
              <w:rPr>
                <w:rFonts w:ascii="宋体"/>
                <w:vanish/>
              </w:rPr>
            </w:pPr>
          </w:p>
        </w:tc>
        <w:tc>
          <w:tcPr>
            <w:tcW w:w="0" w:type="auto"/>
            <w:gridSpan w:val="3"/>
            <w:shd w:val="clear" w:color="auto" w:fill="auto"/>
            <w:vAlign w:val="bottom"/>
          </w:tcPr>
          <w:p w14:paraId="392C77DF" w14:textId="77777777" w:rsidR="00980E5F" w:rsidRDefault="00980E5F">
            <w:pPr>
              <w:rPr>
                <w:rFonts w:ascii="宋体"/>
                <w:vanish/>
              </w:rPr>
            </w:pPr>
          </w:p>
        </w:tc>
      </w:tr>
      <w:tr w:rsidR="00980E5F" w14:paraId="392C77F3" w14:textId="77777777">
        <w:trPr>
          <w:hidden/>
        </w:trPr>
        <w:tc>
          <w:tcPr>
            <w:tcW w:w="0" w:type="auto"/>
            <w:gridSpan w:val="3"/>
            <w:shd w:val="clear" w:color="auto" w:fill="auto"/>
            <w:vAlign w:val="bottom"/>
          </w:tcPr>
          <w:p w14:paraId="392C77E1" w14:textId="77777777" w:rsidR="00980E5F" w:rsidRDefault="00980E5F">
            <w:pPr>
              <w:rPr>
                <w:rFonts w:ascii="宋体"/>
                <w:vanish/>
              </w:rPr>
            </w:pPr>
          </w:p>
        </w:tc>
        <w:tc>
          <w:tcPr>
            <w:tcW w:w="0" w:type="auto"/>
            <w:gridSpan w:val="3"/>
            <w:shd w:val="clear" w:color="auto" w:fill="auto"/>
            <w:vAlign w:val="bottom"/>
          </w:tcPr>
          <w:p w14:paraId="392C77E2" w14:textId="77777777" w:rsidR="00980E5F" w:rsidRDefault="00980E5F">
            <w:pPr>
              <w:rPr>
                <w:rFonts w:ascii="宋体"/>
                <w:vanish/>
              </w:rPr>
            </w:pPr>
          </w:p>
        </w:tc>
        <w:tc>
          <w:tcPr>
            <w:tcW w:w="0" w:type="auto"/>
            <w:gridSpan w:val="3"/>
            <w:shd w:val="clear" w:color="auto" w:fill="auto"/>
            <w:vAlign w:val="bottom"/>
          </w:tcPr>
          <w:p w14:paraId="392C77E3" w14:textId="77777777" w:rsidR="00980E5F" w:rsidRDefault="00980E5F">
            <w:pPr>
              <w:rPr>
                <w:rFonts w:ascii="宋体"/>
                <w:vanish/>
              </w:rPr>
            </w:pPr>
          </w:p>
        </w:tc>
        <w:tc>
          <w:tcPr>
            <w:tcW w:w="0" w:type="auto"/>
            <w:gridSpan w:val="3"/>
            <w:shd w:val="clear" w:color="auto" w:fill="auto"/>
            <w:vAlign w:val="bottom"/>
          </w:tcPr>
          <w:p w14:paraId="392C77E4" w14:textId="77777777" w:rsidR="00980E5F" w:rsidRDefault="00980E5F">
            <w:pPr>
              <w:rPr>
                <w:rFonts w:ascii="宋体"/>
                <w:vanish/>
              </w:rPr>
            </w:pPr>
          </w:p>
        </w:tc>
        <w:tc>
          <w:tcPr>
            <w:tcW w:w="0" w:type="auto"/>
            <w:gridSpan w:val="3"/>
            <w:shd w:val="clear" w:color="auto" w:fill="auto"/>
            <w:vAlign w:val="bottom"/>
          </w:tcPr>
          <w:p w14:paraId="392C77E5" w14:textId="77777777" w:rsidR="00980E5F" w:rsidRDefault="00980E5F">
            <w:pPr>
              <w:rPr>
                <w:rFonts w:ascii="宋体"/>
                <w:vanish/>
              </w:rPr>
            </w:pPr>
          </w:p>
        </w:tc>
        <w:tc>
          <w:tcPr>
            <w:tcW w:w="0" w:type="auto"/>
            <w:gridSpan w:val="3"/>
            <w:shd w:val="clear" w:color="auto" w:fill="auto"/>
            <w:vAlign w:val="bottom"/>
          </w:tcPr>
          <w:p w14:paraId="392C77E6" w14:textId="77777777" w:rsidR="00980E5F" w:rsidRDefault="00980E5F">
            <w:pPr>
              <w:rPr>
                <w:rFonts w:ascii="宋体"/>
                <w:vanish/>
              </w:rPr>
            </w:pPr>
          </w:p>
        </w:tc>
        <w:tc>
          <w:tcPr>
            <w:tcW w:w="0" w:type="auto"/>
            <w:gridSpan w:val="3"/>
            <w:shd w:val="clear" w:color="auto" w:fill="auto"/>
            <w:vAlign w:val="bottom"/>
          </w:tcPr>
          <w:p w14:paraId="392C77E7" w14:textId="77777777" w:rsidR="00980E5F" w:rsidRDefault="00980E5F">
            <w:pPr>
              <w:rPr>
                <w:rFonts w:ascii="宋体"/>
                <w:vanish/>
              </w:rPr>
            </w:pPr>
          </w:p>
        </w:tc>
        <w:tc>
          <w:tcPr>
            <w:tcW w:w="0" w:type="auto"/>
            <w:gridSpan w:val="3"/>
            <w:shd w:val="clear" w:color="auto" w:fill="auto"/>
            <w:vAlign w:val="bottom"/>
          </w:tcPr>
          <w:p w14:paraId="392C77E8" w14:textId="77777777" w:rsidR="00980E5F" w:rsidRDefault="00980E5F">
            <w:pPr>
              <w:rPr>
                <w:rFonts w:ascii="宋体"/>
                <w:vanish/>
              </w:rPr>
            </w:pPr>
          </w:p>
        </w:tc>
        <w:tc>
          <w:tcPr>
            <w:tcW w:w="0" w:type="auto"/>
            <w:gridSpan w:val="3"/>
            <w:shd w:val="clear" w:color="auto" w:fill="auto"/>
            <w:vAlign w:val="bottom"/>
          </w:tcPr>
          <w:p w14:paraId="392C77E9" w14:textId="77777777" w:rsidR="00980E5F" w:rsidRDefault="00980E5F">
            <w:pPr>
              <w:rPr>
                <w:rFonts w:ascii="宋体"/>
                <w:vanish/>
              </w:rPr>
            </w:pPr>
          </w:p>
        </w:tc>
        <w:tc>
          <w:tcPr>
            <w:tcW w:w="0" w:type="auto"/>
            <w:gridSpan w:val="3"/>
            <w:shd w:val="clear" w:color="auto" w:fill="auto"/>
            <w:vAlign w:val="bottom"/>
          </w:tcPr>
          <w:p w14:paraId="392C77EA" w14:textId="77777777" w:rsidR="00980E5F" w:rsidRDefault="00980E5F">
            <w:pPr>
              <w:rPr>
                <w:rFonts w:ascii="宋体"/>
                <w:vanish/>
              </w:rPr>
            </w:pPr>
          </w:p>
        </w:tc>
        <w:tc>
          <w:tcPr>
            <w:tcW w:w="0" w:type="auto"/>
            <w:gridSpan w:val="3"/>
            <w:shd w:val="clear" w:color="auto" w:fill="auto"/>
            <w:vAlign w:val="bottom"/>
          </w:tcPr>
          <w:p w14:paraId="392C77EB" w14:textId="77777777" w:rsidR="00980E5F" w:rsidRDefault="00980E5F">
            <w:pPr>
              <w:rPr>
                <w:rFonts w:ascii="宋体"/>
                <w:vanish/>
              </w:rPr>
            </w:pPr>
          </w:p>
        </w:tc>
        <w:tc>
          <w:tcPr>
            <w:tcW w:w="0" w:type="auto"/>
            <w:shd w:val="clear" w:color="auto" w:fill="auto"/>
            <w:vAlign w:val="bottom"/>
          </w:tcPr>
          <w:p w14:paraId="392C77EC" w14:textId="77777777" w:rsidR="00980E5F" w:rsidRDefault="00980E5F">
            <w:pPr>
              <w:rPr>
                <w:rFonts w:ascii="宋体"/>
                <w:vanish/>
              </w:rPr>
            </w:pPr>
          </w:p>
        </w:tc>
        <w:tc>
          <w:tcPr>
            <w:tcW w:w="0" w:type="auto"/>
            <w:shd w:val="clear" w:color="auto" w:fill="auto"/>
            <w:vAlign w:val="bottom"/>
          </w:tcPr>
          <w:p w14:paraId="392C77ED" w14:textId="77777777" w:rsidR="00980E5F" w:rsidRDefault="00980E5F">
            <w:pPr>
              <w:rPr>
                <w:rFonts w:ascii="宋体"/>
                <w:vanish/>
              </w:rPr>
            </w:pPr>
          </w:p>
        </w:tc>
        <w:tc>
          <w:tcPr>
            <w:tcW w:w="0" w:type="auto"/>
            <w:gridSpan w:val="3"/>
            <w:shd w:val="clear" w:color="auto" w:fill="auto"/>
            <w:vAlign w:val="bottom"/>
          </w:tcPr>
          <w:p w14:paraId="392C77EE" w14:textId="77777777" w:rsidR="00980E5F" w:rsidRDefault="00980E5F">
            <w:pPr>
              <w:rPr>
                <w:rFonts w:ascii="宋体"/>
                <w:vanish/>
              </w:rPr>
            </w:pPr>
          </w:p>
        </w:tc>
        <w:tc>
          <w:tcPr>
            <w:tcW w:w="0" w:type="auto"/>
            <w:gridSpan w:val="3"/>
            <w:shd w:val="clear" w:color="auto" w:fill="auto"/>
            <w:vAlign w:val="bottom"/>
          </w:tcPr>
          <w:p w14:paraId="392C77EF" w14:textId="77777777" w:rsidR="00980E5F" w:rsidRDefault="00980E5F">
            <w:pPr>
              <w:rPr>
                <w:rFonts w:ascii="宋体"/>
                <w:vanish/>
              </w:rPr>
            </w:pPr>
          </w:p>
        </w:tc>
        <w:tc>
          <w:tcPr>
            <w:tcW w:w="0" w:type="auto"/>
            <w:gridSpan w:val="3"/>
            <w:shd w:val="clear" w:color="auto" w:fill="auto"/>
            <w:vAlign w:val="bottom"/>
          </w:tcPr>
          <w:p w14:paraId="392C77F0" w14:textId="77777777" w:rsidR="00980E5F" w:rsidRDefault="00980E5F">
            <w:pPr>
              <w:rPr>
                <w:rFonts w:ascii="宋体"/>
                <w:vanish/>
              </w:rPr>
            </w:pPr>
          </w:p>
        </w:tc>
        <w:tc>
          <w:tcPr>
            <w:tcW w:w="0" w:type="auto"/>
            <w:gridSpan w:val="3"/>
            <w:shd w:val="clear" w:color="auto" w:fill="auto"/>
            <w:vAlign w:val="bottom"/>
          </w:tcPr>
          <w:p w14:paraId="392C77F1" w14:textId="77777777" w:rsidR="00980E5F" w:rsidRDefault="00980E5F">
            <w:pPr>
              <w:rPr>
                <w:rFonts w:ascii="宋体"/>
                <w:vanish/>
              </w:rPr>
            </w:pPr>
          </w:p>
        </w:tc>
        <w:tc>
          <w:tcPr>
            <w:tcW w:w="0" w:type="auto"/>
            <w:gridSpan w:val="3"/>
            <w:shd w:val="clear" w:color="auto" w:fill="auto"/>
            <w:vAlign w:val="bottom"/>
          </w:tcPr>
          <w:p w14:paraId="392C77F2" w14:textId="77777777" w:rsidR="00980E5F" w:rsidRDefault="00980E5F">
            <w:pPr>
              <w:rPr>
                <w:rFonts w:ascii="宋体"/>
                <w:vanish/>
              </w:rPr>
            </w:pPr>
          </w:p>
        </w:tc>
      </w:tr>
      <w:tr w:rsidR="00980E5F" w14:paraId="392C7806" w14:textId="77777777">
        <w:trPr>
          <w:hidden/>
        </w:trPr>
        <w:tc>
          <w:tcPr>
            <w:tcW w:w="0" w:type="auto"/>
            <w:gridSpan w:val="3"/>
            <w:shd w:val="clear" w:color="auto" w:fill="auto"/>
            <w:vAlign w:val="bottom"/>
          </w:tcPr>
          <w:p w14:paraId="392C77F4" w14:textId="77777777" w:rsidR="00980E5F" w:rsidRDefault="00980E5F">
            <w:pPr>
              <w:rPr>
                <w:rFonts w:ascii="宋体"/>
                <w:vanish/>
              </w:rPr>
            </w:pPr>
          </w:p>
        </w:tc>
        <w:tc>
          <w:tcPr>
            <w:tcW w:w="0" w:type="auto"/>
            <w:gridSpan w:val="3"/>
            <w:shd w:val="clear" w:color="auto" w:fill="auto"/>
            <w:vAlign w:val="bottom"/>
          </w:tcPr>
          <w:p w14:paraId="392C77F5" w14:textId="77777777" w:rsidR="00980E5F" w:rsidRDefault="00980E5F">
            <w:pPr>
              <w:rPr>
                <w:rFonts w:ascii="宋体"/>
                <w:vanish/>
              </w:rPr>
            </w:pPr>
          </w:p>
        </w:tc>
        <w:tc>
          <w:tcPr>
            <w:tcW w:w="0" w:type="auto"/>
            <w:gridSpan w:val="3"/>
            <w:shd w:val="clear" w:color="auto" w:fill="auto"/>
            <w:vAlign w:val="bottom"/>
          </w:tcPr>
          <w:p w14:paraId="392C77F6" w14:textId="77777777" w:rsidR="00980E5F" w:rsidRDefault="00980E5F">
            <w:pPr>
              <w:rPr>
                <w:rFonts w:ascii="宋体"/>
                <w:vanish/>
              </w:rPr>
            </w:pPr>
          </w:p>
        </w:tc>
        <w:tc>
          <w:tcPr>
            <w:tcW w:w="0" w:type="auto"/>
            <w:gridSpan w:val="3"/>
            <w:shd w:val="clear" w:color="auto" w:fill="auto"/>
            <w:vAlign w:val="bottom"/>
          </w:tcPr>
          <w:p w14:paraId="392C77F7" w14:textId="77777777" w:rsidR="00980E5F" w:rsidRDefault="00980E5F">
            <w:pPr>
              <w:rPr>
                <w:rFonts w:ascii="宋体"/>
                <w:vanish/>
              </w:rPr>
            </w:pPr>
          </w:p>
        </w:tc>
        <w:tc>
          <w:tcPr>
            <w:tcW w:w="0" w:type="auto"/>
            <w:gridSpan w:val="3"/>
            <w:shd w:val="clear" w:color="auto" w:fill="auto"/>
            <w:vAlign w:val="bottom"/>
          </w:tcPr>
          <w:p w14:paraId="392C77F8" w14:textId="77777777" w:rsidR="00980E5F" w:rsidRDefault="00980E5F">
            <w:pPr>
              <w:rPr>
                <w:rFonts w:ascii="宋体"/>
                <w:vanish/>
              </w:rPr>
            </w:pPr>
          </w:p>
        </w:tc>
        <w:tc>
          <w:tcPr>
            <w:tcW w:w="0" w:type="auto"/>
            <w:gridSpan w:val="3"/>
            <w:shd w:val="clear" w:color="auto" w:fill="auto"/>
            <w:vAlign w:val="bottom"/>
          </w:tcPr>
          <w:p w14:paraId="392C77F9" w14:textId="77777777" w:rsidR="00980E5F" w:rsidRDefault="00980E5F">
            <w:pPr>
              <w:rPr>
                <w:rFonts w:ascii="宋体"/>
                <w:vanish/>
              </w:rPr>
            </w:pPr>
          </w:p>
        </w:tc>
        <w:tc>
          <w:tcPr>
            <w:tcW w:w="0" w:type="auto"/>
            <w:gridSpan w:val="3"/>
            <w:shd w:val="clear" w:color="auto" w:fill="auto"/>
            <w:vAlign w:val="bottom"/>
          </w:tcPr>
          <w:p w14:paraId="392C77FA" w14:textId="77777777" w:rsidR="00980E5F" w:rsidRDefault="00980E5F">
            <w:pPr>
              <w:rPr>
                <w:rFonts w:ascii="宋体"/>
                <w:vanish/>
              </w:rPr>
            </w:pPr>
          </w:p>
        </w:tc>
        <w:tc>
          <w:tcPr>
            <w:tcW w:w="0" w:type="auto"/>
            <w:gridSpan w:val="3"/>
            <w:shd w:val="clear" w:color="auto" w:fill="auto"/>
            <w:vAlign w:val="bottom"/>
          </w:tcPr>
          <w:p w14:paraId="392C77FB" w14:textId="77777777" w:rsidR="00980E5F" w:rsidRDefault="00980E5F">
            <w:pPr>
              <w:rPr>
                <w:rFonts w:ascii="宋体"/>
                <w:vanish/>
              </w:rPr>
            </w:pPr>
          </w:p>
        </w:tc>
        <w:tc>
          <w:tcPr>
            <w:tcW w:w="0" w:type="auto"/>
            <w:gridSpan w:val="3"/>
            <w:shd w:val="clear" w:color="auto" w:fill="auto"/>
            <w:vAlign w:val="bottom"/>
          </w:tcPr>
          <w:p w14:paraId="392C77FC" w14:textId="77777777" w:rsidR="00980E5F" w:rsidRDefault="00980E5F">
            <w:pPr>
              <w:rPr>
                <w:rFonts w:ascii="宋体"/>
                <w:vanish/>
              </w:rPr>
            </w:pPr>
          </w:p>
        </w:tc>
        <w:tc>
          <w:tcPr>
            <w:tcW w:w="0" w:type="auto"/>
            <w:gridSpan w:val="3"/>
            <w:shd w:val="clear" w:color="auto" w:fill="auto"/>
            <w:vAlign w:val="bottom"/>
          </w:tcPr>
          <w:p w14:paraId="392C77FD" w14:textId="77777777" w:rsidR="00980E5F" w:rsidRDefault="00980E5F">
            <w:pPr>
              <w:rPr>
                <w:rFonts w:ascii="宋体"/>
                <w:vanish/>
              </w:rPr>
            </w:pPr>
          </w:p>
        </w:tc>
        <w:tc>
          <w:tcPr>
            <w:tcW w:w="0" w:type="auto"/>
            <w:gridSpan w:val="3"/>
            <w:shd w:val="clear" w:color="auto" w:fill="auto"/>
            <w:vAlign w:val="bottom"/>
          </w:tcPr>
          <w:p w14:paraId="392C77FE" w14:textId="77777777" w:rsidR="00980E5F" w:rsidRDefault="00980E5F">
            <w:pPr>
              <w:rPr>
                <w:rFonts w:ascii="宋体"/>
                <w:vanish/>
              </w:rPr>
            </w:pPr>
          </w:p>
        </w:tc>
        <w:tc>
          <w:tcPr>
            <w:tcW w:w="0" w:type="auto"/>
            <w:shd w:val="clear" w:color="auto" w:fill="auto"/>
            <w:vAlign w:val="bottom"/>
          </w:tcPr>
          <w:p w14:paraId="392C77FF" w14:textId="77777777" w:rsidR="00980E5F" w:rsidRDefault="00980E5F">
            <w:pPr>
              <w:rPr>
                <w:rFonts w:ascii="宋体"/>
                <w:vanish/>
              </w:rPr>
            </w:pPr>
          </w:p>
        </w:tc>
        <w:tc>
          <w:tcPr>
            <w:tcW w:w="0" w:type="auto"/>
            <w:shd w:val="clear" w:color="auto" w:fill="auto"/>
            <w:vAlign w:val="bottom"/>
          </w:tcPr>
          <w:p w14:paraId="392C7800" w14:textId="77777777" w:rsidR="00980E5F" w:rsidRDefault="00980E5F">
            <w:pPr>
              <w:rPr>
                <w:rFonts w:ascii="宋体"/>
                <w:vanish/>
              </w:rPr>
            </w:pPr>
          </w:p>
        </w:tc>
        <w:tc>
          <w:tcPr>
            <w:tcW w:w="0" w:type="auto"/>
            <w:gridSpan w:val="3"/>
            <w:shd w:val="clear" w:color="auto" w:fill="auto"/>
            <w:vAlign w:val="bottom"/>
          </w:tcPr>
          <w:p w14:paraId="392C7801" w14:textId="77777777" w:rsidR="00980E5F" w:rsidRDefault="00980E5F">
            <w:pPr>
              <w:rPr>
                <w:rFonts w:ascii="宋体"/>
                <w:vanish/>
              </w:rPr>
            </w:pPr>
          </w:p>
        </w:tc>
        <w:tc>
          <w:tcPr>
            <w:tcW w:w="0" w:type="auto"/>
            <w:gridSpan w:val="3"/>
            <w:shd w:val="clear" w:color="auto" w:fill="auto"/>
            <w:vAlign w:val="bottom"/>
          </w:tcPr>
          <w:p w14:paraId="392C7802" w14:textId="77777777" w:rsidR="00980E5F" w:rsidRDefault="00980E5F">
            <w:pPr>
              <w:rPr>
                <w:rFonts w:ascii="宋体"/>
                <w:vanish/>
              </w:rPr>
            </w:pPr>
          </w:p>
        </w:tc>
        <w:tc>
          <w:tcPr>
            <w:tcW w:w="0" w:type="auto"/>
            <w:gridSpan w:val="3"/>
            <w:shd w:val="clear" w:color="auto" w:fill="auto"/>
            <w:vAlign w:val="bottom"/>
          </w:tcPr>
          <w:p w14:paraId="392C7803" w14:textId="77777777" w:rsidR="00980E5F" w:rsidRDefault="00980E5F">
            <w:pPr>
              <w:rPr>
                <w:rFonts w:ascii="宋体"/>
                <w:vanish/>
              </w:rPr>
            </w:pPr>
          </w:p>
        </w:tc>
        <w:tc>
          <w:tcPr>
            <w:tcW w:w="0" w:type="auto"/>
            <w:gridSpan w:val="3"/>
            <w:shd w:val="clear" w:color="auto" w:fill="auto"/>
            <w:vAlign w:val="bottom"/>
          </w:tcPr>
          <w:p w14:paraId="392C7804" w14:textId="77777777" w:rsidR="00980E5F" w:rsidRDefault="00980E5F">
            <w:pPr>
              <w:rPr>
                <w:rFonts w:ascii="宋体"/>
                <w:vanish/>
              </w:rPr>
            </w:pPr>
          </w:p>
        </w:tc>
        <w:tc>
          <w:tcPr>
            <w:tcW w:w="0" w:type="auto"/>
            <w:gridSpan w:val="3"/>
            <w:shd w:val="clear" w:color="auto" w:fill="auto"/>
            <w:vAlign w:val="bottom"/>
          </w:tcPr>
          <w:p w14:paraId="392C7805" w14:textId="77777777" w:rsidR="00980E5F" w:rsidRDefault="00980E5F">
            <w:pPr>
              <w:rPr>
                <w:rFonts w:ascii="宋体"/>
                <w:vanish/>
              </w:rPr>
            </w:pPr>
          </w:p>
        </w:tc>
      </w:tr>
      <w:tr w:rsidR="00980E5F" w14:paraId="392C7819" w14:textId="77777777">
        <w:trPr>
          <w:hidden/>
        </w:trPr>
        <w:tc>
          <w:tcPr>
            <w:tcW w:w="0" w:type="auto"/>
            <w:gridSpan w:val="3"/>
            <w:shd w:val="clear" w:color="auto" w:fill="auto"/>
            <w:vAlign w:val="bottom"/>
          </w:tcPr>
          <w:p w14:paraId="392C7807" w14:textId="77777777" w:rsidR="00980E5F" w:rsidRDefault="00980E5F">
            <w:pPr>
              <w:rPr>
                <w:rFonts w:ascii="宋体"/>
                <w:vanish/>
              </w:rPr>
            </w:pPr>
          </w:p>
        </w:tc>
        <w:tc>
          <w:tcPr>
            <w:tcW w:w="0" w:type="auto"/>
            <w:gridSpan w:val="3"/>
            <w:shd w:val="clear" w:color="auto" w:fill="auto"/>
            <w:vAlign w:val="bottom"/>
          </w:tcPr>
          <w:p w14:paraId="392C7808" w14:textId="77777777" w:rsidR="00980E5F" w:rsidRDefault="00980E5F">
            <w:pPr>
              <w:rPr>
                <w:rFonts w:ascii="宋体"/>
                <w:vanish/>
              </w:rPr>
            </w:pPr>
          </w:p>
        </w:tc>
        <w:tc>
          <w:tcPr>
            <w:tcW w:w="0" w:type="auto"/>
            <w:gridSpan w:val="3"/>
            <w:shd w:val="clear" w:color="auto" w:fill="auto"/>
            <w:vAlign w:val="bottom"/>
          </w:tcPr>
          <w:p w14:paraId="392C7809" w14:textId="77777777" w:rsidR="00980E5F" w:rsidRDefault="00980E5F">
            <w:pPr>
              <w:rPr>
                <w:rFonts w:ascii="宋体"/>
                <w:vanish/>
              </w:rPr>
            </w:pPr>
          </w:p>
        </w:tc>
        <w:tc>
          <w:tcPr>
            <w:tcW w:w="0" w:type="auto"/>
            <w:gridSpan w:val="3"/>
            <w:shd w:val="clear" w:color="auto" w:fill="auto"/>
            <w:vAlign w:val="bottom"/>
          </w:tcPr>
          <w:p w14:paraId="392C780A" w14:textId="77777777" w:rsidR="00980E5F" w:rsidRDefault="00980E5F">
            <w:pPr>
              <w:rPr>
                <w:rFonts w:ascii="宋体"/>
                <w:vanish/>
              </w:rPr>
            </w:pPr>
          </w:p>
        </w:tc>
        <w:tc>
          <w:tcPr>
            <w:tcW w:w="0" w:type="auto"/>
            <w:gridSpan w:val="3"/>
            <w:shd w:val="clear" w:color="auto" w:fill="auto"/>
            <w:vAlign w:val="bottom"/>
          </w:tcPr>
          <w:p w14:paraId="392C780B" w14:textId="77777777" w:rsidR="00980E5F" w:rsidRDefault="00980E5F">
            <w:pPr>
              <w:rPr>
                <w:rFonts w:ascii="宋体"/>
                <w:vanish/>
              </w:rPr>
            </w:pPr>
          </w:p>
        </w:tc>
        <w:tc>
          <w:tcPr>
            <w:tcW w:w="0" w:type="auto"/>
            <w:gridSpan w:val="3"/>
            <w:shd w:val="clear" w:color="auto" w:fill="auto"/>
            <w:vAlign w:val="bottom"/>
          </w:tcPr>
          <w:p w14:paraId="392C780C" w14:textId="77777777" w:rsidR="00980E5F" w:rsidRDefault="00980E5F">
            <w:pPr>
              <w:rPr>
                <w:rFonts w:ascii="宋体"/>
                <w:vanish/>
              </w:rPr>
            </w:pPr>
          </w:p>
        </w:tc>
        <w:tc>
          <w:tcPr>
            <w:tcW w:w="0" w:type="auto"/>
            <w:gridSpan w:val="3"/>
            <w:shd w:val="clear" w:color="auto" w:fill="auto"/>
            <w:vAlign w:val="bottom"/>
          </w:tcPr>
          <w:p w14:paraId="392C780D" w14:textId="77777777" w:rsidR="00980E5F" w:rsidRDefault="00980E5F">
            <w:pPr>
              <w:rPr>
                <w:rFonts w:ascii="宋体"/>
                <w:vanish/>
              </w:rPr>
            </w:pPr>
          </w:p>
        </w:tc>
        <w:tc>
          <w:tcPr>
            <w:tcW w:w="0" w:type="auto"/>
            <w:gridSpan w:val="3"/>
            <w:shd w:val="clear" w:color="auto" w:fill="auto"/>
            <w:vAlign w:val="bottom"/>
          </w:tcPr>
          <w:p w14:paraId="392C780E" w14:textId="77777777" w:rsidR="00980E5F" w:rsidRDefault="00980E5F">
            <w:pPr>
              <w:rPr>
                <w:rFonts w:ascii="宋体"/>
                <w:vanish/>
              </w:rPr>
            </w:pPr>
          </w:p>
        </w:tc>
        <w:tc>
          <w:tcPr>
            <w:tcW w:w="0" w:type="auto"/>
            <w:gridSpan w:val="3"/>
            <w:shd w:val="clear" w:color="auto" w:fill="auto"/>
            <w:vAlign w:val="bottom"/>
          </w:tcPr>
          <w:p w14:paraId="392C780F" w14:textId="77777777" w:rsidR="00980E5F" w:rsidRDefault="00980E5F">
            <w:pPr>
              <w:rPr>
                <w:rFonts w:ascii="宋体"/>
                <w:vanish/>
              </w:rPr>
            </w:pPr>
          </w:p>
        </w:tc>
        <w:tc>
          <w:tcPr>
            <w:tcW w:w="0" w:type="auto"/>
            <w:gridSpan w:val="3"/>
            <w:shd w:val="clear" w:color="auto" w:fill="auto"/>
            <w:vAlign w:val="bottom"/>
          </w:tcPr>
          <w:p w14:paraId="392C7810" w14:textId="77777777" w:rsidR="00980E5F" w:rsidRDefault="00980E5F">
            <w:pPr>
              <w:rPr>
                <w:rFonts w:ascii="宋体"/>
                <w:vanish/>
              </w:rPr>
            </w:pPr>
          </w:p>
        </w:tc>
        <w:tc>
          <w:tcPr>
            <w:tcW w:w="0" w:type="auto"/>
            <w:gridSpan w:val="3"/>
            <w:shd w:val="clear" w:color="auto" w:fill="auto"/>
            <w:vAlign w:val="bottom"/>
          </w:tcPr>
          <w:p w14:paraId="392C7811" w14:textId="77777777" w:rsidR="00980E5F" w:rsidRDefault="00980E5F">
            <w:pPr>
              <w:rPr>
                <w:rFonts w:ascii="宋体"/>
                <w:vanish/>
              </w:rPr>
            </w:pPr>
          </w:p>
        </w:tc>
        <w:tc>
          <w:tcPr>
            <w:tcW w:w="0" w:type="auto"/>
            <w:shd w:val="clear" w:color="auto" w:fill="auto"/>
            <w:vAlign w:val="bottom"/>
          </w:tcPr>
          <w:p w14:paraId="392C7812" w14:textId="77777777" w:rsidR="00980E5F" w:rsidRDefault="00980E5F">
            <w:pPr>
              <w:rPr>
                <w:rFonts w:ascii="宋体"/>
                <w:vanish/>
              </w:rPr>
            </w:pPr>
          </w:p>
        </w:tc>
        <w:tc>
          <w:tcPr>
            <w:tcW w:w="0" w:type="auto"/>
            <w:shd w:val="clear" w:color="auto" w:fill="auto"/>
            <w:vAlign w:val="bottom"/>
          </w:tcPr>
          <w:p w14:paraId="392C7813" w14:textId="77777777" w:rsidR="00980E5F" w:rsidRDefault="00980E5F">
            <w:pPr>
              <w:rPr>
                <w:rFonts w:ascii="宋体"/>
                <w:vanish/>
              </w:rPr>
            </w:pPr>
          </w:p>
        </w:tc>
        <w:tc>
          <w:tcPr>
            <w:tcW w:w="0" w:type="auto"/>
            <w:gridSpan w:val="3"/>
            <w:shd w:val="clear" w:color="auto" w:fill="auto"/>
            <w:vAlign w:val="bottom"/>
          </w:tcPr>
          <w:p w14:paraId="392C7814" w14:textId="77777777" w:rsidR="00980E5F" w:rsidRDefault="00980E5F">
            <w:pPr>
              <w:rPr>
                <w:rFonts w:ascii="宋体"/>
                <w:vanish/>
              </w:rPr>
            </w:pPr>
          </w:p>
        </w:tc>
        <w:tc>
          <w:tcPr>
            <w:tcW w:w="0" w:type="auto"/>
            <w:gridSpan w:val="3"/>
            <w:shd w:val="clear" w:color="auto" w:fill="auto"/>
            <w:vAlign w:val="bottom"/>
          </w:tcPr>
          <w:p w14:paraId="392C7815" w14:textId="77777777" w:rsidR="00980E5F" w:rsidRDefault="00980E5F">
            <w:pPr>
              <w:rPr>
                <w:rFonts w:ascii="宋体"/>
                <w:vanish/>
              </w:rPr>
            </w:pPr>
          </w:p>
        </w:tc>
        <w:tc>
          <w:tcPr>
            <w:tcW w:w="0" w:type="auto"/>
            <w:gridSpan w:val="3"/>
            <w:shd w:val="clear" w:color="auto" w:fill="auto"/>
            <w:vAlign w:val="bottom"/>
          </w:tcPr>
          <w:p w14:paraId="392C7816" w14:textId="77777777" w:rsidR="00980E5F" w:rsidRDefault="00980E5F">
            <w:pPr>
              <w:rPr>
                <w:rFonts w:ascii="宋体"/>
                <w:vanish/>
              </w:rPr>
            </w:pPr>
          </w:p>
        </w:tc>
        <w:tc>
          <w:tcPr>
            <w:tcW w:w="0" w:type="auto"/>
            <w:gridSpan w:val="3"/>
            <w:shd w:val="clear" w:color="auto" w:fill="auto"/>
            <w:vAlign w:val="bottom"/>
          </w:tcPr>
          <w:p w14:paraId="392C7817" w14:textId="77777777" w:rsidR="00980E5F" w:rsidRDefault="00980E5F">
            <w:pPr>
              <w:rPr>
                <w:rFonts w:ascii="宋体"/>
                <w:vanish/>
              </w:rPr>
            </w:pPr>
          </w:p>
        </w:tc>
        <w:tc>
          <w:tcPr>
            <w:tcW w:w="0" w:type="auto"/>
            <w:gridSpan w:val="3"/>
            <w:shd w:val="clear" w:color="auto" w:fill="auto"/>
            <w:vAlign w:val="bottom"/>
          </w:tcPr>
          <w:p w14:paraId="392C7818" w14:textId="77777777" w:rsidR="00980E5F" w:rsidRDefault="00980E5F">
            <w:pPr>
              <w:rPr>
                <w:rFonts w:ascii="宋体"/>
                <w:vanish/>
              </w:rPr>
            </w:pPr>
          </w:p>
        </w:tc>
      </w:tr>
      <w:tr w:rsidR="00980E5F" w14:paraId="392C782C" w14:textId="77777777">
        <w:trPr>
          <w:hidden/>
        </w:trPr>
        <w:tc>
          <w:tcPr>
            <w:tcW w:w="0" w:type="auto"/>
            <w:gridSpan w:val="3"/>
            <w:shd w:val="clear" w:color="auto" w:fill="auto"/>
            <w:vAlign w:val="bottom"/>
          </w:tcPr>
          <w:p w14:paraId="392C781A" w14:textId="77777777" w:rsidR="00980E5F" w:rsidRDefault="00980E5F">
            <w:pPr>
              <w:rPr>
                <w:rFonts w:ascii="宋体"/>
                <w:vanish/>
              </w:rPr>
            </w:pPr>
          </w:p>
        </w:tc>
        <w:tc>
          <w:tcPr>
            <w:tcW w:w="0" w:type="auto"/>
            <w:gridSpan w:val="3"/>
            <w:shd w:val="clear" w:color="auto" w:fill="auto"/>
            <w:vAlign w:val="bottom"/>
          </w:tcPr>
          <w:p w14:paraId="392C781B" w14:textId="77777777" w:rsidR="00980E5F" w:rsidRDefault="00980E5F">
            <w:pPr>
              <w:rPr>
                <w:rFonts w:ascii="宋体"/>
                <w:vanish/>
              </w:rPr>
            </w:pPr>
          </w:p>
        </w:tc>
        <w:tc>
          <w:tcPr>
            <w:tcW w:w="0" w:type="auto"/>
            <w:gridSpan w:val="3"/>
            <w:shd w:val="clear" w:color="auto" w:fill="auto"/>
            <w:vAlign w:val="bottom"/>
          </w:tcPr>
          <w:p w14:paraId="392C781C" w14:textId="77777777" w:rsidR="00980E5F" w:rsidRDefault="00980E5F">
            <w:pPr>
              <w:rPr>
                <w:rFonts w:ascii="宋体"/>
                <w:vanish/>
              </w:rPr>
            </w:pPr>
          </w:p>
        </w:tc>
        <w:tc>
          <w:tcPr>
            <w:tcW w:w="0" w:type="auto"/>
            <w:gridSpan w:val="3"/>
            <w:shd w:val="clear" w:color="auto" w:fill="auto"/>
            <w:vAlign w:val="bottom"/>
          </w:tcPr>
          <w:p w14:paraId="392C781D" w14:textId="77777777" w:rsidR="00980E5F" w:rsidRDefault="00980E5F">
            <w:pPr>
              <w:rPr>
                <w:rFonts w:ascii="宋体"/>
                <w:vanish/>
              </w:rPr>
            </w:pPr>
          </w:p>
        </w:tc>
        <w:tc>
          <w:tcPr>
            <w:tcW w:w="0" w:type="auto"/>
            <w:gridSpan w:val="3"/>
            <w:shd w:val="clear" w:color="auto" w:fill="auto"/>
            <w:vAlign w:val="bottom"/>
          </w:tcPr>
          <w:p w14:paraId="392C781E" w14:textId="77777777" w:rsidR="00980E5F" w:rsidRDefault="00980E5F">
            <w:pPr>
              <w:rPr>
                <w:rFonts w:ascii="宋体"/>
                <w:vanish/>
              </w:rPr>
            </w:pPr>
          </w:p>
        </w:tc>
        <w:tc>
          <w:tcPr>
            <w:tcW w:w="0" w:type="auto"/>
            <w:gridSpan w:val="3"/>
            <w:shd w:val="clear" w:color="auto" w:fill="auto"/>
            <w:vAlign w:val="bottom"/>
          </w:tcPr>
          <w:p w14:paraId="392C781F" w14:textId="77777777" w:rsidR="00980E5F" w:rsidRDefault="00980E5F">
            <w:pPr>
              <w:rPr>
                <w:rFonts w:ascii="宋体"/>
                <w:vanish/>
              </w:rPr>
            </w:pPr>
          </w:p>
        </w:tc>
        <w:tc>
          <w:tcPr>
            <w:tcW w:w="0" w:type="auto"/>
            <w:gridSpan w:val="3"/>
            <w:shd w:val="clear" w:color="auto" w:fill="auto"/>
            <w:vAlign w:val="bottom"/>
          </w:tcPr>
          <w:p w14:paraId="392C7820" w14:textId="77777777" w:rsidR="00980E5F" w:rsidRDefault="00980E5F">
            <w:pPr>
              <w:rPr>
                <w:rFonts w:ascii="宋体"/>
                <w:vanish/>
              </w:rPr>
            </w:pPr>
          </w:p>
        </w:tc>
        <w:tc>
          <w:tcPr>
            <w:tcW w:w="0" w:type="auto"/>
            <w:gridSpan w:val="3"/>
            <w:shd w:val="clear" w:color="auto" w:fill="auto"/>
            <w:vAlign w:val="bottom"/>
          </w:tcPr>
          <w:p w14:paraId="392C7821" w14:textId="77777777" w:rsidR="00980E5F" w:rsidRDefault="00980E5F">
            <w:pPr>
              <w:rPr>
                <w:rFonts w:ascii="宋体"/>
                <w:vanish/>
              </w:rPr>
            </w:pPr>
          </w:p>
        </w:tc>
        <w:tc>
          <w:tcPr>
            <w:tcW w:w="0" w:type="auto"/>
            <w:gridSpan w:val="3"/>
            <w:shd w:val="clear" w:color="auto" w:fill="auto"/>
            <w:vAlign w:val="bottom"/>
          </w:tcPr>
          <w:p w14:paraId="392C7822" w14:textId="77777777" w:rsidR="00980E5F" w:rsidRDefault="00980E5F">
            <w:pPr>
              <w:rPr>
                <w:rFonts w:ascii="宋体"/>
                <w:vanish/>
              </w:rPr>
            </w:pPr>
          </w:p>
        </w:tc>
        <w:tc>
          <w:tcPr>
            <w:tcW w:w="0" w:type="auto"/>
            <w:gridSpan w:val="3"/>
            <w:shd w:val="clear" w:color="auto" w:fill="auto"/>
            <w:vAlign w:val="bottom"/>
          </w:tcPr>
          <w:p w14:paraId="392C7823" w14:textId="77777777" w:rsidR="00980E5F" w:rsidRDefault="00980E5F">
            <w:pPr>
              <w:rPr>
                <w:rFonts w:ascii="宋体"/>
                <w:vanish/>
              </w:rPr>
            </w:pPr>
          </w:p>
        </w:tc>
        <w:tc>
          <w:tcPr>
            <w:tcW w:w="0" w:type="auto"/>
            <w:gridSpan w:val="3"/>
            <w:shd w:val="clear" w:color="auto" w:fill="auto"/>
            <w:vAlign w:val="bottom"/>
          </w:tcPr>
          <w:p w14:paraId="392C7824" w14:textId="77777777" w:rsidR="00980E5F" w:rsidRDefault="00980E5F">
            <w:pPr>
              <w:rPr>
                <w:rFonts w:ascii="宋体"/>
                <w:vanish/>
              </w:rPr>
            </w:pPr>
          </w:p>
        </w:tc>
        <w:tc>
          <w:tcPr>
            <w:tcW w:w="0" w:type="auto"/>
            <w:shd w:val="clear" w:color="auto" w:fill="auto"/>
            <w:vAlign w:val="bottom"/>
          </w:tcPr>
          <w:p w14:paraId="392C7825" w14:textId="77777777" w:rsidR="00980E5F" w:rsidRDefault="00980E5F">
            <w:pPr>
              <w:rPr>
                <w:rFonts w:ascii="宋体"/>
                <w:vanish/>
              </w:rPr>
            </w:pPr>
          </w:p>
        </w:tc>
        <w:tc>
          <w:tcPr>
            <w:tcW w:w="0" w:type="auto"/>
            <w:shd w:val="clear" w:color="auto" w:fill="auto"/>
            <w:vAlign w:val="bottom"/>
          </w:tcPr>
          <w:p w14:paraId="392C7826" w14:textId="77777777" w:rsidR="00980E5F" w:rsidRDefault="00980E5F">
            <w:pPr>
              <w:rPr>
                <w:rFonts w:ascii="宋体"/>
                <w:vanish/>
              </w:rPr>
            </w:pPr>
          </w:p>
        </w:tc>
        <w:tc>
          <w:tcPr>
            <w:tcW w:w="0" w:type="auto"/>
            <w:gridSpan w:val="3"/>
            <w:shd w:val="clear" w:color="auto" w:fill="auto"/>
            <w:vAlign w:val="bottom"/>
          </w:tcPr>
          <w:p w14:paraId="392C7827" w14:textId="77777777" w:rsidR="00980E5F" w:rsidRDefault="00980E5F">
            <w:pPr>
              <w:rPr>
                <w:rFonts w:ascii="宋体"/>
                <w:vanish/>
              </w:rPr>
            </w:pPr>
          </w:p>
        </w:tc>
        <w:tc>
          <w:tcPr>
            <w:tcW w:w="0" w:type="auto"/>
            <w:gridSpan w:val="3"/>
            <w:shd w:val="clear" w:color="auto" w:fill="auto"/>
            <w:vAlign w:val="bottom"/>
          </w:tcPr>
          <w:p w14:paraId="392C7828" w14:textId="77777777" w:rsidR="00980E5F" w:rsidRDefault="00980E5F">
            <w:pPr>
              <w:rPr>
                <w:rFonts w:ascii="宋体"/>
                <w:vanish/>
              </w:rPr>
            </w:pPr>
          </w:p>
        </w:tc>
        <w:tc>
          <w:tcPr>
            <w:tcW w:w="0" w:type="auto"/>
            <w:gridSpan w:val="3"/>
            <w:shd w:val="clear" w:color="auto" w:fill="auto"/>
            <w:vAlign w:val="bottom"/>
          </w:tcPr>
          <w:p w14:paraId="392C7829" w14:textId="77777777" w:rsidR="00980E5F" w:rsidRDefault="00980E5F">
            <w:pPr>
              <w:rPr>
                <w:rFonts w:ascii="宋体"/>
                <w:vanish/>
              </w:rPr>
            </w:pPr>
          </w:p>
        </w:tc>
        <w:tc>
          <w:tcPr>
            <w:tcW w:w="0" w:type="auto"/>
            <w:gridSpan w:val="3"/>
            <w:shd w:val="clear" w:color="auto" w:fill="auto"/>
            <w:vAlign w:val="bottom"/>
          </w:tcPr>
          <w:p w14:paraId="392C782A" w14:textId="77777777" w:rsidR="00980E5F" w:rsidRDefault="00980E5F">
            <w:pPr>
              <w:rPr>
                <w:rFonts w:ascii="宋体"/>
                <w:vanish/>
              </w:rPr>
            </w:pPr>
          </w:p>
        </w:tc>
        <w:tc>
          <w:tcPr>
            <w:tcW w:w="0" w:type="auto"/>
            <w:gridSpan w:val="3"/>
            <w:shd w:val="clear" w:color="auto" w:fill="auto"/>
            <w:vAlign w:val="bottom"/>
          </w:tcPr>
          <w:p w14:paraId="392C782B" w14:textId="77777777" w:rsidR="00980E5F" w:rsidRDefault="00980E5F">
            <w:pPr>
              <w:rPr>
                <w:rFonts w:ascii="宋体"/>
                <w:vanish/>
              </w:rPr>
            </w:pPr>
          </w:p>
        </w:tc>
      </w:tr>
      <w:tr w:rsidR="00980E5F" w14:paraId="392C783F" w14:textId="77777777">
        <w:trPr>
          <w:hidden/>
        </w:trPr>
        <w:tc>
          <w:tcPr>
            <w:tcW w:w="0" w:type="auto"/>
            <w:gridSpan w:val="3"/>
            <w:shd w:val="clear" w:color="auto" w:fill="auto"/>
            <w:vAlign w:val="bottom"/>
          </w:tcPr>
          <w:p w14:paraId="392C782D" w14:textId="77777777" w:rsidR="00980E5F" w:rsidRDefault="00980E5F">
            <w:pPr>
              <w:rPr>
                <w:rFonts w:ascii="宋体"/>
                <w:vanish/>
              </w:rPr>
            </w:pPr>
          </w:p>
        </w:tc>
        <w:tc>
          <w:tcPr>
            <w:tcW w:w="0" w:type="auto"/>
            <w:gridSpan w:val="3"/>
            <w:shd w:val="clear" w:color="auto" w:fill="auto"/>
            <w:vAlign w:val="bottom"/>
          </w:tcPr>
          <w:p w14:paraId="392C782E" w14:textId="77777777" w:rsidR="00980E5F" w:rsidRDefault="00980E5F">
            <w:pPr>
              <w:rPr>
                <w:rFonts w:ascii="宋体"/>
                <w:vanish/>
              </w:rPr>
            </w:pPr>
          </w:p>
        </w:tc>
        <w:tc>
          <w:tcPr>
            <w:tcW w:w="0" w:type="auto"/>
            <w:gridSpan w:val="3"/>
            <w:shd w:val="clear" w:color="auto" w:fill="auto"/>
            <w:vAlign w:val="bottom"/>
          </w:tcPr>
          <w:p w14:paraId="392C782F" w14:textId="77777777" w:rsidR="00980E5F" w:rsidRDefault="00980E5F">
            <w:pPr>
              <w:rPr>
                <w:rFonts w:ascii="宋体"/>
                <w:vanish/>
              </w:rPr>
            </w:pPr>
          </w:p>
        </w:tc>
        <w:tc>
          <w:tcPr>
            <w:tcW w:w="0" w:type="auto"/>
            <w:gridSpan w:val="3"/>
            <w:shd w:val="clear" w:color="auto" w:fill="auto"/>
            <w:vAlign w:val="bottom"/>
          </w:tcPr>
          <w:p w14:paraId="392C7830" w14:textId="77777777" w:rsidR="00980E5F" w:rsidRDefault="00980E5F">
            <w:pPr>
              <w:rPr>
                <w:rFonts w:ascii="宋体"/>
                <w:vanish/>
              </w:rPr>
            </w:pPr>
          </w:p>
        </w:tc>
        <w:tc>
          <w:tcPr>
            <w:tcW w:w="0" w:type="auto"/>
            <w:gridSpan w:val="3"/>
            <w:shd w:val="clear" w:color="auto" w:fill="auto"/>
            <w:vAlign w:val="bottom"/>
          </w:tcPr>
          <w:p w14:paraId="392C7831" w14:textId="77777777" w:rsidR="00980E5F" w:rsidRDefault="00980E5F">
            <w:pPr>
              <w:rPr>
                <w:rFonts w:ascii="宋体"/>
                <w:vanish/>
              </w:rPr>
            </w:pPr>
          </w:p>
        </w:tc>
        <w:tc>
          <w:tcPr>
            <w:tcW w:w="0" w:type="auto"/>
            <w:gridSpan w:val="3"/>
            <w:shd w:val="clear" w:color="auto" w:fill="auto"/>
            <w:vAlign w:val="bottom"/>
          </w:tcPr>
          <w:p w14:paraId="392C7832" w14:textId="77777777" w:rsidR="00980E5F" w:rsidRDefault="00980E5F">
            <w:pPr>
              <w:rPr>
                <w:rFonts w:ascii="宋体"/>
                <w:vanish/>
              </w:rPr>
            </w:pPr>
          </w:p>
        </w:tc>
        <w:tc>
          <w:tcPr>
            <w:tcW w:w="0" w:type="auto"/>
            <w:gridSpan w:val="3"/>
            <w:shd w:val="clear" w:color="auto" w:fill="auto"/>
            <w:vAlign w:val="bottom"/>
          </w:tcPr>
          <w:p w14:paraId="392C7833" w14:textId="77777777" w:rsidR="00980E5F" w:rsidRDefault="00980E5F">
            <w:pPr>
              <w:rPr>
                <w:rFonts w:ascii="宋体"/>
                <w:vanish/>
              </w:rPr>
            </w:pPr>
          </w:p>
        </w:tc>
        <w:tc>
          <w:tcPr>
            <w:tcW w:w="0" w:type="auto"/>
            <w:gridSpan w:val="3"/>
            <w:shd w:val="clear" w:color="auto" w:fill="auto"/>
            <w:vAlign w:val="bottom"/>
          </w:tcPr>
          <w:p w14:paraId="392C7834" w14:textId="77777777" w:rsidR="00980E5F" w:rsidRDefault="00980E5F">
            <w:pPr>
              <w:rPr>
                <w:rFonts w:ascii="宋体"/>
                <w:vanish/>
              </w:rPr>
            </w:pPr>
          </w:p>
        </w:tc>
        <w:tc>
          <w:tcPr>
            <w:tcW w:w="0" w:type="auto"/>
            <w:gridSpan w:val="3"/>
            <w:shd w:val="clear" w:color="auto" w:fill="auto"/>
            <w:vAlign w:val="bottom"/>
          </w:tcPr>
          <w:p w14:paraId="392C7835" w14:textId="77777777" w:rsidR="00980E5F" w:rsidRDefault="00980E5F">
            <w:pPr>
              <w:rPr>
                <w:rFonts w:ascii="宋体"/>
                <w:vanish/>
              </w:rPr>
            </w:pPr>
          </w:p>
        </w:tc>
        <w:tc>
          <w:tcPr>
            <w:tcW w:w="0" w:type="auto"/>
            <w:gridSpan w:val="3"/>
            <w:shd w:val="clear" w:color="auto" w:fill="auto"/>
            <w:vAlign w:val="bottom"/>
          </w:tcPr>
          <w:p w14:paraId="392C7836" w14:textId="77777777" w:rsidR="00980E5F" w:rsidRDefault="00980E5F">
            <w:pPr>
              <w:rPr>
                <w:rFonts w:ascii="宋体"/>
                <w:vanish/>
              </w:rPr>
            </w:pPr>
          </w:p>
        </w:tc>
        <w:tc>
          <w:tcPr>
            <w:tcW w:w="0" w:type="auto"/>
            <w:gridSpan w:val="3"/>
            <w:shd w:val="clear" w:color="auto" w:fill="auto"/>
            <w:vAlign w:val="bottom"/>
          </w:tcPr>
          <w:p w14:paraId="392C7837" w14:textId="77777777" w:rsidR="00980E5F" w:rsidRDefault="00980E5F">
            <w:pPr>
              <w:rPr>
                <w:rFonts w:ascii="宋体"/>
                <w:vanish/>
              </w:rPr>
            </w:pPr>
          </w:p>
        </w:tc>
        <w:tc>
          <w:tcPr>
            <w:tcW w:w="0" w:type="auto"/>
            <w:shd w:val="clear" w:color="auto" w:fill="auto"/>
            <w:vAlign w:val="bottom"/>
          </w:tcPr>
          <w:p w14:paraId="392C7838" w14:textId="77777777" w:rsidR="00980E5F" w:rsidRDefault="00980E5F">
            <w:pPr>
              <w:rPr>
                <w:rFonts w:ascii="宋体"/>
                <w:vanish/>
              </w:rPr>
            </w:pPr>
          </w:p>
        </w:tc>
        <w:tc>
          <w:tcPr>
            <w:tcW w:w="0" w:type="auto"/>
            <w:shd w:val="clear" w:color="auto" w:fill="auto"/>
            <w:vAlign w:val="bottom"/>
          </w:tcPr>
          <w:p w14:paraId="392C7839" w14:textId="77777777" w:rsidR="00980E5F" w:rsidRDefault="00980E5F">
            <w:pPr>
              <w:rPr>
                <w:rFonts w:ascii="宋体"/>
                <w:vanish/>
              </w:rPr>
            </w:pPr>
          </w:p>
        </w:tc>
        <w:tc>
          <w:tcPr>
            <w:tcW w:w="0" w:type="auto"/>
            <w:gridSpan w:val="3"/>
            <w:shd w:val="clear" w:color="auto" w:fill="auto"/>
            <w:vAlign w:val="bottom"/>
          </w:tcPr>
          <w:p w14:paraId="392C783A" w14:textId="77777777" w:rsidR="00980E5F" w:rsidRDefault="00980E5F">
            <w:pPr>
              <w:rPr>
                <w:rFonts w:ascii="宋体"/>
                <w:vanish/>
              </w:rPr>
            </w:pPr>
          </w:p>
        </w:tc>
        <w:tc>
          <w:tcPr>
            <w:tcW w:w="0" w:type="auto"/>
            <w:gridSpan w:val="3"/>
            <w:shd w:val="clear" w:color="auto" w:fill="auto"/>
            <w:vAlign w:val="bottom"/>
          </w:tcPr>
          <w:p w14:paraId="392C783B" w14:textId="77777777" w:rsidR="00980E5F" w:rsidRDefault="00980E5F">
            <w:pPr>
              <w:rPr>
                <w:rFonts w:ascii="宋体"/>
                <w:vanish/>
              </w:rPr>
            </w:pPr>
          </w:p>
        </w:tc>
        <w:tc>
          <w:tcPr>
            <w:tcW w:w="0" w:type="auto"/>
            <w:gridSpan w:val="3"/>
            <w:shd w:val="clear" w:color="auto" w:fill="auto"/>
            <w:vAlign w:val="bottom"/>
          </w:tcPr>
          <w:p w14:paraId="392C783C" w14:textId="77777777" w:rsidR="00980E5F" w:rsidRDefault="00980E5F">
            <w:pPr>
              <w:rPr>
                <w:rFonts w:ascii="宋体"/>
                <w:vanish/>
              </w:rPr>
            </w:pPr>
          </w:p>
        </w:tc>
        <w:tc>
          <w:tcPr>
            <w:tcW w:w="0" w:type="auto"/>
            <w:gridSpan w:val="3"/>
            <w:shd w:val="clear" w:color="auto" w:fill="auto"/>
            <w:vAlign w:val="bottom"/>
          </w:tcPr>
          <w:p w14:paraId="392C783D" w14:textId="77777777" w:rsidR="00980E5F" w:rsidRDefault="00980E5F">
            <w:pPr>
              <w:rPr>
                <w:rFonts w:ascii="宋体"/>
                <w:vanish/>
              </w:rPr>
            </w:pPr>
          </w:p>
        </w:tc>
        <w:tc>
          <w:tcPr>
            <w:tcW w:w="0" w:type="auto"/>
            <w:gridSpan w:val="3"/>
            <w:shd w:val="clear" w:color="auto" w:fill="auto"/>
            <w:vAlign w:val="bottom"/>
          </w:tcPr>
          <w:p w14:paraId="392C783E" w14:textId="77777777" w:rsidR="00980E5F" w:rsidRDefault="00980E5F">
            <w:pPr>
              <w:rPr>
                <w:rFonts w:ascii="宋体"/>
                <w:vanish/>
              </w:rPr>
            </w:pPr>
          </w:p>
        </w:tc>
      </w:tr>
      <w:tr w:rsidR="00980E5F" w14:paraId="392C7852" w14:textId="77777777">
        <w:trPr>
          <w:hidden/>
        </w:trPr>
        <w:tc>
          <w:tcPr>
            <w:tcW w:w="0" w:type="auto"/>
            <w:gridSpan w:val="3"/>
            <w:shd w:val="clear" w:color="auto" w:fill="auto"/>
            <w:vAlign w:val="bottom"/>
          </w:tcPr>
          <w:p w14:paraId="392C7840" w14:textId="77777777" w:rsidR="00980E5F" w:rsidRDefault="00980E5F">
            <w:pPr>
              <w:rPr>
                <w:rFonts w:ascii="宋体"/>
                <w:vanish/>
              </w:rPr>
            </w:pPr>
          </w:p>
        </w:tc>
        <w:tc>
          <w:tcPr>
            <w:tcW w:w="0" w:type="auto"/>
            <w:gridSpan w:val="3"/>
            <w:shd w:val="clear" w:color="auto" w:fill="auto"/>
            <w:vAlign w:val="bottom"/>
          </w:tcPr>
          <w:p w14:paraId="392C7841" w14:textId="77777777" w:rsidR="00980E5F" w:rsidRDefault="00980E5F">
            <w:pPr>
              <w:rPr>
                <w:rFonts w:ascii="宋体"/>
                <w:vanish/>
              </w:rPr>
            </w:pPr>
          </w:p>
        </w:tc>
        <w:tc>
          <w:tcPr>
            <w:tcW w:w="0" w:type="auto"/>
            <w:gridSpan w:val="3"/>
            <w:shd w:val="clear" w:color="auto" w:fill="auto"/>
            <w:vAlign w:val="bottom"/>
          </w:tcPr>
          <w:p w14:paraId="392C7842" w14:textId="77777777" w:rsidR="00980E5F" w:rsidRDefault="00980E5F">
            <w:pPr>
              <w:rPr>
                <w:rFonts w:ascii="宋体"/>
                <w:vanish/>
              </w:rPr>
            </w:pPr>
          </w:p>
        </w:tc>
        <w:tc>
          <w:tcPr>
            <w:tcW w:w="0" w:type="auto"/>
            <w:gridSpan w:val="3"/>
            <w:shd w:val="clear" w:color="auto" w:fill="auto"/>
            <w:vAlign w:val="bottom"/>
          </w:tcPr>
          <w:p w14:paraId="392C7843" w14:textId="77777777" w:rsidR="00980E5F" w:rsidRDefault="00980E5F">
            <w:pPr>
              <w:rPr>
                <w:rFonts w:ascii="宋体"/>
                <w:vanish/>
              </w:rPr>
            </w:pPr>
          </w:p>
        </w:tc>
        <w:tc>
          <w:tcPr>
            <w:tcW w:w="0" w:type="auto"/>
            <w:gridSpan w:val="3"/>
            <w:shd w:val="clear" w:color="auto" w:fill="auto"/>
            <w:vAlign w:val="bottom"/>
          </w:tcPr>
          <w:p w14:paraId="392C7844" w14:textId="77777777" w:rsidR="00980E5F" w:rsidRDefault="00980E5F">
            <w:pPr>
              <w:rPr>
                <w:rFonts w:ascii="宋体"/>
                <w:vanish/>
              </w:rPr>
            </w:pPr>
          </w:p>
        </w:tc>
        <w:tc>
          <w:tcPr>
            <w:tcW w:w="0" w:type="auto"/>
            <w:gridSpan w:val="3"/>
            <w:shd w:val="clear" w:color="auto" w:fill="auto"/>
            <w:vAlign w:val="bottom"/>
          </w:tcPr>
          <w:p w14:paraId="392C7845" w14:textId="77777777" w:rsidR="00980E5F" w:rsidRDefault="00980E5F">
            <w:pPr>
              <w:rPr>
                <w:rFonts w:ascii="宋体"/>
                <w:vanish/>
              </w:rPr>
            </w:pPr>
          </w:p>
        </w:tc>
        <w:tc>
          <w:tcPr>
            <w:tcW w:w="0" w:type="auto"/>
            <w:gridSpan w:val="3"/>
            <w:shd w:val="clear" w:color="auto" w:fill="auto"/>
            <w:vAlign w:val="bottom"/>
          </w:tcPr>
          <w:p w14:paraId="392C7846" w14:textId="77777777" w:rsidR="00980E5F" w:rsidRDefault="00980E5F">
            <w:pPr>
              <w:rPr>
                <w:rFonts w:ascii="宋体"/>
                <w:vanish/>
              </w:rPr>
            </w:pPr>
          </w:p>
        </w:tc>
        <w:tc>
          <w:tcPr>
            <w:tcW w:w="0" w:type="auto"/>
            <w:gridSpan w:val="3"/>
            <w:shd w:val="clear" w:color="auto" w:fill="auto"/>
            <w:vAlign w:val="bottom"/>
          </w:tcPr>
          <w:p w14:paraId="392C7847" w14:textId="77777777" w:rsidR="00980E5F" w:rsidRDefault="00980E5F">
            <w:pPr>
              <w:rPr>
                <w:rFonts w:ascii="宋体"/>
                <w:vanish/>
              </w:rPr>
            </w:pPr>
          </w:p>
        </w:tc>
        <w:tc>
          <w:tcPr>
            <w:tcW w:w="0" w:type="auto"/>
            <w:gridSpan w:val="3"/>
            <w:shd w:val="clear" w:color="auto" w:fill="auto"/>
            <w:vAlign w:val="bottom"/>
          </w:tcPr>
          <w:p w14:paraId="392C7848" w14:textId="77777777" w:rsidR="00980E5F" w:rsidRDefault="00980E5F">
            <w:pPr>
              <w:rPr>
                <w:rFonts w:ascii="宋体"/>
                <w:vanish/>
              </w:rPr>
            </w:pPr>
          </w:p>
        </w:tc>
        <w:tc>
          <w:tcPr>
            <w:tcW w:w="0" w:type="auto"/>
            <w:gridSpan w:val="3"/>
            <w:shd w:val="clear" w:color="auto" w:fill="auto"/>
            <w:vAlign w:val="bottom"/>
          </w:tcPr>
          <w:p w14:paraId="392C7849" w14:textId="77777777" w:rsidR="00980E5F" w:rsidRDefault="00980E5F">
            <w:pPr>
              <w:rPr>
                <w:rFonts w:ascii="宋体"/>
                <w:vanish/>
              </w:rPr>
            </w:pPr>
          </w:p>
        </w:tc>
        <w:tc>
          <w:tcPr>
            <w:tcW w:w="0" w:type="auto"/>
            <w:gridSpan w:val="3"/>
            <w:shd w:val="clear" w:color="auto" w:fill="auto"/>
            <w:vAlign w:val="bottom"/>
          </w:tcPr>
          <w:p w14:paraId="392C784A" w14:textId="77777777" w:rsidR="00980E5F" w:rsidRDefault="00980E5F">
            <w:pPr>
              <w:rPr>
                <w:rFonts w:ascii="宋体"/>
                <w:vanish/>
              </w:rPr>
            </w:pPr>
          </w:p>
        </w:tc>
        <w:tc>
          <w:tcPr>
            <w:tcW w:w="0" w:type="auto"/>
            <w:shd w:val="clear" w:color="auto" w:fill="auto"/>
            <w:vAlign w:val="bottom"/>
          </w:tcPr>
          <w:p w14:paraId="392C784B" w14:textId="77777777" w:rsidR="00980E5F" w:rsidRDefault="00980E5F">
            <w:pPr>
              <w:rPr>
                <w:rFonts w:ascii="宋体"/>
                <w:vanish/>
              </w:rPr>
            </w:pPr>
          </w:p>
        </w:tc>
        <w:tc>
          <w:tcPr>
            <w:tcW w:w="0" w:type="auto"/>
            <w:shd w:val="clear" w:color="auto" w:fill="auto"/>
            <w:vAlign w:val="bottom"/>
          </w:tcPr>
          <w:p w14:paraId="392C784C" w14:textId="77777777" w:rsidR="00980E5F" w:rsidRDefault="00980E5F">
            <w:pPr>
              <w:rPr>
                <w:rFonts w:ascii="宋体"/>
                <w:vanish/>
              </w:rPr>
            </w:pPr>
          </w:p>
        </w:tc>
        <w:tc>
          <w:tcPr>
            <w:tcW w:w="0" w:type="auto"/>
            <w:gridSpan w:val="3"/>
            <w:shd w:val="clear" w:color="auto" w:fill="auto"/>
            <w:vAlign w:val="bottom"/>
          </w:tcPr>
          <w:p w14:paraId="392C784D" w14:textId="77777777" w:rsidR="00980E5F" w:rsidRDefault="00980E5F">
            <w:pPr>
              <w:rPr>
                <w:rFonts w:ascii="宋体"/>
                <w:vanish/>
              </w:rPr>
            </w:pPr>
          </w:p>
        </w:tc>
        <w:tc>
          <w:tcPr>
            <w:tcW w:w="0" w:type="auto"/>
            <w:gridSpan w:val="3"/>
            <w:shd w:val="clear" w:color="auto" w:fill="auto"/>
            <w:vAlign w:val="bottom"/>
          </w:tcPr>
          <w:p w14:paraId="392C784E" w14:textId="77777777" w:rsidR="00980E5F" w:rsidRDefault="00980E5F">
            <w:pPr>
              <w:rPr>
                <w:rFonts w:ascii="宋体"/>
                <w:vanish/>
              </w:rPr>
            </w:pPr>
          </w:p>
        </w:tc>
        <w:tc>
          <w:tcPr>
            <w:tcW w:w="0" w:type="auto"/>
            <w:gridSpan w:val="3"/>
            <w:shd w:val="clear" w:color="auto" w:fill="auto"/>
            <w:vAlign w:val="bottom"/>
          </w:tcPr>
          <w:p w14:paraId="392C784F" w14:textId="77777777" w:rsidR="00980E5F" w:rsidRDefault="00980E5F">
            <w:pPr>
              <w:rPr>
                <w:rFonts w:ascii="宋体"/>
                <w:vanish/>
              </w:rPr>
            </w:pPr>
          </w:p>
        </w:tc>
        <w:tc>
          <w:tcPr>
            <w:tcW w:w="0" w:type="auto"/>
            <w:gridSpan w:val="3"/>
            <w:shd w:val="clear" w:color="auto" w:fill="auto"/>
            <w:vAlign w:val="bottom"/>
          </w:tcPr>
          <w:p w14:paraId="392C7850" w14:textId="77777777" w:rsidR="00980E5F" w:rsidRDefault="00980E5F">
            <w:pPr>
              <w:rPr>
                <w:rFonts w:ascii="宋体"/>
                <w:vanish/>
              </w:rPr>
            </w:pPr>
          </w:p>
        </w:tc>
        <w:tc>
          <w:tcPr>
            <w:tcW w:w="0" w:type="auto"/>
            <w:gridSpan w:val="3"/>
            <w:shd w:val="clear" w:color="auto" w:fill="auto"/>
            <w:vAlign w:val="bottom"/>
          </w:tcPr>
          <w:p w14:paraId="392C7851" w14:textId="77777777" w:rsidR="00980E5F" w:rsidRDefault="00980E5F">
            <w:pPr>
              <w:rPr>
                <w:rFonts w:ascii="宋体"/>
                <w:vanish/>
              </w:rPr>
            </w:pPr>
          </w:p>
        </w:tc>
      </w:tr>
      <w:tr w:rsidR="00980E5F" w14:paraId="392C7875" w14:textId="77777777">
        <w:tc>
          <w:tcPr>
            <w:tcW w:w="0" w:type="auto"/>
            <w:gridSpan w:val="3"/>
            <w:shd w:val="clear" w:color="auto" w:fill="FFFFFF"/>
            <w:tcMar>
              <w:top w:w="40" w:type="dxa"/>
              <w:left w:w="20" w:type="dxa"/>
              <w:bottom w:w="40" w:type="dxa"/>
              <w:right w:w="20" w:type="dxa"/>
            </w:tcMar>
            <w:vAlign w:val="bottom"/>
          </w:tcPr>
          <w:p w14:paraId="392C7853" w14:textId="77777777" w:rsidR="00980E5F" w:rsidRDefault="00483613">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FFFFFF"/>
            <w:tcMar>
              <w:top w:w="40" w:type="dxa"/>
              <w:left w:w="20" w:type="dxa"/>
              <w:bottom w:w="40" w:type="dxa"/>
              <w:right w:w="0" w:type="dxa"/>
            </w:tcMar>
            <w:vAlign w:val="bottom"/>
          </w:tcPr>
          <w:p w14:paraId="392C785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55" w14:textId="77777777" w:rsidR="00980E5F" w:rsidRDefault="00483613">
            <w:pPr>
              <w:jc w:val="right"/>
              <w:textAlignment w:val="bottom"/>
            </w:pPr>
            <w:r>
              <w:rPr>
                <w:rFonts w:ascii="Arial" w:eastAsia="宋体" w:hAnsi="Arial" w:cs="Arial"/>
                <w:color w:val="000000"/>
                <w:sz w:val="14"/>
                <w:szCs w:val="14"/>
              </w:rPr>
              <w:t>8,336 </w:t>
            </w:r>
          </w:p>
        </w:tc>
        <w:tc>
          <w:tcPr>
            <w:tcW w:w="0" w:type="auto"/>
            <w:shd w:val="clear" w:color="auto" w:fill="FFFFFF"/>
            <w:tcMar>
              <w:top w:w="40" w:type="dxa"/>
              <w:left w:w="0" w:type="dxa"/>
              <w:bottom w:w="40" w:type="dxa"/>
              <w:right w:w="20" w:type="dxa"/>
            </w:tcMar>
            <w:vAlign w:val="bottom"/>
          </w:tcPr>
          <w:p w14:paraId="392C78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57"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58"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59" w14:textId="77777777" w:rsidR="00980E5F" w:rsidRDefault="00483613">
            <w:pPr>
              <w:jc w:val="right"/>
              <w:textAlignment w:val="bottom"/>
            </w:pPr>
            <w:r>
              <w:rPr>
                <w:rFonts w:ascii="Arial" w:eastAsia="宋体" w:hAnsi="Arial" w:cs="Arial"/>
                <w:color w:val="000000"/>
                <w:sz w:val="14"/>
                <w:szCs w:val="14"/>
              </w:rPr>
              <w:t>794 </w:t>
            </w:r>
          </w:p>
        </w:tc>
        <w:tc>
          <w:tcPr>
            <w:tcW w:w="0" w:type="auto"/>
            <w:shd w:val="clear" w:color="auto" w:fill="FFFFFF"/>
            <w:tcMar>
              <w:top w:w="40" w:type="dxa"/>
              <w:left w:w="0" w:type="dxa"/>
              <w:bottom w:w="40" w:type="dxa"/>
              <w:right w:w="20" w:type="dxa"/>
            </w:tcMar>
            <w:vAlign w:val="bottom"/>
          </w:tcPr>
          <w:p w14:paraId="392C78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5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5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5D" w14:textId="77777777" w:rsidR="00980E5F" w:rsidRDefault="00483613">
            <w:pPr>
              <w:jc w:val="right"/>
              <w:textAlignment w:val="bottom"/>
            </w:pPr>
            <w:r>
              <w:rPr>
                <w:rFonts w:ascii="Arial" w:eastAsia="宋体" w:hAnsi="Arial" w:cs="Arial"/>
                <w:color w:val="000000"/>
                <w:sz w:val="14"/>
                <w:szCs w:val="14"/>
              </w:rPr>
              <w:t>2,012 </w:t>
            </w:r>
          </w:p>
        </w:tc>
        <w:tc>
          <w:tcPr>
            <w:tcW w:w="0" w:type="auto"/>
            <w:shd w:val="clear" w:color="auto" w:fill="FFFFFF"/>
            <w:tcMar>
              <w:top w:w="40" w:type="dxa"/>
              <w:left w:w="0" w:type="dxa"/>
              <w:bottom w:w="40" w:type="dxa"/>
              <w:right w:w="20" w:type="dxa"/>
            </w:tcMar>
            <w:vAlign w:val="bottom"/>
          </w:tcPr>
          <w:p w14:paraId="392C78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5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60"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61" w14:textId="77777777" w:rsidR="00980E5F" w:rsidRDefault="00483613">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392C78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6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6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65" w14:textId="77777777" w:rsidR="00980E5F" w:rsidRDefault="00483613">
            <w:pPr>
              <w:jc w:val="right"/>
              <w:textAlignment w:val="bottom"/>
            </w:pPr>
            <w:r>
              <w:rPr>
                <w:rFonts w:ascii="Arial" w:eastAsia="宋体" w:hAnsi="Arial" w:cs="Arial"/>
                <w:color w:val="000000"/>
                <w:sz w:val="14"/>
                <w:szCs w:val="14"/>
              </w:rPr>
              <w:t>810 </w:t>
            </w:r>
          </w:p>
        </w:tc>
        <w:tc>
          <w:tcPr>
            <w:tcW w:w="0" w:type="auto"/>
            <w:shd w:val="clear" w:color="auto" w:fill="FFFFFF"/>
            <w:tcMar>
              <w:top w:w="40" w:type="dxa"/>
              <w:left w:w="0" w:type="dxa"/>
              <w:bottom w:w="40" w:type="dxa"/>
              <w:right w:w="20" w:type="dxa"/>
            </w:tcMar>
            <w:vAlign w:val="bottom"/>
          </w:tcPr>
          <w:p w14:paraId="392C78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67" w14:textId="77777777" w:rsidR="00980E5F" w:rsidRDefault="00980E5F">
            <w:pPr>
              <w:rPr>
                <w:rFonts w:ascii="宋体"/>
              </w:rPr>
            </w:pPr>
          </w:p>
        </w:tc>
        <w:tc>
          <w:tcPr>
            <w:tcW w:w="0" w:type="auto"/>
            <w:shd w:val="clear" w:color="auto" w:fill="auto"/>
            <w:vAlign w:val="bottom"/>
          </w:tcPr>
          <w:p w14:paraId="392C7868" w14:textId="77777777" w:rsidR="00980E5F" w:rsidRDefault="00980E5F">
            <w:pPr>
              <w:rPr>
                <w:rFonts w:ascii="宋体"/>
                <w:vanish/>
              </w:rPr>
            </w:pPr>
          </w:p>
        </w:tc>
        <w:tc>
          <w:tcPr>
            <w:tcW w:w="0" w:type="auto"/>
            <w:shd w:val="clear" w:color="auto" w:fill="auto"/>
            <w:vAlign w:val="bottom"/>
          </w:tcPr>
          <w:p w14:paraId="392C7869" w14:textId="77777777" w:rsidR="00980E5F" w:rsidRDefault="00980E5F">
            <w:pPr>
              <w:rPr>
                <w:rFonts w:ascii="宋体"/>
                <w:vanish/>
              </w:rPr>
            </w:pPr>
          </w:p>
        </w:tc>
        <w:tc>
          <w:tcPr>
            <w:tcW w:w="0" w:type="auto"/>
            <w:shd w:val="clear" w:color="auto" w:fill="FFFFFF"/>
            <w:tcMar>
              <w:top w:w="40" w:type="dxa"/>
              <w:left w:w="20" w:type="dxa"/>
              <w:bottom w:w="40" w:type="dxa"/>
              <w:right w:w="0" w:type="dxa"/>
            </w:tcMar>
            <w:vAlign w:val="bottom"/>
          </w:tcPr>
          <w:p w14:paraId="392C786A"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6B" w14:textId="77777777" w:rsidR="00980E5F" w:rsidRDefault="00483613">
            <w:pPr>
              <w:jc w:val="right"/>
              <w:textAlignment w:val="bottom"/>
            </w:pPr>
            <w:r>
              <w:rPr>
                <w:rFonts w:ascii="Arial" w:eastAsia="宋体" w:hAnsi="Arial" w:cs="Arial"/>
                <w:color w:val="000000"/>
                <w:sz w:val="14"/>
                <w:szCs w:val="14"/>
              </w:rPr>
              <w:t>263 </w:t>
            </w:r>
          </w:p>
        </w:tc>
        <w:tc>
          <w:tcPr>
            <w:tcW w:w="0" w:type="auto"/>
            <w:shd w:val="clear" w:color="auto" w:fill="FFFFFF"/>
            <w:tcMar>
              <w:top w:w="40" w:type="dxa"/>
              <w:left w:w="0" w:type="dxa"/>
              <w:bottom w:w="40" w:type="dxa"/>
              <w:right w:w="20" w:type="dxa"/>
            </w:tcMar>
            <w:vAlign w:val="bottom"/>
          </w:tcPr>
          <w:p w14:paraId="392C786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6D"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6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6F" w14:textId="77777777" w:rsidR="00980E5F" w:rsidRDefault="00483613">
            <w:pPr>
              <w:jc w:val="right"/>
              <w:textAlignment w:val="bottom"/>
            </w:pPr>
            <w:r>
              <w:rPr>
                <w:rFonts w:ascii="Arial" w:eastAsia="宋体" w:hAnsi="Arial" w:cs="Arial"/>
                <w:color w:val="000000"/>
                <w:sz w:val="14"/>
                <w:szCs w:val="14"/>
              </w:rPr>
              <w:t>18,852 </w:t>
            </w:r>
          </w:p>
        </w:tc>
        <w:tc>
          <w:tcPr>
            <w:tcW w:w="0" w:type="auto"/>
            <w:shd w:val="clear" w:color="auto" w:fill="FFFFFF"/>
            <w:tcMar>
              <w:top w:w="40" w:type="dxa"/>
              <w:left w:w="0" w:type="dxa"/>
              <w:bottom w:w="40" w:type="dxa"/>
              <w:right w:w="20" w:type="dxa"/>
            </w:tcMar>
            <w:vAlign w:val="bottom"/>
          </w:tcPr>
          <w:p w14:paraId="392C78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871"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7872"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7873" w14:textId="77777777" w:rsidR="00980E5F" w:rsidRDefault="00483613">
            <w:pPr>
              <w:jc w:val="right"/>
              <w:textAlignment w:val="bottom"/>
            </w:pPr>
            <w:r>
              <w:rPr>
                <w:rFonts w:ascii="Arial" w:eastAsia="宋体" w:hAnsi="Arial" w:cs="Arial"/>
                <w:color w:val="000000"/>
                <w:sz w:val="14"/>
                <w:szCs w:val="14"/>
              </w:rPr>
              <w:t>32,524 </w:t>
            </w:r>
          </w:p>
        </w:tc>
        <w:tc>
          <w:tcPr>
            <w:tcW w:w="0" w:type="auto"/>
            <w:shd w:val="clear" w:color="auto" w:fill="FFFFFF"/>
            <w:tcMar>
              <w:top w:w="40" w:type="dxa"/>
              <w:left w:w="0" w:type="dxa"/>
              <w:bottom w:w="40" w:type="dxa"/>
              <w:right w:w="20" w:type="dxa"/>
            </w:tcMar>
            <w:vAlign w:val="bottom"/>
          </w:tcPr>
          <w:p w14:paraId="392C7874" w14:textId="77777777" w:rsidR="00980E5F" w:rsidRDefault="00980E5F">
            <w:pPr>
              <w:jc w:val="right"/>
              <w:rPr>
                <w:rFonts w:ascii="宋体"/>
              </w:rPr>
            </w:pPr>
          </w:p>
        </w:tc>
      </w:tr>
      <w:tr w:rsidR="00980E5F" w14:paraId="392C7888" w14:textId="77777777">
        <w:trPr>
          <w:hidden/>
        </w:trPr>
        <w:tc>
          <w:tcPr>
            <w:tcW w:w="0" w:type="auto"/>
            <w:gridSpan w:val="3"/>
            <w:shd w:val="clear" w:color="auto" w:fill="auto"/>
            <w:vAlign w:val="bottom"/>
          </w:tcPr>
          <w:p w14:paraId="392C7876" w14:textId="77777777" w:rsidR="00980E5F" w:rsidRDefault="00980E5F">
            <w:pPr>
              <w:rPr>
                <w:rFonts w:ascii="宋体"/>
                <w:vanish/>
              </w:rPr>
            </w:pPr>
          </w:p>
        </w:tc>
        <w:tc>
          <w:tcPr>
            <w:tcW w:w="0" w:type="auto"/>
            <w:gridSpan w:val="3"/>
            <w:shd w:val="clear" w:color="auto" w:fill="auto"/>
            <w:vAlign w:val="bottom"/>
          </w:tcPr>
          <w:p w14:paraId="392C7877" w14:textId="77777777" w:rsidR="00980E5F" w:rsidRDefault="00980E5F">
            <w:pPr>
              <w:rPr>
                <w:rFonts w:ascii="宋体"/>
                <w:vanish/>
              </w:rPr>
            </w:pPr>
          </w:p>
        </w:tc>
        <w:tc>
          <w:tcPr>
            <w:tcW w:w="0" w:type="auto"/>
            <w:gridSpan w:val="3"/>
            <w:shd w:val="clear" w:color="auto" w:fill="auto"/>
            <w:vAlign w:val="bottom"/>
          </w:tcPr>
          <w:p w14:paraId="392C7878" w14:textId="77777777" w:rsidR="00980E5F" w:rsidRDefault="00980E5F">
            <w:pPr>
              <w:rPr>
                <w:rFonts w:ascii="宋体"/>
                <w:vanish/>
              </w:rPr>
            </w:pPr>
          </w:p>
        </w:tc>
        <w:tc>
          <w:tcPr>
            <w:tcW w:w="0" w:type="auto"/>
            <w:gridSpan w:val="3"/>
            <w:shd w:val="clear" w:color="auto" w:fill="auto"/>
            <w:vAlign w:val="bottom"/>
          </w:tcPr>
          <w:p w14:paraId="392C7879" w14:textId="77777777" w:rsidR="00980E5F" w:rsidRDefault="00980E5F">
            <w:pPr>
              <w:rPr>
                <w:rFonts w:ascii="宋体"/>
                <w:vanish/>
              </w:rPr>
            </w:pPr>
          </w:p>
        </w:tc>
        <w:tc>
          <w:tcPr>
            <w:tcW w:w="0" w:type="auto"/>
            <w:gridSpan w:val="3"/>
            <w:shd w:val="clear" w:color="auto" w:fill="auto"/>
            <w:vAlign w:val="bottom"/>
          </w:tcPr>
          <w:p w14:paraId="392C787A" w14:textId="77777777" w:rsidR="00980E5F" w:rsidRDefault="00980E5F">
            <w:pPr>
              <w:rPr>
                <w:rFonts w:ascii="宋体"/>
                <w:vanish/>
              </w:rPr>
            </w:pPr>
          </w:p>
        </w:tc>
        <w:tc>
          <w:tcPr>
            <w:tcW w:w="0" w:type="auto"/>
            <w:gridSpan w:val="3"/>
            <w:shd w:val="clear" w:color="auto" w:fill="auto"/>
            <w:vAlign w:val="bottom"/>
          </w:tcPr>
          <w:p w14:paraId="392C787B" w14:textId="77777777" w:rsidR="00980E5F" w:rsidRDefault="00980E5F">
            <w:pPr>
              <w:rPr>
                <w:rFonts w:ascii="宋体"/>
                <w:vanish/>
              </w:rPr>
            </w:pPr>
          </w:p>
        </w:tc>
        <w:tc>
          <w:tcPr>
            <w:tcW w:w="0" w:type="auto"/>
            <w:gridSpan w:val="3"/>
            <w:shd w:val="clear" w:color="auto" w:fill="auto"/>
            <w:vAlign w:val="bottom"/>
          </w:tcPr>
          <w:p w14:paraId="392C787C" w14:textId="77777777" w:rsidR="00980E5F" w:rsidRDefault="00980E5F">
            <w:pPr>
              <w:rPr>
                <w:rFonts w:ascii="宋体"/>
                <w:vanish/>
              </w:rPr>
            </w:pPr>
          </w:p>
        </w:tc>
        <w:tc>
          <w:tcPr>
            <w:tcW w:w="0" w:type="auto"/>
            <w:gridSpan w:val="3"/>
            <w:shd w:val="clear" w:color="auto" w:fill="auto"/>
            <w:vAlign w:val="bottom"/>
          </w:tcPr>
          <w:p w14:paraId="392C787D" w14:textId="77777777" w:rsidR="00980E5F" w:rsidRDefault="00980E5F">
            <w:pPr>
              <w:rPr>
                <w:rFonts w:ascii="宋体"/>
                <w:vanish/>
              </w:rPr>
            </w:pPr>
          </w:p>
        </w:tc>
        <w:tc>
          <w:tcPr>
            <w:tcW w:w="0" w:type="auto"/>
            <w:gridSpan w:val="3"/>
            <w:shd w:val="clear" w:color="auto" w:fill="auto"/>
            <w:vAlign w:val="bottom"/>
          </w:tcPr>
          <w:p w14:paraId="392C787E" w14:textId="77777777" w:rsidR="00980E5F" w:rsidRDefault="00980E5F">
            <w:pPr>
              <w:rPr>
                <w:rFonts w:ascii="宋体"/>
                <w:vanish/>
              </w:rPr>
            </w:pPr>
          </w:p>
        </w:tc>
        <w:tc>
          <w:tcPr>
            <w:tcW w:w="0" w:type="auto"/>
            <w:gridSpan w:val="3"/>
            <w:shd w:val="clear" w:color="auto" w:fill="auto"/>
            <w:vAlign w:val="bottom"/>
          </w:tcPr>
          <w:p w14:paraId="392C787F" w14:textId="77777777" w:rsidR="00980E5F" w:rsidRDefault="00980E5F">
            <w:pPr>
              <w:rPr>
                <w:rFonts w:ascii="宋体"/>
                <w:vanish/>
              </w:rPr>
            </w:pPr>
          </w:p>
        </w:tc>
        <w:tc>
          <w:tcPr>
            <w:tcW w:w="0" w:type="auto"/>
            <w:gridSpan w:val="3"/>
            <w:shd w:val="clear" w:color="auto" w:fill="auto"/>
            <w:vAlign w:val="bottom"/>
          </w:tcPr>
          <w:p w14:paraId="392C7880" w14:textId="77777777" w:rsidR="00980E5F" w:rsidRDefault="00980E5F">
            <w:pPr>
              <w:rPr>
                <w:rFonts w:ascii="宋体"/>
                <w:vanish/>
              </w:rPr>
            </w:pPr>
          </w:p>
        </w:tc>
        <w:tc>
          <w:tcPr>
            <w:tcW w:w="0" w:type="auto"/>
            <w:shd w:val="clear" w:color="auto" w:fill="auto"/>
            <w:vAlign w:val="bottom"/>
          </w:tcPr>
          <w:p w14:paraId="392C7881" w14:textId="77777777" w:rsidR="00980E5F" w:rsidRDefault="00980E5F">
            <w:pPr>
              <w:rPr>
                <w:rFonts w:ascii="宋体"/>
                <w:vanish/>
              </w:rPr>
            </w:pPr>
          </w:p>
        </w:tc>
        <w:tc>
          <w:tcPr>
            <w:tcW w:w="0" w:type="auto"/>
            <w:shd w:val="clear" w:color="auto" w:fill="auto"/>
            <w:vAlign w:val="bottom"/>
          </w:tcPr>
          <w:p w14:paraId="392C7882" w14:textId="77777777" w:rsidR="00980E5F" w:rsidRDefault="00980E5F">
            <w:pPr>
              <w:rPr>
                <w:rFonts w:ascii="宋体"/>
                <w:vanish/>
              </w:rPr>
            </w:pPr>
          </w:p>
        </w:tc>
        <w:tc>
          <w:tcPr>
            <w:tcW w:w="0" w:type="auto"/>
            <w:gridSpan w:val="3"/>
            <w:shd w:val="clear" w:color="auto" w:fill="auto"/>
            <w:vAlign w:val="bottom"/>
          </w:tcPr>
          <w:p w14:paraId="392C7883" w14:textId="77777777" w:rsidR="00980E5F" w:rsidRDefault="00980E5F">
            <w:pPr>
              <w:rPr>
                <w:rFonts w:ascii="宋体"/>
                <w:vanish/>
              </w:rPr>
            </w:pPr>
          </w:p>
        </w:tc>
        <w:tc>
          <w:tcPr>
            <w:tcW w:w="0" w:type="auto"/>
            <w:gridSpan w:val="3"/>
            <w:shd w:val="clear" w:color="auto" w:fill="auto"/>
            <w:vAlign w:val="bottom"/>
          </w:tcPr>
          <w:p w14:paraId="392C7884" w14:textId="77777777" w:rsidR="00980E5F" w:rsidRDefault="00980E5F">
            <w:pPr>
              <w:rPr>
                <w:rFonts w:ascii="宋体"/>
                <w:vanish/>
              </w:rPr>
            </w:pPr>
          </w:p>
        </w:tc>
        <w:tc>
          <w:tcPr>
            <w:tcW w:w="0" w:type="auto"/>
            <w:gridSpan w:val="3"/>
            <w:shd w:val="clear" w:color="auto" w:fill="auto"/>
            <w:vAlign w:val="bottom"/>
          </w:tcPr>
          <w:p w14:paraId="392C7885" w14:textId="77777777" w:rsidR="00980E5F" w:rsidRDefault="00980E5F">
            <w:pPr>
              <w:rPr>
                <w:rFonts w:ascii="宋体"/>
                <w:vanish/>
              </w:rPr>
            </w:pPr>
          </w:p>
        </w:tc>
        <w:tc>
          <w:tcPr>
            <w:tcW w:w="0" w:type="auto"/>
            <w:gridSpan w:val="3"/>
            <w:shd w:val="clear" w:color="auto" w:fill="auto"/>
            <w:vAlign w:val="bottom"/>
          </w:tcPr>
          <w:p w14:paraId="392C7886" w14:textId="77777777" w:rsidR="00980E5F" w:rsidRDefault="00980E5F">
            <w:pPr>
              <w:rPr>
                <w:rFonts w:ascii="宋体"/>
                <w:vanish/>
              </w:rPr>
            </w:pPr>
          </w:p>
        </w:tc>
        <w:tc>
          <w:tcPr>
            <w:tcW w:w="0" w:type="auto"/>
            <w:gridSpan w:val="3"/>
            <w:shd w:val="clear" w:color="auto" w:fill="auto"/>
            <w:vAlign w:val="bottom"/>
          </w:tcPr>
          <w:p w14:paraId="392C7887" w14:textId="77777777" w:rsidR="00980E5F" w:rsidRDefault="00980E5F">
            <w:pPr>
              <w:rPr>
                <w:rFonts w:ascii="宋体"/>
                <w:vanish/>
              </w:rPr>
            </w:pPr>
          </w:p>
        </w:tc>
      </w:tr>
      <w:tr w:rsidR="00980E5F" w14:paraId="392C789B" w14:textId="77777777">
        <w:trPr>
          <w:hidden/>
        </w:trPr>
        <w:tc>
          <w:tcPr>
            <w:tcW w:w="0" w:type="auto"/>
            <w:gridSpan w:val="3"/>
            <w:shd w:val="clear" w:color="auto" w:fill="auto"/>
            <w:vAlign w:val="bottom"/>
          </w:tcPr>
          <w:p w14:paraId="392C7889" w14:textId="77777777" w:rsidR="00980E5F" w:rsidRDefault="00980E5F">
            <w:pPr>
              <w:rPr>
                <w:rFonts w:ascii="宋体"/>
                <w:vanish/>
              </w:rPr>
            </w:pPr>
          </w:p>
        </w:tc>
        <w:tc>
          <w:tcPr>
            <w:tcW w:w="0" w:type="auto"/>
            <w:gridSpan w:val="3"/>
            <w:shd w:val="clear" w:color="auto" w:fill="auto"/>
            <w:vAlign w:val="bottom"/>
          </w:tcPr>
          <w:p w14:paraId="392C788A" w14:textId="77777777" w:rsidR="00980E5F" w:rsidRDefault="00980E5F">
            <w:pPr>
              <w:rPr>
                <w:rFonts w:ascii="宋体"/>
                <w:vanish/>
              </w:rPr>
            </w:pPr>
          </w:p>
        </w:tc>
        <w:tc>
          <w:tcPr>
            <w:tcW w:w="0" w:type="auto"/>
            <w:gridSpan w:val="3"/>
            <w:shd w:val="clear" w:color="auto" w:fill="auto"/>
            <w:vAlign w:val="bottom"/>
          </w:tcPr>
          <w:p w14:paraId="392C788B" w14:textId="77777777" w:rsidR="00980E5F" w:rsidRDefault="00980E5F">
            <w:pPr>
              <w:rPr>
                <w:rFonts w:ascii="宋体"/>
                <w:vanish/>
              </w:rPr>
            </w:pPr>
          </w:p>
        </w:tc>
        <w:tc>
          <w:tcPr>
            <w:tcW w:w="0" w:type="auto"/>
            <w:gridSpan w:val="3"/>
            <w:shd w:val="clear" w:color="auto" w:fill="auto"/>
            <w:vAlign w:val="bottom"/>
          </w:tcPr>
          <w:p w14:paraId="392C788C" w14:textId="77777777" w:rsidR="00980E5F" w:rsidRDefault="00980E5F">
            <w:pPr>
              <w:rPr>
                <w:rFonts w:ascii="宋体"/>
                <w:vanish/>
              </w:rPr>
            </w:pPr>
          </w:p>
        </w:tc>
        <w:tc>
          <w:tcPr>
            <w:tcW w:w="0" w:type="auto"/>
            <w:gridSpan w:val="3"/>
            <w:shd w:val="clear" w:color="auto" w:fill="auto"/>
            <w:vAlign w:val="bottom"/>
          </w:tcPr>
          <w:p w14:paraId="392C788D" w14:textId="77777777" w:rsidR="00980E5F" w:rsidRDefault="00980E5F">
            <w:pPr>
              <w:rPr>
                <w:rFonts w:ascii="宋体"/>
                <w:vanish/>
              </w:rPr>
            </w:pPr>
          </w:p>
        </w:tc>
        <w:tc>
          <w:tcPr>
            <w:tcW w:w="0" w:type="auto"/>
            <w:gridSpan w:val="3"/>
            <w:shd w:val="clear" w:color="auto" w:fill="auto"/>
            <w:vAlign w:val="bottom"/>
          </w:tcPr>
          <w:p w14:paraId="392C788E" w14:textId="77777777" w:rsidR="00980E5F" w:rsidRDefault="00980E5F">
            <w:pPr>
              <w:rPr>
                <w:rFonts w:ascii="宋体"/>
                <w:vanish/>
              </w:rPr>
            </w:pPr>
          </w:p>
        </w:tc>
        <w:tc>
          <w:tcPr>
            <w:tcW w:w="0" w:type="auto"/>
            <w:gridSpan w:val="3"/>
            <w:shd w:val="clear" w:color="auto" w:fill="auto"/>
            <w:vAlign w:val="bottom"/>
          </w:tcPr>
          <w:p w14:paraId="392C788F" w14:textId="77777777" w:rsidR="00980E5F" w:rsidRDefault="00980E5F">
            <w:pPr>
              <w:rPr>
                <w:rFonts w:ascii="宋体"/>
                <w:vanish/>
              </w:rPr>
            </w:pPr>
          </w:p>
        </w:tc>
        <w:tc>
          <w:tcPr>
            <w:tcW w:w="0" w:type="auto"/>
            <w:gridSpan w:val="3"/>
            <w:shd w:val="clear" w:color="auto" w:fill="auto"/>
            <w:vAlign w:val="bottom"/>
          </w:tcPr>
          <w:p w14:paraId="392C7890" w14:textId="77777777" w:rsidR="00980E5F" w:rsidRDefault="00980E5F">
            <w:pPr>
              <w:rPr>
                <w:rFonts w:ascii="宋体"/>
                <w:vanish/>
              </w:rPr>
            </w:pPr>
          </w:p>
        </w:tc>
        <w:tc>
          <w:tcPr>
            <w:tcW w:w="0" w:type="auto"/>
            <w:gridSpan w:val="3"/>
            <w:shd w:val="clear" w:color="auto" w:fill="auto"/>
            <w:vAlign w:val="bottom"/>
          </w:tcPr>
          <w:p w14:paraId="392C7891" w14:textId="77777777" w:rsidR="00980E5F" w:rsidRDefault="00980E5F">
            <w:pPr>
              <w:rPr>
                <w:rFonts w:ascii="宋体"/>
                <w:vanish/>
              </w:rPr>
            </w:pPr>
          </w:p>
        </w:tc>
        <w:tc>
          <w:tcPr>
            <w:tcW w:w="0" w:type="auto"/>
            <w:gridSpan w:val="3"/>
            <w:shd w:val="clear" w:color="auto" w:fill="auto"/>
            <w:vAlign w:val="bottom"/>
          </w:tcPr>
          <w:p w14:paraId="392C7892" w14:textId="77777777" w:rsidR="00980E5F" w:rsidRDefault="00980E5F">
            <w:pPr>
              <w:rPr>
                <w:rFonts w:ascii="宋体"/>
                <w:vanish/>
              </w:rPr>
            </w:pPr>
          </w:p>
        </w:tc>
        <w:tc>
          <w:tcPr>
            <w:tcW w:w="0" w:type="auto"/>
            <w:gridSpan w:val="3"/>
            <w:shd w:val="clear" w:color="auto" w:fill="auto"/>
            <w:vAlign w:val="bottom"/>
          </w:tcPr>
          <w:p w14:paraId="392C7893" w14:textId="77777777" w:rsidR="00980E5F" w:rsidRDefault="00980E5F">
            <w:pPr>
              <w:rPr>
                <w:rFonts w:ascii="宋体"/>
                <w:vanish/>
              </w:rPr>
            </w:pPr>
          </w:p>
        </w:tc>
        <w:tc>
          <w:tcPr>
            <w:tcW w:w="0" w:type="auto"/>
            <w:shd w:val="clear" w:color="auto" w:fill="auto"/>
            <w:vAlign w:val="bottom"/>
          </w:tcPr>
          <w:p w14:paraId="392C7894" w14:textId="77777777" w:rsidR="00980E5F" w:rsidRDefault="00980E5F">
            <w:pPr>
              <w:rPr>
                <w:rFonts w:ascii="宋体"/>
                <w:vanish/>
              </w:rPr>
            </w:pPr>
          </w:p>
        </w:tc>
        <w:tc>
          <w:tcPr>
            <w:tcW w:w="0" w:type="auto"/>
            <w:shd w:val="clear" w:color="auto" w:fill="auto"/>
            <w:vAlign w:val="bottom"/>
          </w:tcPr>
          <w:p w14:paraId="392C7895" w14:textId="77777777" w:rsidR="00980E5F" w:rsidRDefault="00980E5F">
            <w:pPr>
              <w:rPr>
                <w:rFonts w:ascii="宋体"/>
                <w:vanish/>
              </w:rPr>
            </w:pPr>
          </w:p>
        </w:tc>
        <w:tc>
          <w:tcPr>
            <w:tcW w:w="0" w:type="auto"/>
            <w:gridSpan w:val="3"/>
            <w:shd w:val="clear" w:color="auto" w:fill="auto"/>
            <w:vAlign w:val="bottom"/>
          </w:tcPr>
          <w:p w14:paraId="392C7896" w14:textId="77777777" w:rsidR="00980E5F" w:rsidRDefault="00980E5F">
            <w:pPr>
              <w:rPr>
                <w:rFonts w:ascii="宋体"/>
                <w:vanish/>
              </w:rPr>
            </w:pPr>
          </w:p>
        </w:tc>
        <w:tc>
          <w:tcPr>
            <w:tcW w:w="0" w:type="auto"/>
            <w:gridSpan w:val="3"/>
            <w:shd w:val="clear" w:color="auto" w:fill="auto"/>
            <w:vAlign w:val="bottom"/>
          </w:tcPr>
          <w:p w14:paraId="392C7897" w14:textId="77777777" w:rsidR="00980E5F" w:rsidRDefault="00980E5F">
            <w:pPr>
              <w:rPr>
                <w:rFonts w:ascii="宋体"/>
                <w:vanish/>
              </w:rPr>
            </w:pPr>
          </w:p>
        </w:tc>
        <w:tc>
          <w:tcPr>
            <w:tcW w:w="0" w:type="auto"/>
            <w:gridSpan w:val="3"/>
            <w:shd w:val="clear" w:color="auto" w:fill="auto"/>
            <w:vAlign w:val="bottom"/>
          </w:tcPr>
          <w:p w14:paraId="392C7898" w14:textId="77777777" w:rsidR="00980E5F" w:rsidRDefault="00980E5F">
            <w:pPr>
              <w:rPr>
                <w:rFonts w:ascii="宋体"/>
                <w:vanish/>
              </w:rPr>
            </w:pPr>
          </w:p>
        </w:tc>
        <w:tc>
          <w:tcPr>
            <w:tcW w:w="0" w:type="auto"/>
            <w:gridSpan w:val="3"/>
            <w:shd w:val="clear" w:color="auto" w:fill="auto"/>
            <w:vAlign w:val="bottom"/>
          </w:tcPr>
          <w:p w14:paraId="392C7899" w14:textId="77777777" w:rsidR="00980E5F" w:rsidRDefault="00980E5F">
            <w:pPr>
              <w:rPr>
                <w:rFonts w:ascii="宋体"/>
                <w:vanish/>
              </w:rPr>
            </w:pPr>
          </w:p>
        </w:tc>
        <w:tc>
          <w:tcPr>
            <w:tcW w:w="0" w:type="auto"/>
            <w:gridSpan w:val="3"/>
            <w:shd w:val="clear" w:color="auto" w:fill="auto"/>
            <w:vAlign w:val="bottom"/>
          </w:tcPr>
          <w:p w14:paraId="392C789A" w14:textId="77777777" w:rsidR="00980E5F" w:rsidRDefault="00980E5F">
            <w:pPr>
              <w:rPr>
                <w:rFonts w:ascii="宋体"/>
                <w:vanish/>
              </w:rPr>
            </w:pPr>
          </w:p>
        </w:tc>
      </w:tr>
      <w:tr w:rsidR="00980E5F" w14:paraId="392C78AE" w14:textId="77777777">
        <w:trPr>
          <w:hidden/>
        </w:trPr>
        <w:tc>
          <w:tcPr>
            <w:tcW w:w="0" w:type="auto"/>
            <w:gridSpan w:val="3"/>
            <w:shd w:val="clear" w:color="auto" w:fill="auto"/>
            <w:vAlign w:val="bottom"/>
          </w:tcPr>
          <w:p w14:paraId="392C789C" w14:textId="77777777" w:rsidR="00980E5F" w:rsidRDefault="00980E5F">
            <w:pPr>
              <w:rPr>
                <w:rFonts w:ascii="宋体"/>
                <w:vanish/>
              </w:rPr>
            </w:pPr>
          </w:p>
        </w:tc>
        <w:tc>
          <w:tcPr>
            <w:tcW w:w="0" w:type="auto"/>
            <w:gridSpan w:val="3"/>
            <w:shd w:val="clear" w:color="auto" w:fill="auto"/>
            <w:vAlign w:val="bottom"/>
          </w:tcPr>
          <w:p w14:paraId="392C789D" w14:textId="77777777" w:rsidR="00980E5F" w:rsidRDefault="00980E5F">
            <w:pPr>
              <w:rPr>
                <w:rFonts w:ascii="宋体"/>
                <w:vanish/>
              </w:rPr>
            </w:pPr>
          </w:p>
        </w:tc>
        <w:tc>
          <w:tcPr>
            <w:tcW w:w="0" w:type="auto"/>
            <w:gridSpan w:val="3"/>
            <w:shd w:val="clear" w:color="auto" w:fill="auto"/>
            <w:vAlign w:val="bottom"/>
          </w:tcPr>
          <w:p w14:paraId="392C789E" w14:textId="77777777" w:rsidR="00980E5F" w:rsidRDefault="00980E5F">
            <w:pPr>
              <w:rPr>
                <w:rFonts w:ascii="宋体"/>
                <w:vanish/>
              </w:rPr>
            </w:pPr>
          </w:p>
        </w:tc>
        <w:tc>
          <w:tcPr>
            <w:tcW w:w="0" w:type="auto"/>
            <w:gridSpan w:val="3"/>
            <w:shd w:val="clear" w:color="auto" w:fill="auto"/>
            <w:vAlign w:val="bottom"/>
          </w:tcPr>
          <w:p w14:paraId="392C789F" w14:textId="77777777" w:rsidR="00980E5F" w:rsidRDefault="00980E5F">
            <w:pPr>
              <w:rPr>
                <w:rFonts w:ascii="宋体"/>
                <w:vanish/>
              </w:rPr>
            </w:pPr>
          </w:p>
        </w:tc>
        <w:tc>
          <w:tcPr>
            <w:tcW w:w="0" w:type="auto"/>
            <w:gridSpan w:val="3"/>
            <w:shd w:val="clear" w:color="auto" w:fill="auto"/>
            <w:vAlign w:val="bottom"/>
          </w:tcPr>
          <w:p w14:paraId="392C78A0" w14:textId="77777777" w:rsidR="00980E5F" w:rsidRDefault="00980E5F">
            <w:pPr>
              <w:rPr>
                <w:rFonts w:ascii="宋体"/>
                <w:vanish/>
              </w:rPr>
            </w:pPr>
          </w:p>
        </w:tc>
        <w:tc>
          <w:tcPr>
            <w:tcW w:w="0" w:type="auto"/>
            <w:gridSpan w:val="3"/>
            <w:shd w:val="clear" w:color="auto" w:fill="auto"/>
            <w:vAlign w:val="bottom"/>
          </w:tcPr>
          <w:p w14:paraId="392C78A1" w14:textId="77777777" w:rsidR="00980E5F" w:rsidRDefault="00980E5F">
            <w:pPr>
              <w:rPr>
                <w:rFonts w:ascii="宋体"/>
                <w:vanish/>
              </w:rPr>
            </w:pPr>
          </w:p>
        </w:tc>
        <w:tc>
          <w:tcPr>
            <w:tcW w:w="0" w:type="auto"/>
            <w:gridSpan w:val="3"/>
            <w:shd w:val="clear" w:color="auto" w:fill="auto"/>
            <w:vAlign w:val="bottom"/>
          </w:tcPr>
          <w:p w14:paraId="392C78A2" w14:textId="77777777" w:rsidR="00980E5F" w:rsidRDefault="00980E5F">
            <w:pPr>
              <w:rPr>
                <w:rFonts w:ascii="宋体"/>
                <w:vanish/>
              </w:rPr>
            </w:pPr>
          </w:p>
        </w:tc>
        <w:tc>
          <w:tcPr>
            <w:tcW w:w="0" w:type="auto"/>
            <w:gridSpan w:val="3"/>
            <w:shd w:val="clear" w:color="auto" w:fill="auto"/>
            <w:vAlign w:val="bottom"/>
          </w:tcPr>
          <w:p w14:paraId="392C78A3" w14:textId="77777777" w:rsidR="00980E5F" w:rsidRDefault="00980E5F">
            <w:pPr>
              <w:rPr>
                <w:rFonts w:ascii="宋体"/>
                <w:vanish/>
              </w:rPr>
            </w:pPr>
          </w:p>
        </w:tc>
        <w:tc>
          <w:tcPr>
            <w:tcW w:w="0" w:type="auto"/>
            <w:gridSpan w:val="3"/>
            <w:shd w:val="clear" w:color="auto" w:fill="auto"/>
            <w:vAlign w:val="bottom"/>
          </w:tcPr>
          <w:p w14:paraId="392C78A4" w14:textId="77777777" w:rsidR="00980E5F" w:rsidRDefault="00980E5F">
            <w:pPr>
              <w:rPr>
                <w:rFonts w:ascii="宋体"/>
                <w:vanish/>
              </w:rPr>
            </w:pPr>
          </w:p>
        </w:tc>
        <w:tc>
          <w:tcPr>
            <w:tcW w:w="0" w:type="auto"/>
            <w:gridSpan w:val="3"/>
            <w:shd w:val="clear" w:color="auto" w:fill="auto"/>
            <w:vAlign w:val="bottom"/>
          </w:tcPr>
          <w:p w14:paraId="392C78A5" w14:textId="77777777" w:rsidR="00980E5F" w:rsidRDefault="00980E5F">
            <w:pPr>
              <w:rPr>
                <w:rFonts w:ascii="宋体"/>
                <w:vanish/>
              </w:rPr>
            </w:pPr>
          </w:p>
        </w:tc>
        <w:tc>
          <w:tcPr>
            <w:tcW w:w="0" w:type="auto"/>
            <w:gridSpan w:val="3"/>
            <w:shd w:val="clear" w:color="auto" w:fill="auto"/>
            <w:vAlign w:val="bottom"/>
          </w:tcPr>
          <w:p w14:paraId="392C78A6" w14:textId="77777777" w:rsidR="00980E5F" w:rsidRDefault="00980E5F">
            <w:pPr>
              <w:rPr>
                <w:rFonts w:ascii="宋体"/>
                <w:vanish/>
              </w:rPr>
            </w:pPr>
          </w:p>
        </w:tc>
        <w:tc>
          <w:tcPr>
            <w:tcW w:w="0" w:type="auto"/>
            <w:shd w:val="clear" w:color="auto" w:fill="auto"/>
            <w:vAlign w:val="bottom"/>
          </w:tcPr>
          <w:p w14:paraId="392C78A7" w14:textId="77777777" w:rsidR="00980E5F" w:rsidRDefault="00980E5F">
            <w:pPr>
              <w:rPr>
                <w:rFonts w:ascii="宋体"/>
                <w:vanish/>
              </w:rPr>
            </w:pPr>
          </w:p>
        </w:tc>
        <w:tc>
          <w:tcPr>
            <w:tcW w:w="0" w:type="auto"/>
            <w:shd w:val="clear" w:color="auto" w:fill="auto"/>
            <w:vAlign w:val="bottom"/>
          </w:tcPr>
          <w:p w14:paraId="392C78A8" w14:textId="77777777" w:rsidR="00980E5F" w:rsidRDefault="00980E5F">
            <w:pPr>
              <w:rPr>
                <w:rFonts w:ascii="宋体"/>
                <w:vanish/>
              </w:rPr>
            </w:pPr>
          </w:p>
        </w:tc>
        <w:tc>
          <w:tcPr>
            <w:tcW w:w="0" w:type="auto"/>
            <w:gridSpan w:val="3"/>
            <w:shd w:val="clear" w:color="auto" w:fill="auto"/>
            <w:vAlign w:val="bottom"/>
          </w:tcPr>
          <w:p w14:paraId="392C78A9" w14:textId="77777777" w:rsidR="00980E5F" w:rsidRDefault="00980E5F">
            <w:pPr>
              <w:rPr>
                <w:rFonts w:ascii="宋体"/>
                <w:vanish/>
              </w:rPr>
            </w:pPr>
          </w:p>
        </w:tc>
        <w:tc>
          <w:tcPr>
            <w:tcW w:w="0" w:type="auto"/>
            <w:gridSpan w:val="3"/>
            <w:shd w:val="clear" w:color="auto" w:fill="auto"/>
            <w:vAlign w:val="bottom"/>
          </w:tcPr>
          <w:p w14:paraId="392C78AA" w14:textId="77777777" w:rsidR="00980E5F" w:rsidRDefault="00980E5F">
            <w:pPr>
              <w:rPr>
                <w:rFonts w:ascii="宋体"/>
                <w:vanish/>
              </w:rPr>
            </w:pPr>
          </w:p>
        </w:tc>
        <w:tc>
          <w:tcPr>
            <w:tcW w:w="0" w:type="auto"/>
            <w:gridSpan w:val="3"/>
            <w:shd w:val="clear" w:color="auto" w:fill="auto"/>
            <w:vAlign w:val="bottom"/>
          </w:tcPr>
          <w:p w14:paraId="392C78AB" w14:textId="77777777" w:rsidR="00980E5F" w:rsidRDefault="00980E5F">
            <w:pPr>
              <w:rPr>
                <w:rFonts w:ascii="宋体"/>
                <w:vanish/>
              </w:rPr>
            </w:pPr>
          </w:p>
        </w:tc>
        <w:tc>
          <w:tcPr>
            <w:tcW w:w="0" w:type="auto"/>
            <w:gridSpan w:val="3"/>
            <w:shd w:val="clear" w:color="auto" w:fill="auto"/>
            <w:vAlign w:val="bottom"/>
          </w:tcPr>
          <w:p w14:paraId="392C78AC" w14:textId="77777777" w:rsidR="00980E5F" w:rsidRDefault="00980E5F">
            <w:pPr>
              <w:rPr>
                <w:rFonts w:ascii="宋体"/>
                <w:vanish/>
              </w:rPr>
            </w:pPr>
          </w:p>
        </w:tc>
        <w:tc>
          <w:tcPr>
            <w:tcW w:w="0" w:type="auto"/>
            <w:gridSpan w:val="3"/>
            <w:shd w:val="clear" w:color="auto" w:fill="auto"/>
            <w:vAlign w:val="bottom"/>
          </w:tcPr>
          <w:p w14:paraId="392C78AD" w14:textId="77777777" w:rsidR="00980E5F" w:rsidRDefault="00980E5F">
            <w:pPr>
              <w:rPr>
                <w:rFonts w:ascii="宋体"/>
                <w:vanish/>
              </w:rPr>
            </w:pPr>
          </w:p>
        </w:tc>
      </w:tr>
      <w:tr w:rsidR="00980E5F" w14:paraId="392C78C1" w14:textId="77777777">
        <w:trPr>
          <w:hidden/>
        </w:trPr>
        <w:tc>
          <w:tcPr>
            <w:tcW w:w="0" w:type="auto"/>
            <w:gridSpan w:val="3"/>
            <w:shd w:val="clear" w:color="auto" w:fill="auto"/>
            <w:vAlign w:val="bottom"/>
          </w:tcPr>
          <w:p w14:paraId="392C78AF" w14:textId="77777777" w:rsidR="00980E5F" w:rsidRDefault="00980E5F">
            <w:pPr>
              <w:rPr>
                <w:rFonts w:ascii="宋体"/>
                <w:vanish/>
              </w:rPr>
            </w:pPr>
          </w:p>
        </w:tc>
        <w:tc>
          <w:tcPr>
            <w:tcW w:w="0" w:type="auto"/>
            <w:gridSpan w:val="3"/>
            <w:shd w:val="clear" w:color="auto" w:fill="auto"/>
            <w:vAlign w:val="bottom"/>
          </w:tcPr>
          <w:p w14:paraId="392C78B0" w14:textId="77777777" w:rsidR="00980E5F" w:rsidRDefault="00980E5F">
            <w:pPr>
              <w:rPr>
                <w:rFonts w:ascii="宋体"/>
                <w:vanish/>
              </w:rPr>
            </w:pPr>
          </w:p>
        </w:tc>
        <w:tc>
          <w:tcPr>
            <w:tcW w:w="0" w:type="auto"/>
            <w:gridSpan w:val="3"/>
            <w:shd w:val="clear" w:color="auto" w:fill="auto"/>
            <w:vAlign w:val="bottom"/>
          </w:tcPr>
          <w:p w14:paraId="392C78B1" w14:textId="77777777" w:rsidR="00980E5F" w:rsidRDefault="00980E5F">
            <w:pPr>
              <w:rPr>
                <w:rFonts w:ascii="宋体"/>
                <w:vanish/>
              </w:rPr>
            </w:pPr>
          </w:p>
        </w:tc>
        <w:tc>
          <w:tcPr>
            <w:tcW w:w="0" w:type="auto"/>
            <w:gridSpan w:val="3"/>
            <w:shd w:val="clear" w:color="auto" w:fill="auto"/>
            <w:vAlign w:val="bottom"/>
          </w:tcPr>
          <w:p w14:paraId="392C78B2" w14:textId="77777777" w:rsidR="00980E5F" w:rsidRDefault="00980E5F">
            <w:pPr>
              <w:rPr>
                <w:rFonts w:ascii="宋体"/>
                <w:vanish/>
              </w:rPr>
            </w:pPr>
          </w:p>
        </w:tc>
        <w:tc>
          <w:tcPr>
            <w:tcW w:w="0" w:type="auto"/>
            <w:gridSpan w:val="3"/>
            <w:shd w:val="clear" w:color="auto" w:fill="auto"/>
            <w:vAlign w:val="bottom"/>
          </w:tcPr>
          <w:p w14:paraId="392C78B3" w14:textId="77777777" w:rsidR="00980E5F" w:rsidRDefault="00980E5F">
            <w:pPr>
              <w:rPr>
                <w:rFonts w:ascii="宋体"/>
                <w:vanish/>
              </w:rPr>
            </w:pPr>
          </w:p>
        </w:tc>
        <w:tc>
          <w:tcPr>
            <w:tcW w:w="0" w:type="auto"/>
            <w:gridSpan w:val="3"/>
            <w:shd w:val="clear" w:color="auto" w:fill="auto"/>
            <w:vAlign w:val="bottom"/>
          </w:tcPr>
          <w:p w14:paraId="392C78B4" w14:textId="77777777" w:rsidR="00980E5F" w:rsidRDefault="00980E5F">
            <w:pPr>
              <w:rPr>
                <w:rFonts w:ascii="宋体"/>
                <w:vanish/>
              </w:rPr>
            </w:pPr>
          </w:p>
        </w:tc>
        <w:tc>
          <w:tcPr>
            <w:tcW w:w="0" w:type="auto"/>
            <w:gridSpan w:val="3"/>
            <w:shd w:val="clear" w:color="auto" w:fill="auto"/>
            <w:vAlign w:val="bottom"/>
          </w:tcPr>
          <w:p w14:paraId="392C78B5" w14:textId="77777777" w:rsidR="00980E5F" w:rsidRDefault="00980E5F">
            <w:pPr>
              <w:rPr>
                <w:rFonts w:ascii="宋体"/>
                <w:vanish/>
              </w:rPr>
            </w:pPr>
          </w:p>
        </w:tc>
        <w:tc>
          <w:tcPr>
            <w:tcW w:w="0" w:type="auto"/>
            <w:gridSpan w:val="3"/>
            <w:shd w:val="clear" w:color="auto" w:fill="auto"/>
            <w:vAlign w:val="bottom"/>
          </w:tcPr>
          <w:p w14:paraId="392C78B6" w14:textId="77777777" w:rsidR="00980E5F" w:rsidRDefault="00980E5F">
            <w:pPr>
              <w:rPr>
                <w:rFonts w:ascii="宋体"/>
                <w:vanish/>
              </w:rPr>
            </w:pPr>
          </w:p>
        </w:tc>
        <w:tc>
          <w:tcPr>
            <w:tcW w:w="0" w:type="auto"/>
            <w:gridSpan w:val="3"/>
            <w:shd w:val="clear" w:color="auto" w:fill="auto"/>
            <w:vAlign w:val="bottom"/>
          </w:tcPr>
          <w:p w14:paraId="392C78B7" w14:textId="77777777" w:rsidR="00980E5F" w:rsidRDefault="00980E5F">
            <w:pPr>
              <w:rPr>
                <w:rFonts w:ascii="宋体"/>
                <w:vanish/>
              </w:rPr>
            </w:pPr>
          </w:p>
        </w:tc>
        <w:tc>
          <w:tcPr>
            <w:tcW w:w="0" w:type="auto"/>
            <w:gridSpan w:val="3"/>
            <w:shd w:val="clear" w:color="auto" w:fill="auto"/>
            <w:vAlign w:val="bottom"/>
          </w:tcPr>
          <w:p w14:paraId="392C78B8" w14:textId="77777777" w:rsidR="00980E5F" w:rsidRDefault="00980E5F">
            <w:pPr>
              <w:rPr>
                <w:rFonts w:ascii="宋体"/>
                <w:vanish/>
              </w:rPr>
            </w:pPr>
          </w:p>
        </w:tc>
        <w:tc>
          <w:tcPr>
            <w:tcW w:w="0" w:type="auto"/>
            <w:gridSpan w:val="3"/>
            <w:shd w:val="clear" w:color="auto" w:fill="auto"/>
            <w:vAlign w:val="bottom"/>
          </w:tcPr>
          <w:p w14:paraId="392C78B9" w14:textId="77777777" w:rsidR="00980E5F" w:rsidRDefault="00980E5F">
            <w:pPr>
              <w:rPr>
                <w:rFonts w:ascii="宋体"/>
                <w:vanish/>
              </w:rPr>
            </w:pPr>
          </w:p>
        </w:tc>
        <w:tc>
          <w:tcPr>
            <w:tcW w:w="0" w:type="auto"/>
            <w:shd w:val="clear" w:color="auto" w:fill="auto"/>
            <w:vAlign w:val="bottom"/>
          </w:tcPr>
          <w:p w14:paraId="392C78BA" w14:textId="77777777" w:rsidR="00980E5F" w:rsidRDefault="00980E5F">
            <w:pPr>
              <w:rPr>
                <w:rFonts w:ascii="宋体"/>
                <w:vanish/>
              </w:rPr>
            </w:pPr>
          </w:p>
        </w:tc>
        <w:tc>
          <w:tcPr>
            <w:tcW w:w="0" w:type="auto"/>
            <w:shd w:val="clear" w:color="auto" w:fill="auto"/>
            <w:vAlign w:val="bottom"/>
          </w:tcPr>
          <w:p w14:paraId="392C78BB" w14:textId="77777777" w:rsidR="00980E5F" w:rsidRDefault="00980E5F">
            <w:pPr>
              <w:rPr>
                <w:rFonts w:ascii="宋体"/>
                <w:vanish/>
              </w:rPr>
            </w:pPr>
          </w:p>
        </w:tc>
        <w:tc>
          <w:tcPr>
            <w:tcW w:w="0" w:type="auto"/>
            <w:gridSpan w:val="3"/>
            <w:shd w:val="clear" w:color="auto" w:fill="auto"/>
            <w:vAlign w:val="bottom"/>
          </w:tcPr>
          <w:p w14:paraId="392C78BC" w14:textId="77777777" w:rsidR="00980E5F" w:rsidRDefault="00980E5F">
            <w:pPr>
              <w:rPr>
                <w:rFonts w:ascii="宋体"/>
                <w:vanish/>
              </w:rPr>
            </w:pPr>
          </w:p>
        </w:tc>
        <w:tc>
          <w:tcPr>
            <w:tcW w:w="0" w:type="auto"/>
            <w:gridSpan w:val="3"/>
            <w:shd w:val="clear" w:color="auto" w:fill="auto"/>
            <w:vAlign w:val="bottom"/>
          </w:tcPr>
          <w:p w14:paraId="392C78BD" w14:textId="77777777" w:rsidR="00980E5F" w:rsidRDefault="00980E5F">
            <w:pPr>
              <w:rPr>
                <w:rFonts w:ascii="宋体"/>
                <w:vanish/>
              </w:rPr>
            </w:pPr>
          </w:p>
        </w:tc>
        <w:tc>
          <w:tcPr>
            <w:tcW w:w="0" w:type="auto"/>
            <w:gridSpan w:val="3"/>
            <w:shd w:val="clear" w:color="auto" w:fill="auto"/>
            <w:vAlign w:val="bottom"/>
          </w:tcPr>
          <w:p w14:paraId="392C78BE" w14:textId="77777777" w:rsidR="00980E5F" w:rsidRDefault="00980E5F">
            <w:pPr>
              <w:rPr>
                <w:rFonts w:ascii="宋体"/>
                <w:vanish/>
              </w:rPr>
            </w:pPr>
          </w:p>
        </w:tc>
        <w:tc>
          <w:tcPr>
            <w:tcW w:w="0" w:type="auto"/>
            <w:gridSpan w:val="3"/>
            <w:shd w:val="clear" w:color="auto" w:fill="auto"/>
            <w:vAlign w:val="bottom"/>
          </w:tcPr>
          <w:p w14:paraId="392C78BF" w14:textId="77777777" w:rsidR="00980E5F" w:rsidRDefault="00980E5F">
            <w:pPr>
              <w:rPr>
                <w:rFonts w:ascii="宋体"/>
                <w:vanish/>
              </w:rPr>
            </w:pPr>
          </w:p>
        </w:tc>
        <w:tc>
          <w:tcPr>
            <w:tcW w:w="0" w:type="auto"/>
            <w:gridSpan w:val="3"/>
            <w:shd w:val="clear" w:color="auto" w:fill="auto"/>
            <w:vAlign w:val="bottom"/>
          </w:tcPr>
          <w:p w14:paraId="392C78C0" w14:textId="77777777" w:rsidR="00980E5F" w:rsidRDefault="00980E5F">
            <w:pPr>
              <w:rPr>
                <w:rFonts w:ascii="宋体"/>
                <w:vanish/>
              </w:rPr>
            </w:pPr>
          </w:p>
        </w:tc>
      </w:tr>
      <w:tr w:rsidR="00980E5F" w14:paraId="392C78D4" w14:textId="77777777">
        <w:trPr>
          <w:hidden/>
        </w:trPr>
        <w:tc>
          <w:tcPr>
            <w:tcW w:w="0" w:type="auto"/>
            <w:gridSpan w:val="3"/>
            <w:shd w:val="clear" w:color="auto" w:fill="auto"/>
            <w:vAlign w:val="bottom"/>
          </w:tcPr>
          <w:p w14:paraId="392C78C2" w14:textId="77777777" w:rsidR="00980E5F" w:rsidRDefault="00980E5F">
            <w:pPr>
              <w:rPr>
                <w:rFonts w:ascii="宋体"/>
                <w:vanish/>
              </w:rPr>
            </w:pPr>
          </w:p>
        </w:tc>
        <w:tc>
          <w:tcPr>
            <w:tcW w:w="0" w:type="auto"/>
            <w:gridSpan w:val="3"/>
            <w:shd w:val="clear" w:color="auto" w:fill="auto"/>
            <w:vAlign w:val="bottom"/>
          </w:tcPr>
          <w:p w14:paraId="392C78C3" w14:textId="77777777" w:rsidR="00980E5F" w:rsidRDefault="00980E5F">
            <w:pPr>
              <w:rPr>
                <w:rFonts w:ascii="宋体"/>
                <w:vanish/>
              </w:rPr>
            </w:pPr>
          </w:p>
        </w:tc>
        <w:tc>
          <w:tcPr>
            <w:tcW w:w="0" w:type="auto"/>
            <w:gridSpan w:val="3"/>
            <w:shd w:val="clear" w:color="auto" w:fill="auto"/>
            <w:vAlign w:val="bottom"/>
          </w:tcPr>
          <w:p w14:paraId="392C78C4" w14:textId="77777777" w:rsidR="00980E5F" w:rsidRDefault="00980E5F">
            <w:pPr>
              <w:rPr>
                <w:rFonts w:ascii="宋体"/>
                <w:vanish/>
              </w:rPr>
            </w:pPr>
          </w:p>
        </w:tc>
        <w:tc>
          <w:tcPr>
            <w:tcW w:w="0" w:type="auto"/>
            <w:gridSpan w:val="3"/>
            <w:shd w:val="clear" w:color="auto" w:fill="auto"/>
            <w:vAlign w:val="bottom"/>
          </w:tcPr>
          <w:p w14:paraId="392C78C5" w14:textId="77777777" w:rsidR="00980E5F" w:rsidRDefault="00980E5F">
            <w:pPr>
              <w:rPr>
                <w:rFonts w:ascii="宋体"/>
                <w:vanish/>
              </w:rPr>
            </w:pPr>
          </w:p>
        </w:tc>
        <w:tc>
          <w:tcPr>
            <w:tcW w:w="0" w:type="auto"/>
            <w:gridSpan w:val="3"/>
            <w:shd w:val="clear" w:color="auto" w:fill="auto"/>
            <w:vAlign w:val="bottom"/>
          </w:tcPr>
          <w:p w14:paraId="392C78C6" w14:textId="77777777" w:rsidR="00980E5F" w:rsidRDefault="00980E5F">
            <w:pPr>
              <w:rPr>
                <w:rFonts w:ascii="宋体"/>
                <w:vanish/>
              </w:rPr>
            </w:pPr>
          </w:p>
        </w:tc>
        <w:tc>
          <w:tcPr>
            <w:tcW w:w="0" w:type="auto"/>
            <w:gridSpan w:val="3"/>
            <w:shd w:val="clear" w:color="auto" w:fill="auto"/>
            <w:vAlign w:val="bottom"/>
          </w:tcPr>
          <w:p w14:paraId="392C78C7" w14:textId="77777777" w:rsidR="00980E5F" w:rsidRDefault="00980E5F">
            <w:pPr>
              <w:rPr>
                <w:rFonts w:ascii="宋体"/>
                <w:vanish/>
              </w:rPr>
            </w:pPr>
          </w:p>
        </w:tc>
        <w:tc>
          <w:tcPr>
            <w:tcW w:w="0" w:type="auto"/>
            <w:gridSpan w:val="3"/>
            <w:shd w:val="clear" w:color="auto" w:fill="auto"/>
            <w:vAlign w:val="bottom"/>
          </w:tcPr>
          <w:p w14:paraId="392C78C8" w14:textId="77777777" w:rsidR="00980E5F" w:rsidRDefault="00980E5F">
            <w:pPr>
              <w:rPr>
                <w:rFonts w:ascii="宋体"/>
                <w:vanish/>
              </w:rPr>
            </w:pPr>
          </w:p>
        </w:tc>
        <w:tc>
          <w:tcPr>
            <w:tcW w:w="0" w:type="auto"/>
            <w:gridSpan w:val="3"/>
            <w:shd w:val="clear" w:color="auto" w:fill="auto"/>
            <w:vAlign w:val="bottom"/>
          </w:tcPr>
          <w:p w14:paraId="392C78C9" w14:textId="77777777" w:rsidR="00980E5F" w:rsidRDefault="00980E5F">
            <w:pPr>
              <w:rPr>
                <w:rFonts w:ascii="宋体"/>
                <w:vanish/>
              </w:rPr>
            </w:pPr>
          </w:p>
        </w:tc>
        <w:tc>
          <w:tcPr>
            <w:tcW w:w="0" w:type="auto"/>
            <w:gridSpan w:val="3"/>
            <w:shd w:val="clear" w:color="auto" w:fill="auto"/>
            <w:vAlign w:val="bottom"/>
          </w:tcPr>
          <w:p w14:paraId="392C78CA" w14:textId="77777777" w:rsidR="00980E5F" w:rsidRDefault="00980E5F">
            <w:pPr>
              <w:rPr>
                <w:rFonts w:ascii="宋体"/>
                <w:vanish/>
              </w:rPr>
            </w:pPr>
          </w:p>
        </w:tc>
        <w:tc>
          <w:tcPr>
            <w:tcW w:w="0" w:type="auto"/>
            <w:gridSpan w:val="3"/>
            <w:shd w:val="clear" w:color="auto" w:fill="auto"/>
            <w:vAlign w:val="bottom"/>
          </w:tcPr>
          <w:p w14:paraId="392C78CB" w14:textId="77777777" w:rsidR="00980E5F" w:rsidRDefault="00980E5F">
            <w:pPr>
              <w:rPr>
                <w:rFonts w:ascii="宋体"/>
                <w:vanish/>
              </w:rPr>
            </w:pPr>
          </w:p>
        </w:tc>
        <w:tc>
          <w:tcPr>
            <w:tcW w:w="0" w:type="auto"/>
            <w:gridSpan w:val="3"/>
            <w:shd w:val="clear" w:color="auto" w:fill="auto"/>
            <w:vAlign w:val="bottom"/>
          </w:tcPr>
          <w:p w14:paraId="392C78CC" w14:textId="77777777" w:rsidR="00980E5F" w:rsidRDefault="00980E5F">
            <w:pPr>
              <w:rPr>
                <w:rFonts w:ascii="宋体"/>
                <w:vanish/>
              </w:rPr>
            </w:pPr>
          </w:p>
        </w:tc>
        <w:tc>
          <w:tcPr>
            <w:tcW w:w="0" w:type="auto"/>
            <w:shd w:val="clear" w:color="auto" w:fill="auto"/>
            <w:vAlign w:val="bottom"/>
          </w:tcPr>
          <w:p w14:paraId="392C78CD" w14:textId="77777777" w:rsidR="00980E5F" w:rsidRDefault="00980E5F">
            <w:pPr>
              <w:rPr>
                <w:rFonts w:ascii="宋体"/>
                <w:vanish/>
              </w:rPr>
            </w:pPr>
          </w:p>
        </w:tc>
        <w:tc>
          <w:tcPr>
            <w:tcW w:w="0" w:type="auto"/>
            <w:shd w:val="clear" w:color="auto" w:fill="auto"/>
            <w:vAlign w:val="bottom"/>
          </w:tcPr>
          <w:p w14:paraId="392C78CE" w14:textId="77777777" w:rsidR="00980E5F" w:rsidRDefault="00980E5F">
            <w:pPr>
              <w:rPr>
                <w:rFonts w:ascii="宋体"/>
                <w:vanish/>
              </w:rPr>
            </w:pPr>
          </w:p>
        </w:tc>
        <w:tc>
          <w:tcPr>
            <w:tcW w:w="0" w:type="auto"/>
            <w:gridSpan w:val="3"/>
            <w:shd w:val="clear" w:color="auto" w:fill="auto"/>
            <w:vAlign w:val="bottom"/>
          </w:tcPr>
          <w:p w14:paraId="392C78CF" w14:textId="77777777" w:rsidR="00980E5F" w:rsidRDefault="00980E5F">
            <w:pPr>
              <w:rPr>
                <w:rFonts w:ascii="宋体"/>
                <w:vanish/>
              </w:rPr>
            </w:pPr>
          </w:p>
        </w:tc>
        <w:tc>
          <w:tcPr>
            <w:tcW w:w="0" w:type="auto"/>
            <w:gridSpan w:val="3"/>
            <w:shd w:val="clear" w:color="auto" w:fill="auto"/>
            <w:vAlign w:val="bottom"/>
          </w:tcPr>
          <w:p w14:paraId="392C78D0" w14:textId="77777777" w:rsidR="00980E5F" w:rsidRDefault="00980E5F">
            <w:pPr>
              <w:rPr>
                <w:rFonts w:ascii="宋体"/>
                <w:vanish/>
              </w:rPr>
            </w:pPr>
          </w:p>
        </w:tc>
        <w:tc>
          <w:tcPr>
            <w:tcW w:w="0" w:type="auto"/>
            <w:gridSpan w:val="3"/>
            <w:shd w:val="clear" w:color="auto" w:fill="auto"/>
            <w:vAlign w:val="bottom"/>
          </w:tcPr>
          <w:p w14:paraId="392C78D1" w14:textId="77777777" w:rsidR="00980E5F" w:rsidRDefault="00980E5F">
            <w:pPr>
              <w:rPr>
                <w:rFonts w:ascii="宋体"/>
                <w:vanish/>
              </w:rPr>
            </w:pPr>
          </w:p>
        </w:tc>
        <w:tc>
          <w:tcPr>
            <w:tcW w:w="0" w:type="auto"/>
            <w:gridSpan w:val="3"/>
            <w:shd w:val="clear" w:color="auto" w:fill="auto"/>
            <w:vAlign w:val="bottom"/>
          </w:tcPr>
          <w:p w14:paraId="392C78D2" w14:textId="77777777" w:rsidR="00980E5F" w:rsidRDefault="00980E5F">
            <w:pPr>
              <w:rPr>
                <w:rFonts w:ascii="宋体"/>
                <w:vanish/>
              </w:rPr>
            </w:pPr>
          </w:p>
        </w:tc>
        <w:tc>
          <w:tcPr>
            <w:tcW w:w="0" w:type="auto"/>
            <w:gridSpan w:val="3"/>
            <w:shd w:val="clear" w:color="auto" w:fill="auto"/>
            <w:vAlign w:val="bottom"/>
          </w:tcPr>
          <w:p w14:paraId="392C78D3" w14:textId="77777777" w:rsidR="00980E5F" w:rsidRDefault="00980E5F">
            <w:pPr>
              <w:rPr>
                <w:rFonts w:ascii="宋体"/>
                <w:vanish/>
              </w:rPr>
            </w:pPr>
          </w:p>
        </w:tc>
      </w:tr>
      <w:tr w:rsidR="00980E5F" w14:paraId="392C78E7" w14:textId="77777777">
        <w:trPr>
          <w:hidden/>
        </w:trPr>
        <w:tc>
          <w:tcPr>
            <w:tcW w:w="0" w:type="auto"/>
            <w:gridSpan w:val="3"/>
            <w:shd w:val="clear" w:color="auto" w:fill="auto"/>
            <w:vAlign w:val="bottom"/>
          </w:tcPr>
          <w:p w14:paraId="392C78D5" w14:textId="77777777" w:rsidR="00980E5F" w:rsidRDefault="00980E5F">
            <w:pPr>
              <w:rPr>
                <w:rFonts w:ascii="宋体"/>
                <w:vanish/>
              </w:rPr>
            </w:pPr>
          </w:p>
        </w:tc>
        <w:tc>
          <w:tcPr>
            <w:tcW w:w="0" w:type="auto"/>
            <w:gridSpan w:val="3"/>
            <w:shd w:val="clear" w:color="auto" w:fill="auto"/>
            <w:vAlign w:val="bottom"/>
          </w:tcPr>
          <w:p w14:paraId="392C78D6" w14:textId="77777777" w:rsidR="00980E5F" w:rsidRDefault="00980E5F">
            <w:pPr>
              <w:rPr>
                <w:rFonts w:ascii="宋体"/>
                <w:vanish/>
              </w:rPr>
            </w:pPr>
          </w:p>
        </w:tc>
        <w:tc>
          <w:tcPr>
            <w:tcW w:w="0" w:type="auto"/>
            <w:gridSpan w:val="3"/>
            <w:shd w:val="clear" w:color="auto" w:fill="auto"/>
            <w:vAlign w:val="bottom"/>
          </w:tcPr>
          <w:p w14:paraId="392C78D7" w14:textId="77777777" w:rsidR="00980E5F" w:rsidRDefault="00980E5F">
            <w:pPr>
              <w:rPr>
                <w:rFonts w:ascii="宋体"/>
                <w:vanish/>
              </w:rPr>
            </w:pPr>
          </w:p>
        </w:tc>
        <w:tc>
          <w:tcPr>
            <w:tcW w:w="0" w:type="auto"/>
            <w:gridSpan w:val="3"/>
            <w:shd w:val="clear" w:color="auto" w:fill="auto"/>
            <w:vAlign w:val="bottom"/>
          </w:tcPr>
          <w:p w14:paraId="392C78D8" w14:textId="77777777" w:rsidR="00980E5F" w:rsidRDefault="00980E5F">
            <w:pPr>
              <w:rPr>
                <w:rFonts w:ascii="宋体"/>
                <w:vanish/>
              </w:rPr>
            </w:pPr>
          </w:p>
        </w:tc>
        <w:tc>
          <w:tcPr>
            <w:tcW w:w="0" w:type="auto"/>
            <w:gridSpan w:val="3"/>
            <w:shd w:val="clear" w:color="auto" w:fill="auto"/>
            <w:vAlign w:val="bottom"/>
          </w:tcPr>
          <w:p w14:paraId="392C78D9" w14:textId="77777777" w:rsidR="00980E5F" w:rsidRDefault="00980E5F">
            <w:pPr>
              <w:rPr>
                <w:rFonts w:ascii="宋体"/>
                <w:vanish/>
              </w:rPr>
            </w:pPr>
          </w:p>
        </w:tc>
        <w:tc>
          <w:tcPr>
            <w:tcW w:w="0" w:type="auto"/>
            <w:gridSpan w:val="3"/>
            <w:shd w:val="clear" w:color="auto" w:fill="auto"/>
            <w:vAlign w:val="bottom"/>
          </w:tcPr>
          <w:p w14:paraId="392C78DA" w14:textId="77777777" w:rsidR="00980E5F" w:rsidRDefault="00980E5F">
            <w:pPr>
              <w:rPr>
                <w:rFonts w:ascii="宋体"/>
                <w:vanish/>
              </w:rPr>
            </w:pPr>
          </w:p>
        </w:tc>
        <w:tc>
          <w:tcPr>
            <w:tcW w:w="0" w:type="auto"/>
            <w:gridSpan w:val="3"/>
            <w:shd w:val="clear" w:color="auto" w:fill="auto"/>
            <w:vAlign w:val="bottom"/>
          </w:tcPr>
          <w:p w14:paraId="392C78DB" w14:textId="77777777" w:rsidR="00980E5F" w:rsidRDefault="00980E5F">
            <w:pPr>
              <w:rPr>
                <w:rFonts w:ascii="宋体"/>
                <w:vanish/>
              </w:rPr>
            </w:pPr>
          </w:p>
        </w:tc>
        <w:tc>
          <w:tcPr>
            <w:tcW w:w="0" w:type="auto"/>
            <w:gridSpan w:val="3"/>
            <w:shd w:val="clear" w:color="auto" w:fill="auto"/>
            <w:vAlign w:val="bottom"/>
          </w:tcPr>
          <w:p w14:paraId="392C78DC" w14:textId="77777777" w:rsidR="00980E5F" w:rsidRDefault="00980E5F">
            <w:pPr>
              <w:rPr>
                <w:rFonts w:ascii="宋体"/>
                <w:vanish/>
              </w:rPr>
            </w:pPr>
          </w:p>
        </w:tc>
        <w:tc>
          <w:tcPr>
            <w:tcW w:w="0" w:type="auto"/>
            <w:gridSpan w:val="3"/>
            <w:shd w:val="clear" w:color="auto" w:fill="auto"/>
            <w:vAlign w:val="bottom"/>
          </w:tcPr>
          <w:p w14:paraId="392C78DD" w14:textId="77777777" w:rsidR="00980E5F" w:rsidRDefault="00980E5F">
            <w:pPr>
              <w:rPr>
                <w:rFonts w:ascii="宋体"/>
                <w:vanish/>
              </w:rPr>
            </w:pPr>
          </w:p>
        </w:tc>
        <w:tc>
          <w:tcPr>
            <w:tcW w:w="0" w:type="auto"/>
            <w:gridSpan w:val="3"/>
            <w:shd w:val="clear" w:color="auto" w:fill="auto"/>
            <w:vAlign w:val="bottom"/>
          </w:tcPr>
          <w:p w14:paraId="392C78DE" w14:textId="77777777" w:rsidR="00980E5F" w:rsidRDefault="00980E5F">
            <w:pPr>
              <w:rPr>
                <w:rFonts w:ascii="宋体"/>
                <w:vanish/>
              </w:rPr>
            </w:pPr>
          </w:p>
        </w:tc>
        <w:tc>
          <w:tcPr>
            <w:tcW w:w="0" w:type="auto"/>
            <w:gridSpan w:val="3"/>
            <w:shd w:val="clear" w:color="auto" w:fill="auto"/>
            <w:vAlign w:val="bottom"/>
          </w:tcPr>
          <w:p w14:paraId="392C78DF" w14:textId="77777777" w:rsidR="00980E5F" w:rsidRDefault="00980E5F">
            <w:pPr>
              <w:rPr>
                <w:rFonts w:ascii="宋体"/>
                <w:vanish/>
              </w:rPr>
            </w:pPr>
          </w:p>
        </w:tc>
        <w:tc>
          <w:tcPr>
            <w:tcW w:w="0" w:type="auto"/>
            <w:shd w:val="clear" w:color="auto" w:fill="auto"/>
            <w:vAlign w:val="bottom"/>
          </w:tcPr>
          <w:p w14:paraId="392C78E0" w14:textId="77777777" w:rsidR="00980E5F" w:rsidRDefault="00980E5F">
            <w:pPr>
              <w:rPr>
                <w:rFonts w:ascii="宋体"/>
                <w:vanish/>
              </w:rPr>
            </w:pPr>
          </w:p>
        </w:tc>
        <w:tc>
          <w:tcPr>
            <w:tcW w:w="0" w:type="auto"/>
            <w:shd w:val="clear" w:color="auto" w:fill="auto"/>
            <w:vAlign w:val="bottom"/>
          </w:tcPr>
          <w:p w14:paraId="392C78E1" w14:textId="77777777" w:rsidR="00980E5F" w:rsidRDefault="00980E5F">
            <w:pPr>
              <w:rPr>
                <w:rFonts w:ascii="宋体"/>
                <w:vanish/>
              </w:rPr>
            </w:pPr>
          </w:p>
        </w:tc>
        <w:tc>
          <w:tcPr>
            <w:tcW w:w="0" w:type="auto"/>
            <w:gridSpan w:val="3"/>
            <w:shd w:val="clear" w:color="auto" w:fill="auto"/>
            <w:vAlign w:val="bottom"/>
          </w:tcPr>
          <w:p w14:paraId="392C78E2" w14:textId="77777777" w:rsidR="00980E5F" w:rsidRDefault="00980E5F">
            <w:pPr>
              <w:rPr>
                <w:rFonts w:ascii="宋体"/>
                <w:vanish/>
              </w:rPr>
            </w:pPr>
          </w:p>
        </w:tc>
        <w:tc>
          <w:tcPr>
            <w:tcW w:w="0" w:type="auto"/>
            <w:gridSpan w:val="3"/>
            <w:shd w:val="clear" w:color="auto" w:fill="auto"/>
            <w:vAlign w:val="bottom"/>
          </w:tcPr>
          <w:p w14:paraId="392C78E3" w14:textId="77777777" w:rsidR="00980E5F" w:rsidRDefault="00980E5F">
            <w:pPr>
              <w:rPr>
                <w:rFonts w:ascii="宋体"/>
                <w:vanish/>
              </w:rPr>
            </w:pPr>
          </w:p>
        </w:tc>
        <w:tc>
          <w:tcPr>
            <w:tcW w:w="0" w:type="auto"/>
            <w:gridSpan w:val="3"/>
            <w:shd w:val="clear" w:color="auto" w:fill="auto"/>
            <w:vAlign w:val="bottom"/>
          </w:tcPr>
          <w:p w14:paraId="392C78E4" w14:textId="77777777" w:rsidR="00980E5F" w:rsidRDefault="00980E5F">
            <w:pPr>
              <w:rPr>
                <w:rFonts w:ascii="宋体"/>
                <w:vanish/>
              </w:rPr>
            </w:pPr>
          </w:p>
        </w:tc>
        <w:tc>
          <w:tcPr>
            <w:tcW w:w="0" w:type="auto"/>
            <w:gridSpan w:val="3"/>
            <w:shd w:val="clear" w:color="auto" w:fill="auto"/>
            <w:vAlign w:val="bottom"/>
          </w:tcPr>
          <w:p w14:paraId="392C78E5" w14:textId="77777777" w:rsidR="00980E5F" w:rsidRDefault="00980E5F">
            <w:pPr>
              <w:rPr>
                <w:rFonts w:ascii="宋体"/>
                <w:vanish/>
              </w:rPr>
            </w:pPr>
          </w:p>
        </w:tc>
        <w:tc>
          <w:tcPr>
            <w:tcW w:w="0" w:type="auto"/>
            <w:gridSpan w:val="3"/>
            <w:shd w:val="clear" w:color="auto" w:fill="auto"/>
            <w:vAlign w:val="bottom"/>
          </w:tcPr>
          <w:p w14:paraId="392C78E6" w14:textId="77777777" w:rsidR="00980E5F" w:rsidRDefault="00980E5F">
            <w:pPr>
              <w:rPr>
                <w:rFonts w:ascii="宋体"/>
                <w:vanish/>
              </w:rPr>
            </w:pPr>
          </w:p>
        </w:tc>
      </w:tr>
      <w:tr w:rsidR="00980E5F" w14:paraId="392C78FA" w14:textId="77777777">
        <w:trPr>
          <w:hidden/>
        </w:trPr>
        <w:tc>
          <w:tcPr>
            <w:tcW w:w="0" w:type="auto"/>
            <w:gridSpan w:val="3"/>
            <w:shd w:val="clear" w:color="auto" w:fill="auto"/>
            <w:vAlign w:val="bottom"/>
          </w:tcPr>
          <w:p w14:paraId="392C78E8" w14:textId="77777777" w:rsidR="00980E5F" w:rsidRDefault="00980E5F">
            <w:pPr>
              <w:rPr>
                <w:rFonts w:ascii="宋体"/>
                <w:vanish/>
              </w:rPr>
            </w:pPr>
          </w:p>
        </w:tc>
        <w:tc>
          <w:tcPr>
            <w:tcW w:w="0" w:type="auto"/>
            <w:gridSpan w:val="3"/>
            <w:shd w:val="clear" w:color="auto" w:fill="auto"/>
            <w:vAlign w:val="bottom"/>
          </w:tcPr>
          <w:p w14:paraId="392C78E9" w14:textId="77777777" w:rsidR="00980E5F" w:rsidRDefault="00980E5F">
            <w:pPr>
              <w:rPr>
                <w:rFonts w:ascii="宋体"/>
                <w:vanish/>
              </w:rPr>
            </w:pPr>
          </w:p>
        </w:tc>
        <w:tc>
          <w:tcPr>
            <w:tcW w:w="0" w:type="auto"/>
            <w:gridSpan w:val="3"/>
            <w:shd w:val="clear" w:color="auto" w:fill="auto"/>
            <w:vAlign w:val="bottom"/>
          </w:tcPr>
          <w:p w14:paraId="392C78EA" w14:textId="77777777" w:rsidR="00980E5F" w:rsidRDefault="00980E5F">
            <w:pPr>
              <w:rPr>
                <w:rFonts w:ascii="宋体"/>
                <w:vanish/>
              </w:rPr>
            </w:pPr>
          </w:p>
        </w:tc>
        <w:tc>
          <w:tcPr>
            <w:tcW w:w="0" w:type="auto"/>
            <w:gridSpan w:val="3"/>
            <w:shd w:val="clear" w:color="auto" w:fill="auto"/>
            <w:vAlign w:val="bottom"/>
          </w:tcPr>
          <w:p w14:paraId="392C78EB" w14:textId="77777777" w:rsidR="00980E5F" w:rsidRDefault="00980E5F">
            <w:pPr>
              <w:rPr>
                <w:rFonts w:ascii="宋体"/>
                <w:vanish/>
              </w:rPr>
            </w:pPr>
          </w:p>
        </w:tc>
        <w:tc>
          <w:tcPr>
            <w:tcW w:w="0" w:type="auto"/>
            <w:gridSpan w:val="3"/>
            <w:shd w:val="clear" w:color="auto" w:fill="auto"/>
            <w:vAlign w:val="bottom"/>
          </w:tcPr>
          <w:p w14:paraId="392C78EC" w14:textId="77777777" w:rsidR="00980E5F" w:rsidRDefault="00980E5F">
            <w:pPr>
              <w:rPr>
                <w:rFonts w:ascii="宋体"/>
                <w:vanish/>
              </w:rPr>
            </w:pPr>
          </w:p>
        </w:tc>
        <w:tc>
          <w:tcPr>
            <w:tcW w:w="0" w:type="auto"/>
            <w:gridSpan w:val="3"/>
            <w:shd w:val="clear" w:color="auto" w:fill="auto"/>
            <w:vAlign w:val="bottom"/>
          </w:tcPr>
          <w:p w14:paraId="392C78ED" w14:textId="77777777" w:rsidR="00980E5F" w:rsidRDefault="00980E5F">
            <w:pPr>
              <w:rPr>
                <w:rFonts w:ascii="宋体"/>
                <w:vanish/>
              </w:rPr>
            </w:pPr>
          </w:p>
        </w:tc>
        <w:tc>
          <w:tcPr>
            <w:tcW w:w="0" w:type="auto"/>
            <w:gridSpan w:val="3"/>
            <w:shd w:val="clear" w:color="auto" w:fill="auto"/>
            <w:vAlign w:val="bottom"/>
          </w:tcPr>
          <w:p w14:paraId="392C78EE" w14:textId="77777777" w:rsidR="00980E5F" w:rsidRDefault="00980E5F">
            <w:pPr>
              <w:rPr>
                <w:rFonts w:ascii="宋体"/>
                <w:vanish/>
              </w:rPr>
            </w:pPr>
          </w:p>
        </w:tc>
        <w:tc>
          <w:tcPr>
            <w:tcW w:w="0" w:type="auto"/>
            <w:gridSpan w:val="3"/>
            <w:shd w:val="clear" w:color="auto" w:fill="auto"/>
            <w:vAlign w:val="bottom"/>
          </w:tcPr>
          <w:p w14:paraId="392C78EF" w14:textId="77777777" w:rsidR="00980E5F" w:rsidRDefault="00980E5F">
            <w:pPr>
              <w:rPr>
                <w:rFonts w:ascii="宋体"/>
                <w:vanish/>
              </w:rPr>
            </w:pPr>
          </w:p>
        </w:tc>
        <w:tc>
          <w:tcPr>
            <w:tcW w:w="0" w:type="auto"/>
            <w:gridSpan w:val="3"/>
            <w:shd w:val="clear" w:color="auto" w:fill="auto"/>
            <w:vAlign w:val="bottom"/>
          </w:tcPr>
          <w:p w14:paraId="392C78F0" w14:textId="77777777" w:rsidR="00980E5F" w:rsidRDefault="00980E5F">
            <w:pPr>
              <w:rPr>
                <w:rFonts w:ascii="宋体"/>
                <w:vanish/>
              </w:rPr>
            </w:pPr>
          </w:p>
        </w:tc>
        <w:tc>
          <w:tcPr>
            <w:tcW w:w="0" w:type="auto"/>
            <w:gridSpan w:val="3"/>
            <w:shd w:val="clear" w:color="auto" w:fill="auto"/>
            <w:vAlign w:val="bottom"/>
          </w:tcPr>
          <w:p w14:paraId="392C78F1" w14:textId="77777777" w:rsidR="00980E5F" w:rsidRDefault="00980E5F">
            <w:pPr>
              <w:rPr>
                <w:rFonts w:ascii="宋体"/>
                <w:vanish/>
              </w:rPr>
            </w:pPr>
          </w:p>
        </w:tc>
        <w:tc>
          <w:tcPr>
            <w:tcW w:w="0" w:type="auto"/>
            <w:gridSpan w:val="3"/>
            <w:shd w:val="clear" w:color="auto" w:fill="auto"/>
            <w:vAlign w:val="bottom"/>
          </w:tcPr>
          <w:p w14:paraId="392C78F2" w14:textId="77777777" w:rsidR="00980E5F" w:rsidRDefault="00980E5F">
            <w:pPr>
              <w:rPr>
                <w:rFonts w:ascii="宋体"/>
                <w:vanish/>
              </w:rPr>
            </w:pPr>
          </w:p>
        </w:tc>
        <w:tc>
          <w:tcPr>
            <w:tcW w:w="0" w:type="auto"/>
            <w:shd w:val="clear" w:color="auto" w:fill="auto"/>
            <w:vAlign w:val="bottom"/>
          </w:tcPr>
          <w:p w14:paraId="392C78F3" w14:textId="77777777" w:rsidR="00980E5F" w:rsidRDefault="00980E5F">
            <w:pPr>
              <w:rPr>
                <w:rFonts w:ascii="宋体"/>
                <w:vanish/>
              </w:rPr>
            </w:pPr>
          </w:p>
        </w:tc>
        <w:tc>
          <w:tcPr>
            <w:tcW w:w="0" w:type="auto"/>
            <w:shd w:val="clear" w:color="auto" w:fill="auto"/>
            <w:vAlign w:val="bottom"/>
          </w:tcPr>
          <w:p w14:paraId="392C78F4" w14:textId="77777777" w:rsidR="00980E5F" w:rsidRDefault="00980E5F">
            <w:pPr>
              <w:rPr>
                <w:rFonts w:ascii="宋体"/>
                <w:vanish/>
              </w:rPr>
            </w:pPr>
          </w:p>
        </w:tc>
        <w:tc>
          <w:tcPr>
            <w:tcW w:w="0" w:type="auto"/>
            <w:gridSpan w:val="3"/>
            <w:shd w:val="clear" w:color="auto" w:fill="auto"/>
            <w:vAlign w:val="bottom"/>
          </w:tcPr>
          <w:p w14:paraId="392C78F5" w14:textId="77777777" w:rsidR="00980E5F" w:rsidRDefault="00980E5F">
            <w:pPr>
              <w:rPr>
                <w:rFonts w:ascii="宋体"/>
                <w:vanish/>
              </w:rPr>
            </w:pPr>
          </w:p>
        </w:tc>
        <w:tc>
          <w:tcPr>
            <w:tcW w:w="0" w:type="auto"/>
            <w:gridSpan w:val="3"/>
            <w:shd w:val="clear" w:color="auto" w:fill="auto"/>
            <w:vAlign w:val="bottom"/>
          </w:tcPr>
          <w:p w14:paraId="392C78F6" w14:textId="77777777" w:rsidR="00980E5F" w:rsidRDefault="00980E5F">
            <w:pPr>
              <w:rPr>
                <w:rFonts w:ascii="宋体"/>
                <w:vanish/>
              </w:rPr>
            </w:pPr>
          </w:p>
        </w:tc>
        <w:tc>
          <w:tcPr>
            <w:tcW w:w="0" w:type="auto"/>
            <w:gridSpan w:val="3"/>
            <w:shd w:val="clear" w:color="auto" w:fill="auto"/>
            <w:vAlign w:val="bottom"/>
          </w:tcPr>
          <w:p w14:paraId="392C78F7" w14:textId="77777777" w:rsidR="00980E5F" w:rsidRDefault="00980E5F">
            <w:pPr>
              <w:rPr>
                <w:rFonts w:ascii="宋体"/>
                <w:vanish/>
              </w:rPr>
            </w:pPr>
          </w:p>
        </w:tc>
        <w:tc>
          <w:tcPr>
            <w:tcW w:w="0" w:type="auto"/>
            <w:gridSpan w:val="3"/>
            <w:shd w:val="clear" w:color="auto" w:fill="auto"/>
            <w:vAlign w:val="bottom"/>
          </w:tcPr>
          <w:p w14:paraId="392C78F8" w14:textId="77777777" w:rsidR="00980E5F" w:rsidRDefault="00980E5F">
            <w:pPr>
              <w:rPr>
                <w:rFonts w:ascii="宋体"/>
                <w:vanish/>
              </w:rPr>
            </w:pPr>
          </w:p>
        </w:tc>
        <w:tc>
          <w:tcPr>
            <w:tcW w:w="0" w:type="auto"/>
            <w:gridSpan w:val="3"/>
            <w:shd w:val="clear" w:color="auto" w:fill="auto"/>
            <w:vAlign w:val="bottom"/>
          </w:tcPr>
          <w:p w14:paraId="392C78F9" w14:textId="77777777" w:rsidR="00980E5F" w:rsidRDefault="00980E5F">
            <w:pPr>
              <w:rPr>
                <w:rFonts w:ascii="宋体"/>
                <w:vanish/>
              </w:rPr>
            </w:pPr>
          </w:p>
        </w:tc>
      </w:tr>
      <w:tr w:rsidR="00980E5F" w14:paraId="392C790D" w14:textId="77777777">
        <w:trPr>
          <w:hidden/>
        </w:trPr>
        <w:tc>
          <w:tcPr>
            <w:tcW w:w="0" w:type="auto"/>
            <w:gridSpan w:val="3"/>
            <w:shd w:val="clear" w:color="auto" w:fill="auto"/>
            <w:vAlign w:val="bottom"/>
          </w:tcPr>
          <w:p w14:paraId="392C78FB" w14:textId="77777777" w:rsidR="00980E5F" w:rsidRDefault="00980E5F">
            <w:pPr>
              <w:rPr>
                <w:rFonts w:ascii="宋体"/>
                <w:vanish/>
              </w:rPr>
            </w:pPr>
          </w:p>
        </w:tc>
        <w:tc>
          <w:tcPr>
            <w:tcW w:w="0" w:type="auto"/>
            <w:gridSpan w:val="3"/>
            <w:shd w:val="clear" w:color="auto" w:fill="auto"/>
            <w:vAlign w:val="bottom"/>
          </w:tcPr>
          <w:p w14:paraId="392C78FC" w14:textId="77777777" w:rsidR="00980E5F" w:rsidRDefault="00980E5F">
            <w:pPr>
              <w:rPr>
                <w:rFonts w:ascii="宋体"/>
                <w:vanish/>
              </w:rPr>
            </w:pPr>
          </w:p>
        </w:tc>
        <w:tc>
          <w:tcPr>
            <w:tcW w:w="0" w:type="auto"/>
            <w:gridSpan w:val="3"/>
            <w:shd w:val="clear" w:color="auto" w:fill="auto"/>
            <w:vAlign w:val="bottom"/>
          </w:tcPr>
          <w:p w14:paraId="392C78FD" w14:textId="77777777" w:rsidR="00980E5F" w:rsidRDefault="00980E5F">
            <w:pPr>
              <w:rPr>
                <w:rFonts w:ascii="宋体"/>
                <w:vanish/>
              </w:rPr>
            </w:pPr>
          </w:p>
        </w:tc>
        <w:tc>
          <w:tcPr>
            <w:tcW w:w="0" w:type="auto"/>
            <w:gridSpan w:val="3"/>
            <w:shd w:val="clear" w:color="auto" w:fill="auto"/>
            <w:vAlign w:val="bottom"/>
          </w:tcPr>
          <w:p w14:paraId="392C78FE" w14:textId="77777777" w:rsidR="00980E5F" w:rsidRDefault="00980E5F">
            <w:pPr>
              <w:rPr>
                <w:rFonts w:ascii="宋体"/>
                <w:vanish/>
              </w:rPr>
            </w:pPr>
          </w:p>
        </w:tc>
        <w:tc>
          <w:tcPr>
            <w:tcW w:w="0" w:type="auto"/>
            <w:gridSpan w:val="3"/>
            <w:shd w:val="clear" w:color="auto" w:fill="auto"/>
            <w:vAlign w:val="bottom"/>
          </w:tcPr>
          <w:p w14:paraId="392C78FF" w14:textId="77777777" w:rsidR="00980E5F" w:rsidRDefault="00980E5F">
            <w:pPr>
              <w:rPr>
                <w:rFonts w:ascii="宋体"/>
                <w:vanish/>
              </w:rPr>
            </w:pPr>
          </w:p>
        </w:tc>
        <w:tc>
          <w:tcPr>
            <w:tcW w:w="0" w:type="auto"/>
            <w:gridSpan w:val="3"/>
            <w:shd w:val="clear" w:color="auto" w:fill="auto"/>
            <w:vAlign w:val="bottom"/>
          </w:tcPr>
          <w:p w14:paraId="392C7900" w14:textId="77777777" w:rsidR="00980E5F" w:rsidRDefault="00980E5F">
            <w:pPr>
              <w:rPr>
                <w:rFonts w:ascii="宋体"/>
                <w:vanish/>
              </w:rPr>
            </w:pPr>
          </w:p>
        </w:tc>
        <w:tc>
          <w:tcPr>
            <w:tcW w:w="0" w:type="auto"/>
            <w:gridSpan w:val="3"/>
            <w:shd w:val="clear" w:color="auto" w:fill="auto"/>
            <w:vAlign w:val="bottom"/>
          </w:tcPr>
          <w:p w14:paraId="392C7901" w14:textId="77777777" w:rsidR="00980E5F" w:rsidRDefault="00980E5F">
            <w:pPr>
              <w:rPr>
                <w:rFonts w:ascii="宋体"/>
                <w:vanish/>
              </w:rPr>
            </w:pPr>
          </w:p>
        </w:tc>
        <w:tc>
          <w:tcPr>
            <w:tcW w:w="0" w:type="auto"/>
            <w:gridSpan w:val="3"/>
            <w:shd w:val="clear" w:color="auto" w:fill="auto"/>
            <w:vAlign w:val="bottom"/>
          </w:tcPr>
          <w:p w14:paraId="392C7902" w14:textId="77777777" w:rsidR="00980E5F" w:rsidRDefault="00980E5F">
            <w:pPr>
              <w:rPr>
                <w:rFonts w:ascii="宋体"/>
                <w:vanish/>
              </w:rPr>
            </w:pPr>
          </w:p>
        </w:tc>
        <w:tc>
          <w:tcPr>
            <w:tcW w:w="0" w:type="auto"/>
            <w:gridSpan w:val="3"/>
            <w:shd w:val="clear" w:color="auto" w:fill="auto"/>
            <w:vAlign w:val="bottom"/>
          </w:tcPr>
          <w:p w14:paraId="392C7903" w14:textId="77777777" w:rsidR="00980E5F" w:rsidRDefault="00980E5F">
            <w:pPr>
              <w:rPr>
                <w:rFonts w:ascii="宋体"/>
                <w:vanish/>
              </w:rPr>
            </w:pPr>
          </w:p>
        </w:tc>
        <w:tc>
          <w:tcPr>
            <w:tcW w:w="0" w:type="auto"/>
            <w:gridSpan w:val="3"/>
            <w:shd w:val="clear" w:color="auto" w:fill="auto"/>
            <w:vAlign w:val="bottom"/>
          </w:tcPr>
          <w:p w14:paraId="392C7904" w14:textId="77777777" w:rsidR="00980E5F" w:rsidRDefault="00980E5F">
            <w:pPr>
              <w:rPr>
                <w:rFonts w:ascii="宋体"/>
                <w:vanish/>
              </w:rPr>
            </w:pPr>
          </w:p>
        </w:tc>
        <w:tc>
          <w:tcPr>
            <w:tcW w:w="0" w:type="auto"/>
            <w:gridSpan w:val="3"/>
            <w:shd w:val="clear" w:color="auto" w:fill="auto"/>
            <w:vAlign w:val="bottom"/>
          </w:tcPr>
          <w:p w14:paraId="392C7905" w14:textId="77777777" w:rsidR="00980E5F" w:rsidRDefault="00980E5F">
            <w:pPr>
              <w:rPr>
                <w:rFonts w:ascii="宋体"/>
                <w:vanish/>
              </w:rPr>
            </w:pPr>
          </w:p>
        </w:tc>
        <w:tc>
          <w:tcPr>
            <w:tcW w:w="0" w:type="auto"/>
            <w:shd w:val="clear" w:color="auto" w:fill="auto"/>
            <w:vAlign w:val="bottom"/>
          </w:tcPr>
          <w:p w14:paraId="392C7906" w14:textId="77777777" w:rsidR="00980E5F" w:rsidRDefault="00980E5F">
            <w:pPr>
              <w:rPr>
                <w:rFonts w:ascii="宋体"/>
                <w:vanish/>
              </w:rPr>
            </w:pPr>
          </w:p>
        </w:tc>
        <w:tc>
          <w:tcPr>
            <w:tcW w:w="0" w:type="auto"/>
            <w:shd w:val="clear" w:color="auto" w:fill="auto"/>
            <w:vAlign w:val="bottom"/>
          </w:tcPr>
          <w:p w14:paraId="392C7907" w14:textId="77777777" w:rsidR="00980E5F" w:rsidRDefault="00980E5F">
            <w:pPr>
              <w:rPr>
                <w:rFonts w:ascii="宋体"/>
                <w:vanish/>
              </w:rPr>
            </w:pPr>
          </w:p>
        </w:tc>
        <w:tc>
          <w:tcPr>
            <w:tcW w:w="0" w:type="auto"/>
            <w:gridSpan w:val="3"/>
            <w:shd w:val="clear" w:color="auto" w:fill="auto"/>
            <w:vAlign w:val="bottom"/>
          </w:tcPr>
          <w:p w14:paraId="392C7908" w14:textId="77777777" w:rsidR="00980E5F" w:rsidRDefault="00980E5F">
            <w:pPr>
              <w:rPr>
                <w:rFonts w:ascii="宋体"/>
                <w:vanish/>
              </w:rPr>
            </w:pPr>
          </w:p>
        </w:tc>
        <w:tc>
          <w:tcPr>
            <w:tcW w:w="0" w:type="auto"/>
            <w:gridSpan w:val="3"/>
            <w:shd w:val="clear" w:color="auto" w:fill="auto"/>
            <w:vAlign w:val="bottom"/>
          </w:tcPr>
          <w:p w14:paraId="392C7909" w14:textId="77777777" w:rsidR="00980E5F" w:rsidRDefault="00980E5F">
            <w:pPr>
              <w:rPr>
                <w:rFonts w:ascii="宋体"/>
                <w:vanish/>
              </w:rPr>
            </w:pPr>
          </w:p>
        </w:tc>
        <w:tc>
          <w:tcPr>
            <w:tcW w:w="0" w:type="auto"/>
            <w:gridSpan w:val="3"/>
            <w:shd w:val="clear" w:color="auto" w:fill="auto"/>
            <w:vAlign w:val="bottom"/>
          </w:tcPr>
          <w:p w14:paraId="392C790A" w14:textId="77777777" w:rsidR="00980E5F" w:rsidRDefault="00980E5F">
            <w:pPr>
              <w:rPr>
                <w:rFonts w:ascii="宋体"/>
                <w:vanish/>
              </w:rPr>
            </w:pPr>
          </w:p>
        </w:tc>
        <w:tc>
          <w:tcPr>
            <w:tcW w:w="0" w:type="auto"/>
            <w:gridSpan w:val="3"/>
            <w:shd w:val="clear" w:color="auto" w:fill="auto"/>
            <w:vAlign w:val="bottom"/>
          </w:tcPr>
          <w:p w14:paraId="392C790B" w14:textId="77777777" w:rsidR="00980E5F" w:rsidRDefault="00980E5F">
            <w:pPr>
              <w:rPr>
                <w:rFonts w:ascii="宋体"/>
                <w:vanish/>
              </w:rPr>
            </w:pPr>
          </w:p>
        </w:tc>
        <w:tc>
          <w:tcPr>
            <w:tcW w:w="0" w:type="auto"/>
            <w:gridSpan w:val="3"/>
            <w:shd w:val="clear" w:color="auto" w:fill="auto"/>
            <w:vAlign w:val="bottom"/>
          </w:tcPr>
          <w:p w14:paraId="392C790C" w14:textId="77777777" w:rsidR="00980E5F" w:rsidRDefault="00980E5F">
            <w:pPr>
              <w:rPr>
                <w:rFonts w:ascii="宋体"/>
                <w:vanish/>
              </w:rPr>
            </w:pPr>
          </w:p>
        </w:tc>
      </w:tr>
    </w:tbl>
    <w:p w14:paraId="392C790E"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C7915" w14:textId="77777777">
        <w:tc>
          <w:tcPr>
            <w:tcW w:w="50" w:type="pct"/>
            <w:shd w:val="clear" w:color="auto" w:fill="auto"/>
            <w:vAlign w:val="bottom"/>
          </w:tcPr>
          <w:p w14:paraId="392C790F" w14:textId="77777777" w:rsidR="00980E5F" w:rsidRDefault="00980E5F">
            <w:pPr>
              <w:rPr>
                <w:rFonts w:ascii="宋体"/>
              </w:rPr>
            </w:pPr>
          </w:p>
        </w:tc>
        <w:tc>
          <w:tcPr>
            <w:tcW w:w="1348" w:type="pct"/>
            <w:shd w:val="clear" w:color="auto" w:fill="auto"/>
            <w:vAlign w:val="bottom"/>
          </w:tcPr>
          <w:p w14:paraId="392C7910" w14:textId="77777777" w:rsidR="00980E5F" w:rsidRDefault="00980E5F">
            <w:pPr>
              <w:rPr>
                <w:rFonts w:ascii="宋体"/>
              </w:rPr>
            </w:pPr>
          </w:p>
        </w:tc>
        <w:tc>
          <w:tcPr>
            <w:tcW w:w="5" w:type="pct"/>
            <w:shd w:val="clear" w:color="auto" w:fill="auto"/>
            <w:vAlign w:val="bottom"/>
          </w:tcPr>
          <w:p w14:paraId="392C7911" w14:textId="77777777" w:rsidR="00980E5F" w:rsidRDefault="00980E5F">
            <w:pPr>
              <w:rPr>
                <w:rFonts w:ascii="宋体"/>
              </w:rPr>
            </w:pPr>
          </w:p>
        </w:tc>
        <w:tc>
          <w:tcPr>
            <w:tcW w:w="50" w:type="pct"/>
            <w:shd w:val="clear" w:color="auto" w:fill="auto"/>
            <w:vAlign w:val="bottom"/>
          </w:tcPr>
          <w:p w14:paraId="392C7912" w14:textId="77777777" w:rsidR="00980E5F" w:rsidRDefault="00980E5F">
            <w:pPr>
              <w:rPr>
                <w:rFonts w:ascii="宋体"/>
              </w:rPr>
            </w:pPr>
          </w:p>
        </w:tc>
        <w:tc>
          <w:tcPr>
            <w:tcW w:w="3541" w:type="pct"/>
            <w:shd w:val="clear" w:color="auto" w:fill="auto"/>
            <w:vAlign w:val="bottom"/>
          </w:tcPr>
          <w:p w14:paraId="392C7913" w14:textId="77777777" w:rsidR="00980E5F" w:rsidRDefault="00980E5F">
            <w:pPr>
              <w:rPr>
                <w:rFonts w:ascii="宋体"/>
              </w:rPr>
            </w:pPr>
          </w:p>
        </w:tc>
        <w:tc>
          <w:tcPr>
            <w:tcW w:w="5" w:type="pct"/>
            <w:shd w:val="clear" w:color="auto" w:fill="auto"/>
            <w:vAlign w:val="bottom"/>
          </w:tcPr>
          <w:p w14:paraId="392C7914" w14:textId="77777777" w:rsidR="00980E5F" w:rsidRDefault="00980E5F">
            <w:pPr>
              <w:rPr>
                <w:rFonts w:ascii="宋体"/>
              </w:rPr>
            </w:pPr>
          </w:p>
        </w:tc>
      </w:tr>
      <w:tr w:rsidR="00980E5F" w14:paraId="392C791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791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17" w14:textId="77777777" w:rsidR="00980E5F" w:rsidRDefault="00980E5F">
            <w:pPr>
              <w:rPr>
                <w:rFonts w:ascii="宋体"/>
              </w:rPr>
            </w:pPr>
          </w:p>
        </w:tc>
      </w:tr>
    </w:tbl>
    <w:p w14:paraId="392C7919" w14:textId="77777777" w:rsidR="00980E5F" w:rsidRDefault="00483613">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2021, accrued interest receivable of $86 million included in the amortized cost basis of loans has been </w:t>
      </w:r>
      <w:r>
        <w:rPr>
          <w:rFonts w:ascii="Arial" w:eastAsia="宋体" w:hAnsi="Arial" w:cs="Arial"/>
          <w:color w:val="000000"/>
          <w:sz w:val="13"/>
          <w:szCs w:val="13"/>
        </w:rPr>
        <w:t>excluded from the amortized cost basis within this table.</w:t>
      </w:r>
    </w:p>
    <w:p w14:paraId="392C791A" w14:textId="77777777" w:rsidR="00980E5F" w:rsidRDefault="00483613">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$8 million of loans classified as held-for-sale as of December 31, 2021.</w:t>
      </w:r>
    </w:p>
    <w:p w14:paraId="392C791B" w14:textId="77777777" w:rsidR="00980E5F" w:rsidRDefault="00483613">
      <w:pPr>
        <w:spacing w:before="60"/>
        <w:ind w:firstLine="450"/>
        <w:jc w:val="both"/>
      </w:pPr>
      <w:r>
        <w:rPr>
          <w:rFonts w:ascii="Arial" w:eastAsia="宋体" w:hAnsi="Arial" w:cs="Arial"/>
          <w:color w:val="000000"/>
          <w:sz w:val="20"/>
          <w:szCs w:val="20"/>
        </w:rPr>
        <w:t xml:space="preserve">The following tables present the activity in the allowance for credit losses by portfolio and </w:t>
      </w:r>
      <w:r>
        <w:rPr>
          <w:rFonts w:ascii="Arial" w:eastAsia="宋体" w:hAnsi="Arial" w:cs="Arial"/>
          <w:color w:val="000000"/>
          <w:sz w:val="20"/>
          <w:szCs w:val="20"/>
        </w:rPr>
        <w:t>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425"/>
        <w:gridCol w:w="38"/>
        <w:gridCol w:w="100"/>
        <w:gridCol w:w="660"/>
        <w:gridCol w:w="38"/>
        <w:gridCol w:w="36"/>
        <w:gridCol w:w="36"/>
        <w:gridCol w:w="36"/>
        <w:gridCol w:w="99"/>
        <w:gridCol w:w="560"/>
        <w:gridCol w:w="37"/>
        <w:gridCol w:w="36"/>
        <w:gridCol w:w="36"/>
        <w:gridCol w:w="36"/>
        <w:gridCol w:w="99"/>
        <w:gridCol w:w="750"/>
        <w:gridCol w:w="36"/>
        <w:gridCol w:w="36"/>
        <w:gridCol w:w="36"/>
        <w:gridCol w:w="36"/>
        <w:gridCol w:w="104"/>
        <w:gridCol w:w="1094"/>
        <w:gridCol w:w="36"/>
        <w:gridCol w:w="36"/>
        <w:gridCol w:w="36"/>
        <w:gridCol w:w="36"/>
        <w:gridCol w:w="36"/>
        <w:gridCol w:w="36"/>
        <w:gridCol w:w="99"/>
        <w:gridCol w:w="893"/>
        <w:gridCol w:w="36"/>
        <w:gridCol w:w="36"/>
        <w:gridCol w:w="36"/>
        <w:gridCol w:w="36"/>
        <w:gridCol w:w="99"/>
        <w:gridCol w:w="593"/>
        <w:gridCol w:w="36"/>
        <w:gridCol w:w="36"/>
        <w:gridCol w:w="36"/>
        <w:gridCol w:w="36"/>
        <w:gridCol w:w="98"/>
        <w:gridCol w:w="611"/>
        <w:gridCol w:w="36"/>
      </w:tblGrid>
      <w:tr w:rsidR="00980E5F" w14:paraId="392C7948" w14:textId="77777777">
        <w:tc>
          <w:tcPr>
            <w:tcW w:w="50" w:type="pct"/>
            <w:shd w:val="clear" w:color="auto" w:fill="auto"/>
            <w:vAlign w:val="bottom"/>
          </w:tcPr>
          <w:p w14:paraId="392C791C" w14:textId="77777777" w:rsidR="00980E5F" w:rsidRDefault="00980E5F">
            <w:pPr>
              <w:rPr>
                <w:rFonts w:ascii="宋体"/>
              </w:rPr>
            </w:pPr>
          </w:p>
        </w:tc>
        <w:tc>
          <w:tcPr>
            <w:tcW w:w="997" w:type="pct"/>
            <w:shd w:val="clear" w:color="auto" w:fill="auto"/>
            <w:vAlign w:val="bottom"/>
          </w:tcPr>
          <w:p w14:paraId="392C791D" w14:textId="77777777" w:rsidR="00980E5F" w:rsidRDefault="00980E5F">
            <w:pPr>
              <w:rPr>
                <w:rFonts w:ascii="宋体"/>
              </w:rPr>
            </w:pPr>
          </w:p>
        </w:tc>
        <w:tc>
          <w:tcPr>
            <w:tcW w:w="5" w:type="pct"/>
            <w:shd w:val="clear" w:color="auto" w:fill="auto"/>
            <w:vAlign w:val="bottom"/>
          </w:tcPr>
          <w:p w14:paraId="392C791E" w14:textId="77777777" w:rsidR="00980E5F" w:rsidRDefault="00980E5F">
            <w:pPr>
              <w:rPr>
                <w:rFonts w:ascii="宋体"/>
              </w:rPr>
            </w:pPr>
          </w:p>
        </w:tc>
        <w:tc>
          <w:tcPr>
            <w:tcW w:w="50" w:type="pct"/>
            <w:shd w:val="clear" w:color="auto" w:fill="auto"/>
            <w:vAlign w:val="bottom"/>
          </w:tcPr>
          <w:p w14:paraId="392C791F" w14:textId="77777777" w:rsidR="00980E5F" w:rsidRDefault="00980E5F">
            <w:pPr>
              <w:rPr>
                <w:rFonts w:ascii="宋体"/>
              </w:rPr>
            </w:pPr>
          </w:p>
        </w:tc>
        <w:tc>
          <w:tcPr>
            <w:tcW w:w="449" w:type="pct"/>
            <w:shd w:val="clear" w:color="auto" w:fill="auto"/>
            <w:vAlign w:val="bottom"/>
          </w:tcPr>
          <w:p w14:paraId="392C7920" w14:textId="77777777" w:rsidR="00980E5F" w:rsidRDefault="00980E5F">
            <w:pPr>
              <w:rPr>
                <w:rFonts w:ascii="宋体"/>
              </w:rPr>
            </w:pPr>
          </w:p>
        </w:tc>
        <w:tc>
          <w:tcPr>
            <w:tcW w:w="5" w:type="pct"/>
            <w:shd w:val="clear" w:color="auto" w:fill="auto"/>
            <w:vAlign w:val="bottom"/>
          </w:tcPr>
          <w:p w14:paraId="392C7921" w14:textId="77777777" w:rsidR="00980E5F" w:rsidRDefault="00980E5F">
            <w:pPr>
              <w:rPr>
                <w:rFonts w:ascii="宋体"/>
              </w:rPr>
            </w:pPr>
          </w:p>
        </w:tc>
        <w:tc>
          <w:tcPr>
            <w:tcW w:w="5" w:type="pct"/>
            <w:shd w:val="clear" w:color="auto" w:fill="auto"/>
            <w:vAlign w:val="bottom"/>
          </w:tcPr>
          <w:p w14:paraId="392C7922" w14:textId="77777777" w:rsidR="00980E5F" w:rsidRDefault="00980E5F">
            <w:pPr>
              <w:rPr>
                <w:rFonts w:ascii="宋体"/>
              </w:rPr>
            </w:pPr>
          </w:p>
        </w:tc>
        <w:tc>
          <w:tcPr>
            <w:tcW w:w="19" w:type="pct"/>
            <w:shd w:val="clear" w:color="auto" w:fill="auto"/>
            <w:vAlign w:val="bottom"/>
          </w:tcPr>
          <w:p w14:paraId="392C7923" w14:textId="77777777" w:rsidR="00980E5F" w:rsidRDefault="00980E5F">
            <w:pPr>
              <w:rPr>
                <w:rFonts w:ascii="宋体"/>
              </w:rPr>
            </w:pPr>
          </w:p>
        </w:tc>
        <w:tc>
          <w:tcPr>
            <w:tcW w:w="5" w:type="pct"/>
            <w:shd w:val="clear" w:color="auto" w:fill="auto"/>
            <w:vAlign w:val="bottom"/>
          </w:tcPr>
          <w:p w14:paraId="392C7924" w14:textId="77777777" w:rsidR="00980E5F" w:rsidRDefault="00980E5F">
            <w:pPr>
              <w:rPr>
                <w:rFonts w:ascii="宋体"/>
              </w:rPr>
            </w:pPr>
          </w:p>
        </w:tc>
        <w:tc>
          <w:tcPr>
            <w:tcW w:w="50" w:type="pct"/>
            <w:shd w:val="clear" w:color="auto" w:fill="auto"/>
            <w:vAlign w:val="bottom"/>
          </w:tcPr>
          <w:p w14:paraId="392C7925" w14:textId="77777777" w:rsidR="00980E5F" w:rsidRDefault="00980E5F">
            <w:pPr>
              <w:rPr>
                <w:rFonts w:ascii="宋体"/>
              </w:rPr>
            </w:pPr>
          </w:p>
        </w:tc>
        <w:tc>
          <w:tcPr>
            <w:tcW w:w="449" w:type="pct"/>
            <w:shd w:val="clear" w:color="auto" w:fill="auto"/>
            <w:vAlign w:val="bottom"/>
          </w:tcPr>
          <w:p w14:paraId="392C7926" w14:textId="77777777" w:rsidR="00980E5F" w:rsidRDefault="00980E5F">
            <w:pPr>
              <w:rPr>
                <w:rFonts w:ascii="宋体"/>
              </w:rPr>
            </w:pPr>
          </w:p>
        </w:tc>
        <w:tc>
          <w:tcPr>
            <w:tcW w:w="5" w:type="pct"/>
            <w:shd w:val="clear" w:color="auto" w:fill="auto"/>
            <w:vAlign w:val="bottom"/>
          </w:tcPr>
          <w:p w14:paraId="392C7927" w14:textId="77777777" w:rsidR="00980E5F" w:rsidRDefault="00980E5F">
            <w:pPr>
              <w:rPr>
                <w:rFonts w:ascii="宋体"/>
              </w:rPr>
            </w:pPr>
          </w:p>
        </w:tc>
        <w:tc>
          <w:tcPr>
            <w:tcW w:w="5" w:type="pct"/>
            <w:shd w:val="clear" w:color="auto" w:fill="auto"/>
            <w:vAlign w:val="bottom"/>
          </w:tcPr>
          <w:p w14:paraId="392C7928" w14:textId="77777777" w:rsidR="00980E5F" w:rsidRDefault="00980E5F">
            <w:pPr>
              <w:rPr>
                <w:rFonts w:ascii="宋体"/>
              </w:rPr>
            </w:pPr>
          </w:p>
        </w:tc>
        <w:tc>
          <w:tcPr>
            <w:tcW w:w="19" w:type="pct"/>
            <w:shd w:val="clear" w:color="auto" w:fill="auto"/>
            <w:vAlign w:val="bottom"/>
          </w:tcPr>
          <w:p w14:paraId="392C7929" w14:textId="77777777" w:rsidR="00980E5F" w:rsidRDefault="00980E5F">
            <w:pPr>
              <w:rPr>
                <w:rFonts w:ascii="宋体"/>
              </w:rPr>
            </w:pPr>
          </w:p>
        </w:tc>
        <w:tc>
          <w:tcPr>
            <w:tcW w:w="5" w:type="pct"/>
            <w:shd w:val="clear" w:color="auto" w:fill="auto"/>
            <w:vAlign w:val="bottom"/>
          </w:tcPr>
          <w:p w14:paraId="392C792A" w14:textId="77777777" w:rsidR="00980E5F" w:rsidRDefault="00980E5F">
            <w:pPr>
              <w:rPr>
                <w:rFonts w:ascii="宋体"/>
              </w:rPr>
            </w:pPr>
          </w:p>
        </w:tc>
        <w:tc>
          <w:tcPr>
            <w:tcW w:w="50" w:type="pct"/>
            <w:shd w:val="clear" w:color="auto" w:fill="auto"/>
            <w:vAlign w:val="bottom"/>
          </w:tcPr>
          <w:p w14:paraId="392C792B" w14:textId="77777777" w:rsidR="00980E5F" w:rsidRDefault="00980E5F">
            <w:pPr>
              <w:rPr>
                <w:rFonts w:ascii="宋体"/>
              </w:rPr>
            </w:pPr>
          </w:p>
        </w:tc>
        <w:tc>
          <w:tcPr>
            <w:tcW w:w="449" w:type="pct"/>
            <w:shd w:val="clear" w:color="auto" w:fill="auto"/>
            <w:vAlign w:val="bottom"/>
          </w:tcPr>
          <w:p w14:paraId="392C792C" w14:textId="77777777" w:rsidR="00980E5F" w:rsidRDefault="00980E5F">
            <w:pPr>
              <w:rPr>
                <w:rFonts w:ascii="宋体"/>
              </w:rPr>
            </w:pPr>
          </w:p>
        </w:tc>
        <w:tc>
          <w:tcPr>
            <w:tcW w:w="5" w:type="pct"/>
            <w:shd w:val="clear" w:color="auto" w:fill="auto"/>
            <w:vAlign w:val="bottom"/>
          </w:tcPr>
          <w:p w14:paraId="392C792D" w14:textId="77777777" w:rsidR="00980E5F" w:rsidRDefault="00980E5F">
            <w:pPr>
              <w:rPr>
                <w:rFonts w:ascii="宋体"/>
              </w:rPr>
            </w:pPr>
          </w:p>
        </w:tc>
        <w:tc>
          <w:tcPr>
            <w:tcW w:w="5" w:type="pct"/>
            <w:shd w:val="clear" w:color="auto" w:fill="auto"/>
            <w:vAlign w:val="bottom"/>
          </w:tcPr>
          <w:p w14:paraId="392C792E" w14:textId="77777777" w:rsidR="00980E5F" w:rsidRDefault="00980E5F">
            <w:pPr>
              <w:rPr>
                <w:rFonts w:ascii="宋体"/>
              </w:rPr>
            </w:pPr>
          </w:p>
        </w:tc>
        <w:tc>
          <w:tcPr>
            <w:tcW w:w="19" w:type="pct"/>
            <w:shd w:val="clear" w:color="auto" w:fill="auto"/>
            <w:vAlign w:val="bottom"/>
          </w:tcPr>
          <w:p w14:paraId="392C792F" w14:textId="77777777" w:rsidR="00980E5F" w:rsidRDefault="00980E5F">
            <w:pPr>
              <w:rPr>
                <w:rFonts w:ascii="宋体"/>
              </w:rPr>
            </w:pPr>
          </w:p>
        </w:tc>
        <w:tc>
          <w:tcPr>
            <w:tcW w:w="5" w:type="pct"/>
            <w:shd w:val="clear" w:color="auto" w:fill="auto"/>
            <w:vAlign w:val="bottom"/>
          </w:tcPr>
          <w:p w14:paraId="392C7930" w14:textId="77777777" w:rsidR="00980E5F" w:rsidRDefault="00980E5F">
            <w:pPr>
              <w:rPr>
                <w:rFonts w:ascii="宋体"/>
              </w:rPr>
            </w:pPr>
          </w:p>
        </w:tc>
        <w:tc>
          <w:tcPr>
            <w:tcW w:w="50" w:type="pct"/>
            <w:shd w:val="clear" w:color="auto" w:fill="auto"/>
            <w:vAlign w:val="bottom"/>
          </w:tcPr>
          <w:p w14:paraId="392C7931" w14:textId="77777777" w:rsidR="00980E5F" w:rsidRDefault="00980E5F">
            <w:pPr>
              <w:rPr>
                <w:rFonts w:ascii="宋体"/>
              </w:rPr>
            </w:pPr>
          </w:p>
        </w:tc>
        <w:tc>
          <w:tcPr>
            <w:tcW w:w="529" w:type="pct"/>
            <w:shd w:val="clear" w:color="auto" w:fill="auto"/>
            <w:vAlign w:val="bottom"/>
          </w:tcPr>
          <w:p w14:paraId="392C7932" w14:textId="77777777" w:rsidR="00980E5F" w:rsidRDefault="00980E5F">
            <w:pPr>
              <w:rPr>
                <w:rFonts w:ascii="宋体"/>
              </w:rPr>
            </w:pPr>
          </w:p>
        </w:tc>
        <w:tc>
          <w:tcPr>
            <w:tcW w:w="5" w:type="pct"/>
            <w:shd w:val="clear" w:color="auto" w:fill="auto"/>
            <w:vAlign w:val="bottom"/>
          </w:tcPr>
          <w:p w14:paraId="392C7933" w14:textId="77777777" w:rsidR="00980E5F" w:rsidRDefault="00980E5F">
            <w:pPr>
              <w:rPr>
                <w:rFonts w:ascii="宋体"/>
              </w:rPr>
            </w:pPr>
          </w:p>
        </w:tc>
        <w:tc>
          <w:tcPr>
            <w:tcW w:w="5" w:type="pct"/>
            <w:shd w:val="clear" w:color="auto" w:fill="auto"/>
            <w:vAlign w:val="bottom"/>
          </w:tcPr>
          <w:p w14:paraId="392C7934" w14:textId="77777777" w:rsidR="00980E5F" w:rsidRDefault="00980E5F">
            <w:pPr>
              <w:rPr>
                <w:rFonts w:ascii="宋体"/>
              </w:rPr>
            </w:pPr>
          </w:p>
        </w:tc>
        <w:tc>
          <w:tcPr>
            <w:tcW w:w="19" w:type="pct"/>
            <w:shd w:val="clear" w:color="auto" w:fill="auto"/>
            <w:vAlign w:val="bottom"/>
          </w:tcPr>
          <w:p w14:paraId="392C7935" w14:textId="77777777" w:rsidR="00980E5F" w:rsidRDefault="00980E5F">
            <w:pPr>
              <w:rPr>
                <w:rFonts w:ascii="宋体"/>
              </w:rPr>
            </w:pPr>
          </w:p>
        </w:tc>
        <w:tc>
          <w:tcPr>
            <w:tcW w:w="5" w:type="pct"/>
            <w:shd w:val="clear" w:color="auto" w:fill="auto"/>
            <w:vAlign w:val="bottom"/>
          </w:tcPr>
          <w:p w14:paraId="392C7936" w14:textId="77777777" w:rsidR="00980E5F" w:rsidRDefault="00980E5F">
            <w:pPr>
              <w:rPr>
                <w:rFonts w:ascii="宋体"/>
              </w:rPr>
            </w:pPr>
          </w:p>
        </w:tc>
        <w:tc>
          <w:tcPr>
            <w:tcW w:w="0" w:type="auto"/>
            <w:shd w:val="clear" w:color="auto" w:fill="auto"/>
            <w:vAlign w:val="bottom"/>
          </w:tcPr>
          <w:p w14:paraId="392C7937" w14:textId="77777777" w:rsidR="00980E5F" w:rsidRDefault="00980E5F">
            <w:pPr>
              <w:rPr>
                <w:rFonts w:ascii="宋体"/>
                <w:vanish/>
              </w:rPr>
            </w:pPr>
          </w:p>
        </w:tc>
        <w:tc>
          <w:tcPr>
            <w:tcW w:w="0" w:type="auto"/>
            <w:shd w:val="clear" w:color="auto" w:fill="auto"/>
            <w:vAlign w:val="bottom"/>
          </w:tcPr>
          <w:p w14:paraId="392C7938" w14:textId="77777777" w:rsidR="00980E5F" w:rsidRDefault="00980E5F">
            <w:pPr>
              <w:rPr>
                <w:rFonts w:ascii="宋体"/>
                <w:vanish/>
              </w:rPr>
            </w:pPr>
          </w:p>
        </w:tc>
        <w:tc>
          <w:tcPr>
            <w:tcW w:w="50" w:type="pct"/>
            <w:shd w:val="clear" w:color="auto" w:fill="auto"/>
            <w:vAlign w:val="bottom"/>
          </w:tcPr>
          <w:p w14:paraId="392C7939" w14:textId="77777777" w:rsidR="00980E5F" w:rsidRDefault="00980E5F">
            <w:pPr>
              <w:rPr>
                <w:rFonts w:ascii="宋体"/>
              </w:rPr>
            </w:pPr>
          </w:p>
        </w:tc>
        <w:tc>
          <w:tcPr>
            <w:tcW w:w="610" w:type="pct"/>
            <w:shd w:val="clear" w:color="auto" w:fill="auto"/>
            <w:vAlign w:val="bottom"/>
          </w:tcPr>
          <w:p w14:paraId="392C793A" w14:textId="77777777" w:rsidR="00980E5F" w:rsidRDefault="00980E5F">
            <w:pPr>
              <w:rPr>
                <w:rFonts w:ascii="宋体"/>
              </w:rPr>
            </w:pPr>
          </w:p>
        </w:tc>
        <w:tc>
          <w:tcPr>
            <w:tcW w:w="5" w:type="pct"/>
            <w:shd w:val="clear" w:color="auto" w:fill="auto"/>
            <w:vAlign w:val="bottom"/>
          </w:tcPr>
          <w:p w14:paraId="392C793B" w14:textId="77777777" w:rsidR="00980E5F" w:rsidRDefault="00980E5F">
            <w:pPr>
              <w:rPr>
                <w:rFonts w:ascii="宋体"/>
              </w:rPr>
            </w:pPr>
          </w:p>
        </w:tc>
        <w:tc>
          <w:tcPr>
            <w:tcW w:w="5" w:type="pct"/>
            <w:shd w:val="clear" w:color="auto" w:fill="auto"/>
            <w:vAlign w:val="bottom"/>
          </w:tcPr>
          <w:p w14:paraId="392C793C" w14:textId="77777777" w:rsidR="00980E5F" w:rsidRDefault="00980E5F">
            <w:pPr>
              <w:rPr>
                <w:rFonts w:ascii="宋体"/>
              </w:rPr>
            </w:pPr>
          </w:p>
        </w:tc>
        <w:tc>
          <w:tcPr>
            <w:tcW w:w="19" w:type="pct"/>
            <w:shd w:val="clear" w:color="auto" w:fill="auto"/>
            <w:vAlign w:val="bottom"/>
          </w:tcPr>
          <w:p w14:paraId="392C793D" w14:textId="77777777" w:rsidR="00980E5F" w:rsidRDefault="00980E5F">
            <w:pPr>
              <w:rPr>
                <w:rFonts w:ascii="宋体"/>
              </w:rPr>
            </w:pPr>
          </w:p>
        </w:tc>
        <w:tc>
          <w:tcPr>
            <w:tcW w:w="5" w:type="pct"/>
            <w:shd w:val="clear" w:color="auto" w:fill="auto"/>
            <w:vAlign w:val="bottom"/>
          </w:tcPr>
          <w:p w14:paraId="392C793E" w14:textId="77777777" w:rsidR="00980E5F" w:rsidRDefault="00980E5F">
            <w:pPr>
              <w:rPr>
                <w:rFonts w:ascii="宋体"/>
              </w:rPr>
            </w:pPr>
          </w:p>
        </w:tc>
        <w:tc>
          <w:tcPr>
            <w:tcW w:w="50" w:type="pct"/>
            <w:shd w:val="clear" w:color="auto" w:fill="auto"/>
            <w:vAlign w:val="bottom"/>
          </w:tcPr>
          <w:p w14:paraId="392C793F" w14:textId="77777777" w:rsidR="00980E5F" w:rsidRDefault="00980E5F">
            <w:pPr>
              <w:rPr>
                <w:rFonts w:ascii="宋体"/>
              </w:rPr>
            </w:pPr>
          </w:p>
        </w:tc>
        <w:tc>
          <w:tcPr>
            <w:tcW w:w="449" w:type="pct"/>
            <w:shd w:val="clear" w:color="auto" w:fill="auto"/>
            <w:vAlign w:val="bottom"/>
          </w:tcPr>
          <w:p w14:paraId="392C7940" w14:textId="77777777" w:rsidR="00980E5F" w:rsidRDefault="00980E5F">
            <w:pPr>
              <w:rPr>
                <w:rFonts w:ascii="宋体"/>
              </w:rPr>
            </w:pPr>
          </w:p>
        </w:tc>
        <w:tc>
          <w:tcPr>
            <w:tcW w:w="5" w:type="pct"/>
            <w:shd w:val="clear" w:color="auto" w:fill="auto"/>
            <w:vAlign w:val="bottom"/>
          </w:tcPr>
          <w:p w14:paraId="392C7941" w14:textId="77777777" w:rsidR="00980E5F" w:rsidRDefault="00980E5F">
            <w:pPr>
              <w:rPr>
                <w:rFonts w:ascii="宋体"/>
              </w:rPr>
            </w:pPr>
          </w:p>
        </w:tc>
        <w:tc>
          <w:tcPr>
            <w:tcW w:w="5" w:type="pct"/>
            <w:shd w:val="clear" w:color="auto" w:fill="auto"/>
            <w:vAlign w:val="bottom"/>
          </w:tcPr>
          <w:p w14:paraId="392C7942" w14:textId="77777777" w:rsidR="00980E5F" w:rsidRDefault="00980E5F">
            <w:pPr>
              <w:rPr>
                <w:rFonts w:ascii="宋体"/>
              </w:rPr>
            </w:pPr>
          </w:p>
        </w:tc>
        <w:tc>
          <w:tcPr>
            <w:tcW w:w="19" w:type="pct"/>
            <w:shd w:val="clear" w:color="auto" w:fill="auto"/>
            <w:vAlign w:val="bottom"/>
          </w:tcPr>
          <w:p w14:paraId="392C7943" w14:textId="77777777" w:rsidR="00980E5F" w:rsidRDefault="00980E5F">
            <w:pPr>
              <w:rPr>
                <w:rFonts w:ascii="宋体"/>
              </w:rPr>
            </w:pPr>
          </w:p>
        </w:tc>
        <w:tc>
          <w:tcPr>
            <w:tcW w:w="5" w:type="pct"/>
            <w:shd w:val="clear" w:color="auto" w:fill="auto"/>
            <w:vAlign w:val="bottom"/>
          </w:tcPr>
          <w:p w14:paraId="392C7944" w14:textId="77777777" w:rsidR="00980E5F" w:rsidRDefault="00980E5F">
            <w:pPr>
              <w:rPr>
                <w:rFonts w:ascii="宋体"/>
              </w:rPr>
            </w:pPr>
          </w:p>
        </w:tc>
        <w:tc>
          <w:tcPr>
            <w:tcW w:w="50" w:type="pct"/>
            <w:shd w:val="clear" w:color="auto" w:fill="auto"/>
            <w:vAlign w:val="bottom"/>
          </w:tcPr>
          <w:p w14:paraId="392C7945" w14:textId="77777777" w:rsidR="00980E5F" w:rsidRDefault="00980E5F">
            <w:pPr>
              <w:rPr>
                <w:rFonts w:ascii="宋体"/>
              </w:rPr>
            </w:pPr>
          </w:p>
        </w:tc>
        <w:tc>
          <w:tcPr>
            <w:tcW w:w="449" w:type="pct"/>
            <w:shd w:val="clear" w:color="auto" w:fill="auto"/>
            <w:vAlign w:val="bottom"/>
          </w:tcPr>
          <w:p w14:paraId="392C7946" w14:textId="77777777" w:rsidR="00980E5F" w:rsidRDefault="00980E5F">
            <w:pPr>
              <w:rPr>
                <w:rFonts w:ascii="宋体"/>
              </w:rPr>
            </w:pPr>
          </w:p>
        </w:tc>
        <w:tc>
          <w:tcPr>
            <w:tcW w:w="5" w:type="pct"/>
            <w:shd w:val="clear" w:color="auto" w:fill="auto"/>
            <w:vAlign w:val="bottom"/>
          </w:tcPr>
          <w:p w14:paraId="392C7947" w14:textId="77777777" w:rsidR="00980E5F" w:rsidRDefault="00980E5F">
            <w:pPr>
              <w:rPr>
                <w:rFonts w:ascii="宋体"/>
              </w:rPr>
            </w:pPr>
          </w:p>
        </w:tc>
      </w:tr>
      <w:tr w:rsidR="00980E5F" w14:paraId="392C7951" w14:textId="77777777">
        <w:tc>
          <w:tcPr>
            <w:tcW w:w="0" w:type="auto"/>
            <w:gridSpan w:val="3"/>
            <w:shd w:val="clear" w:color="auto" w:fill="auto"/>
            <w:tcMar>
              <w:top w:w="0" w:type="dxa"/>
              <w:left w:w="20" w:type="dxa"/>
              <w:bottom w:w="0" w:type="dxa"/>
              <w:right w:w="20" w:type="dxa"/>
            </w:tcMar>
            <w:vAlign w:val="bottom"/>
          </w:tcPr>
          <w:p w14:paraId="392C7949" w14:textId="77777777" w:rsidR="00980E5F" w:rsidRDefault="00980E5F">
            <w:pPr>
              <w:rPr>
                <w:rFonts w:ascii="宋体"/>
              </w:rPr>
            </w:pPr>
          </w:p>
        </w:tc>
        <w:tc>
          <w:tcPr>
            <w:tcW w:w="0" w:type="auto"/>
            <w:gridSpan w:val="35"/>
            <w:shd w:val="clear" w:color="auto" w:fill="auto"/>
            <w:tcMar>
              <w:top w:w="40" w:type="dxa"/>
              <w:left w:w="20" w:type="dxa"/>
              <w:bottom w:w="40" w:type="dxa"/>
              <w:right w:w="20" w:type="dxa"/>
            </w:tcMar>
            <w:vAlign w:val="bottom"/>
          </w:tcPr>
          <w:p w14:paraId="392C794A" w14:textId="77777777" w:rsidR="00980E5F" w:rsidRDefault="00483613">
            <w:pPr>
              <w:jc w:val="center"/>
              <w:textAlignment w:val="bottom"/>
            </w:pPr>
            <w:r>
              <w:rPr>
                <w:rFonts w:ascii="Arial" w:eastAsia="宋体" w:hAnsi="Arial" w:cs="Arial"/>
                <w:b/>
                <w:bCs/>
                <w:color w:val="000000"/>
                <w:sz w:val="14"/>
                <w:szCs w:val="14"/>
              </w:rPr>
              <w:t>Three Months Ended June 30, 2022</w:t>
            </w:r>
          </w:p>
        </w:tc>
        <w:tc>
          <w:tcPr>
            <w:tcW w:w="0" w:type="auto"/>
            <w:shd w:val="clear" w:color="auto" w:fill="auto"/>
            <w:vAlign w:val="bottom"/>
          </w:tcPr>
          <w:p w14:paraId="392C794B" w14:textId="77777777" w:rsidR="00980E5F" w:rsidRDefault="00980E5F">
            <w:pPr>
              <w:rPr>
                <w:rFonts w:ascii="宋体"/>
              </w:rPr>
            </w:pPr>
          </w:p>
        </w:tc>
        <w:tc>
          <w:tcPr>
            <w:tcW w:w="0" w:type="auto"/>
            <w:shd w:val="clear" w:color="auto" w:fill="auto"/>
            <w:vAlign w:val="bottom"/>
          </w:tcPr>
          <w:p w14:paraId="392C794C" w14:textId="77777777" w:rsidR="00980E5F" w:rsidRDefault="00980E5F">
            <w:pPr>
              <w:rPr>
                <w:rFonts w:ascii="宋体"/>
              </w:rPr>
            </w:pPr>
          </w:p>
        </w:tc>
        <w:tc>
          <w:tcPr>
            <w:tcW w:w="0" w:type="auto"/>
            <w:shd w:val="clear" w:color="auto" w:fill="auto"/>
            <w:vAlign w:val="bottom"/>
          </w:tcPr>
          <w:p w14:paraId="392C794D" w14:textId="77777777" w:rsidR="00980E5F" w:rsidRDefault="00980E5F">
            <w:pPr>
              <w:rPr>
                <w:rFonts w:ascii="宋体"/>
              </w:rPr>
            </w:pPr>
          </w:p>
        </w:tc>
        <w:tc>
          <w:tcPr>
            <w:tcW w:w="0" w:type="auto"/>
            <w:shd w:val="clear" w:color="auto" w:fill="auto"/>
            <w:vAlign w:val="bottom"/>
          </w:tcPr>
          <w:p w14:paraId="392C794E" w14:textId="77777777" w:rsidR="00980E5F" w:rsidRDefault="00980E5F">
            <w:pPr>
              <w:rPr>
                <w:rFonts w:ascii="宋体"/>
              </w:rPr>
            </w:pPr>
          </w:p>
        </w:tc>
        <w:tc>
          <w:tcPr>
            <w:tcW w:w="0" w:type="auto"/>
            <w:shd w:val="clear" w:color="auto" w:fill="auto"/>
            <w:vAlign w:val="bottom"/>
          </w:tcPr>
          <w:p w14:paraId="392C794F" w14:textId="77777777" w:rsidR="00980E5F" w:rsidRDefault="00980E5F">
            <w:pPr>
              <w:rPr>
                <w:rFonts w:ascii="宋体"/>
              </w:rPr>
            </w:pPr>
          </w:p>
        </w:tc>
        <w:tc>
          <w:tcPr>
            <w:tcW w:w="0" w:type="auto"/>
            <w:shd w:val="clear" w:color="auto" w:fill="auto"/>
            <w:vAlign w:val="bottom"/>
          </w:tcPr>
          <w:p w14:paraId="392C7950" w14:textId="77777777" w:rsidR="00980E5F" w:rsidRDefault="00980E5F">
            <w:pPr>
              <w:rPr>
                <w:rFonts w:ascii="宋体"/>
              </w:rPr>
            </w:pPr>
          </w:p>
        </w:tc>
      </w:tr>
      <w:tr w:rsidR="00980E5F" w14:paraId="392C795F" w14:textId="77777777">
        <w:tc>
          <w:tcPr>
            <w:tcW w:w="0" w:type="auto"/>
            <w:gridSpan w:val="3"/>
            <w:shd w:val="clear" w:color="auto" w:fill="auto"/>
            <w:tcMar>
              <w:top w:w="0" w:type="dxa"/>
              <w:left w:w="20" w:type="dxa"/>
              <w:bottom w:w="0" w:type="dxa"/>
              <w:right w:w="20" w:type="dxa"/>
            </w:tcMar>
            <w:vAlign w:val="bottom"/>
          </w:tcPr>
          <w:p w14:paraId="392C7952"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7953"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8" w14:textId="77777777" w:rsidR="00980E5F" w:rsidRDefault="00980E5F">
            <w:pPr>
              <w:rPr>
                <w:rFonts w:ascii="宋体"/>
              </w:rPr>
            </w:pPr>
          </w:p>
        </w:tc>
        <w:tc>
          <w:tcPr>
            <w:tcW w:w="0" w:type="auto"/>
            <w:shd w:val="clear" w:color="auto" w:fill="auto"/>
            <w:vAlign w:val="bottom"/>
          </w:tcPr>
          <w:p w14:paraId="392C7959" w14:textId="77777777" w:rsidR="00980E5F" w:rsidRDefault="00980E5F">
            <w:pPr>
              <w:rPr>
                <w:rFonts w:ascii="宋体"/>
                <w:vanish/>
              </w:rPr>
            </w:pPr>
          </w:p>
        </w:tc>
        <w:tc>
          <w:tcPr>
            <w:tcW w:w="0" w:type="auto"/>
            <w:shd w:val="clear" w:color="auto" w:fill="auto"/>
            <w:vAlign w:val="bottom"/>
          </w:tcPr>
          <w:p w14:paraId="392C795A"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C" w14:textId="77777777" w:rsidR="00980E5F" w:rsidRDefault="00980E5F">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392C795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5E" w14:textId="77777777" w:rsidR="00980E5F" w:rsidRDefault="00980E5F">
            <w:pPr>
              <w:rPr>
                <w:rFonts w:ascii="宋体"/>
              </w:rPr>
            </w:pPr>
          </w:p>
        </w:tc>
      </w:tr>
      <w:tr w:rsidR="00980E5F" w14:paraId="392C7970" w14:textId="77777777">
        <w:tc>
          <w:tcPr>
            <w:tcW w:w="0" w:type="auto"/>
            <w:gridSpan w:val="3"/>
            <w:shd w:val="clear" w:color="auto" w:fill="auto"/>
            <w:tcMar>
              <w:top w:w="40" w:type="dxa"/>
              <w:left w:w="20" w:type="dxa"/>
              <w:bottom w:w="40" w:type="dxa"/>
              <w:right w:w="20" w:type="dxa"/>
            </w:tcMar>
            <w:vAlign w:val="bottom"/>
          </w:tcPr>
          <w:p w14:paraId="392C7960"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961" w14:textId="77777777" w:rsidR="00980E5F" w:rsidRDefault="00483613">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6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963" w14:textId="77777777" w:rsidR="00980E5F" w:rsidRDefault="00483613">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796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965"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392C796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967" w14:textId="77777777" w:rsidR="00980E5F" w:rsidRDefault="00483613">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392C7968" w14:textId="77777777" w:rsidR="00980E5F" w:rsidRDefault="00980E5F">
            <w:pPr>
              <w:rPr>
                <w:rFonts w:ascii="宋体"/>
              </w:rPr>
            </w:pPr>
          </w:p>
        </w:tc>
        <w:tc>
          <w:tcPr>
            <w:tcW w:w="0" w:type="auto"/>
            <w:shd w:val="clear" w:color="auto" w:fill="auto"/>
            <w:vAlign w:val="bottom"/>
          </w:tcPr>
          <w:p w14:paraId="392C7969" w14:textId="77777777" w:rsidR="00980E5F" w:rsidRDefault="00980E5F">
            <w:pPr>
              <w:rPr>
                <w:rFonts w:ascii="宋体"/>
                <w:vanish/>
              </w:rPr>
            </w:pPr>
          </w:p>
        </w:tc>
        <w:tc>
          <w:tcPr>
            <w:tcW w:w="0" w:type="auto"/>
            <w:shd w:val="clear" w:color="auto" w:fill="auto"/>
            <w:vAlign w:val="bottom"/>
          </w:tcPr>
          <w:p w14:paraId="392C796A" w14:textId="77777777" w:rsidR="00980E5F" w:rsidRDefault="00980E5F">
            <w:pPr>
              <w:rPr>
                <w:rFonts w:ascii="宋体"/>
                <w:vanish/>
              </w:rPr>
            </w:pPr>
          </w:p>
        </w:tc>
        <w:tc>
          <w:tcPr>
            <w:tcW w:w="0" w:type="auto"/>
            <w:gridSpan w:val="3"/>
            <w:shd w:val="clear" w:color="auto" w:fill="auto"/>
            <w:tcMar>
              <w:top w:w="40" w:type="dxa"/>
              <w:left w:w="20" w:type="dxa"/>
              <w:bottom w:w="40" w:type="dxa"/>
              <w:right w:w="20" w:type="dxa"/>
            </w:tcMar>
            <w:vAlign w:val="bottom"/>
          </w:tcPr>
          <w:p w14:paraId="392C796B" w14:textId="77777777" w:rsidR="00980E5F" w:rsidRDefault="00483613">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392C796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96D" w14:textId="77777777" w:rsidR="00980E5F" w:rsidRDefault="00483613">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392C796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96F"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7981" w14:textId="77777777">
        <w:tc>
          <w:tcPr>
            <w:tcW w:w="0" w:type="auto"/>
            <w:gridSpan w:val="3"/>
            <w:shd w:val="clear" w:color="auto" w:fill="auto"/>
            <w:tcMar>
              <w:top w:w="40" w:type="dxa"/>
              <w:left w:w="20" w:type="dxa"/>
              <w:bottom w:w="40" w:type="dxa"/>
              <w:right w:w="20" w:type="dxa"/>
            </w:tcMar>
            <w:vAlign w:val="bottom"/>
          </w:tcPr>
          <w:p w14:paraId="392C7971" w14:textId="77777777" w:rsidR="00980E5F" w:rsidRDefault="00483613">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9" w14:textId="77777777" w:rsidR="00980E5F" w:rsidRDefault="00980E5F">
            <w:pPr>
              <w:rPr>
                <w:rFonts w:ascii="宋体"/>
              </w:rPr>
            </w:pPr>
          </w:p>
        </w:tc>
        <w:tc>
          <w:tcPr>
            <w:tcW w:w="0" w:type="auto"/>
            <w:shd w:val="clear" w:color="auto" w:fill="auto"/>
            <w:vAlign w:val="bottom"/>
          </w:tcPr>
          <w:p w14:paraId="392C797A" w14:textId="77777777" w:rsidR="00980E5F" w:rsidRDefault="00980E5F">
            <w:pPr>
              <w:rPr>
                <w:rFonts w:ascii="宋体"/>
                <w:vanish/>
              </w:rPr>
            </w:pPr>
          </w:p>
        </w:tc>
        <w:tc>
          <w:tcPr>
            <w:tcW w:w="0" w:type="auto"/>
            <w:shd w:val="clear" w:color="auto" w:fill="auto"/>
            <w:vAlign w:val="bottom"/>
          </w:tcPr>
          <w:p w14:paraId="392C797B"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7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97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980" w14:textId="77777777" w:rsidR="00980E5F" w:rsidRDefault="00980E5F">
            <w:pPr>
              <w:rPr>
                <w:rFonts w:ascii="宋体"/>
              </w:rPr>
            </w:pPr>
          </w:p>
        </w:tc>
      </w:tr>
      <w:tr w:rsidR="00980E5F" w14:paraId="392C79A0" w14:textId="77777777">
        <w:tc>
          <w:tcPr>
            <w:tcW w:w="0" w:type="auto"/>
            <w:gridSpan w:val="3"/>
            <w:shd w:val="clear" w:color="auto" w:fill="CCEEFF"/>
            <w:tcMar>
              <w:top w:w="40" w:type="dxa"/>
              <w:left w:w="20" w:type="dxa"/>
              <w:bottom w:w="40" w:type="dxa"/>
              <w:right w:w="20" w:type="dxa"/>
            </w:tcMar>
            <w:vAlign w:val="bottom"/>
          </w:tcPr>
          <w:p w14:paraId="392C7982" w14:textId="77777777" w:rsidR="00980E5F" w:rsidRDefault="00483613">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92C7983"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84" w14:textId="77777777" w:rsidR="00980E5F" w:rsidRDefault="00483613">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8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987"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88" w14:textId="77777777" w:rsidR="00980E5F" w:rsidRDefault="00483613">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8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98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8C"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8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98F"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90"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92" w14:textId="77777777" w:rsidR="00980E5F" w:rsidRDefault="00980E5F">
            <w:pPr>
              <w:rPr>
                <w:rFonts w:ascii="宋体"/>
              </w:rPr>
            </w:pPr>
          </w:p>
        </w:tc>
        <w:tc>
          <w:tcPr>
            <w:tcW w:w="0" w:type="auto"/>
            <w:shd w:val="clear" w:color="auto" w:fill="auto"/>
            <w:vAlign w:val="bottom"/>
          </w:tcPr>
          <w:p w14:paraId="392C7993" w14:textId="77777777" w:rsidR="00980E5F" w:rsidRDefault="00980E5F">
            <w:pPr>
              <w:rPr>
                <w:rFonts w:ascii="宋体"/>
                <w:vanish/>
              </w:rPr>
            </w:pPr>
          </w:p>
        </w:tc>
        <w:tc>
          <w:tcPr>
            <w:tcW w:w="0" w:type="auto"/>
            <w:shd w:val="clear" w:color="auto" w:fill="auto"/>
            <w:vAlign w:val="bottom"/>
          </w:tcPr>
          <w:p w14:paraId="392C7994"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995"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96" w14:textId="77777777" w:rsidR="00980E5F" w:rsidRDefault="00483613">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9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999"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9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9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99D"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99E" w14:textId="77777777" w:rsidR="00980E5F" w:rsidRDefault="00483613">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9F" w14:textId="77777777" w:rsidR="00980E5F" w:rsidRDefault="00980E5F">
            <w:pPr>
              <w:jc w:val="right"/>
              <w:rPr>
                <w:rFonts w:ascii="宋体"/>
              </w:rPr>
            </w:pPr>
          </w:p>
        </w:tc>
      </w:tr>
      <w:tr w:rsidR="00980E5F" w14:paraId="392C79B8" w14:textId="77777777">
        <w:tc>
          <w:tcPr>
            <w:tcW w:w="0" w:type="auto"/>
            <w:gridSpan w:val="3"/>
            <w:shd w:val="clear" w:color="auto" w:fill="FFFFFF"/>
            <w:tcMar>
              <w:top w:w="40" w:type="dxa"/>
              <w:left w:w="20" w:type="dxa"/>
              <w:bottom w:w="40" w:type="dxa"/>
              <w:right w:w="20" w:type="dxa"/>
            </w:tcMar>
            <w:vAlign w:val="bottom"/>
          </w:tcPr>
          <w:p w14:paraId="392C79A1" w14:textId="77777777" w:rsidR="00980E5F" w:rsidRDefault="00483613">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392C79A2" w14:textId="77777777" w:rsidR="00980E5F" w:rsidRDefault="00483613">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392C79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9A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9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9A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9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9A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9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AD" w14:textId="77777777" w:rsidR="00980E5F" w:rsidRDefault="00980E5F">
            <w:pPr>
              <w:rPr>
                <w:rFonts w:ascii="宋体"/>
              </w:rPr>
            </w:pPr>
          </w:p>
        </w:tc>
        <w:tc>
          <w:tcPr>
            <w:tcW w:w="0" w:type="auto"/>
            <w:shd w:val="clear" w:color="auto" w:fill="auto"/>
            <w:vAlign w:val="bottom"/>
          </w:tcPr>
          <w:p w14:paraId="392C79AE" w14:textId="77777777" w:rsidR="00980E5F" w:rsidRDefault="00980E5F">
            <w:pPr>
              <w:rPr>
                <w:rFonts w:ascii="宋体"/>
                <w:vanish/>
              </w:rPr>
            </w:pPr>
          </w:p>
        </w:tc>
        <w:tc>
          <w:tcPr>
            <w:tcW w:w="0" w:type="auto"/>
            <w:shd w:val="clear" w:color="auto" w:fill="auto"/>
            <w:vAlign w:val="bottom"/>
          </w:tcPr>
          <w:p w14:paraId="392C79AF"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9B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9B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B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9B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9B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9B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9B6" w14:textId="77777777" w:rsidR="00980E5F" w:rsidRDefault="00483613">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392C79B7" w14:textId="77777777" w:rsidR="00980E5F" w:rsidRDefault="00980E5F">
            <w:pPr>
              <w:jc w:val="right"/>
              <w:rPr>
                <w:rFonts w:ascii="宋体"/>
              </w:rPr>
            </w:pPr>
          </w:p>
        </w:tc>
      </w:tr>
      <w:tr w:rsidR="00980E5F" w14:paraId="392C79D0" w14:textId="77777777">
        <w:tc>
          <w:tcPr>
            <w:tcW w:w="0" w:type="auto"/>
            <w:gridSpan w:val="3"/>
            <w:shd w:val="clear" w:color="auto" w:fill="CCEEFF"/>
            <w:tcMar>
              <w:top w:w="40" w:type="dxa"/>
              <w:left w:w="20" w:type="dxa"/>
              <w:bottom w:w="40" w:type="dxa"/>
              <w:right w:w="20" w:type="dxa"/>
            </w:tcMar>
            <w:vAlign w:val="bottom"/>
          </w:tcPr>
          <w:p w14:paraId="392C79B9" w14:textId="77777777" w:rsidR="00980E5F" w:rsidRDefault="00483613">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392C79BA" w14:textId="77777777" w:rsidR="00980E5F" w:rsidRDefault="00483613">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B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9BD"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79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B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9C0"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C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9C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C5" w14:textId="77777777" w:rsidR="00980E5F" w:rsidRDefault="00980E5F">
            <w:pPr>
              <w:rPr>
                <w:rFonts w:ascii="宋体"/>
              </w:rPr>
            </w:pPr>
          </w:p>
        </w:tc>
        <w:tc>
          <w:tcPr>
            <w:tcW w:w="0" w:type="auto"/>
            <w:shd w:val="clear" w:color="auto" w:fill="auto"/>
            <w:vAlign w:val="bottom"/>
          </w:tcPr>
          <w:p w14:paraId="392C79C6" w14:textId="77777777" w:rsidR="00980E5F" w:rsidRDefault="00980E5F">
            <w:pPr>
              <w:rPr>
                <w:rFonts w:ascii="宋体"/>
                <w:vanish/>
              </w:rPr>
            </w:pPr>
          </w:p>
        </w:tc>
        <w:tc>
          <w:tcPr>
            <w:tcW w:w="0" w:type="auto"/>
            <w:shd w:val="clear" w:color="auto" w:fill="auto"/>
            <w:vAlign w:val="bottom"/>
          </w:tcPr>
          <w:p w14:paraId="392C79C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9C8"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79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9C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9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9CE"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9CF" w14:textId="77777777" w:rsidR="00980E5F" w:rsidRDefault="00980E5F">
            <w:pPr>
              <w:jc w:val="right"/>
              <w:rPr>
                <w:rFonts w:ascii="宋体"/>
              </w:rPr>
            </w:pPr>
          </w:p>
        </w:tc>
      </w:tr>
      <w:tr w:rsidR="00980E5F" w14:paraId="392C79E1" w14:textId="77777777">
        <w:trPr>
          <w:hidden/>
        </w:trPr>
        <w:tc>
          <w:tcPr>
            <w:tcW w:w="0" w:type="auto"/>
            <w:gridSpan w:val="3"/>
            <w:shd w:val="clear" w:color="auto" w:fill="auto"/>
            <w:vAlign w:val="bottom"/>
          </w:tcPr>
          <w:p w14:paraId="392C79D1" w14:textId="77777777" w:rsidR="00980E5F" w:rsidRDefault="00980E5F">
            <w:pPr>
              <w:rPr>
                <w:rFonts w:ascii="宋体"/>
                <w:vanish/>
              </w:rPr>
            </w:pPr>
          </w:p>
        </w:tc>
        <w:tc>
          <w:tcPr>
            <w:tcW w:w="0" w:type="auto"/>
            <w:gridSpan w:val="3"/>
            <w:shd w:val="clear" w:color="auto" w:fill="auto"/>
            <w:vAlign w:val="bottom"/>
          </w:tcPr>
          <w:p w14:paraId="392C79D2" w14:textId="77777777" w:rsidR="00980E5F" w:rsidRDefault="00980E5F">
            <w:pPr>
              <w:rPr>
                <w:rFonts w:ascii="宋体"/>
                <w:vanish/>
              </w:rPr>
            </w:pPr>
          </w:p>
        </w:tc>
        <w:tc>
          <w:tcPr>
            <w:tcW w:w="0" w:type="auto"/>
            <w:gridSpan w:val="3"/>
            <w:shd w:val="clear" w:color="auto" w:fill="auto"/>
            <w:vAlign w:val="bottom"/>
          </w:tcPr>
          <w:p w14:paraId="392C79D3" w14:textId="77777777" w:rsidR="00980E5F" w:rsidRDefault="00980E5F">
            <w:pPr>
              <w:rPr>
                <w:rFonts w:ascii="宋体"/>
                <w:vanish/>
              </w:rPr>
            </w:pPr>
          </w:p>
        </w:tc>
        <w:tc>
          <w:tcPr>
            <w:tcW w:w="0" w:type="auto"/>
            <w:gridSpan w:val="3"/>
            <w:shd w:val="clear" w:color="auto" w:fill="auto"/>
            <w:vAlign w:val="bottom"/>
          </w:tcPr>
          <w:p w14:paraId="392C79D4" w14:textId="77777777" w:rsidR="00980E5F" w:rsidRDefault="00980E5F">
            <w:pPr>
              <w:rPr>
                <w:rFonts w:ascii="宋体"/>
                <w:vanish/>
              </w:rPr>
            </w:pPr>
          </w:p>
        </w:tc>
        <w:tc>
          <w:tcPr>
            <w:tcW w:w="0" w:type="auto"/>
            <w:gridSpan w:val="3"/>
            <w:shd w:val="clear" w:color="auto" w:fill="auto"/>
            <w:vAlign w:val="bottom"/>
          </w:tcPr>
          <w:p w14:paraId="392C79D5" w14:textId="77777777" w:rsidR="00980E5F" w:rsidRDefault="00980E5F">
            <w:pPr>
              <w:rPr>
                <w:rFonts w:ascii="宋体"/>
                <w:vanish/>
              </w:rPr>
            </w:pPr>
          </w:p>
        </w:tc>
        <w:tc>
          <w:tcPr>
            <w:tcW w:w="0" w:type="auto"/>
            <w:gridSpan w:val="3"/>
            <w:shd w:val="clear" w:color="auto" w:fill="auto"/>
            <w:vAlign w:val="bottom"/>
          </w:tcPr>
          <w:p w14:paraId="392C79D6" w14:textId="77777777" w:rsidR="00980E5F" w:rsidRDefault="00980E5F">
            <w:pPr>
              <w:rPr>
                <w:rFonts w:ascii="宋体"/>
                <w:vanish/>
              </w:rPr>
            </w:pPr>
          </w:p>
        </w:tc>
        <w:tc>
          <w:tcPr>
            <w:tcW w:w="0" w:type="auto"/>
            <w:gridSpan w:val="3"/>
            <w:shd w:val="clear" w:color="auto" w:fill="auto"/>
            <w:vAlign w:val="bottom"/>
          </w:tcPr>
          <w:p w14:paraId="392C79D7" w14:textId="77777777" w:rsidR="00980E5F" w:rsidRDefault="00980E5F">
            <w:pPr>
              <w:rPr>
                <w:rFonts w:ascii="宋体"/>
                <w:vanish/>
              </w:rPr>
            </w:pPr>
          </w:p>
        </w:tc>
        <w:tc>
          <w:tcPr>
            <w:tcW w:w="0" w:type="auto"/>
            <w:gridSpan w:val="3"/>
            <w:shd w:val="clear" w:color="auto" w:fill="auto"/>
            <w:vAlign w:val="bottom"/>
          </w:tcPr>
          <w:p w14:paraId="392C79D8" w14:textId="77777777" w:rsidR="00980E5F" w:rsidRDefault="00980E5F">
            <w:pPr>
              <w:rPr>
                <w:rFonts w:ascii="宋体"/>
                <w:vanish/>
              </w:rPr>
            </w:pPr>
          </w:p>
        </w:tc>
        <w:tc>
          <w:tcPr>
            <w:tcW w:w="0" w:type="auto"/>
            <w:gridSpan w:val="3"/>
            <w:shd w:val="clear" w:color="auto" w:fill="auto"/>
            <w:vAlign w:val="bottom"/>
          </w:tcPr>
          <w:p w14:paraId="392C79D9" w14:textId="77777777" w:rsidR="00980E5F" w:rsidRDefault="00980E5F">
            <w:pPr>
              <w:rPr>
                <w:rFonts w:ascii="宋体"/>
                <w:vanish/>
              </w:rPr>
            </w:pPr>
          </w:p>
        </w:tc>
        <w:tc>
          <w:tcPr>
            <w:tcW w:w="0" w:type="auto"/>
            <w:shd w:val="clear" w:color="auto" w:fill="auto"/>
            <w:vAlign w:val="bottom"/>
          </w:tcPr>
          <w:p w14:paraId="392C79DA" w14:textId="77777777" w:rsidR="00980E5F" w:rsidRDefault="00980E5F">
            <w:pPr>
              <w:rPr>
                <w:rFonts w:ascii="宋体"/>
                <w:vanish/>
              </w:rPr>
            </w:pPr>
          </w:p>
        </w:tc>
        <w:tc>
          <w:tcPr>
            <w:tcW w:w="0" w:type="auto"/>
            <w:shd w:val="clear" w:color="auto" w:fill="auto"/>
            <w:vAlign w:val="bottom"/>
          </w:tcPr>
          <w:p w14:paraId="392C79DB" w14:textId="77777777" w:rsidR="00980E5F" w:rsidRDefault="00980E5F">
            <w:pPr>
              <w:rPr>
                <w:rFonts w:ascii="宋体"/>
                <w:vanish/>
              </w:rPr>
            </w:pPr>
          </w:p>
        </w:tc>
        <w:tc>
          <w:tcPr>
            <w:tcW w:w="0" w:type="auto"/>
            <w:gridSpan w:val="3"/>
            <w:shd w:val="clear" w:color="auto" w:fill="auto"/>
            <w:vAlign w:val="bottom"/>
          </w:tcPr>
          <w:p w14:paraId="392C79DC" w14:textId="77777777" w:rsidR="00980E5F" w:rsidRDefault="00980E5F">
            <w:pPr>
              <w:rPr>
                <w:rFonts w:ascii="宋体"/>
                <w:vanish/>
              </w:rPr>
            </w:pPr>
          </w:p>
        </w:tc>
        <w:tc>
          <w:tcPr>
            <w:tcW w:w="0" w:type="auto"/>
            <w:gridSpan w:val="3"/>
            <w:shd w:val="clear" w:color="auto" w:fill="auto"/>
            <w:vAlign w:val="bottom"/>
          </w:tcPr>
          <w:p w14:paraId="392C79DD" w14:textId="77777777" w:rsidR="00980E5F" w:rsidRDefault="00980E5F">
            <w:pPr>
              <w:rPr>
                <w:rFonts w:ascii="宋体"/>
                <w:vanish/>
              </w:rPr>
            </w:pPr>
          </w:p>
        </w:tc>
        <w:tc>
          <w:tcPr>
            <w:tcW w:w="0" w:type="auto"/>
            <w:gridSpan w:val="3"/>
            <w:shd w:val="clear" w:color="auto" w:fill="auto"/>
            <w:vAlign w:val="bottom"/>
          </w:tcPr>
          <w:p w14:paraId="392C79DE" w14:textId="77777777" w:rsidR="00980E5F" w:rsidRDefault="00980E5F">
            <w:pPr>
              <w:rPr>
                <w:rFonts w:ascii="宋体"/>
                <w:vanish/>
              </w:rPr>
            </w:pPr>
          </w:p>
        </w:tc>
        <w:tc>
          <w:tcPr>
            <w:tcW w:w="0" w:type="auto"/>
            <w:gridSpan w:val="3"/>
            <w:shd w:val="clear" w:color="auto" w:fill="auto"/>
            <w:vAlign w:val="bottom"/>
          </w:tcPr>
          <w:p w14:paraId="392C79DF" w14:textId="77777777" w:rsidR="00980E5F" w:rsidRDefault="00980E5F">
            <w:pPr>
              <w:rPr>
                <w:rFonts w:ascii="宋体"/>
                <w:vanish/>
              </w:rPr>
            </w:pPr>
          </w:p>
        </w:tc>
        <w:tc>
          <w:tcPr>
            <w:tcW w:w="0" w:type="auto"/>
            <w:gridSpan w:val="3"/>
            <w:shd w:val="clear" w:color="auto" w:fill="auto"/>
            <w:vAlign w:val="bottom"/>
          </w:tcPr>
          <w:p w14:paraId="392C79E0" w14:textId="77777777" w:rsidR="00980E5F" w:rsidRDefault="00980E5F">
            <w:pPr>
              <w:rPr>
                <w:rFonts w:ascii="宋体"/>
                <w:vanish/>
              </w:rPr>
            </w:pPr>
          </w:p>
        </w:tc>
      </w:tr>
      <w:tr w:rsidR="00980E5F" w14:paraId="392C79F2" w14:textId="77777777">
        <w:trPr>
          <w:hidden/>
        </w:trPr>
        <w:tc>
          <w:tcPr>
            <w:tcW w:w="0" w:type="auto"/>
            <w:gridSpan w:val="3"/>
            <w:shd w:val="clear" w:color="auto" w:fill="auto"/>
            <w:vAlign w:val="bottom"/>
          </w:tcPr>
          <w:p w14:paraId="392C79E2" w14:textId="77777777" w:rsidR="00980E5F" w:rsidRDefault="00980E5F">
            <w:pPr>
              <w:rPr>
                <w:rFonts w:ascii="宋体"/>
                <w:vanish/>
              </w:rPr>
            </w:pPr>
          </w:p>
        </w:tc>
        <w:tc>
          <w:tcPr>
            <w:tcW w:w="0" w:type="auto"/>
            <w:gridSpan w:val="3"/>
            <w:shd w:val="clear" w:color="auto" w:fill="auto"/>
            <w:vAlign w:val="bottom"/>
          </w:tcPr>
          <w:p w14:paraId="392C79E3" w14:textId="77777777" w:rsidR="00980E5F" w:rsidRDefault="00980E5F">
            <w:pPr>
              <w:rPr>
                <w:rFonts w:ascii="宋体"/>
                <w:vanish/>
              </w:rPr>
            </w:pPr>
          </w:p>
        </w:tc>
        <w:tc>
          <w:tcPr>
            <w:tcW w:w="0" w:type="auto"/>
            <w:gridSpan w:val="3"/>
            <w:shd w:val="clear" w:color="auto" w:fill="auto"/>
            <w:vAlign w:val="bottom"/>
          </w:tcPr>
          <w:p w14:paraId="392C79E4" w14:textId="77777777" w:rsidR="00980E5F" w:rsidRDefault="00980E5F">
            <w:pPr>
              <w:rPr>
                <w:rFonts w:ascii="宋体"/>
                <w:vanish/>
              </w:rPr>
            </w:pPr>
          </w:p>
        </w:tc>
        <w:tc>
          <w:tcPr>
            <w:tcW w:w="0" w:type="auto"/>
            <w:gridSpan w:val="3"/>
            <w:shd w:val="clear" w:color="auto" w:fill="auto"/>
            <w:vAlign w:val="bottom"/>
          </w:tcPr>
          <w:p w14:paraId="392C79E5" w14:textId="77777777" w:rsidR="00980E5F" w:rsidRDefault="00980E5F">
            <w:pPr>
              <w:rPr>
                <w:rFonts w:ascii="宋体"/>
                <w:vanish/>
              </w:rPr>
            </w:pPr>
          </w:p>
        </w:tc>
        <w:tc>
          <w:tcPr>
            <w:tcW w:w="0" w:type="auto"/>
            <w:gridSpan w:val="3"/>
            <w:shd w:val="clear" w:color="auto" w:fill="auto"/>
            <w:vAlign w:val="bottom"/>
          </w:tcPr>
          <w:p w14:paraId="392C79E6" w14:textId="77777777" w:rsidR="00980E5F" w:rsidRDefault="00980E5F">
            <w:pPr>
              <w:rPr>
                <w:rFonts w:ascii="宋体"/>
                <w:vanish/>
              </w:rPr>
            </w:pPr>
          </w:p>
        </w:tc>
        <w:tc>
          <w:tcPr>
            <w:tcW w:w="0" w:type="auto"/>
            <w:gridSpan w:val="3"/>
            <w:shd w:val="clear" w:color="auto" w:fill="auto"/>
            <w:vAlign w:val="bottom"/>
          </w:tcPr>
          <w:p w14:paraId="392C79E7" w14:textId="77777777" w:rsidR="00980E5F" w:rsidRDefault="00980E5F">
            <w:pPr>
              <w:rPr>
                <w:rFonts w:ascii="宋体"/>
                <w:vanish/>
              </w:rPr>
            </w:pPr>
          </w:p>
        </w:tc>
        <w:tc>
          <w:tcPr>
            <w:tcW w:w="0" w:type="auto"/>
            <w:gridSpan w:val="3"/>
            <w:shd w:val="clear" w:color="auto" w:fill="auto"/>
            <w:vAlign w:val="bottom"/>
          </w:tcPr>
          <w:p w14:paraId="392C79E8" w14:textId="77777777" w:rsidR="00980E5F" w:rsidRDefault="00980E5F">
            <w:pPr>
              <w:rPr>
                <w:rFonts w:ascii="宋体"/>
                <w:vanish/>
              </w:rPr>
            </w:pPr>
          </w:p>
        </w:tc>
        <w:tc>
          <w:tcPr>
            <w:tcW w:w="0" w:type="auto"/>
            <w:gridSpan w:val="3"/>
            <w:shd w:val="clear" w:color="auto" w:fill="auto"/>
            <w:vAlign w:val="bottom"/>
          </w:tcPr>
          <w:p w14:paraId="392C79E9" w14:textId="77777777" w:rsidR="00980E5F" w:rsidRDefault="00980E5F">
            <w:pPr>
              <w:rPr>
                <w:rFonts w:ascii="宋体"/>
                <w:vanish/>
              </w:rPr>
            </w:pPr>
          </w:p>
        </w:tc>
        <w:tc>
          <w:tcPr>
            <w:tcW w:w="0" w:type="auto"/>
            <w:gridSpan w:val="3"/>
            <w:shd w:val="clear" w:color="auto" w:fill="auto"/>
            <w:vAlign w:val="bottom"/>
          </w:tcPr>
          <w:p w14:paraId="392C79EA" w14:textId="77777777" w:rsidR="00980E5F" w:rsidRDefault="00980E5F">
            <w:pPr>
              <w:rPr>
                <w:rFonts w:ascii="宋体"/>
                <w:vanish/>
              </w:rPr>
            </w:pPr>
          </w:p>
        </w:tc>
        <w:tc>
          <w:tcPr>
            <w:tcW w:w="0" w:type="auto"/>
            <w:shd w:val="clear" w:color="auto" w:fill="auto"/>
            <w:vAlign w:val="bottom"/>
          </w:tcPr>
          <w:p w14:paraId="392C79EB" w14:textId="77777777" w:rsidR="00980E5F" w:rsidRDefault="00980E5F">
            <w:pPr>
              <w:rPr>
                <w:rFonts w:ascii="宋体"/>
                <w:vanish/>
              </w:rPr>
            </w:pPr>
          </w:p>
        </w:tc>
        <w:tc>
          <w:tcPr>
            <w:tcW w:w="0" w:type="auto"/>
            <w:shd w:val="clear" w:color="auto" w:fill="auto"/>
            <w:vAlign w:val="bottom"/>
          </w:tcPr>
          <w:p w14:paraId="392C79EC" w14:textId="77777777" w:rsidR="00980E5F" w:rsidRDefault="00980E5F">
            <w:pPr>
              <w:rPr>
                <w:rFonts w:ascii="宋体"/>
                <w:vanish/>
              </w:rPr>
            </w:pPr>
          </w:p>
        </w:tc>
        <w:tc>
          <w:tcPr>
            <w:tcW w:w="0" w:type="auto"/>
            <w:gridSpan w:val="3"/>
            <w:shd w:val="clear" w:color="auto" w:fill="auto"/>
            <w:vAlign w:val="bottom"/>
          </w:tcPr>
          <w:p w14:paraId="392C79ED" w14:textId="77777777" w:rsidR="00980E5F" w:rsidRDefault="00980E5F">
            <w:pPr>
              <w:rPr>
                <w:rFonts w:ascii="宋体"/>
                <w:vanish/>
              </w:rPr>
            </w:pPr>
          </w:p>
        </w:tc>
        <w:tc>
          <w:tcPr>
            <w:tcW w:w="0" w:type="auto"/>
            <w:gridSpan w:val="3"/>
            <w:shd w:val="clear" w:color="auto" w:fill="auto"/>
            <w:vAlign w:val="bottom"/>
          </w:tcPr>
          <w:p w14:paraId="392C79EE" w14:textId="77777777" w:rsidR="00980E5F" w:rsidRDefault="00980E5F">
            <w:pPr>
              <w:rPr>
                <w:rFonts w:ascii="宋体"/>
                <w:vanish/>
              </w:rPr>
            </w:pPr>
          </w:p>
        </w:tc>
        <w:tc>
          <w:tcPr>
            <w:tcW w:w="0" w:type="auto"/>
            <w:gridSpan w:val="3"/>
            <w:shd w:val="clear" w:color="auto" w:fill="auto"/>
            <w:vAlign w:val="bottom"/>
          </w:tcPr>
          <w:p w14:paraId="392C79EF" w14:textId="77777777" w:rsidR="00980E5F" w:rsidRDefault="00980E5F">
            <w:pPr>
              <w:rPr>
                <w:rFonts w:ascii="宋体"/>
                <w:vanish/>
              </w:rPr>
            </w:pPr>
          </w:p>
        </w:tc>
        <w:tc>
          <w:tcPr>
            <w:tcW w:w="0" w:type="auto"/>
            <w:gridSpan w:val="3"/>
            <w:shd w:val="clear" w:color="auto" w:fill="auto"/>
            <w:vAlign w:val="bottom"/>
          </w:tcPr>
          <w:p w14:paraId="392C79F0" w14:textId="77777777" w:rsidR="00980E5F" w:rsidRDefault="00980E5F">
            <w:pPr>
              <w:rPr>
                <w:rFonts w:ascii="宋体"/>
                <w:vanish/>
              </w:rPr>
            </w:pPr>
          </w:p>
        </w:tc>
        <w:tc>
          <w:tcPr>
            <w:tcW w:w="0" w:type="auto"/>
            <w:gridSpan w:val="3"/>
            <w:shd w:val="clear" w:color="auto" w:fill="auto"/>
            <w:vAlign w:val="bottom"/>
          </w:tcPr>
          <w:p w14:paraId="392C79F1" w14:textId="77777777" w:rsidR="00980E5F" w:rsidRDefault="00980E5F">
            <w:pPr>
              <w:rPr>
                <w:rFonts w:ascii="宋体"/>
                <w:vanish/>
              </w:rPr>
            </w:pPr>
          </w:p>
        </w:tc>
      </w:tr>
      <w:tr w:rsidR="00980E5F" w14:paraId="392C7A03" w14:textId="77777777">
        <w:trPr>
          <w:hidden/>
        </w:trPr>
        <w:tc>
          <w:tcPr>
            <w:tcW w:w="0" w:type="auto"/>
            <w:gridSpan w:val="3"/>
            <w:shd w:val="clear" w:color="auto" w:fill="auto"/>
            <w:vAlign w:val="bottom"/>
          </w:tcPr>
          <w:p w14:paraId="392C79F3" w14:textId="77777777" w:rsidR="00980E5F" w:rsidRDefault="00980E5F">
            <w:pPr>
              <w:rPr>
                <w:rFonts w:ascii="宋体"/>
                <w:vanish/>
              </w:rPr>
            </w:pPr>
          </w:p>
        </w:tc>
        <w:tc>
          <w:tcPr>
            <w:tcW w:w="0" w:type="auto"/>
            <w:gridSpan w:val="3"/>
            <w:shd w:val="clear" w:color="auto" w:fill="auto"/>
            <w:vAlign w:val="bottom"/>
          </w:tcPr>
          <w:p w14:paraId="392C79F4" w14:textId="77777777" w:rsidR="00980E5F" w:rsidRDefault="00980E5F">
            <w:pPr>
              <w:rPr>
                <w:rFonts w:ascii="宋体"/>
                <w:vanish/>
              </w:rPr>
            </w:pPr>
          </w:p>
        </w:tc>
        <w:tc>
          <w:tcPr>
            <w:tcW w:w="0" w:type="auto"/>
            <w:gridSpan w:val="3"/>
            <w:shd w:val="clear" w:color="auto" w:fill="auto"/>
            <w:vAlign w:val="bottom"/>
          </w:tcPr>
          <w:p w14:paraId="392C79F5" w14:textId="77777777" w:rsidR="00980E5F" w:rsidRDefault="00980E5F">
            <w:pPr>
              <w:rPr>
                <w:rFonts w:ascii="宋体"/>
                <w:vanish/>
              </w:rPr>
            </w:pPr>
          </w:p>
        </w:tc>
        <w:tc>
          <w:tcPr>
            <w:tcW w:w="0" w:type="auto"/>
            <w:gridSpan w:val="3"/>
            <w:shd w:val="clear" w:color="auto" w:fill="auto"/>
            <w:vAlign w:val="bottom"/>
          </w:tcPr>
          <w:p w14:paraId="392C79F6" w14:textId="77777777" w:rsidR="00980E5F" w:rsidRDefault="00980E5F">
            <w:pPr>
              <w:rPr>
                <w:rFonts w:ascii="宋体"/>
                <w:vanish/>
              </w:rPr>
            </w:pPr>
          </w:p>
        </w:tc>
        <w:tc>
          <w:tcPr>
            <w:tcW w:w="0" w:type="auto"/>
            <w:gridSpan w:val="3"/>
            <w:shd w:val="clear" w:color="auto" w:fill="auto"/>
            <w:vAlign w:val="bottom"/>
          </w:tcPr>
          <w:p w14:paraId="392C79F7" w14:textId="77777777" w:rsidR="00980E5F" w:rsidRDefault="00980E5F">
            <w:pPr>
              <w:rPr>
                <w:rFonts w:ascii="宋体"/>
                <w:vanish/>
              </w:rPr>
            </w:pPr>
          </w:p>
        </w:tc>
        <w:tc>
          <w:tcPr>
            <w:tcW w:w="0" w:type="auto"/>
            <w:gridSpan w:val="3"/>
            <w:shd w:val="clear" w:color="auto" w:fill="auto"/>
            <w:vAlign w:val="bottom"/>
          </w:tcPr>
          <w:p w14:paraId="392C79F8" w14:textId="77777777" w:rsidR="00980E5F" w:rsidRDefault="00980E5F">
            <w:pPr>
              <w:rPr>
                <w:rFonts w:ascii="宋体"/>
                <w:vanish/>
              </w:rPr>
            </w:pPr>
          </w:p>
        </w:tc>
        <w:tc>
          <w:tcPr>
            <w:tcW w:w="0" w:type="auto"/>
            <w:gridSpan w:val="3"/>
            <w:shd w:val="clear" w:color="auto" w:fill="auto"/>
            <w:vAlign w:val="bottom"/>
          </w:tcPr>
          <w:p w14:paraId="392C79F9" w14:textId="77777777" w:rsidR="00980E5F" w:rsidRDefault="00980E5F">
            <w:pPr>
              <w:rPr>
                <w:rFonts w:ascii="宋体"/>
                <w:vanish/>
              </w:rPr>
            </w:pPr>
          </w:p>
        </w:tc>
        <w:tc>
          <w:tcPr>
            <w:tcW w:w="0" w:type="auto"/>
            <w:gridSpan w:val="3"/>
            <w:shd w:val="clear" w:color="auto" w:fill="auto"/>
            <w:vAlign w:val="bottom"/>
          </w:tcPr>
          <w:p w14:paraId="392C79FA" w14:textId="77777777" w:rsidR="00980E5F" w:rsidRDefault="00980E5F">
            <w:pPr>
              <w:rPr>
                <w:rFonts w:ascii="宋体"/>
                <w:vanish/>
              </w:rPr>
            </w:pPr>
          </w:p>
        </w:tc>
        <w:tc>
          <w:tcPr>
            <w:tcW w:w="0" w:type="auto"/>
            <w:gridSpan w:val="3"/>
            <w:shd w:val="clear" w:color="auto" w:fill="auto"/>
            <w:vAlign w:val="bottom"/>
          </w:tcPr>
          <w:p w14:paraId="392C79FB" w14:textId="77777777" w:rsidR="00980E5F" w:rsidRDefault="00980E5F">
            <w:pPr>
              <w:rPr>
                <w:rFonts w:ascii="宋体"/>
                <w:vanish/>
              </w:rPr>
            </w:pPr>
          </w:p>
        </w:tc>
        <w:tc>
          <w:tcPr>
            <w:tcW w:w="0" w:type="auto"/>
            <w:shd w:val="clear" w:color="auto" w:fill="auto"/>
            <w:vAlign w:val="bottom"/>
          </w:tcPr>
          <w:p w14:paraId="392C79FC" w14:textId="77777777" w:rsidR="00980E5F" w:rsidRDefault="00980E5F">
            <w:pPr>
              <w:rPr>
                <w:rFonts w:ascii="宋体"/>
                <w:vanish/>
              </w:rPr>
            </w:pPr>
          </w:p>
        </w:tc>
        <w:tc>
          <w:tcPr>
            <w:tcW w:w="0" w:type="auto"/>
            <w:shd w:val="clear" w:color="auto" w:fill="auto"/>
            <w:vAlign w:val="bottom"/>
          </w:tcPr>
          <w:p w14:paraId="392C79FD" w14:textId="77777777" w:rsidR="00980E5F" w:rsidRDefault="00980E5F">
            <w:pPr>
              <w:rPr>
                <w:rFonts w:ascii="宋体"/>
                <w:vanish/>
              </w:rPr>
            </w:pPr>
          </w:p>
        </w:tc>
        <w:tc>
          <w:tcPr>
            <w:tcW w:w="0" w:type="auto"/>
            <w:gridSpan w:val="3"/>
            <w:shd w:val="clear" w:color="auto" w:fill="auto"/>
            <w:vAlign w:val="bottom"/>
          </w:tcPr>
          <w:p w14:paraId="392C79FE" w14:textId="77777777" w:rsidR="00980E5F" w:rsidRDefault="00980E5F">
            <w:pPr>
              <w:rPr>
                <w:rFonts w:ascii="宋体"/>
                <w:vanish/>
              </w:rPr>
            </w:pPr>
          </w:p>
        </w:tc>
        <w:tc>
          <w:tcPr>
            <w:tcW w:w="0" w:type="auto"/>
            <w:gridSpan w:val="3"/>
            <w:shd w:val="clear" w:color="auto" w:fill="auto"/>
            <w:vAlign w:val="bottom"/>
          </w:tcPr>
          <w:p w14:paraId="392C79FF" w14:textId="77777777" w:rsidR="00980E5F" w:rsidRDefault="00980E5F">
            <w:pPr>
              <w:rPr>
                <w:rFonts w:ascii="宋体"/>
                <w:vanish/>
              </w:rPr>
            </w:pPr>
          </w:p>
        </w:tc>
        <w:tc>
          <w:tcPr>
            <w:tcW w:w="0" w:type="auto"/>
            <w:gridSpan w:val="3"/>
            <w:shd w:val="clear" w:color="auto" w:fill="auto"/>
            <w:vAlign w:val="bottom"/>
          </w:tcPr>
          <w:p w14:paraId="392C7A00" w14:textId="77777777" w:rsidR="00980E5F" w:rsidRDefault="00980E5F">
            <w:pPr>
              <w:rPr>
                <w:rFonts w:ascii="宋体"/>
                <w:vanish/>
              </w:rPr>
            </w:pPr>
          </w:p>
        </w:tc>
        <w:tc>
          <w:tcPr>
            <w:tcW w:w="0" w:type="auto"/>
            <w:gridSpan w:val="3"/>
            <w:shd w:val="clear" w:color="auto" w:fill="auto"/>
            <w:vAlign w:val="bottom"/>
          </w:tcPr>
          <w:p w14:paraId="392C7A01" w14:textId="77777777" w:rsidR="00980E5F" w:rsidRDefault="00980E5F">
            <w:pPr>
              <w:rPr>
                <w:rFonts w:ascii="宋体"/>
                <w:vanish/>
              </w:rPr>
            </w:pPr>
          </w:p>
        </w:tc>
        <w:tc>
          <w:tcPr>
            <w:tcW w:w="0" w:type="auto"/>
            <w:gridSpan w:val="3"/>
            <w:shd w:val="clear" w:color="auto" w:fill="auto"/>
            <w:vAlign w:val="bottom"/>
          </w:tcPr>
          <w:p w14:paraId="392C7A02" w14:textId="77777777" w:rsidR="00980E5F" w:rsidRDefault="00980E5F">
            <w:pPr>
              <w:rPr>
                <w:rFonts w:ascii="宋体"/>
                <w:vanish/>
              </w:rPr>
            </w:pPr>
          </w:p>
        </w:tc>
      </w:tr>
      <w:tr w:rsidR="00980E5F" w14:paraId="392C7A22" w14:textId="77777777">
        <w:tc>
          <w:tcPr>
            <w:tcW w:w="0" w:type="auto"/>
            <w:gridSpan w:val="3"/>
            <w:shd w:val="clear" w:color="auto" w:fill="FFFFFF"/>
            <w:tcMar>
              <w:top w:w="40" w:type="dxa"/>
              <w:left w:w="20" w:type="dxa"/>
              <w:bottom w:w="40" w:type="dxa"/>
              <w:right w:w="20" w:type="dxa"/>
            </w:tcMar>
            <w:vAlign w:val="bottom"/>
          </w:tcPr>
          <w:p w14:paraId="392C7A04" w14:textId="77777777" w:rsidR="00980E5F" w:rsidRDefault="00483613">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0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06" w14:textId="77777777" w:rsidR="00980E5F" w:rsidRDefault="00483613">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0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0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0A"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0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0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0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0E" w14:textId="77777777" w:rsidR="00980E5F" w:rsidRDefault="00483613">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1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1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12"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14" w14:textId="77777777" w:rsidR="00980E5F" w:rsidRDefault="00980E5F">
            <w:pPr>
              <w:rPr>
                <w:rFonts w:ascii="宋体"/>
              </w:rPr>
            </w:pPr>
          </w:p>
        </w:tc>
        <w:tc>
          <w:tcPr>
            <w:tcW w:w="0" w:type="auto"/>
            <w:shd w:val="clear" w:color="auto" w:fill="auto"/>
            <w:vAlign w:val="bottom"/>
          </w:tcPr>
          <w:p w14:paraId="392C7A15" w14:textId="77777777" w:rsidR="00980E5F" w:rsidRDefault="00980E5F">
            <w:pPr>
              <w:rPr>
                <w:rFonts w:ascii="宋体"/>
                <w:vanish/>
              </w:rPr>
            </w:pPr>
          </w:p>
        </w:tc>
        <w:tc>
          <w:tcPr>
            <w:tcW w:w="0" w:type="auto"/>
            <w:shd w:val="clear" w:color="auto" w:fill="auto"/>
            <w:vAlign w:val="bottom"/>
          </w:tcPr>
          <w:p w14:paraId="392C7A16" w14:textId="77777777" w:rsidR="00980E5F" w:rsidRDefault="00980E5F">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1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18" w14:textId="77777777" w:rsidR="00980E5F" w:rsidRDefault="00483613">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1A"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1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1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1E"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A1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A20" w14:textId="77777777" w:rsidR="00980E5F" w:rsidRDefault="00483613">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A21" w14:textId="77777777" w:rsidR="00980E5F" w:rsidRDefault="00980E5F">
            <w:pPr>
              <w:jc w:val="right"/>
              <w:rPr>
                <w:rFonts w:ascii="宋体"/>
              </w:rPr>
            </w:pPr>
          </w:p>
        </w:tc>
      </w:tr>
    </w:tbl>
    <w:p w14:paraId="392C7A23"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648"/>
        <w:gridCol w:w="36"/>
        <w:gridCol w:w="69"/>
        <w:gridCol w:w="5210"/>
        <w:gridCol w:w="36"/>
        <w:gridCol w:w="70"/>
        <w:gridCol w:w="1162"/>
        <w:gridCol w:w="36"/>
      </w:tblGrid>
      <w:tr w:rsidR="00980E5F" w14:paraId="392C7A2D" w14:textId="77777777">
        <w:tc>
          <w:tcPr>
            <w:tcW w:w="50" w:type="pct"/>
            <w:shd w:val="clear" w:color="auto" w:fill="auto"/>
            <w:vAlign w:val="bottom"/>
          </w:tcPr>
          <w:p w14:paraId="392C7A24" w14:textId="77777777" w:rsidR="00980E5F" w:rsidRDefault="00980E5F">
            <w:pPr>
              <w:rPr>
                <w:rFonts w:ascii="宋体"/>
              </w:rPr>
            </w:pPr>
          </w:p>
        </w:tc>
        <w:tc>
          <w:tcPr>
            <w:tcW w:w="997" w:type="pct"/>
            <w:shd w:val="clear" w:color="auto" w:fill="auto"/>
            <w:vAlign w:val="bottom"/>
          </w:tcPr>
          <w:p w14:paraId="392C7A25" w14:textId="77777777" w:rsidR="00980E5F" w:rsidRDefault="00980E5F">
            <w:pPr>
              <w:rPr>
                <w:rFonts w:ascii="宋体"/>
              </w:rPr>
            </w:pPr>
          </w:p>
        </w:tc>
        <w:tc>
          <w:tcPr>
            <w:tcW w:w="5" w:type="pct"/>
            <w:shd w:val="clear" w:color="auto" w:fill="auto"/>
            <w:vAlign w:val="bottom"/>
          </w:tcPr>
          <w:p w14:paraId="392C7A26" w14:textId="77777777" w:rsidR="00980E5F" w:rsidRDefault="00980E5F">
            <w:pPr>
              <w:rPr>
                <w:rFonts w:ascii="宋体"/>
              </w:rPr>
            </w:pPr>
          </w:p>
        </w:tc>
        <w:tc>
          <w:tcPr>
            <w:tcW w:w="50" w:type="pct"/>
            <w:shd w:val="clear" w:color="auto" w:fill="auto"/>
            <w:vAlign w:val="bottom"/>
          </w:tcPr>
          <w:p w14:paraId="392C7A27" w14:textId="77777777" w:rsidR="00980E5F" w:rsidRDefault="00980E5F">
            <w:pPr>
              <w:rPr>
                <w:rFonts w:ascii="宋体"/>
              </w:rPr>
            </w:pPr>
          </w:p>
        </w:tc>
        <w:tc>
          <w:tcPr>
            <w:tcW w:w="3132" w:type="pct"/>
            <w:shd w:val="clear" w:color="auto" w:fill="auto"/>
            <w:vAlign w:val="bottom"/>
          </w:tcPr>
          <w:p w14:paraId="392C7A28" w14:textId="77777777" w:rsidR="00980E5F" w:rsidRDefault="00980E5F">
            <w:pPr>
              <w:rPr>
                <w:rFonts w:ascii="宋体"/>
              </w:rPr>
            </w:pPr>
          </w:p>
        </w:tc>
        <w:tc>
          <w:tcPr>
            <w:tcW w:w="5" w:type="pct"/>
            <w:shd w:val="clear" w:color="auto" w:fill="auto"/>
            <w:vAlign w:val="bottom"/>
          </w:tcPr>
          <w:p w14:paraId="392C7A29" w14:textId="77777777" w:rsidR="00980E5F" w:rsidRDefault="00980E5F">
            <w:pPr>
              <w:rPr>
                <w:rFonts w:ascii="宋体"/>
              </w:rPr>
            </w:pPr>
          </w:p>
        </w:tc>
        <w:tc>
          <w:tcPr>
            <w:tcW w:w="50" w:type="pct"/>
            <w:shd w:val="clear" w:color="auto" w:fill="auto"/>
            <w:vAlign w:val="bottom"/>
          </w:tcPr>
          <w:p w14:paraId="392C7A2A" w14:textId="77777777" w:rsidR="00980E5F" w:rsidRDefault="00980E5F">
            <w:pPr>
              <w:rPr>
                <w:rFonts w:ascii="宋体"/>
              </w:rPr>
            </w:pPr>
          </w:p>
        </w:tc>
        <w:tc>
          <w:tcPr>
            <w:tcW w:w="705" w:type="pct"/>
            <w:shd w:val="clear" w:color="auto" w:fill="auto"/>
            <w:vAlign w:val="bottom"/>
          </w:tcPr>
          <w:p w14:paraId="392C7A2B" w14:textId="77777777" w:rsidR="00980E5F" w:rsidRDefault="00980E5F">
            <w:pPr>
              <w:rPr>
                <w:rFonts w:ascii="宋体"/>
              </w:rPr>
            </w:pPr>
          </w:p>
        </w:tc>
        <w:tc>
          <w:tcPr>
            <w:tcW w:w="5" w:type="pct"/>
            <w:shd w:val="clear" w:color="auto" w:fill="auto"/>
            <w:vAlign w:val="bottom"/>
          </w:tcPr>
          <w:p w14:paraId="392C7A2C" w14:textId="77777777" w:rsidR="00980E5F" w:rsidRDefault="00980E5F">
            <w:pPr>
              <w:rPr>
                <w:rFonts w:ascii="宋体"/>
              </w:rPr>
            </w:pPr>
          </w:p>
        </w:tc>
      </w:tr>
      <w:tr w:rsidR="00980E5F" w14:paraId="392C7A3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7A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2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30" w14:textId="77777777" w:rsidR="00980E5F" w:rsidRDefault="00980E5F">
            <w:pPr>
              <w:rPr>
                <w:rFonts w:ascii="宋体"/>
              </w:rPr>
            </w:pPr>
          </w:p>
        </w:tc>
      </w:tr>
    </w:tbl>
    <w:p w14:paraId="392C7A32" w14:textId="77777777" w:rsidR="00980E5F" w:rsidRDefault="00483613">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$9 million allowance for credit losses on Fund Finance loans and $1 million on other loans.</w:t>
      </w:r>
    </w:p>
    <w:p w14:paraId="392C7A33" w14:textId="77777777" w:rsidR="00980E5F" w:rsidRDefault="00980E5F">
      <w:pPr>
        <w:spacing w:before="90"/>
      </w:pPr>
    </w:p>
    <w:tbl>
      <w:tblPr>
        <w:tblW w:w="5000" w:type="pct"/>
        <w:tblCellMar>
          <w:top w:w="15" w:type="dxa"/>
          <w:left w:w="15" w:type="dxa"/>
          <w:bottom w:w="15" w:type="dxa"/>
          <w:right w:w="15" w:type="dxa"/>
        </w:tblCellMar>
        <w:tblLook w:val="04A0" w:firstRow="1" w:lastRow="0" w:firstColumn="1" w:lastColumn="0" w:noHBand="0" w:noVBand="1"/>
      </w:tblPr>
      <w:tblGrid>
        <w:gridCol w:w="39"/>
        <w:gridCol w:w="1425"/>
        <w:gridCol w:w="38"/>
        <w:gridCol w:w="100"/>
        <w:gridCol w:w="660"/>
        <w:gridCol w:w="38"/>
        <w:gridCol w:w="36"/>
        <w:gridCol w:w="36"/>
        <w:gridCol w:w="36"/>
        <w:gridCol w:w="99"/>
        <w:gridCol w:w="560"/>
        <w:gridCol w:w="37"/>
        <w:gridCol w:w="36"/>
        <w:gridCol w:w="36"/>
        <w:gridCol w:w="36"/>
        <w:gridCol w:w="99"/>
        <w:gridCol w:w="750"/>
        <w:gridCol w:w="36"/>
        <w:gridCol w:w="36"/>
        <w:gridCol w:w="36"/>
        <w:gridCol w:w="36"/>
        <w:gridCol w:w="104"/>
        <w:gridCol w:w="1094"/>
        <w:gridCol w:w="36"/>
        <w:gridCol w:w="36"/>
        <w:gridCol w:w="36"/>
        <w:gridCol w:w="36"/>
        <w:gridCol w:w="36"/>
        <w:gridCol w:w="36"/>
        <w:gridCol w:w="99"/>
        <w:gridCol w:w="893"/>
        <w:gridCol w:w="36"/>
        <w:gridCol w:w="36"/>
        <w:gridCol w:w="36"/>
        <w:gridCol w:w="36"/>
        <w:gridCol w:w="99"/>
        <w:gridCol w:w="593"/>
        <w:gridCol w:w="36"/>
        <w:gridCol w:w="36"/>
        <w:gridCol w:w="36"/>
        <w:gridCol w:w="36"/>
        <w:gridCol w:w="98"/>
        <w:gridCol w:w="611"/>
        <w:gridCol w:w="36"/>
      </w:tblGrid>
      <w:tr w:rsidR="00980E5F" w14:paraId="392C7A60" w14:textId="77777777">
        <w:tc>
          <w:tcPr>
            <w:tcW w:w="50" w:type="pct"/>
            <w:shd w:val="clear" w:color="auto" w:fill="auto"/>
            <w:vAlign w:val="bottom"/>
          </w:tcPr>
          <w:p w14:paraId="392C7A34" w14:textId="77777777" w:rsidR="00980E5F" w:rsidRDefault="00980E5F">
            <w:pPr>
              <w:rPr>
                <w:rFonts w:ascii="宋体"/>
              </w:rPr>
            </w:pPr>
          </w:p>
        </w:tc>
        <w:tc>
          <w:tcPr>
            <w:tcW w:w="997" w:type="pct"/>
            <w:shd w:val="clear" w:color="auto" w:fill="auto"/>
            <w:vAlign w:val="bottom"/>
          </w:tcPr>
          <w:p w14:paraId="392C7A35" w14:textId="77777777" w:rsidR="00980E5F" w:rsidRDefault="00980E5F">
            <w:pPr>
              <w:rPr>
                <w:rFonts w:ascii="宋体"/>
              </w:rPr>
            </w:pPr>
          </w:p>
        </w:tc>
        <w:tc>
          <w:tcPr>
            <w:tcW w:w="5" w:type="pct"/>
            <w:shd w:val="clear" w:color="auto" w:fill="auto"/>
            <w:vAlign w:val="bottom"/>
          </w:tcPr>
          <w:p w14:paraId="392C7A36" w14:textId="77777777" w:rsidR="00980E5F" w:rsidRDefault="00980E5F">
            <w:pPr>
              <w:rPr>
                <w:rFonts w:ascii="宋体"/>
              </w:rPr>
            </w:pPr>
          </w:p>
        </w:tc>
        <w:tc>
          <w:tcPr>
            <w:tcW w:w="50" w:type="pct"/>
            <w:shd w:val="clear" w:color="auto" w:fill="auto"/>
            <w:vAlign w:val="bottom"/>
          </w:tcPr>
          <w:p w14:paraId="392C7A37" w14:textId="77777777" w:rsidR="00980E5F" w:rsidRDefault="00980E5F">
            <w:pPr>
              <w:rPr>
                <w:rFonts w:ascii="宋体"/>
              </w:rPr>
            </w:pPr>
          </w:p>
        </w:tc>
        <w:tc>
          <w:tcPr>
            <w:tcW w:w="449" w:type="pct"/>
            <w:shd w:val="clear" w:color="auto" w:fill="auto"/>
            <w:vAlign w:val="bottom"/>
          </w:tcPr>
          <w:p w14:paraId="392C7A38" w14:textId="77777777" w:rsidR="00980E5F" w:rsidRDefault="00980E5F">
            <w:pPr>
              <w:rPr>
                <w:rFonts w:ascii="宋体"/>
              </w:rPr>
            </w:pPr>
          </w:p>
        </w:tc>
        <w:tc>
          <w:tcPr>
            <w:tcW w:w="5" w:type="pct"/>
            <w:shd w:val="clear" w:color="auto" w:fill="auto"/>
            <w:vAlign w:val="bottom"/>
          </w:tcPr>
          <w:p w14:paraId="392C7A39" w14:textId="77777777" w:rsidR="00980E5F" w:rsidRDefault="00980E5F">
            <w:pPr>
              <w:rPr>
                <w:rFonts w:ascii="宋体"/>
              </w:rPr>
            </w:pPr>
          </w:p>
        </w:tc>
        <w:tc>
          <w:tcPr>
            <w:tcW w:w="5" w:type="pct"/>
            <w:shd w:val="clear" w:color="auto" w:fill="auto"/>
            <w:vAlign w:val="bottom"/>
          </w:tcPr>
          <w:p w14:paraId="392C7A3A" w14:textId="77777777" w:rsidR="00980E5F" w:rsidRDefault="00980E5F">
            <w:pPr>
              <w:rPr>
                <w:rFonts w:ascii="宋体"/>
              </w:rPr>
            </w:pPr>
          </w:p>
        </w:tc>
        <w:tc>
          <w:tcPr>
            <w:tcW w:w="19" w:type="pct"/>
            <w:shd w:val="clear" w:color="auto" w:fill="auto"/>
            <w:vAlign w:val="bottom"/>
          </w:tcPr>
          <w:p w14:paraId="392C7A3B" w14:textId="77777777" w:rsidR="00980E5F" w:rsidRDefault="00980E5F">
            <w:pPr>
              <w:rPr>
                <w:rFonts w:ascii="宋体"/>
              </w:rPr>
            </w:pPr>
          </w:p>
        </w:tc>
        <w:tc>
          <w:tcPr>
            <w:tcW w:w="5" w:type="pct"/>
            <w:shd w:val="clear" w:color="auto" w:fill="auto"/>
            <w:vAlign w:val="bottom"/>
          </w:tcPr>
          <w:p w14:paraId="392C7A3C" w14:textId="77777777" w:rsidR="00980E5F" w:rsidRDefault="00980E5F">
            <w:pPr>
              <w:rPr>
                <w:rFonts w:ascii="宋体"/>
              </w:rPr>
            </w:pPr>
          </w:p>
        </w:tc>
        <w:tc>
          <w:tcPr>
            <w:tcW w:w="50" w:type="pct"/>
            <w:shd w:val="clear" w:color="auto" w:fill="auto"/>
            <w:vAlign w:val="bottom"/>
          </w:tcPr>
          <w:p w14:paraId="392C7A3D" w14:textId="77777777" w:rsidR="00980E5F" w:rsidRDefault="00980E5F">
            <w:pPr>
              <w:rPr>
                <w:rFonts w:ascii="宋体"/>
              </w:rPr>
            </w:pPr>
          </w:p>
        </w:tc>
        <w:tc>
          <w:tcPr>
            <w:tcW w:w="449" w:type="pct"/>
            <w:shd w:val="clear" w:color="auto" w:fill="auto"/>
            <w:vAlign w:val="bottom"/>
          </w:tcPr>
          <w:p w14:paraId="392C7A3E" w14:textId="77777777" w:rsidR="00980E5F" w:rsidRDefault="00980E5F">
            <w:pPr>
              <w:rPr>
                <w:rFonts w:ascii="宋体"/>
              </w:rPr>
            </w:pPr>
          </w:p>
        </w:tc>
        <w:tc>
          <w:tcPr>
            <w:tcW w:w="5" w:type="pct"/>
            <w:shd w:val="clear" w:color="auto" w:fill="auto"/>
            <w:vAlign w:val="bottom"/>
          </w:tcPr>
          <w:p w14:paraId="392C7A3F" w14:textId="77777777" w:rsidR="00980E5F" w:rsidRDefault="00980E5F">
            <w:pPr>
              <w:rPr>
                <w:rFonts w:ascii="宋体"/>
              </w:rPr>
            </w:pPr>
          </w:p>
        </w:tc>
        <w:tc>
          <w:tcPr>
            <w:tcW w:w="5" w:type="pct"/>
            <w:shd w:val="clear" w:color="auto" w:fill="auto"/>
            <w:vAlign w:val="bottom"/>
          </w:tcPr>
          <w:p w14:paraId="392C7A40" w14:textId="77777777" w:rsidR="00980E5F" w:rsidRDefault="00980E5F">
            <w:pPr>
              <w:rPr>
                <w:rFonts w:ascii="宋体"/>
              </w:rPr>
            </w:pPr>
          </w:p>
        </w:tc>
        <w:tc>
          <w:tcPr>
            <w:tcW w:w="19" w:type="pct"/>
            <w:shd w:val="clear" w:color="auto" w:fill="auto"/>
            <w:vAlign w:val="bottom"/>
          </w:tcPr>
          <w:p w14:paraId="392C7A41" w14:textId="77777777" w:rsidR="00980E5F" w:rsidRDefault="00980E5F">
            <w:pPr>
              <w:rPr>
                <w:rFonts w:ascii="宋体"/>
              </w:rPr>
            </w:pPr>
          </w:p>
        </w:tc>
        <w:tc>
          <w:tcPr>
            <w:tcW w:w="5" w:type="pct"/>
            <w:shd w:val="clear" w:color="auto" w:fill="auto"/>
            <w:vAlign w:val="bottom"/>
          </w:tcPr>
          <w:p w14:paraId="392C7A42" w14:textId="77777777" w:rsidR="00980E5F" w:rsidRDefault="00980E5F">
            <w:pPr>
              <w:rPr>
                <w:rFonts w:ascii="宋体"/>
              </w:rPr>
            </w:pPr>
          </w:p>
        </w:tc>
        <w:tc>
          <w:tcPr>
            <w:tcW w:w="50" w:type="pct"/>
            <w:shd w:val="clear" w:color="auto" w:fill="auto"/>
            <w:vAlign w:val="bottom"/>
          </w:tcPr>
          <w:p w14:paraId="392C7A43" w14:textId="77777777" w:rsidR="00980E5F" w:rsidRDefault="00980E5F">
            <w:pPr>
              <w:rPr>
                <w:rFonts w:ascii="宋体"/>
              </w:rPr>
            </w:pPr>
          </w:p>
        </w:tc>
        <w:tc>
          <w:tcPr>
            <w:tcW w:w="449" w:type="pct"/>
            <w:shd w:val="clear" w:color="auto" w:fill="auto"/>
            <w:vAlign w:val="bottom"/>
          </w:tcPr>
          <w:p w14:paraId="392C7A44" w14:textId="77777777" w:rsidR="00980E5F" w:rsidRDefault="00980E5F">
            <w:pPr>
              <w:rPr>
                <w:rFonts w:ascii="宋体"/>
              </w:rPr>
            </w:pPr>
          </w:p>
        </w:tc>
        <w:tc>
          <w:tcPr>
            <w:tcW w:w="5" w:type="pct"/>
            <w:shd w:val="clear" w:color="auto" w:fill="auto"/>
            <w:vAlign w:val="bottom"/>
          </w:tcPr>
          <w:p w14:paraId="392C7A45" w14:textId="77777777" w:rsidR="00980E5F" w:rsidRDefault="00980E5F">
            <w:pPr>
              <w:rPr>
                <w:rFonts w:ascii="宋体"/>
              </w:rPr>
            </w:pPr>
          </w:p>
        </w:tc>
        <w:tc>
          <w:tcPr>
            <w:tcW w:w="5" w:type="pct"/>
            <w:shd w:val="clear" w:color="auto" w:fill="auto"/>
            <w:vAlign w:val="bottom"/>
          </w:tcPr>
          <w:p w14:paraId="392C7A46" w14:textId="77777777" w:rsidR="00980E5F" w:rsidRDefault="00980E5F">
            <w:pPr>
              <w:rPr>
                <w:rFonts w:ascii="宋体"/>
              </w:rPr>
            </w:pPr>
          </w:p>
        </w:tc>
        <w:tc>
          <w:tcPr>
            <w:tcW w:w="19" w:type="pct"/>
            <w:shd w:val="clear" w:color="auto" w:fill="auto"/>
            <w:vAlign w:val="bottom"/>
          </w:tcPr>
          <w:p w14:paraId="392C7A47" w14:textId="77777777" w:rsidR="00980E5F" w:rsidRDefault="00980E5F">
            <w:pPr>
              <w:rPr>
                <w:rFonts w:ascii="宋体"/>
              </w:rPr>
            </w:pPr>
          </w:p>
        </w:tc>
        <w:tc>
          <w:tcPr>
            <w:tcW w:w="5" w:type="pct"/>
            <w:shd w:val="clear" w:color="auto" w:fill="auto"/>
            <w:vAlign w:val="bottom"/>
          </w:tcPr>
          <w:p w14:paraId="392C7A48" w14:textId="77777777" w:rsidR="00980E5F" w:rsidRDefault="00980E5F">
            <w:pPr>
              <w:rPr>
                <w:rFonts w:ascii="宋体"/>
              </w:rPr>
            </w:pPr>
          </w:p>
        </w:tc>
        <w:tc>
          <w:tcPr>
            <w:tcW w:w="50" w:type="pct"/>
            <w:shd w:val="clear" w:color="auto" w:fill="auto"/>
            <w:vAlign w:val="bottom"/>
          </w:tcPr>
          <w:p w14:paraId="392C7A49" w14:textId="77777777" w:rsidR="00980E5F" w:rsidRDefault="00980E5F">
            <w:pPr>
              <w:rPr>
                <w:rFonts w:ascii="宋体"/>
              </w:rPr>
            </w:pPr>
          </w:p>
        </w:tc>
        <w:tc>
          <w:tcPr>
            <w:tcW w:w="529" w:type="pct"/>
            <w:shd w:val="clear" w:color="auto" w:fill="auto"/>
            <w:vAlign w:val="bottom"/>
          </w:tcPr>
          <w:p w14:paraId="392C7A4A" w14:textId="77777777" w:rsidR="00980E5F" w:rsidRDefault="00980E5F">
            <w:pPr>
              <w:rPr>
                <w:rFonts w:ascii="宋体"/>
              </w:rPr>
            </w:pPr>
          </w:p>
        </w:tc>
        <w:tc>
          <w:tcPr>
            <w:tcW w:w="5" w:type="pct"/>
            <w:shd w:val="clear" w:color="auto" w:fill="auto"/>
            <w:vAlign w:val="bottom"/>
          </w:tcPr>
          <w:p w14:paraId="392C7A4B" w14:textId="77777777" w:rsidR="00980E5F" w:rsidRDefault="00980E5F">
            <w:pPr>
              <w:rPr>
                <w:rFonts w:ascii="宋体"/>
              </w:rPr>
            </w:pPr>
          </w:p>
        </w:tc>
        <w:tc>
          <w:tcPr>
            <w:tcW w:w="5" w:type="pct"/>
            <w:shd w:val="clear" w:color="auto" w:fill="auto"/>
            <w:vAlign w:val="bottom"/>
          </w:tcPr>
          <w:p w14:paraId="392C7A4C" w14:textId="77777777" w:rsidR="00980E5F" w:rsidRDefault="00980E5F">
            <w:pPr>
              <w:rPr>
                <w:rFonts w:ascii="宋体"/>
              </w:rPr>
            </w:pPr>
          </w:p>
        </w:tc>
        <w:tc>
          <w:tcPr>
            <w:tcW w:w="19" w:type="pct"/>
            <w:shd w:val="clear" w:color="auto" w:fill="auto"/>
            <w:vAlign w:val="bottom"/>
          </w:tcPr>
          <w:p w14:paraId="392C7A4D" w14:textId="77777777" w:rsidR="00980E5F" w:rsidRDefault="00980E5F">
            <w:pPr>
              <w:rPr>
                <w:rFonts w:ascii="宋体"/>
              </w:rPr>
            </w:pPr>
          </w:p>
        </w:tc>
        <w:tc>
          <w:tcPr>
            <w:tcW w:w="5" w:type="pct"/>
            <w:shd w:val="clear" w:color="auto" w:fill="auto"/>
            <w:vAlign w:val="bottom"/>
          </w:tcPr>
          <w:p w14:paraId="392C7A4E" w14:textId="77777777" w:rsidR="00980E5F" w:rsidRDefault="00980E5F">
            <w:pPr>
              <w:rPr>
                <w:rFonts w:ascii="宋体"/>
              </w:rPr>
            </w:pPr>
          </w:p>
        </w:tc>
        <w:tc>
          <w:tcPr>
            <w:tcW w:w="0" w:type="auto"/>
            <w:shd w:val="clear" w:color="auto" w:fill="auto"/>
            <w:vAlign w:val="bottom"/>
          </w:tcPr>
          <w:p w14:paraId="392C7A4F" w14:textId="77777777" w:rsidR="00980E5F" w:rsidRDefault="00980E5F">
            <w:pPr>
              <w:rPr>
                <w:rFonts w:ascii="宋体"/>
                <w:vanish/>
              </w:rPr>
            </w:pPr>
          </w:p>
        </w:tc>
        <w:tc>
          <w:tcPr>
            <w:tcW w:w="0" w:type="auto"/>
            <w:shd w:val="clear" w:color="auto" w:fill="auto"/>
            <w:vAlign w:val="bottom"/>
          </w:tcPr>
          <w:p w14:paraId="392C7A50" w14:textId="77777777" w:rsidR="00980E5F" w:rsidRDefault="00980E5F">
            <w:pPr>
              <w:rPr>
                <w:rFonts w:ascii="宋体"/>
                <w:vanish/>
              </w:rPr>
            </w:pPr>
          </w:p>
        </w:tc>
        <w:tc>
          <w:tcPr>
            <w:tcW w:w="50" w:type="pct"/>
            <w:shd w:val="clear" w:color="auto" w:fill="auto"/>
            <w:vAlign w:val="bottom"/>
          </w:tcPr>
          <w:p w14:paraId="392C7A51" w14:textId="77777777" w:rsidR="00980E5F" w:rsidRDefault="00980E5F">
            <w:pPr>
              <w:rPr>
                <w:rFonts w:ascii="宋体"/>
              </w:rPr>
            </w:pPr>
          </w:p>
        </w:tc>
        <w:tc>
          <w:tcPr>
            <w:tcW w:w="610" w:type="pct"/>
            <w:shd w:val="clear" w:color="auto" w:fill="auto"/>
            <w:vAlign w:val="bottom"/>
          </w:tcPr>
          <w:p w14:paraId="392C7A52" w14:textId="77777777" w:rsidR="00980E5F" w:rsidRDefault="00980E5F">
            <w:pPr>
              <w:rPr>
                <w:rFonts w:ascii="宋体"/>
              </w:rPr>
            </w:pPr>
          </w:p>
        </w:tc>
        <w:tc>
          <w:tcPr>
            <w:tcW w:w="5" w:type="pct"/>
            <w:shd w:val="clear" w:color="auto" w:fill="auto"/>
            <w:vAlign w:val="bottom"/>
          </w:tcPr>
          <w:p w14:paraId="392C7A53" w14:textId="77777777" w:rsidR="00980E5F" w:rsidRDefault="00980E5F">
            <w:pPr>
              <w:rPr>
                <w:rFonts w:ascii="宋体"/>
              </w:rPr>
            </w:pPr>
          </w:p>
        </w:tc>
        <w:tc>
          <w:tcPr>
            <w:tcW w:w="5" w:type="pct"/>
            <w:shd w:val="clear" w:color="auto" w:fill="auto"/>
            <w:vAlign w:val="bottom"/>
          </w:tcPr>
          <w:p w14:paraId="392C7A54" w14:textId="77777777" w:rsidR="00980E5F" w:rsidRDefault="00980E5F">
            <w:pPr>
              <w:rPr>
                <w:rFonts w:ascii="宋体"/>
              </w:rPr>
            </w:pPr>
          </w:p>
        </w:tc>
        <w:tc>
          <w:tcPr>
            <w:tcW w:w="19" w:type="pct"/>
            <w:shd w:val="clear" w:color="auto" w:fill="auto"/>
            <w:vAlign w:val="bottom"/>
          </w:tcPr>
          <w:p w14:paraId="392C7A55" w14:textId="77777777" w:rsidR="00980E5F" w:rsidRDefault="00980E5F">
            <w:pPr>
              <w:rPr>
                <w:rFonts w:ascii="宋体"/>
              </w:rPr>
            </w:pPr>
          </w:p>
        </w:tc>
        <w:tc>
          <w:tcPr>
            <w:tcW w:w="5" w:type="pct"/>
            <w:shd w:val="clear" w:color="auto" w:fill="auto"/>
            <w:vAlign w:val="bottom"/>
          </w:tcPr>
          <w:p w14:paraId="392C7A56" w14:textId="77777777" w:rsidR="00980E5F" w:rsidRDefault="00980E5F">
            <w:pPr>
              <w:rPr>
                <w:rFonts w:ascii="宋体"/>
              </w:rPr>
            </w:pPr>
          </w:p>
        </w:tc>
        <w:tc>
          <w:tcPr>
            <w:tcW w:w="50" w:type="pct"/>
            <w:shd w:val="clear" w:color="auto" w:fill="auto"/>
            <w:vAlign w:val="bottom"/>
          </w:tcPr>
          <w:p w14:paraId="392C7A57" w14:textId="77777777" w:rsidR="00980E5F" w:rsidRDefault="00980E5F">
            <w:pPr>
              <w:rPr>
                <w:rFonts w:ascii="宋体"/>
              </w:rPr>
            </w:pPr>
          </w:p>
        </w:tc>
        <w:tc>
          <w:tcPr>
            <w:tcW w:w="449" w:type="pct"/>
            <w:shd w:val="clear" w:color="auto" w:fill="auto"/>
            <w:vAlign w:val="bottom"/>
          </w:tcPr>
          <w:p w14:paraId="392C7A58" w14:textId="77777777" w:rsidR="00980E5F" w:rsidRDefault="00980E5F">
            <w:pPr>
              <w:rPr>
                <w:rFonts w:ascii="宋体"/>
              </w:rPr>
            </w:pPr>
          </w:p>
        </w:tc>
        <w:tc>
          <w:tcPr>
            <w:tcW w:w="5" w:type="pct"/>
            <w:shd w:val="clear" w:color="auto" w:fill="auto"/>
            <w:vAlign w:val="bottom"/>
          </w:tcPr>
          <w:p w14:paraId="392C7A59" w14:textId="77777777" w:rsidR="00980E5F" w:rsidRDefault="00980E5F">
            <w:pPr>
              <w:rPr>
                <w:rFonts w:ascii="宋体"/>
              </w:rPr>
            </w:pPr>
          </w:p>
        </w:tc>
        <w:tc>
          <w:tcPr>
            <w:tcW w:w="5" w:type="pct"/>
            <w:shd w:val="clear" w:color="auto" w:fill="auto"/>
            <w:vAlign w:val="bottom"/>
          </w:tcPr>
          <w:p w14:paraId="392C7A5A" w14:textId="77777777" w:rsidR="00980E5F" w:rsidRDefault="00980E5F">
            <w:pPr>
              <w:rPr>
                <w:rFonts w:ascii="宋体"/>
              </w:rPr>
            </w:pPr>
          </w:p>
        </w:tc>
        <w:tc>
          <w:tcPr>
            <w:tcW w:w="19" w:type="pct"/>
            <w:shd w:val="clear" w:color="auto" w:fill="auto"/>
            <w:vAlign w:val="bottom"/>
          </w:tcPr>
          <w:p w14:paraId="392C7A5B" w14:textId="77777777" w:rsidR="00980E5F" w:rsidRDefault="00980E5F">
            <w:pPr>
              <w:rPr>
                <w:rFonts w:ascii="宋体"/>
              </w:rPr>
            </w:pPr>
          </w:p>
        </w:tc>
        <w:tc>
          <w:tcPr>
            <w:tcW w:w="5" w:type="pct"/>
            <w:shd w:val="clear" w:color="auto" w:fill="auto"/>
            <w:vAlign w:val="bottom"/>
          </w:tcPr>
          <w:p w14:paraId="392C7A5C" w14:textId="77777777" w:rsidR="00980E5F" w:rsidRDefault="00980E5F">
            <w:pPr>
              <w:rPr>
                <w:rFonts w:ascii="宋体"/>
              </w:rPr>
            </w:pPr>
          </w:p>
        </w:tc>
        <w:tc>
          <w:tcPr>
            <w:tcW w:w="50" w:type="pct"/>
            <w:shd w:val="clear" w:color="auto" w:fill="auto"/>
            <w:vAlign w:val="bottom"/>
          </w:tcPr>
          <w:p w14:paraId="392C7A5D" w14:textId="77777777" w:rsidR="00980E5F" w:rsidRDefault="00980E5F">
            <w:pPr>
              <w:rPr>
                <w:rFonts w:ascii="宋体"/>
              </w:rPr>
            </w:pPr>
          </w:p>
        </w:tc>
        <w:tc>
          <w:tcPr>
            <w:tcW w:w="449" w:type="pct"/>
            <w:shd w:val="clear" w:color="auto" w:fill="auto"/>
            <w:vAlign w:val="bottom"/>
          </w:tcPr>
          <w:p w14:paraId="392C7A5E" w14:textId="77777777" w:rsidR="00980E5F" w:rsidRDefault="00980E5F">
            <w:pPr>
              <w:rPr>
                <w:rFonts w:ascii="宋体"/>
              </w:rPr>
            </w:pPr>
          </w:p>
        </w:tc>
        <w:tc>
          <w:tcPr>
            <w:tcW w:w="5" w:type="pct"/>
            <w:shd w:val="clear" w:color="auto" w:fill="auto"/>
            <w:vAlign w:val="bottom"/>
          </w:tcPr>
          <w:p w14:paraId="392C7A5F" w14:textId="77777777" w:rsidR="00980E5F" w:rsidRDefault="00980E5F">
            <w:pPr>
              <w:rPr>
                <w:rFonts w:ascii="宋体"/>
              </w:rPr>
            </w:pPr>
          </w:p>
        </w:tc>
      </w:tr>
      <w:tr w:rsidR="00980E5F" w14:paraId="392C7A69" w14:textId="77777777">
        <w:tc>
          <w:tcPr>
            <w:tcW w:w="0" w:type="auto"/>
            <w:gridSpan w:val="3"/>
            <w:shd w:val="clear" w:color="auto" w:fill="auto"/>
            <w:tcMar>
              <w:top w:w="0" w:type="dxa"/>
              <w:left w:w="20" w:type="dxa"/>
              <w:bottom w:w="0" w:type="dxa"/>
              <w:right w:w="20" w:type="dxa"/>
            </w:tcMar>
            <w:vAlign w:val="bottom"/>
          </w:tcPr>
          <w:p w14:paraId="392C7A61" w14:textId="77777777" w:rsidR="00980E5F" w:rsidRDefault="00980E5F">
            <w:pPr>
              <w:rPr>
                <w:rFonts w:ascii="宋体"/>
              </w:rPr>
            </w:pPr>
          </w:p>
        </w:tc>
        <w:tc>
          <w:tcPr>
            <w:tcW w:w="0" w:type="auto"/>
            <w:gridSpan w:val="35"/>
            <w:shd w:val="clear" w:color="auto" w:fill="auto"/>
            <w:tcMar>
              <w:top w:w="40" w:type="dxa"/>
              <w:left w:w="20" w:type="dxa"/>
              <w:bottom w:w="40" w:type="dxa"/>
              <w:right w:w="20" w:type="dxa"/>
            </w:tcMar>
            <w:vAlign w:val="bottom"/>
          </w:tcPr>
          <w:p w14:paraId="392C7A62" w14:textId="77777777" w:rsidR="00980E5F" w:rsidRDefault="00483613">
            <w:pPr>
              <w:jc w:val="center"/>
              <w:textAlignment w:val="bottom"/>
            </w:pPr>
            <w:r>
              <w:rPr>
                <w:rFonts w:ascii="Arial" w:eastAsia="宋体" w:hAnsi="Arial" w:cs="Arial"/>
                <w:b/>
                <w:bCs/>
                <w:color w:val="000000"/>
                <w:sz w:val="14"/>
                <w:szCs w:val="14"/>
              </w:rPr>
              <w:t xml:space="preserve">Six Months Ended June 30, </w:t>
            </w:r>
            <w:r>
              <w:rPr>
                <w:rFonts w:ascii="Arial" w:eastAsia="宋体" w:hAnsi="Arial" w:cs="Arial"/>
                <w:b/>
                <w:bCs/>
                <w:color w:val="000000"/>
                <w:sz w:val="14"/>
                <w:szCs w:val="14"/>
              </w:rPr>
              <w:t>2022</w:t>
            </w:r>
          </w:p>
        </w:tc>
        <w:tc>
          <w:tcPr>
            <w:tcW w:w="0" w:type="auto"/>
            <w:shd w:val="clear" w:color="auto" w:fill="auto"/>
            <w:vAlign w:val="bottom"/>
          </w:tcPr>
          <w:p w14:paraId="392C7A63" w14:textId="77777777" w:rsidR="00980E5F" w:rsidRDefault="00980E5F">
            <w:pPr>
              <w:rPr>
                <w:rFonts w:ascii="宋体"/>
              </w:rPr>
            </w:pPr>
          </w:p>
        </w:tc>
        <w:tc>
          <w:tcPr>
            <w:tcW w:w="0" w:type="auto"/>
            <w:shd w:val="clear" w:color="auto" w:fill="auto"/>
            <w:vAlign w:val="bottom"/>
          </w:tcPr>
          <w:p w14:paraId="392C7A64" w14:textId="77777777" w:rsidR="00980E5F" w:rsidRDefault="00980E5F">
            <w:pPr>
              <w:rPr>
                <w:rFonts w:ascii="宋体"/>
              </w:rPr>
            </w:pPr>
          </w:p>
        </w:tc>
        <w:tc>
          <w:tcPr>
            <w:tcW w:w="0" w:type="auto"/>
            <w:shd w:val="clear" w:color="auto" w:fill="auto"/>
            <w:vAlign w:val="bottom"/>
          </w:tcPr>
          <w:p w14:paraId="392C7A65" w14:textId="77777777" w:rsidR="00980E5F" w:rsidRDefault="00980E5F">
            <w:pPr>
              <w:rPr>
                <w:rFonts w:ascii="宋体"/>
              </w:rPr>
            </w:pPr>
          </w:p>
        </w:tc>
        <w:tc>
          <w:tcPr>
            <w:tcW w:w="0" w:type="auto"/>
            <w:shd w:val="clear" w:color="auto" w:fill="auto"/>
            <w:vAlign w:val="bottom"/>
          </w:tcPr>
          <w:p w14:paraId="392C7A66" w14:textId="77777777" w:rsidR="00980E5F" w:rsidRDefault="00980E5F">
            <w:pPr>
              <w:rPr>
                <w:rFonts w:ascii="宋体"/>
              </w:rPr>
            </w:pPr>
          </w:p>
        </w:tc>
        <w:tc>
          <w:tcPr>
            <w:tcW w:w="0" w:type="auto"/>
            <w:shd w:val="clear" w:color="auto" w:fill="auto"/>
            <w:vAlign w:val="bottom"/>
          </w:tcPr>
          <w:p w14:paraId="392C7A67" w14:textId="77777777" w:rsidR="00980E5F" w:rsidRDefault="00980E5F">
            <w:pPr>
              <w:rPr>
                <w:rFonts w:ascii="宋体"/>
              </w:rPr>
            </w:pPr>
          </w:p>
        </w:tc>
        <w:tc>
          <w:tcPr>
            <w:tcW w:w="0" w:type="auto"/>
            <w:shd w:val="clear" w:color="auto" w:fill="auto"/>
            <w:vAlign w:val="bottom"/>
          </w:tcPr>
          <w:p w14:paraId="392C7A68" w14:textId="77777777" w:rsidR="00980E5F" w:rsidRDefault="00980E5F">
            <w:pPr>
              <w:rPr>
                <w:rFonts w:ascii="宋体"/>
              </w:rPr>
            </w:pPr>
          </w:p>
        </w:tc>
      </w:tr>
      <w:tr w:rsidR="00980E5F" w14:paraId="392C7A77" w14:textId="77777777">
        <w:tc>
          <w:tcPr>
            <w:tcW w:w="0" w:type="auto"/>
            <w:gridSpan w:val="3"/>
            <w:shd w:val="clear" w:color="auto" w:fill="auto"/>
            <w:tcMar>
              <w:top w:w="0" w:type="dxa"/>
              <w:left w:w="20" w:type="dxa"/>
              <w:bottom w:w="0" w:type="dxa"/>
              <w:right w:w="20" w:type="dxa"/>
            </w:tcMar>
            <w:vAlign w:val="bottom"/>
          </w:tcPr>
          <w:p w14:paraId="392C7A6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7A6B"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6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6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6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6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70" w14:textId="77777777" w:rsidR="00980E5F" w:rsidRDefault="00980E5F">
            <w:pPr>
              <w:rPr>
                <w:rFonts w:ascii="宋体"/>
              </w:rPr>
            </w:pPr>
          </w:p>
        </w:tc>
        <w:tc>
          <w:tcPr>
            <w:tcW w:w="0" w:type="auto"/>
            <w:shd w:val="clear" w:color="auto" w:fill="auto"/>
            <w:vAlign w:val="bottom"/>
          </w:tcPr>
          <w:p w14:paraId="392C7A71" w14:textId="77777777" w:rsidR="00980E5F" w:rsidRDefault="00980E5F">
            <w:pPr>
              <w:rPr>
                <w:rFonts w:ascii="宋体"/>
                <w:vanish/>
              </w:rPr>
            </w:pPr>
          </w:p>
        </w:tc>
        <w:tc>
          <w:tcPr>
            <w:tcW w:w="0" w:type="auto"/>
            <w:shd w:val="clear" w:color="auto" w:fill="auto"/>
            <w:vAlign w:val="bottom"/>
          </w:tcPr>
          <w:p w14:paraId="392C7A72"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7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74" w14:textId="77777777" w:rsidR="00980E5F" w:rsidRDefault="00980E5F">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392C7A7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76" w14:textId="77777777" w:rsidR="00980E5F" w:rsidRDefault="00980E5F">
            <w:pPr>
              <w:rPr>
                <w:rFonts w:ascii="宋体"/>
              </w:rPr>
            </w:pPr>
          </w:p>
        </w:tc>
      </w:tr>
      <w:tr w:rsidR="00980E5F" w14:paraId="392C7A88" w14:textId="77777777">
        <w:tc>
          <w:tcPr>
            <w:tcW w:w="0" w:type="auto"/>
            <w:gridSpan w:val="3"/>
            <w:shd w:val="clear" w:color="auto" w:fill="auto"/>
            <w:tcMar>
              <w:top w:w="40" w:type="dxa"/>
              <w:left w:w="20" w:type="dxa"/>
              <w:bottom w:w="40" w:type="dxa"/>
              <w:right w:w="20" w:type="dxa"/>
            </w:tcMar>
            <w:vAlign w:val="bottom"/>
          </w:tcPr>
          <w:p w14:paraId="392C7A78"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A79" w14:textId="77777777" w:rsidR="00980E5F" w:rsidRDefault="00483613">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7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A7B" w14:textId="77777777" w:rsidR="00980E5F" w:rsidRDefault="00483613">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7A7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A7D"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392C7A7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A7F" w14:textId="77777777" w:rsidR="00980E5F" w:rsidRDefault="00483613">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392C7A80" w14:textId="77777777" w:rsidR="00980E5F" w:rsidRDefault="00980E5F">
            <w:pPr>
              <w:rPr>
                <w:rFonts w:ascii="宋体"/>
              </w:rPr>
            </w:pPr>
          </w:p>
        </w:tc>
        <w:tc>
          <w:tcPr>
            <w:tcW w:w="0" w:type="auto"/>
            <w:shd w:val="clear" w:color="auto" w:fill="auto"/>
            <w:vAlign w:val="bottom"/>
          </w:tcPr>
          <w:p w14:paraId="392C7A81" w14:textId="77777777" w:rsidR="00980E5F" w:rsidRDefault="00980E5F">
            <w:pPr>
              <w:rPr>
                <w:rFonts w:ascii="宋体"/>
                <w:vanish/>
              </w:rPr>
            </w:pPr>
          </w:p>
        </w:tc>
        <w:tc>
          <w:tcPr>
            <w:tcW w:w="0" w:type="auto"/>
            <w:shd w:val="clear" w:color="auto" w:fill="auto"/>
            <w:vAlign w:val="bottom"/>
          </w:tcPr>
          <w:p w14:paraId="392C7A82" w14:textId="77777777" w:rsidR="00980E5F" w:rsidRDefault="00980E5F">
            <w:pPr>
              <w:rPr>
                <w:rFonts w:ascii="宋体"/>
                <w:vanish/>
              </w:rPr>
            </w:pPr>
          </w:p>
        </w:tc>
        <w:tc>
          <w:tcPr>
            <w:tcW w:w="0" w:type="auto"/>
            <w:gridSpan w:val="3"/>
            <w:shd w:val="clear" w:color="auto" w:fill="auto"/>
            <w:tcMar>
              <w:top w:w="40" w:type="dxa"/>
              <w:left w:w="20" w:type="dxa"/>
              <w:bottom w:w="40" w:type="dxa"/>
              <w:right w:w="20" w:type="dxa"/>
            </w:tcMar>
            <w:vAlign w:val="bottom"/>
          </w:tcPr>
          <w:p w14:paraId="392C7A83" w14:textId="77777777" w:rsidR="00980E5F" w:rsidRDefault="00483613">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392C7A8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A85" w14:textId="77777777" w:rsidR="00980E5F" w:rsidRDefault="00483613">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392C7A8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A87"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7A99" w14:textId="77777777">
        <w:tc>
          <w:tcPr>
            <w:tcW w:w="0" w:type="auto"/>
            <w:gridSpan w:val="3"/>
            <w:shd w:val="clear" w:color="auto" w:fill="auto"/>
            <w:tcMar>
              <w:top w:w="40" w:type="dxa"/>
              <w:left w:w="20" w:type="dxa"/>
              <w:bottom w:w="40" w:type="dxa"/>
              <w:right w:w="20" w:type="dxa"/>
            </w:tcMar>
            <w:vAlign w:val="bottom"/>
          </w:tcPr>
          <w:p w14:paraId="392C7A89" w14:textId="77777777" w:rsidR="00980E5F" w:rsidRDefault="00483613">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8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8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8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8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8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8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9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91" w14:textId="77777777" w:rsidR="00980E5F" w:rsidRDefault="00980E5F">
            <w:pPr>
              <w:rPr>
                <w:rFonts w:ascii="宋体"/>
              </w:rPr>
            </w:pPr>
          </w:p>
        </w:tc>
        <w:tc>
          <w:tcPr>
            <w:tcW w:w="0" w:type="auto"/>
            <w:shd w:val="clear" w:color="auto" w:fill="auto"/>
            <w:vAlign w:val="bottom"/>
          </w:tcPr>
          <w:p w14:paraId="392C7A92" w14:textId="77777777" w:rsidR="00980E5F" w:rsidRDefault="00980E5F">
            <w:pPr>
              <w:rPr>
                <w:rFonts w:ascii="宋体"/>
                <w:vanish/>
              </w:rPr>
            </w:pPr>
          </w:p>
        </w:tc>
        <w:tc>
          <w:tcPr>
            <w:tcW w:w="0" w:type="auto"/>
            <w:shd w:val="clear" w:color="auto" w:fill="auto"/>
            <w:vAlign w:val="bottom"/>
          </w:tcPr>
          <w:p w14:paraId="392C7A93" w14:textId="77777777" w:rsidR="00980E5F" w:rsidRDefault="00980E5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9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9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9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A9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A98" w14:textId="77777777" w:rsidR="00980E5F" w:rsidRDefault="00980E5F">
            <w:pPr>
              <w:rPr>
                <w:rFonts w:ascii="宋体"/>
              </w:rPr>
            </w:pPr>
          </w:p>
        </w:tc>
      </w:tr>
      <w:tr w:rsidR="00980E5F" w14:paraId="392C7AB8" w14:textId="77777777">
        <w:tc>
          <w:tcPr>
            <w:tcW w:w="0" w:type="auto"/>
            <w:gridSpan w:val="3"/>
            <w:shd w:val="clear" w:color="auto" w:fill="CCEEFF"/>
            <w:tcMar>
              <w:top w:w="40" w:type="dxa"/>
              <w:left w:w="20" w:type="dxa"/>
              <w:bottom w:w="40" w:type="dxa"/>
              <w:right w:w="20" w:type="dxa"/>
            </w:tcMar>
            <w:vAlign w:val="bottom"/>
          </w:tcPr>
          <w:p w14:paraId="392C7A9A" w14:textId="77777777" w:rsidR="00980E5F" w:rsidRDefault="00483613">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92C7A9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9C" w14:textId="77777777" w:rsidR="00980E5F" w:rsidRDefault="00483613">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9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A9F"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A0"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A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AA3"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A4"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A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AA7"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A8"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AA" w14:textId="77777777" w:rsidR="00980E5F" w:rsidRDefault="00980E5F">
            <w:pPr>
              <w:rPr>
                <w:rFonts w:ascii="宋体"/>
              </w:rPr>
            </w:pPr>
          </w:p>
        </w:tc>
        <w:tc>
          <w:tcPr>
            <w:tcW w:w="0" w:type="auto"/>
            <w:shd w:val="clear" w:color="auto" w:fill="auto"/>
            <w:vAlign w:val="bottom"/>
          </w:tcPr>
          <w:p w14:paraId="392C7AAB" w14:textId="77777777" w:rsidR="00980E5F" w:rsidRDefault="00980E5F">
            <w:pPr>
              <w:rPr>
                <w:rFonts w:ascii="宋体"/>
                <w:vanish/>
              </w:rPr>
            </w:pPr>
          </w:p>
        </w:tc>
        <w:tc>
          <w:tcPr>
            <w:tcW w:w="0" w:type="auto"/>
            <w:shd w:val="clear" w:color="auto" w:fill="auto"/>
            <w:vAlign w:val="bottom"/>
          </w:tcPr>
          <w:p w14:paraId="392C7AAC" w14:textId="77777777" w:rsidR="00980E5F" w:rsidRDefault="00980E5F">
            <w:pPr>
              <w:rPr>
                <w:rFonts w:ascii="宋体"/>
                <w:vanish/>
              </w:rPr>
            </w:pPr>
          </w:p>
        </w:tc>
        <w:tc>
          <w:tcPr>
            <w:tcW w:w="0" w:type="auto"/>
            <w:shd w:val="clear" w:color="auto" w:fill="CCEEFF"/>
            <w:tcMar>
              <w:top w:w="40" w:type="dxa"/>
              <w:left w:w="20" w:type="dxa"/>
              <w:bottom w:w="40" w:type="dxa"/>
              <w:right w:w="0" w:type="dxa"/>
            </w:tcMar>
            <w:vAlign w:val="bottom"/>
          </w:tcPr>
          <w:p w14:paraId="392C7AAD"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AE" w14:textId="77777777" w:rsidR="00980E5F" w:rsidRDefault="00483613">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B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AB1"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B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B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AB5"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7AB6" w14:textId="77777777" w:rsidR="00980E5F" w:rsidRDefault="00483613">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B7" w14:textId="77777777" w:rsidR="00980E5F" w:rsidRDefault="00980E5F">
            <w:pPr>
              <w:jc w:val="right"/>
              <w:rPr>
                <w:rFonts w:ascii="宋体"/>
              </w:rPr>
            </w:pPr>
          </w:p>
        </w:tc>
      </w:tr>
      <w:tr w:rsidR="00980E5F" w14:paraId="392C7AD0" w14:textId="77777777">
        <w:tc>
          <w:tcPr>
            <w:tcW w:w="0" w:type="auto"/>
            <w:gridSpan w:val="3"/>
            <w:shd w:val="clear" w:color="auto" w:fill="FFFFFF"/>
            <w:tcMar>
              <w:top w:w="40" w:type="dxa"/>
              <w:left w:w="20" w:type="dxa"/>
              <w:bottom w:w="40" w:type="dxa"/>
              <w:right w:w="20" w:type="dxa"/>
            </w:tcMar>
            <w:vAlign w:val="bottom"/>
          </w:tcPr>
          <w:p w14:paraId="392C7AB9" w14:textId="77777777" w:rsidR="00980E5F" w:rsidRDefault="00483613">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392C7ABA"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7A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AB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A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AC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A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C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AC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A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C5" w14:textId="77777777" w:rsidR="00980E5F" w:rsidRDefault="00980E5F">
            <w:pPr>
              <w:rPr>
                <w:rFonts w:ascii="宋体"/>
              </w:rPr>
            </w:pPr>
          </w:p>
        </w:tc>
        <w:tc>
          <w:tcPr>
            <w:tcW w:w="0" w:type="auto"/>
            <w:shd w:val="clear" w:color="auto" w:fill="auto"/>
            <w:vAlign w:val="bottom"/>
          </w:tcPr>
          <w:p w14:paraId="392C7AC6" w14:textId="77777777" w:rsidR="00980E5F" w:rsidRDefault="00980E5F">
            <w:pPr>
              <w:rPr>
                <w:rFonts w:ascii="宋体"/>
                <w:vanish/>
              </w:rPr>
            </w:pPr>
          </w:p>
        </w:tc>
        <w:tc>
          <w:tcPr>
            <w:tcW w:w="0" w:type="auto"/>
            <w:shd w:val="clear" w:color="auto" w:fill="auto"/>
            <w:vAlign w:val="bottom"/>
          </w:tcPr>
          <w:p w14:paraId="392C7AC7"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7AC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A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AC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A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A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ACE"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7ACF" w14:textId="77777777" w:rsidR="00980E5F" w:rsidRDefault="00980E5F">
            <w:pPr>
              <w:jc w:val="right"/>
              <w:rPr>
                <w:rFonts w:ascii="宋体"/>
              </w:rPr>
            </w:pPr>
          </w:p>
        </w:tc>
      </w:tr>
      <w:tr w:rsidR="00980E5F" w14:paraId="392C7AE8" w14:textId="77777777">
        <w:tc>
          <w:tcPr>
            <w:tcW w:w="0" w:type="auto"/>
            <w:gridSpan w:val="3"/>
            <w:shd w:val="clear" w:color="auto" w:fill="CCEEFF"/>
            <w:tcMar>
              <w:top w:w="40" w:type="dxa"/>
              <w:left w:w="20" w:type="dxa"/>
              <w:bottom w:w="40" w:type="dxa"/>
              <w:right w:w="20" w:type="dxa"/>
            </w:tcMar>
            <w:vAlign w:val="bottom"/>
          </w:tcPr>
          <w:p w14:paraId="392C7AD1" w14:textId="77777777" w:rsidR="00980E5F" w:rsidRDefault="00483613">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392C7AD2"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AD5"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7A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AD8"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AD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DD" w14:textId="77777777" w:rsidR="00980E5F" w:rsidRDefault="00980E5F">
            <w:pPr>
              <w:rPr>
                <w:rFonts w:ascii="宋体"/>
              </w:rPr>
            </w:pPr>
          </w:p>
        </w:tc>
        <w:tc>
          <w:tcPr>
            <w:tcW w:w="0" w:type="auto"/>
            <w:shd w:val="clear" w:color="auto" w:fill="auto"/>
            <w:vAlign w:val="bottom"/>
          </w:tcPr>
          <w:p w14:paraId="392C7ADE" w14:textId="77777777" w:rsidR="00980E5F" w:rsidRDefault="00980E5F">
            <w:pPr>
              <w:rPr>
                <w:rFonts w:ascii="宋体"/>
                <w:vanish/>
              </w:rPr>
            </w:pPr>
          </w:p>
        </w:tc>
        <w:tc>
          <w:tcPr>
            <w:tcW w:w="0" w:type="auto"/>
            <w:shd w:val="clear" w:color="auto" w:fill="auto"/>
            <w:vAlign w:val="bottom"/>
          </w:tcPr>
          <w:p w14:paraId="392C7AD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7AE0"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7A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AE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AE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AE6"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AE7" w14:textId="77777777" w:rsidR="00980E5F" w:rsidRDefault="00980E5F">
            <w:pPr>
              <w:jc w:val="right"/>
              <w:rPr>
                <w:rFonts w:ascii="宋体"/>
              </w:rPr>
            </w:pPr>
          </w:p>
        </w:tc>
      </w:tr>
      <w:tr w:rsidR="00980E5F" w14:paraId="392C7AF9" w14:textId="77777777">
        <w:trPr>
          <w:hidden/>
        </w:trPr>
        <w:tc>
          <w:tcPr>
            <w:tcW w:w="0" w:type="auto"/>
            <w:gridSpan w:val="3"/>
            <w:shd w:val="clear" w:color="auto" w:fill="auto"/>
            <w:vAlign w:val="bottom"/>
          </w:tcPr>
          <w:p w14:paraId="392C7AE9" w14:textId="77777777" w:rsidR="00980E5F" w:rsidRDefault="00980E5F">
            <w:pPr>
              <w:rPr>
                <w:rFonts w:ascii="宋体"/>
                <w:vanish/>
              </w:rPr>
            </w:pPr>
          </w:p>
        </w:tc>
        <w:tc>
          <w:tcPr>
            <w:tcW w:w="0" w:type="auto"/>
            <w:gridSpan w:val="3"/>
            <w:shd w:val="clear" w:color="auto" w:fill="auto"/>
            <w:vAlign w:val="bottom"/>
          </w:tcPr>
          <w:p w14:paraId="392C7AEA" w14:textId="77777777" w:rsidR="00980E5F" w:rsidRDefault="00980E5F">
            <w:pPr>
              <w:rPr>
                <w:rFonts w:ascii="宋体"/>
                <w:vanish/>
              </w:rPr>
            </w:pPr>
          </w:p>
        </w:tc>
        <w:tc>
          <w:tcPr>
            <w:tcW w:w="0" w:type="auto"/>
            <w:gridSpan w:val="3"/>
            <w:shd w:val="clear" w:color="auto" w:fill="auto"/>
            <w:vAlign w:val="bottom"/>
          </w:tcPr>
          <w:p w14:paraId="392C7AEB" w14:textId="77777777" w:rsidR="00980E5F" w:rsidRDefault="00980E5F">
            <w:pPr>
              <w:rPr>
                <w:rFonts w:ascii="宋体"/>
                <w:vanish/>
              </w:rPr>
            </w:pPr>
          </w:p>
        </w:tc>
        <w:tc>
          <w:tcPr>
            <w:tcW w:w="0" w:type="auto"/>
            <w:gridSpan w:val="3"/>
            <w:shd w:val="clear" w:color="auto" w:fill="auto"/>
            <w:vAlign w:val="bottom"/>
          </w:tcPr>
          <w:p w14:paraId="392C7AEC" w14:textId="77777777" w:rsidR="00980E5F" w:rsidRDefault="00980E5F">
            <w:pPr>
              <w:rPr>
                <w:rFonts w:ascii="宋体"/>
                <w:vanish/>
              </w:rPr>
            </w:pPr>
          </w:p>
        </w:tc>
        <w:tc>
          <w:tcPr>
            <w:tcW w:w="0" w:type="auto"/>
            <w:gridSpan w:val="3"/>
            <w:shd w:val="clear" w:color="auto" w:fill="auto"/>
            <w:vAlign w:val="bottom"/>
          </w:tcPr>
          <w:p w14:paraId="392C7AED" w14:textId="77777777" w:rsidR="00980E5F" w:rsidRDefault="00980E5F">
            <w:pPr>
              <w:rPr>
                <w:rFonts w:ascii="宋体"/>
                <w:vanish/>
              </w:rPr>
            </w:pPr>
          </w:p>
        </w:tc>
        <w:tc>
          <w:tcPr>
            <w:tcW w:w="0" w:type="auto"/>
            <w:gridSpan w:val="3"/>
            <w:shd w:val="clear" w:color="auto" w:fill="auto"/>
            <w:vAlign w:val="bottom"/>
          </w:tcPr>
          <w:p w14:paraId="392C7AEE" w14:textId="77777777" w:rsidR="00980E5F" w:rsidRDefault="00980E5F">
            <w:pPr>
              <w:rPr>
                <w:rFonts w:ascii="宋体"/>
                <w:vanish/>
              </w:rPr>
            </w:pPr>
          </w:p>
        </w:tc>
        <w:tc>
          <w:tcPr>
            <w:tcW w:w="0" w:type="auto"/>
            <w:gridSpan w:val="3"/>
            <w:shd w:val="clear" w:color="auto" w:fill="auto"/>
            <w:vAlign w:val="bottom"/>
          </w:tcPr>
          <w:p w14:paraId="392C7AEF" w14:textId="77777777" w:rsidR="00980E5F" w:rsidRDefault="00980E5F">
            <w:pPr>
              <w:rPr>
                <w:rFonts w:ascii="宋体"/>
                <w:vanish/>
              </w:rPr>
            </w:pPr>
          </w:p>
        </w:tc>
        <w:tc>
          <w:tcPr>
            <w:tcW w:w="0" w:type="auto"/>
            <w:gridSpan w:val="3"/>
            <w:shd w:val="clear" w:color="auto" w:fill="auto"/>
            <w:vAlign w:val="bottom"/>
          </w:tcPr>
          <w:p w14:paraId="392C7AF0" w14:textId="77777777" w:rsidR="00980E5F" w:rsidRDefault="00980E5F">
            <w:pPr>
              <w:rPr>
                <w:rFonts w:ascii="宋体"/>
                <w:vanish/>
              </w:rPr>
            </w:pPr>
          </w:p>
        </w:tc>
        <w:tc>
          <w:tcPr>
            <w:tcW w:w="0" w:type="auto"/>
            <w:gridSpan w:val="3"/>
            <w:shd w:val="clear" w:color="auto" w:fill="auto"/>
            <w:vAlign w:val="bottom"/>
          </w:tcPr>
          <w:p w14:paraId="392C7AF1" w14:textId="77777777" w:rsidR="00980E5F" w:rsidRDefault="00980E5F">
            <w:pPr>
              <w:rPr>
                <w:rFonts w:ascii="宋体"/>
                <w:vanish/>
              </w:rPr>
            </w:pPr>
          </w:p>
        </w:tc>
        <w:tc>
          <w:tcPr>
            <w:tcW w:w="0" w:type="auto"/>
            <w:shd w:val="clear" w:color="auto" w:fill="auto"/>
            <w:vAlign w:val="bottom"/>
          </w:tcPr>
          <w:p w14:paraId="392C7AF2" w14:textId="77777777" w:rsidR="00980E5F" w:rsidRDefault="00980E5F">
            <w:pPr>
              <w:rPr>
                <w:rFonts w:ascii="宋体"/>
                <w:vanish/>
              </w:rPr>
            </w:pPr>
          </w:p>
        </w:tc>
        <w:tc>
          <w:tcPr>
            <w:tcW w:w="0" w:type="auto"/>
            <w:shd w:val="clear" w:color="auto" w:fill="auto"/>
            <w:vAlign w:val="bottom"/>
          </w:tcPr>
          <w:p w14:paraId="392C7AF3" w14:textId="77777777" w:rsidR="00980E5F" w:rsidRDefault="00980E5F">
            <w:pPr>
              <w:rPr>
                <w:rFonts w:ascii="宋体"/>
                <w:vanish/>
              </w:rPr>
            </w:pPr>
          </w:p>
        </w:tc>
        <w:tc>
          <w:tcPr>
            <w:tcW w:w="0" w:type="auto"/>
            <w:gridSpan w:val="3"/>
            <w:shd w:val="clear" w:color="auto" w:fill="auto"/>
            <w:vAlign w:val="bottom"/>
          </w:tcPr>
          <w:p w14:paraId="392C7AF4" w14:textId="77777777" w:rsidR="00980E5F" w:rsidRDefault="00980E5F">
            <w:pPr>
              <w:rPr>
                <w:rFonts w:ascii="宋体"/>
                <w:vanish/>
              </w:rPr>
            </w:pPr>
          </w:p>
        </w:tc>
        <w:tc>
          <w:tcPr>
            <w:tcW w:w="0" w:type="auto"/>
            <w:gridSpan w:val="3"/>
            <w:shd w:val="clear" w:color="auto" w:fill="auto"/>
            <w:vAlign w:val="bottom"/>
          </w:tcPr>
          <w:p w14:paraId="392C7AF5" w14:textId="77777777" w:rsidR="00980E5F" w:rsidRDefault="00980E5F">
            <w:pPr>
              <w:rPr>
                <w:rFonts w:ascii="宋体"/>
                <w:vanish/>
              </w:rPr>
            </w:pPr>
          </w:p>
        </w:tc>
        <w:tc>
          <w:tcPr>
            <w:tcW w:w="0" w:type="auto"/>
            <w:gridSpan w:val="3"/>
            <w:shd w:val="clear" w:color="auto" w:fill="auto"/>
            <w:vAlign w:val="bottom"/>
          </w:tcPr>
          <w:p w14:paraId="392C7AF6" w14:textId="77777777" w:rsidR="00980E5F" w:rsidRDefault="00980E5F">
            <w:pPr>
              <w:rPr>
                <w:rFonts w:ascii="宋体"/>
                <w:vanish/>
              </w:rPr>
            </w:pPr>
          </w:p>
        </w:tc>
        <w:tc>
          <w:tcPr>
            <w:tcW w:w="0" w:type="auto"/>
            <w:gridSpan w:val="3"/>
            <w:shd w:val="clear" w:color="auto" w:fill="auto"/>
            <w:vAlign w:val="bottom"/>
          </w:tcPr>
          <w:p w14:paraId="392C7AF7" w14:textId="77777777" w:rsidR="00980E5F" w:rsidRDefault="00980E5F">
            <w:pPr>
              <w:rPr>
                <w:rFonts w:ascii="宋体"/>
                <w:vanish/>
              </w:rPr>
            </w:pPr>
          </w:p>
        </w:tc>
        <w:tc>
          <w:tcPr>
            <w:tcW w:w="0" w:type="auto"/>
            <w:gridSpan w:val="3"/>
            <w:shd w:val="clear" w:color="auto" w:fill="auto"/>
            <w:vAlign w:val="bottom"/>
          </w:tcPr>
          <w:p w14:paraId="392C7AF8" w14:textId="77777777" w:rsidR="00980E5F" w:rsidRDefault="00980E5F">
            <w:pPr>
              <w:rPr>
                <w:rFonts w:ascii="宋体"/>
                <w:vanish/>
              </w:rPr>
            </w:pPr>
          </w:p>
        </w:tc>
      </w:tr>
      <w:tr w:rsidR="00980E5F" w14:paraId="392C7B0A" w14:textId="77777777">
        <w:trPr>
          <w:hidden/>
        </w:trPr>
        <w:tc>
          <w:tcPr>
            <w:tcW w:w="0" w:type="auto"/>
            <w:gridSpan w:val="3"/>
            <w:shd w:val="clear" w:color="auto" w:fill="auto"/>
            <w:vAlign w:val="bottom"/>
          </w:tcPr>
          <w:p w14:paraId="392C7AFA" w14:textId="77777777" w:rsidR="00980E5F" w:rsidRDefault="00980E5F">
            <w:pPr>
              <w:rPr>
                <w:rFonts w:ascii="宋体"/>
                <w:vanish/>
              </w:rPr>
            </w:pPr>
          </w:p>
        </w:tc>
        <w:tc>
          <w:tcPr>
            <w:tcW w:w="0" w:type="auto"/>
            <w:gridSpan w:val="3"/>
            <w:shd w:val="clear" w:color="auto" w:fill="auto"/>
            <w:vAlign w:val="bottom"/>
          </w:tcPr>
          <w:p w14:paraId="392C7AFB" w14:textId="77777777" w:rsidR="00980E5F" w:rsidRDefault="00980E5F">
            <w:pPr>
              <w:rPr>
                <w:rFonts w:ascii="宋体"/>
                <w:vanish/>
              </w:rPr>
            </w:pPr>
          </w:p>
        </w:tc>
        <w:tc>
          <w:tcPr>
            <w:tcW w:w="0" w:type="auto"/>
            <w:gridSpan w:val="3"/>
            <w:shd w:val="clear" w:color="auto" w:fill="auto"/>
            <w:vAlign w:val="bottom"/>
          </w:tcPr>
          <w:p w14:paraId="392C7AFC" w14:textId="77777777" w:rsidR="00980E5F" w:rsidRDefault="00980E5F">
            <w:pPr>
              <w:rPr>
                <w:rFonts w:ascii="宋体"/>
                <w:vanish/>
              </w:rPr>
            </w:pPr>
          </w:p>
        </w:tc>
        <w:tc>
          <w:tcPr>
            <w:tcW w:w="0" w:type="auto"/>
            <w:gridSpan w:val="3"/>
            <w:shd w:val="clear" w:color="auto" w:fill="auto"/>
            <w:vAlign w:val="bottom"/>
          </w:tcPr>
          <w:p w14:paraId="392C7AFD" w14:textId="77777777" w:rsidR="00980E5F" w:rsidRDefault="00980E5F">
            <w:pPr>
              <w:rPr>
                <w:rFonts w:ascii="宋体"/>
                <w:vanish/>
              </w:rPr>
            </w:pPr>
          </w:p>
        </w:tc>
        <w:tc>
          <w:tcPr>
            <w:tcW w:w="0" w:type="auto"/>
            <w:gridSpan w:val="3"/>
            <w:shd w:val="clear" w:color="auto" w:fill="auto"/>
            <w:vAlign w:val="bottom"/>
          </w:tcPr>
          <w:p w14:paraId="392C7AFE" w14:textId="77777777" w:rsidR="00980E5F" w:rsidRDefault="00980E5F">
            <w:pPr>
              <w:rPr>
                <w:rFonts w:ascii="宋体"/>
                <w:vanish/>
              </w:rPr>
            </w:pPr>
          </w:p>
        </w:tc>
        <w:tc>
          <w:tcPr>
            <w:tcW w:w="0" w:type="auto"/>
            <w:gridSpan w:val="3"/>
            <w:shd w:val="clear" w:color="auto" w:fill="auto"/>
            <w:vAlign w:val="bottom"/>
          </w:tcPr>
          <w:p w14:paraId="392C7AFF" w14:textId="77777777" w:rsidR="00980E5F" w:rsidRDefault="00980E5F">
            <w:pPr>
              <w:rPr>
                <w:rFonts w:ascii="宋体"/>
                <w:vanish/>
              </w:rPr>
            </w:pPr>
          </w:p>
        </w:tc>
        <w:tc>
          <w:tcPr>
            <w:tcW w:w="0" w:type="auto"/>
            <w:gridSpan w:val="3"/>
            <w:shd w:val="clear" w:color="auto" w:fill="auto"/>
            <w:vAlign w:val="bottom"/>
          </w:tcPr>
          <w:p w14:paraId="392C7B00" w14:textId="77777777" w:rsidR="00980E5F" w:rsidRDefault="00980E5F">
            <w:pPr>
              <w:rPr>
                <w:rFonts w:ascii="宋体"/>
                <w:vanish/>
              </w:rPr>
            </w:pPr>
          </w:p>
        </w:tc>
        <w:tc>
          <w:tcPr>
            <w:tcW w:w="0" w:type="auto"/>
            <w:gridSpan w:val="3"/>
            <w:shd w:val="clear" w:color="auto" w:fill="auto"/>
            <w:vAlign w:val="bottom"/>
          </w:tcPr>
          <w:p w14:paraId="392C7B01" w14:textId="77777777" w:rsidR="00980E5F" w:rsidRDefault="00980E5F">
            <w:pPr>
              <w:rPr>
                <w:rFonts w:ascii="宋体"/>
                <w:vanish/>
              </w:rPr>
            </w:pPr>
          </w:p>
        </w:tc>
        <w:tc>
          <w:tcPr>
            <w:tcW w:w="0" w:type="auto"/>
            <w:gridSpan w:val="3"/>
            <w:shd w:val="clear" w:color="auto" w:fill="auto"/>
            <w:vAlign w:val="bottom"/>
          </w:tcPr>
          <w:p w14:paraId="392C7B02" w14:textId="77777777" w:rsidR="00980E5F" w:rsidRDefault="00980E5F">
            <w:pPr>
              <w:rPr>
                <w:rFonts w:ascii="宋体"/>
                <w:vanish/>
              </w:rPr>
            </w:pPr>
          </w:p>
        </w:tc>
        <w:tc>
          <w:tcPr>
            <w:tcW w:w="0" w:type="auto"/>
            <w:shd w:val="clear" w:color="auto" w:fill="auto"/>
            <w:vAlign w:val="bottom"/>
          </w:tcPr>
          <w:p w14:paraId="392C7B03" w14:textId="77777777" w:rsidR="00980E5F" w:rsidRDefault="00980E5F">
            <w:pPr>
              <w:rPr>
                <w:rFonts w:ascii="宋体"/>
                <w:vanish/>
              </w:rPr>
            </w:pPr>
          </w:p>
        </w:tc>
        <w:tc>
          <w:tcPr>
            <w:tcW w:w="0" w:type="auto"/>
            <w:shd w:val="clear" w:color="auto" w:fill="auto"/>
            <w:vAlign w:val="bottom"/>
          </w:tcPr>
          <w:p w14:paraId="392C7B04" w14:textId="77777777" w:rsidR="00980E5F" w:rsidRDefault="00980E5F">
            <w:pPr>
              <w:rPr>
                <w:rFonts w:ascii="宋体"/>
                <w:vanish/>
              </w:rPr>
            </w:pPr>
          </w:p>
        </w:tc>
        <w:tc>
          <w:tcPr>
            <w:tcW w:w="0" w:type="auto"/>
            <w:gridSpan w:val="3"/>
            <w:shd w:val="clear" w:color="auto" w:fill="auto"/>
            <w:vAlign w:val="bottom"/>
          </w:tcPr>
          <w:p w14:paraId="392C7B05" w14:textId="77777777" w:rsidR="00980E5F" w:rsidRDefault="00980E5F">
            <w:pPr>
              <w:rPr>
                <w:rFonts w:ascii="宋体"/>
                <w:vanish/>
              </w:rPr>
            </w:pPr>
          </w:p>
        </w:tc>
        <w:tc>
          <w:tcPr>
            <w:tcW w:w="0" w:type="auto"/>
            <w:gridSpan w:val="3"/>
            <w:shd w:val="clear" w:color="auto" w:fill="auto"/>
            <w:vAlign w:val="bottom"/>
          </w:tcPr>
          <w:p w14:paraId="392C7B06" w14:textId="77777777" w:rsidR="00980E5F" w:rsidRDefault="00980E5F">
            <w:pPr>
              <w:rPr>
                <w:rFonts w:ascii="宋体"/>
                <w:vanish/>
              </w:rPr>
            </w:pPr>
          </w:p>
        </w:tc>
        <w:tc>
          <w:tcPr>
            <w:tcW w:w="0" w:type="auto"/>
            <w:gridSpan w:val="3"/>
            <w:shd w:val="clear" w:color="auto" w:fill="auto"/>
            <w:vAlign w:val="bottom"/>
          </w:tcPr>
          <w:p w14:paraId="392C7B07" w14:textId="77777777" w:rsidR="00980E5F" w:rsidRDefault="00980E5F">
            <w:pPr>
              <w:rPr>
                <w:rFonts w:ascii="宋体"/>
                <w:vanish/>
              </w:rPr>
            </w:pPr>
          </w:p>
        </w:tc>
        <w:tc>
          <w:tcPr>
            <w:tcW w:w="0" w:type="auto"/>
            <w:gridSpan w:val="3"/>
            <w:shd w:val="clear" w:color="auto" w:fill="auto"/>
            <w:vAlign w:val="bottom"/>
          </w:tcPr>
          <w:p w14:paraId="392C7B08" w14:textId="77777777" w:rsidR="00980E5F" w:rsidRDefault="00980E5F">
            <w:pPr>
              <w:rPr>
                <w:rFonts w:ascii="宋体"/>
                <w:vanish/>
              </w:rPr>
            </w:pPr>
          </w:p>
        </w:tc>
        <w:tc>
          <w:tcPr>
            <w:tcW w:w="0" w:type="auto"/>
            <w:gridSpan w:val="3"/>
            <w:shd w:val="clear" w:color="auto" w:fill="auto"/>
            <w:vAlign w:val="bottom"/>
          </w:tcPr>
          <w:p w14:paraId="392C7B09" w14:textId="77777777" w:rsidR="00980E5F" w:rsidRDefault="00980E5F">
            <w:pPr>
              <w:rPr>
                <w:rFonts w:ascii="宋体"/>
                <w:vanish/>
              </w:rPr>
            </w:pPr>
          </w:p>
        </w:tc>
      </w:tr>
      <w:tr w:rsidR="00980E5F" w14:paraId="392C7B1B" w14:textId="77777777">
        <w:trPr>
          <w:hidden/>
        </w:trPr>
        <w:tc>
          <w:tcPr>
            <w:tcW w:w="0" w:type="auto"/>
            <w:gridSpan w:val="3"/>
            <w:shd w:val="clear" w:color="auto" w:fill="auto"/>
            <w:vAlign w:val="bottom"/>
          </w:tcPr>
          <w:p w14:paraId="392C7B0B" w14:textId="77777777" w:rsidR="00980E5F" w:rsidRDefault="00980E5F">
            <w:pPr>
              <w:rPr>
                <w:rFonts w:ascii="宋体"/>
                <w:vanish/>
              </w:rPr>
            </w:pPr>
          </w:p>
        </w:tc>
        <w:tc>
          <w:tcPr>
            <w:tcW w:w="0" w:type="auto"/>
            <w:gridSpan w:val="3"/>
            <w:shd w:val="clear" w:color="auto" w:fill="auto"/>
            <w:vAlign w:val="bottom"/>
          </w:tcPr>
          <w:p w14:paraId="392C7B0C" w14:textId="77777777" w:rsidR="00980E5F" w:rsidRDefault="00980E5F">
            <w:pPr>
              <w:rPr>
                <w:rFonts w:ascii="宋体"/>
                <w:vanish/>
              </w:rPr>
            </w:pPr>
          </w:p>
        </w:tc>
        <w:tc>
          <w:tcPr>
            <w:tcW w:w="0" w:type="auto"/>
            <w:gridSpan w:val="3"/>
            <w:shd w:val="clear" w:color="auto" w:fill="auto"/>
            <w:vAlign w:val="bottom"/>
          </w:tcPr>
          <w:p w14:paraId="392C7B0D" w14:textId="77777777" w:rsidR="00980E5F" w:rsidRDefault="00980E5F">
            <w:pPr>
              <w:rPr>
                <w:rFonts w:ascii="宋体"/>
                <w:vanish/>
              </w:rPr>
            </w:pPr>
          </w:p>
        </w:tc>
        <w:tc>
          <w:tcPr>
            <w:tcW w:w="0" w:type="auto"/>
            <w:gridSpan w:val="3"/>
            <w:shd w:val="clear" w:color="auto" w:fill="auto"/>
            <w:vAlign w:val="bottom"/>
          </w:tcPr>
          <w:p w14:paraId="392C7B0E" w14:textId="77777777" w:rsidR="00980E5F" w:rsidRDefault="00980E5F">
            <w:pPr>
              <w:rPr>
                <w:rFonts w:ascii="宋体"/>
                <w:vanish/>
              </w:rPr>
            </w:pPr>
          </w:p>
        </w:tc>
        <w:tc>
          <w:tcPr>
            <w:tcW w:w="0" w:type="auto"/>
            <w:gridSpan w:val="3"/>
            <w:shd w:val="clear" w:color="auto" w:fill="auto"/>
            <w:vAlign w:val="bottom"/>
          </w:tcPr>
          <w:p w14:paraId="392C7B0F" w14:textId="77777777" w:rsidR="00980E5F" w:rsidRDefault="00980E5F">
            <w:pPr>
              <w:rPr>
                <w:rFonts w:ascii="宋体"/>
                <w:vanish/>
              </w:rPr>
            </w:pPr>
          </w:p>
        </w:tc>
        <w:tc>
          <w:tcPr>
            <w:tcW w:w="0" w:type="auto"/>
            <w:gridSpan w:val="3"/>
            <w:shd w:val="clear" w:color="auto" w:fill="auto"/>
            <w:vAlign w:val="bottom"/>
          </w:tcPr>
          <w:p w14:paraId="392C7B10" w14:textId="77777777" w:rsidR="00980E5F" w:rsidRDefault="00980E5F">
            <w:pPr>
              <w:rPr>
                <w:rFonts w:ascii="宋体"/>
                <w:vanish/>
              </w:rPr>
            </w:pPr>
          </w:p>
        </w:tc>
        <w:tc>
          <w:tcPr>
            <w:tcW w:w="0" w:type="auto"/>
            <w:gridSpan w:val="3"/>
            <w:shd w:val="clear" w:color="auto" w:fill="auto"/>
            <w:vAlign w:val="bottom"/>
          </w:tcPr>
          <w:p w14:paraId="392C7B11" w14:textId="77777777" w:rsidR="00980E5F" w:rsidRDefault="00980E5F">
            <w:pPr>
              <w:rPr>
                <w:rFonts w:ascii="宋体"/>
                <w:vanish/>
              </w:rPr>
            </w:pPr>
          </w:p>
        </w:tc>
        <w:tc>
          <w:tcPr>
            <w:tcW w:w="0" w:type="auto"/>
            <w:gridSpan w:val="3"/>
            <w:shd w:val="clear" w:color="auto" w:fill="auto"/>
            <w:vAlign w:val="bottom"/>
          </w:tcPr>
          <w:p w14:paraId="392C7B12" w14:textId="77777777" w:rsidR="00980E5F" w:rsidRDefault="00980E5F">
            <w:pPr>
              <w:rPr>
                <w:rFonts w:ascii="宋体"/>
                <w:vanish/>
              </w:rPr>
            </w:pPr>
          </w:p>
        </w:tc>
        <w:tc>
          <w:tcPr>
            <w:tcW w:w="0" w:type="auto"/>
            <w:gridSpan w:val="3"/>
            <w:shd w:val="clear" w:color="auto" w:fill="auto"/>
            <w:vAlign w:val="bottom"/>
          </w:tcPr>
          <w:p w14:paraId="392C7B13" w14:textId="77777777" w:rsidR="00980E5F" w:rsidRDefault="00980E5F">
            <w:pPr>
              <w:rPr>
                <w:rFonts w:ascii="宋体"/>
                <w:vanish/>
              </w:rPr>
            </w:pPr>
          </w:p>
        </w:tc>
        <w:tc>
          <w:tcPr>
            <w:tcW w:w="0" w:type="auto"/>
            <w:shd w:val="clear" w:color="auto" w:fill="auto"/>
            <w:vAlign w:val="bottom"/>
          </w:tcPr>
          <w:p w14:paraId="392C7B14" w14:textId="77777777" w:rsidR="00980E5F" w:rsidRDefault="00980E5F">
            <w:pPr>
              <w:rPr>
                <w:rFonts w:ascii="宋体"/>
                <w:vanish/>
              </w:rPr>
            </w:pPr>
          </w:p>
        </w:tc>
        <w:tc>
          <w:tcPr>
            <w:tcW w:w="0" w:type="auto"/>
            <w:shd w:val="clear" w:color="auto" w:fill="auto"/>
            <w:vAlign w:val="bottom"/>
          </w:tcPr>
          <w:p w14:paraId="392C7B15" w14:textId="77777777" w:rsidR="00980E5F" w:rsidRDefault="00980E5F">
            <w:pPr>
              <w:rPr>
                <w:rFonts w:ascii="宋体"/>
                <w:vanish/>
              </w:rPr>
            </w:pPr>
          </w:p>
        </w:tc>
        <w:tc>
          <w:tcPr>
            <w:tcW w:w="0" w:type="auto"/>
            <w:gridSpan w:val="3"/>
            <w:shd w:val="clear" w:color="auto" w:fill="auto"/>
            <w:vAlign w:val="bottom"/>
          </w:tcPr>
          <w:p w14:paraId="392C7B16" w14:textId="77777777" w:rsidR="00980E5F" w:rsidRDefault="00980E5F">
            <w:pPr>
              <w:rPr>
                <w:rFonts w:ascii="宋体"/>
                <w:vanish/>
              </w:rPr>
            </w:pPr>
          </w:p>
        </w:tc>
        <w:tc>
          <w:tcPr>
            <w:tcW w:w="0" w:type="auto"/>
            <w:gridSpan w:val="3"/>
            <w:shd w:val="clear" w:color="auto" w:fill="auto"/>
            <w:vAlign w:val="bottom"/>
          </w:tcPr>
          <w:p w14:paraId="392C7B17" w14:textId="77777777" w:rsidR="00980E5F" w:rsidRDefault="00980E5F">
            <w:pPr>
              <w:rPr>
                <w:rFonts w:ascii="宋体"/>
                <w:vanish/>
              </w:rPr>
            </w:pPr>
          </w:p>
        </w:tc>
        <w:tc>
          <w:tcPr>
            <w:tcW w:w="0" w:type="auto"/>
            <w:gridSpan w:val="3"/>
            <w:shd w:val="clear" w:color="auto" w:fill="auto"/>
            <w:vAlign w:val="bottom"/>
          </w:tcPr>
          <w:p w14:paraId="392C7B18" w14:textId="77777777" w:rsidR="00980E5F" w:rsidRDefault="00980E5F">
            <w:pPr>
              <w:rPr>
                <w:rFonts w:ascii="宋体"/>
                <w:vanish/>
              </w:rPr>
            </w:pPr>
          </w:p>
        </w:tc>
        <w:tc>
          <w:tcPr>
            <w:tcW w:w="0" w:type="auto"/>
            <w:gridSpan w:val="3"/>
            <w:shd w:val="clear" w:color="auto" w:fill="auto"/>
            <w:vAlign w:val="bottom"/>
          </w:tcPr>
          <w:p w14:paraId="392C7B19" w14:textId="77777777" w:rsidR="00980E5F" w:rsidRDefault="00980E5F">
            <w:pPr>
              <w:rPr>
                <w:rFonts w:ascii="宋体"/>
                <w:vanish/>
              </w:rPr>
            </w:pPr>
          </w:p>
        </w:tc>
        <w:tc>
          <w:tcPr>
            <w:tcW w:w="0" w:type="auto"/>
            <w:gridSpan w:val="3"/>
            <w:shd w:val="clear" w:color="auto" w:fill="auto"/>
            <w:vAlign w:val="bottom"/>
          </w:tcPr>
          <w:p w14:paraId="392C7B1A" w14:textId="77777777" w:rsidR="00980E5F" w:rsidRDefault="00980E5F">
            <w:pPr>
              <w:rPr>
                <w:rFonts w:ascii="宋体"/>
                <w:vanish/>
              </w:rPr>
            </w:pPr>
          </w:p>
        </w:tc>
      </w:tr>
      <w:tr w:rsidR="00980E5F" w14:paraId="392C7B3A" w14:textId="77777777">
        <w:tc>
          <w:tcPr>
            <w:tcW w:w="0" w:type="auto"/>
            <w:gridSpan w:val="3"/>
            <w:shd w:val="clear" w:color="auto" w:fill="FFFFFF"/>
            <w:tcMar>
              <w:top w:w="40" w:type="dxa"/>
              <w:left w:w="20" w:type="dxa"/>
              <w:bottom w:w="40" w:type="dxa"/>
              <w:right w:w="20" w:type="dxa"/>
            </w:tcMar>
            <w:vAlign w:val="bottom"/>
          </w:tcPr>
          <w:p w14:paraId="392C7B1C" w14:textId="77777777" w:rsidR="00980E5F" w:rsidRDefault="00483613">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1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1E" w14:textId="77777777" w:rsidR="00980E5F" w:rsidRDefault="00483613">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2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2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22"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24"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2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26" w14:textId="77777777" w:rsidR="00980E5F" w:rsidRDefault="00483613">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2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2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2A"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2C" w14:textId="77777777" w:rsidR="00980E5F" w:rsidRDefault="00980E5F">
            <w:pPr>
              <w:rPr>
                <w:rFonts w:ascii="宋体"/>
              </w:rPr>
            </w:pPr>
          </w:p>
        </w:tc>
        <w:tc>
          <w:tcPr>
            <w:tcW w:w="0" w:type="auto"/>
            <w:shd w:val="clear" w:color="auto" w:fill="auto"/>
            <w:vAlign w:val="bottom"/>
          </w:tcPr>
          <w:p w14:paraId="392C7B2D" w14:textId="77777777" w:rsidR="00980E5F" w:rsidRDefault="00980E5F">
            <w:pPr>
              <w:rPr>
                <w:rFonts w:ascii="宋体"/>
                <w:vanish/>
              </w:rPr>
            </w:pPr>
          </w:p>
        </w:tc>
        <w:tc>
          <w:tcPr>
            <w:tcW w:w="0" w:type="auto"/>
            <w:shd w:val="clear" w:color="auto" w:fill="auto"/>
            <w:vAlign w:val="bottom"/>
          </w:tcPr>
          <w:p w14:paraId="392C7B2E" w14:textId="77777777" w:rsidR="00980E5F" w:rsidRDefault="00980E5F">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2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30" w14:textId="77777777" w:rsidR="00980E5F" w:rsidRDefault="00483613">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32"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3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3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B36"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B3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B38" w14:textId="77777777" w:rsidR="00980E5F" w:rsidRDefault="00483613">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B39" w14:textId="77777777" w:rsidR="00980E5F" w:rsidRDefault="00980E5F">
            <w:pPr>
              <w:jc w:val="right"/>
              <w:rPr>
                <w:rFonts w:ascii="宋体"/>
              </w:rPr>
            </w:pPr>
          </w:p>
        </w:tc>
      </w:tr>
    </w:tbl>
    <w:p w14:paraId="392C7B3B"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648"/>
        <w:gridCol w:w="36"/>
        <w:gridCol w:w="69"/>
        <w:gridCol w:w="5210"/>
        <w:gridCol w:w="36"/>
        <w:gridCol w:w="70"/>
        <w:gridCol w:w="1162"/>
        <w:gridCol w:w="36"/>
      </w:tblGrid>
      <w:tr w:rsidR="00980E5F" w14:paraId="392C7B45" w14:textId="77777777">
        <w:tc>
          <w:tcPr>
            <w:tcW w:w="50" w:type="pct"/>
            <w:shd w:val="clear" w:color="auto" w:fill="auto"/>
            <w:vAlign w:val="bottom"/>
          </w:tcPr>
          <w:p w14:paraId="392C7B3C" w14:textId="77777777" w:rsidR="00980E5F" w:rsidRDefault="00980E5F">
            <w:pPr>
              <w:rPr>
                <w:rFonts w:ascii="宋体"/>
              </w:rPr>
            </w:pPr>
          </w:p>
        </w:tc>
        <w:tc>
          <w:tcPr>
            <w:tcW w:w="997" w:type="pct"/>
            <w:shd w:val="clear" w:color="auto" w:fill="auto"/>
            <w:vAlign w:val="bottom"/>
          </w:tcPr>
          <w:p w14:paraId="392C7B3D" w14:textId="77777777" w:rsidR="00980E5F" w:rsidRDefault="00980E5F">
            <w:pPr>
              <w:rPr>
                <w:rFonts w:ascii="宋体"/>
              </w:rPr>
            </w:pPr>
          </w:p>
        </w:tc>
        <w:tc>
          <w:tcPr>
            <w:tcW w:w="5" w:type="pct"/>
            <w:shd w:val="clear" w:color="auto" w:fill="auto"/>
            <w:vAlign w:val="bottom"/>
          </w:tcPr>
          <w:p w14:paraId="392C7B3E" w14:textId="77777777" w:rsidR="00980E5F" w:rsidRDefault="00980E5F">
            <w:pPr>
              <w:rPr>
                <w:rFonts w:ascii="宋体"/>
              </w:rPr>
            </w:pPr>
          </w:p>
        </w:tc>
        <w:tc>
          <w:tcPr>
            <w:tcW w:w="50" w:type="pct"/>
            <w:shd w:val="clear" w:color="auto" w:fill="auto"/>
            <w:vAlign w:val="bottom"/>
          </w:tcPr>
          <w:p w14:paraId="392C7B3F" w14:textId="77777777" w:rsidR="00980E5F" w:rsidRDefault="00980E5F">
            <w:pPr>
              <w:rPr>
                <w:rFonts w:ascii="宋体"/>
              </w:rPr>
            </w:pPr>
          </w:p>
        </w:tc>
        <w:tc>
          <w:tcPr>
            <w:tcW w:w="3132" w:type="pct"/>
            <w:shd w:val="clear" w:color="auto" w:fill="auto"/>
            <w:vAlign w:val="bottom"/>
          </w:tcPr>
          <w:p w14:paraId="392C7B40" w14:textId="77777777" w:rsidR="00980E5F" w:rsidRDefault="00980E5F">
            <w:pPr>
              <w:rPr>
                <w:rFonts w:ascii="宋体"/>
              </w:rPr>
            </w:pPr>
          </w:p>
        </w:tc>
        <w:tc>
          <w:tcPr>
            <w:tcW w:w="5" w:type="pct"/>
            <w:shd w:val="clear" w:color="auto" w:fill="auto"/>
            <w:vAlign w:val="bottom"/>
          </w:tcPr>
          <w:p w14:paraId="392C7B41" w14:textId="77777777" w:rsidR="00980E5F" w:rsidRDefault="00980E5F">
            <w:pPr>
              <w:rPr>
                <w:rFonts w:ascii="宋体"/>
              </w:rPr>
            </w:pPr>
          </w:p>
        </w:tc>
        <w:tc>
          <w:tcPr>
            <w:tcW w:w="50" w:type="pct"/>
            <w:shd w:val="clear" w:color="auto" w:fill="auto"/>
            <w:vAlign w:val="bottom"/>
          </w:tcPr>
          <w:p w14:paraId="392C7B42" w14:textId="77777777" w:rsidR="00980E5F" w:rsidRDefault="00980E5F">
            <w:pPr>
              <w:rPr>
                <w:rFonts w:ascii="宋体"/>
              </w:rPr>
            </w:pPr>
          </w:p>
        </w:tc>
        <w:tc>
          <w:tcPr>
            <w:tcW w:w="705" w:type="pct"/>
            <w:shd w:val="clear" w:color="auto" w:fill="auto"/>
            <w:vAlign w:val="bottom"/>
          </w:tcPr>
          <w:p w14:paraId="392C7B43" w14:textId="77777777" w:rsidR="00980E5F" w:rsidRDefault="00980E5F">
            <w:pPr>
              <w:rPr>
                <w:rFonts w:ascii="宋体"/>
              </w:rPr>
            </w:pPr>
          </w:p>
        </w:tc>
        <w:tc>
          <w:tcPr>
            <w:tcW w:w="5" w:type="pct"/>
            <w:shd w:val="clear" w:color="auto" w:fill="auto"/>
            <w:vAlign w:val="bottom"/>
          </w:tcPr>
          <w:p w14:paraId="392C7B44" w14:textId="77777777" w:rsidR="00980E5F" w:rsidRDefault="00980E5F">
            <w:pPr>
              <w:rPr>
                <w:rFonts w:ascii="宋体"/>
              </w:rPr>
            </w:pPr>
          </w:p>
        </w:tc>
      </w:tr>
      <w:tr w:rsidR="00980E5F" w14:paraId="392C7B4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7B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4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48" w14:textId="77777777" w:rsidR="00980E5F" w:rsidRDefault="00980E5F">
            <w:pPr>
              <w:rPr>
                <w:rFonts w:ascii="宋体"/>
              </w:rPr>
            </w:pPr>
          </w:p>
        </w:tc>
      </w:tr>
    </w:tbl>
    <w:p w14:paraId="392C7B4A" w14:textId="77777777" w:rsidR="00980E5F" w:rsidRDefault="00483613">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$9 million allowance for credit losses on Fund Finance loans and $1 million on other loans.</w:t>
      </w:r>
    </w:p>
    <w:tbl>
      <w:tblPr>
        <w:tblW w:w="5000" w:type="pct"/>
        <w:tblCellMar>
          <w:top w:w="15" w:type="dxa"/>
          <w:left w:w="15" w:type="dxa"/>
          <w:bottom w:w="15" w:type="dxa"/>
          <w:right w:w="15" w:type="dxa"/>
        </w:tblCellMar>
        <w:tblLook w:val="04A0" w:firstRow="1" w:lastRow="0" w:firstColumn="1" w:lastColumn="0" w:noHBand="0" w:noVBand="1"/>
      </w:tblPr>
      <w:tblGrid>
        <w:gridCol w:w="58"/>
        <w:gridCol w:w="1602"/>
        <w:gridCol w:w="36"/>
        <w:gridCol w:w="58"/>
        <w:gridCol w:w="650"/>
        <w:gridCol w:w="36"/>
        <w:gridCol w:w="36"/>
        <w:gridCol w:w="36"/>
        <w:gridCol w:w="36"/>
        <w:gridCol w:w="40"/>
        <w:gridCol w:w="677"/>
        <w:gridCol w:w="36"/>
        <w:gridCol w:w="36"/>
        <w:gridCol w:w="36"/>
        <w:gridCol w:w="36"/>
        <w:gridCol w:w="40"/>
        <w:gridCol w:w="677"/>
        <w:gridCol w:w="36"/>
        <w:gridCol w:w="36"/>
        <w:gridCol w:w="36"/>
        <w:gridCol w:w="36"/>
        <w:gridCol w:w="40"/>
        <w:gridCol w:w="1017"/>
        <w:gridCol w:w="36"/>
        <w:gridCol w:w="36"/>
        <w:gridCol w:w="36"/>
        <w:gridCol w:w="36"/>
        <w:gridCol w:w="40"/>
        <w:gridCol w:w="1042"/>
        <w:gridCol w:w="36"/>
        <w:gridCol w:w="36"/>
        <w:gridCol w:w="36"/>
        <w:gridCol w:w="36"/>
        <w:gridCol w:w="40"/>
        <w:gridCol w:w="677"/>
        <w:gridCol w:w="36"/>
        <w:gridCol w:w="36"/>
        <w:gridCol w:w="36"/>
        <w:gridCol w:w="36"/>
        <w:gridCol w:w="40"/>
        <w:gridCol w:w="702"/>
        <w:gridCol w:w="36"/>
      </w:tblGrid>
      <w:tr w:rsidR="00980E5F" w14:paraId="392C7B75" w14:textId="77777777">
        <w:tc>
          <w:tcPr>
            <w:tcW w:w="50" w:type="pct"/>
            <w:shd w:val="clear" w:color="auto" w:fill="auto"/>
            <w:vAlign w:val="bottom"/>
          </w:tcPr>
          <w:p w14:paraId="392C7B4B" w14:textId="77777777" w:rsidR="00980E5F" w:rsidRDefault="00980E5F">
            <w:pPr>
              <w:rPr>
                <w:rFonts w:ascii="宋体"/>
              </w:rPr>
            </w:pPr>
          </w:p>
        </w:tc>
        <w:tc>
          <w:tcPr>
            <w:tcW w:w="975" w:type="pct"/>
            <w:shd w:val="clear" w:color="auto" w:fill="auto"/>
            <w:vAlign w:val="bottom"/>
          </w:tcPr>
          <w:p w14:paraId="392C7B4C" w14:textId="77777777" w:rsidR="00980E5F" w:rsidRDefault="00980E5F">
            <w:pPr>
              <w:rPr>
                <w:rFonts w:ascii="宋体"/>
              </w:rPr>
            </w:pPr>
          </w:p>
        </w:tc>
        <w:tc>
          <w:tcPr>
            <w:tcW w:w="5" w:type="pct"/>
            <w:shd w:val="clear" w:color="auto" w:fill="auto"/>
            <w:vAlign w:val="bottom"/>
          </w:tcPr>
          <w:p w14:paraId="392C7B4D" w14:textId="77777777" w:rsidR="00980E5F" w:rsidRDefault="00980E5F">
            <w:pPr>
              <w:rPr>
                <w:rFonts w:ascii="宋体"/>
              </w:rPr>
            </w:pPr>
          </w:p>
        </w:tc>
        <w:tc>
          <w:tcPr>
            <w:tcW w:w="50" w:type="pct"/>
            <w:shd w:val="clear" w:color="auto" w:fill="auto"/>
            <w:vAlign w:val="bottom"/>
          </w:tcPr>
          <w:p w14:paraId="392C7B4E" w14:textId="77777777" w:rsidR="00980E5F" w:rsidRDefault="00980E5F">
            <w:pPr>
              <w:rPr>
                <w:rFonts w:ascii="宋体"/>
              </w:rPr>
            </w:pPr>
          </w:p>
        </w:tc>
        <w:tc>
          <w:tcPr>
            <w:tcW w:w="405" w:type="pct"/>
            <w:shd w:val="clear" w:color="auto" w:fill="auto"/>
            <w:vAlign w:val="bottom"/>
          </w:tcPr>
          <w:p w14:paraId="392C7B4F" w14:textId="77777777" w:rsidR="00980E5F" w:rsidRDefault="00980E5F">
            <w:pPr>
              <w:rPr>
                <w:rFonts w:ascii="宋体"/>
              </w:rPr>
            </w:pPr>
          </w:p>
        </w:tc>
        <w:tc>
          <w:tcPr>
            <w:tcW w:w="5" w:type="pct"/>
            <w:shd w:val="clear" w:color="auto" w:fill="auto"/>
            <w:vAlign w:val="bottom"/>
          </w:tcPr>
          <w:p w14:paraId="392C7B50" w14:textId="77777777" w:rsidR="00980E5F" w:rsidRDefault="00980E5F">
            <w:pPr>
              <w:rPr>
                <w:rFonts w:ascii="宋体"/>
              </w:rPr>
            </w:pPr>
          </w:p>
        </w:tc>
        <w:tc>
          <w:tcPr>
            <w:tcW w:w="5" w:type="pct"/>
            <w:shd w:val="clear" w:color="auto" w:fill="auto"/>
            <w:vAlign w:val="bottom"/>
          </w:tcPr>
          <w:p w14:paraId="392C7B51" w14:textId="77777777" w:rsidR="00980E5F" w:rsidRDefault="00980E5F">
            <w:pPr>
              <w:rPr>
                <w:rFonts w:ascii="宋体"/>
              </w:rPr>
            </w:pPr>
          </w:p>
        </w:tc>
        <w:tc>
          <w:tcPr>
            <w:tcW w:w="26" w:type="pct"/>
            <w:shd w:val="clear" w:color="auto" w:fill="auto"/>
            <w:vAlign w:val="bottom"/>
          </w:tcPr>
          <w:p w14:paraId="392C7B52" w14:textId="77777777" w:rsidR="00980E5F" w:rsidRDefault="00980E5F">
            <w:pPr>
              <w:rPr>
                <w:rFonts w:ascii="宋体"/>
              </w:rPr>
            </w:pPr>
          </w:p>
        </w:tc>
        <w:tc>
          <w:tcPr>
            <w:tcW w:w="5" w:type="pct"/>
            <w:shd w:val="clear" w:color="auto" w:fill="auto"/>
            <w:vAlign w:val="bottom"/>
          </w:tcPr>
          <w:p w14:paraId="392C7B53" w14:textId="77777777" w:rsidR="00980E5F" w:rsidRDefault="00980E5F">
            <w:pPr>
              <w:rPr>
                <w:rFonts w:ascii="宋体"/>
              </w:rPr>
            </w:pPr>
          </w:p>
        </w:tc>
        <w:tc>
          <w:tcPr>
            <w:tcW w:w="50" w:type="pct"/>
            <w:shd w:val="clear" w:color="auto" w:fill="auto"/>
            <w:vAlign w:val="bottom"/>
          </w:tcPr>
          <w:p w14:paraId="392C7B54" w14:textId="77777777" w:rsidR="00980E5F" w:rsidRDefault="00980E5F">
            <w:pPr>
              <w:rPr>
                <w:rFonts w:ascii="宋体"/>
              </w:rPr>
            </w:pPr>
          </w:p>
        </w:tc>
        <w:tc>
          <w:tcPr>
            <w:tcW w:w="420" w:type="pct"/>
            <w:shd w:val="clear" w:color="auto" w:fill="auto"/>
            <w:vAlign w:val="bottom"/>
          </w:tcPr>
          <w:p w14:paraId="392C7B55" w14:textId="77777777" w:rsidR="00980E5F" w:rsidRDefault="00980E5F">
            <w:pPr>
              <w:rPr>
                <w:rFonts w:ascii="宋体"/>
              </w:rPr>
            </w:pPr>
          </w:p>
        </w:tc>
        <w:tc>
          <w:tcPr>
            <w:tcW w:w="5" w:type="pct"/>
            <w:shd w:val="clear" w:color="auto" w:fill="auto"/>
            <w:vAlign w:val="bottom"/>
          </w:tcPr>
          <w:p w14:paraId="392C7B56" w14:textId="77777777" w:rsidR="00980E5F" w:rsidRDefault="00980E5F">
            <w:pPr>
              <w:rPr>
                <w:rFonts w:ascii="宋体"/>
              </w:rPr>
            </w:pPr>
          </w:p>
        </w:tc>
        <w:tc>
          <w:tcPr>
            <w:tcW w:w="5" w:type="pct"/>
            <w:shd w:val="clear" w:color="auto" w:fill="auto"/>
            <w:vAlign w:val="bottom"/>
          </w:tcPr>
          <w:p w14:paraId="392C7B57" w14:textId="77777777" w:rsidR="00980E5F" w:rsidRDefault="00980E5F">
            <w:pPr>
              <w:rPr>
                <w:rFonts w:ascii="宋体"/>
              </w:rPr>
            </w:pPr>
          </w:p>
        </w:tc>
        <w:tc>
          <w:tcPr>
            <w:tcW w:w="26" w:type="pct"/>
            <w:shd w:val="clear" w:color="auto" w:fill="auto"/>
            <w:vAlign w:val="bottom"/>
          </w:tcPr>
          <w:p w14:paraId="392C7B58" w14:textId="77777777" w:rsidR="00980E5F" w:rsidRDefault="00980E5F">
            <w:pPr>
              <w:rPr>
                <w:rFonts w:ascii="宋体"/>
              </w:rPr>
            </w:pPr>
          </w:p>
        </w:tc>
        <w:tc>
          <w:tcPr>
            <w:tcW w:w="5" w:type="pct"/>
            <w:shd w:val="clear" w:color="auto" w:fill="auto"/>
            <w:vAlign w:val="bottom"/>
          </w:tcPr>
          <w:p w14:paraId="392C7B59" w14:textId="77777777" w:rsidR="00980E5F" w:rsidRDefault="00980E5F">
            <w:pPr>
              <w:rPr>
                <w:rFonts w:ascii="宋体"/>
              </w:rPr>
            </w:pPr>
          </w:p>
        </w:tc>
        <w:tc>
          <w:tcPr>
            <w:tcW w:w="50" w:type="pct"/>
            <w:shd w:val="clear" w:color="auto" w:fill="auto"/>
            <w:vAlign w:val="bottom"/>
          </w:tcPr>
          <w:p w14:paraId="392C7B5A" w14:textId="77777777" w:rsidR="00980E5F" w:rsidRDefault="00980E5F">
            <w:pPr>
              <w:rPr>
                <w:rFonts w:ascii="宋体"/>
              </w:rPr>
            </w:pPr>
          </w:p>
        </w:tc>
        <w:tc>
          <w:tcPr>
            <w:tcW w:w="420" w:type="pct"/>
            <w:shd w:val="clear" w:color="auto" w:fill="auto"/>
            <w:vAlign w:val="bottom"/>
          </w:tcPr>
          <w:p w14:paraId="392C7B5B" w14:textId="77777777" w:rsidR="00980E5F" w:rsidRDefault="00980E5F">
            <w:pPr>
              <w:rPr>
                <w:rFonts w:ascii="宋体"/>
              </w:rPr>
            </w:pPr>
          </w:p>
        </w:tc>
        <w:tc>
          <w:tcPr>
            <w:tcW w:w="5" w:type="pct"/>
            <w:shd w:val="clear" w:color="auto" w:fill="auto"/>
            <w:vAlign w:val="bottom"/>
          </w:tcPr>
          <w:p w14:paraId="392C7B5C" w14:textId="77777777" w:rsidR="00980E5F" w:rsidRDefault="00980E5F">
            <w:pPr>
              <w:rPr>
                <w:rFonts w:ascii="宋体"/>
              </w:rPr>
            </w:pPr>
          </w:p>
        </w:tc>
        <w:tc>
          <w:tcPr>
            <w:tcW w:w="5" w:type="pct"/>
            <w:shd w:val="clear" w:color="auto" w:fill="auto"/>
            <w:vAlign w:val="bottom"/>
          </w:tcPr>
          <w:p w14:paraId="392C7B5D" w14:textId="77777777" w:rsidR="00980E5F" w:rsidRDefault="00980E5F">
            <w:pPr>
              <w:rPr>
                <w:rFonts w:ascii="宋体"/>
              </w:rPr>
            </w:pPr>
          </w:p>
        </w:tc>
        <w:tc>
          <w:tcPr>
            <w:tcW w:w="26" w:type="pct"/>
            <w:shd w:val="clear" w:color="auto" w:fill="auto"/>
            <w:vAlign w:val="bottom"/>
          </w:tcPr>
          <w:p w14:paraId="392C7B5E" w14:textId="77777777" w:rsidR="00980E5F" w:rsidRDefault="00980E5F">
            <w:pPr>
              <w:rPr>
                <w:rFonts w:ascii="宋体"/>
              </w:rPr>
            </w:pPr>
          </w:p>
        </w:tc>
        <w:tc>
          <w:tcPr>
            <w:tcW w:w="5" w:type="pct"/>
            <w:shd w:val="clear" w:color="auto" w:fill="auto"/>
            <w:vAlign w:val="bottom"/>
          </w:tcPr>
          <w:p w14:paraId="392C7B5F" w14:textId="77777777" w:rsidR="00980E5F" w:rsidRDefault="00980E5F">
            <w:pPr>
              <w:rPr>
                <w:rFonts w:ascii="宋体"/>
              </w:rPr>
            </w:pPr>
          </w:p>
        </w:tc>
        <w:tc>
          <w:tcPr>
            <w:tcW w:w="50" w:type="pct"/>
            <w:shd w:val="clear" w:color="auto" w:fill="auto"/>
            <w:vAlign w:val="bottom"/>
          </w:tcPr>
          <w:p w14:paraId="392C7B60" w14:textId="77777777" w:rsidR="00980E5F" w:rsidRDefault="00980E5F">
            <w:pPr>
              <w:rPr>
                <w:rFonts w:ascii="宋体"/>
              </w:rPr>
            </w:pPr>
          </w:p>
        </w:tc>
        <w:tc>
          <w:tcPr>
            <w:tcW w:w="624" w:type="pct"/>
            <w:shd w:val="clear" w:color="auto" w:fill="auto"/>
            <w:vAlign w:val="bottom"/>
          </w:tcPr>
          <w:p w14:paraId="392C7B61" w14:textId="77777777" w:rsidR="00980E5F" w:rsidRDefault="00980E5F">
            <w:pPr>
              <w:rPr>
                <w:rFonts w:ascii="宋体"/>
              </w:rPr>
            </w:pPr>
          </w:p>
        </w:tc>
        <w:tc>
          <w:tcPr>
            <w:tcW w:w="5" w:type="pct"/>
            <w:shd w:val="clear" w:color="auto" w:fill="auto"/>
            <w:vAlign w:val="bottom"/>
          </w:tcPr>
          <w:p w14:paraId="392C7B62" w14:textId="77777777" w:rsidR="00980E5F" w:rsidRDefault="00980E5F">
            <w:pPr>
              <w:rPr>
                <w:rFonts w:ascii="宋体"/>
              </w:rPr>
            </w:pPr>
          </w:p>
        </w:tc>
        <w:tc>
          <w:tcPr>
            <w:tcW w:w="5" w:type="pct"/>
            <w:shd w:val="clear" w:color="auto" w:fill="auto"/>
            <w:vAlign w:val="bottom"/>
          </w:tcPr>
          <w:p w14:paraId="392C7B63" w14:textId="77777777" w:rsidR="00980E5F" w:rsidRDefault="00980E5F">
            <w:pPr>
              <w:rPr>
                <w:rFonts w:ascii="宋体"/>
              </w:rPr>
            </w:pPr>
          </w:p>
        </w:tc>
        <w:tc>
          <w:tcPr>
            <w:tcW w:w="26" w:type="pct"/>
            <w:shd w:val="clear" w:color="auto" w:fill="auto"/>
            <w:vAlign w:val="bottom"/>
          </w:tcPr>
          <w:p w14:paraId="392C7B64" w14:textId="77777777" w:rsidR="00980E5F" w:rsidRDefault="00980E5F">
            <w:pPr>
              <w:rPr>
                <w:rFonts w:ascii="宋体"/>
              </w:rPr>
            </w:pPr>
          </w:p>
        </w:tc>
        <w:tc>
          <w:tcPr>
            <w:tcW w:w="5" w:type="pct"/>
            <w:shd w:val="clear" w:color="auto" w:fill="auto"/>
            <w:vAlign w:val="bottom"/>
          </w:tcPr>
          <w:p w14:paraId="392C7B65" w14:textId="77777777" w:rsidR="00980E5F" w:rsidRDefault="00980E5F">
            <w:pPr>
              <w:rPr>
                <w:rFonts w:ascii="宋体"/>
              </w:rPr>
            </w:pPr>
          </w:p>
        </w:tc>
        <w:tc>
          <w:tcPr>
            <w:tcW w:w="50" w:type="pct"/>
            <w:shd w:val="clear" w:color="auto" w:fill="auto"/>
            <w:vAlign w:val="bottom"/>
          </w:tcPr>
          <w:p w14:paraId="392C7B66" w14:textId="77777777" w:rsidR="00980E5F" w:rsidRDefault="00980E5F">
            <w:pPr>
              <w:rPr>
                <w:rFonts w:ascii="宋体"/>
              </w:rPr>
            </w:pPr>
          </w:p>
        </w:tc>
        <w:tc>
          <w:tcPr>
            <w:tcW w:w="639" w:type="pct"/>
            <w:shd w:val="clear" w:color="auto" w:fill="auto"/>
            <w:vAlign w:val="bottom"/>
          </w:tcPr>
          <w:p w14:paraId="392C7B67" w14:textId="77777777" w:rsidR="00980E5F" w:rsidRDefault="00980E5F">
            <w:pPr>
              <w:rPr>
                <w:rFonts w:ascii="宋体"/>
              </w:rPr>
            </w:pPr>
          </w:p>
        </w:tc>
        <w:tc>
          <w:tcPr>
            <w:tcW w:w="5" w:type="pct"/>
            <w:shd w:val="clear" w:color="auto" w:fill="auto"/>
            <w:vAlign w:val="bottom"/>
          </w:tcPr>
          <w:p w14:paraId="392C7B68" w14:textId="77777777" w:rsidR="00980E5F" w:rsidRDefault="00980E5F">
            <w:pPr>
              <w:rPr>
                <w:rFonts w:ascii="宋体"/>
              </w:rPr>
            </w:pPr>
          </w:p>
        </w:tc>
        <w:tc>
          <w:tcPr>
            <w:tcW w:w="5" w:type="pct"/>
            <w:shd w:val="clear" w:color="auto" w:fill="auto"/>
            <w:vAlign w:val="bottom"/>
          </w:tcPr>
          <w:p w14:paraId="392C7B69" w14:textId="77777777" w:rsidR="00980E5F" w:rsidRDefault="00980E5F">
            <w:pPr>
              <w:rPr>
                <w:rFonts w:ascii="宋体"/>
              </w:rPr>
            </w:pPr>
          </w:p>
        </w:tc>
        <w:tc>
          <w:tcPr>
            <w:tcW w:w="26" w:type="pct"/>
            <w:shd w:val="clear" w:color="auto" w:fill="auto"/>
            <w:vAlign w:val="bottom"/>
          </w:tcPr>
          <w:p w14:paraId="392C7B6A" w14:textId="77777777" w:rsidR="00980E5F" w:rsidRDefault="00980E5F">
            <w:pPr>
              <w:rPr>
                <w:rFonts w:ascii="宋体"/>
              </w:rPr>
            </w:pPr>
          </w:p>
        </w:tc>
        <w:tc>
          <w:tcPr>
            <w:tcW w:w="5" w:type="pct"/>
            <w:shd w:val="clear" w:color="auto" w:fill="auto"/>
            <w:vAlign w:val="bottom"/>
          </w:tcPr>
          <w:p w14:paraId="392C7B6B" w14:textId="77777777" w:rsidR="00980E5F" w:rsidRDefault="00980E5F">
            <w:pPr>
              <w:rPr>
                <w:rFonts w:ascii="宋体"/>
              </w:rPr>
            </w:pPr>
          </w:p>
        </w:tc>
        <w:tc>
          <w:tcPr>
            <w:tcW w:w="50" w:type="pct"/>
            <w:shd w:val="clear" w:color="auto" w:fill="auto"/>
            <w:vAlign w:val="bottom"/>
          </w:tcPr>
          <w:p w14:paraId="392C7B6C" w14:textId="77777777" w:rsidR="00980E5F" w:rsidRDefault="00980E5F">
            <w:pPr>
              <w:rPr>
                <w:rFonts w:ascii="宋体"/>
              </w:rPr>
            </w:pPr>
          </w:p>
        </w:tc>
        <w:tc>
          <w:tcPr>
            <w:tcW w:w="420" w:type="pct"/>
            <w:shd w:val="clear" w:color="auto" w:fill="auto"/>
            <w:vAlign w:val="bottom"/>
          </w:tcPr>
          <w:p w14:paraId="392C7B6D" w14:textId="77777777" w:rsidR="00980E5F" w:rsidRDefault="00980E5F">
            <w:pPr>
              <w:rPr>
                <w:rFonts w:ascii="宋体"/>
              </w:rPr>
            </w:pPr>
          </w:p>
        </w:tc>
        <w:tc>
          <w:tcPr>
            <w:tcW w:w="5" w:type="pct"/>
            <w:shd w:val="clear" w:color="auto" w:fill="auto"/>
            <w:vAlign w:val="bottom"/>
          </w:tcPr>
          <w:p w14:paraId="392C7B6E" w14:textId="77777777" w:rsidR="00980E5F" w:rsidRDefault="00980E5F">
            <w:pPr>
              <w:rPr>
                <w:rFonts w:ascii="宋体"/>
              </w:rPr>
            </w:pPr>
          </w:p>
        </w:tc>
        <w:tc>
          <w:tcPr>
            <w:tcW w:w="5" w:type="pct"/>
            <w:shd w:val="clear" w:color="auto" w:fill="auto"/>
            <w:vAlign w:val="bottom"/>
          </w:tcPr>
          <w:p w14:paraId="392C7B6F" w14:textId="77777777" w:rsidR="00980E5F" w:rsidRDefault="00980E5F">
            <w:pPr>
              <w:rPr>
                <w:rFonts w:ascii="宋体"/>
              </w:rPr>
            </w:pPr>
          </w:p>
        </w:tc>
        <w:tc>
          <w:tcPr>
            <w:tcW w:w="26" w:type="pct"/>
            <w:shd w:val="clear" w:color="auto" w:fill="auto"/>
            <w:vAlign w:val="bottom"/>
          </w:tcPr>
          <w:p w14:paraId="392C7B70" w14:textId="77777777" w:rsidR="00980E5F" w:rsidRDefault="00980E5F">
            <w:pPr>
              <w:rPr>
                <w:rFonts w:ascii="宋体"/>
              </w:rPr>
            </w:pPr>
          </w:p>
        </w:tc>
        <w:tc>
          <w:tcPr>
            <w:tcW w:w="5" w:type="pct"/>
            <w:shd w:val="clear" w:color="auto" w:fill="auto"/>
            <w:vAlign w:val="bottom"/>
          </w:tcPr>
          <w:p w14:paraId="392C7B71" w14:textId="77777777" w:rsidR="00980E5F" w:rsidRDefault="00980E5F">
            <w:pPr>
              <w:rPr>
                <w:rFonts w:ascii="宋体"/>
              </w:rPr>
            </w:pPr>
          </w:p>
        </w:tc>
        <w:tc>
          <w:tcPr>
            <w:tcW w:w="50" w:type="pct"/>
            <w:shd w:val="clear" w:color="auto" w:fill="auto"/>
            <w:vAlign w:val="bottom"/>
          </w:tcPr>
          <w:p w14:paraId="392C7B72" w14:textId="77777777" w:rsidR="00980E5F" w:rsidRDefault="00980E5F">
            <w:pPr>
              <w:rPr>
                <w:rFonts w:ascii="宋体"/>
              </w:rPr>
            </w:pPr>
          </w:p>
        </w:tc>
        <w:tc>
          <w:tcPr>
            <w:tcW w:w="435" w:type="pct"/>
            <w:shd w:val="clear" w:color="auto" w:fill="auto"/>
            <w:vAlign w:val="bottom"/>
          </w:tcPr>
          <w:p w14:paraId="392C7B73" w14:textId="77777777" w:rsidR="00980E5F" w:rsidRDefault="00980E5F">
            <w:pPr>
              <w:rPr>
                <w:rFonts w:ascii="宋体"/>
              </w:rPr>
            </w:pPr>
          </w:p>
        </w:tc>
        <w:tc>
          <w:tcPr>
            <w:tcW w:w="5" w:type="pct"/>
            <w:shd w:val="clear" w:color="auto" w:fill="auto"/>
            <w:vAlign w:val="bottom"/>
          </w:tcPr>
          <w:p w14:paraId="392C7B74" w14:textId="77777777" w:rsidR="00980E5F" w:rsidRDefault="00980E5F">
            <w:pPr>
              <w:rPr>
                <w:rFonts w:ascii="宋体"/>
              </w:rPr>
            </w:pPr>
          </w:p>
        </w:tc>
      </w:tr>
      <w:tr w:rsidR="00980E5F" w14:paraId="392C7B84" w14:textId="77777777">
        <w:trPr>
          <w:trHeight w:val="60"/>
        </w:trPr>
        <w:tc>
          <w:tcPr>
            <w:tcW w:w="0" w:type="auto"/>
            <w:gridSpan w:val="3"/>
            <w:shd w:val="clear" w:color="auto" w:fill="auto"/>
            <w:tcMar>
              <w:top w:w="0" w:type="dxa"/>
              <w:left w:w="20" w:type="dxa"/>
              <w:bottom w:w="0" w:type="dxa"/>
              <w:right w:w="20" w:type="dxa"/>
            </w:tcMar>
            <w:vAlign w:val="bottom"/>
          </w:tcPr>
          <w:p w14:paraId="392C7B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7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8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8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8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B83" w14:textId="77777777" w:rsidR="00980E5F" w:rsidRDefault="00980E5F">
            <w:pPr>
              <w:rPr>
                <w:rFonts w:ascii="宋体"/>
              </w:rPr>
            </w:pPr>
          </w:p>
        </w:tc>
      </w:tr>
      <w:tr w:rsidR="00980E5F" w14:paraId="392C7BAB" w14:textId="77777777">
        <w:trPr>
          <w:hidden/>
        </w:trPr>
        <w:tc>
          <w:tcPr>
            <w:tcW w:w="0" w:type="auto"/>
            <w:gridSpan w:val="3"/>
            <w:shd w:val="clear" w:color="auto" w:fill="auto"/>
            <w:vAlign w:val="bottom"/>
          </w:tcPr>
          <w:p w14:paraId="392C7B85" w14:textId="77777777" w:rsidR="00980E5F" w:rsidRDefault="00980E5F">
            <w:pPr>
              <w:rPr>
                <w:rFonts w:ascii="宋体"/>
                <w:vanish/>
              </w:rPr>
            </w:pPr>
          </w:p>
        </w:tc>
        <w:tc>
          <w:tcPr>
            <w:tcW w:w="0" w:type="auto"/>
            <w:gridSpan w:val="3"/>
            <w:shd w:val="clear" w:color="auto" w:fill="auto"/>
            <w:vAlign w:val="bottom"/>
          </w:tcPr>
          <w:p w14:paraId="392C7B86" w14:textId="77777777" w:rsidR="00980E5F" w:rsidRDefault="00980E5F">
            <w:pPr>
              <w:rPr>
                <w:rFonts w:ascii="宋体"/>
                <w:vanish/>
              </w:rPr>
            </w:pPr>
          </w:p>
        </w:tc>
        <w:tc>
          <w:tcPr>
            <w:tcW w:w="0" w:type="auto"/>
            <w:shd w:val="clear" w:color="auto" w:fill="auto"/>
            <w:vAlign w:val="bottom"/>
          </w:tcPr>
          <w:p w14:paraId="392C7B87" w14:textId="77777777" w:rsidR="00980E5F" w:rsidRDefault="00980E5F">
            <w:pPr>
              <w:rPr>
                <w:rFonts w:ascii="宋体"/>
              </w:rPr>
            </w:pPr>
          </w:p>
        </w:tc>
        <w:tc>
          <w:tcPr>
            <w:tcW w:w="0" w:type="auto"/>
            <w:shd w:val="clear" w:color="auto" w:fill="auto"/>
            <w:vAlign w:val="bottom"/>
          </w:tcPr>
          <w:p w14:paraId="392C7B88" w14:textId="77777777" w:rsidR="00980E5F" w:rsidRDefault="00980E5F">
            <w:pPr>
              <w:rPr>
                <w:rFonts w:ascii="宋体"/>
              </w:rPr>
            </w:pPr>
          </w:p>
        </w:tc>
        <w:tc>
          <w:tcPr>
            <w:tcW w:w="0" w:type="auto"/>
            <w:shd w:val="clear" w:color="auto" w:fill="auto"/>
            <w:vAlign w:val="bottom"/>
          </w:tcPr>
          <w:p w14:paraId="392C7B89" w14:textId="77777777" w:rsidR="00980E5F" w:rsidRDefault="00980E5F">
            <w:pPr>
              <w:rPr>
                <w:rFonts w:ascii="宋体"/>
              </w:rPr>
            </w:pPr>
          </w:p>
        </w:tc>
        <w:tc>
          <w:tcPr>
            <w:tcW w:w="0" w:type="auto"/>
            <w:shd w:val="clear" w:color="auto" w:fill="auto"/>
            <w:vAlign w:val="bottom"/>
          </w:tcPr>
          <w:p w14:paraId="392C7B8A" w14:textId="77777777" w:rsidR="00980E5F" w:rsidRDefault="00980E5F">
            <w:pPr>
              <w:rPr>
                <w:rFonts w:ascii="宋体"/>
              </w:rPr>
            </w:pPr>
          </w:p>
        </w:tc>
        <w:tc>
          <w:tcPr>
            <w:tcW w:w="0" w:type="auto"/>
            <w:shd w:val="clear" w:color="auto" w:fill="auto"/>
            <w:vAlign w:val="bottom"/>
          </w:tcPr>
          <w:p w14:paraId="392C7B8B" w14:textId="77777777" w:rsidR="00980E5F" w:rsidRDefault="00980E5F">
            <w:pPr>
              <w:rPr>
                <w:rFonts w:ascii="宋体"/>
              </w:rPr>
            </w:pPr>
          </w:p>
        </w:tc>
        <w:tc>
          <w:tcPr>
            <w:tcW w:w="0" w:type="auto"/>
            <w:shd w:val="clear" w:color="auto" w:fill="auto"/>
            <w:vAlign w:val="bottom"/>
          </w:tcPr>
          <w:p w14:paraId="392C7B8C" w14:textId="77777777" w:rsidR="00980E5F" w:rsidRDefault="00980E5F">
            <w:pPr>
              <w:rPr>
                <w:rFonts w:ascii="宋体"/>
              </w:rPr>
            </w:pPr>
          </w:p>
        </w:tc>
        <w:tc>
          <w:tcPr>
            <w:tcW w:w="0" w:type="auto"/>
            <w:shd w:val="clear" w:color="auto" w:fill="auto"/>
            <w:vAlign w:val="bottom"/>
          </w:tcPr>
          <w:p w14:paraId="392C7B8D" w14:textId="77777777" w:rsidR="00980E5F" w:rsidRDefault="00980E5F">
            <w:pPr>
              <w:rPr>
                <w:rFonts w:ascii="宋体"/>
              </w:rPr>
            </w:pPr>
          </w:p>
        </w:tc>
        <w:tc>
          <w:tcPr>
            <w:tcW w:w="0" w:type="auto"/>
            <w:shd w:val="clear" w:color="auto" w:fill="auto"/>
            <w:vAlign w:val="bottom"/>
          </w:tcPr>
          <w:p w14:paraId="392C7B8E" w14:textId="77777777" w:rsidR="00980E5F" w:rsidRDefault="00980E5F">
            <w:pPr>
              <w:rPr>
                <w:rFonts w:ascii="宋体"/>
              </w:rPr>
            </w:pPr>
          </w:p>
        </w:tc>
        <w:tc>
          <w:tcPr>
            <w:tcW w:w="0" w:type="auto"/>
            <w:shd w:val="clear" w:color="auto" w:fill="auto"/>
            <w:vAlign w:val="bottom"/>
          </w:tcPr>
          <w:p w14:paraId="392C7B8F" w14:textId="77777777" w:rsidR="00980E5F" w:rsidRDefault="00980E5F">
            <w:pPr>
              <w:rPr>
                <w:rFonts w:ascii="宋体"/>
              </w:rPr>
            </w:pPr>
          </w:p>
        </w:tc>
        <w:tc>
          <w:tcPr>
            <w:tcW w:w="0" w:type="auto"/>
            <w:shd w:val="clear" w:color="auto" w:fill="auto"/>
            <w:vAlign w:val="bottom"/>
          </w:tcPr>
          <w:p w14:paraId="392C7B90" w14:textId="77777777" w:rsidR="00980E5F" w:rsidRDefault="00980E5F">
            <w:pPr>
              <w:rPr>
                <w:rFonts w:ascii="宋体"/>
              </w:rPr>
            </w:pPr>
          </w:p>
        </w:tc>
        <w:tc>
          <w:tcPr>
            <w:tcW w:w="0" w:type="auto"/>
            <w:shd w:val="clear" w:color="auto" w:fill="auto"/>
            <w:vAlign w:val="bottom"/>
          </w:tcPr>
          <w:p w14:paraId="392C7B91" w14:textId="77777777" w:rsidR="00980E5F" w:rsidRDefault="00980E5F">
            <w:pPr>
              <w:rPr>
                <w:rFonts w:ascii="宋体"/>
              </w:rPr>
            </w:pPr>
          </w:p>
        </w:tc>
        <w:tc>
          <w:tcPr>
            <w:tcW w:w="0" w:type="auto"/>
            <w:shd w:val="clear" w:color="auto" w:fill="auto"/>
            <w:vAlign w:val="bottom"/>
          </w:tcPr>
          <w:p w14:paraId="392C7B92" w14:textId="77777777" w:rsidR="00980E5F" w:rsidRDefault="00980E5F">
            <w:pPr>
              <w:rPr>
                <w:rFonts w:ascii="宋体"/>
              </w:rPr>
            </w:pPr>
          </w:p>
        </w:tc>
        <w:tc>
          <w:tcPr>
            <w:tcW w:w="0" w:type="auto"/>
            <w:shd w:val="clear" w:color="auto" w:fill="auto"/>
            <w:vAlign w:val="bottom"/>
          </w:tcPr>
          <w:p w14:paraId="392C7B93" w14:textId="77777777" w:rsidR="00980E5F" w:rsidRDefault="00980E5F">
            <w:pPr>
              <w:rPr>
                <w:rFonts w:ascii="宋体"/>
              </w:rPr>
            </w:pPr>
          </w:p>
        </w:tc>
        <w:tc>
          <w:tcPr>
            <w:tcW w:w="0" w:type="auto"/>
            <w:shd w:val="clear" w:color="auto" w:fill="auto"/>
            <w:vAlign w:val="bottom"/>
          </w:tcPr>
          <w:p w14:paraId="392C7B94" w14:textId="77777777" w:rsidR="00980E5F" w:rsidRDefault="00980E5F">
            <w:pPr>
              <w:rPr>
                <w:rFonts w:ascii="宋体"/>
              </w:rPr>
            </w:pPr>
          </w:p>
        </w:tc>
        <w:tc>
          <w:tcPr>
            <w:tcW w:w="0" w:type="auto"/>
            <w:shd w:val="clear" w:color="auto" w:fill="auto"/>
            <w:vAlign w:val="bottom"/>
          </w:tcPr>
          <w:p w14:paraId="392C7B95" w14:textId="77777777" w:rsidR="00980E5F" w:rsidRDefault="00980E5F">
            <w:pPr>
              <w:rPr>
                <w:rFonts w:ascii="宋体"/>
              </w:rPr>
            </w:pPr>
          </w:p>
        </w:tc>
        <w:tc>
          <w:tcPr>
            <w:tcW w:w="0" w:type="auto"/>
            <w:shd w:val="clear" w:color="auto" w:fill="auto"/>
            <w:vAlign w:val="bottom"/>
          </w:tcPr>
          <w:p w14:paraId="392C7B96" w14:textId="77777777" w:rsidR="00980E5F" w:rsidRDefault="00980E5F">
            <w:pPr>
              <w:rPr>
                <w:rFonts w:ascii="宋体"/>
              </w:rPr>
            </w:pPr>
          </w:p>
        </w:tc>
        <w:tc>
          <w:tcPr>
            <w:tcW w:w="0" w:type="auto"/>
            <w:shd w:val="clear" w:color="auto" w:fill="auto"/>
            <w:vAlign w:val="bottom"/>
          </w:tcPr>
          <w:p w14:paraId="392C7B97" w14:textId="77777777" w:rsidR="00980E5F" w:rsidRDefault="00980E5F">
            <w:pPr>
              <w:rPr>
                <w:rFonts w:ascii="宋体"/>
              </w:rPr>
            </w:pPr>
          </w:p>
        </w:tc>
        <w:tc>
          <w:tcPr>
            <w:tcW w:w="0" w:type="auto"/>
            <w:shd w:val="clear" w:color="auto" w:fill="auto"/>
            <w:vAlign w:val="bottom"/>
          </w:tcPr>
          <w:p w14:paraId="392C7B98" w14:textId="77777777" w:rsidR="00980E5F" w:rsidRDefault="00980E5F">
            <w:pPr>
              <w:rPr>
                <w:rFonts w:ascii="宋体"/>
              </w:rPr>
            </w:pPr>
          </w:p>
        </w:tc>
        <w:tc>
          <w:tcPr>
            <w:tcW w:w="0" w:type="auto"/>
            <w:shd w:val="clear" w:color="auto" w:fill="auto"/>
            <w:vAlign w:val="bottom"/>
          </w:tcPr>
          <w:p w14:paraId="392C7B99" w14:textId="77777777" w:rsidR="00980E5F" w:rsidRDefault="00980E5F">
            <w:pPr>
              <w:rPr>
                <w:rFonts w:ascii="宋体"/>
              </w:rPr>
            </w:pPr>
          </w:p>
        </w:tc>
        <w:tc>
          <w:tcPr>
            <w:tcW w:w="0" w:type="auto"/>
            <w:shd w:val="clear" w:color="auto" w:fill="auto"/>
            <w:vAlign w:val="bottom"/>
          </w:tcPr>
          <w:p w14:paraId="392C7B9A" w14:textId="77777777" w:rsidR="00980E5F" w:rsidRDefault="00980E5F">
            <w:pPr>
              <w:rPr>
                <w:rFonts w:ascii="宋体"/>
              </w:rPr>
            </w:pPr>
          </w:p>
        </w:tc>
        <w:tc>
          <w:tcPr>
            <w:tcW w:w="0" w:type="auto"/>
            <w:shd w:val="clear" w:color="auto" w:fill="auto"/>
            <w:vAlign w:val="bottom"/>
          </w:tcPr>
          <w:p w14:paraId="392C7B9B" w14:textId="77777777" w:rsidR="00980E5F" w:rsidRDefault="00980E5F">
            <w:pPr>
              <w:rPr>
                <w:rFonts w:ascii="宋体"/>
              </w:rPr>
            </w:pPr>
          </w:p>
        </w:tc>
        <w:tc>
          <w:tcPr>
            <w:tcW w:w="0" w:type="auto"/>
            <w:shd w:val="clear" w:color="auto" w:fill="auto"/>
            <w:vAlign w:val="bottom"/>
          </w:tcPr>
          <w:p w14:paraId="392C7B9C" w14:textId="77777777" w:rsidR="00980E5F" w:rsidRDefault="00980E5F">
            <w:pPr>
              <w:rPr>
                <w:rFonts w:ascii="宋体"/>
              </w:rPr>
            </w:pPr>
          </w:p>
        </w:tc>
        <w:tc>
          <w:tcPr>
            <w:tcW w:w="0" w:type="auto"/>
            <w:shd w:val="clear" w:color="auto" w:fill="auto"/>
            <w:vAlign w:val="bottom"/>
          </w:tcPr>
          <w:p w14:paraId="392C7B9D" w14:textId="77777777" w:rsidR="00980E5F" w:rsidRDefault="00980E5F">
            <w:pPr>
              <w:rPr>
                <w:rFonts w:ascii="宋体"/>
              </w:rPr>
            </w:pPr>
          </w:p>
        </w:tc>
        <w:tc>
          <w:tcPr>
            <w:tcW w:w="0" w:type="auto"/>
            <w:shd w:val="clear" w:color="auto" w:fill="auto"/>
            <w:vAlign w:val="bottom"/>
          </w:tcPr>
          <w:p w14:paraId="392C7B9E" w14:textId="77777777" w:rsidR="00980E5F" w:rsidRDefault="00980E5F">
            <w:pPr>
              <w:rPr>
                <w:rFonts w:ascii="宋体"/>
              </w:rPr>
            </w:pPr>
          </w:p>
        </w:tc>
        <w:tc>
          <w:tcPr>
            <w:tcW w:w="0" w:type="auto"/>
            <w:shd w:val="clear" w:color="auto" w:fill="auto"/>
            <w:vAlign w:val="bottom"/>
          </w:tcPr>
          <w:p w14:paraId="392C7B9F" w14:textId="77777777" w:rsidR="00980E5F" w:rsidRDefault="00980E5F">
            <w:pPr>
              <w:rPr>
                <w:rFonts w:ascii="宋体"/>
              </w:rPr>
            </w:pPr>
          </w:p>
        </w:tc>
        <w:tc>
          <w:tcPr>
            <w:tcW w:w="0" w:type="auto"/>
            <w:shd w:val="clear" w:color="auto" w:fill="auto"/>
            <w:vAlign w:val="bottom"/>
          </w:tcPr>
          <w:p w14:paraId="392C7BA0" w14:textId="77777777" w:rsidR="00980E5F" w:rsidRDefault="00980E5F">
            <w:pPr>
              <w:rPr>
                <w:rFonts w:ascii="宋体"/>
              </w:rPr>
            </w:pPr>
          </w:p>
        </w:tc>
        <w:tc>
          <w:tcPr>
            <w:tcW w:w="0" w:type="auto"/>
            <w:shd w:val="clear" w:color="auto" w:fill="auto"/>
            <w:vAlign w:val="bottom"/>
          </w:tcPr>
          <w:p w14:paraId="392C7BA1" w14:textId="77777777" w:rsidR="00980E5F" w:rsidRDefault="00980E5F">
            <w:pPr>
              <w:rPr>
                <w:rFonts w:ascii="宋体"/>
              </w:rPr>
            </w:pPr>
          </w:p>
        </w:tc>
        <w:tc>
          <w:tcPr>
            <w:tcW w:w="0" w:type="auto"/>
            <w:shd w:val="clear" w:color="auto" w:fill="auto"/>
            <w:vAlign w:val="bottom"/>
          </w:tcPr>
          <w:p w14:paraId="392C7BA2" w14:textId="77777777" w:rsidR="00980E5F" w:rsidRDefault="00980E5F">
            <w:pPr>
              <w:rPr>
                <w:rFonts w:ascii="宋体"/>
              </w:rPr>
            </w:pPr>
          </w:p>
        </w:tc>
        <w:tc>
          <w:tcPr>
            <w:tcW w:w="0" w:type="auto"/>
            <w:shd w:val="clear" w:color="auto" w:fill="auto"/>
            <w:vAlign w:val="bottom"/>
          </w:tcPr>
          <w:p w14:paraId="392C7BA3" w14:textId="77777777" w:rsidR="00980E5F" w:rsidRDefault="00980E5F">
            <w:pPr>
              <w:rPr>
                <w:rFonts w:ascii="宋体"/>
              </w:rPr>
            </w:pPr>
          </w:p>
        </w:tc>
        <w:tc>
          <w:tcPr>
            <w:tcW w:w="0" w:type="auto"/>
            <w:shd w:val="clear" w:color="auto" w:fill="auto"/>
            <w:vAlign w:val="bottom"/>
          </w:tcPr>
          <w:p w14:paraId="392C7BA4" w14:textId="77777777" w:rsidR="00980E5F" w:rsidRDefault="00980E5F">
            <w:pPr>
              <w:rPr>
                <w:rFonts w:ascii="宋体"/>
              </w:rPr>
            </w:pPr>
          </w:p>
        </w:tc>
        <w:tc>
          <w:tcPr>
            <w:tcW w:w="0" w:type="auto"/>
            <w:shd w:val="clear" w:color="auto" w:fill="auto"/>
            <w:vAlign w:val="bottom"/>
          </w:tcPr>
          <w:p w14:paraId="392C7BA5" w14:textId="77777777" w:rsidR="00980E5F" w:rsidRDefault="00980E5F">
            <w:pPr>
              <w:rPr>
                <w:rFonts w:ascii="宋体"/>
              </w:rPr>
            </w:pPr>
          </w:p>
        </w:tc>
        <w:tc>
          <w:tcPr>
            <w:tcW w:w="0" w:type="auto"/>
            <w:shd w:val="clear" w:color="auto" w:fill="auto"/>
            <w:vAlign w:val="bottom"/>
          </w:tcPr>
          <w:p w14:paraId="392C7BA6" w14:textId="77777777" w:rsidR="00980E5F" w:rsidRDefault="00980E5F">
            <w:pPr>
              <w:rPr>
                <w:rFonts w:ascii="宋体"/>
              </w:rPr>
            </w:pPr>
          </w:p>
        </w:tc>
        <w:tc>
          <w:tcPr>
            <w:tcW w:w="0" w:type="auto"/>
            <w:shd w:val="clear" w:color="auto" w:fill="auto"/>
            <w:vAlign w:val="bottom"/>
          </w:tcPr>
          <w:p w14:paraId="392C7BA7" w14:textId="77777777" w:rsidR="00980E5F" w:rsidRDefault="00980E5F">
            <w:pPr>
              <w:rPr>
                <w:rFonts w:ascii="宋体"/>
              </w:rPr>
            </w:pPr>
          </w:p>
        </w:tc>
        <w:tc>
          <w:tcPr>
            <w:tcW w:w="0" w:type="auto"/>
            <w:shd w:val="clear" w:color="auto" w:fill="auto"/>
            <w:vAlign w:val="bottom"/>
          </w:tcPr>
          <w:p w14:paraId="392C7BA8" w14:textId="77777777" w:rsidR="00980E5F" w:rsidRDefault="00980E5F">
            <w:pPr>
              <w:rPr>
                <w:rFonts w:ascii="宋体"/>
              </w:rPr>
            </w:pPr>
          </w:p>
        </w:tc>
        <w:tc>
          <w:tcPr>
            <w:tcW w:w="0" w:type="auto"/>
            <w:shd w:val="clear" w:color="auto" w:fill="auto"/>
            <w:vAlign w:val="bottom"/>
          </w:tcPr>
          <w:p w14:paraId="392C7BA9" w14:textId="77777777" w:rsidR="00980E5F" w:rsidRDefault="00980E5F">
            <w:pPr>
              <w:rPr>
                <w:rFonts w:ascii="宋体"/>
              </w:rPr>
            </w:pPr>
          </w:p>
        </w:tc>
        <w:tc>
          <w:tcPr>
            <w:tcW w:w="0" w:type="auto"/>
            <w:shd w:val="clear" w:color="auto" w:fill="auto"/>
            <w:vAlign w:val="bottom"/>
          </w:tcPr>
          <w:p w14:paraId="392C7BAA" w14:textId="77777777" w:rsidR="00980E5F" w:rsidRDefault="00980E5F">
            <w:pPr>
              <w:rPr>
                <w:rFonts w:ascii="宋体"/>
              </w:rPr>
            </w:pPr>
          </w:p>
        </w:tc>
      </w:tr>
      <w:tr w:rsidR="00980E5F" w14:paraId="392C7BC0" w14:textId="77777777">
        <w:trPr>
          <w:hidden/>
        </w:trPr>
        <w:tc>
          <w:tcPr>
            <w:tcW w:w="0" w:type="auto"/>
            <w:gridSpan w:val="3"/>
            <w:shd w:val="clear" w:color="auto" w:fill="auto"/>
            <w:vAlign w:val="bottom"/>
          </w:tcPr>
          <w:p w14:paraId="392C7BAC" w14:textId="77777777" w:rsidR="00980E5F" w:rsidRDefault="00980E5F">
            <w:pPr>
              <w:rPr>
                <w:rFonts w:ascii="宋体"/>
                <w:vanish/>
              </w:rPr>
            </w:pPr>
          </w:p>
        </w:tc>
        <w:tc>
          <w:tcPr>
            <w:tcW w:w="0" w:type="auto"/>
            <w:gridSpan w:val="3"/>
            <w:shd w:val="clear" w:color="auto" w:fill="auto"/>
            <w:vAlign w:val="bottom"/>
          </w:tcPr>
          <w:p w14:paraId="392C7BAD" w14:textId="77777777" w:rsidR="00980E5F" w:rsidRDefault="00980E5F">
            <w:pPr>
              <w:rPr>
                <w:rFonts w:ascii="宋体"/>
                <w:vanish/>
              </w:rPr>
            </w:pPr>
          </w:p>
        </w:tc>
        <w:tc>
          <w:tcPr>
            <w:tcW w:w="0" w:type="auto"/>
            <w:gridSpan w:val="3"/>
            <w:shd w:val="clear" w:color="auto" w:fill="auto"/>
            <w:vAlign w:val="bottom"/>
          </w:tcPr>
          <w:p w14:paraId="392C7BAE" w14:textId="77777777" w:rsidR="00980E5F" w:rsidRDefault="00980E5F">
            <w:pPr>
              <w:rPr>
                <w:rFonts w:ascii="宋体"/>
                <w:vanish/>
              </w:rPr>
            </w:pPr>
          </w:p>
        </w:tc>
        <w:tc>
          <w:tcPr>
            <w:tcW w:w="0" w:type="auto"/>
            <w:gridSpan w:val="3"/>
            <w:shd w:val="clear" w:color="auto" w:fill="auto"/>
            <w:vAlign w:val="bottom"/>
          </w:tcPr>
          <w:p w14:paraId="392C7BAF" w14:textId="77777777" w:rsidR="00980E5F" w:rsidRDefault="00980E5F">
            <w:pPr>
              <w:rPr>
                <w:rFonts w:ascii="宋体"/>
                <w:vanish/>
              </w:rPr>
            </w:pPr>
          </w:p>
        </w:tc>
        <w:tc>
          <w:tcPr>
            <w:tcW w:w="0" w:type="auto"/>
            <w:gridSpan w:val="3"/>
            <w:shd w:val="clear" w:color="auto" w:fill="auto"/>
            <w:vAlign w:val="bottom"/>
          </w:tcPr>
          <w:p w14:paraId="392C7BB0" w14:textId="77777777" w:rsidR="00980E5F" w:rsidRDefault="00980E5F">
            <w:pPr>
              <w:rPr>
                <w:rFonts w:ascii="宋体"/>
                <w:vanish/>
              </w:rPr>
            </w:pPr>
          </w:p>
        </w:tc>
        <w:tc>
          <w:tcPr>
            <w:tcW w:w="0" w:type="auto"/>
            <w:gridSpan w:val="3"/>
            <w:shd w:val="clear" w:color="auto" w:fill="auto"/>
            <w:vAlign w:val="bottom"/>
          </w:tcPr>
          <w:p w14:paraId="392C7BB1" w14:textId="77777777" w:rsidR="00980E5F" w:rsidRDefault="00980E5F">
            <w:pPr>
              <w:rPr>
                <w:rFonts w:ascii="宋体"/>
                <w:vanish/>
              </w:rPr>
            </w:pPr>
          </w:p>
        </w:tc>
        <w:tc>
          <w:tcPr>
            <w:tcW w:w="0" w:type="auto"/>
            <w:gridSpan w:val="3"/>
            <w:shd w:val="clear" w:color="auto" w:fill="auto"/>
            <w:vAlign w:val="bottom"/>
          </w:tcPr>
          <w:p w14:paraId="392C7BB2" w14:textId="77777777" w:rsidR="00980E5F" w:rsidRDefault="00980E5F">
            <w:pPr>
              <w:rPr>
                <w:rFonts w:ascii="宋体"/>
                <w:vanish/>
              </w:rPr>
            </w:pPr>
          </w:p>
        </w:tc>
        <w:tc>
          <w:tcPr>
            <w:tcW w:w="0" w:type="auto"/>
            <w:gridSpan w:val="3"/>
            <w:shd w:val="clear" w:color="auto" w:fill="auto"/>
            <w:vAlign w:val="bottom"/>
          </w:tcPr>
          <w:p w14:paraId="392C7BB3" w14:textId="77777777" w:rsidR="00980E5F" w:rsidRDefault="00980E5F">
            <w:pPr>
              <w:rPr>
                <w:rFonts w:ascii="宋体"/>
                <w:vanish/>
              </w:rPr>
            </w:pPr>
          </w:p>
        </w:tc>
        <w:tc>
          <w:tcPr>
            <w:tcW w:w="0" w:type="auto"/>
            <w:gridSpan w:val="3"/>
            <w:shd w:val="clear" w:color="auto" w:fill="auto"/>
            <w:vAlign w:val="bottom"/>
          </w:tcPr>
          <w:p w14:paraId="392C7BB4" w14:textId="77777777" w:rsidR="00980E5F" w:rsidRDefault="00980E5F">
            <w:pPr>
              <w:rPr>
                <w:rFonts w:ascii="宋体"/>
                <w:vanish/>
              </w:rPr>
            </w:pPr>
          </w:p>
        </w:tc>
        <w:tc>
          <w:tcPr>
            <w:tcW w:w="0" w:type="auto"/>
            <w:gridSpan w:val="3"/>
            <w:shd w:val="clear" w:color="auto" w:fill="auto"/>
            <w:vAlign w:val="bottom"/>
          </w:tcPr>
          <w:p w14:paraId="392C7BB5" w14:textId="77777777" w:rsidR="00980E5F" w:rsidRDefault="00980E5F">
            <w:pPr>
              <w:rPr>
                <w:rFonts w:ascii="宋体"/>
                <w:vanish/>
              </w:rPr>
            </w:pPr>
          </w:p>
        </w:tc>
        <w:tc>
          <w:tcPr>
            <w:tcW w:w="0" w:type="auto"/>
            <w:gridSpan w:val="3"/>
            <w:shd w:val="clear" w:color="auto" w:fill="auto"/>
            <w:vAlign w:val="bottom"/>
          </w:tcPr>
          <w:p w14:paraId="392C7BB6" w14:textId="77777777" w:rsidR="00980E5F" w:rsidRDefault="00980E5F">
            <w:pPr>
              <w:rPr>
                <w:rFonts w:ascii="宋体"/>
                <w:vanish/>
              </w:rPr>
            </w:pPr>
          </w:p>
        </w:tc>
        <w:tc>
          <w:tcPr>
            <w:tcW w:w="0" w:type="auto"/>
            <w:shd w:val="clear" w:color="auto" w:fill="auto"/>
            <w:vAlign w:val="bottom"/>
          </w:tcPr>
          <w:p w14:paraId="392C7BB7" w14:textId="77777777" w:rsidR="00980E5F" w:rsidRDefault="00980E5F">
            <w:pPr>
              <w:rPr>
                <w:rFonts w:ascii="宋体"/>
              </w:rPr>
            </w:pPr>
          </w:p>
        </w:tc>
        <w:tc>
          <w:tcPr>
            <w:tcW w:w="0" w:type="auto"/>
            <w:shd w:val="clear" w:color="auto" w:fill="auto"/>
            <w:vAlign w:val="bottom"/>
          </w:tcPr>
          <w:p w14:paraId="392C7BB8" w14:textId="77777777" w:rsidR="00980E5F" w:rsidRDefault="00980E5F">
            <w:pPr>
              <w:rPr>
                <w:rFonts w:ascii="宋体"/>
              </w:rPr>
            </w:pPr>
          </w:p>
        </w:tc>
        <w:tc>
          <w:tcPr>
            <w:tcW w:w="0" w:type="auto"/>
            <w:shd w:val="clear" w:color="auto" w:fill="auto"/>
            <w:vAlign w:val="bottom"/>
          </w:tcPr>
          <w:p w14:paraId="392C7BB9" w14:textId="77777777" w:rsidR="00980E5F" w:rsidRDefault="00980E5F">
            <w:pPr>
              <w:rPr>
                <w:rFonts w:ascii="宋体"/>
              </w:rPr>
            </w:pPr>
          </w:p>
        </w:tc>
        <w:tc>
          <w:tcPr>
            <w:tcW w:w="0" w:type="auto"/>
            <w:shd w:val="clear" w:color="auto" w:fill="auto"/>
            <w:vAlign w:val="bottom"/>
          </w:tcPr>
          <w:p w14:paraId="392C7BBA" w14:textId="77777777" w:rsidR="00980E5F" w:rsidRDefault="00980E5F">
            <w:pPr>
              <w:rPr>
                <w:rFonts w:ascii="宋体"/>
              </w:rPr>
            </w:pPr>
          </w:p>
        </w:tc>
        <w:tc>
          <w:tcPr>
            <w:tcW w:w="0" w:type="auto"/>
            <w:shd w:val="clear" w:color="auto" w:fill="auto"/>
            <w:vAlign w:val="bottom"/>
          </w:tcPr>
          <w:p w14:paraId="392C7BBB" w14:textId="77777777" w:rsidR="00980E5F" w:rsidRDefault="00980E5F">
            <w:pPr>
              <w:rPr>
                <w:rFonts w:ascii="宋体"/>
              </w:rPr>
            </w:pPr>
          </w:p>
        </w:tc>
        <w:tc>
          <w:tcPr>
            <w:tcW w:w="0" w:type="auto"/>
            <w:shd w:val="clear" w:color="auto" w:fill="auto"/>
            <w:vAlign w:val="bottom"/>
          </w:tcPr>
          <w:p w14:paraId="392C7BBC" w14:textId="77777777" w:rsidR="00980E5F" w:rsidRDefault="00980E5F">
            <w:pPr>
              <w:rPr>
                <w:rFonts w:ascii="宋体"/>
              </w:rPr>
            </w:pPr>
          </w:p>
        </w:tc>
        <w:tc>
          <w:tcPr>
            <w:tcW w:w="0" w:type="auto"/>
            <w:shd w:val="clear" w:color="auto" w:fill="auto"/>
            <w:vAlign w:val="bottom"/>
          </w:tcPr>
          <w:p w14:paraId="392C7BBD" w14:textId="77777777" w:rsidR="00980E5F" w:rsidRDefault="00980E5F">
            <w:pPr>
              <w:rPr>
                <w:rFonts w:ascii="宋体"/>
              </w:rPr>
            </w:pPr>
          </w:p>
        </w:tc>
        <w:tc>
          <w:tcPr>
            <w:tcW w:w="0" w:type="auto"/>
            <w:shd w:val="clear" w:color="auto" w:fill="auto"/>
            <w:vAlign w:val="bottom"/>
          </w:tcPr>
          <w:p w14:paraId="392C7BBE" w14:textId="77777777" w:rsidR="00980E5F" w:rsidRDefault="00980E5F">
            <w:pPr>
              <w:rPr>
                <w:rFonts w:ascii="宋体"/>
              </w:rPr>
            </w:pPr>
          </w:p>
        </w:tc>
        <w:tc>
          <w:tcPr>
            <w:tcW w:w="0" w:type="auto"/>
            <w:shd w:val="clear" w:color="auto" w:fill="auto"/>
            <w:vAlign w:val="bottom"/>
          </w:tcPr>
          <w:p w14:paraId="392C7BBF" w14:textId="77777777" w:rsidR="00980E5F" w:rsidRDefault="00980E5F">
            <w:pPr>
              <w:rPr>
                <w:rFonts w:ascii="宋体"/>
              </w:rPr>
            </w:pPr>
          </w:p>
        </w:tc>
      </w:tr>
      <w:tr w:rsidR="00980E5F" w14:paraId="392C7BCF" w14:textId="77777777">
        <w:trPr>
          <w:hidden/>
        </w:trPr>
        <w:tc>
          <w:tcPr>
            <w:tcW w:w="0" w:type="auto"/>
            <w:gridSpan w:val="3"/>
            <w:shd w:val="clear" w:color="auto" w:fill="auto"/>
            <w:vAlign w:val="bottom"/>
          </w:tcPr>
          <w:p w14:paraId="392C7BC1" w14:textId="77777777" w:rsidR="00980E5F" w:rsidRDefault="00980E5F">
            <w:pPr>
              <w:rPr>
                <w:rFonts w:ascii="宋体"/>
                <w:vanish/>
              </w:rPr>
            </w:pPr>
          </w:p>
        </w:tc>
        <w:tc>
          <w:tcPr>
            <w:tcW w:w="0" w:type="auto"/>
            <w:gridSpan w:val="3"/>
            <w:shd w:val="clear" w:color="auto" w:fill="auto"/>
            <w:vAlign w:val="bottom"/>
          </w:tcPr>
          <w:p w14:paraId="392C7BC2" w14:textId="77777777" w:rsidR="00980E5F" w:rsidRDefault="00980E5F">
            <w:pPr>
              <w:rPr>
                <w:rFonts w:ascii="宋体"/>
                <w:vanish/>
              </w:rPr>
            </w:pPr>
          </w:p>
        </w:tc>
        <w:tc>
          <w:tcPr>
            <w:tcW w:w="0" w:type="auto"/>
            <w:gridSpan w:val="3"/>
            <w:shd w:val="clear" w:color="auto" w:fill="auto"/>
            <w:vAlign w:val="bottom"/>
          </w:tcPr>
          <w:p w14:paraId="392C7BC3" w14:textId="77777777" w:rsidR="00980E5F" w:rsidRDefault="00980E5F">
            <w:pPr>
              <w:rPr>
                <w:rFonts w:ascii="宋体"/>
                <w:vanish/>
              </w:rPr>
            </w:pPr>
          </w:p>
        </w:tc>
        <w:tc>
          <w:tcPr>
            <w:tcW w:w="0" w:type="auto"/>
            <w:gridSpan w:val="3"/>
            <w:shd w:val="clear" w:color="auto" w:fill="auto"/>
            <w:vAlign w:val="bottom"/>
          </w:tcPr>
          <w:p w14:paraId="392C7BC4" w14:textId="77777777" w:rsidR="00980E5F" w:rsidRDefault="00980E5F">
            <w:pPr>
              <w:rPr>
                <w:rFonts w:ascii="宋体"/>
                <w:vanish/>
              </w:rPr>
            </w:pPr>
          </w:p>
        </w:tc>
        <w:tc>
          <w:tcPr>
            <w:tcW w:w="0" w:type="auto"/>
            <w:gridSpan w:val="3"/>
            <w:shd w:val="clear" w:color="auto" w:fill="auto"/>
            <w:vAlign w:val="bottom"/>
          </w:tcPr>
          <w:p w14:paraId="392C7BC5" w14:textId="77777777" w:rsidR="00980E5F" w:rsidRDefault="00980E5F">
            <w:pPr>
              <w:rPr>
                <w:rFonts w:ascii="宋体"/>
                <w:vanish/>
              </w:rPr>
            </w:pPr>
          </w:p>
        </w:tc>
        <w:tc>
          <w:tcPr>
            <w:tcW w:w="0" w:type="auto"/>
            <w:gridSpan w:val="3"/>
            <w:shd w:val="clear" w:color="auto" w:fill="auto"/>
            <w:vAlign w:val="bottom"/>
          </w:tcPr>
          <w:p w14:paraId="392C7BC6" w14:textId="77777777" w:rsidR="00980E5F" w:rsidRDefault="00980E5F">
            <w:pPr>
              <w:rPr>
                <w:rFonts w:ascii="宋体"/>
                <w:vanish/>
              </w:rPr>
            </w:pPr>
          </w:p>
        </w:tc>
        <w:tc>
          <w:tcPr>
            <w:tcW w:w="0" w:type="auto"/>
            <w:gridSpan w:val="3"/>
            <w:shd w:val="clear" w:color="auto" w:fill="auto"/>
            <w:vAlign w:val="bottom"/>
          </w:tcPr>
          <w:p w14:paraId="392C7BC7" w14:textId="77777777" w:rsidR="00980E5F" w:rsidRDefault="00980E5F">
            <w:pPr>
              <w:rPr>
                <w:rFonts w:ascii="宋体"/>
                <w:vanish/>
              </w:rPr>
            </w:pPr>
          </w:p>
        </w:tc>
        <w:tc>
          <w:tcPr>
            <w:tcW w:w="0" w:type="auto"/>
            <w:gridSpan w:val="3"/>
            <w:shd w:val="clear" w:color="auto" w:fill="auto"/>
            <w:vAlign w:val="bottom"/>
          </w:tcPr>
          <w:p w14:paraId="392C7BC8" w14:textId="77777777" w:rsidR="00980E5F" w:rsidRDefault="00980E5F">
            <w:pPr>
              <w:rPr>
                <w:rFonts w:ascii="宋体"/>
                <w:vanish/>
              </w:rPr>
            </w:pPr>
          </w:p>
        </w:tc>
        <w:tc>
          <w:tcPr>
            <w:tcW w:w="0" w:type="auto"/>
            <w:gridSpan w:val="3"/>
            <w:shd w:val="clear" w:color="auto" w:fill="auto"/>
            <w:vAlign w:val="bottom"/>
          </w:tcPr>
          <w:p w14:paraId="392C7BC9" w14:textId="77777777" w:rsidR="00980E5F" w:rsidRDefault="00980E5F">
            <w:pPr>
              <w:rPr>
                <w:rFonts w:ascii="宋体"/>
                <w:vanish/>
              </w:rPr>
            </w:pPr>
          </w:p>
        </w:tc>
        <w:tc>
          <w:tcPr>
            <w:tcW w:w="0" w:type="auto"/>
            <w:gridSpan w:val="3"/>
            <w:shd w:val="clear" w:color="auto" w:fill="auto"/>
            <w:vAlign w:val="bottom"/>
          </w:tcPr>
          <w:p w14:paraId="392C7BCA" w14:textId="77777777" w:rsidR="00980E5F" w:rsidRDefault="00980E5F">
            <w:pPr>
              <w:rPr>
                <w:rFonts w:ascii="宋体"/>
                <w:vanish/>
              </w:rPr>
            </w:pPr>
          </w:p>
        </w:tc>
        <w:tc>
          <w:tcPr>
            <w:tcW w:w="0" w:type="auto"/>
            <w:gridSpan w:val="3"/>
            <w:shd w:val="clear" w:color="auto" w:fill="auto"/>
            <w:vAlign w:val="bottom"/>
          </w:tcPr>
          <w:p w14:paraId="392C7BCB" w14:textId="77777777" w:rsidR="00980E5F" w:rsidRDefault="00980E5F">
            <w:pPr>
              <w:rPr>
                <w:rFonts w:ascii="宋体"/>
                <w:vanish/>
              </w:rPr>
            </w:pPr>
          </w:p>
        </w:tc>
        <w:tc>
          <w:tcPr>
            <w:tcW w:w="0" w:type="auto"/>
            <w:gridSpan w:val="3"/>
            <w:shd w:val="clear" w:color="auto" w:fill="auto"/>
            <w:vAlign w:val="bottom"/>
          </w:tcPr>
          <w:p w14:paraId="392C7BCC" w14:textId="77777777" w:rsidR="00980E5F" w:rsidRDefault="00980E5F">
            <w:pPr>
              <w:rPr>
                <w:rFonts w:ascii="宋体"/>
                <w:vanish/>
              </w:rPr>
            </w:pPr>
          </w:p>
        </w:tc>
        <w:tc>
          <w:tcPr>
            <w:tcW w:w="0" w:type="auto"/>
            <w:gridSpan w:val="3"/>
            <w:shd w:val="clear" w:color="auto" w:fill="auto"/>
            <w:vAlign w:val="bottom"/>
          </w:tcPr>
          <w:p w14:paraId="392C7BCD" w14:textId="77777777" w:rsidR="00980E5F" w:rsidRDefault="00980E5F">
            <w:pPr>
              <w:rPr>
                <w:rFonts w:ascii="宋体"/>
                <w:vanish/>
              </w:rPr>
            </w:pPr>
          </w:p>
        </w:tc>
        <w:tc>
          <w:tcPr>
            <w:tcW w:w="0" w:type="auto"/>
            <w:gridSpan w:val="3"/>
            <w:shd w:val="clear" w:color="auto" w:fill="auto"/>
            <w:vAlign w:val="bottom"/>
          </w:tcPr>
          <w:p w14:paraId="392C7BCE" w14:textId="77777777" w:rsidR="00980E5F" w:rsidRDefault="00980E5F">
            <w:pPr>
              <w:rPr>
                <w:rFonts w:ascii="宋体"/>
                <w:vanish/>
              </w:rPr>
            </w:pPr>
          </w:p>
        </w:tc>
      </w:tr>
      <w:tr w:rsidR="00980E5F" w14:paraId="392C7BDE" w14:textId="77777777">
        <w:trPr>
          <w:hidden/>
        </w:trPr>
        <w:tc>
          <w:tcPr>
            <w:tcW w:w="0" w:type="auto"/>
            <w:gridSpan w:val="3"/>
            <w:shd w:val="clear" w:color="auto" w:fill="auto"/>
            <w:vAlign w:val="bottom"/>
          </w:tcPr>
          <w:p w14:paraId="392C7BD0" w14:textId="77777777" w:rsidR="00980E5F" w:rsidRDefault="00980E5F">
            <w:pPr>
              <w:rPr>
                <w:rFonts w:ascii="宋体"/>
                <w:vanish/>
              </w:rPr>
            </w:pPr>
          </w:p>
        </w:tc>
        <w:tc>
          <w:tcPr>
            <w:tcW w:w="0" w:type="auto"/>
            <w:gridSpan w:val="3"/>
            <w:shd w:val="clear" w:color="auto" w:fill="auto"/>
            <w:vAlign w:val="bottom"/>
          </w:tcPr>
          <w:p w14:paraId="392C7BD1" w14:textId="77777777" w:rsidR="00980E5F" w:rsidRDefault="00980E5F">
            <w:pPr>
              <w:rPr>
                <w:rFonts w:ascii="宋体"/>
                <w:vanish/>
              </w:rPr>
            </w:pPr>
          </w:p>
        </w:tc>
        <w:tc>
          <w:tcPr>
            <w:tcW w:w="0" w:type="auto"/>
            <w:gridSpan w:val="3"/>
            <w:shd w:val="clear" w:color="auto" w:fill="auto"/>
            <w:vAlign w:val="bottom"/>
          </w:tcPr>
          <w:p w14:paraId="392C7BD2" w14:textId="77777777" w:rsidR="00980E5F" w:rsidRDefault="00980E5F">
            <w:pPr>
              <w:rPr>
                <w:rFonts w:ascii="宋体"/>
                <w:vanish/>
              </w:rPr>
            </w:pPr>
          </w:p>
        </w:tc>
        <w:tc>
          <w:tcPr>
            <w:tcW w:w="0" w:type="auto"/>
            <w:gridSpan w:val="3"/>
            <w:shd w:val="clear" w:color="auto" w:fill="auto"/>
            <w:vAlign w:val="bottom"/>
          </w:tcPr>
          <w:p w14:paraId="392C7BD3" w14:textId="77777777" w:rsidR="00980E5F" w:rsidRDefault="00980E5F">
            <w:pPr>
              <w:rPr>
                <w:rFonts w:ascii="宋体"/>
                <w:vanish/>
              </w:rPr>
            </w:pPr>
          </w:p>
        </w:tc>
        <w:tc>
          <w:tcPr>
            <w:tcW w:w="0" w:type="auto"/>
            <w:gridSpan w:val="3"/>
            <w:shd w:val="clear" w:color="auto" w:fill="auto"/>
            <w:vAlign w:val="bottom"/>
          </w:tcPr>
          <w:p w14:paraId="392C7BD4" w14:textId="77777777" w:rsidR="00980E5F" w:rsidRDefault="00980E5F">
            <w:pPr>
              <w:rPr>
                <w:rFonts w:ascii="宋体"/>
                <w:vanish/>
              </w:rPr>
            </w:pPr>
          </w:p>
        </w:tc>
        <w:tc>
          <w:tcPr>
            <w:tcW w:w="0" w:type="auto"/>
            <w:gridSpan w:val="3"/>
            <w:shd w:val="clear" w:color="auto" w:fill="auto"/>
            <w:vAlign w:val="bottom"/>
          </w:tcPr>
          <w:p w14:paraId="392C7BD5" w14:textId="77777777" w:rsidR="00980E5F" w:rsidRDefault="00980E5F">
            <w:pPr>
              <w:rPr>
                <w:rFonts w:ascii="宋体"/>
                <w:vanish/>
              </w:rPr>
            </w:pPr>
          </w:p>
        </w:tc>
        <w:tc>
          <w:tcPr>
            <w:tcW w:w="0" w:type="auto"/>
            <w:gridSpan w:val="3"/>
            <w:shd w:val="clear" w:color="auto" w:fill="auto"/>
            <w:vAlign w:val="bottom"/>
          </w:tcPr>
          <w:p w14:paraId="392C7BD6" w14:textId="77777777" w:rsidR="00980E5F" w:rsidRDefault="00980E5F">
            <w:pPr>
              <w:rPr>
                <w:rFonts w:ascii="宋体"/>
                <w:vanish/>
              </w:rPr>
            </w:pPr>
          </w:p>
        </w:tc>
        <w:tc>
          <w:tcPr>
            <w:tcW w:w="0" w:type="auto"/>
            <w:gridSpan w:val="3"/>
            <w:shd w:val="clear" w:color="auto" w:fill="auto"/>
            <w:vAlign w:val="bottom"/>
          </w:tcPr>
          <w:p w14:paraId="392C7BD7" w14:textId="77777777" w:rsidR="00980E5F" w:rsidRDefault="00980E5F">
            <w:pPr>
              <w:rPr>
                <w:rFonts w:ascii="宋体"/>
                <w:vanish/>
              </w:rPr>
            </w:pPr>
          </w:p>
        </w:tc>
        <w:tc>
          <w:tcPr>
            <w:tcW w:w="0" w:type="auto"/>
            <w:gridSpan w:val="3"/>
            <w:shd w:val="clear" w:color="auto" w:fill="auto"/>
            <w:vAlign w:val="bottom"/>
          </w:tcPr>
          <w:p w14:paraId="392C7BD8" w14:textId="77777777" w:rsidR="00980E5F" w:rsidRDefault="00980E5F">
            <w:pPr>
              <w:rPr>
                <w:rFonts w:ascii="宋体"/>
                <w:vanish/>
              </w:rPr>
            </w:pPr>
          </w:p>
        </w:tc>
        <w:tc>
          <w:tcPr>
            <w:tcW w:w="0" w:type="auto"/>
            <w:gridSpan w:val="3"/>
            <w:shd w:val="clear" w:color="auto" w:fill="auto"/>
            <w:vAlign w:val="bottom"/>
          </w:tcPr>
          <w:p w14:paraId="392C7BD9" w14:textId="77777777" w:rsidR="00980E5F" w:rsidRDefault="00980E5F">
            <w:pPr>
              <w:rPr>
                <w:rFonts w:ascii="宋体"/>
                <w:vanish/>
              </w:rPr>
            </w:pPr>
          </w:p>
        </w:tc>
        <w:tc>
          <w:tcPr>
            <w:tcW w:w="0" w:type="auto"/>
            <w:gridSpan w:val="3"/>
            <w:shd w:val="clear" w:color="auto" w:fill="auto"/>
            <w:vAlign w:val="bottom"/>
          </w:tcPr>
          <w:p w14:paraId="392C7BDA" w14:textId="77777777" w:rsidR="00980E5F" w:rsidRDefault="00980E5F">
            <w:pPr>
              <w:rPr>
                <w:rFonts w:ascii="宋体"/>
                <w:vanish/>
              </w:rPr>
            </w:pPr>
          </w:p>
        </w:tc>
        <w:tc>
          <w:tcPr>
            <w:tcW w:w="0" w:type="auto"/>
            <w:gridSpan w:val="3"/>
            <w:shd w:val="clear" w:color="auto" w:fill="auto"/>
            <w:vAlign w:val="bottom"/>
          </w:tcPr>
          <w:p w14:paraId="392C7BDB" w14:textId="77777777" w:rsidR="00980E5F" w:rsidRDefault="00980E5F">
            <w:pPr>
              <w:rPr>
                <w:rFonts w:ascii="宋体"/>
                <w:vanish/>
              </w:rPr>
            </w:pPr>
          </w:p>
        </w:tc>
        <w:tc>
          <w:tcPr>
            <w:tcW w:w="0" w:type="auto"/>
            <w:gridSpan w:val="3"/>
            <w:shd w:val="clear" w:color="auto" w:fill="auto"/>
            <w:vAlign w:val="bottom"/>
          </w:tcPr>
          <w:p w14:paraId="392C7BDC" w14:textId="77777777" w:rsidR="00980E5F" w:rsidRDefault="00980E5F">
            <w:pPr>
              <w:rPr>
                <w:rFonts w:ascii="宋体"/>
                <w:vanish/>
              </w:rPr>
            </w:pPr>
          </w:p>
        </w:tc>
        <w:tc>
          <w:tcPr>
            <w:tcW w:w="0" w:type="auto"/>
            <w:gridSpan w:val="3"/>
            <w:shd w:val="clear" w:color="auto" w:fill="auto"/>
            <w:vAlign w:val="bottom"/>
          </w:tcPr>
          <w:p w14:paraId="392C7BDD" w14:textId="77777777" w:rsidR="00980E5F" w:rsidRDefault="00980E5F">
            <w:pPr>
              <w:rPr>
                <w:rFonts w:ascii="宋体"/>
                <w:vanish/>
              </w:rPr>
            </w:pPr>
          </w:p>
        </w:tc>
      </w:tr>
      <w:tr w:rsidR="00980E5F" w14:paraId="392C7BED" w14:textId="77777777">
        <w:trPr>
          <w:hidden/>
        </w:trPr>
        <w:tc>
          <w:tcPr>
            <w:tcW w:w="0" w:type="auto"/>
            <w:gridSpan w:val="3"/>
            <w:shd w:val="clear" w:color="auto" w:fill="auto"/>
            <w:vAlign w:val="bottom"/>
          </w:tcPr>
          <w:p w14:paraId="392C7BDF" w14:textId="77777777" w:rsidR="00980E5F" w:rsidRDefault="00980E5F">
            <w:pPr>
              <w:rPr>
                <w:rFonts w:ascii="宋体"/>
                <w:vanish/>
              </w:rPr>
            </w:pPr>
          </w:p>
        </w:tc>
        <w:tc>
          <w:tcPr>
            <w:tcW w:w="0" w:type="auto"/>
            <w:gridSpan w:val="3"/>
            <w:shd w:val="clear" w:color="auto" w:fill="auto"/>
            <w:vAlign w:val="bottom"/>
          </w:tcPr>
          <w:p w14:paraId="392C7BE0" w14:textId="77777777" w:rsidR="00980E5F" w:rsidRDefault="00980E5F">
            <w:pPr>
              <w:rPr>
                <w:rFonts w:ascii="宋体"/>
                <w:vanish/>
              </w:rPr>
            </w:pPr>
          </w:p>
        </w:tc>
        <w:tc>
          <w:tcPr>
            <w:tcW w:w="0" w:type="auto"/>
            <w:gridSpan w:val="3"/>
            <w:shd w:val="clear" w:color="auto" w:fill="auto"/>
            <w:vAlign w:val="bottom"/>
          </w:tcPr>
          <w:p w14:paraId="392C7BE1" w14:textId="77777777" w:rsidR="00980E5F" w:rsidRDefault="00980E5F">
            <w:pPr>
              <w:rPr>
                <w:rFonts w:ascii="宋体"/>
                <w:vanish/>
              </w:rPr>
            </w:pPr>
          </w:p>
        </w:tc>
        <w:tc>
          <w:tcPr>
            <w:tcW w:w="0" w:type="auto"/>
            <w:gridSpan w:val="3"/>
            <w:shd w:val="clear" w:color="auto" w:fill="auto"/>
            <w:vAlign w:val="bottom"/>
          </w:tcPr>
          <w:p w14:paraId="392C7BE2" w14:textId="77777777" w:rsidR="00980E5F" w:rsidRDefault="00980E5F">
            <w:pPr>
              <w:rPr>
                <w:rFonts w:ascii="宋体"/>
                <w:vanish/>
              </w:rPr>
            </w:pPr>
          </w:p>
        </w:tc>
        <w:tc>
          <w:tcPr>
            <w:tcW w:w="0" w:type="auto"/>
            <w:gridSpan w:val="3"/>
            <w:shd w:val="clear" w:color="auto" w:fill="auto"/>
            <w:vAlign w:val="bottom"/>
          </w:tcPr>
          <w:p w14:paraId="392C7BE3" w14:textId="77777777" w:rsidR="00980E5F" w:rsidRDefault="00980E5F">
            <w:pPr>
              <w:rPr>
                <w:rFonts w:ascii="宋体"/>
                <w:vanish/>
              </w:rPr>
            </w:pPr>
          </w:p>
        </w:tc>
        <w:tc>
          <w:tcPr>
            <w:tcW w:w="0" w:type="auto"/>
            <w:gridSpan w:val="3"/>
            <w:shd w:val="clear" w:color="auto" w:fill="auto"/>
            <w:vAlign w:val="bottom"/>
          </w:tcPr>
          <w:p w14:paraId="392C7BE4" w14:textId="77777777" w:rsidR="00980E5F" w:rsidRDefault="00980E5F">
            <w:pPr>
              <w:rPr>
                <w:rFonts w:ascii="宋体"/>
                <w:vanish/>
              </w:rPr>
            </w:pPr>
          </w:p>
        </w:tc>
        <w:tc>
          <w:tcPr>
            <w:tcW w:w="0" w:type="auto"/>
            <w:gridSpan w:val="3"/>
            <w:shd w:val="clear" w:color="auto" w:fill="auto"/>
            <w:vAlign w:val="bottom"/>
          </w:tcPr>
          <w:p w14:paraId="392C7BE5" w14:textId="77777777" w:rsidR="00980E5F" w:rsidRDefault="00980E5F">
            <w:pPr>
              <w:rPr>
                <w:rFonts w:ascii="宋体"/>
                <w:vanish/>
              </w:rPr>
            </w:pPr>
          </w:p>
        </w:tc>
        <w:tc>
          <w:tcPr>
            <w:tcW w:w="0" w:type="auto"/>
            <w:gridSpan w:val="3"/>
            <w:shd w:val="clear" w:color="auto" w:fill="auto"/>
            <w:vAlign w:val="bottom"/>
          </w:tcPr>
          <w:p w14:paraId="392C7BE6" w14:textId="77777777" w:rsidR="00980E5F" w:rsidRDefault="00980E5F">
            <w:pPr>
              <w:rPr>
                <w:rFonts w:ascii="宋体"/>
                <w:vanish/>
              </w:rPr>
            </w:pPr>
          </w:p>
        </w:tc>
        <w:tc>
          <w:tcPr>
            <w:tcW w:w="0" w:type="auto"/>
            <w:gridSpan w:val="3"/>
            <w:shd w:val="clear" w:color="auto" w:fill="auto"/>
            <w:vAlign w:val="bottom"/>
          </w:tcPr>
          <w:p w14:paraId="392C7BE7" w14:textId="77777777" w:rsidR="00980E5F" w:rsidRDefault="00980E5F">
            <w:pPr>
              <w:rPr>
                <w:rFonts w:ascii="宋体"/>
                <w:vanish/>
              </w:rPr>
            </w:pPr>
          </w:p>
        </w:tc>
        <w:tc>
          <w:tcPr>
            <w:tcW w:w="0" w:type="auto"/>
            <w:gridSpan w:val="3"/>
            <w:shd w:val="clear" w:color="auto" w:fill="auto"/>
            <w:vAlign w:val="bottom"/>
          </w:tcPr>
          <w:p w14:paraId="392C7BE8" w14:textId="77777777" w:rsidR="00980E5F" w:rsidRDefault="00980E5F">
            <w:pPr>
              <w:rPr>
                <w:rFonts w:ascii="宋体"/>
                <w:vanish/>
              </w:rPr>
            </w:pPr>
          </w:p>
        </w:tc>
        <w:tc>
          <w:tcPr>
            <w:tcW w:w="0" w:type="auto"/>
            <w:gridSpan w:val="3"/>
            <w:shd w:val="clear" w:color="auto" w:fill="auto"/>
            <w:vAlign w:val="bottom"/>
          </w:tcPr>
          <w:p w14:paraId="392C7BE9" w14:textId="77777777" w:rsidR="00980E5F" w:rsidRDefault="00980E5F">
            <w:pPr>
              <w:rPr>
                <w:rFonts w:ascii="宋体"/>
                <w:vanish/>
              </w:rPr>
            </w:pPr>
          </w:p>
        </w:tc>
        <w:tc>
          <w:tcPr>
            <w:tcW w:w="0" w:type="auto"/>
            <w:gridSpan w:val="3"/>
            <w:shd w:val="clear" w:color="auto" w:fill="auto"/>
            <w:vAlign w:val="bottom"/>
          </w:tcPr>
          <w:p w14:paraId="392C7BEA" w14:textId="77777777" w:rsidR="00980E5F" w:rsidRDefault="00980E5F">
            <w:pPr>
              <w:rPr>
                <w:rFonts w:ascii="宋体"/>
                <w:vanish/>
              </w:rPr>
            </w:pPr>
          </w:p>
        </w:tc>
        <w:tc>
          <w:tcPr>
            <w:tcW w:w="0" w:type="auto"/>
            <w:gridSpan w:val="3"/>
            <w:shd w:val="clear" w:color="auto" w:fill="auto"/>
            <w:vAlign w:val="bottom"/>
          </w:tcPr>
          <w:p w14:paraId="392C7BEB" w14:textId="77777777" w:rsidR="00980E5F" w:rsidRDefault="00980E5F">
            <w:pPr>
              <w:rPr>
                <w:rFonts w:ascii="宋体"/>
                <w:vanish/>
              </w:rPr>
            </w:pPr>
          </w:p>
        </w:tc>
        <w:tc>
          <w:tcPr>
            <w:tcW w:w="0" w:type="auto"/>
            <w:gridSpan w:val="3"/>
            <w:shd w:val="clear" w:color="auto" w:fill="auto"/>
            <w:vAlign w:val="bottom"/>
          </w:tcPr>
          <w:p w14:paraId="392C7BEC" w14:textId="77777777" w:rsidR="00980E5F" w:rsidRDefault="00980E5F">
            <w:pPr>
              <w:rPr>
                <w:rFonts w:ascii="宋体"/>
                <w:vanish/>
              </w:rPr>
            </w:pPr>
          </w:p>
        </w:tc>
      </w:tr>
      <w:tr w:rsidR="00980E5F" w14:paraId="392C7BFC" w14:textId="77777777">
        <w:trPr>
          <w:hidden/>
        </w:trPr>
        <w:tc>
          <w:tcPr>
            <w:tcW w:w="0" w:type="auto"/>
            <w:gridSpan w:val="3"/>
            <w:shd w:val="clear" w:color="auto" w:fill="auto"/>
            <w:vAlign w:val="bottom"/>
          </w:tcPr>
          <w:p w14:paraId="392C7BEE" w14:textId="77777777" w:rsidR="00980E5F" w:rsidRDefault="00980E5F">
            <w:pPr>
              <w:rPr>
                <w:rFonts w:ascii="宋体"/>
                <w:vanish/>
              </w:rPr>
            </w:pPr>
          </w:p>
        </w:tc>
        <w:tc>
          <w:tcPr>
            <w:tcW w:w="0" w:type="auto"/>
            <w:gridSpan w:val="3"/>
            <w:shd w:val="clear" w:color="auto" w:fill="auto"/>
            <w:vAlign w:val="bottom"/>
          </w:tcPr>
          <w:p w14:paraId="392C7BEF" w14:textId="77777777" w:rsidR="00980E5F" w:rsidRDefault="00980E5F">
            <w:pPr>
              <w:rPr>
                <w:rFonts w:ascii="宋体"/>
                <w:vanish/>
              </w:rPr>
            </w:pPr>
          </w:p>
        </w:tc>
        <w:tc>
          <w:tcPr>
            <w:tcW w:w="0" w:type="auto"/>
            <w:gridSpan w:val="3"/>
            <w:shd w:val="clear" w:color="auto" w:fill="auto"/>
            <w:vAlign w:val="bottom"/>
          </w:tcPr>
          <w:p w14:paraId="392C7BF0" w14:textId="77777777" w:rsidR="00980E5F" w:rsidRDefault="00980E5F">
            <w:pPr>
              <w:rPr>
                <w:rFonts w:ascii="宋体"/>
                <w:vanish/>
              </w:rPr>
            </w:pPr>
          </w:p>
        </w:tc>
        <w:tc>
          <w:tcPr>
            <w:tcW w:w="0" w:type="auto"/>
            <w:gridSpan w:val="3"/>
            <w:shd w:val="clear" w:color="auto" w:fill="auto"/>
            <w:vAlign w:val="bottom"/>
          </w:tcPr>
          <w:p w14:paraId="392C7BF1" w14:textId="77777777" w:rsidR="00980E5F" w:rsidRDefault="00980E5F">
            <w:pPr>
              <w:rPr>
                <w:rFonts w:ascii="宋体"/>
                <w:vanish/>
              </w:rPr>
            </w:pPr>
          </w:p>
        </w:tc>
        <w:tc>
          <w:tcPr>
            <w:tcW w:w="0" w:type="auto"/>
            <w:gridSpan w:val="3"/>
            <w:shd w:val="clear" w:color="auto" w:fill="auto"/>
            <w:vAlign w:val="bottom"/>
          </w:tcPr>
          <w:p w14:paraId="392C7BF2" w14:textId="77777777" w:rsidR="00980E5F" w:rsidRDefault="00980E5F">
            <w:pPr>
              <w:rPr>
                <w:rFonts w:ascii="宋体"/>
                <w:vanish/>
              </w:rPr>
            </w:pPr>
          </w:p>
        </w:tc>
        <w:tc>
          <w:tcPr>
            <w:tcW w:w="0" w:type="auto"/>
            <w:gridSpan w:val="3"/>
            <w:shd w:val="clear" w:color="auto" w:fill="auto"/>
            <w:vAlign w:val="bottom"/>
          </w:tcPr>
          <w:p w14:paraId="392C7BF3" w14:textId="77777777" w:rsidR="00980E5F" w:rsidRDefault="00980E5F">
            <w:pPr>
              <w:rPr>
                <w:rFonts w:ascii="宋体"/>
                <w:vanish/>
              </w:rPr>
            </w:pPr>
          </w:p>
        </w:tc>
        <w:tc>
          <w:tcPr>
            <w:tcW w:w="0" w:type="auto"/>
            <w:gridSpan w:val="3"/>
            <w:shd w:val="clear" w:color="auto" w:fill="auto"/>
            <w:vAlign w:val="bottom"/>
          </w:tcPr>
          <w:p w14:paraId="392C7BF4" w14:textId="77777777" w:rsidR="00980E5F" w:rsidRDefault="00980E5F">
            <w:pPr>
              <w:rPr>
                <w:rFonts w:ascii="宋体"/>
                <w:vanish/>
              </w:rPr>
            </w:pPr>
          </w:p>
        </w:tc>
        <w:tc>
          <w:tcPr>
            <w:tcW w:w="0" w:type="auto"/>
            <w:gridSpan w:val="3"/>
            <w:shd w:val="clear" w:color="auto" w:fill="auto"/>
            <w:vAlign w:val="bottom"/>
          </w:tcPr>
          <w:p w14:paraId="392C7BF5" w14:textId="77777777" w:rsidR="00980E5F" w:rsidRDefault="00980E5F">
            <w:pPr>
              <w:rPr>
                <w:rFonts w:ascii="宋体"/>
                <w:vanish/>
              </w:rPr>
            </w:pPr>
          </w:p>
        </w:tc>
        <w:tc>
          <w:tcPr>
            <w:tcW w:w="0" w:type="auto"/>
            <w:gridSpan w:val="3"/>
            <w:shd w:val="clear" w:color="auto" w:fill="auto"/>
            <w:vAlign w:val="bottom"/>
          </w:tcPr>
          <w:p w14:paraId="392C7BF6" w14:textId="77777777" w:rsidR="00980E5F" w:rsidRDefault="00980E5F">
            <w:pPr>
              <w:rPr>
                <w:rFonts w:ascii="宋体"/>
                <w:vanish/>
              </w:rPr>
            </w:pPr>
          </w:p>
        </w:tc>
        <w:tc>
          <w:tcPr>
            <w:tcW w:w="0" w:type="auto"/>
            <w:gridSpan w:val="3"/>
            <w:shd w:val="clear" w:color="auto" w:fill="auto"/>
            <w:vAlign w:val="bottom"/>
          </w:tcPr>
          <w:p w14:paraId="392C7BF7" w14:textId="77777777" w:rsidR="00980E5F" w:rsidRDefault="00980E5F">
            <w:pPr>
              <w:rPr>
                <w:rFonts w:ascii="宋体"/>
                <w:vanish/>
              </w:rPr>
            </w:pPr>
          </w:p>
        </w:tc>
        <w:tc>
          <w:tcPr>
            <w:tcW w:w="0" w:type="auto"/>
            <w:gridSpan w:val="3"/>
            <w:shd w:val="clear" w:color="auto" w:fill="auto"/>
            <w:vAlign w:val="bottom"/>
          </w:tcPr>
          <w:p w14:paraId="392C7BF8" w14:textId="77777777" w:rsidR="00980E5F" w:rsidRDefault="00980E5F">
            <w:pPr>
              <w:rPr>
                <w:rFonts w:ascii="宋体"/>
                <w:vanish/>
              </w:rPr>
            </w:pPr>
          </w:p>
        </w:tc>
        <w:tc>
          <w:tcPr>
            <w:tcW w:w="0" w:type="auto"/>
            <w:gridSpan w:val="3"/>
            <w:shd w:val="clear" w:color="auto" w:fill="auto"/>
            <w:vAlign w:val="bottom"/>
          </w:tcPr>
          <w:p w14:paraId="392C7BF9" w14:textId="77777777" w:rsidR="00980E5F" w:rsidRDefault="00980E5F">
            <w:pPr>
              <w:rPr>
                <w:rFonts w:ascii="宋体"/>
                <w:vanish/>
              </w:rPr>
            </w:pPr>
          </w:p>
        </w:tc>
        <w:tc>
          <w:tcPr>
            <w:tcW w:w="0" w:type="auto"/>
            <w:gridSpan w:val="3"/>
            <w:shd w:val="clear" w:color="auto" w:fill="auto"/>
            <w:vAlign w:val="bottom"/>
          </w:tcPr>
          <w:p w14:paraId="392C7BFA" w14:textId="77777777" w:rsidR="00980E5F" w:rsidRDefault="00980E5F">
            <w:pPr>
              <w:rPr>
                <w:rFonts w:ascii="宋体"/>
                <w:vanish/>
              </w:rPr>
            </w:pPr>
          </w:p>
        </w:tc>
        <w:tc>
          <w:tcPr>
            <w:tcW w:w="0" w:type="auto"/>
            <w:gridSpan w:val="3"/>
            <w:shd w:val="clear" w:color="auto" w:fill="auto"/>
            <w:vAlign w:val="bottom"/>
          </w:tcPr>
          <w:p w14:paraId="392C7BFB" w14:textId="77777777" w:rsidR="00980E5F" w:rsidRDefault="00980E5F">
            <w:pPr>
              <w:rPr>
                <w:rFonts w:ascii="宋体"/>
                <w:vanish/>
              </w:rPr>
            </w:pPr>
          </w:p>
        </w:tc>
      </w:tr>
      <w:tr w:rsidR="00980E5F" w14:paraId="392C7C0B" w14:textId="77777777">
        <w:trPr>
          <w:hidden/>
        </w:trPr>
        <w:tc>
          <w:tcPr>
            <w:tcW w:w="0" w:type="auto"/>
            <w:gridSpan w:val="3"/>
            <w:shd w:val="clear" w:color="auto" w:fill="auto"/>
            <w:vAlign w:val="bottom"/>
          </w:tcPr>
          <w:p w14:paraId="392C7BFD" w14:textId="77777777" w:rsidR="00980E5F" w:rsidRDefault="00980E5F">
            <w:pPr>
              <w:rPr>
                <w:rFonts w:ascii="宋体"/>
                <w:vanish/>
              </w:rPr>
            </w:pPr>
          </w:p>
        </w:tc>
        <w:tc>
          <w:tcPr>
            <w:tcW w:w="0" w:type="auto"/>
            <w:gridSpan w:val="3"/>
            <w:shd w:val="clear" w:color="auto" w:fill="auto"/>
            <w:vAlign w:val="bottom"/>
          </w:tcPr>
          <w:p w14:paraId="392C7BFE" w14:textId="77777777" w:rsidR="00980E5F" w:rsidRDefault="00980E5F">
            <w:pPr>
              <w:rPr>
                <w:rFonts w:ascii="宋体"/>
                <w:vanish/>
              </w:rPr>
            </w:pPr>
          </w:p>
        </w:tc>
        <w:tc>
          <w:tcPr>
            <w:tcW w:w="0" w:type="auto"/>
            <w:gridSpan w:val="3"/>
            <w:shd w:val="clear" w:color="auto" w:fill="auto"/>
            <w:vAlign w:val="bottom"/>
          </w:tcPr>
          <w:p w14:paraId="392C7BFF" w14:textId="77777777" w:rsidR="00980E5F" w:rsidRDefault="00980E5F">
            <w:pPr>
              <w:rPr>
                <w:rFonts w:ascii="宋体"/>
                <w:vanish/>
              </w:rPr>
            </w:pPr>
          </w:p>
        </w:tc>
        <w:tc>
          <w:tcPr>
            <w:tcW w:w="0" w:type="auto"/>
            <w:gridSpan w:val="3"/>
            <w:shd w:val="clear" w:color="auto" w:fill="auto"/>
            <w:vAlign w:val="bottom"/>
          </w:tcPr>
          <w:p w14:paraId="392C7C00" w14:textId="77777777" w:rsidR="00980E5F" w:rsidRDefault="00980E5F">
            <w:pPr>
              <w:rPr>
                <w:rFonts w:ascii="宋体"/>
                <w:vanish/>
              </w:rPr>
            </w:pPr>
          </w:p>
        </w:tc>
        <w:tc>
          <w:tcPr>
            <w:tcW w:w="0" w:type="auto"/>
            <w:gridSpan w:val="3"/>
            <w:shd w:val="clear" w:color="auto" w:fill="auto"/>
            <w:vAlign w:val="bottom"/>
          </w:tcPr>
          <w:p w14:paraId="392C7C01" w14:textId="77777777" w:rsidR="00980E5F" w:rsidRDefault="00980E5F">
            <w:pPr>
              <w:rPr>
                <w:rFonts w:ascii="宋体"/>
                <w:vanish/>
              </w:rPr>
            </w:pPr>
          </w:p>
        </w:tc>
        <w:tc>
          <w:tcPr>
            <w:tcW w:w="0" w:type="auto"/>
            <w:gridSpan w:val="3"/>
            <w:shd w:val="clear" w:color="auto" w:fill="auto"/>
            <w:vAlign w:val="bottom"/>
          </w:tcPr>
          <w:p w14:paraId="392C7C02" w14:textId="77777777" w:rsidR="00980E5F" w:rsidRDefault="00980E5F">
            <w:pPr>
              <w:rPr>
                <w:rFonts w:ascii="宋体"/>
                <w:vanish/>
              </w:rPr>
            </w:pPr>
          </w:p>
        </w:tc>
        <w:tc>
          <w:tcPr>
            <w:tcW w:w="0" w:type="auto"/>
            <w:gridSpan w:val="3"/>
            <w:shd w:val="clear" w:color="auto" w:fill="auto"/>
            <w:vAlign w:val="bottom"/>
          </w:tcPr>
          <w:p w14:paraId="392C7C03" w14:textId="77777777" w:rsidR="00980E5F" w:rsidRDefault="00980E5F">
            <w:pPr>
              <w:rPr>
                <w:rFonts w:ascii="宋体"/>
                <w:vanish/>
              </w:rPr>
            </w:pPr>
          </w:p>
        </w:tc>
        <w:tc>
          <w:tcPr>
            <w:tcW w:w="0" w:type="auto"/>
            <w:gridSpan w:val="3"/>
            <w:shd w:val="clear" w:color="auto" w:fill="auto"/>
            <w:vAlign w:val="bottom"/>
          </w:tcPr>
          <w:p w14:paraId="392C7C04" w14:textId="77777777" w:rsidR="00980E5F" w:rsidRDefault="00980E5F">
            <w:pPr>
              <w:rPr>
                <w:rFonts w:ascii="宋体"/>
                <w:vanish/>
              </w:rPr>
            </w:pPr>
          </w:p>
        </w:tc>
        <w:tc>
          <w:tcPr>
            <w:tcW w:w="0" w:type="auto"/>
            <w:gridSpan w:val="3"/>
            <w:shd w:val="clear" w:color="auto" w:fill="auto"/>
            <w:vAlign w:val="bottom"/>
          </w:tcPr>
          <w:p w14:paraId="392C7C05" w14:textId="77777777" w:rsidR="00980E5F" w:rsidRDefault="00980E5F">
            <w:pPr>
              <w:rPr>
                <w:rFonts w:ascii="宋体"/>
                <w:vanish/>
              </w:rPr>
            </w:pPr>
          </w:p>
        </w:tc>
        <w:tc>
          <w:tcPr>
            <w:tcW w:w="0" w:type="auto"/>
            <w:gridSpan w:val="3"/>
            <w:shd w:val="clear" w:color="auto" w:fill="auto"/>
            <w:vAlign w:val="bottom"/>
          </w:tcPr>
          <w:p w14:paraId="392C7C06" w14:textId="77777777" w:rsidR="00980E5F" w:rsidRDefault="00980E5F">
            <w:pPr>
              <w:rPr>
                <w:rFonts w:ascii="宋体"/>
                <w:vanish/>
              </w:rPr>
            </w:pPr>
          </w:p>
        </w:tc>
        <w:tc>
          <w:tcPr>
            <w:tcW w:w="0" w:type="auto"/>
            <w:gridSpan w:val="3"/>
            <w:shd w:val="clear" w:color="auto" w:fill="auto"/>
            <w:vAlign w:val="bottom"/>
          </w:tcPr>
          <w:p w14:paraId="392C7C07" w14:textId="77777777" w:rsidR="00980E5F" w:rsidRDefault="00980E5F">
            <w:pPr>
              <w:rPr>
                <w:rFonts w:ascii="宋体"/>
                <w:vanish/>
              </w:rPr>
            </w:pPr>
          </w:p>
        </w:tc>
        <w:tc>
          <w:tcPr>
            <w:tcW w:w="0" w:type="auto"/>
            <w:gridSpan w:val="3"/>
            <w:shd w:val="clear" w:color="auto" w:fill="auto"/>
            <w:vAlign w:val="bottom"/>
          </w:tcPr>
          <w:p w14:paraId="392C7C08" w14:textId="77777777" w:rsidR="00980E5F" w:rsidRDefault="00980E5F">
            <w:pPr>
              <w:rPr>
                <w:rFonts w:ascii="宋体"/>
                <w:vanish/>
              </w:rPr>
            </w:pPr>
          </w:p>
        </w:tc>
        <w:tc>
          <w:tcPr>
            <w:tcW w:w="0" w:type="auto"/>
            <w:gridSpan w:val="3"/>
            <w:shd w:val="clear" w:color="auto" w:fill="auto"/>
            <w:vAlign w:val="bottom"/>
          </w:tcPr>
          <w:p w14:paraId="392C7C09" w14:textId="77777777" w:rsidR="00980E5F" w:rsidRDefault="00980E5F">
            <w:pPr>
              <w:rPr>
                <w:rFonts w:ascii="宋体"/>
                <w:vanish/>
              </w:rPr>
            </w:pPr>
          </w:p>
        </w:tc>
        <w:tc>
          <w:tcPr>
            <w:tcW w:w="0" w:type="auto"/>
            <w:gridSpan w:val="3"/>
            <w:shd w:val="clear" w:color="auto" w:fill="auto"/>
            <w:vAlign w:val="bottom"/>
          </w:tcPr>
          <w:p w14:paraId="392C7C0A" w14:textId="77777777" w:rsidR="00980E5F" w:rsidRDefault="00980E5F">
            <w:pPr>
              <w:rPr>
                <w:rFonts w:ascii="宋体"/>
                <w:vanish/>
              </w:rPr>
            </w:pPr>
          </w:p>
        </w:tc>
      </w:tr>
      <w:tr w:rsidR="00980E5F" w14:paraId="392C7C1A" w14:textId="77777777">
        <w:trPr>
          <w:hidden/>
        </w:trPr>
        <w:tc>
          <w:tcPr>
            <w:tcW w:w="0" w:type="auto"/>
            <w:gridSpan w:val="3"/>
            <w:shd w:val="clear" w:color="auto" w:fill="auto"/>
            <w:vAlign w:val="bottom"/>
          </w:tcPr>
          <w:p w14:paraId="392C7C0C" w14:textId="77777777" w:rsidR="00980E5F" w:rsidRDefault="00980E5F">
            <w:pPr>
              <w:rPr>
                <w:rFonts w:ascii="宋体"/>
                <w:vanish/>
              </w:rPr>
            </w:pPr>
          </w:p>
        </w:tc>
        <w:tc>
          <w:tcPr>
            <w:tcW w:w="0" w:type="auto"/>
            <w:gridSpan w:val="3"/>
            <w:shd w:val="clear" w:color="auto" w:fill="auto"/>
            <w:vAlign w:val="bottom"/>
          </w:tcPr>
          <w:p w14:paraId="392C7C0D" w14:textId="77777777" w:rsidR="00980E5F" w:rsidRDefault="00980E5F">
            <w:pPr>
              <w:rPr>
                <w:rFonts w:ascii="宋体"/>
                <w:vanish/>
              </w:rPr>
            </w:pPr>
          </w:p>
        </w:tc>
        <w:tc>
          <w:tcPr>
            <w:tcW w:w="0" w:type="auto"/>
            <w:gridSpan w:val="3"/>
            <w:shd w:val="clear" w:color="auto" w:fill="auto"/>
            <w:vAlign w:val="bottom"/>
          </w:tcPr>
          <w:p w14:paraId="392C7C0E" w14:textId="77777777" w:rsidR="00980E5F" w:rsidRDefault="00980E5F">
            <w:pPr>
              <w:rPr>
                <w:rFonts w:ascii="宋体"/>
                <w:vanish/>
              </w:rPr>
            </w:pPr>
          </w:p>
        </w:tc>
        <w:tc>
          <w:tcPr>
            <w:tcW w:w="0" w:type="auto"/>
            <w:gridSpan w:val="3"/>
            <w:shd w:val="clear" w:color="auto" w:fill="auto"/>
            <w:vAlign w:val="bottom"/>
          </w:tcPr>
          <w:p w14:paraId="392C7C0F" w14:textId="77777777" w:rsidR="00980E5F" w:rsidRDefault="00980E5F">
            <w:pPr>
              <w:rPr>
                <w:rFonts w:ascii="宋体"/>
                <w:vanish/>
              </w:rPr>
            </w:pPr>
          </w:p>
        </w:tc>
        <w:tc>
          <w:tcPr>
            <w:tcW w:w="0" w:type="auto"/>
            <w:gridSpan w:val="3"/>
            <w:shd w:val="clear" w:color="auto" w:fill="auto"/>
            <w:vAlign w:val="bottom"/>
          </w:tcPr>
          <w:p w14:paraId="392C7C10" w14:textId="77777777" w:rsidR="00980E5F" w:rsidRDefault="00980E5F">
            <w:pPr>
              <w:rPr>
                <w:rFonts w:ascii="宋体"/>
                <w:vanish/>
              </w:rPr>
            </w:pPr>
          </w:p>
        </w:tc>
        <w:tc>
          <w:tcPr>
            <w:tcW w:w="0" w:type="auto"/>
            <w:gridSpan w:val="3"/>
            <w:shd w:val="clear" w:color="auto" w:fill="auto"/>
            <w:vAlign w:val="bottom"/>
          </w:tcPr>
          <w:p w14:paraId="392C7C11" w14:textId="77777777" w:rsidR="00980E5F" w:rsidRDefault="00980E5F">
            <w:pPr>
              <w:rPr>
                <w:rFonts w:ascii="宋体"/>
                <w:vanish/>
              </w:rPr>
            </w:pPr>
          </w:p>
        </w:tc>
        <w:tc>
          <w:tcPr>
            <w:tcW w:w="0" w:type="auto"/>
            <w:gridSpan w:val="3"/>
            <w:shd w:val="clear" w:color="auto" w:fill="auto"/>
            <w:vAlign w:val="bottom"/>
          </w:tcPr>
          <w:p w14:paraId="392C7C12" w14:textId="77777777" w:rsidR="00980E5F" w:rsidRDefault="00980E5F">
            <w:pPr>
              <w:rPr>
                <w:rFonts w:ascii="宋体"/>
                <w:vanish/>
              </w:rPr>
            </w:pPr>
          </w:p>
        </w:tc>
        <w:tc>
          <w:tcPr>
            <w:tcW w:w="0" w:type="auto"/>
            <w:gridSpan w:val="3"/>
            <w:shd w:val="clear" w:color="auto" w:fill="auto"/>
            <w:vAlign w:val="bottom"/>
          </w:tcPr>
          <w:p w14:paraId="392C7C13" w14:textId="77777777" w:rsidR="00980E5F" w:rsidRDefault="00980E5F">
            <w:pPr>
              <w:rPr>
                <w:rFonts w:ascii="宋体"/>
                <w:vanish/>
              </w:rPr>
            </w:pPr>
          </w:p>
        </w:tc>
        <w:tc>
          <w:tcPr>
            <w:tcW w:w="0" w:type="auto"/>
            <w:gridSpan w:val="3"/>
            <w:shd w:val="clear" w:color="auto" w:fill="auto"/>
            <w:vAlign w:val="bottom"/>
          </w:tcPr>
          <w:p w14:paraId="392C7C14" w14:textId="77777777" w:rsidR="00980E5F" w:rsidRDefault="00980E5F">
            <w:pPr>
              <w:rPr>
                <w:rFonts w:ascii="宋体"/>
                <w:vanish/>
              </w:rPr>
            </w:pPr>
          </w:p>
        </w:tc>
        <w:tc>
          <w:tcPr>
            <w:tcW w:w="0" w:type="auto"/>
            <w:gridSpan w:val="3"/>
            <w:shd w:val="clear" w:color="auto" w:fill="auto"/>
            <w:vAlign w:val="bottom"/>
          </w:tcPr>
          <w:p w14:paraId="392C7C15" w14:textId="77777777" w:rsidR="00980E5F" w:rsidRDefault="00980E5F">
            <w:pPr>
              <w:rPr>
                <w:rFonts w:ascii="宋体"/>
                <w:vanish/>
              </w:rPr>
            </w:pPr>
          </w:p>
        </w:tc>
        <w:tc>
          <w:tcPr>
            <w:tcW w:w="0" w:type="auto"/>
            <w:gridSpan w:val="3"/>
            <w:shd w:val="clear" w:color="auto" w:fill="auto"/>
            <w:vAlign w:val="bottom"/>
          </w:tcPr>
          <w:p w14:paraId="392C7C16" w14:textId="77777777" w:rsidR="00980E5F" w:rsidRDefault="00980E5F">
            <w:pPr>
              <w:rPr>
                <w:rFonts w:ascii="宋体"/>
                <w:vanish/>
              </w:rPr>
            </w:pPr>
          </w:p>
        </w:tc>
        <w:tc>
          <w:tcPr>
            <w:tcW w:w="0" w:type="auto"/>
            <w:gridSpan w:val="3"/>
            <w:shd w:val="clear" w:color="auto" w:fill="auto"/>
            <w:vAlign w:val="bottom"/>
          </w:tcPr>
          <w:p w14:paraId="392C7C17" w14:textId="77777777" w:rsidR="00980E5F" w:rsidRDefault="00980E5F">
            <w:pPr>
              <w:rPr>
                <w:rFonts w:ascii="宋体"/>
                <w:vanish/>
              </w:rPr>
            </w:pPr>
          </w:p>
        </w:tc>
        <w:tc>
          <w:tcPr>
            <w:tcW w:w="0" w:type="auto"/>
            <w:gridSpan w:val="3"/>
            <w:shd w:val="clear" w:color="auto" w:fill="auto"/>
            <w:vAlign w:val="bottom"/>
          </w:tcPr>
          <w:p w14:paraId="392C7C18" w14:textId="77777777" w:rsidR="00980E5F" w:rsidRDefault="00980E5F">
            <w:pPr>
              <w:rPr>
                <w:rFonts w:ascii="宋体"/>
                <w:vanish/>
              </w:rPr>
            </w:pPr>
          </w:p>
        </w:tc>
        <w:tc>
          <w:tcPr>
            <w:tcW w:w="0" w:type="auto"/>
            <w:gridSpan w:val="3"/>
            <w:shd w:val="clear" w:color="auto" w:fill="auto"/>
            <w:vAlign w:val="bottom"/>
          </w:tcPr>
          <w:p w14:paraId="392C7C19" w14:textId="77777777" w:rsidR="00980E5F" w:rsidRDefault="00980E5F">
            <w:pPr>
              <w:rPr>
                <w:rFonts w:ascii="宋体"/>
                <w:vanish/>
              </w:rPr>
            </w:pPr>
          </w:p>
        </w:tc>
      </w:tr>
      <w:tr w:rsidR="00980E5F" w14:paraId="392C7C29" w14:textId="77777777">
        <w:trPr>
          <w:hidden/>
        </w:trPr>
        <w:tc>
          <w:tcPr>
            <w:tcW w:w="0" w:type="auto"/>
            <w:gridSpan w:val="3"/>
            <w:shd w:val="clear" w:color="auto" w:fill="auto"/>
            <w:vAlign w:val="bottom"/>
          </w:tcPr>
          <w:p w14:paraId="392C7C1B" w14:textId="77777777" w:rsidR="00980E5F" w:rsidRDefault="00980E5F">
            <w:pPr>
              <w:rPr>
                <w:rFonts w:ascii="宋体"/>
                <w:vanish/>
              </w:rPr>
            </w:pPr>
          </w:p>
        </w:tc>
        <w:tc>
          <w:tcPr>
            <w:tcW w:w="0" w:type="auto"/>
            <w:gridSpan w:val="3"/>
            <w:shd w:val="clear" w:color="auto" w:fill="auto"/>
            <w:vAlign w:val="bottom"/>
          </w:tcPr>
          <w:p w14:paraId="392C7C1C" w14:textId="77777777" w:rsidR="00980E5F" w:rsidRDefault="00980E5F">
            <w:pPr>
              <w:rPr>
                <w:rFonts w:ascii="宋体"/>
                <w:vanish/>
              </w:rPr>
            </w:pPr>
          </w:p>
        </w:tc>
        <w:tc>
          <w:tcPr>
            <w:tcW w:w="0" w:type="auto"/>
            <w:gridSpan w:val="3"/>
            <w:shd w:val="clear" w:color="auto" w:fill="auto"/>
            <w:vAlign w:val="bottom"/>
          </w:tcPr>
          <w:p w14:paraId="392C7C1D" w14:textId="77777777" w:rsidR="00980E5F" w:rsidRDefault="00980E5F">
            <w:pPr>
              <w:rPr>
                <w:rFonts w:ascii="宋体"/>
                <w:vanish/>
              </w:rPr>
            </w:pPr>
          </w:p>
        </w:tc>
        <w:tc>
          <w:tcPr>
            <w:tcW w:w="0" w:type="auto"/>
            <w:gridSpan w:val="3"/>
            <w:shd w:val="clear" w:color="auto" w:fill="auto"/>
            <w:vAlign w:val="bottom"/>
          </w:tcPr>
          <w:p w14:paraId="392C7C1E" w14:textId="77777777" w:rsidR="00980E5F" w:rsidRDefault="00980E5F">
            <w:pPr>
              <w:rPr>
                <w:rFonts w:ascii="宋体"/>
                <w:vanish/>
              </w:rPr>
            </w:pPr>
          </w:p>
        </w:tc>
        <w:tc>
          <w:tcPr>
            <w:tcW w:w="0" w:type="auto"/>
            <w:gridSpan w:val="3"/>
            <w:shd w:val="clear" w:color="auto" w:fill="auto"/>
            <w:vAlign w:val="bottom"/>
          </w:tcPr>
          <w:p w14:paraId="392C7C1F" w14:textId="77777777" w:rsidR="00980E5F" w:rsidRDefault="00980E5F">
            <w:pPr>
              <w:rPr>
                <w:rFonts w:ascii="宋体"/>
                <w:vanish/>
              </w:rPr>
            </w:pPr>
          </w:p>
        </w:tc>
        <w:tc>
          <w:tcPr>
            <w:tcW w:w="0" w:type="auto"/>
            <w:gridSpan w:val="3"/>
            <w:shd w:val="clear" w:color="auto" w:fill="auto"/>
            <w:vAlign w:val="bottom"/>
          </w:tcPr>
          <w:p w14:paraId="392C7C20" w14:textId="77777777" w:rsidR="00980E5F" w:rsidRDefault="00980E5F">
            <w:pPr>
              <w:rPr>
                <w:rFonts w:ascii="宋体"/>
                <w:vanish/>
              </w:rPr>
            </w:pPr>
          </w:p>
        </w:tc>
        <w:tc>
          <w:tcPr>
            <w:tcW w:w="0" w:type="auto"/>
            <w:gridSpan w:val="3"/>
            <w:shd w:val="clear" w:color="auto" w:fill="auto"/>
            <w:vAlign w:val="bottom"/>
          </w:tcPr>
          <w:p w14:paraId="392C7C21" w14:textId="77777777" w:rsidR="00980E5F" w:rsidRDefault="00980E5F">
            <w:pPr>
              <w:rPr>
                <w:rFonts w:ascii="宋体"/>
                <w:vanish/>
              </w:rPr>
            </w:pPr>
          </w:p>
        </w:tc>
        <w:tc>
          <w:tcPr>
            <w:tcW w:w="0" w:type="auto"/>
            <w:gridSpan w:val="3"/>
            <w:shd w:val="clear" w:color="auto" w:fill="auto"/>
            <w:vAlign w:val="bottom"/>
          </w:tcPr>
          <w:p w14:paraId="392C7C22" w14:textId="77777777" w:rsidR="00980E5F" w:rsidRDefault="00980E5F">
            <w:pPr>
              <w:rPr>
                <w:rFonts w:ascii="宋体"/>
                <w:vanish/>
              </w:rPr>
            </w:pPr>
          </w:p>
        </w:tc>
        <w:tc>
          <w:tcPr>
            <w:tcW w:w="0" w:type="auto"/>
            <w:gridSpan w:val="3"/>
            <w:shd w:val="clear" w:color="auto" w:fill="auto"/>
            <w:vAlign w:val="bottom"/>
          </w:tcPr>
          <w:p w14:paraId="392C7C23" w14:textId="77777777" w:rsidR="00980E5F" w:rsidRDefault="00980E5F">
            <w:pPr>
              <w:rPr>
                <w:rFonts w:ascii="宋体"/>
                <w:vanish/>
              </w:rPr>
            </w:pPr>
          </w:p>
        </w:tc>
        <w:tc>
          <w:tcPr>
            <w:tcW w:w="0" w:type="auto"/>
            <w:gridSpan w:val="3"/>
            <w:shd w:val="clear" w:color="auto" w:fill="auto"/>
            <w:vAlign w:val="bottom"/>
          </w:tcPr>
          <w:p w14:paraId="392C7C24" w14:textId="77777777" w:rsidR="00980E5F" w:rsidRDefault="00980E5F">
            <w:pPr>
              <w:rPr>
                <w:rFonts w:ascii="宋体"/>
                <w:vanish/>
              </w:rPr>
            </w:pPr>
          </w:p>
        </w:tc>
        <w:tc>
          <w:tcPr>
            <w:tcW w:w="0" w:type="auto"/>
            <w:gridSpan w:val="3"/>
            <w:shd w:val="clear" w:color="auto" w:fill="auto"/>
            <w:vAlign w:val="bottom"/>
          </w:tcPr>
          <w:p w14:paraId="392C7C25" w14:textId="77777777" w:rsidR="00980E5F" w:rsidRDefault="00980E5F">
            <w:pPr>
              <w:rPr>
                <w:rFonts w:ascii="宋体"/>
                <w:vanish/>
              </w:rPr>
            </w:pPr>
          </w:p>
        </w:tc>
        <w:tc>
          <w:tcPr>
            <w:tcW w:w="0" w:type="auto"/>
            <w:gridSpan w:val="3"/>
            <w:shd w:val="clear" w:color="auto" w:fill="auto"/>
            <w:vAlign w:val="bottom"/>
          </w:tcPr>
          <w:p w14:paraId="392C7C26" w14:textId="77777777" w:rsidR="00980E5F" w:rsidRDefault="00980E5F">
            <w:pPr>
              <w:rPr>
                <w:rFonts w:ascii="宋体"/>
                <w:vanish/>
              </w:rPr>
            </w:pPr>
          </w:p>
        </w:tc>
        <w:tc>
          <w:tcPr>
            <w:tcW w:w="0" w:type="auto"/>
            <w:gridSpan w:val="3"/>
            <w:shd w:val="clear" w:color="auto" w:fill="auto"/>
            <w:vAlign w:val="bottom"/>
          </w:tcPr>
          <w:p w14:paraId="392C7C27" w14:textId="77777777" w:rsidR="00980E5F" w:rsidRDefault="00980E5F">
            <w:pPr>
              <w:rPr>
                <w:rFonts w:ascii="宋体"/>
                <w:vanish/>
              </w:rPr>
            </w:pPr>
          </w:p>
        </w:tc>
        <w:tc>
          <w:tcPr>
            <w:tcW w:w="0" w:type="auto"/>
            <w:gridSpan w:val="3"/>
            <w:shd w:val="clear" w:color="auto" w:fill="auto"/>
            <w:vAlign w:val="bottom"/>
          </w:tcPr>
          <w:p w14:paraId="392C7C28" w14:textId="77777777" w:rsidR="00980E5F" w:rsidRDefault="00980E5F">
            <w:pPr>
              <w:rPr>
                <w:rFonts w:ascii="宋体"/>
                <w:vanish/>
              </w:rPr>
            </w:pPr>
          </w:p>
        </w:tc>
      </w:tr>
      <w:tr w:rsidR="00980E5F" w14:paraId="392C7C38" w14:textId="77777777">
        <w:trPr>
          <w:hidden/>
        </w:trPr>
        <w:tc>
          <w:tcPr>
            <w:tcW w:w="0" w:type="auto"/>
            <w:gridSpan w:val="3"/>
            <w:shd w:val="clear" w:color="auto" w:fill="auto"/>
            <w:vAlign w:val="bottom"/>
          </w:tcPr>
          <w:p w14:paraId="392C7C2A" w14:textId="77777777" w:rsidR="00980E5F" w:rsidRDefault="00980E5F">
            <w:pPr>
              <w:rPr>
                <w:rFonts w:ascii="宋体"/>
                <w:vanish/>
              </w:rPr>
            </w:pPr>
          </w:p>
        </w:tc>
        <w:tc>
          <w:tcPr>
            <w:tcW w:w="0" w:type="auto"/>
            <w:gridSpan w:val="3"/>
            <w:shd w:val="clear" w:color="auto" w:fill="auto"/>
            <w:vAlign w:val="bottom"/>
          </w:tcPr>
          <w:p w14:paraId="392C7C2B" w14:textId="77777777" w:rsidR="00980E5F" w:rsidRDefault="00980E5F">
            <w:pPr>
              <w:rPr>
                <w:rFonts w:ascii="宋体"/>
                <w:vanish/>
              </w:rPr>
            </w:pPr>
          </w:p>
        </w:tc>
        <w:tc>
          <w:tcPr>
            <w:tcW w:w="0" w:type="auto"/>
            <w:gridSpan w:val="3"/>
            <w:shd w:val="clear" w:color="auto" w:fill="auto"/>
            <w:vAlign w:val="bottom"/>
          </w:tcPr>
          <w:p w14:paraId="392C7C2C" w14:textId="77777777" w:rsidR="00980E5F" w:rsidRDefault="00980E5F">
            <w:pPr>
              <w:rPr>
                <w:rFonts w:ascii="宋体"/>
                <w:vanish/>
              </w:rPr>
            </w:pPr>
          </w:p>
        </w:tc>
        <w:tc>
          <w:tcPr>
            <w:tcW w:w="0" w:type="auto"/>
            <w:gridSpan w:val="3"/>
            <w:shd w:val="clear" w:color="auto" w:fill="auto"/>
            <w:vAlign w:val="bottom"/>
          </w:tcPr>
          <w:p w14:paraId="392C7C2D" w14:textId="77777777" w:rsidR="00980E5F" w:rsidRDefault="00980E5F">
            <w:pPr>
              <w:rPr>
                <w:rFonts w:ascii="宋体"/>
                <w:vanish/>
              </w:rPr>
            </w:pPr>
          </w:p>
        </w:tc>
        <w:tc>
          <w:tcPr>
            <w:tcW w:w="0" w:type="auto"/>
            <w:gridSpan w:val="3"/>
            <w:shd w:val="clear" w:color="auto" w:fill="auto"/>
            <w:vAlign w:val="bottom"/>
          </w:tcPr>
          <w:p w14:paraId="392C7C2E" w14:textId="77777777" w:rsidR="00980E5F" w:rsidRDefault="00980E5F">
            <w:pPr>
              <w:rPr>
                <w:rFonts w:ascii="宋体"/>
                <w:vanish/>
              </w:rPr>
            </w:pPr>
          </w:p>
        </w:tc>
        <w:tc>
          <w:tcPr>
            <w:tcW w:w="0" w:type="auto"/>
            <w:gridSpan w:val="3"/>
            <w:shd w:val="clear" w:color="auto" w:fill="auto"/>
            <w:vAlign w:val="bottom"/>
          </w:tcPr>
          <w:p w14:paraId="392C7C2F" w14:textId="77777777" w:rsidR="00980E5F" w:rsidRDefault="00980E5F">
            <w:pPr>
              <w:rPr>
                <w:rFonts w:ascii="宋体"/>
                <w:vanish/>
              </w:rPr>
            </w:pPr>
          </w:p>
        </w:tc>
        <w:tc>
          <w:tcPr>
            <w:tcW w:w="0" w:type="auto"/>
            <w:gridSpan w:val="3"/>
            <w:shd w:val="clear" w:color="auto" w:fill="auto"/>
            <w:vAlign w:val="bottom"/>
          </w:tcPr>
          <w:p w14:paraId="392C7C30" w14:textId="77777777" w:rsidR="00980E5F" w:rsidRDefault="00980E5F">
            <w:pPr>
              <w:rPr>
                <w:rFonts w:ascii="宋体"/>
                <w:vanish/>
              </w:rPr>
            </w:pPr>
          </w:p>
        </w:tc>
        <w:tc>
          <w:tcPr>
            <w:tcW w:w="0" w:type="auto"/>
            <w:gridSpan w:val="3"/>
            <w:shd w:val="clear" w:color="auto" w:fill="auto"/>
            <w:vAlign w:val="bottom"/>
          </w:tcPr>
          <w:p w14:paraId="392C7C31" w14:textId="77777777" w:rsidR="00980E5F" w:rsidRDefault="00980E5F">
            <w:pPr>
              <w:rPr>
                <w:rFonts w:ascii="宋体"/>
                <w:vanish/>
              </w:rPr>
            </w:pPr>
          </w:p>
        </w:tc>
        <w:tc>
          <w:tcPr>
            <w:tcW w:w="0" w:type="auto"/>
            <w:gridSpan w:val="3"/>
            <w:shd w:val="clear" w:color="auto" w:fill="auto"/>
            <w:vAlign w:val="bottom"/>
          </w:tcPr>
          <w:p w14:paraId="392C7C32" w14:textId="77777777" w:rsidR="00980E5F" w:rsidRDefault="00980E5F">
            <w:pPr>
              <w:rPr>
                <w:rFonts w:ascii="宋体"/>
                <w:vanish/>
              </w:rPr>
            </w:pPr>
          </w:p>
        </w:tc>
        <w:tc>
          <w:tcPr>
            <w:tcW w:w="0" w:type="auto"/>
            <w:gridSpan w:val="3"/>
            <w:shd w:val="clear" w:color="auto" w:fill="auto"/>
            <w:vAlign w:val="bottom"/>
          </w:tcPr>
          <w:p w14:paraId="392C7C33" w14:textId="77777777" w:rsidR="00980E5F" w:rsidRDefault="00980E5F">
            <w:pPr>
              <w:rPr>
                <w:rFonts w:ascii="宋体"/>
                <w:vanish/>
              </w:rPr>
            </w:pPr>
          </w:p>
        </w:tc>
        <w:tc>
          <w:tcPr>
            <w:tcW w:w="0" w:type="auto"/>
            <w:gridSpan w:val="3"/>
            <w:shd w:val="clear" w:color="auto" w:fill="auto"/>
            <w:vAlign w:val="bottom"/>
          </w:tcPr>
          <w:p w14:paraId="392C7C34" w14:textId="77777777" w:rsidR="00980E5F" w:rsidRDefault="00980E5F">
            <w:pPr>
              <w:rPr>
                <w:rFonts w:ascii="宋体"/>
                <w:vanish/>
              </w:rPr>
            </w:pPr>
          </w:p>
        </w:tc>
        <w:tc>
          <w:tcPr>
            <w:tcW w:w="0" w:type="auto"/>
            <w:gridSpan w:val="3"/>
            <w:shd w:val="clear" w:color="auto" w:fill="auto"/>
            <w:vAlign w:val="bottom"/>
          </w:tcPr>
          <w:p w14:paraId="392C7C35" w14:textId="77777777" w:rsidR="00980E5F" w:rsidRDefault="00980E5F">
            <w:pPr>
              <w:rPr>
                <w:rFonts w:ascii="宋体"/>
                <w:vanish/>
              </w:rPr>
            </w:pPr>
          </w:p>
        </w:tc>
        <w:tc>
          <w:tcPr>
            <w:tcW w:w="0" w:type="auto"/>
            <w:gridSpan w:val="3"/>
            <w:shd w:val="clear" w:color="auto" w:fill="auto"/>
            <w:vAlign w:val="bottom"/>
          </w:tcPr>
          <w:p w14:paraId="392C7C36" w14:textId="77777777" w:rsidR="00980E5F" w:rsidRDefault="00980E5F">
            <w:pPr>
              <w:rPr>
                <w:rFonts w:ascii="宋体"/>
                <w:vanish/>
              </w:rPr>
            </w:pPr>
          </w:p>
        </w:tc>
        <w:tc>
          <w:tcPr>
            <w:tcW w:w="0" w:type="auto"/>
            <w:gridSpan w:val="3"/>
            <w:shd w:val="clear" w:color="auto" w:fill="auto"/>
            <w:vAlign w:val="bottom"/>
          </w:tcPr>
          <w:p w14:paraId="392C7C37" w14:textId="77777777" w:rsidR="00980E5F" w:rsidRDefault="00980E5F">
            <w:pPr>
              <w:rPr>
                <w:rFonts w:ascii="宋体"/>
                <w:vanish/>
              </w:rPr>
            </w:pPr>
          </w:p>
        </w:tc>
      </w:tr>
      <w:tr w:rsidR="00980E5F" w14:paraId="392C7C47" w14:textId="77777777">
        <w:trPr>
          <w:hidden/>
        </w:trPr>
        <w:tc>
          <w:tcPr>
            <w:tcW w:w="0" w:type="auto"/>
            <w:gridSpan w:val="3"/>
            <w:shd w:val="clear" w:color="auto" w:fill="auto"/>
            <w:vAlign w:val="bottom"/>
          </w:tcPr>
          <w:p w14:paraId="392C7C39" w14:textId="77777777" w:rsidR="00980E5F" w:rsidRDefault="00980E5F">
            <w:pPr>
              <w:rPr>
                <w:rFonts w:ascii="宋体"/>
                <w:vanish/>
              </w:rPr>
            </w:pPr>
          </w:p>
        </w:tc>
        <w:tc>
          <w:tcPr>
            <w:tcW w:w="0" w:type="auto"/>
            <w:gridSpan w:val="3"/>
            <w:shd w:val="clear" w:color="auto" w:fill="auto"/>
            <w:vAlign w:val="bottom"/>
          </w:tcPr>
          <w:p w14:paraId="392C7C3A" w14:textId="77777777" w:rsidR="00980E5F" w:rsidRDefault="00980E5F">
            <w:pPr>
              <w:rPr>
                <w:rFonts w:ascii="宋体"/>
                <w:vanish/>
              </w:rPr>
            </w:pPr>
          </w:p>
        </w:tc>
        <w:tc>
          <w:tcPr>
            <w:tcW w:w="0" w:type="auto"/>
            <w:gridSpan w:val="3"/>
            <w:shd w:val="clear" w:color="auto" w:fill="auto"/>
            <w:vAlign w:val="bottom"/>
          </w:tcPr>
          <w:p w14:paraId="392C7C3B" w14:textId="77777777" w:rsidR="00980E5F" w:rsidRDefault="00980E5F">
            <w:pPr>
              <w:rPr>
                <w:rFonts w:ascii="宋体"/>
                <w:vanish/>
              </w:rPr>
            </w:pPr>
          </w:p>
        </w:tc>
        <w:tc>
          <w:tcPr>
            <w:tcW w:w="0" w:type="auto"/>
            <w:gridSpan w:val="3"/>
            <w:shd w:val="clear" w:color="auto" w:fill="auto"/>
            <w:vAlign w:val="bottom"/>
          </w:tcPr>
          <w:p w14:paraId="392C7C3C" w14:textId="77777777" w:rsidR="00980E5F" w:rsidRDefault="00980E5F">
            <w:pPr>
              <w:rPr>
                <w:rFonts w:ascii="宋体"/>
                <w:vanish/>
              </w:rPr>
            </w:pPr>
          </w:p>
        </w:tc>
        <w:tc>
          <w:tcPr>
            <w:tcW w:w="0" w:type="auto"/>
            <w:gridSpan w:val="3"/>
            <w:shd w:val="clear" w:color="auto" w:fill="auto"/>
            <w:vAlign w:val="bottom"/>
          </w:tcPr>
          <w:p w14:paraId="392C7C3D" w14:textId="77777777" w:rsidR="00980E5F" w:rsidRDefault="00980E5F">
            <w:pPr>
              <w:rPr>
                <w:rFonts w:ascii="宋体"/>
                <w:vanish/>
              </w:rPr>
            </w:pPr>
          </w:p>
        </w:tc>
        <w:tc>
          <w:tcPr>
            <w:tcW w:w="0" w:type="auto"/>
            <w:gridSpan w:val="3"/>
            <w:shd w:val="clear" w:color="auto" w:fill="auto"/>
            <w:vAlign w:val="bottom"/>
          </w:tcPr>
          <w:p w14:paraId="392C7C3E" w14:textId="77777777" w:rsidR="00980E5F" w:rsidRDefault="00980E5F">
            <w:pPr>
              <w:rPr>
                <w:rFonts w:ascii="宋体"/>
                <w:vanish/>
              </w:rPr>
            </w:pPr>
          </w:p>
        </w:tc>
        <w:tc>
          <w:tcPr>
            <w:tcW w:w="0" w:type="auto"/>
            <w:gridSpan w:val="3"/>
            <w:shd w:val="clear" w:color="auto" w:fill="auto"/>
            <w:vAlign w:val="bottom"/>
          </w:tcPr>
          <w:p w14:paraId="392C7C3F" w14:textId="77777777" w:rsidR="00980E5F" w:rsidRDefault="00980E5F">
            <w:pPr>
              <w:rPr>
                <w:rFonts w:ascii="宋体"/>
                <w:vanish/>
              </w:rPr>
            </w:pPr>
          </w:p>
        </w:tc>
        <w:tc>
          <w:tcPr>
            <w:tcW w:w="0" w:type="auto"/>
            <w:gridSpan w:val="3"/>
            <w:shd w:val="clear" w:color="auto" w:fill="auto"/>
            <w:vAlign w:val="bottom"/>
          </w:tcPr>
          <w:p w14:paraId="392C7C40" w14:textId="77777777" w:rsidR="00980E5F" w:rsidRDefault="00980E5F">
            <w:pPr>
              <w:rPr>
                <w:rFonts w:ascii="宋体"/>
                <w:vanish/>
              </w:rPr>
            </w:pPr>
          </w:p>
        </w:tc>
        <w:tc>
          <w:tcPr>
            <w:tcW w:w="0" w:type="auto"/>
            <w:gridSpan w:val="3"/>
            <w:shd w:val="clear" w:color="auto" w:fill="auto"/>
            <w:vAlign w:val="bottom"/>
          </w:tcPr>
          <w:p w14:paraId="392C7C41" w14:textId="77777777" w:rsidR="00980E5F" w:rsidRDefault="00980E5F">
            <w:pPr>
              <w:rPr>
                <w:rFonts w:ascii="宋体"/>
                <w:vanish/>
              </w:rPr>
            </w:pPr>
          </w:p>
        </w:tc>
        <w:tc>
          <w:tcPr>
            <w:tcW w:w="0" w:type="auto"/>
            <w:gridSpan w:val="3"/>
            <w:shd w:val="clear" w:color="auto" w:fill="auto"/>
            <w:vAlign w:val="bottom"/>
          </w:tcPr>
          <w:p w14:paraId="392C7C42" w14:textId="77777777" w:rsidR="00980E5F" w:rsidRDefault="00980E5F">
            <w:pPr>
              <w:rPr>
                <w:rFonts w:ascii="宋体"/>
                <w:vanish/>
              </w:rPr>
            </w:pPr>
          </w:p>
        </w:tc>
        <w:tc>
          <w:tcPr>
            <w:tcW w:w="0" w:type="auto"/>
            <w:gridSpan w:val="3"/>
            <w:shd w:val="clear" w:color="auto" w:fill="auto"/>
            <w:vAlign w:val="bottom"/>
          </w:tcPr>
          <w:p w14:paraId="392C7C43" w14:textId="77777777" w:rsidR="00980E5F" w:rsidRDefault="00980E5F">
            <w:pPr>
              <w:rPr>
                <w:rFonts w:ascii="宋体"/>
                <w:vanish/>
              </w:rPr>
            </w:pPr>
          </w:p>
        </w:tc>
        <w:tc>
          <w:tcPr>
            <w:tcW w:w="0" w:type="auto"/>
            <w:gridSpan w:val="3"/>
            <w:shd w:val="clear" w:color="auto" w:fill="auto"/>
            <w:vAlign w:val="bottom"/>
          </w:tcPr>
          <w:p w14:paraId="392C7C44" w14:textId="77777777" w:rsidR="00980E5F" w:rsidRDefault="00980E5F">
            <w:pPr>
              <w:rPr>
                <w:rFonts w:ascii="宋体"/>
                <w:vanish/>
              </w:rPr>
            </w:pPr>
          </w:p>
        </w:tc>
        <w:tc>
          <w:tcPr>
            <w:tcW w:w="0" w:type="auto"/>
            <w:gridSpan w:val="3"/>
            <w:shd w:val="clear" w:color="auto" w:fill="auto"/>
            <w:vAlign w:val="bottom"/>
          </w:tcPr>
          <w:p w14:paraId="392C7C45" w14:textId="77777777" w:rsidR="00980E5F" w:rsidRDefault="00980E5F">
            <w:pPr>
              <w:rPr>
                <w:rFonts w:ascii="宋体"/>
                <w:vanish/>
              </w:rPr>
            </w:pPr>
          </w:p>
        </w:tc>
        <w:tc>
          <w:tcPr>
            <w:tcW w:w="0" w:type="auto"/>
            <w:gridSpan w:val="3"/>
            <w:shd w:val="clear" w:color="auto" w:fill="auto"/>
            <w:vAlign w:val="bottom"/>
          </w:tcPr>
          <w:p w14:paraId="392C7C46" w14:textId="77777777" w:rsidR="00980E5F" w:rsidRDefault="00980E5F">
            <w:pPr>
              <w:rPr>
                <w:rFonts w:ascii="宋体"/>
                <w:vanish/>
              </w:rPr>
            </w:pPr>
          </w:p>
        </w:tc>
      </w:tr>
    </w:tbl>
    <w:p w14:paraId="392C7C48" w14:textId="77777777" w:rsidR="00980E5F" w:rsidRDefault="00483613">
      <w:pPr>
        <w:ind w:firstLine="450"/>
        <w:jc w:val="right"/>
      </w:pPr>
      <w:r>
        <w:rPr>
          <w:rFonts w:ascii="Arial" w:eastAsia="宋体" w:hAnsi="Arial" w:cs="Arial"/>
          <w:color w:val="000000"/>
          <w:sz w:val="18"/>
          <w:szCs w:val="18"/>
        </w:rPr>
        <w:t>State Street Corporation | 75</w:t>
      </w:r>
    </w:p>
    <w:p w14:paraId="392C7C49" w14:textId="77777777" w:rsidR="00980E5F" w:rsidRDefault="00980E5F">
      <w:pPr>
        <w:ind w:firstLine="450"/>
        <w:jc w:val="center"/>
      </w:pPr>
    </w:p>
    <w:p w14:paraId="392C7C4A" w14:textId="77777777" w:rsidR="00980E5F" w:rsidRDefault="00483613">
      <w:r>
        <w:pict w14:anchorId="392CBB19">
          <v:rect id="_x0000_i1099" style="width:415.3pt;height:1.5pt" o:hralign="center" o:hrstd="t" o:hr="t" fillcolor="#a0a0a0" stroked="f"/>
        </w:pict>
      </w:r>
    </w:p>
    <w:p w14:paraId="392C7C4B" w14:textId="77777777" w:rsidR="00980E5F" w:rsidRDefault="00483613">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392C7C4C"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7C4D"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474"/>
        <w:gridCol w:w="38"/>
        <w:gridCol w:w="100"/>
        <w:gridCol w:w="660"/>
        <w:gridCol w:w="38"/>
        <w:gridCol w:w="36"/>
        <w:gridCol w:w="36"/>
        <w:gridCol w:w="36"/>
        <w:gridCol w:w="99"/>
        <w:gridCol w:w="604"/>
        <w:gridCol w:w="37"/>
        <w:gridCol w:w="36"/>
        <w:gridCol w:w="36"/>
        <w:gridCol w:w="36"/>
        <w:gridCol w:w="99"/>
        <w:gridCol w:w="750"/>
        <w:gridCol w:w="36"/>
        <w:gridCol w:w="36"/>
        <w:gridCol w:w="36"/>
        <w:gridCol w:w="36"/>
        <w:gridCol w:w="99"/>
        <w:gridCol w:w="1009"/>
        <w:gridCol w:w="36"/>
        <w:gridCol w:w="36"/>
        <w:gridCol w:w="36"/>
        <w:gridCol w:w="36"/>
        <w:gridCol w:w="99"/>
        <w:gridCol w:w="902"/>
        <w:gridCol w:w="36"/>
        <w:gridCol w:w="36"/>
        <w:gridCol w:w="36"/>
        <w:gridCol w:w="36"/>
        <w:gridCol w:w="99"/>
        <w:gridCol w:w="632"/>
        <w:gridCol w:w="36"/>
        <w:gridCol w:w="36"/>
        <w:gridCol w:w="36"/>
        <w:gridCol w:w="36"/>
        <w:gridCol w:w="98"/>
        <w:gridCol w:w="632"/>
        <w:gridCol w:w="36"/>
      </w:tblGrid>
      <w:tr w:rsidR="00980E5F" w14:paraId="392C7C78" w14:textId="77777777">
        <w:tc>
          <w:tcPr>
            <w:tcW w:w="50" w:type="pct"/>
            <w:shd w:val="clear" w:color="auto" w:fill="auto"/>
            <w:vAlign w:val="bottom"/>
          </w:tcPr>
          <w:p w14:paraId="392C7C4E" w14:textId="77777777" w:rsidR="00980E5F" w:rsidRDefault="00980E5F">
            <w:pPr>
              <w:rPr>
                <w:rFonts w:ascii="宋体"/>
              </w:rPr>
            </w:pPr>
          </w:p>
        </w:tc>
        <w:tc>
          <w:tcPr>
            <w:tcW w:w="997" w:type="pct"/>
            <w:shd w:val="clear" w:color="auto" w:fill="auto"/>
            <w:vAlign w:val="bottom"/>
          </w:tcPr>
          <w:p w14:paraId="392C7C4F" w14:textId="77777777" w:rsidR="00980E5F" w:rsidRDefault="00980E5F">
            <w:pPr>
              <w:rPr>
                <w:rFonts w:ascii="宋体"/>
              </w:rPr>
            </w:pPr>
          </w:p>
        </w:tc>
        <w:tc>
          <w:tcPr>
            <w:tcW w:w="5" w:type="pct"/>
            <w:shd w:val="clear" w:color="auto" w:fill="auto"/>
            <w:vAlign w:val="bottom"/>
          </w:tcPr>
          <w:p w14:paraId="392C7C50" w14:textId="77777777" w:rsidR="00980E5F" w:rsidRDefault="00980E5F">
            <w:pPr>
              <w:rPr>
                <w:rFonts w:ascii="宋体"/>
              </w:rPr>
            </w:pPr>
          </w:p>
        </w:tc>
        <w:tc>
          <w:tcPr>
            <w:tcW w:w="50" w:type="pct"/>
            <w:shd w:val="clear" w:color="auto" w:fill="auto"/>
            <w:vAlign w:val="bottom"/>
          </w:tcPr>
          <w:p w14:paraId="392C7C51" w14:textId="77777777" w:rsidR="00980E5F" w:rsidRDefault="00980E5F">
            <w:pPr>
              <w:rPr>
                <w:rFonts w:ascii="宋体"/>
              </w:rPr>
            </w:pPr>
          </w:p>
        </w:tc>
        <w:tc>
          <w:tcPr>
            <w:tcW w:w="449" w:type="pct"/>
            <w:shd w:val="clear" w:color="auto" w:fill="auto"/>
            <w:vAlign w:val="bottom"/>
          </w:tcPr>
          <w:p w14:paraId="392C7C52" w14:textId="77777777" w:rsidR="00980E5F" w:rsidRDefault="00980E5F">
            <w:pPr>
              <w:rPr>
                <w:rFonts w:ascii="宋体"/>
              </w:rPr>
            </w:pPr>
          </w:p>
        </w:tc>
        <w:tc>
          <w:tcPr>
            <w:tcW w:w="5" w:type="pct"/>
            <w:shd w:val="clear" w:color="auto" w:fill="auto"/>
            <w:vAlign w:val="bottom"/>
          </w:tcPr>
          <w:p w14:paraId="392C7C53" w14:textId="77777777" w:rsidR="00980E5F" w:rsidRDefault="00980E5F">
            <w:pPr>
              <w:rPr>
                <w:rFonts w:ascii="宋体"/>
              </w:rPr>
            </w:pPr>
          </w:p>
        </w:tc>
        <w:tc>
          <w:tcPr>
            <w:tcW w:w="5" w:type="pct"/>
            <w:shd w:val="clear" w:color="auto" w:fill="auto"/>
            <w:vAlign w:val="bottom"/>
          </w:tcPr>
          <w:p w14:paraId="392C7C54" w14:textId="77777777" w:rsidR="00980E5F" w:rsidRDefault="00980E5F">
            <w:pPr>
              <w:rPr>
                <w:rFonts w:ascii="宋体"/>
              </w:rPr>
            </w:pPr>
          </w:p>
        </w:tc>
        <w:tc>
          <w:tcPr>
            <w:tcW w:w="19" w:type="pct"/>
            <w:shd w:val="clear" w:color="auto" w:fill="auto"/>
            <w:vAlign w:val="bottom"/>
          </w:tcPr>
          <w:p w14:paraId="392C7C55" w14:textId="77777777" w:rsidR="00980E5F" w:rsidRDefault="00980E5F">
            <w:pPr>
              <w:rPr>
                <w:rFonts w:ascii="宋体"/>
              </w:rPr>
            </w:pPr>
          </w:p>
        </w:tc>
        <w:tc>
          <w:tcPr>
            <w:tcW w:w="5" w:type="pct"/>
            <w:shd w:val="clear" w:color="auto" w:fill="auto"/>
            <w:vAlign w:val="bottom"/>
          </w:tcPr>
          <w:p w14:paraId="392C7C56" w14:textId="77777777" w:rsidR="00980E5F" w:rsidRDefault="00980E5F">
            <w:pPr>
              <w:rPr>
                <w:rFonts w:ascii="宋体"/>
              </w:rPr>
            </w:pPr>
          </w:p>
        </w:tc>
        <w:tc>
          <w:tcPr>
            <w:tcW w:w="50" w:type="pct"/>
            <w:shd w:val="clear" w:color="auto" w:fill="auto"/>
            <w:vAlign w:val="bottom"/>
          </w:tcPr>
          <w:p w14:paraId="392C7C57" w14:textId="77777777" w:rsidR="00980E5F" w:rsidRDefault="00980E5F">
            <w:pPr>
              <w:rPr>
                <w:rFonts w:ascii="宋体"/>
              </w:rPr>
            </w:pPr>
          </w:p>
        </w:tc>
        <w:tc>
          <w:tcPr>
            <w:tcW w:w="449" w:type="pct"/>
            <w:shd w:val="clear" w:color="auto" w:fill="auto"/>
            <w:vAlign w:val="bottom"/>
          </w:tcPr>
          <w:p w14:paraId="392C7C58" w14:textId="77777777" w:rsidR="00980E5F" w:rsidRDefault="00980E5F">
            <w:pPr>
              <w:rPr>
                <w:rFonts w:ascii="宋体"/>
              </w:rPr>
            </w:pPr>
          </w:p>
        </w:tc>
        <w:tc>
          <w:tcPr>
            <w:tcW w:w="5" w:type="pct"/>
            <w:shd w:val="clear" w:color="auto" w:fill="auto"/>
            <w:vAlign w:val="bottom"/>
          </w:tcPr>
          <w:p w14:paraId="392C7C59" w14:textId="77777777" w:rsidR="00980E5F" w:rsidRDefault="00980E5F">
            <w:pPr>
              <w:rPr>
                <w:rFonts w:ascii="宋体"/>
              </w:rPr>
            </w:pPr>
          </w:p>
        </w:tc>
        <w:tc>
          <w:tcPr>
            <w:tcW w:w="5" w:type="pct"/>
            <w:shd w:val="clear" w:color="auto" w:fill="auto"/>
            <w:vAlign w:val="bottom"/>
          </w:tcPr>
          <w:p w14:paraId="392C7C5A" w14:textId="77777777" w:rsidR="00980E5F" w:rsidRDefault="00980E5F">
            <w:pPr>
              <w:rPr>
                <w:rFonts w:ascii="宋体"/>
              </w:rPr>
            </w:pPr>
          </w:p>
        </w:tc>
        <w:tc>
          <w:tcPr>
            <w:tcW w:w="19" w:type="pct"/>
            <w:shd w:val="clear" w:color="auto" w:fill="auto"/>
            <w:vAlign w:val="bottom"/>
          </w:tcPr>
          <w:p w14:paraId="392C7C5B" w14:textId="77777777" w:rsidR="00980E5F" w:rsidRDefault="00980E5F">
            <w:pPr>
              <w:rPr>
                <w:rFonts w:ascii="宋体"/>
              </w:rPr>
            </w:pPr>
          </w:p>
        </w:tc>
        <w:tc>
          <w:tcPr>
            <w:tcW w:w="5" w:type="pct"/>
            <w:shd w:val="clear" w:color="auto" w:fill="auto"/>
            <w:vAlign w:val="bottom"/>
          </w:tcPr>
          <w:p w14:paraId="392C7C5C" w14:textId="77777777" w:rsidR="00980E5F" w:rsidRDefault="00980E5F">
            <w:pPr>
              <w:rPr>
                <w:rFonts w:ascii="宋体"/>
              </w:rPr>
            </w:pPr>
          </w:p>
        </w:tc>
        <w:tc>
          <w:tcPr>
            <w:tcW w:w="50" w:type="pct"/>
            <w:shd w:val="clear" w:color="auto" w:fill="auto"/>
            <w:vAlign w:val="bottom"/>
          </w:tcPr>
          <w:p w14:paraId="392C7C5D" w14:textId="77777777" w:rsidR="00980E5F" w:rsidRDefault="00980E5F">
            <w:pPr>
              <w:rPr>
                <w:rFonts w:ascii="宋体"/>
              </w:rPr>
            </w:pPr>
          </w:p>
        </w:tc>
        <w:tc>
          <w:tcPr>
            <w:tcW w:w="449" w:type="pct"/>
            <w:shd w:val="clear" w:color="auto" w:fill="auto"/>
            <w:vAlign w:val="bottom"/>
          </w:tcPr>
          <w:p w14:paraId="392C7C5E" w14:textId="77777777" w:rsidR="00980E5F" w:rsidRDefault="00980E5F">
            <w:pPr>
              <w:rPr>
                <w:rFonts w:ascii="宋体"/>
              </w:rPr>
            </w:pPr>
          </w:p>
        </w:tc>
        <w:tc>
          <w:tcPr>
            <w:tcW w:w="5" w:type="pct"/>
            <w:shd w:val="clear" w:color="auto" w:fill="auto"/>
            <w:vAlign w:val="bottom"/>
          </w:tcPr>
          <w:p w14:paraId="392C7C5F" w14:textId="77777777" w:rsidR="00980E5F" w:rsidRDefault="00980E5F">
            <w:pPr>
              <w:rPr>
                <w:rFonts w:ascii="宋体"/>
              </w:rPr>
            </w:pPr>
          </w:p>
        </w:tc>
        <w:tc>
          <w:tcPr>
            <w:tcW w:w="5" w:type="pct"/>
            <w:shd w:val="clear" w:color="auto" w:fill="auto"/>
            <w:vAlign w:val="bottom"/>
          </w:tcPr>
          <w:p w14:paraId="392C7C60" w14:textId="77777777" w:rsidR="00980E5F" w:rsidRDefault="00980E5F">
            <w:pPr>
              <w:rPr>
                <w:rFonts w:ascii="宋体"/>
              </w:rPr>
            </w:pPr>
          </w:p>
        </w:tc>
        <w:tc>
          <w:tcPr>
            <w:tcW w:w="19" w:type="pct"/>
            <w:shd w:val="clear" w:color="auto" w:fill="auto"/>
            <w:vAlign w:val="bottom"/>
          </w:tcPr>
          <w:p w14:paraId="392C7C61" w14:textId="77777777" w:rsidR="00980E5F" w:rsidRDefault="00980E5F">
            <w:pPr>
              <w:rPr>
                <w:rFonts w:ascii="宋体"/>
              </w:rPr>
            </w:pPr>
          </w:p>
        </w:tc>
        <w:tc>
          <w:tcPr>
            <w:tcW w:w="5" w:type="pct"/>
            <w:shd w:val="clear" w:color="auto" w:fill="auto"/>
            <w:vAlign w:val="bottom"/>
          </w:tcPr>
          <w:p w14:paraId="392C7C62" w14:textId="77777777" w:rsidR="00980E5F" w:rsidRDefault="00980E5F">
            <w:pPr>
              <w:rPr>
                <w:rFonts w:ascii="宋体"/>
              </w:rPr>
            </w:pPr>
          </w:p>
        </w:tc>
        <w:tc>
          <w:tcPr>
            <w:tcW w:w="50" w:type="pct"/>
            <w:shd w:val="clear" w:color="auto" w:fill="auto"/>
            <w:vAlign w:val="bottom"/>
          </w:tcPr>
          <w:p w14:paraId="392C7C63" w14:textId="77777777" w:rsidR="00980E5F" w:rsidRDefault="00980E5F">
            <w:pPr>
              <w:rPr>
                <w:rFonts w:ascii="宋体"/>
              </w:rPr>
            </w:pPr>
          </w:p>
        </w:tc>
        <w:tc>
          <w:tcPr>
            <w:tcW w:w="529" w:type="pct"/>
            <w:shd w:val="clear" w:color="auto" w:fill="auto"/>
            <w:vAlign w:val="bottom"/>
          </w:tcPr>
          <w:p w14:paraId="392C7C64" w14:textId="77777777" w:rsidR="00980E5F" w:rsidRDefault="00980E5F">
            <w:pPr>
              <w:rPr>
                <w:rFonts w:ascii="宋体"/>
              </w:rPr>
            </w:pPr>
          </w:p>
        </w:tc>
        <w:tc>
          <w:tcPr>
            <w:tcW w:w="5" w:type="pct"/>
            <w:shd w:val="clear" w:color="auto" w:fill="auto"/>
            <w:vAlign w:val="bottom"/>
          </w:tcPr>
          <w:p w14:paraId="392C7C65" w14:textId="77777777" w:rsidR="00980E5F" w:rsidRDefault="00980E5F">
            <w:pPr>
              <w:rPr>
                <w:rFonts w:ascii="宋体"/>
              </w:rPr>
            </w:pPr>
          </w:p>
        </w:tc>
        <w:tc>
          <w:tcPr>
            <w:tcW w:w="5" w:type="pct"/>
            <w:shd w:val="clear" w:color="auto" w:fill="auto"/>
            <w:vAlign w:val="bottom"/>
          </w:tcPr>
          <w:p w14:paraId="392C7C66" w14:textId="77777777" w:rsidR="00980E5F" w:rsidRDefault="00980E5F">
            <w:pPr>
              <w:rPr>
                <w:rFonts w:ascii="宋体"/>
              </w:rPr>
            </w:pPr>
          </w:p>
        </w:tc>
        <w:tc>
          <w:tcPr>
            <w:tcW w:w="19" w:type="pct"/>
            <w:shd w:val="clear" w:color="auto" w:fill="auto"/>
            <w:vAlign w:val="bottom"/>
          </w:tcPr>
          <w:p w14:paraId="392C7C67" w14:textId="77777777" w:rsidR="00980E5F" w:rsidRDefault="00980E5F">
            <w:pPr>
              <w:rPr>
                <w:rFonts w:ascii="宋体"/>
              </w:rPr>
            </w:pPr>
          </w:p>
        </w:tc>
        <w:tc>
          <w:tcPr>
            <w:tcW w:w="5" w:type="pct"/>
            <w:shd w:val="clear" w:color="auto" w:fill="auto"/>
            <w:vAlign w:val="bottom"/>
          </w:tcPr>
          <w:p w14:paraId="392C7C68" w14:textId="77777777" w:rsidR="00980E5F" w:rsidRDefault="00980E5F">
            <w:pPr>
              <w:rPr>
                <w:rFonts w:ascii="宋体"/>
              </w:rPr>
            </w:pPr>
          </w:p>
        </w:tc>
        <w:tc>
          <w:tcPr>
            <w:tcW w:w="50" w:type="pct"/>
            <w:shd w:val="clear" w:color="auto" w:fill="auto"/>
            <w:vAlign w:val="bottom"/>
          </w:tcPr>
          <w:p w14:paraId="392C7C69" w14:textId="77777777" w:rsidR="00980E5F" w:rsidRDefault="00980E5F">
            <w:pPr>
              <w:rPr>
                <w:rFonts w:ascii="宋体"/>
              </w:rPr>
            </w:pPr>
          </w:p>
        </w:tc>
        <w:tc>
          <w:tcPr>
            <w:tcW w:w="610" w:type="pct"/>
            <w:shd w:val="clear" w:color="auto" w:fill="auto"/>
            <w:vAlign w:val="bottom"/>
          </w:tcPr>
          <w:p w14:paraId="392C7C6A" w14:textId="77777777" w:rsidR="00980E5F" w:rsidRDefault="00980E5F">
            <w:pPr>
              <w:rPr>
                <w:rFonts w:ascii="宋体"/>
              </w:rPr>
            </w:pPr>
          </w:p>
        </w:tc>
        <w:tc>
          <w:tcPr>
            <w:tcW w:w="5" w:type="pct"/>
            <w:shd w:val="clear" w:color="auto" w:fill="auto"/>
            <w:vAlign w:val="bottom"/>
          </w:tcPr>
          <w:p w14:paraId="392C7C6B" w14:textId="77777777" w:rsidR="00980E5F" w:rsidRDefault="00980E5F">
            <w:pPr>
              <w:rPr>
                <w:rFonts w:ascii="宋体"/>
              </w:rPr>
            </w:pPr>
          </w:p>
        </w:tc>
        <w:tc>
          <w:tcPr>
            <w:tcW w:w="5" w:type="pct"/>
            <w:shd w:val="clear" w:color="auto" w:fill="auto"/>
            <w:vAlign w:val="bottom"/>
          </w:tcPr>
          <w:p w14:paraId="392C7C6C" w14:textId="77777777" w:rsidR="00980E5F" w:rsidRDefault="00980E5F">
            <w:pPr>
              <w:rPr>
                <w:rFonts w:ascii="宋体"/>
              </w:rPr>
            </w:pPr>
          </w:p>
        </w:tc>
        <w:tc>
          <w:tcPr>
            <w:tcW w:w="19" w:type="pct"/>
            <w:shd w:val="clear" w:color="auto" w:fill="auto"/>
            <w:vAlign w:val="bottom"/>
          </w:tcPr>
          <w:p w14:paraId="392C7C6D" w14:textId="77777777" w:rsidR="00980E5F" w:rsidRDefault="00980E5F">
            <w:pPr>
              <w:rPr>
                <w:rFonts w:ascii="宋体"/>
              </w:rPr>
            </w:pPr>
          </w:p>
        </w:tc>
        <w:tc>
          <w:tcPr>
            <w:tcW w:w="5" w:type="pct"/>
            <w:shd w:val="clear" w:color="auto" w:fill="auto"/>
            <w:vAlign w:val="bottom"/>
          </w:tcPr>
          <w:p w14:paraId="392C7C6E" w14:textId="77777777" w:rsidR="00980E5F" w:rsidRDefault="00980E5F">
            <w:pPr>
              <w:rPr>
                <w:rFonts w:ascii="宋体"/>
              </w:rPr>
            </w:pPr>
          </w:p>
        </w:tc>
        <w:tc>
          <w:tcPr>
            <w:tcW w:w="50" w:type="pct"/>
            <w:shd w:val="clear" w:color="auto" w:fill="auto"/>
            <w:vAlign w:val="bottom"/>
          </w:tcPr>
          <w:p w14:paraId="392C7C6F" w14:textId="77777777" w:rsidR="00980E5F" w:rsidRDefault="00980E5F">
            <w:pPr>
              <w:rPr>
                <w:rFonts w:ascii="宋体"/>
              </w:rPr>
            </w:pPr>
          </w:p>
        </w:tc>
        <w:tc>
          <w:tcPr>
            <w:tcW w:w="449" w:type="pct"/>
            <w:shd w:val="clear" w:color="auto" w:fill="auto"/>
            <w:vAlign w:val="bottom"/>
          </w:tcPr>
          <w:p w14:paraId="392C7C70" w14:textId="77777777" w:rsidR="00980E5F" w:rsidRDefault="00980E5F">
            <w:pPr>
              <w:rPr>
                <w:rFonts w:ascii="宋体"/>
              </w:rPr>
            </w:pPr>
          </w:p>
        </w:tc>
        <w:tc>
          <w:tcPr>
            <w:tcW w:w="5" w:type="pct"/>
            <w:shd w:val="clear" w:color="auto" w:fill="auto"/>
            <w:vAlign w:val="bottom"/>
          </w:tcPr>
          <w:p w14:paraId="392C7C71" w14:textId="77777777" w:rsidR="00980E5F" w:rsidRDefault="00980E5F">
            <w:pPr>
              <w:rPr>
                <w:rFonts w:ascii="宋体"/>
              </w:rPr>
            </w:pPr>
          </w:p>
        </w:tc>
        <w:tc>
          <w:tcPr>
            <w:tcW w:w="5" w:type="pct"/>
            <w:shd w:val="clear" w:color="auto" w:fill="auto"/>
            <w:vAlign w:val="bottom"/>
          </w:tcPr>
          <w:p w14:paraId="392C7C72" w14:textId="77777777" w:rsidR="00980E5F" w:rsidRDefault="00980E5F">
            <w:pPr>
              <w:rPr>
                <w:rFonts w:ascii="宋体"/>
              </w:rPr>
            </w:pPr>
          </w:p>
        </w:tc>
        <w:tc>
          <w:tcPr>
            <w:tcW w:w="19" w:type="pct"/>
            <w:shd w:val="clear" w:color="auto" w:fill="auto"/>
            <w:vAlign w:val="bottom"/>
          </w:tcPr>
          <w:p w14:paraId="392C7C73" w14:textId="77777777" w:rsidR="00980E5F" w:rsidRDefault="00980E5F">
            <w:pPr>
              <w:rPr>
                <w:rFonts w:ascii="宋体"/>
              </w:rPr>
            </w:pPr>
          </w:p>
        </w:tc>
        <w:tc>
          <w:tcPr>
            <w:tcW w:w="5" w:type="pct"/>
            <w:shd w:val="clear" w:color="auto" w:fill="auto"/>
            <w:vAlign w:val="bottom"/>
          </w:tcPr>
          <w:p w14:paraId="392C7C74" w14:textId="77777777" w:rsidR="00980E5F" w:rsidRDefault="00980E5F">
            <w:pPr>
              <w:rPr>
                <w:rFonts w:ascii="宋体"/>
              </w:rPr>
            </w:pPr>
          </w:p>
        </w:tc>
        <w:tc>
          <w:tcPr>
            <w:tcW w:w="50" w:type="pct"/>
            <w:shd w:val="clear" w:color="auto" w:fill="auto"/>
            <w:vAlign w:val="bottom"/>
          </w:tcPr>
          <w:p w14:paraId="392C7C75" w14:textId="77777777" w:rsidR="00980E5F" w:rsidRDefault="00980E5F">
            <w:pPr>
              <w:rPr>
                <w:rFonts w:ascii="宋体"/>
              </w:rPr>
            </w:pPr>
          </w:p>
        </w:tc>
        <w:tc>
          <w:tcPr>
            <w:tcW w:w="449" w:type="pct"/>
            <w:shd w:val="clear" w:color="auto" w:fill="auto"/>
            <w:vAlign w:val="bottom"/>
          </w:tcPr>
          <w:p w14:paraId="392C7C76" w14:textId="77777777" w:rsidR="00980E5F" w:rsidRDefault="00980E5F">
            <w:pPr>
              <w:rPr>
                <w:rFonts w:ascii="宋体"/>
              </w:rPr>
            </w:pPr>
          </w:p>
        </w:tc>
        <w:tc>
          <w:tcPr>
            <w:tcW w:w="5" w:type="pct"/>
            <w:shd w:val="clear" w:color="auto" w:fill="auto"/>
            <w:vAlign w:val="bottom"/>
          </w:tcPr>
          <w:p w14:paraId="392C7C77" w14:textId="77777777" w:rsidR="00980E5F" w:rsidRDefault="00980E5F">
            <w:pPr>
              <w:rPr>
                <w:rFonts w:ascii="宋体"/>
              </w:rPr>
            </w:pPr>
          </w:p>
        </w:tc>
      </w:tr>
      <w:tr w:rsidR="00980E5F" w14:paraId="392C7C7B" w14:textId="77777777">
        <w:tc>
          <w:tcPr>
            <w:tcW w:w="0" w:type="auto"/>
            <w:gridSpan w:val="3"/>
            <w:shd w:val="clear" w:color="auto" w:fill="auto"/>
            <w:tcMar>
              <w:top w:w="0" w:type="dxa"/>
              <w:left w:w="20" w:type="dxa"/>
              <w:bottom w:w="0" w:type="dxa"/>
              <w:right w:w="20" w:type="dxa"/>
            </w:tcMar>
            <w:vAlign w:val="bottom"/>
          </w:tcPr>
          <w:p w14:paraId="392C7C79" w14:textId="77777777" w:rsidR="00980E5F" w:rsidRDefault="00980E5F">
            <w:pPr>
              <w:rPr>
                <w:rFonts w:ascii="宋体"/>
              </w:rPr>
            </w:pPr>
          </w:p>
        </w:tc>
        <w:tc>
          <w:tcPr>
            <w:tcW w:w="0" w:type="auto"/>
            <w:gridSpan w:val="39"/>
            <w:shd w:val="clear" w:color="auto" w:fill="auto"/>
            <w:tcMar>
              <w:top w:w="40" w:type="dxa"/>
              <w:left w:w="20" w:type="dxa"/>
              <w:bottom w:w="40" w:type="dxa"/>
              <w:right w:w="20" w:type="dxa"/>
            </w:tcMar>
            <w:vAlign w:val="bottom"/>
          </w:tcPr>
          <w:p w14:paraId="392C7C7A" w14:textId="77777777" w:rsidR="00980E5F" w:rsidRDefault="00483613">
            <w:pPr>
              <w:jc w:val="center"/>
              <w:textAlignment w:val="bottom"/>
            </w:pPr>
            <w:r>
              <w:rPr>
                <w:rFonts w:ascii="Arial" w:eastAsia="宋体" w:hAnsi="Arial" w:cs="Arial"/>
                <w:b/>
                <w:bCs/>
                <w:color w:val="000000"/>
                <w:sz w:val="14"/>
                <w:szCs w:val="14"/>
              </w:rPr>
              <w:t>Three Months Ended June 30, 2021</w:t>
            </w:r>
          </w:p>
        </w:tc>
      </w:tr>
      <w:tr w:rsidR="00980E5F" w14:paraId="392C7C87" w14:textId="77777777">
        <w:tc>
          <w:tcPr>
            <w:tcW w:w="0" w:type="auto"/>
            <w:gridSpan w:val="3"/>
            <w:shd w:val="clear" w:color="auto" w:fill="auto"/>
            <w:tcMar>
              <w:top w:w="0" w:type="dxa"/>
              <w:left w:w="20" w:type="dxa"/>
              <w:bottom w:w="0" w:type="dxa"/>
              <w:right w:w="20" w:type="dxa"/>
            </w:tcMar>
            <w:vAlign w:val="bottom"/>
          </w:tcPr>
          <w:p w14:paraId="392C7C7C"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7C7D"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7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7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4" w14:textId="77777777" w:rsidR="00980E5F" w:rsidRDefault="00980E5F">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392C7C8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6" w14:textId="77777777" w:rsidR="00980E5F" w:rsidRDefault="00980E5F">
            <w:pPr>
              <w:rPr>
                <w:rFonts w:ascii="宋体"/>
              </w:rPr>
            </w:pPr>
          </w:p>
        </w:tc>
      </w:tr>
      <w:tr w:rsidR="00980E5F" w14:paraId="392C7C96" w14:textId="77777777">
        <w:tc>
          <w:tcPr>
            <w:tcW w:w="0" w:type="auto"/>
            <w:gridSpan w:val="3"/>
            <w:shd w:val="clear" w:color="auto" w:fill="auto"/>
            <w:tcMar>
              <w:top w:w="40" w:type="dxa"/>
              <w:left w:w="20" w:type="dxa"/>
              <w:bottom w:w="40" w:type="dxa"/>
              <w:right w:w="20" w:type="dxa"/>
            </w:tcMar>
            <w:vAlign w:val="bottom"/>
          </w:tcPr>
          <w:p w14:paraId="392C7C88"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C89" w14:textId="77777777" w:rsidR="00980E5F" w:rsidRDefault="00483613">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8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C8B" w14:textId="77777777" w:rsidR="00980E5F" w:rsidRDefault="00483613">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7C8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C8D"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392C7C8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C8F" w14:textId="77777777" w:rsidR="00980E5F" w:rsidRDefault="00483613">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392C7C9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C91" w14:textId="77777777" w:rsidR="00980E5F" w:rsidRDefault="00483613">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392C7C9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C93" w14:textId="77777777" w:rsidR="00980E5F" w:rsidRDefault="00483613">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392C7C9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C95"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7CA5" w14:textId="77777777">
        <w:tc>
          <w:tcPr>
            <w:tcW w:w="0" w:type="auto"/>
            <w:gridSpan w:val="3"/>
            <w:shd w:val="clear" w:color="auto" w:fill="auto"/>
            <w:tcMar>
              <w:top w:w="40" w:type="dxa"/>
              <w:left w:w="20" w:type="dxa"/>
              <w:bottom w:w="40" w:type="dxa"/>
              <w:right w:w="20" w:type="dxa"/>
            </w:tcMar>
            <w:vAlign w:val="bottom"/>
          </w:tcPr>
          <w:p w14:paraId="392C7C97" w14:textId="77777777" w:rsidR="00980E5F" w:rsidRDefault="00483613">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9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9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9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9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9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9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9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A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A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CA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CA4" w14:textId="77777777" w:rsidR="00980E5F" w:rsidRDefault="00980E5F">
            <w:pPr>
              <w:rPr>
                <w:rFonts w:ascii="宋体"/>
              </w:rPr>
            </w:pPr>
          </w:p>
        </w:tc>
      </w:tr>
      <w:tr w:rsidR="00980E5F" w14:paraId="392C7CC2" w14:textId="77777777">
        <w:tc>
          <w:tcPr>
            <w:tcW w:w="0" w:type="auto"/>
            <w:gridSpan w:val="3"/>
            <w:shd w:val="clear" w:color="auto" w:fill="CCEEFF"/>
            <w:tcMar>
              <w:top w:w="40" w:type="dxa"/>
              <w:left w:w="20" w:type="dxa"/>
              <w:bottom w:w="40" w:type="dxa"/>
              <w:right w:w="20" w:type="dxa"/>
            </w:tcMar>
            <w:vAlign w:val="bottom"/>
          </w:tcPr>
          <w:p w14:paraId="392C7CA6" w14:textId="77777777" w:rsidR="00980E5F" w:rsidRDefault="00483613">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92C7CA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A8" w14:textId="77777777" w:rsidR="00980E5F" w:rsidRDefault="00483613">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392C7C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A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A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AC" w14:textId="77777777" w:rsidR="00980E5F" w:rsidRDefault="00483613">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392C7C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A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A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B0"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392C7C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B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B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B4"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7C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B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B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B8" w14:textId="77777777" w:rsidR="00980E5F" w:rsidRDefault="00483613">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392C7C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B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B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B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C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B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CB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CC0" w14:textId="77777777" w:rsidR="00980E5F" w:rsidRDefault="00483613">
            <w:pPr>
              <w:jc w:val="right"/>
              <w:textAlignment w:val="bottom"/>
            </w:pPr>
            <w:r>
              <w:rPr>
                <w:rFonts w:ascii="Arial" w:eastAsia="宋体" w:hAnsi="Arial" w:cs="Arial"/>
                <w:color w:val="000000"/>
                <w:sz w:val="14"/>
                <w:szCs w:val="14"/>
              </w:rPr>
              <w:t>135 </w:t>
            </w:r>
          </w:p>
        </w:tc>
        <w:tc>
          <w:tcPr>
            <w:tcW w:w="0" w:type="auto"/>
            <w:shd w:val="clear" w:color="auto" w:fill="CCEEFF"/>
            <w:tcMar>
              <w:top w:w="40" w:type="dxa"/>
              <w:left w:w="0" w:type="dxa"/>
              <w:bottom w:w="40" w:type="dxa"/>
              <w:right w:w="20" w:type="dxa"/>
            </w:tcMar>
            <w:vAlign w:val="bottom"/>
          </w:tcPr>
          <w:p w14:paraId="392C7CC1" w14:textId="77777777" w:rsidR="00980E5F" w:rsidRDefault="00980E5F">
            <w:pPr>
              <w:jc w:val="right"/>
              <w:rPr>
                <w:rFonts w:ascii="宋体"/>
              </w:rPr>
            </w:pPr>
          </w:p>
        </w:tc>
      </w:tr>
      <w:tr w:rsidR="00980E5F" w14:paraId="392C7CD8" w14:textId="77777777">
        <w:tc>
          <w:tcPr>
            <w:tcW w:w="0" w:type="auto"/>
            <w:gridSpan w:val="3"/>
            <w:shd w:val="clear" w:color="auto" w:fill="FFFFFF"/>
            <w:tcMar>
              <w:top w:w="40" w:type="dxa"/>
              <w:left w:w="20" w:type="dxa"/>
              <w:bottom w:w="40" w:type="dxa"/>
              <w:right w:w="20" w:type="dxa"/>
            </w:tcMar>
            <w:vAlign w:val="bottom"/>
          </w:tcPr>
          <w:p w14:paraId="392C7CC3" w14:textId="77777777" w:rsidR="00980E5F" w:rsidRDefault="00483613">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392C7CC4"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7C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C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C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C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C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C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C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C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D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CD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D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D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CD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CD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CD6"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7CD7" w14:textId="77777777" w:rsidR="00980E5F" w:rsidRDefault="00980E5F">
            <w:pPr>
              <w:jc w:val="right"/>
              <w:rPr>
                <w:rFonts w:ascii="宋体"/>
              </w:rPr>
            </w:pPr>
          </w:p>
        </w:tc>
      </w:tr>
      <w:tr w:rsidR="00980E5F" w14:paraId="392C7CEE" w14:textId="77777777">
        <w:tc>
          <w:tcPr>
            <w:tcW w:w="0" w:type="auto"/>
            <w:gridSpan w:val="3"/>
            <w:shd w:val="clear" w:color="auto" w:fill="CCEEFF"/>
            <w:tcMar>
              <w:top w:w="40" w:type="dxa"/>
              <w:left w:w="20" w:type="dxa"/>
              <w:bottom w:w="40" w:type="dxa"/>
              <w:right w:w="20" w:type="dxa"/>
            </w:tcMar>
            <w:vAlign w:val="bottom"/>
          </w:tcPr>
          <w:p w14:paraId="392C7CD9" w14:textId="77777777" w:rsidR="00980E5F" w:rsidRDefault="00483613">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392C7CDA" w14:textId="77777777" w:rsidR="00980E5F" w:rsidRDefault="00483613">
            <w:pPr>
              <w:jc w:val="right"/>
              <w:textAlignment w:val="bottom"/>
            </w:pPr>
            <w:r>
              <w:rPr>
                <w:rFonts w:ascii="Arial" w:eastAsia="宋体" w:hAnsi="Arial" w:cs="Arial"/>
                <w:color w:val="000000"/>
                <w:sz w:val="14"/>
                <w:szCs w:val="14"/>
              </w:rPr>
              <w:t>(19)</w:t>
            </w:r>
          </w:p>
        </w:tc>
        <w:tc>
          <w:tcPr>
            <w:tcW w:w="0" w:type="auto"/>
            <w:shd w:val="clear" w:color="auto" w:fill="CCEEFF"/>
            <w:tcMar>
              <w:top w:w="40" w:type="dxa"/>
              <w:left w:w="0" w:type="dxa"/>
              <w:bottom w:w="40" w:type="dxa"/>
              <w:right w:w="20" w:type="dxa"/>
            </w:tcMar>
            <w:vAlign w:val="bottom"/>
          </w:tcPr>
          <w:p w14:paraId="392C7CD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D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D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C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D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E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C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E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C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E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E6" w14:textId="77777777" w:rsidR="00980E5F" w:rsidRDefault="00483613">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92C7C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E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E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7CE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CE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CEC" w14:textId="77777777" w:rsidR="00980E5F" w:rsidRDefault="00483613">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392C7CED" w14:textId="77777777" w:rsidR="00980E5F" w:rsidRDefault="00980E5F">
            <w:pPr>
              <w:jc w:val="right"/>
              <w:rPr>
                <w:rFonts w:ascii="宋体"/>
              </w:rPr>
            </w:pPr>
          </w:p>
        </w:tc>
      </w:tr>
      <w:tr w:rsidR="00980E5F" w14:paraId="392C7CFD" w14:textId="77777777">
        <w:trPr>
          <w:hidden/>
        </w:trPr>
        <w:tc>
          <w:tcPr>
            <w:tcW w:w="0" w:type="auto"/>
            <w:gridSpan w:val="3"/>
            <w:shd w:val="clear" w:color="auto" w:fill="auto"/>
            <w:vAlign w:val="bottom"/>
          </w:tcPr>
          <w:p w14:paraId="392C7CEF" w14:textId="77777777" w:rsidR="00980E5F" w:rsidRDefault="00980E5F">
            <w:pPr>
              <w:rPr>
                <w:rFonts w:ascii="宋体"/>
                <w:vanish/>
              </w:rPr>
            </w:pPr>
          </w:p>
        </w:tc>
        <w:tc>
          <w:tcPr>
            <w:tcW w:w="0" w:type="auto"/>
            <w:gridSpan w:val="3"/>
            <w:shd w:val="clear" w:color="auto" w:fill="auto"/>
            <w:vAlign w:val="bottom"/>
          </w:tcPr>
          <w:p w14:paraId="392C7CF0" w14:textId="77777777" w:rsidR="00980E5F" w:rsidRDefault="00980E5F">
            <w:pPr>
              <w:rPr>
                <w:rFonts w:ascii="宋体"/>
                <w:vanish/>
              </w:rPr>
            </w:pPr>
          </w:p>
        </w:tc>
        <w:tc>
          <w:tcPr>
            <w:tcW w:w="0" w:type="auto"/>
            <w:gridSpan w:val="3"/>
            <w:shd w:val="clear" w:color="auto" w:fill="auto"/>
            <w:vAlign w:val="bottom"/>
          </w:tcPr>
          <w:p w14:paraId="392C7CF1" w14:textId="77777777" w:rsidR="00980E5F" w:rsidRDefault="00980E5F">
            <w:pPr>
              <w:rPr>
                <w:rFonts w:ascii="宋体"/>
                <w:vanish/>
              </w:rPr>
            </w:pPr>
          </w:p>
        </w:tc>
        <w:tc>
          <w:tcPr>
            <w:tcW w:w="0" w:type="auto"/>
            <w:gridSpan w:val="3"/>
            <w:shd w:val="clear" w:color="auto" w:fill="auto"/>
            <w:vAlign w:val="bottom"/>
          </w:tcPr>
          <w:p w14:paraId="392C7CF2" w14:textId="77777777" w:rsidR="00980E5F" w:rsidRDefault="00980E5F">
            <w:pPr>
              <w:rPr>
                <w:rFonts w:ascii="宋体"/>
                <w:vanish/>
              </w:rPr>
            </w:pPr>
          </w:p>
        </w:tc>
        <w:tc>
          <w:tcPr>
            <w:tcW w:w="0" w:type="auto"/>
            <w:gridSpan w:val="3"/>
            <w:shd w:val="clear" w:color="auto" w:fill="auto"/>
            <w:vAlign w:val="bottom"/>
          </w:tcPr>
          <w:p w14:paraId="392C7CF3" w14:textId="77777777" w:rsidR="00980E5F" w:rsidRDefault="00980E5F">
            <w:pPr>
              <w:rPr>
                <w:rFonts w:ascii="宋体"/>
                <w:vanish/>
              </w:rPr>
            </w:pPr>
          </w:p>
        </w:tc>
        <w:tc>
          <w:tcPr>
            <w:tcW w:w="0" w:type="auto"/>
            <w:gridSpan w:val="3"/>
            <w:shd w:val="clear" w:color="auto" w:fill="auto"/>
            <w:vAlign w:val="bottom"/>
          </w:tcPr>
          <w:p w14:paraId="392C7CF4" w14:textId="77777777" w:rsidR="00980E5F" w:rsidRDefault="00980E5F">
            <w:pPr>
              <w:rPr>
                <w:rFonts w:ascii="宋体"/>
                <w:vanish/>
              </w:rPr>
            </w:pPr>
          </w:p>
        </w:tc>
        <w:tc>
          <w:tcPr>
            <w:tcW w:w="0" w:type="auto"/>
            <w:gridSpan w:val="3"/>
            <w:shd w:val="clear" w:color="auto" w:fill="auto"/>
            <w:vAlign w:val="bottom"/>
          </w:tcPr>
          <w:p w14:paraId="392C7CF5" w14:textId="77777777" w:rsidR="00980E5F" w:rsidRDefault="00980E5F">
            <w:pPr>
              <w:rPr>
                <w:rFonts w:ascii="宋体"/>
                <w:vanish/>
              </w:rPr>
            </w:pPr>
          </w:p>
        </w:tc>
        <w:tc>
          <w:tcPr>
            <w:tcW w:w="0" w:type="auto"/>
            <w:gridSpan w:val="3"/>
            <w:shd w:val="clear" w:color="auto" w:fill="auto"/>
            <w:vAlign w:val="bottom"/>
          </w:tcPr>
          <w:p w14:paraId="392C7CF6" w14:textId="77777777" w:rsidR="00980E5F" w:rsidRDefault="00980E5F">
            <w:pPr>
              <w:rPr>
                <w:rFonts w:ascii="宋体"/>
                <w:vanish/>
              </w:rPr>
            </w:pPr>
          </w:p>
        </w:tc>
        <w:tc>
          <w:tcPr>
            <w:tcW w:w="0" w:type="auto"/>
            <w:gridSpan w:val="3"/>
            <w:shd w:val="clear" w:color="auto" w:fill="auto"/>
            <w:vAlign w:val="bottom"/>
          </w:tcPr>
          <w:p w14:paraId="392C7CF7" w14:textId="77777777" w:rsidR="00980E5F" w:rsidRDefault="00980E5F">
            <w:pPr>
              <w:rPr>
                <w:rFonts w:ascii="宋体"/>
                <w:vanish/>
              </w:rPr>
            </w:pPr>
          </w:p>
        </w:tc>
        <w:tc>
          <w:tcPr>
            <w:tcW w:w="0" w:type="auto"/>
            <w:gridSpan w:val="3"/>
            <w:shd w:val="clear" w:color="auto" w:fill="auto"/>
            <w:vAlign w:val="bottom"/>
          </w:tcPr>
          <w:p w14:paraId="392C7CF8" w14:textId="77777777" w:rsidR="00980E5F" w:rsidRDefault="00980E5F">
            <w:pPr>
              <w:rPr>
                <w:rFonts w:ascii="宋体"/>
                <w:vanish/>
              </w:rPr>
            </w:pPr>
          </w:p>
        </w:tc>
        <w:tc>
          <w:tcPr>
            <w:tcW w:w="0" w:type="auto"/>
            <w:gridSpan w:val="3"/>
            <w:shd w:val="clear" w:color="auto" w:fill="auto"/>
            <w:vAlign w:val="bottom"/>
          </w:tcPr>
          <w:p w14:paraId="392C7CF9" w14:textId="77777777" w:rsidR="00980E5F" w:rsidRDefault="00980E5F">
            <w:pPr>
              <w:rPr>
                <w:rFonts w:ascii="宋体"/>
                <w:vanish/>
              </w:rPr>
            </w:pPr>
          </w:p>
        </w:tc>
        <w:tc>
          <w:tcPr>
            <w:tcW w:w="0" w:type="auto"/>
            <w:gridSpan w:val="3"/>
            <w:shd w:val="clear" w:color="auto" w:fill="auto"/>
            <w:vAlign w:val="bottom"/>
          </w:tcPr>
          <w:p w14:paraId="392C7CFA" w14:textId="77777777" w:rsidR="00980E5F" w:rsidRDefault="00980E5F">
            <w:pPr>
              <w:rPr>
                <w:rFonts w:ascii="宋体"/>
                <w:vanish/>
              </w:rPr>
            </w:pPr>
          </w:p>
        </w:tc>
        <w:tc>
          <w:tcPr>
            <w:tcW w:w="0" w:type="auto"/>
            <w:gridSpan w:val="3"/>
            <w:shd w:val="clear" w:color="auto" w:fill="auto"/>
            <w:vAlign w:val="bottom"/>
          </w:tcPr>
          <w:p w14:paraId="392C7CFB" w14:textId="77777777" w:rsidR="00980E5F" w:rsidRDefault="00980E5F">
            <w:pPr>
              <w:rPr>
                <w:rFonts w:ascii="宋体"/>
                <w:vanish/>
              </w:rPr>
            </w:pPr>
          </w:p>
        </w:tc>
        <w:tc>
          <w:tcPr>
            <w:tcW w:w="0" w:type="auto"/>
            <w:gridSpan w:val="3"/>
            <w:shd w:val="clear" w:color="auto" w:fill="auto"/>
            <w:vAlign w:val="bottom"/>
          </w:tcPr>
          <w:p w14:paraId="392C7CFC" w14:textId="77777777" w:rsidR="00980E5F" w:rsidRDefault="00980E5F">
            <w:pPr>
              <w:rPr>
                <w:rFonts w:ascii="宋体"/>
                <w:vanish/>
              </w:rPr>
            </w:pPr>
          </w:p>
        </w:tc>
      </w:tr>
      <w:tr w:rsidR="00980E5F" w14:paraId="392C7D13" w14:textId="77777777">
        <w:tc>
          <w:tcPr>
            <w:tcW w:w="0" w:type="auto"/>
            <w:gridSpan w:val="3"/>
            <w:shd w:val="clear" w:color="auto" w:fill="FFFFFF"/>
            <w:tcMar>
              <w:top w:w="40" w:type="dxa"/>
              <w:left w:w="20" w:type="dxa"/>
              <w:bottom w:w="40" w:type="dxa"/>
              <w:right w:w="20" w:type="dxa"/>
            </w:tcMar>
            <w:vAlign w:val="bottom"/>
          </w:tcPr>
          <w:p w14:paraId="392C7CFE" w14:textId="77777777" w:rsidR="00980E5F" w:rsidRDefault="00483613">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392C7CFF"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7D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0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0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D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0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D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0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D0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0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0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D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0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0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D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D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D11"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7D12" w14:textId="77777777" w:rsidR="00980E5F" w:rsidRDefault="00980E5F">
            <w:pPr>
              <w:jc w:val="right"/>
              <w:rPr>
                <w:rFonts w:ascii="宋体"/>
              </w:rPr>
            </w:pPr>
          </w:p>
        </w:tc>
      </w:tr>
      <w:tr w:rsidR="00980E5F" w14:paraId="392C7D22" w14:textId="77777777">
        <w:trPr>
          <w:hidden/>
        </w:trPr>
        <w:tc>
          <w:tcPr>
            <w:tcW w:w="0" w:type="auto"/>
            <w:gridSpan w:val="3"/>
            <w:shd w:val="clear" w:color="auto" w:fill="auto"/>
            <w:vAlign w:val="bottom"/>
          </w:tcPr>
          <w:p w14:paraId="392C7D14" w14:textId="77777777" w:rsidR="00980E5F" w:rsidRDefault="00980E5F">
            <w:pPr>
              <w:rPr>
                <w:rFonts w:ascii="宋体"/>
                <w:vanish/>
              </w:rPr>
            </w:pPr>
          </w:p>
        </w:tc>
        <w:tc>
          <w:tcPr>
            <w:tcW w:w="0" w:type="auto"/>
            <w:gridSpan w:val="3"/>
            <w:shd w:val="clear" w:color="auto" w:fill="auto"/>
            <w:vAlign w:val="bottom"/>
          </w:tcPr>
          <w:p w14:paraId="392C7D15" w14:textId="77777777" w:rsidR="00980E5F" w:rsidRDefault="00980E5F">
            <w:pPr>
              <w:rPr>
                <w:rFonts w:ascii="宋体"/>
                <w:vanish/>
              </w:rPr>
            </w:pPr>
          </w:p>
        </w:tc>
        <w:tc>
          <w:tcPr>
            <w:tcW w:w="0" w:type="auto"/>
            <w:gridSpan w:val="3"/>
            <w:shd w:val="clear" w:color="auto" w:fill="auto"/>
            <w:vAlign w:val="bottom"/>
          </w:tcPr>
          <w:p w14:paraId="392C7D16" w14:textId="77777777" w:rsidR="00980E5F" w:rsidRDefault="00980E5F">
            <w:pPr>
              <w:rPr>
                <w:rFonts w:ascii="宋体"/>
                <w:vanish/>
              </w:rPr>
            </w:pPr>
          </w:p>
        </w:tc>
        <w:tc>
          <w:tcPr>
            <w:tcW w:w="0" w:type="auto"/>
            <w:gridSpan w:val="3"/>
            <w:shd w:val="clear" w:color="auto" w:fill="auto"/>
            <w:vAlign w:val="bottom"/>
          </w:tcPr>
          <w:p w14:paraId="392C7D17" w14:textId="77777777" w:rsidR="00980E5F" w:rsidRDefault="00980E5F">
            <w:pPr>
              <w:rPr>
                <w:rFonts w:ascii="宋体"/>
                <w:vanish/>
              </w:rPr>
            </w:pPr>
          </w:p>
        </w:tc>
        <w:tc>
          <w:tcPr>
            <w:tcW w:w="0" w:type="auto"/>
            <w:gridSpan w:val="3"/>
            <w:shd w:val="clear" w:color="auto" w:fill="auto"/>
            <w:vAlign w:val="bottom"/>
          </w:tcPr>
          <w:p w14:paraId="392C7D18" w14:textId="77777777" w:rsidR="00980E5F" w:rsidRDefault="00980E5F">
            <w:pPr>
              <w:rPr>
                <w:rFonts w:ascii="宋体"/>
                <w:vanish/>
              </w:rPr>
            </w:pPr>
          </w:p>
        </w:tc>
        <w:tc>
          <w:tcPr>
            <w:tcW w:w="0" w:type="auto"/>
            <w:gridSpan w:val="3"/>
            <w:shd w:val="clear" w:color="auto" w:fill="auto"/>
            <w:vAlign w:val="bottom"/>
          </w:tcPr>
          <w:p w14:paraId="392C7D19" w14:textId="77777777" w:rsidR="00980E5F" w:rsidRDefault="00980E5F">
            <w:pPr>
              <w:rPr>
                <w:rFonts w:ascii="宋体"/>
                <w:vanish/>
              </w:rPr>
            </w:pPr>
          </w:p>
        </w:tc>
        <w:tc>
          <w:tcPr>
            <w:tcW w:w="0" w:type="auto"/>
            <w:gridSpan w:val="3"/>
            <w:shd w:val="clear" w:color="auto" w:fill="auto"/>
            <w:vAlign w:val="bottom"/>
          </w:tcPr>
          <w:p w14:paraId="392C7D1A" w14:textId="77777777" w:rsidR="00980E5F" w:rsidRDefault="00980E5F">
            <w:pPr>
              <w:rPr>
                <w:rFonts w:ascii="宋体"/>
                <w:vanish/>
              </w:rPr>
            </w:pPr>
          </w:p>
        </w:tc>
        <w:tc>
          <w:tcPr>
            <w:tcW w:w="0" w:type="auto"/>
            <w:gridSpan w:val="3"/>
            <w:shd w:val="clear" w:color="auto" w:fill="auto"/>
            <w:vAlign w:val="bottom"/>
          </w:tcPr>
          <w:p w14:paraId="392C7D1B" w14:textId="77777777" w:rsidR="00980E5F" w:rsidRDefault="00980E5F">
            <w:pPr>
              <w:rPr>
                <w:rFonts w:ascii="宋体"/>
                <w:vanish/>
              </w:rPr>
            </w:pPr>
          </w:p>
        </w:tc>
        <w:tc>
          <w:tcPr>
            <w:tcW w:w="0" w:type="auto"/>
            <w:gridSpan w:val="3"/>
            <w:shd w:val="clear" w:color="auto" w:fill="auto"/>
            <w:vAlign w:val="bottom"/>
          </w:tcPr>
          <w:p w14:paraId="392C7D1C" w14:textId="77777777" w:rsidR="00980E5F" w:rsidRDefault="00980E5F">
            <w:pPr>
              <w:rPr>
                <w:rFonts w:ascii="宋体"/>
                <w:vanish/>
              </w:rPr>
            </w:pPr>
          </w:p>
        </w:tc>
        <w:tc>
          <w:tcPr>
            <w:tcW w:w="0" w:type="auto"/>
            <w:gridSpan w:val="3"/>
            <w:shd w:val="clear" w:color="auto" w:fill="auto"/>
            <w:vAlign w:val="bottom"/>
          </w:tcPr>
          <w:p w14:paraId="392C7D1D" w14:textId="77777777" w:rsidR="00980E5F" w:rsidRDefault="00980E5F">
            <w:pPr>
              <w:rPr>
                <w:rFonts w:ascii="宋体"/>
                <w:vanish/>
              </w:rPr>
            </w:pPr>
          </w:p>
        </w:tc>
        <w:tc>
          <w:tcPr>
            <w:tcW w:w="0" w:type="auto"/>
            <w:gridSpan w:val="3"/>
            <w:shd w:val="clear" w:color="auto" w:fill="auto"/>
            <w:vAlign w:val="bottom"/>
          </w:tcPr>
          <w:p w14:paraId="392C7D1E" w14:textId="77777777" w:rsidR="00980E5F" w:rsidRDefault="00980E5F">
            <w:pPr>
              <w:rPr>
                <w:rFonts w:ascii="宋体"/>
                <w:vanish/>
              </w:rPr>
            </w:pPr>
          </w:p>
        </w:tc>
        <w:tc>
          <w:tcPr>
            <w:tcW w:w="0" w:type="auto"/>
            <w:gridSpan w:val="3"/>
            <w:shd w:val="clear" w:color="auto" w:fill="auto"/>
            <w:vAlign w:val="bottom"/>
          </w:tcPr>
          <w:p w14:paraId="392C7D1F" w14:textId="77777777" w:rsidR="00980E5F" w:rsidRDefault="00980E5F">
            <w:pPr>
              <w:rPr>
                <w:rFonts w:ascii="宋体"/>
                <w:vanish/>
              </w:rPr>
            </w:pPr>
          </w:p>
        </w:tc>
        <w:tc>
          <w:tcPr>
            <w:tcW w:w="0" w:type="auto"/>
            <w:gridSpan w:val="3"/>
            <w:shd w:val="clear" w:color="auto" w:fill="auto"/>
            <w:vAlign w:val="bottom"/>
          </w:tcPr>
          <w:p w14:paraId="392C7D20" w14:textId="77777777" w:rsidR="00980E5F" w:rsidRDefault="00980E5F">
            <w:pPr>
              <w:rPr>
                <w:rFonts w:ascii="宋体"/>
                <w:vanish/>
              </w:rPr>
            </w:pPr>
          </w:p>
        </w:tc>
        <w:tc>
          <w:tcPr>
            <w:tcW w:w="0" w:type="auto"/>
            <w:gridSpan w:val="3"/>
            <w:shd w:val="clear" w:color="auto" w:fill="auto"/>
            <w:vAlign w:val="bottom"/>
          </w:tcPr>
          <w:p w14:paraId="392C7D21" w14:textId="77777777" w:rsidR="00980E5F" w:rsidRDefault="00980E5F">
            <w:pPr>
              <w:rPr>
                <w:rFonts w:ascii="宋体"/>
                <w:vanish/>
              </w:rPr>
            </w:pPr>
          </w:p>
        </w:tc>
      </w:tr>
      <w:tr w:rsidR="00980E5F" w14:paraId="392C7D3F" w14:textId="77777777">
        <w:tc>
          <w:tcPr>
            <w:tcW w:w="0" w:type="auto"/>
            <w:gridSpan w:val="3"/>
            <w:shd w:val="clear" w:color="auto" w:fill="CCEEFF"/>
            <w:tcMar>
              <w:top w:w="40" w:type="dxa"/>
              <w:left w:w="20" w:type="dxa"/>
              <w:bottom w:w="40" w:type="dxa"/>
              <w:right w:w="20" w:type="dxa"/>
            </w:tcMar>
            <w:vAlign w:val="bottom"/>
          </w:tcPr>
          <w:p w14:paraId="392C7D23" w14:textId="77777777" w:rsidR="00980E5F" w:rsidRDefault="00483613">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D2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25" w14:textId="77777777" w:rsidR="00980E5F" w:rsidRDefault="00483613">
            <w:pPr>
              <w:jc w:val="right"/>
              <w:textAlignment w:val="bottom"/>
            </w:pPr>
            <w:r>
              <w:rPr>
                <w:rFonts w:ascii="Arial" w:eastAsia="宋体" w:hAnsi="Arial" w:cs="Arial"/>
                <w:color w:val="000000"/>
                <w:sz w:val="14"/>
                <w:szCs w:val="14"/>
              </w:rPr>
              <w:t>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2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2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29" w14:textId="77777777" w:rsidR="00980E5F" w:rsidRDefault="00483613">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2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2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2D" w14:textId="77777777" w:rsidR="00980E5F" w:rsidRDefault="00483613">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2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3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31" w14:textId="77777777" w:rsidR="00980E5F" w:rsidRDefault="00483613">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3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3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35" w14:textId="77777777" w:rsidR="00980E5F" w:rsidRDefault="00483613">
            <w:pPr>
              <w:jc w:val="right"/>
              <w:textAlignment w:val="bottom"/>
            </w:pPr>
            <w:r>
              <w:rPr>
                <w:rFonts w:ascii="Arial" w:eastAsia="宋体" w:hAnsi="Arial" w:cs="Arial"/>
                <w:color w:val="000000"/>
                <w:sz w:val="14"/>
                <w:szCs w:val="14"/>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3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3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39"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3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D3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D3D" w14:textId="77777777" w:rsidR="00980E5F" w:rsidRDefault="00483613">
            <w:pPr>
              <w:jc w:val="right"/>
              <w:textAlignment w:val="bottom"/>
            </w:pPr>
            <w:r>
              <w:rPr>
                <w:rFonts w:ascii="Arial" w:eastAsia="宋体" w:hAnsi="Arial" w:cs="Arial"/>
                <w:color w:val="000000"/>
                <w:sz w:val="14"/>
                <w:szCs w:val="14"/>
              </w:rPr>
              <w:t>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D3E" w14:textId="77777777" w:rsidR="00980E5F" w:rsidRDefault="00980E5F">
            <w:pPr>
              <w:jc w:val="right"/>
              <w:rPr>
                <w:rFonts w:ascii="宋体"/>
              </w:rPr>
            </w:pPr>
          </w:p>
        </w:tc>
      </w:tr>
      <w:tr w:rsidR="00980E5F" w14:paraId="392C7D4E" w14:textId="77777777">
        <w:trPr>
          <w:trHeight w:val="160"/>
        </w:trPr>
        <w:tc>
          <w:tcPr>
            <w:tcW w:w="0" w:type="auto"/>
            <w:gridSpan w:val="3"/>
            <w:shd w:val="clear" w:color="auto" w:fill="FFFFFF"/>
            <w:tcMar>
              <w:top w:w="0" w:type="dxa"/>
              <w:left w:w="20" w:type="dxa"/>
              <w:bottom w:w="0" w:type="dxa"/>
              <w:right w:w="20" w:type="dxa"/>
            </w:tcMar>
            <w:vAlign w:val="bottom"/>
          </w:tcPr>
          <w:p w14:paraId="392C7D4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D4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D4D" w14:textId="77777777" w:rsidR="00980E5F" w:rsidRDefault="00980E5F">
            <w:pPr>
              <w:rPr>
                <w:rFonts w:ascii="宋体"/>
              </w:rPr>
            </w:pPr>
          </w:p>
        </w:tc>
      </w:tr>
      <w:tr w:rsidR="00980E5F" w14:paraId="392C7D50"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392C7D4F" w14:textId="77777777" w:rsidR="00980E5F" w:rsidRDefault="00483613">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tc>
      </w:tr>
      <w:tr w:rsidR="00980E5F" w14:paraId="392C7D79" w14:textId="77777777">
        <w:trPr>
          <w:hidden/>
        </w:trPr>
        <w:tc>
          <w:tcPr>
            <w:tcW w:w="0" w:type="auto"/>
            <w:gridSpan w:val="3"/>
            <w:shd w:val="clear" w:color="auto" w:fill="auto"/>
            <w:vAlign w:val="bottom"/>
          </w:tcPr>
          <w:p w14:paraId="392C7D51" w14:textId="77777777" w:rsidR="00980E5F" w:rsidRDefault="00980E5F">
            <w:pPr>
              <w:rPr>
                <w:rFonts w:ascii="宋体"/>
                <w:vanish/>
              </w:rPr>
            </w:pPr>
          </w:p>
        </w:tc>
        <w:tc>
          <w:tcPr>
            <w:tcW w:w="0" w:type="auto"/>
            <w:shd w:val="clear" w:color="auto" w:fill="auto"/>
            <w:vAlign w:val="bottom"/>
          </w:tcPr>
          <w:p w14:paraId="392C7D52" w14:textId="77777777" w:rsidR="00980E5F" w:rsidRDefault="00980E5F">
            <w:pPr>
              <w:rPr>
                <w:rFonts w:ascii="宋体"/>
              </w:rPr>
            </w:pPr>
          </w:p>
        </w:tc>
        <w:tc>
          <w:tcPr>
            <w:tcW w:w="0" w:type="auto"/>
            <w:shd w:val="clear" w:color="auto" w:fill="auto"/>
            <w:vAlign w:val="bottom"/>
          </w:tcPr>
          <w:p w14:paraId="392C7D53" w14:textId="77777777" w:rsidR="00980E5F" w:rsidRDefault="00980E5F">
            <w:pPr>
              <w:rPr>
                <w:rFonts w:ascii="宋体"/>
              </w:rPr>
            </w:pPr>
          </w:p>
        </w:tc>
        <w:tc>
          <w:tcPr>
            <w:tcW w:w="0" w:type="auto"/>
            <w:shd w:val="clear" w:color="auto" w:fill="auto"/>
            <w:vAlign w:val="bottom"/>
          </w:tcPr>
          <w:p w14:paraId="392C7D54" w14:textId="77777777" w:rsidR="00980E5F" w:rsidRDefault="00980E5F">
            <w:pPr>
              <w:rPr>
                <w:rFonts w:ascii="宋体"/>
              </w:rPr>
            </w:pPr>
          </w:p>
        </w:tc>
        <w:tc>
          <w:tcPr>
            <w:tcW w:w="0" w:type="auto"/>
            <w:shd w:val="clear" w:color="auto" w:fill="auto"/>
            <w:vAlign w:val="bottom"/>
          </w:tcPr>
          <w:p w14:paraId="392C7D55" w14:textId="77777777" w:rsidR="00980E5F" w:rsidRDefault="00980E5F">
            <w:pPr>
              <w:rPr>
                <w:rFonts w:ascii="宋体"/>
              </w:rPr>
            </w:pPr>
          </w:p>
        </w:tc>
        <w:tc>
          <w:tcPr>
            <w:tcW w:w="0" w:type="auto"/>
            <w:shd w:val="clear" w:color="auto" w:fill="auto"/>
            <w:vAlign w:val="bottom"/>
          </w:tcPr>
          <w:p w14:paraId="392C7D56" w14:textId="77777777" w:rsidR="00980E5F" w:rsidRDefault="00980E5F">
            <w:pPr>
              <w:rPr>
                <w:rFonts w:ascii="宋体"/>
              </w:rPr>
            </w:pPr>
          </w:p>
        </w:tc>
        <w:tc>
          <w:tcPr>
            <w:tcW w:w="0" w:type="auto"/>
            <w:shd w:val="clear" w:color="auto" w:fill="auto"/>
            <w:vAlign w:val="bottom"/>
          </w:tcPr>
          <w:p w14:paraId="392C7D57" w14:textId="77777777" w:rsidR="00980E5F" w:rsidRDefault="00980E5F">
            <w:pPr>
              <w:rPr>
                <w:rFonts w:ascii="宋体"/>
              </w:rPr>
            </w:pPr>
          </w:p>
        </w:tc>
        <w:tc>
          <w:tcPr>
            <w:tcW w:w="0" w:type="auto"/>
            <w:shd w:val="clear" w:color="auto" w:fill="auto"/>
            <w:vAlign w:val="bottom"/>
          </w:tcPr>
          <w:p w14:paraId="392C7D58" w14:textId="77777777" w:rsidR="00980E5F" w:rsidRDefault="00980E5F">
            <w:pPr>
              <w:rPr>
                <w:rFonts w:ascii="宋体"/>
              </w:rPr>
            </w:pPr>
          </w:p>
        </w:tc>
        <w:tc>
          <w:tcPr>
            <w:tcW w:w="0" w:type="auto"/>
            <w:shd w:val="clear" w:color="auto" w:fill="auto"/>
            <w:vAlign w:val="bottom"/>
          </w:tcPr>
          <w:p w14:paraId="392C7D59" w14:textId="77777777" w:rsidR="00980E5F" w:rsidRDefault="00980E5F">
            <w:pPr>
              <w:rPr>
                <w:rFonts w:ascii="宋体"/>
              </w:rPr>
            </w:pPr>
          </w:p>
        </w:tc>
        <w:tc>
          <w:tcPr>
            <w:tcW w:w="0" w:type="auto"/>
            <w:shd w:val="clear" w:color="auto" w:fill="auto"/>
            <w:vAlign w:val="bottom"/>
          </w:tcPr>
          <w:p w14:paraId="392C7D5A" w14:textId="77777777" w:rsidR="00980E5F" w:rsidRDefault="00980E5F">
            <w:pPr>
              <w:rPr>
                <w:rFonts w:ascii="宋体"/>
              </w:rPr>
            </w:pPr>
          </w:p>
        </w:tc>
        <w:tc>
          <w:tcPr>
            <w:tcW w:w="0" w:type="auto"/>
            <w:shd w:val="clear" w:color="auto" w:fill="auto"/>
            <w:vAlign w:val="bottom"/>
          </w:tcPr>
          <w:p w14:paraId="392C7D5B" w14:textId="77777777" w:rsidR="00980E5F" w:rsidRDefault="00980E5F">
            <w:pPr>
              <w:rPr>
                <w:rFonts w:ascii="宋体"/>
              </w:rPr>
            </w:pPr>
          </w:p>
        </w:tc>
        <w:tc>
          <w:tcPr>
            <w:tcW w:w="0" w:type="auto"/>
            <w:shd w:val="clear" w:color="auto" w:fill="auto"/>
            <w:vAlign w:val="bottom"/>
          </w:tcPr>
          <w:p w14:paraId="392C7D5C" w14:textId="77777777" w:rsidR="00980E5F" w:rsidRDefault="00980E5F">
            <w:pPr>
              <w:rPr>
                <w:rFonts w:ascii="宋体"/>
              </w:rPr>
            </w:pPr>
          </w:p>
        </w:tc>
        <w:tc>
          <w:tcPr>
            <w:tcW w:w="0" w:type="auto"/>
            <w:shd w:val="clear" w:color="auto" w:fill="auto"/>
            <w:vAlign w:val="bottom"/>
          </w:tcPr>
          <w:p w14:paraId="392C7D5D" w14:textId="77777777" w:rsidR="00980E5F" w:rsidRDefault="00980E5F">
            <w:pPr>
              <w:rPr>
                <w:rFonts w:ascii="宋体"/>
              </w:rPr>
            </w:pPr>
          </w:p>
        </w:tc>
        <w:tc>
          <w:tcPr>
            <w:tcW w:w="0" w:type="auto"/>
            <w:shd w:val="clear" w:color="auto" w:fill="auto"/>
            <w:vAlign w:val="bottom"/>
          </w:tcPr>
          <w:p w14:paraId="392C7D5E" w14:textId="77777777" w:rsidR="00980E5F" w:rsidRDefault="00980E5F">
            <w:pPr>
              <w:rPr>
                <w:rFonts w:ascii="宋体"/>
              </w:rPr>
            </w:pPr>
          </w:p>
        </w:tc>
        <w:tc>
          <w:tcPr>
            <w:tcW w:w="0" w:type="auto"/>
            <w:shd w:val="clear" w:color="auto" w:fill="auto"/>
            <w:vAlign w:val="bottom"/>
          </w:tcPr>
          <w:p w14:paraId="392C7D5F" w14:textId="77777777" w:rsidR="00980E5F" w:rsidRDefault="00980E5F">
            <w:pPr>
              <w:rPr>
                <w:rFonts w:ascii="宋体"/>
              </w:rPr>
            </w:pPr>
          </w:p>
        </w:tc>
        <w:tc>
          <w:tcPr>
            <w:tcW w:w="0" w:type="auto"/>
            <w:shd w:val="clear" w:color="auto" w:fill="auto"/>
            <w:vAlign w:val="bottom"/>
          </w:tcPr>
          <w:p w14:paraId="392C7D60" w14:textId="77777777" w:rsidR="00980E5F" w:rsidRDefault="00980E5F">
            <w:pPr>
              <w:rPr>
                <w:rFonts w:ascii="宋体"/>
              </w:rPr>
            </w:pPr>
          </w:p>
        </w:tc>
        <w:tc>
          <w:tcPr>
            <w:tcW w:w="0" w:type="auto"/>
            <w:shd w:val="clear" w:color="auto" w:fill="auto"/>
            <w:vAlign w:val="bottom"/>
          </w:tcPr>
          <w:p w14:paraId="392C7D61" w14:textId="77777777" w:rsidR="00980E5F" w:rsidRDefault="00980E5F">
            <w:pPr>
              <w:rPr>
                <w:rFonts w:ascii="宋体"/>
              </w:rPr>
            </w:pPr>
          </w:p>
        </w:tc>
        <w:tc>
          <w:tcPr>
            <w:tcW w:w="0" w:type="auto"/>
            <w:shd w:val="clear" w:color="auto" w:fill="auto"/>
            <w:vAlign w:val="bottom"/>
          </w:tcPr>
          <w:p w14:paraId="392C7D62" w14:textId="77777777" w:rsidR="00980E5F" w:rsidRDefault="00980E5F">
            <w:pPr>
              <w:rPr>
                <w:rFonts w:ascii="宋体"/>
              </w:rPr>
            </w:pPr>
          </w:p>
        </w:tc>
        <w:tc>
          <w:tcPr>
            <w:tcW w:w="0" w:type="auto"/>
            <w:shd w:val="clear" w:color="auto" w:fill="auto"/>
            <w:vAlign w:val="bottom"/>
          </w:tcPr>
          <w:p w14:paraId="392C7D63" w14:textId="77777777" w:rsidR="00980E5F" w:rsidRDefault="00980E5F">
            <w:pPr>
              <w:rPr>
                <w:rFonts w:ascii="宋体"/>
              </w:rPr>
            </w:pPr>
          </w:p>
        </w:tc>
        <w:tc>
          <w:tcPr>
            <w:tcW w:w="0" w:type="auto"/>
            <w:shd w:val="clear" w:color="auto" w:fill="auto"/>
            <w:vAlign w:val="bottom"/>
          </w:tcPr>
          <w:p w14:paraId="392C7D64" w14:textId="77777777" w:rsidR="00980E5F" w:rsidRDefault="00980E5F">
            <w:pPr>
              <w:rPr>
                <w:rFonts w:ascii="宋体"/>
              </w:rPr>
            </w:pPr>
          </w:p>
        </w:tc>
        <w:tc>
          <w:tcPr>
            <w:tcW w:w="0" w:type="auto"/>
            <w:shd w:val="clear" w:color="auto" w:fill="auto"/>
            <w:vAlign w:val="bottom"/>
          </w:tcPr>
          <w:p w14:paraId="392C7D65" w14:textId="77777777" w:rsidR="00980E5F" w:rsidRDefault="00980E5F">
            <w:pPr>
              <w:rPr>
                <w:rFonts w:ascii="宋体"/>
              </w:rPr>
            </w:pPr>
          </w:p>
        </w:tc>
        <w:tc>
          <w:tcPr>
            <w:tcW w:w="0" w:type="auto"/>
            <w:shd w:val="clear" w:color="auto" w:fill="auto"/>
            <w:vAlign w:val="bottom"/>
          </w:tcPr>
          <w:p w14:paraId="392C7D66" w14:textId="77777777" w:rsidR="00980E5F" w:rsidRDefault="00980E5F">
            <w:pPr>
              <w:rPr>
                <w:rFonts w:ascii="宋体"/>
              </w:rPr>
            </w:pPr>
          </w:p>
        </w:tc>
        <w:tc>
          <w:tcPr>
            <w:tcW w:w="0" w:type="auto"/>
            <w:shd w:val="clear" w:color="auto" w:fill="auto"/>
            <w:vAlign w:val="bottom"/>
          </w:tcPr>
          <w:p w14:paraId="392C7D67" w14:textId="77777777" w:rsidR="00980E5F" w:rsidRDefault="00980E5F">
            <w:pPr>
              <w:rPr>
                <w:rFonts w:ascii="宋体"/>
              </w:rPr>
            </w:pPr>
          </w:p>
        </w:tc>
        <w:tc>
          <w:tcPr>
            <w:tcW w:w="0" w:type="auto"/>
            <w:shd w:val="clear" w:color="auto" w:fill="auto"/>
            <w:vAlign w:val="bottom"/>
          </w:tcPr>
          <w:p w14:paraId="392C7D68" w14:textId="77777777" w:rsidR="00980E5F" w:rsidRDefault="00980E5F">
            <w:pPr>
              <w:rPr>
                <w:rFonts w:ascii="宋体"/>
              </w:rPr>
            </w:pPr>
          </w:p>
        </w:tc>
        <w:tc>
          <w:tcPr>
            <w:tcW w:w="0" w:type="auto"/>
            <w:shd w:val="clear" w:color="auto" w:fill="auto"/>
            <w:vAlign w:val="bottom"/>
          </w:tcPr>
          <w:p w14:paraId="392C7D69" w14:textId="77777777" w:rsidR="00980E5F" w:rsidRDefault="00980E5F">
            <w:pPr>
              <w:rPr>
                <w:rFonts w:ascii="宋体"/>
              </w:rPr>
            </w:pPr>
          </w:p>
        </w:tc>
        <w:tc>
          <w:tcPr>
            <w:tcW w:w="0" w:type="auto"/>
            <w:shd w:val="clear" w:color="auto" w:fill="auto"/>
            <w:vAlign w:val="bottom"/>
          </w:tcPr>
          <w:p w14:paraId="392C7D6A" w14:textId="77777777" w:rsidR="00980E5F" w:rsidRDefault="00980E5F">
            <w:pPr>
              <w:rPr>
                <w:rFonts w:ascii="宋体"/>
              </w:rPr>
            </w:pPr>
          </w:p>
        </w:tc>
        <w:tc>
          <w:tcPr>
            <w:tcW w:w="0" w:type="auto"/>
            <w:shd w:val="clear" w:color="auto" w:fill="auto"/>
            <w:vAlign w:val="bottom"/>
          </w:tcPr>
          <w:p w14:paraId="392C7D6B" w14:textId="77777777" w:rsidR="00980E5F" w:rsidRDefault="00980E5F">
            <w:pPr>
              <w:rPr>
                <w:rFonts w:ascii="宋体"/>
              </w:rPr>
            </w:pPr>
          </w:p>
        </w:tc>
        <w:tc>
          <w:tcPr>
            <w:tcW w:w="0" w:type="auto"/>
            <w:shd w:val="clear" w:color="auto" w:fill="auto"/>
            <w:vAlign w:val="bottom"/>
          </w:tcPr>
          <w:p w14:paraId="392C7D6C" w14:textId="77777777" w:rsidR="00980E5F" w:rsidRDefault="00980E5F">
            <w:pPr>
              <w:rPr>
                <w:rFonts w:ascii="宋体"/>
              </w:rPr>
            </w:pPr>
          </w:p>
        </w:tc>
        <w:tc>
          <w:tcPr>
            <w:tcW w:w="0" w:type="auto"/>
            <w:shd w:val="clear" w:color="auto" w:fill="auto"/>
            <w:vAlign w:val="bottom"/>
          </w:tcPr>
          <w:p w14:paraId="392C7D6D" w14:textId="77777777" w:rsidR="00980E5F" w:rsidRDefault="00980E5F">
            <w:pPr>
              <w:rPr>
                <w:rFonts w:ascii="宋体"/>
              </w:rPr>
            </w:pPr>
          </w:p>
        </w:tc>
        <w:tc>
          <w:tcPr>
            <w:tcW w:w="0" w:type="auto"/>
            <w:shd w:val="clear" w:color="auto" w:fill="auto"/>
            <w:vAlign w:val="bottom"/>
          </w:tcPr>
          <w:p w14:paraId="392C7D6E" w14:textId="77777777" w:rsidR="00980E5F" w:rsidRDefault="00980E5F">
            <w:pPr>
              <w:rPr>
                <w:rFonts w:ascii="宋体"/>
              </w:rPr>
            </w:pPr>
          </w:p>
        </w:tc>
        <w:tc>
          <w:tcPr>
            <w:tcW w:w="0" w:type="auto"/>
            <w:shd w:val="clear" w:color="auto" w:fill="auto"/>
            <w:vAlign w:val="bottom"/>
          </w:tcPr>
          <w:p w14:paraId="392C7D6F" w14:textId="77777777" w:rsidR="00980E5F" w:rsidRDefault="00980E5F">
            <w:pPr>
              <w:rPr>
                <w:rFonts w:ascii="宋体"/>
              </w:rPr>
            </w:pPr>
          </w:p>
        </w:tc>
        <w:tc>
          <w:tcPr>
            <w:tcW w:w="0" w:type="auto"/>
            <w:shd w:val="clear" w:color="auto" w:fill="auto"/>
            <w:vAlign w:val="bottom"/>
          </w:tcPr>
          <w:p w14:paraId="392C7D70" w14:textId="77777777" w:rsidR="00980E5F" w:rsidRDefault="00980E5F">
            <w:pPr>
              <w:rPr>
                <w:rFonts w:ascii="宋体"/>
              </w:rPr>
            </w:pPr>
          </w:p>
        </w:tc>
        <w:tc>
          <w:tcPr>
            <w:tcW w:w="0" w:type="auto"/>
            <w:shd w:val="clear" w:color="auto" w:fill="auto"/>
            <w:vAlign w:val="bottom"/>
          </w:tcPr>
          <w:p w14:paraId="392C7D71" w14:textId="77777777" w:rsidR="00980E5F" w:rsidRDefault="00980E5F">
            <w:pPr>
              <w:rPr>
                <w:rFonts w:ascii="宋体"/>
              </w:rPr>
            </w:pPr>
          </w:p>
        </w:tc>
        <w:tc>
          <w:tcPr>
            <w:tcW w:w="0" w:type="auto"/>
            <w:shd w:val="clear" w:color="auto" w:fill="auto"/>
            <w:vAlign w:val="bottom"/>
          </w:tcPr>
          <w:p w14:paraId="392C7D72" w14:textId="77777777" w:rsidR="00980E5F" w:rsidRDefault="00980E5F">
            <w:pPr>
              <w:rPr>
                <w:rFonts w:ascii="宋体"/>
              </w:rPr>
            </w:pPr>
          </w:p>
        </w:tc>
        <w:tc>
          <w:tcPr>
            <w:tcW w:w="0" w:type="auto"/>
            <w:shd w:val="clear" w:color="auto" w:fill="auto"/>
            <w:vAlign w:val="bottom"/>
          </w:tcPr>
          <w:p w14:paraId="392C7D73" w14:textId="77777777" w:rsidR="00980E5F" w:rsidRDefault="00980E5F">
            <w:pPr>
              <w:rPr>
                <w:rFonts w:ascii="宋体"/>
              </w:rPr>
            </w:pPr>
          </w:p>
        </w:tc>
        <w:tc>
          <w:tcPr>
            <w:tcW w:w="0" w:type="auto"/>
            <w:shd w:val="clear" w:color="auto" w:fill="auto"/>
            <w:vAlign w:val="bottom"/>
          </w:tcPr>
          <w:p w14:paraId="392C7D74" w14:textId="77777777" w:rsidR="00980E5F" w:rsidRDefault="00980E5F">
            <w:pPr>
              <w:rPr>
                <w:rFonts w:ascii="宋体"/>
              </w:rPr>
            </w:pPr>
          </w:p>
        </w:tc>
        <w:tc>
          <w:tcPr>
            <w:tcW w:w="0" w:type="auto"/>
            <w:shd w:val="clear" w:color="auto" w:fill="auto"/>
            <w:vAlign w:val="bottom"/>
          </w:tcPr>
          <w:p w14:paraId="392C7D75" w14:textId="77777777" w:rsidR="00980E5F" w:rsidRDefault="00980E5F">
            <w:pPr>
              <w:rPr>
                <w:rFonts w:ascii="宋体"/>
              </w:rPr>
            </w:pPr>
          </w:p>
        </w:tc>
        <w:tc>
          <w:tcPr>
            <w:tcW w:w="0" w:type="auto"/>
            <w:shd w:val="clear" w:color="auto" w:fill="auto"/>
            <w:vAlign w:val="bottom"/>
          </w:tcPr>
          <w:p w14:paraId="392C7D76" w14:textId="77777777" w:rsidR="00980E5F" w:rsidRDefault="00980E5F">
            <w:pPr>
              <w:rPr>
                <w:rFonts w:ascii="宋体"/>
              </w:rPr>
            </w:pPr>
          </w:p>
        </w:tc>
        <w:tc>
          <w:tcPr>
            <w:tcW w:w="0" w:type="auto"/>
            <w:shd w:val="clear" w:color="auto" w:fill="auto"/>
            <w:vAlign w:val="bottom"/>
          </w:tcPr>
          <w:p w14:paraId="392C7D77" w14:textId="77777777" w:rsidR="00980E5F" w:rsidRDefault="00980E5F">
            <w:pPr>
              <w:rPr>
                <w:rFonts w:ascii="宋体"/>
              </w:rPr>
            </w:pPr>
          </w:p>
        </w:tc>
        <w:tc>
          <w:tcPr>
            <w:tcW w:w="0" w:type="auto"/>
            <w:shd w:val="clear" w:color="auto" w:fill="auto"/>
            <w:vAlign w:val="bottom"/>
          </w:tcPr>
          <w:p w14:paraId="392C7D78" w14:textId="77777777" w:rsidR="00980E5F" w:rsidRDefault="00980E5F">
            <w:pPr>
              <w:rPr>
                <w:rFonts w:ascii="宋体"/>
              </w:rPr>
            </w:pPr>
          </w:p>
        </w:tc>
      </w:tr>
    </w:tbl>
    <w:p w14:paraId="392C7D7A"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497"/>
        <w:gridCol w:w="38"/>
        <w:gridCol w:w="100"/>
        <w:gridCol w:w="677"/>
        <w:gridCol w:w="38"/>
        <w:gridCol w:w="36"/>
        <w:gridCol w:w="36"/>
        <w:gridCol w:w="36"/>
        <w:gridCol w:w="98"/>
        <w:gridCol w:w="677"/>
        <w:gridCol w:w="36"/>
        <w:gridCol w:w="36"/>
        <w:gridCol w:w="36"/>
        <w:gridCol w:w="36"/>
        <w:gridCol w:w="99"/>
        <w:gridCol w:w="750"/>
        <w:gridCol w:w="36"/>
        <w:gridCol w:w="36"/>
        <w:gridCol w:w="36"/>
        <w:gridCol w:w="36"/>
        <w:gridCol w:w="99"/>
        <w:gridCol w:w="1009"/>
        <w:gridCol w:w="36"/>
        <w:gridCol w:w="36"/>
        <w:gridCol w:w="36"/>
        <w:gridCol w:w="36"/>
        <w:gridCol w:w="99"/>
        <w:gridCol w:w="894"/>
        <w:gridCol w:w="36"/>
        <w:gridCol w:w="36"/>
        <w:gridCol w:w="36"/>
        <w:gridCol w:w="36"/>
        <w:gridCol w:w="99"/>
        <w:gridCol w:w="543"/>
        <w:gridCol w:w="36"/>
        <w:gridCol w:w="36"/>
        <w:gridCol w:w="36"/>
        <w:gridCol w:w="36"/>
        <w:gridCol w:w="98"/>
        <w:gridCol w:w="613"/>
        <w:gridCol w:w="36"/>
      </w:tblGrid>
      <w:tr w:rsidR="00980E5F" w14:paraId="392C7DA5" w14:textId="77777777">
        <w:tc>
          <w:tcPr>
            <w:tcW w:w="50" w:type="pct"/>
            <w:shd w:val="clear" w:color="auto" w:fill="auto"/>
            <w:vAlign w:val="bottom"/>
          </w:tcPr>
          <w:p w14:paraId="392C7D7B" w14:textId="77777777" w:rsidR="00980E5F" w:rsidRDefault="00980E5F">
            <w:pPr>
              <w:rPr>
                <w:rFonts w:ascii="宋体"/>
              </w:rPr>
            </w:pPr>
          </w:p>
        </w:tc>
        <w:tc>
          <w:tcPr>
            <w:tcW w:w="961" w:type="pct"/>
            <w:shd w:val="clear" w:color="auto" w:fill="auto"/>
            <w:vAlign w:val="bottom"/>
          </w:tcPr>
          <w:p w14:paraId="392C7D7C" w14:textId="77777777" w:rsidR="00980E5F" w:rsidRDefault="00980E5F">
            <w:pPr>
              <w:rPr>
                <w:rFonts w:ascii="宋体"/>
              </w:rPr>
            </w:pPr>
          </w:p>
        </w:tc>
        <w:tc>
          <w:tcPr>
            <w:tcW w:w="5" w:type="pct"/>
            <w:shd w:val="clear" w:color="auto" w:fill="auto"/>
            <w:vAlign w:val="bottom"/>
          </w:tcPr>
          <w:p w14:paraId="392C7D7D" w14:textId="77777777" w:rsidR="00980E5F" w:rsidRDefault="00980E5F">
            <w:pPr>
              <w:rPr>
                <w:rFonts w:ascii="宋体"/>
              </w:rPr>
            </w:pPr>
          </w:p>
        </w:tc>
        <w:tc>
          <w:tcPr>
            <w:tcW w:w="50" w:type="pct"/>
            <w:shd w:val="clear" w:color="auto" w:fill="auto"/>
            <w:vAlign w:val="bottom"/>
          </w:tcPr>
          <w:p w14:paraId="392C7D7E" w14:textId="77777777" w:rsidR="00980E5F" w:rsidRDefault="00980E5F">
            <w:pPr>
              <w:rPr>
                <w:rFonts w:ascii="宋体"/>
              </w:rPr>
            </w:pPr>
          </w:p>
        </w:tc>
        <w:tc>
          <w:tcPr>
            <w:tcW w:w="449" w:type="pct"/>
            <w:shd w:val="clear" w:color="auto" w:fill="auto"/>
            <w:vAlign w:val="bottom"/>
          </w:tcPr>
          <w:p w14:paraId="392C7D7F" w14:textId="77777777" w:rsidR="00980E5F" w:rsidRDefault="00980E5F">
            <w:pPr>
              <w:rPr>
                <w:rFonts w:ascii="宋体"/>
              </w:rPr>
            </w:pPr>
          </w:p>
        </w:tc>
        <w:tc>
          <w:tcPr>
            <w:tcW w:w="5" w:type="pct"/>
            <w:shd w:val="clear" w:color="auto" w:fill="auto"/>
            <w:vAlign w:val="bottom"/>
          </w:tcPr>
          <w:p w14:paraId="392C7D80" w14:textId="77777777" w:rsidR="00980E5F" w:rsidRDefault="00980E5F">
            <w:pPr>
              <w:rPr>
                <w:rFonts w:ascii="宋体"/>
              </w:rPr>
            </w:pPr>
          </w:p>
        </w:tc>
        <w:tc>
          <w:tcPr>
            <w:tcW w:w="5" w:type="pct"/>
            <w:shd w:val="clear" w:color="auto" w:fill="auto"/>
            <w:vAlign w:val="bottom"/>
          </w:tcPr>
          <w:p w14:paraId="392C7D81" w14:textId="77777777" w:rsidR="00980E5F" w:rsidRDefault="00980E5F">
            <w:pPr>
              <w:rPr>
                <w:rFonts w:ascii="宋体"/>
              </w:rPr>
            </w:pPr>
          </w:p>
        </w:tc>
        <w:tc>
          <w:tcPr>
            <w:tcW w:w="19" w:type="pct"/>
            <w:shd w:val="clear" w:color="auto" w:fill="auto"/>
            <w:vAlign w:val="bottom"/>
          </w:tcPr>
          <w:p w14:paraId="392C7D82" w14:textId="77777777" w:rsidR="00980E5F" w:rsidRDefault="00980E5F">
            <w:pPr>
              <w:rPr>
                <w:rFonts w:ascii="宋体"/>
              </w:rPr>
            </w:pPr>
          </w:p>
        </w:tc>
        <w:tc>
          <w:tcPr>
            <w:tcW w:w="5" w:type="pct"/>
            <w:shd w:val="clear" w:color="auto" w:fill="auto"/>
            <w:vAlign w:val="bottom"/>
          </w:tcPr>
          <w:p w14:paraId="392C7D83" w14:textId="77777777" w:rsidR="00980E5F" w:rsidRDefault="00980E5F">
            <w:pPr>
              <w:rPr>
                <w:rFonts w:ascii="宋体"/>
              </w:rPr>
            </w:pPr>
          </w:p>
        </w:tc>
        <w:tc>
          <w:tcPr>
            <w:tcW w:w="50" w:type="pct"/>
            <w:shd w:val="clear" w:color="auto" w:fill="auto"/>
            <w:vAlign w:val="bottom"/>
          </w:tcPr>
          <w:p w14:paraId="392C7D84" w14:textId="77777777" w:rsidR="00980E5F" w:rsidRDefault="00980E5F">
            <w:pPr>
              <w:rPr>
                <w:rFonts w:ascii="宋体"/>
              </w:rPr>
            </w:pPr>
          </w:p>
        </w:tc>
        <w:tc>
          <w:tcPr>
            <w:tcW w:w="449" w:type="pct"/>
            <w:shd w:val="clear" w:color="auto" w:fill="auto"/>
            <w:vAlign w:val="bottom"/>
          </w:tcPr>
          <w:p w14:paraId="392C7D85" w14:textId="77777777" w:rsidR="00980E5F" w:rsidRDefault="00980E5F">
            <w:pPr>
              <w:rPr>
                <w:rFonts w:ascii="宋体"/>
              </w:rPr>
            </w:pPr>
          </w:p>
        </w:tc>
        <w:tc>
          <w:tcPr>
            <w:tcW w:w="5" w:type="pct"/>
            <w:shd w:val="clear" w:color="auto" w:fill="auto"/>
            <w:vAlign w:val="bottom"/>
          </w:tcPr>
          <w:p w14:paraId="392C7D86" w14:textId="77777777" w:rsidR="00980E5F" w:rsidRDefault="00980E5F">
            <w:pPr>
              <w:rPr>
                <w:rFonts w:ascii="宋体"/>
              </w:rPr>
            </w:pPr>
          </w:p>
        </w:tc>
        <w:tc>
          <w:tcPr>
            <w:tcW w:w="5" w:type="pct"/>
            <w:shd w:val="clear" w:color="auto" w:fill="auto"/>
            <w:vAlign w:val="bottom"/>
          </w:tcPr>
          <w:p w14:paraId="392C7D87" w14:textId="77777777" w:rsidR="00980E5F" w:rsidRDefault="00980E5F">
            <w:pPr>
              <w:rPr>
                <w:rFonts w:ascii="宋体"/>
              </w:rPr>
            </w:pPr>
          </w:p>
        </w:tc>
        <w:tc>
          <w:tcPr>
            <w:tcW w:w="26" w:type="pct"/>
            <w:shd w:val="clear" w:color="auto" w:fill="auto"/>
            <w:vAlign w:val="bottom"/>
          </w:tcPr>
          <w:p w14:paraId="392C7D88" w14:textId="77777777" w:rsidR="00980E5F" w:rsidRDefault="00980E5F">
            <w:pPr>
              <w:rPr>
                <w:rFonts w:ascii="宋体"/>
              </w:rPr>
            </w:pPr>
          </w:p>
        </w:tc>
        <w:tc>
          <w:tcPr>
            <w:tcW w:w="5" w:type="pct"/>
            <w:shd w:val="clear" w:color="auto" w:fill="auto"/>
            <w:vAlign w:val="bottom"/>
          </w:tcPr>
          <w:p w14:paraId="392C7D89" w14:textId="77777777" w:rsidR="00980E5F" w:rsidRDefault="00980E5F">
            <w:pPr>
              <w:rPr>
                <w:rFonts w:ascii="宋体"/>
              </w:rPr>
            </w:pPr>
          </w:p>
        </w:tc>
        <w:tc>
          <w:tcPr>
            <w:tcW w:w="50" w:type="pct"/>
            <w:shd w:val="clear" w:color="auto" w:fill="auto"/>
            <w:vAlign w:val="bottom"/>
          </w:tcPr>
          <w:p w14:paraId="392C7D8A" w14:textId="77777777" w:rsidR="00980E5F" w:rsidRDefault="00980E5F">
            <w:pPr>
              <w:rPr>
                <w:rFonts w:ascii="宋体"/>
              </w:rPr>
            </w:pPr>
          </w:p>
        </w:tc>
        <w:tc>
          <w:tcPr>
            <w:tcW w:w="449" w:type="pct"/>
            <w:shd w:val="clear" w:color="auto" w:fill="auto"/>
            <w:vAlign w:val="bottom"/>
          </w:tcPr>
          <w:p w14:paraId="392C7D8B" w14:textId="77777777" w:rsidR="00980E5F" w:rsidRDefault="00980E5F">
            <w:pPr>
              <w:rPr>
                <w:rFonts w:ascii="宋体"/>
              </w:rPr>
            </w:pPr>
          </w:p>
        </w:tc>
        <w:tc>
          <w:tcPr>
            <w:tcW w:w="5" w:type="pct"/>
            <w:shd w:val="clear" w:color="auto" w:fill="auto"/>
            <w:vAlign w:val="bottom"/>
          </w:tcPr>
          <w:p w14:paraId="392C7D8C" w14:textId="77777777" w:rsidR="00980E5F" w:rsidRDefault="00980E5F">
            <w:pPr>
              <w:rPr>
                <w:rFonts w:ascii="宋体"/>
              </w:rPr>
            </w:pPr>
          </w:p>
        </w:tc>
        <w:tc>
          <w:tcPr>
            <w:tcW w:w="5" w:type="pct"/>
            <w:shd w:val="clear" w:color="auto" w:fill="auto"/>
            <w:vAlign w:val="bottom"/>
          </w:tcPr>
          <w:p w14:paraId="392C7D8D" w14:textId="77777777" w:rsidR="00980E5F" w:rsidRDefault="00980E5F">
            <w:pPr>
              <w:rPr>
                <w:rFonts w:ascii="宋体"/>
              </w:rPr>
            </w:pPr>
          </w:p>
        </w:tc>
        <w:tc>
          <w:tcPr>
            <w:tcW w:w="26" w:type="pct"/>
            <w:shd w:val="clear" w:color="auto" w:fill="auto"/>
            <w:vAlign w:val="bottom"/>
          </w:tcPr>
          <w:p w14:paraId="392C7D8E" w14:textId="77777777" w:rsidR="00980E5F" w:rsidRDefault="00980E5F">
            <w:pPr>
              <w:rPr>
                <w:rFonts w:ascii="宋体"/>
              </w:rPr>
            </w:pPr>
          </w:p>
        </w:tc>
        <w:tc>
          <w:tcPr>
            <w:tcW w:w="5" w:type="pct"/>
            <w:shd w:val="clear" w:color="auto" w:fill="auto"/>
            <w:vAlign w:val="bottom"/>
          </w:tcPr>
          <w:p w14:paraId="392C7D8F" w14:textId="77777777" w:rsidR="00980E5F" w:rsidRDefault="00980E5F">
            <w:pPr>
              <w:rPr>
                <w:rFonts w:ascii="宋体"/>
              </w:rPr>
            </w:pPr>
          </w:p>
        </w:tc>
        <w:tc>
          <w:tcPr>
            <w:tcW w:w="50" w:type="pct"/>
            <w:shd w:val="clear" w:color="auto" w:fill="auto"/>
            <w:vAlign w:val="bottom"/>
          </w:tcPr>
          <w:p w14:paraId="392C7D90" w14:textId="77777777" w:rsidR="00980E5F" w:rsidRDefault="00980E5F">
            <w:pPr>
              <w:rPr>
                <w:rFonts w:ascii="宋体"/>
              </w:rPr>
            </w:pPr>
          </w:p>
        </w:tc>
        <w:tc>
          <w:tcPr>
            <w:tcW w:w="529" w:type="pct"/>
            <w:shd w:val="clear" w:color="auto" w:fill="auto"/>
            <w:vAlign w:val="bottom"/>
          </w:tcPr>
          <w:p w14:paraId="392C7D91" w14:textId="77777777" w:rsidR="00980E5F" w:rsidRDefault="00980E5F">
            <w:pPr>
              <w:rPr>
                <w:rFonts w:ascii="宋体"/>
              </w:rPr>
            </w:pPr>
          </w:p>
        </w:tc>
        <w:tc>
          <w:tcPr>
            <w:tcW w:w="5" w:type="pct"/>
            <w:shd w:val="clear" w:color="auto" w:fill="auto"/>
            <w:vAlign w:val="bottom"/>
          </w:tcPr>
          <w:p w14:paraId="392C7D92" w14:textId="77777777" w:rsidR="00980E5F" w:rsidRDefault="00980E5F">
            <w:pPr>
              <w:rPr>
                <w:rFonts w:ascii="宋体"/>
              </w:rPr>
            </w:pPr>
          </w:p>
        </w:tc>
        <w:tc>
          <w:tcPr>
            <w:tcW w:w="5" w:type="pct"/>
            <w:shd w:val="clear" w:color="auto" w:fill="auto"/>
            <w:vAlign w:val="bottom"/>
          </w:tcPr>
          <w:p w14:paraId="392C7D93" w14:textId="77777777" w:rsidR="00980E5F" w:rsidRDefault="00980E5F">
            <w:pPr>
              <w:rPr>
                <w:rFonts w:ascii="宋体"/>
              </w:rPr>
            </w:pPr>
          </w:p>
        </w:tc>
        <w:tc>
          <w:tcPr>
            <w:tcW w:w="26" w:type="pct"/>
            <w:shd w:val="clear" w:color="auto" w:fill="auto"/>
            <w:vAlign w:val="bottom"/>
          </w:tcPr>
          <w:p w14:paraId="392C7D94" w14:textId="77777777" w:rsidR="00980E5F" w:rsidRDefault="00980E5F">
            <w:pPr>
              <w:rPr>
                <w:rFonts w:ascii="宋体"/>
              </w:rPr>
            </w:pPr>
          </w:p>
        </w:tc>
        <w:tc>
          <w:tcPr>
            <w:tcW w:w="5" w:type="pct"/>
            <w:shd w:val="clear" w:color="auto" w:fill="auto"/>
            <w:vAlign w:val="bottom"/>
          </w:tcPr>
          <w:p w14:paraId="392C7D95" w14:textId="77777777" w:rsidR="00980E5F" w:rsidRDefault="00980E5F">
            <w:pPr>
              <w:rPr>
                <w:rFonts w:ascii="宋体"/>
              </w:rPr>
            </w:pPr>
          </w:p>
        </w:tc>
        <w:tc>
          <w:tcPr>
            <w:tcW w:w="50" w:type="pct"/>
            <w:shd w:val="clear" w:color="auto" w:fill="auto"/>
            <w:vAlign w:val="bottom"/>
          </w:tcPr>
          <w:p w14:paraId="392C7D96" w14:textId="77777777" w:rsidR="00980E5F" w:rsidRDefault="00980E5F">
            <w:pPr>
              <w:rPr>
                <w:rFonts w:ascii="宋体"/>
              </w:rPr>
            </w:pPr>
          </w:p>
        </w:tc>
        <w:tc>
          <w:tcPr>
            <w:tcW w:w="617" w:type="pct"/>
            <w:shd w:val="clear" w:color="auto" w:fill="auto"/>
            <w:vAlign w:val="bottom"/>
          </w:tcPr>
          <w:p w14:paraId="392C7D97" w14:textId="77777777" w:rsidR="00980E5F" w:rsidRDefault="00980E5F">
            <w:pPr>
              <w:rPr>
                <w:rFonts w:ascii="宋体"/>
              </w:rPr>
            </w:pPr>
          </w:p>
        </w:tc>
        <w:tc>
          <w:tcPr>
            <w:tcW w:w="5" w:type="pct"/>
            <w:shd w:val="clear" w:color="auto" w:fill="auto"/>
            <w:vAlign w:val="bottom"/>
          </w:tcPr>
          <w:p w14:paraId="392C7D98" w14:textId="77777777" w:rsidR="00980E5F" w:rsidRDefault="00980E5F">
            <w:pPr>
              <w:rPr>
                <w:rFonts w:ascii="宋体"/>
              </w:rPr>
            </w:pPr>
          </w:p>
        </w:tc>
        <w:tc>
          <w:tcPr>
            <w:tcW w:w="5" w:type="pct"/>
            <w:shd w:val="clear" w:color="auto" w:fill="auto"/>
            <w:vAlign w:val="bottom"/>
          </w:tcPr>
          <w:p w14:paraId="392C7D99" w14:textId="77777777" w:rsidR="00980E5F" w:rsidRDefault="00980E5F">
            <w:pPr>
              <w:rPr>
                <w:rFonts w:ascii="宋体"/>
              </w:rPr>
            </w:pPr>
          </w:p>
        </w:tc>
        <w:tc>
          <w:tcPr>
            <w:tcW w:w="19" w:type="pct"/>
            <w:shd w:val="clear" w:color="auto" w:fill="auto"/>
            <w:vAlign w:val="bottom"/>
          </w:tcPr>
          <w:p w14:paraId="392C7D9A" w14:textId="77777777" w:rsidR="00980E5F" w:rsidRDefault="00980E5F">
            <w:pPr>
              <w:rPr>
                <w:rFonts w:ascii="宋体"/>
              </w:rPr>
            </w:pPr>
          </w:p>
        </w:tc>
        <w:tc>
          <w:tcPr>
            <w:tcW w:w="5" w:type="pct"/>
            <w:shd w:val="clear" w:color="auto" w:fill="auto"/>
            <w:vAlign w:val="bottom"/>
          </w:tcPr>
          <w:p w14:paraId="392C7D9B" w14:textId="77777777" w:rsidR="00980E5F" w:rsidRDefault="00980E5F">
            <w:pPr>
              <w:rPr>
                <w:rFonts w:ascii="宋体"/>
              </w:rPr>
            </w:pPr>
          </w:p>
        </w:tc>
        <w:tc>
          <w:tcPr>
            <w:tcW w:w="50" w:type="pct"/>
            <w:shd w:val="clear" w:color="auto" w:fill="auto"/>
            <w:vAlign w:val="bottom"/>
          </w:tcPr>
          <w:p w14:paraId="392C7D9C" w14:textId="77777777" w:rsidR="00980E5F" w:rsidRDefault="00980E5F">
            <w:pPr>
              <w:rPr>
                <w:rFonts w:ascii="宋体"/>
              </w:rPr>
            </w:pPr>
          </w:p>
        </w:tc>
        <w:tc>
          <w:tcPr>
            <w:tcW w:w="449" w:type="pct"/>
            <w:shd w:val="clear" w:color="auto" w:fill="auto"/>
            <w:vAlign w:val="bottom"/>
          </w:tcPr>
          <w:p w14:paraId="392C7D9D" w14:textId="77777777" w:rsidR="00980E5F" w:rsidRDefault="00980E5F">
            <w:pPr>
              <w:rPr>
                <w:rFonts w:ascii="宋体"/>
              </w:rPr>
            </w:pPr>
          </w:p>
        </w:tc>
        <w:tc>
          <w:tcPr>
            <w:tcW w:w="5" w:type="pct"/>
            <w:shd w:val="clear" w:color="auto" w:fill="auto"/>
            <w:vAlign w:val="bottom"/>
          </w:tcPr>
          <w:p w14:paraId="392C7D9E" w14:textId="77777777" w:rsidR="00980E5F" w:rsidRDefault="00980E5F">
            <w:pPr>
              <w:rPr>
                <w:rFonts w:ascii="宋体"/>
              </w:rPr>
            </w:pPr>
          </w:p>
        </w:tc>
        <w:tc>
          <w:tcPr>
            <w:tcW w:w="5" w:type="pct"/>
            <w:shd w:val="clear" w:color="auto" w:fill="auto"/>
            <w:vAlign w:val="bottom"/>
          </w:tcPr>
          <w:p w14:paraId="392C7D9F" w14:textId="77777777" w:rsidR="00980E5F" w:rsidRDefault="00980E5F">
            <w:pPr>
              <w:rPr>
                <w:rFonts w:ascii="宋体"/>
              </w:rPr>
            </w:pPr>
          </w:p>
        </w:tc>
        <w:tc>
          <w:tcPr>
            <w:tcW w:w="26" w:type="pct"/>
            <w:shd w:val="clear" w:color="auto" w:fill="auto"/>
            <w:vAlign w:val="bottom"/>
          </w:tcPr>
          <w:p w14:paraId="392C7DA0" w14:textId="77777777" w:rsidR="00980E5F" w:rsidRDefault="00980E5F">
            <w:pPr>
              <w:rPr>
                <w:rFonts w:ascii="宋体"/>
              </w:rPr>
            </w:pPr>
          </w:p>
        </w:tc>
        <w:tc>
          <w:tcPr>
            <w:tcW w:w="5" w:type="pct"/>
            <w:shd w:val="clear" w:color="auto" w:fill="auto"/>
            <w:vAlign w:val="bottom"/>
          </w:tcPr>
          <w:p w14:paraId="392C7DA1" w14:textId="77777777" w:rsidR="00980E5F" w:rsidRDefault="00980E5F">
            <w:pPr>
              <w:rPr>
                <w:rFonts w:ascii="宋体"/>
              </w:rPr>
            </w:pPr>
          </w:p>
        </w:tc>
        <w:tc>
          <w:tcPr>
            <w:tcW w:w="50" w:type="pct"/>
            <w:shd w:val="clear" w:color="auto" w:fill="auto"/>
            <w:vAlign w:val="bottom"/>
          </w:tcPr>
          <w:p w14:paraId="392C7DA2" w14:textId="77777777" w:rsidR="00980E5F" w:rsidRDefault="00980E5F">
            <w:pPr>
              <w:rPr>
                <w:rFonts w:ascii="宋体"/>
              </w:rPr>
            </w:pPr>
          </w:p>
        </w:tc>
        <w:tc>
          <w:tcPr>
            <w:tcW w:w="449" w:type="pct"/>
            <w:shd w:val="clear" w:color="auto" w:fill="auto"/>
            <w:vAlign w:val="bottom"/>
          </w:tcPr>
          <w:p w14:paraId="392C7DA3" w14:textId="77777777" w:rsidR="00980E5F" w:rsidRDefault="00980E5F">
            <w:pPr>
              <w:rPr>
                <w:rFonts w:ascii="宋体"/>
              </w:rPr>
            </w:pPr>
          </w:p>
        </w:tc>
        <w:tc>
          <w:tcPr>
            <w:tcW w:w="5" w:type="pct"/>
            <w:shd w:val="clear" w:color="auto" w:fill="auto"/>
            <w:vAlign w:val="bottom"/>
          </w:tcPr>
          <w:p w14:paraId="392C7DA4" w14:textId="77777777" w:rsidR="00980E5F" w:rsidRDefault="00980E5F">
            <w:pPr>
              <w:rPr>
                <w:rFonts w:ascii="宋体"/>
              </w:rPr>
            </w:pPr>
          </w:p>
        </w:tc>
      </w:tr>
      <w:tr w:rsidR="00980E5F" w14:paraId="392C7DB4" w14:textId="77777777">
        <w:trPr>
          <w:trHeight w:val="60"/>
        </w:trPr>
        <w:tc>
          <w:tcPr>
            <w:tcW w:w="0" w:type="auto"/>
            <w:gridSpan w:val="3"/>
            <w:shd w:val="clear" w:color="auto" w:fill="auto"/>
            <w:tcMar>
              <w:top w:w="0" w:type="dxa"/>
              <w:left w:w="20" w:type="dxa"/>
              <w:bottom w:w="0" w:type="dxa"/>
              <w:right w:w="20" w:type="dxa"/>
            </w:tcMar>
            <w:vAlign w:val="bottom"/>
          </w:tcPr>
          <w:p w14:paraId="392C7DA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B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B3" w14:textId="77777777" w:rsidR="00980E5F" w:rsidRDefault="00980E5F">
            <w:pPr>
              <w:rPr>
                <w:rFonts w:ascii="宋体"/>
              </w:rPr>
            </w:pPr>
          </w:p>
        </w:tc>
      </w:tr>
      <w:tr w:rsidR="00980E5F" w14:paraId="392C7DB7" w14:textId="77777777">
        <w:tc>
          <w:tcPr>
            <w:tcW w:w="0" w:type="auto"/>
            <w:gridSpan w:val="3"/>
            <w:shd w:val="clear" w:color="auto" w:fill="auto"/>
            <w:tcMar>
              <w:top w:w="0" w:type="dxa"/>
              <w:left w:w="20" w:type="dxa"/>
              <w:bottom w:w="0" w:type="dxa"/>
              <w:right w:w="20" w:type="dxa"/>
            </w:tcMar>
            <w:vAlign w:val="bottom"/>
          </w:tcPr>
          <w:p w14:paraId="392C7DB5" w14:textId="77777777" w:rsidR="00980E5F" w:rsidRDefault="00980E5F">
            <w:pPr>
              <w:rPr>
                <w:rFonts w:ascii="宋体"/>
              </w:rPr>
            </w:pPr>
          </w:p>
        </w:tc>
        <w:tc>
          <w:tcPr>
            <w:tcW w:w="0" w:type="auto"/>
            <w:gridSpan w:val="39"/>
            <w:shd w:val="clear" w:color="auto" w:fill="auto"/>
            <w:tcMar>
              <w:top w:w="40" w:type="dxa"/>
              <w:left w:w="20" w:type="dxa"/>
              <w:bottom w:w="40" w:type="dxa"/>
              <w:right w:w="20" w:type="dxa"/>
            </w:tcMar>
            <w:vAlign w:val="bottom"/>
          </w:tcPr>
          <w:p w14:paraId="392C7DB6" w14:textId="77777777" w:rsidR="00980E5F" w:rsidRDefault="00483613">
            <w:pPr>
              <w:jc w:val="center"/>
              <w:textAlignment w:val="bottom"/>
            </w:pPr>
            <w:r>
              <w:rPr>
                <w:rFonts w:ascii="Arial" w:eastAsia="宋体" w:hAnsi="Arial" w:cs="Arial"/>
                <w:b/>
                <w:bCs/>
                <w:color w:val="000000"/>
                <w:sz w:val="14"/>
                <w:szCs w:val="14"/>
              </w:rPr>
              <w:t xml:space="preserve">Six Months Ended June 30, </w:t>
            </w:r>
            <w:r>
              <w:rPr>
                <w:rFonts w:ascii="Arial" w:eastAsia="宋体" w:hAnsi="Arial" w:cs="Arial"/>
                <w:b/>
                <w:bCs/>
                <w:color w:val="000000"/>
                <w:sz w:val="14"/>
                <w:szCs w:val="14"/>
              </w:rPr>
              <w:t>2021</w:t>
            </w:r>
          </w:p>
        </w:tc>
      </w:tr>
      <w:tr w:rsidR="00980E5F" w14:paraId="392C7DC3" w14:textId="77777777">
        <w:tc>
          <w:tcPr>
            <w:tcW w:w="0" w:type="auto"/>
            <w:gridSpan w:val="3"/>
            <w:shd w:val="clear" w:color="auto" w:fill="auto"/>
            <w:tcMar>
              <w:top w:w="0" w:type="dxa"/>
              <w:left w:w="20" w:type="dxa"/>
              <w:bottom w:w="0" w:type="dxa"/>
              <w:right w:w="20" w:type="dxa"/>
            </w:tcMar>
            <w:vAlign w:val="bottom"/>
          </w:tcPr>
          <w:p w14:paraId="392C7DB8"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7DB9" w14:textId="77777777" w:rsidR="00980E5F" w:rsidRDefault="00483613">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B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C0" w14:textId="77777777" w:rsidR="00980E5F" w:rsidRDefault="00980E5F">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392C7DC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C2" w14:textId="77777777" w:rsidR="00980E5F" w:rsidRDefault="00980E5F">
            <w:pPr>
              <w:rPr>
                <w:rFonts w:ascii="宋体"/>
              </w:rPr>
            </w:pPr>
          </w:p>
        </w:tc>
      </w:tr>
      <w:tr w:rsidR="00980E5F" w14:paraId="392C7DD2" w14:textId="77777777">
        <w:tc>
          <w:tcPr>
            <w:tcW w:w="0" w:type="auto"/>
            <w:gridSpan w:val="3"/>
            <w:shd w:val="clear" w:color="auto" w:fill="auto"/>
            <w:tcMar>
              <w:top w:w="40" w:type="dxa"/>
              <w:left w:w="20" w:type="dxa"/>
              <w:bottom w:w="40" w:type="dxa"/>
              <w:right w:w="20" w:type="dxa"/>
            </w:tcMar>
            <w:vAlign w:val="bottom"/>
          </w:tcPr>
          <w:p w14:paraId="392C7DC4"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DC5" w14:textId="77777777" w:rsidR="00980E5F" w:rsidRDefault="00483613">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C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7DC7" w14:textId="77777777" w:rsidR="00980E5F" w:rsidRDefault="00483613">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vAlign w:val="bottom"/>
          </w:tcPr>
          <w:p w14:paraId="392C7DC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DC9" w14:textId="77777777" w:rsidR="00980E5F" w:rsidRDefault="00483613">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392C7DC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DCB" w14:textId="77777777" w:rsidR="00980E5F" w:rsidRDefault="00483613">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392C7DC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DCD" w14:textId="77777777" w:rsidR="00980E5F" w:rsidRDefault="00483613">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392C7DC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DCF" w14:textId="77777777" w:rsidR="00980E5F" w:rsidRDefault="00483613">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392C7DD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DD1"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7DE1" w14:textId="77777777">
        <w:tc>
          <w:tcPr>
            <w:tcW w:w="0" w:type="auto"/>
            <w:gridSpan w:val="3"/>
            <w:shd w:val="clear" w:color="auto" w:fill="auto"/>
            <w:tcMar>
              <w:top w:w="40" w:type="dxa"/>
              <w:left w:w="20" w:type="dxa"/>
              <w:bottom w:w="40" w:type="dxa"/>
              <w:right w:w="20" w:type="dxa"/>
            </w:tcMar>
            <w:vAlign w:val="bottom"/>
          </w:tcPr>
          <w:p w14:paraId="392C7DD3" w14:textId="77777777" w:rsidR="00980E5F" w:rsidRDefault="00483613">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D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DD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DE0" w14:textId="77777777" w:rsidR="00980E5F" w:rsidRDefault="00980E5F">
            <w:pPr>
              <w:rPr>
                <w:rFonts w:ascii="宋体"/>
              </w:rPr>
            </w:pPr>
          </w:p>
        </w:tc>
      </w:tr>
      <w:tr w:rsidR="00980E5F" w14:paraId="392C7DFE" w14:textId="77777777">
        <w:tc>
          <w:tcPr>
            <w:tcW w:w="0" w:type="auto"/>
            <w:gridSpan w:val="3"/>
            <w:shd w:val="clear" w:color="auto" w:fill="CCEEFF"/>
            <w:tcMar>
              <w:top w:w="40" w:type="dxa"/>
              <w:left w:w="20" w:type="dxa"/>
              <w:bottom w:w="40" w:type="dxa"/>
              <w:right w:w="20" w:type="dxa"/>
            </w:tcMar>
            <w:vAlign w:val="bottom"/>
          </w:tcPr>
          <w:p w14:paraId="392C7DE2" w14:textId="77777777" w:rsidR="00980E5F" w:rsidRDefault="00483613">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392C7DE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E4" w14:textId="77777777" w:rsidR="00980E5F" w:rsidRDefault="00483613">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392C7D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E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E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E8"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392C7D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E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E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EC" w14:textId="77777777" w:rsidR="00980E5F" w:rsidRDefault="00483613">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392C7D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E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E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F0"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7D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F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F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F4" w14:textId="77777777" w:rsidR="00980E5F" w:rsidRDefault="00483613">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392C7D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F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F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F8"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7D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DF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DF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7DFC" w14:textId="77777777" w:rsidR="00980E5F" w:rsidRDefault="00483613">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392C7DFD" w14:textId="77777777" w:rsidR="00980E5F" w:rsidRDefault="00980E5F">
            <w:pPr>
              <w:jc w:val="right"/>
              <w:rPr>
                <w:rFonts w:ascii="宋体"/>
              </w:rPr>
            </w:pPr>
          </w:p>
        </w:tc>
      </w:tr>
      <w:tr w:rsidR="00980E5F" w14:paraId="392C7E14" w14:textId="77777777">
        <w:tc>
          <w:tcPr>
            <w:tcW w:w="0" w:type="auto"/>
            <w:gridSpan w:val="3"/>
            <w:shd w:val="clear" w:color="auto" w:fill="FFFFFF"/>
            <w:tcMar>
              <w:top w:w="40" w:type="dxa"/>
              <w:left w:w="20" w:type="dxa"/>
              <w:bottom w:w="40" w:type="dxa"/>
              <w:right w:w="20" w:type="dxa"/>
            </w:tcMar>
            <w:vAlign w:val="bottom"/>
          </w:tcPr>
          <w:p w14:paraId="392C7DFF" w14:textId="77777777" w:rsidR="00980E5F" w:rsidRDefault="00483613">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7E00"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7E0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0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0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0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0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0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0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0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0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0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1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12"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7E13" w14:textId="77777777" w:rsidR="00980E5F" w:rsidRDefault="00980E5F">
            <w:pPr>
              <w:jc w:val="right"/>
              <w:rPr>
                <w:rFonts w:ascii="宋体"/>
              </w:rPr>
            </w:pPr>
          </w:p>
        </w:tc>
      </w:tr>
      <w:tr w:rsidR="00980E5F" w14:paraId="392C7E2A" w14:textId="77777777">
        <w:tc>
          <w:tcPr>
            <w:tcW w:w="0" w:type="auto"/>
            <w:gridSpan w:val="3"/>
            <w:shd w:val="clear" w:color="auto" w:fill="CCEEFF"/>
            <w:tcMar>
              <w:top w:w="40" w:type="dxa"/>
              <w:left w:w="20" w:type="dxa"/>
              <w:bottom w:w="40" w:type="dxa"/>
              <w:right w:w="20" w:type="dxa"/>
            </w:tcMar>
            <w:vAlign w:val="bottom"/>
          </w:tcPr>
          <w:p w14:paraId="392C7E15" w14:textId="77777777" w:rsidR="00980E5F" w:rsidRDefault="00483613">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392C7E16" w14:textId="77777777" w:rsidR="00980E5F" w:rsidRDefault="00483613">
            <w:pPr>
              <w:jc w:val="right"/>
              <w:textAlignment w:val="bottom"/>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bottom"/>
          </w:tcPr>
          <w:p w14:paraId="392C7E1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1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19" w14:textId="77777777" w:rsidR="00980E5F" w:rsidRDefault="00483613">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392C7E1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1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1C" w14:textId="77777777" w:rsidR="00980E5F" w:rsidRDefault="00483613">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392C7E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1F"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7E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2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22" w14:textId="77777777" w:rsidR="00980E5F" w:rsidRDefault="00483613">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392C7E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25"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7E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2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28" w14:textId="77777777" w:rsidR="00980E5F" w:rsidRDefault="00483613">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392C7E29" w14:textId="77777777" w:rsidR="00980E5F" w:rsidRDefault="00980E5F">
            <w:pPr>
              <w:jc w:val="right"/>
              <w:rPr>
                <w:rFonts w:ascii="宋体"/>
              </w:rPr>
            </w:pPr>
          </w:p>
        </w:tc>
      </w:tr>
      <w:tr w:rsidR="00980E5F" w14:paraId="392C7E39" w14:textId="77777777">
        <w:trPr>
          <w:hidden/>
        </w:trPr>
        <w:tc>
          <w:tcPr>
            <w:tcW w:w="0" w:type="auto"/>
            <w:gridSpan w:val="3"/>
            <w:shd w:val="clear" w:color="auto" w:fill="auto"/>
            <w:vAlign w:val="bottom"/>
          </w:tcPr>
          <w:p w14:paraId="392C7E2B" w14:textId="77777777" w:rsidR="00980E5F" w:rsidRDefault="00980E5F">
            <w:pPr>
              <w:rPr>
                <w:rFonts w:ascii="宋体"/>
                <w:vanish/>
              </w:rPr>
            </w:pPr>
          </w:p>
        </w:tc>
        <w:tc>
          <w:tcPr>
            <w:tcW w:w="0" w:type="auto"/>
            <w:gridSpan w:val="3"/>
            <w:shd w:val="clear" w:color="auto" w:fill="auto"/>
            <w:vAlign w:val="bottom"/>
          </w:tcPr>
          <w:p w14:paraId="392C7E2C" w14:textId="77777777" w:rsidR="00980E5F" w:rsidRDefault="00980E5F">
            <w:pPr>
              <w:rPr>
                <w:rFonts w:ascii="宋体"/>
                <w:vanish/>
              </w:rPr>
            </w:pPr>
          </w:p>
        </w:tc>
        <w:tc>
          <w:tcPr>
            <w:tcW w:w="0" w:type="auto"/>
            <w:gridSpan w:val="3"/>
            <w:shd w:val="clear" w:color="auto" w:fill="auto"/>
            <w:vAlign w:val="bottom"/>
          </w:tcPr>
          <w:p w14:paraId="392C7E2D" w14:textId="77777777" w:rsidR="00980E5F" w:rsidRDefault="00980E5F">
            <w:pPr>
              <w:rPr>
                <w:rFonts w:ascii="宋体"/>
                <w:vanish/>
              </w:rPr>
            </w:pPr>
          </w:p>
        </w:tc>
        <w:tc>
          <w:tcPr>
            <w:tcW w:w="0" w:type="auto"/>
            <w:gridSpan w:val="3"/>
            <w:shd w:val="clear" w:color="auto" w:fill="auto"/>
            <w:vAlign w:val="bottom"/>
          </w:tcPr>
          <w:p w14:paraId="392C7E2E" w14:textId="77777777" w:rsidR="00980E5F" w:rsidRDefault="00980E5F">
            <w:pPr>
              <w:rPr>
                <w:rFonts w:ascii="宋体"/>
                <w:vanish/>
              </w:rPr>
            </w:pPr>
          </w:p>
        </w:tc>
        <w:tc>
          <w:tcPr>
            <w:tcW w:w="0" w:type="auto"/>
            <w:gridSpan w:val="3"/>
            <w:shd w:val="clear" w:color="auto" w:fill="auto"/>
            <w:vAlign w:val="bottom"/>
          </w:tcPr>
          <w:p w14:paraId="392C7E2F" w14:textId="77777777" w:rsidR="00980E5F" w:rsidRDefault="00980E5F">
            <w:pPr>
              <w:rPr>
                <w:rFonts w:ascii="宋体"/>
                <w:vanish/>
              </w:rPr>
            </w:pPr>
          </w:p>
        </w:tc>
        <w:tc>
          <w:tcPr>
            <w:tcW w:w="0" w:type="auto"/>
            <w:gridSpan w:val="3"/>
            <w:shd w:val="clear" w:color="auto" w:fill="auto"/>
            <w:vAlign w:val="bottom"/>
          </w:tcPr>
          <w:p w14:paraId="392C7E30" w14:textId="77777777" w:rsidR="00980E5F" w:rsidRDefault="00980E5F">
            <w:pPr>
              <w:rPr>
                <w:rFonts w:ascii="宋体"/>
                <w:vanish/>
              </w:rPr>
            </w:pPr>
          </w:p>
        </w:tc>
        <w:tc>
          <w:tcPr>
            <w:tcW w:w="0" w:type="auto"/>
            <w:gridSpan w:val="3"/>
            <w:shd w:val="clear" w:color="auto" w:fill="auto"/>
            <w:vAlign w:val="bottom"/>
          </w:tcPr>
          <w:p w14:paraId="392C7E31" w14:textId="77777777" w:rsidR="00980E5F" w:rsidRDefault="00980E5F">
            <w:pPr>
              <w:rPr>
                <w:rFonts w:ascii="宋体"/>
                <w:vanish/>
              </w:rPr>
            </w:pPr>
          </w:p>
        </w:tc>
        <w:tc>
          <w:tcPr>
            <w:tcW w:w="0" w:type="auto"/>
            <w:gridSpan w:val="3"/>
            <w:shd w:val="clear" w:color="auto" w:fill="auto"/>
            <w:vAlign w:val="bottom"/>
          </w:tcPr>
          <w:p w14:paraId="392C7E32" w14:textId="77777777" w:rsidR="00980E5F" w:rsidRDefault="00980E5F">
            <w:pPr>
              <w:rPr>
                <w:rFonts w:ascii="宋体"/>
                <w:vanish/>
              </w:rPr>
            </w:pPr>
          </w:p>
        </w:tc>
        <w:tc>
          <w:tcPr>
            <w:tcW w:w="0" w:type="auto"/>
            <w:gridSpan w:val="3"/>
            <w:shd w:val="clear" w:color="auto" w:fill="auto"/>
            <w:vAlign w:val="bottom"/>
          </w:tcPr>
          <w:p w14:paraId="392C7E33" w14:textId="77777777" w:rsidR="00980E5F" w:rsidRDefault="00980E5F">
            <w:pPr>
              <w:rPr>
                <w:rFonts w:ascii="宋体"/>
                <w:vanish/>
              </w:rPr>
            </w:pPr>
          </w:p>
        </w:tc>
        <w:tc>
          <w:tcPr>
            <w:tcW w:w="0" w:type="auto"/>
            <w:gridSpan w:val="3"/>
            <w:shd w:val="clear" w:color="auto" w:fill="auto"/>
            <w:vAlign w:val="bottom"/>
          </w:tcPr>
          <w:p w14:paraId="392C7E34" w14:textId="77777777" w:rsidR="00980E5F" w:rsidRDefault="00980E5F">
            <w:pPr>
              <w:rPr>
                <w:rFonts w:ascii="宋体"/>
                <w:vanish/>
              </w:rPr>
            </w:pPr>
          </w:p>
        </w:tc>
        <w:tc>
          <w:tcPr>
            <w:tcW w:w="0" w:type="auto"/>
            <w:gridSpan w:val="3"/>
            <w:shd w:val="clear" w:color="auto" w:fill="auto"/>
            <w:vAlign w:val="bottom"/>
          </w:tcPr>
          <w:p w14:paraId="392C7E35" w14:textId="77777777" w:rsidR="00980E5F" w:rsidRDefault="00980E5F">
            <w:pPr>
              <w:rPr>
                <w:rFonts w:ascii="宋体"/>
                <w:vanish/>
              </w:rPr>
            </w:pPr>
          </w:p>
        </w:tc>
        <w:tc>
          <w:tcPr>
            <w:tcW w:w="0" w:type="auto"/>
            <w:gridSpan w:val="3"/>
            <w:shd w:val="clear" w:color="auto" w:fill="auto"/>
            <w:vAlign w:val="bottom"/>
          </w:tcPr>
          <w:p w14:paraId="392C7E36" w14:textId="77777777" w:rsidR="00980E5F" w:rsidRDefault="00980E5F">
            <w:pPr>
              <w:rPr>
                <w:rFonts w:ascii="宋体"/>
                <w:vanish/>
              </w:rPr>
            </w:pPr>
          </w:p>
        </w:tc>
        <w:tc>
          <w:tcPr>
            <w:tcW w:w="0" w:type="auto"/>
            <w:gridSpan w:val="3"/>
            <w:shd w:val="clear" w:color="auto" w:fill="auto"/>
            <w:vAlign w:val="bottom"/>
          </w:tcPr>
          <w:p w14:paraId="392C7E37" w14:textId="77777777" w:rsidR="00980E5F" w:rsidRDefault="00980E5F">
            <w:pPr>
              <w:rPr>
                <w:rFonts w:ascii="宋体"/>
                <w:vanish/>
              </w:rPr>
            </w:pPr>
          </w:p>
        </w:tc>
        <w:tc>
          <w:tcPr>
            <w:tcW w:w="0" w:type="auto"/>
            <w:gridSpan w:val="3"/>
            <w:shd w:val="clear" w:color="auto" w:fill="auto"/>
            <w:vAlign w:val="bottom"/>
          </w:tcPr>
          <w:p w14:paraId="392C7E38" w14:textId="77777777" w:rsidR="00980E5F" w:rsidRDefault="00980E5F">
            <w:pPr>
              <w:rPr>
                <w:rFonts w:ascii="宋体"/>
                <w:vanish/>
              </w:rPr>
            </w:pPr>
          </w:p>
        </w:tc>
      </w:tr>
      <w:tr w:rsidR="00980E5F" w14:paraId="392C7E4F" w14:textId="77777777">
        <w:tc>
          <w:tcPr>
            <w:tcW w:w="0" w:type="auto"/>
            <w:gridSpan w:val="3"/>
            <w:shd w:val="clear" w:color="auto" w:fill="FFFFFF"/>
            <w:tcMar>
              <w:top w:w="40" w:type="dxa"/>
              <w:left w:w="20" w:type="dxa"/>
              <w:bottom w:w="40" w:type="dxa"/>
              <w:right w:w="20" w:type="dxa"/>
            </w:tcMar>
            <w:vAlign w:val="bottom"/>
          </w:tcPr>
          <w:p w14:paraId="392C7E3A" w14:textId="77777777" w:rsidR="00980E5F" w:rsidRDefault="00483613">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392C7E3B"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7E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3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4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4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4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4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4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4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4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4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4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4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4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7E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4D"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7E4E" w14:textId="77777777" w:rsidR="00980E5F" w:rsidRDefault="00980E5F">
            <w:pPr>
              <w:jc w:val="right"/>
              <w:rPr>
                <w:rFonts w:ascii="宋体"/>
              </w:rPr>
            </w:pPr>
          </w:p>
        </w:tc>
      </w:tr>
      <w:tr w:rsidR="00980E5F" w14:paraId="392C7E5E" w14:textId="77777777">
        <w:trPr>
          <w:hidden/>
        </w:trPr>
        <w:tc>
          <w:tcPr>
            <w:tcW w:w="0" w:type="auto"/>
            <w:gridSpan w:val="3"/>
            <w:shd w:val="clear" w:color="auto" w:fill="auto"/>
            <w:vAlign w:val="bottom"/>
          </w:tcPr>
          <w:p w14:paraId="392C7E50" w14:textId="77777777" w:rsidR="00980E5F" w:rsidRDefault="00980E5F">
            <w:pPr>
              <w:rPr>
                <w:rFonts w:ascii="宋体"/>
                <w:vanish/>
              </w:rPr>
            </w:pPr>
          </w:p>
        </w:tc>
        <w:tc>
          <w:tcPr>
            <w:tcW w:w="0" w:type="auto"/>
            <w:gridSpan w:val="3"/>
            <w:shd w:val="clear" w:color="auto" w:fill="auto"/>
            <w:vAlign w:val="bottom"/>
          </w:tcPr>
          <w:p w14:paraId="392C7E51" w14:textId="77777777" w:rsidR="00980E5F" w:rsidRDefault="00980E5F">
            <w:pPr>
              <w:rPr>
                <w:rFonts w:ascii="宋体"/>
                <w:vanish/>
              </w:rPr>
            </w:pPr>
          </w:p>
        </w:tc>
        <w:tc>
          <w:tcPr>
            <w:tcW w:w="0" w:type="auto"/>
            <w:gridSpan w:val="3"/>
            <w:shd w:val="clear" w:color="auto" w:fill="auto"/>
            <w:vAlign w:val="bottom"/>
          </w:tcPr>
          <w:p w14:paraId="392C7E52" w14:textId="77777777" w:rsidR="00980E5F" w:rsidRDefault="00980E5F">
            <w:pPr>
              <w:rPr>
                <w:rFonts w:ascii="宋体"/>
                <w:vanish/>
              </w:rPr>
            </w:pPr>
          </w:p>
        </w:tc>
        <w:tc>
          <w:tcPr>
            <w:tcW w:w="0" w:type="auto"/>
            <w:gridSpan w:val="3"/>
            <w:shd w:val="clear" w:color="auto" w:fill="auto"/>
            <w:vAlign w:val="bottom"/>
          </w:tcPr>
          <w:p w14:paraId="392C7E53" w14:textId="77777777" w:rsidR="00980E5F" w:rsidRDefault="00980E5F">
            <w:pPr>
              <w:rPr>
                <w:rFonts w:ascii="宋体"/>
                <w:vanish/>
              </w:rPr>
            </w:pPr>
          </w:p>
        </w:tc>
        <w:tc>
          <w:tcPr>
            <w:tcW w:w="0" w:type="auto"/>
            <w:gridSpan w:val="3"/>
            <w:shd w:val="clear" w:color="auto" w:fill="auto"/>
            <w:vAlign w:val="bottom"/>
          </w:tcPr>
          <w:p w14:paraId="392C7E54" w14:textId="77777777" w:rsidR="00980E5F" w:rsidRDefault="00980E5F">
            <w:pPr>
              <w:rPr>
                <w:rFonts w:ascii="宋体"/>
                <w:vanish/>
              </w:rPr>
            </w:pPr>
          </w:p>
        </w:tc>
        <w:tc>
          <w:tcPr>
            <w:tcW w:w="0" w:type="auto"/>
            <w:gridSpan w:val="3"/>
            <w:shd w:val="clear" w:color="auto" w:fill="auto"/>
            <w:vAlign w:val="bottom"/>
          </w:tcPr>
          <w:p w14:paraId="392C7E55" w14:textId="77777777" w:rsidR="00980E5F" w:rsidRDefault="00980E5F">
            <w:pPr>
              <w:rPr>
                <w:rFonts w:ascii="宋体"/>
                <w:vanish/>
              </w:rPr>
            </w:pPr>
          </w:p>
        </w:tc>
        <w:tc>
          <w:tcPr>
            <w:tcW w:w="0" w:type="auto"/>
            <w:gridSpan w:val="3"/>
            <w:shd w:val="clear" w:color="auto" w:fill="auto"/>
            <w:vAlign w:val="bottom"/>
          </w:tcPr>
          <w:p w14:paraId="392C7E56" w14:textId="77777777" w:rsidR="00980E5F" w:rsidRDefault="00980E5F">
            <w:pPr>
              <w:rPr>
                <w:rFonts w:ascii="宋体"/>
                <w:vanish/>
              </w:rPr>
            </w:pPr>
          </w:p>
        </w:tc>
        <w:tc>
          <w:tcPr>
            <w:tcW w:w="0" w:type="auto"/>
            <w:gridSpan w:val="3"/>
            <w:shd w:val="clear" w:color="auto" w:fill="auto"/>
            <w:vAlign w:val="bottom"/>
          </w:tcPr>
          <w:p w14:paraId="392C7E57" w14:textId="77777777" w:rsidR="00980E5F" w:rsidRDefault="00980E5F">
            <w:pPr>
              <w:rPr>
                <w:rFonts w:ascii="宋体"/>
                <w:vanish/>
              </w:rPr>
            </w:pPr>
          </w:p>
        </w:tc>
        <w:tc>
          <w:tcPr>
            <w:tcW w:w="0" w:type="auto"/>
            <w:gridSpan w:val="3"/>
            <w:shd w:val="clear" w:color="auto" w:fill="auto"/>
            <w:vAlign w:val="bottom"/>
          </w:tcPr>
          <w:p w14:paraId="392C7E58" w14:textId="77777777" w:rsidR="00980E5F" w:rsidRDefault="00980E5F">
            <w:pPr>
              <w:rPr>
                <w:rFonts w:ascii="宋体"/>
                <w:vanish/>
              </w:rPr>
            </w:pPr>
          </w:p>
        </w:tc>
        <w:tc>
          <w:tcPr>
            <w:tcW w:w="0" w:type="auto"/>
            <w:gridSpan w:val="3"/>
            <w:shd w:val="clear" w:color="auto" w:fill="auto"/>
            <w:vAlign w:val="bottom"/>
          </w:tcPr>
          <w:p w14:paraId="392C7E59" w14:textId="77777777" w:rsidR="00980E5F" w:rsidRDefault="00980E5F">
            <w:pPr>
              <w:rPr>
                <w:rFonts w:ascii="宋体"/>
                <w:vanish/>
              </w:rPr>
            </w:pPr>
          </w:p>
        </w:tc>
        <w:tc>
          <w:tcPr>
            <w:tcW w:w="0" w:type="auto"/>
            <w:gridSpan w:val="3"/>
            <w:shd w:val="clear" w:color="auto" w:fill="auto"/>
            <w:vAlign w:val="bottom"/>
          </w:tcPr>
          <w:p w14:paraId="392C7E5A" w14:textId="77777777" w:rsidR="00980E5F" w:rsidRDefault="00980E5F">
            <w:pPr>
              <w:rPr>
                <w:rFonts w:ascii="宋体"/>
                <w:vanish/>
              </w:rPr>
            </w:pPr>
          </w:p>
        </w:tc>
        <w:tc>
          <w:tcPr>
            <w:tcW w:w="0" w:type="auto"/>
            <w:gridSpan w:val="3"/>
            <w:shd w:val="clear" w:color="auto" w:fill="auto"/>
            <w:vAlign w:val="bottom"/>
          </w:tcPr>
          <w:p w14:paraId="392C7E5B" w14:textId="77777777" w:rsidR="00980E5F" w:rsidRDefault="00980E5F">
            <w:pPr>
              <w:rPr>
                <w:rFonts w:ascii="宋体"/>
                <w:vanish/>
              </w:rPr>
            </w:pPr>
          </w:p>
        </w:tc>
        <w:tc>
          <w:tcPr>
            <w:tcW w:w="0" w:type="auto"/>
            <w:gridSpan w:val="3"/>
            <w:shd w:val="clear" w:color="auto" w:fill="auto"/>
            <w:vAlign w:val="bottom"/>
          </w:tcPr>
          <w:p w14:paraId="392C7E5C" w14:textId="77777777" w:rsidR="00980E5F" w:rsidRDefault="00980E5F">
            <w:pPr>
              <w:rPr>
                <w:rFonts w:ascii="宋体"/>
                <w:vanish/>
              </w:rPr>
            </w:pPr>
          </w:p>
        </w:tc>
        <w:tc>
          <w:tcPr>
            <w:tcW w:w="0" w:type="auto"/>
            <w:gridSpan w:val="3"/>
            <w:shd w:val="clear" w:color="auto" w:fill="auto"/>
            <w:vAlign w:val="bottom"/>
          </w:tcPr>
          <w:p w14:paraId="392C7E5D" w14:textId="77777777" w:rsidR="00980E5F" w:rsidRDefault="00980E5F">
            <w:pPr>
              <w:rPr>
                <w:rFonts w:ascii="宋体"/>
                <w:vanish/>
              </w:rPr>
            </w:pPr>
          </w:p>
        </w:tc>
      </w:tr>
      <w:tr w:rsidR="00980E5F" w14:paraId="392C7E7B" w14:textId="77777777">
        <w:tc>
          <w:tcPr>
            <w:tcW w:w="0" w:type="auto"/>
            <w:gridSpan w:val="3"/>
            <w:shd w:val="clear" w:color="auto" w:fill="CCEEFF"/>
            <w:tcMar>
              <w:top w:w="40" w:type="dxa"/>
              <w:left w:w="20" w:type="dxa"/>
              <w:bottom w:w="40" w:type="dxa"/>
              <w:right w:w="20" w:type="dxa"/>
            </w:tcMar>
            <w:vAlign w:val="bottom"/>
          </w:tcPr>
          <w:p w14:paraId="392C7E5F" w14:textId="77777777" w:rsidR="00980E5F" w:rsidRDefault="00483613">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E6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61" w14:textId="77777777" w:rsidR="00980E5F" w:rsidRDefault="00483613">
            <w:pPr>
              <w:jc w:val="right"/>
              <w:textAlignment w:val="bottom"/>
            </w:pPr>
            <w:r>
              <w:rPr>
                <w:rFonts w:ascii="Arial" w:eastAsia="宋体" w:hAnsi="Arial" w:cs="Arial"/>
                <w:color w:val="000000"/>
                <w:sz w:val="14"/>
                <w:szCs w:val="14"/>
              </w:rPr>
              <w:t>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6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6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6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65" w14:textId="77777777" w:rsidR="00980E5F" w:rsidRDefault="00483613">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6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6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69" w14:textId="77777777" w:rsidR="00980E5F" w:rsidRDefault="00483613">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6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6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6D" w14:textId="77777777" w:rsidR="00980E5F" w:rsidRDefault="00483613">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6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7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71" w14:textId="77777777" w:rsidR="00980E5F" w:rsidRDefault="00483613">
            <w:pPr>
              <w:jc w:val="right"/>
              <w:textAlignment w:val="bottom"/>
            </w:pPr>
            <w:r>
              <w:rPr>
                <w:rFonts w:ascii="Arial" w:eastAsia="宋体" w:hAnsi="Arial" w:cs="Arial"/>
                <w:color w:val="000000"/>
                <w:sz w:val="14"/>
                <w:szCs w:val="14"/>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7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7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75"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7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7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79" w14:textId="77777777" w:rsidR="00980E5F" w:rsidRDefault="00483613">
            <w:pPr>
              <w:jc w:val="right"/>
              <w:textAlignment w:val="bottom"/>
            </w:pPr>
            <w:r>
              <w:rPr>
                <w:rFonts w:ascii="Arial" w:eastAsia="宋体" w:hAnsi="Arial" w:cs="Arial"/>
                <w:color w:val="000000"/>
                <w:sz w:val="14"/>
                <w:szCs w:val="14"/>
              </w:rPr>
              <w:t>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7A" w14:textId="77777777" w:rsidR="00980E5F" w:rsidRDefault="00980E5F">
            <w:pPr>
              <w:jc w:val="right"/>
              <w:rPr>
                <w:rFonts w:ascii="宋体"/>
              </w:rPr>
            </w:pPr>
          </w:p>
        </w:tc>
      </w:tr>
      <w:tr w:rsidR="00980E5F" w14:paraId="392C7E8A" w14:textId="77777777">
        <w:trPr>
          <w:trHeight w:val="100"/>
        </w:trPr>
        <w:tc>
          <w:tcPr>
            <w:tcW w:w="0" w:type="auto"/>
            <w:gridSpan w:val="3"/>
            <w:shd w:val="clear" w:color="auto" w:fill="FFFFFF"/>
            <w:tcMar>
              <w:top w:w="0" w:type="dxa"/>
              <w:left w:w="20" w:type="dxa"/>
              <w:bottom w:w="0" w:type="dxa"/>
              <w:right w:w="20" w:type="dxa"/>
            </w:tcMar>
            <w:vAlign w:val="bottom"/>
          </w:tcPr>
          <w:p w14:paraId="392C7E7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7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7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7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8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8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8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8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8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8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8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8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7E8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7E89" w14:textId="77777777" w:rsidR="00980E5F" w:rsidRDefault="00980E5F">
            <w:pPr>
              <w:rPr>
                <w:rFonts w:ascii="宋体"/>
              </w:rPr>
            </w:pPr>
          </w:p>
        </w:tc>
      </w:tr>
      <w:tr w:rsidR="00980E5F" w14:paraId="392C7E8C"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392C7E8B" w14:textId="77777777" w:rsidR="00980E5F" w:rsidRDefault="00483613">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tc>
      </w:tr>
    </w:tbl>
    <w:p w14:paraId="392C7E8D" w14:textId="77777777" w:rsidR="00980E5F" w:rsidRDefault="00483613">
      <w:pPr>
        <w:spacing w:before="60"/>
        <w:ind w:firstLine="450"/>
        <w:jc w:val="both"/>
      </w:pPr>
      <w:r>
        <w:rPr>
          <w:rFonts w:ascii="Arial" w:eastAsia="宋体" w:hAnsi="Arial" w:cs="Arial"/>
          <w:color w:val="000000"/>
          <w:sz w:val="20"/>
          <w:szCs w:val="20"/>
        </w:rPr>
        <w:t xml:space="preserve">Loans are reviewed on a regular basis, and any provisions for credit losses that are recorded reflect management's estimate of the amount </w:t>
      </w:r>
      <w:r>
        <w:rPr>
          <w:rFonts w:ascii="Arial" w:eastAsia="宋体" w:hAnsi="Arial" w:cs="Arial"/>
          <w:color w:val="000000"/>
          <w:sz w:val="20"/>
          <w:szCs w:val="20"/>
        </w:rPr>
        <w:t>necessary to maintain the allowance for loan losses at a level considered appropriate to absorb estimated credit losses in the loan portfolio. In the second quarter of 2022, we recorded a $10 million provision for credit losses, reflecting a downward shift</w:t>
      </w:r>
      <w:r>
        <w:rPr>
          <w:rFonts w:ascii="Arial" w:eastAsia="宋体" w:hAnsi="Arial" w:cs="Arial"/>
          <w:color w:val="000000"/>
          <w:sz w:val="20"/>
          <w:szCs w:val="20"/>
        </w:rPr>
        <w:t xml:space="preserve"> in management's economic outlook, partially offset by a decrease in expected losses related to leveraged loans within our portfolio. In the second quarter of 2021, we reduced the allowance for credit losses by $14 million, principally through a $15 millio</w:t>
      </w:r>
      <w:r>
        <w:rPr>
          <w:rFonts w:ascii="Arial" w:eastAsia="宋体" w:hAnsi="Arial" w:cs="Arial"/>
          <w:color w:val="000000"/>
          <w:sz w:val="20"/>
          <w:szCs w:val="20"/>
        </w:rPr>
        <w:t>n reserve release in the provision for credit losses. Allowance estimates remain subject to continued model and economic uncertainty and management may use qualitative adjustments in the allowance estimates. If future data and forecasts deviate relative to</w:t>
      </w:r>
      <w:r>
        <w:rPr>
          <w:rFonts w:ascii="Arial" w:eastAsia="宋体" w:hAnsi="Arial" w:cs="Arial"/>
          <w:color w:val="000000"/>
          <w:sz w:val="20"/>
          <w:szCs w:val="20"/>
        </w:rPr>
        <w:t xml:space="preserve"> the forecasts utilized to determine our allowance for credit losses as of June 30, 2022, or if credit risk migration is higher or lower than forecasted for reasons independent of the economic forecast, our allowance for credit losses will also change.</w:t>
      </w:r>
    </w:p>
    <w:p w14:paraId="392C7E8E" w14:textId="77777777" w:rsidR="00980E5F" w:rsidRDefault="00483613">
      <w:pPr>
        <w:spacing w:before="90"/>
        <w:jc w:val="both"/>
      </w:pPr>
      <w:r>
        <w:rPr>
          <w:rFonts w:ascii="Arial" w:eastAsia="宋体" w:hAnsi="Arial" w:cs="Arial"/>
          <w:b/>
          <w:bCs/>
          <w:color w:val="000000"/>
          <w:sz w:val="20"/>
          <w:szCs w:val="20"/>
        </w:rPr>
        <w:t>Note 5.    Goodwill and Other Intangible Assets</w:t>
      </w:r>
    </w:p>
    <w:p w14:paraId="392C7E8F" w14:textId="77777777" w:rsidR="00980E5F" w:rsidRDefault="00483613">
      <w:pPr>
        <w:spacing w:before="60"/>
        <w:ind w:firstLine="450"/>
        <w:jc w:val="both"/>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80"/>
        <w:gridCol w:w="38"/>
        <w:gridCol w:w="105"/>
        <w:gridCol w:w="1134"/>
        <w:gridCol w:w="36"/>
        <w:gridCol w:w="36"/>
        <w:gridCol w:w="36"/>
        <w:gridCol w:w="36"/>
        <w:gridCol w:w="105"/>
        <w:gridCol w:w="1102"/>
        <w:gridCol w:w="36"/>
        <w:gridCol w:w="36"/>
        <w:gridCol w:w="36"/>
        <w:gridCol w:w="36"/>
        <w:gridCol w:w="104"/>
        <w:gridCol w:w="1102"/>
        <w:gridCol w:w="36"/>
      </w:tblGrid>
      <w:tr w:rsidR="00980E5F" w14:paraId="392C7EA2" w14:textId="77777777">
        <w:tc>
          <w:tcPr>
            <w:tcW w:w="50" w:type="pct"/>
            <w:shd w:val="clear" w:color="auto" w:fill="auto"/>
            <w:vAlign w:val="bottom"/>
          </w:tcPr>
          <w:p w14:paraId="392C7E90" w14:textId="77777777" w:rsidR="00980E5F" w:rsidRDefault="00980E5F">
            <w:pPr>
              <w:rPr>
                <w:rFonts w:ascii="宋体"/>
              </w:rPr>
            </w:pPr>
          </w:p>
        </w:tc>
        <w:tc>
          <w:tcPr>
            <w:tcW w:w="2591" w:type="pct"/>
            <w:shd w:val="clear" w:color="auto" w:fill="auto"/>
            <w:vAlign w:val="bottom"/>
          </w:tcPr>
          <w:p w14:paraId="392C7E91" w14:textId="77777777" w:rsidR="00980E5F" w:rsidRDefault="00980E5F">
            <w:pPr>
              <w:rPr>
                <w:rFonts w:ascii="宋体"/>
              </w:rPr>
            </w:pPr>
          </w:p>
        </w:tc>
        <w:tc>
          <w:tcPr>
            <w:tcW w:w="5" w:type="pct"/>
            <w:shd w:val="clear" w:color="auto" w:fill="auto"/>
            <w:vAlign w:val="bottom"/>
          </w:tcPr>
          <w:p w14:paraId="392C7E92" w14:textId="77777777" w:rsidR="00980E5F" w:rsidRDefault="00980E5F">
            <w:pPr>
              <w:rPr>
                <w:rFonts w:ascii="宋体"/>
              </w:rPr>
            </w:pPr>
          </w:p>
        </w:tc>
        <w:tc>
          <w:tcPr>
            <w:tcW w:w="50" w:type="pct"/>
            <w:shd w:val="clear" w:color="auto" w:fill="auto"/>
            <w:vAlign w:val="bottom"/>
          </w:tcPr>
          <w:p w14:paraId="392C7E93" w14:textId="77777777" w:rsidR="00980E5F" w:rsidRDefault="00980E5F">
            <w:pPr>
              <w:rPr>
                <w:rFonts w:ascii="宋体"/>
              </w:rPr>
            </w:pPr>
          </w:p>
        </w:tc>
        <w:tc>
          <w:tcPr>
            <w:tcW w:w="705" w:type="pct"/>
            <w:shd w:val="clear" w:color="auto" w:fill="auto"/>
            <w:vAlign w:val="bottom"/>
          </w:tcPr>
          <w:p w14:paraId="392C7E94" w14:textId="77777777" w:rsidR="00980E5F" w:rsidRDefault="00980E5F">
            <w:pPr>
              <w:rPr>
                <w:rFonts w:ascii="宋体"/>
              </w:rPr>
            </w:pPr>
          </w:p>
        </w:tc>
        <w:tc>
          <w:tcPr>
            <w:tcW w:w="5" w:type="pct"/>
            <w:shd w:val="clear" w:color="auto" w:fill="auto"/>
            <w:vAlign w:val="bottom"/>
          </w:tcPr>
          <w:p w14:paraId="392C7E95" w14:textId="77777777" w:rsidR="00980E5F" w:rsidRDefault="00980E5F">
            <w:pPr>
              <w:rPr>
                <w:rFonts w:ascii="宋体"/>
              </w:rPr>
            </w:pPr>
          </w:p>
        </w:tc>
        <w:tc>
          <w:tcPr>
            <w:tcW w:w="5" w:type="pct"/>
            <w:shd w:val="clear" w:color="auto" w:fill="auto"/>
            <w:vAlign w:val="bottom"/>
          </w:tcPr>
          <w:p w14:paraId="392C7E96" w14:textId="77777777" w:rsidR="00980E5F" w:rsidRDefault="00980E5F">
            <w:pPr>
              <w:rPr>
                <w:rFonts w:ascii="宋体"/>
              </w:rPr>
            </w:pPr>
          </w:p>
        </w:tc>
        <w:tc>
          <w:tcPr>
            <w:tcW w:w="26" w:type="pct"/>
            <w:shd w:val="clear" w:color="auto" w:fill="auto"/>
            <w:vAlign w:val="bottom"/>
          </w:tcPr>
          <w:p w14:paraId="392C7E97" w14:textId="77777777" w:rsidR="00980E5F" w:rsidRDefault="00980E5F">
            <w:pPr>
              <w:rPr>
                <w:rFonts w:ascii="宋体"/>
              </w:rPr>
            </w:pPr>
          </w:p>
        </w:tc>
        <w:tc>
          <w:tcPr>
            <w:tcW w:w="5" w:type="pct"/>
            <w:shd w:val="clear" w:color="auto" w:fill="auto"/>
            <w:vAlign w:val="bottom"/>
          </w:tcPr>
          <w:p w14:paraId="392C7E98" w14:textId="77777777" w:rsidR="00980E5F" w:rsidRDefault="00980E5F">
            <w:pPr>
              <w:rPr>
                <w:rFonts w:ascii="宋体"/>
              </w:rPr>
            </w:pPr>
          </w:p>
        </w:tc>
        <w:tc>
          <w:tcPr>
            <w:tcW w:w="50" w:type="pct"/>
            <w:shd w:val="clear" w:color="auto" w:fill="auto"/>
            <w:vAlign w:val="bottom"/>
          </w:tcPr>
          <w:p w14:paraId="392C7E99" w14:textId="77777777" w:rsidR="00980E5F" w:rsidRDefault="00980E5F">
            <w:pPr>
              <w:rPr>
                <w:rFonts w:ascii="宋体"/>
              </w:rPr>
            </w:pPr>
          </w:p>
        </w:tc>
        <w:tc>
          <w:tcPr>
            <w:tcW w:w="705" w:type="pct"/>
            <w:shd w:val="clear" w:color="auto" w:fill="auto"/>
            <w:vAlign w:val="bottom"/>
          </w:tcPr>
          <w:p w14:paraId="392C7E9A" w14:textId="77777777" w:rsidR="00980E5F" w:rsidRDefault="00980E5F">
            <w:pPr>
              <w:rPr>
                <w:rFonts w:ascii="宋体"/>
              </w:rPr>
            </w:pPr>
          </w:p>
        </w:tc>
        <w:tc>
          <w:tcPr>
            <w:tcW w:w="5" w:type="pct"/>
            <w:shd w:val="clear" w:color="auto" w:fill="auto"/>
            <w:vAlign w:val="bottom"/>
          </w:tcPr>
          <w:p w14:paraId="392C7E9B" w14:textId="77777777" w:rsidR="00980E5F" w:rsidRDefault="00980E5F">
            <w:pPr>
              <w:rPr>
                <w:rFonts w:ascii="宋体"/>
              </w:rPr>
            </w:pPr>
          </w:p>
        </w:tc>
        <w:tc>
          <w:tcPr>
            <w:tcW w:w="5" w:type="pct"/>
            <w:shd w:val="clear" w:color="auto" w:fill="auto"/>
            <w:vAlign w:val="bottom"/>
          </w:tcPr>
          <w:p w14:paraId="392C7E9C" w14:textId="77777777" w:rsidR="00980E5F" w:rsidRDefault="00980E5F">
            <w:pPr>
              <w:rPr>
                <w:rFonts w:ascii="宋体"/>
              </w:rPr>
            </w:pPr>
          </w:p>
        </w:tc>
        <w:tc>
          <w:tcPr>
            <w:tcW w:w="26" w:type="pct"/>
            <w:shd w:val="clear" w:color="auto" w:fill="auto"/>
            <w:vAlign w:val="bottom"/>
          </w:tcPr>
          <w:p w14:paraId="392C7E9D" w14:textId="77777777" w:rsidR="00980E5F" w:rsidRDefault="00980E5F">
            <w:pPr>
              <w:rPr>
                <w:rFonts w:ascii="宋体"/>
              </w:rPr>
            </w:pPr>
          </w:p>
        </w:tc>
        <w:tc>
          <w:tcPr>
            <w:tcW w:w="5" w:type="pct"/>
            <w:shd w:val="clear" w:color="auto" w:fill="auto"/>
            <w:vAlign w:val="bottom"/>
          </w:tcPr>
          <w:p w14:paraId="392C7E9E" w14:textId="77777777" w:rsidR="00980E5F" w:rsidRDefault="00980E5F">
            <w:pPr>
              <w:rPr>
                <w:rFonts w:ascii="宋体"/>
              </w:rPr>
            </w:pPr>
          </w:p>
        </w:tc>
        <w:tc>
          <w:tcPr>
            <w:tcW w:w="50" w:type="pct"/>
            <w:shd w:val="clear" w:color="auto" w:fill="auto"/>
            <w:vAlign w:val="bottom"/>
          </w:tcPr>
          <w:p w14:paraId="392C7E9F" w14:textId="77777777" w:rsidR="00980E5F" w:rsidRDefault="00980E5F">
            <w:pPr>
              <w:rPr>
                <w:rFonts w:ascii="宋体"/>
              </w:rPr>
            </w:pPr>
          </w:p>
        </w:tc>
        <w:tc>
          <w:tcPr>
            <w:tcW w:w="705" w:type="pct"/>
            <w:shd w:val="clear" w:color="auto" w:fill="auto"/>
            <w:vAlign w:val="bottom"/>
          </w:tcPr>
          <w:p w14:paraId="392C7EA0" w14:textId="77777777" w:rsidR="00980E5F" w:rsidRDefault="00980E5F">
            <w:pPr>
              <w:rPr>
                <w:rFonts w:ascii="宋体"/>
              </w:rPr>
            </w:pPr>
          </w:p>
        </w:tc>
        <w:tc>
          <w:tcPr>
            <w:tcW w:w="5" w:type="pct"/>
            <w:shd w:val="clear" w:color="auto" w:fill="auto"/>
            <w:vAlign w:val="bottom"/>
          </w:tcPr>
          <w:p w14:paraId="392C7EA1" w14:textId="77777777" w:rsidR="00980E5F" w:rsidRDefault="00980E5F">
            <w:pPr>
              <w:rPr>
                <w:rFonts w:ascii="宋体"/>
              </w:rPr>
            </w:pPr>
          </w:p>
        </w:tc>
      </w:tr>
      <w:tr w:rsidR="00980E5F" w14:paraId="392C7EA9" w14:textId="77777777">
        <w:tc>
          <w:tcPr>
            <w:tcW w:w="0" w:type="auto"/>
            <w:gridSpan w:val="3"/>
            <w:shd w:val="clear" w:color="auto" w:fill="auto"/>
            <w:tcMar>
              <w:top w:w="40" w:type="dxa"/>
              <w:left w:w="20" w:type="dxa"/>
              <w:bottom w:w="40" w:type="dxa"/>
              <w:right w:w="20" w:type="dxa"/>
            </w:tcMar>
            <w:vAlign w:val="bottom"/>
          </w:tcPr>
          <w:p w14:paraId="392C7EA3"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92C7EA4" w14:textId="77777777" w:rsidR="00980E5F" w:rsidRDefault="00483613">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  Servicing</w:t>
            </w:r>
          </w:p>
        </w:tc>
        <w:tc>
          <w:tcPr>
            <w:tcW w:w="0" w:type="auto"/>
            <w:gridSpan w:val="3"/>
            <w:shd w:val="clear" w:color="auto" w:fill="auto"/>
            <w:tcMar>
              <w:top w:w="0" w:type="dxa"/>
              <w:left w:w="20" w:type="dxa"/>
              <w:bottom w:w="0" w:type="dxa"/>
              <w:right w:w="20" w:type="dxa"/>
            </w:tcMar>
            <w:vAlign w:val="bottom"/>
          </w:tcPr>
          <w:p w14:paraId="392C7EA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EA6" w14:textId="77777777" w:rsidR="00980E5F" w:rsidRDefault="00483613">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392C7EA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EA8" w14:textId="77777777" w:rsidR="00980E5F" w:rsidRDefault="00483613">
            <w:pPr>
              <w:jc w:val="center"/>
              <w:textAlignment w:val="bottom"/>
            </w:pPr>
            <w:r>
              <w:rPr>
                <w:rFonts w:ascii="Arial" w:eastAsia="宋体" w:hAnsi="Arial" w:cs="Arial"/>
                <w:b/>
                <w:bCs/>
                <w:color w:val="000000"/>
                <w:sz w:val="15"/>
                <w:szCs w:val="15"/>
              </w:rPr>
              <w:t>Total</w:t>
            </w:r>
          </w:p>
        </w:tc>
      </w:tr>
      <w:tr w:rsidR="00980E5F" w14:paraId="392C7EB0" w14:textId="77777777">
        <w:tc>
          <w:tcPr>
            <w:tcW w:w="0" w:type="auto"/>
            <w:gridSpan w:val="3"/>
            <w:shd w:val="clear" w:color="auto" w:fill="auto"/>
            <w:tcMar>
              <w:top w:w="40" w:type="dxa"/>
              <w:left w:w="20" w:type="dxa"/>
              <w:bottom w:w="40" w:type="dxa"/>
              <w:right w:w="20" w:type="dxa"/>
            </w:tcMar>
            <w:vAlign w:val="bottom"/>
          </w:tcPr>
          <w:p w14:paraId="392C7EAA" w14:textId="77777777" w:rsidR="00980E5F" w:rsidRDefault="00483613">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E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EA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E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EA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EAF" w14:textId="77777777" w:rsidR="00980E5F" w:rsidRDefault="00980E5F">
            <w:pPr>
              <w:rPr>
                <w:rFonts w:ascii="宋体"/>
              </w:rPr>
            </w:pPr>
          </w:p>
        </w:tc>
      </w:tr>
      <w:tr w:rsidR="00980E5F" w14:paraId="392C7EBD" w14:textId="77777777">
        <w:tc>
          <w:tcPr>
            <w:tcW w:w="0" w:type="auto"/>
            <w:gridSpan w:val="3"/>
            <w:shd w:val="clear" w:color="auto" w:fill="CCEEFF"/>
            <w:tcMar>
              <w:top w:w="40" w:type="dxa"/>
              <w:left w:w="20" w:type="dxa"/>
              <w:bottom w:w="40" w:type="dxa"/>
              <w:right w:w="20" w:type="dxa"/>
            </w:tcMar>
            <w:vAlign w:val="bottom"/>
          </w:tcPr>
          <w:p w14:paraId="392C7EB1" w14:textId="77777777" w:rsidR="00980E5F" w:rsidRDefault="00483613">
            <w:pPr>
              <w:textAlignment w:val="bottom"/>
            </w:pPr>
            <w:r>
              <w:rPr>
                <w:rFonts w:ascii="Arial" w:eastAsia="宋体" w:hAnsi="Arial" w:cs="Arial"/>
                <w:b/>
                <w:bCs/>
                <w:color w:val="000000"/>
                <w:sz w:val="15"/>
                <w:szCs w:val="15"/>
              </w:rPr>
              <w:t>Ending balance December 31, 2020</w:t>
            </w:r>
          </w:p>
        </w:tc>
        <w:tc>
          <w:tcPr>
            <w:tcW w:w="0" w:type="auto"/>
            <w:shd w:val="clear" w:color="auto" w:fill="CCEEFF"/>
            <w:tcMar>
              <w:top w:w="40" w:type="dxa"/>
              <w:left w:w="20" w:type="dxa"/>
              <w:bottom w:w="40" w:type="dxa"/>
              <w:right w:w="0" w:type="dxa"/>
            </w:tcMar>
            <w:vAlign w:val="bottom"/>
          </w:tcPr>
          <w:p w14:paraId="392C7EB2"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EB3" w14:textId="77777777" w:rsidR="00980E5F" w:rsidRDefault="00483613">
            <w:pPr>
              <w:jc w:val="right"/>
              <w:textAlignment w:val="bottom"/>
            </w:pPr>
            <w:r>
              <w:rPr>
                <w:rFonts w:ascii="Arial" w:eastAsia="宋体" w:hAnsi="Arial" w:cs="Arial"/>
                <w:color w:val="000000"/>
                <w:sz w:val="15"/>
                <w:szCs w:val="15"/>
              </w:rPr>
              <w:t>7,413 </w:t>
            </w:r>
          </w:p>
        </w:tc>
        <w:tc>
          <w:tcPr>
            <w:tcW w:w="0" w:type="auto"/>
            <w:shd w:val="clear" w:color="auto" w:fill="CCEEFF"/>
            <w:tcMar>
              <w:top w:w="40" w:type="dxa"/>
              <w:left w:w="0" w:type="dxa"/>
              <w:bottom w:w="40" w:type="dxa"/>
              <w:right w:w="20" w:type="dxa"/>
            </w:tcMar>
            <w:vAlign w:val="bottom"/>
          </w:tcPr>
          <w:p w14:paraId="392C7E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B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EB6"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EB7" w14:textId="77777777" w:rsidR="00980E5F" w:rsidRDefault="00483613">
            <w:pPr>
              <w:jc w:val="right"/>
              <w:textAlignment w:val="bottom"/>
            </w:pPr>
            <w:r>
              <w:rPr>
                <w:rFonts w:ascii="Arial" w:eastAsia="宋体" w:hAnsi="Arial" w:cs="Arial"/>
                <w:color w:val="000000"/>
                <w:sz w:val="15"/>
                <w:szCs w:val="15"/>
              </w:rPr>
              <w:t>270 </w:t>
            </w:r>
          </w:p>
        </w:tc>
        <w:tc>
          <w:tcPr>
            <w:tcW w:w="0" w:type="auto"/>
            <w:shd w:val="clear" w:color="auto" w:fill="CCEEFF"/>
            <w:tcMar>
              <w:top w:w="40" w:type="dxa"/>
              <w:left w:w="0" w:type="dxa"/>
              <w:bottom w:w="40" w:type="dxa"/>
              <w:right w:w="20" w:type="dxa"/>
            </w:tcMar>
            <w:vAlign w:val="bottom"/>
          </w:tcPr>
          <w:p w14:paraId="392C7E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B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EBA"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EBB" w14:textId="77777777" w:rsidR="00980E5F" w:rsidRDefault="00483613">
            <w:pPr>
              <w:jc w:val="right"/>
              <w:textAlignment w:val="bottom"/>
            </w:pPr>
            <w:r>
              <w:rPr>
                <w:rFonts w:ascii="Arial" w:eastAsia="宋体" w:hAnsi="Arial" w:cs="Arial"/>
                <w:color w:val="000000"/>
                <w:sz w:val="15"/>
                <w:szCs w:val="15"/>
              </w:rPr>
              <w:t>7,683 </w:t>
            </w:r>
          </w:p>
        </w:tc>
        <w:tc>
          <w:tcPr>
            <w:tcW w:w="0" w:type="auto"/>
            <w:shd w:val="clear" w:color="auto" w:fill="CCEEFF"/>
            <w:tcMar>
              <w:top w:w="40" w:type="dxa"/>
              <w:left w:w="0" w:type="dxa"/>
              <w:bottom w:w="40" w:type="dxa"/>
              <w:right w:w="20" w:type="dxa"/>
            </w:tcMar>
            <w:vAlign w:val="bottom"/>
          </w:tcPr>
          <w:p w14:paraId="392C7EBC" w14:textId="77777777" w:rsidR="00980E5F" w:rsidRDefault="00980E5F">
            <w:pPr>
              <w:jc w:val="right"/>
              <w:rPr>
                <w:rFonts w:ascii="宋体"/>
              </w:rPr>
            </w:pPr>
          </w:p>
        </w:tc>
      </w:tr>
      <w:tr w:rsidR="00980E5F" w14:paraId="392C7EC7" w14:textId="77777777">
        <w:tc>
          <w:tcPr>
            <w:tcW w:w="0" w:type="auto"/>
            <w:gridSpan w:val="3"/>
            <w:shd w:val="clear" w:color="auto" w:fill="FFFFFF"/>
            <w:tcMar>
              <w:top w:w="40" w:type="dxa"/>
              <w:left w:w="20" w:type="dxa"/>
              <w:bottom w:w="40" w:type="dxa"/>
              <w:right w:w="20" w:type="dxa"/>
            </w:tcMar>
            <w:vAlign w:val="bottom"/>
          </w:tcPr>
          <w:p w14:paraId="392C7EBE" w14:textId="77777777" w:rsidR="00980E5F" w:rsidRDefault="00483613">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7EBF" w14:textId="77777777" w:rsidR="00980E5F" w:rsidRDefault="00483613">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392C7EC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C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C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E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C5" w14:textId="77777777" w:rsidR="00980E5F" w:rsidRDefault="00483613">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392C7EC6" w14:textId="77777777" w:rsidR="00980E5F" w:rsidRDefault="00980E5F">
            <w:pPr>
              <w:jc w:val="right"/>
              <w:rPr>
                <w:rFonts w:ascii="宋体"/>
              </w:rPr>
            </w:pPr>
          </w:p>
        </w:tc>
      </w:tr>
      <w:tr w:rsidR="00980E5F" w14:paraId="392C7ED1" w14:textId="77777777">
        <w:tc>
          <w:tcPr>
            <w:tcW w:w="0" w:type="auto"/>
            <w:gridSpan w:val="3"/>
            <w:shd w:val="clear" w:color="auto" w:fill="CCEEFF"/>
            <w:tcMar>
              <w:top w:w="40" w:type="dxa"/>
              <w:left w:w="20" w:type="dxa"/>
              <w:bottom w:w="40" w:type="dxa"/>
              <w:right w:w="20" w:type="dxa"/>
            </w:tcMar>
            <w:vAlign w:val="bottom"/>
          </w:tcPr>
          <w:p w14:paraId="392C7EC8" w14:textId="77777777" w:rsidR="00980E5F" w:rsidRDefault="00483613">
            <w:pPr>
              <w:textAlignment w:val="bottom"/>
            </w:pPr>
            <w:r>
              <w:rPr>
                <w:rFonts w:ascii="Arial" w:eastAsia="宋体" w:hAnsi="Arial" w:cs="Arial"/>
                <w:color w:val="000000"/>
                <w:sz w:val="15"/>
                <w:szCs w:val="15"/>
              </w:rPr>
              <w:t>Divestitures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7EC9" w14:textId="77777777" w:rsidR="00980E5F" w:rsidRDefault="00483613">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392C7E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C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CC"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7E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CF" w14:textId="77777777" w:rsidR="00980E5F" w:rsidRDefault="00483613">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392C7ED0" w14:textId="77777777" w:rsidR="00980E5F" w:rsidRDefault="00980E5F">
            <w:pPr>
              <w:jc w:val="right"/>
              <w:rPr>
                <w:rFonts w:ascii="宋体"/>
              </w:rPr>
            </w:pPr>
          </w:p>
        </w:tc>
      </w:tr>
      <w:tr w:rsidR="00980E5F" w14:paraId="392C7EDB" w14:textId="77777777">
        <w:tc>
          <w:tcPr>
            <w:tcW w:w="0" w:type="auto"/>
            <w:gridSpan w:val="3"/>
            <w:shd w:val="clear" w:color="auto" w:fill="FFFFFF"/>
            <w:tcMar>
              <w:top w:w="40" w:type="dxa"/>
              <w:left w:w="20" w:type="dxa"/>
              <w:bottom w:w="40" w:type="dxa"/>
              <w:right w:w="20" w:type="dxa"/>
            </w:tcMar>
            <w:vAlign w:val="bottom"/>
          </w:tcPr>
          <w:p w14:paraId="392C7ED2" w14:textId="77777777" w:rsidR="00980E5F" w:rsidRDefault="00483613">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392C7ED3" w14:textId="77777777" w:rsidR="00980E5F" w:rsidRDefault="00483613">
            <w:pPr>
              <w:jc w:val="right"/>
              <w:textAlignment w:val="bottom"/>
            </w:pPr>
            <w:r>
              <w:rPr>
                <w:rFonts w:ascii="Arial" w:eastAsia="宋体" w:hAnsi="Arial" w:cs="Arial"/>
                <w:color w:val="000000"/>
                <w:sz w:val="15"/>
                <w:szCs w:val="15"/>
              </w:rPr>
              <w:t>(108)</w:t>
            </w:r>
          </w:p>
        </w:tc>
        <w:tc>
          <w:tcPr>
            <w:tcW w:w="0" w:type="auto"/>
            <w:shd w:val="clear" w:color="auto" w:fill="FFFFFF"/>
            <w:tcMar>
              <w:top w:w="40" w:type="dxa"/>
              <w:left w:w="0" w:type="dxa"/>
              <w:bottom w:w="40" w:type="dxa"/>
              <w:right w:w="20" w:type="dxa"/>
            </w:tcMar>
            <w:vAlign w:val="bottom"/>
          </w:tcPr>
          <w:p w14:paraId="392C7ED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D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D6" w14:textId="77777777" w:rsidR="00980E5F" w:rsidRDefault="00483613">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392C7ED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D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D9" w14:textId="77777777" w:rsidR="00980E5F" w:rsidRDefault="00483613">
            <w:pPr>
              <w:jc w:val="right"/>
              <w:textAlignment w:val="bottom"/>
            </w:pPr>
            <w:r>
              <w:rPr>
                <w:rFonts w:ascii="Arial" w:eastAsia="宋体" w:hAnsi="Arial" w:cs="Arial"/>
                <w:color w:val="000000"/>
                <w:sz w:val="15"/>
                <w:szCs w:val="15"/>
              </w:rPr>
              <w:t>(111)</w:t>
            </w:r>
          </w:p>
        </w:tc>
        <w:tc>
          <w:tcPr>
            <w:tcW w:w="0" w:type="auto"/>
            <w:shd w:val="clear" w:color="auto" w:fill="FFFFFF"/>
            <w:tcMar>
              <w:top w:w="40" w:type="dxa"/>
              <w:left w:w="0" w:type="dxa"/>
              <w:bottom w:w="40" w:type="dxa"/>
              <w:right w:w="20" w:type="dxa"/>
            </w:tcMar>
            <w:vAlign w:val="bottom"/>
          </w:tcPr>
          <w:p w14:paraId="392C7EDA" w14:textId="77777777" w:rsidR="00980E5F" w:rsidRDefault="00980E5F">
            <w:pPr>
              <w:jc w:val="right"/>
              <w:rPr>
                <w:rFonts w:ascii="宋体"/>
              </w:rPr>
            </w:pPr>
          </w:p>
        </w:tc>
      </w:tr>
      <w:tr w:rsidR="00980E5F" w14:paraId="392C7EE8" w14:textId="77777777">
        <w:tc>
          <w:tcPr>
            <w:tcW w:w="0" w:type="auto"/>
            <w:gridSpan w:val="3"/>
            <w:shd w:val="clear" w:color="auto" w:fill="CCEEFF"/>
            <w:tcMar>
              <w:top w:w="40" w:type="dxa"/>
              <w:left w:w="20" w:type="dxa"/>
              <w:bottom w:w="40" w:type="dxa"/>
              <w:right w:w="20" w:type="dxa"/>
            </w:tcMar>
            <w:vAlign w:val="bottom"/>
          </w:tcPr>
          <w:p w14:paraId="392C7EDC" w14:textId="77777777" w:rsidR="00980E5F" w:rsidRDefault="00483613">
            <w:pPr>
              <w:textAlignment w:val="bottom"/>
            </w:pPr>
            <w:r>
              <w:rPr>
                <w:rFonts w:ascii="Arial" w:eastAsia="宋体" w:hAnsi="Arial" w:cs="Arial"/>
                <w:b/>
                <w:bCs/>
                <w:color w:val="000000"/>
                <w:sz w:val="15"/>
                <w:szCs w:val="15"/>
              </w:rPr>
              <w:t>Ending balance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7EDD"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DE" w14:textId="77777777" w:rsidR="00980E5F" w:rsidRDefault="00483613">
            <w:pPr>
              <w:jc w:val="right"/>
              <w:textAlignment w:val="bottom"/>
            </w:pPr>
            <w:r>
              <w:rPr>
                <w:rFonts w:ascii="Arial" w:eastAsia="宋体" w:hAnsi="Arial" w:cs="Arial"/>
                <w:color w:val="000000"/>
                <w:sz w:val="15"/>
                <w:szCs w:val="15"/>
              </w:rPr>
              <w:t>7,354 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D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E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E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E2" w14:textId="77777777" w:rsidR="00980E5F" w:rsidRDefault="00483613">
            <w:pPr>
              <w:jc w:val="right"/>
              <w:textAlignment w:val="bottom"/>
            </w:pPr>
            <w:r>
              <w:rPr>
                <w:rFonts w:ascii="Arial" w:eastAsia="宋体" w:hAnsi="Arial" w:cs="Arial"/>
                <w:color w:val="000000"/>
                <w:sz w:val="15"/>
                <w:szCs w:val="15"/>
              </w:rPr>
              <w:t>267 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E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E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7EE5"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7EE6" w14:textId="77777777" w:rsidR="00980E5F" w:rsidRDefault="00483613">
            <w:pPr>
              <w:jc w:val="right"/>
              <w:textAlignment w:val="bottom"/>
            </w:pPr>
            <w:r>
              <w:rPr>
                <w:rFonts w:ascii="Arial" w:eastAsia="宋体" w:hAnsi="Arial" w:cs="Arial"/>
                <w:color w:val="000000"/>
                <w:sz w:val="15"/>
                <w:szCs w:val="15"/>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EE7" w14:textId="77777777" w:rsidR="00980E5F" w:rsidRDefault="00980E5F">
            <w:pPr>
              <w:jc w:val="right"/>
              <w:rPr>
                <w:rFonts w:ascii="宋体"/>
              </w:rPr>
            </w:pPr>
          </w:p>
        </w:tc>
      </w:tr>
      <w:tr w:rsidR="00980E5F" w14:paraId="392C7EF2" w14:textId="77777777">
        <w:tc>
          <w:tcPr>
            <w:tcW w:w="0" w:type="auto"/>
            <w:gridSpan w:val="3"/>
            <w:shd w:val="clear" w:color="auto" w:fill="FFFFFF"/>
            <w:tcMar>
              <w:top w:w="40" w:type="dxa"/>
              <w:left w:w="20" w:type="dxa"/>
              <w:bottom w:w="40" w:type="dxa"/>
              <w:right w:w="20" w:type="dxa"/>
            </w:tcMar>
            <w:vAlign w:val="bottom"/>
          </w:tcPr>
          <w:p w14:paraId="392C7EE9" w14:textId="77777777" w:rsidR="00980E5F" w:rsidRDefault="00483613">
            <w:pPr>
              <w:textAlignment w:val="bottom"/>
            </w:pPr>
            <w:r>
              <w:rPr>
                <w:rFonts w:ascii="Arial" w:eastAsia="宋体" w:hAnsi="Arial" w:cs="Arial"/>
                <w:color w:val="000000"/>
                <w:sz w:val="15"/>
                <w:szCs w:val="15"/>
              </w:rPr>
              <w:t>Acquisitions</w:t>
            </w:r>
          </w:p>
        </w:tc>
        <w:tc>
          <w:tcPr>
            <w:tcW w:w="0" w:type="auto"/>
            <w:gridSpan w:val="2"/>
            <w:shd w:val="clear" w:color="auto" w:fill="FFFFFF"/>
            <w:tcMar>
              <w:top w:w="40" w:type="dxa"/>
              <w:left w:w="20" w:type="dxa"/>
              <w:bottom w:w="40" w:type="dxa"/>
              <w:right w:w="0" w:type="dxa"/>
            </w:tcMar>
            <w:vAlign w:val="bottom"/>
          </w:tcPr>
          <w:p w14:paraId="392C7EEA" w14:textId="77777777" w:rsidR="00980E5F" w:rsidRDefault="00483613">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E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E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ED"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E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EE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EF0" w14:textId="77777777" w:rsidR="00980E5F" w:rsidRDefault="00483613">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EF1" w14:textId="77777777" w:rsidR="00980E5F" w:rsidRDefault="00980E5F">
            <w:pPr>
              <w:jc w:val="right"/>
              <w:rPr>
                <w:rFonts w:ascii="宋体"/>
              </w:rPr>
            </w:pPr>
          </w:p>
        </w:tc>
      </w:tr>
      <w:tr w:rsidR="00980E5F" w14:paraId="392C7EF9" w14:textId="77777777">
        <w:trPr>
          <w:hidden/>
        </w:trPr>
        <w:tc>
          <w:tcPr>
            <w:tcW w:w="0" w:type="auto"/>
            <w:gridSpan w:val="3"/>
            <w:shd w:val="clear" w:color="auto" w:fill="auto"/>
            <w:vAlign w:val="bottom"/>
          </w:tcPr>
          <w:p w14:paraId="392C7EF3" w14:textId="77777777" w:rsidR="00980E5F" w:rsidRDefault="00980E5F">
            <w:pPr>
              <w:rPr>
                <w:rFonts w:ascii="宋体"/>
                <w:vanish/>
              </w:rPr>
            </w:pPr>
          </w:p>
        </w:tc>
        <w:tc>
          <w:tcPr>
            <w:tcW w:w="0" w:type="auto"/>
            <w:gridSpan w:val="3"/>
            <w:shd w:val="clear" w:color="auto" w:fill="auto"/>
            <w:vAlign w:val="bottom"/>
          </w:tcPr>
          <w:p w14:paraId="392C7EF4" w14:textId="77777777" w:rsidR="00980E5F" w:rsidRDefault="00980E5F">
            <w:pPr>
              <w:rPr>
                <w:rFonts w:ascii="宋体"/>
                <w:vanish/>
              </w:rPr>
            </w:pPr>
          </w:p>
        </w:tc>
        <w:tc>
          <w:tcPr>
            <w:tcW w:w="0" w:type="auto"/>
            <w:gridSpan w:val="3"/>
            <w:shd w:val="clear" w:color="auto" w:fill="auto"/>
            <w:vAlign w:val="bottom"/>
          </w:tcPr>
          <w:p w14:paraId="392C7EF5" w14:textId="77777777" w:rsidR="00980E5F" w:rsidRDefault="00980E5F">
            <w:pPr>
              <w:rPr>
                <w:rFonts w:ascii="宋体"/>
                <w:vanish/>
              </w:rPr>
            </w:pPr>
          </w:p>
        </w:tc>
        <w:tc>
          <w:tcPr>
            <w:tcW w:w="0" w:type="auto"/>
            <w:gridSpan w:val="3"/>
            <w:shd w:val="clear" w:color="auto" w:fill="auto"/>
            <w:vAlign w:val="bottom"/>
          </w:tcPr>
          <w:p w14:paraId="392C7EF6" w14:textId="77777777" w:rsidR="00980E5F" w:rsidRDefault="00980E5F">
            <w:pPr>
              <w:rPr>
                <w:rFonts w:ascii="宋体"/>
                <w:vanish/>
              </w:rPr>
            </w:pPr>
          </w:p>
        </w:tc>
        <w:tc>
          <w:tcPr>
            <w:tcW w:w="0" w:type="auto"/>
            <w:gridSpan w:val="3"/>
            <w:shd w:val="clear" w:color="auto" w:fill="auto"/>
            <w:vAlign w:val="bottom"/>
          </w:tcPr>
          <w:p w14:paraId="392C7EF7" w14:textId="77777777" w:rsidR="00980E5F" w:rsidRDefault="00980E5F">
            <w:pPr>
              <w:rPr>
                <w:rFonts w:ascii="宋体"/>
                <w:vanish/>
              </w:rPr>
            </w:pPr>
          </w:p>
        </w:tc>
        <w:tc>
          <w:tcPr>
            <w:tcW w:w="0" w:type="auto"/>
            <w:gridSpan w:val="3"/>
            <w:shd w:val="clear" w:color="auto" w:fill="auto"/>
            <w:vAlign w:val="bottom"/>
          </w:tcPr>
          <w:p w14:paraId="392C7EF8" w14:textId="77777777" w:rsidR="00980E5F" w:rsidRDefault="00980E5F">
            <w:pPr>
              <w:rPr>
                <w:rFonts w:ascii="宋体"/>
                <w:vanish/>
              </w:rPr>
            </w:pPr>
          </w:p>
        </w:tc>
      </w:tr>
      <w:tr w:rsidR="00980E5F" w14:paraId="392C7F03" w14:textId="77777777">
        <w:tc>
          <w:tcPr>
            <w:tcW w:w="0" w:type="auto"/>
            <w:gridSpan w:val="3"/>
            <w:shd w:val="clear" w:color="auto" w:fill="CCEEFF"/>
            <w:tcMar>
              <w:top w:w="40" w:type="dxa"/>
              <w:left w:w="20" w:type="dxa"/>
              <w:bottom w:w="40" w:type="dxa"/>
              <w:right w:w="20" w:type="dxa"/>
            </w:tcMar>
            <w:vAlign w:val="bottom"/>
          </w:tcPr>
          <w:p w14:paraId="392C7EFA" w14:textId="77777777" w:rsidR="00980E5F" w:rsidRDefault="00483613">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392C7EFB" w14:textId="77777777" w:rsidR="00980E5F" w:rsidRDefault="00483613">
            <w:pPr>
              <w:jc w:val="right"/>
              <w:textAlignment w:val="bottom"/>
            </w:pPr>
            <w:r>
              <w:rPr>
                <w:rFonts w:ascii="Arial" w:eastAsia="宋体" w:hAnsi="Arial" w:cs="Arial"/>
                <w:b/>
                <w:bCs/>
                <w:color w:val="000000"/>
                <w:sz w:val="15"/>
                <w:szCs w:val="15"/>
              </w:rPr>
              <w:t>(155)</w:t>
            </w:r>
          </w:p>
        </w:tc>
        <w:tc>
          <w:tcPr>
            <w:tcW w:w="0" w:type="auto"/>
            <w:shd w:val="clear" w:color="auto" w:fill="CCEEFF"/>
            <w:tcMar>
              <w:top w:w="40" w:type="dxa"/>
              <w:left w:w="0" w:type="dxa"/>
              <w:bottom w:w="40" w:type="dxa"/>
              <w:right w:w="20" w:type="dxa"/>
            </w:tcMar>
            <w:vAlign w:val="bottom"/>
          </w:tcPr>
          <w:p w14:paraId="392C7E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EF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EFE" w14:textId="77777777" w:rsidR="00980E5F" w:rsidRDefault="00483613">
            <w:pPr>
              <w:jc w:val="right"/>
              <w:textAlignment w:val="bottom"/>
            </w:pPr>
            <w:r>
              <w:rPr>
                <w:rFonts w:ascii="Arial" w:eastAsia="宋体" w:hAnsi="Arial" w:cs="Arial"/>
                <w:b/>
                <w:bCs/>
                <w:color w:val="000000"/>
                <w:sz w:val="15"/>
                <w:szCs w:val="15"/>
              </w:rPr>
              <w:t>(4)</w:t>
            </w:r>
          </w:p>
        </w:tc>
        <w:tc>
          <w:tcPr>
            <w:tcW w:w="0" w:type="auto"/>
            <w:shd w:val="clear" w:color="auto" w:fill="CCEEFF"/>
            <w:tcMar>
              <w:top w:w="40" w:type="dxa"/>
              <w:left w:w="0" w:type="dxa"/>
              <w:bottom w:w="40" w:type="dxa"/>
              <w:right w:w="20" w:type="dxa"/>
            </w:tcMar>
            <w:vAlign w:val="bottom"/>
          </w:tcPr>
          <w:p w14:paraId="392C7E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F01" w14:textId="77777777" w:rsidR="00980E5F" w:rsidRDefault="00483613">
            <w:pPr>
              <w:jc w:val="right"/>
              <w:textAlignment w:val="bottom"/>
            </w:pPr>
            <w:r>
              <w:rPr>
                <w:rFonts w:ascii="Arial" w:eastAsia="宋体" w:hAnsi="Arial" w:cs="Arial"/>
                <w:b/>
                <w:bCs/>
                <w:color w:val="000000"/>
                <w:sz w:val="15"/>
                <w:szCs w:val="15"/>
              </w:rPr>
              <w:t>(159)</w:t>
            </w:r>
          </w:p>
        </w:tc>
        <w:tc>
          <w:tcPr>
            <w:tcW w:w="0" w:type="auto"/>
            <w:shd w:val="clear" w:color="auto" w:fill="CCEEFF"/>
            <w:tcMar>
              <w:top w:w="40" w:type="dxa"/>
              <w:left w:w="0" w:type="dxa"/>
              <w:bottom w:w="40" w:type="dxa"/>
              <w:right w:w="20" w:type="dxa"/>
            </w:tcMar>
            <w:vAlign w:val="bottom"/>
          </w:tcPr>
          <w:p w14:paraId="392C7F02" w14:textId="77777777" w:rsidR="00980E5F" w:rsidRDefault="00980E5F">
            <w:pPr>
              <w:jc w:val="right"/>
              <w:rPr>
                <w:rFonts w:ascii="宋体"/>
              </w:rPr>
            </w:pPr>
          </w:p>
        </w:tc>
      </w:tr>
      <w:tr w:rsidR="00980E5F" w14:paraId="392C7F10" w14:textId="77777777">
        <w:tc>
          <w:tcPr>
            <w:tcW w:w="0" w:type="auto"/>
            <w:gridSpan w:val="3"/>
            <w:shd w:val="clear" w:color="auto" w:fill="FFFFFF"/>
            <w:tcMar>
              <w:top w:w="40" w:type="dxa"/>
              <w:left w:w="20" w:type="dxa"/>
              <w:bottom w:w="40" w:type="dxa"/>
              <w:right w:w="20" w:type="dxa"/>
            </w:tcMar>
            <w:vAlign w:val="bottom"/>
          </w:tcPr>
          <w:p w14:paraId="392C7F04" w14:textId="77777777" w:rsidR="00980E5F" w:rsidRDefault="00483613">
            <w:pPr>
              <w:textAlignment w:val="bottom"/>
            </w:pPr>
            <w:r>
              <w:rPr>
                <w:rFonts w:ascii="Arial" w:eastAsia="宋体" w:hAnsi="Arial" w:cs="Arial"/>
                <w:b/>
                <w:bCs/>
                <w:color w:val="000000"/>
                <w:sz w:val="15"/>
                <w:szCs w:val="15"/>
              </w:rPr>
              <w:t>Ending balance June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F05"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F06" w14:textId="77777777" w:rsidR="00980E5F" w:rsidRDefault="00483613">
            <w:pPr>
              <w:jc w:val="right"/>
              <w:textAlignment w:val="bottom"/>
            </w:pPr>
            <w:r>
              <w:rPr>
                <w:rFonts w:ascii="Arial" w:eastAsia="宋体" w:hAnsi="Arial" w:cs="Arial"/>
                <w:b/>
                <w:bCs/>
                <w:color w:val="000000"/>
                <w:sz w:val="15"/>
                <w:szCs w:val="15"/>
              </w:rPr>
              <w:t>7,202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F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0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F09"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F0A" w14:textId="77777777" w:rsidR="00980E5F" w:rsidRDefault="00483613">
            <w:pPr>
              <w:jc w:val="right"/>
              <w:textAlignment w:val="bottom"/>
            </w:pPr>
            <w:r>
              <w:rPr>
                <w:rFonts w:ascii="Arial" w:eastAsia="宋体" w:hAnsi="Arial" w:cs="Arial"/>
                <w:b/>
                <w:bCs/>
                <w:color w:val="000000"/>
                <w:sz w:val="15"/>
                <w:szCs w:val="15"/>
              </w:rPr>
              <w:t>263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F0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0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7F0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7F0E" w14:textId="77777777" w:rsidR="00980E5F" w:rsidRDefault="00483613">
            <w:pPr>
              <w:jc w:val="right"/>
              <w:textAlignment w:val="bottom"/>
            </w:pPr>
            <w:r>
              <w:rPr>
                <w:rFonts w:ascii="Arial" w:eastAsia="宋体" w:hAnsi="Arial" w:cs="Arial"/>
                <w:b/>
                <w:bCs/>
                <w:color w:val="000000"/>
                <w:sz w:val="15"/>
                <w:szCs w:val="15"/>
              </w:rPr>
              <w:t>7,465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7F0F" w14:textId="77777777" w:rsidR="00980E5F" w:rsidRDefault="00980E5F">
            <w:pPr>
              <w:jc w:val="right"/>
              <w:rPr>
                <w:rFonts w:ascii="宋体"/>
              </w:rPr>
            </w:pPr>
          </w:p>
        </w:tc>
      </w:tr>
      <w:tr w:rsidR="00980E5F" w14:paraId="392C7F17" w14:textId="77777777">
        <w:trPr>
          <w:hidden/>
        </w:trPr>
        <w:tc>
          <w:tcPr>
            <w:tcW w:w="0" w:type="auto"/>
            <w:gridSpan w:val="3"/>
            <w:shd w:val="clear" w:color="auto" w:fill="auto"/>
            <w:vAlign w:val="bottom"/>
          </w:tcPr>
          <w:p w14:paraId="392C7F11" w14:textId="77777777" w:rsidR="00980E5F" w:rsidRDefault="00980E5F">
            <w:pPr>
              <w:rPr>
                <w:rFonts w:ascii="宋体"/>
                <w:vanish/>
              </w:rPr>
            </w:pPr>
          </w:p>
        </w:tc>
        <w:tc>
          <w:tcPr>
            <w:tcW w:w="0" w:type="auto"/>
            <w:gridSpan w:val="3"/>
            <w:shd w:val="clear" w:color="auto" w:fill="auto"/>
            <w:vAlign w:val="bottom"/>
          </w:tcPr>
          <w:p w14:paraId="392C7F12" w14:textId="77777777" w:rsidR="00980E5F" w:rsidRDefault="00980E5F">
            <w:pPr>
              <w:rPr>
                <w:rFonts w:ascii="宋体"/>
                <w:vanish/>
              </w:rPr>
            </w:pPr>
          </w:p>
        </w:tc>
        <w:tc>
          <w:tcPr>
            <w:tcW w:w="0" w:type="auto"/>
            <w:gridSpan w:val="3"/>
            <w:shd w:val="clear" w:color="auto" w:fill="auto"/>
            <w:vAlign w:val="bottom"/>
          </w:tcPr>
          <w:p w14:paraId="392C7F13" w14:textId="77777777" w:rsidR="00980E5F" w:rsidRDefault="00980E5F">
            <w:pPr>
              <w:rPr>
                <w:rFonts w:ascii="宋体"/>
                <w:vanish/>
              </w:rPr>
            </w:pPr>
          </w:p>
        </w:tc>
        <w:tc>
          <w:tcPr>
            <w:tcW w:w="0" w:type="auto"/>
            <w:gridSpan w:val="3"/>
            <w:shd w:val="clear" w:color="auto" w:fill="auto"/>
            <w:vAlign w:val="bottom"/>
          </w:tcPr>
          <w:p w14:paraId="392C7F14" w14:textId="77777777" w:rsidR="00980E5F" w:rsidRDefault="00980E5F">
            <w:pPr>
              <w:rPr>
                <w:rFonts w:ascii="宋体"/>
                <w:vanish/>
              </w:rPr>
            </w:pPr>
          </w:p>
        </w:tc>
        <w:tc>
          <w:tcPr>
            <w:tcW w:w="0" w:type="auto"/>
            <w:gridSpan w:val="3"/>
            <w:shd w:val="clear" w:color="auto" w:fill="auto"/>
            <w:vAlign w:val="bottom"/>
          </w:tcPr>
          <w:p w14:paraId="392C7F15" w14:textId="77777777" w:rsidR="00980E5F" w:rsidRDefault="00980E5F">
            <w:pPr>
              <w:rPr>
                <w:rFonts w:ascii="宋体"/>
                <w:vanish/>
              </w:rPr>
            </w:pPr>
          </w:p>
        </w:tc>
        <w:tc>
          <w:tcPr>
            <w:tcW w:w="0" w:type="auto"/>
            <w:gridSpan w:val="3"/>
            <w:shd w:val="clear" w:color="auto" w:fill="auto"/>
            <w:vAlign w:val="bottom"/>
          </w:tcPr>
          <w:p w14:paraId="392C7F16" w14:textId="77777777" w:rsidR="00980E5F" w:rsidRDefault="00980E5F">
            <w:pPr>
              <w:rPr>
                <w:rFonts w:ascii="宋体"/>
                <w:vanish/>
              </w:rPr>
            </w:pPr>
          </w:p>
        </w:tc>
      </w:tr>
      <w:tr w:rsidR="00980E5F" w14:paraId="392C7F1E" w14:textId="77777777">
        <w:trPr>
          <w:hidden/>
        </w:trPr>
        <w:tc>
          <w:tcPr>
            <w:tcW w:w="0" w:type="auto"/>
            <w:gridSpan w:val="3"/>
            <w:shd w:val="clear" w:color="auto" w:fill="auto"/>
            <w:vAlign w:val="bottom"/>
          </w:tcPr>
          <w:p w14:paraId="392C7F18" w14:textId="77777777" w:rsidR="00980E5F" w:rsidRDefault="00980E5F">
            <w:pPr>
              <w:rPr>
                <w:rFonts w:ascii="宋体"/>
                <w:vanish/>
              </w:rPr>
            </w:pPr>
          </w:p>
        </w:tc>
        <w:tc>
          <w:tcPr>
            <w:tcW w:w="0" w:type="auto"/>
            <w:gridSpan w:val="3"/>
            <w:shd w:val="clear" w:color="auto" w:fill="auto"/>
            <w:vAlign w:val="bottom"/>
          </w:tcPr>
          <w:p w14:paraId="392C7F19" w14:textId="77777777" w:rsidR="00980E5F" w:rsidRDefault="00980E5F">
            <w:pPr>
              <w:rPr>
                <w:rFonts w:ascii="宋体"/>
                <w:vanish/>
              </w:rPr>
            </w:pPr>
          </w:p>
        </w:tc>
        <w:tc>
          <w:tcPr>
            <w:tcW w:w="0" w:type="auto"/>
            <w:gridSpan w:val="3"/>
            <w:shd w:val="clear" w:color="auto" w:fill="auto"/>
            <w:vAlign w:val="bottom"/>
          </w:tcPr>
          <w:p w14:paraId="392C7F1A" w14:textId="77777777" w:rsidR="00980E5F" w:rsidRDefault="00980E5F">
            <w:pPr>
              <w:rPr>
                <w:rFonts w:ascii="宋体"/>
                <w:vanish/>
              </w:rPr>
            </w:pPr>
          </w:p>
        </w:tc>
        <w:tc>
          <w:tcPr>
            <w:tcW w:w="0" w:type="auto"/>
            <w:gridSpan w:val="3"/>
            <w:shd w:val="clear" w:color="auto" w:fill="auto"/>
            <w:vAlign w:val="bottom"/>
          </w:tcPr>
          <w:p w14:paraId="392C7F1B" w14:textId="77777777" w:rsidR="00980E5F" w:rsidRDefault="00980E5F">
            <w:pPr>
              <w:rPr>
                <w:rFonts w:ascii="宋体"/>
                <w:vanish/>
              </w:rPr>
            </w:pPr>
          </w:p>
        </w:tc>
        <w:tc>
          <w:tcPr>
            <w:tcW w:w="0" w:type="auto"/>
            <w:gridSpan w:val="3"/>
            <w:shd w:val="clear" w:color="auto" w:fill="auto"/>
            <w:vAlign w:val="bottom"/>
          </w:tcPr>
          <w:p w14:paraId="392C7F1C" w14:textId="77777777" w:rsidR="00980E5F" w:rsidRDefault="00980E5F">
            <w:pPr>
              <w:rPr>
                <w:rFonts w:ascii="宋体"/>
                <w:vanish/>
              </w:rPr>
            </w:pPr>
          </w:p>
        </w:tc>
        <w:tc>
          <w:tcPr>
            <w:tcW w:w="0" w:type="auto"/>
            <w:gridSpan w:val="3"/>
            <w:shd w:val="clear" w:color="auto" w:fill="auto"/>
            <w:vAlign w:val="bottom"/>
          </w:tcPr>
          <w:p w14:paraId="392C7F1D" w14:textId="77777777" w:rsidR="00980E5F" w:rsidRDefault="00980E5F">
            <w:pPr>
              <w:rPr>
                <w:rFonts w:ascii="宋体"/>
                <w:vanish/>
              </w:rPr>
            </w:pPr>
          </w:p>
        </w:tc>
      </w:tr>
      <w:tr w:rsidR="00980E5F" w14:paraId="392C7F25" w14:textId="77777777">
        <w:trPr>
          <w:hidden/>
        </w:trPr>
        <w:tc>
          <w:tcPr>
            <w:tcW w:w="0" w:type="auto"/>
            <w:gridSpan w:val="3"/>
            <w:shd w:val="clear" w:color="auto" w:fill="auto"/>
            <w:vAlign w:val="bottom"/>
          </w:tcPr>
          <w:p w14:paraId="392C7F1F" w14:textId="77777777" w:rsidR="00980E5F" w:rsidRDefault="00980E5F">
            <w:pPr>
              <w:rPr>
                <w:rFonts w:ascii="宋体"/>
                <w:vanish/>
              </w:rPr>
            </w:pPr>
          </w:p>
        </w:tc>
        <w:tc>
          <w:tcPr>
            <w:tcW w:w="0" w:type="auto"/>
            <w:gridSpan w:val="3"/>
            <w:shd w:val="clear" w:color="auto" w:fill="auto"/>
            <w:vAlign w:val="bottom"/>
          </w:tcPr>
          <w:p w14:paraId="392C7F20" w14:textId="77777777" w:rsidR="00980E5F" w:rsidRDefault="00980E5F">
            <w:pPr>
              <w:rPr>
                <w:rFonts w:ascii="宋体"/>
                <w:vanish/>
              </w:rPr>
            </w:pPr>
          </w:p>
        </w:tc>
        <w:tc>
          <w:tcPr>
            <w:tcW w:w="0" w:type="auto"/>
            <w:gridSpan w:val="3"/>
            <w:shd w:val="clear" w:color="auto" w:fill="auto"/>
            <w:vAlign w:val="bottom"/>
          </w:tcPr>
          <w:p w14:paraId="392C7F21" w14:textId="77777777" w:rsidR="00980E5F" w:rsidRDefault="00980E5F">
            <w:pPr>
              <w:rPr>
                <w:rFonts w:ascii="宋体"/>
                <w:vanish/>
              </w:rPr>
            </w:pPr>
          </w:p>
        </w:tc>
        <w:tc>
          <w:tcPr>
            <w:tcW w:w="0" w:type="auto"/>
            <w:gridSpan w:val="3"/>
            <w:shd w:val="clear" w:color="auto" w:fill="auto"/>
            <w:vAlign w:val="bottom"/>
          </w:tcPr>
          <w:p w14:paraId="392C7F22" w14:textId="77777777" w:rsidR="00980E5F" w:rsidRDefault="00980E5F">
            <w:pPr>
              <w:rPr>
                <w:rFonts w:ascii="宋体"/>
                <w:vanish/>
              </w:rPr>
            </w:pPr>
          </w:p>
        </w:tc>
        <w:tc>
          <w:tcPr>
            <w:tcW w:w="0" w:type="auto"/>
            <w:gridSpan w:val="3"/>
            <w:shd w:val="clear" w:color="auto" w:fill="auto"/>
            <w:vAlign w:val="bottom"/>
          </w:tcPr>
          <w:p w14:paraId="392C7F23" w14:textId="77777777" w:rsidR="00980E5F" w:rsidRDefault="00980E5F">
            <w:pPr>
              <w:rPr>
                <w:rFonts w:ascii="宋体"/>
                <w:vanish/>
              </w:rPr>
            </w:pPr>
          </w:p>
        </w:tc>
        <w:tc>
          <w:tcPr>
            <w:tcW w:w="0" w:type="auto"/>
            <w:gridSpan w:val="3"/>
            <w:shd w:val="clear" w:color="auto" w:fill="auto"/>
            <w:vAlign w:val="bottom"/>
          </w:tcPr>
          <w:p w14:paraId="392C7F24" w14:textId="77777777" w:rsidR="00980E5F" w:rsidRDefault="00980E5F">
            <w:pPr>
              <w:rPr>
                <w:rFonts w:ascii="宋体"/>
                <w:vanish/>
              </w:rPr>
            </w:pPr>
          </w:p>
        </w:tc>
      </w:tr>
      <w:tr w:rsidR="00980E5F" w14:paraId="392C7F2C" w14:textId="77777777">
        <w:trPr>
          <w:hidden/>
        </w:trPr>
        <w:tc>
          <w:tcPr>
            <w:tcW w:w="0" w:type="auto"/>
            <w:gridSpan w:val="3"/>
            <w:shd w:val="clear" w:color="auto" w:fill="auto"/>
            <w:vAlign w:val="bottom"/>
          </w:tcPr>
          <w:p w14:paraId="392C7F26" w14:textId="77777777" w:rsidR="00980E5F" w:rsidRDefault="00980E5F">
            <w:pPr>
              <w:rPr>
                <w:rFonts w:ascii="宋体"/>
                <w:vanish/>
              </w:rPr>
            </w:pPr>
          </w:p>
        </w:tc>
        <w:tc>
          <w:tcPr>
            <w:tcW w:w="0" w:type="auto"/>
            <w:gridSpan w:val="3"/>
            <w:shd w:val="clear" w:color="auto" w:fill="auto"/>
            <w:vAlign w:val="bottom"/>
          </w:tcPr>
          <w:p w14:paraId="392C7F27" w14:textId="77777777" w:rsidR="00980E5F" w:rsidRDefault="00980E5F">
            <w:pPr>
              <w:rPr>
                <w:rFonts w:ascii="宋体"/>
                <w:vanish/>
              </w:rPr>
            </w:pPr>
          </w:p>
        </w:tc>
        <w:tc>
          <w:tcPr>
            <w:tcW w:w="0" w:type="auto"/>
            <w:gridSpan w:val="3"/>
            <w:shd w:val="clear" w:color="auto" w:fill="auto"/>
            <w:vAlign w:val="bottom"/>
          </w:tcPr>
          <w:p w14:paraId="392C7F28" w14:textId="77777777" w:rsidR="00980E5F" w:rsidRDefault="00980E5F">
            <w:pPr>
              <w:rPr>
                <w:rFonts w:ascii="宋体"/>
                <w:vanish/>
              </w:rPr>
            </w:pPr>
          </w:p>
        </w:tc>
        <w:tc>
          <w:tcPr>
            <w:tcW w:w="0" w:type="auto"/>
            <w:gridSpan w:val="3"/>
            <w:shd w:val="clear" w:color="auto" w:fill="auto"/>
            <w:vAlign w:val="bottom"/>
          </w:tcPr>
          <w:p w14:paraId="392C7F29" w14:textId="77777777" w:rsidR="00980E5F" w:rsidRDefault="00980E5F">
            <w:pPr>
              <w:rPr>
                <w:rFonts w:ascii="宋体"/>
                <w:vanish/>
              </w:rPr>
            </w:pPr>
          </w:p>
        </w:tc>
        <w:tc>
          <w:tcPr>
            <w:tcW w:w="0" w:type="auto"/>
            <w:gridSpan w:val="3"/>
            <w:shd w:val="clear" w:color="auto" w:fill="auto"/>
            <w:vAlign w:val="bottom"/>
          </w:tcPr>
          <w:p w14:paraId="392C7F2A" w14:textId="77777777" w:rsidR="00980E5F" w:rsidRDefault="00980E5F">
            <w:pPr>
              <w:rPr>
                <w:rFonts w:ascii="宋体"/>
                <w:vanish/>
              </w:rPr>
            </w:pPr>
          </w:p>
        </w:tc>
        <w:tc>
          <w:tcPr>
            <w:tcW w:w="0" w:type="auto"/>
            <w:gridSpan w:val="3"/>
            <w:shd w:val="clear" w:color="auto" w:fill="auto"/>
            <w:vAlign w:val="bottom"/>
          </w:tcPr>
          <w:p w14:paraId="392C7F2B" w14:textId="77777777" w:rsidR="00980E5F" w:rsidRDefault="00980E5F">
            <w:pPr>
              <w:rPr>
                <w:rFonts w:ascii="宋体"/>
                <w:vanish/>
              </w:rPr>
            </w:pPr>
          </w:p>
        </w:tc>
      </w:tr>
      <w:tr w:rsidR="00980E5F" w14:paraId="392C7F33" w14:textId="77777777">
        <w:trPr>
          <w:hidden/>
        </w:trPr>
        <w:tc>
          <w:tcPr>
            <w:tcW w:w="0" w:type="auto"/>
            <w:gridSpan w:val="3"/>
            <w:shd w:val="clear" w:color="auto" w:fill="auto"/>
            <w:vAlign w:val="bottom"/>
          </w:tcPr>
          <w:p w14:paraId="392C7F2D" w14:textId="77777777" w:rsidR="00980E5F" w:rsidRDefault="00980E5F">
            <w:pPr>
              <w:rPr>
                <w:rFonts w:ascii="宋体"/>
                <w:vanish/>
              </w:rPr>
            </w:pPr>
          </w:p>
        </w:tc>
        <w:tc>
          <w:tcPr>
            <w:tcW w:w="0" w:type="auto"/>
            <w:gridSpan w:val="3"/>
            <w:shd w:val="clear" w:color="auto" w:fill="auto"/>
            <w:vAlign w:val="bottom"/>
          </w:tcPr>
          <w:p w14:paraId="392C7F2E" w14:textId="77777777" w:rsidR="00980E5F" w:rsidRDefault="00980E5F">
            <w:pPr>
              <w:rPr>
                <w:rFonts w:ascii="宋体"/>
                <w:vanish/>
              </w:rPr>
            </w:pPr>
          </w:p>
        </w:tc>
        <w:tc>
          <w:tcPr>
            <w:tcW w:w="0" w:type="auto"/>
            <w:gridSpan w:val="3"/>
            <w:shd w:val="clear" w:color="auto" w:fill="auto"/>
            <w:vAlign w:val="bottom"/>
          </w:tcPr>
          <w:p w14:paraId="392C7F2F" w14:textId="77777777" w:rsidR="00980E5F" w:rsidRDefault="00980E5F">
            <w:pPr>
              <w:rPr>
                <w:rFonts w:ascii="宋体"/>
                <w:vanish/>
              </w:rPr>
            </w:pPr>
          </w:p>
        </w:tc>
        <w:tc>
          <w:tcPr>
            <w:tcW w:w="0" w:type="auto"/>
            <w:gridSpan w:val="3"/>
            <w:shd w:val="clear" w:color="auto" w:fill="auto"/>
            <w:vAlign w:val="bottom"/>
          </w:tcPr>
          <w:p w14:paraId="392C7F30" w14:textId="77777777" w:rsidR="00980E5F" w:rsidRDefault="00980E5F">
            <w:pPr>
              <w:rPr>
                <w:rFonts w:ascii="宋体"/>
                <w:vanish/>
              </w:rPr>
            </w:pPr>
          </w:p>
        </w:tc>
        <w:tc>
          <w:tcPr>
            <w:tcW w:w="0" w:type="auto"/>
            <w:gridSpan w:val="3"/>
            <w:shd w:val="clear" w:color="auto" w:fill="auto"/>
            <w:vAlign w:val="bottom"/>
          </w:tcPr>
          <w:p w14:paraId="392C7F31" w14:textId="77777777" w:rsidR="00980E5F" w:rsidRDefault="00980E5F">
            <w:pPr>
              <w:rPr>
                <w:rFonts w:ascii="宋体"/>
                <w:vanish/>
              </w:rPr>
            </w:pPr>
          </w:p>
        </w:tc>
        <w:tc>
          <w:tcPr>
            <w:tcW w:w="0" w:type="auto"/>
            <w:gridSpan w:val="3"/>
            <w:shd w:val="clear" w:color="auto" w:fill="auto"/>
            <w:vAlign w:val="bottom"/>
          </w:tcPr>
          <w:p w14:paraId="392C7F32" w14:textId="77777777" w:rsidR="00980E5F" w:rsidRDefault="00980E5F">
            <w:pPr>
              <w:rPr>
                <w:rFonts w:ascii="宋体"/>
                <w:vanish/>
              </w:rPr>
            </w:pPr>
          </w:p>
        </w:tc>
      </w:tr>
      <w:tr w:rsidR="00980E5F" w14:paraId="392C7F3A" w14:textId="77777777">
        <w:trPr>
          <w:hidden/>
        </w:trPr>
        <w:tc>
          <w:tcPr>
            <w:tcW w:w="0" w:type="auto"/>
            <w:gridSpan w:val="3"/>
            <w:shd w:val="clear" w:color="auto" w:fill="auto"/>
            <w:vAlign w:val="bottom"/>
          </w:tcPr>
          <w:p w14:paraId="392C7F34" w14:textId="77777777" w:rsidR="00980E5F" w:rsidRDefault="00980E5F">
            <w:pPr>
              <w:rPr>
                <w:rFonts w:ascii="宋体"/>
                <w:vanish/>
              </w:rPr>
            </w:pPr>
          </w:p>
        </w:tc>
        <w:tc>
          <w:tcPr>
            <w:tcW w:w="0" w:type="auto"/>
            <w:gridSpan w:val="3"/>
            <w:shd w:val="clear" w:color="auto" w:fill="auto"/>
            <w:vAlign w:val="bottom"/>
          </w:tcPr>
          <w:p w14:paraId="392C7F35" w14:textId="77777777" w:rsidR="00980E5F" w:rsidRDefault="00980E5F">
            <w:pPr>
              <w:rPr>
                <w:rFonts w:ascii="宋体"/>
                <w:vanish/>
              </w:rPr>
            </w:pPr>
          </w:p>
        </w:tc>
        <w:tc>
          <w:tcPr>
            <w:tcW w:w="0" w:type="auto"/>
            <w:gridSpan w:val="3"/>
            <w:shd w:val="clear" w:color="auto" w:fill="auto"/>
            <w:vAlign w:val="bottom"/>
          </w:tcPr>
          <w:p w14:paraId="392C7F36" w14:textId="77777777" w:rsidR="00980E5F" w:rsidRDefault="00980E5F">
            <w:pPr>
              <w:rPr>
                <w:rFonts w:ascii="宋体"/>
                <w:vanish/>
              </w:rPr>
            </w:pPr>
          </w:p>
        </w:tc>
        <w:tc>
          <w:tcPr>
            <w:tcW w:w="0" w:type="auto"/>
            <w:gridSpan w:val="3"/>
            <w:shd w:val="clear" w:color="auto" w:fill="auto"/>
            <w:vAlign w:val="bottom"/>
          </w:tcPr>
          <w:p w14:paraId="392C7F37" w14:textId="77777777" w:rsidR="00980E5F" w:rsidRDefault="00980E5F">
            <w:pPr>
              <w:rPr>
                <w:rFonts w:ascii="宋体"/>
                <w:vanish/>
              </w:rPr>
            </w:pPr>
          </w:p>
        </w:tc>
        <w:tc>
          <w:tcPr>
            <w:tcW w:w="0" w:type="auto"/>
            <w:gridSpan w:val="3"/>
            <w:shd w:val="clear" w:color="auto" w:fill="auto"/>
            <w:vAlign w:val="bottom"/>
          </w:tcPr>
          <w:p w14:paraId="392C7F38" w14:textId="77777777" w:rsidR="00980E5F" w:rsidRDefault="00980E5F">
            <w:pPr>
              <w:rPr>
                <w:rFonts w:ascii="宋体"/>
                <w:vanish/>
              </w:rPr>
            </w:pPr>
          </w:p>
        </w:tc>
        <w:tc>
          <w:tcPr>
            <w:tcW w:w="0" w:type="auto"/>
            <w:gridSpan w:val="3"/>
            <w:shd w:val="clear" w:color="auto" w:fill="auto"/>
            <w:vAlign w:val="bottom"/>
          </w:tcPr>
          <w:p w14:paraId="392C7F39" w14:textId="77777777" w:rsidR="00980E5F" w:rsidRDefault="00980E5F">
            <w:pPr>
              <w:rPr>
                <w:rFonts w:ascii="宋体"/>
                <w:vanish/>
              </w:rPr>
            </w:pPr>
          </w:p>
        </w:tc>
      </w:tr>
      <w:tr w:rsidR="00980E5F" w14:paraId="392C7F41" w14:textId="77777777">
        <w:trPr>
          <w:hidden/>
        </w:trPr>
        <w:tc>
          <w:tcPr>
            <w:tcW w:w="0" w:type="auto"/>
            <w:gridSpan w:val="3"/>
            <w:shd w:val="clear" w:color="auto" w:fill="auto"/>
            <w:vAlign w:val="bottom"/>
          </w:tcPr>
          <w:p w14:paraId="392C7F3B" w14:textId="77777777" w:rsidR="00980E5F" w:rsidRDefault="00980E5F">
            <w:pPr>
              <w:rPr>
                <w:rFonts w:ascii="宋体"/>
                <w:vanish/>
              </w:rPr>
            </w:pPr>
          </w:p>
        </w:tc>
        <w:tc>
          <w:tcPr>
            <w:tcW w:w="0" w:type="auto"/>
            <w:gridSpan w:val="3"/>
            <w:shd w:val="clear" w:color="auto" w:fill="auto"/>
            <w:vAlign w:val="bottom"/>
          </w:tcPr>
          <w:p w14:paraId="392C7F3C" w14:textId="77777777" w:rsidR="00980E5F" w:rsidRDefault="00980E5F">
            <w:pPr>
              <w:rPr>
                <w:rFonts w:ascii="宋体"/>
                <w:vanish/>
              </w:rPr>
            </w:pPr>
          </w:p>
        </w:tc>
        <w:tc>
          <w:tcPr>
            <w:tcW w:w="0" w:type="auto"/>
            <w:gridSpan w:val="3"/>
            <w:shd w:val="clear" w:color="auto" w:fill="auto"/>
            <w:vAlign w:val="bottom"/>
          </w:tcPr>
          <w:p w14:paraId="392C7F3D" w14:textId="77777777" w:rsidR="00980E5F" w:rsidRDefault="00980E5F">
            <w:pPr>
              <w:rPr>
                <w:rFonts w:ascii="宋体"/>
                <w:vanish/>
              </w:rPr>
            </w:pPr>
          </w:p>
        </w:tc>
        <w:tc>
          <w:tcPr>
            <w:tcW w:w="0" w:type="auto"/>
            <w:gridSpan w:val="3"/>
            <w:shd w:val="clear" w:color="auto" w:fill="auto"/>
            <w:vAlign w:val="bottom"/>
          </w:tcPr>
          <w:p w14:paraId="392C7F3E" w14:textId="77777777" w:rsidR="00980E5F" w:rsidRDefault="00980E5F">
            <w:pPr>
              <w:rPr>
                <w:rFonts w:ascii="宋体"/>
                <w:vanish/>
              </w:rPr>
            </w:pPr>
          </w:p>
        </w:tc>
        <w:tc>
          <w:tcPr>
            <w:tcW w:w="0" w:type="auto"/>
            <w:gridSpan w:val="3"/>
            <w:shd w:val="clear" w:color="auto" w:fill="auto"/>
            <w:vAlign w:val="bottom"/>
          </w:tcPr>
          <w:p w14:paraId="392C7F3F" w14:textId="77777777" w:rsidR="00980E5F" w:rsidRDefault="00980E5F">
            <w:pPr>
              <w:rPr>
                <w:rFonts w:ascii="宋体"/>
                <w:vanish/>
              </w:rPr>
            </w:pPr>
          </w:p>
        </w:tc>
        <w:tc>
          <w:tcPr>
            <w:tcW w:w="0" w:type="auto"/>
            <w:gridSpan w:val="3"/>
            <w:shd w:val="clear" w:color="auto" w:fill="auto"/>
            <w:vAlign w:val="bottom"/>
          </w:tcPr>
          <w:p w14:paraId="392C7F40" w14:textId="77777777" w:rsidR="00980E5F" w:rsidRDefault="00980E5F">
            <w:pPr>
              <w:rPr>
                <w:rFonts w:ascii="宋体"/>
                <w:vanish/>
              </w:rPr>
            </w:pPr>
          </w:p>
        </w:tc>
      </w:tr>
    </w:tbl>
    <w:p w14:paraId="392C7F42" w14:textId="77777777" w:rsidR="00980E5F" w:rsidRDefault="00980E5F">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980E5F" w14:paraId="392C7F49" w14:textId="77777777">
        <w:tc>
          <w:tcPr>
            <w:tcW w:w="50" w:type="pct"/>
            <w:shd w:val="clear" w:color="auto" w:fill="auto"/>
            <w:vAlign w:val="bottom"/>
          </w:tcPr>
          <w:p w14:paraId="392C7F43" w14:textId="77777777" w:rsidR="00980E5F" w:rsidRDefault="00980E5F">
            <w:pPr>
              <w:rPr>
                <w:rFonts w:ascii="宋体"/>
              </w:rPr>
            </w:pPr>
          </w:p>
        </w:tc>
        <w:tc>
          <w:tcPr>
            <w:tcW w:w="2907" w:type="pct"/>
            <w:shd w:val="clear" w:color="auto" w:fill="auto"/>
            <w:vAlign w:val="bottom"/>
          </w:tcPr>
          <w:p w14:paraId="392C7F44" w14:textId="77777777" w:rsidR="00980E5F" w:rsidRDefault="00980E5F">
            <w:pPr>
              <w:rPr>
                <w:rFonts w:ascii="宋体"/>
              </w:rPr>
            </w:pPr>
          </w:p>
        </w:tc>
        <w:tc>
          <w:tcPr>
            <w:tcW w:w="5" w:type="pct"/>
            <w:shd w:val="clear" w:color="auto" w:fill="auto"/>
            <w:vAlign w:val="bottom"/>
          </w:tcPr>
          <w:p w14:paraId="392C7F45" w14:textId="77777777" w:rsidR="00980E5F" w:rsidRDefault="00980E5F">
            <w:pPr>
              <w:rPr>
                <w:rFonts w:ascii="宋体"/>
              </w:rPr>
            </w:pPr>
          </w:p>
        </w:tc>
        <w:tc>
          <w:tcPr>
            <w:tcW w:w="50" w:type="pct"/>
            <w:shd w:val="clear" w:color="auto" w:fill="auto"/>
            <w:vAlign w:val="bottom"/>
          </w:tcPr>
          <w:p w14:paraId="392C7F46" w14:textId="77777777" w:rsidR="00980E5F" w:rsidRDefault="00980E5F">
            <w:pPr>
              <w:rPr>
                <w:rFonts w:ascii="宋体"/>
              </w:rPr>
            </w:pPr>
          </w:p>
        </w:tc>
        <w:tc>
          <w:tcPr>
            <w:tcW w:w="1982" w:type="pct"/>
            <w:shd w:val="clear" w:color="auto" w:fill="auto"/>
            <w:vAlign w:val="bottom"/>
          </w:tcPr>
          <w:p w14:paraId="392C7F47" w14:textId="77777777" w:rsidR="00980E5F" w:rsidRDefault="00980E5F">
            <w:pPr>
              <w:rPr>
                <w:rFonts w:ascii="宋体"/>
              </w:rPr>
            </w:pPr>
          </w:p>
        </w:tc>
        <w:tc>
          <w:tcPr>
            <w:tcW w:w="5" w:type="pct"/>
            <w:shd w:val="clear" w:color="auto" w:fill="auto"/>
            <w:vAlign w:val="bottom"/>
          </w:tcPr>
          <w:p w14:paraId="392C7F48" w14:textId="77777777" w:rsidR="00980E5F" w:rsidRDefault="00980E5F">
            <w:pPr>
              <w:rPr>
                <w:rFonts w:ascii="宋体"/>
              </w:rPr>
            </w:pPr>
          </w:p>
        </w:tc>
      </w:tr>
      <w:tr w:rsidR="00980E5F" w14:paraId="392C7F4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7F4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F4B" w14:textId="77777777" w:rsidR="00980E5F" w:rsidRDefault="00980E5F">
            <w:pPr>
              <w:rPr>
                <w:rFonts w:ascii="宋体"/>
              </w:rPr>
            </w:pPr>
          </w:p>
        </w:tc>
      </w:tr>
    </w:tbl>
    <w:p w14:paraId="392C7F4D" w14:textId="77777777" w:rsidR="00980E5F" w:rsidRDefault="00483613">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 xml:space="preserve">5, Business Combinations, we have recorded assets acquired and liabilities assumed at their respective fair values as of the acquisition date. </w:t>
      </w:r>
    </w:p>
    <w:p w14:paraId="392C7F4E" w14:textId="77777777" w:rsidR="00980E5F" w:rsidRDefault="00483613">
      <w:pPr>
        <w:spacing w:before="90"/>
        <w:jc w:val="both"/>
      </w:pPr>
      <w:r>
        <w:rPr>
          <w:rFonts w:ascii="Arial" w:eastAsia="宋体" w:hAnsi="Arial" w:cs="Arial"/>
          <w:color w:val="000000"/>
          <w:sz w:val="8"/>
          <w:szCs w:val="8"/>
        </w:rPr>
        <w:t xml:space="preserve">(2) </w:t>
      </w:r>
      <w:r>
        <w:rPr>
          <w:rFonts w:ascii="Arial" w:eastAsia="宋体" w:hAnsi="Arial" w:cs="Arial"/>
          <w:color w:val="000000"/>
          <w:sz w:val="13"/>
          <w:szCs w:val="13"/>
        </w:rPr>
        <w:t>In the second quarter of 2021, we sold a majority share of our WMS business.</w:t>
      </w:r>
    </w:p>
    <w:p w14:paraId="392C7F4F" w14:textId="77777777" w:rsidR="00980E5F" w:rsidRDefault="00483613">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76</w:t>
      </w:r>
    </w:p>
    <w:p w14:paraId="392C7F50" w14:textId="77777777" w:rsidR="00980E5F" w:rsidRDefault="00980E5F">
      <w:pPr>
        <w:ind w:firstLine="450"/>
        <w:jc w:val="center"/>
      </w:pPr>
    </w:p>
    <w:p w14:paraId="392C7F51" w14:textId="77777777" w:rsidR="00980E5F" w:rsidRDefault="00483613">
      <w:r>
        <w:pict w14:anchorId="392CBB1A">
          <v:rect id="_x0000_i1100" style="width:415.3pt;height:1.5pt" o:hralign="center" o:hrstd="t" o:hr="t" fillcolor="#a0a0a0" stroked="f"/>
        </w:pict>
      </w:r>
    </w:p>
    <w:p w14:paraId="392C7F52" w14:textId="77777777" w:rsidR="00980E5F" w:rsidRDefault="00483613">
      <w:pPr>
        <w:ind w:firstLine="450"/>
        <w:jc w:val="center"/>
      </w:pPr>
      <w:r>
        <w:rPr>
          <w:rFonts w:ascii="Arial" w:eastAsia="宋体" w:hAnsi="Arial" w:cs="Arial"/>
          <w:b/>
          <w:bCs/>
          <w:color w:val="000000"/>
          <w:sz w:val="20"/>
          <w:szCs w:val="20"/>
        </w:rPr>
        <w:t>STATE STREET CORPORATION</w:t>
      </w:r>
    </w:p>
    <w:p w14:paraId="392C7F53"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7F54" w14:textId="77777777" w:rsidR="00980E5F" w:rsidRDefault="00483613">
      <w:pPr>
        <w:ind w:firstLine="450"/>
        <w:jc w:val="center"/>
      </w:pPr>
      <w:r>
        <w:rPr>
          <w:rFonts w:ascii="Arial" w:eastAsia="宋体" w:hAnsi="Arial" w:cs="Arial"/>
          <w:b/>
          <w:bCs/>
          <w:color w:val="000000"/>
          <w:sz w:val="20"/>
          <w:szCs w:val="20"/>
        </w:rPr>
        <w:t>(UNAUDITED)</w:t>
      </w:r>
    </w:p>
    <w:p w14:paraId="392C7F55" w14:textId="77777777" w:rsidR="00980E5F" w:rsidRDefault="00483613">
      <w:pPr>
        <w:spacing w:before="60"/>
        <w:ind w:firstLine="450"/>
        <w:jc w:val="both"/>
      </w:pPr>
      <w:r>
        <w:rPr>
          <w:rFonts w:ascii="Arial" w:eastAsia="宋体" w:hAnsi="Arial" w:cs="Arial"/>
          <w:color w:val="000000"/>
          <w:sz w:val="20"/>
          <w:szCs w:val="20"/>
        </w:rPr>
        <w:t>The following table 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80"/>
        <w:gridCol w:w="38"/>
        <w:gridCol w:w="105"/>
        <w:gridCol w:w="1134"/>
        <w:gridCol w:w="36"/>
        <w:gridCol w:w="36"/>
        <w:gridCol w:w="36"/>
        <w:gridCol w:w="36"/>
        <w:gridCol w:w="105"/>
        <w:gridCol w:w="1102"/>
        <w:gridCol w:w="36"/>
        <w:gridCol w:w="36"/>
        <w:gridCol w:w="36"/>
        <w:gridCol w:w="36"/>
        <w:gridCol w:w="104"/>
        <w:gridCol w:w="1102"/>
        <w:gridCol w:w="36"/>
      </w:tblGrid>
      <w:tr w:rsidR="00980E5F" w14:paraId="392C7F68" w14:textId="77777777">
        <w:tc>
          <w:tcPr>
            <w:tcW w:w="50" w:type="pct"/>
            <w:shd w:val="clear" w:color="auto" w:fill="auto"/>
            <w:vAlign w:val="bottom"/>
          </w:tcPr>
          <w:p w14:paraId="392C7F56" w14:textId="77777777" w:rsidR="00980E5F" w:rsidRDefault="00980E5F">
            <w:pPr>
              <w:rPr>
                <w:rFonts w:ascii="宋体"/>
              </w:rPr>
            </w:pPr>
          </w:p>
        </w:tc>
        <w:tc>
          <w:tcPr>
            <w:tcW w:w="2591" w:type="pct"/>
            <w:shd w:val="clear" w:color="auto" w:fill="auto"/>
            <w:vAlign w:val="bottom"/>
          </w:tcPr>
          <w:p w14:paraId="392C7F57" w14:textId="77777777" w:rsidR="00980E5F" w:rsidRDefault="00980E5F">
            <w:pPr>
              <w:rPr>
                <w:rFonts w:ascii="宋体"/>
              </w:rPr>
            </w:pPr>
          </w:p>
        </w:tc>
        <w:tc>
          <w:tcPr>
            <w:tcW w:w="5" w:type="pct"/>
            <w:shd w:val="clear" w:color="auto" w:fill="auto"/>
            <w:vAlign w:val="bottom"/>
          </w:tcPr>
          <w:p w14:paraId="392C7F58" w14:textId="77777777" w:rsidR="00980E5F" w:rsidRDefault="00980E5F">
            <w:pPr>
              <w:rPr>
                <w:rFonts w:ascii="宋体"/>
              </w:rPr>
            </w:pPr>
          </w:p>
        </w:tc>
        <w:tc>
          <w:tcPr>
            <w:tcW w:w="50" w:type="pct"/>
            <w:shd w:val="clear" w:color="auto" w:fill="auto"/>
            <w:vAlign w:val="bottom"/>
          </w:tcPr>
          <w:p w14:paraId="392C7F59" w14:textId="77777777" w:rsidR="00980E5F" w:rsidRDefault="00980E5F">
            <w:pPr>
              <w:rPr>
                <w:rFonts w:ascii="宋体"/>
              </w:rPr>
            </w:pPr>
          </w:p>
        </w:tc>
        <w:tc>
          <w:tcPr>
            <w:tcW w:w="705" w:type="pct"/>
            <w:shd w:val="clear" w:color="auto" w:fill="auto"/>
            <w:vAlign w:val="bottom"/>
          </w:tcPr>
          <w:p w14:paraId="392C7F5A" w14:textId="77777777" w:rsidR="00980E5F" w:rsidRDefault="00980E5F">
            <w:pPr>
              <w:rPr>
                <w:rFonts w:ascii="宋体"/>
              </w:rPr>
            </w:pPr>
          </w:p>
        </w:tc>
        <w:tc>
          <w:tcPr>
            <w:tcW w:w="5" w:type="pct"/>
            <w:shd w:val="clear" w:color="auto" w:fill="auto"/>
            <w:vAlign w:val="bottom"/>
          </w:tcPr>
          <w:p w14:paraId="392C7F5B" w14:textId="77777777" w:rsidR="00980E5F" w:rsidRDefault="00980E5F">
            <w:pPr>
              <w:rPr>
                <w:rFonts w:ascii="宋体"/>
              </w:rPr>
            </w:pPr>
          </w:p>
        </w:tc>
        <w:tc>
          <w:tcPr>
            <w:tcW w:w="5" w:type="pct"/>
            <w:shd w:val="clear" w:color="auto" w:fill="auto"/>
            <w:vAlign w:val="bottom"/>
          </w:tcPr>
          <w:p w14:paraId="392C7F5C" w14:textId="77777777" w:rsidR="00980E5F" w:rsidRDefault="00980E5F">
            <w:pPr>
              <w:rPr>
                <w:rFonts w:ascii="宋体"/>
              </w:rPr>
            </w:pPr>
          </w:p>
        </w:tc>
        <w:tc>
          <w:tcPr>
            <w:tcW w:w="26" w:type="pct"/>
            <w:shd w:val="clear" w:color="auto" w:fill="auto"/>
            <w:vAlign w:val="bottom"/>
          </w:tcPr>
          <w:p w14:paraId="392C7F5D" w14:textId="77777777" w:rsidR="00980E5F" w:rsidRDefault="00980E5F">
            <w:pPr>
              <w:rPr>
                <w:rFonts w:ascii="宋体"/>
              </w:rPr>
            </w:pPr>
          </w:p>
        </w:tc>
        <w:tc>
          <w:tcPr>
            <w:tcW w:w="5" w:type="pct"/>
            <w:shd w:val="clear" w:color="auto" w:fill="auto"/>
            <w:vAlign w:val="bottom"/>
          </w:tcPr>
          <w:p w14:paraId="392C7F5E" w14:textId="77777777" w:rsidR="00980E5F" w:rsidRDefault="00980E5F">
            <w:pPr>
              <w:rPr>
                <w:rFonts w:ascii="宋体"/>
              </w:rPr>
            </w:pPr>
          </w:p>
        </w:tc>
        <w:tc>
          <w:tcPr>
            <w:tcW w:w="50" w:type="pct"/>
            <w:shd w:val="clear" w:color="auto" w:fill="auto"/>
            <w:vAlign w:val="bottom"/>
          </w:tcPr>
          <w:p w14:paraId="392C7F5F" w14:textId="77777777" w:rsidR="00980E5F" w:rsidRDefault="00980E5F">
            <w:pPr>
              <w:rPr>
                <w:rFonts w:ascii="宋体"/>
              </w:rPr>
            </w:pPr>
          </w:p>
        </w:tc>
        <w:tc>
          <w:tcPr>
            <w:tcW w:w="705" w:type="pct"/>
            <w:shd w:val="clear" w:color="auto" w:fill="auto"/>
            <w:vAlign w:val="bottom"/>
          </w:tcPr>
          <w:p w14:paraId="392C7F60" w14:textId="77777777" w:rsidR="00980E5F" w:rsidRDefault="00980E5F">
            <w:pPr>
              <w:rPr>
                <w:rFonts w:ascii="宋体"/>
              </w:rPr>
            </w:pPr>
          </w:p>
        </w:tc>
        <w:tc>
          <w:tcPr>
            <w:tcW w:w="5" w:type="pct"/>
            <w:shd w:val="clear" w:color="auto" w:fill="auto"/>
            <w:vAlign w:val="bottom"/>
          </w:tcPr>
          <w:p w14:paraId="392C7F61" w14:textId="77777777" w:rsidR="00980E5F" w:rsidRDefault="00980E5F">
            <w:pPr>
              <w:rPr>
                <w:rFonts w:ascii="宋体"/>
              </w:rPr>
            </w:pPr>
          </w:p>
        </w:tc>
        <w:tc>
          <w:tcPr>
            <w:tcW w:w="5" w:type="pct"/>
            <w:shd w:val="clear" w:color="auto" w:fill="auto"/>
            <w:vAlign w:val="bottom"/>
          </w:tcPr>
          <w:p w14:paraId="392C7F62" w14:textId="77777777" w:rsidR="00980E5F" w:rsidRDefault="00980E5F">
            <w:pPr>
              <w:rPr>
                <w:rFonts w:ascii="宋体"/>
              </w:rPr>
            </w:pPr>
          </w:p>
        </w:tc>
        <w:tc>
          <w:tcPr>
            <w:tcW w:w="26" w:type="pct"/>
            <w:shd w:val="clear" w:color="auto" w:fill="auto"/>
            <w:vAlign w:val="bottom"/>
          </w:tcPr>
          <w:p w14:paraId="392C7F63" w14:textId="77777777" w:rsidR="00980E5F" w:rsidRDefault="00980E5F">
            <w:pPr>
              <w:rPr>
                <w:rFonts w:ascii="宋体"/>
              </w:rPr>
            </w:pPr>
          </w:p>
        </w:tc>
        <w:tc>
          <w:tcPr>
            <w:tcW w:w="5" w:type="pct"/>
            <w:shd w:val="clear" w:color="auto" w:fill="auto"/>
            <w:vAlign w:val="bottom"/>
          </w:tcPr>
          <w:p w14:paraId="392C7F64" w14:textId="77777777" w:rsidR="00980E5F" w:rsidRDefault="00980E5F">
            <w:pPr>
              <w:rPr>
                <w:rFonts w:ascii="宋体"/>
              </w:rPr>
            </w:pPr>
          </w:p>
        </w:tc>
        <w:tc>
          <w:tcPr>
            <w:tcW w:w="50" w:type="pct"/>
            <w:shd w:val="clear" w:color="auto" w:fill="auto"/>
            <w:vAlign w:val="bottom"/>
          </w:tcPr>
          <w:p w14:paraId="392C7F65" w14:textId="77777777" w:rsidR="00980E5F" w:rsidRDefault="00980E5F">
            <w:pPr>
              <w:rPr>
                <w:rFonts w:ascii="宋体"/>
              </w:rPr>
            </w:pPr>
          </w:p>
        </w:tc>
        <w:tc>
          <w:tcPr>
            <w:tcW w:w="705" w:type="pct"/>
            <w:shd w:val="clear" w:color="auto" w:fill="auto"/>
            <w:vAlign w:val="bottom"/>
          </w:tcPr>
          <w:p w14:paraId="392C7F66" w14:textId="77777777" w:rsidR="00980E5F" w:rsidRDefault="00980E5F">
            <w:pPr>
              <w:rPr>
                <w:rFonts w:ascii="宋体"/>
              </w:rPr>
            </w:pPr>
          </w:p>
        </w:tc>
        <w:tc>
          <w:tcPr>
            <w:tcW w:w="5" w:type="pct"/>
            <w:shd w:val="clear" w:color="auto" w:fill="auto"/>
            <w:vAlign w:val="bottom"/>
          </w:tcPr>
          <w:p w14:paraId="392C7F67" w14:textId="77777777" w:rsidR="00980E5F" w:rsidRDefault="00980E5F">
            <w:pPr>
              <w:rPr>
                <w:rFonts w:ascii="宋体"/>
              </w:rPr>
            </w:pPr>
          </w:p>
        </w:tc>
      </w:tr>
      <w:tr w:rsidR="00980E5F" w14:paraId="392C7F6F" w14:textId="77777777">
        <w:tc>
          <w:tcPr>
            <w:tcW w:w="0" w:type="auto"/>
            <w:gridSpan w:val="3"/>
            <w:shd w:val="clear" w:color="auto" w:fill="auto"/>
            <w:tcMar>
              <w:top w:w="40" w:type="dxa"/>
              <w:left w:w="20" w:type="dxa"/>
              <w:bottom w:w="40" w:type="dxa"/>
              <w:right w:w="20" w:type="dxa"/>
            </w:tcMar>
            <w:vAlign w:val="bottom"/>
          </w:tcPr>
          <w:p w14:paraId="392C7F69" w14:textId="77777777" w:rsidR="00980E5F" w:rsidRDefault="00483613">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shd w:val="clear" w:color="auto" w:fill="auto"/>
            <w:tcMar>
              <w:top w:w="40" w:type="dxa"/>
              <w:left w:w="20" w:type="dxa"/>
              <w:bottom w:w="40" w:type="dxa"/>
              <w:right w:w="20" w:type="dxa"/>
            </w:tcMar>
            <w:vAlign w:val="bottom"/>
          </w:tcPr>
          <w:p w14:paraId="392C7F6A" w14:textId="77777777" w:rsidR="00980E5F" w:rsidRDefault="00483613">
            <w:pPr>
              <w:jc w:val="center"/>
              <w:textAlignment w:val="bottom"/>
            </w:pPr>
            <w:r>
              <w:rPr>
                <w:rFonts w:ascii="Arial" w:eastAsia="宋体" w:hAnsi="Arial" w:cs="Arial"/>
                <w:b/>
                <w:bCs/>
                <w:color w:val="000000"/>
                <w:sz w:val="15"/>
                <w:szCs w:val="15"/>
              </w:rPr>
              <w:t>Investment Servicing</w:t>
            </w:r>
          </w:p>
        </w:tc>
        <w:tc>
          <w:tcPr>
            <w:tcW w:w="0" w:type="auto"/>
            <w:gridSpan w:val="3"/>
            <w:shd w:val="clear" w:color="auto" w:fill="auto"/>
            <w:tcMar>
              <w:top w:w="0" w:type="dxa"/>
              <w:left w:w="20" w:type="dxa"/>
              <w:bottom w:w="0" w:type="dxa"/>
              <w:right w:w="20" w:type="dxa"/>
            </w:tcMar>
            <w:vAlign w:val="bottom"/>
          </w:tcPr>
          <w:p w14:paraId="392C7F6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F6C" w14:textId="77777777" w:rsidR="00980E5F" w:rsidRDefault="00483613">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392C7F6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7F6E" w14:textId="77777777" w:rsidR="00980E5F" w:rsidRDefault="00483613">
            <w:pPr>
              <w:jc w:val="center"/>
              <w:textAlignment w:val="bottom"/>
            </w:pPr>
            <w:r>
              <w:rPr>
                <w:rFonts w:ascii="Arial" w:eastAsia="宋体" w:hAnsi="Arial" w:cs="Arial"/>
                <w:b/>
                <w:bCs/>
                <w:color w:val="000000"/>
                <w:sz w:val="15"/>
                <w:szCs w:val="15"/>
              </w:rPr>
              <w:t>Total</w:t>
            </w:r>
          </w:p>
        </w:tc>
      </w:tr>
      <w:tr w:rsidR="00980E5F" w14:paraId="392C7F76" w14:textId="77777777">
        <w:tc>
          <w:tcPr>
            <w:tcW w:w="0" w:type="auto"/>
            <w:gridSpan w:val="3"/>
            <w:shd w:val="clear" w:color="auto" w:fill="auto"/>
            <w:tcMar>
              <w:top w:w="40" w:type="dxa"/>
              <w:left w:w="20" w:type="dxa"/>
              <w:bottom w:w="40" w:type="dxa"/>
              <w:right w:w="20" w:type="dxa"/>
            </w:tcMar>
            <w:vAlign w:val="bottom"/>
          </w:tcPr>
          <w:p w14:paraId="392C7F70" w14:textId="77777777" w:rsidR="00980E5F" w:rsidRDefault="00483613">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F7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F7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F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7F7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7F75" w14:textId="77777777" w:rsidR="00980E5F" w:rsidRDefault="00980E5F">
            <w:pPr>
              <w:rPr>
                <w:rFonts w:ascii="宋体"/>
              </w:rPr>
            </w:pPr>
          </w:p>
        </w:tc>
      </w:tr>
      <w:tr w:rsidR="00980E5F" w14:paraId="392C7F7D" w14:textId="77777777">
        <w:trPr>
          <w:hidden/>
        </w:trPr>
        <w:tc>
          <w:tcPr>
            <w:tcW w:w="0" w:type="auto"/>
            <w:gridSpan w:val="3"/>
            <w:shd w:val="clear" w:color="auto" w:fill="auto"/>
            <w:vAlign w:val="bottom"/>
          </w:tcPr>
          <w:p w14:paraId="392C7F77" w14:textId="77777777" w:rsidR="00980E5F" w:rsidRDefault="00980E5F">
            <w:pPr>
              <w:rPr>
                <w:rFonts w:ascii="宋体"/>
                <w:vanish/>
              </w:rPr>
            </w:pPr>
          </w:p>
        </w:tc>
        <w:tc>
          <w:tcPr>
            <w:tcW w:w="0" w:type="auto"/>
            <w:gridSpan w:val="3"/>
            <w:shd w:val="clear" w:color="auto" w:fill="auto"/>
            <w:vAlign w:val="bottom"/>
          </w:tcPr>
          <w:p w14:paraId="392C7F78" w14:textId="77777777" w:rsidR="00980E5F" w:rsidRDefault="00980E5F">
            <w:pPr>
              <w:rPr>
                <w:rFonts w:ascii="宋体"/>
                <w:vanish/>
              </w:rPr>
            </w:pPr>
          </w:p>
        </w:tc>
        <w:tc>
          <w:tcPr>
            <w:tcW w:w="0" w:type="auto"/>
            <w:gridSpan w:val="3"/>
            <w:shd w:val="clear" w:color="auto" w:fill="auto"/>
            <w:vAlign w:val="bottom"/>
          </w:tcPr>
          <w:p w14:paraId="392C7F79" w14:textId="77777777" w:rsidR="00980E5F" w:rsidRDefault="00980E5F">
            <w:pPr>
              <w:rPr>
                <w:rFonts w:ascii="宋体"/>
                <w:vanish/>
              </w:rPr>
            </w:pPr>
          </w:p>
        </w:tc>
        <w:tc>
          <w:tcPr>
            <w:tcW w:w="0" w:type="auto"/>
            <w:gridSpan w:val="3"/>
            <w:shd w:val="clear" w:color="auto" w:fill="auto"/>
            <w:vAlign w:val="bottom"/>
          </w:tcPr>
          <w:p w14:paraId="392C7F7A" w14:textId="77777777" w:rsidR="00980E5F" w:rsidRDefault="00980E5F">
            <w:pPr>
              <w:rPr>
                <w:rFonts w:ascii="宋体"/>
                <w:vanish/>
              </w:rPr>
            </w:pPr>
          </w:p>
        </w:tc>
        <w:tc>
          <w:tcPr>
            <w:tcW w:w="0" w:type="auto"/>
            <w:gridSpan w:val="3"/>
            <w:shd w:val="clear" w:color="auto" w:fill="auto"/>
            <w:vAlign w:val="bottom"/>
          </w:tcPr>
          <w:p w14:paraId="392C7F7B" w14:textId="77777777" w:rsidR="00980E5F" w:rsidRDefault="00980E5F">
            <w:pPr>
              <w:rPr>
                <w:rFonts w:ascii="宋体"/>
                <w:vanish/>
              </w:rPr>
            </w:pPr>
          </w:p>
        </w:tc>
        <w:tc>
          <w:tcPr>
            <w:tcW w:w="0" w:type="auto"/>
            <w:gridSpan w:val="3"/>
            <w:shd w:val="clear" w:color="auto" w:fill="auto"/>
            <w:vAlign w:val="bottom"/>
          </w:tcPr>
          <w:p w14:paraId="392C7F7C" w14:textId="77777777" w:rsidR="00980E5F" w:rsidRDefault="00980E5F">
            <w:pPr>
              <w:rPr>
                <w:rFonts w:ascii="宋体"/>
                <w:vanish/>
              </w:rPr>
            </w:pPr>
          </w:p>
        </w:tc>
      </w:tr>
      <w:tr w:rsidR="00980E5F" w14:paraId="392C7F84" w14:textId="77777777">
        <w:trPr>
          <w:hidden/>
        </w:trPr>
        <w:tc>
          <w:tcPr>
            <w:tcW w:w="0" w:type="auto"/>
            <w:gridSpan w:val="3"/>
            <w:shd w:val="clear" w:color="auto" w:fill="auto"/>
            <w:vAlign w:val="bottom"/>
          </w:tcPr>
          <w:p w14:paraId="392C7F7E" w14:textId="77777777" w:rsidR="00980E5F" w:rsidRDefault="00980E5F">
            <w:pPr>
              <w:rPr>
                <w:rFonts w:ascii="宋体"/>
                <w:vanish/>
              </w:rPr>
            </w:pPr>
          </w:p>
        </w:tc>
        <w:tc>
          <w:tcPr>
            <w:tcW w:w="0" w:type="auto"/>
            <w:gridSpan w:val="3"/>
            <w:shd w:val="clear" w:color="auto" w:fill="auto"/>
            <w:vAlign w:val="bottom"/>
          </w:tcPr>
          <w:p w14:paraId="392C7F7F" w14:textId="77777777" w:rsidR="00980E5F" w:rsidRDefault="00980E5F">
            <w:pPr>
              <w:rPr>
                <w:rFonts w:ascii="宋体"/>
                <w:vanish/>
              </w:rPr>
            </w:pPr>
          </w:p>
        </w:tc>
        <w:tc>
          <w:tcPr>
            <w:tcW w:w="0" w:type="auto"/>
            <w:gridSpan w:val="3"/>
            <w:shd w:val="clear" w:color="auto" w:fill="auto"/>
            <w:vAlign w:val="bottom"/>
          </w:tcPr>
          <w:p w14:paraId="392C7F80" w14:textId="77777777" w:rsidR="00980E5F" w:rsidRDefault="00980E5F">
            <w:pPr>
              <w:rPr>
                <w:rFonts w:ascii="宋体"/>
                <w:vanish/>
              </w:rPr>
            </w:pPr>
          </w:p>
        </w:tc>
        <w:tc>
          <w:tcPr>
            <w:tcW w:w="0" w:type="auto"/>
            <w:gridSpan w:val="3"/>
            <w:shd w:val="clear" w:color="auto" w:fill="auto"/>
            <w:vAlign w:val="bottom"/>
          </w:tcPr>
          <w:p w14:paraId="392C7F81" w14:textId="77777777" w:rsidR="00980E5F" w:rsidRDefault="00980E5F">
            <w:pPr>
              <w:rPr>
                <w:rFonts w:ascii="宋体"/>
                <w:vanish/>
              </w:rPr>
            </w:pPr>
          </w:p>
        </w:tc>
        <w:tc>
          <w:tcPr>
            <w:tcW w:w="0" w:type="auto"/>
            <w:gridSpan w:val="3"/>
            <w:shd w:val="clear" w:color="auto" w:fill="auto"/>
            <w:vAlign w:val="bottom"/>
          </w:tcPr>
          <w:p w14:paraId="392C7F82" w14:textId="77777777" w:rsidR="00980E5F" w:rsidRDefault="00980E5F">
            <w:pPr>
              <w:rPr>
                <w:rFonts w:ascii="宋体"/>
                <w:vanish/>
              </w:rPr>
            </w:pPr>
          </w:p>
        </w:tc>
        <w:tc>
          <w:tcPr>
            <w:tcW w:w="0" w:type="auto"/>
            <w:gridSpan w:val="3"/>
            <w:shd w:val="clear" w:color="auto" w:fill="auto"/>
            <w:vAlign w:val="bottom"/>
          </w:tcPr>
          <w:p w14:paraId="392C7F83" w14:textId="77777777" w:rsidR="00980E5F" w:rsidRDefault="00980E5F">
            <w:pPr>
              <w:rPr>
                <w:rFonts w:ascii="宋体"/>
                <w:vanish/>
              </w:rPr>
            </w:pPr>
          </w:p>
        </w:tc>
      </w:tr>
      <w:tr w:rsidR="00980E5F" w14:paraId="392C7F8B" w14:textId="77777777">
        <w:trPr>
          <w:hidden/>
        </w:trPr>
        <w:tc>
          <w:tcPr>
            <w:tcW w:w="0" w:type="auto"/>
            <w:gridSpan w:val="3"/>
            <w:shd w:val="clear" w:color="auto" w:fill="auto"/>
            <w:vAlign w:val="bottom"/>
          </w:tcPr>
          <w:p w14:paraId="392C7F85" w14:textId="77777777" w:rsidR="00980E5F" w:rsidRDefault="00980E5F">
            <w:pPr>
              <w:rPr>
                <w:rFonts w:ascii="宋体"/>
                <w:vanish/>
              </w:rPr>
            </w:pPr>
          </w:p>
        </w:tc>
        <w:tc>
          <w:tcPr>
            <w:tcW w:w="0" w:type="auto"/>
            <w:gridSpan w:val="3"/>
            <w:shd w:val="clear" w:color="auto" w:fill="auto"/>
            <w:vAlign w:val="bottom"/>
          </w:tcPr>
          <w:p w14:paraId="392C7F86" w14:textId="77777777" w:rsidR="00980E5F" w:rsidRDefault="00980E5F">
            <w:pPr>
              <w:rPr>
                <w:rFonts w:ascii="宋体"/>
                <w:vanish/>
              </w:rPr>
            </w:pPr>
          </w:p>
        </w:tc>
        <w:tc>
          <w:tcPr>
            <w:tcW w:w="0" w:type="auto"/>
            <w:gridSpan w:val="3"/>
            <w:shd w:val="clear" w:color="auto" w:fill="auto"/>
            <w:vAlign w:val="bottom"/>
          </w:tcPr>
          <w:p w14:paraId="392C7F87" w14:textId="77777777" w:rsidR="00980E5F" w:rsidRDefault="00980E5F">
            <w:pPr>
              <w:rPr>
                <w:rFonts w:ascii="宋体"/>
                <w:vanish/>
              </w:rPr>
            </w:pPr>
          </w:p>
        </w:tc>
        <w:tc>
          <w:tcPr>
            <w:tcW w:w="0" w:type="auto"/>
            <w:gridSpan w:val="3"/>
            <w:shd w:val="clear" w:color="auto" w:fill="auto"/>
            <w:vAlign w:val="bottom"/>
          </w:tcPr>
          <w:p w14:paraId="392C7F88" w14:textId="77777777" w:rsidR="00980E5F" w:rsidRDefault="00980E5F">
            <w:pPr>
              <w:rPr>
                <w:rFonts w:ascii="宋体"/>
                <w:vanish/>
              </w:rPr>
            </w:pPr>
          </w:p>
        </w:tc>
        <w:tc>
          <w:tcPr>
            <w:tcW w:w="0" w:type="auto"/>
            <w:gridSpan w:val="3"/>
            <w:shd w:val="clear" w:color="auto" w:fill="auto"/>
            <w:vAlign w:val="bottom"/>
          </w:tcPr>
          <w:p w14:paraId="392C7F89" w14:textId="77777777" w:rsidR="00980E5F" w:rsidRDefault="00980E5F">
            <w:pPr>
              <w:rPr>
                <w:rFonts w:ascii="宋体"/>
                <w:vanish/>
              </w:rPr>
            </w:pPr>
          </w:p>
        </w:tc>
        <w:tc>
          <w:tcPr>
            <w:tcW w:w="0" w:type="auto"/>
            <w:gridSpan w:val="3"/>
            <w:shd w:val="clear" w:color="auto" w:fill="auto"/>
            <w:vAlign w:val="bottom"/>
          </w:tcPr>
          <w:p w14:paraId="392C7F8A" w14:textId="77777777" w:rsidR="00980E5F" w:rsidRDefault="00980E5F">
            <w:pPr>
              <w:rPr>
                <w:rFonts w:ascii="宋体"/>
                <w:vanish/>
              </w:rPr>
            </w:pPr>
          </w:p>
        </w:tc>
      </w:tr>
      <w:tr w:rsidR="00980E5F" w14:paraId="392C7F92" w14:textId="77777777">
        <w:trPr>
          <w:hidden/>
        </w:trPr>
        <w:tc>
          <w:tcPr>
            <w:tcW w:w="0" w:type="auto"/>
            <w:gridSpan w:val="3"/>
            <w:shd w:val="clear" w:color="auto" w:fill="auto"/>
            <w:vAlign w:val="bottom"/>
          </w:tcPr>
          <w:p w14:paraId="392C7F8C" w14:textId="77777777" w:rsidR="00980E5F" w:rsidRDefault="00980E5F">
            <w:pPr>
              <w:rPr>
                <w:rFonts w:ascii="宋体"/>
                <w:vanish/>
              </w:rPr>
            </w:pPr>
          </w:p>
        </w:tc>
        <w:tc>
          <w:tcPr>
            <w:tcW w:w="0" w:type="auto"/>
            <w:gridSpan w:val="3"/>
            <w:shd w:val="clear" w:color="auto" w:fill="auto"/>
            <w:vAlign w:val="bottom"/>
          </w:tcPr>
          <w:p w14:paraId="392C7F8D" w14:textId="77777777" w:rsidR="00980E5F" w:rsidRDefault="00980E5F">
            <w:pPr>
              <w:rPr>
                <w:rFonts w:ascii="宋体"/>
                <w:vanish/>
              </w:rPr>
            </w:pPr>
          </w:p>
        </w:tc>
        <w:tc>
          <w:tcPr>
            <w:tcW w:w="0" w:type="auto"/>
            <w:gridSpan w:val="3"/>
            <w:shd w:val="clear" w:color="auto" w:fill="auto"/>
            <w:vAlign w:val="bottom"/>
          </w:tcPr>
          <w:p w14:paraId="392C7F8E" w14:textId="77777777" w:rsidR="00980E5F" w:rsidRDefault="00980E5F">
            <w:pPr>
              <w:rPr>
                <w:rFonts w:ascii="宋体"/>
                <w:vanish/>
              </w:rPr>
            </w:pPr>
          </w:p>
        </w:tc>
        <w:tc>
          <w:tcPr>
            <w:tcW w:w="0" w:type="auto"/>
            <w:gridSpan w:val="3"/>
            <w:shd w:val="clear" w:color="auto" w:fill="auto"/>
            <w:vAlign w:val="bottom"/>
          </w:tcPr>
          <w:p w14:paraId="392C7F8F" w14:textId="77777777" w:rsidR="00980E5F" w:rsidRDefault="00980E5F">
            <w:pPr>
              <w:rPr>
                <w:rFonts w:ascii="宋体"/>
                <w:vanish/>
              </w:rPr>
            </w:pPr>
          </w:p>
        </w:tc>
        <w:tc>
          <w:tcPr>
            <w:tcW w:w="0" w:type="auto"/>
            <w:gridSpan w:val="3"/>
            <w:shd w:val="clear" w:color="auto" w:fill="auto"/>
            <w:vAlign w:val="bottom"/>
          </w:tcPr>
          <w:p w14:paraId="392C7F90" w14:textId="77777777" w:rsidR="00980E5F" w:rsidRDefault="00980E5F">
            <w:pPr>
              <w:rPr>
                <w:rFonts w:ascii="宋体"/>
                <w:vanish/>
              </w:rPr>
            </w:pPr>
          </w:p>
        </w:tc>
        <w:tc>
          <w:tcPr>
            <w:tcW w:w="0" w:type="auto"/>
            <w:gridSpan w:val="3"/>
            <w:shd w:val="clear" w:color="auto" w:fill="auto"/>
            <w:vAlign w:val="bottom"/>
          </w:tcPr>
          <w:p w14:paraId="392C7F91" w14:textId="77777777" w:rsidR="00980E5F" w:rsidRDefault="00980E5F">
            <w:pPr>
              <w:rPr>
                <w:rFonts w:ascii="宋体"/>
                <w:vanish/>
              </w:rPr>
            </w:pPr>
          </w:p>
        </w:tc>
      </w:tr>
      <w:tr w:rsidR="00980E5F" w14:paraId="392C7F99" w14:textId="77777777">
        <w:trPr>
          <w:hidden/>
        </w:trPr>
        <w:tc>
          <w:tcPr>
            <w:tcW w:w="0" w:type="auto"/>
            <w:gridSpan w:val="3"/>
            <w:shd w:val="clear" w:color="auto" w:fill="auto"/>
            <w:vAlign w:val="bottom"/>
          </w:tcPr>
          <w:p w14:paraId="392C7F93" w14:textId="77777777" w:rsidR="00980E5F" w:rsidRDefault="00980E5F">
            <w:pPr>
              <w:rPr>
                <w:rFonts w:ascii="宋体"/>
                <w:vanish/>
              </w:rPr>
            </w:pPr>
          </w:p>
        </w:tc>
        <w:tc>
          <w:tcPr>
            <w:tcW w:w="0" w:type="auto"/>
            <w:gridSpan w:val="3"/>
            <w:shd w:val="clear" w:color="auto" w:fill="auto"/>
            <w:vAlign w:val="bottom"/>
          </w:tcPr>
          <w:p w14:paraId="392C7F94" w14:textId="77777777" w:rsidR="00980E5F" w:rsidRDefault="00980E5F">
            <w:pPr>
              <w:rPr>
                <w:rFonts w:ascii="宋体"/>
                <w:vanish/>
              </w:rPr>
            </w:pPr>
          </w:p>
        </w:tc>
        <w:tc>
          <w:tcPr>
            <w:tcW w:w="0" w:type="auto"/>
            <w:gridSpan w:val="3"/>
            <w:shd w:val="clear" w:color="auto" w:fill="auto"/>
            <w:vAlign w:val="bottom"/>
          </w:tcPr>
          <w:p w14:paraId="392C7F95" w14:textId="77777777" w:rsidR="00980E5F" w:rsidRDefault="00980E5F">
            <w:pPr>
              <w:rPr>
                <w:rFonts w:ascii="宋体"/>
                <w:vanish/>
              </w:rPr>
            </w:pPr>
          </w:p>
        </w:tc>
        <w:tc>
          <w:tcPr>
            <w:tcW w:w="0" w:type="auto"/>
            <w:gridSpan w:val="3"/>
            <w:shd w:val="clear" w:color="auto" w:fill="auto"/>
            <w:vAlign w:val="bottom"/>
          </w:tcPr>
          <w:p w14:paraId="392C7F96" w14:textId="77777777" w:rsidR="00980E5F" w:rsidRDefault="00980E5F">
            <w:pPr>
              <w:rPr>
                <w:rFonts w:ascii="宋体"/>
                <w:vanish/>
              </w:rPr>
            </w:pPr>
          </w:p>
        </w:tc>
        <w:tc>
          <w:tcPr>
            <w:tcW w:w="0" w:type="auto"/>
            <w:gridSpan w:val="3"/>
            <w:shd w:val="clear" w:color="auto" w:fill="auto"/>
            <w:vAlign w:val="bottom"/>
          </w:tcPr>
          <w:p w14:paraId="392C7F97" w14:textId="77777777" w:rsidR="00980E5F" w:rsidRDefault="00980E5F">
            <w:pPr>
              <w:rPr>
                <w:rFonts w:ascii="宋体"/>
                <w:vanish/>
              </w:rPr>
            </w:pPr>
          </w:p>
        </w:tc>
        <w:tc>
          <w:tcPr>
            <w:tcW w:w="0" w:type="auto"/>
            <w:gridSpan w:val="3"/>
            <w:shd w:val="clear" w:color="auto" w:fill="auto"/>
            <w:vAlign w:val="bottom"/>
          </w:tcPr>
          <w:p w14:paraId="392C7F98" w14:textId="77777777" w:rsidR="00980E5F" w:rsidRDefault="00980E5F">
            <w:pPr>
              <w:rPr>
                <w:rFonts w:ascii="宋体"/>
                <w:vanish/>
              </w:rPr>
            </w:pPr>
          </w:p>
        </w:tc>
      </w:tr>
      <w:tr w:rsidR="00980E5F" w14:paraId="392C7FA6" w14:textId="77777777">
        <w:tc>
          <w:tcPr>
            <w:tcW w:w="0" w:type="auto"/>
            <w:gridSpan w:val="3"/>
            <w:shd w:val="clear" w:color="auto" w:fill="CCEEFF"/>
            <w:tcMar>
              <w:top w:w="40" w:type="dxa"/>
              <w:left w:w="20" w:type="dxa"/>
              <w:bottom w:w="40" w:type="dxa"/>
              <w:right w:w="20" w:type="dxa"/>
            </w:tcMar>
            <w:vAlign w:val="bottom"/>
          </w:tcPr>
          <w:p w14:paraId="392C7F9A" w14:textId="77777777" w:rsidR="00980E5F" w:rsidRDefault="00483613">
            <w:pPr>
              <w:textAlignment w:val="bottom"/>
            </w:pPr>
            <w:r>
              <w:rPr>
                <w:rFonts w:ascii="Arial" w:eastAsia="宋体" w:hAnsi="Arial" w:cs="Arial"/>
                <w:b/>
                <w:bCs/>
                <w:color w:val="000000"/>
                <w:sz w:val="15"/>
                <w:szCs w:val="15"/>
              </w:rPr>
              <w:t>Ending balance December 31, 2020</w:t>
            </w:r>
          </w:p>
        </w:tc>
        <w:tc>
          <w:tcPr>
            <w:tcW w:w="0" w:type="auto"/>
            <w:shd w:val="clear" w:color="auto" w:fill="CCEEFF"/>
            <w:tcMar>
              <w:top w:w="40" w:type="dxa"/>
              <w:left w:w="20" w:type="dxa"/>
              <w:bottom w:w="40" w:type="dxa"/>
              <w:right w:w="0" w:type="dxa"/>
            </w:tcMar>
            <w:vAlign w:val="bottom"/>
          </w:tcPr>
          <w:p w14:paraId="392C7F9B"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F9C" w14:textId="77777777" w:rsidR="00980E5F" w:rsidRDefault="00483613">
            <w:pPr>
              <w:jc w:val="right"/>
              <w:textAlignment w:val="bottom"/>
            </w:pPr>
            <w:r>
              <w:rPr>
                <w:rFonts w:ascii="Arial" w:eastAsia="宋体" w:hAnsi="Arial" w:cs="Arial"/>
                <w:color w:val="000000"/>
                <w:sz w:val="15"/>
                <w:szCs w:val="15"/>
              </w:rPr>
              <w:t>1,733 </w:t>
            </w:r>
          </w:p>
        </w:tc>
        <w:tc>
          <w:tcPr>
            <w:tcW w:w="0" w:type="auto"/>
            <w:shd w:val="clear" w:color="auto" w:fill="CCEEFF"/>
            <w:tcMar>
              <w:top w:w="40" w:type="dxa"/>
              <w:left w:w="0" w:type="dxa"/>
              <w:bottom w:w="40" w:type="dxa"/>
              <w:right w:w="20" w:type="dxa"/>
            </w:tcMar>
            <w:vAlign w:val="bottom"/>
          </w:tcPr>
          <w:p w14:paraId="392C7F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9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F9F"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FA0" w14:textId="77777777" w:rsidR="00980E5F" w:rsidRDefault="00483613">
            <w:pPr>
              <w:jc w:val="right"/>
              <w:textAlignment w:val="bottom"/>
            </w:pPr>
            <w:r>
              <w:rPr>
                <w:rFonts w:ascii="Arial" w:eastAsia="宋体" w:hAnsi="Arial" w:cs="Arial"/>
                <w:color w:val="000000"/>
                <w:sz w:val="15"/>
                <w:szCs w:val="15"/>
              </w:rPr>
              <w:t>94 </w:t>
            </w:r>
          </w:p>
        </w:tc>
        <w:tc>
          <w:tcPr>
            <w:tcW w:w="0" w:type="auto"/>
            <w:shd w:val="clear" w:color="auto" w:fill="CCEEFF"/>
            <w:tcMar>
              <w:top w:w="40" w:type="dxa"/>
              <w:left w:w="0" w:type="dxa"/>
              <w:bottom w:w="40" w:type="dxa"/>
              <w:right w:w="20" w:type="dxa"/>
            </w:tcMar>
            <w:vAlign w:val="bottom"/>
          </w:tcPr>
          <w:p w14:paraId="392C7F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A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7FA3"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7FA4" w14:textId="77777777" w:rsidR="00980E5F" w:rsidRDefault="00483613">
            <w:pPr>
              <w:jc w:val="right"/>
              <w:textAlignment w:val="bottom"/>
            </w:pPr>
            <w:r>
              <w:rPr>
                <w:rFonts w:ascii="Arial" w:eastAsia="宋体" w:hAnsi="Arial" w:cs="Arial"/>
                <w:color w:val="000000"/>
                <w:sz w:val="15"/>
                <w:szCs w:val="15"/>
              </w:rPr>
              <w:t>1,827 </w:t>
            </w:r>
          </w:p>
        </w:tc>
        <w:tc>
          <w:tcPr>
            <w:tcW w:w="0" w:type="auto"/>
            <w:shd w:val="clear" w:color="auto" w:fill="CCEEFF"/>
            <w:tcMar>
              <w:top w:w="40" w:type="dxa"/>
              <w:left w:w="0" w:type="dxa"/>
              <w:bottom w:w="40" w:type="dxa"/>
              <w:right w:w="20" w:type="dxa"/>
            </w:tcMar>
            <w:vAlign w:val="bottom"/>
          </w:tcPr>
          <w:p w14:paraId="392C7FA5" w14:textId="77777777" w:rsidR="00980E5F" w:rsidRDefault="00980E5F">
            <w:pPr>
              <w:jc w:val="right"/>
              <w:rPr>
                <w:rFonts w:ascii="宋体"/>
              </w:rPr>
            </w:pPr>
          </w:p>
        </w:tc>
      </w:tr>
      <w:tr w:rsidR="00980E5F" w14:paraId="392C7FB0" w14:textId="77777777">
        <w:tc>
          <w:tcPr>
            <w:tcW w:w="0" w:type="auto"/>
            <w:gridSpan w:val="3"/>
            <w:shd w:val="clear" w:color="auto" w:fill="FFFFFF"/>
            <w:tcMar>
              <w:top w:w="40" w:type="dxa"/>
              <w:left w:w="20" w:type="dxa"/>
              <w:bottom w:w="40" w:type="dxa"/>
              <w:right w:w="20" w:type="dxa"/>
            </w:tcMar>
            <w:vAlign w:val="bottom"/>
          </w:tcPr>
          <w:p w14:paraId="392C7FA7" w14:textId="77777777" w:rsidR="00980E5F" w:rsidRDefault="00483613">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7FA8" w14:textId="77777777" w:rsidR="00980E5F" w:rsidRDefault="00483613">
            <w:pPr>
              <w:jc w:val="right"/>
              <w:textAlignment w:val="bottom"/>
            </w:pPr>
            <w:r>
              <w:rPr>
                <w:rFonts w:ascii="Arial" w:eastAsia="宋体" w:hAnsi="Arial" w:cs="Arial"/>
                <w:color w:val="000000"/>
                <w:sz w:val="15"/>
                <w:szCs w:val="15"/>
              </w:rPr>
              <w:t>264 </w:t>
            </w:r>
          </w:p>
        </w:tc>
        <w:tc>
          <w:tcPr>
            <w:tcW w:w="0" w:type="auto"/>
            <w:shd w:val="clear" w:color="auto" w:fill="FFFFFF"/>
            <w:tcMar>
              <w:top w:w="40" w:type="dxa"/>
              <w:left w:w="0" w:type="dxa"/>
              <w:bottom w:w="40" w:type="dxa"/>
              <w:right w:w="20" w:type="dxa"/>
            </w:tcMar>
            <w:vAlign w:val="bottom"/>
          </w:tcPr>
          <w:p w14:paraId="392C7F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AB"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AE" w14:textId="77777777" w:rsidR="00980E5F" w:rsidRDefault="00483613">
            <w:pPr>
              <w:jc w:val="right"/>
              <w:textAlignment w:val="bottom"/>
            </w:pPr>
            <w:r>
              <w:rPr>
                <w:rFonts w:ascii="Arial" w:eastAsia="宋体" w:hAnsi="Arial" w:cs="Arial"/>
                <w:color w:val="000000"/>
                <w:sz w:val="15"/>
                <w:szCs w:val="15"/>
              </w:rPr>
              <w:t>264 </w:t>
            </w:r>
          </w:p>
        </w:tc>
        <w:tc>
          <w:tcPr>
            <w:tcW w:w="0" w:type="auto"/>
            <w:shd w:val="clear" w:color="auto" w:fill="FFFFFF"/>
            <w:tcMar>
              <w:top w:w="40" w:type="dxa"/>
              <w:left w:w="0" w:type="dxa"/>
              <w:bottom w:w="40" w:type="dxa"/>
              <w:right w:w="20" w:type="dxa"/>
            </w:tcMar>
            <w:vAlign w:val="bottom"/>
          </w:tcPr>
          <w:p w14:paraId="392C7FAF" w14:textId="77777777" w:rsidR="00980E5F" w:rsidRDefault="00980E5F">
            <w:pPr>
              <w:jc w:val="right"/>
              <w:rPr>
                <w:rFonts w:ascii="宋体"/>
              </w:rPr>
            </w:pPr>
          </w:p>
        </w:tc>
      </w:tr>
      <w:tr w:rsidR="00980E5F" w14:paraId="392C7FBA" w14:textId="77777777">
        <w:tc>
          <w:tcPr>
            <w:tcW w:w="0" w:type="auto"/>
            <w:gridSpan w:val="3"/>
            <w:shd w:val="clear" w:color="auto" w:fill="CCEEFF"/>
            <w:tcMar>
              <w:top w:w="40" w:type="dxa"/>
              <w:left w:w="20" w:type="dxa"/>
              <w:bottom w:w="40" w:type="dxa"/>
              <w:right w:w="20" w:type="dxa"/>
            </w:tcMar>
            <w:vAlign w:val="bottom"/>
          </w:tcPr>
          <w:p w14:paraId="392C7FB1" w14:textId="77777777" w:rsidR="00980E5F" w:rsidRDefault="00483613">
            <w:pPr>
              <w:textAlignment w:val="bottom"/>
            </w:pPr>
            <w:r>
              <w:rPr>
                <w:rFonts w:ascii="Arial" w:eastAsia="宋体" w:hAnsi="Arial" w:cs="Arial"/>
                <w:color w:val="000000"/>
                <w:sz w:val="15"/>
                <w:szCs w:val="15"/>
              </w:rPr>
              <w:t>Amortization</w:t>
            </w:r>
          </w:p>
        </w:tc>
        <w:tc>
          <w:tcPr>
            <w:tcW w:w="0" w:type="auto"/>
            <w:gridSpan w:val="2"/>
            <w:shd w:val="clear" w:color="auto" w:fill="CCEEFF"/>
            <w:tcMar>
              <w:top w:w="40" w:type="dxa"/>
              <w:left w:w="20" w:type="dxa"/>
              <w:bottom w:w="40" w:type="dxa"/>
              <w:right w:w="0" w:type="dxa"/>
            </w:tcMar>
            <w:vAlign w:val="bottom"/>
          </w:tcPr>
          <w:p w14:paraId="392C7FB2" w14:textId="77777777" w:rsidR="00980E5F" w:rsidRDefault="00483613">
            <w:pPr>
              <w:jc w:val="right"/>
              <w:textAlignment w:val="bottom"/>
            </w:pPr>
            <w:r>
              <w:rPr>
                <w:rFonts w:ascii="Arial" w:eastAsia="宋体" w:hAnsi="Arial" w:cs="Arial"/>
                <w:color w:val="000000"/>
                <w:sz w:val="15"/>
                <w:szCs w:val="15"/>
              </w:rPr>
              <w:t>(221)</w:t>
            </w:r>
          </w:p>
        </w:tc>
        <w:tc>
          <w:tcPr>
            <w:tcW w:w="0" w:type="auto"/>
            <w:shd w:val="clear" w:color="auto" w:fill="CCEEFF"/>
            <w:tcMar>
              <w:top w:w="40" w:type="dxa"/>
              <w:left w:w="0" w:type="dxa"/>
              <w:bottom w:w="40" w:type="dxa"/>
              <w:right w:w="20" w:type="dxa"/>
            </w:tcMar>
            <w:vAlign w:val="bottom"/>
          </w:tcPr>
          <w:p w14:paraId="392C7FB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B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FB5" w14:textId="77777777" w:rsidR="00980E5F" w:rsidRDefault="00483613">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392C7F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FB8" w14:textId="77777777" w:rsidR="00980E5F" w:rsidRDefault="00483613">
            <w:pPr>
              <w:jc w:val="right"/>
              <w:textAlignment w:val="bottom"/>
            </w:pPr>
            <w:r>
              <w:rPr>
                <w:rFonts w:ascii="Arial" w:eastAsia="宋体" w:hAnsi="Arial" w:cs="Arial"/>
                <w:color w:val="000000"/>
                <w:sz w:val="15"/>
                <w:szCs w:val="15"/>
              </w:rPr>
              <w:t>(245)</w:t>
            </w:r>
          </w:p>
        </w:tc>
        <w:tc>
          <w:tcPr>
            <w:tcW w:w="0" w:type="auto"/>
            <w:shd w:val="clear" w:color="auto" w:fill="CCEEFF"/>
            <w:tcMar>
              <w:top w:w="40" w:type="dxa"/>
              <w:left w:w="0" w:type="dxa"/>
              <w:bottom w:w="40" w:type="dxa"/>
              <w:right w:w="20" w:type="dxa"/>
            </w:tcMar>
            <w:vAlign w:val="bottom"/>
          </w:tcPr>
          <w:p w14:paraId="392C7FB9" w14:textId="77777777" w:rsidR="00980E5F" w:rsidRDefault="00980E5F">
            <w:pPr>
              <w:jc w:val="right"/>
              <w:rPr>
                <w:rFonts w:ascii="宋体"/>
              </w:rPr>
            </w:pPr>
          </w:p>
        </w:tc>
      </w:tr>
      <w:tr w:rsidR="00980E5F" w14:paraId="392C7FC1" w14:textId="77777777">
        <w:trPr>
          <w:hidden/>
        </w:trPr>
        <w:tc>
          <w:tcPr>
            <w:tcW w:w="0" w:type="auto"/>
            <w:gridSpan w:val="3"/>
            <w:shd w:val="clear" w:color="auto" w:fill="auto"/>
            <w:vAlign w:val="bottom"/>
          </w:tcPr>
          <w:p w14:paraId="392C7FBB" w14:textId="77777777" w:rsidR="00980E5F" w:rsidRDefault="00980E5F">
            <w:pPr>
              <w:rPr>
                <w:rFonts w:ascii="宋体"/>
                <w:vanish/>
              </w:rPr>
            </w:pPr>
          </w:p>
        </w:tc>
        <w:tc>
          <w:tcPr>
            <w:tcW w:w="0" w:type="auto"/>
            <w:gridSpan w:val="3"/>
            <w:shd w:val="clear" w:color="auto" w:fill="auto"/>
            <w:vAlign w:val="bottom"/>
          </w:tcPr>
          <w:p w14:paraId="392C7FBC" w14:textId="77777777" w:rsidR="00980E5F" w:rsidRDefault="00980E5F">
            <w:pPr>
              <w:rPr>
                <w:rFonts w:ascii="宋体"/>
                <w:vanish/>
              </w:rPr>
            </w:pPr>
          </w:p>
        </w:tc>
        <w:tc>
          <w:tcPr>
            <w:tcW w:w="0" w:type="auto"/>
            <w:gridSpan w:val="3"/>
            <w:shd w:val="clear" w:color="auto" w:fill="auto"/>
            <w:vAlign w:val="bottom"/>
          </w:tcPr>
          <w:p w14:paraId="392C7FBD" w14:textId="77777777" w:rsidR="00980E5F" w:rsidRDefault="00980E5F">
            <w:pPr>
              <w:rPr>
                <w:rFonts w:ascii="宋体"/>
                <w:vanish/>
              </w:rPr>
            </w:pPr>
          </w:p>
        </w:tc>
        <w:tc>
          <w:tcPr>
            <w:tcW w:w="0" w:type="auto"/>
            <w:gridSpan w:val="3"/>
            <w:shd w:val="clear" w:color="auto" w:fill="auto"/>
            <w:vAlign w:val="bottom"/>
          </w:tcPr>
          <w:p w14:paraId="392C7FBE" w14:textId="77777777" w:rsidR="00980E5F" w:rsidRDefault="00980E5F">
            <w:pPr>
              <w:rPr>
                <w:rFonts w:ascii="宋体"/>
                <w:vanish/>
              </w:rPr>
            </w:pPr>
          </w:p>
        </w:tc>
        <w:tc>
          <w:tcPr>
            <w:tcW w:w="0" w:type="auto"/>
            <w:gridSpan w:val="3"/>
            <w:shd w:val="clear" w:color="auto" w:fill="auto"/>
            <w:vAlign w:val="bottom"/>
          </w:tcPr>
          <w:p w14:paraId="392C7FBF" w14:textId="77777777" w:rsidR="00980E5F" w:rsidRDefault="00980E5F">
            <w:pPr>
              <w:rPr>
                <w:rFonts w:ascii="宋体"/>
                <w:vanish/>
              </w:rPr>
            </w:pPr>
          </w:p>
        </w:tc>
        <w:tc>
          <w:tcPr>
            <w:tcW w:w="0" w:type="auto"/>
            <w:gridSpan w:val="3"/>
            <w:shd w:val="clear" w:color="auto" w:fill="auto"/>
            <w:vAlign w:val="bottom"/>
          </w:tcPr>
          <w:p w14:paraId="392C7FC0" w14:textId="77777777" w:rsidR="00980E5F" w:rsidRDefault="00980E5F">
            <w:pPr>
              <w:rPr>
                <w:rFonts w:ascii="宋体"/>
                <w:vanish/>
              </w:rPr>
            </w:pPr>
          </w:p>
        </w:tc>
      </w:tr>
      <w:tr w:rsidR="00980E5F" w14:paraId="392C7FC8" w14:textId="77777777">
        <w:trPr>
          <w:hidden/>
        </w:trPr>
        <w:tc>
          <w:tcPr>
            <w:tcW w:w="0" w:type="auto"/>
            <w:gridSpan w:val="3"/>
            <w:shd w:val="clear" w:color="auto" w:fill="auto"/>
            <w:vAlign w:val="bottom"/>
          </w:tcPr>
          <w:p w14:paraId="392C7FC2" w14:textId="77777777" w:rsidR="00980E5F" w:rsidRDefault="00980E5F">
            <w:pPr>
              <w:rPr>
                <w:rFonts w:ascii="宋体"/>
                <w:vanish/>
              </w:rPr>
            </w:pPr>
          </w:p>
        </w:tc>
        <w:tc>
          <w:tcPr>
            <w:tcW w:w="0" w:type="auto"/>
            <w:gridSpan w:val="3"/>
            <w:shd w:val="clear" w:color="auto" w:fill="auto"/>
            <w:vAlign w:val="bottom"/>
          </w:tcPr>
          <w:p w14:paraId="392C7FC3" w14:textId="77777777" w:rsidR="00980E5F" w:rsidRDefault="00980E5F">
            <w:pPr>
              <w:rPr>
                <w:rFonts w:ascii="宋体"/>
                <w:vanish/>
              </w:rPr>
            </w:pPr>
          </w:p>
        </w:tc>
        <w:tc>
          <w:tcPr>
            <w:tcW w:w="0" w:type="auto"/>
            <w:gridSpan w:val="3"/>
            <w:shd w:val="clear" w:color="auto" w:fill="auto"/>
            <w:vAlign w:val="bottom"/>
          </w:tcPr>
          <w:p w14:paraId="392C7FC4" w14:textId="77777777" w:rsidR="00980E5F" w:rsidRDefault="00980E5F">
            <w:pPr>
              <w:rPr>
                <w:rFonts w:ascii="宋体"/>
                <w:vanish/>
              </w:rPr>
            </w:pPr>
          </w:p>
        </w:tc>
        <w:tc>
          <w:tcPr>
            <w:tcW w:w="0" w:type="auto"/>
            <w:gridSpan w:val="3"/>
            <w:shd w:val="clear" w:color="auto" w:fill="auto"/>
            <w:vAlign w:val="bottom"/>
          </w:tcPr>
          <w:p w14:paraId="392C7FC5" w14:textId="77777777" w:rsidR="00980E5F" w:rsidRDefault="00980E5F">
            <w:pPr>
              <w:rPr>
                <w:rFonts w:ascii="宋体"/>
                <w:vanish/>
              </w:rPr>
            </w:pPr>
          </w:p>
        </w:tc>
        <w:tc>
          <w:tcPr>
            <w:tcW w:w="0" w:type="auto"/>
            <w:gridSpan w:val="3"/>
            <w:shd w:val="clear" w:color="auto" w:fill="auto"/>
            <w:vAlign w:val="bottom"/>
          </w:tcPr>
          <w:p w14:paraId="392C7FC6" w14:textId="77777777" w:rsidR="00980E5F" w:rsidRDefault="00980E5F">
            <w:pPr>
              <w:rPr>
                <w:rFonts w:ascii="宋体"/>
                <w:vanish/>
              </w:rPr>
            </w:pPr>
          </w:p>
        </w:tc>
        <w:tc>
          <w:tcPr>
            <w:tcW w:w="0" w:type="auto"/>
            <w:gridSpan w:val="3"/>
            <w:shd w:val="clear" w:color="auto" w:fill="auto"/>
            <w:vAlign w:val="bottom"/>
          </w:tcPr>
          <w:p w14:paraId="392C7FC7" w14:textId="77777777" w:rsidR="00980E5F" w:rsidRDefault="00980E5F">
            <w:pPr>
              <w:rPr>
                <w:rFonts w:ascii="宋体"/>
                <w:vanish/>
              </w:rPr>
            </w:pPr>
          </w:p>
        </w:tc>
      </w:tr>
      <w:tr w:rsidR="00980E5F" w14:paraId="392C7FD2" w14:textId="77777777">
        <w:tc>
          <w:tcPr>
            <w:tcW w:w="0" w:type="auto"/>
            <w:gridSpan w:val="3"/>
            <w:shd w:val="clear" w:color="auto" w:fill="FFFFFF"/>
            <w:tcMar>
              <w:top w:w="40" w:type="dxa"/>
              <w:left w:w="20" w:type="dxa"/>
              <w:bottom w:w="40" w:type="dxa"/>
              <w:right w:w="20" w:type="dxa"/>
            </w:tcMar>
            <w:vAlign w:val="bottom"/>
          </w:tcPr>
          <w:p w14:paraId="392C7FC9" w14:textId="77777777" w:rsidR="00980E5F" w:rsidRDefault="00483613">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392C7FCA" w14:textId="77777777" w:rsidR="00980E5F" w:rsidRDefault="00483613">
            <w:pPr>
              <w:jc w:val="right"/>
              <w:textAlignment w:val="bottom"/>
            </w:pPr>
            <w:r>
              <w:rPr>
                <w:rFonts w:ascii="Arial" w:eastAsia="宋体" w:hAnsi="Arial" w:cs="Arial"/>
                <w:color w:val="000000"/>
                <w:sz w:val="15"/>
                <w:szCs w:val="15"/>
              </w:rPr>
              <w:t>(30)</w:t>
            </w:r>
          </w:p>
        </w:tc>
        <w:tc>
          <w:tcPr>
            <w:tcW w:w="0" w:type="auto"/>
            <w:shd w:val="clear" w:color="auto" w:fill="FFFFFF"/>
            <w:tcMar>
              <w:top w:w="40" w:type="dxa"/>
              <w:left w:w="0" w:type="dxa"/>
              <w:bottom w:w="40" w:type="dxa"/>
              <w:right w:w="20" w:type="dxa"/>
            </w:tcMar>
            <w:vAlign w:val="bottom"/>
          </w:tcPr>
          <w:p w14:paraId="392C7F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CD"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C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D0" w14:textId="77777777" w:rsidR="00980E5F" w:rsidRDefault="00483613">
            <w:pPr>
              <w:jc w:val="right"/>
              <w:textAlignment w:val="bottom"/>
            </w:pPr>
            <w:r>
              <w:rPr>
                <w:rFonts w:ascii="Arial" w:eastAsia="宋体" w:hAnsi="Arial" w:cs="Arial"/>
                <w:color w:val="000000"/>
                <w:sz w:val="15"/>
                <w:szCs w:val="15"/>
              </w:rPr>
              <w:t>(30)</w:t>
            </w:r>
          </w:p>
        </w:tc>
        <w:tc>
          <w:tcPr>
            <w:tcW w:w="0" w:type="auto"/>
            <w:shd w:val="clear" w:color="auto" w:fill="FFFFFF"/>
            <w:tcMar>
              <w:top w:w="40" w:type="dxa"/>
              <w:left w:w="0" w:type="dxa"/>
              <w:bottom w:w="40" w:type="dxa"/>
              <w:right w:w="20" w:type="dxa"/>
            </w:tcMar>
            <w:vAlign w:val="bottom"/>
          </w:tcPr>
          <w:p w14:paraId="392C7FD1" w14:textId="77777777" w:rsidR="00980E5F" w:rsidRDefault="00980E5F">
            <w:pPr>
              <w:jc w:val="right"/>
              <w:rPr>
                <w:rFonts w:ascii="宋体"/>
              </w:rPr>
            </w:pPr>
          </w:p>
        </w:tc>
      </w:tr>
      <w:tr w:rsidR="00980E5F" w14:paraId="392C7FDC" w14:textId="77777777">
        <w:tc>
          <w:tcPr>
            <w:tcW w:w="0" w:type="auto"/>
            <w:gridSpan w:val="3"/>
            <w:shd w:val="clear" w:color="auto" w:fill="CCEEFF"/>
            <w:tcMar>
              <w:top w:w="40" w:type="dxa"/>
              <w:left w:w="20" w:type="dxa"/>
              <w:bottom w:w="40" w:type="dxa"/>
              <w:right w:w="20" w:type="dxa"/>
            </w:tcMar>
            <w:vAlign w:val="bottom"/>
          </w:tcPr>
          <w:p w14:paraId="392C7FD3" w14:textId="77777777" w:rsidR="00980E5F" w:rsidRDefault="00483613">
            <w:pPr>
              <w:textAlignment w:val="bottom"/>
            </w:pPr>
            <w:r>
              <w:rPr>
                <w:rFonts w:ascii="Arial" w:eastAsia="宋体" w:hAnsi="Arial" w:cs="Arial"/>
                <w:b/>
                <w:bCs/>
                <w:color w:val="000000"/>
                <w:sz w:val="15"/>
                <w:szCs w:val="15"/>
              </w:rPr>
              <w:t>Ending balance December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7FD4" w14:textId="77777777" w:rsidR="00980E5F" w:rsidRDefault="00483613">
            <w:pPr>
              <w:jc w:val="right"/>
              <w:textAlignment w:val="bottom"/>
            </w:pPr>
            <w:r>
              <w:rPr>
                <w:rFonts w:ascii="Arial" w:eastAsia="宋体" w:hAnsi="Arial" w:cs="Arial"/>
                <w:color w:val="000000"/>
                <w:sz w:val="15"/>
                <w:szCs w:val="15"/>
              </w:rPr>
              <w:t>1,746 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F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D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7FD7" w14:textId="77777777" w:rsidR="00980E5F" w:rsidRDefault="00483613">
            <w:pPr>
              <w:jc w:val="right"/>
              <w:textAlignment w:val="bottom"/>
            </w:pPr>
            <w:r>
              <w:rPr>
                <w:rFonts w:ascii="Arial" w:eastAsia="宋体" w:hAnsi="Arial" w:cs="Arial"/>
                <w:color w:val="000000"/>
                <w:sz w:val="15"/>
                <w:szCs w:val="15"/>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FD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D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7FDA" w14:textId="77777777" w:rsidR="00980E5F" w:rsidRDefault="00483613">
            <w:pPr>
              <w:jc w:val="right"/>
              <w:textAlignment w:val="bottom"/>
            </w:pPr>
            <w:r>
              <w:rPr>
                <w:rFonts w:ascii="Arial" w:eastAsia="宋体" w:hAnsi="Arial" w:cs="Arial"/>
                <w:color w:val="000000"/>
                <w:sz w:val="15"/>
                <w:szCs w:val="15"/>
              </w:rPr>
              <w:t>1,816 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7FDB" w14:textId="77777777" w:rsidR="00980E5F" w:rsidRDefault="00980E5F">
            <w:pPr>
              <w:jc w:val="right"/>
              <w:rPr>
                <w:rFonts w:ascii="宋体"/>
              </w:rPr>
            </w:pPr>
          </w:p>
        </w:tc>
      </w:tr>
      <w:tr w:rsidR="00980E5F" w14:paraId="392C7FE6" w14:textId="77777777">
        <w:tc>
          <w:tcPr>
            <w:tcW w:w="0" w:type="auto"/>
            <w:gridSpan w:val="3"/>
            <w:shd w:val="clear" w:color="auto" w:fill="FFFFFF"/>
            <w:tcMar>
              <w:top w:w="40" w:type="dxa"/>
              <w:left w:w="20" w:type="dxa"/>
              <w:bottom w:w="40" w:type="dxa"/>
              <w:right w:w="20" w:type="dxa"/>
            </w:tcMar>
            <w:vAlign w:val="bottom"/>
          </w:tcPr>
          <w:p w14:paraId="392C7FDD" w14:textId="77777777" w:rsidR="00980E5F" w:rsidRDefault="00483613">
            <w:pPr>
              <w:textAlignment w:val="bottom"/>
            </w:pPr>
            <w:r>
              <w:rPr>
                <w:rFonts w:ascii="Arial" w:eastAsia="宋体" w:hAnsi="Arial" w:cs="Arial"/>
                <w:color w:val="000000"/>
                <w:sz w:val="15"/>
                <w:szCs w:val="15"/>
              </w:rPr>
              <w:t>Acquisitions</w:t>
            </w:r>
          </w:p>
        </w:tc>
        <w:tc>
          <w:tcPr>
            <w:tcW w:w="0" w:type="auto"/>
            <w:gridSpan w:val="2"/>
            <w:shd w:val="clear" w:color="auto" w:fill="FFFFFF"/>
            <w:tcMar>
              <w:top w:w="40" w:type="dxa"/>
              <w:left w:w="20" w:type="dxa"/>
              <w:bottom w:w="40" w:type="dxa"/>
              <w:right w:w="0" w:type="dxa"/>
            </w:tcMar>
            <w:vAlign w:val="bottom"/>
          </w:tcPr>
          <w:p w14:paraId="392C7FDE"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E1"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E4"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E5" w14:textId="77777777" w:rsidR="00980E5F" w:rsidRDefault="00980E5F">
            <w:pPr>
              <w:jc w:val="right"/>
              <w:rPr>
                <w:rFonts w:ascii="宋体"/>
              </w:rPr>
            </w:pPr>
          </w:p>
        </w:tc>
      </w:tr>
      <w:tr w:rsidR="00980E5F" w14:paraId="392C7FF0" w14:textId="77777777">
        <w:tc>
          <w:tcPr>
            <w:tcW w:w="0" w:type="auto"/>
            <w:gridSpan w:val="3"/>
            <w:shd w:val="clear" w:color="auto" w:fill="CCEEFF"/>
            <w:tcMar>
              <w:top w:w="40" w:type="dxa"/>
              <w:left w:w="20" w:type="dxa"/>
              <w:bottom w:w="40" w:type="dxa"/>
              <w:right w:w="20" w:type="dxa"/>
            </w:tcMar>
            <w:vAlign w:val="bottom"/>
          </w:tcPr>
          <w:p w14:paraId="392C7FE7" w14:textId="77777777" w:rsidR="00980E5F" w:rsidRDefault="00483613">
            <w:pPr>
              <w:textAlignment w:val="bottom"/>
            </w:pPr>
            <w:r>
              <w:rPr>
                <w:rFonts w:ascii="Arial" w:eastAsia="宋体" w:hAnsi="Arial" w:cs="Arial"/>
                <w:color w:val="000000"/>
                <w:sz w:val="15"/>
                <w:szCs w:val="15"/>
              </w:rPr>
              <w:t>Amortization</w:t>
            </w:r>
          </w:p>
        </w:tc>
        <w:tc>
          <w:tcPr>
            <w:tcW w:w="0" w:type="auto"/>
            <w:gridSpan w:val="2"/>
            <w:shd w:val="clear" w:color="auto" w:fill="CCEEFF"/>
            <w:tcMar>
              <w:top w:w="40" w:type="dxa"/>
              <w:left w:w="20" w:type="dxa"/>
              <w:bottom w:w="40" w:type="dxa"/>
              <w:right w:w="0" w:type="dxa"/>
            </w:tcMar>
            <w:vAlign w:val="bottom"/>
          </w:tcPr>
          <w:p w14:paraId="392C7FE8" w14:textId="77777777" w:rsidR="00980E5F" w:rsidRDefault="00483613">
            <w:pPr>
              <w:jc w:val="right"/>
              <w:textAlignment w:val="bottom"/>
            </w:pPr>
            <w:r>
              <w:rPr>
                <w:rFonts w:ascii="Arial" w:eastAsia="宋体" w:hAnsi="Arial" w:cs="Arial"/>
                <w:b/>
                <w:bCs/>
                <w:color w:val="000000"/>
                <w:sz w:val="15"/>
                <w:szCs w:val="15"/>
              </w:rPr>
              <w:t>(110)</w:t>
            </w:r>
          </w:p>
        </w:tc>
        <w:tc>
          <w:tcPr>
            <w:tcW w:w="0" w:type="auto"/>
            <w:shd w:val="clear" w:color="auto" w:fill="CCEEFF"/>
            <w:tcMar>
              <w:top w:w="40" w:type="dxa"/>
              <w:left w:w="0" w:type="dxa"/>
              <w:bottom w:w="40" w:type="dxa"/>
              <w:right w:w="20" w:type="dxa"/>
            </w:tcMar>
            <w:vAlign w:val="bottom"/>
          </w:tcPr>
          <w:p w14:paraId="392C7F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E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FEB" w14:textId="77777777" w:rsidR="00980E5F" w:rsidRDefault="00483613">
            <w:pPr>
              <w:jc w:val="right"/>
              <w:textAlignment w:val="bottom"/>
            </w:pPr>
            <w:r>
              <w:rPr>
                <w:rFonts w:ascii="Arial" w:eastAsia="宋体" w:hAnsi="Arial" w:cs="Arial"/>
                <w:b/>
                <w:bCs/>
                <w:color w:val="000000"/>
                <w:sz w:val="15"/>
                <w:szCs w:val="15"/>
              </w:rPr>
              <w:t>(11)</w:t>
            </w:r>
          </w:p>
        </w:tc>
        <w:tc>
          <w:tcPr>
            <w:tcW w:w="0" w:type="auto"/>
            <w:shd w:val="clear" w:color="auto" w:fill="CCEEFF"/>
            <w:tcMar>
              <w:top w:w="40" w:type="dxa"/>
              <w:left w:w="0" w:type="dxa"/>
              <w:bottom w:w="40" w:type="dxa"/>
              <w:right w:w="20" w:type="dxa"/>
            </w:tcMar>
            <w:vAlign w:val="bottom"/>
          </w:tcPr>
          <w:p w14:paraId="392C7F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E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7FEE" w14:textId="77777777" w:rsidR="00980E5F" w:rsidRDefault="00483613">
            <w:pPr>
              <w:jc w:val="right"/>
              <w:textAlignment w:val="bottom"/>
            </w:pPr>
            <w:r>
              <w:rPr>
                <w:rFonts w:ascii="Arial" w:eastAsia="宋体" w:hAnsi="Arial" w:cs="Arial"/>
                <w:b/>
                <w:bCs/>
                <w:color w:val="000000"/>
                <w:sz w:val="15"/>
                <w:szCs w:val="15"/>
              </w:rPr>
              <w:t>(121)</w:t>
            </w:r>
          </w:p>
        </w:tc>
        <w:tc>
          <w:tcPr>
            <w:tcW w:w="0" w:type="auto"/>
            <w:shd w:val="clear" w:color="auto" w:fill="CCEEFF"/>
            <w:tcMar>
              <w:top w:w="40" w:type="dxa"/>
              <w:left w:w="0" w:type="dxa"/>
              <w:bottom w:w="40" w:type="dxa"/>
              <w:right w:w="20" w:type="dxa"/>
            </w:tcMar>
            <w:vAlign w:val="bottom"/>
          </w:tcPr>
          <w:p w14:paraId="392C7FEF" w14:textId="77777777" w:rsidR="00980E5F" w:rsidRDefault="00980E5F">
            <w:pPr>
              <w:jc w:val="right"/>
              <w:rPr>
                <w:rFonts w:ascii="宋体"/>
              </w:rPr>
            </w:pPr>
          </w:p>
        </w:tc>
      </w:tr>
      <w:tr w:rsidR="00980E5F" w14:paraId="392C7FFA" w14:textId="77777777">
        <w:tc>
          <w:tcPr>
            <w:tcW w:w="0" w:type="auto"/>
            <w:gridSpan w:val="3"/>
            <w:shd w:val="clear" w:color="auto" w:fill="FFFFFF"/>
            <w:tcMar>
              <w:top w:w="40" w:type="dxa"/>
              <w:left w:w="20" w:type="dxa"/>
              <w:bottom w:w="40" w:type="dxa"/>
              <w:right w:w="20" w:type="dxa"/>
            </w:tcMar>
            <w:vAlign w:val="bottom"/>
          </w:tcPr>
          <w:p w14:paraId="392C7FF1" w14:textId="77777777" w:rsidR="00980E5F" w:rsidRDefault="00483613">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392C7FF2" w14:textId="77777777" w:rsidR="00980E5F" w:rsidRDefault="00483613">
            <w:pPr>
              <w:jc w:val="right"/>
              <w:textAlignment w:val="bottom"/>
            </w:pPr>
            <w:r>
              <w:rPr>
                <w:rFonts w:ascii="Arial" w:eastAsia="宋体" w:hAnsi="Arial" w:cs="Arial"/>
                <w:b/>
                <w:bCs/>
                <w:color w:val="000000"/>
                <w:sz w:val="15"/>
                <w:szCs w:val="15"/>
              </w:rPr>
              <w:t>(41)</w:t>
            </w:r>
          </w:p>
        </w:tc>
        <w:tc>
          <w:tcPr>
            <w:tcW w:w="0" w:type="auto"/>
            <w:shd w:val="clear" w:color="auto" w:fill="FFFFFF"/>
            <w:tcMar>
              <w:top w:w="40" w:type="dxa"/>
              <w:left w:w="0" w:type="dxa"/>
              <w:bottom w:w="40" w:type="dxa"/>
              <w:right w:w="20" w:type="dxa"/>
            </w:tcMar>
            <w:vAlign w:val="bottom"/>
          </w:tcPr>
          <w:p w14:paraId="392C7FF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F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F5"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7F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7FF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7FF8" w14:textId="77777777" w:rsidR="00980E5F" w:rsidRDefault="00483613">
            <w:pPr>
              <w:jc w:val="right"/>
              <w:textAlignment w:val="bottom"/>
            </w:pPr>
            <w:r>
              <w:rPr>
                <w:rFonts w:ascii="Arial" w:eastAsia="宋体" w:hAnsi="Arial" w:cs="Arial"/>
                <w:b/>
                <w:bCs/>
                <w:color w:val="000000"/>
                <w:sz w:val="15"/>
                <w:szCs w:val="15"/>
              </w:rPr>
              <w:t>(41)</w:t>
            </w:r>
          </w:p>
        </w:tc>
        <w:tc>
          <w:tcPr>
            <w:tcW w:w="0" w:type="auto"/>
            <w:shd w:val="clear" w:color="auto" w:fill="FFFFFF"/>
            <w:tcMar>
              <w:top w:w="40" w:type="dxa"/>
              <w:left w:w="0" w:type="dxa"/>
              <w:bottom w:w="40" w:type="dxa"/>
              <w:right w:w="20" w:type="dxa"/>
            </w:tcMar>
            <w:vAlign w:val="bottom"/>
          </w:tcPr>
          <w:p w14:paraId="392C7FF9" w14:textId="77777777" w:rsidR="00980E5F" w:rsidRDefault="00980E5F">
            <w:pPr>
              <w:jc w:val="right"/>
              <w:rPr>
                <w:rFonts w:ascii="宋体"/>
              </w:rPr>
            </w:pPr>
          </w:p>
        </w:tc>
      </w:tr>
      <w:tr w:rsidR="00980E5F" w14:paraId="392C8007" w14:textId="77777777">
        <w:tc>
          <w:tcPr>
            <w:tcW w:w="0" w:type="auto"/>
            <w:gridSpan w:val="3"/>
            <w:shd w:val="clear" w:color="auto" w:fill="CCEEFF"/>
            <w:tcMar>
              <w:top w:w="40" w:type="dxa"/>
              <w:left w:w="20" w:type="dxa"/>
              <w:bottom w:w="40" w:type="dxa"/>
              <w:right w:w="20" w:type="dxa"/>
            </w:tcMar>
            <w:vAlign w:val="bottom"/>
          </w:tcPr>
          <w:p w14:paraId="392C7FFB" w14:textId="77777777" w:rsidR="00980E5F" w:rsidRDefault="00483613">
            <w:pPr>
              <w:textAlignment w:val="bottom"/>
            </w:pPr>
            <w:r>
              <w:rPr>
                <w:rFonts w:ascii="Arial" w:eastAsia="宋体" w:hAnsi="Arial" w:cs="Arial"/>
                <w:b/>
                <w:bCs/>
                <w:color w:val="000000"/>
                <w:sz w:val="15"/>
                <w:szCs w:val="15"/>
              </w:rPr>
              <w:t>Ending balance June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7FFC"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7FFD" w14:textId="77777777" w:rsidR="00980E5F" w:rsidRDefault="00483613">
            <w:pPr>
              <w:jc w:val="right"/>
              <w:textAlignment w:val="bottom"/>
            </w:pPr>
            <w:r>
              <w:rPr>
                <w:rFonts w:ascii="Arial" w:eastAsia="宋体" w:hAnsi="Arial" w:cs="Arial"/>
                <w:b/>
                <w:bCs/>
                <w:color w:val="000000"/>
                <w:sz w:val="15"/>
                <w:szCs w:val="15"/>
              </w:rPr>
              <w:t>1,595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7F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7FF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00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001" w14:textId="77777777" w:rsidR="00980E5F" w:rsidRDefault="00483613">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00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0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004"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005" w14:textId="77777777" w:rsidR="00980E5F" w:rsidRDefault="00483613">
            <w:pPr>
              <w:jc w:val="right"/>
              <w:textAlignment w:val="bottom"/>
            </w:pPr>
            <w:r>
              <w:rPr>
                <w:rFonts w:ascii="Arial" w:eastAsia="宋体" w:hAnsi="Arial" w:cs="Arial"/>
                <w:b/>
                <w:bCs/>
                <w:color w:val="000000"/>
                <w:sz w:val="15"/>
                <w:szCs w:val="15"/>
              </w:rPr>
              <w:t>1,654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006" w14:textId="77777777" w:rsidR="00980E5F" w:rsidRDefault="00980E5F">
            <w:pPr>
              <w:jc w:val="right"/>
              <w:rPr>
                <w:rFonts w:ascii="宋体"/>
              </w:rPr>
            </w:pPr>
          </w:p>
        </w:tc>
      </w:tr>
    </w:tbl>
    <w:p w14:paraId="392C8008" w14:textId="77777777" w:rsidR="00980E5F" w:rsidRDefault="00980E5F">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980E5F" w14:paraId="392C800F" w14:textId="77777777">
        <w:tc>
          <w:tcPr>
            <w:tcW w:w="50" w:type="pct"/>
            <w:shd w:val="clear" w:color="auto" w:fill="auto"/>
            <w:vAlign w:val="bottom"/>
          </w:tcPr>
          <w:p w14:paraId="392C8009" w14:textId="77777777" w:rsidR="00980E5F" w:rsidRDefault="00980E5F">
            <w:pPr>
              <w:rPr>
                <w:rFonts w:ascii="宋体"/>
              </w:rPr>
            </w:pPr>
          </w:p>
        </w:tc>
        <w:tc>
          <w:tcPr>
            <w:tcW w:w="2907" w:type="pct"/>
            <w:shd w:val="clear" w:color="auto" w:fill="auto"/>
            <w:vAlign w:val="bottom"/>
          </w:tcPr>
          <w:p w14:paraId="392C800A" w14:textId="77777777" w:rsidR="00980E5F" w:rsidRDefault="00980E5F">
            <w:pPr>
              <w:rPr>
                <w:rFonts w:ascii="宋体"/>
              </w:rPr>
            </w:pPr>
          </w:p>
        </w:tc>
        <w:tc>
          <w:tcPr>
            <w:tcW w:w="5" w:type="pct"/>
            <w:shd w:val="clear" w:color="auto" w:fill="auto"/>
            <w:vAlign w:val="bottom"/>
          </w:tcPr>
          <w:p w14:paraId="392C800B" w14:textId="77777777" w:rsidR="00980E5F" w:rsidRDefault="00980E5F">
            <w:pPr>
              <w:rPr>
                <w:rFonts w:ascii="宋体"/>
              </w:rPr>
            </w:pPr>
          </w:p>
        </w:tc>
        <w:tc>
          <w:tcPr>
            <w:tcW w:w="50" w:type="pct"/>
            <w:shd w:val="clear" w:color="auto" w:fill="auto"/>
            <w:vAlign w:val="bottom"/>
          </w:tcPr>
          <w:p w14:paraId="392C800C" w14:textId="77777777" w:rsidR="00980E5F" w:rsidRDefault="00980E5F">
            <w:pPr>
              <w:rPr>
                <w:rFonts w:ascii="宋体"/>
              </w:rPr>
            </w:pPr>
          </w:p>
        </w:tc>
        <w:tc>
          <w:tcPr>
            <w:tcW w:w="1982" w:type="pct"/>
            <w:shd w:val="clear" w:color="auto" w:fill="auto"/>
            <w:vAlign w:val="bottom"/>
          </w:tcPr>
          <w:p w14:paraId="392C800D" w14:textId="77777777" w:rsidR="00980E5F" w:rsidRDefault="00980E5F">
            <w:pPr>
              <w:rPr>
                <w:rFonts w:ascii="宋体"/>
              </w:rPr>
            </w:pPr>
          </w:p>
        </w:tc>
        <w:tc>
          <w:tcPr>
            <w:tcW w:w="5" w:type="pct"/>
            <w:shd w:val="clear" w:color="auto" w:fill="auto"/>
            <w:vAlign w:val="bottom"/>
          </w:tcPr>
          <w:p w14:paraId="392C800E" w14:textId="77777777" w:rsidR="00980E5F" w:rsidRDefault="00980E5F">
            <w:pPr>
              <w:rPr>
                <w:rFonts w:ascii="宋体"/>
              </w:rPr>
            </w:pPr>
          </w:p>
        </w:tc>
      </w:tr>
      <w:tr w:rsidR="00980E5F" w14:paraId="392C801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01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11" w14:textId="77777777" w:rsidR="00980E5F" w:rsidRDefault="00980E5F">
            <w:pPr>
              <w:rPr>
                <w:rFonts w:ascii="宋体"/>
              </w:rPr>
            </w:pPr>
          </w:p>
        </w:tc>
      </w:tr>
    </w:tbl>
    <w:p w14:paraId="392C8013" w14:textId="77777777" w:rsidR="00980E5F" w:rsidRDefault="00483613">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5, Business Combinations, we have recorded assets acquired and liabilities assumed at their respective fair values as of the acquisition date.</w:t>
      </w:r>
    </w:p>
    <w:p w14:paraId="392C8014" w14:textId="77777777" w:rsidR="00980E5F" w:rsidRDefault="00483613">
      <w:pPr>
        <w:spacing w:before="60"/>
        <w:ind w:firstLine="450"/>
        <w:jc w:val="both"/>
      </w:pPr>
      <w:r>
        <w:rPr>
          <w:rFonts w:ascii="Arial" w:eastAsia="宋体" w:hAnsi="Arial" w:cs="Arial"/>
          <w:color w:val="000000"/>
          <w:sz w:val="20"/>
          <w:szCs w:val="20"/>
        </w:rPr>
        <w:t>The following table presents the gross carrying amount, accumulated amortization and net carrying amount of other</w:t>
      </w:r>
      <w:r>
        <w:rPr>
          <w:rFonts w:ascii="Arial" w:eastAsia="宋体" w:hAnsi="Arial" w:cs="Arial"/>
          <w:color w:val="000000"/>
          <w:sz w:val="20"/>
          <w:szCs w:val="20"/>
        </w:rPr>
        <w:t xml:space="preserve"> intangible assets by type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1"/>
        <w:gridCol w:w="4291"/>
        <w:gridCol w:w="39"/>
        <w:gridCol w:w="105"/>
        <w:gridCol w:w="1123"/>
        <w:gridCol w:w="36"/>
        <w:gridCol w:w="36"/>
        <w:gridCol w:w="36"/>
        <w:gridCol w:w="36"/>
        <w:gridCol w:w="105"/>
        <w:gridCol w:w="1089"/>
        <w:gridCol w:w="36"/>
        <w:gridCol w:w="36"/>
        <w:gridCol w:w="36"/>
        <w:gridCol w:w="36"/>
        <w:gridCol w:w="105"/>
        <w:gridCol w:w="1089"/>
        <w:gridCol w:w="36"/>
      </w:tblGrid>
      <w:tr w:rsidR="00980E5F" w14:paraId="392C8027" w14:textId="77777777">
        <w:tc>
          <w:tcPr>
            <w:tcW w:w="50" w:type="pct"/>
            <w:shd w:val="clear" w:color="auto" w:fill="auto"/>
            <w:vAlign w:val="bottom"/>
          </w:tcPr>
          <w:p w14:paraId="392C8015" w14:textId="77777777" w:rsidR="00980E5F" w:rsidRDefault="00980E5F">
            <w:pPr>
              <w:rPr>
                <w:rFonts w:ascii="宋体"/>
              </w:rPr>
            </w:pPr>
          </w:p>
        </w:tc>
        <w:tc>
          <w:tcPr>
            <w:tcW w:w="2606" w:type="pct"/>
            <w:shd w:val="clear" w:color="auto" w:fill="auto"/>
            <w:vAlign w:val="bottom"/>
          </w:tcPr>
          <w:p w14:paraId="392C8016" w14:textId="77777777" w:rsidR="00980E5F" w:rsidRDefault="00980E5F">
            <w:pPr>
              <w:rPr>
                <w:rFonts w:ascii="宋体"/>
              </w:rPr>
            </w:pPr>
          </w:p>
        </w:tc>
        <w:tc>
          <w:tcPr>
            <w:tcW w:w="5" w:type="pct"/>
            <w:shd w:val="clear" w:color="auto" w:fill="auto"/>
            <w:vAlign w:val="bottom"/>
          </w:tcPr>
          <w:p w14:paraId="392C8017" w14:textId="77777777" w:rsidR="00980E5F" w:rsidRDefault="00980E5F">
            <w:pPr>
              <w:rPr>
                <w:rFonts w:ascii="宋体"/>
              </w:rPr>
            </w:pPr>
          </w:p>
        </w:tc>
        <w:tc>
          <w:tcPr>
            <w:tcW w:w="50" w:type="pct"/>
            <w:shd w:val="clear" w:color="auto" w:fill="auto"/>
            <w:vAlign w:val="bottom"/>
          </w:tcPr>
          <w:p w14:paraId="392C8018" w14:textId="77777777" w:rsidR="00980E5F" w:rsidRDefault="00980E5F">
            <w:pPr>
              <w:rPr>
                <w:rFonts w:ascii="宋体"/>
              </w:rPr>
            </w:pPr>
          </w:p>
        </w:tc>
        <w:tc>
          <w:tcPr>
            <w:tcW w:w="700" w:type="pct"/>
            <w:shd w:val="clear" w:color="auto" w:fill="auto"/>
            <w:vAlign w:val="bottom"/>
          </w:tcPr>
          <w:p w14:paraId="392C8019" w14:textId="77777777" w:rsidR="00980E5F" w:rsidRDefault="00980E5F">
            <w:pPr>
              <w:rPr>
                <w:rFonts w:ascii="宋体"/>
              </w:rPr>
            </w:pPr>
          </w:p>
        </w:tc>
        <w:tc>
          <w:tcPr>
            <w:tcW w:w="5" w:type="pct"/>
            <w:shd w:val="clear" w:color="auto" w:fill="auto"/>
            <w:vAlign w:val="bottom"/>
          </w:tcPr>
          <w:p w14:paraId="392C801A" w14:textId="77777777" w:rsidR="00980E5F" w:rsidRDefault="00980E5F">
            <w:pPr>
              <w:rPr>
                <w:rFonts w:ascii="宋体"/>
              </w:rPr>
            </w:pPr>
          </w:p>
        </w:tc>
        <w:tc>
          <w:tcPr>
            <w:tcW w:w="5" w:type="pct"/>
            <w:shd w:val="clear" w:color="auto" w:fill="auto"/>
            <w:vAlign w:val="bottom"/>
          </w:tcPr>
          <w:p w14:paraId="392C801B" w14:textId="77777777" w:rsidR="00980E5F" w:rsidRDefault="00980E5F">
            <w:pPr>
              <w:rPr>
                <w:rFonts w:ascii="宋体"/>
              </w:rPr>
            </w:pPr>
          </w:p>
        </w:tc>
        <w:tc>
          <w:tcPr>
            <w:tcW w:w="26" w:type="pct"/>
            <w:shd w:val="clear" w:color="auto" w:fill="auto"/>
            <w:vAlign w:val="bottom"/>
          </w:tcPr>
          <w:p w14:paraId="392C801C" w14:textId="77777777" w:rsidR="00980E5F" w:rsidRDefault="00980E5F">
            <w:pPr>
              <w:rPr>
                <w:rFonts w:ascii="宋体"/>
              </w:rPr>
            </w:pPr>
          </w:p>
        </w:tc>
        <w:tc>
          <w:tcPr>
            <w:tcW w:w="5" w:type="pct"/>
            <w:shd w:val="clear" w:color="auto" w:fill="auto"/>
            <w:vAlign w:val="bottom"/>
          </w:tcPr>
          <w:p w14:paraId="392C801D" w14:textId="77777777" w:rsidR="00980E5F" w:rsidRDefault="00980E5F">
            <w:pPr>
              <w:rPr>
                <w:rFonts w:ascii="宋体"/>
              </w:rPr>
            </w:pPr>
          </w:p>
        </w:tc>
        <w:tc>
          <w:tcPr>
            <w:tcW w:w="50" w:type="pct"/>
            <w:shd w:val="clear" w:color="auto" w:fill="auto"/>
            <w:vAlign w:val="bottom"/>
          </w:tcPr>
          <w:p w14:paraId="392C801E" w14:textId="77777777" w:rsidR="00980E5F" w:rsidRDefault="00980E5F">
            <w:pPr>
              <w:rPr>
                <w:rFonts w:ascii="宋体"/>
              </w:rPr>
            </w:pPr>
          </w:p>
        </w:tc>
        <w:tc>
          <w:tcPr>
            <w:tcW w:w="700" w:type="pct"/>
            <w:shd w:val="clear" w:color="auto" w:fill="auto"/>
            <w:vAlign w:val="bottom"/>
          </w:tcPr>
          <w:p w14:paraId="392C801F" w14:textId="77777777" w:rsidR="00980E5F" w:rsidRDefault="00980E5F">
            <w:pPr>
              <w:rPr>
                <w:rFonts w:ascii="宋体"/>
              </w:rPr>
            </w:pPr>
          </w:p>
        </w:tc>
        <w:tc>
          <w:tcPr>
            <w:tcW w:w="5" w:type="pct"/>
            <w:shd w:val="clear" w:color="auto" w:fill="auto"/>
            <w:vAlign w:val="bottom"/>
          </w:tcPr>
          <w:p w14:paraId="392C8020" w14:textId="77777777" w:rsidR="00980E5F" w:rsidRDefault="00980E5F">
            <w:pPr>
              <w:rPr>
                <w:rFonts w:ascii="宋体"/>
              </w:rPr>
            </w:pPr>
          </w:p>
        </w:tc>
        <w:tc>
          <w:tcPr>
            <w:tcW w:w="5" w:type="pct"/>
            <w:shd w:val="clear" w:color="auto" w:fill="auto"/>
            <w:vAlign w:val="bottom"/>
          </w:tcPr>
          <w:p w14:paraId="392C8021" w14:textId="77777777" w:rsidR="00980E5F" w:rsidRDefault="00980E5F">
            <w:pPr>
              <w:rPr>
                <w:rFonts w:ascii="宋体"/>
              </w:rPr>
            </w:pPr>
          </w:p>
        </w:tc>
        <w:tc>
          <w:tcPr>
            <w:tcW w:w="26" w:type="pct"/>
            <w:shd w:val="clear" w:color="auto" w:fill="auto"/>
            <w:vAlign w:val="bottom"/>
          </w:tcPr>
          <w:p w14:paraId="392C8022" w14:textId="77777777" w:rsidR="00980E5F" w:rsidRDefault="00980E5F">
            <w:pPr>
              <w:rPr>
                <w:rFonts w:ascii="宋体"/>
              </w:rPr>
            </w:pPr>
          </w:p>
        </w:tc>
        <w:tc>
          <w:tcPr>
            <w:tcW w:w="5" w:type="pct"/>
            <w:shd w:val="clear" w:color="auto" w:fill="auto"/>
            <w:vAlign w:val="bottom"/>
          </w:tcPr>
          <w:p w14:paraId="392C8023" w14:textId="77777777" w:rsidR="00980E5F" w:rsidRDefault="00980E5F">
            <w:pPr>
              <w:rPr>
                <w:rFonts w:ascii="宋体"/>
              </w:rPr>
            </w:pPr>
          </w:p>
        </w:tc>
        <w:tc>
          <w:tcPr>
            <w:tcW w:w="50" w:type="pct"/>
            <w:shd w:val="clear" w:color="auto" w:fill="auto"/>
            <w:vAlign w:val="bottom"/>
          </w:tcPr>
          <w:p w14:paraId="392C8024" w14:textId="77777777" w:rsidR="00980E5F" w:rsidRDefault="00980E5F">
            <w:pPr>
              <w:rPr>
                <w:rFonts w:ascii="宋体"/>
              </w:rPr>
            </w:pPr>
          </w:p>
        </w:tc>
        <w:tc>
          <w:tcPr>
            <w:tcW w:w="700" w:type="pct"/>
            <w:shd w:val="clear" w:color="auto" w:fill="auto"/>
            <w:vAlign w:val="bottom"/>
          </w:tcPr>
          <w:p w14:paraId="392C8025" w14:textId="77777777" w:rsidR="00980E5F" w:rsidRDefault="00980E5F">
            <w:pPr>
              <w:rPr>
                <w:rFonts w:ascii="宋体"/>
              </w:rPr>
            </w:pPr>
          </w:p>
        </w:tc>
        <w:tc>
          <w:tcPr>
            <w:tcW w:w="5" w:type="pct"/>
            <w:shd w:val="clear" w:color="auto" w:fill="auto"/>
            <w:vAlign w:val="bottom"/>
          </w:tcPr>
          <w:p w14:paraId="392C8026" w14:textId="77777777" w:rsidR="00980E5F" w:rsidRDefault="00980E5F">
            <w:pPr>
              <w:rPr>
                <w:rFonts w:ascii="宋体"/>
              </w:rPr>
            </w:pPr>
          </w:p>
        </w:tc>
      </w:tr>
      <w:tr w:rsidR="00980E5F" w14:paraId="392C802E" w14:textId="77777777">
        <w:trPr>
          <w:trHeight w:val="280"/>
        </w:trPr>
        <w:tc>
          <w:tcPr>
            <w:tcW w:w="0" w:type="auto"/>
            <w:gridSpan w:val="3"/>
            <w:shd w:val="clear" w:color="auto" w:fill="auto"/>
            <w:tcMar>
              <w:top w:w="40" w:type="dxa"/>
              <w:left w:w="20" w:type="dxa"/>
              <w:bottom w:w="40" w:type="dxa"/>
              <w:right w:w="20" w:type="dxa"/>
            </w:tcMar>
            <w:vAlign w:val="bottom"/>
          </w:tcPr>
          <w:p w14:paraId="392C8028" w14:textId="77777777" w:rsidR="00980E5F" w:rsidRDefault="00483613">
            <w:pPr>
              <w:textAlignment w:val="bottom"/>
            </w:pPr>
            <w:r>
              <w:rPr>
                <w:rFonts w:ascii="Arial" w:eastAsia="宋体" w:hAnsi="Arial" w:cs="Arial"/>
                <w:b/>
                <w:bCs/>
                <w:color w:val="000000"/>
                <w:sz w:val="15"/>
                <w:szCs w:val="15"/>
              </w:rPr>
              <w:t>June 30, 2022</w:t>
            </w:r>
          </w:p>
        </w:tc>
        <w:tc>
          <w:tcPr>
            <w:tcW w:w="0" w:type="auto"/>
            <w:gridSpan w:val="3"/>
            <w:vMerge w:val="restart"/>
            <w:shd w:val="clear" w:color="auto" w:fill="auto"/>
            <w:tcMar>
              <w:top w:w="40" w:type="dxa"/>
              <w:left w:w="20" w:type="dxa"/>
              <w:bottom w:w="40" w:type="dxa"/>
              <w:right w:w="20" w:type="dxa"/>
            </w:tcMar>
            <w:vAlign w:val="bottom"/>
          </w:tcPr>
          <w:p w14:paraId="392C8029" w14:textId="77777777" w:rsidR="00980E5F" w:rsidRDefault="00483613">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392C802A"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802B" w14:textId="77777777" w:rsidR="00980E5F" w:rsidRDefault="00483613">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392C802C"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802D" w14:textId="77777777" w:rsidR="00980E5F" w:rsidRDefault="00483613">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980E5F" w14:paraId="392C8035" w14:textId="77777777">
        <w:trPr>
          <w:trHeight w:val="280"/>
        </w:trPr>
        <w:tc>
          <w:tcPr>
            <w:tcW w:w="0" w:type="auto"/>
            <w:gridSpan w:val="3"/>
            <w:shd w:val="clear" w:color="auto" w:fill="auto"/>
            <w:tcMar>
              <w:top w:w="40" w:type="dxa"/>
              <w:left w:w="20" w:type="dxa"/>
              <w:bottom w:w="40" w:type="dxa"/>
              <w:right w:w="20" w:type="dxa"/>
            </w:tcMar>
            <w:vAlign w:val="bottom"/>
          </w:tcPr>
          <w:p w14:paraId="392C802F"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392C8030"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031"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8032"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033"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8034" w14:textId="77777777" w:rsidR="00980E5F" w:rsidRDefault="00980E5F">
            <w:pPr>
              <w:jc w:val="center"/>
              <w:rPr>
                <w:rFonts w:ascii="宋体"/>
              </w:rPr>
            </w:pPr>
          </w:p>
        </w:tc>
      </w:tr>
      <w:tr w:rsidR="00980E5F" w14:paraId="392C803C" w14:textId="77777777">
        <w:tc>
          <w:tcPr>
            <w:tcW w:w="0" w:type="auto"/>
            <w:gridSpan w:val="3"/>
            <w:shd w:val="clear" w:color="auto" w:fill="FFFFFF"/>
            <w:tcMar>
              <w:top w:w="40" w:type="dxa"/>
              <w:left w:w="20" w:type="dxa"/>
              <w:bottom w:w="40" w:type="dxa"/>
              <w:right w:w="20" w:type="dxa"/>
            </w:tcMar>
            <w:vAlign w:val="bottom"/>
          </w:tcPr>
          <w:p w14:paraId="392C8036" w14:textId="77777777" w:rsidR="00980E5F" w:rsidRDefault="00483613">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3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3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3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3B" w14:textId="77777777" w:rsidR="00980E5F" w:rsidRDefault="00980E5F">
            <w:pPr>
              <w:rPr>
                <w:rFonts w:ascii="宋体"/>
              </w:rPr>
            </w:pPr>
          </w:p>
        </w:tc>
      </w:tr>
      <w:tr w:rsidR="00980E5F" w14:paraId="392C8049" w14:textId="77777777">
        <w:tc>
          <w:tcPr>
            <w:tcW w:w="0" w:type="auto"/>
            <w:gridSpan w:val="3"/>
            <w:shd w:val="clear" w:color="auto" w:fill="CCEEFF"/>
            <w:tcMar>
              <w:top w:w="40" w:type="dxa"/>
              <w:left w:w="20" w:type="dxa"/>
              <w:bottom w:w="40" w:type="dxa"/>
              <w:right w:w="20" w:type="dxa"/>
            </w:tcMar>
            <w:vAlign w:val="bottom"/>
          </w:tcPr>
          <w:p w14:paraId="392C803D" w14:textId="77777777" w:rsidR="00980E5F" w:rsidRDefault="00483613">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392C803E"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03F" w14:textId="77777777" w:rsidR="00980E5F" w:rsidRDefault="00483613">
            <w:pPr>
              <w:jc w:val="right"/>
              <w:textAlignment w:val="bottom"/>
            </w:pPr>
            <w:r>
              <w:rPr>
                <w:rFonts w:ascii="Arial" w:eastAsia="宋体" w:hAnsi="Arial" w:cs="Arial"/>
                <w:b/>
                <w:bCs/>
                <w:color w:val="000000"/>
                <w:sz w:val="15"/>
                <w:szCs w:val="15"/>
              </w:rPr>
              <w:t>2,710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0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4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042"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043" w14:textId="77777777" w:rsidR="00980E5F" w:rsidRDefault="00483613">
            <w:pPr>
              <w:jc w:val="right"/>
              <w:textAlignment w:val="bottom"/>
            </w:pPr>
            <w:r>
              <w:rPr>
                <w:rFonts w:ascii="Arial" w:eastAsia="宋体" w:hAnsi="Arial" w:cs="Arial"/>
                <w:b/>
                <w:bCs/>
                <w:color w:val="000000"/>
                <w:sz w:val="15"/>
                <w:szCs w:val="15"/>
              </w:rPr>
              <w:t>(1,535)</w:t>
            </w:r>
          </w:p>
        </w:tc>
        <w:tc>
          <w:tcPr>
            <w:tcW w:w="0" w:type="auto"/>
            <w:shd w:val="clear" w:color="auto" w:fill="CCEEFF"/>
            <w:tcMar>
              <w:top w:w="40" w:type="dxa"/>
              <w:left w:w="0" w:type="dxa"/>
              <w:bottom w:w="40" w:type="dxa"/>
              <w:right w:w="20" w:type="dxa"/>
            </w:tcMar>
            <w:vAlign w:val="bottom"/>
          </w:tcPr>
          <w:p w14:paraId="392C80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4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046"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047" w14:textId="77777777" w:rsidR="00980E5F" w:rsidRDefault="00483613">
            <w:pPr>
              <w:jc w:val="right"/>
              <w:textAlignment w:val="bottom"/>
            </w:pPr>
            <w:r>
              <w:rPr>
                <w:rFonts w:ascii="Arial" w:eastAsia="宋体" w:hAnsi="Arial" w:cs="Arial"/>
                <w:b/>
                <w:bCs/>
                <w:color w:val="000000"/>
                <w:sz w:val="15"/>
                <w:szCs w:val="15"/>
              </w:rPr>
              <w:t>1,175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048" w14:textId="77777777" w:rsidR="00980E5F" w:rsidRDefault="00980E5F">
            <w:pPr>
              <w:jc w:val="right"/>
              <w:rPr>
                <w:rFonts w:ascii="宋体"/>
              </w:rPr>
            </w:pPr>
          </w:p>
        </w:tc>
      </w:tr>
      <w:tr w:rsidR="00980E5F" w14:paraId="392C8053" w14:textId="77777777">
        <w:tc>
          <w:tcPr>
            <w:tcW w:w="0" w:type="auto"/>
            <w:gridSpan w:val="3"/>
            <w:shd w:val="clear" w:color="auto" w:fill="auto"/>
            <w:tcMar>
              <w:top w:w="40" w:type="dxa"/>
              <w:left w:w="20" w:type="dxa"/>
              <w:bottom w:w="40" w:type="dxa"/>
              <w:right w:w="20" w:type="dxa"/>
            </w:tcMar>
            <w:vAlign w:val="bottom"/>
          </w:tcPr>
          <w:p w14:paraId="392C804A" w14:textId="77777777" w:rsidR="00980E5F" w:rsidRDefault="00483613">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392C804B" w14:textId="77777777" w:rsidR="00980E5F" w:rsidRDefault="00483613">
            <w:pPr>
              <w:jc w:val="right"/>
              <w:textAlignment w:val="bottom"/>
            </w:pPr>
            <w:r>
              <w:rPr>
                <w:rFonts w:ascii="Arial" w:eastAsia="宋体" w:hAnsi="Arial" w:cs="Arial"/>
                <w:b/>
                <w:bCs/>
                <w:color w:val="000000"/>
                <w:sz w:val="15"/>
                <w:szCs w:val="15"/>
              </w:rPr>
              <w:t>401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04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4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4E" w14:textId="77777777" w:rsidR="00980E5F" w:rsidRDefault="00483613">
            <w:pPr>
              <w:jc w:val="right"/>
              <w:textAlignment w:val="bottom"/>
            </w:pPr>
            <w:r>
              <w:rPr>
                <w:rFonts w:ascii="Arial" w:eastAsia="宋体" w:hAnsi="Arial" w:cs="Arial"/>
                <w:b/>
                <w:bCs/>
                <w:color w:val="000000"/>
                <w:sz w:val="15"/>
                <w:szCs w:val="15"/>
              </w:rPr>
              <w:t>(159)</w:t>
            </w:r>
          </w:p>
        </w:tc>
        <w:tc>
          <w:tcPr>
            <w:tcW w:w="0" w:type="auto"/>
            <w:shd w:val="clear" w:color="auto" w:fill="FFFFFF"/>
            <w:tcMar>
              <w:top w:w="40" w:type="dxa"/>
              <w:left w:w="0" w:type="dxa"/>
              <w:bottom w:w="40" w:type="dxa"/>
              <w:right w:w="20" w:type="dxa"/>
            </w:tcMar>
            <w:vAlign w:val="bottom"/>
          </w:tcPr>
          <w:p w14:paraId="392C804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5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51" w14:textId="77777777" w:rsidR="00980E5F" w:rsidRDefault="00483613">
            <w:pPr>
              <w:jc w:val="right"/>
              <w:textAlignment w:val="bottom"/>
            </w:pPr>
            <w:r>
              <w:rPr>
                <w:rFonts w:ascii="Arial" w:eastAsia="宋体" w:hAnsi="Arial" w:cs="Arial"/>
                <w:b/>
                <w:bCs/>
                <w:color w:val="000000"/>
                <w:sz w:val="15"/>
                <w:szCs w:val="15"/>
              </w:rPr>
              <w:t>242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052" w14:textId="77777777" w:rsidR="00980E5F" w:rsidRDefault="00980E5F">
            <w:pPr>
              <w:jc w:val="right"/>
              <w:rPr>
                <w:rFonts w:ascii="宋体"/>
              </w:rPr>
            </w:pPr>
          </w:p>
        </w:tc>
      </w:tr>
      <w:tr w:rsidR="00980E5F" w14:paraId="392C805D" w14:textId="77777777">
        <w:tc>
          <w:tcPr>
            <w:tcW w:w="0" w:type="auto"/>
            <w:gridSpan w:val="3"/>
            <w:shd w:val="clear" w:color="auto" w:fill="CCEEFF"/>
            <w:tcMar>
              <w:top w:w="40" w:type="dxa"/>
              <w:left w:w="20" w:type="dxa"/>
              <w:bottom w:w="40" w:type="dxa"/>
              <w:right w:w="20" w:type="dxa"/>
            </w:tcMar>
            <w:vAlign w:val="bottom"/>
          </w:tcPr>
          <w:p w14:paraId="392C8054" w14:textId="77777777" w:rsidR="00980E5F" w:rsidRDefault="00483613">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392C8055" w14:textId="77777777" w:rsidR="00980E5F" w:rsidRDefault="00483613">
            <w:pPr>
              <w:jc w:val="right"/>
              <w:textAlignment w:val="bottom"/>
            </w:pPr>
            <w:r>
              <w:rPr>
                <w:rFonts w:ascii="Arial" w:eastAsia="宋体" w:hAnsi="Arial" w:cs="Arial"/>
                <w:b/>
                <w:bCs/>
                <w:color w:val="000000"/>
                <w:sz w:val="15"/>
                <w:szCs w:val="15"/>
              </w:rPr>
              <w:t>679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0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5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058" w14:textId="77777777" w:rsidR="00980E5F" w:rsidRDefault="00483613">
            <w:pPr>
              <w:jc w:val="right"/>
              <w:textAlignment w:val="bottom"/>
            </w:pPr>
            <w:r>
              <w:rPr>
                <w:rFonts w:ascii="Arial" w:eastAsia="宋体" w:hAnsi="Arial" w:cs="Arial"/>
                <w:b/>
                <w:bCs/>
                <w:color w:val="000000"/>
                <w:sz w:val="15"/>
                <w:szCs w:val="15"/>
              </w:rPr>
              <w:t>(457)</w:t>
            </w:r>
          </w:p>
        </w:tc>
        <w:tc>
          <w:tcPr>
            <w:tcW w:w="0" w:type="auto"/>
            <w:shd w:val="clear" w:color="auto" w:fill="CCEEFF"/>
            <w:tcMar>
              <w:top w:w="40" w:type="dxa"/>
              <w:left w:w="0" w:type="dxa"/>
              <w:bottom w:w="40" w:type="dxa"/>
              <w:right w:w="20" w:type="dxa"/>
            </w:tcMar>
            <w:vAlign w:val="bottom"/>
          </w:tcPr>
          <w:p w14:paraId="392C80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5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05B" w14:textId="77777777" w:rsidR="00980E5F" w:rsidRDefault="00483613">
            <w:pPr>
              <w:jc w:val="right"/>
              <w:textAlignment w:val="bottom"/>
            </w:pPr>
            <w:r>
              <w:rPr>
                <w:rFonts w:ascii="Arial" w:eastAsia="宋体" w:hAnsi="Arial" w:cs="Arial"/>
                <w:b/>
                <w:bCs/>
                <w:color w:val="000000"/>
                <w:sz w:val="15"/>
                <w:szCs w:val="15"/>
              </w:rPr>
              <w:t>222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05C" w14:textId="77777777" w:rsidR="00980E5F" w:rsidRDefault="00980E5F">
            <w:pPr>
              <w:jc w:val="right"/>
              <w:rPr>
                <w:rFonts w:ascii="宋体"/>
              </w:rPr>
            </w:pPr>
          </w:p>
        </w:tc>
      </w:tr>
      <w:tr w:rsidR="00980E5F" w14:paraId="392C8067" w14:textId="77777777">
        <w:tc>
          <w:tcPr>
            <w:tcW w:w="0" w:type="auto"/>
            <w:gridSpan w:val="3"/>
            <w:shd w:val="clear" w:color="auto" w:fill="auto"/>
            <w:tcMar>
              <w:top w:w="40" w:type="dxa"/>
              <w:left w:w="20" w:type="dxa"/>
              <w:bottom w:w="40" w:type="dxa"/>
              <w:right w:w="20" w:type="dxa"/>
            </w:tcMar>
            <w:vAlign w:val="bottom"/>
          </w:tcPr>
          <w:p w14:paraId="392C805E"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805F" w14:textId="77777777" w:rsidR="00980E5F" w:rsidRDefault="00483613">
            <w:pPr>
              <w:jc w:val="right"/>
              <w:textAlignment w:val="bottom"/>
            </w:pPr>
            <w:r>
              <w:rPr>
                <w:rFonts w:ascii="Arial" w:eastAsia="宋体" w:hAnsi="Arial" w:cs="Arial"/>
                <w:b/>
                <w:bCs/>
                <w:color w:val="000000"/>
                <w:sz w:val="15"/>
                <w:szCs w:val="15"/>
              </w:rPr>
              <w:t>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0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62" w14:textId="77777777" w:rsidR="00980E5F" w:rsidRDefault="00483613">
            <w:pPr>
              <w:jc w:val="right"/>
              <w:textAlignment w:val="bottom"/>
            </w:pPr>
            <w:r>
              <w:rPr>
                <w:rFonts w:ascii="Arial" w:eastAsia="宋体" w:hAnsi="Arial" w:cs="Arial"/>
                <w:b/>
                <w:bCs/>
                <w:color w:val="000000"/>
                <w:sz w:val="15"/>
                <w:szCs w:val="15"/>
              </w:rPr>
              <w:t>(74)</w:t>
            </w:r>
          </w:p>
        </w:tc>
        <w:tc>
          <w:tcPr>
            <w:tcW w:w="0" w:type="auto"/>
            <w:shd w:val="clear" w:color="auto" w:fill="FFFFFF"/>
            <w:tcMar>
              <w:top w:w="40" w:type="dxa"/>
              <w:left w:w="0" w:type="dxa"/>
              <w:bottom w:w="40" w:type="dxa"/>
              <w:right w:w="20" w:type="dxa"/>
            </w:tcMar>
            <w:vAlign w:val="bottom"/>
          </w:tcPr>
          <w:p w14:paraId="392C80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65" w14:textId="77777777" w:rsidR="00980E5F" w:rsidRDefault="00483613">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066" w14:textId="77777777" w:rsidR="00980E5F" w:rsidRDefault="00980E5F">
            <w:pPr>
              <w:jc w:val="right"/>
              <w:rPr>
                <w:rFonts w:ascii="宋体"/>
              </w:rPr>
            </w:pPr>
          </w:p>
        </w:tc>
      </w:tr>
      <w:tr w:rsidR="00980E5F" w14:paraId="392C8074" w14:textId="77777777">
        <w:tc>
          <w:tcPr>
            <w:tcW w:w="0" w:type="auto"/>
            <w:gridSpan w:val="3"/>
            <w:shd w:val="clear" w:color="auto" w:fill="CCEEFF"/>
            <w:tcMar>
              <w:top w:w="40" w:type="dxa"/>
              <w:left w:w="20" w:type="dxa"/>
              <w:bottom w:w="40" w:type="dxa"/>
              <w:right w:w="20" w:type="dxa"/>
            </w:tcMar>
            <w:vAlign w:val="bottom"/>
          </w:tcPr>
          <w:p w14:paraId="392C8068" w14:textId="77777777" w:rsidR="00980E5F" w:rsidRDefault="00483613">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069"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06A" w14:textId="77777777" w:rsidR="00980E5F" w:rsidRDefault="00483613">
            <w:pPr>
              <w:jc w:val="right"/>
              <w:textAlignment w:val="bottom"/>
            </w:pPr>
            <w:r>
              <w:rPr>
                <w:rFonts w:ascii="Arial" w:eastAsia="宋体" w:hAnsi="Arial" w:cs="Arial"/>
                <w:b/>
                <w:bCs/>
                <w:color w:val="000000"/>
                <w:sz w:val="15"/>
                <w:szCs w:val="15"/>
              </w:rPr>
              <w:t>3,879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0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6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06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06E" w14:textId="77777777" w:rsidR="00980E5F" w:rsidRDefault="00483613">
            <w:pPr>
              <w:jc w:val="right"/>
              <w:textAlignment w:val="bottom"/>
            </w:pPr>
            <w:r>
              <w:rPr>
                <w:rFonts w:ascii="Arial" w:eastAsia="宋体" w:hAnsi="Arial" w:cs="Arial"/>
                <w:b/>
                <w:bCs/>
                <w:color w:val="000000"/>
                <w:sz w:val="15"/>
                <w:szCs w:val="15"/>
              </w:rPr>
              <w:t>(2,225)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0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7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071"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072" w14:textId="77777777" w:rsidR="00980E5F" w:rsidRDefault="00483613">
            <w:pPr>
              <w:jc w:val="right"/>
              <w:textAlignment w:val="bottom"/>
            </w:pPr>
            <w:r>
              <w:rPr>
                <w:rFonts w:ascii="Arial" w:eastAsia="宋体" w:hAnsi="Arial" w:cs="Arial"/>
                <w:b/>
                <w:bCs/>
                <w:color w:val="000000"/>
                <w:sz w:val="15"/>
                <w:szCs w:val="15"/>
              </w:rPr>
              <w:t>1,654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073" w14:textId="77777777" w:rsidR="00980E5F" w:rsidRDefault="00980E5F">
            <w:pPr>
              <w:jc w:val="right"/>
              <w:rPr>
                <w:rFonts w:ascii="宋体"/>
              </w:rPr>
            </w:pPr>
          </w:p>
        </w:tc>
      </w:tr>
      <w:tr w:rsidR="00980E5F" w14:paraId="392C807B" w14:textId="77777777">
        <w:trPr>
          <w:trHeight w:val="280"/>
        </w:trPr>
        <w:tc>
          <w:tcPr>
            <w:tcW w:w="0" w:type="auto"/>
            <w:gridSpan w:val="3"/>
            <w:shd w:val="clear" w:color="auto" w:fill="auto"/>
            <w:tcMar>
              <w:top w:w="0" w:type="dxa"/>
              <w:left w:w="20" w:type="dxa"/>
              <w:bottom w:w="0" w:type="dxa"/>
              <w:right w:w="20" w:type="dxa"/>
            </w:tcMar>
            <w:vAlign w:val="bottom"/>
          </w:tcPr>
          <w:p w14:paraId="392C8075"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0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7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07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7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07A" w14:textId="77777777" w:rsidR="00980E5F" w:rsidRDefault="00980E5F">
            <w:pPr>
              <w:rPr>
                <w:rFonts w:ascii="宋体"/>
              </w:rPr>
            </w:pPr>
          </w:p>
        </w:tc>
      </w:tr>
      <w:tr w:rsidR="00980E5F" w14:paraId="392C8082" w14:textId="77777777">
        <w:trPr>
          <w:trHeight w:val="280"/>
        </w:trPr>
        <w:tc>
          <w:tcPr>
            <w:tcW w:w="0" w:type="auto"/>
            <w:gridSpan w:val="3"/>
            <w:shd w:val="clear" w:color="auto" w:fill="auto"/>
            <w:tcMar>
              <w:top w:w="40" w:type="dxa"/>
              <w:left w:w="20" w:type="dxa"/>
              <w:bottom w:w="40" w:type="dxa"/>
              <w:right w:w="20" w:type="dxa"/>
            </w:tcMar>
            <w:vAlign w:val="bottom"/>
          </w:tcPr>
          <w:p w14:paraId="392C807C" w14:textId="77777777" w:rsidR="00980E5F" w:rsidRDefault="00483613">
            <w:pPr>
              <w:textAlignment w:val="bottom"/>
            </w:pPr>
            <w:r>
              <w:rPr>
                <w:rFonts w:ascii="Arial" w:eastAsia="宋体" w:hAnsi="Arial" w:cs="Arial"/>
                <w:b/>
                <w:bCs/>
                <w:color w:val="000000"/>
                <w:sz w:val="15"/>
                <w:szCs w:val="15"/>
              </w:rPr>
              <w:t>December 31, 2021</w:t>
            </w:r>
          </w:p>
        </w:tc>
        <w:tc>
          <w:tcPr>
            <w:tcW w:w="0" w:type="auto"/>
            <w:gridSpan w:val="3"/>
            <w:vMerge w:val="restart"/>
            <w:shd w:val="clear" w:color="auto" w:fill="auto"/>
            <w:tcMar>
              <w:top w:w="40" w:type="dxa"/>
              <w:left w:w="20" w:type="dxa"/>
              <w:bottom w:w="40" w:type="dxa"/>
              <w:right w:w="20" w:type="dxa"/>
            </w:tcMar>
            <w:vAlign w:val="bottom"/>
          </w:tcPr>
          <w:p w14:paraId="392C807D" w14:textId="77777777" w:rsidR="00980E5F" w:rsidRDefault="00483613">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392C807E"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807F" w14:textId="77777777" w:rsidR="00980E5F" w:rsidRDefault="00483613">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392C8080"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8081" w14:textId="77777777" w:rsidR="00980E5F" w:rsidRDefault="00483613">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980E5F" w14:paraId="392C8089" w14:textId="77777777">
        <w:trPr>
          <w:trHeight w:val="280"/>
        </w:trPr>
        <w:tc>
          <w:tcPr>
            <w:tcW w:w="0" w:type="auto"/>
            <w:gridSpan w:val="3"/>
            <w:shd w:val="clear" w:color="auto" w:fill="auto"/>
            <w:tcMar>
              <w:top w:w="40" w:type="dxa"/>
              <w:left w:w="20" w:type="dxa"/>
              <w:bottom w:w="40" w:type="dxa"/>
              <w:right w:w="20" w:type="dxa"/>
            </w:tcMar>
            <w:vAlign w:val="bottom"/>
          </w:tcPr>
          <w:p w14:paraId="392C8083"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392C8084"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085"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8086"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087" w14:textId="77777777" w:rsidR="00980E5F" w:rsidRDefault="00980E5F">
            <w:pPr>
              <w:rPr>
                <w:rFonts w:ascii="宋体"/>
              </w:rPr>
            </w:pPr>
          </w:p>
        </w:tc>
        <w:tc>
          <w:tcPr>
            <w:tcW w:w="0" w:type="auto"/>
            <w:gridSpan w:val="3"/>
            <w:vMerge/>
            <w:shd w:val="clear" w:color="auto" w:fill="auto"/>
            <w:tcMar>
              <w:top w:w="40" w:type="dxa"/>
              <w:left w:w="20" w:type="dxa"/>
              <w:bottom w:w="40" w:type="dxa"/>
              <w:right w:w="20" w:type="dxa"/>
            </w:tcMar>
            <w:vAlign w:val="bottom"/>
          </w:tcPr>
          <w:p w14:paraId="392C8088" w14:textId="77777777" w:rsidR="00980E5F" w:rsidRDefault="00980E5F">
            <w:pPr>
              <w:jc w:val="center"/>
              <w:rPr>
                <w:rFonts w:ascii="宋体"/>
              </w:rPr>
            </w:pPr>
          </w:p>
        </w:tc>
      </w:tr>
      <w:tr w:rsidR="00980E5F" w14:paraId="392C8090" w14:textId="77777777">
        <w:tc>
          <w:tcPr>
            <w:tcW w:w="0" w:type="auto"/>
            <w:gridSpan w:val="3"/>
            <w:shd w:val="clear" w:color="auto" w:fill="auto"/>
            <w:tcMar>
              <w:top w:w="40" w:type="dxa"/>
              <w:left w:w="20" w:type="dxa"/>
              <w:bottom w:w="40" w:type="dxa"/>
              <w:right w:w="20" w:type="dxa"/>
            </w:tcMar>
            <w:vAlign w:val="bottom"/>
          </w:tcPr>
          <w:p w14:paraId="392C808A" w14:textId="77777777" w:rsidR="00980E5F" w:rsidRDefault="00483613">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8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8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8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08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08F" w14:textId="77777777" w:rsidR="00980E5F" w:rsidRDefault="00980E5F">
            <w:pPr>
              <w:rPr>
                <w:rFonts w:ascii="宋体"/>
              </w:rPr>
            </w:pPr>
          </w:p>
        </w:tc>
      </w:tr>
      <w:tr w:rsidR="00980E5F" w14:paraId="392C809D" w14:textId="77777777">
        <w:tc>
          <w:tcPr>
            <w:tcW w:w="0" w:type="auto"/>
            <w:gridSpan w:val="3"/>
            <w:shd w:val="clear" w:color="auto" w:fill="CCEEFF"/>
            <w:tcMar>
              <w:top w:w="40" w:type="dxa"/>
              <w:left w:w="20" w:type="dxa"/>
              <w:bottom w:w="40" w:type="dxa"/>
              <w:right w:w="20" w:type="dxa"/>
            </w:tcMar>
            <w:vAlign w:val="bottom"/>
          </w:tcPr>
          <w:p w14:paraId="392C8091" w14:textId="77777777" w:rsidR="00980E5F" w:rsidRDefault="00483613">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392C8092"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093" w14:textId="77777777" w:rsidR="00980E5F" w:rsidRDefault="00483613">
            <w:pPr>
              <w:jc w:val="right"/>
              <w:textAlignment w:val="bottom"/>
            </w:pPr>
            <w:r>
              <w:rPr>
                <w:rFonts w:ascii="Arial" w:eastAsia="宋体" w:hAnsi="Arial" w:cs="Arial"/>
                <w:color w:val="000000"/>
                <w:sz w:val="15"/>
                <w:szCs w:val="15"/>
              </w:rPr>
              <w:t>2,786 </w:t>
            </w:r>
          </w:p>
        </w:tc>
        <w:tc>
          <w:tcPr>
            <w:tcW w:w="0" w:type="auto"/>
            <w:shd w:val="clear" w:color="auto" w:fill="CCEEFF"/>
            <w:tcMar>
              <w:top w:w="40" w:type="dxa"/>
              <w:left w:w="0" w:type="dxa"/>
              <w:bottom w:w="40" w:type="dxa"/>
              <w:right w:w="20" w:type="dxa"/>
            </w:tcMar>
            <w:vAlign w:val="bottom"/>
          </w:tcPr>
          <w:p w14:paraId="392C80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9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096"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097" w14:textId="77777777" w:rsidR="00980E5F" w:rsidRDefault="00483613">
            <w:pPr>
              <w:jc w:val="right"/>
              <w:textAlignment w:val="bottom"/>
            </w:pPr>
            <w:r>
              <w:rPr>
                <w:rFonts w:ascii="Arial" w:eastAsia="宋体" w:hAnsi="Arial" w:cs="Arial"/>
                <w:color w:val="000000"/>
                <w:sz w:val="15"/>
                <w:szCs w:val="15"/>
              </w:rPr>
              <w:t>(1,497)</w:t>
            </w:r>
          </w:p>
        </w:tc>
        <w:tc>
          <w:tcPr>
            <w:tcW w:w="0" w:type="auto"/>
            <w:shd w:val="clear" w:color="auto" w:fill="CCEEFF"/>
            <w:tcMar>
              <w:top w:w="40" w:type="dxa"/>
              <w:left w:w="0" w:type="dxa"/>
              <w:bottom w:w="40" w:type="dxa"/>
              <w:right w:w="20" w:type="dxa"/>
            </w:tcMar>
            <w:vAlign w:val="bottom"/>
          </w:tcPr>
          <w:p w14:paraId="392C80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9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09A"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09B" w14:textId="77777777" w:rsidR="00980E5F" w:rsidRDefault="00483613">
            <w:pPr>
              <w:jc w:val="right"/>
              <w:textAlignment w:val="bottom"/>
            </w:pPr>
            <w:r>
              <w:rPr>
                <w:rFonts w:ascii="Arial" w:eastAsia="宋体" w:hAnsi="Arial" w:cs="Arial"/>
                <w:color w:val="000000"/>
                <w:sz w:val="15"/>
                <w:szCs w:val="15"/>
              </w:rPr>
              <w:t>1,289 </w:t>
            </w:r>
          </w:p>
        </w:tc>
        <w:tc>
          <w:tcPr>
            <w:tcW w:w="0" w:type="auto"/>
            <w:shd w:val="clear" w:color="auto" w:fill="CCEEFF"/>
            <w:tcMar>
              <w:top w:w="40" w:type="dxa"/>
              <w:left w:w="0" w:type="dxa"/>
              <w:bottom w:w="40" w:type="dxa"/>
              <w:right w:w="20" w:type="dxa"/>
            </w:tcMar>
            <w:vAlign w:val="bottom"/>
          </w:tcPr>
          <w:p w14:paraId="392C809C" w14:textId="77777777" w:rsidR="00980E5F" w:rsidRDefault="00980E5F">
            <w:pPr>
              <w:jc w:val="right"/>
              <w:rPr>
                <w:rFonts w:ascii="宋体"/>
              </w:rPr>
            </w:pPr>
          </w:p>
        </w:tc>
      </w:tr>
      <w:tr w:rsidR="00980E5F" w14:paraId="392C80A7" w14:textId="77777777">
        <w:tc>
          <w:tcPr>
            <w:tcW w:w="0" w:type="auto"/>
            <w:gridSpan w:val="3"/>
            <w:shd w:val="clear" w:color="auto" w:fill="auto"/>
            <w:tcMar>
              <w:top w:w="40" w:type="dxa"/>
              <w:left w:w="20" w:type="dxa"/>
              <w:bottom w:w="40" w:type="dxa"/>
              <w:right w:w="20" w:type="dxa"/>
            </w:tcMar>
            <w:vAlign w:val="bottom"/>
          </w:tcPr>
          <w:p w14:paraId="392C809E" w14:textId="77777777" w:rsidR="00980E5F" w:rsidRDefault="00483613">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392C809F" w14:textId="77777777" w:rsidR="00980E5F" w:rsidRDefault="00483613">
            <w:pPr>
              <w:jc w:val="right"/>
              <w:textAlignment w:val="bottom"/>
            </w:pPr>
            <w:r>
              <w:rPr>
                <w:rFonts w:ascii="Arial" w:eastAsia="宋体" w:hAnsi="Arial" w:cs="Arial"/>
                <w:color w:val="000000"/>
                <w:sz w:val="15"/>
                <w:szCs w:val="15"/>
              </w:rPr>
              <w:t>403 </w:t>
            </w:r>
          </w:p>
        </w:tc>
        <w:tc>
          <w:tcPr>
            <w:tcW w:w="0" w:type="auto"/>
            <w:shd w:val="clear" w:color="auto" w:fill="FFFFFF"/>
            <w:tcMar>
              <w:top w:w="40" w:type="dxa"/>
              <w:left w:w="0" w:type="dxa"/>
              <w:bottom w:w="40" w:type="dxa"/>
              <w:right w:w="20" w:type="dxa"/>
            </w:tcMar>
            <w:vAlign w:val="bottom"/>
          </w:tcPr>
          <w:p w14:paraId="392C80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A2" w14:textId="77777777" w:rsidR="00980E5F" w:rsidRDefault="00483613">
            <w:pPr>
              <w:jc w:val="right"/>
              <w:textAlignment w:val="bottom"/>
            </w:pPr>
            <w:r>
              <w:rPr>
                <w:rFonts w:ascii="Arial" w:eastAsia="宋体" w:hAnsi="Arial" w:cs="Arial"/>
                <w:color w:val="000000"/>
                <w:sz w:val="15"/>
                <w:szCs w:val="15"/>
              </w:rPr>
              <w:t>(142)</w:t>
            </w:r>
          </w:p>
        </w:tc>
        <w:tc>
          <w:tcPr>
            <w:tcW w:w="0" w:type="auto"/>
            <w:shd w:val="clear" w:color="auto" w:fill="FFFFFF"/>
            <w:tcMar>
              <w:top w:w="40" w:type="dxa"/>
              <w:left w:w="0" w:type="dxa"/>
              <w:bottom w:w="40" w:type="dxa"/>
              <w:right w:w="20" w:type="dxa"/>
            </w:tcMar>
            <w:vAlign w:val="bottom"/>
          </w:tcPr>
          <w:p w14:paraId="392C80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A5" w14:textId="77777777" w:rsidR="00980E5F" w:rsidRDefault="00483613">
            <w:pPr>
              <w:jc w:val="right"/>
              <w:textAlignment w:val="bottom"/>
            </w:pPr>
            <w:r>
              <w:rPr>
                <w:rFonts w:ascii="Arial" w:eastAsia="宋体" w:hAnsi="Arial" w:cs="Arial"/>
                <w:color w:val="000000"/>
                <w:sz w:val="15"/>
                <w:szCs w:val="15"/>
              </w:rPr>
              <w:t>261 </w:t>
            </w:r>
          </w:p>
        </w:tc>
        <w:tc>
          <w:tcPr>
            <w:tcW w:w="0" w:type="auto"/>
            <w:shd w:val="clear" w:color="auto" w:fill="FFFFFF"/>
            <w:tcMar>
              <w:top w:w="40" w:type="dxa"/>
              <w:left w:w="0" w:type="dxa"/>
              <w:bottom w:w="40" w:type="dxa"/>
              <w:right w:w="20" w:type="dxa"/>
            </w:tcMar>
            <w:vAlign w:val="bottom"/>
          </w:tcPr>
          <w:p w14:paraId="392C80A6" w14:textId="77777777" w:rsidR="00980E5F" w:rsidRDefault="00980E5F">
            <w:pPr>
              <w:jc w:val="right"/>
              <w:rPr>
                <w:rFonts w:ascii="宋体"/>
              </w:rPr>
            </w:pPr>
          </w:p>
        </w:tc>
      </w:tr>
      <w:tr w:rsidR="00980E5F" w14:paraId="392C80B1" w14:textId="77777777">
        <w:tc>
          <w:tcPr>
            <w:tcW w:w="0" w:type="auto"/>
            <w:gridSpan w:val="3"/>
            <w:shd w:val="clear" w:color="auto" w:fill="CCEEFF"/>
            <w:tcMar>
              <w:top w:w="40" w:type="dxa"/>
              <w:left w:w="20" w:type="dxa"/>
              <w:bottom w:w="40" w:type="dxa"/>
              <w:right w:w="20" w:type="dxa"/>
            </w:tcMar>
            <w:vAlign w:val="bottom"/>
          </w:tcPr>
          <w:p w14:paraId="392C80A8" w14:textId="77777777" w:rsidR="00980E5F" w:rsidRDefault="00483613">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392C80A9" w14:textId="77777777" w:rsidR="00980E5F" w:rsidRDefault="00483613">
            <w:pPr>
              <w:jc w:val="right"/>
              <w:textAlignment w:val="bottom"/>
            </w:pPr>
            <w:r>
              <w:rPr>
                <w:rFonts w:ascii="Arial" w:eastAsia="宋体" w:hAnsi="Arial" w:cs="Arial"/>
                <w:color w:val="000000"/>
                <w:sz w:val="15"/>
                <w:szCs w:val="15"/>
              </w:rPr>
              <w:t>696 </w:t>
            </w:r>
          </w:p>
        </w:tc>
        <w:tc>
          <w:tcPr>
            <w:tcW w:w="0" w:type="auto"/>
            <w:shd w:val="clear" w:color="auto" w:fill="CCEEFF"/>
            <w:tcMar>
              <w:top w:w="40" w:type="dxa"/>
              <w:left w:w="0" w:type="dxa"/>
              <w:bottom w:w="40" w:type="dxa"/>
              <w:right w:w="20" w:type="dxa"/>
            </w:tcMar>
            <w:vAlign w:val="bottom"/>
          </w:tcPr>
          <w:p w14:paraId="392C80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0AC" w14:textId="77777777" w:rsidR="00980E5F" w:rsidRDefault="00483613">
            <w:pPr>
              <w:jc w:val="right"/>
              <w:textAlignment w:val="bottom"/>
            </w:pPr>
            <w:r>
              <w:rPr>
                <w:rFonts w:ascii="Arial" w:eastAsia="宋体" w:hAnsi="Arial" w:cs="Arial"/>
                <w:color w:val="000000"/>
                <w:sz w:val="15"/>
                <w:szCs w:val="15"/>
              </w:rPr>
              <w:t>(451)</w:t>
            </w:r>
          </w:p>
        </w:tc>
        <w:tc>
          <w:tcPr>
            <w:tcW w:w="0" w:type="auto"/>
            <w:shd w:val="clear" w:color="auto" w:fill="CCEEFF"/>
            <w:tcMar>
              <w:top w:w="40" w:type="dxa"/>
              <w:left w:w="0" w:type="dxa"/>
              <w:bottom w:w="40" w:type="dxa"/>
              <w:right w:w="20" w:type="dxa"/>
            </w:tcMar>
            <w:vAlign w:val="bottom"/>
          </w:tcPr>
          <w:p w14:paraId="392C80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A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0AF" w14:textId="77777777" w:rsidR="00980E5F" w:rsidRDefault="00483613">
            <w:pPr>
              <w:jc w:val="right"/>
              <w:textAlignment w:val="bottom"/>
            </w:pPr>
            <w:r>
              <w:rPr>
                <w:rFonts w:ascii="Arial" w:eastAsia="宋体" w:hAnsi="Arial" w:cs="Arial"/>
                <w:color w:val="000000"/>
                <w:sz w:val="15"/>
                <w:szCs w:val="15"/>
              </w:rPr>
              <w:t>245 </w:t>
            </w:r>
          </w:p>
        </w:tc>
        <w:tc>
          <w:tcPr>
            <w:tcW w:w="0" w:type="auto"/>
            <w:shd w:val="clear" w:color="auto" w:fill="CCEEFF"/>
            <w:tcMar>
              <w:top w:w="40" w:type="dxa"/>
              <w:left w:w="0" w:type="dxa"/>
              <w:bottom w:w="40" w:type="dxa"/>
              <w:right w:w="20" w:type="dxa"/>
            </w:tcMar>
            <w:vAlign w:val="bottom"/>
          </w:tcPr>
          <w:p w14:paraId="392C80B0" w14:textId="77777777" w:rsidR="00980E5F" w:rsidRDefault="00980E5F">
            <w:pPr>
              <w:jc w:val="right"/>
              <w:rPr>
                <w:rFonts w:ascii="宋体"/>
              </w:rPr>
            </w:pPr>
          </w:p>
        </w:tc>
      </w:tr>
      <w:tr w:rsidR="00980E5F" w14:paraId="392C80BB" w14:textId="77777777">
        <w:tc>
          <w:tcPr>
            <w:tcW w:w="0" w:type="auto"/>
            <w:gridSpan w:val="3"/>
            <w:shd w:val="clear" w:color="auto" w:fill="auto"/>
            <w:tcMar>
              <w:top w:w="40" w:type="dxa"/>
              <w:left w:w="20" w:type="dxa"/>
              <w:bottom w:w="40" w:type="dxa"/>
              <w:right w:w="20" w:type="dxa"/>
            </w:tcMar>
            <w:vAlign w:val="bottom"/>
          </w:tcPr>
          <w:p w14:paraId="392C80B2" w14:textId="77777777" w:rsidR="00980E5F" w:rsidRDefault="00483613">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392C80B3" w14:textId="77777777" w:rsidR="00980E5F" w:rsidRDefault="00483613">
            <w:pPr>
              <w:jc w:val="right"/>
              <w:textAlignment w:val="bottom"/>
            </w:pPr>
            <w:r>
              <w:rPr>
                <w:rFonts w:ascii="Arial" w:eastAsia="宋体" w:hAnsi="Arial" w:cs="Arial"/>
                <w:color w:val="000000"/>
                <w:sz w:val="15"/>
                <w:szCs w:val="15"/>
              </w:rPr>
              <w:t>96 </w:t>
            </w:r>
          </w:p>
        </w:tc>
        <w:tc>
          <w:tcPr>
            <w:tcW w:w="0" w:type="auto"/>
            <w:shd w:val="clear" w:color="auto" w:fill="FFFFFF"/>
            <w:tcMar>
              <w:top w:w="40" w:type="dxa"/>
              <w:left w:w="0" w:type="dxa"/>
              <w:bottom w:w="40" w:type="dxa"/>
              <w:right w:w="20" w:type="dxa"/>
            </w:tcMar>
            <w:vAlign w:val="bottom"/>
          </w:tcPr>
          <w:p w14:paraId="392C80B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B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B6" w14:textId="77777777" w:rsidR="00980E5F" w:rsidRDefault="00483613">
            <w:pPr>
              <w:jc w:val="right"/>
              <w:textAlignment w:val="bottom"/>
            </w:pPr>
            <w:r>
              <w:rPr>
                <w:rFonts w:ascii="Arial" w:eastAsia="宋体" w:hAnsi="Arial" w:cs="Arial"/>
                <w:color w:val="000000"/>
                <w:sz w:val="15"/>
                <w:szCs w:val="15"/>
              </w:rPr>
              <w:t>(75)</w:t>
            </w:r>
          </w:p>
        </w:tc>
        <w:tc>
          <w:tcPr>
            <w:tcW w:w="0" w:type="auto"/>
            <w:shd w:val="clear" w:color="auto" w:fill="FFFFFF"/>
            <w:tcMar>
              <w:top w:w="40" w:type="dxa"/>
              <w:left w:w="0" w:type="dxa"/>
              <w:bottom w:w="40" w:type="dxa"/>
              <w:right w:w="20" w:type="dxa"/>
            </w:tcMar>
            <w:vAlign w:val="bottom"/>
          </w:tcPr>
          <w:p w14:paraId="392C80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B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B9" w14:textId="77777777" w:rsidR="00980E5F" w:rsidRDefault="00483613">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392C80BA" w14:textId="77777777" w:rsidR="00980E5F" w:rsidRDefault="00980E5F">
            <w:pPr>
              <w:jc w:val="right"/>
              <w:rPr>
                <w:rFonts w:ascii="宋体"/>
              </w:rPr>
            </w:pPr>
          </w:p>
        </w:tc>
      </w:tr>
      <w:tr w:rsidR="00980E5F" w14:paraId="392C80C8" w14:textId="77777777">
        <w:tc>
          <w:tcPr>
            <w:tcW w:w="0" w:type="auto"/>
            <w:gridSpan w:val="3"/>
            <w:shd w:val="clear" w:color="auto" w:fill="CCEEFF"/>
            <w:tcMar>
              <w:top w:w="40" w:type="dxa"/>
              <w:left w:w="20" w:type="dxa"/>
              <w:bottom w:w="40" w:type="dxa"/>
              <w:right w:w="20" w:type="dxa"/>
            </w:tcMar>
            <w:vAlign w:val="bottom"/>
          </w:tcPr>
          <w:p w14:paraId="392C80BC" w14:textId="77777777" w:rsidR="00980E5F" w:rsidRDefault="00483613">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0BD"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0BE" w14:textId="77777777" w:rsidR="00980E5F" w:rsidRDefault="00483613">
            <w:pPr>
              <w:jc w:val="right"/>
              <w:textAlignment w:val="bottom"/>
            </w:pPr>
            <w:r>
              <w:rPr>
                <w:rFonts w:ascii="Arial" w:eastAsia="宋体" w:hAnsi="Arial" w:cs="Arial"/>
                <w:color w:val="000000"/>
                <w:sz w:val="15"/>
                <w:szCs w:val="15"/>
              </w:rPr>
              <w:t>3,981 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0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C0"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0C1"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0C2" w14:textId="77777777" w:rsidR="00980E5F" w:rsidRDefault="00483613">
            <w:pPr>
              <w:jc w:val="right"/>
              <w:textAlignment w:val="bottom"/>
            </w:pPr>
            <w:r>
              <w:rPr>
                <w:rFonts w:ascii="Arial" w:eastAsia="宋体" w:hAnsi="Arial" w:cs="Arial"/>
                <w:color w:val="000000"/>
                <w:sz w:val="15"/>
                <w:szCs w:val="15"/>
              </w:rPr>
              <w:t>(2,165)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0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C4"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0C5"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0C6" w14:textId="77777777" w:rsidR="00980E5F" w:rsidRDefault="00483613">
            <w:pPr>
              <w:jc w:val="right"/>
              <w:textAlignment w:val="bottom"/>
            </w:pPr>
            <w:r>
              <w:rPr>
                <w:rFonts w:ascii="Arial" w:eastAsia="宋体" w:hAnsi="Arial" w:cs="Arial"/>
                <w:color w:val="000000"/>
                <w:sz w:val="15"/>
                <w:szCs w:val="15"/>
              </w:rPr>
              <w:t>1,816 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0C7" w14:textId="77777777" w:rsidR="00980E5F" w:rsidRDefault="00980E5F">
            <w:pPr>
              <w:jc w:val="right"/>
              <w:rPr>
                <w:rFonts w:ascii="宋体"/>
              </w:rPr>
            </w:pPr>
          </w:p>
        </w:tc>
      </w:tr>
      <w:tr w:rsidR="00980E5F" w14:paraId="392C80CF" w14:textId="77777777">
        <w:trPr>
          <w:hidden/>
        </w:trPr>
        <w:tc>
          <w:tcPr>
            <w:tcW w:w="0" w:type="auto"/>
            <w:gridSpan w:val="3"/>
            <w:shd w:val="clear" w:color="auto" w:fill="auto"/>
            <w:vAlign w:val="bottom"/>
          </w:tcPr>
          <w:p w14:paraId="392C80C9" w14:textId="77777777" w:rsidR="00980E5F" w:rsidRDefault="00980E5F">
            <w:pPr>
              <w:rPr>
                <w:rFonts w:ascii="宋体"/>
                <w:vanish/>
              </w:rPr>
            </w:pPr>
          </w:p>
        </w:tc>
        <w:tc>
          <w:tcPr>
            <w:tcW w:w="0" w:type="auto"/>
            <w:gridSpan w:val="3"/>
            <w:shd w:val="clear" w:color="auto" w:fill="auto"/>
            <w:vAlign w:val="bottom"/>
          </w:tcPr>
          <w:p w14:paraId="392C80CA" w14:textId="77777777" w:rsidR="00980E5F" w:rsidRDefault="00980E5F">
            <w:pPr>
              <w:rPr>
                <w:rFonts w:ascii="宋体"/>
                <w:vanish/>
              </w:rPr>
            </w:pPr>
          </w:p>
        </w:tc>
        <w:tc>
          <w:tcPr>
            <w:tcW w:w="0" w:type="auto"/>
            <w:gridSpan w:val="3"/>
            <w:shd w:val="clear" w:color="auto" w:fill="auto"/>
            <w:vAlign w:val="bottom"/>
          </w:tcPr>
          <w:p w14:paraId="392C80CB" w14:textId="77777777" w:rsidR="00980E5F" w:rsidRDefault="00980E5F">
            <w:pPr>
              <w:rPr>
                <w:rFonts w:ascii="宋体"/>
                <w:vanish/>
              </w:rPr>
            </w:pPr>
          </w:p>
        </w:tc>
        <w:tc>
          <w:tcPr>
            <w:tcW w:w="0" w:type="auto"/>
            <w:gridSpan w:val="3"/>
            <w:shd w:val="clear" w:color="auto" w:fill="auto"/>
            <w:vAlign w:val="bottom"/>
          </w:tcPr>
          <w:p w14:paraId="392C80CC" w14:textId="77777777" w:rsidR="00980E5F" w:rsidRDefault="00980E5F">
            <w:pPr>
              <w:rPr>
                <w:rFonts w:ascii="宋体"/>
                <w:vanish/>
              </w:rPr>
            </w:pPr>
          </w:p>
        </w:tc>
        <w:tc>
          <w:tcPr>
            <w:tcW w:w="0" w:type="auto"/>
            <w:gridSpan w:val="3"/>
            <w:shd w:val="clear" w:color="auto" w:fill="auto"/>
            <w:vAlign w:val="bottom"/>
          </w:tcPr>
          <w:p w14:paraId="392C80CD" w14:textId="77777777" w:rsidR="00980E5F" w:rsidRDefault="00980E5F">
            <w:pPr>
              <w:rPr>
                <w:rFonts w:ascii="宋体"/>
                <w:vanish/>
              </w:rPr>
            </w:pPr>
          </w:p>
        </w:tc>
        <w:tc>
          <w:tcPr>
            <w:tcW w:w="0" w:type="auto"/>
            <w:gridSpan w:val="3"/>
            <w:shd w:val="clear" w:color="auto" w:fill="auto"/>
            <w:vAlign w:val="bottom"/>
          </w:tcPr>
          <w:p w14:paraId="392C80CE" w14:textId="77777777" w:rsidR="00980E5F" w:rsidRDefault="00980E5F">
            <w:pPr>
              <w:rPr>
                <w:rFonts w:ascii="宋体"/>
                <w:vanish/>
              </w:rPr>
            </w:pPr>
          </w:p>
        </w:tc>
      </w:tr>
    </w:tbl>
    <w:p w14:paraId="392C80D0" w14:textId="77777777" w:rsidR="00980E5F" w:rsidRDefault="00483613">
      <w:pPr>
        <w:ind w:firstLine="450"/>
        <w:jc w:val="right"/>
      </w:pPr>
      <w:r>
        <w:rPr>
          <w:rFonts w:ascii="Arial" w:eastAsia="宋体" w:hAnsi="Arial" w:cs="Arial"/>
          <w:color w:val="000000"/>
          <w:sz w:val="18"/>
          <w:szCs w:val="18"/>
        </w:rPr>
        <w:t>State Street Corporation | 77</w:t>
      </w:r>
    </w:p>
    <w:p w14:paraId="392C80D1" w14:textId="77777777" w:rsidR="00980E5F" w:rsidRDefault="00980E5F">
      <w:pPr>
        <w:ind w:firstLine="450"/>
        <w:jc w:val="center"/>
      </w:pPr>
    </w:p>
    <w:p w14:paraId="392C80D2" w14:textId="77777777" w:rsidR="00980E5F" w:rsidRDefault="00483613">
      <w:r>
        <w:pict w14:anchorId="392CBB1B">
          <v:rect id="_x0000_i1101" style="width:415.3pt;height:1.5pt" o:hralign="center" o:hrstd="t" o:hr="t" fillcolor="#a0a0a0" stroked="f"/>
        </w:pict>
      </w:r>
    </w:p>
    <w:p w14:paraId="392C80D3" w14:textId="77777777" w:rsidR="00980E5F" w:rsidRDefault="00483613">
      <w:pPr>
        <w:ind w:firstLine="450"/>
        <w:jc w:val="center"/>
      </w:pPr>
      <w:r>
        <w:rPr>
          <w:rFonts w:ascii="Arial" w:eastAsia="宋体" w:hAnsi="Arial" w:cs="Arial"/>
          <w:b/>
          <w:bCs/>
          <w:color w:val="000000"/>
          <w:sz w:val="20"/>
          <w:szCs w:val="20"/>
        </w:rPr>
        <w:t>STATE STREET CORPORATION</w:t>
      </w:r>
    </w:p>
    <w:p w14:paraId="392C80D4"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0D5" w14:textId="77777777" w:rsidR="00980E5F" w:rsidRDefault="00483613">
      <w:pPr>
        <w:ind w:firstLine="450"/>
        <w:jc w:val="center"/>
      </w:pPr>
      <w:r>
        <w:rPr>
          <w:rFonts w:ascii="Arial" w:eastAsia="宋体" w:hAnsi="Arial" w:cs="Arial"/>
          <w:b/>
          <w:bCs/>
          <w:color w:val="000000"/>
          <w:sz w:val="20"/>
          <w:szCs w:val="20"/>
        </w:rPr>
        <w:t>(UNAUDITED)</w:t>
      </w:r>
    </w:p>
    <w:p w14:paraId="392C80D6" w14:textId="77777777" w:rsidR="00980E5F" w:rsidRDefault="00483613">
      <w:pPr>
        <w:spacing w:before="180"/>
      </w:pPr>
      <w:r>
        <w:rPr>
          <w:rFonts w:ascii="Arial" w:eastAsia="宋体" w:hAnsi="Arial" w:cs="Arial"/>
          <w:b/>
          <w:bCs/>
          <w:color w:val="000000"/>
          <w:sz w:val="20"/>
          <w:szCs w:val="20"/>
        </w:rPr>
        <w:t>Note 6.    Other Assets</w:t>
      </w:r>
    </w:p>
    <w:p w14:paraId="392C80D7" w14:textId="77777777" w:rsidR="00980E5F" w:rsidRDefault="00483613">
      <w:pPr>
        <w:spacing w:before="60"/>
        <w:ind w:firstLine="450"/>
        <w:jc w:val="both"/>
      </w:pPr>
      <w:r>
        <w:rPr>
          <w:rFonts w:ascii="Arial" w:eastAsia="宋体" w:hAnsi="Arial" w:cs="Arial"/>
          <w:color w:val="000000"/>
          <w:sz w:val="20"/>
          <w:szCs w:val="20"/>
        </w:rPr>
        <w:t xml:space="preserve">The following table presents the </w:t>
      </w:r>
      <w:r>
        <w:rPr>
          <w:rFonts w:ascii="Arial" w:eastAsia="宋体" w:hAnsi="Arial" w:cs="Arial"/>
          <w:color w:val="000000"/>
          <w:sz w:val="20"/>
          <w:szCs w:val="20"/>
        </w:rPr>
        <w:t>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4394"/>
        <w:gridCol w:w="39"/>
        <w:gridCol w:w="104"/>
        <w:gridCol w:w="1749"/>
        <w:gridCol w:w="36"/>
        <w:gridCol w:w="36"/>
        <w:gridCol w:w="36"/>
        <w:gridCol w:w="36"/>
        <w:gridCol w:w="105"/>
        <w:gridCol w:w="1719"/>
        <w:gridCol w:w="36"/>
      </w:tblGrid>
      <w:tr w:rsidR="00980E5F" w14:paraId="392C80E4" w14:textId="77777777">
        <w:tc>
          <w:tcPr>
            <w:tcW w:w="50" w:type="pct"/>
            <w:shd w:val="clear" w:color="auto" w:fill="auto"/>
            <w:vAlign w:val="bottom"/>
          </w:tcPr>
          <w:p w14:paraId="392C80D8" w14:textId="77777777" w:rsidR="00980E5F" w:rsidRDefault="00980E5F">
            <w:pPr>
              <w:rPr>
                <w:rFonts w:ascii="宋体"/>
              </w:rPr>
            </w:pPr>
          </w:p>
        </w:tc>
        <w:tc>
          <w:tcPr>
            <w:tcW w:w="2656" w:type="pct"/>
            <w:shd w:val="clear" w:color="auto" w:fill="auto"/>
            <w:vAlign w:val="bottom"/>
          </w:tcPr>
          <w:p w14:paraId="392C80D9" w14:textId="77777777" w:rsidR="00980E5F" w:rsidRDefault="00980E5F">
            <w:pPr>
              <w:rPr>
                <w:rFonts w:ascii="宋体"/>
              </w:rPr>
            </w:pPr>
          </w:p>
        </w:tc>
        <w:tc>
          <w:tcPr>
            <w:tcW w:w="5" w:type="pct"/>
            <w:shd w:val="clear" w:color="auto" w:fill="auto"/>
            <w:vAlign w:val="bottom"/>
          </w:tcPr>
          <w:p w14:paraId="392C80DA" w14:textId="77777777" w:rsidR="00980E5F" w:rsidRDefault="00980E5F">
            <w:pPr>
              <w:rPr>
                <w:rFonts w:ascii="宋体"/>
              </w:rPr>
            </w:pPr>
          </w:p>
        </w:tc>
        <w:tc>
          <w:tcPr>
            <w:tcW w:w="50" w:type="pct"/>
            <w:shd w:val="clear" w:color="auto" w:fill="auto"/>
            <w:vAlign w:val="bottom"/>
          </w:tcPr>
          <w:p w14:paraId="392C80DB" w14:textId="77777777" w:rsidR="00980E5F" w:rsidRDefault="00980E5F">
            <w:pPr>
              <w:rPr>
                <w:rFonts w:ascii="宋体"/>
              </w:rPr>
            </w:pPr>
          </w:p>
        </w:tc>
        <w:tc>
          <w:tcPr>
            <w:tcW w:w="1070" w:type="pct"/>
            <w:shd w:val="clear" w:color="auto" w:fill="auto"/>
            <w:vAlign w:val="bottom"/>
          </w:tcPr>
          <w:p w14:paraId="392C80DC" w14:textId="77777777" w:rsidR="00980E5F" w:rsidRDefault="00980E5F">
            <w:pPr>
              <w:rPr>
                <w:rFonts w:ascii="宋体"/>
              </w:rPr>
            </w:pPr>
          </w:p>
        </w:tc>
        <w:tc>
          <w:tcPr>
            <w:tcW w:w="5" w:type="pct"/>
            <w:shd w:val="clear" w:color="auto" w:fill="auto"/>
            <w:vAlign w:val="bottom"/>
          </w:tcPr>
          <w:p w14:paraId="392C80DD" w14:textId="77777777" w:rsidR="00980E5F" w:rsidRDefault="00980E5F">
            <w:pPr>
              <w:rPr>
                <w:rFonts w:ascii="宋体"/>
              </w:rPr>
            </w:pPr>
          </w:p>
        </w:tc>
        <w:tc>
          <w:tcPr>
            <w:tcW w:w="5" w:type="pct"/>
            <w:shd w:val="clear" w:color="auto" w:fill="auto"/>
            <w:vAlign w:val="bottom"/>
          </w:tcPr>
          <w:p w14:paraId="392C80DE" w14:textId="77777777" w:rsidR="00980E5F" w:rsidRDefault="00980E5F">
            <w:pPr>
              <w:rPr>
                <w:rFonts w:ascii="宋体"/>
              </w:rPr>
            </w:pPr>
          </w:p>
        </w:tc>
        <w:tc>
          <w:tcPr>
            <w:tcW w:w="26" w:type="pct"/>
            <w:shd w:val="clear" w:color="auto" w:fill="auto"/>
            <w:vAlign w:val="bottom"/>
          </w:tcPr>
          <w:p w14:paraId="392C80DF" w14:textId="77777777" w:rsidR="00980E5F" w:rsidRDefault="00980E5F">
            <w:pPr>
              <w:rPr>
                <w:rFonts w:ascii="宋体"/>
              </w:rPr>
            </w:pPr>
          </w:p>
        </w:tc>
        <w:tc>
          <w:tcPr>
            <w:tcW w:w="5" w:type="pct"/>
            <w:shd w:val="clear" w:color="auto" w:fill="auto"/>
            <w:vAlign w:val="bottom"/>
          </w:tcPr>
          <w:p w14:paraId="392C80E0" w14:textId="77777777" w:rsidR="00980E5F" w:rsidRDefault="00980E5F">
            <w:pPr>
              <w:rPr>
                <w:rFonts w:ascii="宋体"/>
              </w:rPr>
            </w:pPr>
          </w:p>
        </w:tc>
        <w:tc>
          <w:tcPr>
            <w:tcW w:w="50" w:type="pct"/>
            <w:shd w:val="clear" w:color="auto" w:fill="auto"/>
            <w:vAlign w:val="bottom"/>
          </w:tcPr>
          <w:p w14:paraId="392C80E1" w14:textId="77777777" w:rsidR="00980E5F" w:rsidRDefault="00980E5F">
            <w:pPr>
              <w:rPr>
                <w:rFonts w:ascii="宋体"/>
              </w:rPr>
            </w:pPr>
          </w:p>
        </w:tc>
        <w:tc>
          <w:tcPr>
            <w:tcW w:w="1070" w:type="pct"/>
            <w:shd w:val="clear" w:color="auto" w:fill="auto"/>
            <w:vAlign w:val="bottom"/>
          </w:tcPr>
          <w:p w14:paraId="392C80E2" w14:textId="77777777" w:rsidR="00980E5F" w:rsidRDefault="00980E5F">
            <w:pPr>
              <w:rPr>
                <w:rFonts w:ascii="宋体"/>
              </w:rPr>
            </w:pPr>
          </w:p>
        </w:tc>
        <w:tc>
          <w:tcPr>
            <w:tcW w:w="5" w:type="pct"/>
            <w:shd w:val="clear" w:color="auto" w:fill="auto"/>
            <w:vAlign w:val="bottom"/>
          </w:tcPr>
          <w:p w14:paraId="392C80E3" w14:textId="77777777" w:rsidR="00980E5F" w:rsidRDefault="00980E5F">
            <w:pPr>
              <w:rPr>
                <w:rFonts w:ascii="宋体"/>
              </w:rPr>
            </w:pPr>
          </w:p>
        </w:tc>
      </w:tr>
      <w:tr w:rsidR="00980E5F" w14:paraId="392C80E9" w14:textId="77777777">
        <w:tc>
          <w:tcPr>
            <w:tcW w:w="0" w:type="auto"/>
            <w:gridSpan w:val="3"/>
            <w:shd w:val="clear" w:color="auto" w:fill="auto"/>
            <w:tcMar>
              <w:top w:w="40" w:type="dxa"/>
              <w:left w:w="20" w:type="dxa"/>
              <w:bottom w:w="40" w:type="dxa"/>
              <w:right w:w="20" w:type="dxa"/>
            </w:tcMar>
            <w:vAlign w:val="bottom"/>
          </w:tcPr>
          <w:p w14:paraId="392C80E5"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92C80E6"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80E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0E8"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80F2" w14:textId="77777777">
        <w:tc>
          <w:tcPr>
            <w:tcW w:w="0" w:type="auto"/>
            <w:gridSpan w:val="3"/>
            <w:shd w:val="clear" w:color="auto" w:fill="CCEEFF"/>
            <w:tcMar>
              <w:top w:w="40" w:type="dxa"/>
              <w:left w:w="20" w:type="dxa"/>
              <w:bottom w:w="40" w:type="dxa"/>
              <w:right w:w="20" w:type="dxa"/>
            </w:tcMar>
            <w:vAlign w:val="bottom"/>
          </w:tcPr>
          <w:p w14:paraId="392C80EA" w14:textId="77777777" w:rsidR="00980E5F" w:rsidRDefault="00483613">
            <w:pPr>
              <w:textAlignment w:val="bottom"/>
            </w:pPr>
            <w:r>
              <w:rPr>
                <w:rFonts w:ascii="Arial" w:eastAsia="宋体" w:hAnsi="Arial" w:cs="Arial"/>
                <w:color w:val="000000"/>
                <w:sz w:val="15"/>
                <w:szCs w:val="15"/>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0EB"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0EC" w14:textId="77777777" w:rsidR="00980E5F" w:rsidRDefault="00483613">
            <w:pPr>
              <w:jc w:val="right"/>
              <w:textAlignment w:val="bottom"/>
            </w:pPr>
            <w:r>
              <w:rPr>
                <w:rFonts w:ascii="Arial" w:eastAsia="宋体" w:hAnsi="Arial" w:cs="Arial"/>
                <w:b/>
                <w:bCs/>
                <w:color w:val="000000"/>
                <w:sz w:val="15"/>
                <w:szCs w:val="15"/>
              </w:rPr>
              <w:t>18,194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0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E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0EF"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0F0" w14:textId="77777777" w:rsidR="00980E5F" w:rsidRDefault="00483613">
            <w:pPr>
              <w:jc w:val="right"/>
              <w:textAlignment w:val="bottom"/>
            </w:pPr>
            <w:r>
              <w:rPr>
                <w:rFonts w:ascii="Arial" w:eastAsia="宋体" w:hAnsi="Arial" w:cs="Arial"/>
                <w:color w:val="000000"/>
                <w:sz w:val="15"/>
                <w:szCs w:val="15"/>
              </w:rPr>
              <w:t>22,300 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0F1" w14:textId="77777777" w:rsidR="00980E5F" w:rsidRDefault="00980E5F">
            <w:pPr>
              <w:jc w:val="right"/>
              <w:rPr>
                <w:rFonts w:ascii="宋体"/>
              </w:rPr>
            </w:pPr>
          </w:p>
        </w:tc>
      </w:tr>
      <w:tr w:rsidR="00980E5F" w14:paraId="392C80F9" w14:textId="77777777">
        <w:tc>
          <w:tcPr>
            <w:tcW w:w="0" w:type="auto"/>
            <w:gridSpan w:val="3"/>
            <w:shd w:val="clear" w:color="auto" w:fill="FFFFFF"/>
            <w:tcMar>
              <w:top w:w="40" w:type="dxa"/>
              <w:left w:w="20" w:type="dxa"/>
              <w:bottom w:w="40" w:type="dxa"/>
              <w:right w:w="20" w:type="dxa"/>
            </w:tcMar>
            <w:vAlign w:val="bottom"/>
          </w:tcPr>
          <w:p w14:paraId="392C80F3" w14:textId="77777777" w:rsidR="00980E5F" w:rsidRDefault="00483613">
            <w:pPr>
              <w:textAlignment w:val="bottom"/>
            </w:pPr>
            <w:r>
              <w:rPr>
                <w:rFonts w:ascii="Arial" w:eastAsia="宋体" w:hAnsi="Arial" w:cs="Arial"/>
                <w:color w:val="000000"/>
                <w:sz w:val="15"/>
                <w:szCs w:val="15"/>
              </w:rPr>
              <w:t>Derivative instruments, net</w:t>
            </w:r>
          </w:p>
        </w:tc>
        <w:tc>
          <w:tcPr>
            <w:tcW w:w="0" w:type="auto"/>
            <w:gridSpan w:val="2"/>
            <w:shd w:val="clear" w:color="auto" w:fill="FFFFFF"/>
            <w:tcMar>
              <w:top w:w="40" w:type="dxa"/>
              <w:left w:w="20" w:type="dxa"/>
              <w:bottom w:w="40" w:type="dxa"/>
              <w:right w:w="0" w:type="dxa"/>
            </w:tcMar>
            <w:vAlign w:val="bottom"/>
          </w:tcPr>
          <w:p w14:paraId="392C80F4" w14:textId="77777777" w:rsidR="00980E5F" w:rsidRDefault="00483613">
            <w:pPr>
              <w:jc w:val="right"/>
              <w:textAlignment w:val="bottom"/>
            </w:pPr>
            <w:r>
              <w:rPr>
                <w:rFonts w:ascii="Arial" w:eastAsia="宋体" w:hAnsi="Arial" w:cs="Arial"/>
                <w:b/>
                <w:bCs/>
                <w:color w:val="000000"/>
                <w:sz w:val="15"/>
                <w:szCs w:val="15"/>
              </w:rPr>
              <w:t>9,476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0F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0F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0F7" w14:textId="77777777" w:rsidR="00980E5F" w:rsidRDefault="00483613">
            <w:pPr>
              <w:jc w:val="right"/>
              <w:textAlignment w:val="bottom"/>
            </w:pPr>
            <w:r>
              <w:rPr>
                <w:rFonts w:ascii="Arial" w:eastAsia="宋体" w:hAnsi="Arial" w:cs="Arial"/>
                <w:color w:val="000000"/>
                <w:sz w:val="15"/>
                <w:szCs w:val="15"/>
              </w:rPr>
              <w:t>4,108 </w:t>
            </w:r>
          </w:p>
        </w:tc>
        <w:tc>
          <w:tcPr>
            <w:tcW w:w="0" w:type="auto"/>
            <w:shd w:val="clear" w:color="auto" w:fill="FFFFFF"/>
            <w:tcMar>
              <w:top w:w="40" w:type="dxa"/>
              <w:left w:w="0" w:type="dxa"/>
              <w:bottom w:w="40" w:type="dxa"/>
              <w:right w:w="20" w:type="dxa"/>
            </w:tcMar>
            <w:vAlign w:val="bottom"/>
          </w:tcPr>
          <w:p w14:paraId="392C80F8" w14:textId="77777777" w:rsidR="00980E5F" w:rsidRDefault="00980E5F">
            <w:pPr>
              <w:jc w:val="right"/>
              <w:rPr>
                <w:rFonts w:ascii="宋体"/>
              </w:rPr>
            </w:pPr>
          </w:p>
        </w:tc>
      </w:tr>
      <w:tr w:rsidR="00980E5F" w14:paraId="392C8100" w14:textId="77777777">
        <w:tc>
          <w:tcPr>
            <w:tcW w:w="0" w:type="auto"/>
            <w:gridSpan w:val="3"/>
            <w:shd w:val="clear" w:color="auto" w:fill="CCEEFF"/>
            <w:tcMar>
              <w:top w:w="40" w:type="dxa"/>
              <w:left w:w="20" w:type="dxa"/>
              <w:bottom w:w="40" w:type="dxa"/>
              <w:right w:w="20" w:type="dxa"/>
            </w:tcMar>
            <w:vAlign w:val="bottom"/>
          </w:tcPr>
          <w:p w14:paraId="392C80FA" w14:textId="77777777" w:rsidR="00980E5F" w:rsidRDefault="00483613">
            <w:pPr>
              <w:textAlignment w:val="bottom"/>
            </w:pPr>
            <w:r>
              <w:rPr>
                <w:rFonts w:ascii="Arial" w:eastAsia="宋体" w:hAnsi="Arial" w:cs="Arial"/>
                <w:color w:val="000000"/>
                <w:sz w:val="15"/>
                <w:szCs w:val="15"/>
              </w:rPr>
              <w:t>Bank-owned life insurance</w:t>
            </w:r>
          </w:p>
        </w:tc>
        <w:tc>
          <w:tcPr>
            <w:tcW w:w="0" w:type="auto"/>
            <w:gridSpan w:val="2"/>
            <w:shd w:val="clear" w:color="auto" w:fill="CCEEFF"/>
            <w:tcMar>
              <w:top w:w="40" w:type="dxa"/>
              <w:left w:w="20" w:type="dxa"/>
              <w:bottom w:w="40" w:type="dxa"/>
              <w:right w:w="0" w:type="dxa"/>
            </w:tcMar>
            <w:vAlign w:val="bottom"/>
          </w:tcPr>
          <w:p w14:paraId="392C80FB" w14:textId="77777777" w:rsidR="00980E5F" w:rsidRDefault="00483613">
            <w:pPr>
              <w:jc w:val="right"/>
              <w:textAlignment w:val="bottom"/>
            </w:pPr>
            <w:r>
              <w:rPr>
                <w:rFonts w:ascii="Arial" w:eastAsia="宋体" w:hAnsi="Arial" w:cs="Arial"/>
                <w:b/>
                <w:bCs/>
                <w:color w:val="000000"/>
                <w:sz w:val="15"/>
                <w:szCs w:val="15"/>
              </w:rPr>
              <w:t>3,605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0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0F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0FE" w14:textId="77777777" w:rsidR="00980E5F" w:rsidRDefault="00483613">
            <w:pPr>
              <w:jc w:val="right"/>
              <w:textAlignment w:val="bottom"/>
            </w:pPr>
            <w:r>
              <w:rPr>
                <w:rFonts w:ascii="Arial" w:eastAsia="宋体" w:hAnsi="Arial" w:cs="Arial"/>
                <w:color w:val="000000"/>
                <w:sz w:val="15"/>
                <w:szCs w:val="15"/>
              </w:rPr>
              <w:t>3,554 </w:t>
            </w:r>
          </w:p>
        </w:tc>
        <w:tc>
          <w:tcPr>
            <w:tcW w:w="0" w:type="auto"/>
            <w:shd w:val="clear" w:color="auto" w:fill="CCEEFF"/>
            <w:tcMar>
              <w:top w:w="40" w:type="dxa"/>
              <w:left w:w="0" w:type="dxa"/>
              <w:bottom w:w="40" w:type="dxa"/>
              <w:right w:w="20" w:type="dxa"/>
            </w:tcMar>
            <w:vAlign w:val="bottom"/>
          </w:tcPr>
          <w:p w14:paraId="392C80FF" w14:textId="77777777" w:rsidR="00980E5F" w:rsidRDefault="00980E5F">
            <w:pPr>
              <w:jc w:val="right"/>
              <w:rPr>
                <w:rFonts w:ascii="宋体"/>
              </w:rPr>
            </w:pPr>
          </w:p>
        </w:tc>
      </w:tr>
      <w:tr w:rsidR="00980E5F" w14:paraId="392C8107" w14:textId="77777777">
        <w:tc>
          <w:tcPr>
            <w:tcW w:w="0" w:type="auto"/>
            <w:gridSpan w:val="3"/>
            <w:shd w:val="clear" w:color="auto" w:fill="FFFFFF"/>
            <w:tcMar>
              <w:top w:w="40" w:type="dxa"/>
              <w:left w:w="20" w:type="dxa"/>
              <w:bottom w:w="40" w:type="dxa"/>
              <w:right w:w="20" w:type="dxa"/>
            </w:tcMar>
            <w:vAlign w:val="bottom"/>
          </w:tcPr>
          <w:p w14:paraId="392C8101" w14:textId="77777777" w:rsidR="00980E5F" w:rsidRDefault="00483613">
            <w:pPr>
              <w:textAlignment w:val="bottom"/>
            </w:pPr>
            <w:r>
              <w:rPr>
                <w:rFonts w:ascii="Arial" w:eastAsia="宋体" w:hAnsi="Arial" w:cs="Arial"/>
                <w:color w:val="000000"/>
                <w:sz w:val="15"/>
                <w:szCs w:val="15"/>
              </w:rPr>
              <w:t xml:space="preserve">Investments in joint ventures and other unconsolidated entities </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392C8102" w14:textId="77777777" w:rsidR="00980E5F" w:rsidRDefault="00483613">
            <w:pPr>
              <w:jc w:val="right"/>
              <w:textAlignment w:val="bottom"/>
            </w:pPr>
            <w:r>
              <w:rPr>
                <w:rFonts w:ascii="Arial" w:eastAsia="宋体" w:hAnsi="Arial" w:cs="Arial"/>
                <w:b/>
                <w:bCs/>
                <w:color w:val="000000"/>
                <w:sz w:val="15"/>
                <w:szCs w:val="15"/>
              </w:rPr>
              <w:t>3,256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0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05" w14:textId="77777777" w:rsidR="00980E5F" w:rsidRDefault="00483613">
            <w:pPr>
              <w:jc w:val="right"/>
              <w:textAlignment w:val="bottom"/>
            </w:pPr>
            <w:r>
              <w:rPr>
                <w:rFonts w:ascii="Arial" w:eastAsia="宋体" w:hAnsi="Arial" w:cs="Arial"/>
                <w:color w:val="000000"/>
                <w:sz w:val="15"/>
                <w:szCs w:val="15"/>
              </w:rPr>
              <w:t>3,162 </w:t>
            </w:r>
          </w:p>
        </w:tc>
        <w:tc>
          <w:tcPr>
            <w:tcW w:w="0" w:type="auto"/>
            <w:shd w:val="clear" w:color="auto" w:fill="FFFFFF"/>
            <w:tcMar>
              <w:top w:w="40" w:type="dxa"/>
              <w:left w:w="0" w:type="dxa"/>
              <w:bottom w:w="40" w:type="dxa"/>
              <w:right w:w="20" w:type="dxa"/>
            </w:tcMar>
            <w:vAlign w:val="bottom"/>
          </w:tcPr>
          <w:p w14:paraId="392C8106" w14:textId="77777777" w:rsidR="00980E5F" w:rsidRDefault="00980E5F">
            <w:pPr>
              <w:jc w:val="right"/>
              <w:rPr>
                <w:rFonts w:ascii="宋体"/>
              </w:rPr>
            </w:pPr>
          </w:p>
        </w:tc>
      </w:tr>
      <w:tr w:rsidR="00980E5F" w14:paraId="392C810E" w14:textId="77777777">
        <w:tc>
          <w:tcPr>
            <w:tcW w:w="0" w:type="auto"/>
            <w:gridSpan w:val="3"/>
            <w:shd w:val="clear" w:color="auto" w:fill="CCEEFF"/>
            <w:tcMar>
              <w:top w:w="40" w:type="dxa"/>
              <w:left w:w="20" w:type="dxa"/>
              <w:bottom w:w="40" w:type="dxa"/>
              <w:right w:w="20" w:type="dxa"/>
            </w:tcMar>
            <w:vAlign w:val="bottom"/>
          </w:tcPr>
          <w:p w14:paraId="392C8108" w14:textId="77777777" w:rsidR="00980E5F" w:rsidRDefault="00483613">
            <w:pPr>
              <w:textAlignment w:val="bottom"/>
            </w:pPr>
            <w:r>
              <w:rPr>
                <w:rFonts w:ascii="Arial" w:eastAsia="宋体" w:hAnsi="Arial" w:cs="Arial"/>
                <w:color w:val="000000"/>
                <w:sz w:val="15"/>
                <w:szCs w:val="15"/>
              </w:rPr>
              <w:t>Collateral, net</w:t>
            </w:r>
          </w:p>
        </w:tc>
        <w:tc>
          <w:tcPr>
            <w:tcW w:w="0" w:type="auto"/>
            <w:gridSpan w:val="2"/>
            <w:shd w:val="clear" w:color="auto" w:fill="CCEEFF"/>
            <w:tcMar>
              <w:top w:w="40" w:type="dxa"/>
              <w:left w:w="20" w:type="dxa"/>
              <w:bottom w:w="40" w:type="dxa"/>
              <w:right w:w="0" w:type="dxa"/>
            </w:tcMar>
            <w:vAlign w:val="bottom"/>
          </w:tcPr>
          <w:p w14:paraId="392C8109" w14:textId="77777777" w:rsidR="00980E5F" w:rsidRDefault="00483613">
            <w:pPr>
              <w:jc w:val="right"/>
              <w:textAlignment w:val="bottom"/>
            </w:pPr>
            <w:r>
              <w:rPr>
                <w:rFonts w:ascii="Arial" w:eastAsia="宋体" w:hAnsi="Arial" w:cs="Arial"/>
                <w:b/>
                <w:bCs/>
                <w:color w:val="000000"/>
                <w:sz w:val="15"/>
                <w:szCs w:val="15"/>
              </w:rPr>
              <w:t>1,691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0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0C" w14:textId="77777777" w:rsidR="00980E5F" w:rsidRDefault="00483613">
            <w:pPr>
              <w:jc w:val="right"/>
              <w:textAlignment w:val="bottom"/>
            </w:pPr>
            <w:r>
              <w:rPr>
                <w:rFonts w:ascii="Arial" w:eastAsia="宋体" w:hAnsi="Arial" w:cs="Arial"/>
                <w:color w:val="000000"/>
                <w:sz w:val="15"/>
                <w:szCs w:val="15"/>
              </w:rPr>
              <w:t>1,011 </w:t>
            </w:r>
          </w:p>
        </w:tc>
        <w:tc>
          <w:tcPr>
            <w:tcW w:w="0" w:type="auto"/>
            <w:shd w:val="clear" w:color="auto" w:fill="CCEEFF"/>
            <w:tcMar>
              <w:top w:w="40" w:type="dxa"/>
              <w:left w:w="0" w:type="dxa"/>
              <w:bottom w:w="40" w:type="dxa"/>
              <w:right w:w="20" w:type="dxa"/>
            </w:tcMar>
            <w:vAlign w:val="bottom"/>
          </w:tcPr>
          <w:p w14:paraId="392C810D" w14:textId="77777777" w:rsidR="00980E5F" w:rsidRDefault="00980E5F">
            <w:pPr>
              <w:jc w:val="right"/>
              <w:rPr>
                <w:rFonts w:ascii="宋体"/>
              </w:rPr>
            </w:pPr>
          </w:p>
        </w:tc>
      </w:tr>
      <w:tr w:rsidR="00980E5F" w14:paraId="392C8115" w14:textId="77777777">
        <w:tc>
          <w:tcPr>
            <w:tcW w:w="0" w:type="auto"/>
            <w:gridSpan w:val="3"/>
            <w:shd w:val="clear" w:color="auto" w:fill="FFFFFF"/>
            <w:tcMar>
              <w:top w:w="40" w:type="dxa"/>
              <w:left w:w="20" w:type="dxa"/>
              <w:bottom w:w="40" w:type="dxa"/>
              <w:right w:w="20" w:type="dxa"/>
            </w:tcMar>
            <w:vAlign w:val="bottom"/>
          </w:tcPr>
          <w:p w14:paraId="392C810F" w14:textId="77777777" w:rsidR="00980E5F" w:rsidRDefault="00483613">
            <w:pPr>
              <w:textAlignment w:val="bottom"/>
            </w:pPr>
            <w:r>
              <w:rPr>
                <w:rFonts w:ascii="Arial" w:eastAsia="宋体" w:hAnsi="Arial" w:cs="Arial"/>
                <w:color w:val="000000"/>
                <w:sz w:val="15"/>
                <w:szCs w:val="15"/>
              </w:rPr>
              <w:t>Receivable for securities settlement</w:t>
            </w:r>
          </w:p>
        </w:tc>
        <w:tc>
          <w:tcPr>
            <w:tcW w:w="0" w:type="auto"/>
            <w:gridSpan w:val="2"/>
            <w:shd w:val="clear" w:color="auto" w:fill="FFFFFF"/>
            <w:tcMar>
              <w:top w:w="40" w:type="dxa"/>
              <w:left w:w="20" w:type="dxa"/>
              <w:bottom w:w="40" w:type="dxa"/>
              <w:right w:w="0" w:type="dxa"/>
            </w:tcMar>
            <w:vAlign w:val="bottom"/>
          </w:tcPr>
          <w:p w14:paraId="392C8110" w14:textId="77777777" w:rsidR="00980E5F" w:rsidRDefault="00483613">
            <w:pPr>
              <w:jc w:val="right"/>
              <w:textAlignment w:val="bottom"/>
            </w:pPr>
            <w:r>
              <w:rPr>
                <w:rFonts w:ascii="Arial" w:eastAsia="宋体" w:hAnsi="Arial" w:cs="Arial"/>
                <w:b/>
                <w:bCs/>
                <w:color w:val="000000"/>
                <w:sz w:val="15"/>
                <w:szCs w:val="15"/>
              </w:rPr>
              <w:t>1,083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1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13" w14:textId="77777777" w:rsidR="00980E5F" w:rsidRDefault="00483613">
            <w:pPr>
              <w:jc w:val="right"/>
              <w:textAlignment w:val="bottom"/>
            </w:pPr>
            <w:r>
              <w:rPr>
                <w:rFonts w:ascii="Arial" w:eastAsia="宋体" w:hAnsi="Arial" w:cs="Arial"/>
                <w:color w:val="000000"/>
                <w:sz w:val="15"/>
                <w:szCs w:val="15"/>
              </w:rPr>
              <w:t>213 </w:t>
            </w:r>
          </w:p>
        </w:tc>
        <w:tc>
          <w:tcPr>
            <w:tcW w:w="0" w:type="auto"/>
            <w:shd w:val="clear" w:color="auto" w:fill="FFFFFF"/>
            <w:tcMar>
              <w:top w:w="40" w:type="dxa"/>
              <w:left w:w="0" w:type="dxa"/>
              <w:bottom w:w="40" w:type="dxa"/>
              <w:right w:w="20" w:type="dxa"/>
            </w:tcMar>
            <w:vAlign w:val="bottom"/>
          </w:tcPr>
          <w:p w14:paraId="392C8114" w14:textId="77777777" w:rsidR="00980E5F" w:rsidRDefault="00980E5F">
            <w:pPr>
              <w:jc w:val="right"/>
              <w:rPr>
                <w:rFonts w:ascii="宋体"/>
              </w:rPr>
            </w:pPr>
          </w:p>
        </w:tc>
      </w:tr>
      <w:tr w:rsidR="00980E5F" w14:paraId="392C811C" w14:textId="77777777">
        <w:tc>
          <w:tcPr>
            <w:tcW w:w="0" w:type="auto"/>
            <w:gridSpan w:val="3"/>
            <w:shd w:val="clear" w:color="auto" w:fill="CCEEFF"/>
            <w:tcMar>
              <w:top w:w="40" w:type="dxa"/>
              <w:left w:w="20" w:type="dxa"/>
              <w:bottom w:w="40" w:type="dxa"/>
              <w:right w:w="20" w:type="dxa"/>
            </w:tcMar>
            <w:vAlign w:val="bottom"/>
          </w:tcPr>
          <w:p w14:paraId="392C8116" w14:textId="77777777" w:rsidR="00980E5F" w:rsidRDefault="00483613">
            <w:pPr>
              <w:textAlignment w:val="bottom"/>
            </w:pPr>
            <w:r>
              <w:rPr>
                <w:rFonts w:ascii="Arial" w:eastAsia="宋体" w:hAnsi="Arial" w:cs="Arial"/>
                <w:color w:val="000000"/>
                <w:sz w:val="15"/>
                <w:szCs w:val="15"/>
              </w:rPr>
              <w:t>Deferred tax assets, net of valuation allowance</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392C8117" w14:textId="77777777" w:rsidR="00980E5F" w:rsidRDefault="00483613">
            <w:pPr>
              <w:jc w:val="right"/>
              <w:textAlignment w:val="bottom"/>
            </w:pPr>
            <w:r>
              <w:rPr>
                <w:rFonts w:ascii="Arial" w:eastAsia="宋体" w:hAnsi="Arial" w:cs="Arial"/>
                <w:b/>
                <w:bCs/>
                <w:color w:val="000000"/>
                <w:sz w:val="15"/>
                <w:szCs w:val="15"/>
              </w:rPr>
              <w:t>1,027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1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1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1A" w14:textId="77777777" w:rsidR="00980E5F" w:rsidRDefault="00483613">
            <w:pPr>
              <w:jc w:val="right"/>
              <w:textAlignment w:val="bottom"/>
            </w:pPr>
            <w:r>
              <w:rPr>
                <w:rFonts w:ascii="Arial" w:eastAsia="宋体" w:hAnsi="Arial" w:cs="Arial"/>
                <w:color w:val="000000"/>
                <w:sz w:val="15"/>
                <w:szCs w:val="15"/>
              </w:rPr>
              <w:t>254 </w:t>
            </w:r>
          </w:p>
        </w:tc>
        <w:tc>
          <w:tcPr>
            <w:tcW w:w="0" w:type="auto"/>
            <w:shd w:val="clear" w:color="auto" w:fill="CCEEFF"/>
            <w:tcMar>
              <w:top w:w="40" w:type="dxa"/>
              <w:left w:w="0" w:type="dxa"/>
              <w:bottom w:w="40" w:type="dxa"/>
              <w:right w:w="20" w:type="dxa"/>
            </w:tcMar>
            <w:vAlign w:val="bottom"/>
          </w:tcPr>
          <w:p w14:paraId="392C811B" w14:textId="77777777" w:rsidR="00980E5F" w:rsidRDefault="00980E5F">
            <w:pPr>
              <w:jc w:val="right"/>
              <w:rPr>
                <w:rFonts w:ascii="宋体"/>
              </w:rPr>
            </w:pPr>
          </w:p>
        </w:tc>
      </w:tr>
      <w:tr w:rsidR="00980E5F" w14:paraId="392C8123" w14:textId="77777777">
        <w:tc>
          <w:tcPr>
            <w:tcW w:w="0" w:type="auto"/>
            <w:gridSpan w:val="3"/>
            <w:shd w:val="clear" w:color="auto" w:fill="FFFFFF"/>
            <w:tcMar>
              <w:top w:w="40" w:type="dxa"/>
              <w:left w:w="20" w:type="dxa"/>
              <w:bottom w:w="40" w:type="dxa"/>
              <w:right w:w="20" w:type="dxa"/>
            </w:tcMar>
            <w:vAlign w:val="bottom"/>
          </w:tcPr>
          <w:p w14:paraId="392C811D" w14:textId="77777777" w:rsidR="00980E5F" w:rsidRDefault="00483613">
            <w:pPr>
              <w:textAlignment w:val="bottom"/>
            </w:pPr>
            <w:r>
              <w:rPr>
                <w:rFonts w:ascii="Arial" w:eastAsia="宋体" w:hAnsi="Arial" w:cs="Arial"/>
                <w:color w:val="000000"/>
                <w:sz w:val="15"/>
                <w:szCs w:val="15"/>
              </w:rPr>
              <w:t xml:space="preserve">Prepaid </w:t>
            </w:r>
            <w:r>
              <w:rPr>
                <w:rFonts w:ascii="Arial" w:eastAsia="宋体" w:hAnsi="Arial" w:cs="Arial"/>
                <w:color w:val="000000"/>
                <w:sz w:val="15"/>
                <w:szCs w:val="15"/>
              </w:rPr>
              <w:t>expenses</w:t>
            </w:r>
          </w:p>
        </w:tc>
        <w:tc>
          <w:tcPr>
            <w:tcW w:w="0" w:type="auto"/>
            <w:gridSpan w:val="2"/>
            <w:shd w:val="clear" w:color="auto" w:fill="FFFFFF"/>
            <w:tcMar>
              <w:top w:w="40" w:type="dxa"/>
              <w:left w:w="20" w:type="dxa"/>
              <w:bottom w:w="40" w:type="dxa"/>
              <w:right w:w="0" w:type="dxa"/>
            </w:tcMar>
            <w:vAlign w:val="bottom"/>
          </w:tcPr>
          <w:p w14:paraId="392C811E" w14:textId="77777777" w:rsidR="00980E5F" w:rsidRDefault="00483613">
            <w:pPr>
              <w:jc w:val="right"/>
              <w:textAlignment w:val="bottom"/>
            </w:pPr>
            <w:r>
              <w:rPr>
                <w:rFonts w:ascii="Arial" w:eastAsia="宋体" w:hAnsi="Arial" w:cs="Arial"/>
                <w:b/>
                <w:bCs/>
                <w:color w:val="000000"/>
                <w:sz w:val="15"/>
                <w:szCs w:val="15"/>
              </w:rPr>
              <w:t>705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21" w14:textId="77777777" w:rsidR="00980E5F" w:rsidRDefault="00483613">
            <w:pPr>
              <w:jc w:val="right"/>
              <w:textAlignment w:val="bottom"/>
            </w:pPr>
            <w:r>
              <w:rPr>
                <w:rFonts w:ascii="Arial" w:eastAsia="宋体" w:hAnsi="Arial" w:cs="Arial"/>
                <w:color w:val="000000"/>
                <w:sz w:val="15"/>
                <w:szCs w:val="15"/>
              </w:rPr>
              <w:t>612 </w:t>
            </w:r>
          </w:p>
        </w:tc>
        <w:tc>
          <w:tcPr>
            <w:tcW w:w="0" w:type="auto"/>
            <w:shd w:val="clear" w:color="auto" w:fill="FFFFFF"/>
            <w:tcMar>
              <w:top w:w="40" w:type="dxa"/>
              <w:left w:w="0" w:type="dxa"/>
              <w:bottom w:w="40" w:type="dxa"/>
              <w:right w:w="20" w:type="dxa"/>
            </w:tcMar>
            <w:vAlign w:val="bottom"/>
          </w:tcPr>
          <w:p w14:paraId="392C8122" w14:textId="77777777" w:rsidR="00980E5F" w:rsidRDefault="00980E5F">
            <w:pPr>
              <w:jc w:val="right"/>
              <w:rPr>
                <w:rFonts w:ascii="宋体"/>
              </w:rPr>
            </w:pPr>
          </w:p>
        </w:tc>
      </w:tr>
      <w:tr w:rsidR="00980E5F" w14:paraId="392C8128" w14:textId="77777777">
        <w:trPr>
          <w:hidden/>
        </w:trPr>
        <w:tc>
          <w:tcPr>
            <w:tcW w:w="0" w:type="auto"/>
            <w:gridSpan w:val="3"/>
            <w:shd w:val="clear" w:color="auto" w:fill="auto"/>
            <w:vAlign w:val="bottom"/>
          </w:tcPr>
          <w:p w14:paraId="392C8124" w14:textId="77777777" w:rsidR="00980E5F" w:rsidRDefault="00980E5F">
            <w:pPr>
              <w:rPr>
                <w:rFonts w:ascii="宋体"/>
                <w:vanish/>
              </w:rPr>
            </w:pPr>
          </w:p>
        </w:tc>
        <w:tc>
          <w:tcPr>
            <w:tcW w:w="0" w:type="auto"/>
            <w:gridSpan w:val="3"/>
            <w:shd w:val="clear" w:color="auto" w:fill="auto"/>
            <w:vAlign w:val="bottom"/>
          </w:tcPr>
          <w:p w14:paraId="392C8125" w14:textId="77777777" w:rsidR="00980E5F" w:rsidRDefault="00980E5F">
            <w:pPr>
              <w:rPr>
                <w:rFonts w:ascii="宋体"/>
                <w:vanish/>
              </w:rPr>
            </w:pPr>
          </w:p>
        </w:tc>
        <w:tc>
          <w:tcPr>
            <w:tcW w:w="0" w:type="auto"/>
            <w:gridSpan w:val="3"/>
            <w:shd w:val="clear" w:color="auto" w:fill="auto"/>
            <w:vAlign w:val="bottom"/>
          </w:tcPr>
          <w:p w14:paraId="392C8126" w14:textId="77777777" w:rsidR="00980E5F" w:rsidRDefault="00980E5F">
            <w:pPr>
              <w:rPr>
                <w:rFonts w:ascii="宋体"/>
                <w:vanish/>
              </w:rPr>
            </w:pPr>
          </w:p>
        </w:tc>
        <w:tc>
          <w:tcPr>
            <w:tcW w:w="0" w:type="auto"/>
            <w:gridSpan w:val="3"/>
            <w:shd w:val="clear" w:color="auto" w:fill="auto"/>
            <w:vAlign w:val="bottom"/>
          </w:tcPr>
          <w:p w14:paraId="392C8127" w14:textId="77777777" w:rsidR="00980E5F" w:rsidRDefault="00980E5F">
            <w:pPr>
              <w:rPr>
                <w:rFonts w:ascii="宋体"/>
                <w:vanish/>
              </w:rPr>
            </w:pPr>
          </w:p>
        </w:tc>
      </w:tr>
      <w:tr w:rsidR="00980E5F" w14:paraId="392C812F" w14:textId="77777777">
        <w:tc>
          <w:tcPr>
            <w:tcW w:w="0" w:type="auto"/>
            <w:gridSpan w:val="3"/>
            <w:shd w:val="clear" w:color="auto" w:fill="CCEEFF"/>
            <w:tcMar>
              <w:top w:w="40" w:type="dxa"/>
              <w:left w:w="20" w:type="dxa"/>
              <w:bottom w:w="40" w:type="dxa"/>
              <w:right w:w="20" w:type="dxa"/>
            </w:tcMar>
            <w:vAlign w:val="bottom"/>
          </w:tcPr>
          <w:p w14:paraId="392C8129" w14:textId="77777777" w:rsidR="00980E5F" w:rsidRDefault="00483613">
            <w:pPr>
              <w:textAlignment w:val="bottom"/>
            </w:pPr>
            <w:r>
              <w:rPr>
                <w:rFonts w:ascii="Arial" w:eastAsia="宋体" w:hAnsi="Arial" w:cs="Arial"/>
                <w:color w:val="000000"/>
                <w:sz w:val="15"/>
                <w:szCs w:val="15"/>
              </w:rPr>
              <w:t>Right-of-use assets</w:t>
            </w:r>
          </w:p>
        </w:tc>
        <w:tc>
          <w:tcPr>
            <w:tcW w:w="0" w:type="auto"/>
            <w:gridSpan w:val="2"/>
            <w:shd w:val="clear" w:color="auto" w:fill="CCEEFF"/>
            <w:tcMar>
              <w:top w:w="40" w:type="dxa"/>
              <w:left w:w="20" w:type="dxa"/>
              <w:bottom w:w="40" w:type="dxa"/>
              <w:right w:w="0" w:type="dxa"/>
            </w:tcMar>
            <w:vAlign w:val="bottom"/>
          </w:tcPr>
          <w:p w14:paraId="392C812A" w14:textId="77777777" w:rsidR="00980E5F" w:rsidRDefault="00483613">
            <w:pPr>
              <w:jc w:val="right"/>
              <w:textAlignment w:val="bottom"/>
            </w:pPr>
            <w:r>
              <w:rPr>
                <w:rFonts w:ascii="Arial" w:eastAsia="宋体" w:hAnsi="Arial" w:cs="Arial"/>
                <w:b/>
                <w:bCs/>
                <w:color w:val="000000"/>
                <w:sz w:val="15"/>
                <w:szCs w:val="15"/>
              </w:rPr>
              <w:t>501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2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2D" w14:textId="77777777" w:rsidR="00980E5F" w:rsidRDefault="00483613">
            <w:pPr>
              <w:jc w:val="right"/>
              <w:textAlignment w:val="bottom"/>
            </w:pPr>
            <w:r>
              <w:rPr>
                <w:rFonts w:ascii="Arial" w:eastAsia="宋体" w:hAnsi="Arial" w:cs="Arial"/>
                <w:color w:val="000000"/>
                <w:sz w:val="15"/>
                <w:szCs w:val="15"/>
              </w:rPr>
              <w:t>542 </w:t>
            </w:r>
          </w:p>
        </w:tc>
        <w:tc>
          <w:tcPr>
            <w:tcW w:w="0" w:type="auto"/>
            <w:shd w:val="clear" w:color="auto" w:fill="CCEEFF"/>
            <w:tcMar>
              <w:top w:w="40" w:type="dxa"/>
              <w:left w:w="0" w:type="dxa"/>
              <w:bottom w:w="40" w:type="dxa"/>
              <w:right w:w="20" w:type="dxa"/>
            </w:tcMar>
            <w:vAlign w:val="bottom"/>
          </w:tcPr>
          <w:p w14:paraId="392C812E" w14:textId="77777777" w:rsidR="00980E5F" w:rsidRDefault="00980E5F">
            <w:pPr>
              <w:jc w:val="right"/>
              <w:rPr>
                <w:rFonts w:ascii="宋体"/>
              </w:rPr>
            </w:pPr>
          </w:p>
        </w:tc>
      </w:tr>
      <w:tr w:rsidR="00980E5F" w14:paraId="392C8136" w14:textId="77777777">
        <w:tc>
          <w:tcPr>
            <w:tcW w:w="0" w:type="auto"/>
            <w:gridSpan w:val="3"/>
            <w:shd w:val="clear" w:color="auto" w:fill="FFFFFF"/>
            <w:tcMar>
              <w:top w:w="40" w:type="dxa"/>
              <w:left w:w="20" w:type="dxa"/>
              <w:bottom w:w="40" w:type="dxa"/>
              <w:right w:w="20" w:type="dxa"/>
            </w:tcMar>
            <w:vAlign w:val="bottom"/>
          </w:tcPr>
          <w:p w14:paraId="392C8130" w14:textId="77777777" w:rsidR="00980E5F" w:rsidRDefault="00483613">
            <w:pPr>
              <w:jc w:val="both"/>
              <w:textAlignment w:val="bottom"/>
            </w:pPr>
            <w:r>
              <w:rPr>
                <w:rFonts w:ascii="Arial" w:eastAsia="宋体" w:hAnsi="Arial" w:cs="Arial"/>
                <w:color w:val="000000"/>
                <w:sz w:val="15"/>
                <w:szCs w:val="15"/>
              </w:rPr>
              <w:t>Accounts receivable</w:t>
            </w:r>
          </w:p>
        </w:tc>
        <w:tc>
          <w:tcPr>
            <w:tcW w:w="0" w:type="auto"/>
            <w:gridSpan w:val="2"/>
            <w:shd w:val="clear" w:color="auto" w:fill="FFFFFF"/>
            <w:tcMar>
              <w:top w:w="40" w:type="dxa"/>
              <w:left w:w="20" w:type="dxa"/>
              <w:bottom w:w="40" w:type="dxa"/>
              <w:right w:w="0" w:type="dxa"/>
            </w:tcMar>
            <w:vAlign w:val="bottom"/>
          </w:tcPr>
          <w:p w14:paraId="392C8131" w14:textId="77777777" w:rsidR="00980E5F" w:rsidRDefault="00483613">
            <w:pPr>
              <w:jc w:val="right"/>
              <w:textAlignment w:val="bottom"/>
            </w:pPr>
            <w:r>
              <w:rPr>
                <w:rFonts w:ascii="Arial" w:eastAsia="宋体" w:hAnsi="Arial" w:cs="Arial"/>
                <w:b/>
                <w:bCs/>
                <w:color w:val="000000"/>
                <w:sz w:val="15"/>
                <w:szCs w:val="15"/>
              </w:rPr>
              <w:t>464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3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34" w14:textId="77777777" w:rsidR="00980E5F" w:rsidRDefault="00483613">
            <w:pPr>
              <w:jc w:val="right"/>
              <w:textAlignment w:val="bottom"/>
            </w:pPr>
            <w:r>
              <w:rPr>
                <w:rFonts w:ascii="Arial" w:eastAsia="宋体" w:hAnsi="Arial" w:cs="Arial"/>
                <w:color w:val="000000"/>
                <w:sz w:val="15"/>
                <w:szCs w:val="15"/>
              </w:rPr>
              <w:t>236 </w:t>
            </w:r>
          </w:p>
        </w:tc>
        <w:tc>
          <w:tcPr>
            <w:tcW w:w="0" w:type="auto"/>
            <w:shd w:val="clear" w:color="auto" w:fill="FFFFFF"/>
            <w:tcMar>
              <w:top w:w="40" w:type="dxa"/>
              <w:left w:w="0" w:type="dxa"/>
              <w:bottom w:w="40" w:type="dxa"/>
              <w:right w:w="20" w:type="dxa"/>
            </w:tcMar>
            <w:vAlign w:val="bottom"/>
          </w:tcPr>
          <w:p w14:paraId="392C8135" w14:textId="77777777" w:rsidR="00980E5F" w:rsidRDefault="00980E5F">
            <w:pPr>
              <w:jc w:val="right"/>
              <w:rPr>
                <w:rFonts w:ascii="宋体"/>
              </w:rPr>
            </w:pPr>
          </w:p>
        </w:tc>
      </w:tr>
      <w:tr w:rsidR="00980E5F" w14:paraId="392C813B" w14:textId="77777777">
        <w:trPr>
          <w:hidden/>
        </w:trPr>
        <w:tc>
          <w:tcPr>
            <w:tcW w:w="0" w:type="auto"/>
            <w:gridSpan w:val="3"/>
            <w:shd w:val="clear" w:color="auto" w:fill="auto"/>
            <w:vAlign w:val="bottom"/>
          </w:tcPr>
          <w:p w14:paraId="392C8137" w14:textId="77777777" w:rsidR="00980E5F" w:rsidRDefault="00980E5F">
            <w:pPr>
              <w:rPr>
                <w:rFonts w:ascii="宋体"/>
                <w:vanish/>
              </w:rPr>
            </w:pPr>
          </w:p>
        </w:tc>
        <w:tc>
          <w:tcPr>
            <w:tcW w:w="0" w:type="auto"/>
            <w:gridSpan w:val="3"/>
            <w:shd w:val="clear" w:color="auto" w:fill="auto"/>
            <w:vAlign w:val="bottom"/>
          </w:tcPr>
          <w:p w14:paraId="392C8138" w14:textId="77777777" w:rsidR="00980E5F" w:rsidRDefault="00980E5F">
            <w:pPr>
              <w:rPr>
                <w:rFonts w:ascii="宋体"/>
                <w:vanish/>
              </w:rPr>
            </w:pPr>
          </w:p>
        </w:tc>
        <w:tc>
          <w:tcPr>
            <w:tcW w:w="0" w:type="auto"/>
            <w:gridSpan w:val="3"/>
            <w:shd w:val="clear" w:color="auto" w:fill="auto"/>
            <w:vAlign w:val="bottom"/>
          </w:tcPr>
          <w:p w14:paraId="392C8139" w14:textId="77777777" w:rsidR="00980E5F" w:rsidRDefault="00980E5F">
            <w:pPr>
              <w:rPr>
                <w:rFonts w:ascii="宋体"/>
                <w:vanish/>
              </w:rPr>
            </w:pPr>
          </w:p>
        </w:tc>
        <w:tc>
          <w:tcPr>
            <w:tcW w:w="0" w:type="auto"/>
            <w:gridSpan w:val="3"/>
            <w:shd w:val="clear" w:color="auto" w:fill="auto"/>
            <w:vAlign w:val="bottom"/>
          </w:tcPr>
          <w:p w14:paraId="392C813A" w14:textId="77777777" w:rsidR="00980E5F" w:rsidRDefault="00980E5F">
            <w:pPr>
              <w:rPr>
                <w:rFonts w:ascii="宋体"/>
                <w:vanish/>
              </w:rPr>
            </w:pPr>
          </w:p>
        </w:tc>
      </w:tr>
      <w:tr w:rsidR="00980E5F" w14:paraId="392C8142" w14:textId="77777777">
        <w:tc>
          <w:tcPr>
            <w:tcW w:w="0" w:type="auto"/>
            <w:gridSpan w:val="3"/>
            <w:shd w:val="clear" w:color="auto" w:fill="CCEEFF"/>
            <w:tcMar>
              <w:top w:w="40" w:type="dxa"/>
              <w:left w:w="20" w:type="dxa"/>
              <w:bottom w:w="40" w:type="dxa"/>
              <w:right w:w="20" w:type="dxa"/>
            </w:tcMar>
            <w:vAlign w:val="bottom"/>
          </w:tcPr>
          <w:p w14:paraId="392C813C" w14:textId="77777777" w:rsidR="00980E5F" w:rsidRDefault="00483613">
            <w:pPr>
              <w:textAlignment w:val="bottom"/>
            </w:pPr>
            <w:r>
              <w:rPr>
                <w:rFonts w:ascii="Arial" w:eastAsia="宋体" w:hAnsi="Arial" w:cs="Arial"/>
                <w:color w:val="000000"/>
                <w:sz w:val="15"/>
                <w:szCs w:val="15"/>
              </w:rPr>
              <w:t>Income taxes receivable</w:t>
            </w:r>
          </w:p>
        </w:tc>
        <w:tc>
          <w:tcPr>
            <w:tcW w:w="0" w:type="auto"/>
            <w:gridSpan w:val="2"/>
            <w:shd w:val="clear" w:color="auto" w:fill="CCEEFF"/>
            <w:tcMar>
              <w:top w:w="40" w:type="dxa"/>
              <w:left w:w="20" w:type="dxa"/>
              <w:bottom w:w="40" w:type="dxa"/>
              <w:right w:w="0" w:type="dxa"/>
            </w:tcMar>
            <w:vAlign w:val="bottom"/>
          </w:tcPr>
          <w:p w14:paraId="392C813D" w14:textId="77777777" w:rsidR="00980E5F" w:rsidRDefault="00483613">
            <w:pPr>
              <w:jc w:val="right"/>
              <w:textAlignment w:val="bottom"/>
            </w:pPr>
            <w:r>
              <w:rPr>
                <w:rFonts w:ascii="Arial" w:eastAsia="宋体" w:hAnsi="Arial" w:cs="Arial"/>
                <w:b/>
                <w:bCs/>
                <w:color w:val="000000"/>
                <w:sz w:val="15"/>
                <w:szCs w:val="15"/>
              </w:rPr>
              <w:t>326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3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40" w14:textId="77777777" w:rsidR="00980E5F" w:rsidRDefault="00483613">
            <w:pPr>
              <w:jc w:val="right"/>
              <w:textAlignment w:val="bottom"/>
            </w:pPr>
            <w:r>
              <w:rPr>
                <w:rFonts w:ascii="Arial" w:eastAsia="宋体" w:hAnsi="Arial" w:cs="Arial"/>
                <w:color w:val="000000"/>
                <w:sz w:val="15"/>
                <w:szCs w:val="15"/>
              </w:rPr>
              <w:t>317 </w:t>
            </w:r>
          </w:p>
        </w:tc>
        <w:tc>
          <w:tcPr>
            <w:tcW w:w="0" w:type="auto"/>
            <w:shd w:val="clear" w:color="auto" w:fill="CCEEFF"/>
            <w:tcMar>
              <w:top w:w="40" w:type="dxa"/>
              <w:left w:w="0" w:type="dxa"/>
              <w:bottom w:w="40" w:type="dxa"/>
              <w:right w:w="20" w:type="dxa"/>
            </w:tcMar>
            <w:vAlign w:val="bottom"/>
          </w:tcPr>
          <w:p w14:paraId="392C8141" w14:textId="77777777" w:rsidR="00980E5F" w:rsidRDefault="00980E5F">
            <w:pPr>
              <w:jc w:val="right"/>
              <w:rPr>
                <w:rFonts w:ascii="宋体"/>
              </w:rPr>
            </w:pPr>
          </w:p>
        </w:tc>
      </w:tr>
      <w:tr w:rsidR="00980E5F" w14:paraId="392C8149" w14:textId="77777777">
        <w:tc>
          <w:tcPr>
            <w:tcW w:w="0" w:type="auto"/>
            <w:gridSpan w:val="3"/>
            <w:shd w:val="clear" w:color="auto" w:fill="FFFFFF"/>
            <w:tcMar>
              <w:top w:w="40" w:type="dxa"/>
              <w:left w:w="20" w:type="dxa"/>
              <w:bottom w:w="40" w:type="dxa"/>
              <w:right w:w="20" w:type="dxa"/>
            </w:tcMar>
            <w:vAlign w:val="bottom"/>
          </w:tcPr>
          <w:p w14:paraId="392C8143" w14:textId="77777777" w:rsidR="00980E5F" w:rsidRDefault="00483613">
            <w:pPr>
              <w:textAlignment w:val="bottom"/>
            </w:pPr>
            <w:r>
              <w:rPr>
                <w:rFonts w:ascii="Arial" w:eastAsia="宋体" w:hAnsi="Arial" w:cs="Arial"/>
                <w:color w:val="000000"/>
                <w:sz w:val="15"/>
                <w:szCs w:val="15"/>
              </w:rPr>
              <w:t>Deposits with clearing organizations</w:t>
            </w:r>
          </w:p>
        </w:tc>
        <w:tc>
          <w:tcPr>
            <w:tcW w:w="0" w:type="auto"/>
            <w:gridSpan w:val="2"/>
            <w:shd w:val="clear" w:color="auto" w:fill="FFFFFF"/>
            <w:tcMar>
              <w:top w:w="40" w:type="dxa"/>
              <w:left w:w="20" w:type="dxa"/>
              <w:bottom w:w="40" w:type="dxa"/>
              <w:right w:w="0" w:type="dxa"/>
            </w:tcMar>
            <w:vAlign w:val="bottom"/>
          </w:tcPr>
          <w:p w14:paraId="392C8144" w14:textId="77777777" w:rsidR="00980E5F" w:rsidRDefault="00483613">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4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4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47" w14:textId="77777777" w:rsidR="00980E5F" w:rsidRDefault="00483613">
            <w:pPr>
              <w:jc w:val="right"/>
              <w:textAlignment w:val="bottom"/>
            </w:pPr>
            <w:r>
              <w:rPr>
                <w:rFonts w:ascii="Arial" w:eastAsia="宋体" w:hAnsi="Arial" w:cs="Arial"/>
                <w:color w:val="000000"/>
                <w:sz w:val="15"/>
                <w:szCs w:val="15"/>
              </w:rPr>
              <w:t>62 </w:t>
            </w:r>
          </w:p>
        </w:tc>
        <w:tc>
          <w:tcPr>
            <w:tcW w:w="0" w:type="auto"/>
            <w:shd w:val="clear" w:color="auto" w:fill="FFFFFF"/>
            <w:tcMar>
              <w:top w:w="40" w:type="dxa"/>
              <w:left w:w="0" w:type="dxa"/>
              <w:bottom w:w="40" w:type="dxa"/>
              <w:right w:w="20" w:type="dxa"/>
            </w:tcMar>
            <w:vAlign w:val="bottom"/>
          </w:tcPr>
          <w:p w14:paraId="392C8148" w14:textId="77777777" w:rsidR="00980E5F" w:rsidRDefault="00980E5F">
            <w:pPr>
              <w:jc w:val="right"/>
              <w:rPr>
                <w:rFonts w:ascii="宋体"/>
              </w:rPr>
            </w:pPr>
          </w:p>
        </w:tc>
      </w:tr>
      <w:tr w:rsidR="00980E5F" w14:paraId="392C8150" w14:textId="77777777">
        <w:tc>
          <w:tcPr>
            <w:tcW w:w="0" w:type="auto"/>
            <w:gridSpan w:val="3"/>
            <w:shd w:val="clear" w:color="auto" w:fill="CCEEFF"/>
            <w:tcMar>
              <w:top w:w="40" w:type="dxa"/>
              <w:left w:w="20" w:type="dxa"/>
              <w:bottom w:w="40" w:type="dxa"/>
              <w:right w:w="20" w:type="dxa"/>
            </w:tcMar>
            <w:vAlign w:val="bottom"/>
          </w:tcPr>
          <w:p w14:paraId="392C814A" w14:textId="77777777" w:rsidR="00980E5F" w:rsidRDefault="00483613">
            <w:pPr>
              <w:textAlignment w:val="bottom"/>
            </w:pPr>
            <w:r>
              <w:rPr>
                <w:rFonts w:ascii="Arial" w:eastAsia="宋体" w:hAnsi="Arial" w:cs="Arial"/>
                <w:color w:val="000000"/>
                <w:sz w:val="15"/>
                <w:szCs w:val="15"/>
              </w:rPr>
              <w:t>Other</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392C814B" w14:textId="77777777" w:rsidR="00980E5F" w:rsidRDefault="00483613">
            <w:pPr>
              <w:jc w:val="right"/>
              <w:textAlignment w:val="bottom"/>
            </w:pPr>
            <w:r>
              <w:rPr>
                <w:rFonts w:ascii="Arial" w:eastAsia="宋体" w:hAnsi="Arial" w:cs="Arial"/>
                <w:b/>
                <w:bCs/>
                <w:color w:val="000000"/>
                <w:sz w:val="15"/>
                <w:szCs w:val="15"/>
              </w:rPr>
              <w:t>1,080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4E" w14:textId="77777777" w:rsidR="00980E5F" w:rsidRDefault="00483613">
            <w:pPr>
              <w:jc w:val="right"/>
              <w:textAlignment w:val="bottom"/>
            </w:pPr>
            <w:r>
              <w:rPr>
                <w:rFonts w:ascii="Arial" w:eastAsia="宋体" w:hAnsi="Arial" w:cs="Arial"/>
                <w:color w:val="000000"/>
                <w:sz w:val="15"/>
                <w:szCs w:val="15"/>
              </w:rPr>
              <w:t>1,244 </w:t>
            </w:r>
          </w:p>
        </w:tc>
        <w:tc>
          <w:tcPr>
            <w:tcW w:w="0" w:type="auto"/>
            <w:shd w:val="clear" w:color="auto" w:fill="CCEEFF"/>
            <w:tcMar>
              <w:top w:w="40" w:type="dxa"/>
              <w:left w:w="0" w:type="dxa"/>
              <w:bottom w:w="40" w:type="dxa"/>
              <w:right w:w="20" w:type="dxa"/>
            </w:tcMar>
            <w:vAlign w:val="bottom"/>
          </w:tcPr>
          <w:p w14:paraId="392C814F" w14:textId="77777777" w:rsidR="00980E5F" w:rsidRDefault="00980E5F">
            <w:pPr>
              <w:jc w:val="right"/>
              <w:rPr>
                <w:rFonts w:ascii="宋体"/>
              </w:rPr>
            </w:pPr>
          </w:p>
        </w:tc>
      </w:tr>
      <w:tr w:rsidR="00980E5F" w14:paraId="392C8159" w14:textId="77777777">
        <w:tc>
          <w:tcPr>
            <w:tcW w:w="0" w:type="auto"/>
            <w:gridSpan w:val="3"/>
            <w:shd w:val="clear" w:color="auto" w:fill="FFFFFF"/>
            <w:tcMar>
              <w:top w:w="40" w:type="dxa"/>
              <w:left w:w="20" w:type="dxa"/>
              <w:bottom w:w="40" w:type="dxa"/>
              <w:right w:w="20" w:type="dxa"/>
            </w:tcMar>
            <w:vAlign w:val="bottom"/>
          </w:tcPr>
          <w:p w14:paraId="392C8151" w14:textId="77777777" w:rsidR="00980E5F" w:rsidRDefault="00483613">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152"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153" w14:textId="77777777" w:rsidR="00980E5F" w:rsidRDefault="00483613">
            <w:pPr>
              <w:jc w:val="right"/>
              <w:textAlignment w:val="bottom"/>
            </w:pPr>
            <w:r>
              <w:rPr>
                <w:rFonts w:ascii="Arial" w:eastAsia="宋体" w:hAnsi="Arial" w:cs="Arial"/>
                <w:b/>
                <w:bCs/>
                <w:color w:val="000000"/>
                <w:sz w:val="15"/>
                <w:szCs w:val="15"/>
              </w:rPr>
              <w:t>41,470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1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5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156"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157" w14:textId="77777777" w:rsidR="00980E5F" w:rsidRDefault="00483613">
            <w:pPr>
              <w:jc w:val="right"/>
              <w:textAlignment w:val="bottom"/>
            </w:pPr>
            <w:r>
              <w:rPr>
                <w:rFonts w:ascii="Arial" w:eastAsia="宋体" w:hAnsi="Arial" w:cs="Arial"/>
                <w:color w:val="000000"/>
                <w:sz w:val="15"/>
                <w:szCs w:val="15"/>
              </w:rPr>
              <w:t>37,615 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158" w14:textId="77777777" w:rsidR="00980E5F" w:rsidRDefault="00980E5F">
            <w:pPr>
              <w:jc w:val="right"/>
              <w:rPr>
                <w:rFonts w:ascii="宋体"/>
              </w:rPr>
            </w:pPr>
          </w:p>
        </w:tc>
      </w:tr>
    </w:tbl>
    <w:p w14:paraId="392C815A"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C8161" w14:textId="77777777">
        <w:tc>
          <w:tcPr>
            <w:tcW w:w="50" w:type="pct"/>
            <w:shd w:val="clear" w:color="auto" w:fill="auto"/>
            <w:vAlign w:val="bottom"/>
          </w:tcPr>
          <w:p w14:paraId="392C815B" w14:textId="77777777" w:rsidR="00980E5F" w:rsidRDefault="00980E5F">
            <w:pPr>
              <w:rPr>
                <w:rFonts w:ascii="宋体"/>
              </w:rPr>
            </w:pPr>
          </w:p>
        </w:tc>
        <w:tc>
          <w:tcPr>
            <w:tcW w:w="1348" w:type="pct"/>
            <w:shd w:val="clear" w:color="auto" w:fill="auto"/>
            <w:vAlign w:val="bottom"/>
          </w:tcPr>
          <w:p w14:paraId="392C815C" w14:textId="77777777" w:rsidR="00980E5F" w:rsidRDefault="00980E5F">
            <w:pPr>
              <w:rPr>
                <w:rFonts w:ascii="宋体"/>
              </w:rPr>
            </w:pPr>
          </w:p>
        </w:tc>
        <w:tc>
          <w:tcPr>
            <w:tcW w:w="5" w:type="pct"/>
            <w:shd w:val="clear" w:color="auto" w:fill="auto"/>
            <w:vAlign w:val="bottom"/>
          </w:tcPr>
          <w:p w14:paraId="392C815D" w14:textId="77777777" w:rsidR="00980E5F" w:rsidRDefault="00980E5F">
            <w:pPr>
              <w:rPr>
                <w:rFonts w:ascii="宋体"/>
              </w:rPr>
            </w:pPr>
          </w:p>
        </w:tc>
        <w:tc>
          <w:tcPr>
            <w:tcW w:w="50" w:type="pct"/>
            <w:shd w:val="clear" w:color="auto" w:fill="auto"/>
            <w:vAlign w:val="bottom"/>
          </w:tcPr>
          <w:p w14:paraId="392C815E" w14:textId="77777777" w:rsidR="00980E5F" w:rsidRDefault="00980E5F">
            <w:pPr>
              <w:rPr>
                <w:rFonts w:ascii="宋体"/>
              </w:rPr>
            </w:pPr>
          </w:p>
        </w:tc>
        <w:tc>
          <w:tcPr>
            <w:tcW w:w="3541" w:type="pct"/>
            <w:shd w:val="clear" w:color="auto" w:fill="auto"/>
            <w:vAlign w:val="bottom"/>
          </w:tcPr>
          <w:p w14:paraId="392C815F" w14:textId="77777777" w:rsidR="00980E5F" w:rsidRDefault="00980E5F">
            <w:pPr>
              <w:rPr>
                <w:rFonts w:ascii="宋体"/>
              </w:rPr>
            </w:pPr>
          </w:p>
        </w:tc>
        <w:tc>
          <w:tcPr>
            <w:tcW w:w="5" w:type="pct"/>
            <w:shd w:val="clear" w:color="auto" w:fill="auto"/>
            <w:vAlign w:val="bottom"/>
          </w:tcPr>
          <w:p w14:paraId="392C8160" w14:textId="77777777" w:rsidR="00980E5F" w:rsidRDefault="00980E5F">
            <w:pPr>
              <w:rPr>
                <w:rFonts w:ascii="宋体"/>
              </w:rPr>
            </w:pPr>
          </w:p>
        </w:tc>
      </w:tr>
      <w:tr w:rsidR="00980E5F" w14:paraId="392C816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1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163" w14:textId="77777777" w:rsidR="00980E5F" w:rsidRDefault="00980E5F">
            <w:pPr>
              <w:rPr>
                <w:rFonts w:ascii="宋体"/>
              </w:rPr>
            </w:pPr>
          </w:p>
        </w:tc>
      </w:tr>
    </w:tbl>
    <w:p w14:paraId="392C8165" w14:textId="77777777" w:rsidR="00980E5F" w:rsidRDefault="00483613">
      <w:pPr>
        <w:spacing w:before="90"/>
      </w:pPr>
      <w:r>
        <w:rPr>
          <w:rFonts w:ascii="Arial" w:eastAsia="宋体" w:hAnsi="Arial" w:cs="Arial"/>
          <w:color w:val="000000"/>
          <w:sz w:val="8"/>
          <w:szCs w:val="8"/>
        </w:rPr>
        <w:t>(1)</w:t>
      </w:r>
      <w:r>
        <w:rPr>
          <w:rFonts w:ascii="Arial" w:eastAsia="宋体" w:hAnsi="Arial" w:cs="Arial"/>
          <w:color w:val="000000"/>
          <w:sz w:val="13"/>
          <w:szCs w:val="13"/>
        </w:rPr>
        <w:t xml:space="preserve"> Refer to Note 8, for further information on the impact of collateral on our financial statement presentation of securities borrowing and securities lending transactions.</w:t>
      </w:r>
    </w:p>
    <w:p w14:paraId="392C8166" w14:textId="77777777" w:rsidR="00980E5F" w:rsidRDefault="00483613">
      <w:pPr>
        <w:jc w:val="both"/>
      </w:pPr>
      <w:r>
        <w:rPr>
          <w:rFonts w:ascii="Arial" w:eastAsia="宋体" w:hAnsi="Arial" w:cs="Arial"/>
          <w:color w:val="000000"/>
          <w:sz w:val="8"/>
          <w:szCs w:val="8"/>
        </w:rPr>
        <w:t>(2)</w:t>
      </w:r>
      <w:r>
        <w:rPr>
          <w:rFonts w:ascii="Arial" w:eastAsia="宋体" w:hAnsi="Arial" w:cs="Arial"/>
          <w:color w:val="000000"/>
          <w:sz w:val="13"/>
          <w:szCs w:val="13"/>
        </w:rPr>
        <w:t xml:space="preserve"> Includes equity securities without readily determinable fair values that are accounted for under the ASC 321 measurement alternative of $177 million and $109 million as of June 30, 2022 and December 31, 2021, respectively. For the three months ended June </w:t>
      </w:r>
      <w:r>
        <w:rPr>
          <w:rFonts w:ascii="Arial" w:eastAsia="宋体" w:hAnsi="Arial" w:cs="Arial"/>
          <w:color w:val="000000"/>
          <w:sz w:val="13"/>
          <w:szCs w:val="13"/>
        </w:rPr>
        <w:t>30, 2022, there were no upward adjustments resulting from observable prices changes were recognized in other fee revenue related to such equity securities</w:t>
      </w:r>
    </w:p>
    <w:p w14:paraId="392C8167" w14:textId="77777777" w:rsidR="00980E5F" w:rsidRDefault="00483613">
      <w:pPr>
        <w:spacing w:before="90"/>
        <w:jc w:val="both"/>
      </w:pPr>
      <w:r>
        <w:rPr>
          <w:rFonts w:ascii="Arial" w:eastAsia="宋体" w:hAnsi="Arial" w:cs="Arial"/>
          <w:color w:val="000000"/>
          <w:sz w:val="8"/>
          <w:szCs w:val="8"/>
        </w:rPr>
        <w:t>(3)</w:t>
      </w:r>
      <w:r>
        <w:rPr>
          <w:rFonts w:ascii="Arial" w:eastAsia="宋体" w:hAnsi="Arial" w:cs="Arial"/>
          <w:color w:val="000000"/>
          <w:sz w:val="13"/>
          <w:szCs w:val="13"/>
        </w:rPr>
        <w:t xml:space="preserve"> Deferred tax assets and liabilities recorded in our consolidated statement of condition are nette</w:t>
      </w:r>
      <w:r>
        <w:rPr>
          <w:rFonts w:ascii="Arial" w:eastAsia="宋体" w:hAnsi="Arial" w:cs="Arial"/>
          <w:color w:val="000000"/>
          <w:sz w:val="13"/>
          <w:szCs w:val="13"/>
        </w:rPr>
        <w:t>d within the same tax jurisdiction.</w:t>
      </w:r>
    </w:p>
    <w:p w14:paraId="392C8168" w14:textId="77777777" w:rsidR="00980E5F" w:rsidRDefault="00483613">
      <w:pPr>
        <w:spacing w:before="60"/>
        <w:jc w:val="both"/>
      </w:pPr>
      <w:r>
        <w:rPr>
          <w:rFonts w:ascii="Arial" w:eastAsia="宋体" w:hAnsi="Arial" w:cs="Arial"/>
          <w:color w:val="000000"/>
          <w:sz w:val="8"/>
          <w:szCs w:val="8"/>
        </w:rPr>
        <w:t xml:space="preserve">(4) </w:t>
      </w:r>
      <w:r>
        <w:rPr>
          <w:rFonts w:ascii="Arial" w:eastAsia="宋体" w:hAnsi="Arial" w:cs="Arial"/>
          <w:color w:val="000000"/>
          <w:sz w:val="13"/>
          <w:szCs w:val="13"/>
        </w:rPr>
        <w:t>Includes advances of</w:t>
      </w:r>
      <w:r>
        <w:rPr>
          <w:rFonts w:ascii="Arial" w:eastAsia="宋体" w:hAnsi="Arial" w:cs="Arial"/>
          <w:color w:val="000000"/>
          <w:sz w:val="13"/>
          <w:szCs w:val="13"/>
          <w:shd w:val="clear" w:color="auto" w:fill="FFFFFF"/>
        </w:rPr>
        <w:t xml:space="preserve"> $677 million</w:t>
      </w:r>
      <w:r>
        <w:rPr>
          <w:rFonts w:ascii="Arial" w:eastAsia="宋体" w:hAnsi="Arial" w:cs="Arial"/>
          <w:color w:val="000000"/>
          <w:sz w:val="13"/>
          <w:szCs w:val="13"/>
        </w:rPr>
        <w:t xml:space="preserve"> and $544 million as of June 30, 2022 and December 31, 2021, respectively.</w:t>
      </w:r>
    </w:p>
    <w:p w14:paraId="392C8169" w14:textId="77777777" w:rsidR="00980E5F" w:rsidRDefault="00483613">
      <w:pPr>
        <w:ind w:firstLine="450"/>
        <w:jc w:val="right"/>
      </w:pPr>
      <w:r>
        <w:rPr>
          <w:rFonts w:ascii="Arial" w:eastAsia="宋体" w:hAnsi="Arial" w:cs="Arial"/>
          <w:color w:val="000000"/>
          <w:sz w:val="18"/>
          <w:szCs w:val="18"/>
        </w:rPr>
        <w:t>State Street Corporation | 78</w:t>
      </w:r>
    </w:p>
    <w:p w14:paraId="392C816A" w14:textId="77777777" w:rsidR="00980E5F" w:rsidRDefault="00980E5F">
      <w:pPr>
        <w:ind w:firstLine="450"/>
        <w:jc w:val="center"/>
      </w:pPr>
    </w:p>
    <w:p w14:paraId="392C816B" w14:textId="77777777" w:rsidR="00980E5F" w:rsidRDefault="00483613">
      <w:r>
        <w:pict w14:anchorId="392CBB1C">
          <v:rect id="_x0000_i1102" style="width:415.3pt;height:1.5pt" o:hralign="center" o:hrstd="t" o:hr="t" fillcolor="#a0a0a0" stroked="f"/>
        </w:pict>
      </w:r>
    </w:p>
    <w:p w14:paraId="392C816C" w14:textId="77777777" w:rsidR="00980E5F" w:rsidRDefault="00483613">
      <w:pPr>
        <w:ind w:firstLine="450"/>
        <w:jc w:val="center"/>
      </w:pPr>
      <w:r>
        <w:rPr>
          <w:rFonts w:ascii="Arial" w:eastAsia="宋体" w:hAnsi="Arial" w:cs="Arial"/>
          <w:b/>
          <w:bCs/>
          <w:color w:val="000000"/>
          <w:sz w:val="20"/>
          <w:szCs w:val="20"/>
        </w:rPr>
        <w:t>STATE STREET CORPORATION</w:t>
      </w:r>
    </w:p>
    <w:p w14:paraId="392C816D" w14:textId="77777777" w:rsidR="00980E5F" w:rsidRDefault="00483613">
      <w:pPr>
        <w:ind w:firstLine="450"/>
        <w:jc w:val="center"/>
      </w:pPr>
      <w:r>
        <w:rPr>
          <w:rFonts w:ascii="Arial" w:eastAsia="宋体" w:hAnsi="Arial" w:cs="Arial"/>
          <w:b/>
          <w:bCs/>
          <w:color w:val="000000"/>
          <w:sz w:val="20"/>
          <w:szCs w:val="20"/>
        </w:rPr>
        <w:t>CONDENSED NOTES TO CONSOLIDATED FINANCIAL STATEMEN</w:t>
      </w:r>
      <w:r>
        <w:rPr>
          <w:rFonts w:ascii="Arial" w:eastAsia="宋体" w:hAnsi="Arial" w:cs="Arial"/>
          <w:b/>
          <w:bCs/>
          <w:color w:val="000000"/>
          <w:sz w:val="20"/>
          <w:szCs w:val="20"/>
        </w:rPr>
        <w:t>TS</w:t>
      </w:r>
    </w:p>
    <w:p w14:paraId="392C816E" w14:textId="77777777" w:rsidR="00980E5F" w:rsidRDefault="00483613">
      <w:pPr>
        <w:ind w:firstLine="450"/>
        <w:jc w:val="center"/>
      </w:pPr>
      <w:r>
        <w:rPr>
          <w:rFonts w:ascii="Arial" w:eastAsia="宋体" w:hAnsi="Arial" w:cs="Arial"/>
          <w:b/>
          <w:bCs/>
          <w:color w:val="000000"/>
          <w:sz w:val="20"/>
          <w:szCs w:val="20"/>
        </w:rPr>
        <w:t>(UNAUDITED)</w:t>
      </w:r>
    </w:p>
    <w:p w14:paraId="392C816F" w14:textId="77777777" w:rsidR="00980E5F" w:rsidRDefault="00483613">
      <w:pPr>
        <w:spacing w:before="180"/>
        <w:jc w:val="both"/>
        <w:textAlignment w:val="top"/>
      </w:pPr>
      <w:r>
        <w:rPr>
          <w:rFonts w:ascii="Arial" w:eastAsia="宋体" w:hAnsi="Arial" w:cs="Arial"/>
          <w:b/>
          <w:bCs/>
          <w:color w:val="000000"/>
          <w:sz w:val="20"/>
          <w:szCs w:val="20"/>
        </w:rPr>
        <w:t>Note 7. Derivative Financial Instruments</w:t>
      </w:r>
    </w:p>
    <w:p w14:paraId="392C8170" w14:textId="77777777" w:rsidR="00980E5F" w:rsidRDefault="00483613">
      <w:pPr>
        <w:spacing w:before="60"/>
        <w:ind w:firstLine="450"/>
        <w:jc w:val="both"/>
        <w:textAlignment w:val="top"/>
      </w:pPr>
      <w:r>
        <w:rPr>
          <w:rFonts w:ascii="Arial" w:eastAsia="宋体" w:hAnsi="Arial" w:cs="Arial"/>
          <w:color w:val="000000"/>
          <w:sz w:val="20"/>
          <w:szCs w:val="20"/>
        </w:rPr>
        <w:t xml:space="preserve">We use derivative financial instruments to support our clients' needs and to manage our interest rate and currency risks. These financial instruments consist of FX contracts such as forwards, futures </w:t>
      </w:r>
      <w:r>
        <w:rPr>
          <w:rFonts w:ascii="Arial" w:eastAsia="宋体" w:hAnsi="Arial" w:cs="Arial"/>
          <w:color w:val="000000"/>
          <w:sz w:val="20"/>
          <w:szCs w:val="20"/>
        </w:rPr>
        <w:t>and options contracts; interest rate contracts such as interest rate swaps (cross currency and single currency) and futures; and other derivative contracts. Derivative instruments used for risk management purposes that are highly effective in offsetting th</w:t>
      </w:r>
      <w:r>
        <w:rPr>
          <w:rFonts w:ascii="Arial" w:eastAsia="宋体" w:hAnsi="Arial" w:cs="Arial"/>
          <w:color w:val="000000"/>
          <w:sz w:val="20"/>
          <w:szCs w:val="20"/>
        </w:rPr>
        <w:t>e risk being hedged are generally designated as hedging instruments in hedge accounting relationships, while others are economic hedges and not designated in hedge accounting relationships. For additional information on our use and accounting policies on d</w:t>
      </w:r>
      <w:r>
        <w:rPr>
          <w:rFonts w:ascii="Arial" w:eastAsia="宋体" w:hAnsi="Arial" w:cs="Arial"/>
          <w:color w:val="000000"/>
          <w:sz w:val="20"/>
          <w:szCs w:val="20"/>
        </w:rPr>
        <w:t>erivative financial instruments, including derivatives not designated as hedging instruments, refer to pages 158 to 159 in Note 10 to the consolidated financial statements included under Item 8, Financial Statements and Supplementary Data, in our 2021 Form</w:t>
      </w:r>
      <w:r>
        <w:rPr>
          <w:rFonts w:ascii="Arial" w:eastAsia="宋体" w:hAnsi="Arial" w:cs="Arial"/>
          <w:color w:val="000000"/>
          <w:sz w:val="20"/>
          <w:szCs w:val="20"/>
        </w:rPr>
        <w:t xml:space="preserve"> 10-K.</w:t>
      </w:r>
    </w:p>
    <w:p w14:paraId="392C8171" w14:textId="77777777" w:rsidR="00980E5F" w:rsidRDefault="00483613">
      <w:pPr>
        <w:spacing w:before="60"/>
        <w:jc w:val="both"/>
        <w:textAlignment w:val="top"/>
      </w:pPr>
      <w:r>
        <w:rPr>
          <w:rFonts w:ascii="Arial" w:eastAsia="宋体" w:hAnsi="Arial" w:cs="Arial"/>
          <w:b/>
          <w:bCs/>
          <w:i/>
          <w:iCs/>
          <w:color w:val="000000"/>
          <w:sz w:val="20"/>
          <w:szCs w:val="20"/>
        </w:rPr>
        <w:t>Derivatives Designated as Hedging Instruments</w:t>
      </w:r>
    </w:p>
    <w:p w14:paraId="392C8172" w14:textId="77777777" w:rsidR="00980E5F" w:rsidRDefault="00483613">
      <w:pPr>
        <w:spacing w:before="60"/>
        <w:ind w:firstLine="450"/>
        <w:jc w:val="both"/>
        <w:textAlignment w:val="top"/>
      </w:pPr>
      <w:r>
        <w:rPr>
          <w:rFonts w:ascii="Arial" w:eastAsia="宋体" w:hAnsi="Arial" w:cs="Arial"/>
          <w:color w:val="000000"/>
          <w:sz w:val="20"/>
          <w:szCs w:val="20"/>
        </w:rPr>
        <w:t xml:space="preserve">For additional information on our derivatives designated as hedging instruments, including our risk management objectives and hedging documentation methodologies, refer to page 159 in Note 10 to the </w:t>
      </w:r>
      <w:r>
        <w:rPr>
          <w:rFonts w:ascii="Arial" w:eastAsia="宋体" w:hAnsi="Arial" w:cs="Arial"/>
          <w:color w:val="000000"/>
          <w:sz w:val="20"/>
          <w:szCs w:val="20"/>
        </w:rPr>
        <w:t>consolidated financial statements included under Item 8, Financial Statements and Supplementary Data, in our 2021 Form 10-K.</w:t>
      </w:r>
    </w:p>
    <w:p w14:paraId="392C8173" w14:textId="77777777" w:rsidR="00980E5F" w:rsidRDefault="00483613">
      <w:pPr>
        <w:spacing w:before="60"/>
        <w:jc w:val="both"/>
        <w:textAlignment w:val="top"/>
      </w:pPr>
      <w:r>
        <w:rPr>
          <w:rFonts w:ascii="Arial" w:eastAsia="宋体" w:hAnsi="Arial" w:cs="Arial"/>
          <w:i/>
          <w:iCs/>
          <w:color w:val="000000"/>
          <w:sz w:val="20"/>
          <w:szCs w:val="20"/>
        </w:rPr>
        <w:t>Fair Value Hedges</w:t>
      </w:r>
    </w:p>
    <w:p w14:paraId="392C8174" w14:textId="77777777" w:rsidR="00980E5F" w:rsidRDefault="00483613">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liabilities, including long-term debt and AFS securities. We use interest rate contracts in this manner to manage our expos</w:t>
      </w:r>
      <w:r>
        <w:rPr>
          <w:rFonts w:ascii="Arial" w:eastAsia="宋体" w:hAnsi="Arial" w:cs="Arial"/>
          <w:color w:val="000000"/>
          <w:sz w:val="20"/>
          <w:szCs w:val="20"/>
        </w:rPr>
        <w:t xml:space="preserve">ure to changes in the fair value of hedged items caused by changes in interest rates. </w:t>
      </w:r>
    </w:p>
    <w:p w14:paraId="392C8175" w14:textId="77777777" w:rsidR="00980E5F" w:rsidRDefault="00483613">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item due to changes in the hedged risk are recognized in earnings in the same line it</w:t>
      </w:r>
      <w:r>
        <w:rPr>
          <w:rFonts w:ascii="Arial" w:eastAsia="宋体" w:hAnsi="Arial" w:cs="Arial"/>
          <w:color w:val="000000"/>
          <w:sz w:val="20"/>
          <w:szCs w:val="20"/>
        </w:rPr>
        <w:t xml:space="preserve">em. If a hedge is terminated, but the hedged item was not derecognized, all remaining adjustments to the carrying amount of the hedged item are amortized over a period that is consistent with the amortization of other discounts or premiums associated with </w:t>
      </w:r>
      <w:r>
        <w:rPr>
          <w:rFonts w:ascii="Arial" w:eastAsia="宋体" w:hAnsi="Arial" w:cs="Arial"/>
          <w:color w:val="000000"/>
          <w:sz w:val="20"/>
          <w:szCs w:val="20"/>
        </w:rPr>
        <w:t>the hedged item</w:t>
      </w:r>
      <w:r>
        <w:rPr>
          <w:rFonts w:ascii="Times New Roman" w:eastAsia="宋体" w:hAnsi="Times New Roman"/>
          <w:color w:val="000000"/>
          <w:sz w:val="20"/>
          <w:szCs w:val="20"/>
        </w:rPr>
        <w:t xml:space="preserve">. </w:t>
      </w:r>
    </w:p>
    <w:p w14:paraId="392C8176" w14:textId="77777777" w:rsidR="00980E5F" w:rsidRDefault="00483613">
      <w:pPr>
        <w:spacing w:before="60"/>
        <w:jc w:val="both"/>
        <w:textAlignment w:val="top"/>
      </w:pPr>
      <w:r>
        <w:rPr>
          <w:rFonts w:ascii="Arial" w:eastAsia="宋体" w:hAnsi="Arial" w:cs="Arial"/>
          <w:i/>
          <w:iCs/>
          <w:color w:val="000000"/>
          <w:sz w:val="20"/>
          <w:szCs w:val="20"/>
        </w:rPr>
        <w:t>Cash Flow Hedges</w:t>
      </w:r>
    </w:p>
    <w:p w14:paraId="392C8177" w14:textId="77777777" w:rsidR="00980E5F" w:rsidRDefault="00483613">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recognized assets, liabilities or forecasted transactions. We have entered into FX contracts to hedge the change in cash f</w:t>
      </w:r>
      <w:r>
        <w:rPr>
          <w:rFonts w:ascii="Arial" w:eastAsia="宋体" w:hAnsi="Arial" w:cs="Arial"/>
          <w:color w:val="000000"/>
          <w:sz w:val="20"/>
          <w:szCs w:val="20"/>
        </w:rPr>
        <w:t>lows attributable to FX movements in foreign currency denominated investment securities. Additionally, we have entered into interest rate swap agreements to hedge the forecasted cash flows associated with LIBOR indexed floating-rate loans. The interest rat</w:t>
      </w:r>
      <w:r>
        <w:rPr>
          <w:rFonts w:ascii="Arial" w:eastAsia="宋体" w:hAnsi="Arial" w:cs="Arial"/>
          <w:color w:val="000000"/>
          <w:sz w:val="20"/>
          <w:szCs w:val="20"/>
        </w:rPr>
        <w:t>e swaps synthetically convert the loan interest receipts from a variable-rate to a fixed-rate, thereby mitigating the risk attributable to changes in the LIBOR benchmark rate.</w:t>
      </w:r>
    </w:p>
    <w:p w14:paraId="392C8178" w14:textId="77777777" w:rsidR="00980E5F" w:rsidRDefault="00483613">
      <w:pPr>
        <w:spacing w:before="60"/>
        <w:ind w:firstLine="450"/>
        <w:jc w:val="both"/>
        <w:textAlignment w:val="top"/>
      </w:pPr>
      <w:r>
        <w:rPr>
          <w:rFonts w:ascii="Arial" w:eastAsia="宋体" w:hAnsi="Arial" w:cs="Arial"/>
          <w:color w:val="000000"/>
          <w:sz w:val="20"/>
          <w:szCs w:val="20"/>
        </w:rPr>
        <w:t>Changes in fair value of the derivatives designated as cash flow hedges are init</w:t>
      </w:r>
      <w:r>
        <w:rPr>
          <w:rFonts w:ascii="Arial" w:eastAsia="宋体" w:hAnsi="Arial" w:cs="Arial"/>
          <w:color w:val="000000"/>
          <w:sz w:val="20"/>
          <w:szCs w:val="20"/>
        </w:rPr>
        <w:t xml:space="preserve">ially recorded in AOCI and then reclassified into earnings in the same period or periods during which the hedged forecasted transaction affects earnings and are presented in the same income statement line item as the earnings effect of the hedged item. If </w:t>
      </w:r>
      <w:r>
        <w:rPr>
          <w:rFonts w:ascii="Arial" w:eastAsia="宋体" w:hAnsi="Arial" w:cs="Arial"/>
          <w:color w:val="000000"/>
          <w:sz w:val="20"/>
          <w:szCs w:val="20"/>
        </w:rPr>
        <w:t>the hedge relationship is terminated, the change in fair value on the derivative recorded in AOCI is reclassified into earnings consistent with the timing of the hedged item. For hedge relationships that are discontinued because a forecasted transaction is</w:t>
      </w:r>
      <w:r>
        <w:rPr>
          <w:rFonts w:ascii="Arial" w:eastAsia="宋体" w:hAnsi="Arial" w:cs="Arial"/>
          <w:color w:val="000000"/>
          <w:sz w:val="20"/>
          <w:szCs w:val="20"/>
        </w:rPr>
        <w:t xml:space="preserve"> not expected to occur according to the original hedge terms, any related derivative values recorded in AOCI are immediately recognized in earnings. The net loss associated with cash flow hedges expected to be reclassified from AOCI within 12 months of Jun</w:t>
      </w:r>
      <w:r>
        <w:rPr>
          <w:rFonts w:ascii="Arial" w:eastAsia="宋体" w:hAnsi="Arial" w:cs="Arial"/>
          <w:color w:val="000000"/>
          <w:sz w:val="20"/>
          <w:szCs w:val="20"/>
        </w:rPr>
        <w:t>e 30, 2022, is approximately $156 million. The maximum length of time over which forecasted cash flows are hedged is 5 years.</w:t>
      </w:r>
    </w:p>
    <w:p w14:paraId="392C8179" w14:textId="77777777" w:rsidR="00980E5F" w:rsidRDefault="00483613">
      <w:pPr>
        <w:spacing w:before="60"/>
        <w:jc w:val="both"/>
        <w:textAlignment w:val="top"/>
      </w:pPr>
      <w:r>
        <w:rPr>
          <w:rFonts w:ascii="Arial" w:eastAsia="宋体" w:hAnsi="Arial" w:cs="Arial"/>
          <w:i/>
          <w:iCs/>
          <w:color w:val="000000"/>
          <w:sz w:val="20"/>
          <w:szCs w:val="20"/>
        </w:rPr>
        <w:t>Net Investment Hedges</w:t>
      </w:r>
    </w:p>
    <w:p w14:paraId="392C817A" w14:textId="77777777" w:rsidR="00980E5F" w:rsidRDefault="00483613">
      <w:pPr>
        <w:spacing w:before="60"/>
        <w:ind w:firstLine="450"/>
        <w:jc w:val="both"/>
        <w:textAlignment w:val="top"/>
      </w:pPr>
      <w:r>
        <w:rPr>
          <w:rFonts w:ascii="Arial" w:eastAsia="宋体" w:hAnsi="Arial" w:cs="Arial"/>
          <w:color w:val="000000"/>
          <w:sz w:val="20"/>
          <w:szCs w:val="20"/>
        </w:rPr>
        <w:t>Derivatives categorized as net investment hedges are entered into to protect the net investment in our forei</w:t>
      </w:r>
      <w:r>
        <w:rPr>
          <w:rFonts w:ascii="Arial" w:eastAsia="宋体" w:hAnsi="Arial" w:cs="Arial"/>
          <w:color w:val="000000"/>
          <w:sz w:val="20"/>
          <w:szCs w:val="20"/>
        </w:rPr>
        <w:t>gn operations against adverse changes in exchange rates. We use FX forward contracts to convert the foreign currency risk to U.S. dollars to mitigate our exposure to fluctuations in FX rates. The changes in fair value of the FX forward contracts are record</w:t>
      </w:r>
      <w:r>
        <w:rPr>
          <w:rFonts w:ascii="Arial" w:eastAsia="宋体" w:hAnsi="Arial" w:cs="Arial"/>
          <w:color w:val="000000"/>
          <w:sz w:val="20"/>
          <w:szCs w:val="20"/>
        </w:rPr>
        <w:t>ed, net of taxes, in the foreign currency translation component of OCI.</w:t>
      </w:r>
    </w:p>
    <w:p w14:paraId="392C817B" w14:textId="77777777" w:rsidR="00980E5F" w:rsidRDefault="00483613">
      <w:pPr>
        <w:ind w:firstLine="450"/>
        <w:jc w:val="right"/>
      </w:pPr>
      <w:r>
        <w:rPr>
          <w:rFonts w:ascii="Arial" w:eastAsia="宋体" w:hAnsi="Arial" w:cs="Arial"/>
          <w:color w:val="000000"/>
          <w:sz w:val="18"/>
          <w:szCs w:val="18"/>
        </w:rPr>
        <w:t>State Street Corporation | 79</w:t>
      </w:r>
    </w:p>
    <w:p w14:paraId="392C817C" w14:textId="77777777" w:rsidR="00980E5F" w:rsidRDefault="00980E5F">
      <w:pPr>
        <w:ind w:firstLine="450"/>
        <w:jc w:val="center"/>
      </w:pPr>
    </w:p>
    <w:p w14:paraId="392C817D" w14:textId="77777777" w:rsidR="00980E5F" w:rsidRDefault="00483613">
      <w:r>
        <w:pict w14:anchorId="392CBB1D">
          <v:rect id="_x0000_i1103" style="width:415.3pt;height:1.5pt" o:hralign="center" o:hrstd="t" o:hr="t" fillcolor="#a0a0a0" stroked="f"/>
        </w:pict>
      </w:r>
    </w:p>
    <w:p w14:paraId="392C817E" w14:textId="77777777" w:rsidR="00980E5F" w:rsidRDefault="00483613">
      <w:pPr>
        <w:ind w:firstLine="450"/>
        <w:jc w:val="center"/>
      </w:pPr>
      <w:r>
        <w:rPr>
          <w:rFonts w:ascii="Arial" w:eastAsia="宋体" w:hAnsi="Arial" w:cs="Arial"/>
          <w:b/>
          <w:bCs/>
          <w:color w:val="000000"/>
          <w:sz w:val="20"/>
          <w:szCs w:val="20"/>
        </w:rPr>
        <w:t>STATE STREET CORPORATION</w:t>
      </w:r>
    </w:p>
    <w:p w14:paraId="392C817F"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180" w14:textId="77777777" w:rsidR="00980E5F" w:rsidRDefault="00483613">
      <w:pPr>
        <w:ind w:firstLine="450"/>
        <w:jc w:val="center"/>
      </w:pPr>
      <w:r>
        <w:rPr>
          <w:rFonts w:ascii="Arial" w:eastAsia="宋体" w:hAnsi="Arial" w:cs="Arial"/>
          <w:b/>
          <w:bCs/>
          <w:color w:val="000000"/>
          <w:sz w:val="20"/>
          <w:szCs w:val="20"/>
        </w:rPr>
        <w:t>(UNAUDITED)</w:t>
      </w:r>
    </w:p>
    <w:p w14:paraId="392C8181" w14:textId="77777777" w:rsidR="00980E5F" w:rsidRDefault="00483613">
      <w:pPr>
        <w:spacing w:before="60"/>
        <w:ind w:firstLine="450"/>
        <w:jc w:val="both"/>
      </w:pPr>
      <w:r>
        <w:rPr>
          <w:rFonts w:ascii="Arial" w:eastAsia="宋体" w:hAnsi="Arial" w:cs="Arial"/>
          <w:color w:val="000000"/>
          <w:sz w:val="20"/>
          <w:szCs w:val="20"/>
        </w:rPr>
        <w:t>The following table presents the aggregate contractual, or no</w:t>
      </w:r>
      <w:r>
        <w:rPr>
          <w:rFonts w:ascii="Arial" w:eastAsia="宋体" w:hAnsi="Arial" w:cs="Arial"/>
          <w:color w:val="000000"/>
          <w:sz w:val="20"/>
          <w:szCs w:val="20"/>
        </w:rPr>
        <w:t>tional, amounts of derivative financial instruments, including those entered into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566"/>
        <w:gridCol w:w="36"/>
        <w:gridCol w:w="105"/>
        <w:gridCol w:w="1653"/>
        <w:gridCol w:w="36"/>
        <w:gridCol w:w="36"/>
        <w:gridCol w:w="36"/>
        <w:gridCol w:w="36"/>
        <w:gridCol w:w="105"/>
        <w:gridCol w:w="1653"/>
        <w:gridCol w:w="36"/>
      </w:tblGrid>
      <w:tr w:rsidR="00980E5F" w14:paraId="392C818E" w14:textId="77777777">
        <w:tc>
          <w:tcPr>
            <w:tcW w:w="50" w:type="pct"/>
            <w:shd w:val="clear" w:color="auto" w:fill="auto"/>
            <w:vAlign w:val="bottom"/>
          </w:tcPr>
          <w:p w14:paraId="392C8182" w14:textId="77777777" w:rsidR="00980E5F" w:rsidRDefault="00980E5F">
            <w:pPr>
              <w:rPr>
                <w:rFonts w:ascii="宋体"/>
              </w:rPr>
            </w:pPr>
          </w:p>
        </w:tc>
        <w:tc>
          <w:tcPr>
            <w:tcW w:w="2766" w:type="pct"/>
            <w:shd w:val="clear" w:color="auto" w:fill="auto"/>
            <w:vAlign w:val="bottom"/>
          </w:tcPr>
          <w:p w14:paraId="392C8183" w14:textId="77777777" w:rsidR="00980E5F" w:rsidRDefault="00980E5F">
            <w:pPr>
              <w:rPr>
                <w:rFonts w:ascii="宋体"/>
              </w:rPr>
            </w:pPr>
          </w:p>
        </w:tc>
        <w:tc>
          <w:tcPr>
            <w:tcW w:w="5" w:type="pct"/>
            <w:shd w:val="clear" w:color="auto" w:fill="auto"/>
            <w:vAlign w:val="bottom"/>
          </w:tcPr>
          <w:p w14:paraId="392C8184" w14:textId="77777777" w:rsidR="00980E5F" w:rsidRDefault="00980E5F">
            <w:pPr>
              <w:rPr>
                <w:rFonts w:ascii="宋体"/>
              </w:rPr>
            </w:pPr>
          </w:p>
        </w:tc>
        <w:tc>
          <w:tcPr>
            <w:tcW w:w="50" w:type="pct"/>
            <w:shd w:val="clear" w:color="auto" w:fill="auto"/>
            <w:vAlign w:val="bottom"/>
          </w:tcPr>
          <w:p w14:paraId="392C8185" w14:textId="77777777" w:rsidR="00980E5F" w:rsidRDefault="00980E5F">
            <w:pPr>
              <w:rPr>
                <w:rFonts w:ascii="宋体"/>
              </w:rPr>
            </w:pPr>
          </w:p>
        </w:tc>
        <w:tc>
          <w:tcPr>
            <w:tcW w:w="1019" w:type="pct"/>
            <w:shd w:val="clear" w:color="auto" w:fill="auto"/>
            <w:vAlign w:val="bottom"/>
          </w:tcPr>
          <w:p w14:paraId="392C8186" w14:textId="77777777" w:rsidR="00980E5F" w:rsidRDefault="00980E5F">
            <w:pPr>
              <w:rPr>
                <w:rFonts w:ascii="宋体"/>
              </w:rPr>
            </w:pPr>
          </w:p>
        </w:tc>
        <w:tc>
          <w:tcPr>
            <w:tcW w:w="5" w:type="pct"/>
            <w:shd w:val="clear" w:color="auto" w:fill="auto"/>
            <w:vAlign w:val="bottom"/>
          </w:tcPr>
          <w:p w14:paraId="392C8187" w14:textId="77777777" w:rsidR="00980E5F" w:rsidRDefault="00980E5F">
            <w:pPr>
              <w:rPr>
                <w:rFonts w:ascii="宋体"/>
              </w:rPr>
            </w:pPr>
          </w:p>
        </w:tc>
        <w:tc>
          <w:tcPr>
            <w:tcW w:w="5" w:type="pct"/>
            <w:shd w:val="clear" w:color="auto" w:fill="auto"/>
            <w:vAlign w:val="bottom"/>
          </w:tcPr>
          <w:p w14:paraId="392C8188" w14:textId="77777777" w:rsidR="00980E5F" w:rsidRDefault="00980E5F">
            <w:pPr>
              <w:rPr>
                <w:rFonts w:ascii="宋体"/>
              </w:rPr>
            </w:pPr>
          </w:p>
        </w:tc>
        <w:tc>
          <w:tcPr>
            <w:tcW w:w="19" w:type="pct"/>
            <w:shd w:val="clear" w:color="auto" w:fill="auto"/>
            <w:vAlign w:val="bottom"/>
          </w:tcPr>
          <w:p w14:paraId="392C8189" w14:textId="77777777" w:rsidR="00980E5F" w:rsidRDefault="00980E5F">
            <w:pPr>
              <w:rPr>
                <w:rFonts w:ascii="宋体"/>
              </w:rPr>
            </w:pPr>
          </w:p>
        </w:tc>
        <w:tc>
          <w:tcPr>
            <w:tcW w:w="5" w:type="pct"/>
            <w:shd w:val="clear" w:color="auto" w:fill="auto"/>
            <w:vAlign w:val="bottom"/>
          </w:tcPr>
          <w:p w14:paraId="392C818A" w14:textId="77777777" w:rsidR="00980E5F" w:rsidRDefault="00980E5F">
            <w:pPr>
              <w:rPr>
                <w:rFonts w:ascii="宋体"/>
              </w:rPr>
            </w:pPr>
          </w:p>
        </w:tc>
        <w:tc>
          <w:tcPr>
            <w:tcW w:w="50" w:type="pct"/>
            <w:shd w:val="clear" w:color="auto" w:fill="auto"/>
            <w:vAlign w:val="bottom"/>
          </w:tcPr>
          <w:p w14:paraId="392C818B" w14:textId="77777777" w:rsidR="00980E5F" w:rsidRDefault="00980E5F">
            <w:pPr>
              <w:rPr>
                <w:rFonts w:ascii="宋体"/>
              </w:rPr>
            </w:pPr>
          </w:p>
        </w:tc>
        <w:tc>
          <w:tcPr>
            <w:tcW w:w="1019" w:type="pct"/>
            <w:shd w:val="clear" w:color="auto" w:fill="auto"/>
            <w:vAlign w:val="bottom"/>
          </w:tcPr>
          <w:p w14:paraId="392C818C" w14:textId="77777777" w:rsidR="00980E5F" w:rsidRDefault="00980E5F">
            <w:pPr>
              <w:rPr>
                <w:rFonts w:ascii="宋体"/>
              </w:rPr>
            </w:pPr>
          </w:p>
        </w:tc>
        <w:tc>
          <w:tcPr>
            <w:tcW w:w="5" w:type="pct"/>
            <w:shd w:val="clear" w:color="auto" w:fill="auto"/>
            <w:vAlign w:val="bottom"/>
          </w:tcPr>
          <w:p w14:paraId="392C818D" w14:textId="77777777" w:rsidR="00980E5F" w:rsidRDefault="00980E5F">
            <w:pPr>
              <w:rPr>
                <w:rFonts w:ascii="宋体"/>
              </w:rPr>
            </w:pPr>
          </w:p>
        </w:tc>
      </w:tr>
      <w:tr w:rsidR="00980E5F" w14:paraId="392C8193" w14:textId="77777777">
        <w:tc>
          <w:tcPr>
            <w:tcW w:w="0" w:type="auto"/>
            <w:gridSpan w:val="3"/>
            <w:shd w:val="clear" w:color="auto" w:fill="auto"/>
            <w:tcMar>
              <w:top w:w="40" w:type="dxa"/>
              <w:left w:w="20" w:type="dxa"/>
              <w:bottom w:w="40" w:type="dxa"/>
              <w:right w:w="20" w:type="dxa"/>
            </w:tcMar>
            <w:vAlign w:val="bottom"/>
          </w:tcPr>
          <w:p w14:paraId="392C818F"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392C8190"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392C819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192"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8198" w14:textId="77777777">
        <w:tc>
          <w:tcPr>
            <w:tcW w:w="0" w:type="auto"/>
            <w:gridSpan w:val="3"/>
            <w:shd w:val="clear" w:color="auto" w:fill="auto"/>
            <w:tcMar>
              <w:top w:w="40" w:type="dxa"/>
              <w:left w:w="20" w:type="dxa"/>
              <w:bottom w:w="40" w:type="dxa"/>
              <w:right w:w="20" w:type="dxa"/>
            </w:tcMar>
            <w:vAlign w:val="bottom"/>
          </w:tcPr>
          <w:p w14:paraId="392C8194" w14:textId="77777777" w:rsidR="00980E5F" w:rsidRDefault="00483613">
            <w:pPr>
              <w:textAlignment w:val="bottom"/>
            </w:pPr>
            <w:r>
              <w:rPr>
                <w:rFonts w:ascii="Arial" w:eastAsia="宋体" w:hAnsi="Arial" w:cs="Arial"/>
                <w:b/>
                <w:bCs/>
                <w:color w:val="000000"/>
                <w:sz w:val="15"/>
                <w:szCs w:val="15"/>
              </w:rPr>
              <w:t xml:space="preserve">Derivatives not </w:t>
            </w:r>
            <w:r>
              <w:rPr>
                <w:rFonts w:ascii="Arial" w:eastAsia="宋体" w:hAnsi="Arial" w:cs="Arial"/>
                <w:b/>
                <w:bCs/>
                <w:color w:val="000000"/>
                <w:sz w:val="15"/>
                <w:szCs w:val="15"/>
              </w:rPr>
              <w:t>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19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19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197" w14:textId="77777777" w:rsidR="00980E5F" w:rsidRDefault="00980E5F">
            <w:pPr>
              <w:rPr>
                <w:rFonts w:ascii="宋体"/>
              </w:rPr>
            </w:pPr>
          </w:p>
        </w:tc>
      </w:tr>
      <w:tr w:rsidR="00980E5F" w14:paraId="392C819D" w14:textId="77777777">
        <w:tc>
          <w:tcPr>
            <w:tcW w:w="0" w:type="auto"/>
            <w:gridSpan w:val="3"/>
            <w:shd w:val="clear" w:color="auto" w:fill="auto"/>
            <w:tcMar>
              <w:top w:w="40" w:type="dxa"/>
              <w:left w:w="20" w:type="dxa"/>
              <w:bottom w:w="40" w:type="dxa"/>
              <w:right w:w="20" w:type="dxa"/>
            </w:tcMar>
            <w:vAlign w:val="bottom"/>
          </w:tcPr>
          <w:p w14:paraId="392C8199" w14:textId="77777777" w:rsidR="00980E5F" w:rsidRDefault="00483613">
            <w:pPr>
              <w:textAlignment w:val="bottom"/>
            </w:pPr>
            <w:r>
              <w:rPr>
                <w:rFonts w:ascii="Arial" w:eastAsia="宋体" w:hAnsi="Arial" w:cs="Arial"/>
                <w:color w:val="000000"/>
                <w:sz w:val="15"/>
                <w:szCs w:val="15"/>
              </w:rPr>
              <w:t>Interest rate contracts:</w:t>
            </w:r>
          </w:p>
        </w:tc>
        <w:tc>
          <w:tcPr>
            <w:tcW w:w="0" w:type="auto"/>
            <w:gridSpan w:val="3"/>
            <w:shd w:val="clear" w:color="auto" w:fill="auto"/>
            <w:tcMar>
              <w:top w:w="0" w:type="dxa"/>
              <w:left w:w="20" w:type="dxa"/>
              <w:bottom w:w="0" w:type="dxa"/>
              <w:right w:w="20" w:type="dxa"/>
            </w:tcMar>
            <w:vAlign w:val="bottom"/>
          </w:tcPr>
          <w:p w14:paraId="392C81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1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19C" w14:textId="77777777" w:rsidR="00980E5F" w:rsidRDefault="00980E5F">
            <w:pPr>
              <w:rPr>
                <w:rFonts w:ascii="宋体"/>
              </w:rPr>
            </w:pPr>
          </w:p>
        </w:tc>
      </w:tr>
      <w:tr w:rsidR="00980E5F" w14:paraId="392C81A2" w14:textId="77777777">
        <w:trPr>
          <w:hidden/>
        </w:trPr>
        <w:tc>
          <w:tcPr>
            <w:tcW w:w="0" w:type="auto"/>
            <w:gridSpan w:val="3"/>
            <w:shd w:val="clear" w:color="auto" w:fill="auto"/>
            <w:vAlign w:val="bottom"/>
          </w:tcPr>
          <w:p w14:paraId="392C819E" w14:textId="77777777" w:rsidR="00980E5F" w:rsidRDefault="00980E5F">
            <w:pPr>
              <w:rPr>
                <w:rFonts w:ascii="宋体"/>
                <w:vanish/>
              </w:rPr>
            </w:pPr>
          </w:p>
        </w:tc>
        <w:tc>
          <w:tcPr>
            <w:tcW w:w="0" w:type="auto"/>
            <w:gridSpan w:val="3"/>
            <w:shd w:val="clear" w:color="auto" w:fill="auto"/>
            <w:vAlign w:val="bottom"/>
          </w:tcPr>
          <w:p w14:paraId="392C819F" w14:textId="77777777" w:rsidR="00980E5F" w:rsidRDefault="00980E5F">
            <w:pPr>
              <w:rPr>
                <w:rFonts w:ascii="宋体"/>
                <w:vanish/>
              </w:rPr>
            </w:pPr>
          </w:p>
        </w:tc>
        <w:tc>
          <w:tcPr>
            <w:tcW w:w="0" w:type="auto"/>
            <w:gridSpan w:val="3"/>
            <w:shd w:val="clear" w:color="auto" w:fill="auto"/>
            <w:vAlign w:val="bottom"/>
          </w:tcPr>
          <w:p w14:paraId="392C81A0" w14:textId="77777777" w:rsidR="00980E5F" w:rsidRDefault="00980E5F">
            <w:pPr>
              <w:rPr>
                <w:rFonts w:ascii="宋体"/>
                <w:vanish/>
              </w:rPr>
            </w:pPr>
          </w:p>
        </w:tc>
        <w:tc>
          <w:tcPr>
            <w:tcW w:w="0" w:type="auto"/>
            <w:gridSpan w:val="3"/>
            <w:shd w:val="clear" w:color="auto" w:fill="auto"/>
            <w:vAlign w:val="bottom"/>
          </w:tcPr>
          <w:p w14:paraId="392C81A1" w14:textId="77777777" w:rsidR="00980E5F" w:rsidRDefault="00980E5F">
            <w:pPr>
              <w:rPr>
                <w:rFonts w:ascii="宋体"/>
                <w:vanish/>
              </w:rPr>
            </w:pPr>
          </w:p>
        </w:tc>
      </w:tr>
      <w:tr w:rsidR="00980E5F" w14:paraId="392C81A7" w14:textId="77777777">
        <w:trPr>
          <w:hidden/>
        </w:trPr>
        <w:tc>
          <w:tcPr>
            <w:tcW w:w="0" w:type="auto"/>
            <w:gridSpan w:val="3"/>
            <w:shd w:val="clear" w:color="auto" w:fill="auto"/>
            <w:vAlign w:val="bottom"/>
          </w:tcPr>
          <w:p w14:paraId="392C81A3" w14:textId="77777777" w:rsidR="00980E5F" w:rsidRDefault="00980E5F">
            <w:pPr>
              <w:rPr>
                <w:rFonts w:ascii="宋体"/>
                <w:vanish/>
              </w:rPr>
            </w:pPr>
          </w:p>
        </w:tc>
        <w:tc>
          <w:tcPr>
            <w:tcW w:w="0" w:type="auto"/>
            <w:gridSpan w:val="3"/>
            <w:shd w:val="clear" w:color="auto" w:fill="auto"/>
            <w:vAlign w:val="bottom"/>
          </w:tcPr>
          <w:p w14:paraId="392C81A4" w14:textId="77777777" w:rsidR="00980E5F" w:rsidRDefault="00980E5F">
            <w:pPr>
              <w:rPr>
                <w:rFonts w:ascii="宋体"/>
                <w:vanish/>
              </w:rPr>
            </w:pPr>
          </w:p>
        </w:tc>
        <w:tc>
          <w:tcPr>
            <w:tcW w:w="0" w:type="auto"/>
            <w:gridSpan w:val="3"/>
            <w:shd w:val="clear" w:color="auto" w:fill="auto"/>
            <w:vAlign w:val="bottom"/>
          </w:tcPr>
          <w:p w14:paraId="392C81A5" w14:textId="77777777" w:rsidR="00980E5F" w:rsidRDefault="00980E5F">
            <w:pPr>
              <w:rPr>
                <w:rFonts w:ascii="宋体"/>
                <w:vanish/>
              </w:rPr>
            </w:pPr>
          </w:p>
        </w:tc>
        <w:tc>
          <w:tcPr>
            <w:tcW w:w="0" w:type="auto"/>
            <w:gridSpan w:val="3"/>
            <w:shd w:val="clear" w:color="auto" w:fill="auto"/>
            <w:vAlign w:val="bottom"/>
          </w:tcPr>
          <w:p w14:paraId="392C81A6" w14:textId="77777777" w:rsidR="00980E5F" w:rsidRDefault="00980E5F">
            <w:pPr>
              <w:rPr>
                <w:rFonts w:ascii="宋体"/>
                <w:vanish/>
              </w:rPr>
            </w:pPr>
          </w:p>
        </w:tc>
      </w:tr>
      <w:tr w:rsidR="00980E5F" w14:paraId="392C81AC" w14:textId="77777777">
        <w:trPr>
          <w:hidden/>
        </w:trPr>
        <w:tc>
          <w:tcPr>
            <w:tcW w:w="0" w:type="auto"/>
            <w:gridSpan w:val="3"/>
            <w:shd w:val="clear" w:color="auto" w:fill="auto"/>
            <w:vAlign w:val="bottom"/>
          </w:tcPr>
          <w:p w14:paraId="392C81A8" w14:textId="77777777" w:rsidR="00980E5F" w:rsidRDefault="00980E5F">
            <w:pPr>
              <w:rPr>
                <w:rFonts w:ascii="宋体"/>
                <w:vanish/>
              </w:rPr>
            </w:pPr>
          </w:p>
        </w:tc>
        <w:tc>
          <w:tcPr>
            <w:tcW w:w="0" w:type="auto"/>
            <w:gridSpan w:val="3"/>
            <w:shd w:val="clear" w:color="auto" w:fill="auto"/>
            <w:vAlign w:val="bottom"/>
          </w:tcPr>
          <w:p w14:paraId="392C81A9" w14:textId="77777777" w:rsidR="00980E5F" w:rsidRDefault="00980E5F">
            <w:pPr>
              <w:rPr>
                <w:rFonts w:ascii="宋体"/>
                <w:vanish/>
              </w:rPr>
            </w:pPr>
          </w:p>
        </w:tc>
        <w:tc>
          <w:tcPr>
            <w:tcW w:w="0" w:type="auto"/>
            <w:gridSpan w:val="3"/>
            <w:shd w:val="clear" w:color="auto" w:fill="auto"/>
            <w:vAlign w:val="bottom"/>
          </w:tcPr>
          <w:p w14:paraId="392C81AA" w14:textId="77777777" w:rsidR="00980E5F" w:rsidRDefault="00980E5F">
            <w:pPr>
              <w:rPr>
                <w:rFonts w:ascii="宋体"/>
                <w:vanish/>
              </w:rPr>
            </w:pPr>
          </w:p>
        </w:tc>
        <w:tc>
          <w:tcPr>
            <w:tcW w:w="0" w:type="auto"/>
            <w:gridSpan w:val="3"/>
            <w:shd w:val="clear" w:color="auto" w:fill="auto"/>
            <w:vAlign w:val="bottom"/>
          </w:tcPr>
          <w:p w14:paraId="392C81AB" w14:textId="77777777" w:rsidR="00980E5F" w:rsidRDefault="00980E5F">
            <w:pPr>
              <w:rPr>
                <w:rFonts w:ascii="宋体"/>
                <w:vanish/>
              </w:rPr>
            </w:pPr>
          </w:p>
        </w:tc>
      </w:tr>
      <w:tr w:rsidR="00980E5F" w14:paraId="392C81B5" w14:textId="77777777">
        <w:tc>
          <w:tcPr>
            <w:tcW w:w="0" w:type="auto"/>
            <w:gridSpan w:val="3"/>
            <w:shd w:val="clear" w:color="auto" w:fill="CCEEFF"/>
            <w:tcMar>
              <w:top w:w="40" w:type="dxa"/>
              <w:left w:w="155" w:type="dxa"/>
              <w:bottom w:w="40" w:type="dxa"/>
              <w:right w:w="20" w:type="dxa"/>
            </w:tcMar>
            <w:vAlign w:val="bottom"/>
          </w:tcPr>
          <w:p w14:paraId="392C81AD" w14:textId="77777777" w:rsidR="00980E5F" w:rsidRDefault="00483613">
            <w:pPr>
              <w:textAlignment w:val="bottom"/>
            </w:pPr>
            <w:r>
              <w:rPr>
                <w:rFonts w:ascii="Arial" w:eastAsia="宋体" w:hAnsi="Arial" w:cs="Arial"/>
                <w:color w:val="000000"/>
                <w:sz w:val="15"/>
                <w:szCs w:val="15"/>
              </w:rPr>
              <w:t>Futures</w:t>
            </w:r>
          </w:p>
        </w:tc>
        <w:tc>
          <w:tcPr>
            <w:tcW w:w="0" w:type="auto"/>
            <w:shd w:val="clear" w:color="auto" w:fill="CCEEFF"/>
            <w:tcMar>
              <w:top w:w="40" w:type="dxa"/>
              <w:left w:w="20" w:type="dxa"/>
              <w:bottom w:w="40" w:type="dxa"/>
              <w:right w:w="0" w:type="dxa"/>
            </w:tcMar>
            <w:vAlign w:val="bottom"/>
          </w:tcPr>
          <w:p w14:paraId="392C81AE"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1AF" w14:textId="77777777" w:rsidR="00980E5F" w:rsidRDefault="00483613">
            <w:pPr>
              <w:jc w:val="right"/>
              <w:textAlignment w:val="bottom"/>
            </w:pPr>
            <w:r>
              <w:rPr>
                <w:rFonts w:ascii="Arial" w:eastAsia="宋体" w:hAnsi="Arial" w:cs="Arial"/>
                <w:b/>
                <w:bCs/>
                <w:color w:val="000000"/>
                <w:sz w:val="15"/>
                <w:szCs w:val="15"/>
              </w:rPr>
              <w:t>4,783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B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1B2"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1B3" w14:textId="77777777" w:rsidR="00980E5F" w:rsidRDefault="00483613">
            <w:pPr>
              <w:jc w:val="right"/>
              <w:textAlignment w:val="bottom"/>
            </w:pPr>
            <w:r>
              <w:rPr>
                <w:rFonts w:ascii="Arial" w:eastAsia="宋体" w:hAnsi="Arial" w:cs="Arial"/>
                <w:color w:val="000000"/>
                <w:sz w:val="15"/>
                <w:szCs w:val="15"/>
              </w:rPr>
              <w:t>9,604 </w:t>
            </w:r>
          </w:p>
        </w:tc>
        <w:tc>
          <w:tcPr>
            <w:tcW w:w="0" w:type="auto"/>
            <w:shd w:val="clear" w:color="auto" w:fill="CCEEFF"/>
            <w:tcMar>
              <w:top w:w="40" w:type="dxa"/>
              <w:left w:w="0" w:type="dxa"/>
              <w:bottom w:w="40" w:type="dxa"/>
              <w:right w:w="20" w:type="dxa"/>
            </w:tcMar>
            <w:vAlign w:val="bottom"/>
          </w:tcPr>
          <w:p w14:paraId="392C81B4" w14:textId="77777777" w:rsidR="00980E5F" w:rsidRDefault="00980E5F">
            <w:pPr>
              <w:jc w:val="right"/>
              <w:rPr>
                <w:rFonts w:ascii="宋体"/>
              </w:rPr>
            </w:pPr>
          </w:p>
        </w:tc>
      </w:tr>
      <w:tr w:rsidR="00980E5F" w14:paraId="392C81BA" w14:textId="77777777">
        <w:tc>
          <w:tcPr>
            <w:tcW w:w="0" w:type="auto"/>
            <w:gridSpan w:val="3"/>
            <w:shd w:val="clear" w:color="auto" w:fill="FFFFFF"/>
            <w:tcMar>
              <w:top w:w="40" w:type="dxa"/>
              <w:left w:w="20" w:type="dxa"/>
              <w:bottom w:w="40" w:type="dxa"/>
              <w:right w:w="20" w:type="dxa"/>
            </w:tcMar>
            <w:vAlign w:val="bottom"/>
          </w:tcPr>
          <w:p w14:paraId="392C81B6" w14:textId="77777777" w:rsidR="00980E5F" w:rsidRDefault="00483613">
            <w:pPr>
              <w:textAlignment w:val="bottom"/>
            </w:pPr>
            <w:r>
              <w:rPr>
                <w:rFonts w:ascii="Arial" w:eastAsia="宋体" w:hAnsi="Arial" w:cs="Arial"/>
                <w:color w:val="000000"/>
                <w:sz w:val="15"/>
                <w:szCs w:val="15"/>
              </w:rPr>
              <w:t>Foreign exchange contracts:</w:t>
            </w:r>
          </w:p>
        </w:tc>
        <w:tc>
          <w:tcPr>
            <w:tcW w:w="0" w:type="auto"/>
            <w:gridSpan w:val="3"/>
            <w:shd w:val="clear" w:color="auto" w:fill="FFFFFF"/>
            <w:tcMar>
              <w:top w:w="0" w:type="dxa"/>
              <w:left w:w="20" w:type="dxa"/>
              <w:bottom w:w="0" w:type="dxa"/>
              <w:right w:w="20" w:type="dxa"/>
            </w:tcMar>
            <w:vAlign w:val="bottom"/>
          </w:tcPr>
          <w:p w14:paraId="392C81B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1B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1B9" w14:textId="77777777" w:rsidR="00980E5F" w:rsidRDefault="00980E5F">
            <w:pPr>
              <w:rPr>
                <w:rFonts w:ascii="宋体"/>
              </w:rPr>
            </w:pPr>
          </w:p>
        </w:tc>
      </w:tr>
      <w:tr w:rsidR="00980E5F" w14:paraId="392C81C1" w14:textId="77777777">
        <w:tc>
          <w:tcPr>
            <w:tcW w:w="0" w:type="auto"/>
            <w:gridSpan w:val="3"/>
            <w:shd w:val="clear" w:color="auto" w:fill="CCEEFF"/>
            <w:tcMar>
              <w:top w:w="40" w:type="dxa"/>
              <w:left w:w="155" w:type="dxa"/>
              <w:bottom w:w="40" w:type="dxa"/>
              <w:right w:w="20" w:type="dxa"/>
            </w:tcMar>
            <w:vAlign w:val="bottom"/>
          </w:tcPr>
          <w:p w14:paraId="392C81BB" w14:textId="77777777" w:rsidR="00980E5F" w:rsidRDefault="00483613">
            <w:pPr>
              <w:textAlignment w:val="bottom"/>
            </w:pPr>
            <w:r>
              <w:rPr>
                <w:rFonts w:ascii="Arial" w:eastAsia="宋体" w:hAnsi="Arial" w:cs="Arial"/>
                <w:color w:val="000000"/>
                <w:sz w:val="15"/>
                <w:szCs w:val="15"/>
              </w:rPr>
              <w:t>Forward, swap and spot</w:t>
            </w:r>
          </w:p>
        </w:tc>
        <w:tc>
          <w:tcPr>
            <w:tcW w:w="0" w:type="auto"/>
            <w:gridSpan w:val="2"/>
            <w:shd w:val="clear" w:color="auto" w:fill="CCEEFF"/>
            <w:tcMar>
              <w:top w:w="40" w:type="dxa"/>
              <w:left w:w="20" w:type="dxa"/>
              <w:bottom w:w="40" w:type="dxa"/>
              <w:right w:w="0" w:type="dxa"/>
            </w:tcMar>
            <w:vAlign w:val="bottom"/>
          </w:tcPr>
          <w:p w14:paraId="392C81BC" w14:textId="77777777" w:rsidR="00980E5F" w:rsidRDefault="00483613">
            <w:pPr>
              <w:jc w:val="right"/>
              <w:textAlignment w:val="bottom"/>
            </w:pPr>
            <w:r>
              <w:rPr>
                <w:rFonts w:ascii="Arial" w:eastAsia="宋体" w:hAnsi="Arial" w:cs="Arial"/>
                <w:b/>
                <w:bCs/>
                <w:color w:val="000000"/>
                <w:sz w:val="15"/>
                <w:szCs w:val="15"/>
              </w:rPr>
              <w:t>2,190,465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B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BF" w14:textId="77777777" w:rsidR="00980E5F" w:rsidRDefault="00483613">
            <w:pPr>
              <w:jc w:val="right"/>
              <w:textAlignment w:val="bottom"/>
            </w:pPr>
            <w:r>
              <w:rPr>
                <w:rFonts w:ascii="Arial" w:eastAsia="宋体" w:hAnsi="Arial" w:cs="Arial"/>
                <w:color w:val="000000"/>
                <w:sz w:val="15"/>
                <w:szCs w:val="15"/>
              </w:rPr>
              <w:t>2,569,449 </w:t>
            </w:r>
          </w:p>
        </w:tc>
        <w:tc>
          <w:tcPr>
            <w:tcW w:w="0" w:type="auto"/>
            <w:shd w:val="clear" w:color="auto" w:fill="CCEEFF"/>
            <w:tcMar>
              <w:top w:w="40" w:type="dxa"/>
              <w:left w:w="0" w:type="dxa"/>
              <w:bottom w:w="40" w:type="dxa"/>
              <w:right w:w="20" w:type="dxa"/>
            </w:tcMar>
            <w:vAlign w:val="bottom"/>
          </w:tcPr>
          <w:p w14:paraId="392C81C0" w14:textId="77777777" w:rsidR="00980E5F" w:rsidRDefault="00980E5F">
            <w:pPr>
              <w:jc w:val="right"/>
              <w:rPr>
                <w:rFonts w:ascii="宋体"/>
              </w:rPr>
            </w:pPr>
          </w:p>
        </w:tc>
      </w:tr>
      <w:tr w:rsidR="00980E5F" w14:paraId="392C81C8" w14:textId="77777777">
        <w:tc>
          <w:tcPr>
            <w:tcW w:w="0" w:type="auto"/>
            <w:gridSpan w:val="3"/>
            <w:shd w:val="clear" w:color="auto" w:fill="FFFFFF"/>
            <w:tcMar>
              <w:top w:w="40" w:type="dxa"/>
              <w:left w:w="155" w:type="dxa"/>
              <w:bottom w:w="40" w:type="dxa"/>
              <w:right w:w="20" w:type="dxa"/>
            </w:tcMar>
            <w:vAlign w:val="bottom"/>
          </w:tcPr>
          <w:p w14:paraId="392C81C2" w14:textId="77777777" w:rsidR="00980E5F" w:rsidRDefault="00483613">
            <w:pPr>
              <w:textAlignment w:val="bottom"/>
            </w:pPr>
            <w:r>
              <w:rPr>
                <w:rFonts w:ascii="Arial" w:eastAsia="宋体" w:hAnsi="Arial" w:cs="Arial"/>
                <w:color w:val="000000"/>
                <w:sz w:val="15"/>
                <w:szCs w:val="15"/>
              </w:rPr>
              <w:t>Options purchased</w:t>
            </w:r>
          </w:p>
        </w:tc>
        <w:tc>
          <w:tcPr>
            <w:tcW w:w="0" w:type="auto"/>
            <w:gridSpan w:val="2"/>
            <w:shd w:val="clear" w:color="auto" w:fill="FFFFFF"/>
            <w:tcMar>
              <w:top w:w="40" w:type="dxa"/>
              <w:left w:w="20" w:type="dxa"/>
              <w:bottom w:w="40" w:type="dxa"/>
              <w:right w:w="0" w:type="dxa"/>
            </w:tcMar>
            <w:vAlign w:val="bottom"/>
          </w:tcPr>
          <w:p w14:paraId="392C81C3" w14:textId="77777777" w:rsidR="00980E5F" w:rsidRDefault="00483613">
            <w:pPr>
              <w:jc w:val="right"/>
              <w:textAlignment w:val="bottom"/>
            </w:pPr>
            <w:r>
              <w:rPr>
                <w:rFonts w:ascii="Arial" w:eastAsia="宋体" w:hAnsi="Arial" w:cs="Arial"/>
                <w:b/>
                <w:bCs/>
                <w:color w:val="000000"/>
                <w:sz w:val="15"/>
                <w:szCs w:val="15"/>
              </w:rPr>
              <w:t>1,255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C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C6" w14:textId="77777777" w:rsidR="00980E5F" w:rsidRDefault="00483613">
            <w:pPr>
              <w:jc w:val="right"/>
              <w:textAlignment w:val="bottom"/>
            </w:pPr>
            <w:r>
              <w:rPr>
                <w:rFonts w:ascii="Arial" w:eastAsia="宋体" w:hAnsi="Arial" w:cs="Arial"/>
                <w:color w:val="000000"/>
                <w:sz w:val="15"/>
                <w:szCs w:val="15"/>
              </w:rPr>
              <w:t>328 </w:t>
            </w:r>
          </w:p>
        </w:tc>
        <w:tc>
          <w:tcPr>
            <w:tcW w:w="0" w:type="auto"/>
            <w:shd w:val="clear" w:color="auto" w:fill="FFFFFF"/>
            <w:tcMar>
              <w:top w:w="40" w:type="dxa"/>
              <w:left w:w="0" w:type="dxa"/>
              <w:bottom w:w="40" w:type="dxa"/>
              <w:right w:w="20" w:type="dxa"/>
            </w:tcMar>
            <w:vAlign w:val="bottom"/>
          </w:tcPr>
          <w:p w14:paraId="392C81C7" w14:textId="77777777" w:rsidR="00980E5F" w:rsidRDefault="00980E5F">
            <w:pPr>
              <w:jc w:val="right"/>
              <w:rPr>
                <w:rFonts w:ascii="宋体"/>
              </w:rPr>
            </w:pPr>
          </w:p>
        </w:tc>
      </w:tr>
      <w:tr w:rsidR="00980E5F" w14:paraId="392C81CF" w14:textId="77777777">
        <w:tc>
          <w:tcPr>
            <w:tcW w:w="0" w:type="auto"/>
            <w:gridSpan w:val="3"/>
            <w:shd w:val="clear" w:color="auto" w:fill="CCEEFF"/>
            <w:tcMar>
              <w:top w:w="40" w:type="dxa"/>
              <w:left w:w="155" w:type="dxa"/>
              <w:bottom w:w="40" w:type="dxa"/>
              <w:right w:w="20" w:type="dxa"/>
            </w:tcMar>
            <w:vAlign w:val="bottom"/>
          </w:tcPr>
          <w:p w14:paraId="392C81C9" w14:textId="77777777" w:rsidR="00980E5F" w:rsidRDefault="00483613">
            <w:pPr>
              <w:textAlignment w:val="bottom"/>
            </w:pPr>
            <w:r>
              <w:rPr>
                <w:rFonts w:ascii="Arial" w:eastAsia="宋体" w:hAnsi="Arial" w:cs="Arial"/>
                <w:color w:val="000000"/>
                <w:sz w:val="15"/>
                <w:szCs w:val="15"/>
              </w:rPr>
              <w:t>Options written</w:t>
            </w:r>
          </w:p>
        </w:tc>
        <w:tc>
          <w:tcPr>
            <w:tcW w:w="0" w:type="auto"/>
            <w:gridSpan w:val="2"/>
            <w:shd w:val="clear" w:color="auto" w:fill="CCEEFF"/>
            <w:tcMar>
              <w:top w:w="40" w:type="dxa"/>
              <w:left w:w="20" w:type="dxa"/>
              <w:bottom w:w="40" w:type="dxa"/>
              <w:right w:w="0" w:type="dxa"/>
            </w:tcMar>
            <w:vAlign w:val="bottom"/>
          </w:tcPr>
          <w:p w14:paraId="392C81CA" w14:textId="77777777" w:rsidR="00980E5F" w:rsidRDefault="00483613">
            <w:pPr>
              <w:jc w:val="right"/>
              <w:textAlignment w:val="bottom"/>
            </w:pPr>
            <w:r>
              <w:rPr>
                <w:rFonts w:ascii="Arial" w:eastAsia="宋体" w:hAnsi="Arial" w:cs="Arial"/>
                <w:b/>
                <w:bCs/>
                <w:color w:val="000000"/>
                <w:sz w:val="15"/>
                <w:szCs w:val="15"/>
              </w:rPr>
              <w:t>874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1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1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1CD" w14:textId="77777777" w:rsidR="00980E5F" w:rsidRDefault="00483613">
            <w:pPr>
              <w:jc w:val="right"/>
              <w:textAlignment w:val="bottom"/>
            </w:pPr>
            <w:r>
              <w:rPr>
                <w:rFonts w:ascii="Arial" w:eastAsia="宋体" w:hAnsi="Arial" w:cs="Arial"/>
                <w:color w:val="000000"/>
                <w:sz w:val="15"/>
                <w:szCs w:val="15"/>
              </w:rPr>
              <w:t>210 </w:t>
            </w:r>
          </w:p>
        </w:tc>
        <w:tc>
          <w:tcPr>
            <w:tcW w:w="0" w:type="auto"/>
            <w:shd w:val="clear" w:color="auto" w:fill="CCEEFF"/>
            <w:tcMar>
              <w:top w:w="40" w:type="dxa"/>
              <w:left w:w="0" w:type="dxa"/>
              <w:bottom w:w="40" w:type="dxa"/>
              <w:right w:w="20" w:type="dxa"/>
            </w:tcMar>
            <w:vAlign w:val="bottom"/>
          </w:tcPr>
          <w:p w14:paraId="392C81CE" w14:textId="77777777" w:rsidR="00980E5F" w:rsidRDefault="00980E5F">
            <w:pPr>
              <w:jc w:val="right"/>
              <w:rPr>
                <w:rFonts w:ascii="宋体"/>
              </w:rPr>
            </w:pPr>
          </w:p>
        </w:tc>
      </w:tr>
      <w:tr w:rsidR="00980E5F" w14:paraId="392C81D6" w14:textId="77777777">
        <w:tc>
          <w:tcPr>
            <w:tcW w:w="0" w:type="auto"/>
            <w:gridSpan w:val="3"/>
            <w:shd w:val="clear" w:color="auto" w:fill="FFFFFF"/>
            <w:tcMar>
              <w:top w:w="40" w:type="dxa"/>
              <w:left w:w="155" w:type="dxa"/>
              <w:bottom w:w="40" w:type="dxa"/>
              <w:right w:w="20" w:type="dxa"/>
            </w:tcMar>
            <w:vAlign w:val="bottom"/>
          </w:tcPr>
          <w:p w14:paraId="392C81D0" w14:textId="77777777" w:rsidR="00980E5F" w:rsidRDefault="00483613">
            <w:pPr>
              <w:textAlignment w:val="bottom"/>
            </w:pPr>
            <w:r>
              <w:rPr>
                <w:rFonts w:ascii="Arial" w:eastAsia="宋体" w:hAnsi="Arial" w:cs="Arial"/>
                <w:color w:val="000000"/>
                <w:sz w:val="15"/>
                <w:szCs w:val="15"/>
              </w:rPr>
              <w:t>Futures</w:t>
            </w:r>
          </w:p>
        </w:tc>
        <w:tc>
          <w:tcPr>
            <w:tcW w:w="0" w:type="auto"/>
            <w:gridSpan w:val="2"/>
            <w:shd w:val="clear" w:color="auto" w:fill="FFFFFF"/>
            <w:tcMar>
              <w:top w:w="40" w:type="dxa"/>
              <w:left w:w="20" w:type="dxa"/>
              <w:bottom w:w="40" w:type="dxa"/>
              <w:right w:w="0" w:type="dxa"/>
            </w:tcMar>
            <w:vAlign w:val="bottom"/>
          </w:tcPr>
          <w:p w14:paraId="392C81D1" w14:textId="77777777" w:rsidR="00980E5F" w:rsidRDefault="00483613">
            <w:pPr>
              <w:jc w:val="right"/>
              <w:textAlignment w:val="bottom"/>
            </w:pPr>
            <w:r>
              <w:rPr>
                <w:rFonts w:ascii="Arial" w:eastAsia="宋体" w:hAnsi="Arial" w:cs="Arial"/>
                <w:b/>
                <w:bCs/>
                <w:color w:val="000000"/>
                <w:sz w:val="15"/>
                <w:szCs w:val="15"/>
              </w:rPr>
              <w:t>1,662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D4" w14:textId="77777777" w:rsidR="00980E5F" w:rsidRDefault="00483613">
            <w:pPr>
              <w:jc w:val="right"/>
              <w:textAlignment w:val="bottom"/>
            </w:pPr>
            <w:r>
              <w:rPr>
                <w:rFonts w:ascii="Arial" w:eastAsia="宋体" w:hAnsi="Arial" w:cs="Arial"/>
                <w:color w:val="000000"/>
                <w:sz w:val="15"/>
                <w:szCs w:val="15"/>
              </w:rPr>
              <w:t>2,359 </w:t>
            </w:r>
          </w:p>
        </w:tc>
        <w:tc>
          <w:tcPr>
            <w:tcW w:w="0" w:type="auto"/>
            <w:shd w:val="clear" w:color="auto" w:fill="FFFFFF"/>
            <w:tcMar>
              <w:top w:w="40" w:type="dxa"/>
              <w:left w:w="0" w:type="dxa"/>
              <w:bottom w:w="40" w:type="dxa"/>
              <w:right w:w="20" w:type="dxa"/>
            </w:tcMar>
            <w:vAlign w:val="bottom"/>
          </w:tcPr>
          <w:p w14:paraId="392C81D5" w14:textId="77777777" w:rsidR="00980E5F" w:rsidRDefault="00980E5F">
            <w:pPr>
              <w:jc w:val="right"/>
              <w:rPr>
                <w:rFonts w:ascii="宋体"/>
              </w:rPr>
            </w:pPr>
          </w:p>
        </w:tc>
      </w:tr>
      <w:tr w:rsidR="00980E5F" w14:paraId="392C81DB" w14:textId="77777777">
        <w:trPr>
          <w:hidden/>
        </w:trPr>
        <w:tc>
          <w:tcPr>
            <w:tcW w:w="0" w:type="auto"/>
            <w:gridSpan w:val="3"/>
            <w:shd w:val="clear" w:color="auto" w:fill="auto"/>
            <w:vAlign w:val="bottom"/>
          </w:tcPr>
          <w:p w14:paraId="392C81D7" w14:textId="77777777" w:rsidR="00980E5F" w:rsidRDefault="00980E5F">
            <w:pPr>
              <w:rPr>
                <w:rFonts w:ascii="宋体"/>
                <w:vanish/>
              </w:rPr>
            </w:pPr>
          </w:p>
        </w:tc>
        <w:tc>
          <w:tcPr>
            <w:tcW w:w="0" w:type="auto"/>
            <w:gridSpan w:val="3"/>
            <w:shd w:val="clear" w:color="auto" w:fill="auto"/>
            <w:vAlign w:val="bottom"/>
          </w:tcPr>
          <w:p w14:paraId="392C81D8" w14:textId="77777777" w:rsidR="00980E5F" w:rsidRDefault="00980E5F">
            <w:pPr>
              <w:rPr>
                <w:rFonts w:ascii="宋体"/>
                <w:vanish/>
              </w:rPr>
            </w:pPr>
          </w:p>
        </w:tc>
        <w:tc>
          <w:tcPr>
            <w:tcW w:w="0" w:type="auto"/>
            <w:gridSpan w:val="3"/>
            <w:shd w:val="clear" w:color="auto" w:fill="auto"/>
            <w:vAlign w:val="bottom"/>
          </w:tcPr>
          <w:p w14:paraId="392C81D9" w14:textId="77777777" w:rsidR="00980E5F" w:rsidRDefault="00980E5F">
            <w:pPr>
              <w:rPr>
                <w:rFonts w:ascii="宋体"/>
                <w:vanish/>
              </w:rPr>
            </w:pPr>
          </w:p>
        </w:tc>
        <w:tc>
          <w:tcPr>
            <w:tcW w:w="0" w:type="auto"/>
            <w:gridSpan w:val="3"/>
            <w:shd w:val="clear" w:color="auto" w:fill="auto"/>
            <w:vAlign w:val="bottom"/>
          </w:tcPr>
          <w:p w14:paraId="392C81DA" w14:textId="77777777" w:rsidR="00980E5F" w:rsidRDefault="00980E5F">
            <w:pPr>
              <w:rPr>
                <w:rFonts w:ascii="宋体"/>
                <w:vanish/>
              </w:rPr>
            </w:pPr>
          </w:p>
        </w:tc>
      </w:tr>
      <w:tr w:rsidR="00980E5F" w14:paraId="392C81E0" w14:textId="77777777">
        <w:trPr>
          <w:hidden/>
        </w:trPr>
        <w:tc>
          <w:tcPr>
            <w:tcW w:w="0" w:type="auto"/>
            <w:gridSpan w:val="3"/>
            <w:shd w:val="clear" w:color="auto" w:fill="auto"/>
            <w:vAlign w:val="bottom"/>
          </w:tcPr>
          <w:p w14:paraId="392C81DC" w14:textId="77777777" w:rsidR="00980E5F" w:rsidRDefault="00980E5F">
            <w:pPr>
              <w:rPr>
                <w:rFonts w:ascii="宋体"/>
                <w:vanish/>
              </w:rPr>
            </w:pPr>
          </w:p>
        </w:tc>
        <w:tc>
          <w:tcPr>
            <w:tcW w:w="0" w:type="auto"/>
            <w:gridSpan w:val="3"/>
            <w:shd w:val="clear" w:color="auto" w:fill="auto"/>
            <w:vAlign w:val="bottom"/>
          </w:tcPr>
          <w:p w14:paraId="392C81DD" w14:textId="77777777" w:rsidR="00980E5F" w:rsidRDefault="00980E5F">
            <w:pPr>
              <w:rPr>
                <w:rFonts w:ascii="宋体"/>
                <w:vanish/>
              </w:rPr>
            </w:pPr>
          </w:p>
        </w:tc>
        <w:tc>
          <w:tcPr>
            <w:tcW w:w="0" w:type="auto"/>
            <w:gridSpan w:val="3"/>
            <w:shd w:val="clear" w:color="auto" w:fill="auto"/>
            <w:vAlign w:val="bottom"/>
          </w:tcPr>
          <w:p w14:paraId="392C81DE" w14:textId="77777777" w:rsidR="00980E5F" w:rsidRDefault="00980E5F">
            <w:pPr>
              <w:rPr>
                <w:rFonts w:ascii="宋体"/>
                <w:vanish/>
              </w:rPr>
            </w:pPr>
          </w:p>
        </w:tc>
        <w:tc>
          <w:tcPr>
            <w:tcW w:w="0" w:type="auto"/>
            <w:gridSpan w:val="3"/>
            <w:shd w:val="clear" w:color="auto" w:fill="auto"/>
            <w:vAlign w:val="bottom"/>
          </w:tcPr>
          <w:p w14:paraId="392C81DF" w14:textId="77777777" w:rsidR="00980E5F" w:rsidRDefault="00980E5F">
            <w:pPr>
              <w:rPr>
                <w:rFonts w:ascii="宋体"/>
                <w:vanish/>
              </w:rPr>
            </w:pPr>
          </w:p>
        </w:tc>
      </w:tr>
      <w:tr w:rsidR="00980E5F" w14:paraId="392C81E5" w14:textId="77777777">
        <w:trPr>
          <w:hidden/>
        </w:trPr>
        <w:tc>
          <w:tcPr>
            <w:tcW w:w="0" w:type="auto"/>
            <w:gridSpan w:val="3"/>
            <w:shd w:val="clear" w:color="auto" w:fill="auto"/>
            <w:vAlign w:val="bottom"/>
          </w:tcPr>
          <w:p w14:paraId="392C81E1" w14:textId="77777777" w:rsidR="00980E5F" w:rsidRDefault="00980E5F">
            <w:pPr>
              <w:rPr>
                <w:rFonts w:ascii="宋体"/>
                <w:vanish/>
              </w:rPr>
            </w:pPr>
          </w:p>
        </w:tc>
        <w:tc>
          <w:tcPr>
            <w:tcW w:w="0" w:type="auto"/>
            <w:gridSpan w:val="3"/>
            <w:shd w:val="clear" w:color="auto" w:fill="auto"/>
            <w:vAlign w:val="bottom"/>
          </w:tcPr>
          <w:p w14:paraId="392C81E2" w14:textId="77777777" w:rsidR="00980E5F" w:rsidRDefault="00980E5F">
            <w:pPr>
              <w:rPr>
                <w:rFonts w:ascii="宋体"/>
                <w:vanish/>
              </w:rPr>
            </w:pPr>
          </w:p>
        </w:tc>
        <w:tc>
          <w:tcPr>
            <w:tcW w:w="0" w:type="auto"/>
            <w:gridSpan w:val="3"/>
            <w:shd w:val="clear" w:color="auto" w:fill="auto"/>
            <w:vAlign w:val="bottom"/>
          </w:tcPr>
          <w:p w14:paraId="392C81E3" w14:textId="77777777" w:rsidR="00980E5F" w:rsidRDefault="00980E5F">
            <w:pPr>
              <w:rPr>
                <w:rFonts w:ascii="宋体"/>
                <w:vanish/>
              </w:rPr>
            </w:pPr>
          </w:p>
        </w:tc>
        <w:tc>
          <w:tcPr>
            <w:tcW w:w="0" w:type="auto"/>
            <w:gridSpan w:val="3"/>
            <w:shd w:val="clear" w:color="auto" w:fill="auto"/>
            <w:vAlign w:val="bottom"/>
          </w:tcPr>
          <w:p w14:paraId="392C81E4" w14:textId="77777777" w:rsidR="00980E5F" w:rsidRDefault="00980E5F">
            <w:pPr>
              <w:rPr>
                <w:rFonts w:ascii="宋体"/>
                <w:vanish/>
              </w:rPr>
            </w:pPr>
          </w:p>
        </w:tc>
      </w:tr>
      <w:tr w:rsidR="00980E5F" w14:paraId="392C81EA" w14:textId="77777777">
        <w:trPr>
          <w:hidden/>
        </w:trPr>
        <w:tc>
          <w:tcPr>
            <w:tcW w:w="0" w:type="auto"/>
            <w:gridSpan w:val="3"/>
            <w:shd w:val="clear" w:color="auto" w:fill="auto"/>
            <w:vAlign w:val="bottom"/>
          </w:tcPr>
          <w:p w14:paraId="392C81E6" w14:textId="77777777" w:rsidR="00980E5F" w:rsidRDefault="00980E5F">
            <w:pPr>
              <w:rPr>
                <w:rFonts w:ascii="宋体"/>
                <w:vanish/>
              </w:rPr>
            </w:pPr>
          </w:p>
        </w:tc>
        <w:tc>
          <w:tcPr>
            <w:tcW w:w="0" w:type="auto"/>
            <w:gridSpan w:val="3"/>
            <w:shd w:val="clear" w:color="auto" w:fill="auto"/>
            <w:vAlign w:val="bottom"/>
          </w:tcPr>
          <w:p w14:paraId="392C81E7" w14:textId="77777777" w:rsidR="00980E5F" w:rsidRDefault="00980E5F">
            <w:pPr>
              <w:rPr>
                <w:rFonts w:ascii="宋体"/>
                <w:vanish/>
              </w:rPr>
            </w:pPr>
          </w:p>
        </w:tc>
        <w:tc>
          <w:tcPr>
            <w:tcW w:w="0" w:type="auto"/>
            <w:gridSpan w:val="3"/>
            <w:shd w:val="clear" w:color="auto" w:fill="auto"/>
            <w:vAlign w:val="bottom"/>
          </w:tcPr>
          <w:p w14:paraId="392C81E8" w14:textId="77777777" w:rsidR="00980E5F" w:rsidRDefault="00980E5F">
            <w:pPr>
              <w:rPr>
                <w:rFonts w:ascii="宋体"/>
                <w:vanish/>
              </w:rPr>
            </w:pPr>
          </w:p>
        </w:tc>
        <w:tc>
          <w:tcPr>
            <w:tcW w:w="0" w:type="auto"/>
            <w:gridSpan w:val="3"/>
            <w:shd w:val="clear" w:color="auto" w:fill="auto"/>
            <w:vAlign w:val="bottom"/>
          </w:tcPr>
          <w:p w14:paraId="392C81E9" w14:textId="77777777" w:rsidR="00980E5F" w:rsidRDefault="00980E5F">
            <w:pPr>
              <w:rPr>
                <w:rFonts w:ascii="宋体"/>
                <w:vanish/>
              </w:rPr>
            </w:pPr>
          </w:p>
        </w:tc>
      </w:tr>
      <w:tr w:rsidR="00980E5F" w14:paraId="392C81EF" w14:textId="77777777">
        <w:trPr>
          <w:hidden/>
        </w:trPr>
        <w:tc>
          <w:tcPr>
            <w:tcW w:w="0" w:type="auto"/>
            <w:gridSpan w:val="3"/>
            <w:shd w:val="clear" w:color="auto" w:fill="auto"/>
            <w:vAlign w:val="bottom"/>
          </w:tcPr>
          <w:p w14:paraId="392C81EB" w14:textId="77777777" w:rsidR="00980E5F" w:rsidRDefault="00980E5F">
            <w:pPr>
              <w:rPr>
                <w:rFonts w:ascii="宋体"/>
                <w:vanish/>
              </w:rPr>
            </w:pPr>
          </w:p>
        </w:tc>
        <w:tc>
          <w:tcPr>
            <w:tcW w:w="0" w:type="auto"/>
            <w:gridSpan w:val="3"/>
            <w:shd w:val="clear" w:color="auto" w:fill="auto"/>
            <w:vAlign w:val="bottom"/>
          </w:tcPr>
          <w:p w14:paraId="392C81EC" w14:textId="77777777" w:rsidR="00980E5F" w:rsidRDefault="00980E5F">
            <w:pPr>
              <w:rPr>
                <w:rFonts w:ascii="宋体"/>
                <w:vanish/>
              </w:rPr>
            </w:pPr>
          </w:p>
        </w:tc>
        <w:tc>
          <w:tcPr>
            <w:tcW w:w="0" w:type="auto"/>
            <w:gridSpan w:val="3"/>
            <w:shd w:val="clear" w:color="auto" w:fill="auto"/>
            <w:vAlign w:val="bottom"/>
          </w:tcPr>
          <w:p w14:paraId="392C81ED" w14:textId="77777777" w:rsidR="00980E5F" w:rsidRDefault="00980E5F">
            <w:pPr>
              <w:rPr>
                <w:rFonts w:ascii="宋体"/>
                <w:vanish/>
              </w:rPr>
            </w:pPr>
          </w:p>
        </w:tc>
        <w:tc>
          <w:tcPr>
            <w:tcW w:w="0" w:type="auto"/>
            <w:gridSpan w:val="3"/>
            <w:shd w:val="clear" w:color="auto" w:fill="auto"/>
            <w:vAlign w:val="bottom"/>
          </w:tcPr>
          <w:p w14:paraId="392C81EE" w14:textId="77777777" w:rsidR="00980E5F" w:rsidRDefault="00980E5F">
            <w:pPr>
              <w:rPr>
                <w:rFonts w:ascii="宋体"/>
                <w:vanish/>
              </w:rPr>
            </w:pPr>
          </w:p>
        </w:tc>
      </w:tr>
      <w:tr w:rsidR="00980E5F" w14:paraId="392C81F4" w14:textId="77777777">
        <w:trPr>
          <w:hidden/>
        </w:trPr>
        <w:tc>
          <w:tcPr>
            <w:tcW w:w="0" w:type="auto"/>
            <w:gridSpan w:val="3"/>
            <w:shd w:val="clear" w:color="auto" w:fill="auto"/>
            <w:vAlign w:val="bottom"/>
          </w:tcPr>
          <w:p w14:paraId="392C81F0" w14:textId="77777777" w:rsidR="00980E5F" w:rsidRDefault="00980E5F">
            <w:pPr>
              <w:rPr>
                <w:rFonts w:ascii="宋体"/>
                <w:vanish/>
              </w:rPr>
            </w:pPr>
          </w:p>
        </w:tc>
        <w:tc>
          <w:tcPr>
            <w:tcW w:w="0" w:type="auto"/>
            <w:gridSpan w:val="3"/>
            <w:shd w:val="clear" w:color="auto" w:fill="auto"/>
            <w:vAlign w:val="bottom"/>
          </w:tcPr>
          <w:p w14:paraId="392C81F1" w14:textId="77777777" w:rsidR="00980E5F" w:rsidRDefault="00980E5F">
            <w:pPr>
              <w:rPr>
                <w:rFonts w:ascii="宋体"/>
                <w:vanish/>
              </w:rPr>
            </w:pPr>
          </w:p>
        </w:tc>
        <w:tc>
          <w:tcPr>
            <w:tcW w:w="0" w:type="auto"/>
            <w:gridSpan w:val="3"/>
            <w:shd w:val="clear" w:color="auto" w:fill="auto"/>
            <w:vAlign w:val="bottom"/>
          </w:tcPr>
          <w:p w14:paraId="392C81F2" w14:textId="77777777" w:rsidR="00980E5F" w:rsidRDefault="00980E5F">
            <w:pPr>
              <w:rPr>
                <w:rFonts w:ascii="宋体"/>
                <w:vanish/>
              </w:rPr>
            </w:pPr>
          </w:p>
        </w:tc>
        <w:tc>
          <w:tcPr>
            <w:tcW w:w="0" w:type="auto"/>
            <w:gridSpan w:val="3"/>
            <w:shd w:val="clear" w:color="auto" w:fill="auto"/>
            <w:vAlign w:val="bottom"/>
          </w:tcPr>
          <w:p w14:paraId="392C81F3" w14:textId="77777777" w:rsidR="00980E5F" w:rsidRDefault="00980E5F">
            <w:pPr>
              <w:rPr>
                <w:rFonts w:ascii="宋体"/>
                <w:vanish/>
              </w:rPr>
            </w:pPr>
          </w:p>
        </w:tc>
      </w:tr>
      <w:tr w:rsidR="00980E5F" w14:paraId="392C81F9" w14:textId="77777777">
        <w:tc>
          <w:tcPr>
            <w:tcW w:w="0" w:type="auto"/>
            <w:gridSpan w:val="3"/>
            <w:shd w:val="clear" w:color="auto" w:fill="CCEEFF"/>
            <w:tcMar>
              <w:top w:w="40" w:type="dxa"/>
              <w:left w:w="20" w:type="dxa"/>
              <w:bottom w:w="40" w:type="dxa"/>
              <w:right w:w="20" w:type="dxa"/>
            </w:tcMar>
            <w:vAlign w:val="bottom"/>
          </w:tcPr>
          <w:p w14:paraId="392C81F5" w14:textId="77777777" w:rsidR="00980E5F" w:rsidRDefault="00483613">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392C81F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1F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1F8" w14:textId="77777777" w:rsidR="00980E5F" w:rsidRDefault="00980E5F">
            <w:pPr>
              <w:rPr>
                <w:rFonts w:ascii="宋体"/>
              </w:rPr>
            </w:pPr>
          </w:p>
        </w:tc>
      </w:tr>
      <w:tr w:rsidR="00980E5F" w14:paraId="392C8200" w14:textId="77777777">
        <w:tc>
          <w:tcPr>
            <w:tcW w:w="0" w:type="auto"/>
            <w:gridSpan w:val="3"/>
            <w:shd w:val="clear" w:color="auto" w:fill="FFFFFF"/>
            <w:tcMar>
              <w:top w:w="40" w:type="dxa"/>
              <w:left w:w="20" w:type="dxa"/>
              <w:bottom w:w="40" w:type="dxa"/>
              <w:right w:w="20" w:type="dxa"/>
            </w:tcMar>
            <w:vAlign w:val="bottom"/>
          </w:tcPr>
          <w:p w14:paraId="392C81FA" w14:textId="77777777" w:rsidR="00980E5F" w:rsidRDefault="00483613">
            <w:pPr>
              <w:textAlignment w:val="bottom"/>
            </w:pPr>
            <w:r>
              <w:rPr>
                <w:rFonts w:ascii="Arial" w:eastAsia="宋体" w:hAnsi="Arial" w:cs="Arial"/>
                <w:color w:val="000000"/>
                <w:sz w:val="15"/>
                <w:szCs w:val="15"/>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81FB" w14:textId="77777777" w:rsidR="00980E5F" w:rsidRDefault="00483613">
            <w:pPr>
              <w:jc w:val="right"/>
              <w:textAlignment w:val="bottom"/>
            </w:pPr>
            <w:r>
              <w:rPr>
                <w:rFonts w:ascii="Arial" w:eastAsia="宋体" w:hAnsi="Arial" w:cs="Arial"/>
                <w:b/>
                <w:bCs/>
                <w:color w:val="000000"/>
                <w:sz w:val="15"/>
                <w:szCs w:val="15"/>
              </w:rPr>
              <w:t>33,121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1F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1F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1FE" w14:textId="77777777" w:rsidR="00980E5F" w:rsidRDefault="00483613">
            <w:pPr>
              <w:jc w:val="right"/>
              <w:textAlignment w:val="bottom"/>
            </w:pPr>
            <w:r>
              <w:rPr>
                <w:rFonts w:ascii="Arial" w:eastAsia="宋体" w:hAnsi="Arial" w:cs="Arial"/>
                <w:color w:val="000000"/>
                <w:sz w:val="15"/>
                <w:szCs w:val="15"/>
              </w:rPr>
              <w:t>32,868 </w:t>
            </w:r>
          </w:p>
        </w:tc>
        <w:tc>
          <w:tcPr>
            <w:tcW w:w="0" w:type="auto"/>
            <w:shd w:val="clear" w:color="auto" w:fill="FFFFFF"/>
            <w:tcMar>
              <w:top w:w="40" w:type="dxa"/>
              <w:left w:w="0" w:type="dxa"/>
              <w:bottom w:w="40" w:type="dxa"/>
              <w:right w:w="20" w:type="dxa"/>
            </w:tcMar>
            <w:vAlign w:val="bottom"/>
          </w:tcPr>
          <w:p w14:paraId="392C81FF" w14:textId="77777777" w:rsidR="00980E5F" w:rsidRDefault="00980E5F">
            <w:pPr>
              <w:jc w:val="right"/>
              <w:rPr>
                <w:rFonts w:ascii="宋体"/>
              </w:rPr>
            </w:pPr>
          </w:p>
        </w:tc>
      </w:tr>
      <w:tr w:rsidR="00980E5F" w14:paraId="392C8207" w14:textId="77777777">
        <w:tc>
          <w:tcPr>
            <w:tcW w:w="0" w:type="auto"/>
            <w:gridSpan w:val="3"/>
            <w:shd w:val="clear" w:color="auto" w:fill="CCEEFF"/>
            <w:tcMar>
              <w:top w:w="40" w:type="dxa"/>
              <w:left w:w="20" w:type="dxa"/>
              <w:bottom w:w="40" w:type="dxa"/>
              <w:right w:w="20" w:type="dxa"/>
            </w:tcMar>
            <w:vAlign w:val="bottom"/>
          </w:tcPr>
          <w:p w14:paraId="392C8201" w14:textId="77777777" w:rsidR="00980E5F" w:rsidRDefault="00483613">
            <w:pPr>
              <w:textAlignment w:val="bottom"/>
            </w:pPr>
            <w:r>
              <w:rPr>
                <w:rFonts w:ascii="Arial" w:eastAsia="宋体" w:hAnsi="Arial" w:cs="Arial"/>
                <w:color w:val="000000"/>
                <w:sz w:val="15"/>
                <w:szCs w:val="15"/>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392C8202" w14:textId="77777777" w:rsidR="00980E5F" w:rsidRDefault="00483613">
            <w:pPr>
              <w:jc w:val="right"/>
              <w:textAlignment w:val="bottom"/>
            </w:pPr>
            <w:r>
              <w:rPr>
                <w:rFonts w:ascii="Arial" w:eastAsia="宋体" w:hAnsi="Arial" w:cs="Arial"/>
                <w:b/>
                <w:bCs/>
                <w:color w:val="000000"/>
                <w:sz w:val="15"/>
                <w:szCs w:val="15"/>
              </w:rPr>
              <w:t>382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2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205" w14:textId="77777777" w:rsidR="00980E5F" w:rsidRDefault="00483613">
            <w:pPr>
              <w:jc w:val="right"/>
              <w:textAlignment w:val="bottom"/>
            </w:pPr>
            <w:r>
              <w:rPr>
                <w:rFonts w:ascii="Arial" w:eastAsia="宋体" w:hAnsi="Arial" w:cs="Arial"/>
                <w:color w:val="000000"/>
                <w:sz w:val="15"/>
                <w:szCs w:val="15"/>
              </w:rPr>
              <w:t>308 </w:t>
            </w:r>
          </w:p>
        </w:tc>
        <w:tc>
          <w:tcPr>
            <w:tcW w:w="0" w:type="auto"/>
            <w:shd w:val="clear" w:color="auto" w:fill="CCEEFF"/>
            <w:tcMar>
              <w:top w:w="40" w:type="dxa"/>
              <w:left w:w="0" w:type="dxa"/>
              <w:bottom w:w="40" w:type="dxa"/>
              <w:right w:w="20" w:type="dxa"/>
            </w:tcMar>
            <w:vAlign w:val="bottom"/>
          </w:tcPr>
          <w:p w14:paraId="392C8206" w14:textId="77777777" w:rsidR="00980E5F" w:rsidRDefault="00980E5F">
            <w:pPr>
              <w:jc w:val="right"/>
              <w:rPr>
                <w:rFonts w:ascii="宋体"/>
              </w:rPr>
            </w:pPr>
          </w:p>
        </w:tc>
      </w:tr>
      <w:tr w:rsidR="00980E5F" w14:paraId="392C820C" w14:textId="77777777">
        <w:tc>
          <w:tcPr>
            <w:tcW w:w="0" w:type="auto"/>
            <w:gridSpan w:val="3"/>
            <w:shd w:val="clear" w:color="auto" w:fill="FFFFFF"/>
            <w:tcMar>
              <w:top w:w="40" w:type="dxa"/>
              <w:left w:w="20" w:type="dxa"/>
              <w:bottom w:w="40" w:type="dxa"/>
              <w:right w:w="20" w:type="dxa"/>
            </w:tcMar>
            <w:vAlign w:val="bottom"/>
          </w:tcPr>
          <w:p w14:paraId="392C8208" w14:textId="77777777" w:rsidR="00980E5F" w:rsidRDefault="00483613">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392C820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20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20B" w14:textId="77777777" w:rsidR="00980E5F" w:rsidRDefault="00980E5F">
            <w:pPr>
              <w:rPr>
                <w:rFonts w:ascii="宋体"/>
              </w:rPr>
            </w:pPr>
          </w:p>
        </w:tc>
      </w:tr>
      <w:tr w:rsidR="00980E5F" w14:paraId="392C8211" w14:textId="77777777">
        <w:tc>
          <w:tcPr>
            <w:tcW w:w="0" w:type="auto"/>
            <w:gridSpan w:val="3"/>
            <w:shd w:val="clear" w:color="auto" w:fill="CCEEFF"/>
            <w:tcMar>
              <w:top w:w="40" w:type="dxa"/>
              <w:left w:w="20" w:type="dxa"/>
              <w:bottom w:w="40" w:type="dxa"/>
              <w:right w:w="20" w:type="dxa"/>
            </w:tcMar>
            <w:vAlign w:val="bottom"/>
          </w:tcPr>
          <w:p w14:paraId="392C820D" w14:textId="77777777" w:rsidR="00980E5F" w:rsidRDefault="00483613">
            <w:pPr>
              <w:textAlignment w:val="bottom"/>
            </w:pPr>
            <w:r>
              <w:rPr>
                <w:rFonts w:ascii="Arial" w:eastAsia="宋体" w:hAnsi="Arial" w:cs="Arial"/>
                <w:color w:val="000000"/>
                <w:sz w:val="15"/>
                <w:szCs w:val="15"/>
              </w:rPr>
              <w:t>Interest rate contracts:</w:t>
            </w:r>
          </w:p>
        </w:tc>
        <w:tc>
          <w:tcPr>
            <w:tcW w:w="0" w:type="auto"/>
            <w:gridSpan w:val="3"/>
            <w:shd w:val="clear" w:color="auto" w:fill="CCEEFF"/>
            <w:tcMar>
              <w:top w:w="0" w:type="dxa"/>
              <w:left w:w="20" w:type="dxa"/>
              <w:bottom w:w="0" w:type="dxa"/>
              <w:right w:w="20" w:type="dxa"/>
            </w:tcMar>
            <w:vAlign w:val="bottom"/>
          </w:tcPr>
          <w:p w14:paraId="392C820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20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210" w14:textId="77777777" w:rsidR="00980E5F" w:rsidRDefault="00980E5F">
            <w:pPr>
              <w:rPr>
                <w:rFonts w:ascii="宋体"/>
              </w:rPr>
            </w:pPr>
          </w:p>
        </w:tc>
      </w:tr>
      <w:tr w:rsidR="00980E5F" w14:paraId="392C8218" w14:textId="77777777">
        <w:tc>
          <w:tcPr>
            <w:tcW w:w="0" w:type="auto"/>
            <w:gridSpan w:val="3"/>
            <w:shd w:val="clear" w:color="auto" w:fill="FFFFFF"/>
            <w:tcMar>
              <w:top w:w="40" w:type="dxa"/>
              <w:left w:w="155" w:type="dxa"/>
              <w:bottom w:w="40" w:type="dxa"/>
              <w:right w:w="20" w:type="dxa"/>
            </w:tcMar>
            <w:vAlign w:val="bottom"/>
          </w:tcPr>
          <w:p w14:paraId="392C8212" w14:textId="77777777" w:rsidR="00980E5F" w:rsidRDefault="00483613">
            <w:pPr>
              <w:textAlignment w:val="bottom"/>
            </w:pPr>
            <w:r>
              <w:rPr>
                <w:rFonts w:ascii="Arial" w:eastAsia="宋体" w:hAnsi="Arial" w:cs="Arial"/>
                <w:color w:val="000000"/>
                <w:sz w:val="15"/>
                <w:szCs w:val="15"/>
              </w:rPr>
              <w:t xml:space="preserve">Swap </w:t>
            </w:r>
            <w:r>
              <w:rPr>
                <w:rFonts w:ascii="Arial" w:eastAsia="宋体" w:hAnsi="Arial" w:cs="Arial"/>
                <w:color w:val="000000"/>
                <w:sz w:val="15"/>
                <w:szCs w:val="15"/>
              </w:rPr>
              <w:t>agreements</w:t>
            </w:r>
          </w:p>
        </w:tc>
        <w:tc>
          <w:tcPr>
            <w:tcW w:w="0" w:type="auto"/>
            <w:gridSpan w:val="2"/>
            <w:shd w:val="clear" w:color="auto" w:fill="FFFFFF"/>
            <w:tcMar>
              <w:top w:w="40" w:type="dxa"/>
              <w:left w:w="20" w:type="dxa"/>
              <w:bottom w:w="40" w:type="dxa"/>
              <w:right w:w="0" w:type="dxa"/>
            </w:tcMar>
            <w:vAlign w:val="bottom"/>
          </w:tcPr>
          <w:p w14:paraId="392C8213" w14:textId="77777777" w:rsidR="00980E5F" w:rsidRDefault="00483613">
            <w:pPr>
              <w:jc w:val="right"/>
              <w:textAlignment w:val="bottom"/>
            </w:pPr>
            <w:r>
              <w:rPr>
                <w:rFonts w:ascii="Arial" w:eastAsia="宋体" w:hAnsi="Arial" w:cs="Arial"/>
                <w:b/>
                <w:bCs/>
                <w:color w:val="000000"/>
                <w:sz w:val="15"/>
                <w:szCs w:val="15"/>
              </w:rPr>
              <w:t>24,066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16" w14:textId="77777777" w:rsidR="00980E5F" w:rsidRDefault="00483613">
            <w:pPr>
              <w:jc w:val="right"/>
              <w:textAlignment w:val="bottom"/>
            </w:pPr>
            <w:r>
              <w:rPr>
                <w:rFonts w:ascii="Arial" w:eastAsia="宋体" w:hAnsi="Arial" w:cs="Arial"/>
                <w:color w:val="000000"/>
                <w:sz w:val="15"/>
                <w:szCs w:val="15"/>
              </w:rPr>
              <w:t>15,100 </w:t>
            </w:r>
          </w:p>
        </w:tc>
        <w:tc>
          <w:tcPr>
            <w:tcW w:w="0" w:type="auto"/>
            <w:shd w:val="clear" w:color="auto" w:fill="FFFFFF"/>
            <w:tcMar>
              <w:top w:w="40" w:type="dxa"/>
              <w:left w:w="0" w:type="dxa"/>
              <w:bottom w:w="40" w:type="dxa"/>
              <w:right w:w="20" w:type="dxa"/>
            </w:tcMar>
            <w:vAlign w:val="bottom"/>
          </w:tcPr>
          <w:p w14:paraId="392C8217" w14:textId="77777777" w:rsidR="00980E5F" w:rsidRDefault="00980E5F">
            <w:pPr>
              <w:jc w:val="right"/>
              <w:rPr>
                <w:rFonts w:ascii="宋体"/>
              </w:rPr>
            </w:pPr>
          </w:p>
        </w:tc>
      </w:tr>
      <w:tr w:rsidR="00980E5F" w14:paraId="392C821D" w14:textId="77777777">
        <w:tc>
          <w:tcPr>
            <w:tcW w:w="0" w:type="auto"/>
            <w:gridSpan w:val="3"/>
            <w:shd w:val="clear" w:color="auto" w:fill="CCEEFF"/>
            <w:tcMar>
              <w:top w:w="40" w:type="dxa"/>
              <w:left w:w="20" w:type="dxa"/>
              <w:bottom w:w="40" w:type="dxa"/>
              <w:right w:w="20" w:type="dxa"/>
            </w:tcMar>
            <w:vAlign w:val="bottom"/>
          </w:tcPr>
          <w:p w14:paraId="392C8219" w14:textId="77777777" w:rsidR="00980E5F" w:rsidRDefault="00483613">
            <w:pPr>
              <w:textAlignment w:val="bottom"/>
            </w:pPr>
            <w:r>
              <w:rPr>
                <w:rFonts w:ascii="Arial" w:eastAsia="宋体" w:hAnsi="Arial" w:cs="Arial"/>
                <w:color w:val="000000"/>
                <w:sz w:val="15"/>
                <w:szCs w:val="15"/>
              </w:rPr>
              <w:t>Foreign exchange contracts:</w:t>
            </w:r>
          </w:p>
        </w:tc>
        <w:tc>
          <w:tcPr>
            <w:tcW w:w="0" w:type="auto"/>
            <w:gridSpan w:val="3"/>
            <w:shd w:val="clear" w:color="auto" w:fill="CCEEFF"/>
            <w:tcMar>
              <w:top w:w="0" w:type="dxa"/>
              <w:left w:w="20" w:type="dxa"/>
              <w:bottom w:w="0" w:type="dxa"/>
              <w:right w:w="20" w:type="dxa"/>
            </w:tcMar>
            <w:vAlign w:val="bottom"/>
          </w:tcPr>
          <w:p w14:paraId="392C821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21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21C" w14:textId="77777777" w:rsidR="00980E5F" w:rsidRDefault="00980E5F">
            <w:pPr>
              <w:rPr>
                <w:rFonts w:ascii="宋体"/>
              </w:rPr>
            </w:pPr>
          </w:p>
        </w:tc>
      </w:tr>
      <w:tr w:rsidR="00980E5F" w14:paraId="392C8224" w14:textId="77777777">
        <w:tc>
          <w:tcPr>
            <w:tcW w:w="0" w:type="auto"/>
            <w:gridSpan w:val="3"/>
            <w:shd w:val="clear" w:color="auto" w:fill="FFFFFF"/>
            <w:tcMar>
              <w:top w:w="40" w:type="dxa"/>
              <w:left w:w="155" w:type="dxa"/>
              <w:bottom w:w="40" w:type="dxa"/>
              <w:right w:w="20" w:type="dxa"/>
            </w:tcMar>
            <w:vAlign w:val="bottom"/>
          </w:tcPr>
          <w:p w14:paraId="392C821E" w14:textId="77777777" w:rsidR="00980E5F" w:rsidRDefault="00483613">
            <w:pPr>
              <w:textAlignment w:val="bottom"/>
            </w:pPr>
            <w:r>
              <w:rPr>
                <w:rFonts w:ascii="Arial" w:eastAsia="宋体" w:hAnsi="Arial" w:cs="Arial"/>
                <w:color w:val="000000"/>
                <w:sz w:val="15"/>
                <w:szCs w:val="15"/>
              </w:rPr>
              <w:t>Forward and swap</w:t>
            </w:r>
          </w:p>
        </w:tc>
        <w:tc>
          <w:tcPr>
            <w:tcW w:w="0" w:type="auto"/>
            <w:gridSpan w:val="2"/>
            <w:shd w:val="clear" w:color="auto" w:fill="FFFFFF"/>
            <w:tcMar>
              <w:top w:w="40" w:type="dxa"/>
              <w:left w:w="20" w:type="dxa"/>
              <w:bottom w:w="40" w:type="dxa"/>
              <w:right w:w="0" w:type="dxa"/>
            </w:tcMar>
            <w:vAlign w:val="bottom"/>
          </w:tcPr>
          <w:p w14:paraId="392C821F" w14:textId="77777777" w:rsidR="00980E5F" w:rsidRDefault="00483613">
            <w:pPr>
              <w:jc w:val="right"/>
              <w:textAlignment w:val="bottom"/>
            </w:pPr>
            <w:r>
              <w:rPr>
                <w:rFonts w:ascii="Arial" w:eastAsia="宋体" w:hAnsi="Arial" w:cs="Arial"/>
                <w:b/>
                <w:bCs/>
                <w:color w:val="000000"/>
                <w:sz w:val="15"/>
                <w:szCs w:val="15"/>
              </w:rPr>
              <w:t>7,826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22" w14:textId="77777777" w:rsidR="00980E5F" w:rsidRDefault="00483613">
            <w:pPr>
              <w:jc w:val="right"/>
              <w:textAlignment w:val="bottom"/>
            </w:pPr>
            <w:r>
              <w:rPr>
                <w:rFonts w:ascii="Arial" w:eastAsia="宋体" w:hAnsi="Arial" w:cs="Arial"/>
                <w:color w:val="000000"/>
                <w:sz w:val="15"/>
                <w:szCs w:val="15"/>
              </w:rPr>
              <w:t>6,700 </w:t>
            </w:r>
          </w:p>
        </w:tc>
        <w:tc>
          <w:tcPr>
            <w:tcW w:w="0" w:type="auto"/>
            <w:shd w:val="clear" w:color="auto" w:fill="FFFFFF"/>
            <w:tcMar>
              <w:top w:w="40" w:type="dxa"/>
              <w:left w:w="0" w:type="dxa"/>
              <w:bottom w:w="40" w:type="dxa"/>
              <w:right w:w="20" w:type="dxa"/>
            </w:tcMar>
            <w:vAlign w:val="bottom"/>
          </w:tcPr>
          <w:p w14:paraId="392C8223" w14:textId="77777777" w:rsidR="00980E5F" w:rsidRDefault="00980E5F">
            <w:pPr>
              <w:jc w:val="right"/>
              <w:rPr>
                <w:rFonts w:ascii="宋体"/>
              </w:rPr>
            </w:pPr>
          </w:p>
        </w:tc>
      </w:tr>
    </w:tbl>
    <w:p w14:paraId="392C8225" w14:textId="77777777" w:rsidR="00980E5F" w:rsidRDefault="00980E5F">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799"/>
        <w:gridCol w:w="36"/>
        <w:gridCol w:w="36"/>
        <w:gridCol w:w="1897"/>
        <w:gridCol w:w="36"/>
        <w:gridCol w:w="36"/>
      </w:tblGrid>
      <w:tr w:rsidR="00980E5F" w14:paraId="392C822D" w14:textId="77777777">
        <w:tc>
          <w:tcPr>
            <w:tcW w:w="50" w:type="pct"/>
            <w:shd w:val="clear" w:color="auto" w:fill="auto"/>
            <w:vAlign w:val="bottom"/>
          </w:tcPr>
          <w:p w14:paraId="392C8226" w14:textId="77777777" w:rsidR="00980E5F" w:rsidRDefault="00980E5F">
            <w:pPr>
              <w:rPr>
                <w:rFonts w:ascii="宋体"/>
              </w:rPr>
            </w:pPr>
          </w:p>
        </w:tc>
        <w:tc>
          <w:tcPr>
            <w:tcW w:w="2382" w:type="pct"/>
            <w:shd w:val="clear" w:color="auto" w:fill="auto"/>
            <w:vAlign w:val="bottom"/>
          </w:tcPr>
          <w:p w14:paraId="392C8227" w14:textId="77777777" w:rsidR="00980E5F" w:rsidRDefault="00980E5F">
            <w:pPr>
              <w:rPr>
                <w:rFonts w:ascii="宋体"/>
              </w:rPr>
            </w:pPr>
          </w:p>
        </w:tc>
        <w:tc>
          <w:tcPr>
            <w:tcW w:w="5" w:type="pct"/>
            <w:shd w:val="clear" w:color="auto" w:fill="auto"/>
            <w:vAlign w:val="bottom"/>
          </w:tcPr>
          <w:p w14:paraId="392C8228" w14:textId="77777777" w:rsidR="00980E5F" w:rsidRDefault="00980E5F">
            <w:pPr>
              <w:rPr>
                <w:rFonts w:ascii="宋体"/>
              </w:rPr>
            </w:pPr>
          </w:p>
        </w:tc>
        <w:tc>
          <w:tcPr>
            <w:tcW w:w="50" w:type="pct"/>
            <w:shd w:val="clear" w:color="auto" w:fill="auto"/>
            <w:vAlign w:val="bottom"/>
          </w:tcPr>
          <w:p w14:paraId="392C8229" w14:textId="77777777" w:rsidR="00980E5F" w:rsidRDefault="00980E5F">
            <w:pPr>
              <w:rPr>
                <w:rFonts w:ascii="宋体"/>
              </w:rPr>
            </w:pPr>
          </w:p>
        </w:tc>
        <w:tc>
          <w:tcPr>
            <w:tcW w:w="2507" w:type="pct"/>
            <w:shd w:val="clear" w:color="auto" w:fill="auto"/>
            <w:vAlign w:val="bottom"/>
          </w:tcPr>
          <w:p w14:paraId="392C822A" w14:textId="77777777" w:rsidR="00980E5F" w:rsidRDefault="00980E5F">
            <w:pPr>
              <w:rPr>
                <w:rFonts w:ascii="宋体"/>
              </w:rPr>
            </w:pPr>
          </w:p>
        </w:tc>
        <w:tc>
          <w:tcPr>
            <w:tcW w:w="5" w:type="pct"/>
            <w:shd w:val="clear" w:color="auto" w:fill="auto"/>
            <w:vAlign w:val="bottom"/>
          </w:tcPr>
          <w:p w14:paraId="392C822B" w14:textId="77777777" w:rsidR="00980E5F" w:rsidRDefault="00980E5F">
            <w:pPr>
              <w:rPr>
                <w:rFonts w:ascii="宋体"/>
              </w:rPr>
            </w:pPr>
          </w:p>
        </w:tc>
        <w:tc>
          <w:tcPr>
            <w:tcW w:w="0" w:type="auto"/>
            <w:shd w:val="clear" w:color="auto" w:fill="auto"/>
            <w:vAlign w:val="bottom"/>
          </w:tcPr>
          <w:p w14:paraId="392C822C" w14:textId="77777777" w:rsidR="00980E5F" w:rsidRDefault="00980E5F">
            <w:pPr>
              <w:rPr>
                <w:rFonts w:ascii="宋体"/>
                <w:vanish/>
              </w:rPr>
            </w:pPr>
          </w:p>
        </w:tc>
      </w:tr>
      <w:tr w:rsidR="00980E5F" w14:paraId="392C823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2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2F" w14:textId="77777777" w:rsidR="00980E5F" w:rsidRDefault="00980E5F">
            <w:pPr>
              <w:rPr>
                <w:rFonts w:ascii="宋体"/>
              </w:rPr>
            </w:pPr>
          </w:p>
        </w:tc>
        <w:tc>
          <w:tcPr>
            <w:tcW w:w="0" w:type="auto"/>
            <w:shd w:val="clear" w:color="auto" w:fill="auto"/>
            <w:vAlign w:val="bottom"/>
          </w:tcPr>
          <w:p w14:paraId="392C8230" w14:textId="77777777" w:rsidR="00980E5F" w:rsidRDefault="00980E5F">
            <w:pPr>
              <w:rPr>
                <w:rFonts w:ascii="宋体"/>
                <w:vanish/>
              </w:rPr>
            </w:pPr>
          </w:p>
        </w:tc>
      </w:tr>
    </w:tbl>
    <w:p w14:paraId="392C8232" w14:textId="77777777" w:rsidR="00980E5F" w:rsidRDefault="00483613">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392C8233" w14:textId="77777777" w:rsidR="00980E5F" w:rsidRDefault="00483613">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Represents grants of deferred value awards to employees; refer to page 158 in Note 10 to the consolidated financial statements included under Item 8, Financial Statements and Supplementary Data, in our 2021 Form 10-K.</w:t>
      </w:r>
    </w:p>
    <w:p w14:paraId="392C8234" w14:textId="77777777" w:rsidR="00980E5F" w:rsidRDefault="00483613">
      <w:pPr>
        <w:spacing w:before="60"/>
        <w:ind w:firstLine="450"/>
        <w:jc w:val="both"/>
      </w:pPr>
      <w:r>
        <w:rPr>
          <w:rFonts w:ascii="Arial" w:eastAsia="宋体" w:hAnsi="Arial" w:cs="Arial"/>
          <w:color w:val="000000"/>
          <w:sz w:val="20"/>
          <w:szCs w:val="20"/>
        </w:rPr>
        <w:t>Notional amounts are provided here as</w:t>
      </w:r>
      <w:r>
        <w:rPr>
          <w:rFonts w:ascii="Arial" w:eastAsia="宋体" w:hAnsi="Arial" w:cs="Arial"/>
          <w:color w:val="000000"/>
          <w:sz w:val="20"/>
          <w:szCs w:val="20"/>
        </w:rPr>
        <w:t xml:space="preserve"> an indication of the volume of our derivative activity and serve as a reference to calculate the fair values of the derivative.</w:t>
      </w:r>
    </w:p>
    <w:p w14:paraId="392C8235" w14:textId="77777777" w:rsidR="00980E5F" w:rsidRDefault="00483613">
      <w:pPr>
        <w:spacing w:before="60"/>
        <w:ind w:firstLine="450"/>
        <w:jc w:val="both"/>
      </w:pPr>
      <w:r>
        <w:rPr>
          <w:rFonts w:ascii="Arial" w:eastAsia="宋体" w:hAnsi="Arial" w:cs="Arial"/>
          <w:color w:val="000000"/>
          <w:sz w:val="20"/>
          <w:szCs w:val="20"/>
        </w:rPr>
        <w:t>The following table presents the fair value of derivative financial instruments, excluding the impact of master netting agreeme</w:t>
      </w:r>
      <w:r>
        <w:rPr>
          <w:rFonts w:ascii="Arial" w:eastAsia="宋体" w:hAnsi="Arial" w:cs="Arial"/>
          <w:color w:val="000000"/>
          <w:sz w:val="20"/>
          <w:szCs w:val="20"/>
        </w:rPr>
        <w:t>nts, recorded in our consolidated statement of condition as of the dates indicated. The impact of master netting agreements is provided in Note 8.</w:t>
      </w:r>
    </w:p>
    <w:tbl>
      <w:tblPr>
        <w:tblW w:w="5000" w:type="pct"/>
        <w:tblCellMar>
          <w:top w:w="15" w:type="dxa"/>
          <w:left w:w="15" w:type="dxa"/>
          <w:bottom w:w="15" w:type="dxa"/>
          <w:right w:w="15" w:type="dxa"/>
        </w:tblCellMar>
        <w:tblLook w:val="04A0" w:firstRow="1" w:lastRow="0" w:firstColumn="1" w:lastColumn="0" w:noHBand="0" w:noVBand="1"/>
      </w:tblPr>
      <w:tblGrid>
        <w:gridCol w:w="39"/>
        <w:gridCol w:w="2999"/>
        <w:gridCol w:w="36"/>
        <w:gridCol w:w="104"/>
        <w:gridCol w:w="1120"/>
        <w:gridCol w:w="36"/>
        <w:gridCol w:w="36"/>
        <w:gridCol w:w="36"/>
        <w:gridCol w:w="36"/>
        <w:gridCol w:w="105"/>
        <w:gridCol w:w="1085"/>
        <w:gridCol w:w="36"/>
        <w:gridCol w:w="36"/>
        <w:gridCol w:w="36"/>
        <w:gridCol w:w="36"/>
        <w:gridCol w:w="104"/>
        <w:gridCol w:w="1085"/>
        <w:gridCol w:w="36"/>
        <w:gridCol w:w="36"/>
        <w:gridCol w:w="36"/>
        <w:gridCol w:w="36"/>
        <w:gridCol w:w="105"/>
        <w:gridCol w:w="1086"/>
        <w:gridCol w:w="36"/>
      </w:tblGrid>
      <w:tr w:rsidR="00980E5F" w14:paraId="392C824E" w14:textId="77777777">
        <w:tc>
          <w:tcPr>
            <w:tcW w:w="50" w:type="pct"/>
            <w:shd w:val="clear" w:color="auto" w:fill="auto"/>
            <w:vAlign w:val="bottom"/>
          </w:tcPr>
          <w:p w14:paraId="392C8236" w14:textId="77777777" w:rsidR="00980E5F" w:rsidRDefault="00980E5F">
            <w:pPr>
              <w:rPr>
                <w:rFonts w:ascii="宋体"/>
              </w:rPr>
            </w:pPr>
          </w:p>
        </w:tc>
        <w:tc>
          <w:tcPr>
            <w:tcW w:w="1823" w:type="pct"/>
            <w:shd w:val="clear" w:color="auto" w:fill="auto"/>
            <w:vAlign w:val="bottom"/>
          </w:tcPr>
          <w:p w14:paraId="392C8237" w14:textId="77777777" w:rsidR="00980E5F" w:rsidRDefault="00980E5F">
            <w:pPr>
              <w:rPr>
                <w:rFonts w:ascii="宋体"/>
              </w:rPr>
            </w:pPr>
          </w:p>
        </w:tc>
        <w:tc>
          <w:tcPr>
            <w:tcW w:w="5" w:type="pct"/>
            <w:shd w:val="clear" w:color="auto" w:fill="auto"/>
            <w:vAlign w:val="bottom"/>
          </w:tcPr>
          <w:p w14:paraId="392C8238" w14:textId="77777777" w:rsidR="00980E5F" w:rsidRDefault="00980E5F">
            <w:pPr>
              <w:rPr>
                <w:rFonts w:ascii="宋体"/>
              </w:rPr>
            </w:pPr>
          </w:p>
        </w:tc>
        <w:tc>
          <w:tcPr>
            <w:tcW w:w="50" w:type="pct"/>
            <w:shd w:val="clear" w:color="auto" w:fill="auto"/>
            <w:vAlign w:val="bottom"/>
          </w:tcPr>
          <w:p w14:paraId="392C8239" w14:textId="77777777" w:rsidR="00980E5F" w:rsidRDefault="00980E5F">
            <w:pPr>
              <w:rPr>
                <w:rFonts w:ascii="宋体"/>
              </w:rPr>
            </w:pPr>
          </w:p>
        </w:tc>
        <w:tc>
          <w:tcPr>
            <w:tcW w:w="697" w:type="pct"/>
            <w:shd w:val="clear" w:color="auto" w:fill="auto"/>
            <w:vAlign w:val="bottom"/>
          </w:tcPr>
          <w:p w14:paraId="392C823A" w14:textId="77777777" w:rsidR="00980E5F" w:rsidRDefault="00980E5F">
            <w:pPr>
              <w:rPr>
                <w:rFonts w:ascii="宋体"/>
              </w:rPr>
            </w:pPr>
          </w:p>
        </w:tc>
        <w:tc>
          <w:tcPr>
            <w:tcW w:w="5" w:type="pct"/>
            <w:shd w:val="clear" w:color="auto" w:fill="auto"/>
            <w:vAlign w:val="bottom"/>
          </w:tcPr>
          <w:p w14:paraId="392C823B" w14:textId="77777777" w:rsidR="00980E5F" w:rsidRDefault="00980E5F">
            <w:pPr>
              <w:rPr>
                <w:rFonts w:ascii="宋体"/>
              </w:rPr>
            </w:pPr>
          </w:p>
        </w:tc>
        <w:tc>
          <w:tcPr>
            <w:tcW w:w="5" w:type="pct"/>
            <w:shd w:val="clear" w:color="auto" w:fill="auto"/>
            <w:vAlign w:val="bottom"/>
          </w:tcPr>
          <w:p w14:paraId="392C823C" w14:textId="77777777" w:rsidR="00980E5F" w:rsidRDefault="00980E5F">
            <w:pPr>
              <w:rPr>
                <w:rFonts w:ascii="宋体"/>
              </w:rPr>
            </w:pPr>
          </w:p>
        </w:tc>
        <w:tc>
          <w:tcPr>
            <w:tcW w:w="26" w:type="pct"/>
            <w:shd w:val="clear" w:color="auto" w:fill="auto"/>
            <w:vAlign w:val="bottom"/>
          </w:tcPr>
          <w:p w14:paraId="392C823D" w14:textId="77777777" w:rsidR="00980E5F" w:rsidRDefault="00980E5F">
            <w:pPr>
              <w:rPr>
                <w:rFonts w:ascii="宋体"/>
              </w:rPr>
            </w:pPr>
          </w:p>
        </w:tc>
        <w:tc>
          <w:tcPr>
            <w:tcW w:w="5" w:type="pct"/>
            <w:shd w:val="clear" w:color="auto" w:fill="auto"/>
            <w:vAlign w:val="bottom"/>
          </w:tcPr>
          <w:p w14:paraId="392C823E" w14:textId="77777777" w:rsidR="00980E5F" w:rsidRDefault="00980E5F">
            <w:pPr>
              <w:rPr>
                <w:rFonts w:ascii="宋体"/>
              </w:rPr>
            </w:pPr>
          </w:p>
        </w:tc>
        <w:tc>
          <w:tcPr>
            <w:tcW w:w="50" w:type="pct"/>
            <w:shd w:val="clear" w:color="auto" w:fill="auto"/>
            <w:vAlign w:val="bottom"/>
          </w:tcPr>
          <w:p w14:paraId="392C823F" w14:textId="77777777" w:rsidR="00980E5F" w:rsidRDefault="00980E5F">
            <w:pPr>
              <w:rPr>
                <w:rFonts w:ascii="宋体"/>
              </w:rPr>
            </w:pPr>
          </w:p>
        </w:tc>
        <w:tc>
          <w:tcPr>
            <w:tcW w:w="697" w:type="pct"/>
            <w:shd w:val="clear" w:color="auto" w:fill="auto"/>
            <w:vAlign w:val="bottom"/>
          </w:tcPr>
          <w:p w14:paraId="392C8240" w14:textId="77777777" w:rsidR="00980E5F" w:rsidRDefault="00980E5F">
            <w:pPr>
              <w:rPr>
                <w:rFonts w:ascii="宋体"/>
              </w:rPr>
            </w:pPr>
          </w:p>
        </w:tc>
        <w:tc>
          <w:tcPr>
            <w:tcW w:w="5" w:type="pct"/>
            <w:shd w:val="clear" w:color="auto" w:fill="auto"/>
            <w:vAlign w:val="bottom"/>
          </w:tcPr>
          <w:p w14:paraId="392C8241" w14:textId="77777777" w:rsidR="00980E5F" w:rsidRDefault="00980E5F">
            <w:pPr>
              <w:rPr>
                <w:rFonts w:ascii="宋体"/>
              </w:rPr>
            </w:pPr>
          </w:p>
        </w:tc>
        <w:tc>
          <w:tcPr>
            <w:tcW w:w="5" w:type="pct"/>
            <w:shd w:val="clear" w:color="auto" w:fill="auto"/>
            <w:vAlign w:val="bottom"/>
          </w:tcPr>
          <w:p w14:paraId="392C8242" w14:textId="77777777" w:rsidR="00980E5F" w:rsidRDefault="00980E5F">
            <w:pPr>
              <w:rPr>
                <w:rFonts w:ascii="宋体"/>
              </w:rPr>
            </w:pPr>
          </w:p>
        </w:tc>
        <w:tc>
          <w:tcPr>
            <w:tcW w:w="26" w:type="pct"/>
            <w:shd w:val="clear" w:color="auto" w:fill="auto"/>
            <w:vAlign w:val="bottom"/>
          </w:tcPr>
          <w:p w14:paraId="392C8243" w14:textId="77777777" w:rsidR="00980E5F" w:rsidRDefault="00980E5F">
            <w:pPr>
              <w:rPr>
                <w:rFonts w:ascii="宋体"/>
              </w:rPr>
            </w:pPr>
          </w:p>
        </w:tc>
        <w:tc>
          <w:tcPr>
            <w:tcW w:w="5" w:type="pct"/>
            <w:shd w:val="clear" w:color="auto" w:fill="auto"/>
            <w:vAlign w:val="bottom"/>
          </w:tcPr>
          <w:p w14:paraId="392C8244" w14:textId="77777777" w:rsidR="00980E5F" w:rsidRDefault="00980E5F">
            <w:pPr>
              <w:rPr>
                <w:rFonts w:ascii="宋体"/>
              </w:rPr>
            </w:pPr>
          </w:p>
        </w:tc>
        <w:tc>
          <w:tcPr>
            <w:tcW w:w="50" w:type="pct"/>
            <w:shd w:val="clear" w:color="auto" w:fill="auto"/>
            <w:vAlign w:val="bottom"/>
          </w:tcPr>
          <w:p w14:paraId="392C8245" w14:textId="77777777" w:rsidR="00980E5F" w:rsidRDefault="00980E5F">
            <w:pPr>
              <w:rPr>
                <w:rFonts w:ascii="宋体"/>
              </w:rPr>
            </w:pPr>
          </w:p>
        </w:tc>
        <w:tc>
          <w:tcPr>
            <w:tcW w:w="697" w:type="pct"/>
            <w:shd w:val="clear" w:color="auto" w:fill="auto"/>
            <w:vAlign w:val="bottom"/>
          </w:tcPr>
          <w:p w14:paraId="392C8246" w14:textId="77777777" w:rsidR="00980E5F" w:rsidRDefault="00980E5F">
            <w:pPr>
              <w:rPr>
                <w:rFonts w:ascii="宋体"/>
              </w:rPr>
            </w:pPr>
          </w:p>
        </w:tc>
        <w:tc>
          <w:tcPr>
            <w:tcW w:w="5" w:type="pct"/>
            <w:shd w:val="clear" w:color="auto" w:fill="auto"/>
            <w:vAlign w:val="bottom"/>
          </w:tcPr>
          <w:p w14:paraId="392C8247" w14:textId="77777777" w:rsidR="00980E5F" w:rsidRDefault="00980E5F">
            <w:pPr>
              <w:rPr>
                <w:rFonts w:ascii="宋体"/>
              </w:rPr>
            </w:pPr>
          </w:p>
        </w:tc>
        <w:tc>
          <w:tcPr>
            <w:tcW w:w="5" w:type="pct"/>
            <w:shd w:val="clear" w:color="auto" w:fill="auto"/>
            <w:vAlign w:val="bottom"/>
          </w:tcPr>
          <w:p w14:paraId="392C8248" w14:textId="77777777" w:rsidR="00980E5F" w:rsidRDefault="00980E5F">
            <w:pPr>
              <w:rPr>
                <w:rFonts w:ascii="宋体"/>
              </w:rPr>
            </w:pPr>
          </w:p>
        </w:tc>
        <w:tc>
          <w:tcPr>
            <w:tcW w:w="26" w:type="pct"/>
            <w:shd w:val="clear" w:color="auto" w:fill="auto"/>
            <w:vAlign w:val="bottom"/>
          </w:tcPr>
          <w:p w14:paraId="392C8249" w14:textId="77777777" w:rsidR="00980E5F" w:rsidRDefault="00980E5F">
            <w:pPr>
              <w:rPr>
                <w:rFonts w:ascii="宋体"/>
              </w:rPr>
            </w:pPr>
          </w:p>
        </w:tc>
        <w:tc>
          <w:tcPr>
            <w:tcW w:w="5" w:type="pct"/>
            <w:shd w:val="clear" w:color="auto" w:fill="auto"/>
            <w:vAlign w:val="bottom"/>
          </w:tcPr>
          <w:p w14:paraId="392C824A" w14:textId="77777777" w:rsidR="00980E5F" w:rsidRDefault="00980E5F">
            <w:pPr>
              <w:rPr>
                <w:rFonts w:ascii="宋体"/>
              </w:rPr>
            </w:pPr>
          </w:p>
        </w:tc>
        <w:tc>
          <w:tcPr>
            <w:tcW w:w="50" w:type="pct"/>
            <w:shd w:val="clear" w:color="auto" w:fill="auto"/>
            <w:vAlign w:val="bottom"/>
          </w:tcPr>
          <w:p w14:paraId="392C824B" w14:textId="77777777" w:rsidR="00980E5F" w:rsidRDefault="00980E5F">
            <w:pPr>
              <w:rPr>
                <w:rFonts w:ascii="宋体"/>
              </w:rPr>
            </w:pPr>
          </w:p>
        </w:tc>
        <w:tc>
          <w:tcPr>
            <w:tcW w:w="698" w:type="pct"/>
            <w:shd w:val="clear" w:color="auto" w:fill="auto"/>
            <w:vAlign w:val="bottom"/>
          </w:tcPr>
          <w:p w14:paraId="392C824C" w14:textId="77777777" w:rsidR="00980E5F" w:rsidRDefault="00980E5F">
            <w:pPr>
              <w:rPr>
                <w:rFonts w:ascii="宋体"/>
              </w:rPr>
            </w:pPr>
          </w:p>
        </w:tc>
        <w:tc>
          <w:tcPr>
            <w:tcW w:w="5" w:type="pct"/>
            <w:shd w:val="clear" w:color="auto" w:fill="auto"/>
            <w:vAlign w:val="bottom"/>
          </w:tcPr>
          <w:p w14:paraId="392C824D" w14:textId="77777777" w:rsidR="00980E5F" w:rsidRDefault="00980E5F">
            <w:pPr>
              <w:rPr>
                <w:rFonts w:ascii="宋体"/>
              </w:rPr>
            </w:pPr>
          </w:p>
        </w:tc>
      </w:tr>
      <w:tr w:rsidR="00980E5F" w14:paraId="392C8253" w14:textId="77777777">
        <w:tc>
          <w:tcPr>
            <w:tcW w:w="0" w:type="auto"/>
            <w:gridSpan w:val="3"/>
            <w:shd w:val="clear" w:color="auto" w:fill="auto"/>
            <w:tcMar>
              <w:top w:w="0" w:type="dxa"/>
              <w:left w:w="20" w:type="dxa"/>
              <w:bottom w:w="0" w:type="dxa"/>
              <w:right w:w="20" w:type="dxa"/>
            </w:tcMar>
            <w:vAlign w:val="bottom"/>
          </w:tcPr>
          <w:p w14:paraId="392C824F"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250" w14:textId="77777777" w:rsidR="00980E5F" w:rsidRDefault="00483613">
            <w:pP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392C8251"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252" w14:textId="77777777" w:rsidR="00980E5F" w:rsidRDefault="00483613">
            <w:pP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980E5F" w14:paraId="392C825C" w14:textId="77777777">
        <w:tc>
          <w:tcPr>
            <w:tcW w:w="0" w:type="auto"/>
            <w:gridSpan w:val="3"/>
            <w:shd w:val="clear" w:color="auto" w:fill="auto"/>
            <w:tcMar>
              <w:top w:w="40" w:type="dxa"/>
              <w:left w:w="20" w:type="dxa"/>
              <w:bottom w:w="40" w:type="dxa"/>
              <w:right w:w="20" w:type="dxa"/>
            </w:tcMar>
            <w:vAlign w:val="bottom"/>
          </w:tcPr>
          <w:p w14:paraId="392C8254"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255"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5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257" w14:textId="77777777" w:rsidR="00980E5F" w:rsidRDefault="00483613">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392C825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259"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5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25B"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8265" w14:textId="77777777">
        <w:tc>
          <w:tcPr>
            <w:tcW w:w="0" w:type="auto"/>
            <w:gridSpan w:val="3"/>
            <w:shd w:val="clear" w:color="auto" w:fill="auto"/>
            <w:tcMar>
              <w:top w:w="40" w:type="dxa"/>
              <w:left w:w="20" w:type="dxa"/>
              <w:bottom w:w="40" w:type="dxa"/>
              <w:right w:w="20" w:type="dxa"/>
            </w:tcMar>
            <w:vAlign w:val="bottom"/>
          </w:tcPr>
          <w:p w14:paraId="392C825D" w14:textId="77777777" w:rsidR="00980E5F" w:rsidRDefault="00483613">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5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5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6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6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264" w14:textId="77777777" w:rsidR="00980E5F" w:rsidRDefault="00980E5F">
            <w:pPr>
              <w:rPr>
                <w:rFonts w:ascii="宋体"/>
              </w:rPr>
            </w:pPr>
          </w:p>
        </w:tc>
      </w:tr>
      <w:tr w:rsidR="00980E5F" w14:paraId="392C8276" w14:textId="77777777">
        <w:tc>
          <w:tcPr>
            <w:tcW w:w="0" w:type="auto"/>
            <w:gridSpan w:val="3"/>
            <w:shd w:val="clear" w:color="auto" w:fill="CCEEFF"/>
            <w:tcMar>
              <w:top w:w="40" w:type="dxa"/>
              <w:left w:w="20" w:type="dxa"/>
              <w:bottom w:w="40" w:type="dxa"/>
              <w:right w:w="20" w:type="dxa"/>
            </w:tcMar>
            <w:vAlign w:val="bottom"/>
          </w:tcPr>
          <w:p w14:paraId="392C8266" w14:textId="77777777" w:rsidR="00980E5F" w:rsidRDefault="00483613">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392C8267"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268" w14:textId="77777777" w:rsidR="00980E5F" w:rsidRDefault="00483613">
            <w:pPr>
              <w:jc w:val="right"/>
              <w:textAlignment w:val="bottom"/>
            </w:pPr>
            <w:r>
              <w:rPr>
                <w:rFonts w:ascii="Arial" w:eastAsia="宋体" w:hAnsi="Arial" w:cs="Arial"/>
                <w:b/>
                <w:bCs/>
                <w:color w:val="000000"/>
                <w:sz w:val="15"/>
                <w:szCs w:val="15"/>
              </w:rPr>
              <w:t>23,415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2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6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6B"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26C" w14:textId="77777777" w:rsidR="00980E5F" w:rsidRDefault="00483613">
            <w:pPr>
              <w:jc w:val="right"/>
              <w:textAlignment w:val="bottom"/>
            </w:pPr>
            <w:r>
              <w:rPr>
                <w:rFonts w:ascii="Arial" w:eastAsia="宋体" w:hAnsi="Arial" w:cs="Arial"/>
                <w:color w:val="000000"/>
                <w:sz w:val="15"/>
                <w:szCs w:val="15"/>
              </w:rPr>
              <w:t>15,216 </w:t>
            </w:r>
          </w:p>
        </w:tc>
        <w:tc>
          <w:tcPr>
            <w:tcW w:w="0" w:type="auto"/>
            <w:shd w:val="clear" w:color="auto" w:fill="CCEEFF"/>
            <w:tcMar>
              <w:top w:w="40" w:type="dxa"/>
              <w:left w:w="0" w:type="dxa"/>
              <w:bottom w:w="40" w:type="dxa"/>
              <w:right w:w="20" w:type="dxa"/>
            </w:tcMar>
            <w:vAlign w:val="bottom"/>
          </w:tcPr>
          <w:p w14:paraId="392C82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6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6F"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270" w14:textId="77777777" w:rsidR="00980E5F" w:rsidRDefault="00483613">
            <w:pPr>
              <w:jc w:val="right"/>
              <w:textAlignment w:val="bottom"/>
            </w:pPr>
            <w:r>
              <w:rPr>
                <w:rFonts w:ascii="Arial" w:eastAsia="宋体" w:hAnsi="Arial" w:cs="Arial"/>
                <w:b/>
                <w:bCs/>
                <w:color w:val="000000"/>
                <w:sz w:val="15"/>
                <w:szCs w:val="15"/>
              </w:rPr>
              <w:t>23,031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2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7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73"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274" w14:textId="77777777" w:rsidR="00980E5F" w:rsidRDefault="00483613">
            <w:pPr>
              <w:jc w:val="right"/>
              <w:textAlignment w:val="bottom"/>
            </w:pPr>
            <w:r>
              <w:rPr>
                <w:rFonts w:ascii="Arial" w:eastAsia="宋体" w:hAnsi="Arial" w:cs="Arial"/>
                <w:color w:val="000000"/>
                <w:sz w:val="15"/>
                <w:szCs w:val="15"/>
              </w:rPr>
              <w:t>15,790 </w:t>
            </w:r>
          </w:p>
        </w:tc>
        <w:tc>
          <w:tcPr>
            <w:tcW w:w="0" w:type="auto"/>
            <w:shd w:val="clear" w:color="auto" w:fill="CCEEFF"/>
            <w:tcMar>
              <w:top w:w="40" w:type="dxa"/>
              <w:left w:w="0" w:type="dxa"/>
              <w:bottom w:w="40" w:type="dxa"/>
              <w:right w:w="20" w:type="dxa"/>
            </w:tcMar>
            <w:vAlign w:val="bottom"/>
          </w:tcPr>
          <w:p w14:paraId="392C8275" w14:textId="77777777" w:rsidR="00980E5F" w:rsidRDefault="00980E5F">
            <w:pPr>
              <w:jc w:val="right"/>
              <w:rPr>
                <w:rFonts w:ascii="宋体"/>
              </w:rPr>
            </w:pPr>
          </w:p>
        </w:tc>
      </w:tr>
      <w:tr w:rsidR="00980E5F" w14:paraId="392C827F" w14:textId="77777777">
        <w:trPr>
          <w:hidden/>
        </w:trPr>
        <w:tc>
          <w:tcPr>
            <w:tcW w:w="0" w:type="auto"/>
            <w:gridSpan w:val="3"/>
            <w:shd w:val="clear" w:color="auto" w:fill="auto"/>
            <w:vAlign w:val="bottom"/>
          </w:tcPr>
          <w:p w14:paraId="392C8277" w14:textId="77777777" w:rsidR="00980E5F" w:rsidRDefault="00980E5F">
            <w:pPr>
              <w:rPr>
                <w:rFonts w:ascii="宋体"/>
                <w:vanish/>
              </w:rPr>
            </w:pPr>
          </w:p>
        </w:tc>
        <w:tc>
          <w:tcPr>
            <w:tcW w:w="0" w:type="auto"/>
            <w:gridSpan w:val="3"/>
            <w:shd w:val="clear" w:color="auto" w:fill="auto"/>
            <w:vAlign w:val="bottom"/>
          </w:tcPr>
          <w:p w14:paraId="392C8278" w14:textId="77777777" w:rsidR="00980E5F" w:rsidRDefault="00980E5F">
            <w:pPr>
              <w:rPr>
                <w:rFonts w:ascii="宋体"/>
                <w:vanish/>
              </w:rPr>
            </w:pPr>
          </w:p>
        </w:tc>
        <w:tc>
          <w:tcPr>
            <w:tcW w:w="0" w:type="auto"/>
            <w:gridSpan w:val="3"/>
            <w:shd w:val="clear" w:color="auto" w:fill="auto"/>
            <w:vAlign w:val="bottom"/>
          </w:tcPr>
          <w:p w14:paraId="392C8279" w14:textId="77777777" w:rsidR="00980E5F" w:rsidRDefault="00980E5F">
            <w:pPr>
              <w:rPr>
                <w:rFonts w:ascii="宋体"/>
                <w:vanish/>
              </w:rPr>
            </w:pPr>
          </w:p>
        </w:tc>
        <w:tc>
          <w:tcPr>
            <w:tcW w:w="0" w:type="auto"/>
            <w:gridSpan w:val="3"/>
            <w:shd w:val="clear" w:color="auto" w:fill="auto"/>
            <w:vAlign w:val="bottom"/>
          </w:tcPr>
          <w:p w14:paraId="392C827A" w14:textId="77777777" w:rsidR="00980E5F" w:rsidRDefault="00980E5F">
            <w:pPr>
              <w:rPr>
                <w:rFonts w:ascii="宋体"/>
                <w:vanish/>
              </w:rPr>
            </w:pPr>
          </w:p>
        </w:tc>
        <w:tc>
          <w:tcPr>
            <w:tcW w:w="0" w:type="auto"/>
            <w:gridSpan w:val="3"/>
            <w:shd w:val="clear" w:color="auto" w:fill="auto"/>
            <w:vAlign w:val="bottom"/>
          </w:tcPr>
          <w:p w14:paraId="392C827B" w14:textId="77777777" w:rsidR="00980E5F" w:rsidRDefault="00980E5F">
            <w:pPr>
              <w:rPr>
                <w:rFonts w:ascii="宋体"/>
                <w:vanish/>
              </w:rPr>
            </w:pPr>
          </w:p>
        </w:tc>
        <w:tc>
          <w:tcPr>
            <w:tcW w:w="0" w:type="auto"/>
            <w:gridSpan w:val="3"/>
            <w:shd w:val="clear" w:color="auto" w:fill="auto"/>
            <w:vAlign w:val="bottom"/>
          </w:tcPr>
          <w:p w14:paraId="392C827C" w14:textId="77777777" w:rsidR="00980E5F" w:rsidRDefault="00980E5F">
            <w:pPr>
              <w:rPr>
                <w:rFonts w:ascii="宋体"/>
                <w:vanish/>
              </w:rPr>
            </w:pPr>
          </w:p>
        </w:tc>
        <w:tc>
          <w:tcPr>
            <w:tcW w:w="0" w:type="auto"/>
            <w:gridSpan w:val="3"/>
            <w:shd w:val="clear" w:color="auto" w:fill="auto"/>
            <w:vAlign w:val="bottom"/>
          </w:tcPr>
          <w:p w14:paraId="392C827D" w14:textId="77777777" w:rsidR="00980E5F" w:rsidRDefault="00980E5F">
            <w:pPr>
              <w:rPr>
                <w:rFonts w:ascii="宋体"/>
                <w:vanish/>
              </w:rPr>
            </w:pPr>
          </w:p>
        </w:tc>
        <w:tc>
          <w:tcPr>
            <w:tcW w:w="0" w:type="auto"/>
            <w:gridSpan w:val="3"/>
            <w:shd w:val="clear" w:color="auto" w:fill="auto"/>
            <w:vAlign w:val="bottom"/>
          </w:tcPr>
          <w:p w14:paraId="392C827E" w14:textId="77777777" w:rsidR="00980E5F" w:rsidRDefault="00980E5F">
            <w:pPr>
              <w:rPr>
                <w:rFonts w:ascii="宋体"/>
                <w:vanish/>
              </w:rPr>
            </w:pPr>
          </w:p>
        </w:tc>
      </w:tr>
      <w:tr w:rsidR="00980E5F" w14:paraId="392C8288" w14:textId="77777777">
        <w:trPr>
          <w:hidden/>
        </w:trPr>
        <w:tc>
          <w:tcPr>
            <w:tcW w:w="0" w:type="auto"/>
            <w:gridSpan w:val="3"/>
            <w:shd w:val="clear" w:color="auto" w:fill="auto"/>
            <w:vAlign w:val="bottom"/>
          </w:tcPr>
          <w:p w14:paraId="392C8280" w14:textId="77777777" w:rsidR="00980E5F" w:rsidRDefault="00980E5F">
            <w:pPr>
              <w:rPr>
                <w:rFonts w:ascii="宋体"/>
                <w:vanish/>
              </w:rPr>
            </w:pPr>
          </w:p>
        </w:tc>
        <w:tc>
          <w:tcPr>
            <w:tcW w:w="0" w:type="auto"/>
            <w:gridSpan w:val="3"/>
            <w:shd w:val="clear" w:color="auto" w:fill="auto"/>
            <w:vAlign w:val="bottom"/>
          </w:tcPr>
          <w:p w14:paraId="392C8281" w14:textId="77777777" w:rsidR="00980E5F" w:rsidRDefault="00980E5F">
            <w:pPr>
              <w:rPr>
                <w:rFonts w:ascii="宋体"/>
                <w:vanish/>
              </w:rPr>
            </w:pPr>
          </w:p>
        </w:tc>
        <w:tc>
          <w:tcPr>
            <w:tcW w:w="0" w:type="auto"/>
            <w:gridSpan w:val="3"/>
            <w:shd w:val="clear" w:color="auto" w:fill="auto"/>
            <w:vAlign w:val="bottom"/>
          </w:tcPr>
          <w:p w14:paraId="392C8282" w14:textId="77777777" w:rsidR="00980E5F" w:rsidRDefault="00980E5F">
            <w:pPr>
              <w:rPr>
                <w:rFonts w:ascii="宋体"/>
                <w:vanish/>
              </w:rPr>
            </w:pPr>
          </w:p>
        </w:tc>
        <w:tc>
          <w:tcPr>
            <w:tcW w:w="0" w:type="auto"/>
            <w:gridSpan w:val="3"/>
            <w:shd w:val="clear" w:color="auto" w:fill="auto"/>
            <w:vAlign w:val="bottom"/>
          </w:tcPr>
          <w:p w14:paraId="392C8283" w14:textId="77777777" w:rsidR="00980E5F" w:rsidRDefault="00980E5F">
            <w:pPr>
              <w:rPr>
                <w:rFonts w:ascii="宋体"/>
                <w:vanish/>
              </w:rPr>
            </w:pPr>
          </w:p>
        </w:tc>
        <w:tc>
          <w:tcPr>
            <w:tcW w:w="0" w:type="auto"/>
            <w:gridSpan w:val="3"/>
            <w:shd w:val="clear" w:color="auto" w:fill="auto"/>
            <w:vAlign w:val="bottom"/>
          </w:tcPr>
          <w:p w14:paraId="392C8284" w14:textId="77777777" w:rsidR="00980E5F" w:rsidRDefault="00980E5F">
            <w:pPr>
              <w:rPr>
                <w:rFonts w:ascii="宋体"/>
                <w:vanish/>
              </w:rPr>
            </w:pPr>
          </w:p>
        </w:tc>
        <w:tc>
          <w:tcPr>
            <w:tcW w:w="0" w:type="auto"/>
            <w:gridSpan w:val="3"/>
            <w:shd w:val="clear" w:color="auto" w:fill="auto"/>
            <w:vAlign w:val="bottom"/>
          </w:tcPr>
          <w:p w14:paraId="392C8285" w14:textId="77777777" w:rsidR="00980E5F" w:rsidRDefault="00980E5F">
            <w:pPr>
              <w:rPr>
                <w:rFonts w:ascii="宋体"/>
                <w:vanish/>
              </w:rPr>
            </w:pPr>
          </w:p>
        </w:tc>
        <w:tc>
          <w:tcPr>
            <w:tcW w:w="0" w:type="auto"/>
            <w:gridSpan w:val="3"/>
            <w:shd w:val="clear" w:color="auto" w:fill="auto"/>
            <w:vAlign w:val="bottom"/>
          </w:tcPr>
          <w:p w14:paraId="392C8286" w14:textId="77777777" w:rsidR="00980E5F" w:rsidRDefault="00980E5F">
            <w:pPr>
              <w:rPr>
                <w:rFonts w:ascii="宋体"/>
                <w:vanish/>
              </w:rPr>
            </w:pPr>
          </w:p>
        </w:tc>
        <w:tc>
          <w:tcPr>
            <w:tcW w:w="0" w:type="auto"/>
            <w:gridSpan w:val="3"/>
            <w:shd w:val="clear" w:color="auto" w:fill="auto"/>
            <w:vAlign w:val="bottom"/>
          </w:tcPr>
          <w:p w14:paraId="392C8287" w14:textId="77777777" w:rsidR="00980E5F" w:rsidRDefault="00980E5F">
            <w:pPr>
              <w:rPr>
                <w:rFonts w:ascii="宋体"/>
                <w:vanish/>
              </w:rPr>
            </w:pPr>
          </w:p>
        </w:tc>
      </w:tr>
      <w:tr w:rsidR="00980E5F" w14:paraId="392C8295" w14:textId="77777777">
        <w:tc>
          <w:tcPr>
            <w:tcW w:w="0" w:type="auto"/>
            <w:gridSpan w:val="3"/>
            <w:shd w:val="clear" w:color="auto" w:fill="FFFFFF"/>
            <w:tcMar>
              <w:top w:w="40" w:type="dxa"/>
              <w:left w:w="20" w:type="dxa"/>
              <w:bottom w:w="40" w:type="dxa"/>
              <w:right w:w="20" w:type="dxa"/>
            </w:tcMar>
            <w:vAlign w:val="bottom"/>
          </w:tcPr>
          <w:p w14:paraId="392C8289" w14:textId="77777777" w:rsidR="00980E5F" w:rsidRDefault="00483613">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392C828A"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8D"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8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90" w14:textId="77777777" w:rsidR="00980E5F" w:rsidRDefault="00483613">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9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93" w14:textId="77777777" w:rsidR="00980E5F" w:rsidRDefault="00483613">
            <w:pPr>
              <w:jc w:val="right"/>
              <w:textAlignment w:val="bottom"/>
            </w:pPr>
            <w:r>
              <w:rPr>
                <w:rFonts w:ascii="Arial" w:eastAsia="宋体" w:hAnsi="Arial" w:cs="Arial"/>
                <w:color w:val="000000"/>
                <w:sz w:val="15"/>
                <w:szCs w:val="15"/>
              </w:rPr>
              <w:t>301 </w:t>
            </w:r>
          </w:p>
        </w:tc>
        <w:tc>
          <w:tcPr>
            <w:tcW w:w="0" w:type="auto"/>
            <w:shd w:val="clear" w:color="auto" w:fill="FFFFFF"/>
            <w:tcMar>
              <w:top w:w="40" w:type="dxa"/>
              <w:left w:w="0" w:type="dxa"/>
              <w:bottom w:w="40" w:type="dxa"/>
              <w:right w:w="20" w:type="dxa"/>
            </w:tcMar>
            <w:vAlign w:val="bottom"/>
          </w:tcPr>
          <w:p w14:paraId="392C8294" w14:textId="77777777" w:rsidR="00980E5F" w:rsidRDefault="00980E5F">
            <w:pPr>
              <w:jc w:val="right"/>
              <w:rPr>
                <w:rFonts w:ascii="宋体"/>
              </w:rPr>
            </w:pPr>
          </w:p>
        </w:tc>
      </w:tr>
      <w:tr w:rsidR="00980E5F" w14:paraId="392C82A6" w14:textId="77777777">
        <w:tc>
          <w:tcPr>
            <w:tcW w:w="0" w:type="auto"/>
            <w:gridSpan w:val="3"/>
            <w:shd w:val="clear" w:color="auto" w:fill="CCEEFF"/>
            <w:tcMar>
              <w:top w:w="40" w:type="dxa"/>
              <w:left w:w="20" w:type="dxa"/>
              <w:bottom w:w="40" w:type="dxa"/>
              <w:right w:w="20" w:type="dxa"/>
            </w:tcMar>
            <w:vAlign w:val="bottom"/>
          </w:tcPr>
          <w:p w14:paraId="392C8296" w14:textId="77777777" w:rsidR="00980E5F" w:rsidRDefault="00483613">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297"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298" w14:textId="77777777" w:rsidR="00980E5F" w:rsidRDefault="00483613">
            <w:pPr>
              <w:jc w:val="right"/>
              <w:textAlignment w:val="bottom"/>
            </w:pPr>
            <w:r>
              <w:rPr>
                <w:rFonts w:ascii="Arial" w:eastAsia="宋体" w:hAnsi="Arial" w:cs="Arial"/>
                <w:b/>
                <w:bCs/>
                <w:color w:val="000000"/>
                <w:sz w:val="15"/>
                <w:szCs w:val="15"/>
              </w:rPr>
              <w:t>23,415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2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9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29B"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29C" w14:textId="77777777" w:rsidR="00980E5F" w:rsidRDefault="00483613">
            <w:pPr>
              <w:jc w:val="right"/>
              <w:textAlignment w:val="bottom"/>
            </w:pPr>
            <w:r>
              <w:rPr>
                <w:rFonts w:ascii="Arial" w:eastAsia="宋体" w:hAnsi="Arial" w:cs="Arial"/>
                <w:color w:val="000000"/>
                <w:sz w:val="15"/>
                <w:szCs w:val="15"/>
              </w:rPr>
              <w:t>15,216 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2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9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29F"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2A0" w14:textId="77777777" w:rsidR="00980E5F" w:rsidRDefault="00483613">
            <w:pPr>
              <w:jc w:val="right"/>
              <w:textAlignment w:val="bottom"/>
            </w:pPr>
            <w:r>
              <w:rPr>
                <w:rFonts w:ascii="Arial" w:eastAsia="宋体" w:hAnsi="Arial" w:cs="Arial"/>
                <w:b/>
                <w:bCs/>
                <w:color w:val="000000"/>
                <w:sz w:val="15"/>
                <w:szCs w:val="15"/>
              </w:rPr>
              <w:t>23,303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2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A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2A3"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2A4" w14:textId="77777777" w:rsidR="00980E5F" w:rsidRDefault="00483613">
            <w:pPr>
              <w:jc w:val="right"/>
              <w:textAlignment w:val="bottom"/>
            </w:pPr>
            <w:r>
              <w:rPr>
                <w:rFonts w:ascii="Arial" w:eastAsia="宋体" w:hAnsi="Arial" w:cs="Arial"/>
                <w:color w:val="000000"/>
                <w:sz w:val="15"/>
                <w:szCs w:val="15"/>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2A5" w14:textId="77777777" w:rsidR="00980E5F" w:rsidRDefault="00980E5F">
            <w:pPr>
              <w:jc w:val="right"/>
              <w:rPr>
                <w:rFonts w:ascii="宋体"/>
              </w:rPr>
            </w:pPr>
          </w:p>
        </w:tc>
      </w:tr>
      <w:tr w:rsidR="00980E5F" w14:paraId="392C82AF" w14:textId="77777777">
        <w:trPr>
          <w:trHeight w:val="120"/>
        </w:trPr>
        <w:tc>
          <w:tcPr>
            <w:tcW w:w="0" w:type="auto"/>
            <w:gridSpan w:val="3"/>
            <w:shd w:val="clear" w:color="auto" w:fill="auto"/>
            <w:tcMar>
              <w:top w:w="0" w:type="dxa"/>
              <w:left w:w="20" w:type="dxa"/>
              <w:bottom w:w="0" w:type="dxa"/>
              <w:right w:w="20" w:type="dxa"/>
            </w:tcMar>
            <w:vAlign w:val="bottom"/>
          </w:tcPr>
          <w:p w14:paraId="392C82A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2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A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2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AB"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2A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AD"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2AE" w14:textId="77777777" w:rsidR="00980E5F" w:rsidRDefault="00980E5F">
            <w:pPr>
              <w:rPr>
                <w:rFonts w:ascii="宋体"/>
              </w:rPr>
            </w:pPr>
          </w:p>
        </w:tc>
      </w:tr>
      <w:tr w:rsidR="00980E5F" w14:paraId="392C82B8" w14:textId="77777777">
        <w:tc>
          <w:tcPr>
            <w:tcW w:w="0" w:type="auto"/>
            <w:gridSpan w:val="3"/>
            <w:shd w:val="clear" w:color="auto" w:fill="auto"/>
            <w:tcMar>
              <w:top w:w="40" w:type="dxa"/>
              <w:left w:w="20" w:type="dxa"/>
              <w:bottom w:w="40" w:type="dxa"/>
              <w:right w:w="20" w:type="dxa"/>
            </w:tcMar>
            <w:vAlign w:val="bottom"/>
          </w:tcPr>
          <w:p w14:paraId="392C82B0" w14:textId="77777777" w:rsidR="00980E5F" w:rsidRDefault="00483613">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vAlign w:val="bottom"/>
          </w:tcPr>
          <w:p w14:paraId="392C82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B7" w14:textId="77777777" w:rsidR="00980E5F" w:rsidRDefault="00980E5F">
            <w:pPr>
              <w:rPr>
                <w:rFonts w:ascii="宋体"/>
              </w:rPr>
            </w:pPr>
          </w:p>
        </w:tc>
      </w:tr>
      <w:tr w:rsidR="00980E5F" w14:paraId="392C82C9" w14:textId="77777777">
        <w:tc>
          <w:tcPr>
            <w:tcW w:w="0" w:type="auto"/>
            <w:gridSpan w:val="3"/>
            <w:shd w:val="clear" w:color="auto" w:fill="CCEEFF"/>
            <w:tcMar>
              <w:top w:w="40" w:type="dxa"/>
              <w:left w:w="20" w:type="dxa"/>
              <w:bottom w:w="40" w:type="dxa"/>
              <w:right w:w="20" w:type="dxa"/>
            </w:tcMar>
            <w:vAlign w:val="bottom"/>
          </w:tcPr>
          <w:p w14:paraId="392C82B9" w14:textId="77777777" w:rsidR="00980E5F" w:rsidRDefault="00483613">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92C82BA"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2BB" w14:textId="77777777" w:rsidR="00980E5F" w:rsidRDefault="00483613">
            <w:pPr>
              <w:jc w:val="right"/>
              <w:textAlignment w:val="bottom"/>
            </w:pPr>
            <w:r>
              <w:rPr>
                <w:rFonts w:ascii="Arial" w:eastAsia="宋体" w:hAnsi="Arial" w:cs="Arial"/>
                <w:b/>
                <w:bCs/>
                <w:color w:val="000000"/>
                <w:sz w:val="15"/>
                <w:szCs w:val="15"/>
              </w:rPr>
              <w:t>218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2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B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BE"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2BF" w14:textId="77777777" w:rsidR="00980E5F" w:rsidRDefault="00483613">
            <w:pPr>
              <w:jc w:val="right"/>
              <w:textAlignment w:val="bottom"/>
            </w:pPr>
            <w:r>
              <w:rPr>
                <w:rFonts w:ascii="Arial" w:eastAsia="宋体" w:hAnsi="Arial" w:cs="Arial"/>
                <w:color w:val="000000"/>
                <w:sz w:val="15"/>
                <w:szCs w:val="15"/>
              </w:rPr>
              <w:t>59 </w:t>
            </w:r>
          </w:p>
        </w:tc>
        <w:tc>
          <w:tcPr>
            <w:tcW w:w="0" w:type="auto"/>
            <w:shd w:val="clear" w:color="auto" w:fill="CCEEFF"/>
            <w:tcMar>
              <w:top w:w="40" w:type="dxa"/>
              <w:left w:w="0" w:type="dxa"/>
              <w:bottom w:w="40" w:type="dxa"/>
              <w:right w:w="20" w:type="dxa"/>
            </w:tcMar>
            <w:vAlign w:val="bottom"/>
          </w:tcPr>
          <w:p w14:paraId="392C82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C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C2"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2C3"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2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C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2C6"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2C7" w14:textId="77777777" w:rsidR="00980E5F" w:rsidRDefault="00483613">
            <w:pPr>
              <w:jc w:val="right"/>
              <w:textAlignment w:val="bottom"/>
            </w:pPr>
            <w:r>
              <w:rPr>
                <w:rFonts w:ascii="Arial" w:eastAsia="宋体" w:hAnsi="Arial" w:cs="Arial"/>
                <w:color w:val="000000"/>
                <w:sz w:val="15"/>
                <w:szCs w:val="15"/>
              </w:rPr>
              <w:t>35 </w:t>
            </w:r>
          </w:p>
        </w:tc>
        <w:tc>
          <w:tcPr>
            <w:tcW w:w="0" w:type="auto"/>
            <w:shd w:val="clear" w:color="auto" w:fill="CCEEFF"/>
            <w:tcMar>
              <w:top w:w="40" w:type="dxa"/>
              <w:left w:w="0" w:type="dxa"/>
              <w:bottom w:w="40" w:type="dxa"/>
              <w:right w:w="20" w:type="dxa"/>
            </w:tcMar>
            <w:vAlign w:val="bottom"/>
          </w:tcPr>
          <w:p w14:paraId="392C82C8" w14:textId="77777777" w:rsidR="00980E5F" w:rsidRDefault="00980E5F">
            <w:pPr>
              <w:jc w:val="right"/>
              <w:rPr>
                <w:rFonts w:ascii="宋体"/>
              </w:rPr>
            </w:pPr>
          </w:p>
        </w:tc>
      </w:tr>
      <w:tr w:rsidR="00980E5F" w14:paraId="392C82D6" w14:textId="77777777">
        <w:tc>
          <w:tcPr>
            <w:tcW w:w="0" w:type="auto"/>
            <w:gridSpan w:val="3"/>
            <w:shd w:val="clear" w:color="auto" w:fill="FFFFFF"/>
            <w:tcMar>
              <w:top w:w="40" w:type="dxa"/>
              <w:left w:w="20" w:type="dxa"/>
              <w:bottom w:w="40" w:type="dxa"/>
              <w:right w:w="20" w:type="dxa"/>
            </w:tcMar>
            <w:vAlign w:val="bottom"/>
          </w:tcPr>
          <w:p w14:paraId="392C82CA" w14:textId="77777777" w:rsidR="00980E5F" w:rsidRDefault="00483613">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392C82CB" w14:textId="77777777" w:rsidR="00980E5F" w:rsidRDefault="00483613">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CE"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82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D1"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2D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2D4"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2D5" w14:textId="77777777" w:rsidR="00980E5F" w:rsidRDefault="00980E5F">
            <w:pPr>
              <w:jc w:val="right"/>
              <w:rPr>
                <w:rFonts w:ascii="宋体"/>
              </w:rPr>
            </w:pPr>
          </w:p>
        </w:tc>
      </w:tr>
      <w:tr w:rsidR="00980E5F" w14:paraId="392C82E7" w14:textId="77777777">
        <w:tc>
          <w:tcPr>
            <w:tcW w:w="0" w:type="auto"/>
            <w:gridSpan w:val="3"/>
            <w:shd w:val="clear" w:color="auto" w:fill="CCEEFF"/>
            <w:tcMar>
              <w:top w:w="40" w:type="dxa"/>
              <w:left w:w="20" w:type="dxa"/>
              <w:bottom w:w="40" w:type="dxa"/>
              <w:right w:w="20" w:type="dxa"/>
            </w:tcMar>
            <w:vAlign w:val="bottom"/>
          </w:tcPr>
          <w:p w14:paraId="392C82D7" w14:textId="77777777" w:rsidR="00980E5F" w:rsidRDefault="00483613">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2D8"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2D9" w14:textId="77777777" w:rsidR="00980E5F" w:rsidRDefault="00483613">
            <w:pPr>
              <w:jc w:val="right"/>
              <w:textAlignment w:val="bottom"/>
            </w:pPr>
            <w:r>
              <w:rPr>
                <w:rFonts w:ascii="Arial" w:eastAsia="宋体" w:hAnsi="Arial" w:cs="Arial"/>
                <w:b/>
                <w:bCs/>
                <w:color w:val="000000"/>
                <w:sz w:val="15"/>
                <w:szCs w:val="15"/>
              </w:rPr>
              <w:t>229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2D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D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2D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2DD" w14:textId="77777777" w:rsidR="00980E5F" w:rsidRDefault="00483613">
            <w:pPr>
              <w:jc w:val="right"/>
              <w:textAlignment w:val="bottom"/>
            </w:pPr>
            <w:r>
              <w:rPr>
                <w:rFonts w:ascii="Arial" w:eastAsia="宋体" w:hAnsi="Arial" w:cs="Arial"/>
                <w:color w:val="000000"/>
                <w:sz w:val="15"/>
                <w:szCs w:val="15"/>
              </w:rPr>
              <w:t>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2D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D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2E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2E1"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2E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2E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2E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2E5" w14:textId="77777777" w:rsidR="00980E5F" w:rsidRDefault="00483613">
            <w:pPr>
              <w:jc w:val="right"/>
              <w:textAlignment w:val="bottom"/>
            </w:pPr>
            <w:r>
              <w:rPr>
                <w:rFonts w:ascii="Arial" w:eastAsia="宋体" w:hAnsi="Arial" w:cs="Arial"/>
                <w:color w:val="000000"/>
                <w:sz w:val="15"/>
                <w:szCs w:val="15"/>
              </w:rPr>
              <w:t>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2E6" w14:textId="77777777" w:rsidR="00980E5F" w:rsidRDefault="00980E5F">
            <w:pPr>
              <w:jc w:val="right"/>
              <w:rPr>
                <w:rFonts w:ascii="宋体"/>
              </w:rPr>
            </w:pPr>
          </w:p>
        </w:tc>
      </w:tr>
    </w:tbl>
    <w:p w14:paraId="392C82E8"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980E5F" w14:paraId="392C82F2" w14:textId="77777777">
        <w:tc>
          <w:tcPr>
            <w:tcW w:w="50" w:type="pct"/>
            <w:shd w:val="clear" w:color="auto" w:fill="auto"/>
            <w:vAlign w:val="bottom"/>
          </w:tcPr>
          <w:p w14:paraId="392C82E9" w14:textId="77777777" w:rsidR="00980E5F" w:rsidRDefault="00980E5F">
            <w:pPr>
              <w:rPr>
                <w:rFonts w:ascii="宋体"/>
              </w:rPr>
            </w:pPr>
          </w:p>
        </w:tc>
        <w:tc>
          <w:tcPr>
            <w:tcW w:w="1348" w:type="pct"/>
            <w:shd w:val="clear" w:color="auto" w:fill="auto"/>
            <w:vAlign w:val="bottom"/>
          </w:tcPr>
          <w:p w14:paraId="392C82EA" w14:textId="77777777" w:rsidR="00980E5F" w:rsidRDefault="00980E5F">
            <w:pPr>
              <w:rPr>
                <w:rFonts w:ascii="宋体"/>
              </w:rPr>
            </w:pPr>
          </w:p>
        </w:tc>
        <w:tc>
          <w:tcPr>
            <w:tcW w:w="5" w:type="pct"/>
            <w:shd w:val="clear" w:color="auto" w:fill="auto"/>
            <w:vAlign w:val="bottom"/>
          </w:tcPr>
          <w:p w14:paraId="392C82EB" w14:textId="77777777" w:rsidR="00980E5F" w:rsidRDefault="00980E5F">
            <w:pPr>
              <w:rPr>
                <w:rFonts w:ascii="宋体"/>
              </w:rPr>
            </w:pPr>
          </w:p>
        </w:tc>
        <w:tc>
          <w:tcPr>
            <w:tcW w:w="50" w:type="pct"/>
            <w:shd w:val="clear" w:color="auto" w:fill="auto"/>
            <w:vAlign w:val="bottom"/>
          </w:tcPr>
          <w:p w14:paraId="392C82EC" w14:textId="77777777" w:rsidR="00980E5F" w:rsidRDefault="00980E5F">
            <w:pPr>
              <w:rPr>
                <w:rFonts w:ascii="宋体"/>
              </w:rPr>
            </w:pPr>
          </w:p>
        </w:tc>
        <w:tc>
          <w:tcPr>
            <w:tcW w:w="2379" w:type="pct"/>
            <w:shd w:val="clear" w:color="auto" w:fill="auto"/>
            <w:vAlign w:val="bottom"/>
          </w:tcPr>
          <w:p w14:paraId="392C82ED" w14:textId="77777777" w:rsidR="00980E5F" w:rsidRDefault="00980E5F">
            <w:pPr>
              <w:rPr>
                <w:rFonts w:ascii="宋体"/>
              </w:rPr>
            </w:pPr>
          </w:p>
        </w:tc>
        <w:tc>
          <w:tcPr>
            <w:tcW w:w="5" w:type="pct"/>
            <w:shd w:val="clear" w:color="auto" w:fill="auto"/>
            <w:vAlign w:val="bottom"/>
          </w:tcPr>
          <w:p w14:paraId="392C82EE" w14:textId="77777777" w:rsidR="00980E5F" w:rsidRDefault="00980E5F">
            <w:pPr>
              <w:rPr>
                <w:rFonts w:ascii="宋体"/>
              </w:rPr>
            </w:pPr>
          </w:p>
        </w:tc>
        <w:tc>
          <w:tcPr>
            <w:tcW w:w="50" w:type="pct"/>
            <w:shd w:val="clear" w:color="auto" w:fill="auto"/>
            <w:vAlign w:val="bottom"/>
          </w:tcPr>
          <w:p w14:paraId="392C82EF" w14:textId="77777777" w:rsidR="00980E5F" w:rsidRDefault="00980E5F">
            <w:pPr>
              <w:rPr>
                <w:rFonts w:ascii="宋体"/>
              </w:rPr>
            </w:pPr>
          </w:p>
        </w:tc>
        <w:tc>
          <w:tcPr>
            <w:tcW w:w="1107" w:type="pct"/>
            <w:shd w:val="clear" w:color="auto" w:fill="auto"/>
            <w:vAlign w:val="bottom"/>
          </w:tcPr>
          <w:p w14:paraId="392C82F0" w14:textId="77777777" w:rsidR="00980E5F" w:rsidRDefault="00980E5F">
            <w:pPr>
              <w:rPr>
                <w:rFonts w:ascii="宋体"/>
              </w:rPr>
            </w:pPr>
          </w:p>
        </w:tc>
        <w:tc>
          <w:tcPr>
            <w:tcW w:w="5" w:type="pct"/>
            <w:shd w:val="clear" w:color="auto" w:fill="auto"/>
            <w:vAlign w:val="bottom"/>
          </w:tcPr>
          <w:p w14:paraId="392C82F1" w14:textId="77777777" w:rsidR="00980E5F" w:rsidRDefault="00980E5F">
            <w:pPr>
              <w:rPr>
                <w:rFonts w:ascii="宋体"/>
              </w:rPr>
            </w:pPr>
          </w:p>
        </w:tc>
      </w:tr>
      <w:tr w:rsidR="00980E5F" w14:paraId="392C82F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2F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F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2F5" w14:textId="77777777" w:rsidR="00980E5F" w:rsidRDefault="00980E5F">
            <w:pPr>
              <w:rPr>
                <w:rFonts w:ascii="宋体"/>
              </w:rPr>
            </w:pPr>
          </w:p>
        </w:tc>
      </w:tr>
    </w:tbl>
    <w:p w14:paraId="392C82F7" w14:textId="77777777" w:rsidR="00980E5F" w:rsidRDefault="00483613">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392C82F8"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392C82F9" w14:textId="77777777" w:rsidR="00980E5F" w:rsidRDefault="00483613">
      <w:pPr>
        <w:ind w:firstLine="450"/>
        <w:jc w:val="right"/>
      </w:pPr>
      <w:r>
        <w:rPr>
          <w:rFonts w:ascii="Arial" w:eastAsia="宋体" w:hAnsi="Arial" w:cs="Arial"/>
          <w:color w:val="000000"/>
          <w:sz w:val="18"/>
          <w:szCs w:val="18"/>
        </w:rPr>
        <w:t>State Street Corporation | 80</w:t>
      </w:r>
    </w:p>
    <w:p w14:paraId="392C82FA" w14:textId="77777777" w:rsidR="00980E5F" w:rsidRDefault="00980E5F">
      <w:pPr>
        <w:ind w:firstLine="450"/>
        <w:jc w:val="center"/>
      </w:pPr>
    </w:p>
    <w:p w14:paraId="392C82FB" w14:textId="77777777" w:rsidR="00980E5F" w:rsidRDefault="00483613">
      <w:r>
        <w:pict w14:anchorId="392CBB1E">
          <v:rect id="_x0000_i1104" style="width:415.3pt;height:1.5pt" o:hralign="center" o:hrstd="t" o:hr="t" fillcolor="#a0a0a0" stroked="f"/>
        </w:pict>
      </w:r>
    </w:p>
    <w:p w14:paraId="392C82FC" w14:textId="77777777" w:rsidR="00980E5F" w:rsidRDefault="00483613">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392C82FD"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2FE" w14:textId="77777777" w:rsidR="00980E5F" w:rsidRDefault="00483613">
      <w:pPr>
        <w:ind w:firstLine="450"/>
        <w:jc w:val="center"/>
      </w:pPr>
      <w:r>
        <w:rPr>
          <w:rFonts w:ascii="Arial" w:eastAsia="宋体" w:hAnsi="Arial" w:cs="Arial"/>
          <w:b/>
          <w:bCs/>
          <w:color w:val="000000"/>
          <w:sz w:val="20"/>
          <w:szCs w:val="20"/>
        </w:rPr>
        <w:t>(UNAUDITED)</w:t>
      </w:r>
    </w:p>
    <w:p w14:paraId="392C82FF" w14:textId="77777777" w:rsidR="00980E5F" w:rsidRDefault="00483613">
      <w:pPr>
        <w:spacing w:before="60"/>
        <w:ind w:firstLine="450"/>
        <w:jc w:val="both"/>
      </w:pPr>
      <w:r>
        <w:rPr>
          <w:rFonts w:ascii="Arial" w:eastAsia="宋体" w:hAnsi="Arial" w:cs="Arial"/>
          <w:color w:val="000000"/>
          <w:sz w:val="20"/>
          <w:szCs w:val="20"/>
        </w:rPr>
        <w:t>The following table presents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8"/>
        <w:gridCol w:w="1587"/>
        <w:gridCol w:w="36"/>
        <w:gridCol w:w="66"/>
        <w:gridCol w:w="2461"/>
        <w:gridCol w:w="36"/>
        <w:gridCol w:w="36"/>
        <w:gridCol w:w="36"/>
        <w:gridCol w:w="36"/>
        <w:gridCol w:w="109"/>
        <w:gridCol w:w="741"/>
        <w:gridCol w:w="36"/>
        <w:gridCol w:w="36"/>
        <w:gridCol w:w="36"/>
        <w:gridCol w:w="36"/>
        <w:gridCol w:w="109"/>
        <w:gridCol w:w="805"/>
        <w:gridCol w:w="36"/>
        <w:gridCol w:w="36"/>
        <w:gridCol w:w="36"/>
        <w:gridCol w:w="36"/>
        <w:gridCol w:w="109"/>
        <w:gridCol w:w="694"/>
        <w:gridCol w:w="36"/>
        <w:gridCol w:w="36"/>
        <w:gridCol w:w="36"/>
        <w:gridCol w:w="36"/>
        <w:gridCol w:w="109"/>
        <w:gridCol w:w="742"/>
        <w:gridCol w:w="36"/>
        <w:gridCol w:w="36"/>
        <w:gridCol w:w="36"/>
        <w:gridCol w:w="36"/>
      </w:tblGrid>
      <w:tr w:rsidR="00980E5F" w14:paraId="392C8321" w14:textId="77777777">
        <w:tc>
          <w:tcPr>
            <w:tcW w:w="50" w:type="pct"/>
            <w:shd w:val="clear" w:color="auto" w:fill="auto"/>
            <w:vAlign w:val="bottom"/>
          </w:tcPr>
          <w:p w14:paraId="392C8300" w14:textId="77777777" w:rsidR="00980E5F" w:rsidRDefault="00980E5F">
            <w:pPr>
              <w:rPr>
                <w:rFonts w:ascii="宋体"/>
              </w:rPr>
            </w:pPr>
          </w:p>
        </w:tc>
        <w:tc>
          <w:tcPr>
            <w:tcW w:w="997" w:type="pct"/>
            <w:shd w:val="clear" w:color="auto" w:fill="auto"/>
            <w:vAlign w:val="bottom"/>
          </w:tcPr>
          <w:p w14:paraId="392C8301" w14:textId="77777777" w:rsidR="00980E5F" w:rsidRDefault="00980E5F">
            <w:pPr>
              <w:rPr>
                <w:rFonts w:ascii="宋体"/>
              </w:rPr>
            </w:pPr>
          </w:p>
        </w:tc>
        <w:tc>
          <w:tcPr>
            <w:tcW w:w="5" w:type="pct"/>
            <w:shd w:val="clear" w:color="auto" w:fill="auto"/>
            <w:vAlign w:val="bottom"/>
          </w:tcPr>
          <w:p w14:paraId="392C8302" w14:textId="77777777" w:rsidR="00980E5F" w:rsidRDefault="00980E5F">
            <w:pPr>
              <w:rPr>
                <w:rFonts w:ascii="宋体"/>
              </w:rPr>
            </w:pPr>
          </w:p>
        </w:tc>
        <w:tc>
          <w:tcPr>
            <w:tcW w:w="50" w:type="pct"/>
            <w:shd w:val="clear" w:color="auto" w:fill="auto"/>
            <w:vAlign w:val="bottom"/>
          </w:tcPr>
          <w:p w14:paraId="392C8303" w14:textId="77777777" w:rsidR="00980E5F" w:rsidRDefault="00980E5F">
            <w:pPr>
              <w:rPr>
                <w:rFonts w:ascii="宋体"/>
              </w:rPr>
            </w:pPr>
          </w:p>
        </w:tc>
        <w:tc>
          <w:tcPr>
            <w:tcW w:w="1531" w:type="pct"/>
            <w:shd w:val="clear" w:color="auto" w:fill="auto"/>
            <w:vAlign w:val="bottom"/>
          </w:tcPr>
          <w:p w14:paraId="392C8304" w14:textId="77777777" w:rsidR="00980E5F" w:rsidRDefault="00980E5F">
            <w:pPr>
              <w:rPr>
                <w:rFonts w:ascii="宋体"/>
              </w:rPr>
            </w:pPr>
          </w:p>
        </w:tc>
        <w:tc>
          <w:tcPr>
            <w:tcW w:w="5" w:type="pct"/>
            <w:shd w:val="clear" w:color="auto" w:fill="auto"/>
            <w:vAlign w:val="bottom"/>
          </w:tcPr>
          <w:p w14:paraId="392C8305" w14:textId="77777777" w:rsidR="00980E5F" w:rsidRDefault="00980E5F">
            <w:pPr>
              <w:rPr>
                <w:rFonts w:ascii="宋体"/>
              </w:rPr>
            </w:pPr>
          </w:p>
        </w:tc>
        <w:tc>
          <w:tcPr>
            <w:tcW w:w="5" w:type="pct"/>
            <w:shd w:val="clear" w:color="auto" w:fill="auto"/>
            <w:vAlign w:val="bottom"/>
          </w:tcPr>
          <w:p w14:paraId="392C8306" w14:textId="77777777" w:rsidR="00980E5F" w:rsidRDefault="00980E5F">
            <w:pPr>
              <w:rPr>
                <w:rFonts w:ascii="宋体"/>
              </w:rPr>
            </w:pPr>
          </w:p>
        </w:tc>
        <w:tc>
          <w:tcPr>
            <w:tcW w:w="19" w:type="pct"/>
            <w:shd w:val="clear" w:color="auto" w:fill="auto"/>
            <w:vAlign w:val="bottom"/>
          </w:tcPr>
          <w:p w14:paraId="392C8307" w14:textId="77777777" w:rsidR="00980E5F" w:rsidRDefault="00980E5F">
            <w:pPr>
              <w:rPr>
                <w:rFonts w:ascii="宋体"/>
              </w:rPr>
            </w:pPr>
          </w:p>
        </w:tc>
        <w:tc>
          <w:tcPr>
            <w:tcW w:w="5" w:type="pct"/>
            <w:shd w:val="clear" w:color="auto" w:fill="auto"/>
            <w:vAlign w:val="bottom"/>
          </w:tcPr>
          <w:p w14:paraId="392C8308" w14:textId="77777777" w:rsidR="00980E5F" w:rsidRDefault="00980E5F">
            <w:pPr>
              <w:rPr>
                <w:rFonts w:ascii="宋体"/>
              </w:rPr>
            </w:pPr>
          </w:p>
        </w:tc>
        <w:tc>
          <w:tcPr>
            <w:tcW w:w="50" w:type="pct"/>
            <w:shd w:val="clear" w:color="auto" w:fill="auto"/>
            <w:vAlign w:val="bottom"/>
          </w:tcPr>
          <w:p w14:paraId="392C8309" w14:textId="77777777" w:rsidR="00980E5F" w:rsidRDefault="00980E5F">
            <w:pPr>
              <w:rPr>
                <w:rFonts w:ascii="宋体"/>
              </w:rPr>
            </w:pPr>
          </w:p>
        </w:tc>
        <w:tc>
          <w:tcPr>
            <w:tcW w:w="478" w:type="pct"/>
            <w:shd w:val="clear" w:color="auto" w:fill="auto"/>
            <w:vAlign w:val="bottom"/>
          </w:tcPr>
          <w:p w14:paraId="392C830A" w14:textId="77777777" w:rsidR="00980E5F" w:rsidRDefault="00980E5F">
            <w:pPr>
              <w:rPr>
                <w:rFonts w:ascii="宋体"/>
              </w:rPr>
            </w:pPr>
          </w:p>
        </w:tc>
        <w:tc>
          <w:tcPr>
            <w:tcW w:w="5" w:type="pct"/>
            <w:shd w:val="clear" w:color="auto" w:fill="auto"/>
            <w:vAlign w:val="bottom"/>
          </w:tcPr>
          <w:p w14:paraId="392C830B" w14:textId="77777777" w:rsidR="00980E5F" w:rsidRDefault="00980E5F">
            <w:pPr>
              <w:rPr>
                <w:rFonts w:ascii="宋体"/>
              </w:rPr>
            </w:pPr>
          </w:p>
        </w:tc>
        <w:tc>
          <w:tcPr>
            <w:tcW w:w="5" w:type="pct"/>
            <w:shd w:val="clear" w:color="auto" w:fill="auto"/>
            <w:vAlign w:val="bottom"/>
          </w:tcPr>
          <w:p w14:paraId="392C830C" w14:textId="77777777" w:rsidR="00980E5F" w:rsidRDefault="00980E5F">
            <w:pPr>
              <w:rPr>
                <w:rFonts w:ascii="宋体"/>
              </w:rPr>
            </w:pPr>
          </w:p>
        </w:tc>
        <w:tc>
          <w:tcPr>
            <w:tcW w:w="26" w:type="pct"/>
            <w:shd w:val="clear" w:color="auto" w:fill="auto"/>
            <w:vAlign w:val="bottom"/>
          </w:tcPr>
          <w:p w14:paraId="392C830D" w14:textId="77777777" w:rsidR="00980E5F" w:rsidRDefault="00980E5F">
            <w:pPr>
              <w:rPr>
                <w:rFonts w:ascii="宋体"/>
              </w:rPr>
            </w:pPr>
          </w:p>
        </w:tc>
        <w:tc>
          <w:tcPr>
            <w:tcW w:w="5" w:type="pct"/>
            <w:shd w:val="clear" w:color="auto" w:fill="auto"/>
            <w:vAlign w:val="bottom"/>
          </w:tcPr>
          <w:p w14:paraId="392C830E" w14:textId="77777777" w:rsidR="00980E5F" w:rsidRDefault="00980E5F">
            <w:pPr>
              <w:rPr>
                <w:rFonts w:ascii="宋体"/>
              </w:rPr>
            </w:pPr>
          </w:p>
        </w:tc>
        <w:tc>
          <w:tcPr>
            <w:tcW w:w="50" w:type="pct"/>
            <w:shd w:val="clear" w:color="auto" w:fill="auto"/>
            <w:vAlign w:val="bottom"/>
          </w:tcPr>
          <w:p w14:paraId="392C830F" w14:textId="77777777" w:rsidR="00980E5F" w:rsidRDefault="00980E5F">
            <w:pPr>
              <w:rPr>
                <w:rFonts w:ascii="宋体"/>
              </w:rPr>
            </w:pPr>
          </w:p>
        </w:tc>
        <w:tc>
          <w:tcPr>
            <w:tcW w:w="544" w:type="pct"/>
            <w:shd w:val="clear" w:color="auto" w:fill="auto"/>
            <w:vAlign w:val="bottom"/>
          </w:tcPr>
          <w:p w14:paraId="392C8310" w14:textId="77777777" w:rsidR="00980E5F" w:rsidRDefault="00980E5F">
            <w:pPr>
              <w:rPr>
                <w:rFonts w:ascii="宋体"/>
              </w:rPr>
            </w:pPr>
          </w:p>
        </w:tc>
        <w:tc>
          <w:tcPr>
            <w:tcW w:w="5" w:type="pct"/>
            <w:shd w:val="clear" w:color="auto" w:fill="auto"/>
            <w:vAlign w:val="bottom"/>
          </w:tcPr>
          <w:p w14:paraId="392C8311" w14:textId="77777777" w:rsidR="00980E5F" w:rsidRDefault="00980E5F">
            <w:pPr>
              <w:rPr>
                <w:rFonts w:ascii="宋体"/>
              </w:rPr>
            </w:pPr>
          </w:p>
        </w:tc>
        <w:tc>
          <w:tcPr>
            <w:tcW w:w="5" w:type="pct"/>
            <w:shd w:val="clear" w:color="auto" w:fill="auto"/>
            <w:vAlign w:val="bottom"/>
          </w:tcPr>
          <w:p w14:paraId="392C8312" w14:textId="77777777" w:rsidR="00980E5F" w:rsidRDefault="00980E5F">
            <w:pPr>
              <w:rPr>
                <w:rFonts w:ascii="宋体"/>
              </w:rPr>
            </w:pPr>
          </w:p>
        </w:tc>
        <w:tc>
          <w:tcPr>
            <w:tcW w:w="26" w:type="pct"/>
            <w:shd w:val="clear" w:color="auto" w:fill="auto"/>
            <w:vAlign w:val="bottom"/>
          </w:tcPr>
          <w:p w14:paraId="392C8313" w14:textId="77777777" w:rsidR="00980E5F" w:rsidRDefault="00980E5F">
            <w:pPr>
              <w:rPr>
                <w:rFonts w:ascii="宋体"/>
              </w:rPr>
            </w:pPr>
          </w:p>
        </w:tc>
        <w:tc>
          <w:tcPr>
            <w:tcW w:w="5" w:type="pct"/>
            <w:shd w:val="clear" w:color="auto" w:fill="auto"/>
            <w:vAlign w:val="bottom"/>
          </w:tcPr>
          <w:p w14:paraId="392C8314" w14:textId="77777777" w:rsidR="00980E5F" w:rsidRDefault="00980E5F">
            <w:pPr>
              <w:rPr>
                <w:rFonts w:ascii="宋体"/>
              </w:rPr>
            </w:pPr>
          </w:p>
        </w:tc>
        <w:tc>
          <w:tcPr>
            <w:tcW w:w="50" w:type="pct"/>
            <w:shd w:val="clear" w:color="auto" w:fill="auto"/>
            <w:vAlign w:val="bottom"/>
          </w:tcPr>
          <w:p w14:paraId="392C8315" w14:textId="77777777" w:rsidR="00980E5F" w:rsidRDefault="00980E5F">
            <w:pPr>
              <w:rPr>
                <w:rFonts w:ascii="宋体"/>
              </w:rPr>
            </w:pPr>
          </w:p>
        </w:tc>
        <w:tc>
          <w:tcPr>
            <w:tcW w:w="478" w:type="pct"/>
            <w:shd w:val="clear" w:color="auto" w:fill="auto"/>
            <w:vAlign w:val="bottom"/>
          </w:tcPr>
          <w:p w14:paraId="392C8316" w14:textId="77777777" w:rsidR="00980E5F" w:rsidRDefault="00980E5F">
            <w:pPr>
              <w:rPr>
                <w:rFonts w:ascii="宋体"/>
              </w:rPr>
            </w:pPr>
          </w:p>
        </w:tc>
        <w:tc>
          <w:tcPr>
            <w:tcW w:w="5" w:type="pct"/>
            <w:shd w:val="clear" w:color="auto" w:fill="auto"/>
            <w:vAlign w:val="bottom"/>
          </w:tcPr>
          <w:p w14:paraId="392C8317" w14:textId="77777777" w:rsidR="00980E5F" w:rsidRDefault="00980E5F">
            <w:pPr>
              <w:rPr>
                <w:rFonts w:ascii="宋体"/>
              </w:rPr>
            </w:pPr>
          </w:p>
        </w:tc>
        <w:tc>
          <w:tcPr>
            <w:tcW w:w="5" w:type="pct"/>
            <w:shd w:val="clear" w:color="auto" w:fill="auto"/>
            <w:vAlign w:val="bottom"/>
          </w:tcPr>
          <w:p w14:paraId="392C8318" w14:textId="77777777" w:rsidR="00980E5F" w:rsidRDefault="00980E5F">
            <w:pPr>
              <w:rPr>
                <w:rFonts w:ascii="宋体"/>
              </w:rPr>
            </w:pPr>
          </w:p>
        </w:tc>
        <w:tc>
          <w:tcPr>
            <w:tcW w:w="19" w:type="pct"/>
            <w:shd w:val="clear" w:color="auto" w:fill="auto"/>
            <w:vAlign w:val="bottom"/>
          </w:tcPr>
          <w:p w14:paraId="392C8319" w14:textId="77777777" w:rsidR="00980E5F" w:rsidRDefault="00980E5F">
            <w:pPr>
              <w:rPr>
                <w:rFonts w:ascii="宋体"/>
              </w:rPr>
            </w:pPr>
          </w:p>
        </w:tc>
        <w:tc>
          <w:tcPr>
            <w:tcW w:w="5" w:type="pct"/>
            <w:shd w:val="clear" w:color="auto" w:fill="auto"/>
            <w:vAlign w:val="bottom"/>
          </w:tcPr>
          <w:p w14:paraId="392C831A" w14:textId="77777777" w:rsidR="00980E5F" w:rsidRDefault="00980E5F">
            <w:pPr>
              <w:rPr>
                <w:rFonts w:ascii="宋体"/>
              </w:rPr>
            </w:pPr>
          </w:p>
        </w:tc>
        <w:tc>
          <w:tcPr>
            <w:tcW w:w="50" w:type="pct"/>
            <w:shd w:val="clear" w:color="auto" w:fill="auto"/>
            <w:vAlign w:val="bottom"/>
          </w:tcPr>
          <w:p w14:paraId="392C831B" w14:textId="77777777" w:rsidR="00980E5F" w:rsidRDefault="00980E5F">
            <w:pPr>
              <w:rPr>
                <w:rFonts w:ascii="宋体"/>
              </w:rPr>
            </w:pPr>
          </w:p>
        </w:tc>
        <w:tc>
          <w:tcPr>
            <w:tcW w:w="478" w:type="pct"/>
            <w:shd w:val="clear" w:color="auto" w:fill="auto"/>
            <w:vAlign w:val="bottom"/>
          </w:tcPr>
          <w:p w14:paraId="392C831C" w14:textId="77777777" w:rsidR="00980E5F" w:rsidRDefault="00980E5F">
            <w:pPr>
              <w:rPr>
                <w:rFonts w:ascii="宋体"/>
              </w:rPr>
            </w:pPr>
          </w:p>
        </w:tc>
        <w:tc>
          <w:tcPr>
            <w:tcW w:w="5" w:type="pct"/>
            <w:shd w:val="clear" w:color="auto" w:fill="auto"/>
            <w:vAlign w:val="bottom"/>
          </w:tcPr>
          <w:p w14:paraId="392C831D" w14:textId="77777777" w:rsidR="00980E5F" w:rsidRDefault="00980E5F">
            <w:pPr>
              <w:rPr>
                <w:rFonts w:ascii="宋体"/>
              </w:rPr>
            </w:pPr>
          </w:p>
        </w:tc>
        <w:tc>
          <w:tcPr>
            <w:tcW w:w="5" w:type="pct"/>
            <w:shd w:val="clear" w:color="auto" w:fill="auto"/>
            <w:vAlign w:val="bottom"/>
          </w:tcPr>
          <w:p w14:paraId="392C831E" w14:textId="77777777" w:rsidR="00980E5F" w:rsidRDefault="00980E5F">
            <w:pPr>
              <w:rPr>
                <w:rFonts w:ascii="宋体"/>
              </w:rPr>
            </w:pPr>
          </w:p>
        </w:tc>
        <w:tc>
          <w:tcPr>
            <w:tcW w:w="19" w:type="pct"/>
            <w:shd w:val="clear" w:color="auto" w:fill="auto"/>
            <w:vAlign w:val="bottom"/>
          </w:tcPr>
          <w:p w14:paraId="392C831F" w14:textId="77777777" w:rsidR="00980E5F" w:rsidRDefault="00980E5F">
            <w:pPr>
              <w:rPr>
                <w:rFonts w:ascii="宋体"/>
              </w:rPr>
            </w:pPr>
          </w:p>
        </w:tc>
        <w:tc>
          <w:tcPr>
            <w:tcW w:w="5" w:type="pct"/>
            <w:shd w:val="clear" w:color="auto" w:fill="auto"/>
            <w:vAlign w:val="bottom"/>
          </w:tcPr>
          <w:p w14:paraId="392C8320" w14:textId="77777777" w:rsidR="00980E5F" w:rsidRDefault="00980E5F">
            <w:pPr>
              <w:rPr>
                <w:rFonts w:ascii="宋体"/>
              </w:rPr>
            </w:pPr>
          </w:p>
        </w:tc>
      </w:tr>
      <w:tr w:rsidR="00980E5F" w14:paraId="392C8329" w14:textId="77777777">
        <w:tc>
          <w:tcPr>
            <w:tcW w:w="0" w:type="auto"/>
            <w:gridSpan w:val="3"/>
            <w:shd w:val="clear" w:color="auto" w:fill="auto"/>
            <w:tcMar>
              <w:top w:w="0" w:type="dxa"/>
              <w:left w:w="20" w:type="dxa"/>
              <w:bottom w:w="0" w:type="dxa"/>
              <w:right w:w="20" w:type="dxa"/>
            </w:tcMar>
            <w:vAlign w:val="bottom"/>
          </w:tcPr>
          <w:p w14:paraId="392C832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2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24"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325" w14:textId="77777777" w:rsidR="00980E5F" w:rsidRDefault="00483613">
            <w:pPr>
              <w:jc w:val="center"/>
              <w:textAlignment w:val="bottom"/>
            </w:pPr>
            <w:r>
              <w:rPr>
                <w:rFonts w:ascii="Arial" w:eastAsia="宋体" w:hAnsi="Arial" w:cs="Arial"/>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392C832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327" w14:textId="77777777" w:rsidR="00980E5F" w:rsidRDefault="00483613">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392C8328" w14:textId="77777777" w:rsidR="00980E5F" w:rsidRDefault="00980E5F">
            <w:pPr>
              <w:rPr>
                <w:rFonts w:ascii="宋体"/>
              </w:rPr>
            </w:pPr>
          </w:p>
        </w:tc>
      </w:tr>
      <w:tr w:rsidR="00980E5F" w14:paraId="392C8335" w14:textId="77777777">
        <w:tc>
          <w:tcPr>
            <w:tcW w:w="0" w:type="auto"/>
            <w:gridSpan w:val="3"/>
            <w:shd w:val="clear" w:color="auto" w:fill="auto"/>
            <w:tcMar>
              <w:top w:w="0" w:type="dxa"/>
              <w:left w:w="20" w:type="dxa"/>
              <w:bottom w:w="0" w:type="dxa"/>
              <w:right w:w="20" w:type="dxa"/>
            </w:tcMar>
            <w:vAlign w:val="bottom"/>
          </w:tcPr>
          <w:p w14:paraId="392C83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2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32D" w14:textId="77777777" w:rsidR="00980E5F" w:rsidRDefault="00483613">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2E"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32F" w14:textId="77777777" w:rsidR="00980E5F" w:rsidRDefault="00483613">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92C8330"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331" w14:textId="77777777" w:rsidR="00980E5F" w:rsidRDefault="00483613">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32"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333" w14:textId="77777777" w:rsidR="00980E5F" w:rsidRDefault="00483613">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92C8334" w14:textId="77777777" w:rsidR="00980E5F" w:rsidRDefault="00980E5F">
            <w:pPr>
              <w:rPr>
                <w:rFonts w:ascii="宋体"/>
              </w:rPr>
            </w:pPr>
          </w:p>
        </w:tc>
      </w:tr>
      <w:tr w:rsidR="00980E5F" w14:paraId="392C833B" w14:textId="77777777">
        <w:tc>
          <w:tcPr>
            <w:tcW w:w="0" w:type="auto"/>
            <w:gridSpan w:val="3"/>
            <w:shd w:val="clear" w:color="auto" w:fill="auto"/>
            <w:tcMar>
              <w:top w:w="40" w:type="dxa"/>
              <w:left w:w="20" w:type="dxa"/>
              <w:bottom w:w="40" w:type="dxa"/>
              <w:right w:w="20" w:type="dxa"/>
            </w:tcMar>
            <w:vAlign w:val="bottom"/>
          </w:tcPr>
          <w:p w14:paraId="392C8336" w14:textId="77777777" w:rsidR="00980E5F" w:rsidRDefault="00483613">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392C8337" w14:textId="77777777" w:rsidR="00980E5F" w:rsidRDefault="00483613">
            <w:pPr>
              <w:jc w:val="center"/>
              <w:textAlignment w:val="bottom"/>
            </w:pPr>
            <w:r>
              <w:rPr>
                <w:rFonts w:ascii="Arial" w:eastAsia="宋体" w:hAnsi="Arial" w:cs="Arial"/>
                <w:b/>
                <w:bCs/>
                <w:color w:val="000000"/>
                <w:sz w:val="16"/>
                <w:szCs w:val="16"/>
              </w:rPr>
              <w:t>Location of Gain (Loss) on</w:t>
            </w:r>
            <w:r>
              <w:rPr>
                <w:rFonts w:ascii="Arial" w:eastAsia="宋体" w:hAnsi="Arial" w:cs="Arial"/>
                <w:b/>
                <w:bCs/>
                <w:color w:val="000000"/>
                <w:sz w:val="16"/>
                <w:szCs w:val="16"/>
              </w:rPr>
              <w:br/>
              <w:t>Derivative in Consolidated</w:t>
            </w:r>
            <w:r>
              <w:rPr>
                <w:rFonts w:ascii="Arial" w:eastAsia="宋体" w:hAnsi="Arial" w:cs="Arial"/>
                <w:b/>
                <w:bCs/>
                <w:color w:val="000000"/>
                <w:sz w:val="16"/>
                <w:szCs w:val="16"/>
              </w:rPr>
              <w:br/>
              <w:t>Statement of Income</w:t>
            </w:r>
          </w:p>
        </w:tc>
        <w:tc>
          <w:tcPr>
            <w:tcW w:w="0" w:type="auto"/>
            <w:gridSpan w:val="3"/>
            <w:shd w:val="clear" w:color="auto" w:fill="auto"/>
            <w:tcMar>
              <w:top w:w="0" w:type="dxa"/>
              <w:left w:w="20" w:type="dxa"/>
              <w:bottom w:w="0" w:type="dxa"/>
              <w:right w:w="20" w:type="dxa"/>
            </w:tcMar>
            <w:vAlign w:val="bottom"/>
          </w:tcPr>
          <w:p w14:paraId="392C8338" w14:textId="77777777" w:rsidR="00980E5F" w:rsidRDefault="00980E5F">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92C8339" w14:textId="77777777" w:rsidR="00980E5F" w:rsidRDefault="00483613">
            <w:pPr>
              <w:jc w:val="center"/>
              <w:textAlignment w:val="bottom"/>
            </w:pPr>
            <w:r>
              <w:rPr>
                <w:rFonts w:ascii="Arial" w:eastAsia="宋体" w:hAnsi="Arial" w:cs="Arial"/>
                <w:b/>
                <w:bCs/>
                <w:color w:val="000000"/>
                <w:sz w:val="16"/>
                <w:szCs w:val="16"/>
              </w:rPr>
              <w:t>Amount of Gain (Loss) on Derivative Recognized in Consolidated Statement of Income</w:t>
            </w:r>
          </w:p>
        </w:tc>
        <w:tc>
          <w:tcPr>
            <w:tcW w:w="0" w:type="auto"/>
            <w:gridSpan w:val="3"/>
            <w:shd w:val="clear" w:color="auto" w:fill="auto"/>
            <w:tcMar>
              <w:top w:w="0" w:type="dxa"/>
              <w:left w:w="20" w:type="dxa"/>
              <w:bottom w:w="0" w:type="dxa"/>
              <w:right w:w="20" w:type="dxa"/>
            </w:tcMar>
            <w:vAlign w:val="bottom"/>
          </w:tcPr>
          <w:p w14:paraId="392C833A" w14:textId="77777777" w:rsidR="00980E5F" w:rsidRDefault="00980E5F">
            <w:pPr>
              <w:rPr>
                <w:rFonts w:ascii="宋体"/>
              </w:rPr>
            </w:pPr>
          </w:p>
        </w:tc>
      </w:tr>
      <w:tr w:rsidR="00980E5F" w14:paraId="392C8347" w14:textId="77777777">
        <w:tc>
          <w:tcPr>
            <w:tcW w:w="0" w:type="auto"/>
            <w:gridSpan w:val="3"/>
            <w:shd w:val="clear" w:color="auto" w:fill="auto"/>
            <w:tcMar>
              <w:top w:w="40" w:type="dxa"/>
              <w:left w:w="20" w:type="dxa"/>
              <w:bottom w:w="40" w:type="dxa"/>
              <w:right w:w="20" w:type="dxa"/>
            </w:tcMar>
            <w:vAlign w:val="bottom"/>
          </w:tcPr>
          <w:p w14:paraId="392C833C" w14:textId="77777777" w:rsidR="00980E5F" w:rsidRDefault="00483613">
            <w:pPr>
              <w:textAlignment w:val="bottom"/>
            </w:pPr>
            <w:r>
              <w:rPr>
                <w:rFonts w:ascii="Arial" w:eastAsia="宋体" w:hAnsi="Arial" w:cs="Arial"/>
                <w:b/>
                <w:bCs/>
                <w:color w:val="000000"/>
                <w:sz w:val="16"/>
                <w:szCs w:val="16"/>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3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3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34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346" w14:textId="77777777" w:rsidR="00980E5F" w:rsidRDefault="00980E5F">
            <w:pPr>
              <w:rPr>
                <w:rFonts w:ascii="宋体"/>
              </w:rPr>
            </w:pPr>
          </w:p>
        </w:tc>
      </w:tr>
      <w:tr w:rsidR="00980E5F" w14:paraId="392C835B" w14:textId="77777777">
        <w:tc>
          <w:tcPr>
            <w:tcW w:w="0" w:type="auto"/>
            <w:gridSpan w:val="3"/>
            <w:shd w:val="clear" w:color="auto" w:fill="CCEEFF"/>
            <w:tcMar>
              <w:top w:w="40" w:type="dxa"/>
              <w:left w:w="20" w:type="dxa"/>
              <w:bottom w:w="40" w:type="dxa"/>
              <w:right w:w="20" w:type="dxa"/>
            </w:tcMar>
            <w:vAlign w:val="bottom"/>
          </w:tcPr>
          <w:p w14:paraId="392C8348" w14:textId="77777777" w:rsidR="00980E5F" w:rsidRDefault="00483613">
            <w:pPr>
              <w:textAlignment w:val="bottom"/>
            </w:pPr>
            <w:r>
              <w:rPr>
                <w:rFonts w:ascii="Arial" w:eastAsia="宋体" w:hAnsi="Arial" w:cs="Arial"/>
                <w:color w:val="000000"/>
                <w:sz w:val="16"/>
                <w:szCs w:val="16"/>
              </w:rPr>
              <w:t xml:space="preserve">Foreign exchange </w:t>
            </w:r>
            <w:r>
              <w:rPr>
                <w:rFonts w:ascii="Arial" w:eastAsia="宋体" w:hAnsi="Arial" w:cs="Arial"/>
                <w:color w:val="000000"/>
                <w:sz w:val="16"/>
                <w:szCs w:val="16"/>
              </w:rPr>
              <w:t>contracts</w:t>
            </w:r>
          </w:p>
        </w:tc>
        <w:tc>
          <w:tcPr>
            <w:tcW w:w="0" w:type="auto"/>
            <w:gridSpan w:val="3"/>
            <w:shd w:val="clear" w:color="auto" w:fill="CCEEFF"/>
            <w:tcMar>
              <w:top w:w="40" w:type="dxa"/>
              <w:left w:w="20" w:type="dxa"/>
              <w:bottom w:w="40" w:type="dxa"/>
              <w:right w:w="20" w:type="dxa"/>
            </w:tcMar>
            <w:vAlign w:val="bottom"/>
          </w:tcPr>
          <w:p w14:paraId="392C8349" w14:textId="77777777" w:rsidR="00980E5F" w:rsidRDefault="00483613">
            <w:pPr>
              <w:textAlignment w:val="bottom"/>
            </w:pPr>
            <w:r>
              <w:rPr>
                <w:rFonts w:ascii="Arial" w:eastAsia="宋体" w:hAnsi="Arial" w:cs="Arial"/>
                <w:color w:val="000000"/>
                <w:sz w:val="16"/>
                <w:szCs w:val="16"/>
              </w:rPr>
              <w:t>Foreign exchange trading services revenue</w:t>
            </w:r>
          </w:p>
        </w:tc>
        <w:tc>
          <w:tcPr>
            <w:tcW w:w="0" w:type="auto"/>
            <w:gridSpan w:val="3"/>
            <w:shd w:val="clear" w:color="auto" w:fill="CCEEFF"/>
            <w:tcMar>
              <w:top w:w="0" w:type="dxa"/>
              <w:left w:w="20" w:type="dxa"/>
              <w:bottom w:w="0" w:type="dxa"/>
              <w:right w:w="20" w:type="dxa"/>
            </w:tcMar>
            <w:vAlign w:val="bottom"/>
          </w:tcPr>
          <w:p w14:paraId="392C834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34B" w14:textId="77777777" w:rsidR="00980E5F" w:rsidRDefault="00483613">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92C834C" w14:textId="77777777" w:rsidR="00980E5F" w:rsidRDefault="00483613">
            <w:pPr>
              <w:jc w:val="right"/>
              <w:textAlignment w:val="bottom"/>
            </w:pPr>
            <w:r>
              <w:rPr>
                <w:rFonts w:ascii="Arial" w:eastAsia="宋体" w:hAnsi="Arial" w:cs="Arial"/>
                <w:b/>
                <w:bCs/>
                <w:color w:val="000000"/>
                <w:sz w:val="16"/>
                <w:szCs w:val="16"/>
              </w:rPr>
              <w:t>230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92C83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4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34F" w14:textId="77777777" w:rsidR="00980E5F" w:rsidRDefault="00483613">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92C8350" w14:textId="77777777" w:rsidR="00980E5F" w:rsidRDefault="00483613">
            <w:pPr>
              <w:jc w:val="right"/>
              <w:textAlignment w:val="bottom"/>
            </w:pPr>
            <w:r>
              <w:rPr>
                <w:rFonts w:ascii="Arial" w:eastAsia="宋体" w:hAnsi="Arial" w:cs="Arial"/>
                <w:color w:val="000000"/>
                <w:sz w:val="16"/>
                <w:szCs w:val="16"/>
              </w:rPr>
              <w:t>188 </w:t>
            </w:r>
          </w:p>
        </w:tc>
        <w:tc>
          <w:tcPr>
            <w:tcW w:w="0" w:type="auto"/>
            <w:shd w:val="clear" w:color="auto" w:fill="CCEEFF"/>
            <w:tcMar>
              <w:top w:w="40" w:type="dxa"/>
              <w:left w:w="0" w:type="dxa"/>
              <w:bottom w:w="40" w:type="dxa"/>
              <w:right w:w="20" w:type="dxa"/>
            </w:tcMar>
            <w:vAlign w:val="bottom"/>
          </w:tcPr>
          <w:p w14:paraId="392C83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5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353" w14:textId="77777777" w:rsidR="00980E5F" w:rsidRDefault="00483613">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392C8354" w14:textId="77777777" w:rsidR="00980E5F" w:rsidRDefault="00483613">
            <w:pPr>
              <w:jc w:val="right"/>
              <w:textAlignment w:val="bottom"/>
            </w:pPr>
            <w:r>
              <w:rPr>
                <w:rFonts w:ascii="Arial" w:eastAsia="宋体" w:hAnsi="Arial" w:cs="Arial"/>
                <w:b/>
                <w:bCs/>
                <w:color w:val="000000"/>
                <w:sz w:val="16"/>
                <w:szCs w:val="16"/>
              </w:rPr>
              <w:t>469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92C83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5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357" w14:textId="77777777" w:rsidR="00980E5F" w:rsidRDefault="00483613">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392C8358" w14:textId="77777777" w:rsidR="00980E5F" w:rsidRDefault="00483613">
            <w:pPr>
              <w:jc w:val="right"/>
              <w:textAlignment w:val="bottom"/>
            </w:pPr>
            <w:r>
              <w:rPr>
                <w:rFonts w:ascii="Arial" w:eastAsia="宋体" w:hAnsi="Arial" w:cs="Arial"/>
                <w:color w:val="000000"/>
                <w:sz w:val="16"/>
                <w:szCs w:val="16"/>
              </w:rPr>
              <w:t>431 </w:t>
            </w:r>
          </w:p>
        </w:tc>
        <w:tc>
          <w:tcPr>
            <w:tcW w:w="0" w:type="auto"/>
            <w:shd w:val="clear" w:color="auto" w:fill="CCEEFF"/>
            <w:tcMar>
              <w:top w:w="40" w:type="dxa"/>
              <w:left w:w="0" w:type="dxa"/>
              <w:bottom w:w="40" w:type="dxa"/>
              <w:right w:w="20" w:type="dxa"/>
            </w:tcMar>
            <w:vAlign w:val="bottom"/>
          </w:tcPr>
          <w:p w14:paraId="392C83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5A" w14:textId="77777777" w:rsidR="00980E5F" w:rsidRDefault="00980E5F">
            <w:pPr>
              <w:rPr>
                <w:rFonts w:ascii="宋体"/>
              </w:rPr>
            </w:pPr>
          </w:p>
        </w:tc>
      </w:tr>
      <w:tr w:rsidR="00980E5F" w14:paraId="392C8367" w14:textId="77777777">
        <w:trPr>
          <w:hidden/>
        </w:trPr>
        <w:tc>
          <w:tcPr>
            <w:tcW w:w="0" w:type="auto"/>
            <w:gridSpan w:val="3"/>
            <w:shd w:val="clear" w:color="auto" w:fill="auto"/>
            <w:vAlign w:val="bottom"/>
          </w:tcPr>
          <w:p w14:paraId="392C835C" w14:textId="77777777" w:rsidR="00980E5F" w:rsidRDefault="00980E5F">
            <w:pPr>
              <w:rPr>
                <w:rFonts w:ascii="宋体"/>
                <w:vanish/>
              </w:rPr>
            </w:pPr>
          </w:p>
        </w:tc>
        <w:tc>
          <w:tcPr>
            <w:tcW w:w="0" w:type="auto"/>
            <w:gridSpan w:val="3"/>
            <w:shd w:val="clear" w:color="auto" w:fill="auto"/>
            <w:vAlign w:val="bottom"/>
          </w:tcPr>
          <w:p w14:paraId="392C835D" w14:textId="77777777" w:rsidR="00980E5F" w:rsidRDefault="00980E5F">
            <w:pPr>
              <w:rPr>
                <w:rFonts w:ascii="宋体"/>
                <w:vanish/>
              </w:rPr>
            </w:pPr>
          </w:p>
        </w:tc>
        <w:tc>
          <w:tcPr>
            <w:tcW w:w="0" w:type="auto"/>
            <w:gridSpan w:val="3"/>
            <w:shd w:val="clear" w:color="auto" w:fill="auto"/>
            <w:vAlign w:val="bottom"/>
          </w:tcPr>
          <w:p w14:paraId="392C835E" w14:textId="77777777" w:rsidR="00980E5F" w:rsidRDefault="00980E5F">
            <w:pPr>
              <w:rPr>
                <w:rFonts w:ascii="宋体"/>
                <w:vanish/>
              </w:rPr>
            </w:pPr>
          </w:p>
        </w:tc>
        <w:tc>
          <w:tcPr>
            <w:tcW w:w="0" w:type="auto"/>
            <w:gridSpan w:val="3"/>
            <w:shd w:val="clear" w:color="auto" w:fill="auto"/>
            <w:vAlign w:val="bottom"/>
          </w:tcPr>
          <w:p w14:paraId="392C835F" w14:textId="77777777" w:rsidR="00980E5F" w:rsidRDefault="00980E5F">
            <w:pPr>
              <w:rPr>
                <w:rFonts w:ascii="宋体"/>
                <w:vanish/>
              </w:rPr>
            </w:pPr>
          </w:p>
        </w:tc>
        <w:tc>
          <w:tcPr>
            <w:tcW w:w="0" w:type="auto"/>
            <w:gridSpan w:val="3"/>
            <w:shd w:val="clear" w:color="auto" w:fill="auto"/>
            <w:vAlign w:val="bottom"/>
          </w:tcPr>
          <w:p w14:paraId="392C8360" w14:textId="77777777" w:rsidR="00980E5F" w:rsidRDefault="00980E5F">
            <w:pPr>
              <w:rPr>
                <w:rFonts w:ascii="宋体"/>
                <w:vanish/>
              </w:rPr>
            </w:pPr>
          </w:p>
        </w:tc>
        <w:tc>
          <w:tcPr>
            <w:tcW w:w="0" w:type="auto"/>
            <w:gridSpan w:val="3"/>
            <w:shd w:val="clear" w:color="auto" w:fill="auto"/>
            <w:vAlign w:val="bottom"/>
          </w:tcPr>
          <w:p w14:paraId="392C8361" w14:textId="77777777" w:rsidR="00980E5F" w:rsidRDefault="00980E5F">
            <w:pPr>
              <w:rPr>
                <w:rFonts w:ascii="宋体"/>
                <w:vanish/>
              </w:rPr>
            </w:pPr>
          </w:p>
        </w:tc>
        <w:tc>
          <w:tcPr>
            <w:tcW w:w="0" w:type="auto"/>
            <w:gridSpan w:val="3"/>
            <w:shd w:val="clear" w:color="auto" w:fill="auto"/>
            <w:vAlign w:val="bottom"/>
          </w:tcPr>
          <w:p w14:paraId="392C8362" w14:textId="77777777" w:rsidR="00980E5F" w:rsidRDefault="00980E5F">
            <w:pPr>
              <w:rPr>
                <w:rFonts w:ascii="宋体"/>
                <w:vanish/>
              </w:rPr>
            </w:pPr>
          </w:p>
        </w:tc>
        <w:tc>
          <w:tcPr>
            <w:tcW w:w="0" w:type="auto"/>
            <w:gridSpan w:val="3"/>
            <w:shd w:val="clear" w:color="auto" w:fill="auto"/>
            <w:vAlign w:val="bottom"/>
          </w:tcPr>
          <w:p w14:paraId="392C8363" w14:textId="77777777" w:rsidR="00980E5F" w:rsidRDefault="00980E5F">
            <w:pPr>
              <w:rPr>
                <w:rFonts w:ascii="宋体"/>
                <w:vanish/>
              </w:rPr>
            </w:pPr>
          </w:p>
        </w:tc>
        <w:tc>
          <w:tcPr>
            <w:tcW w:w="0" w:type="auto"/>
            <w:gridSpan w:val="3"/>
            <w:shd w:val="clear" w:color="auto" w:fill="auto"/>
            <w:vAlign w:val="bottom"/>
          </w:tcPr>
          <w:p w14:paraId="392C8364" w14:textId="77777777" w:rsidR="00980E5F" w:rsidRDefault="00980E5F">
            <w:pPr>
              <w:rPr>
                <w:rFonts w:ascii="宋体"/>
                <w:vanish/>
              </w:rPr>
            </w:pPr>
          </w:p>
        </w:tc>
        <w:tc>
          <w:tcPr>
            <w:tcW w:w="0" w:type="auto"/>
            <w:gridSpan w:val="3"/>
            <w:shd w:val="clear" w:color="auto" w:fill="auto"/>
            <w:vAlign w:val="bottom"/>
          </w:tcPr>
          <w:p w14:paraId="392C8365" w14:textId="77777777" w:rsidR="00980E5F" w:rsidRDefault="00980E5F">
            <w:pPr>
              <w:rPr>
                <w:rFonts w:ascii="宋体"/>
                <w:vanish/>
              </w:rPr>
            </w:pPr>
          </w:p>
        </w:tc>
        <w:tc>
          <w:tcPr>
            <w:tcW w:w="0" w:type="auto"/>
            <w:gridSpan w:val="3"/>
            <w:shd w:val="clear" w:color="auto" w:fill="auto"/>
            <w:vAlign w:val="bottom"/>
          </w:tcPr>
          <w:p w14:paraId="392C8366" w14:textId="77777777" w:rsidR="00980E5F" w:rsidRDefault="00980E5F">
            <w:pPr>
              <w:rPr>
                <w:rFonts w:ascii="宋体"/>
                <w:vanish/>
              </w:rPr>
            </w:pPr>
          </w:p>
        </w:tc>
      </w:tr>
      <w:tr w:rsidR="00980E5F" w14:paraId="392C8377" w14:textId="77777777">
        <w:tc>
          <w:tcPr>
            <w:tcW w:w="0" w:type="auto"/>
            <w:gridSpan w:val="3"/>
            <w:shd w:val="clear" w:color="auto" w:fill="FFFFFF"/>
            <w:tcMar>
              <w:top w:w="40" w:type="dxa"/>
              <w:left w:w="20" w:type="dxa"/>
              <w:bottom w:w="40" w:type="dxa"/>
              <w:right w:w="20" w:type="dxa"/>
            </w:tcMar>
            <w:vAlign w:val="bottom"/>
          </w:tcPr>
          <w:p w14:paraId="392C8368" w14:textId="77777777" w:rsidR="00980E5F" w:rsidRDefault="00483613">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392C8369" w14:textId="77777777" w:rsidR="00980E5F" w:rsidRDefault="00483613">
            <w:pPr>
              <w:textAlignment w:val="bottom"/>
            </w:pPr>
            <w:r>
              <w:rPr>
                <w:rFonts w:ascii="Arial" w:eastAsia="宋体" w:hAnsi="Arial" w:cs="Arial"/>
                <w:color w:val="000000"/>
                <w:sz w:val="16"/>
                <w:szCs w:val="16"/>
              </w:rPr>
              <w:t>Interest expense</w:t>
            </w:r>
          </w:p>
        </w:tc>
        <w:tc>
          <w:tcPr>
            <w:tcW w:w="0" w:type="auto"/>
            <w:gridSpan w:val="3"/>
            <w:shd w:val="clear" w:color="auto" w:fill="FFFFFF"/>
            <w:tcMar>
              <w:top w:w="0" w:type="dxa"/>
              <w:left w:w="20" w:type="dxa"/>
              <w:bottom w:w="0" w:type="dxa"/>
              <w:right w:w="20" w:type="dxa"/>
            </w:tcMar>
            <w:vAlign w:val="bottom"/>
          </w:tcPr>
          <w:p w14:paraId="392C83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6B" w14:textId="77777777" w:rsidR="00980E5F" w:rsidRDefault="00483613">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836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6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6E" w14:textId="77777777" w:rsidR="00980E5F" w:rsidRDefault="00483613">
            <w:pPr>
              <w:jc w:val="right"/>
              <w:textAlignment w:val="bottom"/>
            </w:pPr>
            <w:r>
              <w:rPr>
                <w:rFonts w:ascii="Arial" w:eastAsia="宋体" w:hAnsi="Arial" w:cs="Arial"/>
                <w:color w:val="000000"/>
                <w:sz w:val="16"/>
                <w:szCs w:val="16"/>
              </w:rPr>
              <w:t>16 </w:t>
            </w:r>
          </w:p>
        </w:tc>
        <w:tc>
          <w:tcPr>
            <w:tcW w:w="0" w:type="auto"/>
            <w:shd w:val="clear" w:color="auto" w:fill="FFFFFF"/>
            <w:tcMar>
              <w:top w:w="40" w:type="dxa"/>
              <w:left w:w="0" w:type="dxa"/>
              <w:bottom w:w="40" w:type="dxa"/>
              <w:right w:w="20" w:type="dxa"/>
            </w:tcMar>
            <w:vAlign w:val="bottom"/>
          </w:tcPr>
          <w:p w14:paraId="392C83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7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71" w14:textId="77777777" w:rsidR="00980E5F" w:rsidRDefault="00483613">
            <w:pPr>
              <w:jc w:val="right"/>
              <w:textAlignment w:val="bottom"/>
            </w:pPr>
            <w:r>
              <w:rPr>
                <w:rFonts w:ascii="Arial" w:eastAsia="宋体" w:hAnsi="Arial" w:cs="Arial"/>
                <w:b/>
                <w:bCs/>
                <w:color w:val="000000"/>
                <w:sz w:val="16"/>
                <w:szCs w:val="16"/>
              </w:rPr>
              <w:t>16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83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74" w14:textId="77777777" w:rsidR="00980E5F" w:rsidRDefault="00483613">
            <w:pPr>
              <w:jc w:val="right"/>
              <w:textAlignment w:val="bottom"/>
            </w:pPr>
            <w:r>
              <w:rPr>
                <w:rFonts w:ascii="Arial" w:eastAsia="宋体" w:hAnsi="Arial" w:cs="Arial"/>
                <w:color w:val="000000"/>
                <w:sz w:val="16"/>
                <w:szCs w:val="16"/>
              </w:rPr>
              <w:t>37 </w:t>
            </w:r>
          </w:p>
        </w:tc>
        <w:tc>
          <w:tcPr>
            <w:tcW w:w="0" w:type="auto"/>
            <w:shd w:val="clear" w:color="auto" w:fill="FFFFFF"/>
            <w:tcMar>
              <w:top w:w="40" w:type="dxa"/>
              <w:left w:w="0" w:type="dxa"/>
              <w:bottom w:w="40" w:type="dxa"/>
              <w:right w:w="20" w:type="dxa"/>
            </w:tcMar>
            <w:vAlign w:val="bottom"/>
          </w:tcPr>
          <w:p w14:paraId="392C83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76" w14:textId="77777777" w:rsidR="00980E5F" w:rsidRDefault="00980E5F">
            <w:pPr>
              <w:rPr>
                <w:rFonts w:ascii="宋体"/>
              </w:rPr>
            </w:pPr>
          </w:p>
        </w:tc>
      </w:tr>
      <w:tr w:rsidR="00980E5F" w14:paraId="392C8387" w14:textId="77777777">
        <w:tc>
          <w:tcPr>
            <w:tcW w:w="0" w:type="auto"/>
            <w:gridSpan w:val="3"/>
            <w:shd w:val="clear" w:color="auto" w:fill="CCEEFF"/>
            <w:tcMar>
              <w:top w:w="40" w:type="dxa"/>
              <w:left w:w="20" w:type="dxa"/>
              <w:bottom w:w="40" w:type="dxa"/>
              <w:right w:w="20" w:type="dxa"/>
            </w:tcMar>
            <w:vAlign w:val="bottom"/>
          </w:tcPr>
          <w:p w14:paraId="392C8378" w14:textId="77777777" w:rsidR="00980E5F" w:rsidRDefault="00483613">
            <w:pPr>
              <w:textAlignment w:val="bottom"/>
            </w:pPr>
            <w:r>
              <w:rPr>
                <w:rFonts w:ascii="Arial" w:eastAsia="宋体" w:hAnsi="Arial" w:cs="Arial"/>
                <w:color w:val="000000"/>
                <w:sz w:val="16"/>
                <w:szCs w:val="16"/>
              </w:rPr>
              <w:t>Interest rate contracts</w:t>
            </w:r>
          </w:p>
        </w:tc>
        <w:tc>
          <w:tcPr>
            <w:tcW w:w="0" w:type="auto"/>
            <w:gridSpan w:val="3"/>
            <w:shd w:val="clear" w:color="auto" w:fill="CCEEFF"/>
            <w:tcMar>
              <w:top w:w="40" w:type="dxa"/>
              <w:left w:w="20" w:type="dxa"/>
              <w:bottom w:w="40" w:type="dxa"/>
              <w:right w:w="20" w:type="dxa"/>
            </w:tcMar>
            <w:vAlign w:val="bottom"/>
          </w:tcPr>
          <w:p w14:paraId="392C8379" w14:textId="77777777" w:rsidR="00980E5F" w:rsidRDefault="00483613">
            <w:pPr>
              <w:textAlignment w:val="bottom"/>
            </w:pPr>
            <w:r>
              <w:rPr>
                <w:rFonts w:ascii="Arial" w:eastAsia="宋体" w:hAnsi="Arial" w:cs="Arial"/>
                <w:color w:val="000000"/>
                <w:sz w:val="16"/>
                <w:szCs w:val="16"/>
              </w:rPr>
              <w:t>Foreign exchange trading services revenue</w:t>
            </w:r>
          </w:p>
        </w:tc>
        <w:tc>
          <w:tcPr>
            <w:tcW w:w="0" w:type="auto"/>
            <w:gridSpan w:val="3"/>
            <w:shd w:val="clear" w:color="auto" w:fill="CCEEFF"/>
            <w:tcMar>
              <w:top w:w="0" w:type="dxa"/>
              <w:left w:w="20" w:type="dxa"/>
              <w:bottom w:w="0" w:type="dxa"/>
              <w:right w:w="20" w:type="dxa"/>
            </w:tcMar>
            <w:vAlign w:val="bottom"/>
          </w:tcPr>
          <w:p w14:paraId="392C837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37B" w14:textId="77777777" w:rsidR="00980E5F" w:rsidRDefault="00483613">
            <w:pPr>
              <w:jc w:val="right"/>
              <w:textAlignment w:val="bottom"/>
            </w:pPr>
            <w:r>
              <w:rPr>
                <w:rFonts w:ascii="Arial" w:eastAsia="宋体" w:hAnsi="Arial" w:cs="Arial"/>
                <w:b/>
                <w:bCs/>
                <w:color w:val="000000"/>
                <w:sz w:val="16"/>
                <w:szCs w:val="16"/>
              </w:rPr>
              <w:t>(6)</w:t>
            </w:r>
          </w:p>
        </w:tc>
        <w:tc>
          <w:tcPr>
            <w:tcW w:w="0" w:type="auto"/>
            <w:shd w:val="clear" w:color="auto" w:fill="CCEEFF"/>
            <w:tcMar>
              <w:top w:w="40" w:type="dxa"/>
              <w:left w:w="0" w:type="dxa"/>
              <w:bottom w:w="40" w:type="dxa"/>
              <w:right w:w="20" w:type="dxa"/>
            </w:tcMar>
            <w:vAlign w:val="bottom"/>
          </w:tcPr>
          <w:p w14:paraId="392C83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37E" w14:textId="77777777" w:rsidR="00980E5F" w:rsidRDefault="00483613">
            <w:pPr>
              <w:jc w:val="right"/>
              <w:textAlignment w:val="bottom"/>
            </w:pPr>
            <w:r>
              <w:rPr>
                <w:rFonts w:ascii="Arial" w:eastAsia="宋体" w:hAnsi="Arial" w:cs="Arial"/>
                <w:color w:val="000000"/>
                <w:sz w:val="16"/>
                <w:szCs w:val="16"/>
              </w:rPr>
              <w:t>1 </w:t>
            </w:r>
          </w:p>
        </w:tc>
        <w:tc>
          <w:tcPr>
            <w:tcW w:w="0" w:type="auto"/>
            <w:shd w:val="clear" w:color="auto" w:fill="CCEEFF"/>
            <w:tcMar>
              <w:top w:w="40" w:type="dxa"/>
              <w:left w:w="0" w:type="dxa"/>
              <w:bottom w:w="40" w:type="dxa"/>
              <w:right w:w="20" w:type="dxa"/>
            </w:tcMar>
            <w:vAlign w:val="bottom"/>
          </w:tcPr>
          <w:p w14:paraId="392C83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381" w14:textId="77777777" w:rsidR="00980E5F" w:rsidRDefault="00483613">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392C83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384" w14:textId="77777777" w:rsidR="00980E5F" w:rsidRDefault="00483613">
            <w:pPr>
              <w:jc w:val="right"/>
              <w:textAlignment w:val="bottom"/>
            </w:pPr>
            <w:r>
              <w:rPr>
                <w:rFonts w:ascii="Arial" w:eastAsia="宋体" w:hAnsi="Arial" w:cs="Arial"/>
                <w:color w:val="000000"/>
                <w:sz w:val="16"/>
                <w:szCs w:val="16"/>
              </w:rPr>
              <w:t>1 </w:t>
            </w:r>
          </w:p>
        </w:tc>
        <w:tc>
          <w:tcPr>
            <w:tcW w:w="0" w:type="auto"/>
            <w:shd w:val="clear" w:color="auto" w:fill="CCEEFF"/>
            <w:tcMar>
              <w:top w:w="40" w:type="dxa"/>
              <w:left w:w="0" w:type="dxa"/>
              <w:bottom w:w="40" w:type="dxa"/>
              <w:right w:w="20" w:type="dxa"/>
            </w:tcMar>
            <w:vAlign w:val="bottom"/>
          </w:tcPr>
          <w:p w14:paraId="392C83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86" w14:textId="77777777" w:rsidR="00980E5F" w:rsidRDefault="00980E5F">
            <w:pPr>
              <w:rPr>
                <w:rFonts w:ascii="宋体"/>
              </w:rPr>
            </w:pPr>
          </w:p>
        </w:tc>
      </w:tr>
      <w:tr w:rsidR="00980E5F" w14:paraId="392C8393" w14:textId="77777777">
        <w:trPr>
          <w:hidden/>
        </w:trPr>
        <w:tc>
          <w:tcPr>
            <w:tcW w:w="0" w:type="auto"/>
            <w:gridSpan w:val="3"/>
            <w:shd w:val="clear" w:color="auto" w:fill="auto"/>
            <w:vAlign w:val="bottom"/>
          </w:tcPr>
          <w:p w14:paraId="392C8388" w14:textId="77777777" w:rsidR="00980E5F" w:rsidRDefault="00980E5F">
            <w:pPr>
              <w:rPr>
                <w:rFonts w:ascii="宋体"/>
                <w:vanish/>
              </w:rPr>
            </w:pPr>
          </w:p>
        </w:tc>
        <w:tc>
          <w:tcPr>
            <w:tcW w:w="0" w:type="auto"/>
            <w:gridSpan w:val="3"/>
            <w:shd w:val="clear" w:color="auto" w:fill="auto"/>
            <w:vAlign w:val="bottom"/>
          </w:tcPr>
          <w:p w14:paraId="392C8389" w14:textId="77777777" w:rsidR="00980E5F" w:rsidRDefault="00980E5F">
            <w:pPr>
              <w:rPr>
                <w:rFonts w:ascii="宋体"/>
                <w:vanish/>
              </w:rPr>
            </w:pPr>
          </w:p>
        </w:tc>
        <w:tc>
          <w:tcPr>
            <w:tcW w:w="0" w:type="auto"/>
            <w:gridSpan w:val="3"/>
            <w:shd w:val="clear" w:color="auto" w:fill="auto"/>
            <w:vAlign w:val="bottom"/>
          </w:tcPr>
          <w:p w14:paraId="392C838A" w14:textId="77777777" w:rsidR="00980E5F" w:rsidRDefault="00980E5F">
            <w:pPr>
              <w:rPr>
                <w:rFonts w:ascii="宋体"/>
                <w:vanish/>
              </w:rPr>
            </w:pPr>
          </w:p>
        </w:tc>
        <w:tc>
          <w:tcPr>
            <w:tcW w:w="0" w:type="auto"/>
            <w:gridSpan w:val="3"/>
            <w:shd w:val="clear" w:color="auto" w:fill="auto"/>
            <w:vAlign w:val="bottom"/>
          </w:tcPr>
          <w:p w14:paraId="392C838B" w14:textId="77777777" w:rsidR="00980E5F" w:rsidRDefault="00980E5F">
            <w:pPr>
              <w:rPr>
                <w:rFonts w:ascii="宋体"/>
                <w:vanish/>
              </w:rPr>
            </w:pPr>
          </w:p>
        </w:tc>
        <w:tc>
          <w:tcPr>
            <w:tcW w:w="0" w:type="auto"/>
            <w:gridSpan w:val="3"/>
            <w:shd w:val="clear" w:color="auto" w:fill="auto"/>
            <w:vAlign w:val="bottom"/>
          </w:tcPr>
          <w:p w14:paraId="392C838C" w14:textId="77777777" w:rsidR="00980E5F" w:rsidRDefault="00980E5F">
            <w:pPr>
              <w:rPr>
                <w:rFonts w:ascii="宋体"/>
                <w:vanish/>
              </w:rPr>
            </w:pPr>
          </w:p>
        </w:tc>
        <w:tc>
          <w:tcPr>
            <w:tcW w:w="0" w:type="auto"/>
            <w:gridSpan w:val="3"/>
            <w:shd w:val="clear" w:color="auto" w:fill="auto"/>
            <w:vAlign w:val="bottom"/>
          </w:tcPr>
          <w:p w14:paraId="392C838D" w14:textId="77777777" w:rsidR="00980E5F" w:rsidRDefault="00980E5F">
            <w:pPr>
              <w:rPr>
                <w:rFonts w:ascii="宋体"/>
                <w:vanish/>
              </w:rPr>
            </w:pPr>
          </w:p>
        </w:tc>
        <w:tc>
          <w:tcPr>
            <w:tcW w:w="0" w:type="auto"/>
            <w:gridSpan w:val="3"/>
            <w:shd w:val="clear" w:color="auto" w:fill="auto"/>
            <w:vAlign w:val="bottom"/>
          </w:tcPr>
          <w:p w14:paraId="392C838E" w14:textId="77777777" w:rsidR="00980E5F" w:rsidRDefault="00980E5F">
            <w:pPr>
              <w:rPr>
                <w:rFonts w:ascii="宋体"/>
                <w:vanish/>
              </w:rPr>
            </w:pPr>
          </w:p>
        </w:tc>
        <w:tc>
          <w:tcPr>
            <w:tcW w:w="0" w:type="auto"/>
            <w:gridSpan w:val="3"/>
            <w:shd w:val="clear" w:color="auto" w:fill="auto"/>
            <w:vAlign w:val="bottom"/>
          </w:tcPr>
          <w:p w14:paraId="392C838F" w14:textId="77777777" w:rsidR="00980E5F" w:rsidRDefault="00980E5F">
            <w:pPr>
              <w:rPr>
                <w:rFonts w:ascii="宋体"/>
                <w:vanish/>
              </w:rPr>
            </w:pPr>
          </w:p>
        </w:tc>
        <w:tc>
          <w:tcPr>
            <w:tcW w:w="0" w:type="auto"/>
            <w:gridSpan w:val="3"/>
            <w:shd w:val="clear" w:color="auto" w:fill="auto"/>
            <w:vAlign w:val="bottom"/>
          </w:tcPr>
          <w:p w14:paraId="392C8390" w14:textId="77777777" w:rsidR="00980E5F" w:rsidRDefault="00980E5F">
            <w:pPr>
              <w:rPr>
                <w:rFonts w:ascii="宋体"/>
                <w:vanish/>
              </w:rPr>
            </w:pPr>
          </w:p>
        </w:tc>
        <w:tc>
          <w:tcPr>
            <w:tcW w:w="0" w:type="auto"/>
            <w:gridSpan w:val="3"/>
            <w:shd w:val="clear" w:color="auto" w:fill="auto"/>
            <w:vAlign w:val="bottom"/>
          </w:tcPr>
          <w:p w14:paraId="392C8391" w14:textId="77777777" w:rsidR="00980E5F" w:rsidRDefault="00980E5F">
            <w:pPr>
              <w:rPr>
                <w:rFonts w:ascii="宋体"/>
                <w:vanish/>
              </w:rPr>
            </w:pPr>
          </w:p>
        </w:tc>
        <w:tc>
          <w:tcPr>
            <w:tcW w:w="0" w:type="auto"/>
            <w:gridSpan w:val="3"/>
            <w:shd w:val="clear" w:color="auto" w:fill="auto"/>
            <w:vAlign w:val="bottom"/>
          </w:tcPr>
          <w:p w14:paraId="392C8392" w14:textId="77777777" w:rsidR="00980E5F" w:rsidRDefault="00980E5F">
            <w:pPr>
              <w:rPr>
                <w:rFonts w:ascii="宋体"/>
                <w:vanish/>
              </w:rPr>
            </w:pPr>
          </w:p>
        </w:tc>
      </w:tr>
      <w:tr w:rsidR="00980E5F" w14:paraId="392C839F" w14:textId="77777777">
        <w:trPr>
          <w:hidden/>
        </w:trPr>
        <w:tc>
          <w:tcPr>
            <w:tcW w:w="0" w:type="auto"/>
            <w:gridSpan w:val="3"/>
            <w:shd w:val="clear" w:color="auto" w:fill="auto"/>
            <w:vAlign w:val="bottom"/>
          </w:tcPr>
          <w:p w14:paraId="392C8394" w14:textId="77777777" w:rsidR="00980E5F" w:rsidRDefault="00980E5F">
            <w:pPr>
              <w:rPr>
                <w:rFonts w:ascii="宋体"/>
                <w:vanish/>
              </w:rPr>
            </w:pPr>
          </w:p>
        </w:tc>
        <w:tc>
          <w:tcPr>
            <w:tcW w:w="0" w:type="auto"/>
            <w:gridSpan w:val="3"/>
            <w:shd w:val="clear" w:color="auto" w:fill="auto"/>
            <w:vAlign w:val="bottom"/>
          </w:tcPr>
          <w:p w14:paraId="392C8395" w14:textId="77777777" w:rsidR="00980E5F" w:rsidRDefault="00980E5F">
            <w:pPr>
              <w:rPr>
                <w:rFonts w:ascii="宋体"/>
                <w:vanish/>
              </w:rPr>
            </w:pPr>
          </w:p>
        </w:tc>
        <w:tc>
          <w:tcPr>
            <w:tcW w:w="0" w:type="auto"/>
            <w:gridSpan w:val="3"/>
            <w:shd w:val="clear" w:color="auto" w:fill="auto"/>
            <w:vAlign w:val="bottom"/>
          </w:tcPr>
          <w:p w14:paraId="392C8396" w14:textId="77777777" w:rsidR="00980E5F" w:rsidRDefault="00980E5F">
            <w:pPr>
              <w:rPr>
                <w:rFonts w:ascii="宋体"/>
                <w:vanish/>
              </w:rPr>
            </w:pPr>
          </w:p>
        </w:tc>
        <w:tc>
          <w:tcPr>
            <w:tcW w:w="0" w:type="auto"/>
            <w:gridSpan w:val="3"/>
            <w:shd w:val="clear" w:color="auto" w:fill="auto"/>
            <w:vAlign w:val="bottom"/>
          </w:tcPr>
          <w:p w14:paraId="392C8397" w14:textId="77777777" w:rsidR="00980E5F" w:rsidRDefault="00980E5F">
            <w:pPr>
              <w:rPr>
                <w:rFonts w:ascii="宋体"/>
                <w:vanish/>
              </w:rPr>
            </w:pPr>
          </w:p>
        </w:tc>
        <w:tc>
          <w:tcPr>
            <w:tcW w:w="0" w:type="auto"/>
            <w:gridSpan w:val="3"/>
            <w:shd w:val="clear" w:color="auto" w:fill="auto"/>
            <w:vAlign w:val="bottom"/>
          </w:tcPr>
          <w:p w14:paraId="392C8398" w14:textId="77777777" w:rsidR="00980E5F" w:rsidRDefault="00980E5F">
            <w:pPr>
              <w:rPr>
                <w:rFonts w:ascii="宋体"/>
                <w:vanish/>
              </w:rPr>
            </w:pPr>
          </w:p>
        </w:tc>
        <w:tc>
          <w:tcPr>
            <w:tcW w:w="0" w:type="auto"/>
            <w:gridSpan w:val="3"/>
            <w:shd w:val="clear" w:color="auto" w:fill="auto"/>
            <w:vAlign w:val="bottom"/>
          </w:tcPr>
          <w:p w14:paraId="392C8399" w14:textId="77777777" w:rsidR="00980E5F" w:rsidRDefault="00980E5F">
            <w:pPr>
              <w:rPr>
                <w:rFonts w:ascii="宋体"/>
                <w:vanish/>
              </w:rPr>
            </w:pPr>
          </w:p>
        </w:tc>
        <w:tc>
          <w:tcPr>
            <w:tcW w:w="0" w:type="auto"/>
            <w:gridSpan w:val="3"/>
            <w:shd w:val="clear" w:color="auto" w:fill="auto"/>
            <w:vAlign w:val="bottom"/>
          </w:tcPr>
          <w:p w14:paraId="392C839A" w14:textId="77777777" w:rsidR="00980E5F" w:rsidRDefault="00980E5F">
            <w:pPr>
              <w:rPr>
                <w:rFonts w:ascii="宋体"/>
                <w:vanish/>
              </w:rPr>
            </w:pPr>
          </w:p>
        </w:tc>
        <w:tc>
          <w:tcPr>
            <w:tcW w:w="0" w:type="auto"/>
            <w:gridSpan w:val="3"/>
            <w:shd w:val="clear" w:color="auto" w:fill="auto"/>
            <w:vAlign w:val="bottom"/>
          </w:tcPr>
          <w:p w14:paraId="392C839B" w14:textId="77777777" w:rsidR="00980E5F" w:rsidRDefault="00980E5F">
            <w:pPr>
              <w:rPr>
                <w:rFonts w:ascii="宋体"/>
                <w:vanish/>
              </w:rPr>
            </w:pPr>
          </w:p>
        </w:tc>
        <w:tc>
          <w:tcPr>
            <w:tcW w:w="0" w:type="auto"/>
            <w:gridSpan w:val="3"/>
            <w:shd w:val="clear" w:color="auto" w:fill="auto"/>
            <w:vAlign w:val="bottom"/>
          </w:tcPr>
          <w:p w14:paraId="392C839C" w14:textId="77777777" w:rsidR="00980E5F" w:rsidRDefault="00980E5F">
            <w:pPr>
              <w:rPr>
                <w:rFonts w:ascii="宋体"/>
                <w:vanish/>
              </w:rPr>
            </w:pPr>
          </w:p>
        </w:tc>
        <w:tc>
          <w:tcPr>
            <w:tcW w:w="0" w:type="auto"/>
            <w:gridSpan w:val="3"/>
            <w:shd w:val="clear" w:color="auto" w:fill="auto"/>
            <w:vAlign w:val="bottom"/>
          </w:tcPr>
          <w:p w14:paraId="392C839D" w14:textId="77777777" w:rsidR="00980E5F" w:rsidRDefault="00980E5F">
            <w:pPr>
              <w:rPr>
                <w:rFonts w:ascii="宋体"/>
                <w:vanish/>
              </w:rPr>
            </w:pPr>
          </w:p>
        </w:tc>
        <w:tc>
          <w:tcPr>
            <w:tcW w:w="0" w:type="auto"/>
            <w:gridSpan w:val="3"/>
            <w:shd w:val="clear" w:color="auto" w:fill="auto"/>
            <w:vAlign w:val="bottom"/>
          </w:tcPr>
          <w:p w14:paraId="392C839E" w14:textId="77777777" w:rsidR="00980E5F" w:rsidRDefault="00980E5F">
            <w:pPr>
              <w:rPr>
                <w:rFonts w:ascii="宋体"/>
                <w:vanish/>
              </w:rPr>
            </w:pPr>
          </w:p>
        </w:tc>
      </w:tr>
      <w:tr w:rsidR="00980E5F" w14:paraId="392C83AB" w14:textId="77777777">
        <w:trPr>
          <w:hidden/>
        </w:trPr>
        <w:tc>
          <w:tcPr>
            <w:tcW w:w="0" w:type="auto"/>
            <w:gridSpan w:val="3"/>
            <w:shd w:val="clear" w:color="auto" w:fill="auto"/>
            <w:vAlign w:val="bottom"/>
          </w:tcPr>
          <w:p w14:paraId="392C83A0" w14:textId="77777777" w:rsidR="00980E5F" w:rsidRDefault="00980E5F">
            <w:pPr>
              <w:rPr>
                <w:rFonts w:ascii="宋体"/>
                <w:vanish/>
              </w:rPr>
            </w:pPr>
          </w:p>
        </w:tc>
        <w:tc>
          <w:tcPr>
            <w:tcW w:w="0" w:type="auto"/>
            <w:gridSpan w:val="3"/>
            <w:shd w:val="clear" w:color="auto" w:fill="auto"/>
            <w:vAlign w:val="bottom"/>
          </w:tcPr>
          <w:p w14:paraId="392C83A1" w14:textId="77777777" w:rsidR="00980E5F" w:rsidRDefault="00980E5F">
            <w:pPr>
              <w:rPr>
                <w:rFonts w:ascii="宋体"/>
                <w:vanish/>
              </w:rPr>
            </w:pPr>
          </w:p>
        </w:tc>
        <w:tc>
          <w:tcPr>
            <w:tcW w:w="0" w:type="auto"/>
            <w:gridSpan w:val="3"/>
            <w:shd w:val="clear" w:color="auto" w:fill="auto"/>
            <w:vAlign w:val="bottom"/>
          </w:tcPr>
          <w:p w14:paraId="392C83A2" w14:textId="77777777" w:rsidR="00980E5F" w:rsidRDefault="00980E5F">
            <w:pPr>
              <w:rPr>
                <w:rFonts w:ascii="宋体"/>
                <w:vanish/>
              </w:rPr>
            </w:pPr>
          </w:p>
        </w:tc>
        <w:tc>
          <w:tcPr>
            <w:tcW w:w="0" w:type="auto"/>
            <w:gridSpan w:val="3"/>
            <w:shd w:val="clear" w:color="auto" w:fill="auto"/>
            <w:vAlign w:val="bottom"/>
          </w:tcPr>
          <w:p w14:paraId="392C83A3" w14:textId="77777777" w:rsidR="00980E5F" w:rsidRDefault="00980E5F">
            <w:pPr>
              <w:rPr>
                <w:rFonts w:ascii="宋体"/>
                <w:vanish/>
              </w:rPr>
            </w:pPr>
          </w:p>
        </w:tc>
        <w:tc>
          <w:tcPr>
            <w:tcW w:w="0" w:type="auto"/>
            <w:gridSpan w:val="3"/>
            <w:shd w:val="clear" w:color="auto" w:fill="auto"/>
            <w:vAlign w:val="bottom"/>
          </w:tcPr>
          <w:p w14:paraId="392C83A4" w14:textId="77777777" w:rsidR="00980E5F" w:rsidRDefault="00980E5F">
            <w:pPr>
              <w:rPr>
                <w:rFonts w:ascii="宋体"/>
                <w:vanish/>
              </w:rPr>
            </w:pPr>
          </w:p>
        </w:tc>
        <w:tc>
          <w:tcPr>
            <w:tcW w:w="0" w:type="auto"/>
            <w:gridSpan w:val="3"/>
            <w:shd w:val="clear" w:color="auto" w:fill="auto"/>
            <w:vAlign w:val="bottom"/>
          </w:tcPr>
          <w:p w14:paraId="392C83A5" w14:textId="77777777" w:rsidR="00980E5F" w:rsidRDefault="00980E5F">
            <w:pPr>
              <w:rPr>
                <w:rFonts w:ascii="宋体"/>
                <w:vanish/>
              </w:rPr>
            </w:pPr>
          </w:p>
        </w:tc>
        <w:tc>
          <w:tcPr>
            <w:tcW w:w="0" w:type="auto"/>
            <w:gridSpan w:val="3"/>
            <w:shd w:val="clear" w:color="auto" w:fill="auto"/>
            <w:vAlign w:val="bottom"/>
          </w:tcPr>
          <w:p w14:paraId="392C83A6" w14:textId="77777777" w:rsidR="00980E5F" w:rsidRDefault="00980E5F">
            <w:pPr>
              <w:rPr>
                <w:rFonts w:ascii="宋体"/>
                <w:vanish/>
              </w:rPr>
            </w:pPr>
          </w:p>
        </w:tc>
        <w:tc>
          <w:tcPr>
            <w:tcW w:w="0" w:type="auto"/>
            <w:gridSpan w:val="3"/>
            <w:shd w:val="clear" w:color="auto" w:fill="auto"/>
            <w:vAlign w:val="bottom"/>
          </w:tcPr>
          <w:p w14:paraId="392C83A7" w14:textId="77777777" w:rsidR="00980E5F" w:rsidRDefault="00980E5F">
            <w:pPr>
              <w:rPr>
                <w:rFonts w:ascii="宋体"/>
                <w:vanish/>
              </w:rPr>
            </w:pPr>
          </w:p>
        </w:tc>
        <w:tc>
          <w:tcPr>
            <w:tcW w:w="0" w:type="auto"/>
            <w:gridSpan w:val="3"/>
            <w:shd w:val="clear" w:color="auto" w:fill="auto"/>
            <w:vAlign w:val="bottom"/>
          </w:tcPr>
          <w:p w14:paraId="392C83A8" w14:textId="77777777" w:rsidR="00980E5F" w:rsidRDefault="00980E5F">
            <w:pPr>
              <w:rPr>
                <w:rFonts w:ascii="宋体"/>
                <w:vanish/>
              </w:rPr>
            </w:pPr>
          </w:p>
        </w:tc>
        <w:tc>
          <w:tcPr>
            <w:tcW w:w="0" w:type="auto"/>
            <w:gridSpan w:val="3"/>
            <w:shd w:val="clear" w:color="auto" w:fill="auto"/>
            <w:vAlign w:val="bottom"/>
          </w:tcPr>
          <w:p w14:paraId="392C83A9" w14:textId="77777777" w:rsidR="00980E5F" w:rsidRDefault="00980E5F">
            <w:pPr>
              <w:rPr>
                <w:rFonts w:ascii="宋体"/>
                <w:vanish/>
              </w:rPr>
            </w:pPr>
          </w:p>
        </w:tc>
        <w:tc>
          <w:tcPr>
            <w:tcW w:w="0" w:type="auto"/>
            <w:gridSpan w:val="3"/>
            <w:shd w:val="clear" w:color="auto" w:fill="auto"/>
            <w:vAlign w:val="bottom"/>
          </w:tcPr>
          <w:p w14:paraId="392C83AA" w14:textId="77777777" w:rsidR="00980E5F" w:rsidRDefault="00980E5F">
            <w:pPr>
              <w:rPr>
                <w:rFonts w:ascii="宋体"/>
                <w:vanish/>
              </w:rPr>
            </w:pPr>
          </w:p>
        </w:tc>
      </w:tr>
      <w:tr w:rsidR="00980E5F" w14:paraId="392C83B7" w14:textId="77777777">
        <w:trPr>
          <w:hidden/>
        </w:trPr>
        <w:tc>
          <w:tcPr>
            <w:tcW w:w="0" w:type="auto"/>
            <w:gridSpan w:val="3"/>
            <w:shd w:val="clear" w:color="auto" w:fill="auto"/>
            <w:vAlign w:val="bottom"/>
          </w:tcPr>
          <w:p w14:paraId="392C83AC" w14:textId="77777777" w:rsidR="00980E5F" w:rsidRDefault="00980E5F">
            <w:pPr>
              <w:rPr>
                <w:rFonts w:ascii="宋体"/>
                <w:vanish/>
              </w:rPr>
            </w:pPr>
          </w:p>
        </w:tc>
        <w:tc>
          <w:tcPr>
            <w:tcW w:w="0" w:type="auto"/>
            <w:gridSpan w:val="3"/>
            <w:shd w:val="clear" w:color="auto" w:fill="auto"/>
            <w:vAlign w:val="bottom"/>
          </w:tcPr>
          <w:p w14:paraId="392C83AD" w14:textId="77777777" w:rsidR="00980E5F" w:rsidRDefault="00980E5F">
            <w:pPr>
              <w:rPr>
                <w:rFonts w:ascii="宋体"/>
                <w:vanish/>
              </w:rPr>
            </w:pPr>
          </w:p>
        </w:tc>
        <w:tc>
          <w:tcPr>
            <w:tcW w:w="0" w:type="auto"/>
            <w:gridSpan w:val="3"/>
            <w:shd w:val="clear" w:color="auto" w:fill="auto"/>
            <w:vAlign w:val="bottom"/>
          </w:tcPr>
          <w:p w14:paraId="392C83AE" w14:textId="77777777" w:rsidR="00980E5F" w:rsidRDefault="00980E5F">
            <w:pPr>
              <w:rPr>
                <w:rFonts w:ascii="宋体"/>
                <w:vanish/>
              </w:rPr>
            </w:pPr>
          </w:p>
        </w:tc>
        <w:tc>
          <w:tcPr>
            <w:tcW w:w="0" w:type="auto"/>
            <w:gridSpan w:val="3"/>
            <w:shd w:val="clear" w:color="auto" w:fill="auto"/>
            <w:vAlign w:val="bottom"/>
          </w:tcPr>
          <w:p w14:paraId="392C83AF" w14:textId="77777777" w:rsidR="00980E5F" w:rsidRDefault="00980E5F">
            <w:pPr>
              <w:rPr>
                <w:rFonts w:ascii="宋体"/>
                <w:vanish/>
              </w:rPr>
            </w:pPr>
          </w:p>
        </w:tc>
        <w:tc>
          <w:tcPr>
            <w:tcW w:w="0" w:type="auto"/>
            <w:gridSpan w:val="3"/>
            <w:shd w:val="clear" w:color="auto" w:fill="auto"/>
            <w:vAlign w:val="bottom"/>
          </w:tcPr>
          <w:p w14:paraId="392C83B0" w14:textId="77777777" w:rsidR="00980E5F" w:rsidRDefault="00980E5F">
            <w:pPr>
              <w:rPr>
                <w:rFonts w:ascii="宋体"/>
                <w:vanish/>
              </w:rPr>
            </w:pPr>
          </w:p>
        </w:tc>
        <w:tc>
          <w:tcPr>
            <w:tcW w:w="0" w:type="auto"/>
            <w:gridSpan w:val="3"/>
            <w:shd w:val="clear" w:color="auto" w:fill="auto"/>
            <w:vAlign w:val="bottom"/>
          </w:tcPr>
          <w:p w14:paraId="392C83B1" w14:textId="77777777" w:rsidR="00980E5F" w:rsidRDefault="00980E5F">
            <w:pPr>
              <w:rPr>
                <w:rFonts w:ascii="宋体"/>
                <w:vanish/>
              </w:rPr>
            </w:pPr>
          </w:p>
        </w:tc>
        <w:tc>
          <w:tcPr>
            <w:tcW w:w="0" w:type="auto"/>
            <w:gridSpan w:val="3"/>
            <w:shd w:val="clear" w:color="auto" w:fill="auto"/>
            <w:vAlign w:val="bottom"/>
          </w:tcPr>
          <w:p w14:paraId="392C83B2" w14:textId="77777777" w:rsidR="00980E5F" w:rsidRDefault="00980E5F">
            <w:pPr>
              <w:rPr>
                <w:rFonts w:ascii="宋体"/>
                <w:vanish/>
              </w:rPr>
            </w:pPr>
          </w:p>
        </w:tc>
        <w:tc>
          <w:tcPr>
            <w:tcW w:w="0" w:type="auto"/>
            <w:gridSpan w:val="3"/>
            <w:shd w:val="clear" w:color="auto" w:fill="auto"/>
            <w:vAlign w:val="bottom"/>
          </w:tcPr>
          <w:p w14:paraId="392C83B3" w14:textId="77777777" w:rsidR="00980E5F" w:rsidRDefault="00980E5F">
            <w:pPr>
              <w:rPr>
                <w:rFonts w:ascii="宋体"/>
                <w:vanish/>
              </w:rPr>
            </w:pPr>
          </w:p>
        </w:tc>
        <w:tc>
          <w:tcPr>
            <w:tcW w:w="0" w:type="auto"/>
            <w:gridSpan w:val="3"/>
            <w:shd w:val="clear" w:color="auto" w:fill="auto"/>
            <w:vAlign w:val="bottom"/>
          </w:tcPr>
          <w:p w14:paraId="392C83B4" w14:textId="77777777" w:rsidR="00980E5F" w:rsidRDefault="00980E5F">
            <w:pPr>
              <w:rPr>
                <w:rFonts w:ascii="宋体"/>
                <w:vanish/>
              </w:rPr>
            </w:pPr>
          </w:p>
        </w:tc>
        <w:tc>
          <w:tcPr>
            <w:tcW w:w="0" w:type="auto"/>
            <w:gridSpan w:val="3"/>
            <w:shd w:val="clear" w:color="auto" w:fill="auto"/>
            <w:vAlign w:val="bottom"/>
          </w:tcPr>
          <w:p w14:paraId="392C83B5" w14:textId="77777777" w:rsidR="00980E5F" w:rsidRDefault="00980E5F">
            <w:pPr>
              <w:rPr>
                <w:rFonts w:ascii="宋体"/>
                <w:vanish/>
              </w:rPr>
            </w:pPr>
          </w:p>
        </w:tc>
        <w:tc>
          <w:tcPr>
            <w:tcW w:w="0" w:type="auto"/>
            <w:gridSpan w:val="3"/>
            <w:shd w:val="clear" w:color="auto" w:fill="auto"/>
            <w:vAlign w:val="bottom"/>
          </w:tcPr>
          <w:p w14:paraId="392C83B6" w14:textId="77777777" w:rsidR="00980E5F" w:rsidRDefault="00980E5F">
            <w:pPr>
              <w:rPr>
                <w:rFonts w:ascii="宋体"/>
                <w:vanish/>
              </w:rPr>
            </w:pPr>
          </w:p>
        </w:tc>
      </w:tr>
      <w:tr w:rsidR="00980E5F" w14:paraId="392C83C3" w14:textId="77777777">
        <w:trPr>
          <w:hidden/>
        </w:trPr>
        <w:tc>
          <w:tcPr>
            <w:tcW w:w="0" w:type="auto"/>
            <w:gridSpan w:val="3"/>
            <w:shd w:val="clear" w:color="auto" w:fill="auto"/>
            <w:vAlign w:val="bottom"/>
          </w:tcPr>
          <w:p w14:paraId="392C83B8" w14:textId="77777777" w:rsidR="00980E5F" w:rsidRDefault="00980E5F">
            <w:pPr>
              <w:rPr>
                <w:rFonts w:ascii="宋体"/>
                <w:vanish/>
              </w:rPr>
            </w:pPr>
          </w:p>
        </w:tc>
        <w:tc>
          <w:tcPr>
            <w:tcW w:w="0" w:type="auto"/>
            <w:gridSpan w:val="3"/>
            <w:shd w:val="clear" w:color="auto" w:fill="auto"/>
            <w:vAlign w:val="bottom"/>
          </w:tcPr>
          <w:p w14:paraId="392C83B9" w14:textId="77777777" w:rsidR="00980E5F" w:rsidRDefault="00980E5F">
            <w:pPr>
              <w:rPr>
                <w:rFonts w:ascii="宋体"/>
                <w:vanish/>
              </w:rPr>
            </w:pPr>
          </w:p>
        </w:tc>
        <w:tc>
          <w:tcPr>
            <w:tcW w:w="0" w:type="auto"/>
            <w:gridSpan w:val="3"/>
            <w:shd w:val="clear" w:color="auto" w:fill="auto"/>
            <w:vAlign w:val="bottom"/>
          </w:tcPr>
          <w:p w14:paraId="392C83BA" w14:textId="77777777" w:rsidR="00980E5F" w:rsidRDefault="00980E5F">
            <w:pPr>
              <w:rPr>
                <w:rFonts w:ascii="宋体"/>
                <w:vanish/>
              </w:rPr>
            </w:pPr>
          </w:p>
        </w:tc>
        <w:tc>
          <w:tcPr>
            <w:tcW w:w="0" w:type="auto"/>
            <w:gridSpan w:val="3"/>
            <w:shd w:val="clear" w:color="auto" w:fill="auto"/>
            <w:vAlign w:val="bottom"/>
          </w:tcPr>
          <w:p w14:paraId="392C83BB" w14:textId="77777777" w:rsidR="00980E5F" w:rsidRDefault="00980E5F">
            <w:pPr>
              <w:rPr>
                <w:rFonts w:ascii="宋体"/>
                <w:vanish/>
              </w:rPr>
            </w:pPr>
          </w:p>
        </w:tc>
        <w:tc>
          <w:tcPr>
            <w:tcW w:w="0" w:type="auto"/>
            <w:gridSpan w:val="3"/>
            <w:shd w:val="clear" w:color="auto" w:fill="auto"/>
            <w:vAlign w:val="bottom"/>
          </w:tcPr>
          <w:p w14:paraId="392C83BC" w14:textId="77777777" w:rsidR="00980E5F" w:rsidRDefault="00980E5F">
            <w:pPr>
              <w:rPr>
                <w:rFonts w:ascii="宋体"/>
                <w:vanish/>
              </w:rPr>
            </w:pPr>
          </w:p>
        </w:tc>
        <w:tc>
          <w:tcPr>
            <w:tcW w:w="0" w:type="auto"/>
            <w:gridSpan w:val="3"/>
            <w:shd w:val="clear" w:color="auto" w:fill="auto"/>
            <w:vAlign w:val="bottom"/>
          </w:tcPr>
          <w:p w14:paraId="392C83BD" w14:textId="77777777" w:rsidR="00980E5F" w:rsidRDefault="00980E5F">
            <w:pPr>
              <w:rPr>
                <w:rFonts w:ascii="宋体"/>
                <w:vanish/>
              </w:rPr>
            </w:pPr>
          </w:p>
        </w:tc>
        <w:tc>
          <w:tcPr>
            <w:tcW w:w="0" w:type="auto"/>
            <w:gridSpan w:val="3"/>
            <w:shd w:val="clear" w:color="auto" w:fill="auto"/>
            <w:vAlign w:val="bottom"/>
          </w:tcPr>
          <w:p w14:paraId="392C83BE" w14:textId="77777777" w:rsidR="00980E5F" w:rsidRDefault="00980E5F">
            <w:pPr>
              <w:rPr>
                <w:rFonts w:ascii="宋体"/>
                <w:vanish/>
              </w:rPr>
            </w:pPr>
          </w:p>
        </w:tc>
        <w:tc>
          <w:tcPr>
            <w:tcW w:w="0" w:type="auto"/>
            <w:gridSpan w:val="3"/>
            <w:shd w:val="clear" w:color="auto" w:fill="auto"/>
            <w:vAlign w:val="bottom"/>
          </w:tcPr>
          <w:p w14:paraId="392C83BF" w14:textId="77777777" w:rsidR="00980E5F" w:rsidRDefault="00980E5F">
            <w:pPr>
              <w:rPr>
                <w:rFonts w:ascii="宋体"/>
                <w:vanish/>
              </w:rPr>
            </w:pPr>
          </w:p>
        </w:tc>
        <w:tc>
          <w:tcPr>
            <w:tcW w:w="0" w:type="auto"/>
            <w:gridSpan w:val="3"/>
            <w:shd w:val="clear" w:color="auto" w:fill="auto"/>
            <w:vAlign w:val="bottom"/>
          </w:tcPr>
          <w:p w14:paraId="392C83C0" w14:textId="77777777" w:rsidR="00980E5F" w:rsidRDefault="00980E5F">
            <w:pPr>
              <w:rPr>
                <w:rFonts w:ascii="宋体"/>
                <w:vanish/>
              </w:rPr>
            </w:pPr>
          </w:p>
        </w:tc>
        <w:tc>
          <w:tcPr>
            <w:tcW w:w="0" w:type="auto"/>
            <w:gridSpan w:val="3"/>
            <w:shd w:val="clear" w:color="auto" w:fill="auto"/>
            <w:vAlign w:val="bottom"/>
          </w:tcPr>
          <w:p w14:paraId="392C83C1" w14:textId="77777777" w:rsidR="00980E5F" w:rsidRDefault="00980E5F">
            <w:pPr>
              <w:rPr>
                <w:rFonts w:ascii="宋体"/>
                <w:vanish/>
              </w:rPr>
            </w:pPr>
          </w:p>
        </w:tc>
        <w:tc>
          <w:tcPr>
            <w:tcW w:w="0" w:type="auto"/>
            <w:gridSpan w:val="3"/>
            <w:shd w:val="clear" w:color="auto" w:fill="auto"/>
            <w:vAlign w:val="bottom"/>
          </w:tcPr>
          <w:p w14:paraId="392C83C2" w14:textId="77777777" w:rsidR="00980E5F" w:rsidRDefault="00980E5F">
            <w:pPr>
              <w:rPr>
                <w:rFonts w:ascii="宋体"/>
                <w:vanish/>
              </w:rPr>
            </w:pPr>
          </w:p>
        </w:tc>
      </w:tr>
      <w:tr w:rsidR="00980E5F" w14:paraId="392C83D3" w14:textId="77777777">
        <w:tc>
          <w:tcPr>
            <w:tcW w:w="0" w:type="auto"/>
            <w:gridSpan w:val="3"/>
            <w:shd w:val="clear" w:color="auto" w:fill="FFFFFF"/>
            <w:tcMar>
              <w:top w:w="40" w:type="dxa"/>
              <w:left w:w="20" w:type="dxa"/>
              <w:bottom w:w="40" w:type="dxa"/>
              <w:right w:w="20" w:type="dxa"/>
            </w:tcMar>
            <w:vAlign w:val="bottom"/>
          </w:tcPr>
          <w:p w14:paraId="392C83C4" w14:textId="77777777" w:rsidR="00980E5F" w:rsidRDefault="00483613">
            <w:pPr>
              <w:textAlignment w:val="bottom"/>
            </w:pPr>
            <w:r>
              <w:rPr>
                <w:rFonts w:ascii="Arial" w:eastAsia="宋体" w:hAnsi="Arial" w:cs="Arial"/>
                <w:color w:val="000000"/>
                <w:sz w:val="16"/>
                <w:szCs w:val="16"/>
              </w:rPr>
              <w:t>Other derivative contracts</w:t>
            </w:r>
          </w:p>
        </w:tc>
        <w:tc>
          <w:tcPr>
            <w:tcW w:w="0" w:type="auto"/>
            <w:gridSpan w:val="3"/>
            <w:shd w:val="clear" w:color="auto" w:fill="FFFFFF"/>
            <w:tcMar>
              <w:top w:w="40" w:type="dxa"/>
              <w:left w:w="20" w:type="dxa"/>
              <w:bottom w:w="40" w:type="dxa"/>
              <w:right w:w="20" w:type="dxa"/>
            </w:tcMar>
            <w:vAlign w:val="bottom"/>
          </w:tcPr>
          <w:p w14:paraId="392C83C5" w14:textId="77777777" w:rsidR="00980E5F" w:rsidRDefault="00483613">
            <w:pPr>
              <w:textAlignment w:val="bottom"/>
            </w:pPr>
            <w:r>
              <w:rPr>
                <w:rFonts w:ascii="Arial" w:eastAsia="宋体" w:hAnsi="Arial" w:cs="Arial"/>
                <w:color w:val="000000"/>
                <w:sz w:val="16"/>
                <w:szCs w:val="16"/>
              </w:rPr>
              <w:t>Compensation and employee benefits</w:t>
            </w:r>
          </w:p>
        </w:tc>
        <w:tc>
          <w:tcPr>
            <w:tcW w:w="0" w:type="auto"/>
            <w:gridSpan w:val="3"/>
            <w:shd w:val="clear" w:color="auto" w:fill="FFFFFF"/>
            <w:tcMar>
              <w:top w:w="0" w:type="dxa"/>
              <w:left w:w="20" w:type="dxa"/>
              <w:bottom w:w="0" w:type="dxa"/>
              <w:right w:w="20" w:type="dxa"/>
            </w:tcMar>
            <w:vAlign w:val="bottom"/>
          </w:tcPr>
          <w:p w14:paraId="392C83C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C7" w14:textId="77777777" w:rsidR="00980E5F" w:rsidRDefault="00483613">
            <w:pPr>
              <w:jc w:val="right"/>
              <w:textAlignment w:val="bottom"/>
            </w:pPr>
            <w:r>
              <w:rPr>
                <w:rFonts w:ascii="Arial" w:eastAsia="宋体" w:hAnsi="Arial" w:cs="Arial"/>
                <w:b/>
                <w:bCs/>
                <w:color w:val="000000"/>
                <w:sz w:val="16"/>
                <w:szCs w:val="16"/>
              </w:rPr>
              <w:t>(10)</w:t>
            </w:r>
          </w:p>
        </w:tc>
        <w:tc>
          <w:tcPr>
            <w:tcW w:w="0" w:type="auto"/>
            <w:shd w:val="clear" w:color="auto" w:fill="FFFFFF"/>
            <w:tcMar>
              <w:top w:w="40" w:type="dxa"/>
              <w:left w:w="0" w:type="dxa"/>
              <w:bottom w:w="40" w:type="dxa"/>
              <w:right w:w="20" w:type="dxa"/>
            </w:tcMar>
            <w:vAlign w:val="bottom"/>
          </w:tcPr>
          <w:p w14:paraId="392C83C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C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CA" w14:textId="77777777" w:rsidR="00980E5F" w:rsidRDefault="00483613">
            <w:pPr>
              <w:jc w:val="right"/>
              <w:textAlignment w:val="bottom"/>
            </w:pPr>
            <w:r>
              <w:rPr>
                <w:rFonts w:ascii="Arial" w:eastAsia="宋体" w:hAnsi="Arial" w:cs="Arial"/>
                <w:color w:val="000000"/>
                <w:sz w:val="16"/>
                <w:szCs w:val="16"/>
              </w:rPr>
              <w:t>(45)</w:t>
            </w:r>
          </w:p>
        </w:tc>
        <w:tc>
          <w:tcPr>
            <w:tcW w:w="0" w:type="auto"/>
            <w:shd w:val="clear" w:color="auto" w:fill="FFFFFF"/>
            <w:tcMar>
              <w:top w:w="40" w:type="dxa"/>
              <w:left w:w="0" w:type="dxa"/>
              <w:bottom w:w="40" w:type="dxa"/>
              <w:right w:w="20" w:type="dxa"/>
            </w:tcMar>
            <w:vAlign w:val="bottom"/>
          </w:tcPr>
          <w:p w14:paraId="392C83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CD" w14:textId="77777777" w:rsidR="00980E5F" w:rsidRDefault="00483613">
            <w:pPr>
              <w:jc w:val="right"/>
              <w:textAlignment w:val="bottom"/>
            </w:pPr>
            <w:r>
              <w:rPr>
                <w:rFonts w:ascii="Arial" w:eastAsia="宋体" w:hAnsi="Arial" w:cs="Arial"/>
                <w:b/>
                <w:bCs/>
                <w:color w:val="000000"/>
                <w:sz w:val="16"/>
                <w:szCs w:val="16"/>
              </w:rPr>
              <w:t>(64)</w:t>
            </w:r>
          </w:p>
        </w:tc>
        <w:tc>
          <w:tcPr>
            <w:tcW w:w="0" w:type="auto"/>
            <w:shd w:val="clear" w:color="auto" w:fill="FFFFFF"/>
            <w:tcMar>
              <w:top w:w="40" w:type="dxa"/>
              <w:left w:w="0" w:type="dxa"/>
              <w:bottom w:w="40" w:type="dxa"/>
              <w:right w:w="20" w:type="dxa"/>
            </w:tcMar>
            <w:vAlign w:val="bottom"/>
          </w:tcPr>
          <w:p w14:paraId="392C83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C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3D0" w14:textId="77777777" w:rsidR="00980E5F" w:rsidRDefault="00483613">
            <w:pPr>
              <w:jc w:val="right"/>
              <w:textAlignment w:val="bottom"/>
            </w:pPr>
            <w:r>
              <w:rPr>
                <w:rFonts w:ascii="Arial" w:eastAsia="宋体" w:hAnsi="Arial" w:cs="Arial"/>
                <w:color w:val="000000"/>
                <w:sz w:val="16"/>
                <w:szCs w:val="16"/>
              </w:rPr>
              <w:t>(123)</w:t>
            </w:r>
          </w:p>
        </w:tc>
        <w:tc>
          <w:tcPr>
            <w:tcW w:w="0" w:type="auto"/>
            <w:shd w:val="clear" w:color="auto" w:fill="FFFFFF"/>
            <w:tcMar>
              <w:top w:w="40" w:type="dxa"/>
              <w:left w:w="0" w:type="dxa"/>
              <w:bottom w:w="40" w:type="dxa"/>
              <w:right w:w="20" w:type="dxa"/>
            </w:tcMar>
            <w:vAlign w:val="bottom"/>
          </w:tcPr>
          <w:p w14:paraId="392C83D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3D2" w14:textId="77777777" w:rsidR="00980E5F" w:rsidRDefault="00980E5F">
            <w:pPr>
              <w:rPr>
                <w:rFonts w:ascii="宋体"/>
              </w:rPr>
            </w:pPr>
          </w:p>
        </w:tc>
      </w:tr>
      <w:tr w:rsidR="00980E5F" w14:paraId="392C83E7" w14:textId="77777777">
        <w:tc>
          <w:tcPr>
            <w:tcW w:w="0" w:type="auto"/>
            <w:gridSpan w:val="3"/>
            <w:shd w:val="clear" w:color="auto" w:fill="CCEEFF"/>
            <w:tcMar>
              <w:top w:w="40" w:type="dxa"/>
              <w:left w:w="20" w:type="dxa"/>
              <w:bottom w:w="40" w:type="dxa"/>
              <w:right w:w="20" w:type="dxa"/>
            </w:tcMar>
            <w:vAlign w:val="bottom"/>
          </w:tcPr>
          <w:p w14:paraId="392C83D4" w14:textId="77777777" w:rsidR="00980E5F" w:rsidRDefault="00483613">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392C83D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3D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3D7"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3D8" w14:textId="77777777" w:rsidR="00980E5F" w:rsidRDefault="00483613">
            <w:pPr>
              <w:jc w:val="right"/>
              <w:textAlignment w:val="bottom"/>
            </w:pPr>
            <w:r>
              <w:rPr>
                <w:rFonts w:ascii="Arial" w:eastAsia="宋体" w:hAnsi="Arial" w:cs="Arial"/>
                <w:b/>
                <w:bCs/>
                <w:color w:val="000000"/>
                <w:sz w:val="16"/>
                <w:szCs w:val="16"/>
              </w:rPr>
              <w:t>217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3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D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3DB"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3DC" w14:textId="77777777" w:rsidR="00980E5F" w:rsidRDefault="00483613">
            <w:pPr>
              <w:jc w:val="right"/>
              <w:textAlignment w:val="bottom"/>
            </w:pPr>
            <w:r>
              <w:rPr>
                <w:rFonts w:ascii="Arial" w:eastAsia="宋体" w:hAnsi="Arial" w:cs="Arial"/>
                <w:color w:val="000000"/>
                <w:sz w:val="16"/>
                <w:szCs w:val="16"/>
              </w:rPr>
              <w:t>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3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D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3DF"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3E0" w14:textId="77777777" w:rsidR="00980E5F" w:rsidRDefault="00483613">
            <w:pPr>
              <w:jc w:val="right"/>
              <w:textAlignment w:val="bottom"/>
            </w:pPr>
            <w:r>
              <w:rPr>
                <w:rFonts w:ascii="Arial" w:eastAsia="宋体" w:hAnsi="Arial" w:cs="Arial"/>
                <w:b/>
                <w:bCs/>
                <w:color w:val="000000"/>
                <w:sz w:val="16"/>
                <w:szCs w:val="16"/>
              </w:rPr>
              <w:t>421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3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E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3E3"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3E4" w14:textId="77777777" w:rsidR="00980E5F" w:rsidRDefault="00483613">
            <w:pPr>
              <w:jc w:val="right"/>
              <w:textAlignment w:val="bottom"/>
            </w:pPr>
            <w:r>
              <w:rPr>
                <w:rFonts w:ascii="Arial" w:eastAsia="宋体" w:hAnsi="Arial" w:cs="Arial"/>
                <w:color w:val="000000"/>
                <w:sz w:val="16"/>
                <w:szCs w:val="16"/>
              </w:rPr>
              <w:t>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3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3E6" w14:textId="77777777" w:rsidR="00980E5F" w:rsidRDefault="00980E5F">
            <w:pPr>
              <w:rPr>
                <w:rFonts w:ascii="宋体"/>
              </w:rPr>
            </w:pPr>
          </w:p>
        </w:tc>
      </w:tr>
      <w:tr w:rsidR="00980E5F" w14:paraId="392C83F3" w14:textId="77777777">
        <w:trPr>
          <w:trHeight w:val="100"/>
        </w:trPr>
        <w:tc>
          <w:tcPr>
            <w:tcW w:w="0" w:type="auto"/>
            <w:gridSpan w:val="3"/>
            <w:shd w:val="clear" w:color="auto" w:fill="FFFFFF"/>
            <w:tcMar>
              <w:top w:w="0" w:type="dxa"/>
              <w:left w:w="20" w:type="dxa"/>
              <w:bottom w:w="0" w:type="dxa"/>
              <w:right w:w="20" w:type="dxa"/>
            </w:tcMar>
            <w:vAlign w:val="bottom"/>
          </w:tcPr>
          <w:p w14:paraId="392C83E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E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83E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E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83E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E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83E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F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83F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3F2" w14:textId="77777777" w:rsidR="00980E5F" w:rsidRDefault="00980E5F">
            <w:pPr>
              <w:rPr>
                <w:rFonts w:ascii="宋体"/>
              </w:rPr>
            </w:pPr>
          </w:p>
        </w:tc>
      </w:tr>
      <w:tr w:rsidR="00980E5F" w14:paraId="392C83FF" w14:textId="77777777">
        <w:trPr>
          <w:hidden/>
        </w:trPr>
        <w:tc>
          <w:tcPr>
            <w:tcW w:w="0" w:type="auto"/>
            <w:gridSpan w:val="3"/>
            <w:shd w:val="clear" w:color="auto" w:fill="auto"/>
            <w:vAlign w:val="bottom"/>
          </w:tcPr>
          <w:p w14:paraId="392C83F4" w14:textId="77777777" w:rsidR="00980E5F" w:rsidRDefault="00980E5F">
            <w:pPr>
              <w:rPr>
                <w:rFonts w:ascii="宋体"/>
                <w:vanish/>
              </w:rPr>
            </w:pPr>
          </w:p>
        </w:tc>
        <w:tc>
          <w:tcPr>
            <w:tcW w:w="0" w:type="auto"/>
            <w:gridSpan w:val="3"/>
            <w:shd w:val="clear" w:color="auto" w:fill="auto"/>
            <w:vAlign w:val="bottom"/>
          </w:tcPr>
          <w:p w14:paraId="392C83F5" w14:textId="77777777" w:rsidR="00980E5F" w:rsidRDefault="00980E5F">
            <w:pPr>
              <w:rPr>
                <w:rFonts w:ascii="宋体"/>
                <w:vanish/>
              </w:rPr>
            </w:pPr>
          </w:p>
        </w:tc>
        <w:tc>
          <w:tcPr>
            <w:tcW w:w="0" w:type="auto"/>
            <w:gridSpan w:val="3"/>
            <w:shd w:val="clear" w:color="auto" w:fill="auto"/>
            <w:vAlign w:val="bottom"/>
          </w:tcPr>
          <w:p w14:paraId="392C83F6" w14:textId="77777777" w:rsidR="00980E5F" w:rsidRDefault="00980E5F">
            <w:pPr>
              <w:rPr>
                <w:rFonts w:ascii="宋体"/>
                <w:vanish/>
              </w:rPr>
            </w:pPr>
          </w:p>
        </w:tc>
        <w:tc>
          <w:tcPr>
            <w:tcW w:w="0" w:type="auto"/>
            <w:gridSpan w:val="3"/>
            <w:shd w:val="clear" w:color="auto" w:fill="auto"/>
            <w:vAlign w:val="bottom"/>
          </w:tcPr>
          <w:p w14:paraId="392C83F7" w14:textId="77777777" w:rsidR="00980E5F" w:rsidRDefault="00980E5F">
            <w:pPr>
              <w:rPr>
                <w:rFonts w:ascii="宋体"/>
                <w:vanish/>
              </w:rPr>
            </w:pPr>
          </w:p>
        </w:tc>
        <w:tc>
          <w:tcPr>
            <w:tcW w:w="0" w:type="auto"/>
            <w:gridSpan w:val="3"/>
            <w:shd w:val="clear" w:color="auto" w:fill="auto"/>
            <w:vAlign w:val="bottom"/>
          </w:tcPr>
          <w:p w14:paraId="392C83F8" w14:textId="77777777" w:rsidR="00980E5F" w:rsidRDefault="00980E5F">
            <w:pPr>
              <w:rPr>
                <w:rFonts w:ascii="宋体"/>
                <w:vanish/>
              </w:rPr>
            </w:pPr>
          </w:p>
        </w:tc>
        <w:tc>
          <w:tcPr>
            <w:tcW w:w="0" w:type="auto"/>
            <w:gridSpan w:val="3"/>
            <w:shd w:val="clear" w:color="auto" w:fill="auto"/>
            <w:vAlign w:val="bottom"/>
          </w:tcPr>
          <w:p w14:paraId="392C83F9" w14:textId="77777777" w:rsidR="00980E5F" w:rsidRDefault="00980E5F">
            <w:pPr>
              <w:rPr>
                <w:rFonts w:ascii="宋体"/>
                <w:vanish/>
              </w:rPr>
            </w:pPr>
          </w:p>
        </w:tc>
        <w:tc>
          <w:tcPr>
            <w:tcW w:w="0" w:type="auto"/>
            <w:gridSpan w:val="3"/>
            <w:shd w:val="clear" w:color="auto" w:fill="auto"/>
            <w:vAlign w:val="bottom"/>
          </w:tcPr>
          <w:p w14:paraId="392C83FA" w14:textId="77777777" w:rsidR="00980E5F" w:rsidRDefault="00980E5F">
            <w:pPr>
              <w:rPr>
                <w:rFonts w:ascii="宋体"/>
                <w:vanish/>
              </w:rPr>
            </w:pPr>
          </w:p>
        </w:tc>
        <w:tc>
          <w:tcPr>
            <w:tcW w:w="0" w:type="auto"/>
            <w:gridSpan w:val="3"/>
            <w:shd w:val="clear" w:color="auto" w:fill="auto"/>
            <w:vAlign w:val="bottom"/>
          </w:tcPr>
          <w:p w14:paraId="392C83FB" w14:textId="77777777" w:rsidR="00980E5F" w:rsidRDefault="00980E5F">
            <w:pPr>
              <w:rPr>
                <w:rFonts w:ascii="宋体"/>
                <w:vanish/>
              </w:rPr>
            </w:pPr>
          </w:p>
        </w:tc>
        <w:tc>
          <w:tcPr>
            <w:tcW w:w="0" w:type="auto"/>
            <w:gridSpan w:val="3"/>
            <w:shd w:val="clear" w:color="auto" w:fill="auto"/>
            <w:vAlign w:val="bottom"/>
          </w:tcPr>
          <w:p w14:paraId="392C83FC" w14:textId="77777777" w:rsidR="00980E5F" w:rsidRDefault="00980E5F">
            <w:pPr>
              <w:rPr>
                <w:rFonts w:ascii="宋体"/>
                <w:vanish/>
              </w:rPr>
            </w:pPr>
          </w:p>
        </w:tc>
        <w:tc>
          <w:tcPr>
            <w:tcW w:w="0" w:type="auto"/>
            <w:gridSpan w:val="3"/>
            <w:shd w:val="clear" w:color="auto" w:fill="auto"/>
            <w:vAlign w:val="bottom"/>
          </w:tcPr>
          <w:p w14:paraId="392C83FD" w14:textId="77777777" w:rsidR="00980E5F" w:rsidRDefault="00980E5F">
            <w:pPr>
              <w:rPr>
                <w:rFonts w:ascii="宋体"/>
                <w:vanish/>
              </w:rPr>
            </w:pPr>
          </w:p>
        </w:tc>
        <w:tc>
          <w:tcPr>
            <w:tcW w:w="0" w:type="auto"/>
            <w:gridSpan w:val="3"/>
            <w:shd w:val="clear" w:color="auto" w:fill="auto"/>
            <w:vAlign w:val="bottom"/>
          </w:tcPr>
          <w:p w14:paraId="392C83FE" w14:textId="77777777" w:rsidR="00980E5F" w:rsidRDefault="00980E5F">
            <w:pPr>
              <w:rPr>
                <w:rFonts w:ascii="宋体"/>
                <w:vanish/>
              </w:rPr>
            </w:pPr>
          </w:p>
        </w:tc>
      </w:tr>
      <w:tr w:rsidR="00980E5F" w14:paraId="392C8419" w14:textId="77777777">
        <w:trPr>
          <w:hidden/>
        </w:trPr>
        <w:tc>
          <w:tcPr>
            <w:tcW w:w="0" w:type="auto"/>
            <w:gridSpan w:val="3"/>
            <w:shd w:val="clear" w:color="auto" w:fill="auto"/>
            <w:vAlign w:val="bottom"/>
          </w:tcPr>
          <w:p w14:paraId="392C8400" w14:textId="77777777" w:rsidR="00980E5F" w:rsidRDefault="00980E5F">
            <w:pPr>
              <w:rPr>
                <w:rFonts w:ascii="宋体"/>
                <w:vanish/>
              </w:rPr>
            </w:pPr>
          </w:p>
        </w:tc>
        <w:tc>
          <w:tcPr>
            <w:tcW w:w="0" w:type="auto"/>
            <w:gridSpan w:val="3"/>
            <w:shd w:val="clear" w:color="auto" w:fill="auto"/>
            <w:vAlign w:val="bottom"/>
          </w:tcPr>
          <w:p w14:paraId="392C8401" w14:textId="77777777" w:rsidR="00980E5F" w:rsidRDefault="00980E5F">
            <w:pPr>
              <w:rPr>
                <w:rFonts w:ascii="宋体"/>
                <w:vanish/>
              </w:rPr>
            </w:pPr>
          </w:p>
        </w:tc>
        <w:tc>
          <w:tcPr>
            <w:tcW w:w="0" w:type="auto"/>
            <w:gridSpan w:val="3"/>
            <w:shd w:val="clear" w:color="auto" w:fill="auto"/>
            <w:vAlign w:val="bottom"/>
          </w:tcPr>
          <w:p w14:paraId="392C8402" w14:textId="77777777" w:rsidR="00980E5F" w:rsidRDefault="00980E5F">
            <w:pPr>
              <w:rPr>
                <w:rFonts w:ascii="宋体"/>
                <w:vanish/>
              </w:rPr>
            </w:pPr>
          </w:p>
        </w:tc>
        <w:tc>
          <w:tcPr>
            <w:tcW w:w="0" w:type="auto"/>
            <w:gridSpan w:val="3"/>
            <w:shd w:val="clear" w:color="auto" w:fill="auto"/>
            <w:vAlign w:val="bottom"/>
          </w:tcPr>
          <w:p w14:paraId="392C8403" w14:textId="77777777" w:rsidR="00980E5F" w:rsidRDefault="00980E5F">
            <w:pPr>
              <w:rPr>
                <w:rFonts w:ascii="宋体"/>
                <w:vanish/>
              </w:rPr>
            </w:pPr>
          </w:p>
        </w:tc>
        <w:tc>
          <w:tcPr>
            <w:tcW w:w="0" w:type="auto"/>
            <w:shd w:val="clear" w:color="auto" w:fill="auto"/>
            <w:vAlign w:val="bottom"/>
          </w:tcPr>
          <w:p w14:paraId="392C8404" w14:textId="77777777" w:rsidR="00980E5F" w:rsidRDefault="00980E5F">
            <w:pPr>
              <w:rPr>
                <w:rFonts w:ascii="宋体"/>
              </w:rPr>
            </w:pPr>
          </w:p>
        </w:tc>
        <w:tc>
          <w:tcPr>
            <w:tcW w:w="0" w:type="auto"/>
            <w:shd w:val="clear" w:color="auto" w:fill="auto"/>
            <w:vAlign w:val="bottom"/>
          </w:tcPr>
          <w:p w14:paraId="392C8405" w14:textId="77777777" w:rsidR="00980E5F" w:rsidRDefault="00980E5F">
            <w:pPr>
              <w:rPr>
                <w:rFonts w:ascii="宋体"/>
              </w:rPr>
            </w:pPr>
          </w:p>
        </w:tc>
        <w:tc>
          <w:tcPr>
            <w:tcW w:w="0" w:type="auto"/>
            <w:shd w:val="clear" w:color="auto" w:fill="auto"/>
            <w:vAlign w:val="bottom"/>
          </w:tcPr>
          <w:p w14:paraId="392C8406" w14:textId="77777777" w:rsidR="00980E5F" w:rsidRDefault="00980E5F">
            <w:pPr>
              <w:rPr>
                <w:rFonts w:ascii="宋体"/>
              </w:rPr>
            </w:pPr>
          </w:p>
        </w:tc>
        <w:tc>
          <w:tcPr>
            <w:tcW w:w="0" w:type="auto"/>
            <w:shd w:val="clear" w:color="auto" w:fill="auto"/>
            <w:vAlign w:val="bottom"/>
          </w:tcPr>
          <w:p w14:paraId="392C8407" w14:textId="77777777" w:rsidR="00980E5F" w:rsidRDefault="00980E5F">
            <w:pPr>
              <w:rPr>
                <w:rFonts w:ascii="宋体"/>
              </w:rPr>
            </w:pPr>
          </w:p>
        </w:tc>
        <w:tc>
          <w:tcPr>
            <w:tcW w:w="0" w:type="auto"/>
            <w:shd w:val="clear" w:color="auto" w:fill="auto"/>
            <w:vAlign w:val="bottom"/>
          </w:tcPr>
          <w:p w14:paraId="392C8408" w14:textId="77777777" w:rsidR="00980E5F" w:rsidRDefault="00980E5F">
            <w:pPr>
              <w:rPr>
                <w:rFonts w:ascii="宋体"/>
              </w:rPr>
            </w:pPr>
          </w:p>
        </w:tc>
        <w:tc>
          <w:tcPr>
            <w:tcW w:w="0" w:type="auto"/>
            <w:shd w:val="clear" w:color="auto" w:fill="auto"/>
            <w:vAlign w:val="bottom"/>
          </w:tcPr>
          <w:p w14:paraId="392C8409" w14:textId="77777777" w:rsidR="00980E5F" w:rsidRDefault="00980E5F">
            <w:pPr>
              <w:rPr>
                <w:rFonts w:ascii="宋体"/>
              </w:rPr>
            </w:pPr>
          </w:p>
        </w:tc>
        <w:tc>
          <w:tcPr>
            <w:tcW w:w="0" w:type="auto"/>
            <w:shd w:val="clear" w:color="auto" w:fill="auto"/>
            <w:vAlign w:val="bottom"/>
          </w:tcPr>
          <w:p w14:paraId="392C840A" w14:textId="77777777" w:rsidR="00980E5F" w:rsidRDefault="00980E5F">
            <w:pPr>
              <w:rPr>
                <w:rFonts w:ascii="宋体"/>
              </w:rPr>
            </w:pPr>
          </w:p>
        </w:tc>
        <w:tc>
          <w:tcPr>
            <w:tcW w:w="0" w:type="auto"/>
            <w:shd w:val="clear" w:color="auto" w:fill="auto"/>
            <w:vAlign w:val="bottom"/>
          </w:tcPr>
          <w:p w14:paraId="392C840B" w14:textId="77777777" w:rsidR="00980E5F" w:rsidRDefault="00980E5F">
            <w:pPr>
              <w:rPr>
                <w:rFonts w:ascii="宋体"/>
              </w:rPr>
            </w:pPr>
          </w:p>
        </w:tc>
        <w:tc>
          <w:tcPr>
            <w:tcW w:w="0" w:type="auto"/>
            <w:shd w:val="clear" w:color="auto" w:fill="auto"/>
            <w:vAlign w:val="bottom"/>
          </w:tcPr>
          <w:p w14:paraId="392C840C" w14:textId="77777777" w:rsidR="00980E5F" w:rsidRDefault="00980E5F">
            <w:pPr>
              <w:rPr>
                <w:rFonts w:ascii="宋体"/>
              </w:rPr>
            </w:pPr>
          </w:p>
        </w:tc>
        <w:tc>
          <w:tcPr>
            <w:tcW w:w="0" w:type="auto"/>
            <w:shd w:val="clear" w:color="auto" w:fill="auto"/>
            <w:vAlign w:val="bottom"/>
          </w:tcPr>
          <w:p w14:paraId="392C840D" w14:textId="77777777" w:rsidR="00980E5F" w:rsidRDefault="00980E5F">
            <w:pPr>
              <w:rPr>
                <w:rFonts w:ascii="宋体"/>
              </w:rPr>
            </w:pPr>
          </w:p>
        </w:tc>
        <w:tc>
          <w:tcPr>
            <w:tcW w:w="0" w:type="auto"/>
            <w:shd w:val="clear" w:color="auto" w:fill="auto"/>
            <w:vAlign w:val="bottom"/>
          </w:tcPr>
          <w:p w14:paraId="392C840E" w14:textId="77777777" w:rsidR="00980E5F" w:rsidRDefault="00980E5F">
            <w:pPr>
              <w:rPr>
                <w:rFonts w:ascii="宋体"/>
              </w:rPr>
            </w:pPr>
          </w:p>
        </w:tc>
        <w:tc>
          <w:tcPr>
            <w:tcW w:w="0" w:type="auto"/>
            <w:shd w:val="clear" w:color="auto" w:fill="auto"/>
            <w:vAlign w:val="bottom"/>
          </w:tcPr>
          <w:p w14:paraId="392C840F" w14:textId="77777777" w:rsidR="00980E5F" w:rsidRDefault="00980E5F">
            <w:pPr>
              <w:rPr>
                <w:rFonts w:ascii="宋体"/>
              </w:rPr>
            </w:pPr>
          </w:p>
        </w:tc>
        <w:tc>
          <w:tcPr>
            <w:tcW w:w="0" w:type="auto"/>
            <w:shd w:val="clear" w:color="auto" w:fill="auto"/>
            <w:vAlign w:val="bottom"/>
          </w:tcPr>
          <w:p w14:paraId="392C8410" w14:textId="77777777" w:rsidR="00980E5F" w:rsidRDefault="00980E5F">
            <w:pPr>
              <w:rPr>
                <w:rFonts w:ascii="宋体"/>
              </w:rPr>
            </w:pPr>
          </w:p>
        </w:tc>
        <w:tc>
          <w:tcPr>
            <w:tcW w:w="0" w:type="auto"/>
            <w:shd w:val="clear" w:color="auto" w:fill="auto"/>
            <w:vAlign w:val="bottom"/>
          </w:tcPr>
          <w:p w14:paraId="392C8411" w14:textId="77777777" w:rsidR="00980E5F" w:rsidRDefault="00980E5F">
            <w:pPr>
              <w:rPr>
                <w:rFonts w:ascii="宋体"/>
              </w:rPr>
            </w:pPr>
          </w:p>
        </w:tc>
        <w:tc>
          <w:tcPr>
            <w:tcW w:w="0" w:type="auto"/>
            <w:shd w:val="clear" w:color="auto" w:fill="auto"/>
            <w:vAlign w:val="bottom"/>
          </w:tcPr>
          <w:p w14:paraId="392C8412" w14:textId="77777777" w:rsidR="00980E5F" w:rsidRDefault="00980E5F">
            <w:pPr>
              <w:rPr>
                <w:rFonts w:ascii="宋体"/>
              </w:rPr>
            </w:pPr>
          </w:p>
        </w:tc>
        <w:tc>
          <w:tcPr>
            <w:tcW w:w="0" w:type="auto"/>
            <w:shd w:val="clear" w:color="auto" w:fill="auto"/>
            <w:vAlign w:val="bottom"/>
          </w:tcPr>
          <w:p w14:paraId="392C8413" w14:textId="77777777" w:rsidR="00980E5F" w:rsidRDefault="00980E5F">
            <w:pPr>
              <w:rPr>
                <w:rFonts w:ascii="宋体"/>
              </w:rPr>
            </w:pPr>
          </w:p>
        </w:tc>
        <w:tc>
          <w:tcPr>
            <w:tcW w:w="0" w:type="auto"/>
            <w:shd w:val="clear" w:color="auto" w:fill="auto"/>
            <w:vAlign w:val="bottom"/>
          </w:tcPr>
          <w:p w14:paraId="392C8414" w14:textId="77777777" w:rsidR="00980E5F" w:rsidRDefault="00980E5F">
            <w:pPr>
              <w:rPr>
                <w:rFonts w:ascii="宋体"/>
              </w:rPr>
            </w:pPr>
          </w:p>
        </w:tc>
        <w:tc>
          <w:tcPr>
            <w:tcW w:w="0" w:type="auto"/>
            <w:shd w:val="clear" w:color="auto" w:fill="auto"/>
            <w:vAlign w:val="bottom"/>
          </w:tcPr>
          <w:p w14:paraId="392C8415" w14:textId="77777777" w:rsidR="00980E5F" w:rsidRDefault="00980E5F">
            <w:pPr>
              <w:rPr>
                <w:rFonts w:ascii="宋体"/>
              </w:rPr>
            </w:pPr>
          </w:p>
        </w:tc>
        <w:tc>
          <w:tcPr>
            <w:tcW w:w="0" w:type="auto"/>
            <w:shd w:val="clear" w:color="auto" w:fill="auto"/>
            <w:vAlign w:val="bottom"/>
          </w:tcPr>
          <w:p w14:paraId="392C8416" w14:textId="77777777" w:rsidR="00980E5F" w:rsidRDefault="00980E5F">
            <w:pPr>
              <w:rPr>
                <w:rFonts w:ascii="宋体"/>
              </w:rPr>
            </w:pPr>
          </w:p>
        </w:tc>
        <w:tc>
          <w:tcPr>
            <w:tcW w:w="0" w:type="auto"/>
            <w:shd w:val="clear" w:color="auto" w:fill="auto"/>
            <w:vAlign w:val="bottom"/>
          </w:tcPr>
          <w:p w14:paraId="392C8417" w14:textId="77777777" w:rsidR="00980E5F" w:rsidRDefault="00980E5F">
            <w:pPr>
              <w:rPr>
                <w:rFonts w:ascii="宋体"/>
              </w:rPr>
            </w:pPr>
          </w:p>
        </w:tc>
        <w:tc>
          <w:tcPr>
            <w:tcW w:w="0" w:type="auto"/>
            <w:shd w:val="clear" w:color="auto" w:fill="auto"/>
            <w:vAlign w:val="bottom"/>
          </w:tcPr>
          <w:p w14:paraId="392C8418" w14:textId="77777777" w:rsidR="00980E5F" w:rsidRDefault="00980E5F">
            <w:pPr>
              <w:rPr>
                <w:rFonts w:ascii="宋体"/>
              </w:rPr>
            </w:pPr>
          </w:p>
        </w:tc>
      </w:tr>
    </w:tbl>
    <w:p w14:paraId="392C841A" w14:textId="77777777" w:rsidR="00980E5F" w:rsidRDefault="00483613">
      <w:pPr>
        <w:spacing w:before="60"/>
        <w:ind w:firstLine="450"/>
        <w:jc w:val="both"/>
      </w:pPr>
      <w:r>
        <w:rPr>
          <w:rFonts w:ascii="Arial" w:eastAsia="宋体" w:hAnsi="Arial" w:cs="Arial"/>
          <w:color w:val="000000"/>
          <w:sz w:val="20"/>
          <w:szCs w:val="20"/>
        </w:rPr>
        <w:t xml:space="preserve">The following table shows the carrying </w:t>
      </w:r>
      <w:r>
        <w:rPr>
          <w:rFonts w:ascii="Arial" w:eastAsia="宋体" w:hAnsi="Arial" w:cs="Arial"/>
          <w:color w:val="000000"/>
          <w:sz w:val="20"/>
          <w:szCs w:val="20"/>
        </w:rPr>
        <w:t>amount and associated cumulative basis adjustments related to the application of hedge accounting that is included in the carrying amount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6"/>
        <w:gridCol w:w="36"/>
        <w:gridCol w:w="36"/>
        <w:gridCol w:w="110"/>
        <w:gridCol w:w="1527"/>
        <w:gridCol w:w="37"/>
        <w:gridCol w:w="36"/>
        <w:gridCol w:w="36"/>
        <w:gridCol w:w="36"/>
        <w:gridCol w:w="36"/>
        <w:gridCol w:w="36"/>
        <w:gridCol w:w="36"/>
      </w:tblGrid>
      <w:tr w:rsidR="00980E5F" w14:paraId="392C842F" w14:textId="77777777">
        <w:trPr>
          <w:jc w:val="center"/>
        </w:trPr>
        <w:tc>
          <w:tcPr>
            <w:tcW w:w="50" w:type="pct"/>
            <w:shd w:val="clear" w:color="auto" w:fill="auto"/>
            <w:vAlign w:val="bottom"/>
          </w:tcPr>
          <w:p w14:paraId="392C841B" w14:textId="77777777" w:rsidR="00980E5F" w:rsidRDefault="00980E5F">
            <w:pPr>
              <w:rPr>
                <w:rFonts w:ascii="宋体"/>
              </w:rPr>
            </w:pPr>
          </w:p>
        </w:tc>
        <w:tc>
          <w:tcPr>
            <w:tcW w:w="1735" w:type="pct"/>
            <w:shd w:val="clear" w:color="auto" w:fill="auto"/>
            <w:vAlign w:val="bottom"/>
          </w:tcPr>
          <w:p w14:paraId="392C841C" w14:textId="77777777" w:rsidR="00980E5F" w:rsidRDefault="00980E5F">
            <w:pPr>
              <w:rPr>
                <w:rFonts w:ascii="宋体"/>
              </w:rPr>
            </w:pPr>
          </w:p>
        </w:tc>
        <w:tc>
          <w:tcPr>
            <w:tcW w:w="5" w:type="pct"/>
            <w:shd w:val="clear" w:color="auto" w:fill="auto"/>
            <w:vAlign w:val="bottom"/>
          </w:tcPr>
          <w:p w14:paraId="392C841D" w14:textId="77777777" w:rsidR="00980E5F" w:rsidRDefault="00980E5F">
            <w:pPr>
              <w:rPr>
                <w:rFonts w:ascii="宋体"/>
              </w:rPr>
            </w:pPr>
          </w:p>
        </w:tc>
        <w:tc>
          <w:tcPr>
            <w:tcW w:w="50" w:type="pct"/>
            <w:shd w:val="clear" w:color="auto" w:fill="auto"/>
            <w:vAlign w:val="bottom"/>
          </w:tcPr>
          <w:p w14:paraId="392C841E" w14:textId="77777777" w:rsidR="00980E5F" w:rsidRDefault="00980E5F">
            <w:pPr>
              <w:rPr>
                <w:rFonts w:ascii="宋体"/>
              </w:rPr>
            </w:pPr>
          </w:p>
        </w:tc>
        <w:tc>
          <w:tcPr>
            <w:tcW w:w="990" w:type="pct"/>
            <w:shd w:val="clear" w:color="auto" w:fill="auto"/>
            <w:vAlign w:val="bottom"/>
          </w:tcPr>
          <w:p w14:paraId="392C841F" w14:textId="77777777" w:rsidR="00980E5F" w:rsidRDefault="00980E5F">
            <w:pPr>
              <w:rPr>
                <w:rFonts w:ascii="宋体"/>
              </w:rPr>
            </w:pPr>
          </w:p>
        </w:tc>
        <w:tc>
          <w:tcPr>
            <w:tcW w:w="5" w:type="pct"/>
            <w:shd w:val="clear" w:color="auto" w:fill="auto"/>
            <w:vAlign w:val="bottom"/>
          </w:tcPr>
          <w:p w14:paraId="392C8420" w14:textId="77777777" w:rsidR="00980E5F" w:rsidRDefault="00980E5F">
            <w:pPr>
              <w:rPr>
                <w:rFonts w:ascii="宋体"/>
              </w:rPr>
            </w:pPr>
          </w:p>
        </w:tc>
        <w:tc>
          <w:tcPr>
            <w:tcW w:w="5" w:type="pct"/>
            <w:shd w:val="clear" w:color="auto" w:fill="auto"/>
            <w:vAlign w:val="bottom"/>
          </w:tcPr>
          <w:p w14:paraId="392C8421" w14:textId="77777777" w:rsidR="00980E5F" w:rsidRDefault="00980E5F">
            <w:pPr>
              <w:rPr>
                <w:rFonts w:ascii="宋体"/>
              </w:rPr>
            </w:pPr>
          </w:p>
        </w:tc>
        <w:tc>
          <w:tcPr>
            <w:tcW w:w="26" w:type="pct"/>
            <w:shd w:val="clear" w:color="auto" w:fill="auto"/>
            <w:vAlign w:val="bottom"/>
          </w:tcPr>
          <w:p w14:paraId="392C8422" w14:textId="77777777" w:rsidR="00980E5F" w:rsidRDefault="00980E5F">
            <w:pPr>
              <w:rPr>
                <w:rFonts w:ascii="宋体"/>
              </w:rPr>
            </w:pPr>
          </w:p>
        </w:tc>
        <w:tc>
          <w:tcPr>
            <w:tcW w:w="5" w:type="pct"/>
            <w:shd w:val="clear" w:color="auto" w:fill="auto"/>
            <w:vAlign w:val="bottom"/>
          </w:tcPr>
          <w:p w14:paraId="392C8423" w14:textId="77777777" w:rsidR="00980E5F" w:rsidRDefault="00980E5F">
            <w:pPr>
              <w:rPr>
                <w:rFonts w:ascii="宋体"/>
              </w:rPr>
            </w:pPr>
          </w:p>
        </w:tc>
        <w:tc>
          <w:tcPr>
            <w:tcW w:w="50" w:type="pct"/>
            <w:shd w:val="clear" w:color="auto" w:fill="auto"/>
            <w:vAlign w:val="bottom"/>
          </w:tcPr>
          <w:p w14:paraId="392C8424" w14:textId="77777777" w:rsidR="00980E5F" w:rsidRDefault="00980E5F">
            <w:pPr>
              <w:rPr>
                <w:rFonts w:ascii="宋体"/>
              </w:rPr>
            </w:pPr>
          </w:p>
        </w:tc>
        <w:tc>
          <w:tcPr>
            <w:tcW w:w="990" w:type="pct"/>
            <w:shd w:val="clear" w:color="auto" w:fill="auto"/>
            <w:vAlign w:val="bottom"/>
          </w:tcPr>
          <w:p w14:paraId="392C8425" w14:textId="77777777" w:rsidR="00980E5F" w:rsidRDefault="00980E5F">
            <w:pPr>
              <w:rPr>
                <w:rFonts w:ascii="宋体"/>
              </w:rPr>
            </w:pPr>
          </w:p>
        </w:tc>
        <w:tc>
          <w:tcPr>
            <w:tcW w:w="5" w:type="pct"/>
            <w:shd w:val="clear" w:color="auto" w:fill="auto"/>
            <w:vAlign w:val="bottom"/>
          </w:tcPr>
          <w:p w14:paraId="392C8426" w14:textId="77777777" w:rsidR="00980E5F" w:rsidRDefault="00980E5F">
            <w:pPr>
              <w:rPr>
                <w:rFonts w:ascii="宋体"/>
              </w:rPr>
            </w:pPr>
          </w:p>
        </w:tc>
        <w:tc>
          <w:tcPr>
            <w:tcW w:w="5" w:type="pct"/>
            <w:shd w:val="clear" w:color="auto" w:fill="auto"/>
            <w:vAlign w:val="bottom"/>
          </w:tcPr>
          <w:p w14:paraId="392C8427" w14:textId="77777777" w:rsidR="00980E5F" w:rsidRDefault="00980E5F">
            <w:pPr>
              <w:rPr>
                <w:rFonts w:ascii="宋体"/>
              </w:rPr>
            </w:pPr>
          </w:p>
        </w:tc>
        <w:tc>
          <w:tcPr>
            <w:tcW w:w="26" w:type="pct"/>
            <w:shd w:val="clear" w:color="auto" w:fill="auto"/>
            <w:vAlign w:val="bottom"/>
          </w:tcPr>
          <w:p w14:paraId="392C8428" w14:textId="77777777" w:rsidR="00980E5F" w:rsidRDefault="00980E5F">
            <w:pPr>
              <w:rPr>
                <w:rFonts w:ascii="宋体"/>
              </w:rPr>
            </w:pPr>
          </w:p>
        </w:tc>
        <w:tc>
          <w:tcPr>
            <w:tcW w:w="5" w:type="pct"/>
            <w:shd w:val="clear" w:color="auto" w:fill="auto"/>
            <w:vAlign w:val="bottom"/>
          </w:tcPr>
          <w:p w14:paraId="392C8429" w14:textId="77777777" w:rsidR="00980E5F" w:rsidRDefault="00980E5F">
            <w:pPr>
              <w:rPr>
                <w:rFonts w:ascii="宋体"/>
              </w:rPr>
            </w:pPr>
          </w:p>
        </w:tc>
        <w:tc>
          <w:tcPr>
            <w:tcW w:w="50" w:type="pct"/>
            <w:shd w:val="clear" w:color="auto" w:fill="auto"/>
            <w:vAlign w:val="bottom"/>
          </w:tcPr>
          <w:p w14:paraId="392C842A" w14:textId="77777777" w:rsidR="00980E5F" w:rsidRDefault="00980E5F">
            <w:pPr>
              <w:rPr>
                <w:rFonts w:ascii="宋体"/>
              </w:rPr>
            </w:pPr>
          </w:p>
        </w:tc>
        <w:tc>
          <w:tcPr>
            <w:tcW w:w="990" w:type="pct"/>
            <w:shd w:val="clear" w:color="auto" w:fill="auto"/>
            <w:vAlign w:val="bottom"/>
          </w:tcPr>
          <w:p w14:paraId="392C842B" w14:textId="77777777" w:rsidR="00980E5F" w:rsidRDefault="00980E5F">
            <w:pPr>
              <w:rPr>
                <w:rFonts w:ascii="宋体"/>
              </w:rPr>
            </w:pPr>
          </w:p>
        </w:tc>
        <w:tc>
          <w:tcPr>
            <w:tcW w:w="5" w:type="pct"/>
            <w:shd w:val="clear" w:color="auto" w:fill="auto"/>
            <w:vAlign w:val="bottom"/>
          </w:tcPr>
          <w:p w14:paraId="392C842C" w14:textId="77777777" w:rsidR="00980E5F" w:rsidRDefault="00980E5F">
            <w:pPr>
              <w:rPr>
                <w:rFonts w:ascii="宋体"/>
              </w:rPr>
            </w:pPr>
          </w:p>
        </w:tc>
        <w:tc>
          <w:tcPr>
            <w:tcW w:w="0" w:type="auto"/>
            <w:gridSpan w:val="3"/>
            <w:shd w:val="clear" w:color="auto" w:fill="auto"/>
            <w:vAlign w:val="bottom"/>
          </w:tcPr>
          <w:p w14:paraId="392C842D" w14:textId="77777777" w:rsidR="00980E5F" w:rsidRDefault="00980E5F">
            <w:pPr>
              <w:rPr>
                <w:rFonts w:ascii="宋体"/>
                <w:vanish/>
              </w:rPr>
            </w:pPr>
          </w:p>
        </w:tc>
        <w:tc>
          <w:tcPr>
            <w:tcW w:w="0" w:type="auto"/>
            <w:gridSpan w:val="3"/>
            <w:shd w:val="clear" w:color="auto" w:fill="auto"/>
            <w:vAlign w:val="bottom"/>
          </w:tcPr>
          <w:p w14:paraId="392C842E" w14:textId="77777777" w:rsidR="00980E5F" w:rsidRDefault="00980E5F">
            <w:pPr>
              <w:rPr>
                <w:rFonts w:ascii="宋体"/>
                <w:vanish/>
              </w:rPr>
            </w:pPr>
          </w:p>
        </w:tc>
      </w:tr>
      <w:tr w:rsidR="00980E5F" w14:paraId="392C8434" w14:textId="77777777">
        <w:trPr>
          <w:jc w:val="center"/>
        </w:trPr>
        <w:tc>
          <w:tcPr>
            <w:tcW w:w="0" w:type="auto"/>
            <w:gridSpan w:val="3"/>
            <w:shd w:val="clear" w:color="auto" w:fill="auto"/>
            <w:tcMar>
              <w:top w:w="0" w:type="dxa"/>
              <w:left w:w="20" w:type="dxa"/>
              <w:bottom w:w="0" w:type="dxa"/>
              <w:right w:w="20" w:type="dxa"/>
            </w:tcMar>
            <w:vAlign w:val="bottom"/>
          </w:tcPr>
          <w:p w14:paraId="392C8430"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C8431" w14:textId="77777777" w:rsidR="00980E5F" w:rsidRDefault="00483613">
            <w:pPr>
              <w:jc w:val="center"/>
              <w:textAlignment w:val="bottom"/>
            </w:pPr>
            <w:r>
              <w:rPr>
                <w:rFonts w:ascii="Arial" w:eastAsia="宋体" w:hAnsi="Arial" w:cs="Arial"/>
                <w:b/>
                <w:bCs/>
                <w:color w:val="000000"/>
                <w:sz w:val="16"/>
                <w:szCs w:val="16"/>
              </w:rPr>
              <w:t>June 30, 2</w:t>
            </w:r>
            <w:r>
              <w:rPr>
                <w:rFonts w:ascii="Arial" w:eastAsia="宋体" w:hAnsi="Arial" w:cs="Arial"/>
                <w:b/>
                <w:bCs/>
                <w:color w:val="000000"/>
                <w:sz w:val="16"/>
                <w:szCs w:val="16"/>
              </w:rPr>
              <w:t>022</w:t>
            </w:r>
          </w:p>
        </w:tc>
        <w:tc>
          <w:tcPr>
            <w:tcW w:w="0" w:type="auto"/>
            <w:gridSpan w:val="3"/>
            <w:shd w:val="clear" w:color="auto" w:fill="auto"/>
            <w:vAlign w:val="bottom"/>
          </w:tcPr>
          <w:p w14:paraId="392C8432" w14:textId="77777777" w:rsidR="00980E5F" w:rsidRDefault="00980E5F">
            <w:pPr>
              <w:rPr>
                <w:rFonts w:ascii="宋体"/>
                <w:vanish/>
              </w:rPr>
            </w:pPr>
          </w:p>
        </w:tc>
        <w:tc>
          <w:tcPr>
            <w:tcW w:w="0" w:type="auto"/>
            <w:gridSpan w:val="3"/>
            <w:shd w:val="clear" w:color="auto" w:fill="auto"/>
            <w:vAlign w:val="bottom"/>
          </w:tcPr>
          <w:p w14:paraId="392C8433" w14:textId="77777777" w:rsidR="00980E5F" w:rsidRDefault="00980E5F">
            <w:pPr>
              <w:rPr>
                <w:rFonts w:ascii="宋体"/>
                <w:vanish/>
              </w:rPr>
            </w:pPr>
          </w:p>
        </w:tc>
      </w:tr>
      <w:tr w:rsidR="00980E5F" w14:paraId="392C843B" w14:textId="77777777">
        <w:trPr>
          <w:jc w:val="center"/>
        </w:trPr>
        <w:tc>
          <w:tcPr>
            <w:tcW w:w="0" w:type="auto"/>
            <w:gridSpan w:val="3"/>
            <w:shd w:val="clear" w:color="auto" w:fill="auto"/>
            <w:tcMar>
              <w:top w:w="0" w:type="dxa"/>
              <w:left w:w="20" w:type="dxa"/>
              <w:bottom w:w="0" w:type="dxa"/>
              <w:right w:w="20" w:type="dxa"/>
            </w:tcMar>
            <w:vAlign w:val="bottom"/>
          </w:tcPr>
          <w:p w14:paraId="392C843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3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37"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438" w14:textId="77777777" w:rsidR="00980E5F" w:rsidRDefault="00483613">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392C8439" w14:textId="77777777" w:rsidR="00980E5F" w:rsidRDefault="00980E5F">
            <w:pPr>
              <w:rPr>
                <w:rFonts w:ascii="宋体"/>
                <w:vanish/>
              </w:rPr>
            </w:pPr>
          </w:p>
        </w:tc>
        <w:tc>
          <w:tcPr>
            <w:tcW w:w="0" w:type="auto"/>
            <w:gridSpan w:val="3"/>
            <w:shd w:val="clear" w:color="auto" w:fill="auto"/>
            <w:vAlign w:val="bottom"/>
          </w:tcPr>
          <w:p w14:paraId="392C843A" w14:textId="77777777" w:rsidR="00980E5F" w:rsidRDefault="00980E5F">
            <w:pPr>
              <w:rPr>
                <w:rFonts w:ascii="宋体"/>
                <w:vanish/>
              </w:rPr>
            </w:pPr>
          </w:p>
        </w:tc>
      </w:tr>
      <w:tr w:rsidR="00980E5F" w14:paraId="392C8444" w14:textId="77777777">
        <w:trPr>
          <w:jc w:val="center"/>
        </w:trPr>
        <w:tc>
          <w:tcPr>
            <w:tcW w:w="0" w:type="auto"/>
            <w:gridSpan w:val="3"/>
            <w:shd w:val="clear" w:color="auto" w:fill="auto"/>
            <w:tcMar>
              <w:top w:w="40" w:type="dxa"/>
              <w:left w:w="20" w:type="dxa"/>
              <w:bottom w:w="40" w:type="dxa"/>
              <w:right w:w="20" w:type="dxa"/>
            </w:tcMar>
            <w:vAlign w:val="bottom"/>
          </w:tcPr>
          <w:p w14:paraId="392C843C" w14:textId="77777777" w:rsidR="00980E5F" w:rsidRDefault="00483613">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392C843D" w14:textId="77777777" w:rsidR="00980E5F" w:rsidRDefault="00483613">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392C843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43F" w14:textId="77777777" w:rsidR="00980E5F" w:rsidRDefault="00483613">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4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441" w14:textId="77777777" w:rsidR="00980E5F" w:rsidRDefault="00483613">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392C8442" w14:textId="77777777" w:rsidR="00980E5F" w:rsidRDefault="00980E5F">
            <w:pPr>
              <w:rPr>
                <w:rFonts w:ascii="宋体"/>
                <w:vanish/>
              </w:rPr>
            </w:pPr>
          </w:p>
        </w:tc>
        <w:tc>
          <w:tcPr>
            <w:tcW w:w="0" w:type="auto"/>
            <w:gridSpan w:val="3"/>
            <w:shd w:val="clear" w:color="auto" w:fill="auto"/>
            <w:vAlign w:val="bottom"/>
          </w:tcPr>
          <w:p w14:paraId="392C8443" w14:textId="77777777" w:rsidR="00980E5F" w:rsidRDefault="00980E5F">
            <w:pPr>
              <w:rPr>
                <w:rFonts w:ascii="宋体"/>
                <w:vanish/>
              </w:rPr>
            </w:pPr>
          </w:p>
        </w:tc>
      </w:tr>
      <w:tr w:rsidR="00980E5F" w14:paraId="392C8453" w14:textId="77777777">
        <w:trPr>
          <w:jc w:val="center"/>
        </w:trPr>
        <w:tc>
          <w:tcPr>
            <w:tcW w:w="0" w:type="auto"/>
            <w:gridSpan w:val="3"/>
            <w:shd w:val="clear" w:color="auto" w:fill="CCEEFF"/>
            <w:tcMar>
              <w:top w:w="40" w:type="dxa"/>
              <w:left w:w="20" w:type="dxa"/>
              <w:bottom w:w="40" w:type="dxa"/>
              <w:right w:w="20" w:type="dxa"/>
            </w:tcMar>
            <w:vAlign w:val="bottom"/>
          </w:tcPr>
          <w:p w14:paraId="392C8445" w14:textId="77777777" w:rsidR="00980E5F" w:rsidRDefault="00483613">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446"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47" w14:textId="77777777" w:rsidR="00980E5F" w:rsidRDefault="00483613">
            <w:pPr>
              <w:jc w:val="right"/>
              <w:textAlignment w:val="bottom"/>
            </w:pPr>
            <w:r>
              <w:rPr>
                <w:rFonts w:ascii="Arial" w:eastAsia="宋体" w:hAnsi="Arial" w:cs="Arial"/>
                <w:b/>
                <w:bCs/>
                <w:color w:val="000000"/>
                <w:sz w:val="16"/>
                <w:szCs w:val="16"/>
              </w:rPr>
              <w:t>10,271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4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44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44A"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4B" w14:textId="77777777" w:rsidR="00980E5F" w:rsidRDefault="00483613">
            <w:pPr>
              <w:jc w:val="right"/>
              <w:textAlignment w:val="bottom"/>
            </w:pPr>
            <w:r>
              <w:rPr>
                <w:rFonts w:ascii="Arial" w:eastAsia="宋体" w:hAnsi="Arial" w:cs="Arial"/>
                <w:b/>
                <w:bCs/>
                <w:color w:val="000000"/>
                <w:sz w:val="16"/>
                <w:szCs w:val="16"/>
              </w:rPr>
              <w:t>(403)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44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44E"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4F" w14:textId="77777777" w:rsidR="00980E5F" w:rsidRDefault="00483613">
            <w:pPr>
              <w:jc w:val="right"/>
              <w:textAlignment w:val="bottom"/>
            </w:pPr>
            <w:r>
              <w:rPr>
                <w:rFonts w:ascii="Arial" w:eastAsia="宋体" w:hAnsi="Arial" w:cs="Arial"/>
                <w:b/>
                <w:bCs/>
                <w:color w:val="000000"/>
                <w:sz w:val="16"/>
                <w:szCs w:val="16"/>
              </w:rPr>
              <w:t>436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50" w14:textId="77777777" w:rsidR="00980E5F" w:rsidRDefault="00980E5F">
            <w:pPr>
              <w:jc w:val="right"/>
              <w:rPr>
                <w:rFonts w:ascii="宋体"/>
              </w:rPr>
            </w:pPr>
          </w:p>
        </w:tc>
        <w:tc>
          <w:tcPr>
            <w:tcW w:w="0" w:type="auto"/>
            <w:gridSpan w:val="3"/>
            <w:shd w:val="clear" w:color="auto" w:fill="auto"/>
            <w:vAlign w:val="bottom"/>
          </w:tcPr>
          <w:p w14:paraId="392C8451" w14:textId="77777777" w:rsidR="00980E5F" w:rsidRDefault="00980E5F">
            <w:pPr>
              <w:rPr>
                <w:rFonts w:ascii="宋体"/>
                <w:vanish/>
              </w:rPr>
            </w:pPr>
          </w:p>
        </w:tc>
        <w:tc>
          <w:tcPr>
            <w:tcW w:w="0" w:type="auto"/>
            <w:gridSpan w:val="3"/>
            <w:shd w:val="clear" w:color="auto" w:fill="auto"/>
            <w:vAlign w:val="bottom"/>
          </w:tcPr>
          <w:p w14:paraId="392C8452" w14:textId="77777777" w:rsidR="00980E5F" w:rsidRDefault="00980E5F">
            <w:pPr>
              <w:rPr>
                <w:rFonts w:ascii="宋体"/>
                <w:vanish/>
              </w:rPr>
            </w:pPr>
          </w:p>
        </w:tc>
      </w:tr>
      <w:tr w:rsidR="00980E5F" w14:paraId="392C845F" w14:textId="77777777">
        <w:trPr>
          <w:jc w:val="center"/>
        </w:trPr>
        <w:tc>
          <w:tcPr>
            <w:tcW w:w="0" w:type="auto"/>
            <w:gridSpan w:val="3"/>
            <w:shd w:val="clear" w:color="auto" w:fill="FFFFFF"/>
            <w:tcMar>
              <w:top w:w="40" w:type="dxa"/>
              <w:left w:w="20" w:type="dxa"/>
              <w:bottom w:w="40" w:type="dxa"/>
              <w:right w:w="20" w:type="dxa"/>
            </w:tcMar>
            <w:vAlign w:val="bottom"/>
          </w:tcPr>
          <w:p w14:paraId="392C8454" w14:textId="77777777" w:rsidR="00980E5F" w:rsidRDefault="00483613">
            <w:pPr>
              <w:textAlignment w:val="bottom"/>
            </w:pPr>
            <w:r>
              <w:rPr>
                <w:rFonts w:ascii="Arial" w:eastAsia="宋体" w:hAnsi="Arial" w:cs="Arial"/>
                <w:color w:val="000000"/>
                <w:sz w:val="16"/>
                <w:szCs w:val="16"/>
              </w:rPr>
              <w:t>Available-for-sale securities</w:t>
            </w:r>
            <w:r>
              <w:rPr>
                <w:rFonts w:ascii="Arial" w:eastAsia="宋体" w:hAnsi="Arial" w:cs="Arial"/>
                <w:color w:val="000000"/>
                <w:sz w:val="10"/>
                <w:szCs w:val="10"/>
              </w:rPr>
              <w:t>(2)(3)</w:t>
            </w:r>
          </w:p>
        </w:tc>
        <w:tc>
          <w:tcPr>
            <w:tcW w:w="0" w:type="auto"/>
            <w:gridSpan w:val="2"/>
            <w:shd w:val="clear" w:color="auto" w:fill="FFFFFF"/>
            <w:tcMar>
              <w:top w:w="40" w:type="dxa"/>
              <w:left w:w="20" w:type="dxa"/>
              <w:bottom w:w="40" w:type="dxa"/>
              <w:right w:w="0" w:type="dxa"/>
            </w:tcMar>
            <w:vAlign w:val="bottom"/>
          </w:tcPr>
          <w:p w14:paraId="392C8455" w14:textId="77777777" w:rsidR="00980E5F" w:rsidRDefault="00483613">
            <w:pPr>
              <w:jc w:val="right"/>
              <w:textAlignment w:val="bottom"/>
            </w:pPr>
            <w:r>
              <w:rPr>
                <w:rFonts w:ascii="Arial" w:eastAsia="宋体" w:hAnsi="Arial" w:cs="Arial"/>
                <w:b/>
                <w:bCs/>
                <w:color w:val="000000"/>
                <w:sz w:val="16"/>
                <w:szCs w:val="16"/>
              </w:rPr>
              <w:t>11,289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84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45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458" w14:textId="77777777" w:rsidR="00980E5F" w:rsidRDefault="00483613">
            <w:pPr>
              <w:jc w:val="right"/>
              <w:textAlignment w:val="bottom"/>
            </w:pPr>
            <w:r>
              <w:rPr>
                <w:rFonts w:ascii="Arial" w:eastAsia="宋体" w:hAnsi="Arial" w:cs="Arial"/>
                <w:b/>
                <w:bCs/>
                <w:color w:val="000000"/>
                <w:sz w:val="16"/>
                <w:szCs w:val="16"/>
              </w:rPr>
              <w:t>(360)</w:t>
            </w:r>
          </w:p>
        </w:tc>
        <w:tc>
          <w:tcPr>
            <w:tcW w:w="0" w:type="auto"/>
            <w:shd w:val="clear" w:color="auto" w:fill="FFFFFF"/>
            <w:tcMar>
              <w:top w:w="40" w:type="dxa"/>
              <w:left w:w="0" w:type="dxa"/>
              <w:bottom w:w="40" w:type="dxa"/>
              <w:right w:w="20" w:type="dxa"/>
            </w:tcMar>
            <w:vAlign w:val="bottom"/>
          </w:tcPr>
          <w:p w14:paraId="392C84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4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45B" w14:textId="77777777" w:rsidR="00980E5F" w:rsidRDefault="00483613">
            <w:pPr>
              <w:jc w:val="right"/>
              <w:textAlignment w:val="bottom"/>
            </w:pPr>
            <w:r>
              <w:rPr>
                <w:rFonts w:ascii="Arial" w:eastAsia="宋体" w:hAnsi="Arial" w:cs="Arial"/>
                <w:b/>
                <w:bCs/>
                <w:color w:val="000000"/>
                <w:sz w:val="16"/>
                <w:szCs w:val="16"/>
              </w:rPr>
              <w:t>14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845C" w14:textId="77777777" w:rsidR="00980E5F" w:rsidRDefault="00980E5F">
            <w:pPr>
              <w:jc w:val="right"/>
              <w:rPr>
                <w:rFonts w:ascii="宋体"/>
              </w:rPr>
            </w:pPr>
          </w:p>
        </w:tc>
        <w:tc>
          <w:tcPr>
            <w:tcW w:w="0" w:type="auto"/>
            <w:gridSpan w:val="3"/>
            <w:shd w:val="clear" w:color="auto" w:fill="auto"/>
            <w:vAlign w:val="bottom"/>
          </w:tcPr>
          <w:p w14:paraId="392C845D" w14:textId="77777777" w:rsidR="00980E5F" w:rsidRDefault="00980E5F">
            <w:pPr>
              <w:rPr>
                <w:rFonts w:ascii="宋体"/>
                <w:vanish/>
              </w:rPr>
            </w:pPr>
          </w:p>
        </w:tc>
        <w:tc>
          <w:tcPr>
            <w:tcW w:w="0" w:type="auto"/>
            <w:gridSpan w:val="3"/>
            <w:shd w:val="clear" w:color="auto" w:fill="auto"/>
            <w:vAlign w:val="bottom"/>
          </w:tcPr>
          <w:p w14:paraId="392C845E" w14:textId="77777777" w:rsidR="00980E5F" w:rsidRDefault="00980E5F">
            <w:pPr>
              <w:rPr>
                <w:rFonts w:ascii="宋体"/>
                <w:vanish/>
              </w:rPr>
            </w:pPr>
          </w:p>
        </w:tc>
      </w:tr>
      <w:tr w:rsidR="00980E5F" w14:paraId="392C8468" w14:textId="77777777">
        <w:trPr>
          <w:trHeight w:val="220"/>
          <w:jc w:val="center"/>
        </w:trPr>
        <w:tc>
          <w:tcPr>
            <w:tcW w:w="0" w:type="auto"/>
            <w:gridSpan w:val="3"/>
            <w:shd w:val="clear" w:color="auto" w:fill="auto"/>
            <w:tcMar>
              <w:top w:w="0" w:type="dxa"/>
              <w:left w:w="20" w:type="dxa"/>
              <w:bottom w:w="0" w:type="dxa"/>
              <w:right w:w="20" w:type="dxa"/>
            </w:tcMar>
            <w:vAlign w:val="bottom"/>
          </w:tcPr>
          <w:p w14:paraId="392C84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6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6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6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65" w14:textId="77777777" w:rsidR="00980E5F" w:rsidRDefault="00980E5F">
            <w:pPr>
              <w:rPr>
                <w:rFonts w:ascii="宋体"/>
              </w:rPr>
            </w:pPr>
          </w:p>
        </w:tc>
        <w:tc>
          <w:tcPr>
            <w:tcW w:w="0" w:type="auto"/>
            <w:gridSpan w:val="3"/>
            <w:shd w:val="clear" w:color="auto" w:fill="auto"/>
            <w:vAlign w:val="bottom"/>
          </w:tcPr>
          <w:p w14:paraId="392C8466" w14:textId="77777777" w:rsidR="00980E5F" w:rsidRDefault="00980E5F">
            <w:pPr>
              <w:rPr>
                <w:rFonts w:ascii="宋体"/>
                <w:vanish/>
              </w:rPr>
            </w:pPr>
          </w:p>
        </w:tc>
        <w:tc>
          <w:tcPr>
            <w:tcW w:w="0" w:type="auto"/>
            <w:gridSpan w:val="3"/>
            <w:shd w:val="clear" w:color="auto" w:fill="auto"/>
            <w:vAlign w:val="bottom"/>
          </w:tcPr>
          <w:p w14:paraId="392C8467" w14:textId="77777777" w:rsidR="00980E5F" w:rsidRDefault="00980E5F">
            <w:pPr>
              <w:rPr>
                <w:rFonts w:ascii="宋体"/>
                <w:vanish/>
              </w:rPr>
            </w:pPr>
          </w:p>
        </w:tc>
      </w:tr>
      <w:tr w:rsidR="00980E5F" w14:paraId="392C846D" w14:textId="77777777">
        <w:trPr>
          <w:jc w:val="center"/>
        </w:trPr>
        <w:tc>
          <w:tcPr>
            <w:tcW w:w="0" w:type="auto"/>
            <w:gridSpan w:val="3"/>
            <w:shd w:val="clear" w:color="auto" w:fill="auto"/>
            <w:tcMar>
              <w:top w:w="0" w:type="dxa"/>
              <w:left w:w="20" w:type="dxa"/>
              <w:bottom w:w="0" w:type="dxa"/>
              <w:right w:w="20" w:type="dxa"/>
            </w:tcMar>
            <w:vAlign w:val="bottom"/>
          </w:tcPr>
          <w:p w14:paraId="392C8469" w14:textId="77777777" w:rsidR="00980E5F" w:rsidRDefault="00980E5F">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392C846A" w14:textId="77777777" w:rsidR="00980E5F" w:rsidRDefault="00483613">
            <w:pPr>
              <w:jc w:val="center"/>
              <w:textAlignment w:val="bottom"/>
            </w:pPr>
            <w:r>
              <w:rPr>
                <w:rFonts w:ascii="Arial" w:eastAsia="宋体" w:hAnsi="Arial" w:cs="Arial"/>
                <w:b/>
                <w:bCs/>
                <w:color w:val="000000"/>
                <w:sz w:val="16"/>
                <w:szCs w:val="16"/>
              </w:rPr>
              <w:t>December 31, 2021</w:t>
            </w:r>
          </w:p>
        </w:tc>
        <w:tc>
          <w:tcPr>
            <w:tcW w:w="0" w:type="auto"/>
            <w:gridSpan w:val="3"/>
            <w:shd w:val="clear" w:color="auto" w:fill="auto"/>
            <w:vAlign w:val="bottom"/>
          </w:tcPr>
          <w:p w14:paraId="392C846B" w14:textId="77777777" w:rsidR="00980E5F" w:rsidRDefault="00980E5F">
            <w:pPr>
              <w:rPr>
                <w:rFonts w:ascii="宋体"/>
                <w:vanish/>
              </w:rPr>
            </w:pPr>
          </w:p>
        </w:tc>
        <w:tc>
          <w:tcPr>
            <w:tcW w:w="0" w:type="auto"/>
            <w:gridSpan w:val="3"/>
            <w:shd w:val="clear" w:color="auto" w:fill="auto"/>
            <w:vAlign w:val="bottom"/>
          </w:tcPr>
          <w:p w14:paraId="392C846C" w14:textId="77777777" w:rsidR="00980E5F" w:rsidRDefault="00980E5F">
            <w:pPr>
              <w:rPr>
                <w:rFonts w:ascii="宋体"/>
                <w:vanish/>
              </w:rPr>
            </w:pPr>
          </w:p>
        </w:tc>
      </w:tr>
      <w:tr w:rsidR="00980E5F" w14:paraId="392C8474" w14:textId="77777777">
        <w:trPr>
          <w:jc w:val="center"/>
        </w:trPr>
        <w:tc>
          <w:tcPr>
            <w:tcW w:w="0" w:type="auto"/>
            <w:gridSpan w:val="3"/>
            <w:shd w:val="clear" w:color="auto" w:fill="auto"/>
            <w:tcMar>
              <w:top w:w="0" w:type="dxa"/>
              <w:left w:w="20" w:type="dxa"/>
              <w:bottom w:w="0" w:type="dxa"/>
              <w:right w:w="20" w:type="dxa"/>
            </w:tcMar>
            <w:vAlign w:val="bottom"/>
          </w:tcPr>
          <w:p w14:paraId="392C846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6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70"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471" w14:textId="77777777" w:rsidR="00980E5F" w:rsidRDefault="00483613">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392C8472" w14:textId="77777777" w:rsidR="00980E5F" w:rsidRDefault="00980E5F">
            <w:pPr>
              <w:rPr>
                <w:rFonts w:ascii="宋体"/>
                <w:vanish/>
              </w:rPr>
            </w:pPr>
          </w:p>
        </w:tc>
        <w:tc>
          <w:tcPr>
            <w:tcW w:w="0" w:type="auto"/>
            <w:gridSpan w:val="3"/>
            <w:shd w:val="clear" w:color="auto" w:fill="auto"/>
            <w:vAlign w:val="bottom"/>
          </w:tcPr>
          <w:p w14:paraId="392C8473" w14:textId="77777777" w:rsidR="00980E5F" w:rsidRDefault="00980E5F">
            <w:pPr>
              <w:rPr>
                <w:rFonts w:ascii="宋体"/>
                <w:vanish/>
              </w:rPr>
            </w:pPr>
          </w:p>
        </w:tc>
      </w:tr>
      <w:tr w:rsidR="00980E5F" w14:paraId="392C847D" w14:textId="77777777">
        <w:trPr>
          <w:jc w:val="center"/>
        </w:trPr>
        <w:tc>
          <w:tcPr>
            <w:tcW w:w="0" w:type="auto"/>
            <w:gridSpan w:val="3"/>
            <w:shd w:val="clear" w:color="auto" w:fill="auto"/>
            <w:tcMar>
              <w:top w:w="40" w:type="dxa"/>
              <w:left w:w="20" w:type="dxa"/>
              <w:bottom w:w="40" w:type="dxa"/>
              <w:right w:w="20" w:type="dxa"/>
            </w:tcMar>
            <w:vAlign w:val="bottom"/>
          </w:tcPr>
          <w:p w14:paraId="392C8475" w14:textId="77777777" w:rsidR="00980E5F" w:rsidRDefault="00483613">
            <w:pP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c>
          <w:tcPr>
            <w:tcW w:w="0" w:type="auto"/>
            <w:gridSpan w:val="3"/>
            <w:shd w:val="clear" w:color="auto" w:fill="auto"/>
            <w:tcMar>
              <w:top w:w="40" w:type="dxa"/>
              <w:left w:w="20" w:type="dxa"/>
              <w:bottom w:w="40" w:type="dxa"/>
              <w:right w:w="20" w:type="dxa"/>
            </w:tcMar>
            <w:vAlign w:val="bottom"/>
          </w:tcPr>
          <w:p w14:paraId="392C8476" w14:textId="77777777" w:rsidR="00980E5F" w:rsidRDefault="00483613">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392C847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478" w14:textId="77777777" w:rsidR="00980E5F" w:rsidRDefault="00483613">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47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47A" w14:textId="77777777" w:rsidR="00980E5F" w:rsidRDefault="00483613">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392C847B" w14:textId="77777777" w:rsidR="00980E5F" w:rsidRDefault="00980E5F">
            <w:pPr>
              <w:rPr>
                <w:rFonts w:ascii="宋体"/>
                <w:vanish/>
              </w:rPr>
            </w:pPr>
          </w:p>
        </w:tc>
        <w:tc>
          <w:tcPr>
            <w:tcW w:w="0" w:type="auto"/>
            <w:gridSpan w:val="3"/>
            <w:shd w:val="clear" w:color="auto" w:fill="auto"/>
            <w:vAlign w:val="bottom"/>
          </w:tcPr>
          <w:p w14:paraId="392C847C" w14:textId="77777777" w:rsidR="00980E5F" w:rsidRDefault="00980E5F">
            <w:pPr>
              <w:rPr>
                <w:rFonts w:ascii="宋体"/>
                <w:vanish/>
              </w:rPr>
            </w:pPr>
          </w:p>
        </w:tc>
      </w:tr>
      <w:tr w:rsidR="00980E5F" w14:paraId="392C848C" w14:textId="77777777">
        <w:trPr>
          <w:jc w:val="center"/>
        </w:trPr>
        <w:tc>
          <w:tcPr>
            <w:tcW w:w="0" w:type="auto"/>
            <w:gridSpan w:val="3"/>
            <w:shd w:val="clear" w:color="auto" w:fill="CCEEFF"/>
            <w:tcMar>
              <w:top w:w="40" w:type="dxa"/>
              <w:left w:w="20" w:type="dxa"/>
              <w:bottom w:w="40" w:type="dxa"/>
              <w:right w:w="20" w:type="dxa"/>
            </w:tcMar>
            <w:vAlign w:val="bottom"/>
          </w:tcPr>
          <w:p w14:paraId="392C847E" w14:textId="77777777" w:rsidR="00980E5F" w:rsidRDefault="00483613">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47F"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80" w14:textId="77777777" w:rsidR="00980E5F" w:rsidRDefault="00483613">
            <w:pPr>
              <w:jc w:val="right"/>
              <w:textAlignment w:val="bottom"/>
            </w:pPr>
            <w:r>
              <w:rPr>
                <w:rFonts w:ascii="Arial" w:eastAsia="宋体" w:hAnsi="Arial" w:cs="Arial"/>
                <w:color w:val="000000"/>
                <w:sz w:val="16"/>
                <w:szCs w:val="16"/>
              </w:rPr>
              <w:t>9,026 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48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483"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84" w14:textId="77777777" w:rsidR="00980E5F" w:rsidRDefault="00483613">
            <w:pPr>
              <w:jc w:val="right"/>
              <w:textAlignment w:val="bottom"/>
            </w:pPr>
            <w:r>
              <w:rPr>
                <w:rFonts w:ascii="Arial" w:eastAsia="宋体" w:hAnsi="Arial" w:cs="Arial"/>
                <w:color w:val="000000"/>
                <w:sz w:val="16"/>
                <w:szCs w:val="16"/>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48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487"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488" w14:textId="77777777" w:rsidR="00980E5F" w:rsidRDefault="00483613">
            <w:pPr>
              <w:jc w:val="right"/>
              <w:textAlignment w:val="bottom"/>
            </w:pPr>
            <w:r>
              <w:rPr>
                <w:rFonts w:ascii="Arial" w:eastAsia="宋体" w:hAnsi="Arial" w:cs="Arial"/>
                <w:color w:val="000000"/>
                <w:sz w:val="16"/>
                <w:szCs w:val="16"/>
              </w:rPr>
              <w:t>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489" w14:textId="77777777" w:rsidR="00980E5F" w:rsidRDefault="00980E5F">
            <w:pPr>
              <w:jc w:val="right"/>
              <w:rPr>
                <w:rFonts w:ascii="宋体"/>
              </w:rPr>
            </w:pPr>
          </w:p>
        </w:tc>
        <w:tc>
          <w:tcPr>
            <w:tcW w:w="0" w:type="auto"/>
            <w:gridSpan w:val="3"/>
            <w:shd w:val="clear" w:color="auto" w:fill="auto"/>
            <w:vAlign w:val="bottom"/>
          </w:tcPr>
          <w:p w14:paraId="392C848A" w14:textId="77777777" w:rsidR="00980E5F" w:rsidRDefault="00980E5F">
            <w:pPr>
              <w:rPr>
                <w:rFonts w:ascii="宋体"/>
                <w:vanish/>
              </w:rPr>
            </w:pPr>
          </w:p>
        </w:tc>
        <w:tc>
          <w:tcPr>
            <w:tcW w:w="0" w:type="auto"/>
            <w:gridSpan w:val="3"/>
            <w:shd w:val="clear" w:color="auto" w:fill="auto"/>
            <w:vAlign w:val="bottom"/>
          </w:tcPr>
          <w:p w14:paraId="392C848B" w14:textId="77777777" w:rsidR="00980E5F" w:rsidRDefault="00980E5F">
            <w:pPr>
              <w:rPr>
                <w:rFonts w:ascii="宋体"/>
                <w:vanish/>
              </w:rPr>
            </w:pPr>
          </w:p>
        </w:tc>
      </w:tr>
      <w:tr w:rsidR="00980E5F" w14:paraId="392C8498" w14:textId="77777777">
        <w:trPr>
          <w:jc w:val="center"/>
        </w:trPr>
        <w:tc>
          <w:tcPr>
            <w:tcW w:w="0" w:type="auto"/>
            <w:gridSpan w:val="3"/>
            <w:shd w:val="clear" w:color="auto" w:fill="FFFFFF"/>
            <w:tcMar>
              <w:top w:w="40" w:type="dxa"/>
              <w:left w:w="20" w:type="dxa"/>
              <w:bottom w:w="40" w:type="dxa"/>
              <w:right w:w="20" w:type="dxa"/>
            </w:tcMar>
            <w:vAlign w:val="bottom"/>
          </w:tcPr>
          <w:p w14:paraId="392C848D" w14:textId="77777777" w:rsidR="00980E5F" w:rsidRDefault="00483613">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392C848E" w14:textId="77777777" w:rsidR="00980E5F" w:rsidRDefault="00483613">
            <w:pPr>
              <w:jc w:val="right"/>
              <w:textAlignment w:val="bottom"/>
            </w:pPr>
            <w:r>
              <w:rPr>
                <w:rFonts w:ascii="Arial" w:eastAsia="宋体" w:hAnsi="Arial" w:cs="Arial"/>
                <w:color w:val="000000"/>
                <w:sz w:val="16"/>
                <w:szCs w:val="16"/>
              </w:rPr>
              <w:t>3,551 </w:t>
            </w:r>
          </w:p>
        </w:tc>
        <w:tc>
          <w:tcPr>
            <w:tcW w:w="0" w:type="auto"/>
            <w:shd w:val="clear" w:color="auto" w:fill="FFFFFF"/>
            <w:tcMar>
              <w:top w:w="40" w:type="dxa"/>
              <w:left w:w="0" w:type="dxa"/>
              <w:bottom w:w="40" w:type="dxa"/>
              <w:right w:w="20" w:type="dxa"/>
            </w:tcMar>
            <w:vAlign w:val="bottom"/>
          </w:tcPr>
          <w:p w14:paraId="392C848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49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491" w14:textId="77777777" w:rsidR="00980E5F" w:rsidRDefault="00483613">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84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4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494" w14:textId="77777777" w:rsidR="00980E5F" w:rsidRDefault="00483613">
            <w:pPr>
              <w:jc w:val="right"/>
              <w:textAlignment w:val="bottom"/>
            </w:pPr>
            <w:r>
              <w:rPr>
                <w:rFonts w:ascii="Arial" w:eastAsia="宋体" w:hAnsi="Arial" w:cs="Arial"/>
                <w:color w:val="000000"/>
                <w:sz w:val="16"/>
                <w:szCs w:val="16"/>
              </w:rPr>
              <w:t>24 </w:t>
            </w:r>
          </w:p>
        </w:tc>
        <w:tc>
          <w:tcPr>
            <w:tcW w:w="0" w:type="auto"/>
            <w:shd w:val="clear" w:color="auto" w:fill="FFFFFF"/>
            <w:tcMar>
              <w:top w:w="40" w:type="dxa"/>
              <w:left w:w="0" w:type="dxa"/>
              <w:bottom w:w="40" w:type="dxa"/>
              <w:right w:w="20" w:type="dxa"/>
            </w:tcMar>
            <w:vAlign w:val="bottom"/>
          </w:tcPr>
          <w:p w14:paraId="392C8495" w14:textId="77777777" w:rsidR="00980E5F" w:rsidRDefault="00980E5F">
            <w:pPr>
              <w:jc w:val="right"/>
              <w:rPr>
                <w:rFonts w:ascii="宋体"/>
              </w:rPr>
            </w:pPr>
          </w:p>
        </w:tc>
        <w:tc>
          <w:tcPr>
            <w:tcW w:w="0" w:type="auto"/>
            <w:gridSpan w:val="3"/>
            <w:shd w:val="clear" w:color="auto" w:fill="auto"/>
            <w:vAlign w:val="bottom"/>
          </w:tcPr>
          <w:p w14:paraId="392C8496" w14:textId="77777777" w:rsidR="00980E5F" w:rsidRDefault="00980E5F">
            <w:pPr>
              <w:rPr>
                <w:rFonts w:ascii="宋体"/>
                <w:vanish/>
              </w:rPr>
            </w:pPr>
          </w:p>
        </w:tc>
        <w:tc>
          <w:tcPr>
            <w:tcW w:w="0" w:type="auto"/>
            <w:gridSpan w:val="3"/>
            <w:shd w:val="clear" w:color="auto" w:fill="auto"/>
            <w:vAlign w:val="bottom"/>
          </w:tcPr>
          <w:p w14:paraId="392C8497" w14:textId="77777777" w:rsidR="00980E5F" w:rsidRDefault="00980E5F">
            <w:pPr>
              <w:rPr>
                <w:rFonts w:ascii="宋体"/>
                <w:vanish/>
              </w:rPr>
            </w:pPr>
          </w:p>
        </w:tc>
      </w:tr>
      <w:tr w:rsidR="00980E5F" w14:paraId="392C84A1" w14:textId="77777777">
        <w:trPr>
          <w:trHeight w:val="60"/>
          <w:jc w:val="center"/>
        </w:trPr>
        <w:tc>
          <w:tcPr>
            <w:tcW w:w="0" w:type="auto"/>
            <w:gridSpan w:val="3"/>
            <w:shd w:val="clear" w:color="auto" w:fill="auto"/>
            <w:tcMar>
              <w:top w:w="0" w:type="dxa"/>
              <w:left w:w="20" w:type="dxa"/>
              <w:bottom w:w="0" w:type="dxa"/>
              <w:right w:w="20" w:type="dxa"/>
            </w:tcMar>
            <w:vAlign w:val="bottom"/>
          </w:tcPr>
          <w:p w14:paraId="392C849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9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9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49E" w14:textId="77777777" w:rsidR="00980E5F" w:rsidRDefault="00980E5F">
            <w:pPr>
              <w:rPr>
                <w:rFonts w:ascii="宋体"/>
              </w:rPr>
            </w:pPr>
          </w:p>
        </w:tc>
        <w:tc>
          <w:tcPr>
            <w:tcW w:w="0" w:type="auto"/>
            <w:gridSpan w:val="3"/>
            <w:shd w:val="clear" w:color="auto" w:fill="auto"/>
            <w:vAlign w:val="bottom"/>
          </w:tcPr>
          <w:p w14:paraId="392C849F" w14:textId="77777777" w:rsidR="00980E5F" w:rsidRDefault="00980E5F">
            <w:pPr>
              <w:rPr>
                <w:rFonts w:ascii="宋体"/>
                <w:vanish/>
              </w:rPr>
            </w:pPr>
          </w:p>
        </w:tc>
        <w:tc>
          <w:tcPr>
            <w:tcW w:w="0" w:type="auto"/>
            <w:gridSpan w:val="3"/>
            <w:shd w:val="clear" w:color="auto" w:fill="auto"/>
            <w:vAlign w:val="bottom"/>
          </w:tcPr>
          <w:p w14:paraId="392C84A0" w14:textId="77777777" w:rsidR="00980E5F" w:rsidRDefault="00980E5F">
            <w:pPr>
              <w:rPr>
                <w:rFonts w:ascii="宋体"/>
                <w:vanish/>
              </w:rPr>
            </w:pPr>
          </w:p>
        </w:tc>
      </w:tr>
      <w:tr w:rsidR="00980E5F" w14:paraId="392C84AA" w14:textId="77777777">
        <w:trPr>
          <w:jc w:val="center"/>
          <w:hidden/>
        </w:trPr>
        <w:tc>
          <w:tcPr>
            <w:tcW w:w="0" w:type="auto"/>
            <w:gridSpan w:val="3"/>
            <w:shd w:val="clear" w:color="auto" w:fill="auto"/>
            <w:vAlign w:val="bottom"/>
          </w:tcPr>
          <w:p w14:paraId="392C84A2" w14:textId="77777777" w:rsidR="00980E5F" w:rsidRDefault="00980E5F">
            <w:pPr>
              <w:rPr>
                <w:rFonts w:ascii="宋体"/>
                <w:vanish/>
              </w:rPr>
            </w:pPr>
          </w:p>
        </w:tc>
        <w:tc>
          <w:tcPr>
            <w:tcW w:w="0" w:type="auto"/>
            <w:gridSpan w:val="3"/>
            <w:shd w:val="clear" w:color="auto" w:fill="auto"/>
            <w:vAlign w:val="bottom"/>
          </w:tcPr>
          <w:p w14:paraId="392C84A3" w14:textId="77777777" w:rsidR="00980E5F" w:rsidRDefault="00980E5F">
            <w:pPr>
              <w:rPr>
                <w:rFonts w:ascii="宋体"/>
                <w:vanish/>
              </w:rPr>
            </w:pPr>
          </w:p>
        </w:tc>
        <w:tc>
          <w:tcPr>
            <w:tcW w:w="0" w:type="auto"/>
            <w:gridSpan w:val="3"/>
            <w:shd w:val="clear" w:color="auto" w:fill="auto"/>
            <w:vAlign w:val="bottom"/>
          </w:tcPr>
          <w:p w14:paraId="392C84A4" w14:textId="77777777" w:rsidR="00980E5F" w:rsidRDefault="00980E5F">
            <w:pPr>
              <w:rPr>
                <w:rFonts w:ascii="宋体"/>
                <w:vanish/>
              </w:rPr>
            </w:pPr>
          </w:p>
        </w:tc>
        <w:tc>
          <w:tcPr>
            <w:tcW w:w="0" w:type="auto"/>
            <w:gridSpan w:val="3"/>
            <w:shd w:val="clear" w:color="auto" w:fill="auto"/>
            <w:vAlign w:val="bottom"/>
          </w:tcPr>
          <w:p w14:paraId="392C84A5" w14:textId="77777777" w:rsidR="00980E5F" w:rsidRDefault="00980E5F">
            <w:pPr>
              <w:rPr>
                <w:rFonts w:ascii="宋体"/>
                <w:vanish/>
              </w:rPr>
            </w:pPr>
          </w:p>
        </w:tc>
        <w:tc>
          <w:tcPr>
            <w:tcW w:w="0" w:type="auto"/>
            <w:gridSpan w:val="3"/>
            <w:shd w:val="clear" w:color="auto" w:fill="auto"/>
            <w:vAlign w:val="bottom"/>
          </w:tcPr>
          <w:p w14:paraId="392C84A6" w14:textId="77777777" w:rsidR="00980E5F" w:rsidRDefault="00980E5F">
            <w:pPr>
              <w:rPr>
                <w:rFonts w:ascii="宋体"/>
                <w:vanish/>
              </w:rPr>
            </w:pPr>
          </w:p>
        </w:tc>
        <w:tc>
          <w:tcPr>
            <w:tcW w:w="0" w:type="auto"/>
            <w:gridSpan w:val="3"/>
            <w:shd w:val="clear" w:color="auto" w:fill="auto"/>
            <w:vAlign w:val="bottom"/>
          </w:tcPr>
          <w:p w14:paraId="392C84A7" w14:textId="77777777" w:rsidR="00980E5F" w:rsidRDefault="00980E5F">
            <w:pPr>
              <w:rPr>
                <w:rFonts w:ascii="宋体"/>
                <w:vanish/>
              </w:rPr>
            </w:pPr>
          </w:p>
        </w:tc>
        <w:tc>
          <w:tcPr>
            <w:tcW w:w="0" w:type="auto"/>
            <w:gridSpan w:val="3"/>
            <w:shd w:val="clear" w:color="auto" w:fill="auto"/>
            <w:vAlign w:val="bottom"/>
          </w:tcPr>
          <w:p w14:paraId="392C84A8" w14:textId="77777777" w:rsidR="00980E5F" w:rsidRDefault="00980E5F">
            <w:pPr>
              <w:rPr>
                <w:rFonts w:ascii="宋体"/>
                <w:vanish/>
              </w:rPr>
            </w:pPr>
          </w:p>
        </w:tc>
        <w:tc>
          <w:tcPr>
            <w:tcW w:w="0" w:type="auto"/>
            <w:gridSpan w:val="3"/>
            <w:shd w:val="clear" w:color="auto" w:fill="auto"/>
            <w:vAlign w:val="bottom"/>
          </w:tcPr>
          <w:p w14:paraId="392C84A9" w14:textId="77777777" w:rsidR="00980E5F" w:rsidRDefault="00980E5F">
            <w:pPr>
              <w:rPr>
                <w:rFonts w:ascii="宋体"/>
                <w:vanish/>
              </w:rPr>
            </w:pPr>
          </w:p>
        </w:tc>
      </w:tr>
      <w:tr w:rsidR="00980E5F" w14:paraId="392C84BF" w14:textId="77777777">
        <w:trPr>
          <w:jc w:val="center"/>
          <w:hidden/>
        </w:trPr>
        <w:tc>
          <w:tcPr>
            <w:tcW w:w="0" w:type="auto"/>
            <w:gridSpan w:val="3"/>
            <w:shd w:val="clear" w:color="auto" w:fill="auto"/>
            <w:vAlign w:val="bottom"/>
          </w:tcPr>
          <w:p w14:paraId="392C84AB" w14:textId="77777777" w:rsidR="00980E5F" w:rsidRDefault="00980E5F">
            <w:pPr>
              <w:rPr>
                <w:rFonts w:ascii="宋体"/>
                <w:vanish/>
              </w:rPr>
            </w:pPr>
          </w:p>
        </w:tc>
        <w:tc>
          <w:tcPr>
            <w:tcW w:w="0" w:type="auto"/>
            <w:gridSpan w:val="3"/>
            <w:shd w:val="clear" w:color="auto" w:fill="auto"/>
            <w:vAlign w:val="bottom"/>
          </w:tcPr>
          <w:p w14:paraId="392C84AC" w14:textId="77777777" w:rsidR="00980E5F" w:rsidRDefault="00980E5F">
            <w:pPr>
              <w:rPr>
                <w:rFonts w:ascii="宋体"/>
                <w:vanish/>
              </w:rPr>
            </w:pPr>
          </w:p>
        </w:tc>
        <w:tc>
          <w:tcPr>
            <w:tcW w:w="0" w:type="auto"/>
            <w:shd w:val="clear" w:color="auto" w:fill="auto"/>
            <w:vAlign w:val="bottom"/>
          </w:tcPr>
          <w:p w14:paraId="392C84AD" w14:textId="77777777" w:rsidR="00980E5F" w:rsidRDefault="00980E5F">
            <w:pPr>
              <w:rPr>
                <w:rFonts w:ascii="宋体"/>
              </w:rPr>
            </w:pPr>
          </w:p>
        </w:tc>
        <w:tc>
          <w:tcPr>
            <w:tcW w:w="0" w:type="auto"/>
            <w:shd w:val="clear" w:color="auto" w:fill="auto"/>
            <w:vAlign w:val="bottom"/>
          </w:tcPr>
          <w:p w14:paraId="392C84AE" w14:textId="77777777" w:rsidR="00980E5F" w:rsidRDefault="00980E5F">
            <w:pPr>
              <w:rPr>
                <w:rFonts w:ascii="宋体"/>
              </w:rPr>
            </w:pPr>
          </w:p>
        </w:tc>
        <w:tc>
          <w:tcPr>
            <w:tcW w:w="0" w:type="auto"/>
            <w:shd w:val="clear" w:color="auto" w:fill="auto"/>
            <w:vAlign w:val="bottom"/>
          </w:tcPr>
          <w:p w14:paraId="392C84AF" w14:textId="77777777" w:rsidR="00980E5F" w:rsidRDefault="00980E5F">
            <w:pPr>
              <w:rPr>
                <w:rFonts w:ascii="宋体"/>
              </w:rPr>
            </w:pPr>
          </w:p>
        </w:tc>
        <w:tc>
          <w:tcPr>
            <w:tcW w:w="0" w:type="auto"/>
            <w:shd w:val="clear" w:color="auto" w:fill="auto"/>
            <w:vAlign w:val="bottom"/>
          </w:tcPr>
          <w:p w14:paraId="392C84B0" w14:textId="77777777" w:rsidR="00980E5F" w:rsidRDefault="00980E5F">
            <w:pPr>
              <w:rPr>
                <w:rFonts w:ascii="宋体"/>
              </w:rPr>
            </w:pPr>
          </w:p>
        </w:tc>
        <w:tc>
          <w:tcPr>
            <w:tcW w:w="0" w:type="auto"/>
            <w:shd w:val="clear" w:color="auto" w:fill="auto"/>
            <w:vAlign w:val="bottom"/>
          </w:tcPr>
          <w:p w14:paraId="392C84B1" w14:textId="77777777" w:rsidR="00980E5F" w:rsidRDefault="00980E5F">
            <w:pPr>
              <w:rPr>
                <w:rFonts w:ascii="宋体"/>
              </w:rPr>
            </w:pPr>
          </w:p>
        </w:tc>
        <w:tc>
          <w:tcPr>
            <w:tcW w:w="0" w:type="auto"/>
            <w:shd w:val="clear" w:color="auto" w:fill="auto"/>
            <w:vAlign w:val="bottom"/>
          </w:tcPr>
          <w:p w14:paraId="392C84B2" w14:textId="77777777" w:rsidR="00980E5F" w:rsidRDefault="00980E5F">
            <w:pPr>
              <w:rPr>
                <w:rFonts w:ascii="宋体"/>
              </w:rPr>
            </w:pPr>
          </w:p>
        </w:tc>
        <w:tc>
          <w:tcPr>
            <w:tcW w:w="0" w:type="auto"/>
            <w:shd w:val="clear" w:color="auto" w:fill="auto"/>
            <w:vAlign w:val="bottom"/>
          </w:tcPr>
          <w:p w14:paraId="392C84B3" w14:textId="77777777" w:rsidR="00980E5F" w:rsidRDefault="00980E5F">
            <w:pPr>
              <w:rPr>
                <w:rFonts w:ascii="宋体"/>
              </w:rPr>
            </w:pPr>
          </w:p>
        </w:tc>
        <w:tc>
          <w:tcPr>
            <w:tcW w:w="0" w:type="auto"/>
            <w:shd w:val="clear" w:color="auto" w:fill="auto"/>
            <w:vAlign w:val="bottom"/>
          </w:tcPr>
          <w:p w14:paraId="392C84B4" w14:textId="77777777" w:rsidR="00980E5F" w:rsidRDefault="00980E5F">
            <w:pPr>
              <w:rPr>
                <w:rFonts w:ascii="宋体"/>
              </w:rPr>
            </w:pPr>
          </w:p>
        </w:tc>
        <w:tc>
          <w:tcPr>
            <w:tcW w:w="0" w:type="auto"/>
            <w:shd w:val="clear" w:color="auto" w:fill="auto"/>
            <w:vAlign w:val="bottom"/>
          </w:tcPr>
          <w:p w14:paraId="392C84B5" w14:textId="77777777" w:rsidR="00980E5F" w:rsidRDefault="00980E5F">
            <w:pPr>
              <w:rPr>
                <w:rFonts w:ascii="宋体"/>
              </w:rPr>
            </w:pPr>
          </w:p>
        </w:tc>
        <w:tc>
          <w:tcPr>
            <w:tcW w:w="0" w:type="auto"/>
            <w:shd w:val="clear" w:color="auto" w:fill="auto"/>
            <w:vAlign w:val="bottom"/>
          </w:tcPr>
          <w:p w14:paraId="392C84B6" w14:textId="77777777" w:rsidR="00980E5F" w:rsidRDefault="00980E5F">
            <w:pPr>
              <w:rPr>
                <w:rFonts w:ascii="宋体"/>
              </w:rPr>
            </w:pPr>
          </w:p>
        </w:tc>
        <w:tc>
          <w:tcPr>
            <w:tcW w:w="0" w:type="auto"/>
            <w:shd w:val="clear" w:color="auto" w:fill="auto"/>
            <w:vAlign w:val="bottom"/>
          </w:tcPr>
          <w:p w14:paraId="392C84B7" w14:textId="77777777" w:rsidR="00980E5F" w:rsidRDefault="00980E5F">
            <w:pPr>
              <w:rPr>
                <w:rFonts w:ascii="宋体"/>
              </w:rPr>
            </w:pPr>
          </w:p>
        </w:tc>
        <w:tc>
          <w:tcPr>
            <w:tcW w:w="0" w:type="auto"/>
            <w:shd w:val="clear" w:color="auto" w:fill="auto"/>
            <w:vAlign w:val="bottom"/>
          </w:tcPr>
          <w:p w14:paraId="392C84B8" w14:textId="77777777" w:rsidR="00980E5F" w:rsidRDefault="00980E5F">
            <w:pPr>
              <w:rPr>
                <w:rFonts w:ascii="宋体"/>
              </w:rPr>
            </w:pPr>
          </w:p>
        </w:tc>
        <w:tc>
          <w:tcPr>
            <w:tcW w:w="0" w:type="auto"/>
            <w:shd w:val="clear" w:color="auto" w:fill="auto"/>
            <w:vAlign w:val="bottom"/>
          </w:tcPr>
          <w:p w14:paraId="392C84B9" w14:textId="77777777" w:rsidR="00980E5F" w:rsidRDefault="00980E5F">
            <w:pPr>
              <w:rPr>
                <w:rFonts w:ascii="宋体"/>
              </w:rPr>
            </w:pPr>
          </w:p>
        </w:tc>
        <w:tc>
          <w:tcPr>
            <w:tcW w:w="0" w:type="auto"/>
            <w:shd w:val="clear" w:color="auto" w:fill="auto"/>
            <w:vAlign w:val="bottom"/>
          </w:tcPr>
          <w:p w14:paraId="392C84BA" w14:textId="77777777" w:rsidR="00980E5F" w:rsidRDefault="00980E5F">
            <w:pPr>
              <w:rPr>
                <w:rFonts w:ascii="宋体"/>
              </w:rPr>
            </w:pPr>
          </w:p>
        </w:tc>
        <w:tc>
          <w:tcPr>
            <w:tcW w:w="0" w:type="auto"/>
            <w:shd w:val="clear" w:color="auto" w:fill="auto"/>
            <w:vAlign w:val="bottom"/>
          </w:tcPr>
          <w:p w14:paraId="392C84BB" w14:textId="77777777" w:rsidR="00980E5F" w:rsidRDefault="00980E5F">
            <w:pPr>
              <w:rPr>
                <w:rFonts w:ascii="宋体"/>
              </w:rPr>
            </w:pPr>
          </w:p>
        </w:tc>
        <w:tc>
          <w:tcPr>
            <w:tcW w:w="0" w:type="auto"/>
            <w:shd w:val="clear" w:color="auto" w:fill="auto"/>
            <w:vAlign w:val="bottom"/>
          </w:tcPr>
          <w:p w14:paraId="392C84BC" w14:textId="77777777" w:rsidR="00980E5F" w:rsidRDefault="00980E5F">
            <w:pPr>
              <w:rPr>
                <w:rFonts w:ascii="宋体"/>
              </w:rPr>
            </w:pPr>
          </w:p>
        </w:tc>
        <w:tc>
          <w:tcPr>
            <w:tcW w:w="0" w:type="auto"/>
            <w:shd w:val="clear" w:color="auto" w:fill="auto"/>
            <w:vAlign w:val="bottom"/>
          </w:tcPr>
          <w:p w14:paraId="392C84BD" w14:textId="77777777" w:rsidR="00980E5F" w:rsidRDefault="00980E5F">
            <w:pPr>
              <w:rPr>
                <w:rFonts w:ascii="宋体"/>
              </w:rPr>
            </w:pPr>
          </w:p>
        </w:tc>
        <w:tc>
          <w:tcPr>
            <w:tcW w:w="0" w:type="auto"/>
            <w:shd w:val="clear" w:color="auto" w:fill="auto"/>
            <w:vAlign w:val="bottom"/>
          </w:tcPr>
          <w:p w14:paraId="392C84BE" w14:textId="77777777" w:rsidR="00980E5F" w:rsidRDefault="00980E5F">
            <w:pPr>
              <w:rPr>
                <w:rFonts w:ascii="宋体"/>
              </w:rPr>
            </w:pPr>
          </w:p>
        </w:tc>
      </w:tr>
      <w:tr w:rsidR="00980E5F" w14:paraId="392C84D0" w14:textId="77777777">
        <w:trPr>
          <w:jc w:val="center"/>
          <w:hidden/>
        </w:trPr>
        <w:tc>
          <w:tcPr>
            <w:tcW w:w="0" w:type="auto"/>
            <w:gridSpan w:val="3"/>
            <w:shd w:val="clear" w:color="auto" w:fill="auto"/>
            <w:vAlign w:val="bottom"/>
          </w:tcPr>
          <w:p w14:paraId="392C84C0" w14:textId="77777777" w:rsidR="00980E5F" w:rsidRDefault="00980E5F">
            <w:pPr>
              <w:rPr>
                <w:rFonts w:ascii="宋体"/>
                <w:vanish/>
              </w:rPr>
            </w:pPr>
          </w:p>
        </w:tc>
        <w:tc>
          <w:tcPr>
            <w:tcW w:w="0" w:type="auto"/>
            <w:gridSpan w:val="3"/>
            <w:shd w:val="clear" w:color="auto" w:fill="auto"/>
            <w:vAlign w:val="bottom"/>
          </w:tcPr>
          <w:p w14:paraId="392C84C1" w14:textId="77777777" w:rsidR="00980E5F" w:rsidRDefault="00980E5F">
            <w:pPr>
              <w:rPr>
                <w:rFonts w:ascii="宋体"/>
                <w:vanish/>
              </w:rPr>
            </w:pPr>
          </w:p>
        </w:tc>
        <w:tc>
          <w:tcPr>
            <w:tcW w:w="0" w:type="auto"/>
            <w:gridSpan w:val="3"/>
            <w:shd w:val="clear" w:color="auto" w:fill="auto"/>
            <w:vAlign w:val="bottom"/>
          </w:tcPr>
          <w:p w14:paraId="392C84C2" w14:textId="77777777" w:rsidR="00980E5F" w:rsidRDefault="00980E5F">
            <w:pPr>
              <w:rPr>
                <w:rFonts w:ascii="宋体"/>
                <w:vanish/>
              </w:rPr>
            </w:pPr>
          </w:p>
        </w:tc>
        <w:tc>
          <w:tcPr>
            <w:tcW w:w="0" w:type="auto"/>
            <w:gridSpan w:val="3"/>
            <w:shd w:val="clear" w:color="auto" w:fill="auto"/>
            <w:vAlign w:val="bottom"/>
          </w:tcPr>
          <w:p w14:paraId="392C84C3" w14:textId="77777777" w:rsidR="00980E5F" w:rsidRDefault="00980E5F">
            <w:pPr>
              <w:rPr>
                <w:rFonts w:ascii="宋体"/>
                <w:vanish/>
              </w:rPr>
            </w:pPr>
          </w:p>
        </w:tc>
        <w:tc>
          <w:tcPr>
            <w:tcW w:w="0" w:type="auto"/>
            <w:shd w:val="clear" w:color="auto" w:fill="auto"/>
            <w:vAlign w:val="bottom"/>
          </w:tcPr>
          <w:p w14:paraId="392C84C4" w14:textId="77777777" w:rsidR="00980E5F" w:rsidRDefault="00980E5F">
            <w:pPr>
              <w:rPr>
                <w:rFonts w:ascii="宋体"/>
              </w:rPr>
            </w:pPr>
          </w:p>
        </w:tc>
        <w:tc>
          <w:tcPr>
            <w:tcW w:w="0" w:type="auto"/>
            <w:shd w:val="clear" w:color="auto" w:fill="auto"/>
            <w:vAlign w:val="bottom"/>
          </w:tcPr>
          <w:p w14:paraId="392C84C5" w14:textId="77777777" w:rsidR="00980E5F" w:rsidRDefault="00980E5F">
            <w:pPr>
              <w:rPr>
                <w:rFonts w:ascii="宋体"/>
              </w:rPr>
            </w:pPr>
          </w:p>
        </w:tc>
        <w:tc>
          <w:tcPr>
            <w:tcW w:w="0" w:type="auto"/>
            <w:shd w:val="clear" w:color="auto" w:fill="auto"/>
            <w:vAlign w:val="bottom"/>
          </w:tcPr>
          <w:p w14:paraId="392C84C6" w14:textId="77777777" w:rsidR="00980E5F" w:rsidRDefault="00980E5F">
            <w:pPr>
              <w:rPr>
                <w:rFonts w:ascii="宋体"/>
              </w:rPr>
            </w:pPr>
          </w:p>
        </w:tc>
        <w:tc>
          <w:tcPr>
            <w:tcW w:w="0" w:type="auto"/>
            <w:shd w:val="clear" w:color="auto" w:fill="auto"/>
            <w:vAlign w:val="bottom"/>
          </w:tcPr>
          <w:p w14:paraId="392C84C7" w14:textId="77777777" w:rsidR="00980E5F" w:rsidRDefault="00980E5F">
            <w:pPr>
              <w:rPr>
                <w:rFonts w:ascii="宋体"/>
              </w:rPr>
            </w:pPr>
          </w:p>
        </w:tc>
        <w:tc>
          <w:tcPr>
            <w:tcW w:w="0" w:type="auto"/>
            <w:shd w:val="clear" w:color="auto" w:fill="auto"/>
            <w:vAlign w:val="bottom"/>
          </w:tcPr>
          <w:p w14:paraId="392C84C8" w14:textId="77777777" w:rsidR="00980E5F" w:rsidRDefault="00980E5F">
            <w:pPr>
              <w:rPr>
                <w:rFonts w:ascii="宋体"/>
              </w:rPr>
            </w:pPr>
          </w:p>
        </w:tc>
        <w:tc>
          <w:tcPr>
            <w:tcW w:w="0" w:type="auto"/>
            <w:shd w:val="clear" w:color="auto" w:fill="auto"/>
            <w:vAlign w:val="bottom"/>
          </w:tcPr>
          <w:p w14:paraId="392C84C9" w14:textId="77777777" w:rsidR="00980E5F" w:rsidRDefault="00980E5F">
            <w:pPr>
              <w:rPr>
                <w:rFonts w:ascii="宋体"/>
              </w:rPr>
            </w:pPr>
          </w:p>
        </w:tc>
        <w:tc>
          <w:tcPr>
            <w:tcW w:w="0" w:type="auto"/>
            <w:shd w:val="clear" w:color="auto" w:fill="auto"/>
            <w:vAlign w:val="bottom"/>
          </w:tcPr>
          <w:p w14:paraId="392C84CA" w14:textId="77777777" w:rsidR="00980E5F" w:rsidRDefault="00980E5F">
            <w:pPr>
              <w:rPr>
                <w:rFonts w:ascii="宋体"/>
              </w:rPr>
            </w:pPr>
          </w:p>
        </w:tc>
        <w:tc>
          <w:tcPr>
            <w:tcW w:w="0" w:type="auto"/>
            <w:shd w:val="clear" w:color="auto" w:fill="auto"/>
            <w:vAlign w:val="bottom"/>
          </w:tcPr>
          <w:p w14:paraId="392C84CB" w14:textId="77777777" w:rsidR="00980E5F" w:rsidRDefault="00980E5F">
            <w:pPr>
              <w:rPr>
                <w:rFonts w:ascii="宋体"/>
              </w:rPr>
            </w:pPr>
          </w:p>
        </w:tc>
        <w:tc>
          <w:tcPr>
            <w:tcW w:w="0" w:type="auto"/>
            <w:shd w:val="clear" w:color="auto" w:fill="auto"/>
            <w:vAlign w:val="bottom"/>
          </w:tcPr>
          <w:p w14:paraId="392C84CC" w14:textId="77777777" w:rsidR="00980E5F" w:rsidRDefault="00980E5F">
            <w:pPr>
              <w:rPr>
                <w:rFonts w:ascii="宋体"/>
              </w:rPr>
            </w:pPr>
          </w:p>
        </w:tc>
        <w:tc>
          <w:tcPr>
            <w:tcW w:w="0" w:type="auto"/>
            <w:shd w:val="clear" w:color="auto" w:fill="auto"/>
            <w:vAlign w:val="bottom"/>
          </w:tcPr>
          <w:p w14:paraId="392C84CD" w14:textId="77777777" w:rsidR="00980E5F" w:rsidRDefault="00980E5F">
            <w:pPr>
              <w:rPr>
                <w:rFonts w:ascii="宋体"/>
              </w:rPr>
            </w:pPr>
          </w:p>
        </w:tc>
        <w:tc>
          <w:tcPr>
            <w:tcW w:w="0" w:type="auto"/>
            <w:shd w:val="clear" w:color="auto" w:fill="auto"/>
            <w:vAlign w:val="bottom"/>
          </w:tcPr>
          <w:p w14:paraId="392C84CE" w14:textId="77777777" w:rsidR="00980E5F" w:rsidRDefault="00980E5F">
            <w:pPr>
              <w:rPr>
                <w:rFonts w:ascii="宋体"/>
              </w:rPr>
            </w:pPr>
          </w:p>
        </w:tc>
        <w:tc>
          <w:tcPr>
            <w:tcW w:w="0" w:type="auto"/>
            <w:shd w:val="clear" w:color="auto" w:fill="auto"/>
            <w:vAlign w:val="bottom"/>
          </w:tcPr>
          <w:p w14:paraId="392C84CF" w14:textId="77777777" w:rsidR="00980E5F" w:rsidRDefault="00980E5F">
            <w:pPr>
              <w:rPr>
                <w:rFonts w:ascii="宋体"/>
              </w:rPr>
            </w:pPr>
          </w:p>
        </w:tc>
      </w:tr>
      <w:tr w:rsidR="00980E5F" w14:paraId="392C84D9" w14:textId="77777777">
        <w:trPr>
          <w:jc w:val="center"/>
          <w:hidden/>
        </w:trPr>
        <w:tc>
          <w:tcPr>
            <w:tcW w:w="0" w:type="auto"/>
            <w:gridSpan w:val="3"/>
            <w:shd w:val="clear" w:color="auto" w:fill="auto"/>
            <w:vAlign w:val="bottom"/>
          </w:tcPr>
          <w:p w14:paraId="392C84D1" w14:textId="77777777" w:rsidR="00980E5F" w:rsidRDefault="00980E5F">
            <w:pPr>
              <w:rPr>
                <w:rFonts w:ascii="宋体"/>
                <w:vanish/>
              </w:rPr>
            </w:pPr>
          </w:p>
        </w:tc>
        <w:tc>
          <w:tcPr>
            <w:tcW w:w="0" w:type="auto"/>
            <w:gridSpan w:val="3"/>
            <w:shd w:val="clear" w:color="auto" w:fill="auto"/>
            <w:vAlign w:val="bottom"/>
          </w:tcPr>
          <w:p w14:paraId="392C84D2" w14:textId="77777777" w:rsidR="00980E5F" w:rsidRDefault="00980E5F">
            <w:pPr>
              <w:rPr>
                <w:rFonts w:ascii="宋体"/>
                <w:vanish/>
              </w:rPr>
            </w:pPr>
          </w:p>
        </w:tc>
        <w:tc>
          <w:tcPr>
            <w:tcW w:w="0" w:type="auto"/>
            <w:gridSpan w:val="3"/>
            <w:shd w:val="clear" w:color="auto" w:fill="auto"/>
            <w:vAlign w:val="bottom"/>
          </w:tcPr>
          <w:p w14:paraId="392C84D3" w14:textId="77777777" w:rsidR="00980E5F" w:rsidRDefault="00980E5F">
            <w:pPr>
              <w:rPr>
                <w:rFonts w:ascii="宋体"/>
                <w:vanish/>
              </w:rPr>
            </w:pPr>
          </w:p>
        </w:tc>
        <w:tc>
          <w:tcPr>
            <w:tcW w:w="0" w:type="auto"/>
            <w:gridSpan w:val="3"/>
            <w:shd w:val="clear" w:color="auto" w:fill="auto"/>
            <w:vAlign w:val="bottom"/>
          </w:tcPr>
          <w:p w14:paraId="392C84D4" w14:textId="77777777" w:rsidR="00980E5F" w:rsidRDefault="00980E5F">
            <w:pPr>
              <w:rPr>
                <w:rFonts w:ascii="宋体"/>
                <w:vanish/>
              </w:rPr>
            </w:pPr>
          </w:p>
        </w:tc>
        <w:tc>
          <w:tcPr>
            <w:tcW w:w="0" w:type="auto"/>
            <w:gridSpan w:val="3"/>
            <w:shd w:val="clear" w:color="auto" w:fill="auto"/>
            <w:vAlign w:val="bottom"/>
          </w:tcPr>
          <w:p w14:paraId="392C84D5" w14:textId="77777777" w:rsidR="00980E5F" w:rsidRDefault="00980E5F">
            <w:pPr>
              <w:rPr>
                <w:rFonts w:ascii="宋体"/>
                <w:vanish/>
              </w:rPr>
            </w:pPr>
          </w:p>
        </w:tc>
        <w:tc>
          <w:tcPr>
            <w:tcW w:w="0" w:type="auto"/>
            <w:gridSpan w:val="3"/>
            <w:shd w:val="clear" w:color="auto" w:fill="auto"/>
            <w:vAlign w:val="bottom"/>
          </w:tcPr>
          <w:p w14:paraId="392C84D6" w14:textId="77777777" w:rsidR="00980E5F" w:rsidRDefault="00980E5F">
            <w:pPr>
              <w:rPr>
                <w:rFonts w:ascii="宋体"/>
                <w:vanish/>
              </w:rPr>
            </w:pPr>
          </w:p>
        </w:tc>
        <w:tc>
          <w:tcPr>
            <w:tcW w:w="0" w:type="auto"/>
            <w:gridSpan w:val="3"/>
            <w:shd w:val="clear" w:color="auto" w:fill="auto"/>
            <w:vAlign w:val="bottom"/>
          </w:tcPr>
          <w:p w14:paraId="392C84D7" w14:textId="77777777" w:rsidR="00980E5F" w:rsidRDefault="00980E5F">
            <w:pPr>
              <w:rPr>
                <w:rFonts w:ascii="宋体"/>
                <w:vanish/>
              </w:rPr>
            </w:pPr>
          </w:p>
        </w:tc>
        <w:tc>
          <w:tcPr>
            <w:tcW w:w="0" w:type="auto"/>
            <w:gridSpan w:val="3"/>
            <w:shd w:val="clear" w:color="auto" w:fill="auto"/>
            <w:vAlign w:val="bottom"/>
          </w:tcPr>
          <w:p w14:paraId="392C84D8" w14:textId="77777777" w:rsidR="00980E5F" w:rsidRDefault="00980E5F">
            <w:pPr>
              <w:rPr>
                <w:rFonts w:ascii="宋体"/>
                <w:vanish/>
              </w:rPr>
            </w:pPr>
          </w:p>
        </w:tc>
      </w:tr>
      <w:tr w:rsidR="00980E5F" w14:paraId="392C84E2" w14:textId="77777777">
        <w:trPr>
          <w:jc w:val="center"/>
          <w:hidden/>
        </w:trPr>
        <w:tc>
          <w:tcPr>
            <w:tcW w:w="0" w:type="auto"/>
            <w:gridSpan w:val="3"/>
            <w:shd w:val="clear" w:color="auto" w:fill="auto"/>
            <w:vAlign w:val="bottom"/>
          </w:tcPr>
          <w:p w14:paraId="392C84DA" w14:textId="77777777" w:rsidR="00980E5F" w:rsidRDefault="00980E5F">
            <w:pPr>
              <w:rPr>
                <w:rFonts w:ascii="宋体"/>
                <w:vanish/>
              </w:rPr>
            </w:pPr>
          </w:p>
        </w:tc>
        <w:tc>
          <w:tcPr>
            <w:tcW w:w="0" w:type="auto"/>
            <w:gridSpan w:val="3"/>
            <w:shd w:val="clear" w:color="auto" w:fill="auto"/>
            <w:vAlign w:val="bottom"/>
          </w:tcPr>
          <w:p w14:paraId="392C84DB" w14:textId="77777777" w:rsidR="00980E5F" w:rsidRDefault="00980E5F">
            <w:pPr>
              <w:rPr>
                <w:rFonts w:ascii="宋体"/>
                <w:vanish/>
              </w:rPr>
            </w:pPr>
          </w:p>
        </w:tc>
        <w:tc>
          <w:tcPr>
            <w:tcW w:w="0" w:type="auto"/>
            <w:gridSpan w:val="3"/>
            <w:shd w:val="clear" w:color="auto" w:fill="auto"/>
            <w:vAlign w:val="bottom"/>
          </w:tcPr>
          <w:p w14:paraId="392C84DC" w14:textId="77777777" w:rsidR="00980E5F" w:rsidRDefault="00980E5F">
            <w:pPr>
              <w:rPr>
                <w:rFonts w:ascii="宋体"/>
                <w:vanish/>
              </w:rPr>
            </w:pPr>
          </w:p>
        </w:tc>
        <w:tc>
          <w:tcPr>
            <w:tcW w:w="0" w:type="auto"/>
            <w:gridSpan w:val="3"/>
            <w:shd w:val="clear" w:color="auto" w:fill="auto"/>
            <w:vAlign w:val="bottom"/>
          </w:tcPr>
          <w:p w14:paraId="392C84DD" w14:textId="77777777" w:rsidR="00980E5F" w:rsidRDefault="00980E5F">
            <w:pPr>
              <w:rPr>
                <w:rFonts w:ascii="宋体"/>
                <w:vanish/>
              </w:rPr>
            </w:pPr>
          </w:p>
        </w:tc>
        <w:tc>
          <w:tcPr>
            <w:tcW w:w="0" w:type="auto"/>
            <w:gridSpan w:val="3"/>
            <w:shd w:val="clear" w:color="auto" w:fill="auto"/>
            <w:vAlign w:val="bottom"/>
          </w:tcPr>
          <w:p w14:paraId="392C84DE" w14:textId="77777777" w:rsidR="00980E5F" w:rsidRDefault="00980E5F">
            <w:pPr>
              <w:rPr>
                <w:rFonts w:ascii="宋体"/>
                <w:vanish/>
              </w:rPr>
            </w:pPr>
          </w:p>
        </w:tc>
        <w:tc>
          <w:tcPr>
            <w:tcW w:w="0" w:type="auto"/>
            <w:gridSpan w:val="3"/>
            <w:shd w:val="clear" w:color="auto" w:fill="auto"/>
            <w:vAlign w:val="bottom"/>
          </w:tcPr>
          <w:p w14:paraId="392C84DF" w14:textId="77777777" w:rsidR="00980E5F" w:rsidRDefault="00980E5F">
            <w:pPr>
              <w:rPr>
                <w:rFonts w:ascii="宋体"/>
                <w:vanish/>
              </w:rPr>
            </w:pPr>
          </w:p>
        </w:tc>
        <w:tc>
          <w:tcPr>
            <w:tcW w:w="0" w:type="auto"/>
            <w:gridSpan w:val="3"/>
            <w:shd w:val="clear" w:color="auto" w:fill="auto"/>
            <w:vAlign w:val="bottom"/>
          </w:tcPr>
          <w:p w14:paraId="392C84E0" w14:textId="77777777" w:rsidR="00980E5F" w:rsidRDefault="00980E5F">
            <w:pPr>
              <w:rPr>
                <w:rFonts w:ascii="宋体"/>
                <w:vanish/>
              </w:rPr>
            </w:pPr>
          </w:p>
        </w:tc>
        <w:tc>
          <w:tcPr>
            <w:tcW w:w="0" w:type="auto"/>
            <w:gridSpan w:val="3"/>
            <w:shd w:val="clear" w:color="auto" w:fill="auto"/>
            <w:vAlign w:val="bottom"/>
          </w:tcPr>
          <w:p w14:paraId="392C84E1" w14:textId="77777777" w:rsidR="00980E5F" w:rsidRDefault="00980E5F">
            <w:pPr>
              <w:rPr>
                <w:rFonts w:ascii="宋体"/>
                <w:vanish/>
              </w:rPr>
            </w:pPr>
          </w:p>
        </w:tc>
      </w:tr>
      <w:tr w:rsidR="00980E5F" w14:paraId="392C84EB" w14:textId="77777777">
        <w:trPr>
          <w:jc w:val="center"/>
          <w:hidden/>
        </w:trPr>
        <w:tc>
          <w:tcPr>
            <w:tcW w:w="0" w:type="auto"/>
            <w:gridSpan w:val="3"/>
            <w:shd w:val="clear" w:color="auto" w:fill="auto"/>
            <w:vAlign w:val="bottom"/>
          </w:tcPr>
          <w:p w14:paraId="392C84E3" w14:textId="77777777" w:rsidR="00980E5F" w:rsidRDefault="00980E5F">
            <w:pPr>
              <w:rPr>
                <w:rFonts w:ascii="宋体"/>
                <w:vanish/>
              </w:rPr>
            </w:pPr>
          </w:p>
        </w:tc>
        <w:tc>
          <w:tcPr>
            <w:tcW w:w="0" w:type="auto"/>
            <w:gridSpan w:val="3"/>
            <w:shd w:val="clear" w:color="auto" w:fill="auto"/>
            <w:vAlign w:val="bottom"/>
          </w:tcPr>
          <w:p w14:paraId="392C84E4" w14:textId="77777777" w:rsidR="00980E5F" w:rsidRDefault="00980E5F">
            <w:pPr>
              <w:rPr>
                <w:rFonts w:ascii="宋体"/>
                <w:vanish/>
              </w:rPr>
            </w:pPr>
          </w:p>
        </w:tc>
        <w:tc>
          <w:tcPr>
            <w:tcW w:w="0" w:type="auto"/>
            <w:gridSpan w:val="3"/>
            <w:shd w:val="clear" w:color="auto" w:fill="auto"/>
            <w:vAlign w:val="bottom"/>
          </w:tcPr>
          <w:p w14:paraId="392C84E5" w14:textId="77777777" w:rsidR="00980E5F" w:rsidRDefault="00980E5F">
            <w:pPr>
              <w:rPr>
                <w:rFonts w:ascii="宋体"/>
                <w:vanish/>
              </w:rPr>
            </w:pPr>
          </w:p>
        </w:tc>
        <w:tc>
          <w:tcPr>
            <w:tcW w:w="0" w:type="auto"/>
            <w:gridSpan w:val="3"/>
            <w:shd w:val="clear" w:color="auto" w:fill="auto"/>
            <w:vAlign w:val="bottom"/>
          </w:tcPr>
          <w:p w14:paraId="392C84E6" w14:textId="77777777" w:rsidR="00980E5F" w:rsidRDefault="00980E5F">
            <w:pPr>
              <w:rPr>
                <w:rFonts w:ascii="宋体"/>
                <w:vanish/>
              </w:rPr>
            </w:pPr>
          </w:p>
        </w:tc>
        <w:tc>
          <w:tcPr>
            <w:tcW w:w="0" w:type="auto"/>
            <w:gridSpan w:val="3"/>
            <w:shd w:val="clear" w:color="auto" w:fill="auto"/>
            <w:vAlign w:val="bottom"/>
          </w:tcPr>
          <w:p w14:paraId="392C84E7" w14:textId="77777777" w:rsidR="00980E5F" w:rsidRDefault="00980E5F">
            <w:pPr>
              <w:rPr>
                <w:rFonts w:ascii="宋体"/>
                <w:vanish/>
              </w:rPr>
            </w:pPr>
          </w:p>
        </w:tc>
        <w:tc>
          <w:tcPr>
            <w:tcW w:w="0" w:type="auto"/>
            <w:gridSpan w:val="3"/>
            <w:shd w:val="clear" w:color="auto" w:fill="auto"/>
            <w:vAlign w:val="bottom"/>
          </w:tcPr>
          <w:p w14:paraId="392C84E8" w14:textId="77777777" w:rsidR="00980E5F" w:rsidRDefault="00980E5F">
            <w:pPr>
              <w:rPr>
                <w:rFonts w:ascii="宋体"/>
                <w:vanish/>
              </w:rPr>
            </w:pPr>
          </w:p>
        </w:tc>
        <w:tc>
          <w:tcPr>
            <w:tcW w:w="0" w:type="auto"/>
            <w:gridSpan w:val="3"/>
            <w:shd w:val="clear" w:color="auto" w:fill="auto"/>
            <w:vAlign w:val="bottom"/>
          </w:tcPr>
          <w:p w14:paraId="392C84E9" w14:textId="77777777" w:rsidR="00980E5F" w:rsidRDefault="00980E5F">
            <w:pPr>
              <w:rPr>
                <w:rFonts w:ascii="宋体"/>
                <w:vanish/>
              </w:rPr>
            </w:pPr>
          </w:p>
        </w:tc>
        <w:tc>
          <w:tcPr>
            <w:tcW w:w="0" w:type="auto"/>
            <w:gridSpan w:val="3"/>
            <w:shd w:val="clear" w:color="auto" w:fill="auto"/>
            <w:vAlign w:val="bottom"/>
          </w:tcPr>
          <w:p w14:paraId="392C84EA" w14:textId="77777777" w:rsidR="00980E5F" w:rsidRDefault="00980E5F">
            <w:pPr>
              <w:rPr>
                <w:rFonts w:ascii="宋体"/>
                <w:vanish/>
              </w:rPr>
            </w:pPr>
          </w:p>
        </w:tc>
      </w:tr>
      <w:tr w:rsidR="00980E5F" w14:paraId="392C84F4" w14:textId="77777777">
        <w:trPr>
          <w:jc w:val="center"/>
          <w:hidden/>
        </w:trPr>
        <w:tc>
          <w:tcPr>
            <w:tcW w:w="0" w:type="auto"/>
            <w:gridSpan w:val="3"/>
            <w:shd w:val="clear" w:color="auto" w:fill="auto"/>
            <w:vAlign w:val="bottom"/>
          </w:tcPr>
          <w:p w14:paraId="392C84EC" w14:textId="77777777" w:rsidR="00980E5F" w:rsidRDefault="00980E5F">
            <w:pPr>
              <w:rPr>
                <w:rFonts w:ascii="宋体"/>
                <w:vanish/>
              </w:rPr>
            </w:pPr>
          </w:p>
        </w:tc>
        <w:tc>
          <w:tcPr>
            <w:tcW w:w="0" w:type="auto"/>
            <w:gridSpan w:val="3"/>
            <w:shd w:val="clear" w:color="auto" w:fill="auto"/>
            <w:vAlign w:val="bottom"/>
          </w:tcPr>
          <w:p w14:paraId="392C84ED" w14:textId="77777777" w:rsidR="00980E5F" w:rsidRDefault="00980E5F">
            <w:pPr>
              <w:rPr>
                <w:rFonts w:ascii="宋体"/>
                <w:vanish/>
              </w:rPr>
            </w:pPr>
          </w:p>
        </w:tc>
        <w:tc>
          <w:tcPr>
            <w:tcW w:w="0" w:type="auto"/>
            <w:gridSpan w:val="3"/>
            <w:shd w:val="clear" w:color="auto" w:fill="auto"/>
            <w:vAlign w:val="bottom"/>
          </w:tcPr>
          <w:p w14:paraId="392C84EE" w14:textId="77777777" w:rsidR="00980E5F" w:rsidRDefault="00980E5F">
            <w:pPr>
              <w:rPr>
                <w:rFonts w:ascii="宋体"/>
                <w:vanish/>
              </w:rPr>
            </w:pPr>
          </w:p>
        </w:tc>
        <w:tc>
          <w:tcPr>
            <w:tcW w:w="0" w:type="auto"/>
            <w:gridSpan w:val="3"/>
            <w:shd w:val="clear" w:color="auto" w:fill="auto"/>
            <w:vAlign w:val="bottom"/>
          </w:tcPr>
          <w:p w14:paraId="392C84EF" w14:textId="77777777" w:rsidR="00980E5F" w:rsidRDefault="00980E5F">
            <w:pPr>
              <w:rPr>
                <w:rFonts w:ascii="宋体"/>
                <w:vanish/>
              </w:rPr>
            </w:pPr>
          </w:p>
        </w:tc>
        <w:tc>
          <w:tcPr>
            <w:tcW w:w="0" w:type="auto"/>
            <w:gridSpan w:val="3"/>
            <w:shd w:val="clear" w:color="auto" w:fill="auto"/>
            <w:vAlign w:val="bottom"/>
          </w:tcPr>
          <w:p w14:paraId="392C84F0" w14:textId="77777777" w:rsidR="00980E5F" w:rsidRDefault="00980E5F">
            <w:pPr>
              <w:rPr>
                <w:rFonts w:ascii="宋体"/>
                <w:vanish/>
              </w:rPr>
            </w:pPr>
          </w:p>
        </w:tc>
        <w:tc>
          <w:tcPr>
            <w:tcW w:w="0" w:type="auto"/>
            <w:gridSpan w:val="3"/>
            <w:shd w:val="clear" w:color="auto" w:fill="auto"/>
            <w:vAlign w:val="bottom"/>
          </w:tcPr>
          <w:p w14:paraId="392C84F1" w14:textId="77777777" w:rsidR="00980E5F" w:rsidRDefault="00980E5F">
            <w:pPr>
              <w:rPr>
                <w:rFonts w:ascii="宋体"/>
                <w:vanish/>
              </w:rPr>
            </w:pPr>
          </w:p>
        </w:tc>
        <w:tc>
          <w:tcPr>
            <w:tcW w:w="0" w:type="auto"/>
            <w:gridSpan w:val="3"/>
            <w:shd w:val="clear" w:color="auto" w:fill="auto"/>
            <w:vAlign w:val="bottom"/>
          </w:tcPr>
          <w:p w14:paraId="392C84F2" w14:textId="77777777" w:rsidR="00980E5F" w:rsidRDefault="00980E5F">
            <w:pPr>
              <w:rPr>
                <w:rFonts w:ascii="宋体"/>
                <w:vanish/>
              </w:rPr>
            </w:pPr>
          </w:p>
        </w:tc>
        <w:tc>
          <w:tcPr>
            <w:tcW w:w="0" w:type="auto"/>
            <w:gridSpan w:val="3"/>
            <w:shd w:val="clear" w:color="auto" w:fill="auto"/>
            <w:vAlign w:val="bottom"/>
          </w:tcPr>
          <w:p w14:paraId="392C84F3" w14:textId="77777777" w:rsidR="00980E5F" w:rsidRDefault="00980E5F">
            <w:pPr>
              <w:rPr>
                <w:rFonts w:ascii="宋体"/>
                <w:vanish/>
              </w:rPr>
            </w:pPr>
          </w:p>
        </w:tc>
      </w:tr>
      <w:tr w:rsidR="00980E5F" w14:paraId="392C84FD" w14:textId="77777777">
        <w:trPr>
          <w:jc w:val="center"/>
          <w:hidden/>
        </w:trPr>
        <w:tc>
          <w:tcPr>
            <w:tcW w:w="0" w:type="auto"/>
            <w:gridSpan w:val="3"/>
            <w:shd w:val="clear" w:color="auto" w:fill="auto"/>
            <w:vAlign w:val="bottom"/>
          </w:tcPr>
          <w:p w14:paraId="392C84F5" w14:textId="77777777" w:rsidR="00980E5F" w:rsidRDefault="00980E5F">
            <w:pPr>
              <w:rPr>
                <w:rFonts w:ascii="宋体"/>
                <w:vanish/>
              </w:rPr>
            </w:pPr>
          </w:p>
        </w:tc>
        <w:tc>
          <w:tcPr>
            <w:tcW w:w="0" w:type="auto"/>
            <w:gridSpan w:val="3"/>
            <w:shd w:val="clear" w:color="auto" w:fill="auto"/>
            <w:vAlign w:val="bottom"/>
          </w:tcPr>
          <w:p w14:paraId="392C84F6" w14:textId="77777777" w:rsidR="00980E5F" w:rsidRDefault="00980E5F">
            <w:pPr>
              <w:rPr>
                <w:rFonts w:ascii="宋体"/>
                <w:vanish/>
              </w:rPr>
            </w:pPr>
          </w:p>
        </w:tc>
        <w:tc>
          <w:tcPr>
            <w:tcW w:w="0" w:type="auto"/>
            <w:gridSpan w:val="3"/>
            <w:shd w:val="clear" w:color="auto" w:fill="auto"/>
            <w:vAlign w:val="bottom"/>
          </w:tcPr>
          <w:p w14:paraId="392C84F7" w14:textId="77777777" w:rsidR="00980E5F" w:rsidRDefault="00980E5F">
            <w:pPr>
              <w:rPr>
                <w:rFonts w:ascii="宋体"/>
                <w:vanish/>
              </w:rPr>
            </w:pPr>
          </w:p>
        </w:tc>
        <w:tc>
          <w:tcPr>
            <w:tcW w:w="0" w:type="auto"/>
            <w:gridSpan w:val="3"/>
            <w:shd w:val="clear" w:color="auto" w:fill="auto"/>
            <w:vAlign w:val="bottom"/>
          </w:tcPr>
          <w:p w14:paraId="392C84F8" w14:textId="77777777" w:rsidR="00980E5F" w:rsidRDefault="00980E5F">
            <w:pPr>
              <w:rPr>
                <w:rFonts w:ascii="宋体"/>
                <w:vanish/>
              </w:rPr>
            </w:pPr>
          </w:p>
        </w:tc>
        <w:tc>
          <w:tcPr>
            <w:tcW w:w="0" w:type="auto"/>
            <w:gridSpan w:val="3"/>
            <w:shd w:val="clear" w:color="auto" w:fill="auto"/>
            <w:vAlign w:val="bottom"/>
          </w:tcPr>
          <w:p w14:paraId="392C84F9" w14:textId="77777777" w:rsidR="00980E5F" w:rsidRDefault="00980E5F">
            <w:pPr>
              <w:rPr>
                <w:rFonts w:ascii="宋体"/>
                <w:vanish/>
              </w:rPr>
            </w:pPr>
          </w:p>
        </w:tc>
        <w:tc>
          <w:tcPr>
            <w:tcW w:w="0" w:type="auto"/>
            <w:gridSpan w:val="3"/>
            <w:shd w:val="clear" w:color="auto" w:fill="auto"/>
            <w:vAlign w:val="bottom"/>
          </w:tcPr>
          <w:p w14:paraId="392C84FA" w14:textId="77777777" w:rsidR="00980E5F" w:rsidRDefault="00980E5F">
            <w:pPr>
              <w:rPr>
                <w:rFonts w:ascii="宋体"/>
                <w:vanish/>
              </w:rPr>
            </w:pPr>
          </w:p>
        </w:tc>
        <w:tc>
          <w:tcPr>
            <w:tcW w:w="0" w:type="auto"/>
            <w:gridSpan w:val="3"/>
            <w:shd w:val="clear" w:color="auto" w:fill="auto"/>
            <w:vAlign w:val="bottom"/>
          </w:tcPr>
          <w:p w14:paraId="392C84FB" w14:textId="77777777" w:rsidR="00980E5F" w:rsidRDefault="00980E5F">
            <w:pPr>
              <w:rPr>
                <w:rFonts w:ascii="宋体"/>
                <w:vanish/>
              </w:rPr>
            </w:pPr>
          </w:p>
        </w:tc>
        <w:tc>
          <w:tcPr>
            <w:tcW w:w="0" w:type="auto"/>
            <w:gridSpan w:val="3"/>
            <w:shd w:val="clear" w:color="auto" w:fill="auto"/>
            <w:vAlign w:val="bottom"/>
          </w:tcPr>
          <w:p w14:paraId="392C84FC" w14:textId="77777777" w:rsidR="00980E5F" w:rsidRDefault="00980E5F">
            <w:pPr>
              <w:rPr>
                <w:rFonts w:ascii="宋体"/>
                <w:vanish/>
              </w:rPr>
            </w:pPr>
          </w:p>
        </w:tc>
      </w:tr>
      <w:tr w:rsidR="00980E5F" w14:paraId="392C8512" w14:textId="77777777">
        <w:trPr>
          <w:jc w:val="center"/>
          <w:hidden/>
        </w:trPr>
        <w:tc>
          <w:tcPr>
            <w:tcW w:w="0" w:type="auto"/>
            <w:gridSpan w:val="3"/>
            <w:shd w:val="clear" w:color="auto" w:fill="auto"/>
            <w:vAlign w:val="bottom"/>
          </w:tcPr>
          <w:p w14:paraId="392C84FE" w14:textId="77777777" w:rsidR="00980E5F" w:rsidRDefault="00980E5F">
            <w:pPr>
              <w:rPr>
                <w:rFonts w:ascii="宋体"/>
                <w:vanish/>
              </w:rPr>
            </w:pPr>
          </w:p>
        </w:tc>
        <w:tc>
          <w:tcPr>
            <w:tcW w:w="0" w:type="auto"/>
            <w:gridSpan w:val="3"/>
            <w:shd w:val="clear" w:color="auto" w:fill="auto"/>
            <w:vAlign w:val="bottom"/>
          </w:tcPr>
          <w:p w14:paraId="392C84FF" w14:textId="77777777" w:rsidR="00980E5F" w:rsidRDefault="00980E5F">
            <w:pPr>
              <w:rPr>
                <w:rFonts w:ascii="宋体"/>
                <w:vanish/>
              </w:rPr>
            </w:pPr>
          </w:p>
        </w:tc>
        <w:tc>
          <w:tcPr>
            <w:tcW w:w="0" w:type="auto"/>
            <w:shd w:val="clear" w:color="auto" w:fill="auto"/>
            <w:vAlign w:val="bottom"/>
          </w:tcPr>
          <w:p w14:paraId="392C8500" w14:textId="77777777" w:rsidR="00980E5F" w:rsidRDefault="00980E5F">
            <w:pPr>
              <w:rPr>
                <w:rFonts w:ascii="宋体"/>
              </w:rPr>
            </w:pPr>
          </w:p>
        </w:tc>
        <w:tc>
          <w:tcPr>
            <w:tcW w:w="0" w:type="auto"/>
            <w:shd w:val="clear" w:color="auto" w:fill="auto"/>
            <w:vAlign w:val="bottom"/>
          </w:tcPr>
          <w:p w14:paraId="392C8501" w14:textId="77777777" w:rsidR="00980E5F" w:rsidRDefault="00980E5F">
            <w:pPr>
              <w:rPr>
                <w:rFonts w:ascii="宋体"/>
              </w:rPr>
            </w:pPr>
          </w:p>
        </w:tc>
        <w:tc>
          <w:tcPr>
            <w:tcW w:w="0" w:type="auto"/>
            <w:shd w:val="clear" w:color="auto" w:fill="auto"/>
            <w:vAlign w:val="bottom"/>
          </w:tcPr>
          <w:p w14:paraId="392C8502" w14:textId="77777777" w:rsidR="00980E5F" w:rsidRDefault="00980E5F">
            <w:pPr>
              <w:rPr>
                <w:rFonts w:ascii="宋体"/>
              </w:rPr>
            </w:pPr>
          </w:p>
        </w:tc>
        <w:tc>
          <w:tcPr>
            <w:tcW w:w="0" w:type="auto"/>
            <w:shd w:val="clear" w:color="auto" w:fill="auto"/>
            <w:vAlign w:val="bottom"/>
          </w:tcPr>
          <w:p w14:paraId="392C8503" w14:textId="77777777" w:rsidR="00980E5F" w:rsidRDefault="00980E5F">
            <w:pPr>
              <w:rPr>
                <w:rFonts w:ascii="宋体"/>
              </w:rPr>
            </w:pPr>
          </w:p>
        </w:tc>
        <w:tc>
          <w:tcPr>
            <w:tcW w:w="0" w:type="auto"/>
            <w:shd w:val="clear" w:color="auto" w:fill="auto"/>
            <w:vAlign w:val="bottom"/>
          </w:tcPr>
          <w:p w14:paraId="392C8504" w14:textId="77777777" w:rsidR="00980E5F" w:rsidRDefault="00980E5F">
            <w:pPr>
              <w:rPr>
                <w:rFonts w:ascii="宋体"/>
              </w:rPr>
            </w:pPr>
          </w:p>
        </w:tc>
        <w:tc>
          <w:tcPr>
            <w:tcW w:w="0" w:type="auto"/>
            <w:shd w:val="clear" w:color="auto" w:fill="auto"/>
            <w:vAlign w:val="bottom"/>
          </w:tcPr>
          <w:p w14:paraId="392C8505" w14:textId="77777777" w:rsidR="00980E5F" w:rsidRDefault="00980E5F">
            <w:pPr>
              <w:rPr>
                <w:rFonts w:ascii="宋体"/>
              </w:rPr>
            </w:pPr>
          </w:p>
        </w:tc>
        <w:tc>
          <w:tcPr>
            <w:tcW w:w="0" w:type="auto"/>
            <w:shd w:val="clear" w:color="auto" w:fill="auto"/>
            <w:vAlign w:val="bottom"/>
          </w:tcPr>
          <w:p w14:paraId="392C8506" w14:textId="77777777" w:rsidR="00980E5F" w:rsidRDefault="00980E5F">
            <w:pPr>
              <w:rPr>
                <w:rFonts w:ascii="宋体"/>
              </w:rPr>
            </w:pPr>
          </w:p>
        </w:tc>
        <w:tc>
          <w:tcPr>
            <w:tcW w:w="0" w:type="auto"/>
            <w:shd w:val="clear" w:color="auto" w:fill="auto"/>
            <w:vAlign w:val="bottom"/>
          </w:tcPr>
          <w:p w14:paraId="392C8507" w14:textId="77777777" w:rsidR="00980E5F" w:rsidRDefault="00980E5F">
            <w:pPr>
              <w:rPr>
                <w:rFonts w:ascii="宋体"/>
              </w:rPr>
            </w:pPr>
          </w:p>
        </w:tc>
        <w:tc>
          <w:tcPr>
            <w:tcW w:w="0" w:type="auto"/>
            <w:shd w:val="clear" w:color="auto" w:fill="auto"/>
            <w:vAlign w:val="bottom"/>
          </w:tcPr>
          <w:p w14:paraId="392C8508" w14:textId="77777777" w:rsidR="00980E5F" w:rsidRDefault="00980E5F">
            <w:pPr>
              <w:rPr>
                <w:rFonts w:ascii="宋体"/>
              </w:rPr>
            </w:pPr>
          </w:p>
        </w:tc>
        <w:tc>
          <w:tcPr>
            <w:tcW w:w="0" w:type="auto"/>
            <w:shd w:val="clear" w:color="auto" w:fill="auto"/>
            <w:vAlign w:val="bottom"/>
          </w:tcPr>
          <w:p w14:paraId="392C8509" w14:textId="77777777" w:rsidR="00980E5F" w:rsidRDefault="00980E5F">
            <w:pPr>
              <w:rPr>
                <w:rFonts w:ascii="宋体"/>
              </w:rPr>
            </w:pPr>
          </w:p>
        </w:tc>
        <w:tc>
          <w:tcPr>
            <w:tcW w:w="0" w:type="auto"/>
            <w:shd w:val="clear" w:color="auto" w:fill="auto"/>
            <w:vAlign w:val="bottom"/>
          </w:tcPr>
          <w:p w14:paraId="392C850A" w14:textId="77777777" w:rsidR="00980E5F" w:rsidRDefault="00980E5F">
            <w:pPr>
              <w:rPr>
                <w:rFonts w:ascii="宋体"/>
              </w:rPr>
            </w:pPr>
          </w:p>
        </w:tc>
        <w:tc>
          <w:tcPr>
            <w:tcW w:w="0" w:type="auto"/>
            <w:shd w:val="clear" w:color="auto" w:fill="auto"/>
            <w:vAlign w:val="bottom"/>
          </w:tcPr>
          <w:p w14:paraId="392C850B" w14:textId="77777777" w:rsidR="00980E5F" w:rsidRDefault="00980E5F">
            <w:pPr>
              <w:rPr>
                <w:rFonts w:ascii="宋体"/>
              </w:rPr>
            </w:pPr>
          </w:p>
        </w:tc>
        <w:tc>
          <w:tcPr>
            <w:tcW w:w="0" w:type="auto"/>
            <w:shd w:val="clear" w:color="auto" w:fill="auto"/>
            <w:vAlign w:val="bottom"/>
          </w:tcPr>
          <w:p w14:paraId="392C850C" w14:textId="77777777" w:rsidR="00980E5F" w:rsidRDefault="00980E5F">
            <w:pPr>
              <w:rPr>
                <w:rFonts w:ascii="宋体"/>
              </w:rPr>
            </w:pPr>
          </w:p>
        </w:tc>
        <w:tc>
          <w:tcPr>
            <w:tcW w:w="0" w:type="auto"/>
            <w:shd w:val="clear" w:color="auto" w:fill="auto"/>
            <w:vAlign w:val="bottom"/>
          </w:tcPr>
          <w:p w14:paraId="392C850D" w14:textId="77777777" w:rsidR="00980E5F" w:rsidRDefault="00980E5F">
            <w:pPr>
              <w:rPr>
                <w:rFonts w:ascii="宋体"/>
              </w:rPr>
            </w:pPr>
          </w:p>
        </w:tc>
        <w:tc>
          <w:tcPr>
            <w:tcW w:w="0" w:type="auto"/>
            <w:shd w:val="clear" w:color="auto" w:fill="auto"/>
            <w:vAlign w:val="bottom"/>
          </w:tcPr>
          <w:p w14:paraId="392C850E" w14:textId="77777777" w:rsidR="00980E5F" w:rsidRDefault="00980E5F">
            <w:pPr>
              <w:rPr>
                <w:rFonts w:ascii="宋体"/>
              </w:rPr>
            </w:pPr>
          </w:p>
        </w:tc>
        <w:tc>
          <w:tcPr>
            <w:tcW w:w="0" w:type="auto"/>
            <w:shd w:val="clear" w:color="auto" w:fill="auto"/>
            <w:vAlign w:val="bottom"/>
          </w:tcPr>
          <w:p w14:paraId="392C850F" w14:textId="77777777" w:rsidR="00980E5F" w:rsidRDefault="00980E5F">
            <w:pPr>
              <w:rPr>
                <w:rFonts w:ascii="宋体"/>
              </w:rPr>
            </w:pPr>
          </w:p>
        </w:tc>
        <w:tc>
          <w:tcPr>
            <w:tcW w:w="0" w:type="auto"/>
            <w:shd w:val="clear" w:color="auto" w:fill="auto"/>
            <w:vAlign w:val="bottom"/>
          </w:tcPr>
          <w:p w14:paraId="392C8510" w14:textId="77777777" w:rsidR="00980E5F" w:rsidRDefault="00980E5F">
            <w:pPr>
              <w:rPr>
                <w:rFonts w:ascii="宋体"/>
              </w:rPr>
            </w:pPr>
          </w:p>
        </w:tc>
        <w:tc>
          <w:tcPr>
            <w:tcW w:w="0" w:type="auto"/>
            <w:shd w:val="clear" w:color="auto" w:fill="auto"/>
            <w:vAlign w:val="bottom"/>
          </w:tcPr>
          <w:p w14:paraId="392C8511" w14:textId="77777777" w:rsidR="00980E5F" w:rsidRDefault="00980E5F">
            <w:pPr>
              <w:rPr>
                <w:rFonts w:ascii="宋体"/>
              </w:rPr>
            </w:pPr>
          </w:p>
        </w:tc>
      </w:tr>
      <w:tr w:rsidR="00980E5F" w14:paraId="392C8523" w14:textId="77777777">
        <w:trPr>
          <w:jc w:val="center"/>
          <w:hidden/>
        </w:trPr>
        <w:tc>
          <w:tcPr>
            <w:tcW w:w="0" w:type="auto"/>
            <w:gridSpan w:val="3"/>
            <w:shd w:val="clear" w:color="auto" w:fill="auto"/>
            <w:vAlign w:val="bottom"/>
          </w:tcPr>
          <w:p w14:paraId="392C8513" w14:textId="77777777" w:rsidR="00980E5F" w:rsidRDefault="00980E5F">
            <w:pPr>
              <w:rPr>
                <w:rFonts w:ascii="宋体"/>
                <w:vanish/>
              </w:rPr>
            </w:pPr>
          </w:p>
        </w:tc>
        <w:tc>
          <w:tcPr>
            <w:tcW w:w="0" w:type="auto"/>
            <w:gridSpan w:val="3"/>
            <w:shd w:val="clear" w:color="auto" w:fill="auto"/>
            <w:vAlign w:val="bottom"/>
          </w:tcPr>
          <w:p w14:paraId="392C8514" w14:textId="77777777" w:rsidR="00980E5F" w:rsidRDefault="00980E5F">
            <w:pPr>
              <w:rPr>
                <w:rFonts w:ascii="宋体"/>
                <w:vanish/>
              </w:rPr>
            </w:pPr>
          </w:p>
        </w:tc>
        <w:tc>
          <w:tcPr>
            <w:tcW w:w="0" w:type="auto"/>
            <w:gridSpan w:val="3"/>
            <w:shd w:val="clear" w:color="auto" w:fill="auto"/>
            <w:vAlign w:val="bottom"/>
          </w:tcPr>
          <w:p w14:paraId="392C8515" w14:textId="77777777" w:rsidR="00980E5F" w:rsidRDefault="00980E5F">
            <w:pPr>
              <w:rPr>
                <w:rFonts w:ascii="宋体"/>
                <w:vanish/>
              </w:rPr>
            </w:pPr>
          </w:p>
        </w:tc>
        <w:tc>
          <w:tcPr>
            <w:tcW w:w="0" w:type="auto"/>
            <w:gridSpan w:val="3"/>
            <w:shd w:val="clear" w:color="auto" w:fill="auto"/>
            <w:vAlign w:val="bottom"/>
          </w:tcPr>
          <w:p w14:paraId="392C8516" w14:textId="77777777" w:rsidR="00980E5F" w:rsidRDefault="00980E5F">
            <w:pPr>
              <w:rPr>
                <w:rFonts w:ascii="宋体"/>
                <w:vanish/>
              </w:rPr>
            </w:pPr>
          </w:p>
        </w:tc>
        <w:tc>
          <w:tcPr>
            <w:tcW w:w="0" w:type="auto"/>
            <w:shd w:val="clear" w:color="auto" w:fill="auto"/>
            <w:vAlign w:val="bottom"/>
          </w:tcPr>
          <w:p w14:paraId="392C8517" w14:textId="77777777" w:rsidR="00980E5F" w:rsidRDefault="00980E5F">
            <w:pPr>
              <w:rPr>
                <w:rFonts w:ascii="宋体"/>
              </w:rPr>
            </w:pPr>
          </w:p>
        </w:tc>
        <w:tc>
          <w:tcPr>
            <w:tcW w:w="0" w:type="auto"/>
            <w:shd w:val="clear" w:color="auto" w:fill="auto"/>
            <w:vAlign w:val="bottom"/>
          </w:tcPr>
          <w:p w14:paraId="392C8518" w14:textId="77777777" w:rsidR="00980E5F" w:rsidRDefault="00980E5F">
            <w:pPr>
              <w:rPr>
                <w:rFonts w:ascii="宋体"/>
              </w:rPr>
            </w:pPr>
          </w:p>
        </w:tc>
        <w:tc>
          <w:tcPr>
            <w:tcW w:w="0" w:type="auto"/>
            <w:shd w:val="clear" w:color="auto" w:fill="auto"/>
            <w:vAlign w:val="bottom"/>
          </w:tcPr>
          <w:p w14:paraId="392C8519" w14:textId="77777777" w:rsidR="00980E5F" w:rsidRDefault="00980E5F">
            <w:pPr>
              <w:rPr>
                <w:rFonts w:ascii="宋体"/>
              </w:rPr>
            </w:pPr>
          </w:p>
        </w:tc>
        <w:tc>
          <w:tcPr>
            <w:tcW w:w="0" w:type="auto"/>
            <w:shd w:val="clear" w:color="auto" w:fill="auto"/>
            <w:vAlign w:val="bottom"/>
          </w:tcPr>
          <w:p w14:paraId="392C851A" w14:textId="77777777" w:rsidR="00980E5F" w:rsidRDefault="00980E5F">
            <w:pPr>
              <w:rPr>
                <w:rFonts w:ascii="宋体"/>
              </w:rPr>
            </w:pPr>
          </w:p>
        </w:tc>
        <w:tc>
          <w:tcPr>
            <w:tcW w:w="0" w:type="auto"/>
            <w:shd w:val="clear" w:color="auto" w:fill="auto"/>
            <w:vAlign w:val="bottom"/>
          </w:tcPr>
          <w:p w14:paraId="392C851B" w14:textId="77777777" w:rsidR="00980E5F" w:rsidRDefault="00980E5F">
            <w:pPr>
              <w:rPr>
                <w:rFonts w:ascii="宋体"/>
              </w:rPr>
            </w:pPr>
          </w:p>
        </w:tc>
        <w:tc>
          <w:tcPr>
            <w:tcW w:w="0" w:type="auto"/>
            <w:shd w:val="clear" w:color="auto" w:fill="auto"/>
            <w:vAlign w:val="bottom"/>
          </w:tcPr>
          <w:p w14:paraId="392C851C" w14:textId="77777777" w:rsidR="00980E5F" w:rsidRDefault="00980E5F">
            <w:pPr>
              <w:rPr>
                <w:rFonts w:ascii="宋体"/>
              </w:rPr>
            </w:pPr>
          </w:p>
        </w:tc>
        <w:tc>
          <w:tcPr>
            <w:tcW w:w="0" w:type="auto"/>
            <w:shd w:val="clear" w:color="auto" w:fill="auto"/>
            <w:vAlign w:val="bottom"/>
          </w:tcPr>
          <w:p w14:paraId="392C851D" w14:textId="77777777" w:rsidR="00980E5F" w:rsidRDefault="00980E5F">
            <w:pPr>
              <w:rPr>
                <w:rFonts w:ascii="宋体"/>
              </w:rPr>
            </w:pPr>
          </w:p>
        </w:tc>
        <w:tc>
          <w:tcPr>
            <w:tcW w:w="0" w:type="auto"/>
            <w:shd w:val="clear" w:color="auto" w:fill="auto"/>
            <w:vAlign w:val="bottom"/>
          </w:tcPr>
          <w:p w14:paraId="392C851E" w14:textId="77777777" w:rsidR="00980E5F" w:rsidRDefault="00980E5F">
            <w:pPr>
              <w:rPr>
                <w:rFonts w:ascii="宋体"/>
              </w:rPr>
            </w:pPr>
          </w:p>
        </w:tc>
        <w:tc>
          <w:tcPr>
            <w:tcW w:w="0" w:type="auto"/>
            <w:shd w:val="clear" w:color="auto" w:fill="auto"/>
            <w:vAlign w:val="bottom"/>
          </w:tcPr>
          <w:p w14:paraId="392C851F" w14:textId="77777777" w:rsidR="00980E5F" w:rsidRDefault="00980E5F">
            <w:pPr>
              <w:rPr>
                <w:rFonts w:ascii="宋体"/>
              </w:rPr>
            </w:pPr>
          </w:p>
        </w:tc>
        <w:tc>
          <w:tcPr>
            <w:tcW w:w="0" w:type="auto"/>
            <w:shd w:val="clear" w:color="auto" w:fill="auto"/>
            <w:vAlign w:val="bottom"/>
          </w:tcPr>
          <w:p w14:paraId="392C8520" w14:textId="77777777" w:rsidR="00980E5F" w:rsidRDefault="00980E5F">
            <w:pPr>
              <w:rPr>
                <w:rFonts w:ascii="宋体"/>
              </w:rPr>
            </w:pPr>
          </w:p>
        </w:tc>
        <w:tc>
          <w:tcPr>
            <w:tcW w:w="0" w:type="auto"/>
            <w:shd w:val="clear" w:color="auto" w:fill="auto"/>
            <w:vAlign w:val="bottom"/>
          </w:tcPr>
          <w:p w14:paraId="392C8521" w14:textId="77777777" w:rsidR="00980E5F" w:rsidRDefault="00980E5F">
            <w:pPr>
              <w:rPr>
                <w:rFonts w:ascii="宋体"/>
              </w:rPr>
            </w:pPr>
          </w:p>
        </w:tc>
        <w:tc>
          <w:tcPr>
            <w:tcW w:w="0" w:type="auto"/>
            <w:shd w:val="clear" w:color="auto" w:fill="auto"/>
            <w:vAlign w:val="bottom"/>
          </w:tcPr>
          <w:p w14:paraId="392C8522" w14:textId="77777777" w:rsidR="00980E5F" w:rsidRDefault="00980E5F">
            <w:pPr>
              <w:rPr>
                <w:rFonts w:ascii="宋体"/>
              </w:rPr>
            </w:pPr>
          </w:p>
        </w:tc>
      </w:tr>
      <w:tr w:rsidR="00980E5F" w14:paraId="392C852C" w14:textId="77777777">
        <w:trPr>
          <w:jc w:val="center"/>
          <w:hidden/>
        </w:trPr>
        <w:tc>
          <w:tcPr>
            <w:tcW w:w="0" w:type="auto"/>
            <w:gridSpan w:val="3"/>
            <w:shd w:val="clear" w:color="auto" w:fill="auto"/>
            <w:vAlign w:val="bottom"/>
          </w:tcPr>
          <w:p w14:paraId="392C8524" w14:textId="77777777" w:rsidR="00980E5F" w:rsidRDefault="00980E5F">
            <w:pPr>
              <w:rPr>
                <w:rFonts w:ascii="宋体"/>
                <w:vanish/>
              </w:rPr>
            </w:pPr>
          </w:p>
        </w:tc>
        <w:tc>
          <w:tcPr>
            <w:tcW w:w="0" w:type="auto"/>
            <w:gridSpan w:val="3"/>
            <w:shd w:val="clear" w:color="auto" w:fill="auto"/>
            <w:vAlign w:val="bottom"/>
          </w:tcPr>
          <w:p w14:paraId="392C8525" w14:textId="77777777" w:rsidR="00980E5F" w:rsidRDefault="00980E5F">
            <w:pPr>
              <w:rPr>
                <w:rFonts w:ascii="宋体"/>
                <w:vanish/>
              </w:rPr>
            </w:pPr>
          </w:p>
        </w:tc>
        <w:tc>
          <w:tcPr>
            <w:tcW w:w="0" w:type="auto"/>
            <w:gridSpan w:val="3"/>
            <w:shd w:val="clear" w:color="auto" w:fill="auto"/>
            <w:vAlign w:val="bottom"/>
          </w:tcPr>
          <w:p w14:paraId="392C8526" w14:textId="77777777" w:rsidR="00980E5F" w:rsidRDefault="00980E5F">
            <w:pPr>
              <w:rPr>
                <w:rFonts w:ascii="宋体"/>
                <w:vanish/>
              </w:rPr>
            </w:pPr>
          </w:p>
        </w:tc>
        <w:tc>
          <w:tcPr>
            <w:tcW w:w="0" w:type="auto"/>
            <w:gridSpan w:val="3"/>
            <w:shd w:val="clear" w:color="auto" w:fill="auto"/>
            <w:vAlign w:val="bottom"/>
          </w:tcPr>
          <w:p w14:paraId="392C8527" w14:textId="77777777" w:rsidR="00980E5F" w:rsidRDefault="00980E5F">
            <w:pPr>
              <w:rPr>
                <w:rFonts w:ascii="宋体"/>
                <w:vanish/>
              </w:rPr>
            </w:pPr>
          </w:p>
        </w:tc>
        <w:tc>
          <w:tcPr>
            <w:tcW w:w="0" w:type="auto"/>
            <w:gridSpan w:val="3"/>
            <w:shd w:val="clear" w:color="auto" w:fill="auto"/>
            <w:vAlign w:val="bottom"/>
          </w:tcPr>
          <w:p w14:paraId="392C8528" w14:textId="77777777" w:rsidR="00980E5F" w:rsidRDefault="00980E5F">
            <w:pPr>
              <w:rPr>
                <w:rFonts w:ascii="宋体"/>
                <w:vanish/>
              </w:rPr>
            </w:pPr>
          </w:p>
        </w:tc>
        <w:tc>
          <w:tcPr>
            <w:tcW w:w="0" w:type="auto"/>
            <w:gridSpan w:val="3"/>
            <w:shd w:val="clear" w:color="auto" w:fill="auto"/>
            <w:vAlign w:val="bottom"/>
          </w:tcPr>
          <w:p w14:paraId="392C8529" w14:textId="77777777" w:rsidR="00980E5F" w:rsidRDefault="00980E5F">
            <w:pPr>
              <w:rPr>
                <w:rFonts w:ascii="宋体"/>
                <w:vanish/>
              </w:rPr>
            </w:pPr>
          </w:p>
        </w:tc>
        <w:tc>
          <w:tcPr>
            <w:tcW w:w="0" w:type="auto"/>
            <w:gridSpan w:val="3"/>
            <w:shd w:val="clear" w:color="auto" w:fill="auto"/>
            <w:vAlign w:val="bottom"/>
          </w:tcPr>
          <w:p w14:paraId="392C852A" w14:textId="77777777" w:rsidR="00980E5F" w:rsidRDefault="00980E5F">
            <w:pPr>
              <w:rPr>
                <w:rFonts w:ascii="宋体"/>
                <w:vanish/>
              </w:rPr>
            </w:pPr>
          </w:p>
        </w:tc>
        <w:tc>
          <w:tcPr>
            <w:tcW w:w="0" w:type="auto"/>
            <w:gridSpan w:val="3"/>
            <w:shd w:val="clear" w:color="auto" w:fill="auto"/>
            <w:vAlign w:val="bottom"/>
          </w:tcPr>
          <w:p w14:paraId="392C852B" w14:textId="77777777" w:rsidR="00980E5F" w:rsidRDefault="00980E5F">
            <w:pPr>
              <w:rPr>
                <w:rFonts w:ascii="宋体"/>
                <w:vanish/>
              </w:rPr>
            </w:pPr>
          </w:p>
        </w:tc>
      </w:tr>
      <w:tr w:rsidR="00980E5F" w14:paraId="392C8535" w14:textId="77777777">
        <w:trPr>
          <w:jc w:val="center"/>
          <w:hidden/>
        </w:trPr>
        <w:tc>
          <w:tcPr>
            <w:tcW w:w="0" w:type="auto"/>
            <w:gridSpan w:val="3"/>
            <w:shd w:val="clear" w:color="auto" w:fill="auto"/>
            <w:vAlign w:val="bottom"/>
          </w:tcPr>
          <w:p w14:paraId="392C852D" w14:textId="77777777" w:rsidR="00980E5F" w:rsidRDefault="00980E5F">
            <w:pPr>
              <w:rPr>
                <w:rFonts w:ascii="宋体"/>
                <w:vanish/>
              </w:rPr>
            </w:pPr>
          </w:p>
        </w:tc>
        <w:tc>
          <w:tcPr>
            <w:tcW w:w="0" w:type="auto"/>
            <w:gridSpan w:val="3"/>
            <w:shd w:val="clear" w:color="auto" w:fill="auto"/>
            <w:vAlign w:val="bottom"/>
          </w:tcPr>
          <w:p w14:paraId="392C852E" w14:textId="77777777" w:rsidR="00980E5F" w:rsidRDefault="00980E5F">
            <w:pPr>
              <w:rPr>
                <w:rFonts w:ascii="宋体"/>
                <w:vanish/>
              </w:rPr>
            </w:pPr>
          </w:p>
        </w:tc>
        <w:tc>
          <w:tcPr>
            <w:tcW w:w="0" w:type="auto"/>
            <w:gridSpan w:val="3"/>
            <w:shd w:val="clear" w:color="auto" w:fill="auto"/>
            <w:vAlign w:val="bottom"/>
          </w:tcPr>
          <w:p w14:paraId="392C852F" w14:textId="77777777" w:rsidR="00980E5F" w:rsidRDefault="00980E5F">
            <w:pPr>
              <w:rPr>
                <w:rFonts w:ascii="宋体"/>
                <w:vanish/>
              </w:rPr>
            </w:pPr>
          </w:p>
        </w:tc>
        <w:tc>
          <w:tcPr>
            <w:tcW w:w="0" w:type="auto"/>
            <w:gridSpan w:val="3"/>
            <w:shd w:val="clear" w:color="auto" w:fill="auto"/>
            <w:vAlign w:val="bottom"/>
          </w:tcPr>
          <w:p w14:paraId="392C8530" w14:textId="77777777" w:rsidR="00980E5F" w:rsidRDefault="00980E5F">
            <w:pPr>
              <w:rPr>
                <w:rFonts w:ascii="宋体"/>
                <w:vanish/>
              </w:rPr>
            </w:pPr>
          </w:p>
        </w:tc>
        <w:tc>
          <w:tcPr>
            <w:tcW w:w="0" w:type="auto"/>
            <w:gridSpan w:val="3"/>
            <w:shd w:val="clear" w:color="auto" w:fill="auto"/>
            <w:vAlign w:val="bottom"/>
          </w:tcPr>
          <w:p w14:paraId="392C8531" w14:textId="77777777" w:rsidR="00980E5F" w:rsidRDefault="00980E5F">
            <w:pPr>
              <w:rPr>
                <w:rFonts w:ascii="宋体"/>
                <w:vanish/>
              </w:rPr>
            </w:pPr>
          </w:p>
        </w:tc>
        <w:tc>
          <w:tcPr>
            <w:tcW w:w="0" w:type="auto"/>
            <w:gridSpan w:val="3"/>
            <w:shd w:val="clear" w:color="auto" w:fill="auto"/>
            <w:vAlign w:val="bottom"/>
          </w:tcPr>
          <w:p w14:paraId="392C8532" w14:textId="77777777" w:rsidR="00980E5F" w:rsidRDefault="00980E5F">
            <w:pPr>
              <w:rPr>
                <w:rFonts w:ascii="宋体"/>
                <w:vanish/>
              </w:rPr>
            </w:pPr>
          </w:p>
        </w:tc>
        <w:tc>
          <w:tcPr>
            <w:tcW w:w="0" w:type="auto"/>
            <w:gridSpan w:val="3"/>
            <w:shd w:val="clear" w:color="auto" w:fill="auto"/>
            <w:vAlign w:val="bottom"/>
          </w:tcPr>
          <w:p w14:paraId="392C8533" w14:textId="77777777" w:rsidR="00980E5F" w:rsidRDefault="00980E5F">
            <w:pPr>
              <w:rPr>
                <w:rFonts w:ascii="宋体"/>
                <w:vanish/>
              </w:rPr>
            </w:pPr>
          </w:p>
        </w:tc>
        <w:tc>
          <w:tcPr>
            <w:tcW w:w="0" w:type="auto"/>
            <w:gridSpan w:val="3"/>
            <w:shd w:val="clear" w:color="auto" w:fill="auto"/>
            <w:vAlign w:val="bottom"/>
          </w:tcPr>
          <w:p w14:paraId="392C8534" w14:textId="77777777" w:rsidR="00980E5F" w:rsidRDefault="00980E5F">
            <w:pPr>
              <w:rPr>
                <w:rFonts w:ascii="宋体"/>
                <w:vanish/>
              </w:rPr>
            </w:pPr>
          </w:p>
        </w:tc>
      </w:tr>
      <w:tr w:rsidR="00980E5F" w14:paraId="392C853E" w14:textId="77777777">
        <w:trPr>
          <w:jc w:val="center"/>
          <w:hidden/>
        </w:trPr>
        <w:tc>
          <w:tcPr>
            <w:tcW w:w="0" w:type="auto"/>
            <w:gridSpan w:val="3"/>
            <w:shd w:val="clear" w:color="auto" w:fill="auto"/>
            <w:vAlign w:val="bottom"/>
          </w:tcPr>
          <w:p w14:paraId="392C8536" w14:textId="77777777" w:rsidR="00980E5F" w:rsidRDefault="00980E5F">
            <w:pPr>
              <w:rPr>
                <w:rFonts w:ascii="宋体"/>
                <w:vanish/>
              </w:rPr>
            </w:pPr>
          </w:p>
        </w:tc>
        <w:tc>
          <w:tcPr>
            <w:tcW w:w="0" w:type="auto"/>
            <w:gridSpan w:val="3"/>
            <w:shd w:val="clear" w:color="auto" w:fill="auto"/>
            <w:vAlign w:val="bottom"/>
          </w:tcPr>
          <w:p w14:paraId="392C8537" w14:textId="77777777" w:rsidR="00980E5F" w:rsidRDefault="00980E5F">
            <w:pPr>
              <w:rPr>
                <w:rFonts w:ascii="宋体"/>
                <w:vanish/>
              </w:rPr>
            </w:pPr>
          </w:p>
        </w:tc>
        <w:tc>
          <w:tcPr>
            <w:tcW w:w="0" w:type="auto"/>
            <w:gridSpan w:val="3"/>
            <w:shd w:val="clear" w:color="auto" w:fill="auto"/>
            <w:vAlign w:val="bottom"/>
          </w:tcPr>
          <w:p w14:paraId="392C8538" w14:textId="77777777" w:rsidR="00980E5F" w:rsidRDefault="00980E5F">
            <w:pPr>
              <w:rPr>
                <w:rFonts w:ascii="宋体"/>
                <w:vanish/>
              </w:rPr>
            </w:pPr>
          </w:p>
        </w:tc>
        <w:tc>
          <w:tcPr>
            <w:tcW w:w="0" w:type="auto"/>
            <w:gridSpan w:val="3"/>
            <w:shd w:val="clear" w:color="auto" w:fill="auto"/>
            <w:vAlign w:val="bottom"/>
          </w:tcPr>
          <w:p w14:paraId="392C8539" w14:textId="77777777" w:rsidR="00980E5F" w:rsidRDefault="00980E5F">
            <w:pPr>
              <w:rPr>
                <w:rFonts w:ascii="宋体"/>
                <w:vanish/>
              </w:rPr>
            </w:pPr>
          </w:p>
        </w:tc>
        <w:tc>
          <w:tcPr>
            <w:tcW w:w="0" w:type="auto"/>
            <w:gridSpan w:val="3"/>
            <w:shd w:val="clear" w:color="auto" w:fill="auto"/>
            <w:vAlign w:val="bottom"/>
          </w:tcPr>
          <w:p w14:paraId="392C853A" w14:textId="77777777" w:rsidR="00980E5F" w:rsidRDefault="00980E5F">
            <w:pPr>
              <w:rPr>
                <w:rFonts w:ascii="宋体"/>
                <w:vanish/>
              </w:rPr>
            </w:pPr>
          </w:p>
        </w:tc>
        <w:tc>
          <w:tcPr>
            <w:tcW w:w="0" w:type="auto"/>
            <w:gridSpan w:val="3"/>
            <w:shd w:val="clear" w:color="auto" w:fill="auto"/>
            <w:vAlign w:val="bottom"/>
          </w:tcPr>
          <w:p w14:paraId="392C853B" w14:textId="77777777" w:rsidR="00980E5F" w:rsidRDefault="00980E5F">
            <w:pPr>
              <w:rPr>
                <w:rFonts w:ascii="宋体"/>
                <w:vanish/>
              </w:rPr>
            </w:pPr>
          </w:p>
        </w:tc>
        <w:tc>
          <w:tcPr>
            <w:tcW w:w="0" w:type="auto"/>
            <w:gridSpan w:val="3"/>
            <w:shd w:val="clear" w:color="auto" w:fill="auto"/>
            <w:vAlign w:val="bottom"/>
          </w:tcPr>
          <w:p w14:paraId="392C853C" w14:textId="77777777" w:rsidR="00980E5F" w:rsidRDefault="00980E5F">
            <w:pPr>
              <w:rPr>
                <w:rFonts w:ascii="宋体"/>
                <w:vanish/>
              </w:rPr>
            </w:pPr>
          </w:p>
        </w:tc>
        <w:tc>
          <w:tcPr>
            <w:tcW w:w="0" w:type="auto"/>
            <w:gridSpan w:val="3"/>
            <w:shd w:val="clear" w:color="auto" w:fill="auto"/>
            <w:vAlign w:val="bottom"/>
          </w:tcPr>
          <w:p w14:paraId="392C853D" w14:textId="77777777" w:rsidR="00980E5F" w:rsidRDefault="00980E5F">
            <w:pPr>
              <w:rPr>
                <w:rFonts w:ascii="宋体"/>
                <w:vanish/>
              </w:rPr>
            </w:pPr>
          </w:p>
        </w:tc>
      </w:tr>
      <w:tr w:rsidR="00980E5F" w14:paraId="392C8547" w14:textId="77777777">
        <w:trPr>
          <w:jc w:val="center"/>
          <w:hidden/>
        </w:trPr>
        <w:tc>
          <w:tcPr>
            <w:tcW w:w="0" w:type="auto"/>
            <w:gridSpan w:val="3"/>
            <w:shd w:val="clear" w:color="auto" w:fill="auto"/>
            <w:vAlign w:val="bottom"/>
          </w:tcPr>
          <w:p w14:paraId="392C853F" w14:textId="77777777" w:rsidR="00980E5F" w:rsidRDefault="00980E5F">
            <w:pPr>
              <w:rPr>
                <w:rFonts w:ascii="宋体"/>
                <w:vanish/>
              </w:rPr>
            </w:pPr>
          </w:p>
        </w:tc>
        <w:tc>
          <w:tcPr>
            <w:tcW w:w="0" w:type="auto"/>
            <w:gridSpan w:val="3"/>
            <w:shd w:val="clear" w:color="auto" w:fill="auto"/>
            <w:vAlign w:val="bottom"/>
          </w:tcPr>
          <w:p w14:paraId="392C8540" w14:textId="77777777" w:rsidR="00980E5F" w:rsidRDefault="00980E5F">
            <w:pPr>
              <w:rPr>
                <w:rFonts w:ascii="宋体"/>
                <w:vanish/>
              </w:rPr>
            </w:pPr>
          </w:p>
        </w:tc>
        <w:tc>
          <w:tcPr>
            <w:tcW w:w="0" w:type="auto"/>
            <w:gridSpan w:val="3"/>
            <w:shd w:val="clear" w:color="auto" w:fill="auto"/>
            <w:vAlign w:val="bottom"/>
          </w:tcPr>
          <w:p w14:paraId="392C8541" w14:textId="77777777" w:rsidR="00980E5F" w:rsidRDefault="00980E5F">
            <w:pPr>
              <w:rPr>
                <w:rFonts w:ascii="宋体"/>
                <w:vanish/>
              </w:rPr>
            </w:pPr>
          </w:p>
        </w:tc>
        <w:tc>
          <w:tcPr>
            <w:tcW w:w="0" w:type="auto"/>
            <w:gridSpan w:val="3"/>
            <w:shd w:val="clear" w:color="auto" w:fill="auto"/>
            <w:vAlign w:val="bottom"/>
          </w:tcPr>
          <w:p w14:paraId="392C8542" w14:textId="77777777" w:rsidR="00980E5F" w:rsidRDefault="00980E5F">
            <w:pPr>
              <w:rPr>
                <w:rFonts w:ascii="宋体"/>
                <w:vanish/>
              </w:rPr>
            </w:pPr>
          </w:p>
        </w:tc>
        <w:tc>
          <w:tcPr>
            <w:tcW w:w="0" w:type="auto"/>
            <w:gridSpan w:val="3"/>
            <w:shd w:val="clear" w:color="auto" w:fill="auto"/>
            <w:vAlign w:val="bottom"/>
          </w:tcPr>
          <w:p w14:paraId="392C8543" w14:textId="77777777" w:rsidR="00980E5F" w:rsidRDefault="00980E5F">
            <w:pPr>
              <w:rPr>
                <w:rFonts w:ascii="宋体"/>
                <w:vanish/>
              </w:rPr>
            </w:pPr>
          </w:p>
        </w:tc>
        <w:tc>
          <w:tcPr>
            <w:tcW w:w="0" w:type="auto"/>
            <w:gridSpan w:val="3"/>
            <w:shd w:val="clear" w:color="auto" w:fill="auto"/>
            <w:vAlign w:val="bottom"/>
          </w:tcPr>
          <w:p w14:paraId="392C8544" w14:textId="77777777" w:rsidR="00980E5F" w:rsidRDefault="00980E5F">
            <w:pPr>
              <w:rPr>
                <w:rFonts w:ascii="宋体"/>
                <w:vanish/>
              </w:rPr>
            </w:pPr>
          </w:p>
        </w:tc>
        <w:tc>
          <w:tcPr>
            <w:tcW w:w="0" w:type="auto"/>
            <w:gridSpan w:val="3"/>
            <w:shd w:val="clear" w:color="auto" w:fill="auto"/>
            <w:vAlign w:val="bottom"/>
          </w:tcPr>
          <w:p w14:paraId="392C8545" w14:textId="77777777" w:rsidR="00980E5F" w:rsidRDefault="00980E5F">
            <w:pPr>
              <w:rPr>
                <w:rFonts w:ascii="宋体"/>
                <w:vanish/>
              </w:rPr>
            </w:pPr>
          </w:p>
        </w:tc>
        <w:tc>
          <w:tcPr>
            <w:tcW w:w="0" w:type="auto"/>
            <w:gridSpan w:val="3"/>
            <w:shd w:val="clear" w:color="auto" w:fill="auto"/>
            <w:vAlign w:val="bottom"/>
          </w:tcPr>
          <w:p w14:paraId="392C8546" w14:textId="77777777" w:rsidR="00980E5F" w:rsidRDefault="00980E5F">
            <w:pPr>
              <w:rPr>
                <w:rFonts w:ascii="宋体"/>
                <w:vanish/>
              </w:rPr>
            </w:pPr>
          </w:p>
        </w:tc>
      </w:tr>
    </w:tbl>
    <w:p w14:paraId="392C8548" w14:textId="77777777" w:rsidR="00980E5F" w:rsidRDefault="00980E5F">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980E5F" w14:paraId="392C8558" w14:textId="77777777">
        <w:tc>
          <w:tcPr>
            <w:tcW w:w="20" w:type="dxa"/>
            <w:shd w:val="clear" w:color="auto" w:fill="auto"/>
            <w:vAlign w:val="bottom"/>
          </w:tcPr>
          <w:p w14:paraId="392C8549" w14:textId="77777777" w:rsidR="00980E5F" w:rsidRDefault="00980E5F">
            <w:pPr>
              <w:rPr>
                <w:rFonts w:ascii="宋体"/>
              </w:rPr>
            </w:pPr>
          </w:p>
        </w:tc>
        <w:tc>
          <w:tcPr>
            <w:tcW w:w="2840" w:type="dxa"/>
            <w:shd w:val="clear" w:color="auto" w:fill="auto"/>
            <w:vAlign w:val="bottom"/>
          </w:tcPr>
          <w:p w14:paraId="392C854A" w14:textId="77777777" w:rsidR="00980E5F" w:rsidRDefault="00980E5F">
            <w:pPr>
              <w:rPr>
                <w:rFonts w:ascii="宋体"/>
              </w:rPr>
            </w:pPr>
          </w:p>
        </w:tc>
        <w:tc>
          <w:tcPr>
            <w:tcW w:w="20" w:type="dxa"/>
            <w:shd w:val="clear" w:color="auto" w:fill="auto"/>
            <w:vAlign w:val="bottom"/>
          </w:tcPr>
          <w:p w14:paraId="392C854B" w14:textId="77777777" w:rsidR="00980E5F" w:rsidRDefault="00980E5F">
            <w:pPr>
              <w:rPr>
                <w:rFonts w:ascii="宋体"/>
              </w:rPr>
            </w:pPr>
          </w:p>
        </w:tc>
        <w:tc>
          <w:tcPr>
            <w:tcW w:w="20" w:type="dxa"/>
            <w:shd w:val="clear" w:color="auto" w:fill="auto"/>
            <w:vAlign w:val="bottom"/>
          </w:tcPr>
          <w:p w14:paraId="392C854C" w14:textId="77777777" w:rsidR="00980E5F" w:rsidRDefault="00980E5F">
            <w:pPr>
              <w:rPr>
                <w:rFonts w:ascii="宋体"/>
              </w:rPr>
            </w:pPr>
          </w:p>
        </w:tc>
        <w:tc>
          <w:tcPr>
            <w:tcW w:w="1460" w:type="dxa"/>
            <w:shd w:val="clear" w:color="auto" w:fill="auto"/>
            <w:vAlign w:val="bottom"/>
          </w:tcPr>
          <w:p w14:paraId="392C854D" w14:textId="77777777" w:rsidR="00980E5F" w:rsidRDefault="00980E5F">
            <w:pPr>
              <w:rPr>
                <w:rFonts w:ascii="宋体"/>
              </w:rPr>
            </w:pPr>
          </w:p>
        </w:tc>
        <w:tc>
          <w:tcPr>
            <w:tcW w:w="20" w:type="dxa"/>
            <w:shd w:val="clear" w:color="auto" w:fill="auto"/>
            <w:vAlign w:val="bottom"/>
          </w:tcPr>
          <w:p w14:paraId="392C854E" w14:textId="77777777" w:rsidR="00980E5F" w:rsidRDefault="00980E5F">
            <w:pPr>
              <w:rPr>
                <w:rFonts w:ascii="宋体"/>
              </w:rPr>
            </w:pPr>
          </w:p>
        </w:tc>
        <w:tc>
          <w:tcPr>
            <w:tcW w:w="20" w:type="dxa"/>
            <w:shd w:val="clear" w:color="auto" w:fill="auto"/>
            <w:vAlign w:val="bottom"/>
          </w:tcPr>
          <w:p w14:paraId="392C854F" w14:textId="77777777" w:rsidR="00980E5F" w:rsidRDefault="00980E5F">
            <w:pPr>
              <w:rPr>
                <w:rFonts w:ascii="宋体"/>
              </w:rPr>
            </w:pPr>
          </w:p>
        </w:tc>
        <w:tc>
          <w:tcPr>
            <w:tcW w:w="1460" w:type="dxa"/>
            <w:shd w:val="clear" w:color="auto" w:fill="auto"/>
            <w:vAlign w:val="bottom"/>
          </w:tcPr>
          <w:p w14:paraId="392C8550" w14:textId="77777777" w:rsidR="00980E5F" w:rsidRDefault="00980E5F">
            <w:pPr>
              <w:rPr>
                <w:rFonts w:ascii="宋体"/>
              </w:rPr>
            </w:pPr>
          </w:p>
        </w:tc>
        <w:tc>
          <w:tcPr>
            <w:tcW w:w="20" w:type="dxa"/>
            <w:shd w:val="clear" w:color="auto" w:fill="auto"/>
            <w:vAlign w:val="bottom"/>
          </w:tcPr>
          <w:p w14:paraId="392C8551" w14:textId="77777777" w:rsidR="00980E5F" w:rsidRDefault="00980E5F">
            <w:pPr>
              <w:rPr>
                <w:rFonts w:ascii="宋体"/>
              </w:rPr>
            </w:pPr>
          </w:p>
        </w:tc>
        <w:tc>
          <w:tcPr>
            <w:tcW w:w="20" w:type="dxa"/>
            <w:shd w:val="clear" w:color="auto" w:fill="auto"/>
            <w:vAlign w:val="bottom"/>
          </w:tcPr>
          <w:p w14:paraId="392C8552" w14:textId="77777777" w:rsidR="00980E5F" w:rsidRDefault="00980E5F">
            <w:pPr>
              <w:rPr>
                <w:rFonts w:ascii="宋体"/>
              </w:rPr>
            </w:pPr>
          </w:p>
        </w:tc>
        <w:tc>
          <w:tcPr>
            <w:tcW w:w="2555" w:type="dxa"/>
            <w:shd w:val="clear" w:color="auto" w:fill="auto"/>
            <w:vAlign w:val="bottom"/>
          </w:tcPr>
          <w:p w14:paraId="392C8553" w14:textId="77777777" w:rsidR="00980E5F" w:rsidRDefault="00980E5F">
            <w:pPr>
              <w:rPr>
                <w:rFonts w:ascii="宋体"/>
              </w:rPr>
            </w:pPr>
          </w:p>
        </w:tc>
        <w:tc>
          <w:tcPr>
            <w:tcW w:w="20" w:type="dxa"/>
            <w:shd w:val="clear" w:color="auto" w:fill="auto"/>
            <w:vAlign w:val="bottom"/>
          </w:tcPr>
          <w:p w14:paraId="392C8554" w14:textId="77777777" w:rsidR="00980E5F" w:rsidRDefault="00980E5F">
            <w:pPr>
              <w:rPr>
                <w:rFonts w:ascii="宋体"/>
              </w:rPr>
            </w:pPr>
          </w:p>
        </w:tc>
        <w:tc>
          <w:tcPr>
            <w:tcW w:w="20" w:type="dxa"/>
            <w:shd w:val="clear" w:color="auto" w:fill="auto"/>
            <w:vAlign w:val="bottom"/>
          </w:tcPr>
          <w:p w14:paraId="392C8555" w14:textId="77777777" w:rsidR="00980E5F" w:rsidRDefault="00980E5F">
            <w:pPr>
              <w:rPr>
                <w:rFonts w:ascii="宋体"/>
              </w:rPr>
            </w:pPr>
          </w:p>
        </w:tc>
        <w:tc>
          <w:tcPr>
            <w:tcW w:w="1745" w:type="dxa"/>
            <w:shd w:val="clear" w:color="auto" w:fill="auto"/>
            <w:vAlign w:val="bottom"/>
          </w:tcPr>
          <w:p w14:paraId="392C8556" w14:textId="77777777" w:rsidR="00980E5F" w:rsidRDefault="00980E5F">
            <w:pPr>
              <w:rPr>
                <w:rFonts w:ascii="宋体"/>
              </w:rPr>
            </w:pPr>
          </w:p>
        </w:tc>
        <w:tc>
          <w:tcPr>
            <w:tcW w:w="20" w:type="dxa"/>
            <w:shd w:val="clear" w:color="auto" w:fill="auto"/>
            <w:vAlign w:val="bottom"/>
          </w:tcPr>
          <w:p w14:paraId="392C8557" w14:textId="77777777" w:rsidR="00980E5F" w:rsidRDefault="00980E5F">
            <w:pPr>
              <w:rPr>
                <w:rFonts w:ascii="宋体"/>
              </w:rPr>
            </w:pPr>
          </w:p>
        </w:tc>
      </w:tr>
      <w:tr w:rsidR="00980E5F" w14:paraId="392C855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5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5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5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5D" w14:textId="77777777" w:rsidR="00980E5F" w:rsidRDefault="00980E5F">
            <w:pPr>
              <w:rPr>
                <w:rFonts w:ascii="宋体"/>
              </w:rPr>
            </w:pPr>
          </w:p>
        </w:tc>
      </w:tr>
    </w:tbl>
    <w:p w14:paraId="392C855F" w14:textId="77777777" w:rsidR="00980E5F" w:rsidRDefault="00483613">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392C8560"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Included in these amounts is the </w:t>
      </w:r>
      <w:r>
        <w:rPr>
          <w:rFonts w:ascii="Arial" w:eastAsia="宋体" w:hAnsi="Arial" w:cs="Arial"/>
          <w:color w:val="000000"/>
          <w:sz w:val="14"/>
          <w:szCs w:val="14"/>
        </w:rPr>
        <w:t xml:space="preserve">amortized cost of the prepayable financial assets designated in last-of-layer hedging relationships (hedged item is the last layer of a closed portfolio of prepayable financial assets expected to remain outstanding at the end of the hedging relationship). </w:t>
      </w:r>
      <w:r>
        <w:rPr>
          <w:rFonts w:ascii="Arial" w:eastAsia="宋体" w:hAnsi="Arial" w:cs="Arial"/>
          <w:color w:val="000000"/>
          <w:sz w:val="14"/>
          <w:szCs w:val="14"/>
        </w:rPr>
        <w:t>At June 30, 2022 and December 31, 2021, the amortized cost of the closed portfolios used in these hedging relationships was $221 million and zero, respectively, of which $68 million and zero, respectively, was designated in the last-of-layer hedging relati</w:t>
      </w:r>
      <w:r>
        <w:rPr>
          <w:rFonts w:ascii="Arial" w:eastAsia="宋体" w:hAnsi="Arial" w:cs="Arial"/>
          <w:color w:val="000000"/>
          <w:sz w:val="14"/>
          <w:szCs w:val="14"/>
        </w:rPr>
        <w:t>onship. At June 30, 2022 and December 31, 2021 the cumulative adjustment associated with these hedging relationships was ($1) million and zero, respectively.</w:t>
      </w:r>
    </w:p>
    <w:p w14:paraId="392C8561" w14:textId="77777777" w:rsidR="00980E5F" w:rsidRDefault="00483613">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Carrying amount represents amortized cost.</w:t>
      </w:r>
    </w:p>
    <w:p w14:paraId="392C8562" w14:textId="77777777" w:rsidR="00980E5F" w:rsidRDefault="00483613">
      <w:pPr>
        <w:spacing w:before="60"/>
        <w:ind w:firstLine="450"/>
        <w:jc w:val="both"/>
      </w:pPr>
      <w:r>
        <w:rPr>
          <w:rFonts w:ascii="Arial" w:eastAsia="宋体" w:hAnsi="Arial" w:cs="Arial"/>
          <w:color w:val="000000"/>
          <w:sz w:val="20"/>
          <w:szCs w:val="20"/>
        </w:rPr>
        <w:t>As of June 30, 2022 and December 31, 2021, the tota</w:t>
      </w:r>
      <w:r>
        <w:rPr>
          <w:rFonts w:ascii="Arial" w:eastAsia="宋体" w:hAnsi="Arial" w:cs="Arial"/>
          <w:color w:val="000000"/>
          <w:sz w:val="20"/>
          <w:szCs w:val="20"/>
        </w:rPr>
        <w:t>l notional amount of the interest rate swaps of fair value hedges was $17.07 billion and $6.95 billion, respectively.</w:t>
      </w:r>
    </w:p>
    <w:p w14:paraId="392C8563" w14:textId="77777777" w:rsidR="00980E5F" w:rsidRDefault="00980E5F">
      <w:pPr>
        <w:ind w:firstLine="450"/>
        <w:jc w:val="both"/>
      </w:pPr>
    </w:p>
    <w:p w14:paraId="392C8564" w14:textId="77777777" w:rsidR="00980E5F" w:rsidRDefault="00483613">
      <w:pPr>
        <w:ind w:firstLine="450"/>
        <w:jc w:val="right"/>
      </w:pPr>
      <w:r>
        <w:rPr>
          <w:rFonts w:ascii="Arial" w:eastAsia="宋体" w:hAnsi="Arial" w:cs="Arial"/>
          <w:color w:val="000000"/>
          <w:sz w:val="18"/>
          <w:szCs w:val="18"/>
        </w:rPr>
        <w:t>State Street Corporation | 81</w:t>
      </w:r>
    </w:p>
    <w:p w14:paraId="392C8565" w14:textId="77777777" w:rsidR="00980E5F" w:rsidRDefault="00980E5F">
      <w:pPr>
        <w:ind w:firstLine="450"/>
        <w:jc w:val="center"/>
      </w:pPr>
    </w:p>
    <w:p w14:paraId="392C8566" w14:textId="77777777" w:rsidR="00980E5F" w:rsidRDefault="00483613">
      <w:r>
        <w:pict w14:anchorId="392CBB1F">
          <v:rect id="_x0000_i1105" style="width:415.3pt;height:1.5pt" o:hralign="center" o:hrstd="t" o:hr="t" fillcolor="#a0a0a0" stroked="f"/>
        </w:pict>
      </w:r>
    </w:p>
    <w:p w14:paraId="392C8567" w14:textId="77777777" w:rsidR="00980E5F" w:rsidRDefault="00483613">
      <w:pPr>
        <w:ind w:firstLine="450"/>
        <w:jc w:val="center"/>
      </w:pPr>
      <w:r>
        <w:rPr>
          <w:rFonts w:ascii="Arial" w:eastAsia="宋体" w:hAnsi="Arial" w:cs="Arial"/>
          <w:b/>
          <w:bCs/>
          <w:color w:val="000000"/>
          <w:sz w:val="20"/>
          <w:szCs w:val="20"/>
        </w:rPr>
        <w:t>STATE STREET CORPORATION</w:t>
      </w:r>
    </w:p>
    <w:p w14:paraId="392C8568"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569" w14:textId="77777777" w:rsidR="00980E5F" w:rsidRDefault="00483613">
      <w:pPr>
        <w:ind w:firstLine="450"/>
        <w:jc w:val="center"/>
      </w:pPr>
      <w:r>
        <w:rPr>
          <w:rFonts w:ascii="Arial" w:eastAsia="宋体" w:hAnsi="Arial" w:cs="Arial"/>
          <w:b/>
          <w:bCs/>
          <w:color w:val="000000"/>
          <w:sz w:val="20"/>
          <w:szCs w:val="20"/>
        </w:rPr>
        <w:t>(UNAUDITED)</w:t>
      </w:r>
    </w:p>
    <w:p w14:paraId="392C856A" w14:textId="77777777" w:rsidR="00980E5F" w:rsidRDefault="00483613">
      <w:pPr>
        <w:spacing w:before="60"/>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tables present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712"/>
        <w:gridCol w:w="36"/>
        <w:gridCol w:w="75"/>
        <w:gridCol w:w="867"/>
        <w:gridCol w:w="36"/>
        <w:gridCol w:w="36"/>
        <w:gridCol w:w="36"/>
        <w:gridCol w:w="36"/>
        <w:gridCol w:w="94"/>
        <w:gridCol w:w="575"/>
        <w:gridCol w:w="37"/>
        <w:gridCol w:w="37"/>
        <w:gridCol w:w="37"/>
        <w:gridCol w:w="37"/>
        <w:gridCol w:w="94"/>
        <w:gridCol w:w="575"/>
        <w:gridCol w:w="37"/>
        <w:gridCol w:w="46"/>
        <w:gridCol w:w="820"/>
        <w:gridCol w:w="36"/>
        <w:gridCol w:w="36"/>
        <w:gridCol w:w="36"/>
        <w:gridCol w:w="96"/>
        <w:gridCol w:w="940"/>
        <w:gridCol w:w="37"/>
        <w:gridCol w:w="36"/>
        <w:gridCol w:w="36"/>
        <w:gridCol w:w="36"/>
        <w:gridCol w:w="77"/>
        <w:gridCol w:w="886"/>
        <w:gridCol w:w="38"/>
        <w:gridCol w:w="37"/>
        <w:gridCol w:w="37"/>
        <w:gridCol w:w="37"/>
        <w:gridCol w:w="96"/>
        <w:gridCol w:w="536"/>
        <w:gridCol w:w="39"/>
        <w:gridCol w:w="36"/>
        <w:gridCol w:w="36"/>
        <w:gridCol w:w="36"/>
        <w:gridCol w:w="94"/>
        <w:gridCol w:w="536"/>
        <w:gridCol w:w="36"/>
        <w:gridCol w:w="36"/>
        <w:gridCol w:w="36"/>
        <w:gridCol w:w="36"/>
        <w:gridCol w:w="36"/>
        <w:gridCol w:w="36"/>
        <w:gridCol w:w="36"/>
      </w:tblGrid>
      <w:tr w:rsidR="00980E5F" w14:paraId="392C8599" w14:textId="77777777">
        <w:tc>
          <w:tcPr>
            <w:tcW w:w="50" w:type="pct"/>
            <w:shd w:val="clear" w:color="auto" w:fill="auto"/>
            <w:vAlign w:val="bottom"/>
          </w:tcPr>
          <w:p w14:paraId="392C856B" w14:textId="77777777" w:rsidR="00980E5F" w:rsidRDefault="00980E5F">
            <w:pPr>
              <w:rPr>
                <w:rFonts w:ascii="宋体"/>
              </w:rPr>
            </w:pPr>
          </w:p>
        </w:tc>
        <w:tc>
          <w:tcPr>
            <w:tcW w:w="697" w:type="pct"/>
            <w:shd w:val="clear" w:color="auto" w:fill="auto"/>
            <w:vAlign w:val="bottom"/>
          </w:tcPr>
          <w:p w14:paraId="392C856C" w14:textId="77777777" w:rsidR="00980E5F" w:rsidRDefault="00980E5F">
            <w:pPr>
              <w:rPr>
                <w:rFonts w:ascii="宋体"/>
              </w:rPr>
            </w:pPr>
          </w:p>
        </w:tc>
        <w:tc>
          <w:tcPr>
            <w:tcW w:w="5" w:type="pct"/>
            <w:shd w:val="clear" w:color="auto" w:fill="auto"/>
            <w:vAlign w:val="bottom"/>
          </w:tcPr>
          <w:p w14:paraId="392C856D" w14:textId="77777777" w:rsidR="00980E5F" w:rsidRDefault="00980E5F">
            <w:pPr>
              <w:rPr>
                <w:rFonts w:ascii="宋体"/>
              </w:rPr>
            </w:pPr>
          </w:p>
        </w:tc>
        <w:tc>
          <w:tcPr>
            <w:tcW w:w="50" w:type="pct"/>
            <w:shd w:val="clear" w:color="auto" w:fill="auto"/>
            <w:vAlign w:val="bottom"/>
          </w:tcPr>
          <w:p w14:paraId="392C856E" w14:textId="77777777" w:rsidR="00980E5F" w:rsidRDefault="00980E5F">
            <w:pPr>
              <w:rPr>
                <w:rFonts w:ascii="宋体"/>
              </w:rPr>
            </w:pPr>
          </w:p>
        </w:tc>
        <w:tc>
          <w:tcPr>
            <w:tcW w:w="580" w:type="pct"/>
            <w:shd w:val="clear" w:color="auto" w:fill="auto"/>
            <w:vAlign w:val="bottom"/>
          </w:tcPr>
          <w:p w14:paraId="392C856F" w14:textId="77777777" w:rsidR="00980E5F" w:rsidRDefault="00980E5F">
            <w:pPr>
              <w:rPr>
                <w:rFonts w:ascii="宋体"/>
              </w:rPr>
            </w:pPr>
          </w:p>
        </w:tc>
        <w:tc>
          <w:tcPr>
            <w:tcW w:w="5" w:type="pct"/>
            <w:shd w:val="clear" w:color="auto" w:fill="auto"/>
            <w:vAlign w:val="bottom"/>
          </w:tcPr>
          <w:p w14:paraId="392C8570" w14:textId="77777777" w:rsidR="00980E5F" w:rsidRDefault="00980E5F">
            <w:pPr>
              <w:rPr>
                <w:rFonts w:ascii="宋体"/>
              </w:rPr>
            </w:pPr>
          </w:p>
        </w:tc>
        <w:tc>
          <w:tcPr>
            <w:tcW w:w="5" w:type="pct"/>
            <w:shd w:val="clear" w:color="auto" w:fill="auto"/>
            <w:vAlign w:val="bottom"/>
          </w:tcPr>
          <w:p w14:paraId="392C8571" w14:textId="77777777" w:rsidR="00980E5F" w:rsidRDefault="00980E5F">
            <w:pPr>
              <w:rPr>
                <w:rFonts w:ascii="宋体"/>
              </w:rPr>
            </w:pPr>
          </w:p>
        </w:tc>
        <w:tc>
          <w:tcPr>
            <w:tcW w:w="19" w:type="pct"/>
            <w:shd w:val="clear" w:color="auto" w:fill="auto"/>
            <w:vAlign w:val="bottom"/>
          </w:tcPr>
          <w:p w14:paraId="392C8572" w14:textId="77777777" w:rsidR="00980E5F" w:rsidRDefault="00980E5F">
            <w:pPr>
              <w:rPr>
                <w:rFonts w:ascii="宋体"/>
              </w:rPr>
            </w:pPr>
          </w:p>
        </w:tc>
        <w:tc>
          <w:tcPr>
            <w:tcW w:w="5" w:type="pct"/>
            <w:shd w:val="clear" w:color="auto" w:fill="auto"/>
            <w:vAlign w:val="bottom"/>
          </w:tcPr>
          <w:p w14:paraId="392C8573" w14:textId="77777777" w:rsidR="00980E5F" w:rsidRDefault="00980E5F">
            <w:pPr>
              <w:rPr>
                <w:rFonts w:ascii="宋体"/>
              </w:rPr>
            </w:pPr>
          </w:p>
        </w:tc>
        <w:tc>
          <w:tcPr>
            <w:tcW w:w="50" w:type="pct"/>
            <w:shd w:val="clear" w:color="auto" w:fill="auto"/>
            <w:vAlign w:val="bottom"/>
          </w:tcPr>
          <w:p w14:paraId="392C8574" w14:textId="77777777" w:rsidR="00980E5F" w:rsidRDefault="00980E5F">
            <w:pPr>
              <w:rPr>
                <w:rFonts w:ascii="宋体"/>
              </w:rPr>
            </w:pPr>
          </w:p>
        </w:tc>
        <w:tc>
          <w:tcPr>
            <w:tcW w:w="500" w:type="pct"/>
            <w:shd w:val="clear" w:color="auto" w:fill="auto"/>
            <w:vAlign w:val="bottom"/>
          </w:tcPr>
          <w:p w14:paraId="392C8575" w14:textId="77777777" w:rsidR="00980E5F" w:rsidRDefault="00980E5F">
            <w:pPr>
              <w:rPr>
                <w:rFonts w:ascii="宋体"/>
              </w:rPr>
            </w:pPr>
          </w:p>
        </w:tc>
        <w:tc>
          <w:tcPr>
            <w:tcW w:w="5" w:type="pct"/>
            <w:shd w:val="clear" w:color="auto" w:fill="auto"/>
            <w:vAlign w:val="bottom"/>
          </w:tcPr>
          <w:p w14:paraId="392C8576" w14:textId="77777777" w:rsidR="00980E5F" w:rsidRDefault="00980E5F">
            <w:pPr>
              <w:rPr>
                <w:rFonts w:ascii="宋体"/>
              </w:rPr>
            </w:pPr>
          </w:p>
        </w:tc>
        <w:tc>
          <w:tcPr>
            <w:tcW w:w="5" w:type="pct"/>
            <w:shd w:val="clear" w:color="auto" w:fill="auto"/>
            <w:vAlign w:val="bottom"/>
          </w:tcPr>
          <w:p w14:paraId="392C8577" w14:textId="77777777" w:rsidR="00980E5F" w:rsidRDefault="00980E5F">
            <w:pPr>
              <w:rPr>
                <w:rFonts w:ascii="宋体"/>
              </w:rPr>
            </w:pPr>
          </w:p>
        </w:tc>
        <w:tc>
          <w:tcPr>
            <w:tcW w:w="26" w:type="pct"/>
            <w:shd w:val="clear" w:color="auto" w:fill="auto"/>
            <w:vAlign w:val="bottom"/>
          </w:tcPr>
          <w:p w14:paraId="392C8578" w14:textId="77777777" w:rsidR="00980E5F" w:rsidRDefault="00980E5F">
            <w:pPr>
              <w:rPr>
                <w:rFonts w:ascii="宋体"/>
              </w:rPr>
            </w:pPr>
          </w:p>
        </w:tc>
        <w:tc>
          <w:tcPr>
            <w:tcW w:w="5" w:type="pct"/>
            <w:shd w:val="clear" w:color="auto" w:fill="auto"/>
            <w:vAlign w:val="bottom"/>
          </w:tcPr>
          <w:p w14:paraId="392C8579" w14:textId="77777777" w:rsidR="00980E5F" w:rsidRDefault="00980E5F">
            <w:pPr>
              <w:rPr>
                <w:rFonts w:ascii="宋体"/>
              </w:rPr>
            </w:pPr>
          </w:p>
        </w:tc>
        <w:tc>
          <w:tcPr>
            <w:tcW w:w="50" w:type="pct"/>
            <w:shd w:val="clear" w:color="auto" w:fill="auto"/>
            <w:vAlign w:val="bottom"/>
          </w:tcPr>
          <w:p w14:paraId="392C857A" w14:textId="77777777" w:rsidR="00980E5F" w:rsidRDefault="00980E5F">
            <w:pPr>
              <w:rPr>
                <w:rFonts w:ascii="宋体"/>
              </w:rPr>
            </w:pPr>
          </w:p>
        </w:tc>
        <w:tc>
          <w:tcPr>
            <w:tcW w:w="500" w:type="pct"/>
            <w:shd w:val="clear" w:color="auto" w:fill="auto"/>
            <w:vAlign w:val="bottom"/>
          </w:tcPr>
          <w:p w14:paraId="392C857B" w14:textId="77777777" w:rsidR="00980E5F" w:rsidRDefault="00980E5F">
            <w:pPr>
              <w:rPr>
                <w:rFonts w:ascii="宋体"/>
              </w:rPr>
            </w:pPr>
          </w:p>
        </w:tc>
        <w:tc>
          <w:tcPr>
            <w:tcW w:w="5" w:type="pct"/>
            <w:shd w:val="clear" w:color="auto" w:fill="auto"/>
            <w:vAlign w:val="bottom"/>
          </w:tcPr>
          <w:p w14:paraId="392C857C" w14:textId="77777777" w:rsidR="00980E5F" w:rsidRDefault="00980E5F">
            <w:pPr>
              <w:rPr>
                <w:rFonts w:ascii="宋体"/>
              </w:rPr>
            </w:pPr>
          </w:p>
        </w:tc>
        <w:tc>
          <w:tcPr>
            <w:tcW w:w="0" w:type="auto"/>
            <w:shd w:val="clear" w:color="auto" w:fill="auto"/>
            <w:vAlign w:val="bottom"/>
          </w:tcPr>
          <w:p w14:paraId="392C857D" w14:textId="77777777" w:rsidR="00980E5F" w:rsidRDefault="00980E5F">
            <w:pPr>
              <w:rPr>
                <w:rFonts w:ascii="宋体"/>
                <w:vanish/>
              </w:rPr>
            </w:pPr>
          </w:p>
        </w:tc>
        <w:tc>
          <w:tcPr>
            <w:tcW w:w="0" w:type="auto"/>
            <w:shd w:val="clear" w:color="auto" w:fill="auto"/>
            <w:vAlign w:val="bottom"/>
          </w:tcPr>
          <w:p w14:paraId="392C857E" w14:textId="77777777" w:rsidR="00980E5F" w:rsidRDefault="00980E5F">
            <w:pPr>
              <w:rPr>
                <w:rFonts w:ascii="宋体"/>
                <w:vanish/>
              </w:rPr>
            </w:pPr>
          </w:p>
        </w:tc>
        <w:tc>
          <w:tcPr>
            <w:tcW w:w="5" w:type="pct"/>
            <w:shd w:val="clear" w:color="auto" w:fill="auto"/>
            <w:vAlign w:val="bottom"/>
          </w:tcPr>
          <w:p w14:paraId="392C857F" w14:textId="77777777" w:rsidR="00980E5F" w:rsidRDefault="00980E5F">
            <w:pPr>
              <w:rPr>
                <w:rFonts w:ascii="宋体"/>
              </w:rPr>
            </w:pPr>
          </w:p>
        </w:tc>
        <w:tc>
          <w:tcPr>
            <w:tcW w:w="19" w:type="pct"/>
            <w:shd w:val="clear" w:color="auto" w:fill="auto"/>
            <w:vAlign w:val="bottom"/>
          </w:tcPr>
          <w:p w14:paraId="392C8580" w14:textId="77777777" w:rsidR="00980E5F" w:rsidRDefault="00980E5F">
            <w:pPr>
              <w:rPr>
                <w:rFonts w:ascii="宋体"/>
              </w:rPr>
            </w:pPr>
          </w:p>
        </w:tc>
        <w:tc>
          <w:tcPr>
            <w:tcW w:w="5" w:type="pct"/>
            <w:shd w:val="clear" w:color="auto" w:fill="auto"/>
            <w:vAlign w:val="bottom"/>
          </w:tcPr>
          <w:p w14:paraId="392C8581" w14:textId="77777777" w:rsidR="00980E5F" w:rsidRDefault="00980E5F">
            <w:pPr>
              <w:rPr>
                <w:rFonts w:ascii="宋体"/>
              </w:rPr>
            </w:pPr>
          </w:p>
        </w:tc>
        <w:tc>
          <w:tcPr>
            <w:tcW w:w="50" w:type="pct"/>
            <w:shd w:val="clear" w:color="auto" w:fill="auto"/>
            <w:vAlign w:val="bottom"/>
          </w:tcPr>
          <w:p w14:paraId="392C8582" w14:textId="77777777" w:rsidR="00980E5F" w:rsidRDefault="00980E5F">
            <w:pPr>
              <w:rPr>
                <w:rFonts w:ascii="宋体"/>
              </w:rPr>
            </w:pPr>
          </w:p>
        </w:tc>
        <w:tc>
          <w:tcPr>
            <w:tcW w:w="493" w:type="pct"/>
            <w:shd w:val="clear" w:color="auto" w:fill="auto"/>
            <w:vAlign w:val="bottom"/>
          </w:tcPr>
          <w:p w14:paraId="392C8583" w14:textId="77777777" w:rsidR="00980E5F" w:rsidRDefault="00980E5F">
            <w:pPr>
              <w:rPr>
                <w:rFonts w:ascii="宋体"/>
              </w:rPr>
            </w:pPr>
          </w:p>
        </w:tc>
        <w:tc>
          <w:tcPr>
            <w:tcW w:w="5" w:type="pct"/>
            <w:shd w:val="clear" w:color="auto" w:fill="auto"/>
            <w:vAlign w:val="bottom"/>
          </w:tcPr>
          <w:p w14:paraId="392C8584" w14:textId="77777777" w:rsidR="00980E5F" w:rsidRDefault="00980E5F">
            <w:pPr>
              <w:rPr>
                <w:rFonts w:ascii="宋体"/>
              </w:rPr>
            </w:pPr>
          </w:p>
        </w:tc>
        <w:tc>
          <w:tcPr>
            <w:tcW w:w="5" w:type="pct"/>
            <w:shd w:val="clear" w:color="auto" w:fill="auto"/>
            <w:vAlign w:val="bottom"/>
          </w:tcPr>
          <w:p w14:paraId="392C8585" w14:textId="77777777" w:rsidR="00980E5F" w:rsidRDefault="00980E5F">
            <w:pPr>
              <w:rPr>
                <w:rFonts w:ascii="宋体"/>
              </w:rPr>
            </w:pPr>
          </w:p>
        </w:tc>
        <w:tc>
          <w:tcPr>
            <w:tcW w:w="19" w:type="pct"/>
            <w:shd w:val="clear" w:color="auto" w:fill="auto"/>
            <w:vAlign w:val="bottom"/>
          </w:tcPr>
          <w:p w14:paraId="392C8586" w14:textId="77777777" w:rsidR="00980E5F" w:rsidRDefault="00980E5F">
            <w:pPr>
              <w:rPr>
                <w:rFonts w:ascii="宋体"/>
              </w:rPr>
            </w:pPr>
          </w:p>
        </w:tc>
        <w:tc>
          <w:tcPr>
            <w:tcW w:w="5" w:type="pct"/>
            <w:shd w:val="clear" w:color="auto" w:fill="auto"/>
            <w:vAlign w:val="bottom"/>
          </w:tcPr>
          <w:p w14:paraId="392C8587" w14:textId="77777777" w:rsidR="00980E5F" w:rsidRDefault="00980E5F">
            <w:pPr>
              <w:rPr>
                <w:rFonts w:ascii="宋体"/>
              </w:rPr>
            </w:pPr>
          </w:p>
        </w:tc>
        <w:tc>
          <w:tcPr>
            <w:tcW w:w="50" w:type="pct"/>
            <w:shd w:val="clear" w:color="auto" w:fill="auto"/>
            <w:vAlign w:val="bottom"/>
          </w:tcPr>
          <w:p w14:paraId="392C8588" w14:textId="77777777" w:rsidR="00980E5F" w:rsidRDefault="00980E5F">
            <w:pPr>
              <w:rPr>
                <w:rFonts w:ascii="宋体"/>
              </w:rPr>
            </w:pPr>
          </w:p>
        </w:tc>
        <w:tc>
          <w:tcPr>
            <w:tcW w:w="580" w:type="pct"/>
            <w:shd w:val="clear" w:color="auto" w:fill="auto"/>
            <w:vAlign w:val="bottom"/>
          </w:tcPr>
          <w:p w14:paraId="392C8589" w14:textId="77777777" w:rsidR="00980E5F" w:rsidRDefault="00980E5F">
            <w:pPr>
              <w:rPr>
                <w:rFonts w:ascii="宋体"/>
              </w:rPr>
            </w:pPr>
          </w:p>
        </w:tc>
        <w:tc>
          <w:tcPr>
            <w:tcW w:w="5" w:type="pct"/>
            <w:shd w:val="clear" w:color="auto" w:fill="auto"/>
            <w:vAlign w:val="bottom"/>
          </w:tcPr>
          <w:p w14:paraId="392C858A" w14:textId="77777777" w:rsidR="00980E5F" w:rsidRDefault="00980E5F">
            <w:pPr>
              <w:rPr>
                <w:rFonts w:ascii="宋体"/>
              </w:rPr>
            </w:pPr>
          </w:p>
        </w:tc>
        <w:tc>
          <w:tcPr>
            <w:tcW w:w="5" w:type="pct"/>
            <w:shd w:val="clear" w:color="auto" w:fill="auto"/>
            <w:vAlign w:val="bottom"/>
          </w:tcPr>
          <w:p w14:paraId="392C858B" w14:textId="77777777" w:rsidR="00980E5F" w:rsidRDefault="00980E5F">
            <w:pPr>
              <w:rPr>
                <w:rFonts w:ascii="宋体"/>
              </w:rPr>
            </w:pPr>
          </w:p>
        </w:tc>
        <w:tc>
          <w:tcPr>
            <w:tcW w:w="19" w:type="pct"/>
            <w:shd w:val="clear" w:color="auto" w:fill="auto"/>
            <w:vAlign w:val="bottom"/>
          </w:tcPr>
          <w:p w14:paraId="392C858C" w14:textId="77777777" w:rsidR="00980E5F" w:rsidRDefault="00980E5F">
            <w:pPr>
              <w:rPr>
                <w:rFonts w:ascii="宋体"/>
              </w:rPr>
            </w:pPr>
          </w:p>
        </w:tc>
        <w:tc>
          <w:tcPr>
            <w:tcW w:w="5" w:type="pct"/>
            <w:shd w:val="clear" w:color="auto" w:fill="auto"/>
            <w:vAlign w:val="bottom"/>
          </w:tcPr>
          <w:p w14:paraId="392C858D" w14:textId="77777777" w:rsidR="00980E5F" w:rsidRDefault="00980E5F">
            <w:pPr>
              <w:rPr>
                <w:rFonts w:ascii="宋体"/>
              </w:rPr>
            </w:pPr>
          </w:p>
        </w:tc>
        <w:tc>
          <w:tcPr>
            <w:tcW w:w="50" w:type="pct"/>
            <w:shd w:val="clear" w:color="auto" w:fill="auto"/>
            <w:vAlign w:val="bottom"/>
          </w:tcPr>
          <w:p w14:paraId="392C858E" w14:textId="77777777" w:rsidR="00980E5F" w:rsidRDefault="00980E5F">
            <w:pPr>
              <w:rPr>
                <w:rFonts w:ascii="宋体"/>
              </w:rPr>
            </w:pPr>
          </w:p>
        </w:tc>
        <w:tc>
          <w:tcPr>
            <w:tcW w:w="507" w:type="pct"/>
            <w:shd w:val="clear" w:color="auto" w:fill="auto"/>
            <w:vAlign w:val="bottom"/>
          </w:tcPr>
          <w:p w14:paraId="392C858F" w14:textId="77777777" w:rsidR="00980E5F" w:rsidRDefault="00980E5F">
            <w:pPr>
              <w:rPr>
                <w:rFonts w:ascii="宋体"/>
              </w:rPr>
            </w:pPr>
          </w:p>
        </w:tc>
        <w:tc>
          <w:tcPr>
            <w:tcW w:w="5" w:type="pct"/>
            <w:shd w:val="clear" w:color="auto" w:fill="auto"/>
            <w:vAlign w:val="bottom"/>
          </w:tcPr>
          <w:p w14:paraId="392C8590" w14:textId="77777777" w:rsidR="00980E5F" w:rsidRDefault="00980E5F">
            <w:pPr>
              <w:rPr>
                <w:rFonts w:ascii="宋体"/>
              </w:rPr>
            </w:pPr>
          </w:p>
        </w:tc>
        <w:tc>
          <w:tcPr>
            <w:tcW w:w="5" w:type="pct"/>
            <w:shd w:val="clear" w:color="auto" w:fill="auto"/>
            <w:vAlign w:val="bottom"/>
          </w:tcPr>
          <w:p w14:paraId="392C8591" w14:textId="77777777" w:rsidR="00980E5F" w:rsidRDefault="00980E5F">
            <w:pPr>
              <w:rPr>
                <w:rFonts w:ascii="宋体"/>
              </w:rPr>
            </w:pPr>
          </w:p>
        </w:tc>
        <w:tc>
          <w:tcPr>
            <w:tcW w:w="26" w:type="pct"/>
            <w:shd w:val="clear" w:color="auto" w:fill="auto"/>
            <w:vAlign w:val="bottom"/>
          </w:tcPr>
          <w:p w14:paraId="392C8592" w14:textId="77777777" w:rsidR="00980E5F" w:rsidRDefault="00980E5F">
            <w:pPr>
              <w:rPr>
                <w:rFonts w:ascii="宋体"/>
              </w:rPr>
            </w:pPr>
          </w:p>
        </w:tc>
        <w:tc>
          <w:tcPr>
            <w:tcW w:w="5" w:type="pct"/>
            <w:shd w:val="clear" w:color="auto" w:fill="auto"/>
            <w:vAlign w:val="bottom"/>
          </w:tcPr>
          <w:p w14:paraId="392C8593" w14:textId="77777777" w:rsidR="00980E5F" w:rsidRDefault="00980E5F">
            <w:pPr>
              <w:rPr>
                <w:rFonts w:ascii="宋体"/>
              </w:rPr>
            </w:pPr>
          </w:p>
        </w:tc>
        <w:tc>
          <w:tcPr>
            <w:tcW w:w="50" w:type="pct"/>
            <w:shd w:val="clear" w:color="auto" w:fill="auto"/>
            <w:vAlign w:val="bottom"/>
          </w:tcPr>
          <w:p w14:paraId="392C8594" w14:textId="77777777" w:rsidR="00980E5F" w:rsidRDefault="00980E5F">
            <w:pPr>
              <w:rPr>
                <w:rFonts w:ascii="宋体"/>
              </w:rPr>
            </w:pPr>
          </w:p>
        </w:tc>
        <w:tc>
          <w:tcPr>
            <w:tcW w:w="508" w:type="pct"/>
            <w:shd w:val="clear" w:color="auto" w:fill="auto"/>
            <w:vAlign w:val="bottom"/>
          </w:tcPr>
          <w:p w14:paraId="392C8595" w14:textId="77777777" w:rsidR="00980E5F" w:rsidRDefault="00980E5F">
            <w:pPr>
              <w:rPr>
                <w:rFonts w:ascii="宋体"/>
              </w:rPr>
            </w:pPr>
          </w:p>
        </w:tc>
        <w:tc>
          <w:tcPr>
            <w:tcW w:w="5" w:type="pct"/>
            <w:shd w:val="clear" w:color="auto" w:fill="auto"/>
            <w:vAlign w:val="bottom"/>
          </w:tcPr>
          <w:p w14:paraId="392C8596" w14:textId="77777777" w:rsidR="00980E5F" w:rsidRDefault="00980E5F">
            <w:pPr>
              <w:rPr>
                <w:rFonts w:ascii="宋体"/>
              </w:rPr>
            </w:pPr>
          </w:p>
        </w:tc>
        <w:tc>
          <w:tcPr>
            <w:tcW w:w="0" w:type="auto"/>
            <w:gridSpan w:val="3"/>
            <w:shd w:val="clear" w:color="auto" w:fill="auto"/>
            <w:vAlign w:val="bottom"/>
          </w:tcPr>
          <w:p w14:paraId="392C8597" w14:textId="77777777" w:rsidR="00980E5F" w:rsidRDefault="00980E5F">
            <w:pPr>
              <w:rPr>
                <w:rFonts w:ascii="宋体"/>
                <w:vanish/>
              </w:rPr>
            </w:pPr>
          </w:p>
        </w:tc>
        <w:tc>
          <w:tcPr>
            <w:tcW w:w="0" w:type="auto"/>
            <w:gridSpan w:val="3"/>
            <w:shd w:val="clear" w:color="auto" w:fill="auto"/>
            <w:vAlign w:val="bottom"/>
          </w:tcPr>
          <w:p w14:paraId="392C8598" w14:textId="77777777" w:rsidR="00980E5F" w:rsidRDefault="00980E5F">
            <w:pPr>
              <w:rPr>
                <w:rFonts w:ascii="宋体"/>
                <w:vanish/>
              </w:rPr>
            </w:pPr>
          </w:p>
        </w:tc>
      </w:tr>
      <w:tr w:rsidR="00980E5F" w14:paraId="392C85B0" w14:textId="77777777">
        <w:tc>
          <w:tcPr>
            <w:tcW w:w="0" w:type="auto"/>
            <w:gridSpan w:val="3"/>
            <w:shd w:val="clear" w:color="auto" w:fill="auto"/>
            <w:tcMar>
              <w:top w:w="0" w:type="dxa"/>
              <w:left w:w="20" w:type="dxa"/>
              <w:bottom w:w="0" w:type="dxa"/>
              <w:right w:w="20" w:type="dxa"/>
            </w:tcMar>
            <w:vAlign w:val="bottom"/>
          </w:tcPr>
          <w:p w14:paraId="392C85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9C"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59D"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shd w:val="clear" w:color="auto" w:fill="auto"/>
            <w:tcMar>
              <w:top w:w="0" w:type="dxa"/>
              <w:left w:w="20" w:type="dxa"/>
              <w:bottom w:w="0" w:type="dxa"/>
              <w:right w:w="20" w:type="dxa"/>
            </w:tcMar>
            <w:vAlign w:val="bottom"/>
          </w:tcPr>
          <w:p w14:paraId="392C859E"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859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A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A2"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5A3"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shd w:val="clear" w:color="auto" w:fill="auto"/>
            <w:vAlign w:val="bottom"/>
          </w:tcPr>
          <w:p w14:paraId="392C85A4" w14:textId="77777777" w:rsidR="00980E5F" w:rsidRDefault="00980E5F">
            <w:pPr>
              <w:rPr>
                <w:rFonts w:ascii="宋体"/>
              </w:rPr>
            </w:pPr>
          </w:p>
        </w:tc>
        <w:tc>
          <w:tcPr>
            <w:tcW w:w="0" w:type="auto"/>
            <w:shd w:val="clear" w:color="auto" w:fill="auto"/>
            <w:vAlign w:val="bottom"/>
          </w:tcPr>
          <w:p w14:paraId="392C85A5" w14:textId="77777777" w:rsidR="00980E5F" w:rsidRDefault="00980E5F">
            <w:pPr>
              <w:rPr>
                <w:rFonts w:ascii="宋体"/>
              </w:rPr>
            </w:pPr>
          </w:p>
        </w:tc>
        <w:tc>
          <w:tcPr>
            <w:tcW w:w="0" w:type="auto"/>
            <w:shd w:val="clear" w:color="auto" w:fill="auto"/>
            <w:vAlign w:val="bottom"/>
          </w:tcPr>
          <w:p w14:paraId="392C85A6" w14:textId="77777777" w:rsidR="00980E5F" w:rsidRDefault="00980E5F">
            <w:pPr>
              <w:rPr>
                <w:rFonts w:ascii="宋体"/>
              </w:rPr>
            </w:pPr>
          </w:p>
        </w:tc>
        <w:tc>
          <w:tcPr>
            <w:tcW w:w="0" w:type="auto"/>
            <w:shd w:val="clear" w:color="auto" w:fill="auto"/>
            <w:vAlign w:val="bottom"/>
          </w:tcPr>
          <w:p w14:paraId="392C85A7" w14:textId="77777777" w:rsidR="00980E5F" w:rsidRDefault="00980E5F">
            <w:pPr>
              <w:rPr>
                <w:rFonts w:ascii="宋体"/>
              </w:rPr>
            </w:pPr>
          </w:p>
        </w:tc>
        <w:tc>
          <w:tcPr>
            <w:tcW w:w="0" w:type="auto"/>
            <w:shd w:val="clear" w:color="auto" w:fill="auto"/>
            <w:vAlign w:val="bottom"/>
          </w:tcPr>
          <w:p w14:paraId="392C85A8" w14:textId="77777777" w:rsidR="00980E5F" w:rsidRDefault="00980E5F">
            <w:pPr>
              <w:rPr>
                <w:rFonts w:ascii="宋体"/>
              </w:rPr>
            </w:pPr>
          </w:p>
        </w:tc>
        <w:tc>
          <w:tcPr>
            <w:tcW w:w="0" w:type="auto"/>
            <w:shd w:val="clear" w:color="auto" w:fill="auto"/>
            <w:vAlign w:val="bottom"/>
          </w:tcPr>
          <w:p w14:paraId="392C85A9" w14:textId="77777777" w:rsidR="00980E5F" w:rsidRDefault="00980E5F">
            <w:pPr>
              <w:rPr>
                <w:rFonts w:ascii="宋体"/>
              </w:rPr>
            </w:pPr>
          </w:p>
        </w:tc>
        <w:tc>
          <w:tcPr>
            <w:tcW w:w="0" w:type="auto"/>
            <w:shd w:val="clear" w:color="auto" w:fill="auto"/>
            <w:vAlign w:val="bottom"/>
          </w:tcPr>
          <w:p w14:paraId="392C85AA" w14:textId="77777777" w:rsidR="00980E5F" w:rsidRDefault="00980E5F">
            <w:pPr>
              <w:rPr>
                <w:rFonts w:ascii="宋体"/>
              </w:rPr>
            </w:pPr>
          </w:p>
        </w:tc>
        <w:tc>
          <w:tcPr>
            <w:tcW w:w="0" w:type="auto"/>
            <w:shd w:val="clear" w:color="auto" w:fill="auto"/>
            <w:vAlign w:val="bottom"/>
          </w:tcPr>
          <w:p w14:paraId="392C85AB" w14:textId="77777777" w:rsidR="00980E5F" w:rsidRDefault="00980E5F">
            <w:pPr>
              <w:rPr>
                <w:rFonts w:ascii="宋体"/>
              </w:rPr>
            </w:pPr>
          </w:p>
        </w:tc>
        <w:tc>
          <w:tcPr>
            <w:tcW w:w="0" w:type="auto"/>
            <w:shd w:val="clear" w:color="auto" w:fill="auto"/>
            <w:vAlign w:val="bottom"/>
          </w:tcPr>
          <w:p w14:paraId="392C85AC" w14:textId="77777777" w:rsidR="00980E5F" w:rsidRDefault="00980E5F">
            <w:pPr>
              <w:rPr>
                <w:rFonts w:ascii="宋体"/>
              </w:rPr>
            </w:pPr>
          </w:p>
        </w:tc>
        <w:tc>
          <w:tcPr>
            <w:tcW w:w="0" w:type="auto"/>
            <w:shd w:val="clear" w:color="auto" w:fill="auto"/>
            <w:vAlign w:val="bottom"/>
          </w:tcPr>
          <w:p w14:paraId="392C85AD" w14:textId="77777777" w:rsidR="00980E5F" w:rsidRDefault="00980E5F">
            <w:pPr>
              <w:rPr>
                <w:rFonts w:ascii="宋体"/>
              </w:rPr>
            </w:pPr>
          </w:p>
        </w:tc>
        <w:tc>
          <w:tcPr>
            <w:tcW w:w="0" w:type="auto"/>
            <w:shd w:val="clear" w:color="auto" w:fill="auto"/>
            <w:vAlign w:val="bottom"/>
          </w:tcPr>
          <w:p w14:paraId="392C85AE" w14:textId="77777777" w:rsidR="00980E5F" w:rsidRDefault="00980E5F">
            <w:pPr>
              <w:rPr>
                <w:rFonts w:ascii="宋体"/>
              </w:rPr>
            </w:pPr>
          </w:p>
        </w:tc>
        <w:tc>
          <w:tcPr>
            <w:tcW w:w="0" w:type="auto"/>
            <w:shd w:val="clear" w:color="auto" w:fill="auto"/>
            <w:vAlign w:val="bottom"/>
          </w:tcPr>
          <w:p w14:paraId="392C85AF" w14:textId="77777777" w:rsidR="00980E5F" w:rsidRDefault="00980E5F">
            <w:pPr>
              <w:rPr>
                <w:rFonts w:ascii="宋体"/>
              </w:rPr>
            </w:pPr>
          </w:p>
        </w:tc>
      </w:tr>
      <w:tr w:rsidR="00980E5F" w14:paraId="392C85C3" w14:textId="77777777">
        <w:tc>
          <w:tcPr>
            <w:tcW w:w="0" w:type="auto"/>
            <w:gridSpan w:val="3"/>
            <w:shd w:val="clear" w:color="auto" w:fill="auto"/>
            <w:tcMar>
              <w:top w:w="0" w:type="dxa"/>
              <w:left w:w="20" w:type="dxa"/>
              <w:bottom w:w="0" w:type="dxa"/>
              <w:right w:w="20" w:type="dxa"/>
            </w:tcMar>
            <w:vAlign w:val="bottom"/>
          </w:tcPr>
          <w:p w14:paraId="392C85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5B4"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B5"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5B6" w14:textId="77777777" w:rsidR="00980E5F" w:rsidRDefault="00483613">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392C85B7" w14:textId="77777777" w:rsidR="00980E5F" w:rsidRDefault="00980E5F">
            <w:pPr>
              <w:rPr>
                <w:rFonts w:ascii="宋体"/>
                <w:vanish/>
              </w:rPr>
            </w:pPr>
          </w:p>
        </w:tc>
        <w:tc>
          <w:tcPr>
            <w:tcW w:w="0" w:type="auto"/>
            <w:shd w:val="clear" w:color="auto" w:fill="auto"/>
            <w:vAlign w:val="bottom"/>
          </w:tcPr>
          <w:p w14:paraId="392C85B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5B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B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5BE"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BF"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5C0"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C85C1" w14:textId="77777777" w:rsidR="00980E5F" w:rsidRDefault="00980E5F">
            <w:pPr>
              <w:rPr>
                <w:rFonts w:ascii="宋体"/>
                <w:vanish/>
              </w:rPr>
            </w:pPr>
          </w:p>
        </w:tc>
        <w:tc>
          <w:tcPr>
            <w:tcW w:w="0" w:type="auto"/>
            <w:gridSpan w:val="3"/>
            <w:shd w:val="clear" w:color="auto" w:fill="auto"/>
            <w:vAlign w:val="bottom"/>
          </w:tcPr>
          <w:p w14:paraId="392C85C2" w14:textId="77777777" w:rsidR="00980E5F" w:rsidRDefault="00980E5F">
            <w:pPr>
              <w:rPr>
                <w:rFonts w:ascii="宋体"/>
                <w:vanish/>
              </w:rPr>
            </w:pPr>
          </w:p>
        </w:tc>
      </w:tr>
      <w:tr w:rsidR="00980E5F" w14:paraId="392C85DA" w14:textId="77777777">
        <w:tc>
          <w:tcPr>
            <w:tcW w:w="0" w:type="auto"/>
            <w:gridSpan w:val="3"/>
            <w:shd w:val="clear" w:color="auto" w:fill="auto"/>
            <w:tcMar>
              <w:top w:w="40" w:type="dxa"/>
              <w:left w:w="20" w:type="dxa"/>
              <w:bottom w:w="40" w:type="dxa"/>
              <w:right w:w="20" w:type="dxa"/>
            </w:tcMar>
            <w:vAlign w:val="bottom"/>
          </w:tcPr>
          <w:p w14:paraId="392C85C4"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85C5" w14:textId="77777777" w:rsidR="00980E5F" w:rsidRDefault="00483613">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392C85C6"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5C7" w14:textId="77777777" w:rsidR="00980E5F" w:rsidRDefault="00483613">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tcMar>
              <w:top w:w="0" w:type="dxa"/>
              <w:left w:w="20" w:type="dxa"/>
              <w:bottom w:w="0" w:type="dxa"/>
              <w:right w:w="20" w:type="dxa"/>
            </w:tcMar>
            <w:vAlign w:val="bottom"/>
          </w:tcPr>
          <w:p w14:paraId="392C85C8" w14:textId="77777777" w:rsidR="00980E5F" w:rsidRDefault="00980E5F">
            <w:pPr>
              <w:rPr>
                <w:rFonts w:ascii="宋体"/>
              </w:rPr>
            </w:pPr>
          </w:p>
        </w:tc>
        <w:tc>
          <w:tcPr>
            <w:tcW w:w="0" w:type="auto"/>
            <w:shd w:val="clear" w:color="auto" w:fill="auto"/>
            <w:tcMar>
              <w:top w:w="40" w:type="dxa"/>
              <w:left w:w="20" w:type="dxa"/>
              <w:bottom w:w="40" w:type="dxa"/>
              <w:right w:w="20" w:type="dxa"/>
            </w:tcMar>
            <w:vAlign w:val="bottom"/>
          </w:tcPr>
          <w:p w14:paraId="392C85C9" w14:textId="77777777" w:rsidR="00980E5F" w:rsidRDefault="00483613">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392C85C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5CB" w14:textId="77777777" w:rsidR="00980E5F" w:rsidRDefault="00483613">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392C85CC"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5CD" w14:textId="77777777" w:rsidR="00980E5F" w:rsidRDefault="00483613">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392C85CE" w14:textId="77777777" w:rsidR="00980E5F" w:rsidRDefault="00980E5F">
            <w:pPr>
              <w:rPr>
                <w:rFonts w:ascii="宋体"/>
              </w:rPr>
            </w:pPr>
          </w:p>
        </w:tc>
        <w:tc>
          <w:tcPr>
            <w:tcW w:w="0" w:type="auto"/>
            <w:shd w:val="clear" w:color="auto" w:fill="auto"/>
            <w:vAlign w:val="bottom"/>
          </w:tcPr>
          <w:p w14:paraId="392C85CF" w14:textId="77777777" w:rsidR="00980E5F" w:rsidRDefault="00980E5F">
            <w:pPr>
              <w:rPr>
                <w:rFonts w:ascii="宋体"/>
              </w:rPr>
            </w:pPr>
          </w:p>
        </w:tc>
        <w:tc>
          <w:tcPr>
            <w:tcW w:w="0" w:type="auto"/>
            <w:shd w:val="clear" w:color="auto" w:fill="auto"/>
            <w:vAlign w:val="bottom"/>
          </w:tcPr>
          <w:p w14:paraId="392C85D0" w14:textId="77777777" w:rsidR="00980E5F" w:rsidRDefault="00980E5F">
            <w:pPr>
              <w:rPr>
                <w:rFonts w:ascii="宋体"/>
              </w:rPr>
            </w:pPr>
          </w:p>
        </w:tc>
        <w:tc>
          <w:tcPr>
            <w:tcW w:w="0" w:type="auto"/>
            <w:shd w:val="clear" w:color="auto" w:fill="auto"/>
            <w:vAlign w:val="bottom"/>
          </w:tcPr>
          <w:p w14:paraId="392C85D1" w14:textId="77777777" w:rsidR="00980E5F" w:rsidRDefault="00980E5F">
            <w:pPr>
              <w:rPr>
                <w:rFonts w:ascii="宋体"/>
              </w:rPr>
            </w:pPr>
          </w:p>
        </w:tc>
        <w:tc>
          <w:tcPr>
            <w:tcW w:w="0" w:type="auto"/>
            <w:shd w:val="clear" w:color="auto" w:fill="auto"/>
            <w:vAlign w:val="bottom"/>
          </w:tcPr>
          <w:p w14:paraId="392C85D2" w14:textId="77777777" w:rsidR="00980E5F" w:rsidRDefault="00980E5F">
            <w:pPr>
              <w:rPr>
                <w:rFonts w:ascii="宋体"/>
              </w:rPr>
            </w:pPr>
          </w:p>
        </w:tc>
        <w:tc>
          <w:tcPr>
            <w:tcW w:w="0" w:type="auto"/>
            <w:shd w:val="clear" w:color="auto" w:fill="auto"/>
            <w:vAlign w:val="bottom"/>
          </w:tcPr>
          <w:p w14:paraId="392C85D3" w14:textId="77777777" w:rsidR="00980E5F" w:rsidRDefault="00980E5F">
            <w:pPr>
              <w:rPr>
                <w:rFonts w:ascii="宋体"/>
              </w:rPr>
            </w:pPr>
          </w:p>
        </w:tc>
        <w:tc>
          <w:tcPr>
            <w:tcW w:w="0" w:type="auto"/>
            <w:shd w:val="clear" w:color="auto" w:fill="auto"/>
            <w:vAlign w:val="bottom"/>
          </w:tcPr>
          <w:p w14:paraId="392C85D4" w14:textId="77777777" w:rsidR="00980E5F" w:rsidRDefault="00980E5F">
            <w:pPr>
              <w:rPr>
                <w:rFonts w:ascii="宋体"/>
              </w:rPr>
            </w:pPr>
          </w:p>
        </w:tc>
        <w:tc>
          <w:tcPr>
            <w:tcW w:w="0" w:type="auto"/>
            <w:shd w:val="clear" w:color="auto" w:fill="auto"/>
            <w:vAlign w:val="bottom"/>
          </w:tcPr>
          <w:p w14:paraId="392C85D5" w14:textId="77777777" w:rsidR="00980E5F" w:rsidRDefault="00980E5F">
            <w:pPr>
              <w:rPr>
                <w:rFonts w:ascii="宋体"/>
              </w:rPr>
            </w:pPr>
          </w:p>
        </w:tc>
        <w:tc>
          <w:tcPr>
            <w:tcW w:w="0" w:type="auto"/>
            <w:shd w:val="clear" w:color="auto" w:fill="auto"/>
            <w:vAlign w:val="bottom"/>
          </w:tcPr>
          <w:p w14:paraId="392C85D6" w14:textId="77777777" w:rsidR="00980E5F" w:rsidRDefault="00980E5F">
            <w:pPr>
              <w:rPr>
                <w:rFonts w:ascii="宋体"/>
              </w:rPr>
            </w:pPr>
          </w:p>
        </w:tc>
        <w:tc>
          <w:tcPr>
            <w:tcW w:w="0" w:type="auto"/>
            <w:shd w:val="clear" w:color="auto" w:fill="auto"/>
            <w:vAlign w:val="bottom"/>
          </w:tcPr>
          <w:p w14:paraId="392C85D7" w14:textId="77777777" w:rsidR="00980E5F" w:rsidRDefault="00980E5F">
            <w:pPr>
              <w:rPr>
                <w:rFonts w:ascii="宋体"/>
              </w:rPr>
            </w:pPr>
          </w:p>
        </w:tc>
        <w:tc>
          <w:tcPr>
            <w:tcW w:w="0" w:type="auto"/>
            <w:shd w:val="clear" w:color="auto" w:fill="auto"/>
            <w:vAlign w:val="bottom"/>
          </w:tcPr>
          <w:p w14:paraId="392C85D8" w14:textId="77777777" w:rsidR="00980E5F" w:rsidRDefault="00980E5F">
            <w:pPr>
              <w:rPr>
                <w:rFonts w:ascii="宋体"/>
              </w:rPr>
            </w:pPr>
          </w:p>
        </w:tc>
        <w:tc>
          <w:tcPr>
            <w:tcW w:w="0" w:type="auto"/>
            <w:shd w:val="clear" w:color="auto" w:fill="auto"/>
            <w:vAlign w:val="bottom"/>
          </w:tcPr>
          <w:p w14:paraId="392C85D9" w14:textId="77777777" w:rsidR="00980E5F" w:rsidRDefault="00980E5F">
            <w:pPr>
              <w:rPr>
                <w:rFonts w:ascii="宋体"/>
              </w:rPr>
            </w:pPr>
          </w:p>
        </w:tc>
      </w:tr>
      <w:tr w:rsidR="00980E5F" w14:paraId="392C85ED" w14:textId="77777777">
        <w:tc>
          <w:tcPr>
            <w:tcW w:w="0" w:type="auto"/>
            <w:gridSpan w:val="3"/>
            <w:shd w:val="clear" w:color="auto" w:fill="auto"/>
            <w:tcMar>
              <w:top w:w="40" w:type="dxa"/>
              <w:left w:w="20" w:type="dxa"/>
              <w:bottom w:w="40" w:type="dxa"/>
              <w:right w:w="20" w:type="dxa"/>
            </w:tcMar>
            <w:vAlign w:val="bottom"/>
          </w:tcPr>
          <w:p w14:paraId="392C85DB" w14:textId="77777777" w:rsidR="00980E5F" w:rsidRDefault="00483613">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D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D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0" w14:textId="77777777" w:rsidR="00980E5F" w:rsidRDefault="00980E5F">
            <w:pPr>
              <w:rPr>
                <w:rFonts w:ascii="宋体"/>
              </w:rPr>
            </w:pPr>
          </w:p>
        </w:tc>
        <w:tc>
          <w:tcPr>
            <w:tcW w:w="0" w:type="auto"/>
            <w:shd w:val="clear" w:color="auto" w:fill="auto"/>
            <w:vAlign w:val="bottom"/>
          </w:tcPr>
          <w:p w14:paraId="392C85E1" w14:textId="77777777" w:rsidR="00980E5F" w:rsidRDefault="00980E5F">
            <w:pPr>
              <w:rPr>
                <w:rFonts w:ascii="宋体"/>
                <w:vanish/>
              </w:rPr>
            </w:pPr>
          </w:p>
        </w:tc>
        <w:tc>
          <w:tcPr>
            <w:tcW w:w="0" w:type="auto"/>
            <w:shd w:val="clear" w:color="auto" w:fill="auto"/>
            <w:vAlign w:val="bottom"/>
          </w:tcPr>
          <w:p w14:paraId="392C85E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5E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E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5E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5EA" w14:textId="77777777" w:rsidR="00980E5F" w:rsidRDefault="00980E5F">
            <w:pPr>
              <w:rPr>
                <w:rFonts w:ascii="宋体"/>
              </w:rPr>
            </w:pPr>
          </w:p>
        </w:tc>
        <w:tc>
          <w:tcPr>
            <w:tcW w:w="0" w:type="auto"/>
            <w:gridSpan w:val="3"/>
            <w:shd w:val="clear" w:color="auto" w:fill="auto"/>
            <w:vAlign w:val="bottom"/>
          </w:tcPr>
          <w:p w14:paraId="392C85EB" w14:textId="77777777" w:rsidR="00980E5F" w:rsidRDefault="00980E5F">
            <w:pPr>
              <w:rPr>
                <w:rFonts w:ascii="宋体"/>
                <w:vanish/>
              </w:rPr>
            </w:pPr>
          </w:p>
        </w:tc>
        <w:tc>
          <w:tcPr>
            <w:tcW w:w="0" w:type="auto"/>
            <w:gridSpan w:val="3"/>
            <w:shd w:val="clear" w:color="auto" w:fill="auto"/>
            <w:vAlign w:val="bottom"/>
          </w:tcPr>
          <w:p w14:paraId="392C85EC" w14:textId="77777777" w:rsidR="00980E5F" w:rsidRDefault="00980E5F">
            <w:pPr>
              <w:rPr>
                <w:rFonts w:ascii="宋体"/>
                <w:vanish/>
              </w:rPr>
            </w:pPr>
          </w:p>
        </w:tc>
      </w:tr>
      <w:tr w:rsidR="00980E5F" w14:paraId="392C8600" w14:textId="77777777">
        <w:trPr>
          <w:hidden/>
        </w:trPr>
        <w:tc>
          <w:tcPr>
            <w:tcW w:w="0" w:type="auto"/>
            <w:gridSpan w:val="3"/>
            <w:shd w:val="clear" w:color="auto" w:fill="auto"/>
            <w:vAlign w:val="bottom"/>
          </w:tcPr>
          <w:p w14:paraId="392C85EE" w14:textId="77777777" w:rsidR="00980E5F" w:rsidRDefault="00980E5F">
            <w:pPr>
              <w:rPr>
                <w:rFonts w:ascii="宋体"/>
                <w:vanish/>
              </w:rPr>
            </w:pPr>
          </w:p>
        </w:tc>
        <w:tc>
          <w:tcPr>
            <w:tcW w:w="0" w:type="auto"/>
            <w:gridSpan w:val="3"/>
            <w:shd w:val="clear" w:color="auto" w:fill="auto"/>
            <w:vAlign w:val="bottom"/>
          </w:tcPr>
          <w:p w14:paraId="392C85EF" w14:textId="77777777" w:rsidR="00980E5F" w:rsidRDefault="00980E5F">
            <w:pPr>
              <w:rPr>
                <w:rFonts w:ascii="宋体"/>
                <w:vanish/>
              </w:rPr>
            </w:pPr>
          </w:p>
        </w:tc>
        <w:tc>
          <w:tcPr>
            <w:tcW w:w="0" w:type="auto"/>
            <w:gridSpan w:val="3"/>
            <w:shd w:val="clear" w:color="auto" w:fill="auto"/>
            <w:vAlign w:val="bottom"/>
          </w:tcPr>
          <w:p w14:paraId="392C85F0" w14:textId="77777777" w:rsidR="00980E5F" w:rsidRDefault="00980E5F">
            <w:pPr>
              <w:rPr>
                <w:rFonts w:ascii="宋体"/>
                <w:vanish/>
              </w:rPr>
            </w:pPr>
          </w:p>
        </w:tc>
        <w:tc>
          <w:tcPr>
            <w:tcW w:w="0" w:type="auto"/>
            <w:gridSpan w:val="3"/>
            <w:shd w:val="clear" w:color="auto" w:fill="auto"/>
            <w:vAlign w:val="bottom"/>
          </w:tcPr>
          <w:p w14:paraId="392C85F1" w14:textId="77777777" w:rsidR="00980E5F" w:rsidRDefault="00980E5F">
            <w:pPr>
              <w:rPr>
                <w:rFonts w:ascii="宋体"/>
                <w:vanish/>
              </w:rPr>
            </w:pPr>
          </w:p>
        </w:tc>
        <w:tc>
          <w:tcPr>
            <w:tcW w:w="0" w:type="auto"/>
            <w:gridSpan w:val="3"/>
            <w:shd w:val="clear" w:color="auto" w:fill="auto"/>
            <w:vAlign w:val="bottom"/>
          </w:tcPr>
          <w:p w14:paraId="392C85F2" w14:textId="77777777" w:rsidR="00980E5F" w:rsidRDefault="00980E5F">
            <w:pPr>
              <w:rPr>
                <w:rFonts w:ascii="宋体"/>
                <w:vanish/>
              </w:rPr>
            </w:pPr>
          </w:p>
        </w:tc>
        <w:tc>
          <w:tcPr>
            <w:tcW w:w="0" w:type="auto"/>
            <w:gridSpan w:val="3"/>
            <w:shd w:val="clear" w:color="auto" w:fill="auto"/>
            <w:vAlign w:val="bottom"/>
          </w:tcPr>
          <w:p w14:paraId="392C85F3" w14:textId="77777777" w:rsidR="00980E5F" w:rsidRDefault="00980E5F">
            <w:pPr>
              <w:rPr>
                <w:rFonts w:ascii="宋体"/>
                <w:vanish/>
              </w:rPr>
            </w:pPr>
          </w:p>
        </w:tc>
        <w:tc>
          <w:tcPr>
            <w:tcW w:w="0" w:type="auto"/>
            <w:shd w:val="clear" w:color="auto" w:fill="auto"/>
            <w:vAlign w:val="bottom"/>
          </w:tcPr>
          <w:p w14:paraId="392C85F4" w14:textId="77777777" w:rsidR="00980E5F" w:rsidRDefault="00980E5F">
            <w:pPr>
              <w:rPr>
                <w:rFonts w:ascii="宋体"/>
                <w:vanish/>
              </w:rPr>
            </w:pPr>
          </w:p>
        </w:tc>
        <w:tc>
          <w:tcPr>
            <w:tcW w:w="0" w:type="auto"/>
            <w:shd w:val="clear" w:color="auto" w:fill="auto"/>
            <w:vAlign w:val="bottom"/>
          </w:tcPr>
          <w:p w14:paraId="392C85F5" w14:textId="77777777" w:rsidR="00980E5F" w:rsidRDefault="00980E5F">
            <w:pPr>
              <w:rPr>
                <w:rFonts w:ascii="宋体"/>
                <w:vanish/>
              </w:rPr>
            </w:pPr>
          </w:p>
        </w:tc>
        <w:tc>
          <w:tcPr>
            <w:tcW w:w="0" w:type="auto"/>
            <w:gridSpan w:val="3"/>
            <w:shd w:val="clear" w:color="auto" w:fill="auto"/>
            <w:vAlign w:val="bottom"/>
          </w:tcPr>
          <w:p w14:paraId="392C85F6" w14:textId="77777777" w:rsidR="00980E5F" w:rsidRDefault="00980E5F">
            <w:pPr>
              <w:rPr>
                <w:rFonts w:ascii="宋体"/>
                <w:vanish/>
              </w:rPr>
            </w:pPr>
          </w:p>
        </w:tc>
        <w:tc>
          <w:tcPr>
            <w:tcW w:w="0" w:type="auto"/>
            <w:gridSpan w:val="3"/>
            <w:shd w:val="clear" w:color="auto" w:fill="auto"/>
            <w:vAlign w:val="bottom"/>
          </w:tcPr>
          <w:p w14:paraId="392C85F7" w14:textId="77777777" w:rsidR="00980E5F" w:rsidRDefault="00980E5F">
            <w:pPr>
              <w:rPr>
                <w:rFonts w:ascii="宋体"/>
                <w:vanish/>
              </w:rPr>
            </w:pPr>
          </w:p>
        </w:tc>
        <w:tc>
          <w:tcPr>
            <w:tcW w:w="0" w:type="auto"/>
            <w:gridSpan w:val="3"/>
            <w:shd w:val="clear" w:color="auto" w:fill="auto"/>
            <w:vAlign w:val="bottom"/>
          </w:tcPr>
          <w:p w14:paraId="392C85F8" w14:textId="77777777" w:rsidR="00980E5F" w:rsidRDefault="00980E5F">
            <w:pPr>
              <w:rPr>
                <w:rFonts w:ascii="宋体"/>
                <w:vanish/>
              </w:rPr>
            </w:pPr>
          </w:p>
        </w:tc>
        <w:tc>
          <w:tcPr>
            <w:tcW w:w="0" w:type="auto"/>
            <w:gridSpan w:val="3"/>
            <w:shd w:val="clear" w:color="auto" w:fill="auto"/>
            <w:vAlign w:val="bottom"/>
          </w:tcPr>
          <w:p w14:paraId="392C85F9" w14:textId="77777777" w:rsidR="00980E5F" w:rsidRDefault="00980E5F">
            <w:pPr>
              <w:rPr>
                <w:rFonts w:ascii="宋体"/>
                <w:vanish/>
              </w:rPr>
            </w:pPr>
          </w:p>
        </w:tc>
        <w:tc>
          <w:tcPr>
            <w:tcW w:w="0" w:type="auto"/>
            <w:gridSpan w:val="3"/>
            <w:shd w:val="clear" w:color="auto" w:fill="auto"/>
            <w:vAlign w:val="bottom"/>
          </w:tcPr>
          <w:p w14:paraId="392C85FA" w14:textId="77777777" w:rsidR="00980E5F" w:rsidRDefault="00980E5F">
            <w:pPr>
              <w:rPr>
                <w:rFonts w:ascii="宋体"/>
                <w:vanish/>
              </w:rPr>
            </w:pPr>
          </w:p>
        </w:tc>
        <w:tc>
          <w:tcPr>
            <w:tcW w:w="0" w:type="auto"/>
            <w:gridSpan w:val="3"/>
            <w:shd w:val="clear" w:color="auto" w:fill="auto"/>
            <w:vAlign w:val="bottom"/>
          </w:tcPr>
          <w:p w14:paraId="392C85FB" w14:textId="77777777" w:rsidR="00980E5F" w:rsidRDefault="00980E5F">
            <w:pPr>
              <w:rPr>
                <w:rFonts w:ascii="宋体"/>
                <w:vanish/>
              </w:rPr>
            </w:pPr>
          </w:p>
        </w:tc>
        <w:tc>
          <w:tcPr>
            <w:tcW w:w="0" w:type="auto"/>
            <w:gridSpan w:val="3"/>
            <w:shd w:val="clear" w:color="auto" w:fill="auto"/>
            <w:vAlign w:val="bottom"/>
          </w:tcPr>
          <w:p w14:paraId="392C85FC" w14:textId="77777777" w:rsidR="00980E5F" w:rsidRDefault="00980E5F">
            <w:pPr>
              <w:rPr>
                <w:rFonts w:ascii="宋体"/>
                <w:vanish/>
              </w:rPr>
            </w:pPr>
          </w:p>
        </w:tc>
        <w:tc>
          <w:tcPr>
            <w:tcW w:w="0" w:type="auto"/>
            <w:gridSpan w:val="3"/>
            <w:shd w:val="clear" w:color="auto" w:fill="auto"/>
            <w:vAlign w:val="bottom"/>
          </w:tcPr>
          <w:p w14:paraId="392C85FD" w14:textId="77777777" w:rsidR="00980E5F" w:rsidRDefault="00980E5F">
            <w:pPr>
              <w:rPr>
                <w:rFonts w:ascii="宋体"/>
                <w:vanish/>
              </w:rPr>
            </w:pPr>
          </w:p>
        </w:tc>
        <w:tc>
          <w:tcPr>
            <w:tcW w:w="0" w:type="auto"/>
            <w:gridSpan w:val="3"/>
            <w:shd w:val="clear" w:color="auto" w:fill="auto"/>
            <w:vAlign w:val="bottom"/>
          </w:tcPr>
          <w:p w14:paraId="392C85FE" w14:textId="77777777" w:rsidR="00980E5F" w:rsidRDefault="00980E5F">
            <w:pPr>
              <w:rPr>
                <w:rFonts w:ascii="宋体"/>
                <w:vanish/>
              </w:rPr>
            </w:pPr>
          </w:p>
        </w:tc>
        <w:tc>
          <w:tcPr>
            <w:tcW w:w="0" w:type="auto"/>
            <w:gridSpan w:val="3"/>
            <w:shd w:val="clear" w:color="auto" w:fill="auto"/>
            <w:vAlign w:val="bottom"/>
          </w:tcPr>
          <w:p w14:paraId="392C85FF" w14:textId="77777777" w:rsidR="00980E5F" w:rsidRDefault="00980E5F">
            <w:pPr>
              <w:rPr>
                <w:rFonts w:ascii="宋体"/>
                <w:vanish/>
              </w:rPr>
            </w:pPr>
          </w:p>
        </w:tc>
      </w:tr>
      <w:tr w:rsidR="00980E5F" w14:paraId="392C8613" w14:textId="77777777">
        <w:trPr>
          <w:hidden/>
        </w:trPr>
        <w:tc>
          <w:tcPr>
            <w:tcW w:w="0" w:type="auto"/>
            <w:gridSpan w:val="3"/>
            <w:shd w:val="clear" w:color="auto" w:fill="auto"/>
            <w:vAlign w:val="bottom"/>
          </w:tcPr>
          <w:p w14:paraId="392C8601" w14:textId="77777777" w:rsidR="00980E5F" w:rsidRDefault="00980E5F">
            <w:pPr>
              <w:rPr>
                <w:rFonts w:ascii="宋体"/>
                <w:vanish/>
              </w:rPr>
            </w:pPr>
          </w:p>
        </w:tc>
        <w:tc>
          <w:tcPr>
            <w:tcW w:w="0" w:type="auto"/>
            <w:gridSpan w:val="3"/>
            <w:shd w:val="clear" w:color="auto" w:fill="auto"/>
            <w:vAlign w:val="bottom"/>
          </w:tcPr>
          <w:p w14:paraId="392C8602" w14:textId="77777777" w:rsidR="00980E5F" w:rsidRDefault="00980E5F">
            <w:pPr>
              <w:rPr>
                <w:rFonts w:ascii="宋体"/>
                <w:vanish/>
              </w:rPr>
            </w:pPr>
          </w:p>
        </w:tc>
        <w:tc>
          <w:tcPr>
            <w:tcW w:w="0" w:type="auto"/>
            <w:gridSpan w:val="3"/>
            <w:shd w:val="clear" w:color="auto" w:fill="auto"/>
            <w:vAlign w:val="bottom"/>
          </w:tcPr>
          <w:p w14:paraId="392C8603" w14:textId="77777777" w:rsidR="00980E5F" w:rsidRDefault="00980E5F">
            <w:pPr>
              <w:rPr>
                <w:rFonts w:ascii="宋体"/>
                <w:vanish/>
              </w:rPr>
            </w:pPr>
          </w:p>
        </w:tc>
        <w:tc>
          <w:tcPr>
            <w:tcW w:w="0" w:type="auto"/>
            <w:gridSpan w:val="3"/>
            <w:shd w:val="clear" w:color="auto" w:fill="auto"/>
            <w:vAlign w:val="bottom"/>
          </w:tcPr>
          <w:p w14:paraId="392C8604" w14:textId="77777777" w:rsidR="00980E5F" w:rsidRDefault="00980E5F">
            <w:pPr>
              <w:rPr>
                <w:rFonts w:ascii="宋体"/>
                <w:vanish/>
              </w:rPr>
            </w:pPr>
          </w:p>
        </w:tc>
        <w:tc>
          <w:tcPr>
            <w:tcW w:w="0" w:type="auto"/>
            <w:gridSpan w:val="3"/>
            <w:shd w:val="clear" w:color="auto" w:fill="auto"/>
            <w:vAlign w:val="bottom"/>
          </w:tcPr>
          <w:p w14:paraId="392C8605" w14:textId="77777777" w:rsidR="00980E5F" w:rsidRDefault="00980E5F">
            <w:pPr>
              <w:rPr>
                <w:rFonts w:ascii="宋体"/>
                <w:vanish/>
              </w:rPr>
            </w:pPr>
          </w:p>
        </w:tc>
        <w:tc>
          <w:tcPr>
            <w:tcW w:w="0" w:type="auto"/>
            <w:gridSpan w:val="3"/>
            <w:shd w:val="clear" w:color="auto" w:fill="auto"/>
            <w:vAlign w:val="bottom"/>
          </w:tcPr>
          <w:p w14:paraId="392C8606" w14:textId="77777777" w:rsidR="00980E5F" w:rsidRDefault="00980E5F">
            <w:pPr>
              <w:rPr>
                <w:rFonts w:ascii="宋体"/>
                <w:vanish/>
              </w:rPr>
            </w:pPr>
          </w:p>
        </w:tc>
        <w:tc>
          <w:tcPr>
            <w:tcW w:w="0" w:type="auto"/>
            <w:shd w:val="clear" w:color="auto" w:fill="auto"/>
            <w:vAlign w:val="bottom"/>
          </w:tcPr>
          <w:p w14:paraId="392C8607" w14:textId="77777777" w:rsidR="00980E5F" w:rsidRDefault="00980E5F">
            <w:pPr>
              <w:rPr>
                <w:rFonts w:ascii="宋体"/>
                <w:vanish/>
              </w:rPr>
            </w:pPr>
          </w:p>
        </w:tc>
        <w:tc>
          <w:tcPr>
            <w:tcW w:w="0" w:type="auto"/>
            <w:shd w:val="clear" w:color="auto" w:fill="auto"/>
            <w:vAlign w:val="bottom"/>
          </w:tcPr>
          <w:p w14:paraId="392C8608" w14:textId="77777777" w:rsidR="00980E5F" w:rsidRDefault="00980E5F">
            <w:pPr>
              <w:rPr>
                <w:rFonts w:ascii="宋体"/>
                <w:vanish/>
              </w:rPr>
            </w:pPr>
          </w:p>
        </w:tc>
        <w:tc>
          <w:tcPr>
            <w:tcW w:w="0" w:type="auto"/>
            <w:gridSpan w:val="3"/>
            <w:shd w:val="clear" w:color="auto" w:fill="auto"/>
            <w:vAlign w:val="bottom"/>
          </w:tcPr>
          <w:p w14:paraId="392C8609" w14:textId="77777777" w:rsidR="00980E5F" w:rsidRDefault="00980E5F">
            <w:pPr>
              <w:rPr>
                <w:rFonts w:ascii="宋体"/>
                <w:vanish/>
              </w:rPr>
            </w:pPr>
          </w:p>
        </w:tc>
        <w:tc>
          <w:tcPr>
            <w:tcW w:w="0" w:type="auto"/>
            <w:gridSpan w:val="3"/>
            <w:shd w:val="clear" w:color="auto" w:fill="auto"/>
            <w:vAlign w:val="bottom"/>
          </w:tcPr>
          <w:p w14:paraId="392C860A" w14:textId="77777777" w:rsidR="00980E5F" w:rsidRDefault="00980E5F">
            <w:pPr>
              <w:rPr>
                <w:rFonts w:ascii="宋体"/>
                <w:vanish/>
              </w:rPr>
            </w:pPr>
          </w:p>
        </w:tc>
        <w:tc>
          <w:tcPr>
            <w:tcW w:w="0" w:type="auto"/>
            <w:gridSpan w:val="3"/>
            <w:shd w:val="clear" w:color="auto" w:fill="auto"/>
            <w:vAlign w:val="bottom"/>
          </w:tcPr>
          <w:p w14:paraId="392C860B" w14:textId="77777777" w:rsidR="00980E5F" w:rsidRDefault="00980E5F">
            <w:pPr>
              <w:rPr>
                <w:rFonts w:ascii="宋体"/>
                <w:vanish/>
              </w:rPr>
            </w:pPr>
          </w:p>
        </w:tc>
        <w:tc>
          <w:tcPr>
            <w:tcW w:w="0" w:type="auto"/>
            <w:gridSpan w:val="3"/>
            <w:shd w:val="clear" w:color="auto" w:fill="auto"/>
            <w:vAlign w:val="bottom"/>
          </w:tcPr>
          <w:p w14:paraId="392C860C" w14:textId="77777777" w:rsidR="00980E5F" w:rsidRDefault="00980E5F">
            <w:pPr>
              <w:rPr>
                <w:rFonts w:ascii="宋体"/>
                <w:vanish/>
              </w:rPr>
            </w:pPr>
          </w:p>
        </w:tc>
        <w:tc>
          <w:tcPr>
            <w:tcW w:w="0" w:type="auto"/>
            <w:gridSpan w:val="3"/>
            <w:shd w:val="clear" w:color="auto" w:fill="auto"/>
            <w:vAlign w:val="bottom"/>
          </w:tcPr>
          <w:p w14:paraId="392C860D" w14:textId="77777777" w:rsidR="00980E5F" w:rsidRDefault="00980E5F">
            <w:pPr>
              <w:rPr>
                <w:rFonts w:ascii="宋体"/>
                <w:vanish/>
              </w:rPr>
            </w:pPr>
          </w:p>
        </w:tc>
        <w:tc>
          <w:tcPr>
            <w:tcW w:w="0" w:type="auto"/>
            <w:gridSpan w:val="3"/>
            <w:shd w:val="clear" w:color="auto" w:fill="auto"/>
            <w:vAlign w:val="bottom"/>
          </w:tcPr>
          <w:p w14:paraId="392C860E" w14:textId="77777777" w:rsidR="00980E5F" w:rsidRDefault="00980E5F">
            <w:pPr>
              <w:rPr>
                <w:rFonts w:ascii="宋体"/>
                <w:vanish/>
              </w:rPr>
            </w:pPr>
          </w:p>
        </w:tc>
        <w:tc>
          <w:tcPr>
            <w:tcW w:w="0" w:type="auto"/>
            <w:gridSpan w:val="3"/>
            <w:shd w:val="clear" w:color="auto" w:fill="auto"/>
            <w:vAlign w:val="bottom"/>
          </w:tcPr>
          <w:p w14:paraId="392C860F" w14:textId="77777777" w:rsidR="00980E5F" w:rsidRDefault="00980E5F">
            <w:pPr>
              <w:rPr>
                <w:rFonts w:ascii="宋体"/>
                <w:vanish/>
              </w:rPr>
            </w:pPr>
          </w:p>
        </w:tc>
        <w:tc>
          <w:tcPr>
            <w:tcW w:w="0" w:type="auto"/>
            <w:gridSpan w:val="3"/>
            <w:shd w:val="clear" w:color="auto" w:fill="auto"/>
            <w:vAlign w:val="bottom"/>
          </w:tcPr>
          <w:p w14:paraId="392C8610" w14:textId="77777777" w:rsidR="00980E5F" w:rsidRDefault="00980E5F">
            <w:pPr>
              <w:rPr>
                <w:rFonts w:ascii="宋体"/>
                <w:vanish/>
              </w:rPr>
            </w:pPr>
          </w:p>
        </w:tc>
        <w:tc>
          <w:tcPr>
            <w:tcW w:w="0" w:type="auto"/>
            <w:gridSpan w:val="3"/>
            <w:shd w:val="clear" w:color="auto" w:fill="auto"/>
            <w:vAlign w:val="bottom"/>
          </w:tcPr>
          <w:p w14:paraId="392C8611" w14:textId="77777777" w:rsidR="00980E5F" w:rsidRDefault="00980E5F">
            <w:pPr>
              <w:rPr>
                <w:rFonts w:ascii="宋体"/>
                <w:vanish/>
              </w:rPr>
            </w:pPr>
          </w:p>
        </w:tc>
        <w:tc>
          <w:tcPr>
            <w:tcW w:w="0" w:type="auto"/>
            <w:gridSpan w:val="3"/>
            <w:shd w:val="clear" w:color="auto" w:fill="auto"/>
            <w:vAlign w:val="bottom"/>
          </w:tcPr>
          <w:p w14:paraId="392C8612" w14:textId="77777777" w:rsidR="00980E5F" w:rsidRDefault="00980E5F">
            <w:pPr>
              <w:rPr>
                <w:rFonts w:ascii="宋体"/>
                <w:vanish/>
              </w:rPr>
            </w:pPr>
          </w:p>
        </w:tc>
      </w:tr>
      <w:tr w:rsidR="00980E5F" w14:paraId="392C862E" w14:textId="77777777">
        <w:tc>
          <w:tcPr>
            <w:tcW w:w="0" w:type="auto"/>
            <w:gridSpan w:val="3"/>
            <w:shd w:val="clear" w:color="auto" w:fill="CCEEFF"/>
            <w:tcMar>
              <w:top w:w="40" w:type="dxa"/>
              <w:left w:w="20" w:type="dxa"/>
              <w:bottom w:w="40" w:type="dxa"/>
              <w:right w:w="20" w:type="dxa"/>
            </w:tcMar>
            <w:vAlign w:val="bottom"/>
          </w:tcPr>
          <w:p w14:paraId="392C8614" w14:textId="77777777" w:rsidR="00980E5F" w:rsidRDefault="00483613">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392C8615"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61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617"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618" w14:textId="77777777" w:rsidR="00980E5F" w:rsidRDefault="00483613">
            <w:pPr>
              <w:jc w:val="right"/>
              <w:textAlignment w:val="bottom"/>
            </w:pPr>
            <w:r>
              <w:rPr>
                <w:rFonts w:ascii="Arial" w:eastAsia="宋体" w:hAnsi="Arial" w:cs="Arial"/>
                <w:b/>
                <w:bCs/>
                <w:color w:val="000000"/>
                <w:sz w:val="13"/>
                <w:szCs w:val="13"/>
              </w:rPr>
              <w:t>148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6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61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61B"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61C" w14:textId="77777777" w:rsidR="00980E5F" w:rsidRDefault="00483613">
            <w:pPr>
              <w:jc w:val="right"/>
              <w:textAlignment w:val="bottom"/>
            </w:pPr>
            <w:r>
              <w:rPr>
                <w:rFonts w:ascii="Arial" w:eastAsia="宋体" w:hAnsi="Arial" w:cs="Arial"/>
                <w:color w:val="000000"/>
                <w:sz w:val="13"/>
                <w:szCs w:val="13"/>
              </w:rPr>
              <w:t>(23)</w:t>
            </w:r>
          </w:p>
        </w:tc>
        <w:tc>
          <w:tcPr>
            <w:tcW w:w="0" w:type="auto"/>
            <w:shd w:val="clear" w:color="auto" w:fill="CCEEFF"/>
            <w:tcMar>
              <w:top w:w="40" w:type="dxa"/>
              <w:left w:w="0" w:type="dxa"/>
              <w:bottom w:w="40" w:type="dxa"/>
              <w:right w:w="20" w:type="dxa"/>
            </w:tcMar>
            <w:vAlign w:val="bottom"/>
          </w:tcPr>
          <w:p w14:paraId="392C861D" w14:textId="77777777" w:rsidR="00980E5F" w:rsidRDefault="00980E5F">
            <w:pPr>
              <w:jc w:val="right"/>
              <w:rPr>
                <w:rFonts w:ascii="宋体"/>
              </w:rPr>
            </w:pPr>
          </w:p>
        </w:tc>
        <w:tc>
          <w:tcPr>
            <w:tcW w:w="0" w:type="auto"/>
            <w:shd w:val="clear" w:color="auto" w:fill="auto"/>
            <w:vAlign w:val="bottom"/>
          </w:tcPr>
          <w:p w14:paraId="392C861E" w14:textId="77777777" w:rsidR="00980E5F" w:rsidRDefault="00980E5F">
            <w:pPr>
              <w:rPr>
                <w:rFonts w:ascii="宋体"/>
                <w:vanish/>
              </w:rPr>
            </w:pPr>
          </w:p>
        </w:tc>
        <w:tc>
          <w:tcPr>
            <w:tcW w:w="0" w:type="auto"/>
            <w:shd w:val="clear" w:color="auto" w:fill="auto"/>
            <w:vAlign w:val="bottom"/>
          </w:tcPr>
          <w:p w14:paraId="392C861F"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620"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621" w14:textId="77777777" w:rsidR="00980E5F" w:rsidRDefault="00483613">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top w:w="0" w:type="dxa"/>
              <w:left w:w="20" w:type="dxa"/>
              <w:bottom w:w="0" w:type="dxa"/>
              <w:right w:w="20" w:type="dxa"/>
            </w:tcMar>
            <w:vAlign w:val="bottom"/>
          </w:tcPr>
          <w:p w14:paraId="392C8622"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623" w14:textId="77777777" w:rsidR="00980E5F" w:rsidRDefault="00483613">
            <w:pPr>
              <w:spacing w:after="40"/>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62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625"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626" w14:textId="77777777" w:rsidR="00980E5F" w:rsidRDefault="00483613">
            <w:pPr>
              <w:jc w:val="right"/>
              <w:textAlignment w:val="bottom"/>
            </w:pPr>
            <w:r>
              <w:rPr>
                <w:rFonts w:ascii="Arial" w:eastAsia="宋体" w:hAnsi="Arial" w:cs="Arial"/>
                <w:b/>
                <w:bCs/>
                <w:color w:val="000000"/>
                <w:sz w:val="13"/>
                <w:szCs w:val="13"/>
              </w:rPr>
              <w:t>(149)</w:t>
            </w:r>
          </w:p>
        </w:tc>
        <w:tc>
          <w:tcPr>
            <w:tcW w:w="0" w:type="auto"/>
            <w:shd w:val="clear" w:color="auto" w:fill="CCEEFF"/>
            <w:tcMar>
              <w:top w:w="40" w:type="dxa"/>
              <w:left w:w="0" w:type="dxa"/>
              <w:bottom w:w="40" w:type="dxa"/>
              <w:right w:w="20" w:type="dxa"/>
            </w:tcMar>
            <w:vAlign w:val="bottom"/>
          </w:tcPr>
          <w:p w14:paraId="392C86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62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629"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62A" w14:textId="77777777" w:rsidR="00980E5F" w:rsidRDefault="00483613">
            <w:pPr>
              <w:jc w:val="right"/>
              <w:textAlignment w:val="bottom"/>
            </w:pPr>
            <w:r>
              <w:rPr>
                <w:rFonts w:ascii="Arial" w:eastAsia="宋体" w:hAnsi="Arial" w:cs="Arial"/>
                <w:color w:val="000000"/>
                <w:sz w:val="13"/>
                <w:szCs w:val="13"/>
              </w:rPr>
              <w:t>21 </w:t>
            </w:r>
          </w:p>
        </w:tc>
        <w:tc>
          <w:tcPr>
            <w:tcW w:w="0" w:type="auto"/>
            <w:shd w:val="clear" w:color="auto" w:fill="CCEEFF"/>
            <w:tcMar>
              <w:top w:w="40" w:type="dxa"/>
              <w:left w:w="0" w:type="dxa"/>
              <w:bottom w:w="40" w:type="dxa"/>
              <w:right w:w="20" w:type="dxa"/>
            </w:tcMar>
            <w:vAlign w:val="bottom"/>
          </w:tcPr>
          <w:p w14:paraId="392C862B" w14:textId="77777777" w:rsidR="00980E5F" w:rsidRDefault="00980E5F">
            <w:pPr>
              <w:jc w:val="right"/>
              <w:rPr>
                <w:rFonts w:ascii="宋体"/>
              </w:rPr>
            </w:pPr>
          </w:p>
        </w:tc>
        <w:tc>
          <w:tcPr>
            <w:tcW w:w="0" w:type="auto"/>
            <w:gridSpan w:val="3"/>
            <w:shd w:val="clear" w:color="auto" w:fill="auto"/>
            <w:vAlign w:val="bottom"/>
          </w:tcPr>
          <w:p w14:paraId="392C862C" w14:textId="77777777" w:rsidR="00980E5F" w:rsidRDefault="00980E5F">
            <w:pPr>
              <w:rPr>
                <w:rFonts w:ascii="宋体"/>
                <w:vanish/>
              </w:rPr>
            </w:pPr>
          </w:p>
        </w:tc>
        <w:tc>
          <w:tcPr>
            <w:tcW w:w="0" w:type="auto"/>
            <w:gridSpan w:val="3"/>
            <w:shd w:val="clear" w:color="auto" w:fill="auto"/>
            <w:vAlign w:val="bottom"/>
          </w:tcPr>
          <w:p w14:paraId="392C862D" w14:textId="77777777" w:rsidR="00980E5F" w:rsidRDefault="00980E5F">
            <w:pPr>
              <w:rPr>
                <w:rFonts w:ascii="宋体"/>
                <w:vanish/>
              </w:rPr>
            </w:pPr>
          </w:p>
        </w:tc>
      </w:tr>
      <w:tr w:rsidR="00980E5F" w14:paraId="392C8645" w14:textId="77777777">
        <w:tc>
          <w:tcPr>
            <w:tcW w:w="0" w:type="auto"/>
            <w:gridSpan w:val="3"/>
            <w:shd w:val="clear" w:color="auto" w:fill="FFFFFF"/>
            <w:tcMar>
              <w:top w:w="40" w:type="dxa"/>
              <w:left w:w="20" w:type="dxa"/>
              <w:bottom w:w="40" w:type="dxa"/>
              <w:right w:w="20" w:type="dxa"/>
            </w:tcMar>
            <w:vAlign w:val="bottom"/>
          </w:tcPr>
          <w:p w14:paraId="392C862F" w14:textId="77777777" w:rsidR="00980E5F" w:rsidRDefault="00483613">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392C8630" w14:textId="77777777" w:rsidR="00980E5F" w:rsidRDefault="00483613">
            <w:pPr>
              <w:textAlignment w:val="bottom"/>
            </w:pPr>
            <w:r>
              <w:rPr>
                <w:rFonts w:ascii="Arial" w:eastAsia="宋体" w:hAnsi="Arial" w:cs="Arial"/>
                <w:color w:val="000000"/>
                <w:sz w:val="13"/>
                <w:szCs w:val="13"/>
              </w:rPr>
              <w:t>Net interest inc</w:t>
            </w:r>
            <w:r>
              <w:rPr>
                <w:rFonts w:ascii="Arial" w:eastAsia="宋体" w:hAnsi="Arial" w:cs="Arial"/>
                <w:color w:val="000000"/>
                <w:sz w:val="13"/>
                <w:szCs w:val="13"/>
              </w:rPr>
              <w:t>ome</w:t>
            </w:r>
          </w:p>
        </w:tc>
        <w:tc>
          <w:tcPr>
            <w:tcW w:w="0" w:type="auto"/>
            <w:gridSpan w:val="3"/>
            <w:shd w:val="clear" w:color="auto" w:fill="FFFFFF"/>
            <w:tcMar>
              <w:top w:w="0" w:type="dxa"/>
              <w:left w:w="20" w:type="dxa"/>
              <w:bottom w:w="0" w:type="dxa"/>
              <w:right w:w="20" w:type="dxa"/>
            </w:tcMar>
            <w:vAlign w:val="bottom"/>
          </w:tcPr>
          <w:p w14:paraId="392C863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632" w14:textId="77777777" w:rsidR="00980E5F" w:rsidRDefault="00483613">
            <w:pPr>
              <w:jc w:val="right"/>
              <w:textAlignment w:val="bottom"/>
            </w:pPr>
            <w:r>
              <w:rPr>
                <w:rFonts w:ascii="Arial" w:eastAsia="宋体" w:hAnsi="Arial" w:cs="Arial"/>
                <w:b/>
                <w:bCs/>
                <w:color w:val="000000"/>
                <w:sz w:val="13"/>
                <w:szCs w:val="13"/>
              </w:rPr>
              <w:t>(96)</w:t>
            </w:r>
          </w:p>
        </w:tc>
        <w:tc>
          <w:tcPr>
            <w:tcW w:w="0" w:type="auto"/>
            <w:shd w:val="clear" w:color="auto" w:fill="FFFFFF"/>
            <w:tcMar>
              <w:top w:w="40" w:type="dxa"/>
              <w:left w:w="0" w:type="dxa"/>
              <w:bottom w:w="40" w:type="dxa"/>
              <w:right w:w="20" w:type="dxa"/>
            </w:tcMar>
            <w:vAlign w:val="bottom"/>
          </w:tcPr>
          <w:p w14:paraId="392C86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63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635" w14:textId="77777777" w:rsidR="00980E5F" w:rsidRDefault="00483613">
            <w:pPr>
              <w:jc w:val="right"/>
              <w:textAlignment w:val="bottom"/>
            </w:pPr>
            <w:r>
              <w:rPr>
                <w:rFonts w:ascii="Arial" w:eastAsia="宋体" w:hAnsi="Arial" w:cs="Arial"/>
                <w:color w:val="000000"/>
                <w:sz w:val="13"/>
                <w:szCs w:val="13"/>
              </w:rPr>
              <w:t>(7)</w:t>
            </w:r>
          </w:p>
        </w:tc>
        <w:tc>
          <w:tcPr>
            <w:tcW w:w="0" w:type="auto"/>
            <w:shd w:val="clear" w:color="auto" w:fill="FFFFFF"/>
            <w:tcMar>
              <w:top w:w="40" w:type="dxa"/>
              <w:left w:w="0" w:type="dxa"/>
              <w:bottom w:w="40" w:type="dxa"/>
              <w:right w:w="20" w:type="dxa"/>
            </w:tcMar>
            <w:vAlign w:val="bottom"/>
          </w:tcPr>
          <w:p w14:paraId="392C8636" w14:textId="77777777" w:rsidR="00980E5F" w:rsidRDefault="00980E5F">
            <w:pPr>
              <w:jc w:val="right"/>
              <w:rPr>
                <w:rFonts w:ascii="宋体"/>
              </w:rPr>
            </w:pPr>
          </w:p>
        </w:tc>
        <w:tc>
          <w:tcPr>
            <w:tcW w:w="0" w:type="auto"/>
            <w:shd w:val="clear" w:color="auto" w:fill="auto"/>
            <w:vAlign w:val="bottom"/>
          </w:tcPr>
          <w:p w14:paraId="392C8637" w14:textId="77777777" w:rsidR="00980E5F" w:rsidRDefault="00980E5F">
            <w:pPr>
              <w:rPr>
                <w:rFonts w:ascii="宋体"/>
                <w:vanish/>
              </w:rPr>
            </w:pPr>
          </w:p>
        </w:tc>
        <w:tc>
          <w:tcPr>
            <w:tcW w:w="0" w:type="auto"/>
            <w:shd w:val="clear" w:color="auto" w:fill="auto"/>
            <w:vAlign w:val="bottom"/>
          </w:tcPr>
          <w:p w14:paraId="392C8638"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639"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863A" w14:textId="77777777" w:rsidR="00980E5F" w:rsidRDefault="00483613">
            <w:pPr>
              <w:textAlignment w:val="bottom"/>
            </w:pPr>
            <w:r>
              <w:rPr>
                <w:rFonts w:ascii="Arial" w:eastAsia="宋体" w:hAnsi="Arial" w:cs="Arial"/>
                <w:color w:val="000000"/>
                <w:sz w:val="13"/>
                <w:szCs w:val="13"/>
              </w:rPr>
              <w:t>Long-term debt</w:t>
            </w:r>
          </w:p>
        </w:tc>
        <w:tc>
          <w:tcPr>
            <w:tcW w:w="0" w:type="auto"/>
            <w:gridSpan w:val="3"/>
            <w:shd w:val="clear" w:color="auto" w:fill="FFFFFF"/>
            <w:tcMar>
              <w:top w:w="0" w:type="dxa"/>
              <w:left w:w="20" w:type="dxa"/>
              <w:bottom w:w="0" w:type="dxa"/>
              <w:right w:w="20" w:type="dxa"/>
            </w:tcMar>
            <w:vAlign w:val="bottom"/>
          </w:tcPr>
          <w:p w14:paraId="392C863B"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863C"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392C86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63E" w14:textId="77777777" w:rsidR="00980E5F" w:rsidRDefault="00483613">
            <w:pPr>
              <w:jc w:val="right"/>
              <w:textAlignment w:val="bottom"/>
            </w:pPr>
            <w:r>
              <w:rPr>
                <w:rFonts w:ascii="Arial" w:eastAsia="宋体" w:hAnsi="Arial" w:cs="Arial"/>
                <w:b/>
                <w:bCs/>
                <w:color w:val="000000"/>
                <w:sz w:val="13"/>
                <w:szCs w:val="13"/>
              </w:rPr>
              <w:t>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86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64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641" w14:textId="77777777" w:rsidR="00980E5F" w:rsidRDefault="00483613">
            <w:pPr>
              <w:jc w:val="right"/>
              <w:textAlignment w:val="bottom"/>
            </w:pPr>
            <w:r>
              <w:rPr>
                <w:rFonts w:ascii="Arial" w:eastAsia="宋体" w:hAnsi="Arial" w:cs="Arial"/>
                <w:color w:val="000000"/>
                <w:sz w:val="13"/>
                <w:szCs w:val="13"/>
              </w:rPr>
              <w:t>7 </w:t>
            </w:r>
          </w:p>
        </w:tc>
        <w:tc>
          <w:tcPr>
            <w:tcW w:w="0" w:type="auto"/>
            <w:shd w:val="clear" w:color="auto" w:fill="FFFFFF"/>
            <w:tcMar>
              <w:top w:w="40" w:type="dxa"/>
              <w:left w:w="0" w:type="dxa"/>
              <w:bottom w:w="40" w:type="dxa"/>
              <w:right w:w="20" w:type="dxa"/>
            </w:tcMar>
            <w:vAlign w:val="bottom"/>
          </w:tcPr>
          <w:p w14:paraId="392C8642" w14:textId="77777777" w:rsidR="00980E5F" w:rsidRDefault="00980E5F">
            <w:pPr>
              <w:jc w:val="right"/>
              <w:rPr>
                <w:rFonts w:ascii="宋体"/>
              </w:rPr>
            </w:pPr>
          </w:p>
        </w:tc>
        <w:tc>
          <w:tcPr>
            <w:tcW w:w="0" w:type="auto"/>
            <w:gridSpan w:val="3"/>
            <w:shd w:val="clear" w:color="auto" w:fill="auto"/>
            <w:vAlign w:val="bottom"/>
          </w:tcPr>
          <w:p w14:paraId="392C8643" w14:textId="77777777" w:rsidR="00980E5F" w:rsidRDefault="00980E5F">
            <w:pPr>
              <w:rPr>
                <w:rFonts w:ascii="宋体"/>
                <w:vanish/>
              </w:rPr>
            </w:pPr>
          </w:p>
        </w:tc>
        <w:tc>
          <w:tcPr>
            <w:tcW w:w="0" w:type="auto"/>
            <w:gridSpan w:val="3"/>
            <w:shd w:val="clear" w:color="auto" w:fill="auto"/>
            <w:vAlign w:val="bottom"/>
          </w:tcPr>
          <w:p w14:paraId="392C8644" w14:textId="77777777" w:rsidR="00980E5F" w:rsidRDefault="00980E5F">
            <w:pPr>
              <w:rPr>
                <w:rFonts w:ascii="宋体"/>
                <w:vanish/>
              </w:rPr>
            </w:pPr>
          </w:p>
        </w:tc>
      </w:tr>
      <w:tr w:rsidR="00980E5F" w14:paraId="392C8658" w14:textId="77777777">
        <w:trPr>
          <w:hidden/>
        </w:trPr>
        <w:tc>
          <w:tcPr>
            <w:tcW w:w="0" w:type="auto"/>
            <w:gridSpan w:val="3"/>
            <w:shd w:val="clear" w:color="auto" w:fill="auto"/>
            <w:vAlign w:val="bottom"/>
          </w:tcPr>
          <w:p w14:paraId="392C8646" w14:textId="77777777" w:rsidR="00980E5F" w:rsidRDefault="00980E5F">
            <w:pPr>
              <w:rPr>
                <w:rFonts w:ascii="宋体"/>
                <w:vanish/>
              </w:rPr>
            </w:pPr>
          </w:p>
        </w:tc>
        <w:tc>
          <w:tcPr>
            <w:tcW w:w="0" w:type="auto"/>
            <w:gridSpan w:val="3"/>
            <w:shd w:val="clear" w:color="auto" w:fill="auto"/>
            <w:vAlign w:val="bottom"/>
          </w:tcPr>
          <w:p w14:paraId="392C8647" w14:textId="77777777" w:rsidR="00980E5F" w:rsidRDefault="00980E5F">
            <w:pPr>
              <w:rPr>
                <w:rFonts w:ascii="宋体"/>
                <w:vanish/>
              </w:rPr>
            </w:pPr>
          </w:p>
        </w:tc>
        <w:tc>
          <w:tcPr>
            <w:tcW w:w="0" w:type="auto"/>
            <w:gridSpan w:val="3"/>
            <w:shd w:val="clear" w:color="auto" w:fill="auto"/>
            <w:vAlign w:val="bottom"/>
          </w:tcPr>
          <w:p w14:paraId="392C8648" w14:textId="77777777" w:rsidR="00980E5F" w:rsidRDefault="00980E5F">
            <w:pPr>
              <w:rPr>
                <w:rFonts w:ascii="宋体"/>
                <w:vanish/>
              </w:rPr>
            </w:pPr>
          </w:p>
        </w:tc>
        <w:tc>
          <w:tcPr>
            <w:tcW w:w="0" w:type="auto"/>
            <w:gridSpan w:val="3"/>
            <w:shd w:val="clear" w:color="auto" w:fill="auto"/>
            <w:vAlign w:val="bottom"/>
          </w:tcPr>
          <w:p w14:paraId="392C8649" w14:textId="77777777" w:rsidR="00980E5F" w:rsidRDefault="00980E5F">
            <w:pPr>
              <w:rPr>
                <w:rFonts w:ascii="宋体"/>
                <w:vanish/>
              </w:rPr>
            </w:pPr>
          </w:p>
        </w:tc>
        <w:tc>
          <w:tcPr>
            <w:tcW w:w="0" w:type="auto"/>
            <w:gridSpan w:val="3"/>
            <w:shd w:val="clear" w:color="auto" w:fill="auto"/>
            <w:vAlign w:val="bottom"/>
          </w:tcPr>
          <w:p w14:paraId="392C864A" w14:textId="77777777" w:rsidR="00980E5F" w:rsidRDefault="00980E5F">
            <w:pPr>
              <w:rPr>
                <w:rFonts w:ascii="宋体"/>
                <w:vanish/>
              </w:rPr>
            </w:pPr>
          </w:p>
        </w:tc>
        <w:tc>
          <w:tcPr>
            <w:tcW w:w="0" w:type="auto"/>
            <w:gridSpan w:val="3"/>
            <w:shd w:val="clear" w:color="auto" w:fill="auto"/>
            <w:vAlign w:val="bottom"/>
          </w:tcPr>
          <w:p w14:paraId="392C864B" w14:textId="77777777" w:rsidR="00980E5F" w:rsidRDefault="00980E5F">
            <w:pPr>
              <w:rPr>
                <w:rFonts w:ascii="宋体"/>
                <w:vanish/>
              </w:rPr>
            </w:pPr>
          </w:p>
        </w:tc>
        <w:tc>
          <w:tcPr>
            <w:tcW w:w="0" w:type="auto"/>
            <w:shd w:val="clear" w:color="auto" w:fill="auto"/>
            <w:vAlign w:val="bottom"/>
          </w:tcPr>
          <w:p w14:paraId="392C864C" w14:textId="77777777" w:rsidR="00980E5F" w:rsidRDefault="00980E5F">
            <w:pPr>
              <w:rPr>
                <w:rFonts w:ascii="宋体"/>
                <w:vanish/>
              </w:rPr>
            </w:pPr>
          </w:p>
        </w:tc>
        <w:tc>
          <w:tcPr>
            <w:tcW w:w="0" w:type="auto"/>
            <w:shd w:val="clear" w:color="auto" w:fill="auto"/>
            <w:vAlign w:val="bottom"/>
          </w:tcPr>
          <w:p w14:paraId="392C864D" w14:textId="77777777" w:rsidR="00980E5F" w:rsidRDefault="00980E5F">
            <w:pPr>
              <w:rPr>
                <w:rFonts w:ascii="宋体"/>
                <w:vanish/>
              </w:rPr>
            </w:pPr>
          </w:p>
        </w:tc>
        <w:tc>
          <w:tcPr>
            <w:tcW w:w="0" w:type="auto"/>
            <w:gridSpan w:val="3"/>
            <w:shd w:val="clear" w:color="auto" w:fill="auto"/>
            <w:vAlign w:val="bottom"/>
          </w:tcPr>
          <w:p w14:paraId="392C864E" w14:textId="77777777" w:rsidR="00980E5F" w:rsidRDefault="00980E5F">
            <w:pPr>
              <w:rPr>
                <w:rFonts w:ascii="宋体"/>
                <w:vanish/>
              </w:rPr>
            </w:pPr>
          </w:p>
        </w:tc>
        <w:tc>
          <w:tcPr>
            <w:tcW w:w="0" w:type="auto"/>
            <w:gridSpan w:val="3"/>
            <w:shd w:val="clear" w:color="auto" w:fill="auto"/>
            <w:vAlign w:val="bottom"/>
          </w:tcPr>
          <w:p w14:paraId="392C864F" w14:textId="77777777" w:rsidR="00980E5F" w:rsidRDefault="00980E5F">
            <w:pPr>
              <w:rPr>
                <w:rFonts w:ascii="宋体"/>
                <w:vanish/>
              </w:rPr>
            </w:pPr>
          </w:p>
        </w:tc>
        <w:tc>
          <w:tcPr>
            <w:tcW w:w="0" w:type="auto"/>
            <w:gridSpan w:val="3"/>
            <w:shd w:val="clear" w:color="auto" w:fill="auto"/>
            <w:vAlign w:val="bottom"/>
          </w:tcPr>
          <w:p w14:paraId="392C8650" w14:textId="77777777" w:rsidR="00980E5F" w:rsidRDefault="00980E5F">
            <w:pPr>
              <w:rPr>
                <w:rFonts w:ascii="宋体"/>
                <w:vanish/>
              </w:rPr>
            </w:pPr>
          </w:p>
        </w:tc>
        <w:tc>
          <w:tcPr>
            <w:tcW w:w="0" w:type="auto"/>
            <w:gridSpan w:val="3"/>
            <w:shd w:val="clear" w:color="auto" w:fill="auto"/>
            <w:vAlign w:val="bottom"/>
          </w:tcPr>
          <w:p w14:paraId="392C8651" w14:textId="77777777" w:rsidR="00980E5F" w:rsidRDefault="00980E5F">
            <w:pPr>
              <w:rPr>
                <w:rFonts w:ascii="宋体"/>
                <w:vanish/>
              </w:rPr>
            </w:pPr>
          </w:p>
        </w:tc>
        <w:tc>
          <w:tcPr>
            <w:tcW w:w="0" w:type="auto"/>
            <w:gridSpan w:val="3"/>
            <w:shd w:val="clear" w:color="auto" w:fill="auto"/>
            <w:vAlign w:val="bottom"/>
          </w:tcPr>
          <w:p w14:paraId="392C8652" w14:textId="77777777" w:rsidR="00980E5F" w:rsidRDefault="00980E5F">
            <w:pPr>
              <w:rPr>
                <w:rFonts w:ascii="宋体"/>
                <w:vanish/>
              </w:rPr>
            </w:pPr>
          </w:p>
        </w:tc>
        <w:tc>
          <w:tcPr>
            <w:tcW w:w="0" w:type="auto"/>
            <w:gridSpan w:val="3"/>
            <w:shd w:val="clear" w:color="auto" w:fill="auto"/>
            <w:vAlign w:val="bottom"/>
          </w:tcPr>
          <w:p w14:paraId="392C8653" w14:textId="77777777" w:rsidR="00980E5F" w:rsidRDefault="00980E5F">
            <w:pPr>
              <w:rPr>
                <w:rFonts w:ascii="宋体"/>
                <w:vanish/>
              </w:rPr>
            </w:pPr>
          </w:p>
        </w:tc>
        <w:tc>
          <w:tcPr>
            <w:tcW w:w="0" w:type="auto"/>
            <w:gridSpan w:val="3"/>
            <w:shd w:val="clear" w:color="auto" w:fill="auto"/>
            <w:vAlign w:val="bottom"/>
          </w:tcPr>
          <w:p w14:paraId="392C8654" w14:textId="77777777" w:rsidR="00980E5F" w:rsidRDefault="00980E5F">
            <w:pPr>
              <w:rPr>
                <w:rFonts w:ascii="宋体"/>
                <w:vanish/>
              </w:rPr>
            </w:pPr>
          </w:p>
        </w:tc>
        <w:tc>
          <w:tcPr>
            <w:tcW w:w="0" w:type="auto"/>
            <w:gridSpan w:val="3"/>
            <w:shd w:val="clear" w:color="auto" w:fill="auto"/>
            <w:vAlign w:val="bottom"/>
          </w:tcPr>
          <w:p w14:paraId="392C8655" w14:textId="77777777" w:rsidR="00980E5F" w:rsidRDefault="00980E5F">
            <w:pPr>
              <w:rPr>
                <w:rFonts w:ascii="宋体"/>
                <w:vanish/>
              </w:rPr>
            </w:pPr>
          </w:p>
        </w:tc>
        <w:tc>
          <w:tcPr>
            <w:tcW w:w="0" w:type="auto"/>
            <w:gridSpan w:val="3"/>
            <w:shd w:val="clear" w:color="auto" w:fill="auto"/>
            <w:vAlign w:val="bottom"/>
          </w:tcPr>
          <w:p w14:paraId="392C8656" w14:textId="77777777" w:rsidR="00980E5F" w:rsidRDefault="00980E5F">
            <w:pPr>
              <w:rPr>
                <w:rFonts w:ascii="宋体"/>
                <w:vanish/>
              </w:rPr>
            </w:pPr>
          </w:p>
        </w:tc>
        <w:tc>
          <w:tcPr>
            <w:tcW w:w="0" w:type="auto"/>
            <w:gridSpan w:val="3"/>
            <w:shd w:val="clear" w:color="auto" w:fill="auto"/>
            <w:vAlign w:val="bottom"/>
          </w:tcPr>
          <w:p w14:paraId="392C8657" w14:textId="77777777" w:rsidR="00980E5F" w:rsidRDefault="00980E5F">
            <w:pPr>
              <w:rPr>
                <w:rFonts w:ascii="宋体"/>
                <w:vanish/>
              </w:rPr>
            </w:pPr>
          </w:p>
        </w:tc>
      </w:tr>
      <w:tr w:rsidR="00980E5F" w14:paraId="392C866B" w14:textId="77777777">
        <w:trPr>
          <w:hidden/>
        </w:trPr>
        <w:tc>
          <w:tcPr>
            <w:tcW w:w="0" w:type="auto"/>
            <w:gridSpan w:val="3"/>
            <w:shd w:val="clear" w:color="auto" w:fill="auto"/>
            <w:vAlign w:val="bottom"/>
          </w:tcPr>
          <w:p w14:paraId="392C8659" w14:textId="77777777" w:rsidR="00980E5F" w:rsidRDefault="00980E5F">
            <w:pPr>
              <w:rPr>
                <w:rFonts w:ascii="宋体"/>
                <w:vanish/>
              </w:rPr>
            </w:pPr>
          </w:p>
        </w:tc>
        <w:tc>
          <w:tcPr>
            <w:tcW w:w="0" w:type="auto"/>
            <w:gridSpan w:val="3"/>
            <w:shd w:val="clear" w:color="auto" w:fill="auto"/>
            <w:vAlign w:val="bottom"/>
          </w:tcPr>
          <w:p w14:paraId="392C865A" w14:textId="77777777" w:rsidR="00980E5F" w:rsidRDefault="00980E5F">
            <w:pPr>
              <w:rPr>
                <w:rFonts w:ascii="宋体"/>
                <w:vanish/>
              </w:rPr>
            </w:pPr>
          </w:p>
        </w:tc>
        <w:tc>
          <w:tcPr>
            <w:tcW w:w="0" w:type="auto"/>
            <w:gridSpan w:val="3"/>
            <w:shd w:val="clear" w:color="auto" w:fill="auto"/>
            <w:vAlign w:val="bottom"/>
          </w:tcPr>
          <w:p w14:paraId="392C865B" w14:textId="77777777" w:rsidR="00980E5F" w:rsidRDefault="00980E5F">
            <w:pPr>
              <w:rPr>
                <w:rFonts w:ascii="宋体"/>
                <w:vanish/>
              </w:rPr>
            </w:pPr>
          </w:p>
        </w:tc>
        <w:tc>
          <w:tcPr>
            <w:tcW w:w="0" w:type="auto"/>
            <w:gridSpan w:val="3"/>
            <w:shd w:val="clear" w:color="auto" w:fill="auto"/>
            <w:vAlign w:val="bottom"/>
          </w:tcPr>
          <w:p w14:paraId="392C865C" w14:textId="77777777" w:rsidR="00980E5F" w:rsidRDefault="00980E5F">
            <w:pPr>
              <w:rPr>
                <w:rFonts w:ascii="宋体"/>
                <w:vanish/>
              </w:rPr>
            </w:pPr>
          </w:p>
        </w:tc>
        <w:tc>
          <w:tcPr>
            <w:tcW w:w="0" w:type="auto"/>
            <w:gridSpan w:val="3"/>
            <w:shd w:val="clear" w:color="auto" w:fill="auto"/>
            <w:vAlign w:val="bottom"/>
          </w:tcPr>
          <w:p w14:paraId="392C865D" w14:textId="77777777" w:rsidR="00980E5F" w:rsidRDefault="00980E5F">
            <w:pPr>
              <w:rPr>
                <w:rFonts w:ascii="宋体"/>
                <w:vanish/>
              </w:rPr>
            </w:pPr>
          </w:p>
        </w:tc>
        <w:tc>
          <w:tcPr>
            <w:tcW w:w="0" w:type="auto"/>
            <w:gridSpan w:val="3"/>
            <w:shd w:val="clear" w:color="auto" w:fill="auto"/>
            <w:vAlign w:val="bottom"/>
          </w:tcPr>
          <w:p w14:paraId="392C865E" w14:textId="77777777" w:rsidR="00980E5F" w:rsidRDefault="00980E5F">
            <w:pPr>
              <w:rPr>
                <w:rFonts w:ascii="宋体"/>
                <w:vanish/>
              </w:rPr>
            </w:pPr>
          </w:p>
        </w:tc>
        <w:tc>
          <w:tcPr>
            <w:tcW w:w="0" w:type="auto"/>
            <w:shd w:val="clear" w:color="auto" w:fill="auto"/>
            <w:vAlign w:val="bottom"/>
          </w:tcPr>
          <w:p w14:paraId="392C865F" w14:textId="77777777" w:rsidR="00980E5F" w:rsidRDefault="00980E5F">
            <w:pPr>
              <w:rPr>
                <w:rFonts w:ascii="宋体"/>
                <w:vanish/>
              </w:rPr>
            </w:pPr>
          </w:p>
        </w:tc>
        <w:tc>
          <w:tcPr>
            <w:tcW w:w="0" w:type="auto"/>
            <w:shd w:val="clear" w:color="auto" w:fill="auto"/>
            <w:vAlign w:val="bottom"/>
          </w:tcPr>
          <w:p w14:paraId="392C8660" w14:textId="77777777" w:rsidR="00980E5F" w:rsidRDefault="00980E5F">
            <w:pPr>
              <w:rPr>
                <w:rFonts w:ascii="宋体"/>
                <w:vanish/>
              </w:rPr>
            </w:pPr>
          </w:p>
        </w:tc>
        <w:tc>
          <w:tcPr>
            <w:tcW w:w="0" w:type="auto"/>
            <w:gridSpan w:val="3"/>
            <w:shd w:val="clear" w:color="auto" w:fill="auto"/>
            <w:vAlign w:val="bottom"/>
          </w:tcPr>
          <w:p w14:paraId="392C8661" w14:textId="77777777" w:rsidR="00980E5F" w:rsidRDefault="00980E5F">
            <w:pPr>
              <w:rPr>
                <w:rFonts w:ascii="宋体"/>
                <w:vanish/>
              </w:rPr>
            </w:pPr>
          </w:p>
        </w:tc>
        <w:tc>
          <w:tcPr>
            <w:tcW w:w="0" w:type="auto"/>
            <w:gridSpan w:val="3"/>
            <w:shd w:val="clear" w:color="auto" w:fill="auto"/>
            <w:vAlign w:val="bottom"/>
          </w:tcPr>
          <w:p w14:paraId="392C8662" w14:textId="77777777" w:rsidR="00980E5F" w:rsidRDefault="00980E5F">
            <w:pPr>
              <w:rPr>
                <w:rFonts w:ascii="宋体"/>
                <w:vanish/>
              </w:rPr>
            </w:pPr>
          </w:p>
        </w:tc>
        <w:tc>
          <w:tcPr>
            <w:tcW w:w="0" w:type="auto"/>
            <w:gridSpan w:val="3"/>
            <w:shd w:val="clear" w:color="auto" w:fill="auto"/>
            <w:vAlign w:val="bottom"/>
          </w:tcPr>
          <w:p w14:paraId="392C8663" w14:textId="77777777" w:rsidR="00980E5F" w:rsidRDefault="00980E5F">
            <w:pPr>
              <w:rPr>
                <w:rFonts w:ascii="宋体"/>
                <w:vanish/>
              </w:rPr>
            </w:pPr>
          </w:p>
        </w:tc>
        <w:tc>
          <w:tcPr>
            <w:tcW w:w="0" w:type="auto"/>
            <w:gridSpan w:val="3"/>
            <w:shd w:val="clear" w:color="auto" w:fill="auto"/>
            <w:vAlign w:val="bottom"/>
          </w:tcPr>
          <w:p w14:paraId="392C8664" w14:textId="77777777" w:rsidR="00980E5F" w:rsidRDefault="00980E5F">
            <w:pPr>
              <w:rPr>
                <w:rFonts w:ascii="宋体"/>
                <w:vanish/>
              </w:rPr>
            </w:pPr>
          </w:p>
        </w:tc>
        <w:tc>
          <w:tcPr>
            <w:tcW w:w="0" w:type="auto"/>
            <w:gridSpan w:val="3"/>
            <w:shd w:val="clear" w:color="auto" w:fill="auto"/>
            <w:vAlign w:val="bottom"/>
          </w:tcPr>
          <w:p w14:paraId="392C8665" w14:textId="77777777" w:rsidR="00980E5F" w:rsidRDefault="00980E5F">
            <w:pPr>
              <w:rPr>
                <w:rFonts w:ascii="宋体"/>
                <w:vanish/>
              </w:rPr>
            </w:pPr>
          </w:p>
        </w:tc>
        <w:tc>
          <w:tcPr>
            <w:tcW w:w="0" w:type="auto"/>
            <w:gridSpan w:val="3"/>
            <w:shd w:val="clear" w:color="auto" w:fill="auto"/>
            <w:vAlign w:val="bottom"/>
          </w:tcPr>
          <w:p w14:paraId="392C8666" w14:textId="77777777" w:rsidR="00980E5F" w:rsidRDefault="00980E5F">
            <w:pPr>
              <w:rPr>
                <w:rFonts w:ascii="宋体"/>
                <w:vanish/>
              </w:rPr>
            </w:pPr>
          </w:p>
        </w:tc>
        <w:tc>
          <w:tcPr>
            <w:tcW w:w="0" w:type="auto"/>
            <w:gridSpan w:val="3"/>
            <w:shd w:val="clear" w:color="auto" w:fill="auto"/>
            <w:vAlign w:val="bottom"/>
          </w:tcPr>
          <w:p w14:paraId="392C8667" w14:textId="77777777" w:rsidR="00980E5F" w:rsidRDefault="00980E5F">
            <w:pPr>
              <w:rPr>
                <w:rFonts w:ascii="宋体"/>
                <w:vanish/>
              </w:rPr>
            </w:pPr>
          </w:p>
        </w:tc>
        <w:tc>
          <w:tcPr>
            <w:tcW w:w="0" w:type="auto"/>
            <w:gridSpan w:val="3"/>
            <w:shd w:val="clear" w:color="auto" w:fill="auto"/>
            <w:vAlign w:val="bottom"/>
          </w:tcPr>
          <w:p w14:paraId="392C8668" w14:textId="77777777" w:rsidR="00980E5F" w:rsidRDefault="00980E5F">
            <w:pPr>
              <w:rPr>
                <w:rFonts w:ascii="宋体"/>
                <w:vanish/>
              </w:rPr>
            </w:pPr>
          </w:p>
        </w:tc>
        <w:tc>
          <w:tcPr>
            <w:tcW w:w="0" w:type="auto"/>
            <w:gridSpan w:val="3"/>
            <w:shd w:val="clear" w:color="auto" w:fill="auto"/>
            <w:vAlign w:val="bottom"/>
          </w:tcPr>
          <w:p w14:paraId="392C8669" w14:textId="77777777" w:rsidR="00980E5F" w:rsidRDefault="00980E5F">
            <w:pPr>
              <w:rPr>
                <w:rFonts w:ascii="宋体"/>
                <w:vanish/>
              </w:rPr>
            </w:pPr>
          </w:p>
        </w:tc>
        <w:tc>
          <w:tcPr>
            <w:tcW w:w="0" w:type="auto"/>
            <w:gridSpan w:val="3"/>
            <w:shd w:val="clear" w:color="auto" w:fill="auto"/>
            <w:vAlign w:val="bottom"/>
          </w:tcPr>
          <w:p w14:paraId="392C866A" w14:textId="77777777" w:rsidR="00980E5F" w:rsidRDefault="00980E5F">
            <w:pPr>
              <w:rPr>
                <w:rFonts w:ascii="宋体"/>
                <w:vanish/>
              </w:rPr>
            </w:pPr>
          </w:p>
        </w:tc>
      </w:tr>
      <w:tr w:rsidR="00980E5F" w14:paraId="392C8686" w14:textId="77777777">
        <w:tc>
          <w:tcPr>
            <w:tcW w:w="0" w:type="auto"/>
            <w:gridSpan w:val="3"/>
            <w:shd w:val="clear" w:color="auto" w:fill="CCEEFF"/>
            <w:tcMar>
              <w:top w:w="40" w:type="dxa"/>
              <w:left w:w="20" w:type="dxa"/>
              <w:bottom w:w="40" w:type="dxa"/>
              <w:right w:w="20" w:type="dxa"/>
            </w:tcMar>
            <w:vAlign w:val="bottom"/>
          </w:tcPr>
          <w:p w14:paraId="392C866C" w14:textId="77777777" w:rsidR="00980E5F" w:rsidRDefault="00483613">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392C866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66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66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670" w14:textId="77777777" w:rsidR="00980E5F" w:rsidRDefault="00483613">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6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67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67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674" w14:textId="77777777" w:rsidR="00980E5F" w:rsidRDefault="00483613">
            <w:pPr>
              <w:jc w:val="right"/>
              <w:textAlignment w:val="bottom"/>
            </w:pPr>
            <w:r>
              <w:rPr>
                <w:rFonts w:ascii="Arial" w:eastAsia="宋体" w:hAnsi="Arial" w:cs="Arial"/>
                <w:color w:val="000000"/>
                <w:sz w:val="13"/>
                <w:szCs w:val="13"/>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675" w14:textId="77777777" w:rsidR="00980E5F" w:rsidRDefault="00980E5F">
            <w:pPr>
              <w:jc w:val="right"/>
              <w:rPr>
                <w:rFonts w:ascii="宋体"/>
              </w:rPr>
            </w:pPr>
          </w:p>
        </w:tc>
        <w:tc>
          <w:tcPr>
            <w:tcW w:w="0" w:type="auto"/>
            <w:shd w:val="clear" w:color="auto" w:fill="auto"/>
            <w:vAlign w:val="bottom"/>
          </w:tcPr>
          <w:p w14:paraId="392C8676" w14:textId="77777777" w:rsidR="00980E5F" w:rsidRDefault="00980E5F">
            <w:pPr>
              <w:rPr>
                <w:rFonts w:ascii="宋体"/>
                <w:vanish/>
              </w:rPr>
            </w:pPr>
          </w:p>
        </w:tc>
        <w:tc>
          <w:tcPr>
            <w:tcW w:w="0" w:type="auto"/>
            <w:shd w:val="clear" w:color="auto" w:fill="auto"/>
            <w:vAlign w:val="bottom"/>
          </w:tcPr>
          <w:p w14:paraId="392C8677"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67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67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67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67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67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67D"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67E" w14:textId="77777777" w:rsidR="00980E5F" w:rsidRDefault="00483613">
            <w:pPr>
              <w:jc w:val="right"/>
              <w:textAlignment w:val="bottom"/>
            </w:pPr>
            <w:r>
              <w:rPr>
                <w:rFonts w:ascii="Arial" w:eastAsia="宋体" w:hAnsi="Arial" w:cs="Arial"/>
                <w:b/>
                <w:bCs/>
                <w:color w:val="000000"/>
                <w:sz w:val="13"/>
                <w:szCs w:val="13"/>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6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68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68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682" w14:textId="77777777" w:rsidR="00980E5F" w:rsidRDefault="00483613">
            <w:pPr>
              <w:jc w:val="right"/>
              <w:textAlignment w:val="bottom"/>
            </w:pPr>
            <w:r>
              <w:rPr>
                <w:rFonts w:ascii="Arial" w:eastAsia="宋体" w:hAnsi="Arial" w:cs="Arial"/>
                <w:color w:val="000000"/>
                <w:sz w:val="13"/>
                <w:szCs w:val="13"/>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683" w14:textId="77777777" w:rsidR="00980E5F" w:rsidRDefault="00980E5F">
            <w:pPr>
              <w:jc w:val="right"/>
              <w:rPr>
                <w:rFonts w:ascii="宋体"/>
              </w:rPr>
            </w:pPr>
          </w:p>
        </w:tc>
        <w:tc>
          <w:tcPr>
            <w:tcW w:w="0" w:type="auto"/>
            <w:gridSpan w:val="3"/>
            <w:shd w:val="clear" w:color="auto" w:fill="auto"/>
            <w:vAlign w:val="bottom"/>
          </w:tcPr>
          <w:p w14:paraId="392C8684" w14:textId="77777777" w:rsidR="00980E5F" w:rsidRDefault="00980E5F">
            <w:pPr>
              <w:rPr>
                <w:rFonts w:ascii="宋体"/>
                <w:vanish/>
              </w:rPr>
            </w:pPr>
          </w:p>
        </w:tc>
        <w:tc>
          <w:tcPr>
            <w:tcW w:w="0" w:type="auto"/>
            <w:gridSpan w:val="3"/>
            <w:shd w:val="clear" w:color="auto" w:fill="auto"/>
            <w:vAlign w:val="bottom"/>
          </w:tcPr>
          <w:p w14:paraId="392C8685" w14:textId="77777777" w:rsidR="00980E5F" w:rsidRDefault="00980E5F">
            <w:pPr>
              <w:rPr>
                <w:rFonts w:ascii="宋体"/>
                <w:vanish/>
              </w:rPr>
            </w:pPr>
          </w:p>
        </w:tc>
      </w:tr>
      <w:tr w:rsidR="00980E5F" w14:paraId="392C8699" w14:textId="77777777">
        <w:trPr>
          <w:trHeight w:val="100"/>
        </w:trPr>
        <w:tc>
          <w:tcPr>
            <w:tcW w:w="0" w:type="auto"/>
            <w:gridSpan w:val="3"/>
            <w:shd w:val="clear" w:color="auto" w:fill="auto"/>
            <w:tcMar>
              <w:top w:w="0" w:type="dxa"/>
              <w:left w:w="20" w:type="dxa"/>
              <w:bottom w:w="0" w:type="dxa"/>
              <w:right w:w="20" w:type="dxa"/>
            </w:tcMar>
            <w:vAlign w:val="bottom"/>
          </w:tcPr>
          <w:p w14:paraId="392C86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8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8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68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8B"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68C" w14:textId="77777777" w:rsidR="00980E5F" w:rsidRDefault="00980E5F">
            <w:pPr>
              <w:rPr>
                <w:rFonts w:ascii="宋体"/>
              </w:rPr>
            </w:pPr>
          </w:p>
        </w:tc>
        <w:tc>
          <w:tcPr>
            <w:tcW w:w="0" w:type="auto"/>
            <w:shd w:val="clear" w:color="auto" w:fill="auto"/>
            <w:vAlign w:val="bottom"/>
          </w:tcPr>
          <w:p w14:paraId="392C868D" w14:textId="77777777" w:rsidR="00980E5F" w:rsidRDefault="00980E5F">
            <w:pPr>
              <w:rPr>
                <w:rFonts w:ascii="宋体"/>
                <w:vanish/>
              </w:rPr>
            </w:pPr>
          </w:p>
        </w:tc>
        <w:tc>
          <w:tcPr>
            <w:tcW w:w="0" w:type="auto"/>
            <w:shd w:val="clear" w:color="auto" w:fill="auto"/>
            <w:vAlign w:val="bottom"/>
          </w:tcPr>
          <w:p w14:paraId="392C868E"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68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3"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69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5"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696" w14:textId="77777777" w:rsidR="00980E5F" w:rsidRDefault="00980E5F">
            <w:pPr>
              <w:rPr>
                <w:rFonts w:ascii="宋体"/>
              </w:rPr>
            </w:pPr>
          </w:p>
        </w:tc>
        <w:tc>
          <w:tcPr>
            <w:tcW w:w="0" w:type="auto"/>
            <w:gridSpan w:val="3"/>
            <w:shd w:val="clear" w:color="auto" w:fill="auto"/>
            <w:vAlign w:val="bottom"/>
          </w:tcPr>
          <w:p w14:paraId="392C8697" w14:textId="77777777" w:rsidR="00980E5F" w:rsidRDefault="00980E5F">
            <w:pPr>
              <w:rPr>
                <w:rFonts w:ascii="宋体"/>
                <w:vanish/>
              </w:rPr>
            </w:pPr>
          </w:p>
        </w:tc>
        <w:tc>
          <w:tcPr>
            <w:tcW w:w="0" w:type="auto"/>
            <w:gridSpan w:val="3"/>
            <w:shd w:val="clear" w:color="auto" w:fill="auto"/>
            <w:vAlign w:val="bottom"/>
          </w:tcPr>
          <w:p w14:paraId="392C8698" w14:textId="77777777" w:rsidR="00980E5F" w:rsidRDefault="00980E5F">
            <w:pPr>
              <w:rPr>
                <w:rFonts w:ascii="宋体"/>
                <w:vanish/>
              </w:rPr>
            </w:pPr>
          </w:p>
        </w:tc>
      </w:tr>
      <w:tr w:rsidR="00980E5F" w14:paraId="392C86A8" w14:textId="77777777">
        <w:tc>
          <w:tcPr>
            <w:tcW w:w="0" w:type="auto"/>
            <w:gridSpan w:val="3"/>
            <w:shd w:val="clear" w:color="auto" w:fill="auto"/>
            <w:tcMar>
              <w:top w:w="0" w:type="dxa"/>
              <w:left w:w="20" w:type="dxa"/>
              <w:bottom w:w="0" w:type="dxa"/>
              <w:right w:w="20" w:type="dxa"/>
            </w:tcMar>
            <w:vAlign w:val="bottom"/>
          </w:tcPr>
          <w:p w14:paraId="392C869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9C"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69D" w14:textId="77777777" w:rsidR="00980E5F" w:rsidRDefault="00483613">
            <w:pPr>
              <w:jc w:val="center"/>
              <w:textAlignment w:val="bottom"/>
            </w:pPr>
            <w:r>
              <w:rPr>
                <w:rFonts w:ascii="Arial" w:eastAsia="宋体" w:hAnsi="Arial" w:cs="Arial"/>
                <w:b/>
                <w:bCs/>
                <w:color w:val="000000"/>
                <w:sz w:val="13"/>
                <w:szCs w:val="13"/>
              </w:rPr>
              <w:t xml:space="preserve">Six Months Ended June </w:t>
            </w:r>
            <w:r>
              <w:rPr>
                <w:rFonts w:ascii="Arial" w:eastAsia="宋体" w:hAnsi="Arial" w:cs="Arial"/>
                <w:b/>
                <w:bCs/>
                <w:color w:val="000000"/>
                <w:sz w:val="13"/>
                <w:szCs w:val="13"/>
              </w:rPr>
              <w:t>30,</w:t>
            </w:r>
          </w:p>
        </w:tc>
        <w:tc>
          <w:tcPr>
            <w:tcW w:w="0" w:type="auto"/>
            <w:shd w:val="clear" w:color="auto" w:fill="auto"/>
            <w:vAlign w:val="bottom"/>
          </w:tcPr>
          <w:p w14:paraId="392C869E" w14:textId="77777777" w:rsidR="00980E5F" w:rsidRDefault="00980E5F">
            <w:pPr>
              <w:rPr>
                <w:rFonts w:ascii="宋体"/>
                <w:vanish/>
              </w:rPr>
            </w:pPr>
          </w:p>
        </w:tc>
        <w:tc>
          <w:tcPr>
            <w:tcW w:w="0" w:type="auto"/>
            <w:shd w:val="clear" w:color="auto" w:fill="auto"/>
            <w:vAlign w:val="bottom"/>
          </w:tcPr>
          <w:p w14:paraId="392C869F"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6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A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A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A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A4"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6A5" w14:textId="77777777" w:rsidR="00980E5F" w:rsidRDefault="00483613">
            <w:pPr>
              <w:jc w:val="center"/>
              <w:textAlignment w:val="bottom"/>
            </w:pPr>
            <w:r>
              <w:rPr>
                <w:rFonts w:ascii="Arial" w:eastAsia="宋体" w:hAnsi="Arial" w:cs="Arial"/>
                <w:b/>
                <w:bCs/>
                <w:color w:val="000000"/>
                <w:sz w:val="13"/>
                <w:szCs w:val="13"/>
              </w:rPr>
              <w:t>Six Months Ended June 30,</w:t>
            </w:r>
          </w:p>
        </w:tc>
        <w:tc>
          <w:tcPr>
            <w:tcW w:w="0" w:type="auto"/>
            <w:gridSpan w:val="3"/>
            <w:shd w:val="clear" w:color="auto" w:fill="auto"/>
            <w:vAlign w:val="bottom"/>
          </w:tcPr>
          <w:p w14:paraId="392C86A6" w14:textId="77777777" w:rsidR="00980E5F" w:rsidRDefault="00980E5F">
            <w:pPr>
              <w:rPr>
                <w:rFonts w:ascii="宋体"/>
                <w:vanish/>
              </w:rPr>
            </w:pPr>
          </w:p>
        </w:tc>
        <w:tc>
          <w:tcPr>
            <w:tcW w:w="0" w:type="auto"/>
            <w:gridSpan w:val="3"/>
            <w:shd w:val="clear" w:color="auto" w:fill="auto"/>
            <w:vAlign w:val="bottom"/>
          </w:tcPr>
          <w:p w14:paraId="392C86A7" w14:textId="77777777" w:rsidR="00980E5F" w:rsidRDefault="00980E5F">
            <w:pPr>
              <w:rPr>
                <w:rFonts w:ascii="宋体"/>
                <w:vanish/>
              </w:rPr>
            </w:pPr>
          </w:p>
        </w:tc>
      </w:tr>
      <w:tr w:rsidR="00980E5F" w14:paraId="392C86BB" w14:textId="77777777">
        <w:tc>
          <w:tcPr>
            <w:tcW w:w="0" w:type="auto"/>
            <w:gridSpan w:val="3"/>
            <w:shd w:val="clear" w:color="auto" w:fill="FFFFFF"/>
            <w:tcMar>
              <w:top w:w="0" w:type="dxa"/>
              <w:left w:w="20" w:type="dxa"/>
              <w:bottom w:w="0" w:type="dxa"/>
              <w:right w:w="20" w:type="dxa"/>
            </w:tcMar>
            <w:vAlign w:val="bottom"/>
          </w:tcPr>
          <w:p w14:paraId="392C86A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6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A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6AC"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AD"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6AE" w14:textId="77777777" w:rsidR="00980E5F" w:rsidRDefault="00483613">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392C86AF" w14:textId="77777777" w:rsidR="00980E5F" w:rsidRDefault="00980E5F">
            <w:pPr>
              <w:rPr>
                <w:rFonts w:ascii="宋体"/>
                <w:vanish/>
              </w:rPr>
            </w:pPr>
          </w:p>
        </w:tc>
        <w:tc>
          <w:tcPr>
            <w:tcW w:w="0" w:type="auto"/>
            <w:shd w:val="clear" w:color="auto" w:fill="auto"/>
            <w:vAlign w:val="bottom"/>
          </w:tcPr>
          <w:p w14:paraId="392C86B0"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6B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6B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6B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6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B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6B6"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B7"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6B8"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C86B9" w14:textId="77777777" w:rsidR="00980E5F" w:rsidRDefault="00980E5F">
            <w:pPr>
              <w:rPr>
                <w:rFonts w:ascii="宋体"/>
                <w:vanish/>
              </w:rPr>
            </w:pPr>
          </w:p>
        </w:tc>
        <w:tc>
          <w:tcPr>
            <w:tcW w:w="0" w:type="auto"/>
            <w:gridSpan w:val="3"/>
            <w:shd w:val="clear" w:color="auto" w:fill="auto"/>
            <w:vAlign w:val="bottom"/>
          </w:tcPr>
          <w:p w14:paraId="392C86BA" w14:textId="77777777" w:rsidR="00980E5F" w:rsidRDefault="00980E5F">
            <w:pPr>
              <w:rPr>
                <w:rFonts w:ascii="宋体"/>
                <w:vanish/>
              </w:rPr>
            </w:pPr>
          </w:p>
        </w:tc>
      </w:tr>
      <w:tr w:rsidR="00980E5F" w14:paraId="392C86CA" w14:textId="77777777">
        <w:tc>
          <w:tcPr>
            <w:tcW w:w="0" w:type="auto"/>
            <w:gridSpan w:val="3"/>
            <w:shd w:val="clear" w:color="auto" w:fill="auto"/>
            <w:tcMar>
              <w:top w:w="40" w:type="dxa"/>
              <w:left w:w="20" w:type="dxa"/>
              <w:bottom w:w="40" w:type="dxa"/>
              <w:right w:w="20" w:type="dxa"/>
            </w:tcMar>
            <w:vAlign w:val="bottom"/>
          </w:tcPr>
          <w:p w14:paraId="392C86BC"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86BD" w14:textId="77777777" w:rsidR="00980E5F" w:rsidRDefault="00483613">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392C86BE" w14:textId="77777777" w:rsidR="00980E5F" w:rsidRDefault="00980E5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92C86BF" w14:textId="77777777" w:rsidR="00980E5F" w:rsidRDefault="00483613">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392C86C0" w14:textId="77777777" w:rsidR="00980E5F" w:rsidRDefault="00980E5F">
            <w:pPr>
              <w:rPr>
                <w:rFonts w:ascii="宋体"/>
                <w:vanish/>
              </w:rPr>
            </w:pPr>
          </w:p>
        </w:tc>
        <w:tc>
          <w:tcPr>
            <w:tcW w:w="0" w:type="auto"/>
            <w:shd w:val="clear" w:color="auto" w:fill="auto"/>
            <w:vAlign w:val="bottom"/>
          </w:tcPr>
          <w:p w14:paraId="392C86C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6C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6C3" w14:textId="77777777" w:rsidR="00980E5F" w:rsidRDefault="00483613">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392C86C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6C5" w14:textId="77777777" w:rsidR="00980E5F" w:rsidRDefault="00483613">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392C86C6" w14:textId="77777777" w:rsidR="00980E5F" w:rsidRDefault="00980E5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92C86C7" w14:textId="77777777" w:rsidR="00980E5F" w:rsidRDefault="00483613">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vAlign w:val="bottom"/>
          </w:tcPr>
          <w:p w14:paraId="392C86C8" w14:textId="77777777" w:rsidR="00980E5F" w:rsidRDefault="00980E5F">
            <w:pPr>
              <w:rPr>
                <w:rFonts w:ascii="宋体"/>
                <w:vanish/>
              </w:rPr>
            </w:pPr>
          </w:p>
        </w:tc>
        <w:tc>
          <w:tcPr>
            <w:tcW w:w="0" w:type="auto"/>
            <w:gridSpan w:val="3"/>
            <w:shd w:val="clear" w:color="auto" w:fill="auto"/>
            <w:vAlign w:val="bottom"/>
          </w:tcPr>
          <w:p w14:paraId="392C86C9" w14:textId="77777777" w:rsidR="00980E5F" w:rsidRDefault="00980E5F">
            <w:pPr>
              <w:rPr>
                <w:rFonts w:ascii="宋体"/>
                <w:vanish/>
              </w:rPr>
            </w:pPr>
          </w:p>
        </w:tc>
      </w:tr>
      <w:tr w:rsidR="00980E5F" w14:paraId="392C86DD" w14:textId="77777777">
        <w:tc>
          <w:tcPr>
            <w:tcW w:w="0" w:type="auto"/>
            <w:gridSpan w:val="3"/>
            <w:shd w:val="clear" w:color="auto" w:fill="FFFFFF"/>
            <w:tcMar>
              <w:top w:w="40" w:type="dxa"/>
              <w:left w:w="20" w:type="dxa"/>
              <w:bottom w:w="40" w:type="dxa"/>
              <w:right w:w="20" w:type="dxa"/>
            </w:tcMar>
            <w:vAlign w:val="bottom"/>
          </w:tcPr>
          <w:p w14:paraId="392C86CB" w14:textId="77777777" w:rsidR="00980E5F" w:rsidRDefault="00483613">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86C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6C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C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C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0" w14:textId="77777777" w:rsidR="00980E5F" w:rsidRDefault="00980E5F">
            <w:pPr>
              <w:rPr>
                <w:rFonts w:ascii="宋体"/>
              </w:rPr>
            </w:pPr>
          </w:p>
        </w:tc>
        <w:tc>
          <w:tcPr>
            <w:tcW w:w="0" w:type="auto"/>
            <w:shd w:val="clear" w:color="auto" w:fill="auto"/>
            <w:vAlign w:val="bottom"/>
          </w:tcPr>
          <w:p w14:paraId="392C86D1" w14:textId="77777777" w:rsidR="00980E5F" w:rsidRDefault="00980E5F">
            <w:pPr>
              <w:rPr>
                <w:rFonts w:ascii="宋体"/>
                <w:vanish/>
              </w:rPr>
            </w:pPr>
          </w:p>
        </w:tc>
        <w:tc>
          <w:tcPr>
            <w:tcW w:w="0" w:type="auto"/>
            <w:shd w:val="clear" w:color="auto" w:fill="auto"/>
            <w:vAlign w:val="bottom"/>
          </w:tcPr>
          <w:p w14:paraId="392C86D2"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6D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D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6D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6DA" w14:textId="77777777" w:rsidR="00980E5F" w:rsidRDefault="00980E5F">
            <w:pPr>
              <w:rPr>
                <w:rFonts w:ascii="宋体"/>
              </w:rPr>
            </w:pPr>
          </w:p>
        </w:tc>
        <w:tc>
          <w:tcPr>
            <w:tcW w:w="0" w:type="auto"/>
            <w:gridSpan w:val="3"/>
            <w:shd w:val="clear" w:color="auto" w:fill="auto"/>
            <w:vAlign w:val="bottom"/>
          </w:tcPr>
          <w:p w14:paraId="392C86DB" w14:textId="77777777" w:rsidR="00980E5F" w:rsidRDefault="00980E5F">
            <w:pPr>
              <w:rPr>
                <w:rFonts w:ascii="宋体"/>
                <w:vanish/>
              </w:rPr>
            </w:pPr>
          </w:p>
        </w:tc>
        <w:tc>
          <w:tcPr>
            <w:tcW w:w="0" w:type="auto"/>
            <w:gridSpan w:val="3"/>
            <w:shd w:val="clear" w:color="auto" w:fill="auto"/>
            <w:vAlign w:val="bottom"/>
          </w:tcPr>
          <w:p w14:paraId="392C86DC" w14:textId="77777777" w:rsidR="00980E5F" w:rsidRDefault="00980E5F">
            <w:pPr>
              <w:rPr>
                <w:rFonts w:ascii="宋体"/>
                <w:vanish/>
              </w:rPr>
            </w:pPr>
          </w:p>
        </w:tc>
      </w:tr>
      <w:tr w:rsidR="00980E5F" w14:paraId="392C86F0" w14:textId="77777777">
        <w:trPr>
          <w:hidden/>
        </w:trPr>
        <w:tc>
          <w:tcPr>
            <w:tcW w:w="0" w:type="auto"/>
            <w:gridSpan w:val="3"/>
            <w:shd w:val="clear" w:color="auto" w:fill="auto"/>
            <w:vAlign w:val="bottom"/>
          </w:tcPr>
          <w:p w14:paraId="392C86DE" w14:textId="77777777" w:rsidR="00980E5F" w:rsidRDefault="00980E5F">
            <w:pPr>
              <w:rPr>
                <w:rFonts w:ascii="宋体"/>
                <w:vanish/>
              </w:rPr>
            </w:pPr>
          </w:p>
        </w:tc>
        <w:tc>
          <w:tcPr>
            <w:tcW w:w="0" w:type="auto"/>
            <w:gridSpan w:val="3"/>
            <w:shd w:val="clear" w:color="auto" w:fill="auto"/>
            <w:vAlign w:val="bottom"/>
          </w:tcPr>
          <w:p w14:paraId="392C86DF" w14:textId="77777777" w:rsidR="00980E5F" w:rsidRDefault="00980E5F">
            <w:pPr>
              <w:rPr>
                <w:rFonts w:ascii="宋体"/>
                <w:vanish/>
              </w:rPr>
            </w:pPr>
          </w:p>
        </w:tc>
        <w:tc>
          <w:tcPr>
            <w:tcW w:w="0" w:type="auto"/>
            <w:gridSpan w:val="3"/>
            <w:shd w:val="clear" w:color="auto" w:fill="auto"/>
            <w:vAlign w:val="bottom"/>
          </w:tcPr>
          <w:p w14:paraId="392C86E0" w14:textId="77777777" w:rsidR="00980E5F" w:rsidRDefault="00980E5F">
            <w:pPr>
              <w:rPr>
                <w:rFonts w:ascii="宋体"/>
                <w:vanish/>
              </w:rPr>
            </w:pPr>
          </w:p>
        </w:tc>
        <w:tc>
          <w:tcPr>
            <w:tcW w:w="0" w:type="auto"/>
            <w:gridSpan w:val="3"/>
            <w:shd w:val="clear" w:color="auto" w:fill="auto"/>
            <w:vAlign w:val="bottom"/>
          </w:tcPr>
          <w:p w14:paraId="392C86E1" w14:textId="77777777" w:rsidR="00980E5F" w:rsidRDefault="00980E5F">
            <w:pPr>
              <w:rPr>
                <w:rFonts w:ascii="宋体"/>
                <w:vanish/>
              </w:rPr>
            </w:pPr>
          </w:p>
        </w:tc>
        <w:tc>
          <w:tcPr>
            <w:tcW w:w="0" w:type="auto"/>
            <w:gridSpan w:val="3"/>
            <w:shd w:val="clear" w:color="auto" w:fill="auto"/>
            <w:vAlign w:val="bottom"/>
          </w:tcPr>
          <w:p w14:paraId="392C86E2" w14:textId="77777777" w:rsidR="00980E5F" w:rsidRDefault="00980E5F">
            <w:pPr>
              <w:rPr>
                <w:rFonts w:ascii="宋体"/>
                <w:vanish/>
              </w:rPr>
            </w:pPr>
          </w:p>
        </w:tc>
        <w:tc>
          <w:tcPr>
            <w:tcW w:w="0" w:type="auto"/>
            <w:gridSpan w:val="3"/>
            <w:shd w:val="clear" w:color="auto" w:fill="auto"/>
            <w:vAlign w:val="bottom"/>
          </w:tcPr>
          <w:p w14:paraId="392C86E3" w14:textId="77777777" w:rsidR="00980E5F" w:rsidRDefault="00980E5F">
            <w:pPr>
              <w:rPr>
                <w:rFonts w:ascii="宋体"/>
                <w:vanish/>
              </w:rPr>
            </w:pPr>
          </w:p>
        </w:tc>
        <w:tc>
          <w:tcPr>
            <w:tcW w:w="0" w:type="auto"/>
            <w:shd w:val="clear" w:color="auto" w:fill="auto"/>
            <w:vAlign w:val="bottom"/>
          </w:tcPr>
          <w:p w14:paraId="392C86E4" w14:textId="77777777" w:rsidR="00980E5F" w:rsidRDefault="00980E5F">
            <w:pPr>
              <w:rPr>
                <w:rFonts w:ascii="宋体"/>
                <w:vanish/>
              </w:rPr>
            </w:pPr>
          </w:p>
        </w:tc>
        <w:tc>
          <w:tcPr>
            <w:tcW w:w="0" w:type="auto"/>
            <w:shd w:val="clear" w:color="auto" w:fill="auto"/>
            <w:vAlign w:val="bottom"/>
          </w:tcPr>
          <w:p w14:paraId="392C86E5" w14:textId="77777777" w:rsidR="00980E5F" w:rsidRDefault="00980E5F">
            <w:pPr>
              <w:rPr>
                <w:rFonts w:ascii="宋体"/>
                <w:vanish/>
              </w:rPr>
            </w:pPr>
          </w:p>
        </w:tc>
        <w:tc>
          <w:tcPr>
            <w:tcW w:w="0" w:type="auto"/>
            <w:gridSpan w:val="3"/>
            <w:shd w:val="clear" w:color="auto" w:fill="auto"/>
            <w:vAlign w:val="bottom"/>
          </w:tcPr>
          <w:p w14:paraId="392C86E6" w14:textId="77777777" w:rsidR="00980E5F" w:rsidRDefault="00980E5F">
            <w:pPr>
              <w:rPr>
                <w:rFonts w:ascii="宋体"/>
                <w:vanish/>
              </w:rPr>
            </w:pPr>
          </w:p>
        </w:tc>
        <w:tc>
          <w:tcPr>
            <w:tcW w:w="0" w:type="auto"/>
            <w:gridSpan w:val="3"/>
            <w:shd w:val="clear" w:color="auto" w:fill="auto"/>
            <w:vAlign w:val="bottom"/>
          </w:tcPr>
          <w:p w14:paraId="392C86E7" w14:textId="77777777" w:rsidR="00980E5F" w:rsidRDefault="00980E5F">
            <w:pPr>
              <w:rPr>
                <w:rFonts w:ascii="宋体"/>
                <w:vanish/>
              </w:rPr>
            </w:pPr>
          </w:p>
        </w:tc>
        <w:tc>
          <w:tcPr>
            <w:tcW w:w="0" w:type="auto"/>
            <w:gridSpan w:val="3"/>
            <w:shd w:val="clear" w:color="auto" w:fill="auto"/>
            <w:vAlign w:val="bottom"/>
          </w:tcPr>
          <w:p w14:paraId="392C86E8" w14:textId="77777777" w:rsidR="00980E5F" w:rsidRDefault="00980E5F">
            <w:pPr>
              <w:rPr>
                <w:rFonts w:ascii="宋体"/>
                <w:vanish/>
              </w:rPr>
            </w:pPr>
          </w:p>
        </w:tc>
        <w:tc>
          <w:tcPr>
            <w:tcW w:w="0" w:type="auto"/>
            <w:gridSpan w:val="3"/>
            <w:shd w:val="clear" w:color="auto" w:fill="auto"/>
            <w:vAlign w:val="bottom"/>
          </w:tcPr>
          <w:p w14:paraId="392C86E9" w14:textId="77777777" w:rsidR="00980E5F" w:rsidRDefault="00980E5F">
            <w:pPr>
              <w:rPr>
                <w:rFonts w:ascii="宋体"/>
                <w:vanish/>
              </w:rPr>
            </w:pPr>
          </w:p>
        </w:tc>
        <w:tc>
          <w:tcPr>
            <w:tcW w:w="0" w:type="auto"/>
            <w:gridSpan w:val="3"/>
            <w:shd w:val="clear" w:color="auto" w:fill="auto"/>
            <w:vAlign w:val="bottom"/>
          </w:tcPr>
          <w:p w14:paraId="392C86EA" w14:textId="77777777" w:rsidR="00980E5F" w:rsidRDefault="00980E5F">
            <w:pPr>
              <w:rPr>
                <w:rFonts w:ascii="宋体"/>
                <w:vanish/>
              </w:rPr>
            </w:pPr>
          </w:p>
        </w:tc>
        <w:tc>
          <w:tcPr>
            <w:tcW w:w="0" w:type="auto"/>
            <w:gridSpan w:val="3"/>
            <w:shd w:val="clear" w:color="auto" w:fill="auto"/>
            <w:vAlign w:val="bottom"/>
          </w:tcPr>
          <w:p w14:paraId="392C86EB" w14:textId="77777777" w:rsidR="00980E5F" w:rsidRDefault="00980E5F">
            <w:pPr>
              <w:rPr>
                <w:rFonts w:ascii="宋体"/>
                <w:vanish/>
              </w:rPr>
            </w:pPr>
          </w:p>
        </w:tc>
        <w:tc>
          <w:tcPr>
            <w:tcW w:w="0" w:type="auto"/>
            <w:gridSpan w:val="3"/>
            <w:shd w:val="clear" w:color="auto" w:fill="auto"/>
            <w:vAlign w:val="bottom"/>
          </w:tcPr>
          <w:p w14:paraId="392C86EC" w14:textId="77777777" w:rsidR="00980E5F" w:rsidRDefault="00980E5F">
            <w:pPr>
              <w:rPr>
                <w:rFonts w:ascii="宋体"/>
                <w:vanish/>
              </w:rPr>
            </w:pPr>
          </w:p>
        </w:tc>
        <w:tc>
          <w:tcPr>
            <w:tcW w:w="0" w:type="auto"/>
            <w:gridSpan w:val="3"/>
            <w:shd w:val="clear" w:color="auto" w:fill="auto"/>
            <w:vAlign w:val="bottom"/>
          </w:tcPr>
          <w:p w14:paraId="392C86ED" w14:textId="77777777" w:rsidR="00980E5F" w:rsidRDefault="00980E5F">
            <w:pPr>
              <w:rPr>
                <w:rFonts w:ascii="宋体"/>
                <w:vanish/>
              </w:rPr>
            </w:pPr>
          </w:p>
        </w:tc>
        <w:tc>
          <w:tcPr>
            <w:tcW w:w="0" w:type="auto"/>
            <w:gridSpan w:val="3"/>
            <w:shd w:val="clear" w:color="auto" w:fill="auto"/>
            <w:vAlign w:val="bottom"/>
          </w:tcPr>
          <w:p w14:paraId="392C86EE" w14:textId="77777777" w:rsidR="00980E5F" w:rsidRDefault="00980E5F">
            <w:pPr>
              <w:rPr>
                <w:rFonts w:ascii="宋体"/>
                <w:vanish/>
              </w:rPr>
            </w:pPr>
          </w:p>
        </w:tc>
        <w:tc>
          <w:tcPr>
            <w:tcW w:w="0" w:type="auto"/>
            <w:gridSpan w:val="3"/>
            <w:shd w:val="clear" w:color="auto" w:fill="auto"/>
            <w:vAlign w:val="bottom"/>
          </w:tcPr>
          <w:p w14:paraId="392C86EF" w14:textId="77777777" w:rsidR="00980E5F" w:rsidRDefault="00980E5F">
            <w:pPr>
              <w:rPr>
                <w:rFonts w:ascii="宋体"/>
                <w:vanish/>
              </w:rPr>
            </w:pPr>
          </w:p>
        </w:tc>
      </w:tr>
      <w:tr w:rsidR="00980E5F" w14:paraId="392C8703" w14:textId="77777777">
        <w:trPr>
          <w:hidden/>
        </w:trPr>
        <w:tc>
          <w:tcPr>
            <w:tcW w:w="0" w:type="auto"/>
            <w:gridSpan w:val="3"/>
            <w:shd w:val="clear" w:color="auto" w:fill="auto"/>
            <w:vAlign w:val="bottom"/>
          </w:tcPr>
          <w:p w14:paraId="392C86F1" w14:textId="77777777" w:rsidR="00980E5F" w:rsidRDefault="00980E5F">
            <w:pPr>
              <w:rPr>
                <w:rFonts w:ascii="宋体"/>
                <w:vanish/>
              </w:rPr>
            </w:pPr>
          </w:p>
        </w:tc>
        <w:tc>
          <w:tcPr>
            <w:tcW w:w="0" w:type="auto"/>
            <w:gridSpan w:val="3"/>
            <w:shd w:val="clear" w:color="auto" w:fill="auto"/>
            <w:vAlign w:val="bottom"/>
          </w:tcPr>
          <w:p w14:paraId="392C86F2" w14:textId="77777777" w:rsidR="00980E5F" w:rsidRDefault="00980E5F">
            <w:pPr>
              <w:rPr>
                <w:rFonts w:ascii="宋体"/>
                <w:vanish/>
              </w:rPr>
            </w:pPr>
          </w:p>
        </w:tc>
        <w:tc>
          <w:tcPr>
            <w:tcW w:w="0" w:type="auto"/>
            <w:gridSpan w:val="3"/>
            <w:shd w:val="clear" w:color="auto" w:fill="auto"/>
            <w:vAlign w:val="bottom"/>
          </w:tcPr>
          <w:p w14:paraId="392C86F3" w14:textId="77777777" w:rsidR="00980E5F" w:rsidRDefault="00980E5F">
            <w:pPr>
              <w:rPr>
                <w:rFonts w:ascii="宋体"/>
                <w:vanish/>
              </w:rPr>
            </w:pPr>
          </w:p>
        </w:tc>
        <w:tc>
          <w:tcPr>
            <w:tcW w:w="0" w:type="auto"/>
            <w:gridSpan w:val="3"/>
            <w:shd w:val="clear" w:color="auto" w:fill="auto"/>
            <w:vAlign w:val="bottom"/>
          </w:tcPr>
          <w:p w14:paraId="392C86F4" w14:textId="77777777" w:rsidR="00980E5F" w:rsidRDefault="00980E5F">
            <w:pPr>
              <w:rPr>
                <w:rFonts w:ascii="宋体"/>
                <w:vanish/>
              </w:rPr>
            </w:pPr>
          </w:p>
        </w:tc>
        <w:tc>
          <w:tcPr>
            <w:tcW w:w="0" w:type="auto"/>
            <w:gridSpan w:val="3"/>
            <w:shd w:val="clear" w:color="auto" w:fill="auto"/>
            <w:vAlign w:val="bottom"/>
          </w:tcPr>
          <w:p w14:paraId="392C86F5" w14:textId="77777777" w:rsidR="00980E5F" w:rsidRDefault="00980E5F">
            <w:pPr>
              <w:rPr>
                <w:rFonts w:ascii="宋体"/>
                <w:vanish/>
              </w:rPr>
            </w:pPr>
          </w:p>
        </w:tc>
        <w:tc>
          <w:tcPr>
            <w:tcW w:w="0" w:type="auto"/>
            <w:gridSpan w:val="3"/>
            <w:shd w:val="clear" w:color="auto" w:fill="auto"/>
            <w:vAlign w:val="bottom"/>
          </w:tcPr>
          <w:p w14:paraId="392C86F6" w14:textId="77777777" w:rsidR="00980E5F" w:rsidRDefault="00980E5F">
            <w:pPr>
              <w:rPr>
                <w:rFonts w:ascii="宋体"/>
                <w:vanish/>
              </w:rPr>
            </w:pPr>
          </w:p>
        </w:tc>
        <w:tc>
          <w:tcPr>
            <w:tcW w:w="0" w:type="auto"/>
            <w:shd w:val="clear" w:color="auto" w:fill="auto"/>
            <w:vAlign w:val="bottom"/>
          </w:tcPr>
          <w:p w14:paraId="392C86F7" w14:textId="77777777" w:rsidR="00980E5F" w:rsidRDefault="00980E5F">
            <w:pPr>
              <w:rPr>
                <w:rFonts w:ascii="宋体"/>
                <w:vanish/>
              </w:rPr>
            </w:pPr>
          </w:p>
        </w:tc>
        <w:tc>
          <w:tcPr>
            <w:tcW w:w="0" w:type="auto"/>
            <w:shd w:val="clear" w:color="auto" w:fill="auto"/>
            <w:vAlign w:val="bottom"/>
          </w:tcPr>
          <w:p w14:paraId="392C86F8" w14:textId="77777777" w:rsidR="00980E5F" w:rsidRDefault="00980E5F">
            <w:pPr>
              <w:rPr>
                <w:rFonts w:ascii="宋体"/>
                <w:vanish/>
              </w:rPr>
            </w:pPr>
          </w:p>
        </w:tc>
        <w:tc>
          <w:tcPr>
            <w:tcW w:w="0" w:type="auto"/>
            <w:gridSpan w:val="3"/>
            <w:shd w:val="clear" w:color="auto" w:fill="auto"/>
            <w:vAlign w:val="bottom"/>
          </w:tcPr>
          <w:p w14:paraId="392C86F9" w14:textId="77777777" w:rsidR="00980E5F" w:rsidRDefault="00980E5F">
            <w:pPr>
              <w:rPr>
                <w:rFonts w:ascii="宋体"/>
                <w:vanish/>
              </w:rPr>
            </w:pPr>
          </w:p>
        </w:tc>
        <w:tc>
          <w:tcPr>
            <w:tcW w:w="0" w:type="auto"/>
            <w:gridSpan w:val="3"/>
            <w:shd w:val="clear" w:color="auto" w:fill="auto"/>
            <w:vAlign w:val="bottom"/>
          </w:tcPr>
          <w:p w14:paraId="392C86FA" w14:textId="77777777" w:rsidR="00980E5F" w:rsidRDefault="00980E5F">
            <w:pPr>
              <w:rPr>
                <w:rFonts w:ascii="宋体"/>
                <w:vanish/>
              </w:rPr>
            </w:pPr>
          </w:p>
        </w:tc>
        <w:tc>
          <w:tcPr>
            <w:tcW w:w="0" w:type="auto"/>
            <w:gridSpan w:val="3"/>
            <w:shd w:val="clear" w:color="auto" w:fill="auto"/>
            <w:vAlign w:val="bottom"/>
          </w:tcPr>
          <w:p w14:paraId="392C86FB" w14:textId="77777777" w:rsidR="00980E5F" w:rsidRDefault="00980E5F">
            <w:pPr>
              <w:rPr>
                <w:rFonts w:ascii="宋体"/>
                <w:vanish/>
              </w:rPr>
            </w:pPr>
          </w:p>
        </w:tc>
        <w:tc>
          <w:tcPr>
            <w:tcW w:w="0" w:type="auto"/>
            <w:gridSpan w:val="3"/>
            <w:shd w:val="clear" w:color="auto" w:fill="auto"/>
            <w:vAlign w:val="bottom"/>
          </w:tcPr>
          <w:p w14:paraId="392C86FC" w14:textId="77777777" w:rsidR="00980E5F" w:rsidRDefault="00980E5F">
            <w:pPr>
              <w:rPr>
                <w:rFonts w:ascii="宋体"/>
                <w:vanish/>
              </w:rPr>
            </w:pPr>
          </w:p>
        </w:tc>
        <w:tc>
          <w:tcPr>
            <w:tcW w:w="0" w:type="auto"/>
            <w:gridSpan w:val="3"/>
            <w:shd w:val="clear" w:color="auto" w:fill="auto"/>
            <w:vAlign w:val="bottom"/>
          </w:tcPr>
          <w:p w14:paraId="392C86FD" w14:textId="77777777" w:rsidR="00980E5F" w:rsidRDefault="00980E5F">
            <w:pPr>
              <w:rPr>
                <w:rFonts w:ascii="宋体"/>
                <w:vanish/>
              </w:rPr>
            </w:pPr>
          </w:p>
        </w:tc>
        <w:tc>
          <w:tcPr>
            <w:tcW w:w="0" w:type="auto"/>
            <w:gridSpan w:val="3"/>
            <w:shd w:val="clear" w:color="auto" w:fill="auto"/>
            <w:vAlign w:val="bottom"/>
          </w:tcPr>
          <w:p w14:paraId="392C86FE" w14:textId="77777777" w:rsidR="00980E5F" w:rsidRDefault="00980E5F">
            <w:pPr>
              <w:rPr>
                <w:rFonts w:ascii="宋体"/>
                <w:vanish/>
              </w:rPr>
            </w:pPr>
          </w:p>
        </w:tc>
        <w:tc>
          <w:tcPr>
            <w:tcW w:w="0" w:type="auto"/>
            <w:gridSpan w:val="3"/>
            <w:shd w:val="clear" w:color="auto" w:fill="auto"/>
            <w:vAlign w:val="bottom"/>
          </w:tcPr>
          <w:p w14:paraId="392C86FF" w14:textId="77777777" w:rsidR="00980E5F" w:rsidRDefault="00980E5F">
            <w:pPr>
              <w:rPr>
                <w:rFonts w:ascii="宋体"/>
                <w:vanish/>
              </w:rPr>
            </w:pPr>
          </w:p>
        </w:tc>
        <w:tc>
          <w:tcPr>
            <w:tcW w:w="0" w:type="auto"/>
            <w:gridSpan w:val="3"/>
            <w:shd w:val="clear" w:color="auto" w:fill="auto"/>
            <w:vAlign w:val="bottom"/>
          </w:tcPr>
          <w:p w14:paraId="392C8700" w14:textId="77777777" w:rsidR="00980E5F" w:rsidRDefault="00980E5F">
            <w:pPr>
              <w:rPr>
                <w:rFonts w:ascii="宋体"/>
                <w:vanish/>
              </w:rPr>
            </w:pPr>
          </w:p>
        </w:tc>
        <w:tc>
          <w:tcPr>
            <w:tcW w:w="0" w:type="auto"/>
            <w:gridSpan w:val="3"/>
            <w:shd w:val="clear" w:color="auto" w:fill="auto"/>
            <w:vAlign w:val="bottom"/>
          </w:tcPr>
          <w:p w14:paraId="392C8701" w14:textId="77777777" w:rsidR="00980E5F" w:rsidRDefault="00980E5F">
            <w:pPr>
              <w:rPr>
                <w:rFonts w:ascii="宋体"/>
                <w:vanish/>
              </w:rPr>
            </w:pPr>
          </w:p>
        </w:tc>
        <w:tc>
          <w:tcPr>
            <w:tcW w:w="0" w:type="auto"/>
            <w:gridSpan w:val="3"/>
            <w:shd w:val="clear" w:color="auto" w:fill="auto"/>
            <w:vAlign w:val="bottom"/>
          </w:tcPr>
          <w:p w14:paraId="392C8702" w14:textId="77777777" w:rsidR="00980E5F" w:rsidRDefault="00980E5F">
            <w:pPr>
              <w:rPr>
                <w:rFonts w:ascii="宋体"/>
                <w:vanish/>
              </w:rPr>
            </w:pPr>
          </w:p>
        </w:tc>
      </w:tr>
      <w:tr w:rsidR="00980E5F" w14:paraId="392C871D" w14:textId="77777777">
        <w:tc>
          <w:tcPr>
            <w:tcW w:w="0" w:type="auto"/>
            <w:gridSpan w:val="3"/>
            <w:shd w:val="clear" w:color="auto" w:fill="CCEEFF"/>
            <w:tcMar>
              <w:top w:w="40" w:type="dxa"/>
              <w:left w:w="20" w:type="dxa"/>
              <w:bottom w:w="40" w:type="dxa"/>
              <w:right w:w="20" w:type="dxa"/>
            </w:tcMar>
            <w:vAlign w:val="bottom"/>
          </w:tcPr>
          <w:p w14:paraId="392C8704" w14:textId="77777777" w:rsidR="00980E5F" w:rsidRDefault="00483613">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392C8705"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70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707"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708" w14:textId="77777777" w:rsidR="00980E5F" w:rsidRDefault="00483613">
            <w:pPr>
              <w:jc w:val="right"/>
              <w:textAlignment w:val="bottom"/>
            </w:pPr>
            <w:r>
              <w:rPr>
                <w:rFonts w:ascii="Arial" w:eastAsia="宋体" w:hAnsi="Arial" w:cs="Arial"/>
                <w:b/>
                <w:bCs/>
                <w:color w:val="000000"/>
                <w:sz w:val="13"/>
                <w:szCs w:val="13"/>
              </w:rPr>
              <w:t>358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7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7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70B" w14:textId="77777777" w:rsidR="00980E5F" w:rsidRDefault="00483613">
            <w:pPr>
              <w:jc w:val="right"/>
              <w:textAlignment w:val="bottom"/>
            </w:pPr>
            <w:r>
              <w:rPr>
                <w:rFonts w:ascii="Arial" w:eastAsia="宋体" w:hAnsi="Arial" w:cs="Arial"/>
                <w:color w:val="000000"/>
                <w:sz w:val="13"/>
                <w:szCs w:val="13"/>
              </w:rPr>
              <w:t>(6)</w:t>
            </w:r>
          </w:p>
        </w:tc>
        <w:tc>
          <w:tcPr>
            <w:tcW w:w="0" w:type="auto"/>
            <w:shd w:val="clear" w:color="auto" w:fill="CCEEFF"/>
            <w:tcMar>
              <w:top w:w="40" w:type="dxa"/>
              <w:left w:w="0" w:type="dxa"/>
              <w:bottom w:w="40" w:type="dxa"/>
              <w:right w:w="20" w:type="dxa"/>
            </w:tcMar>
            <w:vAlign w:val="bottom"/>
          </w:tcPr>
          <w:p w14:paraId="392C870C" w14:textId="77777777" w:rsidR="00980E5F" w:rsidRDefault="00980E5F">
            <w:pPr>
              <w:jc w:val="right"/>
              <w:rPr>
                <w:rFonts w:ascii="宋体"/>
              </w:rPr>
            </w:pPr>
          </w:p>
        </w:tc>
        <w:tc>
          <w:tcPr>
            <w:tcW w:w="0" w:type="auto"/>
            <w:shd w:val="clear" w:color="auto" w:fill="auto"/>
            <w:vAlign w:val="bottom"/>
          </w:tcPr>
          <w:p w14:paraId="392C870D" w14:textId="77777777" w:rsidR="00980E5F" w:rsidRDefault="00980E5F">
            <w:pPr>
              <w:rPr>
                <w:rFonts w:ascii="宋体"/>
                <w:vanish/>
              </w:rPr>
            </w:pPr>
          </w:p>
        </w:tc>
        <w:tc>
          <w:tcPr>
            <w:tcW w:w="0" w:type="auto"/>
            <w:shd w:val="clear" w:color="auto" w:fill="auto"/>
            <w:vAlign w:val="bottom"/>
          </w:tcPr>
          <w:p w14:paraId="392C870E"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70F"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710" w14:textId="77777777" w:rsidR="00980E5F" w:rsidRDefault="00483613">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(2)</w:t>
            </w:r>
          </w:p>
        </w:tc>
        <w:tc>
          <w:tcPr>
            <w:tcW w:w="0" w:type="auto"/>
            <w:gridSpan w:val="3"/>
            <w:shd w:val="clear" w:color="auto" w:fill="CCEEFF"/>
            <w:tcMar>
              <w:top w:w="0" w:type="dxa"/>
              <w:left w:w="20" w:type="dxa"/>
              <w:bottom w:w="0" w:type="dxa"/>
              <w:right w:w="20" w:type="dxa"/>
            </w:tcMar>
            <w:vAlign w:val="bottom"/>
          </w:tcPr>
          <w:p w14:paraId="392C8711"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712"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71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714"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715" w14:textId="77777777" w:rsidR="00980E5F" w:rsidRDefault="00483613">
            <w:pPr>
              <w:jc w:val="right"/>
              <w:textAlignment w:val="bottom"/>
            </w:pPr>
            <w:r>
              <w:rPr>
                <w:rFonts w:ascii="Arial" w:eastAsia="宋体" w:hAnsi="Arial" w:cs="Arial"/>
                <w:b/>
                <w:bCs/>
                <w:color w:val="000000"/>
                <w:sz w:val="13"/>
                <w:szCs w:val="13"/>
              </w:rPr>
              <w:t>(360)</w:t>
            </w:r>
          </w:p>
        </w:tc>
        <w:tc>
          <w:tcPr>
            <w:tcW w:w="0" w:type="auto"/>
            <w:shd w:val="clear" w:color="auto" w:fill="CCEEFF"/>
            <w:tcMar>
              <w:top w:w="40" w:type="dxa"/>
              <w:left w:w="0" w:type="dxa"/>
              <w:bottom w:w="40" w:type="dxa"/>
              <w:right w:w="20" w:type="dxa"/>
            </w:tcMar>
            <w:vAlign w:val="bottom"/>
          </w:tcPr>
          <w:p w14:paraId="392C87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71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718"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719" w14:textId="77777777" w:rsidR="00980E5F" w:rsidRDefault="00483613">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392C871A" w14:textId="77777777" w:rsidR="00980E5F" w:rsidRDefault="00980E5F">
            <w:pPr>
              <w:jc w:val="right"/>
              <w:rPr>
                <w:rFonts w:ascii="宋体"/>
              </w:rPr>
            </w:pPr>
          </w:p>
        </w:tc>
        <w:tc>
          <w:tcPr>
            <w:tcW w:w="0" w:type="auto"/>
            <w:gridSpan w:val="3"/>
            <w:shd w:val="clear" w:color="auto" w:fill="auto"/>
            <w:vAlign w:val="bottom"/>
          </w:tcPr>
          <w:p w14:paraId="392C871B" w14:textId="77777777" w:rsidR="00980E5F" w:rsidRDefault="00980E5F">
            <w:pPr>
              <w:rPr>
                <w:rFonts w:ascii="宋体"/>
                <w:vanish/>
              </w:rPr>
            </w:pPr>
          </w:p>
        </w:tc>
        <w:tc>
          <w:tcPr>
            <w:tcW w:w="0" w:type="auto"/>
            <w:gridSpan w:val="3"/>
            <w:shd w:val="clear" w:color="auto" w:fill="auto"/>
            <w:vAlign w:val="bottom"/>
          </w:tcPr>
          <w:p w14:paraId="392C871C" w14:textId="77777777" w:rsidR="00980E5F" w:rsidRDefault="00980E5F">
            <w:pPr>
              <w:rPr>
                <w:rFonts w:ascii="宋体"/>
                <w:vanish/>
              </w:rPr>
            </w:pPr>
          </w:p>
        </w:tc>
      </w:tr>
      <w:tr w:rsidR="00980E5F" w14:paraId="392C8734" w14:textId="77777777">
        <w:tc>
          <w:tcPr>
            <w:tcW w:w="0" w:type="auto"/>
            <w:gridSpan w:val="3"/>
            <w:shd w:val="clear" w:color="auto" w:fill="auto"/>
            <w:tcMar>
              <w:top w:w="40" w:type="dxa"/>
              <w:left w:w="20" w:type="dxa"/>
              <w:bottom w:w="40" w:type="dxa"/>
              <w:right w:w="20" w:type="dxa"/>
            </w:tcMar>
            <w:vAlign w:val="bottom"/>
          </w:tcPr>
          <w:p w14:paraId="392C871E" w14:textId="77777777" w:rsidR="00980E5F" w:rsidRDefault="00483613">
            <w:pPr>
              <w:textAlignment w:val="bottom"/>
            </w:pPr>
            <w:r>
              <w:rPr>
                <w:rFonts w:ascii="Arial" w:eastAsia="宋体" w:hAnsi="Arial" w:cs="Arial"/>
                <w:color w:val="000000"/>
                <w:sz w:val="13"/>
                <w:szCs w:val="13"/>
              </w:rPr>
              <w:t>Interest rate contracts</w:t>
            </w:r>
          </w:p>
        </w:tc>
        <w:tc>
          <w:tcPr>
            <w:tcW w:w="0" w:type="auto"/>
            <w:gridSpan w:val="3"/>
            <w:shd w:val="clear" w:color="auto" w:fill="auto"/>
            <w:tcMar>
              <w:top w:w="40" w:type="dxa"/>
              <w:left w:w="20" w:type="dxa"/>
              <w:bottom w:w="40" w:type="dxa"/>
              <w:right w:w="20" w:type="dxa"/>
            </w:tcMar>
            <w:vAlign w:val="bottom"/>
          </w:tcPr>
          <w:p w14:paraId="392C871F"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392C8720"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8721" w14:textId="77777777" w:rsidR="00980E5F" w:rsidRDefault="00483613">
            <w:pPr>
              <w:jc w:val="right"/>
              <w:textAlignment w:val="bottom"/>
            </w:pPr>
            <w:r>
              <w:rPr>
                <w:rFonts w:ascii="Arial" w:eastAsia="宋体" w:hAnsi="Arial" w:cs="Arial"/>
                <w:b/>
                <w:bCs/>
                <w:color w:val="000000"/>
                <w:sz w:val="13"/>
                <w:szCs w:val="13"/>
              </w:rPr>
              <w:t>(339)</w:t>
            </w:r>
          </w:p>
        </w:tc>
        <w:tc>
          <w:tcPr>
            <w:tcW w:w="0" w:type="auto"/>
            <w:shd w:val="clear" w:color="auto" w:fill="auto"/>
            <w:tcMar>
              <w:top w:w="40" w:type="dxa"/>
              <w:left w:w="0" w:type="dxa"/>
              <w:bottom w:w="40" w:type="dxa"/>
              <w:right w:w="20" w:type="dxa"/>
            </w:tcMar>
            <w:vAlign w:val="bottom"/>
          </w:tcPr>
          <w:p w14:paraId="392C8722"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8723"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8724" w14:textId="77777777" w:rsidR="00980E5F" w:rsidRDefault="00483613">
            <w:pPr>
              <w:jc w:val="right"/>
              <w:textAlignment w:val="bottom"/>
            </w:pPr>
            <w:r>
              <w:rPr>
                <w:rFonts w:ascii="Arial" w:eastAsia="宋体" w:hAnsi="Arial" w:cs="Arial"/>
                <w:color w:val="000000"/>
                <w:sz w:val="13"/>
                <w:szCs w:val="13"/>
              </w:rPr>
              <w:t>(19)</w:t>
            </w:r>
          </w:p>
        </w:tc>
        <w:tc>
          <w:tcPr>
            <w:tcW w:w="0" w:type="auto"/>
            <w:shd w:val="clear" w:color="auto" w:fill="auto"/>
            <w:tcMar>
              <w:top w:w="40" w:type="dxa"/>
              <w:left w:w="0" w:type="dxa"/>
              <w:bottom w:w="40" w:type="dxa"/>
              <w:right w:w="20" w:type="dxa"/>
            </w:tcMar>
            <w:vAlign w:val="bottom"/>
          </w:tcPr>
          <w:p w14:paraId="392C8725" w14:textId="77777777" w:rsidR="00980E5F" w:rsidRDefault="00980E5F">
            <w:pPr>
              <w:jc w:val="right"/>
              <w:rPr>
                <w:rFonts w:ascii="宋体"/>
              </w:rPr>
            </w:pPr>
          </w:p>
        </w:tc>
        <w:tc>
          <w:tcPr>
            <w:tcW w:w="0" w:type="auto"/>
            <w:shd w:val="clear" w:color="auto" w:fill="auto"/>
            <w:vAlign w:val="bottom"/>
          </w:tcPr>
          <w:p w14:paraId="392C8726" w14:textId="77777777" w:rsidR="00980E5F" w:rsidRDefault="00980E5F">
            <w:pPr>
              <w:rPr>
                <w:rFonts w:ascii="宋体"/>
                <w:vanish/>
              </w:rPr>
            </w:pPr>
          </w:p>
        </w:tc>
        <w:tc>
          <w:tcPr>
            <w:tcW w:w="0" w:type="auto"/>
            <w:shd w:val="clear" w:color="auto" w:fill="auto"/>
            <w:vAlign w:val="bottom"/>
          </w:tcPr>
          <w:p w14:paraId="392C8727"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72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729" w14:textId="77777777" w:rsidR="00980E5F" w:rsidRDefault="00483613">
            <w:pPr>
              <w:textAlignment w:val="bottom"/>
            </w:pPr>
            <w:r>
              <w:rPr>
                <w:rFonts w:ascii="Arial" w:eastAsia="宋体" w:hAnsi="Arial" w:cs="Arial"/>
                <w:color w:val="000000"/>
                <w:sz w:val="13"/>
                <w:szCs w:val="13"/>
              </w:rPr>
              <w:t>Long-term debt</w:t>
            </w:r>
          </w:p>
        </w:tc>
        <w:tc>
          <w:tcPr>
            <w:tcW w:w="0" w:type="auto"/>
            <w:gridSpan w:val="3"/>
            <w:shd w:val="clear" w:color="auto" w:fill="auto"/>
            <w:tcMar>
              <w:top w:w="0" w:type="dxa"/>
              <w:left w:w="20" w:type="dxa"/>
              <w:bottom w:w="0" w:type="dxa"/>
              <w:right w:w="20" w:type="dxa"/>
            </w:tcMar>
            <w:vAlign w:val="bottom"/>
          </w:tcPr>
          <w:p w14:paraId="392C872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72B" w14:textId="77777777" w:rsidR="00980E5F" w:rsidRDefault="00483613">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392C872C"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872D" w14:textId="77777777" w:rsidR="00980E5F" w:rsidRDefault="00483613">
            <w:pPr>
              <w:jc w:val="right"/>
              <w:textAlignment w:val="bottom"/>
            </w:pPr>
            <w:r>
              <w:rPr>
                <w:rFonts w:ascii="Arial" w:eastAsia="宋体" w:hAnsi="Arial" w:cs="Arial"/>
                <w:b/>
                <w:bCs/>
                <w:color w:val="000000"/>
                <w:sz w:val="13"/>
                <w:szCs w:val="13"/>
              </w:rPr>
              <w:t>339</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392C872E"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872F"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8730" w14:textId="77777777" w:rsidR="00980E5F" w:rsidRDefault="00483613">
            <w:pPr>
              <w:jc w:val="right"/>
              <w:textAlignment w:val="bottom"/>
            </w:pPr>
            <w:r>
              <w:rPr>
                <w:rFonts w:ascii="Arial" w:eastAsia="宋体" w:hAnsi="Arial" w:cs="Arial"/>
                <w:color w:val="000000"/>
                <w:sz w:val="13"/>
                <w:szCs w:val="13"/>
              </w:rPr>
              <w:t>18 </w:t>
            </w:r>
          </w:p>
        </w:tc>
        <w:tc>
          <w:tcPr>
            <w:tcW w:w="0" w:type="auto"/>
            <w:shd w:val="clear" w:color="auto" w:fill="auto"/>
            <w:tcMar>
              <w:top w:w="40" w:type="dxa"/>
              <w:left w:w="0" w:type="dxa"/>
              <w:bottom w:w="40" w:type="dxa"/>
              <w:right w:w="20" w:type="dxa"/>
            </w:tcMar>
            <w:vAlign w:val="bottom"/>
          </w:tcPr>
          <w:p w14:paraId="392C8731" w14:textId="77777777" w:rsidR="00980E5F" w:rsidRDefault="00980E5F">
            <w:pPr>
              <w:jc w:val="right"/>
              <w:rPr>
                <w:rFonts w:ascii="宋体"/>
              </w:rPr>
            </w:pPr>
          </w:p>
        </w:tc>
        <w:tc>
          <w:tcPr>
            <w:tcW w:w="0" w:type="auto"/>
            <w:gridSpan w:val="3"/>
            <w:shd w:val="clear" w:color="auto" w:fill="auto"/>
            <w:vAlign w:val="bottom"/>
          </w:tcPr>
          <w:p w14:paraId="392C8732" w14:textId="77777777" w:rsidR="00980E5F" w:rsidRDefault="00980E5F">
            <w:pPr>
              <w:rPr>
                <w:rFonts w:ascii="宋体"/>
                <w:vanish/>
              </w:rPr>
            </w:pPr>
          </w:p>
        </w:tc>
        <w:tc>
          <w:tcPr>
            <w:tcW w:w="0" w:type="auto"/>
            <w:gridSpan w:val="3"/>
            <w:shd w:val="clear" w:color="auto" w:fill="auto"/>
            <w:vAlign w:val="bottom"/>
          </w:tcPr>
          <w:p w14:paraId="392C8733" w14:textId="77777777" w:rsidR="00980E5F" w:rsidRDefault="00980E5F">
            <w:pPr>
              <w:rPr>
                <w:rFonts w:ascii="宋体"/>
                <w:vanish/>
              </w:rPr>
            </w:pPr>
          </w:p>
        </w:tc>
      </w:tr>
      <w:tr w:rsidR="00980E5F" w14:paraId="392C8747" w14:textId="77777777">
        <w:trPr>
          <w:hidden/>
        </w:trPr>
        <w:tc>
          <w:tcPr>
            <w:tcW w:w="0" w:type="auto"/>
            <w:gridSpan w:val="3"/>
            <w:shd w:val="clear" w:color="auto" w:fill="auto"/>
            <w:vAlign w:val="bottom"/>
          </w:tcPr>
          <w:p w14:paraId="392C8735" w14:textId="77777777" w:rsidR="00980E5F" w:rsidRDefault="00980E5F">
            <w:pPr>
              <w:rPr>
                <w:rFonts w:ascii="宋体"/>
                <w:vanish/>
              </w:rPr>
            </w:pPr>
          </w:p>
        </w:tc>
        <w:tc>
          <w:tcPr>
            <w:tcW w:w="0" w:type="auto"/>
            <w:gridSpan w:val="3"/>
            <w:shd w:val="clear" w:color="auto" w:fill="auto"/>
            <w:vAlign w:val="bottom"/>
          </w:tcPr>
          <w:p w14:paraId="392C8736" w14:textId="77777777" w:rsidR="00980E5F" w:rsidRDefault="00980E5F">
            <w:pPr>
              <w:rPr>
                <w:rFonts w:ascii="宋体"/>
                <w:vanish/>
              </w:rPr>
            </w:pPr>
          </w:p>
        </w:tc>
        <w:tc>
          <w:tcPr>
            <w:tcW w:w="0" w:type="auto"/>
            <w:gridSpan w:val="3"/>
            <w:shd w:val="clear" w:color="auto" w:fill="auto"/>
            <w:vAlign w:val="bottom"/>
          </w:tcPr>
          <w:p w14:paraId="392C8737" w14:textId="77777777" w:rsidR="00980E5F" w:rsidRDefault="00980E5F">
            <w:pPr>
              <w:rPr>
                <w:rFonts w:ascii="宋体"/>
                <w:vanish/>
              </w:rPr>
            </w:pPr>
          </w:p>
        </w:tc>
        <w:tc>
          <w:tcPr>
            <w:tcW w:w="0" w:type="auto"/>
            <w:gridSpan w:val="3"/>
            <w:shd w:val="clear" w:color="auto" w:fill="auto"/>
            <w:vAlign w:val="bottom"/>
          </w:tcPr>
          <w:p w14:paraId="392C8738" w14:textId="77777777" w:rsidR="00980E5F" w:rsidRDefault="00980E5F">
            <w:pPr>
              <w:rPr>
                <w:rFonts w:ascii="宋体"/>
                <w:vanish/>
              </w:rPr>
            </w:pPr>
          </w:p>
        </w:tc>
        <w:tc>
          <w:tcPr>
            <w:tcW w:w="0" w:type="auto"/>
            <w:gridSpan w:val="3"/>
            <w:shd w:val="clear" w:color="auto" w:fill="auto"/>
            <w:vAlign w:val="bottom"/>
          </w:tcPr>
          <w:p w14:paraId="392C8739" w14:textId="77777777" w:rsidR="00980E5F" w:rsidRDefault="00980E5F">
            <w:pPr>
              <w:rPr>
                <w:rFonts w:ascii="宋体"/>
                <w:vanish/>
              </w:rPr>
            </w:pPr>
          </w:p>
        </w:tc>
        <w:tc>
          <w:tcPr>
            <w:tcW w:w="0" w:type="auto"/>
            <w:gridSpan w:val="3"/>
            <w:shd w:val="clear" w:color="auto" w:fill="auto"/>
            <w:vAlign w:val="bottom"/>
          </w:tcPr>
          <w:p w14:paraId="392C873A" w14:textId="77777777" w:rsidR="00980E5F" w:rsidRDefault="00980E5F">
            <w:pPr>
              <w:rPr>
                <w:rFonts w:ascii="宋体"/>
                <w:vanish/>
              </w:rPr>
            </w:pPr>
          </w:p>
        </w:tc>
        <w:tc>
          <w:tcPr>
            <w:tcW w:w="0" w:type="auto"/>
            <w:shd w:val="clear" w:color="auto" w:fill="auto"/>
            <w:vAlign w:val="bottom"/>
          </w:tcPr>
          <w:p w14:paraId="392C873B" w14:textId="77777777" w:rsidR="00980E5F" w:rsidRDefault="00980E5F">
            <w:pPr>
              <w:rPr>
                <w:rFonts w:ascii="宋体"/>
                <w:vanish/>
              </w:rPr>
            </w:pPr>
          </w:p>
        </w:tc>
        <w:tc>
          <w:tcPr>
            <w:tcW w:w="0" w:type="auto"/>
            <w:shd w:val="clear" w:color="auto" w:fill="auto"/>
            <w:vAlign w:val="bottom"/>
          </w:tcPr>
          <w:p w14:paraId="392C873C" w14:textId="77777777" w:rsidR="00980E5F" w:rsidRDefault="00980E5F">
            <w:pPr>
              <w:rPr>
                <w:rFonts w:ascii="宋体"/>
                <w:vanish/>
              </w:rPr>
            </w:pPr>
          </w:p>
        </w:tc>
        <w:tc>
          <w:tcPr>
            <w:tcW w:w="0" w:type="auto"/>
            <w:gridSpan w:val="3"/>
            <w:shd w:val="clear" w:color="auto" w:fill="auto"/>
            <w:vAlign w:val="bottom"/>
          </w:tcPr>
          <w:p w14:paraId="392C873D" w14:textId="77777777" w:rsidR="00980E5F" w:rsidRDefault="00980E5F">
            <w:pPr>
              <w:rPr>
                <w:rFonts w:ascii="宋体"/>
                <w:vanish/>
              </w:rPr>
            </w:pPr>
          </w:p>
        </w:tc>
        <w:tc>
          <w:tcPr>
            <w:tcW w:w="0" w:type="auto"/>
            <w:gridSpan w:val="3"/>
            <w:shd w:val="clear" w:color="auto" w:fill="auto"/>
            <w:vAlign w:val="bottom"/>
          </w:tcPr>
          <w:p w14:paraId="392C873E" w14:textId="77777777" w:rsidR="00980E5F" w:rsidRDefault="00980E5F">
            <w:pPr>
              <w:rPr>
                <w:rFonts w:ascii="宋体"/>
                <w:vanish/>
              </w:rPr>
            </w:pPr>
          </w:p>
        </w:tc>
        <w:tc>
          <w:tcPr>
            <w:tcW w:w="0" w:type="auto"/>
            <w:gridSpan w:val="3"/>
            <w:shd w:val="clear" w:color="auto" w:fill="auto"/>
            <w:vAlign w:val="bottom"/>
          </w:tcPr>
          <w:p w14:paraId="392C873F" w14:textId="77777777" w:rsidR="00980E5F" w:rsidRDefault="00980E5F">
            <w:pPr>
              <w:rPr>
                <w:rFonts w:ascii="宋体"/>
                <w:vanish/>
              </w:rPr>
            </w:pPr>
          </w:p>
        </w:tc>
        <w:tc>
          <w:tcPr>
            <w:tcW w:w="0" w:type="auto"/>
            <w:gridSpan w:val="3"/>
            <w:shd w:val="clear" w:color="auto" w:fill="auto"/>
            <w:vAlign w:val="bottom"/>
          </w:tcPr>
          <w:p w14:paraId="392C8740" w14:textId="77777777" w:rsidR="00980E5F" w:rsidRDefault="00980E5F">
            <w:pPr>
              <w:rPr>
                <w:rFonts w:ascii="宋体"/>
                <w:vanish/>
              </w:rPr>
            </w:pPr>
          </w:p>
        </w:tc>
        <w:tc>
          <w:tcPr>
            <w:tcW w:w="0" w:type="auto"/>
            <w:gridSpan w:val="3"/>
            <w:shd w:val="clear" w:color="auto" w:fill="auto"/>
            <w:vAlign w:val="bottom"/>
          </w:tcPr>
          <w:p w14:paraId="392C8741" w14:textId="77777777" w:rsidR="00980E5F" w:rsidRDefault="00980E5F">
            <w:pPr>
              <w:rPr>
                <w:rFonts w:ascii="宋体"/>
                <w:vanish/>
              </w:rPr>
            </w:pPr>
          </w:p>
        </w:tc>
        <w:tc>
          <w:tcPr>
            <w:tcW w:w="0" w:type="auto"/>
            <w:gridSpan w:val="3"/>
            <w:shd w:val="clear" w:color="auto" w:fill="auto"/>
            <w:vAlign w:val="bottom"/>
          </w:tcPr>
          <w:p w14:paraId="392C8742" w14:textId="77777777" w:rsidR="00980E5F" w:rsidRDefault="00980E5F">
            <w:pPr>
              <w:rPr>
                <w:rFonts w:ascii="宋体"/>
                <w:vanish/>
              </w:rPr>
            </w:pPr>
          </w:p>
        </w:tc>
        <w:tc>
          <w:tcPr>
            <w:tcW w:w="0" w:type="auto"/>
            <w:gridSpan w:val="3"/>
            <w:shd w:val="clear" w:color="auto" w:fill="auto"/>
            <w:vAlign w:val="bottom"/>
          </w:tcPr>
          <w:p w14:paraId="392C8743" w14:textId="77777777" w:rsidR="00980E5F" w:rsidRDefault="00980E5F">
            <w:pPr>
              <w:rPr>
                <w:rFonts w:ascii="宋体"/>
                <w:vanish/>
              </w:rPr>
            </w:pPr>
          </w:p>
        </w:tc>
        <w:tc>
          <w:tcPr>
            <w:tcW w:w="0" w:type="auto"/>
            <w:gridSpan w:val="3"/>
            <w:shd w:val="clear" w:color="auto" w:fill="auto"/>
            <w:vAlign w:val="bottom"/>
          </w:tcPr>
          <w:p w14:paraId="392C8744" w14:textId="77777777" w:rsidR="00980E5F" w:rsidRDefault="00980E5F">
            <w:pPr>
              <w:rPr>
                <w:rFonts w:ascii="宋体"/>
                <w:vanish/>
              </w:rPr>
            </w:pPr>
          </w:p>
        </w:tc>
        <w:tc>
          <w:tcPr>
            <w:tcW w:w="0" w:type="auto"/>
            <w:gridSpan w:val="3"/>
            <w:shd w:val="clear" w:color="auto" w:fill="auto"/>
            <w:vAlign w:val="bottom"/>
          </w:tcPr>
          <w:p w14:paraId="392C8745" w14:textId="77777777" w:rsidR="00980E5F" w:rsidRDefault="00980E5F">
            <w:pPr>
              <w:rPr>
                <w:rFonts w:ascii="宋体"/>
                <w:vanish/>
              </w:rPr>
            </w:pPr>
          </w:p>
        </w:tc>
        <w:tc>
          <w:tcPr>
            <w:tcW w:w="0" w:type="auto"/>
            <w:gridSpan w:val="3"/>
            <w:shd w:val="clear" w:color="auto" w:fill="auto"/>
            <w:vAlign w:val="bottom"/>
          </w:tcPr>
          <w:p w14:paraId="392C8746" w14:textId="77777777" w:rsidR="00980E5F" w:rsidRDefault="00980E5F">
            <w:pPr>
              <w:rPr>
                <w:rFonts w:ascii="宋体"/>
                <w:vanish/>
              </w:rPr>
            </w:pPr>
          </w:p>
        </w:tc>
      </w:tr>
      <w:tr w:rsidR="00980E5F" w14:paraId="392C875A" w14:textId="77777777">
        <w:trPr>
          <w:hidden/>
        </w:trPr>
        <w:tc>
          <w:tcPr>
            <w:tcW w:w="0" w:type="auto"/>
            <w:gridSpan w:val="3"/>
            <w:shd w:val="clear" w:color="auto" w:fill="auto"/>
            <w:vAlign w:val="bottom"/>
          </w:tcPr>
          <w:p w14:paraId="392C8748" w14:textId="77777777" w:rsidR="00980E5F" w:rsidRDefault="00980E5F">
            <w:pPr>
              <w:rPr>
                <w:rFonts w:ascii="宋体"/>
                <w:vanish/>
              </w:rPr>
            </w:pPr>
          </w:p>
        </w:tc>
        <w:tc>
          <w:tcPr>
            <w:tcW w:w="0" w:type="auto"/>
            <w:gridSpan w:val="3"/>
            <w:shd w:val="clear" w:color="auto" w:fill="auto"/>
            <w:vAlign w:val="bottom"/>
          </w:tcPr>
          <w:p w14:paraId="392C8749" w14:textId="77777777" w:rsidR="00980E5F" w:rsidRDefault="00980E5F">
            <w:pPr>
              <w:rPr>
                <w:rFonts w:ascii="宋体"/>
                <w:vanish/>
              </w:rPr>
            </w:pPr>
          </w:p>
        </w:tc>
        <w:tc>
          <w:tcPr>
            <w:tcW w:w="0" w:type="auto"/>
            <w:gridSpan w:val="3"/>
            <w:shd w:val="clear" w:color="auto" w:fill="auto"/>
            <w:vAlign w:val="bottom"/>
          </w:tcPr>
          <w:p w14:paraId="392C874A" w14:textId="77777777" w:rsidR="00980E5F" w:rsidRDefault="00980E5F">
            <w:pPr>
              <w:rPr>
                <w:rFonts w:ascii="宋体"/>
                <w:vanish/>
              </w:rPr>
            </w:pPr>
          </w:p>
        </w:tc>
        <w:tc>
          <w:tcPr>
            <w:tcW w:w="0" w:type="auto"/>
            <w:gridSpan w:val="3"/>
            <w:shd w:val="clear" w:color="auto" w:fill="auto"/>
            <w:vAlign w:val="bottom"/>
          </w:tcPr>
          <w:p w14:paraId="392C874B" w14:textId="77777777" w:rsidR="00980E5F" w:rsidRDefault="00980E5F">
            <w:pPr>
              <w:rPr>
                <w:rFonts w:ascii="宋体"/>
                <w:vanish/>
              </w:rPr>
            </w:pPr>
          </w:p>
        </w:tc>
        <w:tc>
          <w:tcPr>
            <w:tcW w:w="0" w:type="auto"/>
            <w:gridSpan w:val="3"/>
            <w:shd w:val="clear" w:color="auto" w:fill="auto"/>
            <w:vAlign w:val="bottom"/>
          </w:tcPr>
          <w:p w14:paraId="392C874C" w14:textId="77777777" w:rsidR="00980E5F" w:rsidRDefault="00980E5F">
            <w:pPr>
              <w:rPr>
                <w:rFonts w:ascii="宋体"/>
                <w:vanish/>
              </w:rPr>
            </w:pPr>
          </w:p>
        </w:tc>
        <w:tc>
          <w:tcPr>
            <w:tcW w:w="0" w:type="auto"/>
            <w:gridSpan w:val="3"/>
            <w:shd w:val="clear" w:color="auto" w:fill="auto"/>
            <w:vAlign w:val="bottom"/>
          </w:tcPr>
          <w:p w14:paraId="392C874D" w14:textId="77777777" w:rsidR="00980E5F" w:rsidRDefault="00980E5F">
            <w:pPr>
              <w:rPr>
                <w:rFonts w:ascii="宋体"/>
                <w:vanish/>
              </w:rPr>
            </w:pPr>
          </w:p>
        </w:tc>
        <w:tc>
          <w:tcPr>
            <w:tcW w:w="0" w:type="auto"/>
            <w:shd w:val="clear" w:color="auto" w:fill="auto"/>
            <w:vAlign w:val="bottom"/>
          </w:tcPr>
          <w:p w14:paraId="392C874E" w14:textId="77777777" w:rsidR="00980E5F" w:rsidRDefault="00980E5F">
            <w:pPr>
              <w:rPr>
                <w:rFonts w:ascii="宋体"/>
                <w:vanish/>
              </w:rPr>
            </w:pPr>
          </w:p>
        </w:tc>
        <w:tc>
          <w:tcPr>
            <w:tcW w:w="0" w:type="auto"/>
            <w:shd w:val="clear" w:color="auto" w:fill="auto"/>
            <w:vAlign w:val="bottom"/>
          </w:tcPr>
          <w:p w14:paraId="392C874F" w14:textId="77777777" w:rsidR="00980E5F" w:rsidRDefault="00980E5F">
            <w:pPr>
              <w:rPr>
                <w:rFonts w:ascii="宋体"/>
                <w:vanish/>
              </w:rPr>
            </w:pPr>
          </w:p>
        </w:tc>
        <w:tc>
          <w:tcPr>
            <w:tcW w:w="0" w:type="auto"/>
            <w:gridSpan w:val="3"/>
            <w:shd w:val="clear" w:color="auto" w:fill="auto"/>
            <w:vAlign w:val="bottom"/>
          </w:tcPr>
          <w:p w14:paraId="392C8750" w14:textId="77777777" w:rsidR="00980E5F" w:rsidRDefault="00980E5F">
            <w:pPr>
              <w:rPr>
                <w:rFonts w:ascii="宋体"/>
                <w:vanish/>
              </w:rPr>
            </w:pPr>
          </w:p>
        </w:tc>
        <w:tc>
          <w:tcPr>
            <w:tcW w:w="0" w:type="auto"/>
            <w:gridSpan w:val="3"/>
            <w:shd w:val="clear" w:color="auto" w:fill="auto"/>
            <w:vAlign w:val="bottom"/>
          </w:tcPr>
          <w:p w14:paraId="392C8751" w14:textId="77777777" w:rsidR="00980E5F" w:rsidRDefault="00980E5F">
            <w:pPr>
              <w:rPr>
                <w:rFonts w:ascii="宋体"/>
                <w:vanish/>
              </w:rPr>
            </w:pPr>
          </w:p>
        </w:tc>
        <w:tc>
          <w:tcPr>
            <w:tcW w:w="0" w:type="auto"/>
            <w:gridSpan w:val="3"/>
            <w:shd w:val="clear" w:color="auto" w:fill="auto"/>
            <w:vAlign w:val="bottom"/>
          </w:tcPr>
          <w:p w14:paraId="392C8752" w14:textId="77777777" w:rsidR="00980E5F" w:rsidRDefault="00980E5F">
            <w:pPr>
              <w:rPr>
                <w:rFonts w:ascii="宋体"/>
                <w:vanish/>
              </w:rPr>
            </w:pPr>
          </w:p>
        </w:tc>
        <w:tc>
          <w:tcPr>
            <w:tcW w:w="0" w:type="auto"/>
            <w:gridSpan w:val="3"/>
            <w:shd w:val="clear" w:color="auto" w:fill="auto"/>
            <w:vAlign w:val="bottom"/>
          </w:tcPr>
          <w:p w14:paraId="392C8753" w14:textId="77777777" w:rsidR="00980E5F" w:rsidRDefault="00980E5F">
            <w:pPr>
              <w:rPr>
                <w:rFonts w:ascii="宋体"/>
                <w:vanish/>
              </w:rPr>
            </w:pPr>
          </w:p>
        </w:tc>
        <w:tc>
          <w:tcPr>
            <w:tcW w:w="0" w:type="auto"/>
            <w:gridSpan w:val="3"/>
            <w:shd w:val="clear" w:color="auto" w:fill="auto"/>
            <w:vAlign w:val="bottom"/>
          </w:tcPr>
          <w:p w14:paraId="392C8754" w14:textId="77777777" w:rsidR="00980E5F" w:rsidRDefault="00980E5F">
            <w:pPr>
              <w:rPr>
                <w:rFonts w:ascii="宋体"/>
                <w:vanish/>
              </w:rPr>
            </w:pPr>
          </w:p>
        </w:tc>
        <w:tc>
          <w:tcPr>
            <w:tcW w:w="0" w:type="auto"/>
            <w:gridSpan w:val="3"/>
            <w:shd w:val="clear" w:color="auto" w:fill="auto"/>
            <w:vAlign w:val="bottom"/>
          </w:tcPr>
          <w:p w14:paraId="392C8755" w14:textId="77777777" w:rsidR="00980E5F" w:rsidRDefault="00980E5F">
            <w:pPr>
              <w:rPr>
                <w:rFonts w:ascii="宋体"/>
                <w:vanish/>
              </w:rPr>
            </w:pPr>
          </w:p>
        </w:tc>
        <w:tc>
          <w:tcPr>
            <w:tcW w:w="0" w:type="auto"/>
            <w:gridSpan w:val="3"/>
            <w:shd w:val="clear" w:color="auto" w:fill="auto"/>
            <w:vAlign w:val="bottom"/>
          </w:tcPr>
          <w:p w14:paraId="392C8756" w14:textId="77777777" w:rsidR="00980E5F" w:rsidRDefault="00980E5F">
            <w:pPr>
              <w:rPr>
                <w:rFonts w:ascii="宋体"/>
                <w:vanish/>
              </w:rPr>
            </w:pPr>
          </w:p>
        </w:tc>
        <w:tc>
          <w:tcPr>
            <w:tcW w:w="0" w:type="auto"/>
            <w:gridSpan w:val="3"/>
            <w:shd w:val="clear" w:color="auto" w:fill="auto"/>
            <w:vAlign w:val="bottom"/>
          </w:tcPr>
          <w:p w14:paraId="392C8757" w14:textId="77777777" w:rsidR="00980E5F" w:rsidRDefault="00980E5F">
            <w:pPr>
              <w:rPr>
                <w:rFonts w:ascii="宋体"/>
                <w:vanish/>
              </w:rPr>
            </w:pPr>
          </w:p>
        </w:tc>
        <w:tc>
          <w:tcPr>
            <w:tcW w:w="0" w:type="auto"/>
            <w:gridSpan w:val="3"/>
            <w:shd w:val="clear" w:color="auto" w:fill="auto"/>
            <w:vAlign w:val="bottom"/>
          </w:tcPr>
          <w:p w14:paraId="392C8758" w14:textId="77777777" w:rsidR="00980E5F" w:rsidRDefault="00980E5F">
            <w:pPr>
              <w:rPr>
                <w:rFonts w:ascii="宋体"/>
                <w:vanish/>
              </w:rPr>
            </w:pPr>
          </w:p>
        </w:tc>
        <w:tc>
          <w:tcPr>
            <w:tcW w:w="0" w:type="auto"/>
            <w:gridSpan w:val="3"/>
            <w:shd w:val="clear" w:color="auto" w:fill="auto"/>
            <w:vAlign w:val="bottom"/>
          </w:tcPr>
          <w:p w14:paraId="392C8759" w14:textId="77777777" w:rsidR="00980E5F" w:rsidRDefault="00980E5F">
            <w:pPr>
              <w:rPr>
                <w:rFonts w:ascii="宋体"/>
                <w:vanish/>
              </w:rPr>
            </w:pPr>
          </w:p>
        </w:tc>
      </w:tr>
      <w:tr w:rsidR="00980E5F" w14:paraId="392C8775" w14:textId="77777777">
        <w:tc>
          <w:tcPr>
            <w:tcW w:w="0" w:type="auto"/>
            <w:gridSpan w:val="3"/>
            <w:shd w:val="clear" w:color="auto" w:fill="CCEEFF"/>
            <w:tcMar>
              <w:top w:w="40" w:type="dxa"/>
              <w:left w:w="20" w:type="dxa"/>
              <w:bottom w:w="40" w:type="dxa"/>
              <w:right w:w="20" w:type="dxa"/>
            </w:tcMar>
            <w:vAlign w:val="bottom"/>
          </w:tcPr>
          <w:p w14:paraId="392C875B" w14:textId="77777777" w:rsidR="00980E5F" w:rsidRDefault="00483613">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392C875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75D"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75E"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75F" w14:textId="77777777" w:rsidR="00980E5F" w:rsidRDefault="00483613">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76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761"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76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763" w14:textId="77777777" w:rsidR="00980E5F" w:rsidRDefault="00483613">
            <w:pPr>
              <w:jc w:val="right"/>
              <w:textAlignment w:val="bottom"/>
            </w:pPr>
            <w:r>
              <w:rPr>
                <w:rFonts w:ascii="Arial" w:eastAsia="宋体" w:hAnsi="Arial" w:cs="Arial"/>
                <w:color w:val="000000"/>
                <w:sz w:val="13"/>
                <w:szCs w:val="13"/>
              </w:rPr>
              <w:t>(25)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764" w14:textId="77777777" w:rsidR="00980E5F" w:rsidRDefault="00980E5F">
            <w:pPr>
              <w:jc w:val="right"/>
              <w:rPr>
                <w:rFonts w:ascii="宋体"/>
              </w:rPr>
            </w:pPr>
          </w:p>
        </w:tc>
        <w:tc>
          <w:tcPr>
            <w:tcW w:w="0" w:type="auto"/>
            <w:shd w:val="clear" w:color="auto" w:fill="auto"/>
            <w:vAlign w:val="bottom"/>
          </w:tcPr>
          <w:p w14:paraId="392C8765" w14:textId="77777777" w:rsidR="00980E5F" w:rsidRDefault="00980E5F">
            <w:pPr>
              <w:rPr>
                <w:rFonts w:ascii="宋体"/>
                <w:vanish/>
              </w:rPr>
            </w:pPr>
          </w:p>
        </w:tc>
        <w:tc>
          <w:tcPr>
            <w:tcW w:w="0" w:type="auto"/>
            <w:shd w:val="clear" w:color="auto" w:fill="auto"/>
            <w:vAlign w:val="bottom"/>
          </w:tcPr>
          <w:p w14:paraId="392C876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76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76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76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76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76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76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76D" w14:textId="77777777" w:rsidR="00980E5F" w:rsidRDefault="00483613">
            <w:pPr>
              <w:jc w:val="right"/>
              <w:textAlignment w:val="bottom"/>
            </w:pPr>
            <w:r>
              <w:rPr>
                <w:rFonts w:ascii="Arial" w:eastAsia="宋体" w:hAnsi="Arial" w:cs="Arial"/>
                <w:b/>
                <w:bCs/>
                <w:color w:val="000000"/>
                <w:sz w:val="13"/>
                <w:szCs w:val="13"/>
              </w:rPr>
              <w:t>(21)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7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76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770"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771" w14:textId="77777777" w:rsidR="00980E5F" w:rsidRDefault="00483613">
            <w:pPr>
              <w:jc w:val="right"/>
              <w:textAlignment w:val="bottom"/>
            </w:pPr>
            <w:r>
              <w:rPr>
                <w:rFonts w:ascii="Arial" w:eastAsia="宋体" w:hAnsi="Arial" w:cs="Arial"/>
                <w:color w:val="000000"/>
                <w:sz w:val="13"/>
                <w:szCs w:val="13"/>
              </w:rPr>
              <w:t>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772" w14:textId="77777777" w:rsidR="00980E5F" w:rsidRDefault="00980E5F">
            <w:pPr>
              <w:jc w:val="right"/>
              <w:rPr>
                <w:rFonts w:ascii="宋体"/>
              </w:rPr>
            </w:pPr>
          </w:p>
        </w:tc>
        <w:tc>
          <w:tcPr>
            <w:tcW w:w="0" w:type="auto"/>
            <w:gridSpan w:val="3"/>
            <w:shd w:val="clear" w:color="auto" w:fill="auto"/>
            <w:vAlign w:val="bottom"/>
          </w:tcPr>
          <w:p w14:paraId="392C8773" w14:textId="77777777" w:rsidR="00980E5F" w:rsidRDefault="00980E5F">
            <w:pPr>
              <w:rPr>
                <w:rFonts w:ascii="宋体"/>
                <w:vanish/>
              </w:rPr>
            </w:pPr>
          </w:p>
        </w:tc>
        <w:tc>
          <w:tcPr>
            <w:tcW w:w="0" w:type="auto"/>
            <w:gridSpan w:val="3"/>
            <w:shd w:val="clear" w:color="auto" w:fill="auto"/>
            <w:vAlign w:val="bottom"/>
          </w:tcPr>
          <w:p w14:paraId="392C8774" w14:textId="77777777" w:rsidR="00980E5F" w:rsidRDefault="00980E5F">
            <w:pPr>
              <w:rPr>
                <w:rFonts w:ascii="宋体"/>
                <w:vanish/>
              </w:rPr>
            </w:pPr>
          </w:p>
        </w:tc>
      </w:tr>
    </w:tbl>
    <w:p w14:paraId="392C8776" w14:textId="77777777" w:rsidR="00980E5F" w:rsidRDefault="00980E5F">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980E5F" w14:paraId="392C8786" w14:textId="77777777">
        <w:tc>
          <w:tcPr>
            <w:tcW w:w="20" w:type="dxa"/>
            <w:shd w:val="clear" w:color="auto" w:fill="auto"/>
            <w:vAlign w:val="bottom"/>
          </w:tcPr>
          <w:p w14:paraId="392C8777" w14:textId="77777777" w:rsidR="00980E5F" w:rsidRDefault="00980E5F">
            <w:pPr>
              <w:rPr>
                <w:rFonts w:ascii="宋体"/>
              </w:rPr>
            </w:pPr>
          </w:p>
        </w:tc>
        <w:tc>
          <w:tcPr>
            <w:tcW w:w="2840" w:type="dxa"/>
            <w:shd w:val="clear" w:color="auto" w:fill="auto"/>
            <w:vAlign w:val="bottom"/>
          </w:tcPr>
          <w:p w14:paraId="392C8778" w14:textId="77777777" w:rsidR="00980E5F" w:rsidRDefault="00980E5F">
            <w:pPr>
              <w:rPr>
                <w:rFonts w:ascii="宋体"/>
              </w:rPr>
            </w:pPr>
          </w:p>
        </w:tc>
        <w:tc>
          <w:tcPr>
            <w:tcW w:w="20" w:type="dxa"/>
            <w:shd w:val="clear" w:color="auto" w:fill="auto"/>
            <w:vAlign w:val="bottom"/>
          </w:tcPr>
          <w:p w14:paraId="392C8779" w14:textId="77777777" w:rsidR="00980E5F" w:rsidRDefault="00980E5F">
            <w:pPr>
              <w:rPr>
                <w:rFonts w:ascii="宋体"/>
              </w:rPr>
            </w:pPr>
          </w:p>
        </w:tc>
        <w:tc>
          <w:tcPr>
            <w:tcW w:w="20" w:type="dxa"/>
            <w:shd w:val="clear" w:color="auto" w:fill="auto"/>
            <w:vAlign w:val="bottom"/>
          </w:tcPr>
          <w:p w14:paraId="392C877A" w14:textId="77777777" w:rsidR="00980E5F" w:rsidRDefault="00980E5F">
            <w:pPr>
              <w:rPr>
                <w:rFonts w:ascii="宋体"/>
              </w:rPr>
            </w:pPr>
          </w:p>
        </w:tc>
        <w:tc>
          <w:tcPr>
            <w:tcW w:w="1475" w:type="dxa"/>
            <w:shd w:val="clear" w:color="auto" w:fill="auto"/>
            <w:vAlign w:val="bottom"/>
          </w:tcPr>
          <w:p w14:paraId="392C877B" w14:textId="77777777" w:rsidR="00980E5F" w:rsidRDefault="00980E5F">
            <w:pPr>
              <w:rPr>
                <w:rFonts w:ascii="宋体"/>
              </w:rPr>
            </w:pPr>
          </w:p>
        </w:tc>
        <w:tc>
          <w:tcPr>
            <w:tcW w:w="20" w:type="dxa"/>
            <w:shd w:val="clear" w:color="auto" w:fill="auto"/>
            <w:vAlign w:val="bottom"/>
          </w:tcPr>
          <w:p w14:paraId="392C877C" w14:textId="77777777" w:rsidR="00980E5F" w:rsidRDefault="00980E5F">
            <w:pPr>
              <w:rPr>
                <w:rFonts w:ascii="宋体"/>
              </w:rPr>
            </w:pPr>
          </w:p>
        </w:tc>
        <w:tc>
          <w:tcPr>
            <w:tcW w:w="20" w:type="dxa"/>
            <w:shd w:val="clear" w:color="auto" w:fill="auto"/>
            <w:vAlign w:val="bottom"/>
          </w:tcPr>
          <w:p w14:paraId="392C877D" w14:textId="77777777" w:rsidR="00980E5F" w:rsidRDefault="00980E5F">
            <w:pPr>
              <w:rPr>
                <w:rFonts w:ascii="宋体"/>
              </w:rPr>
            </w:pPr>
          </w:p>
        </w:tc>
        <w:tc>
          <w:tcPr>
            <w:tcW w:w="1460" w:type="dxa"/>
            <w:shd w:val="clear" w:color="auto" w:fill="auto"/>
            <w:vAlign w:val="bottom"/>
          </w:tcPr>
          <w:p w14:paraId="392C877E" w14:textId="77777777" w:rsidR="00980E5F" w:rsidRDefault="00980E5F">
            <w:pPr>
              <w:rPr>
                <w:rFonts w:ascii="宋体"/>
              </w:rPr>
            </w:pPr>
          </w:p>
        </w:tc>
        <w:tc>
          <w:tcPr>
            <w:tcW w:w="20" w:type="dxa"/>
            <w:shd w:val="clear" w:color="auto" w:fill="auto"/>
            <w:vAlign w:val="bottom"/>
          </w:tcPr>
          <w:p w14:paraId="392C877F" w14:textId="77777777" w:rsidR="00980E5F" w:rsidRDefault="00980E5F">
            <w:pPr>
              <w:rPr>
                <w:rFonts w:ascii="宋体"/>
              </w:rPr>
            </w:pPr>
          </w:p>
        </w:tc>
        <w:tc>
          <w:tcPr>
            <w:tcW w:w="20" w:type="dxa"/>
            <w:shd w:val="clear" w:color="auto" w:fill="auto"/>
            <w:vAlign w:val="bottom"/>
          </w:tcPr>
          <w:p w14:paraId="392C8780" w14:textId="77777777" w:rsidR="00980E5F" w:rsidRDefault="00980E5F">
            <w:pPr>
              <w:rPr>
                <w:rFonts w:ascii="宋体"/>
              </w:rPr>
            </w:pPr>
          </w:p>
        </w:tc>
        <w:tc>
          <w:tcPr>
            <w:tcW w:w="2540" w:type="dxa"/>
            <w:shd w:val="clear" w:color="auto" w:fill="auto"/>
            <w:vAlign w:val="bottom"/>
          </w:tcPr>
          <w:p w14:paraId="392C8781" w14:textId="77777777" w:rsidR="00980E5F" w:rsidRDefault="00980E5F">
            <w:pPr>
              <w:rPr>
                <w:rFonts w:ascii="宋体"/>
              </w:rPr>
            </w:pPr>
          </w:p>
        </w:tc>
        <w:tc>
          <w:tcPr>
            <w:tcW w:w="20" w:type="dxa"/>
            <w:shd w:val="clear" w:color="auto" w:fill="auto"/>
            <w:vAlign w:val="bottom"/>
          </w:tcPr>
          <w:p w14:paraId="392C8782" w14:textId="77777777" w:rsidR="00980E5F" w:rsidRDefault="00980E5F">
            <w:pPr>
              <w:rPr>
                <w:rFonts w:ascii="宋体"/>
              </w:rPr>
            </w:pPr>
          </w:p>
        </w:tc>
        <w:tc>
          <w:tcPr>
            <w:tcW w:w="20" w:type="dxa"/>
            <w:shd w:val="clear" w:color="auto" w:fill="auto"/>
            <w:vAlign w:val="bottom"/>
          </w:tcPr>
          <w:p w14:paraId="392C8783" w14:textId="77777777" w:rsidR="00980E5F" w:rsidRDefault="00980E5F">
            <w:pPr>
              <w:rPr>
                <w:rFonts w:ascii="宋体"/>
              </w:rPr>
            </w:pPr>
          </w:p>
        </w:tc>
        <w:tc>
          <w:tcPr>
            <w:tcW w:w="1745" w:type="dxa"/>
            <w:shd w:val="clear" w:color="auto" w:fill="auto"/>
            <w:vAlign w:val="bottom"/>
          </w:tcPr>
          <w:p w14:paraId="392C8784" w14:textId="77777777" w:rsidR="00980E5F" w:rsidRDefault="00980E5F">
            <w:pPr>
              <w:rPr>
                <w:rFonts w:ascii="宋体"/>
              </w:rPr>
            </w:pPr>
          </w:p>
        </w:tc>
        <w:tc>
          <w:tcPr>
            <w:tcW w:w="20" w:type="dxa"/>
            <w:shd w:val="clear" w:color="auto" w:fill="auto"/>
            <w:vAlign w:val="bottom"/>
          </w:tcPr>
          <w:p w14:paraId="392C8785" w14:textId="77777777" w:rsidR="00980E5F" w:rsidRDefault="00980E5F">
            <w:pPr>
              <w:rPr>
                <w:rFonts w:ascii="宋体"/>
              </w:rPr>
            </w:pPr>
          </w:p>
        </w:tc>
      </w:tr>
      <w:tr w:rsidR="00980E5F" w14:paraId="392C878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7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8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8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8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8B" w14:textId="77777777" w:rsidR="00980E5F" w:rsidRDefault="00980E5F">
            <w:pPr>
              <w:rPr>
                <w:rFonts w:ascii="宋体"/>
              </w:rPr>
            </w:pPr>
          </w:p>
        </w:tc>
      </w:tr>
    </w:tbl>
    <w:p w14:paraId="392C878D" w14:textId="77777777" w:rsidR="00980E5F" w:rsidRDefault="00483613">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three months ended June 30, 2022, approximately $113 million of net unrealized gains on AFS investment securities designated in fair value hedges was recognized in OCI compared to $16 million of net unrealized losses in the same period in </w:t>
      </w:r>
      <w:r>
        <w:rPr>
          <w:rFonts w:ascii="Arial" w:eastAsia="宋体" w:hAnsi="Arial" w:cs="Arial"/>
          <w:color w:val="000000"/>
          <w:sz w:val="12"/>
          <w:szCs w:val="12"/>
        </w:rPr>
        <w:t>2021.</w:t>
      </w:r>
    </w:p>
    <w:p w14:paraId="392C878E" w14:textId="77777777" w:rsidR="00980E5F" w:rsidRDefault="00483613">
      <w:pPr>
        <w:jc w:val="both"/>
      </w:pPr>
      <w:r>
        <w:rPr>
          <w:rFonts w:ascii="Arial" w:eastAsia="宋体" w:hAnsi="Arial" w:cs="Arial"/>
          <w:color w:val="000000"/>
          <w:sz w:val="7"/>
          <w:szCs w:val="7"/>
        </w:rPr>
        <w:t xml:space="preserve">(2) </w:t>
      </w:r>
      <w:r>
        <w:rPr>
          <w:rFonts w:ascii="Arial" w:eastAsia="宋体" w:hAnsi="Arial" w:cs="Arial"/>
          <w:color w:val="000000"/>
          <w:sz w:val="12"/>
          <w:szCs w:val="12"/>
        </w:rPr>
        <w:t>In the six months ended June 30, 2022, approximately $270 million of net unrealized gains on AFS investment securities designated in fair value hedges was recognized in OCI compared to $4 million of net unrealized losses in the same period in 202</w:t>
      </w:r>
      <w:r>
        <w:rPr>
          <w:rFonts w:ascii="Arial" w:eastAsia="宋体" w:hAnsi="Arial" w:cs="Arial"/>
          <w:color w:val="000000"/>
          <w:sz w:val="12"/>
          <w:szCs w:val="12"/>
        </w:rPr>
        <w:t>1.</w:t>
      </w:r>
    </w:p>
    <w:p w14:paraId="392C878F" w14:textId="77777777" w:rsidR="00980E5F" w:rsidRDefault="00980E5F">
      <w:pPr>
        <w:spacing w:before="90"/>
        <w:jc w:val="both"/>
      </w:pPr>
    </w:p>
    <w:p w14:paraId="392C8790" w14:textId="77777777" w:rsidR="00980E5F" w:rsidRDefault="00483613">
      <w:pPr>
        <w:ind w:firstLine="450"/>
        <w:jc w:val="right"/>
      </w:pPr>
      <w:r>
        <w:rPr>
          <w:rFonts w:ascii="Arial" w:eastAsia="宋体" w:hAnsi="Arial" w:cs="Arial"/>
          <w:color w:val="000000"/>
          <w:sz w:val="18"/>
          <w:szCs w:val="18"/>
        </w:rPr>
        <w:t>State Street Corporation | 82</w:t>
      </w:r>
    </w:p>
    <w:p w14:paraId="392C8791" w14:textId="77777777" w:rsidR="00980E5F" w:rsidRDefault="00980E5F">
      <w:pPr>
        <w:ind w:firstLine="450"/>
        <w:jc w:val="center"/>
      </w:pPr>
    </w:p>
    <w:p w14:paraId="392C8792" w14:textId="77777777" w:rsidR="00980E5F" w:rsidRDefault="00483613">
      <w:r>
        <w:pict w14:anchorId="392CBB20">
          <v:rect id="_x0000_i1106" style="width:415.3pt;height:1.5pt" o:hralign="center" o:hrstd="t" o:hr="t" fillcolor="#a0a0a0" stroked="f"/>
        </w:pict>
      </w:r>
    </w:p>
    <w:p w14:paraId="392C8793" w14:textId="77777777" w:rsidR="00980E5F" w:rsidRDefault="00483613">
      <w:pPr>
        <w:ind w:firstLine="450"/>
        <w:jc w:val="center"/>
      </w:pPr>
      <w:r>
        <w:rPr>
          <w:rFonts w:ascii="Arial" w:eastAsia="宋体" w:hAnsi="Arial" w:cs="Arial"/>
          <w:b/>
          <w:bCs/>
          <w:color w:val="000000"/>
          <w:sz w:val="20"/>
          <w:szCs w:val="20"/>
        </w:rPr>
        <w:t>STATE STREET CORPORATION</w:t>
      </w:r>
    </w:p>
    <w:p w14:paraId="392C8794"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795"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492"/>
        <w:gridCol w:w="36"/>
        <w:gridCol w:w="94"/>
        <w:gridCol w:w="1012"/>
        <w:gridCol w:w="37"/>
        <w:gridCol w:w="37"/>
        <w:gridCol w:w="37"/>
        <w:gridCol w:w="37"/>
        <w:gridCol w:w="94"/>
        <w:gridCol w:w="979"/>
        <w:gridCol w:w="37"/>
        <w:gridCol w:w="46"/>
        <w:gridCol w:w="46"/>
        <w:gridCol w:w="36"/>
        <w:gridCol w:w="36"/>
        <w:gridCol w:w="36"/>
        <w:gridCol w:w="51"/>
        <w:gridCol w:w="1452"/>
        <w:gridCol w:w="36"/>
        <w:gridCol w:w="36"/>
        <w:gridCol w:w="36"/>
        <w:gridCol w:w="36"/>
        <w:gridCol w:w="95"/>
        <w:gridCol w:w="982"/>
        <w:gridCol w:w="38"/>
        <w:gridCol w:w="37"/>
        <w:gridCol w:w="37"/>
        <w:gridCol w:w="37"/>
        <w:gridCol w:w="95"/>
        <w:gridCol w:w="981"/>
        <w:gridCol w:w="37"/>
        <w:gridCol w:w="36"/>
        <w:gridCol w:w="36"/>
        <w:gridCol w:w="36"/>
        <w:gridCol w:w="36"/>
        <w:gridCol w:w="36"/>
        <w:gridCol w:w="36"/>
      </w:tblGrid>
      <w:tr w:rsidR="00980E5F" w14:paraId="392C87B8" w14:textId="77777777">
        <w:tc>
          <w:tcPr>
            <w:tcW w:w="50" w:type="pct"/>
            <w:shd w:val="clear" w:color="auto" w:fill="auto"/>
            <w:vAlign w:val="bottom"/>
          </w:tcPr>
          <w:p w14:paraId="392C8796" w14:textId="77777777" w:rsidR="00980E5F" w:rsidRDefault="00980E5F">
            <w:pPr>
              <w:rPr>
                <w:rFonts w:ascii="宋体"/>
              </w:rPr>
            </w:pPr>
          </w:p>
        </w:tc>
        <w:tc>
          <w:tcPr>
            <w:tcW w:w="953" w:type="pct"/>
            <w:shd w:val="clear" w:color="auto" w:fill="auto"/>
            <w:vAlign w:val="bottom"/>
          </w:tcPr>
          <w:p w14:paraId="392C8797" w14:textId="77777777" w:rsidR="00980E5F" w:rsidRDefault="00980E5F">
            <w:pPr>
              <w:rPr>
                <w:rFonts w:ascii="宋体"/>
              </w:rPr>
            </w:pPr>
          </w:p>
        </w:tc>
        <w:tc>
          <w:tcPr>
            <w:tcW w:w="5" w:type="pct"/>
            <w:shd w:val="clear" w:color="auto" w:fill="auto"/>
            <w:vAlign w:val="bottom"/>
          </w:tcPr>
          <w:p w14:paraId="392C8798" w14:textId="77777777" w:rsidR="00980E5F" w:rsidRDefault="00980E5F">
            <w:pPr>
              <w:rPr>
                <w:rFonts w:ascii="宋体"/>
              </w:rPr>
            </w:pPr>
          </w:p>
        </w:tc>
        <w:tc>
          <w:tcPr>
            <w:tcW w:w="50" w:type="pct"/>
            <w:shd w:val="clear" w:color="auto" w:fill="auto"/>
            <w:vAlign w:val="bottom"/>
          </w:tcPr>
          <w:p w14:paraId="392C8799" w14:textId="77777777" w:rsidR="00980E5F" w:rsidRDefault="00980E5F">
            <w:pPr>
              <w:rPr>
                <w:rFonts w:ascii="宋体"/>
              </w:rPr>
            </w:pPr>
          </w:p>
        </w:tc>
        <w:tc>
          <w:tcPr>
            <w:tcW w:w="654" w:type="pct"/>
            <w:shd w:val="clear" w:color="auto" w:fill="auto"/>
            <w:vAlign w:val="bottom"/>
          </w:tcPr>
          <w:p w14:paraId="392C879A" w14:textId="77777777" w:rsidR="00980E5F" w:rsidRDefault="00980E5F">
            <w:pPr>
              <w:rPr>
                <w:rFonts w:ascii="宋体"/>
              </w:rPr>
            </w:pPr>
          </w:p>
        </w:tc>
        <w:tc>
          <w:tcPr>
            <w:tcW w:w="5" w:type="pct"/>
            <w:shd w:val="clear" w:color="auto" w:fill="auto"/>
            <w:vAlign w:val="bottom"/>
          </w:tcPr>
          <w:p w14:paraId="392C879B" w14:textId="77777777" w:rsidR="00980E5F" w:rsidRDefault="00980E5F">
            <w:pPr>
              <w:rPr>
                <w:rFonts w:ascii="宋体"/>
              </w:rPr>
            </w:pPr>
          </w:p>
        </w:tc>
        <w:tc>
          <w:tcPr>
            <w:tcW w:w="5" w:type="pct"/>
            <w:shd w:val="clear" w:color="auto" w:fill="auto"/>
            <w:vAlign w:val="bottom"/>
          </w:tcPr>
          <w:p w14:paraId="392C879C" w14:textId="77777777" w:rsidR="00980E5F" w:rsidRDefault="00980E5F">
            <w:pPr>
              <w:rPr>
                <w:rFonts w:ascii="宋体"/>
              </w:rPr>
            </w:pPr>
          </w:p>
        </w:tc>
        <w:tc>
          <w:tcPr>
            <w:tcW w:w="26" w:type="pct"/>
            <w:shd w:val="clear" w:color="auto" w:fill="auto"/>
            <w:vAlign w:val="bottom"/>
          </w:tcPr>
          <w:p w14:paraId="392C879D" w14:textId="77777777" w:rsidR="00980E5F" w:rsidRDefault="00980E5F">
            <w:pPr>
              <w:rPr>
                <w:rFonts w:ascii="宋体"/>
              </w:rPr>
            </w:pPr>
          </w:p>
        </w:tc>
        <w:tc>
          <w:tcPr>
            <w:tcW w:w="5" w:type="pct"/>
            <w:shd w:val="clear" w:color="auto" w:fill="auto"/>
            <w:vAlign w:val="bottom"/>
          </w:tcPr>
          <w:p w14:paraId="392C879E" w14:textId="77777777" w:rsidR="00980E5F" w:rsidRDefault="00980E5F">
            <w:pPr>
              <w:rPr>
                <w:rFonts w:ascii="宋体"/>
              </w:rPr>
            </w:pPr>
          </w:p>
        </w:tc>
        <w:tc>
          <w:tcPr>
            <w:tcW w:w="50" w:type="pct"/>
            <w:shd w:val="clear" w:color="auto" w:fill="auto"/>
            <w:vAlign w:val="bottom"/>
          </w:tcPr>
          <w:p w14:paraId="392C879F" w14:textId="77777777" w:rsidR="00980E5F" w:rsidRDefault="00980E5F">
            <w:pPr>
              <w:rPr>
                <w:rFonts w:ascii="宋体"/>
              </w:rPr>
            </w:pPr>
          </w:p>
        </w:tc>
        <w:tc>
          <w:tcPr>
            <w:tcW w:w="654" w:type="pct"/>
            <w:shd w:val="clear" w:color="auto" w:fill="auto"/>
            <w:vAlign w:val="bottom"/>
          </w:tcPr>
          <w:p w14:paraId="392C87A0" w14:textId="77777777" w:rsidR="00980E5F" w:rsidRDefault="00980E5F">
            <w:pPr>
              <w:rPr>
                <w:rFonts w:ascii="宋体"/>
              </w:rPr>
            </w:pPr>
          </w:p>
        </w:tc>
        <w:tc>
          <w:tcPr>
            <w:tcW w:w="5" w:type="pct"/>
            <w:shd w:val="clear" w:color="auto" w:fill="auto"/>
            <w:vAlign w:val="bottom"/>
          </w:tcPr>
          <w:p w14:paraId="392C87A1" w14:textId="77777777" w:rsidR="00980E5F" w:rsidRDefault="00980E5F">
            <w:pPr>
              <w:rPr>
                <w:rFonts w:ascii="宋体"/>
              </w:rPr>
            </w:pPr>
          </w:p>
        </w:tc>
        <w:tc>
          <w:tcPr>
            <w:tcW w:w="0" w:type="auto"/>
            <w:shd w:val="clear" w:color="auto" w:fill="auto"/>
            <w:vAlign w:val="bottom"/>
          </w:tcPr>
          <w:p w14:paraId="392C87A2" w14:textId="77777777" w:rsidR="00980E5F" w:rsidRDefault="00980E5F">
            <w:pPr>
              <w:rPr>
                <w:rFonts w:ascii="宋体"/>
                <w:vanish/>
              </w:rPr>
            </w:pPr>
          </w:p>
        </w:tc>
        <w:tc>
          <w:tcPr>
            <w:tcW w:w="0" w:type="auto"/>
            <w:shd w:val="clear" w:color="auto" w:fill="auto"/>
            <w:vAlign w:val="bottom"/>
          </w:tcPr>
          <w:p w14:paraId="392C87A3" w14:textId="77777777" w:rsidR="00980E5F" w:rsidRDefault="00980E5F">
            <w:pPr>
              <w:rPr>
                <w:rFonts w:ascii="宋体"/>
                <w:vanish/>
              </w:rPr>
            </w:pPr>
          </w:p>
        </w:tc>
        <w:tc>
          <w:tcPr>
            <w:tcW w:w="5" w:type="pct"/>
            <w:shd w:val="clear" w:color="auto" w:fill="auto"/>
            <w:vAlign w:val="bottom"/>
          </w:tcPr>
          <w:p w14:paraId="392C87A4" w14:textId="77777777" w:rsidR="00980E5F" w:rsidRDefault="00980E5F">
            <w:pPr>
              <w:rPr>
                <w:rFonts w:ascii="宋体"/>
              </w:rPr>
            </w:pPr>
          </w:p>
        </w:tc>
        <w:tc>
          <w:tcPr>
            <w:tcW w:w="26" w:type="pct"/>
            <w:shd w:val="clear" w:color="auto" w:fill="auto"/>
            <w:vAlign w:val="bottom"/>
          </w:tcPr>
          <w:p w14:paraId="392C87A5" w14:textId="77777777" w:rsidR="00980E5F" w:rsidRDefault="00980E5F">
            <w:pPr>
              <w:rPr>
                <w:rFonts w:ascii="宋体"/>
              </w:rPr>
            </w:pPr>
          </w:p>
        </w:tc>
        <w:tc>
          <w:tcPr>
            <w:tcW w:w="5" w:type="pct"/>
            <w:shd w:val="clear" w:color="auto" w:fill="auto"/>
            <w:vAlign w:val="bottom"/>
          </w:tcPr>
          <w:p w14:paraId="392C87A6" w14:textId="77777777" w:rsidR="00980E5F" w:rsidRDefault="00980E5F">
            <w:pPr>
              <w:rPr>
                <w:rFonts w:ascii="宋体"/>
              </w:rPr>
            </w:pPr>
          </w:p>
        </w:tc>
        <w:tc>
          <w:tcPr>
            <w:tcW w:w="50" w:type="pct"/>
            <w:shd w:val="clear" w:color="auto" w:fill="auto"/>
            <w:vAlign w:val="bottom"/>
          </w:tcPr>
          <w:p w14:paraId="392C87A7" w14:textId="77777777" w:rsidR="00980E5F" w:rsidRDefault="00980E5F">
            <w:pPr>
              <w:rPr>
                <w:rFonts w:ascii="宋体"/>
              </w:rPr>
            </w:pPr>
          </w:p>
        </w:tc>
        <w:tc>
          <w:tcPr>
            <w:tcW w:w="953" w:type="pct"/>
            <w:shd w:val="clear" w:color="auto" w:fill="auto"/>
            <w:vAlign w:val="bottom"/>
          </w:tcPr>
          <w:p w14:paraId="392C87A8" w14:textId="77777777" w:rsidR="00980E5F" w:rsidRDefault="00980E5F">
            <w:pPr>
              <w:rPr>
                <w:rFonts w:ascii="宋体"/>
              </w:rPr>
            </w:pPr>
          </w:p>
        </w:tc>
        <w:tc>
          <w:tcPr>
            <w:tcW w:w="5" w:type="pct"/>
            <w:shd w:val="clear" w:color="auto" w:fill="auto"/>
            <w:vAlign w:val="bottom"/>
          </w:tcPr>
          <w:p w14:paraId="392C87A9" w14:textId="77777777" w:rsidR="00980E5F" w:rsidRDefault="00980E5F">
            <w:pPr>
              <w:rPr>
                <w:rFonts w:ascii="宋体"/>
              </w:rPr>
            </w:pPr>
          </w:p>
        </w:tc>
        <w:tc>
          <w:tcPr>
            <w:tcW w:w="5" w:type="pct"/>
            <w:shd w:val="clear" w:color="auto" w:fill="auto"/>
            <w:vAlign w:val="bottom"/>
          </w:tcPr>
          <w:p w14:paraId="392C87AA" w14:textId="77777777" w:rsidR="00980E5F" w:rsidRDefault="00980E5F">
            <w:pPr>
              <w:rPr>
                <w:rFonts w:ascii="宋体"/>
              </w:rPr>
            </w:pPr>
          </w:p>
        </w:tc>
        <w:tc>
          <w:tcPr>
            <w:tcW w:w="26" w:type="pct"/>
            <w:shd w:val="clear" w:color="auto" w:fill="auto"/>
            <w:vAlign w:val="bottom"/>
          </w:tcPr>
          <w:p w14:paraId="392C87AB" w14:textId="77777777" w:rsidR="00980E5F" w:rsidRDefault="00980E5F">
            <w:pPr>
              <w:rPr>
                <w:rFonts w:ascii="宋体"/>
              </w:rPr>
            </w:pPr>
          </w:p>
        </w:tc>
        <w:tc>
          <w:tcPr>
            <w:tcW w:w="5" w:type="pct"/>
            <w:shd w:val="clear" w:color="auto" w:fill="auto"/>
            <w:vAlign w:val="bottom"/>
          </w:tcPr>
          <w:p w14:paraId="392C87AC" w14:textId="77777777" w:rsidR="00980E5F" w:rsidRDefault="00980E5F">
            <w:pPr>
              <w:rPr>
                <w:rFonts w:ascii="宋体"/>
              </w:rPr>
            </w:pPr>
          </w:p>
        </w:tc>
        <w:tc>
          <w:tcPr>
            <w:tcW w:w="50" w:type="pct"/>
            <w:shd w:val="clear" w:color="auto" w:fill="auto"/>
            <w:vAlign w:val="bottom"/>
          </w:tcPr>
          <w:p w14:paraId="392C87AD" w14:textId="77777777" w:rsidR="00980E5F" w:rsidRDefault="00980E5F">
            <w:pPr>
              <w:rPr>
                <w:rFonts w:ascii="宋体"/>
              </w:rPr>
            </w:pPr>
          </w:p>
        </w:tc>
        <w:tc>
          <w:tcPr>
            <w:tcW w:w="654" w:type="pct"/>
            <w:shd w:val="clear" w:color="auto" w:fill="auto"/>
            <w:vAlign w:val="bottom"/>
          </w:tcPr>
          <w:p w14:paraId="392C87AE" w14:textId="77777777" w:rsidR="00980E5F" w:rsidRDefault="00980E5F">
            <w:pPr>
              <w:rPr>
                <w:rFonts w:ascii="宋体"/>
              </w:rPr>
            </w:pPr>
          </w:p>
        </w:tc>
        <w:tc>
          <w:tcPr>
            <w:tcW w:w="5" w:type="pct"/>
            <w:shd w:val="clear" w:color="auto" w:fill="auto"/>
            <w:vAlign w:val="bottom"/>
          </w:tcPr>
          <w:p w14:paraId="392C87AF" w14:textId="77777777" w:rsidR="00980E5F" w:rsidRDefault="00980E5F">
            <w:pPr>
              <w:rPr>
                <w:rFonts w:ascii="宋体"/>
              </w:rPr>
            </w:pPr>
          </w:p>
        </w:tc>
        <w:tc>
          <w:tcPr>
            <w:tcW w:w="5" w:type="pct"/>
            <w:shd w:val="clear" w:color="auto" w:fill="auto"/>
            <w:vAlign w:val="bottom"/>
          </w:tcPr>
          <w:p w14:paraId="392C87B0" w14:textId="77777777" w:rsidR="00980E5F" w:rsidRDefault="00980E5F">
            <w:pPr>
              <w:rPr>
                <w:rFonts w:ascii="宋体"/>
              </w:rPr>
            </w:pPr>
          </w:p>
        </w:tc>
        <w:tc>
          <w:tcPr>
            <w:tcW w:w="26" w:type="pct"/>
            <w:shd w:val="clear" w:color="auto" w:fill="auto"/>
            <w:vAlign w:val="bottom"/>
          </w:tcPr>
          <w:p w14:paraId="392C87B1" w14:textId="77777777" w:rsidR="00980E5F" w:rsidRDefault="00980E5F">
            <w:pPr>
              <w:rPr>
                <w:rFonts w:ascii="宋体"/>
              </w:rPr>
            </w:pPr>
          </w:p>
        </w:tc>
        <w:tc>
          <w:tcPr>
            <w:tcW w:w="5" w:type="pct"/>
            <w:shd w:val="clear" w:color="auto" w:fill="auto"/>
            <w:vAlign w:val="bottom"/>
          </w:tcPr>
          <w:p w14:paraId="392C87B2" w14:textId="77777777" w:rsidR="00980E5F" w:rsidRDefault="00980E5F">
            <w:pPr>
              <w:rPr>
                <w:rFonts w:ascii="宋体"/>
              </w:rPr>
            </w:pPr>
          </w:p>
        </w:tc>
        <w:tc>
          <w:tcPr>
            <w:tcW w:w="50" w:type="pct"/>
            <w:shd w:val="clear" w:color="auto" w:fill="auto"/>
            <w:vAlign w:val="bottom"/>
          </w:tcPr>
          <w:p w14:paraId="392C87B3" w14:textId="77777777" w:rsidR="00980E5F" w:rsidRDefault="00980E5F">
            <w:pPr>
              <w:rPr>
                <w:rFonts w:ascii="宋体"/>
              </w:rPr>
            </w:pPr>
          </w:p>
        </w:tc>
        <w:tc>
          <w:tcPr>
            <w:tcW w:w="654" w:type="pct"/>
            <w:shd w:val="clear" w:color="auto" w:fill="auto"/>
            <w:vAlign w:val="bottom"/>
          </w:tcPr>
          <w:p w14:paraId="392C87B4" w14:textId="77777777" w:rsidR="00980E5F" w:rsidRDefault="00980E5F">
            <w:pPr>
              <w:rPr>
                <w:rFonts w:ascii="宋体"/>
              </w:rPr>
            </w:pPr>
          </w:p>
        </w:tc>
        <w:tc>
          <w:tcPr>
            <w:tcW w:w="5" w:type="pct"/>
            <w:shd w:val="clear" w:color="auto" w:fill="auto"/>
            <w:vAlign w:val="bottom"/>
          </w:tcPr>
          <w:p w14:paraId="392C87B5" w14:textId="77777777" w:rsidR="00980E5F" w:rsidRDefault="00980E5F">
            <w:pPr>
              <w:rPr>
                <w:rFonts w:ascii="宋体"/>
              </w:rPr>
            </w:pPr>
          </w:p>
        </w:tc>
        <w:tc>
          <w:tcPr>
            <w:tcW w:w="0" w:type="auto"/>
            <w:gridSpan w:val="3"/>
            <w:shd w:val="clear" w:color="auto" w:fill="auto"/>
            <w:vAlign w:val="bottom"/>
          </w:tcPr>
          <w:p w14:paraId="392C87B6" w14:textId="77777777" w:rsidR="00980E5F" w:rsidRDefault="00980E5F">
            <w:pPr>
              <w:rPr>
                <w:rFonts w:ascii="宋体"/>
                <w:vanish/>
              </w:rPr>
            </w:pPr>
          </w:p>
        </w:tc>
        <w:tc>
          <w:tcPr>
            <w:tcW w:w="0" w:type="auto"/>
            <w:gridSpan w:val="3"/>
            <w:shd w:val="clear" w:color="auto" w:fill="auto"/>
            <w:vAlign w:val="bottom"/>
          </w:tcPr>
          <w:p w14:paraId="392C87B7" w14:textId="77777777" w:rsidR="00980E5F" w:rsidRDefault="00980E5F">
            <w:pPr>
              <w:rPr>
                <w:rFonts w:ascii="宋体"/>
                <w:vanish/>
              </w:rPr>
            </w:pPr>
          </w:p>
        </w:tc>
      </w:tr>
      <w:tr w:rsidR="00980E5F" w14:paraId="392C87CB" w14:textId="77777777">
        <w:tc>
          <w:tcPr>
            <w:tcW w:w="0" w:type="auto"/>
            <w:gridSpan w:val="3"/>
            <w:shd w:val="clear" w:color="auto" w:fill="auto"/>
            <w:tcMar>
              <w:top w:w="0" w:type="dxa"/>
              <w:left w:w="20" w:type="dxa"/>
              <w:bottom w:w="0" w:type="dxa"/>
              <w:right w:w="20" w:type="dxa"/>
            </w:tcMar>
            <w:vAlign w:val="bottom"/>
          </w:tcPr>
          <w:p w14:paraId="392C87B9"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7BA"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shd w:val="clear" w:color="auto" w:fill="auto"/>
            <w:tcMar>
              <w:top w:w="0" w:type="dxa"/>
              <w:left w:w="20" w:type="dxa"/>
              <w:bottom w:w="0" w:type="dxa"/>
              <w:right w:w="20" w:type="dxa"/>
            </w:tcMar>
            <w:vAlign w:val="bottom"/>
          </w:tcPr>
          <w:p w14:paraId="392C87BB"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87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BD"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7BE" w14:textId="77777777" w:rsidR="00980E5F" w:rsidRDefault="00483613">
            <w:pPr>
              <w:jc w:val="center"/>
              <w:textAlignment w:val="bottom"/>
            </w:pPr>
            <w:r>
              <w:rPr>
                <w:rFonts w:ascii="Arial" w:eastAsia="宋体" w:hAnsi="Arial" w:cs="Arial"/>
                <w:b/>
                <w:bCs/>
                <w:color w:val="000000"/>
                <w:sz w:val="13"/>
                <w:szCs w:val="13"/>
              </w:rPr>
              <w:t>Three Months Ended June 30,</w:t>
            </w:r>
          </w:p>
        </w:tc>
        <w:tc>
          <w:tcPr>
            <w:tcW w:w="0" w:type="auto"/>
            <w:shd w:val="clear" w:color="auto" w:fill="auto"/>
            <w:vAlign w:val="bottom"/>
          </w:tcPr>
          <w:p w14:paraId="392C87BF" w14:textId="77777777" w:rsidR="00980E5F" w:rsidRDefault="00980E5F">
            <w:pPr>
              <w:rPr>
                <w:rFonts w:ascii="宋体"/>
              </w:rPr>
            </w:pPr>
          </w:p>
        </w:tc>
        <w:tc>
          <w:tcPr>
            <w:tcW w:w="0" w:type="auto"/>
            <w:shd w:val="clear" w:color="auto" w:fill="auto"/>
            <w:vAlign w:val="bottom"/>
          </w:tcPr>
          <w:p w14:paraId="392C87C0" w14:textId="77777777" w:rsidR="00980E5F" w:rsidRDefault="00980E5F">
            <w:pPr>
              <w:rPr>
                <w:rFonts w:ascii="宋体"/>
              </w:rPr>
            </w:pPr>
          </w:p>
        </w:tc>
        <w:tc>
          <w:tcPr>
            <w:tcW w:w="0" w:type="auto"/>
            <w:shd w:val="clear" w:color="auto" w:fill="auto"/>
            <w:vAlign w:val="bottom"/>
          </w:tcPr>
          <w:p w14:paraId="392C87C1" w14:textId="77777777" w:rsidR="00980E5F" w:rsidRDefault="00980E5F">
            <w:pPr>
              <w:rPr>
                <w:rFonts w:ascii="宋体"/>
              </w:rPr>
            </w:pPr>
          </w:p>
        </w:tc>
        <w:tc>
          <w:tcPr>
            <w:tcW w:w="0" w:type="auto"/>
            <w:shd w:val="clear" w:color="auto" w:fill="auto"/>
            <w:vAlign w:val="bottom"/>
          </w:tcPr>
          <w:p w14:paraId="392C87C2" w14:textId="77777777" w:rsidR="00980E5F" w:rsidRDefault="00980E5F">
            <w:pPr>
              <w:rPr>
                <w:rFonts w:ascii="宋体"/>
              </w:rPr>
            </w:pPr>
          </w:p>
        </w:tc>
        <w:tc>
          <w:tcPr>
            <w:tcW w:w="0" w:type="auto"/>
            <w:shd w:val="clear" w:color="auto" w:fill="auto"/>
            <w:vAlign w:val="bottom"/>
          </w:tcPr>
          <w:p w14:paraId="392C87C3" w14:textId="77777777" w:rsidR="00980E5F" w:rsidRDefault="00980E5F">
            <w:pPr>
              <w:rPr>
                <w:rFonts w:ascii="宋体"/>
              </w:rPr>
            </w:pPr>
          </w:p>
        </w:tc>
        <w:tc>
          <w:tcPr>
            <w:tcW w:w="0" w:type="auto"/>
            <w:shd w:val="clear" w:color="auto" w:fill="auto"/>
            <w:vAlign w:val="bottom"/>
          </w:tcPr>
          <w:p w14:paraId="392C87C4" w14:textId="77777777" w:rsidR="00980E5F" w:rsidRDefault="00980E5F">
            <w:pPr>
              <w:rPr>
                <w:rFonts w:ascii="宋体"/>
              </w:rPr>
            </w:pPr>
          </w:p>
        </w:tc>
        <w:tc>
          <w:tcPr>
            <w:tcW w:w="0" w:type="auto"/>
            <w:shd w:val="clear" w:color="auto" w:fill="auto"/>
            <w:vAlign w:val="bottom"/>
          </w:tcPr>
          <w:p w14:paraId="392C87C5" w14:textId="77777777" w:rsidR="00980E5F" w:rsidRDefault="00980E5F">
            <w:pPr>
              <w:rPr>
                <w:rFonts w:ascii="宋体"/>
              </w:rPr>
            </w:pPr>
          </w:p>
        </w:tc>
        <w:tc>
          <w:tcPr>
            <w:tcW w:w="0" w:type="auto"/>
            <w:shd w:val="clear" w:color="auto" w:fill="auto"/>
            <w:vAlign w:val="bottom"/>
          </w:tcPr>
          <w:p w14:paraId="392C87C6" w14:textId="77777777" w:rsidR="00980E5F" w:rsidRDefault="00980E5F">
            <w:pPr>
              <w:rPr>
                <w:rFonts w:ascii="宋体"/>
              </w:rPr>
            </w:pPr>
          </w:p>
        </w:tc>
        <w:tc>
          <w:tcPr>
            <w:tcW w:w="0" w:type="auto"/>
            <w:shd w:val="clear" w:color="auto" w:fill="auto"/>
            <w:vAlign w:val="bottom"/>
          </w:tcPr>
          <w:p w14:paraId="392C87C7" w14:textId="77777777" w:rsidR="00980E5F" w:rsidRDefault="00980E5F">
            <w:pPr>
              <w:rPr>
                <w:rFonts w:ascii="宋体"/>
              </w:rPr>
            </w:pPr>
          </w:p>
        </w:tc>
        <w:tc>
          <w:tcPr>
            <w:tcW w:w="0" w:type="auto"/>
            <w:shd w:val="clear" w:color="auto" w:fill="auto"/>
            <w:vAlign w:val="bottom"/>
          </w:tcPr>
          <w:p w14:paraId="392C87C8" w14:textId="77777777" w:rsidR="00980E5F" w:rsidRDefault="00980E5F">
            <w:pPr>
              <w:rPr>
                <w:rFonts w:ascii="宋体"/>
              </w:rPr>
            </w:pPr>
          </w:p>
        </w:tc>
        <w:tc>
          <w:tcPr>
            <w:tcW w:w="0" w:type="auto"/>
            <w:shd w:val="clear" w:color="auto" w:fill="auto"/>
            <w:vAlign w:val="bottom"/>
          </w:tcPr>
          <w:p w14:paraId="392C87C9" w14:textId="77777777" w:rsidR="00980E5F" w:rsidRDefault="00980E5F">
            <w:pPr>
              <w:rPr>
                <w:rFonts w:ascii="宋体"/>
              </w:rPr>
            </w:pPr>
          </w:p>
        </w:tc>
        <w:tc>
          <w:tcPr>
            <w:tcW w:w="0" w:type="auto"/>
            <w:shd w:val="clear" w:color="auto" w:fill="auto"/>
            <w:vAlign w:val="bottom"/>
          </w:tcPr>
          <w:p w14:paraId="392C87CA" w14:textId="77777777" w:rsidR="00980E5F" w:rsidRDefault="00980E5F">
            <w:pPr>
              <w:rPr>
                <w:rFonts w:ascii="宋体"/>
              </w:rPr>
            </w:pPr>
          </w:p>
        </w:tc>
      </w:tr>
      <w:tr w:rsidR="00980E5F" w14:paraId="392C87DA" w14:textId="77777777">
        <w:trPr>
          <w:trHeight w:val="220"/>
        </w:trPr>
        <w:tc>
          <w:tcPr>
            <w:tcW w:w="0" w:type="auto"/>
            <w:gridSpan w:val="3"/>
            <w:shd w:val="clear" w:color="auto" w:fill="auto"/>
            <w:tcMar>
              <w:top w:w="0" w:type="dxa"/>
              <w:left w:w="20" w:type="dxa"/>
              <w:bottom w:w="0" w:type="dxa"/>
              <w:right w:w="20" w:type="dxa"/>
            </w:tcMar>
            <w:vAlign w:val="bottom"/>
          </w:tcPr>
          <w:p w14:paraId="392C87C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7CD"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CE"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7CF" w14:textId="77777777" w:rsidR="00980E5F" w:rsidRDefault="00483613">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392C87D0" w14:textId="77777777" w:rsidR="00980E5F" w:rsidRDefault="00980E5F">
            <w:pPr>
              <w:rPr>
                <w:rFonts w:ascii="宋体"/>
                <w:vanish/>
              </w:rPr>
            </w:pPr>
          </w:p>
        </w:tc>
        <w:tc>
          <w:tcPr>
            <w:tcW w:w="0" w:type="auto"/>
            <w:shd w:val="clear" w:color="auto" w:fill="auto"/>
            <w:vAlign w:val="bottom"/>
          </w:tcPr>
          <w:p w14:paraId="392C87D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7D2" w14:textId="77777777" w:rsidR="00980E5F" w:rsidRDefault="00980E5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92C87D3" w14:textId="77777777" w:rsidR="00980E5F" w:rsidRDefault="00483613">
            <w:pPr>
              <w:jc w:val="center"/>
              <w:textAlignment w:val="bottom"/>
            </w:pPr>
            <w:r>
              <w:rPr>
                <w:rFonts w:ascii="Arial" w:eastAsia="宋体" w:hAnsi="Arial" w:cs="Arial"/>
                <w:b/>
                <w:bCs/>
                <w:color w:val="000000"/>
                <w:sz w:val="13"/>
                <w:szCs w:val="13"/>
              </w:rPr>
              <w:t xml:space="preserve">Location of Gain or (Loss) </w:t>
            </w:r>
            <w:r>
              <w:rPr>
                <w:rFonts w:ascii="Arial" w:eastAsia="宋体" w:hAnsi="Arial" w:cs="Arial"/>
                <w:b/>
                <w:bCs/>
                <w:color w:val="000000"/>
                <w:sz w:val="13"/>
                <w:szCs w:val="13"/>
              </w:rPr>
              <w:t>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392C87D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7D5"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D6"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7D7"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C87D8" w14:textId="77777777" w:rsidR="00980E5F" w:rsidRDefault="00980E5F">
            <w:pPr>
              <w:rPr>
                <w:rFonts w:ascii="宋体"/>
                <w:vanish/>
              </w:rPr>
            </w:pPr>
          </w:p>
        </w:tc>
        <w:tc>
          <w:tcPr>
            <w:tcW w:w="0" w:type="auto"/>
            <w:gridSpan w:val="3"/>
            <w:shd w:val="clear" w:color="auto" w:fill="auto"/>
            <w:vAlign w:val="bottom"/>
          </w:tcPr>
          <w:p w14:paraId="392C87D9" w14:textId="77777777" w:rsidR="00980E5F" w:rsidRDefault="00980E5F">
            <w:pPr>
              <w:rPr>
                <w:rFonts w:ascii="宋体"/>
                <w:vanish/>
              </w:rPr>
            </w:pPr>
          </w:p>
        </w:tc>
      </w:tr>
      <w:tr w:rsidR="00980E5F" w14:paraId="392C87EF" w14:textId="77777777">
        <w:trPr>
          <w:trHeight w:val="460"/>
        </w:trPr>
        <w:tc>
          <w:tcPr>
            <w:tcW w:w="0" w:type="auto"/>
            <w:gridSpan w:val="3"/>
            <w:shd w:val="clear" w:color="auto" w:fill="auto"/>
            <w:tcMar>
              <w:top w:w="40" w:type="dxa"/>
              <w:left w:w="20" w:type="dxa"/>
              <w:bottom w:w="40" w:type="dxa"/>
              <w:right w:w="20" w:type="dxa"/>
            </w:tcMar>
            <w:vAlign w:val="bottom"/>
          </w:tcPr>
          <w:p w14:paraId="392C87DB"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7DC" w14:textId="77777777" w:rsidR="00980E5F" w:rsidRDefault="00483613">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Mar>
              <w:top w:w="0" w:type="dxa"/>
              <w:left w:w="20" w:type="dxa"/>
              <w:bottom w:w="0" w:type="dxa"/>
              <w:right w:w="20" w:type="dxa"/>
            </w:tcMar>
            <w:vAlign w:val="bottom"/>
          </w:tcPr>
          <w:p w14:paraId="392C87DD"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87DE"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7DF" w14:textId="77777777" w:rsidR="00980E5F" w:rsidRDefault="00483613">
            <w:pPr>
              <w:jc w:val="center"/>
              <w:textAlignment w:val="bottom"/>
            </w:pPr>
            <w:r>
              <w:rPr>
                <w:rFonts w:ascii="Arial" w:eastAsia="宋体" w:hAnsi="Arial" w:cs="Arial"/>
                <w:b/>
                <w:bCs/>
                <w:color w:val="000000"/>
                <w:sz w:val="13"/>
                <w:szCs w:val="13"/>
              </w:rPr>
              <w:t>Amount of Gain or (Loss) Reclassified from Accumulated Other Co</w:t>
            </w:r>
            <w:r>
              <w:rPr>
                <w:rFonts w:ascii="Arial" w:eastAsia="宋体" w:hAnsi="Arial" w:cs="Arial"/>
                <w:b/>
                <w:bCs/>
                <w:color w:val="000000"/>
                <w:sz w:val="13"/>
                <w:szCs w:val="13"/>
              </w:rPr>
              <w:t>mprehensive Income into Income</w:t>
            </w:r>
          </w:p>
        </w:tc>
        <w:tc>
          <w:tcPr>
            <w:tcW w:w="0" w:type="auto"/>
            <w:shd w:val="clear" w:color="auto" w:fill="auto"/>
            <w:vAlign w:val="bottom"/>
          </w:tcPr>
          <w:p w14:paraId="392C87E0" w14:textId="77777777" w:rsidR="00980E5F" w:rsidRDefault="00980E5F">
            <w:pPr>
              <w:rPr>
                <w:rFonts w:ascii="宋体"/>
              </w:rPr>
            </w:pPr>
          </w:p>
        </w:tc>
        <w:tc>
          <w:tcPr>
            <w:tcW w:w="0" w:type="auto"/>
            <w:shd w:val="clear" w:color="auto" w:fill="auto"/>
            <w:vAlign w:val="bottom"/>
          </w:tcPr>
          <w:p w14:paraId="392C87E1" w14:textId="77777777" w:rsidR="00980E5F" w:rsidRDefault="00980E5F">
            <w:pPr>
              <w:rPr>
                <w:rFonts w:ascii="宋体"/>
              </w:rPr>
            </w:pPr>
          </w:p>
        </w:tc>
        <w:tc>
          <w:tcPr>
            <w:tcW w:w="0" w:type="auto"/>
            <w:shd w:val="clear" w:color="auto" w:fill="auto"/>
            <w:vAlign w:val="bottom"/>
          </w:tcPr>
          <w:p w14:paraId="392C87E2" w14:textId="77777777" w:rsidR="00980E5F" w:rsidRDefault="00980E5F">
            <w:pPr>
              <w:rPr>
                <w:rFonts w:ascii="宋体"/>
              </w:rPr>
            </w:pPr>
          </w:p>
        </w:tc>
        <w:tc>
          <w:tcPr>
            <w:tcW w:w="0" w:type="auto"/>
            <w:shd w:val="clear" w:color="auto" w:fill="auto"/>
            <w:vAlign w:val="bottom"/>
          </w:tcPr>
          <w:p w14:paraId="392C87E3" w14:textId="77777777" w:rsidR="00980E5F" w:rsidRDefault="00980E5F">
            <w:pPr>
              <w:rPr>
                <w:rFonts w:ascii="宋体"/>
              </w:rPr>
            </w:pPr>
          </w:p>
        </w:tc>
        <w:tc>
          <w:tcPr>
            <w:tcW w:w="0" w:type="auto"/>
            <w:shd w:val="clear" w:color="auto" w:fill="auto"/>
            <w:vAlign w:val="bottom"/>
          </w:tcPr>
          <w:p w14:paraId="392C87E4" w14:textId="77777777" w:rsidR="00980E5F" w:rsidRDefault="00980E5F">
            <w:pPr>
              <w:rPr>
                <w:rFonts w:ascii="宋体"/>
              </w:rPr>
            </w:pPr>
          </w:p>
        </w:tc>
        <w:tc>
          <w:tcPr>
            <w:tcW w:w="0" w:type="auto"/>
            <w:shd w:val="clear" w:color="auto" w:fill="auto"/>
            <w:vAlign w:val="bottom"/>
          </w:tcPr>
          <w:p w14:paraId="392C87E5" w14:textId="77777777" w:rsidR="00980E5F" w:rsidRDefault="00980E5F">
            <w:pPr>
              <w:rPr>
                <w:rFonts w:ascii="宋体"/>
              </w:rPr>
            </w:pPr>
          </w:p>
        </w:tc>
        <w:tc>
          <w:tcPr>
            <w:tcW w:w="0" w:type="auto"/>
            <w:shd w:val="clear" w:color="auto" w:fill="auto"/>
            <w:vAlign w:val="bottom"/>
          </w:tcPr>
          <w:p w14:paraId="392C87E6" w14:textId="77777777" w:rsidR="00980E5F" w:rsidRDefault="00980E5F">
            <w:pPr>
              <w:rPr>
                <w:rFonts w:ascii="宋体"/>
              </w:rPr>
            </w:pPr>
          </w:p>
        </w:tc>
        <w:tc>
          <w:tcPr>
            <w:tcW w:w="0" w:type="auto"/>
            <w:shd w:val="clear" w:color="auto" w:fill="auto"/>
            <w:vAlign w:val="bottom"/>
          </w:tcPr>
          <w:p w14:paraId="392C87E7" w14:textId="77777777" w:rsidR="00980E5F" w:rsidRDefault="00980E5F">
            <w:pPr>
              <w:rPr>
                <w:rFonts w:ascii="宋体"/>
              </w:rPr>
            </w:pPr>
          </w:p>
        </w:tc>
        <w:tc>
          <w:tcPr>
            <w:tcW w:w="0" w:type="auto"/>
            <w:shd w:val="clear" w:color="auto" w:fill="auto"/>
            <w:vAlign w:val="bottom"/>
          </w:tcPr>
          <w:p w14:paraId="392C87E8" w14:textId="77777777" w:rsidR="00980E5F" w:rsidRDefault="00980E5F">
            <w:pPr>
              <w:rPr>
                <w:rFonts w:ascii="宋体"/>
              </w:rPr>
            </w:pPr>
          </w:p>
        </w:tc>
        <w:tc>
          <w:tcPr>
            <w:tcW w:w="0" w:type="auto"/>
            <w:shd w:val="clear" w:color="auto" w:fill="auto"/>
            <w:vAlign w:val="bottom"/>
          </w:tcPr>
          <w:p w14:paraId="392C87E9" w14:textId="77777777" w:rsidR="00980E5F" w:rsidRDefault="00980E5F">
            <w:pPr>
              <w:rPr>
                <w:rFonts w:ascii="宋体"/>
              </w:rPr>
            </w:pPr>
          </w:p>
        </w:tc>
        <w:tc>
          <w:tcPr>
            <w:tcW w:w="0" w:type="auto"/>
            <w:shd w:val="clear" w:color="auto" w:fill="auto"/>
            <w:vAlign w:val="bottom"/>
          </w:tcPr>
          <w:p w14:paraId="392C87EA" w14:textId="77777777" w:rsidR="00980E5F" w:rsidRDefault="00980E5F">
            <w:pPr>
              <w:rPr>
                <w:rFonts w:ascii="宋体"/>
              </w:rPr>
            </w:pPr>
          </w:p>
        </w:tc>
        <w:tc>
          <w:tcPr>
            <w:tcW w:w="0" w:type="auto"/>
            <w:shd w:val="clear" w:color="auto" w:fill="auto"/>
            <w:vAlign w:val="bottom"/>
          </w:tcPr>
          <w:p w14:paraId="392C87EB" w14:textId="77777777" w:rsidR="00980E5F" w:rsidRDefault="00980E5F">
            <w:pPr>
              <w:rPr>
                <w:rFonts w:ascii="宋体"/>
              </w:rPr>
            </w:pPr>
          </w:p>
        </w:tc>
        <w:tc>
          <w:tcPr>
            <w:tcW w:w="0" w:type="auto"/>
            <w:shd w:val="clear" w:color="auto" w:fill="auto"/>
            <w:vAlign w:val="bottom"/>
          </w:tcPr>
          <w:p w14:paraId="392C87EC" w14:textId="77777777" w:rsidR="00980E5F" w:rsidRDefault="00980E5F">
            <w:pPr>
              <w:rPr>
                <w:rFonts w:ascii="宋体"/>
              </w:rPr>
            </w:pPr>
          </w:p>
        </w:tc>
        <w:tc>
          <w:tcPr>
            <w:tcW w:w="0" w:type="auto"/>
            <w:shd w:val="clear" w:color="auto" w:fill="auto"/>
            <w:vAlign w:val="bottom"/>
          </w:tcPr>
          <w:p w14:paraId="392C87ED" w14:textId="77777777" w:rsidR="00980E5F" w:rsidRDefault="00980E5F">
            <w:pPr>
              <w:rPr>
                <w:rFonts w:ascii="宋体"/>
              </w:rPr>
            </w:pPr>
          </w:p>
        </w:tc>
        <w:tc>
          <w:tcPr>
            <w:tcW w:w="0" w:type="auto"/>
            <w:shd w:val="clear" w:color="auto" w:fill="auto"/>
            <w:vAlign w:val="bottom"/>
          </w:tcPr>
          <w:p w14:paraId="392C87EE" w14:textId="77777777" w:rsidR="00980E5F" w:rsidRDefault="00980E5F">
            <w:pPr>
              <w:rPr>
                <w:rFonts w:ascii="宋体"/>
              </w:rPr>
            </w:pPr>
          </w:p>
        </w:tc>
      </w:tr>
      <w:tr w:rsidR="00980E5F" w14:paraId="392C87FE" w14:textId="77777777">
        <w:tc>
          <w:tcPr>
            <w:tcW w:w="0" w:type="auto"/>
            <w:gridSpan w:val="3"/>
            <w:shd w:val="clear" w:color="auto" w:fill="auto"/>
            <w:tcMar>
              <w:top w:w="40" w:type="dxa"/>
              <w:left w:w="20" w:type="dxa"/>
              <w:bottom w:w="40" w:type="dxa"/>
              <w:right w:w="20" w:type="dxa"/>
            </w:tcMar>
            <w:vAlign w:val="bottom"/>
          </w:tcPr>
          <w:p w14:paraId="392C87F0" w14:textId="77777777" w:rsidR="00980E5F" w:rsidRDefault="00483613">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3" w14:textId="77777777" w:rsidR="00980E5F" w:rsidRDefault="00980E5F">
            <w:pPr>
              <w:rPr>
                <w:rFonts w:ascii="宋体"/>
              </w:rPr>
            </w:pPr>
          </w:p>
        </w:tc>
        <w:tc>
          <w:tcPr>
            <w:tcW w:w="0" w:type="auto"/>
            <w:shd w:val="clear" w:color="auto" w:fill="auto"/>
            <w:vAlign w:val="bottom"/>
          </w:tcPr>
          <w:p w14:paraId="392C87F4" w14:textId="77777777" w:rsidR="00980E5F" w:rsidRDefault="00980E5F">
            <w:pPr>
              <w:rPr>
                <w:rFonts w:ascii="宋体"/>
                <w:vanish/>
              </w:rPr>
            </w:pPr>
          </w:p>
        </w:tc>
        <w:tc>
          <w:tcPr>
            <w:tcW w:w="0" w:type="auto"/>
            <w:shd w:val="clear" w:color="auto" w:fill="auto"/>
            <w:vAlign w:val="bottom"/>
          </w:tcPr>
          <w:p w14:paraId="392C87F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7F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7F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7FB" w14:textId="77777777" w:rsidR="00980E5F" w:rsidRDefault="00980E5F">
            <w:pPr>
              <w:rPr>
                <w:rFonts w:ascii="宋体"/>
              </w:rPr>
            </w:pPr>
          </w:p>
        </w:tc>
        <w:tc>
          <w:tcPr>
            <w:tcW w:w="0" w:type="auto"/>
            <w:gridSpan w:val="3"/>
            <w:shd w:val="clear" w:color="auto" w:fill="auto"/>
            <w:vAlign w:val="bottom"/>
          </w:tcPr>
          <w:p w14:paraId="392C87FC" w14:textId="77777777" w:rsidR="00980E5F" w:rsidRDefault="00980E5F">
            <w:pPr>
              <w:rPr>
                <w:rFonts w:ascii="宋体"/>
                <w:vanish/>
              </w:rPr>
            </w:pPr>
          </w:p>
        </w:tc>
        <w:tc>
          <w:tcPr>
            <w:tcW w:w="0" w:type="auto"/>
            <w:gridSpan w:val="3"/>
            <w:shd w:val="clear" w:color="auto" w:fill="auto"/>
            <w:vAlign w:val="bottom"/>
          </w:tcPr>
          <w:p w14:paraId="392C87FD" w14:textId="77777777" w:rsidR="00980E5F" w:rsidRDefault="00980E5F">
            <w:pPr>
              <w:rPr>
                <w:rFonts w:ascii="宋体"/>
                <w:vanish/>
              </w:rPr>
            </w:pPr>
          </w:p>
        </w:tc>
      </w:tr>
      <w:tr w:rsidR="00980E5F" w14:paraId="392C8815" w14:textId="77777777">
        <w:tc>
          <w:tcPr>
            <w:tcW w:w="0" w:type="auto"/>
            <w:gridSpan w:val="3"/>
            <w:shd w:val="clear" w:color="auto" w:fill="CCEEFF"/>
            <w:tcMar>
              <w:top w:w="40" w:type="dxa"/>
              <w:left w:w="20" w:type="dxa"/>
              <w:bottom w:w="40" w:type="dxa"/>
              <w:right w:w="20" w:type="dxa"/>
            </w:tcMar>
            <w:vAlign w:val="bottom"/>
          </w:tcPr>
          <w:p w14:paraId="392C87FF" w14:textId="77777777" w:rsidR="00980E5F" w:rsidRDefault="00483613">
            <w:pP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392C8800"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01" w14:textId="77777777" w:rsidR="00980E5F" w:rsidRDefault="00483613">
            <w:pPr>
              <w:jc w:val="right"/>
              <w:textAlignment w:val="bottom"/>
            </w:pPr>
            <w:r>
              <w:rPr>
                <w:rFonts w:ascii="Arial" w:eastAsia="宋体" w:hAnsi="Arial" w:cs="Arial"/>
                <w:b/>
                <w:bCs/>
                <w:color w:val="000000"/>
                <w:sz w:val="13"/>
                <w:szCs w:val="13"/>
              </w:rPr>
              <w:t>(92)</w:t>
            </w:r>
          </w:p>
        </w:tc>
        <w:tc>
          <w:tcPr>
            <w:tcW w:w="0" w:type="auto"/>
            <w:shd w:val="clear" w:color="auto" w:fill="CCEEFF"/>
            <w:tcMar>
              <w:top w:w="40" w:type="dxa"/>
              <w:left w:w="0" w:type="dxa"/>
              <w:bottom w:w="40" w:type="dxa"/>
              <w:right w:w="20" w:type="dxa"/>
            </w:tcMar>
            <w:vAlign w:val="bottom"/>
          </w:tcPr>
          <w:p w14:paraId="392C880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0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04"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805" w14:textId="77777777" w:rsidR="00980E5F" w:rsidRDefault="00483613">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392C8806" w14:textId="77777777" w:rsidR="00980E5F" w:rsidRDefault="00980E5F">
            <w:pPr>
              <w:jc w:val="right"/>
              <w:rPr>
                <w:rFonts w:ascii="宋体"/>
              </w:rPr>
            </w:pPr>
          </w:p>
        </w:tc>
        <w:tc>
          <w:tcPr>
            <w:tcW w:w="0" w:type="auto"/>
            <w:shd w:val="clear" w:color="auto" w:fill="auto"/>
            <w:vAlign w:val="bottom"/>
          </w:tcPr>
          <w:p w14:paraId="392C8807" w14:textId="77777777" w:rsidR="00980E5F" w:rsidRDefault="00980E5F">
            <w:pPr>
              <w:rPr>
                <w:rFonts w:ascii="宋体"/>
                <w:vanish/>
              </w:rPr>
            </w:pPr>
          </w:p>
        </w:tc>
        <w:tc>
          <w:tcPr>
            <w:tcW w:w="0" w:type="auto"/>
            <w:shd w:val="clear" w:color="auto" w:fill="auto"/>
            <w:vAlign w:val="bottom"/>
          </w:tcPr>
          <w:p w14:paraId="392C8808"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809"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80A" w14:textId="77777777" w:rsidR="00980E5F" w:rsidRDefault="00483613">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80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0C"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0D" w14:textId="77777777" w:rsidR="00980E5F" w:rsidRDefault="00483613">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8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0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10"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811" w14:textId="77777777" w:rsidR="00980E5F" w:rsidRDefault="00483613">
            <w:pPr>
              <w:jc w:val="right"/>
              <w:textAlignment w:val="bottom"/>
            </w:pPr>
            <w:r>
              <w:rPr>
                <w:rFonts w:ascii="Arial" w:eastAsia="宋体" w:hAnsi="Arial" w:cs="Arial"/>
                <w:color w:val="000000"/>
                <w:sz w:val="13"/>
                <w:szCs w:val="13"/>
              </w:rPr>
              <w:t>22 </w:t>
            </w:r>
          </w:p>
        </w:tc>
        <w:tc>
          <w:tcPr>
            <w:tcW w:w="0" w:type="auto"/>
            <w:shd w:val="clear" w:color="auto" w:fill="CCEEFF"/>
            <w:tcMar>
              <w:top w:w="40" w:type="dxa"/>
              <w:left w:w="0" w:type="dxa"/>
              <w:bottom w:w="40" w:type="dxa"/>
              <w:right w:w="20" w:type="dxa"/>
            </w:tcMar>
            <w:vAlign w:val="bottom"/>
          </w:tcPr>
          <w:p w14:paraId="392C8812" w14:textId="77777777" w:rsidR="00980E5F" w:rsidRDefault="00980E5F">
            <w:pPr>
              <w:jc w:val="right"/>
              <w:rPr>
                <w:rFonts w:ascii="宋体"/>
              </w:rPr>
            </w:pPr>
          </w:p>
        </w:tc>
        <w:tc>
          <w:tcPr>
            <w:tcW w:w="0" w:type="auto"/>
            <w:gridSpan w:val="3"/>
            <w:shd w:val="clear" w:color="auto" w:fill="auto"/>
            <w:vAlign w:val="bottom"/>
          </w:tcPr>
          <w:p w14:paraId="392C8813" w14:textId="77777777" w:rsidR="00980E5F" w:rsidRDefault="00980E5F">
            <w:pPr>
              <w:rPr>
                <w:rFonts w:ascii="宋体"/>
                <w:vanish/>
              </w:rPr>
            </w:pPr>
          </w:p>
        </w:tc>
        <w:tc>
          <w:tcPr>
            <w:tcW w:w="0" w:type="auto"/>
            <w:gridSpan w:val="3"/>
            <w:shd w:val="clear" w:color="auto" w:fill="auto"/>
            <w:vAlign w:val="bottom"/>
          </w:tcPr>
          <w:p w14:paraId="392C8814" w14:textId="77777777" w:rsidR="00980E5F" w:rsidRDefault="00980E5F">
            <w:pPr>
              <w:rPr>
                <w:rFonts w:ascii="宋体"/>
                <w:vanish/>
              </w:rPr>
            </w:pPr>
          </w:p>
        </w:tc>
      </w:tr>
      <w:tr w:rsidR="00980E5F" w14:paraId="392C8828" w14:textId="77777777">
        <w:tc>
          <w:tcPr>
            <w:tcW w:w="0" w:type="auto"/>
            <w:gridSpan w:val="3"/>
            <w:shd w:val="clear" w:color="auto" w:fill="FFFFFF"/>
            <w:tcMar>
              <w:top w:w="40" w:type="dxa"/>
              <w:left w:w="20" w:type="dxa"/>
              <w:bottom w:w="40" w:type="dxa"/>
              <w:right w:w="20" w:type="dxa"/>
            </w:tcMar>
            <w:vAlign w:val="bottom"/>
          </w:tcPr>
          <w:p w14:paraId="392C8816" w14:textId="77777777" w:rsidR="00980E5F" w:rsidRDefault="00483613">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392C8817" w14:textId="77777777" w:rsidR="00980E5F" w:rsidRDefault="00483613">
            <w:pPr>
              <w:jc w:val="right"/>
              <w:textAlignment w:val="bottom"/>
            </w:pPr>
            <w:r>
              <w:rPr>
                <w:rFonts w:ascii="Arial" w:eastAsia="宋体" w:hAnsi="Arial" w:cs="Arial"/>
                <w:b/>
                <w:bCs/>
                <w:color w:val="000000"/>
                <w:sz w:val="13"/>
                <w:szCs w:val="13"/>
              </w:rPr>
              <w:t>129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88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8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81A" w14:textId="77777777" w:rsidR="00980E5F" w:rsidRDefault="00483613">
            <w:pPr>
              <w:jc w:val="right"/>
              <w:textAlignment w:val="bottom"/>
            </w:pPr>
            <w:r>
              <w:rPr>
                <w:rFonts w:ascii="Arial" w:eastAsia="宋体" w:hAnsi="Arial" w:cs="Arial"/>
                <w:color w:val="000000"/>
                <w:sz w:val="13"/>
                <w:szCs w:val="13"/>
              </w:rPr>
              <w:t>7 </w:t>
            </w:r>
          </w:p>
        </w:tc>
        <w:tc>
          <w:tcPr>
            <w:tcW w:w="0" w:type="auto"/>
            <w:shd w:val="clear" w:color="auto" w:fill="FFFFFF"/>
            <w:tcMar>
              <w:top w:w="40" w:type="dxa"/>
              <w:left w:w="0" w:type="dxa"/>
              <w:bottom w:w="40" w:type="dxa"/>
              <w:right w:w="20" w:type="dxa"/>
            </w:tcMar>
            <w:vAlign w:val="bottom"/>
          </w:tcPr>
          <w:p w14:paraId="392C881B" w14:textId="77777777" w:rsidR="00980E5F" w:rsidRDefault="00980E5F">
            <w:pPr>
              <w:jc w:val="right"/>
              <w:rPr>
                <w:rFonts w:ascii="宋体"/>
              </w:rPr>
            </w:pPr>
          </w:p>
        </w:tc>
        <w:tc>
          <w:tcPr>
            <w:tcW w:w="0" w:type="auto"/>
            <w:shd w:val="clear" w:color="auto" w:fill="auto"/>
            <w:vAlign w:val="bottom"/>
          </w:tcPr>
          <w:p w14:paraId="392C881C" w14:textId="77777777" w:rsidR="00980E5F" w:rsidRDefault="00980E5F">
            <w:pPr>
              <w:rPr>
                <w:rFonts w:ascii="宋体"/>
                <w:vanish/>
              </w:rPr>
            </w:pPr>
          </w:p>
        </w:tc>
        <w:tc>
          <w:tcPr>
            <w:tcW w:w="0" w:type="auto"/>
            <w:shd w:val="clear" w:color="auto" w:fill="auto"/>
            <w:vAlign w:val="bottom"/>
          </w:tcPr>
          <w:p w14:paraId="392C881D"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81E"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881F" w14:textId="77777777" w:rsidR="00980E5F" w:rsidRDefault="00483613">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392C88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821" w14:textId="77777777" w:rsidR="00980E5F" w:rsidRDefault="00483613">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88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8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824" w14:textId="77777777" w:rsidR="00980E5F" w:rsidRDefault="00483613">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392C8825" w14:textId="77777777" w:rsidR="00980E5F" w:rsidRDefault="00980E5F">
            <w:pPr>
              <w:jc w:val="right"/>
              <w:rPr>
                <w:rFonts w:ascii="宋体"/>
              </w:rPr>
            </w:pPr>
          </w:p>
        </w:tc>
        <w:tc>
          <w:tcPr>
            <w:tcW w:w="0" w:type="auto"/>
            <w:gridSpan w:val="3"/>
            <w:shd w:val="clear" w:color="auto" w:fill="auto"/>
            <w:vAlign w:val="bottom"/>
          </w:tcPr>
          <w:p w14:paraId="392C8826" w14:textId="77777777" w:rsidR="00980E5F" w:rsidRDefault="00980E5F">
            <w:pPr>
              <w:rPr>
                <w:rFonts w:ascii="宋体"/>
                <w:vanish/>
              </w:rPr>
            </w:pPr>
          </w:p>
        </w:tc>
        <w:tc>
          <w:tcPr>
            <w:tcW w:w="0" w:type="auto"/>
            <w:gridSpan w:val="3"/>
            <w:shd w:val="clear" w:color="auto" w:fill="auto"/>
            <w:vAlign w:val="bottom"/>
          </w:tcPr>
          <w:p w14:paraId="392C8827" w14:textId="77777777" w:rsidR="00980E5F" w:rsidRDefault="00980E5F">
            <w:pPr>
              <w:rPr>
                <w:rFonts w:ascii="宋体"/>
                <w:vanish/>
              </w:rPr>
            </w:pPr>
          </w:p>
        </w:tc>
      </w:tr>
      <w:tr w:rsidR="00980E5F" w14:paraId="392C883F" w14:textId="77777777">
        <w:tc>
          <w:tcPr>
            <w:tcW w:w="0" w:type="auto"/>
            <w:gridSpan w:val="3"/>
            <w:shd w:val="clear" w:color="auto" w:fill="CCEEFF"/>
            <w:tcMar>
              <w:top w:w="40" w:type="dxa"/>
              <w:left w:w="20" w:type="dxa"/>
              <w:bottom w:w="40" w:type="dxa"/>
              <w:right w:w="20" w:type="dxa"/>
            </w:tcMar>
            <w:vAlign w:val="bottom"/>
          </w:tcPr>
          <w:p w14:paraId="392C8829" w14:textId="77777777" w:rsidR="00980E5F" w:rsidRDefault="00483613">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82A"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2B" w14:textId="77777777" w:rsidR="00980E5F" w:rsidRDefault="00483613">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2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2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2F" w14:textId="77777777" w:rsidR="00980E5F" w:rsidRDefault="00483613">
            <w:pPr>
              <w:jc w:val="right"/>
              <w:textAlignment w:val="bottom"/>
            </w:pPr>
            <w:r>
              <w:rPr>
                <w:rFonts w:ascii="Arial" w:eastAsia="宋体" w:hAnsi="Arial" w:cs="Arial"/>
                <w:color w:val="000000"/>
                <w:sz w:val="13"/>
                <w:szCs w:val="13"/>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30" w14:textId="77777777" w:rsidR="00980E5F" w:rsidRDefault="00980E5F">
            <w:pPr>
              <w:jc w:val="right"/>
              <w:rPr>
                <w:rFonts w:ascii="宋体"/>
              </w:rPr>
            </w:pPr>
          </w:p>
        </w:tc>
        <w:tc>
          <w:tcPr>
            <w:tcW w:w="0" w:type="auto"/>
            <w:shd w:val="clear" w:color="auto" w:fill="auto"/>
            <w:vAlign w:val="bottom"/>
          </w:tcPr>
          <w:p w14:paraId="392C8831" w14:textId="77777777" w:rsidR="00980E5F" w:rsidRDefault="00980E5F">
            <w:pPr>
              <w:rPr>
                <w:rFonts w:ascii="宋体"/>
                <w:vanish/>
              </w:rPr>
            </w:pPr>
          </w:p>
        </w:tc>
        <w:tc>
          <w:tcPr>
            <w:tcW w:w="0" w:type="auto"/>
            <w:shd w:val="clear" w:color="auto" w:fill="auto"/>
            <w:vAlign w:val="bottom"/>
          </w:tcPr>
          <w:p w14:paraId="392C8832"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83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83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83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36"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37" w14:textId="77777777" w:rsidR="00980E5F" w:rsidRDefault="00483613">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3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3A"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3B" w14:textId="77777777" w:rsidR="00980E5F" w:rsidRDefault="00483613">
            <w:pPr>
              <w:jc w:val="right"/>
              <w:textAlignment w:val="bottom"/>
            </w:pPr>
            <w:r>
              <w:rPr>
                <w:rFonts w:ascii="Arial" w:eastAsia="宋体" w:hAnsi="Arial" w:cs="Arial"/>
                <w:color w:val="000000"/>
                <w:sz w:val="13"/>
                <w:szCs w:val="13"/>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3C" w14:textId="77777777" w:rsidR="00980E5F" w:rsidRDefault="00980E5F">
            <w:pPr>
              <w:jc w:val="right"/>
              <w:rPr>
                <w:rFonts w:ascii="宋体"/>
              </w:rPr>
            </w:pPr>
          </w:p>
        </w:tc>
        <w:tc>
          <w:tcPr>
            <w:tcW w:w="0" w:type="auto"/>
            <w:gridSpan w:val="3"/>
            <w:shd w:val="clear" w:color="auto" w:fill="auto"/>
            <w:vAlign w:val="bottom"/>
          </w:tcPr>
          <w:p w14:paraId="392C883D" w14:textId="77777777" w:rsidR="00980E5F" w:rsidRDefault="00980E5F">
            <w:pPr>
              <w:rPr>
                <w:rFonts w:ascii="宋体"/>
                <w:vanish/>
              </w:rPr>
            </w:pPr>
          </w:p>
        </w:tc>
        <w:tc>
          <w:tcPr>
            <w:tcW w:w="0" w:type="auto"/>
            <w:gridSpan w:val="3"/>
            <w:shd w:val="clear" w:color="auto" w:fill="auto"/>
            <w:vAlign w:val="bottom"/>
          </w:tcPr>
          <w:p w14:paraId="392C883E" w14:textId="77777777" w:rsidR="00980E5F" w:rsidRDefault="00980E5F">
            <w:pPr>
              <w:rPr>
                <w:rFonts w:ascii="宋体"/>
                <w:vanish/>
              </w:rPr>
            </w:pPr>
          </w:p>
        </w:tc>
      </w:tr>
      <w:tr w:rsidR="00980E5F" w14:paraId="392C884E" w14:textId="77777777">
        <w:trPr>
          <w:trHeight w:val="60"/>
        </w:trPr>
        <w:tc>
          <w:tcPr>
            <w:tcW w:w="0" w:type="auto"/>
            <w:gridSpan w:val="3"/>
            <w:shd w:val="clear" w:color="auto" w:fill="auto"/>
            <w:tcMar>
              <w:top w:w="0" w:type="dxa"/>
              <w:left w:w="20" w:type="dxa"/>
              <w:bottom w:w="0" w:type="dxa"/>
              <w:right w:w="20" w:type="dxa"/>
            </w:tcMar>
            <w:vAlign w:val="bottom"/>
          </w:tcPr>
          <w:p w14:paraId="392C884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4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4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43" w14:textId="77777777" w:rsidR="00980E5F" w:rsidRDefault="00980E5F">
            <w:pPr>
              <w:rPr>
                <w:rFonts w:ascii="宋体"/>
              </w:rPr>
            </w:pPr>
          </w:p>
        </w:tc>
        <w:tc>
          <w:tcPr>
            <w:tcW w:w="0" w:type="auto"/>
            <w:shd w:val="clear" w:color="auto" w:fill="auto"/>
            <w:vAlign w:val="bottom"/>
          </w:tcPr>
          <w:p w14:paraId="392C8844" w14:textId="77777777" w:rsidR="00980E5F" w:rsidRDefault="00980E5F">
            <w:pPr>
              <w:rPr>
                <w:rFonts w:ascii="宋体"/>
                <w:vanish/>
              </w:rPr>
            </w:pPr>
          </w:p>
        </w:tc>
        <w:tc>
          <w:tcPr>
            <w:tcW w:w="0" w:type="auto"/>
            <w:shd w:val="clear" w:color="auto" w:fill="auto"/>
            <w:vAlign w:val="bottom"/>
          </w:tcPr>
          <w:p w14:paraId="392C8845"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4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4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4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4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4B" w14:textId="77777777" w:rsidR="00980E5F" w:rsidRDefault="00980E5F">
            <w:pPr>
              <w:rPr>
                <w:rFonts w:ascii="宋体"/>
              </w:rPr>
            </w:pPr>
          </w:p>
        </w:tc>
        <w:tc>
          <w:tcPr>
            <w:tcW w:w="0" w:type="auto"/>
            <w:gridSpan w:val="3"/>
            <w:shd w:val="clear" w:color="auto" w:fill="auto"/>
            <w:vAlign w:val="bottom"/>
          </w:tcPr>
          <w:p w14:paraId="392C884C" w14:textId="77777777" w:rsidR="00980E5F" w:rsidRDefault="00980E5F">
            <w:pPr>
              <w:rPr>
                <w:rFonts w:ascii="宋体"/>
                <w:vanish/>
              </w:rPr>
            </w:pPr>
          </w:p>
        </w:tc>
        <w:tc>
          <w:tcPr>
            <w:tcW w:w="0" w:type="auto"/>
            <w:gridSpan w:val="3"/>
            <w:shd w:val="clear" w:color="auto" w:fill="auto"/>
            <w:vAlign w:val="bottom"/>
          </w:tcPr>
          <w:p w14:paraId="392C884D" w14:textId="77777777" w:rsidR="00980E5F" w:rsidRDefault="00980E5F">
            <w:pPr>
              <w:rPr>
                <w:rFonts w:ascii="宋体"/>
                <w:vanish/>
              </w:rPr>
            </w:pPr>
          </w:p>
        </w:tc>
      </w:tr>
      <w:tr w:rsidR="00980E5F" w14:paraId="392C885D" w14:textId="77777777">
        <w:tc>
          <w:tcPr>
            <w:tcW w:w="0" w:type="auto"/>
            <w:gridSpan w:val="3"/>
            <w:shd w:val="clear" w:color="auto" w:fill="auto"/>
            <w:tcMar>
              <w:top w:w="40" w:type="dxa"/>
              <w:left w:w="20" w:type="dxa"/>
              <w:bottom w:w="40" w:type="dxa"/>
              <w:right w:w="20" w:type="dxa"/>
            </w:tcMar>
            <w:vAlign w:val="bottom"/>
          </w:tcPr>
          <w:p w14:paraId="392C884F" w14:textId="77777777" w:rsidR="00980E5F" w:rsidRDefault="00483613">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392C885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2" w14:textId="77777777" w:rsidR="00980E5F" w:rsidRDefault="00980E5F">
            <w:pPr>
              <w:rPr>
                <w:rFonts w:ascii="宋体"/>
              </w:rPr>
            </w:pPr>
          </w:p>
        </w:tc>
        <w:tc>
          <w:tcPr>
            <w:tcW w:w="0" w:type="auto"/>
            <w:shd w:val="clear" w:color="auto" w:fill="auto"/>
            <w:vAlign w:val="bottom"/>
          </w:tcPr>
          <w:p w14:paraId="392C8853" w14:textId="77777777" w:rsidR="00980E5F" w:rsidRDefault="00980E5F">
            <w:pPr>
              <w:rPr>
                <w:rFonts w:ascii="宋体"/>
                <w:vanish/>
              </w:rPr>
            </w:pPr>
          </w:p>
        </w:tc>
        <w:tc>
          <w:tcPr>
            <w:tcW w:w="0" w:type="auto"/>
            <w:shd w:val="clear" w:color="auto" w:fill="auto"/>
            <w:vAlign w:val="bottom"/>
          </w:tcPr>
          <w:p w14:paraId="392C8854"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5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5A" w14:textId="77777777" w:rsidR="00980E5F" w:rsidRDefault="00980E5F">
            <w:pPr>
              <w:rPr>
                <w:rFonts w:ascii="宋体"/>
              </w:rPr>
            </w:pPr>
          </w:p>
        </w:tc>
        <w:tc>
          <w:tcPr>
            <w:tcW w:w="0" w:type="auto"/>
            <w:gridSpan w:val="3"/>
            <w:shd w:val="clear" w:color="auto" w:fill="auto"/>
            <w:vAlign w:val="bottom"/>
          </w:tcPr>
          <w:p w14:paraId="392C885B" w14:textId="77777777" w:rsidR="00980E5F" w:rsidRDefault="00980E5F">
            <w:pPr>
              <w:rPr>
                <w:rFonts w:ascii="宋体"/>
                <w:vanish/>
              </w:rPr>
            </w:pPr>
          </w:p>
        </w:tc>
        <w:tc>
          <w:tcPr>
            <w:tcW w:w="0" w:type="auto"/>
            <w:gridSpan w:val="3"/>
            <w:shd w:val="clear" w:color="auto" w:fill="auto"/>
            <w:vAlign w:val="bottom"/>
          </w:tcPr>
          <w:p w14:paraId="392C885C" w14:textId="77777777" w:rsidR="00980E5F" w:rsidRDefault="00980E5F">
            <w:pPr>
              <w:rPr>
                <w:rFonts w:ascii="宋体"/>
                <w:vanish/>
              </w:rPr>
            </w:pPr>
          </w:p>
        </w:tc>
      </w:tr>
      <w:tr w:rsidR="00980E5F" w14:paraId="392C8874" w14:textId="77777777">
        <w:tc>
          <w:tcPr>
            <w:tcW w:w="0" w:type="auto"/>
            <w:gridSpan w:val="3"/>
            <w:shd w:val="clear" w:color="auto" w:fill="CCEEFF"/>
            <w:tcMar>
              <w:top w:w="40" w:type="dxa"/>
              <w:left w:w="20" w:type="dxa"/>
              <w:bottom w:w="40" w:type="dxa"/>
              <w:right w:w="20" w:type="dxa"/>
            </w:tcMar>
            <w:vAlign w:val="bottom"/>
          </w:tcPr>
          <w:p w14:paraId="392C885E" w14:textId="77777777" w:rsidR="00980E5F" w:rsidRDefault="00483613">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392C885F"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60" w14:textId="77777777" w:rsidR="00980E5F" w:rsidRDefault="00483613">
            <w:pPr>
              <w:jc w:val="right"/>
              <w:textAlignment w:val="bottom"/>
            </w:pPr>
            <w:r>
              <w:rPr>
                <w:rFonts w:ascii="Arial" w:eastAsia="宋体" w:hAnsi="Arial" w:cs="Arial"/>
                <w:b/>
                <w:bCs/>
                <w:color w:val="000000"/>
                <w:sz w:val="13"/>
                <w:szCs w:val="13"/>
              </w:rPr>
              <w:t>264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8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6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63"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864" w14:textId="77777777" w:rsidR="00980E5F" w:rsidRDefault="00483613">
            <w:pPr>
              <w:jc w:val="right"/>
              <w:textAlignment w:val="bottom"/>
            </w:pPr>
            <w:r>
              <w:rPr>
                <w:rFonts w:ascii="Arial" w:eastAsia="宋体" w:hAnsi="Arial" w:cs="Arial"/>
                <w:color w:val="000000"/>
                <w:sz w:val="13"/>
                <w:szCs w:val="13"/>
              </w:rPr>
              <w:t>(24)</w:t>
            </w:r>
          </w:p>
        </w:tc>
        <w:tc>
          <w:tcPr>
            <w:tcW w:w="0" w:type="auto"/>
            <w:shd w:val="clear" w:color="auto" w:fill="CCEEFF"/>
            <w:tcMar>
              <w:top w:w="40" w:type="dxa"/>
              <w:left w:w="0" w:type="dxa"/>
              <w:bottom w:w="40" w:type="dxa"/>
              <w:right w:w="20" w:type="dxa"/>
            </w:tcMar>
            <w:vAlign w:val="bottom"/>
          </w:tcPr>
          <w:p w14:paraId="392C8865" w14:textId="77777777" w:rsidR="00980E5F" w:rsidRDefault="00980E5F">
            <w:pPr>
              <w:jc w:val="right"/>
              <w:rPr>
                <w:rFonts w:ascii="宋体"/>
              </w:rPr>
            </w:pPr>
          </w:p>
        </w:tc>
        <w:tc>
          <w:tcPr>
            <w:tcW w:w="0" w:type="auto"/>
            <w:shd w:val="clear" w:color="auto" w:fill="auto"/>
            <w:vAlign w:val="bottom"/>
          </w:tcPr>
          <w:p w14:paraId="392C8866" w14:textId="77777777" w:rsidR="00980E5F" w:rsidRDefault="00980E5F">
            <w:pPr>
              <w:rPr>
                <w:rFonts w:ascii="宋体"/>
                <w:vanish/>
              </w:rPr>
            </w:pPr>
          </w:p>
        </w:tc>
        <w:tc>
          <w:tcPr>
            <w:tcW w:w="0" w:type="auto"/>
            <w:shd w:val="clear" w:color="auto" w:fill="auto"/>
            <w:vAlign w:val="bottom"/>
          </w:tcPr>
          <w:p w14:paraId="392C8867"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868"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869" w14:textId="77777777" w:rsidR="00980E5F" w:rsidRDefault="00483613">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392C886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6B"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6C"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8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6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6F"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870"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871" w14:textId="77777777" w:rsidR="00980E5F" w:rsidRDefault="00980E5F">
            <w:pPr>
              <w:jc w:val="right"/>
              <w:rPr>
                <w:rFonts w:ascii="宋体"/>
              </w:rPr>
            </w:pPr>
          </w:p>
        </w:tc>
        <w:tc>
          <w:tcPr>
            <w:tcW w:w="0" w:type="auto"/>
            <w:gridSpan w:val="3"/>
            <w:shd w:val="clear" w:color="auto" w:fill="auto"/>
            <w:vAlign w:val="bottom"/>
          </w:tcPr>
          <w:p w14:paraId="392C8872" w14:textId="77777777" w:rsidR="00980E5F" w:rsidRDefault="00980E5F">
            <w:pPr>
              <w:rPr>
                <w:rFonts w:ascii="宋体"/>
                <w:vanish/>
              </w:rPr>
            </w:pPr>
          </w:p>
        </w:tc>
        <w:tc>
          <w:tcPr>
            <w:tcW w:w="0" w:type="auto"/>
            <w:gridSpan w:val="3"/>
            <w:shd w:val="clear" w:color="auto" w:fill="auto"/>
            <w:vAlign w:val="bottom"/>
          </w:tcPr>
          <w:p w14:paraId="392C8873" w14:textId="77777777" w:rsidR="00980E5F" w:rsidRDefault="00980E5F">
            <w:pPr>
              <w:rPr>
                <w:rFonts w:ascii="宋体"/>
                <w:vanish/>
              </w:rPr>
            </w:pPr>
          </w:p>
        </w:tc>
      </w:tr>
      <w:tr w:rsidR="00980E5F" w14:paraId="392C8887" w14:textId="77777777">
        <w:tc>
          <w:tcPr>
            <w:tcW w:w="0" w:type="auto"/>
            <w:gridSpan w:val="3"/>
            <w:shd w:val="clear" w:color="auto" w:fill="FFFFFF"/>
            <w:tcMar>
              <w:top w:w="40" w:type="dxa"/>
              <w:left w:w="20" w:type="dxa"/>
              <w:bottom w:w="40" w:type="dxa"/>
              <w:right w:w="20" w:type="dxa"/>
            </w:tcMar>
            <w:vAlign w:val="bottom"/>
          </w:tcPr>
          <w:p w14:paraId="392C8875" w14:textId="77777777" w:rsidR="00980E5F" w:rsidRDefault="00483613">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876" w14:textId="77777777" w:rsidR="00980E5F" w:rsidRDefault="00483613">
            <w:pPr>
              <w:jc w:val="right"/>
              <w:textAlignment w:val="bottom"/>
            </w:pPr>
            <w:r>
              <w:rPr>
                <w:rFonts w:ascii="Arial" w:eastAsia="宋体" w:hAnsi="Arial" w:cs="Arial"/>
                <w:b/>
                <w:bCs/>
                <w:color w:val="000000"/>
                <w:sz w:val="13"/>
                <w:szCs w:val="13"/>
              </w:rPr>
              <w:t>264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8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87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879" w14:textId="77777777" w:rsidR="00980E5F" w:rsidRDefault="00483613">
            <w:pPr>
              <w:jc w:val="right"/>
              <w:textAlignment w:val="bottom"/>
            </w:pPr>
            <w:r>
              <w:rPr>
                <w:rFonts w:ascii="Arial" w:eastAsia="宋体" w:hAnsi="Arial" w:cs="Arial"/>
                <w:color w:val="000000"/>
                <w:sz w:val="13"/>
                <w:szCs w:val="13"/>
              </w:rPr>
              <w:t>(24)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87A" w14:textId="77777777" w:rsidR="00980E5F" w:rsidRDefault="00980E5F">
            <w:pPr>
              <w:jc w:val="right"/>
              <w:rPr>
                <w:rFonts w:ascii="宋体"/>
              </w:rPr>
            </w:pPr>
          </w:p>
        </w:tc>
        <w:tc>
          <w:tcPr>
            <w:tcW w:w="0" w:type="auto"/>
            <w:shd w:val="clear" w:color="auto" w:fill="auto"/>
            <w:vAlign w:val="bottom"/>
          </w:tcPr>
          <w:p w14:paraId="392C887B" w14:textId="77777777" w:rsidR="00980E5F" w:rsidRDefault="00980E5F">
            <w:pPr>
              <w:rPr>
                <w:rFonts w:ascii="宋体"/>
                <w:vanish/>
              </w:rPr>
            </w:pPr>
          </w:p>
        </w:tc>
        <w:tc>
          <w:tcPr>
            <w:tcW w:w="0" w:type="auto"/>
            <w:shd w:val="clear" w:color="auto" w:fill="auto"/>
            <w:vAlign w:val="bottom"/>
          </w:tcPr>
          <w:p w14:paraId="392C887C"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87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87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87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88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8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88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883" w14:textId="77777777" w:rsidR="00980E5F" w:rsidRDefault="00483613">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884" w14:textId="77777777" w:rsidR="00980E5F" w:rsidRDefault="00980E5F">
            <w:pPr>
              <w:jc w:val="right"/>
              <w:rPr>
                <w:rFonts w:ascii="宋体"/>
              </w:rPr>
            </w:pPr>
          </w:p>
        </w:tc>
        <w:tc>
          <w:tcPr>
            <w:tcW w:w="0" w:type="auto"/>
            <w:gridSpan w:val="3"/>
            <w:shd w:val="clear" w:color="auto" w:fill="auto"/>
            <w:vAlign w:val="bottom"/>
          </w:tcPr>
          <w:p w14:paraId="392C8885" w14:textId="77777777" w:rsidR="00980E5F" w:rsidRDefault="00980E5F">
            <w:pPr>
              <w:rPr>
                <w:rFonts w:ascii="宋体"/>
                <w:vanish/>
              </w:rPr>
            </w:pPr>
          </w:p>
        </w:tc>
        <w:tc>
          <w:tcPr>
            <w:tcW w:w="0" w:type="auto"/>
            <w:gridSpan w:val="3"/>
            <w:shd w:val="clear" w:color="auto" w:fill="auto"/>
            <w:vAlign w:val="bottom"/>
          </w:tcPr>
          <w:p w14:paraId="392C8886" w14:textId="77777777" w:rsidR="00980E5F" w:rsidRDefault="00980E5F">
            <w:pPr>
              <w:rPr>
                <w:rFonts w:ascii="宋体"/>
                <w:vanish/>
              </w:rPr>
            </w:pPr>
          </w:p>
        </w:tc>
      </w:tr>
      <w:tr w:rsidR="00980E5F" w14:paraId="392C889E" w14:textId="77777777">
        <w:tc>
          <w:tcPr>
            <w:tcW w:w="0" w:type="auto"/>
            <w:gridSpan w:val="3"/>
            <w:shd w:val="clear" w:color="auto" w:fill="CCEEFF"/>
            <w:tcMar>
              <w:top w:w="40" w:type="dxa"/>
              <w:left w:w="20" w:type="dxa"/>
              <w:bottom w:w="40" w:type="dxa"/>
              <w:right w:w="20" w:type="dxa"/>
            </w:tcMar>
            <w:vAlign w:val="bottom"/>
          </w:tcPr>
          <w:p w14:paraId="392C8888"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889"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8A" w14:textId="77777777" w:rsidR="00980E5F" w:rsidRDefault="00483613">
            <w:pPr>
              <w:jc w:val="right"/>
              <w:textAlignment w:val="bottom"/>
            </w:pPr>
            <w:r>
              <w:rPr>
                <w:rFonts w:ascii="Arial" w:eastAsia="宋体" w:hAnsi="Arial" w:cs="Arial"/>
                <w:b/>
                <w:bCs/>
                <w:color w:val="000000"/>
                <w:sz w:val="13"/>
                <w:szCs w:val="13"/>
              </w:rPr>
              <w:t>301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8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8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8E" w14:textId="77777777" w:rsidR="00980E5F" w:rsidRDefault="00483613">
            <w:pPr>
              <w:jc w:val="right"/>
              <w:textAlignment w:val="bottom"/>
            </w:pPr>
            <w:r>
              <w:rPr>
                <w:rFonts w:ascii="Arial" w:eastAsia="宋体" w:hAnsi="Arial" w:cs="Arial"/>
                <w:color w:val="000000"/>
                <w:sz w:val="13"/>
                <w:szCs w:val="13"/>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8F" w14:textId="77777777" w:rsidR="00980E5F" w:rsidRDefault="00980E5F">
            <w:pPr>
              <w:jc w:val="right"/>
              <w:rPr>
                <w:rFonts w:ascii="宋体"/>
              </w:rPr>
            </w:pPr>
          </w:p>
        </w:tc>
        <w:tc>
          <w:tcPr>
            <w:tcW w:w="0" w:type="auto"/>
            <w:shd w:val="clear" w:color="auto" w:fill="auto"/>
            <w:vAlign w:val="bottom"/>
          </w:tcPr>
          <w:p w14:paraId="392C8890" w14:textId="77777777" w:rsidR="00980E5F" w:rsidRDefault="00980E5F">
            <w:pPr>
              <w:rPr>
                <w:rFonts w:ascii="宋体"/>
                <w:vanish/>
              </w:rPr>
            </w:pPr>
          </w:p>
        </w:tc>
        <w:tc>
          <w:tcPr>
            <w:tcW w:w="0" w:type="auto"/>
            <w:shd w:val="clear" w:color="auto" w:fill="auto"/>
            <w:vAlign w:val="bottom"/>
          </w:tcPr>
          <w:p w14:paraId="392C8891"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89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89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89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95"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96" w14:textId="77777777" w:rsidR="00980E5F" w:rsidRDefault="00483613">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9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89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89A" w14:textId="77777777" w:rsidR="00980E5F" w:rsidRDefault="00483613">
            <w:pPr>
              <w:jc w:val="right"/>
              <w:textAlignment w:val="bottom"/>
            </w:pPr>
            <w:r>
              <w:rPr>
                <w:rFonts w:ascii="Arial" w:eastAsia="宋体" w:hAnsi="Arial" w:cs="Arial"/>
                <w:color w:val="000000"/>
                <w:sz w:val="13"/>
                <w:szCs w:val="13"/>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89B" w14:textId="77777777" w:rsidR="00980E5F" w:rsidRDefault="00980E5F">
            <w:pPr>
              <w:jc w:val="right"/>
              <w:rPr>
                <w:rFonts w:ascii="宋体"/>
              </w:rPr>
            </w:pPr>
          </w:p>
        </w:tc>
        <w:tc>
          <w:tcPr>
            <w:tcW w:w="0" w:type="auto"/>
            <w:gridSpan w:val="3"/>
            <w:shd w:val="clear" w:color="auto" w:fill="auto"/>
            <w:vAlign w:val="bottom"/>
          </w:tcPr>
          <w:p w14:paraId="392C889C" w14:textId="77777777" w:rsidR="00980E5F" w:rsidRDefault="00980E5F">
            <w:pPr>
              <w:rPr>
                <w:rFonts w:ascii="宋体"/>
                <w:vanish/>
              </w:rPr>
            </w:pPr>
          </w:p>
        </w:tc>
        <w:tc>
          <w:tcPr>
            <w:tcW w:w="0" w:type="auto"/>
            <w:gridSpan w:val="3"/>
            <w:shd w:val="clear" w:color="auto" w:fill="auto"/>
            <w:vAlign w:val="bottom"/>
          </w:tcPr>
          <w:p w14:paraId="392C889D" w14:textId="77777777" w:rsidR="00980E5F" w:rsidRDefault="00980E5F">
            <w:pPr>
              <w:rPr>
                <w:rFonts w:ascii="宋体"/>
                <w:vanish/>
              </w:rPr>
            </w:pPr>
          </w:p>
        </w:tc>
      </w:tr>
      <w:tr w:rsidR="00980E5F" w14:paraId="392C88AD" w14:textId="77777777">
        <w:trPr>
          <w:trHeight w:val="60"/>
        </w:trPr>
        <w:tc>
          <w:tcPr>
            <w:tcW w:w="0" w:type="auto"/>
            <w:gridSpan w:val="3"/>
            <w:shd w:val="clear" w:color="auto" w:fill="auto"/>
            <w:tcMar>
              <w:top w:w="0" w:type="dxa"/>
              <w:left w:w="20" w:type="dxa"/>
              <w:bottom w:w="0" w:type="dxa"/>
              <w:right w:w="20" w:type="dxa"/>
            </w:tcMar>
            <w:vAlign w:val="bottom"/>
          </w:tcPr>
          <w:p w14:paraId="392C889F"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8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A1"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8A2" w14:textId="77777777" w:rsidR="00980E5F" w:rsidRDefault="00980E5F">
            <w:pPr>
              <w:rPr>
                <w:rFonts w:ascii="宋体"/>
              </w:rPr>
            </w:pPr>
          </w:p>
        </w:tc>
        <w:tc>
          <w:tcPr>
            <w:tcW w:w="0" w:type="auto"/>
            <w:shd w:val="clear" w:color="auto" w:fill="auto"/>
            <w:vAlign w:val="bottom"/>
          </w:tcPr>
          <w:p w14:paraId="392C88A3" w14:textId="77777777" w:rsidR="00980E5F" w:rsidRDefault="00980E5F">
            <w:pPr>
              <w:rPr>
                <w:rFonts w:ascii="宋体"/>
                <w:vanish/>
              </w:rPr>
            </w:pPr>
          </w:p>
        </w:tc>
        <w:tc>
          <w:tcPr>
            <w:tcW w:w="0" w:type="auto"/>
            <w:shd w:val="clear" w:color="auto" w:fill="auto"/>
            <w:vAlign w:val="bottom"/>
          </w:tcPr>
          <w:p w14:paraId="392C88A4"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A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A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A7"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8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A9"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88AA" w14:textId="77777777" w:rsidR="00980E5F" w:rsidRDefault="00980E5F">
            <w:pPr>
              <w:rPr>
                <w:rFonts w:ascii="宋体"/>
              </w:rPr>
            </w:pPr>
          </w:p>
        </w:tc>
        <w:tc>
          <w:tcPr>
            <w:tcW w:w="0" w:type="auto"/>
            <w:gridSpan w:val="3"/>
            <w:shd w:val="clear" w:color="auto" w:fill="auto"/>
            <w:vAlign w:val="bottom"/>
          </w:tcPr>
          <w:p w14:paraId="392C88AB" w14:textId="77777777" w:rsidR="00980E5F" w:rsidRDefault="00980E5F">
            <w:pPr>
              <w:rPr>
                <w:rFonts w:ascii="宋体"/>
                <w:vanish/>
              </w:rPr>
            </w:pPr>
          </w:p>
        </w:tc>
        <w:tc>
          <w:tcPr>
            <w:tcW w:w="0" w:type="auto"/>
            <w:gridSpan w:val="3"/>
            <w:shd w:val="clear" w:color="auto" w:fill="auto"/>
            <w:vAlign w:val="bottom"/>
          </w:tcPr>
          <w:p w14:paraId="392C88AC" w14:textId="77777777" w:rsidR="00980E5F" w:rsidRDefault="00980E5F">
            <w:pPr>
              <w:rPr>
                <w:rFonts w:ascii="宋体"/>
                <w:vanish/>
              </w:rPr>
            </w:pPr>
          </w:p>
        </w:tc>
      </w:tr>
      <w:tr w:rsidR="00980E5F" w14:paraId="392C88B8" w14:textId="77777777">
        <w:tc>
          <w:tcPr>
            <w:tcW w:w="0" w:type="auto"/>
            <w:gridSpan w:val="3"/>
            <w:shd w:val="clear" w:color="auto" w:fill="auto"/>
            <w:tcMar>
              <w:top w:w="0" w:type="dxa"/>
              <w:left w:w="20" w:type="dxa"/>
              <w:bottom w:w="0" w:type="dxa"/>
              <w:right w:w="20" w:type="dxa"/>
            </w:tcMar>
            <w:vAlign w:val="bottom"/>
          </w:tcPr>
          <w:p w14:paraId="392C88AE"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8AF" w14:textId="77777777" w:rsidR="00980E5F" w:rsidRDefault="00483613">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392C88B0" w14:textId="77777777" w:rsidR="00980E5F" w:rsidRDefault="00980E5F">
            <w:pPr>
              <w:rPr>
                <w:rFonts w:ascii="宋体"/>
                <w:vanish/>
              </w:rPr>
            </w:pPr>
          </w:p>
        </w:tc>
        <w:tc>
          <w:tcPr>
            <w:tcW w:w="0" w:type="auto"/>
            <w:shd w:val="clear" w:color="auto" w:fill="auto"/>
            <w:vAlign w:val="bottom"/>
          </w:tcPr>
          <w:p w14:paraId="392C88B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B4"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88B5" w14:textId="77777777" w:rsidR="00980E5F" w:rsidRDefault="00483613">
            <w:pPr>
              <w:jc w:val="center"/>
              <w:textAlignment w:val="bottom"/>
            </w:pPr>
            <w:r>
              <w:rPr>
                <w:rFonts w:ascii="Arial" w:eastAsia="宋体" w:hAnsi="Arial" w:cs="Arial"/>
                <w:b/>
                <w:bCs/>
                <w:color w:val="000000"/>
                <w:sz w:val="13"/>
                <w:szCs w:val="13"/>
              </w:rPr>
              <w:t>Six Months Ended June 30,</w:t>
            </w:r>
          </w:p>
        </w:tc>
        <w:tc>
          <w:tcPr>
            <w:tcW w:w="0" w:type="auto"/>
            <w:gridSpan w:val="3"/>
            <w:shd w:val="clear" w:color="auto" w:fill="auto"/>
            <w:vAlign w:val="bottom"/>
          </w:tcPr>
          <w:p w14:paraId="392C88B6" w14:textId="77777777" w:rsidR="00980E5F" w:rsidRDefault="00980E5F">
            <w:pPr>
              <w:rPr>
                <w:rFonts w:ascii="宋体"/>
                <w:vanish/>
              </w:rPr>
            </w:pPr>
          </w:p>
        </w:tc>
        <w:tc>
          <w:tcPr>
            <w:tcW w:w="0" w:type="auto"/>
            <w:gridSpan w:val="3"/>
            <w:shd w:val="clear" w:color="auto" w:fill="auto"/>
            <w:vAlign w:val="bottom"/>
          </w:tcPr>
          <w:p w14:paraId="392C88B7" w14:textId="77777777" w:rsidR="00980E5F" w:rsidRDefault="00980E5F">
            <w:pPr>
              <w:rPr>
                <w:rFonts w:ascii="宋体"/>
                <w:vanish/>
              </w:rPr>
            </w:pPr>
          </w:p>
        </w:tc>
      </w:tr>
      <w:tr w:rsidR="00980E5F" w14:paraId="392C88C7" w14:textId="77777777">
        <w:tc>
          <w:tcPr>
            <w:tcW w:w="0" w:type="auto"/>
            <w:gridSpan w:val="3"/>
            <w:shd w:val="clear" w:color="auto" w:fill="auto"/>
            <w:tcMar>
              <w:top w:w="0" w:type="dxa"/>
              <w:left w:w="20" w:type="dxa"/>
              <w:bottom w:w="0" w:type="dxa"/>
              <w:right w:w="20" w:type="dxa"/>
            </w:tcMar>
            <w:vAlign w:val="bottom"/>
          </w:tcPr>
          <w:p w14:paraId="392C88B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8BA"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BB"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8BC" w14:textId="77777777" w:rsidR="00980E5F" w:rsidRDefault="00483613">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392C88BD" w14:textId="77777777" w:rsidR="00980E5F" w:rsidRDefault="00980E5F">
            <w:pPr>
              <w:rPr>
                <w:rFonts w:ascii="宋体"/>
                <w:vanish/>
              </w:rPr>
            </w:pPr>
          </w:p>
        </w:tc>
        <w:tc>
          <w:tcPr>
            <w:tcW w:w="0" w:type="auto"/>
            <w:shd w:val="clear" w:color="auto" w:fill="auto"/>
            <w:vAlign w:val="bottom"/>
          </w:tcPr>
          <w:p w14:paraId="392C88BE"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C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8C2"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C3"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8C4"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392C88C5" w14:textId="77777777" w:rsidR="00980E5F" w:rsidRDefault="00980E5F">
            <w:pPr>
              <w:rPr>
                <w:rFonts w:ascii="宋体"/>
                <w:vanish/>
              </w:rPr>
            </w:pPr>
          </w:p>
        </w:tc>
        <w:tc>
          <w:tcPr>
            <w:tcW w:w="0" w:type="auto"/>
            <w:gridSpan w:val="3"/>
            <w:shd w:val="clear" w:color="auto" w:fill="auto"/>
            <w:vAlign w:val="bottom"/>
          </w:tcPr>
          <w:p w14:paraId="392C88C6" w14:textId="77777777" w:rsidR="00980E5F" w:rsidRDefault="00980E5F">
            <w:pPr>
              <w:rPr>
                <w:rFonts w:ascii="宋体"/>
                <w:vanish/>
              </w:rPr>
            </w:pPr>
          </w:p>
        </w:tc>
      </w:tr>
      <w:tr w:rsidR="00980E5F" w14:paraId="392C88D2" w14:textId="77777777">
        <w:tc>
          <w:tcPr>
            <w:tcW w:w="0" w:type="auto"/>
            <w:gridSpan w:val="3"/>
            <w:shd w:val="clear" w:color="auto" w:fill="auto"/>
            <w:tcMar>
              <w:top w:w="40" w:type="dxa"/>
              <w:left w:w="20" w:type="dxa"/>
              <w:bottom w:w="40" w:type="dxa"/>
              <w:right w:w="20" w:type="dxa"/>
            </w:tcMar>
            <w:vAlign w:val="bottom"/>
          </w:tcPr>
          <w:p w14:paraId="392C88C8" w14:textId="77777777" w:rsidR="00980E5F" w:rsidRDefault="00483613">
            <w:pPr>
              <w:textAlignment w:val="bottom"/>
            </w:pPr>
            <w:r>
              <w:rPr>
                <w:rFonts w:ascii="Arial" w:eastAsia="宋体" w:hAnsi="Arial" w:cs="Arial"/>
                <w:b/>
                <w:bCs/>
                <w:color w:val="000000"/>
                <w:sz w:val="13"/>
                <w:szCs w:val="13"/>
              </w:rPr>
              <w:t>(In millio</w:t>
            </w:r>
            <w:r>
              <w:rPr>
                <w:rFonts w:ascii="Arial" w:eastAsia="宋体" w:hAnsi="Arial" w:cs="Arial"/>
                <w:b/>
                <w:bCs/>
                <w:color w:val="000000"/>
                <w:sz w:val="13"/>
                <w:szCs w:val="13"/>
              </w:rPr>
              <w:t>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8C9" w14:textId="77777777" w:rsidR="00980E5F" w:rsidRDefault="00483613">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vAlign w:val="bottom"/>
          </w:tcPr>
          <w:p w14:paraId="392C88CA" w14:textId="77777777" w:rsidR="00980E5F" w:rsidRDefault="00980E5F">
            <w:pPr>
              <w:rPr>
                <w:rFonts w:ascii="宋体"/>
                <w:vanish/>
              </w:rPr>
            </w:pPr>
          </w:p>
        </w:tc>
        <w:tc>
          <w:tcPr>
            <w:tcW w:w="0" w:type="auto"/>
            <w:shd w:val="clear" w:color="auto" w:fill="auto"/>
            <w:vAlign w:val="bottom"/>
          </w:tcPr>
          <w:p w14:paraId="392C88CB"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C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88CD" w14:textId="77777777" w:rsidR="00980E5F" w:rsidRDefault="00483613">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392C88CE"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8CF" w14:textId="77777777" w:rsidR="00980E5F" w:rsidRDefault="00483613">
            <w:pPr>
              <w:jc w:val="center"/>
              <w:textAlignment w:val="bottom"/>
            </w:pPr>
            <w:r>
              <w:rPr>
                <w:rFonts w:ascii="Arial" w:eastAsia="宋体" w:hAnsi="Arial" w:cs="Arial"/>
                <w:b/>
                <w:bCs/>
                <w:color w:val="000000"/>
                <w:sz w:val="13"/>
                <w:szCs w:val="13"/>
              </w:rPr>
              <w:t>Amount of Gain or (Loss) Reclassified from Accumulated Other Comprehensi</w:t>
            </w:r>
            <w:r>
              <w:rPr>
                <w:rFonts w:ascii="Arial" w:eastAsia="宋体" w:hAnsi="Arial" w:cs="Arial"/>
                <w:b/>
                <w:bCs/>
                <w:color w:val="000000"/>
                <w:sz w:val="13"/>
                <w:szCs w:val="13"/>
              </w:rPr>
              <w:t>ve Income into Income</w:t>
            </w:r>
          </w:p>
        </w:tc>
        <w:tc>
          <w:tcPr>
            <w:tcW w:w="0" w:type="auto"/>
            <w:gridSpan w:val="3"/>
            <w:shd w:val="clear" w:color="auto" w:fill="auto"/>
            <w:vAlign w:val="bottom"/>
          </w:tcPr>
          <w:p w14:paraId="392C88D0" w14:textId="77777777" w:rsidR="00980E5F" w:rsidRDefault="00980E5F">
            <w:pPr>
              <w:rPr>
                <w:rFonts w:ascii="宋体"/>
                <w:vanish/>
              </w:rPr>
            </w:pPr>
          </w:p>
        </w:tc>
        <w:tc>
          <w:tcPr>
            <w:tcW w:w="0" w:type="auto"/>
            <w:gridSpan w:val="3"/>
            <w:shd w:val="clear" w:color="auto" w:fill="auto"/>
            <w:vAlign w:val="bottom"/>
          </w:tcPr>
          <w:p w14:paraId="392C88D1" w14:textId="77777777" w:rsidR="00980E5F" w:rsidRDefault="00980E5F">
            <w:pPr>
              <w:rPr>
                <w:rFonts w:ascii="宋体"/>
                <w:vanish/>
              </w:rPr>
            </w:pPr>
          </w:p>
        </w:tc>
      </w:tr>
      <w:tr w:rsidR="00980E5F" w14:paraId="392C88E1" w14:textId="77777777">
        <w:tc>
          <w:tcPr>
            <w:tcW w:w="0" w:type="auto"/>
            <w:gridSpan w:val="3"/>
            <w:shd w:val="clear" w:color="auto" w:fill="auto"/>
            <w:tcMar>
              <w:top w:w="40" w:type="dxa"/>
              <w:left w:w="20" w:type="dxa"/>
              <w:bottom w:w="40" w:type="dxa"/>
              <w:right w:w="20" w:type="dxa"/>
            </w:tcMar>
            <w:vAlign w:val="bottom"/>
          </w:tcPr>
          <w:p w14:paraId="392C88D3" w14:textId="77777777" w:rsidR="00980E5F" w:rsidRDefault="00483613">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6" w14:textId="77777777" w:rsidR="00980E5F" w:rsidRDefault="00980E5F">
            <w:pPr>
              <w:rPr>
                <w:rFonts w:ascii="宋体"/>
              </w:rPr>
            </w:pPr>
          </w:p>
        </w:tc>
        <w:tc>
          <w:tcPr>
            <w:tcW w:w="0" w:type="auto"/>
            <w:shd w:val="clear" w:color="auto" w:fill="auto"/>
            <w:vAlign w:val="bottom"/>
          </w:tcPr>
          <w:p w14:paraId="392C88D7" w14:textId="77777777" w:rsidR="00980E5F" w:rsidRDefault="00980E5F">
            <w:pPr>
              <w:rPr>
                <w:rFonts w:ascii="宋体"/>
                <w:vanish/>
              </w:rPr>
            </w:pPr>
          </w:p>
        </w:tc>
        <w:tc>
          <w:tcPr>
            <w:tcW w:w="0" w:type="auto"/>
            <w:shd w:val="clear" w:color="auto" w:fill="auto"/>
            <w:vAlign w:val="bottom"/>
          </w:tcPr>
          <w:p w14:paraId="392C88D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8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8D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8DE" w14:textId="77777777" w:rsidR="00980E5F" w:rsidRDefault="00980E5F">
            <w:pPr>
              <w:rPr>
                <w:rFonts w:ascii="宋体"/>
              </w:rPr>
            </w:pPr>
          </w:p>
        </w:tc>
        <w:tc>
          <w:tcPr>
            <w:tcW w:w="0" w:type="auto"/>
            <w:gridSpan w:val="3"/>
            <w:shd w:val="clear" w:color="auto" w:fill="auto"/>
            <w:vAlign w:val="bottom"/>
          </w:tcPr>
          <w:p w14:paraId="392C88DF" w14:textId="77777777" w:rsidR="00980E5F" w:rsidRDefault="00980E5F">
            <w:pPr>
              <w:rPr>
                <w:rFonts w:ascii="宋体"/>
                <w:vanish/>
              </w:rPr>
            </w:pPr>
          </w:p>
        </w:tc>
        <w:tc>
          <w:tcPr>
            <w:tcW w:w="0" w:type="auto"/>
            <w:gridSpan w:val="3"/>
            <w:shd w:val="clear" w:color="auto" w:fill="auto"/>
            <w:vAlign w:val="bottom"/>
          </w:tcPr>
          <w:p w14:paraId="392C88E0" w14:textId="77777777" w:rsidR="00980E5F" w:rsidRDefault="00980E5F">
            <w:pPr>
              <w:rPr>
                <w:rFonts w:ascii="宋体"/>
                <w:vanish/>
              </w:rPr>
            </w:pPr>
          </w:p>
        </w:tc>
      </w:tr>
      <w:tr w:rsidR="00980E5F" w14:paraId="392C88F8" w14:textId="77777777">
        <w:tc>
          <w:tcPr>
            <w:tcW w:w="0" w:type="auto"/>
            <w:gridSpan w:val="3"/>
            <w:shd w:val="clear" w:color="auto" w:fill="CCEEFF"/>
            <w:tcMar>
              <w:top w:w="40" w:type="dxa"/>
              <w:left w:w="20" w:type="dxa"/>
              <w:bottom w:w="40" w:type="dxa"/>
              <w:right w:w="20" w:type="dxa"/>
            </w:tcMar>
            <w:vAlign w:val="bottom"/>
          </w:tcPr>
          <w:p w14:paraId="392C88E2" w14:textId="77777777" w:rsidR="00980E5F" w:rsidRDefault="00483613">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right w:w="0" w:type="dxa"/>
            </w:tcMar>
            <w:vAlign w:val="bottom"/>
          </w:tcPr>
          <w:p w14:paraId="392C88E3"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E4" w14:textId="77777777" w:rsidR="00980E5F" w:rsidRDefault="00483613">
            <w:pPr>
              <w:jc w:val="right"/>
              <w:textAlignment w:val="bottom"/>
            </w:pPr>
            <w:r>
              <w:rPr>
                <w:rFonts w:ascii="Arial" w:eastAsia="宋体" w:hAnsi="Arial" w:cs="Arial"/>
                <w:b/>
                <w:bCs/>
                <w:color w:val="000000"/>
                <w:sz w:val="13"/>
                <w:szCs w:val="13"/>
              </w:rPr>
              <w:t>(383)</w:t>
            </w:r>
          </w:p>
        </w:tc>
        <w:tc>
          <w:tcPr>
            <w:tcW w:w="0" w:type="auto"/>
            <w:shd w:val="clear" w:color="auto" w:fill="CCEEFF"/>
            <w:tcMar>
              <w:top w:w="40" w:type="dxa"/>
              <w:left w:w="0" w:type="dxa"/>
              <w:bottom w:w="40" w:type="dxa"/>
              <w:right w:w="20" w:type="dxa"/>
            </w:tcMar>
            <w:vAlign w:val="bottom"/>
          </w:tcPr>
          <w:p w14:paraId="392C88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E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E7"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E8" w14:textId="77777777" w:rsidR="00980E5F" w:rsidRDefault="00483613">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left w:w="0" w:type="dxa"/>
              <w:bottom w:w="40" w:type="dxa"/>
              <w:right w:w="20" w:type="dxa"/>
            </w:tcMar>
            <w:vAlign w:val="bottom"/>
          </w:tcPr>
          <w:p w14:paraId="392C88E9" w14:textId="77777777" w:rsidR="00980E5F" w:rsidRDefault="00980E5F">
            <w:pPr>
              <w:jc w:val="right"/>
              <w:rPr>
                <w:rFonts w:ascii="宋体"/>
              </w:rPr>
            </w:pPr>
          </w:p>
        </w:tc>
        <w:tc>
          <w:tcPr>
            <w:tcW w:w="0" w:type="auto"/>
            <w:shd w:val="clear" w:color="auto" w:fill="auto"/>
            <w:vAlign w:val="bottom"/>
          </w:tcPr>
          <w:p w14:paraId="392C88EA" w14:textId="77777777" w:rsidR="00980E5F" w:rsidRDefault="00980E5F">
            <w:pPr>
              <w:rPr>
                <w:rFonts w:ascii="宋体"/>
                <w:vanish/>
              </w:rPr>
            </w:pPr>
          </w:p>
        </w:tc>
        <w:tc>
          <w:tcPr>
            <w:tcW w:w="0" w:type="auto"/>
            <w:shd w:val="clear" w:color="auto" w:fill="auto"/>
            <w:vAlign w:val="bottom"/>
          </w:tcPr>
          <w:p w14:paraId="392C88E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8EC"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8ED" w14:textId="77777777" w:rsidR="00980E5F" w:rsidRDefault="00483613">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392C88E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EF"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8F0" w14:textId="77777777" w:rsidR="00980E5F" w:rsidRDefault="00483613">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8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8F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8F3"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8F4" w14:textId="77777777" w:rsidR="00980E5F" w:rsidRDefault="00483613">
            <w:pPr>
              <w:jc w:val="right"/>
              <w:textAlignment w:val="bottom"/>
            </w:pPr>
            <w:r>
              <w:rPr>
                <w:rFonts w:ascii="Arial" w:eastAsia="宋体" w:hAnsi="Arial" w:cs="Arial"/>
                <w:color w:val="000000"/>
                <w:sz w:val="13"/>
                <w:szCs w:val="13"/>
              </w:rPr>
              <w:t>40 </w:t>
            </w:r>
          </w:p>
        </w:tc>
        <w:tc>
          <w:tcPr>
            <w:tcW w:w="0" w:type="auto"/>
            <w:shd w:val="clear" w:color="auto" w:fill="CCEEFF"/>
            <w:tcMar>
              <w:top w:w="40" w:type="dxa"/>
              <w:left w:w="0" w:type="dxa"/>
              <w:bottom w:w="40" w:type="dxa"/>
              <w:right w:w="20" w:type="dxa"/>
            </w:tcMar>
            <w:vAlign w:val="bottom"/>
          </w:tcPr>
          <w:p w14:paraId="392C88F5" w14:textId="77777777" w:rsidR="00980E5F" w:rsidRDefault="00980E5F">
            <w:pPr>
              <w:jc w:val="right"/>
              <w:rPr>
                <w:rFonts w:ascii="宋体"/>
              </w:rPr>
            </w:pPr>
          </w:p>
        </w:tc>
        <w:tc>
          <w:tcPr>
            <w:tcW w:w="0" w:type="auto"/>
            <w:gridSpan w:val="3"/>
            <w:shd w:val="clear" w:color="auto" w:fill="auto"/>
            <w:vAlign w:val="bottom"/>
          </w:tcPr>
          <w:p w14:paraId="392C88F6" w14:textId="77777777" w:rsidR="00980E5F" w:rsidRDefault="00980E5F">
            <w:pPr>
              <w:rPr>
                <w:rFonts w:ascii="宋体"/>
                <w:vanish/>
              </w:rPr>
            </w:pPr>
          </w:p>
        </w:tc>
        <w:tc>
          <w:tcPr>
            <w:tcW w:w="0" w:type="auto"/>
            <w:gridSpan w:val="3"/>
            <w:shd w:val="clear" w:color="auto" w:fill="auto"/>
            <w:vAlign w:val="bottom"/>
          </w:tcPr>
          <w:p w14:paraId="392C88F7" w14:textId="77777777" w:rsidR="00980E5F" w:rsidRDefault="00980E5F">
            <w:pPr>
              <w:rPr>
                <w:rFonts w:ascii="宋体"/>
                <w:vanish/>
              </w:rPr>
            </w:pPr>
          </w:p>
        </w:tc>
      </w:tr>
      <w:tr w:rsidR="00980E5F" w14:paraId="392C890C" w14:textId="77777777">
        <w:tc>
          <w:tcPr>
            <w:tcW w:w="0" w:type="auto"/>
            <w:gridSpan w:val="3"/>
            <w:shd w:val="clear" w:color="auto" w:fill="FFFFFF"/>
            <w:tcMar>
              <w:top w:w="40" w:type="dxa"/>
              <w:left w:w="20" w:type="dxa"/>
              <w:bottom w:w="40" w:type="dxa"/>
              <w:right w:w="20" w:type="dxa"/>
            </w:tcMar>
            <w:vAlign w:val="bottom"/>
          </w:tcPr>
          <w:p w14:paraId="392C88F9" w14:textId="77777777" w:rsidR="00980E5F" w:rsidRDefault="00483613">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392C88FA" w14:textId="77777777" w:rsidR="00980E5F" w:rsidRDefault="00483613">
            <w:pPr>
              <w:jc w:val="right"/>
              <w:textAlignment w:val="bottom"/>
            </w:pPr>
            <w:r>
              <w:rPr>
                <w:rFonts w:ascii="Arial" w:eastAsia="宋体" w:hAnsi="Arial" w:cs="Arial"/>
                <w:b/>
                <w:bCs/>
                <w:color w:val="000000"/>
                <w:sz w:val="13"/>
                <w:szCs w:val="13"/>
              </w:rPr>
              <w:t>176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88F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8FC"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88FD" w14:textId="77777777" w:rsidR="00980E5F" w:rsidRDefault="00483613">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392C88FE" w14:textId="77777777" w:rsidR="00980E5F" w:rsidRDefault="00483613">
            <w:pPr>
              <w:jc w:val="right"/>
              <w:textAlignment w:val="bottom"/>
            </w:pPr>
            <w:r>
              <w:rPr>
                <w:rFonts w:ascii="Arial" w:eastAsia="宋体" w:hAnsi="Arial" w:cs="Arial"/>
                <w:color w:val="000000"/>
                <w:sz w:val="13"/>
                <w:szCs w:val="13"/>
              </w:rPr>
              <w:t>43 </w:t>
            </w:r>
          </w:p>
        </w:tc>
        <w:tc>
          <w:tcPr>
            <w:tcW w:w="0" w:type="auto"/>
            <w:shd w:val="clear" w:color="auto" w:fill="FFFFFF"/>
            <w:tcMar>
              <w:top w:w="40" w:type="dxa"/>
              <w:left w:w="0" w:type="dxa"/>
              <w:bottom w:w="40" w:type="dxa"/>
              <w:right w:w="20" w:type="dxa"/>
            </w:tcMar>
            <w:vAlign w:val="bottom"/>
          </w:tcPr>
          <w:p w14:paraId="392C88FF" w14:textId="77777777" w:rsidR="00980E5F" w:rsidRDefault="00980E5F">
            <w:pPr>
              <w:jc w:val="right"/>
              <w:rPr>
                <w:rFonts w:ascii="宋体"/>
              </w:rPr>
            </w:pPr>
          </w:p>
        </w:tc>
        <w:tc>
          <w:tcPr>
            <w:tcW w:w="0" w:type="auto"/>
            <w:shd w:val="clear" w:color="auto" w:fill="auto"/>
            <w:vAlign w:val="bottom"/>
          </w:tcPr>
          <w:p w14:paraId="392C8900" w14:textId="77777777" w:rsidR="00980E5F" w:rsidRDefault="00980E5F">
            <w:pPr>
              <w:rPr>
                <w:rFonts w:ascii="宋体"/>
                <w:vanish/>
              </w:rPr>
            </w:pPr>
          </w:p>
        </w:tc>
        <w:tc>
          <w:tcPr>
            <w:tcW w:w="0" w:type="auto"/>
            <w:shd w:val="clear" w:color="auto" w:fill="auto"/>
            <w:vAlign w:val="bottom"/>
          </w:tcPr>
          <w:p w14:paraId="392C8901"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902"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bottom"/>
          </w:tcPr>
          <w:p w14:paraId="392C8903" w14:textId="77777777" w:rsidR="00980E5F" w:rsidRDefault="00483613">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392C890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905" w14:textId="77777777" w:rsidR="00980E5F" w:rsidRDefault="00483613">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890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90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908" w14:textId="77777777" w:rsidR="00980E5F" w:rsidRDefault="00483613">
            <w:pPr>
              <w:jc w:val="right"/>
              <w:textAlignment w:val="bottom"/>
            </w:pPr>
            <w:r>
              <w:rPr>
                <w:rFonts w:ascii="Arial" w:eastAsia="宋体" w:hAnsi="Arial" w:cs="Arial"/>
                <w:color w:val="000000"/>
                <w:sz w:val="13"/>
                <w:szCs w:val="13"/>
              </w:rPr>
              <w:t>6 </w:t>
            </w:r>
          </w:p>
        </w:tc>
        <w:tc>
          <w:tcPr>
            <w:tcW w:w="0" w:type="auto"/>
            <w:shd w:val="clear" w:color="auto" w:fill="FFFFFF"/>
            <w:tcMar>
              <w:top w:w="40" w:type="dxa"/>
              <w:left w:w="0" w:type="dxa"/>
              <w:bottom w:w="40" w:type="dxa"/>
              <w:right w:w="20" w:type="dxa"/>
            </w:tcMar>
            <w:vAlign w:val="bottom"/>
          </w:tcPr>
          <w:p w14:paraId="392C8909" w14:textId="77777777" w:rsidR="00980E5F" w:rsidRDefault="00980E5F">
            <w:pPr>
              <w:jc w:val="right"/>
              <w:rPr>
                <w:rFonts w:ascii="宋体"/>
              </w:rPr>
            </w:pPr>
          </w:p>
        </w:tc>
        <w:tc>
          <w:tcPr>
            <w:tcW w:w="0" w:type="auto"/>
            <w:gridSpan w:val="3"/>
            <w:shd w:val="clear" w:color="auto" w:fill="auto"/>
            <w:vAlign w:val="bottom"/>
          </w:tcPr>
          <w:p w14:paraId="392C890A" w14:textId="77777777" w:rsidR="00980E5F" w:rsidRDefault="00980E5F">
            <w:pPr>
              <w:rPr>
                <w:rFonts w:ascii="宋体"/>
                <w:vanish/>
              </w:rPr>
            </w:pPr>
          </w:p>
        </w:tc>
        <w:tc>
          <w:tcPr>
            <w:tcW w:w="0" w:type="auto"/>
            <w:gridSpan w:val="3"/>
            <w:shd w:val="clear" w:color="auto" w:fill="auto"/>
            <w:vAlign w:val="bottom"/>
          </w:tcPr>
          <w:p w14:paraId="392C890B" w14:textId="77777777" w:rsidR="00980E5F" w:rsidRDefault="00980E5F">
            <w:pPr>
              <w:rPr>
                <w:rFonts w:ascii="宋体"/>
                <w:vanish/>
              </w:rPr>
            </w:pPr>
          </w:p>
        </w:tc>
      </w:tr>
      <w:tr w:rsidR="00980E5F" w14:paraId="392C8923" w14:textId="77777777">
        <w:tc>
          <w:tcPr>
            <w:tcW w:w="0" w:type="auto"/>
            <w:gridSpan w:val="3"/>
            <w:shd w:val="clear" w:color="auto" w:fill="CCEEFF"/>
            <w:tcMar>
              <w:top w:w="40" w:type="dxa"/>
              <w:left w:w="20" w:type="dxa"/>
              <w:bottom w:w="40" w:type="dxa"/>
              <w:right w:w="20" w:type="dxa"/>
            </w:tcMar>
            <w:vAlign w:val="bottom"/>
          </w:tcPr>
          <w:p w14:paraId="392C890D" w14:textId="77777777" w:rsidR="00980E5F" w:rsidRDefault="00483613">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890E"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90F" w14:textId="77777777" w:rsidR="00980E5F" w:rsidRDefault="00483613">
            <w:pPr>
              <w:jc w:val="right"/>
              <w:textAlignment w:val="bottom"/>
            </w:pPr>
            <w:r>
              <w:rPr>
                <w:rFonts w:ascii="Arial" w:eastAsia="宋体" w:hAnsi="Arial" w:cs="Arial"/>
                <w:b/>
                <w:bCs/>
                <w:color w:val="000000"/>
                <w:sz w:val="13"/>
                <w:szCs w:val="13"/>
              </w:rPr>
              <w:t>(207)</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9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1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912"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913" w14:textId="77777777" w:rsidR="00980E5F" w:rsidRDefault="00483613">
            <w:pPr>
              <w:jc w:val="right"/>
              <w:textAlignment w:val="bottom"/>
            </w:pPr>
            <w:r>
              <w:rPr>
                <w:rFonts w:ascii="Arial" w:eastAsia="宋体" w:hAnsi="Arial" w:cs="Arial"/>
                <w:color w:val="000000"/>
                <w:sz w:val="13"/>
                <w:szCs w:val="13"/>
              </w:rPr>
              <w:t>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914" w14:textId="77777777" w:rsidR="00980E5F" w:rsidRDefault="00980E5F">
            <w:pPr>
              <w:jc w:val="right"/>
              <w:rPr>
                <w:rFonts w:ascii="宋体"/>
              </w:rPr>
            </w:pPr>
          </w:p>
        </w:tc>
        <w:tc>
          <w:tcPr>
            <w:tcW w:w="0" w:type="auto"/>
            <w:shd w:val="clear" w:color="auto" w:fill="auto"/>
            <w:vAlign w:val="bottom"/>
          </w:tcPr>
          <w:p w14:paraId="392C8915" w14:textId="77777777" w:rsidR="00980E5F" w:rsidRDefault="00980E5F">
            <w:pPr>
              <w:rPr>
                <w:rFonts w:ascii="宋体"/>
                <w:vanish/>
              </w:rPr>
            </w:pPr>
          </w:p>
        </w:tc>
        <w:tc>
          <w:tcPr>
            <w:tcW w:w="0" w:type="auto"/>
            <w:shd w:val="clear" w:color="auto" w:fill="auto"/>
            <w:vAlign w:val="bottom"/>
          </w:tcPr>
          <w:p w14:paraId="392C8916"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91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91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91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91A"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91B" w14:textId="77777777" w:rsidR="00980E5F" w:rsidRDefault="00483613">
            <w:pPr>
              <w:jc w:val="right"/>
              <w:textAlignment w:val="bottom"/>
            </w:pPr>
            <w:r>
              <w:rPr>
                <w:rFonts w:ascii="Arial" w:eastAsia="宋体" w:hAnsi="Arial" w:cs="Arial"/>
                <w:b/>
                <w:bCs/>
                <w:color w:val="000000"/>
                <w:sz w:val="13"/>
                <w:szCs w:val="13"/>
              </w:rPr>
              <w:t>31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9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1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891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891F" w14:textId="77777777" w:rsidR="00980E5F" w:rsidRDefault="00483613">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920" w14:textId="77777777" w:rsidR="00980E5F" w:rsidRDefault="00980E5F">
            <w:pPr>
              <w:jc w:val="right"/>
              <w:rPr>
                <w:rFonts w:ascii="宋体"/>
              </w:rPr>
            </w:pPr>
          </w:p>
        </w:tc>
        <w:tc>
          <w:tcPr>
            <w:tcW w:w="0" w:type="auto"/>
            <w:gridSpan w:val="3"/>
            <w:shd w:val="clear" w:color="auto" w:fill="auto"/>
            <w:vAlign w:val="bottom"/>
          </w:tcPr>
          <w:p w14:paraId="392C8921" w14:textId="77777777" w:rsidR="00980E5F" w:rsidRDefault="00980E5F">
            <w:pPr>
              <w:rPr>
                <w:rFonts w:ascii="宋体"/>
                <w:vanish/>
              </w:rPr>
            </w:pPr>
          </w:p>
        </w:tc>
        <w:tc>
          <w:tcPr>
            <w:tcW w:w="0" w:type="auto"/>
            <w:gridSpan w:val="3"/>
            <w:shd w:val="clear" w:color="auto" w:fill="auto"/>
            <w:vAlign w:val="bottom"/>
          </w:tcPr>
          <w:p w14:paraId="392C8922" w14:textId="77777777" w:rsidR="00980E5F" w:rsidRDefault="00980E5F">
            <w:pPr>
              <w:rPr>
                <w:rFonts w:ascii="宋体"/>
                <w:vanish/>
              </w:rPr>
            </w:pPr>
          </w:p>
        </w:tc>
      </w:tr>
      <w:tr w:rsidR="00980E5F" w14:paraId="392C8932" w14:textId="77777777">
        <w:trPr>
          <w:trHeight w:val="100"/>
        </w:trPr>
        <w:tc>
          <w:tcPr>
            <w:tcW w:w="0" w:type="auto"/>
            <w:gridSpan w:val="3"/>
            <w:shd w:val="clear" w:color="auto" w:fill="auto"/>
            <w:tcMar>
              <w:top w:w="0" w:type="dxa"/>
              <w:left w:w="20" w:type="dxa"/>
              <w:bottom w:w="0" w:type="dxa"/>
              <w:right w:w="20" w:type="dxa"/>
            </w:tcMar>
            <w:vAlign w:val="bottom"/>
          </w:tcPr>
          <w:p w14:paraId="392C892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2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2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27" w14:textId="77777777" w:rsidR="00980E5F" w:rsidRDefault="00980E5F">
            <w:pPr>
              <w:rPr>
                <w:rFonts w:ascii="宋体"/>
              </w:rPr>
            </w:pPr>
          </w:p>
        </w:tc>
        <w:tc>
          <w:tcPr>
            <w:tcW w:w="0" w:type="auto"/>
            <w:shd w:val="clear" w:color="auto" w:fill="auto"/>
            <w:vAlign w:val="bottom"/>
          </w:tcPr>
          <w:p w14:paraId="392C8928" w14:textId="77777777" w:rsidR="00980E5F" w:rsidRDefault="00980E5F">
            <w:pPr>
              <w:rPr>
                <w:rFonts w:ascii="宋体"/>
                <w:vanish/>
              </w:rPr>
            </w:pPr>
          </w:p>
        </w:tc>
        <w:tc>
          <w:tcPr>
            <w:tcW w:w="0" w:type="auto"/>
            <w:shd w:val="clear" w:color="auto" w:fill="auto"/>
            <w:vAlign w:val="bottom"/>
          </w:tcPr>
          <w:p w14:paraId="392C8929"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9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2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2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2F" w14:textId="77777777" w:rsidR="00980E5F" w:rsidRDefault="00980E5F">
            <w:pPr>
              <w:rPr>
                <w:rFonts w:ascii="宋体"/>
              </w:rPr>
            </w:pPr>
          </w:p>
        </w:tc>
        <w:tc>
          <w:tcPr>
            <w:tcW w:w="0" w:type="auto"/>
            <w:gridSpan w:val="3"/>
            <w:shd w:val="clear" w:color="auto" w:fill="auto"/>
            <w:vAlign w:val="bottom"/>
          </w:tcPr>
          <w:p w14:paraId="392C8930" w14:textId="77777777" w:rsidR="00980E5F" w:rsidRDefault="00980E5F">
            <w:pPr>
              <w:rPr>
                <w:rFonts w:ascii="宋体"/>
                <w:vanish/>
              </w:rPr>
            </w:pPr>
          </w:p>
        </w:tc>
        <w:tc>
          <w:tcPr>
            <w:tcW w:w="0" w:type="auto"/>
            <w:gridSpan w:val="3"/>
            <w:shd w:val="clear" w:color="auto" w:fill="auto"/>
            <w:vAlign w:val="bottom"/>
          </w:tcPr>
          <w:p w14:paraId="392C8931" w14:textId="77777777" w:rsidR="00980E5F" w:rsidRDefault="00980E5F">
            <w:pPr>
              <w:rPr>
                <w:rFonts w:ascii="宋体"/>
                <w:vanish/>
              </w:rPr>
            </w:pPr>
          </w:p>
        </w:tc>
      </w:tr>
      <w:tr w:rsidR="00980E5F" w14:paraId="392C8941" w14:textId="77777777">
        <w:tc>
          <w:tcPr>
            <w:tcW w:w="0" w:type="auto"/>
            <w:gridSpan w:val="3"/>
            <w:shd w:val="clear" w:color="auto" w:fill="auto"/>
            <w:tcMar>
              <w:top w:w="40" w:type="dxa"/>
              <w:left w:w="20" w:type="dxa"/>
              <w:bottom w:w="40" w:type="dxa"/>
              <w:right w:w="20" w:type="dxa"/>
            </w:tcMar>
            <w:vAlign w:val="bottom"/>
          </w:tcPr>
          <w:p w14:paraId="392C8933" w14:textId="77777777" w:rsidR="00980E5F" w:rsidRDefault="00483613">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392C893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6" w14:textId="77777777" w:rsidR="00980E5F" w:rsidRDefault="00980E5F">
            <w:pPr>
              <w:rPr>
                <w:rFonts w:ascii="宋体"/>
              </w:rPr>
            </w:pPr>
          </w:p>
        </w:tc>
        <w:tc>
          <w:tcPr>
            <w:tcW w:w="0" w:type="auto"/>
            <w:shd w:val="clear" w:color="auto" w:fill="auto"/>
            <w:vAlign w:val="bottom"/>
          </w:tcPr>
          <w:p w14:paraId="392C8937" w14:textId="77777777" w:rsidR="00980E5F" w:rsidRDefault="00980E5F">
            <w:pPr>
              <w:rPr>
                <w:rFonts w:ascii="宋体"/>
                <w:vanish/>
              </w:rPr>
            </w:pPr>
          </w:p>
        </w:tc>
        <w:tc>
          <w:tcPr>
            <w:tcW w:w="0" w:type="auto"/>
            <w:shd w:val="clear" w:color="auto" w:fill="auto"/>
            <w:vAlign w:val="bottom"/>
          </w:tcPr>
          <w:p w14:paraId="392C8938"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9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3E" w14:textId="77777777" w:rsidR="00980E5F" w:rsidRDefault="00980E5F">
            <w:pPr>
              <w:rPr>
                <w:rFonts w:ascii="宋体"/>
              </w:rPr>
            </w:pPr>
          </w:p>
        </w:tc>
        <w:tc>
          <w:tcPr>
            <w:tcW w:w="0" w:type="auto"/>
            <w:gridSpan w:val="3"/>
            <w:shd w:val="clear" w:color="auto" w:fill="auto"/>
            <w:vAlign w:val="bottom"/>
          </w:tcPr>
          <w:p w14:paraId="392C893F" w14:textId="77777777" w:rsidR="00980E5F" w:rsidRDefault="00980E5F">
            <w:pPr>
              <w:rPr>
                <w:rFonts w:ascii="宋体"/>
                <w:vanish/>
              </w:rPr>
            </w:pPr>
          </w:p>
        </w:tc>
        <w:tc>
          <w:tcPr>
            <w:tcW w:w="0" w:type="auto"/>
            <w:gridSpan w:val="3"/>
            <w:shd w:val="clear" w:color="auto" w:fill="auto"/>
            <w:vAlign w:val="bottom"/>
          </w:tcPr>
          <w:p w14:paraId="392C8940" w14:textId="77777777" w:rsidR="00980E5F" w:rsidRDefault="00980E5F">
            <w:pPr>
              <w:rPr>
                <w:rFonts w:ascii="宋体"/>
                <w:vanish/>
              </w:rPr>
            </w:pPr>
          </w:p>
        </w:tc>
      </w:tr>
      <w:tr w:rsidR="00980E5F" w14:paraId="392C8958" w14:textId="77777777">
        <w:tc>
          <w:tcPr>
            <w:tcW w:w="0" w:type="auto"/>
            <w:gridSpan w:val="3"/>
            <w:shd w:val="clear" w:color="auto" w:fill="CCEEFF"/>
            <w:tcMar>
              <w:top w:w="40" w:type="dxa"/>
              <w:left w:w="20" w:type="dxa"/>
              <w:bottom w:w="40" w:type="dxa"/>
              <w:right w:w="20" w:type="dxa"/>
            </w:tcMar>
            <w:vAlign w:val="bottom"/>
          </w:tcPr>
          <w:p w14:paraId="392C8942" w14:textId="77777777" w:rsidR="00980E5F" w:rsidRDefault="00483613">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392C8943"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944" w14:textId="77777777" w:rsidR="00980E5F" w:rsidRDefault="00483613">
            <w:pPr>
              <w:jc w:val="right"/>
              <w:textAlignment w:val="bottom"/>
            </w:pPr>
            <w:r>
              <w:rPr>
                <w:rFonts w:ascii="Arial" w:eastAsia="宋体" w:hAnsi="Arial" w:cs="Arial"/>
                <w:b/>
                <w:bCs/>
                <w:color w:val="000000"/>
                <w:sz w:val="13"/>
                <w:szCs w:val="13"/>
              </w:rPr>
              <w:t>328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9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4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947"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948" w14:textId="77777777" w:rsidR="00980E5F" w:rsidRDefault="00483613">
            <w:pPr>
              <w:jc w:val="right"/>
              <w:textAlignment w:val="bottom"/>
            </w:pPr>
            <w:r>
              <w:rPr>
                <w:rFonts w:ascii="Arial" w:eastAsia="宋体" w:hAnsi="Arial" w:cs="Arial"/>
                <w:color w:val="000000"/>
                <w:sz w:val="13"/>
                <w:szCs w:val="13"/>
              </w:rPr>
              <w:t>111 </w:t>
            </w:r>
          </w:p>
        </w:tc>
        <w:tc>
          <w:tcPr>
            <w:tcW w:w="0" w:type="auto"/>
            <w:shd w:val="clear" w:color="auto" w:fill="CCEEFF"/>
            <w:tcMar>
              <w:top w:w="40" w:type="dxa"/>
              <w:left w:w="0" w:type="dxa"/>
              <w:bottom w:w="40" w:type="dxa"/>
              <w:right w:w="20" w:type="dxa"/>
            </w:tcMar>
            <w:vAlign w:val="bottom"/>
          </w:tcPr>
          <w:p w14:paraId="392C8949" w14:textId="77777777" w:rsidR="00980E5F" w:rsidRDefault="00980E5F">
            <w:pPr>
              <w:jc w:val="right"/>
              <w:rPr>
                <w:rFonts w:ascii="宋体"/>
              </w:rPr>
            </w:pPr>
          </w:p>
        </w:tc>
        <w:tc>
          <w:tcPr>
            <w:tcW w:w="0" w:type="auto"/>
            <w:shd w:val="clear" w:color="auto" w:fill="auto"/>
            <w:vAlign w:val="bottom"/>
          </w:tcPr>
          <w:p w14:paraId="392C894A" w14:textId="77777777" w:rsidR="00980E5F" w:rsidRDefault="00980E5F">
            <w:pPr>
              <w:rPr>
                <w:rFonts w:ascii="宋体"/>
                <w:vanish/>
              </w:rPr>
            </w:pPr>
          </w:p>
        </w:tc>
        <w:tc>
          <w:tcPr>
            <w:tcW w:w="0" w:type="auto"/>
            <w:shd w:val="clear" w:color="auto" w:fill="auto"/>
            <w:vAlign w:val="bottom"/>
          </w:tcPr>
          <w:p w14:paraId="392C894B"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94C"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894D" w14:textId="77777777" w:rsidR="00980E5F" w:rsidRDefault="00483613">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392C894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94F" w14:textId="77777777" w:rsidR="00980E5F" w:rsidRDefault="00483613">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392C8950"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9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5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953" w14:textId="77777777" w:rsidR="00980E5F" w:rsidRDefault="00483613">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392C8954"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8955" w14:textId="77777777" w:rsidR="00980E5F" w:rsidRDefault="00980E5F">
            <w:pPr>
              <w:jc w:val="right"/>
              <w:rPr>
                <w:rFonts w:ascii="宋体"/>
              </w:rPr>
            </w:pPr>
          </w:p>
        </w:tc>
        <w:tc>
          <w:tcPr>
            <w:tcW w:w="0" w:type="auto"/>
            <w:gridSpan w:val="3"/>
            <w:shd w:val="clear" w:color="auto" w:fill="auto"/>
            <w:vAlign w:val="bottom"/>
          </w:tcPr>
          <w:p w14:paraId="392C8956" w14:textId="77777777" w:rsidR="00980E5F" w:rsidRDefault="00980E5F">
            <w:pPr>
              <w:rPr>
                <w:rFonts w:ascii="宋体"/>
                <w:vanish/>
              </w:rPr>
            </w:pPr>
          </w:p>
        </w:tc>
        <w:tc>
          <w:tcPr>
            <w:tcW w:w="0" w:type="auto"/>
            <w:gridSpan w:val="3"/>
            <w:shd w:val="clear" w:color="auto" w:fill="auto"/>
            <w:vAlign w:val="bottom"/>
          </w:tcPr>
          <w:p w14:paraId="392C8957" w14:textId="77777777" w:rsidR="00980E5F" w:rsidRDefault="00980E5F">
            <w:pPr>
              <w:rPr>
                <w:rFonts w:ascii="宋体"/>
                <w:vanish/>
              </w:rPr>
            </w:pPr>
          </w:p>
        </w:tc>
      </w:tr>
      <w:tr w:rsidR="00980E5F" w14:paraId="392C896B" w14:textId="77777777">
        <w:tc>
          <w:tcPr>
            <w:tcW w:w="0" w:type="auto"/>
            <w:gridSpan w:val="3"/>
            <w:shd w:val="clear" w:color="auto" w:fill="FFFFFF"/>
            <w:tcMar>
              <w:top w:w="40" w:type="dxa"/>
              <w:left w:w="20" w:type="dxa"/>
              <w:bottom w:w="40" w:type="dxa"/>
              <w:right w:w="20" w:type="dxa"/>
            </w:tcMar>
            <w:vAlign w:val="bottom"/>
          </w:tcPr>
          <w:p w14:paraId="392C8959" w14:textId="77777777" w:rsidR="00980E5F" w:rsidRDefault="00483613">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95A" w14:textId="77777777" w:rsidR="00980E5F" w:rsidRDefault="00483613">
            <w:pPr>
              <w:jc w:val="right"/>
              <w:textAlignment w:val="bottom"/>
            </w:pPr>
            <w:r>
              <w:rPr>
                <w:rFonts w:ascii="Arial" w:eastAsia="宋体" w:hAnsi="Arial" w:cs="Arial"/>
                <w:b/>
                <w:bCs/>
                <w:color w:val="000000"/>
                <w:sz w:val="13"/>
                <w:szCs w:val="13"/>
              </w:rPr>
              <w:t>328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9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95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95D" w14:textId="77777777" w:rsidR="00980E5F" w:rsidRDefault="00483613">
            <w:pPr>
              <w:jc w:val="right"/>
              <w:textAlignment w:val="bottom"/>
            </w:pPr>
            <w:r>
              <w:rPr>
                <w:rFonts w:ascii="Arial" w:eastAsia="宋体" w:hAnsi="Arial" w:cs="Arial"/>
                <w:color w:val="000000"/>
                <w:sz w:val="13"/>
                <w:szCs w:val="13"/>
              </w:rPr>
              <w:t>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95E" w14:textId="77777777" w:rsidR="00980E5F" w:rsidRDefault="00980E5F">
            <w:pPr>
              <w:jc w:val="right"/>
              <w:rPr>
                <w:rFonts w:ascii="宋体"/>
              </w:rPr>
            </w:pPr>
          </w:p>
        </w:tc>
        <w:tc>
          <w:tcPr>
            <w:tcW w:w="0" w:type="auto"/>
            <w:shd w:val="clear" w:color="auto" w:fill="auto"/>
            <w:vAlign w:val="bottom"/>
          </w:tcPr>
          <w:p w14:paraId="392C895F" w14:textId="77777777" w:rsidR="00980E5F" w:rsidRDefault="00980E5F">
            <w:pPr>
              <w:rPr>
                <w:rFonts w:ascii="宋体"/>
                <w:vanish/>
              </w:rPr>
            </w:pPr>
          </w:p>
        </w:tc>
        <w:tc>
          <w:tcPr>
            <w:tcW w:w="0" w:type="auto"/>
            <w:shd w:val="clear" w:color="auto" w:fill="auto"/>
            <w:vAlign w:val="bottom"/>
          </w:tcPr>
          <w:p w14:paraId="392C8960"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896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96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96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964"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9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96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967" w14:textId="77777777" w:rsidR="00980E5F" w:rsidRDefault="00483613">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968" w14:textId="77777777" w:rsidR="00980E5F" w:rsidRDefault="00980E5F">
            <w:pPr>
              <w:jc w:val="right"/>
              <w:rPr>
                <w:rFonts w:ascii="宋体"/>
              </w:rPr>
            </w:pPr>
          </w:p>
        </w:tc>
        <w:tc>
          <w:tcPr>
            <w:tcW w:w="0" w:type="auto"/>
            <w:gridSpan w:val="3"/>
            <w:shd w:val="clear" w:color="auto" w:fill="auto"/>
            <w:vAlign w:val="bottom"/>
          </w:tcPr>
          <w:p w14:paraId="392C8969" w14:textId="77777777" w:rsidR="00980E5F" w:rsidRDefault="00980E5F">
            <w:pPr>
              <w:rPr>
                <w:rFonts w:ascii="宋体"/>
                <w:vanish/>
              </w:rPr>
            </w:pPr>
          </w:p>
        </w:tc>
        <w:tc>
          <w:tcPr>
            <w:tcW w:w="0" w:type="auto"/>
            <w:gridSpan w:val="3"/>
            <w:shd w:val="clear" w:color="auto" w:fill="auto"/>
            <w:vAlign w:val="bottom"/>
          </w:tcPr>
          <w:p w14:paraId="392C896A" w14:textId="77777777" w:rsidR="00980E5F" w:rsidRDefault="00980E5F">
            <w:pPr>
              <w:rPr>
                <w:rFonts w:ascii="宋体"/>
                <w:vanish/>
              </w:rPr>
            </w:pPr>
          </w:p>
        </w:tc>
      </w:tr>
      <w:tr w:rsidR="00980E5F" w14:paraId="392C897A" w14:textId="77777777">
        <w:trPr>
          <w:trHeight w:val="60"/>
        </w:trPr>
        <w:tc>
          <w:tcPr>
            <w:tcW w:w="0" w:type="auto"/>
            <w:gridSpan w:val="3"/>
            <w:shd w:val="clear" w:color="auto" w:fill="auto"/>
            <w:tcMar>
              <w:top w:w="0" w:type="dxa"/>
              <w:left w:w="20" w:type="dxa"/>
              <w:bottom w:w="0" w:type="dxa"/>
              <w:right w:w="20" w:type="dxa"/>
            </w:tcMar>
            <w:vAlign w:val="bottom"/>
          </w:tcPr>
          <w:p w14:paraId="392C896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6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6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6F" w14:textId="77777777" w:rsidR="00980E5F" w:rsidRDefault="00980E5F">
            <w:pPr>
              <w:rPr>
                <w:rFonts w:ascii="宋体"/>
              </w:rPr>
            </w:pPr>
          </w:p>
        </w:tc>
        <w:tc>
          <w:tcPr>
            <w:tcW w:w="0" w:type="auto"/>
            <w:shd w:val="clear" w:color="auto" w:fill="auto"/>
            <w:vAlign w:val="bottom"/>
          </w:tcPr>
          <w:p w14:paraId="392C8970" w14:textId="77777777" w:rsidR="00980E5F" w:rsidRDefault="00980E5F">
            <w:pPr>
              <w:rPr>
                <w:rFonts w:ascii="宋体"/>
                <w:vanish/>
              </w:rPr>
            </w:pPr>
          </w:p>
        </w:tc>
        <w:tc>
          <w:tcPr>
            <w:tcW w:w="0" w:type="auto"/>
            <w:shd w:val="clear" w:color="auto" w:fill="auto"/>
            <w:vAlign w:val="bottom"/>
          </w:tcPr>
          <w:p w14:paraId="392C8971"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897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7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7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7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77" w14:textId="77777777" w:rsidR="00980E5F" w:rsidRDefault="00980E5F">
            <w:pPr>
              <w:rPr>
                <w:rFonts w:ascii="宋体"/>
              </w:rPr>
            </w:pPr>
          </w:p>
        </w:tc>
        <w:tc>
          <w:tcPr>
            <w:tcW w:w="0" w:type="auto"/>
            <w:gridSpan w:val="3"/>
            <w:shd w:val="clear" w:color="auto" w:fill="auto"/>
            <w:vAlign w:val="bottom"/>
          </w:tcPr>
          <w:p w14:paraId="392C8978" w14:textId="77777777" w:rsidR="00980E5F" w:rsidRDefault="00980E5F">
            <w:pPr>
              <w:rPr>
                <w:rFonts w:ascii="宋体"/>
                <w:vanish/>
              </w:rPr>
            </w:pPr>
          </w:p>
        </w:tc>
        <w:tc>
          <w:tcPr>
            <w:tcW w:w="0" w:type="auto"/>
            <w:gridSpan w:val="3"/>
            <w:shd w:val="clear" w:color="auto" w:fill="auto"/>
            <w:vAlign w:val="bottom"/>
          </w:tcPr>
          <w:p w14:paraId="392C8979" w14:textId="77777777" w:rsidR="00980E5F" w:rsidRDefault="00980E5F">
            <w:pPr>
              <w:rPr>
                <w:rFonts w:ascii="宋体"/>
                <w:vanish/>
              </w:rPr>
            </w:pPr>
          </w:p>
        </w:tc>
      </w:tr>
      <w:tr w:rsidR="00980E5F" w14:paraId="392C8991" w14:textId="77777777">
        <w:tc>
          <w:tcPr>
            <w:tcW w:w="0" w:type="auto"/>
            <w:gridSpan w:val="3"/>
            <w:shd w:val="clear" w:color="auto" w:fill="CCEEFF"/>
            <w:tcMar>
              <w:top w:w="40" w:type="dxa"/>
              <w:left w:w="20" w:type="dxa"/>
              <w:bottom w:w="40" w:type="dxa"/>
              <w:right w:w="20" w:type="dxa"/>
            </w:tcMar>
            <w:vAlign w:val="bottom"/>
          </w:tcPr>
          <w:p w14:paraId="392C897B"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97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97D" w14:textId="77777777" w:rsidR="00980E5F" w:rsidRDefault="00483613">
            <w:pPr>
              <w:jc w:val="right"/>
              <w:textAlignment w:val="bottom"/>
            </w:pPr>
            <w:r>
              <w:rPr>
                <w:rFonts w:ascii="Arial" w:eastAsia="宋体" w:hAnsi="Arial" w:cs="Arial"/>
                <w:b/>
                <w:bCs/>
                <w:color w:val="000000"/>
                <w:sz w:val="13"/>
                <w:szCs w:val="13"/>
              </w:rPr>
              <w:t>121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9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7F" w14:textId="77777777" w:rsidR="00980E5F" w:rsidRDefault="00980E5F">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392C8980" w14:textId="77777777" w:rsidR="00980E5F" w:rsidRDefault="00483613">
            <w:pPr>
              <w:textAlignment w:val="bottom"/>
            </w:pPr>
            <w:r>
              <w:rPr>
                <w:rFonts w:ascii="Arial" w:eastAsia="宋体" w:hAnsi="Arial" w:cs="Arial"/>
                <w:color w:val="000000"/>
                <w:sz w:val="13"/>
                <w:szCs w:val="13"/>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392C8981" w14:textId="77777777" w:rsidR="00980E5F" w:rsidRDefault="00483613">
            <w:pPr>
              <w:jc w:val="right"/>
              <w:textAlignment w:val="bottom"/>
            </w:pPr>
            <w:r>
              <w:rPr>
                <w:rFonts w:ascii="Arial" w:eastAsia="宋体" w:hAnsi="Arial" w:cs="Arial"/>
                <w:color w:val="000000"/>
                <w:sz w:val="13"/>
                <w:szCs w:val="13"/>
              </w:rPr>
              <w:t>148 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392C8982" w14:textId="77777777" w:rsidR="00980E5F" w:rsidRDefault="00980E5F">
            <w:pPr>
              <w:jc w:val="right"/>
              <w:rPr>
                <w:rFonts w:ascii="宋体"/>
              </w:rPr>
            </w:pPr>
          </w:p>
        </w:tc>
        <w:tc>
          <w:tcPr>
            <w:tcW w:w="0" w:type="auto"/>
            <w:shd w:val="clear" w:color="auto" w:fill="auto"/>
            <w:vAlign w:val="bottom"/>
          </w:tcPr>
          <w:p w14:paraId="392C8983" w14:textId="77777777" w:rsidR="00980E5F" w:rsidRDefault="00980E5F">
            <w:pPr>
              <w:rPr>
                <w:rFonts w:ascii="宋体"/>
                <w:vanish/>
              </w:rPr>
            </w:pPr>
          </w:p>
        </w:tc>
        <w:tc>
          <w:tcPr>
            <w:tcW w:w="0" w:type="auto"/>
            <w:shd w:val="clear" w:color="auto" w:fill="auto"/>
            <w:vAlign w:val="bottom"/>
          </w:tcPr>
          <w:p w14:paraId="392C8984" w14:textId="77777777" w:rsidR="00980E5F" w:rsidRDefault="00980E5F">
            <w:pPr>
              <w:rPr>
                <w:rFonts w:ascii="宋体"/>
                <w:vanish/>
              </w:rPr>
            </w:pPr>
          </w:p>
        </w:tc>
        <w:tc>
          <w:tcPr>
            <w:tcW w:w="0" w:type="auto"/>
            <w:gridSpan w:val="3"/>
            <w:shd w:val="clear" w:color="auto" w:fill="CCEEFF"/>
            <w:tcMar>
              <w:top w:w="0" w:type="dxa"/>
              <w:left w:w="20" w:type="dxa"/>
              <w:bottom w:w="0" w:type="dxa"/>
              <w:right w:w="20" w:type="dxa"/>
            </w:tcMar>
            <w:vAlign w:val="bottom"/>
          </w:tcPr>
          <w:p w14:paraId="392C898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98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98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988"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989" w14:textId="77777777" w:rsidR="00980E5F" w:rsidRDefault="00483613">
            <w:pPr>
              <w:jc w:val="right"/>
              <w:textAlignment w:val="bottom"/>
            </w:pPr>
            <w:r>
              <w:rPr>
                <w:rFonts w:ascii="Arial" w:eastAsia="宋体" w:hAnsi="Arial" w:cs="Arial"/>
                <w:b/>
                <w:bCs/>
                <w:color w:val="000000"/>
                <w:sz w:val="13"/>
                <w:szCs w:val="13"/>
              </w:rPr>
              <w:t>31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9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98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98C"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98D" w14:textId="77777777" w:rsidR="00980E5F" w:rsidRDefault="00483613">
            <w:pPr>
              <w:jc w:val="right"/>
              <w:textAlignment w:val="bottom"/>
            </w:pPr>
            <w:r>
              <w:rPr>
                <w:rFonts w:ascii="Arial" w:eastAsia="宋体" w:hAnsi="Arial" w:cs="Arial"/>
                <w:color w:val="000000"/>
                <w:sz w:val="13"/>
                <w:szCs w:val="13"/>
              </w:rPr>
              <w:t>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98E" w14:textId="77777777" w:rsidR="00980E5F" w:rsidRDefault="00980E5F">
            <w:pPr>
              <w:jc w:val="right"/>
              <w:rPr>
                <w:rFonts w:ascii="宋体"/>
              </w:rPr>
            </w:pPr>
          </w:p>
        </w:tc>
        <w:tc>
          <w:tcPr>
            <w:tcW w:w="0" w:type="auto"/>
            <w:gridSpan w:val="3"/>
            <w:shd w:val="clear" w:color="auto" w:fill="auto"/>
            <w:vAlign w:val="bottom"/>
          </w:tcPr>
          <w:p w14:paraId="392C898F" w14:textId="77777777" w:rsidR="00980E5F" w:rsidRDefault="00980E5F">
            <w:pPr>
              <w:rPr>
                <w:rFonts w:ascii="宋体"/>
                <w:vanish/>
              </w:rPr>
            </w:pPr>
          </w:p>
        </w:tc>
        <w:tc>
          <w:tcPr>
            <w:tcW w:w="0" w:type="auto"/>
            <w:gridSpan w:val="3"/>
            <w:shd w:val="clear" w:color="auto" w:fill="auto"/>
            <w:vAlign w:val="bottom"/>
          </w:tcPr>
          <w:p w14:paraId="392C8990" w14:textId="77777777" w:rsidR="00980E5F" w:rsidRDefault="00980E5F">
            <w:pPr>
              <w:rPr>
                <w:rFonts w:ascii="宋体"/>
                <w:vanish/>
              </w:rPr>
            </w:pPr>
          </w:p>
        </w:tc>
      </w:tr>
    </w:tbl>
    <w:p w14:paraId="392C8992" w14:textId="77777777" w:rsidR="00980E5F" w:rsidRDefault="00980E5F">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980E5F" w14:paraId="392C89A2" w14:textId="77777777">
        <w:tc>
          <w:tcPr>
            <w:tcW w:w="20" w:type="dxa"/>
            <w:shd w:val="clear" w:color="auto" w:fill="auto"/>
            <w:vAlign w:val="bottom"/>
          </w:tcPr>
          <w:p w14:paraId="392C8993" w14:textId="77777777" w:rsidR="00980E5F" w:rsidRDefault="00980E5F">
            <w:pPr>
              <w:rPr>
                <w:rFonts w:ascii="宋体"/>
              </w:rPr>
            </w:pPr>
          </w:p>
        </w:tc>
        <w:tc>
          <w:tcPr>
            <w:tcW w:w="2840" w:type="dxa"/>
            <w:shd w:val="clear" w:color="auto" w:fill="auto"/>
            <w:vAlign w:val="bottom"/>
          </w:tcPr>
          <w:p w14:paraId="392C8994" w14:textId="77777777" w:rsidR="00980E5F" w:rsidRDefault="00980E5F">
            <w:pPr>
              <w:rPr>
                <w:rFonts w:ascii="宋体"/>
              </w:rPr>
            </w:pPr>
          </w:p>
        </w:tc>
        <w:tc>
          <w:tcPr>
            <w:tcW w:w="20" w:type="dxa"/>
            <w:shd w:val="clear" w:color="auto" w:fill="auto"/>
            <w:vAlign w:val="bottom"/>
          </w:tcPr>
          <w:p w14:paraId="392C8995" w14:textId="77777777" w:rsidR="00980E5F" w:rsidRDefault="00980E5F">
            <w:pPr>
              <w:rPr>
                <w:rFonts w:ascii="宋体"/>
              </w:rPr>
            </w:pPr>
          </w:p>
        </w:tc>
        <w:tc>
          <w:tcPr>
            <w:tcW w:w="20" w:type="dxa"/>
            <w:shd w:val="clear" w:color="auto" w:fill="auto"/>
            <w:vAlign w:val="bottom"/>
          </w:tcPr>
          <w:p w14:paraId="392C8996" w14:textId="77777777" w:rsidR="00980E5F" w:rsidRDefault="00980E5F">
            <w:pPr>
              <w:rPr>
                <w:rFonts w:ascii="宋体"/>
              </w:rPr>
            </w:pPr>
          </w:p>
        </w:tc>
        <w:tc>
          <w:tcPr>
            <w:tcW w:w="1475" w:type="dxa"/>
            <w:shd w:val="clear" w:color="auto" w:fill="auto"/>
            <w:vAlign w:val="bottom"/>
          </w:tcPr>
          <w:p w14:paraId="392C8997" w14:textId="77777777" w:rsidR="00980E5F" w:rsidRDefault="00980E5F">
            <w:pPr>
              <w:rPr>
                <w:rFonts w:ascii="宋体"/>
              </w:rPr>
            </w:pPr>
          </w:p>
        </w:tc>
        <w:tc>
          <w:tcPr>
            <w:tcW w:w="20" w:type="dxa"/>
            <w:shd w:val="clear" w:color="auto" w:fill="auto"/>
            <w:vAlign w:val="bottom"/>
          </w:tcPr>
          <w:p w14:paraId="392C8998" w14:textId="77777777" w:rsidR="00980E5F" w:rsidRDefault="00980E5F">
            <w:pPr>
              <w:rPr>
                <w:rFonts w:ascii="宋体"/>
              </w:rPr>
            </w:pPr>
          </w:p>
        </w:tc>
        <w:tc>
          <w:tcPr>
            <w:tcW w:w="20" w:type="dxa"/>
            <w:shd w:val="clear" w:color="auto" w:fill="auto"/>
            <w:vAlign w:val="bottom"/>
          </w:tcPr>
          <w:p w14:paraId="392C8999" w14:textId="77777777" w:rsidR="00980E5F" w:rsidRDefault="00980E5F">
            <w:pPr>
              <w:rPr>
                <w:rFonts w:ascii="宋体"/>
              </w:rPr>
            </w:pPr>
          </w:p>
        </w:tc>
        <w:tc>
          <w:tcPr>
            <w:tcW w:w="1460" w:type="dxa"/>
            <w:shd w:val="clear" w:color="auto" w:fill="auto"/>
            <w:vAlign w:val="bottom"/>
          </w:tcPr>
          <w:p w14:paraId="392C899A" w14:textId="77777777" w:rsidR="00980E5F" w:rsidRDefault="00980E5F">
            <w:pPr>
              <w:rPr>
                <w:rFonts w:ascii="宋体"/>
              </w:rPr>
            </w:pPr>
          </w:p>
        </w:tc>
        <w:tc>
          <w:tcPr>
            <w:tcW w:w="20" w:type="dxa"/>
            <w:shd w:val="clear" w:color="auto" w:fill="auto"/>
            <w:vAlign w:val="bottom"/>
          </w:tcPr>
          <w:p w14:paraId="392C899B" w14:textId="77777777" w:rsidR="00980E5F" w:rsidRDefault="00980E5F">
            <w:pPr>
              <w:rPr>
                <w:rFonts w:ascii="宋体"/>
              </w:rPr>
            </w:pPr>
          </w:p>
        </w:tc>
        <w:tc>
          <w:tcPr>
            <w:tcW w:w="20" w:type="dxa"/>
            <w:shd w:val="clear" w:color="auto" w:fill="auto"/>
            <w:vAlign w:val="bottom"/>
          </w:tcPr>
          <w:p w14:paraId="392C899C" w14:textId="77777777" w:rsidR="00980E5F" w:rsidRDefault="00980E5F">
            <w:pPr>
              <w:rPr>
                <w:rFonts w:ascii="宋体"/>
              </w:rPr>
            </w:pPr>
          </w:p>
        </w:tc>
        <w:tc>
          <w:tcPr>
            <w:tcW w:w="2540" w:type="dxa"/>
            <w:shd w:val="clear" w:color="auto" w:fill="auto"/>
            <w:vAlign w:val="bottom"/>
          </w:tcPr>
          <w:p w14:paraId="392C899D" w14:textId="77777777" w:rsidR="00980E5F" w:rsidRDefault="00980E5F">
            <w:pPr>
              <w:rPr>
                <w:rFonts w:ascii="宋体"/>
              </w:rPr>
            </w:pPr>
          </w:p>
        </w:tc>
        <w:tc>
          <w:tcPr>
            <w:tcW w:w="20" w:type="dxa"/>
            <w:shd w:val="clear" w:color="auto" w:fill="auto"/>
            <w:vAlign w:val="bottom"/>
          </w:tcPr>
          <w:p w14:paraId="392C899E" w14:textId="77777777" w:rsidR="00980E5F" w:rsidRDefault="00980E5F">
            <w:pPr>
              <w:rPr>
                <w:rFonts w:ascii="宋体"/>
              </w:rPr>
            </w:pPr>
          </w:p>
        </w:tc>
        <w:tc>
          <w:tcPr>
            <w:tcW w:w="20" w:type="dxa"/>
            <w:shd w:val="clear" w:color="auto" w:fill="auto"/>
            <w:vAlign w:val="bottom"/>
          </w:tcPr>
          <w:p w14:paraId="392C899F" w14:textId="77777777" w:rsidR="00980E5F" w:rsidRDefault="00980E5F">
            <w:pPr>
              <w:rPr>
                <w:rFonts w:ascii="宋体"/>
              </w:rPr>
            </w:pPr>
          </w:p>
        </w:tc>
        <w:tc>
          <w:tcPr>
            <w:tcW w:w="1745" w:type="dxa"/>
            <w:shd w:val="clear" w:color="auto" w:fill="auto"/>
            <w:vAlign w:val="bottom"/>
          </w:tcPr>
          <w:p w14:paraId="392C89A0" w14:textId="77777777" w:rsidR="00980E5F" w:rsidRDefault="00980E5F">
            <w:pPr>
              <w:rPr>
                <w:rFonts w:ascii="宋体"/>
              </w:rPr>
            </w:pPr>
          </w:p>
        </w:tc>
        <w:tc>
          <w:tcPr>
            <w:tcW w:w="20" w:type="dxa"/>
            <w:shd w:val="clear" w:color="auto" w:fill="auto"/>
            <w:vAlign w:val="bottom"/>
          </w:tcPr>
          <w:p w14:paraId="392C89A1" w14:textId="77777777" w:rsidR="00980E5F" w:rsidRDefault="00980E5F">
            <w:pPr>
              <w:rPr>
                <w:rFonts w:ascii="宋体"/>
              </w:rPr>
            </w:pPr>
          </w:p>
        </w:tc>
      </w:tr>
      <w:tr w:rsidR="00980E5F" w14:paraId="392C89A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9A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A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A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A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A7" w14:textId="77777777" w:rsidR="00980E5F" w:rsidRDefault="00980E5F">
            <w:pPr>
              <w:rPr>
                <w:rFonts w:ascii="宋体"/>
              </w:rPr>
            </w:pPr>
          </w:p>
        </w:tc>
      </w:tr>
    </w:tbl>
    <w:p w14:paraId="392C89A9" w14:textId="77777777" w:rsidR="00980E5F" w:rsidRDefault="00483613">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As of June 30, 2022, the maximum </w:t>
      </w:r>
      <w:r>
        <w:rPr>
          <w:rFonts w:ascii="Arial" w:eastAsia="宋体" w:hAnsi="Arial" w:cs="Arial"/>
          <w:color w:val="000000"/>
          <w:sz w:val="13"/>
          <w:szCs w:val="13"/>
        </w:rPr>
        <w:t>maturity date of the underlying hedged items is approximately 4.3 years.</w:t>
      </w:r>
    </w:p>
    <w:p w14:paraId="392C89AA" w14:textId="77777777" w:rsidR="00980E5F" w:rsidRDefault="00483613">
      <w:pPr>
        <w:spacing w:before="60"/>
        <w:jc w:val="both"/>
      </w:pPr>
      <w:r>
        <w:rPr>
          <w:rFonts w:ascii="Arial" w:eastAsia="宋体" w:hAnsi="Arial" w:cs="Arial"/>
          <w:b/>
          <w:bCs/>
          <w:i/>
          <w:iCs/>
          <w:color w:val="000000"/>
          <w:sz w:val="20"/>
          <w:szCs w:val="20"/>
        </w:rPr>
        <w:t>Derivatives Netting and Credit Contingencies</w:t>
      </w:r>
    </w:p>
    <w:p w14:paraId="392C89AB" w14:textId="77777777" w:rsidR="00980E5F" w:rsidRDefault="00483613">
      <w:pPr>
        <w:spacing w:before="60"/>
        <w:jc w:val="both"/>
      </w:pPr>
      <w:r>
        <w:rPr>
          <w:rFonts w:ascii="Arial" w:eastAsia="宋体" w:hAnsi="Arial" w:cs="Arial"/>
          <w:i/>
          <w:iCs/>
          <w:color w:val="000000"/>
          <w:sz w:val="20"/>
          <w:szCs w:val="20"/>
        </w:rPr>
        <w:t>Netting</w:t>
      </w:r>
    </w:p>
    <w:p w14:paraId="392C89AC" w14:textId="77777777" w:rsidR="00980E5F" w:rsidRDefault="00483613">
      <w:pPr>
        <w:spacing w:before="60"/>
        <w:ind w:firstLine="450"/>
        <w:jc w:val="both"/>
      </w:pPr>
      <w:r>
        <w:rPr>
          <w:rFonts w:ascii="Arial" w:eastAsia="宋体" w:hAnsi="Arial" w:cs="Arial"/>
          <w:color w:val="000000"/>
          <w:sz w:val="20"/>
          <w:szCs w:val="20"/>
        </w:rPr>
        <w:t xml:space="preserve">Derivatives receivable and payable as well as cash collateral from the same counterparty are netted in the consolidated statement </w:t>
      </w:r>
      <w:r>
        <w:rPr>
          <w:rFonts w:ascii="Arial" w:eastAsia="宋体" w:hAnsi="Arial" w:cs="Arial"/>
          <w:color w:val="000000"/>
          <w:sz w:val="20"/>
          <w:szCs w:val="20"/>
        </w:rPr>
        <w:t>of condition for those counterparties with whom we have legally binding master netting agreements in place. In addition to cash collateral received and transferred presented on a net basis, we also receive and transfer collateral in the form of securities,</w:t>
      </w:r>
      <w:r>
        <w:rPr>
          <w:rFonts w:ascii="Arial" w:eastAsia="宋体" w:hAnsi="Arial" w:cs="Arial"/>
          <w:color w:val="000000"/>
          <w:sz w:val="20"/>
          <w:szCs w:val="20"/>
        </w:rPr>
        <w:t xml:space="preserve"> which mitigate credit risk but are not eligible for netting. Additional information on netting is provided in Note 8.</w:t>
      </w:r>
    </w:p>
    <w:p w14:paraId="392C89AD" w14:textId="77777777" w:rsidR="00980E5F" w:rsidRDefault="00483613">
      <w:pPr>
        <w:spacing w:before="60"/>
        <w:jc w:val="both"/>
      </w:pPr>
      <w:r>
        <w:rPr>
          <w:rFonts w:ascii="Arial" w:eastAsia="宋体" w:hAnsi="Arial" w:cs="Arial"/>
          <w:i/>
          <w:iCs/>
          <w:color w:val="000000"/>
          <w:sz w:val="20"/>
          <w:szCs w:val="20"/>
        </w:rPr>
        <w:t xml:space="preserve">Credit Contingencies </w:t>
      </w:r>
    </w:p>
    <w:p w14:paraId="392C89AE" w14:textId="77777777" w:rsidR="00980E5F" w:rsidRDefault="00483613">
      <w:pPr>
        <w:spacing w:before="60"/>
        <w:ind w:firstLine="450"/>
        <w:jc w:val="both"/>
      </w:pPr>
      <w:r>
        <w:rPr>
          <w:rFonts w:ascii="Arial" w:eastAsia="宋体" w:hAnsi="Arial" w:cs="Arial"/>
          <w:color w:val="000000"/>
          <w:sz w:val="20"/>
          <w:szCs w:val="20"/>
        </w:rPr>
        <w:t xml:space="preserve">Certain of our derivatives are subject to master netting agreements with our derivative </w:t>
      </w:r>
      <w:r>
        <w:rPr>
          <w:rFonts w:ascii="Arial" w:eastAsia="宋体" w:hAnsi="Arial" w:cs="Arial"/>
          <w:color w:val="000000"/>
          <w:sz w:val="20"/>
          <w:szCs w:val="20"/>
        </w:rPr>
        <w:t>counterparties containing credit risk-related contingent features, which requires us to maintain an investment grade credit rating with the various credit rating agencies. If our rating falls below investment grade, we would be in violation of the provisio</w:t>
      </w:r>
      <w:r>
        <w:rPr>
          <w:rFonts w:ascii="Arial" w:eastAsia="宋体" w:hAnsi="Arial" w:cs="Arial"/>
          <w:color w:val="000000"/>
          <w:sz w:val="20"/>
          <w:szCs w:val="20"/>
        </w:rPr>
        <w:t>ns, and counterparties to the derivatives could request immediate payment or demand full overnight collateralization on derivatives instruments in net liability positions. The aggregate fair value of all derivatives with credit contingent features and in a</w:t>
      </w:r>
      <w:r>
        <w:rPr>
          <w:rFonts w:ascii="Arial" w:eastAsia="宋体" w:hAnsi="Arial" w:cs="Arial"/>
          <w:color w:val="000000"/>
          <w:sz w:val="20"/>
          <w:szCs w:val="20"/>
        </w:rPr>
        <w:t xml:space="preserve"> liability position as of June 30, 2022 totaled approximately $5.63 billion, against which we provided $4.79 billion of collateral in the normal course of business. If our credit related contingent features underlying these agreements were triggered as of </w:t>
      </w:r>
      <w:r>
        <w:rPr>
          <w:rFonts w:ascii="Arial" w:eastAsia="宋体" w:hAnsi="Arial" w:cs="Arial"/>
          <w:color w:val="000000"/>
          <w:sz w:val="20"/>
          <w:szCs w:val="20"/>
        </w:rPr>
        <w:t>June 30, 2022, the maximum additional collateral we would be required to post to our counterparties is approximately $0.84 billion.</w:t>
      </w:r>
    </w:p>
    <w:p w14:paraId="392C89AF" w14:textId="77777777" w:rsidR="00980E5F" w:rsidRDefault="00483613">
      <w:pPr>
        <w:ind w:firstLine="450"/>
        <w:jc w:val="right"/>
      </w:pPr>
      <w:r>
        <w:rPr>
          <w:rFonts w:ascii="Arial" w:eastAsia="宋体" w:hAnsi="Arial" w:cs="Arial"/>
          <w:color w:val="000000"/>
          <w:sz w:val="18"/>
          <w:szCs w:val="18"/>
        </w:rPr>
        <w:t>State Street Corporation | 83</w:t>
      </w:r>
    </w:p>
    <w:p w14:paraId="392C89B0" w14:textId="77777777" w:rsidR="00980E5F" w:rsidRDefault="00980E5F">
      <w:pPr>
        <w:ind w:firstLine="450"/>
        <w:jc w:val="center"/>
      </w:pPr>
    </w:p>
    <w:p w14:paraId="392C89B1" w14:textId="77777777" w:rsidR="00980E5F" w:rsidRDefault="00483613">
      <w:r>
        <w:pict w14:anchorId="392CBB21">
          <v:rect id="_x0000_i1107" style="width:415.3pt;height:1.5pt" o:hralign="center" o:hrstd="t" o:hr="t" fillcolor="#a0a0a0" stroked="f"/>
        </w:pict>
      </w:r>
    </w:p>
    <w:p w14:paraId="392C89B2" w14:textId="77777777" w:rsidR="00980E5F" w:rsidRDefault="00483613">
      <w:pPr>
        <w:ind w:firstLine="450"/>
        <w:jc w:val="center"/>
      </w:pPr>
      <w:r>
        <w:rPr>
          <w:rFonts w:ascii="Arial" w:eastAsia="宋体" w:hAnsi="Arial" w:cs="Arial"/>
          <w:b/>
          <w:bCs/>
          <w:color w:val="000000"/>
          <w:sz w:val="20"/>
          <w:szCs w:val="20"/>
        </w:rPr>
        <w:t>STATE STREET CORPORATION</w:t>
      </w:r>
    </w:p>
    <w:p w14:paraId="392C89B3"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9B4" w14:textId="77777777" w:rsidR="00980E5F" w:rsidRDefault="00483613">
      <w:pPr>
        <w:ind w:firstLine="450"/>
        <w:jc w:val="center"/>
      </w:pPr>
      <w:r>
        <w:rPr>
          <w:rFonts w:ascii="Arial" w:eastAsia="宋体" w:hAnsi="Arial" w:cs="Arial"/>
          <w:b/>
          <w:bCs/>
          <w:color w:val="000000"/>
          <w:sz w:val="20"/>
          <w:szCs w:val="20"/>
        </w:rPr>
        <w:t>(UNAUDITED)</w:t>
      </w:r>
    </w:p>
    <w:p w14:paraId="392C89B5" w14:textId="77777777" w:rsidR="00980E5F" w:rsidRDefault="00483613">
      <w:pPr>
        <w:spacing w:before="180"/>
        <w:jc w:val="both"/>
      </w:pPr>
      <w:r>
        <w:rPr>
          <w:rFonts w:ascii="Arial" w:eastAsia="宋体" w:hAnsi="Arial" w:cs="Arial"/>
          <w:b/>
          <w:bCs/>
          <w:color w:val="000000"/>
          <w:sz w:val="20"/>
          <w:szCs w:val="20"/>
        </w:rPr>
        <w:t>Note 8. Offsetting Arrangements</w:t>
      </w:r>
    </w:p>
    <w:p w14:paraId="392C89B6" w14:textId="77777777" w:rsidR="00980E5F" w:rsidRDefault="00483613">
      <w:pPr>
        <w:spacing w:before="60"/>
        <w:ind w:firstLine="450"/>
        <w:jc w:val="both"/>
      </w:pPr>
      <w:r>
        <w:rPr>
          <w:rFonts w:ascii="Arial" w:eastAsia="宋体" w:hAnsi="Arial" w:cs="Arial"/>
          <w:color w:val="000000"/>
          <w:sz w:val="20"/>
          <w:szCs w:val="20"/>
        </w:rPr>
        <w:t>For additional information on our offsetting arrangements, refer to page 162 in Note 11 to the consolidated financial statements included under Item 8, Financial Statements and Supplementary Data, in our 2021 Form 10-K.</w:t>
      </w:r>
    </w:p>
    <w:p w14:paraId="392C89B7" w14:textId="77777777" w:rsidR="00980E5F" w:rsidRDefault="00483613">
      <w:pPr>
        <w:spacing w:before="60"/>
        <w:ind w:firstLine="450"/>
        <w:jc w:val="both"/>
      </w:pPr>
      <w:r>
        <w:rPr>
          <w:rFonts w:ascii="Arial" w:eastAsia="宋体" w:hAnsi="Arial" w:cs="Arial"/>
          <w:color w:val="000000"/>
          <w:sz w:val="20"/>
          <w:szCs w:val="20"/>
        </w:rPr>
        <w:t>As o</w:t>
      </w:r>
      <w:r>
        <w:rPr>
          <w:rFonts w:ascii="Arial" w:eastAsia="宋体" w:hAnsi="Arial" w:cs="Arial"/>
          <w:color w:val="000000"/>
          <w:sz w:val="20"/>
          <w:szCs w:val="20"/>
        </w:rPr>
        <w:t>f June 30, 2022 and December 31, 2021, the value of securities received as collateral from third parties where we are permitted to transfer or re-pledge the securities totaled $3.71 billion and $1.60 billion, respectively, and the fair value of the portion</w:t>
      </w:r>
      <w:r>
        <w:rPr>
          <w:rFonts w:ascii="Arial" w:eastAsia="宋体" w:hAnsi="Arial" w:cs="Arial"/>
          <w:color w:val="000000"/>
          <w:sz w:val="20"/>
          <w:szCs w:val="20"/>
        </w:rPr>
        <w:t xml:space="preserve"> that had been transferred or re-pledged for both was nil</w:t>
      </w:r>
      <w:r>
        <w:rPr>
          <w:rFonts w:ascii="sans-serif" w:eastAsia="宋体" w:hAnsi="sans-serif" w:cs="sans-serif"/>
          <w:color w:val="000000"/>
          <w:sz w:val="22"/>
          <w:szCs w:val="22"/>
        </w:rPr>
        <w:t>.</w:t>
      </w:r>
    </w:p>
    <w:p w14:paraId="392C89B8" w14:textId="77777777" w:rsidR="00980E5F" w:rsidRDefault="00483613">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980E5F" w14:paraId="392C89DC" w14:textId="77777777">
        <w:tc>
          <w:tcPr>
            <w:tcW w:w="50" w:type="pct"/>
            <w:shd w:val="clear" w:color="auto" w:fill="auto"/>
            <w:vAlign w:val="bottom"/>
          </w:tcPr>
          <w:p w14:paraId="392C89B9" w14:textId="77777777" w:rsidR="00980E5F" w:rsidRDefault="00980E5F">
            <w:pPr>
              <w:rPr>
                <w:rFonts w:ascii="宋体"/>
              </w:rPr>
            </w:pPr>
          </w:p>
        </w:tc>
        <w:tc>
          <w:tcPr>
            <w:tcW w:w="1370" w:type="pct"/>
            <w:shd w:val="clear" w:color="auto" w:fill="auto"/>
            <w:vAlign w:val="bottom"/>
          </w:tcPr>
          <w:p w14:paraId="392C89BA" w14:textId="77777777" w:rsidR="00980E5F" w:rsidRDefault="00980E5F">
            <w:pPr>
              <w:rPr>
                <w:rFonts w:ascii="宋体"/>
              </w:rPr>
            </w:pPr>
          </w:p>
        </w:tc>
        <w:tc>
          <w:tcPr>
            <w:tcW w:w="5" w:type="pct"/>
            <w:shd w:val="clear" w:color="auto" w:fill="auto"/>
            <w:vAlign w:val="bottom"/>
          </w:tcPr>
          <w:p w14:paraId="392C89BB" w14:textId="77777777" w:rsidR="00980E5F" w:rsidRDefault="00980E5F">
            <w:pPr>
              <w:rPr>
                <w:rFonts w:ascii="宋体"/>
              </w:rPr>
            </w:pPr>
          </w:p>
        </w:tc>
        <w:tc>
          <w:tcPr>
            <w:tcW w:w="50" w:type="pct"/>
            <w:shd w:val="clear" w:color="auto" w:fill="auto"/>
            <w:vAlign w:val="bottom"/>
          </w:tcPr>
          <w:p w14:paraId="392C89BC" w14:textId="77777777" w:rsidR="00980E5F" w:rsidRDefault="00980E5F">
            <w:pPr>
              <w:rPr>
                <w:rFonts w:ascii="宋体"/>
              </w:rPr>
            </w:pPr>
          </w:p>
        </w:tc>
        <w:tc>
          <w:tcPr>
            <w:tcW w:w="551" w:type="pct"/>
            <w:shd w:val="clear" w:color="auto" w:fill="auto"/>
            <w:vAlign w:val="bottom"/>
          </w:tcPr>
          <w:p w14:paraId="392C89BD" w14:textId="77777777" w:rsidR="00980E5F" w:rsidRDefault="00980E5F">
            <w:pPr>
              <w:rPr>
                <w:rFonts w:ascii="宋体"/>
              </w:rPr>
            </w:pPr>
          </w:p>
        </w:tc>
        <w:tc>
          <w:tcPr>
            <w:tcW w:w="5" w:type="pct"/>
            <w:shd w:val="clear" w:color="auto" w:fill="auto"/>
            <w:vAlign w:val="bottom"/>
          </w:tcPr>
          <w:p w14:paraId="392C89BE" w14:textId="77777777" w:rsidR="00980E5F" w:rsidRDefault="00980E5F">
            <w:pPr>
              <w:rPr>
                <w:rFonts w:ascii="宋体"/>
              </w:rPr>
            </w:pPr>
          </w:p>
        </w:tc>
        <w:tc>
          <w:tcPr>
            <w:tcW w:w="5" w:type="pct"/>
            <w:shd w:val="clear" w:color="auto" w:fill="auto"/>
            <w:vAlign w:val="bottom"/>
          </w:tcPr>
          <w:p w14:paraId="392C89BF" w14:textId="77777777" w:rsidR="00980E5F" w:rsidRDefault="00980E5F">
            <w:pPr>
              <w:rPr>
                <w:rFonts w:ascii="宋体"/>
              </w:rPr>
            </w:pPr>
          </w:p>
        </w:tc>
        <w:tc>
          <w:tcPr>
            <w:tcW w:w="26" w:type="pct"/>
            <w:shd w:val="clear" w:color="auto" w:fill="auto"/>
            <w:vAlign w:val="bottom"/>
          </w:tcPr>
          <w:p w14:paraId="392C89C0" w14:textId="77777777" w:rsidR="00980E5F" w:rsidRDefault="00980E5F">
            <w:pPr>
              <w:rPr>
                <w:rFonts w:ascii="宋体"/>
              </w:rPr>
            </w:pPr>
          </w:p>
        </w:tc>
        <w:tc>
          <w:tcPr>
            <w:tcW w:w="5" w:type="pct"/>
            <w:shd w:val="clear" w:color="auto" w:fill="auto"/>
            <w:vAlign w:val="bottom"/>
          </w:tcPr>
          <w:p w14:paraId="392C89C1" w14:textId="77777777" w:rsidR="00980E5F" w:rsidRDefault="00980E5F">
            <w:pPr>
              <w:rPr>
                <w:rFonts w:ascii="宋体"/>
              </w:rPr>
            </w:pPr>
          </w:p>
        </w:tc>
        <w:tc>
          <w:tcPr>
            <w:tcW w:w="50" w:type="pct"/>
            <w:shd w:val="clear" w:color="auto" w:fill="auto"/>
            <w:vAlign w:val="bottom"/>
          </w:tcPr>
          <w:p w14:paraId="392C89C2" w14:textId="77777777" w:rsidR="00980E5F" w:rsidRDefault="00980E5F">
            <w:pPr>
              <w:rPr>
                <w:rFonts w:ascii="宋体"/>
              </w:rPr>
            </w:pPr>
          </w:p>
        </w:tc>
        <w:tc>
          <w:tcPr>
            <w:tcW w:w="712" w:type="pct"/>
            <w:shd w:val="clear" w:color="auto" w:fill="auto"/>
            <w:vAlign w:val="bottom"/>
          </w:tcPr>
          <w:p w14:paraId="392C89C3" w14:textId="77777777" w:rsidR="00980E5F" w:rsidRDefault="00980E5F">
            <w:pPr>
              <w:rPr>
                <w:rFonts w:ascii="宋体"/>
              </w:rPr>
            </w:pPr>
          </w:p>
        </w:tc>
        <w:tc>
          <w:tcPr>
            <w:tcW w:w="5" w:type="pct"/>
            <w:shd w:val="clear" w:color="auto" w:fill="auto"/>
            <w:vAlign w:val="bottom"/>
          </w:tcPr>
          <w:p w14:paraId="392C89C4" w14:textId="77777777" w:rsidR="00980E5F" w:rsidRDefault="00980E5F">
            <w:pPr>
              <w:rPr>
                <w:rFonts w:ascii="宋体"/>
              </w:rPr>
            </w:pPr>
          </w:p>
        </w:tc>
        <w:tc>
          <w:tcPr>
            <w:tcW w:w="5" w:type="pct"/>
            <w:shd w:val="clear" w:color="auto" w:fill="auto"/>
            <w:vAlign w:val="bottom"/>
          </w:tcPr>
          <w:p w14:paraId="392C89C5" w14:textId="77777777" w:rsidR="00980E5F" w:rsidRDefault="00980E5F">
            <w:pPr>
              <w:rPr>
                <w:rFonts w:ascii="宋体"/>
              </w:rPr>
            </w:pPr>
          </w:p>
        </w:tc>
        <w:tc>
          <w:tcPr>
            <w:tcW w:w="26" w:type="pct"/>
            <w:shd w:val="clear" w:color="auto" w:fill="auto"/>
            <w:vAlign w:val="bottom"/>
          </w:tcPr>
          <w:p w14:paraId="392C89C6" w14:textId="77777777" w:rsidR="00980E5F" w:rsidRDefault="00980E5F">
            <w:pPr>
              <w:rPr>
                <w:rFonts w:ascii="宋体"/>
              </w:rPr>
            </w:pPr>
          </w:p>
        </w:tc>
        <w:tc>
          <w:tcPr>
            <w:tcW w:w="5" w:type="pct"/>
            <w:shd w:val="clear" w:color="auto" w:fill="auto"/>
            <w:vAlign w:val="bottom"/>
          </w:tcPr>
          <w:p w14:paraId="392C89C7" w14:textId="77777777" w:rsidR="00980E5F" w:rsidRDefault="00980E5F">
            <w:pPr>
              <w:rPr>
                <w:rFonts w:ascii="宋体"/>
              </w:rPr>
            </w:pPr>
          </w:p>
        </w:tc>
        <w:tc>
          <w:tcPr>
            <w:tcW w:w="50" w:type="pct"/>
            <w:shd w:val="clear" w:color="auto" w:fill="auto"/>
            <w:vAlign w:val="bottom"/>
          </w:tcPr>
          <w:p w14:paraId="392C89C8" w14:textId="77777777" w:rsidR="00980E5F" w:rsidRDefault="00980E5F">
            <w:pPr>
              <w:rPr>
                <w:rFonts w:ascii="宋体"/>
              </w:rPr>
            </w:pPr>
          </w:p>
        </w:tc>
        <w:tc>
          <w:tcPr>
            <w:tcW w:w="697" w:type="pct"/>
            <w:shd w:val="clear" w:color="auto" w:fill="auto"/>
            <w:vAlign w:val="bottom"/>
          </w:tcPr>
          <w:p w14:paraId="392C89C9" w14:textId="77777777" w:rsidR="00980E5F" w:rsidRDefault="00980E5F">
            <w:pPr>
              <w:rPr>
                <w:rFonts w:ascii="宋体"/>
              </w:rPr>
            </w:pPr>
          </w:p>
        </w:tc>
        <w:tc>
          <w:tcPr>
            <w:tcW w:w="5" w:type="pct"/>
            <w:shd w:val="clear" w:color="auto" w:fill="auto"/>
            <w:vAlign w:val="bottom"/>
          </w:tcPr>
          <w:p w14:paraId="392C89CA" w14:textId="77777777" w:rsidR="00980E5F" w:rsidRDefault="00980E5F">
            <w:pPr>
              <w:rPr>
                <w:rFonts w:ascii="宋体"/>
              </w:rPr>
            </w:pPr>
          </w:p>
        </w:tc>
        <w:tc>
          <w:tcPr>
            <w:tcW w:w="5" w:type="pct"/>
            <w:shd w:val="clear" w:color="auto" w:fill="auto"/>
            <w:vAlign w:val="bottom"/>
          </w:tcPr>
          <w:p w14:paraId="392C89CB" w14:textId="77777777" w:rsidR="00980E5F" w:rsidRDefault="00980E5F">
            <w:pPr>
              <w:rPr>
                <w:rFonts w:ascii="宋体"/>
              </w:rPr>
            </w:pPr>
          </w:p>
        </w:tc>
        <w:tc>
          <w:tcPr>
            <w:tcW w:w="26" w:type="pct"/>
            <w:shd w:val="clear" w:color="auto" w:fill="auto"/>
            <w:vAlign w:val="bottom"/>
          </w:tcPr>
          <w:p w14:paraId="392C89CC" w14:textId="77777777" w:rsidR="00980E5F" w:rsidRDefault="00980E5F">
            <w:pPr>
              <w:rPr>
                <w:rFonts w:ascii="宋体"/>
              </w:rPr>
            </w:pPr>
          </w:p>
        </w:tc>
        <w:tc>
          <w:tcPr>
            <w:tcW w:w="5" w:type="pct"/>
            <w:shd w:val="clear" w:color="auto" w:fill="auto"/>
            <w:vAlign w:val="bottom"/>
          </w:tcPr>
          <w:p w14:paraId="392C89CD" w14:textId="77777777" w:rsidR="00980E5F" w:rsidRDefault="00980E5F">
            <w:pPr>
              <w:rPr>
                <w:rFonts w:ascii="宋体"/>
              </w:rPr>
            </w:pPr>
          </w:p>
        </w:tc>
        <w:tc>
          <w:tcPr>
            <w:tcW w:w="50" w:type="pct"/>
            <w:shd w:val="clear" w:color="auto" w:fill="auto"/>
            <w:vAlign w:val="bottom"/>
          </w:tcPr>
          <w:p w14:paraId="392C89CE" w14:textId="77777777" w:rsidR="00980E5F" w:rsidRDefault="00980E5F">
            <w:pPr>
              <w:rPr>
                <w:rFonts w:ascii="宋体"/>
              </w:rPr>
            </w:pPr>
          </w:p>
        </w:tc>
        <w:tc>
          <w:tcPr>
            <w:tcW w:w="654" w:type="pct"/>
            <w:shd w:val="clear" w:color="auto" w:fill="auto"/>
            <w:vAlign w:val="bottom"/>
          </w:tcPr>
          <w:p w14:paraId="392C89CF" w14:textId="77777777" w:rsidR="00980E5F" w:rsidRDefault="00980E5F">
            <w:pPr>
              <w:rPr>
                <w:rFonts w:ascii="宋体"/>
              </w:rPr>
            </w:pPr>
          </w:p>
        </w:tc>
        <w:tc>
          <w:tcPr>
            <w:tcW w:w="5" w:type="pct"/>
            <w:shd w:val="clear" w:color="auto" w:fill="auto"/>
            <w:vAlign w:val="bottom"/>
          </w:tcPr>
          <w:p w14:paraId="392C89D0" w14:textId="77777777" w:rsidR="00980E5F" w:rsidRDefault="00980E5F">
            <w:pPr>
              <w:rPr>
                <w:rFonts w:ascii="宋体"/>
              </w:rPr>
            </w:pPr>
          </w:p>
        </w:tc>
        <w:tc>
          <w:tcPr>
            <w:tcW w:w="5" w:type="pct"/>
            <w:shd w:val="clear" w:color="auto" w:fill="auto"/>
            <w:vAlign w:val="bottom"/>
          </w:tcPr>
          <w:p w14:paraId="392C89D1" w14:textId="77777777" w:rsidR="00980E5F" w:rsidRDefault="00980E5F">
            <w:pPr>
              <w:rPr>
                <w:rFonts w:ascii="宋体"/>
              </w:rPr>
            </w:pPr>
          </w:p>
        </w:tc>
        <w:tc>
          <w:tcPr>
            <w:tcW w:w="26" w:type="pct"/>
            <w:shd w:val="clear" w:color="auto" w:fill="auto"/>
            <w:vAlign w:val="bottom"/>
          </w:tcPr>
          <w:p w14:paraId="392C89D2" w14:textId="77777777" w:rsidR="00980E5F" w:rsidRDefault="00980E5F">
            <w:pPr>
              <w:rPr>
                <w:rFonts w:ascii="宋体"/>
              </w:rPr>
            </w:pPr>
          </w:p>
        </w:tc>
        <w:tc>
          <w:tcPr>
            <w:tcW w:w="5" w:type="pct"/>
            <w:shd w:val="clear" w:color="auto" w:fill="auto"/>
            <w:vAlign w:val="bottom"/>
          </w:tcPr>
          <w:p w14:paraId="392C89D3" w14:textId="77777777" w:rsidR="00980E5F" w:rsidRDefault="00980E5F">
            <w:pPr>
              <w:rPr>
                <w:rFonts w:ascii="宋体"/>
              </w:rPr>
            </w:pPr>
          </w:p>
        </w:tc>
        <w:tc>
          <w:tcPr>
            <w:tcW w:w="50" w:type="pct"/>
            <w:shd w:val="clear" w:color="auto" w:fill="auto"/>
            <w:vAlign w:val="bottom"/>
          </w:tcPr>
          <w:p w14:paraId="392C89D4" w14:textId="77777777" w:rsidR="00980E5F" w:rsidRDefault="00980E5F">
            <w:pPr>
              <w:rPr>
                <w:rFonts w:ascii="宋体"/>
              </w:rPr>
            </w:pPr>
          </w:p>
        </w:tc>
        <w:tc>
          <w:tcPr>
            <w:tcW w:w="537" w:type="pct"/>
            <w:shd w:val="clear" w:color="auto" w:fill="auto"/>
            <w:vAlign w:val="bottom"/>
          </w:tcPr>
          <w:p w14:paraId="392C89D5" w14:textId="77777777" w:rsidR="00980E5F" w:rsidRDefault="00980E5F">
            <w:pPr>
              <w:rPr>
                <w:rFonts w:ascii="宋体"/>
              </w:rPr>
            </w:pPr>
          </w:p>
        </w:tc>
        <w:tc>
          <w:tcPr>
            <w:tcW w:w="5" w:type="pct"/>
            <w:shd w:val="clear" w:color="auto" w:fill="auto"/>
            <w:vAlign w:val="bottom"/>
          </w:tcPr>
          <w:p w14:paraId="392C89D6" w14:textId="77777777" w:rsidR="00980E5F" w:rsidRDefault="00980E5F">
            <w:pPr>
              <w:rPr>
                <w:rFonts w:ascii="宋体"/>
              </w:rPr>
            </w:pPr>
          </w:p>
        </w:tc>
        <w:tc>
          <w:tcPr>
            <w:tcW w:w="0" w:type="auto"/>
            <w:shd w:val="clear" w:color="auto" w:fill="auto"/>
            <w:vAlign w:val="bottom"/>
          </w:tcPr>
          <w:p w14:paraId="392C89D7" w14:textId="77777777" w:rsidR="00980E5F" w:rsidRDefault="00980E5F">
            <w:pPr>
              <w:rPr>
                <w:rFonts w:ascii="宋体"/>
                <w:vanish/>
              </w:rPr>
            </w:pPr>
          </w:p>
        </w:tc>
        <w:tc>
          <w:tcPr>
            <w:tcW w:w="0" w:type="auto"/>
            <w:gridSpan w:val="3"/>
            <w:shd w:val="clear" w:color="auto" w:fill="auto"/>
            <w:vAlign w:val="bottom"/>
          </w:tcPr>
          <w:p w14:paraId="392C89D8" w14:textId="77777777" w:rsidR="00980E5F" w:rsidRDefault="00980E5F">
            <w:pPr>
              <w:rPr>
                <w:rFonts w:ascii="宋体"/>
                <w:vanish/>
              </w:rPr>
            </w:pPr>
          </w:p>
        </w:tc>
        <w:tc>
          <w:tcPr>
            <w:tcW w:w="0" w:type="auto"/>
            <w:gridSpan w:val="3"/>
            <w:shd w:val="clear" w:color="auto" w:fill="auto"/>
            <w:vAlign w:val="bottom"/>
          </w:tcPr>
          <w:p w14:paraId="392C89D9" w14:textId="77777777" w:rsidR="00980E5F" w:rsidRDefault="00980E5F">
            <w:pPr>
              <w:rPr>
                <w:rFonts w:ascii="宋体"/>
                <w:vanish/>
              </w:rPr>
            </w:pPr>
          </w:p>
        </w:tc>
        <w:tc>
          <w:tcPr>
            <w:tcW w:w="0" w:type="auto"/>
            <w:gridSpan w:val="3"/>
            <w:shd w:val="clear" w:color="auto" w:fill="auto"/>
            <w:vAlign w:val="bottom"/>
          </w:tcPr>
          <w:p w14:paraId="392C89DA" w14:textId="77777777" w:rsidR="00980E5F" w:rsidRDefault="00980E5F">
            <w:pPr>
              <w:rPr>
                <w:rFonts w:ascii="宋体"/>
                <w:vanish/>
              </w:rPr>
            </w:pPr>
          </w:p>
        </w:tc>
        <w:tc>
          <w:tcPr>
            <w:tcW w:w="0" w:type="auto"/>
            <w:gridSpan w:val="3"/>
            <w:shd w:val="clear" w:color="auto" w:fill="auto"/>
            <w:vAlign w:val="bottom"/>
          </w:tcPr>
          <w:p w14:paraId="392C89DB" w14:textId="77777777" w:rsidR="00980E5F" w:rsidRDefault="00980E5F">
            <w:pPr>
              <w:rPr>
                <w:rFonts w:ascii="宋体"/>
                <w:vanish/>
              </w:rPr>
            </w:pPr>
          </w:p>
        </w:tc>
      </w:tr>
      <w:tr w:rsidR="00980E5F" w14:paraId="392C89EC" w14:textId="77777777">
        <w:tc>
          <w:tcPr>
            <w:tcW w:w="0" w:type="auto"/>
            <w:gridSpan w:val="3"/>
            <w:shd w:val="clear" w:color="auto" w:fill="auto"/>
            <w:tcMar>
              <w:top w:w="40" w:type="dxa"/>
              <w:left w:w="20" w:type="dxa"/>
              <w:bottom w:w="40" w:type="dxa"/>
              <w:right w:w="20" w:type="dxa"/>
            </w:tcMar>
            <w:vAlign w:val="bottom"/>
          </w:tcPr>
          <w:p w14:paraId="392C89DD" w14:textId="77777777" w:rsidR="00980E5F" w:rsidRDefault="00483613">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92C89DE"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shd w:val="clear" w:color="auto" w:fill="auto"/>
            <w:vAlign w:val="bottom"/>
          </w:tcPr>
          <w:p w14:paraId="392C89DF" w14:textId="77777777" w:rsidR="00980E5F" w:rsidRDefault="00980E5F">
            <w:pPr>
              <w:rPr>
                <w:rFonts w:ascii="宋体"/>
                <w:vanish/>
              </w:rPr>
            </w:pPr>
          </w:p>
        </w:tc>
        <w:tc>
          <w:tcPr>
            <w:tcW w:w="0" w:type="auto"/>
            <w:shd w:val="clear" w:color="auto" w:fill="auto"/>
            <w:vAlign w:val="bottom"/>
          </w:tcPr>
          <w:p w14:paraId="392C89E0" w14:textId="77777777" w:rsidR="00980E5F" w:rsidRDefault="00980E5F">
            <w:pPr>
              <w:rPr>
                <w:rFonts w:ascii="宋体"/>
              </w:rPr>
            </w:pPr>
          </w:p>
        </w:tc>
        <w:tc>
          <w:tcPr>
            <w:tcW w:w="0" w:type="auto"/>
            <w:shd w:val="clear" w:color="auto" w:fill="auto"/>
            <w:vAlign w:val="bottom"/>
          </w:tcPr>
          <w:p w14:paraId="392C89E1" w14:textId="77777777" w:rsidR="00980E5F" w:rsidRDefault="00980E5F">
            <w:pPr>
              <w:rPr>
                <w:rFonts w:ascii="宋体"/>
              </w:rPr>
            </w:pPr>
          </w:p>
        </w:tc>
        <w:tc>
          <w:tcPr>
            <w:tcW w:w="0" w:type="auto"/>
            <w:shd w:val="clear" w:color="auto" w:fill="auto"/>
            <w:vAlign w:val="bottom"/>
          </w:tcPr>
          <w:p w14:paraId="392C89E2" w14:textId="77777777" w:rsidR="00980E5F" w:rsidRDefault="00980E5F">
            <w:pPr>
              <w:rPr>
                <w:rFonts w:ascii="宋体"/>
              </w:rPr>
            </w:pPr>
          </w:p>
        </w:tc>
        <w:tc>
          <w:tcPr>
            <w:tcW w:w="0" w:type="auto"/>
            <w:shd w:val="clear" w:color="auto" w:fill="auto"/>
            <w:vAlign w:val="bottom"/>
          </w:tcPr>
          <w:p w14:paraId="392C89E3" w14:textId="77777777" w:rsidR="00980E5F" w:rsidRDefault="00980E5F">
            <w:pPr>
              <w:rPr>
                <w:rFonts w:ascii="宋体"/>
              </w:rPr>
            </w:pPr>
          </w:p>
        </w:tc>
        <w:tc>
          <w:tcPr>
            <w:tcW w:w="0" w:type="auto"/>
            <w:shd w:val="clear" w:color="auto" w:fill="auto"/>
            <w:vAlign w:val="bottom"/>
          </w:tcPr>
          <w:p w14:paraId="392C89E4" w14:textId="77777777" w:rsidR="00980E5F" w:rsidRDefault="00980E5F">
            <w:pPr>
              <w:rPr>
                <w:rFonts w:ascii="宋体"/>
              </w:rPr>
            </w:pPr>
          </w:p>
        </w:tc>
        <w:tc>
          <w:tcPr>
            <w:tcW w:w="0" w:type="auto"/>
            <w:shd w:val="clear" w:color="auto" w:fill="auto"/>
            <w:vAlign w:val="bottom"/>
          </w:tcPr>
          <w:p w14:paraId="392C89E5" w14:textId="77777777" w:rsidR="00980E5F" w:rsidRDefault="00980E5F">
            <w:pPr>
              <w:rPr>
                <w:rFonts w:ascii="宋体"/>
              </w:rPr>
            </w:pPr>
          </w:p>
        </w:tc>
        <w:tc>
          <w:tcPr>
            <w:tcW w:w="0" w:type="auto"/>
            <w:shd w:val="clear" w:color="auto" w:fill="auto"/>
            <w:vAlign w:val="bottom"/>
          </w:tcPr>
          <w:p w14:paraId="392C89E6" w14:textId="77777777" w:rsidR="00980E5F" w:rsidRDefault="00980E5F">
            <w:pPr>
              <w:rPr>
                <w:rFonts w:ascii="宋体"/>
              </w:rPr>
            </w:pPr>
          </w:p>
        </w:tc>
        <w:tc>
          <w:tcPr>
            <w:tcW w:w="0" w:type="auto"/>
            <w:shd w:val="clear" w:color="auto" w:fill="auto"/>
            <w:vAlign w:val="bottom"/>
          </w:tcPr>
          <w:p w14:paraId="392C89E7" w14:textId="77777777" w:rsidR="00980E5F" w:rsidRDefault="00980E5F">
            <w:pPr>
              <w:rPr>
                <w:rFonts w:ascii="宋体"/>
              </w:rPr>
            </w:pPr>
          </w:p>
        </w:tc>
        <w:tc>
          <w:tcPr>
            <w:tcW w:w="0" w:type="auto"/>
            <w:shd w:val="clear" w:color="auto" w:fill="auto"/>
            <w:vAlign w:val="bottom"/>
          </w:tcPr>
          <w:p w14:paraId="392C89E8" w14:textId="77777777" w:rsidR="00980E5F" w:rsidRDefault="00980E5F">
            <w:pPr>
              <w:rPr>
                <w:rFonts w:ascii="宋体"/>
              </w:rPr>
            </w:pPr>
          </w:p>
        </w:tc>
        <w:tc>
          <w:tcPr>
            <w:tcW w:w="0" w:type="auto"/>
            <w:shd w:val="clear" w:color="auto" w:fill="auto"/>
            <w:vAlign w:val="bottom"/>
          </w:tcPr>
          <w:p w14:paraId="392C89E9" w14:textId="77777777" w:rsidR="00980E5F" w:rsidRDefault="00980E5F">
            <w:pPr>
              <w:rPr>
                <w:rFonts w:ascii="宋体"/>
              </w:rPr>
            </w:pPr>
          </w:p>
        </w:tc>
        <w:tc>
          <w:tcPr>
            <w:tcW w:w="0" w:type="auto"/>
            <w:shd w:val="clear" w:color="auto" w:fill="auto"/>
            <w:vAlign w:val="bottom"/>
          </w:tcPr>
          <w:p w14:paraId="392C89EA" w14:textId="77777777" w:rsidR="00980E5F" w:rsidRDefault="00980E5F">
            <w:pPr>
              <w:rPr>
                <w:rFonts w:ascii="宋体"/>
              </w:rPr>
            </w:pPr>
          </w:p>
        </w:tc>
        <w:tc>
          <w:tcPr>
            <w:tcW w:w="0" w:type="auto"/>
            <w:shd w:val="clear" w:color="auto" w:fill="auto"/>
            <w:vAlign w:val="bottom"/>
          </w:tcPr>
          <w:p w14:paraId="392C89EB" w14:textId="77777777" w:rsidR="00980E5F" w:rsidRDefault="00980E5F">
            <w:pPr>
              <w:rPr>
                <w:rFonts w:ascii="宋体"/>
              </w:rPr>
            </w:pPr>
          </w:p>
        </w:tc>
      </w:tr>
      <w:tr w:rsidR="00980E5F" w14:paraId="392C89FB" w14:textId="77777777">
        <w:trPr>
          <w:trHeight w:val="400"/>
        </w:trPr>
        <w:tc>
          <w:tcPr>
            <w:tcW w:w="0" w:type="auto"/>
            <w:gridSpan w:val="3"/>
            <w:shd w:val="clear" w:color="auto" w:fill="auto"/>
            <w:tcMar>
              <w:top w:w="0" w:type="dxa"/>
              <w:left w:w="20" w:type="dxa"/>
              <w:bottom w:w="0" w:type="dxa"/>
              <w:right w:w="20" w:type="dxa"/>
            </w:tcMar>
            <w:vAlign w:val="bottom"/>
          </w:tcPr>
          <w:p w14:paraId="392C89ED" w14:textId="77777777" w:rsidR="00980E5F" w:rsidRDefault="00980E5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9EE" w14:textId="77777777" w:rsidR="00980E5F" w:rsidRDefault="00483613">
            <w:pPr>
              <w:jc w:val="center"/>
              <w:textAlignment w:val="bottom"/>
            </w:pPr>
            <w:r>
              <w:rPr>
                <w:rFonts w:ascii="Arial" w:eastAsia="宋体" w:hAnsi="Arial" w:cs="Arial"/>
                <w:b/>
                <w:bCs/>
                <w:color w:val="000000"/>
                <w:sz w:val="15"/>
                <w:szCs w:val="15"/>
              </w:rPr>
              <w:t xml:space="preserve">Gross Amounts of Recognized </w:t>
            </w:r>
          </w:p>
          <w:p w14:paraId="392C89EF" w14:textId="77777777" w:rsidR="00980E5F" w:rsidRDefault="00483613">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F0" w14:textId="77777777" w:rsidR="00980E5F" w:rsidRDefault="00980E5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9F1" w14:textId="77777777" w:rsidR="00980E5F" w:rsidRDefault="00483613">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F2"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9F3" w14:textId="77777777" w:rsidR="00980E5F" w:rsidRDefault="00483613">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9F4"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9F5" w14:textId="77777777" w:rsidR="00980E5F" w:rsidRDefault="00483613">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392C89F6" w14:textId="77777777" w:rsidR="00980E5F" w:rsidRDefault="00980E5F">
            <w:pPr>
              <w:rPr>
                <w:rFonts w:ascii="宋体"/>
                <w:vanish/>
              </w:rPr>
            </w:pPr>
          </w:p>
        </w:tc>
        <w:tc>
          <w:tcPr>
            <w:tcW w:w="0" w:type="auto"/>
            <w:gridSpan w:val="3"/>
            <w:shd w:val="clear" w:color="auto" w:fill="auto"/>
            <w:vAlign w:val="bottom"/>
          </w:tcPr>
          <w:p w14:paraId="392C89F7" w14:textId="77777777" w:rsidR="00980E5F" w:rsidRDefault="00980E5F">
            <w:pPr>
              <w:rPr>
                <w:rFonts w:ascii="宋体"/>
                <w:vanish/>
              </w:rPr>
            </w:pPr>
          </w:p>
        </w:tc>
        <w:tc>
          <w:tcPr>
            <w:tcW w:w="0" w:type="auto"/>
            <w:gridSpan w:val="3"/>
            <w:shd w:val="clear" w:color="auto" w:fill="auto"/>
            <w:vAlign w:val="bottom"/>
          </w:tcPr>
          <w:p w14:paraId="392C89F8" w14:textId="77777777" w:rsidR="00980E5F" w:rsidRDefault="00980E5F">
            <w:pPr>
              <w:rPr>
                <w:rFonts w:ascii="宋体"/>
                <w:vanish/>
              </w:rPr>
            </w:pPr>
          </w:p>
        </w:tc>
        <w:tc>
          <w:tcPr>
            <w:tcW w:w="0" w:type="auto"/>
            <w:gridSpan w:val="3"/>
            <w:shd w:val="clear" w:color="auto" w:fill="auto"/>
            <w:vAlign w:val="bottom"/>
          </w:tcPr>
          <w:p w14:paraId="392C89F9" w14:textId="77777777" w:rsidR="00980E5F" w:rsidRDefault="00980E5F">
            <w:pPr>
              <w:rPr>
                <w:rFonts w:ascii="宋体"/>
                <w:vanish/>
              </w:rPr>
            </w:pPr>
          </w:p>
        </w:tc>
        <w:tc>
          <w:tcPr>
            <w:tcW w:w="0" w:type="auto"/>
            <w:gridSpan w:val="3"/>
            <w:shd w:val="clear" w:color="auto" w:fill="auto"/>
            <w:vAlign w:val="bottom"/>
          </w:tcPr>
          <w:p w14:paraId="392C89FA" w14:textId="77777777" w:rsidR="00980E5F" w:rsidRDefault="00980E5F">
            <w:pPr>
              <w:rPr>
                <w:rFonts w:ascii="宋体"/>
                <w:vanish/>
              </w:rPr>
            </w:pPr>
          </w:p>
        </w:tc>
      </w:tr>
      <w:tr w:rsidR="00980E5F" w14:paraId="392C8A0B" w14:textId="77777777">
        <w:trPr>
          <w:trHeight w:val="540"/>
        </w:trPr>
        <w:tc>
          <w:tcPr>
            <w:tcW w:w="0" w:type="auto"/>
            <w:gridSpan w:val="3"/>
            <w:shd w:val="clear" w:color="auto" w:fill="auto"/>
            <w:tcMar>
              <w:top w:w="40" w:type="dxa"/>
              <w:left w:w="20" w:type="dxa"/>
              <w:bottom w:w="40" w:type="dxa"/>
              <w:right w:w="20" w:type="dxa"/>
            </w:tcMar>
            <w:vAlign w:val="bottom"/>
          </w:tcPr>
          <w:p w14:paraId="392C89FC"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9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9FE" w14:textId="77777777" w:rsidR="00980E5F" w:rsidRDefault="00980E5F">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9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A00"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A01"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A0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A03" w14:textId="77777777" w:rsidR="00980E5F" w:rsidRDefault="00483613">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A0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A05" w14:textId="77777777" w:rsidR="00980E5F" w:rsidRDefault="00483613">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392C8A06" w14:textId="77777777" w:rsidR="00980E5F" w:rsidRDefault="00980E5F">
            <w:pPr>
              <w:rPr>
                <w:rFonts w:ascii="宋体"/>
                <w:vanish/>
              </w:rPr>
            </w:pPr>
          </w:p>
        </w:tc>
        <w:tc>
          <w:tcPr>
            <w:tcW w:w="0" w:type="auto"/>
            <w:gridSpan w:val="3"/>
            <w:shd w:val="clear" w:color="auto" w:fill="auto"/>
            <w:vAlign w:val="bottom"/>
          </w:tcPr>
          <w:p w14:paraId="392C8A07" w14:textId="77777777" w:rsidR="00980E5F" w:rsidRDefault="00980E5F">
            <w:pPr>
              <w:rPr>
                <w:rFonts w:ascii="宋体"/>
                <w:vanish/>
              </w:rPr>
            </w:pPr>
          </w:p>
        </w:tc>
        <w:tc>
          <w:tcPr>
            <w:tcW w:w="0" w:type="auto"/>
            <w:gridSpan w:val="3"/>
            <w:shd w:val="clear" w:color="auto" w:fill="auto"/>
            <w:vAlign w:val="bottom"/>
          </w:tcPr>
          <w:p w14:paraId="392C8A08" w14:textId="77777777" w:rsidR="00980E5F" w:rsidRDefault="00980E5F">
            <w:pPr>
              <w:rPr>
                <w:rFonts w:ascii="宋体"/>
                <w:vanish/>
              </w:rPr>
            </w:pPr>
          </w:p>
        </w:tc>
        <w:tc>
          <w:tcPr>
            <w:tcW w:w="0" w:type="auto"/>
            <w:gridSpan w:val="3"/>
            <w:shd w:val="clear" w:color="auto" w:fill="auto"/>
            <w:vAlign w:val="bottom"/>
          </w:tcPr>
          <w:p w14:paraId="392C8A09" w14:textId="77777777" w:rsidR="00980E5F" w:rsidRDefault="00980E5F">
            <w:pPr>
              <w:rPr>
                <w:rFonts w:ascii="宋体"/>
                <w:vanish/>
              </w:rPr>
            </w:pPr>
          </w:p>
        </w:tc>
        <w:tc>
          <w:tcPr>
            <w:tcW w:w="0" w:type="auto"/>
            <w:gridSpan w:val="3"/>
            <w:shd w:val="clear" w:color="auto" w:fill="auto"/>
            <w:vAlign w:val="bottom"/>
          </w:tcPr>
          <w:p w14:paraId="392C8A0A" w14:textId="77777777" w:rsidR="00980E5F" w:rsidRDefault="00980E5F">
            <w:pPr>
              <w:rPr>
                <w:rFonts w:ascii="宋体"/>
                <w:vanish/>
              </w:rPr>
            </w:pPr>
          </w:p>
        </w:tc>
      </w:tr>
      <w:tr w:rsidR="00980E5F" w14:paraId="392C8A18" w14:textId="77777777">
        <w:tc>
          <w:tcPr>
            <w:tcW w:w="0" w:type="auto"/>
            <w:gridSpan w:val="12"/>
            <w:shd w:val="clear" w:color="auto" w:fill="auto"/>
            <w:tcMar>
              <w:top w:w="40" w:type="dxa"/>
              <w:left w:w="20" w:type="dxa"/>
              <w:bottom w:w="40" w:type="dxa"/>
              <w:right w:w="20" w:type="dxa"/>
            </w:tcMar>
            <w:vAlign w:val="bottom"/>
          </w:tcPr>
          <w:p w14:paraId="392C8A0C" w14:textId="77777777" w:rsidR="00980E5F" w:rsidRDefault="00483613">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392C8A0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A0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A0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A1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A1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A12" w14:textId="77777777" w:rsidR="00980E5F" w:rsidRDefault="00980E5F">
            <w:pPr>
              <w:rPr>
                <w:rFonts w:ascii="宋体"/>
              </w:rPr>
            </w:pPr>
          </w:p>
        </w:tc>
        <w:tc>
          <w:tcPr>
            <w:tcW w:w="0" w:type="auto"/>
            <w:shd w:val="clear" w:color="auto" w:fill="auto"/>
            <w:vAlign w:val="bottom"/>
          </w:tcPr>
          <w:p w14:paraId="392C8A13" w14:textId="77777777" w:rsidR="00980E5F" w:rsidRDefault="00980E5F">
            <w:pPr>
              <w:rPr>
                <w:rFonts w:ascii="宋体"/>
                <w:vanish/>
              </w:rPr>
            </w:pPr>
          </w:p>
        </w:tc>
        <w:tc>
          <w:tcPr>
            <w:tcW w:w="0" w:type="auto"/>
            <w:gridSpan w:val="3"/>
            <w:shd w:val="clear" w:color="auto" w:fill="auto"/>
            <w:vAlign w:val="bottom"/>
          </w:tcPr>
          <w:p w14:paraId="392C8A14" w14:textId="77777777" w:rsidR="00980E5F" w:rsidRDefault="00980E5F">
            <w:pPr>
              <w:rPr>
                <w:rFonts w:ascii="宋体"/>
                <w:vanish/>
              </w:rPr>
            </w:pPr>
          </w:p>
        </w:tc>
        <w:tc>
          <w:tcPr>
            <w:tcW w:w="0" w:type="auto"/>
            <w:gridSpan w:val="3"/>
            <w:shd w:val="clear" w:color="auto" w:fill="auto"/>
            <w:vAlign w:val="bottom"/>
          </w:tcPr>
          <w:p w14:paraId="392C8A15" w14:textId="77777777" w:rsidR="00980E5F" w:rsidRDefault="00980E5F">
            <w:pPr>
              <w:rPr>
                <w:rFonts w:ascii="宋体"/>
                <w:vanish/>
              </w:rPr>
            </w:pPr>
          </w:p>
        </w:tc>
        <w:tc>
          <w:tcPr>
            <w:tcW w:w="0" w:type="auto"/>
            <w:gridSpan w:val="3"/>
            <w:shd w:val="clear" w:color="auto" w:fill="auto"/>
            <w:vAlign w:val="bottom"/>
          </w:tcPr>
          <w:p w14:paraId="392C8A16" w14:textId="77777777" w:rsidR="00980E5F" w:rsidRDefault="00980E5F">
            <w:pPr>
              <w:rPr>
                <w:rFonts w:ascii="宋体"/>
                <w:vanish/>
              </w:rPr>
            </w:pPr>
          </w:p>
        </w:tc>
        <w:tc>
          <w:tcPr>
            <w:tcW w:w="0" w:type="auto"/>
            <w:gridSpan w:val="3"/>
            <w:shd w:val="clear" w:color="auto" w:fill="auto"/>
            <w:vAlign w:val="bottom"/>
          </w:tcPr>
          <w:p w14:paraId="392C8A17" w14:textId="77777777" w:rsidR="00980E5F" w:rsidRDefault="00980E5F">
            <w:pPr>
              <w:rPr>
                <w:rFonts w:ascii="宋体"/>
                <w:vanish/>
              </w:rPr>
            </w:pPr>
          </w:p>
        </w:tc>
      </w:tr>
      <w:tr w:rsidR="00980E5F" w14:paraId="392C8A32" w14:textId="77777777">
        <w:tc>
          <w:tcPr>
            <w:tcW w:w="0" w:type="auto"/>
            <w:gridSpan w:val="3"/>
            <w:shd w:val="clear" w:color="auto" w:fill="CCEEFF"/>
            <w:tcMar>
              <w:top w:w="40" w:type="dxa"/>
              <w:left w:w="20" w:type="dxa"/>
              <w:bottom w:w="40" w:type="dxa"/>
              <w:right w:w="20" w:type="dxa"/>
            </w:tcMar>
            <w:vAlign w:val="bottom"/>
          </w:tcPr>
          <w:p w14:paraId="392C8A19" w14:textId="77777777" w:rsidR="00980E5F" w:rsidRDefault="00483613">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92C8A1A"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A1B" w14:textId="77777777" w:rsidR="00980E5F" w:rsidRDefault="00483613">
            <w:pPr>
              <w:jc w:val="right"/>
              <w:textAlignment w:val="bottom"/>
            </w:pPr>
            <w:r>
              <w:rPr>
                <w:rFonts w:ascii="Arial" w:eastAsia="宋体" w:hAnsi="Arial" w:cs="Arial"/>
                <w:b/>
                <w:bCs/>
                <w:color w:val="000000"/>
                <w:sz w:val="15"/>
                <w:szCs w:val="15"/>
              </w:rPr>
              <w:t>23,633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A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1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A1E"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A1F" w14:textId="77777777" w:rsidR="00980E5F" w:rsidRDefault="00483613">
            <w:pPr>
              <w:jc w:val="right"/>
              <w:textAlignment w:val="bottom"/>
            </w:pPr>
            <w:r>
              <w:rPr>
                <w:rFonts w:ascii="Arial" w:eastAsia="宋体" w:hAnsi="Arial" w:cs="Arial"/>
                <w:b/>
                <w:bCs/>
                <w:color w:val="000000"/>
                <w:sz w:val="15"/>
                <w:szCs w:val="15"/>
              </w:rPr>
              <w:t>(12,441)</w:t>
            </w:r>
          </w:p>
        </w:tc>
        <w:tc>
          <w:tcPr>
            <w:tcW w:w="0" w:type="auto"/>
            <w:shd w:val="clear" w:color="auto" w:fill="CCEEFF"/>
            <w:tcMar>
              <w:top w:w="40" w:type="dxa"/>
              <w:left w:w="0" w:type="dxa"/>
              <w:bottom w:w="40" w:type="dxa"/>
              <w:right w:w="20" w:type="dxa"/>
            </w:tcMar>
            <w:vAlign w:val="bottom"/>
          </w:tcPr>
          <w:p w14:paraId="392C8A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21"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A22"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A23" w14:textId="77777777" w:rsidR="00980E5F" w:rsidRDefault="00483613">
            <w:pPr>
              <w:jc w:val="right"/>
              <w:textAlignment w:val="bottom"/>
            </w:pPr>
            <w:r>
              <w:rPr>
                <w:rFonts w:ascii="Arial" w:eastAsia="宋体" w:hAnsi="Arial" w:cs="Arial"/>
                <w:b/>
                <w:bCs/>
                <w:color w:val="000000"/>
                <w:sz w:val="15"/>
                <w:szCs w:val="15"/>
              </w:rPr>
              <w:t>11,192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A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2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A26"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A27"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A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2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A2A"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A2B" w14:textId="77777777" w:rsidR="00980E5F" w:rsidRDefault="00483613">
            <w:pPr>
              <w:jc w:val="right"/>
              <w:textAlignment w:val="bottom"/>
            </w:pPr>
            <w:r>
              <w:rPr>
                <w:rFonts w:ascii="Arial" w:eastAsia="宋体" w:hAnsi="Arial" w:cs="Arial"/>
                <w:b/>
                <w:bCs/>
                <w:color w:val="000000"/>
                <w:sz w:val="15"/>
                <w:szCs w:val="15"/>
              </w:rPr>
              <w:t>11,192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A2C" w14:textId="77777777" w:rsidR="00980E5F" w:rsidRDefault="00980E5F">
            <w:pPr>
              <w:jc w:val="right"/>
              <w:rPr>
                <w:rFonts w:ascii="宋体"/>
              </w:rPr>
            </w:pPr>
          </w:p>
        </w:tc>
        <w:tc>
          <w:tcPr>
            <w:tcW w:w="0" w:type="auto"/>
            <w:shd w:val="clear" w:color="auto" w:fill="auto"/>
            <w:vAlign w:val="bottom"/>
          </w:tcPr>
          <w:p w14:paraId="392C8A2D" w14:textId="77777777" w:rsidR="00980E5F" w:rsidRDefault="00980E5F">
            <w:pPr>
              <w:rPr>
                <w:rFonts w:ascii="宋体"/>
                <w:vanish/>
              </w:rPr>
            </w:pPr>
          </w:p>
        </w:tc>
        <w:tc>
          <w:tcPr>
            <w:tcW w:w="0" w:type="auto"/>
            <w:gridSpan w:val="3"/>
            <w:shd w:val="clear" w:color="auto" w:fill="auto"/>
            <w:vAlign w:val="bottom"/>
          </w:tcPr>
          <w:p w14:paraId="392C8A2E" w14:textId="77777777" w:rsidR="00980E5F" w:rsidRDefault="00980E5F">
            <w:pPr>
              <w:rPr>
                <w:rFonts w:ascii="宋体"/>
                <w:vanish/>
              </w:rPr>
            </w:pPr>
          </w:p>
        </w:tc>
        <w:tc>
          <w:tcPr>
            <w:tcW w:w="0" w:type="auto"/>
            <w:gridSpan w:val="3"/>
            <w:shd w:val="clear" w:color="auto" w:fill="auto"/>
            <w:vAlign w:val="bottom"/>
          </w:tcPr>
          <w:p w14:paraId="392C8A2F" w14:textId="77777777" w:rsidR="00980E5F" w:rsidRDefault="00980E5F">
            <w:pPr>
              <w:rPr>
                <w:rFonts w:ascii="宋体"/>
                <w:vanish/>
              </w:rPr>
            </w:pPr>
          </w:p>
        </w:tc>
        <w:tc>
          <w:tcPr>
            <w:tcW w:w="0" w:type="auto"/>
            <w:gridSpan w:val="3"/>
            <w:shd w:val="clear" w:color="auto" w:fill="auto"/>
            <w:vAlign w:val="bottom"/>
          </w:tcPr>
          <w:p w14:paraId="392C8A30" w14:textId="77777777" w:rsidR="00980E5F" w:rsidRDefault="00980E5F">
            <w:pPr>
              <w:rPr>
                <w:rFonts w:ascii="宋体"/>
                <w:vanish/>
              </w:rPr>
            </w:pPr>
          </w:p>
        </w:tc>
        <w:tc>
          <w:tcPr>
            <w:tcW w:w="0" w:type="auto"/>
            <w:gridSpan w:val="3"/>
            <w:shd w:val="clear" w:color="auto" w:fill="auto"/>
            <w:vAlign w:val="bottom"/>
          </w:tcPr>
          <w:p w14:paraId="392C8A31" w14:textId="77777777" w:rsidR="00980E5F" w:rsidRDefault="00980E5F">
            <w:pPr>
              <w:rPr>
                <w:rFonts w:ascii="宋体"/>
                <w:vanish/>
              </w:rPr>
            </w:pPr>
          </w:p>
        </w:tc>
      </w:tr>
      <w:tr w:rsidR="00980E5F" w14:paraId="392C8A47" w14:textId="77777777">
        <w:tc>
          <w:tcPr>
            <w:tcW w:w="0" w:type="auto"/>
            <w:gridSpan w:val="3"/>
            <w:shd w:val="clear" w:color="auto" w:fill="FFFFFF"/>
            <w:tcMar>
              <w:top w:w="40" w:type="dxa"/>
              <w:left w:w="20" w:type="dxa"/>
              <w:bottom w:w="40" w:type="dxa"/>
              <w:right w:w="20" w:type="dxa"/>
            </w:tcMar>
            <w:vAlign w:val="bottom"/>
          </w:tcPr>
          <w:p w14:paraId="392C8A33" w14:textId="77777777" w:rsidR="00980E5F" w:rsidRDefault="00483613">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92C8A34" w14:textId="77777777" w:rsidR="00980E5F" w:rsidRDefault="00483613">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3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3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37"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3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3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3A" w14:textId="77777777" w:rsidR="00980E5F" w:rsidRDefault="00483613">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3D"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3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40" w14:textId="77777777" w:rsidR="00980E5F" w:rsidRDefault="00483613">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41" w14:textId="77777777" w:rsidR="00980E5F" w:rsidRDefault="00980E5F">
            <w:pPr>
              <w:jc w:val="right"/>
              <w:rPr>
                <w:rFonts w:ascii="宋体"/>
              </w:rPr>
            </w:pPr>
          </w:p>
        </w:tc>
        <w:tc>
          <w:tcPr>
            <w:tcW w:w="0" w:type="auto"/>
            <w:shd w:val="clear" w:color="auto" w:fill="auto"/>
            <w:vAlign w:val="bottom"/>
          </w:tcPr>
          <w:p w14:paraId="392C8A42" w14:textId="77777777" w:rsidR="00980E5F" w:rsidRDefault="00980E5F">
            <w:pPr>
              <w:rPr>
                <w:rFonts w:ascii="宋体"/>
                <w:vanish/>
              </w:rPr>
            </w:pPr>
          </w:p>
        </w:tc>
        <w:tc>
          <w:tcPr>
            <w:tcW w:w="0" w:type="auto"/>
            <w:gridSpan w:val="3"/>
            <w:shd w:val="clear" w:color="auto" w:fill="auto"/>
            <w:vAlign w:val="bottom"/>
          </w:tcPr>
          <w:p w14:paraId="392C8A43" w14:textId="77777777" w:rsidR="00980E5F" w:rsidRDefault="00980E5F">
            <w:pPr>
              <w:rPr>
                <w:rFonts w:ascii="宋体"/>
                <w:vanish/>
              </w:rPr>
            </w:pPr>
          </w:p>
        </w:tc>
        <w:tc>
          <w:tcPr>
            <w:tcW w:w="0" w:type="auto"/>
            <w:gridSpan w:val="3"/>
            <w:shd w:val="clear" w:color="auto" w:fill="auto"/>
            <w:vAlign w:val="bottom"/>
          </w:tcPr>
          <w:p w14:paraId="392C8A44" w14:textId="77777777" w:rsidR="00980E5F" w:rsidRDefault="00980E5F">
            <w:pPr>
              <w:rPr>
                <w:rFonts w:ascii="宋体"/>
                <w:vanish/>
              </w:rPr>
            </w:pPr>
          </w:p>
        </w:tc>
        <w:tc>
          <w:tcPr>
            <w:tcW w:w="0" w:type="auto"/>
            <w:gridSpan w:val="3"/>
            <w:shd w:val="clear" w:color="auto" w:fill="auto"/>
            <w:vAlign w:val="bottom"/>
          </w:tcPr>
          <w:p w14:paraId="392C8A45" w14:textId="77777777" w:rsidR="00980E5F" w:rsidRDefault="00980E5F">
            <w:pPr>
              <w:rPr>
                <w:rFonts w:ascii="宋体"/>
                <w:vanish/>
              </w:rPr>
            </w:pPr>
          </w:p>
        </w:tc>
        <w:tc>
          <w:tcPr>
            <w:tcW w:w="0" w:type="auto"/>
            <w:gridSpan w:val="3"/>
            <w:shd w:val="clear" w:color="auto" w:fill="auto"/>
            <w:vAlign w:val="bottom"/>
          </w:tcPr>
          <w:p w14:paraId="392C8A46" w14:textId="77777777" w:rsidR="00980E5F" w:rsidRDefault="00980E5F">
            <w:pPr>
              <w:rPr>
                <w:rFonts w:ascii="宋体"/>
                <w:vanish/>
              </w:rPr>
            </w:pPr>
          </w:p>
        </w:tc>
      </w:tr>
      <w:tr w:rsidR="00980E5F" w14:paraId="392C8A57" w14:textId="77777777">
        <w:trPr>
          <w:hidden/>
        </w:trPr>
        <w:tc>
          <w:tcPr>
            <w:tcW w:w="0" w:type="auto"/>
            <w:gridSpan w:val="3"/>
            <w:shd w:val="clear" w:color="auto" w:fill="auto"/>
            <w:vAlign w:val="bottom"/>
          </w:tcPr>
          <w:p w14:paraId="392C8A48" w14:textId="77777777" w:rsidR="00980E5F" w:rsidRDefault="00980E5F">
            <w:pPr>
              <w:rPr>
                <w:rFonts w:ascii="宋体"/>
                <w:vanish/>
              </w:rPr>
            </w:pPr>
          </w:p>
        </w:tc>
        <w:tc>
          <w:tcPr>
            <w:tcW w:w="0" w:type="auto"/>
            <w:gridSpan w:val="3"/>
            <w:shd w:val="clear" w:color="auto" w:fill="auto"/>
            <w:vAlign w:val="bottom"/>
          </w:tcPr>
          <w:p w14:paraId="392C8A49" w14:textId="77777777" w:rsidR="00980E5F" w:rsidRDefault="00980E5F">
            <w:pPr>
              <w:rPr>
                <w:rFonts w:ascii="宋体"/>
                <w:vanish/>
              </w:rPr>
            </w:pPr>
          </w:p>
        </w:tc>
        <w:tc>
          <w:tcPr>
            <w:tcW w:w="0" w:type="auto"/>
            <w:gridSpan w:val="3"/>
            <w:shd w:val="clear" w:color="auto" w:fill="auto"/>
            <w:vAlign w:val="bottom"/>
          </w:tcPr>
          <w:p w14:paraId="392C8A4A" w14:textId="77777777" w:rsidR="00980E5F" w:rsidRDefault="00980E5F">
            <w:pPr>
              <w:rPr>
                <w:rFonts w:ascii="宋体"/>
                <w:vanish/>
              </w:rPr>
            </w:pPr>
          </w:p>
        </w:tc>
        <w:tc>
          <w:tcPr>
            <w:tcW w:w="0" w:type="auto"/>
            <w:gridSpan w:val="3"/>
            <w:shd w:val="clear" w:color="auto" w:fill="auto"/>
            <w:vAlign w:val="bottom"/>
          </w:tcPr>
          <w:p w14:paraId="392C8A4B" w14:textId="77777777" w:rsidR="00980E5F" w:rsidRDefault="00980E5F">
            <w:pPr>
              <w:rPr>
                <w:rFonts w:ascii="宋体"/>
                <w:vanish/>
              </w:rPr>
            </w:pPr>
          </w:p>
        </w:tc>
        <w:tc>
          <w:tcPr>
            <w:tcW w:w="0" w:type="auto"/>
            <w:gridSpan w:val="3"/>
            <w:shd w:val="clear" w:color="auto" w:fill="auto"/>
            <w:vAlign w:val="bottom"/>
          </w:tcPr>
          <w:p w14:paraId="392C8A4C" w14:textId="77777777" w:rsidR="00980E5F" w:rsidRDefault="00980E5F">
            <w:pPr>
              <w:rPr>
                <w:rFonts w:ascii="宋体"/>
                <w:vanish/>
              </w:rPr>
            </w:pPr>
          </w:p>
        </w:tc>
        <w:tc>
          <w:tcPr>
            <w:tcW w:w="0" w:type="auto"/>
            <w:gridSpan w:val="3"/>
            <w:shd w:val="clear" w:color="auto" w:fill="auto"/>
            <w:vAlign w:val="bottom"/>
          </w:tcPr>
          <w:p w14:paraId="392C8A4D" w14:textId="77777777" w:rsidR="00980E5F" w:rsidRDefault="00980E5F">
            <w:pPr>
              <w:rPr>
                <w:rFonts w:ascii="宋体"/>
                <w:vanish/>
              </w:rPr>
            </w:pPr>
          </w:p>
        </w:tc>
        <w:tc>
          <w:tcPr>
            <w:tcW w:w="0" w:type="auto"/>
            <w:gridSpan w:val="3"/>
            <w:shd w:val="clear" w:color="auto" w:fill="auto"/>
            <w:vAlign w:val="bottom"/>
          </w:tcPr>
          <w:p w14:paraId="392C8A4E" w14:textId="77777777" w:rsidR="00980E5F" w:rsidRDefault="00980E5F">
            <w:pPr>
              <w:rPr>
                <w:rFonts w:ascii="宋体"/>
                <w:vanish/>
              </w:rPr>
            </w:pPr>
          </w:p>
        </w:tc>
        <w:tc>
          <w:tcPr>
            <w:tcW w:w="0" w:type="auto"/>
            <w:gridSpan w:val="3"/>
            <w:shd w:val="clear" w:color="auto" w:fill="auto"/>
            <w:vAlign w:val="bottom"/>
          </w:tcPr>
          <w:p w14:paraId="392C8A4F" w14:textId="77777777" w:rsidR="00980E5F" w:rsidRDefault="00980E5F">
            <w:pPr>
              <w:rPr>
                <w:rFonts w:ascii="宋体"/>
                <w:vanish/>
              </w:rPr>
            </w:pPr>
          </w:p>
        </w:tc>
        <w:tc>
          <w:tcPr>
            <w:tcW w:w="0" w:type="auto"/>
            <w:gridSpan w:val="3"/>
            <w:shd w:val="clear" w:color="auto" w:fill="auto"/>
            <w:vAlign w:val="bottom"/>
          </w:tcPr>
          <w:p w14:paraId="392C8A50" w14:textId="77777777" w:rsidR="00980E5F" w:rsidRDefault="00980E5F">
            <w:pPr>
              <w:rPr>
                <w:rFonts w:ascii="宋体"/>
                <w:vanish/>
              </w:rPr>
            </w:pPr>
          </w:p>
        </w:tc>
        <w:tc>
          <w:tcPr>
            <w:tcW w:w="0" w:type="auto"/>
            <w:gridSpan w:val="3"/>
            <w:shd w:val="clear" w:color="auto" w:fill="auto"/>
            <w:vAlign w:val="bottom"/>
          </w:tcPr>
          <w:p w14:paraId="392C8A51" w14:textId="77777777" w:rsidR="00980E5F" w:rsidRDefault="00980E5F">
            <w:pPr>
              <w:rPr>
                <w:rFonts w:ascii="宋体"/>
                <w:vanish/>
              </w:rPr>
            </w:pPr>
          </w:p>
        </w:tc>
        <w:tc>
          <w:tcPr>
            <w:tcW w:w="0" w:type="auto"/>
            <w:shd w:val="clear" w:color="auto" w:fill="auto"/>
            <w:vAlign w:val="bottom"/>
          </w:tcPr>
          <w:p w14:paraId="392C8A52" w14:textId="77777777" w:rsidR="00980E5F" w:rsidRDefault="00980E5F">
            <w:pPr>
              <w:rPr>
                <w:rFonts w:ascii="宋体"/>
                <w:vanish/>
              </w:rPr>
            </w:pPr>
          </w:p>
        </w:tc>
        <w:tc>
          <w:tcPr>
            <w:tcW w:w="0" w:type="auto"/>
            <w:gridSpan w:val="3"/>
            <w:shd w:val="clear" w:color="auto" w:fill="auto"/>
            <w:vAlign w:val="bottom"/>
          </w:tcPr>
          <w:p w14:paraId="392C8A53" w14:textId="77777777" w:rsidR="00980E5F" w:rsidRDefault="00980E5F">
            <w:pPr>
              <w:rPr>
                <w:rFonts w:ascii="宋体"/>
                <w:vanish/>
              </w:rPr>
            </w:pPr>
          </w:p>
        </w:tc>
        <w:tc>
          <w:tcPr>
            <w:tcW w:w="0" w:type="auto"/>
            <w:gridSpan w:val="3"/>
            <w:shd w:val="clear" w:color="auto" w:fill="auto"/>
            <w:vAlign w:val="bottom"/>
          </w:tcPr>
          <w:p w14:paraId="392C8A54" w14:textId="77777777" w:rsidR="00980E5F" w:rsidRDefault="00980E5F">
            <w:pPr>
              <w:rPr>
                <w:rFonts w:ascii="宋体"/>
                <w:vanish/>
              </w:rPr>
            </w:pPr>
          </w:p>
        </w:tc>
        <w:tc>
          <w:tcPr>
            <w:tcW w:w="0" w:type="auto"/>
            <w:gridSpan w:val="3"/>
            <w:shd w:val="clear" w:color="auto" w:fill="auto"/>
            <w:vAlign w:val="bottom"/>
          </w:tcPr>
          <w:p w14:paraId="392C8A55" w14:textId="77777777" w:rsidR="00980E5F" w:rsidRDefault="00980E5F">
            <w:pPr>
              <w:rPr>
                <w:rFonts w:ascii="宋体"/>
                <w:vanish/>
              </w:rPr>
            </w:pPr>
          </w:p>
        </w:tc>
        <w:tc>
          <w:tcPr>
            <w:tcW w:w="0" w:type="auto"/>
            <w:gridSpan w:val="3"/>
            <w:shd w:val="clear" w:color="auto" w:fill="auto"/>
            <w:vAlign w:val="bottom"/>
          </w:tcPr>
          <w:p w14:paraId="392C8A56" w14:textId="77777777" w:rsidR="00980E5F" w:rsidRDefault="00980E5F">
            <w:pPr>
              <w:rPr>
                <w:rFonts w:ascii="宋体"/>
                <w:vanish/>
              </w:rPr>
            </w:pPr>
          </w:p>
        </w:tc>
      </w:tr>
      <w:tr w:rsidR="00980E5F" w14:paraId="392C8A67" w14:textId="77777777">
        <w:trPr>
          <w:hidden/>
        </w:trPr>
        <w:tc>
          <w:tcPr>
            <w:tcW w:w="0" w:type="auto"/>
            <w:gridSpan w:val="3"/>
            <w:shd w:val="clear" w:color="auto" w:fill="auto"/>
            <w:vAlign w:val="bottom"/>
          </w:tcPr>
          <w:p w14:paraId="392C8A58" w14:textId="77777777" w:rsidR="00980E5F" w:rsidRDefault="00980E5F">
            <w:pPr>
              <w:rPr>
                <w:rFonts w:ascii="宋体"/>
                <w:vanish/>
              </w:rPr>
            </w:pPr>
          </w:p>
        </w:tc>
        <w:tc>
          <w:tcPr>
            <w:tcW w:w="0" w:type="auto"/>
            <w:gridSpan w:val="3"/>
            <w:shd w:val="clear" w:color="auto" w:fill="auto"/>
            <w:vAlign w:val="bottom"/>
          </w:tcPr>
          <w:p w14:paraId="392C8A59" w14:textId="77777777" w:rsidR="00980E5F" w:rsidRDefault="00980E5F">
            <w:pPr>
              <w:rPr>
                <w:rFonts w:ascii="宋体"/>
                <w:vanish/>
              </w:rPr>
            </w:pPr>
          </w:p>
        </w:tc>
        <w:tc>
          <w:tcPr>
            <w:tcW w:w="0" w:type="auto"/>
            <w:gridSpan w:val="3"/>
            <w:shd w:val="clear" w:color="auto" w:fill="auto"/>
            <w:vAlign w:val="bottom"/>
          </w:tcPr>
          <w:p w14:paraId="392C8A5A" w14:textId="77777777" w:rsidR="00980E5F" w:rsidRDefault="00980E5F">
            <w:pPr>
              <w:rPr>
                <w:rFonts w:ascii="宋体"/>
                <w:vanish/>
              </w:rPr>
            </w:pPr>
          </w:p>
        </w:tc>
        <w:tc>
          <w:tcPr>
            <w:tcW w:w="0" w:type="auto"/>
            <w:gridSpan w:val="3"/>
            <w:shd w:val="clear" w:color="auto" w:fill="auto"/>
            <w:vAlign w:val="bottom"/>
          </w:tcPr>
          <w:p w14:paraId="392C8A5B" w14:textId="77777777" w:rsidR="00980E5F" w:rsidRDefault="00980E5F">
            <w:pPr>
              <w:rPr>
                <w:rFonts w:ascii="宋体"/>
                <w:vanish/>
              </w:rPr>
            </w:pPr>
          </w:p>
        </w:tc>
        <w:tc>
          <w:tcPr>
            <w:tcW w:w="0" w:type="auto"/>
            <w:gridSpan w:val="3"/>
            <w:shd w:val="clear" w:color="auto" w:fill="auto"/>
            <w:vAlign w:val="bottom"/>
          </w:tcPr>
          <w:p w14:paraId="392C8A5C" w14:textId="77777777" w:rsidR="00980E5F" w:rsidRDefault="00980E5F">
            <w:pPr>
              <w:rPr>
                <w:rFonts w:ascii="宋体"/>
                <w:vanish/>
              </w:rPr>
            </w:pPr>
          </w:p>
        </w:tc>
        <w:tc>
          <w:tcPr>
            <w:tcW w:w="0" w:type="auto"/>
            <w:gridSpan w:val="3"/>
            <w:shd w:val="clear" w:color="auto" w:fill="auto"/>
            <w:vAlign w:val="bottom"/>
          </w:tcPr>
          <w:p w14:paraId="392C8A5D" w14:textId="77777777" w:rsidR="00980E5F" w:rsidRDefault="00980E5F">
            <w:pPr>
              <w:rPr>
                <w:rFonts w:ascii="宋体"/>
                <w:vanish/>
              </w:rPr>
            </w:pPr>
          </w:p>
        </w:tc>
        <w:tc>
          <w:tcPr>
            <w:tcW w:w="0" w:type="auto"/>
            <w:gridSpan w:val="3"/>
            <w:shd w:val="clear" w:color="auto" w:fill="auto"/>
            <w:vAlign w:val="bottom"/>
          </w:tcPr>
          <w:p w14:paraId="392C8A5E" w14:textId="77777777" w:rsidR="00980E5F" w:rsidRDefault="00980E5F">
            <w:pPr>
              <w:rPr>
                <w:rFonts w:ascii="宋体"/>
                <w:vanish/>
              </w:rPr>
            </w:pPr>
          </w:p>
        </w:tc>
        <w:tc>
          <w:tcPr>
            <w:tcW w:w="0" w:type="auto"/>
            <w:gridSpan w:val="3"/>
            <w:shd w:val="clear" w:color="auto" w:fill="auto"/>
            <w:vAlign w:val="bottom"/>
          </w:tcPr>
          <w:p w14:paraId="392C8A5F" w14:textId="77777777" w:rsidR="00980E5F" w:rsidRDefault="00980E5F">
            <w:pPr>
              <w:rPr>
                <w:rFonts w:ascii="宋体"/>
                <w:vanish/>
              </w:rPr>
            </w:pPr>
          </w:p>
        </w:tc>
        <w:tc>
          <w:tcPr>
            <w:tcW w:w="0" w:type="auto"/>
            <w:gridSpan w:val="3"/>
            <w:shd w:val="clear" w:color="auto" w:fill="auto"/>
            <w:vAlign w:val="bottom"/>
          </w:tcPr>
          <w:p w14:paraId="392C8A60" w14:textId="77777777" w:rsidR="00980E5F" w:rsidRDefault="00980E5F">
            <w:pPr>
              <w:rPr>
                <w:rFonts w:ascii="宋体"/>
                <w:vanish/>
              </w:rPr>
            </w:pPr>
          </w:p>
        </w:tc>
        <w:tc>
          <w:tcPr>
            <w:tcW w:w="0" w:type="auto"/>
            <w:gridSpan w:val="3"/>
            <w:shd w:val="clear" w:color="auto" w:fill="auto"/>
            <w:vAlign w:val="bottom"/>
          </w:tcPr>
          <w:p w14:paraId="392C8A61" w14:textId="77777777" w:rsidR="00980E5F" w:rsidRDefault="00980E5F">
            <w:pPr>
              <w:rPr>
                <w:rFonts w:ascii="宋体"/>
                <w:vanish/>
              </w:rPr>
            </w:pPr>
          </w:p>
        </w:tc>
        <w:tc>
          <w:tcPr>
            <w:tcW w:w="0" w:type="auto"/>
            <w:shd w:val="clear" w:color="auto" w:fill="auto"/>
            <w:vAlign w:val="bottom"/>
          </w:tcPr>
          <w:p w14:paraId="392C8A62" w14:textId="77777777" w:rsidR="00980E5F" w:rsidRDefault="00980E5F">
            <w:pPr>
              <w:rPr>
                <w:rFonts w:ascii="宋体"/>
                <w:vanish/>
              </w:rPr>
            </w:pPr>
          </w:p>
        </w:tc>
        <w:tc>
          <w:tcPr>
            <w:tcW w:w="0" w:type="auto"/>
            <w:gridSpan w:val="3"/>
            <w:shd w:val="clear" w:color="auto" w:fill="auto"/>
            <w:vAlign w:val="bottom"/>
          </w:tcPr>
          <w:p w14:paraId="392C8A63" w14:textId="77777777" w:rsidR="00980E5F" w:rsidRDefault="00980E5F">
            <w:pPr>
              <w:rPr>
                <w:rFonts w:ascii="宋体"/>
                <w:vanish/>
              </w:rPr>
            </w:pPr>
          </w:p>
        </w:tc>
        <w:tc>
          <w:tcPr>
            <w:tcW w:w="0" w:type="auto"/>
            <w:gridSpan w:val="3"/>
            <w:shd w:val="clear" w:color="auto" w:fill="auto"/>
            <w:vAlign w:val="bottom"/>
          </w:tcPr>
          <w:p w14:paraId="392C8A64" w14:textId="77777777" w:rsidR="00980E5F" w:rsidRDefault="00980E5F">
            <w:pPr>
              <w:rPr>
                <w:rFonts w:ascii="宋体"/>
                <w:vanish/>
              </w:rPr>
            </w:pPr>
          </w:p>
        </w:tc>
        <w:tc>
          <w:tcPr>
            <w:tcW w:w="0" w:type="auto"/>
            <w:gridSpan w:val="3"/>
            <w:shd w:val="clear" w:color="auto" w:fill="auto"/>
            <w:vAlign w:val="bottom"/>
          </w:tcPr>
          <w:p w14:paraId="392C8A65" w14:textId="77777777" w:rsidR="00980E5F" w:rsidRDefault="00980E5F">
            <w:pPr>
              <w:rPr>
                <w:rFonts w:ascii="宋体"/>
                <w:vanish/>
              </w:rPr>
            </w:pPr>
          </w:p>
        </w:tc>
        <w:tc>
          <w:tcPr>
            <w:tcW w:w="0" w:type="auto"/>
            <w:gridSpan w:val="3"/>
            <w:shd w:val="clear" w:color="auto" w:fill="auto"/>
            <w:vAlign w:val="bottom"/>
          </w:tcPr>
          <w:p w14:paraId="392C8A66" w14:textId="77777777" w:rsidR="00980E5F" w:rsidRDefault="00980E5F">
            <w:pPr>
              <w:rPr>
                <w:rFonts w:ascii="宋体"/>
                <w:vanish/>
              </w:rPr>
            </w:pPr>
          </w:p>
        </w:tc>
      </w:tr>
      <w:tr w:rsidR="00980E5F" w14:paraId="392C8A77" w14:textId="77777777">
        <w:trPr>
          <w:hidden/>
        </w:trPr>
        <w:tc>
          <w:tcPr>
            <w:tcW w:w="0" w:type="auto"/>
            <w:gridSpan w:val="3"/>
            <w:shd w:val="clear" w:color="auto" w:fill="auto"/>
            <w:vAlign w:val="bottom"/>
          </w:tcPr>
          <w:p w14:paraId="392C8A68" w14:textId="77777777" w:rsidR="00980E5F" w:rsidRDefault="00980E5F">
            <w:pPr>
              <w:rPr>
                <w:rFonts w:ascii="宋体"/>
                <w:vanish/>
              </w:rPr>
            </w:pPr>
          </w:p>
        </w:tc>
        <w:tc>
          <w:tcPr>
            <w:tcW w:w="0" w:type="auto"/>
            <w:gridSpan w:val="3"/>
            <w:shd w:val="clear" w:color="auto" w:fill="auto"/>
            <w:vAlign w:val="bottom"/>
          </w:tcPr>
          <w:p w14:paraId="392C8A69" w14:textId="77777777" w:rsidR="00980E5F" w:rsidRDefault="00980E5F">
            <w:pPr>
              <w:rPr>
                <w:rFonts w:ascii="宋体"/>
                <w:vanish/>
              </w:rPr>
            </w:pPr>
          </w:p>
        </w:tc>
        <w:tc>
          <w:tcPr>
            <w:tcW w:w="0" w:type="auto"/>
            <w:gridSpan w:val="3"/>
            <w:shd w:val="clear" w:color="auto" w:fill="auto"/>
            <w:vAlign w:val="bottom"/>
          </w:tcPr>
          <w:p w14:paraId="392C8A6A" w14:textId="77777777" w:rsidR="00980E5F" w:rsidRDefault="00980E5F">
            <w:pPr>
              <w:rPr>
                <w:rFonts w:ascii="宋体"/>
                <w:vanish/>
              </w:rPr>
            </w:pPr>
          </w:p>
        </w:tc>
        <w:tc>
          <w:tcPr>
            <w:tcW w:w="0" w:type="auto"/>
            <w:gridSpan w:val="3"/>
            <w:shd w:val="clear" w:color="auto" w:fill="auto"/>
            <w:vAlign w:val="bottom"/>
          </w:tcPr>
          <w:p w14:paraId="392C8A6B" w14:textId="77777777" w:rsidR="00980E5F" w:rsidRDefault="00980E5F">
            <w:pPr>
              <w:rPr>
                <w:rFonts w:ascii="宋体"/>
                <w:vanish/>
              </w:rPr>
            </w:pPr>
          </w:p>
        </w:tc>
        <w:tc>
          <w:tcPr>
            <w:tcW w:w="0" w:type="auto"/>
            <w:gridSpan w:val="3"/>
            <w:shd w:val="clear" w:color="auto" w:fill="auto"/>
            <w:vAlign w:val="bottom"/>
          </w:tcPr>
          <w:p w14:paraId="392C8A6C" w14:textId="77777777" w:rsidR="00980E5F" w:rsidRDefault="00980E5F">
            <w:pPr>
              <w:rPr>
                <w:rFonts w:ascii="宋体"/>
                <w:vanish/>
              </w:rPr>
            </w:pPr>
          </w:p>
        </w:tc>
        <w:tc>
          <w:tcPr>
            <w:tcW w:w="0" w:type="auto"/>
            <w:gridSpan w:val="3"/>
            <w:shd w:val="clear" w:color="auto" w:fill="auto"/>
            <w:vAlign w:val="bottom"/>
          </w:tcPr>
          <w:p w14:paraId="392C8A6D" w14:textId="77777777" w:rsidR="00980E5F" w:rsidRDefault="00980E5F">
            <w:pPr>
              <w:rPr>
                <w:rFonts w:ascii="宋体"/>
                <w:vanish/>
              </w:rPr>
            </w:pPr>
          </w:p>
        </w:tc>
        <w:tc>
          <w:tcPr>
            <w:tcW w:w="0" w:type="auto"/>
            <w:gridSpan w:val="3"/>
            <w:shd w:val="clear" w:color="auto" w:fill="auto"/>
            <w:vAlign w:val="bottom"/>
          </w:tcPr>
          <w:p w14:paraId="392C8A6E" w14:textId="77777777" w:rsidR="00980E5F" w:rsidRDefault="00980E5F">
            <w:pPr>
              <w:rPr>
                <w:rFonts w:ascii="宋体"/>
                <w:vanish/>
              </w:rPr>
            </w:pPr>
          </w:p>
        </w:tc>
        <w:tc>
          <w:tcPr>
            <w:tcW w:w="0" w:type="auto"/>
            <w:gridSpan w:val="3"/>
            <w:shd w:val="clear" w:color="auto" w:fill="auto"/>
            <w:vAlign w:val="bottom"/>
          </w:tcPr>
          <w:p w14:paraId="392C8A6F" w14:textId="77777777" w:rsidR="00980E5F" w:rsidRDefault="00980E5F">
            <w:pPr>
              <w:rPr>
                <w:rFonts w:ascii="宋体"/>
                <w:vanish/>
              </w:rPr>
            </w:pPr>
          </w:p>
        </w:tc>
        <w:tc>
          <w:tcPr>
            <w:tcW w:w="0" w:type="auto"/>
            <w:gridSpan w:val="3"/>
            <w:shd w:val="clear" w:color="auto" w:fill="auto"/>
            <w:vAlign w:val="bottom"/>
          </w:tcPr>
          <w:p w14:paraId="392C8A70" w14:textId="77777777" w:rsidR="00980E5F" w:rsidRDefault="00980E5F">
            <w:pPr>
              <w:rPr>
                <w:rFonts w:ascii="宋体"/>
                <w:vanish/>
              </w:rPr>
            </w:pPr>
          </w:p>
        </w:tc>
        <w:tc>
          <w:tcPr>
            <w:tcW w:w="0" w:type="auto"/>
            <w:gridSpan w:val="3"/>
            <w:shd w:val="clear" w:color="auto" w:fill="auto"/>
            <w:vAlign w:val="bottom"/>
          </w:tcPr>
          <w:p w14:paraId="392C8A71" w14:textId="77777777" w:rsidR="00980E5F" w:rsidRDefault="00980E5F">
            <w:pPr>
              <w:rPr>
                <w:rFonts w:ascii="宋体"/>
                <w:vanish/>
              </w:rPr>
            </w:pPr>
          </w:p>
        </w:tc>
        <w:tc>
          <w:tcPr>
            <w:tcW w:w="0" w:type="auto"/>
            <w:shd w:val="clear" w:color="auto" w:fill="auto"/>
            <w:vAlign w:val="bottom"/>
          </w:tcPr>
          <w:p w14:paraId="392C8A72" w14:textId="77777777" w:rsidR="00980E5F" w:rsidRDefault="00980E5F">
            <w:pPr>
              <w:rPr>
                <w:rFonts w:ascii="宋体"/>
                <w:vanish/>
              </w:rPr>
            </w:pPr>
          </w:p>
        </w:tc>
        <w:tc>
          <w:tcPr>
            <w:tcW w:w="0" w:type="auto"/>
            <w:gridSpan w:val="3"/>
            <w:shd w:val="clear" w:color="auto" w:fill="auto"/>
            <w:vAlign w:val="bottom"/>
          </w:tcPr>
          <w:p w14:paraId="392C8A73" w14:textId="77777777" w:rsidR="00980E5F" w:rsidRDefault="00980E5F">
            <w:pPr>
              <w:rPr>
                <w:rFonts w:ascii="宋体"/>
                <w:vanish/>
              </w:rPr>
            </w:pPr>
          </w:p>
        </w:tc>
        <w:tc>
          <w:tcPr>
            <w:tcW w:w="0" w:type="auto"/>
            <w:gridSpan w:val="3"/>
            <w:shd w:val="clear" w:color="auto" w:fill="auto"/>
            <w:vAlign w:val="bottom"/>
          </w:tcPr>
          <w:p w14:paraId="392C8A74" w14:textId="77777777" w:rsidR="00980E5F" w:rsidRDefault="00980E5F">
            <w:pPr>
              <w:rPr>
                <w:rFonts w:ascii="宋体"/>
                <w:vanish/>
              </w:rPr>
            </w:pPr>
          </w:p>
        </w:tc>
        <w:tc>
          <w:tcPr>
            <w:tcW w:w="0" w:type="auto"/>
            <w:gridSpan w:val="3"/>
            <w:shd w:val="clear" w:color="auto" w:fill="auto"/>
            <w:vAlign w:val="bottom"/>
          </w:tcPr>
          <w:p w14:paraId="392C8A75" w14:textId="77777777" w:rsidR="00980E5F" w:rsidRDefault="00980E5F">
            <w:pPr>
              <w:rPr>
                <w:rFonts w:ascii="宋体"/>
                <w:vanish/>
              </w:rPr>
            </w:pPr>
          </w:p>
        </w:tc>
        <w:tc>
          <w:tcPr>
            <w:tcW w:w="0" w:type="auto"/>
            <w:gridSpan w:val="3"/>
            <w:shd w:val="clear" w:color="auto" w:fill="auto"/>
            <w:vAlign w:val="bottom"/>
          </w:tcPr>
          <w:p w14:paraId="392C8A76" w14:textId="77777777" w:rsidR="00980E5F" w:rsidRDefault="00980E5F">
            <w:pPr>
              <w:rPr>
                <w:rFonts w:ascii="宋体"/>
                <w:vanish/>
              </w:rPr>
            </w:pPr>
          </w:p>
        </w:tc>
      </w:tr>
      <w:tr w:rsidR="00980E5F" w14:paraId="392C8A8B" w14:textId="77777777">
        <w:tc>
          <w:tcPr>
            <w:tcW w:w="0" w:type="auto"/>
            <w:gridSpan w:val="3"/>
            <w:shd w:val="clear" w:color="auto" w:fill="CCEEFF"/>
            <w:tcMar>
              <w:top w:w="40" w:type="dxa"/>
              <w:left w:w="20" w:type="dxa"/>
              <w:bottom w:w="40" w:type="dxa"/>
              <w:right w:w="20" w:type="dxa"/>
            </w:tcMar>
            <w:vAlign w:val="bottom"/>
          </w:tcPr>
          <w:p w14:paraId="392C8A78" w14:textId="77777777" w:rsidR="00980E5F" w:rsidRDefault="00483613">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392C8A79" w14:textId="77777777" w:rsidR="00980E5F" w:rsidRDefault="00483613">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392C8A7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A7B" w14:textId="77777777" w:rsidR="00980E5F" w:rsidRDefault="00483613">
            <w:pPr>
              <w:jc w:val="right"/>
              <w:textAlignment w:val="bottom"/>
            </w:pPr>
            <w:r>
              <w:rPr>
                <w:rFonts w:ascii="Arial" w:eastAsia="宋体" w:hAnsi="Arial" w:cs="Arial"/>
                <w:b/>
                <w:bCs/>
                <w:color w:val="000000"/>
                <w:sz w:val="15"/>
                <w:szCs w:val="15"/>
              </w:rPr>
              <w:t>(1,727)</w:t>
            </w:r>
          </w:p>
        </w:tc>
        <w:tc>
          <w:tcPr>
            <w:tcW w:w="0" w:type="auto"/>
            <w:shd w:val="clear" w:color="auto" w:fill="CCEEFF"/>
            <w:tcMar>
              <w:top w:w="40" w:type="dxa"/>
              <w:left w:w="0" w:type="dxa"/>
              <w:bottom w:w="40" w:type="dxa"/>
              <w:right w:w="20" w:type="dxa"/>
            </w:tcMar>
            <w:vAlign w:val="bottom"/>
          </w:tcPr>
          <w:p w14:paraId="392C8A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A7E" w14:textId="77777777" w:rsidR="00980E5F" w:rsidRDefault="00483613">
            <w:pPr>
              <w:jc w:val="right"/>
              <w:textAlignment w:val="bottom"/>
            </w:pPr>
            <w:r>
              <w:rPr>
                <w:rFonts w:ascii="Arial" w:eastAsia="宋体" w:hAnsi="Arial" w:cs="Arial"/>
                <w:b/>
                <w:bCs/>
                <w:color w:val="000000"/>
                <w:sz w:val="15"/>
                <w:szCs w:val="15"/>
              </w:rPr>
              <w:t>(1,727)</w:t>
            </w:r>
          </w:p>
        </w:tc>
        <w:tc>
          <w:tcPr>
            <w:tcW w:w="0" w:type="auto"/>
            <w:shd w:val="clear" w:color="auto" w:fill="CCEEFF"/>
            <w:tcMar>
              <w:top w:w="40" w:type="dxa"/>
              <w:left w:w="0" w:type="dxa"/>
              <w:bottom w:w="40" w:type="dxa"/>
              <w:right w:w="20" w:type="dxa"/>
            </w:tcMar>
            <w:vAlign w:val="bottom"/>
          </w:tcPr>
          <w:p w14:paraId="392C8A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A81" w14:textId="77777777" w:rsidR="00980E5F" w:rsidRDefault="00483613">
            <w:pPr>
              <w:jc w:val="right"/>
              <w:textAlignment w:val="bottom"/>
            </w:pPr>
            <w:r>
              <w:rPr>
                <w:rFonts w:ascii="Arial" w:eastAsia="宋体" w:hAnsi="Arial" w:cs="Arial"/>
                <w:b/>
                <w:bCs/>
                <w:color w:val="000000"/>
                <w:sz w:val="15"/>
                <w:szCs w:val="15"/>
              </w:rPr>
              <w:t>(1,034)</w:t>
            </w:r>
          </w:p>
        </w:tc>
        <w:tc>
          <w:tcPr>
            <w:tcW w:w="0" w:type="auto"/>
            <w:shd w:val="clear" w:color="auto" w:fill="CCEEFF"/>
            <w:tcMar>
              <w:top w:w="40" w:type="dxa"/>
              <w:left w:w="0" w:type="dxa"/>
              <w:bottom w:w="40" w:type="dxa"/>
              <w:right w:w="20" w:type="dxa"/>
            </w:tcMar>
            <w:vAlign w:val="bottom"/>
          </w:tcPr>
          <w:p w14:paraId="392C8A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A84" w14:textId="77777777" w:rsidR="00980E5F" w:rsidRDefault="00483613">
            <w:pPr>
              <w:jc w:val="right"/>
              <w:textAlignment w:val="bottom"/>
            </w:pPr>
            <w:r>
              <w:rPr>
                <w:rFonts w:ascii="Arial" w:eastAsia="宋体" w:hAnsi="Arial" w:cs="Arial"/>
                <w:b/>
                <w:bCs/>
                <w:color w:val="000000"/>
                <w:sz w:val="15"/>
                <w:szCs w:val="15"/>
              </w:rPr>
              <w:t>(2,761)</w:t>
            </w:r>
          </w:p>
        </w:tc>
        <w:tc>
          <w:tcPr>
            <w:tcW w:w="0" w:type="auto"/>
            <w:shd w:val="clear" w:color="auto" w:fill="CCEEFF"/>
            <w:tcMar>
              <w:top w:w="40" w:type="dxa"/>
              <w:left w:w="0" w:type="dxa"/>
              <w:bottom w:w="40" w:type="dxa"/>
              <w:right w:w="20" w:type="dxa"/>
            </w:tcMar>
            <w:vAlign w:val="bottom"/>
          </w:tcPr>
          <w:p w14:paraId="392C8A85" w14:textId="77777777" w:rsidR="00980E5F" w:rsidRDefault="00980E5F">
            <w:pPr>
              <w:jc w:val="right"/>
              <w:rPr>
                <w:rFonts w:ascii="宋体"/>
              </w:rPr>
            </w:pPr>
          </w:p>
        </w:tc>
        <w:tc>
          <w:tcPr>
            <w:tcW w:w="0" w:type="auto"/>
            <w:shd w:val="clear" w:color="auto" w:fill="auto"/>
            <w:vAlign w:val="bottom"/>
          </w:tcPr>
          <w:p w14:paraId="392C8A86" w14:textId="77777777" w:rsidR="00980E5F" w:rsidRDefault="00980E5F">
            <w:pPr>
              <w:rPr>
                <w:rFonts w:ascii="宋体"/>
                <w:vanish/>
              </w:rPr>
            </w:pPr>
          </w:p>
        </w:tc>
        <w:tc>
          <w:tcPr>
            <w:tcW w:w="0" w:type="auto"/>
            <w:gridSpan w:val="3"/>
            <w:shd w:val="clear" w:color="auto" w:fill="auto"/>
            <w:vAlign w:val="bottom"/>
          </w:tcPr>
          <w:p w14:paraId="392C8A87" w14:textId="77777777" w:rsidR="00980E5F" w:rsidRDefault="00980E5F">
            <w:pPr>
              <w:rPr>
                <w:rFonts w:ascii="宋体"/>
                <w:vanish/>
              </w:rPr>
            </w:pPr>
          </w:p>
        </w:tc>
        <w:tc>
          <w:tcPr>
            <w:tcW w:w="0" w:type="auto"/>
            <w:gridSpan w:val="3"/>
            <w:shd w:val="clear" w:color="auto" w:fill="auto"/>
            <w:vAlign w:val="bottom"/>
          </w:tcPr>
          <w:p w14:paraId="392C8A88" w14:textId="77777777" w:rsidR="00980E5F" w:rsidRDefault="00980E5F">
            <w:pPr>
              <w:rPr>
                <w:rFonts w:ascii="宋体"/>
                <w:vanish/>
              </w:rPr>
            </w:pPr>
          </w:p>
        </w:tc>
        <w:tc>
          <w:tcPr>
            <w:tcW w:w="0" w:type="auto"/>
            <w:gridSpan w:val="3"/>
            <w:shd w:val="clear" w:color="auto" w:fill="auto"/>
            <w:vAlign w:val="bottom"/>
          </w:tcPr>
          <w:p w14:paraId="392C8A89" w14:textId="77777777" w:rsidR="00980E5F" w:rsidRDefault="00980E5F">
            <w:pPr>
              <w:rPr>
                <w:rFonts w:ascii="宋体"/>
                <w:vanish/>
              </w:rPr>
            </w:pPr>
          </w:p>
        </w:tc>
        <w:tc>
          <w:tcPr>
            <w:tcW w:w="0" w:type="auto"/>
            <w:gridSpan w:val="3"/>
            <w:shd w:val="clear" w:color="auto" w:fill="auto"/>
            <w:vAlign w:val="bottom"/>
          </w:tcPr>
          <w:p w14:paraId="392C8A8A" w14:textId="77777777" w:rsidR="00980E5F" w:rsidRDefault="00980E5F">
            <w:pPr>
              <w:rPr>
                <w:rFonts w:ascii="宋体"/>
                <w:vanish/>
              </w:rPr>
            </w:pPr>
          </w:p>
        </w:tc>
      </w:tr>
      <w:tr w:rsidR="00980E5F" w14:paraId="392C8AA0" w14:textId="77777777">
        <w:tc>
          <w:tcPr>
            <w:tcW w:w="0" w:type="auto"/>
            <w:gridSpan w:val="3"/>
            <w:shd w:val="clear" w:color="auto" w:fill="FFFFFF"/>
            <w:tcMar>
              <w:top w:w="40" w:type="dxa"/>
              <w:left w:w="20" w:type="dxa"/>
              <w:bottom w:w="40" w:type="dxa"/>
              <w:right w:w="20" w:type="dxa"/>
            </w:tcMar>
            <w:vAlign w:val="bottom"/>
          </w:tcPr>
          <w:p w14:paraId="392C8A8C" w14:textId="77777777" w:rsidR="00980E5F" w:rsidRDefault="00483613">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A8D" w14:textId="77777777" w:rsidR="00980E5F" w:rsidRDefault="00483613">
            <w:pPr>
              <w:jc w:val="right"/>
              <w:textAlignment w:val="bottom"/>
            </w:pPr>
            <w:r>
              <w:rPr>
                <w:rFonts w:ascii="Arial" w:eastAsia="宋体" w:hAnsi="Arial" w:cs="Arial"/>
                <w:b/>
                <w:bCs/>
                <w:color w:val="000000"/>
                <w:sz w:val="15"/>
                <w:szCs w:val="15"/>
              </w:rPr>
              <w:t>23,644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A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8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A90" w14:textId="77777777" w:rsidR="00980E5F" w:rsidRDefault="00483613">
            <w:pPr>
              <w:jc w:val="right"/>
              <w:textAlignment w:val="bottom"/>
            </w:pPr>
            <w:r>
              <w:rPr>
                <w:rFonts w:ascii="Arial" w:eastAsia="宋体" w:hAnsi="Arial" w:cs="Arial"/>
                <w:b/>
                <w:bCs/>
                <w:color w:val="000000"/>
                <w:sz w:val="15"/>
                <w:szCs w:val="15"/>
              </w:rPr>
              <w:t>(14,168)</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A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9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A93" w14:textId="77777777" w:rsidR="00980E5F" w:rsidRDefault="00483613">
            <w:pPr>
              <w:jc w:val="right"/>
              <w:textAlignment w:val="bottom"/>
            </w:pPr>
            <w:r>
              <w:rPr>
                <w:rFonts w:ascii="Arial" w:eastAsia="宋体" w:hAnsi="Arial" w:cs="Arial"/>
                <w:b/>
                <w:bCs/>
                <w:color w:val="000000"/>
                <w:sz w:val="15"/>
                <w:szCs w:val="15"/>
              </w:rPr>
              <w:t>9,476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A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9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A96" w14:textId="77777777" w:rsidR="00980E5F" w:rsidRDefault="00483613">
            <w:pPr>
              <w:jc w:val="right"/>
              <w:textAlignment w:val="bottom"/>
            </w:pPr>
            <w:r>
              <w:rPr>
                <w:rFonts w:ascii="Arial" w:eastAsia="宋体" w:hAnsi="Arial" w:cs="Arial"/>
                <w:b/>
                <w:bCs/>
                <w:color w:val="000000"/>
                <w:sz w:val="15"/>
                <w:szCs w:val="15"/>
              </w:rPr>
              <w:t>(1,034)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A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9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A99" w14:textId="77777777" w:rsidR="00980E5F" w:rsidRDefault="00483613">
            <w:pPr>
              <w:jc w:val="right"/>
              <w:textAlignment w:val="bottom"/>
            </w:pPr>
            <w:r>
              <w:rPr>
                <w:rFonts w:ascii="Arial" w:eastAsia="宋体" w:hAnsi="Arial" w:cs="Arial"/>
                <w:b/>
                <w:bCs/>
                <w:color w:val="000000"/>
                <w:sz w:val="15"/>
                <w:szCs w:val="15"/>
              </w:rPr>
              <w:t>8,442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A9A" w14:textId="77777777" w:rsidR="00980E5F" w:rsidRDefault="00980E5F">
            <w:pPr>
              <w:jc w:val="right"/>
              <w:rPr>
                <w:rFonts w:ascii="宋体"/>
              </w:rPr>
            </w:pPr>
          </w:p>
        </w:tc>
        <w:tc>
          <w:tcPr>
            <w:tcW w:w="0" w:type="auto"/>
            <w:shd w:val="clear" w:color="auto" w:fill="auto"/>
            <w:vAlign w:val="bottom"/>
          </w:tcPr>
          <w:p w14:paraId="392C8A9B" w14:textId="77777777" w:rsidR="00980E5F" w:rsidRDefault="00980E5F">
            <w:pPr>
              <w:rPr>
                <w:rFonts w:ascii="宋体"/>
                <w:vanish/>
              </w:rPr>
            </w:pPr>
          </w:p>
        </w:tc>
        <w:tc>
          <w:tcPr>
            <w:tcW w:w="0" w:type="auto"/>
            <w:gridSpan w:val="3"/>
            <w:shd w:val="clear" w:color="auto" w:fill="auto"/>
            <w:vAlign w:val="bottom"/>
          </w:tcPr>
          <w:p w14:paraId="392C8A9C" w14:textId="77777777" w:rsidR="00980E5F" w:rsidRDefault="00980E5F">
            <w:pPr>
              <w:rPr>
                <w:rFonts w:ascii="宋体"/>
                <w:vanish/>
              </w:rPr>
            </w:pPr>
          </w:p>
        </w:tc>
        <w:tc>
          <w:tcPr>
            <w:tcW w:w="0" w:type="auto"/>
            <w:gridSpan w:val="3"/>
            <w:shd w:val="clear" w:color="auto" w:fill="auto"/>
            <w:vAlign w:val="bottom"/>
          </w:tcPr>
          <w:p w14:paraId="392C8A9D" w14:textId="77777777" w:rsidR="00980E5F" w:rsidRDefault="00980E5F">
            <w:pPr>
              <w:rPr>
                <w:rFonts w:ascii="宋体"/>
                <w:vanish/>
              </w:rPr>
            </w:pPr>
          </w:p>
        </w:tc>
        <w:tc>
          <w:tcPr>
            <w:tcW w:w="0" w:type="auto"/>
            <w:gridSpan w:val="3"/>
            <w:shd w:val="clear" w:color="auto" w:fill="auto"/>
            <w:vAlign w:val="bottom"/>
          </w:tcPr>
          <w:p w14:paraId="392C8A9E" w14:textId="77777777" w:rsidR="00980E5F" w:rsidRDefault="00980E5F">
            <w:pPr>
              <w:rPr>
                <w:rFonts w:ascii="宋体"/>
                <w:vanish/>
              </w:rPr>
            </w:pPr>
          </w:p>
        </w:tc>
        <w:tc>
          <w:tcPr>
            <w:tcW w:w="0" w:type="auto"/>
            <w:gridSpan w:val="3"/>
            <w:shd w:val="clear" w:color="auto" w:fill="auto"/>
            <w:vAlign w:val="bottom"/>
          </w:tcPr>
          <w:p w14:paraId="392C8A9F" w14:textId="77777777" w:rsidR="00980E5F" w:rsidRDefault="00980E5F">
            <w:pPr>
              <w:rPr>
                <w:rFonts w:ascii="宋体"/>
                <w:vanish/>
              </w:rPr>
            </w:pPr>
          </w:p>
        </w:tc>
      </w:tr>
      <w:tr w:rsidR="00980E5F" w14:paraId="392C8AB0" w14:textId="77777777">
        <w:tc>
          <w:tcPr>
            <w:tcW w:w="0" w:type="auto"/>
            <w:gridSpan w:val="3"/>
            <w:shd w:val="clear" w:color="auto" w:fill="CCEEFF"/>
            <w:tcMar>
              <w:top w:w="40" w:type="dxa"/>
              <w:left w:w="20" w:type="dxa"/>
              <w:bottom w:w="40" w:type="dxa"/>
              <w:right w:w="20" w:type="dxa"/>
            </w:tcMar>
            <w:vAlign w:val="bottom"/>
          </w:tcPr>
          <w:p w14:paraId="392C8AA1" w14:textId="77777777" w:rsidR="00980E5F" w:rsidRDefault="00483613">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392C8AA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AAA" w14:textId="77777777" w:rsidR="00980E5F" w:rsidRDefault="00980E5F">
            <w:pPr>
              <w:rPr>
                <w:rFonts w:ascii="宋体"/>
              </w:rPr>
            </w:pPr>
          </w:p>
        </w:tc>
        <w:tc>
          <w:tcPr>
            <w:tcW w:w="0" w:type="auto"/>
            <w:shd w:val="clear" w:color="auto" w:fill="auto"/>
            <w:vAlign w:val="bottom"/>
          </w:tcPr>
          <w:p w14:paraId="392C8AAB" w14:textId="77777777" w:rsidR="00980E5F" w:rsidRDefault="00980E5F">
            <w:pPr>
              <w:rPr>
                <w:rFonts w:ascii="宋体"/>
                <w:vanish/>
              </w:rPr>
            </w:pPr>
          </w:p>
        </w:tc>
        <w:tc>
          <w:tcPr>
            <w:tcW w:w="0" w:type="auto"/>
            <w:gridSpan w:val="3"/>
            <w:shd w:val="clear" w:color="auto" w:fill="auto"/>
            <w:vAlign w:val="bottom"/>
          </w:tcPr>
          <w:p w14:paraId="392C8AAC" w14:textId="77777777" w:rsidR="00980E5F" w:rsidRDefault="00980E5F">
            <w:pPr>
              <w:rPr>
                <w:rFonts w:ascii="宋体"/>
                <w:vanish/>
              </w:rPr>
            </w:pPr>
          </w:p>
        </w:tc>
        <w:tc>
          <w:tcPr>
            <w:tcW w:w="0" w:type="auto"/>
            <w:gridSpan w:val="3"/>
            <w:shd w:val="clear" w:color="auto" w:fill="auto"/>
            <w:vAlign w:val="bottom"/>
          </w:tcPr>
          <w:p w14:paraId="392C8AAD" w14:textId="77777777" w:rsidR="00980E5F" w:rsidRDefault="00980E5F">
            <w:pPr>
              <w:rPr>
                <w:rFonts w:ascii="宋体"/>
                <w:vanish/>
              </w:rPr>
            </w:pPr>
          </w:p>
        </w:tc>
        <w:tc>
          <w:tcPr>
            <w:tcW w:w="0" w:type="auto"/>
            <w:gridSpan w:val="3"/>
            <w:shd w:val="clear" w:color="auto" w:fill="auto"/>
            <w:vAlign w:val="bottom"/>
          </w:tcPr>
          <w:p w14:paraId="392C8AAE" w14:textId="77777777" w:rsidR="00980E5F" w:rsidRDefault="00980E5F">
            <w:pPr>
              <w:rPr>
                <w:rFonts w:ascii="宋体"/>
                <w:vanish/>
              </w:rPr>
            </w:pPr>
          </w:p>
        </w:tc>
        <w:tc>
          <w:tcPr>
            <w:tcW w:w="0" w:type="auto"/>
            <w:gridSpan w:val="3"/>
            <w:shd w:val="clear" w:color="auto" w:fill="auto"/>
            <w:vAlign w:val="bottom"/>
          </w:tcPr>
          <w:p w14:paraId="392C8AAF" w14:textId="77777777" w:rsidR="00980E5F" w:rsidRDefault="00980E5F">
            <w:pPr>
              <w:rPr>
                <w:rFonts w:ascii="宋体"/>
                <w:vanish/>
              </w:rPr>
            </w:pPr>
          </w:p>
        </w:tc>
      </w:tr>
      <w:tr w:rsidR="00980E5F" w14:paraId="392C8AC0" w14:textId="77777777">
        <w:trPr>
          <w:hidden/>
        </w:trPr>
        <w:tc>
          <w:tcPr>
            <w:tcW w:w="0" w:type="auto"/>
            <w:gridSpan w:val="3"/>
            <w:shd w:val="clear" w:color="auto" w:fill="auto"/>
            <w:vAlign w:val="bottom"/>
          </w:tcPr>
          <w:p w14:paraId="392C8AB1" w14:textId="77777777" w:rsidR="00980E5F" w:rsidRDefault="00980E5F">
            <w:pPr>
              <w:rPr>
                <w:rFonts w:ascii="宋体"/>
                <w:vanish/>
              </w:rPr>
            </w:pPr>
          </w:p>
        </w:tc>
        <w:tc>
          <w:tcPr>
            <w:tcW w:w="0" w:type="auto"/>
            <w:gridSpan w:val="3"/>
            <w:shd w:val="clear" w:color="auto" w:fill="auto"/>
            <w:vAlign w:val="bottom"/>
          </w:tcPr>
          <w:p w14:paraId="392C8AB2" w14:textId="77777777" w:rsidR="00980E5F" w:rsidRDefault="00980E5F">
            <w:pPr>
              <w:rPr>
                <w:rFonts w:ascii="宋体"/>
                <w:vanish/>
              </w:rPr>
            </w:pPr>
          </w:p>
        </w:tc>
        <w:tc>
          <w:tcPr>
            <w:tcW w:w="0" w:type="auto"/>
            <w:gridSpan w:val="3"/>
            <w:shd w:val="clear" w:color="auto" w:fill="auto"/>
            <w:vAlign w:val="bottom"/>
          </w:tcPr>
          <w:p w14:paraId="392C8AB3" w14:textId="77777777" w:rsidR="00980E5F" w:rsidRDefault="00980E5F">
            <w:pPr>
              <w:rPr>
                <w:rFonts w:ascii="宋体"/>
                <w:vanish/>
              </w:rPr>
            </w:pPr>
          </w:p>
        </w:tc>
        <w:tc>
          <w:tcPr>
            <w:tcW w:w="0" w:type="auto"/>
            <w:gridSpan w:val="3"/>
            <w:shd w:val="clear" w:color="auto" w:fill="auto"/>
            <w:vAlign w:val="bottom"/>
          </w:tcPr>
          <w:p w14:paraId="392C8AB4" w14:textId="77777777" w:rsidR="00980E5F" w:rsidRDefault="00980E5F">
            <w:pPr>
              <w:rPr>
                <w:rFonts w:ascii="宋体"/>
                <w:vanish/>
              </w:rPr>
            </w:pPr>
          </w:p>
        </w:tc>
        <w:tc>
          <w:tcPr>
            <w:tcW w:w="0" w:type="auto"/>
            <w:gridSpan w:val="3"/>
            <w:shd w:val="clear" w:color="auto" w:fill="auto"/>
            <w:vAlign w:val="bottom"/>
          </w:tcPr>
          <w:p w14:paraId="392C8AB5" w14:textId="77777777" w:rsidR="00980E5F" w:rsidRDefault="00980E5F">
            <w:pPr>
              <w:rPr>
                <w:rFonts w:ascii="宋体"/>
                <w:vanish/>
              </w:rPr>
            </w:pPr>
          </w:p>
        </w:tc>
        <w:tc>
          <w:tcPr>
            <w:tcW w:w="0" w:type="auto"/>
            <w:gridSpan w:val="3"/>
            <w:shd w:val="clear" w:color="auto" w:fill="auto"/>
            <w:vAlign w:val="bottom"/>
          </w:tcPr>
          <w:p w14:paraId="392C8AB6" w14:textId="77777777" w:rsidR="00980E5F" w:rsidRDefault="00980E5F">
            <w:pPr>
              <w:rPr>
                <w:rFonts w:ascii="宋体"/>
                <w:vanish/>
              </w:rPr>
            </w:pPr>
          </w:p>
        </w:tc>
        <w:tc>
          <w:tcPr>
            <w:tcW w:w="0" w:type="auto"/>
            <w:gridSpan w:val="3"/>
            <w:shd w:val="clear" w:color="auto" w:fill="auto"/>
            <w:vAlign w:val="bottom"/>
          </w:tcPr>
          <w:p w14:paraId="392C8AB7" w14:textId="77777777" w:rsidR="00980E5F" w:rsidRDefault="00980E5F">
            <w:pPr>
              <w:rPr>
                <w:rFonts w:ascii="宋体"/>
                <w:vanish/>
              </w:rPr>
            </w:pPr>
          </w:p>
        </w:tc>
        <w:tc>
          <w:tcPr>
            <w:tcW w:w="0" w:type="auto"/>
            <w:gridSpan w:val="3"/>
            <w:shd w:val="clear" w:color="auto" w:fill="auto"/>
            <w:vAlign w:val="bottom"/>
          </w:tcPr>
          <w:p w14:paraId="392C8AB8" w14:textId="77777777" w:rsidR="00980E5F" w:rsidRDefault="00980E5F">
            <w:pPr>
              <w:rPr>
                <w:rFonts w:ascii="宋体"/>
                <w:vanish/>
              </w:rPr>
            </w:pPr>
          </w:p>
        </w:tc>
        <w:tc>
          <w:tcPr>
            <w:tcW w:w="0" w:type="auto"/>
            <w:gridSpan w:val="3"/>
            <w:shd w:val="clear" w:color="auto" w:fill="auto"/>
            <w:vAlign w:val="bottom"/>
          </w:tcPr>
          <w:p w14:paraId="392C8AB9" w14:textId="77777777" w:rsidR="00980E5F" w:rsidRDefault="00980E5F">
            <w:pPr>
              <w:rPr>
                <w:rFonts w:ascii="宋体"/>
                <w:vanish/>
              </w:rPr>
            </w:pPr>
          </w:p>
        </w:tc>
        <w:tc>
          <w:tcPr>
            <w:tcW w:w="0" w:type="auto"/>
            <w:gridSpan w:val="3"/>
            <w:shd w:val="clear" w:color="auto" w:fill="auto"/>
            <w:vAlign w:val="bottom"/>
          </w:tcPr>
          <w:p w14:paraId="392C8ABA" w14:textId="77777777" w:rsidR="00980E5F" w:rsidRDefault="00980E5F">
            <w:pPr>
              <w:rPr>
                <w:rFonts w:ascii="宋体"/>
                <w:vanish/>
              </w:rPr>
            </w:pPr>
          </w:p>
        </w:tc>
        <w:tc>
          <w:tcPr>
            <w:tcW w:w="0" w:type="auto"/>
            <w:shd w:val="clear" w:color="auto" w:fill="auto"/>
            <w:vAlign w:val="bottom"/>
          </w:tcPr>
          <w:p w14:paraId="392C8ABB" w14:textId="77777777" w:rsidR="00980E5F" w:rsidRDefault="00980E5F">
            <w:pPr>
              <w:rPr>
                <w:rFonts w:ascii="宋体"/>
                <w:vanish/>
              </w:rPr>
            </w:pPr>
          </w:p>
        </w:tc>
        <w:tc>
          <w:tcPr>
            <w:tcW w:w="0" w:type="auto"/>
            <w:gridSpan w:val="3"/>
            <w:shd w:val="clear" w:color="auto" w:fill="auto"/>
            <w:vAlign w:val="bottom"/>
          </w:tcPr>
          <w:p w14:paraId="392C8ABC" w14:textId="77777777" w:rsidR="00980E5F" w:rsidRDefault="00980E5F">
            <w:pPr>
              <w:rPr>
                <w:rFonts w:ascii="宋体"/>
                <w:vanish/>
              </w:rPr>
            </w:pPr>
          </w:p>
        </w:tc>
        <w:tc>
          <w:tcPr>
            <w:tcW w:w="0" w:type="auto"/>
            <w:gridSpan w:val="3"/>
            <w:shd w:val="clear" w:color="auto" w:fill="auto"/>
            <w:vAlign w:val="bottom"/>
          </w:tcPr>
          <w:p w14:paraId="392C8ABD" w14:textId="77777777" w:rsidR="00980E5F" w:rsidRDefault="00980E5F">
            <w:pPr>
              <w:rPr>
                <w:rFonts w:ascii="宋体"/>
                <w:vanish/>
              </w:rPr>
            </w:pPr>
          </w:p>
        </w:tc>
        <w:tc>
          <w:tcPr>
            <w:tcW w:w="0" w:type="auto"/>
            <w:gridSpan w:val="3"/>
            <w:shd w:val="clear" w:color="auto" w:fill="auto"/>
            <w:vAlign w:val="bottom"/>
          </w:tcPr>
          <w:p w14:paraId="392C8ABE" w14:textId="77777777" w:rsidR="00980E5F" w:rsidRDefault="00980E5F">
            <w:pPr>
              <w:rPr>
                <w:rFonts w:ascii="宋体"/>
                <w:vanish/>
              </w:rPr>
            </w:pPr>
          </w:p>
        </w:tc>
        <w:tc>
          <w:tcPr>
            <w:tcW w:w="0" w:type="auto"/>
            <w:gridSpan w:val="3"/>
            <w:shd w:val="clear" w:color="auto" w:fill="auto"/>
            <w:vAlign w:val="bottom"/>
          </w:tcPr>
          <w:p w14:paraId="392C8ABF" w14:textId="77777777" w:rsidR="00980E5F" w:rsidRDefault="00980E5F">
            <w:pPr>
              <w:rPr>
                <w:rFonts w:ascii="宋体"/>
                <w:vanish/>
              </w:rPr>
            </w:pPr>
          </w:p>
        </w:tc>
      </w:tr>
      <w:tr w:rsidR="00980E5F" w14:paraId="392C8AD0" w14:textId="77777777">
        <w:trPr>
          <w:hidden/>
        </w:trPr>
        <w:tc>
          <w:tcPr>
            <w:tcW w:w="0" w:type="auto"/>
            <w:gridSpan w:val="3"/>
            <w:shd w:val="clear" w:color="auto" w:fill="auto"/>
            <w:vAlign w:val="bottom"/>
          </w:tcPr>
          <w:p w14:paraId="392C8AC1" w14:textId="77777777" w:rsidR="00980E5F" w:rsidRDefault="00980E5F">
            <w:pPr>
              <w:rPr>
                <w:rFonts w:ascii="宋体"/>
                <w:vanish/>
              </w:rPr>
            </w:pPr>
          </w:p>
        </w:tc>
        <w:tc>
          <w:tcPr>
            <w:tcW w:w="0" w:type="auto"/>
            <w:gridSpan w:val="3"/>
            <w:shd w:val="clear" w:color="auto" w:fill="auto"/>
            <w:vAlign w:val="bottom"/>
          </w:tcPr>
          <w:p w14:paraId="392C8AC2" w14:textId="77777777" w:rsidR="00980E5F" w:rsidRDefault="00980E5F">
            <w:pPr>
              <w:rPr>
                <w:rFonts w:ascii="宋体"/>
                <w:vanish/>
              </w:rPr>
            </w:pPr>
          </w:p>
        </w:tc>
        <w:tc>
          <w:tcPr>
            <w:tcW w:w="0" w:type="auto"/>
            <w:gridSpan w:val="3"/>
            <w:shd w:val="clear" w:color="auto" w:fill="auto"/>
            <w:vAlign w:val="bottom"/>
          </w:tcPr>
          <w:p w14:paraId="392C8AC3" w14:textId="77777777" w:rsidR="00980E5F" w:rsidRDefault="00980E5F">
            <w:pPr>
              <w:rPr>
                <w:rFonts w:ascii="宋体"/>
                <w:vanish/>
              </w:rPr>
            </w:pPr>
          </w:p>
        </w:tc>
        <w:tc>
          <w:tcPr>
            <w:tcW w:w="0" w:type="auto"/>
            <w:gridSpan w:val="3"/>
            <w:shd w:val="clear" w:color="auto" w:fill="auto"/>
            <w:vAlign w:val="bottom"/>
          </w:tcPr>
          <w:p w14:paraId="392C8AC4" w14:textId="77777777" w:rsidR="00980E5F" w:rsidRDefault="00980E5F">
            <w:pPr>
              <w:rPr>
                <w:rFonts w:ascii="宋体"/>
                <w:vanish/>
              </w:rPr>
            </w:pPr>
          </w:p>
        </w:tc>
        <w:tc>
          <w:tcPr>
            <w:tcW w:w="0" w:type="auto"/>
            <w:gridSpan w:val="3"/>
            <w:shd w:val="clear" w:color="auto" w:fill="auto"/>
            <w:vAlign w:val="bottom"/>
          </w:tcPr>
          <w:p w14:paraId="392C8AC5" w14:textId="77777777" w:rsidR="00980E5F" w:rsidRDefault="00980E5F">
            <w:pPr>
              <w:rPr>
                <w:rFonts w:ascii="宋体"/>
                <w:vanish/>
              </w:rPr>
            </w:pPr>
          </w:p>
        </w:tc>
        <w:tc>
          <w:tcPr>
            <w:tcW w:w="0" w:type="auto"/>
            <w:gridSpan w:val="3"/>
            <w:shd w:val="clear" w:color="auto" w:fill="auto"/>
            <w:vAlign w:val="bottom"/>
          </w:tcPr>
          <w:p w14:paraId="392C8AC6" w14:textId="77777777" w:rsidR="00980E5F" w:rsidRDefault="00980E5F">
            <w:pPr>
              <w:rPr>
                <w:rFonts w:ascii="宋体"/>
                <w:vanish/>
              </w:rPr>
            </w:pPr>
          </w:p>
        </w:tc>
        <w:tc>
          <w:tcPr>
            <w:tcW w:w="0" w:type="auto"/>
            <w:gridSpan w:val="3"/>
            <w:shd w:val="clear" w:color="auto" w:fill="auto"/>
            <w:vAlign w:val="bottom"/>
          </w:tcPr>
          <w:p w14:paraId="392C8AC7" w14:textId="77777777" w:rsidR="00980E5F" w:rsidRDefault="00980E5F">
            <w:pPr>
              <w:rPr>
                <w:rFonts w:ascii="宋体"/>
                <w:vanish/>
              </w:rPr>
            </w:pPr>
          </w:p>
        </w:tc>
        <w:tc>
          <w:tcPr>
            <w:tcW w:w="0" w:type="auto"/>
            <w:gridSpan w:val="3"/>
            <w:shd w:val="clear" w:color="auto" w:fill="auto"/>
            <w:vAlign w:val="bottom"/>
          </w:tcPr>
          <w:p w14:paraId="392C8AC8" w14:textId="77777777" w:rsidR="00980E5F" w:rsidRDefault="00980E5F">
            <w:pPr>
              <w:rPr>
                <w:rFonts w:ascii="宋体"/>
                <w:vanish/>
              </w:rPr>
            </w:pPr>
          </w:p>
        </w:tc>
        <w:tc>
          <w:tcPr>
            <w:tcW w:w="0" w:type="auto"/>
            <w:gridSpan w:val="3"/>
            <w:shd w:val="clear" w:color="auto" w:fill="auto"/>
            <w:vAlign w:val="bottom"/>
          </w:tcPr>
          <w:p w14:paraId="392C8AC9" w14:textId="77777777" w:rsidR="00980E5F" w:rsidRDefault="00980E5F">
            <w:pPr>
              <w:rPr>
                <w:rFonts w:ascii="宋体"/>
                <w:vanish/>
              </w:rPr>
            </w:pPr>
          </w:p>
        </w:tc>
        <w:tc>
          <w:tcPr>
            <w:tcW w:w="0" w:type="auto"/>
            <w:gridSpan w:val="3"/>
            <w:shd w:val="clear" w:color="auto" w:fill="auto"/>
            <w:vAlign w:val="bottom"/>
          </w:tcPr>
          <w:p w14:paraId="392C8ACA" w14:textId="77777777" w:rsidR="00980E5F" w:rsidRDefault="00980E5F">
            <w:pPr>
              <w:rPr>
                <w:rFonts w:ascii="宋体"/>
                <w:vanish/>
              </w:rPr>
            </w:pPr>
          </w:p>
        </w:tc>
        <w:tc>
          <w:tcPr>
            <w:tcW w:w="0" w:type="auto"/>
            <w:shd w:val="clear" w:color="auto" w:fill="auto"/>
            <w:vAlign w:val="bottom"/>
          </w:tcPr>
          <w:p w14:paraId="392C8ACB" w14:textId="77777777" w:rsidR="00980E5F" w:rsidRDefault="00980E5F">
            <w:pPr>
              <w:rPr>
                <w:rFonts w:ascii="宋体"/>
                <w:vanish/>
              </w:rPr>
            </w:pPr>
          </w:p>
        </w:tc>
        <w:tc>
          <w:tcPr>
            <w:tcW w:w="0" w:type="auto"/>
            <w:gridSpan w:val="3"/>
            <w:shd w:val="clear" w:color="auto" w:fill="auto"/>
            <w:vAlign w:val="bottom"/>
          </w:tcPr>
          <w:p w14:paraId="392C8ACC" w14:textId="77777777" w:rsidR="00980E5F" w:rsidRDefault="00980E5F">
            <w:pPr>
              <w:rPr>
                <w:rFonts w:ascii="宋体"/>
                <w:vanish/>
              </w:rPr>
            </w:pPr>
          </w:p>
        </w:tc>
        <w:tc>
          <w:tcPr>
            <w:tcW w:w="0" w:type="auto"/>
            <w:gridSpan w:val="3"/>
            <w:shd w:val="clear" w:color="auto" w:fill="auto"/>
            <w:vAlign w:val="bottom"/>
          </w:tcPr>
          <w:p w14:paraId="392C8ACD" w14:textId="77777777" w:rsidR="00980E5F" w:rsidRDefault="00980E5F">
            <w:pPr>
              <w:rPr>
                <w:rFonts w:ascii="宋体"/>
                <w:vanish/>
              </w:rPr>
            </w:pPr>
          </w:p>
        </w:tc>
        <w:tc>
          <w:tcPr>
            <w:tcW w:w="0" w:type="auto"/>
            <w:gridSpan w:val="3"/>
            <w:shd w:val="clear" w:color="auto" w:fill="auto"/>
            <w:vAlign w:val="bottom"/>
          </w:tcPr>
          <w:p w14:paraId="392C8ACE" w14:textId="77777777" w:rsidR="00980E5F" w:rsidRDefault="00980E5F">
            <w:pPr>
              <w:rPr>
                <w:rFonts w:ascii="宋体"/>
                <w:vanish/>
              </w:rPr>
            </w:pPr>
          </w:p>
        </w:tc>
        <w:tc>
          <w:tcPr>
            <w:tcW w:w="0" w:type="auto"/>
            <w:gridSpan w:val="3"/>
            <w:shd w:val="clear" w:color="auto" w:fill="auto"/>
            <w:vAlign w:val="bottom"/>
          </w:tcPr>
          <w:p w14:paraId="392C8ACF" w14:textId="77777777" w:rsidR="00980E5F" w:rsidRDefault="00980E5F">
            <w:pPr>
              <w:rPr>
                <w:rFonts w:ascii="宋体"/>
                <w:vanish/>
              </w:rPr>
            </w:pPr>
          </w:p>
        </w:tc>
      </w:tr>
      <w:tr w:rsidR="00980E5F" w14:paraId="392C8AE5" w14:textId="77777777">
        <w:tc>
          <w:tcPr>
            <w:tcW w:w="0" w:type="auto"/>
            <w:gridSpan w:val="3"/>
            <w:shd w:val="clear" w:color="auto" w:fill="FFFFFF"/>
            <w:tcMar>
              <w:top w:w="40" w:type="dxa"/>
              <w:left w:w="20" w:type="dxa"/>
              <w:bottom w:w="40" w:type="dxa"/>
              <w:right w:w="20" w:type="dxa"/>
            </w:tcMar>
            <w:vAlign w:val="bottom"/>
          </w:tcPr>
          <w:p w14:paraId="392C8AD1" w14:textId="77777777" w:rsidR="00980E5F" w:rsidRDefault="00483613">
            <w:pP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392C8AD2" w14:textId="77777777" w:rsidR="00980E5F" w:rsidRDefault="00483613">
            <w:pPr>
              <w:jc w:val="right"/>
              <w:textAlignment w:val="bottom"/>
            </w:pPr>
            <w:r>
              <w:rPr>
                <w:rFonts w:ascii="Arial" w:eastAsia="宋体" w:hAnsi="Arial" w:cs="Arial"/>
                <w:b/>
                <w:bCs/>
                <w:color w:val="000000"/>
                <w:sz w:val="15"/>
                <w:szCs w:val="15"/>
              </w:rPr>
              <w:t>100,778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D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D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D5" w14:textId="77777777" w:rsidR="00980E5F" w:rsidRDefault="00483613">
            <w:pPr>
              <w:jc w:val="right"/>
              <w:textAlignment w:val="bottom"/>
            </w:pPr>
            <w:r>
              <w:rPr>
                <w:rFonts w:ascii="Arial" w:eastAsia="宋体" w:hAnsi="Arial" w:cs="Arial"/>
                <w:b/>
                <w:bCs/>
                <w:color w:val="000000"/>
                <w:sz w:val="15"/>
                <w:szCs w:val="15"/>
              </w:rPr>
              <w:t>(77,381)</w:t>
            </w:r>
          </w:p>
        </w:tc>
        <w:tc>
          <w:tcPr>
            <w:tcW w:w="0" w:type="auto"/>
            <w:shd w:val="clear" w:color="auto" w:fill="FFFFFF"/>
            <w:tcMar>
              <w:top w:w="40" w:type="dxa"/>
              <w:left w:w="0" w:type="dxa"/>
              <w:bottom w:w="40" w:type="dxa"/>
              <w:right w:w="20" w:type="dxa"/>
            </w:tcMar>
            <w:vAlign w:val="bottom"/>
          </w:tcPr>
          <w:p w14:paraId="392C8A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D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D8" w14:textId="77777777" w:rsidR="00980E5F" w:rsidRDefault="00483613">
            <w:pPr>
              <w:jc w:val="right"/>
              <w:textAlignment w:val="bottom"/>
            </w:pPr>
            <w:r>
              <w:rPr>
                <w:rFonts w:ascii="Arial" w:eastAsia="宋体" w:hAnsi="Arial" w:cs="Arial"/>
                <w:b/>
                <w:bCs/>
                <w:color w:val="000000"/>
                <w:sz w:val="15"/>
                <w:szCs w:val="15"/>
              </w:rPr>
              <w:t>23,397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DB" w14:textId="77777777" w:rsidR="00980E5F" w:rsidRDefault="00483613">
            <w:pPr>
              <w:jc w:val="right"/>
              <w:textAlignment w:val="bottom"/>
            </w:pPr>
            <w:r>
              <w:rPr>
                <w:rFonts w:ascii="Arial" w:eastAsia="宋体" w:hAnsi="Arial" w:cs="Arial"/>
                <w:b/>
                <w:bCs/>
                <w:color w:val="000000"/>
                <w:sz w:val="15"/>
                <w:szCs w:val="15"/>
              </w:rPr>
              <w:t>(22,608)</w:t>
            </w:r>
          </w:p>
        </w:tc>
        <w:tc>
          <w:tcPr>
            <w:tcW w:w="0" w:type="auto"/>
            <w:shd w:val="clear" w:color="auto" w:fill="FFFFFF"/>
            <w:tcMar>
              <w:top w:w="40" w:type="dxa"/>
              <w:left w:w="0" w:type="dxa"/>
              <w:bottom w:w="40" w:type="dxa"/>
              <w:right w:w="20" w:type="dxa"/>
            </w:tcMar>
            <w:vAlign w:val="bottom"/>
          </w:tcPr>
          <w:p w14:paraId="392C8A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A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ADE" w14:textId="77777777" w:rsidR="00980E5F" w:rsidRDefault="00483613">
            <w:pPr>
              <w:jc w:val="right"/>
              <w:textAlignment w:val="bottom"/>
            </w:pPr>
            <w:r>
              <w:rPr>
                <w:rFonts w:ascii="Arial" w:eastAsia="宋体" w:hAnsi="Arial" w:cs="Arial"/>
                <w:b/>
                <w:bCs/>
                <w:color w:val="000000"/>
                <w:sz w:val="15"/>
                <w:szCs w:val="15"/>
              </w:rPr>
              <w:t>789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ADF" w14:textId="77777777" w:rsidR="00980E5F" w:rsidRDefault="00980E5F">
            <w:pPr>
              <w:jc w:val="right"/>
              <w:rPr>
                <w:rFonts w:ascii="宋体"/>
              </w:rPr>
            </w:pPr>
          </w:p>
        </w:tc>
        <w:tc>
          <w:tcPr>
            <w:tcW w:w="0" w:type="auto"/>
            <w:shd w:val="clear" w:color="auto" w:fill="auto"/>
            <w:vAlign w:val="bottom"/>
          </w:tcPr>
          <w:p w14:paraId="392C8AE0" w14:textId="77777777" w:rsidR="00980E5F" w:rsidRDefault="00980E5F">
            <w:pPr>
              <w:rPr>
                <w:rFonts w:ascii="宋体"/>
                <w:vanish/>
              </w:rPr>
            </w:pPr>
          </w:p>
        </w:tc>
        <w:tc>
          <w:tcPr>
            <w:tcW w:w="0" w:type="auto"/>
            <w:gridSpan w:val="3"/>
            <w:shd w:val="clear" w:color="auto" w:fill="auto"/>
            <w:vAlign w:val="bottom"/>
          </w:tcPr>
          <w:p w14:paraId="392C8AE1" w14:textId="77777777" w:rsidR="00980E5F" w:rsidRDefault="00980E5F">
            <w:pPr>
              <w:rPr>
                <w:rFonts w:ascii="宋体"/>
                <w:vanish/>
              </w:rPr>
            </w:pPr>
          </w:p>
        </w:tc>
        <w:tc>
          <w:tcPr>
            <w:tcW w:w="0" w:type="auto"/>
            <w:gridSpan w:val="3"/>
            <w:shd w:val="clear" w:color="auto" w:fill="auto"/>
            <w:vAlign w:val="bottom"/>
          </w:tcPr>
          <w:p w14:paraId="392C8AE2" w14:textId="77777777" w:rsidR="00980E5F" w:rsidRDefault="00980E5F">
            <w:pPr>
              <w:rPr>
                <w:rFonts w:ascii="宋体"/>
                <w:vanish/>
              </w:rPr>
            </w:pPr>
          </w:p>
        </w:tc>
        <w:tc>
          <w:tcPr>
            <w:tcW w:w="0" w:type="auto"/>
            <w:gridSpan w:val="3"/>
            <w:shd w:val="clear" w:color="auto" w:fill="auto"/>
            <w:vAlign w:val="bottom"/>
          </w:tcPr>
          <w:p w14:paraId="392C8AE3" w14:textId="77777777" w:rsidR="00980E5F" w:rsidRDefault="00980E5F">
            <w:pPr>
              <w:rPr>
                <w:rFonts w:ascii="宋体"/>
                <w:vanish/>
              </w:rPr>
            </w:pPr>
          </w:p>
        </w:tc>
        <w:tc>
          <w:tcPr>
            <w:tcW w:w="0" w:type="auto"/>
            <w:gridSpan w:val="3"/>
            <w:shd w:val="clear" w:color="auto" w:fill="auto"/>
            <w:vAlign w:val="bottom"/>
          </w:tcPr>
          <w:p w14:paraId="392C8AE4" w14:textId="77777777" w:rsidR="00980E5F" w:rsidRDefault="00980E5F">
            <w:pPr>
              <w:rPr>
                <w:rFonts w:ascii="宋体"/>
                <w:vanish/>
              </w:rPr>
            </w:pPr>
          </w:p>
        </w:tc>
      </w:tr>
      <w:tr w:rsidR="00980E5F" w14:paraId="392C8AFF" w14:textId="77777777">
        <w:tc>
          <w:tcPr>
            <w:tcW w:w="0" w:type="auto"/>
            <w:gridSpan w:val="3"/>
            <w:shd w:val="clear" w:color="auto" w:fill="CCEEFF"/>
            <w:tcMar>
              <w:top w:w="40" w:type="dxa"/>
              <w:left w:w="20" w:type="dxa"/>
              <w:bottom w:w="40" w:type="dxa"/>
              <w:right w:w="20" w:type="dxa"/>
            </w:tcMar>
            <w:vAlign w:val="bottom"/>
          </w:tcPr>
          <w:p w14:paraId="392C8AE6" w14:textId="77777777" w:rsidR="00980E5F" w:rsidRDefault="00483613">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AE7"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AE8" w14:textId="77777777" w:rsidR="00980E5F" w:rsidRDefault="00483613">
            <w:pPr>
              <w:jc w:val="right"/>
              <w:textAlignment w:val="bottom"/>
            </w:pPr>
            <w:r>
              <w:rPr>
                <w:rFonts w:ascii="Arial" w:eastAsia="宋体" w:hAnsi="Arial" w:cs="Arial"/>
                <w:b/>
                <w:bCs/>
                <w:color w:val="000000"/>
                <w:sz w:val="15"/>
                <w:szCs w:val="15"/>
              </w:rPr>
              <w:t>124,422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A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E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AEB"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AEC" w14:textId="77777777" w:rsidR="00980E5F" w:rsidRDefault="00483613">
            <w:pPr>
              <w:jc w:val="right"/>
              <w:textAlignment w:val="bottom"/>
            </w:pPr>
            <w:r>
              <w:rPr>
                <w:rFonts w:ascii="Arial" w:eastAsia="宋体" w:hAnsi="Arial" w:cs="Arial"/>
                <w:b/>
                <w:bCs/>
                <w:color w:val="000000"/>
                <w:sz w:val="15"/>
                <w:szCs w:val="15"/>
              </w:rPr>
              <w:t>(91,549)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A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E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AEF"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AF0" w14:textId="77777777" w:rsidR="00980E5F" w:rsidRDefault="00483613">
            <w:pPr>
              <w:jc w:val="right"/>
              <w:textAlignment w:val="bottom"/>
            </w:pPr>
            <w:r>
              <w:rPr>
                <w:rFonts w:ascii="Arial" w:eastAsia="宋体" w:hAnsi="Arial" w:cs="Arial"/>
                <w:b/>
                <w:bCs/>
                <w:color w:val="000000"/>
                <w:sz w:val="15"/>
                <w:szCs w:val="15"/>
              </w:rPr>
              <w:t>32,873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A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F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AF3"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AF4" w14:textId="77777777" w:rsidR="00980E5F" w:rsidRDefault="00483613">
            <w:pPr>
              <w:jc w:val="right"/>
              <w:textAlignment w:val="bottom"/>
            </w:pPr>
            <w:r>
              <w:rPr>
                <w:rFonts w:ascii="Arial" w:eastAsia="宋体" w:hAnsi="Arial" w:cs="Arial"/>
                <w:b/>
                <w:bCs/>
                <w:color w:val="000000"/>
                <w:sz w:val="15"/>
                <w:szCs w:val="15"/>
              </w:rPr>
              <w:t>(23,642)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A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AF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AF7"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AF8" w14:textId="77777777" w:rsidR="00980E5F" w:rsidRDefault="00483613">
            <w:pPr>
              <w:jc w:val="right"/>
              <w:textAlignment w:val="bottom"/>
            </w:pPr>
            <w:r>
              <w:rPr>
                <w:rFonts w:ascii="Arial" w:eastAsia="宋体" w:hAnsi="Arial" w:cs="Arial"/>
                <w:b/>
                <w:bCs/>
                <w:color w:val="000000"/>
                <w:sz w:val="15"/>
                <w:szCs w:val="15"/>
              </w:rPr>
              <w:t>9,231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AF9" w14:textId="77777777" w:rsidR="00980E5F" w:rsidRDefault="00980E5F">
            <w:pPr>
              <w:jc w:val="right"/>
              <w:rPr>
                <w:rFonts w:ascii="宋体"/>
              </w:rPr>
            </w:pPr>
          </w:p>
        </w:tc>
        <w:tc>
          <w:tcPr>
            <w:tcW w:w="0" w:type="auto"/>
            <w:shd w:val="clear" w:color="auto" w:fill="auto"/>
            <w:vAlign w:val="bottom"/>
          </w:tcPr>
          <w:p w14:paraId="392C8AFA" w14:textId="77777777" w:rsidR="00980E5F" w:rsidRDefault="00980E5F">
            <w:pPr>
              <w:rPr>
                <w:rFonts w:ascii="宋体"/>
                <w:vanish/>
              </w:rPr>
            </w:pPr>
          </w:p>
        </w:tc>
        <w:tc>
          <w:tcPr>
            <w:tcW w:w="0" w:type="auto"/>
            <w:gridSpan w:val="3"/>
            <w:shd w:val="clear" w:color="auto" w:fill="auto"/>
            <w:vAlign w:val="bottom"/>
          </w:tcPr>
          <w:p w14:paraId="392C8AFB" w14:textId="77777777" w:rsidR="00980E5F" w:rsidRDefault="00980E5F">
            <w:pPr>
              <w:rPr>
                <w:rFonts w:ascii="宋体"/>
                <w:vanish/>
              </w:rPr>
            </w:pPr>
          </w:p>
        </w:tc>
        <w:tc>
          <w:tcPr>
            <w:tcW w:w="0" w:type="auto"/>
            <w:gridSpan w:val="3"/>
            <w:shd w:val="clear" w:color="auto" w:fill="auto"/>
            <w:vAlign w:val="bottom"/>
          </w:tcPr>
          <w:p w14:paraId="392C8AFC" w14:textId="77777777" w:rsidR="00980E5F" w:rsidRDefault="00980E5F">
            <w:pPr>
              <w:rPr>
                <w:rFonts w:ascii="宋体"/>
                <w:vanish/>
              </w:rPr>
            </w:pPr>
          </w:p>
        </w:tc>
        <w:tc>
          <w:tcPr>
            <w:tcW w:w="0" w:type="auto"/>
            <w:gridSpan w:val="3"/>
            <w:shd w:val="clear" w:color="auto" w:fill="auto"/>
            <w:vAlign w:val="bottom"/>
          </w:tcPr>
          <w:p w14:paraId="392C8AFD" w14:textId="77777777" w:rsidR="00980E5F" w:rsidRDefault="00980E5F">
            <w:pPr>
              <w:rPr>
                <w:rFonts w:ascii="宋体"/>
                <w:vanish/>
              </w:rPr>
            </w:pPr>
          </w:p>
        </w:tc>
        <w:tc>
          <w:tcPr>
            <w:tcW w:w="0" w:type="auto"/>
            <w:gridSpan w:val="3"/>
            <w:shd w:val="clear" w:color="auto" w:fill="auto"/>
            <w:vAlign w:val="bottom"/>
          </w:tcPr>
          <w:p w14:paraId="392C8AFE" w14:textId="77777777" w:rsidR="00980E5F" w:rsidRDefault="00980E5F">
            <w:pPr>
              <w:rPr>
                <w:rFonts w:ascii="宋体"/>
                <w:vanish/>
              </w:rPr>
            </w:pPr>
          </w:p>
        </w:tc>
      </w:tr>
    </w:tbl>
    <w:p w14:paraId="392C8B00" w14:textId="77777777" w:rsidR="00980E5F" w:rsidRDefault="00980E5F">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980E5F" w14:paraId="392C8B1F" w14:textId="77777777">
        <w:tc>
          <w:tcPr>
            <w:tcW w:w="50" w:type="pct"/>
            <w:shd w:val="clear" w:color="auto" w:fill="auto"/>
            <w:vAlign w:val="bottom"/>
          </w:tcPr>
          <w:p w14:paraId="392C8B01" w14:textId="77777777" w:rsidR="00980E5F" w:rsidRDefault="00980E5F">
            <w:pPr>
              <w:rPr>
                <w:rFonts w:ascii="宋体"/>
              </w:rPr>
            </w:pPr>
          </w:p>
        </w:tc>
        <w:tc>
          <w:tcPr>
            <w:tcW w:w="1350" w:type="pct"/>
            <w:shd w:val="clear" w:color="auto" w:fill="auto"/>
            <w:vAlign w:val="bottom"/>
          </w:tcPr>
          <w:p w14:paraId="392C8B02" w14:textId="77777777" w:rsidR="00980E5F" w:rsidRDefault="00980E5F">
            <w:pPr>
              <w:rPr>
                <w:rFonts w:ascii="宋体"/>
              </w:rPr>
            </w:pPr>
          </w:p>
        </w:tc>
        <w:tc>
          <w:tcPr>
            <w:tcW w:w="5" w:type="pct"/>
            <w:shd w:val="clear" w:color="auto" w:fill="auto"/>
            <w:vAlign w:val="bottom"/>
          </w:tcPr>
          <w:p w14:paraId="392C8B03" w14:textId="77777777" w:rsidR="00980E5F" w:rsidRDefault="00980E5F">
            <w:pPr>
              <w:rPr>
                <w:rFonts w:ascii="宋体"/>
              </w:rPr>
            </w:pPr>
          </w:p>
        </w:tc>
        <w:tc>
          <w:tcPr>
            <w:tcW w:w="50" w:type="pct"/>
            <w:shd w:val="clear" w:color="auto" w:fill="auto"/>
            <w:vAlign w:val="bottom"/>
          </w:tcPr>
          <w:p w14:paraId="392C8B04" w14:textId="77777777" w:rsidR="00980E5F" w:rsidRDefault="00980E5F">
            <w:pPr>
              <w:rPr>
                <w:rFonts w:ascii="宋体"/>
              </w:rPr>
            </w:pPr>
          </w:p>
        </w:tc>
        <w:tc>
          <w:tcPr>
            <w:tcW w:w="596" w:type="pct"/>
            <w:shd w:val="clear" w:color="auto" w:fill="auto"/>
            <w:vAlign w:val="bottom"/>
          </w:tcPr>
          <w:p w14:paraId="392C8B05" w14:textId="77777777" w:rsidR="00980E5F" w:rsidRDefault="00980E5F">
            <w:pPr>
              <w:rPr>
                <w:rFonts w:ascii="宋体"/>
              </w:rPr>
            </w:pPr>
          </w:p>
        </w:tc>
        <w:tc>
          <w:tcPr>
            <w:tcW w:w="5" w:type="pct"/>
            <w:shd w:val="clear" w:color="auto" w:fill="auto"/>
            <w:vAlign w:val="bottom"/>
          </w:tcPr>
          <w:p w14:paraId="392C8B06" w14:textId="77777777" w:rsidR="00980E5F" w:rsidRDefault="00980E5F">
            <w:pPr>
              <w:rPr>
                <w:rFonts w:ascii="宋体"/>
              </w:rPr>
            </w:pPr>
          </w:p>
        </w:tc>
        <w:tc>
          <w:tcPr>
            <w:tcW w:w="5" w:type="pct"/>
            <w:shd w:val="clear" w:color="auto" w:fill="auto"/>
            <w:vAlign w:val="bottom"/>
          </w:tcPr>
          <w:p w14:paraId="392C8B07" w14:textId="77777777" w:rsidR="00980E5F" w:rsidRDefault="00980E5F">
            <w:pPr>
              <w:rPr>
                <w:rFonts w:ascii="宋体"/>
              </w:rPr>
            </w:pPr>
          </w:p>
        </w:tc>
        <w:tc>
          <w:tcPr>
            <w:tcW w:w="26" w:type="pct"/>
            <w:shd w:val="clear" w:color="auto" w:fill="auto"/>
            <w:vAlign w:val="bottom"/>
          </w:tcPr>
          <w:p w14:paraId="392C8B08" w14:textId="77777777" w:rsidR="00980E5F" w:rsidRDefault="00980E5F">
            <w:pPr>
              <w:rPr>
                <w:rFonts w:ascii="宋体"/>
              </w:rPr>
            </w:pPr>
          </w:p>
        </w:tc>
        <w:tc>
          <w:tcPr>
            <w:tcW w:w="5" w:type="pct"/>
            <w:shd w:val="clear" w:color="auto" w:fill="auto"/>
            <w:vAlign w:val="bottom"/>
          </w:tcPr>
          <w:p w14:paraId="392C8B09" w14:textId="77777777" w:rsidR="00980E5F" w:rsidRDefault="00980E5F">
            <w:pPr>
              <w:rPr>
                <w:rFonts w:ascii="宋体"/>
              </w:rPr>
            </w:pPr>
          </w:p>
        </w:tc>
        <w:tc>
          <w:tcPr>
            <w:tcW w:w="50" w:type="pct"/>
            <w:shd w:val="clear" w:color="auto" w:fill="auto"/>
            <w:vAlign w:val="bottom"/>
          </w:tcPr>
          <w:p w14:paraId="392C8B0A" w14:textId="77777777" w:rsidR="00980E5F" w:rsidRDefault="00980E5F">
            <w:pPr>
              <w:rPr>
                <w:rFonts w:ascii="宋体"/>
              </w:rPr>
            </w:pPr>
          </w:p>
        </w:tc>
        <w:tc>
          <w:tcPr>
            <w:tcW w:w="669" w:type="pct"/>
            <w:shd w:val="clear" w:color="auto" w:fill="auto"/>
            <w:vAlign w:val="bottom"/>
          </w:tcPr>
          <w:p w14:paraId="392C8B0B" w14:textId="77777777" w:rsidR="00980E5F" w:rsidRDefault="00980E5F">
            <w:pPr>
              <w:rPr>
                <w:rFonts w:ascii="宋体"/>
              </w:rPr>
            </w:pPr>
          </w:p>
        </w:tc>
        <w:tc>
          <w:tcPr>
            <w:tcW w:w="5" w:type="pct"/>
            <w:shd w:val="clear" w:color="auto" w:fill="auto"/>
            <w:vAlign w:val="bottom"/>
          </w:tcPr>
          <w:p w14:paraId="392C8B0C" w14:textId="77777777" w:rsidR="00980E5F" w:rsidRDefault="00980E5F">
            <w:pPr>
              <w:rPr>
                <w:rFonts w:ascii="宋体"/>
              </w:rPr>
            </w:pPr>
          </w:p>
        </w:tc>
        <w:tc>
          <w:tcPr>
            <w:tcW w:w="5" w:type="pct"/>
            <w:shd w:val="clear" w:color="auto" w:fill="auto"/>
            <w:vAlign w:val="bottom"/>
          </w:tcPr>
          <w:p w14:paraId="392C8B0D" w14:textId="77777777" w:rsidR="00980E5F" w:rsidRDefault="00980E5F">
            <w:pPr>
              <w:rPr>
                <w:rFonts w:ascii="宋体"/>
              </w:rPr>
            </w:pPr>
          </w:p>
        </w:tc>
        <w:tc>
          <w:tcPr>
            <w:tcW w:w="26" w:type="pct"/>
            <w:shd w:val="clear" w:color="auto" w:fill="auto"/>
            <w:vAlign w:val="bottom"/>
          </w:tcPr>
          <w:p w14:paraId="392C8B0E" w14:textId="77777777" w:rsidR="00980E5F" w:rsidRDefault="00980E5F">
            <w:pPr>
              <w:rPr>
                <w:rFonts w:ascii="宋体"/>
              </w:rPr>
            </w:pPr>
          </w:p>
        </w:tc>
        <w:tc>
          <w:tcPr>
            <w:tcW w:w="5" w:type="pct"/>
            <w:shd w:val="clear" w:color="auto" w:fill="auto"/>
            <w:vAlign w:val="bottom"/>
          </w:tcPr>
          <w:p w14:paraId="392C8B0F" w14:textId="77777777" w:rsidR="00980E5F" w:rsidRDefault="00980E5F">
            <w:pPr>
              <w:rPr>
                <w:rFonts w:ascii="宋体"/>
              </w:rPr>
            </w:pPr>
          </w:p>
        </w:tc>
        <w:tc>
          <w:tcPr>
            <w:tcW w:w="50" w:type="pct"/>
            <w:shd w:val="clear" w:color="auto" w:fill="auto"/>
            <w:vAlign w:val="bottom"/>
          </w:tcPr>
          <w:p w14:paraId="392C8B10" w14:textId="77777777" w:rsidR="00980E5F" w:rsidRDefault="00980E5F">
            <w:pPr>
              <w:rPr>
                <w:rFonts w:ascii="宋体"/>
              </w:rPr>
            </w:pPr>
          </w:p>
        </w:tc>
        <w:tc>
          <w:tcPr>
            <w:tcW w:w="757" w:type="pct"/>
            <w:shd w:val="clear" w:color="auto" w:fill="auto"/>
            <w:vAlign w:val="bottom"/>
          </w:tcPr>
          <w:p w14:paraId="392C8B11" w14:textId="77777777" w:rsidR="00980E5F" w:rsidRDefault="00980E5F">
            <w:pPr>
              <w:rPr>
                <w:rFonts w:ascii="宋体"/>
              </w:rPr>
            </w:pPr>
          </w:p>
        </w:tc>
        <w:tc>
          <w:tcPr>
            <w:tcW w:w="5" w:type="pct"/>
            <w:shd w:val="clear" w:color="auto" w:fill="auto"/>
            <w:vAlign w:val="bottom"/>
          </w:tcPr>
          <w:p w14:paraId="392C8B12" w14:textId="77777777" w:rsidR="00980E5F" w:rsidRDefault="00980E5F">
            <w:pPr>
              <w:rPr>
                <w:rFonts w:ascii="宋体"/>
              </w:rPr>
            </w:pPr>
          </w:p>
        </w:tc>
        <w:tc>
          <w:tcPr>
            <w:tcW w:w="5" w:type="pct"/>
            <w:shd w:val="clear" w:color="auto" w:fill="auto"/>
            <w:vAlign w:val="bottom"/>
          </w:tcPr>
          <w:p w14:paraId="392C8B13" w14:textId="77777777" w:rsidR="00980E5F" w:rsidRDefault="00980E5F">
            <w:pPr>
              <w:rPr>
                <w:rFonts w:ascii="宋体"/>
              </w:rPr>
            </w:pPr>
          </w:p>
        </w:tc>
        <w:tc>
          <w:tcPr>
            <w:tcW w:w="26" w:type="pct"/>
            <w:shd w:val="clear" w:color="auto" w:fill="auto"/>
            <w:vAlign w:val="bottom"/>
          </w:tcPr>
          <w:p w14:paraId="392C8B14" w14:textId="77777777" w:rsidR="00980E5F" w:rsidRDefault="00980E5F">
            <w:pPr>
              <w:rPr>
                <w:rFonts w:ascii="宋体"/>
              </w:rPr>
            </w:pPr>
          </w:p>
        </w:tc>
        <w:tc>
          <w:tcPr>
            <w:tcW w:w="5" w:type="pct"/>
            <w:shd w:val="clear" w:color="auto" w:fill="auto"/>
            <w:vAlign w:val="bottom"/>
          </w:tcPr>
          <w:p w14:paraId="392C8B15" w14:textId="77777777" w:rsidR="00980E5F" w:rsidRDefault="00980E5F">
            <w:pPr>
              <w:rPr>
                <w:rFonts w:ascii="宋体"/>
              </w:rPr>
            </w:pPr>
          </w:p>
        </w:tc>
        <w:tc>
          <w:tcPr>
            <w:tcW w:w="50" w:type="pct"/>
            <w:shd w:val="clear" w:color="auto" w:fill="auto"/>
            <w:vAlign w:val="bottom"/>
          </w:tcPr>
          <w:p w14:paraId="392C8B16" w14:textId="77777777" w:rsidR="00980E5F" w:rsidRDefault="00980E5F">
            <w:pPr>
              <w:rPr>
                <w:rFonts w:ascii="宋体"/>
              </w:rPr>
            </w:pPr>
          </w:p>
        </w:tc>
        <w:tc>
          <w:tcPr>
            <w:tcW w:w="655" w:type="pct"/>
            <w:shd w:val="clear" w:color="auto" w:fill="auto"/>
            <w:vAlign w:val="bottom"/>
          </w:tcPr>
          <w:p w14:paraId="392C8B17" w14:textId="77777777" w:rsidR="00980E5F" w:rsidRDefault="00980E5F">
            <w:pPr>
              <w:rPr>
                <w:rFonts w:ascii="宋体"/>
              </w:rPr>
            </w:pPr>
          </w:p>
        </w:tc>
        <w:tc>
          <w:tcPr>
            <w:tcW w:w="5" w:type="pct"/>
            <w:shd w:val="clear" w:color="auto" w:fill="auto"/>
            <w:vAlign w:val="bottom"/>
          </w:tcPr>
          <w:p w14:paraId="392C8B18" w14:textId="77777777" w:rsidR="00980E5F" w:rsidRDefault="00980E5F">
            <w:pPr>
              <w:rPr>
                <w:rFonts w:ascii="宋体"/>
              </w:rPr>
            </w:pPr>
          </w:p>
        </w:tc>
        <w:tc>
          <w:tcPr>
            <w:tcW w:w="5" w:type="pct"/>
            <w:shd w:val="clear" w:color="auto" w:fill="auto"/>
            <w:vAlign w:val="bottom"/>
          </w:tcPr>
          <w:p w14:paraId="392C8B19" w14:textId="77777777" w:rsidR="00980E5F" w:rsidRDefault="00980E5F">
            <w:pPr>
              <w:rPr>
                <w:rFonts w:ascii="宋体"/>
              </w:rPr>
            </w:pPr>
          </w:p>
        </w:tc>
        <w:tc>
          <w:tcPr>
            <w:tcW w:w="26" w:type="pct"/>
            <w:shd w:val="clear" w:color="auto" w:fill="auto"/>
            <w:vAlign w:val="bottom"/>
          </w:tcPr>
          <w:p w14:paraId="392C8B1A" w14:textId="77777777" w:rsidR="00980E5F" w:rsidRDefault="00980E5F">
            <w:pPr>
              <w:rPr>
                <w:rFonts w:ascii="宋体"/>
              </w:rPr>
            </w:pPr>
          </w:p>
        </w:tc>
        <w:tc>
          <w:tcPr>
            <w:tcW w:w="5" w:type="pct"/>
            <w:shd w:val="clear" w:color="auto" w:fill="auto"/>
            <w:vAlign w:val="bottom"/>
          </w:tcPr>
          <w:p w14:paraId="392C8B1B" w14:textId="77777777" w:rsidR="00980E5F" w:rsidRDefault="00980E5F">
            <w:pPr>
              <w:rPr>
                <w:rFonts w:ascii="宋体"/>
              </w:rPr>
            </w:pPr>
          </w:p>
        </w:tc>
        <w:tc>
          <w:tcPr>
            <w:tcW w:w="50" w:type="pct"/>
            <w:shd w:val="clear" w:color="auto" w:fill="auto"/>
            <w:vAlign w:val="bottom"/>
          </w:tcPr>
          <w:p w14:paraId="392C8B1C" w14:textId="77777777" w:rsidR="00980E5F" w:rsidRDefault="00980E5F">
            <w:pPr>
              <w:rPr>
                <w:rFonts w:ascii="宋体"/>
              </w:rPr>
            </w:pPr>
          </w:p>
        </w:tc>
        <w:tc>
          <w:tcPr>
            <w:tcW w:w="494" w:type="pct"/>
            <w:shd w:val="clear" w:color="auto" w:fill="auto"/>
            <w:vAlign w:val="bottom"/>
          </w:tcPr>
          <w:p w14:paraId="392C8B1D" w14:textId="77777777" w:rsidR="00980E5F" w:rsidRDefault="00980E5F">
            <w:pPr>
              <w:rPr>
                <w:rFonts w:ascii="宋体"/>
              </w:rPr>
            </w:pPr>
          </w:p>
        </w:tc>
        <w:tc>
          <w:tcPr>
            <w:tcW w:w="5" w:type="pct"/>
            <w:shd w:val="clear" w:color="auto" w:fill="auto"/>
            <w:vAlign w:val="bottom"/>
          </w:tcPr>
          <w:p w14:paraId="392C8B1E" w14:textId="77777777" w:rsidR="00980E5F" w:rsidRDefault="00980E5F">
            <w:pPr>
              <w:rPr>
                <w:rFonts w:ascii="宋体"/>
              </w:rPr>
            </w:pPr>
          </w:p>
        </w:tc>
      </w:tr>
      <w:tr w:rsidR="00980E5F" w14:paraId="392C8B22" w14:textId="77777777">
        <w:tc>
          <w:tcPr>
            <w:tcW w:w="0" w:type="auto"/>
            <w:gridSpan w:val="3"/>
            <w:shd w:val="clear" w:color="auto" w:fill="auto"/>
            <w:tcMar>
              <w:top w:w="40" w:type="dxa"/>
              <w:left w:w="20" w:type="dxa"/>
              <w:bottom w:w="40" w:type="dxa"/>
              <w:right w:w="20" w:type="dxa"/>
            </w:tcMar>
            <w:vAlign w:val="bottom"/>
          </w:tcPr>
          <w:p w14:paraId="392C8B20" w14:textId="77777777" w:rsidR="00980E5F" w:rsidRDefault="00483613">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92C8B21"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8B2C" w14:textId="77777777">
        <w:trPr>
          <w:trHeight w:val="400"/>
        </w:trPr>
        <w:tc>
          <w:tcPr>
            <w:tcW w:w="0" w:type="auto"/>
            <w:gridSpan w:val="3"/>
            <w:shd w:val="clear" w:color="auto" w:fill="auto"/>
            <w:tcMar>
              <w:top w:w="0" w:type="dxa"/>
              <w:left w:w="20" w:type="dxa"/>
              <w:bottom w:w="0" w:type="dxa"/>
              <w:right w:w="20" w:type="dxa"/>
            </w:tcMar>
            <w:vAlign w:val="bottom"/>
          </w:tcPr>
          <w:p w14:paraId="392C8B23"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B24" w14:textId="77777777" w:rsidR="00980E5F" w:rsidRDefault="00483613">
            <w:pPr>
              <w:jc w:val="center"/>
              <w:textAlignment w:val="bottom"/>
            </w:pPr>
            <w:r>
              <w:rPr>
                <w:rFonts w:ascii="Arial" w:eastAsia="宋体" w:hAnsi="Arial" w:cs="Arial"/>
                <w:b/>
                <w:bCs/>
                <w:color w:val="000000"/>
                <w:sz w:val="15"/>
                <w:szCs w:val="15"/>
              </w:rPr>
              <w:t xml:space="preserve">Gross Amounts of Recognized </w:t>
            </w:r>
          </w:p>
          <w:p w14:paraId="392C8B25" w14:textId="77777777" w:rsidR="00980E5F" w:rsidRDefault="00483613">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26"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B27" w14:textId="77777777" w:rsidR="00980E5F" w:rsidRDefault="00483613">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28"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B29" w14:textId="77777777" w:rsidR="00980E5F" w:rsidRDefault="00483613">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2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B2B" w14:textId="77777777" w:rsidR="00980E5F" w:rsidRDefault="00483613">
            <w:pPr>
              <w:jc w:val="center"/>
              <w:textAlignment w:val="bottom"/>
            </w:pPr>
            <w:r>
              <w:rPr>
                <w:rFonts w:ascii="Arial" w:eastAsia="宋体" w:hAnsi="Arial" w:cs="Arial"/>
                <w:b/>
                <w:bCs/>
                <w:color w:val="000000"/>
                <w:sz w:val="15"/>
                <w:szCs w:val="15"/>
              </w:rPr>
              <w:t>Gross Amounts Not Offset in Statement of Condition</w:t>
            </w:r>
          </w:p>
        </w:tc>
      </w:tr>
      <w:tr w:rsidR="00980E5F" w14:paraId="392C8B37" w14:textId="77777777">
        <w:trPr>
          <w:trHeight w:val="540"/>
        </w:trPr>
        <w:tc>
          <w:tcPr>
            <w:tcW w:w="0" w:type="auto"/>
            <w:gridSpan w:val="3"/>
            <w:shd w:val="clear" w:color="auto" w:fill="auto"/>
            <w:tcMar>
              <w:top w:w="40" w:type="dxa"/>
              <w:left w:w="20" w:type="dxa"/>
              <w:bottom w:w="40" w:type="dxa"/>
              <w:right w:w="20" w:type="dxa"/>
            </w:tcMar>
            <w:vAlign w:val="bottom"/>
          </w:tcPr>
          <w:p w14:paraId="392C8B2D"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B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2F"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B3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31"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B32"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B3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B34" w14:textId="77777777" w:rsidR="00980E5F" w:rsidRDefault="00483613">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3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B36" w14:textId="77777777" w:rsidR="00980E5F" w:rsidRDefault="00483613">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980E5F" w14:paraId="392C8B42" w14:textId="77777777">
        <w:tc>
          <w:tcPr>
            <w:tcW w:w="0" w:type="auto"/>
            <w:gridSpan w:val="3"/>
            <w:shd w:val="clear" w:color="auto" w:fill="auto"/>
            <w:tcMar>
              <w:top w:w="40" w:type="dxa"/>
              <w:left w:w="20" w:type="dxa"/>
              <w:bottom w:w="40" w:type="dxa"/>
              <w:right w:w="20" w:type="dxa"/>
            </w:tcMar>
            <w:vAlign w:val="bottom"/>
          </w:tcPr>
          <w:p w14:paraId="392C8B38" w14:textId="77777777" w:rsidR="00980E5F" w:rsidRDefault="00483613">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3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3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3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3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4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B41" w14:textId="77777777" w:rsidR="00980E5F" w:rsidRDefault="00980E5F">
            <w:pPr>
              <w:rPr>
                <w:rFonts w:ascii="宋体"/>
              </w:rPr>
            </w:pPr>
          </w:p>
        </w:tc>
      </w:tr>
      <w:tr w:rsidR="00980E5F" w14:paraId="392C8B57" w14:textId="77777777">
        <w:tc>
          <w:tcPr>
            <w:tcW w:w="0" w:type="auto"/>
            <w:gridSpan w:val="3"/>
            <w:shd w:val="clear" w:color="auto" w:fill="CCEEFF"/>
            <w:tcMar>
              <w:top w:w="40" w:type="dxa"/>
              <w:left w:w="20" w:type="dxa"/>
              <w:bottom w:w="40" w:type="dxa"/>
              <w:right w:w="20" w:type="dxa"/>
            </w:tcMar>
            <w:vAlign w:val="bottom"/>
          </w:tcPr>
          <w:p w14:paraId="392C8B43" w14:textId="77777777" w:rsidR="00980E5F" w:rsidRDefault="00483613">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92C8B44"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B45" w14:textId="77777777" w:rsidR="00980E5F" w:rsidRDefault="00483613">
            <w:pPr>
              <w:jc w:val="right"/>
              <w:textAlignment w:val="bottom"/>
            </w:pPr>
            <w:r>
              <w:rPr>
                <w:rFonts w:ascii="Arial" w:eastAsia="宋体" w:hAnsi="Arial" w:cs="Arial"/>
                <w:color w:val="000000"/>
                <w:sz w:val="15"/>
                <w:szCs w:val="15"/>
              </w:rPr>
              <w:t>15,185 </w:t>
            </w:r>
          </w:p>
        </w:tc>
        <w:tc>
          <w:tcPr>
            <w:tcW w:w="0" w:type="auto"/>
            <w:shd w:val="clear" w:color="auto" w:fill="CCEEFF"/>
            <w:tcMar>
              <w:top w:w="40" w:type="dxa"/>
              <w:left w:w="0" w:type="dxa"/>
              <w:bottom w:w="40" w:type="dxa"/>
              <w:right w:w="20" w:type="dxa"/>
            </w:tcMar>
            <w:vAlign w:val="bottom"/>
          </w:tcPr>
          <w:p w14:paraId="392C8B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47"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B48"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B49" w14:textId="77777777" w:rsidR="00980E5F" w:rsidRDefault="00483613">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392C8B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4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B4C"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B4D" w14:textId="77777777" w:rsidR="00980E5F" w:rsidRDefault="00483613">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392C8B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4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B50"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B51"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B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5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B54"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B55" w14:textId="77777777" w:rsidR="00980E5F" w:rsidRDefault="00483613">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392C8B56" w14:textId="77777777" w:rsidR="00980E5F" w:rsidRDefault="00980E5F">
            <w:pPr>
              <w:jc w:val="right"/>
              <w:rPr>
                <w:rFonts w:ascii="宋体"/>
              </w:rPr>
            </w:pPr>
          </w:p>
        </w:tc>
      </w:tr>
      <w:tr w:rsidR="00980E5F" w14:paraId="392C8B67" w14:textId="77777777">
        <w:tc>
          <w:tcPr>
            <w:tcW w:w="0" w:type="auto"/>
            <w:gridSpan w:val="3"/>
            <w:shd w:val="clear" w:color="auto" w:fill="FFFFFF"/>
            <w:tcMar>
              <w:top w:w="40" w:type="dxa"/>
              <w:left w:w="20" w:type="dxa"/>
              <w:bottom w:w="40" w:type="dxa"/>
              <w:right w:w="20" w:type="dxa"/>
            </w:tcMar>
            <w:vAlign w:val="bottom"/>
          </w:tcPr>
          <w:p w14:paraId="392C8B58" w14:textId="77777777" w:rsidR="00980E5F" w:rsidRDefault="00483613">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92C8B59"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8B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5C"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B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5F"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8B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6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B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65"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8B66" w14:textId="77777777" w:rsidR="00980E5F" w:rsidRDefault="00980E5F">
            <w:pPr>
              <w:jc w:val="right"/>
              <w:rPr>
                <w:rFonts w:ascii="宋体"/>
              </w:rPr>
            </w:pPr>
          </w:p>
        </w:tc>
      </w:tr>
      <w:tr w:rsidR="00980E5F" w14:paraId="392C8B72" w14:textId="77777777">
        <w:trPr>
          <w:hidden/>
        </w:trPr>
        <w:tc>
          <w:tcPr>
            <w:tcW w:w="0" w:type="auto"/>
            <w:gridSpan w:val="3"/>
            <w:shd w:val="clear" w:color="auto" w:fill="auto"/>
            <w:vAlign w:val="bottom"/>
          </w:tcPr>
          <w:p w14:paraId="392C8B68" w14:textId="77777777" w:rsidR="00980E5F" w:rsidRDefault="00980E5F">
            <w:pPr>
              <w:rPr>
                <w:rFonts w:ascii="宋体"/>
                <w:vanish/>
              </w:rPr>
            </w:pPr>
          </w:p>
        </w:tc>
        <w:tc>
          <w:tcPr>
            <w:tcW w:w="0" w:type="auto"/>
            <w:gridSpan w:val="3"/>
            <w:shd w:val="clear" w:color="auto" w:fill="auto"/>
            <w:vAlign w:val="bottom"/>
          </w:tcPr>
          <w:p w14:paraId="392C8B69" w14:textId="77777777" w:rsidR="00980E5F" w:rsidRDefault="00980E5F">
            <w:pPr>
              <w:rPr>
                <w:rFonts w:ascii="宋体"/>
                <w:vanish/>
              </w:rPr>
            </w:pPr>
          </w:p>
        </w:tc>
        <w:tc>
          <w:tcPr>
            <w:tcW w:w="0" w:type="auto"/>
            <w:gridSpan w:val="3"/>
            <w:shd w:val="clear" w:color="auto" w:fill="auto"/>
            <w:vAlign w:val="bottom"/>
          </w:tcPr>
          <w:p w14:paraId="392C8B6A" w14:textId="77777777" w:rsidR="00980E5F" w:rsidRDefault="00980E5F">
            <w:pPr>
              <w:rPr>
                <w:rFonts w:ascii="宋体"/>
                <w:vanish/>
              </w:rPr>
            </w:pPr>
          </w:p>
        </w:tc>
        <w:tc>
          <w:tcPr>
            <w:tcW w:w="0" w:type="auto"/>
            <w:gridSpan w:val="3"/>
            <w:shd w:val="clear" w:color="auto" w:fill="auto"/>
            <w:vAlign w:val="bottom"/>
          </w:tcPr>
          <w:p w14:paraId="392C8B6B" w14:textId="77777777" w:rsidR="00980E5F" w:rsidRDefault="00980E5F">
            <w:pPr>
              <w:rPr>
                <w:rFonts w:ascii="宋体"/>
                <w:vanish/>
              </w:rPr>
            </w:pPr>
          </w:p>
        </w:tc>
        <w:tc>
          <w:tcPr>
            <w:tcW w:w="0" w:type="auto"/>
            <w:gridSpan w:val="3"/>
            <w:shd w:val="clear" w:color="auto" w:fill="auto"/>
            <w:vAlign w:val="bottom"/>
          </w:tcPr>
          <w:p w14:paraId="392C8B6C" w14:textId="77777777" w:rsidR="00980E5F" w:rsidRDefault="00980E5F">
            <w:pPr>
              <w:rPr>
                <w:rFonts w:ascii="宋体"/>
                <w:vanish/>
              </w:rPr>
            </w:pPr>
          </w:p>
        </w:tc>
        <w:tc>
          <w:tcPr>
            <w:tcW w:w="0" w:type="auto"/>
            <w:gridSpan w:val="3"/>
            <w:shd w:val="clear" w:color="auto" w:fill="auto"/>
            <w:vAlign w:val="bottom"/>
          </w:tcPr>
          <w:p w14:paraId="392C8B6D" w14:textId="77777777" w:rsidR="00980E5F" w:rsidRDefault="00980E5F">
            <w:pPr>
              <w:rPr>
                <w:rFonts w:ascii="宋体"/>
                <w:vanish/>
              </w:rPr>
            </w:pPr>
          </w:p>
        </w:tc>
        <w:tc>
          <w:tcPr>
            <w:tcW w:w="0" w:type="auto"/>
            <w:gridSpan w:val="3"/>
            <w:shd w:val="clear" w:color="auto" w:fill="auto"/>
            <w:vAlign w:val="bottom"/>
          </w:tcPr>
          <w:p w14:paraId="392C8B6E" w14:textId="77777777" w:rsidR="00980E5F" w:rsidRDefault="00980E5F">
            <w:pPr>
              <w:rPr>
                <w:rFonts w:ascii="宋体"/>
                <w:vanish/>
              </w:rPr>
            </w:pPr>
          </w:p>
        </w:tc>
        <w:tc>
          <w:tcPr>
            <w:tcW w:w="0" w:type="auto"/>
            <w:gridSpan w:val="3"/>
            <w:shd w:val="clear" w:color="auto" w:fill="auto"/>
            <w:vAlign w:val="bottom"/>
          </w:tcPr>
          <w:p w14:paraId="392C8B6F" w14:textId="77777777" w:rsidR="00980E5F" w:rsidRDefault="00980E5F">
            <w:pPr>
              <w:rPr>
                <w:rFonts w:ascii="宋体"/>
                <w:vanish/>
              </w:rPr>
            </w:pPr>
          </w:p>
        </w:tc>
        <w:tc>
          <w:tcPr>
            <w:tcW w:w="0" w:type="auto"/>
            <w:gridSpan w:val="3"/>
            <w:shd w:val="clear" w:color="auto" w:fill="auto"/>
            <w:vAlign w:val="bottom"/>
          </w:tcPr>
          <w:p w14:paraId="392C8B70" w14:textId="77777777" w:rsidR="00980E5F" w:rsidRDefault="00980E5F">
            <w:pPr>
              <w:rPr>
                <w:rFonts w:ascii="宋体"/>
                <w:vanish/>
              </w:rPr>
            </w:pPr>
          </w:p>
        </w:tc>
        <w:tc>
          <w:tcPr>
            <w:tcW w:w="0" w:type="auto"/>
            <w:gridSpan w:val="3"/>
            <w:shd w:val="clear" w:color="auto" w:fill="auto"/>
            <w:vAlign w:val="bottom"/>
          </w:tcPr>
          <w:p w14:paraId="392C8B71" w14:textId="77777777" w:rsidR="00980E5F" w:rsidRDefault="00980E5F">
            <w:pPr>
              <w:rPr>
                <w:rFonts w:ascii="宋体"/>
                <w:vanish/>
              </w:rPr>
            </w:pPr>
          </w:p>
        </w:tc>
      </w:tr>
      <w:tr w:rsidR="00980E5F" w14:paraId="392C8B7D" w14:textId="77777777">
        <w:trPr>
          <w:hidden/>
        </w:trPr>
        <w:tc>
          <w:tcPr>
            <w:tcW w:w="0" w:type="auto"/>
            <w:gridSpan w:val="3"/>
            <w:shd w:val="clear" w:color="auto" w:fill="auto"/>
            <w:vAlign w:val="bottom"/>
          </w:tcPr>
          <w:p w14:paraId="392C8B73" w14:textId="77777777" w:rsidR="00980E5F" w:rsidRDefault="00980E5F">
            <w:pPr>
              <w:rPr>
                <w:rFonts w:ascii="宋体"/>
                <w:vanish/>
              </w:rPr>
            </w:pPr>
          </w:p>
        </w:tc>
        <w:tc>
          <w:tcPr>
            <w:tcW w:w="0" w:type="auto"/>
            <w:gridSpan w:val="3"/>
            <w:shd w:val="clear" w:color="auto" w:fill="auto"/>
            <w:vAlign w:val="bottom"/>
          </w:tcPr>
          <w:p w14:paraId="392C8B74" w14:textId="77777777" w:rsidR="00980E5F" w:rsidRDefault="00980E5F">
            <w:pPr>
              <w:rPr>
                <w:rFonts w:ascii="宋体"/>
                <w:vanish/>
              </w:rPr>
            </w:pPr>
          </w:p>
        </w:tc>
        <w:tc>
          <w:tcPr>
            <w:tcW w:w="0" w:type="auto"/>
            <w:gridSpan w:val="3"/>
            <w:shd w:val="clear" w:color="auto" w:fill="auto"/>
            <w:vAlign w:val="bottom"/>
          </w:tcPr>
          <w:p w14:paraId="392C8B75" w14:textId="77777777" w:rsidR="00980E5F" w:rsidRDefault="00980E5F">
            <w:pPr>
              <w:rPr>
                <w:rFonts w:ascii="宋体"/>
                <w:vanish/>
              </w:rPr>
            </w:pPr>
          </w:p>
        </w:tc>
        <w:tc>
          <w:tcPr>
            <w:tcW w:w="0" w:type="auto"/>
            <w:gridSpan w:val="3"/>
            <w:shd w:val="clear" w:color="auto" w:fill="auto"/>
            <w:vAlign w:val="bottom"/>
          </w:tcPr>
          <w:p w14:paraId="392C8B76" w14:textId="77777777" w:rsidR="00980E5F" w:rsidRDefault="00980E5F">
            <w:pPr>
              <w:rPr>
                <w:rFonts w:ascii="宋体"/>
                <w:vanish/>
              </w:rPr>
            </w:pPr>
          </w:p>
        </w:tc>
        <w:tc>
          <w:tcPr>
            <w:tcW w:w="0" w:type="auto"/>
            <w:gridSpan w:val="3"/>
            <w:shd w:val="clear" w:color="auto" w:fill="auto"/>
            <w:vAlign w:val="bottom"/>
          </w:tcPr>
          <w:p w14:paraId="392C8B77" w14:textId="77777777" w:rsidR="00980E5F" w:rsidRDefault="00980E5F">
            <w:pPr>
              <w:rPr>
                <w:rFonts w:ascii="宋体"/>
                <w:vanish/>
              </w:rPr>
            </w:pPr>
          </w:p>
        </w:tc>
        <w:tc>
          <w:tcPr>
            <w:tcW w:w="0" w:type="auto"/>
            <w:gridSpan w:val="3"/>
            <w:shd w:val="clear" w:color="auto" w:fill="auto"/>
            <w:vAlign w:val="bottom"/>
          </w:tcPr>
          <w:p w14:paraId="392C8B78" w14:textId="77777777" w:rsidR="00980E5F" w:rsidRDefault="00980E5F">
            <w:pPr>
              <w:rPr>
                <w:rFonts w:ascii="宋体"/>
                <w:vanish/>
              </w:rPr>
            </w:pPr>
          </w:p>
        </w:tc>
        <w:tc>
          <w:tcPr>
            <w:tcW w:w="0" w:type="auto"/>
            <w:gridSpan w:val="3"/>
            <w:shd w:val="clear" w:color="auto" w:fill="auto"/>
            <w:vAlign w:val="bottom"/>
          </w:tcPr>
          <w:p w14:paraId="392C8B79" w14:textId="77777777" w:rsidR="00980E5F" w:rsidRDefault="00980E5F">
            <w:pPr>
              <w:rPr>
                <w:rFonts w:ascii="宋体"/>
                <w:vanish/>
              </w:rPr>
            </w:pPr>
          </w:p>
        </w:tc>
        <w:tc>
          <w:tcPr>
            <w:tcW w:w="0" w:type="auto"/>
            <w:gridSpan w:val="3"/>
            <w:shd w:val="clear" w:color="auto" w:fill="auto"/>
            <w:vAlign w:val="bottom"/>
          </w:tcPr>
          <w:p w14:paraId="392C8B7A" w14:textId="77777777" w:rsidR="00980E5F" w:rsidRDefault="00980E5F">
            <w:pPr>
              <w:rPr>
                <w:rFonts w:ascii="宋体"/>
                <w:vanish/>
              </w:rPr>
            </w:pPr>
          </w:p>
        </w:tc>
        <w:tc>
          <w:tcPr>
            <w:tcW w:w="0" w:type="auto"/>
            <w:gridSpan w:val="3"/>
            <w:shd w:val="clear" w:color="auto" w:fill="auto"/>
            <w:vAlign w:val="bottom"/>
          </w:tcPr>
          <w:p w14:paraId="392C8B7B" w14:textId="77777777" w:rsidR="00980E5F" w:rsidRDefault="00980E5F">
            <w:pPr>
              <w:rPr>
                <w:rFonts w:ascii="宋体"/>
                <w:vanish/>
              </w:rPr>
            </w:pPr>
          </w:p>
        </w:tc>
        <w:tc>
          <w:tcPr>
            <w:tcW w:w="0" w:type="auto"/>
            <w:gridSpan w:val="3"/>
            <w:shd w:val="clear" w:color="auto" w:fill="auto"/>
            <w:vAlign w:val="bottom"/>
          </w:tcPr>
          <w:p w14:paraId="392C8B7C" w14:textId="77777777" w:rsidR="00980E5F" w:rsidRDefault="00980E5F">
            <w:pPr>
              <w:rPr>
                <w:rFonts w:ascii="宋体"/>
                <w:vanish/>
              </w:rPr>
            </w:pPr>
          </w:p>
        </w:tc>
      </w:tr>
      <w:tr w:rsidR="00980E5F" w14:paraId="392C8B88" w14:textId="77777777">
        <w:trPr>
          <w:hidden/>
        </w:trPr>
        <w:tc>
          <w:tcPr>
            <w:tcW w:w="0" w:type="auto"/>
            <w:gridSpan w:val="3"/>
            <w:shd w:val="clear" w:color="auto" w:fill="auto"/>
            <w:vAlign w:val="bottom"/>
          </w:tcPr>
          <w:p w14:paraId="392C8B7E" w14:textId="77777777" w:rsidR="00980E5F" w:rsidRDefault="00980E5F">
            <w:pPr>
              <w:rPr>
                <w:rFonts w:ascii="宋体"/>
                <w:vanish/>
              </w:rPr>
            </w:pPr>
          </w:p>
        </w:tc>
        <w:tc>
          <w:tcPr>
            <w:tcW w:w="0" w:type="auto"/>
            <w:gridSpan w:val="3"/>
            <w:shd w:val="clear" w:color="auto" w:fill="auto"/>
            <w:vAlign w:val="bottom"/>
          </w:tcPr>
          <w:p w14:paraId="392C8B7F" w14:textId="77777777" w:rsidR="00980E5F" w:rsidRDefault="00980E5F">
            <w:pPr>
              <w:rPr>
                <w:rFonts w:ascii="宋体"/>
                <w:vanish/>
              </w:rPr>
            </w:pPr>
          </w:p>
        </w:tc>
        <w:tc>
          <w:tcPr>
            <w:tcW w:w="0" w:type="auto"/>
            <w:gridSpan w:val="3"/>
            <w:shd w:val="clear" w:color="auto" w:fill="auto"/>
            <w:vAlign w:val="bottom"/>
          </w:tcPr>
          <w:p w14:paraId="392C8B80" w14:textId="77777777" w:rsidR="00980E5F" w:rsidRDefault="00980E5F">
            <w:pPr>
              <w:rPr>
                <w:rFonts w:ascii="宋体"/>
                <w:vanish/>
              </w:rPr>
            </w:pPr>
          </w:p>
        </w:tc>
        <w:tc>
          <w:tcPr>
            <w:tcW w:w="0" w:type="auto"/>
            <w:gridSpan w:val="3"/>
            <w:shd w:val="clear" w:color="auto" w:fill="auto"/>
            <w:vAlign w:val="bottom"/>
          </w:tcPr>
          <w:p w14:paraId="392C8B81" w14:textId="77777777" w:rsidR="00980E5F" w:rsidRDefault="00980E5F">
            <w:pPr>
              <w:rPr>
                <w:rFonts w:ascii="宋体"/>
                <w:vanish/>
              </w:rPr>
            </w:pPr>
          </w:p>
        </w:tc>
        <w:tc>
          <w:tcPr>
            <w:tcW w:w="0" w:type="auto"/>
            <w:gridSpan w:val="3"/>
            <w:shd w:val="clear" w:color="auto" w:fill="auto"/>
            <w:vAlign w:val="bottom"/>
          </w:tcPr>
          <w:p w14:paraId="392C8B82" w14:textId="77777777" w:rsidR="00980E5F" w:rsidRDefault="00980E5F">
            <w:pPr>
              <w:rPr>
                <w:rFonts w:ascii="宋体"/>
                <w:vanish/>
              </w:rPr>
            </w:pPr>
          </w:p>
        </w:tc>
        <w:tc>
          <w:tcPr>
            <w:tcW w:w="0" w:type="auto"/>
            <w:gridSpan w:val="3"/>
            <w:shd w:val="clear" w:color="auto" w:fill="auto"/>
            <w:vAlign w:val="bottom"/>
          </w:tcPr>
          <w:p w14:paraId="392C8B83" w14:textId="77777777" w:rsidR="00980E5F" w:rsidRDefault="00980E5F">
            <w:pPr>
              <w:rPr>
                <w:rFonts w:ascii="宋体"/>
                <w:vanish/>
              </w:rPr>
            </w:pPr>
          </w:p>
        </w:tc>
        <w:tc>
          <w:tcPr>
            <w:tcW w:w="0" w:type="auto"/>
            <w:gridSpan w:val="3"/>
            <w:shd w:val="clear" w:color="auto" w:fill="auto"/>
            <w:vAlign w:val="bottom"/>
          </w:tcPr>
          <w:p w14:paraId="392C8B84" w14:textId="77777777" w:rsidR="00980E5F" w:rsidRDefault="00980E5F">
            <w:pPr>
              <w:rPr>
                <w:rFonts w:ascii="宋体"/>
                <w:vanish/>
              </w:rPr>
            </w:pPr>
          </w:p>
        </w:tc>
        <w:tc>
          <w:tcPr>
            <w:tcW w:w="0" w:type="auto"/>
            <w:gridSpan w:val="3"/>
            <w:shd w:val="clear" w:color="auto" w:fill="auto"/>
            <w:vAlign w:val="bottom"/>
          </w:tcPr>
          <w:p w14:paraId="392C8B85" w14:textId="77777777" w:rsidR="00980E5F" w:rsidRDefault="00980E5F">
            <w:pPr>
              <w:rPr>
                <w:rFonts w:ascii="宋体"/>
                <w:vanish/>
              </w:rPr>
            </w:pPr>
          </w:p>
        </w:tc>
        <w:tc>
          <w:tcPr>
            <w:tcW w:w="0" w:type="auto"/>
            <w:gridSpan w:val="3"/>
            <w:shd w:val="clear" w:color="auto" w:fill="auto"/>
            <w:vAlign w:val="bottom"/>
          </w:tcPr>
          <w:p w14:paraId="392C8B86" w14:textId="77777777" w:rsidR="00980E5F" w:rsidRDefault="00980E5F">
            <w:pPr>
              <w:rPr>
                <w:rFonts w:ascii="宋体"/>
                <w:vanish/>
              </w:rPr>
            </w:pPr>
          </w:p>
        </w:tc>
        <w:tc>
          <w:tcPr>
            <w:tcW w:w="0" w:type="auto"/>
            <w:gridSpan w:val="3"/>
            <w:shd w:val="clear" w:color="auto" w:fill="auto"/>
            <w:vAlign w:val="bottom"/>
          </w:tcPr>
          <w:p w14:paraId="392C8B87" w14:textId="77777777" w:rsidR="00980E5F" w:rsidRDefault="00980E5F">
            <w:pPr>
              <w:rPr>
                <w:rFonts w:ascii="宋体"/>
                <w:vanish/>
              </w:rPr>
            </w:pPr>
          </w:p>
        </w:tc>
      </w:tr>
      <w:tr w:rsidR="00980E5F" w14:paraId="392C8B97" w14:textId="77777777">
        <w:tc>
          <w:tcPr>
            <w:tcW w:w="0" w:type="auto"/>
            <w:gridSpan w:val="3"/>
            <w:shd w:val="clear" w:color="auto" w:fill="CCEEFF"/>
            <w:tcMar>
              <w:top w:w="40" w:type="dxa"/>
              <w:left w:w="20" w:type="dxa"/>
              <w:bottom w:w="40" w:type="dxa"/>
              <w:right w:w="20" w:type="dxa"/>
            </w:tcMar>
            <w:vAlign w:val="bottom"/>
          </w:tcPr>
          <w:p w14:paraId="392C8B89" w14:textId="77777777" w:rsidR="00980E5F" w:rsidRDefault="00483613">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392C8B8A" w14:textId="77777777" w:rsidR="00980E5F" w:rsidRDefault="00483613">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392C8B8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B8C" w14:textId="77777777" w:rsidR="00980E5F" w:rsidRDefault="00483613">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392C8B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8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B8F" w14:textId="77777777" w:rsidR="00980E5F" w:rsidRDefault="00483613">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392C8B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9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B92" w14:textId="77777777" w:rsidR="00980E5F" w:rsidRDefault="00483613">
            <w:pPr>
              <w:jc w:val="right"/>
              <w:textAlignment w:val="bottom"/>
            </w:pPr>
            <w:r>
              <w:rPr>
                <w:rFonts w:ascii="Arial" w:eastAsia="宋体" w:hAnsi="Arial" w:cs="Arial"/>
                <w:color w:val="000000"/>
                <w:sz w:val="15"/>
                <w:szCs w:val="15"/>
              </w:rPr>
              <w:t>(723)</w:t>
            </w:r>
          </w:p>
        </w:tc>
        <w:tc>
          <w:tcPr>
            <w:tcW w:w="0" w:type="auto"/>
            <w:shd w:val="clear" w:color="auto" w:fill="CCEEFF"/>
            <w:tcMar>
              <w:top w:w="40" w:type="dxa"/>
              <w:left w:w="0" w:type="dxa"/>
              <w:bottom w:w="40" w:type="dxa"/>
              <w:right w:w="20" w:type="dxa"/>
            </w:tcMar>
            <w:vAlign w:val="bottom"/>
          </w:tcPr>
          <w:p w14:paraId="392C8B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B95" w14:textId="77777777" w:rsidR="00980E5F" w:rsidRDefault="00483613">
            <w:pPr>
              <w:jc w:val="right"/>
              <w:textAlignment w:val="bottom"/>
            </w:pPr>
            <w:r>
              <w:rPr>
                <w:rFonts w:ascii="Arial" w:eastAsia="宋体" w:hAnsi="Arial" w:cs="Arial"/>
                <w:color w:val="000000"/>
                <w:sz w:val="15"/>
                <w:szCs w:val="15"/>
              </w:rPr>
              <w:t>(2,689)</w:t>
            </w:r>
          </w:p>
        </w:tc>
        <w:tc>
          <w:tcPr>
            <w:tcW w:w="0" w:type="auto"/>
            <w:shd w:val="clear" w:color="auto" w:fill="CCEEFF"/>
            <w:tcMar>
              <w:top w:w="40" w:type="dxa"/>
              <w:left w:w="0" w:type="dxa"/>
              <w:bottom w:w="40" w:type="dxa"/>
              <w:right w:w="20" w:type="dxa"/>
            </w:tcMar>
            <w:vAlign w:val="bottom"/>
          </w:tcPr>
          <w:p w14:paraId="392C8B96" w14:textId="77777777" w:rsidR="00980E5F" w:rsidRDefault="00980E5F">
            <w:pPr>
              <w:jc w:val="right"/>
              <w:rPr>
                <w:rFonts w:ascii="宋体"/>
              </w:rPr>
            </w:pPr>
          </w:p>
        </w:tc>
      </w:tr>
      <w:tr w:rsidR="00980E5F" w14:paraId="392C8BA7" w14:textId="77777777">
        <w:tc>
          <w:tcPr>
            <w:tcW w:w="0" w:type="auto"/>
            <w:gridSpan w:val="3"/>
            <w:shd w:val="clear" w:color="auto" w:fill="FFFFFF"/>
            <w:tcMar>
              <w:top w:w="40" w:type="dxa"/>
              <w:left w:w="20" w:type="dxa"/>
              <w:bottom w:w="40" w:type="dxa"/>
              <w:right w:w="20" w:type="dxa"/>
            </w:tcMar>
            <w:vAlign w:val="bottom"/>
          </w:tcPr>
          <w:p w14:paraId="392C8B98" w14:textId="77777777" w:rsidR="00980E5F" w:rsidRDefault="00483613">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B99" w14:textId="77777777" w:rsidR="00980E5F" w:rsidRDefault="00483613">
            <w:pPr>
              <w:jc w:val="right"/>
              <w:textAlignment w:val="bottom"/>
            </w:pPr>
            <w:r>
              <w:rPr>
                <w:rFonts w:ascii="Arial" w:eastAsia="宋体" w:hAnsi="Arial" w:cs="Arial"/>
                <w:color w:val="000000"/>
                <w:sz w:val="15"/>
                <w:szCs w:val="15"/>
              </w:rPr>
              <w:t>15,187 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B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9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B9C" w14:textId="77777777" w:rsidR="00980E5F" w:rsidRDefault="00483613">
            <w:pPr>
              <w:jc w:val="right"/>
              <w:textAlignment w:val="bottom"/>
            </w:pPr>
            <w:r>
              <w:rPr>
                <w:rFonts w:ascii="Arial" w:eastAsia="宋体" w:hAnsi="Arial" w:cs="Arial"/>
                <w:color w:val="000000"/>
                <w:sz w:val="15"/>
                <w:szCs w:val="15"/>
              </w:rPr>
              <w:t>(11,079)</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B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9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B9F" w14:textId="77777777" w:rsidR="00980E5F" w:rsidRDefault="00483613">
            <w:pPr>
              <w:jc w:val="right"/>
              <w:textAlignment w:val="bottom"/>
            </w:pPr>
            <w:r>
              <w:rPr>
                <w:rFonts w:ascii="Arial" w:eastAsia="宋体" w:hAnsi="Arial" w:cs="Arial"/>
                <w:color w:val="000000"/>
                <w:sz w:val="15"/>
                <w:szCs w:val="15"/>
              </w:rPr>
              <w:t>4,108 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B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BA2" w14:textId="77777777" w:rsidR="00980E5F" w:rsidRDefault="00483613">
            <w:pPr>
              <w:jc w:val="right"/>
              <w:textAlignment w:val="bottom"/>
            </w:pPr>
            <w:r>
              <w:rPr>
                <w:rFonts w:ascii="Arial" w:eastAsia="宋体" w:hAnsi="Arial" w:cs="Arial"/>
                <w:color w:val="000000"/>
                <w:sz w:val="15"/>
                <w:szCs w:val="15"/>
              </w:rPr>
              <w:t>(723)</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B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A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BA5" w14:textId="77777777" w:rsidR="00980E5F" w:rsidRDefault="00483613">
            <w:pPr>
              <w:jc w:val="right"/>
              <w:textAlignment w:val="bottom"/>
            </w:pPr>
            <w:r>
              <w:rPr>
                <w:rFonts w:ascii="Arial" w:eastAsia="宋体" w:hAnsi="Arial" w:cs="Arial"/>
                <w:color w:val="000000"/>
                <w:sz w:val="15"/>
                <w:szCs w:val="15"/>
              </w:rPr>
              <w:t>3,385 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BA6" w14:textId="77777777" w:rsidR="00980E5F" w:rsidRDefault="00980E5F">
            <w:pPr>
              <w:jc w:val="right"/>
              <w:rPr>
                <w:rFonts w:ascii="宋体"/>
              </w:rPr>
            </w:pPr>
          </w:p>
        </w:tc>
      </w:tr>
      <w:tr w:rsidR="00980E5F" w14:paraId="392C8BB2" w14:textId="77777777">
        <w:tc>
          <w:tcPr>
            <w:tcW w:w="0" w:type="auto"/>
            <w:gridSpan w:val="3"/>
            <w:shd w:val="clear" w:color="auto" w:fill="CCEEFF"/>
            <w:tcMar>
              <w:top w:w="40" w:type="dxa"/>
              <w:left w:w="20" w:type="dxa"/>
              <w:bottom w:w="40" w:type="dxa"/>
              <w:right w:w="20" w:type="dxa"/>
            </w:tcMar>
            <w:vAlign w:val="bottom"/>
          </w:tcPr>
          <w:p w14:paraId="392C8BA8" w14:textId="77777777" w:rsidR="00980E5F" w:rsidRDefault="00483613">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392C8BA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A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B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BB1" w14:textId="77777777" w:rsidR="00980E5F" w:rsidRDefault="00980E5F">
            <w:pPr>
              <w:rPr>
                <w:rFonts w:ascii="宋体"/>
              </w:rPr>
            </w:pPr>
          </w:p>
        </w:tc>
      </w:tr>
      <w:tr w:rsidR="00980E5F" w14:paraId="392C8BC2" w14:textId="77777777">
        <w:tc>
          <w:tcPr>
            <w:tcW w:w="0" w:type="auto"/>
            <w:gridSpan w:val="3"/>
            <w:shd w:val="clear" w:color="auto" w:fill="FFFFFF"/>
            <w:tcMar>
              <w:top w:w="40" w:type="dxa"/>
              <w:left w:w="20" w:type="dxa"/>
              <w:bottom w:w="40" w:type="dxa"/>
              <w:right w:w="20" w:type="dxa"/>
            </w:tcMar>
            <w:vAlign w:val="bottom"/>
          </w:tcPr>
          <w:p w14:paraId="392C8BB3" w14:textId="77777777" w:rsidR="00980E5F" w:rsidRDefault="00483613">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392C8BB4" w14:textId="77777777" w:rsidR="00980E5F" w:rsidRDefault="00483613">
            <w:pPr>
              <w:jc w:val="right"/>
              <w:textAlignment w:val="bottom"/>
            </w:pPr>
            <w:r>
              <w:rPr>
                <w:rFonts w:ascii="Arial" w:eastAsia="宋体" w:hAnsi="Arial" w:cs="Arial"/>
                <w:color w:val="000000"/>
                <w:sz w:val="15"/>
                <w:szCs w:val="15"/>
              </w:rPr>
              <w:t>102,375 </w:t>
            </w:r>
          </w:p>
        </w:tc>
        <w:tc>
          <w:tcPr>
            <w:tcW w:w="0" w:type="auto"/>
            <w:shd w:val="clear" w:color="auto" w:fill="FFFFFF"/>
            <w:tcMar>
              <w:top w:w="40" w:type="dxa"/>
              <w:left w:w="0" w:type="dxa"/>
              <w:bottom w:w="40" w:type="dxa"/>
              <w:right w:w="20" w:type="dxa"/>
            </w:tcMar>
            <w:vAlign w:val="bottom"/>
          </w:tcPr>
          <w:p w14:paraId="392C8B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B7" w14:textId="77777777" w:rsidR="00980E5F" w:rsidRDefault="00483613">
            <w:pPr>
              <w:jc w:val="right"/>
              <w:textAlignment w:val="bottom"/>
            </w:pPr>
            <w:r>
              <w:rPr>
                <w:rFonts w:ascii="Arial" w:eastAsia="宋体" w:hAnsi="Arial" w:cs="Arial"/>
                <w:color w:val="000000"/>
                <w:sz w:val="15"/>
                <w:szCs w:val="15"/>
              </w:rPr>
              <w:t>(77,063)</w:t>
            </w:r>
          </w:p>
        </w:tc>
        <w:tc>
          <w:tcPr>
            <w:tcW w:w="0" w:type="auto"/>
            <w:shd w:val="clear" w:color="auto" w:fill="FFFFFF"/>
            <w:tcMar>
              <w:top w:w="40" w:type="dxa"/>
              <w:left w:w="0" w:type="dxa"/>
              <w:bottom w:w="40" w:type="dxa"/>
              <w:right w:w="20" w:type="dxa"/>
            </w:tcMar>
            <w:vAlign w:val="bottom"/>
          </w:tcPr>
          <w:p w14:paraId="392C8B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BA" w14:textId="77777777" w:rsidR="00980E5F" w:rsidRDefault="00483613">
            <w:pPr>
              <w:jc w:val="right"/>
              <w:textAlignment w:val="bottom"/>
            </w:pPr>
            <w:r>
              <w:rPr>
                <w:rFonts w:ascii="Arial" w:eastAsia="宋体" w:hAnsi="Arial" w:cs="Arial"/>
                <w:color w:val="000000"/>
                <w:sz w:val="15"/>
                <w:szCs w:val="15"/>
              </w:rPr>
              <w:t>25,312 </w:t>
            </w:r>
          </w:p>
        </w:tc>
        <w:tc>
          <w:tcPr>
            <w:tcW w:w="0" w:type="auto"/>
            <w:shd w:val="clear" w:color="auto" w:fill="FFFFFF"/>
            <w:tcMar>
              <w:top w:w="40" w:type="dxa"/>
              <w:left w:w="0" w:type="dxa"/>
              <w:bottom w:w="40" w:type="dxa"/>
              <w:right w:w="20" w:type="dxa"/>
            </w:tcMar>
            <w:vAlign w:val="bottom"/>
          </w:tcPr>
          <w:p w14:paraId="392C8B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BD" w14:textId="77777777" w:rsidR="00980E5F" w:rsidRDefault="00483613">
            <w:pPr>
              <w:jc w:val="right"/>
              <w:textAlignment w:val="bottom"/>
            </w:pPr>
            <w:r>
              <w:rPr>
                <w:rFonts w:ascii="Arial" w:eastAsia="宋体" w:hAnsi="Arial" w:cs="Arial"/>
                <w:color w:val="000000"/>
                <w:sz w:val="15"/>
                <w:szCs w:val="15"/>
              </w:rPr>
              <w:t>(25,096)</w:t>
            </w:r>
          </w:p>
        </w:tc>
        <w:tc>
          <w:tcPr>
            <w:tcW w:w="0" w:type="auto"/>
            <w:shd w:val="clear" w:color="auto" w:fill="FFFFFF"/>
            <w:tcMar>
              <w:top w:w="40" w:type="dxa"/>
              <w:left w:w="0" w:type="dxa"/>
              <w:bottom w:w="40" w:type="dxa"/>
              <w:right w:w="20" w:type="dxa"/>
            </w:tcMar>
            <w:vAlign w:val="bottom"/>
          </w:tcPr>
          <w:p w14:paraId="392C8B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BB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BC0" w14:textId="77777777" w:rsidR="00980E5F" w:rsidRDefault="00483613">
            <w:pPr>
              <w:jc w:val="right"/>
              <w:textAlignment w:val="bottom"/>
            </w:pPr>
            <w:r>
              <w:rPr>
                <w:rFonts w:ascii="Arial" w:eastAsia="宋体" w:hAnsi="Arial" w:cs="Arial"/>
                <w:color w:val="000000"/>
                <w:sz w:val="15"/>
                <w:szCs w:val="15"/>
              </w:rPr>
              <w:t>216 </w:t>
            </w:r>
          </w:p>
        </w:tc>
        <w:tc>
          <w:tcPr>
            <w:tcW w:w="0" w:type="auto"/>
            <w:shd w:val="clear" w:color="auto" w:fill="FFFFFF"/>
            <w:tcMar>
              <w:top w:w="40" w:type="dxa"/>
              <w:left w:w="0" w:type="dxa"/>
              <w:bottom w:w="40" w:type="dxa"/>
              <w:right w:w="20" w:type="dxa"/>
            </w:tcMar>
            <w:vAlign w:val="bottom"/>
          </w:tcPr>
          <w:p w14:paraId="392C8BC1" w14:textId="77777777" w:rsidR="00980E5F" w:rsidRDefault="00980E5F">
            <w:pPr>
              <w:jc w:val="right"/>
              <w:rPr>
                <w:rFonts w:ascii="宋体"/>
              </w:rPr>
            </w:pPr>
          </w:p>
        </w:tc>
      </w:tr>
      <w:tr w:rsidR="00980E5F" w14:paraId="392C8BD7" w14:textId="77777777">
        <w:tc>
          <w:tcPr>
            <w:tcW w:w="0" w:type="auto"/>
            <w:gridSpan w:val="3"/>
            <w:shd w:val="clear" w:color="auto" w:fill="CCEEFF"/>
            <w:tcMar>
              <w:top w:w="40" w:type="dxa"/>
              <w:left w:w="20" w:type="dxa"/>
              <w:bottom w:w="40" w:type="dxa"/>
              <w:right w:w="20" w:type="dxa"/>
            </w:tcMar>
            <w:vAlign w:val="bottom"/>
          </w:tcPr>
          <w:p w14:paraId="392C8BC3" w14:textId="77777777" w:rsidR="00980E5F" w:rsidRDefault="00483613">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BC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BC5" w14:textId="77777777" w:rsidR="00980E5F" w:rsidRDefault="00483613">
            <w:pPr>
              <w:jc w:val="right"/>
              <w:textAlignment w:val="bottom"/>
            </w:pPr>
            <w:r>
              <w:rPr>
                <w:rFonts w:ascii="Arial" w:eastAsia="宋体" w:hAnsi="Arial" w:cs="Arial"/>
                <w:color w:val="000000"/>
                <w:sz w:val="15"/>
                <w:szCs w:val="15"/>
              </w:rPr>
              <w:t>117,562 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B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C7"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BC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BC9" w14:textId="77777777" w:rsidR="00980E5F" w:rsidRDefault="00483613">
            <w:pPr>
              <w:jc w:val="right"/>
              <w:textAlignment w:val="bottom"/>
            </w:pPr>
            <w:r>
              <w:rPr>
                <w:rFonts w:ascii="Arial" w:eastAsia="宋体" w:hAnsi="Arial" w:cs="Arial"/>
                <w:color w:val="000000"/>
                <w:sz w:val="15"/>
                <w:szCs w:val="15"/>
              </w:rPr>
              <w:t>(88,142)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B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CB"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BC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BCD" w14:textId="77777777" w:rsidR="00980E5F" w:rsidRDefault="00483613">
            <w:pPr>
              <w:jc w:val="right"/>
              <w:textAlignment w:val="bottom"/>
            </w:pPr>
            <w:r>
              <w:rPr>
                <w:rFonts w:ascii="Arial" w:eastAsia="宋体" w:hAnsi="Arial" w:cs="Arial"/>
                <w:color w:val="000000"/>
                <w:sz w:val="15"/>
                <w:szCs w:val="15"/>
              </w:rPr>
              <w:t>29,420 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B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CF"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BD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BD1" w14:textId="77777777" w:rsidR="00980E5F" w:rsidRDefault="00483613">
            <w:pPr>
              <w:jc w:val="right"/>
              <w:textAlignment w:val="bottom"/>
            </w:pPr>
            <w:r>
              <w:rPr>
                <w:rFonts w:ascii="Arial" w:eastAsia="宋体" w:hAnsi="Arial" w:cs="Arial"/>
                <w:color w:val="000000"/>
                <w:sz w:val="15"/>
                <w:szCs w:val="15"/>
              </w:rPr>
              <w:t>(25,819)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B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BD3"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BD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BD5" w14:textId="77777777" w:rsidR="00980E5F" w:rsidRDefault="00483613">
            <w:pPr>
              <w:jc w:val="right"/>
              <w:textAlignment w:val="bottom"/>
            </w:pPr>
            <w:r>
              <w:rPr>
                <w:rFonts w:ascii="Arial" w:eastAsia="宋体" w:hAnsi="Arial" w:cs="Arial"/>
                <w:color w:val="000000"/>
                <w:sz w:val="15"/>
                <w:szCs w:val="15"/>
              </w:rPr>
              <w:t>3,601 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BD6" w14:textId="77777777" w:rsidR="00980E5F" w:rsidRDefault="00980E5F">
            <w:pPr>
              <w:jc w:val="right"/>
              <w:rPr>
                <w:rFonts w:ascii="宋体"/>
              </w:rPr>
            </w:pPr>
          </w:p>
        </w:tc>
      </w:tr>
    </w:tbl>
    <w:p w14:paraId="392C8BD8"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980E5F" w14:paraId="392C8BE8" w14:textId="77777777">
        <w:tc>
          <w:tcPr>
            <w:tcW w:w="50" w:type="pct"/>
            <w:shd w:val="clear" w:color="auto" w:fill="auto"/>
            <w:vAlign w:val="bottom"/>
          </w:tcPr>
          <w:p w14:paraId="392C8BD9" w14:textId="77777777" w:rsidR="00980E5F" w:rsidRDefault="00980E5F">
            <w:pPr>
              <w:rPr>
                <w:rFonts w:ascii="宋体"/>
              </w:rPr>
            </w:pPr>
          </w:p>
        </w:tc>
        <w:tc>
          <w:tcPr>
            <w:tcW w:w="1348" w:type="pct"/>
            <w:shd w:val="clear" w:color="auto" w:fill="auto"/>
            <w:vAlign w:val="bottom"/>
          </w:tcPr>
          <w:p w14:paraId="392C8BDA" w14:textId="77777777" w:rsidR="00980E5F" w:rsidRDefault="00980E5F">
            <w:pPr>
              <w:rPr>
                <w:rFonts w:ascii="宋体"/>
              </w:rPr>
            </w:pPr>
          </w:p>
        </w:tc>
        <w:tc>
          <w:tcPr>
            <w:tcW w:w="5" w:type="pct"/>
            <w:shd w:val="clear" w:color="auto" w:fill="auto"/>
            <w:vAlign w:val="bottom"/>
          </w:tcPr>
          <w:p w14:paraId="392C8BDB" w14:textId="77777777" w:rsidR="00980E5F" w:rsidRDefault="00980E5F">
            <w:pPr>
              <w:rPr>
                <w:rFonts w:ascii="宋体"/>
              </w:rPr>
            </w:pPr>
          </w:p>
        </w:tc>
        <w:tc>
          <w:tcPr>
            <w:tcW w:w="50" w:type="pct"/>
            <w:shd w:val="clear" w:color="auto" w:fill="auto"/>
            <w:vAlign w:val="bottom"/>
          </w:tcPr>
          <w:p w14:paraId="392C8BDC" w14:textId="77777777" w:rsidR="00980E5F" w:rsidRDefault="00980E5F">
            <w:pPr>
              <w:rPr>
                <w:rFonts w:ascii="宋体"/>
              </w:rPr>
            </w:pPr>
          </w:p>
        </w:tc>
        <w:tc>
          <w:tcPr>
            <w:tcW w:w="1048" w:type="pct"/>
            <w:shd w:val="clear" w:color="auto" w:fill="auto"/>
            <w:vAlign w:val="bottom"/>
          </w:tcPr>
          <w:p w14:paraId="392C8BDD" w14:textId="77777777" w:rsidR="00980E5F" w:rsidRDefault="00980E5F">
            <w:pPr>
              <w:rPr>
                <w:rFonts w:ascii="宋体"/>
              </w:rPr>
            </w:pPr>
          </w:p>
        </w:tc>
        <w:tc>
          <w:tcPr>
            <w:tcW w:w="5" w:type="pct"/>
            <w:shd w:val="clear" w:color="auto" w:fill="auto"/>
            <w:vAlign w:val="bottom"/>
          </w:tcPr>
          <w:p w14:paraId="392C8BDE" w14:textId="77777777" w:rsidR="00980E5F" w:rsidRDefault="00980E5F">
            <w:pPr>
              <w:rPr>
                <w:rFonts w:ascii="宋体"/>
              </w:rPr>
            </w:pPr>
          </w:p>
        </w:tc>
        <w:tc>
          <w:tcPr>
            <w:tcW w:w="50" w:type="pct"/>
            <w:shd w:val="clear" w:color="auto" w:fill="auto"/>
            <w:vAlign w:val="bottom"/>
          </w:tcPr>
          <w:p w14:paraId="392C8BDF" w14:textId="77777777" w:rsidR="00980E5F" w:rsidRDefault="00980E5F">
            <w:pPr>
              <w:rPr>
                <w:rFonts w:ascii="宋体"/>
              </w:rPr>
            </w:pPr>
          </w:p>
        </w:tc>
        <w:tc>
          <w:tcPr>
            <w:tcW w:w="917" w:type="pct"/>
            <w:shd w:val="clear" w:color="auto" w:fill="auto"/>
            <w:vAlign w:val="bottom"/>
          </w:tcPr>
          <w:p w14:paraId="392C8BE0" w14:textId="77777777" w:rsidR="00980E5F" w:rsidRDefault="00980E5F">
            <w:pPr>
              <w:rPr>
                <w:rFonts w:ascii="宋体"/>
              </w:rPr>
            </w:pPr>
          </w:p>
        </w:tc>
        <w:tc>
          <w:tcPr>
            <w:tcW w:w="5" w:type="pct"/>
            <w:shd w:val="clear" w:color="auto" w:fill="auto"/>
            <w:vAlign w:val="bottom"/>
          </w:tcPr>
          <w:p w14:paraId="392C8BE1" w14:textId="77777777" w:rsidR="00980E5F" w:rsidRDefault="00980E5F">
            <w:pPr>
              <w:rPr>
                <w:rFonts w:ascii="宋体"/>
              </w:rPr>
            </w:pPr>
          </w:p>
        </w:tc>
        <w:tc>
          <w:tcPr>
            <w:tcW w:w="50" w:type="pct"/>
            <w:shd w:val="clear" w:color="auto" w:fill="auto"/>
            <w:vAlign w:val="bottom"/>
          </w:tcPr>
          <w:p w14:paraId="392C8BE2" w14:textId="77777777" w:rsidR="00980E5F" w:rsidRDefault="00980E5F">
            <w:pPr>
              <w:rPr>
                <w:rFonts w:ascii="宋体"/>
              </w:rPr>
            </w:pPr>
          </w:p>
        </w:tc>
        <w:tc>
          <w:tcPr>
            <w:tcW w:w="917" w:type="pct"/>
            <w:shd w:val="clear" w:color="auto" w:fill="auto"/>
            <w:vAlign w:val="bottom"/>
          </w:tcPr>
          <w:p w14:paraId="392C8BE3" w14:textId="77777777" w:rsidR="00980E5F" w:rsidRDefault="00980E5F">
            <w:pPr>
              <w:rPr>
                <w:rFonts w:ascii="宋体"/>
              </w:rPr>
            </w:pPr>
          </w:p>
        </w:tc>
        <w:tc>
          <w:tcPr>
            <w:tcW w:w="5" w:type="pct"/>
            <w:shd w:val="clear" w:color="auto" w:fill="auto"/>
            <w:vAlign w:val="bottom"/>
          </w:tcPr>
          <w:p w14:paraId="392C8BE4" w14:textId="77777777" w:rsidR="00980E5F" w:rsidRDefault="00980E5F">
            <w:pPr>
              <w:rPr>
                <w:rFonts w:ascii="宋体"/>
              </w:rPr>
            </w:pPr>
          </w:p>
        </w:tc>
        <w:tc>
          <w:tcPr>
            <w:tcW w:w="50" w:type="pct"/>
            <w:shd w:val="clear" w:color="auto" w:fill="auto"/>
            <w:vAlign w:val="bottom"/>
          </w:tcPr>
          <w:p w14:paraId="392C8BE5" w14:textId="77777777" w:rsidR="00980E5F" w:rsidRDefault="00980E5F">
            <w:pPr>
              <w:rPr>
                <w:rFonts w:ascii="宋体"/>
              </w:rPr>
            </w:pPr>
          </w:p>
        </w:tc>
        <w:tc>
          <w:tcPr>
            <w:tcW w:w="493" w:type="pct"/>
            <w:shd w:val="clear" w:color="auto" w:fill="auto"/>
            <w:vAlign w:val="bottom"/>
          </w:tcPr>
          <w:p w14:paraId="392C8BE6" w14:textId="77777777" w:rsidR="00980E5F" w:rsidRDefault="00980E5F">
            <w:pPr>
              <w:rPr>
                <w:rFonts w:ascii="宋体"/>
              </w:rPr>
            </w:pPr>
          </w:p>
        </w:tc>
        <w:tc>
          <w:tcPr>
            <w:tcW w:w="5" w:type="pct"/>
            <w:shd w:val="clear" w:color="auto" w:fill="auto"/>
            <w:vAlign w:val="bottom"/>
          </w:tcPr>
          <w:p w14:paraId="392C8BE7" w14:textId="77777777" w:rsidR="00980E5F" w:rsidRDefault="00980E5F">
            <w:pPr>
              <w:rPr>
                <w:rFonts w:ascii="宋体"/>
              </w:rPr>
            </w:pPr>
          </w:p>
        </w:tc>
      </w:tr>
      <w:tr w:rsidR="00980E5F" w14:paraId="392C8BE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B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BED" w14:textId="77777777" w:rsidR="00980E5F" w:rsidRDefault="00980E5F">
            <w:pPr>
              <w:rPr>
                <w:rFonts w:ascii="宋体"/>
              </w:rPr>
            </w:pPr>
          </w:p>
        </w:tc>
      </w:tr>
    </w:tbl>
    <w:p w14:paraId="392C8BEF" w14:textId="77777777" w:rsidR="00980E5F" w:rsidRDefault="00483613">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392C8BF0"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392C8BF1" w14:textId="77777777" w:rsidR="00980E5F" w:rsidRDefault="00483613">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392C8BF2" w14:textId="77777777" w:rsidR="00980E5F" w:rsidRDefault="00483613">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392C8BF3" w14:textId="77777777" w:rsidR="00980E5F" w:rsidRDefault="00483613">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w:t>
      </w:r>
      <w:r>
        <w:rPr>
          <w:rFonts w:ascii="Arial" w:eastAsia="宋体" w:hAnsi="Arial" w:cs="Arial"/>
          <w:color w:val="000000"/>
          <w:sz w:val="14"/>
          <w:szCs w:val="14"/>
        </w:rPr>
        <w:t>red by collateral not determined to be subject to enforceable netting arrangements.</w:t>
      </w:r>
    </w:p>
    <w:p w14:paraId="392C8BF4" w14:textId="77777777" w:rsidR="00980E5F" w:rsidRDefault="00483613">
      <w:pPr>
        <w:spacing w:before="6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392C8BF5" w14:textId="77777777" w:rsidR="00980E5F" w:rsidRDefault="00483613">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$23.40 billion as of June 30, 2022 were $5.20 billion of resale agreement</w:t>
      </w:r>
      <w:r>
        <w:rPr>
          <w:rFonts w:ascii="Arial" w:eastAsia="宋体" w:hAnsi="Arial" w:cs="Arial"/>
          <w:color w:val="000000"/>
          <w:sz w:val="14"/>
          <w:szCs w:val="14"/>
        </w:rPr>
        <w:t>s and $18.20 billion of collateral provided related to securities borrowing. Included in the $25.31 billion as of December 31, 2021 were $3.01 billion of resale agreements and $22.30 billion of collateral provided related to securities borrowing. Resale ag</w:t>
      </w:r>
      <w:r>
        <w:rPr>
          <w:rFonts w:ascii="Arial" w:eastAsia="宋体" w:hAnsi="Arial" w:cs="Arial"/>
          <w:color w:val="000000"/>
          <w:sz w:val="14"/>
          <w:szCs w:val="14"/>
        </w:rPr>
        <w:t>reements and collateral provided related to securities borrowing were recorded in securities purchased under resale agreements and other assets, respectively, in our consolidated statement of condition. Refer to Note 9 for additional information with respe</w:t>
      </w:r>
      <w:r>
        <w:rPr>
          <w:rFonts w:ascii="Arial" w:eastAsia="宋体" w:hAnsi="Arial" w:cs="Arial"/>
          <w:color w:val="000000"/>
          <w:sz w:val="14"/>
          <w:szCs w:val="14"/>
        </w:rPr>
        <w:t>ct to principal securities finance transactions.</w:t>
      </w:r>
    </w:p>
    <w:p w14:paraId="392C8BF6" w14:textId="77777777" w:rsidR="00980E5F" w:rsidRDefault="00483613">
      <w:pPr>
        <w:spacing w:before="6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392C8BF7" w14:textId="77777777" w:rsidR="00980E5F" w:rsidRDefault="00483613">
      <w:pPr>
        <w:spacing w:before="60"/>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392C8BF8" w14:textId="77777777" w:rsidR="00980E5F" w:rsidRDefault="00483613">
      <w:pPr>
        <w:ind w:firstLine="450"/>
        <w:jc w:val="right"/>
      </w:pPr>
      <w:r>
        <w:rPr>
          <w:rFonts w:ascii="Arial" w:eastAsia="宋体" w:hAnsi="Arial" w:cs="Arial"/>
          <w:color w:val="000000"/>
          <w:sz w:val="18"/>
          <w:szCs w:val="18"/>
        </w:rPr>
        <w:t>State Stre</w:t>
      </w:r>
      <w:r>
        <w:rPr>
          <w:rFonts w:ascii="Arial" w:eastAsia="宋体" w:hAnsi="Arial" w:cs="Arial"/>
          <w:color w:val="000000"/>
          <w:sz w:val="18"/>
          <w:szCs w:val="18"/>
        </w:rPr>
        <w:t>et Corporation | 84</w:t>
      </w:r>
    </w:p>
    <w:p w14:paraId="392C8BF9" w14:textId="77777777" w:rsidR="00980E5F" w:rsidRDefault="00980E5F">
      <w:pPr>
        <w:ind w:firstLine="450"/>
        <w:jc w:val="center"/>
      </w:pPr>
    </w:p>
    <w:p w14:paraId="392C8BFA" w14:textId="77777777" w:rsidR="00980E5F" w:rsidRDefault="00483613">
      <w:r>
        <w:pict w14:anchorId="392CBB22">
          <v:rect id="_x0000_i1108" style="width:415.3pt;height:1.5pt" o:hralign="center" o:hrstd="t" o:hr="t" fillcolor="#a0a0a0" stroked="f"/>
        </w:pict>
      </w:r>
    </w:p>
    <w:p w14:paraId="392C8BFB" w14:textId="77777777" w:rsidR="00980E5F" w:rsidRDefault="00483613">
      <w:pPr>
        <w:ind w:firstLine="450"/>
        <w:jc w:val="center"/>
      </w:pPr>
      <w:r>
        <w:rPr>
          <w:rFonts w:ascii="Arial" w:eastAsia="宋体" w:hAnsi="Arial" w:cs="Arial"/>
          <w:b/>
          <w:bCs/>
          <w:color w:val="000000"/>
          <w:sz w:val="20"/>
          <w:szCs w:val="20"/>
        </w:rPr>
        <w:t>STATE STREET CORPORATION</w:t>
      </w:r>
    </w:p>
    <w:p w14:paraId="392C8BFC"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BFD" w14:textId="77777777" w:rsidR="00980E5F" w:rsidRDefault="00483613">
      <w:pPr>
        <w:ind w:firstLine="450"/>
        <w:jc w:val="center"/>
      </w:pPr>
      <w:r>
        <w:rPr>
          <w:rFonts w:ascii="Arial" w:eastAsia="宋体" w:hAnsi="Arial" w:cs="Arial"/>
          <w:b/>
          <w:bCs/>
          <w:color w:val="000000"/>
          <w:sz w:val="20"/>
          <w:szCs w:val="20"/>
        </w:rPr>
        <w:t>(UNAUDITED)</w:t>
      </w:r>
    </w:p>
    <w:p w14:paraId="392C8BFE" w14:textId="77777777" w:rsidR="00980E5F" w:rsidRDefault="00483613">
      <w:pPr>
        <w:spacing w:before="60"/>
        <w:ind w:firstLine="450"/>
      </w:pPr>
      <w:r>
        <w:rPr>
          <w:rFonts w:ascii="Arial" w:eastAsia="宋体" w:hAnsi="Arial" w:cs="Arial"/>
          <w:color w:val="000000"/>
          <w:sz w:val="20"/>
          <w:szCs w:val="20"/>
        </w:rPr>
        <w:t xml:space="preserve">The following tables present information about the offsetting of liabilities related to derivative contracts and secured financing </w:t>
      </w:r>
      <w:r>
        <w:rPr>
          <w:rFonts w:ascii="Arial" w:eastAsia="宋体" w:hAnsi="Arial" w:cs="Arial"/>
          <w:color w:val="000000"/>
          <w:sz w:val="20"/>
          <w:szCs w:val="20"/>
        </w:rPr>
        <w:t>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980E5F" w14:paraId="392C8C22" w14:textId="77777777">
        <w:tc>
          <w:tcPr>
            <w:tcW w:w="50" w:type="pct"/>
            <w:shd w:val="clear" w:color="auto" w:fill="auto"/>
            <w:vAlign w:val="bottom"/>
          </w:tcPr>
          <w:p w14:paraId="392C8BFF" w14:textId="77777777" w:rsidR="00980E5F" w:rsidRDefault="00980E5F">
            <w:pPr>
              <w:rPr>
                <w:rFonts w:ascii="宋体"/>
              </w:rPr>
            </w:pPr>
          </w:p>
        </w:tc>
        <w:tc>
          <w:tcPr>
            <w:tcW w:w="1165" w:type="pct"/>
            <w:shd w:val="clear" w:color="auto" w:fill="auto"/>
            <w:vAlign w:val="bottom"/>
          </w:tcPr>
          <w:p w14:paraId="392C8C00" w14:textId="77777777" w:rsidR="00980E5F" w:rsidRDefault="00980E5F">
            <w:pPr>
              <w:rPr>
                <w:rFonts w:ascii="宋体"/>
              </w:rPr>
            </w:pPr>
          </w:p>
        </w:tc>
        <w:tc>
          <w:tcPr>
            <w:tcW w:w="5" w:type="pct"/>
            <w:shd w:val="clear" w:color="auto" w:fill="auto"/>
            <w:vAlign w:val="bottom"/>
          </w:tcPr>
          <w:p w14:paraId="392C8C01" w14:textId="77777777" w:rsidR="00980E5F" w:rsidRDefault="00980E5F">
            <w:pPr>
              <w:rPr>
                <w:rFonts w:ascii="宋体"/>
              </w:rPr>
            </w:pPr>
          </w:p>
        </w:tc>
        <w:tc>
          <w:tcPr>
            <w:tcW w:w="50" w:type="pct"/>
            <w:shd w:val="clear" w:color="auto" w:fill="auto"/>
            <w:vAlign w:val="bottom"/>
          </w:tcPr>
          <w:p w14:paraId="392C8C02" w14:textId="77777777" w:rsidR="00980E5F" w:rsidRDefault="00980E5F">
            <w:pPr>
              <w:rPr>
                <w:rFonts w:ascii="宋体"/>
              </w:rPr>
            </w:pPr>
          </w:p>
        </w:tc>
        <w:tc>
          <w:tcPr>
            <w:tcW w:w="639" w:type="pct"/>
            <w:shd w:val="clear" w:color="auto" w:fill="auto"/>
            <w:vAlign w:val="bottom"/>
          </w:tcPr>
          <w:p w14:paraId="392C8C03" w14:textId="77777777" w:rsidR="00980E5F" w:rsidRDefault="00980E5F">
            <w:pPr>
              <w:rPr>
                <w:rFonts w:ascii="宋体"/>
              </w:rPr>
            </w:pPr>
          </w:p>
        </w:tc>
        <w:tc>
          <w:tcPr>
            <w:tcW w:w="5" w:type="pct"/>
            <w:shd w:val="clear" w:color="auto" w:fill="auto"/>
            <w:vAlign w:val="bottom"/>
          </w:tcPr>
          <w:p w14:paraId="392C8C04" w14:textId="77777777" w:rsidR="00980E5F" w:rsidRDefault="00980E5F">
            <w:pPr>
              <w:rPr>
                <w:rFonts w:ascii="宋体"/>
              </w:rPr>
            </w:pPr>
          </w:p>
        </w:tc>
        <w:tc>
          <w:tcPr>
            <w:tcW w:w="5" w:type="pct"/>
            <w:shd w:val="clear" w:color="auto" w:fill="auto"/>
            <w:vAlign w:val="bottom"/>
          </w:tcPr>
          <w:p w14:paraId="392C8C05" w14:textId="77777777" w:rsidR="00980E5F" w:rsidRDefault="00980E5F">
            <w:pPr>
              <w:rPr>
                <w:rFonts w:ascii="宋体"/>
              </w:rPr>
            </w:pPr>
          </w:p>
        </w:tc>
        <w:tc>
          <w:tcPr>
            <w:tcW w:w="26" w:type="pct"/>
            <w:shd w:val="clear" w:color="auto" w:fill="auto"/>
            <w:vAlign w:val="bottom"/>
          </w:tcPr>
          <w:p w14:paraId="392C8C06" w14:textId="77777777" w:rsidR="00980E5F" w:rsidRDefault="00980E5F">
            <w:pPr>
              <w:rPr>
                <w:rFonts w:ascii="宋体"/>
              </w:rPr>
            </w:pPr>
          </w:p>
        </w:tc>
        <w:tc>
          <w:tcPr>
            <w:tcW w:w="5" w:type="pct"/>
            <w:shd w:val="clear" w:color="auto" w:fill="auto"/>
            <w:vAlign w:val="bottom"/>
          </w:tcPr>
          <w:p w14:paraId="392C8C07" w14:textId="77777777" w:rsidR="00980E5F" w:rsidRDefault="00980E5F">
            <w:pPr>
              <w:rPr>
                <w:rFonts w:ascii="宋体"/>
              </w:rPr>
            </w:pPr>
          </w:p>
        </w:tc>
        <w:tc>
          <w:tcPr>
            <w:tcW w:w="50" w:type="pct"/>
            <w:shd w:val="clear" w:color="auto" w:fill="auto"/>
            <w:vAlign w:val="bottom"/>
          </w:tcPr>
          <w:p w14:paraId="392C8C08" w14:textId="77777777" w:rsidR="00980E5F" w:rsidRDefault="00980E5F">
            <w:pPr>
              <w:rPr>
                <w:rFonts w:ascii="宋体"/>
              </w:rPr>
            </w:pPr>
          </w:p>
        </w:tc>
        <w:tc>
          <w:tcPr>
            <w:tcW w:w="756" w:type="pct"/>
            <w:shd w:val="clear" w:color="auto" w:fill="auto"/>
            <w:vAlign w:val="bottom"/>
          </w:tcPr>
          <w:p w14:paraId="392C8C09" w14:textId="77777777" w:rsidR="00980E5F" w:rsidRDefault="00980E5F">
            <w:pPr>
              <w:rPr>
                <w:rFonts w:ascii="宋体"/>
              </w:rPr>
            </w:pPr>
          </w:p>
        </w:tc>
        <w:tc>
          <w:tcPr>
            <w:tcW w:w="5" w:type="pct"/>
            <w:shd w:val="clear" w:color="auto" w:fill="auto"/>
            <w:vAlign w:val="bottom"/>
          </w:tcPr>
          <w:p w14:paraId="392C8C0A" w14:textId="77777777" w:rsidR="00980E5F" w:rsidRDefault="00980E5F">
            <w:pPr>
              <w:rPr>
                <w:rFonts w:ascii="宋体"/>
              </w:rPr>
            </w:pPr>
          </w:p>
        </w:tc>
        <w:tc>
          <w:tcPr>
            <w:tcW w:w="5" w:type="pct"/>
            <w:shd w:val="clear" w:color="auto" w:fill="auto"/>
            <w:vAlign w:val="bottom"/>
          </w:tcPr>
          <w:p w14:paraId="392C8C0B" w14:textId="77777777" w:rsidR="00980E5F" w:rsidRDefault="00980E5F">
            <w:pPr>
              <w:rPr>
                <w:rFonts w:ascii="宋体"/>
              </w:rPr>
            </w:pPr>
          </w:p>
        </w:tc>
        <w:tc>
          <w:tcPr>
            <w:tcW w:w="26" w:type="pct"/>
            <w:shd w:val="clear" w:color="auto" w:fill="auto"/>
            <w:vAlign w:val="bottom"/>
          </w:tcPr>
          <w:p w14:paraId="392C8C0C" w14:textId="77777777" w:rsidR="00980E5F" w:rsidRDefault="00980E5F">
            <w:pPr>
              <w:rPr>
                <w:rFonts w:ascii="宋体"/>
              </w:rPr>
            </w:pPr>
          </w:p>
        </w:tc>
        <w:tc>
          <w:tcPr>
            <w:tcW w:w="5" w:type="pct"/>
            <w:shd w:val="clear" w:color="auto" w:fill="auto"/>
            <w:vAlign w:val="bottom"/>
          </w:tcPr>
          <w:p w14:paraId="392C8C0D" w14:textId="77777777" w:rsidR="00980E5F" w:rsidRDefault="00980E5F">
            <w:pPr>
              <w:rPr>
                <w:rFonts w:ascii="宋体"/>
              </w:rPr>
            </w:pPr>
          </w:p>
        </w:tc>
        <w:tc>
          <w:tcPr>
            <w:tcW w:w="50" w:type="pct"/>
            <w:shd w:val="clear" w:color="auto" w:fill="auto"/>
            <w:vAlign w:val="bottom"/>
          </w:tcPr>
          <w:p w14:paraId="392C8C0E" w14:textId="77777777" w:rsidR="00980E5F" w:rsidRDefault="00980E5F">
            <w:pPr>
              <w:rPr>
                <w:rFonts w:ascii="宋体"/>
              </w:rPr>
            </w:pPr>
          </w:p>
        </w:tc>
        <w:tc>
          <w:tcPr>
            <w:tcW w:w="814" w:type="pct"/>
            <w:shd w:val="clear" w:color="auto" w:fill="auto"/>
            <w:vAlign w:val="bottom"/>
          </w:tcPr>
          <w:p w14:paraId="392C8C0F" w14:textId="77777777" w:rsidR="00980E5F" w:rsidRDefault="00980E5F">
            <w:pPr>
              <w:rPr>
                <w:rFonts w:ascii="宋体"/>
              </w:rPr>
            </w:pPr>
          </w:p>
        </w:tc>
        <w:tc>
          <w:tcPr>
            <w:tcW w:w="5" w:type="pct"/>
            <w:shd w:val="clear" w:color="auto" w:fill="auto"/>
            <w:vAlign w:val="bottom"/>
          </w:tcPr>
          <w:p w14:paraId="392C8C10" w14:textId="77777777" w:rsidR="00980E5F" w:rsidRDefault="00980E5F">
            <w:pPr>
              <w:rPr>
                <w:rFonts w:ascii="宋体"/>
              </w:rPr>
            </w:pPr>
          </w:p>
        </w:tc>
        <w:tc>
          <w:tcPr>
            <w:tcW w:w="5" w:type="pct"/>
            <w:shd w:val="clear" w:color="auto" w:fill="auto"/>
            <w:vAlign w:val="bottom"/>
          </w:tcPr>
          <w:p w14:paraId="392C8C11" w14:textId="77777777" w:rsidR="00980E5F" w:rsidRDefault="00980E5F">
            <w:pPr>
              <w:rPr>
                <w:rFonts w:ascii="宋体"/>
              </w:rPr>
            </w:pPr>
          </w:p>
        </w:tc>
        <w:tc>
          <w:tcPr>
            <w:tcW w:w="26" w:type="pct"/>
            <w:shd w:val="clear" w:color="auto" w:fill="auto"/>
            <w:vAlign w:val="bottom"/>
          </w:tcPr>
          <w:p w14:paraId="392C8C12" w14:textId="77777777" w:rsidR="00980E5F" w:rsidRDefault="00980E5F">
            <w:pPr>
              <w:rPr>
                <w:rFonts w:ascii="宋体"/>
              </w:rPr>
            </w:pPr>
          </w:p>
        </w:tc>
        <w:tc>
          <w:tcPr>
            <w:tcW w:w="5" w:type="pct"/>
            <w:shd w:val="clear" w:color="auto" w:fill="auto"/>
            <w:vAlign w:val="bottom"/>
          </w:tcPr>
          <w:p w14:paraId="392C8C13" w14:textId="77777777" w:rsidR="00980E5F" w:rsidRDefault="00980E5F">
            <w:pPr>
              <w:rPr>
                <w:rFonts w:ascii="宋体"/>
              </w:rPr>
            </w:pPr>
          </w:p>
        </w:tc>
        <w:tc>
          <w:tcPr>
            <w:tcW w:w="50" w:type="pct"/>
            <w:shd w:val="clear" w:color="auto" w:fill="auto"/>
            <w:vAlign w:val="bottom"/>
          </w:tcPr>
          <w:p w14:paraId="392C8C14" w14:textId="77777777" w:rsidR="00980E5F" w:rsidRDefault="00980E5F">
            <w:pPr>
              <w:rPr>
                <w:rFonts w:ascii="宋体"/>
              </w:rPr>
            </w:pPr>
          </w:p>
        </w:tc>
        <w:tc>
          <w:tcPr>
            <w:tcW w:w="668" w:type="pct"/>
            <w:shd w:val="clear" w:color="auto" w:fill="auto"/>
            <w:vAlign w:val="bottom"/>
          </w:tcPr>
          <w:p w14:paraId="392C8C15" w14:textId="77777777" w:rsidR="00980E5F" w:rsidRDefault="00980E5F">
            <w:pPr>
              <w:rPr>
                <w:rFonts w:ascii="宋体"/>
              </w:rPr>
            </w:pPr>
          </w:p>
        </w:tc>
        <w:tc>
          <w:tcPr>
            <w:tcW w:w="5" w:type="pct"/>
            <w:shd w:val="clear" w:color="auto" w:fill="auto"/>
            <w:vAlign w:val="bottom"/>
          </w:tcPr>
          <w:p w14:paraId="392C8C16" w14:textId="77777777" w:rsidR="00980E5F" w:rsidRDefault="00980E5F">
            <w:pPr>
              <w:rPr>
                <w:rFonts w:ascii="宋体"/>
              </w:rPr>
            </w:pPr>
          </w:p>
        </w:tc>
        <w:tc>
          <w:tcPr>
            <w:tcW w:w="5" w:type="pct"/>
            <w:shd w:val="clear" w:color="auto" w:fill="auto"/>
            <w:vAlign w:val="bottom"/>
          </w:tcPr>
          <w:p w14:paraId="392C8C17" w14:textId="77777777" w:rsidR="00980E5F" w:rsidRDefault="00980E5F">
            <w:pPr>
              <w:rPr>
                <w:rFonts w:ascii="宋体"/>
              </w:rPr>
            </w:pPr>
          </w:p>
        </w:tc>
        <w:tc>
          <w:tcPr>
            <w:tcW w:w="26" w:type="pct"/>
            <w:shd w:val="clear" w:color="auto" w:fill="auto"/>
            <w:vAlign w:val="bottom"/>
          </w:tcPr>
          <w:p w14:paraId="392C8C18" w14:textId="77777777" w:rsidR="00980E5F" w:rsidRDefault="00980E5F">
            <w:pPr>
              <w:rPr>
                <w:rFonts w:ascii="宋体"/>
              </w:rPr>
            </w:pPr>
          </w:p>
        </w:tc>
        <w:tc>
          <w:tcPr>
            <w:tcW w:w="5" w:type="pct"/>
            <w:shd w:val="clear" w:color="auto" w:fill="auto"/>
            <w:vAlign w:val="bottom"/>
          </w:tcPr>
          <w:p w14:paraId="392C8C19" w14:textId="77777777" w:rsidR="00980E5F" w:rsidRDefault="00980E5F">
            <w:pPr>
              <w:rPr>
                <w:rFonts w:ascii="宋体"/>
              </w:rPr>
            </w:pPr>
          </w:p>
        </w:tc>
        <w:tc>
          <w:tcPr>
            <w:tcW w:w="50" w:type="pct"/>
            <w:shd w:val="clear" w:color="auto" w:fill="auto"/>
            <w:vAlign w:val="bottom"/>
          </w:tcPr>
          <w:p w14:paraId="392C8C1A" w14:textId="77777777" w:rsidR="00980E5F" w:rsidRDefault="00980E5F">
            <w:pPr>
              <w:rPr>
                <w:rFonts w:ascii="宋体"/>
              </w:rPr>
            </w:pPr>
          </w:p>
        </w:tc>
        <w:tc>
          <w:tcPr>
            <w:tcW w:w="478" w:type="pct"/>
            <w:shd w:val="clear" w:color="auto" w:fill="auto"/>
            <w:vAlign w:val="bottom"/>
          </w:tcPr>
          <w:p w14:paraId="392C8C1B" w14:textId="77777777" w:rsidR="00980E5F" w:rsidRDefault="00980E5F">
            <w:pPr>
              <w:rPr>
                <w:rFonts w:ascii="宋体"/>
              </w:rPr>
            </w:pPr>
          </w:p>
        </w:tc>
        <w:tc>
          <w:tcPr>
            <w:tcW w:w="5" w:type="pct"/>
            <w:shd w:val="clear" w:color="auto" w:fill="auto"/>
            <w:vAlign w:val="bottom"/>
          </w:tcPr>
          <w:p w14:paraId="392C8C1C" w14:textId="77777777" w:rsidR="00980E5F" w:rsidRDefault="00980E5F">
            <w:pPr>
              <w:rPr>
                <w:rFonts w:ascii="宋体"/>
              </w:rPr>
            </w:pPr>
          </w:p>
        </w:tc>
        <w:tc>
          <w:tcPr>
            <w:tcW w:w="0" w:type="auto"/>
            <w:shd w:val="clear" w:color="auto" w:fill="auto"/>
            <w:vAlign w:val="bottom"/>
          </w:tcPr>
          <w:p w14:paraId="392C8C1D" w14:textId="77777777" w:rsidR="00980E5F" w:rsidRDefault="00980E5F">
            <w:pPr>
              <w:rPr>
                <w:rFonts w:ascii="宋体"/>
                <w:vanish/>
              </w:rPr>
            </w:pPr>
          </w:p>
        </w:tc>
        <w:tc>
          <w:tcPr>
            <w:tcW w:w="0" w:type="auto"/>
            <w:gridSpan w:val="3"/>
            <w:shd w:val="clear" w:color="auto" w:fill="auto"/>
            <w:vAlign w:val="bottom"/>
          </w:tcPr>
          <w:p w14:paraId="392C8C1E" w14:textId="77777777" w:rsidR="00980E5F" w:rsidRDefault="00980E5F">
            <w:pPr>
              <w:rPr>
                <w:rFonts w:ascii="宋体"/>
                <w:vanish/>
              </w:rPr>
            </w:pPr>
          </w:p>
        </w:tc>
        <w:tc>
          <w:tcPr>
            <w:tcW w:w="0" w:type="auto"/>
            <w:gridSpan w:val="3"/>
            <w:shd w:val="clear" w:color="auto" w:fill="auto"/>
            <w:vAlign w:val="bottom"/>
          </w:tcPr>
          <w:p w14:paraId="392C8C1F" w14:textId="77777777" w:rsidR="00980E5F" w:rsidRDefault="00980E5F">
            <w:pPr>
              <w:rPr>
                <w:rFonts w:ascii="宋体"/>
                <w:vanish/>
              </w:rPr>
            </w:pPr>
          </w:p>
        </w:tc>
        <w:tc>
          <w:tcPr>
            <w:tcW w:w="0" w:type="auto"/>
            <w:gridSpan w:val="3"/>
            <w:shd w:val="clear" w:color="auto" w:fill="auto"/>
            <w:vAlign w:val="bottom"/>
          </w:tcPr>
          <w:p w14:paraId="392C8C20" w14:textId="77777777" w:rsidR="00980E5F" w:rsidRDefault="00980E5F">
            <w:pPr>
              <w:rPr>
                <w:rFonts w:ascii="宋体"/>
                <w:vanish/>
              </w:rPr>
            </w:pPr>
          </w:p>
        </w:tc>
        <w:tc>
          <w:tcPr>
            <w:tcW w:w="0" w:type="auto"/>
            <w:gridSpan w:val="3"/>
            <w:shd w:val="clear" w:color="auto" w:fill="auto"/>
            <w:vAlign w:val="bottom"/>
          </w:tcPr>
          <w:p w14:paraId="392C8C21" w14:textId="77777777" w:rsidR="00980E5F" w:rsidRDefault="00980E5F">
            <w:pPr>
              <w:rPr>
                <w:rFonts w:ascii="宋体"/>
                <w:vanish/>
              </w:rPr>
            </w:pPr>
          </w:p>
        </w:tc>
      </w:tr>
      <w:tr w:rsidR="00980E5F" w14:paraId="392C8C32" w14:textId="77777777">
        <w:tc>
          <w:tcPr>
            <w:tcW w:w="0" w:type="auto"/>
            <w:gridSpan w:val="3"/>
            <w:shd w:val="clear" w:color="auto" w:fill="auto"/>
            <w:tcMar>
              <w:top w:w="40" w:type="dxa"/>
              <w:left w:w="20" w:type="dxa"/>
              <w:bottom w:w="40" w:type="dxa"/>
              <w:right w:w="20" w:type="dxa"/>
            </w:tcMar>
            <w:vAlign w:val="bottom"/>
          </w:tcPr>
          <w:p w14:paraId="392C8C23" w14:textId="77777777" w:rsidR="00980E5F" w:rsidRDefault="00483613">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92C8C24" w14:textId="77777777" w:rsidR="00980E5F" w:rsidRDefault="00483613">
            <w:pPr>
              <w:jc w:val="center"/>
              <w:textAlignment w:val="bottom"/>
            </w:pPr>
            <w:r>
              <w:rPr>
                <w:rFonts w:ascii="Arial" w:eastAsia="宋体" w:hAnsi="Arial" w:cs="Arial"/>
                <w:b/>
                <w:bCs/>
                <w:color w:val="000000"/>
                <w:sz w:val="15"/>
                <w:szCs w:val="15"/>
              </w:rPr>
              <w:t>June 30, 2022</w:t>
            </w:r>
          </w:p>
        </w:tc>
        <w:tc>
          <w:tcPr>
            <w:tcW w:w="0" w:type="auto"/>
            <w:shd w:val="clear" w:color="auto" w:fill="auto"/>
            <w:vAlign w:val="bottom"/>
          </w:tcPr>
          <w:p w14:paraId="392C8C25" w14:textId="77777777" w:rsidR="00980E5F" w:rsidRDefault="00980E5F">
            <w:pPr>
              <w:rPr>
                <w:rFonts w:ascii="宋体"/>
                <w:vanish/>
              </w:rPr>
            </w:pPr>
          </w:p>
        </w:tc>
        <w:tc>
          <w:tcPr>
            <w:tcW w:w="0" w:type="auto"/>
            <w:shd w:val="clear" w:color="auto" w:fill="auto"/>
            <w:vAlign w:val="bottom"/>
          </w:tcPr>
          <w:p w14:paraId="392C8C26" w14:textId="77777777" w:rsidR="00980E5F" w:rsidRDefault="00980E5F">
            <w:pPr>
              <w:rPr>
                <w:rFonts w:ascii="宋体"/>
              </w:rPr>
            </w:pPr>
          </w:p>
        </w:tc>
        <w:tc>
          <w:tcPr>
            <w:tcW w:w="0" w:type="auto"/>
            <w:shd w:val="clear" w:color="auto" w:fill="auto"/>
            <w:vAlign w:val="bottom"/>
          </w:tcPr>
          <w:p w14:paraId="392C8C27" w14:textId="77777777" w:rsidR="00980E5F" w:rsidRDefault="00980E5F">
            <w:pPr>
              <w:rPr>
                <w:rFonts w:ascii="宋体"/>
              </w:rPr>
            </w:pPr>
          </w:p>
        </w:tc>
        <w:tc>
          <w:tcPr>
            <w:tcW w:w="0" w:type="auto"/>
            <w:shd w:val="clear" w:color="auto" w:fill="auto"/>
            <w:vAlign w:val="bottom"/>
          </w:tcPr>
          <w:p w14:paraId="392C8C28" w14:textId="77777777" w:rsidR="00980E5F" w:rsidRDefault="00980E5F">
            <w:pPr>
              <w:rPr>
                <w:rFonts w:ascii="宋体"/>
              </w:rPr>
            </w:pPr>
          </w:p>
        </w:tc>
        <w:tc>
          <w:tcPr>
            <w:tcW w:w="0" w:type="auto"/>
            <w:shd w:val="clear" w:color="auto" w:fill="auto"/>
            <w:vAlign w:val="bottom"/>
          </w:tcPr>
          <w:p w14:paraId="392C8C29" w14:textId="77777777" w:rsidR="00980E5F" w:rsidRDefault="00980E5F">
            <w:pPr>
              <w:rPr>
                <w:rFonts w:ascii="宋体"/>
              </w:rPr>
            </w:pPr>
          </w:p>
        </w:tc>
        <w:tc>
          <w:tcPr>
            <w:tcW w:w="0" w:type="auto"/>
            <w:shd w:val="clear" w:color="auto" w:fill="auto"/>
            <w:vAlign w:val="bottom"/>
          </w:tcPr>
          <w:p w14:paraId="392C8C2A" w14:textId="77777777" w:rsidR="00980E5F" w:rsidRDefault="00980E5F">
            <w:pPr>
              <w:rPr>
                <w:rFonts w:ascii="宋体"/>
              </w:rPr>
            </w:pPr>
          </w:p>
        </w:tc>
        <w:tc>
          <w:tcPr>
            <w:tcW w:w="0" w:type="auto"/>
            <w:shd w:val="clear" w:color="auto" w:fill="auto"/>
            <w:vAlign w:val="bottom"/>
          </w:tcPr>
          <w:p w14:paraId="392C8C2B" w14:textId="77777777" w:rsidR="00980E5F" w:rsidRDefault="00980E5F">
            <w:pPr>
              <w:rPr>
                <w:rFonts w:ascii="宋体"/>
              </w:rPr>
            </w:pPr>
          </w:p>
        </w:tc>
        <w:tc>
          <w:tcPr>
            <w:tcW w:w="0" w:type="auto"/>
            <w:shd w:val="clear" w:color="auto" w:fill="auto"/>
            <w:vAlign w:val="bottom"/>
          </w:tcPr>
          <w:p w14:paraId="392C8C2C" w14:textId="77777777" w:rsidR="00980E5F" w:rsidRDefault="00980E5F">
            <w:pPr>
              <w:rPr>
                <w:rFonts w:ascii="宋体"/>
              </w:rPr>
            </w:pPr>
          </w:p>
        </w:tc>
        <w:tc>
          <w:tcPr>
            <w:tcW w:w="0" w:type="auto"/>
            <w:shd w:val="clear" w:color="auto" w:fill="auto"/>
            <w:vAlign w:val="bottom"/>
          </w:tcPr>
          <w:p w14:paraId="392C8C2D" w14:textId="77777777" w:rsidR="00980E5F" w:rsidRDefault="00980E5F">
            <w:pPr>
              <w:rPr>
                <w:rFonts w:ascii="宋体"/>
              </w:rPr>
            </w:pPr>
          </w:p>
        </w:tc>
        <w:tc>
          <w:tcPr>
            <w:tcW w:w="0" w:type="auto"/>
            <w:shd w:val="clear" w:color="auto" w:fill="auto"/>
            <w:vAlign w:val="bottom"/>
          </w:tcPr>
          <w:p w14:paraId="392C8C2E" w14:textId="77777777" w:rsidR="00980E5F" w:rsidRDefault="00980E5F">
            <w:pPr>
              <w:rPr>
                <w:rFonts w:ascii="宋体"/>
              </w:rPr>
            </w:pPr>
          </w:p>
        </w:tc>
        <w:tc>
          <w:tcPr>
            <w:tcW w:w="0" w:type="auto"/>
            <w:shd w:val="clear" w:color="auto" w:fill="auto"/>
            <w:vAlign w:val="bottom"/>
          </w:tcPr>
          <w:p w14:paraId="392C8C2F" w14:textId="77777777" w:rsidR="00980E5F" w:rsidRDefault="00980E5F">
            <w:pPr>
              <w:rPr>
                <w:rFonts w:ascii="宋体"/>
              </w:rPr>
            </w:pPr>
          </w:p>
        </w:tc>
        <w:tc>
          <w:tcPr>
            <w:tcW w:w="0" w:type="auto"/>
            <w:shd w:val="clear" w:color="auto" w:fill="auto"/>
            <w:vAlign w:val="bottom"/>
          </w:tcPr>
          <w:p w14:paraId="392C8C30" w14:textId="77777777" w:rsidR="00980E5F" w:rsidRDefault="00980E5F">
            <w:pPr>
              <w:rPr>
                <w:rFonts w:ascii="宋体"/>
              </w:rPr>
            </w:pPr>
          </w:p>
        </w:tc>
        <w:tc>
          <w:tcPr>
            <w:tcW w:w="0" w:type="auto"/>
            <w:shd w:val="clear" w:color="auto" w:fill="auto"/>
            <w:vAlign w:val="bottom"/>
          </w:tcPr>
          <w:p w14:paraId="392C8C31" w14:textId="77777777" w:rsidR="00980E5F" w:rsidRDefault="00980E5F">
            <w:pPr>
              <w:rPr>
                <w:rFonts w:ascii="宋体"/>
              </w:rPr>
            </w:pPr>
          </w:p>
        </w:tc>
      </w:tr>
      <w:tr w:rsidR="00980E5F" w14:paraId="392C8C40" w14:textId="77777777">
        <w:trPr>
          <w:trHeight w:val="400"/>
        </w:trPr>
        <w:tc>
          <w:tcPr>
            <w:tcW w:w="0" w:type="auto"/>
            <w:gridSpan w:val="3"/>
            <w:shd w:val="clear" w:color="auto" w:fill="auto"/>
            <w:tcMar>
              <w:top w:w="0" w:type="dxa"/>
              <w:left w:w="20" w:type="dxa"/>
              <w:bottom w:w="0" w:type="dxa"/>
              <w:right w:w="20" w:type="dxa"/>
            </w:tcMar>
            <w:vAlign w:val="bottom"/>
          </w:tcPr>
          <w:p w14:paraId="392C8C33" w14:textId="77777777" w:rsidR="00980E5F" w:rsidRDefault="00980E5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C34" w14:textId="77777777" w:rsidR="00980E5F" w:rsidRDefault="00483613">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35" w14:textId="77777777" w:rsidR="00980E5F" w:rsidRDefault="00980E5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C36" w14:textId="77777777" w:rsidR="00980E5F" w:rsidRDefault="00483613">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37"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C38" w14:textId="77777777" w:rsidR="00980E5F" w:rsidRDefault="00483613">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39"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C3A" w14:textId="77777777" w:rsidR="00980E5F" w:rsidRDefault="00483613">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392C8C3B" w14:textId="77777777" w:rsidR="00980E5F" w:rsidRDefault="00980E5F">
            <w:pPr>
              <w:rPr>
                <w:rFonts w:ascii="宋体"/>
                <w:vanish/>
              </w:rPr>
            </w:pPr>
          </w:p>
        </w:tc>
        <w:tc>
          <w:tcPr>
            <w:tcW w:w="0" w:type="auto"/>
            <w:gridSpan w:val="3"/>
            <w:shd w:val="clear" w:color="auto" w:fill="auto"/>
            <w:vAlign w:val="bottom"/>
          </w:tcPr>
          <w:p w14:paraId="392C8C3C" w14:textId="77777777" w:rsidR="00980E5F" w:rsidRDefault="00980E5F">
            <w:pPr>
              <w:rPr>
                <w:rFonts w:ascii="宋体"/>
                <w:vanish/>
              </w:rPr>
            </w:pPr>
          </w:p>
        </w:tc>
        <w:tc>
          <w:tcPr>
            <w:tcW w:w="0" w:type="auto"/>
            <w:gridSpan w:val="3"/>
            <w:shd w:val="clear" w:color="auto" w:fill="auto"/>
            <w:vAlign w:val="bottom"/>
          </w:tcPr>
          <w:p w14:paraId="392C8C3D" w14:textId="77777777" w:rsidR="00980E5F" w:rsidRDefault="00980E5F">
            <w:pPr>
              <w:rPr>
                <w:rFonts w:ascii="宋体"/>
                <w:vanish/>
              </w:rPr>
            </w:pPr>
          </w:p>
        </w:tc>
        <w:tc>
          <w:tcPr>
            <w:tcW w:w="0" w:type="auto"/>
            <w:gridSpan w:val="3"/>
            <w:shd w:val="clear" w:color="auto" w:fill="auto"/>
            <w:vAlign w:val="bottom"/>
          </w:tcPr>
          <w:p w14:paraId="392C8C3E" w14:textId="77777777" w:rsidR="00980E5F" w:rsidRDefault="00980E5F">
            <w:pPr>
              <w:rPr>
                <w:rFonts w:ascii="宋体"/>
                <w:vanish/>
              </w:rPr>
            </w:pPr>
          </w:p>
        </w:tc>
        <w:tc>
          <w:tcPr>
            <w:tcW w:w="0" w:type="auto"/>
            <w:gridSpan w:val="3"/>
            <w:shd w:val="clear" w:color="auto" w:fill="auto"/>
            <w:vAlign w:val="bottom"/>
          </w:tcPr>
          <w:p w14:paraId="392C8C3F" w14:textId="77777777" w:rsidR="00980E5F" w:rsidRDefault="00980E5F">
            <w:pPr>
              <w:rPr>
                <w:rFonts w:ascii="宋体"/>
                <w:vanish/>
              </w:rPr>
            </w:pPr>
          </w:p>
        </w:tc>
      </w:tr>
      <w:tr w:rsidR="00980E5F" w14:paraId="392C8C50" w14:textId="77777777">
        <w:trPr>
          <w:trHeight w:val="540"/>
        </w:trPr>
        <w:tc>
          <w:tcPr>
            <w:tcW w:w="0" w:type="auto"/>
            <w:gridSpan w:val="3"/>
            <w:shd w:val="clear" w:color="auto" w:fill="auto"/>
            <w:tcMar>
              <w:top w:w="40" w:type="dxa"/>
              <w:left w:w="20" w:type="dxa"/>
              <w:bottom w:w="40" w:type="dxa"/>
              <w:right w:w="20" w:type="dxa"/>
            </w:tcMar>
            <w:vAlign w:val="bottom"/>
          </w:tcPr>
          <w:p w14:paraId="392C8C41"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C4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C43" w14:textId="77777777" w:rsidR="00980E5F" w:rsidRDefault="00980E5F">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8C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C45"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C46"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C4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C48" w14:textId="77777777" w:rsidR="00980E5F" w:rsidRDefault="00483613">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4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C4A" w14:textId="77777777" w:rsidR="00980E5F" w:rsidRDefault="00483613">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392C8C4B" w14:textId="77777777" w:rsidR="00980E5F" w:rsidRDefault="00980E5F">
            <w:pPr>
              <w:rPr>
                <w:rFonts w:ascii="宋体"/>
                <w:vanish/>
              </w:rPr>
            </w:pPr>
          </w:p>
        </w:tc>
        <w:tc>
          <w:tcPr>
            <w:tcW w:w="0" w:type="auto"/>
            <w:gridSpan w:val="3"/>
            <w:shd w:val="clear" w:color="auto" w:fill="auto"/>
            <w:vAlign w:val="bottom"/>
          </w:tcPr>
          <w:p w14:paraId="392C8C4C" w14:textId="77777777" w:rsidR="00980E5F" w:rsidRDefault="00980E5F">
            <w:pPr>
              <w:rPr>
                <w:rFonts w:ascii="宋体"/>
                <w:vanish/>
              </w:rPr>
            </w:pPr>
          </w:p>
        </w:tc>
        <w:tc>
          <w:tcPr>
            <w:tcW w:w="0" w:type="auto"/>
            <w:gridSpan w:val="3"/>
            <w:shd w:val="clear" w:color="auto" w:fill="auto"/>
            <w:vAlign w:val="bottom"/>
          </w:tcPr>
          <w:p w14:paraId="392C8C4D" w14:textId="77777777" w:rsidR="00980E5F" w:rsidRDefault="00980E5F">
            <w:pPr>
              <w:rPr>
                <w:rFonts w:ascii="宋体"/>
                <w:vanish/>
              </w:rPr>
            </w:pPr>
          </w:p>
        </w:tc>
        <w:tc>
          <w:tcPr>
            <w:tcW w:w="0" w:type="auto"/>
            <w:gridSpan w:val="3"/>
            <w:shd w:val="clear" w:color="auto" w:fill="auto"/>
            <w:vAlign w:val="bottom"/>
          </w:tcPr>
          <w:p w14:paraId="392C8C4E" w14:textId="77777777" w:rsidR="00980E5F" w:rsidRDefault="00980E5F">
            <w:pPr>
              <w:rPr>
                <w:rFonts w:ascii="宋体"/>
                <w:vanish/>
              </w:rPr>
            </w:pPr>
          </w:p>
        </w:tc>
        <w:tc>
          <w:tcPr>
            <w:tcW w:w="0" w:type="auto"/>
            <w:gridSpan w:val="3"/>
            <w:shd w:val="clear" w:color="auto" w:fill="auto"/>
            <w:vAlign w:val="bottom"/>
          </w:tcPr>
          <w:p w14:paraId="392C8C4F" w14:textId="77777777" w:rsidR="00980E5F" w:rsidRDefault="00980E5F">
            <w:pPr>
              <w:rPr>
                <w:rFonts w:ascii="宋体"/>
                <w:vanish/>
              </w:rPr>
            </w:pPr>
          </w:p>
        </w:tc>
      </w:tr>
      <w:tr w:rsidR="00980E5F" w14:paraId="392C8C5D" w14:textId="77777777">
        <w:tc>
          <w:tcPr>
            <w:tcW w:w="0" w:type="auto"/>
            <w:gridSpan w:val="12"/>
            <w:shd w:val="clear" w:color="auto" w:fill="auto"/>
            <w:tcMar>
              <w:top w:w="40" w:type="dxa"/>
              <w:left w:w="20" w:type="dxa"/>
              <w:bottom w:w="40" w:type="dxa"/>
              <w:right w:w="20" w:type="dxa"/>
            </w:tcMar>
            <w:vAlign w:val="bottom"/>
          </w:tcPr>
          <w:p w14:paraId="392C8C51" w14:textId="77777777" w:rsidR="00980E5F" w:rsidRDefault="00483613">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392C8C5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5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C5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5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C5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C57" w14:textId="77777777" w:rsidR="00980E5F" w:rsidRDefault="00980E5F">
            <w:pPr>
              <w:rPr>
                <w:rFonts w:ascii="宋体"/>
              </w:rPr>
            </w:pPr>
          </w:p>
        </w:tc>
        <w:tc>
          <w:tcPr>
            <w:tcW w:w="0" w:type="auto"/>
            <w:shd w:val="clear" w:color="auto" w:fill="auto"/>
            <w:vAlign w:val="bottom"/>
          </w:tcPr>
          <w:p w14:paraId="392C8C58" w14:textId="77777777" w:rsidR="00980E5F" w:rsidRDefault="00980E5F">
            <w:pPr>
              <w:rPr>
                <w:rFonts w:ascii="宋体"/>
                <w:vanish/>
              </w:rPr>
            </w:pPr>
          </w:p>
        </w:tc>
        <w:tc>
          <w:tcPr>
            <w:tcW w:w="0" w:type="auto"/>
            <w:gridSpan w:val="3"/>
            <w:shd w:val="clear" w:color="auto" w:fill="auto"/>
            <w:vAlign w:val="bottom"/>
          </w:tcPr>
          <w:p w14:paraId="392C8C59" w14:textId="77777777" w:rsidR="00980E5F" w:rsidRDefault="00980E5F">
            <w:pPr>
              <w:rPr>
                <w:rFonts w:ascii="宋体"/>
                <w:vanish/>
              </w:rPr>
            </w:pPr>
          </w:p>
        </w:tc>
        <w:tc>
          <w:tcPr>
            <w:tcW w:w="0" w:type="auto"/>
            <w:gridSpan w:val="3"/>
            <w:shd w:val="clear" w:color="auto" w:fill="auto"/>
            <w:vAlign w:val="bottom"/>
          </w:tcPr>
          <w:p w14:paraId="392C8C5A" w14:textId="77777777" w:rsidR="00980E5F" w:rsidRDefault="00980E5F">
            <w:pPr>
              <w:rPr>
                <w:rFonts w:ascii="宋体"/>
                <w:vanish/>
              </w:rPr>
            </w:pPr>
          </w:p>
        </w:tc>
        <w:tc>
          <w:tcPr>
            <w:tcW w:w="0" w:type="auto"/>
            <w:gridSpan w:val="3"/>
            <w:shd w:val="clear" w:color="auto" w:fill="auto"/>
            <w:vAlign w:val="bottom"/>
          </w:tcPr>
          <w:p w14:paraId="392C8C5B" w14:textId="77777777" w:rsidR="00980E5F" w:rsidRDefault="00980E5F">
            <w:pPr>
              <w:rPr>
                <w:rFonts w:ascii="宋体"/>
                <w:vanish/>
              </w:rPr>
            </w:pPr>
          </w:p>
        </w:tc>
        <w:tc>
          <w:tcPr>
            <w:tcW w:w="0" w:type="auto"/>
            <w:gridSpan w:val="3"/>
            <w:shd w:val="clear" w:color="auto" w:fill="auto"/>
            <w:vAlign w:val="bottom"/>
          </w:tcPr>
          <w:p w14:paraId="392C8C5C" w14:textId="77777777" w:rsidR="00980E5F" w:rsidRDefault="00980E5F">
            <w:pPr>
              <w:rPr>
                <w:rFonts w:ascii="宋体"/>
                <w:vanish/>
              </w:rPr>
            </w:pPr>
          </w:p>
        </w:tc>
      </w:tr>
      <w:tr w:rsidR="00980E5F" w14:paraId="392C8C77" w14:textId="77777777">
        <w:tc>
          <w:tcPr>
            <w:tcW w:w="0" w:type="auto"/>
            <w:gridSpan w:val="3"/>
            <w:shd w:val="clear" w:color="auto" w:fill="CCEEFF"/>
            <w:tcMar>
              <w:top w:w="40" w:type="dxa"/>
              <w:left w:w="20" w:type="dxa"/>
              <w:bottom w:w="40" w:type="dxa"/>
              <w:right w:w="20" w:type="dxa"/>
            </w:tcMar>
            <w:vAlign w:val="bottom"/>
          </w:tcPr>
          <w:p w14:paraId="392C8C5E" w14:textId="77777777" w:rsidR="00980E5F" w:rsidRDefault="00483613">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92C8C5F"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C60" w14:textId="77777777" w:rsidR="00980E5F" w:rsidRDefault="00483613">
            <w:pPr>
              <w:jc w:val="right"/>
              <w:textAlignment w:val="bottom"/>
            </w:pPr>
            <w:r>
              <w:rPr>
                <w:rFonts w:ascii="Arial" w:eastAsia="宋体" w:hAnsi="Arial" w:cs="Arial"/>
                <w:b/>
                <w:bCs/>
                <w:color w:val="000000"/>
                <w:sz w:val="15"/>
                <w:szCs w:val="15"/>
              </w:rPr>
              <w:t>23,036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6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C63"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C64" w14:textId="77777777" w:rsidR="00980E5F" w:rsidRDefault="00483613">
            <w:pPr>
              <w:jc w:val="right"/>
              <w:textAlignment w:val="bottom"/>
            </w:pPr>
            <w:r>
              <w:rPr>
                <w:rFonts w:ascii="Arial" w:eastAsia="宋体" w:hAnsi="Arial" w:cs="Arial"/>
                <w:b/>
                <w:bCs/>
                <w:color w:val="000000"/>
                <w:sz w:val="15"/>
                <w:szCs w:val="15"/>
              </w:rPr>
              <w:t>(12,441)</w:t>
            </w:r>
          </w:p>
        </w:tc>
        <w:tc>
          <w:tcPr>
            <w:tcW w:w="0" w:type="auto"/>
            <w:shd w:val="clear" w:color="auto" w:fill="CCEEFF"/>
            <w:tcMar>
              <w:top w:w="40" w:type="dxa"/>
              <w:left w:w="0" w:type="dxa"/>
              <w:bottom w:w="40" w:type="dxa"/>
              <w:right w:w="20" w:type="dxa"/>
            </w:tcMar>
            <w:vAlign w:val="bottom"/>
          </w:tcPr>
          <w:p w14:paraId="392C8C6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6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C67"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C68" w14:textId="77777777" w:rsidR="00980E5F" w:rsidRDefault="00483613">
            <w:pPr>
              <w:jc w:val="right"/>
              <w:textAlignment w:val="bottom"/>
            </w:pPr>
            <w:r>
              <w:rPr>
                <w:rFonts w:ascii="Arial" w:eastAsia="宋体" w:hAnsi="Arial" w:cs="Arial"/>
                <w:b/>
                <w:bCs/>
                <w:color w:val="000000"/>
                <w:sz w:val="15"/>
                <w:szCs w:val="15"/>
              </w:rPr>
              <w:t>10,595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6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C6B"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C6C"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6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C6F"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8C70" w14:textId="77777777" w:rsidR="00980E5F" w:rsidRDefault="00483613">
            <w:pPr>
              <w:jc w:val="right"/>
              <w:textAlignment w:val="bottom"/>
            </w:pPr>
            <w:r>
              <w:rPr>
                <w:rFonts w:ascii="Arial" w:eastAsia="宋体" w:hAnsi="Arial" w:cs="Arial"/>
                <w:b/>
                <w:bCs/>
                <w:color w:val="000000"/>
                <w:sz w:val="15"/>
                <w:szCs w:val="15"/>
              </w:rPr>
              <w:t>10,595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71" w14:textId="77777777" w:rsidR="00980E5F" w:rsidRDefault="00980E5F">
            <w:pPr>
              <w:jc w:val="right"/>
              <w:rPr>
                <w:rFonts w:ascii="宋体"/>
              </w:rPr>
            </w:pPr>
          </w:p>
        </w:tc>
        <w:tc>
          <w:tcPr>
            <w:tcW w:w="0" w:type="auto"/>
            <w:shd w:val="clear" w:color="auto" w:fill="auto"/>
            <w:vAlign w:val="bottom"/>
          </w:tcPr>
          <w:p w14:paraId="392C8C72" w14:textId="77777777" w:rsidR="00980E5F" w:rsidRDefault="00980E5F">
            <w:pPr>
              <w:rPr>
                <w:rFonts w:ascii="宋体"/>
                <w:vanish/>
              </w:rPr>
            </w:pPr>
          </w:p>
        </w:tc>
        <w:tc>
          <w:tcPr>
            <w:tcW w:w="0" w:type="auto"/>
            <w:gridSpan w:val="3"/>
            <w:shd w:val="clear" w:color="auto" w:fill="auto"/>
            <w:vAlign w:val="bottom"/>
          </w:tcPr>
          <w:p w14:paraId="392C8C73" w14:textId="77777777" w:rsidR="00980E5F" w:rsidRDefault="00980E5F">
            <w:pPr>
              <w:rPr>
                <w:rFonts w:ascii="宋体"/>
                <w:vanish/>
              </w:rPr>
            </w:pPr>
          </w:p>
        </w:tc>
        <w:tc>
          <w:tcPr>
            <w:tcW w:w="0" w:type="auto"/>
            <w:gridSpan w:val="3"/>
            <w:shd w:val="clear" w:color="auto" w:fill="auto"/>
            <w:vAlign w:val="bottom"/>
          </w:tcPr>
          <w:p w14:paraId="392C8C74" w14:textId="77777777" w:rsidR="00980E5F" w:rsidRDefault="00980E5F">
            <w:pPr>
              <w:rPr>
                <w:rFonts w:ascii="宋体"/>
                <w:vanish/>
              </w:rPr>
            </w:pPr>
          </w:p>
        </w:tc>
        <w:tc>
          <w:tcPr>
            <w:tcW w:w="0" w:type="auto"/>
            <w:gridSpan w:val="3"/>
            <w:shd w:val="clear" w:color="auto" w:fill="auto"/>
            <w:vAlign w:val="bottom"/>
          </w:tcPr>
          <w:p w14:paraId="392C8C75" w14:textId="77777777" w:rsidR="00980E5F" w:rsidRDefault="00980E5F">
            <w:pPr>
              <w:rPr>
                <w:rFonts w:ascii="宋体"/>
                <w:vanish/>
              </w:rPr>
            </w:pPr>
          </w:p>
        </w:tc>
        <w:tc>
          <w:tcPr>
            <w:tcW w:w="0" w:type="auto"/>
            <w:gridSpan w:val="3"/>
            <w:shd w:val="clear" w:color="auto" w:fill="auto"/>
            <w:vAlign w:val="bottom"/>
          </w:tcPr>
          <w:p w14:paraId="392C8C76" w14:textId="77777777" w:rsidR="00980E5F" w:rsidRDefault="00980E5F">
            <w:pPr>
              <w:rPr>
                <w:rFonts w:ascii="宋体"/>
                <w:vanish/>
              </w:rPr>
            </w:pPr>
          </w:p>
        </w:tc>
      </w:tr>
      <w:tr w:rsidR="00980E5F" w14:paraId="392C8C8C" w14:textId="77777777">
        <w:tc>
          <w:tcPr>
            <w:tcW w:w="0" w:type="auto"/>
            <w:gridSpan w:val="3"/>
            <w:shd w:val="clear" w:color="auto" w:fill="FFFFFF"/>
            <w:tcMar>
              <w:top w:w="40" w:type="dxa"/>
              <w:left w:w="20" w:type="dxa"/>
              <w:bottom w:w="40" w:type="dxa"/>
              <w:right w:w="20" w:type="dxa"/>
            </w:tcMar>
            <w:vAlign w:val="bottom"/>
          </w:tcPr>
          <w:p w14:paraId="392C8C78" w14:textId="77777777" w:rsidR="00980E5F" w:rsidRDefault="00483613">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92C8C79"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C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7C"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C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7F"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C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8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8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C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85"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C86" w14:textId="77777777" w:rsidR="00980E5F" w:rsidRDefault="00980E5F">
            <w:pPr>
              <w:jc w:val="right"/>
              <w:rPr>
                <w:rFonts w:ascii="宋体"/>
              </w:rPr>
            </w:pPr>
          </w:p>
        </w:tc>
        <w:tc>
          <w:tcPr>
            <w:tcW w:w="0" w:type="auto"/>
            <w:shd w:val="clear" w:color="auto" w:fill="auto"/>
            <w:vAlign w:val="bottom"/>
          </w:tcPr>
          <w:p w14:paraId="392C8C87" w14:textId="77777777" w:rsidR="00980E5F" w:rsidRDefault="00980E5F">
            <w:pPr>
              <w:rPr>
                <w:rFonts w:ascii="宋体"/>
                <w:vanish/>
              </w:rPr>
            </w:pPr>
          </w:p>
        </w:tc>
        <w:tc>
          <w:tcPr>
            <w:tcW w:w="0" w:type="auto"/>
            <w:gridSpan w:val="3"/>
            <w:shd w:val="clear" w:color="auto" w:fill="auto"/>
            <w:vAlign w:val="bottom"/>
          </w:tcPr>
          <w:p w14:paraId="392C8C88" w14:textId="77777777" w:rsidR="00980E5F" w:rsidRDefault="00980E5F">
            <w:pPr>
              <w:rPr>
                <w:rFonts w:ascii="宋体"/>
                <w:vanish/>
              </w:rPr>
            </w:pPr>
          </w:p>
        </w:tc>
        <w:tc>
          <w:tcPr>
            <w:tcW w:w="0" w:type="auto"/>
            <w:gridSpan w:val="3"/>
            <w:shd w:val="clear" w:color="auto" w:fill="auto"/>
            <w:vAlign w:val="bottom"/>
          </w:tcPr>
          <w:p w14:paraId="392C8C89" w14:textId="77777777" w:rsidR="00980E5F" w:rsidRDefault="00980E5F">
            <w:pPr>
              <w:rPr>
                <w:rFonts w:ascii="宋体"/>
                <w:vanish/>
              </w:rPr>
            </w:pPr>
          </w:p>
        </w:tc>
        <w:tc>
          <w:tcPr>
            <w:tcW w:w="0" w:type="auto"/>
            <w:gridSpan w:val="3"/>
            <w:shd w:val="clear" w:color="auto" w:fill="auto"/>
            <w:vAlign w:val="bottom"/>
          </w:tcPr>
          <w:p w14:paraId="392C8C8A" w14:textId="77777777" w:rsidR="00980E5F" w:rsidRDefault="00980E5F">
            <w:pPr>
              <w:rPr>
                <w:rFonts w:ascii="宋体"/>
                <w:vanish/>
              </w:rPr>
            </w:pPr>
          </w:p>
        </w:tc>
        <w:tc>
          <w:tcPr>
            <w:tcW w:w="0" w:type="auto"/>
            <w:gridSpan w:val="3"/>
            <w:shd w:val="clear" w:color="auto" w:fill="auto"/>
            <w:vAlign w:val="bottom"/>
          </w:tcPr>
          <w:p w14:paraId="392C8C8B" w14:textId="77777777" w:rsidR="00980E5F" w:rsidRDefault="00980E5F">
            <w:pPr>
              <w:rPr>
                <w:rFonts w:ascii="宋体"/>
                <w:vanish/>
              </w:rPr>
            </w:pPr>
          </w:p>
        </w:tc>
      </w:tr>
      <w:tr w:rsidR="00980E5F" w14:paraId="392C8CA1" w14:textId="77777777">
        <w:tc>
          <w:tcPr>
            <w:tcW w:w="0" w:type="auto"/>
            <w:gridSpan w:val="3"/>
            <w:shd w:val="clear" w:color="auto" w:fill="CCEEFF"/>
            <w:tcMar>
              <w:top w:w="40" w:type="dxa"/>
              <w:left w:w="20" w:type="dxa"/>
              <w:bottom w:w="40" w:type="dxa"/>
              <w:right w:w="20" w:type="dxa"/>
            </w:tcMar>
            <w:vAlign w:val="bottom"/>
          </w:tcPr>
          <w:p w14:paraId="392C8C8D" w14:textId="77777777" w:rsidR="00980E5F" w:rsidRDefault="00483613">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92C8C8E" w14:textId="77777777" w:rsidR="00980E5F" w:rsidRDefault="00483613">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8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9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C91" w14:textId="77777777" w:rsidR="00980E5F" w:rsidRDefault="00483613">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9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9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C94" w14:textId="77777777" w:rsidR="00980E5F" w:rsidRDefault="00483613">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C97"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9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C9A" w14:textId="77777777" w:rsidR="00980E5F" w:rsidRDefault="00483613">
            <w:pPr>
              <w:jc w:val="right"/>
              <w:textAlignment w:val="bottom"/>
            </w:pPr>
            <w:r>
              <w:rPr>
                <w:rFonts w:ascii="Arial" w:eastAsia="宋体" w:hAnsi="Arial" w:cs="Arial"/>
                <w:b/>
                <w:bCs/>
                <w:color w:val="000000"/>
                <w:sz w:val="15"/>
                <w:szCs w:val="15"/>
              </w:rPr>
              <w:t>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9B" w14:textId="77777777" w:rsidR="00980E5F" w:rsidRDefault="00980E5F">
            <w:pPr>
              <w:jc w:val="right"/>
              <w:rPr>
                <w:rFonts w:ascii="宋体"/>
              </w:rPr>
            </w:pPr>
          </w:p>
        </w:tc>
        <w:tc>
          <w:tcPr>
            <w:tcW w:w="0" w:type="auto"/>
            <w:shd w:val="clear" w:color="auto" w:fill="auto"/>
            <w:vAlign w:val="bottom"/>
          </w:tcPr>
          <w:p w14:paraId="392C8C9C" w14:textId="77777777" w:rsidR="00980E5F" w:rsidRDefault="00980E5F">
            <w:pPr>
              <w:rPr>
                <w:rFonts w:ascii="宋体"/>
                <w:vanish/>
              </w:rPr>
            </w:pPr>
          </w:p>
        </w:tc>
        <w:tc>
          <w:tcPr>
            <w:tcW w:w="0" w:type="auto"/>
            <w:gridSpan w:val="3"/>
            <w:shd w:val="clear" w:color="auto" w:fill="auto"/>
            <w:vAlign w:val="bottom"/>
          </w:tcPr>
          <w:p w14:paraId="392C8C9D" w14:textId="77777777" w:rsidR="00980E5F" w:rsidRDefault="00980E5F">
            <w:pPr>
              <w:rPr>
                <w:rFonts w:ascii="宋体"/>
                <w:vanish/>
              </w:rPr>
            </w:pPr>
          </w:p>
        </w:tc>
        <w:tc>
          <w:tcPr>
            <w:tcW w:w="0" w:type="auto"/>
            <w:gridSpan w:val="3"/>
            <w:shd w:val="clear" w:color="auto" w:fill="auto"/>
            <w:vAlign w:val="bottom"/>
          </w:tcPr>
          <w:p w14:paraId="392C8C9E" w14:textId="77777777" w:rsidR="00980E5F" w:rsidRDefault="00980E5F">
            <w:pPr>
              <w:rPr>
                <w:rFonts w:ascii="宋体"/>
                <w:vanish/>
              </w:rPr>
            </w:pPr>
          </w:p>
        </w:tc>
        <w:tc>
          <w:tcPr>
            <w:tcW w:w="0" w:type="auto"/>
            <w:gridSpan w:val="3"/>
            <w:shd w:val="clear" w:color="auto" w:fill="auto"/>
            <w:vAlign w:val="bottom"/>
          </w:tcPr>
          <w:p w14:paraId="392C8C9F" w14:textId="77777777" w:rsidR="00980E5F" w:rsidRDefault="00980E5F">
            <w:pPr>
              <w:rPr>
                <w:rFonts w:ascii="宋体"/>
                <w:vanish/>
              </w:rPr>
            </w:pPr>
          </w:p>
        </w:tc>
        <w:tc>
          <w:tcPr>
            <w:tcW w:w="0" w:type="auto"/>
            <w:gridSpan w:val="3"/>
            <w:shd w:val="clear" w:color="auto" w:fill="auto"/>
            <w:vAlign w:val="bottom"/>
          </w:tcPr>
          <w:p w14:paraId="392C8CA0" w14:textId="77777777" w:rsidR="00980E5F" w:rsidRDefault="00980E5F">
            <w:pPr>
              <w:rPr>
                <w:rFonts w:ascii="宋体"/>
                <w:vanish/>
              </w:rPr>
            </w:pPr>
          </w:p>
        </w:tc>
      </w:tr>
      <w:tr w:rsidR="00980E5F" w14:paraId="392C8CB5" w14:textId="77777777">
        <w:tc>
          <w:tcPr>
            <w:tcW w:w="0" w:type="auto"/>
            <w:gridSpan w:val="3"/>
            <w:shd w:val="clear" w:color="auto" w:fill="FFFFFF"/>
            <w:tcMar>
              <w:top w:w="40" w:type="dxa"/>
              <w:left w:w="20" w:type="dxa"/>
              <w:bottom w:w="40" w:type="dxa"/>
              <w:right w:w="20" w:type="dxa"/>
            </w:tcMar>
            <w:vAlign w:val="bottom"/>
          </w:tcPr>
          <w:p w14:paraId="392C8CA2" w14:textId="77777777" w:rsidR="00980E5F" w:rsidRDefault="00483613">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392C8CA3" w14:textId="77777777" w:rsidR="00980E5F" w:rsidRDefault="00483613">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392C8C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A5" w14:textId="77777777" w:rsidR="00980E5F" w:rsidRDefault="00483613">
            <w:pPr>
              <w:jc w:val="right"/>
              <w:textAlignment w:val="bottom"/>
            </w:pPr>
            <w:r>
              <w:rPr>
                <w:rFonts w:ascii="Arial" w:eastAsia="宋体" w:hAnsi="Arial" w:cs="Arial"/>
                <w:b/>
                <w:bCs/>
                <w:color w:val="000000"/>
                <w:sz w:val="15"/>
                <w:szCs w:val="15"/>
              </w:rPr>
              <w:t>(4,659)</w:t>
            </w:r>
          </w:p>
        </w:tc>
        <w:tc>
          <w:tcPr>
            <w:tcW w:w="0" w:type="auto"/>
            <w:shd w:val="clear" w:color="auto" w:fill="FFFFFF"/>
            <w:tcMar>
              <w:top w:w="40" w:type="dxa"/>
              <w:left w:w="0" w:type="dxa"/>
              <w:bottom w:w="40" w:type="dxa"/>
              <w:right w:w="20" w:type="dxa"/>
            </w:tcMar>
            <w:vAlign w:val="bottom"/>
          </w:tcPr>
          <w:p w14:paraId="392C8C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A8" w14:textId="77777777" w:rsidR="00980E5F" w:rsidRDefault="00483613">
            <w:pPr>
              <w:jc w:val="right"/>
              <w:textAlignment w:val="bottom"/>
            </w:pPr>
            <w:r>
              <w:rPr>
                <w:rFonts w:ascii="Arial" w:eastAsia="宋体" w:hAnsi="Arial" w:cs="Arial"/>
                <w:b/>
                <w:bCs/>
                <w:color w:val="000000"/>
                <w:sz w:val="15"/>
                <w:szCs w:val="15"/>
              </w:rPr>
              <w:t>(4,659)</w:t>
            </w:r>
          </w:p>
        </w:tc>
        <w:tc>
          <w:tcPr>
            <w:tcW w:w="0" w:type="auto"/>
            <w:shd w:val="clear" w:color="auto" w:fill="FFFFFF"/>
            <w:tcMar>
              <w:top w:w="40" w:type="dxa"/>
              <w:left w:w="0" w:type="dxa"/>
              <w:bottom w:w="40" w:type="dxa"/>
              <w:right w:w="20" w:type="dxa"/>
            </w:tcMar>
            <w:vAlign w:val="bottom"/>
          </w:tcPr>
          <w:p w14:paraId="392C8C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AB" w14:textId="77777777" w:rsidR="00980E5F" w:rsidRDefault="00483613">
            <w:pPr>
              <w:jc w:val="right"/>
              <w:textAlignment w:val="bottom"/>
            </w:pPr>
            <w:r>
              <w:rPr>
                <w:rFonts w:ascii="Arial" w:eastAsia="宋体" w:hAnsi="Arial" w:cs="Arial"/>
                <w:b/>
                <w:bCs/>
                <w:color w:val="000000"/>
                <w:sz w:val="15"/>
                <w:szCs w:val="15"/>
              </w:rPr>
              <w:t>(1,865)</w:t>
            </w:r>
          </w:p>
        </w:tc>
        <w:tc>
          <w:tcPr>
            <w:tcW w:w="0" w:type="auto"/>
            <w:shd w:val="clear" w:color="auto" w:fill="FFFFFF"/>
            <w:tcMar>
              <w:top w:w="40" w:type="dxa"/>
              <w:left w:w="0" w:type="dxa"/>
              <w:bottom w:w="40" w:type="dxa"/>
              <w:right w:w="20" w:type="dxa"/>
            </w:tcMar>
            <w:vAlign w:val="bottom"/>
          </w:tcPr>
          <w:p w14:paraId="392C8C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C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CAE" w14:textId="77777777" w:rsidR="00980E5F" w:rsidRDefault="00483613">
            <w:pPr>
              <w:jc w:val="right"/>
              <w:textAlignment w:val="bottom"/>
            </w:pPr>
            <w:r>
              <w:rPr>
                <w:rFonts w:ascii="Arial" w:eastAsia="宋体" w:hAnsi="Arial" w:cs="Arial"/>
                <w:b/>
                <w:bCs/>
                <w:color w:val="000000"/>
                <w:sz w:val="15"/>
                <w:szCs w:val="15"/>
              </w:rPr>
              <w:t>(6,524)</w:t>
            </w:r>
          </w:p>
        </w:tc>
        <w:tc>
          <w:tcPr>
            <w:tcW w:w="0" w:type="auto"/>
            <w:shd w:val="clear" w:color="auto" w:fill="FFFFFF"/>
            <w:tcMar>
              <w:top w:w="40" w:type="dxa"/>
              <w:left w:w="0" w:type="dxa"/>
              <w:bottom w:w="40" w:type="dxa"/>
              <w:right w:w="20" w:type="dxa"/>
            </w:tcMar>
            <w:vAlign w:val="bottom"/>
          </w:tcPr>
          <w:p w14:paraId="392C8CAF" w14:textId="77777777" w:rsidR="00980E5F" w:rsidRDefault="00980E5F">
            <w:pPr>
              <w:jc w:val="right"/>
              <w:rPr>
                <w:rFonts w:ascii="宋体"/>
              </w:rPr>
            </w:pPr>
          </w:p>
        </w:tc>
        <w:tc>
          <w:tcPr>
            <w:tcW w:w="0" w:type="auto"/>
            <w:shd w:val="clear" w:color="auto" w:fill="auto"/>
            <w:vAlign w:val="bottom"/>
          </w:tcPr>
          <w:p w14:paraId="392C8CB0" w14:textId="77777777" w:rsidR="00980E5F" w:rsidRDefault="00980E5F">
            <w:pPr>
              <w:rPr>
                <w:rFonts w:ascii="宋体"/>
                <w:vanish/>
              </w:rPr>
            </w:pPr>
          </w:p>
        </w:tc>
        <w:tc>
          <w:tcPr>
            <w:tcW w:w="0" w:type="auto"/>
            <w:gridSpan w:val="3"/>
            <w:shd w:val="clear" w:color="auto" w:fill="auto"/>
            <w:vAlign w:val="bottom"/>
          </w:tcPr>
          <w:p w14:paraId="392C8CB1" w14:textId="77777777" w:rsidR="00980E5F" w:rsidRDefault="00980E5F">
            <w:pPr>
              <w:rPr>
                <w:rFonts w:ascii="宋体"/>
                <w:vanish/>
              </w:rPr>
            </w:pPr>
          </w:p>
        </w:tc>
        <w:tc>
          <w:tcPr>
            <w:tcW w:w="0" w:type="auto"/>
            <w:gridSpan w:val="3"/>
            <w:shd w:val="clear" w:color="auto" w:fill="auto"/>
            <w:vAlign w:val="bottom"/>
          </w:tcPr>
          <w:p w14:paraId="392C8CB2" w14:textId="77777777" w:rsidR="00980E5F" w:rsidRDefault="00980E5F">
            <w:pPr>
              <w:rPr>
                <w:rFonts w:ascii="宋体"/>
                <w:vanish/>
              </w:rPr>
            </w:pPr>
          </w:p>
        </w:tc>
        <w:tc>
          <w:tcPr>
            <w:tcW w:w="0" w:type="auto"/>
            <w:gridSpan w:val="3"/>
            <w:shd w:val="clear" w:color="auto" w:fill="auto"/>
            <w:vAlign w:val="bottom"/>
          </w:tcPr>
          <w:p w14:paraId="392C8CB3" w14:textId="77777777" w:rsidR="00980E5F" w:rsidRDefault="00980E5F">
            <w:pPr>
              <w:rPr>
                <w:rFonts w:ascii="宋体"/>
                <w:vanish/>
              </w:rPr>
            </w:pPr>
          </w:p>
        </w:tc>
        <w:tc>
          <w:tcPr>
            <w:tcW w:w="0" w:type="auto"/>
            <w:gridSpan w:val="3"/>
            <w:shd w:val="clear" w:color="auto" w:fill="auto"/>
            <w:vAlign w:val="bottom"/>
          </w:tcPr>
          <w:p w14:paraId="392C8CB4" w14:textId="77777777" w:rsidR="00980E5F" w:rsidRDefault="00980E5F">
            <w:pPr>
              <w:rPr>
                <w:rFonts w:ascii="宋体"/>
                <w:vanish/>
              </w:rPr>
            </w:pPr>
          </w:p>
        </w:tc>
      </w:tr>
      <w:tr w:rsidR="00980E5F" w14:paraId="392C8CCA" w14:textId="77777777">
        <w:tc>
          <w:tcPr>
            <w:tcW w:w="0" w:type="auto"/>
            <w:gridSpan w:val="3"/>
            <w:shd w:val="clear" w:color="auto" w:fill="CCEEFF"/>
            <w:tcMar>
              <w:top w:w="40" w:type="dxa"/>
              <w:left w:w="20" w:type="dxa"/>
              <w:bottom w:w="40" w:type="dxa"/>
              <w:right w:w="20" w:type="dxa"/>
            </w:tcMar>
            <w:vAlign w:val="bottom"/>
          </w:tcPr>
          <w:p w14:paraId="392C8CB6" w14:textId="77777777" w:rsidR="00980E5F" w:rsidRDefault="00483613">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CB7" w14:textId="77777777" w:rsidR="00980E5F" w:rsidRDefault="00483613">
            <w:pPr>
              <w:jc w:val="right"/>
              <w:textAlignment w:val="bottom"/>
            </w:pPr>
            <w:r>
              <w:rPr>
                <w:rFonts w:ascii="Arial" w:eastAsia="宋体" w:hAnsi="Arial" w:cs="Arial"/>
                <w:b/>
                <w:bCs/>
                <w:color w:val="000000"/>
                <w:sz w:val="15"/>
                <w:szCs w:val="15"/>
              </w:rPr>
              <w:t>23,308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C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B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CBA" w14:textId="77777777" w:rsidR="00980E5F" w:rsidRDefault="00483613">
            <w:pPr>
              <w:jc w:val="right"/>
              <w:textAlignment w:val="bottom"/>
            </w:pPr>
            <w:r>
              <w:rPr>
                <w:rFonts w:ascii="Arial" w:eastAsia="宋体" w:hAnsi="Arial" w:cs="Arial"/>
                <w:b/>
                <w:bCs/>
                <w:color w:val="000000"/>
                <w:sz w:val="15"/>
                <w:szCs w:val="15"/>
              </w:rPr>
              <w:t>(17,100)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C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B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CBD" w14:textId="77777777" w:rsidR="00980E5F" w:rsidRDefault="00483613">
            <w:pPr>
              <w:jc w:val="right"/>
              <w:textAlignment w:val="bottom"/>
            </w:pPr>
            <w:r>
              <w:rPr>
                <w:rFonts w:ascii="Arial" w:eastAsia="宋体" w:hAnsi="Arial" w:cs="Arial"/>
                <w:b/>
                <w:bCs/>
                <w:color w:val="000000"/>
                <w:sz w:val="15"/>
                <w:szCs w:val="15"/>
              </w:rPr>
              <w:t>6,208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C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B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CC0" w14:textId="77777777" w:rsidR="00980E5F" w:rsidRDefault="00483613">
            <w:pPr>
              <w:jc w:val="right"/>
              <w:textAlignment w:val="bottom"/>
            </w:pPr>
            <w:r>
              <w:rPr>
                <w:rFonts w:ascii="Arial" w:eastAsia="宋体" w:hAnsi="Arial" w:cs="Arial"/>
                <w:b/>
                <w:bCs/>
                <w:color w:val="000000"/>
                <w:sz w:val="15"/>
                <w:szCs w:val="15"/>
              </w:rPr>
              <w:t>(1,865)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C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C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CC3" w14:textId="77777777" w:rsidR="00980E5F" w:rsidRDefault="00483613">
            <w:pPr>
              <w:jc w:val="right"/>
              <w:textAlignment w:val="bottom"/>
            </w:pPr>
            <w:r>
              <w:rPr>
                <w:rFonts w:ascii="Arial" w:eastAsia="宋体" w:hAnsi="Arial" w:cs="Arial"/>
                <w:b/>
                <w:bCs/>
                <w:color w:val="000000"/>
                <w:sz w:val="15"/>
                <w:szCs w:val="15"/>
              </w:rPr>
              <w:t>4,343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CC4" w14:textId="77777777" w:rsidR="00980E5F" w:rsidRDefault="00980E5F">
            <w:pPr>
              <w:jc w:val="right"/>
              <w:rPr>
                <w:rFonts w:ascii="宋体"/>
              </w:rPr>
            </w:pPr>
          </w:p>
        </w:tc>
        <w:tc>
          <w:tcPr>
            <w:tcW w:w="0" w:type="auto"/>
            <w:shd w:val="clear" w:color="auto" w:fill="auto"/>
            <w:vAlign w:val="bottom"/>
          </w:tcPr>
          <w:p w14:paraId="392C8CC5" w14:textId="77777777" w:rsidR="00980E5F" w:rsidRDefault="00980E5F">
            <w:pPr>
              <w:rPr>
                <w:rFonts w:ascii="宋体"/>
                <w:vanish/>
              </w:rPr>
            </w:pPr>
          </w:p>
        </w:tc>
        <w:tc>
          <w:tcPr>
            <w:tcW w:w="0" w:type="auto"/>
            <w:gridSpan w:val="3"/>
            <w:shd w:val="clear" w:color="auto" w:fill="auto"/>
            <w:vAlign w:val="bottom"/>
          </w:tcPr>
          <w:p w14:paraId="392C8CC6" w14:textId="77777777" w:rsidR="00980E5F" w:rsidRDefault="00980E5F">
            <w:pPr>
              <w:rPr>
                <w:rFonts w:ascii="宋体"/>
                <w:vanish/>
              </w:rPr>
            </w:pPr>
          </w:p>
        </w:tc>
        <w:tc>
          <w:tcPr>
            <w:tcW w:w="0" w:type="auto"/>
            <w:gridSpan w:val="3"/>
            <w:shd w:val="clear" w:color="auto" w:fill="auto"/>
            <w:vAlign w:val="bottom"/>
          </w:tcPr>
          <w:p w14:paraId="392C8CC7" w14:textId="77777777" w:rsidR="00980E5F" w:rsidRDefault="00980E5F">
            <w:pPr>
              <w:rPr>
                <w:rFonts w:ascii="宋体"/>
                <w:vanish/>
              </w:rPr>
            </w:pPr>
          </w:p>
        </w:tc>
        <w:tc>
          <w:tcPr>
            <w:tcW w:w="0" w:type="auto"/>
            <w:gridSpan w:val="3"/>
            <w:shd w:val="clear" w:color="auto" w:fill="auto"/>
            <w:vAlign w:val="bottom"/>
          </w:tcPr>
          <w:p w14:paraId="392C8CC8" w14:textId="77777777" w:rsidR="00980E5F" w:rsidRDefault="00980E5F">
            <w:pPr>
              <w:rPr>
                <w:rFonts w:ascii="宋体"/>
                <w:vanish/>
              </w:rPr>
            </w:pPr>
          </w:p>
        </w:tc>
        <w:tc>
          <w:tcPr>
            <w:tcW w:w="0" w:type="auto"/>
            <w:gridSpan w:val="3"/>
            <w:shd w:val="clear" w:color="auto" w:fill="auto"/>
            <w:vAlign w:val="bottom"/>
          </w:tcPr>
          <w:p w14:paraId="392C8CC9" w14:textId="77777777" w:rsidR="00980E5F" w:rsidRDefault="00980E5F">
            <w:pPr>
              <w:rPr>
                <w:rFonts w:ascii="宋体"/>
                <w:vanish/>
              </w:rPr>
            </w:pPr>
          </w:p>
        </w:tc>
      </w:tr>
      <w:tr w:rsidR="00980E5F" w14:paraId="392C8CDA" w14:textId="77777777">
        <w:tc>
          <w:tcPr>
            <w:tcW w:w="0" w:type="auto"/>
            <w:gridSpan w:val="3"/>
            <w:shd w:val="clear" w:color="auto" w:fill="FFFFFF"/>
            <w:tcMar>
              <w:top w:w="40" w:type="dxa"/>
              <w:left w:w="20" w:type="dxa"/>
              <w:bottom w:w="40" w:type="dxa"/>
              <w:right w:w="20" w:type="dxa"/>
            </w:tcMar>
            <w:vAlign w:val="bottom"/>
          </w:tcPr>
          <w:p w14:paraId="392C8CCB" w14:textId="77777777" w:rsidR="00980E5F" w:rsidRDefault="00483613">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392C8CC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C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C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D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D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CD4" w14:textId="77777777" w:rsidR="00980E5F" w:rsidRDefault="00980E5F">
            <w:pPr>
              <w:rPr>
                <w:rFonts w:ascii="宋体"/>
              </w:rPr>
            </w:pPr>
          </w:p>
        </w:tc>
        <w:tc>
          <w:tcPr>
            <w:tcW w:w="0" w:type="auto"/>
            <w:shd w:val="clear" w:color="auto" w:fill="auto"/>
            <w:vAlign w:val="bottom"/>
          </w:tcPr>
          <w:p w14:paraId="392C8CD5" w14:textId="77777777" w:rsidR="00980E5F" w:rsidRDefault="00980E5F">
            <w:pPr>
              <w:rPr>
                <w:rFonts w:ascii="宋体"/>
                <w:vanish/>
              </w:rPr>
            </w:pPr>
          </w:p>
        </w:tc>
        <w:tc>
          <w:tcPr>
            <w:tcW w:w="0" w:type="auto"/>
            <w:gridSpan w:val="3"/>
            <w:shd w:val="clear" w:color="auto" w:fill="auto"/>
            <w:vAlign w:val="bottom"/>
          </w:tcPr>
          <w:p w14:paraId="392C8CD6" w14:textId="77777777" w:rsidR="00980E5F" w:rsidRDefault="00980E5F">
            <w:pPr>
              <w:rPr>
                <w:rFonts w:ascii="宋体"/>
                <w:vanish/>
              </w:rPr>
            </w:pPr>
          </w:p>
        </w:tc>
        <w:tc>
          <w:tcPr>
            <w:tcW w:w="0" w:type="auto"/>
            <w:gridSpan w:val="3"/>
            <w:shd w:val="clear" w:color="auto" w:fill="auto"/>
            <w:vAlign w:val="bottom"/>
          </w:tcPr>
          <w:p w14:paraId="392C8CD7" w14:textId="77777777" w:rsidR="00980E5F" w:rsidRDefault="00980E5F">
            <w:pPr>
              <w:rPr>
                <w:rFonts w:ascii="宋体"/>
                <w:vanish/>
              </w:rPr>
            </w:pPr>
          </w:p>
        </w:tc>
        <w:tc>
          <w:tcPr>
            <w:tcW w:w="0" w:type="auto"/>
            <w:gridSpan w:val="3"/>
            <w:shd w:val="clear" w:color="auto" w:fill="auto"/>
            <w:vAlign w:val="bottom"/>
          </w:tcPr>
          <w:p w14:paraId="392C8CD8" w14:textId="77777777" w:rsidR="00980E5F" w:rsidRDefault="00980E5F">
            <w:pPr>
              <w:rPr>
                <w:rFonts w:ascii="宋体"/>
                <w:vanish/>
              </w:rPr>
            </w:pPr>
          </w:p>
        </w:tc>
        <w:tc>
          <w:tcPr>
            <w:tcW w:w="0" w:type="auto"/>
            <w:gridSpan w:val="3"/>
            <w:shd w:val="clear" w:color="auto" w:fill="auto"/>
            <w:vAlign w:val="bottom"/>
          </w:tcPr>
          <w:p w14:paraId="392C8CD9" w14:textId="77777777" w:rsidR="00980E5F" w:rsidRDefault="00980E5F">
            <w:pPr>
              <w:rPr>
                <w:rFonts w:ascii="宋体"/>
                <w:vanish/>
              </w:rPr>
            </w:pPr>
          </w:p>
        </w:tc>
      </w:tr>
      <w:tr w:rsidR="00980E5F" w14:paraId="392C8CEA" w14:textId="77777777">
        <w:trPr>
          <w:hidden/>
        </w:trPr>
        <w:tc>
          <w:tcPr>
            <w:tcW w:w="0" w:type="auto"/>
            <w:gridSpan w:val="3"/>
            <w:shd w:val="clear" w:color="auto" w:fill="auto"/>
            <w:vAlign w:val="bottom"/>
          </w:tcPr>
          <w:p w14:paraId="392C8CDB" w14:textId="77777777" w:rsidR="00980E5F" w:rsidRDefault="00980E5F">
            <w:pPr>
              <w:rPr>
                <w:rFonts w:ascii="宋体"/>
                <w:vanish/>
              </w:rPr>
            </w:pPr>
          </w:p>
        </w:tc>
        <w:tc>
          <w:tcPr>
            <w:tcW w:w="0" w:type="auto"/>
            <w:gridSpan w:val="3"/>
            <w:shd w:val="clear" w:color="auto" w:fill="auto"/>
            <w:vAlign w:val="bottom"/>
          </w:tcPr>
          <w:p w14:paraId="392C8CDC" w14:textId="77777777" w:rsidR="00980E5F" w:rsidRDefault="00980E5F">
            <w:pPr>
              <w:rPr>
                <w:rFonts w:ascii="宋体"/>
                <w:vanish/>
              </w:rPr>
            </w:pPr>
          </w:p>
        </w:tc>
        <w:tc>
          <w:tcPr>
            <w:tcW w:w="0" w:type="auto"/>
            <w:gridSpan w:val="3"/>
            <w:shd w:val="clear" w:color="auto" w:fill="auto"/>
            <w:vAlign w:val="bottom"/>
          </w:tcPr>
          <w:p w14:paraId="392C8CDD" w14:textId="77777777" w:rsidR="00980E5F" w:rsidRDefault="00980E5F">
            <w:pPr>
              <w:rPr>
                <w:rFonts w:ascii="宋体"/>
                <w:vanish/>
              </w:rPr>
            </w:pPr>
          </w:p>
        </w:tc>
        <w:tc>
          <w:tcPr>
            <w:tcW w:w="0" w:type="auto"/>
            <w:gridSpan w:val="3"/>
            <w:shd w:val="clear" w:color="auto" w:fill="auto"/>
            <w:vAlign w:val="bottom"/>
          </w:tcPr>
          <w:p w14:paraId="392C8CDE" w14:textId="77777777" w:rsidR="00980E5F" w:rsidRDefault="00980E5F">
            <w:pPr>
              <w:rPr>
                <w:rFonts w:ascii="宋体"/>
                <w:vanish/>
              </w:rPr>
            </w:pPr>
          </w:p>
        </w:tc>
        <w:tc>
          <w:tcPr>
            <w:tcW w:w="0" w:type="auto"/>
            <w:gridSpan w:val="3"/>
            <w:shd w:val="clear" w:color="auto" w:fill="auto"/>
            <w:vAlign w:val="bottom"/>
          </w:tcPr>
          <w:p w14:paraId="392C8CDF" w14:textId="77777777" w:rsidR="00980E5F" w:rsidRDefault="00980E5F">
            <w:pPr>
              <w:rPr>
                <w:rFonts w:ascii="宋体"/>
                <w:vanish/>
              </w:rPr>
            </w:pPr>
          </w:p>
        </w:tc>
        <w:tc>
          <w:tcPr>
            <w:tcW w:w="0" w:type="auto"/>
            <w:gridSpan w:val="3"/>
            <w:shd w:val="clear" w:color="auto" w:fill="auto"/>
            <w:vAlign w:val="bottom"/>
          </w:tcPr>
          <w:p w14:paraId="392C8CE0" w14:textId="77777777" w:rsidR="00980E5F" w:rsidRDefault="00980E5F">
            <w:pPr>
              <w:rPr>
                <w:rFonts w:ascii="宋体"/>
                <w:vanish/>
              </w:rPr>
            </w:pPr>
          </w:p>
        </w:tc>
        <w:tc>
          <w:tcPr>
            <w:tcW w:w="0" w:type="auto"/>
            <w:gridSpan w:val="3"/>
            <w:shd w:val="clear" w:color="auto" w:fill="auto"/>
            <w:vAlign w:val="bottom"/>
          </w:tcPr>
          <w:p w14:paraId="392C8CE1" w14:textId="77777777" w:rsidR="00980E5F" w:rsidRDefault="00980E5F">
            <w:pPr>
              <w:rPr>
                <w:rFonts w:ascii="宋体"/>
                <w:vanish/>
              </w:rPr>
            </w:pPr>
          </w:p>
        </w:tc>
        <w:tc>
          <w:tcPr>
            <w:tcW w:w="0" w:type="auto"/>
            <w:gridSpan w:val="3"/>
            <w:shd w:val="clear" w:color="auto" w:fill="auto"/>
            <w:vAlign w:val="bottom"/>
          </w:tcPr>
          <w:p w14:paraId="392C8CE2" w14:textId="77777777" w:rsidR="00980E5F" w:rsidRDefault="00980E5F">
            <w:pPr>
              <w:rPr>
                <w:rFonts w:ascii="宋体"/>
                <w:vanish/>
              </w:rPr>
            </w:pPr>
          </w:p>
        </w:tc>
        <w:tc>
          <w:tcPr>
            <w:tcW w:w="0" w:type="auto"/>
            <w:gridSpan w:val="3"/>
            <w:shd w:val="clear" w:color="auto" w:fill="auto"/>
            <w:vAlign w:val="bottom"/>
          </w:tcPr>
          <w:p w14:paraId="392C8CE3" w14:textId="77777777" w:rsidR="00980E5F" w:rsidRDefault="00980E5F">
            <w:pPr>
              <w:rPr>
                <w:rFonts w:ascii="宋体"/>
                <w:vanish/>
              </w:rPr>
            </w:pPr>
          </w:p>
        </w:tc>
        <w:tc>
          <w:tcPr>
            <w:tcW w:w="0" w:type="auto"/>
            <w:gridSpan w:val="3"/>
            <w:shd w:val="clear" w:color="auto" w:fill="auto"/>
            <w:vAlign w:val="bottom"/>
          </w:tcPr>
          <w:p w14:paraId="392C8CE4" w14:textId="77777777" w:rsidR="00980E5F" w:rsidRDefault="00980E5F">
            <w:pPr>
              <w:rPr>
                <w:rFonts w:ascii="宋体"/>
                <w:vanish/>
              </w:rPr>
            </w:pPr>
          </w:p>
        </w:tc>
        <w:tc>
          <w:tcPr>
            <w:tcW w:w="0" w:type="auto"/>
            <w:shd w:val="clear" w:color="auto" w:fill="auto"/>
            <w:vAlign w:val="bottom"/>
          </w:tcPr>
          <w:p w14:paraId="392C8CE5" w14:textId="77777777" w:rsidR="00980E5F" w:rsidRDefault="00980E5F">
            <w:pPr>
              <w:rPr>
                <w:rFonts w:ascii="宋体"/>
                <w:vanish/>
              </w:rPr>
            </w:pPr>
          </w:p>
        </w:tc>
        <w:tc>
          <w:tcPr>
            <w:tcW w:w="0" w:type="auto"/>
            <w:gridSpan w:val="3"/>
            <w:shd w:val="clear" w:color="auto" w:fill="auto"/>
            <w:vAlign w:val="bottom"/>
          </w:tcPr>
          <w:p w14:paraId="392C8CE6" w14:textId="77777777" w:rsidR="00980E5F" w:rsidRDefault="00980E5F">
            <w:pPr>
              <w:rPr>
                <w:rFonts w:ascii="宋体"/>
                <w:vanish/>
              </w:rPr>
            </w:pPr>
          </w:p>
        </w:tc>
        <w:tc>
          <w:tcPr>
            <w:tcW w:w="0" w:type="auto"/>
            <w:gridSpan w:val="3"/>
            <w:shd w:val="clear" w:color="auto" w:fill="auto"/>
            <w:vAlign w:val="bottom"/>
          </w:tcPr>
          <w:p w14:paraId="392C8CE7" w14:textId="77777777" w:rsidR="00980E5F" w:rsidRDefault="00980E5F">
            <w:pPr>
              <w:rPr>
                <w:rFonts w:ascii="宋体"/>
                <w:vanish/>
              </w:rPr>
            </w:pPr>
          </w:p>
        </w:tc>
        <w:tc>
          <w:tcPr>
            <w:tcW w:w="0" w:type="auto"/>
            <w:gridSpan w:val="3"/>
            <w:shd w:val="clear" w:color="auto" w:fill="auto"/>
            <w:vAlign w:val="bottom"/>
          </w:tcPr>
          <w:p w14:paraId="392C8CE8" w14:textId="77777777" w:rsidR="00980E5F" w:rsidRDefault="00980E5F">
            <w:pPr>
              <w:rPr>
                <w:rFonts w:ascii="宋体"/>
                <w:vanish/>
              </w:rPr>
            </w:pPr>
          </w:p>
        </w:tc>
        <w:tc>
          <w:tcPr>
            <w:tcW w:w="0" w:type="auto"/>
            <w:gridSpan w:val="3"/>
            <w:shd w:val="clear" w:color="auto" w:fill="auto"/>
            <w:vAlign w:val="bottom"/>
          </w:tcPr>
          <w:p w14:paraId="392C8CE9" w14:textId="77777777" w:rsidR="00980E5F" w:rsidRDefault="00980E5F">
            <w:pPr>
              <w:rPr>
                <w:rFonts w:ascii="宋体"/>
                <w:vanish/>
              </w:rPr>
            </w:pPr>
          </w:p>
        </w:tc>
      </w:tr>
      <w:tr w:rsidR="00980E5F" w14:paraId="392C8CFA" w14:textId="77777777">
        <w:trPr>
          <w:hidden/>
        </w:trPr>
        <w:tc>
          <w:tcPr>
            <w:tcW w:w="0" w:type="auto"/>
            <w:gridSpan w:val="3"/>
            <w:shd w:val="clear" w:color="auto" w:fill="auto"/>
            <w:vAlign w:val="bottom"/>
          </w:tcPr>
          <w:p w14:paraId="392C8CEB" w14:textId="77777777" w:rsidR="00980E5F" w:rsidRDefault="00980E5F">
            <w:pPr>
              <w:rPr>
                <w:rFonts w:ascii="宋体"/>
                <w:vanish/>
              </w:rPr>
            </w:pPr>
          </w:p>
        </w:tc>
        <w:tc>
          <w:tcPr>
            <w:tcW w:w="0" w:type="auto"/>
            <w:gridSpan w:val="3"/>
            <w:shd w:val="clear" w:color="auto" w:fill="auto"/>
            <w:vAlign w:val="bottom"/>
          </w:tcPr>
          <w:p w14:paraId="392C8CEC" w14:textId="77777777" w:rsidR="00980E5F" w:rsidRDefault="00980E5F">
            <w:pPr>
              <w:rPr>
                <w:rFonts w:ascii="宋体"/>
                <w:vanish/>
              </w:rPr>
            </w:pPr>
          </w:p>
        </w:tc>
        <w:tc>
          <w:tcPr>
            <w:tcW w:w="0" w:type="auto"/>
            <w:gridSpan w:val="3"/>
            <w:shd w:val="clear" w:color="auto" w:fill="auto"/>
            <w:vAlign w:val="bottom"/>
          </w:tcPr>
          <w:p w14:paraId="392C8CED" w14:textId="77777777" w:rsidR="00980E5F" w:rsidRDefault="00980E5F">
            <w:pPr>
              <w:rPr>
                <w:rFonts w:ascii="宋体"/>
                <w:vanish/>
              </w:rPr>
            </w:pPr>
          </w:p>
        </w:tc>
        <w:tc>
          <w:tcPr>
            <w:tcW w:w="0" w:type="auto"/>
            <w:gridSpan w:val="3"/>
            <w:shd w:val="clear" w:color="auto" w:fill="auto"/>
            <w:vAlign w:val="bottom"/>
          </w:tcPr>
          <w:p w14:paraId="392C8CEE" w14:textId="77777777" w:rsidR="00980E5F" w:rsidRDefault="00980E5F">
            <w:pPr>
              <w:rPr>
                <w:rFonts w:ascii="宋体"/>
                <w:vanish/>
              </w:rPr>
            </w:pPr>
          </w:p>
        </w:tc>
        <w:tc>
          <w:tcPr>
            <w:tcW w:w="0" w:type="auto"/>
            <w:gridSpan w:val="3"/>
            <w:shd w:val="clear" w:color="auto" w:fill="auto"/>
            <w:vAlign w:val="bottom"/>
          </w:tcPr>
          <w:p w14:paraId="392C8CEF" w14:textId="77777777" w:rsidR="00980E5F" w:rsidRDefault="00980E5F">
            <w:pPr>
              <w:rPr>
                <w:rFonts w:ascii="宋体"/>
                <w:vanish/>
              </w:rPr>
            </w:pPr>
          </w:p>
        </w:tc>
        <w:tc>
          <w:tcPr>
            <w:tcW w:w="0" w:type="auto"/>
            <w:gridSpan w:val="3"/>
            <w:shd w:val="clear" w:color="auto" w:fill="auto"/>
            <w:vAlign w:val="bottom"/>
          </w:tcPr>
          <w:p w14:paraId="392C8CF0" w14:textId="77777777" w:rsidR="00980E5F" w:rsidRDefault="00980E5F">
            <w:pPr>
              <w:rPr>
                <w:rFonts w:ascii="宋体"/>
                <w:vanish/>
              </w:rPr>
            </w:pPr>
          </w:p>
        </w:tc>
        <w:tc>
          <w:tcPr>
            <w:tcW w:w="0" w:type="auto"/>
            <w:gridSpan w:val="3"/>
            <w:shd w:val="clear" w:color="auto" w:fill="auto"/>
            <w:vAlign w:val="bottom"/>
          </w:tcPr>
          <w:p w14:paraId="392C8CF1" w14:textId="77777777" w:rsidR="00980E5F" w:rsidRDefault="00980E5F">
            <w:pPr>
              <w:rPr>
                <w:rFonts w:ascii="宋体"/>
                <w:vanish/>
              </w:rPr>
            </w:pPr>
          </w:p>
        </w:tc>
        <w:tc>
          <w:tcPr>
            <w:tcW w:w="0" w:type="auto"/>
            <w:gridSpan w:val="3"/>
            <w:shd w:val="clear" w:color="auto" w:fill="auto"/>
            <w:vAlign w:val="bottom"/>
          </w:tcPr>
          <w:p w14:paraId="392C8CF2" w14:textId="77777777" w:rsidR="00980E5F" w:rsidRDefault="00980E5F">
            <w:pPr>
              <w:rPr>
                <w:rFonts w:ascii="宋体"/>
                <w:vanish/>
              </w:rPr>
            </w:pPr>
          </w:p>
        </w:tc>
        <w:tc>
          <w:tcPr>
            <w:tcW w:w="0" w:type="auto"/>
            <w:gridSpan w:val="3"/>
            <w:shd w:val="clear" w:color="auto" w:fill="auto"/>
            <w:vAlign w:val="bottom"/>
          </w:tcPr>
          <w:p w14:paraId="392C8CF3" w14:textId="77777777" w:rsidR="00980E5F" w:rsidRDefault="00980E5F">
            <w:pPr>
              <w:rPr>
                <w:rFonts w:ascii="宋体"/>
                <w:vanish/>
              </w:rPr>
            </w:pPr>
          </w:p>
        </w:tc>
        <w:tc>
          <w:tcPr>
            <w:tcW w:w="0" w:type="auto"/>
            <w:gridSpan w:val="3"/>
            <w:shd w:val="clear" w:color="auto" w:fill="auto"/>
            <w:vAlign w:val="bottom"/>
          </w:tcPr>
          <w:p w14:paraId="392C8CF4" w14:textId="77777777" w:rsidR="00980E5F" w:rsidRDefault="00980E5F">
            <w:pPr>
              <w:rPr>
                <w:rFonts w:ascii="宋体"/>
                <w:vanish/>
              </w:rPr>
            </w:pPr>
          </w:p>
        </w:tc>
        <w:tc>
          <w:tcPr>
            <w:tcW w:w="0" w:type="auto"/>
            <w:shd w:val="clear" w:color="auto" w:fill="auto"/>
            <w:vAlign w:val="bottom"/>
          </w:tcPr>
          <w:p w14:paraId="392C8CF5" w14:textId="77777777" w:rsidR="00980E5F" w:rsidRDefault="00980E5F">
            <w:pPr>
              <w:rPr>
                <w:rFonts w:ascii="宋体"/>
                <w:vanish/>
              </w:rPr>
            </w:pPr>
          </w:p>
        </w:tc>
        <w:tc>
          <w:tcPr>
            <w:tcW w:w="0" w:type="auto"/>
            <w:gridSpan w:val="3"/>
            <w:shd w:val="clear" w:color="auto" w:fill="auto"/>
            <w:vAlign w:val="bottom"/>
          </w:tcPr>
          <w:p w14:paraId="392C8CF6" w14:textId="77777777" w:rsidR="00980E5F" w:rsidRDefault="00980E5F">
            <w:pPr>
              <w:rPr>
                <w:rFonts w:ascii="宋体"/>
                <w:vanish/>
              </w:rPr>
            </w:pPr>
          </w:p>
        </w:tc>
        <w:tc>
          <w:tcPr>
            <w:tcW w:w="0" w:type="auto"/>
            <w:gridSpan w:val="3"/>
            <w:shd w:val="clear" w:color="auto" w:fill="auto"/>
            <w:vAlign w:val="bottom"/>
          </w:tcPr>
          <w:p w14:paraId="392C8CF7" w14:textId="77777777" w:rsidR="00980E5F" w:rsidRDefault="00980E5F">
            <w:pPr>
              <w:rPr>
                <w:rFonts w:ascii="宋体"/>
                <w:vanish/>
              </w:rPr>
            </w:pPr>
          </w:p>
        </w:tc>
        <w:tc>
          <w:tcPr>
            <w:tcW w:w="0" w:type="auto"/>
            <w:gridSpan w:val="3"/>
            <w:shd w:val="clear" w:color="auto" w:fill="auto"/>
            <w:vAlign w:val="bottom"/>
          </w:tcPr>
          <w:p w14:paraId="392C8CF8" w14:textId="77777777" w:rsidR="00980E5F" w:rsidRDefault="00980E5F">
            <w:pPr>
              <w:rPr>
                <w:rFonts w:ascii="宋体"/>
                <w:vanish/>
              </w:rPr>
            </w:pPr>
          </w:p>
        </w:tc>
        <w:tc>
          <w:tcPr>
            <w:tcW w:w="0" w:type="auto"/>
            <w:gridSpan w:val="3"/>
            <w:shd w:val="clear" w:color="auto" w:fill="auto"/>
            <w:vAlign w:val="bottom"/>
          </w:tcPr>
          <w:p w14:paraId="392C8CF9" w14:textId="77777777" w:rsidR="00980E5F" w:rsidRDefault="00980E5F">
            <w:pPr>
              <w:rPr>
                <w:rFonts w:ascii="宋体"/>
                <w:vanish/>
              </w:rPr>
            </w:pPr>
          </w:p>
        </w:tc>
      </w:tr>
      <w:tr w:rsidR="00980E5F" w14:paraId="392C8D0F" w14:textId="77777777">
        <w:tc>
          <w:tcPr>
            <w:tcW w:w="0" w:type="auto"/>
            <w:gridSpan w:val="3"/>
            <w:shd w:val="clear" w:color="auto" w:fill="CCEEFF"/>
            <w:tcMar>
              <w:top w:w="40" w:type="dxa"/>
              <w:left w:w="20" w:type="dxa"/>
              <w:bottom w:w="40" w:type="dxa"/>
              <w:right w:w="20" w:type="dxa"/>
            </w:tcMar>
            <w:vAlign w:val="bottom"/>
          </w:tcPr>
          <w:p w14:paraId="392C8CFB" w14:textId="77777777" w:rsidR="00980E5F" w:rsidRDefault="00483613">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392C8CFC" w14:textId="77777777" w:rsidR="00980E5F" w:rsidRDefault="00483613">
            <w:pPr>
              <w:jc w:val="right"/>
              <w:textAlignment w:val="bottom"/>
            </w:pPr>
            <w:r>
              <w:rPr>
                <w:rFonts w:ascii="Arial" w:eastAsia="宋体" w:hAnsi="Arial" w:cs="Arial"/>
                <w:b/>
                <w:bCs/>
                <w:color w:val="000000"/>
                <w:sz w:val="15"/>
                <w:szCs w:val="15"/>
              </w:rPr>
              <w:t>80,081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C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C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CFF" w14:textId="77777777" w:rsidR="00980E5F" w:rsidRDefault="00483613">
            <w:pPr>
              <w:jc w:val="right"/>
              <w:textAlignment w:val="bottom"/>
            </w:pPr>
            <w:r>
              <w:rPr>
                <w:rFonts w:ascii="Arial" w:eastAsia="宋体" w:hAnsi="Arial" w:cs="Arial"/>
                <w:b/>
                <w:bCs/>
                <w:color w:val="000000"/>
                <w:sz w:val="15"/>
                <w:szCs w:val="15"/>
              </w:rPr>
              <w:t>(77,381)</w:t>
            </w:r>
          </w:p>
        </w:tc>
        <w:tc>
          <w:tcPr>
            <w:tcW w:w="0" w:type="auto"/>
            <w:shd w:val="clear" w:color="auto" w:fill="CCEEFF"/>
            <w:tcMar>
              <w:top w:w="40" w:type="dxa"/>
              <w:left w:w="0" w:type="dxa"/>
              <w:bottom w:w="40" w:type="dxa"/>
              <w:right w:w="20" w:type="dxa"/>
            </w:tcMar>
            <w:vAlign w:val="bottom"/>
          </w:tcPr>
          <w:p w14:paraId="392C8D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02" w14:textId="77777777" w:rsidR="00980E5F" w:rsidRDefault="00483613">
            <w:pPr>
              <w:jc w:val="right"/>
              <w:textAlignment w:val="bottom"/>
            </w:pPr>
            <w:r>
              <w:rPr>
                <w:rFonts w:ascii="Arial" w:eastAsia="宋体" w:hAnsi="Arial" w:cs="Arial"/>
                <w:b/>
                <w:bCs/>
                <w:color w:val="000000"/>
                <w:sz w:val="15"/>
                <w:szCs w:val="15"/>
              </w:rPr>
              <w:t>2,700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D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05" w14:textId="77777777" w:rsidR="00980E5F" w:rsidRDefault="00483613">
            <w:pPr>
              <w:jc w:val="right"/>
              <w:textAlignment w:val="bottom"/>
            </w:pPr>
            <w:r>
              <w:rPr>
                <w:rFonts w:ascii="Arial" w:eastAsia="宋体" w:hAnsi="Arial" w:cs="Arial"/>
                <w:b/>
                <w:bCs/>
                <w:color w:val="000000"/>
                <w:sz w:val="15"/>
                <w:szCs w:val="15"/>
              </w:rPr>
              <w:t>(1,782)</w:t>
            </w:r>
          </w:p>
        </w:tc>
        <w:tc>
          <w:tcPr>
            <w:tcW w:w="0" w:type="auto"/>
            <w:shd w:val="clear" w:color="auto" w:fill="CCEEFF"/>
            <w:tcMar>
              <w:top w:w="40" w:type="dxa"/>
              <w:left w:w="0" w:type="dxa"/>
              <w:bottom w:w="40" w:type="dxa"/>
              <w:right w:w="20" w:type="dxa"/>
            </w:tcMar>
            <w:vAlign w:val="bottom"/>
          </w:tcPr>
          <w:p w14:paraId="392C8D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08" w14:textId="77777777" w:rsidR="00980E5F" w:rsidRDefault="00483613">
            <w:pPr>
              <w:jc w:val="right"/>
              <w:textAlignment w:val="bottom"/>
            </w:pPr>
            <w:r>
              <w:rPr>
                <w:rFonts w:ascii="Arial" w:eastAsia="宋体" w:hAnsi="Arial" w:cs="Arial"/>
                <w:b/>
                <w:bCs/>
                <w:color w:val="000000"/>
                <w:sz w:val="15"/>
                <w:szCs w:val="15"/>
              </w:rPr>
              <w:t>918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D09" w14:textId="77777777" w:rsidR="00980E5F" w:rsidRDefault="00980E5F">
            <w:pPr>
              <w:jc w:val="right"/>
              <w:rPr>
                <w:rFonts w:ascii="宋体"/>
              </w:rPr>
            </w:pPr>
          </w:p>
        </w:tc>
        <w:tc>
          <w:tcPr>
            <w:tcW w:w="0" w:type="auto"/>
            <w:shd w:val="clear" w:color="auto" w:fill="auto"/>
            <w:vAlign w:val="bottom"/>
          </w:tcPr>
          <w:p w14:paraId="392C8D0A" w14:textId="77777777" w:rsidR="00980E5F" w:rsidRDefault="00980E5F">
            <w:pPr>
              <w:rPr>
                <w:rFonts w:ascii="宋体"/>
                <w:vanish/>
              </w:rPr>
            </w:pPr>
          </w:p>
        </w:tc>
        <w:tc>
          <w:tcPr>
            <w:tcW w:w="0" w:type="auto"/>
            <w:gridSpan w:val="3"/>
            <w:shd w:val="clear" w:color="auto" w:fill="auto"/>
            <w:vAlign w:val="bottom"/>
          </w:tcPr>
          <w:p w14:paraId="392C8D0B" w14:textId="77777777" w:rsidR="00980E5F" w:rsidRDefault="00980E5F">
            <w:pPr>
              <w:rPr>
                <w:rFonts w:ascii="宋体"/>
                <w:vanish/>
              </w:rPr>
            </w:pPr>
          </w:p>
        </w:tc>
        <w:tc>
          <w:tcPr>
            <w:tcW w:w="0" w:type="auto"/>
            <w:gridSpan w:val="3"/>
            <w:shd w:val="clear" w:color="auto" w:fill="auto"/>
            <w:vAlign w:val="bottom"/>
          </w:tcPr>
          <w:p w14:paraId="392C8D0C" w14:textId="77777777" w:rsidR="00980E5F" w:rsidRDefault="00980E5F">
            <w:pPr>
              <w:rPr>
                <w:rFonts w:ascii="宋体"/>
                <w:vanish/>
              </w:rPr>
            </w:pPr>
          </w:p>
        </w:tc>
        <w:tc>
          <w:tcPr>
            <w:tcW w:w="0" w:type="auto"/>
            <w:gridSpan w:val="3"/>
            <w:shd w:val="clear" w:color="auto" w:fill="auto"/>
            <w:vAlign w:val="bottom"/>
          </w:tcPr>
          <w:p w14:paraId="392C8D0D" w14:textId="77777777" w:rsidR="00980E5F" w:rsidRDefault="00980E5F">
            <w:pPr>
              <w:rPr>
                <w:rFonts w:ascii="宋体"/>
                <w:vanish/>
              </w:rPr>
            </w:pPr>
          </w:p>
        </w:tc>
        <w:tc>
          <w:tcPr>
            <w:tcW w:w="0" w:type="auto"/>
            <w:gridSpan w:val="3"/>
            <w:shd w:val="clear" w:color="auto" w:fill="auto"/>
            <w:vAlign w:val="bottom"/>
          </w:tcPr>
          <w:p w14:paraId="392C8D0E" w14:textId="77777777" w:rsidR="00980E5F" w:rsidRDefault="00980E5F">
            <w:pPr>
              <w:rPr>
                <w:rFonts w:ascii="宋体"/>
                <w:vanish/>
              </w:rPr>
            </w:pPr>
          </w:p>
        </w:tc>
      </w:tr>
      <w:tr w:rsidR="00980E5F" w14:paraId="392C8D29" w14:textId="77777777">
        <w:tc>
          <w:tcPr>
            <w:tcW w:w="0" w:type="auto"/>
            <w:gridSpan w:val="3"/>
            <w:shd w:val="clear" w:color="auto" w:fill="FFFFFF"/>
            <w:tcMar>
              <w:top w:w="40" w:type="dxa"/>
              <w:left w:w="20" w:type="dxa"/>
              <w:bottom w:w="40" w:type="dxa"/>
              <w:right w:w="20" w:type="dxa"/>
            </w:tcMar>
            <w:vAlign w:val="bottom"/>
          </w:tcPr>
          <w:p w14:paraId="392C8D10" w14:textId="77777777" w:rsidR="00980E5F" w:rsidRDefault="00483613">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11"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12" w14:textId="77777777" w:rsidR="00980E5F" w:rsidRDefault="00483613">
            <w:pPr>
              <w:jc w:val="right"/>
              <w:textAlignment w:val="bottom"/>
            </w:pPr>
            <w:r>
              <w:rPr>
                <w:rFonts w:ascii="Arial" w:eastAsia="宋体" w:hAnsi="Arial" w:cs="Arial"/>
                <w:b/>
                <w:bCs/>
                <w:color w:val="000000"/>
                <w:sz w:val="15"/>
                <w:szCs w:val="15"/>
              </w:rPr>
              <w:t>103,389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14"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15"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16" w14:textId="77777777" w:rsidR="00980E5F" w:rsidRDefault="00483613">
            <w:pPr>
              <w:jc w:val="right"/>
              <w:textAlignment w:val="bottom"/>
            </w:pPr>
            <w:r>
              <w:rPr>
                <w:rFonts w:ascii="Arial" w:eastAsia="宋体" w:hAnsi="Arial" w:cs="Arial"/>
                <w:b/>
                <w:bCs/>
                <w:color w:val="000000"/>
                <w:sz w:val="15"/>
                <w:szCs w:val="15"/>
              </w:rPr>
              <w:t>(94,481)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18"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19"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1A" w14:textId="77777777" w:rsidR="00980E5F" w:rsidRDefault="00483613">
            <w:pPr>
              <w:jc w:val="right"/>
              <w:textAlignment w:val="bottom"/>
            </w:pPr>
            <w:r>
              <w:rPr>
                <w:rFonts w:ascii="Arial" w:eastAsia="宋体" w:hAnsi="Arial" w:cs="Arial"/>
                <w:b/>
                <w:bCs/>
                <w:color w:val="000000"/>
                <w:sz w:val="15"/>
                <w:szCs w:val="15"/>
              </w:rPr>
              <w:t>8,908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1C"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1D"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1E" w14:textId="77777777" w:rsidR="00980E5F" w:rsidRDefault="00483613">
            <w:pPr>
              <w:jc w:val="right"/>
              <w:textAlignment w:val="bottom"/>
            </w:pPr>
            <w:r>
              <w:rPr>
                <w:rFonts w:ascii="Arial" w:eastAsia="宋体" w:hAnsi="Arial" w:cs="Arial"/>
                <w:b/>
                <w:bCs/>
                <w:color w:val="000000"/>
                <w:sz w:val="15"/>
                <w:szCs w:val="15"/>
              </w:rPr>
              <w:t>(3,647)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2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21"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22" w14:textId="77777777" w:rsidR="00980E5F" w:rsidRDefault="00483613">
            <w:pPr>
              <w:jc w:val="right"/>
              <w:textAlignment w:val="bottom"/>
            </w:pPr>
            <w:r>
              <w:rPr>
                <w:rFonts w:ascii="Arial" w:eastAsia="宋体" w:hAnsi="Arial" w:cs="Arial"/>
                <w:b/>
                <w:bCs/>
                <w:color w:val="000000"/>
                <w:sz w:val="15"/>
                <w:szCs w:val="15"/>
              </w:rPr>
              <w:t>5,261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23" w14:textId="77777777" w:rsidR="00980E5F" w:rsidRDefault="00980E5F">
            <w:pPr>
              <w:jc w:val="right"/>
              <w:rPr>
                <w:rFonts w:ascii="宋体"/>
              </w:rPr>
            </w:pPr>
          </w:p>
        </w:tc>
        <w:tc>
          <w:tcPr>
            <w:tcW w:w="0" w:type="auto"/>
            <w:shd w:val="clear" w:color="auto" w:fill="auto"/>
            <w:vAlign w:val="bottom"/>
          </w:tcPr>
          <w:p w14:paraId="392C8D24" w14:textId="77777777" w:rsidR="00980E5F" w:rsidRDefault="00980E5F">
            <w:pPr>
              <w:rPr>
                <w:rFonts w:ascii="宋体"/>
                <w:vanish/>
              </w:rPr>
            </w:pPr>
          </w:p>
        </w:tc>
        <w:tc>
          <w:tcPr>
            <w:tcW w:w="0" w:type="auto"/>
            <w:gridSpan w:val="3"/>
            <w:shd w:val="clear" w:color="auto" w:fill="auto"/>
            <w:vAlign w:val="bottom"/>
          </w:tcPr>
          <w:p w14:paraId="392C8D25" w14:textId="77777777" w:rsidR="00980E5F" w:rsidRDefault="00980E5F">
            <w:pPr>
              <w:rPr>
                <w:rFonts w:ascii="宋体"/>
                <w:vanish/>
              </w:rPr>
            </w:pPr>
          </w:p>
        </w:tc>
        <w:tc>
          <w:tcPr>
            <w:tcW w:w="0" w:type="auto"/>
            <w:gridSpan w:val="3"/>
            <w:shd w:val="clear" w:color="auto" w:fill="auto"/>
            <w:vAlign w:val="bottom"/>
          </w:tcPr>
          <w:p w14:paraId="392C8D26" w14:textId="77777777" w:rsidR="00980E5F" w:rsidRDefault="00980E5F">
            <w:pPr>
              <w:rPr>
                <w:rFonts w:ascii="宋体"/>
                <w:vanish/>
              </w:rPr>
            </w:pPr>
          </w:p>
        </w:tc>
        <w:tc>
          <w:tcPr>
            <w:tcW w:w="0" w:type="auto"/>
            <w:gridSpan w:val="3"/>
            <w:shd w:val="clear" w:color="auto" w:fill="auto"/>
            <w:vAlign w:val="bottom"/>
          </w:tcPr>
          <w:p w14:paraId="392C8D27" w14:textId="77777777" w:rsidR="00980E5F" w:rsidRDefault="00980E5F">
            <w:pPr>
              <w:rPr>
                <w:rFonts w:ascii="宋体"/>
                <w:vanish/>
              </w:rPr>
            </w:pPr>
          </w:p>
        </w:tc>
        <w:tc>
          <w:tcPr>
            <w:tcW w:w="0" w:type="auto"/>
            <w:gridSpan w:val="3"/>
            <w:shd w:val="clear" w:color="auto" w:fill="auto"/>
            <w:vAlign w:val="bottom"/>
          </w:tcPr>
          <w:p w14:paraId="392C8D28" w14:textId="77777777" w:rsidR="00980E5F" w:rsidRDefault="00980E5F">
            <w:pPr>
              <w:rPr>
                <w:rFonts w:ascii="宋体"/>
                <w:vanish/>
              </w:rPr>
            </w:pPr>
          </w:p>
        </w:tc>
      </w:tr>
    </w:tbl>
    <w:p w14:paraId="392C8D2A"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980E5F" w14:paraId="392C8D49" w14:textId="77777777">
        <w:tc>
          <w:tcPr>
            <w:tcW w:w="50" w:type="pct"/>
            <w:shd w:val="clear" w:color="auto" w:fill="auto"/>
            <w:vAlign w:val="bottom"/>
          </w:tcPr>
          <w:p w14:paraId="392C8D2B" w14:textId="77777777" w:rsidR="00980E5F" w:rsidRDefault="00980E5F">
            <w:pPr>
              <w:rPr>
                <w:rFonts w:ascii="宋体"/>
              </w:rPr>
            </w:pPr>
          </w:p>
        </w:tc>
        <w:tc>
          <w:tcPr>
            <w:tcW w:w="1165" w:type="pct"/>
            <w:shd w:val="clear" w:color="auto" w:fill="auto"/>
            <w:vAlign w:val="bottom"/>
          </w:tcPr>
          <w:p w14:paraId="392C8D2C" w14:textId="77777777" w:rsidR="00980E5F" w:rsidRDefault="00980E5F">
            <w:pPr>
              <w:rPr>
                <w:rFonts w:ascii="宋体"/>
              </w:rPr>
            </w:pPr>
          </w:p>
        </w:tc>
        <w:tc>
          <w:tcPr>
            <w:tcW w:w="5" w:type="pct"/>
            <w:shd w:val="clear" w:color="auto" w:fill="auto"/>
            <w:vAlign w:val="bottom"/>
          </w:tcPr>
          <w:p w14:paraId="392C8D2D" w14:textId="77777777" w:rsidR="00980E5F" w:rsidRDefault="00980E5F">
            <w:pPr>
              <w:rPr>
                <w:rFonts w:ascii="宋体"/>
              </w:rPr>
            </w:pPr>
          </w:p>
        </w:tc>
        <w:tc>
          <w:tcPr>
            <w:tcW w:w="50" w:type="pct"/>
            <w:shd w:val="clear" w:color="auto" w:fill="auto"/>
            <w:vAlign w:val="bottom"/>
          </w:tcPr>
          <w:p w14:paraId="392C8D2E" w14:textId="77777777" w:rsidR="00980E5F" w:rsidRDefault="00980E5F">
            <w:pPr>
              <w:rPr>
                <w:rFonts w:ascii="宋体"/>
              </w:rPr>
            </w:pPr>
          </w:p>
        </w:tc>
        <w:tc>
          <w:tcPr>
            <w:tcW w:w="639" w:type="pct"/>
            <w:shd w:val="clear" w:color="auto" w:fill="auto"/>
            <w:vAlign w:val="bottom"/>
          </w:tcPr>
          <w:p w14:paraId="392C8D2F" w14:textId="77777777" w:rsidR="00980E5F" w:rsidRDefault="00980E5F">
            <w:pPr>
              <w:rPr>
                <w:rFonts w:ascii="宋体"/>
              </w:rPr>
            </w:pPr>
          </w:p>
        </w:tc>
        <w:tc>
          <w:tcPr>
            <w:tcW w:w="5" w:type="pct"/>
            <w:shd w:val="clear" w:color="auto" w:fill="auto"/>
            <w:vAlign w:val="bottom"/>
          </w:tcPr>
          <w:p w14:paraId="392C8D30" w14:textId="77777777" w:rsidR="00980E5F" w:rsidRDefault="00980E5F">
            <w:pPr>
              <w:rPr>
                <w:rFonts w:ascii="宋体"/>
              </w:rPr>
            </w:pPr>
          </w:p>
        </w:tc>
        <w:tc>
          <w:tcPr>
            <w:tcW w:w="5" w:type="pct"/>
            <w:shd w:val="clear" w:color="auto" w:fill="auto"/>
            <w:vAlign w:val="bottom"/>
          </w:tcPr>
          <w:p w14:paraId="392C8D31" w14:textId="77777777" w:rsidR="00980E5F" w:rsidRDefault="00980E5F">
            <w:pPr>
              <w:rPr>
                <w:rFonts w:ascii="宋体"/>
              </w:rPr>
            </w:pPr>
          </w:p>
        </w:tc>
        <w:tc>
          <w:tcPr>
            <w:tcW w:w="26" w:type="pct"/>
            <w:shd w:val="clear" w:color="auto" w:fill="auto"/>
            <w:vAlign w:val="bottom"/>
          </w:tcPr>
          <w:p w14:paraId="392C8D32" w14:textId="77777777" w:rsidR="00980E5F" w:rsidRDefault="00980E5F">
            <w:pPr>
              <w:rPr>
                <w:rFonts w:ascii="宋体"/>
              </w:rPr>
            </w:pPr>
          </w:p>
        </w:tc>
        <w:tc>
          <w:tcPr>
            <w:tcW w:w="5" w:type="pct"/>
            <w:shd w:val="clear" w:color="auto" w:fill="auto"/>
            <w:vAlign w:val="bottom"/>
          </w:tcPr>
          <w:p w14:paraId="392C8D33" w14:textId="77777777" w:rsidR="00980E5F" w:rsidRDefault="00980E5F">
            <w:pPr>
              <w:rPr>
                <w:rFonts w:ascii="宋体"/>
              </w:rPr>
            </w:pPr>
          </w:p>
        </w:tc>
        <w:tc>
          <w:tcPr>
            <w:tcW w:w="50" w:type="pct"/>
            <w:shd w:val="clear" w:color="auto" w:fill="auto"/>
            <w:vAlign w:val="bottom"/>
          </w:tcPr>
          <w:p w14:paraId="392C8D34" w14:textId="77777777" w:rsidR="00980E5F" w:rsidRDefault="00980E5F">
            <w:pPr>
              <w:rPr>
                <w:rFonts w:ascii="宋体"/>
              </w:rPr>
            </w:pPr>
          </w:p>
        </w:tc>
        <w:tc>
          <w:tcPr>
            <w:tcW w:w="756" w:type="pct"/>
            <w:shd w:val="clear" w:color="auto" w:fill="auto"/>
            <w:vAlign w:val="bottom"/>
          </w:tcPr>
          <w:p w14:paraId="392C8D35" w14:textId="77777777" w:rsidR="00980E5F" w:rsidRDefault="00980E5F">
            <w:pPr>
              <w:rPr>
                <w:rFonts w:ascii="宋体"/>
              </w:rPr>
            </w:pPr>
          </w:p>
        </w:tc>
        <w:tc>
          <w:tcPr>
            <w:tcW w:w="5" w:type="pct"/>
            <w:shd w:val="clear" w:color="auto" w:fill="auto"/>
            <w:vAlign w:val="bottom"/>
          </w:tcPr>
          <w:p w14:paraId="392C8D36" w14:textId="77777777" w:rsidR="00980E5F" w:rsidRDefault="00980E5F">
            <w:pPr>
              <w:rPr>
                <w:rFonts w:ascii="宋体"/>
              </w:rPr>
            </w:pPr>
          </w:p>
        </w:tc>
        <w:tc>
          <w:tcPr>
            <w:tcW w:w="5" w:type="pct"/>
            <w:shd w:val="clear" w:color="auto" w:fill="auto"/>
            <w:vAlign w:val="bottom"/>
          </w:tcPr>
          <w:p w14:paraId="392C8D37" w14:textId="77777777" w:rsidR="00980E5F" w:rsidRDefault="00980E5F">
            <w:pPr>
              <w:rPr>
                <w:rFonts w:ascii="宋体"/>
              </w:rPr>
            </w:pPr>
          </w:p>
        </w:tc>
        <w:tc>
          <w:tcPr>
            <w:tcW w:w="26" w:type="pct"/>
            <w:shd w:val="clear" w:color="auto" w:fill="auto"/>
            <w:vAlign w:val="bottom"/>
          </w:tcPr>
          <w:p w14:paraId="392C8D38" w14:textId="77777777" w:rsidR="00980E5F" w:rsidRDefault="00980E5F">
            <w:pPr>
              <w:rPr>
                <w:rFonts w:ascii="宋体"/>
              </w:rPr>
            </w:pPr>
          </w:p>
        </w:tc>
        <w:tc>
          <w:tcPr>
            <w:tcW w:w="5" w:type="pct"/>
            <w:shd w:val="clear" w:color="auto" w:fill="auto"/>
            <w:vAlign w:val="bottom"/>
          </w:tcPr>
          <w:p w14:paraId="392C8D39" w14:textId="77777777" w:rsidR="00980E5F" w:rsidRDefault="00980E5F">
            <w:pPr>
              <w:rPr>
                <w:rFonts w:ascii="宋体"/>
              </w:rPr>
            </w:pPr>
          </w:p>
        </w:tc>
        <w:tc>
          <w:tcPr>
            <w:tcW w:w="50" w:type="pct"/>
            <w:shd w:val="clear" w:color="auto" w:fill="auto"/>
            <w:vAlign w:val="bottom"/>
          </w:tcPr>
          <w:p w14:paraId="392C8D3A" w14:textId="77777777" w:rsidR="00980E5F" w:rsidRDefault="00980E5F">
            <w:pPr>
              <w:rPr>
                <w:rFonts w:ascii="宋体"/>
              </w:rPr>
            </w:pPr>
          </w:p>
        </w:tc>
        <w:tc>
          <w:tcPr>
            <w:tcW w:w="814" w:type="pct"/>
            <w:shd w:val="clear" w:color="auto" w:fill="auto"/>
            <w:vAlign w:val="bottom"/>
          </w:tcPr>
          <w:p w14:paraId="392C8D3B" w14:textId="77777777" w:rsidR="00980E5F" w:rsidRDefault="00980E5F">
            <w:pPr>
              <w:rPr>
                <w:rFonts w:ascii="宋体"/>
              </w:rPr>
            </w:pPr>
          </w:p>
        </w:tc>
        <w:tc>
          <w:tcPr>
            <w:tcW w:w="5" w:type="pct"/>
            <w:shd w:val="clear" w:color="auto" w:fill="auto"/>
            <w:vAlign w:val="bottom"/>
          </w:tcPr>
          <w:p w14:paraId="392C8D3C" w14:textId="77777777" w:rsidR="00980E5F" w:rsidRDefault="00980E5F">
            <w:pPr>
              <w:rPr>
                <w:rFonts w:ascii="宋体"/>
              </w:rPr>
            </w:pPr>
          </w:p>
        </w:tc>
        <w:tc>
          <w:tcPr>
            <w:tcW w:w="5" w:type="pct"/>
            <w:shd w:val="clear" w:color="auto" w:fill="auto"/>
            <w:vAlign w:val="bottom"/>
          </w:tcPr>
          <w:p w14:paraId="392C8D3D" w14:textId="77777777" w:rsidR="00980E5F" w:rsidRDefault="00980E5F">
            <w:pPr>
              <w:rPr>
                <w:rFonts w:ascii="宋体"/>
              </w:rPr>
            </w:pPr>
          </w:p>
        </w:tc>
        <w:tc>
          <w:tcPr>
            <w:tcW w:w="26" w:type="pct"/>
            <w:shd w:val="clear" w:color="auto" w:fill="auto"/>
            <w:vAlign w:val="bottom"/>
          </w:tcPr>
          <w:p w14:paraId="392C8D3E" w14:textId="77777777" w:rsidR="00980E5F" w:rsidRDefault="00980E5F">
            <w:pPr>
              <w:rPr>
                <w:rFonts w:ascii="宋体"/>
              </w:rPr>
            </w:pPr>
          </w:p>
        </w:tc>
        <w:tc>
          <w:tcPr>
            <w:tcW w:w="5" w:type="pct"/>
            <w:shd w:val="clear" w:color="auto" w:fill="auto"/>
            <w:vAlign w:val="bottom"/>
          </w:tcPr>
          <w:p w14:paraId="392C8D3F" w14:textId="77777777" w:rsidR="00980E5F" w:rsidRDefault="00980E5F">
            <w:pPr>
              <w:rPr>
                <w:rFonts w:ascii="宋体"/>
              </w:rPr>
            </w:pPr>
          </w:p>
        </w:tc>
        <w:tc>
          <w:tcPr>
            <w:tcW w:w="50" w:type="pct"/>
            <w:shd w:val="clear" w:color="auto" w:fill="auto"/>
            <w:vAlign w:val="bottom"/>
          </w:tcPr>
          <w:p w14:paraId="392C8D40" w14:textId="77777777" w:rsidR="00980E5F" w:rsidRDefault="00980E5F">
            <w:pPr>
              <w:rPr>
                <w:rFonts w:ascii="宋体"/>
              </w:rPr>
            </w:pPr>
          </w:p>
        </w:tc>
        <w:tc>
          <w:tcPr>
            <w:tcW w:w="668" w:type="pct"/>
            <w:shd w:val="clear" w:color="auto" w:fill="auto"/>
            <w:vAlign w:val="bottom"/>
          </w:tcPr>
          <w:p w14:paraId="392C8D41" w14:textId="77777777" w:rsidR="00980E5F" w:rsidRDefault="00980E5F">
            <w:pPr>
              <w:rPr>
                <w:rFonts w:ascii="宋体"/>
              </w:rPr>
            </w:pPr>
          </w:p>
        </w:tc>
        <w:tc>
          <w:tcPr>
            <w:tcW w:w="5" w:type="pct"/>
            <w:shd w:val="clear" w:color="auto" w:fill="auto"/>
            <w:vAlign w:val="bottom"/>
          </w:tcPr>
          <w:p w14:paraId="392C8D42" w14:textId="77777777" w:rsidR="00980E5F" w:rsidRDefault="00980E5F">
            <w:pPr>
              <w:rPr>
                <w:rFonts w:ascii="宋体"/>
              </w:rPr>
            </w:pPr>
          </w:p>
        </w:tc>
        <w:tc>
          <w:tcPr>
            <w:tcW w:w="5" w:type="pct"/>
            <w:shd w:val="clear" w:color="auto" w:fill="auto"/>
            <w:vAlign w:val="bottom"/>
          </w:tcPr>
          <w:p w14:paraId="392C8D43" w14:textId="77777777" w:rsidR="00980E5F" w:rsidRDefault="00980E5F">
            <w:pPr>
              <w:rPr>
                <w:rFonts w:ascii="宋体"/>
              </w:rPr>
            </w:pPr>
          </w:p>
        </w:tc>
        <w:tc>
          <w:tcPr>
            <w:tcW w:w="26" w:type="pct"/>
            <w:shd w:val="clear" w:color="auto" w:fill="auto"/>
            <w:vAlign w:val="bottom"/>
          </w:tcPr>
          <w:p w14:paraId="392C8D44" w14:textId="77777777" w:rsidR="00980E5F" w:rsidRDefault="00980E5F">
            <w:pPr>
              <w:rPr>
                <w:rFonts w:ascii="宋体"/>
              </w:rPr>
            </w:pPr>
          </w:p>
        </w:tc>
        <w:tc>
          <w:tcPr>
            <w:tcW w:w="5" w:type="pct"/>
            <w:shd w:val="clear" w:color="auto" w:fill="auto"/>
            <w:vAlign w:val="bottom"/>
          </w:tcPr>
          <w:p w14:paraId="392C8D45" w14:textId="77777777" w:rsidR="00980E5F" w:rsidRDefault="00980E5F">
            <w:pPr>
              <w:rPr>
                <w:rFonts w:ascii="宋体"/>
              </w:rPr>
            </w:pPr>
          </w:p>
        </w:tc>
        <w:tc>
          <w:tcPr>
            <w:tcW w:w="50" w:type="pct"/>
            <w:shd w:val="clear" w:color="auto" w:fill="auto"/>
            <w:vAlign w:val="bottom"/>
          </w:tcPr>
          <w:p w14:paraId="392C8D46" w14:textId="77777777" w:rsidR="00980E5F" w:rsidRDefault="00980E5F">
            <w:pPr>
              <w:rPr>
                <w:rFonts w:ascii="宋体"/>
              </w:rPr>
            </w:pPr>
          </w:p>
        </w:tc>
        <w:tc>
          <w:tcPr>
            <w:tcW w:w="478" w:type="pct"/>
            <w:shd w:val="clear" w:color="auto" w:fill="auto"/>
            <w:vAlign w:val="bottom"/>
          </w:tcPr>
          <w:p w14:paraId="392C8D47" w14:textId="77777777" w:rsidR="00980E5F" w:rsidRDefault="00980E5F">
            <w:pPr>
              <w:rPr>
                <w:rFonts w:ascii="宋体"/>
              </w:rPr>
            </w:pPr>
          </w:p>
        </w:tc>
        <w:tc>
          <w:tcPr>
            <w:tcW w:w="5" w:type="pct"/>
            <w:shd w:val="clear" w:color="auto" w:fill="auto"/>
            <w:vAlign w:val="bottom"/>
          </w:tcPr>
          <w:p w14:paraId="392C8D48" w14:textId="77777777" w:rsidR="00980E5F" w:rsidRDefault="00980E5F">
            <w:pPr>
              <w:rPr>
                <w:rFonts w:ascii="宋体"/>
              </w:rPr>
            </w:pPr>
          </w:p>
        </w:tc>
      </w:tr>
      <w:tr w:rsidR="00980E5F" w14:paraId="392C8D4C" w14:textId="77777777">
        <w:tc>
          <w:tcPr>
            <w:tcW w:w="0" w:type="auto"/>
            <w:gridSpan w:val="3"/>
            <w:shd w:val="clear" w:color="auto" w:fill="auto"/>
            <w:tcMar>
              <w:top w:w="40" w:type="dxa"/>
              <w:left w:w="20" w:type="dxa"/>
              <w:bottom w:w="40" w:type="dxa"/>
              <w:right w:w="20" w:type="dxa"/>
            </w:tcMar>
            <w:vAlign w:val="bottom"/>
          </w:tcPr>
          <w:p w14:paraId="392C8D4A" w14:textId="77777777" w:rsidR="00980E5F" w:rsidRDefault="00483613">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392C8D4B" w14:textId="77777777" w:rsidR="00980E5F" w:rsidRDefault="00483613">
            <w:pPr>
              <w:jc w:val="center"/>
              <w:textAlignment w:val="bottom"/>
            </w:pPr>
            <w:r>
              <w:rPr>
                <w:rFonts w:ascii="Arial" w:eastAsia="宋体" w:hAnsi="Arial" w:cs="Arial"/>
                <w:b/>
                <w:bCs/>
                <w:color w:val="000000"/>
                <w:sz w:val="15"/>
                <w:szCs w:val="15"/>
              </w:rPr>
              <w:t>December 31, 2021</w:t>
            </w:r>
          </w:p>
        </w:tc>
      </w:tr>
      <w:tr w:rsidR="00980E5F" w14:paraId="392C8D55" w14:textId="77777777">
        <w:trPr>
          <w:trHeight w:val="360"/>
        </w:trPr>
        <w:tc>
          <w:tcPr>
            <w:tcW w:w="0" w:type="auto"/>
            <w:gridSpan w:val="3"/>
            <w:shd w:val="clear" w:color="auto" w:fill="auto"/>
            <w:tcMar>
              <w:top w:w="0" w:type="dxa"/>
              <w:left w:w="20" w:type="dxa"/>
              <w:bottom w:w="0" w:type="dxa"/>
              <w:right w:w="20" w:type="dxa"/>
            </w:tcMar>
            <w:vAlign w:val="bottom"/>
          </w:tcPr>
          <w:p w14:paraId="392C8D4D"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D4E" w14:textId="77777777" w:rsidR="00980E5F" w:rsidRDefault="00483613">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4F"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D50" w14:textId="77777777" w:rsidR="00980E5F" w:rsidRDefault="00483613">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51" w14:textId="77777777" w:rsidR="00980E5F" w:rsidRDefault="00980E5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92C8D52" w14:textId="77777777" w:rsidR="00980E5F" w:rsidRDefault="00483613">
            <w:pPr>
              <w:jc w:val="center"/>
              <w:textAlignment w:val="bottom"/>
            </w:pPr>
            <w:r>
              <w:rPr>
                <w:rFonts w:ascii="Arial" w:eastAsia="宋体" w:hAnsi="Arial" w:cs="Arial"/>
                <w:b/>
                <w:bCs/>
                <w:color w:val="000000"/>
                <w:sz w:val="15"/>
                <w:szCs w:val="15"/>
              </w:rPr>
              <w:t>Net Amounts of Liabilities Presente</w:t>
            </w:r>
            <w:r>
              <w:rPr>
                <w:rFonts w:ascii="Arial" w:eastAsia="宋体" w:hAnsi="Arial" w:cs="Arial"/>
                <w:b/>
                <w:bCs/>
                <w:color w:val="000000"/>
                <w:sz w:val="15"/>
                <w:szCs w:val="15"/>
              </w:rPr>
              <w:t>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53"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8D54" w14:textId="77777777" w:rsidR="00980E5F" w:rsidRDefault="00483613">
            <w:pPr>
              <w:jc w:val="center"/>
              <w:textAlignment w:val="bottom"/>
            </w:pPr>
            <w:r>
              <w:rPr>
                <w:rFonts w:ascii="Arial" w:eastAsia="宋体" w:hAnsi="Arial" w:cs="Arial"/>
                <w:b/>
                <w:bCs/>
                <w:color w:val="000000"/>
                <w:sz w:val="15"/>
                <w:szCs w:val="15"/>
              </w:rPr>
              <w:t>Gross Amounts Not Offset in Statement of Condition</w:t>
            </w:r>
          </w:p>
        </w:tc>
      </w:tr>
      <w:tr w:rsidR="00980E5F" w14:paraId="392C8D60" w14:textId="77777777">
        <w:trPr>
          <w:trHeight w:val="520"/>
        </w:trPr>
        <w:tc>
          <w:tcPr>
            <w:tcW w:w="0" w:type="auto"/>
            <w:gridSpan w:val="3"/>
            <w:shd w:val="clear" w:color="auto" w:fill="auto"/>
            <w:tcMar>
              <w:top w:w="40" w:type="dxa"/>
              <w:left w:w="20" w:type="dxa"/>
              <w:bottom w:w="40" w:type="dxa"/>
              <w:right w:w="20" w:type="dxa"/>
            </w:tcMar>
            <w:vAlign w:val="bottom"/>
          </w:tcPr>
          <w:p w14:paraId="392C8D56" w14:textId="77777777" w:rsidR="00980E5F" w:rsidRDefault="00483613">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D5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58"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D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5A" w14:textId="77777777" w:rsidR="00980E5F" w:rsidRDefault="00980E5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92C8D5B" w14:textId="77777777" w:rsidR="00980E5F" w:rsidRDefault="00980E5F">
            <w:pPr>
              <w:jc w:val="center"/>
              <w:rPr>
                <w:rFonts w:ascii="宋体"/>
              </w:rPr>
            </w:pPr>
          </w:p>
        </w:tc>
        <w:tc>
          <w:tcPr>
            <w:tcW w:w="0" w:type="auto"/>
            <w:gridSpan w:val="3"/>
            <w:shd w:val="clear" w:color="auto" w:fill="auto"/>
            <w:tcMar>
              <w:top w:w="0" w:type="dxa"/>
              <w:left w:w="20" w:type="dxa"/>
              <w:bottom w:w="0" w:type="dxa"/>
              <w:right w:w="20" w:type="dxa"/>
            </w:tcMar>
            <w:vAlign w:val="bottom"/>
          </w:tcPr>
          <w:p w14:paraId="392C8D5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D5D" w14:textId="77777777" w:rsidR="00980E5F" w:rsidRDefault="00483613">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5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D5F" w14:textId="77777777" w:rsidR="00980E5F" w:rsidRDefault="00483613">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980E5F" w14:paraId="392C8D6B" w14:textId="77777777">
        <w:tc>
          <w:tcPr>
            <w:tcW w:w="0" w:type="auto"/>
            <w:gridSpan w:val="3"/>
            <w:shd w:val="clear" w:color="auto" w:fill="auto"/>
            <w:tcMar>
              <w:top w:w="40" w:type="dxa"/>
              <w:left w:w="20" w:type="dxa"/>
              <w:bottom w:w="40" w:type="dxa"/>
              <w:right w:w="20" w:type="dxa"/>
            </w:tcMar>
            <w:vAlign w:val="bottom"/>
          </w:tcPr>
          <w:p w14:paraId="392C8D61" w14:textId="77777777" w:rsidR="00980E5F" w:rsidRDefault="00483613">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6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6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6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6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6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6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D6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D6A" w14:textId="77777777" w:rsidR="00980E5F" w:rsidRDefault="00980E5F">
            <w:pPr>
              <w:rPr>
                <w:rFonts w:ascii="宋体"/>
              </w:rPr>
            </w:pPr>
          </w:p>
        </w:tc>
      </w:tr>
      <w:tr w:rsidR="00980E5F" w14:paraId="392C8D80" w14:textId="77777777">
        <w:tc>
          <w:tcPr>
            <w:tcW w:w="0" w:type="auto"/>
            <w:gridSpan w:val="3"/>
            <w:shd w:val="clear" w:color="auto" w:fill="CCEEFF"/>
            <w:tcMar>
              <w:top w:w="40" w:type="dxa"/>
              <w:left w:w="20" w:type="dxa"/>
              <w:bottom w:w="40" w:type="dxa"/>
              <w:right w:w="20" w:type="dxa"/>
            </w:tcMar>
            <w:vAlign w:val="bottom"/>
          </w:tcPr>
          <w:p w14:paraId="392C8D6C" w14:textId="77777777" w:rsidR="00980E5F" w:rsidRDefault="00483613">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392C8D6D"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D6E" w14:textId="77777777" w:rsidR="00980E5F" w:rsidRDefault="00483613">
            <w:pPr>
              <w:jc w:val="right"/>
              <w:textAlignment w:val="bottom"/>
            </w:pPr>
            <w:r>
              <w:rPr>
                <w:rFonts w:ascii="Arial" w:eastAsia="宋体" w:hAnsi="Arial" w:cs="Arial"/>
                <w:color w:val="000000"/>
                <w:sz w:val="15"/>
                <w:szCs w:val="15"/>
              </w:rPr>
              <w:t>15,825 </w:t>
            </w:r>
          </w:p>
        </w:tc>
        <w:tc>
          <w:tcPr>
            <w:tcW w:w="0" w:type="auto"/>
            <w:shd w:val="clear" w:color="auto" w:fill="CCEEFF"/>
            <w:tcMar>
              <w:top w:w="40" w:type="dxa"/>
              <w:left w:w="0" w:type="dxa"/>
              <w:bottom w:w="40" w:type="dxa"/>
              <w:right w:w="20" w:type="dxa"/>
            </w:tcMar>
            <w:vAlign w:val="bottom"/>
          </w:tcPr>
          <w:p w14:paraId="392C8D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7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D71"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D72" w14:textId="77777777" w:rsidR="00980E5F" w:rsidRDefault="00483613">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392C8D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7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D75"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D76" w14:textId="77777777" w:rsidR="00980E5F" w:rsidRDefault="00483613">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392C8D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7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D7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D7A"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D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7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D7D"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8D7E" w14:textId="77777777" w:rsidR="00980E5F" w:rsidRDefault="00483613">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392C8D7F" w14:textId="77777777" w:rsidR="00980E5F" w:rsidRDefault="00980E5F">
            <w:pPr>
              <w:jc w:val="right"/>
              <w:rPr>
                <w:rFonts w:ascii="宋体"/>
              </w:rPr>
            </w:pPr>
          </w:p>
        </w:tc>
      </w:tr>
      <w:tr w:rsidR="00980E5F" w14:paraId="392C8D90" w14:textId="77777777">
        <w:tc>
          <w:tcPr>
            <w:tcW w:w="0" w:type="auto"/>
            <w:gridSpan w:val="3"/>
            <w:shd w:val="clear" w:color="auto" w:fill="FFFFFF"/>
            <w:tcMar>
              <w:top w:w="40" w:type="dxa"/>
              <w:left w:w="20" w:type="dxa"/>
              <w:bottom w:w="40" w:type="dxa"/>
              <w:right w:w="20" w:type="dxa"/>
            </w:tcMar>
            <w:vAlign w:val="bottom"/>
          </w:tcPr>
          <w:p w14:paraId="392C8D81" w14:textId="77777777" w:rsidR="00980E5F" w:rsidRDefault="00483613">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392C8D82"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D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85"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D8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88"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D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8B"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D8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8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8E"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8D8F" w14:textId="77777777" w:rsidR="00980E5F" w:rsidRDefault="00980E5F">
            <w:pPr>
              <w:jc w:val="right"/>
              <w:rPr>
                <w:rFonts w:ascii="宋体"/>
              </w:rPr>
            </w:pPr>
          </w:p>
        </w:tc>
      </w:tr>
      <w:tr w:rsidR="00980E5F" w14:paraId="392C8DA0" w14:textId="77777777">
        <w:tc>
          <w:tcPr>
            <w:tcW w:w="0" w:type="auto"/>
            <w:gridSpan w:val="3"/>
            <w:shd w:val="clear" w:color="auto" w:fill="CCEEFF"/>
            <w:tcMar>
              <w:top w:w="40" w:type="dxa"/>
              <w:left w:w="20" w:type="dxa"/>
              <w:bottom w:w="40" w:type="dxa"/>
              <w:right w:w="20" w:type="dxa"/>
            </w:tcMar>
            <w:vAlign w:val="bottom"/>
          </w:tcPr>
          <w:p w14:paraId="392C8D91" w14:textId="77777777" w:rsidR="00980E5F" w:rsidRDefault="00483613">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392C8D92" w14:textId="77777777" w:rsidR="00980E5F" w:rsidRDefault="00483613">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392C8D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95"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D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98" w14:textId="77777777" w:rsidR="00980E5F" w:rsidRDefault="00483613">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392C8D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9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9B" w14:textId="77777777" w:rsidR="00980E5F" w:rsidRDefault="00483613">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8D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9E" w14:textId="77777777" w:rsidR="00980E5F" w:rsidRDefault="00483613">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392C8D9F" w14:textId="77777777" w:rsidR="00980E5F" w:rsidRDefault="00980E5F">
            <w:pPr>
              <w:jc w:val="right"/>
              <w:rPr>
                <w:rFonts w:ascii="宋体"/>
              </w:rPr>
            </w:pPr>
          </w:p>
        </w:tc>
      </w:tr>
      <w:tr w:rsidR="00980E5F" w14:paraId="392C8DAF" w14:textId="77777777">
        <w:tc>
          <w:tcPr>
            <w:tcW w:w="0" w:type="auto"/>
            <w:gridSpan w:val="3"/>
            <w:shd w:val="clear" w:color="auto" w:fill="FFFFFF"/>
            <w:tcMar>
              <w:top w:w="40" w:type="dxa"/>
              <w:left w:w="20" w:type="dxa"/>
              <w:bottom w:w="40" w:type="dxa"/>
              <w:right w:w="20" w:type="dxa"/>
            </w:tcMar>
            <w:vAlign w:val="bottom"/>
          </w:tcPr>
          <w:p w14:paraId="392C8DA1" w14:textId="77777777" w:rsidR="00980E5F" w:rsidRDefault="00483613">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392C8DA2" w14:textId="77777777" w:rsidR="00980E5F" w:rsidRDefault="00483613">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vAlign w:val="bottom"/>
          </w:tcPr>
          <w:p w14:paraId="392C8DA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A4" w14:textId="77777777" w:rsidR="00980E5F" w:rsidRDefault="00483613">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392C8DA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A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A7" w14:textId="77777777" w:rsidR="00980E5F" w:rsidRDefault="00483613">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392C8DA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A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AA" w14:textId="77777777" w:rsidR="00980E5F" w:rsidRDefault="00483613">
            <w:pPr>
              <w:jc w:val="right"/>
              <w:textAlignment w:val="bottom"/>
            </w:pPr>
            <w:r>
              <w:rPr>
                <w:rFonts w:ascii="Arial" w:eastAsia="宋体" w:hAnsi="Arial" w:cs="Arial"/>
                <w:color w:val="000000"/>
                <w:sz w:val="15"/>
                <w:szCs w:val="15"/>
              </w:rPr>
              <w:t>(989)</w:t>
            </w:r>
          </w:p>
        </w:tc>
        <w:tc>
          <w:tcPr>
            <w:tcW w:w="0" w:type="auto"/>
            <w:shd w:val="clear" w:color="auto" w:fill="FFFFFF"/>
            <w:tcMar>
              <w:top w:w="40" w:type="dxa"/>
              <w:left w:w="0" w:type="dxa"/>
              <w:bottom w:w="40" w:type="dxa"/>
              <w:right w:w="20" w:type="dxa"/>
            </w:tcMar>
            <w:vAlign w:val="bottom"/>
          </w:tcPr>
          <w:p w14:paraId="392C8DA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A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DAD" w14:textId="77777777" w:rsidR="00980E5F" w:rsidRDefault="00483613">
            <w:pPr>
              <w:jc w:val="right"/>
              <w:textAlignment w:val="bottom"/>
            </w:pPr>
            <w:r>
              <w:rPr>
                <w:rFonts w:ascii="Arial" w:eastAsia="宋体" w:hAnsi="Arial" w:cs="Arial"/>
                <w:color w:val="000000"/>
                <w:sz w:val="15"/>
                <w:szCs w:val="15"/>
              </w:rPr>
              <w:t>(2,271)</w:t>
            </w:r>
          </w:p>
        </w:tc>
        <w:tc>
          <w:tcPr>
            <w:tcW w:w="0" w:type="auto"/>
            <w:shd w:val="clear" w:color="auto" w:fill="FFFFFF"/>
            <w:tcMar>
              <w:top w:w="40" w:type="dxa"/>
              <w:left w:w="0" w:type="dxa"/>
              <w:bottom w:w="40" w:type="dxa"/>
              <w:right w:w="20" w:type="dxa"/>
            </w:tcMar>
            <w:vAlign w:val="bottom"/>
          </w:tcPr>
          <w:p w14:paraId="392C8DAE" w14:textId="77777777" w:rsidR="00980E5F" w:rsidRDefault="00980E5F">
            <w:pPr>
              <w:jc w:val="right"/>
              <w:rPr>
                <w:rFonts w:ascii="宋体"/>
              </w:rPr>
            </w:pPr>
          </w:p>
        </w:tc>
      </w:tr>
      <w:tr w:rsidR="00980E5F" w14:paraId="392C8DBF" w14:textId="77777777">
        <w:tc>
          <w:tcPr>
            <w:tcW w:w="0" w:type="auto"/>
            <w:gridSpan w:val="3"/>
            <w:shd w:val="clear" w:color="auto" w:fill="CCEEFF"/>
            <w:tcMar>
              <w:top w:w="40" w:type="dxa"/>
              <w:left w:w="20" w:type="dxa"/>
              <w:bottom w:w="40" w:type="dxa"/>
              <w:right w:w="20" w:type="dxa"/>
            </w:tcMar>
            <w:vAlign w:val="bottom"/>
          </w:tcPr>
          <w:p w14:paraId="392C8DB0" w14:textId="77777777" w:rsidR="00980E5F" w:rsidRDefault="00483613">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DB1" w14:textId="77777777" w:rsidR="00980E5F" w:rsidRDefault="00483613">
            <w:pPr>
              <w:jc w:val="right"/>
              <w:textAlignment w:val="bottom"/>
            </w:pPr>
            <w:r>
              <w:rPr>
                <w:rFonts w:ascii="Arial" w:eastAsia="宋体" w:hAnsi="Arial" w:cs="Arial"/>
                <w:color w:val="000000"/>
                <w:sz w:val="15"/>
                <w:szCs w:val="15"/>
              </w:rPr>
              <w:t>16,126 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D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B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DB4" w14:textId="77777777" w:rsidR="00980E5F" w:rsidRDefault="00483613">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D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B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DB7" w14:textId="77777777" w:rsidR="00980E5F" w:rsidRDefault="00483613">
            <w:pPr>
              <w:jc w:val="right"/>
              <w:textAlignment w:val="bottom"/>
            </w:pPr>
            <w:r>
              <w:rPr>
                <w:rFonts w:ascii="Arial" w:eastAsia="宋体" w:hAnsi="Arial" w:cs="Arial"/>
                <w:color w:val="000000"/>
                <w:sz w:val="15"/>
                <w:szCs w:val="15"/>
              </w:rPr>
              <w:t>5,731 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D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B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DBA" w14:textId="77777777" w:rsidR="00980E5F" w:rsidRDefault="00483613">
            <w:pPr>
              <w:jc w:val="right"/>
              <w:textAlignment w:val="bottom"/>
            </w:pPr>
            <w:r>
              <w:rPr>
                <w:rFonts w:ascii="Arial" w:eastAsia="宋体" w:hAnsi="Arial" w:cs="Arial"/>
                <w:color w:val="000000"/>
                <w:sz w:val="15"/>
                <w:szCs w:val="15"/>
              </w:rPr>
              <w:t>(989)</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DB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B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8DBD" w14:textId="77777777" w:rsidR="00980E5F" w:rsidRDefault="00483613">
            <w:pPr>
              <w:jc w:val="right"/>
              <w:textAlignment w:val="bottom"/>
            </w:pPr>
            <w:r>
              <w:rPr>
                <w:rFonts w:ascii="Arial" w:eastAsia="宋体" w:hAnsi="Arial" w:cs="Arial"/>
                <w:color w:val="000000"/>
                <w:sz w:val="15"/>
                <w:szCs w:val="15"/>
              </w:rPr>
              <w:t>4,742 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8DBE" w14:textId="77777777" w:rsidR="00980E5F" w:rsidRDefault="00980E5F">
            <w:pPr>
              <w:jc w:val="right"/>
              <w:rPr>
                <w:rFonts w:ascii="宋体"/>
              </w:rPr>
            </w:pPr>
          </w:p>
        </w:tc>
      </w:tr>
      <w:tr w:rsidR="00980E5F" w14:paraId="392C8DCA" w14:textId="77777777">
        <w:tc>
          <w:tcPr>
            <w:tcW w:w="0" w:type="auto"/>
            <w:gridSpan w:val="3"/>
            <w:shd w:val="clear" w:color="auto" w:fill="FFFFFF"/>
            <w:tcMar>
              <w:top w:w="40" w:type="dxa"/>
              <w:left w:w="20" w:type="dxa"/>
              <w:bottom w:w="40" w:type="dxa"/>
              <w:right w:w="20" w:type="dxa"/>
            </w:tcMar>
            <w:vAlign w:val="bottom"/>
          </w:tcPr>
          <w:p w14:paraId="392C8DC0" w14:textId="77777777" w:rsidR="00980E5F" w:rsidRDefault="00483613">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392C8DC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8DC9" w14:textId="77777777" w:rsidR="00980E5F" w:rsidRDefault="00980E5F">
            <w:pPr>
              <w:rPr>
                <w:rFonts w:ascii="宋体"/>
              </w:rPr>
            </w:pPr>
          </w:p>
        </w:tc>
      </w:tr>
      <w:tr w:rsidR="00980E5F" w14:paraId="392C8DDA" w14:textId="77777777">
        <w:tc>
          <w:tcPr>
            <w:tcW w:w="0" w:type="auto"/>
            <w:gridSpan w:val="3"/>
            <w:shd w:val="clear" w:color="auto" w:fill="CCEEFF"/>
            <w:tcMar>
              <w:top w:w="40" w:type="dxa"/>
              <w:left w:w="20" w:type="dxa"/>
              <w:bottom w:w="40" w:type="dxa"/>
              <w:right w:w="20" w:type="dxa"/>
            </w:tcMar>
            <w:vAlign w:val="bottom"/>
          </w:tcPr>
          <w:p w14:paraId="392C8DCB" w14:textId="77777777" w:rsidR="00980E5F" w:rsidRDefault="00483613">
            <w:pPr>
              <w:textAlignment w:val="bottom"/>
            </w:pPr>
            <w:r>
              <w:rPr>
                <w:rFonts w:ascii="Arial" w:eastAsia="宋体" w:hAnsi="Arial" w:cs="Arial"/>
                <w:color w:val="000000"/>
                <w:sz w:val="15"/>
                <w:szCs w:val="15"/>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392C8DCC" w14:textId="77777777" w:rsidR="00980E5F" w:rsidRDefault="00483613">
            <w:pPr>
              <w:jc w:val="right"/>
              <w:textAlignment w:val="bottom"/>
            </w:pPr>
            <w:r>
              <w:rPr>
                <w:rFonts w:ascii="Arial" w:eastAsia="宋体" w:hAnsi="Arial" w:cs="Arial"/>
                <w:color w:val="000000"/>
                <w:sz w:val="15"/>
                <w:szCs w:val="15"/>
              </w:rPr>
              <w:t>82,674 </w:t>
            </w:r>
          </w:p>
        </w:tc>
        <w:tc>
          <w:tcPr>
            <w:tcW w:w="0" w:type="auto"/>
            <w:shd w:val="clear" w:color="auto" w:fill="CCEEFF"/>
            <w:tcMar>
              <w:top w:w="40" w:type="dxa"/>
              <w:left w:w="0" w:type="dxa"/>
              <w:bottom w:w="40" w:type="dxa"/>
              <w:right w:w="20" w:type="dxa"/>
            </w:tcMar>
            <w:vAlign w:val="bottom"/>
          </w:tcPr>
          <w:p w14:paraId="392C8D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CF" w14:textId="77777777" w:rsidR="00980E5F" w:rsidRDefault="00483613">
            <w:pPr>
              <w:jc w:val="right"/>
              <w:textAlignment w:val="bottom"/>
            </w:pPr>
            <w:r>
              <w:rPr>
                <w:rFonts w:ascii="Arial" w:eastAsia="宋体" w:hAnsi="Arial" w:cs="Arial"/>
                <w:color w:val="000000"/>
                <w:sz w:val="15"/>
                <w:szCs w:val="15"/>
              </w:rPr>
              <w:t>(77,063)</w:t>
            </w:r>
          </w:p>
        </w:tc>
        <w:tc>
          <w:tcPr>
            <w:tcW w:w="0" w:type="auto"/>
            <w:shd w:val="clear" w:color="auto" w:fill="CCEEFF"/>
            <w:tcMar>
              <w:top w:w="40" w:type="dxa"/>
              <w:left w:w="0" w:type="dxa"/>
              <w:bottom w:w="40" w:type="dxa"/>
              <w:right w:w="20" w:type="dxa"/>
            </w:tcMar>
            <w:vAlign w:val="bottom"/>
          </w:tcPr>
          <w:p w14:paraId="392C8D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D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D2" w14:textId="77777777" w:rsidR="00980E5F" w:rsidRDefault="00483613">
            <w:pPr>
              <w:jc w:val="right"/>
              <w:textAlignment w:val="bottom"/>
            </w:pPr>
            <w:r>
              <w:rPr>
                <w:rFonts w:ascii="Arial" w:eastAsia="宋体" w:hAnsi="Arial" w:cs="Arial"/>
                <w:color w:val="000000"/>
                <w:sz w:val="15"/>
                <w:szCs w:val="15"/>
              </w:rPr>
              <w:t>5,611 </w:t>
            </w:r>
          </w:p>
        </w:tc>
        <w:tc>
          <w:tcPr>
            <w:tcW w:w="0" w:type="auto"/>
            <w:shd w:val="clear" w:color="auto" w:fill="CCEEFF"/>
            <w:tcMar>
              <w:top w:w="40" w:type="dxa"/>
              <w:left w:w="0" w:type="dxa"/>
              <w:bottom w:w="40" w:type="dxa"/>
              <w:right w:w="20" w:type="dxa"/>
            </w:tcMar>
            <w:vAlign w:val="bottom"/>
          </w:tcPr>
          <w:p w14:paraId="392C8D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D5" w14:textId="77777777" w:rsidR="00980E5F" w:rsidRDefault="00483613">
            <w:pPr>
              <w:jc w:val="right"/>
              <w:textAlignment w:val="bottom"/>
            </w:pPr>
            <w:r>
              <w:rPr>
                <w:rFonts w:ascii="Arial" w:eastAsia="宋体" w:hAnsi="Arial" w:cs="Arial"/>
                <w:color w:val="000000"/>
                <w:sz w:val="15"/>
                <w:szCs w:val="15"/>
              </w:rPr>
              <w:t>(4,066)</w:t>
            </w:r>
          </w:p>
        </w:tc>
        <w:tc>
          <w:tcPr>
            <w:tcW w:w="0" w:type="auto"/>
            <w:shd w:val="clear" w:color="auto" w:fill="CCEEFF"/>
            <w:tcMar>
              <w:top w:w="40" w:type="dxa"/>
              <w:left w:w="0" w:type="dxa"/>
              <w:bottom w:w="40" w:type="dxa"/>
              <w:right w:w="20" w:type="dxa"/>
            </w:tcMar>
            <w:vAlign w:val="bottom"/>
          </w:tcPr>
          <w:p w14:paraId="392C8D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D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DD8" w14:textId="77777777" w:rsidR="00980E5F" w:rsidRDefault="00483613">
            <w:pPr>
              <w:jc w:val="right"/>
              <w:textAlignment w:val="bottom"/>
            </w:pPr>
            <w:r>
              <w:rPr>
                <w:rFonts w:ascii="Arial" w:eastAsia="宋体" w:hAnsi="Arial" w:cs="Arial"/>
                <w:color w:val="000000"/>
                <w:sz w:val="15"/>
                <w:szCs w:val="15"/>
              </w:rPr>
              <w:t>1,545 </w:t>
            </w:r>
          </w:p>
        </w:tc>
        <w:tc>
          <w:tcPr>
            <w:tcW w:w="0" w:type="auto"/>
            <w:shd w:val="clear" w:color="auto" w:fill="CCEEFF"/>
            <w:tcMar>
              <w:top w:w="40" w:type="dxa"/>
              <w:left w:w="0" w:type="dxa"/>
              <w:bottom w:w="40" w:type="dxa"/>
              <w:right w:w="20" w:type="dxa"/>
            </w:tcMar>
            <w:vAlign w:val="bottom"/>
          </w:tcPr>
          <w:p w14:paraId="392C8DD9" w14:textId="77777777" w:rsidR="00980E5F" w:rsidRDefault="00980E5F">
            <w:pPr>
              <w:jc w:val="right"/>
              <w:rPr>
                <w:rFonts w:ascii="宋体"/>
              </w:rPr>
            </w:pPr>
          </w:p>
        </w:tc>
      </w:tr>
      <w:tr w:rsidR="00980E5F" w14:paraId="392C8DEF" w14:textId="77777777">
        <w:tc>
          <w:tcPr>
            <w:tcW w:w="0" w:type="auto"/>
            <w:gridSpan w:val="3"/>
            <w:shd w:val="clear" w:color="auto" w:fill="FFFFFF"/>
            <w:tcMar>
              <w:top w:w="40" w:type="dxa"/>
              <w:left w:w="20" w:type="dxa"/>
              <w:bottom w:w="40" w:type="dxa"/>
              <w:right w:w="20" w:type="dxa"/>
            </w:tcMar>
            <w:vAlign w:val="bottom"/>
          </w:tcPr>
          <w:p w14:paraId="392C8DDB" w14:textId="77777777" w:rsidR="00980E5F" w:rsidRDefault="00483613">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D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DD" w14:textId="77777777" w:rsidR="00980E5F" w:rsidRDefault="00483613">
            <w:pPr>
              <w:jc w:val="right"/>
              <w:textAlignment w:val="bottom"/>
            </w:pPr>
            <w:r>
              <w:rPr>
                <w:rFonts w:ascii="Arial" w:eastAsia="宋体" w:hAnsi="Arial" w:cs="Arial"/>
                <w:color w:val="000000"/>
                <w:sz w:val="15"/>
                <w:szCs w:val="15"/>
              </w:rPr>
              <w:t>98,800 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D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E0"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E1" w14:textId="77777777" w:rsidR="00980E5F" w:rsidRDefault="00483613">
            <w:pPr>
              <w:jc w:val="right"/>
              <w:textAlignment w:val="bottom"/>
            </w:pPr>
            <w:r>
              <w:rPr>
                <w:rFonts w:ascii="Arial" w:eastAsia="宋体" w:hAnsi="Arial" w:cs="Arial"/>
                <w:color w:val="000000"/>
                <w:sz w:val="15"/>
                <w:szCs w:val="15"/>
              </w:rPr>
              <w:t>(87,458)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E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E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E5" w14:textId="77777777" w:rsidR="00980E5F" w:rsidRDefault="00483613">
            <w:pPr>
              <w:jc w:val="right"/>
              <w:textAlignment w:val="bottom"/>
            </w:pPr>
            <w:r>
              <w:rPr>
                <w:rFonts w:ascii="Arial" w:eastAsia="宋体" w:hAnsi="Arial" w:cs="Arial"/>
                <w:color w:val="000000"/>
                <w:sz w:val="15"/>
                <w:szCs w:val="15"/>
              </w:rPr>
              <w:t>11,342 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E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E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E9" w14:textId="77777777" w:rsidR="00980E5F" w:rsidRDefault="00483613">
            <w:pPr>
              <w:jc w:val="right"/>
              <w:textAlignment w:val="bottom"/>
            </w:pPr>
            <w:r>
              <w:rPr>
                <w:rFonts w:ascii="Arial" w:eastAsia="宋体" w:hAnsi="Arial" w:cs="Arial"/>
                <w:color w:val="000000"/>
                <w:sz w:val="15"/>
                <w:szCs w:val="15"/>
              </w:rPr>
              <w:t>(5,055)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DEB"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8DEC"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8DED" w14:textId="77777777" w:rsidR="00980E5F" w:rsidRDefault="00483613">
            <w:pPr>
              <w:jc w:val="right"/>
              <w:textAlignment w:val="bottom"/>
            </w:pPr>
            <w:r>
              <w:rPr>
                <w:rFonts w:ascii="Arial" w:eastAsia="宋体" w:hAnsi="Arial" w:cs="Arial"/>
                <w:color w:val="000000"/>
                <w:sz w:val="15"/>
                <w:szCs w:val="15"/>
              </w:rPr>
              <w:t>6,287 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8DEE" w14:textId="77777777" w:rsidR="00980E5F" w:rsidRDefault="00980E5F">
            <w:pPr>
              <w:jc w:val="right"/>
              <w:rPr>
                <w:rFonts w:ascii="宋体"/>
              </w:rPr>
            </w:pPr>
          </w:p>
        </w:tc>
      </w:tr>
    </w:tbl>
    <w:p w14:paraId="392C8DF0"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980E5F" w14:paraId="392C8E00" w14:textId="77777777">
        <w:tc>
          <w:tcPr>
            <w:tcW w:w="50" w:type="pct"/>
            <w:shd w:val="clear" w:color="auto" w:fill="auto"/>
            <w:vAlign w:val="bottom"/>
          </w:tcPr>
          <w:p w14:paraId="392C8DF1" w14:textId="77777777" w:rsidR="00980E5F" w:rsidRDefault="00980E5F">
            <w:pPr>
              <w:rPr>
                <w:rFonts w:ascii="宋体"/>
              </w:rPr>
            </w:pPr>
          </w:p>
        </w:tc>
        <w:tc>
          <w:tcPr>
            <w:tcW w:w="1348" w:type="pct"/>
            <w:shd w:val="clear" w:color="auto" w:fill="auto"/>
            <w:vAlign w:val="bottom"/>
          </w:tcPr>
          <w:p w14:paraId="392C8DF2" w14:textId="77777777" w:rsidR="00980E5F" w:rsidRDefault="00980E5F">
            <w:pPr>
              <w:rPr>
                <w:rFonts w:ascii="宋体"/>
              </w:rPr>
            </w:pPr>
          </w:p>
        </w:tc>
        <w:tc>
          <w:tcPr>
            <w:tcW w:w="5" w:type="pct"/>
            <w:shd w:val="clear" w:color="auto" w:fill="auto"/>
            <w:vAlign w:val="bottom"/>
          </w:tcPr>
          <w:p w14:paraId="392C8DF3" w14:textId="77777777" w:rsidR="00980E5F" w:rsidRDefault="00980E5F">
            <w:pPr>
              <w:rPr>
                <w:rFonts w:ascii="宋体"/>
              </w:rPr>
            </w:pPr>
          </w:p>
        </w:tc>
        <w:tc>
          <w:tcPr>
            <w:tcW w:w="50" w:type="pct"/>
            <w:shd w:val="clear" w:color="auto" w:fill="auto"/>
            <w:vAlign w:val="bottom"/>
          </w:tcPr>
          <w:p w14:paraId="392C8DF4" w14:textId="77777777" w:rsidR="00980E5F" w:rsidRDefault="00980E5F">
            <w:pPr>
              <w:rPr>
                <w:rFonts w:ascii="宋体"/>
              </w:rPr>
            </w:pPr>
          </w:p>
        </w:tc>
        <w:tc>
          <w:tcPr>
            <w:tcW w:w="1048" w:type="pct"/>
            <w:shd w:val="clear" w:color="auto" w:fill="auto"/>
            <w:vAlign w:val="bottom"/>
          </w:tcPr>
          <w:p w14:paraId="392C8DF5" w14:textId="77777777" w:rsidR="00980E5F" w:rsidRDefault="00980E5F">
            <w:pPr>
              <w:rPr>
                <w:rFonts w:ascii="宋体"/>
              </w:rPr>
            </w:pPr>
          </w:p>
        </w:tc>
        <w:tc>
          <w:tcPr>
            <w:tcW w:w="5" w:type="pct"/>
            <w:shd w:val="clear" w:color="auto" w:fill="auto"/>
            <w:vAlign w:val="bottom"/>
          </w:tcPr>
          <w:p w14:paraId="392C8DF6" w14:textId="77777777" w:rsidR="00980E5F" w:rsidRDefault="00980E5F">
            <w:pPr>
              <w:rPr>
                <w:rFonts w:ascii="宋体"/>
              </w:rPr>
            </w:pPr>
          </w:p>
        </w:tc>
        <w:tc>
          <w:tcPr>
            <w:tcW w:w="50" w:type="pct"/>
            <w:shd w:val="clear" w:color="auto" w:fill="auto"/>
            <w:vAlign w:val="bottom"/>
          </w:tcPr>
          <w:p w14:paraId="392C8DF7" w14:textId="77777777" w:rsidR="00980E5F" w:rsidRDefault="00980E5F">
            <w:pPr>
              <w:rPr>
                <w:rFonts w:ascii="宋体"/>
              </w:rPr>
            </w:pPr>
          </w:p>
        </w:tc>
        <w:tc>
          <w:tcPr>
            <w:tcW w:w="917" w:type="pct"/>
            <w:shd w:val="clear" w:color="auto" w:fill="auto"/>
            <w:vAlign w:val="bottom"/>
          </w:tcPr>
          <w:p w14:paraId="392C8DF8" w14:textId="77777777" w:rsidR="00980E5F" w:rsidRDefault="00980E5F">
            <w:pPr>
              <w:rPr>
                <w:rFonts w:ascii="宋体"/>
              </w:rPr>
            </w:pPr>
          </w:p>
        </w:tc>
        <w:tc>
          <w:tcPr>
            <w:tcW w:w="5" w:type="pct"/>
            <w:shd w:val="clear" w:color="auto" w:fill="auto"/>
            <w:vAlign w:val="bottom"/>
          </w:tcPr>
          <w:p w14:paraId="392C8DF9" w14:textId="77777777" w:rsidR="00980E5F" w:rsidRDefault="00980E5F">
            <w:pPr>
              <w:rPr>
                <w:rFonts w:ascii="宋体"/>
              </w:rPr>
            </w:pPr>
          </w:p>
        </w:tc>
        <w:tc>
          <w:tcPr>
            <w:tcW w:w="50" w:type="pct"/>
            <w:shd w:val="clear" w:color="auto" w:fill="auto"/>
            <w:vAlign w:val="bottom"/>
          </w:tcPr>
          <w:p w14:paraId="392C8DFA" w14:textId="77777777" w:rsidR="00980E5F" w:rsidRDefault="00980E5F">
            <w:pPr>
              <w:rPr>
                <w:rFonts w:ascii="宋体"/>
              </w:rPr>
            </w:pPr>
          </w:p>
        </w:tc>
        <w:tc>
          <w:tcPr>
            <w:tcW w:w="917" w:type="pct"/>
            <w:shd w:val="clear" w:color="auto" w:fill="auto"/>
            <w:vAlign w:val="bottom"/>
          </w:tcPr>
          <w:p w14:paraId="392C8DFB" w14:textId="77777777" w:rsidR="00980E5F" w:rsidRDefault="00980E5F">
            <w:pPr>
              <w:rPr>
                <w:rFonts w:ascii="宋体"/>
              </w:rPr>
            </w:pPr>
          </w:p>
        </w:tc>
        <w:tc>
          <w:tcPr>
            <w:tcW w:w="5" w:type="pct"/>
            <w:shd w:val="clear" w:color="auto" w:fill="auto"/>
            <w:vAlign w:val="bottom"/>
          </w:tcPr>
          <w:p w14:paraId="392C8DFC" w14:textId="77777777" w:rsidR="00980E5F" w:rsidRDefault="00980E5F">
            <w:pPr>
              <w:rPr>
                <w:rFonts w:ascii="宋体"/>
              </w:rPr>
            </w:pPr>
          </w:p>
        </w:tc>
        <w:tc>
          <w:tcPr>
            <w:tcW w:w="50" w:type="pct"/>
            <w:shd w:val="clear" w:color="auto" w:fill="auto"/>
            <w:vAlign w:val="bottom"/>
          </w:tcPr>
          <w:p w14:paraId="392C8DFD" w14:textId="77777777" w:rsidR="00980E5F" w:rsidRDefault="00980E5F">
            <w:pPr>
              <w:rPr>
                <w:rFonts w:ascii="宋体"/>
              </w:rPr>
            </w:pPr>
          </w:p>
        </w:tc>
        <w:tc>
          <w:tcPr>
            <w:tcW w:w="493" w:type="pct"/>
            <w:shd w:val="clear" w:color="auto" w:fill="auto"/>
            <w:vAlign w:val="bottom"/>
          </w:tcPr>
          <w:p w14:paraId="392C8DFE" w14:textId="77777777" w:rsidR="00980E5F" w:rsidRDefault="00980E5F">
            <w:pPr>
              <w:rPr>
                <w:rFonts w:ascii="宋体"/>
              </w:rPr>
            </w:pPr>
          </w:p>
        </w:tc>
        <w:tc>
          <w:tcPr>
            <w:tcW w:w="5" w:type="pct"/>
            <w:shd w:val="clear" w:color="auto" w:fill="auto"/>
            <w:vAlign w:val="bottom"/>
          </w:tcPr>
          <w:p w14:paraId="392C8DFF" w14:textId="77777777" w:rsidR="00980E5F" w:rsidRDefault="00980E5F">
            <w:pPr>
              <w:rPr>
                <w:rFonts w:ascii="宋体"/>
              </w:rPr>
            </w:pPr>
          </w:p>
        </w:tc>
      </w:tr>
      <w:tr w:rsidR="00980E5F" w14:paraId="392C8E0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8E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0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0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05" w14:textId="77777777" w:rsidR="00980E5F" w:rsidRDefault="00980E5F">
            <w:pPr>
              <w:rPr>
                <w:rFonts w:ascii="宋体"/>
              </w:rPr>
            </w:pPr>
          </w:p>
        </w:tc>
      </w:tr>
    </w:tbl>
    <w:p w14:paraId="392C8E07" w14:textId="77777777" w:rsidR="00980E5F" w:rsidRDefault="00483613">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392C8E08" w14:textId="77777777" w:rsidR="00980E5F" w:rsidRDefault="00483613">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392C8E09" w14:textId="77777777" w:rsidR="00980E5F" w:rsidRDefault="00483613">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392C8E0A" w14:textId="77777777" w:rsidR="00980E5F" w:rsidRDefault="00483613">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392C8E0B" w14:textId="77777777" w:rsidR="00980E5F" w:rsidRDefault="00483613">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w:t>
      </w:r>
      <w:r>
        <w:rPr>
          <w:rFonts w:ascii="Arial" w:eastAsia="宋体" w:hAnsi="Arial" w:cs="Arial"/>
          <w:color w:val="000000"/>
          <w:sz w:val="14"/>
          <w:szCs w:val="14"/>
        </w:rPr>
        <w:t>ts secured by collateral not determined to be subject to enforceable netting arrangements.</w:t>
      </w:r>
    </w:p>
    <w:p w14:paraId="392C8E0C" w14:textId="77777777" w:rsidR="00980E5F" w:rsidRDefault="00483613">
      <w:pPr>
        <w:spacing w:before="6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392C8E0D" w14:textId="77777777" w:rsidR="00980E5F" w:rsidRDefault="00483613">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$2.70 billion as of June 30, 2022 were $0.95 billion of repurchase</w:t>
      </w:r>
      <w:r>
        <w:rPr>
          <w:rFonts w:ascii="Arial" w:eastAsia="宋体" w:hAnsi="Arial" w:cs="Arial"/>
          <w:color w:val="000000"/>
          <w:sz w:val="14"/>
          <w:szCs w:val="14"/>
        </w:rPr>
        <w:t xml:space="preserve"> agreements and $1.75 billion of collateral received related to securities lending transactions. Included in the $5.61 billion as of December 31, 2021 were $1.57 billion of repurchase agreements and $4.04 billion of collateral received related to securitie</w:t>
      </w:r>
      <w:r>
        <w:rPr>
          <w:rFonts w:ascii="Arial" w:eastAsia="宋体" w:hAnsi="Arial" w:cs="Arial"/>
          <w:color w:val="000000"/>
          <w:sz w:val="14"/>
          <w:szCs w:val="14"/>
        </w:rPr>
        <w:t>s lending transactions. Repurchase agreements and collateral received related to securities lending were recorded in securities sold under repurchase agreements and accrued expenses and other liabilities, respectively, in our consolidated statement of cond</w:t>
      </w:r>
      <w:r>
        <w:rPr>
          <w:rFonts w:ascii="Arial" w:eastAsia="宋体" w:hAnsi="Arial" w:cs="Arial"/>
          <w:color w:val="000000"/>
          <w:sz w:val="14"/>
          <w:szCs w:val="14"/>
        </w:rPr>
        <w:t>ition. Refer to Note 9 for additional information with respect to principal securities finance transactions.</w:t>
      </w:r>
    </w:p>
    <w:p w14:paraId="392C8E0E" w14:textId="77777777" w:rsidR="00980E5F" w:rsidRDefault="00483613">
      <w:pPr>
        <w:spacing w:before="6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a net basis for payment and d</w:t>
      </w:r>
      <w:r>
        <w:rPr>
          <w:rFonts w:ascii="Arial" w:eastAsia="宋体" w:hAnsi="Arial" w:cs="Arial"/>
          <w:color w:val="000000"/>
          <w:sz w:val="14"/>
          <w:szCs w:val="14"/>
        </w:rPr>
        <w:t>elivery through the Fedwire system.</w:t>
      </w:r>
    </w:p>
    <w:p w14:paraId="392C8E0F" w14:textId="77777777" w:rsidR="00980E5F" w:rsidRDefault="00483613">
      <w:pPr>
        <w:spacing w:before="6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392C8E10" w14:textId="77777777" w:rsidR="00980E5F" w:rsidRDefault="00483613">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the securities trans</w:t>
      </w:r>
      <w:r>
        <w:rPr>
          <w:rFonts w:ascii="Arial" w:eastAsia="宋体" w:hAnsi="Arial" w:cs="Arial"/>
          <w:color w:val="000000"/>
          <w:sz w:val="20"/>
          <w:szCs w:val="20"/>
        </w:rPr>
        <w:t xml:space="preserve">ferred are predominantly equity securities and some corporate debt securities. The fair value of the securities transferred may increase in value to an amount greater than the amount received under our repurchase and securities lending arrangements, which </w:t>
      </w:r>
      <w:r>
        <w:rPr>
          <w:rFonts w:ascii="Arial" w:eastAsia="宋体" w:hAnsi="Arial" w:cs="Arial"/>
          <w:color w:val="000000"/>
          <w:sz w:val="20"/>
          <w:szCs w:val="20"/>
        </w:rPr>
        <w:t>exposes us to counterparty risk. We require the review of the price of the underlying securities in relation to the carrying value of the repurchase agreements and securities lending arrangements on a daily basis and when appropriate, adjust the cash or se</w:t>
      </w:r>
      <w:r>
        <w:rPr>
          <w:rFonts w:ascii="Arial" w:eastAsia="宋体" w:hAnsi="Arial" w:cs="Arial"/>
          <w:color w:val="000000"/>
          <w:sz w:val="20"/>
          <w:szCs w:val="20"/>
        </w:rPr>
        <w:t xml:space="preserve">curity to be obtained or returned to counterparties that is reflective of the required collateral levels. </w:t>
      </w:r>
    </w:p>
    <w:p w14:paraId="392C8E11" w14:textId="77777777" w:rsidR="00980E5F" w:rsidRDefault="00483613">
      <w:pPr>
        <w:ind w:firstLine="450"/>
        <w:jc w:val="right"/>
      </w:pPr>
      <w:r>
        <w:rPr>
          <w:rFonts w:ascii="Arial" w:eastAsia="宋体" w:hAnsi="Arial" w:cs="Arial"/>
          <w:color w:val="000000"/>
          <w:sz w:val="18"/>
          <w:szCs w:val="18"/>
        </w:rPr>
        <w:t>State Street Corporation | 85</w:t>
      </w:r>
    </w:p>
    <w:p w14:paraId="392C8E12" w14:textId="77777777" w:rsidR="00980E5F" w:rsidRDefault="00980E5F">
      <w:pPr>
        <w:ind w:firstLine="450"/>
        <w:jc w:val="center"/>
      </w:pPr>
    </w:p>
    <w:p w14:paraId="392C8E13" w14:textId="77777777" w:rsidR="00980E5F" w:rsidRDefault="00483613">
      <w:r>
        <w:pict w14:anchorId="392CBB23">
          <v:rect id="_x0000_i1109" style="width:415.3pt;height:1.5pt" o:hralign="center" o:hrstd="t" o:hr="t" fillcolor="#a0a0a0" stroked="f"/>
        </w:pict>
      </w:r>
    </w:p>
    <w:p w14:paraId="392C8E14" w14:textId="77777777" w:rsidR="00980E5F" w:rsidRDefault="00483613">
      <w:pPr>
        <w:ind w:firstLine="450"/>
        <w:jc w:val="center"/>
      </w:pPr>
      <w:r>
        <w:rPr>
          <w:rFonts w:ascii="Arial" w:eastAsia="宋体" w:hAnsi="Arial" w:cs="Arial"/>
          <w:b/>
          <w:bCs/>
          <w:color w:val="000000"/>
          <w:sz w:val="20"/>
          <w:szCs w:val="20"/>
        </w:rPr>
        <w:t>STATE STREET CORPORATION</w:t>
      </w:r>
    </w:p>
    <w:p w14:paraId="392C8E15"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8E16" w14:textId="77777777" w:rsidR="00980E5F" w:rsidRDefault="00483613">
      <w:pPr>
        <w:ind w:firstLine="450"/>
        <w:jc w:val="center"/>
      </w:pPr>
      <w:r>
        <w:rPr>
          <w:rFonts w:ascii="Arial" w:eastAsia="宋体" w:hAnsi="Arial" w:cs="Arial"/>
          <w:b/>
          <w:bCs/>
          <w:color w:val="000000"/>
          <w:sz w:val="20"/>
          <w:szCs w:val="20"/>
        </w:rPr>
        <w:t>(UNAUDITED)</w:t>
      </w:r>
    </w:p>
    <w:p w14:paraId="392C8E17" w14:textId="77777777" w:rsidR="00980E5F" w:rsidRDefault="00483613">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summarizes our repurchase agreements and securities lending transactions by category of 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1366"/>
        <w:gridCol w:w="37"/>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gridCol w:w="36"/>
        <w:gridCol w:w="36"/>
        <w:gridCol w:w="36"/>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tblGrid>
      <w:tr w:rsidR="00980E5F" w14:paraId="392C8E54" w14:textId="77777777">
        <w:tc>
          <w:tcPr>
            <w:tcW w:w="50" w:type="pct"/>
            <w:shd w:val="clear" w:color="auto" w:fill="auto"/>
            <w:vAlign w:val="bottom"/>
          </w:tcPr>
          <w:p w14:paraId="392C8E18" w14:textId="77777777" w:rsidR="00980E5F" w:rsidRDefault="00980E5F">
            <w:pPr>
              <w:rPr>
                <w:rFonts w:ascii="宋体"/>
              </w:rPr>
            </w:pPr>
          </w:p>
        </w:tc>
        <w:tc>
          <w:tcPr>
            <w:tcW w:w="1070" w:type="pct"/>
            <w:shd w:val="clear" w:color="auto" w:fill="auto"/>
            <w:vAlign w:val="bottom"/>
          </w:tcPr>
          <w:p w14:paraId="392C8E19" w14:textId="77777777" w:rsidR="00980E5F" w:rsidRDefault="00980E5F">
            <w:pPr>
              <w:rPr>
                <w:rFonts w:ascii="宋体"/>
              </w:rPr>
            </w:pPr>
          </w:p>
        </w:tc>
        <w:tc>
          <w:tcPr>
            <w:tcW w:w="5" w:type="pct"/>
            <w:shd w:val="clear" w:color="auto" w:fill="auto"/>
            <w:vAlign w:val="bottom"/>
          </w:tcPr>
          <w:p w14:paraId="392C8E1A" w14:textId="77777777" w:rsidR="00980E5F" w:rsidRDefault="00980E5F">
            <w:pPr>
              <w:rPr>
                <w:rFonts w:ascii="宋体"/>
              </w:rPr>
            </w:pPr>
          </w:p>
        </w:tc>
        <w:tc>
          <w:tcPr>
            <w:tcW w:w="50" w:type="pct"/>
            <w:shd w:val="clear" w:color="auto" w:fill="auto"/>
            <w:vAlign w:val="bottom"/>
          </w:tcPr>
          <w:p w14:paraId="392C8E1B" w14:textId="77777777" w:rsidR="00980E5F" w:rsidRDefault="00980E5F">
            <w:pPr>
              <w:rPr>
                <w:rFonts w:ascii="宋体"/>
              </w:rPr>
            </w:pPr>
          </w:p>
        </w:tc>
        <w:tc>
          <w:tcPr>
            <w:tcW w:w="405" w:type="pct"/>
            <w:shd w:val="clear" w:color="auto" w:fill="auto"/>
            <w:vAlign w:val="bottom"/>
          </w:tcPr>
          <w:p w14:paraId="392C8E1C" w14:textId="77777777" w:rsidR="00980E5F" w:rsidRDefault="00980E5F">
            <w:pPr>
              <w:rPr>
                <w:rFonts w:ascii="宋体"/>
              </w:rPr>
            </w:pPr>
          </w:p>
        </w:tc>
        <w:tc>
          <w:tcPr>
            <w:tcW w:w="5" w:type="pct"/>
            <w:shd w:val="clear" w:color="auto" w:fill="auto"/>
            <w:vAlign w:val="bottom"/>
          </w:tcPr>
          <w:p w14:paraId="392C8E1D" w14:textId="77777777" w:rsidR="00980E5F" w:rsidRDefault="00980E5F">
            <w:pPr>
              <w:rPr>
                <w:rFonts w:ascii="宋体"/>
              </w:rPr>
            </w:pPr>
          </w:p>
        </w:tc>
        <w:tc>
          <w:tcPr>
            <w:tcW w:w="5" w:type="pct"/>
            <w:shd w:val="clear" w:color="auto" w:fill="auto"/>
            <w:vAlign w:val="bottom"/>
          </w:tcPr>
          <w:p w14:paraId="392C8E1E" w14:textId="77777777" w:rsidR="00980E5F" w:rsidRDefault="00980E5F">
            <w:pPr>
              <w:rPr>
                <w:rFonts w:ascii="宋体"/>
              </w:rPr>
            </w:pPr>
          </w:p>
        </w:tc>
        <w:tc>
          <w:tcPr>
            <w:tcW w:w="19" w:type="pct"/>
            <w:shd w:val="clear" w:color="auto" w:fill="auto"/>
            <w:vAlign w:val="bottom"/>
          </w:tcPr>
          <w:p w14:paraId="392C8E1F" w14:textId="77777777" w:rsidR="00980E5F" w:rsidRDefault="00980E5F">
            <w:pPr>
              <w:rPr>
                <w:rFonts w:ascii="宋体"/>
              </w:rPr>
            </w:pPr>
          </w:p>
        </w:tc>
        <w:tc>
          <w:tcPr>
            <w:tcW w:w="5" w:type="pct"/>
            <w:shd w:val="clear" w:color="auto" w:fill="auto"/>
            <w:vAlign w:val="bottom"/>
          </w:tcPr>
          <w:p w14:paraId="392C8E20" w14:textId="77777777" w:rsidR="00980E5F" w:rsidRDefault="00980E5F">
            <w:pPr>
              <w:rPr>
                <w:rFonts w:ascii="宋体"/>
              </w:rPr>
            </w:pPr>
          </w:p>
        </w:tc>
        <w:tc>
          <w:tcPr>
            <w:tcW w:w="50" w:type="pct"/>
            <w:shd w:val="clear" w:color="auto" w:fill="auto"/>
            <w:vAlign w:val="bottom"/>
          </w:tcPr>
          <w:p w14:paraId="392C8E21" w14:textId="77777777" w:rsidR="00980E5F" w:rsidRDefault="00980E5F">
            <w:pPr>
              <w:rPr>
                <w:rFonts w:ascii="宋体"/>
              </w:rPr>
            </w:pPr>
          </w:p>
        </w:tc>
        <w:tc>
          <w:tcPr>
            <w:tcW w:w="273" w:type="pct"/>
            <w:shd w:val="clear" w:color="auto" w:fill="auto"/>
            <w:vAlign w:val="bottom"/>
          </w:tcPr>
          <w:p w14:paraId="392C8E22" w14:textId="77777777" w:rsidR="00980E5F" w:rsidRDefault="00980E5F">
            <w:pPr>
              <w:rPr>
                <w:rFonts w:ascii="宋体"/>
              </w:rPr>
            </w:pPr>
          </w:p>
        </w:tc>
        <w:tc>
          <w:tcPr>
            <w:tcW w:w="5" w:type="pct"/>
            <w:shd w:val="clear" w:color="auto" w:fill="auto"/>
            <w:vAlign w:val="bottom"/>
          </w:tcPr>
          <w:p w14:paraId="392C8E23" w14:textId="77777777" w:rsidR="00980E5F" w:rsidRDefault="00980E5F">
            <w:pPr>
              <w:rPr>
                <w:rFonts w:ascii="宋体"/>
              </w:rPr>
            </w:pPr>
          </w:p>
        </w:tc>
        <w:tc>
          <w:tcPr>
            <w:tcW w:w="5" w:type="pct"/>
            <w:shd w:val="clear" w:color="auto" w:fill="auto"/>
            <w:vAlign w:val="bottom"/>
          </w:tcPr>
          <w:p w14:paraId="392C8E24" w14:textId="77777777" w:rsidR="00980E5F" w:rsidRDefault="00980E5F">
            <w:pPr>
              <w:rPr>
                <w:rFonts w:ascii="宋体"/>
              </w:rPr>
            </w:pPr>
          </w:p>
        </w:tc>
        <w:tc>
          <w:tcPr>
            <w:tcW w:w="19" w:type="pct"/>
            <w:shd w:val="clear" w:color="auto" w:fill="auto"/>
            <w:vAlign w:val="bottom"/>
          </w:tcPr>
          <w:p w14:paraId="392C8E25" w14:textId="77777777" w:rsidR="00980E5F" w:rsidRDefault="00980E5F">
            <w:pPr>
              <w:rPr>
                <w:rFonts w:ascii="宋体"/>
              </w:rPr>
            </w:pPr>
          </w:p>
        </w:tc>
        <w:tc>
          <w:tcPr>
            <w:tcW w:w="5" w:type="pct"/>
            <w:shd w:val="clear" w:color="auto" w:fill="auto"/>
            <w:vAlign w:val="bottom"/>
          </w:tcPr>
          <w:p w14:paraId="392C8E26" w14:textId="77777777" w:rsidR="00980E5F" w:rsidRDefault="00980E5F">
            <w:pPr>
              <w:rPr>
                <w:rFonts w:ascii="宋体"/>
              </w:rPr>
            </w:pPr>
          </w:p>
        </w:tc>
        <w:tc>
          <w:tcPr>
            <w:tcW w:w="50" w:type="pct"/>
            <w:shd w:val="clear" w:color="auto" w:fill="auto"/>
            <w:vAlign w:val="bottom"/>
          </w:tcPr>
          <w:p w14:paraId="392C8E27" w14:textId="77777777" w:rsidR="00980E5F" w:rsidRDefault="00980E5F">
            <w:pPr>
              <w:rPr>
                <w:rFonts w:ascii="宋体"/>
              </w:rPr>
            </w:pPr>
          </w:p>
        </w:tc>
        <w:tc>
          <w:tcPr>
            <w:tcW w:w="273" w:type="pct"/>
            <w:shd w:val="clear" w:color="auto" w:fill="auto"/>
            <w:vAlign w:val="bottom"/>
          </w:tcPr>
          <w:p w14:paraId="392C8E28" w14:textId="77777777" w:rsidR="00980E5F" w:rsidRDefault="00980E5F">
            <w:pPr>
              <w:rPr>
                <w:rFonts w:ascii="宋体"/>
              </w:rPr>
            </w:pPr>
          </w:p>
        </w:tc>
        <w:tc>
          <w:tcPr>
            <w:tcW w:w="5" w:type="pct"/>
            <w:shd w:val="clear" w:color="auto" w:fill="auto"/>
            <w:vAlign w:val="bottom"/>
          </w:tcPr>
          <w:p w14:paraId="392C8E29" w14:textId="77777777" w:rsidR="00980E5F" w:rsidRDefault="00980E5F">
            <w:pPr>
              <w:rPr>
                <w:rFonts w:ascii="宋体"/>
              </w:rPr>
            </w:pPr>
          </w:p>
        </w:tc>
        <w:tc>
          <w:tcPr>
            <w:tcW w:w="5" w:type="pct"/>
            <w:shd w:val="clear" w:color="auto" w:fill="auto"/>
            <w:vAlign w:val="bottom"/>
          </w:tcPr>
          <w:p w14:paraId="392C8E2A" w14:textId="77777777" w:rsidR="00980E5F" w:rsidRDefault="00980E5F">
            <w:pPr>
              <w:rPr>
                <w:rFonts w:ascii="宋体"/>
              </w:rPr>
            </w:pPr>
          </w:p>
        </w:tc>
        <w:tc>
          <w:tcPr>
            <w:tcW w:w="19" w:type="pct"/>
            <w:shd w:val="clear" w:color="auto" w:fill="auto"/>
            <w:vAlign w:val="bottom"/>
          </w:tcPr>
          <w:p w14:paraId="392C8E2B" w14:textId="77777777" w:rsidR="00980E5F" w:rsidRDefault="00980E5F">
            <w:pPr>
              <w:rPr>
                <w:rFonts w:ascii="宋体"/>
              </w:rPr>
            </w:pPr>
          </w:p>
        </w:tc>
        <w:tc>
          <w:tcPr>
            <w:tcW w:w="5" w:type="pct"/>
            <w:shd w:val="clear" w:color="auto" w:fill="auto"/>
            <w:vAlign w:val="bottom"/>
          </w:tcPr>
          <w:p w14:paraId="392C8E2C" w14:textId="77777777" w:rsidR="00980E5F" w:rsidRDefault="00980E5F">
            <w:pPr>
              <w:rPr>
                <w:rFonts w:ascii="宋体"/>
              </w:rPr>
            </w:pPr>
          </w:p>
        </w:tc>
        <w:tc>
          <w:tcPr>
            <w:tcW w:w="50" w:type="pct"/>
            <w:shd w:val="clear" w:color="auto" w:fill="auto"/>
            <w:vAlign w:val="bottom"/>
          </w:tcPr>
          <w:p w14:paraId="392C8E2D" w14:textId="77777777" w:rsidR="00980E5F" w:rsidRDefault="00980E5F">
            <w:pPr>
              <w:rPr>
                <w:rFonts w:ascii="宋体"/>
              </w:rPr>
            </w:pPr>
          </w:p>
        </w:tc>
        <w:tc>
          <w:tcPr>
            <w:tcW w:w="288" w:type="pct"/>
            <w:shd w:val="clear" w:color="auto" w:fill="auto"/>
            <w:vAlign w:val="bottom"/>
          </w:tcPr>
          <w:p w14:paraId="392C8E2E" w14:textId="77777777" w:rsidR="00980E5F" w:rsidRDefault="00980E5F">
            <w:pPr>
              <w:rPr>
                <w:rFonts w:ascii="宋体"/>
              </w:rPr>
            </w:pPr>
          </w:p>
        </w:tc>
        <w:tc>
          <w:tcPr>
            <w:tcW w:w="5" w:type="pct"/>
            <w:shd w:val="clear" w:color="auto" w:fill="auto"/>
            <w:vAlign w:val="bottom"/>
          </w:tcPr>
          <w:p w14:paraId="392C8E2F" w14:textId="77777777" w:rsidR="00980E5F" w:rsidRDefault="00980E5F">
            <w:pPr>
              <w:rPr>
                <w:rFonts w:ascii="宋体"/>
              </w:rPr>
            </w:pPr>
          </w:p>
        </w:tc>
        <w:tc>
          <w:tcPr>
            <w:tcW w:w="5" w:type="pct"/>
            <w:shd w:val="clear" w:color="auto" w:fill="auto"/>
            <w:vAlign w:val="bottom"/>
          </w:tcPr>
          <w:p w14:paraId="392C8E30" w14:textId="77777777" w:rsidR="00980E5F" w:rsidRDefault="00980E5F">
            <w:pPr>
              <w:rPr>
                <w:rFonts w:ascii="宋体"/>
              </w:rPr>
            </w:pPr>
          </w:p>
        </w:tc>
        <w:tc>
          <w:tcPr>
            <w:tcW w:w="19" w:type="pct"/>
            <w:shd w:val="clear" w:color="auto" w:fill="auto"/>
            <w:vAlign w:val="bottom"/>
          </w:tcPr>
          <w:p w14:paraId="392C8E31" w14:textId="77777777" w:rsidR="00980E5F" w:rsidRDefault="00980E5F">
            <w:pPr>
              <w:rPr>
                <w:rFonts w:ascii="宋体"/>
              </w:rPr>
            </w:pPr>
          </w:p>
        </w:tc>
        <w:tc>
          <w:tcPr>
            <w:tcW w:w="5" w:type="pct"/>
            <w:shd w:val="clear" w:color="auto" w:fill="auto"/>
            <w:vAlign w:val="bottom"/>
          </w:tcPr>
          <w:p w14:paraId="392C8E32" w14:textId="77777777" w:rsidR="00980E5F" w:rsidRDefault="00980E5F">
            <w:pPr>
              <w:rPr>
                <w:rFonts w:ascii="宋体"/>
              </w:rPr>
            </w:pPr>
          </w:p>
        </w:tc>
        <w:tc>
          <w:tcPr>
            <w:tcW w:w="50" w:type="pct"/>
            <w:shd w:val="clear" w:color="auto" w:fill="auto"/>
            <w:vAlign w:val="bottom"/>
          </w:tcPr>
          <w:p w14:paraId="392C8E33" w14:textId="77777777" w:rsidR="00980E5F" w:rsidRDefault="00980E5F">
            <w:pPr>
              <w:rPr>
                <w:rFonts w:ascii="宋体"/>
              </w:rPr>
            </w:pPr>
          </w:p>
        </w:tc>
        <w:tc>
          <w:tcPr>
            <w:tcW w:w="288" w:type="pct"/>
            <w:shd w:val="clear" w:color="auto" w:fill="auto"/>
            <w:vAlign w:val="bottom"/>
          </w:tcPr>
          <w:p w14:paraId="392C8E34" w14:textId="77777777" w:rsidR="00980E5F" w:rsidRDefault="00980E5F">
            <w:pPr>
              <w:rPr>
                <w:rFonts w:ascii="宋体"/>
              </w:rPr>
            </w:pPr>
          </w:p>
        </w:tc>
        <w:tc>
          <w:tcPr>
            <w:tcW w:w="5" w:type="pct"/>
            <w:shd w:val="clear" w:color="auto" w:fill="auto"/>
            <w:vAlign w:val="bottom"/>
          </w:tcPr>
          <w:p w14:paraId="392C8E35" w14:textId="77777777" w:rsidR="00980E5F" w:rsidRDefault="00980E5F">
            <w:pPr>
              <w:rPr>
                <w:rFonts w:ascii="宋体"/>
              </w:rPr>
            </w:pPr>
          </w:p>
        </w:tc>
        <w:tc>
          <w:tcPr>
            <w:tcW w:w="5" w:type="pct"/>
            <w:shd w:val="clear" w:color="auto" w:fill="auto"/>
            <w:vAlign w:val="bottom"/>
          </w:tcPr>
          <w:p w14:paraId="392C8E36" w14:textId="77777777" w:rsidR="00980E5F" w:rsidRDefault="00980E5F">
            <w:pPr>
              <w:rPr>
                <w:rFonts w:ascii="宋体"/>
              </w:rPr>
            </w:pPr>
          </w:p>
        </w:tc>
        <w:tc>
          <w:tcPr>
            <w:tcW w:w="19" w:type="pct"/>
            <w:shd w:val="clear" w:color="auto" w:fill="auto"/>
            <w:vAlign w:val="bottom"/>
          </w:tcPr>
          <w:p w14:paraId="392C8E37" w14:textId="77777777" w:rsidR="00980E5F" w:rsidRDefault="00980E5F">
            <w:pPr>
              <w:rPr>
                <w:rFonts w:ascii="宋体"/>
              </w:rPr>
            </w:pPr>
          </w:p>
        </w:tc>
        <w:tc>
          <w:tcPr>
            <w:tcW w:w="5" w:type="pct"/>
            <w:shd w:val="clear" w:color="auto" w:fill="auto"/>
            <w:vAlign w:val="bottom"/>
          </w:tcPr>
          <w:p w14:paraId="392C8E38" w14:textId="77777777" w:rsidR="00980E5F" w:rsidRDefault="00980E5F">
            <w:pPr>
              <w:rPr>
                <w:rFonts w:ascii="宋体"/>
              </w:rPr>
            </w:pPr>
          </w:p>
        </w:tc>
        <w:tc>
          <w:tcPr>
            <w:tcW w:w="50" w:type="pct"/>
            <w:shd w:val="clear" w:color="auto" w:fill="auto"/>
            <w:vAlign w:val="bottom"/>
          </w:tcPr>
          <w:p w14:paraId="392C8E39" w14:textId="77777777" w:rsidR="00980E5F" w:rsidRDefault="00980E5F">
            <w:pPr>
              <w:rPr>
                <w:rFonts w:ascii="宋体"/>
              </w:rPr>
            </w:pPr>
          </w:p>
        </w:tc>
        <w:tc>
          <w:tcPr>
            <w:tcW w:w="405" w:type="pct"/>
            <w:shd w:val="clear" w:color="auto" w:fill="auto"/>
            <w:vAlign w:val="bottom"/>
          </w:tcPr>
          <w:p w14:paraId="392C8E3A" w14:textId="77777777" w:rsidR="00980E5F" w:rsidRDefault="00980E5F">
            <w:pPr>
              <w:rPr>
                <w:rFonts w:ascii="宋体"/>
              </w:rPr>
            </w:pPr>
          </w:p>
        </w:tc>
        <w:tc>
          <w:tcPr>
            <w:tcW w:w="5" w:type="pct"/>
            <w:shd w:val="clear" w:color="auto" w:fill="auto"/>
            <w:vAlign w:val="bottom"/>
          </w:tcPr>
          <w:p w14:paraId="392C8E3B" w14:textId="77777777" w:rsidR="00980E5F" w:rsidRDefault="00980E5F">
            <w:pPr>
              <w:rPr>
                <w:rFonts w:ascii="宋体"/>
              </w:rPr>
            </w:pPr>
          </w:p>
        </w:tc>
        <w:tc>
          <w:tcPr>
            <w:tcW w:w="5" w:type="pct"/>
            <w:shd w:val="clear" w:color="auto" w:fill="auto"/>
            <w:vAlign w:val="bottom"/>
          </w:tcPr>
          <w:p w14:paraId="392C8E3C" w14:textId="77777777" w:rsidR="00980E5F" w:rsidRDefault="00980E5F">
            <w:pPr>
              <w:rPr>
                <w:rFonts w:ascii="宋体"/>
              </w:rPr>
            </w:pPr>
          </w:p>
        </w:tc>
        <w:tc>
          <w:tcPr>
            <w:tcW w:w="19" w:type="pct"/>
            <w:shd w:val="clear" w:color="auto" w:fill="auto"/>
            <w:vAlign w:val="bottom"/>
          </w:tcPr>
          <w:p w14:paraId="392C8E3D" w14:textId="77777777" w:rsidR="00980E5F" w:rsidRDefault="00980E5F">
            <w:pPr>
              <w:rPr>
                <w:rFonts w:ascii="宋体"/>
              </w:rPr>
            </w:pPr>
          </w:p>
        </w:tc>
        <w:tc>
          <w:tcPr>
            <w:tcW w:w="5" w:type="pct"/>
            <w:shd w:val="clear" w:color="auto" w:fill="auto"/>
            <w:vAlign w:val="bottom"/>
          </w:tcPr>
          <w:p w14:paraId="392C8E3E" w14:textId="77777777" w:rsidR="00980E5F" w:rsidRDefault="00980E5F">
            <w:pPr>
              <w:rPr>
                <w:rFonts w:ascii="宋体"/>
              </w:rPr>
            </w:pPr>
          </w:p>
        </w:tc>
        <w:tc>
          <w:tcPr>
            <w:tcW w:w="50" w:type="pct"/>
            <w:shd w:val="clear" w:color="auto" w:fill="auto"/>
            <w:vAlign w:val="bottom"/>
          </w:tcPr>
          <w:p w14:paraId="392C8E3F" w14:textId="77777777" w:rsidR="00980E5F" w:rsidRDefault="00980E5F">
            <w:pPr>
              <w:rPr>
                <w:rFonts w:ascii="宋体"/>
              </w:rPr>
            </w:pPr>
          </w:p>
        </w:tc>
        <w:tc>
          <w:tcPr>
            <w:tcW w:w="273" w:type="pct"/>
            <w:shd w:val="clear" w:color="auto" w:fill="auto"/>
            <w:vAlign w:val="bottom"/>
          </w:tcPr>
          <w:p w14:paraId="392C8E40" w14:textId="77777777" w:rsidR="00980E5F" w:rsidRDefault="00980E5F">
            <w:pPr>
              <w:rPr>
                <w:rFonts w:ascii="宋体"/>
              </w:rPr>
            </w:pPr>
          </w:p>
        </w:tc>
        <w:tc>
          <w:tcPr>
            <w:tcW w:w="5" w:type="pct"/>
            <w:shd w:val="clear" w:color="auto" w:fill="auto"/>
            <w:vAlign w:val="bottom"/>
          </w:tcPr>
          <w:p w14:paraId="392C8E41" w14:textId="77777777" w:rsidR="00980E5F" w:rsidRDefault="00980E5F">
            <w:pPr>
              <w:rPr>
                <w:rFonts w:ascii="宋体"/>
              </w:rPr>
            </w:pPr>
          </w:p>
        </w:tc>
        <w:tc>
          <w:tcPr>
            <w:tcW w:w="5" w:type="pct"/>
            <w:shd w:val="clear" w:color="auto" w:fill="auto"/>
            <w:vAlign w:val="bottom"/>
          </w:tcPr>
          <w:p w14:paraId="392C8E42" w14:textId="77777777" w:rsidR="00980E5F" w:rsidRDefault="00980E5F">
            <w:pPr>
              <w:rPr>
                <w:rFonts w:ascii="宋体"/>
              </w:rPr>
            </w:pPr>
          </w:p>
        </w:tc>
        <w:tc>
          <w:tcPr>
            <w:tcW w:w="19" w:type="pct"/>
            <w:shd w:val="clear" w:color="auto" w:fill="auto"/>
            <w:vAlign w:val="bottom"/>
          </w:tcPr>
          <w:p w14:paraId="392C8E43" w14:textId="77777777" w:rsidR="00980E5F" w:rsidRDefault="00980E5F">
            <w:pPr>
              <w:rPr>
                <w:rFonts w:ascii="宋体"/>
              </w:rPr>
            </w:pPr>
          </w:p>
        </w:tc>
        <w:tc>
          <w:tcPr>
            <w:tcW w:w="5" w:type="pct"/>
            <w:shd w:val="clear" w:color="auto" w:fill="auto"/>
            <w:vAlign w:val="bottom"/>
          </w:tcPr>
          <w:p w14:paraId="392C8E44" w14:textId="77777777" w:rsidR="00980E5F" w:rsidRDefault="00980E5F">
            <w:pPr>
              <w:rPr>
                <w:rFonts w:ascii="宋体"/>
              </w:rPr>
            </w:pPr>
          </w:p>
        </w:tc>
        <w:tc>
          <w:tcPr>
            <w:tcW w:w="50" w:type="pct"/>
            <w:shd w:val="clear" w:color="auto" w:fill="auto"/>
            <w:vAlign w:val="bottom"/>
          </w:tcPr>
          <w:p w14:paraId="392C8E45" w14:textId="77777777" w:rsidR="00980E5F" w:rsidRDefault="00980E5F">
            <w:pPr>
              <w:rPr>
                <w:rFonts w:ascii="宋体"/>
              </w:rPr>
            </w:pPr>
          </w:p>
        </w:tc>
        <w:tc>
          <w:tcPr>
            <w:tcW w:w="273" w:type="pct"/>
            <w:shd w:val="clear" w:color="auto" w:fill="auto"/>
            <w:vAlign w:val="bottom"/>
          </w:tcPr>
          <w:p w14:paraId="392C8E46" w14:textId="77777777" w:rsidR="00980E5F" w:rsidRDefault="00980E5F">
            <w:pPr>
              <w:rPr>
                <w:rFonts w:ascii="宋体"/>
              </w:rPr>
            </w:pPr>
          </w:p>
        </w:tc>
        <w:tc>
          <w:tcPr>
            <w:tcW w:w="5" w:type="pct"/>
            <w:shd w:val="clear" w:color="auto" w:fill="auto"/>
            <w:vAlign w:val="bottom"/>
          </w:tcPr>
          <w:p w14:paraId="392C8E47" w14:textId="77777777" w:rsidR="00980E5F" w:rsidRDefault="00980E5F">
            <w:pPr>
              <w:rPr>
                <w:rFonts w:ascii="宋体"/>
              </w:rPr>
            </w:pPr>
          </w:p>
        </w:tc>
        <w:tc>
          <w:tcPr>
            <w:tcW w:w="5" w:type="pct"/>
            <w:shd w:val="clear" w:color="auto" w:fill="auto"/>
            <w:vAlign w:val="bottom"/>
          </w:tcPr>
          <w:p w14:paraId="392C8E48" w14:textId="77777777" w:rsidR="00980E5F" w:rsidRDefault="00980E5F">
            <w:pPr>
              <w:rPr>
                <w:rFonts w:ascii="宋体"/>
              </w:rPr>
            </w:pPr>
          </w:p>
        </w:tc>
        <w:tc>
          <w:tcPr>
            <w:tcW w:w="19" w:type="pct"/>
            <w:shd w:val="clear" w:color="auto" w:fill="auto"/>
            <w:vAlign w:val="bottom"/>
          </w:tcPr>
          <w:p w14:paraId="392C8E49" w14:textId="77777777" w:rsidR="00980E5F" w:rsidRDefault="00980E5F">
            <w:pPr>
              <w:rPr>
                <w:rFonts w:ascii="宋体"/>
              </w:rPr>
            </w:pPr>
          </w:p>
        </w:tc>
        <w:tc>
          <w:tcPr>
            <w:tcW w:w="5" w:type="pct"/>
            <w:shd w:val="clear" w:color="auto" w:fill="auto"/>
            <w:vAlign w:val="bottom"/>
          </w:tcPr>
          <w:p w14:paraId="392C8E4A" w14:textId="77777777" w:rsidR="00980E5F" w:rsidRDefault="00980E5F">
            <w:pPr>
              <w:rPr>
                <w:rFonts w:ascii="宋体"/>
              </w:rPr>
            </w:pPr>
          </w:p>
        </w:tc>
        <w:tc>
          <w:tcPr>
            <w:tcW w:w="50" w:type="pct"/>
            <w:shd w:val="clear" w:color="auto" w:fill="auto"/>
            <w:vAlign w:val="bottom"/>
          </w:tcPr>
          <w:p w14:paraId="392C8E4B" w14:textId="77777777" w:rsidR="00980E5F" w:rsidRDefault="00980E5F">
            <w:pPr>
              <w:rPr>
                <w:rFonts w:ascii="宋体"/>
              </w:rPr>
            </w:pPr>
          </w:p>
        </w:tc>
        <w:tc>
          <w:tcPr>
            <w:tcW w:w="288" w:type="pct"/>
            <w:shd w:val="clear" w:color="auto" w:fill="auto"/>
            <w:vAlign w:val="bottom"/>
          </w:tcPr>
          <w:p w14:paraId="392C8E4C" w14:textId="77777777" w:rsidR="00980E5F" w:rsidRDefault="00980E5F">
            <w:pPr>
              <w:rPr>
                <w:rFonts w:ascii="宋体"/>
              </w:rPr>
            </w:pPr>
          </w:p>
        </w:tc>
        <w:tc>
          <w:tcPr>
            <w:tcW w:w="5" w:type="pct"/>
            <w:shd w:val="clear" w:color="auto" w:fill="auto"/>
            <w:vAlign w:val="bottom"/>
          </w:tcPr>
          <w:p w14:paraId="392C8E4D" w14:textId="77777777" w:rsidR="00980E5F" w:rsidRDefault="00980E5F">
            <w:pPr>
              <w:rPr>
                <w:rFonts w:ascii="宋体"/>
              </w:rPr>
            </w:pPr>
          </w:p>
        </w:tc>
        <w:tc>
          <w:tcPr>
            <w:tcW w:w="5" w:type="pct"/>
            <w:shd w:val="clear" w:color="auto" w:fill="auto"/>
            <w:vAlign w:val="bottom"/>
          </w:tcPr>
          <w:p w14:paraId="392C8E4E" w14:textId="77777777" w:rsidR="00980E5F" w:rsidRDefault="00980E5F">
            <w:pPr>
              <w:rPr>
                <w:rFonts w:ascii="宋体"/>
              </w:rPr>
            </w:pPr>
          </w:p>
        </w:tc>
        <w:tc>
          <w:tcPr>
            <w:tcW w:w="19" w:type="pct"/>
            <w:shd w:val="clear" w:color="auto" w:fill="auto"/>
            <w:vAlign w:val="bottom"/>
          </w:tcPr>
          <w:p w14:paraId="392C8E4F" w14:textId="77777777" w:rsidR="00980E5F" w:rsidRDefault="00980E5F">
            <w:pPr>
              <w:rPr>
                <w:rFonts w:ascii="宋体"/>
              </w:rPr>
            </w:pPr>
          </w:p>
        </w:tc>
        <w:tc>
          <w:tcPr>
            <w:tcW w:w="5" w:type="pct"/>
            <w:shd w:val="clear" w:color="auto" w:fill="auto"/>
            <w:vAlign w:val="bottom"/>
          </w:tcPr>
          <w:p w14:paraId="392C8E50" w14:textId="77777777" w:rsidR="00980E5F" w:rsidRDefault="00980E5F">
            <w:pPr>
              <w:rPr>
                <w:rFonts w:ascii="宋体"/>
              </w:rPr>
            </w:pPr>
          </w:p>
        </w:tc>
        <w:tc>
          <w:tcPr>
            <w:tcW w:w="50" w:type="pct"/>
            <w:shd w:val="clear" w:color="auto" w:fill="auto"/>
            <w:vAlign w:val="bottom"/>
          </w:tcPr>
          <w:p w14:paraId="392C8E51" w14:textId="77777777" w:rsidR="00980E5F" w:rsidRDefault="00980E5F">
            <w:pPr>
              <w:rPr>
                <w:rFonts w:ascii="宋体"/>
              </w:rPr>
            </w:pPr>
          </w:p>
        </w:tc>
        <w:tc>
          <w:tcPr>
            <w:tcW w:w="289" w:type="pct"/>
            <w:shd w:val="clear" w:color="auto" w:fill="auto"/>
            <w:vAlign w:val="bottom"/>
          </w:tcPr>
          <w:p w14:paraId="392C8E52" w14:textId="77777777" w:rsidR="00980E5F" w:rsidRDefault="00980E5F">
            <w:pPr>
              <w:rPr>
                <w:rFonts w:ascii="宋体"/>
              </w:rPr>
            </w:pPr>
          </w:p>
        </w:tc>
        <w:tc>
          <w:tcPr>
            <w:tcW w:w="5" w:type="pct"/>
            <w:shd w:val="clear" w:color="auto" w:fill="auto"/>
            <w:vAlign w:val="bottom"/>
          </w:tcPr>
          <w:p w14:paraId="392C8E53" w14:textId="77777777" w:rsidR="00980E5F" w:rsidRDefault="00980E5F">
            <w:pPr>
              <w:rPr>
                <w:rFonts w:ascii="宋体"/>
              </w:rPr>
            </w:pPr>
          </w:p>
        </w:tc>
      </w:tr>
      <w:tr w:rsidR="00980E5F" w14:paraId="392C8E7D" w14:textId="77777777">
        <w:trPr>
          <w:hidden/>
        </w:trPr>
        <w:tc>
          <w:tcPr>
            <w:tcW w:w="0" w:type="auto"/>
            <w:gridSpan w:val="3"/>
            <w:shd w:val="clear" w:color="auto" w:fill="auto"/>
            <w:vAlign w:val="bottom"/>
          </w:tcPr>
          <w:p w14:paraId="392C8E55" w14:textId="77777777" w:rsidR="00980E5F" w:rsidRDefault="00980E5F">
            <w:pPr>
              <w:rPr>
                <w:rFonts w:ascii="宋体"/>
                <w:vanish/>
              </w:rPr>
            </w:pPr>
          </w:p>
        </w:tc>
        <w:tc>
          <w:tcPr>
            <w:tcW w:w="0" w:type="auto"/>
            <w:gridSpan w:val="3"/>
            <w:shd w:val="clear" w:color="auto" w:fill="auto"/>
            <w:vAlign w:val="bottom"/>
          </w:tcPr>
          <w:p w14:paraId="392C8E56" w14:textId="77777777" w:rsidR="00980E5F" w:rsidRDefault="00980E5F">
            <w:pPr>
              <w:rPr>
                <w:rFonts w:ascii="宋体"/>
                <w:vanish/>
              </w:rPr>
            </w:pPr>
          </w:p>
        </w:tc>
        <w:tc>
          <w:tcPr>
            <w:tcW w:w="0" w:type="auto"/>
            <w:gridSpan w:val="3"/>
            <w:shd w:val="clear" w:color="auto" w:fill="auto"/>
            <w:vAlign w:val="bottom"/>
          </w:tcPr>
          <w:p w14:paraId="392C8E57" w14:textId="77777777" w:rsidR="00980E5F" w:rsidRDefault="00980E5F">
            <w:pPr>
              <w:rPr>
                <w:rFonts w:ascii="宋体"/>
                <w:vanish/>
              </w:rPr>
            </w:pPr>
          </w:p>
        </w:tc>
        <w:tc>
          <w:tcPr>
            <w:tcW w:w="0" w:type="auto"/>
            <w:gridSpan w:val="3"/>
            <w:shd w:val="clear" w:color="auto" w:fill="auto"/>
            <w:vAlign w:val="bottom"/>
          </w:tcPr>
          <w:p w14:paraId="392C8E58" w14:textId="77777777" w:rsidR="00980E5F" w:rsidRDefault="00980E5F">
            <w:pPr>
              <w:rPr>
                <w:rFonts w:ascii="宋体"/>
                <w:vanish/>
              </w:rPr>
            </w:pPr>
          </w:p>
        </w:tc>
        <w:tc>
          <w:tcPr>
            <w:tcW w:w="0" w:type="auto"/>
            <w:gridSpan w:val="3"/>
            <w:shd w:val="clear" w:color="auto" w:fill="auto"/>
            <w:vAlign w:val="bottom"/>
          </w:tcPr>
          <w:p w14:paraId="392C8E59" w14:textId="77777777" w:rsidR="00980E5F" w:rsidRDefault="00980E5F">
            <w:pPr>
              <w:rPr>
                <w:rFonts w:ascii="宋体"/>
                <w:vanish/>
              </w:rPr>
            </w:pPr>
          </w:p>
        </w:tc>
        <w:tc>
          <w:tcPr>
            <w:tcW w:w="0" w:type="auto"/>
            <w:gridSpan w:val="3"/>
            <w:shd w:val="clear" w:color="auto" w:fill="auto"/>
            <w:vAlign w:val="bottom"/>
          </w:tcPr>
          <w:p w14:paraId="392C8E5A" w14:textId="77777777" w:rsidR="00980E5F" w:rsidRDefault="00980E5F">
            <w:pPr>
              <w:rPr>
                <w:rFonts w:ascii="宋体"/>
                <w:vanish/>
              </w:rPr>
            </w:pPr>
          </w:p>
        </w:tc>
        <w:tc>
          <w:tcPr>
            <w:tcW w:w="0" w:type="auto"/>
            <w:gridSpan w:val="3"/>
            <w:shd w:val="clear" w:color="auto" w:fill="auto"/>
            <w:vAlign w:val="bottom"/>
          </w:tcPr>
          <w:p w14:paraId="392C8E5B" w14:textId="77777777" w:rsidR="00980E5F" w:rsidRDefault="00980E5F">
            <w:pPr>
              <w:rPr>
                <w:rFonts w:ascii="宋体"/>
                <w:vanish/>
              </w:rPr>
            </w:pPr>
          </w:p>
        </w:tc>
        <w:tc>
          <w:tcPr>
            <w:tcW w:w="0" w:type="auto"/>
            <w:gridSpan w:val="3"/>
            <w:shd w:val="clear" w:color="auto" w:fill="auto"/>
            <w:vAlign w:val="bottom"/>
          </w:tcPr>
          <w:p w14:paraId="392C8E5C" w14:textId="77777777" w:rsidR="00980E5F" w:rsidRDefault="00980E5F">
            <w:pPr>
              <w:rPr>
                <w:rFonts w:ascii="宋体"/>
                <w:vanish/>
              </w:rPr>
            </w:pPr>
          </w:p>
        </w:tc>
        <w:tc>
          <w:tcPr>
            <w:tcW w:w="0" w:type="auto"/>
            <w:gridSpan w:val="3"/>
            <w:shd w:val="clear" w:color="auto" w:fill="auto"/>
            <w:vAlign w:val="bottom"/>
          </w:tcPr>
          <w:p w14:paraId="392C8E5D" w14:textId="77777777" w:rsidR="00980E5F" w:rsidRDefault="00980E5F">
            <w:pPr>
              <w:rPr>
                <w:rFonts w:ascii="宋体"/>
                <w:vanish/>
              </w:rPr>
            </w:pPr>
          </w:p>
        </w:tc>
        <w:tc>
          <w:tcPr>
            <w:tcW w:w="0" w:type="auto"/>
            <w:gridSpan w:val="3"/>
            <w:shd w:val="clear" w:color="auto" w:fill="auto"/>
            <w:vAlign w:val="bottom"/>
          </w:tcPr>
          <w:p w14:paraId="392C8E5E" w14:textId="77777777" w:rsidR="00980E5F" w:rsidRDefault="00980E5F">
            <w:pPr>
              <w:rPr>
                <w:rFonts w:ascii="宋体"/>
                <w:vanish/>
              </w:rPr>
            </w:pPr>
          </w:p>
        </w:tc>
        <w:tc>
          <w:tcPr>
            <w:tcW w:w="0" w:type="auto"/>
            <w:shd w:val="clear" w:color="auto" w:fill="auto"/>
            <w:vAlign w:val="bottom"/>
          </w:tcPr>
          <w:p w14:paraId="392C8E5F" w14:textId="77777777" w:rsidR="00980E5F" w:rsidRDefault="00980E5F">
            <w:pPr>
              <w:rPr>
                <w:rFonts w:ascii="宋体"/>
              </w:rPr>
            </w:pPr>
          </w:p>
        </w:tc>
        <w:tc>
          <w:tcPr>
            <w:tcW w:w="0" w:type="auto"/>
            <w:shd w:val="clear" w:color="auto" w:fill="auto"/>
            <w:vAlign w:val="bottom"/>
          </w:tcPr>
          <w:p w14:paraId="392C8E60" w14:textId="77777777" w:rsidR="00980E5F" w:rsidRDefault="00980E5F">
            <w:pPr>
              <w:rPr>
                <w:rFonts w:ascii="宋体"/>
              </w:rPr>
            </w:pPr>
          </w:p>
        </w:tc>
        <w:tc>
          <w:tcPr>
            <w:tcW w:w="0" w:type="auto"/>
            <w:shd w:val="clear" w:color="auto" w:fill="auto"/>
            <w:vAlign w:val="bottom"/>
          </w:tcPr>
          <w:p w14:paraId="392C8E61" w14:textId="77777777" w:rsidR="00980E5F" w:rsidRDefault="00980E5F">
            <w:pPr>
              <w:rPr>
                <w:rFonts w:ascii="宋体"/>
              </w:rPr>
            </w:pPr>
          </w:p>
        </w:tc>
        <w:tc>
          <w:tcPr>
            <w:tcW w:w="0" w:type="auto"/>
            <w:shd w:val="clear" w:color="auto" w:fill="auto"/>
            <w:vAlign w:val="bottom"/>
          </w:tcPr>
          <w:p w14:paraId="392C8E62" w14:textId="77777777" w:rsidR="00980E5F" w:rsidRDefault="00980E5F">
            <w:pPr>
              <w:rPr>
                <w:rFonts w:ascii="宋体"/>
              </w:rPr>
            </w:pPr>
          </w:p>
        </w:tc>
        <w:tc>
          <w:tcPr>
            <w:tcW w:w="0" w:type="auto"/>
            <w:shd w:val="clear" w:color="auto" w:fill="auto"/>
            <w:vAlign w:val="bottom"/>
          </w:tcPr>
          <w:p w14:paraId="392C8E63" w14:textId="77777777" w:rsidR="00980E5F" w:rsidRDefault="00980E5F">
            <w:pPr>
              <w:rPr>
                <w:rFonts w:ascii="宋体"/>
              </w:rPr>
            </w:pPr>
          </w:p>
        </w:tc>
        <w:tc>
          <w:tcPr>
            <w:tcW w:w="0" w:type="auto"/>
            <w:shd w:val="clear" w:color="auto" w:fill="auto"/>
            <w:vAlign w:val="bottom"/>
          </w:tcPr>
          <w:p w14:paraId="392C8E64" w14:textId="77777777" w:rsidR="00980E5F" w:rsidRDefault="00980E5F">
            <w:pPr>
              <w:rPr>
                <w:rFonts w:ascii="宋体"/>
              </w:rPr>
            </w:pPr>
          </w:p>
        </w:tc>
        <w:tc>
          <w:tcPr>
            <w:tcW w:w="0" w:type="auto"/>
            <w:shd w:val="clear" w:color="auto" w:fill="auto"/>
            <w:vAlign w:val="bottom"/>
          </w:tcPr>
          <w:p w14:paraId="392C8E65" w14:textId="77777777" w:rsidR="00980E5F" w:rsidRDefault="00980E5F">
            <w:pPr>
              <w:rPr>
                <w:rFonts w:ascii="宋体"/>
              </w:rPr>
            </w:pPr>
          </w:p>
        </w:tc>
        <w:tc>
          <w:tcPr>
            <w:tcW w:w="0" w:type="auto"/>
            <w:shd w:val="clear" w:color="auto" w:fill="auto"/>
            <w:vAlign w:val="bottom"/>
          </w:tcPr>
          <w:p w14:paraId="392C8E66" w14:textId="77777777" w:rsidR="00980E5F" w:rsidRDefault="00980E5F">
            <w:pPr>
              <w:rPr>
                <w:rFonts w:ascii="宋体"/>
              </w:rPr>
            </w:pPr>
          </w:p>
        </w:tc>
        <w:tc>
          <w:tcPr>
            <w:tcW w:w="0" w:type="auto"/>
            <w:shd w:val="clear" w:color="auto" w:fill="auto"/>
            <w:vAlign w:val="bottom"/>
          </w:tcPr>
          <w:p w14:paraId="392C8E67" w14:textId="77777777" w:rsidR="00980E5F" w:rsidRDefault="00980E5F">
            <w:pPr>
              <w:rPr>
                <w:rFonts w:ascii="宋体"/>
              </w:rPr>
            </w:pPr>
          </w:p>
        </w:tc>
        <w:tc>
          <w:tcPr>
            <w:tcW w:w="0" w:type="auto"/>
            <w:shd w:val="clear" w:color="auto" w:fill="auto"/>
            <w:vAlign w:val="bottom"/>
          </w:tcPr>
          <w:p w14:paraId="392C8E68" w14:textId="77777777" w:rsidR="00980E5F" w:rsidRDefault="00980E5F">
            <w:pPr>
              <w:rPr>
                <w:rFonts w:ascii="宋体"/>
              </w:rPr>
            </w:pPr>
          </w:p>
        </w:tc>
        <w:tc>
          <w:tcPr>
            <w:tcW w:w="0" w:type="auto"/>
            <w:shd w:val="clear" w:color="auto" w:fill="auto"/>
            <w:vAlign w:val="bottom"/>
          </w:tcPr>
          <w:p w14:paraId="392C8E69" w14:textId="77777777" w:rsidR="00980E5F" w:rsidRDefault="00980E5F">
            <w:pPr>
              <w:rPr>
                <w:rFonts w:ascii="宋体"/>
              </w:rPr>
            </w:pPr>
          </w:p>
        </w:tc>
        <w:tc>
          <w:tcPr>
            <w:tcW w:w="0" w:type="auto"/>
            <w:shd w:val="clear" w:color="auto" w:fill="auto"/>
            <w:vAlign w:val="bottom"/>
          </w:tcPr>
          <w:p w14:paraId="392C8E6A" w14:textId="77777777" w:rsidR="00980E5F" w:rsidRDefault="00980E5F">
            <w:pPr>
              <w:rPr>
                <w:rFonts w:ascii="宋体"/>
              </w:rPr>
            </w:pPr>
          </w:p>
        </w:tc>
        <w:tc>
          <w:tcPr>
            <w:tcW w:w="0" w:type="auto"/>
            <w:shd w:val="clear" w:color="auto" w:fill="auto"/>
            <w:vAlign w:val="bottom"/>
          </w:tcPr>
          <w:p w14:paraId="392C8E6B" w14:textId="77777777" w:rsidR="00980E5F" w:rsidRDefault="00980E5F">
            <w:pPr>
              <w:rPr>
                <w:rFonts w:ascii="宋体"/>
              </w:rPr>
            </w:pPr>
          </w:p>
        </w:tc>
        <w:tc>
          <w:tcPr>
            <w:tcW w:w="0" w:type="auto"/>
            <w:shd w:val="clear" w:color="auto" w:fill="auto"/>
            <w:vAlign w:val="bottom"/>
          </w:tcPr>
          <w:p w14:paraId="392C8E6C" w14:textId="77777777" w:rsidR="00980E5F" w:rsidRDefault="00980E5F">
            <w:pPr>
              <w:rPr>
                <w:rFonts w:ascii="宋体"/>
              </w:rPr>
            </w:pPr>
          </w:p>
        </w:tc>
        <w:tc>
          <w:tcPr>
            <w:tcW w:w="0" w:type="auto"/>
            <w:shd w:val="clear" w:color="auto" w:fill="auto"/>
            <w:vAlign w:val="bottom"/>
          </w:tcPr>
          <w:p w14:paraId="392C8E6D" w14:textId="77777777" w:rsidR="00980E5F" w:rsidRDefault="00980E5F">
            <w:pPr>
              <w:rPr>
                <w:rFonts w:ascii="宋体"/>
              </w:rPr>
            </w:pPr>
          </w:p>
        </w:tc>
        <w:tc>
          <w:tcPr>
            <w:tcW w:w="0" w:type="auto"/>
            <w:shd w:val="clear" w:color="auto" w:fill="auto"/>
            <w:vAlign w:val="bottom"/>
          </w:tcPr>
          <w:p w14:paraId="392C8E6E" w14:textId="77777777" w:rsidR="00980E5F" w:rsidRDefault="00980E5F">
            <w:pPr>
              <w:rPr>
                <w:rFonts w:ascii="宋体"/>
              </w:rPr>
            </w:pPr>
          </w:p>
        </w:tc>
        <w:tc>
          <w:tcPr>
            <w:tcW w:w="0" w:type="auto"/>
            <w:shd w:val="clear" w:color="auto" w:fill="auto"/>
            <w:vAlign w:val="bottom"/>
          </w:tcPr>
          <w:p w14:paraId="392C8E6F" w14:textId="77777777" w:rsidR="00980E5F" w:rsidRDefault="00980E5F">
            <w:pPr>
              <w:rPr>
                <w:rFonts w:ascii="宋体"/>
              </w:rPr>
            </w:pPr>
          </w:p>
        </w:tc>
        <w:tc>
          <w:tcPr>
            <w:tcW w:w="0" w:type="auto"/>
            <w:shd w:val="clear" w:color="auto" w:fill="auto"/>
            <w:vAlign w:val="bottom"/>
          </w:tcPr>
          <w:p w14:paraId="392C8E70" w14:textId="77777777" w:rsidR="00980E5F" w:rsidRDefault="00980E5F">
            <w:pPr>
              <w:rPr>
                <w:rFonts w:ascii="宋体"/>
              </w:rPr>
            </w:pPr>
          </w:p>
        </w:tc>
        <w:tc>
          <w:tcPr>
            <w:tcW w:w="0" w:type="auto"/>
            <w:shd w:val="clear" w:color="auto" w:fill="auto"/>
            <w:vAlign w:val="bottom"/>
          </w:tcPr>
          <w:p w14:paraId="392C8E71" w14:textId="77777777" w:rsidR="00980E5F" w:rsidRDefault="00980E5F">
            <w:pPr>
              <w:rPr>
                <w:rFonts w:ascii="宋体"/>
              </w:rPr>
            </w:pPr>
          </w:p>
        </w:tc>
        <w:tc>
          <w:tcPr>
            <w:tcW w:w="0" w:type="auto"/>
            <w:shd w:val="clear" w:color="auto" w:fill="auto"/>
            <w:vAlign w:val="bottom"/>
          </w:tcPr>
          <w:p w14:paraId="392C8E72" w14:textId="77777777" w:rsidR="00980E5F" w:rsidRDefault="00980E5F">
            <w:pPr>
              <w:rPr>
                <w:rFonts w:ascii="宋体"/>
              </w:rPr>
            </w:pPr>
          </w:p>
        </w:tc>
        <w:tc>
          <w:tcPr>
            <w:tcW w:w="0" w:type="auto"/>
            <w:shd w:val="clear" w:color="auto" w:fill="auto"/>
            <w:vAlign w:val="bottom"/>
          </w:tcPr>
          <w:p w14:paraId="392C8E73" w14:textId="77777777" w:rsidR="00980E5F" w:rsidRDefault="00980E5F">
            <w:pPr>
              <w:rPr>
                <w:rFonts w:ascii="宋体"/>
              </w:rPr>
            </w:pPr>
          </w:p>
        </w:tc>
        <w:tc>
          <w:tcPr>
            <w:tcW w:w="0" w:type="auto"/>
            <w:shd w:val="clear" w:color="auto" w:fill="auto"/>
            <w:vAlign w:val="bottom"/>
          </w:tcPr>
          <w:p w14:paraId="392C8E74" w14:textId="77777777" w:rsidR="00980E5F" w:rsidRDefault="00980E5F">
            <w:pPr>
              <w:rPr>
                <w:rFonts w:ascii="宋体"/>
              </w:rPr>
            </w:pPr>
          </w:p>
        </w:tc>
        <w:tc>
          <w:tcPr>
            <w:tcW w:w="0" w:type="auto"/>
            <w:shd w:val="clear" w:color="auto" w:fill="auto"/>
            <w:vAlign w:val="bottom"/>
          </w:tcPr>
          <w:p w14:paraId="392C8E75" w14:textId="77777777" w:rsidR="00980E5F" w:rsidRDefault="00980E5F">
            <w:pPr>
              <w:rPr>
                <w:rFonts w:ascii="宋体"/>
              </w:rPr>
            </w:pPr>
          </w:p>
        </w:tc>
        <w:tc>
          <w:tcPr>
            <w:tcW w:w="0" w:type="auto"/>
            <w:shd w:val="clear" w:color="auto" w:fill="auto"/>
            <w:vAlign w:val="bottom"/>
          </w:tcPr>
          <w:p w14:paraId="392C8E76" w14:textId="77777777" w:rsidR="00980E5F" w:rsidRDefault="00980E5F">
            <w:pPr>
              <w:rPr>
                <w:rFonts w:ascii="宋体"/>
              </w:rPr>
            </w:pPr>
          </w:p>
        </w:tc>
        <w:tc>
          <w:tcPr>
            <w:tcW w:w="0" w:type="auto"/>
            <w:shd w:val="clear" w:color="auto" w:fill="auto"/>
            <w:vAlign w:val="bottom"/>
          </w:tcPr>
          <w:p w14:paraId="392C8E77" w14:textId="77777777" w:rsidR="00980E5F" w:rsidRDefault="00980E5F">
            <w:pPr>
              <w:rPr>
                <w:rFonts w:ascii="宋体"/>
              </w:rPr>
            </w:pPr>
          </w:p>
        </w:tc>
        <w:tc>
          <w:tcPr>
            <w:tcW w:w="0" w:type="auto"/>
            <w:shd w:val="clear" w:color="auto" w:fill="auto"/>
            <w:vAlign w:val="bottom"/>
          </w:tcPr>
          <w:p w14:paraId="392C8E78" w14:textId="77777777" w:rsidR="00980E5F" w:rsidRDefault="00980E5F">
            <w:pPr>
              <w:rPr>
                <w:rFonts w:ascii="宋体"/>
              </w:rPr>
            </w:pPr>
          </w:p>
        </w:tc>
        <w:tc>
          <w:tcPr>
            <w:tcW w:w="0" w:type="auto"/>
            <w:shd w:val="clear" w:color="auto" w:fill="auto"/>
            <w:vAlign w:val="bottom"/>
          </w:tcPr>
          <w:p w14:paraId="392C8E79" w14:textId="77777777" w:rsidR="00980E5F" w:rsidRDefault="00980E5F">
            <w:pPr>
              <w:rPr>
                <w:rFonts w:ascii="宋体"/>
              </w:rPr>
            </w:pPr>
          </w:p>
        </w:tc>
        <w:tc>
          <w:tcPr>
            <w:tcW w:w="0" w:type="auto"/>
            <w:shd w:val="clear" w:color="auto" w:fill="auto"/>
            <w:vAlign w:val="bottom"/>
          </w:tcPr>
          <w:p w14:paraId="392C8E7A" w14:textId="77777777" w:rsidR="00980E5F" w:rsidRDefault="00980E5F">
            <w:pPr>
              <w:rPr>
                <w:rFonts w:ascii="宋体"/>
              </w:rPr>
            </w:pPr>
          </w:p>
        </w:tc>
        <w:tc>
          <w:tcPr>
            <w:tcW w:w="0" w:type="auto"/>
            <w:shd w:val="clear" w:color="auto" w:fill="auto"/>
            <w:vAlign w:val="bottom"/>
          </w:tcPr>
          <w:p w14:paraId="392C8E7B" w14:textId="77777777" w:rsidR="00980E5F" w:rsidRDefault="00980E5F">
            <w:pPr>
              <w:rPr>
                <w:rFonts w:ascii="宋体"/>
              </w:rPr>
            </w:pPr>
          </w:p>
        </w:tc>
        <w:tc>
          <w:tcPr>
            <w:tcW w:w="0" w:type="auto"/>
            <w:shd w:val="clear" w:color="auto" w:fill="auto"/>
            <w:vAlign w:val="bottom"/>
          </w:tcPr>
          <w:p w14:paraId="392C8E7C" w14:textId="77777777" w:rsidR="00980E5F" w:rsidRDefault="00980E5F">
            <w:pPr>
              <w:rPr>
                <w:rFonts w:ascii="宋体"/>
              </w:rPr>
            </w:pPr>
          </w:p>
        </w:tc>
      </w:tr>
      <w:tr w:rsidR="00980E5F" w14:paraId="392C8EB6" w14:textId="77777777">
        <w:trPr>
          <w:hidden/>
        </w:trPr>
        <w:tc>
          <w:tcPr>
            <w:tcW w:w="0" w:type="auto"/>
            <w:gridSpan w:val="3"/>
            <w:shd w:val="clear" w:color="auto" w:fill="auto"/>
            <w:vAlign w:val="bottom"/>
          </w:tcPr>
          <w:p w14:paraId="392C8E7E" w14:textId="77777777" w:rsidR="00980E5F" w:rsidRDefault="00980E5F">
            <w:pPr>
              <w:rPr>
                <w:rFonts w:ascii="宋体"/>
                <w:vanish/>
              </w:rPr>
            </w:pPr>
          </w:p>
        </w:tc>
        <w:tc>
          <w:tcPr>
            <w:tcW w:w="0" w:type="auto"/>
            <w:gridSpan w:val="3"/>
            <w:shd w:val="clear" w:color="auto" w:fill="auto"/>
            <w:vAlign w:val="bottom"/>
          </w:tcPr>
          <w:p w14:paraId="392C8E7F" w14:textId="77777777" w:rsidR="00980E5F" w:rsidRDefault="00980E5F">
            <w:pPr>
              <w:rPr>
                <w:rFonts w:ascii="宋体"/>
                <w:vanish/>
              </w:rPr>
            </w:pPr>
          </w:p>
        </w:tc>
        <w:tc>
          <w:tcPr>
            <w:tcW w:w="0" w:type="auto"/>
            <w:shd w:val="clear" w:color="auto" w:fill="auto"/>
            <w:vAlign w:val="bottom"/>
          </w:tcPr>
          <w:p w14:paraId="392C8E80" w14:textId="77777777" w:rsidR="00980E5F" w:rsidRDefault="00980E5F">
            <w:pPr>
              <w:rPr>
                <w:rFonts w:ascii="宋体"/>
              </w:rPr>
            </w:pPr>
          </w:p>
        </w:tc>
        <w:tc>
          <w:tcPr>
            <w:tcW w:w="0" w:type="auto"/>
            <w:shd w:val="clear" w:color="auto" w:fill="auto"/>
            <w:vAlign w:val="bottom"/>
          </w:tcPr>
          <w:p w14:paraId="392C8E81" w14:textId="77777777" w:rsidR="00980E5F" w:rsidRDefault="00980E5F">
            <w:pPr>
              <w:rPr>
                <w:rFonts w:ascii="宋体"/>
              </w:rPr>
            </w:pPr>
          </w:p>
        </w:tc>
        <w:tc>
          <w:tcPr>
            <w:tcW w:w="0" w:type="auto"/>
            <w:shd w:val="clear" w:color="auto" w:fill="auto"/>
            <w:vAlign w:val="bottom"/>
          </w:tcPr>
          <w:p w14:paraId="392C8E82" w14:textId="77777777" w:rsidR="00980E5F" w:rsidRDefault="00980E5F">
            <w:pPr>
              <w:rPr>
                <w:rFonts w:ascii="宋体"/>
              </w:rPr>
            </w:pPr>
          </w:p>
        </w:tc>
        <w:tc>
          <w:tcPr>
            <w:tcW w:w="0" w:type="auto"/>
            <w:shd w:val="clear" w:color="auto" w:fill="auto"/>
            <w:vAlign w:val="bottom"/>
          </w:tcPr>
          <w:p w14:paraId="392C8E83" w14:textId="77777777" w:rsidR="00980E5F" w:rsidRDefault="00980E5F">
            <w:pPr>
              <w:rPr>
                <w:rFonts w:ascii="宋体"/>
              </w:rPr>
            </w:pPr>
          </w:p>
        </w:tc>
        <w:tc>
          <w:tcPr>
            <w:tcW w:w="0" w:type="auto"/>
            <w:shd w:val="clear" w:color="auto" w:fill="auto"/>
            <w:vAlign w:val="bottom"/>
          </w:tcPr>
          <w:p w14:paraId="392C8E84" w14:textId="77777777" w:rsidR="00980E5F" w:rsidRDefault="00980E5F">
            <w:pPr>
              <w:rPr>
                <w:rFonts w:ascii="宋体"/>
              </w:rPr>
            </w:pPr>
          </w:p>
        </w:tc>
        <w:tc>
          <w:tcPr>
            <w:tcW w:w="0" w:type="auto"/>
            <w:shd w:val="clear" w:color="auto" w:fill="auto"/>
            <w:vAlign w:val="bottom"/>
          </w:tcPr>
          <w:p w14:paraId="392C8E85" w14:textId="77777777" w:rsidR="00980E5F" w:rsidRDefault="00980E5F">
            <w:pPr>
              <w:rPr>
                <w:rFonts w:ascii="宋体"/>
              </w:rPr>
            </w:pPr>
          </w:p>
        </w:tc>
        <w:tc>
          <w:tcPr>
            <w:tcW w:w="0" w:type="auto"/>
            <w:shd w:val="clear" w:color="auto" w:fill="auto"/>
            <w:vAlign w:val="bottom"/>
          </w:tcPr>
          <w:p w14:paraId="392C8E86" w14:textId="77777777" w:rsidR="00980E5F" w:rsidRDefault="00980E5F">
            <w:pPr>
              <w:rPr>
                <w:rFonts w:ascii="宋体"/>
              </w:rPr>
            </w:pPr>
          </w:p>
        </w:tc>
        <w:tc>
          <w:tcPr>
            <w:tcW w:w="0" w:type="auto"/>
            <w:shd w:val="clear" w:color="auto" w:fill="auto"/>
            <w:vAlign w:val="bottom"/>
          </w:tcPr>
          <w:p w14:paraId="392C8E87" w14:textId="77777777" w:rsidR="00980E5F" w:rsidRDefault="00980E5F">
            <w:pPr>
              <w:rPr>
                <w:rFonts w:ascii="宋体"/>
              </w:rPr>
            </w:pPr>
          </w:p>
        </w:tc>
        <w:tc>
          <w:tcPr>
            <w:tcW w:w="0" w:type="auto"/>
            <w:shd w:val="clear" w:color="auto" w:fill="auto"/>
            <w:vAlign w:val="bottom"/>
          </w:tcPr>
          <w:p w14:paraId="392C8E88" w14:textId="77777777" w:rsidR="00980E5F" w:rsidRDefault="00980E5F">
            <w:pPr>
              <w:rPr>
                <w:rFonts w:ascii="宋体"/>
              </w:rPr>
            </w:pPr>
          </w:p>
        </w:tc>
        <w:tc>
          <w:tcPr>
            <w:tcW w:w="0" w:type="auto"/>
            <w:shd w:val="clear" w:color="auto" w:fill="auto"/>
            <w:vAlign w:val="bottom"/>
          </w:tcPr>
          <w:p w14:paraId="392C8E89" w14:textId="77777777" w:rsidR="00980E5F" w:rsidRDefault="00980E5F">
            <w:pPr>
              <w:rPr>
                <w:rFonts w:ascii="宋体"/>
              </w:rPr>
            </w:pPr>
          </w:p>
        </w:tc>
        <w:tc>
          <w:tcPr>
            <w:tcW w:w="0" w:type="auto"/>
            <w:shd w:val="clear" w:color="auto" w:fill="auto"/>
            <w:vAlign w:val="bottom"/>
          </w:tcPr>
          <w:p w14:paraId="392C8E8A" w14:textId="77777777" w:rsidR="00980E5F" w:rsidRDefault="00980E5F">
            <w:pPr>
              <w:rPr>
                <w:rFonts w:ascii="宋体"/>
              </w:rPr>
            </w:pPr>
          </w:p>
        </w:tc>
        <w:tc>
          <w:tcPr>
            <w:tcW w:w="0" w:type="auto"/>
            <w:shd w:val="clear" w:color="auto" w:fill="auto"/>
            <w:vAlign w:val="bottom"/>
          </w:tcPr>
          <w:p w14:paraId="392C8E8B" w14:textId="77777777" w:rsidR="00980E5F" w:rsidRDefault="00980E5F">
            <w:pPr>
              <w:rPr>
                <w:rFonts w:ascii="宋体"/>
              </w:rPr>
            </w:pPr>
          </w:p>
        </w:tc>
        <w:tc>
          <w:tcPr>
            <w:tcW w:w="0" w:type="auto"/>
            <w:shd w:val="clear" w:color="auto" w:fill="auto"/>
            <w:vAlign w:val="bottom"/>
          </w:tcPr>
          <w:p w14:paraId="392C8E8C" w14:textId="77777777" w:rsidR="00980E5F" w:rsidRDefault="00980E5F">
            <w:pPr>
              <w:rPr>
                <w:rFonts w:ascii="宋体"/>
              </w:rPr>
            </w:pPr>
          </w:p>
        </w:tc>
        <w:tc>
          <w:tcPr>
            <w:tcW w:w="0" w:type="auto"/>
            <w:shd w:val="clear" w:color="auto" w:fill="auto"/>
            <w:vAlign w:val="bottom"/>
          </w:tcPr>
          <w:p w14:paraId="392C8E8D" w14:textId="77777777" w:rsidR="00980E5F" w:rsidRDefault="00980E5F">
            <w:pPr>
              <w:rPr>
                <w:rFonts w:ascii="宋体"/>
              </w:rPr>
            </w:pPr>
          </w:p>
        </w:tc>
        <w:tc>
          <w:tcPr>
            <w:tcW w:w="0" w:type="auto"/>
            <w:shd w:val="clear" w:color="auto" w:fill="auto"/>
            <w:vAlign w:val="bottom"/>
          </w:tcPr>
          <w:p w14:paraId="392C8E8E" w14:textId="77777777" w:rsidR="00980E5F" w:rsidRDefault="00980E5F">
            <w:pPr>
              <w:rPr>
                <w:rFonts w:ascii="宋体"/>
              </w:rPr>
            </w:pPr>
          </w:p>
        </w:tc>
        <w:tc>
          <w:tcPr>
            <w:tcW w:w="0" w:type="auto"/>
            <w:shd w:val="clear" w:color="auto" w:fill="auto"/>
            <w:vAlign w:val="bottom"/>
          </w:tcPr>
          <w:p w14:paraId="392C8E8F" w14:textId="77777777" w:rsidR="00980E5F" w:rsidRDefault="00980E5F">
            <w:pPr>
              <w:rPr>
                <w:rFonts w:ascii="宋体"/>
              </w:rPr>
            </w:pPr>
          </w:p>
        </w:tc>
        <w:tc>
          <w:tcPr>
            <w:tcW w:w="0" w:type="auto"/>
            <w:shd w:val="clear" w:color="auto" w:fill="auto"/>
            <w:vAlign w:val="bottom"/>
          </w:tcPr>
          <w:p w14:paraId="392C8E90" w14:textId="77777777" w:rsidR="00980E5F" w:rsidRDefault="00980E5F">
            <w:pPr>
              <w:rPr>
                <w:rFonts w:ascii="宋体"/>
              </w:rPr>
            </w:pPr>
          </w:p>
        </w:tc>
        <w:tc>
          <w:tcPr>
            <w:tcW w:w="0" w:type="auto"/>
            <w:shd w:val="clear" w:color="auto" w:fill="auto"/>
            <w:vAlign w:val="bottom"/>
          </w:tcPr>
          <w:p w14:paraId="392C8E91" w14:textId="77777777" w:rsidR="00980E5F" w:rsidRDefault="00980E5F">
            <w:pPr>
              <w:rPr>
                <w:rFonts w:ascii="宋体"/>
              </w:rPr>
            </w:pPr>
          </w:p>
        </w:tc>
        <w:tc>
          <w:tcPr>
            <w:tcW w:w="0" w:type="auto"/>
            <w:shd w:val="clear" w:color="auto" w:fill="auto"/>
            <w:vAlign w:val="bottom"/>
          </w:tcPr>
          <w:p w14:paraId="392C8E92" w14:textId="77777777" w:rsidR="00980E5F" w:rsidRDefault="00980E5F">
            <w:pPr>
              <w:rPr>
                <w:rFonts w:ascii="宋体"/>
              </w:rPr>
            </w:pPr>
          </w:p>
        </w:tc>
        <w:tc>
          <w:tcPr>
            <w:tcW w:w="0" w:type="auto"/>
            <w:shd w:val="clear" w:color="auto" w:fill="auto"/>
            <w:vAlign w:val="bottom"/>
          </w:tcPr>
          <w:p w14:paraId="392C8E93" w14:textId="77777777" w:rsidR="00980E5F" w:rsidRDefault="00980E5F">
            <w:pPr>
              <w:rPr>
                <w:rFonts w:ascii="宋体"/>
              </w:rPr>
            </w:pPr>
          </w:p>
        </w:tc>
        <w:tc>
          <w:tcPr>
            <w:tcW w:w="0" w:type="auto"/>
            <w:shd w:val="clear" w:color="auto" w:fill="auto"/>
            <w:vAlign w:val="bottom"/>
          </w:tcPr>
          <w:p w14:paraId="392C8E94" w14:textId="77777777" w:rsidR="00980E5F" w:rsidRDefault="00980E5F">
            <w:pPr>
              <w:rPr>
                <w:rFonts w:ascii="宋体"/>
              </w:rPr>
            </w:pPr>
          </w:p>
        </w:tc>
        <w:tc>
          <w:tcPr>
            <w:tcW w:w="0" w:type="auto"/>
            <w:shd w:val="clear" w:color="auto" w:fill="auto"/>
            <w:vAlign w:val="bottom"/>
          </w:tcPr>
          <w:p w14:paraId="392C8E95" w14:textId="77777777" w:rsidR="00980E5F" w:rsidRDefault="00980E5F">
            <w:pPr>
              <w:rPr>
                <w:rFonts w:ascii="宋体"/>
              </w:rPr>
            </w:pPr>
          </w:p>
        </w:tc>
        <w:tc>
          <w:tcPr>
            <w:tcW w:w="0" w:type="auto"/>
            <w:shd w:val="clear" w:color="auto" w:fill="auto"/>
            <w:vAlign w:val="bottom"/>
          </w:tcPr>
          <w:p w14:paraId="392C8E96" w14:textId="77777777" w:rsidR="00980E5F" w:rsidRDefault="00980E5F">
            <w:pPr>
              <w:rPr>
                <w:rFonts w:ascii="宋体"/>
              </w:rPr>
            </w:pPr>
          </w:p>
        </w:tc>
        <w:tc>
          <w:tcPr>
            <w:tcW w:w="0" w:type="auto"/>
            <w:shd w:val="clear" w:color="auto" w:fill="auto"/>
            <w:vAlign w:val="bottom"/>
          </w:tcPr>
          <w:p w14:paraId="392C8E97" w14:textId="77777777" w:rsidR="00980E5F" w:rsidRDefault="00980E5F">
            <w:pPr>
              <w:rPr>
                <w:rFonts w:ascii="宋体"/>
              </w:rPr>
            </w:pPr>
          </w:p>
        </w:tc>
        <w:tc>
          <w:tcPr>
            <w:tcW w:w="0" w:type="auto"/>
            <w:shd w:val="clear" w:color="auto" w:fill="auto"/>
            <w:vAlign w:val="bottom"/>
          </w:tcPr>
          <w:p w14:paraId="392C8E98" w14:textId="77777777" w:rsidR="00980E5F" w:rsidRDefault="00980E5F">
            <w:pPr>
              <w:rPr>
                <w:rFonts w:ascii="宋体"/>
              </w:rPr>
            </w:pPr>
          </w:p>
        </w:tc>
        <w:tc>
          <w:tcPr>
            <w:tcW w:w="0" w:type="auto"/>
            <w:shd w:val="clear" w:color="auto" w:fill="auto"/>
            <w:vAlign w:val="bottom"/>
          </w:tcPr>
          <w:p w14:paraId="392C8E99" w14:textId="77777777" w:rsidR="00980E5F" w:rsidRDefault="00980E5F">
            <w:pPr>
              <w:rPr>
                <w:rFonts w:ascii="宋体"/>
              </w:rPr>
            </w:pPr>
          </w:p>
        </w:tc>
        <w:tc>
          <w:tcPr>
            <w:tcW w:w="0" w:type="auto"/>
            <w:shd w:val="clear" w:color="auto" w:fill="auto"/>
            <w:vAlign w:val="bottom"/>
          </w:tcPr>
          <w:p w14:paraId="392C8E9A" w14:textId="77777777" w:rsidR="00980E5F" w:rsidRDefault="00980E5F">
            <w:pPr>
              <w:rPr>
                <w:rFonts w:ascii="宋体"/>
              </w:rPr>
            </w:pPr>
          </w:p>
        </w:tc>
        <w:tc>
          <w:tcPr>
            <w:tcW w:w="0" w:type="auto"/>
            <w:shd w:val="clear" w:color="auto" w:fill="auto"/>
            <w:vAlign w:val="bottom"/>
          </w:tcPr>
          <w:p w14:paraId="392C8E9B" w14:textId="77777777" w:rsidR="00980E5F" w:rsidRDefault="00980E5F">
            <w:pPr>
              <w:rPr>
                <w:rFonts w:ascii="宋体"/>
              </w:rPr>
            </w:pPr>
          </w:p>
        </w:tc>
        <w:tc>
          <w:tcPr>
            <w:tcW w:w="0" w:type="auto"/>
            <w:shd w:val="clear" w:color="auto" w:fill="auto"/>
            <w:vAlign w:val="bottom"/>
          </w:tcPr>
          <w:p w14:paraId="392C8E9C" w14:textId="77777777" w:rsidR="00980E5F" w:rsidRDefault="00980E5F">
            <w:pPr>
              <w:rPr>
                <w:rFonts w:ascii="宋体"/>
              </w:rPr>
            </w:pPr>
          </w:p>
        </w:tc>
        <w:tc>
          <w:tcPr>
            <w:tcW w:w="0" w:type="auto"/>
            <w:shd w:val="clear" w:color="auto" w:fill="auto"/>
            <w:vAlign w:val="bottom"/>
          </w:tcPr>
          <w:p w14:paraId="392C8E9D" w14:textId="77777777" w:rsidR="00980E5F" w:rsidRDefault="00980E5F">
            <w:pPr>
              <w:rPr>
                <w:rFonts w:ascii="宋体"/>
              </w:rPr>
            </w:pPr>
          </w:p>
        </w:tc>
        <w:tc>
          <w:tcPr>
            <w:tcW w:w="0" w:type="auto"/>
            <w:shd w:val="clear" w:color="auto" w:fill="auto"/>
            <w:vAlign w:val="bottom"/>
          </w:tcPr>
          <w:p w14:paraId="392C8E9E" w14:textId="77777777" w:rsidR="00980E5F" w:rsidRDefault="00980E5F">
            <w:pPr>
              <w:rPr>
                <w:rFonts w:ascii="宋体"/>
              </w:rPr>
            </w:pPr>
          </w:p>
        </w:tc>
        <w:tc>
          <w:tcPr>
            <w:tcW w:w="0" w:type="auto"/>
            <w:shd w:val="clear" w:color="auto" w:fill="auto"/>
            <w:vAlign w:val="bottom"/>
          </w:tcPr>
          <w:p w14:paraId="392C8E9F" w14:textId="77777777" w:rsidR="00980E5F" w:rsidRDefault="00980E5F">
            <w:pPr>
              <w:rPr>
                <w:rFonts w:ascii="宋体"/>
              </w:rPr>
            </w:pPr>
          </w:p>
        </w:tc>
        <w:tc>
          <w:tcPr>
            <w:tcW w:w="0" w:type="auto"/>
            <w:shd w:val="clear" w:color="auto" w:fill="auto"/>
            <w:vAlign w:val="bottom"/>
          </w:tcPr>
          <w:p w14:paraId="392C8EA0" w14:textId="77777777" w:rsidR="00980E5F" w:rsidRDefault="00980E5F">
            <w:pPr>
              <w:rPr>
                <w:rFonts w:ascii="宋体"/>
              </w:rPr>
            </w:pPr>
          </w:p>
        </w:tc>
        <w:tc>
          <w:tcPr>
            <w:tcW w:w="0" w:type="auto"/>
            <w:shd w:val="clear" w:color="auto" w:fill="auto"/>
            <w:vAlign w:val="bottom"/>
          </w:tcPr>
          <w:p w14:paraId="392C8EA1" w14:textId="77777777" w:rsidR="00980E5F" w:rsidRDefault="00980E5F">
            <w:pPr>
              <w:rPr>
                <w:rFonts w:ascii="宋体"/>
              </w:rPr>
            </w:pPr>
          </w:p>
        </w:tc>
        <w:tc>
          <w:tcPr>
            <w:tcW w:w="0" w:type="auto"/>
            <w:shd w:val="clear" w:color="auto" w:fill="auto"/>
            <w:vAlign w:val="bottom"/>
          </w:tcPr>
          <w:p w14:paraId="392C8EA2" w14:textId="77777777" w:rsidR="00980E5F" w:rsidRDefault="00980E5F">
            <w:pPr>
              <w:rPr>
                <w:rFonts w:ascii="宋体"/>
              </w:rPr>
            </w:pPr>
          </w:p>
        </w:tc>
        <w:tc>
          <w:tcPr>
            <w:tcW w:w="0" w:type="auto"/>
            <w:shd w:val="clear" w:color="auto" w:fill="auto"/>
            <w:vAlign w:val="bottom"/>
          </w:tcPr>
          <w:p w14:paraId="392C8EA3" w14:textId="77777777" w:rsidR="00980E5F" w:rsidRDefault="00980E5F">
            <w:pPr>
              <w:rPr>
                <w:rFonts w:ascii="宋体"/>
              </w:rPr>
            </w:pPr>
          </w:p>
        </w:tc>
        <w:tc>
          <w:tcPr>
            <w:tcW w:w="0" w:type="auto"/>
            <w:shd w:val="clear" w:color="auto" w:fill="auto"/>
            <w:vAlign w:val="bottom"/>
          </w:tcPr>
          <w:p w14:paraId="392C8EA4" w14:textId="77777777" w:rsidR="00980E5F" w:rsidRDefault="00980E5F">
            <w:pPr>
              <w:rPr>
                <w:rFonts w:ascii="宋体"/>
              </w:rPr>
            </w:pPr>
          </w:p>
        </w:tc>
        <w:tc>
          <w:tcPr>
            <w:tcW w:w="0" w:type="auto"/>
            <w:shd w:val="clear" w:color="auto" w:fill="auto"/>
            <w:vAlign w:val="bottom"/>
          </w:tcPr>
          <w:p w14:paraId="392C8EA5" w14:textId="77777777" w:rsidR="00980E5F" w:rsidRDefault="00980E5F">
            <w:pPr>
              <w:rPr>
                <w:rFonts w:ascii="宋体"/>
              </w:rPr>
            </w:pPr>
          </w:p>
        </w:tc>
        <w:tc>
          <w:tcPr>
            <w:tcW w:w="0" w:type="auto"/>
            <w:shd w:val="clear" w:color="auto" w:fill="auto"/>
            <w:vAlign w:val="bottom"/>
          </w:tcPr>
          <w:p w14:paraId="392C8EA6" w14:textId="77777777" w:rsidR="00980E5F" w:rsidRDefault="00980E5F">
            <w:pPr>
              <w:rPr>
                <w:rFonts w:ascii="宋体"/>
              </w:rPr>
            </w:pPr>
          </w:p>
        </w:tc>
        <w:tc>
          <w:tcPr>
            <w:tcW w:w="0" w:type="auto"/>
            <w:shd w:val="clear" w:color="auto" w:fill="auto"/>
            <w:vAlign w:val="bottom"/>
          </w:tcPr>
          <w:p w14:paraId="392C8EA7" w14:textId="77777777" w:rsidR="00980E5F" w:rsidRDefault="00980E5F">
            <w:pPr>
              <w:rPr>
                <w:rFonts w:ascii="宋体"/>
              </w:rPr>
            </w:pPr>
          </w:p>
        </w:tc>
        <w:tc>
          <w:tcPr>
            <w:tcW w:w="0" w:type="auto"/>
            <w:shd w:val="clear" w:color="auto" w:fill="auto"/>
            <w:vAlign w:val="bottom"/>
          </w:tcPr>
          <w:p w14:paraId="392C8EA8" w14:textId="77777777" w:rsidR="00980E5F" w:rsidRDefault="00980E5F">
            <w:pPr>
              <w:rPr>
                <w:rFonts w:ascii="宋体"/>
              </w:rPr>
            </w:pPr>
          </w:p>
        </w:tc>
        <w:tc>
          <w:tcPr>
            <w:tcW w:w="0" w:type="auto"/>
            <w:shd w:val="clear" w:color="auto" w:fill="auto"/>
            <w:vAlign w:val="bottom"/>
          </w:tcPr>
          <w:p w14:paraId="392C8EA9" w14:textId="77777777" w:rsidR="00980E5F" w:rsidRDefault="00980E5F">
            <w:pPr>
              <w:rPr>
                <w:rFonts w:ascii="宋体"/>
              </w:rPr>
            </w:pPr>
          </w:p>
        </w:tc>
        <w:tc>
          <w:tcPr>
            <w:tcW w:w="0" w:type="auto"/>
            <w:shd w:val="clear" w:color="auto" w:fill="auto"/>
            <w:vAlign w:val="bottom"/>
          </w:tcPr>
          <w:p w14:paraId="392C8EAA" w14:textId="77777777" w:rsidR="00980E5F" w:rsidRDefault="00980E5F">
            <w:pPr>
              <w:rPr>
                <w:rFonts w:ascii="宋体"/>
              </w:rPr>
            </w:pPr>
          </w:p>
        </w:tc>
        <w:tc>
          <w:tcPr>
            <w:tcW w:w="0" w:type="auto"/>
            <w:shd w:val="clear" w:color="auto" w:fill="auto"/>
            <w:vAlign w:val="bottom"/>
          </w:tcPr>
          <w:p w14:paraId="392C8EAB" w14:textId="77777777" w:rsidR="00980E5F" w:rsidRDefault="00980E5F">
            <w:pPr>
              <w:rPr>
                <w:rFonts w:ascii="宋体"/>
              </w:rPr>
            </w:pPr>
          </w:p>
        </w:tc>
        <w:tc>
          <w:tcPr>
            <w:tcW w:w="0" w:type="auto"/>
            <w:shd w:val="clear" w:color="auto" w:fill="auto"/>
            <w:vAlign w:val="bottom"/>
          </w:tcPr>
          <w:p w14:paraId="392C8EAC" w14:textId="77777777" w:rsidR="00980E5F" w:rsidRDefault="00980E5F">
            <w:pPr>
              <w:rPr>
                <w:rFonts w:ascii="宋体"/>
              </w:rPr>
            </w:pPr>
          </w:p>
        </w:tc>
        <w:tc>
          <w:tcPr>
            <w:tcW w:w="0" w:type="auto"/>
            <w:shd w:val="clear" w:color="auto" w:fill="auto"/>
            <w:vAlign w:val="bottom"/>
          </w:tcPr>
          <w:p w14:paraId="392C8EAD" w14:textId="77777777" w:rsidR="00980E5F" w:rsidRDefault="00980E5F">
            <w:pPr>
              <w:rPr>
                <w:rFonts w:ascii="宋体"/>
              </w:rPr>
            </w:pPr>
          </w:p>
        </w:tc>
        <w:tc>
          <w:tcPr>
            <w:tcW w:w="0" w:type="auto"/>
            <w:shd w:val="clear" w:color="auto" w:fill="auto"/>
            <w:vAlign w:val="bottom"/>
          </w:tcPr>
          <w:p w14:paraId="392C8EAE" w14:textId="77777777" w:rsidR="00980E5F" w:rsidRDefault="00980E5F">
            <w:pPr>
              <w:rPr>
                <w:rFonts w:ascii="宋体"/>
              </w:rPr>
            </w:pPr>
          </w:p>
        </w:tc>
        <w:tc>
          <w:tcPr>
            <w:tcW w:w="0" w:type="auto"/>
            <w:shd w:val="clear" w:color="auto" w:fill="auto"/>
            <w:vAlign w:val="bottom"/>
          </w:tcPr>
          <w:p w14:paraId="392C8EAF" w14:textId="77777777" w:rsidR="00980E5F" w:rsidRDefault="00980E5F">
            <w:pPr>
              <w:rPr>
                <w:rFonts w:ascii="宋体"/>
              </w:rPr>
            </w:pPr>
          </w:p>
        </w:tc>
        <w:tc>
          <w:tcPr>
            <w:tcW w:w="0" w:type="auto"/>
            <w:shd w:val="clear" w:color="auto" w:fill="auto"/>
            <w:vAlign w:val="bottom"/>
          </w:tcPr>
          <w:p w14:paraId="392C8EB0" w14:textId="77777777" w:rsidR="00980E5F" w:rsidRDefault="00980E5F">
            <w:pPr>
              <w:rPr>
                <w:rFonts w:ascii="宋体"/>
              </w:rPr>
            </w:pPr>
          </w:p>
        </w:tc>
        <w:tc>
          <w:tcPr>
            <w:tcW w:w="0" w:type="auto"/>
            <w:shd w:val="clear" w:color="auto" w:fill="auto"/>
            <w:vAlign w:val="bottom"/>
          </w:tcPr>
          <w:p w14:paraId="392C8EB1" w14:textId="77777777" w:rsidR="00980E5F" w:rsidRDefault="00980E5F">
            <w:pPr>
              <w:rPr>
                <w:rFonts w:ascii="宋体"/>
              </w:rPr>
            </w:pPr>
          </w:p>
        </w:tc>
        <w:tc>
          <w:tcPr>
            <w:tcW w:w="0" w:type="auto"/>
            <w:shd w:val="clear" w:color="auto" w:fill="auto"/>
            <w:vAlign w:val="bottom"/>
          </w:tcPr>
          <w:p w14:paraId="392C8EB2" w14:textId="77777777" w:rsidR="00980E5F" w:rsidRDefault="00980E5F">
            <w:pPr>
              <w:rPr>
                <w:rFonts w:ascii="宋体"/>
              </w:rPr>
            </w:pPr>
          </w:p>
        </w:tc>
        <w:tc>
          <w:tcPr>
            <w:tcW w:w="0" w:type="auto"/>
            <w:shd w:val="clear" w:color="auto" w:fill="auto"/>
            <w:vAlign w:val="bottom"/>
          </w:tcPr>
          <w:p w14:paraId="392C8EB3" w14:textId="77777777" w:rsidR="00980E5F" w:rsidRDefault="00980E5F">
            <w:pPr>
              <w:rPr>
                <w:rFonts w:ascii="宋体"/>
              </w:rPr>
            </w:pPr>
          </w:p>
        </w:tc>
        <w:tc>
          <w:tcPr>
            <w:tcW w:w="0" w:type="auto"/>
            <w:shd w:val="clear" w:color="auto" w:fill="auto"/>
            <w:vAlign w:val="bottom"/>
          </w:tcPr>
          <w:p w14:paraId="392C8EB4" w14:textId="77777777" w:rsidR="00980E5F" w:rsidRDefault="00980E5F">
            <w:pPr>
              <w:rPr>
                <w:rFonts w:ascii="宋体"/>
              </w:rPr>
            </w:pPr>
          </w:p>
        </w:tc>
        <w:tc>
          <w:tcPr>
            <w:tcW w:w="0" w:type="auto"/>
            <w:shd w:val="clear" w:color="auto" w:fill="auto"/>
            <w:vAlign w:val="bottom"/>
          </w:tcPr>
          <w:p w14:paraId="392C8EB5" w14:textId="77777777" w:rsidR="00980E5F" w:rsidRDefault="00980E5F">
            <w:pPr>
              <w:rPr>
                <w:rFonts w:ascii="宋体"/>
              </w:rPr>
            </w:pPr>
          </w:p>
        </w:tc>
      </w:tr>
      <w:tr w:rsidR="00980E5F" w14:paraId="392C8EBB" w14:textId="77777777">
        <w:tc>
          <w:tcPr>
            <w:tcW w:w="0" w:type="auto"/>
            <w:gridSpan w:val="3"/>
            <w:shd w:val="clear" w:color="auto" w:fill="auto"/>
            <w:tcMar>
              <w:top w:w="0" w:type="dxa"/>
              <w:left w:w="20" w:type="dxa"/>
              <w:bottom w:w="0" w:type="dxa"/>
              <w:right w:w="20" w:type="dxa"/>
            </w:tcMar>
            <w:vAlign w:val="bottom"/>
          </w:tcPr>
          <w:p w14:paraId="392C8EB7"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8EB8" w14:textId="77777777" w:rsidR="00980E5F" w:rsidRDefault="00483613">
            <w:pPr>
              <w:jc w:val="center"/>
              <w:textAlignment w:val="bottom"/>
            </w:pPr>
            <w:r>
              <w:rPr>
                <w:rFonts w:ascii="Arial" w:eastAsia="宋体" w:hAnsi="Arial" w:cs="Arial"/>
                <w:b/>
                <w:bCs/>
                <w:color w:val="000000"/>
                <w:sz w:val="14"/>
                <w:szCs w:val="14"/>
              </w:rPr>
              <w:t>As of June 30, 2022</w:t>
            </w:r>
          </w:p>
        </w:tc>
        <w:tc>
          <w:tcPr>
            <w:tcW w:w="0" w:type="auto"/>
            <w:gridSpan w:val="3"/>
            <w:shd w:val="clear" w:color="auto" w:fill="auto"/>
            <w:tcMar>
              <w:top w:w="0" w:type="dxa"/>
              <w:left w:w="20" w:type="dxa"/>
              <w:bottom w:w="0" w:type="dxa"/>
              <w:right w:w="20" w:type="dxa"/>
            </w:tcMar>
            <w:vAlign w:val="bottom"/>
          </w:tcPr>
          <w:p w14:paraId="392C8EB9" w14:textId="77777777" w:rsidR="00980E5F" w:rsidRDefault="00980E5F">
            <w:pPr>
              <w:rPr>
                <w:rFonts w:ascii="宋体"/>
              </w:rPr>
            </w:pPr>
          </w:p>
        </w:tc>
        <w:tc>
          <w:tcPr>
            <w:tcW w:w="0" w:type="auto"/>
            <w:gridSpan w:val="27"/>
            <w:shd w:val="clear" w:color="auto" w:fill="auto"/>
            <w:tcMar>
              <w:top w:w="40" w:type="dxa"/>
              <w:left w:w="20" w:type="dxa"/>
              <w:bottom w:w="40" w:type="dxa"/>
              <w:right w:w="20" w:type="dxa"/>
            </w:tcMar>
            <w:vAlign w:val="bottom"/>
          </w:tcPr>
          <w:p w14:paraId="392C8EBA" w14:textId="77777777" w:rsidR="00980E5F" w:rsidRDefault="00483613">
            <w:pPr>
              <w:jc w:val="center"/>
              <w:textAlignment w:val="bottom"/>
            </w:pPr>
            <w:r>
              <w:rPr>
                <w:rFonts w:ascii="Arial" w:eastAsia="宋体" w:hAnsi="Arial" w:cs="Arial"/>
                <w:b/>
                <w:bCs/>
                <w:color w:val="000000"/>
                <w:sz w:val="14"/>
                <w:szCs w:val="14"/>
              </w:rPr>
              <w:t>As of December 31, 2021</w:t>
            </w:r>
          </w:p>
        </w:tc>
      </w:tr>
      <w:tr w:rsidR="00980E5F" w14:paraId="392C8ED0" w14:textId="77777777">
        <w:tc>
          <w:tcPr>
            <w:tcW w:w="0" w:type="auto"/>
            <w:gridSpan w:val="3"/>
            <w:shd w:val="clear" w:color="auto" w:fill="auto"/>
            <w:tcMar>
              <w:top w:w="40" w:type="dxa"/>
              <w:left w:w="20" w:type="dxa"/>
              <w:bottom w:w="40" w:type="dxa"/>
              <w:right w:w="20" w:type="dxa"/>
            </w:tcMar>
            <w:vAlign w:val="bottom"/>
          </w:tcPr>
          <w:p w14:paraId="392C8EBC"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BD" w14:textId="77777777" w:rsidR="00980E5F" w:rsidRDefault="00483613">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B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BF" w14:textId="77777777" w:rsidR="00980E5F" w:rsidRDefault="00483613">
            <w:pPr>
              <w:jc w:val="center"/>
              <w:textAlignment w:val="bottom"/>
            </w:pPr>
            <w:r>
              <w:rPr>
                <w:rFonts w:ascii="Arial" w:eastAsia="宋体" w:hAnsi="Arial" w:cs="Arial"/>
                <w:b/>
                <w:bCs/>
                <w:color w:val="000000"/>
                <w:sz w:val="14"/>
                <w:szCs w:val="14"/>
              </w:rPr>
              <w:t xml:space="preserve">Up to 30 </w:t>
            </w:r>
            <w:r>
              <w:rPr>
                <w:rFonts w:ascii="Arial" w:eastAsia="宋体" w:hAnsi="Arial" w:cs="Arial"/>
                <w:b/>
                <w:bCs/>
                <w:color w:val="000000"/>
                <w:sz w:val="14"/>
                <w:szCs w:val="14"/>
              </w:rPr>
              <w:t>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1" w14:textId="77777777" w:rsidR="00980E5F" w:rsidRDefault="00483613">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3" w14:textId="77777777" w:rsidR="00980E5F" w:rsidRDefault="00483613">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5"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8EC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7" w14:textId="77777777" w:rsidR="00980E5F" w:rsidRDefault="00483613">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9" w14:textId="77777777" w:rsidR="00980E5F" w:rsidRDefault="00483613">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B" w14:textId="77777777" w:rsidR="00980E5F" w:rsidRDefault="00483613">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D" w14:textId="77777777" w:rsidR="00980E5F" w:rsidRDefault="00483613">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C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8ECF"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8EE5" w14:textId="77777777">
        <w:tc>
          <w:tcPr>
            <w:tcW w:w="0" w:type="auto"/>
            <w:gridSpan w:val="3"/>
            <w:shd w:val="clear" w:color="auto" w:fill="auto"/>
            <w:tcMar>
              <w:top w:w="40" w:type="dxa"/>
              <w:left w:w="20" w:type="dxa"/>
              <w:bottom w:w="40" w:type="dxa"/>
              <w:right w:w="20" w:type="dxa"/>
            </w:tcMar>
            <w:vAlign w:val="bottom"/>
          </w:tcPr>
          <w:p w14:paraId="392C8ED1" w14:textId="77777777" w:rsidR="00980E5F" w:rsidRDefault="00483613">
            <w:pPr>
              <w:textAlignment w:val="bottom"/>
            </w:pPr>
            <w:r>
              <w:rPr>
                <w:rFonts w:ascii="Arial" w:eastAsia="宋体" w:hAnsi="Arial" w:cs="Arial"/>
                <w:b/>
                <w:bCs/>
                <w:color w:val="000000"/>
                <w:sz w:val="14"/>
                <w:szCs w:val="14"/>
              </w:rPr>
              <w:t>Re</w:t>
            </w:r>
            <w:r>
              <w:rPr>
                <w:rFonts w:ascii="Arial" w:eastAsia="宋体" w:hAnsi="Arial" w:cs="Arial"/>
                <w:b/>
                <w:bCs/>
                <w:color w:val="000000"/>
                <w:sz w:val="14"/>
                <w:szCs w:val="14"/>
              </w:rPr>
              <w:t>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D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D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E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E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8EE3"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8EE4" w14:textId="77777777" w:rsidR="00980E5F" w:rsidRDefault="00980E5F">
            <w:pPr>
              <w:rPr>
                <w:rFonts w:ascii="宋体"/>
              </w:rPr>
            </w:pPr>
          </w:p>
        </w:tc>
      </w:tr>
      <w:tr w:rsidR="00483613" w14:paraId="392C8F0E" w14:textId="77777777">
        <w:tc>
          <w:tcPr>
            <w:tcW w:w="0" w:type="auto"/>
            <w:gridSpan w:val="3"/>
            <w:shd w:val="clear" w:color="auto" w:fill="CCEEFF"/>
            <w:tcMar>
              <w:top w:w="40" w:type="dxa"/>
              <w:left w:w="20" w:type="dxa"/>
              <w:bottom w:w="40" w:type="dxa"/>
              <w:right w:w="20" w:type="dxa"/>
            </w:tcMar>
            <w:vAlign w:val="bottom"/>
          </w:tcPr>
          <w:p w14:paraId="392C8EE6" w14:textId="77777777" w:rsidR="00980E5F" w:rsidRDefault="00483613">
            <w:pPr>
              <w:textAlignment w:val="bottom"/>
            </w:pPr>
            <w:r>
              <w:rPr>
                <w:rFonts w:ascii="Arial" w:eastAsia="宋体" w:hAnsi="Arial" w:cs="Arial"/>
                <w:color w:val="000000"/>
                <w:sz w:val="14"/>
                <w:szCs w:val="14"/>
              </w:rPr>
              <w:t>U.S. Treasury and agency securities</w:t>
            </w:r>
          </w:p>
        </w:tc>
        <w:tc>
          <w:tcPr>
            <w:tcW w:w="0" w:type="auto"/>
            <w:shd w:val="clear" w:color="auto" w:fill="CCEEFF"/>
            <w:tcMar>
              <w:top w:w="40" w:type="dxa"/>
              <w:left w:w="20" w:type="dxa"/>
              <w:bottom w:w="40" w:type="dxa"/>
              <w:right w:w="0" w:type="dxa"/>
            </w:tcMar>
            <w:vAlign w:val="bottom"/>
          </w:tcPr>
          <w:p w14:paraId="392C8EE7"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8EE8" w14:textId="77777777" w:rsidR="00980E5F" w:rsidRDefault="00483613">
            <w:pPr>
              <w:jc w:val="right"/>
              <w:textAlignment w:val="bottom"/>
            </w:pPr>
            <w:r>
              <w:rPr>
                <w:rFonts w:ascii="Arial" w:eastAsia="宋体" w:hAnsi="Arial" w:cs="Arial"/>
                <w:b/>
                <w:bCs/>
                <w:color w:val="000000"/>
                <w:sz w:val="14"/>
                <w:szCs w:val="14"/>
              </w:rPr>
              <w:t>75,758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E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E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EB"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8EE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E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E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EF"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8EF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E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F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F3"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8EF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E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F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F7"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8EF8" w14:textId="77777777" w:rsidR="00980E5F" w:rsidRDefault="00483613">
            <w:pPr>
              <w:jc w:val="right"/>
              <w:textAlignment w:val="bottom"/>
            </w:pPr>
            <w:r>
              <w:rPr>
                <w:rFonts w:ascii="Arial" w:eastAsia="宋体" w:hAnsi="Arial" w:cs="Arial"/>
                <w:b/>
                <w:bCs/>
                <w:color w:val="000000"/>
                <w:sz w:val="14"/>
                <w:szCs w:val="14"/>
              </w:rPr>
              <w:t>75,758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E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F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F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8EFC" w14:textId="77777777" w:rsidR="00980E5F" w:rsidRDefault="00483613">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392C8E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EF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EFF"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8F0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0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F0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8F0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0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F07"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8F0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0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8F0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8F0C" w14:textId="77777777" w:rsidR="00980E5F" w:rsidRDefault="00483613">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392C8F0D" w14:textId="77777777" w:rsidR="00980E5F" w:rsidRDefault="00980E5F">
            <w:pPr>
              <w:jc w:val="right"/>
              <w:rPr>
                <w:rFonts w:ascii="宋体"/>
              </w:rPr>
            </w:pPr>
          </w:p>
        </w:tc>
      </w:tr>
      <w:tr w:rsidR="00980E5F" w14:paraId="392C8F2D" w14:textId="77777777">
        <w:tc>
          <w:tcPr>
            <w:tcW w:w="0" w:type="auto"/>
            <w:gridSpan w:val="3"/>
            <w:shd w:val="clear" w:color="auto" w:fill="FFFFFF"/>
            <w:tcMar>
              <w:top w:w="40" w:type="dxa"/>
              <w:left w:w="20" w:type="dxa"/>
              <w:bottom w:w="40" w:type="dxa"/>
              <w:right w:w="20" w:type="dxa"/>
            </w:tcMar>
            <w:vAlign w:val="bottom"/>
          </w:tcPr>
          <w:p w14:paraId="392C8F0F" w14:textId="77777777" w:rsidR="00980E5F" w:rsidRDefault="00483613">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0" w14:textId="77777777" w:rsidR="00980E5F" w:rsidRDefault="00483613">
            <w:pPr>
              <w:jc w:val="right"/>
              <w:textAlignment w:val="bottom"/>
            </w:pPr>
            <w:r>
              <w:rPr>
                <w:rFonts w:ascii="Arial" w:eastAsia="宋体" w:hAnsi="Arial" w:cs="Arial"/>
                <w:b/>
                <w:bCs/>
                <w:color w:val="000000"/>
                <w:sz w:val="14"/>
                <w:szCs w:val="14"/>
              </w:rPr>
              <w:t>75,758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1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1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1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1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C" w14:textId="77777777" w:rsidR="00980E5F" w:rsidRDefault="00483613">
            <w:pPr>
              <w:jc w:val="right"/>
              <w:textAlignment w:val="bottom"/>
            </w:pPr>
            <w:r>
              <w:rPr>
                <w:rFonts w:ascii="Arial" w:eastAsia="宋体" w:hAnsi="Arial" w:cs="Arial"/>
                <w:b/>
                <w:bCs/>
                <w:color w:val="000000"/>
                <w:sz w:val="14"/>
                <w:szCs w:val="14"/>
              </w:rPr>
              <w:t>75,758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1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1F" w14:textId="77777777" w:rsidR="00980E5F" w:rsidRDefault="00483613">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2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22"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2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25"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2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2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2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2B" w14:textId="77777777" w:rsidR="00980E5F" w:rsidRDefault="00483613">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2C" w14:textId="77777777" w:rsidR="00980E5F" w:rsidRDefault="00980E5F">
            <w:pPr>
              <w:jc w:val="right"/>
              <w:rPr>
                <w:rFonts w:ascii="宋体"/>
              </w:rPr>
            </w:pPr>
          </w:p>
        </w:tc>
      </w:tr>
      <w:tr w:rsidR="00980E5F" w14:paraId="392C8F42" w14:textId="77777777">
        <w:tc>
          <w:tcPr>
            <w:tcW w:w="0" w:type="auto"/>
            <w:gridSpan w:val="3"/>
            <w:shd w:val="clear" w:color="auto" w:fill="CCEEFF"/>
            <w:tcMar>
              <w:top w:w="40" w:type="dxa"/>
              <w:left w:w="20" w:type="dxa"/>
              <w:bottom w:w="40" w:type="dxa"/>
              <w:right w:w="20" w:type="dxa"/>
            </w:tcMar>
            <w:vAlign w:val="bottom"/>
          </w:tcPr>
          <w:p w14:paraId="392C8F2E" w14:textId="77777777" w:rsidR="00980E5F" w:rsidRDefault="00483613">
            <w:pPr>
              <w:textAlignment w:val="bottom"/>
            </w:pPr>
            <w:r>
              <w:rPr>
                <w:rFonts w:ascii="Arial" w:eastAsia="宋体" w:hAnsi="Arial" w:cs="Arial"/>
                <w:b/>
                <w:bCs/>
                <w:color w:val="000000"/>
                <w:sz w:val="14"/>
                <w:szCs w:val="14"/>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2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0"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2"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4"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6"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8"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A"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C"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3E"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3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8F40"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8F41" w14:textId="77777777" w:rsidR="00980E5F" w:rsidRDefault="00980E5F">
            <w:pPr>
              <w:rPr>
                <w:rFonts w:ascii="宋体"/>
              </w:rPr>
            </w:pPr>
          </w:p>
        </w:tc>
      </w:tr>
      <w:tr w:rsidR="00980E5F" w14:paraId="392C8F61" w14:textId="77777777">
        <w:tc>
          <w:tcPr>
            <w:tcW w:w="0" w:type="auto"/>
            <w:gridSpan w:val="3"/>
            <w:shd w:val="clear" w:color="auto" w:fill="FFFFFF"/>
            <w:tcMar>
              <w:top w:w="40" w:type="dxa"/>
              <w:left w:w="20" w:type="dxa"/>
              <w:bottom w:w="40" w:type="dxa"/>
              <w:right w:w="20" w:type="dxa"/>
            </w:tcMar>
            <w:vAlign w:val="bottom"/>
          </w:tcPr>
          <w:p w14:paraId="392C8F43" w14:textId="77777777" w:rsidR="00980E5F" w:rsidRDefault="00483613">
            <w:pPr>
              <w:textAlignment w:val="bottom"/>
            </w:pPr>
            <w:r>
              <w:rPr>
                <w:rFonts w:ascii="Arial" w:eastAsia="宋体" w:hAnsi="Arial" w:cs="Arial"/>
                <w:color w:val="000000"/>
                <w:sz w:val="14"/>
                <w:szCs w:val="14"/>
              </w:rPr>
              <w:t>US Treasury and agency securities</w:t>
            </w:r>
          </w:p>
        </w:tc>
        <w:tc>
          <w:tcPr>
            <w:tcW w:w="0" w:type="auto"/>
            <w:gridSpan w:val="2"/>
            <w:shd w:val="clear" w:color="auto" w:fill="FFFFFF"/>
            <w:tcMar>
              <w:top w:w="40" w:type="dxa"/>
              <w:left w:w="20" w:type="dxa"/>
              <w:bottom w:w="40" w:type="dxa"/>
              <w:right w:w="0" w:type="dxa"/>
            </w:tcMar>
            <w:vAlign w:val="bottom"/>
          </w:tcPr>
          <w:p w14:paraId="392C8F44" w14:textId="77777777" w:rsidR="00980E5F" w:rsidRDefault="00483613">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4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4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4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4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4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4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4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4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0" w14:textId="77777777" w:rsidR="00980E5F" w:rsidRDefault="00483613">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5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5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5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60" w14:textId="77777777" w:rsidR="00980E5F" w:rsidRDefault="00980E5F">
            <w:pPr>
              <w:jc w:val="right"/>
              <w:rPr>
                <w:rFonts w:ascii="宋体"/>
              </w:rPr>
            </w:pPr>
          </w:p>
        </w:tc>
      </w:tr>
      <w:tr w:rsidR="00980E5F" w14:paraId="392C8F80" w14:textId="77777777">
        <w:tc>
          <w:tcPr>
            <w:tcW w:w="0" w:type="auto"/>
            <w:gridSpan w:val="3"/>
            <w:shd w:val="clear" w:color="auto" w:fill="CCEEFF"/>
            <w:tcMar>
              <w:top w:w="40" w:type="dxa"/>
              <w:left w:w="20" w:type="dxa"/>
              <w:bottom w:w="40" w:type="dxa"/>
              <w:right w:w="20" w:type="dxa"/>
            </w:tcMar>
            <w:vAlign w:val="bottom"/>
          </w:tcPr>
          <w:p w14:paraId="392C8F62" w14:textId="77777777" w:rsidR="00980E5F" w:rsidRDefault="00483613">
            <w:pPr>
              <w:textAlignment w:val="bottom"/>
            </w:pPr>
            <w:r>
              <w:rPr>
                <w:rFonts w:ascii="Arial" w:eastAsia="宋体" w:hAnsi="Arial" w:cs="Arial"/>
                <w:color w:val="000000"/>
                <w:sz w:val="14"/>
                <w:szCs w:val="14"/>
              </w:rPr>
              <w:t>Corporate debt securities</w:t>
            </w:r>
          </w:p>
        </w:tc>
        <w:tc>
          <w:tcPr>
            <w:tcW w:w="0" w:type="auto"/>
            <w:gridSpan w:val="2"/>
            <w:shd w:val="clear" w:color="auto" w:fill="CCEEFF"/>
            <w:tcMar>
              <w:top w:w="40" w:type="dxa"/>
              <w:left w:w="20" w:type="dxa"/>
              <w:bottom w:w="40" w:type="dxa"/>
              <w:right w:w="0" w:type="dxa"/>
            </w:tcMar>
            <w:vAlign w:val="bottom"/>
          </w:tcPr>
          <w:p w14:paraId="392C8F63" w14:textId="77777777" w:rsidR="00980E5F" w:rsidRDefault="00483613">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6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6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69"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6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6F" w14:textId="77777777" w:rsidR="00980E5F" w:rsidRDefault="00483613">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7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72" w14:textId="77777777" w:rsidR="00980E5F" w:rsidRDefault="00483613">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392C8F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7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7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7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7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7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7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7E" w14:textId="77777777" w:rsidR="00980E5F" w:rsidRDefault="00483613">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392C8F7F" w14:textId="77777777" w:rsidR="00980E5F" w:rsidRDefault="00980E5F">
            <w:pPr>
              <w:jc w:val="right"/>
              <w:rPr>
                <w:rFonts w:ascii="宋体"/>
              </w:rPr>
            </w:pPr>
          </w:p>
        </w:tc>
      </w:tr>
      <w:tr w:rsidR="00980E5F" w14:paraId="392C8F9F" w14:textId="77777777">
        <w:tc>
          <w:tcPr>
            <w:tcW w:w="0" w:type="auto"/>
            <w:gridSpan w:val="3"/>
            <w:shd w:val="clear" w:color="auto" w:fill="FFFFFF"/>
            <w:tcMar>
              <w:top w:w="40" w:type="dxa"/>
              <w:left w:w="20" w:type="dxa"/>
              <w:bottom w:w="40" w:type="dxa"/>
              <w:right w:w="20" w:type="dxa"/>
            </w:tcMar>
            <w:vAlign w:val="bottom"/>
          </w:tcPr>
          <w:p w14:paraId="392C8F81" w14:textId="77777777" w:rsidR="00980E5F" w:rsidRDefault="00483613">
            <w:pPr>
              <w:textAlignment w:val="bottom"/>
            </w:pPr>
            <w:r>
              <w:rPr>
                <w:rFonts w:ascii="Arial" w:eastAsia="宋体" w:hAnsi="Arial" w:cs="Arial"/>
                <w:color w:val="000000"/>
                <w:sz w:val="14"/>
                <w:szCs w:val="14"/>
              </w:rPr>
              <w:t>Equity securities</w:t>
            </w:r>
          </w:p>
        </w:tc>
        <w:tc>
          <w:tcPr>
            <w:tcW w:w="0" w:type="auto"/>
            <w:gridSpan w:val="2"/>
            <w:shd w:val="clear" w:color="auto" w:fill="FFFFFF"/>
            <w:tcMar>
              <w:top w:w="40" w:type="dxa"/>
              <w:left w:w="20" w:type="dxa"/>
              <w:bottom w:w="40" w:type="dxa"/>
              <w:right w:w="0" w:type="dxa"/>
            </w:tcMar>
            <w:vAlign w:val="bottom"/>
          </w:tcPr>
          <w:p w14:paraId="392C8F82" w14:textId="77777777" w:rsidR="00980E5F" w:rsidRDefault="00483613">
            <w:pPr>
              <w:jc w:val="right"/>
              <w:textAlignment w:val="bottom"/>
            </w:pPr>
            <w:r>
              <w:rPr>
                <w:rFonts w:ascii="Arial" w:eastAsia="宋体" w:hAnsi="Arial" w:cs="Arial"/>
                <w:b/>
                <w:bCs/>
                <w:color w:val="000000"/>
                <w:sz w:val="14"/>
                <w:szCs w:val="14"/>
              </w:rPr>
              <w:t>3,502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85" w14:textId="77777777" w:rsidR="00980E5F" w:rsidRDefault="00483613">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8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88" w14:textId="77777777" w:rsidR="00980E5F" w:rsidRDefault="00483613">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8B" w14:textId="77777777" w:rsidR="00980E5F" w:rsidRDefault="00483613">
            <w:pPr>
              <w:jc w:val="right"/>
              <w:textAlignment w:val="bottom"/>
            </w:pPr>
            <w:r>
              <w:rPr>
                <w:rFonts w:ascii="Arial" w:eastAsia="宋体" w:hAnsi="Arial" w:cs="Arial"/>
                <w:b/>
                <w:bCs/>
                <w:color w:val="000000"/>
                <w:sz w:val="14"/>
                <w:szCs w:val="14"/>
              </w:rPr>
              <w:t>708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8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8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8E" w14:textId="77777777" w:rsidR="00980E5F" w:rsidRDefault="00483613">
            <w:pPr>
              <w:jc w:val="right"/>
              <w:textAlignment w:val="bottom"/>
            </w:pPr>
            <w:r>
              <w:rPr>
                <w:rFonts w:ascii="Arial" w:eastAsia="宋体" w:hAnsi="Arial" w:cs="Arial"/>
                <w:b/>
                <w:bCs/>
                <w:color w:val="000000"/>
                <w:sz w:val="14"/>
                <w:szCs w:val="14"/>
              </w:rPr>
              <w:t>4,268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8F8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9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91" w14:textId="77777777" w:rsidR="00980E5F" w:rsidRDefault="00483613">
            <w:pPr>
              <w:jc w:val="right"/>
              <w:textAlignment w:val="bottom"/>
            </w:pPr>
            <w:r>
              <w:rPr>
                <w:rFonts w:ascii="Arial" w:eastAsia="宋体" w:hAnsi="Arial" w:cs="Arial"/>
                <w:color w:val="000000"/>
                <w:sz w:val="14"/>
                <w:szCs w:val="14"/>
              </w:rPr>
              <w:t>5,964 </w:t>
            </w:r>
          </w:p>
        </w:tc>
        <w:tc>
          <w:tcPr>
            <w:tcW w:w="0" w:type="auto"/>
            <w:shd w:val="clear" w:color="auto" w:fill="FFFFFF"/>
            <w:tcMar>
              <w:top w:w="40" w:type="dxa"/>
              <w:left w:w="0" w:type="dxa"/>
              <w:bottom w:w="40" w:type="dxa"/>
              <w:right w:w="20" w:type="dxa"/>
            </w:tcMar>
            <w:vAlign w:val="bottom"/>
          </w:tcPr>
          <w:p w14:paraId="392C8F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94" w14:textId="77777777" w:rsidR="00980E5F" w:rsidRDefault="00483613">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392C8F9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9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97" w14:textId="77777777" w:rsidR="00980E5F" w:rsidRDefault="00483613">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392C8F9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9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9A" w14:textId="77777777" w:rsidR="00980E5F" w:rsidRDefault="00483613">
            <w:pPr>
              <w:jc w:val="right"/>
              <w:textAlignment w:val="bottom"/>
            </w:pPr>
            <w:r>
              <w:rPr>
                <w:rFonts w:ascii="Arial" w:eastAsia="宋体" w:hAnsi="Arial" w:cs="Arial"/>
                <w:color w:val="000000"/>
                <w:sz w:val="14"/>
                <w:szCs w:val="14"/>
              </w:rPr>
              <w:t>1,316 </w:t>
            </w:r>
          </w:p>
        </w:tc>
        <w:tc>
          <w:tcPr>
            <w:tcW w:w="0" w:type="auto"/>
            <w:shd w:val="clear" w:color="auto" w:fill="FFFFFF"/>
            <w:tcMar>
              <w:top w:w="40" w:type="dxa"/>
              <w:left w:w="0" w:type="dxa"/>
              <w:bottom w:w="40" w:type="dxa"/>
              <w:right w:w="20" w:type="dxa"/>
            </w:tcMar>
            <w:vAlign w:val="bottom"/>
          </w:tcPr>
          <w:p w14:paraId="392C8F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8F9D" w14:textId="77777777" w:rsidR="00980E5F" w:rsidRDefault="00483613">
            <w:pPr>
              <w:jc w:val="right"/>
              <w:textAlignment w:val="bottom"/>
            </w:pPr>
            <w:r>
              <w:rPr>
                <w:rFonts w:ascii="Arial" w:eastAsia="宋体" w:hAnsi="Arial" w:cs="Arial"/>
                <w:color w:val="000000"/>
                <w:sz w:val="14"/>
                <w:szCs w:val="14"/>
              </w:rPr>
              <w:t>7,315 </w:t>
            </w:r>
          </w:p>
        </w:tc>
        <w:tc>
          <w:tcPr>
            <w:tcW w:w="0" w:type="auto"/>
            <w:shd w:val="clear" w:color="auto" w:fill="FFFFFF"/>
            <w:tcMar>
              <w:top w:w="40" w:type="dxa"/>
              <w:left w:w="0" w:type="dxa"/>
              <w:bottom w:w="40" w:type="dxa"/>
              <w:right w:w="20" w:type="dxa"/>
            </w:tcMar>
            <w:vAlign w:val="bottom"/>
          </w:tcPr>
          <w:p w14:paraId="392C8F9E" w14:textId="77777777" w:rsidR="00980E5F" w:rsidRDefault="00980E5F">
            <w:pPr>
              <w:jc w:val="right"/>
              <w:rPr>
                <w:rFonts w:ascii="宋体"/>
              </w:rPr>
            </w:pPr>
          </w:p>
        </w:tc>
      </w:tr>
      <w:tr w:rsidR="00980E5F" w14:paraId="392C8FBE" w14:textId="77777777">
        <w:tc>
          <w:tcPr>
            <w:tcW w:w="0" w:type="auto"/>
            <w:gridSpan w:val="3"/>
            <w:shd w:val="clear" w:color="auto" w:fill="CCEEFF"/>
            <w:tcMar>
              <w:top w:w="40" w:type="dxa"/>
              <w:left w:w="20" w:type="dxa"/>
              <w:bottom w:w="40" w:type="dxa"/>
              <w:right w:w="20" w:type="dxa"/>
            </w:tcMar>
            <w:vAlign w:val="bottom"/>
          </w:tcPr>
          <w:p w14:paraId="392C8FA0" w14:textId="77777777" w:rsidR="00980E5F" w:rsidRDefault="00483613">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92C8FA1"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A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A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A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A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A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A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A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A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AD"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A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B0"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8F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B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B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B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B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B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B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B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8F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8FBC"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8FBD" w14:textId="77777777" w:rsidR="00980E5F" w:rsidRDefault="00980E5F">
            <w:pPr>
              <w:jc w:val="right"/>
              <w:rPr>
                <w:rFonts w:ascii="宋体"/>
              </w:rPr>
            </w:pPr>
          </w:p>
        </w:tc>
      </w:tr>
      <w:tr w:rsidR="00980E5F" w14:paraId="392C8FDD" w14:textId="77777777">
        <w:tc>
          <w:tcPr>
            <w:tcW w:w="0" w:type="auto"/>
            <w:gridSpan w:val="3"/>
            <w:shd w:val="clear" w:color="auto" w:fill="FFFFFF"/>
            <w:tcMar>
              <w:top w:w="40" w:type="dxa"/>
              <w:left w:w="20" w:type="dxa"/>
              <w:bottom w:w="40" w:type="dxa"/>
              <w:right w:w="20" w:type="dxa"/>
            </w:tcMar>
            <w:vAlign w:val="bottom"/>
          </w:tcPr>
          <w:p w14:paraId="392C8FBF" w14:textId="77777777" w:rsidR="00980E5F" w:rsidRDefault="00483613">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0" w14:textId="77777777" w:rsidR="00980E5F" w:rsidRDefault="00483613">
            <w:pPr>
              <w:jc w:val="right"/>
              <w:textAlignment w:val="bottom"/>
            </w:pPr>
            <w:r>
              <w:rPr>
                <w:rFonts w:ascii="Arial" w:eastAsia="宋体" w:hAnsi="Arial" w:cs="Arial"/>
                <w:b/>
                <w:bCs/>
                <w:color w:val="000000"/>
                <w:sz w:val="14"/>
                <w:szCs w:val="14"/>
              </w:rPr>
              <w:t>3,552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C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C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3" w14:textId="77777777" w:rsidR="00980E5F" w:rsidRDefault="00483613">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C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C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6" w14:textId="77777777" w:rsidR="00980E5F" w:rsidRDefault="00483613">
            <w:pPr>
              <w:jc w:val="right"/>
              <w:textAlignment w:val="bottom"/>
            </w:pPr>
            <w:r>
              <w:rPr>
                <w:rFonts w:ascii="Arial" w:eastAsia="宋体" w:hAnsi="Arial" w:cs="Arial"/>
                <w:b/>
                <w:bCs/>
                <w:color w:val="000000"/>
                <w:sz w:val="14"/>
                <w:szCs w:val="14"/>
              </w:rPr>
              <w:t>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C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C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9" w14:textId="77777777" w:rsidR="00980E5F" w:rsidRDefault="00483613">
            <w:pPr>
              <w:jc w:val="right"/>
              <w:textAlignment w:val="bottom"/>
            </w:pPr>
            <w:r>
              <w:rPr>
                <w:rFonts w:ascii="Arial" w:eastAsia="宋体" w:hAnsi="Arial" w:cs="Arial"/>
                <w:b/>
                <w:bCs/>
                <w:color w:val="000000"/>
                <w:sz w:val="14"/>
                <w:szCs w:val="14"/>
              </w:rPr>
              <w:t>708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C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C" w14:textId="77777777" w:rsidR="00980E5F" w:rsidRDefault="00483613">
            <w:pPr>
              <w:jc w:val="right"/>
              <w:textAlignment w:val="bottom"/>
            </w:pPr>
            <w:r>
              <w:rPr>
                <w:rFonts w:ascii="Arial" w:eastAsia="宋体" w:hAnsi="Arial" w:cs="Arial"/>
                <w:b/>
                <w:bCs/>
                <w:color w:val="000000"/>
                <w:sz w:val="14"/>
                <w:szCs w:val="14"/>
              </w:rPr>
              <w:t>4,323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C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C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CF" w14:textId="77777777" w:rsidR="00980E5F" w:rsidRDefault="00483613">
            <w:pPr>
              <w:jc w:val="right"/>
              <w:textAlignment w:val="bottom"/>
            </w:pPr>
            <w:r>
              <w:rPr>
                <w:rFonts w:ascii="Arial" w:eastAsia="宋体" w:hAnsi="Arial" w:cs="Arial"/>
                <w:color w:val="000000"/>
                <w:sz w:val="14"/>
                <w:szCs w:val="14"/>
              </w:rPr>
              <w:t>6,057 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D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D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D2" w14:textId="77777777" w:rsidR="00980E5F" w:rsidRDefault="00483613">
            <w:pPr>
              <w:jc w:val="right"/>
              <w:textAlignment w:val="bottom"/>
            </w:pPr>
            <w:r>
              <w:rPr>
                <w:rFonts w:ascii="Arial" w:eastAsia="宋体" w:hAnsi="Arial" w:cs="Arial"/>
                <w:color w:val="000000"/>
                <w:sz w:val="14"/>
                <w:szCs w:val="14"/>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D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D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D5" w14:textId="77777777" w:rsidR="00980E5F" w:rsidRDefault="00483613">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D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D8" w14:textId="77777777" w:rsidR="00980E5F" w:rsidRDefault="00483613">
            <w:pPr>
              <w:jc w:val="right"/>
              <w:textAlignment w:val="bottom"/>
            </w:pPr>
            <w:r>
              <w:rPr>
                <w:rFonts w:ascii="Arial" w:eastAsia="宋体" w:hAnsi="Arial" w:cs="Arial"/>
                <w:color w:val="000000"/>
                <w:sz w:val="14"/>
                <w:szCs w:val="14"/>
              </w:rPr>
              <w:t>1,316 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8FD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8FDB" w14:textId="77777777" w:rsidR="00980E5F" w:rsidRDefault="00483613">
            <w:pPr>
              <w:jc w:val="right"/>
              <w:textAlignment w:val="bottom"/>
            </w:pPr>
            <w:r>
              <w:rPr>
                <w:rFonts w:ascii="Arial" w:eastAsia="宋体" w:hAnsi="Arial" w:cs="Arial"/>
                <w:color w:val="000000"/>
                <w:sz w:val="14"/>
                <w:szCs w:val="14"/>
              </w:rPr>
              <w:t>7,408 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8FDC" w14:textId="77777777" w:rsidR="00980E5F" w:rsidRDefault="00980E5F">
            <w:pPr>
              <w:jc w:val="right"/>
              <w:rPr>
                <w:rFonts w:ascii="宋体"/>
              </w:rPr>
            </w:pPr>
          </w:p>
        </w:tc>
      </w:tr>
      <w:tr w:rsidR="00483613" w14:paraId="392C9006" w14:textId="77777777">
        <w:tc>
          <w:tcPr>
            <w:tcW w:w="0" w:type="auto"/>
            <w:gridSpan w:val="3"/>
            <w:shd w:val="clear" w:color="auto" w:fill="CCEEFF"/>
            <w:tcMar>
              <w:top w:w="40" w:type="dxa"/>
              <w:left w:w="20" w:type="dxa"/>
              <w:bottom w:w="40" w:type="dxa"/>
              <w:right w:w="20" w:type="dxa"/>
            </w:tcMar>
            <w:vAlign w:val="bottom"/>
          </w:tcPr>
          <w:p w14:paraId="392C8FDE" w14:textId="77777777" w:rsidR="00980E5F" w:rsidRDefault="00483613">
            <w:pPr>
              <w:textAlignment w:val="bottom"/>
            </w:pPr>
            <w:r>
              <w:rPr>
                <w:rFonts w:ascii="Arial" w:eastAsia="宋体" w:hAnsi="Arial" w:cs="Arial"/>
                <w:b/>
                <w:bCs/>
                <w:color w:val="000000"/>
                <w:sz w:val="14"/>
                <w:szCs w:val="14"/>
              </w:rPr>
              <w:t>Gross amount of recognized liabilities for repurchase agree</w:t>
            </w:r>
            <w:r>
              <w:rPr>
                <w:rFonts w:ascii="Arial" w:eastAsia="宋体" w:hAnsi="Arial" w:cs="Arial"/>
                <w:b/>
                <w:bCs/>
                <w:color w:val="000000"/>
                <w:sz w:val="14"/>
                <w:szCs w:val="14"/>
              </w:rPr>
              <w:t>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D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E0" w14:textId="77777777" w:rsidR="00980E5F" w:rsidRDefault="00483613">
            <w:pPr>
              <w:jc w:val="right"/>
              <w:textAlignment w:val="bottom"/>
            </w:pPr>
            <w:r>
              <w:rPr>
                <w:rFonts w:ascii="Arial" w:eastAsia="宋体" w:hAnsi="Arial" w:cs="Arial"/>
                <w:b/>
                <w:bCs/>
                <w:color w:val="000000"/>
                <w:sz w:val="14"/>
                <w:szCs w:val="14"/>
              </w:rPr>
              <w:t>79,310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E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E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E4" w14:textId="77777777" w:rsidR="00980E5F" w:rsidRDefault="00483613">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E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E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E8" w14:textId="77777777" w:rsidR="00980E5F" w:rsidRDefault="00483613">
            <w:pPr>
              <w:jc w:val="right"/>
              <w:textAlignment w:val="bottom"/>
            </w:pPr>
            <w:r>
              <w:rPr>
                <w:rFonts w:ascii="Arial" w:eastAsia="宋体" w:hAnsi="Arial" w:cs="Arial"/>
                <w:b/>
                <w:bCs/>
                <w:color w:val="000000"/>
                <w:sz w:val="14"/>
                <w:szCs w:val="14"/>
              </w:rPr>
              <w:t>30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E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E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EC" w14:textId="77777777" w:rsidR="00980E5F" w:rsidRDefault="00483613">
            <w:pPr>
              <w:jc w:val="right"/>
              <w:textAlignment w:val="bottom"/>
            </w:pPr>
            <w:r>
              <w:rPr>
                <w:rFonts w:ascii="Arial" w:eastAsia="宋体" w:hAnsi="Arial" w:cs="Arial"/>
                <w:b/>
                <w:bCs/>
                <w:color w:val="000000"/>
                <w:sz w:val="14"/>
                <w:szCs w:val="14"/>
              </w:rPr>
              <w:t>708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E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E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F0" w14:textId="77777777" w:rsidR="00980E5F" w:rsidRDefault="00483613">
            <w:pPr>
              <w:jc w:val="right"/>
              <w:textAlignment w:val="bottom"/>
            </w:pPr>
            <w:r>
              <w:rPr>
                <w:rFonts w:ascii="Arial" w:eastAsia="宋体" w:hAnsi="Arial" w:cs="Arial"/>
                <w:b/>
                <w:bCs/>
                <w:color w:val="000000"/>
                <w:sz w:val="14"/>
                <w:szCs w:val="14"/>
              </w:rPr>
              <w:t>80,081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F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F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F4" w14:textId="77777777" w:rsidR="00980E5F" w:rsidRDefault="00483613">
            <w:pPr>
              <w:jc w:val="right"/>
              <w:textAlignment w:val="bottom"/>
            </w:pPr>
            <w:r>
              <w:rPr>
                <w:rFonts w:ascii="Arial" w:eastAsia="宋体" w:hAnsi="Arial" w:cs="Arial"/>
                <w:color w:val="000000"/>
                <w:sz w:val="14"/>
                <w:szCs w:val="14"/>
              </w:rPr>
              <w:t>81,323 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F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F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F8" w14:textId="77777777" w:rsidR="00980E5F" w:rsidRDefault="00483613">
            <w:pPr>
              <w:jc w:val="right"/>
              <w:textAlignment w:val="bottom"/>
            </w:pPr>
            <w:r>
              <w:rPr>
                <w:rFonts w:ascii="Arial" w:eastAsia="宋体" w:hAnsi="Arial" w:cs="Arial"/>
                <w:color w:val="000000"/>
                <w:sz w:val="14"/>
                <w:szCs w:val="14"/>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F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F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8FFC" w14:textId="77777777" w:rsidR="00980E5F" w:rsidRDefault="00483613">
            <w:pPr>
              <w:jc w:val="right"/>
              <w:textAlignment w:val="bottom"/>
            </w:pPr>
            <w:r>
              <w:rPr>
                <w:rFonts w:ascii="Arial" w:eastAsia="宋体" w:hAnsi="Arial" w:cs="Arial"/>
                <w:color w:val="000000"/>
                <w:sz w:val="14"/>
                <w:szCs w:val="14"/>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8F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8FF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8FF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000" w14:textId="77777777" w:rsidR="00980E5F" w:rsidRDefault="00483613">
            <w:pPr>
              <w:jc w:val="right"/>
              <w:textAlignment w:val="bottom"/>
            </w:pPr>
            <w:r>
              <w:rPr>
                <w:rFonts w:ascii="Arial" w:eastAsia="宋体" w:hAnsi="Arial" w:cs="Arial"/>
                <w:color w:val="000000"/>
                <w:sz w:val="14"/>
                <w:szCs w:val="14"/>
              </w:rPr>
              <w:t>1,316 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0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00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00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004" w14:textId="77777777" w:rsidR="00980E5F" w:rsidRDefault="00483613">
            <w:pPr>
              <w:jc w:val="right"/>
              <w:textAlignment w:val="bottom"/>
            </w:pPr>
            <w:r>
              <w:rPr>
                <w:rFonts w:ascii="Arial" w:eastAsia="宋体" w:hAnsi="Arial" w:cs="Arial"/>
                <w:color w:val="000000"/>
                <w:sz w:val="14"/>
                <w:szCs w:val="14"/>
              </w:rPr>
              <w:t>82,674 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005" w14:textId="77777777" w:rsidR="00980E5F" w:rsidRDefault="00980E5F">
            <w:pPr>
              <w:jc w:val="right"/>
              <w:rPr>
                <w:rFonts w:ascii="宋体"/>
              </w:rPr>
            </w:pPr>
          </w:p>
        </w:tc>
      </w:tr>
    </w:tbl>
    <w:p w14:paraId="392C900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980E5F" w14:paraId="392C9017" w14:textId="77777777">
        <w:tc>
          <w:tcPr>
            <w:tcW w:w="50" w:type="pct"/>
            <w:shd w:val="clear" w:color="auto" w:fill="auto"/>
            <w:vAlign w:val="bottom"/>
          </w:tcPr>
          <w:p w14:paraId="392C9008" w14:textId="77777777" w:rsidR="00980E5F" w:rsidRDefault="00980E5F">
            <w:pPr>
              <w:rPr>
                <w:rFonts w:ascii="宋体"/>
              </w:rPr>
            </w:pPr>
          </w:p>
        </w:tc>
        <w:tc>
          <w:tcPr>
            <w:tcW w:w="1348" w:type="pct"/>
            <w:shd w:val="clear" w:color="auto" w:fill="auto"/>
            <w:vAlign w:val="bottom"/>
          </w:tcPr>
          <w:p w14:paraId="392C9009" w14:textId="77777777" w:rsidR="00980E5F" w:rsidRDefault="00980E5F">
            <w:pPr>
              <w:rPr>
                <w:rFonts w:ascii="宋体"/>
              </w:rPr>
            </w:pPr>
          </w:p>
        </w:tc>
        <w:tc>
          <w:tcPr>
            <w:tcW w:w="5" w:type="pct"/>
            <w:shd w:val="clear" w:color="auto" w:fill="auto"/>
            <w:vAlign w:val="bottom"/>
          </w:tcPr>
          <w:p w14:paraId="392C900A" w14:textId="77777777" w:rsidR="00980E5F" w:rsidRDefault="00980E5F">
            <w:pPr>
              <w:rPr>
                <w:rFonts w:ascii="宋体"/>
              </w:rPr>
            </w:pPr>
          </w:p>
        </w:tc>
        <w:tc>
          <w:tcPr>
            <w:tcW w:w="50" w:type="pct"/>
            <w:shd w:val="clear" w:color="auto" w:fill="auto"/>
            <w:vAlign w:val="bottom"/>
          </w:tcPr>
          <w:p w14:paraId="392C900B" w14:textId="77777777" w:rsidR="00980E5F" w:rsidRDefault="00980E5F">
            <w:pPr>
              <w:rPr>
                <w:rFonts w:ascii="宋体"/>
              </w:rPr>
            </w:pPr>
          </w:p>
        </w:tc>
        <w:tc>
          <w:tcPr>
            <w:tcW w:w="1048" w:type="pct"/>
            <w:shd w:val="clear" w:color="auto" w:fill="auto"/>
            <w:vAlign w:val="bottom"/>
          </w:tcPr>
          <w:p w14:paraId="392C900C" w14:textId="77777777" w:rsidR="00980E5F" w:rsidRDefault="00980E5F">
            <w:pPr>
              <w:rPr>
                <w:rFonts w:ascii="宋体"/>
              </w:rPr>
            </w:pPr>
          </w:p>
        </w:tc>
        <w:tc>
          <w:tcPr>
            <w:tcW w:w="5" w:type="pct"/>
            <w:shd w:val="clear" w:color="auto" w:fill="auto"/>
            <w:vAlign w:val="bottom"/>
          </w:tcPr>
          <w:p w14:paraId="392C900D" w14:textId="77777777" w:rsidR="00980E5F" w:rsidRDefault="00980E5F">
            <w:pPr>
              <w:rPr>
                <w:rFonts w:ascii="宋体"/>
              </w:rPr>
            </w:pPr>
          </w:p>
        </w:tc>
        <w:tc>
          <w:tcPr>
            <w:tcW w:w="50" w:type="pct"/>
            <w:shd w:val="clear" w:color="auto" w:fill="auto"/>
            <w:vAlign w:val="bottom"/>
          </w:tcPr>
          <w:p w14:paraId="392C900E" w14:textId="77777777" w:rsidR="00980E5F" w:rsidRDefault="00980E5F">
            <w:pPr>
              <w:rPr>
                <w:rFonts w:ascii="宋体"/>
              </w:rPr>
            </w:pPr>
          </w:p>
        </w:tc>
        <w:tc>
          <w:tcPr>
            <w:tcW w:w="917" w:type="pct"/>
            <w:shd w:val="clear" w:color="auto" w:fill="auto"/>
            <w:vAlign w:val="bottom"/>
          </w:tcPr>
          <w:p w14:paraId="392C900F" w14:textId="77777777" w:rsidR="00980E5F" w:rsidRDefault="00980E5F">
            <w:pPr>
              <w:rPr>
                <w:rFonts w:ascii="宋体"/>
              </w:rPr>
            </w:pPr>
          </w:p>
        </w:tc>
        <w:tc>
          <w:tcPr>
            <w:tcW w:w="5" w:type="pct"/>
            <w:shd w:val="clear" w:color="auto" w:fill="auto"/>
            <w:vAlign w:val="bottom"/>
          </w:tcPr>
          <w:p w14:paraId="392C9010" w14:textId="77777777" w:rsidR="00980E5F" w:rsidRDefault="00980E5F">
            <w:pPr>
              <w:rPr>
                <w:rFonts w:ascii="宋体"/>
              </w:rPr>
            </w:pPr>
          </w:p>
        </w:tc>
        <w:tc>
          <w:tcPr>
            <w:tcW w:w="50" w:type="pct"/>
            <w:shd w:val="clear" w:color="auto" w:fill="auto"/>
            <w:vAlign w:val="bottom"/>
          </w:tcPr>
          <w:p w14:paraId="392C9011" w14:textId="77777777" w:rsidR="00980E5F" w:rsidRDefault="00980E5F">
            <w:pPr>
              <w:rPr>
                <w:rFonts w:ascii="宋体"/>
              </w:rPr>
            </w:pPr>
          </w:p>
        </w:tc>
        <w:tc>
          <w:tcPr>
            <w:tcW w:w="917" w:type="pct"/>
            <w:shd w:val="clear" w:color="auto" w:fill="auto"/>
            <w:vAlign w:val="bottom"/>
          </w:tcPr>
          <w:p w14:paraId="392C9012" w14:textId="77777777" w:rsidR="00980E5F" w:rsidRDefault="00980E5F">
            <w:pPr>
              <w:rPr>
                <w:rFonts w:ascii="宋体"/>
              </w:rPr>
            </w:pPr>
          </w:p>
        </w:tc>
        <w:tc>
          <w:tcPr>
            <w:tcW w:w="5" w:type="pct"/>
            <w:shd w:val="clear" w:color="auto" w:fill="auto"/>
            <w:vAlign w:val="bottom"/>
          </w:tcPr>
          <w:p w14:paraId="392C9013" w14:textId="77777777" w:rsidR="00980E5F" w:rsidRDefault="00980E5F">
            <w:pPr>
              <w:rPr>
                <w:rFonts w:ascii="宋体"/>
              </w:rPr>
            </w:pPr>
          </w:p>
        </w:tc>
        <w:tc>
          <w:tcPr>
            <w:tcW w:w="50" w:type="pct"/>
            <w:shd w:val="clear" w:color="auto" w:fill="auto"/>
            <w:vAlign w:val="bottom"/>
          </w:tcPr>
          <w:p w14:paraId="392C9014" w14:textId="77777777" w:rsidR="00980E5F" w:rsidRDefault="00980E5F">
            <w:pPr>
              <w:rPr>
                <w:rFonts w:ascii="宋体"/>
              </w:rPr>
            </w:pPr>
          </w:p>
        </w:tc>
        <w:tc>
          <w:tcPr>
            <w:tcW w:w="493" w:type="pct"/>
            <w:shd w:val="clear" w:color="auto" w:fill="auto"/>
            <w:vAlign w:val="bottom"/>
          </w:tcPr>
          <w:p w14:paraId="392C9015" w14:textId="77777777" w:rsidR="00980E5F" w:rsidRDefault="00980E5F">
            <w:pPr>
              <w:rPr>
                <w:rFonts w:ascii="宋体"/>
              </w:rPr>
            </w:pPr>
          </w:p>
        </w:tc>
        <w:tc>
          <w:tcPr>
            <w:tcW w:w="5" w:type="pct"/>
            <w:shd w:val="clear" w:color="auto" w:fill="auto"/>
            <w:vAlign w:val="bottom"/>
          </w:tcPr>
          <w:p w14:paraId="392C9016" w14:textId="77777777" w:rsidR="00980E5F" w:rsidRDefault="00980E5F">
            <w:pPr>
              <w:rPr>
                <w:rFonts w:ascii="宋体"/>
              </w:rPr>
            </w:pPr>
          </w:p>
        </w:tc>
      </w:tr>
      <w:tr w:rsidR="00980E5F" w14:paraId="392C901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901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1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1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1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1C" w14:textId="77777777" w:rsidR="00980E5F" w:rsidRDefault="00980E5F">
            <w:pPr>
              <w:rPr>
                <w:rFonts w:ascii="宋体"/>
              </w:rPr>
            </w:pPr>
          </w:p>
        </w:tc>
      </w:tr>
    </w:tbl>
    <w:p w14:paraId="392C901E" w14:textId="77777777" w:rsidR="00980E5F" w:rsidRDefault="00483613">
      <w:pPr>
        <w:jc w:val="both"/>
      </w:pPr>
      <w:r>
        <w:rPr>
          <w:rFonts w:ascii="Arial" w:eastAsia="宋体" w:hAnsi="Arial" w:cs="Arial"/>
          <w:color w:val="000000"/>
          <w:sz w:val="8"/>
          <w:szCs w:val="8"/>
        </w:rPr>
        <w:t>(1)</w:t>
      </w:r>
      <w:r>
        <w:rPr>
          <w:rFonts w:ascii="Arial" w:eastAsia="宋体" w:hAnsi="Arial" w:cs="Arial"/>
          <w:color w:val="000000"/>
          <w:sz w:val="13"/>
          <w:szCs w:val="13"/>
        </w:rPr>
        <w:t xml:space="preserve"> Represents a security interest in underlying client assets related to our enhanced custody business, which clients have allowed us to transfer and re-pledge.</w:t>
      </w:r>
    </w:p>
    <w:p w14:paraId="392C901F" w14:textId="77777777" w:rsidR="00980E5F" w:rsidRDefault="00483613">
      <w:pPr>
        <w:spacing w:before="180"/>
        <w:jc w:val="both"/>
      </w:pPr>
      <w:r>
        <w:rPr>
          <w:rFonts w:ascii="Arial" w:eastAsia="宋体" w:hAnsi="Arial" w:cs="Arial"/>
          <w:b/>
          <w:bCs/>
          <w:color w:val="000000"/>
          <w:sz w:val="20"/>
          <w:szCs w:val="20"/>
        </w:rPr>
        <w:t>Note 9.    Commitments and Guarantees</w:t>
      </w:r>
    </w:p>
    <w:p w14:paraId="392C9020" w14:textId="77777777" w:rsidR="00980E5F" w:rsidRDefault="00483613">
      <w:pPr>
        <w:spacing w:before="60"/>
        <w:ind w:firstLine="450"/>
        <w:jc w:val="both"/>
      </w:pPr>
      <w:r>
        <w:rPr>
          <w:rFonts w:ascii="Arial" w:eastAsia="宋体" w:hAnsi="Arial" w:cs="Arial"/>
          <w:color w:val="000000"/>
          <w:sz w:val="20"/>
          <w:szCs w:val="20"/>
        </w:rPr>
        <w:t>For additional information on the nature of the obligations</w:t>
      </w:r>
      <w:r>
        <w:rPr>
          <w:rFonts w:ascii="Arial" w:eastAsia="宋体" w:hAnsi="Arial" w:cs="Arial"/>
          <w:color w:val="000000"/>
          <w:sz w:val="20"/>
          <w:szCs w:val="20"/>
        </w:rPr>
        <w:t xml:space="preserve"> and related business activities for our commitments and guarantees, refer to page 165 in Note 12 to the consolidated financial statements included under Item 8, Financial Statements and Supplementary Data, in our 2021 Form 10-K.</w:t>
      </w:r>
    </w:p>
    <w:p w14:paraId="392C9021" w14:textId="77777777" w:rsidR="00980E5F" w:rsidRDefault="00483613">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aggregate gross contractual amounts of our off-balance sheet commitments and guarantees,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3828"/>
        <w:gridCol w:w="36"/>
        <w:gridCol w:w="98"/>
        <w:gridCol w:w="2021"/>
        <w:gridCol w:w="36"/>
        <w:gridCol w:w="36"/>
        <w:gridCol w:w="36"/>
        <w:gridCol w:w="36"/>
        <w:gridCol w:w="99"/>
        <w:gridCol w:w="2022"/>
        <w:gridCol w:w="36"/>
      </w:tblGrid>
      <w:tr w:rsidR="00980E5F" w14:paraId="392C902E" w14:textId="77777777">
        <w:tc>
          <w:tcPr>
            <w:tcW w:w="50" w:type="pct"/>
            <w:shd w:val="clear" w:color="auto" w:fill="auto"/>
            <w:vAlign w:val="bottom"/>
          </w:tcPr>
          <w:p w14:paraId="392C9022" w14:textId="77777777" w:rsidR="00980E5F" w:rsidRDefault="00980E5F">
            <w:pPr>
              <w:rPr>
                <w:rFonts w:ascii="宋体"/>
              </w:rPr>
            </w:pPr>
          </w:p>
        </w:tc>
        <w:tc>
          <w:tcPr>
            <w:tcW w:w="2324" w:type="pct"/>
            <w:shd w:val="clear" w:color="auto" w:fill="auto"/>
            <w:vAlign w:val="bottom"/>
          </w:tcPr>
          <w:p w14:paraId="392C9023" w14:textId="77777777" w:rsidR="00980E5F" w:rsidRDefault="00980E5F">
            <w:pPr>
              <w:rPr>
                <w:rFonts w:ascii="宋体"/>
              </w:rPr>
            </w:pPr>
          </w:p>
        </w:tc>
        <w:tc>
          <w:tcPr>
            <w:tcW w:w="5" w:type="pct"/>
            <w:shd w:val="clear" w:color="auto" w:fill="auto"/>
            <w:vAlign w:val="bottom"/>
          </w:tcPr>
          <w:p w14:paraId="392C9024" w14:textId="77777777" w:rsidR="00980E5F" w:rsidRDefault="00980E5F">
            <w:pPr>
              <w:rPr>
                <w:rFonts w:ascii="宋体"/>
              </w:rPr>
            </w:pPr>
          </w:p>
        </w:tc>
        <w:tc>
          <w:tcPr>
            <w:tcW w:w="50" w:type="pct"/>
            <w:shd w:val="clear" w:color="auto" w:fill="auto"/>
            <w:vAlign w:val="bottom"/>
          </w:tcPr>
          <w:p w14:paraId="392C9025" w14:textId="77777777" w:rsidR="00980E5F" w:rsidRDefault="00980E5F">
            <w:pPr>
              <w:rPr>
                <w:rFonts w:ascii="宋体"/>
              </w:rPr>
            </w:pPr>
          </w:p>
        </w:tc>
        <w:tc>
          <w:tcPr>
            <w:tcW w:w="1240" w:type="pct"/>
            <w:shd w:val="clear" w:color="auto" w:fill="auto"/>
            <w:vAlign w:val="bottom"/>
          </w:tcPr>
          <w:p w14:paraId="392C9026" w14:textId="77777777" w:rsidR="00980E5F" w:rsidRDefault="00980E5F">
            <w:pPr>
              <w:rPr>
                <w:rFonts w:ascii="宋体"/>
              </w:rPr>
            </w:pPr>
          </w:p>
        </w:tc>
        <w:tc>
          <w:tcPr>
            <w:tcW w:w="5" w:type="pct"/>
            <w:shd w:val="clear" w:color="auto" w:fill="auto"/>
            <w:vAlign w:val="bottom"/>
          </w:tcPr>
          <w:p w14:paraId="392C9027" w14:textId="77777777" w:rsidR="00980E5F" w:rsidRDefault="00980E5F">
            <w:pPr>
              <w:rPr>
                <w:rFonts w:ascii="宋体"/>
              </w:rPr>
            </w:pPr>
          </w:p>
        </w:tc>
        <w:tc>
          <w:tcPr>
            <w:tcW w:w="5" w:type="pct"/>
            <w:shd w:val="clear" w:color="auto" w:fill="auto"/>
            <w:vAlign w:val="bottom"/>
          </w:tcPr>
          <w:p w14:paraId="392C9028" w14:textId="77777777" w:rsidR="00980E5F" w:rsidRDefault="00980E5F">
            <w:pPr>
              <w:rPr>
                <w:rFonts w:ascii="宋体"/>
              </w:rPr>
            </w:pPr>
          </w:p>
        </w:tc>
        <w:tc>
          <w:tcPr>
            <w:tcW w:w="19" w:type="pct"/>
            <w:shd w:val="clear" w:color="auto" w:fill="auto"/>
            <w:vAlign w:val="bottom"/>
          </w:tcPr>
          <w:p w14:paraId="392C9029" w14:textId="77777777" w:rsidR="00980E5F" w:rsidRDefault="00980E5F">
            <w:pPr>
              <w:rPr>
                <w:rFonts w:ascii="宋体"/>
              </w:rPr>
            </w:pPr>
          </w:p>
        </w:tc>
        <w:tc>
          <w:tcPr>
            <w:tcW w:w="5" w:type="pct"/>
            <w:shd w:val="clear" w:color="auto" w:fill="auto"/>
            <w:vAlign w:val="bottom"/>
          </w:tcPr>
          <w:p w14:paraId="392C902A" w14:textId="77777777" w:rsidR="00980E5F" w:rsidRDefault="00980E5F">
            <w:pPr>
              <w:rPr>
                <w:rFonts w:ascii="宋体"/>
              </w:rPr>
            </w:pPr>
          </w:p>
        </w:tc>
        <w:tc>
          <w:tcPr>
            <w:tcW w:w="50" w:type="pct"/>
            <w:shd w:val="clear" w:color="auto" w:fill="auto"/>
            <w:vAlign w:val="bottom"/>
          </w:tcPr>
          <w:p w14:paraId="392C902B" w14:textId="77777777" w:rsidR="00980E5F" w:rsidRDefault="00980E5F">
            <w:pPr>
              <w:rPr>
                <w:rFonts w:ascii="宋体"/>
              </w:rPr>
            </w:pPr>
          </w:p>
        </w:tc>
        <w:tc>
          <w:tcPr>
            <w:tcW w:w="1240" w:type="pct"/>
            <w:shd w:val="clear" w:color="auto" w:fill="auto"/>
            <w:vAlign w:val="bottom"/>
          </w:tcPr>
          <w:p w14:paraId="392C902C" w14:textId="77777777" w:rsidR="00980E5F" w:rsidRDefault="00980E5F">
            <w:pPr>
              <w:rPr>
                <w:rFonts w:ascii="宋体"/>
              </w:rPr>
            </w:pPr>
          </w:p>
        </w:tc>
        <w:tc>
          <w:tcPr>
            <w:tcW w:w="5" w:type="pct"/>
            <w:shd w:val="clear" w:color="auto" w:fill="auto"/>
            <w:vAlign w:val="bottom"/>
          </w:tcPr>
          <w:p w14:paraId="392C902D" w14:textId="77777777" w:rsidR="00980E5F" w:rsidRDefault="00980E5F">
            <w:pPr>
              <w:rPr>
                <w:rFonts w:ascii="宋体"/>
              </w:rPr>
            </w:pPr>
          </w:p>
        </w:tc>
      </w:tr>
      <w:tr w:rsidR="00980E5F" w14:paraId="392C9033" w14:textId="77777777">
        <w:tc>
          <w:tcPr>
            <w:tcW w:w="0" w:type="auto"/>
            <w:gridSpan w:val="3"/>
            <w:shd w:val="clear" w:color="auto" w:fill="auto"/>
            <w:tcMar>
              <w:top w:w="40" w:type="dxa"/>
              <w:left w:w="20" w:type="dxa"/>
              <w:bottom w:w="40" w:type="dxa"/>
              <w:right w:w="20" w:type="dxa"/>
            </w:tcMar>
            <w:vAlign w:val="bottom"/>
          </w:tcPr>
          <w:p w14:paraId="392C902F"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9030"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C903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032" w14:textId="77777777" w:rsidR="00980E5F" w:rsidRDefault="00483613">
            <w:pPr>
              <w:jc w:val="center"/>
              <w:textAlignment w:val="bottom"/>
            </w:pPr>
            <w:r>
              <w:rPr>
                <w:rFonts w:ascii="Arial" w:eastAsia="宋体" w:hAnsi="Arial" w:cs="Arial"/>
                <w:b/>
                <w:bCs/>
                <w:color w:val="000000"/>
                <w:sz w:val="14"/>
                <w:szCs w:val="14"/>
              </w:rPr>
              <w:t>December 31, 2021</w:t>
            </w:r>
          </w:p>
        </w:tc>
      </w:tr>
      <w:tr w:rsidR="00980E5F" w14:paraId="392C9038" w14:textId="77777777">
        <w:tc>
          <w:tcPr>
            <w:tcW w:w="0" w:type="auto"/>
            <w:gridSpan w:val="3"/>
            <w:shd w:val="clear" w:color="auto" w:fill="auto"/>
            <w:tcMar>
              <w:top w:w="40" w:type="dxa"/>
              <w:left w:w="20" w:type="dxa"/>
              <w:bottom w:w="40" w:type="dxa"/>
              <w:right w:w="20" w:type="dxa"/>
            </w:tcMar>
            <w:vAlign w:val="bottom"/>
          </w:tcPr>
          <w:p w14:paraId="392C9034" w14:textId="77777777" w:rsidR="00980E5F" w:rsidRDefault="00483613">
            <w:pPr>
              <w:textAlignment w:val="bottom"/>
            </w:pPr>
            <w:r>
              <w:rPr>
                <w:rFonts w:ascii="Arial" w:eastAsia="宋体" w:hAnsi="Arial" w:cs="Arial"/>
                <w:b/>
                <w:bCs/>
                <w:color w:val="000000"/>
                <w:sz w:val="14"/>
                <w:szCs w:val="14"/>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0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3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037" w14:textId="77777777" w:rsidR="00980E5F" w:rsidRDefault="00980E5F">
            <w:pPr>
              <w:rPr>
                <w:rFonts w:ascii="宋体"/>
              </w:rPr>
            </w:pPr>
          </w:p>
        </w:tc>
      </w:tr>
      <w:tr w:rsidR="00980E5F" w14:paraId="392C9041" w14:textId="77777777">
        <w:tc>
          <w:tcPr>
            <w:tcW w:w="0" w:type="auto"/>
            <w:gridSpan w:val="3"/>
            <w:shd w:val="clear" w:color="auto" w:fill="CCEEFF"/>
            <w:tcMar>
              <w:top w:w="40" w:type="dxa"/>
              <w:left w:w="20" w:type="dxa"/>
              <w:bottom w:w="40" w:type="dxa"/>
              <w:right w:w="20" w:type="dxa"/>
            </w:tcMar>
            <w:vAlign w:val="bottom"/>
          </w:tcPr>
          <w:p w14:paraId="392C9039" w14:textId="77777777" w:rsidR="00980E5F" w:rsidRDefault="00483613">
            <w:pPr>
              <w:textAlignment w:val="bottom"/>
            </w:pPr>
            <w:r>
              <w:rPr>
                <w:rFonts w:ascii="Arial" w:eastAsia="宋体" w:hAnsi="Arial" w:cs="Arial"/>
                <w:color w:val="000000"/>
                <w:sz w:val="14"/>
                <w:szCs w:val="14"/>
              </w:rPr>
              <w:t>Unfunded credit facilities</w:t>
            </w:r>
          </w:p>
        </w:tc>
        <w:tc>
          <w:tcPr>
            <w:tcW w:w="0" w:type="auto"/>
            <w:shd w:val="clear" w:color="auto" w:fill="CCEEFF"/>
            <w:tcMar>
              <w:top w:w="40" w:type="dxa"/>
              <w:left w:w="20" w:type="dxa"/>
              <w:bottom w:w="40" w:type="dxa"/>
              <w:right w:w="0" w:type="dxa"/>
            </w:tcMar>
            <w:vAlign w:val="bottom"/>
          </w:tcPr>
          <w:p w14:paraId="392C903A"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03B" w14:textId="77777777" w:rsidR="00980E5F" w:rsidRDefault="00483613">
            <w:pPr>
              <w:jc w:val="right"/>
              <w:textAlignment w:val="bottom"/>
            </w:pPr>
            <w:r>
              <w:rPr>
                <w:rFonts w:ascii="Arial" w:eastAsia="宋体" w:hAnsi="Arial" w:cs="Arial"/>
                <w:b/>
                <w:bCs/>
                <w:color w:val="000000"/>
                <w:sz w:val="14"/>
                <w:szCs w:val="14"/>
              </w:rPr>
              <w:t>32,939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0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03D"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03E"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03F" w14:textId="77777777" w:rsidR="00980E5F" w:rsidRDefault="00483613">
            <w:pPr>
              <w:jc w:val="right"/>
              <w:textAlignment w:val="bottom"/>
            </w:pPr>
            <w:r>
              <w:rPr>
                <w:rFonts w:ascii="Arial" w:eastAsia="宋体" w:hAnsi="Arial" w:cs="Arial"/>
                <w:color w:val="000000"/>
                <w:sz w:val="14"/>
                <w:szCs w:val="14"/>
              </w:rPr>
              <w:t>33,026 </w:t>
            </w:r>
          </w:p>
        </w:tc>
        <w:tc>
          <w:tcPr>
            <w:tcW w:w="0" w:type="auto"/>
            <w:shd w:val="clear" w:color="auto" w:fill="CCEEFF"/>
            <w:tcMar>
              <w:top w:w="40" w:type="dxa"/>
              <w:left w:w="0" w:type="dxa"/>
              <w:bottom w:w="40" w:type="dxa"/>
              <w:right w:w="20" w:type="dxa"/>
            </w:tcMar>
            <w:vAlign w:val="bottom"/>
          </w:tcPr>
          <w:p w14:paraId="392C9040" w14:textId="77777777" w:rsidR="00980E5F" w:rsidRDefault="00980E5F">
            <w:pPr>
              <w:jc w:val="right"/>
              <w:rPr>
                <w:rFonts w:ascii="宋体"/>
              </w:rPr>
            </w:pPr>
          </w:p>
        </w:tc>
      </w:tr>
      <w:tr w:rsidR="00980E5F" w14:paraId="392C9046" w14:textId="77777777">
        <w:tc>
          <w:tcPr>
            <w:tcW w:w="0" w:type="auto"/>
            <w:gridSpan w:val="3"/>
            <w:shd w:val="clear" w:color="auto" w:fill="FFFFFF"/>
            <w:tcMar>
              <w:top w:w="40" w:type="dxa"/>
              <w:left w:w="20" w:type="dxa"/>
              <w:bottom w:w="40" w:type="dxa"/>
              <w:right w:w="20" w:type="dxa"/>
            </w:tcMar>
            <w:vAlign w:val="bottom"/>
          </w:tcPr>
          <w:p w14:paraId="392C9042" w14:textId="77777777" w:rsidR="00980E5F" w:rsidRDefault="00483613">
            <w:pPr>
              <w:textAlignment w:val="bottom"/>
            </w:pPr>
            <w:r>
              <w:rPr>
                <w:rFonts w:ascii="Arial" w:eastAsia="宋体" w:hAnsi="Arial" w:cs="Arial"/>
                <w:b/>
                <w:bCs/>
                <w:color w:val="000000"/>
                <w:sz w:val="14"/>
                <w:szCs w:val="14"/>
              </w:rPr>
              <w:t>Guarantees</w:t>
            </w:r>
            <w:r>
              <w:rPr>
                <w:rFonts w:ascii="Arial" w:eastAsia="宋体" w:hAnsi="Arial" w:cs="Arial"/>
                <w:color w:val="000000"/>
                <w:sz w:val="9"/>
                <w:szCs w:val="9"/>
              </w:rPr>
              <w:t>(1)</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904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04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045" w14:textId="77777777" w:rsidR="00980E5F" w:rsidRDefault="00980E5F">
            <w:pPr>
              <w:rPr>
                <w:rFonts w:ascii="宋体"/>
              </w:rPr>
            </w:pPr>
          </w:p>
        </w:tc>
      </w:tr>
      <w:tr w:rsidR="00980E5F" w14:paraId="392C904F" w14:textId="77777777">
        <w:tc>
          <w:tcPr>
            <w:tcW w:w="0" w:type="auto"/>
            <w:gridSpan w:val="3"/>
            <w:shd w:val="clear" w:color="auto" w:fill="CCEEFF"/>
            <w:tcMar>
              <w:top w:w="40" w:type="dxa"/>
              <w:left w:w="20" w:type="dxa"/>
              <w:bottom w:w="40" w:type="dxa"/>
              <w:right w:w="20" w:type="dxa"/>
            </w:tcMar>
            <w:vAlign w:val="bottom"/>
          </w:tcPr>
          <w:p w14:paraId="392C9047" w14:textId="77777777" w:rsidR="00980E5F" w:rsidRDefault="00483613">
            <w:pPr>
              <w:textAlignment w:val="bottom"/>
            </w:pPr>
            <w:r>
              <w:rPr>
                <w:rFonts w:ascii="Arial" w:eastAsia="宋体" w:hAnsi="Arial" w:cs="Arial"/>
                <w:color w:val="000000"/>
                <w:sz w:val="14"/>
                <w:szCs w:val="14"/>
              </w:rPr>
              <w:t>Indemnified securities financing</w:t>
            </w:r>
          </w:p>
        </w:tc>
        <w:tc>
          <w:tcPr>
            <w:tcW w:w="0" w:type="auto"/>
            <w:shd w:val="clear" w:color="auto" w:fill="CCEEFF"/>
            <w:tcMar>
              <w:top w:w="40" w:type="dxa"/>
              <w:left w:w="20" w:type="dxa"/>
              <w:bottom w:w="40" w:type="dxa"/>
              <w:right w:w="0" w:type="dxa"/>
            </w:tcMar>
            <w:vAlign w:val="bottom"/>
          </w:tcPr>
          <w:p w14:paraId="392C904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049" w14:textId="77777777" w:rsidR="00980E5F" w:rsidRDefault="00483613">
            <w:pPr>
              <w:jc w:val="right"/>
              <w:textAlignment w:val="bottom"/>
            </w:pPr>
            <w:r>
              <w:rPr>
                <w:rFonts w:ascii="Arial" w:eastAsia="宋体" w:hAnsi="Arial" w:cs="Arial"/>
                <w:b/>
                <w:bCs/>
                <w:color w:val="000000"/>
                <w:sz w:val="14"/>
                <w:szCs w:val="14"/>
              </w:rPr>
              <w:t>345,237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0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04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04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04D" w14:textId="77777777" w:rsidR="00980E5F" w:rsidRDefault="00483613">
            <w:pPr>
              <w:jc w:val="right"/>
              <w:textAlignment w:val="bottom"/>
            </w:pPr>
            <w:r>
              <w:rPr>
                <w:rFonts w:ascii="Arial" w:eastAsia="宋体" w:hAnsi="Arial" w:cs="Arial"/>
                <w:color w:val="000000"/>
                <w:sz w:val="14"/>
                <w:szCs w:val="14"/>
              </w:rPr>
              <w:t>385,740 </w:t>
            </w:r>
          </w:p>
        </w:tc>
        <w:tc>
          <w:tcPr>
            <w:tcW w:w="0" w:type="auto"/>
            <w:shd w:val="clear" w:color="auto" w:fill="CCEEFF"/>
            <w:tcMar>
              <w:top w:w="40" w:type="dxa"/>
              <w:left w:w="0" w:type="dxa"/>
              <w:bottom w:w="40" w:type="dxa"/>
              <w:right w:w="20" w:type="dxa"/>
            </w:tcMar>
            <w:vAlign w:val="bottom"/>
          </w:tcPr>
          <w:p w14:paraId="392C904E" w14:textId="77777777" w:rsidR="00980E5F" w:rsidRDefault="00980E5F">
            <w:pPr>
              <w:jc w:val="right"/>
              <w:rPr>
                <w:rFonts w:ascii="宋体"/>
              </w:rPr>
            </w:pPr>
          </w:p>
        </w:tc>
      </w:tr>
      <w:tr w:rsidR="00980E5F" w14:paraId="392C9056" w14:textId="77777777">
        <w:tc>
          <w:tcPr>
            <w:tcW w:w="0" w:type="auto"/>
            <w:gridSpan w:val="3"/>
            <w:shd w:val="clear" w:color="auto" w:fill="FFFFFF"/>
            <w:tcMar>
              <w:top w:w="40" w:type="dxa"/>
              <w:left w:w="20" w:type="dxa"/>
              <w:bottom w:w="40" w:type="dxa"/>
              <w:right w:w="20" w:type="dxa"/>
            </w:tcMar>
            <w:vAlign w:val="bottom"/>
          </w:tcPr>
          <w:p w14:paraId="392C9050" w14:textId="77777777" w:rsidR="00980E5F" w:rsidRDefault="00483613">
            <w:pPr>
              <w:textAlignment w:val="bottom"/>
            </w:pPr>
            <w:r>
              <w:rPr>
                <w:rFonts w:ascii="Arial" w:eastAsia="宋体" w:hAnsi="Arial" w:cs="Arial"/>
                <w:color w:val="000000"/>
                <w:sz w:val="14"/>
                <w:szCs w:val="14"/>
              </w:rPr>
              <w:t>Standby letters of credit</w:t>
            </w:r>
          </w:p>
        </w:tc>
        <w:tc>
          <w:tcPr>
            <w:tcW w:w="0" w:type="auto"/>
            <w:gridSpan w:val="2"/>
            <w:shd w:val="clear" w:color="auto" w:fill="FFFFFF"/>
            <w:tcMar>
              <w:top w:w="40" w:type="dxa"/>
              <w:left w:w="20" w:type="dxa"/>
              <w:bottom w:w="40" w:type="dxa"/>
              <w:right w:w="0" w:type="dxa"/>
            </w:tcMar>
            <w:vAlign w:val="bottom"/>
          </w:tcPr>
          <w:p w14:paraId="392C9051" w14:textId="77777777" w:rsidR="00980E5F" w:rsidRDefault="00483613">
            <w:pPr>
              <w:jc w:val="right"/>
              <w:textAlignment w:val="bottom"/>
            </w:pPr>
            <w:r>
              <w:rPr>
                <w:rFonts w:ascii="Arial" w:eastAsia="宋体" w:hAnsi="Arial" w:cs="Arial"/>
                <w:b/>
                <w:bCs/>
                <w:color w:val="000000"/>
                <w:sz w:val="14"/>
                <w:szCs w:val="14"/>
              </w:rPr>
              <w:t>2,542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0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05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054" w14:textId="77777777" w:rsidR="00980E5F" w:rsidRDefault="00483613">
            <w:pPr>
              <w:jc w:val="right"/>
              <w:textAlignment w:val="bottom"/>
            </w:pPr>
            <w:r>
              <w:rPr>
                <w:rFonts w:ascii="Arial" w:eastAsia="宋体" w:hAnsi="Arial" w:cs="Arial"/>
                <w:color w:val="000000"/>
                <w:sz w:val="14"/>
                <w:szCs w:val="14"/>
              </w:rPr>
              <w:t>3,237 </w:t>
            </w:r>
          </w:p>
        </w:tc>
        <w:tc>
          <w:tcPr>
            <w:tcW w:w="0" w:type="auto"/>
            <w:shd w:val="clear" w:color="auto" w:fill="FFFFFF"/>
            <w:tcMar>
              <w:top w:w="40" w:type="dxa"/>
              <w:left w:w="0" w:type="dxa"/>
              <w:bottom w:w="40" w:type="dxa"/>
              <w:right w:w="20" w:type="dxa"/>
            </w:tcMar>
            <w:vAlign w:val="bottom"/>
          </w:tcPr>
          <w:p w14:paraId="392C9055" w14:textId="77777777" w:rsidR="00980E5F" w:rsidRDefault="00980E5F">
            <w:pPr>
              <w:jc w:val="right"/>
              <w:rPr>
                <w:rFonts w:ascii="宋体"/>
              </w:rPr>
            </w:pPr>
          </w:p>
        </w:tc>
      </w:tr>
    </w:tbl>
    <w:p w14:paraId="392C9057" w14:textId="77777777" w:rsidR="00980E5F" w:rsidRDefault="00980E5F">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980E5F" w14:paraId="392C905E" w14:textId="77777777">
        <w:tc>
          <w:tcPr>
            <w:tcW w:w="50" w:type="pct"/>
            <w:shd w:val="clear" w:color="auto" w:fill="auto"/>
            <w:vAlign w:val="bottom"/>
          </w:tcPr>
          <w:p w14:paraId="392C9058" w14:textId="77777777" w:rsidR="00980E5F" w:rsidRDefault="00980E5F">
            <w:pPr>
              <w:rPr>
                <w:rFonts w:ascii="宋体"/>
              </w:rPr>
            </w:pPr>
          </w:p>
        </w:tc>
        <w:tc>
          <w:tcPr>
            <w:tcW w:w="2249" w:type="pct"/>
            <w:shd w:val="clear" w:color="auto" w:fill="auto"/>
            <w:vAlign w:val="bottom"/>
          </w:tcPr>
          <w:p w14:paraId="392C9059" w14:textId="77777777" w:rsidR="00980E5F" w:rsidRDefault="00980E5F">
            <w:pPr>
              <w:rPr>
                <w:rFonts w:ascii="宋体"/>
              </w:rPr>
            </w:pPr>
          </w:p>
        </w:tc>
        <w:tc>
          <w:tcPr>
            <w:tcW w:w="5" w:type="pct"/>
            <w:shd w:val="clear" w:color="auto" w:fill="auto"/>
            <w:vAlign w:val="bottom"/>
          </w:tcPr>
          <w:p w14:paraId="392C905A" w14:textId="77777777" w:rsidR="00980E5F" w:rsidRDefault="00980E5F">
            <w:pPr>
              <w:rPr>
                <w:rFonts w:ascii="宋体"/>
              </w:rPr>
            </w:pPr>
          </w:p>
        </w:tc>
        <w:tc>
          <w:tcPr>
            <w:tcW w:w="50" w:type="pct"/>
            <w:shd w:val="clear" w:color="auto" w:fill="auto"/>
            <w:vAlign w:val="bottom"/>
          </w:tcPr>
          <w:p w14:paraId="392C905B" w14:textId="77777777" w:rsidR="00980E5F" w:rsidRDefault="00980E5F">
            <w:pPr>
              <w:rPr>
                <w:rFonts w:ascii="宋体"/>
              </w:rPr>
            </w:pPr>
          </w:p>
        </w:tc>
        <w:tc>
          <w:tcPr>
            <w:tcW w:w="2640" w:type="pct"/>
            <w:shd w:val="clear" w:color="auto" w:fill="auto"/>
            <w:vAlign w:val="bottom"/>
          </w:tcPr>
          <w:p w14:paraId="392C905C" w14:textId="77777777" w:rsidR="00980E5F" w:rsidRDefault="00980E5F">
            <w:pPr>
              <w:rPr>
                <w:rFonts w:ascii="宋体"/>
              </w:rPr>
            </w:pPr>
          </w:p>
        </w:tc>
        <w:tc>
          <w:tcPr>
            <w:tcW w:w="5" w:type="pct"/>
            <w:shd w:val="clear" w:color="auto" w:fill="auto"/>
            <w:vAlign w:val="bottom"/>
          </w:tcPr>
          <w:p w14:paraId="392C905D" w14:textId="77777777" w:rsidR="00980E5F" w:rsidRDefault="00980E5F">
            <w:pPr>
              <w:rPr>
                <w:rFonts w:ascii="宋体"/>
              </w:rPr>
            </w:pPr>
          </w:p>
        </w:tc>
      </w:tr>
      <w:tr w:rsidR="00980E5F" w14:paraId="392C906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90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060" w14:textId="77777777" w:rsidR="00980E5F" w:rsidRDefault="00980E5F">
            <w:pPr>
              <w:rPr>
                <w:rFonts w:ascii="宋体"/>
              </w:rPr>
            </w:pPr>
          </w:p>
        </w:tc>
      </w:tr>
    </w:tbl>
    <w:p w14:paraId="392C9062" w14:textId="77777777" w:rsidR="00980E5F" w:rsidRDefault="00483613">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The potential losses associated with these guarantees equal the gross contractual amounts and do not </w:t>
      </w:r>
      <w:r>
        <w:rPr>
          <w:rFonts w:ascii="Arial" w:eastAsia="宋体" w:hAnsi="Arial" w:cs="Arial"/>
          <w:color w:val="000000"/>
          <w:sz w:val="13"/>
          <w:szCs w:val="13"/>
        </w:rPr>
        <w:t>consider the value of any collateral or reflect any participations to independent third parties.</w:t>
      </w:r>
    </w:p>
    <w:p w14:paraId="392C9063" w14:textId="77777777" w:rsidR="00980E5F" w:rsidRDefault="00483613">
      <w:pPr>
        <w:spacing w:before="60"/>
        <w:ind w:firstLine="450"/>
        <w:jc w:val="both"/>
      </w:pPr>
      <w:r>
        <w:rPr>
          <w:rFonts w:ascii="Arial" w:eastAsia="宋体" w:hAnsi="Arial" w:cs="Arial"/>
          <w:color w:val="000000"/>
          <w:sz w:val="20"/>
          <w:szCs w:val="20"/>
        </w:rPr>
        <w:t xml:space="preserve">Approximately </w:t>
      </w:r>
      <w:r>
        <w:rPr>
          <w:rFonts w:ascii="Arial" w:eastAsia="宋体" w:hAnsi="Arial" w:cs="Arial"/>
          <w:color w:val="000000"/>
          <w:sz w:val="20"/>
          <w:szCs w:val="20"/>
          <w:shd w:val="clear" w:color="auto" w:fill="FFFFFF"/>
        </w:rPr>
        <w:t xml:space="preserve">78% </w:t>
      </w:r>
      <w:r>
        <w:rPr>
          <w:rFonts w:ascii="Arial" w:eastAsia="宋体" w:hAnsi="Arial" w:cs="Arial"/>
          <w:color w:val="000000"/>
          <w:sz w:val="20"/>
          <w:szCs w:val="20"/>
        </w:rPr>
        <w:t>of our unfunded commitments to extend credit expire within one year as of June 30, 2022, compared to approximately 76% as of December 31, 202</w:t>
      </w:r>
      <w:r>
        <w:rPr>
          <w:rFonts w:ascii="Arial" w:eastAsia="宋体" w:hAnsi="Arial" w:cs="Arial"/>
          <w:color w:val="000000"/>
          <w:sz w:val="20"/>
          <w:szCs w:val="20"/>
        </w:rPr>
        <w:t>1.</w:t>
      </w:r>
    </w:p>
    <w:p w14:paraId="392C9064" w14:textId="77777777" w:rsidR="00980E5F" w:rsidRDefault="00483613">
      <w:pPr>
        <w:spacing w:before="60"/>
        <w:jc w:val="both"/>
      </w:pPr>
      <w:r>
        <w:rPr>
          <w:rFonts w:ascii="Arial" w:eastAsia="宋体" w:hAnsi="Arial" w:cs="Arial"/>
          <w:i/>
          <w:iCs/>
          <w:color w:val="000000"/>
          <w:sz w:val="20"/>
          <w:szCs w:val="20"/>
        </w:rPr>
        <w:t>Indemnified Securities Financing</w:t>
      </w:r>
    </w:p>
    <w:p w14:paraId="392C9065" w14:textId="77777777" w:rsidR="00980E5F" w:rsidRDefault="00483613">
      <w:pPr>
        <w:spacing w:before="60"/>
        <w:ind w:firstLine="450"/>
        <w:jc w:val="both"/>
      </w:pPr>
      <w:r>
        <w:rPr>
          <w:rFonts w:ascii="Arial" w:eastAsia="宋体" w:hAnsi="Arial" w:cs="Arial"/>
          <w:color w:val="000000"/>
          <w:sz w:val="20"/>
          <w:szCs w:val="20"/>
        </w:rPr>
        <w:t>For additional information on our indemnified securities financing, refer to page 165 in Note 12 to the consolidated financial statements included under Item 8, Financial Statements and Supplementary Data, in our 2021 Fo</w:t>
      </w:r>
      <w:r>
        <w:rPr>
          <w:rFonts w:ascii="Arial" w:eastAsia="宋体" w:hAnsi="Arial" w:cs="Arial"/>
          <w:color w:val="000000"/>
          <w:sz w:val="20"/>
          <w:szCs w:val="20"/>
        </w:rPr>
        <w:t>rm 10-K.</w:t>
      </w:r>
    </w:p>
    <w:p w14:paraId="392C9066" w14:textId="77777777" w:rsidR="00980E5F" w:rsidRDefault="00483613">
      <w:pPr>
        <w:spacing w:before="60"/>
        <w:ind w:firstLine="450"/>
        <w:jc w:val="both"/>
      </w:pPr>
      <w:r>
        <w:rPr>
          <w:rFonts w:ascii="Arial" w:eastAsia="宋体" w:hAnsi="Arial" w:cs="Arial"/>
          <w:color w:val="000000"/>
          <w:sz w:val="20"/>
          <w:szCs w:val="20"/>
        </w:rPr>
        <w:t>The following table summarizes the aggregate fair values of indemnified securities financing and related collateral, as well as collateral invested in indemnified repurchase agreements,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3828"/>
        <w:gridCol w:w="37"/>
        <w:gridCol w:w="98"/>
        <w:gridCol w:w="2021"/>
        <w:gridCol w:w="36"/>
        <w:gridCol w:w="36"/>
        <w:gridCol w:w="36"/>
        <w:gridCol w:w="36"/>
        <w:gridCol w:w="99"/>
        <w:gridCol w:w="2021"/>
        <w:gridCol w:w="36"/>
      </w:tblGrid>
      <w:tr w:rsidR="00980E5F" w14:paraId="392C9073" w14:textId="77777777">
        <w:tc>
          <w:tcPr>
            <w:tcW w:w="50" w:type="pct"/>
            <w:shd w:val="clear" w:color="auto" w:fill="auto"/>
            <w:vAlign w:val="bottom"/>
          </w:tcPr>
          <w:p w14:paraId="392C9067" w14:textId="77777777" w:rsidR="00980E5F" w:rsidRDefault="00980E5F">
            <w:pPr>
              <w:rPr>
                <w:rFonts w:ascii="宋体"/>
              </w:rPr>
            </w:pPr>
          </w:p>
        </w:tc>
        <w:tc>
          <w:tcPr>
            <w:tcW w:w="2324" w:type="pct"/>
            <w:shd w:val="clear" w:color="auto" w:fill="auto"/>
            <w:vAlign w:val="bottom"/>
          </w:tcPr>
          <w:p w14:paraId="392C9068" w14:textId="77777777" w:rsidR="00980E5F" w:rsidRDefault="00980E5F">
            <w:pPr>
              <w:rPr>
                <w:rFonts w:ascii="宋体"/>
              </w:rPr>
            </w:pPr>
          </w:p>
        </w:tc>
        <w:tc>
          <w:tcPr>
            <w:tcW w:w="5" w:type="pct"/>
            <w:shd w:val="clear" w:color="auto" w:fill="auto"/>
            <w:vAlign w:val="bottom"/>
          </w:tcPr>
          <w:p w14:paraId="392C9069" w14:textId="77777777" w:rsidR="00980E5F" w:rsidRDefault="00980E5F">
            <w:pPr>
              <w:rPr>
                <w:rFonts w:ascii="宋体"/>
              </w:rPr>
            </w:pPr>
          </w:p>
        </w:tc>
        <w:tc>
          <w:tcPr>
            <w:tcW w:w="50" w:type="pct"/>
            <w:shd w:val="clear" w:color="auto" w:fill="auto"/>
            <w:vAlign w:val="bottom"/>
          </w:tcPr>
          <w:p w14:paraId="392C906A" w14:textId="77777777" w:rsidR="00980E5F" w:rsidRDefault="00980E5F">
            <w:pPr>
              <w:rPr>
                <w:rFonts w:ascii="宋体"/>
              </w:rPr>
            </w:pPr>
          </w:p>
        </w:tc>
        <w:tc>
          <w:tcPr>
            <w:tcW w:w="1240" w:type="pct"/>
            <w:shd w:val="clear" w:color="auto" w:fill="auto"/>
            <w:vAlign w:val="bottom"/>
          </w:tcPr>
          <w:p w14:paraId="392C906B" w14:textId="77777777" w:rsidR="00980E5F" w:rsidRDefault="00980E5F">
            <w:pPr>
              <w:rPr>
                <w:rFonts w:ascii="宋体"/>
              </w:rPr>
            </w:pPr>
          </w:p>
        </w:tc>
        <w:tc>
          <w:tcPr>
            <w:tcW w:w="5" w:type="pct"/>
            <w:shd w:val="clear" w:color="auto" w:fill="auto"/>
            <w:vAlign w:val="bottom"/>
          </w:tcPr>
          <w:p w14:paraId="392C906C" w14:textId="77777777" w:rsidR="00980E5F" w:rsidRDefault="00980E5F">
            <w:pPr>
              <w:rPr>
                <w:rFonts w:ascii="宋体"/>
              </w:rPr>
            </w:pPr>
          </w:p>
        </w:tc>
        <w:tc>
          <w:tcPr>
            <w:tcW w:w="5" w:type="pct"/>
            <w:shd w:val="clear" w:color="auto" w:fill="auto"/>
            <w:vAlign w:val="bottom"/>
          </w:tcPr>
          <w:p w14:paraId="392C906D" w14:textId="77777777" w:rsidR="00980E5F" w:rsidRDefault="00980E5F">
            <w:pPr>
              <w:rPr>
                <w:rFonts w:ascii="宋体"/>
              </w:rPr>
            </w:pPr>
          </w:p>
        </w:tc>
        <w:tc>
          <w:tcPr>
            <w:tcW w:w="19" w:type="pct"/>
            <w:shd w:val="clear" w:color="auto" w:fill="auto"/>
            <w:vAlign w:val="bottom"/>
          </w:tcPr>
          <w:p w14:paraId="392C906E" w14:textId="77777777" w:rsidR="00980E5F" w:rsidRDefault="00980E5F">
            <w:pPr>
              <w:rPr>
                <w:rFonts w:ascii="宋体"/>
              </w:rPr>
            </w:pPr>
          </w:p>
        </w:tc>
        <w:tc>
          <w:tcPr>
            <w:tcW w:w="5" w:type="pct"/>
            <w:shd w:val="clear" w:color="auto" w:fill="auto"/>
            <w:vAlign w:val="bottom"/>
          </w:tcPr>
          <w:p w14:paraId="392C906F" w14:textId="77777777" w:rsidR="00980E5F" w:rsidRDefault="00980E5F">
            <w:pPr>
              <w:rPr>
                <w:rFonts w:ascii="宋体"/>
              </w:rPr>
            </w:pPr>
          </w:p>
        </w:tc>
        <w:tc>
          <w:tcPr>
            <w:tcW w:w="50" w:type="pct"/>
            <w:shd w:val="clear" w:color="auto" w:fill="auto"/>
            <w:vAlign w:val="bottom"/>
          </w:tcPr>
          <w:p w14:paraId="392C9070" w14:textId="77777777" w:rsidR="00980E5F" w:rsidRDefault="00980E5F">
            <w:pPr>
              <w:rPr>
                <w:rFonts w:ascii="宋体"/>
              </w:rPr>
            </w:pPr>
          </w:p>
        </w:tc>
        <w:tc>
          <w:tcPr>
            <w:tcW w:w="1240" w:type="pct"/>
            <w:shd w:val="clear" w:color="auto" w:fill="auto"/>
            <w:vAlign w:val="bottom"/>
          </w:tcPr>
          <w:p w14:paraId="392C9071" w14:textId="77777777" w:rsidR="00980E5F" w:rsidRDefault="00980E5F">
            <w:pPr>
              <w:rPr>
                <w:rFonts w:ascii="宋体"/>
              </w:rPr>
            </w:pPr>
          </w:p>
        </w:tc>
        <w:tc>
          <w:tcPr>
            <w:tcW w:w="5" w:type="pct"/>
            <w:shd w:val="clear" w:color="auto" w:fill="auto"/>
            <w:vAlign w:val="bottom"/>
          </w:tcPr>
          <w:p w14:paraId="392C9072" w14:textId="77777777" w:rsidR="00980E5F" w:rsidRDefault="00980E5F">
            <w:pPr>
              <w:rPr>
                <w:rFonts w:ascii="宋体"/>
              </w:rPr>
            </w:pPr>
          </w:p>
        </w:tc>
      </w:tr>
      <w:tr w:rsidR="00980E5F" w14:paraId="392C9078" w14:textId="77777777">
        <w:tc>
          <w:tcPr>
            <w:tcW w:w="0" w:type="auto"/>
            <w:gridSpan w:val="3"/>
            <w:shd w:val="clear" w:color="auto" w:fill="auto"/>
            <w:tcMar>
              <w:top w:w="40" w:type="dxa"/>
              <w:left w:w="20" w:type="dxa"/>
              <w:bottom w:w="40" w:type="dxa"/>
              <w:right w:w="20" w:type="dxa"/>
            </w:tcMar>
            <w:vAlign w:val="bottom"/>
          </w:tcPr>
          <w:p w14:paraId="392C9074" w14:textId="77777777" w:rsidR="00980E5F" w:rsidRDefault="00483613">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392C9075" w14:textId="77777777" w:rsidR="00980E5F" w:rsidRDefault="00483613">
            <w:pPr>
              <w:jc w:val="center"/>
              <w:textAlignment w:val="bottom"/>
            </w:pPr>
            <w:r>
              <w:rPr>
                <w:rFonts w:ascii="Arial" w:eastAsia="宋体" w:hAnsi="Arial" w:cs="Arial"/>
                <w:b/>
                <w:bCs/>
                <w:color w:val="000000"/>
                <w:sz w:val="14"/>
                <w:szCs w:val="14"/>
              </w:rPr>
              <w:t>June 30, 2022</w:t>
            </w:r>
          </w:p>
        </w:tc>
        <w:tc>
          <w:tcPr>
            <w:tcW w:w="0" w:type="auto"/>
            <w:gridSpan w:val="3"/>
            <w:shd w:val="clear" w:color="auto" w:fill="auto"/>
            <w:tcMar>
              <w:top w:w="0" w:type="dxa"/>
              <w:left w:w="20" w:type="dxa"/>
              <w:bottom w:w="0" w:type="dxa"/>
              <w:right w:w="20" w:type="dxa"/>
            </w:tcMar>
            <w:vAlign w:val="bottom"/>
          </w:tcPr>
          <w:p w14:paraId="392C907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077" w14:textId="77777777" w:rsidR="00980E5F" w:rsidRDefault="00483613">
            <w:pPr>
              <w:jc w:val="center"/>
              <w:textAlignment w:val="bottom"/>
            </w:pPr>
            <w:r>
              <w:rPr>
                <w:rFonts w:ascii="Arial" w:eastAsia="宋体" w:hAnsi="Arial" w:cs="Arial"/>
                <w:b/>
                <w:bCs/>
                <w:color w:val="000000"/>
                <w:sz w:val="14"/>
                <w:szCs w:val="14"/>
              </w:rPr>
              <w:t>December 31, 2021</w:t>
            </w:r>
          </w:p>
        </w:tc>
      </w:tr>
      <w:tr w:rsidR="00980E5F" w14:paraId="392C9081" w14:textId="77777777">
        <w:tc>
          <w:tcPr>
            <w:tcW w:w="0" w:type="auto"/>
            <w:gridSpan w:val="3"/>
            <w:shd w:val="clear" w:color="auto" w:fill="CCEEFF"/>
            <w:tcMar>
              <w:top w:w="40" w:type="dxa"/>
              <w:left w:w="20" w:type="dxa"/>
              <w:bottom w:w="40" w:type="dxa"/>
              <w:right w:w="20" w:type="dxa"/>
            </w:tcMar>
            <w:vAlign w:val="bottom"/>
          </w:tcPr>
          <w:p w14:paraId="392C9079" w14:textId="77777777" w:rsidR="00980E5F" w:rsidRDefault="00483613">
            <w:pPr>
              <w:textAlignment w:val="bottom"/>
            </w:pPr>
            <w:r>
              <w:rPr>
                <w:rFonts w:ascii="Arial" w:eastAsia="宋体" w:hAnsi="Arial" w:cs="Arial"/>
                <w:color w:val="000000"/>
                <w:sz w:val="14"/>
                <w:szCs w:val="14"/>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07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07B" w14:textId="77777777" w:rsidR="00980E5F" w:rsidRDefault="00483613">
            <w:pPr>
              <w:jc w:val="right"/>
              <w:textAlignment w:val="bottom"/>
            </w:pPr>
            <w:r>
              <w:rPr>
                <w:rFonts w:ascii="Arial" w:eastAsia="宋体" w:hAnsi="Arial" w:cs="Arial"/>
                <w:b/>
                <w:bCs/>
                <w:color w:val="000000"/>
                <w:sz w:val="14"/>
                <w:szCs w:val="14"/>
              </w:rPr>
              <w:t>345,237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0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07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07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07F" w14:textId="77777777" w:rsidR="00980E5F" w:rsidRDefault="00483613">
            <w:pPr>
              <w:jc w:val="right"/>
              <w:textAlignment w:val="bottom"/>
            </w:pPr>
            <w:r>
              <w:rPr>
                <w:rFonts w:ascii="Arial" w:eastAsia="宋体" w:hAnsi="Arial" w:cs="Arial"/>
                <w:color w:val="000000"/>
                <w:sz w:val="14"/>
                <w:szCs w:val="14"/>
              </w:rPr>
              <w:t>385,740 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080" w14:textId="77777777" w:rsidR="00980E5F" w:rsidRDefault="00980E5F">
            <w:pPr>
              <w:jc w:val="right"/>
              <w:rPr>
                <w:rFonts w:ascii="宋体"/>
              </w:rPr>
            </w:pPr>
          </w:p>
        </w:tc>
      </w:tr>
      <w:tr w:rsidR="00980E5F" w14:paraId="392C9088" w14:textId="77777777">
        <w:tc>
          <w:tcPr>
            <w:tcW w:w="0" w:type="auto"/>
            <w:gridSpan w:val="3"/>
            <w:shd w:val="clear" w:color="auto" w:fill="FFFFFF"/>
            <w:tcMar>
              <w:top w:w="40" w:type="dxa"/>
              <w:left w:w="20" w:type="dxa"/>
              <w:bottom w:w="40" w:type="dxa"/>
              <w:right w:w="20" w:type="dxa"/>
            </w:tcMar>
            <w:vAlign w:val="bottom"/>
          </w:tcPr>
          <w:p w14:paraId="392C9082" w14:textId="77777777" w:rsidR="00980E5F" w:rsidRDefault="00483613">
            <w:pPr>
              <w:textAlignment w:val="bottom"/>
            </w:pPr>
            <w:r>
              <w:rPr>
                <w:rFonts w:ascii="Arial" w:eastAsia="宋体" w:hAnsi="Arial" w:cs="Arial"/>
                <w:color w:val="000000"/>
                <w:sz w:val="14"/>
                <w:szCs w:val="14"/>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392C9083" w14:textId="77777777" w:rsidR="00980E5F" w:rsidRDefault="00483613">
            <w:pPr>
              <w:jc w:val="right"/>
              <w:textAlignment w:val="bottom"/>
            </w:pPr>
            <w:r>
              <w:rPr>
                <w:rFonts w:ascii="Arial" w:eastAsia="宋体" w:hAnsi="Arial" w:cs="Arial"/>
                <w:b/>
                <w:bCs/>
                <w:color w:val="000000"/>
                <w:sz w:val="14"/>
                <w:szCs w:val="14"/>
              </w:rPr>
              <w:t>361,380</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92C90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0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086" w14:textId="77777777" w:rsidR="00980E5F" w:rsidRDefault="00483613">
            <w:pPr>
              <w:jc w:val="right"/>
              <w:textAlignment w:val="bottom"/>
            </w:pPr>
            <w:r>
              <w:rPr>
                <w:rFonts w:ascii="Arial" w:eastAsia="宋体" w:hAnsi="Arial" w:cs="Arial"/>
                <w:color w:val="000000"/>
                <w:sz w:val="14"/>
                <w:szCs w:val="14"/>
              </w:rPr>
              <w:t>404,121 </w:t>
            </w:r>
          </w:p>
        </w:tc>
        <w:tc>
          <w:tcPr>
            <w:tcW w:w="0" w:type="auto"/>
            <w:shd w:val="clear" w:color="auto" w:fill="FFFFFF"/>
            <w:tcMar>
              <w:top w:w="40" w:type="dxa"/>
              <w:left w:w="0" w:type="dxa"/>
              <w:bottom w:w="40" w:type="dxa"/>
              <w:right w:w="20" w:type="dxa"/>
            </w:tcMar>
            <w:vAlign w:val="bottom"/>
          </w:tcPr>
          <w:p w14:paraId="392C9087" w14:textId="77777777" w:rsidR="00980E5F" w:rsidRDefault="00980E5F">
            <w:pPr>
              <w:jc w:val="right"/>
              <w:rPr>
                <w:rFonts w:ascii="宋体"/>
              </w:rPr>
            </w:pPr>
          </w:p>
        </w:tc>
      </w:tr>
      <w:tr w:rsidR="00980E5F" w14:paraId="392C908F" w14:textId="77777777">
        <w:tc>
          <w:tcPr>
            <w:tcW w:w="0" w:type="auto"/>
            <w:gridSpan w:val="3"/>
            <w:shd w:val="clear" w:color="auto" w:fill="CCEEFF"/>
            <w:tcMar>
              <w:top w:w="40" w:type="dxa"/>
              <w:left w:w="20" w:type="dxa"/>
              <w:bottom w:w="40" w:type="dxa"/>
              <w:right w:w="20" w:type="dxa"/>
            </w:tcMar>
            <w:vAlign w:val="bottom"/>
          </w:tcPr>
          <w:p w14:paraId="392C9089" w14:textId="77777777" w:rsidR="00980E5F" w:rsidRDefault="00483613">
            <w:pPr>
              <w:textAlignment w:val="bottom"/>
            </w:pPr>
            <w:r>
              <w:rPr>
                <w:rFonts w:ascii="Arial" w:eastAsia="宋体" w:hAnsi="Arial" w:cs="Arial"/>
                <w:color w:val="000000"/>
                <w:sz w:val="14"/>
                <w:szCs w:val="14"/>
              </w:rPr>
              <w:t xml:space="preserve">Fair </w:t>
            </w:r>
            <w:r>
              <w:rPr>
                <w:rFonts w:ascii="Arial" w:eastAsia="宋体" w:hAnsi="Arial" w:cs="Arial"/>
                <w:color w:val="000000"/>
                <w:sz w:val="14"/>
                <w:szCs w:val="14"/>
              </w:rPr>
              <w:t>value of collateral for indemnified 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392C908A" w14:textId="77777777" w:rsidR="00980E5F" w:rsidRDefault="00483613">
            <w:pPr>
              <w:jc w:val="right"/>
              <w:textAlignment w:val="bottom"/>
            </w:pPr>
            <w:r>
              <w:rPr>
                <w:rFonts w:ascii="Arial" w:eastAsia="宋体" w:hAnsi="Arial" w:cs="Arial"/>
                <w:b/>
                <w:bCs/>
                <w:color w:val="000000"/>
                <w:sz w:val="14"/>
                <w:szCs w:val="14"/>
              </w:rPr>
              <w:t>64,181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0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0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08D" w14:textId="77777777" w:rsidR="00980E5F" w:rsidRDefault="00483613">
            <w:pPr>
              <w:jc w:val="right"/>
              <w:textAlignment w:val="bottom"/>
            </w:pPr>
            <w:r>
              <w:rPr>
                <w:rFonts w:ascii="Arial" w:eastAsia="宋体" w:hAnsi="Arial" w:cs="Arial"/>
                <w:color w:val="000000"/>
                <w:sz w:val="14"/>
                <w:szCs w:val="14"/>
              </w:rPr>
              <w:t>61,560 </w:t>
            </w:r>
          </w:p>
        </w:tc>
        <w:tc>
          <w:tcPr>
            <w:tcW w:w="0" w:type="auto"/>
            <w:shd w:val="clear" w:color="auto" w:fill="CCEEFF"/>
            <w:tcMar>
              <w:top w:w="40" w:type="dxa"/>
              <w:left w:w="0" w:type="dxa"/>
              <w:bottom w:w="40" w:type="dxa"/>
              <w:right w:w="20" w:type="dxa"/>
            </w:tcMar>
            <w:vAlign w:val="bottom"/>
          </w:tcPr>
          <w:p w14:paraId="392C908E" w14:textId="77777777" w:rsidR="00980E5F" w:rsidRDefault="00980E5F">
            <w:pPr>
              <w:jc w:val="right"/>
              <w:rPr>
                <w:rFonts w:ascii="宋体"/>
              </w:rPr>
            </w:pPr>
          </w:p>
        </w:tc>
      </w:tr>
      <w:tr w:rsidR="00980E5F" w14:paraId="392C9096" w14:textId="77777777">
        <w:tc>
          <w:tcPr>
            <w:tcW w:w="0" w:type="auto"/>
            <w:gridSpan w:val="3"/>
            <w:shd w:val="clear" w:color="auto" w:fill="FFFFFF"/>
            <w:tcMar>
              <w:top w:w="40" w:type="dxa"/>
              <w:left w:w="20" w:type="dxa"/>
              <w:bottom w:w="40" w:type="dxa"/>
              <w:right w:w="20" w:type="dxa"/>
            </w:tcMar>
            <w:vAlign w:val="bottom"/>
          </w:tcPr>
          <w:p w14:paraId="392C9090" w14:textId="77777777" w:rsidR="00980E5F" w:rsidRDefault="00483613">
            <w:pPr>
              <w:textAlignment w:val="bottom"/>
            </w:pPr>
            <w:r>
              <w:rPr>
                <w:rFonts w:ascii="Arial" w:eastAsia="宋体" w:hAnsi="Arial" w:cs="Arial"/>
                <w:color w:val="000000"/>
                <w:sz w:val="14"/>
                <w:szCs w:val="14"/>
              </w:rPr>
              <w:t xml:space="preserve">Fair value of cash and securities held by us or our agents as collateral for investments in indemnified repurchase </w:t>
            </w:r>
            <w:r>
              <w:rPr>
                <w:rFonts w:ascii="Arial" w:eastAsia="宋体" w:hAnsi="Arial" w:cs="Arial"/>
                <w:color w:val="000000"/>
                <w:sz w:val="14"/>
                <w:szCs w:val="14"/>
              </w:rPr>
              <w:t>agreements</w:t>
            </w:r>
          </w:p>
        </w:tc>
        <w:tc>
          <w:tcPr>
            <w:tcW w:w="0" w:type="auto"/>
            <w:gridSpan w:val="2"/>
            <w:shd w:val="clear" w:color="auto" w:fill="auto"/>
            <w:tcMar>
              <w:top w:w="40" w:type="dxa"/>
              <w:left w:w="20" w:type="dxa"/>
              <w:bottom w:w="40" w:type="dxa"/>
              <w:right w:w="0" w:type="dxa"/>
            </w:tcMar>
            <w:vAlign w:val="bottom"/>
          </w:tcPr>
          <w:p w14:paraId="392C9091" w14:textId="77777777" w:rsidR="00980E5F" w:rsidRDefault="00483613">
            <w:pPr>
              <w:jc w:val="right"/>
              <w:textAlignment w:val="bottom"/>
            </w:pPr>
            <w:r>
              <w:rPr>
                <w:rFonts w:ascii="Arial" w:eastAsia="宋体" w:hAnsi="Arial" w:cs="Arial"/>
                <w:b/>
                <w:bCs/>
                <w:color w:val="000000"/>
                <w:sz w:val="14"/>
                <w:szCs w:val="14"/>
              </w:rPr>
              <w:t>69,168</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392C909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09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094" w14:textId="77777777" w:rsidR="00980E5F" w:rsidRDefault="00483613">
            <w:pPr>
              <w:jc w:val="right"/>
              <w:textAlignment w:val="bottom"/>
            </w:pPr>
            <w:r>
              <w:rPr>
                <w:rFonts w:ascii="Arial" w:eastAsia="宋体" w:hAnsi="Arial" w:cs="Arial"/>
                <w:color w:val="000000"/>
                <w:sz w:val="14"/>
                <w:szCs w:val="14"/>
              </w:rPr>
              <w:t>67,014 </w:t>
            </w:r>
          </w:p>
        </w:tc>
        <w:tc>
          <w:tcPr>
            <w:tcW w:w="0" w:type="auto"/>
            <w:shd w:val="clear" w:color="auto" w:fill="FFFFFF"/>
            <w:tcMar>
              <w:top w:w="40" w:type="dxa"/>
              <w:left w:w="0" w:type="dxa"/>
              <w:bottom w:w="40" w:type="dxa"/>
              <w:right w:w="20" w:type="dxa"/>
            </w:tcMar>
            <w:vAlign w:val="bottom"/>
          </w:tcPr>
          <w:p w14:paraId="392C9095" w14:textId="77777777" w:rsidR="00980E5F" w:rsidRDefault="00980E5F">
            <w:pPr>
              <w:jc w:val="right"/>
              <w:rPr>
                <w:rFonts w:ascii="宋体"/>
              </w:rPr>
            </w:pPr>
          </w:p>
        </w:tc>
      </w:tr>
    </w:tbl>
    <w:p w14:paraId="392C9097" w14:textId="77777777" w:rsidR="00980E5F" w:rsidRDefault="00483613">
      <w:pPr>
        <w:spacing w:before="60"/>
        <w:ind w:firstLine="450"/>
        <w:jc w:val="both"/>
      </w:pPr>
      <w:r>
        <w:rPr>
          <w:rFonts w:ascii="Arial" w:eastAsia="宋体" w:hAnsi="Arial" w:cs="Arial"/>
          <w:color w:val="000000"/>
          <w:sz w:val="20"/>
          <w:szCs w:val="20"/>
        </w:rPr>
        <w:t xml:space="preserve">In certain cases, we participate in securities finance transactions as a principal. As a principal, we borrow securities from the lending client and then lend such securities to the subsequent borrower, either our </w:t>
      </w:r>
      <w:r>
        <w:rPr>
          <w:rFonts w:ascii="Arial" w:eastAsia="宋体" w:hAnsi="Arial" w:cs="Arial"/>
          <w:color w:val="000000"/>
          <w:sz w:val="20"/>
          <w:szCs w:val="20"/>
        </w:rPr>
        <w:t>client or a broker/dealer. Our right to receive and obligation to return collateral in connection with our securities lending transactions are recorded in other assets and other liabilities, respectively, in our consolidated statement of condition. As of J</w:t>
      </w:r>
      <w:r>
        <w:rPr>
          <w:rFonts w:ascii="Arial" w:eastAsia="宋体" w:hAnsi="Arial" w:cs="Arial"/>
          <w:color w:val="000000"/>
          <w:sz w:val="20"/>
          <w:szCs w:val="20"/>
        </w:rPr>
        <w:t>une 30, 2022 and December 31, 2021, we had approximately $18.20 billion and $22.30 billion, respectively, of collateral provided and approximately $1.75 billion and $4.04 billion, respectively, of collateral received from clients in connection with our par</w:t>
      </w:r>
      <w:r>
        <w:rPr>
          <w:rFonts w:ascii="Arial" w:eastAsia="宋体" w:hAnsi="Arial" w:cs="Arial"/>
          <w:color w:val="000000"/>
          <w:sz w:val="20"/>
          <w:szCs w:val="20"/>
        </w:rPr>
        <w:t>ticipation in principal securities finance transactions.</w:t>
      </w:r>
    </w:p>
    <w:p w14:paraId="392C9098" w14:textId="77777777" w:rsidR="00980E5F" w:rsidRDefault="00483613">
      <w:pPr>
        <w:ind w:firstLine="450"/>
        <w:jc w:val="right"/>
      </w:pPr>
      <w:r>
        <w:rPr>
          <w:rFonts w:ascii="Arial" w:eastAsia="宋体" w:hAnsi="Arial" w:cs="Arial"/>
          <w:color w:val="000000"/>
          <w:sz w:val="18"/>
          <w:szCs w:val="18"/>
        </w:rPr>
        <w:t>State Street Corporation | 86</w:t>
      </w:r>
    </w:p>
    <w:p w14:paraId="392C9099" w14:textId="77777777" w:rsidR="00980E5F" w:rsidRDefault="00980E5F">
      <w:pPr>
        <w:ind w:firstLine="450"/>
        <w:jc w:val="center"/>
      </w:pPr>
    </w:p>
    <w:p w14:paraId="392C909A" w14:textId="77777777" w:rsidR="00980E5F" w:rsidRDefault="00483613">
      <w:r>
        <w:pict w14:anchorId="392CBB24">
          <v:rect id="_x0000_i1110" style="width:415.3pt;height:1.5pt" o:hralign="center" o:hrstd="t" o:hr="t" fillcolor="#a0a0a0" stroked="f"/>
        </w:pict>
      </w:r>
    </w:p>
    <w:p w14:paraId="392C909B" w14:textId="77777777" w:rsidR="00980E5F" w:rsidRDefault="00483613">
      <w:pPr>
        <w:ind w:firstLine="450"/>
        <w:jc w:val="center"/>
      </w:pPr>
      <w:r>
        <w:rPr>
          <w:rFonts w:ascii="Arial" w:eastAsia="宋体" w:hAnsi="Arial" w:cs="Arial"/>
          <w:b/>
          <w:bCs/>
          <w:color w:val="000000"/>
          <w:sz w:val="20"/>
          <w:szCs w:val="20"/>
        </w:rPr>
        <w:t>STATE STREET CORPORATION</w:t>
      </w:r>
    </w:p>
    <w:p w14:paraId="392C909C"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09D" w14:textId="77777777" w:rsidR="00980E5F" w:rsidRDefault="00483613">
      <w:pPr>
        <w:ind w:firstLine="450"/>
        <w:jc w:val="center"/>
      </w:pPr>
      <w:r>
        <w:rPr>
          <w:rFonts w:ascii="Arial" w:eastAsia="宋体" w:hAnsi="Arial" w:cs="Arial"/>
          <w:b/>
          <w:bCs/>
          <w:color w:val="000000"/>
          <w:sz w:val="20"/>
          <w:szCs w:val="20"/>
        </w:rPr>
        <w:t>(UNAUDITED)</w:t>
      </w:r>
    </w:p>
    <w:p w14:paraId="392C909E" w14:textId="77777777" w:rsidR="00980E5F" w:rsidRDefault="00483613">
      <w:pPr>
        <w:spacing w:before="60"/>
        <w:jc w:val="both"/>
        <w:textAlignment w:val="top"/>
      </w:pPr>
      <w:r>
        <w:rPr>
          <w:rFonts w:ascii="Arial" w:eastAsia="宋体" w:hAnsi="Arial" w:cs="Arial"/>
          <w:i/>
          <w:iCs/>
          <w:color w:val="000000"/>
          <w:sz w:val="20"/>
          <w:szCs w:val="20"/>
        </w:rPr>
        <w:t>FICC Guarantee</w:t>
      </w:r>
    </w:p>
    <w:p w14:paraId="392C909F" w14:textId="77777777" w:rsidR="00980E5F" w:rsidRDefault="00483613">
      <w:pPr>
        <w:spacing w:before="60"/>
        <w:ind w:firstLine="450"/>
        <w:jc w:val="both"/>
        <w:textAlignment w:val="top"/>
      </w:pPr>
      <w:r>
        <w:rPr>
          <w:rFonts w:ascii="Arial" w:eastAsia="宋体" w:hAnsi="Arial" w:cs="Arial"/>
          <w:color w:val="000000"/>
          <w:sz w:val="20"/>
          <w:szCs w:val="20"/>
        </w:rPr>
        <w:t xml:space="preserve">As a sponsoring member in the FICC member program, we </w:t>
      </w:r>
      <w:r>
        <w:rPr>
          <w:rFonts w:ascii="Arial" w:eastAsia="宋体" w:hAnsi="Arial" w:cs="Arial"/>
          <w:color w:val="000000"/>
          <w:sz w:val="20"/>
          <w:szCs w:val="20"/>
        </w:rPr>
        <w:t>provide a guarantee to FICC in the event a customer fails to perform its obligations under a transaction. In order to minimize the risk associated with this guarantee, sponsored members acting as buyers generally grant a security interest in the subject se</w:t>
      </w:r>
      <w:r>
        <w:rPr>
          <w:rFonts w:ascii="Arial" w:eastAsia="宋体" w:hAnsi="Arial" w:cs="Arial"/>
          <w:color w:val="000000"/>
          <w:sz w:val="20"/>
          <w:szCs w:val="20"/>
        </w:rPr>
        <w:t>curities received under and held on their behalf by State Street. For additional information on our repurchase and reverse repurchase agreements, please refer to Note 8 to the consolidated financial statements in this Form 10-Q.</w:t>
      </w:r>
    </w:p>
    <w:p w14:paraId="392C90A0" w14:textId="77777777" w:rsidR="00980E5F" w:rsidRDefault="00483613">
      <w:pPr>
        <w:spacing w:before="180"/>
        <w:textAlignment w:val="top"/>
      </w:pPr>
      <w:r>
        <w:rPr>
          <w:rFonts w:ascii="Arial" w:eastAsia="宋体" w:hAnsi="Arial" w:cs="Arial"/>
          <w:b/>
          <w:bCs/>
          <w:color w:val="000000"/>
          <w:sz w:val="20"/>
          <w:szCs w:val="20"/>
        </w:rPr>
        <w:t>Note 10.    Contingencies</w:t>
      </w:r>
    </w:p>
    <w:p w14:paraId="392C90A1" w14:textId="77777777" w:rsidR="00980E5F" w:rsidRDefault="00483613">
      <w:pPr>
        <w:spacing w:before="60"/>
        <w:textAlignment w:val="top"/>
      </w:pPr>
      <w:r>
        <w:rPr>
          <w:rFonts w:ascii="Arial" w:eastAsia="宋体" w:hAnsi="Arial" w:cs="Arial"/>
          <w:b/>
          <w:bCs/>
          <w:i/>
          <w:iCs/>
          <w:color w:val="000000"/>
          <w:sz w:val="20"/>
          <w:szCs w:val="20"/>
        </w:rPr>
        <w:t>L</w:t>
      </w:r>
      <w:r>
        <w:rPr>
          <w:rFonts w:ascii="Arial" w:eastAsia="宋体" w:hAnsi="Arial" w:cs="Arial"/>
          <w:b/>
          <w:bCs/>
          <w:i/>
          <w:iCs/>
          <w:color w:val="000000"/>
          <w:sz w:val="20"/>
          <w:szCs w:val="20"/>
        </w:rPr>
        <w:t>egal and Regulatory Matters</w:t>
      </w:r>
    </w:p>
    <w:p w14:paraId="392C90A2" w14:textId="77777777" w:rsidR="00980E5F" w:rsidRDefault="00483613">
      <w:pPr>
        <w:spacing w:before="60"/>
        <w:ind w:firstLine="450"/>
        <w:jc w:val="both"/>
        <w:textAlignment w:val="top"/>
      </w:pPr>
      <w:r>
        <w:rPr>
          <w:rFonts w:ascii="Arial" w:eastAsia="宋体" w:hAnsi="Arial" w:cs="Arial"/>
          <w:color w:val="00000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w:t>
      </w:r>
      <w:r>
        <w:rPr>
          <w:rFonts w:ascii="Arial" w:eastAsia="宋体" w:hAnsi="Arial" w:cs="Arial"/>
          <w:color w:val="000000"/>
          <w:sz w:val="20"/>
          <w:szCs w:val="20"/>
        </w:rPr>
        <w:t xml:space="preserve">lt in monetary awards or payments, fines and penalties or require changes in our business practices. The resolution or settlement of these matters is inherently difficult to predict. Based on our assessment of these pending matters, we do not believe that </w:t>
      </w:r>
      <w:r>
        <w:rPr>
          <w:rFonts w:ascii="Arial" w:eastAsia="宋体" w:hAnsi="Arial" w:cs="Arial"/>
          <w:color w:val="000000"/>
          <w:sz w:val="20"/>
          <w:szCs w:val="20"/>
        </w:rPr>
        <w:t>the amount of any judgment, settlement or other action arising from any pending matter is likely to have a material adverse effect on our consolidated financial condition. However, an adverse outcome or development in certain of the matters described below</w:t>
      </w:r>
      <w:r>
        <w:rPr>
          <w:rFonts w:ascii="Arial" w:eastAsia="宋体" w:hAnsi="Arial" w:cs="Arial"/>
          <w:color w:val="000000"/>
          <w:sz w:val="20"/>
          <w:szCs w:val="20"/>
        </w:rPr>
        <w:t xml:space="preserve"> could have a material adverse effect on our consolidated results of operations for the period in which such matter is resolved, or an accrual is determined to be required, on our consolidated financial condition, or on our reputation. </w:t>
      </w:r>
    </w:p>
    <w:p w14:paraId="392C90A3" w14:textId="77777777" w:rsidR="00980E5F" w:rsidRDefault="00483613">
      <w:pPr>
        <w:spacing w:before="60"/>
        <w:ind w:firstLine="450"/>
        <w:jc w:val="both"/>
        <w:textAlignment w:val="top"/>
      </w:pPr>
      <w:r>
        <w:rPr>
          <w:rFonts w:ascii="Arial" w:eastAsia="宋体" w:hAnsi="Arial" w:cs="Arial"/>
          <w:color w:val="000000"/>
          <w:sz w:val="20"/>
          <w:szCs w:val="20"/>
        </w:rPr>
        <w:t>We evaluate our nee</w:t>
      </w:r>
      <w:r>
        <w:rPr>
          <w:rFonts w:ascii="Arial" w:eastAsia="宋体" w:hAnsi="Arial" w:cs="Arial"/>
          <w:color w:val="000000"/>
          <w:sz w:val="20"/>
          <w:szCs w:val="20"/>
        </w:rPr>
        <w:t>ds for accruals of loss contingencies related to legal and regulatory proceedings on a case-by-case basis. When we have a liability that we deem probable, and we deem the amount of such liability can be reasonably estimated as of the date of our consolidat</w:t>
      </w:r>
      <w:r>
        <w:rPr>
          <w:rFonts w:ascii="Arial" w:eastAsia="宋体" w:hAnsi="Arial" w:cs="Arial"/>
          <w:color w:val="000000"/>
          <w:sz w:val="20"/>
          <w:szCs w:val="20"/>
        </w:rPr>
        <w:t xml:space="preserve">ed financial statements, we accrue our estimate of the amount of loss. We also consider a loss probable and establish an accrual when we make, or intend to make, an offer of settlement. Once established, an accrual is subject to subsequent adjustment as a </w:t>
      </w:r>
      <w:r>
        <w:rPr>
          <w:rFonts w:ascii="Arial" w:eastAsia="宋体" w:hAnsi="Arial" w:cs="Arial"/>
          <w:color w:val="000000"/>
          <w:sz w:val="20"/>
          <w:szCs w:val="20"/>
        </w:rPr>
        <w:t>result of additional information. The resolution of legal and regulatory proceedings and the amount of reasonably estimable loss (or range thereof) are inherently difficult to predict, especially in the early stages of proceedings. Even if a loss is probab</w:t>
      </w:r>
      <w:r>
        <w:rPr>
          <w:rFonts w:ascii="Arial" w:eastAsia="宋体" w:hAnsi="Arial" w:cs="Arial"/>
          <w:color w:val="000000"/>
          <w:sz w:val="20"/>
          <w:szCs w:val="20"/>
        </w:rPr>
        <w:t>le, an amount (or range) of loss might not be reasonably estimated until the later stages of the proceeding due to many factors such as the presence of complex or novel legal theories, the discretion of governmental authorities in seeking sanctions or nego</w:t>
      </w:r>
      <w:r>
        <w:rPr>
          <w:rFonts w:ascii="Arial" w:eastAsia="宋体" w:hAnsi="Arial" w:cs="Arial"/>
          <w:color w:val="000000"/>
          <w:sz w:val="20"/>
          <w:szCs w:val="20"/>
        </w:rPr>
        <w:t xml:space="preserve">tiating resolutions in civil and criminal matters, the pace and timing of discovery </w:t>
      </w:r>
    </w:p>
    <w:p w14:paraId="392C90A4" w14:textId="77777777" w:rsidR="00980E5F" w:rsidRDefault="00483613">
      <w:pPr>
        <w:spacing w:before="60"/>
        <w:jc w:val="both"/>
        <w:textAlignment w:val="top"/>
      </w:pPr>
      <w:r>
        <w:rPr>
          <w:rFonts w:ascii="Arial" w:eastAsia="宋体" w:hAnsi="Arial" w:cs="Arial"/>
          <w:color w:val="000000"/>
          <w:sz w:val="20"/>
          <w:szCs w:val="20"/>
        </w:rPr>
        <w:t xml:space="preserve">and other assessments of facts and the procedural posture of the matter (collectively, "factors influencing reasonable estimates"). </w:t>
      </w:r>
    </w:p>
    <w:p w14:paraId="392C90A5" w14:textId="77777777" w:rsidR="00980E5F" w:rsidRDefault="00483613">
      <w:pPr>
        <w:spacing w:before="60"/>
        <w:ind w:firstLine="450"/>
        <w:jc w:val="both"/>
        <w:textAlignment w:val="top"/>
      </w:pPr>
      <w:r>
        <w:rPr>
          <w:rFonts w:ascii="Arial" w:eastAsia="宋体" w:hAnsi="Arial" w:cs="Arial"/>
          <w:color w:val="000000"/>
          <w:sz w:val="20"/>
          <w:szCs w:val="20"/>
        </w:rPr>
        <w:t>As of June 30, 2022, our aggregate acc</w:t>
      </w:r>
      <w:r>
        <w:rPr>
          <w:rFonts w:ascii="Arial" w:eastAsia="宋体" w:hAnsi="Arial" w:cs="Arial"/>
          <w:color w:val="000000"/>
          <w:sz w:val="20"/>
          <w:szCs w:val="20"/>
        </w:rPr>
        <w:t xml:space="preserve">ruals for loss contingencies for legal, regulatory and related matters totaled approximately $15 million, including potential fines by government agencies and civil litigation with respect to the matters specifically discussed below. To the extent that we </w:t>
      </w:r>
      <w:r>
        <w:rPr>
          <w:rFonts w:ascii="Arial" w:eastAsia="宋体" w:hAnsi="Arial" w:cs="Arial"/>
          <w:color w:val="000000"/>
          <w:sz w:val="20"/>
          <w:szCs w:val="20"/>
        </w:rPr>
        <w:t>have established accruals in our consolidated statement of condition for probable loss contingencies, such accruals may not be sufficient to cover our ultimate financial exposure associated with any settlements or judgments. Any such ultimate financial exp</w:t>
      </w:r>
      <w:r>
        <w:rPr>
          <w:rFonts w:ascii="Arial" w:eastAsia="宋体" w:hAnsi="Arial" w:cs="Arial"/>
          <w:color w:val="000000"/>
          <w:sz w:val="20"/>
          <w:szCs w:val="20"/>
        </w:rPr>
        <w:t xml:space="preserve">osure, or proceedings to which we may become subject in the future, could have a material adverse effect on our businesses, on our future consolidated financial statements or on our reputation. </w:t>
      </w:r>
    </w:p>
    <w:p w14:paraId="392C90A6" w14:textId="77777777" w:rsidR="00980E5F" w:rsidRDefault="00483613">
      <w:pPr>
        <w:spacing w:before="60"/>
        <w:ind w:firstLine="450"/>
        <w:jc w:val="both"/>
        <w:textAlignment w:val="top"/>
      </w:pPr>
      <w:r>
        <w:rPr>
          <w:rFonts w:ascii="Arial" w:eastAsia="宋体" w:hAnsi="Arial" w:cs="Arial"/>
          <w:color w:val="000000"/>
          <w:sz w:val="20"/>
          <w:szCs w:val="20"/>
        </w:rPr>
        <w:t>As of June 30, 2022, for those matters for which we have accr</w:t>
      </w:r>
      <w:r>
        <w:rPr>
          <w:rFonts w:ascii="Arial" w:eastAsia="宋体" w:hAnsi="Arial" w:cs="Arial"/>
          <w:color w:val="000000"/>
          <w:sz w:val="20"/>
          <w:szCs w:val="20"/>
        </w:rPr>
        <w:t>ued probable loss contingencies (including the Invoicing Matter described below) and for other matters for which loss is reasonably possible (but not probable) in future periods, and for which we are able to estimate a range of reasonably possible loss, ou</w:t>
      </w:r>
      <w:r>
        <w:rPr>
          <w:rFonts w:ascii="Arial" w:eastAsia="宋体" w:hAnsi="Arial" w:cs="Arial"/>
          <w:color w:val="000000"/>
          <w:sz w:val="20"/>
          <w:szCs w:val="20"/>
        </w:rPr>
        <w:t xml:space="preserve">r estimate of the aggregate reasonably possible loss (in excess of any accrued amounts) ranges up to approximately </w:t>
      </w:r>
      <w:r>
        <w:rPr>
          <w:rFonts w:ascii="Arial" w:eastAsia="宋体" w:hAnsi="Arial" w:cs="Arial"/>
          <w:color w:val="000000"/>
          <w:sz w:val="20"/>
          <w:szCs w:val="20"/>
          <w:shd w:val="clear" w:color="auto" w:fill="FFFFFF"/>
        </w:rPr>
        <w:t>$50 million</w:t>
      </w:r>
      <w:r>
        <w:rPr>
          <w:rFonts w:ascii="Arial" w:eastAsia="宋体" w:hAnsi="Arial" w:cs="Arial"/>
          <w:color w:val="000000"/>
          <w:sz w:val="20"/>
          <w:szCs w:val="20"/>
        </w:rPr>
        <w:t>. Our estimate with respect to the aggregate reasonably possible loss is based upon currently available information and is subject</w:t>
      </w:r>
      <w:r>
        <w:rPr>
          <w:rFonts w:ascii="Arial" w:eastAsia="宋体" w:hAnsi="Arial" w:cs="Arial"/>
          <w:color w:val="000000"/>
          <w:sz w:val="20"/>
          <w:szCs w:val="20"/>
        </w:rPr>
        <w:t xml:space="preserve"> to significant judgment and a variety of assumptions and known and unknown uncertainties, which may change quickly and significantly from time to time, particularly if and as we engage with applicable governmental agencies or plaintiffs in connection with</w:t>
      </w:r>
      <w:r>
        <w:rPr>
          <w:rFonts w:ascii="Arial" w:eastAsia="宋体" w:hAnsi="Arial" w:cs="Arial"/>
          <w:color w:val="000000"/>
          <w:sz w:val="20"/>
          <w:szCs w:val="20"/>
        </w:rPr>
        <w:t xml:space="preserve"> a proceeding. Also, the matters underlying the reasonably possible loss will change from time to time. As a result, actual results may vary significantly from the current estimate.</w:t>
      </w:r>
    </w:p>
    <w:p w14:paraId="392C90A7" w14:textId="77777777" w:rsidR="00980E5F" w:rsidRDefault="00483613">
      <w:pPr>
        <w:spacing w:before="60"/>
        <w:ind w:firstLine="450"/>
        <w:jc w:val="both"/>
        <w:textAlignment w:val="top"/>
      </w:pPr>
      <w:r>
        <w:rPr>
          <w:rFonts w:ascii="Arial" w:eastAsia="宋体" w:hAnsi="Arial" w:cs="Arial"/>
          <w:color w:val="000000"/>
          <w:sz w:val="20"/>
          <w:szCs w:val="20"/>
        </w:rPr>
        <w:t>In certain pending matters, it is not currently feasible to reasonably est</w:t>
      </w:r>
      <w:r>
        <w:rPr>
          <w:rFonts w:ascii="Arial" w:eastAsia="宋体" w:hAnsi="Arial" w:cs="Arial"/>
          <w:color w:val="000000"/>
          <w:sz w:val="20"/>
          <w:szCs w:val="20"/>
        </w:rPr>
        <w:t>imate the amount or a range of reasonably possible loss, and such losses, which may be significant, are not included in the estimate of reasonably possible loss discussed above. This is due to, among other factors, the factors influencing reasonable estima</w:t>
      </w:r>
      <w:r>
        <w:rPr>
          <w:rFonts w:ascii="Arial" w:eastAsia="宋体" w:hAnsi="Arial" w:cs="Arial"/>
          <w:color w:val="000000"/>
          <w:sz w:val="20"/>
          <w:szCs w:val="20"/>
        </w:rPr>
        <w:t>tes described above. An adverse outcome in one or more of the matters for which we have not estimated the amount or a range of reasonably possible loss, individually or in the aggregate, could have a material adverse effect on our businesses, on our future</w:t>
      </w:r>
      <w:r>
        <w:rPr>
          <w:rFonts w:ascii="Arial" w:eastAsia="宋体" w:hAnsi="Arial" w:cs="Arial"/>
          <w:color w:val="000000"/>
          <w:sz w:val="20"/>
          <w:szCs w:val="20"/>
        </w:rPr>
        <w:t xml:space="preserve"> consolidated financial statements or on our reputation. Given that our actual losses from any legal or regulatory proceeding for which we have provided an estimate of the reasonably possible loss could significantly exceed such estimate, and given that we</w:t>
      </w:r>
      <w:r>
        <w:rPr>
          <w:rFonts w:ascii="Arial" w:eastAsia="宋体" w:hAnsi="Arial" w:cs="Arial"/>
          <w:color w:val="000000"/>
          <w:sz w:val="20"/>
          <w:szCs w:val="20"/>
        </w:rPr>
        <w:t xml:space="preserve"> cannot estimate reasonably possible loss for all legal and regulatory proceedings as to which we may be </w:t>
      </w:r>
    </w:p>
    <w:p w14:paraId="392C90A8" w14:textId="77777777" w:rsidR="00980E5F" w:rsidRDefault="00483613">
      <w:pPr>
        <w:ind w:firstLine="450"/>
        <w:jc w:val="right"/>
      </w:pPr>
      <w:r>
        <w:rPr>
          <w:rFonts w:ascii="Arial" w:eastAsia="宋体" w:hAnsi="Arial" w:cs="Arial"/>
          <w:color w:val="000000"/>
          <w:sz w:val="18"/>
          <w:szCs w:val="18"/>
        </w:rPr>
        <w:t>State Street Corporation | 87</w:t>
      </w:r>
    </w:p>
    <w:p w14:paraId="392C90A9" w14:textId="77777777" w:rsidR="00980E5F" w:rsidRDefault="00980E5F">
      <w:pPr>
        <w:ind w:firstLine="450"/>
        <w:jc w:val="center"/>
      </w:pPr>
    </w:p>
    <w:p w14:paraId="392C90AA" w14:textId="77777777" w:rsidR="00980E5F" w:rsidRDefault="00483613">
      <w:r>
        <w:pict w14:anchorId="392CBB25">
          <v:rect id="_x0000_i1111" style="width:415.3pt;height:1.5pt" o:hralign="center" o:hrstd="t" o:hr="t" fillcolor="#a0a0a0" stroked="f"/>
        </w:pict>
      </w:r>
    </w:p>
    <w:p w14:paraId="392C90AB" w14:textId="77777777" w:rsidR="00980E5F" w:rsidRDefault="00483613">
      <w:pPr>
        <w:ind w:firstLine="450"/>
        <w:jc w:val="center"/>
      </w:pPr>
      <w:r>
        <w:rPr>
          <w:rFonts w:ascii="Arial" w:eastAsia="宋体" w:hAnsi="Arial" w:cs="Arial"/>
          <w:b/>
          <w:bCs/>
          <w:color w:val="000000"/>
          <w:sz w:val="20"/>
          <w:szCs w:val="20"/>
        </w:rPr>
        <w:t>STATE STREET CORPORATION</w:t>
      </w:r>
    </w:p>
    <w:p w14:paraId="392C90AC"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0AD" w14:textId="77777777" w:rsidR="00980E5F" w:rsidRDefault="00483613">
      <w:pPr>
        <w:ind w:firstLine="450"/>
        <w:jc w:val="center"/>
      </w:pPr>
      <w:r>
        <w:rPr>
          <w:rFonts w:ascii="Arial" w:eastAsia="宋体" w:hAnsi="Arial" w:cs="Arial"/>
          <w:b/>
          <w:bCs/>
          <w:color w:val="000000"/>
          <w:sz w:val="20"/>
          <w:szCs w:val="20"/>
        </w:rPr>
        <w:t>(UNAUDITED)</w:t>
      </w:r>
    </w:p>
    <w:p w14:paraId="392C90AE" w14:textId="77777777" w:rsidR="00980E5F" w:rsidRDefault="00483613">
      <w:pPr>
        <w:spacing w:before="60"/>
        <w:jc w:val="both"/>
        <w:textAlignment w:val="top"/>
      </w:pPr>
      <w:r>
        <w:rPr>
          <w:rFonts w:ascii="Arial" w:eastAsia="宋体" w:hAnsi="Arial" w:cs="Arial"/>
          <w:color w:val="000000"/>
          <w:sz w:val="20"/>
          <w:szCs w:val="20"/>
        </w:rPr>
        <w:t>subject now or in the futur</w:t>
      </w:r>
      <w:r>
        <w:rPr>
          <w:rFonts w:ascii="Arial" w:eastAsia="宋体" w:hAnsi="Arial" w:cs="Arial"/>
          <w:color w:val="000000"/>
          <w:sz w:val="20"/>
          <w:szCs w:val="20"/>
        </w:rPr>
        <w:t xml:space="preserve">e, no conclusion as to our ultimate exposure from current pending or potential legal or regulatory proceedings should be drawn from the current estimate of reasonably possible loss. </w:t>
      </w:r>
    </w:p>
    <w:p w14:paraId="392C90AF" w14:textId="77777777" w:rsidR="00980E5F" w:rsidRDefault="00483613">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392C90B0" w14:textId="77777777" w:rsidR="00980E5F" w:rsidRDefault="00483613">
      <w:pPr>
        <w:spacing w:before="60"/>
        <w:jc w:val="both"/>
        <w:textAlignment w:val="top"/>
      </w:pPr>
      <w:r>
        <w:rPr>
          <w:rFonts w:ascii="Arial" w:eastAsia="宋体" w:hAnsi="Arial" w:cs="Arial"/>
          <w:i/>
          <w:iCs/>
          <w:color w:val="000000"/>
          <w:sz w:val="20"/>
          <w:szCs w:val="20"/>
        </w:rPr>
        <w:t>Invoicing Matter</w:t>
      </w:r>
    </w:p>
    <w:p w14:paraId="392C90B1" w14:textId="77777777" w:rsidR="00980E5F" w:rsidRDefault="00483613">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w:t>
      </w:r>
      <w:r>
        <w:rPr>
          <w:rFonts w:ascii="Arial" w:eastAsia="宋体" w:hAnsi="Arial" w:cs="Arial"/>
          <w:color w:val="000000"/>
          <w:sz w:val="20"/>
          <w:szCs w:val="20"/>
        </w:rPr>
        <w:t>ected customers for those expenses, and we have implemented enhancements to our billing processes. In connection with our enhancements to our billing processes, we continue to review historical billing practices and may from time to time identify additiona</w:t>
      </w:r>
      <w:r>
        <w:rPr>
          <w:rFonts w:ascii="Arial" w:eastAsia="宋体" w:hAnsi="Arial" w:cs="Arial"/>
          <w:color w:val="000000"/>
          <w:sz w:val="20"/>
          <w:szCs w:val="20"/>
        </w:rPr>
        <w:t>l remediation. In 2017, we identified an additional area of incorrect expense billing associated with mailing services in our retirement services business. We currently expect the cumulative total of our payments to customers for these invoicing errors, in</w:t>
      </w:r>
      <w:r>
        <w:rPr>
          <w:rFonts w:ascii="Arial" w:eastAsia="宋体" w:hAnsi="Arial" w:cs="Arial"/>
          <w:color w:val="000000"/>
          <w:sz w:val="20"/>
          <w:szCs w:val="20"/>
        </w:rPr>
        <w:t xml:space="preserve">cluding the error in the retirement services business, to be at least </w:t>
      </w:r>
      <w:r>
        <w:rPr>
          <w:rFonts w:ascii="Arial" w:eastAsia="宋体" w:hAnsi="Arial" w:cs="Arial"/>
          <w:color w:val="000000"/>
          <w:sz w:val="20"/>
          <w:szCs w:val="20"/>
          <w:shd w:val="clear" w:color="auto" w:fill="FFFFFF"/>
        </w:rPr>
        <w:t>$350 million</w:t>
      </w:r>
      <w:r>
        <w:rPr>
          <w:rFonts w:ascii="Arial" w:eastAsia="宋体" w:hAnsi="Arial" w:cs="Arial"/>
          <w:color w:val="000000"/>
          <w:sz w:val="20"/>
          <w:szCs w:val="20"/>
        </w:rPr>
        <w:t>, all of which has been paid or is accrued. However, we may identify additional remediation costs.</w:t>
      </w:r>
    </w:p>
    <w:p w14:paraId="392C90B2" w14:textId="77777777" w:rsidR="00980E5F" w:rsidRDefault="00483613">
      <w:pPr>
        <w:spacing w:before="60"/>
        <w:ind w:firstLine="450"/>
        <w:jc w:val="both"/>
        <w:textAlignment w:val="top"/>
      </w:pPr>
      <w:r>
        <w:rPr>
          <w:rFonts w:ascii="Arial" w:eastAsia="宋体" w:hAnsi="Arial" w:cs="Arial"/>
          <w:color w:val="000000"/>
          <w:sz w:val="20"/>
          <w:szCs w:val="20"/>
        </w:rPr>
        <w:t>In March 2017, a purported class action was commenced against us alleging t</w:t>
      </w:r>
      <w:r>
        <w:rPr>
          <w:rFonts w:ascii="Arial" w:eastAsia="宋体" w:hAnsi="Arial" w:cs="Arial"/>
          <w:color w:val="000000"/>
          <w:sz w:val="20"/>
          <w:szCs w:val="20"/>
        </w:rPr>
        <w:t>hat our invoicing practices violated duties owed to retirement plan customers under the Employee Retirement Income Security Act. We have agreed, subject to court approval, to resolve this matter and pay a cost that is within our established accruals for lo</w:t>
      </w:r>
      <w:r>
        <w:rPr>
          <w:rFonts w:ascii="Arial" w:eastAsia="宋体" w:hAnsi="Arial" w:cs="Arial"/>
          <w:color w:val="000000"/>
          <w:sz w:val="20"/>
          <w:szCs w:val="20"/>
        </w:rPr>
        <w:t xml:space="preserve">ss contingencies. In addition, we have received a purported class action demand letter alleging that our invoicing practices were unfair and deceptive under Massachusetts law. A class of customers, or particular customers, may assert that we have not paid </w:t>
      </w:r>
      <w:r>
        <w:rPr>
          <w:rFonts w:ascii="Arial" w:eastAsia="宋体" w:hAnsi="Arial" w:cs="Arial"/>
          <w:color w:val="000000"/>
          <w:sz w:val="20"/>
          <w:szCs w:val="20"/>
        </w:rPr>
        <w:t xml:space="preserve">to them all amounts incorrectly invoiced, and may seek double or treble damages under Massachusetts law. </w:t>
      </w:r>
    </w:p>
    <w:p w14:paraId="392C90B3" w14:textId="77777777" w:rsidR="00980E5F" w:rsidRDefault="00483613">
      <w:pPr>
        <w:spacing w:before="60"/>
        <w:ind w:firstLine="450"/>
        <w:jc w:val="both"/>
        <w:textAlignment w:val="top"/>
      </w:pPr>
      <w:r>
        <w:rPr>
          <w:rFonts w:ascii="Arial" w:eastAsia="宋体" w:hAnsi="Arial" w:cs="Arial"/>
          <w:color w:val="000000"/>
          <w:sz w:val="20"/>
          <w:szCs w:val="20"/>
        </w:rPr>
        <w:t>We resolved potential criminal claims that arose from these matters by entering into a deferred prosecution agreement with the office of the United St</w:t>
      </w:r>
      <w:r>
        <w:rPr>
          <w:rFonts w:ascii="Arial" w:eastAsia="宋体" w:hAnsi="Arial" w:cs="Arial"/>
          <w:color w:val="000000"/>
          <w:sz w:val="20"/>
          <w:szCs w:val="20"/>
        </w:rPr>
        <w:t xml:space="preserve">ates Attorney for the District of Massachusetts and paying a $115 million penalty in May 2021. In June 2019, we reached an agreement with the SEC to settle its claims that we violated the recordkeeping provisions of Section 34(b) of the Investment Company </w:t>
      </w:r>
      <w:r>
        <w:rPr>
          <w:rFonts w:ascii="Arial" w:eastAsia="宋体" w:hAnsi="Arial" w:cs="Arial"/>
          <w:color w:val="000000"/>
          <w:sz w:val="20"/>
          <w:szCs w:val="20"/>
        </w:rPr>
        <w:t xml:space="preserve">Act of 1940 and caused violations of Section 31(a) of the Investment Company Act and Rules 31a-1(a) and 31a-1(b) thereunder in connection with our overcharges of customers which </w:t>
      </w:r>
    </w:p>
    <w:p w14:paraId="392C90B4" w14:textId="77777777" w:rsidR="00980E5F" w:rsidRDefault="00483613">
      <w:pPr>
        <w:spacing w:before="60"/>
        <w:jc w:val="both"/>
        <w:textAlignment w:val="top"/>
      </w:pPr>
      <w:r>
        <w:rPr>
          <w:rFonts w:ascii="Arial" w:eastAsia="宋体" w:hAnsi="Arial" w:cs="Arial"/>
          <w:color w:val="000000"/>
          <w:sz w:val="20"/>
          <w:szCs w:val="20"/>
        </w:rPr>
        <w:t xml:space="preserve">are registered investment companies. In reaching this settlement, we neither </w:t>
      </w:r>
      <w:r>
        <w:rPr>
          <w:rFonts w:ascii="Arial" w:eastAsia="宋体" w:hAnsi="Arial" w:cs="Arial"/>
          <w:color w:val="000000"/>
          <w:sz w:val="20"/>
          <w:szCs w:val="20"/>
        </w:rPr>
        <w:t>admitted nor denied the claims contained in the SEC’s order, and agreed to pay a civil monetary penalty of $40 million. Also in June 2019, we reached an agreement with the Massachusetts Attorney General’s office to resolve its claims related to this matter</w:t>
      </w:r>
      <w:r>
        <w:rPr>
          <w:rFonts w:ascii="Arial" w:eastAsia="宋体" w:hAnsi="Arial" w:cs="Arial"/>
          <w:color w:val="000000"/>
          <w:sz w:val="20"/>
          <w:szCs w:val="20"/>
        </w:rPr>
        <w:t>. In reaching this settlement, we neither admitted nor denied the claims in the order, and agreed to pay a civil monetary penalty of $5.5 million. The SEC and Massachusetts Attorney General’s office settlements both recognize that the payment of $48.8 mill</w:t>
      </w:r>
      <w:r>
        <w:rPr>
          <w:rFonts w:ascii="Arial" w:eastAsia="宋体" w:hAnsi="Arial" w:cs="Arial"/>
          <w:color w:val="000000"/>
          <w:sz w:val="20"/>
          <w:szCs w:val="20"/>
        </w:rPr>
        <w:t>ion in disgorgement and interest is satisfied by our direct reimbursements of our customers. We paid fines to resolve claims of the Securities Divisions of the Secretaries of the State of Massachusetts and New Hampshire. The costs associated with the settl</w:t>
      </w:r>
      <w:r>
        <w:rPr>
          <w:rFonts w:ascii="Arial" w:eastAsia="宋体" w:hAnsi="Arial" w:cs="Arial"/>
          <w:color w:val="000000"/>
          <w:sz w:val="20"/>
          <w:szCs w:val="20"/>
        </w:rPr>
        <w:t>ements discussed above were within our related previously established accruals for loss contingencies.</w:t>
      </w:r>
    </w:p>
    <w:p w14:paraId="392C90B5" w14:textId="77777777" w:rsidR="00980E5F" w:rsidRDefault="00483613">
      <w:pPr>
        <w:spacing w:before="60"/>
        <w:ind w:firstLine="450"/>
        <w:jc w:val="both"/>
        <w:textAlignment w:val="top"/>
      </w:pPr>
      <w:r>
        <w:rPr>
          <w:rFonts w:ascii="Arial" w:eastAsia="宋体" w:hAnsi="Arial" w:cs="Arial"/>
          <w:color w:val="000000"/>
          <w:sz w:val="20"/>
          <w:szCs w:val="20"/>
        </w:rPr>
        <w:t>We have not resolved certain claims that may be made by the U.S. Department of Labor. We do not know whether any such claims will be brought, and there c</w:t>
      </w:r>
      <w:r>
        <w:rPr>
          <w:rFonts w:ascii="Arial" w:eastAsia="宋体" w:hAnsi="Arial" w:cs="Arial"/>
          <w:color w:val="000000"/>
          <w:sz w:val="20"/>
          <w:szCs w:val="20"/>
        </w:rPr>
        <w:t xml:space="preserve">an be no assurance that any settlement of any such claims will be reached on financial terms acceptable to us or at all. The aggregate amount of penalties that may potentially be imposed upon us in connection with the resolution of any such matters is not </w:t>
      </w:r>
      <w:r>
        <w:rPr>
          <w:rFonts w:ascii="Arial" w:eastAsia="宋体" w:hAnsi="Arial" w:cs="Arial"/>
          <w:color w:val="000000"/>
          <w:sz w:val="20"/>
          <w:szCs w:val="20"/>
        </w:rPr>
        <w:t xml:space="preserve">currently known. </w:t>
      </w:r>
    </w:p>
    <w:p w14:paraId="392C90B6" w14:textId="77777777" w:rsidR="00980E5F" w:rsidRDefault="00483613">
      <w:pPr>
        <w:spacing w:before="60"/>
        <w:jc w:val="both"/>
        <w:textAlignment w:val="top"/>
      </w:pPr>
      <w:r>
        <w:rPr>
          <w:rFonts w:ascii="Arial" w:eastAsia="宋体" w:hAnsi="Arial" w:cs="Arial"/>
          <w:i/>
          <w:iCs/>
          <w:color w:val="000000"/>
          <w:sz w:val="20"/>
          <w:szCs w:val="20"/>
        </w:rPr>
        <w:t>Gomes, et al. v. State Street Corp.</w:t>
      </w:r>
    </w:p>
    <w:p w14:paraId="392C90B7" w14:textId="77777777" w:rsidR="00980E5F" w:rsidRDefault="00483613">
      <w:pPr>
        <w:spacing w:before="60"/>
        <w:ind w:firstLine="450"/>
        <w:jc w:val="both"/>
        <w:textAlignment w:val="top"/>
      </w:pPr>
      <w:r>
        <w:rPr>
          <w:rFonts w:ascii="Arial" w:eastAsia="宋体" w:hAnsi="Arial" w:cs="Arial"/>
          <w:color w:val="000000"/>
          <w:sz w:val="20"/>
          <w:szCs w:val="20"/>
        </w:rPr>
        <w:t xml:space="preserve">Eight participants in our Salary Savings Program filed a purported class action complaint in May 2021 on behalf of participants and beneficiaries who participated in the Program and invested in our </w:t>
      </w:r>
      <w:r>
        <w:rPr>
          <w:rFonts w:ascii="Arial" w:eastAsia="宋体" w:hAnsi="Arial" w:cs="Arial"/>
          <w:color w:val="000000"/>
          <w:sz w:val="20"/>
          <w:szCs w:val="20"/>
        </w:rPr>
        <w:t>proprietary investment fund options between May 2015 and the present. The complaint names the Plan Sponsor as well as the committees overseeing the Plan and their respective members as defendants, and alleges breach of fiduciary duty and violations of othe</w:t>
      </w:r>
      <w:r>
        <w:rPr>
          <w:rFonts w:ascii="Arial" w:eastAsia="宋体" w:hAnsi="Arial" w:cs="Arial"/>
          <w:color w:val="000000"/>
          <w:sz w:val="20"/>
          <w:szCs w:val="20"/>
        </w:rPr>
        <w:t>r duties owed to retirement plan participants under the Employee Retirement Income and Security Act. We and the other named defendants deny the alleged claims and are proceeding with a defense of the matter.</w:t>
      </w:r>
    </w:p>
    <w:p w14:paraId="392C90B8" w14:textId="77777777" w:rsidR="00980E5F" w:rsidRDefault="00483613">
      <w:pPr>
        <w:spacing w:before="60"/>
        <w:jc w:val="both"/>
        <w:textAlignment w:val="top"/>
      </w:pPr>
      <w:r>
        <w:rPr>
          <w:rFonts w:ascii="Arial" w:eastAsia="宋体" w:hAnsi="Arial" w:cs="Arial"/>
          <w:i/>
          <w:iCs/>
          <w:color w:val="000000"/>
          <w:sz w:val="20"/>
          <w:szCs w:val="20"/>
        </w:rPr>
        <w:t xml:space="preserve">Edmar Financial Company, LLC et al v. Currenex, </w:t>
      </w:r>
      <w:r>
        <w:rPr>
          <w:rFonts w:ascii="Arial" w:eastAsia="宋体" w:hAnsi="Arial" w:cs="Arial"/>
          <w:i/>
          <w:iCs/>
          <w:color w:val="000000"/>
          <w:sz w:val="20"/>
          <w:szCs w:val="20"/>
        </w:rPr>
        <w:t>Inc. et al</w:t>
      </w:r>
    </w:p>
    <w:p w14:paraId="392C90B9" w14:textId="77777777" w:rsidR="00980E5F" w:rsidRDefault="00483613">
      <w:pPr>
        <w:spacing w:before="60"/>
        <w:ind w:firstLine="450"/>
        <w:jc w:val="both"/>
        <w:textAlignment w:val="top"/>
      </w:pPr>
      <w:r>
        <w:rPr>
          <w:rFonts w:ascii="Arial" w:eastAsia="宋体" w:hAnsi="Arial" w:cs="Arial"/>
          <w:color w:val="000000"/>
          <w:sz w:val="20"/>
          <w:szCs w:val="20"/>
        </w:rPr>
        <w:t>In August 2021, two former Currenex clients filed a putative civil class action lawsuit in the Southern District of New York alleging antitrust violations, fraud and a civil Racketeer Influenced and Corrupt Organization Act violation against Cur</w:t>
      </w:r>
      <w:r>
        <w:rPr>
          <w:rFonts w:ascii="Arial" w:eastAsia="宋体" w:hAnsi="Arial" w:cs="Arial"/>
          <w:color w:val="000000"/>
          <w:sz w:val="20"/>
          <w:szCs w:val="20"/>
        </w:rPr>
        <w:t>renex, State Street and others.</w:t>
      </w:r>
    </w:p>
    <w:p w14:paraId="392C90BA" w14:textId="77777777" w:rsidR="00980E5F" w:rsidRDefault="00483613">
      <w:pPr>
        <w:ind w:firstLine="450"/>
        <w:jc w:val="right"/>
      </w:pPr>
      <w:r>
        <w:rPr>
          <w:rFonts w:ascii="Arial" w:eastAsia="宋体" w:hAnsi="Arial" w:cs="Arial"/>
          <w:color w:val="000000"/>
          <w:sz w:val="18"/>
          <w:szCs w:val="18"/>
        </w:rPr>
        <w:t>State Street Corporation | 88</w:t>
      </w:r>
    </w:p>
    <w:p w14:paraId="392C90BB" w14:textId="77777777" w:rsidR="00980E5F" w:rsidRDefault="00980E5F">
      <w:pPr>
        <w:ind w:firstLine="450"/>
        <w:jc w:val="center"/>
      </w:pPr>
    </w:p>
    <w:p w14:paraId="392C90BC" w14:textId="77777777" w:rsidR="00980E5F" w:rsidRDefault="00483613">
      <w:r>
        <w:pict w14:anchorId="392CBB26">
          <v:rect id="_x0000_i1112" style="width:415.3pt;height:1.5pt" o:hralign="center" o:hrstd="t" o:hr="t" fillcolor="#a0a0a0" stroked="f"/>
        </w:pict>
      </w:r>
    </w:p>
    <w:p w14:paraId="392C90BD" w14:textId="77777777" w:rsidR="00980E5F" w:rsidRDefault="00483613">
      <w:pPr>
        <w:ind w:firstLine="450"/>
        <w:jc w:val="center"/>
      </w:pPr>
      <w:r>
        <w:rPr>
          <w:rFonts w:ascii="Arial" w:eastAsia="宋体" w:hAnsi="Arial" w:cs="Arial"/>
          <w:b/>
          <w:bCs/>
          <w:color w:val="000000"/>
          <w:sz w:val="20"/>
          <w:szCs w:val="20"/>
        </w:rPr>
        <w:t>STATE STREET CORPORATION</w:t>
      </w:r>
    </w:p>
    <w:p w14:paraId="392C90BE"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0BF" w14:textId="77777777" w:rsidR="00980E5F" w:rsidRDefault="00483613">
      <w:pPr>
        <w:ind w:firstLine="450"/>
        <w:jc w:val="center"/>
      </w:pPr>
      <w:r>
        <w:rPr>
          <w:rFonts w:ascii="Arial" w:eastAsia="宋体" w:hAnsi="Arial" w:cs="Arial"/>
          <w:b/>
          <w:bCs/>
          <w:color w:val="000000"/>
          <w:sz w:val="20"/>
          <w:szCs w:val="20"/>
        </w:rPr>
        <w:t>(UNAUDITED)</w:t>
      </w:r>
    </w:p>
    <w:p w14:paraId="392C90C0" w14:textId="77777777" w:rsidR="00980E5F" w:rsidRDefault="00483613">
      <w:pPr>
        <w:spacing w:before="60"/>
      </w:pPr>
      <w:r>
        <w:rPr>
          <w:rFonts w:ascii="Arial" w:eastAsia="宋体" w:hAnsi="Arial" w:cs="Arial"/>
          <w:b/>
          <w:bCs/>
          <w:i/>
          <w:iCs/>
          <w:color w:val="000000"/>
          <w:sz w:val="20"/>
          <w:szCs w:val="20"/>
        </w:rPr>
        <w:t>Income Taxes</w:t>
      </w:r>
    </w:p>
    <w:p w14:paraId="392C90C1" w14:textId="77777777" w:rsidR="00980E5F" w:rsidRDefault="00483613">
      <w:pPr>
        <w:spacing w:before="60"/>
        <w:ind w:firstLine="450"/>
        <w:jc w:val="both"/>
      </w:pPr>
      <w:r>
        <w:rPr>
          <w:rFonts w:ascii="Arial" w:eastAsia="宋体" w:hAnsi="Arial" w:cs="Arial"/>
          <w:color w:val="000000"/>
          <w:sz w:val="20"/>
          <w:szCs w:val="20"/>
        </w:rPr>
        <w:t>In determining our provision for income taxes, we make certain judgments and interpretat</w:t>
      </w:r>
      <w:r>
        <w:rPr>
          <w:rFonts w:ascii="Arial" w:eastAsia="宋体" w:hAnsi="Arial" w:cs="Arial"/>
          <w:color w:val="000000"/>
          <w:sz w:val="20"/>
          <w:szCs w:val="20"/>
        </w:rPr>
        <w:t>ions with respect to tax laws in jurisdictions in which we have business operations. Because of the complex nature of these laws, in the normal course of our business, we are subject to challenges from U.S. and non-U.S. income tax authorities regarding the</w:t>
      </w:r>
      <w:r>
        <w:rPr>
          <w:rFonts w:ascii="Arial" w:eastAsia="宋体" w:hAnsi="Arial" w:cs="Arial"/>
          <w:color w:val="000000"/>
          <w:sz w:val="20"/>
          <w:szCs w:val="20"/>
        </w:rPr>
        <w:t xml:space="preserve"> amount of income taxes due. These challenges may result in adjustments to the timing or amount of taxable income or deductions or the allocation of taxable income among tax jurisdictions. We recognize a tax benefit when it is more likely than not that our</w:t>
      </w:r>
      <w:r>
        <w:rPr>
          <w:rFonts w:ascii="Arial" w:eastAsia="宋体" w:hAnsi="Arial" w:cs="Arial"/>
          <w:color w:val="000000"/>
          <w:sz w:val="20"/>
          <w:szCs w:val="20"/>
        </w:rPr>
        <w:t xml:space="preserve"> position will result in a tax deduction or credit. Unrecognized tax benefits totaled approximately $232 million and $252 million as of June 30, 2022 and December 31, 2021, respectively. </w:t>
      </w:r>
    </w:p>
    <w:p w14:paraId="392C90C2" w14:textId="77777777" w:rsidR="00980E5F" w:rsidRDefault="00483613">
      <w:pPr>
        <w:spacing w:before="60"/>
        <w:ind w:firstLine="450"/>
        <w:jc w:val="both"/>
      </w:pPr>
      <w:r>
        <w:rPr>
          <w:rFonts w:ascii="Arial" w:eastAsia="宋体" w:hAnsi="Arial" w:cs="Arial"/>
          <w:color w:val="000000"/>
          <w:sz w:val="20"/>
          <w:szCs w:val="20"/>
        </w:rPr>
        <w:t>We are presently under audit by a number of tax authorities. The ear</w:t>
      </w:r>
      <w:r>
        <w:rPr>
          <w:rFonts w:ascii="Arial" w:eastAsia="宋体" w:hAnsi="Arial" w:cs="Arial"/>
          <w:color w:val="000000"/>
          <w:sz w:val="20"/>
          <w:szCs w:val="20"/>
        </w:rPr>
        <w:t>liest tax year open to examination in jurisdictions where we have material operations is 2013. Management believes that we have sufficiently accrued liabilities as of June 30, 2022 for potential tax exposures.</w:t>
      </w:r>
    </w:p>
    <w:p w14:paraId="392C90C3" w14:textId="77777777" w:rsidR="00980E5F" w:rsidRDefault="00483613">
      <w:pPr>
        <w:spacing w:before="90"/>
      </w:pPr>
      <w:r>
        <w:rPr>
          <w:rFonts w:ascii="Arial" w:eastAsia="宋体" w:hAnsi="Arial" w:cs="Arial"/>
          <w:b/>
          <w:bCs/>
          <w:color w:val="000000"/>
          <w:sz w:val="20"/>
          <w:szCs w:val="20"/>
        </w:rPr>
        <w:t>Note 11.    Variable Interest Entities</w:t>
      </w:r>
    </w:p>
    <w:p w14:paraId="392C90C4" w14:textId="77777777" w:rsidR="00980E5F" w:rsidRDefault="00483613">
      <w:pPr>
        <w:spacing w:before="60"/>
        <w:ind w:firstLine="450"/>
        <w:jc w:val="both"/>
      </w:pPr>
      <w:r>
        <w:rPr>
          <w:rFonts w:ascii="Arial" w:eastAsia="宋体" w:hAnsi="Arial" w:cs="Arial"/>
          <w:color w:val="000000"/>
          <w:sz w:val="20"/>
          <w:szCs w:val="20"/>
        </w:rPr>
        <w:t>For add</w:t>
      </w:r>
      <w:r>
        <w:rPr>
          <w:rFonts w:ascii="Arial" w:eastAsia="宋体" w:hAnsi="Arial" w:cs="Arial"/>
          <w:color w:val="000000"/>
          <w:sz w:val="20"/>
          <w:szCs w:val="20"/>
        </w:rPr>
        <w:t>itional information on our accounting policy and our use of variable interest entities (VIEs), refer to pages 168 to 169 in Note 14 to the consolidated financial statements included under Item 8, Financial Statements and Supplementary Data, "Variable Inter</w:t>
      </w:r>
      <w:r>
        <w:rPr>
          <w:rFonts w:ascii="Arial" w:eastAsia="宋体" w:hAnsi="Arial" w:cs="Arial"/>
          <w:color w:val="000000"/>
          <w:sz w:val="20"/>
          <w:szCs w:val="20"/>
        </w:rPr>
        <w:t>est Entities", in our 2021 Form 10-K.</w:t>
      </w:r>
    </w:p>
    <w:p w14:paraId="392C90C5" w14:textId="77777777" w:rsidR="00980E5F" w:rsidRDefault="00483613">
      <w:pPr>
        <w:spacing w:before="60"/>
        <w:jc w:val="both"/>
      </w:pPr>
      <w:r>
        <w:rPr>
          <w:rFonts w:ascii="Arial" w:eastAsia="宋体" w:hAnsi="Arial" w:cs="Arial"/>
          <w:b/>
          <w:bCs/>
          <w:i/>
          <w:iCs/>
          <w:color w:val="000000"/>
          <w:sz w:val="20"/>
          <w:szCs w:val="20"/>
        </w:rPr>
        <w:t>Interests in Investment Funds</w:t>
      </w:r>
    </w:p>
    <w:p w14:paraId="392C90C6" w14:textId="77777777" w:rsidR="00980E5F" w:rsidRDefault="00483613">
      <w:pPr>
        <w:spacing w:before="60"/>
        <w:ind w:firstLine="450"/>
        <w:jc w:val="both"/>
      </w:pPr>
      <w:r>
        <w:rPr>
          <w:rFonts w:ascii="Arial" w:eastAsia="宋体" w:hAnsi="Arial" w:cs="Arial"/>
          <w:color w:val="000000"/>
          <w:sz w:val="20"/>
          <w:szCs w:val="20"/>
        </w:rPr>
        <w:t xml:space="preserve">As of both June 30, 2022 and December 31, 2021, we had no consolidated funds. As of both June 30, 2022 and December 31, 2021, we managed certain funds, considered VIEs, in which we </w:t>
      </w:r>
      <w:r>
        <w:rPr>
          <w:rFonts w:ascii="Arial" w:eastAsia="宋体" w:hAnsi="Arial" w:cs="Arial"/>
          <w:color w:val="000000"/>
          <w:sz w:val="20"/>
          <w:szCs w:val="20"/>
        </w:rPr>
        <w:t xml:space="preserve">held a variable interest but for which we were not deemed to be the primary beneficiary. Our potential maximum loss exposure related to these unconsolidated funds totaled $15 million and $17 million as of June 30, 2022 and December 31, 2021, respectively, </w:t>
      </w:r>
      <w:r>
        <w:rPr>
          <w:rFonts w:ascii="Arial" w:eastAsia="宋体" w:hAnsi="Arial" w:cs="Arial"/>
          <w:color w:val="000000"/>
          <w:sz w:val="20"/>
          <w:szCs w:val="20"/>
        </w:rPr>
        <w:t>and represented the carrying value of our investments, which are recorded in other assets in our consolidated statement of condition. The amount of loss we may recognize during any period is limited to the carrying amount of our investments in the unconsol</w:t>
      </w:r>
      <w:r>
        <w:rPr>
          <w:rFonts w:ascii="Arial" w:eastAsia="宋体" w:hAnsi="Arial" w:cs="Arial"/>
          <w:color w:val="000000"/>
          <w:sz w:val="20"/>
          <w:szCs w:val="20"/>
        </w:rPr>
        <w:t>idated funds.</w:t>
      </w:r>
    </w:p>
    <w:p w14:paraId="392C90C7" w14:textId="77777777" w:rsidR="00980E5F" w:rsidRDefault="00483613">
      <w:pPr>
        <w:spacing w:before="60"/>
        <w:ind w:firstLine="450"/>
        <w:jc w:val="both"/>
      </w:pPr>
      <w:r>
        <w:rPr>
          <w:rFonts w:ascii="Arial" w:eastAsia="宋体" w:hAnsi="Arial" w:cs="Arial"/>
          <w:color w:val="000000"/>
          <w:sz w:val="20"/>
          <w:szCs w:val="20"/>
        </w:rPr>
        <w:t>We also held investments in low-income housing, production and investment tax credit entities, considered VIEs for which we were not deemed to be the primary beneficiary. As of June 30, 2022 and December 31, 2021, our potential maximum loss e</w:t>
      </w:r>
      <w:r>
        <w:rPr>
          <w:rFonts w:ascii="Arial" w:eastAsia="宋体" w:hAnsi="Arial" w:cs="Arial"/>
          <w:color w:val="000000"/>
          <w:sz w:val="20"/>
          <w:szCs w:val="20"/>
        </w:rPr>
        <w:t xml:space="preserve">xposure related to these unconsolidated entities totaled </w:t>
      </w:r>
      <w:r>
        <w:rPr>
          <w:rFonts w:ascii="Arial" w:eastAsia="宋体" w:hAnsi="Arial" w:cs="Arial"/>
          <w:color w:val="000000"/>
          <w:sz w:val="20"/>
          <w:szCs w:val="20"/>
          <w:shd w:val="clear" w:color="auto" w:fill="FFFFFF"/>
        </w:rPr>
        <w:t xml:space="preserve">$1.68 billion </w:t>
      </w:r>
      <w:r>
        <w:rPr>
          <w:rFonts w:ascii="Arial" w:eastAsia="宋体" w:hAnsi="Arial" w:cs="Arial"/>
          <w:color w:val="000000"/>
          <w:sz w:val="20"/>
          <w:szCs w:val="20"/>
        </w:rPr>
        <w:t>and $1.69 billion, respectively, most of which represented the carrying value of our investments, which are recorded in other assets in our consolidated statement of condition.</w:t>
      </w:r>
    </w:p>
    <w:p w14:paraId="392C90C8" w14:textId="77777777" w:rsidR="00980E5F" w:rsidRDefault="00483613">
      <w:pPr>
        <w:spacing w:before="180"/>
      </w:pPr>
      <w:r>
        <w:rPr>
          <w:rFonts w:ascii="Arial" w:eastAsia="宋体" w:hAnsi="Arial" w:cs="Arial"/>
          <w:b/>
          <w:bCs/>
          <w:color w:val="000000"/>
          <w:sz w:val="20"/>
          <w:szCs w:val="20"/>
        </w:rPr>
        <w:t>Note 12.</w:t>
      </w:r>
      <w:r>
        <w:rPr>
          <w:rFonts w:ascii="Arial" w:eastAsia="宋体" w:hAnsi="Arial" w:cs="Arial"/>
          <w:b/>
          <w:bCs/>
          <w:color w:val="000000"/>
          <w:sz w:val="20"/>
          <w:szCs w:val="20"/>
        </w:rPr>
        <w:t>    Shareholders' Equity</w:t>
      </w:r>
    </w:p>
    <w:p w14:paraId="392C90C9" w14:textId="77777777" w:rsidR="00980E5F" w:rsidRDefault="00483613">
      <w:pPr>
        <w:spacing w:before="60"/>
      </w:pPr>
      <w:r>
        <w:rPr>
          <w:rFonts w:ascii="Arial" w:eastAsia="宋体" w:hAnsi="Arial" w:cs="Arial"/>
          <w:b/>
          <w:bCs/>
          <w:i/>
          <w:iCs/>
          <w:color w:val="000000"/>
          <w:sz w:val="20"/>
          <w:szCs w:val="20"/>
        </w:rPr>
        <w:t xml:space="preserve">Preferred Stock </w:t>
      </w:r>
    </w:p>
    <w:p w14:paraId="392C90CA" w14:textId="77777777" w:rsidR="00980E5F" w:rsidRDefault="00483613">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outstanding as of June 30, 2022:</w:t>
      </w:r>
    </w:p>
    <w:tbl>
      <w:tblPr>
        <w:tblW w:w="5000" w:type="pct"/>
        <w:tblCellMar>
          <w:top w:w="15" w:type="dxa"/>
          <w:left w:w="15" w:type="dxa"/>
          <w:bottom w:w="15" w:type="dxa"/>
          <w:right w:w="15" w:type="dxa"/>
        </w:tblCellMar>
        <w:tblLook w:val="04A0" w:firstRow="1" w:lastRow="0" w:firstColumn="1" w:lastColumn="0" w:noHBand="0" w:noVBand="1"/>
      </w:tblPr>
      <w:tblGrid>
        <w:gridCol w:w="84"/>
        <w:gridCol w:w="446"/>
        <w:gridCol w:w="35"/>
        <w:gridCol w:w="36"/>
        <w:gridCol w:w="35"/>
        <w:gridCol w:w="35"/>
        <w:gridCol w:w="59"/>
        <w:gridCol w:w="523"/>
        <w:gridCol w:w="36"/>
        <w:gridCol w:w="36"/>
        <w:gridCol w:w="35"/>
        <w:gridCol w:w="35"/>
        <w:gridCol w:w="83"/>
        <w:gridCol w:w="530"/>
        <w:gridCol w:w="36"/>
        <w:gridCol w:w="36"/>
        <w:gridCol w:w="36"/>
        <w:gridCol w:w="36"/>
        <w:gridCol w:w="89"/>
        <w:gridCol w:w="583"/>
        <w:gridCol w:w="36"/>
        <w:gridCol w:w="36"/>
        <w:gridCol w:w="36"/>
        <w:gridCol w:w="36"/>
        <w:gridCol w:w="83"/>
        <w:gridCol w:w="530"/>
        <w:gridCol w:w="36"/>
        <w:gridCol w:w="36"/>
        <w:gridCol w:w="36"/>
        <w:gridCol w:w="36"/>
        <w:gridCol w:w="86"/>
        <w:gridCol w:w="551"/>
        <w:gridCol w:w="36"/>
        <w:gridCol w:w="36"/>
        <w:gridCol w:w="36"/>
        <w:gridCol w:w="36"/>
        <w:gridCol w:w="86"/>
        <w:gridCol w:w="551"/>
        <w:gridCol w:w="36"/>
        <w:gridCol w:w="36"/>
        <w:gridCol w:w="36"/>
        <w:gridCol w:w="36"/>
        <w:gridCol w:w="51"/>
        <w:gridCol w:w="589"/>
        <w:gridCol w:w="37"/>
        <w:gridCol w:w="36"/>
        <w:gridCol w:w="36"/>
        <w:gridCol w:w="36"/>
        <w:gridCol w:w="101"/>
        <w:gridCol w:w="640"/>
        <w:gridCol w:w="37"/>
        <w:gridCol w:w="36"/>
        <w:gridCol w:w="36"/>
        <w:gridCol w:w="36"/>
        <w:gridCol w:w="85"/>
        <w:gridCol w:w="433"/>
        <w:gridCol w:w="36"/>
        <w:gridCol w:w="36"/>
        <w:gridCol w:w="36"/>
        <w:gridCol w:w="36"/>
        <w:gridCol w:w="80"/>
        <w:gridCol w:w="600"/>
        <w:gridCol w:w="36"/>
      </w:tblGrid>
      <w:tr w:rsidR="00980E5F" w14:paraId="392C910A" w14:textId="77777777">
        <w:tc>
          <w:tcPr>
            <w:tcW w:w="50" w:type="pct"/>
            <w:shd w:val="clear" w:color="auto" w:fill="auto"/>
            <w:vAlign w:val="bottom"/>
          </w:tcPr>
          <w:p w14:paraId="392C90CB" w14:textId="77777777" w:rsidR="00980E5F" w:rsidRDefault="00980E5F">
            <w:pPr>
              <w:rPr>
                <w:rFonts w:ascii="宋体"/>
              </w:rPr>
            </w:pPr>
          </w:p>
        </w:tc>
        <w:tc>
          <w:tcPr>
            <w:tcW w:w="273" w:type="pct"/>
            <w:shd w:val="clear" w:color="auto" w:fill="auto"/>
            <w:vAlign w:val="bottom"/>
          </w:tcPr>
          <w:p w14:paraId="392C90CC" w14:textId="77777777" w:rsidR="00980E5F" w:rsidRDefault="00980E5F">
            <w:pPr>
              <w:rPr>
                <w:rFonts w:ascii="宋体"/>
              </w:rPr>
            </w:pPr>
          </w:p>
        </w:tc>
        <w:tc>
          <w:tcPr>
            <w:tcW w:w="5" w:type="pct"/>
            <w:shd w:val="clear" w:color="auto" w:fill="auto"/>
            <w:vAlign w:val="bottom"/>
          </w:tcPr>
          <w:p w14:paraId="392C90CD" w14:textId="77777777" w:rsidR="00980E5F" w:rsidRDefault="00980E5F">
            <w:pPr>
              <w:rPr>
                <w:rFonts w:ascii="宋体"/>
              </w:rPr>
            </w:pPr>
          </w:p>
        </w:tc>
        <w:tc>
          <w:tcPr>
            <w:tcW w:w="5" w:type="pct"/>
            <w:shd w:val="clear" w:color="auto" w:fill="auto"/>
            <w:vAlign w:val="bottom"/>
          </w:tcPr>
          <w:p w14:paraId="392C90CE" w14:textId="77777777" w:rsidR="00980E5F" w:rsidRDefault="00980E5F">
            <w:pPr>
              <w:rPr>
                <w:rFonts w:ascii="宋体"/>
              </w:rPr>
            </w:pPr>
          </w:p>
        </w:tc>
        <w:tc>
          <w:tcPr>
            <w:tcW w:w="19" w:type="pct"/>
            <w:shd w:val="clear" w:color="auto" w:fill="auto"/>
            <w:vAlign w:val="bottom"/>
          </w:tcPr>
          <w:p w14:paraId="392C90CF" w14:textId="77777777" w:rsidR="00980E5F" w:rsidRDefault="00980E5F">
            <w:pPr>
              <w:rPr>
                <w:rFonts w:ascii="宋体"/>
              </w:rPr>
            </w:pPr>
          </w:p>
        </w:tc>
        <w:tc>
          <w:tcPr>
            <w:tcW w:w="5" w:type="pct"/>
            <w:shd w:val="clear" w:color="auto" w:fill="auto"/>
            <w:vAlign w:val="bottom"/>
          </w:tcPr>
          <w:p w14:paraId="392C90D0" w14:textId="77777777" w:rsidR="00980E5F" w:rsidRDefault="00980E5F">
            <w:pPr>
              <w:rPr>
                <w:rFonts w:ascii="宋体"/>
              </w:rPr>
            </w:pPr>
          </w:p>
        </w:tc>
        <w:tc>
          <w:tcPr>
            <w:tcW w:w="50" w:type="pct"/>
            <w:shd w:val="clear" w:color="auto" w:fill="auto"/>
            <w:vAlign w:val="bottom"/>
          </w:tcPr>
          <w:p w14:paraId="392C90D1" w14:textId="77777777" w:rsidR="00980E5F" w:rsidRDefault="00980E5F">
            <w:pPr>
              <w:rPr>
                <w:rFonts w:ascii="宋体"/>
              </w:rPr>
            </w:pPr>
          </w:p>
        </w:tc>
        <w:tc>
          <w:tcPr>
            <w:tcW w:w="463" w:type="pct"/>
            <w:shd w:val="clear" w:color="auto" w:fill="auto"/>
            <w:vAlign w:val="bottom"/>
          </w:tcPr>
          <w:p w14:paraId="392C90D2" w14:textId="77777777" w:rsidR="00980E5F" w:rsidRDefault="00980E5F">
            <w:pPr>
              <w:rPr>
                <w:rFonts w:ascii="宋体"/>
              </w:rPr>
            </w:pPr>
          </w:p>
        </w:tc>
        <w:tc>
          <w:tcPr>
            <w:tcW w:w="5" w:type="pct"/>
            <w:shd w:val="clear" w:color="auto" w:fill="auto"/>
            <w:vAlign w:val="bottom"/>
          </w:tcPr>
          <w:p w14:paraId="392C90D3" w14:textId="77777777" w:rsidR="00980E5F" w:rsidRDefault="00980E5F">
            <w:pPr>
              <w:rPr>
                <w:rFonts w:ascii="宋体"/>
              </w:rPr>
            </w:pPr>
          </w:p>
        </w:tc>
        <w:tc>
          <w:tcPr>
            <w:tcW w:w="5" w:type="pct"/>
            <w:shd w:val="clear" w:color="auto" w:fill="auto"/>
            <w:vAlign w:val="bottom"/>
          </w:tcPr>
          <w:p w14:paraId="392C90D4" w14:textId="77777777" w:rsidR="00980E5F" w:rsidRDefault="00980E5F">
            <w:pPr>
              <w:rPr>
                <w:rFonts w:ascii="宋体"/>
              </w:rPr>
            </w:pPr>
          </w:p>
        </w:tc>
        <w:tc>
          <w:tcPr>
            <w:tcW w:w="19" w:type="pct"/>
            <w:shd w:val="clear" w:color="auto" w:fill="auto"/>
            <w:vAlign w:val="bottom"/>
          </w:tcPr>
          <w:p w14:paraId="392C90D5" w14:textId="77777777" w:rsidR="00980E5F" w:rsidRDefault="00980E5F">
            <w:pPr>
              <w:rPr>
                <w:rFonts w:ascii="宋体"/>
              </w:rPr>
            </w:pPr>
          </w:p>
        </w:tc>
        <w:tc>
          <w:tcPr>
            <w:tcW w:w="5" w:type="pct"/>
            <w:shd w:val="clear" w:color="auto" w:fill="auto"/>
            <w:vAlign w:val="bottom"/>
          </w:tcPr>
          <w:p w14:paraId="392C90D6" w14:textId="77777777" w:rsidR="00980E5F" w:rsidRDefault="00980E5F">
            <w:pPr>
              <w:rPr>
                <w:rFonts w:ascii="宋体"/>
              </w:rPr>
            </w:pPr>
          </w:p>
        </w:tc>
        <w:tc>
          <w:tcPr>
            <w:tcW w:w="50" w:type="pct"/>
            <w:shd w:val="clear" w:color="auto" w:fill="auto"/>
            <w:vAlign w:val="bottom"/>
          </w:tcPr>
          <w:p w14:paraId="392C90D7" w14:textId="77777777" w:rsidR="00980E5F" w:rsidRDefault="00980E5F">
            <w:pPr>
              <w:rPr>
                <w:rFonts w:ascii="宋体"/>
              </w:rPr>
            </w:pPr>
          </w:p>
        </w:tc>
        <w:tc>
          <w:tcPr>
            <w:tcW w:w="332" w:type="pct"/>
            <w:shd w:val="clear" w:color="auto" w:fill="auto"/>
            <w:vAlign w:val="bottom"/>
          </w:tcPr>
          <w:p w14:paraId="392C90D8" w14:textId="77777777" w:rsidR="00980E5F" w:rsidRDefault="00980E5F">
            <w:pPr>
              <w:rPr>
                <w:rFonts w:ascii="宋体"/>
              </w:rPr>
            </w:pPr>
          </w:p>
        </w:tc>
        <w:tc>
          <w:tcPr>
            <w:tcW w:w="5" w:type="pct"/>
            <w:shd w:val="clear" w:color="auto" w:fill="auto"/>
            <w:vAlign w:val="bottom"/>
          </w:tcPr>
          <w:p w14:paraId="392C90D9" w14:textId="77777777" w:rsidR="00980E5F" w:rsidRDefault="00980E5F">
            <w:pPr>
              <w:rPr>
                <w:rFonts w:ascii="宋体"/>
              </w:rPr>
            </w:pPr>
          </w:p>
        </w:tc>
        <w:tc>
          <w:tcPr>
            <w:tcW w:w="5" w:type="pct"/>
            <w:shd w:val="clear" w:color="auto" w:fill="auto"/>
            <w:vAlign w:val="bottom"/>
          </w:tcPr>
          <w:p w14:paraId="392C90DA" w14:textId="77777777" w:rsidR="00980E5F" w:rsidRDefault="00980E5F">
            <w:pPr>
              <w:rPr>
                <w:rFonts w:ascii="宋体"/>
              </w:rPr>
            </w:pPr>
          </w:p>
        </w:tc>
        <w:tc>
          <w:tcPr>
            <w:tcW w:w="19" w:type="pct"/>
            <w:shd w:val="clear" w:color="auto" w:fill="auto"/>
            <w:vAlign w:val="bottom"/>
          </w:tcPr>
          <w:p w14:paraId="392C90DB" w14:textId="77777777" w:rsidR="00980E5F" w:rsidRDefault="00980E5F">
            <w:pPr>
              <w:rPr>
                <w:rFonts w:ascii="宋体"/>
              </w:rPr>
            </w:pPr>
          </w:p>
        </w:tc>
        <w:tc>
          <w:tcPr>
            <w:tcW w:w="5" w:type="pct"/>
            <w:shd w:val="clear" w:color="auto" w:fill="auto"/>
            <w:vAlign w:val="bottom"/>
          </w:tcPr>
          <w:p w14:paraId="392C90DC" w14:textId="77777777" w:rsidR="00980E5F" w:rsidRDefault="00980E5F">
            <w:pPr>
              <w:rPr>
                <w:rFonts w:ascii="宋体"/>
              </w:rPr>
            </w:pPr>
          </w:p>
        </w:tc>
        <w:tc>
          <w:tcPr>
            <w:tcW w:w="50" w:type="pct"/>
            <w:shd w:val="clear" w:color="auto" w:fill="auto"/>
            <w:vAlign w:val="bottom"/>
          </w:tcPr>
          <w:p w14:paraId="392C90DD" w14:textId="77777777" w:rsidR="00980E5F" w:rsidRDefault="00980E5F">
            <w:pPr>
              <w:rPr>
                <w:rFonts w:ascii="宋体"/>
              </w:rPr>
            </w:pPr>
          </w:p>
        </w:tc>
        <w:tc>
          <w:tcPr>
            <w:tcW w:w="339" w:type="pct"/>
            <w:shd w:val="clear" w:color="auto" w:fill="auto"/>
            <w:vAlign w:val="bottom"/>
          </w:tcPr>
          <w:p w14:paraId="392C90DE" w14:textId="77777777" w:rsidR="00980E5F" w:rsidRDefault="00980E5F">
            <w:pPr>
              <w:rPr>
                <w:rFonts w:ascii="宋体"/>
              </w:rPr>
            </w:pPr>
          </w:p>
        </w:tc>
        <w:tc>
          <w:tcPr>
            <w:tcW w:w="5" w:type="pct"/>
            <w:shd w:val="clear" w:color="auto" w:fill="auto"/>
            <w:vAlign w:val="bottom"/>
          </w:tcPr>
          <w:p w14:paraId="392C90DF" w14:textId="77777777" w:rsidR="00980E5F" w:rsidRDefault="00980E5F">
            <w:pPr>
              <w:rPr>
                <w:rFonts w:ascii="宋体"/>
              </w:rPr>
            </w:pPr>
          </w:p>
        </w:tc>
        <w:tc>
          <w:tcPr>
            <w:tcW w:w="5" w:type="pct"/>
            <w:shd w:val="clear" w:color="auto" w:fill="auto"/>
            <w:vAlign w:val="bottom"/>
          </w:tcPr>
          <w:p w14:paraId="392C90E0" w14:textId="77777777" w:rsidR="00980E5F" w:rsidRDefault="00980E5F">
            <w:pPr>
              <w:rPr>
                <w:rFonts w:ascii="宋体"/>
              </w:rPr>
            </w:pPr>
          </w:p>
        </w:tc>
        <w:tc>
          <w:tcPr>
            <w:tcW w:w="19" w:type="pct"/>
            <w:shd w:val="clear" w:color="auto" w:fill="auto"/>
            <w:vAlign w:val="bottom"/>
          </w:tcPr>
          <w:p w14:paraId="392C90E1" w14:textId="77777777" w:rsidR="00980E5F" w:rsidRDefault="00980E5F">
            <w:pPr>
              <w:rPr>
                <w:rFonts w:ascii="宋体"/>
              </w:rPr>
            </w:pPr>
          </w:p>
        </w:tc>
        <w:tc>
          <w:tcPr>
            <w:tcW w:w="5" w:type="pct"/>
            <w:shd w:val="clear" w:color="auto" w:fill="auto"/>
            <w:vAlign w:val="bottom"/>
          </w:tcPr>
          <w:p w14:paraId="392C90E2" w14:textId="77777777" w:rsidR="00980E5F" w:rsidRDefault="00980E5F">
            <w:pPr>
              <w:rPr>
                <w:rFonts w:ascii="宋体"/>
              </w:rPr>
            </w:pPr>
          </w:p>
        </w:tc>
        <w:tc>
          <w:tcPr>
            <w:tcW w:w="50" w:type="pct"/>
            <w:shd w:val="clear" w:color="auto" w:fill="auto"/>
            <w:vAlign w:val="bottom"/>
          </w:tcPr>
          <w:p w14:paraId="392C90E3" w14:textId="77777777" w:rsidR="00980E5F" w:rsidRDefault="00980E5F">
            <w:pPr>
              <w:rPr>
                <w:rFonts w:ascii="宋体"/>
              </w:rPr>
            </w:pPr>
          </w:p>
        </w:tc>
        <w:tc>
          <w:tcPr>
            <w:tcW w:w="332" w:type="pct"/>
            <w:shd w:val="clear" w:color="auto" w:fill="auto"/>
            <w:vAlign w:val="bottom"/>
          </w:tcPr>
          <w:p w14:paraId="392C90E4" w14:textId="77777777" w:rsidR="00980E5F" w:rsidRDefault="00980E5F">
            <w:pPr>
              <w:rPr>
                <w:rFonts w:ascii="宋体"/>
              </w:rPr>
            </w:pPr>
          </w:p>
        </w:tc>
        <w:tc>
          <w:tcPr>
            <w:tcW w:w="5" w:type="pct"/>
            <w:shd w:val="clear" w:color="auto" w:fill="auto"/>
            <w:vAlign w:val="bottom"/>
          </w:tcPr>
          <w:p w14:paraId="392C90E5" w14:textId="77777777" w:rsidR="00980E5F" w:rsidRDefault="00980E5F">
            <w:pPr>
              <w:rPr>
                <w:rFonts w:ascii="宋体"/>
              </w:rPr>
            </w:pPr>
          </w:p>
        </w:tc>
        <w:tc>
          <w:tcPr>
            <w:tcW w:w="5" w:type="pct"/>
            <w:shd w:val="clear" w:color="auto" w:fill="auto"/>
            <w:vAlign w:val="bottom"/>
          </w:tcPr>
          <w:p w14:paraId="392C90E6" w14:textId="77777777" w:rsidR="00980E5F" w:rsidRDefault="00980E5F">
            <w:pPr>
              <w:rPr>
                <w:rFonts w:ascii="宋体"/>
              </w:rPr>
            </w:pPr>
          </w:p>
        </w:tc>
        <w:tc>
          <w:tcPr>
            <w:tcW w:w="19" w:type="pct"/>
            <w:shd w:val="clear" w:color="auto" w:fill="auto"/>
            <w:vAlign w:val="bottom"/>
          </w:tcPr>
          <w:p w14:paraId="392C90E7" w14:textId="77777777" w:rsidR="00980E5F" w:rsidRDefault="00980E5F">
            <w:pPr>
              <w:rPr>
                <w:rFonts w:ascii="宋体"/>
              </w:rPr>
            </w:pPr>
          </w:p>
        </w:tc>
        <w:tc>
          <w:tcPr>
            <w:tcW w:w="5" w:type="pct"/>
            <w:shd w:val="clear" w:color="auto" w:fill="auto"/>
            <w:vAlign w:val="bottom"/>
          </w:tcPr>
          <w:p w14:paraId="392C90E8" w14:textId="77777777" w:rsidR="00980E5F" w:rsidRDefault="00980E5F">
            <w:pPr>
              <w:rPr>
                <w:rFonts w:ascii="宋体"/>
              </w:rPr>
            </w:pPr>
          </w:p>
        </w:tc>
        <w:tc>
          <w:tcPr>
            <w:tcW w:w="50" w:type="pct"/>
            <w:shd w:val="clear" w:color="auto" w:fill="auto"/>
            <w:vAlign w:val="bottom"/>
          </w:tcPr>
          <w:p w14:paraId="392C90E9" w14:textId="77777777" w:rsidR="00980E5F" w:rsidRDefault="00980E5F">
            <w:pPr>
              <w:rPr>
                <w:rFonts w:ascii="宋体"/>
              </w:rPr>
            </w:pPr>
          </w:p>
        </w:tc>
        <w:tc>
          <w:tcPr>
            <w:tcW w:w="332" w:type="pct"/>
            <w:shd w:val="clear" w:color="auto" w:fill="auto"/>
            <w:vAlign w:val="bottom"/>
          </w:tcPr>
          <w:p w14:paraId="392C90EA" w14:textId="77777777" w:rsidR="00980E5F" w:rsidRDefault="00980E5F">
            <w:pPr>
              <w:rPr>
                <w:rFonts w:ascii="宋体"/>
              </w:rPr>
            </w:pPr>
          </w:p>
        </w:tc>
        <w:tc>
          <w:tcPr>
            <w:tcW w:w="5" w:type="pct"/>
            <w:shd w:val="clear" w:color="auto" w:fill="auto"/>
            <w:vAlign w:val="bottom"/>
          </w:tcPr>
          <w:p w14:paraId="392C90EB" w14:textId="77777777" w:rsidR="00980E5F" w:rsidRDefault="00980E5F">
            <w:pPr>
              <w:rPr>
                <w:rFonts w:ascii="宋体"/>
              </w:rPr>
            </w:pPr>
          </w:p>
        </w:tc>
        <w:tc>
          <w:tcPr>
            <w:tcW w:w="5" w:type="pct"/>
            <w:shd w:val="clear" w:color="auto" w:fill="auto"/>
            <w:vAlign w:val="bottom"/>
          </w:tcPr>
          <w:p w14:paraId="392C90EC" w14:textId="77777777" w:rsidR="00980E5F" w:rsidRDefault="00980E5F">
            <w:pPr>
              <w:rPr>
                <w:rFonts w:ascii="宋体"/>
              </w:rPr>
            </w:pPr>
          </w:p>
        </w:tc>
        <w:tc>
          <w:tcPr>
            <w:tcW w:w="19" w:type="pct"/>
            <w:shd w:val="clear" w:color="auto" w:fill="auto"/>
            <w:vAlign w:val="bottom"/>
          </w:tcPr>
          <w:p w14:paraId="392C90ED" w14:textId="77777777" w:rsidR="00980E5F" w:rsidRDefault="00980E5F">
            <w:pPr>
              <w:rPr>
                <w:rFonts w:ascii="宋体"/>
              </w:rPr>
            </w:pPr>
          </w:p>
        </w:tc>
        <w:tc>
          <w:tcPr>
            <w:tcW w:w="5" w:type="pct"/>
            <w:shd w:val="clear" w:color="auto" w:fill="auto"/>
            <w:vAlign w:val="bottom"/>
          </w:tcPr>
          <w:p w14:paraId="392C90EE" w14:textId="77777777" w:rsidR="00980E5F" w:rsidRDefault="00980E5F">
            <w:pPr>
              <w:rPr>
                <w:rFonts w:ascii="宋体"/>
              </w:rPr>
            </w:pPr>
          </w:p>
        </w:tc>
        <w:tc>
          <w:tcPr>
            <w:tcW w:w="50" w:type="pct"/>
            <w:shd w:val="clear" w:color="auto" w:fill="auto"/>
            <w:vAlign w:val="bottom"/>
          </w:tcPr>
          <w:p w14:paraId="392C90EF" w14:textId="77777777" w:rsidR="00980E5F" w:rsidRDefault="00980E5F">
            <w:pPr>
              <w:rPr>
                <w:rFonts w:ascii="宋体"/>
              </w:rPr>
            </w:pPr>
          </w:p>
        </w:tc>
        <w:tc>
          <w:tcPr>
            <w:tcW w:w="332" w:type="pct"/>
            <w:shd w:val="clear" w:color="auto" w:fill="auto"/>
            <w:vAlign w:val="bottom"/>
          </w:tcPr>
          <w:p w14:paraId="392C90F0" w14:textId="77777777" w:rsidR="00980E5F" w:rsidRDefault="00980E5F">
            <w:pPr>
              <w:rPr>
                <w:rFonts w:ascii="宋体"/>
              </w:rPr>
            </w:pPr>
          </w:p>
        </w:tc>
        <w:tc>
          <w:tcPr>
            <w:tcW w:w="5" w:type="pct"/>
            <w:shd w:val="clear" w:color="auto" w:fill="auto"/>
            <w:vAlign w:val="bottom"/>
          </w:tcPr>
          <w:p w14:paraId="392C90F1" w14:textId="77777777" w:rsidR="00980E5F" w:rsidRDefault="00980E5F">
            <w:pPr>
              <w:rPr>
                <w:rFonts w:ascii="宋体"/>
              </w:rPr>
            </w:pPr>
          </w:p>
        </w:tc>
        <w:tc>
          <w:tcPr>
            <w:tcW w:w="5" w:type="pct"/>
            <w:shd w:val="clear" w:color="auto" w:fill="auto"/>
            <w:vAlign w:val="bottom"/>
          </w:tcPr>
          <w:p w14:paraId="392C90F2" w14:textId="77777777" w:rsidR="00980E5F" w:rsidRDefault="00980E5F">
            <w:pPr>
              <w:rPr>
                <w:rFonts w:ascii="宋体"/>
              </w:rPr>
            </w:pPr>
          </w:p>
        </w:tc>
        <w:tc>
          <w:tcPr>
            <w:tcW w:w="19" w:type="pct"/>
            <w:shd w:val="clear" w:color="auto" w:fill="auto"/>
            <w:vAlign w:val="bottom"/>
          </w:tcPr>
          <w:p w14:paraId="392C90F3" w14:textId="77777777" w:rsidR="00980E5F" w:rsidRDefault="00980E5F">
            <w:pPr>
              <w:rPr>
                <w:rFonts w:ascii="宋体"/>
              </w:rPr>
            </w:pPr>
          </w:p>
        </w:tc>
        <w:tc>
          <w:tcPr>
            <w:tcW w:w="5" w:type="pct"/>
            <w:shd w:val="clear" w:color="auto" w:fill="auto"/>
            <w:vAlign w:val="bottom"/>
          </w:tcPr>
          <w:p w14:paraId="392C90F4" w14:textId="77777777" w:rsidR="00980E5F" w:rsidRDefault="00980E5F">
            <w:pPr>
              <w:rPr>
                <w:rFonts w:ascii="宋体"/>
              </w:rPr>
            </w:pPr>
          </w:p>
        </w:tc>
        <w:tc>
          <w:tcPr>
            <w:tcW w:w="50" w:type="pct"/>
            <w:shd w:val="clear" w:color="auto" w:fill="auto"/>
            <w:vAlign w:val="bottom"/>
          </w:tcPr>
          <w:p w14:paraId="392C90F5" w14:textId="77777777" w:rsidR="00980E5F" w:rsidRDefault="00980E5F">
            <w:pPr>
              <w:rPr>
                <w:rFonts w:ascii="宋体"/>
              </w:rPr>
            </w:pPr>
          </w:p>
        </w:tc>
        <w:tc>
          <w:tcPr>
            <w:tcW w:w="617" w:type="pct"/>
            <w:shd w:val="clear" w:color="auto" w:fill="auto"/>
            <w:vAlign w:val="bottom"/>
          </w:tcPr>
          <w:p w14:paraId="392C90F6" w14:textId="77777777" w:rsidR="00980E5F" w:rsidRDefault="00980E5F">
            <w:pPr>
              <w:rPr>
                <w:rFonts w:ascii="宋体"/>
              </w:rPr>
            </w:pPr>
          </w:p>
        </w:tc>
        <w:tc>
          <w:tcPr>
            <w:tcW w:w="5" w:type="pct"/>
            <w:shd w:val="clear" w:color="auto" w:fill="auto"/>
            <w:vAlign w:val="bottom"/>
          </w:tcPr>
          <w:p w14:paraId="392C90F7" w14:textId="77777777" w:rsidR="00980E5F" w:rsidRDefault="00980E5F">
            <w:pPr>
              <w:rPr>
                <w:rFonts w:ascii="宋体"/>
              </w:rPr>
            </w:pPr>
          </w:p>
        </w:tc>
        <w:tc>
          <w:tcPr>
            <w:tcW w:w="5" w:type="pct"/>
            <w:shd w:val="clear" w:color="auto" w:fill="auto"/>
            <w:vAlign w:val="bottom"/>
          </w:tcPr>
          <w:p w14:paraId="392C90F8" w14:textId="77777777" w:rsidR="00980E5F" w:rsidRDefault="00980E5F">
            <w:pPr>
              <w:rPr>
                <w:rFonts w:ascii="宋体"/>
              </w:rPr>
            </w:pPr>
          </w:p>
        </w:tc>
        <w:tc>
          <w:tcPr>
            <w:tcW w:w="19" w:type="pct"/>
            <w:shd w:val="clear" w:color="auto" w:fill="auto"/>
            <w:vAlign w:val="bottom"/>
          </w:tcPr>
          <w:p w14:paraId="392C90F9" w14:textId="77777777" w:rsidR="00980E5F" w:rsidRDefault="00980E5F">
            <w:pPr>
              <w:rPr>
                <w:rFonts w:ascii="宋体"/>
              </w:rPr>
            </w:pPr>
          </w:p>
        </w:tc>
        <w:tc>
          <w:tcPr>
            <w:tcW w:w="5" w:type="pct"/>
            <w:shd w:val="clear" w:color="auto" w:fill="auto"/>
            <w:vAlign w:val="bottom"/>
          </w:tcPr>
          <w:p w14:paraId="392C90FA" w14:textId="77777777" w:rsidR="00980E5F" w:rsidRDefault="00980E5F">
            <w:pPr>
              <w:rPr>
                <w:rFonts w:ascii="宋体"/>
              </w:rPr>
            </w:pPr>
          </w:p>
        </w:tc>
        <w:tc>
          <w:tcPr>
            <w:tcW w:w="50" w:type="pct"/>
            <w:shd w:val="clear" w:color="auto" w:fill="auto"/>
            <w:vAlign w:val="bottom"/>
          </w:tcPr>
          <w:p w14:paraId="392C90FB" w14:textId="77777777" w:rsidR="00980E5F" w:rsidRDefault="00980E5F">
            <w:pPr>
              <w:rPr>
                <w:rFonts w:ascii="宋体"/>
              </w:rPr>
            </w:pPr>
          </w:p>
        </w:tc>
        <w:tc>
          <w:tcPr>
            <w:tcW w:w="325" w:type="pct"/>
            <w:shd w:val="clear" w:color="auto" w:fill="auto"/>
            <w:vAlign w:val="bottom"/>
          </w:tcPr>
          <w:p w14:paraId="392C90FC" w14:textId="77777777" w:rsidR="00980E5F" w:rsidRDefault="00980E5F">
            <w:pPr>
              <w:rPr>
                <w:rFonts w:ascii="宋体"/>
              </w:rPr>
            </w:pPr>
          </w:p>
        </w:tc>
        <w:tc>
          <w:tcPr>
            <w:tcW w:w="5" w:type="pct"/>
            <w:shd w:val="clear" w:color="auto" w:fill="auto"/>
            <w:vAlign w:val="bottom"/>
          </w:tcPr>
          <w:p w14:paraId="392C90FD" w14:textId="77777777" w:rsidR="00980E5F" w:rsidRDefault="00980E5F">
            <w:pPr>
              <w:rPr>
                <w:rFonts w:ascii="宋体"/>
              </w:rPr>
            </w:pPr>
          </w:p>
        </w:tc>
        <w:tc>
          <w:tcPr>
            <w:tcW w:w="5" w:type="pct"/>
            <w:shd w:val="clear" w:color="auto" w:fill="auto"/>
            <w:vAlign w:val="bottom"/>
          </w:tcPr>
          <w:p w14:paraId="392C90FE" w14:textId="77777777" w:rsidR="00980E5F" w:rsidRDefault="00980E5F">
            <w:pPr>
              <w:rPr>
                <w:rFonts w:ascii="宋体"/>
              </w:rPr>
            </w:pPr>
          </w:p>
        </w:tc>
        <w:tc>
          <w:tcPr>
            <w:tcW w:w="19" w:type="pct"/>
            <w:shd w:val="clear" w:color="auto" w:fill="auto"/>
            <w:vAlign w:val="bottom"/>
          </w:tcPr>
          <w:p w14:paraId="392C90FF" w14:textId="77777777" w:rsidR="00980E5F" w:rsidRDefault="00980E5F">
            <w:pPr>
              <w:rPr>
                <w:rFonts w:ascii="宋体"/>
              </w:rPr>
            </w:pPr>
          </w:p>
        </w:tc>
        <w:tc>
          <w:tcPr>
            <w:tcW w:w="5" w:type="pct"/>
            <w:shd w:val="clear" w:color="auto" w:fill="auto"/>
            <w:vAlign w:val="bottom"/>
          </w:tcPr>
          <w:p w14:paraId="392C9100" w14:textId="77777777" w:rsidR="00980E5F" w:rsidRDefault="00980E5F">
            <w:pPr>
              <w:rPr>
                <w:rFonts w:ascii="宋体"/>
              </w:rPr>
            </w:pPr>
          </w:p>
        </w:tc>
        <w:tc>
          <w:tcPr>
            <w:tcW w:w="50" w:type="pct"/>
            <w:shd w:val="clear" w:color="auto" w:fill="auto"/>
            <w:vAlign w:val="bottom"/>
          </w:tcPr>
          <w:p w14:paraId="392C9101" w14:textId="77777777" w:rsidR="00980E5F" w:rsidRDefault="00980E5F">
            <w:pPr>
              <w:rPr>
                <w:rFonts w:ascii="宋体"/>
              </w:rPr>
            </w:pPr>
          </w:p>
        </w:tc>
        <w:tc>
          <w:tcPr>
            <w:tcW w:w="361" w:type="pct"/>
            <w:shd w:val="clear" w:color="auto" w:fill="auto"/>
            <w:vAlign w:val="bottom"/>
          </w:tcPr>
          <w:p w14:paraId="392C9102" w14:textId="77777777" w:rsidR="00980E5F" w:rsidRDefault="00980E5F">
            <w:pPr>
              <w:rPr>
                <w:rFonts w:ascii="宋体"/>
              </w:rPr>
            </w:pPr>
          </w:p>
        </w:tc>
        <w:tc>
          <w:tcPr>
            <w:tcW w:w="5" w:type="pct"/>
            <w:shd w:val="clear" w:color="auto" w:fill="auto"/>
            <w:vAlign w:val="bottom"/>
          </w:tcPr>
          <w:p w14:paraId="392C9103" w14:textId="77777777" w:rsidR="00980E5F" w:rsidRDefault="00980E5F">
            <w:pPr>
              <w:rPr>
                <w:rFonts w:ascii="宋体"/>
              </w:rPr>
            </w:pPr>
          </w:p>
        </w:tc>
        <w:tc>
          <w:tcPr>
            <w:tcW w:w="5" w:type="pct"/>
            <w:shd w:val="clear" w:color="auto" w:fill="auto"/>
            <w:vAlign w:val="bottom"/>
          </w:tcPr>
          <w:p w14:paraId="392C9104" w14:textId="77777777" w:rsidR="00980E5F" w:rsidRDefault="00980E5F">
            <w:pPr>
              <w:rPr>
                <w:rFonts w:ascii="宋体"/>
              </w:rPr>
            </w:pPr>
          </w:p>
        </w:tc>
        <w:tc>
          <w:tcPr>
            <w:tcW w:w="19" w:type="pct"/>
            <w:shd w:val="clear" w:color="auto" w:fill="auto"/>
            <w:vAlign w:val="bottom"/>
          </w:tcPr>
          <w:p w14:paraId="392C9105" w14:textId="77777777" w:rsidR="00980E5F" w:rsidRDefault="00980E5F">
            <w:pPr>
              <w:rPr>
                <w:rFonts w:ascii="宋体"/>
              </w:rPr>
            </w:pPr>
          </w:p>
        </w:tc>
        <w:tc>
          <w:tcPr>
            <w:tcW w:w="5" w:type="pct"/>
            <w:shd w:val="clear" w:color="auto" w:fill="auto"/>
            <w:vAlign w:val="bottom"/>
          </w:tcPr>
          <w:p w14:paraId="392C9106" w14:textId="77777777" w:rsidR="00980E5F" w:rsidRDefault="00980E5F">
            <w:pPr>
              <w:rPr>
                <w:rFonts w:ascii="宋体"/>
              </w:rPr>
            </w:pPr>
          </w:p>
        </w:tc>
        <w:tc>
          <w:tcPr>
            <w:tcW w:w="50" w:type="pct"/>
            <w:shd w:val="clear" w:color="auto" w:fill="auto"/>
            <w:vAlign w:val="bottom"/>
          </w:tcPr>
          <w:p w14:paraId="392C9107" w14:textId="77777777" w:rsidR="00980E5F" w:rsidRDefault="00980E5F">
            <w:pPr>
              <w:rPr>
                <w:rFonts w:ascii="宋体"/>
              </w:rPr>
            </w:pPr>
          </w:p>
        </w:tc>
        <w:tc>
          <w:tcPr>
            <w:tcW w:w="391" w:type="pct"/>
            <w:shd w:val="clear" w:color="auto" w:fill="auto"/>
            <w:vAlign w:val="bottom"/>
          </w:tcPr>
          <w:p w14:paraId="392C9108" w14:textId="77777777" w:rsidR="00980E5F" w:rsidRDefault="00980E5F">
            <w:pPr>
              <w:rPr>
                <w:rFonts w:ascii="宋体"/>
              </w:rPr>
            </w:pPr>
          </w:p>
        </w:tc>
        <w:tc>
          <w:tcPr>
            <w:tcW w:w="5" w:type="pct"/>
            <w:shd w:val="clear" w:color="auto" w:fill="auto"/>
            <w:vAlign w:val="bottom"/>
          </w:tcPr>
          <w:p w14:paraId="392C9109" w14:textId="77777777" w:rsidR="00980E5F" w:rsidRDefault="00980E5F">
            <w:pPr>
              <w:rPr>
                <w:rFonts w:ascii="宋体"/>
              </w:rPr>
            </w:pPr>
          </w:p>
        </w:tc>
      </w:tr>
      <w:tr w:rsidR="00980E5F" w14:paraId="392C9120" w14:textId="77777777">
        <w:tc>
          <w:tcPr>
            <w:tcW w:w="0" w:type="auto"/>
            <w:gridSpan w:val="3"/>
            <w:shd w:val="clear" w:color="auto" w:fill="auto"/>
            <w:tcMar>
              <w:top w:w="40" w:type="dxa"/>
              <w:left w:w="20" w:type="dxa"/>
              <w:bottom w:w="40" w:type="dxa"/>
              <w:right w:w="20" w:type="dxa"/>
            </w:tcMar>
            <w:vAlign w:val="bottom"/>
          </w:tcPr>
          <w:p w14:paraId="392C910B" w14:textId="77777777" w:rsidR="00980E5F" w:rsidRDefault="00483613">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392C910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0D" w14:textId="77777777" w:rsidR="00980E5F" w:rsidRDefault="00483613">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392C910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0F" w14:textId="77777777" w:rsidR="00980E5F" w:rsidRDefault="00483613">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392C911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1" w14:textId="77777777" w:rsidR="00980E5F" w:rsidRDefault="00483613">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392C9112"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3" w14:textId="77777777" w:rsidR="00980E5F" w:rsidRDefault="00483613">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392C911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5" w14:textId="77777777" w:rsidR="00980E5F" w:rsidRDefault="00483613">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392C911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7" w14:textId="77777777" w:rsidR="00980E5F" w:rsidRDefault="00483613">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392C911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9" w14:textId="77777777" w:rsidR="00980E5F" w:rsidRDefault="00483613">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392C911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B" w14:textId="77777777" w:rsidR="00980E5F" w:rsidRDefault="00483613">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392C911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D" w14:textId="77777777" w:rsidR="00980E5F" w:rsidRDefault="00483613">
            <w:pPr>
              <w:jc w:val="center"/>
              <w:textAlignment w:val="bottom"/>
            </w:pPr>
            <w:r>
              <w:rPr>
                <w:rFonts w:ascii="Arial" w:eastAsia="宋体" w:hAnsi="Arial" w:cs="Arial"/>
                <w:b/>
                <w:bCs/>
                <w:color w:val="000000"/>
                <w:sz w:val="12"/>
                <w:szCs w:val="12"/>
              </w:rPr>
              <w:t>Carrying Value as of June 30, 2022</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392C911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11F" w14:textId="77777777" w:rsidR="00980E5F" w:rsidRDefault="00483613">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980E5F" w14:paraId="392C9136" w14:textId="77777777">
        <w:trPr>
          <w:hidden/>
        </w:trPr>
        <w:tc>
          <w:tcPr>
            <w:tcW w:w="0" w:type="auto"/>
            <w:gridSpan w:val="3"/>
            <w:shd w:val="clear" w:color="auto" w:fill="auto"/>
            <w:vAlign w:val="bottom"/>
          </w:tcPr>
          <w:p w14:paraId="392C9121" w14:textId="77777777" w:rsidR="00980E5F" w:rsidRDefault="00980E5F">
            <w:pPr>
              <w:rPr>
                <w:rFonts w:ascii="宋体"/>
                <w:vanish/>
              </w:rPr>
            </w:pPr>
          </w:p>
        </w:tc>
        <w:tc>
          <w:tcPr>
            <w:tcW w:w="0" w:type="auto"/>
            <w:gridSpan w:val="3"/>
            <w:shd w:val="clear" w:color="auto" w:fill="auto"/>
            <w:vAlign w:val="bottom"/>
          </w:tcPr>
          <w:p w14:paraId="392C9122" w14:textId="77777777" w:rsidR="00980E5F" w:rsidRDefault="00980E5F">
            <w:pPr>
              <w:rPr>
                <w:rFonts w:ascii="宋体"/>
                <w:vanish/>
              </w:rPr>
            </w:pPr>
          </w:p>
        </w:tc>
        <w:tc>
          <w:tcPr>
            <w:tcW w:w="0" w:type="auto"/>
            <w:gridSpan w:val="3"/>
            <w:shd w:val="clear" w:color="auto" w:fill="auto"/>
            <w:vAlign w:val="bottom"/>
          </w:tcPr>
          <w:p w14:paraId="392C9123" w14:textId="77777777" w:rsidR="00980E5F" w:rsidRDefault="00980E5F">
            <w:pPr>
              <w:rPr>
                <w:rFonts w:ascii="宋体"/>
                <w:vanish/>
              </w:rPr>
            </w:pPr>
          </w:p>
        </w:tc>
        <w:tc>
          <w:tcPr>
            <w:tcW w:w="0" w:type="auto"/>
            <w:gridSpan w:val="3"/>
            <w:shd w:val="clear" w:color="auto" w:fill="auto"/>
            <w:vAlign w:val="bottom"/>
          </w:tcPr>
          <w:p w14:paraId="392C9124" w14:textId="77777777" w:rsidR="00980E5F" w:rsidRDefault="00980E5F">
            <w:pPr>
              <w:rPr>
                <w:rFonts w:ascii="宋体"/>
                <w:vanish/>
              </w:rPr>
            </w:pPr>
          </w:p>
        </w:tc>
        <w:tc>
          <w:tcPr>
            <w:tcW w:w="0" w:type="auto"/>
            <w:gridSpan w:val="3"/>
            <w:shd w:val="clear" w:color="auto" w:fill="auto"/>
            <w:vAlign w:val="bottom"/>
          </w:tcPr>
          <w:p w14:paraId="392C9125" w14:textId="77777777" w:rsidR="00980E5F" w:rsidRDefault="00980E5F">
            <w:pPr>
              <w:rPr>
                <w:rFonts w:ascii="宋体"/>
                <w:vanish/>
              </w:rPr>
            </w:pPr>
          </w:p>
        </w:tc>
        <w:tc>
          <w:tcPr>
            <w:tcW w:w="0" w:type="auto"/>
            <w:gridSpan w:val="3"/>
            <w:shd w:val="clear" w:color="auto" w:fill="auto"/>
            <w:vAlign w:val="bottom"/>
          </w:tcPr>
          <w:p w14:paraId="392C9126" w14:textId="77777777" w:rsidR="00980E5F" w:rsidRDefault="00980E5F">
            <w:pPr>
              <w:rPr>
                <w:rFonts w:ascii="宋体"/>
                <w:vanish/>
              </w:rPr>
            </w:pPr>
          </w:p>
        </w:tc>
        <w:tc>
          <w:tcPr>
            <w:tcW w:w="0" w:type="auto"/>
            <w:gridSpan w:val="3"/>
            <w:shd w:val="clear" w:color="auto" w:fill="auto"/>
            <w:vAlign w:val="bottom"/>
          </w:tcPr>
          <w:p w14:paraId="392C9127" w14:textId="77777777" w:rsidR="00980E5F" w:rsidRDefault="00980E5F">
            <w:pPr>
              <w:rPr>
                <w:rFonts w:ascii="宋体"/>
                <w:vanish/>
              </w:rPr>
            </w:pPr>
          </w:p>
        </w:tc>
        <w:tc>
          <w:tcPr>
            <w:tcW w:w="0" w:type="auto"/>
            <w:gridSpan w:val="3"/>
            <w:shd w:val="clear" w:color="auto" w:fill="auto"/>
            <w:vAlign w:val="bottom"/>
          </w:tcPr>
          <w:p w14:paraId="392C9128" w14:textId="77777777" w:rsidR="00980E5F" w:rsidRDefault="00980E5F">
            <w:pPr>
              <w:rPr>
                <w:rFonts w:ascii="宋体"/>
                <w:vanish/>
              </w:rPr>
            </w:pPr>
          </w:p>
        </w:tc>
        <w:tc>
          <w:tcPr>
            <w:tcW w:w="0" w:type="auto"/>
            <w:gridSpan w:val="3"/>
            <w:shd w:val="clear" w:color="auto" w:fill="auto"/>
            <w:vAlign w:val="bottom"/>
          </w:tcPr>
          <w:p w14:paraId="392C9129" w14:textId="77777777" w:rsidR="00980E5F" w:rsidRDefault="00980E5F">
            <w:pPr>
              <w:rPr>
                <w:rFonts w:ascii="宋体"/>
                <w:vanish/>
              </w:rPr>
            </w:pPr>
          </w:p>
        </w:tc>
        <w:tc>
          <w:tcPr>
            <w:tcW w:w="0" w:type="auto"/>
            <w:gridSpan w:val="3"/>
            <w:shd w:val="clear" w:color="auto" w:fill="auto"/>
            <w:vAlign w:val="bottom"/>
          </w:tcPr>
          <w:p w14:paraId="392C912A" w14:textId="77777777" w:rsidR="00980E5F" w:rsidRDefault="00980E5F">
            <w:pPr>
              <w:rPr>
                <w:rFonts w:ascii="宋体"/>
                <w:vanish/>
              </w:rPr>
            </w:pPr>
          </w:p>
        </w:tc>
        <w:tc>
          <w:tcPr>
            <w:tcW w:w="0" w:type="auto"/>
            <w:gridSpan w:val="3"/>
            <w:shd w:val="clear" w:color="auto" w:fill="auto"/>
            <w:vAlign w:val="bottom"/>
          </w:tcPr>
          <w:p w14:paraId="392C912B" w14:textId="77777777" w:rsidR="00980E5F" w:rsidRDefault="00980E5F">
            <w:pPr>
              <w:rPr>
                <w:rFonts w:ascii="宋体"/>
                <w:vanish/>
              </w:rPr>
            </w:pPr>
          </w:p>
        </w:tc>
        <w:tc>
          <w:tcPr>
            <w:tcW w:w="0" w:type="auto"/>
            <w:gridSpan w:val="3"/>
            <w:shd w:val="clear" w:color="auto" w:fill="auto"/>
            <w:vAlign w:val="bottom"/>
          </w:tcPr>
          <w:p w14:paraId="392C912C" w14:textId="77777777" w:rsidR="00980E5F" w:rsidRDefault="00980E5F">
            <w:pPr>
              <w:rPr>
                <w:rFonts w:ascii="宋体"/>
                <w:vanish/>
              </w:rPr>
            </w:pPr>
          </w:p>
        </w:tc>
        <w:tc>
          <w:tcPr>
            <w:tcW w:w="0" w:type="auto"/>
            <w:gridSpan w:val="3"/>
            <w:shd w:val="clear" w:color="auto" w:fill="auto"/>
            <w:vAlign w:val="bottom"/>
          </w:tcPr>
          <w:p w14:paraId="392C912D" w14:textId="77777777" w:rsidR="00980E5F" w:rsidRDefault="00980E5F">
            <w:pPr>
              <w:rPr>
                <w:rFonts w:ascii="宋体"/>
                <w:vanish/>
              </w:rPr>
            </w:pPr>
          </w:p>
        </w:tc>
        <w:tc>
          <w:tcPr>
            <w:tcW w:w="0" w:type="auto"/>
            <w:gridSpan w:val="3"/>
            <w:shd w:val="clear" w:color="auto" w:fill="auto"/>
            <w:vAlign w:val="bottom"/>
          </w:tcPr>
          <w:p w14:paraId="392C912E" w14:textId="77777777" w:rsidR="00980E5F" w:rsidRDefault="00980E5F">
            <w:pPr>
              <w:rPr>
                <w:rFonts w:ascii="宋体"/>
                <w:vanish/>
              </w:rPr>
            </w:pPr>
          </w:p>
        </w:tc>
        <w:tc>
          <w:tcPr>
            <w:tcW w:w="0" w:type="auto"/>
            <w:gridSpan w:val="3"/>
            <w:shd w:val="clear" w:color="auto" w:fill="auto"/>
            <w:vAlign w:val="bottom"/>
          </w:tcPr>
          <w:p w14:paraId="392C912F" w14:textId="77777777" w:rsidR="00980E5F" w:rsidRDefault="00980E5F">
            <w:pPr>
              <w:rPr>
                <w:rFonts w:ascii="宋体"/>
                <w:vanish/>
              </w:rPr>
            </w:pPr>
          </w:p>
        </w:tc>
        <w:tc>
          <w:tcPr>
            <w:tcW w:w="0" w:type="auto"/>
            <w:gridSpan w:val="3"/>
            <w:shd w:val="clear" w:color="auto" w:fill="auto"/>
            <w:vAlign w:val="bottom"/>
          </w:tcPr>
          <w:p w14:paraId="392C9130" w14:textId="77777777" w:rsidR="00980E5F" w:rsidRDefault="00980E5F">
            <w:pPr>
              <w:rPr>
                <w:rFonts w:ascii="宋体"/>
                <w:vanish/>
              </w:rPr>
            </w:pPr>
          </w:p>
        </w:tc>
        <w:tc>
          <w:tcPr>
            <w:tcW w:w="0" w:type="auto"/>
            <w:gridSpan w:val="3"/>
            <w:shd w:val="clear" w:color="auto" w:fill="auto"/>
            <w:vAlign w:val="bottom"/>
          </w:tcPr>
          <w:p w14:paraId="392C9131" w14:textId="77777777" w:rsidR="00980E5F" w:rsidRDefault="00980E5F">
            <w:pPr>
              <w:rPr>
                <w:rFonts w:ascii="宋体"/>
                <w:vanish/>
              </w:rPr>
            </w:pPr>
          </w:p>
        </w:tc>
        <w:tc>
          <w:tcPr>
            <w:tcW w:w="0" w:type="auto"/>
            <w:gridSpan w:val="3"/>
            <w:shd w:val="clear" w:color="auto" w:fill="auto"/>
            <w:vAlign w:val="bottom"/>
          </w:tcPr>
          <w:p w14:paraId="392C9132" w14:textId="77777777" w:rsidR="00980E5F" w:rsidRDefault="00980E5F">
            <w:pPr>
              <w:rPr>
                <w:rFonts w:ascii="宋体"/>
                <w:vanish/>
              </w:rPr>
            </w:pPr>
          </w:p>
        </w:tc>
        <w:tc>
          <w:tcPr>
            <w:tcW w:w="0" w:type="auto"/>
            <w:gridSpan w:val="3"/>
            <w:shd w:val="clear" w:color="auto" w:fill="auto"/>
            <w:vAlign w:val="bottom"/>
          </w:tcPr>
          <w:p w14:paraId="392C9133" w14:textId="77777777" w:rsidR="00980E5F" w:rsidRDefault="00980E5F">
            <w:pPr>
              <w:rPr>
                <w:rFonts w:ascii="宋体"/>
                <w:vanish/>
              </w:rPr>
            </w:pPr>
          </w:p>
        </w:tc>
        <w:tc>
          <w:tcPr>
            <w:tcW w:w="0" w:type="auto"/>
            <w:gridSpan w:val="3"/>
            <w:shd w:val="clear" w:color="auto" w:fill="auto"/>
            <w:vAlign w:val="bottom"/>
          </w:tcPr>
          <w:p w14:paraId="392C9134" w14:textId="77777777" w:rsidR="00980E5F" w:rsidRDefault="00980E5F">
            <w:pPr>
              <w:rPr>
                <w:rFonts w:ascii="宋体"/>
                <w:vanish/>
              </w:rPr>
            </w:pPr>
          </w:p>
        </w:tc>
        <w:tc>
          <w:tcPr>
            <w:tcW w:w="0" w:type="auto"/>
            <w:gridSpan w:val="3"/>
            <w:shd w:val="clear" w:color="auto" w:fill="auto"/>
            <w:vAlign w:val="bottom"/>
          </w:tcPr>
          <w:p w14:paraId="392C9135" w14:textId="77777777" w:rsidR="00980E5F" w:rsidRDefault="00980E5F">
            <w:pPr>
              <w:rPr>
                <w:rFonts w:ascii="宋体"/>
                <w:vanish/>
              </w:rPr>
            </w:pPr>
          </w:p>
        </w:tc>
      </w:tr>
      <w:tr w:rsidR="00980E5F" w14:paraId="392C915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37" w14:textId="77777777" w:rsidR="00980E5F" w:rsidRDefault="00483613">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392C9138"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39" w14:textId="77777777" w:rsidR="00980E5F" w:rsidRDefault="00483613">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392C913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92C913B" w14:textId="77777777" w:rsidR="00980E5F" w:rsidRDefault="00483613">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91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3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913E"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913F" w14:textId="77777777" w:rsidR="00980E5F" w:rsidRDefault="00483613">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91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41"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42" w14:textId="77777777" w:rsidR="00980E5F" w:rsidRDefault="00483613">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392C914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9144"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9145" w14:textId="77777777" w:rsidR="00980E5F" w:rsidRDefault="00483613">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91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4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9148"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9149" w14:textId="77777777" w:rsidR="00980E5F" w:rsidRDefault="00483613">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91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4B"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4C" w14:textId="77777777" w:rsidR="00980E5F" w:rsidRDefault="00483613">
            <w:pPr>
              <w:textAlignment w:val="center"/>
            </w:pPr>
            <w:r>
              <w:rPr>
                <w:rFonts w:ascii="Arial" w:eastAsia="宋体" w:hAnsi="Arial" w:cs="Arial"/>
                <w:color w:val="000000"/>
                <w:sz w:val="12"/>
                <w:szCs w:val="12"/>
              </w:rPr>
              <w:t xml:space="preserve">5.9% to but excluding </w:t>
            </w:r>
            <w:r>
              <w:rPr>
                <w:rFonts w:ascii="Arial" w:eastAsia="宋体" w:hAnsi="Arial" w:cs="Arial"/>
                <w:color w:val="000000"/>
                <w:sz w:val="12"/>
                <w:szCs w:val="12"/>
              </w:rPr>
              <w:t>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392C914D"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4E" w14:textId="77777777" w:rsidR="00980E5F" w:rsidRDefault="00483613">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392C914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92C9150" w14:textId="77777777" w:rsidR="00980E5F" w:rsidRDefault="00483613">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92C9151" w14:textId="77777777" w:rsidR="00980E5F" w:rsidRDefault="00483613">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92C91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53" w14:textId="77777777" w:rsidR="00980E5F" w:rsidRDefault="00980E5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92C9154" w14:textId="77777777" w:rsidR="00980E5F" w:rsidRDefault="00483613">
            <w:pPr>
              <w:textAlignment w:val="center"/>
            </w:pPr>
            <w:r>
              <w:rPr>
                <w:rFonts w:ascii="Arial" w:eastAsia="宋体" w:hAnsi="Arial" w:cs="Arial"/>
                <w:color w:val="000000"/>
                <w:sz w:val="12"/>
                <w:szCs w:val="12"/>
              </w:rPr>
              <w:t>March 15, 2024</w:t>
            </w:r>
          </w:p>
        </w:tc>
      </w:tr>
      <w:tr w:rsidR="00980E5F" w14:paraId="392C9170" w14:textId="77777777">
        <w:tc>
          <w:tcPr>
            <w:tcW w:w="0" w:type="auto"/>
            <w:gridSpan w:val="3"/>
            <w:shd w:val="clear" w:color="auto" w:fill="FFFFFF"/>
            <w:tcMar>
              <w:top w:w="40" w:type="dxa"/>
              <w:left w:w="20" w:type="dxa"/>
              <w:bottom w:w="40" w:type="dxa"/>
              <w:right w:w="20" w:type="dxa"/>
            </w:tcMar>
            <w:vAlign w:val="center"/>
          </w:tcPr>
          <w:p w14:paraId="392C9156" w14:textId="77777777" w:rsidR="00980E5F" w:rsidRDefault="00483613">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392C9157"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58" w14:textId="77777777" w:rsidR="00980E5F" w:rsidRDefault="00483613">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392C915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5A" w14:textId="77777777" w:rsidR="00980E5F" w:rsidRDefault="00483613">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392C91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5D" w14:textId="77777777" w:rsidR="00980E5F" w:rsidRDefault="00483613">
            <w:pPr>
              <w:jc w:val="right"/>
              <w:textAlignment w:val="center"/>
            </w:pPr>
            <w:r>
              <w:rPr>
                <w:rFonts w:ascii="Arial" w:eastAsia="宋体" w:hAnsi="Arial" w:cs="Arial"/>
                <w:color w:val="000000"/>
                <w:sz w:val="12"/>
                <w:szCs w:val="12"/>
              </w:rPr>
              <w:t>250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center"/>
          </w:tcPr>
          <w:p w14:paraId="392C91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5F"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60" w14:textId="77777777" w:rsidR="00980E5F" w:rsidRDefault="00483613">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392C91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62"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92C91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65" w14:textId="77777777" w:rsidR="00980E5F" w:rsidRDefault="00483613">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92C91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67"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68" w14:textId="77777777" w:rsidR="00980E5F" w:rsidRDefault="00483613">
            <w:pPr>
              <w:textAlignment w:val="center"/>
            </w:pPr>
            <w:r>
              <w:rPr>
                <w:rFonts w:ascii="Arial" w:eastAsia="宋体" w:hAnsi="Arial" w:cs="Arial"/>
                <w:color w:val="000000"/>
                <w:sz w:val="12"/>
                <w:szCs w:val="12"/>
              </w:rPr>
              <w:t>5.25% to but excluding September 15, 2020, then a floating rate equal to the three-month LIBOR plus 3.597%, or 5.426% effective June 15, 2022</w:t>
            </w:r>
          </w:p>
        </w:tc>
        <w:tc>
          <w:tcPr>
            <w:tcW w:w="0" w:type="auto"/>
            <w:gridSpan w:val="3"/>
            <w:shd w:val="clear" w:color="auto" w:fill="FFFFFF"/>
            <w:tcMar>
              <w:top w:w="0" w:type="dxa"/>
              <w:left w:w="20" w:type="dxa"/>
              <w:bottom w:w="0" w:type="dxa"/>
              <w:right w:w="20" w:type="dxa"/>
            </w:tcMar>
            <w:vAlign w:val="bottom"/>
          </w:tcPr>
          <w:p w14:paraId="392C9169"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6A" w14:textId="77777777" w:rsidR="00980E5F" w:rsidRDefault="00483613">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392C91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6C" w14:textId="77777777" w:rsidR="00980E5F" w:rsidRDefault="00483613">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392C91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6E"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6F" w14:textId="77777777" w:rsidR="00980E5F" w:rsidRDefault="00483613">
            <w:pPr>
              <w:textAlignment w:val="center"/>
            </w:pPr>
            <w:r>
              <w:rPr>
                <w:rFonts w:ascii="Arial" w:eastAsia="宋体" w:hAnsi="Arial" w:cs="Arial"/>
                <w:color w:val="000000"/>
                <w:sz w:val="12"/>
                <w:szCs w:val="12"/>
              </w:rPr>
              <w:t>September 15, 2020</w:t>
            </w:r>
          </w:p>
        </w:tc>
      </w:tr>
      <w:tr w:rsidR="00980E5F" w14:paraId="392C918B" w14:textId="77777777">
        <w:tc>
          <w:tcPr>
            <w:tcW w:w="0" w:type="auto"/>
            <w:gridSpan w:val="3"/>
            <w:shd w:val="clear" w:color="auto" w:fill="CCEEFF"/>
            <w:tcMar>
              <w:top w:w="40" w:type="dxa"/>
              <w:left w:w="20" w:type="dxa"/>
              <w:bottom w:w="40" w:type="dxa"/>
              <w:right w:w="20" w:type="dxa"/>
            </w:tcMar>
            <w:vAlign w:val="center"/>
          </w:tcPr>
          <w:p w14:paraId="392C9171" w14:textId="77777777" w:rsidR="00980E5F" w:rsidRDefault="00483613">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392C9172"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9173" w14:textId="77777777" w:rsidR="00980E5F" w:rsidRDefault="00483613">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392C917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9175" w14:textId="77777777" w:rsidR="00980E5F" w:rsidRDefault="00483613">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392C917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7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9178" w14:textId="77777777" w:rsidR="00980E5F" w:rsidRDefault="00483613">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392C917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7A"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917B" w14:textId="77777777" w:rsidR="00980E5F" w:rsidRDefault="00483613">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392C917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917D"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392C91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7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9180" w14:textId="77777777" w:rsidR="00980E5F" w:rsidRDefault="00483613">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392C91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82"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9183" w14:textId="77777777" w:rsidR="00980E5F" w:rsidRDefault="00483613">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392C9184"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9185" w14:textId="77777777" w:rsidR="00980E5F" w:rsidRDefault="00483613">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392C91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center"/>
          </w:tcPr>
          <w:p w14:paraId="392C9187" w14:textId="77777777" w:rsidR="00980E5F" w:rsidRDefault="00483613">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392C91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189"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center"/>
          </w:tcPr>
          <w:p w14:paraId="392C918A" w14:textId="77777777" w:rsidR="00980E5F" w:rsidRDefault="00483613">
            <w:pPr>
              <w:textAlignment w:val="center"/>
            </w:pPr>
            <w:r>
              <w:rPr>
                <w:rFonts w:ascii="Arial" w:eastAsia="宋体" w:hAnsi="Arial" w:cs="Arial"/>
                <w:color w:val="000000"/>
                <w:sz w:val="12"/>
                <w:szCs w:val="12"/>
              </w:rPr>
              <w:t>March 15, 2026</w:t>
            </w:r>
          </w:p>
        </w:tc>
      </w:tr>
      <w:tr w:rsidR="00980E5F" w14:paraId="392C91A6" w14:textId="77777777">
        <w:tc>
          <w:tcPr>
            <w:tcW w:w="0" w:type="auto"/>
            <w:gridSpan w:val="3"/>
            <w:shd w:val="clear" w:color="auto" w:fill="FFFFFF"/>
            <w:tcMar>
              <w:top w:w="40" w:type="dxa"/>
              <w:left w:w="20" w:type="dxa"/>
              <w:bottom w:w="40" w:type="dxa"/>
              <w:right w:w="20" w:type="dxa"/>
            </w:tcMar>
            <w:vAlign w:val="center"/>
          </w:tcPr>
          <w:p w14:paraId="392C918C" w14:textId="77777777" w:rsidR="00980E5F" w:rsidRDefault="00483613">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392C918D"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8E" w14:textId="77777777" w:rsidR="00980E5F" w:rsidRDefault="00483613">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392C918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90" w14:textId="77777777" w:rsidR="00980E5F" w:rsidRDefault="00483613">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392C91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9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93" w14:textId="77777777" w:rsidR="00980E5F" w:rsidRDefault="00483613">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392C91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95"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96" w14:textId="77777777" w:rsidR="00980E5F" w:rsidRDefault="00483613">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392C919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98" w14:textId="77777777" w:rsidR="00980E5F" w:rsidRDefault="00483613">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392C919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9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9B" w14:textId="77777777" w:rsidR="00980E5F" w:rsidRDefault="00483613">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392C91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9D"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9E" w14:textId="77777777" w:rsidR="00980E5F" w:rsidRDefault="00483613">
            <w:pPr>
              <w:textAlignment w:val="center"/>
            </w:pPr>
            <w:r>
              <w:rPr>
                <w:rFonts w:ascii="Arial" w:eastAsia="宋体" w:hAnsi="Arial" w:cs="Arial"/>
                <w:color w:val="000000"/>
                <w:sz w:val="12"/>
                <w:szCs w:val="12"/>
              </w:rPr>
              <w:t xml:space="preserve">5.625% to but excluding December 15, 2023, then a floating rate equal to </w:t>
            </w:r>
            <w:r>
              <w:rPr>
                <w:rFonts w:ascii="Arial" w:eastAsia="宋体" w:hAnsi="Arial" w:cs="Arial"/>
                <w:color w:val="000000"/>
                <w:sz w:val="12"/>
                <w:szCs w:val="12"/>
              </w:rPr>
              <w:t>the three-month LIBOR plus 2.539%</w:t>
            </w:r>
          </w:p>
        </w:tc>
        <w:tc>
          <w:tcPr>
            <w:tcW w:w="0" w:type="auto"/>
            <w:gridSpan w:val="3"/>
            <w:shd w:val="clear" w:color="auto" w:fill="FFFFFF"/>
            <w:tcMar>
              <w:top w:w="0" w:type="dxa"/>
              <w:left w:w="20" w:type="dxa"/>
              <w:bottom w:w="0" w:type="dxa"/>
              <w:right w:w="20" w:type="dxa"/>
            </w:tcMar>
            <w:vAlign w:val="bottom"/>
          </w:tcPr>
          <w:p w14:paraId="392C919F"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A0" w14:textId="77777777" w:rsidR="00980E5F" w:rsidRDefault="00483613">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392C91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center"/>
          </w:tcPr>
          <w:p w14:paraId="392C91A2" w14:textId="77777777" w:rsidR="00980E5F" w:rsidRDefault="00483613">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392C91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1A4" w14:textId="77777777" w:rsidR="00980E5F" w:rsidRDefault="00980E5F">
            <w:pPr>
              <w:rPr>
                <w:rFonts w:ascii="宋体"/>
              </w:rPr>
            </w:pPr>
          </w:p>
        </w:tc>
        <w:tc>
          <w:tcPr>
            <w:tcW w:w="0" w:type="auto"/>
            <w:gridSpan w:val="3"/>
            <w:shd w:val="clear" w:color="auto" w:fill="FFFFFF"/>
            <w:tcMar>
              <w:top w:w="40" w:type="dxa"/>
              <w:left w:w="20" w:type="dxa"/>
              <w:bottom w:w="40" w:type="dxa"/>
              <w:right w:w="20" w:type="dxa"/>
            </w:tcMar>
            <w:vAlign w:val="center"/>
          </w:tcPr>
          <w:p w14:paraId="392C91A5" w14:textId="77777777" w:rsidR="00980E5F" w:rsidRDefault="00483613">
            <w:pPr>
              <w:textAlignment w:val="center"/>
            </w:pPr>
            <w:r>
              <w:rPr>
                <w:rFonts w:ascii="Arial" w:eastAsia="宋体" w:hAnsi="Arial" w:cs="Arial"/>
                <w:color w:val="000000"/>
                <w:sz w:val="12"/>
                <w:szCs w:val="12"/>
              </w:rPr>
              <w:t>December 15, 2023</w:t>
            </w:r>
          </w:p>
        </w:tc>
      </w:tr>
    </w:tbl>
    <w:p w14:paraId="392C91A7" w14:textId="77777777" w:rsidR="00980E5F" w:rsidRDefault="00980E5F">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980E5F" w14:paraId="392C91B4" w14:textId="77777777">
        <w:trPr>
          <w:jc w:val="center"/>
        </w:trPr>
        <w:tc>
          <w:tcPr>
            <w:tcW w:w="50" w:type="pct"/>
            <w:shd w:val="clear" w:color="auto" w:fill="auto"/>
            <w:vAlign w:val="bottom"/>
          </w:tcPr>
          <w:p w14:paraId="392C91A8" w14:textId="77777777" w:rsidR="00980E5F" w:rsidRDefault="00980E5F">
            <w:pPr>
              <w:rPr>
                <w:rFonts w:ascii="宋体"/>
              </w:rPr>
            </w:pPr>
          </w:p>
        </w:tc>
        <w:tc>
          <w:tcPr>
            <w:tcW w:w="1349" w:type="pct"/>
            <w:shd w:val="clear" w:color="auto" w:fill="auto"/>
            <w:vAlign w:val="bottom"/>
          </w:tcPr>
          <w:p w14:paraId="392C91A9" w14:textId="77777777" w:rsidR="00980E5F" w:rsidRDefault="00980E5F">
            <w:pPr>
              <w:rPr>
                <w:rFonts w:ascii="宋体"/>
              </w:rPr>
            </w:pPr>
          </w:p>
        </w:tc>
        <w:tc>
          <w:tcPr>
            <w:tcW w:w="5" w:type="pct"/>
            <w:shd w:val="clear" w:color="auto" w:fill="auto"/>
            <w:vAlign w:val="bottom"/>
          </w:tcPr>
          <w:p w14:paraId="392C91AA" w14:textId="77777777" w:rsidR="00980E5F" w:rsidRDefault="00980E5F">
            <w:pPr>
              <w:rPr>
                <w:rFonts w:ascii="宋体"/>
              </w:rPr>
            </w:pPr>
          </w:p>
        </w:tc>
        <w:tc>
          <w:tcPr>
            <w:tcW w:w="50" w:type="pct"/>
            <w:shd w:val="clear" w:color="auto" w:fill="auto"/>
            <w:vAlign w:val="bottom"/>
          </w:tcPr>
          <w:p w14:paraId="392C91AB" w14:textId="77777777" w:rsidR="00980E5F" w:rsidRDefault="00980E5F">
            <w:pPr>
              <w:rPr>
                <w:rFonts w:ascii="宋体"/>
              </w:rPr>
            </w:pPr>
          </w:p>
        </w:tc>
        <w:tc>
          <w:tcPr>
            <w:tcW w:w="915" w:type="pct"/>
            <w:shd w:val="clear" w:color="auto" w:fill="auto"/>
            <w:vAlign w:val="bottom"/>
          </w:tcPr>
          <w:p w14:paraId="392C91AC" w14:textId="77777777" w:rsidR="00980E5F" w:rsidRDefault="00980E5F">
            <w:pPr>
              <w:rPr>
                <w:rFonts w:ascii="宋体"/>
              </w:rPr>
            </w:pPr>
          </w:p>
        </w:tc>
        <w:tc>
          <w:tcPr>
            <w:tcW w:w="5" w:type="pct"/>
            <w:shd w:val="clear" w:color="auto" w:fill="auto"/>
            <w:vAlign w:val="bottom"/>
          </w:tcPr>
          <w:p w14:paraId="392C91AD" w14:textId="77777777" w:rsidR="00980E5F" w:rsidRDefault="00980E5F">
            <w:pPr>
              <w:rPr>
                <w:rFonts w:ascii="宋体"/>
              </w:rPr>
            </w:pPr>
          </w:p>
        </w:tc>
        <w:tc>
          <w:tcPr>
            <w:tcW w:w="50" w:type="pct"/>
            <w:shd w:val="clear" w:color="auto" w:fill="auto"/>
            <w:vAlign w:val="bottom"/>
          </w:tcPr>
          <w:p w14:paraId="392C91AE" w14:textId="77777777" w:rsidR="00980E5F" w:rsidRDefault="00980E5F">
            <w:pPr>
              <w:rPr>
                <w:rFonts w:ascii="宋体"/>
              </w:rPr>
            </w:pPr>
          </w:p>
        </w:tc>
        <w:tc>
          <w:tcPr>
            <w:tcW w:w="915" w:type="pct"/>
            <w:shd w:val="clear" w:color="auto" w:fill="auto"/>
            <w:vAlign w:val="bottom"/>
          </w:tcPr>
          <w:p w14:paraId="392C91AF" w14:textId="77777777" w:rsidR="00980E5F" w:rsidRDefault="00980E5F">
            <w:pPr>
              <w:rPr>
                <w:rFonts w:ascii="宋体"/>
              </w:rPr>
            </w:pPr>
          </w:p>
        </w:tc>
        <w:tc>
          <w:tcPr>
            <w:tcW w:w="5" w:type="pct"/>
            <w:shd w:val="clear" w:color="auto" w:fill="auto"/>
            <w:vAlign w:val="bottom"/>
          </w:tcPr>
          <w:p w14:paraId="392C91B0" w14:textId="77777777" w:rsidR="00980E5F" w:rsidRDefault="00980E5F">
            <w:pPr>
              <w:rPr>
                <w:rFonts w:ascii="宋体"/>
              </w:rPr>
            </w:pPr>
          </w:p>
        </w:tc>
        <w:tc>
          <w:tcPr>
            <w:tcW w:w="50" w:type="pct"/>
            <w:shd w:val="clear" w:color="auto" w:fill="auto"/>
            <w:vAlign w:val="bottom"/>
          </w:tcPr>
          <w:p w14:paraId="392C91B1" w14:textId="77777777" w:rsidR="00980E5F" w:rsidRDefault="00980E5F">
            <w:pPr>
              <w:rPr>
                <w:rFonts w:ascii="宋体"/>
              </w:rPr>
            </w:pPr>
          </w:p>
        </w:tc>
        <w:tc>
          <w:tcPr>
            <w:tcW w:w="1599" w:type="pct"/>
            <w:shd w:val="clear" w:color="auto" w:fill="auto"/>
            <w:vAlign w:val="bottom"/>
          </w:tcPr>
          <w:p w14:paraId="392C91B2" w14:textId="77777777" w:rsidR="00980E5F" w:rsidRDefault="00980E5F">
            <w:pPr>
              <w:rPr>
                <w:rFonts w:ascii="宋体"/>
              </w:rPr>
            </w:pPr>
          </w:p>
        </w:tc>
        <w:tc>
          <w:tcPr>
            <w:tcW w:w="5" w:type="pct"/>
            <w:shd w:val="clear" w:color="auto" w:fill="auto"/>
            <w:vAlign w:val="bottom"/>
          </w:tcPr>
          <w:p w14:paraId="392C91B3" w14:textId="77777777" w:rsidR="00980E5F" w:rsidRDefault="00980E5F">
            <w:pPr>
              <w:rPr>
                <w:rFonts w:ascii="宋体"/>
              </w:rPr>
            </w:pPr>
          </w:p>
        </w:tc>
      </w:tr>
      <w:tr w:rsidR="00980E5F" w14:paraId="392C91B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91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1B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1B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1B8" w14:textId="77777777" w:rsidR="00980E5F" w:rsidRDefault="00980E5F">
            <w:pPr>
              <w:rPr>
                <w:rFonts w:ascii="宋体"/>
              </w:rPr>
            </w:pPr>
          </w:p>
        </w:tc>
      </w:tr>
    </w:tbl>
    <w:p w14:paraId="392C91BA" w14:textId="77777777" w:rsidR="00980E5F" w:rsidRDefault="00483613">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w:t>
      </w:r>
      <w:r>
        <w:rPr>
          <w:rFonts w:ascii="Arial" w:eastAsia="宋体" w:hAnsi="Arial" w:cs="Arial"/>
          <w:color w:val="000000"/>
          <w:sz w:val="12"/>
          <w:szCs w:val="12"/>
        </w:rPr>
        <w:t>option in whole, but not in part, prior to the redemption date upon the occurrence of a regulatory capital treatment event, as defined in the certificate of designation, at a redemption price equal to the liquidation price per share and liquidation price p</w:t>
      </w:r>
      <w:r>
        <w:rPr>
          <w:rFonts w:ascii="Arial" w:eastAsia="宋体" w:hAnsi="Arial" w:cs="Arial"/>
          <w:color w:val="000000"/>
          <w:sz w:val="12"/>
          <w:szCs w:val="12"/>
        </w:rPr>
        <w:t>er depositary share plus any declared and unpaid dividends, without accumulation of any undeclared dividends.</w:t>
      </w:r>
    </w:p>
    <w:p w14:paraId="392C91BB" w14:textId="77777777" w:rsidR="00980E5F" w:rsidRDefault="00483613">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w:t>
      </w:r>
      <w:r>
        <w:rPr>
          <w:rFonts w:ascii="Arial" w:eastAsia="宋体" w:hAnsi="Arial" w:cs="Arial"/>
          <w:color w:val="000000"/>
          <w:sz w:val="12"/>
          <w:szCs w:val="12"/>
        </w:rPr>
        <w:t>, in whole or in part, at the liquidation price per share and liquidation price per depositary share plus any declared and unpaid dividends, without accumulation of any undeclared dividends.</w:t>
      </w:r>
    </w:p>
    <w:p w14:paraId="392C91BC" w14:textId="77777777" w:rsidR="00980E5F" w:rsidRDefault="00483613">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w:t>
      </w:r>
      <w:r>
        <w:rPr>
          <w:rFonts w:ascii="Arial" w:eastAsia="宋体" w:hAnsi="Arial" w:cs="Arial"/>
          <w:color w:val="000000"/>
          <w:sz w:val="12"/>
          <w:szCs w:val="12"/>
        </w:rPr>
        <w:t xml:space="preserve">and on each succeeding dividend payment date. </w:t>
      </w:r>
    </w:p>
    <w:p w14:paraId="392C91BD" w14:textId="77777777" w:rsidR="00980E5F" w:rsidRDefault="00483613">
      <w:pPr>
        <w:ind w:firstLine="450"/>
        <w:jc w:val="right"/>
      </w:pPr>
      <w:r>
        <w:rPr>
          <w:rFonts w:ascii="Arial" w:eastAsia="宋体" w:hAnsi="Arial" w:cs="Arial"/>
          <w:color w:val="000000"/>
          <w:sz w:val="18"/>
          <w:szCs w:val="18"/>
        </w:rPr>
        <w:t>State Street Corporation | 89</w:t>
      </w:r>
    </w:p>
    <w:p w14:paraId="392C91BE" w14:textId="77777777" w:rsidR="00980E5F" w:rsidRDefault="00980E5F">
      <w:pPr>
        <w:ind w:firstLine="450"/>
        <w:jc w:val="center"/>
      </w:pPr>
    </w:p>
    <w:p w14:paraId="392C91BF" w14:textId="77777777" w:rsidR="00980E5F" w:rsidRDefault="00483613">
      <w:r>
        <w:pict w14:anchorId="392CBB27">
          <v:rect id="_x0000_i1113" style="width:415.3pt;height:1.5pt" o:hralign="center" o:hrstd="t" o:hr="t" fillcolor="#a0a0a0" stroked="f"/>
        </w:pict>
      </w:r>
    </w:p>
    <w:p w14:paraId="392C91C0" w14:textId="77777777" w:rsidR="00980E5F" w:rsidRDefault="00483613">
      <w:pPr>
        <w:ind w:firstLine="450"/>
        <w:jc w:val="center"/>
      </w:pPr>
      <w:r>
        <w:rPr>
          <w:rFonts w:ascii="Arial" w:eastAsia="宋体" w:hAnsi="Arial" w:cs="Arial"/>
          <w:b/>
          <w:bCs/>
          <w:color w:val="000000"/>
          <w:sz w:val="20"/>
          <w:szCs w:val="20"/>
        </w:rPr>
        <w:t>STATE STREET CORPORATION</w:t>
      </w:r>
    </w:p>
    <w:p w14:paraId="392C91C1"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1C2" w14:textId="77777777" w:rsidR="00980E5F" w:rsidRDefault="00483613">
      <w:pPr>
        <w:ind w:firstLine="450"/>
        <w:jc w:val="center"/>
      </w:pPr>
      <w:r>
        <w:rPr>
          <w:rFonts w:ascii="Arial" w:eastAsia="宋体" w:hAnsi="Arial" w:cs="Arial"/>
          <w:b/>
          <w:bCs/>
          <w:color w:val="000000"/>
          <w:sz w:val="20"/>
          <w:szCs w:val="20"/>
        </w:rPr>
        <w:t>(UNAUDITED)</w:t>
      </w:r>
    </w:p>
    <w:p w14:paraId="392C91C3" w14:textId="77777777" w:rsidR="00980E5F" w:rsidRDefault="00980E5F">
      <w:pPr>
        <w:spacing w:before="60"/>
        <w:ind w:firstLine="450"/>
        <w:jc w:val="both"/>
      </w:pPr>
    </w:p>
    <w:p w14:paraId="392C91C4" w14:textId="77777777" w:rsidR="00980E5F" w:rsidRDefault="00483613">
      <w:pPr>
        <w:spacing w:before="60"/>
        <w:ind w:firstLine="450"/>
        <w:jc w:val="both"/>
      </w:pPr>
      <w:r>
        <w:rPr>
          <w:rFonts w:ascii="Arial" w:eastAsia="宋体" w:hAnsi="Arial" w:cs="Arial"/>
          <w:color w:val="000000"/>
          <w:sz w:val="20"/>
          <w:szCs w:val="20"/>
        </w:rPr>
        <w:t xml:space="preserve">The following tables present the dividends declared for each of the series of </w:t>
      </w:r>
      <w:r>
        <w:rPr>
          <w:rFonts w:ascii="Arial" w:eastAsia="宋体" w:hAnsi="Arial" w:cs="Arial"/>
          <w:color w:val="000000"/>
          <w:sz w:val="20"/>
          <w:szCs w:val="20"/>
        </w:rPr>
        <w:t>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0"/>
        <w:gridCol w:w="36"/>
        <w:gridCol w:w="36"/>
        <w:gridCol w:w="36"/>
        <w:gridCol w:w="36"/>
        <w:gridCol w:w="105"/>
        <w:gridCol w:w="848"/>
        <w:gridCol w:w="36"/>
        <w:gridCol w:w="36"/>
        <w:gridCol w:w="36"/>
        <w:gridCol w:w="36"/>
        <w:gridCol w:w="105"/>
        <w:gridCol w:w="861"/>
        <w:gridCol w:w="36"/>
        <w:gridCol w:w="36"/>
        <w:gridCol w:w="36"/>
        <w:gridCol w:w="36"/>
        <w:gridCol w:w="105"/>
        <w:gridCol w:w="861"/>
        <w:gridCol w:w="36"/>
      </w:tblGrid>
      <w:tr w:rsidR="00980E5F" w14:paraId="392C91E9" w14:textId="77777777">
        <w:tc>
          <w:tcPr>
            <w:tcW w:w="50" w:type="pct"/>
            <w:shd w:val="clear" w:color="auto" w:fill="auto"/>
            <w:vAlign w:val="bottom"/>
          </w:tcPr>
          <w:p w14:paraId="392C91C5" w14:textId="77777777" w:rsidR="00980E5F" w:rsidRDefault="00980E5F">
            <w:pPr>
              <w:rPr>
                <w:rFonts w:ascii="宋体"/>
              </w:rPr>
            </w:pPr>
          </w:p>
        </w:tc>
        <w:tc>
          <w:tcPr>
            <w:tcW w:w="1031" w:type="pct"/>
            <w:shd w:val="clear" w:color="auto" w:fill="auto"/>
            <w:vAlign w:val="bottom"/>
          </w:tcPr>
          <w:p w14:paraId="392C91C6" w14:textId="77777777" w:rsidR="00980E5F" w:rsidRDefault="00980E5F">
            <w:pPr>
              <w:rPr>
                <w:rFonts w:ascii="宋体"/>
              </w:rPr>
            </w:pPr>
          </w:p>
        </w:tc>
        <w:tc>
          <w:tcPr>
            <w:tcW w:w="5" w:type="pct"/>
            <w:shd w:val="clear" w:color="auto" w:fill="auto"/>
            <w:vAlign w:val="bottom"/>
          </w:tcPr>
          <w:p w14:paraId="392C91C7" w14:textId="77777777" w:rsidR="00980E5F" w:rsidRDefault="00980E5F">
            <w:pPr>
              <w:rPr>
                <w:rFonts w:ascii="宋体"/>
              </w:rPr>
            </w:pPr>
          </w:p>
        </w:tc>
        <w:tc>
          <w:tcPr>
            <w:tcW w:w="50" w:type="pct"/>
            <w:shd w:val="clear" w:color="auto" w:fill="auto"/>
            <w:vAlign w:val="bottom"/>
          </w:tcPr>
          <w:p w14:paraId="392C91C8" w14:textId="77777777" w:rsidR="00980E5F" w:rsidRDefault="00980E5F">
            <w:pPr>
              <w:rPr>
                <w:rFonts w:ascii="宋体"/>
              </w:rPr>
            </w:pPr>
          </w:p>
        </w:tc>
        <w:tc>
          <w:tcPr>
            <w:tcW w:w="561" w:type="pct"/>
            <w:shd w:val="clear" w:color="auto" w:fill="auto"/>
            <w:vAlign w:val="bottom"/>
          </w:tcPr>
          <w:p w14:paraId="392C91C9" w14:textId="77777777" w:rsidR="00980E5F" w:rsidRDefault="00980E5F">
            <w:pPr>
              <w:rPr>
                <w:rFonts w:ascii="宋体"/>
              </w:rPr>
            </w:pPr>
          </w:p>
        </w:tc>
        <w:tc>
          <w:tcPr>
            <w:tcW w:w="5" w:type="pct"/>
            <w:shd w:val="clear" w:color="auto" w:fill="auto"/>
            <w:vAlign w:val="bottom"/>
          </w:tcPr>
          <w:p w14:paraId="392C91CA" w14:textId="77777777" w:rsidR="00980E5F" w:rsidRDefault="00980E5F">
            <w:pPr>
              <w:rPr>
                <w:rFonts w:ascii="宋体"/>
              </w:rPr>
            </w:pPr>
          </w:p>
        </w:tc>
        <w:tc>
          <w:tcPr>
            <w:tcW w:w="5" w:type="pct"/>
            <w:shd w:val="clear" w:color="auto" w:fill="auto"/>
            <w:vAlign w:val="bottom"/>
          </w:tcPr>
          <w:p w14:paraId="392C91CB" w14:textId="77777777" w:rsidR="00980E5F" w:rsidRDefault="00980E5F">
            <w:pPr>
              <w:rPr>
                <w:rFonts w:ascii="宋体"/>
              </w:rPr>
            </w:pPr>
          </w:p>
        </w:tc>
        <w:tc>
          <w:tcPr>
            <w:tcW w:w="26" w:type="pct"/>
            <w:shd w:val="clear" w:color="auto" w:fill="auto"/>
            <w:vAlign w:val="bottom"/>
          </w:tcPr>
          <w:p w14:paraId="392C91CC" w14:textId="77777777" w:rsidR="00980E5F" w:rsidRDefault="00980E5F">
            <w:pPr>
              <w:rPr>
                <w:rFonts w:ascii="宋体"/>
              </w:rPr>
            </w:pPr>
          </w:p>
        </w:tc>
        <w:tc>
          <w:tcPr>
            <w:tcW w:w="5" w:type="pct"/>
            <w:shd w:val="clear" w:color="auto" w:fill="auto"/>
            <w:vAlign w:val="bottom"/>
          </w:tcPr>
          <w:p w14:paraId="392C91CD" w14:textId="77777777" w:rsidR="00980E5F" w:rsidRDefault="00980E5F">
            <w:pPr>
              <w:rPr>
                <w:rFonts w:ascii="宋体"/>
              </w:rPr>
            </w:pPr>
          </w:p>
        </w:tc>
        <w:tc>
          <w:tcPr>
            <w:tcW w:w="50" w:type="pct"/>
            <w:shd w:val="clear" w:color="auto" w:fill="auto"/>
            <w:vAlign w:val="bottom"/>
          </w:tcPr>
          <w:p w14:paraId="392C91CE" w14:textId="77777777" w:rsidR="00980E5F" w:rsidRDefault="00980E5F">
            <w:pPr>
              <w:rPr>
                <w:rFonts w:ascii="宋体"/>
              </w:rPr>
            </w:pPr>
          </w:p>
        </w:tc>
        <w:tc>
          <w:tcPr>
            <w:tcW w:w="569" w:type="pct"/>
            <w:shd w:val="clear" w:color="auto" w:fill="auto"/>
            <w:vAlign w:val="bottom"/>
          </w:tcPr>
          <w:p w14:paraId="392C91CF" w14:textId="77777777" w:rsidR="00980E5F" w:rsidRDefault="00980E5F">
            <w:pPr>
              <w:rPr>
                <w:rFonts w:ascii="宋体"/>
              </w:rPr>
            </w:pPr>
          </w:p>
        </w:tc>
        <w:tc>
          <w:tcPr>
            <w:tcW w:w="5" w:type="pct"/>
            <w:shd w:val="clear" w:color="auto" w:fill="auto"/>
            <w:vAlign w:val="bottom"/>
          </w:tcPr>
          <w:p w14:paraId="392C91D0" w14:textId="77777777" w:rsidR="00980E5F" w:rsidRDefault="00980E5F">
            <w:pPr>
              <w:rPr>
                <w:rFonts w:ascii="宋体"/>
              </w:rPr>
            </w:pPr>
          </w:p>
        </w:tc>
        <w:tc>
          <w:tcPr>
            <w:tcW w:w="5" w:type="pct"/>
            <w:shd w:val="clear" w:color="auto" w:fill="auto"/>
            <w:vAlign w:val="bottom"/>
          </w:tcPr>
          <w:p w14:paraId="392C91D1" w14:textId="77777777" w:rsidR="00980E5F" w:rsidRDefault="00980E5F">
            <w:pPr>
              <w:rPr>
                <w:rFonts w:ascii="宋体"/>
              </w:rPr>
            </w:pPr>
          </w:p>
        </w:tc>
        <w:tc>
          <w:tcPr>
            <w:tcW w:w="26" w:type="pct"/>
            <w:shd w:val="clear" w:color="auto" w:fill="auto"/>
            <w:vAlign w:val="bottom"/>
          </w:tcPr>
          <w:p w14:paraId="392C91D2" w14:textId="77777777" w:rsidR="00980E5F" w:rsidRDefault="00980E5F">
            <w:pPr>
              <w:rPr>
                <w:rFonts w:ascii="宋体"/>
              </w:rPr>
            </w:pPr>
          </w:p>
        </w:tc>
        <w:tc>
          <w:tcPr>
            <w:tcW w:w="5" w:type="pct"/>
            <w:shd w:val="clear" w:color="auto" w:fill="auto"/>
            <w:vAlign w:val="bottom"/>
          </w:tcPr>
          <w:p w14:paraId="392C91D3" w14:textId="77777777" w:rsidR="00980E5F" w:rsidRDefault="00980E5F">
            <w:pPr>
              <w:rPr>
                <w:rFonts w:ascii="宋体"/>
              </w:rPr>
            </w:pPr>
          </w:p>
        </w:tc>
        <w:tc>
          <w:tcPr>
            <w:tcW w:w="50" w:type="pct"/>
            <w:shd w:val="clear" w:color="auto" w:fill="auto"/>
            <w:vAlign w:val="bottom"/>
          </w:tcPr>
          <w:p w14:paraId="392C91D4" w14:textId="77777777" w:rsidR="00980E5F" w:rsidRDefault="00980E5F">
            <w:pPr>
              <w:rPr>
                <w:rFonts w:ascii="宋体"/>
              </w:rPr>
            </w:pPr>
          </w:p>
        </w:tc>
        <w:tc>
          <w:tcPr>
            <w:tcW w:w="569" w:type="pct"/>
            <w:shd w:val="clear" w:color="auto" w:fill="auto"/>
            <w:vAlign w:val="bottom"/>
          </w:tcPr>
          <w:p w14:paraId="392C91D5" w14:textId="77777777" w:rsidR="00980E5F" w:rsidRDefault="00980E5F">
            <w:pPr>
              <w:rPr>
                <w:rFonts w:ascii="宋体"/>
              </w:rPr>
            </w:pPr>
          </w:p>
        </w:tc>
        <w:tc>
          <w:tcPr>
            <w:tcW w:w="5" w:type="pct"/>
            <w:shd w:val="clear" w:color="auto" w:fill="auto"/>
            <w:vAlign w:val="bottom"/>
          </w:tcPr>
          <w:p w14:paraId="392C91D6" w14:textId="77777777" w:rsidR="00980E5F" w:rsidRDefault="00980E5F">
            <w:pPr>
              <w:rPr>
                <w:rFonts w:ascii="宋体"/>
              </w:rPr>
            </w:pPr>
          </w:p>
        </w:tc>
        <w:tc>
          <w:tcPr>
            <w:tcW w:w="5" w:type="pct"/>
            <w:shd w:val="clear" w:color="auto" w:fill="auto"/>
            <w:vAlign w:val="bottom"/>
          </w:tcPr>
          <w:p w14:paraId="392C91D7" w14:textId="77777777" w:rsidR="00980E5F" w:rsidRDefault="00980E5F">
            <w:pPr>
              <w:rPr>
                <w:rFonts w:ascii="宋体"/>
              </w:rPr>
            </w:pPr>
          </w:p>
        </w:tc>
        <w:tc>
          <w:tcPr>
            <w:tcW w:w="26" w:type="pct"/>
            <w:shd w:val="clear" w:color="auto" w:fill="auto"/>
            <w:vAlign w:val="bottom"/>
          </w:tcPr>
          <w:p w14:paraId="392C91D8" w14:textId="77777777" w:rsidR="00980E5F" w:rsidRDefault="00980E5F">
            <w:pPr>
              <w:rPr>
                <w:rFonts w:ascii="宋体"/>
              </w:rPr>
            </w:pPr>
          </w:p>
        </w:tc>
        <w:tc>
          <w:tcPr>
            <w:tcW w:w="5" w:type="pct"/>
            <w:shd w:val="clear" w:color="auto" w:fill="auto"/>
            <w:vAlign w:val="bottom"/>
          </w:tcPr>
          <w:p w14:paraId="392C91D9" w14:textId="77777777" w:rsidR="00980E5F" w:rsidRDefault="00980E5F">
            <w:pPr>
              <w:rPr>
                <w:rFonts w:ascii="宋体"/>
              </w:rPr>
            </w:pPr>
          </w:p>
        </w:tc>
        <w:tc>
          <w:tcPr>
            <w:tcW w:w="50" w:type="pct"/>
            <w:shd w:val="clear" w:color="auto" w:fill="auto"/>
            <w:vAlign w:val="bottom"/>
          </w:tcPr>
          <w:p w14:paraId="392C91DA" w14:textId="77777777" w:rsidR="00980E5F" w:rsidRDefault="00980E5F">
            <w:pPr>
              <w:rPr>
                <w:rFonts w:ascii="宋体"/>
              </w:rPr>
            </w:pPr>
          </w:p>
        </w:tc>
        <w:tc>
          <w:tcPr>
            <w:tcW w:w="561" w:type="pct"/>
            <w:shd w:val="clear" w:color="auto" w:fill="auto"/>
            <w:vAlign w:val="bottom"/>
          </w:tcPr>
          <w:p w14:paraId="392C91DB" w14:textId="77777777" w:rsidR="00980E5F" w:rsidRDefault="00980E5F">
            <w:pPr>
              <w:rPr>
                <w:rFonts w:ascii="宋体"/>
              </w:rPr>
            </w:pPr>
          </w:p>
        </w:tc>
        <w:tc>
          <w:tcPr>
            <w:tcW w:w="5" w:type="pct"/>
            <w:shd w:val="clear" w:color="auto" w:fill="auto"/>
            <w:vAlign w:val="bottom"/>
          </w:tcPr>
          <w:p w14:paraId="392C91DC" w14:textId="77777777" w:rsidR="00980E5F" w:rsidRDefault="00980E5F">
            <w:pPr>
              <w:rPr>
                <w:rFonts w:ascii="宋体"/>
              </w:rPr>
            </w:pPr>
          </w:p>
        </w:tc>
        <w:tc>
          <w:tcPr>
            <w:tcW w:w="5" w:type="pct"/>
            <w:shd w:val="clear" w:color="auto" w:fill="auto"/>
            <w:vAlign w:val="bottom"/>
          </w:tcPr>
          <w:p w14:paraId="392C91DD" w14:textId="77777777" w:rsidR="00980E5F" w:rsidRDefault="00980E5F">
            <w:pPr>
              <w:rPr>
                <w:rFonts w:ascii="宋体"/>
              </w:rPr>
            </w:pPr>
          </w:p>
        </w:tc>
        <w:tc>
          <w:tcPr>
            <w:tcW w:w="26" w:type="pct"/>
            <w:shd w:val="clear" w:color="auto" w:fill="auto"/>
            <w:vAlign w:val="bottom"/>
          </w:tcPr>
          <w:p w14:paraId="392C91DE" w14:textId="77777777" w:rsidR="00980E5F" w:rsidRDefault="00980E5F">
            <w:pPr>
              <w:rPr>
                <w:rFonts w:ascii="宋体"/>
              </w:rPr>
            </w:pPr>
          </w:p>
        </w:tc>
        <w:tc>
          <w:tcPr>
            <w:tcW w:w="5" w:type="pct"/>
            <w:shd w:val="clear" w:color="auto" w:fill="auto"/>
            <w:vAlign w:val="bottom"/>
          </w:tcPr>
          <w:p w14:paraId="392C91DF" w14:textId="77777777" w:rsidR="00980E5F" w:rsidRDefault="00980E5F">
            <w:pPr>
              <w:rPr>
                <w:rFonts w:ascii="宋体"/>
              </w:rPr>
            </w:pPr>
          </w:p>
        </w:tc>
        <w:tc>
          <w:tcPr>
            <w:tcW w:w="50" w:type="pct"/>
            <w:shd w:val="clear" w:color="auto" w:fill="auto"/>
            <w:vAlign w:val="bottom"/>
          </w:tcPr>
          <w:p w14:paraId="392C91E0" w14:textId="77777777" w:rsidR="00980E5F" w:rsidRDefault="00980E5F">
            <w:pPr>
              <w:rPr>
                <w:rFonts w:ascii="宋体"/>
              </w:rPr>
            </w:pPr>
          </w:p>
        </w:tc>
        <w:tc>
          <w:tcPr>
            <w:tcW w:w="569" w:type="pct"/>
            <w:shd w:val="clear" w:color="auto" w:fill="auto"/>
            <w:vAlign w:val="bottom"/>
          </w:tcPr>
          <w:p w14:paraId="392C91E1" w14:textId="77777777" w:rsidR="00980E5F" w:rsidRDefault="00980E5F">
            <w:pPr>
              <w:rPr>
                <w:rFonts w:ascii="宋体"/>
              </w:rPr>
            </w:pPr>
          </w:p>
        </w:tc>
        <w:tc>
          <w:tcPr>
            <w:tcW w:w="5" w:type="pct"/>
            <w:shd w:val="clear" w:color="auto" w:fill="auto"/>
            <w:vAlign w:val="bottom"/>
          </w:tcPr>
          <w:p w14:paraId="392C91E2" w14:textId="77777777" w:rsidR="00980E5F" w:rsidRDefault="00980E5F">
            <w:pPr>
              <w:rPr>
                <w:rFonts w:ascii="宋体"/>
              </w:rPr>
            </w:pPr>
          </w:p>
        </w:tc>
        <w:tc>
          <w:tcPr>
            <w:tcW w:w="5" w:type="pct"/>
            <w:shd w:val="clear" w:color="auto" w:fill="auto"/>
            <w:vAlign w:val="bottom"/>
          </w:tcPr>
          <w:p w14:paraId="392C91E3" w14:textId="77777777" w:rsidR="00980E5F" w:rsidRDefault="00980E5F">
            <w:pPr>
              <w:rPr>
                <w:rFonts w:ascii="宋体"/>
              </w:rPr>
            </w:pPr>
          </w:p>
        </w:tc>
        <w:tc>
          <w:tcPr>
            <w:tcW w:w="26" w:type="pct"/>
            <w:shd w:val="clear" w:color="auto" w:fill="auto"/>
            <w:vAlign w:val="bottom"/>
          </w:tcPr>
          <w:p w14:paraId="392C91E4" w14:textId="77777777" w:rsidR="00980E5F" w:rsidRDefault="00980E5F">
            <w:pPr>
              <w:rPr>
                <w:rFonts w:ascii="宋体"/>
              </w:rPr>
            </w:pPr>
          </w:p>
        </w:tc>
        <w:tc>
          <w:tcPr>
            <w:tcW w:w="5" w:type="pct"/>
            <w:shd w:val="clear" w:color="auto" w:fill="auto"/>
            <w:vAlign w:val="bottom"/>
          </w:tcPr>
          <w:p w14:paraId="392C91E5" w14:textId="77777777" w:rsidR="00980E5F" w:rsidRDefault="00980E5F">
            <w:pPr>
              <w:rPr>
                <w:rFonts w:ascii="宋体"/>
              </w:rPr>
            </w:pPr>
          </w:p>
        </w:tc>
        <w:tc>
          <w:tcPr>
            <w:tcW w:w="50" w:type="pct"/>
            <w:shd w:val="clear" w:color="auto" w:fill="auto"/>
            <w:vAlign w:val="bottom"/>
          </w:tcPr>
          <w:p w14:paraId="392C91E6" w14:textId="77777777" w:rsidR="00980E5F" w:rsidRDefault="00980E5F">
            <w:pPr>
              <w:rPr>
                <w:rFonts w:ascii="宋体"/>
              </w:rPr>
            </w:pPr>
          </w:p>
        </w:tc>
        <w:tc>
          <w:tcPr>
            <w:tcW w:w="569" w:type="pct"/>
            <w:shd w:val="clear" w:color="auto" w:fill="auto"/>
            <w:vAlign w:val="bottom"/>
          </w:tcPr>
          <w:p w14:paraId="392C91E7" w14:textId="77777777" w:rsidR="00980E5F" w:rsidRDefault="00980E5F">
            <w:pPr>
              <w:rPr>
                <w:rFonts w:ascii="宋体"/>
              </w:rPr>
            </w:pPr>
          </w:p>
        </w:tc>
        <w:tc>
          <w:tcPr>
            <w:tcW w:w="5" w:type="pct"/>
            <w:shd w:val="clear" w:color="auto" w:fill="auto"/>
            <w:vAlign w:val="bottom"/>
          </w:tcPr>
          <w:p w14:paraId="392C91E8" w14:textId="77777777" w:rsidR="00980E5F" w:rsidRDefault="00980E5F">
            <w:pPr>
              <w:rPr>
                <w:rFonts w:ascii="宋体"/>
              </w:rPr>
            </w:pPr>
          </w:p>
        </w:tc>
      </w:tr>
      <w:tr w:rsidR="00980E5F" w14:paraId="392C920C" w14:textId="77777777">
        <w:trPr>
          <w:hidden/>
        </w:trPr>
        <w:tc>
          <w:tcPr>
            <w:tcW w:w="0" w:type="auto"/>
            <w:gridSpan w:val="3"/>
            <w:shd w:val="clear" w:color="auto" w:fill="auto"/>
            <w:vAlign w:val="bottom"/>
          </w:tcPr>
          <w:p w14:paraId="392C91EA" w14:textId="77777777" w:rsidR="00980E5F" w:rsidRDefault="00980E5F">
            <w:pPr>
              <w:rPr>
                <w:rFonts w:ascii="宋体"/>
                <w:vanish/>
              </w:rPr>
            </w:pPr>
          </w:p>
        </w:tc>
        <w:tc>
          <w:tcPr>
            <w:tcW w:w="0" w:type="auto"/>
            <w:shd w:val="clear" w:color="auto" w:fill="auto"/>
            <w:vAlign w:val="bottom"/>
          </w:tcPr>
          <w:p w14:paraId="392C91EB" w14:textId="77777777" w:rsidR="00980E5F" w:rsidRDefault="00980E5F">
            <w:pPr>
              <w:rPr>
                <w:rFonts w:ascii="宋体"/>
              </w:rPr>
            </w:pPr>
          </w:p>
        </w:tc>
        <w:tc>
          <w:tcPr>
            <w:tcW w:w="0" w:type="auto"/>
            <w:shd w:val="clear" w:color="auto" w:fill="auto"/>
            <w:vAlign w:val="bottom"/>
          </w:tcPr>
          <w:p w14:paraId="392C91EC" w14:textId="77777777" w:rsidR="00980E5F" w:rsidRDefault="00980E5F">
            <w:pPr>
              <w:rPr>
                <w:rFonts w:ascii="宋体"/>
              </w:rPr>
            </w:pPr>
          </w:p>
        </w:tc>
        <w:tc>
          <w:tcPr>
            <w:tcW w:w="0" w:type="auto"/>
            <w:shd w:val="clear" w:color="auto" w:fill="auto"/>
            <w:vAlign w:val="bottom"/>
          </w:tcPr>
          <w:p w14:paraId="392C91ED" w14:textId="77777777" w:rsidR="00980E5F" w:rsidRDefault="00980E5F">
            <w:pPr>
              <w:rPr>
                <w:rFonts w:ascii="宋体"/>
              </w:rPr>
            </w:pPr>
          </w:p>
        </w:tc>
        <w:tc>
          <w:tcPr>
            <w:tcW w:w="0" w:type="auto"/>
            <w:shd w:val="clear" w:color="auto" w:fill="auto"/>
            <w:vAlign w:val="bottom"/>
          </w:tcPr>
          <w:p w14:paraId="392C91EE" w14:textId="77777777" w:rsidR="00980E5F" w:rsidRDefault="00980E5F">
            <w:pPr>
              <w:rPr>
                <w:rFonts w:ascii="宋体"/>
              </w:rPr>
            </w:pPr>
          </w:p>
        </w:tc>
        <w:tc>
          <w:tcPr>
            <w:tcW w:w="0" w:type="auto"/>
            <w:shd w:val="clear" w:color="auto" w:fill="auto"/>
            <w:vAlign w:val="bottom"/>
          </w:tcPr>
          <w:p w14:paraId="392C91EF" w14:textId="77777777" w:rsidR="00980E5F" w:rsidRDefault="00980E5F">
            <w:pPr>
              <w:rPr>
                <w:rFonts w:ascii="宋体"/>
              </w:rPr>
            </w:pPr>
          </w:p>
        </w:tc>
        <w:tc>
          <w:tcPr>
            <w:tcW w:w="0" w:type="auto"/>
            <w:shd w:val="clear" w:color="auto" w:fill="auto"/>
            <w:vAlign w:val="bottom"/>
          </w:tcPr>
          <w:p w14:paraId="392C91F0" w14:textId="77777777" w:rsidR="00980E5F" w:rsidRDefault="00980E5F">
            <w:pPr>
              <w:rPr>
                <w:rFonts w:ascii="宋体"/>
              </w:rPr>
            </w:pPr>
          </w:p>
        </w:tc>
        <w:tc>
          <w:tcPr>
            <w:tcW w:w="0" w:type="auto"/>
            <w:shd w:val="clear" w:color="auto" w:fill="auto"/>
            <w:vAlign w:val="bottom"/>
          </w:tcPr>
          <w:p w14:paraId="392C91F1" w14:textId="77777777" w:rsidR="00980E5F" w:rsidRDefault="00980E5F">
            <w:pPr>
              <w:rPr>
                <w:rFonts w:ascii="宋体"/>
              </w:rPr>
            </w:pPr>
          </w:p>
        </w:tc>
        <w:tc>
          <w:tcPr>
            <w:tcW w:w="0" w:type="auto"/>
            <w:shd w:val="clear" w:color="auto" w:fill="auto"/>
            <w:vAlign w:val="bottom"/>
          </w:tcPr>
          <w:p w14:paraId="392C91F2" w14:textId="77777777" w:rsidR="00980E5F" w:rsidRDefault="00980E5F">
            <w:pPr>
              <w:rPr>
                <w:rFonts w:ascii="宋体"/>
              </w:rPr>
            </w:pPr>
          </w:p>
        </w:tc>
        <w:tc>
          <w:tcPr>
            <w:tcW w:w="0" w:type="auto"/>
            <w:shd w:val="clear" w:color="auto" w:fill="auto"/>
            <w:vAlign w:val="bottom"/>
          </w:tcPr>
          <w:p w14:paraId="392C91F3" w14:textId="77777777" w:rsidR="00980E5F" w:rsidRDefault="00980E5F">
            <w:pPr>
              <w:rPr>
                <w:rFonts w:ascii="宋体"/>
              </w:rPr>
            </w:pPr>
          </w:p>
        </w:tc>
        <w:tc>
          <w:tcPr>
            <w:tcW w:w="0" w:type="auto"/>
            <w:shd w:val="clear" w:color="auto" w:fill="auto"/>
            <w:vAlign w:val="bottom"/>
          </w:tcPr>
          <w:p w14:paraId="392C91F4" w14:textId="77777777" w:rsidR="00980E5F" w:rsidRDefault="00980E5F">
            <w:pPr>
              <w:rPr>
                <w:rFonts w:ascii="宋体"/>
              </w:rPr>
            </w:pPr>
          </w:p>
        </w:tc>
        <w:tc>
          <w:tcPr>
            <w:tcW w:w="0" w:type="auto"/>
            <w:shd w:val="clear" w:color="auto" w:fill="auto"/>
            <w:vAlign w:val="bottom"/>
          </w:tcPr>
          <w:p w14:paraId="392C91F5" w14:textId="77777777" w:rsidR="00980E5F" w:rsidRDefault="00980E5F">
            <w:pPr>
              <w:rPr>
                <w:rFonts w:ascii="宋体"/>
              </w:rPr>
            </w:pPr>
          </w:p>
        </w:tc>
        <w:tc>
          <w:tcPr>
            <w:tcW w:w="0" w:type="auto"/>
            <w:shd w:val="clear" w:color="auto" w:fill="auto"/>
            <w:vAlign w:val="bottom"/>
          </w:tcPr>
          <w:p w14:paraId="392C91F6" w14:textId="77777777" w:rsidR="00980E5F" w:rsidRDefault="00980E5F">
            <w:pPr>
              <w:rPr>
                <w:rFonts w:ascii="宋体"/>
              </w:rPr>
            </w:pPr>
          </w:p>
        </w:tc>
        <w:tc>
          <w:tcPr>
            <w:tcW w:w="0" w:type="auto"/>
            <w:shd w:val="clear" w:color="auto" w:fill="auto"/>
            <w:vAlign w:val="bottom"/>
          </w:tcPr>
          <w:p w14:paraId="392C91F7" w14:textId="77777777" w:rsidR="00980E5F" w:rsidRDefault="00980E5F">
            <w:pPr>
              <w:rPr>
                <w:rFonts w:ascii="宋体"/>
              </w:rPr>
            </w:pPr>
          </w:p>
        </w:tc>
        <w:tc>
          <w:tcPr>
            <w:tcW w:w="0" w:type="auto"/>
            <w:shd w:val="clear" w:color="auto" w:fill="auto"/>
            <w:vAlign w:val="bottom"/>
          </w:tcPr>
          <w:p w14:paraId="392C91F8" w14:textId="77777777" w:rsidR="00980E5F" w:rsidRDefault="00980E5F">
            <w:pPr>
              <w:rPr>
                <w:rFonts w:ascii="宋体"/>
              </w:rPr>
            </w:pPr>
          </w:p>
        </w:tc>
        <w:tc>
          <w:tcPr>
            <w:tcW w:w="0" w:type="auto"/>
            <w:shd w:val="clear" w:color="auto" w:fill="auto"/>
            <w:vAlign w:val="bottom"/>
          </w:tcPr>
          <w:p w14:paraId="392C91F9" w14:textId="77777777" w:rsidR="00980E5F" w:rsidRDefault="00980E5F">
            <w:pPr>
              <w:rPr>
                <w:rFonts w:ascii="宋体"/>
              </w:rPr>
            </w:pPr>
          </w:p>
        </w:tc>
        <w:tc>
          <w:tcPr>
            <w:tcW w:w="0" w:type="auto"/>
            <w:shd w:val="clear" w:color="auto" w:fill="auto"/>
            <w:vAlign w:val="bottom"/>
          </w:tcPr>
          <w:p w14:paraId="392C91FA" w14:textId="77777777" w:rsidR="00980E5F" w:rsidRDefault="00980E5F">
            <w:pPr>
              <w:rPr>
                <w:rFonts w:ascii="宋体"/>
              </w:rPr>
            </w:pPr>
          </w:p>
        </w:tc>
        <w:tc>
          <w:tcPr>
            <w:tcW w:w="0" w:type="auto"/>
            <w:shd w:val="clear" w:color="auto" w:fill="auto"/>
            <w:vAlign w:val="bottom"/>
          </w:tcPr>
          <w:p w14:paraId="392C91FB" w14:textId="77777777" w:rsidR="00980E5F" w:rsidRDefault="00980E5F">
            <w:pPr>
              <w:rPr>
                <w:rFonts w:ascii="宋体"/>
              </w:rPr>
            </w:pPr>
          </w:p>
        </w:tc>
        <w:tc>
          <w:tcPr>
            <w:tcW w:w="0" w:type="auto"/>
            <w:shd w:val="clear" w:color="auto" w:fill="auto"/>
            <w:vAlign w:val="bottom"/>
          </w:tcPr>
          <w:p w14:paraId="392C91FC" w14:textId="77777777" w:rsidR="00980E5F" w:rsidRDefault="00980E5F">
            <w:pPr>
              <w:rPr>
                <w:rFonts w:ascii="宋体"/>
              </w:rPr>
            </w:pPr>
          </w:p>
        </w:tc>
        <w:tc>
          <w:tcPr>
            <w:tcW w:w="0" w:type="auto"/>
            <w:shd w:val="clear" w:color="auto" w:fill="auto"/>
            <w:vAlign w:val="bottom"/>
          </w:tcPr>
          <w:p w14:paraId="392C91FD" w14:textId="77777777" w:rsidR="00980E5F" w:rsidRDefault="00980E5F">
            <w:pPr>
              <w:rPr>
                <w:rFonts w:ascii="宋体"/>
              </w:rPr>
            </w:pPr>
          </w:p>
        </w:tc>
        <w:tc>
          <w:tcPr>
            <w:tcW w:w="0" w:type="auto"/>
            <w:shd w:val="clear" w:color="auto" w:fill="auto"/>
            <w:vAlign w:val="bottom"/>
          </w:tcPr>
          <w:p w14:paraId="392C91FE" w14:textId="77777777" w:rsidR="00980E5F" w:rsidRDefault="00980E5F">
            <w:pPr>
              <w:rPr>
                <w:rFonts w:ascii="宋体"/>
              </w:rPr>
            </w:pPr>
          </w:p>
        </w:tc>
        <w:tc>
          <w:tcPr>
            <w:tcW w:w="0" w:type="auto"/>
            <w:shd w:val="clear" w:color="auto" w:fill="auto"/>
            <w:vAlign w:val="bottom"/>
          </w:tcPr>
          <w:p w14:paraId="392C91FF" w14:textId="77777777" w:rsidR="00980E5F" w:rsidRDefault="00980E5F">
            <w:pPr>
              <w:rPr>
                <w:rFonts w:ascii="宋体"/>
              </w:rPr>
            </w:pPr>
          </w:p>
        </w:tc>
        <w:tc>
          <w:tcPr>
            <w:tcW w:w="0" w:type="auto"/>
            <w:shd w:val="clear" w:color="auto" w:fill="auto"/>
            <w:vAlign w:val="bottom"/>
          </w:tcPr>
          <w:p w14:paraId="392C9200" w14:textId="77777777" w:rsidR="00980E5F" w:rsidRDefault="00980E5F">
            <w:pPr>
              <w:rPr>
                <w:rFonts w:ascii="宋体"/>
              </w:rPr>
            </w:pPr>
          </w:p>
        </w:tc>
        <w:tc>
          <w:tcPr>
            <w:tcW w:w="0" w:type="auto"/>
            <w:shd w:val="clear" w:color="auto" w:fill="auto"/>
            <w:vAlign w:val="bottom"/>
          </w:tcPr>
          <w:p w14:paraId="392C9201" w14:textId="77777777" w:rsidR="00980E5F" w:rsidRDefault="00980E5F">
            <w:pPr>
              <w:rPr>
                <w:rFonts w:ascii="宋体"/>
              </w:rPr>
            </w:pPr>
          </w:p>
        </w:tc>
        <w:tc>
          <w:tcPr>
            <w:tcW w:w="0" w:type="auto"/>
            <w:shd w:val="clear" w:color="auto" w:fill="auto"/>
            <w:vAlign w:val="bottom"/>
          </w:tcPr>
          <w:p w14:paraId="392C9202" w14:textId="77777777" w:rsidR="00980E5F" w:rsidRDefault="00980E5F">
            <w:pPr>
              <w:rPr>
                <w:rFonts w:ascii="宋体"/>
              </w:rPr>
            </w:pPr>
          </w:p>
        </w:tc>
        <w:tc>
          <w:tcPr>
            <w:tcW w:w="0" w:type="auto"/>
            <w:shd w:val="clear" w:color="auto" w:fill="auto"/>
            <w:vAlign w:val="bottom"/>
          </w:tcPr>
          <w:p w14:paraId="392C9203" w14:textId="77777777" w:rsidR="00980E5F" w:rsidRDefault="00980E5F">
            <w:pPr>
              <w:rPr>
                <w:rFonts w:ascii="宋体"/>
              </w:rPr>
            </w:pPr>
          </w:p>
        </w:tc>
        <w:tc>
          <w:tcPr>
            <w:tcW w:w="0" w:type="auto"/>
            <w:shd w:val="clear" w:color="auto" w:fill="auto"/>
            <w:vAlign w:val="bottom"/>
          </w:tcPr>
          <w:p w14:paraId="392C9204" w14:textId="77777777" w:rsidR="00980E5F" w:rsidRDefault="00980E5F">
            <w:pPr>
              <w:rPr>
                <w:rFonts w:ascii="宋体"/>
              </w:rPr>
            </w:pPr>
          </w:p>
        </w:tc>
        <w:tc>
          <w:tcPr>
            <w:tcW w:w="0" w:type="auto"/>
            <w:shd w:val="clear" w:color="auto" w:fill="auto"/>
            <w:vAlign w:val="bottom"/>
          </w:tcPr>
          <w:p w14:paraId="392C9205" w14:textId="77777777" w:rsidR="00980E5F" w:rsidRDefault="00980E5F">
            <w:pPr>
              <w:rPr>
                <w:rFonts w:ascii="宋体"/>
              </w:rPr>
            </w:pPr>
          </w:p>
        </w:tc>
        <w:tc>
          <w:tcPr>
            <w:tcW w:w="0" w:type="auto"/>
            <w:shd w:val="clear" w:color="auto" w:fill="auto"/>
            <w:vAlign w:val="bottom"/>
          </w:tcPr>
          <w:p w14:paraId="392C9206" w14:textId="77777777" w:rsidR="00980E5F" w:rsidRDefault="00980E5F">
            <w:pPr>
              <w:rPr>
                <w:rFonts w:ascii="宋体"/>
              </w:rPr>
            </w:pPr>
          </w:p>
        </w:tc>
        <w:tc>
          <w:tcPr>
            <w:tcW w:w="0" w:type="auto"/>
            <w:shd w:val="clear" w:color="auto" w:fill="auto"/>
            <w:vAlign w:val="bottom"/>
          </w:tcPr>
          <w:p w14:paraId="392C9207" w14:textId="77777777" w:rsidR="00980E5F" w:rsidRDefault="00980E5F">
            <w:pPr>
              <w:rPr>
                <w:rFonts w:ascii="宋体"/>
              </w:rPr>
            </w:pPr>
          </w:p>
        </w:tc>
        <w:tc>
          <w:tcPr>
            <w:tcW w:w="0" w:type="auto"/>
            <w:shd w:val="clear" w:color="auto" w:fill="auto"/>
            <w:vAlign w:val="bottom"/>
          </w:tcPr>
          <w:p w14:paraId="392C9208" w14:textId="77777777" w:rsidR="00980E5F" w:rsidRDefault="00980E5F">
            <w:pPr>
              <w:rPr>
                <w:rFonts w:ascii="宋体"/>
              </w:rPr>
            </w:pPr>
          </w:p>
        </w:tc>
        <w:tc>
          <w:tcPr>
            <w:tcW w:w="0" w:type="auto"/>
            <w:shd w:val="clear" w:color="auto" w:fill="auto"/>
            <w:vAlign w:val="bottom"/>
          </w:tcPr>
          <w:p w14:paraId="392C9209" w14:textId="77777777" w:rsidR="00980E5F" w:rsidRDefault="00980E5F">
            <w:pPr>
              <w:rPr>
                <w:rFonts w:ascii="宋体"/>
              </w:rPr>
            </w:pPr>
          </w:p>
        </w:tc>
        <w:tc>
          <w:tcPr>
            <w:tcW w:w="0" w:type="auto"/>
            <w:shd w:val="clear" w:color="auto" w:fill="auto"/>
            <w:vAlign w:val="bottom"/>
          </w:tcPr>
          <w:p w14:paraId="392C920A" w14:textId="77777777" w:rsidR="00980E5F" w:rsidRDefault="00980E5F">
            <w:pPr>
              <w:rPr>
                <w:rFonts w:ascii="宋体"/>
              </w:rPr>
            </w:pPr>
          </w:p>
        </w:tc>
        <w:tc>
          <w:tcPr>
            <w:tcW w:w="0" w:type="auto"/>
            <w:shd w:val="clear" w:color="auto" w:fill="auto"/>
            <w:vAlign w:val="bottom"/>
          </w:tcPr>
          <w:p w14:paraId="392C920B" w14:textId="77777777" w:rsidR="00980E5F" w:rsidRDefault="00980E5F">
            <w:pPr>
              <w:rPr>
                <w:rFonts w:ascii="宋体"/>
              </w:rPr>
            </w:pPr>
          </w:p>
        </w:tc>
      </w:tr>
      <w:tr w:rsidR="00980E5F" w14:paraId="392C920F" w14:textId="77777777">
        <w:tc>
          <w:tcPr>
            <w:tcW w:w="0" w:type="auto"/>
            <w:gridSpan w:val="3"/>
            <w:shd w:val="clear" w:color="auto" w:fill="auto"/>
            <w:tcMar>
              <w:top w:w="0" w:type="dxa"/>
              <w:left w:w="20" w:type="dxa"/>
              <w:bottom w:w="0" w:type="dxa"/>
              <w:right w:w="20" w:type="dxa"/>
            </w:tcMar>
            <w:vAlign w:val="bottom"/>
          </w:tcPr>
          <w:p w14:paraId="392C920D"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920E" w14:textId="77777777" w:rsidR="00980E5F" w:rsidRDefault="00483613">
            <w:pPr>
              <w:jc w:val="center"/>
              <w:textAlignment w:val="bottom"/>
            </w:pPr>
            <w:r>
              <w:rPr>
                <w:rFonts w:ascii="Arial" w:eastAsia="宋体" w:hAnsi="Arial" w:cs="Arial"/>
                <w:b/>
                <w:bCs/>
                <w:color w:val="000000"/>
                <w:sz w:val="15"/>
                <w:szCs w:val="15"/>
              </w:rPr>
              <w:t>Three Months Ended June 30,</w:t>
            </w:r>
          </w:p>
        </w:tc>
      </w:tr>
      <w:tr w:rsidR="00980E5F" w14:paraId="392C9214" w14:textId="77777777">
        <w:tc>
          <w:tcPr>
            <w:tcW w:w="0" w:type="auto"/>
            <w:gridSpan w:val="3"/>
            <w:shd w:val="clear" w:color="auto" w:fill="auto"/>
            <w:tcMar>
              <w:top w:w="0" w:type="dxa"/>
              <w:left w:w="20" w:type="dxa"/>
              <w:bottom w:w="0" w:type="dxa"/>
              <w:right w:w="20" w:type="dxa"/>
            </w:tcMar>
            <w:vAlign w:val="bottom"/>
          </w:tcPr>
          <w:p w14:paraId="392C9210"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9211"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12"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9213" w14:textId="77777777" w:rsidR="00980E5F" w:rsidRDefault="00483613">
            <w:pPr>
              <w:jc w:val="center"/>
              <w:textAlignment w:val="bottom"/>
            </w:pPr>
            <w:r>
              <w:rPr>
                <w:rFonts w:ascii="Arial" w:eastAsia="宋体" w:hAnsi="Arial" w:cs="Arial"/>
                <w:b/>
                <w:bCs/>
                <w:color w:val="000000"/>
                <w:sz w:val="15"/>
                <w:szCs w:val="15"/>
              </w:rPr>
              <w:t>2021</w:t>
            </w:r>
          </w:p>
        </w:tc>
      </w:tr>
      <w:tr w:rsidR="00980E5F" w14:paraId="392C9221" w14:textId="77777777">
        <w:tc>
          <w:tcPr>
            <w:tcW w:w="0" w:type="auto"/>
            <w:gridSpan w:val="3"/>
            <w:shd w:val="clear" w:color="auto" w:fill="auto"/>
            <w:tcMar>
              <w:top w:w="40" w:type="dxa"/>
              <w:left w:w="20" w:type="dxa"/>
              <w:bottom w:w="40" w:type="dxa"/>
              <w:right w:w="20" w:type="dxa"/>
            </w:tcMar>
            <w:vAlign w:val="bottom"/>
          </w:tcPr>
          <w:p w14:paraId="392C9215" w14:textId="77777777" w:rsidR="00980E5F" w:rsidRDefault="00483613">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16" w14:textId="77777777" w:rsidR="00980E5F" w:rsidRDefault="00483613">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1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18" w14:textId="77777777" w:rsidR="00980E5F" w:rsidRDefault="00483613">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1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1A" w14:textId="77777777" w:rsidR="00980E5F" w:rsidRDefault="00483613">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392C921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1C" w14:textId="77777777" w:rsidR="00980E5F" w:rsidRDefault="00483613">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1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1E" w14:textId="77777777" w:rsidR="00980E5F" w:rsidRDefault="00483613">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1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20" w14:textId="77777777" w:rsidR="00980E5F" w:rsidRDefault="00483613">
            <w:pPr>
              <w:jc w:val="center"/>
              <w:textAlignment w:val="bottom"/>
            </w:pPr>
            <w:r>
              <w:rPr>
                <w:rFonts w:ascii="Arial" w:eastAsia="宋体" w:hAnsi="Arial" w:cs="Arial"/>
                <w:b/>
                <w:bCs/>
                <w:color w:val="000000"/>
                <w:sz w:val="15"/>
                <w:szCs w:val="15"/>
              </w:rPr>
              <w:t>Total</w:t>
            </w:r>
          </w:p>
        </w:tc>
      </w:tr>
      <w:tr w:rsidR="00980E5F" w14:paraId="392C922E" w14:textId="77777777">
        <w:tc>
          <w:tcPr>
            <w:tcW w:w="0" w:type="auto"/>
            <w:gridSpan w:val="3"/>
            <w:shd w:val="clear" w:color="auto" w:fill="auto"/>
            <w:tcMar>
              <w:top w:w="40" w:type="dxa"/>
              <w:left w:w="20" w:type="dxa"/>
              <w:bottom w:w="40" w:type="dxa"/>
              <w:right w:w="20" w:type="dxa"/>
            </w:tcMar>
            <w:vAlign w:val="bottom"/>
          </w:tcPr>
          <w:p w14:paraId="392C9222" w14:textId="77777777" w:rsidR="00980E5F" w:rsidRDefault="00483613">
            <w:pPr>
              <w:textAlignment w:val="bottom"/>
            </w:pPr>
            <w:r>
              <w:rPr>
                <w:rFonts w:ascii="Arial" w:eastAsia="宋体" w:hAnsi="Arial" w:cs="Arial"/>
                <w:b/>
                <w:bCs/>
                <w:color w:val="000000"/>
                <w:sz w:val="15"/>
                <w:szCs w:val="15"/>
              </w:rPr>
              <w:t>Pref</w:t>
            </w:r>
            <w:r>
              <w:rPr>
                <w:rFonts w:ascii="Arial" w:eastAsia="宋体" w:hAnsi="Arial" w:cs="Arial"/>
                <w:b/>
                <w:bCs/>
                <w:color w:val="000000"/>
                <w:sz w:val="15"/>
                <w:szCs w:val="15"/>
              </w:rPr>
              <w:t>erred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2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2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2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2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2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2D" w14:textId="77777777" w:rsidR="00980E5F" w:rsidRDefault="00980E5F">
            <w:pPr>
              <w:rPr>
                <w:rFonts w:ascii="宋体"/>
              </w:rPr>
            </w:pPr>
          </w:p>
        </w:tc>
      </w:tr>
      <w:tr w:rsidR="00980E5F" w14:paraId="392C923B" w14:textId="77777777">
        <w:trPr>
          <w:hidden/>
        </w:trPr>
        <w:tc>
          <w:tcPr>
            <w:tcW w:w="0" w:type="auto"/>
            <w:gridSpan w:val="3"/>
            <w:shd w:val="clear" w:color="auto" w:fill="auto"/>
            <w:vAlign w:val="bottom"/>
          </w:tcPr>
          <w:p w14:paraId="392C922F" w14:textId="77777777" w:rsidR="00980E5F" w:rsidRDefault="00980E5F">
            <w:pPr>
              <w:rPr>
                <w:rFonts w:ascii="宋体"/>
                <w:vanish/>
              </w:rPr>
            </w:pPr>
          </w:p>
        </w:tc>
        <w:tc>
          <w:tcPr>
            <w:tcW w:w="0" w:type="auto"/>
            <w:gridSpan w:val="3"/>
            <w:shd w:val="clear" w:color="auto" w:fill="auto"/>
            <w:vAlign w:val="bottom"/>
          </w:tcPr>
          <w:p w14:paraId="392C9230" w14:textId="77777777" w:rsidR="00980E5F" w:rsidRDefault="00980E5F">
            <w:pPr>
              <w:rPr>
                <w:rFonts w:ascii="宋体"/>
                <w:vanish/>
              </w:rPr>
            </w:pPr>
          </w:p>
        </w:tc>
        <w:tc>
          <w:tcPr>
            <w:tcW w:w="0" w:type="auto"/>
            <w:gridSpan w:val="3"/>
            <w:shd w:val="clear" w:color="auto" w:fill="auto"/>
            <w:vAlign w:val="bottom"/>
          </w:tcPr>
          <w:p w14:paraId="392C9231" w14:textId="77777777" w:rsidR="00980E5F" w:rsidRDefault="00980E5F">
            <w:pPr>
              <w:rPr>
                <w:rFonts w:ascii="宋体"/>
                <w:vanish/>
              </w:rPr>
            </w:pPr>
          </w:p>
        </w:tc>
        <w:tc>
          <w:tcPr>
            <w:tcW w:w="0" w:type="auto"/>
            <w:gridSpan w:val="3"/>
            <w:shd w:val="clear" w:color="auto" w:fill="auto"/>
            <w:vAlign w:val="bottom"/>
          </w:tcPr>
          <w:p w14:paraId="392C9232" w14:textId="77777777" w:rsidR="00980E5F" w:rsidRDefault="00980E5F">
            <w:pPr>
              <w:rPr>
                <w:rFonts w:ascii="宋体"/>
                <w:vanish/>
              </w:rPr>
            </w:pPr>
          </w:p>
        </w:tc>
        <w:tc>
          <w:tcPr>
            <w:tcW w:w="0" w:type="auto"/>
            <w:gridSpan w:val="3"/>
            <w:shd w:val="clear" w:color="auto" w:fill="auto"/>
            <w:vAlign w:val="bottom"/>
          </w:tcPr>
          <w:p w14:paraId="392C9233" w14:textId="77777777" w:rsidR="00980E5F" w:rsidRDefault="00980E5F">
            <w:pPr>
              <w:rPr>
                <w:rFonts w:ascii="宋体"/>
                <w:vanish/>
              </w:rPr>
            </w:pPr>
          </w:p>
        </w:tc>
        <w:tc>
          <w:tcPr>
            <w:tcW w:w="0" w:type="auto"/>
            <w:gridSpan w:val="3"/>
            <w:shd w:val="clear" w:color="auto" w:fill="auto"/>
            <w:vAlign w:val="bottom"/>
          </w:tcPr>
          <w:p w14:paraId="392C9234" w14:textId="77777777" w:rsidR="00980E5F" w:rsidRDefault="00980E5F">
            <w:pPr>
              <w:rPr>
                <w:rFonts w:ascii="宋体"/>
                <w:vanish/>
              </w:rPr>
            </w:pPr>
          </w:p>
        </w:tc>
        <w:tc>
          <w:tcPr>
            <w:tcW w:w="0" w:type="auto"/>
            <w:gridSpan w:val="3"/>
            <w:shd w:val="clear" w:color="auto" w:fill="auto"/>
            <w:vAlign w:val="bottom"/>
          </w:tcPr>
          <w:p w14:paraId="392C9235" w14:textId="77777777" w:rsidR="00980E5F" w:rsidRDefault="00980E5F">
            <w:pPr>
              <w:rPr>
                <w:rFonts w:ascii="宋体"/>
                <w:vanish/>
              </w:rPr>
            </w:pPr>
          </w:p>
        </w:tc>
        <w:tc>
          <w:tcPr>
            <w:tcW w:w="0" w:type="auto"/>
            <w:gridSpan w:val="3"/>
            <w:shd w:val="clear" w:color="auto" w:fill="auto"/>
            <w:vAlign w:val="bottom"/>
          </w:tcPr>
          <w:p w14:paraId="392C9236" w14:textId="77777777" w:rsidR="00980E5F" w:rsidRDefault="00980E5F">
            <w:pPr>
              <w:rPr>
                <w:rFonts w:ascii="宋体"/>
                <w:vanish/>
              </w:rPr>
            </w:pPr>
          </w:p>
        </w:tc>
        <w:tc>
          <w:tcPr>
            <w:tcW w:w="0" w:type="auto"/>
            <w:gridSpan w:val="3"/>
            <w:shd w:val="clear" w:color="auto" w:fill="auto"/>
            <w:vAlign w:val="bottom"/>
          </w:tcPr>
          <w:p w14:paraId="392C9237" w14:textId="77777777" w:rsidR="00980E5F" w:rsidRDefault="00980E5F">
            <w:pPr>
              <w:rPr>
                <w:rFonts w:ascii="宋体"/>
                <w:vanish/>
              </w:rPr>
            </w:pPr>
          </w:p>
        </w:tc>
        <w:tc>
          <w:tcPr>
            <w:tcW w:w="0" w:type="auto"/>
            <w:gridSpan w:val="3"/>
            <w:shd w:val="clear" w:color="auto" w:fill="auto"/>
            <w:vAlign w:val="bottom"/>
          </w:tcPr>
          <w:p w14:paraId="392C9238" w14:textId="77777777" w:rsidR="00980E5F" w:rsidRDefault="00980E5F">
            <w:pPr>
              <w:rPr>
                <w:rFonts w:ascii="宋体"/>
                <w:vanish/>
              </w:rPr>
            </w:pPr>
          </w:p>
        </w:tc>
        <w:tc>
          <w:tcPr>
            <w:tcW w:w="0" w:type="auto"/>
            <w:gridSpan w:val="3"/>
            <w:shd w:val="clear" w:color="auto" w:fill="auto"/>
            <w:vAlign w:val="bottom"/>
          </w:tcPr>
          <w:p w14:paraId="392C9239" w14:textId="77777777" w:rsidR="00980E5F" w:rsidRDefault="00980E5F">
            <w:pPr>
              <w:rPr>
                <w:rFonts w:ascii="宋体"/>
                <w:vanish/>
              </w:rPr>
            </w:pPr>
          </w:p>
        </w:tc>
        <w:tc>
          <w:tcPr>
            <w:tcW w:w="0" w:type="auto"/>
            <w:gridSpan w:val="3"/>
            <w:shd w:val="clear" w:color="auto" w:fill="auto"/>
            <w:vAlign w:val="bottom"/>
          </w:tcPr>
          <w:p w14:paraId="392C923A" w14:textId="77777777" w:rsidR="00980E5F" w:rsidRDefault="00980E5F">
            <w:pPr>
              <w:rPr>
                <w:rFonts w:ascii="宋体"/>
                <w:vanish/>
              </w:rPr>
            </w:pPr>
          </w:p>
        </w:tc>
      </w:tr>
      <w:tr w:rsidR="00980E5F" w14:paraId="392C9254" w14:textId="77777777">
        <w:tc>
          <w:tcPr>
            <w:tcW w:w="0" w:type="auto"/>
            <w:gridSpan w:val="3"/>
            <w:shd w:val="clear" w:color="auto" w:fill="CCEEFF"/>
            <w:tcMar>
              <w:top w:w="40" w:type="dxa"/>
              <w:left w:w="20" w:type="dxa"/>
              <w:bottom w:w="40" w:type="dxa"/>
              <w:right w:w="20" w:type="dxa"/>
            </w:tcMar>
            <w:vAlign w:val="bottom"/>
          </w:tcPr>
          <w:p w14:paraId="392C923C" w14:textId="77777777" w:rsidR="00980E5F" w:rsidRDefault="00483613">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392C923D"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3E" w14:textId="77777777" w:rsidR="00980E5F" w:rsidRDefault="00483613">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4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41"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42" w14:textId="77777777" w:rsidR="00980E5F" w:rsidRDefault="00483613">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4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45"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46" w14:textId="77777777" w:rsidR="00980E5F" w:rsidRDefault="00483613">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4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4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4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4A" w14:textId="77777777" w:rsidR="00980E5F" w:rsidRDefault="00483613">
            <w:pPr>
              <w:jc w:val="right"/>
              <w:textAlignment w:val="bottom"/>
            </w:pPr>
            <w:r>
              <w:rPr>
                <w:rFonts w:ascii="Arial" w:eastAsia="宋体" w:hAnsi="Arial" w:cs="Arial"/>
                <w:color w:val="000000"/>
                <w:sz w:val="15"/>
                <w:szCs w:val="15"/>
              </w:rPr>
              <w:t>1,475 </w:t>
            </w:r>
          </w:p>
        </w:tc>
        <w:tc>
          <w:tcPr>
            <w:tcW w:w="0" w:type="auto"/>
            <w:shd w:val="clear" w:color="auto" w:fill="CCEEFF"/>
            <w:tcMar>
              <w:top w:w="40" w:type="dxa"/>
              <w:left w:w="0" w:type="dxa"/>
              <w:bottom w:w="40" w:type="dxa"/>
              <w:right w:w="20" w:type="dxa"/>
            </w:tcMar>
            <w:vAlign w:val="bottom"/>
          </w:tcPr>
          <w:p w14:paraId="392C92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4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4D"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4E" w14:textId="77777777" w:rsidR="00980E5F" w:rsidRDefault="00483613">
            <w:pPr>
              <w:jc w:val="right"/>
              <w:textAlignment w:val="bottom"/>
            </w:pPr>
            <w:r>
              <w:rPr>
                <w:rFonts w:ascii="Arial" w:eastAsia="宋体" w:hAnsi="Arial" w:cs="Arial"/>
                <w:color w:val="000000"/>
                <w:sz w:val="15"/>
                <w:szCs w:val="15"/>
              </w:rPr>
              <w:t>0.37 </w:t>
            </w:r>
          </w:p>
        </w:tc>
        <w:tc>
          <w:tcPr>
            <w:tcW w:w="0" w:type="auto"/>
            <w:shd w:val="clear" w:color="auto" w:fill="CCEEFF"/>
            <w:tcMar>
              <w:top w:w="40" w:type="dxa"/>
              <w:left w:w="0" w:type="dxa"/>
              <w:bottom w:w="40" w:type="dxa"/>
              <w:right w:w="20" w:type="dxa"/>
            </w:tcMar>
            <w:vAlign w:val="bottom"/>
          </w:tcPr>
          <w:p w14:paraId="392C92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5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51"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52" w14:textId="77777777" w:rsidR="00980E5F" w:rsidRDefault="00483613">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392C9253" w14:textId="77777777" w:rsidR="00980E5F" w:rsidRDefault="00980E5F">
            <w:pPr>
              <w:jc w:val="right"/>
              <w:rPr>
                <w:rFonts w:ascii="宋体"/>
              </w:rPr>
            </w:pPr>
          </w:p>
        </w:tc>
      </w:tr>
      <w:tr w:rsidR="00980E5F" w14:paraId="392C9261" w14:textId="77777777">
        <w:trPr>
          <w:hidden/>
        </w:trPr>
        <w:tc>
          <w:tcPr>
            <w:tcW w:w="0" w:type="auto"/>
            <w:gridSpan w:val="3"/>
            <w:shd w:val="clear" w:color="auto" w:fill="auto"/>
            <w:vAlign w:val="bottom"/>
          </w:tcPr>
          <w:p w14:paraId="392C9255" w14:textId="77777777" w:rsidR="00980E5F" w:rsidRDefault="00980E5F">
            <w:pPr>
              <w:rPr>
                <w:rFonts w:ascii="宋体"/>
                <w:vanish/>
              </w:rPr>
            </w:pPr>
          </w:p>
        </w:tc>
        <w:tc>
          <w:tcPr>
            <w:tcW w:w="0" w:type="auto"/>
            <w:gridSpan w:val="3"/>
            <w:shd w:val="clear" w:color="auto" w:fill="auto"/>
            <w:vAlign w:val="bottom"/>
          </w:tcPr>
          <w:p w14:paraId="392C9256" w14:textId="77777777" w:rsidR="00980E5F" w:rsidRDefault="00980E5F">
            <w:pPr>
              <w:rPr>
                <w:rFonts w:ascii="宋体"/>
                <w:vanish/>
              </w:rPr>
            </w:pPr>
          </w:p>
        </w:tc>
        <w:tc>
          <w:tcPr>
            <w:tcW w:w="0" w:type="auto"/>
            <w:gridSpan w:val="3"/>
            <w:shd w:val="clear" w:color="auto" w:fill="auto"/>
            <w:vAlign w:val="bottom"/>
          </w:tcPr>
          <w:p w14:paraId="392C9257" w14:textId="77777777" w:rsidR="00980E5F" w:rsidRDefault="00980E5F">
            <w:pPr>
              <w:rPr>
                <w:rFonts w:ascii="宋体"/>
                <w:vanish/>
              </w:rPr>
            </w:pPr>
          </w:p>
        </w:tc>
        <w:tc>
          <w:tcPr>
            <w:tcW w:w="0" w:type="auto"/>
            <w:gridSpan w:val="3"/>
            <w:shd w:val="clear" w:color="auto" w:fill="auto"/>
            <w:vAlign w:val="bottom"/>
          </w:tcPr>
          <w:p w14:paraId="392C9258" w14:textId="77777777" w:rsidR="00980E5F" w:rsidRDefault="00980E5F">
            <w:pPr>
              <w:rPr>
                <w:rFonts w:ascii="宋体"/>
                <w:vanish/>
              </w:rPr>
            </w:pPr>
          </w:p>
        </w:tc>
        <w:tc>
          <w:tcPr>
            <w:tcW w:w="0" w:type="auto"/>
            <w:gridSpan w:val="3"/>
            <w:shd w:val="clear" w:color="auto" w:fill="auto"/>
            <w:vAlign w:val="bottom"/>
          </w:tcPr>
          <w:p w14:paraId="392C9259" w14:textId="77777777" w:rsidR="00980E5F" w:rsidRDefault="00980E5F">
            <w:pPr>
              <w:rPr>
                <w:rFonts w:ascii="宋体"/>
                <w:vanish/>
              </w:rPr>
            </w:pPr>
          </w:p>
        </w:tc>
        <w:tc>
          <w:tcPr>
            <w:tcW w:w="0" w:type="auto"/>
            <w:gridSpan w:val="3"/>
            <w:shd w:val="clear" w:color="auto" w:fill="auto"/>
            <w:vAlign w:val="bottom"/>
          </w:tcPr>
          <w:p w14:paraId="392C925A" w14:textId="77777777" w:rsidR="00980E5F" w:rsidRDefault="00980E5F">
            <w:pPr>
              <w:rPr>
                <w:rFonts w:ascii="宋体"/>
                <w:vanish/>
              </w:rPr>
            </w:pPr>
          </w:p>
        </w:tc>
        <w:tc>
          <w:tcPr>
            <w:tcW w:w="0" w:type="auto"/>
            <w:gridSpan w:val="3"/>
            <w:shd w:val="clear" w:color="auto" w:fill="auto"/>
            <w:vAlign w:val="bottom"/>
          </w:tcPr>
          <w:p w14:paraId="392C925B" w14:textId="77777777" w:rsidR="00980E5F" w:rsidRDefault="00980E5F">
            <w:pPr>
              <w:rPr>
                <w:rFonts w:ascii="宋体"/>
                <w:vanish/>
              </w:rPr>
            </w:pPr>
          </w:p>
        </w:tc>
        <w:tc>
          <w:tcPr>
            <w:tcW w:w="0" w:type="auto"/>
            <w:gridSpan w:val="3"/>
            <w:shd w:val="clear" w:color="auto" w:fill="auto"/>
            <w:vAlign w:val="bottom"/>
          </w:tcPr>
          <w:p w14:paraId="392C925C" w14:textId="77777777" w:rsidR="00980E5F" w:rsidRDefault="00980E5F">
            <w:pPr>
              <w:rPr>
                <w:rFonts w:ascii="宋体"/>
                <w:vanish/>
              </w:rPr>
            </w:pPr>
          </w:p>
        </w:tc>
        <w:tc>
          <w:tcPr>
            <w:tcW w:w="0" w:type="auto"/>
            <w:gridSpan w:val="3"/>
            <w:shd w:val="clear" w:color="auto" w:fill="auto"/>
            <w:vAlign w:val="bottom"/>
          </w:tcPr>
          <w:p w14:paraId="392C925D" w14:textId="77777777" w:rsidR="00980E5F" w:rsidRDefault="00980E5F">
            <w:pPr>
              <w:rPr>
                <w:rFonts w:ascii="宋体"/>
                <w:vanish/>
              </w:rPr>
            </w:pPr>
          </w:p>
        </w:tc>
        <w:tc>
          <w:tcPr>
            <w:tcW w:w="0" w:type="auto"/>
            <w:gridSpan w:val="3"/>
            <w:shd w:val="clear" w:color="auto" w:fill="auto"/>
            <w:vAlign w:val="bottom"/>
          </w:tcPr>
          <w:p w14:paraId="392C925E" w14:textId="77777777" w:rsidR="00980E5F" w:rsidRDefault="00980E5F">
            <w:pPr>
              <w:rPr>
                <w:rFonts w:ascii="宋体"/>
                <w:vanish/>
              </w:rPr>
            </w:pPr>
          </w:p>
        </w:tc>
        <w:tc>
          <w:tcPr>
            <w:tcW w:w="0" w:type="auto"/>
            <w:gridSpan w:val="3"/>
            <w:shd w:val="clear" w:color="auto" w:fill="auto"/>
            <w:vAlign w:val="bottom"/>
          </w:tcPr>
          <w:p w14:paraId="392C925F" w14:textId="77777777" w:rsidR="00980E5F" w:rsidRDefault="00980E5F">
            <w:pPr>
              <w:rPr>
                <w:rFonts w:ascii="宋体"/>
                <w:vanish/>
              </w:rPr>
            </w:pPr>
          </w:p>
        </w:tc>
        <w:tc>
          <w:tcPr>
            <w:tcW w:w="0" w:type="auto"/>
            <w:gridSpan w:val="3"/>
            <w:shd w:val="clear" w:color="auto" w:fill="auto"/>
            <w:vAlign w:val="bottom"/>
          </w:tcPr>
          <w:p w14:paraId="392C9260" w14:textId="77777777" w:rsidR="00980E5F" w:rsidRDefault="00980E5F">
            <w:pPr>
              <w:rPr>
                <w:rFonts w:ascii="宋体"/>
                <w:vanish/>
              </w:rPr>
            </w:pPr>
          </w:p>
        </w:tc>
      </w:tr>
      <w:tr w:rsidR="00980E5F" w14:paraId="392C9274" w14:textId="77777777">
        <w:tc>
          <w:tcPr>
            <w:tcW w:w="0" w:type="auto"/>
            <w:gridSpan w:val="3"/>
            <w:shd w:val="clear" w:color="auto" w:fill="FFFFFF"/>
            <w:tcMar>
              <w:top w:w="40" w:type="dxa"/>
              <w:left w:w="20" w:type="dxa"/>
              <w:bottom w:w="40" w:type="dxa"/>
              <w:right w:w="20" w:type="dxa"/>
            </w:tcMar>
            <w:vAlign w:val="bottom"/>
          </w:tcPr>
          <w:p w14:paraId="392C9262" w14:textId="77777777" w:rsidR="00980E5F" w:rsidRDefault="00483613">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392C9263" w14:textId="77777777" w:rsidR="00980E5F" w:rsidRDefault="00483613">
            <w:pPr>
              <w:jc w:val="right"/>
              <w:textAlignment w:val="bottom"/>
            </w:pPr>
            <w:r>
              <w:rPr>
                <w:rFonts w:ascii="Arial" w:eastAsia="宋体" w:hAnsi="Arial" w:cs="Arial"/>
                <w:b/>
                <w:bCs/>
                <w:color w:val="000000"/>
                <w:sz w:val="15"/>
                <w:szCs w:val="15"/>
              </w:rPr>
              <w:t>1,130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6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66" w14:textId="77777777" w:rsidR="00980E5F" w:rsidRDefault="00483613">
            <w:pPr>
              <w:jc w:val="right"/>
              <w:textAlignment w:val="bottom"/>
            </w:pPr>
            <w:r>
              <w:rPr>
                <w:rFonts w:ascii="Arial" w:eastAsia="宋体" w:hAnsi="Arial" w:cs="Arial"/>
                <w:b/>
                <w:bCs/>
                <w:color w:val="000000"/>
                <w:sz w:val="15"/>
                <w:szCs w:val="15"/>
              </w:rPr>
              <w:t>11.30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6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69" w14:textId="77777777" w:rsidR="00980E5F" w:rsidRDefault="00483613">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6C" w14:textId="77777777" w:rsidR="00980E5F" w:rsidRDefault="00483613">
            <w:pPr>
              <w:jc w:val="right"/>
              <w:textAlignment w:val="bottom"/>
            </w:pPr>
            <w:r>
              <w:rPr>
                <w:rFonts w:ascii="Arial" w:eastAsia="宋体" w:hAnsi="Arial" w:cs="Arial"/>
                <w:color w:val="000000"/>
                <w:sz w:val="15"/>
                <w:szCs w:val="15"/>
              </w:rPr>
              <w:t>966 </w:t>
            </w:r>
          </w:p>
        </w:tc>
        <w:tc>
          <w:tcPr>
            <w:tcW w:w="0" w:type="auto"/>
            <w:shd w:val="clear" w:color="auto" w:fill="FFFFFF"/>
            <w:tcMar>
              <w:top w:w="40" w:type="dxa"/>
              <w:left w:w="0" w:type="dxa"/>
              <w:bottom w:w="40" w:type="dxa"/>
              <w:right w:w="20" w:type="dxa"/>
            </w:tcMar>
            <w:vAlign w:val="bottom"/>
          </w:tcPr>
          <w:p w14:paraId="392C926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6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6F" w14:textId="77777777" w:rsidR="00980E5F" w:rsidRDefault="00483613">
            <w:pPr>
              <w:jc w:val="right"/>
              <w:textAlignment w:val="bottom"/>
            </w:pPr>
            <w:r>
              <w:rPr>
                <w:rFonts w:ascii="Arial" w:eastAsia="宋体" w:hAnsi="Arial" w:cs="Arial"/>
                <w:color w:val="000000"/>
                <w:sz w:val="15"/>
                <w:szCs w:val="15"/>
              </w:rPr>
              <w:t>9.66 </w:t>
            </w:r>
          </w:p>
        </w:tc>
        <w:tc>
          <w:tcPr>
            <w:tcW w:w="0" w:type="auto"/>
            <w:shd w:val="clear" w:color="auto" w:fill="FFFFFF"/>
            <w:tcMar>
              <w:top w:w="40" w:type="dxa"/>
              <w:left w:w="0" w:type="dxa"/>
              <w:bottom w:w="40" w:type="dxa"/>
              <w:right w:w="20" w:type="dxa"/>
            </w:tcMar>
            <w:vAlign w:val="bottom"/>
          </w:tcPr>
          <w:p w14:paraId="392C927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7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72" w14:textId="77777777" w:rsidR="00980E5F" w:rsidRDefault="00483613">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392C9273" w14:textId="77777777" w:rsidR="00980E5F" w:rsidRDefault="00980E5F">
            <w:pPr>
              <w:jc w:val="right"/>
              <w:rPr>
                <w:rFonts w:ascii="宋体"/>
              </w:rPr>
            </w:pPr>
          </w:p>
        </w:tc>
      </w:tr>
      <w:tr w:rsidR="00980E5F" w14:paraId="392C9287" w14:textId="77777777">
        <w:tc>
          <w:tcPr>
            <w:tcW w:w="0" w:type="auto"/>
            <w:gridSpan w:val="3"/>
            <w:shd w:val="clear" w:color="auto" w:fill="CCEEFF"/>
            <w:tcMar>
              <w:top w:w="40" w:type="dxa"/>
              <w:left w:w="20" w:type="dxa"/>
              <w:bottom w:w="40" w:type="dxa"/>
              <w:right w:w="20" w:type="dxa"/>
            </w:tcMar>
            <w:vAlign w:val="bottom"/>
          </w:tcPr>
          <w:p w14:paraId="392C9275" w14:textId="77777777" w:rsidR="00980E5F" w:rsidRDefault="00483613">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392C9276" w14:textId="77777777" w:rsidR="00980E5F" w:rsidRDefault="00483613">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7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7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279" w14:textId="77777777" w:rsidR="00980E5F" w:rsidRDefault="00483613">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7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7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27C" w14:textId="77777777" w:rsidR="00980E5F" w:rsidRDefault="00483613">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27F" w14:textId="77777777" w:rsidR="00980E5F" w:rsidRDefault="00483613">
            <w:pPr>
              <w:jc w:val="right"/>
              <w:textAlignment w:val="bottom"/>
            </w:pPr>
            <w:r>
              <w:rPr>
                <w:rFonts w:ascii="Arial" w:eastAsia="宋体" w:hAnsi="Arial" w:cs="Arial"/>
                <w:color w:val="000000"/>
                <w:sz w:val="15"/>
                <w:szCs w:val="15"/>
              </w:rPr>
              <w:t>1,338 </w:t>
            </w:r>
          </w:p>
        </w:tc>
        <w:tc>
          <w:tcPr>
            <w:tcW w:w="0" w:type="auto"/>
            <w:shd w:val="clear" w:color="auto" w:fill="CCEEFF"/>
            <w:tcMar>
              <w:top w:w="40" w:type="dxa"/>
              <w:left w:w="0" w:type="dxa"/>
              <w:bottom w:w="40" w:type="dxa"/>
              <w:right w:w="20" w:type="dxa"/>
            </w:tcMar>
            <w:vAlign w:val="bottom"/>
          </w:tcPr>
          <w:p w14:paraId="392C92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8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282" w14:textId="77777777" w:rsidR="00980E5F" w:rsidRDefault="00483613">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392C928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8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285" w14:textId="77777777" w:rsidR="00980E5F" w:rsidRDefault="00483613">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392C9286" w14:textId="77777777" w:rsidR="00980E5F" w:rsidRDefault="00980E5F">
            <w:pPr>
              <w:jc w:val="right"/>
              <w:rPr>
                <w:rFonts w:ascii="宋体"/>
              </w:rPr>
            </w:pPr>
          </w:p>
        </w:tc>
      </w:tr>
      <w:tr w:rsidR="00980E5F" w14:paraId="392C929A" w14:textId="77777777">
        <w:tc>
          <w:tcPr>
            <w:tcW w:w="0" w:type="auto"/>
            <w:gridSpan w:val="3"/>
            <w:shd w:val="clear" w:color="auto" w:fill="FFFFFF"/>
            <w:tcMar>
              <w:top w:w="40" w:type="dxa"/>
              <w:left w:w="20" w:type="dxa"/>
              <w:bottom w:w="40" w:type="dxa"/>
              <w:right w:w="20" w:type="dxa"/>
            </w:tcMar>
            <w:vAlign w:val="bottom"/>
          </w:tcPr>
          <w:p w14:paraId="392C9288" w14:textId="77777777" w:rsidR="00980E5F" w:rsidRDefault="00483613">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392C9289" w14:textId="77777777" w:rsidR="00980E5F" w:rsidRDefault="00483613">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8C" w14:textId="77777777" w:rsidR="00980E5F" w:rsidRDefault="00483613">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8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8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8F" w14:textId="77777777" w:rsidR="00980E5F" w:rsidRDefault="00483613">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29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9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92" w14:textId="77777777" w:rsidR="00980E5F" w:rsidRDefault="00483613">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392C92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95" w14:textId="77777777" w:rsidR="00980E5F" w:rsidRDefault="00483613">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392C92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29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298"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392C9299" w14:textId="77777777" w:rsidR="00980E5F" w:rsidRDefault="00980E5F">
            <w:pPr>
              <w:jc w:val="right"/>
              <w:rPr>
                <w:rFonts w:ascii="宋体"/>
              </w:rPr>
            </w:pPr>
          </w:p>
        </w:tc>
      </w:tr>
      <w:tr w:rsidR="00980E5F" w14:paraId="392C92AB" w14:textId="77777777">
        <w:tc>
          <w:tcPr>
            <w:tcW w:w="0" w:type="auto"/>
            <w:gridSpan w:val="3"/>
            <w:shd w:val="clear" w:color="auto" w:fill="CCEEFF"/>
            <w:tcMar>
              <w:top w:w="40" w:type="dxa"/>
              <w:left w:w="20" w:type="dxa"/>
              <w:bottom w:w="40" w:type="dxa"/>
              <w:right w:w="20" w:type="dxa"/>
            </w:tcMar>
            <w:vAlign w:val="bottom"/>
          </w:tcPr>
          <w:p w14:paraId="392C929B" w14:textId="77777777" w:rsidR="00980E5F" w:rsidRDefault="00483613">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vAlign w:val="bottom"/>
          </w:tcPr>
          <w:p w14:paraId="392C929C"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9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9E"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9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2A0"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2A1" w14:textId="77777777" w:rsidR="00980E5F" w:rsidRDefault="00483613">
            <w:pPr>
              <w:jc w:val="right"/>
              <w:textAlignment w:val="bottom"/>
            </w:pPr>
            <w:r>
              <w:rPr>
                <w:rFonts w:ascii="Arial" w:eastAsia="宋体" w:hAnsi="Arial" w:cs="Arial"/>
                <w:b/>
                <w:bCs/>
                <w:color w:val="000000"/>
                <w:sz w:val="15"/>
                <w:szCs w:val="15"/>
              </w:rPr>
              <w:t>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2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A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A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A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A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2A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2A8"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2A9" w14:textId="77777777" w:rsidR="00980E5F" w:rsidRDefault="00483613">
            <w:pPr>
              <w:jc w:val="right"/>
              <w:textAlignment w:val="bottom"/>
            </w:pPr>
            <w:r>
              <w:rPr>
                <w:rFonts w:ascii="Arial" w:eastAsia="宋体" w:hAnsi="Arial" w:cs="Arial"/>
                <w:color w:val="000000"/>
                <w:sz w:val="15"/>
                <w:szCs w:val="15"/>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2AA" w14:textId="77777777" w:rsidR="00980E5F" w:rsidRDefault="00980E5F">
            <w:pPr>
              <w:jc w:val="right"/>
              <w:rPr>
                <w:rFonts w:ascii="宋体"/>
              </w:rPr>
            </w:pPr>
          </w:p>
        </w:tc>
      </w:tr>
      <w:tr w:rsidR="00980E5F" w14:paraId="392C92B8" w14:textId="77777777">
        <w:trPr>
          <w:trHeight w:val="60"/>
        </w:trPr>
        <w:tc>
          <w:tcPr>
            <w:tcW w:w="0" w:type="auto"/>
            <w:gridSpan w:val="3"/>
            <w:shd w:val="clear" w:color="auto" w:fill="auto"/>
            <w:tcMar>
              <w:top w:w="0" w:type="dxa"/>
              <w:left w:w="20" w:type="dxa"/>
              <w:bottom w:w="0" w:type="dxa"/>
              <w:right w:w="20" w:type="dxa"/>
            </w:tcMar>
            <w:vAlign w:val="bottom"/>
          </w:tcPr>
          <w:p w14:paraId="392C92A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A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0"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2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B6"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2B7" w14:textId="77777777" w:rsidR="00980E5F" w:rsidRDefault="00980E5F">
            <w:pPr>
              <w:rPr>
                <w:rFonts w:ascii="宋体"/>
              </w:rPr>
            </w:pPr>
          </w:p>
        </w:tc>
      </w:tr>
      <w:tr w:rsidR="00980E5F" w14:paraId="392C92BB" w14:textId="77777777">
        <w:tc>
          <w:tcPr>
            <w:tcW w:w="0" w:type="auto"/>
            <w:gridSpan w:val="3"/>
            <w:shd w:val="clear" w:color="auto" w:fill="auto"/>
            <w:tcMar>
              <w:top w:w="0" w:type="dxa"/>
              <w:left w:w="20" w:type="dxa"/>
              <w:bottom w:w="0" w:type="dxa"/>
              <w:right w:w="20" w:type="dxa"/>
            </w:tcMar>
            <w:vAlign w:val="bottom"/>
          </w:tcPr>
          <w:p w14:paraId="392C92B9"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92BA" w14:textId="77777777" w:rsidR="00980E5F" w:rsidRDefault="00483613">
            <w:pPr>
              <w:jc w:val="center"/>
              <w:textAlignment w:val="bottom"/>
            </w:pPr>
            <w:r>
              <w:rPr>
                <w:rFonts w:ascii="Arial" w:eastAsia="宋体" w:hAnsi="Arial" w:cs="Arial"/>
                <w:b/>
                <w:bCs/>
                <w:color w:val="000000"/>
                <w:sz w:val="15"/>
                <w:szCs w:val="15"/>
              </w:rPr>
              <w:t>Six Months Ended June 30,</w:t>
            </w:r>
          </w:p>
        </w:tc>
      </w:tr>
      <w:tr w:rsidR="00980E5F" w14:paraId="392C92C0" w14:textId="77777777">
        <w:tc>
          <w:tcPr>
            <w:tcW w:w="0" w:type="auto"/>
            <w:gridSpan w:val="3"/>
            <w:shd w:val="clear" w:color="auto" w:fill="auto"/>
            <w:tcMar>
              <w:top w:w="0" w:type="dxa"/>
              <w:left w:w="20" w:type="dxa"/>
              <w:bottom w:w="0" w:type="dxa"/>
              <w:right w:w="20" w:type="dxa"/>
            </w:tcMar>
            <w:vAlign w:val="bottom"/>
          </w:tcPr>
          <w:p w14:paraId="392C92BC"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92BD" w14:textId="77777777" w:rsidR="00980E5F" w:rsidRDefault="00483613">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BE"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92BF" w14:textId="77777777" w:rsidR="00980E5F" w:rsidRDefault="00483613">
            <w:pPr>
              <w:jc w:val="center"/>
              <w:textAlignment w:val="bottom"/>
            </w:pPr>
            <w:r>
              <w:rPr>
                <w:rFonts w:ascii="Arial" w:eastAsia="宋体" w:hAnsi="Arial" w:cs="Arial"/>
                <w:b/>
                <w:bCs/>
                <w:color w:val="000000"/>
                <w:sz w:val="15"/>
                <w:szCs w:val="15"/>
              </w:rPr>
              <w:t>2021</w:t>
            </w:r>
          </w:p>
        </w:tc>
      </w:tr>
      <w:tr w:rsidR="00980E5F" w14:paraId="392C92CD" w14:textId="77777777">
        <w:tc>
          <w:tcPr>
            <w:tcW w:w="0" w:type="auto"/>
            <w:gridSpan w:val="3"/>
            <w:shd w:val="clear" w:color="auto" w:fill="auto"/>
            <w:tcMar>
              <w:top w:w="40" w:type="dxa"/>
              <w:left w:w="20" w:type="dxa"/>
              <w:bottom w:w="40" w:type="dxa"/>
              <w:right w:w="20" w:type="dxa"/>
            </w:tcMar>
            <w:vAlign w:val="bottom"/>
          </w:tcPr>
          <w:p w14:paraId="392C92C1" w14:textId="77777777" w:rsidR="00980E5F" w:rsidRDefault="00483613">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2" w14:textId="77777777" w:rsidR="00980E5F" w:rsidRDefault="00483613">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C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4" w14:textId="77777777" w:rsidR="00980E5F" w:rsidRDefault="00483613">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C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6" w14:textId="77777777" w:rsidR="00980E5F" w:rsidRDefault="00483613">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392C92C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8" w14:textId="77777777" w:rsidR="00980E5F" w:rsidRDefault="00483613">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C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A" w14:textId="77777777" w:rsidR="00980E5F" w:rsidRDefault="00483613">
            <w:pPr>
              <w:jc w:val="center"/>
              <w:textAlignment w:val="bottom"/>
            </w:pPr>
            <w:r>
              <w:rPr>
                <w:rFonts w:ascii="Arial" w:eastAsia="宋体" w:hAnsi="Arial" w:cs="Arial"/>
                <w:b/>
                <w:bCs/>
                <w:color w:val="000000"/>
                <w:sz w:val="15"/>
                <w:szCs w:val="15"/>
              </w:rPr>
              <w:t xml:space="preserve">Dividends </w:t>
            </w:r>
            <w:r>
              <w:rPr>
                <w:rFonts w:ascii="Arial" w:eastAsia="宋体" w:hAnsi="Arial" w:cs="Arial"/>
                <w:b/>
                <w:bCs/>
                <w:color w:val="000000"/>
                <w:sz w:val="15"/>
                <w:szCs w:val="15"/>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C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2CC" w14:textId="77777777" w:rsidR="00980E5F" w:rsidRDefault="00483613">
            <w:pPr>
              <w:jc w:val="center"/>
              <w:textAlignment w:val="bottom"/>
            </w:pPr>
            <w:r>
              <w:rPr>
                <w:rFonts w:ascii="Arial" w:eastAsia="宋体" w:hAnsi="Arial" w:cs="Arial"/>
                <w:b/>
                <w:bCs/>
                <w:color w:val="000000"/>
                <w:sz w:val="15"/>
                <w:szCs w:val="15"/>
              </w:rPr>
              <w:t>Total</w:t>
            </w:r>
          </w:p>
        </w:tc>
      </w:tr>
      <w:tr w:rsidR="00980E5F" w14:paraId="392C92DA" w14:textId="77777777">
        <w:tc>
          <w:tcPr>
            <w:tcW w:w="0" w:type="auto"/>
            <w:gridSpan w:val="3"/>
            <w:shd w:val="clear" w:color="auto" w:fill="auto"/>
            <w:tcMar>
              <w:top w:w="40" w:type="dxa"/>
              <w:left w:w="20" w:type="dxa"/>
              <w:bottom w:w="40" w:type="dxa"/>
              <w:right w:w="20" w:type="dxa"/>
            </w:tcMar>
            <w:vAlign w:val="bottom"/>
          </w:tcPr>
          <w:p w14:paraId="392C92CE" w14:textId="77777777" w:rsidR="00980E5F" w:rsidRDefault="00483613">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C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2D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D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2D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D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D4"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D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D6"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D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2D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2D9" w14:textId="77777777" w:rsidR="00980E5F" w:rsidRDefault="00980E5F">
            <w:pPr>
              <w:rPr>
                <w:rFonts w:ascii="宋体"/>
              </w:rPr>
            </w:pPr>
          </w:p>
        </w:tc>
      </w:tr>
      <w:tr w:rsidR="00980E5F" w14:paraId="392C92E7" w14:textId="77777777">
        <w:trPr>
          <w:hidden/>
        </w:trPr>
        <w:tc>
          <w:tcPr>
            <w:tcW w:w="0" w:type="auto"/>
            <w:gridSpan w:val="3"/>
            <w:shd w:val="clear" w:color="auto" w:fill="auto"/>
            <w:vAlign w:val="bottom"/>
          </w:tcPr>
          <w:p w14:paraId="392C92DB" w14:textId="77777777" w:rsidR="00980E5F" w:rsidRDefault="00980E5F">
            <w:pPr>
              <w:rPr>
                <w:rFonts w:ascii="宋体"/>
                <w:vanish/>
              </w:rPr>
            </w:pPr>
          </w:p>
        </w:tc>
        <w:tc>
          <w:tcPr>
            <w:tcW w:w="0" w:type="auto"/>
            <w:gridSpan w:val="3"/>
            <w:shd w:val="clear" w:color="auto" w:fill="auto"/>
            <w:vAlign w:val="bottom"/>
          </w:tcPr>
          <w:p w14:paraId="392C92DC" w14:textId="77777777" w:rsidR="00980E5F" w:rsidRDefault="00980E5F">
            <w:pPr>
              <w:rPr>
                <w:rFonts w:ascii="宋体"/>
                <w:vanish/>
              </w:rPr>
            </w:pPr>
          </w:p>
        </w:tc>
        <w:tc>
          <w:tcPr>
            <w:tcW w:w="0" w:type="auto"/>
            <w:gridSpan w:val="3"/>
            <w:shd w:val="clear" w:color="auto" w:fill="auto"/>
            <w:vAlign w:val="bottom"/>
          </w:tcPr>
          <w:p w14:paraId="392C92DD" w14:textId="77777777" w:rsidR="00980E5F" w:rsidRDefault="00980E5F">
            <w:pPr>
              <w:rPr>
                <w:rFonts w:ascii="宋体"/>
                <w:vanish/>
              </w:rPr>
            </w:pPr>
          </w:p>
        </w:tc>
        <w:tc>
          <w:tcPr>
            <w:tcW w:w="0" w:type="auto"/>
            <w:gridSpan w:val="3"/>
            <w:shd w:val="clear" w:color="auto" w:fill="auto"/>
            <w:vAlign w:val="bottom"/>
          </w:tcPr>
          <w:p w14:paraId="392C92DE" w14:textId="77777777" w:rsidR="00980E5F" w:rsidRDefault="00980E5F">
            <w:pPr>
              <w:rPr>
                <w:rFonts w:ascii="宋体"/>
                <w:vanish/>
              </w:rPr>
            </w:pPr>
          </w:p>
        </w:tc>
        <w:tc>
          <w:tcPr>
            <w:tcW w:w="0" w:type="auto"/>
            <w:gridSpan w:val="3"/>
            <w:shd w:val="clear" w:color="auto" w:fill="auto"/>
            <w:vAlign w:val="bottom"/>
          </w:tcPr>
          <w:p w14:paraId="392C92DF" w14:textId="77777777" w:rsidR="00980E5F" w:rsidRDefault="00980E5F">
            <w:pPr>
              <w:rPr>
                <w:rFonts w:ascii="宋体"/>
                <w:vanish/>
              </w:rPr>
            </w:pPr>
          </w:p>
        </w:tc>
        <w:tc>
          <w:tcPr>
            <w:tcW w:w="0" w:type="auto"/>
            <w:gridSpan w:val="3"/>
            <w:shd w:val="clear" w:color="auto" w:fill="auto"/>
            <w:vAlign w:val="bottom"/>
          </w:tcPr>
          <w:p w14:paraId="392C92E0" w14:textId="77777777" w:rsidR="00980E5F" w:rsidRDefault="00980E5F">
            <w:pPr>
              <w:rPr>
                <w:rFonts w:ascii="宋体"/>
                <w:vanish/>
              </w:rPr>
            </w:pPr>
          </w:p>
        </w:tc>
        <w:tc>
          <w:tcPr>
            <w:tcW w:w="0" w:type="auto"/>
            <w:gridSpan w:val="3"/>
            <w:shd w:val="clear" w:color="auto" w:fill="auto"/>
            <w:vAlign w:val="bottom"/>
          </w:tcPr>
          <w:p w14:paraId="392C92E1" w14:textId="77777777" w:rsidR="00980E5F" w:rsidRDefault="00980E5F">
            <w:pPr>
              <w:rPr>
                <w:rFonts w:ascii="宋体"/>
                <w:vanish/>
              </w:rPr>
            </w:pPr>
          </w:p>
        </w:tc>
        <w:tc>
          <w:tcPr>
            <w:tcW w:w="0" w:type="auto"/>
            <w:gridSpan w:val="3"/>
            <w:shd w:val="clear" w:color="auto" w:fill="auto"/>
            <w:vAlign w:val="bottom"/>
          </w:tcPr>
          <w:p w14:paraId="392C92E2" w14:textId="77777777" w:rsidR="00980E5F" w:rsidRDefault="00980E5F">
            <w:pPr>
              <w:rPr>
                <w:rFonts w:ascii="宋体"/>
                <w:vanish/>
              </w:rPr>
            </w:pPr>
          </w:p>
        </w:tc>
        <w:tc>
          <w:tcPr>
            <w:tcW w:w="0" w:type="auto"/>
            <w:gridSpan w:val="3"/>
            <w:shd w:val="clear" w:color="auto" w:fill="auto"/>
            <w:vAlign w:val="bottom"/>
          </w:tcPr>
          <w:p w14:paraId="392C92E3" w14:textId="77777777" w:rsidR="00980E5F" w:rsidRDefault="00980E5F">
            <w:pPr>
              <w:rPr>
                <w:rFonts w:ascii="宋体"/>
                <w:vanish/>
              </w:rPr>
            </w:pPr>
          </w:p>
        </w:tc>
        <w:tc>
          <w:tcPr>
            <w:tcW w:w="0" w:type="auto"/>
            <w:gridSpan w:val="3"/>
            <w:shd w:val="clear" w:color="auto" w:fill="auto"/>
            <w:vAlign w:val="bottom"/>
          </w:tcPr>
          <w:p w14:paraId="392C92E4" w14:textId="77777777" w:rsidR="00980E5F" w:rsidRDefault="00980E5F">
            <w:pPr>
              <w:rPr>
                <w:rFonts w:ascii="宋体"/>
                <w:vanish/>
              </w:rPr>
            </w:pPr>
          </w:p>
        </w:tc>
        <w:tc>
          <w:tcPr>
            <w:tcW w:w="0" w:type="auto"/>
            <w:gridSpan w:val="3"/>
            <w:shd w:val="clear" w:color="auto" w:fill="auto"/>
            <w:vAlign w:val="bottom"/>
          </w:tcPr>
          <w:p w14:paraId="392C92E5" w14:textId="77777777" w:rsidR="00980E5F" w:rsidRDefault="00980E5F">
            <w:pPr>
              <w:rPr>
                <w:rFonts w:ascii="宋体"/>
                <w:vanish/>
              </w:rPr>
            </w:pPr>
          </w:p>
        </w:tc>
        <w:tc>
          <w:tcPr>
            <w:tcW w:w="0" w:type="auto"/>
            <w:gridSpan w:val="3"/>
            <w:shd w:val="clear" w:color="auto" w:fill="auto"/>
            <w:vAlign w:val="bottom"/>
          </w:tcPr>
          <w:p w14:paraId="392C92E6" w14:textId="77777777" w:rsidR="00980E5F" w:rsidRDefault="00980E5F">
            <w:pPr>
              <w:rPr>
                <w:rFonts w:ascii="宋体"/>
                <w:vanish/>
              </w:rPr>
            </w:pPr>
          </w:p>
        </w:tc>
      </w:tr>
      <w:tr w:rsidR="00980E5F" w14:paraId="392C9300" w14:textId="77777777">
        <w:tc>
          <w:tcPr>
            <w:tcW w:w="0" w:type="auto"/>
            <w:gridSpan w:val="3"/>
            <w:shd w:val="clear" w:color="auto" w:fill="CCEEFF"/>
            <w:tcMar>
              <w:top w:w="40" w:type="dxa"/>
              <w:left w:w="20" w:type="dxa"/>
              <w:bottom w:w="40" w:type="dxa"/>
              <w:right w:w="20" w:type="dxa"/>
            </w:tcMar>
            <w:vAlign w:val="bottom"/>
          </w:tcPr>
          <w:p w14:paraId="392C92E8" w14:textId="77777777" w:rsidR="00980E5F" w:rsidRDefault="00483613">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392C92E9"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EA" w14:textId="77777777" w:rsidR="00980E5F" w:rsidRDefault="00483613">
            <w:pPr>
              <w:jc w:val="right"/>
              <w:textAlignment w:val="bottom"/>
            </w:pPr>
            <w:r>
              <w:rPr>
                <w:rFonts w:ascii="Arial" w:eastAsia="宋体" w:hAnsi="Arial" w:cs="Arial"/>
                <w:b/>
                <w:bCs/>
                <w:color w:val="000000"/>
                <w:sz w:val="15"/>
                <w:szCs w:val="15"/>
              </w:rPr>
              <w:t>2,950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E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E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ED"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EE" w14:textId="77777777" w:rsidR="00980E5F" w:rsidRDefault="00483613">
            <w:pPr>
              <w:jc w:val="right"/>
              <w:textAlignment w:val="bottom"/>
            </w:pPr>
            <w:r>
              <w:rPr>
                <w:rFonts w:ascii="Arial" w:eastAsia="宋体" w:hAnsi="Arial" w:cs="Arial"/>
                <w:b/>
                <w:bCs/>
                <w:color w:val="000000"/>
                <w:sz w:val="15"/>
                <w:szCs w:val="15"/>
              </w:rPr>
              <w:t>0.74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F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F1" w14:textId="77777777" w:rsidR="00980E5F" w:rsidRDefault="00483613">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392C92F2" w14:textId="77777777" w:rsidR="00980E5F" w:rsidRDefault="00483613">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2F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F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F5"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F6" w14:textId="77777777" w:rsidR="00980E5F" w:rsidRDefault="00483613">
            <w:pPr>
              <w:jc w:val="right"/>
              <w:textAlignment w:val="bottom"/>
            </w:pPr>
            <w:r>
              <w:rPr>
                <w:rFonts w:ascii="Arial" w:eastAsia="宋体" w:hAnsi="Arial" w:cs="Arial"/>
                <w:color w:val="000000"/>
                <w:sz w:val="15"/>
                <w:szCs w:val="15"/>
              </w:rPr>
              <w:t>2,950 </w:t>
            </w:r>
          </w:p>
        </w:tc>
        <w:tc>
          <w:tcPr>
            <w:tcW w:w="0" w:type="auto"/>
            <w:shd w:val="clear" w:color="auto" w:fill="CCEEFF"/>
            <w:tcMar>
              <w:top w:w="40" w:type="dxa"/>
              <w:left w:w="0" w:type="dxa"/>
              <w:bottom w:w="40" w:type="dxa"/>
              <w:right w:w="20" w:type="dxa"/>
            </w:tcMar>
            <w:vAlign w:val="bottom"/>
          </w:tcPr>
          <w:p w14:paraId="392C92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F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F9"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FA" w14:textId="77777777" w:rsidR="00980E5F" w:rsidRDefault="00483613">
            <w:pPr>
              <w:jc w:val="right"/>
              <w:textAlignment w:val="bottom"/>
            </w:pPr>
            <w:r>
              <w:rPr>
                <w:rFonts w:ascii="Arial" w:eastAsia="宋体" w:hAnsi="Arial" w:cs="Arial"/>
                <w:color w:val="000000"/>
                <w:sz w:val="15"/>
                <w:szCs w:val="15"/>
              </w:rPr>
              <w:t>0.74 </w:t>
            </w:r>
          </w:p>
        </w:tc>
        <w:tc>
          <w:tcPr>
            <w:tcW w:w="0" w:type="auto"/>
            <w:shd w:val="clear" w:color="auto" w:fill="CCEEFF"/>
            <w:tcMar>
              <w:top w:w="40" w:type="dxa"/>
              <w:left w:w="0" w:type="dxa"/>
              <w:bottom w:w="40" w:type="dxa"/>
              <w:right w:w="20" w:type="dxa"/>
            </w:tcMar>
            <w:vAlign w:val="bottom"/>
          </w:tcPr>
          <w:p w14:paraId="392C92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2F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2FD" w14:textId="77777777" w:rsidR="00980E5F" w:rsidRDefault="00483613">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392C92FE" w14:textId="77777777" w:rsidR="00980E5F" w:rsidRDefault="00483613">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392C92FF" w14:textId="77777777" w:rsidR="00980E5F" w:rsidRDefault="00980E5F">
            <w:pPr>
              <w:jc w:val="right"/>
              <w:rPr>
                <w:rFonts w:ascii="宋体"/>
              </w:rPr>
            </w:pPr>
          </w:p>
        </w:tc>
      </w:tr>
      <w:tr w:rsidR="00980E5F" w14:paraId="392C930D" w14:textId="77777777">
        <w:trPr>
          <w:hidden/>
        </w:trPr>
        <w:tc>
          <w:tcPr>
            <w:tcW w:w="0" w:type="auto"/>
            <w:gridSpan w:val="3"/>
            <w:shd w:val="clear" w:color="auto" w:fill="auto"/>
            <w:vAlign w:val="bottom"/>
          </w:tcPr>
          <w:p w14:paraId="392C9301" w14:textId="77777777" w:rsidR="00980E5F" w:rsidRDefault="00980E5F">
            <w:pPr>
              <w:rPr>
                <w:rFonts w:ascii="宋体"/>
                <w:vanish/>
              </w:rPr>
            </w:pPr>
          </w:p>
        </w:tc>
        <w:tc>
          <w:tcPr>
            <w:tcW w:w="0" w:type="auto"/>
            <w:gridSpan w:val="3"/>
            <w:shd w:val="clear" w:color="auto" w:fill="auto"/>
            <w:vAlign w:val="bottom"/>
          </w:tcPr>
          <w:p w14:paraId="392C9302" w14:textId="77777777" w:rsidR="00980E5F" w:rsidRDefault="00980E5F">
            <w:pPr>
              <w:rPr>
                <w:rFonts w:ascii="宋体"/>
                <w:vanish/>
              </w:rPr>
            </w:pPr>
          </w:p>
        </w:tc>
        <w:tc>
          <w:tcPr>
            <w:tcW w:w="0" w:type="auto"/>
            <w:gridSpan w:val="3"/>
            <w:shd w:val="clear" w:color="auto" w:fill="auto"/>
            <w:vAlign w:val="bottom"/>
          </w:tcPr>
          <w:p w14:paraId="392C9303" w14:textId="77777777" w:rsidR="00980E5F" w:rsidRDefault="00980E5F">
            <w:pPr>
              <w:rPr>
                <w:rFonts w:ascii="宋体"/>
                <w:vanish/>
              </w:rPr>
            </w:pPr>
          </w:p>
        </w:tc>
        <w:tc>
          <w:tcPr>
            <w:tcW w:w="0" w:type="auto"/>
            <w:gridSpan w:val="3"/>
            <w:shd w:val="clear" w:color="auto" w:fill="auto"/>
            <w:vAlign w:val="bottom"/>
          </w:tcPr>
          <w:p w14:paraId="392C9304" w14:textId="77777777" w:rsidR="00980E5F" w:rsidRDefault="00980E5F">
            <w:pPr>
              <w:rPr>
                <w:rFonts w:ascii="宋体"/>
                <w:vanish/>
              </w:rPr>
            </w:pPr>
          </w:p>
        </w:tc>
        <w:tc>
          <w:tcPr>
            <w:tcW w:w="0" w:type="auto"/>
            <w:gridSpan w:val="3"/>
            <w:shd w:val="clear" w:color="auto" w:fill="auto"/>
            <w:vAlign w:val="bottom"/>
          </w:tcPr>
          <w:p w14:paraId="392C9305" w14:textId="77777777" w:rsidR="00980E5F" w:rsidRDefault="00980E5F">
            <w:pPr>
              <w:rPr>
                <w:rFonts w:ascii="宋体"/>
                <w:vanish/>
              </w:rPr>
            </w:pPr>
          </w:p>
        </w:tc>
        <w:tc>
          <w:tcPr>
            <w:tcW w:w="0" w:type="auto"/>
            <w:gridSpan w:val="3"/>
            <w:shd w:val="clear" w:color="auto" w:fill="auto"/>
            <w:vAlign w:val="bottom"/>
          </w:tcPr>
          <w:p w14:paraId="392C9306" w14:textId="77777777" w:rsidR="00980E5F" w:rsidRDefault="00980E5F">
            <w:pPr>
              <w:rPr>
                <w:rFonts w:ascii="宋体"/>
                <w:vanish/>
              </w:rPr>
            </w:pPr>
          </w:p>
        </w:tc>
        <w:tc>
          <w:tcPr>
            <w:tcW w:w="0" w:type="auto"/>
            <w:gridSpan w:val="3"/>
            <w:shd w:val="clear" w:color="auto" w:fill="auto"/>
            <w:vAlign w:val="bottom"/>
          </w:tcPr>
          <w:p w14:paraId="392C9307" w14:textId="77777777" w:rsidR="00980E5F" w:rsidRDefault="00980E5F">
            <w:pPr>
              <w:rPr>
                <w:rFonts w:ascii="宋体"/>
                <w:vanish/>
              </w:rPr>
            </w:pPr>
          </w:p>
        </w:tc>
        <w:tc>
          <w:tcPr>
            <w:tcW w:w="0" w:type="auto"/>
            <w:gridSpan w:val="3"/>
            <w:shd w:val="clear" w:color="auto" w:fill="auto"/>
            <w:vAlign w:val="bottom"/>
          </w:tcPr>
          <w:p w14:paraId="392C9308" w14:textId="77777777" w:rsidR="00980E5F" w:rsidRDefault="00980E5F">
            <w:pPr>
              <w:rPr>
                <w:rFonts w:ascii="宋体"/>
                <w:vanish/>
              </w:rPr>
            </w:pPr>
          </w:p>
        </w:tc>
        <w:tc>
          <w:tcPr>
            <w:tcW w:w="0" w:type="auto"/>
            <w:gridSpan w:val="3"/>
            <w:shd w:val="clear" w:color="auto" w:fill="auto"/>
            <w:vAlign w:val="bottom"/>
          </w:tcPr>
          <w:p w14:paraId="392C9309" w14:textId="77777777" w:rsidR="00980E5F" w:rsidRDefault="00980E5F">
            <w:pPr>
              <w:rPr>
                <w:rFonts w:ascii="宋体"/>
                <w:vanish/>
              </w:rPr>
            </w:pPr>
          </w:p>
        </w:tc>
        <w:tc>
          <w:tcPr>
            <w:tcW w:w="0" w:type="auto"/>
            <w:gridSpan w:val="3"/>
            <w:shd w:val="clear" w:color="auto" w:fill="auto"/>
            <w:vAlign w:val="bottom"/>
          </w:tcPr>
          <w:p w14:paraId="392C930A" w14:textId="77777777" w:rsidR="00980E5F" w:rsidRDefault="00980E5F">
            <w:pPr>
              <w:rPr>
                <w:rFonts w:ascii="宋体"/>
                <w:vanish/>
              </w:rPr>
            </w:pPr>
          </w:p>
        </w:tc>
        <w:tc>
          <w:tcPr>
            <w:tcW w:w="0" w:type="auto"/>
            <w:gridSpan w:val="3"/>
            <w:shd w:val="clear" w:color="auto" w:fill="auto"/>
            <w:vAlign w:val="bottom"/>
          </w:tcPr>
          <w:p w14:paraId="392C930B" w14:textId="77777777" w:rsidR="00980E5F" w:rsidRDefault="00980E5F">
            <w:pPr>
              <w:rPr>
                <w:rFonts w:ascii="宋体"/>
                <w:vanish/>
              </w:rPr>
            </w:pPr>
          </w:p>
        </w:tc>
        <w:tc>
          <w:tcPr>
            <w:tcW w:w="0" w:type="auto"/>
            <w:gridSpan w:val="3"/>
            <w:shd w:val="clear" w:color="auto" w:fill="auto"/>
            <w:vAlign w:val="bottom"/>
          </w:tcPr>
          <w:p w14:paraId="392C930C" w14:textId="77777777" w:rsidR="00980E5F" w:rsidRDefault="00980E5F">
            <w:pPr>
              <w:rPr>
                <w:rFonts w:ascii="宋体"/>
                <w:vanish/>
              </w:rPr>
            </w:pPr>
          </w:p>
        </w:tc>
      </w:tr>
      <w:tr w:rsidR="00980E5F" w14:paraId="392C9320" w14:textId="77777777">
        <w:tc>
          <w:tcPr>
            <w:tcW w:w="0" w:type="auto"/>
            <w:gridSpan w:val="3"/>
            <w:shd w:val="clear" w:color="auto" w:fill="FFFFFF"/>
            <w:tcMar>
              <w:top w:w="40" w:type="dxa"/>
              <w:left w:w="20" w:type="dxa"/>
              <w:bottom w:w="40" w:type="dxa"/>
              <w:right w:w="20" w:type="dxa"/>
            </w:tcMar>
            <w:vAlign w:val="bottom"/>
          </w:tcPr>
          <w:p w14:paraId="392C930E" w14:textId="77777777" w:rsidR="00980E5F" w:rsidRDefault="00483613">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392C930F" w14:textId="77777777" w:rsidR="00980E5F" w:rsidRDefault="00483613">
            <w:pPr>
              <w:jc w:val="right"/>
              <w:textAlignment w:val="bottom"/>
            </w:pPr>
            <w:r>
              <w:rPr>
                <w:rFonts w:ascii="Arial" w:eastAsia="宋体" w:hAnsi="Arial" w:cs="Arial"/>
                <w:b/>
                <w:bCs/>
                <w:color w:val="000000"/>
                <w:sz w:val="15"/>
                <w:szCs w:val="15"/>
              </w:rPr>
              <w:t>2,080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1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12" w14:textId="77777777" w:rsidR="00980E5F" w:rsidRDefault="00483613">
            <w:pPr>
              <w:jc w:val="right"/>
              <w:textAlignment w:val="bottom"/>
            </w:pPr>
            <w:r>
              <w:rPr>
                <w:rFonts w:ascii="Arial" w:eastAsia="宋体" w:hAnsi="Arial" w:cs="Arial"/>
                <w:b/>
                <w:bCs/>
                <w:color w:val="000000"/>
                <w:sz w:val="15"/>
                <w:szCs w:val="15"/>
              </w:rPr>
              <w:t>20.80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1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1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15" w14:textId="77777777" w:rsidR="00980E5F" w:rsidRDefault="00483613">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1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1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18" w14:textId="77777777" w:rsidR="00980E5F" w:rsidRDefault="00483613">
            <w:pPr>
              <w:jc w:val="right"/>
              <w:textAlignment w:val="bottom"/>
            </w:pPr>
            <w:r>
              <w:rPr>
                <w:rFonts w:ascii="Arial" w:eastAsia="宋体" w:hAnsi="Arial" w:cs="Arial"/>
                <w:color w:val="000000"/>
                <w:sz w:val="15"/>
                <w:szCs w:val="15"/>
              </w:rPr>
              <w:t>1,919 </w:t>
            </w:r>
          </w:p>
        </w:tc>
        <w:tc>
          <w:tcPr>
            <w:tcW w:w="0" w:type="auto"/>
            <w:shd w:val="clear" w:color="auto" w:fill="FFFFFF"/>
            <w:tcMar>
              <w:top w:w="40" w:type="dxa"/>
              <w:left w:w="0" w:type="dxa"/>
              <w:bottom w:w="40" w:type="dxa"/>
              <w:right w:w="20" w:type="dxa"/>
            </w:tcMar>
            <w:vAlign w:val="bottom"/>
          </w:tcPr>
          <w:p w14:paraId="392C931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1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1B" w14:textId="77777777" w:rsidR="00980E5F" w:rsidRDefault="00483613">
            <w:pPr>
              <w:jc w:val="right"/>
              <w:textAlignment w:val="bottom"/>
            </w:pPr>
            <w:r>
              <w:rPr>
                <w:rFonts w:ascii="Arial" w:eastAsia="宋体" w:hAnsi="Arial" w:cs="Arial"/>
                <w:color w:val="000000"/>
                <w:sz w:val="15"/>
                <w:szCs w:val="15"/>
              </w:rPr>
              <w:t>19.19 </w:t>
            </w:r>
          </w:p>
        </w:tc>
        <w:tc>
          <w:tcPr>
            <w:tcW w:w="0" w:type="auto"/>
            <w:shd w:val="clear" w:color="auto" w:fill="FFFFFF"/>
            <w:tcMar>
              <w:top w:w="40" w:type="dxa"/>
              <w:left w:w="0" w:type="dxa"/>
              <w:bottom w:w="40" w:type="dxa"/>
              <w:right w:w="20" w:type="dxa"/>
            </w:tcMar>
            <w:vAlign w:val="bottom"/>
          </w:tcPr>
          <w:p w14:paraId="392C93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1E" w14:textId="77777777" w:rsidR="00980E5F" w:rsidRDefault="00483613">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392C931F" w14:textId="77777777" w:rsidR="00980E5F" w:rsidRDefault="00980E5F">
            <w:pPr>
              <w:jc w:val="right"/>
              <w:rPr>
                <w:rFonts w:ascii="宋体"/>
              </w:rPr>
            </w:pPr>
          </w:p>
        </w:tc>
      </w:tr>
      <w:tr w:rsidR="00980E5F" w14:paraId="392C9333" w14:textId="77777777">
        <w:tc>
          <w:tcPr>
            <w:tcW w:w="0" w:type="auto"/>
            <w:gridSpan w:val="3"/>
            <w:shd w:val="clear" w:color="auto" w:fill="CCEEFF"/>
            <w:tcMar>
              <w:top w:w="40" w:type="dxa"/>
              <w:left w:w="20" w:type="dxa"/>
              <w:bottom w:w="40" w:type="dxa"/>
              <w:right w:w="20" w:type="dxa"/>
            </w:tcMar>
            <w:vAlign w:val="bottom"/>
          </w:tcPr>
          <w:p w14:paraId="392C9321" w14:textId="77777777" w:rsidR="00980E5F" w:rsidRDefault="00483613">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392C9322" w14:textId="77777777" w:rsidR="00980E5F" w:rsidRDefault="00483613">
            <w:pPr>
              <w:jc w:val="right"/>
              <w:textAlignment w:val="bottom"/>
            </w:pPr>
            <w:r>
              <w:rPr>
                <w:rFonts w:ascii="Arial" w:eastAsia="宋体" w:hAnsi="Arial" w:cs="Arial"/>
                <w:b/>
                <w:bCs/>
                <w:color w:val="000000"/>
                <w:sz w:val="15"/>
                <w:szCs w:val="15"/>
              </w:rPr>
              <w:t>2,676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3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2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325" w14:textId="77777777" w:rsidR="00980E5F" w:rsidRDefault="00483613">
            <w:pPr>
              <w:jc w:val="right"/>
              <w:textAlignment w:val="bottom"/>
            </w:pPr>
            <w:r>
              <w:rPr>
                <w:rFonts w:ascii="Arial" w:eastAsia="宋体" w:hAnsi="Arial" w:cs="Arial"/>
                <w:b/>
                <w:bCs/>
                <w:color w:val="000000"/>
                <w:sz w:val="15"/>
                <w:szCs w:val="15"/>
              </w:rPr>
              <w:t>0.66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3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2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328" w14:textId="77777777" w:rsidR="00980E5F" w:rsidRDefault="00483613">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392C93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2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32B" w14:textId="77777777" w:rsidR="00980E5F" w:rsidRDefault="00483613">
            <w:pPr>
              <w:jc w:val="right"/>
              <w:textAlignment w:val="bottom"/>
            </w:pPr>
            <w:r>
              <w:rPr>
                <w:rFonts w:ascii="Arial" w:eastAsia="宋体" w:hAnsi="Arial" w:cs="Arial"/>
                <w:color w:val="000000"/>
                <w:sz w:val="15"/>
                <w:szCs w:val="15"/>
              </w:rPr>
              <w:t>2,676 </w:t>
            </w:r>
          </w:p>
        </w:tc>
        <w:tc>
          <w:tcPr>
            <w:tcW w:w="0" w:type="auto"/>
            <w:shd w:val="clear" w:color="auto" w:fill="CCEEFF"/>
            <w:tcMar>
              <w:top w:w="40" w:type="dxa"/>
              <w:left w:w="0" w:type="dxa"/>
              <w:bottom w:w="40" w:type="dxa"/>
              <w:right w:w="20" w:type="dxa"/>
            </w:tcMar>
            <w:vAlign w:val="bottom"/>
          </w:tcPr>
          <w:p w14:paraId="392C932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2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32E" w14:textId="77777777" w:rsidR="00980E5F" w:rsidRDefault="00483613">
            <w:pPr>
              <w:jc w:val="right"/>
              <w:textAlignment w:val="bottom"/>
            </w:pPr>
            <w:r>
              <w:rPr>
                <w:rFonts w:ascii="Arial" w:eastAsia="宋体" w:hAnsi="Arial" w:cs="Arial"/>
                <w:color w:val="000000"/>
                <w:sz w:val="15"/>
                <w:szCs w:val="15"/>
              </w:rPr>
              <w:t>0.66 </w:t>
            </w:r>
          </w:p>
        </w:tc>
        <w:tc>
          <w:tcPr>
            <w:tcW w:w="0" w:type="auto"/>
            <w:shd w:val="clear" w:color="auto" w:fill="CCEEFF"/>
            <w:tcMar>
              <w:top w:w="40" w:type="dxa"/>
              <w:left w:w="0" w:type="dxa"/>
              <w:bottom w:w="40" w:type="dxa"/>
              <w:right w:w="20" w:type="dxa"/>
            </w:tcMar>
            <w:vAlign w:val="bottom"/>
          </w:tcPr>
          <w:p w14:paraId="392C93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3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331"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392C9332" w14:textId="77777777" w:rsidR="00980E5F" w:rsidRDefault="00980E5F">
            <w:pPr>
              <w:jc w:val="right"/>
              <w:rPr>
                <w:rFonts w:ascii="宋体"/>
              </w:rPr>
            </w:pPr>
          </w:p>
        </w:tc>
      </w:tr>
      <w:tr w:rsidR="00980E5F" w14:paraId="392C9346" w14:textId="77777777">
        <w:tc>
          <w:tcPr>
            <w:tcW w:w="0" w:type="auto"/>
            <w:gridSpan w:val="3"/>
            <w:shd w:val="clear" w:color="auto" w:fill="FFFFFF"/>
            <w:tcMar>
              <w:top w:w="40" w:type="dxa"/>
              <w:left w:w="20" w:type="dxa"/>
              <w:bottom w:w="40" w:type="dxa"/>
              <w:right w:w="20" w:type="dxa"/>
            </w:tcMar>
            <w:vAlign w:val="bottom"/>
          </w:tcPr>
          <w:p w14:paraId="392C9334" w14:textId="77777777" w:rsidR="00980E5F" w:rsidRDefault="00483613">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392C9335" w14:textId="77777777" w:rsidR="00980E5F" w:rsidRDefault="00483613">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3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3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38" w14:textId="77777777" w:rsidR="00980E5F" w:rsidRDefault="00483613">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3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3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3B" w14:textId="77777777" w:rsidR="00980E5F" w:rsidRDefault="00483613">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392C93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3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3E" w14:textId="77777777" w:rsidR="00980E5F" w:rsidRDefault="00483613">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392C93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4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41" w14:textId="77777777" w:rsidR="00980E5F" w:rsidRDefault="00483613">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392C934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34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344" w14:textId="77777777" w:rsidR="00980E5F" w:rsidRDefault="00483613">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392C9345" w14:textId="77777777" w:rsidR="00980E5F" w:rsidRDefault="00980E5F">
            <w:pPr>
              <w:jc w:val="right"/>
              <w:rPr>
                <w:rFonts w:ascii="宋体"/>
              </w:rPr>
            </w:pPr>
          </w:p>
        </w:tc>
      </w:tr>
      <w:tr w:rsidR="00980E5F" w14:paraId="392C9357" w14:textId="77777777">
        <w:tc>
          <w:tcPr>
            <w:tcW w:w="0" w:type="auto"/>
            <w:gridSpan w:val="3"/>
            <w:shd w:val="clear" w:color="auto" w:fill="CCEEFF"/>
            <w:tcMar>
              <w:top w:w="40" w:type="dxa"/>
              <w:left w:w="20" w:type="dxa"/>
              <w:bottom w:w="40" w:type="dxa"/>
              <w:right w:w="20" w:type="dxa"/>
            </w:tcMar>
            <w:vAlign w:val="bottom"/>
          </w:tcPr>
          <w:p w14:paraId="392C9347" w14:textId="77777777" w:rsidR="00980E5F" w:rsidRDefault="00483613">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vAlign w:val="bottom"/>
          </w:tcPr>
          <w:p w14:paraId="392C934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4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4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4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34C" w14:textId="77777777" w:rsidR="00980E5F" w:rsidRDefault="00483613">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34D" w14:textId="77777777" w:rsidR="00980E5F" w:rsidRDefault="00483613">
            <w:pPr>
              <w:jc w:val="right"/>
              <w:textAlignment w:val="bottom"/>
            </w:pPr>
            <w:r>
              <w:rPr>
                <w:rFonts w:ascii="Arial" w:eastAsia="宋体" w:hAnsi="Arial" w:cs="Arial"/>
                <w:b/>
                <w:bCs/>
                <w:color w:val="000000"/>
                <w:sz w:val="15"/>
                <w:szCs w:val="15"/>
              </w:rPr>
              <w:t>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3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34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50"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5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52"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35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354" w14:textId="77777777" w:rsidR="00980E5F" w:rsidRDefault="00483613">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355" w14:textId="77777777" w:rsidR="00980E5F" w:rsidRDefault="00483613">
            <w:pPr>
              <w:jc w:val="right"/>
              <w:textAlignment w:val="bottom"/>
            </w:pPr>
            <w:r>
              <w:rPr>
                <w:rFonts w:ascii="Arial" w:eastAsia="宋体" w:hAnsi="Arial" w:cs="Arial"/>
                <w:color w:val="000000"/>
                <w:sz w:val="15"/>
                <w:szCs w:val="15"/>
              </w:rPr>
              <w:t>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356" w14:textId="77777777" w:rsidR="00980E5F" w:rsidRDefault="00980E5F">
            <w:pPr>
              <w:jc w:val="right"/>
              <w:rPr>
                <w:rFonts w:ascii="宋体"/>
              </w:rPr>
            </w:pPr>
          </w:p>
        </w:tc>
      </w:tr>
      <w:tr w:rsidR="00980E5F" w14:paraId="392C9364" w14:textId="77777777">
        <w:trPr>
          <w:trHeight w:val="100"/>
        </w:trPr>
        <w:tc>
          <w:tcPr>
            <w:tcW w:w="0" w:type="auto"/>
            <w:gridSpan w:val="3"/>
            <w:shd w:val="clear" w:color="auto" w:fill="auto"/>
            <w:tcMar>
              <w:top w:w="0" w:type="dxa"/>
              <w:left w:w="20" w:type="dxa"/>
              <w:bottom w:w="0" w:type="dxa"/>
              <w:right w:w="20" w:type="dxa"/>
            </w:tcMar>
            <w:vAlign w:val="bottom"/>
          </w:tcPr>
          <w:p w14:paraId="392C935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35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6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36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363" w14:textId="77777777" w:rsidR="00980E5F" w:rsidRDefault="00980E5F">
            <w:pPr>
              <w:rPr>
                <w:rFonts w:ascii="宋体"/>
              </w:rPr>
            </w:pPr>
          </w:p>
        </w:tc>
      </w:tr>
    </w:tbl>
    <w:p w14:paraId="392C9365" w14:textId="77777777" w:rsidR="00980E5F" w:rsidRDefault="00483613">
      <w:pPr>
        <w:spacing w:before="60"/>
        <w:ind w:firstLine="450"/>
        <w:jc w:val="both"/>
      </w:pPr>
      <w:r>
        <w:rPr>
          <w:rFonts w:ascii="Arial" w:eastAsia="宋体" w:hAnsi="Arial" w:cs="Arial"/>
          <w:color w:val="000000"/>
          <w:sz w:val="20"/>
          <w:szCs w:val="20"/>
        </w:rPr>
        <w:t xml:space="preserve">In July 2022, we declared dividends on our series D, F and G preferred stock of approximately $1,475, $1,387 and $1,338, respectively, per share, or approximately $0.37, $13.87 and $0.33, respectively, per </w:t>
      </w:r>
      <w:r>
        <w:rPr>
          <w:rFonts w:ascii="Arial" w:eastAsia="宋体" w:hAnsi="Arial" w:cs="Arial"/>
          <w:color w:val="000000"/>
          <w:sz w:val="20"/>
          <w:szCs w:val="20"/>
        </w:rPr>
        <w:t>depositary share. These dividends total approximately $11 million, $3 million and $7 million on our series D, F and G preferred stock, respectively, which will be paid in September 2022.</w:t>
      </w:r>
    </w:p>
    <w:p w14:paraId="392C9366" w14:textId="77777777" w:rsidR="00980E5F" w:rsidRDefault="00483613">
      <w:pPr>
        <w:spacing w:before="60"/>
        <w:jc w:val="both"/>
      </w:pPr>
      <w:r>
        <w:rPr>
          <w:rFonts w:ascii="Arial" w:eastAsia="宋体" w:hAnsi="Arial" w:cs="Arial"/>
          <w:b/>
          <w:bCs/>
          <w:i/>
          <w:iCs/>
          <w:color w:val="000000"/>
          <w:sz w:val="20"/>
          <w:szCs w:val="20"/>
        </w:rPr>
        <w:t>Common Stock</w:t>
      </w:r>
    </w:p>
    <w:p w14:paraId="392C9367" w14:textId="77777777" w:rsidR="00980E5F" w:rsidRDefault="00483613">
      <w:pPr>
        <w:spacing w:before="60"/>
        <w:ind w:firstLine="450"/>
        <w:jc w:val="both"/>
      </w:pPr>
      <w:r>
        <w:rPr>
          <w:rFonts w:ascii="Arial" w:eastAsia="宋体" w:hAnsi="Arial" w:cs="Arial"/>
          <w:color w:val="000000"/>
          <w:sz w:val="20"/>
          <w:szCs w:val="20"/>
        </w:rPr>
        <w:t xml:space="preserve">In September 2021, we completed a public </w:t>
      </w:r>
      <w:r>
        <w:rPr>
          <w:rFonts w:ascii="Arial" w:eastAsia="宋体" w:hAnsi="Arial" w:cs="Arial"/>
          <w:color w:val="000000"/>
          <w:sz w:val="20"/>
          <w:szCs w:val="20"/>
        </w:rPr>
        <w:t>offering of approximately 21.7 million shares of our common stock. The offering price was $87.60 per share and net proceeds totaled approximately $1.9 billion. We expect to use these net proceeds to finance our proposed acquisition of the BBH Investor Serv</w:t>
      </w:r>
      <w:r>
        <w:rPr>
          <w:rFonts w:ascii="Arial" w:eastAsia="宋体" w:hAnsi="Arial" w:cs="Arial"/>
          <w:color w:val="000000"/>
          <w:sz w:val="20"/>
          <w:szCs w:val="20"/>
        </w:rPr>
        <w:t>ices business.</w:t>
      </w:r>
    </w:p>
    <w:p w14:paraId="392C9368" w14:textId="77777777" w:rsidR="00980E5F" w:rsidRDefault="00483613">
      <w:pPr>
        <w:spacing w:before="60"/>
        <w:ind w:firstLine="450"/>
        <w:jc w:val="both"/>
      </w:pPr>
      <w:r>
        <w:rPr>
          <w:rFonts w:ascii="Arial" w:eastAsia="宋体" w:hAnsi="Arial" w:cs="Arial"/>
          <w:color w:val="000000"/>
          <w:sz w:val="20"/>
          <w:szCs w:val="20"/>
        </w:rPr>
        <w:t>In December 2020, the Federal Reserve issued results of 2020 resubmission stress tests and authorized us to continue to pay common stock dividends at current levels and to resume repurchasing common shares in the first quarter of 2021. In Ja</w:t>
      </w:r>
      <w:r>
        <w:rPr>
          <w:rFonts w:ascii="Arial" w:eastAsia="宋体" w:hAnsi="Arial" w:cs="Arial"/>
          <w:color w:val="000000"/>
          <w:sz w:val="20"/>
          <w:szCs w:val="20"/>
        </w:rPr>
        <w:t xml:space="preserve">nuary 2021, our Board authorized a share repurchase program for the repurchase of up to $475 million of our common stock through March 31, 2021. In April 2021, our Board authorized a share repurchase program for the repurchase of up to $425 million of our </w:t>
      </w:r>
      <w:r>
        <w:rPr>
          <w:rFonts w:ascii="Arial" w:eastAsia="宋体" w:hAnsi="Arial" w:cs="Arial"/>
          <w:color w:val="000000"/>
          <w:sz w:val="20"/>
          <w:szCs w:val="20"/>
        </w:rPr>
        <w:t>common stock through June 30, 2021, consistent with the limit set by the Federal Reserve. In July 2021, our Board authorized a share repurchase program for the repurchase of up to $3.0 billion of our common stock through the end of 2022.</w:t>
      </w:r>
    </w:p>
    <w:p w14:paraId="392C9369" w14:textId="77777777" w:rsidR="00980E5F" w:rsidRDefault="00483613">
      <w:pPr>
        <w:spacing w:before="60"/>
        <w:ind w:firstLine="360"/>
        <w:jc w:val="both"/>
      </w:pPr>
      <w:r>
        <w:rPr>
          <w:rFonts w:ascii="Arial" w:eastAsia="宋体" w:hAnsi="Arial" w:cs="Arial"/>
          <w:color w:val="000000"/>
          <w:sz w:val="20"/>
          <w:szCs w:val="20"/>
        </w:rPr>
        <w:t>In connection with</w:t>
      </w:r>
      <w:r>
        <w:rPr>
          <w:rFonts w:ascii="Arial" w:eastAsia="宋体" w:hAnsi="Arial" w:cs="Arial"/>
          <w:color w:val="000000"/>
          <w:sz w:val="20"/>
          <w:szCs w:val="20"/>
        </w:rPr>
        <w:t xml:space="preserve"> our proposed acquisition of the BBH Investor Services business, we did not purchase any common stock during the last half of 2021, as well as during the first half of 2022. In June 2022, we announced our intention to resume our common share repurchases du</w:t>
      </w:r>
      <w:r>
        <w:rPr>
          <w:rFonts w:ascii="Arial" w:eastAsia="宋体" w:hAnsi="Arial" w:cs="Arial"/>
          <w:color w:val="000000"/>
          <w:sz w:val="20"/>
          <w:szCs w:val="20"/>
        </w:rPr>
        <w:t>ring the fourth quarter of 2022 in an amount reflecting interest rate levels and market conditions at that time. Additionally, in July 2022, we declared third quarter common stock dividends of $0.63 per share, representing a 10% increase on a per share bas</w:t>
      </w:r>
      <w:r>
        <w:rPr>
          <w:rFonts w:ascii="Arial" w:eastAsia="宋体" w:hAnsi="Arial" w:cs="Arial"/>
          <w:color w:val="000000"/>
          <w:sz w:val="20"/>
          <w:szCs w:val="20"/>
        </w:rPr>
        <w:t xml:space="preserve">is from both the third quarter 2021 and second quarter of 2022. </w:t>
      </w:r>
    </w:p>
    <w:p w14:paraId="392C936A" w14:textId="77777777" w:rsidR="00980E5F" w:rsidRDefault="00483613">
      <w:pPr>
        <w:spacing w:before="60"/>
        <w:ind w:firstLine="360"/>
        <w:jc w:val="both"/>
      </w:pPr>
      <w:r>
        <w:rPr>
          <w:rFonts w:ascii="Arial" w:eastAsia="宋体" w:hAnsi="Arial" w:cs="Arial"/>
          <w:color w:val="000000"/>
          <w:sz w:val="20"/>
          <w:szCs w:val="20"/>
        </w:rPr>
        <w:t>The table below presents the activity under our common share repurchase program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818"/>
        <w:gridCol w:w="36"/>
        <w:gridCol w:w="36"/>
        <w:gridCol w:w="36"/>
        <w:gridCol w:w="77"/>
        <w:gridCol w:w="77"/>
        <w:gridCol w:w="77"/>
        <w:gridCol w:w="77"/>
        <w:gridCol w:w="77"/>
        <w:gridCol w:w="77"/>
        <w:gridCol w:w="45"/>
        <w:gridCol w:w="980"/>
        <w:gridCol w:w="36"/>
        <w:gridCol w:w="36"/>
        <w:gridCol w:w="36"/>
        <w:gridCol w:w="36"/>
        <w:gridCol w:w="99"/>
        <w:gridCol w:w="1001"/>
        <w:gridCol w:w="37"/>
        <w:gridCol w:w="36"/>
        <w:gridCol w:w="36"/>
        <w:gridCol w:w="36"/>
        <w:gridCol w:w="99"/>
        <w:gridCol w:w="975"/>
        <w:gridCol w:w="37"/>
        <w:gridCol w:w="36"/>
        <w:gridCol w:w="36"/>
        <w:gridCol w:w="36"/>
        <w:gridCol w:w="49"/>
        <w:gridCol w:w="875"/>
        <w:gridCol w:w="36"/>
        <w:gridCol w:w="36"/>
        <w:gridCol w:w="36"/>
        <w:gridCol w:w="36"/>
        <w:gridCol w:w="99"/>
        <w:gridCol w:w="1002"/>
        <w:gridCol w:w="36"/>
        <w:gridCol w:w="36"/>
        <w:gridCol w:w="36"/>
        <w:gridCol w:w="36"/>
        <w:gridCol w:w="99"/>
        <w:gridCol w:w="819"/>
        <w:gridCol w:w="36"/>
      </w:tblGrid>
      <w:tr w:rsidR="00980E5F" w14:paraId="392C9395" w14:textId="77777777">
        <w:tc>
          <w:tcPr>
            <w:tcW w:w="50" w:type="pct"/>
            <w:shd w:val="clear" w:color="auto" w:fill="auto"/>
            <w:vAlign w:val="bottom"/>
          </w:tcPr>
          <w:p w14:paraId="392C936B" w14:textId="77777777" w:rsidR="00980E5F" w:rsidRDefault="00980E5F">
            <w:pPr>
              <w:rPr>
                <w:rFonts w:ascii="宋体"/>
              </w:rPr>
            </w:pPr>
          </w:p>
        </w:tc>
        <w:tc>
          <w:tcPr>
            <w:tcW w:w="567" w:type="pct"/>
            <w:shd w:val="clear" w:color="auto" w:fill="auto"/>
            <w:vAlign w:val="bottom"/>
          </w:tcPr>
          <w:p w14:paraId="392C936C" w14:textId="77777777" w:rsidR="00980E5F" w:rsidRDefault="00980E5F">
            <w:pPr>
              <w:rPr>
                <w:rFonts w:ascii="宋体"/>
              </w:rPr>
            </w:pPr>
          </w:p>
        </w:tc>
        <w:tc>
          <w:tcPr>
            <w:tcW w:w="5" w:type="pct"/>
            <w:shd w:val="clear" w:color="auto" w:fill="auto"/>
            <w:vAlign w:val="bottom"/>
          </w:tcPr>
          <w:p w14:paraId="392C936D" w14:textId="77777777" w:rsidR="00980E5F" w:rsidRDefault="00980E5F">
            <w:pPr>
              <w:rPr>
                <w:rFonts w:ascii="宋体"/>
              </w:rPr>
            </w:pPr>
          </w:p>
        </w:tc>
        <w:tc>
          <w:tcPr>
            <w:tcW w:w="0" w:type="auto"/>
            <w:shd w:val="clear" w:color="auto" w:fill="auto"/>
            <w:vAlign w:val="bottom"/>
          </w:tcPr>
          <w:p w14:paraId="392C936E" w14:textId="77777777" w:rsidR="00980E5F" w:rsidRDefault="00980E5F">
            <w:pPr>
              <w:rPr>
                <w:rFonts w:ascii="宋体"/>
                <w:vanish/>
              </w:rPr>
            </w:pPr>
          </w:p>
        </w:tc>
        <w:tc>
          <w:tcPr>
            <w:tcW w:w="0" w:type="auto"/>
            <w:shd w:val="clear" w:color="auto" w:fill="auto"/>
            <w:vAlign w:val="bottom"/>
          </w:tcPr>
          <w:p w14:paraId="392C936F" w14:textId="77777777" w:rsidR="00980E5F" w:rsidRDefault="00980E5F">
            <w:pPr>
              <w:rPr>
                <w:rFonts w:ascii="宋体"/>
                <w:vanish/>
              </w:rPr>
            </w:pPr>
          </w:p>
        </w:tc>
        <w:tc>
          <w:tcPr>
            <w:tcW w:w="0" w:type="auto"/>
            <w:shd w:val="clear" w:color="auto" w:fill="auto"/>
            <w:vAlign w:val="bottom"/>
          </w:tcPr>
          <w:p w14:paraId="392C9370" w14:textId="77777777" w:rsidR="00980E5F" w:rsidRDefault="00980E5F">
            <w:pPr>
              <w:rPr>
                <w:rFonts w:ascii="宋体"/>
                <w:vanish/>
              </w:rPr>
            </w:pPr>
          </w:p>
        </w:tc>
        <w:tc>
          <w:tcPr>
            <w:tcW w:w="0" w:type="auto"/>
            <w:shd w:val="clear" w:color="auto" w:fill="auto"/>
            <w:vAlign w:val="bottom"/>
          </w:tcPr>
          <w:p w14:paraId="392C9371" w14:textId="77777777" w:rsidR="00980E5F" w:rsidRDefault="00980E5F">
            <w:pPr>
              <w:rPr>
                <w:rFonts w:ascii="宋体"/>
                <w:vanish/>
              </w:rPr>
            </w:pPr>
          </w:p>
        </w:tc>
        <w:tc>
          <w:tcPr>
            <w:tcW w:w="0" w:type="auto"/>
            <w:shd w:val="clear" w:color="auto" w:fill="auto"/>
            <w:vAlign w:val="bottom"/>
          </w:tcPr>
          <w:p w14:paraId="392C9372" w14:textId="77777777" w:rsidR="00980E5F" w:rsidRDefault="00980E5F">
            <w:pPr>
              <w:rPr>
                <w:rFonts w:ascii="宋体"/>
                <w:vanish/>
              </w:rPr>
            </w:pPr>
          </w:p>
        </w:tc>
        <w:tc>
          <w:tcPr>
            <w:tcW w:w="0" w:type="auto"/>
            <w:gridSpan w:val="3"/>
            <w:shd w:val="clear" w:color="auto" w:fill="auto"/>
            <w:vAlign w:val="bottom"/>
          </w:tcPr>
          <w:p w14:paraId="392C9373" w14:textId="77777777" w:rsidR="00980E5F" w:rsidRDefault="00980E5F">
            <w:pPr>
              <w:rPr>
                <w:rFonts w:ascii="宋体"/>
                <w:vanish/>
              </w:rPr>
            </w:pPr>
          </w:p>
        </w:tc>
        <w:tc>
          <w:tcPr>
            <w:tcW w:w="50" w:type="pct"/>
            <w:shd w:val="clear" w:color="auto" w:fill="auto"/>
            <w:vAlign w:val="bottom"/>
          </w:tcPr>
          <w:p w14:paraId="392C9374" w14:textId="77777777" w:rsidR="00980E5F" w:rsidRDefault="00980E5F">
            <w:pPr>
              <w:rPr>
                <w:rFonts w:ascii="宋体"/>
              </w:rPr>
            </w:pPr>
          </w:p>
        </w:tc>
        <w:tc>
          <w:tcPr>
            <w:tcW w:w="677" w:type="pct"/>
            <w:shd w:val="clear" w:color="auto" w:fill="auto"/>
            <w:vAlign w:val="bottom"/>
          </w:tcPr>
          <w:p w14:paraId="392C9375" w14:textId="77777777" w:rsidR="00980E5F" w:rsidRDefault="00980E5F">
            <w:pPr>
              <w:rPr>
                <w:rFonts w:ascii="宋体"/>
              </w:rPr>
            </w:pPr>
          </w:p>
        </w:tc>
        <w:tc>
          <w:tcPr>
            <w:tcW w:w="5" w:type="pct"/>
            <w:shd w:val="clear" w:color="auto" w:fill="auto"/>
            <w:vAlign w:val="bottom"/>
          </w:tcPr>
          <w:p w14:paraId="392C9376" w14:textId="77777777" w:rsidR="00980E5F" w:rsidRDefault="00980E5F">
            <w:pPr>
              <w:rPr>
                <w:rFonts w:ascii="宋体"/>
              </w:rPr>
            </w:pPr>
          </w:p>
        </w:tc>
        <w:tc>
          <w:tcPr>
            <w:tcW w:w="5" w:type="pct"/>
            <w:shd w:val="clear" w:color="auto" w:fill="auto"/>
            <w:vAlign w:val="bottom"/>
          </w:tcPr>
          <w:p w14:paraId="392C9377" w14:textId="77777777" w:rsidR="00980E5F" w:rsidRDefault="00980E5F">
            <w:pPr>
              <w:rPr>
                <w:rFonts w:ascii="宋体"/>
              </w:rPr>
            </w:pPr>
          </w:p>
        </w:tc>
        <w:tc>
          <w:tcPr>
            <w:tcW w:w="19" w:type="pct"/>
            <w:shd w:val="clear" w:color="auto" w:fill="auto"/>
            <w:vAlign w:val="bottom"/>
          </w:tcPr>
          <w:p w14:paraId="392C9378" w14:textId="77777777" w:rsidR="00980E5F" w:rsidRDefault="00980E5F">
            <w:pPr>
              <w:rPr>
                <w:rFonts w:ascii="宋体"/>
              </w:rPr>
            </w:pPr>
          </w:p>
        </w:tc>
        <w:tc>
          <w:tcPr>
            <w:tcW w:w="5" w:type="pct"/>
            <w:shd w:val="clear" w:color="auto" w:fill="auto"/>
            <w:vAlign w:val="bottom"/>
          </w:tcPr>
          <w:p w14:paraId="392C9379" w14:textId="77777777" w:rsidR="00980E5F" w:rsidRDefault="00980E5F">
            <w:pPr>
              <w:rPr>
                <w:rFonts w:ascii="宋体"/>
              </w:rPr>
            </w:pPr>
          </w:p>
        </w:tc>
        <w:tc>
          <w:tcPr>
            <w:tcW w:w="50" w:type="pct"/>
            <w:shd w:val="clear" w:color="auto" w:fill="auto"/>
            <w:vAlign w:val="bottom"/>
          </w:tcPr>
          <w:p w14:paraId="392C937A" w14:textId="77777777" w:rsidR="00980E5F" w:rsidRDefault="00980E5F">
            <w:pPr>
              <w:rPr>
                <w:rFonts w:ascii="宋体"/>
              </w:rPr>
            </w:pPr>
          </w:p>
        </w:tc>
        <w:tc>
          <w:tcPr>
            <w:tcW w:w="677" w:type="pct"/>
            <w:shd w:val="clear" w:color="auto" w:fill="auto"/>
            <w:vAlign w:val="bottom"/>
          </w:tcPr>
          <w:p w14:paraId="392C937B" w14:textId="77777777" w:rsidR="00980E5F" w:rsidRDefault="00980E5F">
            <w:pPr>
              <w:rPr>
                <w:rFonts w:ascii="宋体"/>
              </w:rPr>
            </w:pPr>
          </w:p>
        </w:tc>
        <w:tc>
          <w:tcPr>
            <w:tcW w:w="5" w:type="pct"/>
            <w:shd w:val="clear" w:color="auto" w:fill="auto"/>
            <w:vAlign w:val="bottom"/>
          </w:tcPr>
          <w:p w14:paraId="392C937C" w14:textId="77777777" w:rsidR="00980E5F" w:rsidRDefault="00980E5F">
            <w:pPr>
              <w:rPr>
                <w:rFonts w:ascii="宋体"/>
              </w:rPr>
            </w:pPr>
          </w:p>
        </w:tc>
        <w:tc>
          <w:tcPr>
            <w:tcW w:w="5" w:type="pct"/>
            <w:shd w:val="clear" w:color="auto" w:fill="auto"/>
            <w:vAlign w:val="bottom"/>
          </w:tcPr>
          <w:p w14:paraId="392C937D" w14:textId="77777777" w:rsidR="00980E5F" w:rsidRDefault="00980E5F">
            <w:pPr>
              <w:rPr>
                <w:rFonts w:ascii="宋体"/>
              </w:rPr>
            </w:pPr>
          </w:p>
        </w:tc>
        <w:tc>
          <w:tcPr>
            <w:tcW w:w="41" w:type="pct"/>
            <w:shd w:val="clear" w:color="auto" w:fill="auto"/>
            <w:vAlign w:val="bottom"/>
          </w:tcPr>
          <w:p w14:paraId="392C937E" w14:textId="77777777" w:rsidR="00980E5F" w:rsidRDefault="00980E5F">
            <w:pPr>
              <w:rPr>
                <w:rFonts w:ascii="宋体"/>
              </w:rPr>
            </w:pPr>
          </w:p>
        </w:tc>
        <w:tc>
          <w:tcPr>
            <w:tcW w:w="5" w:type="pct"/>
            <w:shd w:val="clear" w:color="auto" w:fill="auto"/>
            <w:vAlign w:val="bottom"/>
          </w:tcPr>
          <w:p w14:paraId="392C937F" w14:textId="77777777" w:rsidR="00980E5F" w:rsidRDefault="00980E5F">
            <w:pPr>
              <w:rPr>
                <w:rFonts w:ascii="宋体"/>
              </w:rPr>
            </w:pPr>
          </w:p>
        </w:tc>
        <w:tc>
          <w:tcPr>
            <w:tcW w:w="50" w:type="pct"/>
            <w:shd w:val="clear" w:color="auto" w:fill="auto"/>
            <w:vAlign w:val="bottom"/>
          </w:tcPr>
          <w:p w14:paraId="392C9380" w14:textId="77777777" w:rsidR="00980E5F" w:rsidRDefault="00980E5F">
            <w:pPr>
              <w:rPr>
                <w:rFonts w:ascii="宋体"/>
              </w:rPr>
            </w:pPr>
          </w:p>
        </w:tc>
        <w:tc>
          <w:tcPr>
            <w:tcW w:w="677" w:type="pct"/>
            <w:shd w:val="clear" w:color="auto" w:fill="auto"/>
            <w:vAlign w:val="bottom"/>
          </w:tcPr>
          <w:p w14:paraId="392C9381" w14:textId="77777777" w:rsidR="00980E5F" w:rsidRDefault="00980E5F">
            <w:pPr>
              <w:rPr>
                <w:rFonts w:ascii="宋体"/>
              </w:rPr>
            </w:pPr>
          </w:p>
        </w:tc>
        <w:tc>
          <w:tcPr>
            <w:tcW w:w="5" w:type="pct"/>
            <w:shd w:val="clear" w:color="auto" w:fill="auto"/>
            <w:vAlign w:val="bottom"/>
          </w:tcPr>
          <w:p w14:paraId="392C9382" w14:textId="77777777" w:rsidR="00980E5F" w:rsidRDefault="00980E5F">
            <w:pPr>
              <w:rPr>
                <w:rFonts w:ascii="宋体"/>
              </w:rPr>
            </w:pPr>
          </w:p>
        </w:tc>
        <w:tc>
          <w:tcPr>
            <w:tcW w:w="5" w:type="pct"/>
            <w:shd w:val="clear" w:color="auto" w:fill="auto"/>
            <w:vAlign w:val="bottom"/>
          </w:tcPr>
          <w:p w14:paraId="392C9383" w14:textId="77777777" w:rsidR="00980E5F" w:rsidRDefault="00980E5F">
            <w:pPr>
              <w:rPr>
                <w:rFonts w:ascii="宋体"/>
              </w:rPr>
            </w:pPr>
          </w:p>
        </w:tc>
        <w:tc>
          <w:tcPr>
            <w:tcW w:w="19" w:type="pct"/>
            <w:shd w:val="clear" w:color="auto" w:fill="auto"/>
            <w:vAlign w:val="bottom"/>
          </w:tcPr>
          <w:p w14:paraId="392C9384" w14:textId="77777777" w:rsidR="00980E5F" w:rsidRDefault="00980E5F">
            <w:pPr>
              <w:rPr>
                <w:rFonts w:ascii="宋体"/>
              </w:rPr>
            </w:pPr>
          </w:p>
        </w:tc>
        <w:tc>
          <w:tcPr>
            <w:tcW w:w="5" w:type="pct"/>
            <w:shd w:val="clear" w:color="auto" w:fill="auto"/>
            <w:vAlign w:val="bottom"/>
          </w:tcPr>
          <w:p w14:paraId="392C9385" w14:textId="77777777" w:rsidR="00980E5F" w:rsidRDefault="00980E5F">
            <w:pPr>
              <w:rPr>
                <w:rFonts w:ascii="宋体"/>
              </w:rPr>
            </w:pPr>
          </w:p>
        </w:tc>
        <w:tc>
          <w:tcPr>
            <w:tcW w:w="50" w:type="pct"/>
            <w:shd w:val="clear" w:color="auto" w:fill="auto"/>
            <w:vAlign w:val="bottom"/>
          </w:tcPr>
          <w:p w14:paraId="392C9386" w14:textId="77777777" w:rsidR="00980E5F" w:rsidRDefault="00980E5F">
            <w:pPr>
              <w:rPr>
                <w:rFonts w:ascii="宋体"/>
              </w:rPr>
            </w:pPr>
          </w:p>
        </w:tc>
        <w:tc>
          <w:tcPr>
            <w:tcW w:w="611" w:type="pct"/>
            <w:shd w:val="clear" w:color="auto" w:fill="auto"/>
            <w:vAlign w:val="bottom"/>
          </w:tcPr>
          <w:p w14:paraId="392C9387" w14:textId="77777777" w:rsidR="00980E5F" w:rsidRDefault="00980E5F">
            <w:pPr>
              <w:rPr>
                <w:rFonts w:ascii="宋体"/>
              </w:rPr>
            </w:pPr>
          </w:p>
        </w:tc>
        <w:tc>
          <w:tcPr>
            <w:tcW w:w="5" w:type="pct"/>
            <w:shd w:val="clear" w:color="auto" w:fill="auto"/>
            <w:vAlign w:val="bottom"/>
          </w:tcPr>
          <w:p w14:paraId="392C9388" w14:textId="77777777" w:rsidR="00980E5F" w:rsidRDefault="00980E5F">
            <w:pPr>
              <w:rPr>
                <w:rFonts w:ascii="宋体"/>
              </w:rPr>
            </w:pPr>
          </w:p>
        </w:tc>
        <w:tc>
          <w:tcPr>
            <w:tcW w:w="5" w:type="pct"/>
            <w:shd w:val="clear" w:color="auto" w:fill="auto"/>
            <w:vAlign w:val="bottom"/>
          </w:tcPr>
          <w:p w14:paraId="392C9389" w14:textId="77777777" w:rsidR="00980E5F" w:rsidRDefault="00980E5F">
            <w:pPr>
              <w:rPr>
                <w:rFonts w:ascii="宋体"/>
              </w:rPr>
            </w:pPr>
          </w:p>
        </w:tc>
        <w:tc>
          <w:tcPr>
            <w:tcW w:w="19" w:type="pct"/>
            <w:shd w:val="clear" w:color="auto" w:fill="auto"/>
            <w:vAlign w:val="bottom"/>
          </w:tcPr>
          <w:p w14:paraId="392C938A" w14:textId="77777777" w:rsidR="00980E5F" w:rsidRDefault="00980E5F">
            <w:pPr>
              <w:rPr>
                <w:rFonts w:ascii="宋体"/>
              </w:rPr>
            </w:pPr>
          </w:p>
        </w:tc>
        <w:tc>
          <w:tcPr>
            <w:tcW w:w="5" w:type="pct"/>
            <w:shd w:val="clear" w:color="auto" w:fill="auto"/>
            <w:vAlign w:val="bottom"/>
          </w:tcPr>
          <w:p w14:paraId="392C938B" w14:textId="77777777" w:rsidR="00980E5F" w:rsidRDefault="00980E5F">
            <w:pPr>
              <w:rPr>
                <w:rFonts w:ascii="宋体"/>
              </w:rPr>
            </w:pPr>
          </w:p>
        </w:tc>
        <w:tc>
          <w:tcPr>
            <w:tcW w:w="50" w:type="pct"/>
            <w:shd w:val="clear" w:color="auto" w:fill="auto"/>
            <w:vAlign w:val="bottom"/>
          </w:tcPr>
          <w:p w14:paraId="392C938C" w14:textId="77777777" w:rsidR="00980E5F" w:rsidRDefault="00980E5F">
            <w:pPr>
              <w:rPr>
                <w:rFonts w:ascii="宋体"/>
              </w:rPr>
            </w:pPr>
          </w:p>
        </w:tc>
        <w:tc>
          <w:tcPr>
            <w:tcW w:w="677" w:type="pct"/>
            <w:shd w:val="clear" w:color="auto" w:fill="auto"/>
            <w:vAlign w:val="bottom"/>
          </w:tcPr>
          <w:p w14:paraId="392C938D" w14:textId="77777777" w:rsidR="00980E5F" w:rsidRDefault="00980E5F">
            <w:pPr>
              <w:rPr>
                <w:rFonts w:ascii="宋体"/>
              </w:rPr>
            </w:pPr>
          </w:p>
        </w:tc>
        <w:tc>
          <w:tcPr>
            <w:tcW w:w="5" w:type="pct"/>
            <w:shd w:val="clear" w:color="auto" w:fill="auto"/>
            <w:vAlign w:val="bottom"/>
          </w:tcPr>
          <w:p w14:paraId="392C938E" w14:textId="77777777" w:rsidR="00980E5F" w:rsidRDefault="00980E5F">
            <w:pPr>
              <w:rPr>
                <w:rFonts w:ascii="宋体"/>
              </w:rPr>
            </w:pPr>
          </w:p>
        </w:tc>
        <w:tc>
          <w:tcPr>
            <w:tcW w:w="5" w:type="pct"/>
            <w:shd w:val="clear" w:color="auto" w:fill="auto"/>
            <w:vAlign w:val="bottom"/>
          </w:tcPr>
          <w:p w14:paraId="392C938F" w14:textId="77777777" w:rsidR="00980E5F" w:rsidRDefault="00980E5F">
            <w:pPr>
              <w:rPr>
                <w:rFonts w:ascii="宋体"/>
              </w:rPr>
            </w:pPr>
          </w:p>
        </w:tc>
        <w:tc>
          <w:tcPr>
            <w:tcW w:w="19" w:type="pct"/>
            <w:shd w:val="clear" w:color="auto" w:fill="auto"/>
            <w:vAlign w:val="bottom"/>
          </w:tcPr>
          <w:p w14:paraId="392C9390" w14:textId="77777777" w:rsidR="00980E5F" w:rsidRDefault="00980E5F">
            <w:pPr>
              <w:rPr>
                <w:rFonts w:ascii="宋体"/>
              </w:rPr>
            </w:pPr>
          </w:p>
        </w:tc>
        <w:tc>
          <w:tcPr>
            <w:tcW w:w="5" w:type="pct"/>
            <w:shd w:val="clear" w:color="auto" w:fill="auto"/>
            <w:vAlign w:val="bottom"/>
          </w:tcPr>
          <w:p w14:paraId="392C9391" w14:textId="77777777" w:rsidR="00980E5F" w:rsidRDefault="00980E5F">
            <w:pPr>
              <w:rPr>
                <w:rFonts w:ascii="宋体"/>
              </w:rPr>
            </w:pPr>
          </w:p>
        </w:tc>
        <w:tc>
          <w:tcPr>
            <w:tcW w:w="50" w:type="pct"/>
            <w:shd w:val="clear" w:color="auto" w:fill="auto"/>
            <w:vAlign w:val="bottom"/>
          </w:tcPr>
          <w:p w14:paraId="392C9392" w14:textId="77777777" w:rsidR="00980E5F" w:rsidRDefault="00980E5F">
            <w:pPr>
              <w:rPr>
                <w:rFonts w:ascii="宋体"/>
              </w:rPr>
            </w:pPr>
          </w:p>
        </w:tc>
        <w:tc>
          <w:tcPr>
            <w:tcW w:w="560" w:type="pct"/>
            <w:shd w:val="clear" w:color="auto" w:fill="auto"/>
            <w:vAlign w:val="bottom"/>
          </w:tcPr>
          <w:p w14:paraId="392C9393" w14:textId="77777777" w:rsidR="00980E5F" w:rsidRDefault="00980E5F">
            <w:pPr>
              <w:rPr>
                <w:rFonts w:ascii="宋体"/>
              </w:rPr>
            </w:pPr>
          </w:p>
        </w:tc>
        <w:tc>
          <w:tcPr>
            <w:tcW w:w="5" w:type="pct"/>
            <w:shd w:val="clear" w:color="auto" w:fill="auto"/>
            <w:vAlign w:val="bottom"/>
          </w:tcPr>
          <w:p w14:paraId="392C9394" w14:textId="77777777" w:rsidR="00980E5F" w:rsidRDefault="00980E5F">
            <w:pPr>
              <w:rPr>
                <w:rFonts w:ascii="宋体"/>
              </w:rPr>
            </w:pPr>
          </w:p>
        </w:tc>
      </w:tr>
      <w:tr w:rsidR="00980E5F" w14:paraId="392C93C0" w14:textId="77777777">
        <w:trPr>
          <w:hidden/>
        </w:trPr>
        <w:tc>
          <w:tcPr>
            <w:tcW w:w="0" w:type="auto"/>
            <w:gridSpan w:val="3"/>
            <w:shd w:val="clear" w:color="auto" w:fill="auto"/>
            <w:vAlign w:val="bottom"/>
          </w:tcPr>
          <w:p w14:paraId="392C9396" w14:textId="77777777" w:rsidR="00980E5F" w:rsidRDefault="00980E5F">
            <w:pPr>
              <w:rPr>
                <w:rFonts w:ascii="宋体"/>
                <w:vanish/>
              </w:rPr>
            </w:pPr>
          </w:p>
        </w:tc>
        <w:tc>
          <w:tcPr>
            <w:tcW w:w="0" w:type="auto"/>
            <w:shd w:val="clear" w:color="auto" w:fill="auto"/>
            <w:vAlign w:val="bottom"/>
          </w:tcPr>
          <w:p w14:paraId="392C9397" w14:textId="77777777" w:rsidR="00980E5F" w:rsidRDefault="00980E5F">
            <w:pPr>
              <w:rPr>
                <w:rFonts w:ascii="宋体"/>
                <w:vanish/>
              </w:rPr>
            </w:pPr>
          </w:p>
        </w:tc>
        <w:tc>
          <w:tcPr>
            <w:tcW w:w="0" w:type="auto"/>
            <w:shd w:val="clear" w:color="auto" w:fill="auto"/>
            <w:vAlign w:val="bottom"/>
          </w:tcPr>
          <w:p w14:paraId="392C9398" w14:textId="77777777" w:rsidR="00980E5F" w:rsidRDefault="00980E5F">
            <w:pPr>
              <w:rPr>
                <w:rFonts w:ascii="宋体"/>
                <w:vanish/>
              </w:rPr>
            </w:pPr>
          </w:p>
        </w:tc>
        <w:tc>
          <w:tcPr>
            <w:tcW w:w="0" w:type="auto"/>
            <w:shd w:val="clear" w:color="auto" w:fill="auto"/>
            <w:vAlign w:val="bottom"/>
          </w:tcPr>
          <w:p w14:paraId="392C9399" w14:textId="77777777" w:rsidR="00980E5F" w:rsidRDefault="00980E5F">
            <w:pPr>
              <w:rPr>
                <w:rFonts w:ascii="宋体"/>
                <w:vanish/>
              </w:rPr>
            </w:pPr>
          </w:p>
        </w:tc>
        <w:tc>
          <w:tcPr>
            <w:tcW w:w="0" w:type="auto"/>
            <w:shd w:val="clear" w:color="auto" w:fill="auto"/>
            <w:vAlign w:val="bottom"/>
          </w:tcPr>
          <w:p w14:paraId="392C939A" w14:textId="77777777" w:rsidR="00980E5F" w:rsidRDefault="00980E5F">
            <w:pPr>
              <w:rPr>
                <w:rFonts w:ascii="宋体"/>
                <w:vanish/>
              </w:rPr>
            </w:pPr>
          </w:p>
        </w:tc>
        <w:tc>
          <w:tcPr>
            <w:tcW w:w="0" w:type="auto"/>
            <w:shd w:val="clear" w:color="auto" w:fill="auto"/>
            <w:vAlign w:val="bottom"/>
          </w:tcPr>
          <w:p w14:paraId="392C939B" w14:textId="77777777" w:rsidR="00980E5F" w:rsidRDefault="00980E5F">
            <w:pPr>
              <w:rPr>
                <w:rFonts w:ascii="宋体"/>
                <w:vanish/>
              </w:rPr>
            </w:pPr>
          </w:p>
        </w:tc>
        <w:tc>
          <w:tcPr>
            <w:tcW w:w="0" w:type="auto"/>
            <w:shd w:val="clear" w:color="auto" w:fill="auto"/>
            <w:vAlign w:val="bottom"/>
          </w:tcPr>
          <w:p w14:paraId="392C939C" w14:textId="77777777" w:rsidR="00980E5F" w:rsidRDefault="00980E5F">
            <w:pPr>
              <w:rPr>
                <w:rFonts w:ascii="宋体"/>
              </w:rPr>
            </w:pPr>
          </w:p>
        </w:tc>
        <w:tc>
          <w:tcPr>
            <w:tcW w:w="0" w:type="auto"/>
            <w:shd w:val="clear" w:color="auto" w:fill="auto"/>
            <w:vAlign w:val="bottom"/>
          </w:tcPr>
          <w:p w14:paraId="392C939D" w14:textId="77777777" w:rsidR="00980E5F" w:rsidRDefault="00980E5F">
            <w:pPr>
              <w:rPr>
                <w:rFonts w:ascii="宋体"/>
              </w:rPr>
            </w:pPr>
          </w:p>
        </w:tc>
        <w:tc>
          <w:tcPr>
            <w:tcW w:w="0" w:type="auto"/>
            <w:shd w:val="clear" w:color="auto" w:fill="auto"/>
            <w:vAlign w:val="bottom"/>
          </w:tcPr>
          <w:p w14:paraId="392C939E" w14:textId="77777777" w:rsidR="00980E5F" w:rsidRDefault="00980E5F">
            <w:pPr>
              <w:rPr>
                <w:rFonts w:ascii="宋体"/>
              </w:rPr>
            </w:pPr>
          </w:p>
        </w:tc>
        <w:tc>
          <w:tcPr>
            <w:tcW w:w="0" w:type="auto"/>
            <w:shd w:val="clear" w:color="auto" w:fill="auto"/>
            <w:vAlign w:val="bottom"/>
          </w:tcPr>
          <w:p w14:paraId="392C939F" w14:textId="77777777" w:rsidR="00980E5F" w:rsidRDefault="00980E5F">
            <w:pPr>
              <w:rPr>
                <w:rFonts w:ascii="宋体"/>
              </w:rPr>
            </w:pPr>
          </w:p>
        </w:tc>
        <w:tc>
          <w:tcPr>
            <w:tcW w:w="0" w:type="auto"/>
            <w:shd w:val="clear" w:color="auto" w:fill="auto"/>
            <w:vAlign w:val="bottom"/>
          </w:tcPr>
          <w:p w14:paraId="392C93A0" w14:textId="77777777" w:rsidR="00980E5F" w:rsidRDefault="00980E5F">
            <w:pPr>
              <w:rPr>
                <w:rFonts w:ascii="宋体"/>
              </w:rPr>
            </w:pPr>
          </w:p>
        </w:tc>
        <w:tc>
          <w:tcPr>
            <w:tcW w:w="0" w:type="auto"/>
            <w:shd w:val="clear" w:color="auto" w:fill="auto"/>
            <w:vAlign w:val="bottom"/>
          </w:tcPr>
          <w:p w14:paraId="392C93A1" w14:textId="77777777" w:rsidR="00980E5F" w:rsidRDefault="00980E5F">
            <w:pPr>
              <w:rPr>
                <w:rFonts w:ascii="宋体"/>
              </w:rPr>
            </w:pPr>
          </w:p>
        </w:tc>
        <w:tc>
          <w:tcPr>
            <w:tcW w:w="0" w:type="auto"/>
            <w:shd w:val="clear" w:color="auto" w:fill="auto"/>
            <w:vAlign w:val="bottom"/>
          </w:tcPr>
          <w:p w14:paraId="392C93A2" w14:textId="77777777" w:rsidR="00980E5F" w:rsidRDefault="00980E5F">
            <w:pPr>
              <w:rPr>
                <w:rFonts w:ascii="宋体"/>
              </w:rPr>
            </w:pPr>
          </w:p>
        </w:tc>
        <w:tc>
          <w:tcPr>
            <w:tcW w:w="0" w:type="auto"/>
            <w:shd w:val="clear" w:color="auto" w:fill="auto"/>
            <w:vAlign w:val="bottom"/>
          </w:tcPr>
          <w:p w14:paraId="392C93A3" w14:textId="77777777" w:rsidR="00980E5F" w:rsidRDefault="00980E5F">
            <w:pPr>
              <w:rPr>
                <w:rFonts w:ascii="宋体"/>
              </w:rPr>
            </w:pPr>
          </w:p>
        </w:tc>
        <w:tc>
          <w:tcPr>
            <w:tcW w:w="0" w:type="auto"/>
            <w:shd w:val="clear" w:color="auto" w:fill="auto"/>
            <w:vAlign w:val="bottom"/>
          </w:tcPr>
          <w:p w14:paraId="392C93A4" w14:textId="77777777" w:rsidR="00980E5F" w:rsidRDefault="00980E5F">
            <w:pPr>
              <w:rPr>
                <w:rFonts w:ascii="宋体"/>
              </w:rPr>
            </w:pPr>
          </w:p>
        </w:tc>
        <w:tc>
          <w:tcPr>
            <w:tcW w:w="0" w:type="auto"/>
            <w:shd w:val="clear" w:color="auto" w:fill="auto"/>
            <w:vAlign w:val="bottom"/>
          </w:tcPr>
          <w:p w14:paraId="392C93A5" w14:textId="77777777" w:rsidR="00980E5F" w:rsidRDefault="00980E5F">
            <w:pPr>
              <w:rPr>
                <w:rFonts w:ascii="宋体"/>
              </w:rPr>
            </w:pPr>
          </w:p>
        </w:tc>
        <w:tc>
          <w:tcPr>
            <w:tcW w:w="0" w:type="auto"/>
            <w:shd w:val="clear" w:color="auto" w:fill="auto"/>
            <w:vAlign w:val="bottom"/>
          </w:tcPr>
          <w:p w14:paraId="392C93A6" w14:textId="77777777" w:rsidR="00980E5F" w:rsidRDefault="00980E5F">
            <w:pPr>
              <w:rPr>
                <w:rFonts w:ascii="宋体"/>
              </w:rPr>
            </w:pPr>
          </w:p>
        </w:tc>
        <w:tc>
          <w:tcPr>
            <w:tcW w:w="0" w:type="auto"/>
            <w:shd w:val="clear" w:color="auto" w:fill="auto"/>
            <w:vAlign w:val="bottom"/>
          </w:tcPr>
          <w:p w14:paraId="392C93A7" w14:textId="77777777" w:rsidR="00980E5F" w:rsidRDefault="00980E5F">
            <w:pPr>
              <w:rPr>
                <w:rFonts w:ascii="宋体"/>
              </w:rPr>
            </w:pPr>
          </w:p>
        </w:tc>
        <w:tc>
          <w:tcPr>
            <w:tcW w:w="0" w:type="auto"/>
            <w:shd w:val="clear" w:color="auto" w:fill="auto"/>
            <w:vAlign w:val="bottom"/>
          </w:tcPr>
          <w:p w14:paraId="392C93A8" w14:textId="77777777" w:rsidR="00980E5F" w:rsidRDefault="00980E5F">
            <w:pPr>
              <w:rPr>
                <w:rFonts w:ascii="宋体"/>
              </w:rPr>
            </w:pPr>
          </w:p>
        </w:tc>
        <w:tc>
          <w:tcPr>
            <w:tcW w:w="0" w:type="auto"/>
            <w:shd w:val="clear" w:color="auto" w:fill="auto"/>
            <w:vAlign w:val="bottom"/>
          </w:tcPr>
          <w:p w14:paraId="392C93A9" w14:textId="77777777" w:rsidR="00980E5F" w:rsidRDefault="00980E5F">
            <w:pPr>
              <w:rPr>
                <w:rFonts w:ascii="宋体"/>
              </w:rPr>
            </w:pPr>
          </w:p>
        </w:tc>
        <w:tc>
          <w:tcPr>
            <w:tcW w:w="0" w:type="auto"/>
            <w:shd w:val="clear" w:color="auto" w:fill="auto"/>
            <w:vAlign w:val="bottom"/>
          </w:tcPr>
          <w:p w14:paraId="392C93AA" w14:textId="77777777" w:rsidR="00980E5F" w:rsidRDefault="00980E5F">
            <w:pPr>
              <w:rPr>
                <w:rFonts w:ascii="宋体"/>
              </w:rPr>
            </w:pPr>
          </w:p>
        </w:tc>
        <w:tc>
          <w:tcPr>
            <w:tcW w:w="0" w:type="auto"/>
            <w:shd w:val="clear" w:color="auto" w:fill="auto"/>
            <w:vAlign w:val="bottom"/>
          </w:tcPr>
          <w:p w14:paraId="392C93AB" w14:textId="77777777" w:rsidR="00980E5F" w:rsidRDefault="00980E5F">
            <w:pPr>
              <w:rPr>
                <w:rFonts w:ascii="宋体"/>
              </w:rPr>
            </w:pPr>
          </w:p>
        </w:tc>
        <w:tc>
          <w:tcPr>
            <w:tcW w:w="0" w:type="auto"/>
            <w:shd w:val="clear" w:color="auto" w:fill="auto"/>
            <w:vAlign w:val="bottom"/>
          </w:tcPr>
          <w:p w14:paraId="392C93AC" w14:textId="77777777" w:rsidR="00980E5F" w:rsidRDefault="00980E5F">
            <w:pPr>
              <w:rPr>
                <w:rFonts w:ascii="宋体"/>
              </w:rPr>
            </w:pPr>
          </w:p>
        </w:tc>
        <w:tc>
          <w:tcPr>
            <w:tcW w:w="0" w:type="auto"/>
            <w:shd w:val="clear" w:color="auto" w:fill="auto"/>
            <w:vAlign w:val="bottom"/>
          </w:tcPr>
          <w:p w14:paraId="392C93AD" w14:textId="77777777" w:rsidR="00980E5F" w:rsidRDefault="00980E5F">
            <w:pPr>
              <w:rPr>
                <w:rFonts w:ascii="宋体"/>
              </w:rPr>
            </w:pPr>
          </w:p>
        </w:tc>
        <w:tc>
          <w:tcPr>
            <w:tcW w:w="0" w:type="auto"/>
            <w:shd w:val="clear" w:color="auto" w:fill="auto"/>
            <w:vAlign w:val="bottom"/>
          </w:tcPr>
          <w:p w14:paraId="392C93AE" w14:textId="77777777" w:rsidR="00980E5F" w:rsidRDefault="00980E5F">
            <w:pPr>
              <w:rPr>
                <w:rFonts w:ascii="宋体"/>
              </w:rPr>
            </w:pPr>
          </w:p>
        </w:tc>
        <w:tc>
          <w:tcPr>
            <w:tcW w:w="0" w:type="auto"/>
            <w:shd w:val="clear" w:color="auto" w:fill="auto"/>
            <w:vAlign w:val="bottom"/>
          </w:tcPr>
          <w:p w14:paraId="392C93AF" w14:textId="77777777" w:rsidR="00980E5F" w:rsidRDefault="00980E5F">
            <w:pPr>
              <w:rPr>
                <w:rFonts w:ascii="宋体"/>
              </w:rPr>
            </w:pPr>
          </w:p>
        </w:tc>
        <w:tc>
          <w:tcPr>
            <w:tcW w:w="0" w:type="auto"/>
            <w:shd w:val="clear" w:color="auto" w:fill="auto"/>
            <w:vAlign w:val="bottom"/>
          </w:tcPr>
          <w:p w14:paraId="392C93B0" w14:textId="77777777" w:rsidR="00980E5F" w:rsidRDefault="00980E5F">
            <w:pPr>
              <w:rPr>
                <w:rFonts w:ascii="宋体"/>
              </w:rPr>
            </w:pPr>
          </w:p>
        </w:tc>
        <w:tc>
          <w:tcPr>
            <w:tcW w:w="0" w:type="auto"/>
            <w:shd w:val="clear" w:color="auto" w:fill="auto"/>
            <w:vAlign w:val="bottom"/>
          </w:tcPr>
          <w:p w14:paraId="392C93B1" w14:textId="77777777" w:rsidR="00980E5F" w:rsidRDefault="00980E5F">
            <w:pPr>
              <w:rPr>
                <w:rFonts w:ascii="宋体"/>
              </w:rPr>
            </w:pPr>
          </w:p>
        </w:tc>
        <w:tc>
          <w:tcPr>
            <w:tcW w:w="0" w:type="auto"/>
            <w:shd w:val="clear" w:color="auto" w:fill="auto"/>
            <w:vAlign w:val="bottom"/>
          </w:tcPr>
          <w:p w14:paraId="392C93B2" w14:textId="77777777" w:rsidR="00980E5F" w:rsidRDefault="00980E5F">
            <w:pPr>
              <w:rPr>
                <w:rFonts w:ascii="宋体"/>
              </w:rPr>
            </w:pPr>
          </w:p>
        </w:tc>
        <w:tc>
          <w:tcPr>
            <w:tcW w:w="0" w:type="auto"/>
            <w:shd w:val="clear" w:color="auto" w:fill="auto"/>
            <w:vAlign w:val="bottom"/>
          </w:tcPr>
          <w:p w14:paraId="392C93B3" w14:textId="77777777" w:rsidR="00980E5F" w:rsidRDefault="00980E5F">
            <w:pPr>
              <w:rPr>
                <w:rFonts w:ascii="宋体"/>
              </w:rPr>
            </w:pPr>
          </w:p>
        </w:tc>
        <w:tc>
          <w:tcPr>
            <w:tcW w:w="0" w:type="auto"/>
            <w:shd w:val="clear" w:color="auto" w:fill="auto"/>
            <w:vAlign w:val="bottom"/>
          </w:tcPr>
          <w:p w14:paraId="392C93B4" w14:textId="77777777" w:rsidR="00980E5F" w:rsidRDefault="00980E5F">
            <w:pPr>
              <w:rPr>
                <w:rFonts w:ascii="宋体"/>
              </w:rPr>
            </w:pPr>
          </w:p>
        </w:tc>
        <w:tc>
          <w:tcPr>
            <w:tcW w:w="0" w:type="auto"/>
            <w:shd w:val="clear" w:color="auto" w:fill="auto"/>
            <w:vAlign w:val="bottom"/>
          </w:tcPr>
          <w:p w14:paraId="392C93B5" w14:textId="77777777" w:rsidR="00980E5F" w:rsidRDefault="00980E5F">
            <w:pPr>
              <w:rPr>
                <w:rFonts w:ascii="宋体"/>
              </w:rPr>
            </w:pPr>
          </w:p>
        </w:tc>
        <w:tc>
          <w:tcPr>
            <w:tcW w:w="0" w:type="auto"/>
            <w:shd w:val="clear" w:color="auto" w:fill="auto"/>
            <w:vAlign w:val="bottom"/>
          </w:tcPr>
          <w:p w14:paraId="392C93B6" w14:textId="77777777" w:rsidR="00980E5F" w:rsidRDefault="00980E5F">
            <w:pPr>
              <w:rPr>
                <w:rFonts w:ascii="宋体"/>
              </w:rPr>
            </w:pPr>
          </w:p>
        </w:tc>
        <w:tc>
          <w:tcPr>
            <w:tcW w:w="0" w:type="auto"/>
            <w:shd w:val="clear" w:color="auto" w:fill="auto"/>
            <w:vAlign w:val="bottom"/>
          </w:tcPr>
          <w:p w14:paraId="392C93B7" w14:textId="77777777" w:rsidR="00980E5F" w:rsidRDefault="00980E5F">
            <w:pPr>
              <w:rPr>
                <w:rFonts w:ascii="宋体"/>
              </w:rPr>
            </w:pPr>
          </w:p>
        </w:tc>
        <w:tc>
          <w:tcPr>
            <w:tcW w:w="0" w:type="auto"/>
            <w:shd w:val="clear" w:color="auto" w:fill="auto"/>
            <w:vAlign w:val="bottom"/>
          </w:tcPr>
          <w:p w14:paraId="392C93B8" w14:textId="77777777" w:rsidR="00980E5F" w:rsidRDefault="00980E5F">
            <w:pPr>
              <w:rPr>
                <w:rFonts w:ascii="宋体"/>
              </w:rPr>
            </w:pPr>
          </w:p>
        </w:tc>
        <w:tc>
          <w:tcPr>
            <w:tcW w:w="0" w:type="auto"/>
            <w:shd w:val="clear" w:color="auto" w:fill="auto"/>
            <w:vAlign w:val="bottom"/>
          </w:tcPr>
          <w:p w14:paraId="392C93B9" w14:textId="77777777" w:rsidR="00980E5F" w:rsidRDefault="00980E5F">
            <w:pPr>
              <w:rPr>
                <w:rFonts w:ascii="宋体"/>
              </w:rPr>
            </w:pPr>
          </w:p>
        </w:tc>
        <w:tc>
          <w:tcPr>
            <w:tcW w:w="0" w:type="auto"/>
            <w:shd w:val="clear" w:color="auto" w:fill="auto"/>
            <w:vAlign w:val="bottom"/>
          </w:tcPr>
          <w:p w14:paraId="392C93BA" w14:textId="77777777" w:rsidR="00980E5F" w:rsidRDefault="00980E5F">
            <w:pPr>
              <w:rPr>
                <w:rFonts w:ascii="宋体"/>
              </w:rPr>
            </w:pPr>
          </w:p>
        </w:tc>
        <w:tc>
          <w:tcPr>
            <w:tcW w:w="0" w:type="auto"/>
            <w:shd w:val="clear" w:color="auto" w:fill="auto"/>
            <w:vAlign w:val="bottom"/>
          </w:tcPr>
          <w:p w14:paraId="392C93BB" w14:textId="77777777" w:rsidR="00980E5F" w:rsidRDefault="00980E5F">
            <w:pPr>
              <w:rPr>
                <w:rFonts w:ascii="宋体"/>
              </w:rPr>
            </w:pPr>
          </w:p>
        </w:tc>
        <w:tc>
          <w:tcPr>
            <w:tcW w:w="0" w:type="auto"/>
            <w:shd w:val="clear" w:color="auto" w:fill="auto"/>
            <w:vAlign w:val="bottom"/>
          </w:tcPr>
          <w:p w14:paraId="392C93BC" w14:textId="77777777" w:rsidR="00980E5F" w:rsidRDefault="00980E5F">
            <w:pPr>
              <w:rPr>
                <w:rFonts w:ascii="宋体"/>
              </w:rPr>
            </w:pPr>
          </w:p>
        </w:tc>
        <w:tc>
          <w:tcPr>
            <w:tcW w:w="0" w:type="auto"/>
            <w:shd w:val="clear" w:color="auto" w:fill="auto"/>
            <w:vAlign w:val="bottom"/>
          </w:tcPr>
          <w:p w14:paraId="392C93BD" w14:textId="77777777" w:rsidR="00980E5F" w:rsidRDefault="00980E5F">
            <w:pPr>
              <w:rPr>
                <w:rFonts w:ascii="宋体"/>
              </w:rPr>
            </w:pPr>
          </w:p>
        </w:tc>
        <w:tc>
          <w:tcPr>
            <w:tcW w:w="0" w:type="auto"/>
            <w:shd w:val="clear" w:color="auto" w:fill="auto"/>
            <w:vAlign w:val="bottom"/>
          </w:tcPr>
          <w:p w14:paraId="392C93BE" w14:textId="77777777" w:rsidR="00980E5F" w:rsidRDefault="00980E5F">
            <w:pPr>
              <w:rPr>
                <w:rFonts w:ascii="宋体"/>
              </w:rPr>
            </w:pPr>
          </w:p>
        </w:tc>
        <w:tc>
          <w:tcPr>
            <w:tcW w:w="0" w:type="auto"/>
            <w:shd w:val="clear" w:color="auto" w:fill="auto"/>
            <w:vAlign w:val="bottom"/>
          </w:tcPr>
          <w:p w14:paraId="392C93BF" w14:textId="77777777" w:rsidR="00980E5F" w:rsidRDefault="00980E5F">
            <w:pPr>
              <w:rPr>
                <w:rFonts w:ascii="宋体"/>
              </w:rPr>
            </w:pPr>
          </w:p>
        </w:tc>
      </w:tr>
      <w:tr w:rsidR="00980E5F" w14:paraId="392C93D3" w14:textId="77777777">
        <w:trPr>
          <w:hidden/>
        </w:trPr>
        <w:tc>
          <w:tcPr>
            <w:tcW w:w="0" w:type="auto"/>
            <w:gridSpan w:val="3"/>
            <w:shd w:val="clear" w:color="auto" w:fill="auto"/>
            <w:vAlign w:val="bottom"/>
          </w:tcPr>
          <w:p w14:paraId="392C93C1" w14:textId="77777777" w:rsidR="00980E5F" w:rsidRDefault="00980E5F">
            <w:pPr>
              <w:rPr>
                <w:rFonts w:ascii="宋体"/>
                <w:vanish/>
              </w:rPr>
            </w:pPr>
          </w:p>
        </w:tc>
        <w:tc>
          <w:tcPr>
            <w:tcW w:w="0" w:type="auto"/>
            <w:shd w:val="clear" w:color="auto" w:fill="auto"/>
            <w:vAlign w:val="bottom"/>
          </w:tcPr>
          <w:p w14:paraId="392C93C2" w14:textId="77777777" w:rsidR="00980E5F" w:rsidRDefault="00980E5F">
            <w:pPr>
              <w:rPr>
                <w:rFonts w:ascii="宋体"/>
                <w:vanish/>
              </w:rPr>
            </w:pPr>
          </w:p>
        </w:tc>
        <w:tc>
          <w:tcPr>
            <w:tcW w:w="0" w:type="auto"/>
            <w:shd w:val="clear" w:color="auto" w:fill="auto"/>
            <w:vAlign w:val="bottom"/>
          </w:tcPr>
          <w:p w14:paraId="392C93C3" w14:textId="77777777" w:rsidR="00980E5F" w:rsidRDefault="00980E5F">
            <w:pPr>
              <w:rPr>
                <w:rFonts w:ascii="宋体"/>
                <w:vanish/>
              </w:rPr>
            </w:pPr>
          </w:p>
        </w:tc>
        <w:tc>
          <w:tcPr>
            <w:tcW w:w="0" w:type="auto"/>
            <w:shd w:val="clear" w:color="auto" w:fill="auto"/>
            <w:vAlign w:val="bottom"/>
          </w:tcPr>
          <w:p w14:paraId="392C93C4" w14:textId="77777777" w:rsidR="00980E5F" w:rsidRDefault="00980E5F">
            <w:pPr>
              <w:rPr>
                <w:rFonts w:ascii="宋体"/>
                <w:vanish/>
              </w:rPr>
            </w:pPr>
          </w:p>
        </w:tc>
        <w:tc>
          <w:tcPr>
            <w:tcW w:w="0" w:type="auto"/>
            <w:shd w:val="clear" w:color="auto" w:fill="auto"/>
            <w:vAlign w:val="bottom"/>
          </w:tcPr>
          <w:p w14:paraId="392C93C5" w14:textId="77777777" w:rsidR="00980E5F" w:rsidRDefault="00980E5F">
            <w:pPr>
              <w:rPr>
                <w:rFonts w:ascii="宋体"/>
                <w:vanish/>
              </w:rPr>
            </w:pPr>
          </w:p>
        </w:tc>
        <w:tc>
          <w:tcPr>
            <w:tcW w:w="0" w:type="auto"/>
            <w:shd w:val="clear" w:color="auto" w:fill="auto"/>
            <w:vAlign w:val="bottom"/>
          </w:tcPr>
          <w:p w14:paraId="392C93C6" w14:textId="77777777" w:rsidR="00980E5F" w:rsidRDefault="00980E5F">
            <w:pPr>
              <w:rPr>
                <w:rFonts w:ascii="宋体"/>
                <w:vanish/>
              </w:rPr>
            </w:pPr>
          </w:p>
        </w:tc>
        <w:tc>
          <w:tcPr>
            <w:tcW w:w="0" w:type="auto"/>
            <w:gridSpan w:val="3"/>
            <w:shd w:val="clear" w:color="auto" w:fill="auto"/>
            <w:vAlign w:val="bottom"/>
          </w:tcPr>
          <w:p w14:paraId="392C93C7" w14:textId="77777777" w:rsidR="00980E5F" w:rsidRDefault="00980E5F">
            <w:pPr>
              <w:rPr>
                <w:rFonts w:ascii="宋体"/>
                <w:vanish/>
              </w:rPr>
            </w:pPr>
          </w:p>
        </w:tc>
        <w:tc>
          <w:tcPr>
            <w:tcW w:w="0" w:type="auto"/>
            <w:gridSpan w:val="3"/>
            <w:shd w:val="clear" w:color="auto" w:fill="auto"/>
            <w:vAlign w:val="bottom"/>
          </w:tcPr>
          <w:p w14:paraId="392C93C8" w14:textId="77777777" w:rsidR="00980E5F" w:rsidRDefault="00980E5F">
            <w:pPr>
              <w:rPr>
                <w:rFonts w:ascii="宋体"/>
                <w:vanish/>
              </w:rPr>
            </w:pPr>
          </w:p>
        </w:tc>
        <w:tc>
          <w:tcPr>
            <w:tcW w:w="0" w:type="auto"/>
            <w:gridSpan w:val="3"/>
            <w:shd w:val="clear" w:color="auto" w:fill="auto"/>
            <w:vAlign w:val="bottom"/>
          </w:tcPr>
          <w:p w14:paraId="392C93C9" w14:textId="77777777" w:rsidR="00980E5F" w:rsidRDefault="00980E5F">
            <w:pPr>
              <w:rPr>
                <w:rFonts w:ascii="宋体"/>
                <w:vanish/>
              </w:rPr>
            </w:pPr>
          </w:p>
        </w:tc>
        <w:tc>
          <w:tcPr>
            <w:tcW w:w="0" w:type="auto"/>
            <w:gridSpan w:val="3"/>
            <w:shd w:val="clear" w:color="auto" w:fill="auto"/>
            <w:vAlign w:val="bottom"/>
          </w:tcPr>
          <w:p w14:paraId="392C93CA" w14:textId="77777777" w:rsidR="00980E5F" w:rsidRDefault="00980E5F">
            <w:pPr>
              <w:rPr>
                <w:rFonts w:ascii="宋体"/>
                <w:vanish/>
              </w:rPr>
            </w:pPr>
          </w:p>
        </w:tc>
        <w:tc>
          <w:tcPr>
            <w:tcW w:w="0" w:type="auto"/>
            <w:gridSpan w:val="3"/>
            <w:shd w:val="clear" w:color="auto" w:fill="auto"/>
            <w:vAlign w:val="bottom"/>
          </w:tcPr>
          <w:p w14:paraId="392C93CB" w14:textId="77777777" w:rsidR="00980E5F" w:rsidRDefault="00980E5F">
            <w:pPr>
              <w:rPr>
                <w:rFonts w:ascii="宋体"/>
                <w:vanish/>
              </w:rPr>
            </w:pPr>
          </w:p>
        </w:tc>
        <w:tc>
          <w:tcPr>
            <w:tcW w:w="0" w:type="auto"/>
            <w:gridSpan w:val="3"/>
            <w:shd w:val="clear" w:color="auto" w:fill="auto"/>
            <w:vAlign w:val="bottom"/>
          </w:tcPr>
          <w:p w14:paraId="392C93CC" w14:textId="77777777" w:rsidR="00980E5F" w:rsidRDefault="00980E5F">
            <w:pPr>
              <w:rPr>
                <w:rFonts w:ascii="宋体"/>
                <w:vanish/>
              </w:rPr>
            </w:pPr>
          </w:p>
        </w:tc>
        <w:tc>
          <w:tcPr>
            <w:tcW w:w="0" w:type="auto"/>
            <w:gridSpan w:val="3"/>
            <w:shd w:val="clear" w:color="auto" w:fill="auto"/>
            <w:vAlign w:val="bottom"/>
          </w:tcPr>
          <w:p w14:paraId="392C93CD" w14:textId="77777777" w:rsidR="00980E5F" w:rsidRDefault="00980E5F">
            <w:pPr>
              <w:rPr>
                <w:rFonts w:ascii="宋体"/>
                <w:vanish/>
              </w:rPr>
            </w:pPr>
          </w:p>
        </w:tc>
        <w:tc>
          <w:tcPr>
            <w:tcW w:w="0" w:type="auto"/>
            <w:gridSpan w:val="3"/>
            <w:shd w:val="clear" w:color="auto" w:fill="auto"/>
            <w:vAlign w:val="bottom"/>
          </w:tcPr>
          <w:p w14:paraId="392C93CE" w14:textId="77777777" w:rsidR="00980E5F" w:rsidRDefault="00980E5F">
            <w:pPr>
              <w:rPr>
                <w:rFonts w:ascii="宋体"/>
                <w:vanish/>
              </w:rPr>
            </w:pPr>
          </w:p>
        </w:tc>
        <w:tc>
          <w:tcPr>
            <w:tcW w:w="0" w:type="auto"/>
            <w:gridSpan w:val="3"/>
            <w:shd w:val="clear" w:color="auto" w:fill="auto"/>
            <w:vAlign w:val="bottom"/>
          </w:tcPr>
          <w:p w14:paraId="392C93CF" w14:textId="77777777" w:rsidR="00980E5F" w:rsidRDefault="00980E5F">
            <w:pPr>
              <w:rPr>
                <w:rFonts w:ascii="宋体"/>
                <w:vanish/>
              </w:rPr>
            </w:pPr>
          </w:p>
        </w:tc>
        <w:tc>
          <w:tcPr>
            <w:tcW w:w="0" w:type="auto"/>
            <w:gridSpan w:val="3"/>
            <w:shd w:val="clear" w:color="auto" w:fill="auto"/>
            <w:vAlign w:val="bottom"/>
          </w:tcPr>
          <w:p w14:paraId="392C93D0" w14:textId="77777777" w:rsidR="00980E5F" w:rsidRDefault="00980E5F">
            <w:pPr>
              <w:rPr>
                <w:rFonts w:ascii="宋体"/>
                <w:vanish/>
              </w:rPr>
            </w:pPr>
          </w:p>
        </w:tc>
        <w:tc>
          <w:tcPr>
            <w:tcW w:w="0" w:type="auto"/>
            <w:gridSpan w:val="3"/>
            <w:shd w:val="clear" w:color="auto" w:fill="auto"/>
            <w:vAlign w:val="bottom"/>
          </w:tcPr>
          <w:p w14:paraId="392C93D1" w14:textId="77777777" w:rsidR="00980E5F" w:rsidRDefault="00980E5F">
            <w:pPr>
              <w:rPr>
                <w:rFonts w:ascii="宋体"/>
                <w:vanish/>
              </w:rPr>
            </w:pPr>
          </w:p>
        </w:tc>
        <w:tc>
          <w:tcPr>
            <w:tcW w:w="0" w:type="auto"/>
            <w:gridSpan w:val="3"/>
            <w:shd w:val="clear" w:color="auto" w:fill="auto"/>
            <w:vAlign w:val="bottom"/>
          </w:tcPr>
          <w:p w14:paraId="392C93D2" w14:textId="77777777" w:rsidR="00980E5F" w:rsidRDefault="00980E5F">
            <w:pPr>
              <w:rPr>
                <w:rFonts w:ascii="宋体"/>
                <w:vanish/>
              </w:rPr>
            </w:pPr>
          </w:p>
        </w:tc>
      </w:tr>
      <w:tr w:rsidR="00980E5F" w14:paraId="392C93E6" w14:textId="77777777">
        <w:trPr>
          <w:hidden/>
        </w:trPr>
        <w:tc>
          <w:tcPr>
            <w:tcW w:w="0" w:type="auto"/>
            <w:gridSpan w:val="3"/>
            <w:shd w:val="clear" w:color="auto" w:fill="auto"/>
            <w:vAlign w:val="bottom"/>
          </w:tcPr>
          <w:p w14:paraId="392C93D4" w14:textId="77777777" w:rsidR="00980E5F" w:rsidRDefault="00980E5F">
            <w:pPr>
              <w:rPr>
                <w:rFonts w:ascii="宋体"/>
                <w:vanish/>
              </w:rPr>
            </w:pPr>
          </w:p>
        </w:tc>
        <w:tc>
          <w:tcPr>
            <w:tcW w:w="0" w:type="auto"/>
            <w:shd w:val="clear" w:color="auto" w:fill="auto"/>
            <w:vAlign w:val="bottom"/>
          </w:tcPr>
          <w:p w14:paraId="392C93D5" w14:textId="77777777" w:rsidR="00980E5F" w:rsidRDefault="00980E5F">
            <w:pPr>
              <w:rPr>
                <w:rFonts w:ascii="宋体"/>
                <w:vanish/>
              </w:rPr>
            </w:pPr>
          </w:p>
        </w:tc>
        <w:tc>
          <w:tcPr>
            <w:tcW w:w="0" w:type="auto"/>
            <w:shd w:val="clear" w:color="auto" w:fill="auto"/>
            <w:vAlign w:val="bottom"/>
          </w:tcPr>
          <w:p w14:paraId="392C93D6" w14:textId="77777777" w:rsidR="00980E5F" w:rsidRDefault="00980E5F">
            <w:pPr>
              <w:rPr>
                <w:rFonts w:ascii="宋体"/>
                <w:vanish/>
              </w:rPr>
            </w:pPr>
          </w:p>
        </w:tc>
        <w:tc>
          <w:tcPr>
            <w:tcW w:w="0" w:type="auto"/>
            <w:shd w:val="clear" w:color="auto" w:fill="auto"/>
            <w:vAlign w:val="bottom"/>
          </w:tcPr>
          <w:p w14:paraId="392C93D7" w14:textId="77777777" w:rsidR="00980E5F" w:rsidRDefault="00980E5F">
            <w:pPr>
              <w:rPr>
                <w:rFonts w:ascii="宋体"/>
                <w:vanish/>
              </w:rPr>
            </w:pPr>
          </w:p>
        </w:tc>
        <w:tc>
          <w:tcPr>
            <w:tcW w:w="0" w:type="auto"/>
            <w:shd w:val="clear" w:color="auto" w:fill="auto"/>
            <w:vAlign w:val="bottom"/>
          </w:tcPr>
          <w:p w14:paraId="392C93D8" w14:textId="77777777" w:rsidR="00980E5F" w:rsidRDefault="00980E5F">
            <w:pPr>
              <w:rPr>
                <w:rFonts w:ascii="宋体"/>
                <w:vanish/>
              </w:rPr>
            </w:pPr>
          </w:p>
        </w:tc>
        <w:tc>
          <w:tcPr>
            <w:tcW w:w="0" w:type="auto"/>
            <w:shd w:val="clear" w:color="auto" w:fill="auto"/>
            <w:vAlign w:val="bottom"/>
          </w:tcPr>
          <w:p w14:paraId="392C93D9" w14:textId="77777777" w:rsidR="00980E5F" w:rsidRDefault="00980E5F">
            <w:pPr>
              <w:rPr>
                <w:rFonts w:ascii="宋体"/>
                <w:vanish/>
              </w:rPr>
            </w:pPr>
          </w:p>
        </w:tc>
        <w:tc>
          <w:tcPr>
            <w:tcW w:w="0" w:type="auto"/>
            <w:gridSpan w:val="3"/>
            <w:shd w:val="clear" w:color="auto" w:fill="auto"/>
            <w:vAlign w:val="bottom"/>
          </w:tcPr>
          <w:p w14:paraId="392C93DA" w14:textId="77777777" w:rsidR="00980E5F" w:rsidRDefault="00980E5F">
            <w:pPr>
              <w:rPr>
                <w:rFonts w:ascii="宋体"/>
                <w:vanish/>
              </w:rPr>
            </w:pPr>
          </w:p>
        </w:tc>
        <w:tc>
          <w:tcPr>
            <w:tcW w:w="0" w:type="auto"/>
            <w:gridSpan w:val="3"/>
            <w:shd w:val="clear" w:color="auto" w:fill="auto"/>
            <w:vAlign w:val="bottom"/>
          </w:tcPr>
          <w:p w14:paraId="392C93DB" w14:textId="77777777" w:rsidR="00980E5F" w:rsidRDefault="00980E5F">
            <w:pPr>
              <w:rPr>
                <w:rFonts w:ascii="宋体"/>
                <w:vanish/>
              </w:rPr>
            </w:pPr>
          </w:p>
        </w:tc>
        <w:tc>
          <w:tcPr>
            <w:tcW w:w="0" w:type="auto"/>
            <w:gridSpan w:val="3"/>
            <w:shd w:val="clear" w:color="auto" w:fill="auto"/>
            <w:vAlign w:val="bottom"/>
          </w:tcPr>
          <w:p w14:paraId="392C93DC" w14:textId="77777777" w:rsidR="00980E5F" w:rsidRDefault="00980E5F">
            <w:pPr>
              <w:rPr>
                <w:rFonts w:ascii="宋体"/>
                <w:vanish/>
              </w:rPr>
            </w:pPr>
          </w:p>
        </w:tc>
        <w:tc>
          <w:tcPr>
            <w:tcW w:w="0" w:type="auto"/>
            <w:gridSpan w:val="3"/>
            <w:shd w:val="clear" w:color="auto" w:fill="auto"/>
            <w:vAlign w:val="bottom"/>
          </w:tcPr>
          <w:p w14:paraId="392C93DD" w14:textId="77777777" w:rsidR="00980E5F" w:rsidRDefault="00980E5F">
            <w:pPr>
              <w:rPr>
                <w:rFonts w:ascii="宋体"/>
                <w:vanish/>
              </w:rPr>
            </w:pPr>
          </w:p>
        </w:tc>
        <w:tc>
          <w:tcPr>
            <w:tcW w:w="0" w:type="auto"/>
            <w:gridSpan w:val="3"/>
            <w:shd w:val="clear" w:color="auto" w:fill="auto"/>
            <w:vAlign w:val="bottom"/>
          </w:tcPr>
          <w:p w14:paraId="392C93DE" w14:textId="77777777" w:rsidR="00980E5F" w:rsidRDefault="00980E5F">
            <w:pPr>
              <w:rPr>
                <w:rFonts w:ascii="宋体"/>
                <w:vanish/>
              </w:rPr>
            </w:pPr>
          </w:p>
        </w:tc>
        <w:tc>
          <w:tcPr>
            <w:tcW w:w="0" w:type="auto"/>
            <w:gridSpan w:val="3"/>
            <w:shd w:val="clear" w:color="auto" w:fill="auto"/>
            <w:vAlign w:val="bottom"/>
          </w:tcPr>
          <w:p w14:paraId="392C93DF" w14:textId="77777777" w:rsidR="00980E5F" w:rsidRDefault="00980E5F">
            <w:pPr>
              <w:rPr>
                <w:rFonts w:ascii="宋体"/>
                <w:vanish/>
              </w:rPr>
            </w:pPr>
          </w:p>
        </w:tc>
        <w:tc>
          <w:tcPr>
            <w:tcW w:w="0" w:type="auto"/>
            <w:gridSpan w:val="3"/>
            <w:shd w:val="clear" w:color="auto" w:fill="auto"/>
            <w:vAlign w:val="bottom"/>
          </w:tcPr>
          <w:p w14:paraId="392C93E0" w14:textId="77777777" w:rsidR="00980E5F" w:rsidRDefault="00980E5F">
            <w:pPr>
              <w:rPr>
                <w:rFonts w:ascii="宋体"/>
                <w:vanish/>
              </w:rPr>
            </w:pPr>
          </w:p>
        </w:tc>
        <w:tc>
          <w:tcPr>
            <w:tcW w:w="0" w:type="auto"/>
            <w:gridSpan w:val="3"/>
            <w:shd w:val="clear" w:color="auto" w:fill="auto"/>
            <w:vAlign w:val="bottom"/>
          </w:tcPr>
          <w:p w14:paraId="392C93E1" w14:textId="77777777" w:rsidR="00980E5F" w:rsidRDefault="00980E5F">
            <w:pPr>
              <w:rPr>
                <w:rFonts w:ascii="宋体"/>
                <w:vanish/>
              </w:rPr>
            </w:pPr>
          </w:p>
        </w:tc>
        <w:tc>
          <w:tcPr>
            <w:tcW w:w="0" w:type="auto"/>
            <w:gridSpan w:val="3"/>
            <w:shd w:val="clear" w:color="auto" w:fill="auto"/>
            <w:vAlign w:val="bottom"/>
          </w:tcPr>
          <w:p w14:paraId="392C93E2" w14:textId="77777777" w:rsidR="00980E5F" w:rsidRDefault="00980E5F">
            <w:pPr>
              <w:rPr>
                <w:rFonts w:ascii="宋体"/>
                <w:vanish/>
              </w:rPr>
            </w:pPr>
          </w:p>
        </w:tc>
        <w:tc>
          <w:tcPr>
            <w:tcW w:w="0" w:type="auto"/>
            <w:gridSpan w:val="3"/>
            <w:shd w:val="clear" w:color="auto" w:fill="auto"/>
            <w:vAlign w:val="bottom"/>
          </w:tcPr>
          <w:p w14:paraId="392C93E3" w14:textId="77777777" w:rsidR="00980E5F" w:rsidRDefault="00980E5F">
            <w:pPr>
              <w:rPr>
                <w:rFonts w:ascii="宋体"/>
                <w:vanish/>
              </w:rPr>
            </w:pPr>
          </w:p>
        </w:tc>
        <w:tc>
          <w:tcPr>
            <w:tcW w:w="0" w:type="auto"/>
            <w:gridSpan w:val="3"/>
            <w:shd w:val="clear" w:color="auto" w:fill="auto"/>
            <w:vAlign w:val="bottom"/>
          </w:tcPr>
          <w:p w14:paraId="392C93E4" w14:textId="77777777" w:rsidR="00980E5F" w:rsidRDefault="00980E5F">
            <w:pPr>
              <w:rPr>
                <w:rFonts w:ascii="宋体"/>
                <w:vanish/>
              </w:rPr>
            </w:pPr>
          </w:p>
        </w:tc>
        <w:tc>
          <w:tcPr>
            <w:tcW w:w="0" w:type="auto"/>
            <w:gridSpan w:val="3"/>
            <w:shd w:val="clear" w:color="auto" w:fill="auto"/>
            <w:vAlign w:val="bottom"/>
          </w:tcPr>
          <w:p w14:paraId="392C93E5" w14:textId="77777777" w:rsidR="00980E5F" w:rsidRDefault="00980E5F">
            <w:pPr>
              <w:rPr>
                <w:rFonts w:ascii="宋体"/>
                <w:vanish/>
              </w:rPr>
            </w:pPr>
          </w:p>
        </w:tc>
      </w:tr>
      <w:tr w:rsidR="00980E5F" w14:paraId="392C93F9" w14:textId="77777777">
        <w:trPr>
          <w:hidden/>
        </w:trPr>
        <w:tc>
          <w:tcPr>
            <w:tcW w:w="0" w:type="auto"/>
            <w:gridSpan w:val="3"/>
            <w:shd w:val="clear" w:color="auto" w:fill="auto"/>
            <w:vAlign w:val="bottom"/>
          </w:tcPr>
          <w:p w14:paraId="392C93E7" w14:textId="77777777" w:rsidR="00980E5F" w:rsidRDefault="00980E5F">
            <w:pPr>
              <w:rPr>
                <w:rFonts w:ascii="宋体"/>
                <w:vanish/>
              </w:rPr>
            </w:pPr>
          </w:p>
        </w:tc>
        <w:tc>
          <w:tcPr>
            <w:tcW w:w="0" w:type="auto"/>
            <w:shd w:val="clear" w:color="auto" w:fill="auto"/>
            <w:vAlign w:val="bottom"/>
          </w:tcPr>
          <w:p w14:paraId="392C93E8" w14:textId="77777777" w:rsidR="00980E5F" w:rsidRDefault="00980E5F">
            <w:pPr>
              <w:rPr>
                <w:rFonts w:ascii="宋体"/>
                <w:vanish/>
              </w:rPr>
            </w:pPr>
          </w:p>
        </w:tc>
        <w:tc>
          <w:tcPr>
            <w:tcW w:w="0" w:type="auto"/>
            <w:shd w:val="clear" w:color="auto" w:fill="auto"/>
            <w:vAlign w:val="bottom"/>
          </w:tcPr>
          <w:p w14:paraId="392C93E9" w14:textId="77777777" w:rsidR="00980E5F" w:rsidRDefault="00980E5F">
            <w:pPr>
              <w:rPr>
                <w:rFonts w:ascii="宋体"/>
                <w:vanish/>
              </w:rPr>
            </w:pPr>
          </w:p>
        </w:tc>
        <w:tc>
          <w:tcPr>
            <w:tcW w:w="0" w:type="auto"/>
            <w:shd w:val="clear" w:color="auto" w:fill="auto"/>
            <w:vAlign w:val="bottom"/>
          </w:tcPr>
          <w:p w14:paraId="392C93EA" w14:textId="77777777" w:rsidR="00980E5F" w:rsidRDefault="00980E5F">
            <w:pPr>
              <w:rPr>
                <w:rFonts w:ascii="宋体"/>
                <w:vanish/>
              </w:rPr>
            </w:pPr>
          </w:p>
        </w:tc>
        <w:tc>
          <w:tcPr>
            <w:tcW w:w="0" w:type="auto"/>
            <w:shd w:val="clear" w:color="auto" w:fill="auto"/>
            <w:vAlign w:val="bottom"/>
          </w:tcPr>
          <w:p w14:paraId="392C93EB" w14:textId="77777777" w:rsidR="00980E5F" w:rsidRDefault="00980E5F">
            <w:pPr>
              <w:rPr>
                <w:rFonts w:ascii="宋体"/>
                <w:vanish/>
              </w:rPr>
            </w:pPr>
          </w:p>
        </w:tc>
        <w:tc>
          <w:tcPr>
            <w:tcW w:w="0" w:type="auto"/>
            <w:shd w:val="clear" w:color="auto" w:fill="auto"/>
            <w:vAlign w:val="bottom"/>
          </w:tcPr>
          <w:p w14:paraId="392C93EC" w14:textId="77777777" w:rsidR="00980E5F" w:rsidRDefault="00980E5F">
            <w:pPr>
              <w:rPr>
                <w:rFonts w:ascii="宋体"/>
                <w:vanish/>
              </w:rPr>
            </w:pPr>
          </w:p>
        </w:tc>
        <w:tc>
          <w:tcPr>
            <w:tcW w:w="0" w:type="auto"/>
            <w:gridSpan w:val="3"/>
            <w:shd w:val="clear" w:color="auto" w:fill="auto"/>
            <w:vAlign w:val="bottom"/>
          </w:tcPr>
          <w:p w14:paraId="392C93ED" w14:textId="77777777" w:rsidR="00980E5F" w:rsidRDefault="00980E5F">
            <w:pPr>
              <w:rPr>
                <w:rFonts w:ascii="宋体"/>
                <w:vanish/>
              </w:rPr>
            </w:pPr>
          </w:p>
        </w:tc>
        <w:tc>
          <w:tcPr>
            <w:tcW w:w="0" w:type="auto"/>
            <w:gridSpan w:val="3"/>
            <w:shd w:val="clear" w:color="auto" w:fill="auto"/>
            <w:vAlign w:val="bottom"/>
          </w:tcPr>
          <w:p w14:paraId="392C93EE" w14:textId="77777777" w:rsidR="00980E5F" w:rsidRDefault="00980E5F">
            <w:pPr>
              <w:rPr>
                <w:rFonts w:ascii="宋体"/>
                <w:vanish/>
              </w:rPr>
            </w:pPr>
          </w:p>
        </w:tc>
        <w:tc>
          <w:tcPr>
            <w:tcW w:w="0" w:type="auto"/>
            <w:gridSpan w:val="3"/>
            <w:shd w:val="clear" w:color="auto" w:fill="auto"/>
            <w:vAlign w:val="bottom"/>
          </w:tcPr>
          <w:p w14:paraId="392C93EF" w14:textId="77777777" w:rsidR="00980E5F" w:rsidRDefault="00980E5F">
            <w:pPr>
              <w:rPr>
                <w:rFonts w:ascii="宋体"/>
                <w:vanish/>
              </w:rPr>
            </w:pPr>
          </w:p>
        </w:tc>
        <w:tc>
          <w:tcPr>
            <w:tcW w:w="0" w:type="auto"/>
            <w:gridSpan w:val="3"/>
            <w:shd w:val="clear" w:color="auto" w:fill="auto"/>
            <w:vAlign w:val="bottom"/>
          </w:tcPr>
          <w:p w14:paraId="392C93F0" w14:textId="77777777" w:rsidR="00980E5F" w:rsidRDefault="00980E5F">
            <w:pPr>
              <w:rPr>
                <w:rFonts w:ascii="宋体"/>
                <w:vanish/>
              </w:rPr>
            </w:pPr>
          </w:p>
        </w:tc>
        <w:tc>
          <w:tcPr>
            <w:tcW w:w="0" w:type="auto"/>
            <w:gridSpan w:val="3"/>
            <w:shd w:val="clear" w:color="auto" w:fill="auto"/>
            <w:vAlign w:val="bottom"/>
          </w:tcPr>
          <w:p w14:paraId="392C93F1" w14:textId="77777777" w:rsidR="00980E5F" w:rsidRDefault="00980E5F">
            <w:pPr>
              <w:rPr>
                <w:rFonts w:ascii="宋体"/>
                <w:vanish/>
              </w:rPr>
            </w:pPr>
          </w:p>
        </w:tc>
        <w:tc>
          <w:tcPr>
            <w:tcW w:w="0" w:type="auto"/>
            <w:gridSpan w:val="3"/>
            <w:shd w:val="clear" w:color="auto" w:fill="auto"/>
            <w:vAlign w:val="bottom"/>
          </w:tcPr>
          <w:p w14:paraId="392C93F2" w14:textId="77777777" w:rsidR="00980E5F" w:rsidRDefault="00980E5F">
            <w:pPr>
              <w:rPr>
                <w:rFonts w:ascii="宋体"/>
                <w:vanish/>
              </w:rPr>
            </w:pPr>
          </w:p>
        </w:tc>
        <w:tc>
          <w:tcPr>
            <w:tcW w:w="0" w:type="auto"/>
            <w:gridSpan w:val="3"/>
            <w:shd w:val="clear" w:color="auto" w:fill="auto"/>
            <w:vAlign w:val="bottom"/>
          </w:tcPr>
          <w:p w14:paraId="392C93F3" w14:textId="77777777" w:rsidR="00980E5F" w:rsidRDefault="00980E5F">
            <w:pPr>
              <w:rPr>
                <w:rFonts w:ascii="宋体"/>
                <w:vanish/>
              </w:rPr>
            </w:pPr>
          </w:p>
        </w:tc>
        <w:tc>
          <w:tcPr>
            <w:tcW w:w="0" w:type="auto"/>
            <w:gridSpan w:val="3"/>
            <w:shd w:val="clear" w:color="auto" w:fill="auto"/>
            <w:vAlign w:val="bottom"/>
          </w:tcPr>
          <w:p w14:paraId="392C93F4" w14:textId="77777777" w:rsidR="00980E5F" w:rsidRDefault="00980E5F">
            <w:pPr>
              <w:rPr>
                <w:rFonts w:ascii="宋体"/>
                <w:vanish/>
              </w:rPr>
            </w:pPr>
          </w:p>
        </w:tc>
        <w:tc>
          <w:tcPr>
            <w:tcW w:w="0" w:type="auto"/>
            <w:gridSpan w:val="3"/>
            <w:shd w:val="clear" w:color="auto" w:fill="auto"/>
            <w:vAlign w:val="bottom"/>
          </w:tcPr>
          <w:p w14:paraId="392C93F5" w14:textId="77777777" w:rsidR="00980E5F" w:rsidRDefault="00980E5F">
            <w:pPr>
              <w:rPr>
                <w:rFonts w:ascii="宋体"/>
                <w:vanish/>
              </w:rPr>
            </w:pPr>
          </w:p>
        </w:tc>
        <w:tc>
          <w:tcPr>
            <w:tcW w:w="0" w:type="auto"/>
            <w:gridSpan w:val="3"/>
            <w:shd w:val="clear" w:color="auto" w:fill="auto"/>
            <w:vAlign w:val="bottom"/>
          </w:tcPr>
          <w:p w14:paraId="392C93F6" w14:textId="77777777" w:rsidR="00980E5F" w:rsidRDefault="00980E5F">
            <w:pPr>
              <w:rPr>
                <w:rFonts w:ascii="宋体"/>
                <w:vanish/>
              </w:rPr>
            </w:pPr>
          </w:p>
        </w:tc>
        <w:tc>
          <w:tcPr>
            <w:tcW w:w="0" w:type="auto"/>
            <w:gridSpan w:val="3"/>
            <w:shd w:val="clear" w:color="auto" w:fill="auto"/>
            <w:vAlign w:val="bottom"/>
          </w:tcPr>
          <w:p w14:paraId="392C93F7" w14:textId="77777777" w:rsidR="00980E5F" w:rsidRDefault="00980E5F">
            <w:pPr>
              <w:rPr>
                <w:rFonts w:ascii="宋体"/>
                <w:vanish/>
              </w:rPr>
            </w:pPr>
          </w:p>
        </w:tc>
        <w:tc>
          <w:tcPr>
            <w:tcW w:w="0" w:type="auto"/>
            <w:gridSpan w:val="3"/>
            <w:shd w:val="clear" w:color="auto" w:fill="auto"/>
            <w:vAlign w:val="bottom"/>
          </w:tcPr>
          <w:p w14:paraId="392C93F8" w14:textId="77777777" w:rsidR="00980E5F" w:rsidRDefault="00980E5F">
            <w:pPr>
              <w:rPr>
                <w:rFonts w:ascii="宋体"/>
                <w:vanish/>
              </w:rPr>
            </w:pPr>
          </w:p>
        </w:tc>
      </w:tr>
      <w:tr w:rsidR="00980E5F" w14:paraId="392C940C" w14:textId="77777777">
        <w:trPr>
          <w:hidden/>
        </w:trPr>
        <w:tc>
          <w:tcPr>
            <w:tcW w:w="0" w:type="auto"/>
            <w:gridSpan w:val="3"/>
            <w:shd w:val="clear" w:color="auto" w:fill="auto"/>
            <w:vAlign w:val="bottom"/>
          </w:tcPr>
          <w:p w14:paraId="392C93FA" w14:textId="77777777" w:rsidR="00980E5F" w:rsidRDefault="00980E5F">
            <w:pPr>
              <w:rPr>
                <w:rFonts w:ascii="宋体"/>
                <w:vanish/>
              </w:rPr>
            </w:pPr>
          </w:p>
        </w:tc>
        <w:tc>
          <w:tcPr>
            <w:tcW w:w="0" w:type="auto"/>
            <w:shd w:val="clear" w:color="auto" w:fill="auto"/>
            <w:vAlign w:val="bottom"/>
          </w:tcPr>
          <w:p w14:paraId="392C93FB" w14:textId="77777777" w:rsidR="00980E5F" w:rsidRDefault="00980E5F">
            <w:pPr>
              <w:rPr>
                <w:rFonts w:ascii="宋体"/>
                <w:vanish/>
              </w:rPr>
            </w:pPr>
          </w:p>
        </w:tc>
        <w:tc>
          <w:tcPr>
            <w:tcW w:w="0" w:type="auto"/>
            <w:shd w:val="clear" w:color="auto" w:fill="auto"/>
            <w:vAlign w:val="bottom"/>
          </w:tcPr>
          <w:p w14:paraId="392C93FC" w14:textId="77777777" w:rsidR="00980E5F" w:rsidRDefault="00980E5F">
            <w:pPr>
              <w:rPr>
                <w:rFonts w:ascii="宋体"/>
                <w:vanish/>
              </w:rPr>
            </w:pPr>
          </w:p>
        </w:tc>
        <w:tc>
          <w:tcPr>
            <w:tcW w:w="0" w:type="auto"/>
            <w:shd w:val="clear" w:color="auto" w:fill="auto"/>
            <w:vAlign w:val="bottom"/>
          </w:tcPr>
          <w:p w14:paraId="392C93FD" w14:textId="77777777" w:rsidR="00980E5F" w:rsidRDefault="00980E5F">
            <w:pPr>
              <w:rPr>
                <w:rFonts w:ascii="宋体"/>
                <w:vanish/>
              </w:rPr>
            </w:pPr>
          </w:p>
        </w:tc>
        <w:tc>
          <w:tcPr>
            <w:tcW w:w="0" w:type="auto"/>
            <w:shd w:val="clear" w:color="auto" w:fill="auto"/>
            <w:vAlign w:val="bottom"/>
          </w:tcPr>
          <w:p w14:paraId="392C93FE" w14:textId="77777777" w:rsidR="00980E5F" w:rsidRDefault="00980E5F">
            <w:pPr>
              <w:rPr>
                <w:rFonts w:ascii="宋体"/>
                <w:vanish/>
              </w:rPr>
            </w:pPr>
          </w:p>
        </w:tc>
        <w:tc>
          <w:tcPr>
            <w:tcW w:w="0" w:type="auto"/>
            <w:shd w:val="clear" w:color="auto" w:fill="auto"/>
            <w:vAlign w:val="bottom"/>
          </w:tcPr>
          <w:p w14:paraId="392C93FF" w14:textId="77777777" w:rsidR="00980E5F" w:rsidRDefault="00980E5F">
            <w:pPr>
              <w:rPr>
                <w:rFonts w:ascii="宋体"/>
                <w:vanish/>
              </w:rPr>
            </w:pPr>
          </w:p>
        </w:tc>
        <w:tc>
          <w:tcPr>
            <w:tcW w:w="0" w:type="auto"/>
            <w:gridSpan w:val="3"/>
            <w:shd w:val="clear" w:color="auto" w:fill="auto"/>
            <w:vAlign w:val="bottom"/>
          </w:tcPr>
          <w:p w14:paraId="392C9400" w14:textId="77777777" w:rsidR="00980E5F" w:rsidRDefault="00980E5F">
            <w:pPr>
              <w:rPr>
                <w:rFonts w:ascii="宋体"/>
                <w:vanish/>
              </w:rPr>
            </w:pPr>
          </w:p>
        </w:tc>
        <w:tc>
          <w:tcPr>
            <w:tcW w:w="0" w:type="auto"/>
            <w:gridSpan w:val="3"/>
            <w:shd w:val="clear" w:color="auto" w:fill="auto"/>
            <w:vAlign w:val="bottom"/>
          </w:tcPr>
          <w:p w14:paraId="392C9401" w14:textId="77777777" w:rsidR="00980E5F" w:rsidRDefault="00980E5F">
            <w:pPr>
              <w:rPr>
                <w:rFonts w:ascii="宋体"/>
                <w:vanish/>
              </w:rPr>
            </w:pPr>
          </w:p>
        </w:tc>
        <w:tc>
          <w:tcPr>
            <w:tcW w:w="0" w:type="auto"/>
            <w:gridSpan w:val="3"/>
            <w:shd w:val="clear" w:color="auto" w:fill="auto"/>
            <w:vAlign w:val="bottom"/>
          </w:tcPr>
          <w:p w14:paraId="392C9402" w14:textId="77777777" w:rsidR="00980E5F" w:rsidRDefault="00980E5F">
            <w:pPr>
              <w:rPr>
                <w:rFonts w:ascii="宋体"/>
                <w:vanish/>
              </w:rPr>
            </w:pPr>
          </w:p>
        </w:tc>
        <w:tc>
          <w:tcPr>
            <w:tcW w:w="0" w:type="auto"/>
            <w:gridSpan w:val="3"/>
            <w:shd w:val="clear" w:color="auto" w:fill="auto"/>
            <w:vAlign w:val="bottom"/>
          </w:tcPr>
          <w:p w14:paraId="392C9403" w14:textId="77777777" w:rsidR="00980E5F" w:rsidRDefault="00980E5F">
            <w:pPr>
              <w:rPr>
                <w:rFonts w:ascii="宋体"/>
                <w:vanish/>
              </w:rPr>
            </w:pPr>
          </w:p>
        </w:tc>
        <w:tc>
          <w:tcPr>
            <w:tcW w:w="0" w:type="auto"/>
            <w:gridSpan w:val="3"/>
            <w:shd w:val="clear" w:color="auto" w:fill="auto"/>
            <w:vAlign w:val="bottom"/>
          </w:tcPr>
          <w:p w14:paraId="392C9404" w14:textId="77777777" w:rsidR="00980E5F" w:rsidRDefault="00980E5F">
            <w:pPr>
              <w:rPr>
                <w:rFonts w:ascii="宋体"/>
                <w:vanish/>
              </w:rPr>
            </w:pPr>
          </w:p>
        </w:tc>
        <w:tc>
          <w:tcPr>
            <w:tcW w:w="0" w:type="auto"/>
            <w:gridSpan w:val="3"/>
            <w:shd w:val="clear" w:color="auto" w:fill="auto"/>
            <w:vAlign w:val="bottom"/>
          </w:tcPr>
          <w:p w14:paraId="392C9405" w14:textId="77777777" w:rsidR="00980E5F" w:rsidRDefault="00980E5F">
            <w:pPr>
              <w:rPr>
                <w:rFonts w:ascii="宋体"/>
                <w:vanish/>
              </w:rPr>
            </w:pPr>
          </w:p>
        </w:tc>
        <w:tc>
          <w:tcPr>
            <w:tcW w:w="0" w:type="auto"/>
            <w:gridSpan w:val="3"/>
            <w:shd w:val="clear" w:color="auto" w:fill="auto"/>
            <w:vAlign w:val="bottom"/>
          </w:tcPr>
          <w:p w14:paraId="392C9406" w14:textId="77777777" w:rsidR="00980E5F" w:rsidRDefault="00980E5F">
            <w:pPr>
              <w:rPr>
                <w:rFonts w:ascii="宋体"/>
                <w:vanish/>
              </w:rPr>
            </w:pPr>
          </w:p>
        </w:tc>
        <w:tc>
          <w:tcPr>
            <w:tcW w:w="0" w:type="auto"/>
            <w:gridSpan w:val="3"/>
            <w:shd w:val="clear" w:color="auto" w:fill="auto"/>
            <w:vAlign w:val="bottom"/>
          </w:tcPr>
          <w:p w14:paraId="392C9407" w14:textId="77777777" w:rsidR="00980E5F" w:rsidRDefault="00980E5F">
            <w:pPr>
              <w:rPr>
                <w:rFonts w:ascii="宋体"/>
                <w:vanish/>
              </w:rPr>
            </w:pPr>
          </w:p>
        </w:tc>
        <w:tc>
          <w:tcPr>
            <w:tcW w:w="0" w:type="auto"/>
            <w:gridSpan w:val="3"/>
            <w:shd w:val="clear" w:color="auto" w:fill="auto"/>
            <w:vAlign w:val="bottom"/>
          </w:tcPr>
          <w:p w14:paraId="392C9408" w14:textId="77777777" w:rsidR="00980E5F" w:rsidRDefault="00980E5F">
            <w:pPr>
              <w:rPr>
                <w:rFonts w:ascii="宋体"/>
                <w:vanish/>
              </w:rPr>
            </w:pPr>
          </w:p>
        </w:tc>
        <w:tc>
          <w:tcPr>
            <w:tcW w:w="0" w:type="auto"/>
            <w:gridSpan w:val="3"/>
            <w:shd w:val="clear" w:color="auto" w:fill="auto"/>
            <w:vAlign w:val="bottom"/>
          </w:tcPr>
          <w:p w14:paraId="392C9409" w14:textId="77777777" w:rsidR="00980E5F" w:rsidRDefault="00980E5F">
            <w:pPr>
              <w:rPr>
                <w:rFonts w:ascii="宋体"/>
                <w:vanish/>
              </w:rPr>
            </w:pPr>
          </w:p>
        </w:tc>
        <w:tc>
          <w:tcPr>
            <w:tcW w:w="0" w:type="auto"/>
            <w:gridSpan w:val="3"/>
            <w:shd w:val="clear" w:color="auto" w:fill="auto"/>
            <w:vAlign w:val="bottom"/>
          </w:tcPr>
          <w:p w14:paraId="392C940A" w14:textId="77777777" w:rsidR="00980E5F" w:rsidRDefault="00980E5F">
            <w:pPr>
              <w:rPr>
                <w:rFonts w:ascii="宋体"/>
                <w:vanish/>
              </w:rPr>
            </w:pPr>
          </w:p>
        </w:tc>
        <w:tc>
          <w:tcPr>
            <w:tcW w:w="0" w:type="auto"/>
            <w:gridSpan w:val="3"/>
            <w:shd w:val="clear" w:color="auto" w:fill="auto"/>
            <w:vAlign w:val="bottom"/>
          </w:tcPr>
          <w:p w14:paraId="392C940B" w14:textId="77777777" w:rsidR="00980E5F" w:rsidRDefault="00980E5F">
            <w:pPr>
              <w:rPr>
                <w:rFonts w:ascii="宋体"/>
                <w:vanish/>
              </w:rPr>
            </w:pPr>
          </w:p>
        </w:tc>
      </w:tr>
      <w:tr w:rsidR="00980E5F" w14:paraId="392C941F" w14:textId="77777777">
        <w:trPr>
          <w:hidden/>
        </w:trPr>
        <w:tc>
          <w:tcPr>
            <w:tcW w:w="0" w:type="auto"/>
            <w:gridSpan w:val="3"/>
            <w:shd w:val="clear" w:color="auto" w:fill="auto"/>
            <w:vAlign w:val="bottom"/>
          </w:tcPr>
          <w:p w14:paraId="392C940D" w14:textId="77777777" w:rsidR="00980E5F" w:rsidRDefault="00980E5F">
            <w:pPr>
              <w:rPr>
                <w:rFonts w:ascii="宋体"/>
                <w:vanish/>
              </w:rPr>
            </w:pPr>
          </w:p>
        </w:tc>
        <w:tc>
          <w:tcPr>
            <w:tcW w:w="0" w:type="auto"/>
            <w:shd w:val="clear" w:color="auto" w:fill="auto"/>
            <w:vAlign w:val="bottom"/>
          </w:tcPr>
          <w:p w14:paraId="392C940E" w14:textId="77777777" w:rsidR="00980E5F" w:rsidRDefault="00980E5F">
            <w:pPr>
              <w:rPr>
                <w:rFonts w:ascii="宋体"/>
                <w:vanish/>
              </w:rPr>
            </w:pPr>
          </w:p>
        </w:tc>
        <w:tc>
          <w:tcPr>
            <w:tcW w:w="0" w:type="auto"/>
            <w:shd w:val="clear" w:color="auto" w:fill="auto"/>
            <w:vAlign w:val="bottom"/>
          </w:tcPr>
          <w:p w14:paraId="392C940F" w14:textId="77777777" w:rsidR="00980E5F" w:rsidRDefault="00980E5F">
            <w:pPr>
              <w:rPr>
                <w:rFonts w:ascii="宋体"/>
                <w:vanish/>
              </w:rPr>
            </w:pPr>
          </w:p>
        </w:tc>
        <w:tc>
          <w:tcPr>
            <w:tcW w:w="0" w:type="auto"/>
            <w:shd w:val="clear" w:color="auto" w:fill="auto"/>
            <w:vAlign w:val="bottom"/>
          </w:tcPr>
          <w:p w14:paraId="392C9410" w14:textId="77777777" w:rsidR="00980E5F" w:rsidRDefault="00980E5F">
            <w:pPr>
              <w:rPr>
                <w:rFonts w:ascii="宋体"/>
                <w:vanish/>
              </w:rPr>
            </w:pPr>
          </w:p>
        </w:tc>
        <w:tc>
          <w:tcPr>
            <w:tcW w:w="0" w:type="auto"/>
            <w:shd w:val="clear" w:color="auto" w:fill="auto"/>
            <w:vAlign w:val="bottom"/>
          </w:tcPr>
          <w:p w14:paraId="392C9411" w14:textId="77777777" w:rsidR="00980E5F" w:rsidRDefault="00980E5F">
            <w:pPr>
              <w:rPr>
                <w:rFonts w:ascii="宋体"/>
                <w:vanish/>
              </w:rPr>
            </w:pPr>
          </w:p>
        </w:tc>
        <w:tc>
          <w:tcPr>
            <w:tcW w:w="0" w:type="auto"/>
            <w:shd w:val="clear" w:color="auto" w:fill="auto"/>
            <w:vAlign w:val="bottom"/>
          </w:tcPr>
          <w:p w14:paraId="392C9412" w14:textId="77777777" w:rsidR="00980E5F" w:rsidRDefault="00980E5F">
            <w:pPr>
              <w:rPr>
                <w:rFonts w:ascii="宋体"/>
                <w:vanish/>
              </w:rPr>
            </w:pPr>
          </w:p>
        </w:tc>
        <w:tc>
          <w:tcPr>
            <w:tcW w:w="0" w:type="auto"/>
            <w:gridSpan w:val="3"/>
            <w:shd w:val="clear" w:color="auto" w:fill="auto"/>
            <w:vAlign w:val="bottom"/>
          </w:tcPr>
          <w:p w14:paraId="392C9413" w14:textId="77777777" w:rsidR="00980E5F" w:rsidRDefault="00980E5F">
            <w:pPr>
              <w:rPr>
                <w:rFonts w:ascii="宋体"/>
                <w:vanish/>
              </w:rPr>
            </w:pPr>
          </w:p>
        </w:tc>
        <w:tc>
          <w:tcPr>
            <w:tcW w:w="0" w:type="auto"/>
            <w:gridSpan w:val="3"/>
            <w:shd w:val="clear" w:color="auto" w:fill="auto"/>
            <w:vAlign w:val="bottom"/>
          </w:tcPr>
          <w:p w14:paraId="392C9414" w14:textId="77777777" w:rsidR="00980E5F" w:rsidRDefault="00980E5F">
            <w:pPr>
              <w:rPr>
                <w:rFonts w:ascii="宋体"/>
                <w:vanish/>
              </w:rPr>
            </w:pPr>
          </w:p>
        </w:tc>
        <w:tc>
          <w:tcPr>
            <w:tcW w:w="0" w:type="auto"/>
            <w:gridSpan w:val="3"/>
            <w:shd w:val="clear" w:color="auto" w:fill="auto"/>
            <w:vAlign w:val="bottom"/>
          </w:tcPr>
          <w:p w14:paraId="392C9415" w14:textId="77777777" w:rsidR="00980E5F" w:rsidRDefault="00980E5F">
            <w:pPr>
              <w:rPr>
                <w:rFonts w:ascii="宋体"/>
                <w:vanish/>
              </w:rPr>
            </w:pPr>
          </w:p>
        </w:tc>
        <w:tc>
          <w:tcPr>
            <w:tcW w:w="0" w:type="auto"/>
            <w:gridSpan w:val="3"/>
            <w:shd w:val="clear" w:color="auto" w:fill="auto"/>
            <w:vAlign w:val="bottom"/>
          </w:tcPr>
          <w:p w14:paraId="392C9416" w14:textId="77777777" w:rsidR="00980E5F" w:rsidRDefault="00980E5F">
            <w:pPr>
              <w:rPr>
                <w:rFonts w:ascii="宋体"/>
                <w:vanish/>
              </w:rPr>
            </w:pPr>
          </w:p>
        </w:tc>
        <w:tc>
          <w:tcPr>
            <w:tcW w:w="0" w:type="auto"/>
            <w:gridSpan w:val="3"/>
            <w:shd w:val="clear" w:color="auto" w:fill="auto"/>
            <w:vAlign w:val="bottom"/>
          </w:tcPr>
          <w:p w14:paraId="392C9417" w14:textId="77777777" w:rsidR="00980E5F" w:rsidRDefault="00980E5F">
            <w:pPr>
              <w:rPr>
                <w:rFonts w:ascii="宋体"/>
                <w:vanish/>
              </w:rPr>
            </w:pPr>
          </w:p>
        </w:tc>
        <w:tc>
          <w:tcPr>
            <w:tcW w:w="0" w:type="auto"/>
            <w:gridSpan w:val="3"/>
            <w:shd w:val="clear" w:color="auto" w:fill="auto"/>
            <w:vAlign w:val="bottom"/>
          </w:tcPr>
          <w:p w14:paraId="392C9418" w14:textId="77777777" w:rsidR="00980E5F" w:rsidRDefault="00980E5F">
            <w:pPr>
              <w:rPr>
                <w:rFonts w:ascii="宋体"/>
                <w:vanish/>
              </w:rPr>
            </w:pPr>
          </w:p>
        </w:tc>
        <w:tc>
          <w:tcPr>
            <w:tcW w:w="0" w:type="auto"/>
            <w:gridSpan w:val="3"/>
            <w:shd w:val="clear" w:color="auto" w:fill="auto"/>
            <w:vAlign w:val="bottom"/>
          </w:tcPr>
          <w:p w14:paraId="392C9419" w14:textId="77777777" w:rsidR="00980E5F" w:rsidRDefault="00980E5F">
            <w:pPr>
              <w:rPr>
                <w:rFonts w:ascii="宋体"/>
                <w:vanish/>
              </w:rPr>
            </w:pPr>
          </w:p>
        </w:tc>
        <w:tc>
          <w:tcPr>
            <w:tcW w:w="0" w:type="auto"/>
            <w:gridSpan w:val="3"/>
            <w:shd w:val="clear" w:color="auto" w:fill="auto"/>
            <w:vAlign w:val="bottom"/>
          </w:tcPr>
          <w:p w14:paraId="392C941A" w14:textId="77777777" w:rsidR="00980E5F" w:rsidRDefault="00980E5F">
            <w:pPr>
              <w:rPr>
                <w:rFonts w:ascii="宋体"/>
                <w:vanish/>
              </w:rPr>
            </w:pPr>
          </w:p>
        </w:tc>
        <w:tc>
          <w:tcPr>
            <w:tcW w:w="0" w:type="auto"/>
            <w:gridSpan w:val="3"/>
            <w:shd w:val="clear" w:color="auto" w:fill="auto"/>
            <w:vAlign w:val="bottom"/>
          </w:tcPr>
          <w:p w14:paraId="392C941B" w14:textId="77777777" w:rsidR="00980E5F" w:rsidRDefault="00980E5F">
            <w:pPr>
              <w:rPr>
                <w:rFonts w:ascii="宋体"/>
                <w:vanish/>
              </w:rPr>
            </w:pPr>
          </w:p>
        </w:tc>
        <w:tc>
          <w:tcPr>
            <w:tcW w:w="0" w:type="auto"/>
            <w:gridSpan w:val="3"/>
            <w:shd w:val="clear" w:color="auto" w:fill="auto"/>
            <w:vAlign w:val="bottom"/>
          </w:tcPr>
          <w:p w14:paraId="392C941C" w14:textId="77777777" w:rsidR="00980E5F" w:rsidRDefault="00980E5F">
            <w:pPr>
              <w:rPr>
                <w:rFonts w:ascii="宋体"/>
                <w:vanish/>
              </w:rPr>
            </w:pPr>
          </w:p>
        </w:tc>
        <w:tc>
          <w:tcPr>
            <w:tcW w:w="0" w:type="auto"/>
            <w:gridSpan w:val="3"/>
            <w:shd w:val="clear" w:color="auto" w:fill="auto"/>
            <w:vAlign w:val="bottom"/>
          </w:tcPr>
          <w:p w14:paraId="392C941D" w14:textId="77777777" w:rsidR="00980E5F" w:rsidRDefault="00980E5F">
            <w:pPr>
              <w:rPr>
                <w:rFonts w:ascii="宋体"/>
                <w:vanish/>
              </w:rPr>
            </w:pPr>
          </w:p>
        </w:tc>
        <w:tc>
          <w:tcPr>
            <w:tcW w:w="0" w:type="auto"/>
            <w:gridSpan w:val="3"/>
            <w:shd w:val="clear" w:color="auto" w:fill="auto"/>
            <w:vAlign w:val="bottom"/>
          </w:tcPr>
          <w:p w14:paraId="392C941E" w14:textId="77777777" w:rsidR="00980E5F" w:rsidRDefault="00980E5F">
            <w:pPr>
              <w:rPr>
                <w:rFonts w:ascii="宋体"/>
                <w:vanish/>
              </w:rPr>
            </w:pPr>
          </w:p>
        </w:tc>
      </w:tr>
      <w:tr w:rsidR="00980E5F" w14:paraId="392C9432" w14:textId="77777777">
        <w:tc>
          <w:tcPr>
            <w:tcW w:w="0" w:type="auto"/>
            <w:gridSpan w:val="3"/>
            <w:shd w:val="clear" w:color="auto" w:fill="auto"/>
            <w:tcMar>
              <w:top w:w="0" w:type="dxa"/>
              <w:left w:w="20" w:type="dxa"/>
              <w:bottom w:w="0" w:type="dxa"/>
              <w:right w:w="20" w:type="dxa"/>
            </w:tcMar>
            <w:vAlign w:val="bottom"/>
          </w:tcPr>
          <w:p w14:paraId="392C9420" w14:textId="77777777" w:rsidR="00980E5F" w:rsidRDefault="00980E5F">
            <w:pPr>
              <w:rPr>
                <w:rFonts w:ascii="宋体"/>
              </w:rPr>
            </w:pPr>
          </w:p>
        </w:tc>
        <w:tc>
          <w:tcPr>
            <w:tcW w:w="0" w:type="auto"/>
            <w:shd w:val="clear" w:color="auto" w:fill="auto"/>
            <w:vAlign w:val="bottom"/>
          </w:tcPr>
          <w:p w14:paraId="392C9421" w14:textId="77777777" w:rsidR="00980E5F" w:rsidRDefault="00980E5F">
            <w:pPr>
              <w:rPr>
                <w:rFonts w:ascii="宋体"/>
                <w:vanish/>
              </w:rPr>
            </w:pPr>
          </w:p>
        </w:tc>
        <w:tc>
          <w:tcPr>
            <w:tcW w:w="0" w:type="auto"/>
            <w:shd w:val="clear" w:color="auto" w:fill="auto"/>
            <w:vAlign w:val="bottom"/>
          </w:tcPr>
          <w:p w14:paraId="392C9422" w14:textId="77777777" w:rsidR="00980E5F" w:rsidRDefault="00980E5F">
            <w:pPr>
              <w:rPr>
                <w:rFonts w:ascii="宋体"/>
                <w:vanish/>
              </w:rPr>
            </w:pPr>
          </w:p>
        </w:tc>
        <w:tc>
          <w:tcPr>
            <w:tcW w:w="0" w:type="auto"/>
            <w:gridSpan w:val="9"/>
            <w:shd w:val="clear" w:color="auto" w:fill="auto"/>
            <w:tcMar>
              <w:top w:w="40" w:type="dxa"/>
              <w:left w:w="20" w:type="dxa"/>
              <w:bottom w:w="40" w:type="dxa"/>
              <w:right w:w="20" w:type="dxa"/>
            </w:tcMar>
            <w:vAlign w:val="bottom"/>
          </w:tcPr>
          <w:p w14:paraId="392C9423" w14:textId="77777777" w:rsidR="00980E5F" w:rsidRDefault="00483613">
            <w:pPr>
              <w:jc w:val="center"/>
              <w:textAlignment w:val="bottom"/>
            </w:pPr>
            <w:r>
              <w:rPr>
                <w:rFonts w:ascii="Arial" w:eastAsia="宋体" w:hAnsi="Arial" w:cs="Arial"/>
                <w:b/>
                <w:bCs/>
                <w:color w:val="000000"/>
                <w:sz w:val="14"/>
                <w:szCs w:val="14"/>
              </w:rPr>
              <w:t>Three Months Ended June 30, 2021</w:t>
            </w:r>
          </w:p>
        </w:tc>
        <w:tc>
          <w:tcPr>
            <w:tcW w:w="0" w:type="auto"/>
            <w:gridSpan w:val="3"/>
            <w:shd w:val="clear" w:color="auto" w:fill="auto"/>
            <w:tcMar>
              <w:top w:w="0" w:type="dxa"/>
              <w:left w:w="20" w:type="dxa"/>
              <w:bottom w:w="0" w:type="dxa"/>
              <w:right w:w="20" w:type="dxa"/>
            </w:tcMar>
            <w:vAlign w:val="bottom"/>
          </w:tcPr>
          <w:p w14:paraId="392C9424" w14:textId="77777777" w:rsidR="00980E5F" w:rsidRDefault="00980E5F">
            <w:pPr>
              <w:rPr>
                <w:rFonts w:ascii="宋体"/>
              </w:rPr>
            </w:pPr>
          </w:p>
        </w:tc>
        <w:tc>
          <w:tcPr>
            <w:tcW w:w="0" w:type="auto"/>
            <w:gridSpan w:val="15"/>
            <w:shd w:val="clear" w:color="auto" w:fill="auto"/>
            <w:tcMar>
              <w:top w:w="40" w:type="dxa"/>
              <w:left w:w="20" w:type="dxa"/>
              <w:bottom w:w="40" w:type="dxa"/>
              <w:right w:w="20" w:type="dxa"/>
            </w:tcMar>
            <w:vAlign w:val="bottom"/>
          </w:tcPr>
          <w:p w14:paraId="392C9425" w14:textId="77777777" w:rsidR="00980E5F" w:rsidRDefault="00483613">
            <w:pPr>
              <w:jc w:val="center"/>
              <w:textAlignment w:val="bottom"/>
            </w:pPr>
            <w:r>
              <w:rPr>
                <w:rFonts w:ascii="Arial" w:eastAsia="宋体" w:hAnsi="Arial" w:cs="Arial"/>
                <w:b/>
                <w:bCs/>
                <w:color w:val="000000"/>
                <w:sz w:val="14"/>
                <w:szCs w:val="14"/>
              </w:rPr>
              <w:t>Six Months Ended June 30, 2021</w:t>
            </w:r>
          </w:p>
        </w:tc>
        <w:tc>
          <w:tcPr>
            <w:tcW w:w="0" w:type="auto"/>
            <w:shd w:val="clear" w:color="auto" w:fill="auto"/>
            <w:vAlign w:val="bottom"/>
          </w:tcPr>
          <w:p w14:paraId="392C9426" w14:textId="77777777" w:rsidR="00980E5F" w:rsidRDefault="00980E5F">
            <w:pPr>
              <w:rPr>
                <w:rFonts w:ascii="宋体"/>
              </w:rPr>
            </w:pPr>
          </w:p>
        </w:tc>
        <w:tc>
          <w:tcPr>
            <w:tcW w:w="0" w:type="auto"/>
            <w:shd w:val="clear" w:color="auto" w:fill="auto"/>
            <w:vAlign w:val="bottom"/>
          </w:tcPr>
          <w:p w14:paraId="392C9427" w14:textId="77777777" w:rsidR="00980E5F" w:rsidRDefault="00980E5F">
            <w:pPr>
              <w:rPr>
                <w:rFonts w:ascii="宋体"/>
              </w:rPr>
            </w:pPr>
          </w:p>
        </w:tc>
        <w:tc>
          <w:tcPr>
            <w:tcW w:w="0" w:type="auto"/>
            <w:shd w:val="clear" w:color="auto" w:fill="auto"/>
            <w:vAlign w:val="bottom"/>
          </w:tcPr>
          <w:p w14:paraId="392C9428" w14:textId="77777777" w:rsidR="00980E5F" w:rsidRDefault="00980E5F">
            <w:pPr>
              <w:rPr>
                <w:rFonts w:ascii="宋体"/>
              </w:rPr>
            </w:pPr>
          </w:p>
        </w:tc>
        <w:tc>
          <w:tcPr>
            <w:tcW w:w="0" w:type="auto"/>
            <w:shd w:val="clear" w:color="auto" w:fill="auto"/>
            <w:vAlign w:val="bottom"/>
          </w:tcPr>
          <w:p w14:paraId="392C9429" w14:textId="77777777" w:rsidR="00980E5F" w:rsidRDefault="00980E5F">
            <w:pPr>
              <w:rPr>
                <w:rFonts w:ascii="宋体"/>
              </w:rPr>
            </w:pPr>
          </w:p>
        </w:tc>
        <w:tc>
          <w:tcPr>
            <w:tcW w:w="0" w:type="auto"/>
            <w:shd w:val="clear" w:color="auto" w:fill="auto"/>
            <w:vAlign w:val="bottom"/>
          </w:tcPr>
          <w:p w14:paraId="392C942A" w14:textId="77777777" w:rsidR="00980E5F" w:rsidRDefault="00980E5F">
            <w:pPr>
              <w:rPr>
                <w:rFonts w:ascii="宋体"/>
              </w:rPr>
            </w:pPr>
          </w:p>
        </w:tc>
        <w:tc>
          <w:tcPr>
            <w:tcW w:w="0" w:type="auto"/>
            <w:shd w:val="clear" w:color="auto" w:fill="auto"/>
            <w:vAlign w:val="bottom"/>
          </w:tcPr>
          <w:p w14:paraId="392C942B" w14:textId="77777777" w:rsidR="00980E5F" w:rsidRDefault="00980E5F">
            <w:pPr>
              <w:rPr>
                <w:rFonts w:ascii="宋体"/>
              </w:rPr>
            </w:pPr>
          </w:p>
        </w:tc>
        <w:tc>
          <w:tcPr>
            <w:tcW w:w="0" w:type="auto"/>
            <w:shd w:val="clear" w:color="auto" w:fill="auto"/>
            <w:vAlign w:val="bottom"/>
          </w:tcPr>
          <w:p w14:paraId="392C942C" w14:textId="77777777" w:rsidR="00980E5F" w:rsidRDefault="00980E5F">
            <w:pPr>
              <w:rPr>
                <w:rFonts w:ascii="宋体"/>
              </w:rPr>
            </w:pPr>
          </w:p>
        </w:tc>
        <w:tc>
          <w:tcPr>
            <w:tcW w:w="0" w:type="auto"/>
            <w:shd w:val="clear" w:color="auto" w:fill="auto"/>
            <w:vAlign w:val="bottom"/>
          </w:tcPr>
          <w:p w14:paraId="392C942D" w14:textId="77777777" w:rsidR="00980E5F" w:rsidRDefault="00980E5F">
            <w:pPr>
              <w:rPr>
                <w:rFonts w:ascii="宋体"/>
              </w:rPr>
            </w:pPr>
          </w:p>
        </w:tc>
        <w:tc>
          <w:tcPr>
            <w:tcW w:w="0" w:type="auto"/>
            <w:shd w:val="clear" w:color="auto" w:fill="auto"/>
            <w:vAlign w:val="bottom"/>
          </w:tcPr>
          <w:p w14:paraId="392C942E" w14:textId="77777777" w:rsidR="00980E5F" w:rsidRDefault="00980E5F">
            <w:pPr>
              <w:rPr>
                <w:rFonts w:ascii="宋体"/>
              </w:rPr>
            </w:pPr>
          </w:p>
        </w:tc>
        <w:tc>
          <w:tcPr>
            <w:tcW w:w="0" w:type="auto"/>
            <w:shd w:val="clear" w:color="auto" w:fill="auto"/>
            <w:vAlign w:val="bottom"/>
          </w:tcPr>
          <w:p w14:paraId="392C942F" w14:textId="77777777" w:rsidR="00980E5F" w:rsidRDefault="00980E5F">
            <w:pPr>
              <w:rPr>
                <w:rFonts w:ascii="宋体"/>
              </w:rPr>
            </w:pPr>
          </w:p>
        </w:tc>
        <w:tc>
          <w:tcPr>
            <w:tcW w:w="0" w:type="auto"/>
            <w:shd w:val="clear" w:color="auto" w:fill="auto"/>
            <w:vAlign w:val="bottom"/>
          </w:tcPr>
          <w:p w14:paraId="392C9430" w14:textId="77777777" w:rsidR="00980E5F" w:rsidRDefault="00980E5F">
            <w:pPr>
              <w:rPr>
                <w:rFonts w:ascii="宋体"/>
              </w:rPr>
            </w:pPr>
          </w:p>
        </w:tc>
        <w:tc>
          <w:tcPr>
            <w:tcW w:w="0" w:type="auto"/>
            <w:shd w:val="clear" w:color="auto" w:fill="auto"/>
            <w:vAlign w:val="bottom"/>
          </w:tcPr>
          <w:p w14:paraId="392C9431" w14:textId="77777777" w:rsidR="00980E5F" w:rsidRDefault="00980E5F">
            <w:pPr>
              <w:rPr>
                <w:rFonts w:ascii="宋体"/>
              </w:rPr>
            </w:pPr>
          </w:p>
        </w:tc>
      </w:tr>
      <w:tr w:rsidR="00980E5F" w14:paraId="392C9445" w14:textId="77777777">
        <w:tc>
          <w:tcPr>
            <w:tcW w:w="0" w:type="auto"/>
            <w:gridSpan w:val="3"/>
            <w:shd w:val="clear" w:color="auto" w:fill="FFFFFF"/>
            <w:tcMar>
              <w:top w:w="0" w:type="dxa"/>
              <w:left w:w="20" w:type="dxa"/>
              <w:bottom w:w="0" w:type="dxa"/>
              <w:right w:w="20" w:type="dxa"/>
            </w:tcMar>
            <w:vAlign w:val="bottom"/>
          </w:tcPr>
          <w:p w14:paraId="392C9433" w14:textId="77777777" w:rsidR="00980E5F" w:rsidRDefault="00980E5F">
            <w:pPr>
              <w:rPr>
                <w:rFonts w:ascii="宋体"/>
              </w:rPr>
            </w:pPr>
          </w:p>
        </w:tc>
        <w:tc>
          <w:tcPr>
            <w:tcW w:w="0" w:type="auto"/>
            <w:shd w:val="clear" w:color="auto" w:fill="auto"/>
            <w:vAlign w:val="bottom"/>
          </w:tcPr>
          <w:p w14:paraId="392C9434" w14:textId="77777777" w:rsidR="00980E5F" w:rsidRDefault="00980E5F">
            <w:pPr>
              <w:rPr>
                <w:rFonts w:ascii="宋体"/>
                <w:vanish/>
              </w:rPr>
            </w:pPr>
          </w:p>
        </w:tc>
        <w:tc>
          <w:tcPr>
            <w:tcW w:w="0" w:type="auto"/>
            <w:shd w:val="clear" w:color="auto" w:fill="auto"/>
            <w:vAlign w:val="bottom"/>
          </w:tcPr>
          <w:p w14:paraId="392C9435" w14:textId="77777777" w:rsidR="00980E5F" w:rsidRDefault="00980E5F">
            <w:pPr>
              <w:rPr>
                <w:rFonts w:ascii="宋体"/>
                <w:vanish/>
              </w:rPr>
            </w:pPr>
          </w:p>
        </w:tc>
        <w:tc>
          <w:tcPr>
            <w:tcW w:w="0" w:type="auto"/>
            <w:shd w:val="clear" w:color="auto" w:fill="auto"/>
            <w:vAlign w:val="bottom"/>
          </w:tcPr>
          <w:p w14:paraId="392C9436" w14:textId="77777777" w:rsidR="00980E5F" w:rsidRDefault="00980E5F">
            <w:pPr>
              <w:rPr>
                <w:rFonts w:ascii="宋体"/>
                <w:vanish/>
              </w:rPr>
            </w:pPr>
          </w:p>
        </w:tc>
        <w:tc>
          <w:tcPr>
            <w:tcW w:w="0" w:type="auto"/>
            <w:shd w:val="clear" w:color="auto" w:fill="auto"/>
            <w:vAlign w:val="bottom"/>
          </w:tcPr>
          <w:p w14:paraId="392C9437" w14:textId="77777777" w:rsidR="00980E5F" w:rsidRDefault="00980E5F">
            <w:pPr>
              <w:rPr>
                <w:rFonts w:ascii="宋体"/>
                <w:vanish/>
              </w:rPr>
            </w:pPr>
          </w:p>
        </w:tc>
        <w:tc>
          <w:tcPr>
            <w:tcW w:w="0" w:type="auto"/>
            <w:shd w:val="clear" w:color="auto" w:fill="auto"/>
            <w:vAlign w:val="bottom"/>
          </w:tcPr>
          <w:p w14:paraId="392C9438" w14:textId="77777777" w:rsidR="00980E5F" w:rsidRDefault="00980E5F">
            <w:pPr>
              <w:rPr>
                <w:rFonts w:ascii="宋体"/>
                <w:vanish/>
              </w:rPr>
            </w:pPr>
          </w:p>
        </w:tc>
        <w:tc>
          <w:tcPr>
            <w:tcW w:w="0" w:type="auto"/>
            <w:gridSpan w:val="3"/>
            <w:shd w:val="clear" w:color="auto" w:fill="auto"/>
            <w:vAlign w:val="bottom"/>
          </w:tcPr>
          <w:p w14:paraId="392C9439" w14:textId="77777777" w:rsidR="00980E5F" w:rsidRDefault="00980E5F">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3A" w14:textId="77777777" w:rsidR="00980E5F" w:rsidRDefault="00483613">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43B"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3C" w14:textId="77777777" w:rsidR="00980E5F" w:rsidRDefault="00483613">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43D"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3E" w14:textId="77777777" w:rsidR="00980E5F" w:rsidRDefault="00483613">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FFFFFF"/>
            <w:tcMar>
              <w:top w:w="0" w:type="dxa"/>
              <w:left w:w="20" w:type="dxa"/>
              <w:bottom w:w="0" w:type="dxa"/>
              <w:right w:w="20" w:type="dxa"/>
            </w:tcMar>
            <w:vAlign w:val="bottom"/>
          </w:tcPr>
          <w:p w14:paraId="392C943F"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40" w14:textId="77777777" w:rsidR="00980E5F" w:rsidRDefault="00483613">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441"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42" w14:textId="77777777" w:rsidR="00980E5F" w:rsidRDefault="00483613">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443"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9444" w14:textId="77777777" w:rsidR="00980E5F" w:rsidRDefault="00483613">
            <w:pPr>
              <w:jc w:val="center"/>
              <w:textAlignment w:val="bottom"/>
            </w:pPr>
            <w:r>
              <w:rPr>
                <w:rFonts w:ascii="Arial" w:eastAsia="宋体" w:hAnsi="Arial" w:cs="Arial"/>
                <w:b/>
                <w:bCs/>
                <w:color w:val="000000"/>
                <w:sz w:val="14"/>
                <w:szCs w:val="14"/>
              </w:rPr>
              <w:t>Total Acquired (In millions)</w:t>
            </w:r>
          </w:p>
        </w:tc>
      </w:tr>
      <w:tr w:rsidR="00980E5F" w14:paraId="392C9462" w14:textId="77777777">
        <w:tc>
          <w:tcPr>
            <w:tcW w:w="0" w:type="auto"/>
            <w:gridSpan w:val="3"/>
            <w:shd w:val="clear" w:color="auto" w:fill="CCEEFF"/>
            <w:tcMar>
              <w:top w:w="0" w:type="dxa"/>
              <w:left w:w="20" w:type="dxa"/>
              <w:bottom w:w="0" w:type="dxa"/>
              <w:right w:w="20" w:type="dxa"/>
            </w:tcMar>
            <w:vAlign w:val="bottom"/>
          </w:tcPr>
          <w:p w14:paraId="392C9446" w14:textId="77777777" w:rsidR="00980E5F" w:rsidRDefault="00980E5F">
            <w:pPr>
              <w:rPr>
                <w:rFonts w:ascii="宋体"/>
              </w:rPr>
            </w:pPr>
          </w:p>
        </w:tc>
        <w:tc>
          <w:tcPr>
            <w:tcW w:w="0" w:type="auto"/>
            <w:shd w:val="clear" w:color="auto" w:fill="auto"/>
            <w:vAlign w:val="bottom"/>
          </w:tcPr>
          <w:p w14:paraId="392C9447" w14:textId="77777777" w:rsidR="00980E5F" w:rsidRDefault="00980E5F">
            <w:pPr>
              <w:rPr>
                <w:rFonts w:ascii="宋体"/>
                <w:vanish/>
              </w:rPr>
            </w:pPr>
          </w:p>
        </w:tc>
        <w:tc>
          <w:tcPr>
            <w:tcW w:w="0" w:type="auto"/>
            <w:shd w:val="clear" w:color="auto" w:fill="auto"/>
            <w:vAlign w:val="bottom"/>
          </w:tcPr>
          <w:p w14:paraId="392C9448" w14:textId="77777777" w:rsidR="00980E5F" w:rsidRDefault="00980E5F">
            <w:pPr>
              <w:rPr>
                <w:rFonts w:ascii="宋体"/>
                <w:vanish/>
              </w:rPr>
            </w:pPr>
          </w:p>
        </w:tc>
        <w:tc>
          <w:tcPr>
            <w:tcW w:w="0" w:type="auto"/>
            <w:shd w:val="clear" w:color="auto" w:fill="auto"/>
            <w:vAlign w:val="bottom"/>
          </w:tcPr>
          <w:p w14:paraId="392C9449" w14:textId="77777777" w:rsidR="00980E5F" w:rsidRDefault="00980E5F">
            <w:pPr>
              <w:rPr>
                <w:rFonts w:ascii="宋体"/>
                <w:vanish/>
              </w:rPr>
            </w:pPr>
          </w:p>
        </w:tc>
        <w:tc>
          <w:tcPr>
            <w:tcW w:w="0" w:type="auto"/>
            <w:shd w:val="clear" w:color="auto" w:fill="auto"/>
            <w:vAlign w:val="bottom"/>
          </w:tcPr>
          <w:p w14:paraId="392C944A" w14:textId="77777777" w:rsidR="00980E5F" w:rsidRDefault="00980E5F">
            <w:pPr>
              <w:rPr>
                <w:rFonts w:ascii="宋体"/>
                <w:vanish/>
              </w:rPr>
            </w:pPr>
          </w:p>
        </w:tc>
        <w:tc>
          <w:tcPr>
            <w:tcW w:w="0" w:type="auto"/>
            <w:shd w:val="clear" w:color="auto" w:fill="auto"/>
            <w:vAlign w:val="bottom"/>
          </w:tcPr>
          <w:p w14:paraId="392C944B" w14:textId="77777777" w:rsidR="00980E5F" w:rsidRDefault="00980E5F">
            <w:pPr>
              <w:rPr>
                <w:rFonts w:ascii="宋体"/>
                <w:vanish/>
              </w:rPr>
            </w:pPr>
          </w:p>
        </w:tc>
        <w:tc>
          <w:tcPr>
            <w:tcW w:w="0" w:type="auto"/>
            <w:gridSpan w:val="3"/>
            <w:shd w:val="clear" w:color="auto" w:fill="auto"/>
            <w:vAlign w:val="bottom"/>
          </w:tcPr>
          <w:p w14:paraId="392C944C"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44D" w14:textId="77777777" w:rsidR="00980E5F" w:rsidRDefault="00483613">
            <w:pPr>
              <w:jc w:val="right"/>
              <w:textAlignment w:val="bottom"/>
            </w:pPr>
            <w:r>
              <w:rPr>
                <w:rFonts w:ascii="Arial" w:eastAsia="宋体" w:hAnsi="Arial" w:cs="Arial"/>
                <w:color w:val="000000"/>
                <w:sz w:val="14"/>
                <w:szCs w:val="14"/>
              </w:rPr>
              <w:t>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44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45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451" w14:textId="77777777" w:rsidR="00980E5F" w:rsidRDefault="00483613">
            <w:pPr>
              <w:jc w:val="right"/>
              <w:textAlignment w:val="bottom"/>
            </w:pPr>
            <w:r>
              <w:rPr>
                <w:rFonts w:ascii="Arial" w:eastAsia="宋体" w:hAnsi="Arial" w:cs="Arial"/>
                <w:color w:val="000000"/>
                <w:sz w:val="14"/>
                <w:szCs w:val="14"/>
              </w:rPr>
              <w:t>84.71 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45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45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455" w14:textId="77777777" w:rsidR="00980E5F" w:rsidRDefault="00483613">
            <w:pPr>
              <w:jc w:val="right"/>
              <w:textAlignment w:val="bottom"/>
            </w:pPr>
            <w:r>
              <w:rPr>
                <w:rFonts w:ascii="Arial" w:eastAsia="宋体" w:hAnsi="Arial" w:cs="Arial"/>
                <w:color w:val="000000"/>
                <w:sz w:val="14"/>
                <w:szCs w:val="14"/>
              </w:rPr>
              <w:t>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5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457"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458" w14:textId="77777777" w:rsidR="00980E5F" w:rsidRDefault="00483613">
            <w:pPr>
              <w:jc w:val="right"/>
              <w:textAlignment w:val="bottom"/>
            </w:pPr>
            <w:r>
              <w:rPr>
                <w:rFonts w:ascii="Arial" w:eastAsia="宋体" w:hAnsi="Arial" w:cs="Arial"/>
                <w:color w:val="000000"/>
                <w:sz w:val="14"/>
                <w:szCs w:val="14"/>
              </w:rPr>
              <w:t>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45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45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45C" w14:textId="77777777" w:rsidR="00980E5F" w:rsidRDefault="00483613">
            <w:pPr>
              <w:jc w:val="right"/>
              <w:textAlignment w:val="bottom"/>
            </w:pPr>
            <w:r>
              <w:rPr>
                <w:rFonts w:ascii="Arial" w:eastAsia="宋体" w:hAnsi="Arial" w:cs="Arial"/>
                <w:color w:val="000000"/>
                <w:sz w:val="14"/>
                <w:szCs w:val="14"/>
              </w:rPr>
              <w:t>80.00 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5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45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45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460" w14:textId="77777777" w:rsidR="00980E5F" w:rsidRDefault="00483613">
            <w:pPr>
              <w:jc w:val="right"/>
              <w:textAlignment w:val="bottom"/>
            </w:pPr>
            <w:r>
              <w:rPr>
                <w:rFonts w:ascii="Arial" w:eastAsia="宋体" w:hAnsi="Arial" w:cs="Arial"/>
                <w:color w:val="000000"/>
                <w:sz w:val="14"/>
                <w:szCs w:val="14"/>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461" w14:textId="77777777" w:rsidR="00980E5F" w:rsidRDefault="00980E5F">
            <w:pPr>
              <w:jc w:val="right"/>
              <w:rPr>
                <w:rFonts w:ascii="宋体"/>
              </w:rPr>
            </w:pPr>
          </w:p>
        </w:tc>
      </w:tr>
      <w:tr w:rsidR="00980E5F" w14:paraId="392C9475" w14:textId="77777777">
        <w:trPr>
          <w:hidden/>
        </w:trPr>
        <w:tc>
          <w:tcPr>
            <w:tcW w:w="0" w:type="auto"/>
            <w:gridSpan w:val="3"/>
            <w:shd w:val="clear" w:color="auto" w:fill="auto"/>
            <w:vAlign w:val="bottom"/>
          </w:tcPr>
          <w:p w14:paraId="392C9463" w14:textId="77777777" w:rsidR="00980E5F" w:rsidRDefault="00980E5F">
            <w:pPr>
              <w:rPr>
                <w:rFonts w:ascii="宋体"/>
                <w:vanish/>
              </w:rPr>
            </w:pPr>
          </w:p>
        </w:tc>
        <w:tc>
          <w:tcPr>
            <w:tcW w:w="0" w:type="auto"/>
            <w:shd w:val="clear" w:color="auto" w:fill="auto"/>
            <w:vAlign w:val="bottom"/>
          </w:tcPr>
          <w:p w14:paraId="392C9464" w14:textId="77777777" w:rsidR="00980E5F" w:rsidRDefault="00980E5F">
            <w:pPr>
              <w:rPr>
                <w:rFonts w:ascii="宋体"/>
                <w:vanish/>
              </w:rPr>
            </w:pPr>
          </w:p>
        </w:tc>
        <w:tc>
          <w:tcPr>
            <w:tcW w:w="0" w:type="auto"/>
            <w:shd w:val="clear" w:color="auto" w:fill="auto"/>
            <w:vAlign w:val="bottom"/>
          </w:tcPr>
          <w:p w14:paraId="392C9465" w14:textId="77777777" w:rsidR="00980E5F" w:rsidRDefault="00980E5F">
            <w:pPr>
              <w:rPr>
                <w:rFonts w:ascii="宋体"/>
                <w:vanish/>
              </w:rPr>
            </w:pPr>
          </w:p>
        </w:tc>
        <w:tc>
          <w:tcPr>
            <w:tcW w:w="0" w:type="auto"/>
            <w:shd w:val="clear" w:color="auto" w:fill="auto"/>
            <w:vAlign w:val="bottom"/>
          </w:tcPr>
          <w:p w14:paraId="392C9466" w14:textId="77777777" w:rsidR="00980E5F" w:rsidRDefault="00980E5F">
            <w:pPr>
              <w:rPr>
                <w:rFonts w:ascii="宋体"/>
                <w:vanish/>
              </w:rPr>
            </w:pPr>
          </w:p>
        </w:tc>
        <w:tc>
          <w:tcPr>
            <w:tcW w:w="0" w:type="auto"/>
            <w:shd w:val="clear" w:color="auto" w:fill="auto"/>
            <w:vAlign w:val="bottom"/>
          </w:tcPr>
          <w:p w14:paraId="392C9467" w14:textId="77777777" w:rsidR="00980E5F" w:rsidRDefault="00980E5F">
            <w:pPr>
              <w:rPr>
                <w:rFonts w:ascii="宋体"/>
                <w:vanish/>
              </w:rPr>
            </w:pPr>
          </w:p>
        </w:tc>
        <w:tc>
          <w:tcPr>
            <w:tcW w:w="0" w:type="auto"/>
            <w:shd w:val="clear" w:color="auto" w:fill="auto"/>
            <w:vAlign w:val="bottom"/>
          </w:tcPr>
          <w:p w14:paraId="392C9468" w14:textId="77777777" w:rsidR="00980E5F" w:rsidRDefault="00980E5F">
            <w:pPr>
              <w:rPr>
                <w:rFonts w:ascii="宋体"/>
                <w:vanish/>
              </w:rPr>
            </w:pPr>
          </w:p>
        </w:tc>
        <w:tc>
          <w:tcPr>
            <w:tcW w:w="0" w:type="auto"/>
            <w:gridSpan w:val="3"/>
            <w:shd w:val="clear" w:color="auto" w:fill="auto"/>
            <w:vAlign w:val="bottom"/>
          </w:tcPr>
          <w:p w14:paraId="392C9469" w14:textId="77777777" w:rsidR="00980E5F" w:rsidRDefault="00980E5F">
            <w:pPr>
              <w:rPr>
                <w:rFonts w:ascii="宋体"/>
                <w:vanish/>
              </w:rPr>
            </w:pPr>
          </w:p>
        </w:tc>
        <w:tc>
          <w:tcPr>
            <w:tcW w:w="0" w:type="auto"/>
            <w:gridSpan w:val="3"/>
            <w:shd w:val="clear" w:color="auto" w:fill="auto"/>
            <w:vAlign w:val="bottom"/>
          </w:tcPr>
          <w:p w14:paraId="392C946A" w14:textId="77777777" w:rsidR="00980E5F" w:rsidRDefault="00980E5F">
            <w:pPr>
              <w:rPr>
                <w:rFonts w:ascii="宋体"/>
                <w:vanish/>
              </w:rPr>
            </w:pPr>
          </w:p>
        </w:tc>
        <w:tc>
          <w:tcPr>
            <w:tcW w:w="0" w:type="auto"/>
            <w:gridSpan w:val="3"/>
            <w:shd w:val="clear" w:color="auto" w:fill="auto"/>
            <w:vAlign w:val="bottom"/>
          </w:tcPr>
          <w:p w14:paraId="392C946B" w14:textId="77777777" w:rsidR="00980E5F" w:rsidRDefault="00980E5F">
            <w:pPr>
              <w:rPr>
                <w:rFonts w:ascii="宋体"/>
                <w:vanish/>
              </w:rPr>
            </w:pPr>
          </w:p>
        </w:tc>
        <w:tc>
          <w:tcPr>
            <w:tcW w:w="0" w:type="auto"/>
            <w:gridSpan w:val="3"/>
            <w:shd w:val="clear" w:color="auto" w:fill="auto"/>
            <w:vAlign w:val="bottom"/>
          </w:tcPr>
          <w:p w14:paraId="392C946C" w14:textId="77777777" w:rsidR="00980E5F" w:rsidRDefault="00980E5F">
            <w:pPr>
              <w:rPr>
                <w:rFonts w:ascii="宋体"/>
                <w:vanish/>
              </w:rPr>
            </w:pPr>
          </w:p>
        </w:tc>
        <w:tc>
          <w:tcPr>
            <w:tcW w:w="0" w:type="auto"/>
            <w:gridSpan w:val="3"/>
            <w:shd w:val="clear" w:color="auto" w:fill="auto"/>
            <w:vAlign w:val="bottom"/>
          </w:tcPr>
          <w:p w14:paraId="392C946D" w14:textId="77777777" w:rsidR="00980E5F" w:rsidRDefault="00980E5F">
            <w:pPr>
              <w:rPr>
                <w:rFonts w:ascii="宋体"/>
                <w:vanish/>
              </w:rPr>
            </w:pPr>
          </w:p>
        </w:tc>
        <w:tc>
          <w:tcPr>
            <w:tcW w:w="0" w:type="auto"/>
            <w:gridSpan w:val="3"/>
            <w:shd w:val="clear" w:color="auto" w:fill="auto"/>
            <w:vAlign w:val="bottom"/>
          </w:tcPr>
          <w:p w14:paraId="392C946E" w14:textId="77777777" w:rsidR="00980E5F" w:rsidRDefault="00980E5F">
            <w:pPr>
              <w:rPr>
                <w:rFonts w:ascii="宋体"/>
                <w:vanish/>
              </w:rPr>
            </w:pPr>
          </w:p>
        </w:tc>
        <w:tc>
          <w:tcPr>
            <w:tcW w:w="0" w:type="auto"/>
            <w:gridSpan w:val="3"/>
            <w:shd w:val="clear" w:color="auto" w:fill="auto"/>
            <w:vAlign w:val="bottom"/>
          </w:tcPr>
          <w:p w14:paraId="392C946F" w14:textId="77777777" w:rsidR="00980E5F" w:rsidRDefault="00980E5F">
            <w:pPr>
              <w:rPr>
                <w:rFonts w:ascii="宋体"/>
                <w:vanish/>
              </w:rPr>
            </w:pPr>
          </w:p>
        </w:tc>
        <w:tc>
          <w:tcPr>
            <w:tcW w:w="0" w:type="auto"/>
            <w:gridSpan w:val="3"/>
            <w:shd w:val="clear" w:color="auto" w:fill="auto"/>
            <w:vAlign w:val="bottom"/>
          </w:tcPr>
          <w:p w14:paraId="392C9470" w14:textId="77777777" w:rsidR="00980E5F" w:rsidRDefault="00980E5F">
            <w:pPr>
              <w:rPr>
                <w:rFonts w:ascii="宋体"/>
                <w:vanish/>
              </w:rPr>
            </w:pPr>
          </w:p>
        </w:tc>
        <w:tc>
          <w:tcPr>
            <w:tcW w:w="0" w:type="auto"/>
            <w:gridSpan w:val="3"/>
            <w:shd w:val="clear" w:color="auto" w:fill="auto"/>
            <w:vAlign w:val="bottom"/>
          </w:tcPr>
          <w:p w14:paraId="392C9471" w14:textId="77777777" w:rsidR="00980E5F" w:rsidRDefault="00980E5F">
            <w:pPr>
              <w:rPr>
                <w:rFonts w:ascii="宋体"/>
                <w:vanish/>
              </w:rPr>
            </w:pPr>
          </w:p>
        </w:tc>
        <w:tc>
          <w:tcPr>
            <w:tcW w:w="0" w:type="auto"/>
            <w:gridSpan w:val="3"/>
            <w:shd w:val="clear" w:color="auto" w:fill="auto"/>
            <w:vAlign w:val="bottom"/>
          </w:tcPr>
          <w:p w14:paraId="392C9472" w14:textId="77777777" w:rsidR="00980E5F" w:rsidRDefault="00980E5F">
            <w:pPr>
              <w:rPr>
                <w:rFonts w:ascii="宋体"/>
                <w:vanish/>
              </w:rPr>
            </w:pPr>
          </w:p>
        </w:tc>
        <w:tc>
          <w:tcPr>
            <w:tcW w:w="0" w:type="auto"/>
            <w:gridSpan w:val="3"/>
            <w:shd w:val="clear" w:color="auto" w:fill="auto"/>
            <w:vAlign w:val="bottom"/>
          </w:tcPr>
          <w:p w14:paraId="392C9473" w14:textId="77777777" w:rsidR="00980E5F" w:rsidRDefault="00980E5F">
            <w:pPr>
              <w:rPr>
                <w:rFonts w:ascii="宋体"/>
                <w:vanish/>
              </w:rPr>
            </w:pPr>
          </w:p>
        </w:tc>
        <w:tc>
          <w:tcPr>
            <w:tcW w:w="0" w:type="auto"/>
            <w:gridSpan w:val="3"/>
            <w:shd w:val="clear" w:color="auto" w:fill="auto"/>
            <w:vAlign w:val="bottom"/>
          </w:tcPr>
          <w:p w14:paraId="392C9474" w14:textId="77777777" w:rsidR="00980E5F" w:rsidRDefault="00980E5F">
            <w:pPr>
              <w:rPr>
                <w:rFonts w:ascii="宋体"/>
                <w:vanish/>
              </w:rPr>
            </w:pPr>
          </w:p>
        </w:tc>
      </w:tr>
      <w:tr w:rsidR="00980E5F" w14:paraId="392C9488" w14:textId="77777777">
        <w:trPr>
          <w:hidden/>
        </w:trPr>
        <w:tc>
          <w:tcPr>
            <w:tcW w:w="0" w:type="auto"/>
            <w:gridSpan w:val="3"/>
            <w:shd w:val="clear" w:color="auto" w:fill="auto"/>
            <w:vAlign w:val="bottom"/>
          </w:tcPr>
          <w:p w14:paraId="392C9476" w14:textId="77777777" w:rsidR="00980E5F" w:rsidRDefault="00980E5F">
            <w:pPr>
              <w:rPr>
                <w:rFonts w:ascii="宋体"/>
                <w:vanish/>
              </w:rPr>
            </w:pPr>
          </w:p>
        </w:tc>
        <w:tc>
          <w:tcPr>
            <w:tcW w:w="0" w:type="auto"/>
            <w:shd w:val="clear" w:color="auto" w:fill="auto"/>
            <w:vAlign w:val="bottom"/>
          </w:tcPr>
          <w:p w14:paraId="392C9477" w14:textId="77777777" w:rsidR="00980E5F" w:rsidRDefault="00980E5F">
            <w:pPr>
              <w:rPr>
                <w:rFonts w:ascii="宋体"/>
                <w:vanish/>
              </w:rPr>
            </w:pPr>
          </w:p>
        </w:tc>
        <w:tc>
          <w:tcPr>
            <w:tcW w:w="0" w:type="auto"/>
            <w:shd w:val="clear" w:color="auto" w:fill="auto"/>
            <w:vAlign w:val="bottom"/>
          </w:tcPr>
          <w:p w14:paraId="392C9478" w14:textId="77777777" w:rsidR="00980E5F" w:rsidRDefault="00980E5F">
            <w:pPr>
              <w:rPr>
                <w:rFonts w:ascii="宋体"/>
                <w:vanish/>
              </w:rPr>
            </w:pPr>
          </w:p>
        </w:tc>
        <w:tc>
          <w:tcPr>
            <w:tcW w:w="0" w:type="auto"/>
            <w:shd w:val="clear" w:color="auto" w:fill="auto"/>
            <w:vAlign w:val="bottom"/>
          </w:tcPr>
          <w:p w14:paraId="392C9479" w14:textId="77777777" w:rsidR="00980E5F" w:rsidRDefault="00980E5F">
            <w:pPr>
              <w:rPr>
                <w:rFonts w:ascii="宋体"/>
                <w:vanish/>
              </w:rPr>
            </w:pPr>
          </w:p>
        </w:tc>
        <w:tc>
          <w:tcPr>
            <w:tcW w:w="0" w:type="auto"/>
            <w:shd w:val="clear" w:color="auto" w:fill="auto"/>
            <w:vAlign w:val="bottom"/>
          </w:tcPr>
          <w:p w14:paraId="392C947A" w14:textId="77777777" w:rsidR="00980E5F" w:rsidRDefault="00980E5F">
            <w:pPr>
              <w:rPr>
                <w:rFonts w:ascii="宋体"/>
                <w:vanish/>
              </w:rPr>
            </w:pPr>
          </w:p>
        </w:tc>
        <w:tc>
          <w:tcPr>
            <w:tcW w:w="0" w:type="auto"/>
            <w:shd w:val="clear" w:color="auto" w:fill="auto"/>
            <w:vAlign w:val="bottom"/>
          </w:tcPr>
          <w:p w14:paraId="392C947B" w14:textId="77777777" w:rsidR="00980E5F" w:rsidRDefault="00980E5F">
            <w:pPr>
              <w:rPr>
                <w:rFonts w:ascii="宋体"/>
                <w:vanish/>
              </w:rPr>
            </w:pPr>
          </w:p>
        </w:tc>
        <w:tc>
          <w:tcPr>
            <w:tcW w:w="0" w:type="auto"/>
            <w:gridSpan w:val="3"/>
            <w:shd w:val="clear" w:color="auto" w:fill="auto"/>
            <w:vAlign w:val="bottom"/>
          </w:tcPr>
          <w:p w14:paraId="392C947C" w14:textId="77777777" w:rsidR="00980E5F" w:rsidRDefault="00980E5F">
            <w:pPr>
              <w:rPr>
                <w:rFonts w:ascii="宋体"/>
                <w:vanish/>
              </w:rPr>
            </w:pPr>
          </w:p>
        </w:tc>
        <w:tc>
          <w:tcPr>
            <w:tcW w:w="0" w:type="auto"/>
            <w:gridSpan w:val="3"/>
            <w:shd w:val="clear" w:color="auto" w:fill="auto"/>
            <w:vAlign w:val="bottom"/>
          </w:tcPr>
          <w:p w14:paraId="392C947D" w14:textId="77777777" w:rsidR="00980E5F" w:rsidRDefault="00980E5F">
            <w:pPr>
              <w:rPr>
                <w:rFonts w:ascii="宋体"/>
                <w:vanish/>
              </w:rPr>
            </w:pPr>
          </w:p>
        </w:tc>
        <w:tc>
          <w:tcPr>
            <w:tcW w:w="0" w:type="auto"/>
            <w:gridSpan w:val="3"/>
            <w:shd w:val="clear" w:color="auto" w:fill="auto"/>
            <w:vAlign w:val="bottom"/>
          </w:tcPr>
          <w:p w14:paraId="392C947E" w14:textId="77777777" w:rsidR="00980E5F" w:rsidRDefault="00980E5F">
            <w:pPr>
              <w:rPr>
                <w:rFonts w:ascii="宋体"/>
                <w:vanish/>
              </w:rPr>
            </w:pPr>
          </w:p>
        </w:tc>
        <w:tc>
          <w:tcPr>
            <w:tcW w:w="0" w:type="auto"/>
            <w:gridSpan w:val="3"/>
            <w:shd w:val="clear" w:color="auto" w:fill="auto"/>
            <w:vAlign w:val="bottom"/>
          </w:tcPr>
          <w:p w14:paraId="392C947F" w14:textId="77777777" w:rsidR="00980E5F" w:rsidRDefault="00980E5F">
            <w:pPr>
              <w:rPr>
                <w:rFonts w:ascii="宋体"/>
                <w:vanish/>
              </w:rPr>
            </w:pPr>
          </w:p>
        </w:tc>
        <w:tc>
          <w:tcPr>
            <w:tcW w:w="0" w:type="auto"/>
            <w:gridSpan w:val="3"/>
            <w:shd w:val="clear" w:color="auto" w:fill="auto"/>
            <w:vAlign w:val="bottom"/>
          </w:tcPr>
          <w:p w14:paraId="392C9480" w14:textId="77777777" w:rsidR="00980E5F" w:rsidRDefault="00980E5F">
            <w:pPr>
              <w:rPr>
                <w:rFonts w:ascii="宋体"/>
                <w:vanish/>
              </w:rPr>
            </w:pPr>
          </w:p>
        </w:tc>
        <w:tc>
          <w:tcPr>
            <w:tcW w:w="0" w:type="auto"/>
            <w:gridSpan w:val="3"/>
            <w:shd w:val="clear" w:color="auto" w:fill="auto"/>
            <w:vAlign w:val="bottom"/>
          </w:tcPr>
          <w:p w14:paraId="392C9481" w14:textId="77777777" w:rsidR="00980E5F" w:rsidRDefault="00980E5F">
            <w:pPr>
              <w:rPr>
                <w:rFonts w:ascii="宋体"/>
                <w:vanish/>
              </w:rPr>
            </w:pPr>
          </w:p>
        </w:tc>
        <w:tc>
          <w:tcPr>
            <w:tcW w:w="0" w:type="auto"/>
            <w:gridSpan w:val="3"/>
            <w:shd w:val="clear" w:color="auto" w:fill="auto"/>
            <w:vAlign w:val="bottom"/>
          </w:tcPr>
          <w:p w14:paraId="392C9482" w14:textId="77777777" w:rsidR="00980E5F" w:rsidRDefault="00980E5F">
            <w:pPr>
              <w:rPr>
                <w:rFonts w:ascii="宋体"/>
                <w:vanish/>
              </w:rPr>
            </w:pPr>
          </w:p>
        </w:tc>
        <w:tc>
          <w:tcPr>
            <w:tcW w:w="0" w:type="auto"/>
            <w:gridSpan w:val="3"/>
            <w:shd w:val="clear" w:color="auto" w:fill="auto"/>
            <w:vAlign w:val="bottom"/>
          </w:tcPr>
          <w:p w14:paraId="392C9483" w14:textId="77777777" w:rsidR="00980E5F" w:rsidRDefault="00980E5F">
            <w:pPr>
              <w:rPr>
                <w:rFonts w:ascii="宋体"/>
                <w:vanish/>
              </w:rPr>
            </w:pPr>
          </w:p>
        </w:tc>
        <w:tc>
          <w:tcPr>
            <w:tcW w:w="0" w:type="auto"/>
            <w:gridSpan w:val="3"/>
            <w:shd w:val="clear" w:color="auto" w:fill="auto"/>
            <w:vAlign w:val="bottom"/>
          </w:tcPr>
          <w:p w14:paraId="392C9484" w14:textId="77777777" w:rsidR="00980E5F" w:rsidRDefault="00980E5F">
            <w:pPr>
              <w:rPr>
                <w:rFonts w:ascii="宋体"/>
                <w:vanish/>
              </w:rPr>
            </w:pPr>
          </w:p>
        </w:tc>
        <w:tc>
          <w:tcPr>
            <w:tcW w:w="0" w:type="auto"/>
            <w:gridSpan w:val="3"/>
            <w:shd w:val="clear" w:color="auto" w:fill="auto"/>
            <w:vAlign w:val="bottom"/>
          </w:tcPr>
          <w:p w14:paraId="392C9485" w14:textId="77777777" w:rsidR="00980E5F" w:rsidRDefault="00980E5F">
            <w:pPr>
              <w:rPr>
                <w:rFonts w:ascii="宋体"/>
                <w:vanish/>
              </w:rPr>
            </w:pPr>
          </w:p>
        </w:tc>
        <w:tc>
          <w:tcPr>
            <w:tcW w:w="0" w:type="auto"/>
            <w:gridSpan w:val="3"/>
            <w:shd w:val="clear" w:color="auto" w:fill="auto"/>
            <w:vAlign w:val="bottom"/>
          </w:tcPr>
          <w:p w14:paraId="392C9486" w14:textId="77777777" w:rsidR="00980E5F" w:rsidRDefault="00980E5F">
            <w:pPr>
              <w:rPr>
                <w:rFonts w:ascii="宋体"/>
                <w:vanish/>
              </w:rPr>
            </w:pPr>
          </w:p>
        </w:tc>
        <w:tc>
          <w:tcPr>
            <w:tcW w:w="0" w:type="auto"/>
            <w:gridSpan w:val="3"/>
            <w:shd w:val="clear" w:color="auto" w:fill="auto"/>
            <w:vAlign w:val="bottom"/>
          </w:tcPr>
          <w:p w14:paraId="392C9487" w14:textId="77777777" w:rsidR="00980E5F" w:rsidRDefault="00980E5F">
            <w:pPr>
              <w:rPr>
                <w:rFonts w:ascii="宋体"/>
                <w:vanish/>
              </w:rPr>
            </w:pPr>
          </w:p>
        </w:tc>
      </w:tr>
    </w:tbl>
    <w:p w14:paraId="392C9489"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5"/>
        <w:gridCol w:w="898"/>
        <w:gridCol w:w="36"/>
        <w:gridCol w:w="36"/>
        <w:gridCol w:w="36"/>
        <w:gridCol w:w="36"/>
        <w:gridCol w:w="36"/>
        <w:gridCol w:w="36"/>
        <w:gridCol w:w="36"/>
        <w:gridCol w:w="36"/>
        <w:gridCol w:w="36"/>
        <w:gridCol w:w="36"/>
        <w:gridCol w:w="1073"/>
        <w:gridCol w:w="36"/>
        <w:gridCol w:w="36"/>
        <w:gridCol w:w="36"/>
        <w:gridCol w:w="36"/>
        <w:gridCol w:w="36"/>
        <w:gridCol w:w="1074"/>
        <w:gridCol w:w="36"/>
        <w:gridCol w:w="36"/>
        <w:gridCol w:w="36"/>
        <w:gridCol w:w="36"/>
        <w:gridCol w:w="36"/>
        <w:gridCol w:w="1076"/>
        <w:gridCol w:w="36"/>
        <w:gridCol w:w="36"/>
        <w:gridCol w:w="36"/>
        <w:gridCol w:w="36"/>
        <w:gridCol w:w="36"/>
        <w:gridCol w:w="971"/>
        <w:gridCol w:w="36"/>
        <w:gridCol w:w="36"/>
        <w:gridCol w:w="36"/>
        <w:gridCol w:w="36"/>
        <w:gridCol w:w="36"/>
        <w:gridCol w:w="994"/>
        <w:gridCol w:w="36"/>
        <w:gridCol w:w="36"/>
        <w:gridCol w:w="36"/>
        <w:gridCol w:w="36"/>
        <w:gridCol w:w="36"/>
        <w:gridCol w:w="899"/>
        <w:gridCol w:w="36"/>
      </w:tblGrid>
      <w:tr w:rsidR="00980E5F" w14:paraId="392C94B6" w14:textId="77777777">
        <w:tc>
          <w:tcPr>
            <w:tcW w:w="50" w:type="pct"/>
            <w:shd w:val="clear" w:color="auto" w:fill="auto"/>
            <w:vAlign w:val="bottom"/>
          </w:tcPr>
          <w:p w14:paraId="392C948A" w14:textId="77777777" w:rsidR="00980E5F" w:rsidRDefault="00980E5F">
            <w:pPr>
              <w:rPr>
                <w:rFonts w:ascii="宋体"/>
              </w:rPr>
            </w:pPr>
          </w:p>
        </w:tc>
        <w:tc>
          <w:tcPr>
            <w:tcW w:w="566" w:type="pct"/>
            <w:shd w:val="clear" w:color="auto" w:fill="auto"/>
            <w:vAlign w:val="bottom"/>
          </w:tcPr>
          <w:p w14:paraId="392C948B" w14:textId="77777777" w:rsidR="00980E5F" w:rsidRDefault="00980E5F">
            <w:pPr>
              <w:rPr>
                <w:rFonts w:ascii="宋体"/>
              </w:rPr>
            </w:pPr>
          </w:p>
        </w:tc>
        <w:tc>
          <w:tcPr>
            <w:tcW w:w="5" w:type="pct"/>
            <w:shd w:val="clear" w:color="auto" w:fill="auto"/>
            <w:vAlign w:val="bottom"/>
          </w:tcPr>
          <w:p w14:paraId="392C948C" w14:textId="77777777" w:rsidR="00980E5F" w:rsidRDefault="00980E5F">
            <w:pPr>
              <w:rPr>
                <w:rFonts w:ascii="宋体"/>
              </w:rPr>
            </w:pPr>
          </w:p>
        </w:tc>
        <w:tc>
          <w:tcPr>
            <w:tcW w:w="0" w:type="auto"/>
            <w:shd w:val="clear" w:color="auto" w:fill="auto"/>
            <w:vAlign w:val="bottom"/>
          </w:tcPr>
          <w:p w14:paraId="392C948D" w14:textId="77777777" w:rsidR="00980E5F" w:rsidRDefault="00980E5F">
            <w:pPr>
              <w:rPr>
                <w:rFonts w:ascii="宋体"/>
                <w:vanish/>
              </w:rPr>
            </w:pPr>
          </w:p>
        </w:tc>
        <w:tc>
          <w:tcPr>
            <w:tcW w:w="0" w:type="auto"/>
            <w:shd w:val="clear" w:color="auto" w:fill="auto"/>
            <w:vAlign w:val="bottom"/>
          </w:tcPr>
          <w:p w14:paraId="392C948E" w14:textId="77777777" w:rsidR="00980E5F" w:rsidRDefault="00980E5F">
            <w:pPr>
              <w:rPr>
                <w:rFonts w:ascii="宋体"/>
                <w:vanish/>
              </w:rPr>
            </w:pPr>
          </w:p>
        </w:tc>
        <w:tc>
          <w:tcPr>
            <w:tcW w:w="0" w:type="auto"/>
            <w:shd w:val="clear" w:color="auto" w:fill="auto"/>
            <w:vAlign w:val="bottom"/>
          </w:tcPr>
          <w:p w14:paraId="392C948F" w14:textId="77777777" w:rsidR="00980E5F" w:rsidRDefault="00980E5F">
            <w:pPr>
              <w:rPr>
                <w:rFonts w:ascii="宋体"/>
                <w:vanish/>
              </w:rPr>
            </w:pPr>
          </w:p>
        </w:tc>
        <w:tc>
          <w:tcPr>
            <w:tcW w:w="0" w:type="auto"/>
            <w:shd w:val="clear" w:color="auto" w:fill="auto"/>
            <w:vAlign w:val="bottom"/>
          </w:tcPr>
          <w:p w14:paraId="392C9490" w14:textId="77777777" w:rsidR="00980E5F" w:rsidRDefault="00980E5F">
            <w:pPr>
              <w:rPr>
                <w:rFonts w:ascii="宋体"/>
                <w:vanish/>
              </w:rPr>
            </w:pPr>
          </w:p>
        </w:tc>
        <w:tc>
          <w:tcPr>
            <w:tcW w:w="0" w:type="auto"/>
            <w:shd w:val="clear" w:color="auto" w:fill="auto"/>
            <w:vAlign w:val="bottom"/>
          </w:tcPr>
          <w:p w14:paraId="392C9491" w14:textId="77777777" w:rsidR="00980E5F" w:rsidRDefault="00980E5F">
            <w:pPr>
              <w:rPr>
                <w:rFonts w:ascii="宋体"/>
                <w:vanish/>
              </w:rPr>
            </w:pPr>
          </w:p>
        </w:tc>
        <w:tc>
          <w:tcPr>
            <w:tcW w:w="5" w:type="pct"/>
            <w:shd w:val="clear" w:color="auto" w:fill="auto"/>
            <w:vAlign w:val="bottom"/>
          </w:tcPr>
          <w:p w14:paraId="392C9492" w14:textId="77777777" w:rsidR="00980E5F" w:rsidRDefault="00980E5F">
            <w:pPr>
              <w:rPr>
                <w:rFonts w:ascii="宋体"/>
              </w:rPr>
            </w:pPr>
          </w:p>
        </w:tc>
        <w:tc>
          <w:tcPr>
            <w:tcW w:w="26" w:type="pct"/>
            <w:shd w:val="clear" w:color="auto" w:fill="auto"/>
            <w:vAlign w:val="bottom"/>
          </w:tcPr>
          <w:p w14:paraId="392C9493" w14:textId="77777777" w:rsidR="00980E5F" w:rsidRDefault="00980E5F">
            <w:pPr>
              <w:rPr>
                <w:rFonts w:ascii="宋体"/>
              </w:rPr>
            </w:pPr>
          </w:p>
        </w:tc>
        <w:tc>
          <w:tcPr>
            <w:tcW w:w="5" w:type="pct"/>
            <w:shd w:val="clear" w:color="auto" w:fill="auto"/>
            <w:vAlign w:val="bottom"/>
          </w:tcPr>
          <w:p w14:paraId="392C9494" w14:textId="77777777" w:rsidR="00980E5F" w:rsidRDefault="00980E5F">
            <w:pPr>
              <w:rPr>
                <w:rFonts w:ascii="宋体"/>
              </w:rPr>
            </w:pPr>
          </w:p>
        </w:tc>
        <w:tc>
          <w:tcPr>
            <w:tcW w:w="50" w:type="pct"/>
            <w:shd w:val="clear" w:color="auto" w:fill="auto"/>
            <w:vAlign w:val="bottom"/>
          </w:tcPr>
          <w:p w14:paraId="392C9495" w14:textId="77777777" w:rsidR="00980E5F" w:rsidRDefault="00980E5F">
            <w:pPr>
              <w:rPr>
                <w:rFonts w:ascii="宋体"/>
              </w:rPr>
            </w:pPr>
          </w:p>
        </w:tc>
        <w:tc>
          <w:tcPr>
            <w:tcW w:w="675" w:type="pct"/>
            <w:shd w:val="clear" w:color="auto" w:fill="auto"/>
            <w:vAlign w:val="bottom"/>
          </w:tcPr>
          <w:p w14:paraId="392C9496" w14:textId="77777777" w:rsidR="00980E5F" w:rsidRDefault="00980E5F">
            <w:pPr>
              <w:rPr>
                <w:rFonts w:ascii="宋体"/>
              </w:rPr>
            </w:pPr>
          </w:p>
        </w:tc>
        <w:tc>
          <w:tcPr>
            <w:tcW w:w="5" w:type="pct"/>
            <w:shd w:val="clear" w:color="auto" w:fill="auto"/>
            <w:vAlign w:val="bottom"/>
          </w:tcPr>
          <w:p w14:paraId="392C9497" w14:textId="77777777" w:rsidR="00980E5F" w:rsidRDefault="00980E5F">
            <w:pPr>
              <w:rPr>
                <w:rFonts w:ascii="宋体"/>
              </w:rPr>
            </w:pPr>
          </w:p>
        </w:tc>
        <w:tc>
          <w:tcPr>
            <w:tcW w:w="5" w:type="pct"/>
            <w:shd w:val="clear" w:color="auto" w:fill="auto"/>
            <w:vAlign w:val="bottom"/>
          </w:tcPr>
          <w:p w14:paraId="392C9498" w14:textId="77777777" w:rsidR="00980E5F" w:rsidRDefault="00980E5F">
            <w:pPr>
              <w:rPr>
                <w:rFonts w:ascii="宋体"/>
              </w:rPr>
            </w:pPr>
          </w:p>
        </w:tc>
        <w:tc>
          <w:tcPr>
            <w:tcW w:w="26" w:type="pct"/>
            <w:shd w:val="clear" w:color="auto" w:fill="auto"/>
            <w:vAlign w:val="bottom"/>
          </w:tcPr>
          <w:p w14:paraId="392C9499" w14:textId="77777777" w:rsidR="00980E5F" w:rsidRDefault="00980E5F">
            <w:pPr>
              <w:rPr>
                <w:rFonts w:ascii="宋体"/>
              </w:rPr>
            </w:pPr>
          </w:p>
        </w:tc>
        <w:tc>
          <w:tcPr>
            <w:tcW w:w="5" w:type="pct"/>
            <w:shd w:val="clear" w:color="auto" w:fill="auto"/>
            <w:vAlign w:val="bottom"/>
          </w:tcPr>
          <w:p w14:paraId="392C949A" w14:textId="77777777" w:rsidR="00980E5F" w:rsidRDefault="00980E5F">
            <w:pPr>
              <w:rPr>
                <w:rFonts w:ascii="宋体"/>
              </w:rPr>
            </w:pPr>
          </w:p>
        </w:tc>
        <w:tc>
          <w:tcPr>
            <w:tcW w:w="50" w:type="pct"/>
            <w:shd w:val="clear" w:color="auto" w:fill="auto"/>
            <w:vAlign w:val="bottom"/>
          </w:tcPr>
          <w:p w14:paraId="392C949B" w14:textId="77777777" w:rsidR="00980E5F" w:rsidRDefault="00980E5F">
            <w:pPr>
              <w:rPr>
                <w:rFonts w:ascii="宋体"/>
              </w:rPr>
            </w:pPr>
          </w:p>
        </w:tc>
        <w:tc>
          <w:tcPr>
            <w:tcW w:w="675" w:type="pct"/>
            <w:shd w:val="clear" w:color="auto" w:fill="auto"/>
            <w:vAlign w:val="bottom"/>
          </w:tcPr>
          <w:p w14:paraId="392C949C" w14:textId="77777777" w:rsidR="00980E5F" w:rsidRDefault="00980E5F">
            <w:pPr>
              <w:rPr>
                <w:rFonts w:ascii="宋体"/>
              </w:rPr>
            </w:pPr>
          </w:p>
        </w:tc>
        <w:tc>
          <w:tcPr>
            <w:tcW w:w="5" w:type="pct"/>
            <w:shd w:val="clear" w:color="auto" w:fill="auto"/>
            <w:vAlign w:val="bottom"/>
          </w:tcPr>
          <w:p w14:paraId="392C949D" w14:textId="77777777" w:rsidR="00980E5F" w:rsidRDefault="00980E5F">
            <w:pPr>
              <w:rPr>
                <w:rFonts w:ascii="宋体"/>
              </w:rPr>
            </w:pPr>
          </w:p>
        </w:tc>
        <w:tc>
          <w:tcPr>
            <w:tcW w:w="5" w:type="pct"/>
            <w:shd w:val="clear" w:color="auto" w:fill="auto"/>
            <w:vAlign w:val="bottom"/>
          </w:tcPr>
          <w:p w14:paraId="392C949E" w14:textId="77777777" w:rsidR="00980E5F" w:rsidRDefault="00980E5F">
            <w:pPr>
              <w:rPr>
                <w:rFonts w:ascii="宋体"/>
              </w:rPr>
            </w:pPr>
          </w:p>
        </w:tc>
        <w:tc>
          <w:tcPr>
            <w:tcW w:w="26" w:type="pct"/>
            <w:shd w:val="clear" w:color="auto" w:fill="auto"/>
            <w:vAlign w:val="bottom"/>
          </w:tcPr>
          <w:p w14:paraId="392C949F" w14:textId="77777777" w:rsidR="00980E5F" w:rsidRDefault="00980E5F">
            <w:pPr>
              <w:rPr>
                <w:rFonts w:ascii="宋体"/>
              </w:rPr>
            </w:pPr>
          </w:p>
        </w:tc>
        <w:tc>
          <w:tcPr>
            <w:tcW w:w="5" w:type="pct"/>
            <w:shd w:val="clear" w:color="auto" w:fill="auto"/>
            <w:vAlign w:val="bottom"/>
          </w:tcPr>
          <w:p w14:paraId="392C94A0" w14:textId="77777777" w:rsidR="00980E5F" w:rsidRDefault="00980E5F">
            <w:pPr>
              <w:rPr>
                <w:rFonts w:ascii="宋体"/>
              </w:rPr>
            </w:pPr>
          </w:p>
        </w:tc>
        <w:tc>
          <w:tcPr>
            <w:tcW w:w="50" w:type="pct"/>
            <w:shd w:val="clear" w:color="auto" w:fill="auto"/>
            <w:vAlign w:val="bottom"/>
          </w:tcPr>
          <w:p w14:paraId="392C94A1" w14:textId="77777777" w:rsidR="00980E5F" w:rsidRDefault="00980E5F">
            <w:pPr>
              <w:rPr>
                <w:rFonts w:ascii="宋体"/>
              </w:rPr>
            </w:pPr>
          </w:p>
        </w:tc>
        <w:tc>
          <w:tcPr>
            <w:tcW w:w="675" w:type="pct"/>
            <w:shd w:val="clear" w:color="auto" w:fill="auto"/>
            <w:vAlign w:val="bottom"/>
          </w:tcPr>
          <w:p w14:paraId="392C94A2" w14:textId="77777777" w:rsidR="00980E5F" w:rsidRDefault="00980E5F">
            <w:pPr>
              <w:rPr>
                <w:rFonts w:ascii="宋体"/>
              </w:rPr>
            </w:pPr>
          </w:p>
        </w:tc>
        <w:tc>
          <w:tcPr>
            <w:tcW w:w="5" w:type="pct"/>
            <w:shd w:val="clear" w:color="auto" w:fill="auto"/>
            <w:vAlign w:val="bottom"/>
          </w:tcPr>
          <w:p w14:paraId="392C94A3" w14:textId="77777777" w:rsidR="00980E5F" w:rsidRDefault="00980E5F">
            <w:pPr>
              <w:rPr>
                <w:rFonts w:ascii="宋体"/>
              </w:rPr>
            </w:pPr>
          </w:p>
        </w:tc>
        <w:tc>
          <w:tcPr>
            <w:tcW w:w="5" w:type="pct"/>
            <w:shd w:val="clear" w:color="auto" w:fill="auto"/>
            <w:vAlign w:val="bottom"/>
          </w:tcPr>
          <w:p w14:paraId="392C94A4" w14:textId="77777777" w:rsidR="00980E5F" w:rsidRDefault="00980E5F">
            <w:pPr>
              <w:rPr>
                <w:rFonts w:ascii="宋体"/>
              </w:rPr>
            </w:pPr>
          </w:p>
        </w:tc>
        <w:tc>
          <w:tcPr>
            <w:tcW w:w="26" w:type="pct"/>
            <w:shd w:val="clear" w:color="auto" w:fill="auto"/>
            <w:vAlign w:val="bottom"/>
          </w:tcPr>
          <w:p w14:paraId="392C94A5" w14:textId="77777777" w:rsidR="00980E5F" w:rsidRDefault="00980E5F">
            <w:pPr>
              <w:rPr>
                <w:rFonts w:ascii="宋体"/>
              </w:rPr>
            </w:pPr>
          </w:p>
        </w:tc>
        <w:tc>
          <w:tcPr>
            <w:tcW w:w="5" w:type="pct"/>
            <w:shd w:val="clear" w:color="auto" w:fill="auto"/>
            <w:vAlign w:val="bottom"/>
          </w:tcPr>
          <w:p w14:paraId="392C94A6" w14:textId="77777777" w:rsidR="00980E5F" w:rsidRDefault="00980E5F">
            <w:pPr>
              <w:rPr>
                <w:rFonts w:ascii="宋体"/>
              </w:rPr>
            </w:pPr>
          </w:p>
        </w:tc>
        <w:tc>
          <w:tcPr>
            <w:tcW w:w="50" w:type="pct"/>
            <w:shd w:val="clear" w:color="auto" w:fill="auto"/>
            <w:vAlign w:val="bottom"/>
          </w:tcPr>
          <w:p w14:paraId="392C94A7" w14:textId="77777777" w:rsidR="00980E5F" w:rsidRDefault="00980E5F">
            <w:pPr>
              <w:rPr>
                <w:rFonts w:ascii="宋体"/>
              </w:rPr>
            </w:pPr>
          </w:p>
        </w:tc>
        <w:tc>
          <w:tcPr>
            <w:tcW w:w="610" w:type="pct"/>
            <w:shd w:val="clear" w:color="auto" w:fill="auto"/>
            <w:vAlign w:val="bottom"/>
          </w:tcPr>
          <w:p w14:paraId="392C94A8" w14:textId="77777777" w:rsidR="00980E5F" w:rsidRDefault="00980E5F">
            <w:pPr>
              <w:rPr>
                <w:rFonts w:ascii="宋体"/>
              </w:rPr>
            </w:pPr>
          </w:p>
        </w:tc>
        <w:tc>
          <w:tcPr>
            <w:tcW w:w="5" w:type="pct"/>
            <w:shd w:val="clear" w:color="auto" w:fill="auto"/>
            <w:vAlign w:val="bottom"/>
          </w:tcPr>
          <w:p w14:paraId="392C94A9" w14:textId="77777777" w:rsidR="00980E5F" w:rsidRDefault="00980E5F">
            <w:pPr>
              <w:rPr>
                <w:rFonts w:ascii="宋体"/>
              </w:rPr>
            </w:pPr>
          </w:p>
        </w:tc>
        <w:tc>
          <w:tcPr>
            <w:tcW w:w="5" w:type="pct"/>
            <w:shd w:val="clear" w:color="auto" w:fill="auto"/>
            <w:vAlign w:val="bottom"/>
          </w:tcPr>
          <w:p w14:paraId="392C94AA" w14:textId="77777777" w:rsidR="00980E5F" w:rsidRDefault="00980E5F">
            <w:pPr>
              <w:rPr>
                <w:rFonts w:ascii="宋体"/>
              </w:rPr>
            </w:pPr>
          </w:p>
        </w:tc>
        <w:tc>
          <w:tcPr>
            <w:tcW w:w="26" w:type="pct"/>
            <w:shd w:val="clear" w:color="auto" w:fill="auto"/>
            <w:vAlign w:val="bottom"/>
          </w:tcPr>
          <w:p w14:paraId="392C94AB" w14:textId="77777777" w:rsidR="00980E5F" w:rsidRDefault="00980E5F">
            <w:pPr>
              <w:rPr>
                <w:rFonts w:ascii="宋体"/>
              </w:rPr>
            </w:pPr>
          </w:p>
        </w:tc>
        <w:tc>
          <w:tcPr>
            <w:tcW w:w="5" w:type="pct"/>
            <w:shd w:val="clear" w:color="auto" w:fill="auto"/>
            <w:vAlign w:val="bottom"/>
          </w:tcPr>
          <w:p w14:paraId="392C94AC" w14:textId="77777777" w:rsidR="00980E5F" w:rsidRDefault="00980E5F">
            <w:pPr>
              <w:rPr>
                <w:rFonts w:ascii="宋体"/>
              </w:rPr>
            </w:pPr>
          </w:p>
        </w:tc>
        <w:tc>
          <w:tcPr>
            <w:tcW w:w="50" w:type="pct"/>
            <w:shd w:val="clear" w:color="auto" w:fill="auto"/>
            <w:vAlign w:val="bottom"/>
          </w:tcPr>
          <w:p w14:paraId="392C94AD" w14:textId="77777777" w:rsidR="00980E5F" w:rsidRDefault="00980E5F">
            <w:pPr>
              <w:rPr>
                <w:rFonts w:ascii="宋体"/>
              </w:rPr>
            </w:pPr>
          </w:p>
        </w:tc>
        <w:tc>
          <w:tcPr>
            <w:tcW w:w="624" w:type="pct"/>
            <w:shd w:val="clear" w:color="auto" w:fill="auto"/>
            <w:vAlign w:val="bottom"/>
          </w:tcPr>
          <w:p w14:paraId="392C94AE" w14:textId="77777777" w:rsidR="00980E5F" w:rsidRDefault="00980E5F">
            <w:pPr>
              <w:rPr>
                <w:rFonts w:ascii="宋体"/>
              </w:rPr>
            </w:pPr>
          </w:p>
        </w:tc>
        <w:tc>
          <w:tcPr>
            <w:tcW w:w="5" w:type="pct"/>
            <w:shd w:val="clear" w:color="auto" w:fill="auto"/>
            <w:vAlign w:val="bottom"/>
          </w:tcPr>
          <w:p w14:paraId="392C94AF" w14:textId="77777777" w:rsidR="00980E5F" w:rsidRDefault="00980E5F">
            <w:pPr>
              <w:rPr>
                <w:rFonts w:ascii="宋体"/>
              </w:rPr>
            </w:pPr>
          </w:p>
        </w:tc>
        <w:tc>
          <w:tcPr>
            <w:tcW w:w="5" w:type="pct"/>
            <w:shd w:val="clear" w:color="auto" w:fill="auto"/>
            <w:vAlign w:val="bottom"/>
          </w:tcPr>
          <w:p w14:paraId="392C94B0" w14:textId="77777777" w:rsidR="00980E5F" w:rsidRDefault="00980E5F">
            <w:pPr>
              <w:rPr>
                <w:rFonts w:ascii="宋体"/>
              </w:rPr>
            </w:pPr>
          </w:p>
        </w:tc>
        <w:tc>
          <w:tcPr>
            <w:tcW w:w="26" w:type="pct"/>
            <w:shd w:val="clear" w:color="auto" w:fill="auto"/>
            <w:vAlign w:val="bottom"/>
          </w:tcPr>
          <w:p w14:paraId="392C94B1" w14:textId="77777777" w:rsidR="00980E5F" w:rsidRDefault="00980E5F">
            <w:pPr>
              <w:rPr>
                <w:rFonts w:ascii="宋体"/>
              </w:rPr>
            </w:pPr>
          </w:p>
        </w:tc>
        <w:tc>
          <w:tcPr>
            <w:tcW w:w="5" w:type="pct"/>
            <w:shd w:val="clear" w:color="auto" w:fill="auto"/>
            <w:vAlign w:val="bottom"/>
          </w:tcPr>
          <w:p w14:paraId="392C94B2" w14:textId="77777777" w:rsidR="00980E5F" w:rsidRDefault="00980E5F">
            <w:pPr>
              <w:rPr>
                <w:rFonts w:ascii="宋体"/>
              </w:rPr>
            </w:pPr>
          </w:p>
        </w:tc>
        <w:tc>
          <w:tcPr>
            <w:tcW w:w="50" w:type="pct"/>
            <w:shd w:val="clear" w:color="auto" w:fill="auto"/>
            <w:vAlign w:val="bottom"/>
          </w:tcPr>
          <w:p w14:paraId="392C94B3" w14:textId="77777777" w:rsidR="00980E5F" w:rsidRDefault="00980E5F">
            <w:pPr>
              <w:rPr>
                <w:rFonts w:ascii="宋体"/>
              </w:rPr>
            </w:pPr>
          </w:p>
        </w:tc>
        <w:tc>
          <w:tcPr>
            <w:tcW w:w="566" w:type="pct"/>
            <w:shd w:val="clear" w:color="auto" w:fill="auto"/>
            <w:vAlign w:val="bottom"/>
          </w:tcPr>
          <w:p w14:paraId="392C94B4" w14:textId="77777777" w:rsidR="00980E5F" w:rsidRDefault="00980E5F">
            <w:pPr>
              <w:rPr>
                <w:rFonts w:ascii="宋体"/>
              </w:rPr>
            </w:pPr>
          </w:p>
        </w:tc>
        <w:tc>
          <w:tcPr>
            <w:tcW w:w="5" w:type="pct"/>
            <w:shd w:val="clear" w:color="auto" w:fill="auto"/>
            <w:vAlign w:val="bottom"/>
          </w:tcPr>
          <w:p w14:paraId="392C94B5" w14:textId="77777777" w:rsidR="00980E5F" w:rsidRDefault="00980E5F">
            <w:pPr>
              <w:rPr>
                <w:rFonts w:ascii="宋体"/>
              </w:rPr>
            </w:pPr>
          </w:p>
        </w:tc>
      </w:tr>
      <w:tr w:rsidR="00980E5F" w14:paraId="392C94C9" w14:textId="77777777">
        <w:trPr>
          <w:trHeight w:val="60"/>
        </w:trPr>
        <w:tc>
          <w:tcPr>
            <w:tcW w:w="0" w:type="auto"/>
            <w:gridSpan w:val="3"/>
            <w:shd w:val="clear" w:color="auto" w:fill="auto"/>
            <w:tcMar>
              <w:top w:w="0" w:type="dxa"/>
              <w:left w:w="20" w:type="dxa"/>
              <w:bottom w:w="0" w:type="dxa"/>
              <w:right w:w="20" w:type="dxa"/>
            </w:tcMar>
            <w:vAlign w:val="bottom"/>
          </w:tcPr>
          <w:p w14:paraId="392C94B7" w14:textId="77777777" w:rsidR="00980E5F" w:rsidRDefault="00980E5F">
            <w:pPr>
              <w:rPr>
                <w:rFonts w:ascii="宋体"/>
              </w:rPr>
            </w:pPr>
          </w:p>
        </w:tc>
        <w:tc>
          <w:tcPr>
            <w:tcW w:w="0" w:type="auto"/>
            <w:shd w:val="clear" w:color="auto" w:fill="auto"/>
            <w:vAlign w:val="bottom"/>
          </w:tcPr>
          <w:p w14:paraId="392C94B8" w14:textId="77777777" w:rsidR="00980E5F" w:rsidRDefault="00980E5F">
            <w:pPr>
              <w:rPr>
                <w:rFonts w:ascii="宋体"/>
                <w:vanish/>
              </w:rPr>
            </w:pPr>
          </w:p>
        </w:tc>
        <w:tc>
          <w:tcPr>
            <w:tcW w:w="0" w:type="auto"/>
            <w:shd w:val="clear" w:color="auto" w:fill="auto"/>
            <w:vAlign w:val="bottom"/>
          </w:tcPr>
          <w:p w14:paraId="392C94B9" w14:textId="77777777" w:rsidR="00980E5F" w:rsidRDefault="00980E5F">
            <w:pPr>
              <w:rPr>
                <w:rFonts w:ascii="宋体"/>
                <w:vanish/>
              </w:rPr>
            </w:pPr>
          </w:p>
        </w:tc>
        <w:tc>
          <w:tcPr>
            <w:tcW w:w="0" w:type="auto"/>
            <w:shd w:val="clear" w:color="auto" w:fill="auto"/>
            <w:vAlign w:val="bottom"/>
          </w:tcPr>
          <w:p w14:paraId="392C94BA" w14:textId="77777777" w:rsidR="00980E5F" w:rsidRDefault="00980E5F">
            <w:pPr>
              <w:rPr>
                <w:rFonts w:ascii="宋体"/>
                <w:vanish/>
              </w:rPr>
            </w:pPr>
          </w:p>
        </w:tc>
        <w:tc>
          <w:tcPr>
            <w:tcW w:w="0" w:type="auto"/>
            <w:shd w:val="clear" w:color="auto" w:fill="auto"/>
            <w:vAlign w:val="bottom"/>
          </w:tcPr>
          <w:p w14:paraId="392C94BB" w14:textId="77777777" w:rsidR="00980E5F" w:rsidRDefault="00980E5F">
            <w:pPr>
              <w:rPr>
                <w:rFonts w:ascii="宋体"/>
                <w:vanish/>
              </w:rPr>
            </w:pPr>
          </w:p>
        </w:tc>
        <w:tc>
          <w:tcPr>
            <w:tcW w:w="0" w:type="auto"/>
            <w:shd w:val="clear" w:color="auto" w:fill="auto"/>
            <w:vAlign w:val="bottom"/>
          </w:tcPr>
          <w:p w14:paraId="392C94BC"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94B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B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4C8" w14:textId="77777777" w:rsidR="00980E5F" w:rsidRDefault="00980E5F">
            <w:pPr>
              <w:rPr>
                <w:rFonts w:ascii="宋体"/>
              </w:rPr>
            </w:pPr>
          </w:p>
        </w:tc>
      </w:tr>
      <w:tr w:rsidR="00980E5F" w14:paraId="392C94F4" w14:textId="77777777">
        <w:trPr>
          <w:hidden/>
        </w:trPr>
        <w:tc>
          <w:tcPr>
            <w:tcW w:w="0" w:type="auto"/>
            <w:gridSpan w:val="3"/>
            <w:shd w:val="clear" w:color="auto" w:fill="auto"/>
            <w:vAlign w:val="bottom"/>
          </w:tcPr>
          <w:p w14:paraId="392C94CA" w14:textId="77777777" w:rsidR="00980E5F" w:rsidRDefault="00980E5F">
            <w:pPr>
              <w:rPr>
                <w:rFonts w:ascii="宋体"/>
                <w:vanish/>
              </w:rPr>
            </w:pPr>
          </w:p>
        </w:tc>
        <w:tc>
          <w:tcPr>
            <w:tcW w:w="0" w:type="auto"/>
            <w:shd w:val="clear" w:color="auto" w:fill="auto"/>
            <w:vAlign w:val="bottom"/>
          </w:tcPr>
          <w:p w14:paraId="392C94CB" w14:textId="77777777" w:rsidR="00980E5F" w:rsidRDefault="00980E5F">
            <w:pPr>
              <w:rPr>
                <w:rFonts w:ascii="宋体"/>
                <w:vanish/>
              </w:rPr>
            </w:pPr>
          </w:p>
        </w:tc>
        <w:tc>
          <w:tcPr>
            <w:tcW w:w="0" w:type="auto"/>
            <w:shd w:val="clear" w:color="auto" w:fill="auto"/>
            <w:vAlign w:val="bottom"/>
          </w:tcPr>
          <w:p w14:paraId="392C94CC" w14:textId="77777777" w:rsidR="00980E5F" w:rsidRDefault="00980E5F">
            <w:pPr>
              <w:rPr>
                <w:rFonts w:ascii="宋体"/>
                <w:vanish/>
              </w:rPr>
            </w:pPr>
          </w:p>
        </w:tc>
        <w:tc>
          <w:tcPr>
            <w:tcW w:w="0" w:type="auto"/>
            <w:shd w:val="clear" w:color="auto" w:fill="auto"/>
            <w:vAlign w:val="bottom"/>
          </w:tcPr>
          <w:p w14:paraId="392C94CD" w14:textId="77777777" w:rsidR="00980E5F" w:rsidRDefault="00980E5F">
            <w:pPr>
              <w:rPr>
                <w:rFonts w:ascii="宋体"/>
                <w:vanish/>
              </w:rPr>
            </w:pPr>
          </w:p>
        </w:tc>
        <w:tc>
          <w:tcPr>
            <w:tcW w:w="0" w:type="auto"/>
            <w:shd w:val="clear" w:color="auto" w:fill="auto"/>
            <w:vAlign w:val="bottom"/>
          </w:tcPr>
          <w:p w14:paraId="392C94CE" w14:textId="77777777" w:rsidR="00980E5F" w:rsidRDefault="00980E5F">
            <w:pPr>
              <w:rPr>
                <w:rFonts w:ascii="宋体"/>
                <w:vanish/>
              </w:rPr>
            </w:pPr>
          </w:p>
        </w:tc>
        <w:tc>
          <w:tcPr>
            <w:tcW w:w="0" w:type="auto"/>
            <w:shd w:val="clear" w:color="auto" w:fill="auto"/>
            <w:vAlign w:val="bottom"/>
          </w:tcPr>
          <w:p w14:paraId="392C94CF" w14:textId="77777777" w:rsidR="00980E5F" w:rsidRDefault="00980E5F">
            <w:pPr>
              <w:rPr>
                <w:rFonts w:ascii="宋体"/>
                <w:vanish/>
              </w:rPr>
            </w:pPr>
          </w:p>
        </w:tc>
        <w:tc>
          <w:tcPr>
            <w:tcW w:w="0" w:type="auto"/>
            <w:shd w:val="clear" w:color="auto" w:fill="auto"/>
            <w:vAlign w:val="bottom"/>
          </w:tcPr>
          <w:p w14:paraId="392C94D0" w14:textId="77777777" w:rsidR="00980E5F" w:rsidRDefault="00980E5F">
            <w:pPr>
              <w:rPr>
                <w:rFonts w:ascii="宋体"/>
              </w:rPr>
            </w:pPr>
          </w:p>
        </w:tc>
        <w:tc>
          <w:tcPr>
            <w:tcW w:w="0" w:type="auto"/>
            <w:shd w:val="clear" w:color="auto" w:fill="auto"/>
            <w:vAlign w:val="bottom"/>
          </w:tcPr>
          <w:p w14:paraId="392C94D1" w14:textId="77777777" w:rsidR="00980E5F" w:rsidRDefault="00980E5F">
            <w:pPr>
              <w:rPr>
                <w:rFonts w:ascii="宋体"/>
              </w:rPr>
            </w:pPr>
          </w:p>
        </w:tc>
        <w:tc>
          <w:tcPr>
            <w:tcW w:w="0" w:type="auto"/>
            <w:shd w:val="clear" w:color="auto" w:fill="auto"/>
            <w:vAlign w:val="bottom"/>
          </w:tcPr>
          <w:p w14:paraId="392C94D2" w14:textId="77777777" w:rsidR="00980E5F" w:rsidRDefault="00980E5F">
            <w:pPr>
              <w:rPr>
                <w:rFonts w:ascii="宋体"/>
              </w:rPr>
            </w:pPr>
          </w:p>
        </w:tc>
        <w:tc>
          <w:tcPr>
            <w:tcW w:w="0" w:type="auto"/>
            <w:shd w:val="clear" w:color="auto" w:fill="auto"/>
            <w:vAlign w:val="bottom"/>
          </w:tcPr>
          <w:p w14:paraId="392C94D3" w14:textId="77777777" w:rsidR="00980E5F" w:rsidRDefault="00980E5F">
            <w:pPr>
              <w:rPr>
                <w:rFonts w:ascii="宋体"/>
              </w:rPr>
            </w:pPr>
          </w:p>
        </w:tc>
        <w:tc>
          <w:tcPr>
            <w:tcW w:w="0" w:type="auto"/>
            <w:shd w:val="clear" w:color="auto" w:fill="auto"/>
            <w:vAlign w:val="bottom"/>
          </w:tcPr>
          <w:p w14:paraId="392C94D4" w14:textId="77777777" w:rsidR="00980E5F" w:rsidRDefault="00980E5F">
            <w:pPr>
              <w:rPr>
                <w:rFonts w:ascii="宋体"/>
              </w:rPr>
            </w:pPr>
          </w:p>
        </w:tc>
        <w:tc>
          <w:tcPr>
            <w:tcW w:w="0" w:type="auto"/>
            <w:shd w:val="clear" w:color="auto" w:fill="auto"/>
            <w:vAlign w:val="bottom"/>
          </w:tcPr>
          <w:p w14:paraId="392C94D5" w14:textId="77777777" w:rsidR="00980E5F" w:rsidRDefault="00980E5F">
            <w:pPr>
              <w:rPr>
                <w:rFonts w:ascii="宋体"/>
              </w:rPr>
            </w:pPr>
          </w:p>
        </w:tc>
        <w:tc>
          <w:tcPr>
            <w:tcW w:w="0" w:type="auto"/>
            <w:shd w:val="clear" w:color="auto" w:fill="auto"/>
            <w:vAlign w:val="bottom"/>
          </w:tcPr>
          <w:p w14:paraId="392C94D6" w14:textId="77777777" w:rsidR="00980E5F" w:rsidRDefault="00980E5F">
            <w:pPr>
              <w:rPr>
                <w:rFonts w:ascii="宋体"/>
              </w:rPr>
            </w:pPr>
          </w:p>
        </w:tc>
        <w:tc>
          <w:tcPr>
            <w:tcW w:w="0" w:type="auto"/>
            <w:shd w:val="clear" w:color="auto" w:fill="auto"/>
            <w:vAlign w:val="bottom"/>
          </w:tcPr>
          <w:p w14:paraId="392C94D7" w14:textId="77777777" w:rsidR="00980E5F" w:rsidRDefault="00980E5F">
            <w:pPr>
              <w:rPr>
                <w:rFonts w:ascii="宋体"/>
              </w:rPr>
            </w:pPr>
          </w:p>
        </w:tc>
        <w:tc>
          <w:tcPr>
            <w:tcW w:w="0" w:type="auto"/>
            <w:shd w:val="clear" w:color="auto" w:fill="auto"/>
            <w:vAlign w:val="bottom"/>
          </w:tcPr>
          <w:p w14:paraId="392C94D8" w14:textId="77777777" w:rsidR="00980E5F" w:rsidRDefault="00980E5F">
            <w:pPr>
              <w:rPr>
                <w:rFonts w:ascii="宋体"/>
              </w:rPr>
            </w:pPr>
          </w:p>
        </w:tc>
        <w:tc>
          <w:tcPr>
            <w:tcW w:w="0" w:type="auto"/>
            <w:shd w:val="clear" w:color="auto" w:fill="auto"/>
            <w:vAlign w:val="bottom"/>
          </w:tcPr>
          <w:p w14:paraId="392C94D9" w14:textId="77777777" w:rsidR="00980E5F" w:rsidRDefault="00980E5F">
            <w:pPr>
              <w:rPr>
                <w:rFonts w:ascii="宋体"/>
              </w:rPr>
            </w:pPr>
          </w:p>
        </w:tc>
        <w:tc>
          <w:tcPr>
            <w:tcW w:w="0" w:type="auto"/>
            <w:shd w:val="clear" w:color="auto" w:fill="auto"/>
            <w:vAlign w:val="bottom"/>
          </w:tcPr>
          <w:p w14:paraId="392C94DA" w14:textId="77777777" w:rsidR="00980E5F" w:rsidRDefault="00980E5F">
            <w:pPr>
              <w:rPr>
                <w:rFonts w:ascii="宋体"/>
              </w:rPr>
            </w:pPr>
          </w:p>
        </w:tc>
        <w:tc>
          <w:tcPr>
            <w:tcW w:w="0" w:type="auto"/>
            <w:shd w:val="clear" w:color="auto" w:fill="auto"/>
            <w:vAlign w:val="bottom"/>
          </w:tcPr>
          <w:p w14:paraId="392C94DB" w14:textId="77777777" w:rsidR="00980E5F" w:rsidRDefault="00980E5F">
            <w:pPr>
              <w:rPr>
                <w:rFonts w:ascii="宋体"/>
              </w:rPr>
            </w:pPr>
          </w:p>
        </w:tc>
        <w:tc>
          <w:tcPr>
            <w:tcW w:w="0" w:type="auto"/>
            <w:shd w:val="clear" w:color="auto" w:fill="auto"/>
            <w:vAlign w:val="bottom"/>
          </w:tcPr>
          <w:p w14:paraId="392C94DC" w14:textId="77777777" w:rsidR="00980E5F" w:rsidRDefault="00980E5F">
            <w:pPr>
              <w:rPr>
                <w:rFonts w:ascii="宋体"/>
              </w:rPr>
            </w:pPr>
          </w:p>
        </w:tc>
        <w:tc>
          <w:tcPr>
            <w:tcW w:w="0" w:type="auto"/>
            <w:shd w:val="clear" w:color="auto" w:fill="auto"/>
            <w:vAlign w:val="bottom"/>
          </w:tcPr>
          <w:p w14:paraId="392C94DD" w14:textId="77777777" w:rsidR="00980E5F" w:rsidRDefault="00980E5F">
            <w:pPr>
              <w:rPr>
                <w:rFonts w:ascii="宋体"/>
              </w:rPr>
            </w:pPr>
          </w:p>
        </w:tc>
        <w:tc>
          <w:tcPr>
            <w:tcW w:w="0" w:type="auto"/>
            <w:shd w:val="clear" w:color="auto" w:fill="auto"/>
            <w:vAlign w:val="bottom"/>
          </w:tcPr>
          <w:p w14:paraId="392C94DE" w14:textId="77777777" w:rsidR="00980E5F" w:rsidRDefault="00980E5F">
            <w:pPr>
              <w:rPr>
                <w:rFonts w:ascii="宋体"/>
              </w:rPr>
            </w:pPr>
          </w:p>
        </w:tc>
        <w:tc>
          <w:tcPr>
            <w:tcW w:w="0" w:type="auto"/>
            <w:shd w:val="clear" w:color="auto" w:fill="auto"/>
            <w:vAlign w:val="bottom"/>
          </w:tcPr>
          <w:p w14:paraId="392C94DF" w14:textId="77777777" w:rsidR="00980E5F" w:rsidRDefault="00980E5F">
            <w:pPr>
              <w:rPr>
                <w:rFonts w:ascii="宋体"/>
              </w:rPr>
            </w:pPr>
          </w:p>
        </w:tc>
        <w:tc>
          <w:tcPr>
            <w:tcW w:w="0" w:type="auto"/>
            <w:shd w:val="clear" w:color="auto" w:fill="auto"/>
            <w:vAlign w:val="bottom"/>
          </w:tcPr>
          <w:p w14:paraId="392C94E0" w14:textId="77777777" w:rsidR="00980E5F" w:rsidRDefault="00980E5F">
            <w:pPr>
              <w:rPr>
                <w:rFonts w:ascii="宋体"/>
              </w:rPr>
            </w:pPr>
          </w:p>
        </w:tc>
        <w:tc>
          <w:tcPr>
            <w:tcW w:w="0" w:type="auto"/>
            <w:shd w:val="clear" w:color="auto" w:fill="auto"/>
            <w:vAlign w:val="bottom"/>
          </w:tcPr>
          <w:p w14:paraId="392C94E1" w14:textId="77777777" w:rsidR="00980E5F" w:rsidRDefault="00980E5F">
            <w:pPr>
              <w:rPr>
                <w:rFonts w:ascii="宋体"/>
              </w:rPr>
            </w:pPr>
          </w:p>
        </w:tc>
        <w:tc>
          <w:tcPr>
            <w:tcW w:w="0" w:type="auto"/>
            <w:shd w:val="clear" w:color="auto" w:fill="auto"/>
            <w:vAlign w:val="bottom"/>
          </w:tcPr>
          <w:p w14:paraId="392C94E2" w14:textId="77777777" w:rsidR="00980E5F" w:rsidRDefault="00980E5F">
            <w:pPr>
              <w:rPr>
                <w:rFonts w:ascii="宋体"/>
              </w:rPr>
            </w:pPr>
          </w:p>
        </w:tc>
        <w:tc>
          <w:tcPr>
            <w:tcW w:w="0" w:type="auto"/>
            <w:shd w:val="clear" w:color="auto" w:fill="auto"/>
            <w:vAlign w:val="bottom"/>
          </w:tcPr>
          <w:p w14:paraId="392C94E3" w14:textId="77777777" w:rsidR="00980E5F" w:rsidRDefault="00980E5F">
            <w:pPr>
              <w:rPr>
                <w:rFonts w:ascii="宋体"/>
              </w:rPr>
            </w:pPr>
          </w:p>
        </w:tc>
        <w:tc>
          <w:tcPr>
            <w:tcW w:w="0" w:type="auto"/>
            <w:shd w:val="clear" w:color="auto" w:fill="auto"/>
            <w:vAlign w:val="bottom"/>
          </w:tcPr>
          <w:p w14:paraId="392C94E4" w14:textId="77777777" w:rsidR="00980E5F" w:rsidRDefault="00980E5F">
            <w:pPr>
              <w:rPr>
                <w:rFonts w:ascii="宋体"/>
              </w:rPr>
            </w:pPr>
          </w:p>
        </w:tc>
        <w:tc>
          <w:tcPr>
            <w:tcW w:w="0" w:type="auto"/>
            <w:shd w:val="clear" w:color="auto" w:fill="auto"/>
            <w:vAlign w:val="bottom"/>
          </w:tcPr>
          <w:p w14:paraId="392C94E5" w14:textId="77777777" w:rsidR="00980E5F" w:rsidRDefault="00980E5F">
            <w:pPr>
              <w:rPr>
                <w:rFonts w:ascii="宋体"/>
              </w:rPr>
            </w:pPr>
          </w:p>
        </w:tc>
        <w:tc>
          <w:tcPr>
            <w:tcW w:w="0" w:type="auto"/>
            <w:shd w:val="clear" w:color="auto" w:fill="auto"/>
            <w:vAlign w:val="bottom"/>
          </w:tcPr>
          <w:p w14:paraId="392C94E6" w14:textId="77777777" w:rsidR="00980E5F" w:rsidRDefault="00980E5F">
            <w:pPr>
              <w:rPr>
                <w:rFonts w:ascii="宋体"/>
              </w:rPr>
            </w:pPr>
          </w:p>
        </w:tc>
        <w:tc>
          <w:tcPr>
            <w:tcW w:w="0" w:type="auto"/>
            <w:shd w:val="clear" w:color="auto" w:fill="auto"/>
            <w:vAlign w:val="bottom"/>
          </w:tcPr>
          <w:p w14:paraId="392C94E7" w14:textId="77777777" w:rsidR="00980E5F" w:rsidRDefault="00980E5F">
            <w:pPr>
              <w:rPr>
                <w:rFonts w:ascii="宋体"/>
              </w:rPr>
            </w:pPr>
          </w:p>
        </w:tc>
        <w:tc>
          <w:tcPr>
            <w:tcW w:w="0" w:type="auto"/>
            <w:shd w:val="clear" w:color="auto" w:fill="auto"/>
            <w:vAlign w:val="bottom"/>
          </w:tcPr>
          <w:p w14:paraId="392C94E8" w14:textId="77777777" w:rsidR="00980E5F" w:rsidRDefault="00980E5F">
            <w:pPr>
              <w:rPr>
                <w:rFonts w:ascii="宋体"/>
              </w:rPr>
            </w:pPr>
          </w:p>
        </w:tc>
        <w:tc>
          <w:tcPr>
            <w:tcW w:w="0" w:type="auto"/>
            <w:shd w:val="clear" w:color="auto" w:fill="auto"/>
            <w:vAlign w:val="bottom"/>
          </w:tcPr>
          <w:p w14:paraId="392C94E9" w14:textId="77777777" w:rsidR="00980E5F" w:rsidRDefault="00980E5F">
            <w:pPr>
              <w:rPr>
                <w:rFonts w:ascii="宋体"/>
              </w:rPr>
            </w:pPr>
          </w:p>
        </w:tc>
        <w:tc>
          <w:tcPr>
            <w:tcW w:w="0" w:type="auto"/>
            <w:shd w:val="clear" w:color="auto" w:fill="auto"/>
            <w:vAlign w:val="bottom"/>
          </w:tcPr>
          <w:p w14:paraId="392C94EA" w14:textId="77777777" w:rsidR="00980E5F" w:rsidRDefault="00980E5F">
            <w:pPr>
              <w:rPr>
                <w:rFonts w:ascii="宋体"/>
              </w:rPr>
            </w:pPr>
          </w:p>
        </w:tc>
        <w:tc>
          <w:tcPr>
            <w:tcW w:w="0" w:type="auto"/>
            <w:shd w:val="clear" w:color="auto" w:fill="auto"/>
            <w:vAlign w:val="bottom"/>
          </w:tcPr>
          <w:p w14:paraId="392C94EB" w14:textId="77777777" w:rsidR="00980E5F" w:rsidRDefault="00980E5F">
            <w:pPr>
              <w:rPr>
                <w:rFonts w:ascii="宋体"/>
              </w:rPr>
            </w:pPr>
          </w:p>
        </w:tc>
        <w:tc>
          <w:tcPr>
            <w:tcW w:w="0" w:type="auto"/>
            <w:shd w:val="clear" w:color="auto" w:fill="auto"/>
            <w:vAlign w:val="bottom"/>
          </w:tcPr>
          <w:p w14:paraId="392C94EC" w14:textId="77777777" w:rsidR="00980E5F" w:rsidRDefault="00980E5F">
            <w:pPr>
              <w:rPr>
                <w:rFonts w:ascii="宋体"/>
              </w:rPr>
            </w:pPr>
          </w:p>
        </w:tc>
        <w:tc>
          <w:tcPr>
            <w:tcW w:w="0" w:type="auto"/>
            <w:shd w:val="clear" w:color="auto" w:fill="auto"/>
            <w:vAlign w:val="bottom"/>
          </w:tcPr>
          <w:p w14:paraId="392C94ED" w14:textId="77777777" w:rsidR="00980E5F" w:rsidRDefault="00980E5F">
            <w:pPr>
              <w:rPr>
                <w:rFonts w:ascii="宋体"/>
              </w:rPr>
            </w:pPr>
          </w:p>
        </w:tc>
        <w:tc>
          <w:tcPr>
            <w:tcW w:w="0" w:type="auto"/>
            <w:shd w:val="clear" w:color="auto" w:fill="auto"/>
            <w:vAlign w:val="bottom"/>
          </w:tcPr>
          <w:p w14:paraId="392C94EE" w14:textId="77777777" w:rsidR="00980E5F" w:rsidRDefault="00980E5F">
            <w:pPr>
              <w:rPr>
                <w:rFonts w:ascii="宋体"/>
              </w:rPr>
            </w:pPr>
          </w:p>
        </w:tc>
        <w:tc>
          <w:tcPr>
            <w:tcW w:w="0" w:type="auto"/>
            <w:shd w:val="clear" w:color="auto" w:fill="auto"/>
            <w:vAlign w:val="bottom"/>
          </w:tcPr>
          <w:p w14:paraId="392C94EF" w14:textId="77777777" w:rsidR="00980E5F" w:rsidRDefault="00980E5F">
            <w:pPr>
              <w:rPr>
                <w:rFonts w:ascii="宋体"/>
              </w:rPr>
            </w:pPr>
          </w:p>
        </w:tc>
        <w:tc>
          <w:tcPr>
            <w:tcW w:w="0" w:type="auto"/>
            <w:shd w:val="clear" w:color="auto" w:fill="auto"/>
            <w:vAlign w:val="bottom"/>
          </w:tcPr>
          <w:p w14:paraId="392C94F0" w14:textId="77777777" w:rsidR="00980E5F" w:rsidRDefault="00980E5F">
            <w:pPr>
              <w:rPr>
                <w:rFonts w:ascii="宋体"/>
              </w:rPr>
            </w:pPr>
          </w:p>
        </w:tc>
        <w:tc>
          <w:tcPr>
            <w:tcW w:w="0" w:type="auto"/>
            <w:shd w:val="clear" w:color="auto" w:fill="auto"/>
            <w:vAlign w:val="bottom"/>
          </w:tcPr>
          <w:p w14:paraId="392C94F1" w14:textId="77777777" w:rsidR="00980E5F" w:rsidRDefault="00980E5F">
            <w:pPr>
              <w:rPr>
                <w:rFonts w:ascii="宋体"/>
              </w:rPr>
            </w:pPr>
          </w:p>
        </w:tc>
        <w:tc>
          <w:tcPr>
            <w:tcW w:w="0" w:type="auto"/>
            <w:shd w:val="clear" w:color="auto" w:fill="auto"/>
            <w:vAlign w:val="bottom"/>
          </w:tcPr>
          <w:p w14:paraId="392C94F2" w14:textId="77777777" w:rsidR="00980E5F" w:rsidRDefault="00980E5F">
            <w:pPr>
              <w:rPr>
                <w:rFonts w:ascii="宋体"/>
              </w:rPr>
            </w:pPr>
          </w:p>
        </w:tc>
        <w:tc>
          <w:tcPr>
            <w:tcW w:w="0" w:type="auto"/>
            <w:shd w:val="clear" w:color="auto" w:fill="auto"/>
            <w:vAlign w:val="bottom"/>
          </w:tcPr>
          <w:p w14:paraId="392C94F3" w14:textId="77777777" w:rsidR="00980E5F" w:rsidRDefault="00980E5F">
            <w:pPr>
              <w:rPr>
                <w:rFonts w:ascii="宋体"/>
              </w:rPr>
            </w:pPr>
          </w:p>
        </w:tc>
      </w:tr>
      <w:tr w:rsidR="00980E5F" w14:paraId="392C9507" w14:textId="77777777">
        <w:trPr>
          <w:hidden/>
        </w:trPr>
        <w:tc>
          <w:tcPr>
            <w:tcW w:w="0" w:type="auto"/>
            <w:gridSpan w:val="3"/>
            <w:shd w:val="clear" w:color="auto" w:fill="auto"/>
            <w:vAlign w:val="bottom"/>
          </w:tcPr>
          <w:p w14:paraId="392C94F5" w14:textId="77777777" w:rsidR="00980E5F" w:rsidRDefault="00980E5F">
            <w:pPr>
              <w:rPr>
                <w:rFonts w:ascii="宋体"/>
                <w:vanish/>
              </w:rPr>
            </w:pPr>
          </w:p>
        </w:tc>
        <w:tc>
          <w:tcPr>
            <w:tcW w:w="0" w:type="auto"/>
            <w:shd w:val="clear" w:color="auto" w:fill="auto"/>
            <w:vAlign w:val="bottom"/>
          </w:tcPr>
          <w:p w14:paraId="392C94F6" w14:textId="77777777" w:rsidR="00980E5F" w:rsidRDefault="00980E5F">
            <w:pPr>
              <w:rPr>
                <w:rFonts w:ascii="宋体"/>
                <w:vanish/>
              </w:rPr>
            </w:pPr>
          </w:p>
        </w:tc>
        <w:tc>
          <w:tcPr>
            <w:tcW w:w="0" w:type="auto"/>
            <w:shd w:val="clear" w:color="auto" w:fill="auto"/>
            <w:vAlign w:val="bottom"/>
          </w:tcPr>
          <w:p w14:paraId="392C94F7" w14:textId="77777777" w:rsidR="00980E5F" w:rsidRDefault="00980E5F">
            <w:pPr>
              <w:rPr>
                <w:rFonts w:ascii="宋体"/>
                <w:vanish/>
              </w:rPr>
            </w:pPr>
          </w:p>
        </w:tc>
        <w:tc>
          <w:tcPr>
            <w:tcW w:w="0" w:type="auto"/>
            <w:shd w:val="clear" w:color="auto" w:fill="auto"/>
            <w:vAlign w:val="bottom"/>
          </w:tcPr>
          <w:p w14:paraId="392C94F8" w14:textId="77777777" w:rsidR="00980E5F" w:rsidRDefault="00980E5F">
            <w:pPr>
              <w:rPr>
                <w:rFonts w:ascii="宋体"/>
                <w:vanish/>
              </w:rPr>
            </w:pPr>
          </w:p>
        </w:tc>
        <w:tc>
          <w:tcPr>
            <w:tcW w:w="0" w:type="auto"/>
            <w:shd w:val="clear" w:color="auto" w:fill="auto"/>
            <w:vAlign w:val="bottom"/>
          </w:tcPr>
          <w:p w14:paraId="392C94F9" w14:textId="77777777" w:rsidR="00980E5F" w:rsidRDefault="00980E5F">
            <w:pPr>
              <w:rPr>
                <w:rFonts w:ascii="宋体"/>
                <w:vanish/>
              </w:rPr>
            </w:pPr>
          </w:p>
        </w:tc>
        <w:tc>
          <w:tcPr>
            <w:tcW w:w="0" w:type="auto"/>
            <w:shd w:val="clear" w:color="auto" w:fill="auto"/>
            <w:vAlign w:val="bottom"/>
          </w:tcPr>
          <w:p w14:paraId="392C94FA" w14:textId="77777777" w:rsidR="00980E5F" w:rsidRDefault="00980E5F">
            <w:pPr>
              <w:rPr>
                <w:rFonts w:ascii="宋体"/>
                <w:vanish/>
              </w:rPr>
            </w:pPr>
          </w:p>
        </w:tc>
        <w:tc>
          <w:tcPr>
            <w:tcW w:w="0" w:type="auto"/>
            <w:gridSpan w:val="3"/>
            <w:shd w:val="clear" w:color="auto" w:fill="auto"/>
            <w:vAlign w:val="bottom"/>
          </w:tcPr>
          <w:p w14:paraId="392C94FB" w14:textId="77777777" w:rsidR="00980E5F" w:rsidRDefault="00980E5F">
            <w:pPr>
              <w:rPr>
                <w:rFonts w:ascii="宋体"/>
                <w:vanish/>
              </w:rPr>
            </w:pPr>
          </w:p>
        </w:tc>
        <w:tc>
          <w:tcPr>
            <w:tcW w:w="0" w:type="auto"/>
            <w:gridSpan w:val="3"/>
            <w:shd w:val="clear" w:color="auto" w:fill="auto"/>
            <w:vAlign w:val="bottom"/>
          </w:tcPr>
          <w:p w14:paraId="392C94FC" w14:textId="77777777" w:rsidR="00980E5F" w:rsidRDefault="00980E5F">
            <w:pPr>
              <w:rPr>
                <w:rFonts w:ascii="宋体"/>
                <w:vanish/>
              </w:rPr>
            </w:pPr>
          </w:p>
        </w:tc>
        <w:tc>
          <w:tcPr>
            <w:tcW w:w="0" w:type="auto"/>
            <w:gridSpan w:val="3"/>
            <w:shd w:val="clear" w:color="auto" w:fill="auto"/>
            <w:vAlign w:val="bottom"/>
          </w:tcPr>
          <w:p w14:paraId="392C94FD" w14:textId="77777777" w:rsidR="00980E5F" w:rsidRDefault="00980E5F">
            <w:pPr>
              <w:rPr>
                <w:rFonts w:ascii="宋体"/>
                <w:vanish/>
              </w:rPr>
            </w:pPr>
          </w:p>
        </w:tc>
        <w:tc>
          <w:tcPr>
            <w:tcW w:w="0" w:type="auto"/>
            <w:gridSpan w:val="3"/>
            <w:shd w:val="clear" w:color="auto" w:fill="auto"/>
            <w:vAlign w:val="bottom"/>
          </w:tcPr>
          <w:p w14:paraId="392C94FE" w14:textId="77777777" w:rsidR="00980E5F" w:rsidRDefault="00980E5F">
            <w:pPr>
              <w:rPr>
                <w:rFonts w:ascii="宋体"/>
                <w:vanish/>
              </w:rPr>
            </w:pPr>
          </w:p>
        </w:tc>
        <w:tc>
          <w:tcPr>
            <w:tcW w:w="0" w:type="auto"/>
            <w:gridSpan w:val="3"/>
            <w:shd w:val="clear" w:color="auto" w:fill="auto"/>
            <w:vAlign w:val="bottom"/>
          </w:tcPr>
          <w:p w14:paraId="392C94FF" w14:textId="77777777" w:rsidR="00980E5F" w:rsidRDefault="00980E5F">
            <w:pPr>
              <w:rPr>
                <w:rFonts w:ascii="宋体"/>
                <w:vanish/>
              </w:rPr>
            </w:pPr>
          </w:p>
        </w:tc>
        <w:tc>
          <w:tcPr>
            <w:tcW w:w="0" w:type="auto"/>
            <w:gridSpan w:val="3"/>
            <w:shd w:val="clear" w:color="auto" w:fill="auto"/>
            <w:vAlign w:val="bottom"/>
          </w:tcPr>
          <w:p w14:paraId="392C9500" w14:textId="77777777" w:rsidR="00980E5F" w:rsidRDefault="00980E5F">
            <w:pPr>
              <w:rPr>
                <w:rFonts w:ascii="宋体"/>
                <w:vanish/>
              </w:rPr>
            </w:pPr>
          </w:p>
        </w:tc>
        <w:tc>
          <w:tcPr>
            <w:tcW w:w="0" w:type="auto"/>
            <w:gridSpan w:val="3"/>
            <w:shd w:val="clear" w:color="auto" w:fill="auto"/>
            <w:vAlign w:val="bottom"/>
          </w:tcPr>
          <w:p w14:paraId="392C9501" w14:textId="77777777" w:rsidR="00980E5F" w:rsidRDefault="00980E5F">
            <w:pPr>
              <w:rPr>
                <w:rFonts w:ascii="宋体"/>
                <w:vanish/>
              </w:rPr>
            </w:pPr>
          </w:p>
        </w:tc>
        <w:tc>
          <w:tcPr>
            <w:tcW w:w="0" w:type="auto"/>
            <w:gridSpan w:val="3"/>
            <w:shd w:val="clear" w:color="auto" w:fill="auto"/>
            <w:vAlign w:val="bottom"/>
          </w:tcPr>
          <w:p w14:paraId="392C9502" w14:textId="77777777" w:rsidR="00980E5F" w:rsidRDefault="00980E5F">
            <w:pPr>
              <w:rPr>
                <w:rFonts w:ascii="宋体"/>
                <w:vanish/>
              </w:rPr>
            </w:pPr>
          </w:p>
        </w:tc>
        <w:tc>
          <w:tcPr>
            <w:tcW w:w="0" w:type="auto"/>
            <w:gridSpan w:val="3"/>
            <w:shd w:val="clear" w:color="auto" w:fill="auto"/>
            <w:vAlign w:val="bottom"/>
          </w:tcPr>
          <w:p w14:paraId="392C9503" w14:textId="77777777" w:rsidR="00980E5F" w:rsidRDefault="00980E5F">
            <w:pPr>
              <w:rPr>
                <w:rFonts w:ascii="宋体"/>
                <w:vanish/>
              </w:rPr>
            </w:pPr>
          </w:p>
        </w:tc>
        <w:tc>
          <w:tcPr>
            <w:tcW w:w="0" w:type="auto"/>
            <w:gridSpan w:val="3"/>
            <w:shd w:val="clear" w:color="auto" w:fill="auto"/>
            <w:vAlign w:val="bottom"/>
          </w:tcPr>
          <w:p w14:paraId="392C9504" w14:textId="77777777" w:rsidR="00980E5F" w:rsidRDefault="00980E5F">
            <w:pPr>
              <w:rPr>
                <w:rFonts w:ascii="宋体"/>
                <w:vanish/>
              </w:rPr>
            </w:pPr>
          </w:p>
        </w:tc>
        <w:tc>
          <w:tcPr>
            <w:tcW w:w="0" w:type="auto"/>
            <w:gridSpan w:val="3"/>
            <w:shd w:val="clear" w:color="auto" w:fill="auto"/>
            <w:vAlign w:val="bottom"/>
          </w:tcPr>
          <w:p w14:paraId="392C9505" w14:textId="77777777" w:rsidR="00980E5F" w:rsidRDefault="00980E5F">
            <w:pPr>
              <w:rPr>
                <w:rFonts w:ascii="宋体"/>
                <w:vanish/>
              </w:rPr>
            </w:pPr>
          </w:p>
        </w:tc>
        <w:tc>
          <w:tcPr>
            <w:tcW w:w="0" w:type="auto"/>
            <w:gridSpan w:val="3"/>
            <w:shd w:val="clear" w:color="auto" w:fill="auto"/>
            <w:vAlign w:val="bottom"/>
          </w:tcPr>
          <w:p w14:paraId="392C9506" w14:textId="77777777" w:rsidR="00980E5F" w:rsidRDefault="00980E5F">
            <w:pPr>
              <w:rPr>
                <w:rFonts w:ascii="宋体"/>
                <w:vanish/>
              </w:rPr>
            </w:pPr>
          </w:p>
        </w:tc>
      </w:tr>
      <w:tr w:rsidR="00980E5F" w14:paraId="392C951A" w14:textId="77777777">
        <w:trPr>
          <w:hidden/>
        </w:trPr>
        <w:tc>
          <w:tcPr>
            <w:tcW w:w="0" w:type="auto"/>
            <w:gridSpan w:val="3"/>
            <w:shd w:val="clear" w:color="auto" w:fill="auto"/>
            <w:vAlign w:val="bottom"/>
          </w:tcPr>
          <w:p w14:paraId="392C9508" w14:textId="77777777" w:rsidR="00980E5F" w:rsidRDefault="00980E5F">
            <w:pPr>
              <w:rPr>
                <w:rFonts w:ascii="宋体"/>
                <w:vanish/>
              </w:rPr>
            </w:pPr>
          </w:p>
        </w:tc>
        <w:tc>
          <w:tcPr>
            <w:tcW w:w="0" w:type="auto"/>
            <w:shd w:val="clear" w:color="auto" w:fill="auto"/>
            <w:vAlign w:val="bottom"/>
          </w:tcPr>
          <w:p w14:paraId="392C9509" w14:textId="77777777" w:rsidR="00980E5F" w:rsidRDefault="00980E5F">
            <w:pPr>
              <w:rPr>
                <w:rFonts w:ascii="宋体"/>
                <w:vanish/>
              </w:rPr>
            </w:pPr>
          </w:p>
        </w:tc>
        <w:tc>
          <w:tcPr>
            <w:tcW w:w="0" w:type="auto"/>
            <w:shd w:val="clear" w:color="auto" w:fill="auto"/>
            <w:vAlign w:val="bottom"/>
          </w:tcPr>
          <w:p w14:paraId="392C950A" w14:textId="77777777" w:rsidR="00980E5F" w:rsidRDefault="00980E5F">
            <w:pPr>
              <w:rPr>
                <w:rFonts w:ascii="宋体"/>
                <w:vanish/>
              </w:rPr>
            </w:pPr>
          </w:p>
        </w:tc>
        <w:tc>
          <w:tcPr>
            <w:tcW w:w="0" w:type="auto"/>
            <w:shd w:val="clear" w:color="auto" w:fill="auto"/>
            <w:vAlign w:val="bottom"/>
          </w:tcPr>
          <w:p w14:paraId="392C950B" w14:textId="77777777" w:rsidR="00980E5F" w:rsidRDefault="00980E5F">
            <w:pPr>
              <w:rPr>
                <w:rFonts w:ascii="宋体"/>
                <w:vanish/>
              </w:rPr>
            </w:pPr>
          </w:p>
        </w:tc>
        <w:tc>
          <w:tcPr>
            <w:tcW w:w="0" w:type="auto"/>
            <w:shd w:val="clear" w:color="auto" w:fill="auto"/>
            <w:vAlign w:val="bottom"/>
          </w:tcPr>
          <w:p w14:paraId="392C950C" w14:textId="77777777" w:rsidR="00980E5F" w:rsidRDefault="00980E5F">
            <w:pPr>
              <w:rPr>
                <w:rFonts w:ascii="宋体"/>
                <w:vanish/>
              </w:rPr>
            </w:pPr>
          </w:p>
        </w:tc>
        <w:tc>
          <w:tcPr>
            <w:tcW w:w="0" w:type="auto"/>
            <w:shd w:val="clear" w:color="auto" w:fill="auto"/>
            <w:vAlign w:val="bottom"/>
          </w:tcPr>
          <w:p w14:paraId="392C950D" w14:textId="77777777" w:rsidR="00980E5F" w:rsidRDefault="00980E5F">
            <w:pPr>
              <w:rPr>
                <w:rFonts w:ascii="宋体"/>
                <w:vanish/>
              </w:rPr>
            </w:pPr>
          </w:p>
        </w:tc>
        <w:tc>
          <w:tcPr>
            <w:tcW w:w="0" w:type="auto"/>
            <w:gridSpan w:val="3"/>
            <w:shd w:val="clear" w:color="auto" w:fill="auto"/>
            <w:vAlign w:val="bottom"/>
          </w:tcPr>
          <w:p w14:paraId="392C950E" w14:textId="77777777" w:rsidR="00980E5F" w:rsidRDefault="00980E5F">
            <w:pPr>
              <w:rPr>
                <w:rFonts w:ascii="宋体"/>
                <w:vanish/>
              </w:rPr>
            </w:pPr>
          </w:p>
        </w:tc>
        <w:tc>
          <w:tcPr>
            <w:tcW w:w="0" w:type="auto"/>
            <w:gridSpan w:val="3"/>
            <w:shd w:val="clear" w:color="auto" w:fill="auto"/>
            <w:vAlign w:val="bottom"/>
          </w:tcPr>
          <w:p w14:paraId="392C950F" w14:textId="77777777" w:rsidR="00980E5F" w:rsidRDefault="00980E5F">
            <w:pPr>
              <w:rPr>
                <w:rFonts w:ascii="宋体"/>
                <w:vanish/>
              </w:rPr>
            </w:pPr>
          </w:p>
        </w:tc>
        <w:tc>
          <w:tcPr>
            <w:tcW w:w="0" w:type="auto"/>
            <w:gridSpan w:val="3"/>
            <w:shd w:val="clear" w:color="auto" w:fill="auto"/>
            <w:vAlign w:val="bottom"/>
          </w:tcPr>
          <w:p w14:paraId="392C9510" w14:textId="77777777" w:rsidR="00980E5F" w:rsidRDefault="00980E5F">
            <w:pPr>
              <w:rPr>
                <w:rFonts w:ascii="宋体"/>
                <w:vanish/>
              </w:rPr>
            </w:pPr>
          </w:p>
        </w:tc>
        <w:tc>
          <w:tcPr>
            <w:tcW w:w="0" w:type="auto"/>
            <w:gridSpan w:val="3"/>
            <w:shd w:val="clear" w:color="auto" w:fill="auto"/>
            <w:vAlign w:val="bottom"/>
          </w:tcPr>
          <w:p w14:paraId="392C9511" w14:textId="77777777" w:rsidR="00980E5F" w:rsidRDefault="00980E5F">
            <w:pPr>
              <w:rPr>
                <w:rFonts w:ascii="宋体"/>
                <w:vanish/>
              </w:rPr>
            </w:pPr>
          </w:p>
        </w:tc>
        <w:tc>
          <w:tcPr>
            <w:tcW w:w="0" w:type="auto"/>
            <w:gridSpan w:val="3"/>
            <w:shd w:val="clear" w:color="auto" w:fill="auto"/>
            <w:vAlign w:val="bottom"/>
          </w:tcPr>
          <w:p w14:paraId="392C9512" w14:textId="77777777" w:rsidR="00980E5F" w:rsidRDefault="00980E5F">
            <w:pPr>
              <w:rPr>
                <w:rFonts w:ascii="宋体"/>
                <w:vanish/>
              </w:rPr>
            </w:pPr>
          </w:p>
        </w:tc>
        <w:tc>
          <w:tcPr>
            <w:tcW w:w="0" w:type="auto"/>
            <w:gridSpan w:val="3"/>
            <w:shd w:val="clear" w:color="auto" w:fill="auto"/>
            <w:vAlign w:val="bottom"/>
          </w:tcPr>
          <w:p w14:paraId="392C9513" w14:textId="77777777" w:rsidR="00980E5F" w:rsidRDefault="00980E5F">
            <w:pPr>
              <w:rPr>
                <w:rFonts w:ascii="宋体"/>
                <w:vanish/>
              </w:rPr>
            </w:pPr>
          </w:p>
        </w:tc>
        <w:tc>
          <w:tcPr>
            <w:tcW w:w="0" w:type="auto"/>
            <w:gridSpan w:val="3"/>
            <w:shd w:val="clear" w:color="auto" w:fill="auto"/>
            <w:vAlign w:val="bottom"/>
          </w:tcPr>
          <w:p w14:paraId="392C9514" w14:textId="77777777" w:rsidR="00980E5F" w:rsidRDefault="00980E5F">
            <w:pPr>
              <w:rPr>
                <w:rFonts w:ascii="宋体"/>
                <w:vanish/>
              </w:rPr>
            </w:pPr>
          </w:p>
        </w:tc>
        <w:tc>
          <w:tcPr>
            <w:tcW w:w="0" w:type="auto"/>
            <w:gridSpan w:val="3"/>
            <w:shd w:val="clear" w:color="auto" w:fill="auto"/>
            <w:vAlign w:val="bottom"/>
          </w:tcPr>
          <w:p w14:paraId="392C9515" w14:textId="77777777" w:rsidR="00980E5F" w:rsidRDefault="00980E5F">
            <w:pPr>
              <w:rPr>
                <w:rFonts w:ascii="宋体"/>
                <w:vanish/>
              </w:rPr>
            </w:pPr>
          </w:p>
        </w:tc>
        <w:tc>
          <w:tcPr>
            <w:tcW w:w="0" w:type="auto"/>
            <w:gridSpan w:val="3"/>
            <w:shd w:val="clear" w:color="auto" w:fill="auto"/>
            <w:vAlign w:val="bottom"/>
          </w:tcPr>
          <w:p w14:paraId="392C9516" w14:textId="77777777" w:rsidR="00980E5F" w:rsidRDefault="00980E5F">
            <w:pPr>
              <w:rPr>
                <w:rFonts w:ascii="宋体"/>
                <w:vanish/>
              </w:rPr>
            </w:pPr>
          </w:p>
        </w:tc>
        <w:tc>
          <w:tcPr>
            <w:tcW w:w="0" w:type="auto"/>
            <w:gridSpan w:val="3"/>
            <w:shd w:val="clear" w:color="auto" w:fill="auto"/>
            <w:vAlign w:val="bottom"/>
          </w:tcPr>
          <w:p w14:paraId="392C9517" w14:textId="77777777" w:rsidR="00980E5F" w:rsidRDefault="00980E5F">
            <w:pPr>
              <w:rPr>
                <w:rFonts w:ascii="宋体"/>
                <w:vanish/>
              </w:rPr>
            </w:pPr>
          </w:p>
        </w:tc>
        <w:tc>
          <w:tcPr>
            <w:tcW w:w="0" w:type="auto"/>
            <w:gridSpan w:val="3"/>
            <w:shd w:val="clear" w:color="auto" w:fill="auto"/>
            <w:vAlign w:val="bottom"/>
          </w:tcPr>
          <w:p w14:paraId="392C9518" w14:textId="77777777" w:rsidR="00980E5F" w:rsidRDefault="00980E5F">
            <w:pPr>
              <w:rPr>
                <w:rFonts w:ascii="宋体"/>
                <w:vanish/>
              </w:rPr>
            </w:pPr>
          </w:p>
        </w:tc>
        <w:tc>
          <w:tcPr>
            <w:tcW w:w="0" w:type="auto"/>
            <w:gridSpan w:val="3"/>
            <w:shd w:val="clear" w:color="auto" w:fill="auto"/>
            <w:vAlign w:val="bottom"/>
          </w:tcPr>
          <w:p w14:paraId="392C9519" w14:textId="77777777" w:rsidR="00980E5F" w:rsidRDefault="00980E5F">
            <w:pPr>
              <w:rPr>
                <w:rFonts w:ascii="宋体"/>
                <w:vanish/>
              </w:rPr>
            </w:pPr>
          </w:p>
        </w:tc>
      </w:tr>
      <w:tr w:rsidR="00980E5F" w14:paraId="392C952D" w14:textId="77777777">
        <w:trPr>
          <w:hidden/>
        </w:trPr>
        <w:tc>
          <w:tcPr>
            <w:tcW w:w="0" w:type="auto"/>
            <w:gridSpan w:val="3"/>
            <w:shd w:val="clear" w:color="auto" w:fill="auto"/>
            <w:vAlign w:val="bottom"/>
          </w:tcPr>
          <w:p w14:paraId="392C951B" w14:textId="77777777" w:rsidR="00980E5F" w:rsidRDefault="00980E5F">
            <w:pPr>
              <w:rPr>
                <w:rFonts w:ascii="宋体"/>
                <w:vanish/>
              </w:rPr>
            </w:pPr>
          </w:p>
        </w:tc>
        <w:tc>
          <w:tcPr>
            <w:tcW w:w="0" w:type="auto"/>
            <w:shd w:val="clear" w:color="auto" w:fill="auto"/>
            <w:vAlign w:val="bottom"/>
          </w:tcPr>
          <w:p w14:paraId="392C951C" w14:textId="77777777" w:rsidR="00980E5F" w:rsidRDefault="00980E5F">
            <w:pPr>
              <w:rPr>
                <w:rFonts w:ascii="宋体"/>
                <w:vanish/>
              </w:rPr>
            </w:pPr>
          </w:p>
        </w:tc>
        <w:tc>
          <w:tcPr>
            <w:tcW w:w="0" w:type="auto"/>
            <w:shd w:val="clear" w:color="auto" w:fill="auto"/>
            <w:vAlign w:val="bottom"/>
          </w:tcPr>
          <w:p w14:paraId="392C951D" w14:textId="77777777" w:rsidR="00980E5F" w:rsidRDefault="00980E5F">
            <w:pPr>
              <w:rPr>
                <w:rFonts w:ascii="宋体"/>
                <w:vanish/>
              </w:rPr>
            </w:pPr>
          </w:p>
        </w:tc>
        <w:tc>
          <w:tcPr>
            <w:tcW w:w="0" w:type="auto"/>
            <w:shd w:val="clear" w:color="auto" w:fill="auto"/>
            <w:vAlign w:val="bottom"/>
          </w:tcPr>
          <w:p w14:paraId="392C951E" w14:textId="77777777" w:rsidR="00980E5F" w:rsidRDefault="00980E5F">
            <w:pPr>
              <w:rPr>
                <w:rFonts w:ascii="宋体"/>
                <w:vanish/>
              </w:rPr>
            </w:pPr>
          </w:p>
        </w:tc>
        <w:tc>
          <w:tcPr>
            <w:tcW w:w="0" w:type="auto"/>
            <w:shd w:val="clear" w:color="auto" w:fill="auto"/>
            <w:vAlign w:val="bottom"/>
          </w:tcPr>
          <w:p w14:paraId="392C951F" w14:textId="77777777" w:rsidR="00980E5F" w:rsidRDefault="00980E5F">
            <w:pPr>
              <w:rPr>
                <w:rFonts w:ascii="宋体"/>
                <w:vanish/>
              </w:rPr>
            </w:pPr>
          </w:p>
        </w:tc>
        <w:tc>
          <w:tcPr>
            <w:tcW w:w="0" w:type="auto"/>
            <w:shd w:val="clear" w:color="auto" w:fill="auto"/>
            <w:vAlign w:val="bottom"/>
          </w:tcPr>
          <w:p w14:paraId="392C9520" w14:textId="77777777" w:rsidR="00980E5F" w:rsidRDefault="00980E5F">
            <w:pPr>
              <w:rPr>
                <w:rFonts w:ascii="宋体"/>
                <w:vanish/>
              </w:rPr>
            </w:pPr>
          </w:p>
        </w:tc>
        <w:tc>
          <w:tcPr>
            <w:tcW w:w="0" w:type="auto"/>
            <w:gridSpan w:val="3"/>
            <w:shd w:val="clear" w:color="auto" w:fill="auto"/>
            <w:vAlign w:val="bottom"/>
          </w:tcPr>
          <w:p w14:paraId="392C9521" w14:textId="77777777" w:rsidR="00980E5F" w:rsidRDefault="00980E5F">
            <w:pPr>
              <w:rPr>
                <w:rFonts w:ascii="宋体"/>
                <w:vanish/>
              </w:rPr>
            </w:pPr>
          </w:p>
        </w:tc>
        <w:tc>
          <w:tcPr>
            <w:tcW w:w="0" w:type="auto"/>
            <w:gridSpan w:val="3"/>
            <w:shd w:val="clear" w:color="auto" w:fill="auto"/>
            <w:vAlign w:val="bottom"/>
          </w:tcPr>
          <w:p w14:paraId="392C9522" w14:textId="77777777" w:rsidR="00980E5F" w:rsidRDefault="00980E5F">
            <w:pPr>
              <w:rPr>
                <w:rFonts w:ascii="宋体"/>
                <w:vanish/>
              </w:rPr>
            </w:pPr>
          </w:p>
        </w:tc>
        <w:tc>
          <w:tcPr>
            <w:tcW w:w="0" w:type="auto"/>
            <w:gridSpan w:val="3"/>
            <w:shd w:val="clear" w:color="auto" w:fill="auto"/>
            <w:vAlign w:val="bottom"/>
          </w:tcPr>
          <w:p w14:paraId="392C9523" w14:textId="77777777" w:rsidR="00980E5F" w:rsidRDefault="00980E5F">
            <w:pPr>
              <w:rPr>
                <w:rFonts w:ascii="宋体"/>
                <w:vanish/>
              </w:rPr>
            </w:pPr>
          </w:p>
        </w:tc>
        <w:tc>
          <w:tcPr>
            <w:tcW w:w="0" w:type="auto"/>
            <w:gridSpan w:val="3"/>
            <w:shd w:val="clear" w:color="auto" w:fill="auto"/>
            <w:vAlign w:val="bottom"/>
          </w:tcPr>
          <w:p w14:paraId="392C9524" w14:textId="77777777" w:rsidR="00980E5F" w:rsidRDefault="00980E5F">
            <w:pPr>
              <w:rPr>
                <w:rFonts w:ascii="宋体"/>
                <w:vanish/>
              </w:rPr>
            </w:pPr>
          </w:p>
        </w:tc>
        <w:tc>
          <w:tcPr>
            <w:tcW w:w="0" w:type="auto"/>
            <w:gridSpan w:val="3"/>
            <w:shd w:val="clear" w:color="auto" w:fill="auto"/>
            <w:vAlign w:val="bottom"/>
          </w:tcPr>
          <w:p w14:paraId="392C9525" w14:textId="77777777" w:rsidR="00980E5F" w:rsidRDefault="00980E5F">
            <w:pPr>
              <w:rPr>
                <w:rFonts w:ascii="宋体"/>
                <w:vanish/>
              </w:rPr>
            </w:pPr>
          </w:p>
        </w:tc>
        <w:tc>
          <w:tcPr>
            <w:tcW w:w="0" w:type="auto"/>
            <w:gridSpan w:val="3"/>
            <w:shd w:val="clear" w:color="auto" w:fill="auto"/>
            <w:vAlign w:val="bottom"/>
          </w:tcPr>
          <w:p w14:paraId="392C9526" w14:textId="77777777" w:rsidR="00980E5F" w:rsidRDefault="00980E5F">
            <w:pPr>
              <w:rPr>
                <w:rFonts w:ascii="宋体"/>
                <w:vanish/>
              </w:rPr>
            </w:pPr>
          </w:p>
        </w:tc>
        <w:tc>
          <w:tcPr>
            <w:tcW w:w="0" w:type="auto"/>
            <w:gridSpan w:val="3"/>
            <w:shd w:val="clear" w:color="auto" w:fill="auto"/>
            <w:vAlign w:val="bottom"/>
          </w:tcPr>
          <w:p w14:paraId="392C9527" w14:textId="77777777" w:rsidR="00980E5F" w:rsidRDefault="00980E5F">
            <w:pPr>
              <w:rPr>
                <w:rFonts w:ascii="宋体"/>
                <w:vanish/>
              </w:rPr>
            </w:pPr>
          </w:p>
        </w:tc>
        <w:tc>
          <w:tcPr>
            <w:tcW w:w="0" w:type="auto"/>
            <w:gridSpan w:val="3"/>
            <w:shd w:val="clear" w:color="auto" w:fill="auto"/>
            <w:vAlign w:val="bottom"/>
          </w:tcPr>
          <w:p w14:paraId="392C9528" w14:textId="77777777" w:rsidR="00980E5F" w:rsidRDefault="00980E5F">
            <w:pPr>
              <w:rPr>
                <w:rFonts w:ascii="宋体"/>
                <w:vanish/>
              </w:rPr>
            </w:pPr>
          </w:p>
        </w:tc>
        <w:tc>
          <w:tcPr>
            <w:tcW w:w="0" w:type="auto"/>
            <w:gridSpan w:val="3"/>
            <w:shd w:val="clear" w:color="auto" w:fill="auto"/>
            <w:vAlign w:val="bottom"/>
          </w:tcPr>
          <w:p w14:paraId="392C9529" w14:textId="77777777" w:rsidR="00980E5F" w:rsidRDefault="00980E5F">
            <w:pPr>
              <w:rPr>
                <w:rFonts w:ascii="宋体"/>
                <w:vanish/>
              </w:rPr>
            </w:pPr>
          </w:p>
        </w:tc>
        <w:tc>
          <w:tcPr>
            <w:tcW w:w="0" w:type="auto"/>
            <w:gridSpan w:val="3"/>
            <w:shd w:val="clear" w:color="auto" w:fill="auto"/>
            <w:vAlign w:val="bottom"/>
          </w:tcPr>
          <w:p w14:paraId="392C952A" w14:textId="77777777" w:rsidR="00980E5F" w:rsidRDefault="00980E5F">
            <w:pPr>
              <w:rPr>
                <w:rFonts w:ascii="宋体"/>
                <w:vanish/>
              </w:rPr>
            </w:pPr>
          </w:p>
        </w:tc>
        <w:tc>
          <w:tcPr>
            <w:tcW w:w="0" w:type="auto"/>
            <w:gridSpan w:val="3"/>
            <w:shd w:val="clear" w:color="auto" w:fill="auto"/>
            <w:vAlign w:val="bottom"/>
          </w:tcPr>
          <w:p w14:paraId="392C952B" w14:textId="77777777" w:rsidR="00980E5F" w:rsidRDefault="00980E5F">
            <w:pPr>
              <w:rPr>
                <w:rFonts w:ascii="宋体"/>
                <w:vanish/>
              </w:rPr>
            </w:pPr>
          </w:p>
        </w:tc>
        <w:tc>
          <w:tcPr>
            <w:tcW w:w="0" w:type="auto"/>
            <w:gridSpan w:val="3"/>
            <w:shd w:val="clear" w:color="auto" w:fill="auto"/>
            <w:vAlign w:val="bottom"/>
          </w:tcPr>
          <w:p w14:paraId="392C952C" w14:textId="77777777" w:rsidR="00980E5F" w:rsidRDefault="00980E5F">
            <w:pPr>
              <w:rPr>
                <w:rFonts w:ascii="宋体"/>
                <w:vanish/>
              </w:rPr>
            </w:pPr>
          </w:p>
        </w:tc>
      </w:tr>
      <w:tr w:rsidR="00980E5F" w14:paraId="392C9540" w14:textId="77777777">
        <w:trPr>
          <w:hidden/>
        </w:trPr>
        <w:tc>
          <w:tcPr>
            <w:tcW w:w="0" w:type="auto"/>
            <w:gridSpan w:val="3"/>
            <w:shd w:val="clear" w:color="auto" w:fill="auto"/>
            <w:vAlign w:val="bottom"/>
          </w:tcPr>
          <w:p w14:paraId="392C952E" w14:textId="77777777" w:rsidR="00980E5F" w:rsidRDefault="00980E5F">
            <w:pPr>
              <w:rPr>
                <w:rFonts w:ascii="宋体"/>
                <w:vanish/>
              </w:rPr>
            </w:pPr>
          </w:p>
        </w:tc>
        <w:tc>
          <w:tcPr>
            <w:tcW w:w="0" w:type="auto"/>
            <w:shd w:val="clear" w:color="auto" w:fill="auto"/>
            <w:vAlign w:val="bottom"/>
          </w:tcPr>
          <w:p w14:paraId="392C952F" w14:textId="77777777" w:rsidR="00980E5F" w:rsidRDefault="00980E5F">
            <w:pPr>
              <w:rPr>
                <w:rFonts w:ascii="宋体"/>
                <w:vanish/>
              </w:rPr>
            </w:pPr>
          </w:p>
        </w:tc>
        <w:tc>
          <w:tcPr>
            <w:tcW w:w="0" w:type="auto"/>
            <w:shd w:val="clear" w:color="auto" w:fill="auto"/>
            <w:vAlign w:val="bottom"/>
          </w:tcPr>
          <w:p w14:paraId="392C9530" w14:textId="77777777" w:rsidR="00980E5F" w:rsidRDefault="00980E5F">
            <w:pPr>
              <w:rPr>
                <w:rFonts w:ascii="宋体"/>
                <w:vanish/>
              </w:rPr>
            </w:pPr>
          </w:p>
        </w:tc>
        <w:tc>
          <w:tcPr>
            <w:tcW w:w="0" w:type="auto"/>
            <w:shd w:val="clear" w:color="auto" w:fill="auto"/>
            <w:vAlign w:val="bottom"/>
          </w:tcPr>
          <w:p w14:paraId="392C9531" w14:textId="77777777" w:rsidR="00980E5F" w:rsidRDefault="00980E5F">
            <w:pPr>
              <w:rPr>
                <w:rFonts w:ascii="宋体"/>
                <w:vanish/>
              </w:rPr>
            </w:pPr>
          </w:p>
        </w:tc>
        <w:tc>
          <w:tcPr>
            <w:tcW w:w="0" w:type="auto"/>
            <w:shd w:val="clear" w:color="auto" w:fill="auto"/>
            <w:vAlign w:val="bottom"/>
          </w:tcPr>
          <w:p w14:paraId="392C9532" w14:textId="77777777" w:rsidR="00980E5F" w:rsidRDefault="00980E5F">
            <w:pPr>
              <w:rPr>
                <w:rFonts w:ascii="宋体"/>
                <w:vanish/>
              </w:rPr>
            </w:pPr>
          </w:p>
        </w:tc>
        <w:tc>
          <w:tcPr>
            <w:tcW w:w="0" w:type="auto"/>
            <w:shd w:val="clear" w:color="auto" w:fill="auto"/>
            <w:vAlign w:val="bottom"/>
          </w:tcPr>
          <w:p w14:paraId="392C9533" w14:textId="77777777" w:rsidR="00980E5F" w:rsidRDefault="00980E5F">
            <w:pPr>
              <w:rPr>
                <w:rFonts w:ascii="宋体"/>
                <w:vanish/>
              </w:rPr>
            </w:pPr>
          </w:p>
        </w:tc>
        <w:tc>
          <w:tcPr>
            <w:tcW w:w="0" w:type="auto"/>
            <w:gridSpan w:val="3"/>
            <w:shd w:val="clear" w:color="auto" w:fill="auto"/>
            <w:vAlign w:val="bottom"/>
          </w:tcPr>
          <w:p w14:paraId="392C9534" w14:textId="77777777" w:rsidR="00980E5F" w:rsidRDefault="00980E5F">
            <w:pPr>
              <w:rPr>
                <w:rFonts w:ascii="宋体"/>
                <w:vanish/>
              </w:rPr>
            </w:pPr>
          </w:p>
        </w:tc>
        <w:tc>
          <w:tcPr>
            <w:tcW w:w="0" w:type="auto"/>
            <w:gridSpan w:val="3"/>
            <w:shd w:val="clear" w:color="auto" w:fill="auto"/>
            <w:vAlign w:val="bottom"/>
          </w:tcPr>
          <w:p w14:paraId="392C9535" w14:textId="77777777" w:rsidR="00980E5F" w:rsidRDefault="00980E5F">
            <w:pPr>
              <w:rPr>
                <w:rFonts w:ascii="宋体"/>
                <w:vanish/>
              </w:rPr>
            </w:pPr>
          </w:p>
        </w:tc>
        <w:tc>
          <w:tcPr>
            <w:tcW w:w="0" w:type="auto"/>
            <w:gridSpan w:val="3"/>
            <w:shd w:val="clear" w:color="auto" w:fill="auto"/>
            <w:vAlign w:val="bottom"/>
          </w:tcPr>
          <w:p w14:paraId="392C9536" w14:textId="77777777" w:rsidR="00980E5F" w:rsidRDefault="00980E5F">
            <w:pPr>
              <w:rPr>
                <w:rFonts w:ascii="宋体"/>
                <w:vanish/>
              </w:rPr>
            </w:pPr>
          </w:p>
        </w:tc>
        <w:tc>
          <w:tcPr>
            <w:tcW w:w="0" w:type="auto"/>
            <w:gridSpan w:val="3"/>
            <w:shd w:val="clear" w:color="auto" w:fill="auto"/>
            <w:vAlign w:val="bottom"/>
          </w:tcPr>
          <w:p w14:paraId="392C9537" w14:textId="77777777" w:rsidR="00980E5F" w:rsidRDefault="00980E5F">
            <w:pPr>
              <w:rPr>
                <w:rFonts w:ascii="宋体"/>
                <w:vanish/>
              </w:rPr>
            </w:pPr>
          </w:p>
        </w:tc>
        <w:tc>
          <w:tcPr>
            <w:tcW w:w="0" w:type="auto"/>
            <w:gridSpan w:val="3"/>
            <w:shd w:val="clear" w:color="auto" w:fill="auto"/>
            <w:vAlign w:val="bottom"/>
          </w:tcPr>
          <w:p w14:paraId="392C9538" w14:textId="77777777" w:rsidR="00980E5F" w:rsidRDefault="00980E5F">
            <w:pPr>
              <w:rPr>
                <w:rFonts w:ascii="宋体"/>
                <w:vanish/>
              </w:rPr>
            </w:pPr>
          </w:p>
        </w:tc>
        <w:tc>
          <w:tcPr>
            <w:tcW w:w="0" w:type="auto"/>
            <w:gridSpan w:val="3"/>
            <w:shd w:val="clear" w:color="auto" w:fill="auto"/>
            <w:vAlign w:val="bottom"/>
          </w:tcPr>
          <w:p w14:paraId="392C9539" w14:textId="77777777" w:rsidR="00980E5F" w:rsidRDefault="00980E5F">
            <w:pPr>
              <w:rPr>
                <w:rFonts w:ascii="宋体"/>
                <w:vanish/>
              </w:rPr>
            </w:pPr>
          </w:p>
        </w:tc>
        <w:tc>
          <w:tcPr>
            <w:tcW w:w="0" w:type="auto"/>
            <w:gridSpan w:val="3"/>
            <w:shd w:val="clear" w:color="auto" w:fill="auto"/>
            <w:vAlign w:val="bottom"/>
          </w:tcPr>
          <w:p w14:paraId="392C953A" w14:textId="77777777" w:rsidR="00980E5F" w:rsidRDefault="00980E5F">
            <w:pPr>
              <w:rPr>
                <w:rFonts w:ascii="宋体"/>
                <w:vanish/>
              </w:rPr>
            </w:pPr>
          </w:p>
        </w:tc>
        <w:tc>
          <w:tcPr>
            <w:tcW w:w="0" w:type="auto"/>
            <w:gridSpan w:val="3"/>
            <w:shd w:val="clear" w:color="auto" w:fill="auto"/>
            <w:vAlign w:val="bottom"/>
          </w:tcPr>
          <w:p w14:paraId="392C953B" w14:textId="77777777" w:rsidR="00980E5F" w:rsidRDefault="00980E5F">
            <w:pPr>
              <w:rPr>
                <w:rFonts w:ascii="宋体"/>
                <w:vanish/>
              </w:rPr>
            </w:pPr>
          </w:p>
        </w:tc>
        <w:tc>
          <w:tcPr>
            <w:tcW w:w="0" w:type="auto"/>
            <w:gridSpan w:val="3"/>
            <w:shd w:val="clear" w:color="auto" w:fill="auto"/>
            <w:vAlign w:val="bottom"/>
          </w:tcPr>
          <w:p w14:paraId="392C953C" w14:textId="77777777" w:rsidR="00980E5F" w:rsidRDefault="00980E5F">
            <w:pPr>
              <w:rPr>
                <w:rFonts w:ascii="宋体"/>
                <w:vanish/>
              </w:rPr>
            </w:pPr>
          </w:p>
        </w:tc>
        <w:tc>
          <w:tcPr>
            <w:tcW w:w="0" w:type="auto"/>
            <w:gridSpan w:val="3"/>
            <w:shd w:val="clear" w:color="auto" w:fill="auto"/>
            <w:vAlign w:val="bottom"/>
          </w:tcPr>
          <w:p w14:paraId="392C953D" w14:textId="77777777" w:rsidR="00980E5F" w:rsidRDefault="00980E5F">
            <w:pPr>
              <w:rPr>
                <w:rFonts w:ascii="宋体"/>
                <w:vanish/>
              </w:rPr>
            </w:pPr>
          </w:p>
        </w:tc>
        <w:tc>
          <w:tcPr>
            <w:tcW w:w="0" w:type="auto"/>
            <w:gridSpan w:val="3"/>
            <w:shd w:val="clear" w:color="auto" w:fill="auto"/>
            <w:vAlign w:val="bottom"/>
          </w:tcPr>
          <w:p w14:paraId="392C953E" w14:textId="77777777" w:rsidR="00980E5F" w:rsidRDefault="00980E5F">
            <w:pPr>
              <w:rPr>
                <w:rFonts w:ascii="宋体"/>
                <w:vanish/>
              </w:rPr>
            </w:pPr>
          </w:p>
        </w:tc>
        <w:tc>
          <w:tcPr>
            <w:tcW w:w="0" w:type="auto"/>
            <w:gridSpan w:val="3"/>
            <w:shd w:val="clear" w:color="auto" w:fill="auto"/>
            <w:vAlign w:val="bottom"/>
          </w:tcPr>
          <w:p w14:paraId="392C953F" w14:textId="77777777" w:rsidR="00980E5F" w:rsidRDefault="00980E5F">
            <w:pPr>
              <w:rPr>
                <w:rFonts w:ascii="宋体"/>
                <w:vanish/>
              </w:rPr>
            </w:pPr>
          </w:p>
        </w:tc>
      </w:tr>
    </w:tbl>
    <w:p w14:paraId="392C9541" w14:textId="77777777" w:rsidR="00980E5F" w:rsidRDefault="00980E5F">
      <w:pPr>
        <w:ind w:firstLine="450"/>
      </w:pPr>
    </w:p>
    <w:p w14:paraId="392C9542" w14:textId="77777777" w:rsidR="00980E5F" w:rsidRDefault="00483613">
      <w:pPr>
        <w:ind w:firstLine="450"/>
        <w:jc w:val="right"/>
      </w:pPr>
      <w:r>
        <w:rPr>
          <w:rFonts w:ascii="Arial" w:eastAsia="宋体" w:hAnsi="Arial" w:cs="Arial"/>
          <w:color w:val="000000"/>
          <w:sz w:val="18"/>
          <w:szCs w:val="18"/>
        </w:rPr>
        <w:t>State Street Corporation | 90</w:t>
      </w:r>
    </w:p>
    <w:p w14:paraId="392C9543" w14:textId="77777777" w:rsidR="00980E5F" w:rsidRDefault="00980E5F">
      <w:pPr>
        <w:ind w:firstLine="450"/>
        <w:jc w:val="center"/>
      </w:pPr>
    </w:p>
    <w:p w14:paraId="392C9544" w14:textId="77777777" w:rsidR="00980E5F" w:rsidRDefault="00483613">
      <w:r>
        <w:pict w14:anchorId="392CBB28">
          <v:rect id="_x0000_i1114" style="width:415.3pt;height:1.5pt" o:hralign="center" o:hrstd="t" o:hr="t" fillcolor="#a0a0a0" stroked="f"/>
        </w:pict>
      </w:r>
    </w:p>
    <w:p w14:paraId="392C9545" w14:textId="77777777" w:rsidR="00980E5F" w:rsidRDefault="00483613">
      <w:pPr>
        <w:ind w:firstLine="450"/>
        <w:jc w:val="center"/>
      </w:pPr>
      <w:r>
        <w:rPr>
          <w:rFonts w:ascii="Arial" w:eastAsia="宋体" w:hAnsi="Arial" w:cs="Arial"/>
          <w:b/>
          <w:bCs/>
          <w:color w:val="000000"/>
          <w:sz w:val="20"/>
          <w:szCs w:val="20"/>
        </w:rPr>
        <w:t>STATE STREET CORPORATION</w:t>
      </w:r>
    </w:p>
    <w:p w14:paraId="392C9546"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547" w14:textId="77777777" w:rsidR="00980E5F" w:rsidRDefault="00483613">
      <w:pPr>
        <w:ind w:firstLine="450"/>
        <w:jc w:val="center"/>
      </w:pPr>
      <w:r>
        <w:rPr>
          <w:rFonts w:ascii="Arial" w:eastAsia="宋体" w:hAnsi="Arial" w:cs="Arial"/>
          <w:b/>
          <w:bCs/>
          <w:color w:val="000000"/>
          <w:sz w:val="20"/>
          <w:szCs w:val="20"/>
        </w:rPr>
        <w:t>(UNAUDITED)</w:t>
      </w:r>
    </w:p>
    <w:p w14:paraId="392C9548" w14:textId="77777777" w:rsidR="00980E5F" w:rsidRDefault="00483613">
      <w:pPr>
        <w:ind w:firstLine="450"/>
      </w:pPr>
      <w:r>
        <w:rPr>
          <w:rFonts w:ascii="Arial" w:eastAsia="宋体" w:hAnsi="Arial" w:cs="Arial"/>
          <w:color w:val="000000"/>
          <w:sz w:val="20"/>
          <w:szCs w:val="20"/>
        </w:rPr>
        <w:t xml:space="preserve">The tables </w:t>
      </w:r>
      <w:r>
        <w:rPr>
          <w:rFonts w:ascii="Arial" w:eastAsia="宋体" w:hAnsi="Arial" w:cs="Arial"/>
          <w:color w:val="000000"/>
          <w:sz w:val="20"/>
          <w:szCs w:val="20"/>
        </w:rPr>
        <w:t>below present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52"/>
        <w:gridCol w:w="36"/>
        <w:gridCol w:w="99"/>
        <w:gridCol w:w="1430"/>
        <w:gridCol w:w="36"/>
        <w:gridCol w:w="36"/>
        <w:gridCol w:w="36"/>
        <w:gridCol w:w="36"/>
        <w:gridCol w:w="99"/>
        <w:gridCol w:w="1390"/>
        <w:gridCol w:w="36"/>
        <w:gridCol w:w="36"/>
        <w:gridCol w:w="36"/>
        <w:gridCol w:w="36"/>
        <w:gridCol w:w="99"/>
        <w:gridCol w:w="1390"/>
        <w:gridCol w:w="36"/>
        <w:gridCol w:w="36"/>
        <w:gridCol w:w="36"/>
        <w:gridCol w:w="36"/>
        <w:gridCol w:w="99"/>
        <w:gridCol w:w="13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9569" w14:textId="77777777">
        <w:tc>
          <w:tcPr>
            <w:tcW w:w="50" w:type="pct"/>
            <w:shd w:val="clear" w:color="auto" w:fill="auto"/>
            <w:vAlign w:val="bottom"/>
          </w:tcPr>
          <w:p w14:paraId="392C9549" w14:textId="77777777" w:rsidR="00980E5F" w:rsidRDefault="00980E5F">
            <w:pPr>
              <w:rPr>
                <w:rFonts w:ascii="宋体"/>
              </w:rPr>
            </w:pPr>
          </w:p>
        </w:tc>
        <w:tc>
          <w:tcPr>
            <w:tcW w:w="729" w:type="pct"/>
            <w:shd w:val="clear" w:color="auto" w:fill="auto"/>
            <w:vAlign w:val="bottom"/>
          </w:tcPr>
          <w:p w14:paraId="392C954A" w14:textId="77777777" w:rsidR="00980E5F" w:rsidRDefault="00980E5F">
            <w:pPr>
              <w:rPr>
                <w:rFonts w:ascii="宋体"/>
              </w:rPr>
            </w:pPr>
          </w:p>
        </w:tc>
        <w:tc>
          <w:tcPr>
            <w:tcW w:w="5" w:type="pct"/>
            <w:shd w:val="clear" w:color="auto" w:fill="auto"/>
            <w:vAlign w:val="bottom"/>
          </w:tcPr>
          <w:p w14:paraId="392C954B" w14:textId="77777777" w:rsidR="00980E5F" w:rsidRDefault="00980E5F">
            <w:pPr>
              <w:rPr>
                <w:rFonts w:ascii="宋体"/>
              </w:rPr>
            </w:pPr>
          </w:p>
        </w:tc>
        <w:tc>
          <w:tcPr>
            <w:tcW w:w="50" w:type="pct"/>
            <w:shd w:val="clear" w:color="auto" w:fill="auto"/>
            <w:vAlign w:val="bottom"/>
          </w:tcPr>
          <w:p w14:paraId="392C954C" w14:textId="77777777" w:rsidR="00980E5F" w:rsidRDefault="00980E5F">
            <w:pPr>
              <w:rPr>
                <w:rFonts w:ascii="宋体"/>
              </w:rPr>
            </w:pPr>
          </w:p>
        </w:tc>
        <w:tc>
          <w:tcPr>
            <w:tcW w:w="971" w:type="pct"/>
            <w:shd w:val="clear" w:color="auto" w:fill="auto"/>
            <w:vAlign w:val="bottom"/>
          </w:tcPr>
          <w:p w14:paraId="392C954D" w14:textId="77777777" w:rsidR="00980E5F" w:rsidRDefault="00980E5F">
            <w:pPr>
              <w:rPr>
                <w:rFonts w:ascii="宋体"/>
              </w:rPr>
            </w:pPr>
          </w:p>
        </w:tc>
        <w:tc>
          <w:tcPr>
            <w:tcW w:w="5" w:type="pct"/>
            <w:shd w:val="clear" w:color="auto" w:fill="auto"/>
            <w:vAlign w:val="bottom"/>
          </w:tcPr>
          <w:p w14:paraId="392C954E" w14:textId="77777777" w:rsidR="00980E5F" w:rsidRDefault="00980E5F">
            <w:pPr>
              <w:rPr>
                <w:rFonts w:ascii="宋体"/>
              </w:rPr>
            </w:pPr>
          </w:p>
        </w:tc>
        <w:tc>
          <w:tcPr>
            <w:tcW w:w="5" w:type="pct"/>
            <w:shd w:val="clear" w:color="auto" w:fill="auto"/>
            <w:vAlign w:val="bottom"/>
          </w:tcPr>
          <w:p w14:paraId="392C954F" w14:textId="77777777" w:rsidR="00980E5F" w:rsidRDefault="00980E5F">
            <w:pPr>
              <w:rPr>
                <w:rFonts w:ascii="宋体"/>
              </w:rPr>
            </w:pPr>
          </w:p>
        </w:tc>
        <w:tc>
          <w:tcPr>
            <w:tcW w:w="26" w:type="pct"/>
            <w:shd w:val="clear" w:color="auto" w:fill="auto"/>
            <w:vAlign w:val="bottom"/>
          </w:tcPr>
          <w:p w14:paraId="392C9550" w14:textId="77777777" w:rsidR="00980E5F" w:rsidRDefault="00980E5F">
            <w:pPr>
              <w:rPr>
                <w:rFonts w:ascii="宋体"/>
              </w:rPr>
            </w:pPr>
          </w:p>
        </w:tc>
        <w:tc>
          <w:tcPr>
            <w:tcW w:w="5" w:type="pct"/>
            <w:shd w:val="clear" w:color="auto" w:fill="auto"/>
            <w:vAlign w:val="bottom"/>
          </w:tcPr>
          <w:p w14:paraId="392C9551" w14:textId="77777777" w:rsidR="00980E5F" w:rsidRDefault="00980E5F">
            <w:pPr>
              <w:rPr>
                <w:rFonts w:ascii="宋体"/>
              </w:rPr>
            </w:pPr>
          </w:p>
        </w:tc>
        <w:tc>
          <w:tcPr>
            <w:tcW w:w="50" w:type="pct"/>
            <w:shd w:val="clear" w:color="auto" w:fill="auto"/>
            <w:vAlign w:val="bottom"/>
          </w:tcPr>
          <w:p w14:paraId="392C9552" w14:textId="77777777" w:rsidR="00980E5F" w:rsidRDefault="00980E5F">
            <w:pPr>
              <w:rPr>
                <w:rFonts w:ascii="宋体"/>
              </w:rPr>
            </w:pPr>
          </w:p>
        </w:tc>
        <w:tc>
          <w:tcPr>
            <w:tcW w:w="971" w:type="pct"/>
            <w:shd w:val="clear" w:color="auto" w:fill="auto"/>
            <w:vAlign w:val="bottom"/>
          </w:tcPr>
          <w:p w14:paraId="392C9553" w14:textId="77777777" w:rsidR="00980E5F" w:rsidRDefault="00980E5F">
            <w:pPr>
              <w:rPr>
                <w:rFonts w:ascii="宋体"/>
              </w:rPr>
            </w:pPr>
          </w:p>
        </w:tc>
        <w:tc>
          <w:tcPr>
            <w:tcW w:w="5" w:type="pct"/>
            <w:shd w:val="clear" w:color="auto" w:fill="auto"/>
            <w:vAlign w:val="bottom"/>
          </w:tcPr>
          <w:p w14:paraId="392C9554" w14:textId="77777777" w:rsidR="00980E5F" w:rsidRDefault="00980E5F">
            <w:pPr>
              <w:rPr>
                <w:rFonts w:ascii="宋体"/>
              </w:rPr>
            </w:pPr>
          </w:p>
        </w:tc>
        <w:tc>
          <w:tcPr>
            <w:tcW w:w="5" w:type="pct"/>
            <w:shd w:val="clear" w:color="auto" w:fill="auto"/>
            <w:vAlign w:val="bottom"/>
          </w:tcPr>
          <w:p w14:paraId="392C9555" w14:textId="77777777" w:rsidR="00980E5F" w:rsidRDefault="00980E5F">
            <w:pPr>
              <w:rPr>
                <w:rFonts w:ascii="宋体"/>
              </w:rPr>
            </w:pPr>
          </w:p>
        </w:tc>
        <w:tc>
          <w:tcPr>
            <w:tcW w:w="26" w:type="pct"/>
            <w:shd w:val="clear" w:color="auto" w:fill="auto"/>
            <w:vAlign w:val="bottom"/>
          </w:tcPr>
          <w:p w14:paraId="392C9556" w14:textId="77777777" w:rsidR="00980E5F" w:rsidRDefault="00980E5F">
            <w:pPr>
              <w:rPr>
                <w:rFonts w:ascii="宋体"/>
              </w:rPr>
            </w:pPr>
          </w:p>
        </w:tc>
        <w:tc>
          <w:tcPr>
            <w:tcW w:w="5" w:type="pct"/>
            <w:shd w:val="clear" w:color="auto" w:fill="auto"/>
            <w:vAlign w:val="bottom"/>
          </w:tcPr>
          <w:p w14:paraId="392C9557" w14:textId="77777777" w:rsidR="00980E5F" w:rsidRDefault="00980E5F">
            <w:pPr>
              <w:rPr>
                <w:rFonts w:ascii="宋体"/>
              </w:rPr>
            </w:pPr>
          </w:p>
        </w:tc>
        <w:tc>
          <w:tcPr>
            <w:tcW w:w="50" w:type="pct"/>
            <w:shd w:val="clear" w:color="auto" w:fill="auto"/>
            <w:vAlign w:val="bottom"/>
          </w:tcPr>
          <w:p w14:paraId="392C9558" w14:textId="77777777" w:rsidR="00980E5F" w:rsidRDefault="00980E5F">
            <w:pPr>
              <w:rPr>
                <w:rFonts w:ascii="宋体"/>
              </w:rPr>
            </w:pPr>
          </w:p>
        </w:tc>
        <w:tc>
          <w:tcPr>
            <w:tcW w:w="971" w:type="pct"/>
            <w:shd w:val="clear" w:color="auto" w:fill="auto"/>
            <w:vAlign w:val="bottom"/>
          </w:tcPr>
          <w:p w14:paraId="392C9559" w14:textId="77777777" w:rsidR="00980E5F" w:rsidRDefault="00980E5F">
            <w:pPr>
              <w:rPr>
                <w:rFonts w:ascii="宋体"/>
              </w:rPr>
            </w:pPr>
          </w:p>
        </w:tc>
        <w:tc>
          <w:tcPr>
            <w:tcW w:w="5" w:type="pct"/>
            <w:shd w:val="clear" w:color="auto" w:fill="auto"/>
            <w:vAlign w:val="bottom"/>
          </w:tcPr>
          <w:p w14:paraId="392C955A" w14:textId="77777777" w:rsidR="00980E5F" w:rsidRDefault="00980E5F">
            <w:pPr>
              <w:rPr>
                <w:rFonts w:ascii="宋体"/>
              </w:rPr>
            </w:pPr>
          </w:p>
        </w:tc>
        <w:tc>
          <w:tcPr>
            <w:tcW w:w="5" w:type="pct"/>
            <w:shd w:val="clear" w:color="auto" w:fill="auto"/>
            <w:vAlign w:val="bottom"/>
          </w:tcPr>
          <w:p w14:paraId="392C955B" w14:textId="77777777" w:rsidR="00980E5F" w:rsidRDefault="00980E5F">
            <w:pPr>
              <w:rPr>
                <w:rFonts w:ascii="宋体"/>
              </w:rPr>
            </w:pPr>
          </w:p>
        </w:tc>
        <w:tc>
          <w:tcPr>
            <w:tcW w:w="26" w:type="pct"/>
            <w:shd w:val="clear" w:color="auto" w:fill="auto"/>
            <w:vAlign w:val="bottom"/>
          </w:tcPr>
          <w:p w14:paraId="392C955C" w14:textId="77777777" w:rsidR="00980E5F" w:rsidRDefault="00980E5F">
            <w:pPr>
              <w:rPr>
                <w:rFonts w:ascii="宋体"/>
              </w:rPr>
            </w:pPr>
          </w:p>
        </w:tc>
        <w:tc>
          <w:tcPr>
            <w:tcW w:w="5" w:type="pct"/>
            <w:shd w:val="clear" w:color="auto" w:fill="auto"/>
            <w:vAlign w:val="bottom"/>
          </w:tcPr>
          <w:p w14:paraId="392C955D" w14:textId="77777777" w:rsidR="00980E5F" w:rsidRDefault="00980E5F">
            <w:pPr>
              <w:rPr>
                <w:rFonts w:ascii="宋体"/>
              </w:rPr>
            </w:pPr>
          </w:p>
        </w:tc>
        <w:tc>
          <w:tcPr>
            <w:tcW w:w="50" w:type="pct"/>
            <w:shd w:val="clear" w:color="auto" w:fill="auto"/>
            <w:vAlign w:val="bottom"/>
          </w:tcPr>
          <w:p w14:paraId="392C955E" w14:textId="77777777" w:rsidR="00980E5F" w:rsidRDefault="00980E5F">
            <w:pPr>
              <w:rPr>
                <w:rFonts w:ascii="宋体"/>
              </w:rPr>
            </w:pPr>
          </w:p>
        </w:tc>
        <w:tc>
          <w:tcPr>
            <w:tcW w:w="971" w:type="pct"/>
            <w:shd w:val="clear" w:color="auto" w:fill="auto"/>
            <w:vAlign w:val="bottom"/>
          </w:tcPr>
          <w:p w14:paraId="392C955F" w14:textId="77777777" w:rsidR="00980E5F" w:rsidRDefault="00980E5F">
            <w:pPr>
              <w:rPr>
                <w:rFonts w:ascii="宋体"/>
              </w:rPr>
            </w:pPr>
          </w:p>
        </w:tc>
        <w:tc>
          <w:tcPr>
            <w:tcW w:w="5" w:type="pct"/>
            <w:shd w:val="clear" w:color="auto" w:fill="auto"/>
            <w:vAlign w:val="bottom"/>
          </w:tcPr>
          <w:p w14:paraId="392C9560" w14:textId="77777777" w:rsidR="00980E5F" w:rsidRDefault="00980E5F">
            <w:pPr>
              <w:rPr>
                <w:rFonts w:ascii="宋体"/>
              </w:rPr>
            </w:pPr>
          </w:p>
        </w:tc>
        <w:tc>
          <w:tcPr>
            <w:tcW w:w="0" w:type="auto"/>
            <w:shd w:val="clear" w:color="auto" w:fill="auto"/>
            <w:vAlign w:val="bottom"/>
          </w:tcPr>
          <w:p w14:paraId="392C9561" w14:textId="77777777" w:rsidR="00980E5F" w:rsidRDefault="00980E5F">
            <w:pPr>
              <w:rPr>
                <w:rFonts w:ascii="宋体"/>
                <w:vanish/>
              </w:rPr>
            </w:pPr>
          </w:p>
        </w:tc>
        <w:tc>
          <w:tcPr>
            <w:tcW w:w="0" w:type="auto"/>
            <w:shd w:val="clear" w:color="auto" w:fill="auto"/>
            <w:vAlign w:val="bottom"/>
          </w:tcPr>
          <w:p w14:paraId="392C9562" w14:textId="77777777" w:rsidR="00980E5F" w:rsidRDefault="00980E5F">
            <w:pPr>
              <w:rPr>
                <w:rFonts w:ascii="宋体"/>
                <w:vanish/>
              </w:rPr>
            </w:pPr>
          </w:p>
        </w:tc>
        <w:tc>
          <w:tcPr>
            <w:tcW w:w="0" w:type="auto"/>
            <w:gridSpan w:val="3"/>
            <w:shd w:val="clear" w:color="auto" w:fill="auto"/>
            <w:vAlign w:val="bottom"/>
          </w:tcPr>
          <w:p w14:paraId="392C9563" w14:textId="77777777" w:rsidR="00980E5F" w:rsidRDefault="00980E5F">
            <w:pPr>
              <w:rPr>
                <w:rFonts w:ascii="宋体"/>
                <w:vanish/>
              </w:rPr>
            </w:pPr>
          </w:p>
        </w:tc>
        <w:tc>
          <w:tcPr>
            <w:tcW w:w="0" w:type="auto"/>
            <w:gridSpan w:val="3"/>
            <w:shd w:val="clear" w:color="auto" w:fill="auto"/>
            <w:vAlign w:val="bottom"/>
          </w:tcPr>
          <w:p w14:paraId="392C9564" w14:textId="77777777" w:rsidR="00980E5F" w:rsidRDefault="00980E5F">
            <w:pPr>
              <w:rPr>
                <w:rFonts w:ascii="宋体"/>
                <w:vanish/>
              </w:rPr>
            </w:pPr>
          </w:p>
        </w:tc>
        <w:tc>
          <w:tcPr>
            <w:tcW w:w="0" w:type="auto"/>
            <w:gridSpan w:val="3"/>
            <w:shd w:val="clear" w:color="auto" w:fill="auto"/>
            <w:vAlign w:val="bottom"/>
          </w:tcPr>
          <w:p w14:paraId="392C9565" w14:textId="77777777" w:rsidR="00980E5F" w:rsidRDefault="00980E5F">
            <w:pPr>
              <w:rPr>
                <w:rFonts w:ascii="宋体"/>
                <w:vanish/>
              </w:rPr>
            </w:pPr>
          </w:p>
        </w:tc>
        <w:tc>
          <w:tcPr>
            <w:tcW w:w="0" w:type="auto"/>
            <w:gridSpan w:val="3"/>
            <w:shd w:val="clear" w:color="auto" w:fill="auto"/>
            <w:vAlign w:val="bottom"/>
          </w:tcPr>
          <w:p w14:paraId="392C9566" w14:textId="77777777" w:rsidR="00980E5F" w:rsidRDefault="00980E5F">
            <w:pPr>
              <w:rPr>
                <w:rFonts w:ascii="宋体"/>
                <w:vanish/>
              </w:rPr>
            </w:pPr>
          </w:p>
        </w:tc>
        <w:tc>
          <w:tcPr>
            <w:tcW w:w="0" w:type="auto"/>
            <w:gridSpan w:val="3"/>
            <w:shd w:val="clear" w:color="auto" w:fill="auto"/>
            <w:vAlign w:val="bottom"/>
          </w:tcPr>
          <w:p w14:paraId="392C9567" w14:textId="77777777" w:rsidR="00980E5F" w:rsidRDefault="00980E5F">
            <w:pPr>
              <w:rPr>
                <w:rFonts w:ascii="宋体"/>
                <w:vanish/>
              </w:rPr>
            </w:pPr>
          </w:p>
        </w:tc>
        <w:tc>
          <w:tcPr>
            <w:tcW w:w="0" w:type="auto"/>
            <w:gridSpan w:val="3"/>
            <w:shd w:val="clear" w:color="auto" w:fill="auto"/>
            <w:vAlign w:val="bottom"/>
          </w:tcPr>
          <w:p w14:paraId="392C9568" w14:textId="77777777" w:rsidR="00980E5F" w:rsidRDefault="00980E5F">
            <w:pPr>
              <w:rPr>
                <w:rFonts w:ascii="宋体"/>
                <w:vanish/>
              </w:rPr>
            </w:pPr>
          </w:p>
        </w:tc>
      </w:tr>
      <w:tr w:rsidR="00980E5F" w14:paraId="392C9580" w14:textId="77777777">
        <w:tc>
          <w:tcPr>
            <w:tcW w:w="0" w:type="auto"/>
            <w:gridSpan w:val="3"/>
            <w:shd w:val="clear" w:color="auto" w:fill="auto"/>
            <w:tcMar>
              <w:top w:w="0" w:type="dxa"/>
              <w:left w:w="20" w:type="dxa"/>
              <w:bottom w:w="0" w:type="dxa"/>
              <w:right w:w="20" w:type="dxa"/>
            </w:tcMar>
            <w:vAlign w:val="bottom"/>
          </w:tcPr>
          <w:p w14:paraId="392C956A" w14:textId="77777777" w:rsidR="00980E5F" w:rsidRDefault="00980E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92C956B"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392C956C" w14:textId="77777777" w:rsidR="00980E5F" w:rsidRDefault="00980E5F">
            <w:pPr>
              <w:rPr>
                <w:rFonts w:ascii="宋体"/>
                <w:vanish/>
              </w:rPr>
            </w:pPr>
          </w:p>
        </w:tc>
        <w:tc>
          <w:tcPr>
            <w:tcW w:w="0" w:type="auto"/>
            <w:shd w:val="clear" w:color="auto" w:fill="auto"/>
            <w:vAlign w:val="bottom"/>
          </w:tcPr>
          <w:p w14:paraId="392C956D" w14:textId="77777777" w:rsidR="00980E5F" w:rsidRDefault="00980E5F">
            <w:pPr>
              <w:rPr>
                <w:rFonts w:ascii="宋体"/>
                <w:vanish/>
              </w:rPr>
            </w:pPr>
          </w:p>
        </w:tc>
        <w:tc>
          <w:tcPr>
            <w:tcW w:w="0" w:type="auto"/>
            <w:shd w:val="clear" w:color="auto" w:fill="auto"/>
            <w:vAlign w:val="bottom"/>
          </w:tcPr>
          <w:p w14:paraId="392C956E" w14:textId="77777777" w:rsidR="00980E5F" w:rsidRDefault="00980E5F">
            <w:pPr>
              <w:rPr>
                <w:rFonts w:ascii="宋体"/>
              </w:rPr>
            </w:pPr>
          </w:p>
        </w:tc>
        <w:tc>
          <w:tcPr>
            <w:tcW w:w="0" w:type="auto"/>
            <w:shd w:val="clear" w:color="auto" w:fill="auto"/>
            <w:vAlign w:val="bottom"/>
          </w:tcPr>
          <w:p w14:paraId="392C956F" w14:textId="77777777" w:rsidR="00980E5F" w:rsidRDefault="00980E5F">
            <w:pPr>
              <w:rPr>
                <w:rFonts w:ascii="宋体"/>
              </w:rPr>
            </w:pPr>
          </w:p>
        </w:tc>
        <w:tc>
          <w:tcPr>
            <w:tcW w:w="0" w:type="auto"/>
            <w:shd w:val="clear" w:color="auto" w:fill="auto"/>
            <w:vAlign w:val="bottom"/>
          </w:tcPr>
          <w:p w14:paraId="392C9570" w14:textId="77777777" w:rsidR="00980E5F" w:rsidRDefault="00980E5F">
            <w:pPr>
              <w:rPr>
                <w:rFonts w:ascii="宋体"/>
              </w:rPr>
            </w:pPr>
          </w:p>
        </w:tc>
        <w:tc>
          <w:tcPr>
            <w:tcW w:w="0" w:type="auto"/>
            <w:shd w:val="clear" w:color="auto" w:fill="auto"/>
            <w:vAlign w:val="bottom"/>
          </w:tcPr>
          <w:p w14:paraId="392C9571" w14:textId="77777777" w:rsidR="00980E5F" w:rsidRDefault="00980E5F">
            <w:pPr>
              <w:rPr>
                <w:rFonts w:ascii="宋体"/>
              </w:rPr>
            </w:pPr>
          </w:p>
        </w:tc>
        <w:tc>
          <w:tcPr>
            <w:tcW w:w="0" w:type="auto"/>
            <w:shd w:val="clear" w:color="auto" w:fill="auto"/>
            <w:vAlign w:val="bottom"/>
          </w:tcPr>
          <w:p w14:paraId="392C9572" w14:textId="77777777" w:rsidR="00980E5F" w:rsidRDefault="00980E5F">
            <w:pPr>
              <w:rPr>
                <w:rFonts w:ascii="宋体"/>
              </w:rPr>
            </w:pPr>
          </w:p>
        </w:tc>
        <w:tc>
          <w:tcPr>
            <w:tcW w:w="0" w:type="auto"/>
            <w:shd w:val="clear" w:color="auto" w:fill="auto"/>
            <w:vAlign w:val="bottom"/>
          </w:tcPr>
          <w:p w14:paraId="392C9573" w14:textId="77777777" w:rsidR="00980E5F" w:rsidRDefault="00980E5F">
            <w:pPr>
              <w:rPr>
                <w:rFonts w:ascii="宋体"/>
              </w:rPr>
            </w:pPr>
          </w:p>
        </w:tc>
        <w:tc>
          <w:tcPr>
            <w:tcW w:w="0" w:type="auto"/>
            <w:shd w:val="clear" w:color="auto" w:fill="auto"/>
            <w:vAlign w:val="bottom"/>
          </w:tcPr>
          <w:p w14:paraId="392C9574" w14:textId="77777777" w:rsidR="00980E5F" w:rsidRDefault="00980E5F">
            <w:pPr>
              <w:rPr>
                <w:rFonts w:ascii="宋体"/>
              </w:rPr>
            </w:pPr>
          </w:p>
        </w:tc>
        <w:tc>
          <w:tcPr>
            <w:tcW w:w="0" w:type="auto"/>
            <w:shd w:val="clear" w:color="auto" w:fill="auto"/>
            <w:vAlign w:val="bottom"/>
          </w:tcPr>
          <w:p w14:paraId="392C9575" w14:textId="77777777" w:rsidR="00980E5F" w:rsidRDefault="00980E5F">
            <w:pPr>
              <w:rPr>
                <w:rFonts w:ascii="宋体"/>
              </w:rPr>
            </w:pPr>
          </w:p>
        </w:tc>
        <w:tc>
          <w:tcPr>
            <w:tcW w:w="0" w:type="auto"/>
            <w:shd w:val="clear" w:color="auto" w:fill="auto"/>
            <w:vAlign w:val="bottom"/>
          </w:tcPr>
          <w:p w14:paraId="392C9576" w14:textId="77777777" w:rsidR="00980E5F" w:rsidRDefault="00980E5F">
            <w:pPr>
              <w:rPr>
                <w:rFonts w:ascii="宋体"/>
              </w:rPr>
            </w:pPr>
          </w:p>
        </w:tc>
        <w:tc>
          <w:tcPr>
            <w:tcW w:w="0" w:type="auto"/>
            <w:shd w:val="clear" w:color="auto" w:fill="auto"/>
            <w:vAlign w:val="bottom"/>
          </w:tcPr>
          <w:p w14:paraId="392C9577" w14:textId="77777777" w:rsidR="00980E5F" w:rsidRDefault="00980E5F">
            <w:pPr>
              <w:rPr>
                <w:rFonts w:ascii="宋体"/>
              </w:rPr>
            </w:pPr>
          </w:p>
        </w:tc>
        <w:tc>
          <w:tcPr>
            <w:tcW w:w="0" w:type="auto"/>
            <w:shd w:val="clear" w:color="auto" w:fill="auto"/>
            <w:vAlign w:val="bottom"/>
          </w:tcPr>
          <w:p w14:paraId="392C9578" w14:textId="77777777" w:rsidR="00980E5F" w:rsidRDefault="00980E5F">
            <w:pPr>
              <w:rPr>
                <w:rFonts w:ascii="宋体"/>
              </w:rPr>
            </w:pPr>
          </w:p>
        </w:tc>
        <w:tc>
          <w:tcPr>
            <w:tcW w:w="0" w:type="auto"/>
            <w:shd w:val="clear" w:color="auto" w:fill="auto"/>
            <w:vAlign w:val="bottom"/>
          </w:tcPr>
          <w:p w14:paraId="392C9579" w14:textId="77777777" w:rsidR="00980E5F" w:rsidRDefault="00980E5F">
            <w:pPr>
              <w:rPr>
                <w:rFonts w:ascii="宋体"/>
              </w:rPr>
            </w:pPr>
          </w:p>
        </w:tc>
        <w:tc>
          <w:tcPr>
            <w:tcW w:w="0" w:type="auto"/>
            <w:shd w:val="clear" w:color="auto" w:fill="auto"/>
            <w:vAlign w:val="bottom"/>
          </w:tcPr>
          <w:p w14:paraId="392C957A" w14:textId="77777777" w:rsidR="00980E5F" w:rsidRDefault="00980E5F">
            <w:pPr>
              <w:rPr>
                <w:rFonts w:ascii="宋体"/>
              </w:rPr>
            </w:pPr>
          </w:p>
        </w:tc>
        <w:tc>
          <w:tcPr>
            <w:tcW w:w="0" w:type="auto"/>
            <w:shd w:val="clear" w:color="auto" w:fill="auto"/>
            <w:vAlign w:val="bottom"/>
          </w:tcPr>
          <w:p w14:paraId="392C957B" w14:textId="77777777" w:rsidR="00980E5F" w:rsidRDefault="00980E5F">
            <w:pPr>
              <w:rPr>
                <w:rFonts w:ascii="宋体"/>
              </w:rPr>
            </w:pPr>
          </w:p>
        </w:tc>
        <w:tc>
          <w:tcPr>
            <w:tcW w:w="0" w:type="auto"/>
            <w:shd w:val="clear" w:color="auto" w:fill="auto"/>
            <w:vAlign w:val="bottom"/>
          </w:tcPr>
          <w:p w14:paraId="392C957C" w14:textId="77777777" w:rsidR="00980E5F" w:rsidRDefault="00980E5F">
            <w:pPr>
              <w:rPr>
                <w:rFonts w:ascii="宋体"/>
              </w:rPr>
            </w:pPr>
          </w:p>
        </w:tc>
        <w:tc>
          <w:tcPr>
            <w:tcW w:w="0" w:type="auto"/>
            <w:shd w:val="clear" w:color="auto" w:fill="auto"/>
            <w:vAlign w:val="bottom"/>
          </w:tcPr>
          <w:p w14:paraId="392C957D" w14:textId="77777777" w:rsidR="00980E5F" w:rsidRDefault="00980E5F">
            <w:pPr>
              <w:rPr>
                <w:rFonts w:ascii="宋体"/>
              </w:rPr>
            </w:pPr>
          </w:p>
        </w:tc>
        <w:tc>
          <w:tcPr>
            <w:tcW w:w="0" w:type="auto"/>
            <w:shd w:val="clear" w:color="auto" w:fill="auto"/>
            <w:vAlign w:val="bottom"/>
          </w:tcPr>
          <w:p w14:paraId="392C957E" w14:textId="77777777" w:rsidR="00980E5F" w:rsidRDefault="00980E5F">
            <w:pPr>
              <w:rPr>
                <w:rFonts w:ascii="宋体"/>
              </w:rPr>
            </w:pPr>
          </w:p>
        </w:tc>
        <w:tc>
          <w:tcPr>
            <w:tcW w:w="0" w:type="auto"/>
            <w:shd w:val="clear" w:color="auto" w:fill="auto"/>
            <w:vAlign w:val="bottom"/>
          </w:tcPr>
          <w:p w14:paraId="392C957F" w14:textId="77777777" w:rsidR="00980E5F" w:rsidRDefault="00980E5F">
            <w:pPr>
              <w:rPr>
                <w:rFonts w:ascii="宋体"/>
              </w:rPr>
            </w:pPr>
          </w:p>
        </w:tc>
      </w:tr>
      <w:tr w:rsidR="00980E5F" w14:paraId="392C9595" w14:textId="77777777">
        <w:tc>
          <w:tcPr>
            <w:tcW w:w="0" w:type="auto"/>
            <w:gridSpan w:val="3"/>
            <w:shd w:val="clear" w:color="auto" w:fill="auto"/>
            <w:tcMar>
              <w:top w:w="0" w:type="dxa"/>
              <w:left w:w="20" w:type="dxa"/>
              <w:bottom w:w="0" w:type="dxa"/>
              <w:right w:w="20" w:type="dxa"/>
            </w:tcMar>
            <w:vAlign w:val="bottom"/>
          </w:tcPr>
          <w:p w14:paraId="392C9581"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9582"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583"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9584"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9585" w14:textId="77777777" w:rsidR="00980E5F" w:rsidRDefault="00980E5F">
            <w:pPr>
              <w:rPr>
                <w:rFonts w:ascii="宋体"/>
                <w:vanish/>
              </w:rPr>
            </w:pPr>
          </w:p>
        </w:tc>
        <w:tc>
          <w:tcPr>
            <w:tcW w:w="0" w:type="auto"/>
            <w:shd w:val="clear" w:color="auto" w:fill="auto"/>
            <w:vAlign w:val="bottom"/>
          </w:tcPr>
          <w:p w14:paraId="392C9586" w14:textId="77777777" w:rsidR="00980E5F" w:rsidRDefault="00980E5F">
            <w:pPr>
              <w:rPr>
                <w:rFonts w:ascii="宋体"/>
                <w:vanish/>
              </w:rPr>
            </w:pPr>
          </w:p>
        </w:tc>
        <w:tc>
          <w:tcPr>
            <w:tcW w:w="0" w:type="auto"/>
            <w:gridSpan w:val="3"/>
            <w:shd w:val="clear" w:color="auto" w:fill="auto"/>
            <w:vAlign w:val="bottom"/>
          </w:tcPr>
          <w:p w14:paraId="392C9587" w14:textId="77777777" w:rsidR="00980E5F" w:rsidRDefault="00980E5F">
            <w:pPr>
              <w:rPr>
                <w:rFonts w:ascii="宋体"/>
                <w:vanish/>
              </w:rPr>
            </w:pPr>
          </w:p>
        </w:tc>
        <w:tc>
          <w:tcPr>
            <w:tcW w:w="0" w:type="auto"/>
            <w:gridSpan w:val="3"/>
            <w:shd w:val="clear" w:color="auto" w:fill="auto"/>
            <w:vAlign w:val="bottom"/>
          </w:tcPr>
          <w:p w14:paraId="392C9588" w14:textId="77777777" w:rsidR="00980E5F" w:rsidRDefault="00980E5F">
            <w:pPr>
              <w:rPr>
                <w:rFonts w:ascii="宋体"/>
                <w:vanish/>
              </w:rPr>
            </w:pPr>
          </w:p>
        </w:tc>
        <w:tc>
          <w:tcPr>
            <w:tcW w:w="0" w:type="auto"/>
            <w:shd w:val="clear" w:color="auto" w:fill="auto"/>
            <w:vAlign w:val="bottom"/>
          </w:tcPr>
          <w:p w14:paraId="392C9589" w14:textId="77777777" w:rsidR="00980E5F" w:rsidRDefault="00980E5F">
            <w:pPr>
              <w:rPr>
                <w:rFonts w:ascii="宋体"/>
              </w:rPr>
            </w:pPr>
          </w:p>
        </w:tc>
        <w:tc>
          <w:tcPr>
            <w:tcW w:w="0" w:type="auto"/>
            <w:shd w:val="clear" w:color="auto" w:fill="auto"/>
            <w:vAlign w:val="bottom"/>
          </w:tcPr>
          <w:p w14:paraId="392C958A" w14:textId="77777777" w:rsidR="00980E5F" w:rsidRDefault="00980E5F">
            <w:pPr>
              <w:rPr>
                <w:rFonts w:ascii="宋体"/>
              </w:rPr>
            </w:pPr>
          </w:p>
        </w:tc>
        <w:tc>
          <w:tcPr>
            <w:tcW w:w="0" w:type="auto"/>
            <w:shd w:val="clear" w:color="auto" w:fill="auto"/>
            <w:vAlign w:val="bottom"/>
          </w:tcPr>
          <w:p w14:paraId="392C958B" w14:textId="77777777" w:rsidR="00980E5F" w:rsidRDefault="00980E5F">
            <w:pPr>
              <w:rPr>
                <w:rFonts w:ascii="宋体"/>
              </w:rPr>
            </w:pPr>
          </w:p>
        </w:tc>
        <w:tc>
          <w:tcPr>
            <w:tcW w:w="0" w:type="auto"/>
            <w:shd w:val="clear" w:color="auto" w:fill="auto"/>
            <w:vAlign w:val="bottom"/>
          </w:tcPr>
          <w:p w14:paraId="392C958C" w14:textId="77777777" w:rsidR="00980E5F" w:rsidRDefault="00980E5F">
            <w:pPr>
              <w:rPr>
                <w:rFonts w:ascii="宋体"/>
              </w:rPr>
            </w:pPr>
          </w:p>
        </w:tc>
        <w:tc>
          <w:tcPr>
            <w:tcW w:w="0" w:type="auto"/>
            <w:shd w:val="clear" w:color="auto" w:fill="auto"/>
            <w:vAlign w:val="bottom"/>
          </w:tcPr>
          <w:p w14:paraId="392C958D" w14:textId="77777777" w:rsidR="00980E5F" w:rsidRDefault="00980E5F">
            <w:pPr>
              <w:rPr>
                <w:rFonts w:ascii="宋体"/>
              </w:rPr>
            </w:pPr>
          </w:p>
        </w:tc>
        <w:tc>
          <w:tcPr>
            <w:tcW w:w="0" w:type="auto"/>
            <w:shd w:val="clear" w:color="auto" w:fill="auto"/>
            <w:vAlign w:val="bottom"/>
          </w:tcPr>
          <w:p w14:paraId="392C958E" w14:textId="77777777" w:rsidR="00980E5F" w:rsidRDefault="00980E5F">
            <w:pPr>
              <w:rPr>
                <w:rFonts w:ascii="宋体"/>
              </w:rPr>
            </w:pPr>
          </w:p>
        </w:tc>
        <w:tc>
          <w:tcPr>
            <w:tcW w:w="0" w:type="auto"/>
            <w:shd w:val="clear" w:color="auto" w:fill="auto"/>
            <w:vAlign w:val="bottom"/>
          </w:tcPr>
          <w:p w14:paraId="392C958F" w14:textId="77777777" w:rsidR="00980E5F" w:rsidRDefault="00980E5F">
            <w:pPr>
              <w:rPr>
                <w:rFonts w:ascii="宋体"/>
              </w:rPr>
            </w:pPr>
          </w:p>
        </w:tc>
        <w:tc>
          <w:tcPr>
            <w:tcW w:w="0" w:type="auto"/>
            <w:shd w:val="clear" w:color="auto" w:fill="auto"/>
            <w:vAlign w:val="bottom"/>
          </w:tcPr>
          <w:p w14:paraId="392C9590" w14:textId="77777777" w:rsidR="00980E5F" w:rsidRDefault="00980E5F">
            <w:pPr>
              <w:rPr>
                <w:rFonts w:ascii="宋体"/>
              </w:rPr>
            </w:pPr>
          </w:p>
        </w:tc>
        <w:tc>
          <w:tcPr>
            <w:tcW w:w="0" w:type="auto"/>
            <w:shd w:val="clear" w:color="auto" w:fill="auto"/>
            <w:vAlign w:val="bottom"/>
          </w:tcPr>
          <w:p w14:paraId="392C9591" w14:textId="77777777" w:rsidR="00980E5F" w:rsidRDefault="00980E5F">
            <w:pPr>
              <w:rPr>
                <w:rFonts w:ascii="宋体"/>
              </w:rPr>
            </w:pPr>
          </w:p>
        </w:tc>
        <w:tc>
          <w:tcPr>
            <w:tcW w:w="0" w:type="auto"/>
            <w:shd w:val="clear" w:color="auto" w:fill="auto"/>
            <w:vAlign w:val="bottom"/>
          </w:tcPr>
          <w:p w14:paraId="392C9592" w14:textId="77777777" w:rsidR="00980E5F" w:rsidRDefault="00980E5F">
            <w:pPr>
              <w:rPr>
                <w:rFonts w:ascii="宋体"/>
              </w:rPr>
            </w:pPr>
          </w:p>
        </w:tc>
        <w:tc>
          <w:tcPr>
            <w:tcW w:w="0" w:type="auto"/>
            <w:shd w:val="clear" w:color="auto" w:fill="auto"/>
            <w:vAlign w:val="bottom"/>
          </w:tcPr>
          <w:p w14:paraId="392C9593" w14:textId="77777777" w:rsidR="00980E5F" w:rsidRDefault="00980E5F">
            <w:pPr>
              <w:rPr>
                <w:rFonts w:ascii="宋体"/>
              </w:rPr>
            </w:pPr>
          </w:p>
        </w:tc>
        <w:tc>
          <w:tcPr>
            <w:tcW w:w="0" w:type="auto"/>
            <w:shd w:val="clear" w:color="auto" w:fill="auto"/>
            <w:vAlign w:val="bottom"/>
          </w:tcPr>
          <w:p w14:paraId="392C9594" w14:textId="77777777" w:rsidR="00980E5F" w:rsidRDefault="00980E5F">
            <w:pPr>
              <w:rPr>
                <w:rFonts w:ascii="宋体"/>
              </w:rPr>
            </w:pPr>
          </w:p>
        </w:tc>
      </w:tr>
      <w:tr w:rsidR="00980E5F" w14:paraId="392C95A6" w14:textId="77777777">
        <w:tc>
          <w:tcPr>
            <w:tcW w:w="0" w:type="auto"/>
            <w:gridSpan w:val="3"/>
            <w:shd w:val="clear" w:color="auto" w:fill="FFFFFF"/>
            <w:tcMar>
              <w:top w:w="0" w:type="dxa"/>
              <w:left w:w="20" w:type="dxa"/>
              <w:bottom w:w="0" w:type="dxa"/>
              <w:right w:w="20" w:type="dxa"/>
            </w:tcMar>
            <w:vAlign w:val="bottom"/>
          </w:tcPr>
          <w:p w14:paraId="392C959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597"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59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599" w14:textId="77777777" w:rsidR="00980E5F" w:rsidRDefault="00483613">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392C959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59B"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59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59D" w14:textId="77777777" w:rsidR="00980E5F" w:rsidRDefault="00483613">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shd w:val="clear" w:color="auto" w:fill="auto"/>
            <w:vAlign w:val="bottom"/>
          </w:tcPr>
          <w:p w14:paraId="392C959E" w14:textId="77777777" w:rsidR="00980E5F" w:rsidRDefault="00980E5F">
            <w:pPr>
              <w:rPr>
                <w:rFonts w:ascii="宋体"/>
                <w:vanish/>
              </w:rPr>
            </w:pPr>
          </w:p>
        </w:tc>
        <w:tc>
          <w:tcPr>
            <w:tcW w:w="0" w:type="auto"/>
            <w:shd w:val="clear" w:color="auto" w:fill="auto"/>
            <w:vAlign w:val="bottom"/>
          </w:tcPr>
          <w:p w14:paraId="392C959F" w14:textId="77777777" w:rsidR="00980E5F" w:rsidRDefault="00980E5F">
            <w:pPr>
              <w:rPr>
                <w:rFonts w:ascii="宋体"/>
                <w:vanish/>
              </w:rPr>
            </w:pPr>
          </w:p>
        </w:tc>
        <w:tc>
          <w:tcPr>
            <w:tcW w:w="0" w:type="auto"/>
            <w:gridSpan w:val="3"/>
            <w:shd w:val="clear" w:color="auto" w:fill="auto"/>
            <w:vAlign w:val="bottom"/>
          </w:tcPr>
          <w:p w14:paraId="392C95A0" w14:textId="77777777" w:rsidR="00980E5F" w:rsidRDefault="00980E5F">
            <w:pPr>
              <w:rPr>
                <w:rFonts w:ascii="宋体"/>
                <w:vanish/>
              </w:rPr>
            </w:pPr>
          </w:p>
        </w:tc>
        <w:tc>
          <w:tcPr>
            <w:tcW w:w="0" w:type="auto"/>
            <w:gridSpan w:val="3"/>
            <w:shd w:val="clear" w:color="auto" w:fill="auto"/>
            <w:vAlign w:val="bottom"/>
          </w:tcPr>
          <w:p w14:paraId="392C95A1" w14:textId="77777777" w:rsidR="00980E5F" w:rsidRDefault="00980E5F">
            <w:pPr>
              <w:rPr>
                <w:rFonts w:ascii="宋体"/>
                <w:vanish/>
              </w:rPr>
            </w:pPr>
          </w:p>
        </w:tc>
        <w:tc>
          <w:tcPr>
            <w:tcW w:w="0" w:type="auto"/>
            <w:gridSpan w:val="3"/>
            <w:shd w:val="clear" w:color="auto" w:fill="auto"/>
            <w:vAlign w:val="bottom"/>
          </w:tcPr>
          <w:p w14:paraId="392C95A2" w14:textId="77777777" w:rsidR="00980E5F" w:rsidRDefault="00980E5F">
            <w:pPr>
              <w:rPr>
                <w:rFonts w:ascii="宋体"/>
                <w:vanish/>
              </w:rPr>
            </w:pPr>
          </w:p>
        </w:tc>
        <w:tc>
          <w:tcPr>
            <w:tcW w:w="0" w:type="auto"/>
            <w:gridSpan w:val="3"/>
            <w:shd w:val="clear" w:color="auto" w:fill="auto"/>
            <w:vAlign w:val="bottom"/>
          </w:tcPr>
          <w:p w14:paraId="392C95A3" w14:textId="77777777" w:rsidR="00980E5F" w:rsidRDefault="00980E5F">
            <w:pPr>
              <w:rPr>
                <w:rFonts w:ascii="宋体"/>
                <w:vanish/>
              </w:rPr>
            </w:pPr>
          </w:p>
        </w:tc>
        <w:tc>
          <w:tcPr>
            <w:tcW w:w="0" w:type="auto"/>
            <w:gridSpan w:val="3"/>
            <w:shd w:val="clear" w:color="auto" w:fill="auto"/>
            <w:vAlign w:val="bottom"/>
          </w:tcPr>
          <w:p w14:paraId="392C95A4" w14:textId="77777777" w:rsidR="00980E5F" w:rsidRDefault="00980E5F">
            <w:pPr>
              <w:rPr>
                <w:rFonts w:ascii="宋体"/>
                <w:vanish/>
              </w:rPr>
            </w:pPr>
          </w:p>
        </w:tc>
        <w:tc>
          <w:tcPr>
            <w:tcW w:w="0" w:type="auto"/>
            <w:gridSpan w:val="3"/>
            <w:shd w:val="clear" w:color="auto" w:fill="auto"/>
            <w:vAlign w:val="bottom"/>
          </w:tcPr>
          <w:p w14:paraId="392C95A5" w14:textId="77777777" w:rsidR="00980E5F" w:rsidRDefault="00980E5F">
            <w:pPr>
              <w:rPr>
                <w:rFonts w:ascii="宋体"/>
                <w:vanish/>
              </w:rPr>
            </w:pPr>
          </w:p>
        </w:tc>
      </w:tr>
      <w:tr w:rsidR="00980E5F" w14:paraId="392C95BF" w14:textId="77777777">
        <w:tc>
          <w:tcPr>
            <w:tcW w:w="0" w:type="auto"/>
            <w:gridSpan w:val="3"/>
            <w:shd w:val="clear" w:color="auto" w:fill="CCEEFF"/>
            <w:tcMar>
              <w:top w:w="40" w:type="dxa"/>
              <w:left w:w="20" w:type="dxa"/>
              <w:bottom w:w="40" w:type="dxa"/>
              <w:right w:w="20" w:type="dxa"/>
            </w:tcMar>
            <w:vAlign w:val="bottom"/>
          </w:tcPr>
          <w:p w14:paraId="392C95A7" w14:textId="77777777" w:rsidR="00980E5F" w:rsidRDefault="00483613">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5A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5A9" w14:textId="77777777" w:rsidR="00980E5F" w:rsidRDefault="00483613">
            <w:pPr>
              <w:jc w:val="right"/>
              <w:textAlignment w:val="bottom"/>
            </w:pPr>
            <w:r>
              <w:rPr>
                <w:rFonts w:ascii="Arial" w:eastAsia="宋体" w:hAnsi="Arial" w:cs="Arial"/>
                <w:b/>
                <w:bCs/>
                <w:color w:val="000000"/>
                <w:sz w:val="14"/>
                <w:szCs w:val="14"/>
              </w:rPr>
              <w:t>0.57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5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5A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5A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5AD" w14:textId="77777777" w:rsidR="00980E5F" w:rsidRDefault="00483613">
            <w:pPr>
              <w:jc w:val="right"/>
              <w:textAlignment w:val="bottom"/>
            </w:pPr>
            <w:r>
              <w:rPr>
                <w:rFonts w:ascii="Arial" w:eastAsia="宋体" w:hAnsi="Arial" w:cs="Arial"/>
                <w:b/>
                <w:bCs/>
                <w:color w:val="000000"/>
                <w:sz w:val="14"/>
                <w:szCs w:val="14"/>
              </w:rPr>
              <w:t>210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5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5A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5B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5B1" w14:textId="77777777" w:rsidR="00980E5F" w:rsidRDefault="00483613">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5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5B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5B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5B5" w14:textId="77777777" w:rsidR="00980E5F" w:rsidRDefault="00483613">
            <w:pPr>
              <w:jc w:val="right"/>
              <w:textAlignment w:val="bottom"/>
            </w:pPr>
            <w:r>
              <w:rPr>
                <w:rFonts w:ascii="Arial" w:eastAsia="宋体" w:hAnsi="Arial" w:cs="Arial"/>
                <w:color w:val="000000"/>
                <w:sz w:val="14"/>
                <w:szCs w:val="14"/>
              </w:rPr>
              <w:t>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5B6" w14:textId="77777777" w:rsidR="00980E5F" w:rsidRDefault="00980E5F">
            <w:pPr>
              <w:jc w:val="right"/>
              <w:rPr>
                <w:rFonts w:ascii="宋体"/>
              </w:rPr>
            </w:pPr>
          </w:p>
        </w:tc>
        <w:tc>
          <w:tcPr>
            <w:tcW w:w="0" w:type="auto"/>
            <w:shd w:val="clear" w:color="auto" w:fill="auto"/>
            <w:vAlign w:val="bottom"/>
          </w:tcPr>
          <w:p w14:paraId="392C95B7" w14:textId="77777777" w:rsidR="00980E5F" w:rsidRDefault="00980E5F">
            <w:pPr>
              <w:rPr>
                <w:rFonts w:ascii="宋体"/>
                <w:vanish/>
              </w:rPr>
            </w:pPr>
          </w:p>
        </w:tc>
        <w:tc>
          <w:tcPr>
            <w:tcW w:w="0" w:type="auto"/>
            <w:shd w:val="clear" w:color="auto" w:fill="auto"/>
            <w:vAlign w:val="bottom"/>
          </w:tcPr>
          <w:p w14:paraId="392C95B8" w14:textId="77777777" w:rsidR="00980E5F" w:rsidRDefault="00980E5F">
            <w:pPr>
              <w:rPr>
                <w:rFonts w:ascii="宋体"/>
                <w:vanish/>
              </w:rPr>
            </w:pPr>
          </w:p>
        </w:tc>
        <w:tc>
          <w:tcPr>
            <w:tcW w:w="0" w:type="auto"/>
            <w:gridSpan w:val="3"/>
            <w:shd w:val="clear" w:color="auto" w:fill="auto"/>
            <w:vAlign w:val="bottom"/>
          </w:tcPr>
          <w:p w14:paraId="392C95B9" w14:textId="77777777" w:rsidR="00980E5F" w:rsidRDefault="00980E5F">
            <w:pPr>
              <w:rPr>
                <w:rFonts w:ascii="宋体"/>
                <w:vanish/>
              </w:rPr>
            </w:pPr>
          </w:p>
        </w:tc>
        <w:tc>
          <w:tcPr>
            <w:tcW w:w="0" w:type="auto"/>
            <w:gridSpan w:val="3"/>
            <w:shd w:val="clear" w:color="auto" w:fill="auto"/>
            <w:vAlign w:val="bottom"/>
          </w:tcPr>
          <w:p w14:paraId="392C95BA" w14:textId="77777777" w:rsidR="00980E5F" w:rsidRDefault="00980E5F">
            <w:pPr>
              <w:rPr>
                <w:rFonts w:ascii="宋体"/>
                <w:vanish/>
              </w:rPr>
            </w:pPr>
          </w:p>
        </w:tc>
        <w:tc>
          <w:tcPr>
            <w:tcW w:w="0" w:type="auto"/>
            <w:gridSpan w:val="3"/>
            <w:shd w:val="clear" w:color="auto" w:fill="auto"/>
            <w:vAlign w:val="bottom"/>
          </w:tcPr>
          <w:p w14:paraId="392C95BB" w14:textId="77777777" w:rsidR="00980E5F" w:rsidRDefault="00980E5F">
            <w:pPr>
              <w:rPr>
                <w:rFonts w:ascii="宋体"/>
                <w:vanish/>
              </w:rPr>
            </w:pPr>
          </w:p>
        </w:tc>
        <w:tc>
          <w:tcPr>
            <w:tcW w:w="0" w:type="auto"/>
            <w:gridSpan w:val="3"/>
            <w:shd w:val="clear" w:color="auto" w:fill="auto"/>
            <w:vAlign w:val="bottom"/>
          </w:tcPr>
          <w:p w14:paraId="392C95BC" w14:textId="77777777" w:rsidR="00980E5F" w:rsidRDefault="00980E5F">
            <w:pPr>
              <w:rPr>
                <w:rFonts w:ascii="宋体"/>
                <w:vanish/>
              </w:rPr>
            </w:pPr>
          </w:p>
        </w:tc>
        <w:tc>
          <w:tcPr>
            <w:tcW w:w="0" w:type="auto"/>
            <w:gridSpan w:val="3"/>
            <w:shd w:val="clear" w:color="auto" w:fill="auto"/>
            <w:vAlign w:val="bottom"/>
          </w:tcPr>
          <w:p w14:paraId="392C95BD" w14:textId="77777777" w:rsidR="00980E5F" w:rsidRDefault="00980E5F">
            <w:pPr>
              <w:rPr>
                <w:rFonts w:ascii="宋体"/>
                <w:vanish/>
              </w:rPr>
            </w:pPr>
          </w:p>
        </w:tc>
        <w:tc>
          <w:tcPr>
            <w:tcW w:w="0" w:type="auto"/>
            <w:gridSpan w:val="3"/>
            <w:shd w:val="clear" w:color="auto" w:fill="auto"/>
            <w:vAlign w:val="bottom"/>
          </w:tcPr>
          <w:p w14:paraId="392C95BE" w14:textId="77777777" w:rsidR="00980E5F" w:rsidRDefault="00980E5F">
            <w:pPr>
              <w:rPr>
                <w:rFonts w:ascii="宋体"/>
                <w:vanish/>
              </w:rPr>
            </w:pPr>
          </w:p>
        </w:tc>
      </w:tr>
      <w:tr w:rsidR="00980E5F" w14:paraId="392C95D0" w14:textId="77777777">
        <w:trPr>
          <w:trHeight w:val="100"/>
        </w:trPr>
        <w:tc>
          <w:tcPr>
            <w:tcW w:w="0" w:type="auto"/>
            <w:gridSpan w:val="3"/>
            <w:shd w:val="clear" w:color="auto" w:fill="auto"/>
            <w:tcMar>
              <w:top w:w="0" w:type="dxa"/>
              <w:left w:w="20" w:type="dxa"/>
              <w:bottom w:w="0" w:type="dxa"/>
              <w:right w:w="20" w:type="dxa"/>
            </w:tcMar>
            <w:vAlign w:val="bottom"/>
          </w:tcPr>
          <w:p w14:paraId="392C95C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5C7" w14:textId="77777777" w:rsidR="00980E5F" w:rsidRDefault="00980E5F">
            <w:pPr>
              <w:rPr>
                <w:rFonts w:ascii="宋体"/>
              </w:rPr>
            </w:pPr>
          </w:p>
        </w:tc>
        <w:tc>
          <w:tcPr>
            <w:tcW w:w="0" w:type="auto"/>
            <w:shd w:val="clear" w:color="auto" w:fill="auto"/>
            <w:vAlign w:val="bottom"/>
          </w:tcPr>
          <w:p w14:paraId="392C95C8" w14:textId="77777777" w:rsidR="00980E5F" w:rsidRDefault="00980E5F">
            <w:pPr>
              <w:rPr>
                <w:rFonts w:ascii="宋体"/>
                <w:vanish/>
              </w:rPr>
            </w:pPr>
          </w:p>
        </w:tc>
        <w:tc>
          <w:tcPr>
            <w:tcW w:w="0" w:type="auto"/>
            <w:shd w:val="clear" w:color="auto" w:fill="auto"/>
            <w:vAlign w:val="bottom"/>
          </w:tcPr>
          <w:p w14:paraId="392C95C9" w14:textId="77777777" w:rsidR="00980E5F" w:rsidRDefault="00980E5F">
            <w:pPr>
              <w:rPr>
                <w:rFonts w:ascii="宋体"/>
                <w:vanish/>
              </w:rPr>
            </w:pPr>
          </w:p>
        </w:tc>
        <w:tc>
          <w:tcPr>
            <w:tcW w:w="0" w:type="auto"/>
            <w:gridSpan w:val="3"/>
            <w:shd w:val="clear" w:color="auto" w:fill="auto"/>
            <w:vAlign w:val="bottom"/>
          </w:tcPr>
          <w:p w14:paraId="392C95CA" w14:textId="77777777" w:rsidR="00980E5F" w:rsidRDefault="00980E5F">
            <w:pPr>
              <w:rPr>
                <w:rFonts w:ascii="宋体"/>
                <w:vanish/>
              </w:rPr>
            </w:pPr>
          </w:p>
        </w:tc>
        <w:tc>
          <w:tcPr>
            <w:tcW w:w="0" w:type="auto"/>
            <w:gridSpan w:val="3"/>
            <w:shd w:val="clear" w:color="auto" w:fill="auto"/>
            <w:vAlign w:val="bottom"/>
          </w:tcPr>
          <w:p w14:paraId="392C95CB" w14:textId="77777777" w:rsidR="00980E5F" w:rsidRDefault="00980E5F">
            <w:pPr>
              <w:rPr>
                <w:rFonts w:ascii="宋体"/>
                <w:vanish/>
              </w:rPr>
            </w:pPr>
          </w:p>
        </w:tc>
        <w:tc>
          <w:tcPr>
            <w:tcW w:w="0" w:type="auto"/>
            <w:gridSpan w:val="3"/>
            <w:shd w:val="clear" w:color="auto" w:fill="auto"/>
            <w:vAlign w:val="bottom"/>
          </w:tcPr>
          <w:p w14:paraId="392C95CC" w14:textId="77777777" w:rsidR="00980E5F" w:rsidRDefault="00980E5F">
            <w:pPr>
              <w:rPr>
                <w:rFonts w:ascii="宋体"/>
                <w:vanish/>
              </w:rPr>
            </w:pPr>
          </w:p>
        </w:tc>
        <w:tc>
          <w:tcPr>
            <w:tcW w:w="0" w:type="auto"/>
            <w:gridSpan w:val="3"/>
            <w:shd w:val="clear" w:color="auto" w:fill="auto"/>
            <w:vAlign w:val="bottom"/>
          </w:tcPr>
          <w:p w14:paraId="392C95CD" w14:textId="77777777" w:rsidR="00980E5F" w:rsidRDefault="00980E5F">
            <w:pPr>
              <w:rPr>
                <w:rFonts w:ascii="宋体"/>
                <w:vanish/>
              </w:rPr>
            </w:pPr>
          </w:p>
        </w:tc>
        <w:tc>
          <w:tcPr>
            <w:tcW w:w="0" w:type="auto"/>
            <w:gridSpan w:val="3"/>
            <w:shd w:val="clear" w:color="auto" w:fill="auto"/>
            <w:vAlign w:val="bottom"/>
          </w:tcPr>
          <w:p w14:paraId="392C95CE" w14:textId="77777777" w:rsidR="00980E5F" w:rsidRDefault="00980E5F">
            <w:pPr>
              <w:rPr>
                <w:rFonts w:ascii="宋体"/>
                <w:vanish/>
              </w:rPr>
            </w:pPr>
          </w:p>
        </w:tc>
        <w:tc>
          <w:tcPr>
            <w:tcW w:w="0" w:type="auto"/>
            <w:gridSpan w:val="3"/>
            <w:shd w:val="clear" w:color="auto" w:fill="auto"/>
            <w:vAlign w:val="bottom"/>
          </w:tcPr>
          <w:p w14:paraId="392C95CF" w14:textId="77777777" w:rsidR="00980E5F" w:rsidRDefault="00980E5F">
            <w:pPr>
              <w:rPr>
                <w:rFonts w:ascii="宋体"/>
                <w:vanish/>
              </w:rPr>
            </w:pPr>
          </w:p>
        </w:tc>
      </w:tr>
      <w:tr w:rsidR="00980E5F" w14:paraId="392C95E7" w14:textId="77777777">
        <w:tc>
          <w:tcPr>
            <w:tcW w:w="0" w:type="auto"/>
            <w:gridSpan w:val="3"/>
            <w:shd w:val="clear" w:color="auto" w:fill="auto"/>
            <w:tcMar>
              <w:top w:w="0" w:type="dxa"/>
              <w:left w:w="20" w:type="dxa"/>
              <w:bottom w:w="0" w:type="dxa"/>
              <w:right w:w="20" w:type="dxa"/>
            </w:tcMar>
            <w:vAlign w:val="bottom"/>
          </w:tcPr>
          <w:p w14:paraId="392C95D1" w14:textId="77777777" w:rsidR="00980E5F" w:rsidRDefault="00980E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92C95D2"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95D3" w14:textId="77777777" w:rsidR="00980E5F" w:rsidRDefault="00980E5F">
            <w:pPr>
              <w:rPr>
                <w:rFonts w:ascii="宋体"/>
                <w:vanish/>
              </w:rPr>
            </w:pPr>
          </w:p>
        </w:tc>
        <w:tc>
          <w:tcPr>
            <w:tcW w:w="0" w:type="auto"/>
            <w:shd w:val="clear" w:color="auto" w:fill="auto"/>
            <w:vAlign w:val="bottom"/>
          </w:tcPr>
          <w:p w14:paraId="392C95D4" w14:textId="77777777" w:rsidR="00980E5F" w:rsidRDefault="00980E5F">
            <w:pPr>
              <w:rPr>
                <w:rFonts w:ascii="宋体"/>
                <w:vanish/>
              </w:rPr>
            </w:pPr>
          </w:p>
        </w:tc>
        <w:tc>
          <w:tcPr>
            <w:tcW w:w="0" w:type="auto"/>
            <w:shd w:val="clear" w:color="auto" w:fill="auto"/>
            <w:vAlign w:val="bottom"/>
          </w:tcPr>
          <w:p w14:paraId="392C95D5" w14:textId="77777777" w:rsidR="00980E5F" w:rsidRDefault="00980E5F">
            <w:pPr>
              <w:rPr>
                <w:rFonts w:ascii="宋体"/>
              </w:rPr>
            </w:pPr>
          </w:p>
        </w:tc>
        <w:tc>
          <w:tcPr>
            <w:tcW w:w="0" w:type="auto"/>
            <w:shd w:val="clear" w:color="auto" w:fill="auto"/>
            <w:vAlign w:val="bottom"/>
          </w:tcPr>
          <w:p w14:paraId="392C95D6" w14:textId="77777777" w:rsidR="00980E5F" w:rsidRDefault="00980E5F">
            <w:pPr>
              <w:rPr>
                <w:rFonts w:ascii="宋体"/>
              </w:rPr>
            </w:pPr>
          </w:p>
        </w:tc>
        <w:tc>
          <w:tcPr>
            <w:tcW w:w="0" w:type="auto"/>
            <w:shd w:val="clear" w:color="auto" w:fill="auto"/>
            <w:vAlign w:val="bottom"/>
          </w:tcPr>
          <w:p w14:paraId="392C95D7" w14:textId="77777777" w:rsidR="00980E5F" w:rsidRDefault="00980E5F">
            <w:pPr>
              <w:rPr>
                <w:rFonts w:ascii="宋体"/>
              </w:rPr>
            </w:pPr>
          </w:p>
        </w:tc>
        <w:tc>
          <w:tcPr>
            <w:tcW w:w="0" w:type="auto"/>
            <w:shd w:val="clear" w:color="auto" w:fill="auto"/>
            <w:vAlign w:val="bottom"/>
          </w:tcPr>
          <w:p w14:paraId="392C95D8" w14:textId="77777777" w:rsidR="00980E5F" w:rsidRDefault="00980E5F">
            <w:pPr>
              <w:rPr>
                <w:rFonts w:ascii="宋体"/>
              </w:rPr>
            </w:pPr>
          </w:p>
        </w:tc>
        <w:tc>
          <w:tcPr>
            <w:tcW w:w="0" w:type="auto"/>
            <w:shd w:val="clear" w:color="auto" w:fill="auto"/>
            <w:vAlign w:val="bottom"/>
          </w:tcPr>
          <w:p w14:paraId="392C95D9" w14:textId="77777777" w:rsidR="00980E5F" w:rsidRDefault="00980E5F">
            <w:pPr>
              <w:rPr>
                <w:rFonts w:ascii="宋体"/>
              </w:rPr>
            </w:pPr>
          </w:p>
        </w:tc>
        <w:tc>
          <w:tcPr>
            <w:tcW w:w="0" w:type="auto"/>
            <w:shd w:val="clear" w:color="auto" w:fill="auto"/>
            <w:vAlign w:val="bottom"/>
          </w:tcPr>
          <w:p w14:paraId="392C95DA" w14:textId="77777777" w:rsidR="00980E5F" w:rsidRDefault="00980E5F">
            <w:pPr>
              <w:rPr>
                <w:rFonts w:ascii="宋体"/>
              </w:rPr>
            </w:pPr>
          </w:p>
        </w:tc>
        <w:tc>
          <w:tcPr>
            <w:tcW w:w="0" w:type="auto"/>
            <w:shd w:val="clear" w:color="auto" w:fill="auto"/>
            <w:vAlign w:val="bottom"/>
          </w:tcPr>
          <w:p w14:paraId="392C95DB" w14:textId="77777777" w:rsidR="00980E5F" w:rsidRDefault="00980E5F">
            <w:pPr>
              <w:rPr>
                <w:rFonts w:ascii="宋体"/>
              </w:rPr>
            </w:pPr>
          </w:p>
        </w:tc>
        <w:tc>
          <w:tcPr>
            <w:tcW w:w="0" w:type="auto"/>
            <w:shd w:val="clear" w:color="auto" w:fill="auto"/>
            <w:vAlign w:val="bottom"/>
          </w:tcPr>
          <w:p w14:paraId="392C95DC" w14:textId="77777777" w:rsidR="00980E5F" w:rsidRDefault="00980E5F">
            <w:pPr>
              <w:rPr>
                <w:rFonts w:ascii="宋体"/>
              </w:rPr>
            </w:pPr>
          </w:p>
        </w:tc>
        <w:tc>
          <w:tcPr>
            <w:tcW w:w="0" w:type="auto"/>
            <w:shd w:val="clear" w:color="auto" w:fill="auto"/>
            <w:vAlign w:val="bottom"/>
          </w:tcPr>
          <w:p w14:paraId="392C95DD" w14:textId="77777777" w:rsidR="00980E5F" w:rsidRDefault="00980E5F">
            <w:pPr>
              <w:rPr>
                <w:rFonts w:ascii="宋体"/>
              </w:rPr>
            </w:pPr>
          </w:p>
        </w:tc>
        <w:tc>
          <w:tcPr>
            <w:tcW w:w="0" w:type="auto"/>
            <w:shd w:val="clear" w:color="auto" w:fill="auto"/>
            <w:vAlign w:val="bottom"/>
          </w:tcPr>
          <w:p w14:paraId="392C95DE" w14:textId="77777777" w:rsidR="00980E5F" w:rsidRDefault="00980E5F">
            <w:pPr>
              <w:rPr>
                <w:rFonts w:ascii="宋体"/>
              </w:rPr>
            </w:pPr>
          </w:p>
        </w:tc>
        <w:tc>
          <w:tcPr>
            <w:tcW w:w="0" w:type="auto"/>
            <w:shd w:val="clear" w:color="auto" w:fill="auto"/>
            <w:vAlign w:val="bottom"/>
          </w:tcPr>
          <w:p w14:paraId="392C95DF" w14:textId="77777777" w:rsidR="00980E5F" w:rsidRDefault="00980E5F">
            <w:pPr>
              <w:rPr>
                <w:rFonts w:ascii="宋体"/>
              </w:rPr>
            </w:pPr>
          </w:p>
        </w:tc>
        <w:tc>
          <w:tcPr>
            <w:tcW w:w="0" w:type="auto"/>
            <w:shd w:val="clear" w:color="auto" w:fill="auto"/>
            <w:vAlign w:val="bottom"/>
          </w:tcPr>
          <w:p w14:paraId="392C95E0" w14:textId="77777777" w:rsidR="00980E5F" w:rsidRDefault="00980E5F">
            <w:pPr>
              <w:rPr>
                <w:rFonts w:ascii="宋体"/>
              </w:rPr>
            </w:pPr>
          </w:p>
        </w:tc>
        <w:tc>
          <w:tcPr>
            <w:tcW w:w="0" w:type="auto"/>
            <w:shd w:val="clear" w:color="auto" w:fill="auto"/>
            <w:vAlign w:val="bottom"/>
          </w:tcPr>
          <w:p w14:paraId="392C95E1" w14:textId="77777777" w:rsidR="00980E5F" w:rsidRDefault="00980E5F">
            <w:pPr>
              <w:rPr>
                <w:rFonts w:ascii="宋体"/>
              </w:rPr>
            </w:pPr>
          </w:p>
        </w:tc>
        <w:tc>
          <w:tcPr>
            <w:tcW w:w="0" w:type="auto"/>
            <w:shd w:val="clear" w:color="auto" w:fill="auto"/>
            <w:vAlign w:val="bottom"/>
          </w:tcPr>
          <w:p w14:paraId="392C95E2" w14:textId="77777777" w:rsidR="00980E5F" w:rsidRDefault="00980E5F">
            <w:pPr>
              <w:rPr>
                <w:rFonts w:ascii="宋体"/>
              </w:rPr>
            </w:pPr>
          </w:p>
        </w:tc>
        <w:tc>
          <w:tcPr>
            <w:tcW w:w="0" w:type="auto"/>
            <w:shd w:val="clear" w:color="auto" w:fill="auto"/>
            <w:vAlign w:val="bottom"/>
          </w:tcPr>
          <w:p w14:paraId="392C95E3" w14:textId="77777777" w:rsidR="00980E5F" w:rsidRDefault="00980E5F">
            <w:pPr>
              <w:rPr>
                <w:rFonts w:ascii="宋体"/>
              </w:rPr>
            </w:pPr>
          </w:p>
        </w:tc>
        <w:tc>
          <w:tcPr>
            <w:tcW w:w="0" w:type="auto"/>
            <w:shd w:val="clear" w:color="auto" w:fill="auto"/>
            <w:vAlign w:val="bottom"/>
          </w:tcPr>
          <w:p w14:paraId="392C95E4" w14:textId="77777777" w:rsidR="00980E5F" w:rsidRDefault="00980E5F">
            <w:pPr>
              <w:rPr>
                <w:rFonts w:ascii="宋体"/>
              </w:rPr>
            </w:pPr>
          </w:p>
        </w:tc>
        <w:tc>
          <w:tcPr>
            <w:tcW w:w="0" w:type="auto"/>
            <w:shd w:val="clear" w:color="auto" w:fill="auto"/>
            <w:vAlign w:val="bottom"/>
          </w:tcPr>
          <w:p w14:paraId="392C95E5" w14:textId="77777777" w:rsidR="00980E5F" w:rsidRDefault="00980E5F">
            <w:pPr>
              <w:rPr>
                <w:rFonts w:ascii="宋体"/>
              </w:rPr>
            </w:pPr>
          </w:p>
        </w:tc>
        <w:tc>
          <w:tcPr>
            <w:tcW w:w="0" w:type="auto"/>
            <w:shd w:val="clear" w:color="auto" w:fill="auto"/>
            <w:vAlign w:val="bottom"/>
          </w:tcPr>
          <w:p w14:paraId="392C95E6" w14:textId="77777777" w:rsidR="00980E5F" w:rsidRDefault="00980E5F">
            <w:pPr>
              <w:rPr>
                <w:rFonts w:ascii="宋体"/>
              </w:rPr>
            </w:pPr>
          </w:p>
        </w:tc>
      </w:tr>
      <w:tr w:rsidR="00980E5F" w14:paraId="392C95FC" w14:textId="77777777">
        <w:tc>
          <w:tcPr>
            <w:tcW w:w="0" w:type="auto"/>
            <w:gridSpan w:val="3"/>
            <w:shd w:val="clear" w:color="auto" w:fill="auto"/>
            <w:tcMar>
              <w:top w:w="0" w:type="dxa"/>
              <w:left w:w="20" w:type="dxa"/>
              <w:bottom w:w="0" w:type="dxa"/>
              <w:right w:w="20" w:type="dxa"/>
            </w:tcMar>
            <w:vAlign w:val="bottom"/>
          </w:tcPr>
          <w:p w14:paraId="392C95E8"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95E9"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5EA"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95EB" w14:textId="77777777" w:rsidR="00980E5F" w:rsidRDefault="00483613">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392C95EC" w14:textId="77777777" w:rsidR="00980E5F" w:rsidRDefault="00980E5F">
            <w:pPr>
              <w:rPr>
                <w:rFonts w:ascii="宋体"/>
                <w:vanish/>
              </w:rPr>
            </w:pPr>
          </w:p>
        </w:tc>
        <w:tc>
          <w:tcPr>
            <w:tcW w:w="0" w:type="auto"/>
            <w:shd w:val="clear" w:color="auto" w:fill="auto"/>
            <w:vAlign w:val="bottom"/>
          </w:tcPr>
          <w:p w14:paraId="392C95ED" w14:textId="77777777" w:rsidR="00980E5F" w:rsidRDefault="00980E5F">
            <w:pPr>
              <w:rPr>
                <w:rFonts w:ascii="宋体"/>
                <w:vanish/>
              </w:rPr>
            </w:pPr>
          </w:p>
        </w:tc>
        <w:tc>
          <w:tcPr>
            <w:tcW w:w="0" w:type="auto"/>
            <w:gridSpan w:val="3"/>
            <w:shd w:val="clear" w:color="auto" w:fill="auto"/>
            <w:vAlign w:val="bottom"/>
          </w:tcPr>
          <w:p w14:paraId="392C95EE" w14:textId="77777777" w:rsidR="00980E5F" w:rsidRDefault="00980E5F">
            <w:pPr>
              <w:rPr>
                <w:rFonts w:ascii="宋体"/>
                <w:vanish/>
              </w:rPr>
            </w:pPr>
          </w:p>
        </w:tc>
        <w:tc>
          <w:tcPr>
            <w:tcW w:w="0" w:type="auto"/>
            <w:gridSpan w:val="3"/>
            <w:shd w:val="clear" w:color="auto" w:fill="auto"/>
            <w:vAlign w:val="bottom"/>
          </w:tcPr>
          <w:p w14:paraId="392C95EF" w14:textId="77777777" w:rsidR="00980E5F" w:rsidRDefault="00980E5F">
            <w:pPr>
              <w:rPr>
                <w:rFonts w:ascii="宋体"/>
                <w:vanish/>
              </w:rPr>
            </w:pPr>
          </w:p>
        </w:tc>
        <w:tc>
          <w:tcPr>
            <w:tcW w:w="0" w:type="auto"/>
            <w:shd w:val="clear" w:color="auto" w:fill="auto"/>
            <w:vAlign w:val="bottom"/>
          </w:tcPr>
          <w:p w14:paraId="392C95F0" w14:textId="77777777" w:rsidR="00980E5F" w:rsidRDefault="00980E5F">
            <w:pPr>
              <w:rPr>
                <w:rFonts w:ascii="宋体"/>
              </w:rPr>
            </w:pPr>
          </w:p>
        </w:tc>
        <w:tc>
          <w:tcPr>
            <w:tcW w:w="0" w:type="auto"/>
            <w:shd w:val="clear" w:color="auto" w:fill="auto"/>
            <w:vAlign w:val="bottom"/>
          </w:tcPr>
          <w:p w14:paraId="392C95F1" w14:textId="77777777" w:rsidR="00980E5F" w:rsidRDefault="00980E5F">
            <w:pPr>
              <w:rPr>
                <w:rFonts w:ascii="宋体"/>
              </w:rPr>
            </w:pPr>
          </w:p>
        </w:tc>
        <w:tc>
          <w:tcPr>
            <w:tcW w:w="0" w:type="auto"/>
            <w:shd w:val="clear" w:color="auto" w:fill="auto"/>
            <w:vAlign w:val="bottom"/>
          </w:tcPr>
          <w:p w14:paraId="392C95F2" w14:textId="77777777" w:rsidR="00980E5F" w:rsidRDefault="00980E5F">
            <w:pPr>
              <w:rPr>
                <w:rFonts w:ascii="宋体"/>
              </w:rPr>
            </w:pPr>
          </w:p>
        </w:tc>
        <w:tc>
          <w:tcPr>
            <w:tcW w:w="0" w:type="auto"/>
            <w:shd w:val="clear" w:color="auto" w:fill="auto"/>
            <w:vAlign w:val="bottom"/>
          </w:tcPr>
          <w:p w14:paraId="392C95F3" w14:textId="77777777" w:rsidR="00980E5F" w:rsidRDefault="00980E5F">
            <w:pPr>
              <w:rPr>
                <w:rFonts w:ascii="宋体"/>
              </w:rPr>
            </w:pPr>
          </w:p>
        </w:tc>
        <w:tc>
          <w:tcPr>
            <w:tcW w:w="0" w:type="auto"/>
            <w:shd w:val="clear" w:color="auto" w:fill="auto"/>
            <w:vAlign w:val="bottom"/>
          </w:tcPr>
          <w:p w14:paraId="392C95F4" w14:textId="77777777" w:rsidR="00980E5F" w:rsidRDefault="00980E5F">
            <w:pPr>
              <w:rPr>
                <w:rFonts w:ascii="宋体"/>
              </w:rPr>
            </w:pPr>
          </w:p>
        </w:tc>
        <w:tc>
          <w:tcPr>
            <w:tcW w:w="0" w:type="auto"/>
            <w:shd w:val="clear" w:color="auto" w:fill="auto"/>
            <w:vAlign w:val="bottom"/>
          </w:tcPr>
          <w:p w14:paraId="392C95F5" w14:textId="77777777" w:rsidR="00980E5F" w:rsidRDefault="00980E5F">
            <w:pPr>
              <w:rPr>
                <w:rFonts w:ascii="宋体"/>
              </w:rPr>
            </w:pPr>
          </w:p>
        </w:tc>
        <w:tc>
          <w:tcPr>
            <w:tcW w:w="0" w:type="auto"/>
            <w:shd w:val="clear" w:color="auto" w:fill="auto"/>
            <w:vAlign w:val="bottom"/>
          </w:tcPr>
          <w:p w14:paraId="392C95F6" w14:textId="77777777" w:rsidR="00980E5F" w:rsidRDefault="00980E5F">
            <w:pPr>
              <w:rPr>
                <w:rFonts w:ascii="宋体"/>
              </w:rPr>
            </w:pPr>
          </w:p>
        </w:tc>
        <w:tc>
          <w:tcPr>
            <w:tcW w:w="0" w:type="auto"/>
            <w:shd w:val="clear" w:color="auto" w:fill="auto"/>
            <w:vAlign w:val="bottom"/>
          </w:tcPr>
          <w:p w14:paraId="392C95F7" w14:textId="77777777" w:rsidR="00980E5F" w:rsidRDefault="00980E5F">
            <w:pPr>
              <w:rPr>
                <w:rFonts w:ascii="宋体"/>
              </w:rPr>
            </w:pPr>
          </w:p>
        </w:tc>
        <w:tc>
          <w:tcPr>
            <w:tcW w:w="0" w:type="auto"/>
            <w:shd w:val="clear" w:color="auto" w:fill="auto"/>
            <w:vAlign w:val="bottom"/>
          </w:tcPr>
          <w:p w14:paraId="392C95F8" w14:textId="77777777" w:rsidR="00980E5F" w:rsidRDefault="00980E5F">
            <w:pPr>
              <w:rPr>
                <w:rFonts w:ascii="宋体"/>
              </w:rPr>
            </w:pPr>
          </w:p>
        </w:tc>
        <w:tc>
          <w:tcPr>
            <w:tcW w:w="0" w:type="auto"/>
            <w:shd w:val="clear" w:color="auto" w:fill="auto"/>
            <w:vAlign w:val="bottom"/>
          </w:tcPr>
          <w:p w14:paraId="392C95F9" w14:textId="77777777" w:rsidR="00980E5F" w:rsidRDefault="00980E5F">
            <w:pPr>
              <w:rPr>
                <w:rFonts w:ascii="宋体"/>
              </w:rPr>
            </w:pPr>
          </w:p>
        </w:tc>
        <w:tc>
          <w:tcPr>
            <w:tcW w:w="0" w:type="auto"/>
            <w:shd w:val="clear" w:color="auto" w:fill="auto"/>
            <w:vAlign w:val="bottom"/>
          </w:tcPr>
          <w:p w14:paraId="392C95FA" w14:textId="77777777" w:rsidR="00980E5F" w:rsidRDefault="00980E5F">
            <w:pPr>
              <w:rPr>
                <w:rFonts w:ascii="宋体"/>
              </w:rPr>
            </w:pPr>
          </w:p>
        </w:tc>
        <w:tc>
          <w:tcPr>
            <w:tcW w:w="0" w:type="auto"/>
            <w:shd w:val="clear" w:color="auto" w:fill="auto"/>
            <w:vAlign w:val="bottom"/>
          </w:tcPr>
          <w:p w14:paraId="392C95FB" w14:textId="77777777" w:rsidR="00980E5F" w:rsidRDefault="00980E5F">
            <w:pPr>
              <w:rPr>
                <w:rFonts w:ascii="宋体"/>
              </w:rPr>
            </w:pPr>
          </w:p>
        </w:tc>
      </w:tr>
      <w:tr w:rsidR="00980E5F" w14:paraId="392C960D" w14:textId="77777777">
        <w:tc>
          <w:tcPr>
            <w:tcW w:w="0" w:type="auto"/>
            <w:gridSpan w:val="3"/>
            <w:shd w:val="clear" w:color="auto" w:fill="auto"/>
            <w:tcMar>
              <w:top w:w="0" w:type="dxa"/>
              <w:left w:w="20" w:type="dxa"/>
              <w:bottom w:w="0" w:type="dxa"/>
              <w:right w:w="20" w:type="dxa"/>
            </w:tcMar>
            <w:vAlign w:val="bottom"/>
          </w:tcPr>
          <w:p w14:paraId="392C95F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5FE"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5F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600" w14:textId="77777777" w:rsidR="00980E5F" w:rsidRDefault="00483613">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392C960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602" w14:textId="77777777" w:rsidR="00980E5F" w:rsidRDefault="00483613">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60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604" w14:textId="77777777" w:rsidR="00980E5F" w:rsidRDefault="00483613">
            <w:pPr>
              <w:jc w:val="center"/>
              <w:textAlignment w:val="bottom"/>
            </w:pPr>
            <w:r>
              <w:rPr>
                <w:rFonts w:ascii="Arial" w:eastAsia="宋体" w:hAnsi="Arial" w:cs="Arial"/>
                <w:b/>
                <w:bCs/>
                <w:color w:val="000000"/>
                <w:sz w:val="14"/>
                <w:szCs w:val="14"/>
              </w:rPr>
              <w:t>Total (In millions)</w:t>
            </w:r>
          </w:p>
        </w:tc>
        <w:tc>
          <w:tcPr>
            <w:tcW w:w="0" w:type="auto"/>
            <w:shd w:val="clear" w:color="auto" w:fill="auto"/>
            <w:vAlign w:val="bottom"/>
          </w:tcPr>
          <w:p w14:paraId="392C9605" w14:textId="77777777" w:rsidR="00980E5F" w:rsidRDefault="00980E5F">
            <w:pPr>
              <w:rPr>
                <w:rFonts w:ascii="宋体"/>
                <w:vanish/>
              </w:rPr>
            </w:pPr>
          </w:p>
        </w:tc>
        <w:tc>
          <w:tcPr>
            <w:tcW w:w="0" w:type="auto"/>
            <w:shd w:val="clear" w:color="auto" w:fill="auto"/>
            <w:vAlign w:val="bottom"/>
          </w:tcPr>
          <w:p w14:paraId="392C9606" w14:textId="77777777" w:rsidR="00980E5F" w:rsidRDefault="00980E5F">
            <w:pPr>
              <w:rPr>
                <w:rFonts w:ascii="宋体"/>
                <w:vanish/>
              </w:rPr>
            </w:pPr>
          </w:p>
        </w:tc>
        <w:tc>
          <w:tcPr>
            <w:tcW w:w="0" w:type="auto"/>
            <w:gridSpan w:val="3"/>
            <w:shd w:val="clear" w:color="auto" w:fill="auto"/>
            <w:vAlign w:val="bottom"/>
          </w:tcPr>
          <w:p w14:paraId="392C9607" w14:textId="77777777" w:rsidR="00980E5F" w:rsidRDefault="00980E5F">
            <w:pPr>
              <w:rPr>
                <w:rFonts w:ascii="宋体"/>
                <w:vanish/>
              </w:rPr>
            </w:pPr>
          </w:p>
        </w:tc>
        <w:tc>
          <w:tcPr>
            <w:tcW w:w="0" w:type="auto"/>
            <w:gridSpan w:val="3"/>
            <w:shd w:val="clear" w:color="auto" w:fill="auto"/>
            <w:vAlign w:val="bottom"/>
          </w:tcPr>
          <w:p w14:paraId="392C9608" w14:textId="77777777" w:rsidR="00980E5F" w:rsidRDefault="00980E5F">
            <w:pPr>
              <w:rPr>
                <w:rFonts w:ascii="宋体"/>
                <w:vanish/>
              </w:rPr>
            </w:pPr>
          </w:p>
        </w:tc>
        <w:tc>
          <w:tcPr>
            <w:tcW w:w="0" w:type="auto"/>
            <w:gridSpan w:val="3"/>
            <w:shd w:val="clear" w:color="auto" w:fill="auto"/>
            <w:vAlign w:val="bottom"/>
          </w:tcPr>
          <w:p w14:paraId="392C9609" w14:textId="77777777" w:rsidR="00980E5F" w:rsidRDefault="00980E5F">
            <w:pPr>
              <w:rPr>
                <w:rFonts w:ascii="宋体"/>
                <w:vanish/>
              </w:rPr>
            </w:pPr>
          </w:p>
        </w:tc>
        <w:tc>
          <w:tcPr>
            <w:tcW w:w="0" w:type="auto"/>
            <w:gridSpan w:val="3"/>
            <w:shd w:val="clear" w:color="auto" w:fill="auto"/>
            <w:vAlign w:val="bottom"/>
          </w:tcPr>
          <w:p w14:paraId="392C960A" w14:textId="77777777" w:rsidR="00980E5F" w:rsidRDefault="00980E5F">
            <w:pPr>
              <w:rPr>
                <w:rFonts w:ascii="宋体"/>
                <w:vanish/>
              </w:rPr>
            </w:pPr>
          </w:p>
        </w:tc>
        <w:tc>
          <w:tcPr>
            <w:tcW w:w="0" w:type="auto"/>
            <w:gridSpan w:val="3"/>
            <w:shd w:val="clear" w:color="auto" w:fill="auto"/>
            <w:vAlign w:val="bottom"/>
          </w:tcPr>
          <w:p w14:paraId="392C960B" w14:textId="77777777" w:rsidR="00980E5F" w:rsidRDefault="00980E5F">
            <w:pPr>
              <w:rPr>
                <w:rFonts w:ascii="宋体"/>
                <w:vanish/>
              </w:rPr>
            </w:pPr>
          </w:p>
        </w:tc>
        <w:tc>
          <w:tcPr>
            <w:tcW w:w="0" w:type="auto"/>
            <w:gridSpan w:val="3"/>
            <w:shd w:val="clear" w:color="auto" w:fill="auto"/>
            <w:vAlign w:val="bottom"/>
          </w:tcPr>
          <w:p w14:paraId="392C960C" w14:textId="77777777" w:rsidR="00980E5F" w:rsidRDefault="00980E5F">
            <w:pPr>
              <w:rPr>
                <w:rFonts w:ascii="宋体"/>
                <w:vanish/>
              </w:rPr>
            </w:pPr>
          </w:p>
        </w:tc>
      </w:tr>
      <w:tr w:rsidR="00980E5F" w14:paraId="392C9626" w14:textId="77777777">
        <w:tc>
          <w:tcPr>
            <w:tcW w:w="0" w:type="auto"/>
            <w:gridSpan w:val="3"/>
            <w:shd w:val="clear" w:color="auto" w:fill="CCEEFF"/>
            <w:tcMar>
              <w:top w:w="40" w:type="dxa"/>
              <w:left w:w="20" w:type="dxa"/>
              <w:bottom w:w="40" w:type="dxa"/>
              <w:right w:w="20" w:type="dxa"/>
            </w:tcMar>
            <w:vAlign w:val="bottom"/>
          </w:tcPr>
          <w:p w14:paraId="392C960E" w14:textId="77777777" w:rsidR="00980E5F" w:rsidRDefault="00483613">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60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10" w14:textId="77777777" w:rsidR="00980E5F" w:rsidRDefault="00483613">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1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61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14" w14:textId="77777777" w:rsidR="00980E5F" w:rsidRDefault="00483613">
            <w:pPr>
              <w:jc w:val="right"/>
              <w:textAlignment w:val="bottom"/>
            </w:pPr>
            <w:r>
              <w:rPr>
                <w:rFonts w:ascii="Arial" w:eastAsia="宋体" w:hAnsi="Arial" w:cs="Arial"/>
                <w:b/>
                <w:bCs/>
                <w:color w:val="000000"/>
                <w:sz w:val="14"/>
                <w:szCs w:val="14"/>
              </w:rPr>
              <w:t>419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1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61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18" w14:textId="77777777" w:rsidR="00980E5F" w:rsidRDefault="00483613">
            <w:pPr>
              <w:jc w:val="right"/>
              <w:textAlignment w:val="bottom"/>
            </w:pPr>
            <w:r>
              <w:rPr>
                <w:rFonts w:ascii="Arial" w:eastAsia="宋体" w:hAnsi="Arial" w:cs="Arial"/>
                <w:color w:val="000000"/>
                <w:sz w:val="14"/>
                <w:szCs w:val="14"/>
              </w:rPr>
              <w:t>1.04 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1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61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1C" w14:textId="77777777" w:rsidR="00980E5F" w:rsidRDefault="00483613">
            <w:pPr>
              <w:jc w:val="right"/>
              <w:textAlignment w:val="bottom"/>
            </w:pPr>
            <w:r>
              <w:rPr>
                <w:rFonts w:ascii="Arial" w:eastAsia="宋体" w:hAnsi="Arial" w:cs="Arial"/>
                <w:color w:val="000000"/>
                <w:sz w:val="14"/>
                <w:szCs w:val="14"/>
              </w:rPr>
              <w:t>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1D" w14:textId="77777777" w:rsidR="00980E5F" w:rsidRDefault="00980E5F">
            <w:pPr>
              <w:jc w:val="right"/>
              <w:rPr>
                <w:rFonts w:ascii="宋体"/>
              </w:rPr>
            </w:pPr>
          </w:p>
        </w:tc>
        <w:tc>
          <w:tcPr>
            <w:tcW w:w="0" w:type="auto"/>
            <w:shd w:val="clear" w:color="auto" w:fill="auto"/>
            <w:vAlign w:val="bottom"/>
          </w:tcPr>
          <w:p w14:paraId="392C961E" w14:textId="77777777" w:rsidR="00980E5F" w:rsidRDefault="00980E5F">
            <w:pPr>
              <w:rPr>
                <w:rFonts w:ascii="宋体"/>
                <w:vanish/>
              </w:rPr>
            </w:pPr>
          </w:p>
        </w:tc>
        <w:tc>
          <w:tcPr>
            <w:tcW w:w="0" w:type="auto"/>
            <w:shd w:val="clear" w:color="auto" w:fill="auto"/>
            <w:vAlign w:val="bottom"/>
          </w:tcPr>
          <w:p w14:paraId="392C961F" w14:textId="77777777" w:rsidR="00980E5F" w:rsidRDefault="00980E5F">
            <w:pPr>
              <w:rPr>
                <w:rFonts w:ascii="宋体"/>
                <w:vanish/>
              </w:rPr>
            </w:pPr>
          </w:p>
        </w:tc>
        <w:tc>
          <w:tcPr>
            <w:tcW w:w="0" w:type="auto"/>
            <w:gridSpan w:val="3"/>
            <w:shd w:val="clear" w:color="auto" w:fill="auto"/>
            <w:vAlign w:val="bottom"/>
          </w:tcPr>
          <w:p w14:paraId="392C9620" w14:textId="77777777" w:rsidR="00980E5F" w:rsidRDefault="00980E5F">
            <w:pPr>
              <w:rPr>
                <w:rFonts w:ascii="宋体"/>
                <w:vanish/>
              </w:rPr>
            </w:pPr>
          </w:p>
        </w:tc>
        <w:tc>
          <w:tcPr>
            <w:tcW w:w="0" w:type="auto"/>
            <w:gridSpan w:val="3"/>
            <w:shd w:val="clear" w:color="auto" w:fill="auto"/>
            <w:vAlign w:val="bottom"/>
          </w:tcPr>
          <w:p w14:paraId="392C9621" w14:textId="77777777" w:rsidR="00980E5F" w:rsidRDefault="00980E5F">
            <w:pPr>
              <w:rPr>
                <w:rFonts w:ascii="宋体"/>
                <w:vanish/>
              </w:rPr>
            </w:pPr>
          </w:p>
        </w:tc>
        <w:tc>
          <w:tcPr>
            <w:tcW w:w="0" w:type="auto"/>
            <w:gridSpan w:val="3"/>
            <w:shd w:val="clear" w:color="auto" w:fill="auto"/>
            <w:vAlign w:val="bottom"/>
          </w:tcPr>
          <w:p w14:paraId="392C9622" w14:textId="77777777" w:rsidR="00980E5F" w:rsidRDefault="00980E5F">
            <w:pPr>
              <w:rPr>
                <w:rFonts w:ascii="宋体"/>
                <w:vanish/>
              </w:rPr>
            </w:pPr>
          </w:p>
        </w:tc>
        <w:tc>
          <w:tcPr>
            <w:tcW w:w="0" w:type="auto"/>
            <w:gridSpan w:val="3"/>
            <w:shd w:val="clear" w:color="auto" w:fill="auto"/>
            <w:vAlign w:val="bottom"/>
          </w:tcPr>
          <w:p w14:paraId="392C9623" w14:textId="77777777" w:rsidR="00980E5F" w:rsidRDefault="00980E5F">
            <w:pPr>
              <w:rPr>
                <w:rFonts w:ascii="宋体"/>
                <w:vanish/>
              </w:rPr>
            </w:pPr>
          </w:p>
        </w:tc>
        <w:tc>
          <w:tcPr>
            <w:tcW w:w="0" w:type="auto"/>
            <w:gridSpan w:val="3"/>
            <w:shd w:val="clear" w:color="auto" w:fill="auto"/>
            <w:vAlign w:val="bottom"/>
          </w:tcPr>
          <w:p w14:paraId="392C9624" w14:textId="77777777" w:rsidR="00980E5F" w:rsidRDefault="00980E5F">
            <w:pPr>
              <w:rPr>
                <w:rFonts w:ascii="宋体"/>
                <w:vanish/>
              </w:rPr>
            </w:pPr>
          </w:p>
        </w:tc>
        <w:tc>
          <w:tcPr>
            <w:tcW w:w="0" w:type="auto"/>
            <w:gridSpan w:val="3"/>
            <w:shd w:val="clear" w:color="auto" w:fill="auto"/>
            <w:vAlign w:val="bottom"/>
          </w:tcPr>
          <w:p w14:paraId="392C9625" w14:textId="77777777" w:rsidR="00980E5F" w:rsidRDefault="00980E5F">
            <w:pPr>
              <w:rPr>
                <w:rFonts w:ascii="宋体"/>
                <w:vanish/>
              </w:rPr>
            </w:pPr>
          </w:p>
        </w:tc>
      </w:tr>
      <w:tr w:rsidR="00980E5F" w14:paraId="392C9637" w14:textId="77777777">
        <w:trPr>
          <w:trHeight w:val="100"/>
        </w:trPr>
        <w:tc>
          <w:tcPr>
            <w:tcW w:w="0" w:type="auto"/>
            <w:gridSpan w:val="3"/>
            <w:shd w:val="clear" w:color="auto" w:fill="auto"/>
            <w:tcMar>
              <w:top w:w="0" w:type="dxa"/>
              <w:left w:w="20" w:type="dxa"/>
              <w:bottom w:w="0" w:type="dxa"/>
              <w:right w:w="20" w:type="dxa"/>
            </w:tcMar>
            <w:vAlign w:val="bottom"/>
          </w:tcPr>
          <w:p w14:paraId="392C962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62E" w14:textId="77777777" w:rsidR="00980E5F" w:rsidRDefault="00980E5F">
            <w:pPr>
              <w:rPr>
                <w:rFonts w:ascii="宋体"/>
              </w:rPr>
            </w:pPr>
          </w:p>
        </w:tc>
        <w:tc>
          <w:tcPr>
            <w:tcW w:w="0" w:type="auto"/>
            <w:shd w:val="clear" w:color="auto" w:fill="auto"/>
            <w:vAlign w:val="bottom"/>
          </w:tcPr>
          <w:p w14:paraId="392C962F" w14:textId="77777777" w:rsidR="00980E5F" w:rsidRDefault="00980E5F">
            <w:pPr>
              <w:rPr>
                <w:rFonts w:ascii="宋体"/>
                <w:vanish/>
              </w:rPr>
            </w:pPr>
          </w:p>
        </w:tc>
        <w:tc>
          <w:tcPr>
            <w:tcW w:w="0" w:type="auto"/>
            <w:shd w:val="clear" w:color="auto" w:fill="auto"/>
            <w:vAlign w:val="bottom"/>
          </w:tcPr>
          <w:p w14:paraId="392C9630" w14:textId="77777777" w:rsidR="00980E5F" w:rsidRDefault="00980E5F">
            <w:pPr>
              <w:rPr>
                <w:rFonts w:ascii="宋体"/>
                <w:vanish/>
              </w:rPr>
            </w:pPr>
          </w:p>
        </w:tc>
        <w:tc>
          <w:tcPr>
            <w:tcW w:w="0" w:type="auto"/>
            <w:gridSpan w:val="3"/>
            <w:shd w:val="clear" w:color="auto" w:fill="auto"/>
            <w:vAlign w:val="bottom"/>
          </w:tcPr>
          <w:p w14:paraId="392C9631" w14:textId="77777777" w:rsidR="00980E5F" w:rsidRDefault="00980E5F">
            <w:pPr>
              <w:rPr>
                <w:rFonts w:ascii="宋体"/>
                <w:vanish/>
              </w:rPr>
            </w:pPr>
          </w:p>
        </w:tc>
        <w:tc>
          <w:tcPr>
            <w:tcW w:w="0" w:type="auto"/>
            <w:gridSpan w:val="3"/>
            <w:shd w:val="clear" w:color="auto" w:fill="auto"/>
            <w:vAlign w:val="bottom"/>
          </w:tcPr>
          <w:p w14:paraId="392C9632" w14:textId="77777777" w:rsidR="00980E5F" w:rsidRDefault="00980E5F">
            <w:pPr>
              <w:rPr>
                <w:rFonts w:ascii="宋体"/>
                <w:vanish/>
              </w:rPr>
            </w:pPr>
          </w:p>
        </w:tc>
        <w:tc>
          <w:tcPr>
            <w:tcW w:w="0" w:type="auto"/>
            <w:gridSpan w:val="3"/>
            <w:shd w:val="clear" w:color="auto" w:fill="auto"/>
            <w:vAlign w:val="bottom"/>
          </w:tcPr>
          <w:p w14:paraId="392C9633" w14:textId="77777777" w:rsidR="00980E5F" w:rsidRDefault="00980E5F">
            <w:pPr>
              <w:rPr>
                <w:rFonts w:ascii="宋体"/>
                <w:vanish/>
              </w:rPr>
            </w:pPr>
          </w:p>
        </w:tc>
        <w:tc>
          <w:tcPr>
            <w:tcW w:w="0" w:type="auto"/>
            <w:gridSpan w:val="3"/>
            <w:shd w:val="clear" w:color="auto" w:fill="auto"/>
            <w:vAlign w:val="bottom"/>
          </w:tcPr>
          <w:p w14:paraId="392C9634" w14:textId="77777777" w:rsidR="00980E5F" w:rsidRDefault="00980E5F">
            <w:pPr>
              <w:rPr>
                <w:rFonts w:ascii="宋体"/>
                <w:vanish/>
              </w:rPr>
            </w:pPr>
          </w:p>
        </w:tc>
        <w:tc>
          <w:tcPr>
            <w:tcW w:w="0" w:type="auto"/>
            <w:gridSpan w:val="3"/>
            <w:shd w:val="clear" w:color="auto" w:fill="auto"/>
            <w:vAlign w:val="bottom"/>
          </w:tcPr>
          <w:p w14:paraId="392C9635" w14:textId="77777777" w:rsidR="00980E5F" w:rsidRDefault="00980E5F">
            <w:pPr>
              <w:rPr>
                <w:rFonts w:ascii="宋体"/>
                <w:vanish/>
              </w:rPr>
            </w:pPr>
          </w:p>
        </w:tc>
        <w:tc>
          <w:tcPr>
            <w:tcW w:w="0" w:type="auto"/>
            <w:gridSpan w:val="3"/>
            <w:shd w:val="clear" w:color="auto" w:fill="auto"/>
            <w:vAlign w:val="bottom"/>
          </w:tcPr>
          <w:p w14:paraId="392C9636" w14:textId="77777777" w:rsidR="00980E5F" w:rsidRDefault="00980E5F">
            <w:pPr>
              <w:rPr>
                <w:rFonts w:ascii="宋体"/>
                <w:vanish/>
              </w:rPr>
            </w:pPr>
          </w:p>
        </w:tc>
      </w:tr>
    </w:tbl>
    <w:p w14:paraId="392C9638" w14:textId="77777777" w:rsidR="00980E5F" w:rsidRDefault="00483613">
      <w:pPr>
        <w:spacing w:before="60"/>
      </w:pPr>
      <w:r>
        <w:rPr>
          <w:rFonts w:ascii="Arial" w:eastAsia="宋体" w:hAnsi="Arial" w:cs="Arial"/>
          <w:b/>
          <w:bCs/>
          <w:i/>
          <w:iCs/>
          <w:color w:val="000000"/>
          <w:sz w:val="20"/>
          <w:szCs w:val="20"/>
        </w:rPr>
        <w:t>Accumulated Other Comprehensive Income (Loss)</w:t>
      </w:r>
    </w:p>
    <w:p w14:paraId="392C9639" w14:textId="77777777" w:rsidR="00980E5F" w:rsidRDefault="00483613">
      <w:pPr>
        <w:spacing w:before="60"/>
        <w:ind w:firstLine="45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9"/>
        <w:gridCol w:w="5484"/>
        <w:gridCol w:w="39"/>
        <w:gridCol w:w="93"/>
        <w:gridCol w:w="1134"/>
        <w:gridCol w:w="36"/>
        <w:gridCol w:w="36"/>
        <w:gridCol w:w="36"/>
        <w:gridCol w:w="36"/>
        <w:gridCol w:w="93"/>
        <w:gridCol w:w="1108"/>
        <w:gridCol w:w="36"/>
        <w:gridCol w:w="36"/>
        <w:gridCol w:w="36"/>
        <w:gridCol w:w="36"/>
        <w:gridCol w:w="36"/>
      </w:tblGrid>
      <w:tr w:rsidR="00980E5F" w14:paraId="392C964A" w14:textId="77777777">
        <w:tc>
          <w:tcPr>
            <w:tcW w:w="50" w:type="pct"/>
            <w:shd w:val="clear" w:color="auto" w:fill="auto"/>
            <w:vAlign w:val="bottom"/>
          </w:tcPr>
          <w:p w14:paraId="392C963A" w14:textId="77777777" w:rsidR="00980E5F" w:rsidRDefault="00980E5F">
            <w:pPr>
              <w:rPr>
                <w:rFonts w:ascii="宋体"/>
              </w:rPr>
            </w:pPr>
          </w:p>
        </w:tc>
        <w:tc>
          <w:tcPr>
            <w:tcW w:w="3371" w:type="pct"/>
            <w:shd w:val="clear" w:color="auto" w:fill="auto"/>
            <w:vAlign w:val="bottom"/>
          </w:tcPr>
          <w:p w14:paraId="392C963B" w14:textId="77777777" w:rsidR="00980E5F" w:rsidRDefault="00980E5F">
            <w:pPr>
              <w:rPr>
                <w:rFonts w:ascii="宋体"/>
              </w:rPr>
            </w:pPr>
          </w:p>
        </w:tc>
        <w:tc>
          <w:tcPr>
            <w:tcW w:w="5" w:type="pct"/>
            <w:shd w:val="clear" w:color="auto" w:fill="auto"/>
            <w:vAlign w:val="bottom"/>
          </w:tcPr>
          <w:p w14:paraId="392C963C" w14:textId="77777777" w:rsidR="00980E5F" w:rsidRDefault="00980E5F">
            <w:pPr>
              <w:rPr>
                <w:rFonts w:ascii="宋体"/>
              </w:rPr>
            </w:pPr>
          </w:p>
        </w:tc>
        <w:tc>
          <w:tcPr>
            <w:tcW w:w="50" w:type="pct"/>
            <w:shd w:val="clear" w:color="auto" w:fill="auto"/>
            <w:vAlign w:val="bottom"/>
          </w:tcPr>
          <w:p w14:paraId="392C963D" w14:textId="77777777" w:rsidR="00980E5F" w:rsidRDefault="00980E5F">
            <w:pPr>
              <w:rPr>
                <w:rFonts w:ascii="宋体"/>
              </w:rPr>
            </w:pPr>
          </w:p>
        </w:tc>
        <w:tc>
          <w:tcPr>
            <w:tcW w:w="713" w:type="pct"/>
            <w:shd w:val="clear" w:color="auto" w:fill="auto"/>
            <w:vAlign w:val="bottom"/>
          </w:tcPr>
          <w:p w14:paraId="392C963E" w14:textId="77777777" w:rsidR="00980E5F" w:rsidRDefault="00980E5F">
            <w:pPr>
              <w:rPr>
                <w:rFonts w:ascii="宋体"/>
              </w:rPr>
            </w:pPr>
          </w:p>
        </w:tc>
        <w:tc>
          <w:tcPr>
            <w:tcW w:w="5" w:type="pct"/>
            <w:shd w:val="clear" w:color="auto" w:fill="auto"/>
            <w:vAlign w:val="bottom"/>
          </w:tcPr>
          <w:p w14:paraId="392C963F" w14:textId="77777777" w:rsidR="00980E5F" w:rsidRDefault="00980E5F">
            <w:pPr>
              <w:rPr>
                <w:rFonts w:ascii="宋体"/>
              </w:rPr>
            </w:pPr>
          </w:p>
        </w:tc>
        <w:tc>
          <w:tcPr>
            <w:tcW w:w="5" w:type="pct"/>
            <w:shd w:val="clear" w:color="auto" w:fill="auto"/>
            <w:vAlign w:val="bottom"/>
          </w:tcPr>
          <w:p w14:paraId="392C9640" w14:textId="77777777" w:rsidR="00980E5F" w:rsidRDefault="00980E5F">
            <w:pPr>
              <w:rPr>
                <w:rFonts w:ascii="宋体"/>
              </w:rPr>
            </w:pPr>
          </w:p>
        </w:tc>
        <w:tc>
          <w:tcPr>
            <w:tcW w:w="26" w:type="pct"/>
            <w:shd w:val="clear" w:color="auto" w:fill="auto"/>
            <w:vAlign w:val="bottom"/>
          </w:tcPr>
          <w:p w14:paraId="392C9641" w14:textId="77777777" w:rsidR="00980E5F" w:rsidRDefault="00980E5F">
            <w:pPr>
              <w:rPr>
                <w:rFonts w:ascii="宋体"/>
              </w:rPr>
            </w:pPr>
          </w:p>
        </w:tc>
        <w:tc>
          <w:tcPr>
            <w:tcW w:w="5" w:type="pct"/>
            <w:shd w:val="clear" w:color="auto" w:fill="auto"/>
            <w:vAlign w:val="bottom"/>
          </w:tcPr>
          <w:p w14:paraId="392C9642" w14:textId="77777777" w:rsidR="00980E5F" w:rsidRDefault="00980E5F">
            <w:pPr>
              <w:rPr>
                <w:rFonts w:ascii="宋体"/>
              </w:rPr>
            </w:pPr>
          </w:p>
        </w:tc>
        <w:tc>
          <w:tcPr>
            <w:tcW w:w="50" w:type="pct"/>
            <w:shd w:val="clear" w:color="auto" w:fill="auto"/>
            <w:vAlign w:val="bottom"/>
          </w:tcPr>
          <w:p w14:paraId="392C9643" w14:textId="77777777" w:rsidR="00980E5F" w:rsidRDefault="00980E5F">
            <w:pPr>
              <w:rPr>
                <w:rFonts w:ascii="宋体"/>
              </w:rPr>
            </w:pPr>
          </w:p>
        </w:tc>
        <w:tc>
          <w:tcPr>
            <w:tcW w:w="713" w:type="pct"/>
            <w:shd w:val="clear" w:color="auto" w:fill="auto"/>
            <w:vAlign w:val="bottom"/>
          </w:tcPr>
          <w:p w14:paraId="392C9644" w14:textId="77777777" w:rsidR="00980E5F" w:rsidRDefault="00980E5F">
            <w:pPr>
              <w:rPr>
                <w:rFonts w:ascii="宋体"/>
              </w:rPr>
            </w:pPr>
          </w:p>
        </w:tc>
        <w:tc>
          <w:tcPr>
            <w:tcW w:w="5" w:type="pct"/>
            <w:shd w:val="clear" w:color="auto" w:fill="auto"/>
            <w:vAlign w:val="bottom"/>
          </w:tcPr>
          <w:p w14:paraId="392C9645" w14:textId="77777777" w:rsidR="00980E5F" w:rsidRDefault="00980E5F">
            <w:pPr>
              <w:rPr>
                <w:rFonts w:ascii="宋体"/>
              </w:rPr>
            </w:pPr>
          </w:p>
        </w:tc>
        <w:tc>
          <w:tcPr>
            <w:tcW w:w="0" w:type="auto"/>
            <w:shd w:val="clear" w:color="auto" w:fill="auto"/>
            <w:vAlign w:val="bottom"/>
          </w:tcPr>
          <w:p w14:paraId="392C9646" w14:textId="77777777" w:rsidR="00980E5F" w:rsidRDefault="00980E5F">
            <w:pPr>
              <w:rPr>
                <w:rFonts w:ascii="宋体"/>
                <w:vanish/>
              </w:rPr>
            </w:pPr>
          </w:p>
        </w:tc>
        <w:tc>
          <w:tcPr>
            <w:tcW w:w="0" w:type="auto"/>
            <w:shd w:val="clear" w:color="auto" w:fill="auto"/>
            <w:vAlign w:val="bottom"/>
          </w:tcPr>
          <w:p w14:paraId="392C9647" w14:textId="77777777" w:rsidR="00980E5F" w:rsidRDefault="00980E5F">
            <w:pPr>
              <w:rPr>
                <w:rFonts w:ascii="宋体"/>
                <w:vanish/>
              </w:rPr>
            </w:pPr>
          </w:p>
        </w:tc>
        <w:tc>
          <w:tcPr>
            <w:tcW w:w="0" w:type="auto"/>
            <w:shd w:val="clear" w:color="auto" w:fill="auto"/>
            <w:vAlign w:val="bottom"/>
          </w:tcPr>
          <w:p w14:paraId="392C9648" w14:textId="77777777" w:rsidR="00980E5F" w:rsidRDefault="00980E5F">
            <w:pPr>
              <w:rPr>
                <w:rFonts w:ascii="宋体"/>
                <w:vanish/>
              </w:rPr>
            </w:pPr>
          </w:p>
        </w:tc>
        <w:tc>
          <w:tcPr>
            <w:tcW w:w="0" w:type="auto"/>
            <w:shd w:val="clear" w:color="auto" w:fill="auto"/>
            <w:vAlign w:val="bottom"/>
          </w:tcPr>
          <w:p w14:paraId="392C9649" w14:textId="77777777" w:rsidR="00980E5F" w:rsidRDefault="00980E5F">
            <w:pPr>
              <w:rPr>
                <w:rFonts w:ascii="宋体"/>
                <w:vanish/>
              </w:rPr>
            </w:pPr>
          </w:p>
        </w:tc>
      </w:tr>
      <w:tr w:rsidR="00980E5F" w14:paraId="392C9651" w14:textId="77777777">
        <w:tc>
          <w:tcPr>
            <w:tcW w:w="0" w:type="auto"/>
            <w:gridSpan w:val="3"/>
            <w:shd w:val="clear" w:color="auto" w:fill="auto"/>
            <w:tcMar>
              <w:top w:w="0" w:type="dxa"/>
              <w:left w:w="20" w:type="dxa"/>
              <w:bottom w:w="0" w:type="dxa"/>
              <w:right w:w="20" w:type="dxa"/>
            </w:tcMar>
            <w:vAlign w:val="bottom"/>
          </w:tcPr>
          <w:p w14:paraId="392C964B"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64C" w14:textId="77777777" w:rsidR="00980E5F" w:rsidRDefault="00483613">
            <w:pPr>
              <w:jc w:val="center"/>
              <w:textAlignment w:val="bottom"/>
            </w:pPr>
            <w:r>
              <w:rPr>
                <w:rFonts w:ascii="Arial" w:eastAsia="宋体" w:hAnsi="Arial" w:cs="Arial"/>
                <w:b/>
                <w:bCs/>
                <w:color w:val="000000"/>
                <w:sz w:val="13"/>
                <w:szCs w:val="13"/>
              </w:rPr>
              <w:t>Six Months Ended June 30,</w:t>
            </w:r>
          </w:p>
        </w:tc>
        <w:tc>
          <w:tcPr>
            <w:tcW w:w="0" w:type="auto"/>
            <w:shd w:val="clear" w:color="auto" w:fill="auto"/>
            <w:vAlign w:val="bottom"/>
          </w:tcPr>
          <w:p w14:paraId="392C964D" w14:textId="77777777" w:rsidR="00980E5F" w:rsidRDefault="00980E5F">
            <w:pPr>
              <w:rPr>
                <w:rFonts w:ascii="宋体"/>
                <w:vanish/>
              </w:rPr>
            </w:pPr>
          </w:p>
        </w:tc>
        <w:tc>
          <w:tcPr>
            <w:tcW w:w="0" w:type="auto"/>
            <w:shd w:val="clear" w:color="auto" w:fill="auto"/>
            <w:vAlign w:val="bottom"/>
          </w:tcPr>
          <w:p w14:paraId="392C964E" w14:textId="77777777" w:rsidR="00980E5F" w:rsidRDefault="00980E5F">
            <w:pPr>
              <w:rPr>
                <w:rFonts w:ascii="宋体"/>
                <w:vanish/>
              </w:rPr>
            </w:pPr>
          </w:p>
        </w:tc>
        <w:tc>
          <w:tcPr>
            <w:tcW w:w="0" w:type="auto"/>
            <w:shd w:val="clear" w:color="auto" w:fill="auto"/>
            <w:vAlign w:val="bottom"/>
          </w:tcPr>
          <w:p w14:paraId="392C964F" w14:textId="77777777" w:rsidR="00980E5F" w:rsidRDefault="00980E5F">
            <w:pPr>
              <w:rPr>
                <w:rFonts w:ascii="宋体"/>
                <w:vanish/>
              </w:rPr>
            </w:pPr>
          </w:p>
        </w:tc>
        <w:tc>
          <w:tcPr>
            <w:tcW w:w="0" w:type="auto"/>
            <w:shd w:val="clear" w:color="auto" w:fill="auto"/>
            <w:vAlign w:val="bottom"/>
          </w:tcPr>
          <w:p w14:paraId="392C9650" w14:textId="77777777" w:rsidR="00980E5F" w:rsidRDefault="00980E5F">
            <w:pPr>
              <w:rPr>
                <w:rFonts w:ascii="宋体"/>
                <w:vanish/>
              </w:rPr>
            </w:pPr>
          </w:p>
        </w:tc>
      </w:tr>
      <w:tr w:rsidR="00980E5F" w14:paraId="392C965A" w14:textId="77777777">
        <w:tc>
          <w:tcPr>
            <w:tcW w:w="0" w:type="auto"/>
            <w:gridSpan w:val="3"/>
            <w:shd w:val="clear" w:color="auto" w:fill="auto"/>
            <w:tcMar>
              <w:top w:w="40" w:type="dxa"/>
              <w:left w:w="20" w:type="dxa"/>
              <w:bottom w:w="40" w:type="dxa"/>
              <w:right w:w="20" w:type="dxa"/>
            </w:tcMar>
            <w:vAlign w:val="bottom"/>
          </w:tcPr>
          <w:p w14:paraId="392C9652"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653"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65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655" w14:textId="77777777" w:rsidR="00980E5F" w:rsidRDefault="00483613">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392C9656" w14:textId="77777777" w:rsidR="00980E5F" w:rsidRDefault="00980E5F">
            <w:pPr>
              <w:rPr>
                <w:rFonts w:ascii="宋体"/>
                <w:vanish/>
              </w:rPr>
            </w:pPr>
          </w:p>
        </w:tc>
        <w:tc>
          <w:tcPr>
            <w:tcW w:w="0" w:type="auto"/>
            <w:shd w:val="clear" w:color="auto" w:fill="auto"/>
            <w:vAlign w:val="bottom"/>
          </w:tcPr>
          <w:p w14:paraId="392C9657" w14:textId="77777777" w:rsidR="00980E5F" w:rsidRDefault="00980E5F">
            <w:pPr>
              <w:rPr>
                <w:rFonts w:ascii="宋体"/>
                <w:vanish/>
              </w:rPr>
            </w:pPr>
          </w:p>
        </w:tc>
        <w:tc>
          <w:tcPr>
            <w:tcW w:w="0" w:type="auto"/>
            <w:shd w:val="clear" w:color="auto" w:fill="auto"/>
            <w:vAlign w:val="bottom"/>
          </w:tcPr>
          <w:p w14:paraId="392C9658" w14:textId="77777777" w:rsidR="00980E5F" w:rsidRDefault="00980E5F">
            <w:pPr>
              <w:rPr>
                <w:rFonts w:ascii="宋体"/>
                <w:vanish/>
              </w:rPr>
            </w:pPr>
          </w:p>
        </w:tc>
        <w:tc>
          <w:tcPr>
            <w:tcW w:w="0" w:type="auto"/>
            <w:shd w:val="clear" w:color="auto" w:fill="auto"/>
            <w:vAlign w:val="bottom"/>
          </w:tcPr>
          <w:p w14:paraId="392C9659" w14:textId="77777777" w:rsidR="00980E5F" w:rsidRDefault="00980E5F">
            <w:pPr>
              <w:rPr>
                <w:rFonts w:ascii="宋体"/>
                <w:vanish/>
              </w:rPr>
            </w:pPr>
          </w:p>
        </w:tc>
      </w:tr>
      <w:tr w:rsidR="00980E5F" w14:paraId="392C9667" w14:textId="77777777">
        <w:tc>
          <w:tcPr>
            <w:tcW w:w="0" w:type="auto"/>
            <w:gridSpan w:val="3"/>
            <w:shd w:val="clear" w:color="auto" w:fill="CCEEFF"/>
            <w:tcMar>
              <w:top w:w="40" w:type="dxa"/>
              <w:left w:w="20" w:type="dxa"/>
              <w:bottom w:w="40" w:type="dxa"/>
              <w:right w:w="20" w:type="dxa"/>
            </w:tcMar>
            <w:vAlign w:val="bottom"/>
          </w:tcPr>
          <w:p w14:paraId="392C965B" w14:textId="77777777" w:rsidR="00980E5F" w:rsidRDefault="00483613">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65C"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5D" w14:textId="77777777" w:rsidR="00980E5F" w:rsidRDefault="00483613">
            <w:pPr>
              <w:jc w:val="right"/>
              <w:textAlignment w:val="bottom"/>
            </w:pPr>
            <w:r>
              <w:rPr>
                <w:rFonts w:ascii="Arial" w:eastAsia="宋体" w:hAnsi="Arial" w:cs="Arial"/>
                <w:b/>
                <w:bCs/>
                <w:color w:val="000000"/>
                <w:sz w:val="13"/>
                <w:szCs w:val="13"/>
              </w:rPr>
              <w:t>(235)</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5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5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660"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661" w14:textId="77777777" w:rsidR="00980E5F" w:rsidRDefault="00483613">
            <w:pPr>
              <w:jc w:val="right"/>
              <w:textAlignment w:val="bottom"/>
            </w:pPr>
            <w:r>
              <w:rPr>
                <w:rFonts w:ascii="Arial" w:eastAsia="宋体" w:hAnsi="Arial" w:cs="Arial"/>
                <w:color w:val="000000"/>
                <w:sz w:val="13"/>
                <w:szCs w:val="13"/>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662" w14:textId="77777777" w:rsidR="00980E5F" w:rsidRDefault="00980E5F">
            <w:pPr>
              <w:jc w:val="right"/>
              <w:rPr>
                <w:rFonts w:ascii="宋体"/>
              </w:rPr>
            </w:pPr>
          </w:p>
        </w:tc>
        <w:tc>
          <w:tcPr>
            <w:tcW w:w="0" w:type="auto"/>
            <w:shd w:val="clear" w:color="auto" w:fill="auto"/>
            <w:vAlign w:val="bottom"/>
          </w:tcPr>
          <w:p w14:paraId="392C9663" w14:textId="77777777" w:rsidR="00980E5F" w:rsidRDefault="00980E5F">
            <w:pPr>
              <w:rPr>
                <w:rFonts w:ascii="宋体"/>
                <w:vanish/>
              </w:rPr>
            </w:pPr>
          </w:p>
        </w:tc>
        <w:tc>
          <w:tcPr>
            <w:tcW w:w="0" w:type="auto"/>
            <w:shd w:val="clear" w:color="auto" w:fill="auto"/>
            <w:vAlign w:val="bottom"/>
          </w:tcPr>
          <w:p w14:paraId="392C9664" w14:textId="77777777" w:rsidR="00980E5F" w:rsidRDefault="00980E5F">
            <w:pPr>
              <w:rPr>
                <w:rFonts w:ascii="宋体"/>
                <w:vanish/>
              </w:rPr>
            </w:pPr>
          </w:p>
        </w:tc>
        <w:tc>
          <w:tcPr>
            <w:tcW w:w="0" w:type="auto"/>
            <w:shd w:val="clear" w:color="auto" w:fill="auto"/>
            <w:vAlign w:val="bottom"/>
          </w:tcPr>
          <w:p w14:paraId="392C9665" w14:textId="77777777" w:rsidR="00980E5F" w:rsidRDefault="00980E5F">
            <w:pPr>
              <w:rPr>
                <w:rFonts w:ascii="宋体"/>
                <w:vanish/>
              </w:rPr>
            </w:pPr>
          </w:p>
        </w:tc>
        <w:tc>
          <w:tcPr>
            <w:tcW w:w="0" w:type="auto"/>
            <w:shd w:val="clear" w:color="auto" w:fill="auto"/>
            <w:vAlign w:val="bottom"/>
          </w:tcPr>
          <w:p w14:paraId="392C9666" w14:textId="77777777" w:rsidR="00980E5F" w:rsidRDefault="00980E5F">
            <w:pPr>
              <w:rPr>
                <w:rFonts w:ascii="宋体"/>
                <w:vanish/>
              </w:rPr>
            </w:pPr>
          </w:p>
        </w:tc>
      </w:tr>
      <w:tr w:rsidR="00980E5F" w14:paraId="392C9672" w14:textId="77777777">
        <w:tc>
          <w:tcPr>
            <w:tcW w:w="0" w:type="auto"/>
            <w:gridSpan w:val="3"/>
            <w:shd w:val="clear" w:color="auto" w:fill="FFFFFF"/>
            <w:tcMar>
              <w:top w:w="40" w:type="dxa"/>
              <w:left w:w="155" w:type="dxa"/>
              <w:bottom w:w="40" w:type="dxa"/>
              <w:right w:w="20" w:type="dxa"/>
            </w:tcMar>
            <w:vAlign w:val="bottom"/>
          </w:tcPr>
          <w:p w14:paraId="392C9668" w14:textId="77777777" w:rsidR="00980E5F" w:rsidRDefault="00483613">
            <w:pPr>
              <w:textAlignment w:val="bottom"/>
            </w:pPr>
            <w:r>
              <w:rPr>
                <w:rFonts w:ascii="Arial" w:eastAsia="宋体" w:hAnsi="Arial" w:cs="Arial"/>
                <w:color w:val="000000"/>
                <w:sz w:val="13"/>
                <w:szCs w:val="13"/>
              </w:rPr>
              <w:t xml:space="preserve">Net unrealized gains </w:t>
            </w:r>
            <w:r>
              <w:rPr>
                <w:rFonts w:ascii="Arial" w:eastAsia="宋体" w:hAnsi="Arial" w:cs="Arial"/>
                <w:color w:val="000000"/>
                <w:sz w:val="13"/>
                <w:szCs w:val="13"/>
              </w:rPr>
              <w:t>(losses) on available-for-sale securities portfolio</w:t>
            </w:r>
          </w:p>
        </w:tc>
        <w:tc>
          <w:tcPr>
            <w:tcW w:w="0" w:type="auto"/>
            <w:gridSpan w:val="2"/>
            <w:shd w:val="clear" w:color="auto" w:fill="FFFFFF"/>
            <w:tcMar>
              <w:top w:w="40" w:type="dxa"/>
              <w:left w:w="20" w:type="dxa"/>
              <w:bottom w:w="40" w:type="dxa"/>
              <w:right w:w="0" w:type="dxa"/>
            </w:tcMar>
            <w:vAlign w:val="bottom"/>
          </w:tcPr>
          <w:p w14:paraId="392C9669" w14:textId="77777777" w:rsidR="00980E5F" w:rsidRDefault="00483613">
            <w:pPr>
              <w:jc w:val="right"/>
              <w:textAlignment w:val="bottom"/>
            </w:pPr>
            <w:r>
              <w:rPr>
                <w:rFonts w:ascii="Arial" w:eastAsia="宋体" w:hAnsi="Arial" w:cs="Arial"/>
                <w:b/>
                <w:bCs/>
                <w:color w:val="000000"/>
                <w:sz w:val="13"/>
                <w:szCs w:val="13"/>
              </w:rPr>
              <w:t>(2,954)</w:t>
            </w:r>
          </w:p>
        </w:tc>
        <w:tc>
          <w:tcPr>
            <w:tcW w:w="0" w:type="auto"/>
            <w:shd w:val="clear" w:color="auto" w:fill="FFFFFF"/>
            <w:tcMar>
              <w:top w:w="40" w:type="dxa"/>
              <w:left w:w="0" w:type="dxa"/>
              <w:bottom w:w="40" w:type="dxa"/>
              <w:right w:w="20" w:type="dxa"/>
            </w:tcMar>
            <w:vAlign w:val="bottom"/>
          </w:tcPr>
          <w:p w14:paraId="392C96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66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66C" w14:textId="77777777" w:rsidR="00980E5F" w:rsidRDefault="00483613">
            <w:pPr>
              <w:jc w:val="right"/>
              <w:textAlignment w:val="bottom"/>
            </w:pPr>
            <w:r>
              <w:rPr>
                <w:rFonts w:ascii="Arial" w:eastAsia="宋体" w:hAnsi="Arial" w:cs="Arial"/>
                <w:color w:val="000000"/>
                <w:sz w:val="13"/>
                <w:szCs w:val="13"/>
              </w:rPr>
              <w:t>467 </w:t>
            </w:r>
          </w:p>
        </w:tc>
        <w:tc>
          <w:tcPr>
            <w:tcW w:w="0" w:type="auto"/>
            <w:shd w:val="clear" w:color="auto" w:fill="FFFFFF"/>
            <w:tcMar>
              <w:top w:w="40" w:type="dxa"/>
              <w:left w:w="0" w:type="dxa"/>
              <w:bottom w:w="40" w:type="dxa"/>
              <w:right w:w="20" w:type="dxa"/>
            </w:tcMar>
            <w:vAlign w:val="bottom"/>
          </w:tcPr>
          <w:p w14:paraId="392C966D" w14:textId="77777777" w:rsidR="00980E5F" w:rsidRDefault="00980E5F">
            <w:pPr>
              <w:jc w:val="right"/>
              <w:rPr>
                <w:rFonts w:ascii="宋体"/>
              </w:rPr>
            </w:pPr>
          </w:p>
        </w:tc>
        <w:tc>
          <w:tcPr>
            <w:tcW w:w="0" w:type="auto"/>
            <w:shd w:val="clear" w:color="auto" w:fill="auto"/>
            <w:vAlign w:val="bottom"/>
          </w:tcPr>
          <w:p w14:paraId="392C966E" w14:textId="77777777" w:rsidR="00980E5F" w:rsidRDefault="00980E5F">
            <w:pPr>
              <w:rPr>
                <w:rFonts w:ascii="宋体"/>
                <w:vanish/>
              </w:rPr>
            </w:pPr>
          </w:p>
        </w:tc>
        <w:tc>
          <w:tcPr>
            <w:tcW w:w="0" w:type="auto"/>
            <w:shd w:val="clear" w:color="auto" w:fill="auto"/>
            <w:vAlign w:val="bottom"/>
          </w:tcPr>
          <w:p w14:paraId="392C966F" w14:textId="77777777" w:rsidR="00980E5F" w:rsidRDefault="00980E5F">
            <w:pPr>
              <w:rPr>
                <w:rFonts w:ascii="宋体"/>
                <w:vanish/>
              </w:rPr>
            </w:pPr>
          </w:p>
        </w:tc>
        <w:tc>
          <w:tcPr>
            <w:tcW w:w="0" w:type="auto"/>
            <w:shd w:val="clear" w:color="auto" w:fill="auto"/>
            <w:vAlign w:val="bottom"/>
          </w:tcPr>
          <w:p w14:paraId="392C9670" w14:textId="77777777" w:rsidR="00980E5F" w:rsidRDefault="00980E5F">
            <w:pPr>
              <w:rPr>
                <w:rFonts w:ascii="宋体"/>
                <w:vanish/>
              </w:rPr>
            </w:pPr>
          </w:p>
        </w:tc>
        <w:tc>
          <w:tcPr>
            <w:tcW w:w="0" w:type="auto"/>
            <w:shd w:val="clear" w:color="auto" w:fill="auto"/>
            <w:vAlign w:val="bottom"/>
          </w:tcPr>
          <w:p w14:paraId="392C9671" w14:textId="77777777" w:rsidR="00980E5F" w:rsidRDefault="00980E5F">
            <w:pPr>
              <w:rPr>
                <w:rFonts w:ascii="宋体"/>
                <w:vanish/>
              </w:rPr>
            </w:pPr>
          </w:p>
        </w:tc>
      </w:tr>
      <w:tr w:rsidR="00980E5F" w14:paraId="392C967D" w14:textId="77777777">
        <w:tc>
          <w:tcPr>
            <w:tcW w:w="0" w:type="auto"/>
            <w:gridSpan w:val="3"/>
            <w:shd w:val="clear" w:color="auto" w:fill="CCEEFF"/>
            <w:tcMar>
              <w:top w:w="40" w:type="dxa"/>
              <w:left w:w="155" w:type="dxa"/>
              <w:bottom w:w="40" w:type="dxa"/>
              <w:right w:w="20" w:type="dxa"/>
            </w:tcMar>
            <w:vAlign w:val="bottom"/>
          </w:tcPr>
          <w:p w14:paraId="392C9673" w14:textId="77777777" w:rsidR="00980E5F" w:rsidRDefault="00483613">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392C9674" w14:textId="77777777" w:rsidR="00980E5F" w:rsidRDefault="00483613">
            <w:pPr>
              <w:jc w:val="right"/>
              <w:textAlignment w:val="bottom"/>
            </w:pPr>
            <w:r>
              <w:rPr>
                <w:rFonts w:ascii="Arial" w:eastAsia="宋体" w:hAnsi="Arial" w:cs="Arial"/>
                <w:b/>
                <w:bCs/>
                <w:color w:val="000000"/>
                <w:sz w:val="13"/>
                <w:szCs w:val="13"/>
              </w:rPr>
              <w:t>860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6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7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677" w14:textId="77777777" w:rsidR="00980E5F" w:rsidRDefault="00483613">
            <w:pPr>
              <w:jc w:val="right"/>
              <w:textAlignment w:val="bottom"/>
            </w:pPr>
            <w:r>
              <w:rPr>
                <w:rFonts w:ascii="Arial" w:eastAsia="宋体" w:hAnsi="Arial" w:cs="Arial"/>
                <w:color w:val="000000"/>
                <w:sz w:val="13"/>
                <w:szCs w:val="13"/>
              </w:rPr>
              <w:t>(46)</w:t>
            </w:r>
          </w:p>
        </w:tc>
        <w:tc>
          <w:tcPr>
            <w:tcW w:w="0" w:type="auto"/>
            <w:shd w:val="clear" w:color="auto" w:fill="CCEEFF"/>
            <w:tcMar>
              <w:top w:w="40" w:type="dxa"/>
              <w:left w:w="0" w:type="dxa"/>
              <w:bottom w:w="40" w:type="dxa"/>
              <w:right w:w="20" w:type="dxa"/>
            </w:tcMar>
            <w:vAlign w:val="bottom"/>
          </w:tcPr>
          <w:p w14:paraId="392C9678" w14:textId="77777777" w:rsidR="00980E5F" w:rsidRDefault="00980E5F">
            <w:pPr>
              <w:jc w:val="right"/>
              <w:rPr>
                <w:rFonts w:ascii="宋体"/>
              </w:rPr>
            </w:pPr>
          </w:p>
        </w:tc>
        <w:tc>
          <w:tcPr>
            <w:tcW w:w="0" w:type="auto"/>
            <w:shd w:val="clear" w:color="auto" w:fill="auto"/>
            <w:vAlign w:val="bottom"/>
          </w:tcPr>
          <w:p w14:paraId="392C9679" w14:textId="77777777" w:rsidR="00980E5F" w:rsidRDefault="00980E5F">
            <w:pPr>
              <w:rPr>
                <w:rFonts w:ascii="宋体"/>
                <w:vanish/>
              </w:rPr>
            </w:pPr>
          </w:p>
        </w:tc>
        <w:tc>
          <w:tcPr>
            <w:tcW w:w="0" w:type="auto"/>
            <w:shd w:val="clear" w:color="auto" w:fill="auto"/>
            <w:vAlign w:val="bottom"/>
          </w:tcPr>
          <w:p w14:paraId="392C967A" w14:textId="77777777" w:rsidR="00980E5F" w:rsidRDefault="00980E5F">
            <w:pPr>
              <w:rPr>
                <w:rFonts w:ascii="宋体"/>
                <w:vanish/>
              </w:rPr>
            </w:pPr>
          </w:p>
        </w:tc>
        <w:tc>
          <w:tcPr>
            <w:tcW w:w="0" w:type="auto"/>
            <w:shd w:val="clear" w:color="auto" w:fill="auto"/>
            <w:vAlign w:val="bottom"/>
          </w:tcPr>
          <w:p w14:paraId="392C967B" w14:textId="77777777" w:rsidR="00980E5F" w:rsidRDefault="00980E5F">
            <w:pPr>
              <w:rPr>
                <w:rFonts w:ascii="宋体"/>
                <w:vanish/>
              </w:rPr>
            </w:pPr>
          </w:p>
        </w:tc>
        <w:tc>
          <w:tcPr>
            <w:tcW w:w="0" w:type="auto"/>
            <w:shd w:val="clear" w:color="auto" w:fill="auto"/>
            <w:vAlign w:val="bottom"/>
          </w:tcPr>
          <w:p w14:paraId="392C967C" w14:textId="77777777" w:rsidR="00980E5F" w:rsidRDefault="00980E5F">
            <w:pPr>
              <w:rPr>
                <w:rFonts w:ascii="宋体"/>
                <w:vanish/>
              </w:rPr>
            </w:pPr>
          </w:p>
        </w:tc>
      </w:tr>
      <w:tr w:rsidR="00980E5F" w14:paraId="392C9688" w14:textId="77777777">
        <w:tc>
          <w:tcPr>
            <w:tcW w:w="0" w:type="auto"/>
            <w:gridSpan w:val="3"/>
            <w:shd w:val="clear" w:color="auto" w:fill="FFFFFF"/>
            <w:tcMar>
              <w:top w:w="40" w:type="dxa"/>
              <w:left w:w="20" w:type="dxa"/>
              <w:bottom w:w="40" w:type="dxa"/>
              <w:right w:w="20" w:type="dxa"/>
            </w:tcMar>
            <w:vAlign w:val="bottom"/>
          </w:tcPr>
          <w:p w14:paraId="392C967E" w14:textId="77777777" w:rsidR="00980E5F" w:rsidRDefault="00483613">
            <w:pPr>
              <w:textAlignment w:val="bottom"/>
            </w:pPr>
            <w:r>
              <w:rPr>
                <w:rFonts w:ascii="Arial" w:eastAsia="宋体" w:hAnsi="Arial" w:cs="Arial"/>
                <w:color w:val="000000"/>
                <w:sz w:val="13"/>
                <w:szCs w:val="13"/>
              </w:rPr>
              <w:t>Net unrealized gains (losses)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67F" w14:textId="77777777" w:rsidR="00980E5F" w:rsidRDefault="00483613">
            <w:pPr>
              <w:jc w:val="right"/>
              <w:textAlignment w:val="bottom"/>
            </w:pPr>
            <w:r>
              <w:rPr>
                <w:rFonts w:ascii="Arial" w:eastAsia="宋体" w:hAnsi="Arial" w:cs="Arial"/>
                <w:b/>
                <w:bCs/>
                <w:color w:val="000000"/>
                <w:sz w:val="13"/>
                <w:szCs w:val="13"/>
              </w:rPr>
              <w:t>(2,094)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6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68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682" w14:textId="77777777" w:rsidR="00980E5F" w:rsidRDefault="00483613">
            <w:pPr>
              <w:jc w:val="right"/>
              <w:textAlignment w:val="bottom"/>
            </w:pPr>
            <w:r>
              <w:rPr>
                <w:rFonts w:ascii="Arial" w:eastAsia="宋体" w:hAnsi="Arial" w:cs="Arial"/>
                <w:color w:val="000000"/>
                <w:sz w:val="13"/>
                <w:szCs w:val="13"/>
              </w:rPr>
              <w:t>421 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683" w14:textId="77777777" w:rsidR="00980E5F" w:rsidRDefault="00980E5F">
            <w:pPr>
              <w:jc w:val="right"/>
              <w:rPr>
                <w:rFonts w:ascii="宋体"/>
              </w:rPr>
            </w:pPr>
          </w:p>
        </w:tc>
        <w:tc>
          <w:tcPr>
            <w:tcW w:w="0" w:type="auto"/>
            <w:shd w:val="clear" w:color="auto" w:fill="auto"/>
            <w:vAlign w:val="bottom"/>
          </w:tcPr>
          <w:p w14:paraId="392C9684" w14:textId="77777777" w:rsidR="00980E5F" w:rsidRDefault="00980E5F">
            <w:pPr>
              <w:rPr>
                <w:rFonts w:ascii="宋体"/>
                <w:vanish/>
              </w:rPr>
            </w:pPr>
          </w:p>
        </w:tc>
        <w:tc>
          <w:tcPr>
            <w:tcW w:w="0" w:type="auto"/>
            <w:shd w:val="clear" w:color="auto" w:fill="auto"/>
            <w:vAlign w:val="bottom"/>
          </w:tcPr>
          <w:p w14:paraId="392C9685" w14:textId="77777777" w:rsidR="00980E5F" w:rsidRDefault="00980E5F">
            <w:pPr>
              <w:rPr>
                <w:rFonts w:ascii="宋体"/>
                <w:vanish/>
              </w:rPr>
            </w:pPr>
          </w:p>
        </w:tc>
        <w:tc>
          <w:tcPr>
            <w:tcW w:w="0" w:type="auto"/>
            <w:shd w:val="clear" w:color="auto" w:fill="auto"/>
            <w:vAlign w:val="bottom"/>
          </w:tcPr>
          <w:p w14:paraId="392C9686" w14:textId="77777777" w:rsidR="00980E5F" w:rsidRDefault="00980E5F">
            <w:pPr>
              <w:rPr>
                <w:rFonts w:ascii="宋体"/>
                <w:vanish/>
              </w:rPr>
            </w:pPr>
          </w:p>
        </w:tc>
        <w:tc>
          <w:tcPr>
            <w:tcW w:w="0" w:type="auto"/>
            <w:shd w:val="clear" w:color="auto" w:fill="auto"/>
            <w:vAlign w:val="bottom"/>
          </w:tcPr>
          <w:p w14:paraId="392C9687" w14:textId="77777777" w:rsidR="00980E5F" w:rsidRDefault="00980E5F">
            <w:pPr>
              <w:rPr>
                <w:rFonts w:ascii="宋体"/>
                <w:vanish/>
              </w:rPr>
            </w:pPr>
          </w:p>
        </w:tc>
      </w:tr>
      <w:tr w:rsidR="00980E5F" w14:paraId="392C9693" w14:textId="77777777">
        <w:tc>
          <w:tcPr>
            <w:tcW w:w="0" w:type="auto"/>
            <w:gridSpan w:val="3"/>
            <w:shd w:val="clear" w:color="auto" w:fill="CCEEFF"/>
            <w:tcMar>
              <w:top w:w="40" w:type="dxa"/>
              <w:left w:w="20" w:type="dxa"/>
              <w:bottom w:w="40" w:type="dxa"/>
              <w:right w:w="20" w:type="dxa"/>
            </w:tcMar>
            <w:vAlign w:val="bottom"/>
          </w:tcPr>
          <w:p w14:paraId="392C9689" w14:textId="77777777" w:rsidR="00980E5F" w:rsidRDefault="00483613">
            <w:pPr>
              <w:textAlignment w:val="bottom"/>
            </w:pPr>
            <w:r>
              <w:rPr>
                <w:rFonts w:ascii="Arial" w:eastAsia="宋体" w:hAnsi="Arial" w:cs="Arial"/>
                <w:color w:val="000000"/>
                <w:sz w:val="13"/>
                <w:szCs w:val="13"/>
              </w:rPr>
              <w:t>Net unrealized gains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392C968A" w14:textId="77777777" w:rsidR="00980E5F" w:rsidRDefault="00483613">
            <w:pPr>
              <w:jc w:val="right"/>
              <w:textAlignment w:val="bottom"/>
            </w:pPr>
            <w:r>
              <w:rPr>
                <w:rFonts w:ascii="Arial" w:eastAsia="宋体" w:hAnsi="Arial" w:cs="Arial"/>
                <w:b/>
                <w:bCs/>
                <w:color w:val="000000"/>
                <w:sz w:val="13"/>
                <w:szCs w:val="13"/>
              </w:rPr>
              <w:t>253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6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68D" w14:textId="77777777" w:rsidR="00980E5F" w:rsidRDefault="00483613">
            <w:pPr>
              <w:jc w:val="right"/>
              <w:textAlignment w:val="bottom"/>
            </w:pPr>
            <w:r>
              <w:rPr>
                <w:rFonts w:ascii="Arial" w:eastAsia="宋体" w:hAnsi="Arial" w:cs="Arial"/>
                <w:color w:val="000000"/>
                <w:sz w:val="13"/>
                <w:szCs w:val="13"/>
              </w:rPr>
              <w:t>(37)</w:t>
            </w:r>
          </w:p>
        </w:tc>
        <w:tc>
          <w:tcPr>
            <w:tcW w:w="0" w:type="auto"/>
            <w:shd w:val="clear" w:color="auto" w:fill="CCEEFF"/>
            <w:tcMar>
              <w:top w:w="40" w:type="dxa"/>
              <w:left w:w="0" w:type="dxa"/>
              <w:bottom w:w="40" w:type="dxa"/>
              <w:right w:w="20" w:type="dxa"/>
            </w:tcMar>
            <w:vAlign w:val="bottom"/>
          </w:tcPr>
          <w:p w14:paraId="392C968E" w14:textId="77777777" w:rsidR="00980E5F" w:rsidRDefault="00980E5F">
            <w:pPr>
              <w:jc w:val="right"/>
              <w:rPr>
                <w:rFonts w:ascii="宋体"/>
              </w:rPr>
            </w:pPr>
          </w:p>
        </w:tc>
        <w:tc>
          <w:tcPr>
            <w:tcW w:w="0" w:type="auto"/>
            <w:shd w:val="clear" w:color="auto" w:fill="auto"/>
            <w:vAlign w:val="bottom"/>
          </w:tcPr>
          <w:p w14:paraId="392C968F" w14:textId="77777777" w:rsidR="00980E5F" w:rsidRDefault="00980E5F">
            <w:pPr>
              <w:rPr>
                <w:rFonts w:ascii="宋体"/>
                <w:vanish/>
              </w:rPr>
            </w:pPr>
          </w:p>
        </w:tc>
        <w:tc>
          <w:tcPr>
            <w:tcW w:w="0" w:type="auto"/>
            <w:shd w:val="clear" w:color="auto" w:fill="auto"/>
            <w:vAlign w:val="bottom"/>
          </w:tcPr>
          <w:p w14:paraId="392C9690" w14:textId="77777777" w:rsidR="00980E5F" w:rsidRDefault="00980E5F">
            <w:pPr>
              <w:rPr>
                <w:rFonts w:ascii="宋体"/>
                <w:vanish/>
              </w:rPr>
            </w:pPr>
          </w:p>
        </w:tc>
        <w:tc>
          <w:tcPr>
            <w:tcW w:w="0" w:type="auto"/>
            <w:shd w:val="clear" w:color="auto" w:fill="auto"/>
            <w:vAlign w:val="bottom"/>
          </w:tcPr>
          <w:p w14:paraId="392C9691" w14:textId="77777777" w:rsidR="00980E5F" w:rsidRDefault="00980E5F">
            <w:pPr>
              <w:rPr>
                <w:rFonts w:ascii="宋体"/>
                <w:vanish/>
              </w:rPr>
            </w:pPr>
          </w:p>
        </w:tc>
        <w:tc>
          <w:tcPr>
            <w:tcW w:w="0" w:type="auto"/>
            <w:shd w:val="clear" w:color="auto" w:fill="auto"/>
            <w:vAlign w:val="bottom"/>
          </w:tcPr>
          <w:p w14:paraId="392C9692" w14:textId="77777777" w:rsidR="00980E5F" w:rsidRDefault="00980E5F">
            <w:pPr>
              <w:rPr>
                <w:rFonts w:ascii="宋体"/>
                <w:vanish/>
              </w:rPr>
            </w:pPr>
          </w:p>
        </w:tc>
      </w:tr>
      <w:tr w:rsidR="00980E5F" w14:paraId="392C969C" w14:textId="77777777">
        <w:trPr>
          <w:hidden/>
        </w:trPr>
        <w:tc>
          <w:tcPr>
            <w:tcW w:w="0" w:type="auto"/>
            <w:gridSpan w:val="3"/>
            <w:shd w:val="clear" w:color="auto" w:fill="auto"/>
            <w:vAlign w:val="bottom"/>
          </w:tcPr>
          <w:p w14:paraId="392C9694" w14:textId="77777777" w:rsidR="00980E5F" w:rsidRDefault="00980E5F">
            <w:pPr>
              <w:rPr>
                <w:rFonts w:ascii="宋体"/>
                <w:vanish/>
              </w:rPr>
            </w:pPr>
          </w:p>
        </w:tc>
        <w:tc>
          <w:tcPr>
            <w:tcW w:w="0" w:type="auto"/>
            <w:gridSpan w:val="3"/>
            <w:shd w:val="clear" w:color="auto" w:fill="auto"/>
            <w:vAlign w:val="bottom"/>
          </w:tcPr>
          <w:p w14:paraId="392C9695" w14:textId="77777777" w:rsidR="00980E5F" w:rsidRDefault="00980E5F">
            <w:pPr>
              <w:rPr>
                <w:rFonts w:ascii="宋体"/>
                <w:vanish/>
              </w:rPr>
            </w:pPr>
          </w:p>
        </w:tc>
        <w:tc>
          <w:tcPr>
            <w:tcW w:w="0" w:type="auto"/>
            <w:gridSpan w:val="3"/>
            <w:shd w:val="clear" w:color="auto" w:fill="auto"/>
            <w:vAlign w:val="bottom"/>
          </w:tcPr>
          <w:p w14:paraId="392C9696" w14:textId="77777777" w:rsidR="00980E5F" w:rsidRDefault="00980E5F">
            <w:pPr>
              <w:rPr>
                <w:rFonts w:ascii="宋体"/>
                <w:vanish/>
              </w:rPr>
            </w:pPr>
          </w:p>
        </w:tc>
        <w:tc>
          <w:tcPr>
            <w:tcW w:w="0" w:type="auto"/>
            <w:gridSpan w:val="3"/>
            <w:shd w:val="clear" w:color="auto" w:fill="auto"/>
            <w:vAlign w:val="bottom"/>
          </w:tcPr>
          <w:p w14:paraId="392C9697" w14:textId="77777777" w:rsidR="00980E5F" w:rsidRDefault="00980E5F">
            <w:pPr>
              <w:rPr>
                <w:rFonts w:ascii="宋体"/>
                <w:vanish/>
              </w:rPr>
            </w:pPr>
          </w:p>
        </w:tc>
        <w:tc>
          <w:tcPr>
            <w:tcW w:w="0" w:type="auto"/>
            <w:shd w:val="clear" w:color="auto" w:fill="auto"/>
            <w:vAlign w:val="bottom"/>
          </w:tcPr>
          <w:p w14:paraId="392C9698" w14:textId="77777777" w:rsidR="00980E5F" w:rsidRDefault="00980E5F">
            <w:pPr>
              <w:rPr>
                <w:rFonts w:ascii="宋体"/>
                <w:vanish/>
              </w:rPr>
            </w:pPr>
          </w:p>
        </w:tc>
        <w:tc>
          <w:tcPr>
            <w:tcW w:w="0" w:type="auto"/>
            <w:shd w:val="clear" w:color="auto" w:fill="auto"/>
            <w:vAlign w:val="bottom"/>
          </w:tcPr>
          <w:p w14:paraId="392C9699" w14:textId="77777777" w:rsidR="00980E5F" w:rsidRDefault="00980E5F">
            <w:pPr>
              <w:rPr>
                <w:rFonts w:ascii="宋体"/>
                <w:vanish/>
              </w:rPr>
            </w:pPr>
          </w:p>
        </w:tc>
        <w:tc>
          <w:tcPr>
            <w:tcW w:w="0" w:type="auto"/>
            <w:shd w:val="clear" w:color="auto" w:fill="auto"/>
            <w:vAlign w:val="bottom"/>
          </w:tcPr>
          <w:p w14:paraId="392C969A" w14:textId="77777777" w:rsidR="00980E5F" w:rsidRDefault="00980E5F">
            <w:pPr>
              <w:rPr>
                <w:rFonts w:ascii="宋体"/>
                <w:vanish/>
              </w:rPr>
            </w:pPr>
          </w:p>
        </w:tc>
        <w:tc>
          <w:tcPr>
            <w:tcW w:w="0" w:type="auto"/>
            <w:shd w:val="clear" w:color="auto" w:fill="auto"/>
            <w:vAlign w:val="bottom"/>
          </w:tcPr>
          <w:p w14:paraId="392C969B" w14:textId="77777777" w:rsidR="00980E5F" w:rsidRDefault="00980E5F">
            <w:pPr>
              <w:rPr>
                <w:rFonts w:ascii="宋体"/>
                <w:vanish/>
              </w:rPr>
            </w:pPr>
          </w:p>
        </w:tc>
      </w:tr>
      <w:tr w:rsidR="00980E5F" w14:paraId="392C96A7" w14:textId="77777777">
        <w:tc>
          <w:tcPr>
            <w:tcW w:w="0" w:type="auto"/>
            <w:gridSpan w:val="3"/>
            <w:shd w:val="clear" w:color="auto" w:fill="FFFFFF"/>
            <w:tcMar>
              <w:top w:w="40" w:type="dxa"/>
              <w:left w:w="20" w:type="dxa"/>
              <w:bottom w:w="40" w:type="dxa"/>
              <w:right w:w="20" w:type="dxa"/>
            </w:tcMar>
            <w:vAlign w:val="bottom"/>
          </w:tcPr>
          <w:p w14:paraId="392C969D" w14:textId="77777777" w:rsidR="00980E5F" w:rsidRDefault="00483613">
            <w:pPr>
              <w:textAlignment w:val="bottom"/>
            </w:pPr>
            <w:r>
              <w:rPr>
                <w:rFonts w:ascii="Arial" w:eastAsia="宋体" w:hAnsi="Arial" w:cs="Arial"/>
                <w:color w:val="000000"/>
                <w:sz w:val="13"/>
                <w:szCs w:val="13"/>
              </w:rPr>
              <w:t>Net unrealized gains (losses)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392C969E" w14:textId="77777777" w:rsidR="00980E5F" w:rsidRDefault="00483613">
            <w:pPr>
              <w:jc w:val="right"/>
              <w:textAlignment w:val="bottom"/>
            </w:pPr>
            <w:r>
              <w:rPr>
                <w:rFonts w:ascii="Arial" w:eastAsia="宋体" w:hAnsi="Arial" w:cs="Arial"/>
                <w:b/>
                <w:bCs/>
                <w:color w:val="000000"/>
                <w:sz w:val="13"/>
                <w:szCs w:val="13"/>
              </w:rPr>
              <w:t>396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969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6A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6A1" w14:textId="77777777" w:rsidR="00980E5F" w:rsidRDefault="00483613">
            <w:pPr>
              <w:jc w:val="right"/>
              <w:textAlignment w:val="bottom"/>
            </w:pPr>
            <w:r>
              <w:rPr>
                <w:rFonts w:ascii="Arial" w:eastAsia="宋体" w:hAnsi="Arial" w:cs="Arial"/>
                <w:color w:val="000000"/>
                <w:sz w:val="13"/>
                <w:szCs w:val="13"/>
              </w:rPr>
              <w:t>(93)</w:t>
            </w:r>
          </w:p>
        </w:tc>
        <w:tc>
          <w:tcPr>
            <w:tcW w:w="0" w:type="auto"/>
            <w:shd w:val="clear" w:color="auto" w:fill="FFFFFF"/>
            <w:tcMar>
              <w:top w:w="40" w:type="dxa"/>
              <w:left w:w="0" w:type="dxa"/>
              <w:bottom w:w="40" w:type="dxa"/>
              <w:right w:w="20" w:type="dxa"/>
            </w:tcMar>
            <w:vAlign w:val="bottom"/>
          </w:tcPr>
          <w:p w14:paraId="392C96A2" w14:textId="77777777" w:rsidR="00980E5F" w:rsidRDefault="00980E5F">
            <w:pPr>
              <w:jc w:val="right"/>
              <w:rPr>
                <w:rFonts w:ascii="宋体"/>
              </w:rPr>
            </w:pPr>
          </w:p>
        </w:tc>
        <w:tc>
          <w:tcPr>
            <w:tcW w:w="0" w:type="auto"/>
            <w:shd w:val="clear" w:color="auto" w:fill="auto"/>
            <w:vAlign w:val="bottom"/>
          </w:tcPr>
          <w:p w14:paraId="392C96A3" w14:textId="77777777" w:rsidR="00980E5F" w:rsidRDefault="00980E5F">
            <w:pPr>
              <w:rPr>
                <w:rFonts w:ascii="宋体"/>
                <w:vanish/>
              </w:rPr>
            </w:pPr>
          </w:p>
        </w:tc>
        <w:tc>
          <w:tcPr>
            <w:tcW w:w="0" w:type="auto"/>
            <w:shd w:val="clear" w:color="auto" w:fill="auto"/>
            <w:vAlign w:val="bottom"/>
          </w:tcPr>
          <w:p w14:paraId="392C96A4" w14:textId="77777777" w:rsidR="00980E5F" w:rsidRDefault="00980E5F">
            <w:pPr>
              <w:rPr>
                <w:rFonts w:ascii="宋体"/>
                <w:vanish/>
              </w:rPr>
            </w:pPr>
          </w:p>
        </w:tc>
        <w:tc>
          <w:tcPr>
            <w:tcW w:w="0" w:type="auto"/>
            <w:shd w:val="clear" w:color="auto" w:fill="auto"/>
            <w:vAlign w:val="bottom"/>
          </w:tcPr>
          <w:p w14:paraId="392C96A5" w14:textId="77777777" w:rsidR="00980E5F" w:rsidRDefault="00980E5F">
            <w:pPr>
              <w:rPr>
                <w:rFonts w:ascii="宋体"/>
                <w:vanish/>
              </w:rPr>
            </w:pPr>
          </w:p>
        </w:tc>
        <w:tc>
          <w:tcPr>
            <w:tcW w:w="0" w:type="auto"/>
            <w:shd w:val="clear" w:color="auto" w:fill="auto"/>
            <w:vAlign w:val="bottom"/>
          </w:tcPr>
          <w:p w14:paraId="392C96A6" w14:textId="77777777" w:rsidR="00980E5F" w:rsidRDefault="00980E5F">
            <w:pPr>
              <w:rPr>
                <w:rFonts w:ascii="宋体"/>
                <w:vanish/>
              </w:rPr>
            </w:pPr>
          </w:p>
        </w:tc>
      </w:tr>
      <w:tr w:rsidR="00980E5F" w14:paraId="392C96B2" w14:textId="77777777">
        <w:tc>
          <w:tcPr>
            <w:tcW w:w="0" w:type="auto"/>
            <w:gridSpan w:val="3"/>
            <w:shd w:val="clear" w:color="auto" w:fill="CCEEFF"/>
            <w:tcMar>
              <w:top w:w="40" w:type="dxa"/>
              <w:left w:w="20" w:type="dxa"/>
              <w:bottom w:w="40" w:type="dxa"/>
              <w:right w:w="20" w:type="dxa"/>
            </w:tcMar>
            <w:vAlign w:val="bottom"/>
          </w:tcPr>
          <w:p w14:paraId="392C96A8" w14:textId="77777777" w:rsidR="00980E5F" w:rsidRDefault="00483613">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392C96A9" w14:textId="77777777" w:rsidR="00980E5F" w:rsidRDefault="00483613">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392C96A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A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6AC" w14:textId="77777777" w:rsidR="00980E5F" w:rsidRDefault="00483613">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392C96AD" w14:textId="77777777" w:rsidR="00980E5F" w:rsidRDefault="00980E5F">
            <w:pPr>
              <w:jc w:val="right"/>
              <w:rPr>
                <w:rFonts w:ascii="宋体"/>
              </w:rPr>
            </w:pPr>
          </w:p>
        </w:tc>
        <w:tc>
          <w:tcPr>
            <w:tcW w:w="0" w:type="auto"/>
            <w:shd w:val="clear" w:color="auto" w:fill="auto"/>
            <w:vAlign w:val="bottom"/>
          </w:tcPr>
          <w:p w14:paraId="392C96AE" w14:textId="77777777" w:rsidR="00980E5F" w:rsidRDefault="00980E5F">
            <w:pPr>
              <w:rPr>
                <w:rFonts w:ascii="宋体"/>
                <w:vanish/>
              </w:rPr>
            </w:pPr>
          </w:p>
        </w:tc>
        <w:tc>
          <w:tcPr>
            <w:tcW w:w="0" w:type="auto"/>
            <w:shd w:val="clear" w:color="auto" w:fill="auto"/>
            <w:vAlign w:val="bottom"/>
          </w:tcPr>
          <w:p w14:paraId="392C96AF" w14:textId="77777777" w:rsidR="00980E5F" w:rsidRDefault="00980E5F">
            <w:pPr>
              <w:rPr>
                <w:rFonts w:ascii="宋体"/>
                <w:vanish/>
              </w:rPr>
            </w:pPr>
          </w:p>
        </w:tc>
        <w:tc>
          <w:tcPr>
            <w:tcW w:w="0" w:type="auto"/>
            <w:shd w:val="clear" w:color="auto" w:fill="auto"/>
            <w:vAlign w:val="bottom"/>
          </w:tcPr>
          <w:p w14:paraId="392C96B0" w14:textId="77777777" w:rsidR="00980E5F" w:rsidRDefault="00980E5F">
            <w:pPr>
              <w:rPr>
                <w:rFonts w:ascii="宋体"/>
                <w:vanish/>
              </w:rPr>
            </w:pPr>
          </w:p>
        </w:tc>
        <w:tc>
          <w:tcPr>
            <w:tcW w:w="0" w:type="auto"/>
            <w:shd w:val="clear" w:color="auto" w:fill="auto"/>
            <w:vAlign w:val="bottom"/>
          </w:tcPr>
          <w:p w14:paraId="392C96B1" w14:textId="77777777" w:rsidR="00980E5F" w:rsidRDefault="00980E5F">
            <w:pPr>
              <w:rPr>
                <w:rFonts w:ascii="宋体"/>
                <w:vanish/>
              </w:rPr>
            </w:pPr>
          </w:p>
        </w:tc>
      </w:tr>
      <w:tr w:rsidR="00980E5F" w14:paraId="392C96BD" w14:textId="77777777">
        <w:tc>
          <w:tcPr>
            <w:tcW w:w="0" w:type="auto"/>
            <w:gridSpan w:val="3"/>
            <w:shd w:val="clear" w:color="auto" w:fill="FFFFFF"/>
            <w:tcMar>
              <w:top w:w="40" w:type="dxa"/>
              <w:left w:w="20" w:type="dxa"/>
              <w:bottom w:w="40" w:type="dxa"/>
              <w:right w:w="20" w:type="dxa"/>
            </w:tcMar>
            <w:vAlign w:val="bottom"/>
          </w:tcPr>
          <w:p w14:paraId="392C96B3" w14:textId="77777777" w:rsidR="00980E5F" w:rsidRDefault="00483613">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FFFFFF"/>
            <w:tcMar>
              <w:top w:w="40" w:type="dxa"/>
              <w:left w:w="20" w:type="dxa"/>
              <w:bottom w:w="40" w:type="dxa"/>
              <w:right w:w="0" w:type="dxa"/>
            </w:tcMar>
            <w:vAlign w:val="bottom"/>
          </w:tcPr>
          <w:p w14:paraId="392C96B4" w14:textId="77777777" w:rsidR="00980E5F" w:rsidRDefault="00483613">
            <w:pPr>
              <w:jc w:val="right"/>
              <w:textAlignment w:val="bottom"/>
            </w:pPr>
            <w:r>
              <w:rPr>
                <w:rFonts w:ascii="Arial" w:eastAsia="宋体" w:hAnsi="Arial" w:cs="Arial"/>
                <w:b/>
                <w:bCs/>
                <w:color w:val="000000"/>
                <w:sz w:val="13"/>
                <w:szCs w:val="13"/>
              </w:rPr>
              <w:t>(115)</w:t>
            </w:r>
          </w:p>
        </w:tc>
        <w:tc>
          <w:tcPr>
            <w:tcW w:w="0" w:type="auto"/>
            <w:shd w:val="clear" w:color="auto" w:fill="FFFFFF"/>
            <w:tcMar>
              <w:top w:w="40" w:type="dxa"/>
              <w:left w:w="0" w:type="dxa"/>
              <w:bottom w:w="40" w:type="dxa"/>
              <w:right w:w="20" w:type="dxa"/>
            </w:tcMar>
            <w:vAlign w:val="bottom"/>
          </w:tcPr>
          <w:p w14:paraId="392C96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6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6B7" w14:textId="77777777" w:rsidR="00980E5F" w:rsidRDefault="00483613">
            <w:pPr>
              <w:jc w:val="right"/>
              <w:textAlignment w:val="bottom"/>
            </w:pPr>
            <w:r>
              <w:rPr>
                <w:rFonts w:ascii="Arial" w:eastAsia="宋体" w:hAnsi="Arial" w:cs="Arial"/>
                <w:color w:val="000000"/>
                <w:sz w:val="13"/>
                <w:szCs w:val="13"/>
              </w:rPr>
              <w:t>(168)</w:t>
            </w:r>
          </w:p>
        </w:tc>
        <w:tc>
          <w:tcPr>
            <w:tcW w:w="0" w:type="auto"/>
            <w:shd w:val="clear" w:color="auto" w:fill="FFFFFF"/>
            <w:tcMar>
              <w:top w:w="40" w:type="dxa"/>
              <w:left w:w="0" w:type="dxa"/>
              <w:bottom w:w="40" w:type="dxa"/>
              <w:right w:w="20" w:type="dxa"/>
            </w:tcMar>
            <w:vAlign w:val="bottom"/>
          </w:tcPr>
          <w:p w14:paraId="392C96B8" w14:textId="77777777" w:rsidR="00980E5F" w:rsidRDefault="00980E5F">
            <w:pPr>
              <w:jc w:val="right"/>
              <w:rPr>
                <w:rFonts w:ascii="宋体"/>
              </w:rPr>
            </w:pPr>
          </w:p>
        </w:tc>
        <w:tc>
          <w:tcPr>
            <w:tcW w:w="0" w:type="auto"/>
            <w:shd w:val="clear" w:color="auto" w:fill="auto"/>
            <w:vAlign w:val="bottom"/>
          </w:tcPr>
          <w:p w14:paraId="392C96B9" w14:textId="77777777" w:rsidR="00980E5F" w:rsidRDefault="00980E5F">
            <w:pPr>
              <w:rPr>
                <w:rFonts w:ascii="宋体"/>
                <w:vanish/>
              </w:rPr>
            </w:pPr>
          </w:p>
        </w:tc>
        <w:tc>
          <w:tcPr>
            <w:tcW w:w="0" w:type="auto"/>
            <w:shd w:val="clear" w:color="auto" w:fill="auto"/>
            <w:vAlign w:val="bottom"/>
          </w:tcPr>
          <w:p w14:paraId="392C96BA" w14:textId="77777777" w:rsidR="00980E5F" w:rsidRDefault="00980E5F">
            <w:pPr>
              <w:rPr>
                <w:rFonts w:ascii="宋体"/>
                <w:vanish/>
              </w:rPr>
            </w:pPr>
          </w:p>
        </w:tc>
        <w:tc>
          <w:tcPr>
            <w:tcW w:w="0" w:type="auto"/>
            <w:shd w:val="clear" w:color="auto" w:fill="auto"/>
            <w:vAlign w:val="bottom"/>
          </w:tcPr>
          <w:p w14:paraId="392C96BB" w14:textId="77777777" w:rsidR="00980E5F" w:rsidRDefault="00980E5F">
            <w:pPr>
              <w:rPr>
                <w:rFonts w:ascii="宋体"/>
                <w:vanish/>
              </w:rPr>
            </w:pPr>
          </w:p>
        </w:tc>
        <w:tc>
          <w:tcPr>
            <w:tcW w:w="0" w:type="auto"/>
            <w:shd w:val="clear" w:color="auto" w:fill="auto"/>
            <w:vAlign w:val="bottom"/>
          </w:tcPr>
          <w:p w14:paraId="392C96BC" w14:textId="77777777" w:rsidR="00980E5F" w:rsidRDefault="00980E5F">
            <w:pPr>
              <w:rPr>
                <w:rFonts w:ascii="宋体"/>
                <w:vanish/>
              </w:rPr>
            </w:pPr>
          </w:p>
        </w:tc>
      </w:tr>
      <w:tr w:rsidR="00980E5F" w14:paraId="392C96C8" w14:textId="77777777">
        <w:tc>
          <w:tcPr>
            <w:tcW w:w="0" w:type="auto"/>
            <w:gridSpan w:val="3"/>
            <w:shd w:val="clear" w:color="auto" w:fill="CCEEFF"/>
            <w:tcMar>
              <w:top w:w="40" w:type="dxa"/>
              <w:left w:w="20" w:type="dxa"/>
              <w:bottom w:w="40" w:type="dxa"/>
              <w:right w:w="20" w:type="dxa"/>
            </w:tcMar>
            <w:vAlign w:val="bottom"/>
          </w:tcPr>
          <w:p w14:paraId="392C96BE" w14:textId="77777777" w:rsidR="00980E5F" w:rsidRDefault="00483613">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392C96BF" w14:textId="77777777" w:rsidR="00980E5F" w:rsidRDefault="00483613">
            <w:pPr>
              <w:jc w:val="right"/>
              <w:textAlignment w:val="bottom"/>
            </w:pPr>
            <w:r>
              <w:rPr>
                <w:rFonts w:ascii="Arial" w:eastAsia="宋体" w:hAnsi="Arial" w:cs="Arial"/>
                <w:b/>
                <w:bCs/>
                <w:color w:val="000000"/>
                <w:sz w:val="13"/>
                <w:szCs w:val="13"/>
              </w:rPr>
              <w:t>(1,891)</w:t>
            </w:r>
          </w:p>
        </w:tc>
        <w:tc>
          <w:tcPr>
            <w:tcW w:w="0" w:type="auto"/>
            <w:shd w:val="clear" w:color="auto" w:fill="CCEEFF"/>
            <w:tcMar>
              <w:top w:w="40" w:type="dxa"/>
              <w:left w:w="0" w:type="dxa"/>
              <w:bottom w:w="40" w:type="dxa"/>
              <w:right w:w="20" w:type="dxa"/>
            </w:tcMar>
            <w:vAlign w:val="bottom"/>
          </w:tcPr>
          <w:p w14:paraId="392C96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6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6C2" w14:textId="77777777" w:rsidR="00980E5F" w:rsidRDefault="00483613">
            <w:pPr>
              <w:jc w:val="right"/>
              <w:textAlignment w:val="bottom"/>
            </w:pPr>
            <w:r>
              <w:rPr>
                <w:rFonts w:ascii="Arial" w:eastAsia="宋体" w:hAnsi="Arial" w:cs="Arial"/>
                <w:color w:val="000000"/>
                <w:sz w:val="13"/>
                <w:szCs w:val="13"/>
              </w:rPr>
              <w:t>(596)</w:t>
            </w:r>
          </w:p>
        </w:tc>
        <w:tc>
          <w:tcPr>
            <w:tcW w:w="0" w:type="auto"/>
            <w:shd w:val="clear" w:color="auto" w:fill="CCEEFF"/>
            <w:tcMar>
              <w:top w:w="40" w:type="dxa"/>
              <w:left w:w="0" w:type="dxa"/>
              <w:bottom w:w="40" w:type="dxa"/>
              <w:right w:w="20" w:type="dxa"/>
            </w:tcMar>
            <w:vAlign w:val="bottom"/>
          </w:tcPr>
          <w:p w14:paraId="392C96C3" w14:textId="77777777" w:rsidR="00980E5F" w:rsidRDefault="00980E5F">
            <w:pPr>
              <w:jc w:val="right"/>
              <w:rPr>
                <w:rFonts w:ascii="宋体"/>
              </w:rPr>
            </w:pPr>
          </w:p>
        </w:tc>
        <w:tc>
          <w:tcPr>
            <w:tcW w:w="0" w:type="auto"/>
            <w:shd w:val="clear" w:color="auto" w:fill="auto"/>
            <w:vAlign w:val="bottom"/>
          </w:tcPr>
          <w:p w14:paraId="392C96C4" w14:textId="77777777" w:rsidR="00980E5F" w:rsidRDefault="00980E5F">
            <w:pPr>
              <w:rPr>
                <w:rFonts w:ascii="宋体"/>
                <w:vanish/>
              </w:rPr>
            </w:pPr>
          </w:p>
        </w:tc>
        <w:tc>
          <w:tcPr>
            <w:tcW w:w="0" w:type="auto"/>
            <w:shd w:val="clear" w:color="auto" w:fill="auto"/>
            <w:vAlign w:val="bottom"/>
          </w:tcPr>
          <w:p w14:paraId="392C96C5" w14:textId="77777777" w:rsidR="00980E5F" w:rsidRDefault="00980E5F">
            <w:pPr>
              <w:rPr>
                <w:rFonts w:ascii="宋体"/>
                <w:vanish/>
              </w:rPr>
            </w:pPr>
          </w:p>
        </w:tc>
        <w:tc>
          <w:tcPr>
            <w:tcW w:w="0" w:type="auto"/>
            <w:shd w:val="clear" w:color="auto" w:fill="auto"/>
            <w:vAlign w:val="bottom"/>
          </w:tcPr>
          <w:p w14:paraId="392C96C6" w14:textId="77777777" w:rsidR="00980E5F" w:rsidRDefault="00980E5F">
            <w:pPr>
              <w:rPr>
                <w:rFonts w:ascii="宋体"/>
                <w:vanish/>
              </w:rPr>
            </w:pPr>
          </w:p>
        </w:tc>
        <w:tc>
          <w:tcPr>
            <w:tcW w:w="0" w:type="auto"/>
            <w:shd w:val="clear" w:color="auto" w:fill="auto"/>
            <w:vAlign w:val="bottom"/>
          </w:tcPr>
          <w:p w14:paraId="392C96C7" w14:textId="77777777" w:rsidR="00980E5F" w:rsidRDefault="00980E5F">
            <w:pPr>
              <w:rPr>
                <w:rFonts w:ascii="宋体"/>
                <w:vanish/>
              </w:rPr>
            </w:pPr>
          </w:p>
        </w:tc>
      </w:tr>
      <w:tr w:rsidR="00980E5F" w14:paraId="392C96D5" w14:textId="77777777">
        <w:tc>
          <w:tcPr>
            <w:tcW w:w="0" w:type="auto"/>
            <w:gridSpan w:val="3"/>
            <w:shd w:val="clear" w:color="auto" w:fill="FFFFFF"/>
            <w:tcMar>
              <w:top w:w="40" w:type="dxa"/>
              <w:left w:w="20" w:type="dxa"/>
              <w:bottom w:w="40" w:type="dxa"/>
              <w:right w:w="20" w:type="dxa"/>
            </w:tcMar>
            <w:vAlign w:val="bottom"/>
          </w:tcPr>
          <w:p w14:paraId="392C96C9" w14:textId="77777777" w:rsidR="00980E5F" w:rsidRDefault="00483613">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96CA"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96CB" w14:textId="77777777" w:rsidR="00980E5F" w:rsidRDefault="00483613">
            <w:pPr>
              <w:jc w:val="right"/>
              <w:textAlignment w:val="bottom"/>
            </w:pPr>
            <w:r>
              <w:rPr>
                <w:rFonts w:ascii="Arial" w:eastAsia="宋体" w:hAnsi="Arial" w:cs="Arial"/>
                <w:b/>
                <w:bCs/>
                <w:color w:val="000000"/>
                <w:sz w:val="13"/>
                <w:szCs w:val="13"/>
              </w:rPr>
              <w:t>(3,687)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96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6CD"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96CE"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96CF" w14:textId="77777777" w:rsidR="00980E5F" w:rsidRDefault="00483613">
            <w:pPr>
              <w:jc w:val="right"/>
              <w:textAlignment w:val="bottom"/>
            </w:pPr>
            <w:r>
              <w:rPr>
                <w:rFonts w:ascii="Arial" w:eastAsia="宋体" w:hAnsi="Arial" w:cs="Arial"/>
                <w:color w:val="000000"/>
                <w:sz w:val="13"/>
                <w:szCs w:val="13"/>
              </w:rPr>
              <w:t>(422)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96D0" w14:textId="77777777" w:rsidR="00980E5F" w:rsidRDefault="00980E5F">
            <w:pPr>
              <w:jc w:val="right"/>
              <w:rPr>
                <w:rFonts w:ascii="宋体"/>
              </w:rPr>
            </w:pPr>
          </w:p>
        </w:tc>
        <w:tc>
          <w:tcPr>
            <w:tcW w:w="0" w:type="auto"/>
            <w:shd w:val="clear" w:color="auto" w:fill="auto"/>
            <w:vAlign w:val="bottom"/>
          </w:tcPr>
          <w:p w14:paraId="392C96D1" w14:textId="77777777" w:rsidR="00980E5F" w:rsidRDefault="00980E5F">
            <w:pPr>
              <w:rPr>
                <w:rFonts w:ascii="宋体"/>
                <w:vanish/>
              </w:rPr>
            </w:pPr>
          </w:p>
        </w:tc>
        <w:tc>
          <w:tcPr>
            <w:tcW w:w="0" w:type="auto"/>
            <w:shd w:val="clear" w:color="auto" w:fill="auto"/>
            <w:vAlign w:val="bottom"/>
          </w:tcPr>
          <w:p w14:paraId="392C96D2" w14:textId="77777777" w:rsidR="00980E5F" w:rsidRDefault="00980E5F">
            <w:pPr>
              <w:rPr>
                <w:rFonts w:ascii="宋体"/>
                <w:vanish/>
              </w:rPr>
            </w:pPr>
          </w:p>
        </w:tc>
        <w:tc>
          <w:tcPr>
            <w:tcW w:w="0" w:type="auto"/>
            <w:shd w:val="clear" w:color="auto" w:fill="auto"/>
            <w:vAlign w:val="bottom"/>
          </w:tcPr>
          <w:p w14:paraId="392C96D3" w14:textId="77777777" w:rsidR="00980E5F" w:rsidRDefault="00980E5F">
            <w:pPr>
              <w:rPr>
                <w:rFonts w:ascii="宋体"/>
                <w:vanish/>
              </w:rPr>
            </w:pPr>
          </w:p>
        </w:tc>
        <w:tc>
          <w:tcPr>
            <w:tcW w:w="0" w:type="auto"/>
            <w:shd w:val="clear" w:color="auto" w:fill="auto"/>
            <w:vAlign w:val="bottom"/>
          </w:tcPr>
          <w:p w14:paraId="392C96D4" w14:textId="77777777" w:rsidR="00980E5F" w:rsidRDefault="00980E5F">
            <w:pPr>
              <w:rPr>
                <w:rFonts w:ascii="宋体"/>
                <w:vanish/>
              </w:rPr>
            </w:pPr>
          </w:p>
        </w:tc>
      </w:tr>
    </w:tbl>
    <w:p w14:paraId="392C96D6" w14:textId="77777777" w:rsidR="00980E5F" w:rsidRDefault="00483613">
      <w:pPr>
        <w:spacing w:before="60"/>
        <w:ind w:firstLine="450"/>
      </w:pPr>
      <w:r>
        <w:rPr>
          <w:rFonts w:ascii="Arial" w:eastAsia="宋体" w:hAnsi="Arial" w:cs="Arial"/>
          <w:color w:val="000000"/>
          <w:sz w:val="20"/>
          <w:szCs w:val="20"/>
        </w:rPr>
        <w:t>The following tables present changes in AOCI by component, net of related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271"/>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412"/>
        <w:gridCol w:w="36"/>
      </w:tblGrid>
      <w:tr w:rsidR="00980E5F" w14:paraId="392C9701" w14:textId="77777777">
        <w:tc>
          <w:tcPr>
            <w:tcW w:w="50" w:type="pct"/>
            <w:shd w:val="clear" w:color="auto" w:fill="auto"/>
            <w:vAlign w:val="bottom"/>
          </w:tcPr>
          <w:p w14:paraId="392C96D7" w14:textId="77777777" w:rsidR="00980E5F" w:rsidRDefault="00980E5F">
            <w:pPr>
              <w:rPr>
                <w:rFonts w:ascii="宋体"/>
              </w:rPr>
            </w:pPr>
          </w:p>
        </w:tc>
        <w:tc>
          <w:tcPr>
            <w:tcW w:w="1319" w:type="pct"/>
            <w:shd w:val="clear" w:color="auto" w:fill="auto"/>
            <w:vAlign w:val="bottom"/>
          </w:tcPr>
          <w:p w14:paraId="392C96D8" w14:textId="77777777" w:rsidR="00980E5F" w:rsidRDefault="00980E5F">
            <w:pPr>
              <w:rPr>
                <w:rFonts w:ascii="宋体"/>
              </w:rPr>
            </w:pPr>
          </w:p>
        </w:tc>
        <w:tc>
          <w:tcPr>
            <w:tcW w:w="5" w:type="pct"/>
            <w:shd w:val="clear" w:color="auto" w:fill="auto"/>
            <w:vAlign w:val="bottom"/>
          </w:tcPr>
          <w:p w14:paraId="392C96D9" w14:textId="77777777" w:rsidR="00980E5F" w:rsidRDefault="00980E5F">
            <w:pPr>
              <w:rPr>
                <w:rFonts w:ascii="宋体"/>
              </w:rPr>
            </w:pPr>
          </w:p>
        </w:tc>
        <w:tc>
          <w:tcPr>
            <w:tcW w:w="50" w:type="pct"/>
            <w:shd w:val="clear" w:color="auto" w:fill="auto"/>
            <w:vAlign w:val="bottom"/>
          </w:tcPr>
          <w:p w14:paraId="392C96DA" w14:textId="77777777" w:rsidR="00980E5F" w:rsidRDefault="00980E5F">
            <w:pPr>
              <w:rPr>
                <w:rFonts w:ascii="宋体"/>
              </w:rPr>
            </w:pPr>
          </w:p>
        </w:tc>
        <w:tc>
          <w:tcPr>
            <w:tcW w:w="493" w:type="pct"/>
            <w:shd w:val="clear" w:color="auto" w:fill="auto"/>
            <w:vAlign w:val="bottom"/>
          </w:tcPr>
          <w:p w14:paraId="392C96DB" w14:textId="77777777" w:rsidR="00980E5F" w:rsidRDefault="00980E5F">
            <w:pPr>
              <w:rPr>
                <w:rFonts w:ascii="宋体"/>
              </w:rPr>
            </w:pPr>
          </w:p>
        </w:tc>
        <w:tc>
          <w:tcPr>
            <w:tcW w:w="5" w:type="pct"/>
            <w:shd w:val="clear" w:color="auto" w:fill="auto"/>
            <w:vAlign w:val="bottom"/>
          </w:tcPr>
          <w:p w14:paraId="392C96DC" w14:textId="77777777" w:rsidR="00980E5F" w:rsidRDefault="00980E5F">
            <w:pPr>
              <w:rPr>
                <w:rFonts w:ascii="宋体"/>
              </w:rPr>
            </w:pPr>
          </w:p>
        </w:tc>
        <w:tc>
          <w:tcPr>
            <w:tcW w:w="5" w:type="pct"/>
            <w:shd w:val="clear" w:color="auto" w:fill="auto"/>
            <w:vAlign w:val="bottom"/>
          </w:tcPr>
          <w:p w14:paraId="392C96DD" w14:textId="77777777" w:rsidR="00980E5F" w:rsidRDefault="00980E5F">
            <w:pPr>
              <w:rPr>
                <w:rFonts w:ascii="宋体"/>
              </w:rPr>
            </w:pPr>
          </w:p>
        </w:tc>
        <w:tc>
          <w:tcPr>
            <w:tcW w:w="19" w:type="pct"/>
            <w:shd w:val="clear" w:color="auto" w:fill="auto"/>
            <w:vAlign w:val="bottom"/>
          </w:tcPr>
          <w:p w14:paraId="392C96DE" w14:textId="77777777" w:rsidR="00980E5F" w:rsidRDefault="00980E5F">
            <w:pPr>
              <w:rPr>
                <w:rFonts w:ascii="宋体"/>
              </w:rPr>
            </w:pPr>
          </w:p>
        </w:tc>
        <w:tc>
          <w:tcPr>
            <w:tcW w:w="5" w:type="pct"/>
            <w:shd w:val="clear" w:color="auto" w:fill="auto"/>
            <w:vAlign w:val="bottom"/>
          </w:tcPr>
          <w:p w14:paraId="392C96DF" w14:textId="77777777" w:rsidR="00980E5F" w:rsidRDefault="00980E5F">
            <w:pPr>
              <w:rPr>
                <w:rFonts w:ascii="宋体"/>
              </w:rPr>
            </w:pPr>
          </w:p>
        </w:tc>
        <w:tc>
          <w:tcPr>
            <w:tcW w:w="50" w:type="pct"/>
            <w:shd w:val="clear" w:color="auto" w:fill="auto"/>
            <w:vAlign w:val="bottom"/>
          </w:tcPr>
          <w:p w14:paraId="392C96E0" w14:textId="77777777" w:rsidR="00980E5F" w:rsidRDefault="00980E5F">
            <w:pPr>
              <w:rPr>
                <w:rFonts w:ascii="宋体"/>
              </w:rPr>
            </w:pPr>
          </w:p>
        </w:tc>
        <w:tc>
          <w:tcPr>
            <w:tcW w:w="449" w:type="pct"/>
            <w:shd w:val="clear" w:color="auto" w:fill="auto"/>
            <w:vAlign w:val="bottom"/>
          </w:tcPr>
          <w:p w14:paraId="392C96E1" w14:textId="77777777" w:rsidR="00980E5F" w:rsidRDefault="00980E5F">
            <w:pPr>
              <w:rPr>
                <w:rFonts w:ascii="宋体"/>
              </w:rPr>
            </w:pPr>
          </w:p>
        </w:tc>
        <w:tc>
          <w:tcPr>
            <w:tcW w:w="5" w:type="pct"/>
            <w:shd w:val="clear" w:color="auto" w:fill="auto"/>
            <w:vAlign w:val="bottom"/>
          </w:tcPr>
          <w:p w14:paraId="392C96E2" w14:textId="77777777" w:rsidR="00980E5F" w:rsidRDefault="00980E5F">
            <w:pPr>
              <w:rPr>
                <w:rFonts w:ascii="宋体"/>
              </w:rPr>
            </w:pPr>
          </w:p>
        </w:tc>
        <w:tc>
          <w:tcPr>
            <w:tcW w:w="5" w:type="pct"/>
            <w:shd w:val="clear" w:color="auto" w:fill="auto"/>
            <w:vAlign w:val="bottom"/>
          </w:tcPr>
          <w:p w14:paraId="392C96E3" w14:textId="77777777" w:rsidR="00980E5F" w:rsidRDefault="00980E5F">
            <w:pPr>
              <w:rPr>
                <w:rFonts w:ascii="宋体"/>
              </w:rPr>
            </w:pPr>
          </w:p>
        </w:tc>
        <w:tc>
          <w:tcPr>
            <w:tcW w:w="19" w:type="pct"/>
            <w:shd w:val="clear" w:color="auto" w:fill="auto"/>
            <w:vAlign w:val="bottom"/>
          </w:tcPr>
          <w:p w14:paraId="392C96E4" w14:textId="77777777" w:rsidR="00980E5F" w:rsidRDefault="00980E5F">
            <w:pPr>
              <w:rPr>
                <w:rFonts w:ascii="宋体"/>
              </w:rPr>
            </w:pPr>
          </w:p>
        </w:tc>
        <w:tc>
          <w:tcPr>
            <w:tcW w:w="5" w:type="pct"/>
            <w:shd w:val="clear" w:color="auto" w:fill="auto"/>
            <w:vAlign w:val="bottom"/>
          </w:tcPr>
          <w:p w14:paraId="392C96E5" w14:textId="77777777" w:rsidR="00980E5F" w:rsidRDefault="00980E5F">
            <w:pPr>
              <w:rPr>
                <w:rFonts w:ascii="宋体"/>
              </w:rPr>
            </w:pPr>
          </w:p>
        </w:tc>
        <w:tc>
          <w:tcPr>
            <w:tcW w:w="50" w:type="pct"/>
            <w:shd w:val="clear" w:color="auto" w:fill="auto"/>
            <w:vAlign w:val="bottom"/>
          </w:tcPr>
          <w:p w14:paraId="392C96E6" w14:textId="77777777" w:rsidR="00980E5F" w:rsidRDefault="00980E5F">
            <w:pPr>
              <w:rPr>
                <w:rFonts w:ascii="宋体"/>
              </w:rPr>
            </w:pPr>
          </w:p>
        </w:tc>
        <w:tc>
          <w:tcPr>
            <w:tcW w:w="610" w:type="pct"/>
            <w:shd w:val="clear" w:color="auto" w:fill="auto"/>
            <w:vAlign w:val="bottom"/>
          </w:tcPr>
          <w:p w14:paraId="392C96E7" w14:textId="77777777" w:rsidR="00980E5F" w:rsidRDefault="00980E5F">
            <w:pPr>
              <w:rPr>
                <w:rFonts w:ascii="宋体"/>
              </w:rPr>
            </w:pPr>
          </w:p>
        </w:tc>
        <w:tc>
          <w:tcPr>
            <w:tcW w:w="5" w:type="pct"/>
            <w:shd w:val="clear" w:color="auto" w:fill="auto"/>
            <w:vAlign w:val="bottom"/>
          </w:tcPr>
          <w:p w14:paraId="392C96E8" w14:textId="77777777" w:rsidR="00980E5F" w:rsidRDefault="00980E5F">
            <w:pPr>
              <w:rPr>
                <w:rFonts w:ascii="宋体"/>
              </w:rPr>
            </w:pPr>
          </w:p>
        </w:tc>
        <w:tc>
          <w:tcPr>
            <w:tcW w:w="5" w:type="pct"/>
            <w:shd w:val="clear" w:color="auto" w:fill="auto"/>
            <w:vAlign w:val="bottom"/>
          </w:tcPr>
          <w:p w14:paraId="392C96E9" w14:textId="77777777" w:rsidR="00980E5F" w:rsidRDefault="00980E5F">
            <w:pPr>
              <w:rPr>
                <w:rFonts w:ascii="宋体"/>
              </w:rPr>
            </w:pPr>
          </w:p>
        </w:tc>
        <w:tc>
          <w:tcPr>
            <w:tcW w:w="19" w:type="pct"/>
            <w:shd w:val="clear" w:color="auto" w:fill="auto"/>
            <w:vAlign w:val="bottom"/>
          </w:tcPr>
          <w:p w14:paraId="392C96EA" w14:textId="77777777" w:rsidR="00980E5F" w:rsidRDefault="00980E5F">
            <w:pPr>
              <w:rPr>
                <w:rFonts w:ascii="宋体"/>
              </w:rPr>
            </w:pPr>
          </w:p>
        </w:tc>
        <w:tc>
          <w:tcPr>
            <w:tcW w:w="5" w:type="pct"/>
            <w:shd w:val="clear" w:color="auto" w:fill="auto"/>
            <w:vAlign w:val="bottom"/>
          </w:tcPr>
          <w:p w14:paraId="392C96EB" w14:textId="77777777" w:rsidR="00980E5F" w:rsidRDefault="00980E5F">
            <w:pPr>
              <w:rPr>
                <w:rFonts w:ascii="宋体"/>
              </w:rPr>
            </w:pPr>
          </w:p>
        </w:tc>
        <w:tc>
          <w:tcPr>
            <w:tcW w:w="50" w:type="pct"/>
            <w:shd w:val="clear" w:color="auto" w:fill="auto"/>
            <w:vAlign w:val="bottom"/>
          </w:tcPr>
          <w:p w14:paraId="392C96EC" w14:textId="77777777" w:rsidR="00980E5F" w:rsidRDefault="00980E5F">
            <w:pPr>
              <w:rPr>
                <w:rFonts w:ascii="宋体"/>
              </w:rPr>
            </w:pPr>
          </w:p>
        </w:tc>
        <w:tc>
          <w:tcPr>
            <w:tcW w:w="493" w:type="pct"/>
            <w:shd w:val="clear" w:color="auto" w:fill="auto"/>
            <w:vAlign w:val="bottom"/>
          </w:tcPr>
          <w:p w14:paraId="392C96ED" w14:textId="77777777" w:rsidR="00980E5F" w:rsidRDefault="00980E5F">
            <w:pPr>
              <w:rPr>
                <w:rFonts w:ascii="宋体"/>
              </w:rPr>
            </w:pPr>
          </w:p>
        </w:tc>
        <w:tc>
          <w:tcPr>
            <w:tcW w:w="5" w:type="pct"/>
            <w:shd w:val="clear" w:color="auto" w:fill="auto"/>
            <w:vAlign w:val="bottom"/>
          </w:tcPr>
          <w:p w14:paraId="392C96EE" w14:textId="77777777" w:rsidR="00980E5F" w:rsidRDefault="00980E5F">
            <w:pPr>
              <w:rPr>
                <w:rFonts w:ascii="宋体"/>
              </w:rPr>
            </w:pPr>
          </w:p>
        </w:tc>
        <w:tc>
          <w:tcPr>
            <w:tcW w:w="5" w:type="pct"/>
            <w:shd w:val="clear" w:color="auto" w:fill="auto"/>
            <w:vAlign w:val="bottom"/>
          </w:tcPr>
          <w:p w14:paraId="392C96EF" w14:textId="77777777" w:rsidR="00980E5F" w:rsidRDefault="00980E5F">
            <w:pPr>
              <w:rPr>
                <w:rFonts w:ascii="宋体"/>
              </w:rPr>
            </w:pPr>
          </w:p>
        </w:tc>
        <w:tc>
          <w:tcPr>
            <w:tcW w:w="19" w:type="pct"/>
            <w:shd w:val="clear" w:color="auto" w:fill="auto"/>
            <w:vAlign w:val="bottom"/>
          </w:tcPr>
          <w:p w14:paraId="392C96F0" w14:textId="77777777" w:rsidR="00980E5F" w:rsidRDefault="00980E5F">
            <w:pPr>
              <w:rPr>
                <w:rFonts w:ascii="宋体"/>
              </w:rPr>
            </w:pPr>
          </w:p>
        </w:tc>
        <w:tc>
          <w:tcPr>
            <w:tcW w:w="5" w:type="pct"/>
            <w:shd w:val="clear" w:color="auto" w:fill="auto"/>
            <w:vAlign w:val="bottom"/>
          </w:tcPr>
          <w:p w14:paraId="392C96F1" w14:textId="77777777" w:rsidR="00980E5F" w:rsidRDefault="00980E5F">
            <w:pPr>
              <w:rPr>
                <w:rFonts w:ascii="宋体"/>
              </w:rPr>
            </w:pPr>
          </w:p>
        </w:tc>
        <w:tc>
          <w:tcPr>
            <w:tcW w:w="50" w:type="pct"/>
            <w:shd w:val="clear" w:color="auto" w:fill="auto"/>
            <w:vAlign w:val="bottom"/>
          </w:tcPr>
          <w:p w14:paraId="392C96F2" w14:textId="77777777" w:rsidR="00980E5F" w:rsidRDefault="00980E5F">
            <w:pPr>
              <w:rPr>
                <w:rFonts w:ascii="宋体"/>
              </w:rPr>
            </w:pPr>
          </w:p>
        </w:tc>
        <w:tc>
          <w:tcPr>
            <w:tcW w:w="354" w:type="pct"/>
            <w:shd w:val="clear" w:color="auto" w:fill="auto"/>
            <w:vAlign w:val="bottom"/>
          </w:tcPr>
          <w:p w14:paraId="392C96F3" w14:textId="77777777" w:rsidR="00980E5F" w:rsidRDefault="00980E5F">
            <w:pPr>
              <w:rPr>
                <w:rFonts w:ascii="宋体"/>
              </w:rPr>
            </w:pPr>
          </w:p>
        </w:tc>
        <w:tc>
          <w:tcPr>
            <w:tcW w:w="5" w:type="pct"/>
            <w:shd w:val="clear" w:color="auto" w:fill="auto"/>
            <w:vAlign w:val="bottom"/>
          </w:tcPr>
          <w:p w14:paraId="392C96F4" w14:textId="77777777" w:rsidR="00980E5F" w:rsidRDefault="00980E5F">
            <w:pPr>
              <w:rPr>
                <w:rFonts w:ascii="宋体"/>
              </w:rPr>
            </w:pPr>
          </w:p>
        </w:tc>
        <w:tc>
          <w:tcPr>
            <w:tcW w:w="5" w:type="pct"/>
            <w:shd w:val="clear" w:color="auto" w:fill="auto"/>
            <w:vAlign w:val="bottom"/>
          </w:tcPr>
          <w:p w14:paraId="392C96F5" w14:textId="77777777" w:rsidR="00980E5F" w:rsidRDefault="00980E5F">
            <w:pPr>
              <w:rPr>
                <w:rFonts w:ascii="宋体"/>
              </w:rPr>
            </w:pPr>
          </w:p>
        </w:tc>
        <w:tc>
          <w:tcPr>
            <w:tcW w:w="19" w:type="pct"/>
            <w:shd w:val="clear" w:color="auto" w:fill="auto"/>
            <w:vAlign w:val="bottom"/>
          </w:tcPr>
          <w:p w14:paraId="392C96F6" w14:textId="77777777" w:rsidR="00980E5F" w:rsidRDefault="00980E5F">
            <w:pPr>
              <w:rPr>
                <w:rFonts w:ascii="宋体"/>
              </w:rPr>
            </w:pPr>
          </w:p>
        </w:tc>
        <w:tc>
          <w:tcPr>
            <w:tcW w:w="5" w:type="pct"/>
            <w:shd w:val="clear" w:color="auto" w:fill="auto"/>
            <w:vAlign w:val="bottom"/>
          </w:tcPr>
          <w:p w14:paraId="392C96F7" w14:textId="77777777" w:rsidR="00980E5F" w:rsidRDefault="00980E5F">
            <w:pPr>
              <w:rPr>
                <w:rFonts w:ascii="宋体"/>
              </w:rPr>
            </w:pPr>
          </w:p>
        </w:tc>
        <w:tc>
          <w:tcPr>
            <w:tcW w:w="50" w:type="pct"/>
            <w:shd w:val="clear" w:color="auto" w:fill="auto"/>
            <w:vAlign w:val="bottom"/>
          </w:tcPr>
          <w:p w14:paraId="392C96F8" w14:textId="77777777" w:rsidR="00980E5F" w:rsidRDefault="00980E5F">
            <w:pPr>
              <w:rPr>
                <w:rFonts w:ascii="宋体"/>
              </w:rPr>
            </w:pPr>
          </w:p>
        </w:tc>
        <w:tc>
          <w:tcPr>
            <w:tcW w:w="347" w:type="pct"/>
            <w:shd w:val="clear" w:color="auto" w:fill="auto"/>
            <w:vAlign w:val="bottom"/>
          </w:tcPr>
          <w:p w14:paraId="392C96F9" w14:textId="77777777" w:rsidR="00980E5F" w:rsidRDefault="00980E5F">
            <w:pPr>
              <w:rPr>
                <w:rFonts w:ascii="宋体"/>
              </w:rPr>
            </w:pPr>
          </w:p>
        </w:tc>
        <w:tc>
          <w:tcPr>
            <w:tcW w:w="5" w:type="pct"/>
            <w:shd w:val="clear" w:color="auto" w:fill="auto"/>
            <w:vAlign w:val="bottom"/>
          </w:tcPr>
          <w:p w14:paraId="392C96FA" w14:textId="77777777" w:rsidR="00980E5F" w:rsidRDefault="00980E5F">
            <w:pPr>
              <w:rPr>
                <w:rFonts w:ascii="宋体"/>
              </w:rPr>
            </w:pPr>
          </w:p>
        </w:tc>
        <w:tc>
          <w:tcPr>
            <w:tcW w:w="5" w:type="pct"/>
            <w:shd w:val="clear" w:color="auto" w:fill="auto"/>
            <w:vAlign w:val="bottom"/>
          </w:tcPr>
          <w:p w14:paraId="392C96FB" w14:textId="77777777" w:rsidR="00980E5F" w:rsidRDefault="00980E5F">
            <w:pPr>
              <w:rPr>
                <w:rFonts w:ascii="宋体"/>
              </w:rPr>
            </w:pPr>
          </w:p>
        </w:tc>
        <w:tc>
          <w:tcPr>
            <w:tcW w:w="19" w:type="pct"/>
            <w:shd w:val="clear" w:color="auto" w:fill="auto"/>
            <w:vAlign w:val="bottom"/>
          </w:tcPr>
          <w:p w14:paraId="392C96FC" w14:textId="77777777" w:rsidR="00980E5F" w:rsidRDefault="00980E5F">
            <w:pPr>
              <w:rPr>
                <w:rFonts w:ascii="宋体"/>
              </w:rPr>
            </w:pPr>
          </w:p>
        </w:tc>
        <w:tc>
          <w:tcPr>
            <w:tcW w:w="5" w:type="pct"/>
            <w:shd w:val="clear" w:color="auto" w:fill="auto"/>
            <w:vAlign w:val="bottom"/>
          </w:tcPr>
          <w:p w14:paraId="392C96FD" w14:textId="77777777" w:rsidR="00980E5F" w:rsidRDefault="00980E5F">
            <w:pPr>
              <w:rPr>
                <w:rFonts w:ascii="宋体"/>
              </w:rPr>
            </w:pPr>
          </w:p>
        </w:tc>
        <w:tc>
          <w:tcPr>
            <w:tcW w:w="50" w:type="pct"/>
            <w:shd w:val="clear" w:color="auto" w:fill="auto"/>
            <w:vAlign w:val="bottom"/>
          </w:tcPr>
          <w:p w14:paraId="392C96FE" w14:textId="77777777" w:rsidR="00980E5F" w:rsidRDefault="00980E5F">
            <w:pPr>
              <w:rPr>
                <w:rFonts w:ascii="宋体"/>
              </w:rPr>
            </w:pPr>
          </w:p>
        </w:tc>
        <w:tc>
          <w:tcPr>
            <w:tcW w:w="318" w:type="pct"/>
            <w:shd w:val="clear" w:color="auto" w:fill="auto"/>
            <w:vAlign w:val="bottom"/>
          </w:tcPr>
          <w:p w14:paraId="392C96FF" w14:textId="77777777" w:rsidR="00980E5F" w:rsidRDefault="00980E5F">
            <w:pPr>
              <w:rPr>
                <w:rFonts w:ascii="宋体"/>
              </w:rPr>
            </w:pPr>
          </w:p>
        </w:tc>
        <w:tc>
          <w:tcPr>
            <w:tcW w:w="5" w:type="pct"/>
            <w:shd w:val="clear" w:color="auto" w:fill="auto"/>
            <w:vAlign w:val="bottom"/>
          </w:tcPr>
          <w:p w14:paraId="392C9700" w14:textId="77777777" w:rsidR="00980E5F" w:rsidRDefault="00980E5F">
            <w:pPr>
              <w:rPr>
                <w:rFonts w:ascii="宋体"/>
              </w:rPr>
            </w:pPr>
          </w:p>
        </w:tc>
      </w:tr>
      <w:tr w:rsidR="00980E5F" w14:paraId="392C9710" w14:textId="77777777">
        <w:tc>
          <w:tcPr>
            <w:tcW w:w="0" w:type="auto"/>
            <w:gridSpan w:val="3"/>
            <w:shd w:val="clear" w:color="auto" w:fill="auto"/>
            <w:tcMar>
              <w:top w:w="40" w:type="dxa"/>
              <w:left w:w="20" w:type="dxa"/>
              <w:bottom w:w="40" w:type="dxa"/>
              <w:right w:w="20" w:type="dxa"/>
            </w:tcMar>
            <w:vAlign w:val="bottom"/>
          </w:tcPr>
          <w:p w14:paraId="392C9702"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9703" w14:textId="77777777" w:rsidR="00980E5F" w:rsidRDefault="00483613">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392C970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5" w14:textId="77777777" w:rsidR="00980E5F" w:rsidRDefault="00483613">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392C9706"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7" w14:textId="77777777" w:rsidR="00980E5F" w:rsidRDefault="00483613">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392C970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9" w14:textId="77777777" w:rsidR="00980E5F" w:rsidRDefault="00483613">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392C970A"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B" w14:textId="77777777" w:rsidR="00980E5F" w:rsidRDefault="00483613">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392C970C"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D" w14:textId="77777777" w:rsidR="00980E5F" w:rsidRDefault="00483613">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392C970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70F" w14:textId="77777777" w:rsidR="00980E5F" w:rsidRDefault="00483613">
            <w:pPr>
              <w:jc w:val="center"/>
              <w:textAlignment w:val="bottom"/>
            </w:pPr>
            <w:r>
              <w:rPr>
                <w:rFonts w:ascii="Arial" w:eastAsia="宋体" w:hAnsi="Arial" w:cs="Arial"/>
                <w:b/>
                <w:bCs/>
                <w:color w:val="000000"/>
                <w:sz w:val="13"/>
                <w:szCs w:val="13"/>
              </w:rPr>
              <w:t>Total</w:t>
            </w:r>
          </w:p>
        </w:tc>
      </w:tr>
      <w:tr w:rsidR="00980E5F" w14:paraId="392C971F" w14:textId="77777777">
        <w:trPr>
          <w:hidden/>
        </w:trPr>
        <w:tc>
          <w:tcPr>
            <w:tcW w:w="0" w:type="auto"/>
            <w:gridSpan w:val="3"/>
            <w:shd w:val="clear" w:color="auto" w:fill="auto"/>
            <w:vAlign w:val="bottom"/>
          </w:tcPr>
          <w:p w14:paraId="392C9711" w14:textId="77777777" w:rsidR="00980E5F" w:rsidRDefault="00980E5F">
            <w:pPr>
              <w:rPr>
                <w:rFonts w:ascii="宋体"/>
                <w:vanish/>
              </w:rPr>
            </w:pPr>
          </w:p>
        </w:tc>
        <w:tc>
          <w:tcPr>
            <w:tcW w:w="0" w:type="auto"/>
            <w:gridSpan w:val="3"/>
            <w:shd w:val="clear" w:color="auto" w:fill="auto"/>
            <w:vAlign w:val="bottom"/>
          </w:tcPr>
          <w:p w14:paraId="392C9712" w14:textId="77777777" w:rsidR="00980E5F" w:rsidRDefault="00980E5F">
            <w:pPr>
              <w:rPr>
                <w:rFonts w:ascii="宋体"/>
                <w:vanish/>
              </w:rPr>
            </w:pPr>
          </w:p>
        </w:tc>
        <w:tc>
          <w:tcPr>
            <w:tcW w:w="0" w:type="auto"/>
            <w:gridSpan w:val="3"/>
            <w:shd w:val="clear" w:color="auto" w:fill="auto"/>
            <w:vAlign w:val="bottom"/>
          </w:tcPr>
          <w:p w14:paraId="392C9713" w14:textId="77777777" w:rsidR="00980E5F" w:rsidRDefault="00980E5F">
            <w:pPr>
              <w:rPr>
                <w:rFonts w:ascii="宋体"/>
                <w:vanish/>
              </w:rPr>
            </w:pPr>
          </w:p>
        </w:tc>
        <w:tc>
          <w:tcPr>
            <w:tcW w:w="0" w:type="auto"/>
            <w:gridSpan w:val="3"/>
            <w:shd w:val="clear" w:color="auto" w:fill="auto"/>
            <w:vAlign w:val="bottom"/>
          </w:tcPr>
          <w:p w14:paraId="392C9714" w14:textId="77777777" w:rsidR="00980E5F" w:rsidRDefault="00980E5F">
            <w:pPr>
              <w:rPr>
                <w:rFonts w:ascii="宋体"/>
                <w:vanish/>
              </w:rPr>
            </w:pPr>
          </w:p>
        </w:tc>
        <w:tc>
          <w:tcPr>
            <w:tcW w:w="0" w:type="auto"/>
            <w:gridSpan w:val="3"/>
            <w:shd w:val="clear" w:color="auto" w:fill="auto"/>
            <w:vAlign w:val="bottom"/>
          </w:tcPr>
          <w:p w14:paraId="392C9715" w14:textId="77777777" w:rsidR="00980E5F" w:rsidRDefault="00980E5F">
            <w:pPr>
              <w:rPr>
                <w:rFonts w:ascii="宋体"/>
                <w:vanish/>
              </w:rPr>
            </w:pPr>
          </w:p>
        </w:tc>
        <w:tc>
          <w:tcPr>
            <w:tcW w:w="0" w:type="auto"/>
            <w:gridSpan w:val="3"/>
            <w:shd w:val="clear" w:color="auto" w:fill="auto"/>
            <w:vAlign w:val="bottom"/>
          </w:tcPr>
          <w:p w14:paraId="392C9716" w14:textId="77777777" w:rsidR="00980E5F" w:rsidRDefault="00980E5F">
            <w:pPr>
              <w:rPr>
                <w:rFonts w:ascii="宋体"/>
                <w:vanish/>
              </w:rPr>
            </w:pPr>
          </w:p>
        </w:tc>
        <w:tc>
          <w:tcPr>
            <w:tcW w:w="0" w:type="auto"/>
            <w:gridSpan w:val="3"/>
            <w:shd w:val="clear" w:color="auto" w:fill="auto"/>
            <w:vAlign w:val="bottom"/>
          </w:tcPr>
          <w:p w14:paraId="392C9717" w14:textId="77777777" w:rsidR="00980E5F" w:rsidRDefault="00980E5F">
            <w:pPr>
              <w:rPr>
                <w:rFonts w:ascii="宋体"/>
                <w:vanish/>
              </w:rPr>
            </w:pPr>
          </w:p>
        </w:tc>
        <w:tc>
          <w:tcPr>
            <w:tcW w:w="0" w:type="auto"/>
            <w:gridSpan w:val="3"/>
            <w:shd w:val="clear" w:color="auto" w:fill="auto"/>
            <w:vAlign w:val="bottom"/>
          </w:tcPr>
          <w:p w14:paraId="392C9718" w14:textId="77777777" w:rsidR="00980E5F" w:rsidRDefault="00980E5F">
            <w:pPr>
              <w:rPr>
                <w:rFonts w:ascii="宋体"/>
                <w:vanish/>
              </w:rPr>
            </w:pPr>
          </w:p>
        </w:tc>
        <w:tc>
          <w:tcPr>
            <w:tcW w:w="0" w:type="auto"/>
            <w:gridSpan w:val="3"/>
            <w:shd w:val="clear" w:color="auto" w:fill="auto"/>
            <w:vAlign w:val="bottom"/>
          </w:tcPr>
          <w:p w14:paraId="392C9719" w14:textId="77777777" w:rsidR="00980E5F" w:rsidRDefault="00980E5F">
            <w:pPr>
              <w:rPr>
                <w:rFonts w:ascii="宋体"/>
                <w:vanish/>
              </w:rPr>
            </w:pPr>
          </w:p>
        </w:tc>
        <w:tc>
          <w:tcPr>
            <w:tcW w:w="0" w:type="auto"/>
            <w:gridSpan w:val="3"/>
            <w:shd w:val="clear" w:color="auto" w:fill="auto"/>
            <w:vAlign w:val="bottom"/>
          </w:tcPr>
          <w:p w14:paraId="392C971A" w14:textId="77777777" w:rsidR="00980E5F" w:rsidRDefault="00980E5F">
            <w:pPr>
              <w:rPr>
                <w:rFonts w:ascii="宋体"/>
                <w:vanish/>
              </w:rPr>
            </w:pPr>
          </w:p>
        </w:tc>
        <w:tc>
          <w:tcPr>
            <w:tcW w:w="0" w:type="auto"/>
            <w:gridSpan w:val="3"/>
            <w:shd w:val="clear" w:color="auto" w:fill="auto"/>
            <w:vAlign w:val="bottom"/>
          </w:tcPr>
          <w:p w14:paraId="392C971B" w14:textId="77777777" w:rsidR="00980E5F" w:rsidRDefault="00980E5F">
            <w:pPr>
              <w:rPr>
                <w:rFonts w:ascii="宋体"/>
                <w:vanish/>
              </w:rPr>
            </w:pPr>
          </w:p>
        </w:tc>
        <w:tc>
          <w:tcPr>
            <w:tcW w:w="0" w:type="auto"/>
            <w:gridSpan w:val="3"/>
            <w:shd w:val="clear" w:color="auto" w:fill="auto"/>
            <w:vAlign w:val="bottom"/>
          </w:tcPr>
          <w:p w14:paraId="392C971C" w14:textId="77777777" w:rsidR="00980E5F" w:rsidRDefault="00980E5F">
            <w:pPr>
              <w:rPr>
                <w:rFonts w:ascii="宋体"/>
                <w:vanish/>
              </w:rPr>
            </w:pPr>
          </w:p>
        </w:tc>
        <w:tc>
          <w:tcPr>
            <w:tcW w:w="0" w:type="auto"/>
            <w:gridSpan w:val="3"/>
            <w:shd w:val="clear" w:color="auto" w:fill="auto"/>
            <w:vAlign w:val="bottom"/>
          </w:tcPr>
          <w:p w14:paraId="392C971D" w14:textId="77777777" w:rsidR="00980E5F" w:rsidRDefault="00980E5F">
            <w:pPr>
              <w:rPr>
                <w:rFonts w:ascii="宋体"/>
                <w:vanish/>
              </w:rPr>
            </w:pPr>
          </w:p>
        </w:tc>
        <w:tc>
          <w:tcPr>
            <w:tcW w:w="0" w:type="auto"/>
            <w:gridSpan w:val="3"/>
            <w:shd w:val="clear" w:color="auto" w:fill="auto"/>
            <w:vAlign w:val="bottom"/>
          </w:tcPr>
          <w:p w14:paraId="392C971E" w14:textId="77777777" w:rsidR="00980E5F" w:rsidRDefault="00980E5F">
            <w:pPr>
              <w:rPr>
                <w:rFonts w:ascii="宋体"/>
                <w:vanish/>
              </w:rPr>
            </w:pPr>
          </w:p>
        </w:tc>
      </w:tr>
      <w:tr w:rsidR="00980E5F" w14:paraId="392C972E" w14:textId="77777777">
        <w:trPr>
          <w:hidden/>
        </w:trPr>
        <w:tc>
          <w:tcPr>
            <w:tcW w:w="0" w:type="auto"/>
            <w:gridSpan w:val="3"/>
            <w:shd w:val="clear" w:color="auto" w:fill="auto"/>
            <w:vAlign w:val="bottom"/>
          </w:tcPr>
          <w:p w14:paraId="392C9720" w14:textId="77777777" w:rsidR="00980E5F" w:rsidRDefault="00980E5F">
            <w:pPr>
              <w:rPr>
                <w:rFonts w:ascii="宋体"/>
                <w:vanish/>
              </w:rPr>
            </w:pPr>
          </w:p>
        </w:tc>
        <w:tc>
          <w:tcPr>
            <w:tcW w:w="0" w:type="auto"/>
            <w:gridSpan w:val="3"/>
            <w:shd w:val="clear" w:color="auto" w:fill="auto"/>
            <w:vAlign w:val="bottom"/>
          </w:tcPr>
          <w:p w14:paraId="392C9721" w14:textId="77777777" w:rsidR="00980E5F" w:rsidRDefault="00980E5F">
            <w:pPr>
              <w:rPr>
                <w:rFonts w:ascii="宋体"/>
                <w:vanish/>
              </w:rPr>
            </w:pPr>
          </w:p>
        </w:tc>
        <w:tc>
          <w:tcPr>
            <w:tcW w:w="0" w:type="auto"/>
            <w:gridSpan w:val="3"/>
            <w:shd w:val="clear" w:color="auto" w:fill="auto"/>
            <w:vAlign w:val="bottom"/>
          </w:tcPr>
          <w:p w14:paraId="392C9722" w14:textId="77777777" w:rsidR="00980E5F" w:rsidRDefault="00980E5F">
            <w:pPr>
              <w:rPr>
                <w:rFonts w:ascii="宋体"/>
                <w:vanish/>
              </w:rPr>
            </w:pPr>
          </w:p>
        </w:tc>
        <w:tc>
          <w:tcPr>
            <w:tcW w:w="0" w:type="auto"/>
            <w:gridSpan w:val="3"/>
            <w:shd w:val="clear" w:color="auto" w:fill="auto"/>
            <w:vAlign w:val="bottom"/>
          </w:tcPr>
          <w:p w14:paraId="392C9723" w14:textId="77777777" w:rsidR="00980E5F" w:rsidRDefault="00980E5F">
            <w:pPr>
              <w:rPr>
                <w:rFonts w:ascii="宋体"/>
                <w:vanish/>
              </w:rPr>
            </w:pPr>
          </w:p>
        </w:tc>
        <w:tc>
          <w:tcPr>
            <w:tcW w:w="0" w:type="auto"/>
            <w:gridSpan w:val="3"/>
            <w:shd w:val="clear" w:color="auto" w:fill="auto"/>
            <w:vAlign w:val="bottom"/>
          </w:tcPr>
          <w:p w14:paraId="392C9724" w14:textId="77777777" w:rsidR="00980E5F" w:rsidRDefault="00980E5F">
            <w:pPr>
              <w:rPr>
                <w:rFonts w:ascii="宋体"/>
                <w:vanish/>
              </w:rPr>
            </w:pPr>
          </w:p>
        </w:tc>
        <w:tc>
          <w:tcPr>
            <w:tcW w:w="0" w:type="auto"/>
            <w:gridSpan w:val="3"/>
            <w:shd w:val="clear" w:color="auto" w:fill="auto"/>
            <w:vAlign w:val="bottom"/>
          </w:tcPr>
          <w:p w14:paraId="392C9725" w14:textId="77777777" w:rsidR="00980E5F" w:rsidRDefault="00980E5F">
            <w:pPr>
              <w:rPr>
                <w:rFonts w:ascii="宋体"/>
                <w:vanish/>
              </w:rPr>
            </w:pPr>
          </w:p>
        </w:tc>
        <w:tc>
          <w:tcPr>
            <w:tcW w:w="0" w:type="auto"/>
            <w:gridSpan w:val="3"/>
            <w:shd w:val="clear" w:color="auto" w:fill="auto"/>
            <w:vAlign w:val="bottom"/>
          </w:tcPr>
          <w:p w14:paraId="392C9726" w14:textId="77777777" w:rsidR="00980E5F" w:rsidRDefault="00980E5F">
            <w:pPr>
              <w:rPr>
                <w:rFonts w:ascii="宋体"/>
                <w:vanish/>
              </w:rPr>
            </w:pPr>
          </w:p>
        </w:tc>
        <w:tc>
          <w:tcPr>
            <w:tcW w:w="0" w:type="auto"/>
            <w:gridSpan w:val="3"/>
            <w:shd w:val="clear" w:color="auto" w:fill="auto"/>
            <w:vAlign w:val="bottom"/>
          </w:tcPr>
          <w:p w14:paraId="392C9727" w14:textId="77777777" w:rsidR="00980E5F" w:rsidRDefault="00980E5F">
            <w:pPr>
              <w:rPr>
                <w:rFonts w:ascii="宋体"/>
                <w:vanish/>
              </w:rPr>
            </w:pPr>
          </w:p>
        </w:tc>
        <w:tc>
          <w:tcPr>
            <w:tcW w:w="0" w:type="auto"/>
            <w:gridSpan w:val="3"/>
            <w:shd w:val="clear" w:color="auto" w:fill="auto"/>
            <w:vAlign w:val="bottom"/>
          </w:tcPr>
          <w:p w14:paraId="392C9728" w14:textId="77777777" w:rsidR="00980E5F" w:rsidRDefault="00980E5F">
            <w:pPr>
              <w:rPr>
                <w:rFonts w:ascii="宋体"/>
                <w:vanish/>
              </w:rPr>
            </w:pPr>
          </w:p>
        </w:tc>
        <w:tc>
          <w:tcPr>
            <w:tcW w:w="0" w:type="auto"/>
            <w:gridSpan w:val="3"/>
            <w:shd w:val="clear" w:color="auto" w:fill="auto"/>
            <w:vAlign w:val="bottom"/>
          </w:tcPr>
          <w:p w14:paraId="392C9729" w14:textId="77777777" w:rsidR="00980E5F" w:rsidRDefault="00980E5F">
            <w:pPr>
              <w:rPr>
                <w:rFonts w:ascii="宋体"/>
                <w:vanish/>
              </w:rPr>
            </w:pPr>
          </w:p>
        </w:tc>
        <w:tc>
          <w:tcPr>
            <w:tcW w:w="0" w:type="auto"/>
            <w:gridSpan w:val="3"/>
            <w:shd w:val="clear" w:color="auto" w:fill="auto"/>
            <w:vAlign w:val="bottom"/>
          </w:tcPr>
          <w:p w14:paraId="392C972A" w14:textId="77777777" w:rsidR="00980E5F" w:rsidRDefault="00980E5F">
            <w:pPr>
              <w:rPr>
                <w:rFonts w:ascii="宋体"/>
                <w:vanish/>
              </w:rPr>
            </w:pPr>
          </w:p>
        </w:tc>
        <w:tc>
          <w:tcPr>
            <w:tcW w:w="0" w:type="auto"/>
            <w:gridSpan w:val="3"/>
            <w:shd w:val="clear" w:color="auto" w:fill="auto"/>
            <w:vAlign w:val="bottom"/>
          </w:tcPr>
          <w:p w14:paraId="392C972B" w14:textId="77777777" w:rsidR="00980E5F" w:rsidRDefault="00980E5F">
            <w:pPr>
              <w:rPr>
                <w:rFonts w:ascii="宋体"/>
                <w:vanish/>
              </w:rPr>
            </w:pPr>
          </w:p>
        </w:tc>
        <w:tc>
          <w:tcPr>
            <w:tcW w:w="0" w:type="auto"/>
            <w:gridSpan w:val="3"/>
            <w:shd w:val="clear" w:color="auto" w:fill="auto"/>
            <w:vAlign w:val="bottom"/>
          </w:tcPr>
          <w:p w14:paraId="392C972C" w14:textId="77777777" w:rsidR="00980E5F" w:rsidRDefault="00980E5F">
            <w:pPr>
              <w:rPr>
                <w:rFonts w:ascii="宋体"/>
                <w:vanish/>
              </w:rPr>
            </w:pPr>
          </w:p>
        </w:tc>
        <w:tc>
          <w:tcPr>
            <w:tcW w:w="0" w:type="auto"/>
            <w:gridSpan w:val="3"/>
            <w:shd w:val="clear" w:color="auto" w:fill="auto"/>
            <w:vAlign w:val="bottom"/>
          </w:tcPr>
          <w:p w14:paraId="392C972D" w14:textId="77777777" w:rsidR="00980E5F" w:rsidRDefault="00980E5F">
            <w:pPr>
              <w:rPr>
                <w:rFonts w:ascii="宋体"/>
                <w:vanish/>
              </w:rPr>
            </w:pPr>
          </w:p>
        </w:tc>
      </w:tr>
      <w:tr w:rsidR="00980E5F" w14:paraId="392C973D" w14:textId="77777777">
        <w:trPr>
          <w:hidden/>
        </w:trPr>
        <w:tc>
          <w:tcPr>
            <w:tcW w:w="0" w:type="auto"/>
            <w:gridSpan w:val="3"/>
            <w:shd w:val="clear" w:color="auto" w:fill="auto"/>
            <w:vAlign w:val="bottom"/>
          </w:tcPr>
          <w:p w14:paraId="392C972F" w14:textId="77777777" w:rsidR="00980E5F" w:rsidRDefault="00980E5F">
            <w:pPr>
              <w:rPr>
                <w:rFonts w:ascii="宋体"/>
                <w:vanish/>
              </w:rPr>
            </w:pPr>
          </w:p>
        </w:tc>
        <w:tc>
          <w:tcPr>
            <w:tcW w:w="0" w:type="auto"/>
            <w:gridSpan w:val="3"/>
            <w:shd w:val="clear" w:color="auto" w:fill="auto"/>
            <w:vAlign w:val="bottom"/>
          </w:tcPr>
          <w:p w14:paraId="392C9730" w14:textId="77777777" w:rsidR="00980E5F" w:rsidRDefault="00980E5F">
            <w:pPr>
              <w:rPr>
                <w:rFonts w:ascii="宋体"/>
                <w:vanish/>
              </w:rPr>
            </w:pPr>
          </w:p>
        </w:tc>
        <w:tc>
          <w:tcPr>
            <w:tcW w:w="0" w:type="auto"/>
            <w:gridSpan w:val="3"/>
            <w:shd w:val="clear" w:color="auto" w:fill="auto"/>
            <w:vAlign w:val="bottom"/>
          </w:tcPr>
          <w:p w14:paraId="392C9731" w14:textId="77777777" w:rsidR="00980E5F" w:rsidRDefault="00980E5F">
            <w:pPr>
              <w:rPr>
                <w:rFonts w:ascii="宋体"/>
                <w:vanish/>
              </w:rPr>
            </w:pPr>
          </w:p>
        </w:tc>
        <w:tc>
          <w:tcPr>
            <w:tcW w:w="0" w:type="auto"/>
            <w:gridSpan w:val="3"/>
            <w:shd w:val="clear" w:color="auto" w:fill="auto"/>
            <w:vAlign w:val="bottom"/>
          </w:tcPr>
          <w:p w14:paraId="392C9732" w14:textId="77777777" w:rsidR="00980E5F" w:rsidRDefault="00980E5F">
            <w:pPr>
              <w:rPr>
                <w:rFonts w:ascii="宋体"/>
                <w:vanish/>
              </w:rPr>
            </w:pPr>
          </w:p>
        </w:tc>
        <w:tc>
          <w:tcPr>
            <w:tcW w:w="0" w:type="auto"/>
            <w:gridSpan w:val="3"/>
            <w:shd w:val="clear" w:color="auto" w:fill="auto"/>
            <w:vAlign w:val="bottom"/>
          </w:tcPr>
          <w:p w14:paraId="392C9733" w14:textId="77777777" w:rsidR="00980E5F" w:rsidRDefault="00980E5F">
            <w:pPr>
              <w:rPr>
                <w:rFonts w:ascii="宋体"/>
                <w:vanish/>
              </w:rPr>
            </w:pPr>
          </w:p>
        </w:tc>
        <w:tc>
          <w:tcPr>
            <w:tcW w:w="0" w:type="auto"/>
            <w:gridSpan w:val="3"/>
            <w:shd w:val="clear" w:color="auto" w:fill="auto"/>
            <w:vAlign w:val="bottom"/>
          </w:tcPr>
          <w:p w14:paraId="392C9734" w14:textId="77777777" w:rsidR="00980E5F" w:rsidRDefault="00980E5F">
            <w:pPr>
              <w:rPr>
                <w:rFonts w:ascii="宋体"/>
                <w:vanish/>
              </w:rPr>
            </w:pPr>
          </w:p>
        </w:tc>
        <w:tc>
          <w:tcPr>
            <w:tcW w:w="0" w:type="auto"/>
            <w:gridSpan w:val="3"/>
            <w:shd w:val="clear" w:color="auto" w:fill="auto"/>
            <w:vAlign w:val="bottom"/>
          </w:tcPr>
          <w:p w14:paraId="392C9735" w14:textId="77777777" w:rsidR="00980E5F" w:rsidRDefault="00980E5F">
            <w:pPr>
              <w:rPr>
                <w:rFonts w:ascii="宋体"/>
                <w:vanish/>
              </w:rPr>
            </w:pPr>
          </w:p>
        </w:tc>
        <w:tc>
          <w:tcPr>
            <w:tcW w:w="0" w:type="auto"/>
            <w:gridSpan w:val="3"/>
            <w:shd w:val="clear" w:color="auto" w:fill="auto"/>
            <w:vAlign w:val="bottom"/>
          </w:tcPr>
          <w:p w14:paraId="392C9736" w14:textId="77777777" w:rsidR="00980E5F" w:rsidRDefault="00980E5F">
            <w:pPr>
              <w:rPr>
                <w:rFonts w:ascii="宋体"/>
                <w:vanish/>
              </w:rPr>
            </w:pPr>
          </w:p>
        </w:tc>
        <w:tc>
          <w:tcPr>
            <w:tcW w:w="0" w:type="auto"/>
            <w:gridSpan w:val="3"/>
            <w:shd w:val="clear" w:color="auto" w:fill="auto"/>
            <w:vAlign w:val="bottom"/>
          </w:tcPr>
          <w:p w14:paraId="392C9737" w14:textId="77777777" w:rsidR="00980E5F" w:rsidRDefault="00980E5F">
            <w:pPr>
              <w:rPr>
                <w:rFonts w:ascii="宋体"/>
                <w:vanish/>
              </w:rPr>
            </w:pPr>
          </w:p>
        </w:tc>
        <w:tc>
          <w:tcPr>
            <w:tcW w:w="0" w:type="auto"/>
            <w:gridSpan w:val="3"/>
            <w:shd w:val="clear" w:color="auto" w:fill="auto"/>
            <w:vAlign w:val="bottom"/>
          </w:tcPr>
          <w:p w14:paraId="392C9738" w14:textId="77777777" w:rsidR="00980E5F" w:rsidRDefault="00980E5F">
            <w:pPr>
              <w:rPr>
                <w:rFonts w:ascii="宋体"/>
                <w:vanish/>
              </w:rPr>
            </w:pPr>
          </w:p>
        </w:tc>
        <w:tc>
          <w:tcPr>
            <w:tcW w:w="0" w:type="auto"/>
            <w:gridSpan w:val="3"/>
            <w:shd w:val="clear" w:color="auto" w:fill="auto"/>
            <w:vAlign w:val="bottom"/>
          </w:tcPr>
          <w:p w14:paraId="392C9739" w14:textId="77777777" w:rsidR="00980E5F" w:rsidRDefault="00980E5F">
            <w:pPr>
              <w:rPr>
                <w:rFonts w:ascii="宋体"/>
                <w:vanish/>
              </w:rPr>
            </w:pPr>
          </w:p>
        </w:tc>
        <w:tc>
          <w:tcPr>
            <w:tcW w:w="0" w:type="auto"/>
            <w:gridSpan w:val="3"/>
            <w:shd w:val="clear" w:color="auto" w:fill="auto"/>
            <w:vAlign w:val="bottom"/>
          </w:tcPr>
          <w:p w14:paraId="392C973A" w14:textId="77777777" w:rsidR="00980E5F" w:rsidRDefault="00980E5F">
            <w:pPr>
              <w:rPr>
                <w:rFonts w:ascii="宋体"/>
                <w:vanish/>
              </w:rPr>
            </w:pPr>
          </w:p>
        </w:tc>
        <w:tc>
          <w:tcPr>
            <w:tcW w:w="0" w:type="auto"/>
            <w:gridSpan w:val="3"/>
            <w:shd w:val="clear" w:color="auto" w:fill="auto"/>
            <w:vAlign w:val="bottom"/>
          </w:tcPr>
          <w:p w14:paraId="392C973B" w14:textId="77777777" w:rsidR="00980E5F" w:rsidRDefault="00980E5F">
            <w:pPr>
              <w:rPr>
                <w:rFonts w:ascii="宋体"/>
                <w:vanish/>
              </w:rPr>
            </w:pPr>
          </w:p>
        </w:tc>
        <w:tc>
          <w:tcPr>
            <w:tcW w:w="0" w:type="auto"/>
            <w:gridSpan w:val="3"/>
            <w:shd w:val="clear" w:color="auto" w:fill="auto"/>
            <w:vAlign w:val="bottom"/>
          </w:tcPr>
          <w:p w14:paraId="392C973C" w14:textId="77777777" w:rsidR="00980E5F" w:rsidRDefault="00980E5F">
            <w:pPr>
              <w:rPr>
                <w:rFonts w:ascii="宋体"/>
                <w:vanish/>
              </w:rPr>
            </w:pPr>
          </w:p>
        </w:tc>
      </w:tr>
      <w:tr w:rsidR="00980E5F" w14:paraId="392C974C" w14:textId="77777777">
        <w:trPr>
          <w:hidden/>
        </w:trPr>
        <w:tc>
          <w:tcPr>
            <w:tcW w:w="0" w:type="auto"/>
            <w:gridSpan w:val="3"/>
            <w:shd w:val="clear" w:color="auto" w:fill="auto"/>
            <w:vAlign w:val="bottom"/>
          </w:tcPr>
          <w:p w14:paraId="392C973E" w14:textId="77777777" w:rsidR="00980E5F" w:rsidRDefault="00980E5F">
            <w:pPr>
              <w:rPr>
                <w:rFonts w:ascii="宋体"/>
                <w:vanish/>
              </w:rPr>
            </w:pPr>
          </w:p>
        </w:tc>
        <w:tc>
          <w:tcPr>
            <w:tcW w:w="0" w:type="auto"/>
            <w:gridSpan w:val="3"/>
            <w:shd w:val="clear" w:color="auto" w:fill="auto"/>
            <w:vAlign w:val="bottom"/>
          </w:tcPr>
          <w:p w14:paraId="392C973F" w14:textId="77777777" w:rsidR="00980E5F" w:rsidRDefault="00980E5F">
            <w:pPr>
              <w:rPr>
                <w:rFonts w:ascii="宋体"/>
                <w:vanish/>
              </w:rPr>
            </w:pPr>
          </w:p>
        </w:tc>
        <w:tc>
          <w:tcPr>
            <w:tcW w:w="0" w:type="auto"/>
            <w:gridSpan w:val="3"/>
            <w:shd w:val="clear" w:color="auto" w:fill="auto"/>
            <w:vAlign w:val="bottom"/>
          </w:tcPr>
          <w:p w14:paraId="392C9740" w14:textId="77777777" w:rsidR="00980E5F" w:rsidRDefault="00980E5F">
            <w:pPr>
              <w:rPr>
                <w:rFonts w:ascii="宋体"/>
                <w:vanish/>
              </w:rPr>
            </w:pPr>
          </w:p>
        </w:tc>
        <w:tc>
          <w:tcPr>
            <w:tcW w:w="0" w:type="auto"/>
            <w:gridSpan w:val="3"/>
            <w:shd w:val="clear" w:color="auto" w:fill="auto"/>
            <w:vAlign w:val="bottom"/>
          </w:tcPr>
          <w:p w14:paraId="392C9741" w14:textId="77777777" w:rsidR="00980E5F" w:rsidRDefault="00980E5F">
            <w:pPr>
              <w:rPr>
                <w:rFonts w:ascii="宋体"/>
                <w:vanish/>
              </w:rPr>
            </w:pPr>
          </w:p>
        </w:tc>
        <w:tc>
          <w:tcPr>
            <w:tcW w:w="0" w:type="auto"/>
            <w:gridSpan w:val="3"/>
            <w:shd w:val="clear" w:color="auto" w:fill="auto"/>
            <w:vAlign w:val="bottom"/>
          </w:tcPr>
          <w:p w14:paraId="392C9742" w14:textId="77777777" w:rsidR="00980E5F" w:rsidRDefault="00980E5F">
            <w:pPr>
              <w:rPr>
                <w:rFonts w:ascii="宋体"/>
                <w:vanish/>
              </w:rPr>
            </w:pPr>
          </w:p>
        </w:tc>
        <w:tc>
          <w:tcPr>
            <w:tcW w:w="0" w:type="auto"/>
            <w:gridSpan w:val="3"/>
            <w:shd w:val="clear" w:color="auto" w:fill="auto"/>
            <w:vAlign w:val="bottom"/>
          </w:tcPr>
          <w:p w14:paraId="392C9743" w14:textId="77777777" w:rsidR="00980E5F" w:rsidRDefault="00980E5F">
            <w:pPr>
              <w:rPr>
                <w:rFonts w:ascii="宋体"/>
                <w:vanish/>
              </w:rPr>
            </w:pPr>
          </w:p>
        </w:tc>
        <w:tc>
          <w:tcPr>
            <w:tcW w:w="0" w:type="auto"/>
            <w:gridSpan w:val="3"/>
            <w:shd w:val="clear" w:color="auto" w:fill="auto"/>
            <w:vAlign w:val="bottom"/>
          </w:tcPr>
          <w:p w14:paraId="392C9744" w14:textId="77777777" w:rsidR="00980E5F" w:rsidRDefault="00980E5F">
            <w:pPr>
              <w:rPr>
                <w:rFonts w:ascii="宋体"/>
                <w:vanish/>
              </w:rPr>
            </w:pPr>
          </w:p>
        </w:tc>
        <w:tc>
          <w:tcPr>
            <w:tcW w:w="0" w:type="auto"/>
            <w:gridSpan w:val="3"/>
            <w:shd w:val="clear" w:color="auto" w:fill="auto"/>
            <w:vAlign w:val="bottom"/>
          </w:tcPr>
          <w:p w14:paraId="392C9745" w14:textId="77777777" w:rsidR="00980E5F" w:rsidRDefault="00980E5F">
            <w:pPr>
              <w:rPr>
                <w:rFonts w:ascii="宋体"/>
                <w:vanish/>
              </w:rPr>
            </w:pPr>
          </w:p>
        </w:tc>
        <w:tc>
          <w:tcPr>
            <w:tcW w:w="0" w:type="auto"/>
            <w:gridSpan w:val="3"/>
            <w:shd w:val="clear" w:color="auto" w:fill="auto"/>
            <w:vAlign w:val="bottom"/>
          </w:tcPr>
          <w:p w14:paraId="392C9746" w14:textId="77777777" w:rsidR="00980E5F" w:rsidRDefault="00980E5F">
            <w:pPr>
              <w:rPr>
                <w:rFonts w:ascii="宋体"/>
                <w:vanish/>
              </w:rPr>
            </w:pPr>
          </w:p>
        </w:tc>
        <w:tc>
          <w:tcPr>
            <w:tcW w:w="0" w:type="auto"/>
            <w:gridSpan w:val="3"/>
            <w:shd w:val="clear" w:color="auto" w:fill="auto"/>
            <w:vAlign w:val="bottom"/>
          </w:tcPr>
          <w:p w14:paraId="392C9747" w14:textId="77777777" w:rsidR="00980E5F" w:rsidRDefault="00980E5F">
            <w:pPr>
              <w:rPr>
                <w:rFonts w:ascii="宋体"/>
                <w:vanish/>
              </w:rPr>
            </w:pPr>
          </w:p>
        </w:tc>
        <w:tc>
          <w:tcPr>
            <w:tcW w:w="0" w:type="auto"/>
            <w:gridSpan w:val="3"/>
            <w:shd w:val="clear" w:color="auto" w:fill="auto"/>
            <w:vAlign w:val="bottom"/>
          </w:tcPr>
          <w:p w14:paraId="392C9748" w14:textId="77777777" w:rsidR="00980E5F" w:rsidRDefault="00980E5F">
            <w:pPr>
              <w:rPr>
                <w:rFonts w:ascii="宋体"/>
                <w:vanish/>
              </w:rPr>
            </w:pPr>
          </w:p>
        </w:tc>
        <w:tc>
          <w:tcPr>
            <w:tcW w:w="0" w:type="auto"/>
            <w:gridSpan w:val="3"/>
            <w:shd w:val="clear" w:color="auto" w:fill="auto"/>
            <w:vAlign w:val="bottom"/>
          </w:tcPr>
          <w:p w14:paraId="392C9749" w14:textId="77777777" w:rsidR="00980E5F" w:rsidRDefault="00980E5F">
            <w:pPr>
              <w:rPr>
                <w:rFonts w:ascii="宋体"/>
                <w:vanish/>
              </w:rPr>
            </w:pPr>
          </w:p>
        </w:tc>
        <w:tc>
          <w:tcPr>
            <w:tcW w:w="0" w:type="auto"/>
            <w:gridSpan w:val="3"/>
            <w:shd w:val="clear" w:color="auto" w:fill="auto"/>
            <w:vAlign w:val="bottom"/>
          </w:tcPr>
          <w:p w14:paraId="392C974A" w14:textId="77777777" w:rsidR="00980E5F" w:rsidRDefault="00980E5F">
            <w:pPr>
              <w:rPr>
                <w:rFonts w:ascii="宋体"/>
                <w:vanish/>
              </w:rPr>
            </w:pPr>
          </w:p>
        </w:tc>
        <w:tc>
          <w:tcPr>
            <w:tcW w:w="0" w:type="auto"/>
            <w:gridSpan w:val="3"/>
            <w:shd w:val="clear" w:color="auto" w:fill="auto"/>
            <w:vAlign w:val="bottom"/>
          </w:tcPr>
          <w:p w14:paraId="392C974B" w14:textId="77777777" w:rsidR="00980E5F" w:rsidRDefault="00980E5F">
            <w:pPr>
              <w:rPr>
                <w:rFonts w:ascii="宋体"/>
                <w:vanish/>
              </w:rPr>
            </w:pPr>
          </w:p>
        </w:tc>
      </w:tr>
      <w:tr w:rsidR="00980E5F" w14:paraId="392C975B" w14:textId="77777777">
        <w:trPr>
          <w:hidden/>
        </w:trPr>
        <w:tc>
          <w:tcPr>
            <w:tcW w:w="0" w:type="auto"/>
            <w:gridSpan w:val="3"/>
            <w:shd w:val="clear" w:color="auto" w:fill="auto"/>
            <w:vAlign w:val="bottom"/>
          </w:tcPr>
          <w:p w14:paraId="392C974D" w14:textId="77777777" w:rsidR="00980E5F" w:rsidRDefault="00980E5F">
            <w:pPr>
              <w:rPr>
                <w:rFonts w:ascii="宋体"/>
                <w:vanish/>
              </w:rPr>
            </w:pPr>
          </w:p>
        </w:tc>
        <w:tc>
          <w:tcPr>
            <w:tcW w:w="0" w:type="auto"/>
            <w:gridSpan w:val="3"/>
            <w:shd w:val="clear" w:color="auto" w:fill="auto"/>
            <w:vAlign w:val="bottom"/>
          </w:tcPr>
          <w:p w14:paraId="392C974E" w14:textId="77777777" w:rsidR="00980E5F" w:rsidRDefault="00980E5F">
            <w:pPr>
              <w:rPr>
                <w:rFonts w:ascii="宋体"/>
                <w:vanish/>
              </w:rPr>
            </w:pPr>
          </w:p>
        </w:tc>
        <w:tc>
          <w:tcPr>
            <w:tcW w:w="0" w:type="auto"/>
            <w:gridSpan w:val="3"/>
            <w:shd w:val="clear" w:color="auto" w:fill="auto"/>
            <w:vAlign w:val="bottom"/>
          </w:tcPr>
          <w:p w14:paraId="392C974F" w14:textId="77777777" w:rsidR="00980E5F" w:rsidRDefault="00980E5F">
            <w:pPr>
              <w:rPr>
                <w:rFonts w:ascii="宋体"/>
                <w:vanish/>
              </w:rPr>
            </w:pPr>
          </w:p>
        </w:tc>
        <w:tc>
          <w:tcPr>
            <w:tcW w:w="0" w:type="auto"/>
            <w:gridSpan w:val="3"/>
            <w:shd w:val="clear" w:color="auto" w:fill="auto"/>
            <w:vAlign w:val="bottom"/>
          </w:tcPr>
          <w:p w14:paraId="392C9750" w14:textId="77777777" w:rsidR="00980E5F" w:rsidRDefault="00980E5F">
            <w:pPr>
              <w:rPr>
                <w:rFonts w:ascii="宋体"/>
                <w:vanish/>
              </w:rPr>
            </w:pPr>
          </w:p>
        </w:tc>
        <w:tc>
          <w:tcPr>
            <w:tcW w:w="0" w:type="auto"/>
            <w:gridSpan w:val="3"/>
            <w:shd w:val="clear" w:color="auto" w:fill="auto"/>
            <w:vAlign w:val="bottom"/>
          </w:tcPr>
          <w:p w14:paraId="392C9751" w14:textId="77777777" w:rsidR="00980E5F" w:rsidRDefault="00980E5F">
            <w:pPr>
              <w:rPr>
                <w:rFonts w:ascii="宋体"/>
                <w:vanish/>
              </w:rPr>
            </w:pPr>
          </w:p>
        </w:tc>
        <w:tc>
          <w:tcPr>
            <w:tcW w:w="0" w:type="auto"/>
            <w:gridSpan w:val="3"/>
            <w:shd w:val="clear" w:color="auto" w:fill="auto"/>
            <w:vAlign w:val="bottom"/>
          </w:tcPr>
          <w:p w14:paraId="392C9752" w14:textId="77777777" w:rsidR="00980E5F" w:rsidRDefault="00980E5F">
            <w:pPr>
              <w:rPr>
                <w:rFonts w:ascii="宋体"/>
                <w:vanish/>
              </w:rPr>
            </w:pPr>
          </w:p>
        </w:tc>
        <w:tc>
          <w:tcPr>
            <w:tcW w:w="0" w:type="auto"/>
            <w:gridSpan w:val="3"/>
            <w:shd w:val="clear" w:color="auto" w:fill="auto"/>
            <w:vAlign w:val="bottom"/>
          </w:tcPr>
          <w:p w14:paraId="392C9753" w14:textId="77777777" w:rsidR="00980E5F" w:rsidRDefault="00980E5F">
            <w:pPr>
              <w:rPr>
                <w:rFonts w:ascii="宋体"/>
                <w:vanish/>
              </w:rPr>
            </w:pPr>
          </w:p>
        </w:tc>
        <w:tc>
          <w:tcPr>
            <w:tcW w:w="0" w:type="auto"/>
            <w:gridSpan w:val="3"/>
            <w:shd w:val="clear" w:color="auto" w:fill="auto"/>
            <w:vAlign w:val="bottom"/>
          </w:tcPr>
          <w:p w14:paraId="392C9754" w14:textId="77777777" w:rsidR="00980E5F" w:rsidRDefault="00980E5F">
            <w:pPr>
              <w:rPr>
                <w:rFonts w:ascii="宋体"/>
                <w:vanish/>
              </w:rPr>
            </w:pPr>
          </w:p>
        </w:tc>
        <w:tc>
          <w:tcPr>
            <w:tcW w:w="0" w:type="auto"/>
            <w:gridSpan w:val="3"/>
            <w:shd w:val="clear" w:color="auto" w:fill="auto"/>
            <w:vAlign w:val="bottom"/>
          </w:tcPr>
          <w:p w14:paraId="392C9755" w14:textId="77777777" w:rsidR="00980E5F" w:rsidRDefault="00980E5F">
            <w:pPr>
              <w:rPr>
                <w:rFonts w:ascii="宋体"/>
                <w:vanish/>
              </w:rPr>
            </w:pPr>
          </w:p>
        </w:tc>
        <w:tc>
          <w:tcPr>
            <w:tcW w:w="0" w:type="auto"/>
            <w:gridSpan w:val="3"/>
            <w:shd w:val="clear" w:color="auto" w:fill="auto"/>
            <w:vAlign w:val="bottom"/>
          </w:tcPr>
          <w:p w14:paraId="392C9756" w14:textId="77777777" w:rsidR="00980E5F" w:rsidRDefault="00980E5F">
            <w:pPr>
              <w:rPr>
                <w:rFonts w:ascii="宋体"/>
                <w:vanish/>
              </w:rPr>
            </w:pPr>
          </w:p>
        </w:tc>
        <w:tc>
          <w:tcPr>
            <w:tcW w:w="0" w:type="auto"/>
            <w:gridSpan w:val="3"/>
            <w:shd w:val="clear" w:color="auto" w:fill="auto"/>
            <w:vAlign w:val="bottom"/>
          </w:tcPr>
          <w:p w14:paraId="392C9757" w14:textId="77777777" w:rsidR="00980E5F" w:rsidRDefault="00980E5F">
            <w:pPr>
              <w:rPr>
                <w:rFonts w:ascii="宋体"/>
                <w:vanish/>
              </w:rPr>
            </w:pPr>
          </w:p>
        </w:tc>
        <w:tc>
          <w:tcPr>
            <w:tcW w:w="0" w:type="auto"/>
            <w:gridSpan w:val="3"/>
            <w:shd w:val="clear" w:color="auto" w:fill="auto"/>
            <w:vAlign w:val="bottom"/>
          </w:tcPr>
          <w:p w14:paraId="392C9758" w14:textId="77777777" w:rsidR="00980E5F" w:rsidRDefault="00980E5F">
            <w:pPr>
              <w:rPr>
                <w:rFonts w:ascii="宋体"/>
                <w:vanish/>
              </w:rPr>
            </w:pPr>
          </w:p>
        </w:tc>
        <w:tc>
          <w:tcPr>
            <w:tcW w:w="0" w:type="auto"/>
            <w:gridSpan w:val="3"/>
            <w:shd w:val="clear" w:color="auto" w:fill="auto"/>
            <w:vAlign w:val="bottom"/>
          </w:tcPr>
          <w:p w14:paraId="392C9759" w14:textId="77777777" w:rsidR="00980E5F" w:rsidRDefault="00980E5F">
            <w:pPr>
              <w:rPr>
                <w:rFonts w:ascii="宋体"/>
                <w:vanish/>
              </w:rPr>
            </w:pPr>
          </w:p>
        </w:tc>
        <w:tc>
          <w:tcPr>
            <w:tcW w:w="0" w:type="auto"/>
            <w:gridSpan w:val="3"/>
            <w:shd w:val="clear" w:color="auto" w:fill="auto"/>
            <w:vAlign w:val="bottom"/>
          </w:tcPr>
          <w:p w14:paraId="392C975A" w14:textId="77777777" w:rsidR="00980E5F" w:rsidRDefault="00980E5F">
            <w:pPr>
              <w:rPr>
                <w:rFonts w:ascii="宋体"/>
                <w:vanish/>
              </w:rPr>
            </w:pPr>
          </w:p>
        </w:tc>
      </w:tr>
      <w:tr w:rsidR="00980E5F" w14:paraId="392C9778" w14:textId="77777777">
        <w:tc>
          <w:tcPr>
            <w:tcW w:w="0" w:type="auto"/>
            <w:gridSpan w:val="3"/>
            <w:shd w:val="clear" w:color="auto" w:fill="CCEEFF"/>
            <w:tcMar>
              <w:top w:w="40" w:type="dxa"/>
              <w:left w:w="20" w:type="dxa"/>
              <w:bottom w:w="40" w:type="dxa"/>
              <w:right w:w="20" w:type="dxa"/>
            </w:tcMar>
            <w:vAlign w:val="bottom"/>
          </w:tcPr>
          <w:p w14:paraId="392C975C" w14:textId="77777777" w:rsidR="00980E5F" w:rsidRDefault="00483613">
            <w:pPr>
              <w:textAlignment w:val="bottom"/>
            </w:pPr>
            <w:r>
              <w:rPr>
                <w:rFonts w:ascii="Arial" w:eastAsia="宋体" w:hAnsi="Arial" w:cs="Arial"/>
                <w:b/>
                <w:bCs/>
                <w:color w:val="000000"/>
                <w:sz w:val="13"/>
                <w:szCs w:val="13"/>
              </w:rPr>
              <w:t>Balance as of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75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5E" w14:textId="77777777" w:rsidR="00980E5F" w:rsidRDefault="00483613">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6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6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62" w14:textId="77777777" w:rsidR="00980E5F" w:rsidRDefault="00483613">
            <w:pPr>
              <w:jc w:val="right"/>
              <w:textAlignment w:val="bottom"/>
            </w:pPr>
            <w:r>
              <w:rPr>
                <w:rFonts w:ascii="Arial" w:eastAsia="宋体" w:hAnsi="Arial" w:cs="Arial"/>
                <w:color w:val="000000"/>
                <w:sz w:val="13"/>
                <w:szCs w:val="13"/>
              </w:rPr>
              <w:t>(48)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6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6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66" w14:textId="77777777" w:rsidR="00980E5F" w:rsidRDefault="00483613">
            <w:pPr>
              <w:jc w:val="right"/>
              <w:textAlignment w:val="bottom"/>
            </w:pPr>
            <w:r>
              <w:rPr>
                <w:rFonts w:ascii="Arial" w:eastAsia="宋体" w:hAnsi="Arial" w:cs="Arial"/>
                <w:color w:val="000000"/>
                <w:sz w:val="13"/>
                <w:szCs w:val="13"/>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6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6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6A" w14:textId="77777777" w:rsidR="00980E5F" w:rsidRDefault="00483613">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6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6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6E" w14:textId="77777777" w:rsidR="00980E5F" w:rsidRDefault="00483613">
            <w:pPr>
              <w:jc w:val="right"/>
              <w:textAlignment w:val="bottom"/>
            </w:pPr>
            <w:r>
              <w:rPr>
                <w:rFonts w:ascii="Arial" w:eastAsia="宋体" w:hAnsi="Arial" w:cs="Arial"/>
                <w:color w:val="000000"/>
                <w:sz w:val="13"/>
                <w:szCs w:val="13"/>
              </w:rPr>
              <w:t>(130)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7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7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72" w14:textId="77777777" w:rsidR="00980E5F" w:rsidRDefault="00483613">
            <w:pPr>
              <w:jc w:val="right"/>
              <w:textAlignment w:val="bottom"/>
            </w:pPr>
            <w:r>
              <w:rPr>
                <w:rFonts w:ascii="Arial" w:eastAsia="宋体" w:hAnsi="Arial" w:cs="Arial"/>
                <w:color w:val="000000"/>
                <w:sz w:val="13"/>
                <w:szCs w:val="13"/>
              </w:rPr>
              <w:t>(1,019)</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7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7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77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776" w14:textId="77777777" w:rsidR="00980E5F" w:rsidRDefault="00483613">
            <w:pPr>
              <w:jc w:val="right"/>
              <w:textAlignment w:val="bottom"/>
            </w:pPr>
            <w:r>
              <w:rPr>
                <w:rFonts w:ascii="Arial" w:eastAsia="宋体" w:hAnsi="Arial" w:cs="Arial"/>
                <w:color w:val="000000"/>
                <w:sz w:val="13"/>
                <w:szCs w:val="13"/>
              </w:rPr>
              <w:t>(1,133)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777" w14:textId="77777777" w:rsidR="00980E5F" w:rsidRDefault="00980E5F">
            <w:pPr>
              <w:jc w:val="right"/>
              <w:rPr>
                <w:rFonts w:ascii="宋体"/>
              </w:rPr>
            </w:pPr>
          </w:p>
        </w:tc>
      </w:tr>
      <w:tr w:rsidR="00980E5F" w14:paraId="392C978E" w14:textId="77777777">
        <w:tc>
          <w:tcPr>
            <w:tcW w:w="0" w:type="auto"/>
            <w:gridSpan w:val="3"/>
            <w:shd w:val="clear" w:color="auto" w:fill="FFFFFF"/>
            <w:tcMar>
              <w:top w:w="40" w:type="dxa"/>
              <w:left w:w="20" w:type="dxa"/>
              <w:bottom w:w="40" w:type="dxa"/>
              <w:right w:w="20" w:type="dxa"/>
            </w:tcMar>
            <w:vAlign w:val="bottom"/>
          </w:tcPr>
          <w:p w14:paraId="392C9779" w14:textId="77777777" w:rsidR="00980E5F" w:rsidRDefault="00483613">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392C977A" w14:textId="77777777" w:rsidR="00980E5F" w:rsidRDefault="00483613">
            <w:pPr>
              <w:jc w:val="right"/>
              <w:textAlignment w:val="bottom"/>
            </w:pPr>
            <w:r>
              <w:rPr>
                <w:rFonts w:ascii="Arial" w:eastAsia="宋体" w:hAnsi="Arial" w:cs="Arial"/>
                <w:b/>
                <w:bCs/>
                <w:color w:val="000000"/>
                <w:sz w:val="13"/>
                <w:szCs w:val="13"/>
              </w:rPr>
              <w:t>(211)</w:t>
            </w:r>
          </w:p>
        </w:tc>
        <w:tc>
          <w:tcPr>
            <w:tcW w:w="0" w:type="auto"/>
            <w:shd w:val="clear" w:color="auto" w:fill="FFFFFF"/>
            <w:tcMar>
              <w:top w:w="40" w:type="dxa"/>
              <w:left w:w="0" w:type="dxa"/>
              <w:bottom w:w="40" w:type="dxa"/>
              <w:right w:w="20" w:type="dxa"/>
            </w:tcMar>
            <w:vAlign w:val="bottom"/>
          </w:tcPr>
          <w:p w14:paraId="392C97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7D" w14:textId="77777777" w:rsidR="00980E5F" w:rsidRDefault="00483613">
            <w:pPr>
              <w:jc w:val="right"/>
              <w:textAlignment w:val="bottom"/>
            </w:pPr>
            <w:r>
              <w:rPr>
                <w:rFonts w:ascii="Arial" w:eastAsia="宋体" w:hAnsi="Arial" w:cs="Arial"/>
                <w:b/>
                <w:bCs/>
                <w:color w:val="000000"/>
                <w:sz w:val="13"/>
                <w:szCs w:val="13"/>
              </w:rPr>
              <w:t>(1,793)</w:t>
            </w:r>
          </w:p>
        </w:tc>
        <w:tc>
          <w:tcPr>
            <w:tcW w:w="0" w:type="auto"/>
            <w:shd w:val="clear" w:color="auto" w:fill="FFFFFF"/>
            <w:tcMar>
              <w:top w:w="40" w:type="dxa"/>
              <w:left w:w="0" w:type="dxa"/>
              <w:bottom w:w="40" w:type="dxa"/>
              <w:right w:w="20" w:type="dxa"/>
            </w:tcMar>
            <w:vAlign w:val="bottom"/>
          </w:tcPr>
          <w:p w14:paraId="392C97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80" w14:textId="77777777" w:rsidR="00980E5F" w:rsidRDefault="00483613">
            <w:pPr>
              <w:jc w:val="right"/>
              <w:textAlignment w:val="bottom"/>
            </w:pPr>
            <w:r>
              <w:rPr>
                <w:rFonts w:ascii="Arial" w:eastAsia="宋体" w:hAnsi="Arial" w:cs="Arial"/>
                <w:b/>
                <w:bCs/>
                <w:color w:val="000000"/>
                <w:sz w:val="13"/>
                <w:szCs w:val="13"/>
              </w:rPr>
              <w:t>328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97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83"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978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8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86" w14:textId="77777777" w:rsidR="00980E5F" w:rsidRDefault="00483613">
            <w:pPr>
              <w:jc w:val="right"/>
              <w:textAlignment w:val="bottom"/>
            </w:pPr>
            <w:r>
              <w:rPr>
                <w:rFonts w:ascii="Arial" w:eastAsia="宋体" w:hAnsi="Arial" w:cs="Arial"/>
                <w:b/>
                <w:bCs/>
                <w:color w:val="000000"/>
                <w:sz w:val="13"/>
                <w:szCs w:val="13"/>
              </w:rPr>
              <w:t>(2)</w:t>
            </w:r>
          </w:p>
        </w:tc>
        <w:tc>
          <w:tcPr>
            <w:tcW w:w="0" w:type="auto"/>
            <w:shd w:val="clear" w:color="auto" w:fill="FFFFFF"/>
            <w:tcMar>
              <w:top w:w="40" w:type="dxa"/>
              <w:left w:w="0" w:type="dxa"/>
              <w:bottom w:w="40" w:type="dxa"/>
              <w:right w:w="20" w:type="dxa"/>
            </w:tcMar>
            <w:vAlign w:val="bottom"/>
          </w:tcPr>
          <w:p w14:paraId="392C97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89" w14:textId="77777777" w:rsidR="00980E5F" w:rsidRDefault="00483613">
            <w:pPr>
              <w:jc w:val="right"/>
              <w:textAlignment w:val="bottom"/>
            </w:pPr>
            <w:r>
              <w:rPr>
                <w:rFonts w:ascii="Arial" w:eastAsia="宋体" w:hAnsi="Arial" w:cs="Arial"/>
                <w:b/>
                <w:bCs/>
                <w:color w:val="000000"/>
                <w:sz w:val="13"/>
                <w:szCs w:val="13"/>
              </w:rPr>
              <w:t>(872)</w:t>
            </w:r>
          </w:p>
        </w:tc>
        <w:tc>
          <w:tcPr>
            <w:tcW w:w="0" w:type="auto"/>
            <w:shd w:val="clear" w:color="auto" w:fill="FFFFFF"/>
            <w:tcMar>
              <w:top w:w="40" w:type="dxa"/>
              <w:left w:w="0" w:type="dxa"/>
              <w:bottom w:w="40" w:type="dxa"/>
              <w:right w:w="20" w:type="dxa"/>
            </w:tcMar>
            <w:vAlign w:val="bottom"/>
          </w:tcPr>
          <w:p w14:paraId="392C97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8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78C" w14:textId="77777777" w:rsidR="00980E5F" w:rsidRDefault="00483613">
            <w:pPr>
              <w:jc w:val="right"/>
              <w:textAlignment w:val="bottom"/>
            </w:pPr>
            <w:r>
              <w:rPr>
                <w:rFonts w:ascii="Arial" w:eastAsia="宋体" w:hAnsi="Arial" w:cs="Arial"/>
                <w:b/>
                <w:bCs/>
                <w:color w:val="000000"/>
                <w:sz w:val="13"/>
                <w:szCs w:val="13"/>
              </w:rPr>
              <w:t>(2,549)</w:t>
            </w:r>
          </w:p>
        </w:tc>
        <w:tc>
          <w:tcPr>
            <w:tcW w:w="0" w:type="auto"/>
            <w:shd w:val="clear" w:color="auto" w:fill="FFFFFF"/>
            <w:tcMar>
              <w:top w:w="40" w:type="dxa"/>
              <w:left w:w="0" w:type="dxa"/>
              <w:bottom w:w="40" w:type="dxa"/>
              <w:right w:w="20" w:type="dxa"/>
            </w:tcMar>
            <w:vAlign w:val="bottom"/>
          </w:tcPr>
          <w:p w14:paraId="392C978D" w14:textId="77777777" w:rsidR="00980E5F" w:rsidRDefault="00980E5F">
            <w:pPr>
              <w:jc w:val="right"/>
              <w:rPr>
                <w:rFonts w:ascii="宋体"/>
              </w:rPr>
            </w:pPr>
          </w:p>
        </w:tc>
      </w:tr>
      <w:tr w:rsidR="00980E5F" w14:paraId="392C979D" w14:textId="77777777">
        <w:trPr>
          <w:hidden/>
        </w:trPr>
        <w:tc>
          <w:tcPr>
            <w:tcW w:w="0" w:type="auto"/>
            <w:gridSpan w:val="3"/>
            <w:shd w:val="clear" w:color="auto" w:fill="auto"/>
            <w:vAlign w:val="bottom"/>
          </w:tcPr>
          <w:p w14:paraId="392C978F" w14:textId="77777777" w:rsidR="00980E5F" w:rsidRDefault="00980E5F">
            <w:pPr>
              <w:rPr>
                <w:rFonts w:ascii="宋体"/>
                <w:vanish/>
              </w:rPr>
            </w:pPr>
          </w:p>
        </w:tc>
        <w:tc>
          <w:tcPr>
            <w:tcW w:w="0" w:type="auto"/>
            <w:gridSpan w:val="3"/>
            <w:shd w:val="clear" w:color="auto" w:fill="auto"/>
            <w:vAlign w:val="bottom"/>
          </w:tcPr>
          <w:p w14:paraId="392C9790" w14:textId="77777777" w:rsidR="00980E5F" w:rsidRDefault="00980E5F">
            <w:pPr>
              <w:rPr>
                <w:rFonts w:ascii="宋体"/>
                <w:vanish/>
              </w:rPr>
            </w:pPr>
          </w:p>
        </w:tc>
        <w:tc>
          <w:tcPr>
            <w:tcW w:w="0" w:type="auto"/>
            <w:gridSpan w:val="3"/>
            <w:shd w:val="clear" w:color="auto" w:fill="auto"/>
            <w:vAlign w:val="bottom"/>
          </w:tcPr>
          <w:p w14:paraId="392C9791" w14:textId="77777777" w:rsidR="00980E5F" w:rsidRDefault="00980E5F">
            <w:pPr>
              <w:rPr>
                <w:rFonts w:ascii="宋体"/>
                <w:vanish/>
              </w:rPr>
            </w:pPr>
          </w:p>
        </w:tc>
        <w:tc>
          <w:tcPr>
            <w:tcW w:w="0" w:type="auto"/>
            <w:gridSpan w:val="3"/>
            <w:shd w:val="clear" w:color="auto" w:fill="auto"/>
            <w:vAlign w:val="bottom"/>
          </w:tcPr>
          <w:p w14:paraId="392C9792" w14:textId="77777777" w:rsidR="00980E5F" w:rsidRDefault="00980E5F">
            <w:pPr>
              <w:rPr>
                <w:rFonts w:ascii="宋体"/>
                <w:vanish/>
              </w:rPr>
            </w:pPr>
          </w:p>
        </w:tc>
        <w:tc>
          <w:tcPr>
            <w:tcW w:w="0" w:type="auto"/>
            <w:gridSpan w:val="3"/>
            <w:shd w:val="clear" w:color="auto" w:fill="auto"/>
            <w:vAlign w:val="bottom"/>
          </w:tcPr>
          <w:p w14:paraId="392C9793" w14:textId="77777777" w:rsidR="00980E5F" w:rsidRDefault="00980E5F">
            <w:pPr>
              <w:rPr>
                <w:rFonts w:ascii="宋体"/>
                <w:vanish/>
              </w:rPr>
            </w:pPr>
          </w:p>
        </w:tc>
        <w:tc>
          <w:tcPr>
            <w:tcW w:w="0" w:type="auto"/>
            <w:gridSpan w:val="3"/>
            <w:shd w:val="clear" w:color="auto" w:fill="auto"/>
            <w:vAlign w:val="bottom"/>
          </w:tcPr>
          <w:p w14:paraId="392C9794" w14:textId="77777777" w:rsidR="00980E5F" w:rsidRDefault="00980E5F">
            <w:pPr>
              <w:rPr>
                <w:rFonts w:ascii="宋体"/>
                <w:vanish/>
              </w:rPr>
            </w:pPr>
          </w:p>
        </w:tc>
        <w:tc>
          <w:tcPr>
            <w:tcW w:w="0" w:type="auto"/>
            <w:gridSpan w:val="3"/>
            <w:shd w:val="clear" w:color="auto" w:fill="auto"/>
            <w:vAlign w:val="bottom"/>
          </w:tcPr>
          <w:p w14:paraId="392C9795" w14:textId="77777777" w:rsidR="00980E5F" w:rsidRDefault="00980E5F">
            <w:pPr>
              <w:rPr>
                <w:rFonts w:ascii="宋体"/>
                <w:vanish/>
              </w:rPr>
            </w:pPr>
          </w:p>
        </w:tc>
        <w:tc>
          <w:tcPr>
            <w:tcW w:w="0" w:type="auto"/>
            <w:gridSpan w:val="3"/>
            <w:shd w:val="clear" w:color="auto" w:fill="auto"/>
            <w:vAlign w:val="bottom"/>
          </w:tcPr>
          <w:p w14:paraId="392C9796" w14:textId="77777777" w:rsidR="00980E5F" w:rsidRDefault="00980E5F">
            <w:pPr>
              <w:rPr>
                <w:rFonts w:ascii="宋体"/>
                <w:vanish/>
              </w:rPr>
            </w:pPr>
          </w:p>
        </w:tc>
        <w:tc>
          <w:tcPr>
            <w:tcW w:w="0" w:type="auto"/>
            <w:gridSpan w:val="3"/>
            <w:shd w:val="clear" w:color="auto" w:fill="auto"/>
            <w:vAlign w:val="bottom"/>
          </w:tcPr>
          <w:p w14:paraId="392C9797" w14:textId="77777777" w:rsidR="00980E5F" w:rsidRDefault="00980E5F">
            <w:pPr>
              <w:rPr>
                <w:rFonts w:ascii="宋体"/>
                <w:vanish/>
              </w:rPr>
            </w:pPr>
          </w:p>
        </w:tc>
        <w:tc>
          <w:tcPr>
            <w:tcW w:w="0" w:type="auto"/>
            <w:gridSpan w:val="3"/>
            <w:shd w:val="clear" w:color="auto" w:fill="auto"/>
            <w:vAlign w:val="bottom"/>
          </w:tcPr>
          <w:p w14:paraId="392C9798" w14:textId="77777777" w:rsidR="00980E5F" w:rsidRDefault="00980E5F">
            <w:pPr>
              <w:rPr>
                <w:rFonts w:ascii="宋体"/>
                <w:vanish/>
              </w:rPr>
            </w:pPr>
          </w:p>
        </w:tc>
        <w:tc>
          <w:tcPr>
            <w:tcW w:w="0" w:type="auto"/>
            <w:gridSpan w:val="3"/>
            <w:shd w:val="clear" w:color="auto" w:fill="auto"/>
            <w:vAlign w:val="bottom"/>
          </w:tcPr>
          <w:p w14:paraId="392C9799" w14:textId="77777777" w:rsidR="00980E5F" w:rsidRDefault="00980E5F">
            <w:pPr>
              <w:rPr>
                <w:rFonts w:ascii="宋体"/>
                <w:vanish/>
              </w:rPr>
            </w:pPr>
          </w:p>
        </w:tc>
        <w:tc>
          <w:tcPr>
            <w:tcW w:w="0" w:type="auto"/>
            <w:gridSpan w:val="3"/>
            <w:shd w:val="clear" w:color="auto" w:fill="auto"/>
            <w:vAlign w:val="bottom"/>
          </w:tcPr>
          <w:p w14:paraId="392C979A" w14:textId="77777777" w:rsidR="00980E5F" w:rsidRDefault="00980E5F">
            <w:pPr>
              <w:rPr>
                <w:rFonts w:ascii="宋体"/>
                <w:vanish/>
              </w:rPr>
            </w:pPr>
          </w:p>
        </w:tc>
        <w:tc>
          <w:tcPr>
            <w:tcW w:w="0" w:type="auto"/>
            <w:gridSpan w:val="3"/>
            <w:shd w:val="clear" w:color="auto" w:fill="auto"/>
            <w:vAlign w:val="bottom"/>
          </w:tcPr>
          <w:p w14:paraId="392C979B" w14:textId="77777777" w:rsidR="00980E5F" w:rsidRDefault="00980E5F">
            <w:pPr>
              <w:rPr>
                <w:rFonts w:ascii="宋体"/>
                <w:vanish/>
              </w:rPr>
            </w:pPr>
          </w:p>
        </w:tc>
        <w:tc>
          <w:tcPr>
            <w:tcW w:w="0" w:type="auto"/>
            <w:gridSpan w:val="3"/>
            <w:shd w:val="clear" w:color="auto" w:fill="auto"/>
            <w:vAlign w:val="bottom"/>
          </w:tcPr>
          <w:p w14:paraId="392C979C" w14:textId="77777777" w:rsidR="00980E5F" w:rsidRDefault="00980E5F">
            <w:pPr>
              <w:rPr>
                <w:rFonts w:ascii="宋体"/>
                <w:vanish/>
              </w:rPr>
            </w:pPr>
          </w:p>
        </w:tc>
      </w:tr>
      <w:tr w:rsidR="00980E5F" w14:paraId="392C97B3" w14:textId="77777777">
        <w:tc>
          <w:tcPr>
            <w:tcW w:w="0" w:type="auto"/>
            <w:gridSpan w:val="3"/>
            <w:shd w:val="clear" w:color="auto" w:fill="CCEEFF"/>
            <w:tcMar>
              <w:top w:w="40" w:type="dxa"/>
              <w:left w:w="20" w:type="dxa"/>
              <w:bottom w:w="40" w:type="dxa"/>
              <w:right w:w="20" w:type="dxa"/>
            </w:tcMar>
            <w:vAlign w:val="bottom"/>
          </w:tcPr>
          <w:p w14:paraId="392C979E" w14:textId="77777777" w:rsidR="00980E5F" w:rsidRDefault="00483613">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392C979F" w14:textId="77777777" w:rsidR="00980E5F" w:rsidRDefault="00483613">
            <w:pPr>
              <w:jc w:val="right"/>
              <w:textAlignment w:val="bottom"/>
            </w:pPr>
            <w:r>
              <w:rPr>
                <w:rFonts w:ascii="Arial" w:eastAsia="宋体" w:hAnsi="Arial" w:cs="Arial"/>
                <w:b/>
                <w:bCs/>
                <w:color w:val="000000"/>
                <w:sz w:val="13"/>
                <w:szCs w:val="13"/>
              </w:rPr>
              <w:t>(22)</w:t>
            </w:r>
          </w:p>
        </w:tc>
        <w:tc>
          <w:tcPr>
            <w:tcW w:w="0" w:type="auto"/>
            <w:shd w:val="clear" w:color="auto" w:fill="CCEEFF"/>
            <w:tcMar>
              <w:top w:w="40" w:type="dxa"/>
              <w:left w:w="0" w:type="dxa"/>
              <w:bottom w:w="40" w:type="dxa"/>
              <w:right w:w="20" w:type="dxa"/>
            </w:tcMar>
            <w:vAlign w:val="bottom"/>
          </w:tcPr>
          <w:p w14:paraId="392C97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A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A2"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7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A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A5"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7A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A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A8"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7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A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AB" w14:textId="77777777" w:rsidR="00980E5F" w:rsidRDefault="00483613">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7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A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AE" w14:textId="77777777" w:rsidR="00980E5F" w:rsidRDefault="00483613">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7A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B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7B1" w14:textId="77777777" w:rsidR="00980E5F" w:rsidRDefault="00483613">
            <w:pPr>
              <w:jc w:val="right"/>
              <w:textAlignment w:val="bottom"/>
            </w:pPr>
            <w:r>
              <w:rPr>
                <w:rFonts w:ascii="Arial" w:eastAsia="宋体" w:hAnsi="Arial" w:cs="Arial"/>
                <w:b/>
                <w:bCs/>
                <w:color w:val="000000"/>
                <w:sz w:val="13"/>
                <w:szCs w:val="13"/>
              </w:rPr>
              <w:t>(5)</w:t>
            </w:r>
          </w:p>
        </w:tc>
        <w:tc>
          <w:tcPr>
            <w:tcW w:w="0" w:type="auto"/>
            <w:shd w:val="clear" w:color="auto" w:fill="CCEEFF"/>
            <w:tcMar>
              <w:top w:w="40" w:type="dxa"/>
              <w:left w:w="0" w:type="dxa"/>
              <w:bottom w:w="40" w:type="dxa"/>
              <w:right w:w="20" w:type="dxa"/>
            </w:tcMar>
            <w:vAlign w:val="bottom"/>
          </w:tcPr>
          <w:p w14:paraId="392C97B2" w14:textId="77777777" w:rsidR="00980E5F" w:rsidRDefault="00980E5F">
            <w:pPr>
              <w:jc w:val="right"/>
              <w:rPr>
                <w:rFonts w:ascii="宋体"/>
              </w:rPr>
            </w:pPr>
          </w:p>
        </w:tc>
      </w:tr>
      <w:tr w:rsidR="00980E5F" w14:paraId="392C97C9" w14:textId="77777777">
        <w:tc>
          <w:tcPr>
            <w:tcW w:w="0" w:type="auto"/>
            <w:gridSpan w:val="3"/>
            <w:shd w:val="clear" w:color="auto" w:fill="FFFFFF"/>
            <w:tcMar>
              <w:top w:w="40" w:type="dxa"/>
              <w:left w:w="20" w:type="dxa"/>
              <w:bottom w:w="40" w:type="dxa"/>
              <w:right w:w="20" w:type="dxa"/>
            </w:tcMar>
            <w:vAlign w:val="bottom"/>
          </w:tcPr>
          <w:p w14:paraId="392C97B4" w14:textId="77777777" w:rsidR="00980E5F" w:rsidRDefault="00483613">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B5" w14:textId="77777777" w:rsidR="00980E5F" w:rsidRDefault="00483613">
            <w:pPr>
              <w:jc w:val="right"/>
              <w:textAlignment w:val="bottom"/>
            </w:pPr>
            <w:r>
              <w:rPr>
                <w:rFonts w:ascii="Arial" w:eastAsia="宋体" w:hAnsi="Arial" w:cs="Arial"/>
                <w:b/>
                <w:bCs/>
                <w:color w:val="000000"/>
                <w:sz w:val="13"/>
                <w:szCs w:val="13"/>
              </w:rPr>
              <w:t>(233)</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B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B8" w14:textId="77777777" w:rsidR="00980E5F" w:rsidRDefault="00483613">
            <w:pPr>
              <w:jc w:val="right"/>
              <w:textAlignment w:val="bottom"/>
            </w:pPr>
            <w:r>
              <w:rPr>
                <w:rFonts w:ascii="Arial" w:eastAsia="宋体" w:hAnsi="Arial" w:cs="Arial"/>
                <w:b/>
                <w:bCs/>
                <w:color w:val="000000"/>
                <w:sz w:val="13"/>
                <w:szCs w:val="13"/>
              </w:rPr>
              <w:t>(1,793)</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B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B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BB" w14:textId="77777777" w:rsidR="00980E5F" w:rsidRDefault="00483613">
            <w:pPr>
              <w:jc w:val="right"/>
              <w:textAlignment w:val="bottom"/>
            </w:pPr>
            <w:r>
              <w:rPr>
                <w:rFonts w:ascii="Arial" w:eastAsia="宋体" w:hAnsi="Arial" w:cs="Arial"/>
                <w:b/>
                <w:bCs/>
                <w:color w:val="000000"/>
                <w:sz w:val="13"/>
                <w:szCs w:val="13"/>
              </w:rPr>
              <w:t>328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B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B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BE" w14:textId="77777777" w:rsidR="00980E5F" w:rsidRDefault="00483613">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B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C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C1" w14:textId="77777777" w:rsidR="00980E5F" w:rsidRDefault="00483613">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C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C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C4" w14:textId="77777777" w:rsidR="00980E5F" w:rsidRDefault="00483613">
            <w:pPr>
              <w:jc w:val="right"/>
              <w:textAlignment w:val="bottom"/>
            </w:pPr>
            <w:r>
              <w:rPr>
                <w:rFonts w:ascii="Arial" w:eastAsia="宋体" w:hAnsi="Arial" w:cs="Arial"/>
                <w:b/>
                <w:bCs/>
                <w:color w:val="000000"/>
                <w:sz w:val="13"/>
                <w:szCs w:val="13"/>
              </w:rPr>
              <w:t>(872)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C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7C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7C7" w14:textId="77777777" w:rsidR="00980E5F" w:rsidRDefault="00483613">
            <w:pPr>
              <w:jc w:val="right"/>
              <w:textAlignment w:val="bottom"/>
            </w:pPr>
            <w:r>
              <w:rPr>
                <w:rFonts w:ascii="Arial" w:eastAsia="宋体" w:hAnsi="Arial" w:cs="Arial"/>
                <w:b/>
                <w:bCs/>
                <w:color w:val="000000"/>
                <w:sz w:val="13"/>
                <w:szCs w:val="13"/>
              </w:rPr>
              <w:t>(2,554)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7C8" w14:textId="77777777" w:rsidR="00980E5F" w:rsidRDefault="00980E5F">
            <w:pPr>
              <w:jc w:val="right"/>
              <w:rPr>
                <w:rFonts w:ascii="宋体"/>
              </w:rPr>
            </w:pPr>
          </w:p>
        </w:tc>
      </w:tr>
      <w:tr w:rsidR="00980E5F" w14:paraId="392C97E6" w14:textId="77777777">
        <w:tc>
          <w:tcPr>
            <w:tcW w:w="0" w:type="auto"/>
            <w:gridSpan w:val="3"/>
            <w:shd w:val="clear" w:color="auto" w:fill="CCEEFF"/>
            <w:tcMar>
              <w:top w:w="40" w:type="dxa"/>
              <w:left w:w="20" w:type="dxa"/>
              <w:bottom w:w="40" w:type="dxa"/>
              <w:right w:w="20" w:type="dxa"/>
            </w:tcMar>
            <w:vAlign w:val="bottom"/>
          </w:tcPr>
          <w:p w14:paraId="392C97CA" w14:textId="77777777" w:rsidR="00980E5F" w:rsidRDefault="00483613">
            <w:pPr>
              <w:textAlignment w:val="bottom"/>
            </w:pPr>
            <w:r>
              <w:rPr>
                <w:rFonts w:ascii="Arial" w:eastAsia="宋体" w:hAnsi="Arial" w:cs="Arial"/>
                <w:b/>
                <w:bCs/>
                <w:color w:val="000000"/>
                <w:sz w:val="13"/>
                <w:szCs w:val="13"/>
              </w:rPr>
              <w:t>Balance as of June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C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CC" w14:textId="77777777" w:rsidR="00980E5F" w:rsidRDefault="00483613">
            <w:pPr>
              <w:jc w:val="right"/>
              <w:textAlignment w:val="bottom"/>
            </w:pPr>
            <w:r>
              <w:rPr>
                <w:rFonts w:ascii="Arial" w:eastAsia="宋体" w:hAnsi="Arial" w:cs="Arial"/>
                <w:b/>
                <w:bCs/>
                <w:color w:val="000000"/>
                <w:sz w:val="13"/>
                <w:szCs w:val="13"/>
              </w:rPr>
              <w:t>(235)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C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C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D0" w14:textId="77777777" w:rsidR="00980E5F" w:rsidRDefault="00483613">
            <w:pPr>
              <w:jc w:val="right"/>
              <w:textAlignment w:val="bottom"/>
            </w:pPr>
            <w:r>
              <w:rPr>
                <w:rFonts w:ascii="Arial" w:eastAsia="宋体" w:hAnsi="Arial" w:cs="Arial"/>
                <w:b/>
                <w:bCs/>
                <w:color w:val="000000"/>
                <w:sz w:val="13"/>
                <w:szCs w:val="13"/>
              </w:rPr>
              <w:t>(1,841)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D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D3"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D4" w14:textId="77777777" w:rsidR="00980E5F" w:rsidRDefault="00483613">
            <w:pPr>
              <w:jc w:val="right"/>
              <w:textAlignment w:val="bottom"/>
            </w:pPr>
            <w:r>
              <w:rPr>
                <w:rFonts w:ascii="Arial" w:eastAsia="宋体" w:hAnsi="Arial" w:cs="Arial"/>
                <w:b/>
                <w:bCs/>
                <w:color w:val="000000"/>
                <w:sz w:val="13"/>
                <w:szCs w:val="13"/>
              </w:rPr>
              <w:t>396</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D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D7"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D8" w14:textId="77777777" w:rsidR="00980E5F" w:rsidRDefault="00483613">
            <w:pPr>
              <w:jc w:val="right"/>
              <w:textAlignment w:val="bottom"/>
            </w:pPr>
            <w:r>
              <w:rPr>
                <w:rFonts w:ascii="Arial" w:eastAsia="宋体" w:hAnsi="Arial" w:cs="Arial"/>
                <w:b/>
                <w:bCs/>
                <w:color w:val="000000"/>
                <w:sz w:val="13"/>
                <w:szCs w:val="13"/>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D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DB"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DC" w14:textId="77777777" w:rsidR="00980E5F" w:rsidRDefault="00483613">
            <w:pPr>
              <w:jc w:val="right"/>
              <w:textAlignment w:val="bottom"/>
            </w:pPr>
            <w:r>
              <w:rPr>
                <w:rFonts w:ascii="Arial" w:eastAsia="宋体" w:hAnsi="Arial" w:cs="Arial"/>
                <w:b/>
                <w:bCs/>
                <w:color w:val="000000"/>
                <w:sz w:val="13"/>
                <w:szCs w:val="13"/>
              </w:rPr>
              <w:t>(115)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D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D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DF"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E0" w14:textId="77777777" w:rsidR="00980E5F" w:rsidRDefault="00483613">
            <w:pPr>
              <w:jc w:val="right"/>
              <w:textAlignment w:val="bottom"/>
            </w:pPr>
            <w:r>
              <w:rPr>
                <w:rFonts w:ascii="Arial" w:eastAsia="宋体" w:hAnsi="Arial" w:cs="Arial"/>
                <w:b/>
                <w:bCs/>
                <w:color w:val="000000"/>
                <w:sz w:val="13"/>
                <w:szCs w:val="13"/>
              </w:rPr>
              <w:t>(1,891)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7E2"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7E3" w14:textId="77777777" w:rsidR="00980E5F" w:rsidRDefault="00483613">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7E4" w14:textId="77777777" w:rsidR="00980E5F" w:rsidRDefault="00483613">
            <w:pPr>
              <w:jc w:val="right"/>
              <w:textAlignment w:val="bottom"/>
            </w:pPr>
            <w:r>
              <w:rPr>
                <w:rFonts w:ascii="Arial" w:eastAsia="宋体" w:hAnsi="Arial" w:cs="Arial"/>
                <w:b/>
                <w:bCs/>
                <w:color w:val="000000"/>
                <w:sz w:val="13"/>
                <w:szCs w:val="13"/>
              </w:rPr>
              <w:t>(3,687)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7E5" w14:textId="77777777" w:rsidR="00980E5F" w:rsidRDefault="00980E5F">
            <w:pPr>
              <w:jc w:val="right"/>
              <w:rPr>
                <w:rFonts w:ascii="宋体"/>
              </w:rPr>
            </w:pPr>
          </w:p>
        </w:tc>
      </w:tr>
    </w:tbl>
    <w:p w14:paraId="392C97E7" w14:textId="77777777" w:rsidR="00980E5F" w:rsidRDefault="00980E5F">
      <w:pPr>
        <w:ind w:firstLine="450"/>
      </w:pPr>
    </w:p>
    <w:tbl>
      <w:tblPr>
        <w:tblW w:w="5000" w:type="pct"/>
        <w:tblCellMar>
          <w:top w:w="15" w:type="dxa"/>
          <w:left w:w="15" w:type="dxa"/>
          <w:bottom w:w="15" w:type="dxa"/>
          <w:right w:w="15" w:type="dxa"/>
        </w:tblCellMar>
        <w:tblLook w:val="04A0" w:firstRow="1" w:lastRow="0" w:firstColumn="1" w:lastColumn="0" w:noHBand="0" w:noVBand="1"/>
      </w:tblPr>
      <w:tblGrid>
        <w:gridCol w:w="39"/>
        <w:gridCol w:w="1379"/>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304"/>
        <w:gridCol w:w="36"/>
      </w:tblGrid>
      <w:tr w:rsidR="00980E5F" w14:paraId="392C9812" w14:textId="77777777">
        <w:tc>
          <w:tcPr>
            <w:tcW w:w="50" w:type="pct"/>
            <w:shd w:val="clear" w:color="auto" w:fill="auto"/>
            <w:vAlign w:val="bottom"/>
          </w:tcPr>
          <w:p w14:paraId="392C97E8" w14:textId="77777777" w:rsidR="00980E5F" w:rsidRDefault="00980E5F">
            <w:pPr>
              <w:rPr>
                <w:rFonts w:ascii="宋体"/>
              </w:rPr>
            </w:pPr>
          </w:p>
        </w:tc>
        <w:tc>
          <w:tcPr>
            <w:tcW w:w="1319" w:type="pct"/>
            <w:shd w:val="clear" w:color="auto" w:fill="auto"/>
            <w:vAlign w:val="bottom"/>
          </w:tcPr>
          <w:p w14:paraId="392C97E9" w14:textId="77777777" w:rsidR="00980E5F" w:rsidRDefault="00980E5F">
            <w:pPr>
              <w:rPr>
                <w:rFonts w:ascii="宋体"/>
              </w:rPr>
            </w:pPr>
          </w:p>
        </w:tc>
        <w:tc>
          <w:tcPr>
            <w:tcW w:w="5" w:type="pct"/>
            <w:shd w:val="clear" w:color="auto" w:fill="auto"/>
            <w:vAlign w:val="bottom"/>
          </w:tcPr>
          <w:p w14:paraId="392C97EA" w14:textId="77777777" w:rsidR="00980E5F" w:rsidRDefault="00980E5F">
            <w:pPr>
              <w:rPr>
                <w:rFonts w:ascii="宋体"/>
              </w:rPr>
            </w:pPr>
          </w:p>
        </w:tc>
        <w:tc>
          <w:tcPr>
            <w:tcW w:w="50" w:type="pct"/>
            <w:shd w:val="clear" w:color="auto" w:fill="auto"/>
            <w:vAlign w:val="bottom"/>
          </w:tcPr>
          <w:p w14:paraId="392C97EB" w14:textId="77777777" w:rsidR="00980E5F" w:rsidRDefault="00980E5F">
            <w:pPr>
              <w:rPr>
                <w:rFonts w:ascii="宋体"/>
              </w:rPr>
            </w:pPr>
          </w:p>
        </w:tc>
        <w:tc>
          <w:tcPr>
            <w:tcW w:w="493" w:type="pct"/>
            <w:shd w:val="clear" w:color="auto" w:fill="auto"/>
            <w:vAlign w:val="bottom"/>
          </w:tcPr>
          <w:p w14:paraId="392C97EC" w14:textId="77777777" w:rsidR="00980E5F" w:rsidRDefault="00980E5F">
            <w:pPr>
              <w:rPr>
                <w:rFonts w:ascii="宋体"/>
              </w:rPr>
            </w:pPr>
          </w:p>
        </w:tc>
        <w:tc>
          <w:tcPr>
            <w:tcW w:w="5" w:type="pct"/>
            <w:shd w:val="clear" w:color="auto" w:fill="auto"/>
            <w:vAlign w:val="bottom"/>
          </w:tcPr>
          <w:p w14:paraId="392C97ED" w14:textId="77777777" w:rsidR="00980E5F" w:rsidRDefault="00980E5F">
            <w:pPr>
              <w:rPr>
                <w:rFonts w:ascii="宋体"/>
              </w:rPr>
            </w:pPr>
          </w:p>
        </w:tc>
        <w:tc>
          <w:tcPr>
            <w:tcW w:w="5" w:type="pct"/>
            <w:shd w:val="clear" w:color="auto" w:fill="auto"/>
            <w:vAlign w:val="bottom"/>
          </w:tcPr>
          <w:p w14:paraId="392C97EE" w14:textId="77777777" w:rsidR="00980E5F" w:rsidRDefault="00980E5F">
            <w:pPr>
              <w:rPr>
                <w:rFonts w:ascii="宋体"/>
              </w:rPr>
            </w:pPr>
          </w:p>
        </w:tc>
        <w:tc>
          <w:tcPr>
            <w:tcW w:w="19" w:type="pct"/>
            <w:shd w:val="clear" w:color="auto" w:fill="auto"/>
            <w:vAlign w:val="bottom"/>
          </w:tcPr>
          <w:p w14:paraId="392C97EF" w14:textId="77777777" w:rsidR="00980E5F" w:rsidRDefault="00980E5F">
            <w:pPr>
              <w:rPr>
                <w:rFonts w:ascii="宋体"/>
              </w:rPr>
            </w:pPr>
          </w:p>
        </w:tc>
        <w:tc>
          <w:tcPr>
            <w:tcW w:w="5" w:type="pct"/>
            <w:shd w:val="clear" w:color="auto" w:fill="auto"/>
            <w:vAlign w:val="bottom"/>
          </w:tcPr>
          <w:p w14:paraId="392C97F0" w14:textId="77777777" w:rsidR="00980E5F" w:rsidRDefault="00980E5F">
            <w:pPr>
              <w:rPr>
                <w:rFonts w:ascii="宋体"/>
              </w:rPr>
            </w:pPr>
          </w:p>
        </w:tc>
        <w:tc>
          <w:tcPr>
            <w:tcW w:w="50" w:type="pct"/>
            <w:shd w:val="clear" w:color="auto" w:fill="auto"/>
            <w:vAlign w:val="bottom"/>
          </w:tcPr>
          <w:p w14:paraId="392C97F1" w14:textId="77777777" w:rsidR="00980E5F" w:rsidRDefault="00980E5F">
            <w:pPr>
              <w:rPr>
                <w:rFonts w:ascii="宋体"/>
              </w:rPr>
            </w:pPr>
          </w:p>
        </w:tc>
        <w:tc>
          <w:tcPr>
            <w:tcW w:w="449" w:type="pct"/>
            <w:shd w:val="clear" w:color="auto" w:fill="auto"/>
            <w:vAlign w:val="bottom"/>
          </w:tcPr>
          <w:p w14:paraId="392C97F2" w14:textId="77777777" w:rsidR="00980E5F" w:rsidRDefault="00980E5F">
            <w:pPr>
              <w:rPr>
                <w:rFonts w:ascii="宋体"/>
              </w:rPr>
            </w:pPr>
          </w:p>
        </w:tc>
        <w:tc>
          <w:tcPr>
            <w:tcW w:w="5" w:type="pct"/>
            <w:shd w:val="clear" w:color="auto" w:fill="auto"/>
            <w:vAlign w:val="bottom"/>
          </w:tcPr>
          <w:p w14:paraId="392C97F3" w14:textId="77777777" w:rsidR="00980E5F" w:rsidRDefault="00980E5F">
            <w:pPr>
              <w:rPr>
                <w:rFonts w:ascii="宋体"/>
              </w:rPr>
            </w:pPr>
          </w:p>
        </w:tc>
        <w:tc>
          <w:tcPr>
            <w:tcW w:w="5" w:type="pct"/>
            <w:shd w:val="clear" w:color="auto" w:fill="auto"/>
            <w:vAlign w:val="bottom"/>
          </w:tcPr>
          <w:p w14:paraId="392C97F4" w14:textId="77777777" w:rsidR="00980E5F" w:rsidRDefault="00980E5F">
            <w:pPr>
              <w:rPr>
                <w:rFonts w:ascii="宋体"/>
              </w:rPr>
            </w:pPr>
          </w:p>
        </w:tc>
        <w:tc>
          <w:tcPr>
            <w:tcW w:w="19" w:type="pct"/>
            <w:shd w:val="clear" w:color="auto" w:fill="auto"/>
            <w:vAlign w:val="bottom"/>
          </w:tcPr>
          <w:p w14:paraId="392C97F5" w14:textId="77777777" w:rsidR="00980E5F" w:rsidRDefault="00980E5F">
            <w:pPr>
              <w:rPr>
                <w:rFonts w:ascii="宋体"/>
              </w:rPr>
            </w:pPr>
          </w:p>
        </w:tc>
        <w:tc>
          <w:tcPr>
            <w:tcW w:w="5" w:type="pct"/>
            <w:shd w:val="clear" w:color="auto" w:fill="auto"/>
            <w:vAlign w:val="bottom"/>
          </w:tcPr>
          <w:p w14:paraId="392C97F6" w14:textId="77777777" w:rsidR="00980E5F" w:rsidRDefault="00980E5F">
            <w:pPr>
              <w:rPr>
                <w:rFonts w:ascii="宋体"/>
              </w:rPr>
            </w:pPr>
          </w:p>
        </w:tc>
        <w:tc>
          <w:tcPr>
            <w:tcW w:w="50" w:type="pct"/>
            <w:shd w:val="clear" w:color="auto" w:fill="auto"/>
            <w:vAlign w:val="bottom"/>
          </w:tcPr>
          <w:p w14:paraId="392C97F7" w14:textId="77777777" w:rsidR="00980E5F" w:rsidRDefault="00980E5F">
            <w:pPr>
              <w:rPr>
                <w:rFonts w:ascii="宋体"/>
              </w:rPr>
            </w:pPr>
          </w:p>
        </w:tc>
        <w:tc>
          <w:tcPr>
            <w:tcW w:w="610" w:type="pct"/>
            <w:shd w:val="clear" w:color="auto" w:fill="auto"/>
            <w:vAlign w:val="bottom"/>
          </w:tcPr>
          <w:p w14:paraId="392C97F8" w14:textId="77777777" w:rsidR="00980E5F" w:rsidRDefault="00980E5F">
            <w:pPr>
              <w:rPr>
                <w:rFonts w:ascii="宋体"/>
              </w:rPr>
            </w:pPr>
          </w:p>
        </w:tc>
        <w:tc>
          <w:tcPr>
            <w:tcW w:w="5" w:type="pct"/>
            <w:shd w:val="clear" w:color="auto" w:fill="auto"/>
            <w:vAlign w:val="bottom"/>
          </w:tcPr>
          <w:p w14:paraId="392C97F9" w14:textId="77777777" w:rsidR="00980E5F" w:rsidRDefault="00980E5F">
            <w:pPr>
              <w:rPr>
                <w:rFonts w:ascii="宋体"/>
              </w:rPr>
            </w:pPr>
          </w:p>
        </w:tc>
        <w:tc>
          <w:tcPr>
            <w:tcW w:w="5" w:type="pct"/>
            <w:shd w:val="clear" w:color="auto" w:fill="auto"/>
            <w:vAlign w:val="bottom"/>
          </w:tcPr>
          <w:p w14:paraId="392C97FA" w14:textId="77777777" w:rsidR="00980E5F" w:rsidRDefault="00980E5F">
            <w:pPr>
              <w:rPr>
                <w:rFonts w:ascii="宋体"/>
              </w:rPr>
            </w:pPr>
          </w:p>
        </w:tc>
        <w:tc>
          <w:tcPr>
            <w:tcW w:w="19" w:type="pct"/>
            <w:shd w:val="clear" w:color="auto" w:fill="auto"/>
            <w:vAlign w:val="bottom"/>
          </w:tcPr>
          <w:p w14:paraId="392C97FB" w14:textId="77777777" w:rsidR="00980E5F" w:rsidRDefault="00980E5F">
            <w:pPr>
              <w:rPr>
                <w:rFonts w:ascii="宋体"/>
              </w:rPr>
            </w:pPr>
          </w:p>
        </w:tc>
        <w:tc>
          <w:tcPr>
            <w:tcW w:w="5" w:type="pct"/>
            <w:shd w:val="clear" w:color="auto" w:fill="auto"/>
            <w:vAlign w:val="bottom"/>
          </w:tcPr>
          <w:p w14:paraId="392C97FC" w14:textId="77777777" w:rsidR="00980E5F" w:rsidRDefault="00980E5F">
            <w:pPr>
              <w:rPr>
                <w:rFonts w:ascii="宋体"/>
              </w:rPr>
            </w:pPr>
          </w:p>
        </w:tc>
        <w:tc>
          <w:tcPr>
            <w:tcW w:w="50" w:type="pct"/>
            <w:shd w:val="clear" w:color="auto" w:fill="auto"/>
            <w:vAlign w:val="bottom"/>
          </w:tcPr>
          <w:p w14:paraId="392C97FD" w14:textId="77777777" w:rsidR="00980E5F" w:rsidRDefault="00980E5F">
            <w:pPr>
              <w:rPr>
                <w:rFonts w:ascii="宋体"/>
              </w:rPr>
            </w:pPr>
          </w:p>
        </w:tc>
        <w:tc>
          <w:tcPr>
            <w:tcW w:w="493" w:type="pct"/>
            <w:shd w:val="clear" w:color="auto" w:fill="auto"/>
            <w:vAlign w:val="bottom"/>
          </w:tcPr>
          <w:p w14:paraId="392C97FE" w14:textId="77777777" w:rsidR="00980E5F" w:rsidRDefault="00980E5F">
            <w:pPr>
              <w:rPr>
                <w:rFonts w:ascii="宋体"/>
              </w:rPr>
            </w:pPr>
          </w:p>
        </w:tc>
        <w:tc>
          <w:tcPr>
            <w:tcW w:w="5" w:type="pct"/>
            <w:shd w:val="clear" w:color="auto" w:fill="auto"/>
            <w:vAlign w:val="bottom"/>
          </w:tcPr>
          <w:p w14:paraId="392C97FF" w14:textId="77777777" w:rsidR="00980E5F" w:rsidRDefault="00980E5F">
            <w:pPr>
              <w:rPr>
                <w:rFonts w:ascii="宋体"/>
              </w:rPr>
            </w:pPr>
          </w:p>
        </w:tc>
        <w:tc>
          <w:tcPr>
            <w:tcW w:w="5" w:type="pct"/>
            <w:shd w:val="clear" w:color="auto" w:fill="auto"/>
            <w:vAlign w:val="bottom"/>
          </w:tcPr>
          <w:p w14:paraId="392C9800" w14:textId="77777777" w:rsidR="00980E5F" w:rsidRDefault="00980E5F">
            <w:pPr>
              <w:rPr>
                <w:rFonts w:ascii="宋体"/>
              </w:rPr>
            </w:pPr>
          </w:p>
        </w:tc>
        <w:tc>
          <w:tcPr>
            <w:tcW w:w="19" w:type="pct"/>
            <w:shd w:val="clear" w:color="auto" w:fill="auto"/>
            <w:vAlign w:val="bottom"/>
          </w:tcPr>
          <w:p w14:paraId="392C9801" w14:textId="77777777" w:rsidR="00980E5F" w:rsidRDefault="00980E5F">
            <w:pPr>
              <w:rPr>
                <w:rFonts w:ascii="宋体"/>
              </w:rPr>
            </w:pPr>
          </w:p>
        </w:tc>
        <w:tc>
          <w:tcPr>
            <w:tcW w:w="5" w:type="pct"/>
            <w:shd w:val="clear" w:color="auto" w:fill="auto"/>
            <w:vAlign w:val="bottom"/>
          </w:tcPr>
          <w:p w14:paraId="392C9802" w14:textId="77777777" w:rsidR="00980E5F" w:rsidRDefault="00980E5F">
            <w:pPr>
              <w:rPr>
                <w:rFonts w:ascii="宋体"/>
              </w:rPr>
            </w:pPr>
          </w:p>
        </w:tc>
        <w:tc>
          <w:tcPr>
            <w:tcW w:w="50" w:type="pct"/>
            <w:shd w:val="clear" w:color="auto" w:fill="auto"/>
            <w:vAlign w:val="bottom"/>
          </w:tcPr>
          <w:p w14:paraId="392C9803" w14:textId="77777777" w:rsidR="00980E5F" w:rsidRDefault="00980E5F">
            <w:pPr>
              <w:rPr>
                <w:rFonts w:ascii="宋体"/>
              </w:rPr>
            </w:pPr>
          </w:p>
        </w:tc>
        <w:tc>
          <w:tcPr>
            <w:tcW w:w="354" w:type="pct"/>
            <w:shd w:val="clear" w:color="auto" w:fill="auto"/>
            <w:vAlign w:val="bottom"/>
          </w:tcPr>
          <w:p w14:paraId="392C9804" w14:textId="77777777" w:rsidR="00980E5F" w:rsidRDefault="00980E5F">
            <w:pPr>
              <w:rPr>
                <w:rFonts w:ascii="宋体"/>
              </w:rPr>
            </w:pPr>
          </w:p>
        </w:tc>
        <w:tc>
          <w:tcPr>
            <w:tcW w:w="5" w:type="pct"/>
            <w:shd w:val="clear" w:color="auto" w:fill="auto"/>
            <w:vAlign w:val="bottom"/>
          </w:tcPr>
          <w:p w14:paraId="392C9805" w14:textId="77777777" w:rsidR="00980E5F" w:rsidRDefault="00980E5F">
            <w:pPr>
              <w:rPr>
                <w:rFonts w:ascii="宋体"/>
              </w:rPr>
            </w:pPr>
          </w:p>
        </w:tc>
        <w:tc>
          <w:tcPr>
            <w:tcW w:w="5" w:type="pct"/>
            <w:shd w:val="clear" w:color="auto" w:fill="auto"/>
            <w:vAlign w:val="bottom"/>
          </w:tcPr>
          <w:p w14:paraId="392C9806" w14:textId="77777777" w:rsidR="00980E5F" w:rsidRDefault="00980E5F">
            <w:pPr>
              <w:rPr>
                <w:rFonts w:ascii="宋体"/>
              </w:rPr>
            </w:pPr>
          </w:p>
        </w:tc>
        <w:tc>
          <w:tcPr>
            <w:tcW w:w="19" w:type="pct"/>
            <w:shd w:val="clear" w:color="auto" w:fill="auto"/>
            <w:vAlign w:val="bottom"/>
          </w:tcPr>
          <w:p w14:paraId="392C9807" w14:textId="77777777" w:rsidR="00980E5F" w:rsidRDefault="00980E5F">
            <w:pPr>
              <w:rPr>
                <w:rFonts w:ascii="宋体"/>
              </w:rPr>
            </w:pPr>
          </w:p>
        </w:tc>
        <w:tc>
          <w:tcPr>
            <w:tcW w:w="5" w:type="pct"/>
            <w:shd w:val="clear" w:color="auto" w:fill="auto"/>
            <w:vAlign w:val="bottom"/>
          </w:tcPr>
          <w:p w14:paraId="392C9808" w14:textId="77777777" w:rsidR="00980E5F" w:rsidRDefault="00980E5F">
            <w:pPr>
              <w:rPr>
                <w:rFonts w:ascii="宋体"/>
              </w:rPr>
            </w:pPr>
          </w:p>
        </w:tc>
        <w:tc>
          <w:tcPr>
            <w:tcW w:w="50" w:type="pct"/>
            <w:shd w:val="clear" w:color="auto" w:fill="auto"/>
            <w:vAlign w:val="bottom"/>
          </w:tcPr>
          <w:p w14:paraId="392C9809" w14:textId="77777777" w:rsidR="00980E5F" w:rsidRDefault="00980E5F">
            <w:pPr>
              <w:rPr>
                <w:rFonts w:ascii="宋体"/>
              </w:rPr>
            </w:pPr>
          </w:p>
        </w:tc>
        <w:tc>
          <w:tcPr>
            <w:tcW w:w="347" w:type="pct"/>
            <w:shd w:val="clear" w:color="auto" w:fill="auto"/>
            <w:vAlign w:val="bottom"/>
          </w:tcPr>
          <w:p w14:paraId="392C980A" w14:textId="77777777" w:rsidR="00980E5F" w:rsidRDefault="00980E5F">
            <w:pPr>
              <w:rPr>
                <w:rFonts w:ascii="宋体"/>
              </w:rPr>
            </w:pPr>
          </w:p>
        </w:tc>
        <w:tc>
          <w:tcPr>
            <w:tcW w:w="5" w:type="pct"/>
            <w:shd w:val="clear" w:color="auto" w:fill="auto"/>
            <w:vAlign w:val="bottom"/>
          </w:tcPr>
          <w:p w14:paraId="392C980B" w14:textId="77777777" w:rsidR="00980E5F" w:rsidRDefault="00980E5F">
            <w:pPr>
              <w:rPr>
                <w:rFonts w:ascii="宋体"/>
              </w:rPr>
            </w:pPr>
          </w:p>
        </w:tc>
        <w:tc>
          <w:tcPr>
            <w:tcW w:w="5" w:type="pct"/>
            <w:shd w:val="clear" w:color="auto" w:fill="auto"/>
            <w:vAlign w:val="bottom"/>
          </w:tcPr>
          <w:p w14:paraId="392C980C" w14:textId="77777777" w:rsidR="00980E5F" w:rsidRDefault="00980E5F">
            <w:pPr>
              <w:rPr>
                <w:rFonts w:ascii="宋体"/>
              </w:rPr>
            </w:pPr>
          </w:p>
        </w:tc>
        <w:tc>
          <w:tcPr>
            <w:tcW w:w="19" w:type="pct"/>
            <w:shd w:val="clear" w:color="auto" w:fill="auto"/>
            <w:vAlign w:val="bottom"/>
          </w:tcPr>
          <w:p w14:paraId="392C980D" w14:textId="77777777" w:rsidR="00980E5F" w:rsidRDefault="00980E5F">
            <w:pPr>
              <w:rPr>
                <w:rFonts w:ascii="宋体"/>
              </w:rPr>
            </w:pPr>
          </w:p>
        </w:tc>
        <w:tc>
          <w:tcPr>
            <w:tcW w:w="5" w:type="pct"/>
            <w:shd w:val="clear" w:color="auto" w:fill="auto"/>
            <w:vAlign w:val="bottom"/>
          </w:tcPr>
          <w:p w14:paraId="392C980E" w14:textId="77777777" w:rsidR="00980E5F" w:rsidRDefault="00980E5F">
            <w:pPr>
              <w:rPr>
                <w:rFonts w:ascii="宋体"/>
              </w:rPr>
            </w:pPr>
          </w:p>
        </w:tc>
        <w:tc>
          <w:tcPr>
            <w:tcW w:w="50" w:type="pct"/>
            <w:shd w:val="clear" w:color="auto" w:fill="auto"/>
            <w:vAlign w:val="bottom"/>
          </w:tcPr>
          <w:p w14:paraId="392C980F" w14:textId="77777777" w:rsidR="00980E5F" w:rsidRDefault="00980E5F">
            <w:pPr>
              <w:rPr>
                <w:rFonts w:ascii="宋体"/>
              </w:rPr>
            </w:pPr>
          </w:p>
        </w:tc>
        <w:tc>
          <w:tcPr>
            <w:tcW w:w="318" w:type="pct"/>
            <w:shd w:val="clear" w:color="auto" w:fill="auto"/>
            <w:vAlign w:val="bottom"/>
          </w:tcPr>
          <w:p w14:paraId="392C9810" w14:textId="77777777" w:rsidR="00980E5F" w:rsidRDefault="00980E5F">
            <w:pPr>
              <w:rPr>
                <w:rFonts w:ascii="宋体"/>
              </w:rPr>
            </w:pPr>
          </w:p>
        </w:tc>
        <w:tc>
          <w:tcPr>
            <w:tcW w:w="5" w:type="pct"/>
            <w:shd w:val="clear" w:color="auto" w:fill="auto"/>
            <w:vAlign w:val="bottom"/>
          </w:tcPr>
          <w:p w14:paraId="392C9811" w14:textId="77777777" w:rsidR="00980E5F" w:rsidRDefault="00980E5F">
            <w:pPr>
              <w:rPr>
                <w:rFonts w:ascii="宋体"/>
              </w:rPr>
            </w:pPr>
          </w:p>
        </w:tc>
      </w:tr>
      <w:tr w:rsidR="00980E5F" w14:paraId="392C9821" w14:textId="77777777">
        <w:tc>
          <w:tcPr>
            <w:tcW w:w="0" w:type="auto"/>
            <w:gridSpan w:val="3"/>
            <w:shd w:val="clear" w:color="auto" w:fill="auto"/>
            <w:tcMar>
              <w:top w:w="40" w:type="dxa"/>
              <w:left w:w="20" w:type="dxa"/>
              <w:bottom w:w="40" w:type="dxa"/>
              <w:right w:w="20" w:type="dxa"/>
            </w:tcMar>
            <w:vAlign w:val="bottom"/>
          </w:tcPr>
          <w:p w14:paraId="392C9813" w14:textId="77777777" w:rsidR="00980E5F" w:rsidRDefault="00483613">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392C9814" w14:textId="77777777" w:rsidR="00980E5F" w:rsidRDefault="00483613">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392C981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16" w14:textId="77777777" w:rsidR="00980E5F" w:rsidRDefault="00483613">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392C981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18" w14:textId="77777777" w:rsidR="00980E5F" w:rsidRDefault="00483613">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392C981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1A" w14:textId="77777777" w:rsidR="00980E5F" w:rsidRDefault="00483613">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392C981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1C" w14:textId="77777777" w:rsidR="00980E5F" w:rsidRDefault="00483613">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392C981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1E" w14:textId="77777777" w:rsidR="00980E5F" w:rsidRDefault="00483613">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392C981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20" w14:textId="77777777" w:rsidR="00980E5F" w:rsidRDefault="00483613">
            <w:pPr>
              <w:jc w:val="center"/>
              <w:textAlignment w:val="bottom"/>
            </w:pPr>
            <w:r>
              <w:rPr>
                <w:rFonts w:ascii="Arial" w:eastAsia="宋体" w:hAnsi="Arial" w:cs="Arial"/>
                <w:b/>
                <w:bCs/>
                <w:color w:val="000000"/>
                <w:sz w:val="13"/>
                <w:szCs w:val="13"/>
              </w:rPr>
              <w:t>Total</w:t>
            </w:r>
          </w:p>
        </w:tc>
      </w:tr>
      <w:tr w:rsidR="00980E5F" w14:paraId="392C983E" w14:textId="77777777">
        <w:tc>
          <w:tcPr>
            <w:tcW w:w="0" w:type="auto"/>
            <w:gridSpan w:val="3"/>
            <w:shd w:val="clear" w:color="auto" w:fill="CCEEFF"/>
            <w:tcMar>
              <w:top w:w="40" w:type="dxa"/>
              <w:left w:w="20" w:type="dxa"/>
              <w:bottom w:w="40" w:type="dxa"/>
              <w:right w:w="20" w:type="dxa"/>
            </w:tcMar>
            <w:vAlign w:val="bottom"/>
          </w:tcPr>
          <w:p w14:paraId="392C9822" w14:textId="77777777" w:rsidR="00980E5F" w:rsidRDefault="00483613">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82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24" w14:textId="77777777" w:rsidR="00980E5F" w:rsidRDefault="00483613">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2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27"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28" w14:textId="77777777" w:rsidR="00980E5F" w:rsidRDefault="00483613">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2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2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2B"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2C" w14:textId="77777777" w:rsidR="00980E5F" w:rsidRDefault="00483613">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2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2F"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30" w14:textId="77777777" w:rsidR="00980E5F" w:rsidRDefault="00483613">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3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33"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34" w14:textId="77777777" w:rsidR="00980E5F" w:rsidRDefault="00483613">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3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37"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38" w14:textId="77777777" w:rsidR="00980E5F" w:rsidRDefault="00483613">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3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3B"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3C" w14:textId="77777777" w:rsidR="00980E5F" w:rsidRDefault="00483613">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3D" w14:textId="77777777" w:rsidR="00980E5F" w:rsidRDefault="00980E5F">
            <w:pPr>
              <w:jc w:val="right"/>
              <w:rPr>
                <w:rFonts w:ascii="宋体"/>
              </w:rPr>
            </w:pPr>
          </w:p>
        </w:tc>
      </w:tr>
      <w:tr w:rsidR="00980E5F" w14:paraId="392C9854" w14:textId="77777777">
        <w:tc>
          <w:tcPr>
            <w:tcW w:w="0" w:type="auto"/>
            <w:gridSpan w:val="3"/>
            <w:shd w:val="clear" w:color="auto" w:fill="FFFFFF"/>
            <w:tcMar>
              <w:top w:w="40" w:type="dxa"/>
              <w:left w:w="20" w:type="dxa"/>
              <w:bottom w:w="40" w:type="dxa"/>
              <w:right w:w="20" w:type="dxa"/>
            </w:tcMar>
            <w:vAlign w:val="bottom"/>
          </w:tcPr>
          <w:p w14:paraId="392C983F" w14:textId="77777777" w:rsidR="00980E5F" w:rsidRDefault="00483613">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392C9840" w14:textId="77777777" w:rsidR="00980E5F" w:rsidRDefault="00483613">
            <w:pPr>
              <w:jc w:val="right"/>
              <w:textAlignment w:val="bottom"/>
            </w:pPr>
            <w:r>
              <w:rPr>
                <w:rFonts w:ascii="Arial" w:eastAsia="宋体" w:hAnsi="Arial" w:cs="Arial"/>
                <w:color w:val="000000"/>
                <w:sz w:val="13"/>
                <w:szCs w:val="13"/>
              </w:rPr>
              <w:t>29 </w:t>
            </w:r>
          </w:p>
        </w:tc>
        <w:tc>
          <w:tcPr>
            <w:tcW w:w="0" w:type="auto"/>
            <w:shd w:val="clear" w:color="auto" w:fill="FFFFFF"/>
            <w:tcMar>
              <w:top w:w="40" w:type="dxa"/>
              <w:left w:w="0" w:type="dxa"/>
              <w:bottom w:w="40" w:type="dxa"/>
              <w:right w:w="20" w:type="dxa"/>
            </w:tcMar>
            <w:vAlign w:val="bottom"/>
          </w:tcPr>
          <w:p w14:paraId="392C98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4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43" w14:textId="77777777" w:rsidR="00980E5F" w:rsidRDefault="00483613">
            <w:pPr>
              <w:jc w:val="right"/>
              <w:textAlignment w:val="bottom"/>
            </w:pPr>
            <w:r>
              <w:rPr>
                <w:rFonts w:ascii="Arial" w:eastAsia="宋体" w:hAnsi="Arial" w:cs="Arial"/>
                <w:color w:val="000000"/>
                <w:sz w:val="13"/>
                <w:szCs w:val="13"/>
              </w:rPr>
              <w:t>(464)</w:t>
            </w:r>
          </w:p>
        </w:tc>
        <w:tc>
          <w:tcPr>
            <w:tcW w:w="0" w:type="auto"/>
            <w:shd w:val="clear" w:color="auto" w:fill="FFFFFF"/>
            <w:tcMar>
              <w:top w:w="40" w:type="dxa"/>
              <w:left w:w="0" w:type="dxa"/>
              <w:bottom w:w="40" w:type="dxa"/>
              <w:right w:w="20" w:type="dxa"/>
            </w:tcMar>
            <w:vAlign w:val="bottom"/>
          </w:tcPr>
          <w:p w14:paraId="392C984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4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46" w14:textId="77777777" w:rsidR="00980E5F" w:rsidRDefault="00483613">
            <w:pPr>
              <w:jc w:val="right"/>
              <w:textAlignment w:val="bottom"/>
            </w:pPr>
            <w:r>
              <w:rPr>
                <w:rFonts w:ascii="Arial" w:eastAsia="宋体" w:hAnsi="Arial" w:cs="Arial"/>
                <w:color w:val="000000"/>
                <w:sz w:val="13"/>
                <w:szCs w:val="13"/>
              </w:rPr>
              <w:t>111 </w:t>
            </w:r>
          </w:p>
        </w:tc>
        <w:tc>
          <w:tcPr>
            <w:tcW w:w="0" w:type="auto"/>
            <w:shd w:val="clear" w:color="auto" w:fill="FFFFFF"/>
            <w:tcMar>
              <w:top w:w="40" w:type="dxa"/>
              <w:left w:w="0" w:type="dxa"/>
              <w:bottom w:w="40" w:type="dxa"/>
              <w:right w:w="20" w:type="dxa"/>
            </w:tcMar>
            <w:vAlign w:val="bottom"/>
          </w:tcPr>
          <w:p w14:paraId="392C984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4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49"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984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4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4C"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392C984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4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4F" w14:textId="77777777" w:rsidR="00980E5F" w:rsidRDefault="00483613">
            <w:pPr>
              <w:jc w:val="right"/>
              <w:textAlignment w:val="bottom"/>
            </w:pPr>
            <w:r>
              <w:rPr>
                <w:rFonts w:ascii="Arial" w:eastAsia="宋体" w:hAnsi="Arial" w:cs="Arial"/>
                <w:color w:val="000000"/>
                <w:sz w:val="13"/>
                <w:szCs w:val="13"/>
              </w:rPr>
              <w:t>(262)</w:t>
            </w:r>
          </w:p>
        </w:tc>
        <w:tc>
          <w:tcPr>
            <w:tcW w:w="0" w:type="auto"/>
            <w:shd w:val="clear" w:color="auto" w:fill="FFFFFF"/>
            <w:tcMar>
              <w:top w:w="40" w:type="dxa"/>
              <w:left w:w="0" w:type="dxa"/>
              <w:bottom w:w="40" w:type="dxa"/>
              <w:right w:w="20" w:type="dxa"/>
            </w:tcMar>
            <w:vAlign w:val="bottom"/>
          </w:tcPr>
          <w:p w14:paraId="392C985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5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852" w14:textId="77777777" w:rsidR="00980E5F" w:rsidRDefault="00483613">
            <w:pPr>
              <w:jc w:val="right"/>
              <w:textAlignment w:val="bottom"/>
            </w:pPr>
            <w:r>
              <w:rPr>
                <w:rFonts w:ascii="Arial" w:eastAsia="宋体" w:hAnsi="Arial" w:cs="Arial"/>
                <w:color w:val="000000"/>
                <w:sz w:val="13"/>
                <w:szCs w:val="13"/>
              </w:rPr>
              <w:t>(586)</w:t>
            </w:r>
          </w:p>
        </w:tc>
        <w:tc>
          <w:tcPr>
            <w:tcW w:w="0" w:type="auto"/>
            <w:shd w:val="clear" w:color="auto" w:fill="FFFFFF"/>
            <w:tcMar>
              <w:top w:w="40" w:type="dxa"/>
              <w:left w:w="0" w:type="dxa"/>
              <w:bottom w:w="40" w:type="dxa"/>
              <w:right w:w="20" w:type="dxa"/>
            </w:tcMar>
            <w:vAlign w:val="bottom"/>
          </w:tcPr>
          <w:p w14:paraId="392C9853" w14:textId="77777777" w:rsidR="00980E5F" w:rsidRDefault="00980E5F">
            <w:pPr>
              <w:jc w:val="right"/>
              <w:rPr>
                <w:rFonts w:ascii="宋体"/>
              </w:rPr>
            </w:pPr>
          </w:p>
        </w:tc>
      </w:tr>
      <w:tr w:rsidR="00980E5F" w14:paraId="392C9863" w14:textId="77777777">
        <w:trPr>
          <w:hidden/>
        </w:trPr>
        <w:tc>
          <w:tcPr>
            <w:tcW w:w="0" w:type="auto"/>
            <w:gridSpan w:val="3"/>
            <w:shd w:val="clear" w:color="auto" w:fill="auto"/>
            <w:vAlign w:val="bottom"/>
          </w:tcPr>
          <w:p w14:paraId="392C9855" w14:textId="77777777" w:rsidR="00980E5F" w:rsidRDefault="00980E5F">
            <w:pPr>
              <w:rPr>
                <w:rFonts w:ascii="宋体"/>
                <w:vanish/>
              </w:rPr>
            </w:pPr>
          </w:p>
        </w:tc>
        <w:tc>
          <w:tcPr>
            <w:tcW w:w="0" w:type="auto"/>
            <w:gridSpan w:val="3"/>
            <w:shd w:val="clear" w:color="auto" w:fill="auto"/>
            <w:vAlign w:val="bottom"/>
          </w:tcPr>
          <w:p w14:paraId="392C9856" w14:textId="77777777" w:rsidR="00980E5F" w:rsidRDefault="00980E5F">
            <w:pPr>
              <w:rPr>
                <w:rFonts w:ascii="宋体"/>
                <w:vanish/>
              </w:rPr>
            </w:pPr>
          </w:p>
        </w:tc>
        <w:tc>
          <w:tcPr>
            <w:tcW w:w="0" w:type="auto"/>
            <w:gridSpan w:val="3"/>
            <w:shd w:val="clear" w:color="auto" w:fill="auto"/>
            <w:vAlign w:val="bottom"/>
          </w:tcPr>
          <w:p w14:paraId="392C9857" w14:textId="77777777" w:rsidR="00980E5F" w:rsidRDefault="00980E5F">
            <w:pPr>
              <w:rPr>
                <w:rFonts w:ascii="宋体"/>
                <w:vanish/>
              </w:rPr>
            </w:pPr>
          </w:p>
        </w:tc>
        <w:tc>
          <w:tcPr>
            <w:tcW w:w="0" w:type="auto"/>
            <w:gridSpan w:val="3"/>
            <w:shd w:val="clear" w:color="auto" w:fill="auto"/>
            <w:vAlign w:val="bottom"/>
          </w:tcPr>
          <w:p w14:paraId="392C9858" w14:textId="77777777" w:rsidR="00980E5F" w:rsidRDefault="00980E5F">
            <w:pPr>
              <w:rPr>
                <w:rFonts w:ascii="宋体"/>
                <w:vanish/>
              </w:rPr>
            </w:pPr>
          </w:p>
        </w:tc>
        <w:tc>
          <w:tcPr>
            <w:tcW w:w="0" w:type="auto"/>
            <w:gridSpan w:val="3"/>
            <w:shd w:val="clear" w:color="auto" w:fill="auto"/>
            <w:vAlign w:val="bottom"/>
          </w:tcPr>
          <w:p w14:paraId="392C9859" w14:textId="77777777" w:rsidR="00980E5F" w:rsidRDefault="00980E5F">
            <w:pPr>
              <w:rPr>
                <w:rFonts w:ascii="宋体"/>
                <w:vanish/>
              </w:rPr>
            </w:pPr>
          </w:p>
        </w:tc>
        <w:tc>
          <w:tcPr>
            <w:tcW w:w="0" w:type="auto"/>
            <w:gridSpan w:val="3"/>
            <w:shd w:val="clear" w:color="auto" w:fill="auto"/>
            <w:vAlign w:val="bottom"/>
          </w:tcPr>
          <w:p w14:paraId="392C985A" w14:textId="77777777" w:rsidR="00980E5F" w:rsidRDefault="00980E5F">
            <w:pPr>
              <w:rPr>
                <w:rFonts w:ascii="宋体"/>
                <w:vanish/>
              </w:rPr>
            </w:pPr>
          </w:p>
        </w:tc>
        <w:tc>
          <w:tcPr>
            <w:tcW w:w="0" w:type="auto"/>
            <w:gridSpan w:val="3"/>
            <w:shd w:val="clear" w:color="auto" w:fill="auto"/>
            <w:vAlign w:val="bottom"/>
          </w:tcPr>
          <w:p w14:paraId="392C985B" w14:textId="77777777" w:rsidR="00980E5F" w:rsidRDefault="00980E5F">
            <w:pPr>
              <w:rPr>
                <w:rFonts w:ascii="宋体"/>
                <w:vanish/>
              </w:rPr>
            </w:pPr>
          </w:p>
        </w:tc>
        <w:tc>
          <w:tcPr>
            <w:tcW w:w="0" w:type="auto"/>
            <w:gridSpan w:val="3"/>
            <w:shd w:val="clear" w:color="auto" w:fill="auto"/>
            <w:vAlign w:val="bottom"/>
          </w:tcPr>
          <w:p w14:paraId="392C985C" w14:textId="77777777" w:rsidR="00980E5F" w:rsidRDefault="00980E5F">
            <w:pPr>
              <w:rPr>
                <w:rFonts w:ascii="宋体"/>
                <w:vanish/>
              </w:rPr>
            </w:pPr>
          </w:p>
        </w:tc>
        <w:tc>
          <w:tcPr>
            <w:tcW w:w="0" w:type="auto"/>
            <w:gridSpan w:val="3"/>
            <w:shd w:val="clear" w:color="auto" w:fill="auto"/>
            <w:vAlign w:val="bottom"/>
          </w:tcPr>
          <w:p w14:paraId="392C985D" w14:textId="77777777" w:rsidR="00980E5F" w:rsidRDefault="00980E5F">
            <w:pPr>
              <w:rPr>
                <w:rFonts w:ascii="宋体"/>
                <w:vanish/>
              </w:rPr>
            </w:pPr>
          </w:p>
        </w:tc>
        <w:tc>
          <w:tcPr>
            <w:tcW w:w="0" w:type="auto"/>
            <w:gridSpan w:val="3"/>
            <w:shd w:val="clear" w:color="auto" w:fill="auto"/>
            <w:vAlign w:val="bottom"/>
          </w:tcPr>
          <w:p w14:paraId="392C985E" w14:textId="77777777" w:rsidR="00980E5F" w:rsidRDefault="00980E5F">
            <w:pPr>
              <w:rPr>
                <w:rFonts w:ascii="宋体"/>
                <w:vanish/>
              </w:rPr>
            </w:pPr>
          </w:p>
        </w:tc>
        <w:tc>
          <w:tcPr>
            <w:tcW w:w="0" w:type="auto"/>
            <w:gridSpan w:val="3"/>
            <w:shd w:val="clear" w:color="auto" w:fill="auto"/>
            <w:vAlign w:val="bottom"/>
          </w:tcPr>
          <w:p w14:paraId="392C985F" w14:textId="77777777" w:rsidR="00980E5F" w:rsidRDefault="00980E5F">
            <w:pPr>
              <w:rPr>
                <w:rFonts w:ascii="宋体"/>
                <w:vanish/>
              </w:rPr>
            </w:pPr>
          </w:p>
        </w:tc>
        <w:tc>
          <w:tcPr>
            <w:tcW w:w="0" w:type="auto"/>
            <w:gridSpan w:val="3"/>
            <w:shd w:val="clear" w:color="auto" w:fill="auto"/>
            <w:vAlign w:val="bottom"/>
          </w:tcPr>
          <w:p w14:paraId="392C9860" w14:textId="77777777" w:rsidR="00980E5F" w:rsidRDefault="00980E5F">
            <w:pPr>
              <w:rPr>
                <w:rFonts w:ascii="宋体"/>
                <w:vanish/>
              </w:rPr>
            </w:pPr>
          </w:p>
        </w:tc>
        <w:tc>
          <w:tcPr>
            <w:tcW w:w="0" w:type="auto"/>
            <w:gridSpan w:val="3"/>
            <w:shd w:val="clear" w:color="auto" w:fill="auto"/>
            <w:vAlign w:val="bottom"/>
          </w:tcPr>
          <w:p w14:paraId="392C9861" w14:textId="77777777" w:rsidR="00980E5F" w:rsidRDefault="00980E5F">
            <w:pPr>
              <w:rPr>
                <w:rFonts w:ascii="宋体"/>
                <w:vanish/>
              </w:rPr>
            </w:pPr>
          </w:p>
        </w:tc>
        <w:tc>
          <w:tcPr>
            <w:tcW w:w="0" w:type="auto"/>
            <w:gridSpan w:val="3"/>
            <w:shd w:val="clear" w:color="auto" w:fill="auto"/>
            <w:vAlign w:val="bottom"/>
          </w:tcPr>
          <w:p w14:paraId="392C9862" w14:textId="77777777" w:rsidR="00980E5F" w:rsidRDefault="00980E5F">
            <w:pPr>
              <w:rPr>
                <w:rFonts w:ascii="宋体"/>
                <w:vanish/>
              </w:rPr>
            </w:pPr>
          </w:p>
        </w:tc>
      </w:tr>
      <w:tr w:rsidR="00980E5F" w14:paraId="392C9879" w14:textId="77777777">
        <w:tc>
          <w:tcPr>
            <w:tcW w:w="0" w:type="auto"/>
            <w:gridSpan w:val="3"/>
            <w:shd w:val="clear" w:color="auto" w:fill="CCEEFF"/>
            <w:tcMar>
              <w:top w:w="40" w:type="dxa"/>
              <w:left w:w="20" w:type="dxa"/>
              <w:bottom w:w="40" w:type="dxa"/>
              <w:right w:w="20" w:type="dxa"/>
            </w:tcMar>
            <w:vAlign w:val="bottom"/>
          </w:tcPr>
          <w:p w14:paraId="392C9864" w14:textId="77777777" w:rsidR="00980E5F" w:rsidRDefault="00483613">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392C9865" w14:textId="77777777" w:rsidR="00980E5F" w:rsidRDefault="00483613">
            <w:pPr>
              <w:jc w:val="right"/>
              <w:textAlignment w:val="bottom"/>
            </w:pPr>
            <w:r>
              <w:rPr>
                <w:rFonts w:ascii="Arial" w:eastAsia="宋体" w:hAnsi="Arial" w:cs="Arial"/>
                <w:color w:val="000000"/>
                <w:sz w:val="13"/>
                <w:szCs w:val="13"/>
              </w:rPr>
              <w:t>(33)</w:t>
            </w:r>
          </w:p>
        </w:tc>
        <w:tc>
          <w:tcPr>
            <w:tcW w:w="0" w:type="auto"/>
            <w:shd w:val="clear" w:color="auto" w:fill="CCEEFF"/>
            <w:tcMar>
              <w:top w:w="40" w:type="dxa"/>
              <w:left w:w="0" w:type="dxa"/>
              <w:bottom w:w="40" w:type="dxa"/>
              <w:right w:w="20" w:type="dxa"/>
            </w:tcMar>
            <w:vAlign w:val="bottom"/>
          </w:tcPr>
          <w:p w14:paraId="392C98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68"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8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6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6B"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8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6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6E"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8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7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71" w14:textId="77777777" w:rsidR="00980E5F" w:rsidRDefault="00483613">
            <w:pPr>
              <w:jc w:val="right"/>
              <w:textAlignment w:val="bottom"/>
            </w:pPr>
            <w:r>
              <w:rPr>
                <w:rFonts w:ascii="Arial" w:eastAsia="宋体" w:hAnsi="Arial" w:cs="Arial"/>
                <w:color w:val="000000"/>
                <w:sz w:val="13"/>
                <w:szCs w:val="13"/>
              </w:rPr>
              <w:t>10 </w:t>
            </w:r>
          </w:p>
        </w:tc>
        <w:tc>
          <w:tcPr>
            <w:tcW w:w="0" w:type="auto"/>
            <w:shd w:val="clear" w:color="auto" w:fill="CCEEFF"/>
            <w:tcMar>
              <w:top w:w="40" w:type="dxa"/>
              <w:left w:w="0" w:type="dxa"/>
              <w:bottom w:w="40" w:type="dxa"/>
              <w:right w:w="20" w:type="dxa"/>
            </w:tcMar>
            <w:vAlign w:val="bottom"/>
          </w:tcPr>
          <w:p w14:paraId="392C987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7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74" w14:textId="77777777" w:rsidR="00980E5F" w:rsidRDefault="00483613">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392C98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7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877" w14:textId="77777777" w:rsidR="00980E5F" w:rsidRDefault="00483613">
            <w:pPr>
              <w:jc w:val="right"/>
              <w:textAlignment w:val="bottom"/>
            </w:pPr>
            <w:r>
              <w:rPr>
                <w:rFonts w:ascii="Arial" w:eastAsia="宋体" w:hAnsi="Arial" w:cs="Arial"/>
                <w:color w:val="000000"/>
                <w:sz w:val="13"/>
                <w:szCs w:val="13"/>
              </w:rPr>
              <w:t>(23)</w:t>
            </w:r>
          </w:p>
        </w:tc>
        <w:tc>
          <w:tcPr>
            <w:tcW w:w="0" w:type="auto"/>
            <w:shd w:val="clear" w:color="auto" w:fill="CCEEFF"/>
            <w:tcMar>
              <w:top w:w="40" w:type="dxa"/>
              <w:left w:w="0" w:type="dxa"/>
              <w:bottom w:w="40" w:type="dxa"/>
              <w:right w:w="20" w:type="dxa"/>
            </w:tcMar>
            <w:vAlign w:val="bottom"/>
          </w:tcPr>
          <w:p w14:paraId="392C9878" w14:textId="77777777" w:rsidR="00980E5F" w:rsidRDefault="00980E5F">
            <w:pPr>
              <w:jc w:val="right"/>
              <w:rPr>
                <w:rFonts w:ascii="宋体"/>
              </w:rPr>
            </w:pPr>
          </w:p>
        </w:tc>
      </w:tr>
      <w:tr w:rsidR="00980E5F" w14:paraId="392C988F" w14:textId="77777777">
        <w:tc>
          <w:tcPr>
            <w:tcW w:w="0" w:type="auto"/>
            <w:gridSpan w:val="3"/>
            <w:shd w:val="clear" w:color="auto" w:fill="FFFFFF"/>
            <w:tcMar>
              <w:top w:w="40" w:type="dxa"/>
              <w:left w:w="20" w:type="dxa"/>
              <w:bottom w:w="40" w:type="dxa"/>
              <w:right w:w="20" w:type="dxa"/>
            </w:tcMar>
            <w:vAlign w:val="bottom"/>
          </w:tcPr>
          <w:p w14:paraId="392C987A" w14:textId="77777777" w:rsidR="00980E5F" w:rsidRDefault="00483613">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7B" w14:textId="77777777" w:rsidR="00980E5F" w:rsidRDefault="00483613">
            <w:pPr>
              <w:jc w:val="right"/>
              <w:textAlignment w:val="bottom"/>
            </w:pPr>
            <w:r>
              <w:rPr>
                <w:rFonts w:ascii="Arial" w:eastAsia="宋体" w:hAnsi="Arial" w:cs="Arial"/>
                <w:color w:val="000000"/>
                <w:sz w:val="13"/>
                <w:szCs w:val="13"/>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7D"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7E" w14:textId="77777777" w:rsidR="00980E5F" w:rsidRDefault="00483613">
            <w:pPr>
              <w:jc w:val="right"/>
              <w:textAlignment w:val="bottom"/>
            </w:pPr>
            <w:r>
              <w:rPr>
                <w:rFonts w:ascii="Arial" w:eastAsia="宋体" w:hAnsi="Arial" w:cs="Arial"/>
                <w:color w:val="000000"/>
                <w:sz w:val="13"/>
                <w:szCs w:val="13"/>
              </w:rPr>
              <w:t>(464)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80"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81" w14:textId="77777777" w:rsidR="00980E5F" w:rsidRDefault="00483613">
            <w:pPr>
              <w:jc w:val="right"/>
              <w:textAlignment w:val="bottom"/>
            </w:pPr>
            <w:r>
              <w:rPr>
                <w:rFonts w:ascii="Arial" w:eastAsia="宋体" w:hAnsi="Arial" w:cs="Arial"/>
                <w:color w:val="000000"/>
                <w:sz w:val="13"/>
                <w:szCs w:val="13"/>
              </w:rPr>
              <w:t>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83"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84" w14:textId="77777777" w:rsidR="00980E5F" w:rsidRDefault="00483613">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8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8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87" w14:textId="77777777" w:rsidR="00980E5F" w:rsidRDefault="00483613">
            <w:pPr>
              <w:jc w:val="right"/>
              <w:textAlignment w:val="bottom"/>
            </w:pPr>
            <w:r>
              <w:rPr>
                <w:rFonts w:ascii="Arial" w:eastAsia="宋体" w:hAnsi="Arial" w:cs="Arial"/>
                <w:color w:val="000000"/>
                <w:sz w:val="13"/>
                <w:szCs w:val="13"/>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8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8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8A" w14:textId="77777777" w:rsidR="00980E5F" w:rsidRDefault="00483613">
            <w:pPr>
              <w:jc w:val="right"/>
              <w:textAlignment w:val="bottom"/>
            </w:pPr>
            <w:r>
              <w:rPr>
                <w:rFonts w:ascii="Arial" w:eastAsia="宋体" w:hAnsi="Arial" w:cs="Arial"/>
                <w:color w:val="000000"/>
                <w:sz w:val="13"/>
                <w:szCs w:val="13"/>
              </w:rPr>
              <w:t>(262)</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88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88D" w14:textId="77777777" w:rsidR="00980E5F" w:rsidRDefault="00483613">
            <w:pPr>
              <w:jc w:val="right"/>
              <w:textAlignment w:val="bottom"/>
            </w:pPr>
            <w:r>
              <w:rPr>
                <w:rFonts w:ascii="Arial" w:eastAsia="宋体" w:hAnsi="Arial" w:cs="Arial"/>
                <w:color w:val="000000"/>
                <w:sz w:val="13"/>
                <w:szCs w:val="13"/>
              </w:rPr>
              <w:t>(609)</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88E" w14:textId="77777777" w:rsidR="00980E5F" w:rsidRDefault="00980E5F">
            <w:pPr>
              <w:jc w:val="right"/>
              <w:rPr>
                <w:rFonts w:ascii="宋体"/>
              </w:rPr>
            </w:pPr>
          </w:p>
        </w:tc>
      </w:tr>
      <w:tr w:rsidR="00980E5F" w14:paraId="392C98AC" w14:textId="77777777">
        <w:tc>
          <w:tcPr>
            <w:tcW w:w="0" w:type="auto"/>
            <w:gridSpan w:val="3"/>
            <w:shd w:val="clear" w:color="auto" w:fill="CCEEFF"/>
            <w:tcMar>
              <w:top w:w="40" w:type="dxa"/>
              <w:left w:w="20" w:type="dxa"/>
              <w:bottom w:w="40" w:type="dxa"/>
              <w:right w:w="20" w:type="dxa"/>
            </w:tcMar>
            <w:vAlign w:val="bottom"/>
          </w:tcPr>
          <w:p w14:paraId="392C9890" w14:textId="77777777" w:rsidR="00980E5F" w:rsidRDefault="00483613">
            <w:pPr>
              <w:textAlignment w:val="bottom"/>
            </w:pPr>
            <w:r>
              <w:rPr>
                <w:rFonts w:ascii="Arial" w:eastAsia="宋体" w:hAnsi="Arial" w:cs="Arial"/>
                <w:b/>
                <w:bCs/>
                <w:color w:val="000000"/>
                <w:sz w:val="13"/>
                <w:szCs w:val="13"/>
              </w:rPr>
              <w:t>Balance as of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89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92" w14:textId="77777777" w:rsidR="00980E5F" w:rsidRDefault="00483613">
            <w:pPr>
              <w:jc w:val="right"/>
              <w:textAlignment w:val="bottom"/>
            </w:pPr>
            <w:r>
              <w:rPr>
                <w:rFonts w:ascii="Arial" w:eastAsia="宋体" w:hAnsi="Arial" w:cs="Arial"/>
                <w:color w:val="000000"/>
                <w:sz w:val="13"/>
                <w:szCs w:val="13"/>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9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9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96" w14:textId="77777777" w:rsidR="00980E5F" w:rsidRDefault="00483613">
            <w:pPr>
              <w:jc w:val="right"/>
              <w:textAlignment w:val="bottom"/>
            </w:pPr>
            <w:r>
              <w:rPr>
                <w:rFonts w:ascii="Arial" w:eastAsia="宋体" w:hAnsi="Arial" w:cs="Arial"/>
                <w:color w:val="000000"/>
                <w:sz w:val="13"/>
                <w:szCs w:val="13"/>
              </w:rPr>
              <w:t>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9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9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9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9A" w14:textId="77777777" w:rsidR="00980E5F" w:rsidRDefault="00483613">
            <w:pPr>
              <w:jc w:val="right"/>
              <w:textAlignment w:val="bottom"/>
            </w:pPr>
            <w:r>
              <w:rPr>
                <w:rFonts w:ascii="Arial" w:eastAsia="宋体" w:hAnsi="Arial" w:cs="Arial"/>
                <w:color w:val="000000"/>
                <w:sz w:val="13"/>
                <w:szCs w:val="13"/>
              </w:rPr>
              <w:t>(93)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9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9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9D"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9E" w14:textId="77777777" w:rsidR="00980E5F" w:rsidRDefault="00483613">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A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A1"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A2" w14:textId="77777777" w:rsidR="00980E5F" w:rsidRDefault="00483613">
            <w:pPr>
              <w:jc w:val="right"/>
              <w:textAlignment w:val="bottom"/>
            </w:pPr>
            <w:r>
              <w:rPr>
                <w:rFonts w:ascii="Arial" w:eastAsia="宋体" w:hAnsi="Arial" w:cs="Arial"/>
                <w:color w:val="000000"/>
                <w:sz w:val="13"/>
                <w:szCs w:val="13"/>
              </w:rPr>
              <w:t>(168)</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A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A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A5"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A6" w14:textId="77777777" w:rsidR="00980E5F" w:rsidRDefault="00483613">
            <w:pPr>
              <w:jc w:val="right"/>
              <w:textAlignment w:val="bottom"/>
            </w:pPr>
            <w:r>
              <w:rPr>
                <w:rFonts w:ascii="Arial" w:eastAsia="宋体" w:hAnsi="Arial" w:cs="Arial"/>
                <w:color w:val="000000"/>
                <w:sz w:val="13"/>
                <w:szCs w:val="13"/>
              </w:rPr>
              <w:t>(596)</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A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8A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8A9" w14:textId="77777777" w:rsidR="00980E5F" w:rsidRDefault="00483613">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8AA" w14:textId="77777777" w:rsidR="00980E5F" w:rsidRDefault="00483613">
            <w:pPr>
              <w:jc w:val="right"/>
              <w:textAlignment w:val="bottom"/>
            </w:pPr>
            <w:r>
              <w:rPr>
                <w:rFonts w:ascii="Arial" w:eastAsia="宋体" w:hAnsi="Arial" w:cs="Arial"/>
                <w:color w:val="000000"/>
                <w:sz w:val="13"/>
                <w:szCs w:val="13"/>
              </w:rPr>
              <w:t>(422)</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8AB" w14:textId="77777777" w:rsidR="00980E5F" w:rsidRDefault="00980E5F">
            <w:pPr>
              <w:jc w:val="right"/>
              <w:rPr>
                <w:rFonts w:ascii="宋体"/>
              </w:rPr>
            </w:pPr>
          </w:p>
        </w:tc>
      </w:tr>
      <w:tr w:rsidR="00980E5F" w14:paraId="392C98BB" w14:textId="77777777">
        <w:trPr>
          <w:trHeight w:val="120"/>
        </w:trPr>
        <w:tc>
          <w:tcPr>
            <w:tcW w:w="0" w:type="auto"/>
            <w:gridSpan w:val="3"/>
            <w:shd w:val="clear" w:color="auto" w:fill="FFFFFF"/>
            <w:tcMar>
              <w:top w:w="0" w:type="dxa"/>
              <w:left w:w="20" w:type="dxa"/>
              <w:bottom w:w="0" w:type="dxa"/>
              <w:right w:w="20" w:type="dxa"/>
            </w:tcMar>
            <w:vAlign w:val="bottom"/>
          </w:tcPr>
          <w:p w14:paraId="392C98AD"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A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A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B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B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B5"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B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8B9"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8BA" w14:textId="77777777" w:rsidR="00980E5F" w:rsidRDefault="00980E5F">
            <w:pPr>
              <w:rPr>
                <w:rFonts w:ascii="宋体"/>
              </w:rPr>
            </w:pPr>
          </w:p>
        </w:tc>
      </w:tr>
    </w:tbl>
    <w:p w14:paraId="392C98BC" w14:textId="77777777" w:rsidR="00980E5F" w:rsidRDefault="00483613">
      <w:pPr>
        <w:ind w:firstLine="450"/>
        <w:jc w:val="right"/>
      </w:pPr>
      <w:r>
        <w:rPr>
          <w:rFonts w:ascii="Arial" w:eastAsia="宋体" w:hAnsi="Arial" w:cs="Arial"/>
          <w:color w:val="000000"/>
          <w:sz w:val="18"/>
          <w:szCs w:val="18"/>
        </w:rPr>
        <w:t>State Street Corporation | 91</w:t>
      </w:r>
    </w:p>
    <w:p w14:paraId="392C98BD" w14:textId="77777777" w:rsidR="00980E5F" w:rsidRDefault="00980E5F">
      <w:pPr>
        <w:ind w:firstLine="450"/>
        <w:jc w:val="center"/>
      </w:pPr>
    </w:p>
    <w:p w14:paraId="392C98BE" w14:textId="77777777" w:rsidR="00980E5F" w:rsidRDefault="00483613">
      <w:r>
        <w:pict w14:anchorId="392CBB29">
          <v:rect id="_x0000_i1115" style="width:415.3pt;height:1.5pt" o:hralign="center" o:hrstd="t" o:hr="t" fillcolor="#a0a0a0" stroked="f"/>
        </w:pict>
      </w:r>
    </w:p>
    <w:p w14:paraId="392C98BF" w14:textId="77777777" w:rsidR="00980E5F" w:rsidRDefault="00483613">
      <w:pPr>
        <w:ind w:firstLine="450"/>
        <w:jc w:val="center"/>
      </w:pPr>
      <w:r>
        <w:rPr>
          <w:rFonts w:ascii="Arial" w:eastAsia="宋体" w:hAnsi="Arial" w:cs="Arial"/>
          <w:b/>
          <w:bCs/>
          <w:color w:val="000000"/>
          <w:sz w:val="20"/>
          <w:szCs w:val="20"/>
        </w:rPr>
        <w:t>STATE STREET CORPORATION</w:t>
      </w:r>
    </w:p>
    <w:p w14:paraId="392C98C0"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8C1" w14:textId="77777777" w:rsidR="00980E5F" w:rsidRDefault="00483613">
      <w:pPr>
        <w:ind w:firstLine="450"/>
        <w:jc w:val="center"/>
      </w:pPr>
      <w:r>
        <w:rPr>
          <w:rFonts w:ascii="Arial" w:eastAsia="宋体" w:hAnsi="Arial" w:cs="Arial"/>
          <w:b/>
          <w:bCs/>
          <w:color w:val="000000"/>
          <w:sz w:val="20"/>
          <w:szCs w:val="20"/>
        </w:rPr>
        <w:t>(UNAUDITED)</w:t>
      </w:r>
    </w:p>
    <w:p w14:paraId="392C98C2" w14:textId="77777777" w:rsidR="00980E5F" w:rsidRDefault="00483613">
      <w:pPr>
        <w:ind w:firstLine="450"/>
      </w:pPr>
      <w:r>
        <w:rPr>
          <w:rFonts w:ascii="Arial" w:eastAsia="宋体" w:hAnsi="Arial" w:cs="Arial"/>
          <w:color w:val="000000"/>
          <w:sz w:val="20"/>
          <w:szCs w:val="20"/>
        </w:rPr>
        <w:t>The following tables present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3912"/>
        <w:gridCol w:w="37"/>
        <w:gridCol w:w="98"/>
        <w:gridCol w:w="851"/>
        <w:gridCol w:w="36"/>
        <w:gridCol w:w="36"/>
        <w:gridCol w:w="36"/>
        <w:gridCol w:w="36"/>
        <w:gridCol w:w="98"/>
        <w:gridCol w:w="839"/>
        <w:gridCol w:w="36"/>
        <w:gridCol w:w="36"/>
        <w:gridCol w:w="36"/>
        <w:gridCol w:w="36"/>
        <w:gridCol w:w="38"/>
        <w:gridCol w:w="2075"/>
        <w:gridCol w:w="37"/>
      </w:tblGrid>
      <w:tr w:rsidR="00980E5F" w14:paraId="392C98D5" w14:textId="77777777">
        <w:tc>
          <w:tcPr>
            <w:tcW w:w="50" w:type="pct"/>
            <w:shd w:val="clear" w:color="auto" w:fill="auto"/>
            <w:vAlign w:val="bottom"/>
          </w:tcPr>
          <w:p w14:paraId="392C98C3" w14:textId="77777777" w:rsidR="00980E5F" w:rsidRDefault="00980E5F">
            <w:pPr>
              <w:rPr>
                <w:rFonts w:ascii="宋体"/>
              </w:rPr>
            </w:pPr>
          </w:p>
        </w:tc>
        <w:tc>
          <w:tcPr>
            <w:tcW w:w="2368" w:type="pct"/>
            <w:shd w:val="clear" w:color="auto" w:fill="auto"/>
            <w:vAlign w:val="bottom"/>
          </w:tcPr>
          <w:p w14:paraId="392C98C4" w14:textId="77777777" w:rsidR="00980E5F" w:rsidRDefault="00980E5F">
            <w:pPr>
              <w:rPr>
                <w:rFonts w:ascii="宋体"/>
              </w:rPr>
            </w:pPr>
          </w:p>
        </w:tc>
        <w:tc>
          <w:tcPr>
            <w:tcW w:w="5" w:type="pct"/>
            <w:shd w:val="clear" w:color="auto" w:fill="auto"/>
            <w:vAlign w:val="bottom"/>
          </w:tcPr>
          <w:p w14:paraId="392C98C5" w14:textId="77777777" w:rsidR="00980E5F" w:rsidRDefault="00980E5F">
            <w:pPr>
              <w:rPr>
                <w:rFonts w:ascii="宋体"/>
              </w:rPr>
            </w:pPr>
          </w:p>
        </w:tc>
        <w:tc>
          <w:tcPr>
            <w:tcW w:w="50" w:type="pct"/>
            <w:shd w:val="clear" w:color="auto" w:fill="auto"/>
            <w:vAlign w:val="bottom"/>
          </w:tcPr>
          <w:p w14:paraId="392C98C6" w14:textId="77777777" w:rsidR="00980E5F" w:rsidRDefault="00980E5F">
            <w:pPr>
              <w:rPr>
                <w:rFonts w:ascii="宋体"/>
              </w:rPr>
            </w:pPr>
          </w:p>
        </w:tc>
        <w:tc>
          <w:tcPr>
            <w:tcW w:w="530" w:type="pct"/>
            <w:shd w:val="clear" w:color="auto" w:fill="auto"/>
            <w:vAlign w:val="bottom"/>
          </w:tcPr>
          <w:p w14:paraId="392C98C7" w14:textId="77777777" w:rsidR="00980E5F" w:rsidRDefault="00980E5F">
            <w:pPr>
              <w:rPr>
                <w:rFonts w:ascii="宋体"/>
              </w:rPr>
            </w:pPr>
          </w:p>
        </w:tc>
        <w:tc>
          <w:tcPr>
            <w:tcW w:w="5" w:type="pct"/>
            <w:shd w:val="clear" w:color="auto" w:fill="auto"/>
            <w:vAlign w:val="bottom"/>
          </w:tcPr>
          <w:p w14:paraId="392C98C8" w14:textId="77777777" w:rsidR="00980E5F" w:rsidRDefault="00980E5F">
            <w:pPr>
              <w:rPr>
                <w:rFonts w:ascii="宋体"/>
              </w:rPr>
            </w:pPr>
          </w:p>
        </w:tc>
        <w:tc>
          <w:tcPr>
            <w:tcW w:w="5" w:type="pct"/>
            <w:shd w:val="clear" w:color="auto" w:fill="auto"/>
            <w:vAlign w:val="bottom"/>
          </w:tcPr>
          <w:p w14:paraId="392C98C9" w14:textId="77777777" w:rsidR="00980E5F" w:rsidRDefault="00980E5F">
            <w:pPr>
              <w:rPr>
                <w:rFonts w:ascii="宋体"/>
              </w:rPr>
            </w:pPr>
          </w:p>
        </w:tc>
        <w:tc>
          <w:tcPr>
            <w:tcW w:w="26" w:type="pct"/>
            <w:shd w:val="clear" w:color="auto" w:fill="auto"/>
            <w:vAlign w:val="bottom"/>
          </w:tcPr>
          <w:p w14:paraId="392C98CA" w14:textId="77777777" w:rsidR="00980E5F" w:rsidRDefault="00980E5F">
            <w:pPr>
              <w:rPr>
                <w:rFonts w:ascii="宋体"/>
              </w:rPr>
            </w:pPr>
          </w:p>
        </w:tc>
        <w:tc>
          <w:tcPr>
            <w:tcW w:w="5" w:type="pct"/>
            <w:shd w:val="clear" w:color="auto" w:fill="auto"/>
            <w:vAlign w:val="bottom"/>
          </w:tcPr>
          <w:p w14:paraId="392C98CB" w14:textId="77777777" w:rsidR="00980E5F" w:rsidRDefault="00980E5F">
            <w:pPr>
              <w:rPr>
                <w:rFonts w:ascii="宋体"/>
              </w:rPr>
            </w:pPr>
          </w:p>
        </w:tc>
        <w:tc>
          <w:tcPr>
            <w:tcW w:w="50" w:type="pct"/>
            <w:shd w:val="clear" w:color="auto" w:fill="auto"/>
            <w:vAlign w:val="bottom"/>
          </w:tcPr>
          <w:p w14:paraId="392C98CC" w14:textId="77777777" w:rsidR="00980E5F" w:rsidRDefault="00980E5F">
            <w:pPr>
              <w:rPr>
                <w:rFonts w:ascii="宋体"/>
              </w:rPr>
            </w:pPr>
          </w:p>
        </w:tc>
        <w:tc>
          <w:tcPr>
            <w:tcW w:w="537" w:type="pct"/>
            <w:shd w:val="clear" w:color="auto" w:fill="auto"/>
            <w:vAlign w:val="bottom"/>
          </w:tcPr>
          <w:p w14:paraId="392C98CD" w14:textId="77777777" w:rsidR="00980E5F" w:rsidRDefault="00980E5F">
            <w:pPr>
              <w:rPr>
                <w:rFonts w:ascii="宋体"/>
              </w:rPr>
            </w:pPr>
          </w:p>
        </w:tc>
        <w:tc>
          <w:tcPr>
            <w:tcW w:w="5" w:type="pct"/>
            <w:shd w:val="clear" w:color="auto" w:fill="auto"/>
            <w:vAlign w:val="bottom"/>
          </w:tcPr>
          <w:p w14:paraId="392C98CE" w14:textId="77777777" w:rsidR="00980E5F" w:rsidRDefault="00980E5F">
            <w:pPr>
              <w:rPr>
                <w:rFonts w:ascii="宋体"/>
              </w:rPr>
            </w:pPr>
          </w:p>
        </w:tc>
        <w:tc>
          <w:tcPr>
            <w:tcW w:w="5" w:type="pct"/>
            <w:shd w:val="clear" w:color="auto" w:fill="auto"/>
            <w:vAlign w:val="bottom"/>
          </w:tcPr>
          <w:p w14:paraId="392C98CF" w14:textId="77777777" w:rsidR="00980E5F" w:rsidRDefault="00980E5F">
            <w:pPr>
              <w:rPr>
                <w:rFonts w:ascii="宋体"/>
              </w:rPr>
            </w:pPr>
          </w:p>
        </w:tc>
        <w:tc>
          <w:tcPr>
            <w:tcW w:w="26" w:type="pct"/>
            <w:shd w:val="clear" w:color="auto" w:fill="auto"/>
            <w:vAlign w:val="bottom"/>
          </w:tcPr>
          <w:p w14:paraId="392C98D0" w14:textId="77777777" w:rsidR="00980E5F" w:rsidRDefault="00980E5F">
            <w:pPr>
              <w:rPr>
                <w:rFonts w:ascii="宋体"/>
              </w:rPr>
            </w:pPr>
          </w:p>
        </w:tc>
        <w:tc>
          <w:tcPr>
            <w:tcW w:w="5" w:type="pct"/>
            <w:shd w:val="clear" w:color="auto" w:fill="auto"/>
            <w:vAlign w:val="bottom"/>
          </w:tcPr>
          <w:p w14:paraId="392C98D1" w14:textId="77777777" w:rsidR="00980E5F" w:rsidRDefault="00980E5F">
            <w:pPr>
              <w:rPr>
                <w:rFonts w:ascii="宋体"/>
              </w:rPr>
            </w:pPr>
          </w:p>
        </w:tc>
        <w:tc>
          <w:tcPr>
            <w:tcW w:w="50" w:type="pct"/>
            <w:shd w:val="clear" w:color="auto" w:fill="auto"/>
            <w:vAlign w:val="bottom"/>
          </w:tcPr>
          <w:p w14:paraId="392C98D2" w14:textId="77777777" w:rsidR="00980E5F" w:rsidRDefault="00980E5F">
            <w:pPr>
              <w:rPr>
                <w:rFonts w:ascii="宋体"/>
              </w:rPr>
            </w:pPr>
          </w:p>
        </w:tc>
        <w:tc>
          <w:tcPr>
            <w:tcW w:w="1270" w:type="pct"/>
            <w:shd w:val="clear" w:color="auto" w:fill="auto"/>
            <w:vAlign w:val="bottom"/>
          </w:tcPr>
          <w:p w14:paraId="392C98D3" w14:textId="77777777" w:rsidR="00980E5F" w:rsidRDefault="00980E5F">
            <w:pPr>
              <w:rPr>
                <w:rFonts w:ascii="宋体"/>
              </w:rPr>
            </w:pPr>
          </w:p>
        </w:tc>
        <w:tc>
          <w:tcPr>
            <w:tcW w:w="5" w:type="pct"/>
            <w:shd w:val="clear" w:color="auto" w:fill="auto"/>
            <w:vAlign w:val="bottom"/>
          </w:tcPr>
          <w:p w14:paraId="392C98D4" w14:textId="77777777" w:rsidR="00980E5F" w:rsidRDefault="00980E5F">
            <w:pPr>
              <w:rPr>
                <w:rFonts w:ascii="宋体"/>
              </w:rPr>
            </w:pPr>
          </w:p>
        </w:tc>
      </w:tr>
      <w:tr w:rsidR="00980E5F" w14:paraId="392C98DA" w14:textId="77777777">
        <w:tc>
          <w:tcPr>
            <w:tcW w:w="0" w:type="auto"/>
            <w:gridSpan w:val="3"/>
            <w:shd w:val="clear" w:color="auto" w:fill="auto"/>
            <w:tcMar>
              <w:top w:w="0" w:type="dxa"/>
              <w:left w:w="20" w:type="dxa"/>
              <w:bottom w:w="0" w:type="dxa"/>
              <w:right w:w="20" w:type="dxa"/>
            </w:tcMar>
            <w:vAlign w:val="bottom"/>
          </w:tcPr>
          <w:p w14:paraId="392C98D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8D7"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392C98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8D9" w14:textId="77777777" w:rsidR="00980E5F" w:rsidRDefault="00980E5F">
            <w:pPr>
              <w:rPr>
                <w:rFonts w:ascii="宋体"/>
              </w:rPr>
            </w:pPr>
          </w:p>
        </w:tc>
      </w:tr>
      <w:tr w:rsidR="00980E5F" w14:paraId="392C98E1" w14:textId="77777777">
        <w:tc>
          <w:tcPr>
            <w:tcW w:w="0" w:type="auto"/>
            <w:gridSpan w:val="3"/>
            <w:shd w:val="clear" w:color="auto" w:fill="auto"/>
            <w:tcMar>
              <w:top w:w="0" w:type="dxa"/>
              <w:left w:w="20" w:type="dxa"/>
              <w:bottom w:w="0" w:type="dxa"/>
              <w:right w:w="20" w:type="dxa"/>
            </w:tcMar>
            <w:vAlign w:val="bottom"/>
          </w:tcPr>
          <w:p w14:paraId="392C98D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8DC"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8DD" w14:textId="77777777" w:rsidR="00980E5F" w:rsidRDefault="00980E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92C98DE"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98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8E0" w14:textId="77777777" w:rsidR="00980E5F" w:rsidRDefault="00980E5F">
            <w:pPr>
              <w:rPr>
                <w:rFonts w:ascii="宋体"/>
              </w:rPr>
            </w:pPr>
          </w:p>
        </w:tc>
      </w:tr>
      <w:tr w:rsidR="00980E5F" w14:paraId="392C98E6" w14:textId="77777777">
        <w:tc>
          <w:tcPr>
            <w:tcW w:w="0" w:type="auto"/>
            <w:gridSpan w:val="3"/>
            <w:shd w:val="clear" w:color="auto" w:fill="auto"/>
            <w:tcMar>
              <w:top w:w="40" w:type="dxa"/>
              <w:left w:w="20" w:type="dxa"/>
              <w:bottom w:w="40" w:type="dxa"/>
              <w:right w:w="20" w:type="dxa"/>
            </w:tcMar>
            <w:vAlign w:val="bottom"/>
          </w:tcPr>
          <w:p w14:paraId="392C98E2"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98E3" w14:textId="77777777" w:rsidR="00980E5F" w:rsidRDefault="00483613">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392C98E4"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8E5" w14:textId="77777777" w:rsidR="00980E5F" w:rsidRDefault="00483613">
            <w:pPr>
              <w:jc w:val="center"/>
              <w:textAlignment w:val="bottom"/>
            </w:pPr>
            <w:r>
              <w:rPr>
                <w:rFonts w:ascii="Arial" w:eastAsia="宋体" w:hAnsi="Arial" w:cs="Arial"/>
                <w:b/>
                <w:bCs/>
                <w:color w:val="000000"/>
                <w:sz w:val="14"/>
                <w:szCs w:val="14"/>
              </w:rPr>
              <w:t xml:space="preserve">Affected Line </w:t>
            </w:r>
            <w:r>
              <w:rPr>
                <w:rFonts w:ascii="Arial" w:eastAsia="宋体" w:hAnsi="Arial" w:cs="Arial"/>
                <w:b/>
                <w:bCs/>
                <w:color w:val="000000"/>
                <w:sz w:val="14"/>
                <w:szCs w:val="14"/>
              </w:rPr>
              <w:t>Item in Consolidated Statement of Income</w:t>
            </w:r>
          </w:p>
        </w:tc>
      </w:tr>
      <w:tr w:rsidR="00980E5F" w14:paraId="392C98ED" w14:textId="77777777">
        <w:trPr>
          <w:hidden/>
        </w:trPr>
        <w:tc>
          <w:tcPr>
            <w:tcW w:w="0" w:type="auto"/>
            <w:gridSpan w:val="3"/>
            <w:shd w:val="clear" w:color="auto" w:fill="auto"/>
            <w:vAlign w:val="bottom"/>
          </w:tcPr>
          <w:p w14:paraId="392C98E7" w14:textId="77777777" w:rsidR="00980E5F" w:rsidRDefault="00980E5F">
            <w:pPr>
              <w:rPr>
                <w:rFonts w:ascii="宋体"/>
                <w:vanish/>
              </w:rPr>
            </w:pPr>
          </w:p>
        </w:tc>
        <w:tc>
          <w:tcPr>
            <w:tcW w:w="0" w:type="auto"/>
            <w:gridSpan w:val="3"/>
            <w:shd w:val="clear" w:color="auto" w:fill="auto"/>
            <w:vAlign w:val="bottom"/>
          </w:tcPr>
          <w:p w14:paraId="392C98E8" w14:textId="77777777" w:rsidR="00980E5F" w:rsidRDefault="00980E5F">
            <w:pPr>
              <w:rPr>
                <w:rFonts w:ascii="宋体"/>
                <w:vanish/>
              </w:rPr>
            </w:pPr>
          </w:p>
        </w:tc>
        <w:tc>
          <w:tcPr>
            <w:tcW w:w="0" w:type="auto"/>
            <w:gridSpan w:val="3"/>
            <w:shd w:val="clear" w:color="auto" w:fill="auto"/>
            <w:vAlign w:val="bottom"/>
          </w:tcPr>
          <w:p w14:paraId="392C98E9" w14:textId="77777777" w:rsidR="00980E5F" w:rsidRDefault="00980E5F">
            <w:pPr>
              <w:rPr>
                <w:rFonts w:ascii="宋体"/>
                <w:vanish/>
              </w:rPr>
            </w:pPr>
          </w:p>
        </w:tc>
        <w:tc>
          <w:tcPr>
            <w:tcW w:w="0" w:type="auto"/>
            <w:gridSpan w:val="3"/>
            <w:shd w:val="clear" w:color="auto" w:fill="auto"/>
            <w:vAlign w:val="bottom"/>
          </w:tcPr>
          <w:p w14:paraId="392C98EA" w14:textId="77777777" w:rsidR="00980E5F" w:rsidRDefault="00980E5F">
            <w:pPr>
              <w:rPr>
                <w:rFonts w:ascii="宋体"/>
                <w:vanish/>
              </w:rPr>
            </w:pPr>
          </w:p>
        </w:tc>
        <w:tc>
          <w:tcPr>
            <w:tcW w:w="0" w:type="auto"/>
            <w:gridSpan w:val="3"/>
            <w:shd w:val="clear" w:color="auto" w:fill="auto"/>
            <w:vAlign w:val="bottom"/>
          </w:tcPr>
          <w:p w14:paraId="392C98EB" w14:textId="77777777" w:rsidR="00980E5F" w:rsidRDefault="00980E5F">
            <w:pPr>
              <w:rPr>
                <w:rFonts w:ascii="宋体"/>
                <w:vanish/>
              </w:rPr>
            </w:pPr>
          </w:p>
        </w:tc>
        <w:tc>
          <w:tcPr>
            <w:tcW w:w="0" w:type="auto"/>
            <w:gridSpan w:val="3"/>
            <w:shd w:val="clear" w:color="auto" w:fill="auto"/>
            <w:vAlign w:val="bottom"/>
          </w:tcPr>
          <w:p w14:paraId="392C98EC" w14:textId="77777777" w:rsidR="00980E5F" w:rsidRDefault="00980E5F">
            <w:pPr>
              <w:rPr>
                <w:rFonts w:ascii="宋体"/>
                <w:vanish/>
              </w:rPr>
            </w:pPr>
          </w:p>
        </w:tc>
      </w:tr>
      <w:tr w:rsidR="00980E5F" w14:paraId="392C98F4" w14:textId="77777777">
        <w:trPr>
          <w:hidden/>
        </w:trPr>
        <w:tc>
          <w:tcPr>
            <w:tcW w:w="0" w:type="auto"/>
            <w:gridSpan w:val="3"/>
            <w:shd w:val="clear" w:color="auto" w:fill="auto"/>
            <w:vAlign w:val="bottom"/>
          </w:tcPr>
          <w:p w14:paraId="392C98EE" w14:textId="77777777" w:rsidR="00980E5F" w:rsidRDefault="00980E5F">
            <w:pPr>
              <w:rPr>
                <w:rFonts w:ascii="宋体"/>
                <w:vanish/>
              </w:rPr>
            </w:pPr>
          </w:p>
        </w:tc>
        <w:tc>
          <w:tcPr>
            <w:tcW w:w="0" w:type="auto"/>
            <w:gridSpan w:val="3"/>
            <w:shd w:val="clear" w:color="auto" w:fill="auto"/>
            <w:vAlign w:val="bottom"/>
          </w:tcPr>
          <w:p w14:paraId="392C98EF" w14:textId="77777777" w:rsidR="00980E5F" w:rsidRDefault="00980E5F">
            <w:pPr>
              <w:rPr>
                <w:rFonts w:ascii="宋体"/>
                <w:vanish/>
              </w:rPr>
            </w:pPr>
          </w:p>
        </w:tc>
        <w:tc>
          <w:tcPr>
            <w:tcW w:w="0" w:type="auto"/>
            <w:gridSpan w:val="3"/>
            <w:shd w:val="clear" w:color="auto" w:fill="auto"/>
            <w:vAlign w:val="bottom"/>
          </w:tcPr>
          <w:p w14:paraId="392C98F0" w14:textId="77777777" w:rsidR="00980E5F" w:rsidRDefault="00980E5F">
            <w:pPr>
              <w:rPr>
                <w:rFonts w:ascii="宋体"/>
                <w:vanish/>
              </w:rPr>
            </w:pPr>
          </w:p>
        </w:tc>
        <w:tc>
          <w:tcPr>
            <w:tcW w:w="0" w:type="auto"/>
            <w:gridSpan w:val="3"/>
            <w:shd w:val="clear" w:color="auto" w:fill="auto"/>
            <w:vAlign w:val="bottom"/>
          </w:tcPr>
          <w:p w14:paraId="392C98F1" w14:textId="77777777" w:rsidR="00980E5F" w:rsidRDefault="00980E5F">
            <w:pPr>
              <w:rPr>
                <w:rFonts w:ascii="宋体"/>
                <w:vanish/>
              </w:rPr>
            </w:pPr>
          </w:p>
        </w:tc>
        <w:tc>
          <w:tcPr>
            <w:tcW w:w="0" w:type="auto"/>
            <w:gridSpan w:val="3"/>
            <w:shd w:val="clear" w:color="auto" w:fill="auto"/>
            <w:vAlign w:val="bottom"/>
          </w:tcPr>
          <w:p w14:paraId="392C98F2" w14:textId="77777777" w:rsidR="00980E5F" w:rsidRDefault="00980E5F">
            <w:pPr>
              <w:rPr>
                <w:rFonts w:ascii="宋体"/>
                <w:vanish/>
              </w:rPr>
            </w:pPr>
          </w:p>
        </w:tc>
        <w:tc>
          <w:tcPr>
            <w:tcW w:w="0" w:type="auto"/>
            <w:gridSpan w:val="3"/>
            <w:shd w:val="clear" w:color="auto" w:fill="auto"/>
            <w:vAlign w:val="bottom"/>
          </w:tcPr>
          <w:p w14:paraId="392C98F3" w14:textId="77777777" w:rsidR="00980E5F" w:rsidRDefault="00980E5F">
            <w:pPr>
              <w:rPr>
                <w:rFonts w:ascii="宋体"/>
                <w:vanish/>
              </w:rPr>
            </w:pPr>
          </w:p>
        </w:tc>
      </w:tr>
      <w:tr w:rsidR="00980E5F" w14:paraId="392C98FB" w14:textId="77777777">
        <w:trPr>
          <w:hidden/>
        </w:trPr>
        <w:tc>
          <w:tcPr>
            <w:tcW w:w="0" w:type="auto"/>
            <w:gridSpan w:val="3"/>
            <w:shd w:val="clear" w:color="auto" w:fill="auto"/>
            <w:vAlign w:val="bottom"/>
          </w:tcPr>
          <w:p w14:paraId="392C98F5" w14:textId="77777777" w:rsidR="00980E5F" w:rsidRDefault="00980E5F">
            <w:pPr>
              <w:rPr>
                <w:rFonts w:ascii="宋体"/>
                <w:vanish/>
              </w:rPr>
            </w:pPr>
          </w:p>
        </w:tc>
        <w:tc>
          <w:tcPr>
            <w:tcW w:w="0" w:type="auto"/>
            <w:gridSpan w:val="3"/>
            <w:shd w:val="clear" w:color="auto" w:fill="auto"/>
            <w:vAlign w:val="bottom"/>
          </w:tcPr>
          <w:p w14:paraId="392C98F6" w14:textId="77777777" w:rsidR="00980E5F" w:rsidRDefault="00980E5F">
            <w:pPr>
              <w:rPr>
                <w:rFonts w:ascii="宋体"/>
                <w:vanish/>
              </w:rPr>
            </w:pPr>
          </w:p>
        </w:tc>
        <w:tc>
          <w:tcPr>
            <w:tcW w:w="0" w:type="auto"/>
            <w:gridSpan w:val="3"/>
            <w:shd w:val="clear" w:color="auto" w:fill="auto"/>
            <w:vAlign w:val="bottom"/>
          </w:tcPr>
          <w:p w14:paraId="392C98F7" w14:textId="77777777" w:rsidR="00980E5F" w:rsidRDefault="00980E5F">
            <w:pPr>
              <w:rPr>
                <w:rFonts w:ascii="宋体"/>
                <w:vanish/>
              </w:rPr>
            </w:pPr>
          </w:p>
        </w:tc>
        <w:tc>
          <w:tcPr>
            <w:tcW w:w="0" w:type="auto"/>
            <w:gridSpan w:val="3"/>
            <w:shd w:val="clear" w:color="auto" w:fill="auto"/>
            <w:vAlign w:val="bottom"/>
          </w:tcPr>
          <w:p w14:paraId="392C98F8" w14:textId="77777777" w:rsidR="00980E5F" w:rsidRDefault="00980E5F">
            <w:pPr>
              <w:rPr>
                <w:rFonts w:ascii="宋体"/>
                <w:vanish/>
              </w:rPr>
            </w:pPr>
          </w:p>
        </w:tc>
        <w:tc>
          <w:tcPr>
            <w:tcW w:w="0" w:type="auto"/>
            <w:gridSpan w:val="3"/>
            <w:shd w:val="clear" w:color="auto" w:fill="auto"/>
            <w:vAlign w:val="bottom"/>
          </w:tcPr>
          <w:p w14:paraId="392C98F9" w14:textId="77777777" w:rsidR="00980E5F" w:rsidRDefault="00980E5F">
            <w:pPr>
              <w:rPr>
                <w:rFonts w:ascii="宋体"/>
                <w:vanish/>
              </w:rPr>
            </w:pPr>
          </w:p>
        </w:tc>
        <w:tc>
          <w:tcPr>
            <w:tcW w:w="0" w:type="auto"/>
            <w:gridSpan w:val="3"/>
            <w:shd w:val="clear" w:color="auto" w:fill="auto"/>
            <w:vAlign w:val="bottom"/>
          </w:tcPr>
          <w:p w14:paraId="392C98FA" w14:textId="77777777" w:rsidR="00980E5F" w:rsidRDefault="00980E5F">
            <w:pPr>
              <w:rPr>
                <w:rFonts w:ascii="宋体"/>
                <w:vanish/>
              </w:rPr>
            </w:pPr>
          </w:p>
        </w:tc>
      </w:tr>
      <w:tr w:rsidR="00980E5F" w14:paraId="392C9902" w14:textId="77777777">
        <w:trPr>
          <w:hidden/>
        </w:trPr>
        <w:tc>
          <w:tcPr>
            <w:tcW w:w="0" w:type="auto"/>
            <w:gridSpan w:val="3"/>
            <w:shd w:val="clear" w:color="auto" w:fill="auto"/>
            <w:vAlign w:val="bottom"/>
          </w:tcPr>
          <w:p w14:paraId="392C98FC" w14:textId="77777777" w:rsidR="00980E5F" w:rsidRDefault="00980E5F">
            <w:pPr>
              <w:rPr>
                <w:rFonts w:ascii="宋体"/>
                <w:vanish/>
              </w:rPr>
            </w:pPr>
          </w:p>
        </w:tc>
        <w:tc>
          <w:tcPr>
            <w:tcW w:w="0" w:type="auto"/>
            <w:gridSpan w:val="3"/>
            <w:shd w:val="clear" w:color="auto" w:fill="auto"/>
            <w:vAlign w:val="bottom"/>
          </w:tcPr>
          <w:p w14:paraId="392C98FD" w14:textId="77777777" w:rsidR="00980E5F" w:rsidRDefault="00980E5F">
            <w:pPr>
              <w:rPr>
                <w:rFonts w:ascii="宋体"/>
                <w:vanish/>
              </w:rPr>
            </w:pPr>
          </w:p>
        </w:tc>
        <w:tc>
          <w:tcPr>
            <w:tcW w:w="0" w:type="auto"/>
            <w:gridSpan w:val="3"/>
            <w:shd w:val="clear" w:color="auto" w:fill="auto"/>
            <w:vAlign w:val="bottom"/>
          </w:tcPr>
          <w:p w14:paraId="392C98FE" w14:textId="77777777" w:rsidR="00980E5F" w:rsidRDefault="00980E5F">
            <w:pPr>
              <w:rPr>
                <w:rFonts w:ascii="宋体"/>
                <w:vanish/>
              </w:rPr>
            </w:pPr>
          </w:p>
        </w:tc>
        <w:tc>
          <w:tcPr>
            <w:tcW w:w="0" w:type="auto"/>
            <w:gridSpan w:val="3"/>
            <w:shd w:val="clear" w:color="auto" w:fill="auto"/>
            <w:vAlign w:val="bottom"/>
          </w:tcPr>
          <w:p w14:paraId="392C98FF" w14:textId="77777777" w:rsidR="00980E5F" w:rsidRDefault="00980E5F">
            <w:pPr>
              <w:rPr>
                <w:rFonts w:ascii="宋体"/>
                <w:vanish/>
              </w:rPr>
            </w:pPr>
          </w:p>
        </w:tc>
        <w:tc>
          <w:tcPr>
            <w:tcW w:w="0" w:type="auto"/>
            <w:gridSpan w:val="3"/>
            <w:shd w:val="clear" w:color="auto" w:fill="auto"/>
            <w:vAlign w:val="bottom"/>
          </w:tcPr>
          <w:p w14:paraId="392C9900" w14:textId="77777777" w:rsidR="00980E5F" w:rsidRDefault="00980E5F">
            <w:pPr>
              <w:rPr>
                <w:rFonts w:ascii="宋体"/>
                <w:vanish/>
              </w:rPr>
            </w:pPr>
          </w:p>
        </w:tc>
        <w:tc>
          <w:tcPr>
            <w:tcW w:w="0" w:type="auto"/>
            <w:gridSpan w:val="3"/>
            <w:shd w:val="clear" w:color="auto" w:fill="auto"/>
            <w:vAlign w:val="bottom"/>
          </w:tcPr>
          <w:p w14:paraId="392C9901" w14:textId="77777777" w:rsidR="00980E5F" w:rsidRDefault="00980E5F">
            <w:pPr>
              <w:rPr>
                <w:rFonts w:ascii="宋体"/>
                <w:vanish/>
              </w:rPr>
            </w:pPr>
          </w:p>
        </w:tc>
      </w:tr>
      <w:tr w:rsidR="00980E5F" w14:paraId="392C9909" w14:textId="77777777">
        <w:trPr>
          <w:hidden/>
        </w:trPr>
        <w:tc>
          <w:tcPr>
            <w:tcW w:w="0" w:type="auto"/>
            <w:gridSpan w:val="3"/>
            <w:shd w:val="clear" w:color="auto" w:fill="auto"/>
            <w:vAlign w:val="bottom"/>
          </w:tcPr>
          <w:p w14:paraId="392C9903" w14:textId="77777777" w:rsidR="00980E5F" w:rsidRDefault="00980E5F">
            <w:pPr>
              <w:rPr>
                <w:rFonts w:ascii="宋体"/>
                <w:vanish/>
              </w:rPr>
            </w:pPr>
          </w:p>
        </w:tc>
        <w:tc>
          <w:tcPr>
            <w:tcW w:w="0" w:type="auto"/>
            <w:gridSpan w:val="3"/>
            <w:shd w:val="clear" w:color="auto" w:fill="auto"/>
            <w:vAlign w:val="bottom"/>
          </w:tcPr>
          <w:p w14:paraId="392C9904" w14:textId="77777777" w:rsidR="00980E5F" w:rsidRDefault="00980E5F">
            <w:pPr>
              <w:rPr>
                <w:rFonts w:ascii="宋体"/>
                <w:vanish/>
              </w:rPr>
            </w:pPr>
          </w:p>
        </w:tc>
        <w:tc>
          <w:tcPr>
            <w:tcW w:w="0" w:type="auto"/>
            <w:gridSpan w:val="3"/>
            <w:shd w:val="clear" w:color="auto" w:fill="auto"/>
            <w:vAlign w:val="bottom"/>
          </w:tcPr>
          <w:p w14:paraId="392C9905" w14:textId="77777777" w:rsidR="00980E5F" w:rsidRDefault="00980E5F">
            <w:pPr>
              <w:rPr>
                <w:rFonts w:ascii="宋体"/>
                <w:vanish/>
              </w:rPr>
            </w:pPr>
          </w:p>
        </w:tc>
        <w:tc>
          <w:tcPr>
            <w:tcW w:w="0" w:type="auto"/>
            <w:gridSpan w:val="3"/>
            <w:shd w:val="clear" w:color="auto" w:fill="auto"/>
            <w:vAlign w:val="bottom"/>
          </w:tcPr>
          <w:p w14:paraId="392C9906" w14:textId="77777777" w:rsidR="00980E5F" w:rsidRDefault="00980E5F">
            <w:pPr>
              <w:rPr>
                <w:rFonts w:ascii="宋体"/>
                <w:vanish/>
              </w:rPr>
            </w:pPr>
          </w:p>
        </w:tc>
        <w:tc>
          <w:tcPr>
            <w:tcW w:w="0" w:type="auto"/>
            <w:gridSpan w:val="3"/>
            <w:shd w:val="clear" w:color="auto" w:fill="auto"/>
            <w:vAlign w:val="bottom"/>
          </w:tcPr>
          <w:p w14:paraId="392C9907" w14:textId="77777777" w:rsidR="00980E5F" w:rsidRDefault="00980E5F">
            <w:pPr>
              <w:rPr>
                <w:rFonts w:ascii="宋体"/>
                <w:vanish/>
              </w:rPr>
            </w:pPr>
          </w:p>
        </w:tc>
        <w:tc>
          <w:tcPr>
            <w:tcW w:w="0" w:type="auto"/>
            <w:gridSpan w:val="3"/>
            <w:shd w:val="clear" w:color="auto" w:fill="auto"/>
            <w:vAlign w:val="bottom"/>
          </w:tcPr>
          <w:p w14:paraId="392C9908" w14:textId="77777777" w:rsidR="00980E5F" w:rsidRDefault="00980E5F">
            <w:pPr>
              <w:rPr>
                <w:rFonts w:ascii="宋体"/>
                <w:vanish/>
              </w:rPr>
            </w:pPr>
          </w:p>
        </w:tc>
      </w:tr>
      <w:tr w:rsidR="00980E5F" w14:paraId="392C9910" w14:textId="77777777">
        <w:trPr>
          <w:hidden/>
        </w:trPr>
        <w:tc>
          <w:tcPr>
            <w:tcW w:w="0" w:type="auto"/>
            <w:gridSpan w:val="3"/>
            <w:shd w:val="clear" w:color="auto" w:fill="auto"/>
            <w:vAlign w:val="bottom"/>
          </w:tcPr>
          <w:p w14:paraId="392C990A" w14:textId="77777777" w:rsidR="00980E5F" w:rsidRDefault="00980E5F">
            <w:pPr>
              <w:rPr>
                <w:rFonts w:ascii="宋体"/>
                <w:vanish/>
              </w:rPr>
            </w:pPr>
          </w:p>
        </w:tc>
        <w:tc>
          <w:tcPr>
            <w:tcW w:w="0" w:type="auto"/>
            <w:gridSpan w:val="3"/>
            <w:shd w:val="clear" w:color="auto" w:fill="auto"/>
            <w:vAlign w:val="bottom"/>
          </w:tcPr>
          <w:p w14:paraId="392C990B" w14:textId="77777777" w:rsidR="00980E5F" w:rsidRDefault="00980E5F">
            <w:pPr>
              <w:rPr>
                <w:rFonts w:ascii="宋体"/>
                <w:vanish/>
              </w:rPr>
            </w:pPr>
          </w:p>
        </w:tc>
        <w:tc>
          <w:tcPr>
            <w:tcW w:w="0" w:type="auto"/>
            <w:gridSpan w:val="3"/>
            <w:shd w:val="clear" w:color="auto" w:fill="auto"/>
            <w:vAlign w:val="bottom"/>
          </w:tcPr>
          <w:p w14:paraId="392C990C" w14:textId="77777777" w:rsidR="00980E5F" w:rsidRDefault="00980E5F">
            <w:pPr>
              <w:rPr>
                <w:rFonts w:ascii="宋体"/>
                <w:vanish/>
              </w:rPr>
            </w:pPr>
          </w:p>
        </w:tc>
        <w:tc>
          <w:tcPr>
            <w:tcW w:w="0" w:type="auto"/>
            <w:gridSpan w:val="3"/>
            <w:shd w:val="clear" w:color="auto" w:fill="auto"/>
            <w:vAlign w:val="bottom"/>
          </w:tcPr>
          <w:p w14:paraId="392C990D" w14:textId="77777777" w:rsidR="00980E5F" w:rsidRDefault="00980E5F">
            <w:pPr>
              <w:rPr>
                <w:rFonts w:ascii="宋体"/>
                <w:vanish/>
              </w:rPr>
            </w:pPr>
          </w:p>
        </w:tc>
        <w:tc>
          <w:tcPr>
            <w:tcW w:w="0" w:type="auto"/>
            <w:gridSpan w:val="3"/>
            <w:shd w:val="clear" w:color="auto" w:fill="auto"/>
            <w:vAlign w:val="bottom"/>
          </w:tcPr>
          <w:p w14:paraId="392C990E" w14:textId="77777777" w:rsidR="00980E5F" w:rsidRDefault="00980E5F">
            <w:pPr>
              <w:rPr>
                <w:rFonts w:ascii="宋体"/>
                <w:vanish/>
              </w:rPr>
            </w:pPr>
          </w:p>
        </w:tc>
        <w:tc>
          <w:tcPr>
            <w:tcW w:w="0" w:type="auto"/>
            <w:gridSpan w:val="3"/>
            <w:shd w:val="clear" w:color="auto" w:fill="auto"/>
            <w:vAlign w:val="bottom"/>
          </w:tcPr>
          <w:p w14:paraId="392C990F" w14:textId="77777777" w:rsidR="00980E5F" w:rsidRDefault="00980E5F">
            <w:pPr>
              <w:rPr>
                <w:rFonts w:ascii="宋体"/>
                <w:vanish/>
              </w:rPr>
            </w:pPr>
          </w:p>
        </w:tc>
      </w:tr>
      <w:tr w:rsidR="00980E5F" w14:paraId="392C9917" w14:textId="77777777">
        <w:trPr>
          <w:hidden/>
        </w:trPr>
        <w:tc>
          <w:tcPr>
            <w:tcW w:w="0" w:type="auto"/>
            <w:gridSpan w:val="3"/>
            <w:shd w:val="clear" w:color="auto" w:fill="auto"/>
            <w:vAlign w:val="bottom"/>
          </w:tcPr>
          <w:p w14:paraId="392C9911" w14:textId="77777777" w:rsidR="00980E5F" w:rsidRDefault="00980E5F">
            <w:pPr>
              <w:rPr>
                <w:rFonts w:ascii="宋体"/>
                <w:vanish/>
              </w:rPr>
            </w:pPr>
          </w:p>
        </w:tc>
        <w:tc>
          <w:tcPr>
            <w:tcW w:w="0" w:type="auto"/>
            <w:gridSpan w:val="3"/>
            <w:shd w:val="clear" w:color="auto" w:fill="auto"/>
            <w:vAlign w:val="bottom"/>
          </w:tcPr>
          <w:p w14:paraId="392C9912" w14:textId="77777777" w:rsidR="00980E5F" w:rsidRDefault="00980E5F">
            <w:pPr>
              <w:rPr>
                <w:rFonts w:ascii="宋体"/>
                <w:vanish/>
              </w:rPr>
            </w:pPr>
          </w:p>
        </w:tc>
        <w:tc>
          <w:tcPr>
            <w:tcW w:w="0" w:type="auto"/>
            <w:gridSpan w:val="3"/>
            <w:shd w:val="clear" w:color="auto" w:fill="auto"/>
            <w:vAlign w:val="bottom"/>
          </w:tcPr>
          <w:p w14:paraId="392C9913" w14:textId="77777777" w:rsidR="00980E5F" w:rsidRDefault="00980E5F">
            <w:pPr>
              <w:rPr>
                <w:rFonts w:ascii="宋体"/>
                <w:vanish/>
              </w:rPr>
            </w:pPr>
          </w:p>
        </w:tc>
        <w:tc>
          <w:tcPr>
            <w:tcW w:w="0" w:type="auto"/>
            <w:gridSpan w:val="3"/>
            <w:shd w:val="clear" w:color="auto" w:fill="auto"/>
            <w:vAlign w:val="bottom"/>
          </w:tcPr>
          <w:p w14:paraId="392C9914" w14:textId="77777777" w:rsidR="00980E5F" w:rsidRDefault="00980E5F">
            <w:pPr>
              <w:rPr>
                <w:rFonts w:ascii="宋体"/>
                <w:vanish/>
              </w:rPr>
            </w:pPr>
          </w:p>
        </w:tc>
        <w:tc>
          <w:tcPr>
            <w:tcW w:w="0" w:type="auto"/>
            <w:gridSpan w:val="3"/>
            <w:shd w:val="clear" w:color="auto" w:fill="auto"/>
            <w:vAlign w:val="bottom"/>
          </w:tcPr>
          <w:p w14:paraId="392C9915" w14:textId="77777777" w:rsidR="00980E5F" w:rsidRDefault="00980E5F">
            <w:pPr>
              <w:rPr>
                <w:rFonts w:ascii="宋体"/>
                <w:vanish/>
              </w:rPr>
            </w:pPr>
          </w:p>
        </w:tc>
        <w:tc>
          <w:tcPr>
            <w:tcW w:w="0" w:type="auto"/>
            <w:gridSpan w:val="3"/>
            <w:shd w:val="clear" w:color="auto" w:fill="auto"/>
            <w:vAlign w:val="bottom"/>
          </w:tcPr>
          <w:p w14:paraId="392C9916" w14:textId="77777777" w:rsidR="00980E5F" w:rsidRDefault="00980E5F">
            <w:pPr>
              <w:rPr>
                <w:rFonts w:ascii="宋体"/>
                <w:vanish/>
              </w:rPr>
            </w:pPr>
          </w:p>
        </w:tc>
      </w:tr>
      <w:tr w:rsidR="00980E5F" w14:paraId="392C991E" w14:textId="77777777">
        <w:tc>
          <w:tcPr>
            <w:tcW w:w="0" w:type="auto"/>
            <w:gridSpan w:val="3"/>
            <w:shd w:val="clear" w:color="auto" w:fill="auto"/>
            <w:tcMar>
              <w:top w:w="40" w:type="dxa"/>
              <w:left w:w="20" w:type="dxa"/>
              <w:bottom w:w="40" w:type="dxa"/>
              <w:right w:w="20" w:type="dxa"/>
            </w:tcMar>
            <w:vAlign w:val="bottom"/>
          </w:tcPr>
          <w:p w14:paraId="392C9918" w14:textId="77777777" w:rsidR="00980E5F" w:rsidRDefault="00483613">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91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91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91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1C"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91D" w14:textId="77777777" w:rsidR="00980E5F" w:rsidRDefault="00980E5F">
            <w:pPr>
              <w:rPr>
                <w:rFonts w:ascii="宋体"/>
              </w:rPr>
            </w:pPr>
          </w:p>
        </w:tc>
      </w:tr>
      <w:tr w:rsidR="00980E5F" w14:paraId="392C9929" w14:textId="77777777">
        <w:tc>
          <w:tcPr>
            <w:tcW w:w="0" w:type="auto"/>
            <w:gridSpan w:val="3"/>
            <w:shd w:val="clear" w:color="auto" w:fill="CCEEFF"/>
            <w:tcMar>
              <w:top w:w="40" w:type="dxa"/>
              <w:left w:w="20" w:type="dxa"/>
              <w:bottom w:w="40" w:type="dxa"/>
              <w:right w:w="20" w:type="dxa"/>
            </w:tcMar>
            <w:vAlign w:val="bottom"/>
          </w:tcPr>
          <w:p w14:paraId="392C991F" w14:textId="77777777" w:rsidR="00980E5F" w:rsidRDefault="00483613">
            <w:pPr>
              <w:textAlignment w:val="bottom"/>
            </w:pPr>
            <w:r>
              <w:rPr>
                <w:rFonts w:ascii="Arial" w:eastAsia="宋体" w:hAnsi="Arial" w:cs="Arial"/>
                <w:color w:val="000000"/>
                <w:sz w:val="14"/>
                <w:szCs w:val="14"/>
              </w:rPr>
              <w:t>(Gain) reclassified from accumulated other comprehensive income into income, net of related taxes of $3 and $7, respectively</w:t>
            </w:r>
          </w:p>
        </w:tc>
        <w:tc>
          <w:tcPr>
            <w:tcW w:w="0" w:type="auto"/>
            <w:shd w:val="clear" w:color="auto" w:fill="CCEEFF"/>
            <w:tcMar>
              <w:top w:w="40" w:type="dxa"/>
              <w:left w:w="20" w:type="dxa"/>
              <w:bottom w:w="40" w:type="dxa"/>
              <w:right w:w="0" w:type="dxa"/>
            </w:tcMar>
            <w:vAlign w:val="bottom"/>
          </w:tcPr>
          <w:p w14:paraId="392C9920"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921" w14:textId="77777777" w:rsidR="00980E5F" w:rsidRDefault="00483613">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392C992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2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92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925" w14:textId="77777777" w:rsidR="00980E5F" w:rsidRDefault="00483613">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392C992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27"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9928" w14:textId="77777777" w:rsidR="00980E5F" w:rsidRDefault="00483613">
            <w:pPr>
              <w:textAlignment w:val="bottom"/>
            </w:pPr>
            <w:r>
              <w:rPr>
                <w:rFonts w:ascii="Arial" w:eastAsia="宋体" w:hAnsi="Arial" w:cs="Arial"/>
                <w:color w:val="000000"/>
                <w:sz w:val="14"/>
                <w:szCs w:val="14"/>
              </w:rPr>
              <w:t>Net interest income reclassified from other comprehensive income</w:t>
            </w:r>
          </w:p>
        </w:tc>
      </w:tr>
      <w:tr w:rsidR="00980E5F" w14:paraId="392C9930" w14:textId="77777777">
        <w:tc>
          <w:tcPr>
            <w:tcW w:w="0" w:type="auto"/>
            <w:gridSpan w:val="3"/>
            <w:shd w:val="clear" w:color="auto" w:fill="FFFFFF"/>
            <w:tcMar>
              <w:top w:w="40" w:type="dxa"/>
              <w:left w:w="20" w:type="dxa"/>
              <w:bottom w:w="40" w:type="dxa"/>
              <w:right w:w="20" w:type="dxa"/>
            </w:tcMar>
            <w:vAlign w:val="bottom"/>
          </w:tcPr>
          <w:p w14:paraId="392C992A" w14:textId="77777777" w:rsidR="00980E5F" w:rsidRDefault="00483613">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392C992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2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2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2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2F" w14:textId="77777777" w:rsidR="00980E5F" w:rsidRDefault="00980E5F">
            <w:pPr>
              <w:rPr>
                <w:rFonts w:ascii="宋体"/>
              </w:rPr>
            </w:pPr>
          </w:p>
        </w:tc>
      </w:tr>
      <w:tr w:rsidR="00980E5F" w14:paraId="392C9939" w14:textId="77777777">
        <w:tc>
          <w:tcPr>
            <w:tcW w:w="0" w:type="auto"/>
            <w:gridSpan w:val="3"/>
            <w:shd w:val="clear" w:color="auto" w:fill="CCEEFF"/>
            <w:tcMar>
              <w:top w:w="40" w:type="dxa"/>
              <w:left w:w="20" w:type="dxa"/>
              <w:bottom w:w="40" w:type="dxa"/>
              <w:right w:w="20" w:type="dxa"/>
            </w:tcMar>
            <w:vAlign w:val="bottom"/>
          </w:tcPr>
          <w:p w14:paraId="392C9931" w14:textId="77777777" w:rsidR="00980E5F" w:rsidRDefault="00483613">
            <w:pPr>
              <w:textAlignment w:val="bottom"/>
            </w:pPr>
            <w:r>
              <w:rPr>
                <w:rFonts w:ascii="Arial" w:eastAsia="宋体" w:hAnsi="Arial" w:cs="Arial"/>
                <w:color w:val="000000"/>
                <w:sz w:val="14"/>
                <w:szCs w:val="14"/>
              </w:rPr>
              <w:t>Amortization of actuarial losses, net of related taxes of $1 and $1, respectively</w:t>
            </w:r>
          </w:p>
        </w:tc>
        <w:tc>
          <w:tcPr>
            <w:tcW w:w="0" w:type="auto"/>
            <w:gridSpan w:val="2"/>
            <w:shd w:val="clear" w:color="auto" w:fill="CCEEFF"/>
            <w:tcMar>
              <w:top w:w="40" w:type="dxa"/>
              <w:left w:w="20" w:type="dxa"/>
              <w:bottom w:w="40" w:type="dxa"/>
              <w:right w:w="0" w:type="dxa"/>
            </w:tcMar>
            <w:vAlign w:val="bottom"/>
          </w:tcPr>
          <w:p w14:paraId="392C9932"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9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3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935"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99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37"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9938" w14:textId="77777777" w:rsidR="00980E5F" w:rsidRDefault="00483613">
            <w:pPr>
              <w:textAlignment w:val="bottom"/>
            </w:pPr>
            <w:r>
              <w:rPr>
                <w:rFonts w:ascii="Arial" w:eastAsia="宋体" w:hAnsi="Arial" w:cs="Arial"/>
                <w:color w:val="000000"/>
                <w:sz w:val="14"/>
                <w:szCs w:val="14"/>
              </w:rPr>
              <w:t>Compensation and employee benefits expenses</w:t>
            </w:r>
          </w:p>
        </w:tc>
      </w:tr>
      <w:tr w:rsidR="00980E5F" w14:paraId="392C9940" w14:textId="77777777">
        <w:trPr>
          <w:hidden/>
        </w:trPr>
        <w:tc>
          <w:tcPr>
            <w:tcW w:w="0" w:type="auto"/>
            <w:gridSpan w:val="3"/>
            <w:shd w:val="clear" w:color="auto" w:fill="auto"/>
            <w:vAlign w:val="bottom"/>
          </w:tcPr>
          <w:p w14:paraId="392C993A" w14:textId="77777777" w:rsidR="00980E5F" w:rsidRDefault="00980E5F">
            <w:pPr>
              <w:rPr>
                <w:rFonts w:ascii="宋体"/>
                <w:vanish/>
              </w:rPr>
            </w:pPr>
          </w:p>
        </w:tc>
        <w:tc>
          <w:tcPr>
            <w:tcW w:w="0" w:type="auto"/>
            <w:gridSpan w:val="3"/>
            <w:shd w:val="clear" w:color="auto" w:fill="auto"/>
            <w:vAlign w:val="bottom"/>
          </w:tcPr>
          <w:p w14:paraId="392C993B" w14:textId="77777777" w:rsidR="00980E5F" w:rsidRDefault="00980E5F">
            <w:pPr>
              <w:rPr>
                <w:rFonts w:ascii="宋体"/>
                <w:vanish/>
              </w:rPr>
            </w:pPr>
          </w:p>
        </w:tc>
        <w:tc>
          <w:tcPr>
            <w:tcW w:w="0" w:type="auto"/>
            <w:gridSpan w:val="3"/>
            <w:shd w:val="clear" w:color="auto" w:fill="auto"/>
            <w:vAlign w:val="bottom"/>
          </w:tcPr>
          <w:p w14:paraId="392C993C" w14:textId="77777777" w:rsidR="00980E5F" w:rsidRDefault="00980E5F">
            <w:pPr>
              <w:rPr>
                <w:rFonts w:ascii="宋体"/>
                <w:vanish/>
              </w:rPr>
            </w:pPr>
          </w:p>
        </w:tc>
        <w:tc>
          <w:tcPr>
            <w:tcW w:w="0" w:type="auto"/>
            <w:gridSpan w:val="3"/>
            <w:shd w:val="clear" w:color="auto" w:fill="auto"/>
            <w:vAlign w:val="bottom"/>
          </w:tcPr>
          <w:p w14:paraId="392C993D" w14:textId="77777777" w:rsidR="00980E5F" w:rsidRDefault="00980E5F">
            <w:pPr>
              <w:rPr>
                <w:rFonts w:ascii="宋体"/>
                <w:vanish/>
              </w:rPr>
            </w:pPr>
          </w:p>
        </w:tc>
        <w:tc>
          <w:tcPr>
            <w:tcW w:w="0" w:type="auto"/>
            <w:gridSpan w:val="3"/>
            <w:shd w:val="clear" w:color="auto" w:fill="auto"/>
            <w:vAlign w:val="bottom"/>
          </w:tcPr>
          <w:p w14:paraId="392C993E" w14:textId="77777777" w:rsidR="00980E5F" w:rsidRDefault="00980E5F">
            <w:pPr>
              <w:rPr>
                <w:rFonts w:ascii="宋体"/>
                <w:vanish/>
              </w:rPr>
            </w:pPr>
          </w:p>
        </w:tc>
        <w:tc>
          <w:tcPr>
            <w:tcW w:w="0" w:type="auto"/>
            <w:gridSpan w:val="3"/>
            <w:shd w:val="clear" w:color="auto" w:fill="auto"/>
            <w:vAlign w:val="bottom"/>
          </w:tcPr>
          <w:p w14:paraId="392C993F" w14:textId="77777777" w:rsidR="00980E5F" w:rsidRDefault="00980E5F">
            <w:pPr>
              <w:rPr>
                <w:rFonts w:ascii="宋体"/>
                <w:vanish/>
              </w:rPr>
            </w:pPr>
          </w:p>
        </w:tc>
      </w:tr>
      <w:tr w:rsidR="00980E5F" w14:paraId="392C9947" w14:textId="77777777">
        <w:trPr>
          <w:hidden/>
        </w:trPr>
        <w:tc>
          <w:tcPr>
            <w:tcW w:w="0" w:type="auto"/>
            <w:gridSpan w:val="3"/>
            <w:shd w:val="clear" w:color="auto" w:fill="auto"/>
            <w:vAlign w:val="bottom"/>
          </w:tcPr>
          <w:p w14:paraId="392C9941" w14:textId="77777777" w:rsidR="00980E5F" w:rsidRDefault="00980E5F">
            <w:pPr>
              <w:rPr>
                <w:rFonts w:ascii="宋体"/>
                <w:vanish/>
              </w:rPr>
            </w:pPr>
          </w:p>
        </w:tc>
        <w:tc>
          <w:tcPr>
            <w:tcW w:w="0" w:type="auto"/>
            <w:gridSpan w:val="3"/>
            <w:shd w:val="clear" w:color="auto" w:fill="auto"/>
            <w:vAlign w:val="bottom"/>
          </w:tcPr>
          <w:p w14:paraId="392C9942" w14:textId="77777777" w:rsidR="00980E5F" w:rsidRDefault="00980E5F">
            <w:pPr>
              <w:rPr>
                <w:rFonts w:ascii="宋体"/>
                <w:vanish/>
              </w:rPr>
            </w:pPr>
          </w:p>
        </w:tc>
        <w:tc>
          <w:tcPr>
            <w:tcW w:w="0" w:type="auto"/>
            <w:gridSpan w:val="3"/>
            <w:shd w:val="clear" w:color="auto" w:fill="auto"/>
            <w:vAlign w:val="bottom"/>
          </w:tcPr>
          <w:p w14:paraId="392C9943" w14:textId="77777777" w:rsidR="00980E5F" w:rsidRDefault="00980E5F">
            <w:pPr>
              <w:rPr>
                <w:rFonts w:ascii="宋体"/>
                <w:vanish/>
              </w:rPr>
            </w:pPr>
          </w:p>
        </w:tc>
        <w:tc>
          <w:tcPr>
            <w:tcW w:w="0" w:type="auto"/>
            <w:gridSpan w:val="3"/>
            <w:shd w:val="clear" w:color="auto" w:fill="auto"/>
            <w:vAlign w:val="bottom"/>
          </w:tcPr>
          <w:p w14:paraId="392C9944" w14:textId="77777777" w:rsidR="00980E5F" w:rsidRDefault="00980E5F">
            <w:pPr>
              <w:rPr>
                <w:rFonts w:ascii="宋体"/>
                <w:vanish/>
              </w:rPr>
            </w:pPr>
          </w:p>
        </w:tc>
        <w:tc>
          <w:tcPr>
            <w:tcW w:w="0" w:type="auto"/>
            <w:gridSpan w:val="3"/>
            <w:shd w:val="clear" w:color="auto" w:fill="auto"/>
            <w:vAlign w:val="bottom"/>
          </w:tcPr>
          <w:p w14:paraId="392C9945" w14:textId="77777777" w:rsidR="00980E5F" w:rsidRDefault="00980E5F">
            <w:pPr>
              <w:rPr>
                <w:rFonts w:ascii="宋体"/>
                <w:vanish/>
              </w:rPr>
            </w:pPr>
          </w:p>
        </w:tc>
        <w:tc>
          <w:tcPr>
            <w:tcW w:w="0" w:type="auto"/>
            <w:gridSpan w:val="3"/>
            <w:shd w:val="clear" w:color="auto" w:fill="auto"/>
            <w:vAlign w:val="bottom"/>
          </w:tcPr>
          <w:p w14:paraId="392C9946" w14:textId="77777777" w:rsidR="00980E5F" w:rsidRDefault="00980E5F">
            <w:pPr>
              <w:rPr>
                <w:rFonts w:ascii="宋体"/>
                <w:vanish/>
              </w:rPr>
            </w:pPr>
          </w:p>
        </w:tc>
      </w:tr>
      <w:tr w:rsidR="00980E5F" w14:paraId="392C994E" w14:textId="77777777">
        <w:trPr>
          <w:hidden/>
        </w:trPr>
        <w:tc>
          <w:tcPr>
            <w:tcW w:w="0" w:type="auto"/>
            <w:gridSpan w:val="3"/>
            <w:shd w:val="clear" w:color="auto" w:fill="auto"/>
            <w:vAlign w:val="bottom"/>
          </w:tcPr>
          <w:p w14:paraId="392C9948" w14:textId="77777777" w:rsidR="00980E5F" w:rsidRDefault="00980E5F">
            <w:pPr>
              <w:rPr>
                <w:rFonts w:ascii="宋体"/>
                <w:vanish/>
              </w:rPr>
            </w:pPr>
          </w:p>
        </w:tc>
        <w:tc>
          <w:tcPr>
            <w:tcW w:w="0" w:type="auto"/>
            <w:gridSpan w:val="3"/>
            <w:shd w:val="clear" w:color="auto" w:fill="auto"/>
            <w:vAlign w:val="bottom"/>
          </w:tcPr>
          <w:p w14:paraId="392C9949" w14:textId="77777777" w:rsidR="00980E5F" w:rsidRDefault="00980E5F">
            <w:pPr>
              <w:rPr>
                <w:rFonts w:ascii="宋体"/>
                <w:vanish/>
              </w:rPr>
            </w:pPr>
          </w:p>
        </w:tc>
        <w:tc>
          <w:tcPr>
            <w:tcW w:w="0" w:type="auto"/>
            <w:gridSpan w:val="3"/>
            <w:shd w:val="clear" w:color="auto" w:fill="auto"/>
            <w:vAlign w:val="bottom"/>
          </w:tcPr>
          <w:p w14:paraId="392C994A" w14:textId="77777777" w:rsidR="00980E5F" w:rsidRDefault="00980E5F">
            <w:pPr>
              <w:rPr>
                <w:rFonts w:ascii="宋体"/>
                <w:vanish/>
              </w:rPr>
            </w:pPr>
          </w:p>
        </w:tc>
        <w:tc>
          <w:tcPr>
            <w:tcW w:w="0" w:type="auto"/>
            <w:gridSpan w:val="3"/>
            <w:shd w:val="clear" w:color="auto" w:fill="auto"/>
            <w:vAlign w:val="bottom"/>
          </w:tcPr>
          <w:p w14:paraId="392C994B" w14:textId="77777777" w:rsidR="00980E5F" w:rsidRDefault="00980E5F">
            <w:pPr>
              <w:rPr>
                <w:rFonts w:ascii="宋体"/>
                <w:vanish/>
              </w:rPr>
            </w:pPr>
          </w:p>
        </w:tc>
        <w:tc>
          <w:tcPr>
            <w:tcW w:w="0" w:type="auto"/>
            <w:gridSpan w:val="3"/>
            <w:shd w:val="clear" w:color="auto" w:fill="auto"/>
            <w:vAlign w:val="bottom"/>
          </w:tcPr>
          <w:p w14:paraId="392C994C" w14:textId="77777777" w:rsidR="00980E5F" w:rsidRDefault="00980E5F">
            <w:pPr>
              <w:rPr>
                <w:rFonts w:ascii="宋体"/>
                <w:vanish/>
              </w:rPr>
            </w:pPr>
          </w:p>
        </w:tc>
        <w:tc>
          <w:tcPr>
            <w:tcW w:w="0" w:type="auto"/>
            <w:gridSpan w:val="3"/>
            <w:shd w:val="clear" w:color="auto" w:fill="auto"/>
            <w:vAlign w:val="bottom"/>
          </w:tcPr>
          <w:p w14:paraId="392C994D" w14:textId="77777777" w:rsidR="00980E5F" w:rsidRDefault="00980E5F">
            <w:pPr>
              <w:rPr>
                <w:rFonts w:ascii="宋体"/>
                <w:vanish/>
              </w:rPr>
            </w:pPr>
          </w:p>
        </w:tc>
      </w:tr>
      <w:tr w:rsidR="00980E5F" w14:paraId="392C9959" w14:textId="77777777">
        <w:tc>
          <w:tcPr>
            <w:tcW w:w="0" w:type="auto"/>
            <w:gridSpan w:val="3"/>
            <w:shd w:val="clear" w:color="auto" w:fill="FFFFFF"/>
            <w:tcMar>
              <w:top w:w="40" w:type="dxa"/>
              <w:left w:w="20" w:type="dxa"/>
              <w:bottom w:w="40" w:type="dxa"/>
              <w:right w:w="20" w:type="dxa"/>
            </w:tcMar>
            <w:vAlign w:val="bottom"/>
          </w:tcPr>
          <w:p w14:paraId="392C994F" w14:textId="77777777" w:rsidR="00980E5F" w:rsidRDefault="00483613">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995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951" w14:textId="77777777" w:rsidR="00980E5F" w:rsidRDefault="00483613">
            <w:pPr>
              <w:jc w:val="right"/>
              <w:textAlignment w:val="bottom"/>
            </w:pPr>
            <w:r>
              <w:rPr>
                <w:rFonts w:ascii="Arial" w:eastAsia="宋体" w:hAnsi="Arial" w:cs="Arial"/>
                <w:b/>
                <w:bCs/>
                <w:color w:val="000000"/>
                <w:sz w:val="14"/>
                <w:szCs w:val="14"/>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9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95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95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955" w14:textId="77777777" w:rsidR="00980E5F" w:rsidRDefault="00483613">
            <w:pPr>
              <w:jc w:val="right"/>
              <w:textAlignment w:val="bottom"/>
            </w:pPr>
            <w:r>
              <w:rPr>
                <w:rFonts w:ascii="Arial" w:eastAsia="宋体" w:hAnsi="Arial" w:cs="Arial"/>
                <w:color w:val="000000"/>
                <w:sz w:val="14"/>
                <w:szCs w:val="14"/>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9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95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58" w14:textId="77777777" w:rsidR="00980E5F" w:rsidRDefault="00980E5F">
            <w:pPr>
              <w:rPr>
                <w:rFonts w:ascii="宋体"/>
              </w:rPr>
            </w:pPr>
          </w:p>
        </w:tc>
      </w:tr>
      <w:tr w:rsidR="00980E5F" w14:paraId="392C9960" w14:textId="77777777">
        <w:trPr>
          <w:trHeight w:val="60"/>
        </w:trPr>
        <w:tc>
          <w:tcPr>
            <w:tcW w:w="0" w:type="auto"/>
            <w:gridSpan w:val="3"/>
            <w:shd w:val="clear" w:color="auto" w:fill="auto"/>
            <w:tcMar>
              <w:top w:w="0" w:type="dxa"/>
              <w:left w:w="20" w:type="dxa"/>
              <w:bottom w:w="0" w:type="dxa"/>
              <w:right w:w="20" w:type="dxa"/>
            </w:tcMar>
            <w:vAlign w:val="bottom"/>
          </w:tcPr>
          <w:p w14:paraId="392C995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95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5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995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5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5F" w14:textId="77777777" w:rsidR="00980E5F" w:rsidRDefault="00980E5F">
            <w:pPr>
              <w:rPr>
                <w:rFonts w:ascii="宋体"/>
              </w:rPr>
            </w:pPr>
          </w:p>
        </w:tc>
      </w:tr>
      <w:tr w:rsidR="00980E5F" w14:paraId="392C9965" w14:textId="77777777">
        <w:tc>
          <w:tcPr>
            <w:tcW w:w="0" w:type="auto"/>
            <w:gridSpan w:val="3"/>
            <w:shd w:val="clear" w:color="auto" w:fill="auto"/>
            <w:tcMar>
              <w:top w:w="0" w:type="dxa"/>
              <w:left w:w="20" w:type="dxa"/>
              <w:bottom w:w="0" w:type="dxa"/>
              <w:right w:w="20" w:type="dxa"/>
            </w:tcMar>
            <w:vAlign w:val="bottom"/>
          </w:tcPr>
          <w:p w14:paraId="392C9961"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962"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gridSpan w:val="3"/>
            <w:shd w:val="clear" w:color="auto" w:fill="auto"/>
            <w:tcMar>
              <w:top w:w="0" w:type="dxa"/>
              <w:left w:w="20" w:type="dxa"/>
              <w:bottom w:w="0" w:type="dxa"/>
              <w:right w:w="20" w:type="dxa"/>
            </w:tcMar>
            <w:vAlign w:val="bottom"/>
          </w:tcPr>
          <w:p w14:paraId="392C996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64" w14:textId="77777777" w:rsidR="00980E5F" w:rsidRDefault="00980E5F">
            <w:pPr>
              <w:rPr>
                <w:rFonts w:ascii="宋体"/>
              </w:rPr>
            </w:pPr>
          </w:p>
        </w:tc>
      </w:tr>
      <w:tr w:rsidR="00980E5F" w14:paraId="392C996C" w14:textId="77777777">
        <w:tc>
          <w:tcPr>
            <w:tcW w:w="0" w:type="auto"/>
            <w:gridSpan w:val="3"/>
            <w:shd w:val="clear" w:color="auto" w:fill="auto"/>
            <w:tcMar>
              <w:top w:w="0" w:type="dxa"/>
              <w:left w:w="20" w:type="dxa"/>
              <w:bottom w:w="0" w:type="dxa"/>
              <w:right w:w="20" w:type="dxa"/>
            </w:tcMar>
            <w:vAlign w:val="bottom"/>
          </w:tcPr>
          <w:p w14:paraId="392C996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967"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96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969"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996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96B" w14:textId="77777777" w:rsidR="00980E5F" w:rsidRDefault="00980E5F">
            <w:pPr>
              <w:rPr>
                <w:rFonts w:ascii="宋体"/>
              </w:rPr>
            </w:pPr>
          </w:p>
        </w:tc>
      </w:tr>
      <w:tr w:rsidR="00980E5F" w14:paraId="392C9971" w14:textId="77777777">
        <w:tc>
          <w:tcPr>
            <w:tcW w:w="0" w:type="auto"/>
            <w:gridSpan w:val="3"/>
            <w:shd w:val="clear" w:color="auto" w:fill="auto"/>
            <w:tcMar>
              <w:top w:w="40" w:type="dxa"/>
              <w:left w:w="20" w:type="dxa"/>
              <w:bottom w:w="40" w:type="dxa"/>
              <w:right w:w="20" w:type="dxa"/>
            </w:tcMar>
            <w:vAlign w:val="bottom"/>
          </w:tcPr>
          <w:p w14:paraId="392C996D"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9"/>
            <w:shd w:val="clear" w:color="auto" w:fill="auto"/>
            <w:tcMar>
              <w:top w:w="40" w:type="dxa"/>
              <w:left w:w="20" w:type="dxa"/>
              <w:bottom w:w="40" w:type="dxa"/>
              <w:right w:w="20" w:type="dxa"/>
            </w:tcMar>
            <w:vAlign w:val="bottom"/>
          </w:tcPr>
          <w:p w14:paraId="392C996E" w14:textId="77777777" w:rsidR="00980E5F" w:rsidRDefault="00483613">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392C996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970" w14:textId="77777777" w:rsidR="00980E5F" w:rsidRDefault="00483613">
            <w:pPr>
              <w:jc w:val="center"/>
              <w:textAlignment w:val="bottom"/>
            </w:pPr>
            <w:r>
              <w:rPr>
                <w:rFonts w:ascii="Arial" w:eastAsia="宋体" w:hAnsi="Arial" w:cs="Arial"/>
                <w:b/>
                <w:bCs/>
                <w:color w:val="000000"/>
                <w:sz w:val="14"/>
                <w:szCs w:val="14"/>
              </w:rPr>
              <w:t xml:space="preserve">Affected Line Item in Consolidated </w:t>
            </w:r>
            <w:r>
              <w:rPr>
                <w:rFonts w:ascii="Arial" w:eastAsia="宋体" w:hAnsi="Arial" w:cs="Arial"/>
                <w:b/>
                <w:bCs/>
                <w:color w:val="000000"/>
                <w:sz w:val="14"/>
                <w:szCs w:val="14"/>
              </w:rPr>
              <w:t>Statement of Income</w:t>
            </w:r>
          </w:p>
        </w:tc>
      </w:tr>
      <w:tr w:rsidR="00980E5F" w14:paraId="392C9978" w14:textId="77777777">
        <w:trPr>
          <w:hidden/>
        </w:trPr>
        <w:tc>
          <w:tcPr>
            <w:tcW w:w="0" w:type="auto"/>
            <w:gridSpan w:val="3"/>
            <w:shd w:val="clear" w:color="auto" w:fill="auto"/>
            <w:vAlign w:val="bottom"/>
          </w:tcPr>
          <w:p w14:paraId="392C9972" w14:textId="77777777" w:rsidR="00980E5F" w:rsidRDefault="00980E5F">
            <w:pPr>
              <w:rPr>
                <w:rFonts w:ascii="宋体"/>
                <w:vanish/>
              </w:rPr>
            </w:pPr>
          </w:p>
        </w:tc>
        <w:tc>
          <w:tcPr>
            <w:tcW w:w="0" w:type="auto"/>
            <w:gridSpan w:val="3"/>
            <w:shd w:val="clear" w:color="auto" w:fill="auto"/>
            <w:vAlign w:val="bottom"/>
          </w:tcPr>
          <w:p w14:paraId="392C9973" w14:textId="77777777" w:rsidR="00980E5F" w:rsidRDefault="00980E5F">
            <w:pPr>
              <w:rPr>
                <w:rFonts w:ascii="宋体"/>
                <w:vanish/>
              </w:rPr>
            </w:pPr>
          </w:p>
        </w:tc>
        <w:tc>
          <w:tcPr>
            <w:tcW w:w="0" w:type="auto"/>
            <w:gridSpan w:val="3"/>
            <w:shd w:val="clear" w:color="auto" w:fill="auto"/>
            <w:vAlign w:val="bottom"/>
          </w:tcPr>
          <w:p w14:paraId="392C9974" w14:textId="77777777" w:rsidR="00980E5F" w:rsidRDefault="00980E5F">
            <w:pPr>
              <w:rPr>
                <w:rFonts w:ascii="宋体"/>
                <w:vanish/>
              </w:rPr>
            </w:pPr>
          </w:p>
        </w:tc>
        <w:tc>
          <w:tcPr>
            <w:tcW w:w="0" w:type="auto"/>
            <w:gridSpan w:val="3"/>
            <w:shd w:val="clear" w:color="auto" w:fill="auto"/>
            <w:vAlign w:val="bottom"/>
          </w:tcPr>
          <w:p w14:paraId="392C9975" w14:textId="77777777" w:rsidR="00980E5F" w:rsidRDefault="00980E5F">
            <w:pPr>
              <w:rPr>
                <w:rFonts w:ascii="宋体"/>
                <w:vanish/>
              </w:rPr>
            </w:pPr>
          </w:p>
        </w:tc>
        <w:tc>
          <w:tcPr>
            <w:tcW w:w="0" w:type="auto"/>
            <w:gridSpan w:val="3"/>
            <w:shd w:val="clear" w:color="auto" w:fill="auto"/>
            <w:vAlign w:val="bottom"/>
          </w:tcPr>
          <w:p w14:paraId="392C9976" w14:textId="77777777" w:rsidR="00980E5F" w:rsidRDefault="00980E5F">
            <w:pPr>
              <w:rPr>
                <w:rFonts w:ascii="宋体"/>
                <w:vanish/>
              </w:rPr>
            </w:pPr>
          </w:p>
        </w:tc>
        <w:tc>
          <w:tcPr>
            <w:tcW w:w="0" w:type="auto"/>
            <w:gridSpan w:val="3"/>
            <w:shd w:val="clear" w:color="auto" w:fill="auto"/>
            <w:vAlign w:val="bottom"/>
          </w:tcPr>
          <w:p w14:paraId="392C9977" w14:textId="77777777" w:rsidR="00980E5F" w:rsidRDefault="00980E5F">
            <w:pPr>
              <w:rPr>
                <w:rFonts w:ascii="宋体"/>
                <w:vanish/>
              </w:rPr>
            </w:pPr>
          </w:p>
        </w:tc>
      </w:tr>
      <w:tr w:rsidR="00980E5F" w14:paraId="392C997F" w14:textId="77777777">
        <w:trPr>
          <w:hidden/>
        </w:trPr>
        <w:tc>
          <w:tcPr>
            <w:tcW w:w="0" w:type="auto"/>
            <w:gridSpan w:val="3"/>
            <w:shd w:val="clear" w:color="auto" w:fill="auto"/>
            <w:vAlign w:val="bottom"/>
          </w:tcPr>
          <w:p w14:paraId="392C9979" w14:textId="77777777" w:rsidR="00980E5F" w:rsidRDefault="00980E5F">
            <w:pPr>
              <w:rPr>
                <w:rFonts w:ascii="宋体"/>
                <w:vanish/>
              </w:rPr>
            </w:pPr>
          </w:p>
        </w:tc>
        <w:tc>
          <w:tcPr>
            <w:tcW w:w="0" w:type="auto"/>
            <w:gridSpan w:val="3"/>
            <w:shd w:val="clear" w:color="auto" w:fill="auto"/>
            <w:vAlign w:val="bottom"/>
          </w:tcPr>
          <w:p w14:paraId="392C997A" w14:textId="77777777" w:rsidR="00980E5F" w:rsidRDefault="00980E5F">
            <w:pPr>
              <w:rPr>
                <w:rFonts w:ascii="宋体"/>
                <w:vanish/>
              </w:rPr>
            </w:pPr>
          </w:p>
        </w:tc>
        <w:tc>
          <w:tcPr>
            <w:tcW w:w="0" w:type="auto"/>
            <w:gridSpan w:val="3"/>
            <w:shd w:val="clear" w:color="auto" w:fill="auto"/>
            <w:vAlign w:val="bottom"/>
          </w:tcPr>
          <w:p w14:paraId="392C997B" w14:textId="77777777" w:rsidR="00980E5F" w:rsidRDefault="00980E5F">
            <w:pPr>
              <w:rPr>
                <w:rFonts w:ascii="宋体"/>
                <w:vanish/>
              </w:rPr>
            </w:pPr>
          </w:p>
        </w:tc>
        <w:tc>
          <w:tcPr>
            <w:tcW w:w="0" w:type="auto"/>
            <w:gridSpan w:val="3"/>
            <w:shd w:val="clear" w:color="auto" w:fill="auto"/>
            <w:vAlign w:val="bottom"/>
          </w:tcPr>
          <w:p w14:paraId="392C997C" w14:textId="77777777" w:rsidR="00980E5F" w:rsidRDefault="00980E5F">
            <w:pPr>
              <w:rPr>
                <w:rFonts w:ascii="宋体"/>
                <w:vanish/>
              </w:rPr>
            </w:pPr>
          </w:p>
        </w:tc>
        <w:tc>
          <w:tcPr>
            <w:tcW w:w="0" w:type="auto"/>
            <w:gridSpan w:val="3"/>
            <w:shd w:val="clear" w:color="auto" w:fill="auto"/>
            <w:vAlign w:val="bottom"/>
          </w:tcPr>
          <w:p w14:paraId="392C997D" w14:textId="77777777" w:rsidR="00980E5F" w:rsidRDefault="00980E5F">
            <w:pPr>
              <w:rPr>
                <w:rFonts w:ascii="宋体"/>
                <w:vanish/>
              </w:rPr>
            </w:pPr>
          </w:p>
        </w:tc>
        <w:tc>
          <w:tcPr>
            <w:tcW w:w="0" w:type="auto"/>
            <w:gridSpan w:val="3"/>
            <w:shd w:val="clear" w:color="auto" w:fill="auto"/>
            <w:vAlign w:val="bottom"/>
          </w:tcPr>
          <w:p w14:paraId="392C997E" w14:textId="77777777" w:rsidR="00980E5F" w:rsidRDefault="00980E5F">
            <w:pPr>
              <w:rPr>
                <w:rFonts w:ascii="宋体"/>
                <w:vanish/>
              </w:rPr>
            </w:pPr>
          </w:p>
        </w:tc>
      </w:tr>
      <w:tr w:rsidR="00980E5F" w14:paraId="392C9986" w14:textId="77777777">
        <w:trPr>
          <w:hidden/>
        </w:trPr>
        <w:tc>
          <w:tcPr>
            <w:tcW w:w="0" w:type="auto"/>
            <w:gridSpan w:val="3"/>
            <w:shd w:val="clear" w:color="auto" w:fill="auto"/>
            <w:vAlign w:val="bottom"/>
          </w:tcPr>
          <w:p w14:paraId="392C9980" w14:textId="77777777" w:rsidR="00980E5F" w:rsidRDefault="00980E5F">
            <w:pPr>
              <w:rPr>
                <w:rFonts w:ascii="宋体"/>
                <w:vanish/>
              </w:rPr>
            </w:pPr>
          </w:p>
        </w:tc>
        <w:tc>
          <w:tcPr>
            <w:tcW w:w="0" w:type="auto"/>
            <w:gridSpan w:val="3"/>
            <w:shd w:val="clear" w:color="auto" w:fill="auto"/>
            <w:vAlign w:val="bottom"/>
          </w:tcPr>
          <w:p w14:paraId="392C9981" w14:textId="77777777" w:rsidR="00980E5F" w:rsidRDefault="00980E5F">
            <w:pPr>
              <w:rPr>
                <w:rFonts w:ascii="宋体"/>
                <w:vanish/>
              </w:rPr>
            </w:pPr>
          </w:p>
        </w:tc>
        <w:tc>
          <w:tcPr>
            <w:tcW w:w="0" w:type="auto"/>
            <w:gridSpan w:val="3"/>
            <w:shd w:val="clear" w:color="auto" w:fill="auto"/>
            <w:vAlign w:val="bottom"/>
          </w:tcPr>
          <w:p w14:paraId="392C9982" w14:textId="77777777" w:rsidR="00980E5F" w:rsidRDefault="00980E5F">
            <w:pPr>
              <w:rPr>
                <w:rFonts w:ascii="宋体"/>
                <w:vanish/>
              </w:rPr>
            </w:pPr>
          </w:p>
        </w:tc>
        <w:tc>
          <w:tcPr>
            <w:tcW w:w="0" w:type="auto"/>
            <w:gridSpan w:val="3"/>
            <w:shd w:val="clear" w:color="auto" w:fill="auto"/>
            <w:vAlign w:val="bottom"/>
          </w:tcPr>
          <w:p w14:paraId="392C9983" w14:textId="77777777" w:rsidR="00980E5F" w:rsidRDefault="00980E5F">
            <w:pPr>
              <w:rPr>
                <w:rFonts w:ascii="宋体"/>
                <w:vanish/>
              </w:rPr>
            </w:pPr>
          </w:p>
        </w:tc>
        <w:tc>
          <w:tcPr>
            <w:tcW w:w="0" w:type="auto"/>
            <w:gridSpan w:val="3"/>
            <w:shd w:val="clear" w:color="auto" w:fill="auto"/>
            <w:vAlign w:val="bottom"/>
          </w:tcPr>
          <w:p w14:paraId="392C9984" w14:textId="77777777" w:rsidR="00980E5F" w:rsidRDefault="00980E5F">
            <w:pPr>
              <w:rPr>
                <w:rFonts w:ascii="宋体"/>
                <w:vanish/>
              </w:rPr>
            </w:pPr>
          </w:p>
        </w:tc>
        <w:tc>
          <w:tcPr>
            <w:tcW w:w="0" w:type="auto"/>
            <w:gridSpan w:val="3"/>
            <w:shd w:val="clear" w:color="auto" w:fill="auto"/>
            <w:vAlign w:val="bottom"/>
          </w:tcPr>
          <w:p w14:paraId="392C9985" w14:textId="77777777" w:rsidR="00980E5F" w:rsidRDefault="00980E5F">
            <w:pPr>
              <w:rPr>
                <w:rFonts w:ascii="宋体"/>
                <w:vanish/>
              </w:rPr>
            </w:pPr>
          </w:p>
        </w:tc>
      </w:tr>
      <w:tr w:rsidR="00980E5F" w14:paraId="392C998D" w14:textId="77777777">
        <w:trPr>
          <w:hidden/>
        </w:trPr>
        <w:tc>
          <w:tcPr>
            <w:tcW w:w="0" w:type="auto"/>
            <w:gridSpan w:val="3"/>
            <w:shd w:val="clear" w:color="auto" w:fill="auto"/>
            <w:vAlign w:val="bottom"/>
          </w:tcPr>
          <w:p w14:paraId="392C9987" w14:textId="77777777" w:rsidR="00980E5F" w:rsidRDefault="00980E5F">
            <w:pPr>
              <w:rPr>
                <w:rFonts w:ascii="宋体"/>
                <w:vanish/>
              </w:rPr>
            </w:pPr>
          </w:p>
        </w:tc>
        <w:tc>
          <w:tcPr>
            <w:tcW w:w="0" w:type="auto"/>
            <w:gridSpan w:val="3"/>
            <w:shd w:val="clear" w:color="auto" w:fill="auto"/>
            <w:vAlign w:val="bottom"/>
          </w:tcPr>
          <w:p w14:paraId="392C9988" w14:textId="77777777" w:rsidR="00980E5F" w:rsidRDefault="00980E5F">
            <w:pPr>
              <w:rPr>
                <w:rFonts w:ascii="宋体"/>
                <w:vanish/>
              </w:rPr>
            </w:pPr>
          </w:p>
        </w:tc>
        <w:tc>
          <w:tcPr>
            <w:tcW w:w="0" w:type="auto"/>
            <w:gridSpan w:val="3"/>
            <w:shd w:val="clear" w:color="auto" w:fill="auto"/>
            <w:vAlign w:val="bottom"/>
          </w:tcPr>
          <w:p w14:paraId="392C9989" w14:textId="77777777" w:rsidR="00980E5F" w:rsidRDefault="00980E5F">
            <w:pPr>
              <w:rPr>
                <w:rFonts w:ascii="宋体"/>
                <w:vanish/>
              </w:rPr>
            </w:pPr>
          </w:p>
        </w:tc>
        <w:tc>
          <w:tcPr>
            <w:tcW w:w="0" w:type="auto"/>
            <w:gridSpan w:val="3"/>
            <w:shd w:val="clear" w:color="auto" w:fill="auto"/>
            <w:vAlign w:val="bottom"/>
          </w:tcPr>
          <w:p w14:paraId="392C998A" w14:textId="77777777" w:rsidR="00980E5F" w:rsidRDefault="00980E5F">
            <w:pPr>
              <w:rPr>
                <w:rFonts w:ascii="宋体"/>
                <w:vanish/>
              </w:rPr>
            </w:pPr>
          </w:p>
        </w:tc>
        <w:tc>
          <w:tcPr>
            <w:tcW w:w="0" w:type="auto"/>
            <w:gridSpan w:val="3"/>
            <w:shd w:val="clear" w:color="auto" w:fill="auto"/>
            <w:vAlign w:val="bottom"/>
          </w:tcPr>
          <w:p w14:paraId="392C998B" w14:textId="77777777" w:rsidR="00980E5F" w:rsidRDefault="00980E5F">
            <w:pPr>
              <w:rPr>
                <w:rFonts w:ascii="宋体"/>
                <w:vanish/>
              </w:rPr>
            </w:pPr>
          </w:p>
        </w:tc>
        <w:tc>
          <w:tcPr>
            <w:tcW w:w="0" w:type="auto"/>
            <w:gridSpan w:val="3"/>
            <w:shd w:val="clear" w:color="auto" w:fill="auto"/>
            <w:vAlign w:val="bottom"/>
          </w:tcPr>
          <w:p w14:paraId="392C998C" w14:textId="77777777" w:rsidR="00980E5F" w:rsidRDefault="00980E5F">
            <w:pPr>
              <w:rPr>
                <w:rFonts w:ascii="宋体"/>
                <w:vanish/>
              </w:rPr>
            </w:pPr>
          </w:p>
        </w:tc>
      </w:tr>
      <w:tr w:rsidR="00980E5F" w14:paraId="392C9994" w14:textId="77777777">
        <w:trPr>
          <w:hidden/>
        </w:trPr>
        <w:tc>
          <w:tcPr>
            <w:tcW w:w="0" w:type="auto"/>
            <w:gridSpan w:val="3"/>
            <w:shd w:val="clear" w:color="auto" w:fill="auto"/>
            <w:vAlign w:val="bottom"/>
          </w:tcPr>
          <w:p w14:paraId="392C998E" w14:textId="77777777" w:rsidR="00980E5F" w:rsidRDefault="00980E5F">
            <w:pPr>
              <w:rPr>
                <w:rFonts w:ascii="宋体"/>
                <w:vanish/>
              </w:rPr>
            </w:pPr>
          </w:p>
        </w:tc>
        <w:tc>
          <w:tcPr>
            <w:tcW w:w="0" w:type="auto"/>
            <w:gridSpan w:val="3"/>
            <w:shd w:val="clear" w:color="auto" w:fill="auto"/>
            <w:vAlign w:val="bottom"/>
          </w:tcPr>
          <w:p w14:paraId="392C998F" w14:textId="77777777" w:rsidR="00980E5F" w:rsidRDefault="00980E5F">
            <w:pPr>
              <w:rPr>
                <w:rFonts w:ascii="宋体"/>
                <w:vanish/>
              </w:rPr>
            </w:pPr>
          </w:p>
        </w:tc>
        <w:tc>
          <w:tcPr>
            <w:tcW w:w="0" w:type="auto"/>
            <w:gridSpan w:val="3"/>
            <w:shd w:val="clear" w:color="auto" w:fill="auto"/>
            <w:vAlign w:val="bottom"/>
          </w:tcPr>
          <w:p w14:paraId="392C9990" w14:textId="77777777" w:rsidR="00980E5F" w:rsidRDefault="00980E5F">
            <w:pPr>
              <w:rPr>
                <w:rFonts w:ascii="宋体"/>
                <w:vanish/>
              </w:rPr>
            </w:pPr>
          </w:p>
        </w:tc>
        <w:tc>
          <w:tcPr>
            <w:tcW w:w="0" w:type="auto"/>
            <w:gridSpan w:val="3"/>
            <w:shd w:val="clear" w:color="auto" w:fill="auto"/>
            <w:vAlign w:val="bottom"/>
          </w:tcPr>
          <w:p w14:paraId="392C9991" w14:textId="77777777" w:rsidR="00980E5F" w:rsidRDefault="00980E5F">
            <w:pPr>
              <w:rPr>
                <w:rFonts w:ascii="宋体"/>
                <w:vanish/>
              </w:rPr>
            </w:pPr>
          </w:p>
        </w:tc>
        <w:tc>
          <w:tcPr>
            <w:tcW w:w="0" w:type="auto"/>
            <w:gridSpan w:val="3"/>
            <w:shd w:val="clear" w:color="auto" w:fill="auto"/>
            <w:vAlign w:val="bottom"/>
          </w:tcPr>
          <w:p w14:paraId="392C9992" w14:textId="77777777" w:rsidR="00980E5F" w:rsidRDefault="00980E5F">
            <w:pPr>
              <w:rPr>
                <w:rFonts w:ascii="宋体"/>
                <w:vanish/>
              </w:rPr>
            </w:pPr>
          </w:p>
        </w:tc>
        <w:tc>
          <w:tcPr>
            <w:tcW w:w="0" w:type="auto"/>
            <w:gridSpan w:val="3"/>
            <w:shd w:val="clear" w:color="auto" w:fill="auto"/>
            <w:vAlign w:val="bottom"/>
          </w:tcPr>
          <w:p w14:paraId="392C9993" w14:textId="77777777" w:rsidR="00980E5F" w:rsidRDefault="00980E5F">
            <w:pPr>
              <w:rPr>
                <w:rFonts w:ascii="宋体"/>
                <w:vanish/>
              </w:rPr>
            </w:pPr>
          </w:p>
        </w:tc>
      </w:tr>
      <w:tr w:rsidR="00980E5F" w14:paraId="392C999B" w14:textId="77777777">
        <w:trPr>
          <w:hidden/>
        </w:trPr>
        <w:tc>
          <w:tcPr>
            <w:tcW w:w="0" w:type="auto"/>
            <w:gridSpan w:val="3"/>
            <w:shd w:val="clear" w:color="auto" w:fill="auto"/>
            <w:vAlign w:val="bottom"/>
          </w:tcPr>
          <w:p w14:paraId="392C9995" w14:textId="77777777" w:rsidR="00980E5F" w:rsidRDefault="00980E5F">
            <w:pPr>
              <w:rPr>
                <w:rFonts w:ascii="宋体"/>
                <w:vanish/>
              </w:rPr>
            </w:pPr>
          </w:p>
        </w:tc>
        <w:tc>
          <w:tcPr>
            <w:tcW w:w="0" w:type="auto"/>
            <w:gridSpan w:val="3"/>
            <w:shd w:val="clear" w:color="auto" w:fill="auto"/>
            <w:vAlign w:val="bottom"/>
          </w:tcPr>
          <w:p w14:paraId="392C9996" w14:textId="77777777" w:rsidR="00980E5F" w:rsidRDefault="00980E5F">
            <w:pPr>
              <w:rPr>
                <w:rFonts w:ascii="宋体"/>
                <w:vanish/>
              </w:rPr>
            </w:pPr>
          </w:p>
        </w:tc>
        <w:tc>
          <w:tcPr>
            <w:tcW w:w="0" w:type="auto"/>
            <w:gridSpan w:val="3"/>
            <w:shd w:val="clear" w:color="auto" w:fill="auto"/>
            <w:vAlign w:val="bottom"/>
          </w:tcPr>
          <w:p w14:paraId="392C9997" w14:textId="77777777" w:rsidR="00980E5F" w:rsidRDefault="00980E5F">
            <w:pPr>
              <w:rPr>
                <w:rFonts w:ascii="宋体"/>
                <w:vanish/>
              </w:rPr>
            </w:pPr>
          </w:p>
        </w:tc>
        <w:tc>
          <w:tcPr>
            <w:tcW w:w="0" w:type="auto"/>
            <w:gridSpan w:val="3"/>
            <w:shd w:val="clear" w:color="auto" w:fill="auto"/>
            <w:vAlign w:val="bottom"/>
          </w:tcPr>
          <w:p w14:paraId="392C9998" w14:textId="77777777" w:rsidR="00980E5F" w:rsidRDefault="00980E5F">
            <w:pPr>
              <w:rPr>
                <w:rFonts w:ascii="宋体"/>
                <w:vanish/>
              </w:rPr>
            </w:pPr>
          </w:p>
        </w:tc>
        <w:tc>
          <w:tcPr>
            <w:tcW w:w="0" w:type="auto"/>
            <w:gridSpan w:val="3"/>
            <w:shd w:val="clear" w:color="auto" w:fill="auto"/>
            <w:vAlign w:val="bottom"/>
          </w:tcPr>
          <w:p w14:paraId="392C9999" w14:textId="77777777" w:rsidR="00980E5F" w:rsidRDefault="00980E5F">
            <w:pPr>
              <w:rPr>
                <w:rFonts w:ascii="宋体"/>
                <w:vanish/>
              </w:rPr>
            </w:pPr>
          </w:p>
        </w:tc>
        <w:tc>
          <w:tcPr>
            <w:tcW w:w="0" w:type="auto"/>
            <w:gridSpan w:val="3"/>
            <w:shd w:val="clear" w:color="auto" w:fill="auto"/>
            <w:vAlign w:val="bottom"/>
          </w:tcPr>
          <w:p w14:paraId="392C999A" w14:textId="77777777" w:rsidR="00980E5F" w:rsidRDefault="00980E5F">
            <w:pPr>
              <w:rPr>
                <w:rFonts w:ascii="宋体"/>
                <w:vanish/>
              </w:rPr>
            </w:pPr>
          </w:p>
        </w:tc>
      </w:tr>
      <w:tr w:rsidR="00980E5F" w14:paraId="392C99A2" w14:textId="77777777">
        <w:trPr>
          <w:hidden/>
        </w:trPr>
        <w:tc>
          <w:tcPr>
            <w:tcW w:w="0" w:type="auto"/>
            <w:gridSpan w:val="3"/>
            <w:shd w:val="clear" w:color="auto" w:fill="auto"/>
            <w:vAlign w:val="bottom"/>
          </w:tcPr>
          <w:p w14:paraId="392C999C" w14:textId="77777777" w:rsidR="00980E5F" w:rsidRDefault="00980E5F">
            <w:pPr>
              <w:rPr>
                <w:rFonts w:ascii="宋体"/>
                <w:vanish/>
              </w:rPr>
            </w:pPr>
          </w:p>
        </w:tc>
        <w:tc>
          <w:tcPr>
            <w:tcW w:w="0" w:type="auto"/>
            <w:gridSpan w:val="3"/>
            <w:shd w:val="clear" w:color="auto" w:fill="auto"/>
            <w:vAlign w:val="bottom"/>
          </w:tcPr>
          <w:p w14:paraId="392C999D" w14:textId="77777777" w:rsidR="00980E5F" w:rsidRDefault="00980E5F">
            <w:pPr>
              <w:rPr>
                <w:rFonts w:ascii="宋体"/>
                <w:vanish/>
              </w:rPr>
            </w:pPr>
          </w:p>
        </w:tc>
        <w:tc>
          <w:tcPr>
            <w:tcW w:w="0" w:type="auto"/>
            <w:gridSpan w:val="3"/>
            <w:shd w:val="clear" w:color="auto" w:fill="auto"/>
            <w:vAlign w:val="bottom"/>
          </w:tcPr>
          <w:p w14:paraId="392C999E" w14:textId="77777777" w:rsidR="00980E5F" w:rsidRDefault="00980E5F">
            <w:pPr>
              <w:rPr>
                <w:rFonts w:ascii="宋体"/>
                <w:vanish/>
              </w:rPr>
            </w:pPr>
          </w:p>
        </w:tc>
        <w:tc>
          <w:tcPr>
            <w:tcW w:w="0" w:type="auto"/>
            <w:gridSpan w:val="3"/>
            <w:shd w:val="clear" w:color="auto" w:fill="auto"/>
            <w:vAlign w:val="bottom"/>
          </w:tcPr>
          <w:p w14:paraId="392C999F" w14:textId="77777777" w:rsidR="00980E5F" w:rsidRDefault="00980E5F">
            <w:pPr>
              <w:rPr>
                <w:rFonts w:ascii="宋体"/>
                <w:vanish/>
              </w:rPr>
            </w:pPr>
          </w:p>
        </w:tc>
        <w:tc>
          <w:tcPr>
            <w:tcW w:w="0" w:type="auto"/>
            <w:gridSpan w:val="3"/>
            <w:shd w:val="clear" w:color="auto" w:fill="auto"/>
            <w:vAlign w:val="bottom"/>
          </w:tcPr>
          <w:p w14:paraId="392C99A0" w14:textId="77777777" w:rsidR="00980E5F" w:rsidRDefault="00980E5F">
            <w:pPr>
              <w:rPr>
                <w:rFonts w:ascii="宋体"/>
                <w:vanish/>
              </w:rPr>
            </w:pPr>
          </w:p>
        </w:tc>
        <w:tc>
          <w:tcPr>
            <w:tcW w:w="0" w:type="auto"/>
            <w:gridSpan w:val="3"/>
            <w:shd w:val="clear" w:color="auto" w:fill="auto"/>
            <w:vAlign w:val="bottom"/>
          </w:tcPr>
          <w:p w14:paraId="392C99A1" w14:textId="77777777" w:rsidR="00980E5F" w:rsidRDefault="00980E5F">
            <w:pPr>
              <w:rPr>
                <w:rFonts w:ascii="宋体"/>
                <w:vanish/>
              </w:rPr>
            </w:pPr>
          </w:p>
        </w:tc>
      </w:tr>
      <w:tr w:rsidR="00980E5F" w14:paraId="392C99A9" w14:textId="77777777">
        <w:trPr>
          <w:hidden/>
        </w:trPr>
        <w:tc>
          <w:tcPr>
            <w:tcW w:w="0" w:type="auto"/>
            <w:gridSpan w:val="3"/>
            <w:shd w:val="clear" w:color="auto" w:fill="auto"/>
            <w:vAlign w:val="bottom"/>
          </w:tcPr>
          <w:p w14:paraId="392C99A3" w14:textId="77777777" w:rsidR="00980E5F" w:rsidRDefault="00980E5F">
            <w:pPr>
              <w:rPr>
                <w:rFonts w:ascii="宋体"/>
                <w:vanish/>
              </w:rPr>
            </w:pPr>
          </w:p>
        </w:tc>
        <w:tc>
          <w:tcPr>
            <w:tcW w:w="0" w:type="auto"/>
            <w:gridSpan w:val="3"/>
            <w:shd w:val="clear" w:color="auto" w:fill="auto"/>
            <w:vAlign w:val="bottom"/>
          </w:tcPr>
          <w:p w14:paraId="392C99A4" w14:textId="77777777" w:rsidR="00980E5F" w:rsidRDefault="00980E5F">
            <w:pPr>
              <w:rPr>
                <w:rFonts w:ascii="宋体"/>
                <w:vanish/>
              </w:rPr>
            </w:pPr>
          </w:p>
        </w:tc>
        <w:tc>
          <w:tcPr>
            <w:tcW w:w="0" w:type="auto"/>
            <w:gridSpan w:val="3"/>
            <w:shd w:val="clear" w:color="auto" w:fill="auto"/>
            <w:vAlign w:val="bottom"/>
          </w:tcPr>
          <w:p w14:paraId="392C99A5" w14:textId="77777777" w:rsidR="00980E5F" w:rsidRDefault="00980E5F">
            <w:pPr>
              <w:rPr>
                <w:rFonts w:ascii="宋体"/>
                <w:vanish/>
              </w:rPr>
            </w:pPr>
          </w:p>
        </w:tc>
        <w:tc>
          <w:tcPr>
            <w:tcW w:w="0" w:type="auto"/>
            <w:gridSpan w:val="3"/>
            <w:shd w:val="clear" w:color="auto" w:fill="auto"/>
            <w:vAlign w:val="bottom"/>
          </w:tcPr>
          <w:p w14:paraId="392C99A6" w14:textId="77777777" w:rsidR="00980E5F" w:rsidRDefault="00980E5F">
            <w:pPr>
              <w:rPr>
                <w:rFonts w:ascii="宋体"/>
                <w:vanish/>
              </w:rPr>
            </w:pPr>
          </w:p>
        </w:tc>
        <w:tc>
          <w:tcPr>
            <w:tcW w:w="0" w:type="auto"/>
            <w:gridSpan w:val="3"/>
            <w:shd w:val="clear" w:color="auto" w:fill="auto"/>
            <w:vAlign w:val="bottom"/>
          </w:tcPr>
          <w:p w14:paraId="392C99A7" w14:textId="77777777" w:rsidR="00980E5F" w:rsidRDefault="00980E5F">
            <w:pPr>
              <w:rPr>
                <w:rFonts w:ascii="宋体"/>
                <w:vanish/>
              </w:rPr>
            </w:pPr>
          </w:p>
        </w:tc>
        <w:tc>
          <w:tcPr>
            <w:tcW w:w="0" w:type="auto"/>
            <w:gridSpan w:val="3"/>
            <w:shd w:val="clear" w:color="auto" w:fill="auto"/>
            <w:vAlign w:val="bottom"/>
          </w:tcPr>
          <w:p w14:paraId="392C99A8" w14:textId="77777777" w:rsidR="00980E5F" w:rsidRDefault="00980E5F">
            <w:pPr>
              <w:rPr>
                <w:rFonts w:ascii="宋体"/>
                <w:vanish/>
              </w:rPr>
            </w:pPr>
          </w:p>
        </w:tc>
      </w:tr>
      <w:tr w:rsidR="00980E5F" w14:paraId="392C99B0" w14:textId="77777777">
        <w:tc>
          <w:tcPr>
            <w:tcW w:w="0" w:type="auto"/>
            <w:gridSpan w:val="3"/>
            <w:shd w:val="clear" w:color="auto" w:fill="FFFFFF"/>
            <w:tcMar>
              <w:top w:w="40" w:type="dxa"/>
              <w:left w:w="20" w:type="dxa"/>
              <w:bottom w:w="40" w:type="dxa"/>
              <w:right w:w="20" w:type="dxa"/>
            </w:tcMar>
            <w:vAlign w:val="bottom"/>
          </w:tcPr>
          <w:p w14:paraId="392C99AA" w14:textId="77777777" w:rsidR="00980E5F" w:rsidRDefault="00483613">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9AB"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9AC"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9A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AE" w14:textId="77777777" w:rsidR="00980E5F" w:rsidRDefault="00980E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99AF" w14:textId="77777777" w:rsidR="00980E5F" w:rsidRDefault="00980E5F">
            <w:pPr>
              <w:rPr>
                <w:rFonts w:ascii="宋体"/>
              </w:rPr>
            </w:pPr>
          </w:p>
        </w:tc>
      </w:tr>
      <w:tr w:rsidR="00980E5F" w14:paraId="392C99BB" w14:textId="77777777">
        <w:tc>
          <w:tcPr>
            <w:tcW w:w="0" w:type="auto"/>
            <w:gridSpan w:val="3"/>
            <w:shd w:val="clear" w:color="auto" w:fill="CCEEFF"/>
            <w:tcMar>
              <w:top w:w="40" w:type="dxa"/>
              <w:left w:w="20" w:type="dxa"/>
              <w:bottom w:w="40" w:type="dxa"/>
              <w:right w:w="20" w:type="dxa"/>
            </w:tcMar>
            <w:vAlign w:val="bottom"/>
          </w:tcPr>
          <w:p w14:paraId="392C99B1" w14:textId="77777777" w:rsidR="00980E5F" w:rsidRDefault="00483613">
            <w:pPr>
              <w:textAlignment w:val="bottom"/>
            </w:pPr>
            <w:r>
              <w:rPr>
                <w:rFonts w:ascii="Arial" w:eastAsia="宋体" w:hAnsi="Arial" w:cs="Arial"/>
                <w:color w:val="000000"/>
                <w:sz w:val="14"/>
                <w:szCs w:val="14"/>
              </w:rPr>
              <w:t>(Gain) reclassified from accumulated other comprehensive income into income, net of related taxes of $9 and $13, respectively</w:t>
            </w:r>
          </w:p>
        </w:tc>
        <w:tc>
          <w:tcPr>
            <w:tcW w:w="0" w:type="auto"/>
            <w:shd w:val="clear" w:color="auto" w:fill="CCEEFF"/>
            <w:tcMar>
              <w:top w:w="40" w:type="dxa"/>
              <w:left w:w="20" w:type="dxa"/>
              <w:bottom w:w="40" w:type="dxa"/>
              <w:right w:w="0" w:type="dxa"/>
            </w:tcMar>
            <w:vAlign w:val="bottom"/>
          </w:tcPr>
          <w:p w14:paraId="392C99B2"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9B3" w14:textId="77777777" w:rsidR="00980E5F" w:rsidRDefault="00483613">
            <w:pPr>
              <w:jc w:val="right"/>
              <w:textAlignment w:val="bottom"/>
            </w:pPr>
            <w:r>
              <w:rPr>
                <w:rFonts w:ascii="Arial" w:eastAsia="宋体" w:hAnsi="Arial" w:cs="Arial"/>
                <w:b/>
                <w:bCs/>
                <w:color w:val="000000"/>
                <w:sz w:val="14"/>
                <w:szCs w:val="14"/>
              </w:rPr>
              <w:t>(22)</w:t>
            </w:r>
          </w:p>
        </w:tc>
        <w:tc>
          <w:tcPr>
            <w:tcW w:w="0" w:type="auto"/>
            <w:shd w:val="clear" w:color="auto" w:fill="CCEEFF"/>
            <w:tcMar>
              <w:top w:w="40" w:type="dxa"/>
              <w:left w:w="0" w:type="dxa"/>
              <w:bottom w:w="40" w:type="dxa"/>
              <w:right w:w="20" w:type="dxa"/>
            </w:tcMar>
            <w:vAlign w:val="bottom"/>
          </w:tcPr>
          <w:p w14:paraId="392C99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B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9B6"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9B7" w14:textId="77777777" w:rsidR="00980E5F" w:rsidRDefault="00483613">
            <w:pPr>
              <w:jc w:val="right"/>
              <w:textAlignment w:val="bottom"/>
            </w:pPr>
            <w:r>
              <w:rPr>
                <w:rFonts w:ascii="Arial" w:eastAsia="宋体" w:hAnsi="Arial" w:cs="Arial"/>
                <w:color w:val="000000"/>
                <w:sz w:val="14"/>
                <w:szCs w:val="14"/>
              </w:rPr>
              <w:t>(33)</w:t>
            </w:r>
          </w:p>
        </w:tc>
        <w:tc>
          <w:tcPr>
            <w:tcW w:w="0" w:type="auto"/>
            <w:shd w:val="clear" w:color="auto" w:fill="CCEEFF"/>
            <w:tcMar>
              <w:top w:w="40" w:type="dxa"/>
              <w:left w:w="0" w:type="dxa"/>
              <w:bottom w:w="40" w:type="dxa"/>
              <w:right w:w="20" w:type="dxa"/>
            </w:tcMar>
            <w:vAlign w:val="bottom"/>
          </w:tcPr>
          <w:p w14:paraId="392C99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B9"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99BA" w14:textId="77777777" w:rsidR="00980E5F" w:rsidRDefault="00483613">
            <w:pPr>
              <w:textAlignment w:val="bottom"/>
            </w:pPr>
            <w:r>
              <w:rPr>
                <w:rFonts w:ascii="Arial" w:eastAsia="宋体" w:hAnsi="Arial" w:cs="Arial"/>
                <w:color w:val="000000"/>
                <w:sz w:val="14"/>
                <w:szCs w:val="14"/>
              </w:rPr>
              <w:t xml:space="preserve">Net </w:t>
            </w:r>
            <w:r>
              <w:rPr>
                <w:rFonts w:ascii="Arial" w:eastAsia="宋体" w:hAnsi="Arial" w:cs="Arial"/>
                <w:color w:val="000000"/>
                <w:sz w:val="14"/>
                <w:szCs w:val="14"/>
              </w:rPr>
              <w:t>interest income reclassified from other comprehensive income</w:t>
            </w:r>
          </w:p>
        </w:tc>
      </w:tr>
      <w:tr w:rsidR="00980E5F" w14:paraId="392C99C2" w14:textId="77777777">
        <w:tc>
          <w:tcPr>
            <w:tcW w:w="0" w:type="auto"/>
            <w:gridSpan w:val="3"/>
            <w:shd w:val="clear" w:color="auto" w:fill="FFFFFF"/>
            <w:tcMar>
              <w:top w:w="40" w:type="dxa"/>
              <w:left w:w="20" w:type="dxa"/>
              <w:bottom w:w="40" w:type="dxa"/>
              <w:right w:w="20" w:type="dxa"/>
            </w:tcMar>
            <w:vAlign w:val="bottom"/>
          </w:tcPr>
          <w:p w14:paraId="392C99BC" w14:textId="77777777" w:rsidR="00980E5F" w:rsidRDefault="00483613">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392C99B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B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B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C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C1" w14:textId="77777777" w:rsidR="00980E5F" w:rsidRDefault="00980E5F">
            <w:pPr>
              <w:rPr>
                <w:rFonts w:ascii="宋体"/>
              </w:rPr>
            </w:pPr>
          </w:p>
        </w:tc>
      </w:tr>
      <w:tr w:rsidR="00980E5F" w14:paraId="392C99CB" w14:textId="77777777">
        <w:tc>
          <w:tcPr>
            <w:tcW w:w="0" w:type="auto"/>
            <w:gridSpan w:val="3"/>
            <w:shd w:val="clear" w:color="auto" w:fill="CCEEFF"/>
            <w:tcMar>
              <w:top w:w="40" w:type="dxa"/>
              <w:left w:w="20" w:type="dxa"/>
              <w:bottom w:w="40" w:type="dxa"/>
              <w:right w:w="20" w:type="dxa"/>
            </w:tcMar>
            <w:vAlign w:val="bottom"/>
          </w:tcPr>
          <w:p w14:paraId="392C99C3" w14:textId="77777777" w:rsidR="00980E5F" w:rsidRDefault="00483613">
            <w:pPr>
              <w:textAlignment w:val="bottom"/>
            </w:pPr>
            <w:r>
              <w:rPr>
                <w:rFonts w:ascii="Arial" w:eastAsia="宋体" w:hAnsi="Arial" w:cs="Arial"/>
                <w:color w:val="000000"/>
                <w:sz w:val="14"/>
                <w:szCs w:val="14"/>
              </w:rPr>
              <w:t>Amortization of actuarial losses, net of related taxes of $7 and $4, respectively</w:t>
            </w:r>
          </w:p>
        </w:tc>
        <w:tc>
          <w:tcPr>
            <w:tcW w:w="0" w:type="auto"/>
            <w:gridSpan w:val="2"/>
            <w:shd w:val="clear" w:color="auto" w:fill="CCEEFF"/>
            <w:tcMar>
              <w:top w:w="40" w:type="dxa"/>
              <w:left w:w="20" w:type="dxa"/>
              <w:bottom w:w="40" w:type="dxa"/>
              <w:right w:w="0" w:type="dxa"/>
            </w:tcMar>
            <w:vAlign w:val="bottom"/>
          </w:tcPr>
          <w:p w14:paraId="392C99C4" w14:textId="77777777" w:rsidR="00980E5F" w:rsidRDefault="00483613">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9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C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9C7" w14:textId="77777777" w:rsidR="00980E5F" w:rsidRDefault="00483613">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392C99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9C9" w14:textId="77777777" w:rsidR="00980E5F" w:rsidRDefault="00980E5F">
            <w:pPr>
              <w:rPr>
                <w:rFonts w:ascii="宋体"/>
              </w:rPr>
            </w:pPr>
          </w:p>
        </w:tc>
        <w:tc>
          <w:tcPr>
            <w:tcW w:w="0" w:type="auto"/>
            <w:gridSpan w:val="3"/>
            <w:shd w:val="clear" w:color="auto" w:fill="CCEEFF"/>
            <w:tcMar>
              <w:top w:w="40" w:type="dxa"/>
              <w:left w:w="20" w:type="dxa"/>
              <w:bottom w:w="40" w:type="dxa"/>
              <w:right w:w="20" w:type="dxa"/>
            </w:tcMar>
            <w:vAlign w:val="bottom"/>
          </w:tcPr>
          <w:p w14:paraId="392C99CA" w14:textId="77777777" w:rsidR="00980E5F" w:rsidRDefault="00483613">
            <w:pPr>
              <w:textAlignment w:val="bottom"/>
            </w:pPr>
            <w:r>
              <w:rPr>
                <w:rFonts w:ascii="Arial" w:eastAsia="宋体" w:hAnsi="Arial" w:cs="Arial"/>
                <w:color w:val="000000"/>
                <w:sz w:val="14"/>
                <w:szCs w:val="14"/>
              </w:rPr>
              <w:t>Compensation and employee benefits expenses</w:t>
            </w:r>
          </w:p>
        </w:tc>
      </w:tr>
      <w:tr w:rsidR="00980E5F" w14:paraId="392C99D2" w14:textId="77777777">
        <w:trPr>
          <w:hidden/>
        </w:trPr>
        <w:tc>
          <w:tcPr>
            <w:tcW w:w="0" w:type="auto"/>
            <w:gridSpan w:val="3"/>
            <w:shd w:val="clear" w:color="auto" w:fill="auto"/>
            <w:vAlign w:val="bottom"/>
          </w:tcPr>
          <w:p w14:paraId="392C99CC" w14:textId="77777777" w:rsidR="00980E5F" w:rsidRDefault="00980E5F">
            <w:pPr>
              <w:rPr>
                <w:rFonts w:ascii="宋体"/>
                <w:vanish/>
              </w:rPr>
            </w:pPr>
          </w:p>
        </w:tc>
        <w:tc>
          <w:tcPr>
            <w:tcW w:w="0" w:type="auto"/>
            <w:gridSpan w:val="3"/>
            <w:shd w:val="clear" w:color="auto" w:fill="auto"/>
            <w:vAlign w:val="bottom"/>
          </w:tcPr>
          <w:p w14:paraId="392C99CD" w14:textId="77777777" w:rsidR="00980E5F" w:rsidRDefault="00980E5F">
            <w:pPr>
              <w:rPr>
                <w:rFonts w:ascii="宋体"/>
                <w:vanish/>
              </w:rPr>
            </w:pPr>
          </w:p>
        </w:tc>
        <w:tc>
          <w:tcPr>
            <w:tcW w:w="0" w:type="auto"/>
            <w:gridSpan w:val="3"/>
            <w:shd w:val="clear" w:color="auto" w:fill="auto"/>
            <w:vAlign w:val="bottom"/>
          </w:tcPr>
          <w:p w14:paraId="392C99CE" w14:textId="77777777" w:rsidR="00980E5F" w:rsidRDefault="00980E5F">
            <w:pPr>
              <w:rPr>
                <w:rFonts w:ascii="宋体"/>
                <w:vanish/>
              </w:rPr>
            </w:pPr>
          </w:p>
        </w:tc>
        <w:tc>
          <w:tcPr>
            <w:tcW w:w="0" w:type="auto"/>
            <w:gridSpan w:val="3"/>
            <w:shd w:val="clear" w:color="auto" w:fill="auto"/>
            <w:vAlign w:val="bottom"/>
          </w:tcPr>
          <w:p w14:paraId="392C99CF" w14:textId="77777777" w:rsidR="00980E5F" w:rsidRDefault="00980E5F">
            <w:pPr>
              <w:rPr>
                <w:rFonts w:ascii="宋体"/>
                <w:vanish/>
              </w:rPr>
            </w:pPr>
          </w:p>
        </w:tc>
        <w:tc>
          <w:tcPr>
            <w:tcW w:w="0" w:type="auto"/>
            <w:gridSpan w:val="3"/>
            <w:shd w:val="clear" w:color="auto" w:fill="auto"/>
            <w:vAlign w:val="bottom"/>
          </w:tcPr>
          <w:p w14:paraId="392C99D0" w14:textId="77777777" w:rsidR="00980E5F" w:rsidRDefault="00980E5F">
            <w:pPr>
              <w:rPr>
                <w:rFonts w:ascii="宋体"/>
                <w:vanish/>
              </w:rPr>
            </w:pPr>
          </w:p>
        </w:tc>
        <w:tc>
          <w:tcPr>
            <w:tcW w:w="0" w:type="auto"/>
            <w:gridSpan w:val="3"/>
            <w:shd w:val="clear" w:color="auto" w:fill="auto"/>
            <w:vAlign w:val="bottom"/>
          </w:tcPr>
          <w:p w14:paraId="392C99D1" w14:textId="77777777" w:rsidR="00980E5F" w:rsidRDefault="00980E5F">
            <w:pPr>
              <w:rPr>
                <w:rFonts w:ascii="宋体"/>
                <w:vanish/>
              </w:rPr>
            </w:pPr>
          </w:p>
        </w:tc>
      </w:tr>
      <w:tr w:rsidR="00980E5F" w14:paraId="392C99D9" w14:textId="77777777">
        <w:trPr>
          <w:hidden/>
        </w:trPr>
        <w:tc>
          <w:tcPr>
            <w:tcW w:w="0" w:type="auto"/>
            <w:gridSpan w:val="3"/>
            <w:shd w:val="clear" w:color="auto" w:fill="auto"/>
            <w:vAlign w:val="bottom"/>
          </w:tcPr>
          <w:p w14:paraId="392C99D3" w14:textId="77777777" w:rsidR="00980E5F" w:rsidRDefault="00980E5F">
            <w:pPr>
              <w:rPr>
                <w:rFonts w:ascii="宋体"/>
                <w:vanish/>
              </w:rPr>
            </w:pPr>
          </w:p>
        </w:tc>
        <w:tc>
          <w:tcPr>
            <w:tcW w:w="0" w:type="auto"/>
            <w:gridSpan w:val="3"/>
            <w:shd w:val="clear" w:color="auto" w:fill="auto"/>
            <w:vAlign w:val="bottom"/>
          </w:tcPr>
          <w:p w14:paraId="392C99D4" w14:textId="77777777" w:rsidR="00980E5F" w:rsidRDefault="00980E5F">
            <w:pPr>
              <w:rPr>
                <w:rFonts w:ascii="宋体"/>
                <w:vanish/>
              </w:rPr>
            </w:pPr>
          </w:p>
        </w:tc>
        <w:tc>
          <w:tcPr>
            <w:tcW w:w="0" w:type="auto"/>
            <w:gridSpan w:val="3"/>
            <w:shd w:val="clear" w:color="auto" w:fill="auto"/>
            <w:vAlign w:val="bottom"/>
          </w:tcPr>
          <w:p w14:paraId="392C99D5" w14:textId="77777777" w:rsidR="00980E5F" w:rsidRDefault="00980E5F">
            <w:pPr>
              <w:rPr>
                <w:rFonts w:ascii="宋体"/>
                <w:vanish/>
              </w:rPr>
            </w:pPr>
          </w:p>
        </w:tc>
        <w:tc>
          <w:tcPr>
            <w:tcW w:w="0" w:type="auto"/>
            <w:gridSpan w:val="3"/>
            <w:shd w:val="clear" w:color="auto" w:fill="auto"/>
            <w:vAlign w:val="bottom"/>
          </w:tcPr>
          <w:p w14:paraId="392C99D6" w14:textId="77777777" w:rsidR="00980E5F" w:rsidRDefault="00980E5F">
            <w:pPr>
              <w:rPr>
                <w:rFonts w:ascii="宋体"/>
                <w:vanish/>
              </w:rPr>
            </w:pPr>
          </w:p>
        </w:tc>
        <w:tc>
          <w:tcPr>
            <w:tcW w:w="0" w:type="auto"/>
            <w:gridSpan w:val="3"/>
            <w:shd w:val="clear" w:color="auto" w:fill="auto"/>
            <w:vAlign w:val="bottom"/>
          </w:tcPr>
          <w:p w14:paraId="392C99D7" w14:textId="77777777" w:rsidR="00980E5F" w:rsidRDefault="00980E5F">
            <w:pPr>
              <w:rPr>
                <w:rFonts w:ascii="宋体"/>
                <w:vanish/>
              </w:rPr>
            </w:pPr>
          </w:p>
        </w:tc>
        <w:tc>
          <w:tcPr>
            <w:tcW w:w="0" w:type="auto"/>
            <w:gridSpan w:val="3"/>
            <w:shd w:val="clear" w:color="auto" w:fill="auto"/>
            <w:vAlign w:val="bottom"/>
          </w:tcPr>
          <w:p w14:paraId="392C99D8" w14:textId="77777777" w:rsidR="00980E5F" w:rsidRDefault="00980E5F">
            <w:pPr>
              <w:rPr>
                <w:rFonts w:ascii="宋体"/>
                <w:vanish/>
              </w:rPr>
            </w:pPr>
          </w:p>
        </w:tc>
      </w:tr>
      <w:tr w:rsidR="00980E5F" w14:paraId="392C99E0" w14:textId="77777777">
        <w:trPr>
          <w:hidden/>
        </w:trPr>
        <w:tc>
          <w:tcPr>
            <w:tcW w:w="0" w:type="auto"/>
            <w:gridSpan w:val="3"/>
            <w:shd w:val="clear" w:color="auto" w:fill="auto"/>
            <w:vAlign w:val="bottom"/>
          </w:tcPr>
          <w:p w14:paraId="392C99DA" w14:textId="77777777" w:rsidR="00980E5F" w:rsidRDefault="00980E5F">
            <w:pPr>
              <w:rPr>
                <w:rFonts w:ascii="宋体"/>
                <w:vanish/>
              </w:rPr>
            </w:pPr>
          </w:p>
        </w:tc>
        <w:tc>
          <w:tcPr>
            <w:tcW w:w="0" w:type="auto"/>
            <w:gridSpan w:val="3"/>
            <w:shd w:val="clear" w:color="auto" w:fill="auto"/>
            <w:vAlign w:val="bottom"/>
          </w:tcPr>
          <w:p w14:paraId="392C99DB" w14:textId="77777777" w:rsidR="00980E5F" w:rsidRDefault="00980E5F">
            <w:pPr>
              <w:rPr>
                <w:rFonts w:ascii="宋体"/>
                <w:vanish/>
              </w:rPr>
            </w:pPr>
          </w:p>
        </w:tc>
        <w:tc>
          <w:tcPr>
            <w:tcW w:w="0" w:type="auto"/>
            <w:gridSpan w:val="3"/>
            <w:shd w:val="clear" w:color="auto" w:fill="auto"/>
            <w:vAlign w:val="bottom"/>
          </w:tcPr>
          <w:p w14:paraId="392C99DC" w14:textId="77777777" w:rsidR="00980E5F" w:rsidRDefault="00980E5F">
            <w:pPr>
              <w:rPr>
                <w:rFonts w:ascii="宋体"/>
                <w:vanish/>
              </w:rPr>
            </w:pPr>
          </w:p>
        </w:tc>
        <w:tc>
          <w:tcPr>
            <w:tcW w:w="0" w:type="auto"/>
            <w:gridSpan w:val="3"/>
            <w:shd w:val="clear" w:color="auto" w:fill="auto"/>
            <w:vAlign w:val="bottom"/>
          </w:tcPr>
          <w:p w14:paraId="392C99DD" w14:textId="77777777" w:rsidR="00980E5F" w:rsidRDefault="00980E5F">
            <w:pPr>
              <w:rPr>
                <w:rFonts w:ascii="宋体"/>
                <w:vanish/>
              </w:rPr>
            </w:pPr>
          </w:p>
        </w:tc>
        <w:tc>
          <w:tcPr>
            <w:tcW w:w="0" w:type="auto"/>
            <w:gridSpan w:val="3"/>
            <w:shd w:val="clear" w:color="auto" w:fill="auto"/>
            <w:vAlign w:val="bottom"/>
          </w:tcPr>
          <w:p w14:paraId="392C99DE" w14:textId="77777777" w:rsidR="00980E5F" w:rsidRDefault="00980E5F">
            <w:pPr>
              <w:rPr>
                <w:rFonts w:ascii="宋体"/>
                <w:vanish/>
              </w:rPr>
            </w:pPr>
          </w:p>
        </w:tc>
        <w:tc>
          <w:tcPr>
            <w:tcW w:w="0" w:type="auto"/>
            <w:gridSpan w:val="3"/>
            <w:shd w:val="clear" w:color="auto" w:fill="auto"/>
            <w:vAlign w:val="bottom"/>
          </w:tcPr>
          <w:p w14:paraId="392C99DF" w14:textId="77777777" w:rsidR="00980E5F" w:rsidRDefault="00980E5F">
            <w:pPr>
              <w:rPr>
                <w:rFonts w:ascii="宋体"/>
                <w:vanish/>
              </w:rPr>
            </w:pPr>
          </w:p>
        </w:tc>
      </w:tr>
      <w:tr w:rsidR="00980E5F" w14:paraId="392C99EB" w14:textId="77777777">
        <w:tc>
          <w:tcPr>
            <w:tcW w:w="0" w:type="auto"/>
            <w:gridSpan w:val="3"/>
            <w:shd w:val="clear" w:color="auto" w:fill="FFFFFF"/>
            <w:tcMar>
              <w:top w:w="40" w:type="dxa"/>
              <w:left w:w="20" w:type="dxa"/>
              <w:bottom w:w="40" w:type="dxa"/>
              <w:right w:w="20" w:type="dxa"/>
            </w:tcMar>
            <w:vAlign w:val="bottom"/>
          </w:tcPr>
          <w:p w14:paraId="392C99E1" w14:textId="77777777" w:rsidR="00980E5F" w:rsidRDefault="00483613">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99E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99E3" w14:textId="77777777" w:rsidR="00980E5F" w:rsidRDefault="00483613">
            <w:pPr>
              <w:jc w:val="right"/>
              <w:textAlignment w:val="bottom"/>
            </w:pPr>
            <w:r>
              <w:rPr>
                <w:rFonts w:ascii="Arial" w:eastAsia="宋体" w:hAnsi="Arial" w:cs="Arial"/>
                <w:b/>
                <w:bCs/>
                <w:color w:val="000000"/>
                <w:sz w:val="14"/>
                <w:szCs w:val="14"/>
              </w:rPr>
              <w:t>(5)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99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9E5"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99E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99E7" w14:textId="77777777" w:rsidR="00980E5F" w:rsidRDefault="00483613">
            <w:pPr>
              <w:jc w:val="right"/>
              <w:textAlignment w:val="bottom"/>
            </w:pPr>
            <w:r>
              <w:rPr>
                <w:rFonts w:ascii="Arial" w:eastAsia="宋体" w:hAnsi="Arial" w:cs="Arial"/>
                <w:color w:val="000000"/>
                <w:sz w:val="14"/>
                <w:szCs w:val="14"/>
              </w:rPr>
              <w:t>(23)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99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9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9EA" w14:textId="77777777" w:rsidR="00980E5F" w:rsidRDefault="00980E5F">
            <w:pPr>
              <w:rPr>
                <w:rFonts w:ascii="宋体"/>
              </w:rPr>
            </w:pPr>
          </w:p>
        </w:tc>
      </w:tr>
    </w:tbl>
    <w:p w14:paraId="392C99EC" w14:textId="77777777" w:rsidR="00980E5F" w:rsidRDefault="00483613">
      <w:pPr>
        <w:ind w:firstLine="450"/>
        <w:jc w:val="right"/>
      </w:pPr>
      <w:r>
        <w:rPr>
          <w:rFonts w:ascii="Arial" w:eastAsia="宋体" w:hAnsi="Arial" w:cs="Arial"/>
          <w:color w:val="000000"/>
          <w:sz w:val="18"/>
          <w:szCs w:val="18"/>
        </w:rPr>
        <w:t>State Street Corporation | 92</w:t>
      </w:r>
    </w:p>
    <w:p w14:paraId="392C99ED" w14:textId="77777777" w:rsidR="00980E5F" w:rsidRDefault="00980E5F">
      <w:pPr>
        <w:ind w:firstLine="450"/>
        <w:jc w:val="center"/>
      </w:pPr>
    </w:p>
    <w:p w14:paraId="392C99EE" w14:textId="77777777" w:rsidR="00980E5F" w:rsidRDefault="00483613">
      <w:r>
        <w:pict w14:anchorId="392CBB2A">
          <v:rect id="_x0000_i1116" style="width:415.3pt;height:1.5pt" o:hralign="center" o:hrstd="t" o:hr="t" fillcolor="#a0a0a0" stroked="f"/>
        </w:pict>
      </w:r>
    </w:p>
    <w:p w14:paraId="392C99EF" w14:textId="77777777" w:rsidR="00980E5F" w:rsidRDefault="00483613">
      <w:pPr>
        <w:ind w:firstLine="450"/>
        <w:jc w:val="center"/>
      </w:pPr>
      <w:r>
        <w:rPr>
          <w:rFonts w:ascii="Arial" w:eastAsia="宋体" w:hAnsi="Arial" w:cs="Arial"/>
          <w:b/>
          <w:bCs/>
          <w:color w:val="000000"/>
          <w:sz w:val="20"/>
          <w:szCs w:val="20"/>
        </w:rPr>
        <w:t>STATE STREET CORPORATION</w:t>
      </w:r>
    </w:p>
    <w:p w14:paraId="392C99F0"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9F1" w14:textId="77777777" w:rsidR="00980E5F" w:rsidRDefault="00483613">
      <w:pPr>
        <w:ind w:firstLine="450"/>
        <w:jc w:val="center"/>
      </w:pPr>
      <w:r>
        <w:rPr>
          <w:rFonts w:ascii="Arial" w:eastAsia="宋体" w:hAnsi="Arial" w:cs="Arial"/>
          <w:b/>
          <w:bCs/>
          <w:color w:val="000000"/>
          <w:sz w:val="20"/>
          <w:szCs w:val="20"/>
        </w:rPr>
        <w:t>(UNAUDITED)</w:t>
      </w:r>
    </w:p>
    <w:p w14:paraId="392C99F2" w14:textId="77777777" w:rsidR="00980E5F" w:rsidRDefault="00483613">
      <w:pPr>
        <w:spacing w:before="60"/>
        <w:jc w:val="both"/>
      </w:pPr>
      <w:r>
        <w:rPr>
          <w:rFonts w:ascii="Arial" w:eastAsia="宋体" w:hAnsi="Arial" w:cs="Arial"/>
          <w:b/>
          <w:bCs/>
          <w:color w:val="000000"/>
          <w:sz w:val="20"/>
          <w:szCs w:val="20"/>
        </w:rPr>
        <w:t>Note 13.    Regulatory Capital</w:t>
      </w:r>
    </w:p>
    <w:p w14:paraId="392C99F3" w14:textId="77777777" w:rsidR="00980E5F" w:rsidRDefault="00483613">
      <w:pPr>
        <w:spacing w:before="60"/>
        <w:ind w:firstLine="450"/>
        <w:jc w:val="both"/>
      </w:pPr>
      <w:r>
        <w:rPr>
          <w:rFonts w:ascii="Arial" w:eastAsia="宋体" w:hAnsi="Arial" w:cs="Arial"/>
          <w:color w:val="000000"/>
          <w:sz w:val="20"/>
          <w:szCs w:val="20"/>
        </w:rPr>
        <w:t xml:space="preserve">For </w:t>
      </w:r>
      <w:r>
        <w:rPr>
          <w:rFonts w:ascii="Arial" w:eastAsia="宋体" w:hAnsi="Arial" w:cs="Arial"/>
          <w:color w:val="000000"/>
          <w:sz w:val="20"/>
          <w:szCs w:val="20"/>
        </w:rPr>
        <w:t xml:space="preserve">additional information on our regulatory capital, including the regulatory capital requirements administered by federal banking agencies, which we are subject to, refer to pages 171 to 172 in Note 16 to the consolidated financial statements included under </w:t>
      </w:r>
      <w:r>
        <w:rPr>
          <w:rFonts w:ascii="Arial" w:eastAsia="宋体" w:hAnsi="Arial" w:cs="Arial"/>
          <w:color w:val="000000"/>
          <w:sz w:val="20"/>
          <w:szCs w:val="20"/>
        </w:rPr>
        <w:t>Item 8, Financial Statements and Supplementary Data, in our 2021 Form 10-K.</w:t>
      </w:r>
    </w:p>
    <w:p w14:paraId="392C99F4" w14:textId="77777777" w:rsidR="00980E5F" w:rsidRDefault="00483613">
      <w:pPr>
        <w:spacing w:before="60"/>
        <w:ind w:firstLine="450"/>
        <w:jc w:val="both"/>
      </w:pPr>
      <w:r>
        <w:rPr>
          <w:rFonts w:ascii="Arial" w:eastAsia="宋体" w:hAnsi="Arial" w:cs="Arial"/>
          <w:color w:val="000000"/>
          <w:sz w:val="20"/>
          <w:szCs w:val="20"/>
        </w:rPr>
        <w:t>As of June 30, 2022, we and State Street Bank exceeded all regulatory capital adequacy requirements to which we were subject to. As of June 30, 2022, State Street Bank was categori</w:t>
      </w:r>
      <w:r>
        <w:rPr>
          <w:rFonts w:ascii="Arial" w:eastAsia="宋体" w:hAnsi="Arial" w:cs="Arial"/>
          <w:color w:val="000000"/>
          <w:sz w:val="20"/>
          <w:szCs w:val="20"/>
        </w:rPr>
        <w:t>zed as “well capitalized” under the applicable regulatory capital adequacy framework, and exceeded all “well capitalized” ratio guidelines to which it was subject. Management believes that no conditions or events have occurred since June 30, 2022 that have</w:t>
      </w:r>
      <w:r>
        <w:rPr>
          <w:rFonts w:ascii="Arial" w:eastAsia="宋体" w:hAnsi="Arial" w:cs="Arial"/>
          <w:color w:val="000000"/>
          <w:sz w:val="20"/>
          <w:szCs w:val="20"/>
        </w:rPr>
        <w:t xml:space="preserve"> changed the capital categorization of State Street Bank.</w:t>
      </w:r>
    </w:p>
    <w:p w14:paraId="392C99F5" w14:textId="77777777" w:rsidR="00980E5F" w:rsidRDefault="00483613">
      <w:pPr>
        <w:spacing w:before="60"/>
        <w:ind w:firstLine="450"/>
        <w:jc w:val="both"/>
      </w:pPr>
      <w:r>
        <w:rPr>
          <w:rFonts w:ascii="Arial" w:eastAsia="宋体" w:hAnsi="Arial" w:cs="Arial"/>
          <w:color w:val="000000"/>
          <w:sz w:val="20"/>
          <w:szCs w:val="20"/>
        </w:rPr>
        <w:t xml:space="preserve">The following table presents the regulatory capital structure, total RWA, related regulatory capital ratios and the minimum required regulatory capital ratios for us and State Street Bank as of the </w:t>
      </w:r>
      <w:r>
        <w:rPr>
          <w:rFonts w:ascii="Arial" w:eastAsia="宋体" w:hAnsi="Arial" w:cs="Arial"/>
          <w:color w:val="000000"/>
          <w:sz w:val="20"/>
          <w:szCs w:val="20"/>
        </w:rPr>
        <w:t>dates indicated.</w:t>
      </w:r>
    </w:p>
    <w:tbl>
      <w:tblPr>
        <w:tblW w:w="4941" w:type="pct"/>
        <w:tblCellMar>
          <w:top w:w="15" w:type="dxa"/>
          <w:left w:w="15" w:type="dxa"/>
          <w:bottom w:w="15" w:type="dxa"/>
          <w:right w:w="15" w:type="dxa"/>
        </w:tblCellMar>
        <w:tblLook w:val="04A0" w:firstRow="1" w:lastRow="0" w:firstColumn="1" w:lastColumn="0" w:noHBand="0" w:noVBand="1"/>
      </w:tblPr>
      <w:tblGrid>
        <w:gridCol w:w="96"/>
        <w:gridCol w:w="388"/>
        <w:gridCol w:w="37"/>
        <w:gridCol w:w="84"/>
        <w:gridCol w:w="652"/>
        <w:gridCol w:w="113"/>
        <w:gridCol w:w="85"/>
        <w:gridCol w:w="653"/>
        <w:gridCol w:w="113"/>
        <w:gridCol w:w="80"/>
        <w:gridCol w:w="398"/>
        <w:gridCol w:w="112"/>
        <w:gridCol w:w="37"/>
        <w:gridCol w:w="35"/>
        <w:gridCol w:w="35"/>
        <w:gridCol w:w="102"/>
        <w:gridCol w:w="536"/>
        <w:gridCol w:w="112"/>
        <w:gridCol w:w="37"/>
        <w:gridCol w:w="35"/>
        <w:gridCol w:w="35"/>
        <w:gridCol w:w="80"/>
        <w:gridCol w:w="398"/>
        <w:gridCol w:w="112"/>
        <w:gridCol w:w="37"/>
        <w:gridCol w:w="35"/>
        <w:gridCol w:w="35"/>
        <w:gridCol w:w="99"/>
        <w:gridCol w:w="542"/>
        <w:gridCol w:w="112"/>
        <w:gridCol w:w="37"/>
        <w:gridCol w:w="35"/>
        <w:gridCol w:w="35"/>
        <w:gridCol w:w="80"/>
        <w:gridCol w:w="398"/>
        <w:gridCol w:w="112"/>
        <w:gridCol w:w="37"/>
        <w:gridCol w:w="35"/>
        <w:gridCol w:w="35"/>
        <w:gridCol w:w="102"/>
        <w:gridCol w:w="536"/>
        <w:gridCol w:w="112"/>
        <w:gridCol w:w="37"/>
        <w:gridCol w:w="35"/>
        <w:gridCol w:w="35"/>
        <w:gridCol w:w="80"/>
        <w:gridCol w:w="398"/>
        <w:gridCol w:w="112"/>
        <w:gridCol w:w="37"/>
        <w:gridCol w:w="35"/>
        <w:gridCol w:w="35"/>
        <w:gridCol w:w="99"/>
        <w:gridCol w:w="542"/>
        <w:gridCol w:w="112"/>
      </w:tblGrid>
      <w:tr w:rsidR="00980E5F" w14:paraId="392C9A2C" w14:textId="77777777">
        <w:tc>
          <w:tcPr>
            <w:tcW w:w="50" w:type="pct"/>
            <w:shd w:val="clear" w:color="auto" w:fill="auto"/>
            <w:vAlign w:val="bottom"/>
          </w:tcPr>
          <w:p w14:paraId="392C99F6" w14:textId="77777777" w:rsidR="00980E5F" w:rsidRDefault="00980E5F">
            <w:pPr>
              <w:rPr>
                <w:rFonts w:ascii="宋体"/>
              </w:rPr>
            </w:pPr>
          </w:p>
        </w:tc>
        <w:tc>
          <w:tcPr>
            <w:tcW w:w="359" w:type="pct"/>
            <w:shd w:val="clear" w:color="auto" w:fill="auto"/>
            <w:vAlign w:val="bottom"/>
          </w:tcPr>
          <w:p w14:paraId="392C99F7" w14:textId="77777777" w:rsidR="00980E5F" w:rsidRDefault="00980E5F">
            <w:pPr>
              <w:rPr>
                <w:rFonts w:ascii="宋体"/>
              </w:rPr>
            </w:pPr>
          </w:p>
        </w:tc>
        <w:tc>
          <w:tcPr>
            <w:tcW w:w="5" w:type="pct"/>
            <w:shd w:val="clear" w:color="auto" w:fill="auto"/>
            <w:vAlign w:val="bottom"/>
          </w:tcPr>
          <w:p w14:paraId="392C99F8" w14:textId="77777777" w:rsidR="00980E5F" w:rsidRDefault="00980E5F">
            <w:pPr>
              <w:rPr>
                <w:rFonts w:ascii="宋体"/>
              </w:rPr>
            </w:pPr>
          </w:p>
        </w:tc>
        <w:tc>
          <w:tcPr>
            <w:tcW w:w="50" w:type="pct"/>
            <w:shd w:val="clear" w:color="auto" w:fill="auto"/>
            <w:vAlign w:val="bottom"/>
          </w:tcPr>
          <w:p w14:paraId="392C99F9" w14:textId="77777777" w:rsidR="00980E5F" w:rsidRDefault="00980E5F">
            <w:pPr>
              <w:rPr>
                <w:rFonts w:ascii="宋体"/>
              </w:rPr>
            </w:pPr>
          </w:p>
        </w:tc>
        <w:tc>
          <w:tcPr>
            <w:tcW w:w="418" w:type="pct"/>
            <w:shd w:val="clear" w:color="auto" w:fill="auto"/>
            <w:vAlign w:val="bottom"/>
          </w:tcPr>
          <w:p w14:paraId="392C99FA" w14:textId="77777777" w:rsidR="00980E5F" w:rsidRDefault="00980E5F">
            <w:pPr>
              <w:rPr>
                <w:rFonts w:ascii="宋体"/>
              </w:rPr>
            </w:pPr>
          </w:p>
        </w:tc>
        <w:tc>
          <w:tcPr>
            <w:tcW w:w="5" w:type="pct"/>
            <w:shd w:val="clear" w:color="auto" w:fill="auto"/>
            <w:vAlign w:val="bottom"/>
          </w:tcPr>
          <w:p w14:paraId="392C99FB" w14:textId="77777777" w:rsidR="00980E5F" w:rsidRDefault="00980E5F">
            <w:pPr>
              <w:rPr>
                <w:rFonts w:ascii="宋体"/>
              </w:rPr>
            </w:pPr>
          </w:p>
        </w:tc>
        <w:tc>
          <w:tcPr>
            <w:tcW w:w="50" w:type="pct"/>
            <w:shd w:val="clear" w:color="auto" w:fill="auto"/>
            <w:vAlign w:val="bottom"/>
          </w:tcPr>
          <w:p w14:paraId="392C99FC" w14:textId="77777777" w:rsidR="00980E5F" w:rsidRDefault="00980E5F">
            <w:pPr>
              <w:rPr>
                <w:rFonts w:ascii="宋体"/>
              </w:rPr>
            </w:pPr>
          </w:p>
        </w:tc>
        <w:tc>
          <w:tcPr>
            <w:tcW w:w="418" w:type="pct"/>
            <w:shd w:val="clear" w:color="auto" w:fill="auto"/>
            <w:vAlign w:val="bottom"/>
          </w:tcPr>
          <w:p w14:paraId="392C99FD" w14:textId="77777777" w:rsidR="00980E5F" w:rsidRDefault="00980E5F">
            <w:pPr>
              <w:rPr>
                <w:rFonts w:ascii="宋体"/>
              </w:rPr>
            </w:pPr>
          </w:p>
        </w:tc>
        <w:tc>
          <w:tcPr>
            <w:tcW w:w="5" w:type="pct"/>
            <w:shd w:val="clear" w:color="auto" w:fill="auto"/>
            <w:vAlign w:val="bottom"/>
          </w:tcPr>
          <w:p w14:paraId="392C99FE" w14:textId="77777777" w:rsidR="00980E5F" w:rsidRDefault="00980E5F">
            <w:pPr>
              <w:rPr>
                <w:rFonts w:ascii="宋体"/>
              </w:rPr>
            </w:pPr>
          </w:p>
        </w:tc>
        <w:tc>
          <w:tcPr>
            <w:tcW w:w="50" w:type="pct"/>
            <w:shd w:val="clear" w:color="auto" w:fill="auto"/>
            <w:vAlign w:val="bottom"/>
          </w:tcPr>
          <w:p w14:paraId="392C99FF" w14:textId="77777777" w:rsidR="00980E5F" w:rsidRDefault="00980E5F">
            <w:pPr>
              <w:rPr>
                <w:rFonts w:ascii="宋体"/>
              </w:rPr>
            </w:pPr>
          </w:p>
        </w:tc>
        <w:tc>
          <w:tcPr>
            <w:tcW w:w="351" w:type="pct"/>
            <w:shd w:val="clear" w:color="auto" w:fill="auto"/>
            <w:vAlign w:val="bottom"/>
          </w:tcPr>
          <w:p w14:paraId="392C9A00" w14:textId="77777777" w:rsidR="00980E5F" w:rsidRDefault="00980E5F">
            <w:pPr>
              <w:rPr>
                <w:rFonts w:ascii="宋体"/>
              </w:rPr>
            </w:pPr>
          </w:p>
        </w:tc>
        <w:tc>
          <w:tcPr>
            <w:tcW w:w="5" w:type="pct"/>
            <w:shd w:val="clear" w:color="auto" w:fill="auto"/>
            <w:vAlign w:val="bottom"/>
          </w:tcPr>
          <w:p w14:paraId="392C9A01" w14:textId="77777777" w:rsidR="00980E5F" w:rsidRDefault="00980E5F">
            <w:pPr>
              <w:rPr>
                <w:rFonts w:ascii="宋体"/>
              </w:rPr>
            </w:pPr>
          </w:p>
        </w:tc>
        <w:tc>
          <w:tcPr>
            <w:tcW w:w="5" w:type="pct"/>
            <w:shd w:val="clear" w:color="auto" w:fill="auto"/>
            <w:vAlign w:val="bottom"/>
          </w:tcPr>
          <w:p w14:paraId="392C9A02" w14:textId="77777777" w:rsidR="00980E5F" w:rsidRDefault="00980E5F">
            <w:pPr>
              <w:rPr>
                <w:rFonts w:ascii="宋体"/>
              </w:rPr>
            </w:pPr>
          </w:p>
        </w:tc>
        <w:tc>
          <w:tcPr>
            <w:tcW w:w="19" w:type="pct"/>
            <w:shd w:val="clear" w:color="auto" w:fill="auto"/>
            <w:vAlign w:val="bottom"/>
          </w:tcPr>
          <w:p w14:paraId="392C9A03" w14:textId="77777777" w:rsidR="00980E5F" w:rsidRDefault="00980E5F">
            <w:pPr>
              <w:rPr>
                <w:rFonts w:ascii="宋体"/>
              </w:rPr>
            </w:pPr>
          </w:p>
        </w:tc>
        <w:tc>
          <w:tcPr>
            <w:tcW w:w="5" w:type="pct"/>
            <w:shd w:val="clear" w:color="auto" w:fill="auto"/>
            <w:vAlign w:val="bottom"/>
          </w:tcPr>
          <w:p w14:paraId="392C9A04" w14:textId="77777777" w:rsidR="00980E5F" w:rsidRDefault="00980E5F">
            <w:pPr>
              <w:rPr>
                <w:rFonts w:ascii="宋体"/>
              </w:rPr>
            </w:pPr>
          </w:p>
        </w:tc>
        <w:tc>
          <w:tcPr>
            <w:tcW w:w="50" w:type="pct"/>
            <w:shd w:val="clear" w:color="auto" w:fill="auto"/>
            <w:vAlign w:val="bottom"/>
          </w:tcPr>
          <w:p w14:paraId="392C9A05" w14:textId="77777777" w:rsidR="00980E5F" w:rsidRDefault="00980E5F">
            <w:pPr>
              <w:rPr>
                <w:rFonts w:ascii="宋体"/>
              </w:rPr>
            </w:pPr>
          </w:p>
        </w:tc>
        <w:tc>
          <w:tcPr>
            <w:tcW w:w="351" w:type="pct"/>
            <w:shd w:val="clear" w:color="auto" w:fill="auto"/>
            <w:vAlign w:val="bottom"/>
          </w:tcPr>
          <w:p w14:paraId="392C9A06" w14:textId="77777777" w:rsidR="00980E5F" w:rsidRDefault="00980E5F">
            <w:pPr>
              <w:rPr>
                <w:rFonts w:ascii="宋体"/>
              </w:rPr>
            </w:pPr>
          </w:p>
        </w:tc>
        <w:tc>
          <w:tcPr>
            <w:tcW w:w="5" w:type="pct"/>
            <w:shd w:val="clear" w:color="auto" w:fill="auto"/>
            <w:vAlign w:val="bottom"/>
          </w:tcPr>
          <w:p w14:paraId="392C9A07" w14:textId="77777777" w:rsidR="00980E5F" w:rsidRDefault="00980E5F">
            <w:pPr>
              <w:rPr>
                <w:rFonts w:ascii="宋体"/>
              </w:rPr>
            </w:pPr>
          </w:p>
        </w:tc>
        <w:tc>
          <w:tcPr>
            <w:tcW w:w="5" w:type="pct"/>
            <w:shd w:val="clear" w:color="auto" w:fill="auto"/>
            <w:vAlign w:val="bottom"/>
          </w:tcPr>
          <w:p w14:paraId="392C9A08" w14:textId="77777777" w:rsidR="00980E5F" w:rsidRDefault="00980E5F">
            <w:pPr>
              <w:rPr>
                <w:rFonts w:ascii="宋体"/>
              </w:rPr>
            </w:pPr>
          </w:p>
        </w:tc>
        <w:tc>
          <w:tcPr>
            <w:tcW w:w="19" w:type="pct"/>
            <w:shd w:val="clear" w:color="auto" w:fill="auto"/>
            <w:vAlign w:val="bottom"/>
          </w:tcPr>
          <w:p w14:paraId="392C9A09" w14:textId="77777777" w:rsidR="00980E5F" w:rsidRDefault="00980E5F">
            <w:pPr>
              <w:rPr>
                <w:rFonts w:ascii="宋体"/>
              </w:rPr>
            </w:pPr>
          </w:p>
        </w:tc>
        <w:tc>
          <w:tcPr>
            <w:tcW w:w="5" w:type="pct"/>
            <w:shd w:val="clear" w:color="auto" w:fill="auto"/>
            <w:vAlign w:val="bottom"/>
          </w:tcPr>
          <w:p w14:paraId="392C9A0A" w14:textId="77777777" w:rsidR="00980E5F" w:rsidRDefault="00980E5F">
            <w:pPr>
              <w:rPr>
                <w:rFonts w:ascii="宋体"/>
              </w:rPr>
            </w:pPr>
          </w:p>
        </w:tc>
        <w:tc>
          <w:tcPr>
            <w:tcW w:w="50" w:type="pct"/>
            <w:shd w:val="clear" w:color="auto" w:fill="auto"/>
            <w:vAlign w:val="bottom"/>
          </w:tcPr>
          <w:p w14:paraId="392C9A0B" w14:textId="77777777" w:rsidR="00980E5F" w:rsidRDefault="00980E5F">
            <w:pPr>
              <w:rPr>
                <w:rFonts w:ascii="宋体"/>
              </w:rPr>
            </w:pPr>
          </w:p>
        </w:tc>
        <w:tc>
          <w:tcPr>
            <w:tcW w:w="440" w:type="pct"/>
            <w:shd w:val="clear" w:color="auto" w:fill="auto"/>
            <w:vAlign w:val="bottom"/>
          </w:tcPr>
          <w:p w14:paraId="392C9A0C" w14:textId="77777777" w:rsidR="00980E5F" w:rsidRDefault="00980E5F">
            <w:pPr>
              <w:rPr>
                <w:rFonts w:ascii="宋体"/>
              </w:rPr>
            </w:pPr>
          </w:p>
        </w:tc>
        <w:tc>
          <w:tcPr>
            <w:tcW w:w="5" w:type="pct"/>
            <w:shd w:val="clear" w:color="auto" w:fill="auto"/>
            <w:vAlign w:val="bottom"/>
          </w:tcPr>
          <w:p w14:paraId="392C9A0D" w14:textId="77777777" w:rsidR="00980E5F" w:rsidRDefault="00980E5F">
            <w:pPr>
              <w:rPr>
                <w:rFonts w:ascii="宋体"/>
              </w:rPr>
            </w:pPr>
          </w:p>
        </w:tc>
        <w:tc>
          <w:tcPr>
            <w:tcW w:w="5" w:type="pct"/>
            <w:shd w:val="clear" w:color="auto" w:fill="auto"/>
            <w:vAlign w:val="bottom"/>
          </w:tcPr>
          <w:p w14:paraId="392C9A0E" w14:textId="77777777" w:rsidR="00980E5F" w:rsidRDefault="00980E5F">
            <w:pPr>
              <w:rPr>
                <w:rFonts w:ascii="宋体"/>
              </w:rPr>
            </w:pPr>
          </w:p>
        </w:tc>
        <w:tc>
          <w:tcPr>
            <w:tcW w:w="19" w:type="pct"/>
            <w:shd w:val="clear" w:color="auto" w:fill="auto"/>
            <w:vAlign w:val="bottom"/>
          </w:tcPr>
          <w:p w14:paraId="392C9A0F" w14:textId="77777777" w:rsidR="00980E5F" w:rsidRDefault="00980E5F">
            <w:pPr>
              <w:rPr>
                <w:rFonts w:ascii="宋体"/>
              </w:rPr>
            </w:pPr>
          </w:p>
        </w:tc>
        <w:tc>
          <w:tcPr>
            <w:tcW w:w="5" w:type="pct"/>
            <w:shd w:val="clear" w:color="auto" w:fill="auto"/>
            <w:vAlign w:val="bottom"/>
          </w:tcPr>
          <w:p w14:paraId="392C9A10" w14:textId="77777777" w:rsidR="00980E5F" w:rsidRDefault="00980E5F">
            <w:pPr>
              <w:rPr>
                <w:rFonts w:ascii="宋体"/>
              </w:rPr>
            </w:pPr>
          </w:p>
        </w:tc>
        <w:tc>
          <w:tcPr>
            <w:tcW w:w="50" w:type="pct"/>
            <w:shd w:val="clear" w:color="auto" w:fill="auto"/>
            <w:vAlign w:val="bottom"/>
          </w:tcPr>
          <w:p w14:paraId="392C9A11" w14:textId="77777777" w:rsidR="00980E5F" w:rsidRDefault="00980E5F">
            <w:pPr>
              <w:rPr>
                <w:rFonts w:ascii="宋体"/>
              </w:rPr>
            </w:pPr>
          </w:p>
        </w:tc>
        <w:tc>
          <w:tcPr>
            <w:tcW w:w="381" w:type="pct"/>
            <w:shd w:val="clear" w:color="auto" w:fill="auto"/>
            <w:vAlign w:val="bottom"/>
          </w:tcPr>
          <w:p w14:paraId="392C9A12" w14:textId="77777777" w:rsidR="00980E5F" w:rsidRDefault="00980E5F">
            <w:pPr>
              <w:rPr>
                <w:rFonts w:ascii="宋体"/>
              </w:rPr>
            </w:pPr>
          </w:p>
        </w:tc>
        <w:tc>
          <w:tcPr>
            <w:tcW w:w="5" w:type="pct"/>
            <w:shd w:val="clear" w:color="auto" w:fill="auto"/>
            <w:vAlign w:val="bottom"/>
          </w:tcPr>
          <w:p w14:paraId="392C9A13" w14:textId="77777777" w:rsidR="00980E5F" w:rsidRDefault="00980E5F">
            <w:pPr>
              <w:rPr>
                <w:rFonts w:ascii="宋体"/>
              </w:rPr>
            </w:pPr>
          </w:p>
        </w:tc>
        <w:tc>
          <w:tcPr>
            <w:tcW w:w="5" w:type="pct"/>
            <w:shd w:val="clear" w:color="auto" w:fill="auto"/>
            <w:vAlign w:val="bottom"/>
          </w:tcPr>
          <w:p w14:paraId="392C9A14" w14:textId="77777777" w:rsidR="00980E5F" w:rsidRDefault="00980E5F">
            <w:pPr>
              <w:rPr>
                <w:rFonts w:ascii="宋体"/>
              </w:rPr>
            </w:pPr>
          </w:p>
        </w:tc>
        <w:tc>
          <w:tcPr>
            <w:tcW w:w="19" w:type="pct"/>
            <w:shd w:val="clear" w:color="auto" w:fill="auto"/>
            <w:vAlign w:val="bottom"/>
          </w:tcPr>
          <w:p w14:paraId="392C9A15" w14:textId="77777777" w:rsidR="00980E5F" w:rsidRDefault="00980E5F">
            <w:pPr>
              <w:rPr>
                <w:rFonts w:ascii="宋体"/>
              </w:rPr>
            </w:pPr>
          </w:p>
        </w:tc>
        <w:tc>
          <w:tcPr>
            <w:tcW w:w="5" w:type="pct"/>
            <w:shd w:val="clear" w:color="auto" w:fill="auto"/>
            <w:vAlign w:val="bottom"/>
          </w:tcPr>
          <w:p w14:paraId="392C9A16" w14:textId="77777777" w:rsidR="00980E5F" w:rsidRDefault="00980E5F">
            <w:pPr>
              <w:rPr>
                <w:rFonts w:ascii="宋体"/>
              </w:rPr>
            </w:pPr>
          </w:p>
        </w:tc>
        <w:tc>
          <w:tcPr>
            <w:tcW w:w="50" w:type="pct"/>
            <w:shd w:val="clear" w:color="auto" w:fill="auto"/>
            <w:vAlign w:val="bottom"/>
          </w:tcPr>
          <w:p w14:paraId="392C9A17" w14:textId="77777777" w:rsidR="00980E5F" w:rsidRDefault="00980E5F">
            <w:pPr>
              <w:rPr>
                <w:rFonts w:ascii="宋体"/>
              </w:rPr>
            </w:pPr>
          </w:p>
        </w:tc>
        <w:tc>
          <w:tcPr>
            <w:tcW w:w="351" w:type="pct"/>
            <w:shd w:val="clear" w:color="auto" w:fill="auto"/>
            <w:vAlign w:val="bottom"/>
          </w:tcPr>
          <w:p w14:paraId="392C9A18" w14:textId="77777777" w:rsidR="00980E5F" w:rsidRDefault="00980E5F">
            <w:pPr>
              <w:rPr>
                <w:rFonts w:ascii="宋体"/>
              </w:rPr>
            </w:pPr>
          </w:p>
        </w:tc>
        <w:tc>
          <w:tcPr>
            <w:tcW w:w="5" w:type="pct"/>
            <w:shd w:val="clear" w:color="auto" w:fill="auto"/>
            <w:vAlign w:val="bottom"/>
          </w:tcPr>
          <w:p w14:paraId="392C9A19" w14:textId="77777777" w:rsidR="00980E5F" w:rsidRDefault="00980E5F">
            <w:pPr>
              <w:rPr>
                <w:rFonts w:ascii="宋体"/>
              </w:rPr>
            </w:pPr>
          </w:p>
        </w:tc>
        <w:tc>
          <w:tcPr>
            <w:tcW w:w="5" w:type="pct"/>
            <w:shd w:val="clear" w:color="auto" w:fill="auto"/>
            <w:vAlign w:val="bottom"/>
          </w:tcPr>
          <w:p w14:paraId="392C9A1A" w14:textId="77777777" w:rsidR="00980E5F" w:rsidRDefault="00980E5F">
            <w:pPr>
              <w:rPr>
                <w:rFonts w:ascii="宋体"/>
              </w:rPr>
            </w:pPr>
          </w:p>
        </w:tc>
        <w:tc>
          <w:tcPr>
            <w:tcW w:w="19" w:type="pct"/>
            <w:shd w:val="clear" w:color="auto" w:fill="auto"/>
            <w:vAlign w:val="bottom"/>
          </w:tcPr>
          <w:p w14:paraId="392C9A1B" w14:textId="77777777" w:rsidR="00980E5F" w:rsidRDefault="00980E5F">
            <w:pPr>
              <w:rPr>
                <w:rFonts w:ascii="宋体"/>
              </w:rPr>
            </w:pPr>
          </w:p>
        </w:tc>
        <w:tc>
          <w:tcPr>
            <w:tcW w:w="5" w:type="pct"/>
            <w:shd w:val="clear" w:color="auto" w:fill="auto"/>
            <w:vAlign w:val="bottom"/>
          </w:tcPr>
          <w:p w14:paraId="392C9A1C" w14:textId="77777777" w:rsidR="00980E5F" w:rsidRDefault="00980E5F">
            <w:pPr>
              <w:rPr>
                <w:rFonts w:ascii="宋体"/>
              </w:rPr>
            </w:pPr>
          </w:p>
        </w:tc>
        <w:tc>
          <w:tcPr>
            <w:tcW w:w="50" w:type="pct"/>
            <w:shd w:val="clear" w:color="auto" w:fill="auto"/>
            <w:vAlign w:val="bottom"/>
          </w:tcPr>
          <w:p w14:paraId="392C9A1D" w14:textId="77777777" w:rsidR="00980E5F" w:rsidRDefault="00980E5F">
            <w:pPr>
              <w:rPr>
                <w:rFonts w:ascii="宋体"/>
              </w:rPr>
            </w:pPr>
          </w:p>
        </w:tc>
        <w:tc>
          <w:tcPr>
            <w:tcW w:w="351" w:type="pct"/>
            <w:shd w:val="clear" w:color="auto" w:fill="auto"/>
            <w:vAlign w:val="bottom"/>
          </w:tcPr>
          <w:p w14:paraId="392C9A1E" w14:textId="77777777" w:rsidR="00980E5F" w:rsidRDefault="00980E5F">
            <w:pPr>
              <w:rPr>
                <w:rFonts w:ascii="宋体"/>
              </w:rPr>
            </w:pPr>
          </w:p>
        </w:tc>
        <w:tc>
          <w:tcPr>
            <w:tcW w:w="5" w:type="pct"/>
            <w:shd w:val="clear" w:color="auto" w:fill="auto"/>
            <w:vAlign w:val="bottom"/>
          </w:tcPr>
          <w:p w14:paraId="392C9A1F" w14:textId="77777777" w:rsidR="00980E5F" w:rsidRDefault="00980E5F">
            <w:pPr>
              <w:rPr>
                <w:rFonts w:ascii="宋体"/>
              </w:rPr>
            </w:pPr>
          </w:p>
        </w:tc>
        <w:tc>
          <w:tcPr>
            <w:tcW w:w="5" w:type="pct"/>
            <w:shd w:val="clear" w:color="auto" w:fill="auto"/>
            <w:vAlign w:val="bottom"/>
          </w:tcPr>
          <w:p w14:paraId="392C9A20" w14:textId="77777777" w:rsidR="00980E5F" w:rsidRDefault="00980E5F">
            <w:pPr>
              <w:rPr>
                <w:rFonts w:ascii="宋体"/>
              </w:rPr>
            </w:pPr>
          </w:p>
        </w:tc>
        <w:tc>
          <w:tcPr>
            <w:tcW w:w="19" w:type="pct"/>
            <w:shd w:val="clear" w:color="auto" w:fill="auto"/>
            <w:vAlign w:val="bottom"/>
          </w:tcPr>
          <w:p w14:paraId="392C9A21" w14:textId="77777777" w:rsidR="00980E5F" w:rsidRDefault="00980E5F">
            <w:pPr>
              <w:rPr>
                <w:rFonts w:ascii="宋体"/>
              </w:rPr>
            </w:pPr>
          </w:p>
        </w:tc>
        <w:tc>
          <w:tcPr>
            <w:tcW w:w="5" w:type="pct"/>
            <w:shd w:val="clear" w:color="auto" w:fill="auto"/>
            <w:vAlign w:val="bottom"/>
          </w:tcPr>
          <w:p w14:paraId="392C9A22" w14:textId="77777777" w:rsidR="00980E5F" w:rsidRDefault="00980E5F">
            <w:pPr>
              <w:rPr>
                <w:rFonts w:ascii="宋体"/>
              </w:rPr>
            </w:pPr>
          </w:p>
        </w:tc>
        <w:tc>
          <w:tcPr>
            <w:tcW w:w="50" w:type="pct"/>
            <w:shd w:val="clear" w:color="auto" w:fill="auto"/>
            <w:vAlign w:val="bottom"/>
          </w:tcPr>
          <w:p w14:paraId="392C9A23" w14:textId="77777777" w:rsidR="00980E5F" w:rsidRDefault="00980E5F">
            <w:pPr>
              <w:rPr>
                <w:rFonts w:ascii="宋体"/>
              </w:rPr>
            </w:pPr>
          </w:p>
        </w:tc>
        <w:tc>
          <w:tcPr>
            <w:tcW w:w="381" w:type="pct"/>
            <w:shd w:val="clear" w:color="auto" w:fill="auto"/>
            <w:vAlign w:val="bottom"/>
          </w:tcPr>
          <w:p w14:paraId="392C9A24" w14:textId="77777777" w:rsidR="00980E5F" w:rsidRDefault="00980E5F">
            <w:pPr>
              <w:rPr>
                <w:rFonts w:ascii="宋体"/>
              </w:rPr>
            </w:pPr>
          </w:p>
        </w:tc>
        <w:tc>
          <w:tcPr>
            <w:tcW w:w="5" w:type="pct"/>
            <w:shd w:val="clear" w:color="auto" w:fill="auto"/>
            <w:vAlign w:val="bottom"/>
          </w:tcPr>
          <w:p w14:paraId="392C9A25" w14:textId="77777777" w:rsidR="00980E5F" w:rsidRDefault="00980E5F">
            <w:pPr>
              <w:rPr>
                <w:rFonts w:ascii="宋体"/>
              </w:rPr>
            </w:pPr>
          </w:p>
        </w:tc>
        <w:tc>
          <w:tcPr>
            <w:tcW w:w="5" w:type="pct"/>
            <w:shd w:val="clear" w:color="auto" w:fill="auto"/>
            <w:vAlign w:val="bottom"/>
          </w:tcPr>
          <w:p w14:paraId="392C9A26" w14:textId="77777777" w:rsidR="00980E5F" w:rsidRDefault="00980E5F">
            <w:pPr>
              <w:rPr>
                <w:rFonts w:ascii="宋体"/>
              </w:rPr>
            </w:pPr>
          </w:p>
        </w:tc>
        <w:tc>
          <w:tcPr>
            <w:tcW w:w="19" w:type="pct"/>
            <w:shd w:val="clear" w:color="auto" w:fill="auto"/>
            <w:vAlign w:val="bottom"/>
          </w:tcPr>
          <w:p w14:paraId="392C9A27" w14:textId="77777777" w:rsidR="00980E5F" w:rsidRDefault="00980E5F">
            <w:pPr>
              <w:rPr>
                <w:rFonts w:ascii="宋体"/>
              </w:rPr>
            </w:pPr>
          </w:p>
        </w:tc>
        <w:tc>
          <w:tcPr>
            <w:tcW w:w="5" w:type="pct"/>
            <w:shd w:val="clear" w:color="auto" w:fill="auto"/>
            <w:vAlign w:val="bottom"/>
          </w:tcPr>
          <w:p w14:paraId="392C9A28" w14:textId="77777777" w:rsidR="00980E5F" w:rsidRDefault="00980E5F">
            <w:pPr>
              <w:rPr>
                <w:rFonts w:ascii="宋体"/>
              </w:rPr>
            </w:pPr>
          </w:p>
        </w:tc>
        <w:tc>
          <w:tcPr>
            <w:tcW w:w="50" w:type="pct"/>
            <w:shd w:val="clear" w:color="auto" w:fill="auto"/>
            <w:vAlign w:val="bottom"/>
          </w:tcPr>
          <w:p w14:paraId="392C9A29" w14:textId="77777777" w:rsidR="00980E5F" w:rsidRDefault="00980E5F">
            <w:pPr>
              <w:rPr>
                <w:rFonts w:ascii="宋体"/>
              </w:rPr>
            </w:pPr>
          </w:p>
        </w:tc>
        <w:tc>
          <w:tcPr>
            <w:tcW w:w="381" w:type="pct"/>
            <w:shd w:val="clear" w:color="auto" w:fill="auto"/>
            <w:vAlign w:val="bottom"/>
          </w:tcPr>
          <w:p w14:paraId="392C9A2A" w14:textId="77777777" w:rsidR="00980E5F" w:rsidRDefault="00980E5F">
            <w:pPr>
              <w:rPr>
                <w:rFonts w:ascii="宋体"/>
              </w:rPr>
            </w:pPr>
          </w:p>
        </w:tc>
        <w:tc>
          <w:tcPr>
            <w:tcW w:w="5" w:type="pct"/>
            <w:shd w:val="clear" w:color="auto" w:fill="auto"/>
            <w:vAlign w:val="bottom"/>
          </w:tcPr>
          <w:p w14:paraId="392C9A2B" w14:textId="77777777" w:rsidR="00980E5F" w:rsidRDefault="00980E5F">
            <w:pPr>
              <w:rPr>
                <w:rFonts w:ascii="宋体"/>
              </w:rPr>
            </w:pPr>
          </w:p>
        </w:tc>
      </w:tr>
      <w:tr w:rsidR="00980E5F" w14:paraId="392C9A31" w14:textId="77777777">
        <w:tc>
          <w:tcPr>
            <w:tcW w:w="0" w:type="auto"/>
            <w:gridSpan w:val="9"/>
            <w:shd w:val="clear" w:color="auto" w:fill="auto"/>
            <w:tcMar>
              <w:top w:w="0" w:type="dxa"/>
              <w:left w:w="20" w:type="dxa"/>
              <w:bottom w:w="0" w:type="dxa"/>
              <w:right w:w="20" w:type="dxa"/>
            </w:tcMar>
            <w:vAlign w:val="bottom"/>
          </w:tcPr>
          <w:p w14:paraId="392C9A2D" w14:textId="77777777" w:rsidR="00980E5F" w:rsidRDefault="00980E5F">
            <w:pPr>
              <w:rPr>
                <w:rFonts w:ascii="宋体"/>
              </w:rPr>
            </w:pPr>
          </w:p>
        </w:tc>
        <w:tc>
          <w:tcPr>
            <w:tcW w:w="0" w:type="auto"/>
            <w:gridSpan w:val="21"/>
            <w:shd w:val="clear" w:color="auto" w:fill="FFFFFF"/>
            <w:tcMar>
              <w:top w:w="40" w:type="dxa"/>
              <w:left w:w="20" w:type="dxa"/>
              <w:bottom w:w="40" w:type="dxa"/>
              <w:right w:w="20" w:type="dxa"/>
            </w:tcMar>
            <w:vAlign w:val="bottom"/>
          </w:tcPr>
          <w:p w14:paraId="392C9A2E" w14:textId="77777777" w:rsidR="00980E5F" w:rsidRDefault="00483613">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392C9A2F" w14:textId="77777777" w:rsidR="00980E5F" w:rsidRDefault="00980E5F">
            <w:pPr>
              <w:rPr>
                <w:rFonts w:ascii="宋体"/>
              </w:rPr>
            </w:pPr>
          </w:p>
        </w:tc>
        <w:tc>
          <w:tcPr>
            <w:tcW w:w="0" w:type="auto"/>
            <w:gridSpan w:val="21"/>
            <w:shd w:val="clear" w:color="auto" w:fill="FFFFFF"/>
            <w:tcMar>
              <w:top w:w="40" w:type="dxa"/>
              <w:left w:w="20" w:type="dxa"/>
              <w:bottom w:w="40" w:type="dxa"/>
              <w:right w:w="20" w:type="dxa"/>
            </w:tcMar>
            <w:vAlign w:val="bottom"/>
          </w:tcPr>
          <w:p w14:paraId="392C9A30" w14:textId="77777777" w:rsidR="00980E5F" w:rsidRDefault="00483613">
            <w:pPr>
              <w:jc w:val="center"/>
              <w:textAlignment w:val="bottom"/>
            </w:pPr>
            <w:r>
              <w:rPr>
                <w:rFonts w:ascii="Arial" w:eastAsia="宋体" w:hAnsi="Arial" w:cs="Arial"/>
                <w:b/>
                <w:bCs/>
                <w:color w:val="000000"/>
                <w:sz w:val="12"/>
                <w:szCs w:val="12"/>
              </w:rPr>
              <w:t>State Street Bank</w:t>
            </w:r>
          </w:p>
        </w:tc>
      </w:tr>
      <w:tr w:rsidR="00980E5F" w14:paraId="392C9A42" w14:textId="77777777">
        <w:tc>
          <w:tcPr>
            <w:tcW w:w="0" w:type="auto"/>
            <w:gridSpan w:val="9"/>
            <w:shd w:val="clear" w:color="auto" w:fill="auto"/>
            <w:tcMar>
              <w:top w:w="40" w:type="dxa"/>
              <w:left w:w="20" w:type="dxa"/>
              <w:bottom w:w="40" w:type="dxa"/>
              <w:right w:w="20" w:type="dxa"/>
            </w:tcMar>
            <w:vAlign w:val="bottom"/>
          </w:tcPr>
          <w:p w14:paraId="392C9A32" w14:textId="77777777" w:rsidR="00980E5F" w:rsidRDefault="00483613">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3" w14:textId="77777777" w:rsidR="00980E5F" w:rsidRDefault="00483613">
            <w:pPr>
              <w:jc w:val="center"/>
              <w:textAlignment w:val="bottom"/>
            </w:pPr>
            <w:r>
              <w:rPr>
                <w:rFonts w:ascii="Arial" w:eastAsia="宋体" w:hAnsi="Arial" w:cs="Arial"/>
                <w:b/>
                <w:bCs/>
                <w:color w:val="000000"/>
                <w:sz w:val="11"/>
                <w:szCs w:val="11"/>
              </w:rPr>
              <w:t>Basel III Advanced Approaches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3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5" w14:textId="77777777" w:rsidR="00980E5F" w:rsidRDefault="00483613">
            <w:pPr>
              <w:jc w:val="center"/>
              <w:textAlignment w:val="bottom"/>
            </w:pPr>
            <w:r>
              <w:rPr>
                <w:rFonts w:ascii="Arial" w:eastAsia="宋体" w:hAnsi="Arial" w:cs="Arial"/>
                <w:b/>
                <w:bCs/>
                <w:color w:val="000000"/>
                <w:sz w:val="11"/>
                <w:szCs w:val="11"/>
              </w:rPr>
              <w:t xml:space="preserve">Basel III Standardized Approach June </w:t>
            </w:r>
            <w:r>
              <w:rPr>
                <w:rFonts w:ascii="Arial" w:eastAsia="宋体" w:hAnsi="Arial" w:cs="Arial"/>
                <w:b/>
                <w:bCs/>
                <w:color w:val="000000"/>
                <w:sz w:val="11"/>
                <w:szCs w:val="11"/>
              </w:rPr>
              <w:t>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3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7" w14:textId="77777777" w:rsidR="00980E5F" w:rsidRDefault="00483613">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3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9" w14:textId="77777777" w:rsidR="00980E5F" w:rsidRDefault="00483613">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392C9A3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B" w14:textId="77777777" w:rsidR="00980E5F" w:rsidRDefault="00483613">
            <w:pPr>
              <w:jc w:val="center"/>
              <w:textAlignment w:val="bottom"/>
            </w:pPr>
            <w:r>
              <w:rPr>
                <w:rFonts w:ascii="Arial" w:eastAsia="宋体" w:hAnsi="Arial" w:cs="Arial"/>
                <w:b/>
                <w:bCs/>
                <w:color w:val="000000"/>
                <w:sz w:val="11"/>
                <w:szCs w:val="11"/>
              </w:rPr>
              <w:t>Basel III Advanced Approaches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3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D" w14:textId="77777777" w:rsidR="00980E5F" w:rsidRDefault="00483613">
            <w:pPr>
              <w:jc w:val="center"/>
              <w:textAlignment w:val="bottom"/>
            </w:pPr>
            <w:r>
              <w:rPr>
                <w:rFonts w:ascii="Arial" w:eastAsia="宋体" w:hAnsi="Arial" w:cs="Arial"/>
                <w:b/>
                <w:bCs/>
                <w:color w:val="000000"/>
                <w:sz w:val="11"/>
                <w:szCs w:val="11"/>
              </w:rPr>
              <w:t>Basel III Standardized Approach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3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3F" w14:textId="77777777" w:rsidR="00980E5F" w:rsidRDefault="00483613">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A41" w14:textId="77777777" w:rsidR="00980E5F" w:rsidRDefault="00483613">
            <w:pPr>
              <w:jc w:val="center"/>
              <w:textAlignment w:val="bottom"/>
            </w:pPr>
            <w:r>
              <w:rPr>
                <w:rFonts w:ascii="Arial" w:eastAsia="宋体" w:hAnsi="Arial" w:cs="Arial"/>
                <w:b/>
                <w:bCs/>
                <w:color w:val="000000"/>
                <w:sz w:val="11"/>
                <w:szCs w:val="11"/>
              </w:rPr>
              <w:t>Basel III Standardized Approach December 31, 2021</w:t>
            </w:r>
          </w:p>
        </w:tc>
      </w:tr>
      <w:tr w:rsidR="00980E5F" w14:paraId="392C9A53" w14:textId="77777777">
        <w:tc>
          <w:tcPr>
            <w:tcW w:w="0" w:type="auto"/>
            <w:gridSpan w:val="9"/>
            <w:shd w:val="clear" w:color="auto" w:fill="auto"/>
            <w:tcMar>
              <w:top w:w="40" w:type="dxa"/>
              <w:left w:w="20" w:type="dxa"/>
              <w:bottom w:w="40" w:type="dxa"/>
              <w:right w:w="20" w:type="dxa"/>
            </w:tcMar>
            <w:vAlign w:val="bottom"/>
          </w:tcPr>
          <w:p w14:paraId="392C9A43" w14:textId="77777777" w:rsidR="00980E5F" w:rsidRDefault="00483613">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5"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7"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9"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B"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4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4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5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A51"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A52" w14:textId="77777777" w:rsidR="00980E5F" w:rsidRDefault="00980E5F">
            <w:pPr>
              <w:rPr>
                <w:rFonts w:ascii="宋体"/>
              </w:rPr>
            </w:pPr>
          </w:p>
        </w:tc>
      </w:tr>
      <w:tr w:rsidR="00483613" w14:paraId="392C9A74" w14:textId="77777777">
        <w:tc>
          <w:tcPr>
            <w:tcW w:w="0" w:type="auto"/>
            <w:gridSpan w:val="9"/>
            <w:shd w:val="clear" w:color="auto" w:fill="CCEEFF"/>
            <w:tcMar>
              <w:top w:w="40" w:type="dxa"/>
              <w:left w:w="245" w:type="dxa"/>
              <w:bottom w:w="40" w:type="dxa"/>
              <w:right w:w="20" w:type="dxa"/>
            </w:tcMar>
            <w:vAlign w:val="bottom"/>
          </w:tcPr>
          <w:p w14:paraId="392C9A54" w14:textId="77777777" w:rsidR="00980E5F" w:rsidRDefault="00483613">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392C9A55"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A56" w14:textId="77777777" w:rsidR="00980E5F" w:rsidRDefault="00483613">
            <w:pPr>
              <w:jc w:val="right"/>
              <w:textAlignment w:val="bottom"/>
            </w:pPr>
            <w:r>
              <w:rPr>
                <w:rFonts w:ascii="Arial" w:eastAsia="宋体" w:hAnsi="Arial" w:cs="Arial"/>
                <w:b/>
                <w:bCs/>
                <w:color w:val="000000"/>
                <w:sz w:val="12"/>
                <w:szCs w:val="12"/>
              </w:rPr>
              <w:t>11,261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A5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5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59"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A5A" w14:textId="77777777" w:rsidR="00980E5F" w:rsidRDefault="00483613">
            <w:pPr>
              <w:jc w:val="right"/>
              <w:textAlignment w:val="bottom"/>
            </w:pPr>
            <w:r>
              <w:rPr>
                <w:rFonts w:ascii="Arial" w:eastAsia="宋体" w:hAnsi="Arial" w:cs="Arial"/>
                <w:b/>
                <w:bCs/>
                <w:color w:val="000000"/>
                <w:sz w:val="12"/>
                <w:szCs w:val="12"/>
              </w:rPr>
              <w:t>11,261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A5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5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5D"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A5E" w14:textId="77777777" w:rsidR="00980E5F" w:rsidRDefault="00483613">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392C9A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6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61"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A62" w14:textId="77777777" w:rsidR="00980E5F" w:rsidRDefault="00483613">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392C9A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64"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65"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A66" w14:textId="77777777" w:rsidR="00980E5F" w:rsidRDefault="00483613">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A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68"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69"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A6A" w14:textId="77777777" w:rsidR="00980E5F" w:rsidRDefault="00483613">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A6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6C"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6D"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A6E" w14:textId="77777777" w:rsidR="00980E5F" w:rsidRDefault="00483613">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392C9A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70"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A71"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A72" w14:textId="77777777" w:rsidR="00980E5F" w:rsidRDefault="00483613">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392C9A73" w14:textId="77777777" w:rsidR="00980E5F" w:rsidRDefault="00980E5F">
            <w:pPr>
              <w:jc w:val="right"/>
              <w:rPr>
                <w:rFonts w:ascii="宋体"/>
              </w:rPr>
            </w:pPr>
          </w:p>
        </w:tc>
      </w:tr>
      <w:tr w:rsidR="00980E5F" w14:paraId="392C9A8D" w14:textId="77777777">
        <w:tc>
          <w:tcPr>
            <w:tcW w:w="0" w:type="auto"/>
            <w:gridSpan w:val="9"/>
            <w:shd w:val="clear" w:color="auto" w:fill="FFFFFF"/>
            <w:tcMar>
              <w:top w:w="40" w:type="dxa"/>
              <w:left w:w="245" w:type="dxa"/>
              <w:bottom w:w="40" w:type="dxa"/>
              <w:right w:w="20" w:type="dxa"/>
            </w:tcMar>
            <w:vAlign w:val="bottom"/>
          </w:tcPr>
          <w:p w14:paraId="392C9A75" w14:textId="77777777" w:rsidR="00980E5F" w:rsidRDefault="00483613">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392C9A76" w14:textId="77777777" w:rsidR="00980E5F" w:rsidRDefault="00483613">
            <w:pPr>
              <w:jc w:val="right"/>
              <w:textAlignment w:val="bottom"/>
            </w:pPr>
            <w:r>
              <w:rPr>
                <w:rFonts w:ascii="Arial" w:eastAsia="宋体" w:hAnsi="Arial" w:cs="Arial"/>
                <w:b/>
                <w:bCs/>
                <w:color w:val="000000"/>
                <w:sz w:val="12"/>
                <w:szCs w:val="12"/>
              </w:rPr>
              <w:t>26,115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79" w14:textId="77777777" w:rsidR="00980E5F" w:rsidRDefault="00483613">
            <w:pPr>
              <w:jc w:val="right"/>
              <w:textAlignment w:val="bottom"/>
            </w:pPr>
            <w:r>
              <w:rPr>
                <w:rFonts w:ascii="Arial" w:eastAsia="宋体" w:hAnsi="Arial" w:cs="Arial"/>
                <w:b/>
                <w:bCs/>
                <w:color w:val="000000"/>
                <w:sz w:val="12"/>
                <w:szCs w:val="12"/>
              </w:rPr>
              <w:t>26,115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7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7C" w14:textId="77777777" w:rsidR="00980E5F" w:rsidRDefault="00483613">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392C9A7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7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7F" w14:textId="77777777" w:rsidR="00980E5F" w:rsidRDefault="00483613">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392C9A8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8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82" w14:textId="77777777" w:rsidR="00980E5F" w:rsidRDefault="00483613">
            <w:pPr>
              <w:jc w:val="right"/>
              <w:textAlignment w:val="bottom"/>
            </w:pPr>
            <w:r>
              <w:rPr>
                <w:rFonts w:ascii="Arial" w:eastAsia="宋体" w:hAnsi="Arial" w:cs="Arial"/>
                <w:b/>
                <w:bCs/>
                <w:color w:val="000000"/>
                <w:sz w:val="12"/>
                <w:szCs w:val="12"/>
              </w:rPr>
              <w:t>17,025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8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8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85" w14:textId="77777777" w:rsidR="00980E5F" w:rsidRDefault="00483613">
            <w:pPr>
              <w:jc w:val="right"/>
              <w:textAlignment w:val="bottom"/>
            </w:pPr>
            <w:r>
              <w:rPr>
                <w:rFonts w:ascii="Arial" w:eastAsia="宋体" w:hAnsi="Arial" w:cs="Arial"/>
                <w:b/>
                <w:bCs/>
                <w:color w:val="000000"/>
                <w:sz w:val="12"/>
                <w:szCs w:val="12"/>
              </w:rPr>
              <w:t>17,025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8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8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88" w14:textId="77777777" w:rsidR="00980E5F" w:rsidRDefault="00483613">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392C9A8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8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8B" w14:textId="77777777" w:rsidR="00980E5F" w:rsidRDefault="00483613">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392C9A8C" w14:textId="77777777" w:rsidR="00980E5F" w:rsidRDefault="00980E5F">
            <w:pPr>
              <w:jc w:val="right"/>
              <w:rPr>
                <w:rFonts w:ascii="宋体"/>
              </w:rPr>
            </w:pPr>
          </w:p>
        </w:tc>
      </w:tr>
      <w:tr w:rsidR="00980E5F" w14:paraId="392C9AA6" w14:textId="77777777">
        <w:tc>
          <w:tcPr>
            <w:tcW w:w="0" w:type="auto"/>
            <w:gridSpan w:val="9"/>
            <w:shd w:val="clear" w:color="auto" w:fill="CCEEFF"/>
            <w:tcMar>
              <w:top w:w="40" w:type="dxa"/>
              <w:left w:w="245" w:type="dxa"/>
              <w:bottom w:w="40" w:type="dxa"/>
              <w:right w:w="20" w:type="dxa"/>
            </w:tcMar>
            <w:vAlign w:val="bottom"/>
          </w:tcPr>
          <w:p w14:paraId="392C9A8E" w14:textId="77777777" w:rsidR="00980E5F" w:rsidRDefault="00483613">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392C9A8F" w14:textId="77777777" w:rsidR="00980E5F" w:rsidRDefault="00483613">
            <w:pPr>
              <w:jc w:val="right"/>
              <w:textAlignment w:val="bottom"/>
            </w:pPr>
            <w:r>
              <w:rPr>
                <w:rFonts w:ascii="Arial" w:eastAsia="宋体" w:hAnsi="Arial" w:cs="Arial"/>
                <w:b/>
                <w:bCs/>
                <w:color w:val="000000"/>
                <w:sz w:val="12"/>
                <w:szCs w:val="12"/>
              </w:rPr>
              <w:t>(3,687)</w:t>
            </w:r>
          </w:p>
        </w:tc>
        <w:tc>
          <w:tcPr>
            <w:tcW w:w="0" w:type="auto"/>
            <w:shd w:val="clear" w:color="auto" w:fill="CCEEFF"/>
            <w:tcMar>
              <w:top w:w="40" w:type="dxa"/>
              <w:left w:w="0" w:type="dxa"/>
              <w:bottom w:w="40" w:type="dxa"/>
              <w:right w:w="20" w:type="dxa"/>
            </w:tcMar>
            <w:vAlign w:val="bottom"/>
          </w:tcPr>
          <w:p w14:paraId="392C9A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9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92" w14:textId="77777777" w:rsidR="00980E5F" w:rsidRDefault="00483613">
            <w:pPr>
              <w:jc w:val="right"/>
              <w:textAlignment w:val="bottom"/>
            </w:pPr>
            <w:r>
              <w:rPr>
                <w:rFonts w:ascii="Arial" w:eastAsia="宋体" w:hAnsi="Arial" w:cs="Arial"/>
                <w:b/>
                <w:bCs/>
                <w:color w:val="000000"/>
                <w:sz w:val="12"/>
                <w:szCs w:val="12"/>
              </w:rPr>
              <w:t>(3,687)</w:t>
            </w:r>
          </w:p>
        </w:tc>
        <w:tc>
          <w:tcPr>
            <w:tcW w:w="0" w:type="auto"/>
            <w:shd w:val="clear" w:color="auto" w:fill="CCEEFF"/>
            <w:tcMar>
              <w:top w:w="40" w:type="dxa"/>
              <w:left w:w="0" w:type="dxa"/>
              <w:bottom w:w="40" w:type="dxa"/>
              <w:right w:w="20" w:type="dxa"/>
            </w:tcMar>
            <w:vAlign w:val="bottom"/>
          </w:tcPr>
          <w:p w14:paraId="392C9A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95" w14:textId="77777777" w:rsidR="00980E5F" w:rsidRDefault="00483613">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392C9A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98" w14:textId="77777777" w:rsidR="00980E5F" w:rsidRDefault="00483613">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392C9A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9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9B" w14:textId="77777777" w:rsidR="00980E5F" w:rsidRDefault="00483613">
            <w:pPr>
              <w:jc w:val="right"/>
              <w:textAlignment w:val="bottom"/>
            </w:pPr>
            <w:r>
              <w:rPr>
                <w:rFonts w:ascii="Arial" w:eastAsia="宋体" w:hAnsi="Arial" w:cs="Arial"/>
                <w:b/>
                <w:bCs/>
                <w:color w:val="000000"/>
                <w:sz w:val="12"/>
                <w:szCs w:val="12"/>
              </w:rPr>
              <w:t>(3,410)</w:t>
            </w:r>
          </w:p>
        </w:tc>
        <w:tc>
          <w:tcPr>
            <w:tcW w:w="0" w:type="auto"/>
            <w:shd w:val="clear" w:color="auto" w:fill="CCEEFF"/>
            <w:tcMar>
              <w:top w:w="40" w:type="dxa"/>
              <w:left w:w="0" w:type="dxa"/>
              <w:bottom w:w="40" w:type="dxa"/>
              <w:right w:w="20" w:type="dxa"/>
            </w:tcMar>
            <w:vAlign w:val="bottom"/>
          </w:tcPr>
          <w:p w14:paraId="392C9A9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9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9E" w14:textId="77777777" w:rsidR="00980E5F" w:rsidRDefault="00483613">
            <w:pPr>
              <w:jc w:val="right"/>
              <w:textAlignment w:val="bottom"/>
            </w:pPr>
            <w:r>
              <w:rPr>
                <w:rFonts w:ascii="Arial" w:eastAsia="宋体" w:hAnsi="Arial" w:cs="Arial"/>
                <w:b/>
                <w:bCs/>
                <w:color w:val="000000"/>
                <w:sz w:val="12"/>
                <w:szCs w:val="12"/>
              </w:rPr>
              <w:t>(3,410)</w:t>
            </w:r>
          </w:p>
        </w:tc>
        <w:tc>
          <w:tcPr>
            <w:tcW w:w="0" w:type="auto"/>
            <w:shd w:val="clear" w:color="auto" w:fill="CCEEFF"/>
            <w:tcMar>
              <w:top w:w="40" w:type="dxa"/>
              <w:left w:w="0" w:type="dxa"/>
              <w:bottom w:w="40" w:type="dxa"/>
              <w:right w:w="20" w:type="dxa"/>
            </w:tcMar>
            <w:vAlign w:val="bottom"/>
          </w:tcPr>
          <w:p w14:paraId="392C9A9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A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A1" w14:textId="77777777" w:rsidR="00980E5F" w:rsidRDefault="00483613">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392C9A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A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A4" w14:textId="77777777" w:rsidR="00980E5F" w:rsidRDefault="00483613">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392C9AA5" w14:textId="77777777" w:rsidR="00980E5F" w:rsidRDefault="00980E5F">
            <w:pPr>
              <w:jc w:val="right"/>
              <w:rPr>
                <w:rFonts w:ascii="宋体"/>
              </w:rPr>
            </w:pPr>
          </w:p>
        </w:tc>
      </w:tr>
      <w:tr w:rsidR="00980E5F" w14:paraId="392C9ABF" w14:textId="77777777">
        <w:tc>
          <w:tcPr>
            <w:tcW w:w="0" w:type="auto"/>
            <w:gridSpan w:val="9"/>
            <w:shd w:val="clear" w:color="auto" w:fill="FFFFFF"/>
            <w:tcMar>
              <w:top w:w="40" w:type="dxa"/>
              <w:left w:w="245" w:type="dxa"/>
              <w:bottom w:w="40" w:type="dxa"/>
              <w:right w:w="20" w:type="dxa"/>
            </w:tcMar>
            <w:vAlign w:val="bottom"/>
          </w:tcPr>
          <w:p w14:paraId="392C9AA7" w14:textId="77777777" w:rsidR="00980E5F" w:rsidRDefault="00483613">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392C9AA8" w14:textId="77777777" w:rsidR="00980E5F" w:rsidRDefault="00483613">
            <w:pPr>
              <w:jc w:val="right"/>
              <w:textAlignment w:val="bottom"/>
            </w:pPr>
            <w:r>
              <w:rPr>
                <w:rFonts w:ascii="Arial" w:eastAsia="宋体" w:hAnsi="Arial" w:cs="Arial"/>
                <w:b/>
                <w:bCs/>
                <w:color w:val="000000"/>
                <w:sz w:val="12"/>
                <w:szCs w:val="12"/>
              </w:rPr>
              <w:t>(9,898)</w:t>
            </w:r>
          </w:p>
        </w:tc>
        <w:tc>
          <w:tcPr>
            <w:tcW w:w="0" w:type="auto"/>
            <w:shd w:val="clear" w:color="auto" w:fill="FFFFFF"/>
            <w:tcMar>
              <w:top w:w="40" w:type="dxa"/>
              <w:left w:w="0" w:type="dxa"/>
              <w:bottom w:w="40" w:type="dxa"/>
              <w:right w:w="20" w:type="dxa"/>
            </w:tcMar>
            <w:vAlign w:val="bottom"/>
          </w:tcPr>
          <w:p w14:paraId="392C9A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AB" w14:textId="77777777" w:rsidR="00980E5F" w:rsidRDefault="00483613">
            <w:pPr>
              <w:jc w:val="right"/>
              <w:textAlignment w:val="bottom"/>
            </w:pPr>
            <w:r>
              <w:rPr>
                <w:rFonts w:ascii="Arial" w:eastAsia="宋体" w:hAnsi="Arial" w:cs="Arial"/>
                <w:b/>
                <w:bCs/>
                <w:color w:val="000000"/>
                <w:sz w:val="12"/>
                <w:szCs w:val="12"/>
              </w:rPr>
              <w:t>(9,898)</w:t>
            </w:r>
          </w:p>
        </w:tc>
        <w:tc>
          <w:tcPr>
            <w:tcW w:w="0" w:type="auto"/>
            <w:shd w:val="clear" w:color="auto" w:fill="FFFFFF"/>
            <w:tcMar>
              <w:top w:w="40" w:type="dxa"/>
              <w:left w:w="0" w:type="dxa"/>
              <w:bottom w:w="40" w:type="dxa"/>
              <w:right w:w="20" w:type="dxa"/>
            </w:tcMar>
            <w:vAlign w:val="bottom"/>
          </w:tcPr>
          <w:p w14:paraId="392C9A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AE" w14:textId="77777777" w:rsidR="00980E5F" w:rsidRDefault="00483613">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392C9A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B1" w14:textId="77777777" w:rsidR="00980E5F" w:rsidRDefault="00483613">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392C9A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B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B4"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B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B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B7"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B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B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BA"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AB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ABD"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ABE" w14:textId="77777777" w:rsidR="00980E5F" w:rsidRDefault="00980E5F">
            <w:pPr>
              <w:jc w:val="right"/>
              <w:rPr>
                <w:rFonts w:ascii="宋体"/>
              </w:rPr>
            </w:pPr>
          </w:p>
        </w:tc>
      </w:tr>
      <w:tr w:rsidR="00980E5F" w14:paraId="392C9AD8" w14:textId="77777777">
        <w:tc>
          <w:tcPr>
            <w:tcW w:w="0" w:type="auto"/>
            <w:gridSpan w:val="9"/>
            <w:shd w:val="clear" w:color="auto" w:fill="CCEEFF"/>
            <w:tcMar>
              <w:top w:w="40" w:type="dxa"/>
              <w:left w:w="155" w:type="dxa"/>
              <w:bottom w:w="40" w:type="dxa"/>
              <w:right w:w="20" w:type="dxa"/>
            </w:tcMar>
            <w:vAlign w:val="bottom"/>
          </w:tcPr>
          <w:p w14:paraId="392C9AC0" w14:textId="77777777" w:rsidR="00980E5F" w:rsidRDefault="00483613">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C1" w14:textId="77777777" w:rsidR="00980E5F" w:rsidRDefault="00483613">
            <w:pPr>
              <w:jc w:val="right"/>
              <w:textAlignment w:val="bottom"/>
            </w:pPr>
            <w:r>
              <w:rPr>
                <w:rFonts w:ascii="Arial" w:eastAsia="宋体" w:hAnsi="Arial" w:cs="Arial"/>
                <w:b/>
                <w:bCs/>
                <w:color w:val="000000"/>
                <w:sz w:val="12"/>
                <w:szCs w:val="12"/>
              </w:rPr>
              <w:t>23,791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C3"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C4" w14:textId="77777777" w:rsidR="00980E5F" w:rsidRDefault="00483613">
            <w:pPr>
              <w:jc w:val="right"/>
              <w:textAlignment w:val="bottom"/>
            </w:pPr>
            <w:r>
              <w:rPr>
                <w:rFonts w:ascii="Arial" w:eastAsia="宋体" w:hAnsi="Arial" w:cs="Arial"/>
                <w:b/>
                <w:bCs/>
                <w:color w:val="000000"/>
                <w:sz w:val="12"/>
                <w:szCs w:val="12"/>
              </w:rPr>
              <w:t>23,791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C6"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C7" w14:textId="77777777" w:rsidR="00980E5F" w:rsidRDefault="00483613">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C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CA" w14:textId="77777777" w:rsidR="00980E5F" w:rsidRDefault="00483613">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C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CD" w14:textId="77777777" w:rsidR="00980E5F" w:rsidRDefault="00483613">
            <w:pPr>
              <w:jc w:val="right"/>
              <w:textAlignment w:val="bottom"/>
            </w:pPr>
            <w:r>
              <w:rPr>
                <w:rFonts w:ascii="Arial" w:eastAsia="宋体" w:hAnsi="Arial" w:cs="Arial"/>
                <w:b/>
                <w:bCs/>
                <w:color w:val="000000"/>
                <w:sz w:val="12"/>
                <w:szCs w:val="12"/>
              </w:rPr>
              <w:t>26,648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C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D0" w14:textId="77777777" w:rsidR="00980E5F" w:rsidRDefault="00483613">
            <w:pPr>
              <w:jc w:val="right"/>
              <w:textAlignment w:val="bottom"/>
            </w:pPr>
            <w:r>
              <w:rPr>
                <w:rFonts w:ascii="Arial" w:eastAsia="宋体" w:hAnsi="Arial" w:cs="Arial"/>
                <w:b/>
                <w:bCs/>
                <w:color w:val="000000"/>
                <w:sz w:val="12"/>
                <w:szCs w:val="12"/>
              </w:rPr>
              <w:t>26,648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D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D3" w14:textId="77777777" w:rsidR="00980E5F" w:rsidRDefault="00483613">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D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AD6" w14:textId="77777777" w:rsidR="00980E5F" w:rsidRDefault="00483613">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AD7" w14:textId="77777777" w:rsidR="00980E5F" w:rsidRDefault="00980E5F">
            <w:pPr>
              <w:jc w:val="right"/>
              <w:rPr>
                <w:rFonts w:ascii="宋体"/>
              </w:rPr>
            </w:pPr>
          </w:p>
        </w:tc>
      </w:tr>
      <w:tr w:rsidR="00980E5F" w14:paraId="392C9AE9" w14:textId="77777777">
        <w:tc>
          <w:tcPr>
            <w:tcW w:w="0" w:type="auto"/>
            <w:gridSpan w:val="9"/>
            <w:shd w:val="clear" w:color="auto" w:fill="FFFFFF"/>
            <w:tcMar>
              <w:top w:w="40" w:type="dxa"/>
              <w:left w:w="155" w:type="dxa"/>
              <w:bottom w:w="40" w:type="dxa"/>
              <w:right w:w="20" w:type="dxa"/>
            </w:tcMar>
            <w:vAlign w:val="bottom"/>
          </w:tcPr>
          <w:p w14:paraId="392C9AD9" w14:textId="77777777" w:rsidR="00980E5F" w:rsidRDefault="00483613">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392C9AD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D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D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D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D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D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AE8" w14:textId="77777777" w:rsidR="00980E5F" w:rsidRDefault="00980E5F">
            <w:pPr>
              <w:rPr>
                <w:rFonts w:ascii="宋体"/>
              </w:rPr>
            </w:pPr>
          </w:p>
        </w:tc>
      </w:tr>
      <w:tr w:rsidR="00980E5F" w14:paraId="392C9B02" w14:textId="77777777">
        <w:tc>
          <w:tcPr>
            <w:tcW w:w="0" w:type="auto"/>
            <w:gridSpan w:val="9"/>
            <w:shd w:val="clear" w:color="auto" w:fill="CCEEFF"/>
            <w:tcMar>
              <w:top w:w="40" w:type="dxa"/>
              <w:left w:w="245" w:type="dxa"/>
              <w:bottom w:w="40" w:type="dxa"/>
              <w:right w:w="20" w:type="dxa"/>
            </w:tcMar>
            <w:vAlign w:val="bottom"/>
          </w:tcPr>
          <w:p w14:paraId="392C9AEA" w14:textId="77777777" w:rsidR="00980E5F" w:rsidRDefault="00483613">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392C9AEB" w14:textId="77777777" w:rsidR="00980E5F" w:rsidRDefault="00483613">
            <w:pPr>
              <w:jc w:val="right"/>
              <w:textAlignment w:val="bottom"/>
            </w:pPr>
            <w:r>
              <w:rPr>
                <w:rFonts w:ascii="Arial" w:eastAsia="宋体" w:hAnsi="Arial" w:cs="Arial"/>
                <w:b/>
                <w:bCs/>
                <w:color w:val="000000"/>
                <w:sz w:val="12"/>
                <w:szCs w:val="12"/>
              </w:rPr>
              <w:t>(8,628)</w:t>
            </w:r>
          </w:p>
        </w:tc>
        <w:tc>
          <w:tcPr>
            <w:tcW w:w="0" w:type="auto"/>
            <w:shd w:val="clear" w:color="auto" w:fill="CCEEFF"/>
            <w:tcMar>
              <w:top w:w="40" w:type="dxa"/>
              <w:left w:w="0" w:type="dxa"/>
              <w:bottom w:w="40" w:type="dxa"/>
              <w:right w:w="20" w:type="dxa"/>
            </w:tcMar>
            <w:vAlign w:val="bottom"/>
          </w:tcPr>
          <w:p w14:paraId="392C9A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E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EE" w14:textId="77777777" w:rsidR="00980E5F" w:rsidRDefault="00483613">
            <w:pPr>
              <w:jc w:val="right"/>
              <w:textAlignment w:val="bottom"/>
            </w:pPr>
            <w:r>
              <w:rPr>
                <w:rFonts w:ascii="Arial" w:eastAsia="宋体" w:hAnsi="Arial" w:cs="Arial"/>
                <w:b/>
                <w:bCs/>
                <w:color w:val="000000"/>
                <w:sz w:val="12"/>
                <w:szCs w:val="12"/>
              </w:rPr>
              <w:t>(8,628)</w:t>
            </w:r>
          </w:p>
        </w:tc>
        <w:tc>
          <w:tcPr>
            <w:tcW w:w="0" w:type="auto"/>
            <w:shd w:val="clear" w:color="auto" w:fill="CCEEFF"/>
            <w:tcMar>
              <w:top w:w="40" w:type="dxa"/>
              <w:left w:w="0" w:type="dxa"/>
              <w:bottom w:w="40" w:type="dxa"/>
              <w:right w:w="20" w:type="dxa"/>
            </w:tcMar>
            <w:vAlign w:val="bottom"/>
          </w:tcPr>
          <w:p w14:paraId="392C9A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F1" w14:textId="77777777" w:rsidR="00980E5F" w:rsidRDefault="00483613">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392C9AF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F4" w14:textId="77777777" w:rsidR="00980E5F" w:rsidRDefault="00483613">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392C9A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F7" w14:textId="77777777" w:rsidR="00980E5F" w:rsidRDefault="00483613">
            <w:pPr>
              <w:jc w:val="right"/>
              <w:textAlignment w:val="bottom"/>
            </w:pPr>
            <w:r>
              <w:rPr>
                <w:rFonts w:ascii="Arial" w:eastAsia="宋体" w:hAnsi="Arial" w:cs="Arial"/>
                <w:b/>
                <w:bCs/>
                <w:color w:val="000000"/>
                <w:sz w:val="12"/>
                <w:szCs w:val="12"/>
              </w:rPr>
              <w:t>(8,370)</w:t>
            </w:r>
          </w:p>
        </w:tc>
        <w:tc>
          <w:tcPr>
            <w:tcW w:w="0" w:type="auto"/>
            <w:shd w:val="clear" w:color="auto" w:fill="CCEEFF"/>
            <w:tcMar>
              <w:top w:w="40" w:type="dxa"/>
              <w:left w:w="0" w:type="dxa"/>
              <w:bottom w:w="40" w:type="dxa"/>
              <w:right w:w="20" w:type="dxa"/>
            </w:tcMar>
            <w:vAlign w:val="bottom"/>
          </w:tcPr>
          <w:p w14:paraId="392C9A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FA" w14:textId="77777777" w:rsidR="00980E5F" w:rsidRDefault="00483613">
            <w:pPr>
              <w:jc w:val="right"/>
              <w:textAlignment w:val="bottom"/>
            </w:pPr>
            <w:r>
              <w:rPr>
                <w:rFonts w:ascii="Arial" w:eastAsia="宋体" w:hAnsi="Arial" w:cs="Arial"/>
                <w:b/>
                <w:bCs/>
                <w:color w:val="000000"/>
                <w:sz w:val="12"/>
                <w:szCs w:val="12"/>
              </w:rPr>
              <w:t>(8,370)</w:t>
            </w:r>
          </w:p>
        </w:tc>
        <w:tc>
          <w:tcPr>
            <w:tcW w:w="0" w:type="auto"/>
            <w:shd w:val="clear" w:color="auto" w:fill="CCEEFF"/>
            <w:tcMar>
              <w:top w:w="40" w:type="dxa"/>
              <w:left w:w="0" w:type="dxa"/>
              <w:bottom w:w="40" w:type="dxa"/>
              <w:right w:w="20" w:type="dxa"/>
            </w:tcMar>
            <w:vAlign w:val="bottom"/>
          </w:tcPr>
          <w:p w14:paraId="392C9A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AFD" w14:textId="77777777" w:rsidR="00980E5F" w:rsidRDefault="00483613">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392C9A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AF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00" w14:textId="77777777" w:rsidR="00980E5F" w:rsidRDefault="00483613">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392C9B01" w14:textId="77777777" w:rsidR="00980E5F" w:rsidRDefault="00980E5F">
            <w:pPr>
              <w:jc w:val="right"/>
              <w:rPr>
                <w:rFonts w:ascii="宋体"/>
              </w:rPr>
            </w:pPr>
          </w:p>
        </w:tc>
      </w:tr>
      <w:tr w:rsidR="00980E5F" w14:paraId="392C9B1B" w14:textId="77777777">
        <w:tc>
          <w:tcPr>
            <w:tcW w:w="0" w:type="auto"/>
            <w:gridSpan w:val="9"/>
            <w:shd w:val="clear" w:color="auto" w:fill="FFFFFF"/>
            <w:tcMar>
              <w:top w:w="40" w:type="dxa"/>
              <w:left w:w="20" w:type="dxa"/>
              <w:bottom w:w="40" w:type="dxa"/>
              <w:right w:w="20" w:type="dxa"/>
            </w:tcMar>
            <w:vAlign w:val="bottom"/>
          </w:tcPr>
          <w:p w14:paraId="392C9B03" w14:textId="77777777" w:rsidR="00980E5F" w:rsidRDefault="00483613">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392C9B04" w14:textId="77777777" w:rsidR="00980E5F" w:rsidRDefault="00483613">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392C9B0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0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07" w14:textId="77777777" w:rsidR="00980E5F" w:rsidRDefault="00483613">
            <w:pPr>
              <w:jc w:val="right"/>
              <w:textAlignment w:val="bottom"/>
            </w:pPr>
            <w:r>
              <w:rPr>
                <w:rFonts w:ascii="Arial" w:eastAsia="宋体" w:hAnsi="Arial" w:cs="Arial"/>
                <w:b/>
                <w:bCs/>
                <w:color w:val="000000"/>
                <w:sz w:val="12"/>
                <w:szCs w:val="12"/>
              </w:rPr>
              <w:t>(281)</w:t>
            </w:r>
          </w:p>
        </w:tc>
        <w:tc>
          <w:tcPr>
            <w:tcW w:w="0" w:type="auto"/>
            <w:shd w:val="clear" w:color="auto" w:fill="FFFFFF"/>
            <w:tcMar>
              <w:top w:w="40" w:type="dxa"/>
              <w:left w:w="0" w:type="dxa"/>
              <w:bottom w:w="40" w:type="dxa"/>
              <w:right w:w="20" w:type="dxa"/>
            </w:tcMar>
            <w:vAlign w:val="bottom"/>
          </w:tcPr>
          <w:p w14:paraId="392C9B0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0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0A" w14:textId="77777777" w:rsidR="00980E5F" w:rsidRDefault="00483613">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392C9B0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0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0D" w14:textId="77777777" w:rsidR="00980E5F" w:rsidRDefault="00483613">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392C9B0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0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10" w14:textId="77777777" w:rsidR="00980E5F" w:rsidRDefault="00483613">
            <w:pPr>
              <w:jc w:val="right"/>
              <w:textAlignment w:val="bottom"/>
            </w:pPr>
            <w:r>
              <w:rPr>
                <w:rFonts w:ascii="Arial" w:eastAsia="宋体" w:hAnsi="Arial" w:cs="Arial"/>
                <w:b/>
                <w:bCs/>
                <w:color w:val="000000"/>
                <w:sz w:val="12"/>
                <w:szCs w:val="12"/>
              </w:rPr>
              <w:t>(104)</w:t>
            </w:r>
          </w:p>
        </w:tc>
        <w:tc>
          <w:tcPr>
            <w:tcW w:w="0" w:type="auto"/>
            <w:shd w:val="clear" w:color="auto" w:fill="FFFFFF"/>
            <w:tcMar>
              <w:top w:w="40" w:type="dxa"/>
              <w:left w:w="0" w:type="dxa"/>
              <w:bottom w:w="40" w:type="dxa"/>
              <w:right w:w="20" w:type="dxa"/>
            </w:tcMar>
            <w:vAlign w:val="bottom"/>
          </w:tcPr>
          <w:p w14:paraId="392C9B1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1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13" w14:textId="77777777" w:rsidR="00980E5F" w:rsidRDefault="00483613">
            <w:pPr>
              <w:jc w:val="right"/>
              <w:textAlignment w:val="bottom"/>
            </w:pPr>
            <w:r>
              <w:rPr>
                <w:rFonts w:ascii="Arial" w:eastAsia="宋体" w:hAnsi="Arial" w:cs="Arial"/>
                <w:b/>
                <w:bCs/>
                <w:color w:val="000000"/>
                <w:sz w:val="12"/>
                <w:szCs w:val="12"/>
              </w:rPr>
              <w:t>(104)</w:t>
            </w:r>
          </w:p>
        </w:tc>
        <w:tc>
          <w:tcPr>
            <w:tcW w:w="0" w:type="auto"/>
            <w:shd w:val="clear" w:color="auto" w:fill="FFFFFF"/>
            <w:tcMar>
              <w:top w:w="40" w:type="dxa"/>
              <w:left w:w="0" w:type="dxa"/>
              <w:bottom w:w="40" w:type="dxa"/>
              <w:right w:w="20" w:type="dxa"/>
            </w:tcMar>
            <w:vAlign w:val="bottom"/>
          </w:tcPr>
          <w:p w14:paraId="392C9B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16" w14:textId="77777777" w:rsidR="00980E5F" w:rsidRDefault="00483613">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392C9B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B19" w14:textId="77777777" w:rsidR="00980E5F" w:rsidRDefault="00483613">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392C9B1A" w14:textId="77777777" w:rsidR="00980E5F" w:rsidRDefault="00980E5F">
            <w:pPr>
              <w:jc w:val="right"/>
              <w:rPr>
                <w:rFonts w:ascii="宋体"/>
              </w:rPr>
            </w:pPr>
          </w:p>
        </w:tc>
      </w:tr>
      <w:tr w:rsidR="00980E5F" w14:paraId="392C9B34" w14:textId="77777777">
        <w:tc>
          <w:tcPr>
            <w:tcW w:w="0" w:type="auto"/>
            <w:gridSpan w:val="9"/>
            <w:shd w:val="clear" w:color="auto" w:fill="CCEEFF"/>
            <w:tcMar>
              <w:top w:w="40" w:type="dxa"/>
              <w:left w:w="20" w:type="dxa"/>
              <w:bottom w:w="40" w:type="dxa"/>
              <w:right w:w="20" w:type="dxa"/>
            </w:tcMar>
            <w:vAlign w:val="bottom"/>
          </w:tcPr>
          <w:p w14:paraId="392C9B1C" w14:textId="77777777" w:rsidR="00980E5F" w:rsidRDefault="00483613">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1D" w14:textId="77777777" w:rsidR="00980E5F" w:rsidRDefault="00483613">
            <w:pPr>
              <w:jc w:val="right"/>
              <w:textAlignment w:val="bottom"/>
            </w:pPr>
            <w:r>
              <w:rPr>
                <w:rFonts w:ascii="Arial" w:eastAsia="宋体" w:hAnsi="Arial" w:cs="Arial"/>
                <w:b/>
                <w:bCs/>
                <w:color w:val="000000"/>
                <w:sz w:val="12"/>
                <w:szCs w:val="12"/>
              </w:rPr>
              <w:t>14,882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1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1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0" w14:textId="77777777" w:rsidR="00980E5F" w:rsidRDefault="00483613">
            <w:pPr>
              <w:jc w:val="right"/>
              <w:textAlignment w:val="bottom"/>
            </w:pPr>
            <w:r>
              <w:rPr>
                <w:rFonts w:ascii="Arial" w:eastAsia="宋体" w:hAnsi="Arial" w:cs="Arial"/>
                <w:b/>
                <w:bCs/>
                <w:color w:val="000000"/>
                <w:sz w:val="12"/>
                <w:szCs w:val="12"/>
              </w:rPr>
              <w:t>14,882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2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2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3" w14:textId="77777777" w:rsidR="00980E5F" w:rsidRDefault="00483613">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2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6" w14:textId="77777777" w:rsidR="00980E5F" w:rsidRDefault="00483613">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2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9"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2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C"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2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2F"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3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32"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33" w14:textId="77777777" w:rsidR="00980E5F" w:rsidRDefault="00980E5F">
            <w:pPr>
              <w:jc w:val="right"/>
              <w:rPr>
                <w:rFonts w:ascii="宋体"/>
              </w:rPr>
            </w:pPr>
          </w:p>
        </w:tc>
      </w:tr>
      <w:tr w:rsidR="00980E5F" w14:paraId="392C9B4D" w14:textId="77777777">
        <w:tc>
          <w:tcPr>
            <w:tcW w:w="0" w:type="auto"/>
            <w:gridSpan w:val="9"/>
            <w:shd w:val="clear" w:color="auto" w:fill="FFFFFF"/>
            <w:tcMar>
              <w:top w:w="40" w:type="dxa"/>
              <w:left w:w="245" w:type="dxa"/>
              <w:bottom w:w="40" w:type="dxa"/>
              <w:right w:w="20" w:type="dxa"/>
            </w:tcMar>
            <w:vAlign w:val="bottom"/>
          </w:tcPr>
          <w:p w14:paraId="392C9B35" w14:textId="77777777" w:rsidR="00980E5F" w:rsidRDefault="00483613">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36" w14:textId="77777777" w:rsidR="00980E5F" w:rsidRDefault="00483613">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3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39" w14:textId="77777777" w:rsidR="00980E5F" w:rsidRDefault="00483613">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3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3C" w14:textId="77777777" w:rsidR="00980E5F" w:rsidRDefault="00483613">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3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3F" w14:textId="77777777" w:rsidR="00980E5F" w:rsidRDefault="00483613">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4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4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42"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4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45"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4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48" w14:textId="77777777" w:rsidR="00980E5F" w:rsidRDefault="00483613">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4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4B" w14:textId="77777777" w:rsidR="00980E5F" w:rsidRDefault="00483613">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4C" w14:textId="77777777" w:rsidR="00980E5F" w:rsidRDefault="00980E5F">
            <w:pPr>
              <w:jc w:val="right"/>
              <w:rPr>
                <w:rFonts w:ascii="宋体"/>
              </w:rPr>
            </w:pPr>
          </w:p>
        </w:tc>
      </w:tr>
      <w:tr w:rsidR="00980E5F" w14:paraId="392C9B64" w14:textId="77777777">
        <w:trPr>
          <w:hidden/>
        </w:trPr>
        <w:tc>
          <w:tcPr>
            <w:tcW w:w="0" w:type="auto"/>
            <w:gridSpan w:val="3"/>
            <w:shd w:val="clear" w:color="auto" w:fill="auto"/>
            <w:vAlign w:val="bottom"/>
          </w:tcPr>
          <w:p w14:paraId="392C9B4E" w14:textId="77777777" w:rsidR="00980E5F" w:rsidRDefault="00980E5F">
            <w:pPr>
              <w:rPr>
                <w:rFonts w:ascii="宋体"/>
                <w:vanish/>
              </w:rPr>
            </w:pPr>
          </w:p>
        </w:tc>
        <w:tc>
          <w:tcPr>
            <w:tcW w:w="0" w:type="auto"/>
            <w:gridSpan w:val="3"/>
            <w:shd w:val="clear" w:color="auto" w:fill="auto"/>
            <w:vAlign w:val="bottom"/>
          </w:tcPr>
          <w:p w14:paraId="392C9B4F" w14:textId="77777777" w:rsidR="00980E5F" w:rsidRDefault="00980E5F">
            <w:pPr>
              <w:rPr>
                <w:rFonts w:ascii="宋体"/>
                <w:vanish/>
              </w:rPr>
            </w:pPr>
          </w:p>
        </w:tc>
        <w:tc>
          <w:tcPr>
            <w:tcW w:w="0" w:type="auto"/>
            <w:gridSpan w:val="3"/>
            <w:shd w:val="clear" w:color="auto" w:fill="auto"/>
            <w:vAlign w:val="bottom"/>
          </w:tcPr>
          <w:p w14:paraId="392C9B50" w14:textId="77777777" w:rsidR="00980E5F" w:rsidRDefault="00980E5F">
            <w:pPr>
              <w:rPr>
                <w:rFonts w:ascii="宋体"/>
                <w:vanish/>
              </w:rPr>
            </w:pPr>
          </w:p>
        </w:tc>
        <w:tc>
          <w:tcPr>
            <w:tcW w:w="0" w:type="auto"/>
            <w:gridSpan w:val="3"/>
            <w:shd w:val="clear" w:color="auto" w:fill="auto"/>
            <w:vAlign w:val="bottom"/>
          </w:tcPr>
          <w:p w14:paraId="392C9B51" w14:textId="77777777" w:rsidR="00980E5F" w:rsidRDefault="00980E5F">
            <w:pPr>
              <w:rPr>
                <w:rFonts w:ascii="宋体"/>
                <w:vanish/>
              </w:rPr>
            </w:pPr>
          </w:p>
        </w:tc>
        <w:tc>
          <w:tcPr>
            <w:tcW w:w="0" w:type="auto"/>
            <w:gridSpan w:val="3"/>
            <w:shd w:val="clear" w:color="auto" w:fill="auto"/>
            <w:vAlign w:val="bottom"/>
          </w:tcPr>
          <w:p w14:paraId="392C9B52" w14:textId="77777777" w:rsidR="00980E5F" w:rsidRDefault="00980E5F">
            <w:pPr>
              <w:rPr>
                <w:rFonts w:ascii="宋体"/>
                <w:vanish/>
              </w:rPr>
            </w:pPr>
          </w:p>
        </w:tc>
        <w:tc>
          <w:tcPr>
            <w:tcW w:w="0" w:type="auto"/>
            <w:gridSpan w:val="3"/>
            <w:shd w:val="clear" w:color="auto" w:fill="auto"/>
            <w:vAlign w:val="bottom"/>
          </w:tcPr>
          <w:p w14:paraId="392C9B53" w14:textId="77777777" w:rsidR="00980E5F" w:rsidRDefault="00980E5F">
            <w:pPr>
              <w:rPr>
                <w:rFonts w:ascii="宋体"/>
                <w:vanish/>
              </w:rPr>
            </w:pPr>
          </w:p>
        </w:tc>
        <w:tc>
          <w:tcPr>
            <w:tcW w:w="0" w:type="auto"/>
            <w:gridSpan w:val="3"/>
            <w:shd w:val="clear" w:color="auto" w:fill="auto"/>
            <w:vAlign w:val="bottom"/>
          </w:tcPr>
          <w:p w14:paraId="392C9B54" w14:textId="77777777" w:rsidR="00980E5F" w:rsidRDefault="00980E5F">
            <w:pPr>
              <w:rPr>
                <w:rFonts w:ascii="宋体"/>
                <w:vanish/>
              </w:rPr>
            </w:pPr>
          </w:p>
        </w:tc>
        <w:tc>
          <w:tcPr>
            <w:tcW w:w="0" w:type="auto"/>
            <w:gridSpan w:val="3"/>
            <w:shd w:val="clear" w:color="auto" w:fill="auto"/>
            <w:vAlign w:val="bottom"/>
          </w:tcPr>
          <w:p w14:paraId="392C9B55" w14:textId="77777777" w:rsidR="00980E5F" w:rsidRDefault="00980E5F">
            <w:pPr>
              <w:rPr>
                <w:rFonts w:ascii="宋体"/>
                <w:vanish/>
              </w:rPr>
            </w:pPr>
          </w:p>
        </w:tc>
        <w:tc>
          <w:tcPr>
            <w:tcW w:w="0" w:type="auto"/>
            <w:gridSpan w:val="3"/>
            <w:shd w:val="clear" w:color="auto" w:fill="auto"/>
            <w:vAlign w:val="bottom"/>
          </w:tcPr>
          <w:p w14:paraId="392C9B56" w14:textId="77777777" w:rsidR="00980E5F" w:rsidRDefault="00980E5F">
            <w:pPr>
              <w:rPr>
                <w:rFonts w:ascii="宋体"/>
                <w:vanish/>
              </w:rPr>
            </w:pPr>
          </w:p>
        </w:tc>
        <w:tc>
          <w:tcPr>
            <w:tcW w:w="0" w:type="auto"/>
            <w:gridSpan w:val="3"/>
            <w:shd w:val="clear" w:color="auto" w:fill="auto"/>
            <w:vAlign w:val="bottom"/>
          </w:tcPr>
          <w:p w14:paraId="392C9B57" w14:textId="77777777" w:rsidR="00980E5F" w:rsidRDefault="00980E5F">
            <w:pPr>
              <w:rPr>
                <w:rFonts w:ascii="宋体"/>
                <w:vanish/>
              </w:rPr>
            </w:pPr>
          </w:p>
        </w:tc>
        <w:tc>
          <w:tcPr>
            <w:tcW w:w="0" w:type="auto"/>
            <w:gridSpan w:val="3"/>
            <w:shd w:val="clear" w:color="auto" w:fill="auto"/>
            <w:vAlign w:val="bottom"/>
          </w:tcPr>
          <w:p w14:paraId="392C9B58" w14:textId="77777777" w:rsidR="00980E5F" w:rsidRDefault="00980E5F">
            <w:pPr>
              <w:rPr>
                <w:rFonts w:ascii="宋体"/>
                <w:vanish/>
              </w:rPr>
            </w:pPr>
          </w:p>
        </w:tc>
        <w:tc>
          <w:tcPr>
            <w:tcW w:w="0" w:type="auto"/>
            <w:gridSpan w:val="3"/>
            <w:shd w:val="clear" w:color="auto" w:fill="auto"/>
            <w:vAlign w:val="bottom"/>
          </w:tcPr>
          <w:p w14:paraId="392C9B59" w14:textId="77777777" w:rsidR="00980E5F" w:rsidRDefault="00980E5F">
            <w:pPr>
              <w:rPr>
                <w:rFonts w:ascii="宋体"/>
                <w:vanish/>
              </w:rPr>
            </w:pPr>
          </w:p>
        </w:tc>
        <w:tc>
          <w:tcPr>
            <w:tcW w:w="0" w:type="auto"/>
            <w:gridSpan w:val="3"/>
            <w:shd w:val="clear" w:color="auto" w:fill="auto"/>
            <w:vAlign w:val="bottom"/>
          </w:tcPr>
          <w:p w14:paraId="392C9B5A" w14:textId="77777777" w:rsidR="00980E5F" w:rsidRDefault="00980E5F">
            <w:pPr>
              <w:rPr>
                <w:rFonts w:ascii="宋体"/>
                <w:vanish/>
              </w:rPr>
            </w:pPr>
          </w:p>
        </w:tc>
        <w:tc>
          <w:tcPr>
            <w:tcW w:w="0" w:type="auto"/>
            <w:gridSpan w:val="3"/>
            <w:shd w:val="clear" w:color="auto" w:fill="auto"/>
            <w:vAlign w:val="bottom"/>
          </w:tcPr>
          <w:p w14:paraId="392C9B5B" w14:textId="77777777" w:rsidR="00980E5F" w:rsidRDefault="00980E5F">
            <w:pPr>
              <w:rPr>
                <w:rFonts w:ascii="宋体"/>
                <w:vanish/>
              </w:rPr>
            </w:pPr>
          </w:p>
        </w:tc>
        <w:tc>
          <w:tcPr>
            <w:tcW w:w="0" w:type="auto"/>
            <w:gridSpan w:val="3"/>
            <w:shd w:val="clear" w:color="auto" w:fill="auto"/>
            <w:vAlign w:val="bottom"/>
          </w:tcPr>
          <w:p w14:paraId="392C9B5C" w14:textId="77777777" w:rsidR="00980E5F" w:rsidRDefault="00980E5F">
            <w:pPr>
              <w:rPr>
                <w:rFonts w:ascii="宋体"/>
                <w:vanish/>
              </w:rPr>
            </w:pPr>
          </w:p>
        </w:tc>
        <w:tc>
          <w:tcPr>
            <w:tcW w:w="0" w:type="auto"/>
            <w:gridSpan w:val="3"/>
            <w:shd w:val="clear" w:color="auto" w:fill="auto"/>
            <w:vAlign w:val="bottom"/>
          </w:tcPr>
          <w:p w14:paraId="392C9B5D" w14:textId="77777777" w:rsidR="00980E5F" w:rsidRDefault="00980E5F">
            <w:pPr>
              <w:rPr>
                <w:rFonts w:ascii="宋体"/>
                <w:vanish/>
              </w:rPr>
            </w:pPr>
          </w:p>
        </w:tc>
        <w:tc>
          <w:tcPr>
            <w:tcW w:w="0" w:type="auto"/>
            <w:shd w:val="clear" w:color="auto" w:fill="auto"/>
            <w:vAlign w:val="bottom"/>
          </w:tcPr>
          <w:p w14:paraId="392C9B5E" w14:textId="77777777" w:rsidR="00980E5F" w:rsidRDefault="00980E5F">
            <w:pPr>
              <w:rPr>
                <w:rFonts w:ascii="宋体"/>
              </w:rPr>
            </w:pPr>
          </w:p>
        </w:tc>
        <w:tc>
          <w:tcPr>
            <w:tcW w:w="0" w:type="auto"/>
            <w:shd w:val="clear" w:color="auto" w:fill="auto"/>
            <w:vAlign w:val="bottom"/>
          </w:tcPr>
          <w:p w14:paraId="392C9B5F" w14:textId="77777777" w:rsidR="00980E5F" w:rsidRDefault="00980E5F">
            <w:pPr>
              <w:rPr>
                <w:rFonts w:ascii="宋体"/>
              </w:rPr>
            </w:pPr>
          </w:p>
        </w:tc>
        <w:tc>
          <w:tcPr>
            <w:tcW w:w="0" w:type="auto"/>
            <w:shd w:val="clear" w:color="auto" w:fill="auto"/>
            <w:vAlign w:val="bottom"/>
          </w:tcPr>
          <w:p w14:paraId="392C9B60" w14:textId="77777777" w:rsidR="00980E5F" w:rsidRDefault="00980E5F">
            <w:pPr>
              <w:rPr>
                <w:rFonts w:ascii="宋体"/>
              </w:rPr>
            </w:pPr>
          </w:p>
        </w:tc>
        <w:tc>
          <w:tcPr>
            <w:tcW w:w="0" w:type="auto"/>
            <w:shd w:val="clear" w:color="auto" w:fill="auto"/>
            <w:vAlign w:val="bottom"/>
          </w:tcPr>
          <w:p w14:paraId="392C9B61" w14:textId="77777777" w:rsidR="00980E5F" w:rsidRDefault="00980E5F">
            <w:pPr>
              <w:rPr>
                <w:rFonts w:ascii="宋体"/>
              </w:rPr>
            </w:pPr>
          </w:p>
        </w:tc>
        <w:tc>
          <w:tcPr>
            <w:tcW w:w="0" w:type="auto"/>
            <w:shd w:val="clear" w:color="auto" w:fill="auto"/>
            <w:vAlign w:val="bottom"/>
          </w:tcPr>
          <w:p w14:paraId="392C9B62" w14:textId="77777777" w:rsidR="00980E5F" w:rsidRDefault="00980E5F">
            <w:pPr>
              <w:rPr>
                <w:rFonts w:ascii="宋体"/>
              </w:rPr>
            </w:pPr>
          </w:p>
        </w:tc>
        <w:tc>
          <w:tcPr>
            <w:tcW w:w="0" w:type="auto"/>
            <w:shd w:val="clear" w:color="auto" w:fill="auto"/>
            <w:vAlign w:val="bottom"/>
          </w:tcPr>
          <w:p w14:paraId="392C9B63" w14:textId="77777777" w:rsidR="00980E5F" w:rsidRDefault="00980E5F">
            <w:pPr>
              <w:rPr>
                <w:rFonts w:ascii="宋体"/>
              </w:rPr>
            </w:pPr>
          </w:p>
        </w:tc>
      </w:tr>
      <w:tr w:rsidR="00980E5F" w14:paraId="392C9B7B" w14:textId="77777777">
        <w:trPr>
          <w:hidden/>
        </w:trPr>
        <w:tc>
          <w:tcPr>
            <w:tcW w:w="0" w:type="auto"/>
            <w:gridSpan w:val="3"/>
            <w:shd w:val="clear" w:color="auto" w:fill="auto"/>
            <w:vAlign w:val="bottom"/>
          </w:tcPr>
          <w:p w14:paraId="392C9B65" w14:textId="77777777" w:rsidR="00980E5F" w:rsidRDefault="00980E5F">
            <w:pPr>
              <w:rPr>
                <w:rFonts w:ascii="宋体"/>
                <w:vanish/>
              </w:rPr>
            </w:pPr>
          </w:p>
        </w:tc>
        <w:tc>
          <w:tcPr>
            <w:tcW w:w="0" w:type="auto"/>
            <w:gridSpan w:val="3"/>
            <w:shd w:val="clear" w:color="auto" w:fill="auto"/>
            <w:vAlign w:val="bottom"/>
          </w:tcPr>
          <w:p w14:paraId="392C9B66" w14:textId="77777777" w:rsidR="00980E5F" w:rsidRDefault="00980E5F">
            <w:pPr>
              <w:rPr>
                <w:rFonts w:ascii="宋体"/>
                <w:vanish/>
              </w:rPr>
            </w:pPr>
          </w:p>
        </w:tc>
        <w:tc>
          <w:tcPr>
            <w:tcW w:w="0" w:type="auto"/>
            <w:gridSpan w:val="3"/>
            <w:shd w:val="clear" w:color="auto" w:fill="auto"/>
            <w:vAlign w:val="bottom"/>
          </w:tcPr>
          <w:p w14:paraId="392C9B67" w14:textId="77777777" w:rsidR="00980E5F" w:rsidRDefault="00980E5F">
            <w:pPr>
              <w:rPr>
                <w:rFonts w:ascii="宋体"/>
                <w:vanish/>
              </w:rPr>
            </w:pPr>
          </w:p>
        </w:tc>
        <w:tc>
          <w:tcPr>
            <w:tcW w:w="0" w:type="auto"/>
            <w:gridSpan w:val="3"/>
            <w:shd w:val="clear" w:color="auto" w:fill="auto"/>
            <w:vAlign w:val="bottom"/>
          </w:tcPr>
          <w:p w14:paraId="392C9B68" w14:textId="77777777" w:rsidR="00980E5F" w:rsidRDefault="00980E5F">
            <w:pPr>
              <w:rPr>
                <w:rFonts w:ascii="宋体"/>
                <w:vanish/>
              </w:rPr>
            </w:pPr>
          </w:p>
        </w:tc>
        <w:tc>
          <w:tcPr>
            <w:tcW w:w="0" w:type="auto"/>
            <w:gridSpan w:val="3"/>
            <w:shd w:val="clear" w:color="auto" w:fill="auto"/>
            <w:vAlign w:val="bottom"/>
          </w:tcPr>
          <w:p w14:paraId="392C9B69" w14:textId="77777777" w:rsidR="00980E5F" w:rsidRDefault="00980E5F">
            <w:pPr>
              <w:rPr>
                <w:rFonts w:ascii="宋体"/>
                <w:vanish/>
              </w:rPr>
            </w:pPr>
          </w:p>
        </w:tc>
        <w:tc>
          <w:tcPr>
            <w:tcW w:w="0" w:type="auto"/>
            <w:gridSpan w:val="3"/>
            <w:shd w:val="clear" w:color="auto" w:fill="auto"/>
            <w:vAlign w:val="bottom"/>
          </w:tcPr>
          <w:p w14:paraId="392C9B6A" w14:textId="77777777" w:rsidR="00980E5F" w:rsidRDefault="00980E5F">
            <w:pPr>
              <w:rPr>
                <w:rFonts w:ascii="宋体"/>
                <w:vanish/>
              </w:rPr>
            </w:pPr>
          </w:p>
        </w:tc>
        <w:tc>
          <w:tcPr>
            <w:tcW w:w="0" w:type="auto"/>
            <w:gridSpan w:val="3"/>
            <w:shd w:val="clear" w:color="auto" w:fill="auto"/>
            <w:vAlign w:val="bottom"/>
          </w:tcPr>
          <w:p w14:paraId="392C9B6B" w14:textId="77777777" w:rsidR="00980E5F" w:rsidRDefault="00980E5F">
            <w:pPr>
              <w:rPr>
                <w:rFonts w:ascii="宋体"/>
                <w:vanish/>
              </w:rPr>
            </w:pPr>
          </w:p>
        </w:tc>
        <w:tc>
          <w:tcPr>
            <w:tcW w:w="0" w:type="auto"/>
            <w:gridSpan w:val="3"/>
            <w:shd w:val="clear" w:color="auto" w:fill="auto"/>
            <w:vAlign w:val="bottom"/>
          </w:tcPr>
          <w:p w14:paraId="392C9B6C" w14:textId="77777777" w:rsidR="00980E5F" w:rsidRDefault="00980E5F">
            <w:pPr>
              <w:rPr>
                <w:rFonts w:ascii="宋体"/>
                <w:vanish/>
              </w:rPr>
            </w:pPr>
          </w:p>
        </w:tc>
        <w:tc>
          <w:tcPr>
            <w:tcW w:w="0" w:type="auto"/>
            <w:gridSpan w:val="3"/>
            <w:shd w:val="clear" w:color="auto" w:fill="auto"/>
            <w:vAlign w:val="bottom"/>
          </w:tcPr>
          <w:p w14:paraId="392C9B6D" w14:textId="77777777" w:rsidR="00980E5F" w:rsidRDefault="00980E5F">
            <w:pPr>
              <w:rPr>
                <w:rFonts w:ascii="宋体"/>
                <w:vanish/>
              </w:rPr>
            </w:pPr>
          </w:p>
        </w:tc>
        <w:tc>
          <w:tcPr>
            <w:tcW w:w="0" w:type="auto"/>
            <w:gridSpan w:val="3"/>
            <w:shd w:val="clear" w:color="auto" w:fill="auto"/>
            <w:vAlign w:val="bottom"/>
          </w:tcPr>
          <w:p w14:paraId="392C9B6E" w14:textId="77777777" w:rsidR="00980E5F" w:rsidRDefault="00980E5F">
            <w:pPr>
              <w:rPr>
                <w:rFonts w:ascii="宋体"/>
                <w:vanish/>
              </w:rPr>
            </w:pPr>
          </w:p>
        </w:tc>
        <w:tc>
          <w:tcPr>
            <w:tcW w:w="0" w:type="auto"/>
            <w:gridSpan w:val="3"/>
            <w:shd w:val="clear" w:color="auto" w:fill="auto"/>
            <w:vAlign w:val="bottom"/>
          </w:tcPr>
          <w:p w14:paraId="392C9B6F" w14:textId="77777777" w:rsidR="00980E5F" w:rsidRDefault="00980E5F">
            <w:pPr>
              <w:rPr>
                <w:rFonts w:ascii="宋体"/>
                <w:vanish/>
              </w:rPr>
            </w:pPr>
          </w:p>
        </w:tc>
        <w:tc>
          <w:tcPr>
            <w:tcW w:w="0" w:type="auto"/>
            <w:gridSpan w:val="3"/>
            <w:shd w:val="clear" w:color="auto" w:fill="auto"/>
            <w:vAlign w:val="bottom"/>
          </w:tcPr>
          <w:p w14:paraId="392C9B70" w14:textId="77777777" w:rsidR="00980E5F" w:rsidRDefault="00980E5F">
            <w:pPr>
              <w:rPr>
                <w:rFonts w:ascii="宋体"/>
                <w:vanish/>
              </w:rPr>
            </w:pPr>
          </w:p>
        </w:tc>
        <w:tc>
          <w:tcPr>
            <w:tcW w:w="0" w:type="auto"/>
            <w:gridSpan w:val="3"/>
            <w:shd w:val="clear" w:color="auto" w:fill="auto"/>
            <w:vAlign w:val="bottom"/>
          </w:tcPr>
          <w:p w14:paraId="392C9B71" w14:textId="77777777" w:rsidR="00980E5F" w:rsidRDefault="00980E5F">
            <w:pPr>
              <w:rPr>
                <w:rFonts w:ascii="宋体"/>
                <w:vanish/>
              </w:rPr>
            </w:pPr>
          </w:p>
        </w:tc>
        <w:tc>
          <w:tcPr>
            <w:tcW w:w="0" w:type="auto"/>
            <w:gridSpan w:val="3"/>
            <w:shd w:val="clear" w:color="auto" w:fill="auto"/>
            <w:vAlign w:val="bottom"/>
          </w:tcPr>
          <w:p w14:paraId="392C9B72" w14:textId="77777777" w:rsidR="00980E5F" w:rsidRDefault="00980E5F">
            <w:pPr>
              <w:rPr>
                <w:rFonts w:ascii="宋体"/>
                <w:vanish/>
              </w:rPr>
            </w:pPr>
          </w:p>
        </w:tc>
        <w:tc>
          <w:tcPr>
            <w:tcW w:w="0" w:type="auto"/>
            <w:gridSpan w:val="3"/>
            <w:shd w:val="clear" w:color="auto" w:fill="auto"/>
            <w:vAlign w:val="bottom"/>
          </w:tcPr>
          <w:p w14:paraId="392C9B73" w14:textId="77777777" w:rsidR="00980E5F" w:rsidRDefault="00980E5F">
            <w:pPr>
              <w:rPr>
                <w:rFonts w:ascii="宋体"/>
                <w:vanish/>
              </w:rPr>
            </w:pPr>
          </w:p>
        </w:tc>
        <w:tc>
          <w:tcPr>
            <w:tcW w:w="0" w:type="auto"/>
            <w:gridSpan w:val="3"/>
            <w:shd w:val="clear" w:color="auto" w:fill="auto"/>
            <w:vAlign w:val="bottom"/>
          </w:tcPr>
          <w:p w14:paraId="392C9B74" w14:textId="77777777" w:rsidR="00980E5F" w:rsidRDefault="00980E5F">
            <w:pPr>
              <w:rPr>
                <w:rFonts w:ascii="宋体"/>
                <w:vanish/>
              </w:rPr>
            </w:pPr>
          </w:p>
        </w:tc>
        <w:tc>
          <w:tcPr>
            <w:tcW w:w="0" w:type="auto"/>
            <w:shd w:val="clear" w:color="auto" w:fill="auto"/>
            <w:vAlign w:val="bottom"/>
          </w:tcPr>
          <w:p w14:paraId="392C9B75" w14:textId="77777777" w:rsidR="00980E5F" w:rsidRDefault="00980E5F">
            <w:pPr>
              <w:rPr>
                <w:rFonts w:ascii="宋体"/>
              </w:rPr>
            </w:pPr>
          </w:p>
        </w:tc>
        <w:tc>
          <w:tcPr>
            <w:tcW w:w="0" w:type="auto"/>
            <w:shd w:val="clear" w:color="auto" w:fill="auto"/>
            <w:vAlign w:val="bottom"/>
          </w:tcPr>
          <w:p w14:paraId="392C9B76" w14:textId="77777777" w:rsidR="00980E5F" w:rsidRDefault="00980E5F">
            <w:pPr>
              <w:rPr>
                <w:rFonts w:ascii="宋体"/>
              </w:rPr>
            </w:pPr>
          </w:p>
        </w:tc>
        <w:tc>
          <w:tcPr>
            <w:tcW w:w="0" w:type="auto"/>
            <w:shd w:val="clear" w:color="auto" w:fill="auto"/>
            <w:vAlign w:val="bottom"/>
          </w:tcPr>
          <w:p w14:paraId="392C9B77" w14:textId="77777777" w:rsidR="00980E5F" w:rsidRDefault="00980E5F">
            <w:pPr>
              <w:rPr>
                <w:rFonts w:ascii="宋体"/>
              </w:rPr>
            </w:pPr>
          </w:p>
        </w:tc>
        <w:tc>
          <w:tcPr>
            <w:tcW w:w="0" w:type="auto"/>
            <w:shd w:val="clear" w:color="auto" w:fill="auto"/>
            <w:vAlign w:val="bottom"/>
          </w:tcPr>
          <w:p w14:paraId="392C9B78" w14:textId="77777777" w:rsidR="00980E5F" w:rsidRDefault="00980E5F">
            <w:pPr>
              <w:rPr>
                <w:rFonts w:ascii="宋体"/>
              </w:rPr>
            </w:pPr>
          </w:p>
        </w:tc>
        <w:tc>
          <w:tcPr>
            <w:tcW w:w="0" w:type="auto"/>
            <w:shd w:val="clear" w:color="auto" w:fill="auto"/>
            <w:vAlign w:val="bottom"/>
          </w:tcPr>
          <w:p w14:paraId="392C9B79" w14:textId="77777777" w:rsidR="00980E5F" w:rsidRDefault="00980E5F">
            <w:pPr>
              <w:rPr>
                <w:rFonts w:ascii="宋体"/>
              </w:rPr>
            </w:pPr>
          </w:p>
        </w:tc>
        <w:tc>
          <w:tcPr>
            <w:tcW w:w="0" w:type="auto"/>
            <w:shd w:val="clear" w:color="auto" w:fill="auto"/>
            <w:vAlign w:val="bottom"/>
          </w:tcPr>
          <w:p w14:paraId="392C9B7A" w14:textId="77777777" w:rsidR="00980E5F" w:rsidRDefault="00980E5F">
            <w:pPr>
              <w:rPr>
                <w:rFonts w:ascii="宋体"/>
              </w:rPr>
            </w:pPr>
          </w:p>
        </w:tc>
      </w:tr>
      <w:tr w:rsidR="00980E5F" w14:paraId="392C9B94" w14:textId="77777777">
        <w:tc>
          <w:tcPr>
            <w:tcW w:w="0" w:type="auto"/>
            <w:gridSpan w:val="9"/>
            <w:shd w:val="clear" w:color="auto" w:fill="CCEEFF"/>
            <w:tcMar>
              <w:top w:w="40" w:type="dxa"/>
              <w:left w:w="20" w:type="dxa"/>
              <w:bottom w:w="40" w:type="dxa"/>
              <w:right w:w="20" w:type="dxa"/>
            </w:tcMar>
            <w:vAlign w:val="bottom"/>
          </w:tcPr>
          <w:p w14:paraId="392C9B7C" w14:textId="77777777" w:rsidR="00980E5F" w:rsidRDefault="00483613">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7D" w14:textId="77777777" w:rsidR="00980E5F" w:rsidRDefault="00483613">
            <w:pPr>
              <w:jc w:val="right"/>
              <w:textAlignment w:val="bottom"/>
            </w:pPr>
            <w:r>
              <w:rPr>
                <w:rFonts w:ascii="Arial" w:eastAsia="宋体" w:hAnsi="Arial" w:cs="Arial"/>
                <w:b/>
                <w:bCs/>
                <w:color w:val="000000"/>
                <w:sz w:val="12"/>
                <w:szCs w:val="12"/>
              </w:rPr>
              <w:t>16,858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7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0" w14:textId="77777777" w:rsidR="00980E5F" w:rsidRDefault="00483613">
            <w:pPr>
              <w:jc w:val="right"/>
              <w:textAlignment w:val="bottom"/>
            </w:pPr>
            <w:r>
              <w:rPr>
                <w:rFonts w:ascii="Arial" w:eastAsia="宋体" w:hAnsi="Arial" w:cs="Arial"/>
                <w:b/>
                <w:bCs/>
                <w:color w:val="000000"/>
                <w:sz w:val="12"/>
                <w:szCs w:val="12"/>
              </w:rPr>
              <w:t>16,858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8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3" w14:textId="77777777" w:rsidR="00980E5F" w:rsidRDefault="00483613">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8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6" w14:textId="77777777" w:rsidR="00980E5F" w:rsidRDefault="00483613">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8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9"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8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C" w14:textId="77777777" w:rsidR="00980E5F" w:rsidRDefault="00483613">
            <w:pPr>
              <w:jc w:val="right"/>
              <w:textAlignment w:val="bottom"/>
            </w:pPr>
            <w:r>
              <w:rPr>
                <w:rFonts w:ascii="Arial" w:eastAsia="宋体" w:hAnsi="Arial" w:cs="Arial"/>
                <w:b/>
                <w:bCs/>
                <w:color w:val="000000"/>
                <w:sz w:val="12"/>
                <w:szCs w:val="12"/>
              </w:rPr>
              <w:t>18,174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8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8F"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9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B92" w14:textId="77777777" w:rsidR="00980E5F" w:rsidRDefault="00483613">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B93" w14:textId="77777777" w:rsidR="00980E5F" w:rsidRDefault="00980E5F">
            <w:pPr>
              <w:jc w:val="right"/>
              <w:rPr>
                <w:rFonts w:ascii="宋体"/>
              </w:rPr>
            </w:pPr>
          </w:p>
        </w:tc>
      </w:tr>
      <w:tr w:rsidR="00980E5F" w14:paraId="392C9BAD" w14:textId="77777777">
        <w:tc>
          <w:tcPr>
            <w:tcW w:w="0" w:type="auto"/>
            <w:gridSpan w:val="9"/>
            <w:shd w:val="clear" w:color="auto" w:fill="FFFFFF"/>
            <w:tcMar>
              <w:top w:w="40" w:type="dxa"/>
              <w:left w:w="245" w:type="dxa"/>
              <w:bottom w:w="40" w:type="dxa"/>
              <w:right w:w="20" w:type="dxa"/>
            </w:tcMar>
            <w:vAlign w:val="bottom"/>
          </w:tcPr>
          <w:p w14:paraId="392C9B95" w14:textId="77777777" w:rsidR="00980E5F" w:rsidRDefault="00483613">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96" w14:textId="77777777" w:rsidR="00980E5F" w:rsidRDefault="00483613">
            <w:pPr>
              <w:jc w:val="right"/>
              <w:textAlignment w:val="bottom"/>
            </w:pPr>
            <w:r>
              <w:rPr>
                <w:rFonts w:ascii="Arial" w:eastAsia="宋体" w:hAnsi="Arial" w:cs="Arial"/>
                <w:b/>
                <w:bCs/>
                <w:color w:val="000000"/>
                <w:sz w:val="12"/>
                <w:szCs w:val="12"/>
              </w:rPr>
              <w:t>1,381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9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99" w14:textId="77777777" w:rsidR="00980E5F" w:rsidRDefault="00483613">
            <w:pPr>
              <w:jc w:val="right"/>
              <w:textAlignment w:val="bottom"/>
            </w:pPr>
            <w:r>
              <w:rPr>
                <w:rFonts w:ascii="Arial" w:eastAsia="宋体" w:hAnsi="Arial" w:cs="Arial"/>
                <w:b/>
                <w:bCs/>
                <w:color w:val="000000"/>
                <w:sz w:val="12"/>
                <w:szCs w:val="12"/>
              </w:rPr>
              <w:t>1,381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9B"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9C" w14:textId="77777777" w:rsidR="00980E5F" w:rsidRDefault="00483613">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9E"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9F" w14:textId="77777777" w:rsidR="00980E5F" w:rsidRDefault="00483613">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A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A2" w14:textId="77777777" w:rsidR="00980E5F" w:rsidRDefault="00483613">
            <w:pPr>
              <w:jc w:val="right"/>
              <w:textAlignment w:val="bottom"/>
            </w:pPr>
            <w:r>
              <w:rPr>
                <w:rFonts w:ascii="Arial" w:eastAsia="宋体" w:hAnsi="Arial" w:cs="Arial"/>
                <w:b/>
                <w:bCs/>
                <w:color w:val="000000"/>
                <w:sz w:val="12"/>
                <w:szCs w:val="12"/>
              </w:rPr>
              <w:t>545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A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A5" w14:textId="77777777" w:rsidR="00980E5F" w:rsidRDefault="00483613">
            <w:pPr>
              <w:jc w:val="right"/>
              <w:textAlignment w:val="bottom"/>
            </w:pPr>
            <w:r>
              <w:rPr>
                <w:rFonts w:ascii="Arial" w:eastAsia="宋体" w:hAnsi="Arial" w:cs="Arial"/>
                <w:b/>
                <w:bCs/>
                <w:color w:val="000000"/>
                <w:sz w:val="12"/>
                <w:szCs w:val="12"/>
              </w:rPr>
              <w:t>545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A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A8" w14:textId="77777777" w:rsidR="00980E5F" w:rsidRDefault="00483613">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AA"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BAB" w14:textId="77777777" w:rsidR="00980E5F" w:rsidRDefault="00483613">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AC" w14:textId="77777777" w:rsidR="00980E5F" w:rsidRDefault="00980E5F">
            <w:pPr>
              <w:jc w:val="right"/>
              <w:rPr>
                <w:rFonts w:ascii="宋体"/>
              </w:rPr>
            </w:pPr>
          </w:p>
        </w:tc>
      </w:tr>
      <w:tr w:rsidR="00980E5F" w14:paraId="392C9BC4" w14:textId="77777777">
        <w:trPr>
          <w:hidden/>
        </w:trPr>
        <w:tc>
          <w:tcPr>
            <w:tcW w:w="0" w:type="auto"/>
            <w:gridSpan w:val="3"/>
            <w:shd w:val="clear" w:color="auto" w:fill="auto"/>
            <w:vAlign w:val="bottom"/>
          </w:tcPr>
          <w:p w14:paraId="392C9BAE" w14:textId="77777777" w:rsidR="00980E5F" w:rsidRDefault="00980E5F">
            <w:pPr>
              <w:rPr>
                <w:rFonts w:ascii="宋体"/>
                <w:vanish/>
              </w:rPr>
            </w:pPr>
          </w:p>
        </w:tc>
        <w:tc>
          <w:tcPr>
            <w:tcW w:w="0" w:type="auto"/>
            <w:gridSpan w:val="3"/>
            <w:shd w:val="clear" w:color="auto" w:fill="auto"/>
            <w:vAlign w:val="bottom"/>
          </w:tcPr>
          <w:p w14:paraId="392C9BAF" w14:textId="77777777" w:rsidR="00980E5F" w:rsidRDefault="00980E5F">
            <w:pPr>
              <w:rPr>
                <w:rFonts w:ascii="宋体"/>
                <w:vanish/>
              </w:rPr>
            </w:pPr>
          </w:p>
        </w:tc>
        <w:tc>
          <w:tcPr>
            <w:tcW w:w="0" w:type="auto"/>
            <w:gridSpan w:val="3"/>
            <w:shd w:val="clear" w:color="auto" w:fill="auto"/>
            <w:vAlign w:val="bottom"/>
          </w:tcPr>
          <w:p w14:paraId="392C9BB0" w14:textId="77777777" w:rsidR="00980E5F" w:rsidRDefault="00980E5F">
            <w:pPr>
              <w:rPr>
                <w:rFonts w:ascii="宋体"/>
                <w:vanish/>
              </w:rPr>
            </w:pPr>
          </w:p>
        </w:tc>
        <w:tc>
          <w:tcPr>
            <w:tcW w:w="0" w:type="auto"/>
            <w:gridSpan w:val="3"/>
            <w:shd w:val="clear" w:color="auto" w:fill="auto"/>
            <w:vAlign w:val="bottom"/>
          </w:tcPr>
          <w:p w14:paraId="392C9BB1" w14:textId="77777777" w:rsidR="00980E5F" w:rsidRDefault="00980E5F">
            <w:pPr>
              <w:rPr>
                <w:rFonts w:ascii="宋体"/>
                <w:vanish/>
              </w:rPr>
            </w:pPr>
          </w:p>
        </w:tc>
        <w:tc>
          <w:tcPr>
            <w:tcW w:w="0" w:type="auto"/>
            <w:gridSpan w:val="3"/>
            <w:shd w:val="clear" w:color="auto" w:fill="auto"/>
            <w:vAlign w:val="bottom"/>
          </w:tcPr>
          <w:p w14:paraId="392C9BB2" w14:textId="77777777" w:rsidR="00980E5F" w:rsidRDefault="00980E5F">
            <w:pPr>
              <w:rPr>
                <w:rFonts w:ascii="宋体"/>
                <w:vanish/>
              </w:rPr>
            </w:pPr>
          </w:p>
        </w:tc>
        <w:tc>
          <w:tcPr>
            <w:tcW w:w="0" w:type="auto"/>
            <w:gridSpan w:val="3"/>
            <w:shd w:val="clear" w:color="auto" w:fill="auto"/>
            <w:vAlign w:val="bottom"/>
          </w:tcPr>
          <w:p w14:paraId="392C9BB3" w14:textId="77777777" w:rsidR="00980E5F" w:rsidRDefault="00980E5F">
            <w:pPr>
              <w:rPr>
                <w:rFonts w:ascii="宋体"/>
                <w:vanish/>
              </w:rPr>
            </w:pPr>
          </w:p>
        </w:tc>
        <w:tc>
          <w:tcPr>
            <w:tcW w:w="0" w:type="auto"/>
            <w:gridSpan w:val="3"/>
            <w:shd w:val="clear" w:color="auto" w:fill="auto"/>
            <w:vAlign w:val="bottom"/>
          </w:tcPr>
          <w:p w14:paraId="392C9BB4" w14:textId="77777777" w:rsidR="00980E5F" w:rsidRDefault="00980E5F">
            <w:pPr>
              <w:rPr>
                <w:rFonts w:ascii="宋体"/>
                <w:vanish/>
              </w:rPr>
            </w:pPr>
          </w:p>
        </w:tc>
        <w:tc>
          <w:tcPr>
            <w:tcW w:w="0" w:type="auto"/>
            <w:gridSpan w:val="3"/>
            <w:shd w:val="clear" w:color="auto" w:fill="auto"/>
            <w:vAlign w:val="bottom"/>
          </w:tcPr>
          <w:p w14:paraId="392C9BB5" w14:textId="77777777" w:rsidR="00980E5F" w:rsidRDefault="00980E5F">
            <w:pPr>
              <w:rPr>
                <w:rFonts w:ascii="宋体"/>
                <w:vanish/>
              </w:rPr>
            </w:pPr>
          </w:p>
        </w:tc>
        <w:tc>
          <w:tcPr>
            <w:tcW w:w="0" w:type="auto"/>
            <w:gridSpan w:val="3"/>
            <w:shd w:val="clear" w:color="auto" w:fill="auto"/>
            <w:vAlign w:val="bottom"/>
          </w:tcPr>
          <w:p w14:paraId="392C9BB6" w14:textId="77777777" w:rsidR="00980E5F" w:rsidRDefault="00980E5F">
            <w:pPr>
              <w:rPr>
                <w:rFonts w:ascii="宋体"/>
                <w:vanish/>
              </w:rPr>
            </w:pPr>
          </w:p>
        </w:tc>
        <w:tc>
          <w:tcPr>
            <w:tcW w:w="0" w:type="auto"/>
            <w:gridSpan w:val="3"/>
            <w:shd w:val="clear" w:color="auto" w:fill="auto"/>
            <w:vAlign w:val="bottom"/>
          </w:tcPr>
          <w:p w14:paraId="392C9BB7" w14:textId="77777777" w:rsidR="00980E5F" w:rsidRDefault="00980E5F">
            <w:pPr>
              <w:rPr>
                <w:rFonts w:ascii="宋体"/>
                <w:vanish/>
              </w:rPr>
            </w:pPr>
          </w:p>
        </w:tc>
        <w:tc>
          <w:tcPr>
            <w:tcW w:w="0" w:type="auto"/>
            <w:gridSpan w:val="3"/>
            <w:shd w:val="clear" w:color="auto" w:fill="auto"/>
            <w:vAlign w:val="bottom"/>
          </w:tcPr>
          <w:p w14:paraId="392C9BB8" w14:textId="77777777" w:rsidR="00980E5F" w:rsidRDefault="00980E5F">
            <w:pPr>
              <w:rPr>
                <w:rFonts w:ascii="宋体"/>
                <w:vanish/>
              </w:rPr>
            </w:pPr>
          </w:p>
        </w:tc>
        <w:tc>
          <w:tcPr>
            <w:tcW w:w="0" w:type="auto"/>
            <w:gridSpan w:val="3"/>
            <w:shd w:val="clear" w:color="auto" w:fill="auto"/>
            <w:vAlign w:val="bottom"/>
          </w:tcPr>
          <w:p w14:paraId="392C9BB9" w14:textId="77777777" w:rsidR="00980E5F" w:rsidRDefault="00980E5F">
            <w:pPr>
              <w:rPr>
                <w:rFonts w:ascii="宋体"/>
                <w:vanish/>
              </w:rPr>
            </w:pPr>
          </w:p>
        </w:tc>
        <w:tc>
          <w:tcPr>
            <w:tcW w:w="0" w:type="auto"/>
            <w:gridSpan w:val="3"/>
            <w:shd w:val="clear" w:color="auto" w:fill="auto"/>
            <w:vAlign w:val="bottom"/>
          </w:tcPr>
          <w:p w14:paraId="392C9BBA" w14:textId="77777777" w:rsidR="00980E5F" w:rsidRDefault="00980E5F">
            <w:pPr>
              <w:rPr>
                <w:rFonts w:ascii="宋体"/>
                <w:vanish/>
              </w:rPr>
            </w:pPr>
          </w:p>
        </w:tc>
        <w:tc>
          <w:tcPr>
            <w:tcW w:w="0" w:type="auto"/>
            <w:gridSpan w:val="3"/>
            <w:shd w:val="clear" w:color="auto" w:fill="auto"/>
            <w:vAlign w:val="bottom"/>
          </w:tcPr>
          <w:p w14:paraId="392C9BBB" w14:textId="77777777" w:rsidR="00980E5F" w:rsidRDefault="00980E5F">
            <w:pPr>
              <w:rPr>
                <w:rFonts w:ascii="宋体"/>
                <w:vanish/>
              </w:rPr>
            </w:pPr>
          </w:p>
        </w:tc>
        <w:tc>
          <w:tcPr>
            <w:tcW w:w="0" w:type="auto"/>
            <w:gridSpan w:val="3"/>
            <w:shd w:val="clear" w:color="auto" w:fill="auto"/>
            <w:vAlign w:val="bottom"/>
          </w:tcPr>
          <w:p w14:paraId="392C9BBC" w14:textId="77777777" w:rsidR="00980E5F" w:rsidRDefault="00980E5F">
            <w:pPr>
              <w:rPr>
                <w:rFonts w:ascii="宋体"/>
                <w:vanish/>
              </w:rPr>
            </w:pPr>
          </w:p>
        </w:tc>
        <w:tc>
          <w:tcPr>
            <w:tcW w:w="0" w:type="auto"/>
            <w:gridSpan w:val="3"/>
            <w:shd w:val="clear" w:color="auto" w:fill="auto"/>
            <w:vAlign w:val="bottom"/>
          </w:tcPr>
          <w:p w14:paraId="392C9BBD" w14:textId="77777777" w:rsidR="00980E5F" w:rsidRDefault="00980E5F">
            <w:pPr>
              <w:rPr>
                <w:rFonts w:ascii="宋体"/>
                <w:vanish/>
              </w:rPr>
            </w:pPr>
          </w:p>
        </w:tc>
        <w:tc>
          <w:tcPr>
            <w:tcW w:w="0" w:type="auto"/>
            <w:shd w:val="clear" w:color="auto" w:fill="auto"/>
            <w:vAlign w:val="bottom"/>
          </w:tcPr>
          <w:p w14:paraId="392C9BBE" w14:textId="77777777" w:rsidR="00980E5F" w:rsidRDefault="00980E5F">
            <w:pPr>
              <w:rPr>
                <w:rFonts w:ascii="宋体"/>
              </w:rPr>
            </w:pPr>
          </w:p>
        </w:tc>
        <w:tc>
          <w:tcPr>
            <w:tcW w:w="0" w:type="auto"/>
            <w:shd w:val="clear" w:color="auto" w:fill="auto"/>
            <w:vAlign w:val="bottom"/>
          </w:tcPr>
          <w:p w14:paraId="392C9BBF" w14:textId="77777777" w:rsidR="00980E5F" w:rsidRDefault="00980E5F">
            <w:pPr>
              <w:rPr>
                <w:rFonts w:ascii="宋体"/>
              </w:rPr>
            </w:pPr>
          </w:p>
        </w:tc>
        <w:tc>
          <w:tcPr>
            <w:tcW w:w="0" w:type="auto"/>
            <w:shd w:val="clear" w:color="auto" w:fill="auto"/>
            <w:vAlign w:val="bottom"/>
          </w:tcPr>
          <w:p w14:paraId="392C9BC0" w14:textId="77777777" w:rsidR="00980E5F" w:rsidRDefault="00980E5F">
            <w:pPr>
              <w:rPr>
                <w:rFonts w:ascii="宋体"/>
              </w:rPr>
            </w:pPr>
          </w:p>
        </w:tc>
        <w:tc>
          <w:tcPr>
            <w:tcW w:w="0" w:type="auto"/>
            <w:shd w:val="clear" w:color="auto" w:fill="auto"/>
            <w:vAlign w:val="bottom"/>
          </w:tcPr>
          <w:p w14:paraId="392C9BC1" w14:textId="77777777" w:rsidR="00980E5F" w:rsidRDefault="00980E5F">
            <w:pPr>
              <w:rPr>
                <w:rFonts w:ascii="宋体"/>
              </w:rPr>
            </w:pPr>
          </w:p>
        </w:tc>
        <w:tc>
          <w:tcPr>
            <w:tcW w:w="0" w:type="auto"/>
            <w:shd w:val="clear" w:color="auto" w:fill="auto"/>
            <w:vAlign w:val="bottom"/>
          </w:tcPr>
          <w:p w14:paraId="392C9BC2" w14:textId="77777777" w:rsidR="00980E5F" w:rsidRDefault="00980E5F">
            <w:pPr>
              <w:rPr>
                <w:rFonts w:ascii="宋体"/>
              </w:rPr>
            </w:pPr>
          </w:p>
        </w:tc>
        <w:tc>
          <w:tcPr>
            <w:tcW w:w="0" w:type="auto"/>
            <w:shd w:val="clear" w:color="auto" w:fill="auto"/>
            <w:vAlign w:val="bottom"/>
          </w:tcPr>
          <w:p w14:paraId="392C9BC3" w14:textId="77777777" w:rsidR="00980E5F" w:rsidRDefault="00980E5F">
            <w:pPr>
              <w:rPr>
                <w:rFonts w:ascii="宋体"/>
              </w:rPr>
            </w:pPr>
          </w:p>
        </w:tc>
      </w:tr>
      <w:tr w:rsidR="00980E5F" w14:paraId="392C9BDD" w14:textId="77777777">
        <w:tc>
          <w:tcPr>
            <w:tcW w:w="0" w:type="auto"/>
            <w:gridSpan w:val="9"/>
            <w:shd w:val="clear" w:color="auto" w:fill="CCEEFF"/>
            <w:tcMar>
              <w:top w:w="40" w:type="dxa"/>
              <w:left w:w="245" w:type="dxa"/>
              <w:bottom w:w="40" w:type="dxa"/>
              <w:right w:w="20" w:type="dxa"/>
            </w:tcMar>
            <w:vAlign w:val="bottom"/>
          </w:tcPr>
          <w:p w14:paraId="392C9BC5" w14:textId="77777777" w:rsidR="00980E5F" w:rsidRDefault="00483613">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392C9BC6"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C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C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C9" w14:textId="77777777" w:rsidR="00980E5F" w:rsidRDefault="00483613">
            <w:pPr>
              <w:jc w:val="right"/>
              <w:textAlignment w:val="bottom"/>
            </w:pPr>
            <w:r>
              <w:rPr>
                <w:rFonts w:ascii="Arial" w:eastAsia="宋体" w:hAnsi="Arial" w:cs="Arial"/>
                <w:b/>
                <w:bCs/>
                <w:color w:val="000000"/>
                <w:sz w:val="12"/>
                <w:szCs w:val="12"/>
              </w:rPr>
              <w:t>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C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CC"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CF" w14:textId="77777777" w:rsidR="00980E5F" w:rsidRDefault="00483613">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392C9B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D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D2" w14:textId="77777777" w:rsidR="00980E5F" w:rsidRDefault="00483613">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D5" w14:textId="77777777" w:rsidR="00980E5F" w:rsidRDefault="00483613">
            <w:pPr>
              <w:jc w:val="right"/>
              <w:textAlignment w:val="bottom"/>
            </w:pPr>
            <w:r>
              <w:rPr>
                <w:rFonts w:ascii="Arial" w:eastAsia="宋体" w:hAnsi="Arial" w:cs="Arial"/>
                <w:b/>
                <w:bCs/>
                <w:color w:val="000000"/>
                <w:sz w:val="12"/>
                <w:szCs w:val="12"/>
              </w:rPr>
              <w:t>113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D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D8" w14:textId="77777777" w:rsidR="00980E5F" w:rsidRDefault="00483613">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B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B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BDB" w14:textId="77777777" w:rsidR="00980E5F" w:rsidRDefault="00483613">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392C9BDC" w14:textId="77777777" w:rsidR="00980E5F" w:rsidRDefault="00980E5F">
            <w:pPr>
              <w:jc w:val="right"/>
              <w:rPr>
                <w:rFonts w:ascii="宋体"/>
              </w:rPr>
            </w:pPr>
          </w:p>
        </w:tc>
      </w:tr>
      <w:tr w:rsidR="00980E5F" w14:paraId="392C9BF4" w14:textId="77777777">
        <w:trPr>
          <w:hidden/>
        </w:trPr>
        <w:tc>
          <w:tcPr>
            <w:tcW w:w="0" w:type="auto"/>
            <w:gridSpan w:val="3"/>
            <w:shd w:val="clear" w:color="auto" w:fill="auto"/>
            <w:vAlign w:val="bottom"/>
          </w:tcPr>
          <w:p w14:paraId="392C9BDE" w14:textId="77777777" w:rsidR="00980E5F" w:rsidRDefault="00980E5F">
            <w:pPr>
              <w:rPr>
                <w:rFonts w:ascii="宋体"/>
                <w:vanish/>
              </w:rPr>
            </w:pPr>
          </w:p>
        </w:tc>
        <w:tc>
          <w:tcPr>
            <w:tcW w:w="0" w:type="auto"/>
            <w:gridSpan w:val="3"/>
            <w:shd w:val="clear" w:color="auto" w:fill="auto"/>
            <w:vAlign w:val="bottom"/>
          </w:tcPr>
          <w:p w14:paraId="392C9BDF" w14:textId="77777777" w:rsidR="00980E5F" w:rsidRDefault="00980E5F">
            <w:pPr>
              <w:rPr>
                <w:rFonts w:ascii="宋体"/>
                <w:vanish/>
              </w:rPr>
            </w:pPr>
          </w:p>
        </w:tc>
        <w:tc>
          <w:tcPr>
            <w:tcW w:w="0" w:type="auto"/>
            <w:gridSpan w:val="3"/>
            <w:shd w:val="clear" w:color="auto" w:fill="auto"/>
            <w:vAlign w:val="bottom"/>
          </w:tcPr>
          <w:p w14:paraId="392C9BE0" w14:textId="77777777" w:rsidR="00980E5F" w:rsidRDefault="00980E5F">
            <w:pPr>
              <w:rPr>
                <w:rFonts w:ascii="宋体"/>
                <w:vanish/>
              </w:rPr>
            </w:pPr>
          </w:p>
        </w:tc>
        <w:tc>
          <w:tcPr>
            <w:tcW w:w="0" w:type="auto"/>
            <w:gridSpan w:val="3"/>
            <w:shd w:val="clear" w:color="auto" w:fill="auto"/>
            <w:vAlign w:val="bottom"/>
          </w:tcPr>
          <w:p w14:paraId="392C9BE1" w14:textId="77777777" w:rsidR="00980E5F" w:rsidRDefault="00980E5F">
            <w:pPr>
              <w:rPr>
                <w:rFonts w:ascii="宋体"/>
                <w:vanish/>
              </w:rPr>
            </w:pPr>
          </w:p>
        </w:tc>
        <w:tc>
          <w:tcPr>
            <w:tcW w:w="0" w:type="auto"/>
            <w:gridSpan w:val="3"/>
            <w:shd w:val="clear" w:color="auto" w:fill="auto"/>
            <w:vAlign w:val="bottom"/>
          </w:tcPr>
          <w:p w14:paraId="392C9BE2" w14:textId="77777777" w:rsidR="00980E5F" w:rsidRDefault="00980E5F">
            <w:pPr>
              <w:rPr>
                <w:rFonts w:ascii="宋体"/>
                <w:vanish/>
              </w:rPr>
            </w:pPr>
          </w:p>
        </w:tc>
        <w:tc>
          <w:tcPr>
            <w:tcW w:w="0" w:type="auto"/>
            <w:gridSpan w:val="3"/>
            <w:shd w:val="clear" w:color="auto" w:fill="auto"/>
            <w:vAlign w:val="bottom"/>
          </w:tcPr>
          <w:p w14:paraId="392C9BE3" w14:textId="77777777" w:rsidR="00980E5F" w:rsidRDefault="00980E5F">
            <w:pPr>
              <w:rPr>
                <w:rFonts w:ascii="宋体"/>
                <w:vanish/>
              </w:rPr>
            </w:pPr>
          </w:p>
        </w:tc>
        <w:tc>
          <w:tcPr>
            <w:tcW w:w="0" w:type="auto"/>
            <w:gridSpan w:val="3"/>
            <w:shd w:val="clear" w:color="auto" w:fill="auto"/>
            <w:vAlign w:val="bottom"/>
          </w:tcPr>
          <w:p w14:paraId="392C9BE4" w14:textId="77777777" w:rsidR="00980E5F" w:rsidRDefault="00980E5F">
            <w:pPr>
              <w:rPr>
                <w:rFonts w:ascii="宋体"/>
                <w:vanish/>
              </w:rPr>
            </w:pPr>
          </w:p>
        </w:tc>
        <w:tc>
          <w:tcPr>
            <w:tcW w:w="0" w:type="auto"/>
            <w:gridSpan w:val="3"/>
            <w:shd w:val="clear" w:color="auto" w:fill="auto"/>
            <w:vAlign w:val="bottom"/>
          </w:tcPr>
          <w:p w14:paraId="392C9BE5" w14:textId="77777777" w:rsidR="00980E5F" w:rsidRDefault="00980E5F">
            <w:pPr>
              <w:rPr>
                <w:rFonts w:ascii="宋体"/>
                <w:vanish/>
              </w:rPr>
            </w:pPr>
          </w:p>
        </w:tc>
        <w:tc>
          <w:tcPr>
            <w:tcW w:w="0" w:type="auto"/>
            <w:gridSpan w:val="3"/>
            <w:shd w:val="clear" w:color="auto" w:fill="auto"/>
            <w:vAlign w:val="bottom"/>
          </w:tcPr>
          <w:p w14:paraId="392C9BE6" w14:textId="77777777" w:rsidR="00980E5F" w:rsidRDefault="00980E5F">
            <w:pPr>
              <w:rPr>
                <w:rFonts w:ascii="宋体"/>
                <w:vanish/>
              </w:rPr>
            </w:pPr>
          </w:p>
        </w:tc>
        <w:tc>
          <w:tcPr>
            <w:tcW w:w="0" w:type="auto"/>
            <w:gridSpan w:val="3"/>
            <w:shd w:val="clear" w:color="auto" w:fill="auto"/>
            <w:vAlign w:val="bottom"/>
          </w:tcPr>
          <w:p w14:paraId="392C9BE7" w14:textId="77777777" w:rsidR="00980E5F" w:rsidRDefault="00980E5F">
            <w:pPr>
              <w:rPr>
                <w:rFonts w:ascii="宋体"/>
                <w:vanish/>
              </w:rPr>
            </w:pPr>
          </w:p>
        </w:tc>
        <w:tc>
          <w:tcPr>
            <w:tcW w:w="0" w:type="auto"/>
            <w:gridSpan w:val="3"/>
            <w:shd w:val="clear" w:color="auto" w:fill="auto"/>
            <w:vAlign w:val="bottom"/>
          </w:tcPr>
          <w:p w14:paraId="392C9BE8" w14:textId="77777777" w:rsidR="00980E5F" w:rsidRDefault="00980E5F">
            <w:pPr>
              <w:rPr>
                <w:rFonts w:ascii="宋体"/>
                <w:vanish/>
              </w:rPr>
            </w:pPr>
          </w:p>
        </w:tc>
        <w:tc>
          <w:tcPr>
            <w:tcW w:w="0" w:type="auto"/>
            <w:gridSpan w:val="3"/>
            <w:shd w:val="clear" w:color="auto" w:fill="auto"/>
            <w:vAlign w:val="bottom"/>
          </w:tcPr>
          <w:p w14:paraId="392C9BE9" w14:textId="77777777" w:rsidR="00980E5F" w:rsidRDefault="00980E5F">
            <w:pPr>
              <w:rPr>
                <w:rFonts w:ascii="宋体"/>
                <w:vanish/>
              </w:rPr>
            </w:pPr>
          </w:p>
        </w:tc>
        <w:tc>
          <w:tcPr>
            <w:tcW w:w="0" w:type="auto"/>
            <w:gridSpan w:val="3"/>
            <w:shd w:val="clear" w:color="auto" w:fill="auto"/>
            <w:vAlign w:val="bottom"/>
          </w:tcPr>
          <w:p w14:paraId="392C9BEA" w14:textId="77777777" w:rsidR="00980E5F" w:rsidRDefault="00980E5F">
            <w:pPr>
              <w:rPr>
                <w:rFonts w:ascii="宋体"/>
                <w:vanish/>
              </w:rPr>
            </w:pPr>
          </w:p>
        </w:tc>
        <w:tc>
          <w:tcPr>
            <w:tcW w:w="0" w:type="auto"/>
            <w:gridSpan w:val="3"/>
            <w:shd w:val="clear" w:color="auto" w:fill="auto"/>
            <w:vAlign w:val="bottom"/>
          </w:tcPr>
          <w:p w14:paraId="392C9BEB" w14:textId="77777777" w:rsidR="00980E5F" w:rsidRDefault="00980E5F">
            <w:pPr>
              <w:rPr>
                <w:rFonts w:ascii="宋体"/>
                <w:vanish/>
              </w:rPr>
            </w:pPr>
          </w:p>
        </w:tc>
        <w:tc>
          <w:tcPr>
            <w:tcW w:w="0" w:type="auto"/>
            <w:gridSpan w:val="3"/>
            <w:shd w:val="clear" w:color="auto" w:fill="auto"/>
            <w:vAlign w:val="bottom"/>
          </w:tcPr>
          <w:p w14:paraId="392C9BEC" w14:textId="77777777" w:rsidR="00980E5F" w:rsidRDefault="00980E5F">
            <w:pPr>
              <w:rPr>
                <w:rFonts w:ascii="宋体"/>
                <w:vanish/>
              </w:rPr>
            </w:pPr>
          </w:p>
        </w:tc>
        <w:tc>
          <w:tcPr>
            <w:tcW w:w="0" w:type="auto"/>
            <w:gridSpan w:val="3"/>
            <w:shd w:val="clear" w:color="auto" w:fill="auto"/>
            <w:vAlign w:val="bottom"/>
          </w:tcPr>
          <w:p w14:paraId="392C9BED" w14:textId="77777777" w:rsidR="00980E5F" w:rsidRDefault="00980E5F">
            <w:pPr>
              <w:rPr>
                <w:rFonts w:ascii="宋体"/>
                <w:vanish/>
              </w:rPr>
            </w:pPr>
          </w:p>
        </w:tc>
        <w:tc>
          <w:tcPr>
            <w:tcW w:w="0" w:type="auto"/>
            <w:shd w:val="clear" w:color="auto" w:fill="auto"/>
            <w:vAlign w:val="bottom"/>
          </w:tcPr>
          <w:p w14:paraId="392C9BEE" w14:textId="77777777" w:rsidR="00980E5F" w:rsidRDefault="00980E5F">
            <w:pPr>
              <w:rPr>
                <w:rFonts w:ascii="宋体"/>
              </w:rPr>
            </w:pPr>
          </w:p>
        </w:tc>
        <w:tc>
          <w:tcPr>
            <w:tcW w:w="0" w:type="auto"/>
            <w:shd w:val="clear" w:color="auto" w:fill="auto"/>
            <w:vAlign w:val="bottom"/>
          </w:tcPr>
          <w:p w14:paraId="392C9BEF" w14:textId="77777777" w:rsidR="00980E5F" w:rsidRDefault="00980E5F">
            <w:pPr>
              <w:rPr>
                <w:rFonts w:ascii="宋体"/>
              </w:rPr>
            </w:pPr>
          </w:p>
        </w:tc>
        <w:tc>
          <w:tcPr>
            <w:tcW w:w="0" w:type="auto"/>
            <w:shd w:val="clear" w:color="auto" w:fill="auto"/>
            <w:vAlign w:val="bottom"/>
          </w:tcPr>
          <w:p w14:paraId="392C9BF0" w14:textId="77777777" w:rsidR="00980E5F" w:rsidRDefault="00980E5F">
            <w:pPr>
              <w:rPr>
                <w:rFonts w:ascii="宋体"/>
              </w:rPr>
            </w:pPr>
          </w:p>
        </w:tc>
        <w:tc>
          <w:tcPr>
            <w:tcW w:w="0" w:type="auto"/>
            <w:shd w:val="clear" w:color="auto" w:fill="auto"/>
            <w:vAlign w:val="bottom"/>
          </w:tcPr>
          <w:p w14:paraId="392C9BF1" w14:textId="77777777" w:rsidR="00980E5F" w:rsidRDefault="00980E5F">
            <w:pPr>
              <w:rPr>
                <w:rFonts w:ascii="宋体"/>
              </w:rPr>
            </w:pPr>
          </w:p>
        </w:tc>
        <w:tc>
          <w:tcPr>
            <w:tcW w:w="0" w:type="auto"/>
            <w:shd w:val="clear" w:color="auto" w:fill="auto"/>
            <w:vAlign w:val="bottom"/>
          </w:tcPr>
          <w:p w14:paraId="392C9BF2" w14:textId="77777777" w:rsidR="00980E5F" w:rsidRDefault="00980E5F">
            <w:pPr>
              <w:rPr>
                <w:rFonts w:ascii="宋体"/>
              </w:rPr>
            </w:pPr>
          </w:p>
        </w:tc>
        <w:tc>
          <w:tcPr>
            <w:tcW w:w="0" w:type="auto"/>
            <w:shd w:val="clear" w:color="auto" w:fill="auto"/>
            <w:vAlign w:val="bottom"/>
          </w:tcPr>
          <w:p w14:paraId="392C9BF3" w14:textId="77777777" w:rsidR="00980E5F" w:rsidRDefault="00980E5F">
            <w:pPr>
              <w:rPr>
                <w:rFonts w:ascii="宋体"/>
              </w:rPr>
            </w:pPr>
          </w:p>
        </w:tc>
      </w:tr>
      <w:tr w:rsidR="00483613" w14:paraId="392C9C15" w14:textId="77777777">
        <w:tc>
          <w:tcPr>
            <w:tcW w:w="0" w:type="auto"/>
            <w:gridSpan w:val="9"/>
            <w:shd w:val="clear" w:color="auto" w:fill="FFFFFF"/>
            <w:tcMar>
              <w:top w:w="40" w:type="dxa"/>
              <w:left w:w="20" w:type="dxa"/>
              <w:bottom w:w="40" w:type="dxa"/>
              <w:right w:w="20" w:type="dxa"/>
            </w:tcMar>
            <w:vAlign w:val="bottom"/>
          </w:tcPr>
          <w:p w14:paraId="392C9BF5" w14:textId="77777777" w:rsidR="00980E5F" w:rsidRDefault="00483613">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9BF6"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BF7" w14:textId="77777777" w:rsidR="00980E5F" w:rsidRDefault="00483613">
            <w:pPr>
              <w:jc w:val="right"/>
              <w:textAlignment w:val="bottom"/>
            </w:pPr>
            <w:r>
              <w:rPr>
                <w:rFonts w:ascii="Arial" w:eastAsia="宋体" w:hAnsi="Arial" w:cs="Arial"/>
                <w:b/>
                <w:bCs/>
                <w:color w:val="000000"/>
                <w:sz w:val="12"/>
                <w:szCs w:val="12"/>
              </w:rPr>
              <w:t>18,239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F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F9"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BFA"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BFB" w14:textId="77777777" w:rsidR="00980E5F" w:rsidRDefault="00483613">
            <w:pPr>
              <w:jc w:val="right"/>
              <w:textAlignment w:val="bottom"/>
            </w:pPr>
            <w:r>
              <w:rPr>
                <w:rFonts w:ascii="Arial" w:eastAsia="宋体" w:hAnsi="Arial" w:cs="Arial"/>
                <w:b/>
                <w:bCs/>
                <w:color w:val="000000"/>
                <w:sz w:val="12"/>
                <w:szCs w:val="12"/>
              </w:rPr>
              <w:t>18,352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BF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BF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BFE"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BFF" w14:textId="77777777" w:rsidR="00980E5F" w:rsidRDefault="00483613">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01"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C02"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C03" w14:textId="77777777" w:rsidR="00980E5F" w:rsidRDefault="00483613">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0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05"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C06"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C07" w14:textId="77777777" w:rsidR="00980E5F" w:rsidRDefault="00483613">
            <w:pPr>
              <w:jc w:val="right"/>
              <w:textAlignment w:val="bottom"/>
            </w:pPr>
            <w:r>
              <w:rPr>
                <w:rFonts w:ascii="Arial" w:eastAsia="宋体" w:hAnsi="Arial" w:cs="Arial"/>
                <w:b/>
                <w:bCs/>
                <w:color w:val="000000"/>
                <w:sz w:val="12"/>
                <w:szCs w:val="12"/>
              </w:rPr>
              <w:t>18,719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0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09"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C0A"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C0B" w14:textId="77777777" w:rsidR="00980E5F" w:rsidRDefault="00483613">
            <w:pPr>
              <w:jc w:val="right"/>
              <w:textAlignment w:val="bottom"/>
            </w:pPr>
            <w:r>
              <w:rPr>
                <w:rFonts w:ascii="Arial" w:eastAsia="宋体" w:hAnsi="Arial" w:cs="Arial"/>
                <w:b/>
                <w:bCs/>
                <w:color w:val="000000"/>
                <w:sz w:val="12"/>
                <w:szCs w:val="12"/>
              </w:rPr>
              <w:t>18,832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0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0D"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C0E"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C0F" w14:textId="77777777" w:rsidR="00980E5F" w:rsidRDefault="00483613">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1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11"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9C12"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9C13" w14:textId="77777777" w:rsidR="00980E5F" w:rsidRDefault="00483613">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C14" w14:textId="77777777" w:rsidR="00980E5F" w:rsidRDefault="00980E5F">
            <w:pPr>
              <w:jc w:val="right"/>
              <w:rPr>
                <w:rFonts w:ascii="宋体"/>
              </w:rPr>
            </w:pPr>
          </w:p>
        </w:tc>
      </w:tr>
      <w:tr w:rsidR="00980E5F" w14:paraId="392C9C26" w14:textId="77777777">
        <w:tc>
          <w:tcPr>
            <w:tcW w:w="0" w:type="auto"/>
            <w:gridSpan w:val="9"/>
            <w:shd w:val="clear" w:color="auto" w:fill="CCEEFF"/>
            <w:tcMar>
              <w:top w:w="40" w:type="dxa"/>
              <w:left w:w="20" w:type="dxa"/>
              <w:bottom w:w="40" w:type="dxa"/>
              <w:right w:w="20" w:type="dxa"/>
            </w:tcMar>
            <w:vAlign w:val="bottom"/>
          </w:tcPr>
          <w:p w14:paraId="392C9C16" w14:textId="77777777" w:rsidR="00980E5F" w:rsidRDefault="00483613">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1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18"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1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1A"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1B"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1C"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1D"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1E"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1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20"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2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22"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2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C24" w14:textId="77777777" w:rsidR="00980E5F" w:rsidRDefault="00980E5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92C9C25" w14:textId="77777777" w:rsidR="00980E5F" w:rsidRDefault="00980E5F">
            <w:pPr>
              <w:rPr>
                <w:rFonts w:ascii="宋体"/>
              </w:rPr>
            </w:pPr>
          </w:p>
        </w:tc>
      </w:tr>
      <w:tr w:rsidR="00483613" w14:paraId="392C9C47" w14:textId="77777777">
        <w:tc>
          <w:tcPr>
            <w:tcW w:w="0" w:type="auto"/>
            <w:gridSpan w:val="9"/>
            <w:shd w:val="clear" w:color="auto" w:fill="FFFFFF"/>
            <w:tcMar>
              <w:top w:w="40" w:type="dxa"/>
              <w:left w:w="20" w:type="dxa"/>
              <w:bottom w:w="40" w:type="dxa"/>
              <w:right w:w="20" w:type="dxa"/>
            </w:tcMar>
            <w:vAlign w:val="bottom"/>
          </w:tcPr>
          <w:p w14:paraId="392C9C27" w14:textId="77777777" w:rsidR="00980E5F" w:rsidRDefault="00483613">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392C9C28"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9C29" w14:textId="77777777" w:rsidR="00980E5F" w:rsidRDefault="00483613">
            <w:pPr>
              <w:jc w:val="right"/>
              <w:textAlignment w:val="bottom"/>
            </w:pPr>
            <w:r>
              <w:rPr>
                <w:rFonts w:ascii="Arial" w:eastAsia="宋体" w:hAnsi="Arial" w:cs="Arial"/>
                <w:b/>
                <w:bCs/>
                <w:color w:val="000000"/>
                <w:sz w:val="12"/>
                <w:szCs w:val="12"/>
              </w:rPr>
              <w:t>63,259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2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2C"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9C2D" w14:textId="77777777" w:rsidR="00980E5F" w:rsidRDefault="00483613">
            <w:pPr>
              <w:jc w:val="right"/>
              <w:textAlignment w:val="bottom"/>
            </w:pPr>
            <w:r>
              <w:rPr>
                <w:rFonts w:ascii="Arial" w:eastAsia="宋体" w:hAnsi="Arial" w:cs="Arial"/>
                <w:b/>
                <w:bCs/>
                <w:color w:val="000000"/>
                <w:sz w:val="12"/>
                <w:szCs w:val="12"/>
              </w:rPr>
              <w:t>113,566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2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2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30"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9C31" w14:textId="77777777" w:rsidR="00980E5F" w:rsidRDefault="00483613">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392C9C3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3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34"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9C35" w14:textId="77777777" w:rsidR="00980E5F" w:rsidRDefault="00483613">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392C9C3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37"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38"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9C39" w14:textId="77777777" w:rsidR="00980E5F" w:rsidRDefault="00483613">
            <w:pPr>
              <w:jc w:val="right"/>
              <w:textAlignment w:val="bottom"/>
            </w:pPr>
            <w:r>
              <w:rPr>
                <w:rFonts w:ascii="Arial" w:eastAsia="宋体" w:hAnsi="Arial" w:cs="Arial"/>
                <w:b/>
                <w:bCs/>
                <w:color w:val="000000"/>
                <w:sz w:val="12"/>
                <w:szCs w:val="12"/>
              </w:rPr>
              <w:t>56,041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3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3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3C"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392C9C3D" w14:textId="77777777" w:rsidR="00980E5F" w:rsidRDefault="00483613">
            <w:pPr>
              <w:jc w:val="right"/>
              <w:textAlignment w:val="bottom"/>
            </w:pPr>
            <w:r>
              <w:rPr>
                <w:rFonts w:ascii="Arial" w:eastAsia="宋体" w:hAnsi="Arial" w:cs="Arial"/>
                <w:b/>
                <w:bCs/>
                <w:color w:val="000000"/>
                <w:sz w:val="12"/>
                <w:szCs w:val="12"/>
              </w:rPr>
              <w:t>110,950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3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40"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9C41" w14:textId="77777777" w:rsidR="00980E5F" w:rsidRDefault="00483613">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392C9C4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43"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9C44" w14:textId="77777777" w:rsidR="00980E5F" w:rsidRDefault="00483613">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392C9C45" w14:textId="77777777" w:rsidR="00980E5F" w:rsidRDefault="00483613">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392C9C46" w14:textId="77777777" w:rsidR="00980E5F" w:rsidRDefault="00980E5F">
            <w:pPr>
              <w:jc w:val="right"/>
              <w:rPr>
                <w:rFonts w:ascii="宋体"/>
              </w:rPr>
            </w:pPr>
          </w:p>
        </w:tc>
      </w:tr>
      <w:tr w:rsidR="00980E5F" w14:paraId="392C9C5C" w14:textId="77777777">
        <w:tc>
          <w:tcPr>
            <w:tcW w:w="0" w:type="auto"/>
            <w:gridSpan w:val="9"/>
            <w:shd w:val="clear" w:color="auto" w:fill="CCEEFF"/>
            <w:tcMar>
              <w:top w:w="40" w:type="dxa"/>
              <w:left w:w="20" w:type="dxa"/>
              <w:bottom w:w="40" w:type="dxa"/>
              <w:right w:w="20" w:type="dxa"/>
            </w:tcMar>
            <w:vAlign w:val="bottom"/>
          </w:tcPr>
          <w:p w14:paraId="392C9C48" w14:textId="77777777" w:rsidR="00980E5F" w:rsidRDefault="00483613">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392C9C49" w14:textId="77777777" w:rsidR="00980E5F" w:rsidRDefault="00483613">
            <w:pPr>
              <w:jc w:val="right"/>
              <w:textAlignment w:val="bottom"/>
            </w:pPr>
            <w:r>
              <w:rPr>
                <w:rFonts w:ascii="Arial" w:eastAsia="宋体" w:hAnsi="Arial" w:cs="Arial"/>
                <w:b/>
                <w:bCs/>
                <w:color w:val="000000"/>
                <w:sz w:val="12"/>
                <w:szCs w:val="12"/>
              </w:rPr>
              <w:t>45,350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4B"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9C4C" w14:textId="77777777" w:rsidR="00980E5F" w:rsidRDefault="00483613">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9C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4E" w14:textId="77777777" w:rsidR="00980E5F" w:rsidRDefault="00483613">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392C9C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50"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9C51" w14:textId="77777777" w:rsidR="00980E5F" w:rsidRDefault="00483613">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9C5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53" w14:textId="77777777" w:rsidR="00980E5F" w:rsidRDefault="00483613">
            <w:pPr>
              <w:jc w:val="right"/>
              <w:textAlignment w:val="bottom"/>
            </w:pPr>
            <w:r>
              <w:rPr>
                <w:rFonts w:ascii="Arial" w:eastAsia="宋体" w:hAnsi="Arial" w:cs="Arial"/>
                <w:b/>
                <w:bCs/>
                <w:color w:val="000000"/>
                <w:sz w:val="12"/>
                <w:szCs w:val="12"/>
              </w:rPr>
              <w:t>42,700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55"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9C56" w14:textId="77777777" w:rsidR="00980E5F" w:rsidRDefault="00483613">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392C9C5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58" w14:textId="77777777" w:rsidR="00980E5F" w:rsidRDefault="00483613">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392C9C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5A" w14:textId="77777777" w:rsidR="00980E5F" w:rsidRDefault="00980E5F">
            <w:pPr>
              <w:rPr>
                <w:rFonts w:ascii="宋体"/>
              </w:rPr>
            </w:pPr>
          </w:p>
        </w:tc>
        <w:tc>
          <w:tcPr>
            <w:tcW w:w="0" w:type="auto"/>
            <w:gridSpan w:val="3"/>
            <w:shd w:val="clear" w:color="auto" w:fill="CCEEFF"/>
            <w:tcMar>
              <w:top w:w="40" w:type="dxa"/>
              <w:left w:w="20" w:type="dxa"/>
              <w:bottom w:w="40" w:type="dxa"/>
              <w:right w:w="140" w:type="dxa"/>
            </w:tcMar>
            <w:vAlign w:val="bottom"/>
          </w:tcPr>
          <w:p w14:paraId="392C9C5B" w14:textId="77777777" w:rsidR="00980E5F" w:rsidRDefault="00483613">
            <w:pPr>
              <w:jc w:val="right"/>
              <w:textAlignment w:val="bottom"/>
            </w:pPr>
            <w:r>
              <w:rPr>
                <w:rFonts w:ascii="Arial" w:eastAsia="宋体" w:hAnsi="Arial" w:cs="Arial"/>
                <w:color w:val="000000"/>
                <w:sz w:val="12"/>
                <w:szCs w:val="12"/>
              </w:rPr>
              <w:t>NA</w:t>
            </w:r>
          </w:p>
        </w:tc>
      </w:tr>
      <w:tr w:rsidR="00980E5F" w14:paraId="392C9C75" w14:textId="77777777">
        <w:tc>
          <w:tcPr>
            <w:tcW w:w="0" w:type="auto"/>
            <w:gridSpan w:val="9"/>
            <w:shd w:val="clear" w:color="auto" w:fill="FFFFFF"/>
            <w:tcMar>
              <w:top w:w="40" w:type="dxa"/>
              <w:left w:w="155" w:type="dxa"/>
              <w:bottom w:w="40" w:type="dxa"/>
              <w:right w:w="20" w:type="dxa"/>
            </w:tcMar>
            <w:vAlign w:val="bottom"/>
          </w:tcPr>
          <w:p w14:paraId="392C9C5D" w14:textId="77777777" w:rsidR="00980E5F" w:rsidRDefault="00483613">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392C9C5E"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61"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64"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9C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67"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9C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6A"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6D" w14:textId="77777777" w:rsidR="00980E5F" w:rsidRDefault="00483613">
            <w:pPr>
              <w:jc w:val="right"/>
              <w:textAlignment w:val="bottom"/>
            </w:pPr>
            <w:r>
              <w:rPr>
                <w:rFonts w:ascii="Arial" w:eastAsia="宋体" w:hAnsi="Arial" w:cs="Arial"/>
                <w:b/>
                <w:bCs/>
                <w:color w:val="000000"/>
                <w:sz w:val="12"/>
                <w:szCs w:val="12"/>
              </w:rPr>
              <w:t>1,838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C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6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70"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9C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C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C73" w14:textId="77777777" w:rsidR="00980E5F" w:rsidRDefault="00483613">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392C9C74" w14:textId="77777777" w:rsidR="00980E5F" w:rsidRDefault="00980E5F">
            <w:pPr>
              <w:jc w:val="right"/>
              <w:rPr>
                <w:rFonts w:ascii="宋体"/>
              </w:rPr>
            </w:pPr>
          </w:p>
        </w:tc>
      </w:tr>
      <w:tr w:rsidR="00483613" w14:paraId="392C9C96" w14:textId="77777777">
        <w:tc>
          <w:tcPr>
            <w:tcW w:w="0" w:type="auto"/>
            <w:gridSpan w:val="9"/>
            <w:shd w:val="clear" w:color="auto" w:fill="CCEEFF"/>
            <w:tcMar>
              <w:top w:w="40" w:type="dxa"/>
              <w:left w:w="20" w:type="dxa"/>
              <w:bottom w:w="40" w:type="dxa"/>
              <w:right w:w="20" w:type="dxa"/>
            </w:tcMar>
            <w:vAlign w:val="bottom"/>
          </w:tcPr>
          <w:p w14:paraId="392C9C76" w14:textId="77777777" w:rsidR="00980E5F" w:rsidRDefault="00483613">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C77"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78" w14:textId="77777777" w:rsidR="00980E5F" w:rsidRDefault="00483613">
            <w:pPr>
              <w:jc w:val="right"/>
              <w:textAlignment w:val="bottom"/>
            </w:pPr>
            <w:r>
              <w:rPr>
                <w:rFonts w:ascii="Arial" w:eastAsia="宋体" w:hAnsi="Arial" w:cs="Arial"/>
                <w:b/>
                <w:bCs/>
                <w:color w:val="000000"/>
                <w:sz w:val="12"/>
                <w:szCs w:val="12"/>
              </w:rPr>
              <w:t>110,447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7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7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7B"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7C" w14:textId="77777777" w:rsidR="00980E5F" w:rsidRDefault="00483613">
            <w:pPr>
              <w:jc w:val="right"/>
              <w:textAlignment w:val="bottom"/>
            </w:pPr>
            <w:r>
              <w:rPr>
                <w:rFonts w:ascii="Arial" w:eastAsia="宋体" w:hAnsi="Arial" w:cs="Arial"/>
                <w:b/>
                <w:bCs/>
                <w:color w:val="000000"/>
                <w:sz w:val="12"/>
                <w:szCs w:val="12"/>
              </w:rPr>
              <w:t>115,404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7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7F"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80" w14:textId="77777777" w:rsidR="00980E5F" w:rsidRDefault="00483613">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8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83"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84" w14:textId="77777777" w:rsidR="00980E5F" w:rsidRDefault="00483613">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8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87"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88" w14:textId="77777777" w:rsidR="00980E5F" w:rsidRDefault="00483613">
            <w:pPr>
              <w:jc w:val="right"/>
              <w:textAlignment w:val="bottom"/>
            </w:pPr>
            <w:r>
              <w:rPr>
                <w:rFonts w:ascii="Arial" w:eastAsia="宋体" w:hAnsi="Arial" w:cs="Arial"/>
                <w:b/>
                <w:bCs/>
                <w:color w:val="000000"/>
                <w:sz w:val="12"/>
                <w:szCs w:val="12"/>
              </w:rPr>
              <w:t>100,579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8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8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8B" w14:textId="77777777" w:rsidR="00980E5F" w:rsidRDefault="00483613">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8C" w14:textId="77777777" w:rsidR="00980E5F" w:rsidRDefault="00483613">
            <w:pPr>
              <w:jc w:val="right"/>
              <w:textAlignment w:val="bottom"/>
            </w:pPr>
            <w:r>
              <w:rPr>
                <w:rFonts w:ascii="Arial" w:eastAsia="宋体" w:hAnsi="Arial" w:cs="Arial"/>
                <w:b/>
                <w:bCs/>
                <w:color w:val="000000"/>
                <w:sz w:val="12"/>
                <w:szCs w:val="12"/>
              </w:rPr>
              <w:t>112,788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8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8F"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90" w14:textId="77777777" w:rsidR="00980E5F" w:rsidRDefault="00483613">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9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C93" w14:textId="77777777" w:rsidR="00980E5F" w:rsidRDefault="00483613">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C94" w14:textId="77777777" w:rsidR="00980E5F" w:rsidRDefault="00483613">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95" w14:textId="77777777" w:rsidR="00980E5F" w:rsidRDefault="00980E5F">
            <w:pPr>
              <w:jc w:val="right"/>
              <w:rPr>
                <w:rFonts w:ascii="宋体"/>
              </w:rPr>
            </w:pPr>
          </w:p>
        </w:tc>
      </w:tr>
      <w:tr w:rsidR="00980E5F" w14:paraId="392C9CA9" w14:textId="77777777">
        <w:trPr>
          <w:trHeight w:val="220"/>
        </w:trPr>
        <w:tc>
          <w:tcPr>
            <w:tcW w:w="0" w:type="auto"/>
            <w:gridSpan w:val="3"/>
            <w:shd w:val="clear" w:color="auto" w:fill="FFFFFF"/>
            <w:tcMar>
              <w:top w:w="0" w:type="dxa"/>
              <w:left w:w="20" w:type="dxa"/>
              <w:bottom w:w="0" w:type="dxa"/>
              <w:right w:w="20" w:type="dxa"/>
            </w:tcMar>
            <w:vAlign w:val="bottom"/>
          </w:tcPr>
          <w:p w14:paraId="392C9C97"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9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99"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9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9B"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9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9D"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9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9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A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A1"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A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A3"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A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A5"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A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A7"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9CA8" w14:textId="77777777" w:rsidR="00980E5F" w:rsidRDefault="00980E5F">
            <w:pPr>
              <w:rPr>
                <w:rFonts w:ascii="宋体"/>
              </w:rPr>
            </w:pPr>
          </w:p>
        </w:tc>
      </w:tr>
      <w:tr w:rsidR="00483613" w14:paraId="392C9CCA" w14:textId="77777777">
        <w:tc>
          <w:tcPr>
            <w:tcW w:w="0" w:type="auto"/>
            <w:gridSpan w:val="9"/>
            <w:shd w:val="clear" w:color="auto" w:fill="CCEEFF"/>
            <w:tcMar>
              <w:top w:w="40" w:type="dxa"/>
              <w:left w:w="20" w:type="dxa"/>
              <w:bottom w:w="40" w:type="dxa"/>
              <w:right w:w="20" w:type="dxa"/>
            </w:tcMar>
            <w:vAlign w:val="bottom"/>
          </w:tcPr>
          <w:p w14:paraId="392C9CAA" w14:textId="77777777" w:rsidR="00980E5F" w:rsidRDefault="00483613">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392C9CAB"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CAC" w14:textId="77777777" w:rsidR="00980E5F" w:rsidRDefault="00483613">
            <w:pPr>
              <w:jc w:val="right"/>
              <w:textAlignment w:val="bottom"/>
            </w:pPr>
            <w:r>
              <w:rPr>
                <w:rFonts w:ascii="Arial" w:eastAsia="宋体" w:hAnsi="Arial" w:cs="Arial"/>
                <w:b/>
                <w:bCs/>
                <w:color w:val="000000"/>
                <w:sz w:val="12"/>
                <w:szCs w:val="12"/>
              </w:rPr>
              <w:t>282,526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A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AF"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CB0" w14:textId="77777777" w:rsidR="00980E5F" w:rsidRDefault="00483613">
            <w:pPr>
              <w:jc w:val="right"/>
              <w:textAlignment w:val="bottom"/>
            </w:pPr>
            <w:r>
              <w:rPr>
                <w:rFonts w:ascii="Arial" w:eastAsia="宋体" w:hAnsi="Arial" w:cs="Arial"/>
                <w:b/>
                <w:bCs/>
                <w:color w:val="000000"/>
                <w:sz w:val="12"/>
                <w:szCs w:val="12"/>
              </w:rPr>
              <w:t>282,526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B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B3"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CB4" w14:textId="77777777" w:rsidR="00980E5F" w:rsidRDefault="00483613">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392C9C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B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B7"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CB8" w14:textId="77777777" w:rsidR="00980E5F" w:rsidRDefault="00483613">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392C9C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B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BB"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CBC" w14:textId="77777777" w:rsidR="00980E5F" w:rsidRDefault="00483613">
            <w:pPr>
              <w:jc w:val="right"/>
              <w:textAlignment w:val="bottom"/>
            </w:pPr>
            <w:r>
              <w:rPr>
                <w:rFonts w:ascii="Arial" w:eastAsia="宋体" w:hAnsi="Arial" w:cs="Arial"/>
                <w:b/>
                <w:bCs/>
                <w:color w:val="000000"/>
                <w:sz w:val="12"/>
                <w:szCs w:val="12"/>
              </w:rPr>
              <w:t>279,665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B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BF" w14:textId="77777777" w:rsidR="00980E5F" w:rsidRDefault="00483613">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392C9CC0" w14:textId="77777777" w:rsidR="00980E5F" w:rsidRDefault="00483613">
            <w:pPr>
              <w:jc w:val="right"/>
              <w:textAlignment w:val="bottom"/>
            </w:pPr>
            <w:r>
              <w:rPr>
                <w:rFonts w:ascii="Arial" w:eastAsia="宋体" w:hAnsi="Arial" w:cs="Arial"/>
                <w:b/>
                <w:bCs/>
                <w:color w:val="000000"/>
                <w:sz w:val="12"/>
                <w:szCs w:val="12"/>
              </w:rPr>
              <w:t>279,665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C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C3"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CC4" w14:textId="77777777" w:rsidR="00980E5F" w:rsidRDefault="00483613">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392C9C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CC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CC7" w14:textId="77777777" w:rsidR="00980E5F" w:rsidRDefault="00483613">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392C9CC8" w14:textId="77777777" w:rsidR="00980E5F" w:rsidRDefault="00483613">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392C9CC9" w14:textId="77777777" w:rsidR="00980E5F" w:rsidRDefault="00980E5F">
            <w:pPr>
              <w:jc w:val="right"/>
              <w:rPr>
                <w:rFonts w:ascii="宋体"/>
              </w:rPr>
            </w:pPr>
          </w:p>
        </w:tc>
      </w:tr>
      <w:tr w:rsidR="00980E5F" w14:paraId="392C9CDD" w14:textId="77777777">
        <w:trPr>
          <w:trHeight w:val="100"/>
        </w:trPr>
        <w:tc>
          <w:tcPr>
            <w:tcW w:w="0" w:type="auto"/>
            <w:gridSpan w:val="3"/>
            <w:shd w:val="clear" w:color="auto" w:fill="auto"/>
            <w:tcMar>
              <w:top w:w="0" w:type="dxa"/>
              <w:left w:w="20" w:type="dxa"/>
              <w:bottom w:w="0" w:type="dxa"/>
              <w:right w:w="20" w:type="dxa"/>
            </w:tcMar>
            <w:vAlign w:val="bottom"/>
          </w:tcPr>
          <w:p w14:paraId="392C9CC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C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C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C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C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DC" w14:textId="77777777" w:rsidR="00980E5F" w:rsidRDefault="00980E5F">
            <w:pPr>
              <w:rPr>
                <w:rFonts w:ascii="宋体"/>
              </w:rPr>
            </w:pPr>
          </w:p>
        </w:tc>
      </w:tr>
      <w:tr w:rsidR="00980E5F" w14:paraId="392C9CF0" w14:textId="77777777">
        <w:tc>
          <w:tcPr>
            <w:tcW w:w="0" w:type="auto"/>
            <w:gridSpan w:val="3"/>
            <w:shd w:val="clear" w:color="auto" w:fill="auto"/>
            <w:tcMar>
              <w:top w:w="40" w:type="dxa"/>
              <w:left w:w="20" w:type="dxa"/>
              <w:bottom w:w="40" w:type="dxa"/>
              <w:right w:w="20" w:type="dxa"/>
            </w:tcMar>
            <w:vAlign w:val="bottom"/>
          </w:tcPr>
          <w:p w14:paraId="392C9CDE" w14:textId="77777777" w:rsidR="00980E5F" w:rsidRDefault="00483613">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392C9CDF" w14:textId="77777777" w:rsidR="00980E5F" w:rsidRDefault="00483613">
            <w:pPr>
              <w:jc w:val="center"/>
              <w:textAlignment w:val="bottom"/>
            </w:pPr>
            <w:r>
              <w:rPr>
                <w:rFonts w:ascii="Arial" w:eastAsia="宋体" w:hAnsi="Arial" w:cs="Arial"/>
                <w:color w:val="000000"/>
                <w:sz w:val="12"/>
                <w:szCs w:val="12"/>
              </w:rPr>
              <w:t>2022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392C9CE0" w14:textId="77777777" w:rsidR="00980E5F" w:rsidRDefault="00483613">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vAlign w:val="bottom"/>
          </w:tcPr>
          <w:p w14:paraId="392C9CE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9"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C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CEF" w14:textId="77777777" w:rsidR="00980E5F" w:rsidRDefault="00980E5F">
            <w:pPr>
              <w:rPr>
                <w:rFonts w:ascii="宋体"/>
              </w:rPr>
            </w:pPr>
          </w:p>
        </w:tc>
      </w:tr>
      <w:tr w:rsidR="00483613" w14:paraId="392C9D0D" w14:textId="77777777">
        <w:tc>
          <w:tcPr>
            <w:tcW w:w="0" w:type="auto"/>
            <w:gridSpan w:val="3"/>
            <w:shd w:val="clear" w:color="auto" w:fill="CCEEFF"/>
            <w:tcMar>
              <w:top w:w="40" w:type="dxa"/>
              <w:left w:w="20" w:type="dxa"/>
              <w:bottom w:w="40" w:type="dxa"/>
              <w:right w:w="20" w:type="dxa"/>
            </w:tcMar>
            <w:vAlign w:val="bottom"/>
          </w:tcPr>
          <w:p w14:paraId="392C9CF1" w14:textId="77777777" w:rsidR="00980E5F" w:rsidRDefault="00483613">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CF2" w14:textId="77777777" w:rsidR="00980E5F" w:rsidRDefault="00483613">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F3"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9CF4" w14:textId="77777777" w:rsidR="00980E5F" w:rsidRDefault="00483613">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CF5" w14:textId="77777777" w:rsidR="00980E5F" w:rsidRDefault="00483613">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392C9CF6" w14:textId="77777777" w:rsidR="00980E5F" w:rsidRDefault="00483613">
            <w:pPr>
              <w:jc w:val="right"/>
              <w:textAlignment w:val="bottom"/>
            </w:pPr>
            <w:r>
              <w:rPr>
                <w:rFonts w:ascii="Arial" w:eastAsia="宋体" w:hAnsi="Arial" w:cs="Arial"/>
                <w:b/>
                <w:bCs/>
                <w:color w:val="000000"/>
                <w:sz w:val="12"/>
                <w:szCs w:val="12"/>
              </w:rPr>
              <w:t>13.5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F7"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CF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F9" w14:textId="77777777" w:rsidR="00980E5F" w:rsidRDefault="00483613">
            <w:pPr>
              <w:jc w:val="right"/>
              <w:textAlignment w:val="bottom"/>
            </w:pPr>
            <w:r>
              <w:rPr>
                <w:rFonts w:ascii="Arial" w:eastAsia="宋体" w:hAnsi="Arial" w:cs="Arial"/>
                <w:b/>
                <w:bCs/>
                <w:color w:val="000000"/>
                <w:sz w:val="12"/>
                <w:szCs w:val="12"/>
              </w:rPr>
              <w:t>12.9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CFA"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CF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FC" w14:textId="77777777" w:rsidR="00980E5F" w:rsidRDefault="00483613">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392C9CFD"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C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CFF" w14:textId="77777777" w:rsidR="00980E5F" w:rsidRDefault="00483613">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392C9D00"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D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02" w14:textId="77777777" w:rsidR="00980E5F" w:rsidRDefault="00483613">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03"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D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05" w14:textId="77777777" w:rsidR="00980E5F" w:rsidRDefault="00483613">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06" w14:textId="77777777" w:rsidR="00980E5F" w:rsidRDefault="00483613">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D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08" w14:textId="77777777" w:rsidR="00980E5F" w:rsidRDefault="00483613">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392C9D09" w14:textId="77777777" w:rsidR="00980E5F" w:rsidRDefault="00483613">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392C9D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0B" w14:textId="77777777" w:rsidR="00980E5F" w:rsidRDefault="00483613">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392C9D0C" w14:textId="77777777" w:rsidR="00980E5F" w:rsidRDefault="00483613">
            <w:pPr>
              <w:jc w:val="right"/>
              <w:textAlignment w:val="bottom"/>
            </w:pPr>
            <w:r>
              <w:rPr>
                <w:rFonts w:ascii="Arial" w:eastAsia="宋体" w:hAnsi="Arial" w:cs="Arial"/>
                <w:color w:val="000000"/>
                <w:sz w:val="12"/>
                <w:szCs w:val="12"/>
              </w:rPr>
              <w:t>%</w:t>
            </w:r>
          </w:p>
        </w:tc>
      </w:tr>
      <w:tr w:rsidR="00483613" w14:paraId="392C9D2A" w14:textId="77777777">
        <w:tc>
          <w:tcPr>
            <w:tcW w:w="0" w:type="auto"/>
            <w:gridSpan w:val="3"/>
            <w:shd w:val="clear" w:color="auto" w:fill="FFFFFF"/>
            <w:tcMar>
              <w:top w:w="40" w:type="dxa"/>
              <w:left w:w="20" w:type="dxa"/>
              <w:bottom w:w="40" w:type="dxa"/>
              <w:right w:w="20" w:type="dxa"/>
            </w:tcMar>
            <w:vAlign w:val="bottom"/>
          </w:tcPr>
          <w:p w14:paraId="392C9D0E" w14:textId="77777777" w:rsidR="00980E5F" w:rsidRDefault="00483613">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392C9D0F" w14:textId="77777777" w:rsidR="00980E5F" w:rsidRDefault="00483613">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10"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9D11" w14:textId="77777777" w:rsidR="00980E5F" w:rsidRDefault="00483613">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392C9D12"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9D13" w14:textId="77777777" w:rsidR="00980E5F" w:rsidRDefault="00483613">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1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1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16" w14:textId="77777777" w:rsidR="00980E5F" w:rsidRDefault="00483613">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19" w14:textId="77777777" w:rsidR="00980E5F" w:rsidRDefault="00483613">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392C9D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1C" w14:textId="77777777" w:rsidR="00980E5F" w:rsidRDefault="00483613">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392C9D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1F" w14:textId="77777777" w:rsidR="00980E5F" w:rsidRDefault="00483613">
            <w:pPr>
              <w:jc w:val="right"/>
              <w:textAlignment w:val="bottom"/>
            </w:pPr>
            <w:r>
              <w:rPr>
                <w:rFonts w:ascii="Arial" w:eastAsia="宋体" w:hAnsi="Arial" w:cs="Arial"/>
                <w:b/>
                <w:bCs/>
                <w:color w:val="000000"/>
                <w:sz w:val="12"/>
                <w:szCs w:val="12"/>
              </w:rPr>
              <w:t>18.1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22" w14:textId="77777777" w:rsidR="00980E5F" w:rsidRDefault="00483613">
            <w:pPr>
              <w:jc w:val="right"/>
              <w:textAlignment w:val="bottom"/>
            </w:pPr>
            <w:r>
              <w:rPr>
                <w:rFonts w:ascii="Arial" w:eastAsia="宋体" w:hAnsi="Arial" w:cs="Arial"/>
                <w:b/>
                <w:bCs/>
                <w:color w:val="000000"/>
                <w:sz w:val="12"/>
                <w:szCs w:val="12"/>
              </w:rPr>
              <w:t>16.1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25" w14:textId="77777777" w:rsidR="00980E5F" w:rsidRDefault="00483613">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392C9D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28" w14:textId="77777777" w:rsidR="00980E5F" w:rsidRDefault="00483613">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392C9D29" w14:textId="77777777" w:rsidR="00980E5F" w:rsidRDefault="00980E5F">
            <w:pPr>
              <w:jc w:val="right"/>
              <w:rPr>
                <w:rFonts w:ascii="宋体"/>
              </w:rPr>
            </w:pPr>
          </w:p>
        </w:tc>
      </w:tr>
      <w:tr w:rsidR="00483613" w14:paraId="392C9D47" w14:textId="77777777">
        <w:tc>
          <w:tcPr>
            <w:tcW w:w="0" w:type="auto"/>
            <w:gridSpan w:val="3"/>
            <w:shd w:val="clear" w:color="auto" w:fill="CCEEFF"/>
            <w:tcMar>
              <w:top w:w="40" w:type="dxa"/>
              <w:left w:w="20" w:type="dxa"/>
              <w:bottom w:w="40" w:type="dxa"/>
              <w:right w:w="20" w:type="dxa"/>
            </w:tcMar>
            <w:vAlign w:val="bottom"/>
          </w:tcPr>
          <w:p w14:paraId="392C9D2B" w14:textId="77777777" w:rsidR="00980E5F" w:rsidRDefault="00483613">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392C9D2C" w14:textId="77777777" w:rsidR="00980E5F" w:rsidRDefault="00483613">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2D"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C9D2E" w14:textId="77777777" w:rsidR="00980E5F" w:rsidRDefault="00483613">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392C9D2F" w14:textId="77777777" w:rsidR="00980E5F" w:rsidRDefault="00980E5F">
            <w:pPr>
              <w:jc w:val="right"/>
              <w:rPr>
                <w:rFonts w:ascii="宋体"/>
              </w:rPr>
            </w:pPr>
          </w:p>
        </w:tc>
        <w:tc>
          <w:tcPr>
            <w:tcW w:w="0" w:type="auto"/>
            <w:gridSpan w:val="2"/>
            <w:shd w:val="clear" w:color="auto" w:fill="CCEEFF"/>
            <w:tcMar>
              <w:top w:w="40" w:type="dxa"/>
              <w:left w:w="20" w:type="dxa"/>
              <w:bottom w:w="40" w:type="dxa"/>
              <w:right w:w="0" w:type="dxa"/>
            </w:tcMar>
            <w:vAlign w:val="bottom"/>
          </w:tcPr>
          <w:p w14:paraId="392C9D30" w14:textId="77777777" w:rsidR="00980E5F" w:rsidRDefault="00483613">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3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3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33" w14:textId="77777777" w:rsidR="00980E5F" w:rsidRDefault="00483613">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3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36" w14:textId="77777777" w:rsidR="00980E5F" w:rsidRDefault="00483613">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392C9D3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3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39" w14:textId="77777777" w:rsidR="00980E5F" w:rsidRDefault="00483613">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392C9D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3C" w14:textId="77777777" w:rsidR="00980E5F" w:rsidRDefault="00483613">
            <w:pPr>
              <w:jc w:val="right"/>
              <w:textAlignment w:val="bottom"/>
            </w:pPr>
            <w:r>
              <w:rPr>
                <w:rFonts w:ascii="Arial" w:eastAsia="宋体" w:hAnsi="Arial" w:cs="Arial"/>
                <w:b/>
                <w:bCs/>
                <w:color w:val="000000"/>
                <w:sz w:val="12"/>
                <w:szCs w:val="12"/>
              </w:rPr>
              <w:t>18.6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3F" w14:textId="77777777" w:rsidR="00980E5F" w:rsidRDefault="00483613">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392C9D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42" w14:textId="77777777" w:rsidR="00980E5F" w:rsidRDefault="00483613">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392C9D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45" w14:textId="77777777" w:rsidR="00980E5F" w:rsidRDefault="00483613">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392C9D46" w14:textId="77777777" w:rsidR="00980E5F" w:rsidRDefault="00980E5F">
            <w:pPr>
              <w:jc w:val="right"/>
              <w:rPr>
                <w:rFonts w:ascii="宋体"/>
              </w:rPr>
            </w:pPr>
          </w:p>
        </w:tc>
      </w:tr>
      <w:tr w:rsidR="00483613" w14:paraId="392C9D64" w14:textId="77777777">
        <w:tc>
          <w:tcPr>
            <w:tcW w:w="0" w:type="auto"/>
            <w:gridSpan w:val="3"/>
            <w:shd w:val="clear" w:color="auto" w:fill="FFFFFF"/>
            <w:tcMar>
              <w:top w:w="40" w:type="dxa"/>
              <w:left w:w="20" w:type="dxa"/>
              <w:bottom w:w="40" w:type="dxa"/>
              <w:right w:w="20" w:type="dxa"/>
            </w:tcMar>
            <w:vAlign w:val="bottom"/>
          </w:tcPr>
          <w:p w14:paraId="392C9D48" w14:textId="77777777" w:rsidR="00980E5F" w:rsidRDefault="00483613">
            <w:pPr>
              <w:textAlignment w:val="bottom"/>
            </w:pPr>
            <w:r>
              <w:rPr>
                <w:rFonts w:ascii="Arial" w:eastAsia="宋体" w:hAnsi="Arial" w:cs="Arial"/>
                <w:color w:val="000000"/>
                <w:sz w:val="12"/>
                <w:szCs w:val="12"/>
              </w:rPr>
              <w:t>Tier 1 leverage</w:t>
            </w:r>
          </w:p>
        </w:tc>
        <w:tc>
          <w:tcPr>
            <w:tcW w:w="0" w:type="auto"/>
            <w:gridSpan w:val="2"/>
            <w:shd w:val="clear" w:color="auto" w:fill="FFFFFF"/>
            <w:tcMar>
              <w:top w:w="40" w:type="dxa"/>
              <w:left w:w="20" w:type="dxa"/>
              <w:bottom w:w="40" w:type="dxa"/>
              <w:right w:w="0" w:type="dxa"/>
            </w:tcMar>
            <w:vAlign w:val="bottom"/>
          </w:tcPr>
          <w:p w14:paraId="392C9D49" w14:textId="77777777" w:rsidR="00980E5F" w:rsidRDefault="00483613">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4A"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9D4B" w14:textId="77777777" w:rsidR="00980E5F" w:rsidRDefault="00483613">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392C9D4C" w14:textId="77777777" w:rsidR="00980E5F" w:rsidRDefault="00980E5F">
            <w:pPr>
              <w:jc w:val="right"/>
              <w:rPr>
                <w:rFonts w:ascii="宋体"/>
              </w:rPr>
            </w:pPr>
          </w:p>
        </w:tc>
        <w:tc>
          <w:tcPr>
            <w:tcW w:w="0" w:type="auto"/>
            <w:gridSpan w:val="2"/>
            <w:shd w:val="clear" w:color="auto" w:fill="FFFFFF"/>
            <w:tcMar>
              <w:top w:w="40" w:type="dxa"/>
              <w:left w:w="20" w:type="dxa"/>
              <w:bottom w:w="40" w:type="dxa"/>
              <w:right w:w="0" w:type="dxa"/>
            </w:tcMar>
            <w:vAlign w:val="bottom"/>
          </w:tcPr>
          <w:p w14:paraId="392C9D4D" w14:textId="77777777" w:rsidR="00980E5F" w:rsidRDefault="00483613">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4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0" w14:textId="77777777" w:rsidR="00980E5F" w:rsidRDefault="00483613">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5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3" w14:textId="77777777" w:rsidR="00980E5F" w:rsidRDefault="00483613">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392C9D5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5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6" w14:textId="77777777" w:rsidR="00980E5F" w:rsidRDefault="00483613">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392C9D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9" w14:textId="77777777" w:rsidR="00980E5F" w:rsidRDefault="00483613">
            <w:pPr>
              <w:jc w:val="right"/>
              <w:textAlignment w:val="bottom"/>
            </w:pPr>
            <w:r>
              <w:rPr>
                <w:rFonts w:ascii="Arial" w:eastAsia="宋体" w:hAnsi="Arial" w:cs="Arial"/>
                <w:b/>
                <w:bCs/>
                <w:color w:val="000000"/>
                <w:sz w:val="12"/>
                <w:szCs w:val="12"/>
              </w:rPr>
              <w:t>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5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C" w14:textId="77777777" w:rsidR="00980E5F" w:rsidRDefault="00483613">
            <w:pPr>
              <w:jc w:val="right"/>
              <w:textAlignment w:val="bottom"/>
            </w:pPr>
            <w:r>
              <w:rPr>
                <w:rFonts w:ascii="Arial" w:eastAsia="宋体" w:hAnsi="Arial" w:cs="Arial"/>
                <w:b/>
                <w:bCs/>
                <w:color w:val="000000"/>
                <w:sz w:val="12"/>
                <w:szCs w:val="12"/>
              </w:rPr>
              <w:t>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392C9D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5F" w14:textId="77777777" w:rsidR="00980E5F" w:rsidRDefault="00483613">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392C9D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D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D62" w14:textId="77777777" w:rsidR="00980E5F" w:rsidRDefault="00483613">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392C9D63" w14:textId="77777777" w:rsidR="00980E5F" w:rsidRDefault="00980E5F">
            <w:pPr>
              <w:jc w:val="right"/>
              <w:rPr>
                <w:rFonts w:ascii="宋体"/>
              </w:rPr>
            </w:pPr>
          </w:p>
        </w:tc>
      </w:tr>
    </w:tbl>
    <w:p w14:paraId="392C9D65"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980E5F" w14:paraId="392C9D6C" w14:textId="77777777">
        <w:tc>
          <w:tcPr>
            <w:tcW w:w="50" w:type="pct"/>
            <w:shd w:val="clear" w:color="auto" w:fill="auto"/>
            <w:vAlign w:val="bottom"/>
          </w:tcPr>
          <w:p w14:paraId="392C9D66" w14:textId="77777777" w:rsidR="00980E5F" w:rsidRDefault="00980E5F">
            <w:pPr>
              <w:rPr>
                <w:rFonts w:ascii="宋体"/>
              </w:rPr>
            </w:pPr>
          </w:p>
        </w:tc>
        <w:tc>
          <w:tcPr>
            <w:tcW w:w="1348" w:type="pct"/>
            <w:shd w:val="clear" w:color="auto" w:fill="auto"/>
            <w:vAlign w:val="bottom"/>
          </w:tcPr>
          <w:p w14:paraId="392C9D67" w14:textId="77777777" w:rsidR="00980E5F" w:rsidRDefault="00980E5F">
            <w:pPr>
              <w:rPr>
                <w:rFonts w:ascii="宋体"/>
              </w:rPr>
            </w:pPr>
          </w:p>
        </w:tc>
        <w:tc>
          <w:tcPr>
            <w:tcW w:w="5" w:type="pct"/>
            <w:shd w:val="clear" w:color="auto" w:fill="auto"/>
            <w:vAlign w:val="bottom"/>
          </w:tcPr>
          <w:p w14:paraId="392C9D68" w14:textId="77777777" w:rsidR="00980E5F" w:rsidRDefault="00980E5F">
            <w:pPr>
              <w:rPr>
                <w:rFonts w:ascii="宋体"/>
              </w:rPr>
            </w:pPr>
          </w:p>
        </w:tc>
        <w:tc>
          <w:tcPr>
            <w:tcW w:w="50" w:type="pct"/>
            <w:shd w:val="clear" w:color="auto" w:fill="auto"/>
            <w:vAlign w:val="bottom"/>
          </w:tcPr>
          <w:p w14:paraId="392C9D69" w14:textId="77777777" w:rsidR="00980E5F" w:rsidRDefault="00980E5F">
            <w:pPr>
              <w:rPr>
                <w:rFonts w:ascii="宋体"/>
              </w:rPr>
            </w:pPr>
          </w:p>
        </w:tc>
        <w:tc>
          <w:tcPr>
            <w:tcW w:w="3541" w:type="pct"/>
            <w:shd w:val="clear" w:color="auto" w:fill="auto"/>
            <w:vAlign w:val="bottom"/>
          </w:tcPr>
          <w:p w14:paraId="392C9D6A" w14:textId="77777777" w:rsidR="00980E5F" w:rsidRDefault="00980E5F">
            <w:pPr>
              <w:rPr>
                <w:rFonts w:ascii="宋体"/>
              </w:rPr>
            </w:pPr>
          </w:p>
        </w:tc>
        <w:tc>
          <w:tcPr>
            <w:tcW w:w="5" w:type="pct"/>
            <w:shd w:val="clear" w:color="auto" w:fill="auto"/>
            <w:vAlign w:val="bottom"/>
          </w:tcPr>
          <w:p w14:paraId="392C9D6B" w14:textId="77777777" w:rsidR="00980E5F" w:rsidRDefault="00980E5F">
            <w:pPr>
              <w:rPr>
                <w:rFonts w:ascii="宋体"/>
              </w:rPr>
            </w:pPr>
          </w:p>
        </w:tc>
      </w:tr>
      <w:tr w:rsidR="00980E5F" w14:paraId="392C9D6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9D6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D6E" w14:textId="77777777" w:rsidR="00980E5F" w:rsidRDefault="00980E5F">
            <w:pPr>
              <w:rPr>
                <w:rFonts w:ascii="宋体"/>
              </w:rPr>
            </w:pPr>
          </w:p>
        </w:tc>
      </w:tr>
    </w:tbl>
    <w:p w14:paraId="392C9D70" w14:textId="77777777" w:rsidR="00980E5F" w:rsidRDefault="00483613">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392C9D71" w14:textId="77777777" w:rsidR="00980E5F" w:rsidRDefault="00483613">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OTC derivative contracts. We used a simple CVA approach in conformity with the Basel III</w:t>
      </w:r>
      <w:r>
        <w:rPr>
          <w:rFonts w:ascii="Arial" w:eastAsia="宋体" w:hAnsi="Arial" w:cs="Arial"/>
          <w:color w:val="000000"/>
          <w:sz w:val="12"/>
          <w:szCs w:val="12"/>
        </w:rPr>
        <w:t xml:space="preserve"> advanced approaches.</w:t>
      </w:r>
    </w:p>
    <w:p w14:paraId="392C9D72" w14:textId="77777777" w:rsidR="00980E5F" w:rsidRDefault="00483613">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correlation to the effects o</w:t>
      </w:r>
      <w:r>
        <w:rPr>
          <w:rFonts w:ascii="Arial" w:eastAsia="宋体" w:hAnsi="Arial" w:cs="Arial"/>
          <w:color w:val="000000"/>
          <w:sz w:val="12"/>
          <w:szCs w:val="12"/>
        </w:rPr>
        <w:t>f a particular loss event on our results of operations and financial condition and impacting dates and periods that may differ from the dates and periods as of and during which the loss event is reflected in our financial statements, with the timing and ca</w:t>
      </w:r>
      <w:r>
        <w:rPr>
          <w:rFonts w:ascii="Arial" w:eastAsia="宋体" w:hAnsi="Arial" w:cs="Arial"/>
          <w:color w:val="000000"/>
          <w:sz w:val="12"/>
          <w:szCs w:val="12"/>
        </w:rPr>
        <w:t xml:space="preserve">tegorization dependent on the processes for model updates and, if applicable, model revalidation and regulatory review and related supervisory processes. An individual loss event can have a significant effect on the output of our operational RWA under the </w:t>
      </w:r>
      <w:r>
        <w:rPr>
          <w:rFonts w:ascii="Arial" w:eastAsia="宋体" w:hAnsi="Arial" w:cs="Arial"/>
          <w:color w:val="000000"/>
          <w:sz w:val="12"/>
          <w:szCs w:val="12"/>
        </w:rPr>
        <w:t>advanced approaches depending on the severity of the loss event and its categorization among the seven Basel-defined UOMs.</w:t>
      </w:r>
      <w:r>
        <w:rPr>
          <w:rFonts w:ascii="Arial" w:eastAsia="宋体" w:hAnsi="Arial" w:cs="Arial"/>
          <w:color w:val="000000"/>
          <w:sz w:val="7"/>
          <w:szCs w:val="7"/>
        </w:rPr>
        <w:br/>
        <w:t>(4)</w:t>
      </w:r>
      <w:r>
        <w:rPr>
          <w:rFonts w:ascii="Arial" w:eastAsia="宋体" w:hAnsi="Arial" w:cs="Arial"/>
          <w:color w:val="000000"/>
          <w:sz w:val="12"/>
          <w:szCs w:val="12"/>
        </w:rPr>
        <w:t xml:space="preserve"> Minimum requirements include a CCB of 2.5% and a SCB of 2.5% for the advanced approaches and the standardized approach, respectiv</w:t>
      </w:r>
      <w:r>
        <w:rPr>
          <w:rFonts w:ascii="Arial" w:eastAsia="宋体" w:hAnsi="Arial" w:cs="Arial"/>
          <w:color w:val="000000"/>
          <w:sz w:val="12"/>
          <w:szCs w:val="12"/>
        </w:rPr>
        <w:t xml:space="preserve">ely, a G-SIB surcharge of 1.0% and a countercyclical buffer of 0%. </w:t>
      </w:r>
      <w:r>
        <w:rPr>
          <w:rFonts w:ascii="Arial" w:eastAsia="宋体" w:hAnsi="Arial" w:cs="Arial"/>
          <w:color w:val="000000"/>
          <w:sz w:val="12"/>
          <w:szCs w:val="12"/>
        </w:rPr>
        <w:br/>
      </w: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392C9D73" w14:textId="77777777" w:rsidR="00980E5F" w:rsidRDefault="00483613">
      <w:pPr>
        <w:ind w:firstLine="450"/>
        <w:jc w:val="right"/>
      </w:pPr>
      <w:r>
        <w:rPr>
          <w:rFonts w:ascii="Arial" w:eastAsia="宋体" w:hAnsi="Arial" w:cs="Arial"/>
          <w:color w:val="000000"/>
          <w:sz w:val="18"/>
          <w:szCs w:val="18"/>
        </w:rPr>
        <w:t>State Street Corporation | 93</w:t>
      </w:r>
    </w:p>
    <w:p w14:paraId="392C9D74" w14:textId="77777777" w:rsidR="00980E5F" w:rsidRDefault="00980E5F">
      <w:pPr>
        <w:ind w:firstLine="450"/>
        <w:jc w:val="center"/>
      </w:pPr>
    </w:p>
    <w:p w14:paraId="392C9D75" w14:textId="77777777" w:rsidR="00980E5F" w:rsidRDefault="00483613">
      <w:r>
        <w:pict w14:anchorId="392CBB2B">
          <v:rect id="_x0000_i1117" style="width:415.3pt;height:1.5pt" o:hralign="center" o:hrstd="t" o:hr="t" fillcolor="#a0a0a0" stroked="f"/>
        </w:pict>
      </w:r>
    </w:p>
    <w:p w14:paraId="392C9D76" w14:textId="77777777" w:rsidR="00980E5F" w:rsidRDefault="00483613">
      <w:pPr>
        <w:ind w:firstLine="450"/>
        <w:jc w:val="center"/>
      </w:pPr>
      <w:r>
        <w:rPr>
          <w:rFonts w:ascii="Arial" w:eastAsia="宋体" w:hAnsi="Arial" w:cs="Arial"/>
          <w:b/>
          <w:bCs/>
          <w:color w:val="000000"/>
          <w:sz w:val="20"/>
          <w:szCs w:val="20"/>
        </w:rPr>
        <w:t>STATE STREET CORPORATION</w:t>
      </w:r>
    </w:p>
    <w:p w14:paraId="392C9D77"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D78" w14:textId="77777777" w:rsidR="00980E5F" w:rsidRDefault="00483613">
      <w:pPr>
        <w:ind w:firstLine="450"/>
        <w:jc w:val="center"/>
      </w:pPr>
      <w:r>
        <w:rPr>
          <w:rFonts w:ascii="Arial" w:eastAsia="宋体" w:hAnsi="Arial" w:cs="Arial"/>
          <w:b/>
          <w:bCs/>
          <w:color w:val="000000"/>
          <w:sz w:val="20"/>
          <w:szCs w:val="20"/>
        </w:rPr>
        <w:t>(UNAUDITED)</w:t>
      </w:r>
    </w:p>
    <w:p w14:paraId="392C9D79" w14:textId="77777777" w:rsidR="00980E5F" w:rsidRDefault="00483613">
      <w:pPr>
        <w:spacing w:before="180"/>
        <w:jc w:val="both"/>
      </w:pPr>
      <w:r>
        <w:rPr>
          <w:rFonts w:ascii="Arial" w:eastAsia="宋体" w:hAnsi="Arial" w:cs="Arial"/>
          <w:b/>
          <w:bCs/>
          <w:color w:val="000000"/>
          <w:sz w:val="20"/>
          <w:szCs w:val="20"/>
        </w:rPr>
        <w:t>Note 14.    Net Interest Income</w:t>
      </w:r>
    </w:p>
    <w:p w14:paraId="392C9D7A" w14:textId="77777777" w:rsidR="00980E5F" w:rsidRDefault="00483613">
      <w:pPr>
        <w:spacing w:before="60"/>
        <w:ind w:firstLine="450"/>
        <w:jc w:val="both"/>
      </w:pPr>
      <w:r>
        <w:rPr>
          <w:rFonts w:ascii="Arial" w:eastAsia="宋体" w:hAnsi="Arial" w:cs="Arial"/>
          <w:color w:val="000000"/>
          <w:sz w:val="20"/>
          <w:szCs w:val="20"/>
        </w:rPr>
        <w:t>The following t</w:t>
      </w:r>
      <w:r>
        <w:rPr>
          <w:rFonts w:ascii="Arial" w:eastAsia="宋体" w:hAnsi="Arial" w:cs="Arial"/>
          <w:color w:val="000000"/>
          <w:sz w:val="20"/>
          <w:szCs w:val="20"/>
        </w:rPr>
        <w:t>able presents the components of interest income and interest expense, and related NII,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3682"/>
        <w:gridCol w:w="38"/>
        <w:gridCol w:w="98"/>
        <w:gridCol w:w="866"/>
        <w:gridCol w:w="36"/>
        <w:gridCol w:w="36"/>
        <w:gridCol w:w="36"/>
        <w:gridCol w:w="36"/>
        <w:gridCol w:w="98"/>
        <w:gridCol w:w="866"/>
        <w:gridCol w:w="36"/>
        <w:gridCol w:w="36"/>
        <w:gridCol w:w="36"/>
        <w:gridCol w:w="36"/>
        <w:gridCol w:w="98"/>
        <w:gridCol w:w="866"/>
        <w:gridCol w:w="36"/>
        <w:gridCol w:w="36"/>
        <w:gridCol w:w="36"/>
        <w:gridCol w:w="36"/>
        <w:gridCol w:w="98"/>
        <w:gridCol w:w="866"/>
        <w:gridCol w:w="36"/>
        <w:gridCol w:w="36"/>
        <w:gridCol w:w="36"/>
        <w:gridCol w:w="36"/>
        <w:gridCol w:w="36"/>
        <w:gridCol w:w="36"/>
        <w:gridCol w:w="36"/>
      </w:tblGrid>
      <w:tr w:rsidR="00980E5F" w14:paraId="392C9D95" w14:textId="77777777">
        <w:tc>
          <w:tcPr>
            <w:tcW w:w="50" w:type="pct"/>
            <w:shd w:val="clear" w:color="auto" w:fill="auto"/>
            <w:vAlign w:val="bottom"/>
          </w:tcPr>
          <w:p w14:paraId="392C9D7B" w14:textId="77777777" w:rsidR="00980E5F" w:rsidRDefault="00980E5F">
            <w:pPr>
              <w:rPr>
                <w:rFonts w:ascii="宋体"/>
              </w:rPr>
            </w:pPr>
          </w:p>
        </w:tc>
        <w:tc>
          <w:tcPr>
            <w:tcW w:w="2331" w:type="pct"/>
            <w:shd w:val="clear" w:color="auto" w:fill="auto"/>
            <w:vAlign w:val="bottom"/>
          </w:tcPr>
          <w:p w14:paraId="392C9D7C" w14:textId="77777777" w:rsidR="00980E5F" w:rsidRDefault="00980E5F">
            <w:pPr>
              <w:rPr>
                <w:rFonts w:ascii="宋体"/>
              </w:rPr>
            </w:pPr>
          </w:p>
        </w:tc>
        <w:tc>
          <w:tcPr>
            <w:tcW w:w="5" w:type="pct"/>
            <w:shd w:val="clear" w:color="auto" w:fill="auto"/>
            <w:vAlign w:val="bottom"/>
          </w:tcPr>
          <w:p w14:paraId="392C9D7D" w14:textId="77777777" w:rsidR="00980E5F" w:rsidRDefault="00980E5F">
            <w:pPr>
              <w:rPr>
                <w:rFonts w:ascii="宋体"/>
              </w:rPr>
            </w:pPr>
          </w:p>
        </w:tc>
        <w:tc>
          <w:tcPr>
            <w:tcW w:w="50" w:type="pct"/>
            <w:shd w:val="clear" w:color="auto" w:fill="auto"/>
            <w:vAlign w:val="bottom"/>
          </w:tcPr>
          <w:p w14:paraId="392C9D7E" w14:textId="77777777" w:rsidR="00980E5F" w:rsidRDefault="00980E5F">
            <w:pPr>
              <w:rPr>
                <w:rFonts w:ascii="宋体"/>
              </w:rPr>
            </w:pPr>
          </w:p>
        </w:tc>
        <w:tc>
          <w:tcPr>
            <w:tcW w:w="576" w:type="pct"/>
            <w:shd w:val="clear" w:color="auto" w:fill="auto"/>
            <w:vAlign w:val="bottom"/>
          </w:tcPr>
          <w:p w14:paraId="392C9D7F" w14:textId="77777777" w:rsidR="00980E5F" w:rsidRDefault="00980E5F">
            <w:pPr>
              <w:rPr>
                <w:rFonts w:ascii="宋体"/>
              </w:rPr>
            </w:pPr>
          </w:p>
        </w:tc>
        <w:tc>
          <w:tcPr>
            <w:tcW w:w="5" w:type="pct"/>
            <w:shd w:val="clear" w:color="auto" w:fill="auto"/>
            <w:vAlign w:val="bottom"/>
          </w:tcPr>
          <w:p w14:paraId="392C9D80" w14:textId="77777777" w:rsidR="00980E5F" w:rsidRDefault="00980E5F">
            <w:pPr>
              <w:rPr>
                <w:rFonts w:ascii="宋体"/>
              </w:rPr>
            </w:pPr>
          </w:p>
        </w:tc>
        <w:tc>
          <w:tcPr>
            <w:tcW w:w="5" w:type="pct"/>
            <w:shd w:val="clear" w:color="auto" w:fill="auto"/>
            <w:vAlign w:val="bottom"/>
          </w:tcPr>
          <w:p w14:paraId="392C9D81" w14:textId="77777777" w:rsidR="00980E5F" w:rsidRDefault="00980E5F">
            <w:pPr>
              <w:rPr>
                <w:rFonts w:ascii="宋体"/>
              </w:rPr>
            </w:pPr>
          </w:p>
        </w:tc>
        <w:tc>
          <w:tcPr>
            <w:tcW w:w="19" w:type="pct"/>
            <w:shd w:val="clear" w:color="auto" w:fill="auto"/>
            <w:vAlign w:val="bottom"/>
          </w:tcPr>
          <w:p w14:paraId="392C9D82" w14:textId="77777777" w:rsidR="00980E5F" w:rsidRDefault="00980E5F">
            <w:pPr>
              <w:rPr>
                <w:rFonts w:ascii="宋体"/>
              </w:rPr>
            </w:pPr>
          </w:p>
        </w:tc>
        <w:tc>
          <w:tcPr>
            <w:tcW w:w="5" w:type="pct"/>
            <w:shd w:val="clear" w:color="auto" w:fill="auto"/>
            <w:vAlign w:val="bottom"/>
          </w:tcPr>
          <w:p w14:paraId="392C9D83" w14:textId="77777777" w:rsidR="00980E5F" w:rsidRDefault="00980E5F">
            <w:pPr>
              <w:rPr>
                <w:rFonts w:ascii="宋体"/>
              </w:rPr>
            </w:pPr>
          </w:p>
        </w:tc>
        <w:tc>
          <w:tcPr>
            <w:tcW w:w="50" w:type="pct"/>
            <w:shd w:val="clear" w:color="auto" w:fill="auto"/>
            <w:vAlign w:val="bottom"/>
          </w:tcPr>
          <w:p w14:paraId="392C9D84" w14:textId="77777777" w:rsidR="00980E5F" w:rsidRDefault="00980E5F">
            <w:pPr>
              <w:rPr>
                <w:rFonts w:ascii="宋体"/>
              </w:rPr>
            </w:pPr>
          </w:p>
        </w:tc>
        <w:tc>
          <w:tcPr>
            <w:tcW w:w="576" w:type="pct"/>
            <w:shd w:val="clear" w:color="auto" w:fill="auto"/>
            <w:vAlign w:val="bottom"/>
          </w:tcPr>
          <w:p w14:paraId="392C9D85" w14:textId="77777777" w:rsidR="00980E5F" w:rsidRDefault="00980E5F">
            <w:pPr>
              <w:rPr>
                <w:rFonts w:ascii="宋体"/>
              </w:rPr>
            </w:pPr>
          </w:p>
        </w:tc>
        <w:tc>
          <w:tcPr>
            <w:tcW w:w="5" w:type="pct"/>
            <w:shd w:val="clear" w:color="auto" w:fill="auto"/>
            <w:vAlign w:val="bottom"/>
          </w:tcPr>
          <w:p w14:paraId="392C9D86" w14:textId="77777777" w:rsidR="00980E5F" w:rsidRDefault="00980E5F">
            <w:pPr>
              <w:rPr>
                <w:rFonts w:ascii="宋体"/>
              </w:rPr>
            </w:pPr>
          </w:p>
        </w:tc>
        <w:tc>
          <w:tcPr>
            <w:tcW w:w="5" w:type="pct"/>
            <w:shd w:val="clear" w:color="auto" w:fill="auto"/>
            <w:vAlign w:val="bottom"/>
          </w:tcPr>
          <w:p w14:paraId="392C9D87" w14:textId="77777777" w:rsidR="00980E5F" w:rsidRDefault="00980E5F">
            <w:pPr>
              <w:rPr>
                <w:rFonts w:ascii="宋体"/>
              </w:rPr>
            </w:pPr>
          </w:p>
        </w:tc>
        <w:tc>
          <w:tcPr>
            <w:tcW w:w="19" w:type="pct"/>
            <w:shd w:val="clear" w:color="auto" w:fill="auto"/>
            <w:vAlign w:val="bottom"/>
          </w:tcPr>
          <w:p w14:paraId="392C9D88" w14:textId="77777777" w:rsidR="00980E5F" w:rsidRDefault="00980E5F">
            <w:pPr>
              <w:rPr>
                <w:rFonts w:ascii="宋体"/>
              </w:rPr>
            </w:pPr>
          </w:p>
        </w:tc>
        <w:tc>
          <w:tcPr>
            <w:tcW w:w="5" w:type="pct"/>
            <w:shd w:val="clear" w:color="auto" w:fill="auto"/>
            <w:vAlign w:val="bottom"/>
          </w:tcPr>
          <w:p w14:paraId="392C9D89" w14:textId="77777777" w:rsidR="00980E5F" w:rsidRDefault="00980E5F">
            <w:pPr>
              <w:rPr>
                <w:rFonts w:ascii="宋体"/>
              </w:rPr>
            </w:pPr>
          </w:p>
        </w:tc>
        <w:tc>
          <w:tcPr>
            <w:tcW w:w="50" w:type="pct"/>
            <w:shd w:val="clear" w:color="auto" w:fill="auto"/>
            <w:vAlign w:val="bottom"/>
          </w:tcPr>
          <w:p w14:paraId="392C9D8A" w14:textId="77777777" w:rsidR="00980E5F" w:rsidRDefault="00980E5F">
            <w:pPr>
              <w:rPr>
                <w:rFonts w:ascii="宋体"/>
              </w:rPr>
            </w:pPr>
          </w:p>
        </w:tc>
        <w:tc>
          <w:tcPr>
            <w:tcW w:w="576" w:type="pct"/>
            <w:shd w:val="clear" w:color="auto" w:fill="auto"/>
            <w:vAlign w:val="bottom"/>
          </w:tcPr>
          <w:p w14:paraId="392C9D8B" w14:textId="77777777" w:rsidR="00980E5F" w:rsidRDefault="00980E5F">
            <w:pPr>
              <w:rPr>
                <w:rFonts w:ascii="宋体"/>
              </w:rPr>
            </w:pPr>
          </w:p>
        </w:tc>
        <w:tc>
          <w:tcPr>
            <w:tcW w:w="5" w:type="pct"/>
            <w:shd w:val="clear" w:color="auto" w:fill="auto"/>
            <w:vAlign w:val="bottom"/>
          </w:tcPr>
          <w:p w14:paraId="392C9D8C" w14:textId="77777777" w:rsidR="00980E5F" w:rsidRDefault="00980E5F">
            <w:pPr>
              <w:rPr>
                <w:rFonts w:ascii="宋体"/>
              </w:rPr>
            </w:pPr>
          </w:p>
        </w:tc>
        <w:tc>
          <w:tcPr>
            <w:tcW w:w="5" w:type="pct"/>
            <w:shd w:val="clear" w:color="auto" w:fill="auto"/>
            <w:vAlign w:val="bottom"/>
          </w:tcPr>
          <w:p w14:paraId="392C9D8D" w14:textId="77777777" w:rsidR="00980E5F" w:rsidRDefault="00980E5F">
            <w:pPr>
              <w:rPr>
                <w:rFonts w:ascii="宋体"/>
              </w:rPr>
            </w:pPr>
          </w:p>
        </w:tc>
        <w:tc>
          <w:tcPr>
            <w:tcW w:w="19" w:type="pct"/>
            <w:shd w:val="clear" w:color="auto" w:fill="auto"/>
            <w:vAlign w:val="bottom"/>
          </w:tcPr>
          <w:p w14:paraId="392C9D8E" w14:textId="77777777" w:rsidR="00980E5F" w:rsidRDefault="00980E5F">
            <w:pPr>
              <w:rPr>
                <w:rFonts w:ascii="宋体"/>
              </w:rPr>
            </w:pPr>
          </w:p>
        </w:tc>
        <w:tc>
          <w:tcPr>
            <w:tcW w:w="5" w:type="pct"/>
            <w:shd w:val="clear" w:color="auto" w:fill="auto"/>
            <w:vAlign w:val="bottom"/>
          </w:tcPr>
          <w:p w14:paraId="392C9D8F" w14:textId="77777777" w:rsidR="00980E5F" w:rsidRDefault="00980E5F">
            <w:pPr>
              <w:rPr>
                <w:rFonts w:ascii="宋体"/>
              </w:rPr>
            </w:pPr>
          </w:p>
        </w:tc>
        <w:tc>
          <w:tcPr>
            <w:tcW w:w="50" w:type="pct"/>
            <w:shd w:val="clear" w:color="auto" w:fill="auto"/>
            <w:vAlign w:val="bottom"/>
          </w:tcPr>
          <w:p w14:paraId="392C9D90" w14:textId="77777777" w:rsidR="00980E5F" w:rsidRDefault="00980E5F">
            <w:pPr>
              <w:rPr>
                <w:rFonts w:ascii="宋体"/>
              </w:rPr>
            </w:pPr>
          </w:p>
        </w:tc>
        <w:tc>
          <w:tcPr>
            <w:tcW w:w="576" w:type="pct"/>
            <w:shd w:val="clear" w:color="auto" w:fill="auto"/>
            <w:vAlign w:val="bottom"/>
          </w:tcPr>
          <w:p w14:paraId="392C9D91" w14:textId="77777777" w:rsidR="00980E5F" w:rsidRDefault="00980E5F">
            <w:pPr>
              <w:rPr>
                <w:rFonts w:ascii="宋体"/>
              </w:rPr>
            </w:pPr>
          </w:p>
        </w:tc>
        <w:tc>
          <w:tcPr>
            <w:tcW w:w="5" w:type="pct"/>
            <w:shd w:val="clear" w:color="auto" w:fill="auto"/>
            <w:vAlign w:val="bottom"/>
          </w:tcPr>
          <w:p w14:paraId="392C9D92" w14:textId="77777777" w:rsidR="00980E5F" w:rsidRDefault="00980E5F">
            <w:pPr>
              <w:rPr>
                <w:rFonts w:ascii="宋体"/>
              </w:rPr>
            </w:pPr>
          </w:p>
        </w:tc>
        <w:tc>
          <w:tcPr>
            <w:tcW w:w="0" w:type="auto"/>
            <w:gridSpan w:val="3"/>
            <w:shd w:val="clear" w:color="auto" w:fill="auto"/>
            <w:vAlign w:val="bottom"/>
          </w:tcPr>
          <w:p w14:paraId="392C9D93" w14:textId="77777777" w:rsidR="00980E5F" w:rsidRDefault="00980E5F">
            <w:pPr>
              <w:rPr>
                <w:rFonts w:ascii="宋体"/>
                <w:vanish/>
              </w:rPr>
            </w:pPr>
          </w:p>
        </w:tc>
        <w:tc>
          <w:tcPr>
            <w:tcW w:w="0" w:type="auto"/>
            <w:gridSpan w:val="3"/>
            <w:shd w:val="clear" w:color="auto" w:fill="auto"/>
            <w:vAlign w:val="bottom"/>
          </w:tcPr>
          <w:p w14:paraId="392C9D94" w14:textId="77777777" w:rsidR="00980E5F" w:rsidRDefault="00980E5F">
            <w:pPr>
              <w:rPr>
                <w:rFonts w:ascii="宋体"/>
                <w:vanish/>
              </w:rPr>
            </w:pPr>
          </w:p>
        </w:tc>
      </w:tr>
      <w:tr w:rsidR="00980E5F" w14:paraId="392C9DA0" w14:textId="77777777">
        <w:tc>
          <w:tcPr>
            <w:tcW w:w="0" w:type="auto"/>
            <w:gridSpan w:val="3"/>
            <w:shd w:val="clear" w:color="auto" w:fill="auto"/>
            <w:tcMar>
              <w:top w:w="0" w:type="dxa"/>
              <w:left w:w="20" w:type="dxa"/>
              <w:bottom w:w="0" w:type="dxa"/>
              <w:right w:w="20" w:type="dxa"/>
            </w:tcMar>
            <w:vAlign w:val="bottom"/>
          </w:tcPr>
          <w:p w14:paraId="392C9D96"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D97"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392C9D98"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D99"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9D9A" w14:textId="77777777" w:rsidR="00980E5F" w:rsidRDefault="00980E5F">
            <w:pPr>
              <w:rPr>
                <w:rFonts w:ascii="宋体"/>
              </w:rPr>
            </w:pPr>
          </w:p>
        </w:tc>
        <w:tc>
          <w:tcPr>
            <w:tcW w:w="0" w:type="auto"/>
            <w:shd w:val="clear" w:color="auto" w:fill="auto"/>
            <w:vAlign w:val="bottom"/>
          </w:tcPr>
          <w:p w14:paraId="392C9D9B" w14:textId="77777777" w:rsidR="00980E5F" w:rsidRDefault="00980E5F">
            <w:pPr>
              <w:rPr>
                <w:rFonts w:ascii="宋体"/>
              </w:rPr>
            </w:pPr>
          </w:p>
        </w:tc>
        <w:tc>
          <w:tcPr>
            <w:tcW w:w="0" w:type="auto"/>
            <w:shd w:val="clear" w:color="auto" w:fill="auto"/>
            <w:vAlign w:val="bottom"/>
          </w:tcPr>
          <w:p w14:paraId="392C9D9C" w14:textId="77777777" w:rsidR="00980E5F" w:rsidRDefault="00980E5F">
            <w:pPr>
              <w:rPr>
                <w:rFonts w:ascii="宋体"/>
              </w:rPr>
            </w:pPr>
          </w:p>
        </w:tc>
        <w:tc>
          <w:tcPr>
            <w:tcW w:w="0" w:type="auto"/>
            <w:shd w:val="clear" w:color="auto" w:fill="auto"/>
            <w:vAlign w:val="bottom"/>
          </w:tcPr>
          <w:p w14:paraId="392C9D9D" w14:textId="77777777" w:rsidR="00980E5F" w:rsidRDefault="00980E5F">
            <w:pPr>
              <w:rPr>
                <w:rFonts w:ascii="宋体"/>
              </w:rPr>
            </w:pPr>
          </w:p>
        </w:tc>
        <w:tc>
          <w:tcPr>
            <w:tcW w:w="0" w:type="auto"/>
            <w:shd w:val="clear" w:color="auto" w:fill="auto"/>
            <w:vAlign w:val="bottom"/>
          </w:tcPr>
          <w:p w14:paraId="392C9D9E" w14:textId="77777777" w:rsidR="00980E5F" w:rsidRDefault="00980E5F">
            <w:pPr>
              <w:rPr>
                <w:rFonts w:ascii="宋体"/>
              </w:rPr>
            </w:pPr>
          </w:p>
        </w:tc>
        <w:tc>
          <w:tcPr>
            <w:tcW w:w="0" w:type="auto"/>
            <w:shd w:val="clear" w:color="auto" w:fill="auto"/>
            <w:vAlign w:val="bottom"/>
          </w:tcPr>
          <w:p w14:paraId="392C9D9F" w14:textId="77777777" w:rsidR="00980E5F" w:rsidRDefault="00980E5F">
            <w:pPr>
              <w:rPr>
                <w:rFonts w:ascii="宋体"/>
              </w:rPr>
            </w:pPr>
          </w:p>
        </w:tc>
      </w:tr>
      <w:tr w:rsidR="00980E5F" w14:paraId="392C9DAB" w14:textId="77777777">
        <w:tc>
          <w:tcPr>
            <w:tcW w:w="0" w:type="auto"/>
            <w:gridSpan w:val="3"/>
            <w:shd w:val="clear" w:color="auto" w:fill="auto"/>
            <w:tcMar>
              <w:top w:w="40" w:type="dxa"/>
              <w:left w:w="20" w:type="dxa"/>
              <w:bottom w:w="40" w:type="dxa"/>
              <w:right w:w="20" w:type="dxa"/>
            </w:tcMar>
            <w:vAlign w:val="bottom"/>
          </w:tcPr>
          <w:p w14:paraId="392C9DA1"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DA2"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A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DA4"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9DA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DA6"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A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DA8"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392C9DA9" w14:textId="77777777" w:rsidR="00980E5F" w:rsidRDefault="00980E5F">
            <w:pPr>
              <w:rPr>
                <w:rFonts w:ascii="宋体"/>
                <w:vanish/>
              </w:rPr>
            </w:pPr>
          </w:p>
        </w:tc>
        <w:tc>
          <w:tcPr>
            <w:tcW w:w="0" w:type="auto"/>
            <w:gridSpan w:val="3"/>
            <w:shd w:val="clear" w:color="auto" w:fill="auto"/>
            <w:vAlign w:val="bottom"/>
          </w:tcPr>
          <w:p w14:paraId="392C9DAA" w14:textId="77777777" w:rsidR="00980E5F" w:rsidRDefault="00980E5F">
            <w:pPr>
              <w:rPr>
                <w:rFonts w:ascii="宋体"/>
                <w:vanish/>
              </w:rPr>
            </w:pPr>
          </w:p>
        </w:tc>
      </w:tr>
      <w:tr w:rsidR="00980E5F" w14:paraId="392C9DB6" w14:textId="77777777">
        <w:tc>
          <w:tcPr>
            <w:tcW w:w="0" w:type="auto"/>
            <w:gridSpan w:val="3"/>
            <w:shd w:val="clear" w:color="auto" w:fill="auto"/>
            <w:tcMar>
              <w:top w:w="40" w:type="dxa"/>
              <w:left w:w="20" w:type="dxa"/>
              <w:bottom w:w="40" w:type="dxa"/>
              <w:right w:w="20" w:type="dxa"/>
            </w:tcMar>
            <w:vAlign w:val="bottom"/>
          </w:tcPr>
          <w:p w14:paraId="392C9DAC" w14:textId="77777777" w:rsidR="00980E5F" w:rsidRDefault="00483613">
            <w:pPr>
              <w:textAlignment w:val="bottom"/>
            </w:pPr>
            <w:r>
              <w:rPr>
                <w:rFonts w:ascii="Arial" w:eastAsia="宋体" w:hAnsi="Arial" w:cs="Arial"/>
                <w:b/>
                <w:bCs/>
                <w:color w:val="000000"/>
                <w:sz w:val="14"/>
                <w:szCs w:val="14"/>
              </w:rPr>
              <w:t>Interest income: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DA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DB0"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9DB2"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DB3" w14:textId="77777777" w:rsidR="00980E5F" w:rsidRDefault="00980E5F">
            <w:pPr>
              <w:rPr>
                <w:rFonts w:ascii="宋体"/>
              </w:rPr>
            </w:pPr>
          </w:p>
        </w:tc>
        <w:tc>
          <w:tcPr>
            <w:tcW w:w="0" w:type="auto"/>
            <w:gridSpan w:val="3"/>
            <w:shd w:val="clear" w:color="auto" w:fill="auto"/>
            <w:vAlign w:val="bottom"/>
          </w:tcPr>
          <w:p w14:paraId="392C9DB4" w14:textId="77777777" w:rsidR="00980E5F" w:rsidRDefault="00980E5F">
            <w:pPr>
              <w:rPr>
                <w:rFonts w:ascii="宋体"/>
                <w:vanish/>
              </w:rPr>
            </w:pPr>
          </w:p>
        </w:tc>
        <w:tc>
          <w:tcPr>
            <w:tcW w:w="0" w:type="auto"/>
            <w:gridSpan w:val="3"/>
            <w:shd w:val="clear" w:color="auto" w:fill="auto"/>
            <w:vAlign w:val="bottom"/>
          </w:tcPr>
          <w:p w14:paraId="392C9DB5" w14:textId="77777777" w:rsidR="00980E5F" w:rsidRDefault="00980E5F">
            <w:pPr>
              <w:rPr>
                <w:rFonts w:ascii="宋体"/>
                <w:vanish/>
              </w:rPr>
            </w:pPr>
          </w:p>
        </w:tc>
      </w:tr>
      <w:tr w:rsidR="00980E5F" w14:paraId="392C9DC9" w14:textId="77777777">
        <w:tc>
          <w:tcPr>
            <w:tcW w:w="0" w:type="auto"/>
            <w:gridSpan w:val="3"/>
            <w:shd w:val="clear" w:color="auto" w:fill="CCEEFF"/>
            <w:tcMar>
              <w:top w:w="40" w:type="dxa"/>
              <w:left w:w="20" w:type="dxa"/>
              <w:bottom w:w="40" w:type="dxa"/>
              <w:right w:w="20" w:type="dxa"/>
            </w:tcMar>
            <w:vAlign w:val="bottom"/>
          </w:tcPr>
          <w:p w14:paraId="392C9DB7" w14:textId="77777777" w:rsidR="00980E5F" w:rsidRDefault="00483613">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392C9DB8"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DB9" w14:textId="77777777" w:rsidR="00980E5F" w:rsidRDefault="00483613">
            <w:pPr>
              <w:jc w:val="right"/>
              <w:textAlignment w:val="bottom"/>
            </w:pPr>
            <w:r>
              <w:rPr>
                <w:rFonts w:ascii="Arial" w:eastAsia="宋体" w:hAnsi="Arial" w:cs="Arial"/>
                <w:b/>
                <w:bCs/>
                <w:color w:val="000000"/>
                <w:sz w:val="14"/>
                <w:szCs w:val="14"/>
              </w:rPr>
              <w:t>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D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BB"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DBC"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DBD" w14:textId="77777777" w:rsidR="00980E5F" w:rsidRDefault="00483613">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392C9D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BF"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DC0"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392C9DC1" w14:textId="77777777" w:rsidR="00980E5F" w:rsidRDefault="00483613">
            <w:pPr>
              <w:jc w:val="right"/>
              <w:textAlignment w:val="bottom"/>
            </w:pPr>
            <w:r>
              <w:rPr>
                <w:rFonts w:ascii="Arial" w:eastAsia="宋体" w:hAnsi="Arial" w:cs="Arial"/>
                <w:b/>
                <w:bCs/>
                <w:color w:val="000000"/>
                <w:sz w:val="14"/>
                <w:szCs w:val="14"/>
              </w:rPr>
              <w:t>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D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C3"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9DC4" w14:textId="77777777" w:rsidR="00980E5F" w:rsidRDefault="00483613">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392C9DC5" w14:textId="77777777" w:rsidR="00980E5F" w:rsidRDefault="00483613">
            <w:pPr>
              <w:jc w:val="right"/>
              <w:textAlignment w:val="bottom"/>
            </w:pPr>
            <w:r>
              <w:rPr>
                <w:rFonts w:ascii="Arial" w:eastAsia="宋体" w:hAnsi="Arial" w:cs="Arial"/>
                <w:color w:val="000000"/>
                <w:sz w:val="14"/>
                <w:szCs w:val="14"/>
              </w:rPr>
              <w:t>(13)</w:t>
            </w:r>
          </w:p>
        </w:tc>
        <w:tc>
          <w:tcPr>
            <w:tcW w:w="0" w:type="auto"/>
            <w:shd w:val="clear" w:color="auto" w:fill="CCEEFF"/>
            <w:tcMar>
              <w:top w:w="40" w:type="dxa"/>
              <w:left w:w="0" w:type="dxa"/>
              <w:bottom w:w="40" w:type="dxa"/>
              <w:right w:w="20" w:type="dxa"/>
            </w:tcMar>
            <w:vAlign w:val="bottom"/>
          </w:tcPr>
          <w:p w14:paraId="392C9DC6" w14:textId="77777777" w:rsidR="00980E5F" w:rsidRDefault="00980E5F">
            <w:pPr>
              <w:jc w:val="right"/>
              <w:rPr>
                <w:rFonts w:ascii="宋体"/>
              </w:rPr>
            </w:pPr>
          </w:p>
        </w:tc>
        <w:tc>
          <w:tcPr>
            <w:tcW w:w="0" w:type="auto"/>
            <w:gridSpan w:val="3"/>
            <w:shd w:val="clear" w:color="auto" w:fill="auto"/>
            <w:vAlign w:val="bottom"/>
          </w:tcPr>
          <w:p w14:paraId="392C9DC7" w14:textId="77777777" w:rsidR="00980E5F" w:rsidRDefault="00980E5F">
            <w:pPr>
              <w:rPr>
                <w:rFonts w:ascii="宋体"/>
                <w:vanish/>
              </w:rPr>
            </w:pPr>
          </w:p>
        </w:tc>
        <w:tc>
          <w:tcPr>
            <w:tcW w:w="0" w:type="auto"/>
            <w:gridSpan w:val="3"/>
            <w:shd w:val="clear" w:color="auto" w:fill="auto"/>
            <w:vAlign w:val="bottom"/>
          </w:tcPr>
          <w:p w14:paraId="392C9DC8" w14:textId="77777777" w:rsidR="00980E5F" w:rsidRDefault="00980E5F">
            <w:pPr>
              <w:rPr>
                <w:rFonts w:ascii="宋体"/>
                <w:vanish/>
              </w:rPr>
            </w:pPr>
          </w:p>
        </w:tc>
      </w:tr>
      <w:tr w:rsidR="00980E5F" w14:paraId="392C9DD4" w14:textId="77777777">
        <w:tc>
          <w:tcPr>
            <w:tcW w:w="0" w:type="auto"/>
            <w:gridSpan w:val="3"/>
            <w:shd w:val="clear" w:color="auto" w:fill="FFFFFF"/>
            <w:tcMar>
              <w:top w:w="40" w:type="dxa"/>
              <w:left w:w="20" w:type="dxa"/>
              <w:bottom w:w="40" w:type="dxa"/>
              <w:right w:w="20" w:type="dxa"/>
            </w:tcMar>
            <w:vAlign w:val="bottom"/>
          </w:tcPr>
          <w:p w14:paraId="392C9DCA" w14:textId="77777777" w:rsidR="00980E5F" w:rsidRDefault="00483613">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392C9DCB"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CC"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CD"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C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CF"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D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9DD1" w14:textId="77777777" w:rsidR="00980E5F" w:rsidRDefault="00980E5F">
            <w:pPr>
              <w:rPr>
                <w:rFonts w:ascii="宋体"/>
              </w:rPr>
            </w:pPr>
          </w:p>
        </w:tc>
        <w:tc>
          <w:tcPr>
            <w:tcW w:w="0" w:type="auto"/>
            <w:gridSpan w:val="3"/>
            <w:shd w:val="clear" w:color="auto" w:fill="auto"/>
            <w:vAlign w:val="bottom"/>
          </w:tcPr>
          <w:p w14:paraId="392C9DD2" w14:textId="77777777" w:rsidR="00980E5F" w:rsidRDefault="00980E5F">
            <w:pPr>
              <w:rPr>
                <w:rFonts w:ascii="宋体"/>
                <w:vanish/>
              </w:rPr>
            </w:pPr>
          </w:p>
        </w:tc>
        <w:tc>
          <w:tcPr>
            <w:tcW w:w="0" w:type="auto"/>
            <w:gridSpan w:val="3"/>
            <w:shd w:val="clear" w:color="auto" w:fill="auto"/>
            <w:vAlign w:val="bottom"/>
          </w:tcPr>
          <w:p w14:paraId="392C9DD3" w14:textId="77777777" w:rsidR="00980E5F" w:rsidRDefault="00980E5F">
            <w:pPr>
              <w:rPr>
                <w:rFonts w:ascii="宋体"/>
                <w:vanish/>
              </w:rPr>
            </w:pPr>
          </w:p>
        </w:tc>
      </w:tr>
      <w:tr w:rsidR="00980E5F" w14:paraId="392C9DDF" w14:textId="77777777">
        <w:trPr>
          <w:hidden/>
        </w:trPr>
        <w:tc>
          <w:tcPr>
            <w:tcW w:w="0" w:type="auto"/>
            <w:gridSpan w:val="3"/>
            <w:shd w:val="clear" w:color="auto" w:fill="auto"/>
            <w:vAlign w:val="bottom"/>
          </w:tcPr>
          <w:p w14:paraId="392C9DD5" w14:textId="77777777" w:rsidR="00980E5F" w:rsidRDefault="00980E5F">
            <w:pPr>
              <w:rPr>
                <w:rFonts w:ascii="宋体"/>
                <w:vanish/>
              </w:rPr>
            </w:pPr>
          </w:p>
        </w:tc>
        <w:tc>
          <w:tcPr>
            <w:tcW w:w="0" w:type="auto"/>
            <w:gridSpan w:val="3"/>
            <w:shd w:val="clear" w:color="auto" w:fill="auto"/>
            <w:vAlign w:val="bottom"/>
          </w:tcPr>
          <w:p w14:paraId="392C9DD6" w14:textId="77777777" w:rsidR="00980E5F" w:rsidRDefault="00980E5F">
            <w:pPr>
              <w:rPr>
                <w:rFonts w:ascii="宋体"/>
                <w:vanish/>
              </w:rPr>
            </w:pPr>
          </w:p>
        </w:tc>
        <w:tc>
          <w:tcPr>
            <w:tcW w:w="0" w:type="auto"/>
            <w:gridSpan w:val="3"/>
            <w:shd w:val="clear" w:color="auto" w:fill="auto"/>
            <w:vAlign w:val="bottom"/>
          </w:tcPr>
          <w:p w14:paraId="392C9DD7" w14:textId="77777777" w:rsidR="00980E5F" w:rsidRDefault="00980E5F">
            <w:pPr>
              <w:rPr>
                <w:rFonts w:ascii="宋体"/>
                <w:vanish/>
              </w:rPr>
            </w:pPr>
          </w:p>
        </w:tc>
        <w:tc>
          <w:tcPr>
            <w:tcW w:w="0" w:type="auto"/>
            <w:gridSpan w:val="3"/>
            <w:shd w:val="clear" w:color="auto" w:fill="auto"/>
            <w:vAlign w:val="bottom"/>
          </w:tcPr>
          <w:p w14:paraId="392C9DD8" w14:textId="77777777" w:rsidR="00980E5F" w:rsidRDefault="00980E5F">
            <w:pPr>
              <w:rPr>
                <w:rFonts w:ascii="宋体"/>
                <w:vanish/>
              </w:rPr>
            </w:pPr>
          </w:p>
        </w:tc>
        <w:tc>
          <w:tcPr>
            <w:tcW w:w="0" w:type="auto"/>
            <w:gridSpan w:val="3"/>
            <w:shd w:val="clear" w:color="auto" w:fill="auto"/>
            <w:vAlign w:val="bottom"/>
          </w:tcPr>
          <w:p w14:paraId="392C9DD9" w14:textId="77777777" w:rsidR="00980E5F" w:rsidRDefault="00980E5F">
            <w:pPr>
              <w:rPr>
                <w:rFonts w:ascii="宋体"/>
                <w:vanish/>
              </w:rPr>
            </w:pPr>
          </w:p>
        </w:tc>
        <w:tc>
          <w:tcPr>
            <w:tcW w:w="0" w:type="auto"/>
            <w:gridSpan w:val="3"/>
            <w:shd w:val="clear" w:color="auto" w:fill="auto"/>
            <w:vAlign w:val="bottom"/>
          </w:tcPr>
          <w:p w14:paraId="392C9DDA" w14:textId="77777777" w:rsidR="00980E5F" w:rsidRDefault="00980E5F">
            <w:pPr>
              <w:rPr>
                <w:rFonts w:ascii="宋体"/>
                <w:vanish/>
              </w:rPr>
            </w:pPr>
          </w:p>
        </w:tc>
        <w:tc>
          <w:tcPr>
            <w:tcW w:w="0" w:type="auto"/>
            <w:gridSpan w:val="3"/>
            <w:shd w:val="clear" w:color="auto" w:fill="auto"/>
            <w:vAlign w:val="bottom"/>
          </w:tcPr>
          <w:p w14:paraId="392C9DDB" w14:textId="77777777" w:rsidR="00980E5F" w:rsidRDefault="00980E5F">
            <w:pPr>
              <w:rPr>
                <w:rFonts w:ascii="宋体"/>
                <w:vanish/>
              </w:rPr>
            </w:pPr>
          </w:p>
        </w:tc>
        <w:tc>
          <w:tcPr>
            <w:tcW w:w="0" w:type="auto"/>
            <w:gridSpan w:val="3"/>
            <w:shd w:val="clear" w:color="auto" w:fill="auto"/>
            <w:vAlign w:val="bottom"/>
          </w:tcPr>
          <w:p w14:paraId="392C9DDC" w14:textId="77777777" w:rsidR="00980E5F" w:rsidRDefault="00980E5F">
            <w:pPr>
              <w:rPr>
                <w:rFonts w:ascii="宋体"/>
                <w:vanish/>
              </w:rPr>
            </w:pPr>
          </w:p>
        </w:tc>
        <w:tc>
          <w:tcPr>
            <w:tcW w:w="0" w:type="auto"/>
            <w:gridSpan w:val="3"/>
            <w:shd w:val="clear" w:color="auto" w:fill="auto"/>
            <w:vAlign w:val="bottom"/>
          </w:tcPr>
          <w:p w14:paraId="392C9DDD" w14:textId="77777777" w:rsidR="00980E5F" w:rsidRDefault="00980E5F">
            <w:pPr>
              <w:rPr>
                <w:rFonts w:ascii="宋体"/>
                <w:vanish/>
              </w:rPr>
            </w:pPr>
          </w:p>
        </w:tc>
        <w:tc>
          <w:tcPr>
            <w:tcW w:w="0" w:type="auto"/>
            <w:gridSpan w:val="3"/>
            <w:shd w:val="clear" w:color="auto" w:fill="auto"/>
            <w:vAlign w:val="bottom"/>
          </w:tcPr>
          <w:p w14:paraId="392C9DDE" w14:textId="77777777" w:rsidR="00980E5F" w:rsidRDefault="00980E5F">
            <w:pPr>
              <w:rPr>
                <w:rFonts w:ascii="宋体"/>
                <w:vanish/>
              </w:rPr>
            </w:pPr>
          </w:p>
        </w:tc>
      </w:tr>
      <w:tr w:rsidR="00980E5F" w14:paraId="392C9DEA" w14:textId="77777777">
        <w:trPr>
          <w:hidden/>
        </w:trPr>
        <w:tc>
          <w:tcPr>
            <w:tcW w:w="0" w:type="auto"/>
            <w:gridSpan w:val="3"/>
            <w:shd w:val="clear" w:color="auto" w:fill="auto"/>
            <w:vAlign w:val="bottom"/>
          </w:tcPr>
          <w:p w14:paraId="392C9DE0" w14:textId="77777777" w:rsidR="00980E5F" w:rsidRDefault="00980E5F">
            <w:pPr>
              <w:rPr>
                <w:rFonts w:ascii="宋体"/>
                <w:vanish/>
              </w:rPr>
            </w:pPr>
          </w:p>
        </w:tc>
        <w:tc>
          <w:tcPr>
            <w:tcW w:w="0" w:type="auto"/>
            <w:gridSpan w:val="3"/>
            <w:shd w:val="clear" w:color="auto" w:fill="auto"/>
            <w:vAlign w:val="bottom"/>
          </w:tcPr>
          <w:p w14:paraId="392C9DE1" w14:textId="77777777" w:rsidR="00980E5F" w:rsidRDefault="00980E5F">
            <w:pPr>
              <w:rPr>
                <w:rFonts w:ascii="宋体"/>
                <w:vanish/>
              </w:rPr>
            </w:pPr>
          </w:p>
        </w:tc>
        <w:tc>
          <w:tcPr>
            <w:tcW w:w="0" w:type="auto"/>
            <w:gridSpan w:val="3"/>
            <w:shd w:val="clear" w:color="auto" w:fill="auto"/>
            <w:vAlign w:val="bottom"/>
          </w:tcPr>
          <w:p w14:paraId="392C9DE2" w14:textId="77777777" w:rsidR="00980E5F" w:rsidRDefault="00980E5F">
            <w:pPr>
              <w:rPr>
                <w:rFonts w:ascii="宋体"/>
                <w:vanish/>
              </w:rPr>
            </w:pPr>
          </w:p>
        </w:tc>
        <w:tc>
          <w:tcPr>
            <w:tcW w:w="0" w:type="auto"/>
            <w:gridSpan w:val="3"/>
            <w:shd w:val="clear" w:color="auto" w:fill="auto"/>
            <w:vAlign w:val="bottom"/>
          </w:tcPr>
          <w:p w14:paraId="392C9DE3" w14:textId="77777777" w:rsidR="00980E5F" w:rsidRDefault="00980E5F">
            <w:pPr>
              <w:rPr>
                <w:rFonts w:ascii="宋体"/>
                <w:vanish/>
              </w:rPr>
            </w:pPr>
          </w:p>
        </w:tc>
        <w:tc>
          <w:tcPr>
            <w:tcW w:w="0" w:type="auto"/>
            <w:gridSpan w:val="3"/>
            <w:shd w:val="clear" w:color="auto" w:fill="auto"/>
            <w:vAlign w:val="bottom"/>
          </w:tcPr>
          <w:p w14:paraId="392C9DE4" w14:textId="77777777" w:rsidR="00980E5F" w:rsidRDefault="00980E5F">
            <w:pPr>
              <w:rPr>
                <w:rFonts w:ascii="宋体"/>
                <w:vanish/>
              </w:rPr>
            </w:pPr>
          </w:p>
        </w:tc>
        <w:tc>
          <w:tcPr>
            <w:tcW w:w="0" w:type="auto"/>
            <w:gridSpan w:val="3"/>
            <w:shd w:val="clear" w:color="auto" w:fill="auto"/>
            <w:vAlign w:val="bottom"/>
          </w:tcPr>
          <w:p w14:paraId="392C9DE5" w14:textId="77777777" w:rsidR="00980E5F" w:rsidRDefault="00980E5F">
            <w:pPr>
              <w:rPr>
                <w:rFonts w:ascii="宋体"/>
                <w:vanish/>
              </w:rPr>
            </w:pPr>
          </w:p>
        </w:tc>
        <w:tc>
          <w:tcPr>
            <w:tcW w:w="0" w:type="auto"/>
            <w:gridSpan w:val="3"/>
            <w:shd w:val="clear" w:color="auto" w:fill="auto"/>
            <w:vAlign w:val="bottom"/>
          </w:tcPr>
          <w:p w14:paraId="392C9DE6" w14:textId="77777777" w:rsidR="00980E5F" w:rsidRDefault="00980E5F">
            <w:pPr>
              <w:rPr>
                <w:rFonts w:ascii="宋体"/>
                <w:vanish/>
              </w:rPr>
            </w:pPr>
          </w:p>
        </w:tc>
        <w:tc>
          <w:tcPr>
            <w:tcW w:w="0" w:type="auto"/>
            <w:gridSpan w:val="3"/>
            <w:shd w:val="clear" w:color="auto" w:fill="auto"/>
            <w:vAlign w:val="bottom"/>
          </w:tcPr>
          <w:p w14:paraId="392C9DE7" w14:textId="77777777" w:rsidR="00980E5F" w:rsidRDefault="00980E5F">
            <w:pPr>
              <w:rPr>
                <w:rFonts w:ascii="宋体"/>
                <w:vanish/>
              </w:rPr>
            </w:pPr>
          </w:p>
        </w:tc>
        <w:tc>
          <w:tcPr>
            <w:tcW w:w="0" w:type="auto"/>
            <w:gridSpan w:val="3"/>
            <w:shd w:val="clear" w:color="auto" w:fill="auto"/>
            <w:vAlign w:val="bottom"/>
          </w:tcPr>
          <w:p w14:paraId="392C9DE8" w14:textId="77777777" w:rsidR="00980E5F" w:rsidRDefault="00980E5F">
            <w:pPr>
              <w:rPr>
                <w:rFonts w:ascii="宋体"/>
                <w:vanish/>
              </w:rPr>
            </w:pPr>
          </w:p>
        </w:tc>
        <w:tc>
          <w:tcPr>
            <w:tcW w:w="0" w:type="auto"/>
            <w:gridSpan w:val="3"/>
            <w:shd w:val="clear" w:color="auto" w:fill="auto"/>
            <w:vAlign w:val="bottom"/>
          </w:tcPr>
          <w:p w14:paraId="392C9DE9" w14:textId="77777777" w:rsidR="00980E5F" w:rsidRDefault="00980E5F">
            <w:pPr>
              <w:rPr>
                <w:rFonts w:ascii="宋体"/>
                <w:vanish/>
              </w:rPr>
            </w:pPr>
          </w:p>
        </w:tc>
      </w:tr>
      <w:tr w:rsidR="00980E5F" w14:paraId="392C9DF5" w14:textId="77777777">
        <w:trPr>
          <w:hidden/>
        </w:trPr>
        <w:tc>
          <w:tcPr>
            <w:tcW w:w="0" w:type="auto"/>
            <w:gridSpan w:val="3"/>
            <w:shd w:val="clear" w:color="auto" w:fill="auto"/>
            <w:vAlign w:val="bottom"/>
          </w:tcPr>
          <w:p w14:paraId="392C9DEB" w14:textId="77777777" w:rsidR="00980E5F" w:rsidRDefault="00980E5F">
            <w:pPr>
              <w:rPr>
                <w:rFonts w:ascii="宋体"/>
                <w:vanish/>
              </w:rPr>
            </w:pPr>
          </w:p>
        </w:tc>
        <w:tc>
          <w:tcPr>
            <w:tcW w:w="0" w:type="auto"/>
            <w:gridSpan w:val="3"/>
            <w:shd w:val="clear" w:color="auto" w:fill="auto"/>
            <w:vAlign w:val="bottom"/>
          </w:tcPr>
          <w:p w14:paraId="392C9DEC" w14:textId="77777777" w:rsidR="00980E5F" w:rsidRDefault="00980E5F">
            <w:pPr>
              <w:rPr>
                <w:rFonts w:ascii="宋体"/>
                <w:vanish/>
              </w:rPr>
            </w:pPr>
          </w:p>
        </w:tc>
        <w:tc>
          <w:tcPr>
            <w:tcW w:w="0" w:type="auto"/>
            <w:gridSpan w:val="3"/>
            <w:shd w:val="clear" w:color="auto" w:fill="auto"/>
            <w:vAlign w:val="bottom"/>
          </w:tcPr>
          <w:p w14:paraId="392C9DED" w14:textId="77777777" w:rsidR="00980E5F" w:rsidRDefault="00980E5F">
            <w:pPr>
              <w:rPr>
                <w:rFonts w:ascii="宋体"/>
                <w:vanish/>
              </w:rPr>
            </w:pPr>
          </w:p>
        </w:tc>
        <w:tc>
          <w:tcPr>
            <w:tcW w:w="0" w:type="auto"/>
            <w:gridSpan w:val="3"/>
            <w:shd w:val="clear" w:color="auto" w:fill="auto"/>
            <w:vAlign w:val="bottom"/>
          </w:tcPr>
          <w:p w14:paraId="392C9DEE" w14:textId="77777777" w:rsidR="00980E5F" w:rsidRDefault="00980E5F">
            <w:pPr>
              <w:rPr>
                <w:rFonts w:ascii="宋体"/>
                <w:vanish/>
              </w:rPr>
            </w:pPr>
          </w:p>
        </w:tc>
        <w:tc>
          <w:tcPr>
            <w:tcW w:w="0" w:type="auto"/>
            <w:gridSpan w:val="3"/>
            <w:shd w:val="clear" w:color="auto" w:fill="auto"/>
            <w:vAlign w:val="bottom"/>
          </w:tcPr>
          <w:p w14:paraId="392C9DEF" w14:textId="77777777" w:rsidR="00980E5F" w:rsidRDefault="00980E5F">
            <w:pPr>
              <w:rPr>
                <w:rFonts w:ascii="宋体"/>
                <w:vanish/>
              </w:rPr>
            </w:pPr>
          </w:p>
        </w:tc>
        <w:tc>
          <w:tcPr>
            <w:tcW w:w="0" w:type="auto"/>
            <w:gridSpan w:val="3"/>
            <w:shd w:val="clear" w:color="auto" w:fill="auto"/>
            <w:vAlign w:val="bottom"/>
          </w:tcPr>
          <w:p w14:paraId="392C9DF0" w14:textId="77777777" w:rsidR="00980E5F" w:rsidRDefault="00980E5F">
            <w:pPr>
              <w:rPr>
                <w:rFonts w:ascii="宋体"/>
                <w:vanish/>
              </w:rPr>
            </w:pPr>
          </w:p>
        </w:tc>
        <w:tc>
          <w:tcPr>
            <w:tcW w:w="0" w:type="auto"/>
            <w:gridSpan w:val="3"/>
            <w:shd w:val="clear" w:color="auto" w:fill="auto"/>
            <w:vAlign w:val="bottom"/>
          </w:tcPr>
          <w:p w14:paraId="392C9DF1" w14:textId="77777777" w:rsidR="00980E5F" w:rsidRDefault="00980E5F">
            <w:pPr>
              <w:rPr>
                <w:rFonts w:ascii="宋体"/>
                <w:vanish/>
              </w:rPr>
            </w:pPr>
          </w:p>
        </w:tc>
        <w:tc>
          <w:tcPr>
            <w:tcW w:w="0" w:type="auto"/>
            <w:gridSpan w:val="3"/>
            <w:shd w:val="clear" w:color="auto" w:fill="auto"/>
            <w:vAlign w:val="bottom"/>
          </w:tcPr>
          <w:p w14:paraId="392C9DF2" w14:textId="77777777" w:rsidR="00980E5F" w:rsidRDefault="00980E5F">
            <w:pPr>
              <w:rPr>
                <w:rFonts w:ascii="宋体"/>
                <w:vanish/>
              </w:rPr>
            </w:pPr>
          </w:p>
        </w:tc>
        <w:tc>
          <w:tcPr>
            <w:tcW w:w="0" w:type="auto"/>
            <w:gridSpan w:val="3"/>
            <w:shd w:val="clear" w:color="auto" w:fill="auto"/>
            <w:vAlign w:val="bottom"/>
          </w:tcPr>
          <w:p w14:paraId="392C9DF3" w14:textId="77777777" w:rsidR="00980E5F" w:rsidRDefault="00980E5F">
            <w:pPr>
              <w:rPr>
                <w:rFonts w:ascii="宋体"/>
                <w:vanish/>
              </w:rPr>
            </w:pPr>
          </w:p>
        </w:tc>
        <w:tc>
          <w:tcPr>
            <w:tcW w:w="0" w:type="auto"/>
            <w:gridSpan w:val="3"/>
            <w:shd w:val="clear" w:color="auto" w:fill="auto"/>
            <w:vAlign w:val="bottom"/>
          </w:tcPr>
          <w:p w14:paraId="392C9DF4" w14:textId="77777777" w:rsidR="00980E5F" w:rsidRDefault="00980E5F">
            <w:pPr>
              <w:rPr>
                <w:rFonts w:ascii="宋体"/>
                <w:vanish/>
              </w:rPr>
            </w:pPr>
          </w:p>
        </w:tc>
      </w:tr>
      <w:tr w:rsidR="00980E5F" w14:paraId="392C9E04" w14:textId="77777777">
        <w:tc>
          <w:tcPr>
            <w:tcW w:w="0" w:type="auto"/>
            <w:gridSpan w:val="3"/>
            <w:shd w:val="clear" w:color="auto" w:fill="CCEEFF"/>
            <w:tcMar>
              <w:top w:w="40" w:type="dxa"/>
              <w:left w:w="140" w:type="dxa"/>
              <w:bottom w:w="40" w:type="dxa"/>
              <w:right w:w="20" w:type="dxa"/>
            </w:tcMar>
            <w:vAlign w:val="bottom"/>
          </w:tcPr>
          <w:p w14:paraId="392C9DF6" w14:textId="77777777" w:rsidR="00980E5F" w:rsidRDefault="00483613">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392C9DF7" w14:textId="77777777" w:rsidR="00980E5F" w:rsidRDefault="00483613">
            <w:pPr>
              <w:jc w:val="right"/>
              <w:textAlignment w:val="bottom"/>
            </w:pPr>
            <w:r>
              <w:rPr>
                <w:rFonts w:ascii="Arial" w:eastAsia="宋体" w:hAnsi="Arial" w:cs="Arial"/>
                <w:b/>
                <w:bCs/>
                <w:color w:val="000000"/>
                <w:sz w:val="14"/>
                <w:szCs w:val="14"/>
              </w:rPr>
              <w:t>122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D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F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FA" w14:textId="77777777" w:rsidR="00980E5F" w:rsidRDefault="00483613">
            <w:pPr>
              <w:jc w:val="right"/>
              <w:textAlignment w:val="bottom"/>
            </w:pPr>
            <w:r>
              <w:rPr>
                <w:rFonts w:ascii="Arial" w:eastAsia="宋体" w:hAnsi="Arial" w:cs="Arial"/>
                <w:color w:val="000000"/>
                <w:sz w:val="14"/>
                <w:szCs w:val="14"/>
              </w:rPr>
              <w:t>145 </w:t>
            </w:r>
          </w:p>
        </w:tc>
        <w:tc>
          <w:tcPr>
            <w:tcW w:w="0" w:type="auto"/>
            <w:shd w:val="clear" w:color="auto" w:fill="CCEEFF"/>
            <w:tcMar>
              <w:top w:w="40" w:type="dxa"/>
              <w:left w:w="0" w:type="dxa"/>
              <w:bottom w:w="40" w:type="dxa"/>
              <w:right w:w="20" w:type="dxa"/>
            </w:tcMar>
            <w:vAlign w:val="bottom"/>
          </w:tcPr>
          <w:p w14:paraId="392C9D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F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DFD" w14:textId="77777777" w:rsidR="00980E5F" w:rsidRDefault="00483613">
            <w:pPr>
              <w:jc w:val="right"/>
              <w:textAlignment w:val="bottom"/>
            </w:pPr>
            <w:r>
              <w:rPr>
                <w:rFonts w:ascii="Arial" w:eastAsia="宋体" w:hAnsi="Arial" w:cs="Arial"/>
                <w:b/>
                <w:bCs/>
                <w:color w:val="000000"/>
                <w:sz w:val="14"/>
                <w:szCs w:val="14"/>
              </w:rPr>
              <w:t>276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D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DF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00" w14:textId="77777777" w:rsidR="00980E5F" w:rsidRDefault="00483613">
            <w:pPr>
              <w:jc w:val="right"/>
              <w:textAlignment w:val="bottom"/>
            </w:pPr>
            <w:r>
              <w:rPr>
                <w:rFonts w:ascii="Arial" w:eastAsia="宋体" w:hAnsi="Arial" w:cs="Arial"/>
                <w:color w:val="000000"/>
                <w:sz w:val="14"/>
                <w:szCs w:val="14"/>
              </w:rPr>
              <w:t>285 </w:t>
            </w:r>
          </w:p>
        </w:tc>
        <w:tc>
          <w:tcPr>
            <w:tcW w:w="0" w:type="auto"/>
            <w:shd w:val="clear" w:color="auto" w:fill="CCEEFF"/>
            <w:tcMar>
              <w:top w:w="40" w:type="dxa"/>
              <w:left w:w="0" w:type="dxa"/>
              <w:bottom w:w="40" w:type="dxa"/>
              <w:right w:w="20" w:type="dxa"/>
            </w:tcMar>
            <w:vAlign w:val="bottom"/>
          </w:tcPr>
          <w:p w14:paraId="392C9E01" w14:textId="77777777" w:rsidR="00980E5F" w:rsidRDefault="00980E5F">
            <w:pPr>
              <w:jc w:val="right"/>
              <w:rPr>
                <w:rFonts w:ascii="宋体"/>
              </w:rPr>
            </w:pPr>
          </w:p>
        </w:tc>
        <w:tc>
          <w:tcPr>
            <w:tcW w:w="0" w:type="auto"/>
            <w:gridSpan w:val="3"/>
            <w:shd w:val="clear" w:color="auto" w:fill="auto"/>
            <w:vAlign w:val="bottom"/>
          </w:tcPr>
          <w:p w14:paraId="392C9E02" w14:textId="77777777" w:rsidR="00980E5F" w:rsidRDefault="00980E5F">
            <w:pPr>
              <w:rPr>
                <w:rFonts w:ascii="宋体"/>
                <w:vanish/>
              </w:rPr>
            </w:pPr>
          </w:p>
        </w:tc>
        <w:tc>
          <w:tcPr>
            <w:tcW w:w="0" w:type="auto"/>
            <w:gridSpan w:val="3"/>
            <w:shd w:val="clear" w:color="auto" w:fill="auto"/>
            <w:vAlign w:val="bottom"/>
          </w:tcPr>
          <w:p w14:paraId="392C9E03" w14:textId="77777777" w:rsidR="00980E5F" w:rsidRDefault="00980E5F">
            <w:pPr>
              <w:rPr>
                <w:rFonts w:ascii="宋体"/>
                <w:vanish/>
              </w:rPr>
            </w:pPr>
          </w:p>
        </w:tc>
      </w:tr>
      <w:tr w:rsidR="00980E5F" w14:paraId="392C9E13" w14:textId="77777777">
        <w:tc>
          <w:tcPr>
            <w:tcW w:w="0" w:type="auto"/>
            <w:gridSpan w:val="3"/>
            <w:shd w:val="clear" w:color="auto" w:fill="FFFFFF"/>
            <w:tcMar>
              <w:top w:w="40" w:type="dxa"/>
              <w:left w:w="140" w:type="dxa"/>
              <w:bottom w:w="40" w:type="dxa"/>
              <w:right w:w="20" w:type="dxa"/>
            </w:tcMar>
            <w:vAlign w:val="bottom"/>
          </w:tcPr>
          <w:p w14:paraId="392C9E05" w14:textId="77777777" w:rsidR="00980E5F" w:rsidRDefault="00483613">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392C9E06" w14:textId="77777777" w:rsidR="00980E5F" w:rsidRDefault="00483613">
            <w:pPr>
              <w:jc w:val="right"/>
              <w:textAlignment w:val="bottom"/>
            </w:pPr>
            <w:r>
              <w:rPr>
                <w:rFonts w:ascii="Arial" w:eastAsia="宋体" w:hAnsi="Arial" w:cs="Arial"/>
                <w:b/>
                <w:bCs/>
                <w:color w:val="000000"/>
                <w:sz w:val="14"/>
                <w:szCs w:val="14"/>
              </w:rPr>
              <w:t>230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09" w14:textId="77777777" w:rsidR="00980E5F" w:rsidRDefault="00483613">
            <w:pPr>
              <w:jc w:val="right"/>
              <w:textAlignment w:val="bottom"/>
            </w:pPr>
            <w:r>
              <w:rPr>
                <w:rFonts w:ascii="Arial" w:eastAsia="宋体" w:hAnsi="Arial" w:cs="Arial"/>
                <w:color w:val="000000"/>
                <w:sz w:val="14"/>
                <w:szCs w:val="14"/>
              </w:rPr>
              <w:t>163 </w:t>
            </w:r>
          </w:p>
        </w:tc>
        <w:tc>
          <w:tcPr>
            <w:tcW w:w="0" w:type="auto"/>
            <w:shd w:val="clear" w:color="auto" w:fill="FFFFFF"/>
            <w:tcMar>
              <w:top w:w="40" w:type="dxa"/>
              <w:left w:w="0" w:type="dxa"/>
              <w:bottom w:w="40" w:type="dxa"/>
              <w:right w:w="20" w:type="dxa"/>
            </w:tcMar>
            <w:vAlign w:val="bottom"/>
          </w:tcPr>
          <w:p w14:paraId="392C9E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0C" w14:textId="77777777" w:rsidR="00980E5F" w:rsidRDefault="00483613">
            <w:pPr>
              <w:jc w:val="right"/>
              <w:textAlignment w:val="bottom"/>
            </w:pPr>
            <w:r>
              <w:rPr>
                <w:rFonts w:ascii="Arial" w:eastAsia="宋体" w:hAnsi="Arial" w:cs="Arial"/>
                <w:b/>
                <w:bCs/>
                <w:color w:val="000000"/>
                <w:sz w:val="14"/>
                <w:szCs w:val="14"/>
              </w:rPr>
              <w:t>401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0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0F" w14:textId="77777777" w:rsidR="00980E5F" w:rsidRDefault="00483613">
            <w:pPr>
              <w:jc w:val="right"/>
              <w:textAlignment w:val="bottom"/>
            </w:pPr>
            <w:r>
              <w:rPr>
                <w:rFonts w:ascii="Arial" w:eastAsia="宋体" w:hAnsi="Arial" w:cs="Arial"/>
                <w:color w:val="000000"/>
                <w:sz w:val="14"/>
                <w:szCs w:val="14"/>
              </w:rPr>
              <w:t>343 </w:t>
            </w:r>
          </w:p>
        </w:tc>
        <w:tc>
          <w:tcPr>
            <w:tcW w:w="0" w:type="auto"/>
            <w:shd w:val="clear" w:color="auto" w:fill="FFFFFF"/>
            <w:tcMar>
              <w:top w:w="40" w:type="dxa"/>
              <w:left w:w="0" w:type="dxa"/>
              <w:bottom w:w="40" w:type="dxa"/>
              <w:right w:w="20" w:type="dxa"/>
            </w:tcMar>
            <w:vAlign w:val="bottom"/>
          </w:tcPr>
          <w:p w14:paraId="392C9E10" w14:textId="77777777" w:rsidR="00980E5F" w:rsidRDefault="00980E5F">
            <w:pPr>
              <w:jc w:val="right"/>
              <w:rPr>
                <w:rFonts w:ascii="宋体"/>
              </w:rPr>
            </w:pPr>
          </w:p>
        </w:tc>
        <w:tc>
          <w:tcPr>
            <w:tcW w:w="0" w:type="auto"/>
            <w:gridSpan w:val="3"/>
            <w:shd w:val="clear" w:color="auto" w:fill="auto"/>
            <w:vAlign w:val="bottom"/>
          </w:tcPr>
          <w:p w14:paraId="392C9E11" w14:textId="77777777" w:rsidR="00980E5F" w:rsidRDefault="00980E5F">
            <w:pPr>
              <w:rPr>
                <w:rFonts w:ascii="宋体"/>
                <w:vanish/>
              </w:rPr>
            </w:pPr>
          </w:p>
        </w:tc>
        <w:tc>
          <w:tcPr>
            <w:tcW w:w="0" w:type="auto"/>
            <w:gridSpan w:val="3"/>
            <w:shd w:val="clear" w:color="auto" w:fill="auto"/>
            <w:vAlign w:val="bottom"/>
          </w:tcPr>
          <w:p w14:paraId="392C9E12" w14:textId="77777777" w:rsidR="00980E5F" w:rsidRDefault="00980E5F">
            <w:pPr>
              <w:rPr>
                <w:rFonts w:ascii="宋体"/>
                <w:vanish/>
              </w:rPr>
            </w:pPr>
          </w:p>
        </w:tc>
      </w:tr>
      <w:tr w:rsidR="00980E5F" w14:paraId="392C9E22" w14:textId="77777777">
        <w:tc>
          <w:tcPr>
            <w:tcW w:w="0" w:type="auto"/>
            <w:gridSpan w:val="3"/>
            <w:shd w:val="clear" w:color="auto" w:fill="CCEEFF"/>
            <w:tcMar>
              <w:top w:w="40" w:type="dxa"/>
              <w:left w:w="155" w:type="dxa"/>
              <w:bottom w:w="40" w:type="dxa"/>
              <w:right w:w="20" w:type="dxa"/>
            </w:tcMar>
            <w:vAlign w:val="bottom"/>
          </w:tcPr>
          <w:p w14:paraId="392C9E14" w14:textId="77777777" w:rsidR="00980E5F" w:rsidRDefault="00483613">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CCEEFF"/>
            <w:tcMar>
              <w:top w:w="40" w:type="dxa"/>
              <w:left w:w="20" w:type="dxa"/>
              <w:bottom w:w="40" w:type="dxa"/>
              <w:right w:w="0" w:type="dxa"/>
            </w:tcMar>
            <w:vAlign w:val="bottom"/>
          </w:tcPr>
          <w:p w14:paraId="392C9E1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1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1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1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1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1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1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1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1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1E" w14:textId="77777777" w:rsidR="00980E5F" w:rsidRDefault="00483613">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92C9E1F" w14:textId="77777777" w:rsidR="00980E5F" w:rsidRDefault="00980E5F">
            <w:pPr>
              <w:jc w:val="right"/>
              <w:rPr>
                <w:rFonts w:ascii="宋体"/>
              </w:rPr>
            </w:pPr>
          </w:p>
        </w:tc>
        <w:tc>
          <w:tcPr>
            <w:tcW w:w="0" w:type="auto"/>
            <w:gridSpan w:val="3"/>
            <w:shd w:val="clear" w:color="auto" w:fill="auto"/>
            <w:vAlign w:val="bottom"/>
          </w:tcPr>
          <w:p w14:paraId="392C9E20" w14:textId="77777777" w:rsidR="00980E5F" w:rsidRDefault="00980E5F">
            <w:pPr>
              <w:rPr>
                <w:rFonts w:ascii="宋体"/>
                <w:vanish/>
              </w:rPr>
            </w:pPr>
          </w:p>
        </w:tc>
        <w:tc>
          <w:tcPr>
            <w:tcW w:w="0" w:type="auto"/>
            <w:gridSpan w:val="3"/>
            <w:shd w:val="clear" w:color="auto" w:fill="auto"/>
            <w:vAlign w:val="bottom"/>
          </w:tcPr>
          <w:p w14:paraId="392C9E21" w14:textId="77777777" w:rsidR="00980E5F" w:rsidRDefault="00980E5F">
            <w:pPr>
              <w:rPr>
                <w:rFonts w:ascii="宋体"/>
                <w:vanish/>
              </w:rPr>
            </w:pPr>
          </w:p>
        </w:tc>
      </w:tr>
      <w:tr w:rsidR="00980E5F" w14:paraId="392C9E31" w14:textId="77777777">
        <w:tc>
          <w:tcPr>
            <w:tcW w:w="0" w:type="auto"/>
            <w:gridSpan w:val="3"/>
            <w:shd w:val="clear" w:color="auto" w:fill="FFFFFF"/>
            <w:tcMar>
              <w:top w:w="40" w:type="dxa"/>
              <w:left w:w="20" w:type="dxa"/>
              <w:bottom w:w="40" w:type="dxa"/>
              <w:right w:w="20" w:type="dxa"/>
            </w:tcMar>
            <w:vAlign w:val="bottom"/>
          </w:tcPr>
          <w:p w14:paraId="392C9E23" w14:textId="77777777" w:rsidR="00980E5F" w:rsidRDefault="00483613">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24" w14:textId="77777777" w:rsidR="00980E5F" w:rsidRDefault="00483613">
            <w:pPr>
              <w:jc w:val="right"/>
              <w:textAlignment w:val="bottom"/>
            </w:pPr>
            <w:r>
              <w:rPr>
                <w:rFonts w:ascii="Arial" w:eastAsia="宋体" w:hAnsi="Arial" w:cs="Arial"/>
                <w:b/>
                <w:bCs/>
                <w:color w:val="000000"/>
                <w:sz w:val="14"/>
                <w:szCs w:val="14"/>
              </w:rPr>
              <w:t>352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2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27" w14:textId="77777777" w:rsidR="00980E5F" w:rsidRDefault="00483613">
            <w:pPr>
              <w:jc w:val="right"/>
              <w:textAlignment w:val="bottom"/>
            </w:pPr>
            <w:r>
              <w:rPr>
                <w:rFonts w:ascii="Arial" w:eastAsia="宋体" w:hAnsi="Arial" w:cs="Arial"/>
                <w:color w:val="000000"/>
                <w:sz w:val="14"/>
                <w:szCs w:val="14"/>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2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2A" w14:textId="77777777" w:rsidR="00980E5F" w:rsidRDefault="00483613">
            <w:pPr>
              <w:jc w:val="right"/>
              <w:textAlignment w:val="bottom"/>
            </w:pPr>
            <w:r>
              <w:rPr>
                <w:rFonts w:ascii="Arial" w:eastAsia="宋体" w:hAnsi="Arial" w:cs="Arial"/>
                <w:b/>
                <w:bCs/>
                <w:color w:val="000000"/>
                <w:sz w:val="14"/>
                <w:szCs w:val="14"/>
              </w:rPr>
              <w:t>677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2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2D" w14:textId="77777777" w:rsidR="00980E5F" w:rsidRDefault="00483613">
            <w:pPr>
              <w:jc w:val="right"/>
              <w:textAlignment w:val="bottom"/>
            </w:pPr>
            <w:r>
              <w:rPr>
                <w:rFonts w:ascii="Arial" w:eastAsia="宋体" w:hAnsi="Arial" w:cs="Arial"/>
                <w:color w:val="000000"/>
                <w:sz w:val="14"/>
                <w:szCs w:val="14"/>
              </w:rPr>
              <w:t>632 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2E" w14:textId="77777777" w:rsidR="00980E5F" w:rsidRDefault="00980E5F">
            <w:pPr>
              <w:jc w:val="right"/>
              <w:rPr>
                <w:rFonts w:ascii="宋体"/>
              </w:rPr>
            </w:pPr>
          </w:p>
        </w:tc>
        <w:tc>
          <w:tcPr>
            <w:tcW w:w="0" w:type="auto"/>
            <w:gridSpan w:val="3"/>
            <w:shd w:val="clear" w:color="auto" w:fill="auto"/>
            <w:vAlign w:val="bottom"/>
          </w:tcPr>
          <w:p w14:paraId="392C9E2F" w14:textId="77777777" w:rsidR="00980E5F" w:rsidRDefault="00980E5F">
            <w:pPr>
              <w:rPr>
                <w:rFonts w:ascii="宋体"/>
                <w:vanish/>
              </w:rPr>
            </w:pPr>
          </w:p>
        </w:tc>
        <w:tc>
          <w:tcPr>
            <w:tcW w:w="0" w:type="auto"/>
            <w:gridSpan w:val="3"/>
            <w:shd w:val="clear" w:color="auto" w:fill="auto"/>
            <w:vAlign w:val="bottom"/>
          </w:tcPr>
          <w:p w14:paraId="392C9E30" w14:textId="77777777" w:rsidR="00980E5F" w:rsidRDefault="00980E5F">
            <w:pPr>
              <w:rPr>
                <w:rFonts w:ascii="宋体"/>
                <w:vanish/>
              </w:rPr>
            </w:pPr>
          </w:p>
        </w:tc>
      </w:tr>
      <w:tr w:rsidR="00980E5F" w14:paraId="392C9E40" w14:textId="77777777">
        <w:tc>
          <w:tcPr>
            <w:tcW w:w="0" w:type="auto"/>
            <w:gridSpan w:val="3"/>
            <w:shd w:val="clear" w:color="auto" w:fill="CCEEFF"/>
            <w:tcMar>
              <w:top w:w="40" w:type="dxa"/>
              <w:left w:w="20" w:type="dxa"/>
              <w:bottom w:w="40" w:type="dxa"/>
              <w:right w:w="20" w:type="dxa"/>
            </w:tcMar>
            <w:vAlign w:val="bottom"/>
          </w:tcPr>
          <w:p w14:paraId="392C9E32" w14:textId="77777777" w:rsidR="00980E5F" w:rsidRDefault="00483613">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392C9E33" w14:textId="77777777" w:rsidR="00980E5F" w:rsidRDefault="00483613">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3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36"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9E3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38"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39" w14:textId="77777777" w:rsidR="00980E5F" w:rsidRDefault="00483613">
            <w:pPr>
              <w:jc w:val="right"/>
              <w:textAlignment w:val="bottom"/>
            </w:pPr>
            <w:r>
              <w:rPr>
                <w:rFonts w:ascii="Arial" w:eastAsia="宋体" w:hAnsi="Arial" w:cs="Arial"/>
                <w:b/>
                <w:bCs/>
                <w:color w:val="000000"/>
                <w:sz w:val="14"/>
                <w:szCs w:val="14"/>
              </w:rPr>
              <w:t>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3C" w14:textId="77777777" w:rsidR="00980E5F" w:rsidRDefault="00483613">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392C9E3D" w14:textId="77777777" w:rsidR="00980E5F" w:rsidRDefault="00980E5F">
            <w:pPr>
              <w:jc w:val="right"/>
              <w:rPr>
                <w:rFonts w:ascii="宋体"/>
              </w:rPr>
            </w:pPr>
          </w:p>
        </w:tc>
        <w:tc>
          <w:tcPr>
            <w:tcW w:w="0" w:type="auto"/>
            <w:gridSpan w:val="3"/>
            <w:shd w:val="clear" w:color="auto" w:fill="auto"/>
            <w:vAlign w:val="bottom"/>
          </w:tcPr>
          <w:p w14:paraId="392C9E3E" w14:textId="77777777" w:rsidR="00980E5F" w:rsidRDefault="00980E5F">
            <w:pPr>
              <w:rPr>
                <w:rFonts w:ascii="宋体"/>
                <w:vanish/>
              </w:rPr>
            </w:pPr>
          </w:p>
        </w:tc>
        <w:tc>
          <w:tcPr>
            <w:tcW w:w="0" w:type="auto"/>
            <w:gridSpan w:val="3"/>
            <w:shd w:val="clear" w:color="auto" w:fill="auto"/>
            <w:vAlign w:val="bottom"/>
          </w:tcPr>
          <w:p w14:paraId="392C9E3F" w14:textId="77777777" w:rsidR="00980E5F" w:rsidRDefault="00980E5F">
            <w:pPr>
              <w:rPr>
                <w:rFonts w:ascii="宋体"/>
                <w:vanish/>
              </w:rPr>
            </w:pPr>
          </w:p>
        </w:tc>
      </w:tr>
      <w:tr w:rsidR="00980E5F" w14:paraId="392C9E4F" w14:textId="77777777">
        <w:tc>
          <w:tcPr>
            <w:tcW w:w="0" w:type="auto"/>
            <w:gridSpan w:val="3"/>
            <w:shd w:val="clear" w:color="auto" w:fill="FFFFFF"/>
            <w:tcMar>
              <w:top w:w="40" w:type="dxa"/>
              <w:left w:w="20" w:type="dxa"/>
              <w:bottom w:w="40" w:type="dxa"/>
              <w:right w:w="20" w:type="dxa"/>
            </w:tcMar>
            <w:vAlign w:val="bottom"/>
          </w:tcPr>
          <w:p w14:paraId="392C9E41" w14:textId="77777777" w:rsidR="00980E5F" w:rsidRDefault="00483613">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392C9E42" w14:textId="77777777" w:rsidR="00980E5F" w:rsidRDefault="00483613">
            <w:pPr>
              <w:jc w:val="right"/>
              <w:textAlignment w:val="bottom"/>
            </w:pPr>
            <w:r>
              <w:rPr>
                <w:rFonts w:ascii="Arial" w:eastAsia="宋体" w:hAnsi="Arial" w:cs="Arial"/>
                <w:b/>
                <w:bCs/>
                <w:color w:val="000000"/>
                <w:sz w:val="14"/>
                <w:szCs w:val="14"/>
              </w:rPr>
              <w:t>199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45" w14:textId="77777777" w:rsidR="00980E5F" w:rsidRDefault="00483613">
            <w:pPr>
              <w:jc w:val="right"/>
              <w:textAlignment w:val="bottom"/>
            </w:pPr>
            <w:r>
              <w:rPr>
                <w:rFonts w:ascii="Arial" w:eastAsia="宋体" w:hAnsi="Arial" w:cs="Arial"/>
                <w:color w:val="000000"/>
                <w:sz w:val="14"/>
                <w:szCs w:val="14"/>
              </w:rPr>
              <w:t>157 </w:t>
            </w:r>
          </w:p>
        </w:tc>
        <w:tc>
          <w:tcPr>
            <w:tcW w:w="0" w:type="auto"/>
            <w:shd w:val="clear" w:color="auto" w:fill="FFFFFF"/>
            <w:tcMar>
              <w:top w:w="40" w:type="dxa"/>
              <w:left w:w="0" w:type="dxa"/>
              <w:bottom w:w="40" w:type="dxa"/>
              <w:right w:w="20" w:type="dxa"/>
            </w:tcMar>
            <w:vAlign w:val="bottom"/>
          </w:tcPr>
          <w:p w14:paraId="392C9E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4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48" w14:textId="77777777" w:rsidR="00980E5F" w:rsidRDefault="00483613">
            <w:pPr>
              <w:jc w:val="right"/>
              <w:textAlignment w:val="bottom"/>
            </w:pPr>
            <w:r>
              <w:rPr>
                <w:rFonts w:ascii="Arial" w:eastAsia="宋体" w:hAnsi="Arial" w:cs="Arial"/>
                <w:b/>
                <w:bCs/>
                <w:color w:val="000000"/>
                <w:sz w:val="14"/>
                <w:szCs w:val="14"/>
              </w:rPr>
              <w:t>371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4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4B" w14:textId="77777777" w:rsidR="00980E5F" w:rsidRDefault="00483613">
            <w:pPr>
              <w:jc w:val="right"/>
              <w:textAlignment w:val="bottom"/>
            </w:pPr>
            <w:r>
              <w:rPr>
                <w:rFonts w:ascii="Arial" w:eastAsia="宋体" w:hAnsi="Arial" w:cs="Arial"/>
                <w:color w:val="000000"/>
                <w:sz w:val="14"/>
                <w:szCs w:val="14"/>
              </w:rPr>
              <w:t>298 </w:t>
            </w:r>
          </w:p>
        </w:tc>
        <w:tc>
          <w:tcPr>
            <w:tcW w:w="0" w:type="auto"/>
            <w:shd w:val="clear" w:color="auto" w:fill="FFFFFF"/>
            <w:tcMar>
              <w:top w:w="40" w:type="dxa"/>
              <w:left w:w="0" w:type="dxa"/>
              <w:bottom w:w="40" w:type="dxa"/>
              <w:right w:w="20" w:type="dxa"/>
            </w:tcMar>
            <w:vAlign w:val="bottom"/>
          </w:tcPr>
          <w:p w14:paraId="392C9E4C" w14:textId="77777777" w:rsidR="00980E5F" w:rsidRDefault="00980E5F">
            <w:pPr>
              <w:jc w:val="right"/>
              <w:rPr>
                <w:rFonts w:ascii="宋体"/>
              </w:rPr>
            </w:pPr>
          </w:p>
        </w:tc>
        <w:tc>
          <w:tcPr>
            <w:tcW w:w="0" w:type="auto"/>
            <w:gridSpan w:val="3"/>
            <w:shd w:val="clear" w:color="auto" w:fill="auto"/>
            <w:vAlign w:val="bottom"/>
          </w:tcPr>
          <w:p w14:paraId="392C9E4D" w14:textId="77777777" w:rsidR="00980E5F" w:rsidRDefault="00980E5F">
            <w:pPr>
              <w:rPr>
                <w:rFonts w:ascii="宋体"/>
                <w:vanish/>
              </w:rPr>
            </w:pPr>
          </w:p>
        </w:tc>
        <w:tc>
          <w:tcPr>
            <w:tcW w:w="0" w:type="auto"/>
            <w:gridSpan w:val="3"/>
            <w:shd w:val="clear" w:color="auto" w:fill="auto"/>
            <w:vAlign w:val="bottom"/>
          </w:tcPr>
          <w:p w14:paraId="392C9E4E" w14:textId="77777777" w:rsidR="00980E5F" w:rsidRDefault="00980E5F">
            <w:pPr>
              <w:rPr>
                <w:rFonts w:ascii="宋体"/>
                <w:vanish/>
              </w:rPr>
            </w:pPr>
          </w:p>
        </w:tc>
      </w:tr>
      <w:tr w:rsidR="00980E5F" w14:paraId="392C9E5E" w14:textId="77777777">
        <w:tc>
          <w:tcPr>
            <w:tcW w:w="0" w:type="auto"/>
            <w:gridSpan w:val="3"/>
            <w:shd w:val="clear" w:color="auto" w:fill="CCEEFF"/>
            <w:tcMar>
              <w:top w:w="40" w:type="dxa"/>
              <w:left w:w="20" w:type="dxa"/>
              <w:bottom w:w="40" w:type="dxa"/>
              <w:right w:w="20" w:type="dxa"/>
            </w:tcMar>
            <w:vAlign w:val="bottom"/>
          </w:tcPr>
          <w:p w14:paraId="392C9E50" w14:textId="77777777" w:rsidR="00980E5F" w:rsidRDefault="00483613">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392C9E51" w14:textId="77777777" w:rsidR="00980E5F" w:rsidRDefault="00483613">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54"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392C9E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5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57" w14:textId="77777777" w:rsidR="00980E5F" w:rsidRDefault="00483613">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5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5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5A" w14:textId="77777777" w:rsidR="00980E5F" w:rsidRDefault="00483613">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392C9E5B" w14:textId="77777777" w:rsidR="00980E5F" w:rsidRDefault="00980E5F">
            <w:pPr>
              <w:jc w:val="right"/>
              <w:rPr>
                <w:rFonts w:ascii="宋体"/>
              </w:rPr>
            </w:pPr>
          </w:p>
        </w:tc>
        <w:tc>
          <w:tcPr>
            <w:tcW w:w="0" w:type="auto"/>
            <w:gridSpan w:val="3"/>
            <w:shd w:val="clear" w:color="auto" w:fill="auto"/>
            <w:vAlign w:val="bottom"/>
          </w:tcPr>
          <w:p w14:paraId="392C9E5C" w14:textId="77777777" w:rsidR="00980E5F" w:rsidRDefault="00980E5F">
            <w:pPr>
              <w:rPr>
                <w:rFonts w:ascii="宋体"/>
                <w:vanish/>
              </w:rPr>
            </w:pPr>
          </w:p>
        </w:tc>
        <w:tc>
          <w:tcPr>
            <w:tcW w:w="0" w:type="auto"/>
            <w:gridSpan w:val="3"/>
            <w:shd w:val="clear" w:color="auto" w:fill="auto"/>
            <w:vAlign w:val="bottom"/>
          </w:tcPr>
          <w:p w14:paraId="392C9E5D" w14:textId="77777777" w:rsidR="00980E5F" w:rsidRDefault="00980E5F">
            <w:pPr>
              <w:rPr>
                <w:rFonts w:ascii="宋体"/>
                <w:vanish/>
              </w:rPr>
            </w:pPr>
          </w:p>
        </w:tc>
      </w:tr>
      <w:tr w:rsidR="00980E5F" w14:paraId="392C9E6D" w14:textId="77777777">
        <w:tc>
          <w:tcPr>
            <w:tcW w:w="0" w:type="auto"/>
            <w:gridSpan w:val="3"/>
            <w:shd w:val="clear" w:color="auto" w:fill="FFFFFF"/>
            <w:tcMar>
              <w:top w:w="40" w:type="dxa"/>
              <w:left w:w="20" w:type="dxa"/>
              <w:bottom w:w="40" w:type="dxa"/>
              <w:right w:w="20" w:type="dxa"/>
            </w:tcMar>
            <w:vAlign w:val="bottom"/>
          </w:tcPr>
          <w:p w14:paraId="392C9E5F" w14:textId="77777777" w:rsidR="00980E5F" w:rsidRDefault="00483613">
            <w:pPr>
              <w:textAlignment w:val="bottom"/>
            </w:pPr>
            <w:r>
              <w:rPr>
                <w:rFonts w:ascii="Arial" w:eastAsia="宋体" w:hAnsi="Arial" w:cs="Arial"/>
                <w:color w:val="000000"/>
                <w:sz w:val="14"/>
                <w:szCs w:val="14"/>
              </w:rPr>
              <w:t>Total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60" w14:textId="77777777" w:rsidR="00980E5F" w:rsidRDefault="00483613">
            <w:pPr>
              <w:jc w:val="right"/>
              <w:textAlignment w:val="bottom"/>
            </w:pPr>
            <w:r>
              <w:rPr>
                <w:rFonts w:ascii="Arial" w:eastAsia="宋体" w:hAnsi="Arial" w:cs="Arial"/>
                <w:b/>
                <w:bCs/>
                <w:color w:val="000000"/>
                <w:sz w:val="14"/>
                <w:szCs w:val="14"/>
              </w:rPr>
              <w:t>704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62"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63" w14:textId="77777777" w:rsidR="00980E5F" w:rsidRDefault="00483613">
            <w:pPr>
              <w:jc w:val="right"/>
              <w:textAlignment w:val="bottom"/>
            </w:pPr>
            <w:r>
              <w:rPr>
                <w:rFonts w:ascii="Arial" w:eastAsia="宋体" w:hAnsi="Arial" w:cs="Arial"/>
                <w:color w:val="000000"/>
                <w:sz w:val="14"/>
                <w:szCs w:val="14"/>
              </w:rPr>
              <w:t>467 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6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65"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66" w14:textId="77777777" w:rsidR="00980E5F" w:rsidRDefault="00483613">
            <w:pPr>
              <w:jc w:val="right"/>
              <w:textAlignment w:val="bottom"/>
            </w:pPr>
            <w:r>
              <w:rPr>
                <w:rFonts w:ascii="Arial" w:eastAsia="宋体" w:hAnsi="Arial" w:cs="Arial"/>
                <w:b/>
                <w:bCs/>
                <w:color w:val="000000"/>
                <w:sz w:val="14"/>
                <w:szCs w:val="14"/>
              </w:rPr>
              <w:t>1,225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6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68"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69" w14:textId="77777777" w:rsidR="00980E5F" w:rsidRDefault="00483613">
            <w:pPr>
              <w:jc w:val="right"/>
              <w:textAlignment w:val="bottom"/>
            </w:pPr>
            <w:r>
              <w:rPr>
                <w:rFonts w:ascii="Arial" w:eastAsia="宋体" w:hAnsi="Arial" w:cs="Arial"/>
                <w:color w:val="000000"/>
                <w:sz w:val="14"/>
                <w:szCs w:val="14"/>
              </w:rPr>
              <w:t>938 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6A" w14:textId="77777777" w:rsidR="00980E5F" w:rsidRDefault="00980E5F">
            <w:pPr>
              <w:jc w:val="right"/>
              <w:rPr>
                <w:rFonts w:ascii="宋体"/>
              </w:rPr>
            </w:pPr>
          </w:p>
        </w:tc>
        <w:tc>
          <w:tcPr>
            <w:tcW w:w="0" w:type="auto"/>
            <w:gridSpan w:val="3"/>
            <w:shd w:val="clear" w:color="auto" w:fill="auto"/>
            <w:vAlign w:val="bottom"/>
          </w:tcPr>
          <w:p w14:paraId="392C9E6B" w14:textId="77777777" w:rsidR="00980E5F" w:rsidRDefault="00980E5F">
            <w:pPr>
              <w:rPr>
                <w:rFonts w:ascii="宋体"/>
                <w:vanish/>
              </w:rPr>
            </w:pPr>
          </w:p>
        </w:tc>
        <w:tc>
          <w:tcPr>
            <w:tcW w:w="0" w:type="auto"/>
            <w:gridSpan w:val="3"/>
            <w:shd w:val="clear" w:color="auto" w:fill="auto"/>
            <w:vAlign w:val="bottom"/>
          </w:tcPr>
          <w:p w14:paraId="392C9E6C" w14:textId="77777777" w:rsidR="00980E5F" w:rsidRDefault="00980E5F">
            <w:pPr>
              <w:rPr>
                <w:rFonts w:ascii="宋体"/>
                <w:vanish/>
              </w:rPr>
            </w:pPr>
          </w:p>
        </w:tc>
      </w:tr>
      <w:tr w:rsidR="00980E5F" w14:paraId="392C9E78" w14:textId="77777777">
        <w:tc>
          <w:tcPr>
            <w:tcW w:w="0" w:type="auto"/>
            <w:gridSpan w:val="3"/>
            <w:shd w:val="clear" w:color="auto" w:fill="CCEEFF"/>
            <w:tcMar>
              <w:top w:w="40" w:type="dxa"/>
              <w:left w:w="20" w:type="dxa"/>
              <w:bottom w:w="40" w:type="dxa"/>
              <w:right w:w="20" w:type="dxa"/>
            </w:tcMar>
            <w:vAlign w:val="bottom"/>
          </w:tcPr>
          <w:p w14:paraId="392C9E6E" w14:textId="77777777" w:rsidR="00980E5F" w:rsidRDefault="00483613">
            <w:pPr>
              <w:textAlignment w:val="bottom"/>
            </w:pPr>
            <w:r>
              <w:rPr>
                <w:rFonts w:ascii="Arial" w:eastAsia="宋体" w:hAnsi="Arial" w:cs="Arial"/>
                <w:b/>
                <w:bCs/>
                <w:color w:val="000000"/>
                <w:sz w:val="14"/>
                <w:szCs w:val="14"/>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9E6F"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E70"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9E71"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E72"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9E73"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E74" w14:textId="77777777" w:rsidR="00980E5F" w:rsidRDefault="00980E5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92C9E75" w14:textId="77777777" w:rsidR="00980E5F" w:rsidRDefault="00980E5F">
            <w:pPr>
              <w:rPr>
                <w:rFonts w:ascii="宋体"/>
              </w:rPr>
            </w:pPr>
          </w:p>
        </w:tc>
        <w:tc>
          <w:tcPr>
            <w:tcW w:w="0" w:type="auto"/>
            <w:gridSpan w:val="3"/>
            <w:shd w:val="clear" w:color="auto" w:fill="auto"/>
            <w:vAlign w:val="bottom"/>
          </w:tcPr>
          <w:p w14:paraId="392C9E76" w14:textId="77777777" w:rsidR="00980E5F" w:rsidRDefault="00980E5F">
            <w:pPr>
              <w:rPr>
                <w:rFonts w:ascii="宋体"/>
                <w:vanish/>
              </w:rPr>
            </w:pPr>
          </w:p>
        </w:tc>
        <w:tc>
          <w:tcPr>
            <w:tcW w:w="0" w:type="auto"/>
            <w:gridSpan w:val="3"/>
            <w:shd w:val="clear" w:color="auto" w:fill="auto"/>
            <w:vAlign w:val="bottom"/>
          </w:tcPr>
          <w:p w14:paraId="392C9E77" w14:textId="77777777" w:rsidR="00980E5F" w:rsidRDefault="00980E5F">
            <w:pPr>
              <w:rPr>
                <w:rFonts w:ascii="宋体"/>
                <w:vanish/>
              </w:rPr>
            </w:pPr>
          </w:p>
        </w:tc>
      </w:tr>
      <w:tr w:rsidR="00980E5F" w14:paraId="392C9E87" w14:textId="77777777">
        <w:tc>
          <w:tcPr>
            <w:tcW w:w="0" w:type="auto"/>
            <w:gridSpan w:val="3"/>
            <w:shd w:val="clear" w:color="auto" w:fill="FFFFFF"/>
            <w:tcMar>
              <w:top w:w="40" w:type="dxa"/>
              <w:left w:w="20" w:type="dxa"/>
              <w:bottom w:w="40" w:type="dxa"/>
              <w:right w:w="20" w:type="dxa"/>
            </w:tcMar>
            <w:vAlign w:val="bottom"/>
          </w:tcPr>
          <w:p w14:paraId="392C9E79" w14:textId="77777777" w:rsidR="00980E5F" w:rsidRDefault="00483613">
            <w:pPr>
              <w:textAlignment w:val="bottom"/>
            </w:pPr>
            <w:r>
              <w:rPr>
                <w:rFonts w:ascii="Arial" w:eastAsia="宋体" w:hAnsi="Arial" w:cs="Arial"/>
                <w:color w:val="000000"/>
                <w:sz w:val="14"/>
                <w:szCs w:val="14"/>
              </w:rPr>
              <w:t>Interest-bearing deposits</w:t>
            </w:r>
          </w:p>
        </w:tc>
        <w:tc>
          <w:tcPr>
            <w:tcW w:w="0" w:type="auto"/>
            <w:gridSpan w:val="2"/>
            <w:shd w:val="clear" w:color="auto" w:fill="FFFFFF"/>
            <w:tcMar>
              <w:top w:w="40" w:type="dxa"/>
              <w:left w:w="20" w:type="dxa"/>
              <w:bottom w:w="40" w:type="dxa"/>
              <w:right w:w="0" w:type="dxa"/>
            </w:tcMar>
            <w:vAlign w:val="bottom"/>
          </w:tcPr>
          <w:p w14:paraId="392C9E7A" w14:textId="77777777" w:rsidR="00980E5F" w:rsidRDefault="00483613">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7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7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7D" w14:textId="77777777" w:rsidR="00980E5F" w:rsidRDefault="00483613">
            <w:pPr>
              <w:jc w:val="right"/>
              <w:textAlignment w:val="bottom"/>
            </w:pPr>
            <w:r>
              <w:rPr>
                <w:rFonts w:ascii="Arial" w:eastAsia="宋体" w:hAnsi="Arial" w:cs="Arial"/>
                <w:color w:val="000000"/>
                <w:sz w:val="14"/>
                <w:szCs w:val="14"/>
              </w:rPr>
              <w:t>(65)</w:t>
            </w:r>
          </w:p>
        </w:tc>
        <w:tc>
          <w:tcPr>
            <w:tcW w:w="0" w:type="auto"/>
            <w:shd w:val="clear" w:color="auto" w:fill="FFFFFF"/>
            <w:tcMar>
              <w:top w:w="40" w:type="dxa"/>
              <w:left w:w="0" w:type="dxa"/>
              <w:bottom w:w="40" w:type="dxa"/>
              <w:right w:w="20" w:type="dxa"/>
            </w:tcMar>
            <w:vAlign w:val="bottom"/>
          </w:tcPr>
          <w:p w14:paraId="392C9E7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7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80" w14:textId="77777777" w:rsidR="00980E5F" w:rsidRDefault="00483613">
            <w:pPr>
              <w:jc w:val="right"/>
              <w:textAlignment w:val="bottom"/>
            </w:pPr>
            <w:r>
              <w:rPr>
                <w:rFonts w:ascii="Arial" w:eastAsia="宋体" w:hAnsi="Arial" w:cs="Arial"/>
                <w:b/>
                <w:bCs/>
                <w:color w:val="000000"/>
                <w:sz w:val="14"/>
                <w:szCs w:val="14"/>
              </w:rPr>
              <w:t>(40)</w:t>
            </w:r>
          </w:p>
        </w:tc>
        <w:tc>
          <w:tcPr>
            <w:tcW w:w="0" w:type="auto"/>
            <w:shd w:val="clear" w:color="auto" w:fill="FFFFFF"/>
            <w:tcMar>
              <w:top w:w="40" w:type="dxa"/>
              <w:left w:w="0" w:type="dxa"/>
              <w:bottom w:w="40" w:type="dxa"/>
              <w:right w:w="20" w:type="dxa"/>
            </w:tcMar>
            <w:vAlign w:val="bottom"/>
          </w:tcPr>
          <w:p w14:paraId="392C9E8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8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83" w14:textId="77777777" w:rsidR="00980E5F" w:rsidRDefault="00483613">
            <w:pPr>
              <w:jc w:val="right"/>
              <w:textAlignment w:val="bottom"/>
            </w:pPr>
            <w:r>
              <w:rPr>
                <w:rFonts w:ascii="Arial" w:eastAsia="宋体" w:hAnsi="Arial" w:cs="Arial"/>
                <w:color w:val="000000"/>
                <w:sz w:val="14"/>
                <w:szCs w:val="14"/>
              </w:rPr>
              <w:t>(134)</w:t>
            </w:r>
          </w:p>
        </w:tc>
        <w:tc>
          <w:tcPr>
            <w:tcW w:w="0" w:type="auto"/>
            <w:shd w:val="clear" w:color="auto" w:fill="FFFFFF"/>
            <w:tcMar>
              <w:top w:w="40" w:type="dxa"/>
              <w:left w:w="0" w:type="dxa"/>
              <w:bottom w:w="40" w:type="dxa"/>
              <w:right w:w="20" w:type="dxa"/>
            </w:tcMar>
            <w:vAlign w:val="bottom"/>
          </w:tcPr>
          <w:p w14:paraId="392C9E84" w14:textId="77777777" w:rsidR="00980E5F" w:rsidRDefault="00980E5F">
            <w:pPr>
              <w:jc w:val="right"/>
              <w:rPr>
                <w:rFonts w:ascii="宋体"/>
              </w:rPr>
            </w:pPr>
          </w:p>
        </w:tc>
        <w:tc>
          <w:tcPr>
            <w:tcW w:w="0" w:type="auto"/>
            <w:gridSpan w:val="3"/>
            <w:shd w:val="clear" w:color="auto" w:fill="auto"/>
            <w:vAlign w:val="bottom"/>
          </w:tcPr>
          <w:p w14:paraId="392C9E85" w14:textId="77777777" w:rsidR="00980E5F" w:rsidRDefault="00980E5F">
            <w:pPr>
              <w:rPr>
                <w:rFonts w:ascii="宋体"/>
                <w:vanish/>
              </w:rPr>
            </w:pPr>
          </w:p>
        </w:tc>
        <w:tc>
          <w:tcPr>
            <w:tcW w:w="0" w:type="auto"/>
            <w:gridSpan w:val="3"/>
            <w:shd w:val="clear" w:color="auto" w:fill="auto"/>
            <w:vAlign w:val="bottom"/>
          </w:tcPr>
          <w:p w14:paraId="392C9E86" w14:textId="77777777" w:rsidR="00980E5F" w:rsidRDefault="00980E5F">
            <w:pPr>
              <w:rPr>
                <w:rFonts w:ascii="宋体"/>
                <w:vanish/>
              </w:rPr>
            </w:pPr>
          </w:p>
        </w:tc>
      </w:tr>
      <w:tr w:rsidR="00980E5F" w14:paraId="392C9E96" w14:textId="77777777">
        <w:tc>
          <w:tcPr>
            <w:tcW w:w="0" w:type="auto"/>
            <w:gridSpan w:val="3"/>
            <w:shd w:val="clear" w:color="auto" w:fill="CCEEFF"/>
            <w:tcMar>
              <w:top w:w="40" w:type="dxa"/>
              <w:left w:w="20" w:type="dxa"/>
              <w:bottom w:w="40" w:type="dxa"/>
              <w:right w:w="20" w:type="dxa"/>
            </w:tcMar>
            <w:vAlign w:val="bottom"/>
          </w:tcPr>
          <w:p w14:paraId="392C9E88" w14:textId="77777777" w:rsidR="00980E5F" w:rsidRDefault="00483613">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392C9E8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8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8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8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8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9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92" w14:textId="77777777" w:rsidR="00980E5F" w:rsidRDefault="00483613">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92C9E93" w14:textId="77777777" w:rsidR="00980E5F" w:rsidRDefault="00980E5F">
            <w:pPr>
              <w:jc w:val="right"/>
              <w:rPr>
                <w:rFonts w:ascii="宋体"/>
              </w:rPr>
            </w:pPr>
          </w:p>
        </w:tc>
        <w:tc>
          <w:tcPr>
            <w:tcW w:w="0" w:type="auto"/>
            <w:gridSpan w:val="3"/>
            <w:shd w:val="clear" w:color="auto" w:fill="auto"/>
            <w:vAlign w:val="bottom"/>
          </w:tcPr>
          <w:p w14:paraId="392C9E94" w14:textId="77777777" w:rsidR="00980E5F" w:rsidRDefault="00980E5F">
            <w:pPr>
              <w:rPr>
                <w:rFonts w:ascii="宋体"/>
                <w:vanish/>
              </w:rPr>
            </w:pPr>
          </w:p>
        </w:tc>
        <w:tc>
          <w:tcPr>
            <w:tcW w:w="0" w:type="auto"/>
            <w:gridSpan w:val="3"/>
            <w:shd w:val="clear" w:color="auto" w:fill="auto"/>
            <w:vAlign w:val="bottom"/>
          </w:tcPr>
          <w:p w14:paraId="392C9E95" w14:textId="77777777" w:rsidR="00980E5F" w:rsidRDefault="00980E5F">
            <w:pPr>
              <w:rPr>
                <w:rFonts w:ascii="宋体"/>
                <w:vanish/>
              </w:rPr>
            </w:pPr>
          </w:p>
        </w:tc>
      </w:tr>
      <w:tr w:rsidR="00980E5F" w14:paraId="392C9EA5" w14:textId="77777777">
        <w:tc>
          <w:tcPr>
            <w:tcW w:w="0" w:type="auto"/>
            <w:gridSpan w:val="3"/>
            <w:shd w:val="clear" w:color="auto" w:fill="FFFFFF"/>
            <w:tcMar>
              <w:top w:w="40" w:type="dxa"/>
              <w:left w:w="20" w:type="dxa"/>
              <w:bottom w:w="40" w:type="dxa"/>
              <w:right w:w="20" w:type="dxa"/>
            </w:tcMar>
            <w:vAlign w:val="bottom"/>
          </w:tcPr>
          <w:p w14:paraId="392C9E97" w14:textId="77777777" w:rsidR="00980E5F" w:rsidRDefault="00483613">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392C9E98" w14:textId="77777777" w:rsidR="00980E5F" w:rsidRDefault="00483613">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9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9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9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9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9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9E" w14:textId="77777777" w:rsidR="00980E5F" w:rsidRDefault="00483613">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9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A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A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A2" w14:textId="77777777" w:rsidR="00980E5F" w:rsidRDefault="00980E5F">
            <w:pPr>
              <w:jc w:val="right"/>
              <w:rPr>
                <w:rFonts w:ascii="宋体"/>
              </w:rPr>
            </w:pPr>
          </w:p>
        </w:tc>
        <w:tc>
          <w:tcPr>
            <w:tcW w:w="0" w:type="auto"/>
            <w:gridSpan w:val="3"/>
            <w:shd w:val="clear" w:color="auto" w:fill="auto"/>
            <w:vAlign w:val="bottom"/>
          </w:tcPr>
          <w:p w14:paraId="392C9EA3" w14:textId="77777777" w:rsidR="00980E5F" w:rsidRDefault="00980E5F">
            <w:pPr>
              <w:rPr>
                <w:rFonts w:ascii="宋体"/>
                <w:vanish/>
              </w:rPr>
            </w:pPr>
          </w:p>
        </w:tc>
        <w:tc>
          <w:tcPr>
            <w:tcW w:w="0" w:type="auto"/>
            <w:gridSpan w:val="3"/>
            <w:shd w:val="clear" w:color="auto" w:fill="auto"/>
            <w:vAlign w:val="bottom"/>
          </w:tcPr>
          <w:p w14:paraId="392C9EA4" w14:textId="77777777" w:rsidR="00980E5F" w:rsidRDefault="00980E5F">
            <w:pPr>
              <w:rPr>
                <w:rFonts w:ascii="宋体"/>
                <w:vanish/>
              </w:rPr>
            </w:pPr>
          </w:p>
        </w:tc>
      </w:tr>
      <w:tr w:rsidR="00980E5F" w14:paraId="392C9EB4" w14:textId="77777777">
        <w:tc>
          <w:tcPr>
            <w:tcW w:w="0" w:type="auto"/>
            <w:gridSpan w:val="3"/>
            <w:shd w:val="clear" w:color="auto" w:fill="CCEEFF"/>
            <w:tcMar>
              <w:top w:w="40" w:type="dxa"/>
              <w:left w:w="20" w:type="dxa"/>
              <w:bottom w:w="40" w:type="dxa"/>
              <w:right w:w="20" w:type="dxa"/>
            </w:tcMar>
            <w:vAlign w:val="bottom"/>
          </w:tcPr>
          <w:p w14:paraId="392C9EA6" w14:textId="77777777" w:rsidR="00980E5F" w:rsidRDefault="00483613">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392C9EA7"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A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AA"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9EA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A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AD" w14:textId="77777777" w:rsidR="00980E5F" w:rsidRDefault="00483613">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A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A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B0" w14:textId="77777777" w:rsidR="00980E5F" w:rsidRDefault="00483613">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392C9EB1" w14:textId="77777777" w:rsidR="00980E5F" w:rsidRDefault="00980E5F">
            <w:pPr>
              <w:jc w:val="right"/>
              <w:rPr>
                <w:rFonts w:ascii="宋体"/>
              </w:rPr>
            </w:pPr>
          </w:p>
        </w:tc>
        <w:tc>
          <w:tcPr>
            <w:tcW w:w="0" w:type="auto"/>
            <w:gridSpan w:val="3"/>
            <w:shd w:val="clear" w:color="auto" w:fill="auto"/>
            <w:vAlign w:val="bottom"/>
          </w:tcPr>
          <w:p w14:paraId="392C9EB2" w14:textId="77777777" w:rsidR="00980E5F" w:rsidRDefault="00980E5F">
            <w:pPr>
              <w:rPr>
                <w:rFonts w:ascii="宋体"/>
                <w:vanish/>
              </w:rPr>
            </w:pPr>
          </w:p>
        </w:tc>
        <w:tc>
          <w:tcPr>
            <w:tcW w:w="0" w:type="auto"/>
            <w:gridSpan w:val="3"/>
            <w:shd w:val="clear" w:color="auto" w:fill="auto"/>
            <w:vAlign w:val="bottom"/>
          </w:tcPr>
          <w:p w14:paraId="392C9EB3" w14:textId="77777777" w:rsidR="00980E5F" w:rsidRDefault="00980E5F">
            <w:pPr>
              <w:rPr>
                <w:rFonts w:ascii="宋体"/>
                <w:vanish/>
              </w:rPr>
            </w:pPr>
          </w:p>
        </w:tc>
      </w:tr>
      <w:tr w:rsidR="00980E5F" w14:paraId="392C9EC3" w14:textId="77777777">
        <w:tc>
          <w:tcPr>
            <w:tcW w:w="0" w:type="auto"/>
            <w:gridSpan w:val="3"/>
            <w:shd w:val="clear" w:color="auto" w:fill="FFFFFF"/>
            <w:tcMar>
              <w:top w:w="40" w:type="dxa"/>
              <w:left w:w="20" w:type="dxa"/>
              <w:bottom w:w="40" w:type="dxa"/>
              <w:right w:w="20" w:type="dxa"/>
            </w:tcMar>
            <w:vAlign w:val="bottom"/>
          </w:tcPr>
          <w:p w14:paraId="392C9EB5" w14:textId="77777777" w:rsidR="00980E5F" w:rsidRDefault="00483613">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392C9EB6" w14:textId="77777777" w:rsidR="00980E5F" w:rsidRDefault="00483613">
            <w:pPr>
              <w:jc w:val="right"/>
              <w:textAlignment w:val="bottom"/>
            </w:pPr>
            <w:r>
              <w:rPr>
                <w:rFonts w:ascii="Arial" w:eastAsia="宋体" w:hAnsi="Arial" w:cs="Arial"/>
                <w:b/>
                <w:bCs/>
                <w:color w:val="000000"/>
                <w:sz w:val="14"/>
                <w:szCs w:val="14"/>
              </w:rPr>
              <w:t>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B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B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B9" w14:textId="77777777" w:rsidR="00980E5F" w:rsidRDefault="00483613">
            <w:pPr>
              <w:jc w:val="right"/>
              <w:textAlignment w:val="bottom"/>
            </w:pPr>
            <w:r>
              <w:rPr>
                <w:rFonts w:ascii="Arial" w:eastAsia="宋体" w:hAnsi="Arial" w:cs="Arial"/>
                <w:color w:val="000000"/>
                <w:sz w:val="14"/>
                <w:szCs w:val="14"/>
              </w:rPr>
              <w:t>54 </w:t>
            </w:r>
          </w:p>
        </w:tc>
        <w:tc>
          <w:tcPr>
            <w:tcW w:w="0" w:type="auto"/>
            <w:shd w:val="clear" w:color="auto" w:fill="FFFFFF"/>
            <w:tcMar>
              <w:top w:w="40" w:type="dxa"/>
              <w:left w:w="0" w:type="dxa"/>
              <w:bottom w:w="40" w:type="dxa"/>
              <w:right w:w="20" w:type="dxa"/>
            </w:tcMar>
            <w:vAlign w:val="bottom"/>
          </w:tcPr>
          <w:p w14:paraId="392C9E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B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BC" w14:textId="77777777" w:rsidR="00980E5F" w:rsidRDefault="00483613">
            <w:pPr>
              <w:jc w:val="right"/>
              <w:textAlignment w:val="bottom"/>
            </w:pPr>
            <w:r>
              <w:rPr>
                <w:rFonts w:ascii="Arial" w:eastAsia="宋体" w:hAnsi="Arial" w:cs="Arial"/>
                <w:b/>
                <w:bCs/>
                <w:color w:val="000000"/>
                <w:sz w:val="14"/>
                <w:szCs w:val="14"/>
              </w:rPr>
              <w:t>137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EB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B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EBF" w14:textId="77777777" w:rsidR="00980E5F" w:rsidRDefault="00483613">
            <w:pPr>
              <w:jc w:val="right"/>
              <w:textAlignment w:val="bottom"/>
            </w:pPr>
            <w:r>
              <w:rPr>
                <w:rFonts w:ascii="Arial" w:eastAsia="宋体" w:hAnsi="Arial" w:cs="Arial"/>
                <w:color w:val="000000"/>
                <w:sz w:val="14"/>
                <w:szCs w:val="14"/>
              </w:rPr>
              <w:t>114 </w:t>
            </w:r>
          </w:p>
        </w:tc>
        <w:tc>
          <w:tcPr>
            <w:tcW w:w="0" w:type="auto"/>
            <w:shd w:val="clear" w:color="auto" w:fill="FFFFFF"/>
            <w:tcMar>
              <w:top w:w="40" w:type="dxa"/>
              <w:left w:w="0" w:type="dxa"/>
              <w:bottom w:w="40" w:type="dxa"/>
              <w:right w:w="20" w:type="dxa"/>
            </w:tcMar>
            <w:vAlign w:val="bottom"/>
          </w:tcPr>
          <w:p w14:paraId="392C9EC0" w14:textId="77777777" w:rsidR="00980E5F" w:rsidRDefault="00980E5F">
            <w:pPr>
              <w:jc w:val="right"/>
              <w:rPr>
                <w:rFonts w:ascii="宋体"/>
              </w:rPr>
            </w:pPr>
          </w:p>
        </w:tc>
        <w:tc>
          <w:tcPr>
            <w:tcW w:w="0" w:type="auto"/>
            <w:gridSpan w:val="3"/>
            <w:shd w:val="clear" w:color="auto" w:fill="auto"/>
            <w:vAlign w:val="bottom"/>
          </w:tcPr>
          <w:p w14:paraId="392C9EC1" w14:textId="77777777" w:rsidR="00980E5F" w:rsidRDefault="00980E5F">
            <w:pPr>
              <w:rPr>
                <w:rFonts w:ascii="宋体"/>
                <w:vanish/>
              </w:rPr>
            </w:pPr>
          </w:p>
        </w:tc>
        <w:tc>
          <w:tcPr>
            <w:tcW w:w="0" w:type="auto"/>
            <w:gridSpan w:val="3"/>
            <w:shd w:val="clear" w:color="auto" w:fill="auto"/>
            <w:vAlign w:val="bottom"/>
          </w:tcPr>
          <w:p w14:paraId="392C9EC2" w14:textId="77777777" w:rsidR="00980E5F" w:rsidRDefault="00980E5F">
            <w:pPr>
              <w:rPr>
                <w:rFonts w:ascii="宋体"/>
                <w:vanish/>
              </w:rPr>
            </w:pPr>
          </w:p>
        </w:tc>
      </w:tr>
      <w:tr w:rsidR="00980E5F" w14:paraId="392C9ED2" w14:textId="77777777">
        <w:tc>
          <w:tcPr>
            <w:tcW w:w="0" w:type="auto"/>
            <w:gridSpan w:val="3"/>
            <w:shd w:val="clear" w:color="auto" w:fill="CCEEFF"/>
            <w:tcMar>
              <w:top w:w="40" w:type="dxa"/>
              <w:left w:w="20" w:type="dxa"/>
              <w:bottom w:w="40" w:type="dxa"/>
              <w:right w:w="20" w:type="dxa"/>
            </w:tcMar>
            <w:vAlign w:val="bottom"/>
          </w:tcPr>
          <w:p w14:paraId="392C9EC4" w14:textId="77777777" w:rsidR="00980E5F" w:rsidRDefault="00483613">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392C9EC5" w14:textId="77777777" w:rsidR="00980E5F" w:rsidRDefault="00483613">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C8" w14:textId="77777777" w:rsidR="00980E5F" w:rsidRDefault="00483613">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392C9E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CB" w14:textId="77777777" w:rsidR="00980E5F" w:rsidRDefault="00483613">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E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ECE" w14:textId="77777777" w:rsidR="00980E5F" w:rsidRDefault="00483613">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392C9ECF" w14:textId="77777777" w:rsidR="00980E5F" w:rsidRDefault="00980E5F">
            <w:pPr>
              <w:jc w:val="right"/>
              <w:rPr>
                <w:rFonts w:ascii="宋体"/>
              </w:rPr>
            </w:pPr>
          </w:p>
        </w:tc>
        <w:tc>
          <w:tcPr>
            <w:tcW w:w="0" w:type="auto"/>
            <w:gridSpan w:val="3"/>
            <w:shd w:val="clear" w:color="auto" w:fill="auto"/>
            <w:vAlign w:val="bottom"/>
          </w:tcPr>
          <w:p w14:paraId="392C9ED0" w14:textId="77777777" w:rsidR="00980E5F" w:rsidRDefault="00980E5F">
            <w:pPr>
              <w:rPr>
                <w:rFonts w:ascii="宋体"/>
                <w:vanish/>
              </w:rPr>
            </w:pPr>
          </w:p>
        </w:tc>
        <w:tc>
          <w:tcPr>
            <w:tcW w:w="0" w:type="auto"/>
            <w:gridSpan w:val="3"/>
            <w:shd w:val="clear" w:color="auto" w:fill="auto"/>
            <w:vAlign w:val="bottom"/>
          </w:tcPr>
          <w:p w14:paraId="392C9ED1" w14:textId="77777777" w:rsidR="00980E5F" w:rsidRDefault="00980E5F">
            <w:pPr>
              <w:rPr>
                <w:rFonts w:ascii="宋体"/>
                <w:vanish/>
              </w:rPr>
            </w:pPr>
          </w:p>
        </w:tc>
      </w:tr>
      <w:tr w:rsidR="00980E5F" w14:paraId="392C9EE1" w14:textId="77777777">
        <w:tc>
          <w:tcPr>
            <w:tcW w:w="0" w:type="auto"/>
            <w:gridSpan w:val="3"/>
            <w:shd w:val="clear" w:color="auto" w:fill="FFFFFF"/>
            <w:tcMar>
              <w:top w:w="40" w:type="dxa"/>
              <w:left w:w="20" w:type="dxa"/>
              <w:bottom w:w="40" w:type="dxa"/>
              <w:right w:w="20" w:type="dxa"/>
            </w:tcMar>
            <w:vAlign w:val="bottom"/>
          </w:tcPr>
          <w:p w14:paraId="392C9ED3" w14:textId="77777777" w:rsidR="00980E5F" w:rsidRDefault="00483613">
            <w:pPr>
              <w:textAlignment w:val="bottom"/>
            </w:pPr>
            <w:r>
              <w:rPr>
                <w:rFonts w:ascii="Arial" w:eastAsia="宋体" w:hAnsi="Arial" w:cs="Arial"/>
                <w:color w:val="000000"/>
                <w:sz w:val="14"/>
                <w:szCs w:val="14"/>
              </w:rPr>
              <w:t>Total interest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D4" w14:textId="77777777" w:rsidR="00980E5F" w:rsidRDefault="00483613">
            <w:pPr>
              <w:jc w:val="right"/>
              <w:textAlignment w:val="bottom"/>
            </w:pPr>
            <w:r>
              <w:rPr>
                <w:rFonts w:ascii="Arial" w:eastAsia="宋体" w:hAnsi="Arial" w:cs="Arial"/>
                <w:b/>
                <w:bCs/>
                <w:color w:val="000000"/>
                <w:sz w:val="14"/>
                <w:szCs w:val="14"/>
              </w:rPr>
              <w:t>120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D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D6"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D7"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D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D9"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DA" w14:textId="77777777" w:rsidR="00980E5F" w:rsidRDefault="00483613">
            <w:pPr>
              <w:jc w:val="right"/>
              <w:textAlignment w:val="bottom"/>
            </w:pPr>
            <w:r>
              <w:rPr>
                <w:rFonts w:ascii="Arial" w:eastAsia="宋体" w:hAnsi="Arial" w:cs="Arial"/>
                <w:b/>
                <w:bCs/>
                <w:color w:val="000000"/>
                <w:sz w:val="14"/>
                <w:szCs w:val="14"/>
              </w:rPr>
              <w:t>132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D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ED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9EDD" w14:textId="77777777" w:rsidR="00980E5F" w:rsidRDefault="00483613">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9EDE" w14:textId="77777777" w:rsidR="00980E5F" w:rsidRDefault="00980E5F">
            <w:pPr>
              <w:jc w:val="right"/>
              <w:rPr>
                <w:rFonts w:ascii="宋体"/>
              </w:rPr>
            </w:pPr>
          </w:p>
        </w:tc>
        <w:tc>
          <w:tcPr>
            <w:tcW w:w="0" w:type="auto"/>
            <w:gridSpan w:val="3"/>
            <w:shd w:val="clear" w:color="auto" w:fill="auto"/>
            <w:vAlign w:val="bottom"/>
          </w:tcPr>
          <w:p w14:paraId="392C9EDF" w14:textId="77777777" w:rsidR="00980E5F" w:rsidRDefault="00980E5F">
            <w:pPr>
              <w:rPr>
                <w:rFonts w:ascii="宋体"/>
                <w:vanish/>
              </w:rPr>
            </w:pPr>
          </w:p>
        </w:tc>
        <w:tc>
          <w:tcPr>
            <w:tcW w:w="0" w:type="auto"/>
            <w:gridSpan w:val="3"/>
            <w:shd w:val="clear" w:color="auto" w:fill="auto"/>
            <w:vAlign w:val="bottom"/>
          </w:tcPr>
          <w:p w14:paraId="392C9EE0" w14:textId="77777777" w:rsidR="00980E5F" w:rsidRDefault="00980E5F">
            <w:pPr>
              <w:rPr>
                <w:rFonts w:ascii="宋体"/>
                <w:vanish/>
              </w:rPr>
            </w:pPr>
          </w:p>
        </w:tc>
      </w:tr>
      <w:tr w:rsidR="00980E5F" w14:paraId="392C9EF4" w14:textId="77777777">
        <w:tc>
          <w:tcPr>
            <w:tcW w:w="0" w:type="auto"/>
            <w:gridSpan w:val="3"/>
            <w:shd w:val="clear" w:color="auto" w:fill="CCEEFF"/>
            <w:tcMar>
              <w:top w:w="40" w:type="dxa"/>
              <w:left w:w="20" w:type="dxa"/>
              <w:bottom w:w="40" w:type="dxa"/>
              <w:right w:w="20" w:type="dxa"/>
            </w:tcMar>
            <w:vAlign w:val="bottom"/>
          </w:tcPr>
          <w:p w14:paraId="392C9EE2" w14:textId="77777777" w:rsidR="00980E5F" w:rsidRDefault="00483613">
            <w:pPr>
              <w:textAlignment w:val="bottom"/>
            </w:pPr>
            <w:r>
              <w:rPr>
                <w:rFonts w:ascii="Arial" w:eastAsia="宋体" w:hAnsi="Arial" w:cs="Arial"/>
                <w:b/>
                <w:bCs/>
                <w:color w:val="000000"/>
                <w:sz w:val="14"/>
                <w:szCs w:val="14"/>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EE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EE4" w14:textId="77777777" w:rsidR="00980E5F" w:rsidRDefault="00483613">
            <w:pPr>
              <w:jc w:val="right"/>
              <w:textAlignment w:val="bottom"/>
            </w:pPr>
            <w:r>
              <w:rPr>
                <w:rFonts w:ascii="Arial" w:eastAsia="宋体" w:hAnsi="Arial" w:cs="Arial"/>
                <w:b/>
                <w:bCs/>
                <w:color w:val="000000"/>
                <w:sz w:val="14"/>
                <w:szCs w:val="14"/>
              </w:rPr>
              <w:t>584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EE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E6"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EE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EE8" w14:textId="77777777" w:rsidR="00980E5F" w:rsidRDefault="00483613">
            <w:pPr>
              <w:jc w:val="right"/>
              <w:textAlignment w:val="bottom"/>
            </w:pPr>
            <w:r>
              <w:rPr>
                <w:rFonts w:ascii="Arial" w:eastAsia="宋体" w:hAnsi="Arial" w:cs="Arial"/>
                <w:color w:val="000000"/>
                <w:sz w:val="14"/>
                <w:szCs w:val="14"/>
              </w:rPr>
              <w:t>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E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EA"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EE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EEC" w14:textId="77777777" w:rsidR="00980E5F" w:rsidRDefault="00483613">
            <w:pPr>
              <w:jc w:val="right"/>
              <w:textAlignment w:val="bottom"/>
            </w:pPr>
            <w:r>
              <w:rPr>
                <w:rFonts w:ascii="Arial" w:eastAsia="宋体" w:hAnsi="Arial" w:cs="Arial"/>
                <w:b/>
                <w:bCs/>
                <w:color w:val="000000"/>
                <w:sz w:val="14"/>
                <w:szCs w:val="14"/>
              </w:rPr>
              <w:t>1,093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EE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EEE"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EE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EF0" w14:textId="77777777" w:rsidR="00980E5F" w:rsidRDefault="00483613">
            <w:pPr>
              <w:jc w:val="right"/>
              <w:textAlignment w:val="bottom"/>
            </w:pPr>
            <w:r>
              <w:rPr>
                <w:rFonts w:ascii="Arial" w:eastAsia="宋体" w:hAnsi="Arial" w:cs="Arial"/>
                <w:color w:val="000000"/>
                <w:sz w:val="14"/>
                <w:szCs w:val="14"/>
              </w:rPr>
              <w:t>934 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EF1" w14:textId="77777777" w:rsidR="00980E5F" w:rsidRDefault="00980E5F">
            <w:pPr>
              <w:jc w:val="right"/>
              <w:rPr>
                <w:rFonts w:ascii="宋体"/>
              </w:rPr>
            </w:pPr>
          </w:p>
        </w:tc>
        <w:tc>
          <w:tcPr>
            <w:tcW w:w="0" w:type="auto"/>
            <w:gridSpan w:val="3"/>
            <w:shd w:val="clear" w:color="auto" w:fill="auto"/>
            <w:vAlign w:val="bottom"/>
          </w:tcPr>
          <w:p w14:paraId="392C9EF2" w14:textId="77777777" w:rsidR="00980E5F" w:rsidRDefault="00980E5F">
            <w:pPr>
              <w:rPr>
                <w:rFonts w:ascii="宋体"/>
                <w:vanish/>
              </w:rPr>
            </w:pPr>
          </w:p>
        </w:tc>
        <w:tc>
          <w:tcPr>
            <w:tcW w:w="0" w:type="auto"/>
            <w:gridSpan w:val="3"/>
            <w:shd w:val="clear" w:color="auto" w:fill="auto"/>
            <w:vAlign w:val="bottom"/>
          </w:tcPr>
          <w:p w14:paraId="392C9EF3" w14:textId="77777777" w:rsidR="00980E5F" w:rsidRDefault="00980E5F">
            <w:pPr>
              <w:rPr>
                <w:rFonts w:ascii="宋体"/>
                <w:vanish/>
              </w:rPr>
            </w:pPr>
          </w:p>
        </w:tc>
      </w:tr>
    </w:tbl>
    <w:p w14:paraId="392C9EF5" w14:textId="77777777" w:rsidR="00980E5F" w:rsidRDefault="00483613">
      <w:pPr>
        <w:spacing w:before="180"/>
        <w:jc w:val="both"/>
      </w:pPr>
      <w:r>
        <w:rPr>
          <w:rFonts w:ascii="Arial" w:eastAsia="宋体" w:hAnsi="Arial" w:cs="Arial"/>
          <w:b/>
          <w:bCs/>
          <w:color w:val="000000"/>
          <w:sz w:val="20"/>
          <w:szCs w:val="20"/>
        </w:rPr>
        <w:t>Note 15.    Expenses</w:t>
      </w:r>
    </w:p>
    <w:p w14:paraId="392C9EF6" w14:textId="77777777" w:rsidR="00980E5F" w:rsidRDefault="00483613">
      <w:pPr>
        <w:spacing w:before="60"/>
        <w:ind w:firstLine="450"/>
        <w:jc w:val="both"/>
      </w:pPr>
      <w:r>
        <w:rPr>
          <w:rFonts w:ascii="Arial" w:eastAsia="宋体" w:hAnsi="Arial" w:cs="Arial"/>
          <w:color w:val="000000"/>
          <w:sz w:val="20"/>
          <w:szCs w:val="20"/>
        </w:rPr>
        <w:t xml:space="preserve">The following table presents the components of other expenses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2722"/>
        <w:gridCol w:w="37"/>
        <w:gridCol w:w="98"/>
        <w:gridCol w:w="1115"/>
        <w:gridCol w:w="36"/>
        <w:gridCol w:w="36"/>
        <w:gridCol w:w="36"/>
        <w:gridCol w:w="36"/>
        <w:gridCol w:w="98"/>
        <w:gridCol w:w="1116"/>
        <w:gridCol w:w="36"/>
        <w:gridCol w:w="36"/>
        <w:gridCol w:w="36"/>
        <w:gridCol w:w="36"/>
        <w:gridCol w:w="98"/>
        <w:gridCol w:w="1116"/>
        <w:gridCol w:w="36"/>
        <w:gridCol w:w="36"/>
        <w:gridCol w:w="36"/>
        <w:gridCol w:w="36"/>
        <w:gridCol w:w="98"/>
        <w:gridCol w:w="1116"/>
        <w:gridCol w:w="36"/>
        <w:gridCol w:w="36"/>
        <w:gridCol w:w="36"/>
        <w:gridCol w:w="36"/>
        <w:gridCol w:w="36"/>
        <w:gridCol w:w="36"/>
        <w:gridCol w:w="36"/>
      </w:tblGrid>
      <w:tr w:rsidR="00980E5F" w14:paraId="392C9F11" w14:textId="77777777">
        <w:tc>
          <w:tcPr>
            <w:tcW w:w="50" w:type="pct"/>
            <w:shd w:val="clear" w:color="auto" w:fill="auto"/>
            <w:vAlign w:val="bottom"/>
          </w:tcPr>
          <w:p w14:paraId="392C9EF7" w14:textId="77777777" w:rsidR="00980E5F" w:rsidRDefault="00980E5F">
            <w:pPr>
              <w:rPr>
                <w:rFonts w:ascii="宋体"/>
              </w:rPr>
            </w:pPr>
          </w:p>
        </w:tc>
        <w:tc>
          <w:tcPr>
            <w:tcW w:w="1728" w:type="pct"/>
            <w:shd w:val="clear" w:color="auto" w:fill="auto"/>
            <w:vAlign w:val="bottom"/>
          </w:tcPr>
          <w:p w14:paraId="392C9EF8" w14:textId="77777777" w:rsidR="00980E5F" w:rsidRDefault="00980E5F">
            <w:pPr>
              <w:rPr>
                <w:rFonts w:ascii="宋体"/>
              </w:rPr>
            </w:pPr>
          </w:p>
        </w:tc>
        <w:tc>
          <w:tcPr>
            <w:tcW w:w="5" w:type="pct"/>
            <w:shd w:val="clear" w:color="auto" w:fill="auto"/>
            <w:vAlign w:val="bottom"/>
          </w:tcPr>
          <w:p w14:paraId="392C9EF9" w14:textId="77777777" w:rsidR="00980E5F" w:rsidRDefault="00980E5F">
            <w:pPr>
              <w:rPr>
                <w:rFonts w:ascii="宋体"/>
              </w:rPr>
            </w:pPr>
          </w:p>
        </w:tc>
        <w:tc>
          <w:tcPr>
            <w:tcW w:w="50" w:type="pct"/>
            <w:shd w:val="clear" w:color="auto" w:fill="auto"/>
            <w:vAlign w:val="bottom"/>
          </w:tcPr>
          <w:p w14:paraId="392C9EFA" w14:textId="77777777" w:rsidR="00980E5F" w:rsidRDefault="00980E5F">
            <w:pPr>
              <w:rPr>
                <w:rFonts w:ascii="宋体"/>
              </w:rPr>
            </w:pPr>
          </w:p>
        </w:tc>
        <w:tc>
          <w:tcPr>
            <w:tcW w:w="727" w:type="pct"/>
            <w:shd w:val="clear" w:color="auto" w:fill="auto"/>
            <w:vAlign w:val="bottom"/>
          </w:tcPr>
          <w:p w14:paraId="392C9EFB" w14:textId="77777777" w:rsidR="00980E5F" w:rsidRDefault="00980E5F">
            <w:pPr>
              <w:rPr>
                <w:rFonts w:ascii="宋体"/>
              </w:rPr>
            </w:pPr>
          </w:p>
        </w:tc>
        <w:tc>
          <w:tcPr>
            <w:tcW w:w="5" w:type="pct"/>
            <w:shd w:val="clear" w:color="auto" w:fill="auto"/>
            <w:vAlign w:val="bottom"/>
          </w:tcPr>
          <w:p w14:paraId="392C9EFC" w14:textId="77777777" w:rsidR="00980E5F" w:rsidRDefault="00980E5F">
            <w:pPr>
              <w:rPr>
                <w:rFonts w:ascii="宋体"/>
              </w:rPr>
            </w:pPr>
          </w:p>
        </w:tc>
        <w:tc>
          <w:tcPr>
            <w:tcW w:w="5" w:type="pct"/>
            <w:shd w:val="clear" w:color="auto" w:fill="auto"/>
            <w:vAlign w:val="bottom"/>
          </w:tcPr>
          <w:p w14:paraId="392C9EFD" w14:textId="77777777" w:rsidR="00980E5F" w:rsidRDefault="00980E5F">
            <w:pPr>
              <w:rPr>
                <w:rFonts w:ascii="宋体"/>
              </w:rPr>
            </w:pPr>
          </w:p>
        </w:tc>
        <w:tc>
          <w:tcPr>
            <w:tcW w:w="19" w:type="pct"/>
            <w:shd w:val="clear" w:color="auto" w:fill="auto"/>
            <w:vAlign w:val="bottom"/>
          </w:tcPr>
          <w:p w14:paraId="392C9EFE" w14:textId="77777777" w:rsidR="00980E5F" w:rsidRDefault="00980E5F">
            <w:pPr>
              <w:rPr>
                <w:rFonts w:ascii="宋体"/>
              </w:rPr>
            </w:pPr>
          </w:p>
        </w:tc>
        <w:tc>
          <w:tcPr>
            <w:tcW w:w="5" w:type="pct"/>
            <w:shd w:val="clear" w:color="auto" w:fill="auto"/>
            <w:vAlign w:val="bottom"/>
          </w:tcPr>
          <w:p w14:paraId="392C9EFF" w14:textId="77777777" w:rsidR="00980E5F" w:rsidRDefault="00980E5F">
            <w:pPr>
              <w:rPr>
                <w:rFonts w:ascii="宋体"/>
              </w:rPr>
            </w:pPr>
          </w:p>
        </w:tc>
        <w:tc>
          <w:tcPr>
            <w:tcW w:w="50" w:type="pct"/>
            <w:shd w:val="clear" w:color="auto" w:fill="auto"/>
            <w:vAlign w:val="bottom"/>
          </w:tcPr>
          <w:p w14:paraId="392C9F00" w14:textId="77777777" w:rsidR="00980E5F" w:rsidRDefault="00980E5F">
            <w:pPr>
              <w:rPr>
                <w:rFonts w:ascii="宋体"/>
              </w:rPr>
            </w:pPr>
          </w:p>
        </w:tc>
        <w:tc>
          <w:tcPr>
            <w:tcW w:w="727" w:type="pct"/>
            <w:shd w:val="clear" w:color="auto" w:fill="auto"/>
            <w:vAlign w:val="bottom"/>
          </w:tcPr>
          <w:p w14:paraId="392C9F01" w14:textId="77777777" w:rsidR="00980E5F" w:rsidRDefault="00980E5F">
            <w:pPr>
              <w:rPr>
                <w:rFonts w:ascii="宋体"/>
              </w:rPr>
            </w:pPr>
          </w:p>
        </w:tc>
        <w:tc>
          <w:tcPr>
            <w:tcW w:w="5" w:type="pct"/>
            <w:shd w:val="clear" w:color="auto" w:fill="auto"/>
            <w:vAlign w:val="bottom"/>
          </w:tcPr>
          <w:p w14:paraId="392C9F02" w14:textId="77777777" w:rsidR="00980E5F" w:rsidRDefault="00980E5F">
            <w:pPr>
              <w:rPr>
                <w:rFonts w:ascii="宋体"/>
              </w:rPr>
            </w:pPr>
          </w:p>
        </w:tc>
        <w:tc>
          <w:tcPr>
            <w:tcW w:w="5" w:type="pct"/>
            <w:shd w:val="clear" w:color="auto" w:fill="auto"/>
            <w:vAlign w:val="bottom"/>
          </w:tcPr>
          <w:p w14:paraId="392C9F03" w14:textId="77777777" w:rsidR="00980E5F" w:rsidRDefault="00980E5F">
            <w:pPr>
              <w:rPr>
                <w:rFonts w:ascii="宋体"/>
              </w:rPr>
            </w:pPr>
          </w:p>
        </w:tc>
        <w:tc>
          <w:tcPr>
            <w:tcW w:w="19" w:type="pct"/>
            <w:shd w:val="clear" w:color="auto" w:fill="auto"/>
            <w:vAlign w:val="bottom"/>
          </w:tcPr>
          <w:p w14:paraId="392C9F04" w14:textId="77777777" w:rsidR="00980E5F" w:rsidRDefault="00980E5F">
            <w:pPr>
              <w:rPr>
                <w:rFonts w:ascii="宋体"/>
              </w:rPr>
            </w:pPr>
          </w:p>
        </w:tc>
        <w:tc>
          <w:tcPr>
            <w:tcW w:w="5" w:type="pct"/>
            <w:shd w:val="clear" w:color="auto" w:fill="auto"/>
            <w:vAlign w:val="bottom"/>
          </w:tcPr>
          <w:p w14:paraId="392C9F05" w14:textId="77777777" w:rsidR="00980E5F" w:rsidRDefault="00980E5F">
            <w:pPr>
              <w:rPr>
                <w:rFonts w:ascii="宋体"/>
              </w:rPr>
            </w:pPr>
          </w:p>
        </w:tc>
        <w:tc>
          <w:tcPr>
            <w:tcW w:w="50" w:type="pct"/>
            <w:shd w:val="clear" w:color="auto" w:fill="auto"/>
            <w:vAlign w:val="bottom"/>
          </w:tcPr>
          <w:p w14:paraId="392C9F06" w14:textId="77777777" w:rsidR="00980E5F" w:rsidRDefault="00980E5F">
            <w:pPr>
              <w:rPr>
                <w:rFonts w:ascii="宋体"/>
              </w:rPr>
            </w:pPr>
          </w:p>
        </w:tc>
        <w:tc>
          <w:tcPr>
            <w:tcW w:w="727" w:type="pct"/>
            <w:shd w:val="clear" w:color="auto" w:fill="auto"/>
            <w:vAlign w:val="bottom"/>
          </w:tcPr>
          <w:p w14:paraId="392C9F07" w14:textId="77777777" w:rsidR="00980E5F" w:rsidRDefault="00980E5F">
            <w:pPr>
              <w:rPr>
                <w:rFonts w:ascii="宋体"/>
              </w:rPr>
            </w:pPr>
          </w:p>
        </w:tc>
        <w:tc>
          <w:tcPr>
            <w:tcW w:w="5" w:type="pct"/>
            <w:shd w:val="clear" w:color="auto" w:fill="auto"/>
            <w:vAlign w:val="bottom"/>
          </w:tcPr>
          <w:p w14:paraId="392C9F08" w14:textId="77777777" w:rsidR="00980E5F" w:rsidRDefault="00980E5F">
            <w:pPr>
              <w:rPr>
                <w:rFonts w:ascii="宋体"/>
              </w:rPr>
            </w:pPr>
          </w:p>
        </w:tc>
        <w:tc>
          <w:tcPr>
            <w:tcW w:w="5" w:type="pct"/>
            <w:shd w:val="clear" w:color="auto" w:fill="auto"/>
            <w:vAlign w:val="bottom"/>
          </w:tcPr>
          <w:p w14:paraId="392C9F09" w14:textId="77777777" w:rsidR="00980E5F" w:rsidRDefault="00980E5F">
            <w:pPr>
              <w:rPr>
                <w:rFonts w:ascii="宋体"/>
              </w:rPr>
            </w:pPr>
          </w:p>
        </w:tc>
        <w:tc>
          <w:tcPr>
            <w:tcW w:w="19" w:type="pct"/>
            <w:shd w:val="clear" w:color="auto" w:fill="auto"/>
            <w:vAlign w:val="bottom"/>
          </w:tcPr>
          <w:p w14:paraId="392C9F0A" w14:textId="77777777" w:rsidR="00980E5F" w:rsidRDefault="00980E5F">
            <w:pPr>
              <w:rPr>
                <w:rFonts w:ascii="宋体"/>
              </w:rPr>
            </w:pPr>
          </w:p>
        </w:tc>
        <w:tc>
          <w:tcPr>
            <w:tcW w:w="5" w:type="pct"/>
            <w:shd w:val="clear" w:color="auto" w:fill="auto"/>
            <w:vAlign w:val="bottom"/>
          </w:tcPr>
          <w:p w14:paraId="392C9F0B" w14:textId="77777777" w:rsidR="00980E5F" w:rsidRDefault="00980E5F">
            <w:pPr>
              <w:rPr>
                <w:rFonts w:ascii="宋体"/>
              </w:rPr>
            </w:pPr>
          </w:p>
        </w:tc>
        <w:tc>
          <w:tcPr>
            <w:tcW w:w="50" w:type="pct"/>
            <w:shd w:val="clear" w:color="auto" w:fill="auto"/>
            <w:vAlign w:val="bottom"/>
          </w:tcPr>
          <w:p w14:paraId="392C9F0C" w14:textId="77777777" w:rsidR="00980E5F" w:rsidRDefault="00980E5F">
            <w:pPr>
              <w:rPr>
                <w:rFonts w:ascii="宋体"/>
              </w:rPr>
            </w:pPr>
          </w:p>
        </w:tc>
        <w:tc>
          <w:tcPr>
            <w:tcW w:w="727" w:type="pct"/>
            <w:shd w:val="clear" w:color="auto" w:fill="auto"/>
            <w:vAlign w:val="bottom"/>
          </w:tcPr>
          <w:p w14:paraId="392C9F0D" w14:textId="77777777" w:rsidR="00980E5F" w:rsidRDefault="00980E5F">
            <w:pPr>
              <w:rPr>
                <w:rFonts w:ascii="宋体"/>
              </w:rPr>
            </w:pPr>
          </w:p>
        </w:tc>
        <w:tc>
          <w:tcPr>
            <w:tcW w:w="5" w:type="pct"/>
            <w:shd w:val="clear" w:color="auto" w:fill="auto"/>
            <w:vAlign w:val="bottom"/>
          </w:tcPr>
          <w:p w14:paraId="392C9F0E" w14:textId="77777777" w:rsidR="00980E5F" w:rsidRDefault="00980E5F">
            <w:pPr>
              <w:rPr>
                <w:rFonts w:ascii="宋体"/>
              </w:rPr>
            </w:pPr>
          </w:p>
        </w:tc>
        <w:tc>
          <w:tcPr>
            <w:tcW w:w="0" w:type="auto"/>
            <w:gridSpan w:val="3"/>
            <w:shd w:val="clear" w:color="auto" w:fill="auto"/>
            <w:vAlign w:val="bottom"/>
          </w:tcPr>
          <w:p w14:paraId="392C9F0F" w14:textId="77777777" w:rsidR="00980E5F" w:rsidRDefault="00980E5F">
            <w:pPr>
              <w:rPr>
                <w:rFonts w:ascii="宋体"/>
                <w:vanish/>
              </w:rPr>
            </w:pPr>
          </w:p>
        </w:tc>
        <w:tc>
          <w:tcPr>
            <w:tcW w:w="0" w:type="auto"/>
            <w:gridSpan w:val="3"/>
            <w:shd w:val="clear" w:color="auto" w:fill="auto"/>
            <w:vAlign w:val="bottom"/>
          </w:tcPr>
          <w:p w14:paraId="392C9F10" w14:textId="77777777" w:rsidR="00980E5F" w:rsidRDefault="00980E5F">
            <w:pPr>
              <w:rPr>
                <w:rFonts w:ascii="宋体"/>
                <w:vanish/>
              </w:rPr>
            </w:pPr>
          </w:p>
        </w:tc>
      </w:tr>
      <w:tr w:rsidR="00980E5F" w14:paraId="392C9F1C" w14:textId="77777777">
        <w:tc>
          <w:tcPr>
            <w:tcW w:w="0" w:type="auto"/>
            <w:gridSpan w:val="3"/>
            <w:shd w:val="clear" w:color="auto" w:fill="auto"/>
            <w:tcMar>
              <w:top w:w="0" w:type="dxa"/>
              <w:left w:w="20" w:type="dxa"/>
              <w:bottom w:w="0" w:type="dxa"/>
              <w:right w:w="20" w:type="dxa"/>
            </w:tcMar>
            <w:vAlign w:val="bottom"/>
          </w:tcPr>
          <w:p w14:paraId="392C9F12"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F13"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392C9F14"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9F15"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9F16" w14:textId="77777777" w:rsidR="00980E5F" w:rsidRDefault="00980E5F">
            <w:pPr>
              <w:rPr>
                <w:rFonts w:ascii="宋体"/>
              </w:rPr>
            </w:pPr>
          </w:p>
        </w:tc>
        <w:tc>
          <w:tcPr>
            <w:tcW w:w="0" w:type="auto"/>
            <w:shd w:val="clear" w:color="auto" w:fill="auto"/>
            <w:vAlign w:val="bottom"/>
          </w:tcPr>
          <w:p w14:paraId="392C9F17" w14:textId="77777777" w:rsidR="00980E5F" w:rsidRDefault="00980E5F">
            <w:pPr>
              <w:rPr>
                <w:rFonts w:ascii="宋体"/>
              </w:rPr>
            </w:pPr>
          </w:p>
        </w:tc>
        <w:tc>
          <w:tcPr>
            <w:tcW w:w="0" w:type="auto"/>
            <w:shd w:val="clear" w:color="auto" w:fill="auto"/>
            <w:vAlign w:val="bottom"/>
          </w:tcPr>
          <w:p w14:paraId="392C9F18" w14:textId="77777777" w:rsidR="00980E5F" w:rsidRDefault="00980E5F">
            <w:pPr>
              <w:rPr>
                <w:rFonts w:ascii="宋体"/>
              </w:rPr>
            </w:pPr>
          </w:p>
        </w:tc>
        <w:tc>
          <w:tcPr>
            <w:tcW w:w="0" w:type="auto"/>
            <w:shd w:val="clear" w:color="auto" w:fill="auto"/>
            <w:vAlign w:val="bottom"/>
          </w:tcPr>
          <w:p w14:paraId="392C9F19" w14:textId="77777777" w:rsidR="00980E5F" w:rsidRDefault="00980E5F">
            <w:pPr>
              <w:rPr>
                <w:rFonts w:ascii="宋体"/>
              </w:rPr>
            </w:pPr>
          </w:p>
        </w:tc>
        <w:tc>
          <w:tcPr>
            <w:tcW w:w="0" w:type="auto"/>
            <w:shd w:val="clear" w:color="auto" w:fill="auto"/>
            <w:vAlign w:val="bottom"/>
          </w:tcPr>
          <w:p w14:paraId="392C9F1A" w14:textId="77777777" w:rsidR="00980E5F" w:rsidRDefault="00980E5F">
            <w:pPr>
              <w:rPr>
                <w:rFonts w:ascii="宋体"/>
              </w:rPr>
            </w:pPr>
          </w:p>
        </w:tc>
        <w:tc>
          <w:tcPr>
            <w:tcW w:w="0" w:type="auto"/>
            <w:shd w:val="clear" w:color="auto" w:fill="auto"/>
            <w:vAlign w:val="bottom"/>
          </w:tcPr>
          <w:p w14:paraId="392C9F1B" w14:textId="77777777" w:rsidR="00980E5F" w:rsidRDefault="00980E5F">
            <w:pPr>
              <w:rPr>
                <w:rFonts w:ascii="宋体"/>
              </w:rPr>
            </w:pPr>
          </w:p>
        </w:tc>
      </w:tr>
      <w:tr w:rsidR="00980E5F" w14:paraId="392C9F27" w14:textId="77777777">
        <w:tc>
          <w:tcPr>
            <w:tcW w:w="0" w:type="auto"/>
            <w:gridSpan w:val="3"/>
            <w:shd w:val="clear" w:color="auto" w:fill="auto"/>
            <w:tcMar>
              <w:top w:w="40" w:type="dxa"/>
              <w:left w:w="20" w:type="dxa"/>
              <w:bottom w:w="40" w:type="dxa"/>
              <w:right w:w="20" w:type="dxa"/>
            </w:tcMar>
            <w:vAlign w:val="bottom"/>
          </w:tcPr>
          <w:p w14:paraId="392C9F1D"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F1E"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F1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F20"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9F2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F22"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9F2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9F24"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392C9F25" w14:textId="77777777" w:rsidR="00980E5F" w:rsidRDefault="00980E5F">
            <w:pPr>
              <w:rPr>
                <w:rFonts w:ascii="宋体"/>
                <w:vanish/>
              </w:rPr>
            </w:pPr>
          </w:p>
        </w:tc>
        <w:tc>
          <w:tcPr>
            <w:tcW w:w="0" w:type="auto"/>
            <w:gridSpan w:val="3"/>
            <w:shd w:val="clear" w:color="auto" w:fill="auto"/>
            <w:vAlign w:val="bottom"/>
          </w:tcPr>
          <w:p w14:paraId="392C9F26" w14:textId="77777777" w:rsidR="00980E5F" w:rsidRDefault="00980E5F">
            <w:pPr>
              <w:rPr>
                <w:rFonts w:ascii="宋体"/>
                <w:vanish/>
              </w:rPr>
            </w:pPr>
          </w:p>
        </w:tc>
      </w:tr>
      <w:tr w:rsidR="00980E5F" w14:paraId="392C9F3A" w14:textId="77777777">
        <w:tc>
          <w:tcPr>
            <w:tcW w:w="0" w:type="auto"/>
            <w:gridSpan w:val="3"/>
            <w:shd w:val="clear" w:color="auto" w:fill="CCEEFF"/>
            <w:tcMar>
              <w:top w:w="40" w:type="dxa"/>
              <w:left w:w="20" w:type="dxa"/>
              <w:bottom w:w="40" w:type="dxa"/>
              <w:right w:w="20" w:type="dxa"/>
            </w:tcMar>
            <w:vAlign w:val="bottom"/>
          </w:tcPr>
          <w:p w14:paraId="392C9F28" w14:textId="77777777" w:rsidR="00980E5F" w:rsidRDefault="00483613">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9F29"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F2A" w14:textId="77777777" w:rsidR="00980E5F" w:rsidRDefault="00483613">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F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2C"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F2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F2E" w14:textId="77777777" w:rsidR="00980E5F" w:rsidRDefault="00483613">
            <w:pPr>
              <w:jc w:val="right"/>
              <w:textAlignment w:val="bottom"/>
            </w:pPr>
            <w:r>
              <w:rPr>
                <w:rFonts w:ascii="Arial" w:eastAsia="宋体" w:hAnsi="Arial" w:cs="Arial"/>
                <w:color w:val="000000"/>
                <w:sz w:val="14"/>
                <w:szCs w:val="14"/>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F2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3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F3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F32" w14:textId="77777777" w:rsidR="00980E5F" w:rsidRDefault="00483613">
            <w:pPr>
              <w:jc w:val="right"/>
              <w:textAlignment w:val="bottom"/>
            </w:pPr>
            <w:r>
              <w:rPr>
                <w:rFonts w:ascii="Arial" w:eastAsia="宋体" w:hAnsi="Arial" w:cs="Arial"/>
                <w:b/>
                <w:bCs/>
                <w:color w:val="000000"/>
                <w:sz w:val="14"/>
                <w:szCs w:val="14"/>
              </w:rPr>
              <w:t>181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F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3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9F3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9F36" w14:textId="77777777" w:rsidR="00980E5F" w:rsidRDefault="00483613">
            <w:pPr>
              <w:jc w:val="right"/>
              <w:textAlignment w:val="bottom"/>
            </w:pPr>
            <w:r>
              <w:rPr>
                <w:rFonts w:ascii="Arial" w:eastAsia="宋体" w:hAnsi="Arial" w:cs="Arial"/>
                <w:color w:val="000000"/>
                <w:sz w:val="14"/>
                <w:szCs w:val="14"/>
              </w:rPr>
              <w:t>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9F37" w14:textId="77777777" w:rsidR="00980E5F" w:rsidRDefault="00980E5F">
            <w:pPr>
              <w:jc w:val="right"/>
              <w:rPr>
                <w:rFonts w:ascii="宋体"/>
              </w:rPr>
            </w:pPr>
          </w:p>
        </w:tc>
        <w:tc>
          <w:tcPr>
            <w:tcW w:w="0" w:type="auto"/>
            <w:gridSpan w:val="3"/>
            <w:shd w:val="clear" w:color="auto" w:fill="auto"/>
            <w:vAlign w:val="bottom"/>
          </w:tcPr>
          <w:p w14:paraId="392C9F38" w14:textId="77777777" w:rsidR="00980E5F" w:rsidRDefault="00980E5F">
            <w:pPr>
              <w:rPr>
                <w:rFonts w:ascii="宋体"/>
                <w:vanish/>
              </w:rPr>
            </w:pPr>
          </w:p>
        </w:tc>
        <w:tc>
          <w:tcPr>
            <w:tcW w:w="0" w:type="auto"/>
            <w:gridSpan w:val="3"/>
            <w:shd w:val="clear" w:color="auto" w:fill="auto"/>
            <w:vAlign w:val="bottom"/>
          </w:tcPr>
          <w:p w14:paraId="392C9F39" w14:textId="77777777" w:rsidR="00980E5F" w:rsidRDefault="00980E5F">
            <w:pPr>
              <w:rPr>
                <w:rFonts w:ascii="宋体"/>
                <w:vanish/>
              </w:rPr>
            </w:pPr>
          </w:p>
        </w:tc>
      </w:tr>
      <w:tr w:rsidR="00980E5F" w14:paraId="392C9F49" w14:textId="77777777">
        <w:tc>
          <w:tcPr>
            <w:tcW w:w="0" w:type="auto"/>
            <w:gridSpan w:val="3"/>
            <w:shd w:val="clear" w:color="auto" w:fill="FFFFFF"/>
            <w:tcMar>
              <w:top w:w="40" w:type="dxa"/>
              <w:left w:w="20" w:type="dxa"/>
              <w:bottom w:w="40" w:type="dxa"/>
              <w:right w:w="20" w:type="dxa"/>
            </w:tcMar>
            <w:vAlign w:val="bottom"/>
          </w:tcPr>
          <w:p w14:paraId="392C9F3B" w14:textId="77777777" w:rsidR="00980E5F" w:rsidRDefault="00483613">
            <w:pPr>
              <w:textAlignment w:val="bottom"/>
            </w:pPr>
            <w:r>
              <w:rPr>
                <w:rFonts w:ascii="Arial" w:eastAsia="宋体" w:hAnsi="Arial" w:cs="Arial"/>
                <w:color w:val="000000"/>
                <w:sz w:val="14"/>
                <w:szCs w:val="14"/>
              </w:rPr>
              <w:t>Sales advertising public relations</w:t>
            </w:r>
          </w:p>
        </w:tc>
        <w:tc>
          <w:tcPr>
            <w:tcW w:w="0" w:type="auto"/>
            <w:gridSpan w:val="2"/>
            <w:shd w:val="clear" w:color="auto" w:fill="FFFFFF"/>
            <w:tcMar>
              <w:top w:w="40" w:type="dxa"/>
              <w:left w:w="20" w:type="dxa"/>
              <w:bottom w:w="40" w:type="dxa"/>
              <w:right w:w="0" w:type="dxa"/>
            </w:tcMar>
            <w:vAlign w:val="bottom"/>
          </w:tcPr>
          <w:p w14:paraId="392C9F3C" w14:textId="77777777" w:rsidR="00980E5F" w:rsidRDefault="00483613">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3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3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3F"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392C9F4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4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42" w14:textId="77777777" w:rsidR="00980E5F" w:rsidRDefault="00483613">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45" w14:textId="77777777" w:rsidR="00980E5F" w:rsidRDefault="00483613">
            <w:pPr>
              <w:jc w:val="right"/>
              <w:textAlignment w:val="bottom"/>
            </w:pPr>
            <w:r>
              <w:rPr>
                <w:rFonts w:ascii="Arial" w:eastAsia="宋体" w:hAnsi="Arial" w:cs="Arial"/>
                <w:color w:val="000000"/>
                <w:sz w:val="14"/>
                <w:szCs w:val="14"/>
              </w:rPr>
              <w:t>33 </w:t>
            </w:r>
          </w:p>
        </w:tc>
        <w:tc>
          <w:tcPr>
            <w:tcW w:w="0" w:type="auto"/>
            <w:shd w:val="clear" w:color="auto" w:fill="FFFFFF"/>
            <w:tcMar>
              <w:top w:w="40" w:type="dxa"/>
              <w:left w:w="0" w:type="dxa"/>
              <w:bottom w:w="40" w:type="dxa"/>
              <w:right w:w="20" w:type="dxa"/>
            </w:tcMar>
            <w:vAlign w:val="bottom"/>
          </w:tcPr>
          <w:p w14:paraId="392C9F46" w14:textId="77777777" w:rsidR="00980E5F" w:rsidRDefault="00980E5F">
            <w:pPr>
              <w:jc w:val="right"/>
              <w:rPr>
                <w:rFonts w:ascii="宋体"/>
              </w:rPr>
            </w:pPr>
          </w:p>
        </w:tc>
        <w:tc>
          <w:tcPr>
            <w:tcW w:w="0" w:type="auto"/>
            <w:gridSpan w:val="3"/>
            <w:shd w:val="clear" w:color="auto" w:fill="auto"/>
            <w:vAlign w:val="bottom"/>
          </w:tcPr>
          <w:p w14:paraId="392C9F47" w14:textId="77777777" w:rsidR="00980E5F" w:rsidRDefault="00980E5F">
            <w:pPr>
              <w:rPr>
                <w:rFonts w:ascii="宋体"/>
                <w:vanish/>
              </w:rPr>
            </w:pPr>
          </w:p>
        </w:tc>
        <w:tc>
          <w:tcPr>
            <w:tcW w:w="0" w:type="auto"/>
            <w:gridSpan w:val="3"/>
            <w:shd w:val="clear" w:color="auto" w:fill="auto"/>
            <w:vAlign w:val="bottom"/>
          </w:tcPr>
          <w:p w14:paraId="392C9F48" w14:textId="77777777" w:rsidR="00980E5F" w:rsidRDefault="00980E5F">
            <w:pPr>
              <w:rPr>
                <w:rFonts w:ascii="宋体"/>
                <w:vanish/>
              </w:rPr>
            </w:pPr>
          </w:p>
        </w:tc>
      </w:tr>
      <w:tr w:rsidR="00980E5F" w14:paraId="392C9F58" w14:textId="77777777">
        <w:tc>
          <w:tcPr>
            <w:tcW w:w="0" w:type="auto"/>
            <w:gridSpan w:val="3"/>
            <w:shd w:val="clear" w:color="auto" w:fill="CCEEFF"/>
            <w:tcMar>
              <w:top w:w="40" w:type="dxa"/>
              <w:left w:w="20" w:type="dxa"/>
              <w:bottom w:w="40" w:type="dxa"/>
              <w:right w:w="20" w:type="dxa"/>
            </w:tcMar>
            <w:vAlign w:val="bottom"/>
          </w:tcPr>
          <w:p w14:paraId="392C9F4A" w14:textId="77777777" w:rsidR="00980E5F" w:rsidRDefault="00483613">
            <w:pPr>
              <w:textAlignment w:val="bottom"/>
            </w:pPr>
            <w:r>
              <w:rPr>
                <w:rFonts w:ascii="Arial" w:eastAsia="宋体" w:hAnsi="Arial" w:cs="Arial"/>
                <w:color w:val="000000"/>
                <w:sz w:val="14"/>
                <w:szCs w:val="14"/>
              </w:rPr>
              <w:t>Regulatory fees and assessments</w:t>
            </w:r>
          </w:p>
        </w:tc>
        <w:tc>
          <w:tcPr>
            <w:tcW w:w="0" w:type="auto"/>
            <w:gridSpan w:val="2"/>
            <w:shd w:val="clear" w:color="auto" w:fill="CCEEFF"/>
            <w:tcMar>
              <w:top w:w="40" w:type="dxa"/>
              <w:left w:w="20" w:type="dxa"/>
              <w:bottom w:w="40" w:type="dxa"/>
              <w:right w:w="0" w:type="dxa"/>
            </w:tcMar>
            <w:vAlign w:val="bottom"/>
          </w:tcPr>
          <w:p w14:paraId="392C9F4B" w14:textId="77777777" w:rsidR="00980E5F" w:rsidRDefault="00483613">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4E" w14:textId="77777777" w:rsidR="00980E5F" w:rsidRDefault="00483613">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392C9F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5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51" w14:textId="77777777" w:rsidR="00980E5F" w:rsidRDefault="00483613">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54" w14:textId="77777777" w:rsidR="00980E5F" w:rsidRDefault="00483613">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392C9F55" w14:textId="77777777" w:rsidR="00980E5F" w:rsidRDefault="00980E5F">
            <w:pPr>
              <w:jc w:val="right"/>
              <w:rPr>
                <w:rFonts w:ascii="宋体"/>
              </w:rPr>
            </w:pPr>
          </w:p>
        </w:tc>
        <w:tc>
          <w:tcPr>
            <w:tcW w:w="0" w:type="auto"/>
            <w:gridSpan w:val="3"/>
            <w:shd w:val="clear" w:color="auto" w:fill="auto"/>
            <w:vAlign w:val="bottom"/>
          </w:tcPr>
          <w:p w14:paraId="392C9F56" w14:textId="77777777" w:rsidR="00980E5F" w:rsidRDefault="00980E5F">
            <w:pPr>
              <w:rPr>
                <w:rFonts w:ascii="宋体"/>
                <w:vanish/>
              </w:rPr>
            </w:pPr>
          </w:p>
        </w:tc>
        <w:tc>
          <w:tcPr>
            <w:tcW w:w="0" w:type="auto"/>
            <w:gridSpan w:val="3"/>
            <w:shd w:val="clear" w:color="auto" w:fill="auto"/>
            <w:vAlign w:val="bottom"/>
          </w:tcPr>
          <w:p w14:paraId="392C9F57" w14:textId="77777777" w:rsidR="00980E5F" w:rsidRDefault="00980E5F">
            <w:pPr>
              <w:rPr>
                <w:rFonts w:ascii="宋体"/>
                <w:vanish/>
              </w:rPr>
            </w:pPr>
          </w:p>
        </w:tc>
      </w:tr>
      <w:tr w:rsidR="00980E5F" w14:paraId="392C9F67" w14:textId="77777777">
        <w:tc>
          <w:tcPr>
            <w:tcW w:w="0" w:type="auto"/>
            <w:gridSpan w:val="3"/>
            <w:shd w:val="clear" w:color="auto" w:fill="FFFFFF"/>
            <w:tcMar>
              <w:top w:w="40" w:type="dxa"/>
              <w:left w:w="20" w:type="dxa"/>
              <w:bottom w:w="40" w:type="dxa"/>
              <w:right w:w="20" w:type="dxa"/>
            </w:tcMar>
            <w:vAlign w:val="bottom"/>
          </w:tcPr>
          <w:p w14:paraId="392C9F59" w14:textId="77777777" w:rsidR="00980E5F" w:rsidRDefault="00483613">
            <w:pPr>
              <w:textAlignment w:val="bottom"/>
            </w:pPr>
            <w:r>
              <w:rPr>
                <w:rFonts w:ascii="Arial" w:eastAsia="宋体" w:hAnsi="Arial" w:cs="Arial"/>
                <w:color w:val="000000"/>
                <w:sz w:val="14"/>
                <w:szCs w:val="14"/>
              </w:rPr>
              <w:t>Securities processing</w:t>
            </w:r>
          </w:p>
        </w:tc>
        <w:tc>
          <w:tcPr>
            <w:tcW w:w="0" w:type="auto"/>
            <w:gridSpan w:val="2"/>
            <w:shd w:val="clear" w:color="auto" w:fill="FFFFFF"/>
            <w:tcMar>
              <w:top w:w="40" w:type="dxa"/>
              <w:left w:w="20" w:type="dxa"/>
              <w:bottom w:w="40" w:type="dxa"/>
              <w:right w:w="0" w:type="dxa"/>
            </w:tcMar>
            <w:vAlign w:val="bottom"/>
          </w:tcPr>
          <w:p w14:paraId="392C9F5A" w14:textId="77777777" w:rsidR="00980E5F" w:rsidRDefault="00483613">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5D"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392C9F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5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60" w14:textId="77777777" w:rsidR="00980E5F" w:rsidRDefault="00483613">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6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6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63" w14:textId="77777777" w:rsidR="00980E5F" w:rsidRDefault="00483613">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392C9F64" w14:textId="77777777" w:rsidR="00980E5F" w:rsidRDefault="00980E5F">
            <w:pPr>
              <w:jc w:val="right"/>
              <w:rPr>
                <w:rFonts w:ascii="宋体"/>
              </w:rPr>
            </w:pPr>
          </w:p>
        </w:tc>
        <w:tc>
          <w:tcPr>
            <w:tcW w:w="0" w:type="auto"/>
            <w:gridSpan w:val="3"/>
            <w:shd w:val="clear" w:color="auto" w:fill="auto"/>
            <w:vAlign w:val="bottom"/>
          </w:tcPr>
          <w:p w14:paraId="392C9F65" w14:textId="77777777" w:rsidR="00980E5F" w:rsidRDefault="00980E5F">
            <w:pPr>
              <w:rPr>
                <w:rFonts w:ascii="宋体"/>
                <w:vanish/>
              </w:rPr>
            </w:pPr>
          </w:p>
        </w:tc>
        <w:tc>
          <w:tcPr>
            <w:tcW w:w="0" w:type="auto"/>
            <w:gridSpan w:val="3"/>
            <w:shd w:val="clear" w:color="auto" w:fill="auto"/>
            <w:vAlign w:val="bottom"/>
          </w:tcPr>
          <w:p w14:paraId="392C9F66" w14:textId="77777777" w:rsidR="00980E5F" w:rsidRDefault="00980E5F">
            <w:pPr>
              <w:rPr>
                <w:rFonts w:ascii="宋体"/>
                <w:vanish/>
              </w:rPr>
            </w:pPr>
          </w:p>
        </w:tc>
      </w:tr>
      <w:tr w:rsidR="00980E5F" w14:paraId="392C9F76" w14:textId="77777777">
        <w:tc>
          <w:tcPr>
            <w:tcW w:w="0" w:type="auto"/>
            <w:gridSpan w:val="3"/>
            <w:shd w:val="clear" w:color="auto" w:fill="CCEEFF"/>
            <w:tcMar>
              <w:top w:w="40" w:type="dxa"/>
              <w:left w:w="20" w:type="dxa"/>
              <w:bottom w:w="40" w:type="dxa"/>
              <w:right w:w="20" w:type="dxa"/>
            </w:tcMar>
            <w:vAlign w:val="bottom"/>
          </w:tcPr>
          <w:p w14:paraId="392C9F68" w14:textId="77777777" w:rsidR="00980E5F" w:rsidRDefault="00483613">
            <w:pPr>
              <w:textAlignment w:val="bottom"/>
            </w:pPr>
            <w:r>
              <w:rPr>
                <w:rFonts w:ascii="Arial" w:eastAsia="宋体" w:hAnsi="Arial" w:cs="Arial"/>
                <w:color w:val="000000"/>
                <w:sz w:val="14"/>
                <w:szCs w:val="14"/>
              </w:rPr>
              <w:t>Bank operations</w:t>
            </w:r>
          </w:p>
        </w:tc>
        <w:tc>
          <w:tcPr>
            <w:tcW w:w="0" w:type="auto"/>
            <w:gridSpan w:val="2"/>
            <w:shd w:val="clear" w:color="auto" w:fill="CCEEFF"/>
            <w:tcMar>
              <w:top w:w="40" w:type="dxa"/>
              <w:left w:w="20" w:type="dxa"/>
              <w:bottom w:w="40" w:type="dxa"/>
              <w:right w:w="0" w:type="dxa"/>
            </w:tcMar>
            <w:vAlign w:val="bottom"/>
          </w:tcPr>
          <w:p w14:paraId="392C9F69" w14:textId="77777777" w:rsidR="00980E5F" w:rsidRDefault="00483613">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6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6C"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9F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6F" w14:textId="77777777" w:rsidR="00980E5F" w:rsidRDefault="00483613">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7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72" w14:textId="77777777" w:rsidR="00980E5F" w:rsidRDefault="00483613">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392C9F73" w14:textId="77777777" w:rsidR="00980E5F" w:rsidRDefault="00980E5F">
            <w:pPr>
              <w:jc w:val="right"/>
              <w:rPr>
                <w:rFonts w:ascii="宋体"/>
              </w:rPr>
            </w:pPr>
          </w:p>
        </w:tc>
        <w:tc>
          <w:tcPr>
            <w:tcW w:w="0" w:type="auto"/>
            <w:gridSpan w:val="3"/>
            <w:shd w:val="clear" w:color="auto" w:fill="auto"/>
            <w:vAlign w:val="bottom"/>
          </w:tcPr>
          <w:p w14:paraId="392C9F74" w14:textId="77777777" w:rsidR="00980E5F" w:rsidRDefault="00980E5F">
            <w:pPr>
              <w:rPr>
                <w:rFonts w:ascii="宋体"/>
                <w:vanish/>
              </w:rPr>
            </w:pPr>
          </w:p>
        </w:tc>
        <w:tc>
          <w:tcPr>
            <w:tcW w:w="0" w:type="auto"/>
            <w:gridSpan w:val="3"/>
            <w:shd w:val="clear" w:color="auto" w:fill="auto"/>
            <w:vAlign w:val="bottom"/>
          </w:tcPr>
          <w:p w14:paraId="392C9F75" w14:textId="77777777" w:rsidR="00980E5F" w:rsidRDefault="00980E5F">
            <w:pPr>
              <w:rPr>
                <w:rFonts w:ascii="宋体"/>
                <w:vanish/>
              </w:rPr>
            </w:pPr>
          </w:p>
        </w:tc>
      </w:tr>
      <w:tr w:rsidR="00980E5F" w14:paraId="392C9F85" w14:textId="77777777">
        <w:tc>
          <w:tcPr>
            <w:tcW w:w="0" w:type="auto"/>
            <w:gridSpan w:val="3"/>
            <w:shd w:val="clear" w:color="auto" w:fill="FFFFFF"/>
            <w:tcMar>
              <w:top w:w="40" w:type="dxa"/>
              <w:left w:w="20" w:type="dxa"/>
              <w:bottom w:w="40" w:type="dxa"/>
              <w:right w:w="20" w:type="dxa"/>
            </w:tcMar>
            <w:vAlign w:val="bottom"/>
          </w:tcPr>
          <w:p w14:paraId="392C9F77" w14:textId="77777777" w:rsidR="00980E5F" w:rsidRDefault="00483613">
            <w:pPr>
              <w:textAlignment w:val="bottom"/>
            </w:pPr>
            <w:r>
              <w:rPr>
                <w:rFonts w:ascii="Arial" w:eastAsia="宋体" w:hAnsi="Arial" w:cs="Arial"/>
                <w:color w:val="000000"/>
                <w:sz w:val="14"/>
                <w:szCs w:val="14"/>
              </w:rPr>
              <w:t>Insurance</w:t>
            </w:r>
          </w:p>
        </w:tc>
        <w:tc>
          <w:tcPr>
            <w:tcW w:w="0" w:type="auto"/>
            <w:gridSpan w:val="2"/>
            <w:shd w:val="clear" w:color="auto" w:fill="FFFFFF"/>
            <w:tcMar>
              <w:top w:w="40" w:type="dxa"/>
              <w:left w:w="20" w:type="dxa"/>
              <w:bottom w:w="40" w:type="dxa"/>
              <w:right w:w="0" w:type="dxa"/>
            </w:tcMar>
            <w:vAlign w:val="bottom"/>
          </w:tcPr>
          <w:p w14:paraId="392C9F78" w14:textId="77777777" w:rsidR="00980E5F" w:rsidRDefault="00483613">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7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7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7B"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9F7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7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7E" w14:textId="77777777" w:rsidR="00980E5F" w:rsidRDefault="00483613">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8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81" w14:textId="77777777" w:rsidR="00980E5F" w:rsidRDefault="00483613">
            <w:pPr>
              <w:jc w:val="right"/>
              <w:textAlignment w:val="bottom"/>
            </w:pPr>
            <w:r>
              <w:rPr>
                <w:rFonts w:ascii="Arial" w:eastAsia="宋体" w:hAnsi="Arial" w:cs="Arial"/>
                <w:color w:val="000000"/>
                <w:sz w:val="14"/>
                <w:szCs w:val="14"/>
              </w:rPr>
              <w:t>6 </w:t>
            </w:r>
          </w:p>
        </w:tc>
        <w:tc>
          <w:tcPr>
            <w:tcW w:w="0" w:type="auto"/>
            <w:shd w:val="clear" w:color="auto" w:fill="FFFFFF"/>
            <w:tcMar>
              <w:top w:w="40" w:type="dxa"/>
              <w:left w:w="0" w:type="dxa"/>
              <w:bottom w:w="40" w:type="dxa"/>
              <w:right w:w="20" w:type="dxa"/>
            </w:tcMar>
            <w:vAlign w:val="bottom"/>
          </w:tcPr>
          <w:p w14:paraId="392C9F82" w14:textId="77777777" w:rsidR="00980E5F" w:rsidRDefault="00980E5F">
            <w:pPr>
              <w:jc w:val="right"/>
              <w:rPr>
                <w:rFonts w:ascii="宋体"/>
              </w:rPr>
            </w:pPr>
          </w:p>
        </w:tc>
        <w:tc>
          <w:tcPr>
            <w:tcW w:w="0" w:type="auto"/>
            <w:gridSpan w:val="3"/>
            <w:shd w:val="clear" w:color="auto" w:fill="auto"/>
            <w:vAlign w:val="bottom"/>
          </w:tcPr>
          <w:p w14:paraId="392C9F83" w14:textId="77777777" w:rsidR="00980E5F" w:rsidRDefault="00980E5F">
            <w:pPr>
              <w:rPr>
                <w:rFonts w:ascii="宋体"/>
                <w:vanish/>
              </w:rPr>
            </w:pPr>
          </w:p>
        </w:tc>
        <w:tc>
          <w:tcPr>
            <w:tcW w:w="0" w:type="auto"/>
            <w:gridSpan w:val="3"/>
            <w:shd w:val="clear" w:color="auto" w:fill="auto"/>
            <w:vAlign w:val="bottom"/>
          </w:tcPr>
          <w:p w14:paraId="392C9F84" w14:textId="77777777" w:rsidR="00980E5F" w:rsidRDefault="00980E5F">
            <w:pPr>
              <w:rPr>
                <w:rFonts w:ascii="宋体"/>
                <w:vanish/>
              </w:rPr>
            </w:pPr>
          </w:p>
        </w:tc>
      </w:tr>
      <w:tr w:rsidR="00980E5F" w14:paraId="392C9F90" w14:textId="77777777">
        <w:trPr>
          <w:hidden/>
        </w:trPr>
        <w:tc>
          <w:tcPr>
            <w:tcW w:w="0" w:type="auto"/>
            <w:gridSpan w:val="3"/>
            <w:shd w:val="clear" w:color="auto" w:fill="auto"/>
            <w:vAlign w:val="bottom"/>
          </w:tcPr>
          <w:p w14:paraId="392C9F86" w14:textId="77777777" w:rsidR="00980E5F" w:rsidRDefault="00980E5F">
            <w:pPr>
              <w:rPr>
                <w:rFonts w:ascii="宋体"/>
                <w:vanish/>
              </w:rPr>
            </w:pPr>
          </w:p>
        </w:tc>
        <w:tc>
          <w:tcPr>
            <w:tcW w:w="0" w:type="auto"/>
            <w:gridSpan w:val="3"/>
            <w:shd w:val="clear" w:color="auto" w:fill="auto"/>
            <w:vAlign w:val="bottom"/>
          </w:tcPr>
          <w:p w14:paraId="392C9F87" w14:textId="77777777" w:rsidR="00980E5F" w:rsidRDefault="00980E5F">
            <w:pPr>
              <w:rPr>
                <w:rFonts w:ascii="宋体"/>
                <w:vanish/>
              </w:rPr>
            </w:pPr>
          </w:p>
        </w:tc>
        <w:tc>
          <w:tcPr>
            <w:tcW w:w="0" w:type="auto"/>
            <w:gridSpan w:val="3"/>
            <w:shd w:val="clear" w:color="auto" w:fill="auto"/>
            <w:vAlign w:val="bottom"/>
          </w:tcPr>
          <w:p w14:paraId="392C9F88" w14:textId="77777777" w:rsidR="00980E5F" w:rsidRDefault="00980E5F">
            <w:pPr>
              <w:rPr>
                <w:rFonts w:ascii="宋体"/>
                <w:vanish/>
              </w:rPr>
            </w:pPr>
          </w:p>
        </w:tc>
        <w:tc>
          <w:tcPr>
            <w:tcW w:w="0" w:type="auto"/>
            <w:gridSpan w:val="3"/>
            <w:shd w:val="clear" w:color="auto" w:fill="auto"/>
            <w:vAlign w:val="bottom"/>
          </w:tcPr>
          <w:p w14:paraId="392C9F89" w14:textId="77777777" w:rsidR="00980E5F" w:rsidRDefault="00980E5F">
            <w:pPr>
              <w:rPr>
                <w:rFonts w:ascii="宋体"/>
                <w:vanish/>
              </w:rPr>
            </w:pPr>
          </w:p>
        </w:tc>
        <w:tc>
          <w:tcPr>
            <w:tcW w:w="0" w:type="auto"/>
            <w:gridSpan w:val="3"/>
            <w:shd w:val="clear" w:color="auto" w:fill="auto"/>
            <w:vAlign w:val="bottom"/>
          </w:tcPr>
          <w:p w14:paraId="392C9F8A" w14:textId="77777777" w:rsidR="00980E5F" w:rsidRDefault="00980E5F">
            <w:pPr>
              <w:rPr>
                <w:rFonts w:ascii="宋体"/>
                <w:vanish/>
              </w:rPr>
            </w:pPr>
          </w:p>
        </w:tc>
        <w:tc>
          <w:tcPr>
            <w:tcW w:w="0" w:type="auto"/>
            <w:gridSpan w:val="3"/>
            <w:shd w:val="clear" w:color="auto" w:fill="auto"/>
            <w:vAlign w:val="bottom"/>
          </w:tcPr>
          <w:p w14:paraId="392C9F8B" w14:textId="77777777" w:rsidR="00980E5F" w:rsidRDefault="00980E5F">
            <w:pPr>
              <w:rPr>
                <w:rFonts w:ascii="宋体"/>
                <w:vanish/>
              </w:rPr>
            </w:pPr>
          </w:p>
        </w:tc>
        <w:tc>
          <w:tcPr>
            <w:tcW w:w="0" w:type="auto"/>
            <w:gridSpan w:val="3"/>
            <w:shd w:val="clear" w:color="auto" w:fill="auto"/>
            <w:vAlign w:val="bottom"/>
          </w:tcPr>
          <w:p w14:paraId="392C9F8C" w14:textId="77777777" w:rsidR="00980E5F" w:rsidRDefault="00980E5F">
            <w:pPr>
              <w:rPr>
                <w:rFonts w:ascii="宋体"/>
                <w:vanish/>
              </w:rPr>
            </w:pPr>
          </w:p>
        </w:tc>
        <w:tc>
          <w:tcPr>
            <w:tcW w:w="0" w:type="auto"/>
            <w:gridSpan w:val="3"/>
            <w:shd w:val="clear" w:color="auto" w:fill="auto"/>
            <w:vAlign w:val="bottom"/>
          </w:tcPr>
          <w:p w14:paraId="392C9F8D" w14:textId="77777777" w:rsidR="00980E5F" w:rsidRDefault="00980E5F">
            <w:pPr>
              <w:rPr>
                <w:rFonts w:ascii="宋体"/>
                <w:vanish/>
              </w:rPr>
            </w:pPr>
          </w:p>
        </w:tc>
        <w:tc>
          <w:tcPr>
            <w:tcW w:w="0" w:type="auto"/>
            <w:gridSpan w:val="3"/>
            <w:shd w:val="clear" w:color="auto" w:fill="auto"/>
            <w:vAlign w:val="bottom"/>
          </w:tcPr>
          <w:p w14:paraId="392C9F8E" w14:textId="77777777" w:rsidR="00980E5F" w:rsidRDefault="00980E5F">
            <w:pPr>
              <w:rPr>
                <w:rFonts w:ascii="宋体"/>
                <w:vanish/>
              </w:rPr>
            </w:pPr>
          </w:p>
        </w:tc>
        <w:tc>
          <w:tcPr>
            <w:tcW w:w="0" w:type="auto"/>
            <w:gridSpan w:val="3"/>
            <w:shd w:val="clear" w:color="auto" w:fill="auto"/>
            <w:vAlign w:val="bottom"/>
          </w:tcPr>
          <w:p w14:paraId="392C9F8F" w14:textId="77777777" w:rsidR="00980E5F" w:rsidRDefault="00980E5F">
            <w:pPr>
              <w:rPr>
                <w:rFonts w:ascii="宋体"/>
                <w:vanish/>
              </w:rPr>
            </w:pPr>
          </w:p>
        </w:tc>
      </w:tr>
      <w:tr w:rsidR="00980E5F" w14:paraId="392C9F9E" w14:textId="77777777">
        <w:tc>
          <w:tcPr>
            <w:tcW w:w="0" w:type="auto"/>
            <w:gridSpan w:val="3"/>
            <w:shd w:val="clear" w:color="auto" w:fill="CCEEFF"/>
            <w:tcMar>
              <w:top w:w="40" w:type="dxa"/>
              <w:left w:w="20" w:type="dxa"/>
              <w:bottom w:w="40" w:type="dxa"/>
              <w:right w:w="20" w:type="dxa"/>
            </w:tcMar>
            <w:vAlign w:val="bottom"/>
          </w:tcPr>
          <w:p w14:paraId="392C9F91" w14:textId="77777777" w:rsidR="00980E5F" w:rsidRDefault="00483613">
            <w:pPr>
              <w:textAlignment w:val="bottom"/>
            </w:pPr>
            <w:r>
              <w:rPr>
                <w:rFonts w:ascii="Arial" w:eastAsia="宋体" w:hAnsi="Arial" w:cs="Arial"/>
                <w:color w:val="000000"/>
                <w:sz w:val="14"/>
                <w:szCs w:val="14"/>
              </w:rPr>
              <w:t>Donations</w:t>
            </w:r>
          </w:p>
        </w:tc>
        <w:tc>
          <w:tcPr>
            <w:tcW w:w="0" w:type="auto"/>
            <w:gridSpan w:val="2"/>
            <w:shd w:val="clear" w:color="auto" w:fill="CCEEFF"/>
            <w:tcMar>
              <w:top w:w="40" w:type="dxa"/>
              <w:left w:w="20" w:type="dxa"/>
              <w:bottom w:w="40" w:type="dxa"/>
              <w:right w:w="0" w:type="dxa"/>
            </w:tcMar>
            <w:vAlign w:val="bottom"/>
          </w:tcPr>
          <w:p w14:paraId="392C9F92" w14:textId="77777777" w:rsidR="00980E5F" w:rsidRDefault="00483613">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9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9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9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9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9F98" w14:textId="77777777" w:rsidR="00980E5F" w:rsidRDefault="00483613">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9F9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9A"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9F9B" w14:textId="77777777" w:rsidR="00980E5F" w:rsidRDefault="00980E5F">
            <w:pPr>
              <w:rPr>
                <w:rFonts w:ascii="宋体"/>
              </w:rPr>
            </w:pPr>
          </w:p>
        </w:tc>
        <w:tc>
          <w:tcPr>
            <w:tcW w:w="0" w:type="auto"/>
            <w:gridSpan w:val="3"/>
            <w:shd w:val="clear" w:color="auto" w:fill="auto"/>
            <w:vAlign w:val="bottom"/>
          </w:tcPr>
          <w:p w14:paraId="392C9F9C" w14:textId="77777777" w:rsidR="00980E5F" w:rsidRDefault="00980E5F">
            <w:pPr>
              <w:rPr>
                <w:rFonts w:ascii="宋体"/>
                <w:vanish/>
              </w:rPr>
            </w:pPr>
          </w:p>
        </w:tc>
        <w:tc>
          <w:tcPr>
            <w:tcW w:w="0" w:type="auto"/>
            <w:gridSpan w:val="3"/>
            <w:shd w:val="clear" w:color="auto" w:fill="auto"/>
            <w:vAlign w:val="bottom"/>
          </w:tcPr>
          <w:p w14:paraId="392C9F9D" w14:textId="77777777" w:rsidR="00980E5F" w:rsidRDefault="00980E5F">
            <w:pPr>
              <w:rPr>
                <w:rFonts w:ascii="宋体"/>
                <w:vanish/>
              </w:rPr>
            </w:pPr>
          </w:p>
        </w:tc>
      </w:tr>
      <w:tr w:rsidR="00980E5F" w14:paraId="392C9FA9" w14:textId="77777777">
        <w:trPr>
          <w:hidden/>
        </w:trPr>
        <w:tc>
          <w:tcPr>
            <w:tcW w:w="0" w:type="auto"/>
            <w:gridSpan w:val="3"/>
            <w:shd w:val="clear" w:color="auto" w:fill="auto"/>
            <w:vAlign w:val="bottom"/>
          </w:tcPr>
          <w:p w14:paraId="392C9F9F" w14:textId="77777777" w:rsidR="00980E5F" w:rsidRDefault="00980E5F">
            <w:pPr>
              <w:rPr>
                <w:rFonts w:ascii="宋体"/>
                <w:vanish/>
              </w:rPr>
            </w:pPr>
          </w:p>
        </w:tc>
        <w:tc>
          <w:tcPr>
            <w:tcW w:w="0" w:type="auto"/>
            <w:gridSpan w:val="3"/>
            <w:shd w:val="clear" w:color="auto" w:fill="auto"/>
            <w:vAlign w:val="bottom"/>
          </w:tcPr>
          <w:p w14:paraId="392C9FA0" w14:textId="77777777" w:rsidR="00980E5F" w:rsidRDefault="00980E5F">
            <w:pPr>
              <w:rPr>
                <w:rFonts w:ascii="宋体"/>
                <w:vanish/>
              </w:rPr>
            </w:pPr>
          </w:p>
        </w:tc>
        <w:tc>
          <w:tcPr>
            <w:tcW w:w="0" w:type="auto"/>
            <w:gridSpan w:val="3"/>
            <w:shd w:val="clear" w:color="auto" w:fill="auto"/>
            <w:vAlign w:val="bottom"/>
          </w:tcPr>
          <w:p w14:paraId="392C9FA1" w14:textId="77777777" w:rsidR="00980E5F" w:rsidRDefault="00980E5F">
            <w:pPr>
              <w:rPr>
                <w:rFonts w:ascii="宋体"/>
                <w:vanish/>
              </w:rPr>
            </w:pPr>
          </w:p>
        </w:tc>
        <w:tc>
          <w:tcPr>
            <w:tcW w:w="0" w:type="auto"/>
            <w:gridSpan w:val="3"/>
            <w:shd w:val="clear" w:color="auto" w:fill="auto"/>
            <w:vAlign w:val="bottom"/>
          </w:tcPr>
          <w:p w14:paraId="392C9FA2" w14:textId="77777777" w:rsidR="00980E5F" w:rsidRDefault="00980E5F">
            <w:pPr>
              <w:rPr>
                <w:rFonts w:ascii="宋体"/>
                <w:vanish/>
              </w:rPr>
            </w:pPr>
          </w:p>
        </w:tc>
        <w:tc>
          <w:tcPr>
            <w:tcW w:w="0" w:type="auto"/>
            <w:gridSpan w:val="3"/>
            <w:shd w:val="clear" w:color="auto" w:fill="auto"/>
            <w:vAlign w:val="bottom"/>
          </w:tcPr>
          <w:p w14:paraId="392C9FA3" w14:textId="77777777" w:rsidR="00980E5F" w:rsidRDefault="00980E5F">
            <w:pPr>
              <w:rPr>
                <w:rFonts w:ascii="宋体"/>
                <w:vanish/>
              </w:rPr>
            </w:pPr>
          </w:p>
        </w:tc>
        <w:tc>
          <w:tcPr>
            <w:tcW w:w="0" w:type="auto"/>
            <w:gridSpan w:val="3"/>
            <w:shd w:val="clear" w:color="auto" w:fill="auto"/>
            <w:vAlign w:val="bottom"/>
          </w:tcPr>
          <w:p w14:paraId="392C9FA4" w14:textId="77777777" w:rsidR="00980E5F" w:rsidRDefault="00980E5F">
            <w:pPr>
              <w:rPr>
                <w:rFonts w:ascii="宋体"/>
                <w:vanish/>
              </w:rPr>
            </w:pPr>
          </w:p>
        </w:tc>
        <w:tc>
          <w:tcPr>
            <w:tcW w:w="0" w:type="auto"/>
            <w:gridSpan w:val="3"/>
            <w:shd w:val="clear" w:color="auto" w:fill="auto"/>
            <w:vAlign w:val="bottom"/>
          </w:tcPr>
          <w:p w14:paraId="392C9FA5" w14:textId="77777777" w:rsidR="00980E5F" w:rsidRDefault="00980E5F">
            <w:pPr>
              <w:rPr>
                <w:rFonts w:ascii="宋体"/>
                <w:vanish/>
              </w:rPr>
            </w:pPr>
          </w:p>
        </w:tc>
        <w:tc>
          <w:tcPr>
            <w:tcW w:w="0" w:type="auto"/>
            <w:gridSpan w:val="3"/>
            <w:shd w:val="clear" w:color="auto" w:fill="auto"/>
            <w:vAlign w:val="bottom"/>
          </w:tcPr>
          <w:p w14:paraId="392C9FA6" w14:textId="77777777" w:rsidR="00980E5F" w:rsidRDefault="00980E5F">
            <w:pPr>
              <w:rPr>
                <w:rFonts w:ascii="宋体"/>
                <w:vanish/>
              </w:rPr>
            </w:pPr>
          </w:p>
        </w:tc>
        <w:tc>
          <w:tcPr>
            <w:tcW w:w="0" w:type="auto"/>
            <w:gridSpan w:val="3"/>
            <w:shd w:val="clear" w:color="auto" w:fill="auto"/>
            <w:vAlign w:val="bottom"/>
          </w:tcPr>
          <w:p w14:paraId="392C9FA7" w14:textId="77777777" w:rsidR="00980E5F" w:rsidRDefault="00980E5F">
            <w:pPr>
              <w:rPr>
                <w:rFonts w:ascii="宋体"/>
                <w:vanish/>
              </w:rPr>
            </w:pPr>
          </w:p>
        </w:tc>
        <w:tc>
          <w:tcPr>
            <w:tcW w:w="0" w:type="auto"/>
            <w:gridSpan w:val="3"/>
            <w:shd w:val="clear" w:color="auto" w:fill="auto"/>
            <w:vAlign w:val="bottom"/>
          </w:tcPr>
          <w:p w14:paraId="392C9FA8" w14:textId="77777777" w:rsidR="00980E5F" w:rsidRDefault="00980E5F">
            <w:pPr>
              <w:rPr>
                <w:rFonts w:ascii="宋体"/>
                <w:vanish/>
              </w:rPr>
            </w:pPr>
          </w:p>
        </w:tc>
      </w:tr>
      <w:tr w:rsidR="00980E5F" w14:paraId="392C9FB8" w14:textId="77777777">
        <w:tc>
          <w:tcPr>
            <w:tcW w:w="0" w:type="auto"/>
            <w:gridSpan w:val="3"/>
            <w:shd w:val="clear" w:color="auto" w:fill="FFFFFF"/>
            <w:tcMar>
              <w:top w:w="40" w:type="dxa"/>
              <w:left w:w="20" w:type="dxa"/>
              <w:bottom w:w="40" w:type="dxa"/>
              <w:right w:w="20" w:type="dxa"/>
            </w:tcMar>
            <w:vAlign w:val="bottom"/>
          </w:tcPr>
          <w:p w14:paraId="392C9FAA" w14:textId="77777777" w:rsidR="00980E5F" w:rsidRDefault="00483613">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392C9FAB" w14:textId="77777777" w:rsidR="00980E5F" w:rsidRDefault="00483613">
            <w:pPr>
              <w:jc w:val="right"/>
              <w:textAlignment w:val="bottom"/>
            </w:pPr>
            <w:r>
              <w:rPr>
                <w:rFonts w:ascii="Arial" w:eastAsia="宋体" w:hAnsi="Arial" w:cs="Arial"/>
                <w:b/>
                <w:bCs/>
                <w:color w:val="000000"/>
                <w:sz w:val="14"/>
                <w:szCs w:val="14"/>
              </w:rPr>
              <w:t>106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AE" w14:textId="77777777" w:rsidR="00980E5F" w:rsidRDefault="00483613">
            <w:pPr>
              <w:jc w:val="right"/>
              <w:textAlignment w:val="bottom"/>
            </w:pPr>
            <w:r>
              <w:rPr>
                <w:rFonts w:ascii="Arial" w:eastAsia="宋体" w:hAnsi="Arial" w:cs="Arial"/>
                <w:color w:val="000000"/>
                <w:sz w:val="14"/>
                <w:szCs w:val="14"/>
              </w:rPr>
              <w:t>82 </w:t>
            </w:r>
          </w:p>
        </w:tc>
        <w:tc>
          <w:tcPr>
            <w:tcW w:w="0" w:type="auto"/>
            <w:shd w:val="clear" w:color="auto" w:fill="FFFFFF"/>
            <w:tcMar>
              <w:top w:w="40" w:type="dxa"/>
              <w:left w:w="0" w:type="dxa"/>
              <w:bottom w:w="40" w:type="dxa"/>
              <w:right w:w="20" w:type="dxa"/>
            </w:tcMar>
            <w:vAlign w:val="bottom"/>
          </w:tcPr>
          <w:p w14:paraId="392C9F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B1" w14:textId="77777777" w:rsidR="00980E5F" w:rsidRDefault="00483613">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9FB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9FB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9FB4" w14:textId="77777777" w:rsidR="00980E5F" w:rsidRDefault="00483613">
            <w:pPr>
              <w:jc w:val="right"/>
              <w:textAlignment w:val="bottom"/>
            </w:pPr>
            <w:r>
              <w:rPr>
                <w:rFonts w:ascii="Arial" w:eastAsia="宋体" w:hAnsi="Arial" w:cs="Arial"/>
                <w:color w:val="000000"/>
                <w:sz w:val="14"/>
                <w:szCs w:val="14"/>
              </w:rPr>
              <w:t>172 </w:t>
            </w:r>
          </w:p>
        </w:tc>
        <w:tc>
          <w:tcPr>
            <w:tcW w:w="0" w:type="auto"/>
            <w:shd w:val="clear" w:color="auto" w:fill="FFFFFF"/>
            <w:tcMar>
              <w:top w:w="40" w:type="dxa"/>
              <w:left w:w="0" w:type="dxa"/>
              <w:bottom w:w="40" w:type="dxa"/>
              <w:right w:w="20" w:type="dxa"/>
            </w:tcMar>
            <w:vAlign w:val="bottom"/>
          </w:tcPr>
          <w:p w14:paraId="392C9FB5" w14:textId="77777777" w:rsidR="00980E5F" w:rsidRDefault="00980E5F">
            <w:pPr>
              <w:jc w:val="right"/>
              <w:rPr>
                <w:rFonts w:ascii="宋体"/>
              </w:rPr>
            </w:pPr>
          </w:p>
        </w:tc>
        <w:tc>
          <w:tcPr>
            <w:tcW w:w="0" w:type="auto"/>
            <w:gridSpan w:val="3"/>
            <w:shd w:val="clear" w:color="auto" w:fill="auto"/>
            <w:vAlign w:val="bottom"/>
          </w:tcPr>
          <w:p w14:paraId="392C9FB6" w14:textId="77777777" w:rsidR="00980E5F" w:rsidRDefault="00980E5F">
            <w:pPr>
              <w:rPr>
                <w:rFonts w:ascii="宋体"/>
                <w:vanish/>
              </w:rPr>
            </w:pPr>
          </w:p>
        </w:tc>
        <w:tc>
          <w:tcPr>
            <w:tcW w:w="0" w:type="auto"/>
            <w:gridSpan w:val="3"/>
            <w:shd w:val="clear" w:color="auto" w:fill="auto"/>
            <w:vAlign w:val="bottom"/>
          </w:tcPr>
          <w:p w14:paraId="392C9FB7" w14:textId="77777777" w:rsidR="00980E5F" w:rsidRDefault="00980E5F">
            <w:pPr>
              <w:rPr>
                <w:rFonts w:ascii="宋体"/>
                <w:vanish/>
              </w:rPr>
            </w:pPr>
          </w:p>
        </w:tc>
      </w:tr>
      <w:tr w:rsidR="00980E5F" w14:paraId="392C9FCB" w14:textId="77777777">
        <w:tc>
          <w:tcPr>
            <w:tcW w:w="0" w:type="auto"/>
            <w:gridSpan w:val="3"/>
            <w:shd w:val="clear" w:color="auto" w:fill="CCEEFF"/>
            <w:tcMar>
              <w:top w:w="40" w:type="dxa"/>
              <w:left w:w="20" w:type="dxa"/>
              <w:bottom w:w="40" w:type="dxa"/>
              <w:right w:w="20" w:type="dxa"/>
            </w:tcMar>
            <w:vAlign w:val="bottom"/>
          </w:tcPr>
          <w:p w14:paraId="392C9FB9" w14:textId="77777777" w:rsidR="00980E5F" w:rsidRDefault="00483613">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FB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FBB" w14:textId="77777777" w:rsidR="00980E5F" w:rsidRDefault="00483613">
            <w:pPr>
              <w:jc w:val="right"/>
              <w:textAlignment w:val="bottom"/>
            </w:pPr>
            <w:r>
              <w:rPr>
                <w:rFonts w:ascii="Arial" w:eastAsia="宋体" w:hAnsi="Arial" w:cs="Arial"/>
                <w:b/>
                <w:bCs/>
                <w:color w:val="000000"/>
                <w:sz w:val="14"/>
                <w:szCs w:val="14"/>
              </w:rPr>
              <w:t>262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F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BD"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FB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FBF" w14:textId="77777777" w:rsidR="00980E5F" w:rsidRDefault="00483613">
            <w:pPr>
              <w:jc w:val="right"/>
              <w:textAlignment w:val="bottom"/>
            </w:pPr>
            <w:r>
              <w:rPr>
                <w:rFonts w:ascii="Arial" w:eastAsia="宋体" w:hAnsi="Arial" w:cs="Arial"/>
                <w:color w:val="000000"/>
                <w:sz w:val="14"/>
                <w:szCs w:val="14"/>
              </w:rPr>
              <w:t>199 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F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C1"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FC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FC3" w14:textId="77777777" w:rsidR="00980E5F" w:rsidRDefault="00483613">
            <w:pPr>
              <w:jc w:val="right"/>
              <w:textAlignment w:val="bottom"/>
            </w:pPr>
            <w:r>
              <w:rPr>
                <w:rFonts w:ascii="Arial" w:eastAsia="宋体" w:hAnsi="Arial" w:cs="Arial"/>
                <w:b/>
                <w:bCs/>
                <w:color w:val="000000"/>
                <w:sz w:val="14"/>
                <w:szCs w:val="14"/>
              </w:rPr>
              <w:t>505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FC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9FC5" w14:textId="77777777" w:rsidR="00980E5F" w:rsidRDefault="00980E5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92C9FC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92C9FC7" w14:textId="77777777" w:rsidR="00980E5F" w:rsidRDefault="00483613">
            <w:pPr>
              <w:jc w:val="right"/>
              <w:textAlignment w:val="bottom"/>
            </w:pPr>
            <w:r>
              <w:rPr>
                <w:rFonts w:ascii="Arial" w:eastAsia="宋体" w:hAnsi="Arial" w:cs="Arial"/>
                <w:color w:val="000000"/>
                <w:sz w:val="14"/>
                <w:szCs w:val="14"/>
              </w:rPr>
              <w:t>421 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92C9FC8" w14:textId="77777777" w:rsidR="00980E5F" w:rsidRDefault="00980E5F">
            <w:pPr>
              <w:jc w:val="right"/>
              <w:rPr>
                <w:rFonts w:ascii="宋体"/>
              </w:rPr>
            </w:pPr>
          </w:p>
        </w:tc>
        <w:tc>
          <w:tcPr>
            <w:tcW w:w="0" w:type="auto"/>
            <w:gridSpan w:val="3"/>
            <w:shd w:val="clear" w:color="auto" w:fill="auto"/>
            <w:vAlign w:val="bottom"/>
          </w:tcPr>
          <w:p w14:paraId="392C9FC9" w14:textId="77777777" w:rsidR="00980E5F" w:rsidRDefault="00980E5F">
            <w:pPr>
              <w:rPr>
                <w:rFonts w:ascii="宋体"/>
                <w:vanish/>
              </w:rPr>
            </w:pPr>
          </w:p>
        </w:tc>
        <w:tc>
          <w:tcPr>
            <w:tcW w:w="0" w:type="auto"/>
            <w:gridSpan w:val="3"/>
            <w:shd w:val="clear" w:color="auto" w:fill="auto"/>
            <w:vAlign w:val="bottom"/>
          </w:tcPr>
          <w:p w14:paraId="392C9FCA" w14:textId="77777777" w:rsidR="00980E5F" w:rsidRDefault="00980E5F">
            <w:pPr>
              <w:rPr>
                <w:rFonts w:ascii="宋体"/>
                <w:vanish/>
              </w:rPr>
            </w:pPr>
          </w:p>
        </w:tc>
      </w:tr>
    </w:tbl>
    <w:p w14:paraId="392C9FCC" w14:textId="77777777" w:rsidR="00980E5F" w:rsidRDefault="00483613">
      <w:pPr>
        <w:spacing w:before="60"/>
        <w:jc w:val="both"/>
      </w:pPr>
      <w:r>
        <w:rPr>
          <w:rFonts w:ascii="Arial" w:eastAsia="宋体" w:hAnsi="Arial" w:cs="Arial"/>
          <w:b/>
          <w:bCs/>
          <w:i/>
          <w:iCs/>
          <w:color w:val="000000"/>
          <w:sz w:val="20"/>
          <w:szCs w:val="20"/>
        </w:rPr>
        <w:t>Acquisition Costs</w:t>
      </w:r>
    </w:p>
    <w:p w14:paraId="392C9FCD" w14:textId="77777777" w:rsidR="00980E5F" w:rsidRDefault="00483613">
      <w:pPr>
        <w:spacing w:before="60"/>
        <w:ind w:firstLine="450"/>
        <w:jc w:val="both"/>
      </w:pPr>
      <w:r>
        <w:rPr>
          <w:rFonts w:ascii="Arial" w:eastAsia="宋体" w:hAnsi="Arial" w:cs="Arial"/>
          <w:color w:val="000000"/>
          <w:sz w:val="20"/>
          <w:szCs w:val="20"/>
        </w:rPr>
        <w:t>We recorded approximately $12 million and $21 million of acquisition costs in</w:t>
      </w:r>
      <w:r>
        <w:rPr>
          <w:rFonts w:ascii="Arial" w:eastAsia="宋体" w:hAnsi="Arial" w:cs="Arial"/>
          <w:color w:val="000000"/>
          <w:sz w:val="20"/>
          <w:szCs w:val="20"/>
        </w:rPr>
        <w:t xml:space="preserve"> the three and six months ended June 30, 2022, respectively, related to our proposed acquisition of the BBH Investor Services business, compared to $11 million and $22 million of acquisition costs in the same periods of 2021, respectively, related to CRD.</w:t>
      </w:r>
    </w:p>
    <w:p w14:paraId="392C9FCE" w14:textId="77777777" w:rsidR="00980E5F" w:rsidRDefault="00483613">
      <w:pPr>
        <w:ind w:firstLine="450"/>
        <w:jc w:val="right"/>
      </w:pPr>
      <w:r>
        <w:rPr>
          <w:rFonts w:ascii="Arial" w:eastAsia="宋体" w:hAnsi="Arial" w:cs="Arial"/>
          <w:color w:val="000000"/>
          <w:sz w:val="18"/>
          <w:szCs w:val="18"/>
        </w:rPr>
        <w:t>State Street Corporation | 94</w:t>
      </w:r>
    </w:p>
    <w:p w14:paraId="392C9FCF" w14:textId="77777777" w:rsidR="00980E5F" w:rsidRDefault="00980E5F">
      <w:pPr>
        <w:ind w:firstLine="450"/>
        <w:jc w:val="center"/>
      </w:pPr>
    </w:p>
    <w:p w14:paraId="392C9FD0" w14:textId="77777777" w:rsidR="00980E5F" w:rsidRDefault="00483613">
      <w:r>
        <w:pict w14:anchorId="392CBB2C">
          <v:rect id="_x0000_i1118" style="width:415.3pt;height:1.5pt" o:hralign="center" o:hrstd="t" o:hr="t" fillcolor="#a0a0a0" stroked="f"/>
        </w:pict>
      </w:r>
    </w:p>
    <w:p w14:paraId="392C9FD1" w14:textId="77777777" w:rsidR="00980E5F" w:rsidRDefault="00483613">
      <w:pPr>
        <w:ind w:firstLine="450"/>
        <w:jc w:val="center"/>
      </w:pPr>
      <w:r>
        <w:rPr>
          <w:rFonts w:ascii="Arial" w:eastAsia="宋体" w:hAnsi="Arial" w:cs="Arial"/>
          <w:b/>
          <w:bCs/>
          <w:color w:val="000000"/>
          <w:sz w:val="20"/>
          <w:szCs w:val="20"/>
        </w:rPr>
        <w:t>STATE STREET CORPORATION</w:t>
      </w:r>
    </w:p>
    <w:p w14:paraId="392C9FD2"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9FD3" w14:textId="77777777" w:rsidR="00980E5F" w:rsidRDefault="00483613">
      <w:pPr>
        <w:ind w:firstLine="450"/>
        <w:jc w:val="center"/>
      </w:pPr>
      <w:r>
        <w:rPr>
          <w:rFonts w:ascii="Arial" w:eastAsia="宋体" w:hAnsi="Arial" w:cs="Arial"/>
          <w:b/>
          <w:bCs/>
          <w:color w:val="000000"/>
          <w:sz w:val="20"/>
          <w:szCs w:val="20"/>
        </w:rPr>
        <w:t>(UNAUDITED)</w:t>
      </w:r>
    </w:p>
    <w:p w14:paraId="392C9FD4" w14:textId="77777777" w:rsidR="00980E5F" w:rsidRDefault="00483613">
      <w:pPr>
        <w:spacing w:before="60"/>
        <w:jc w:val="both"/>
      </w:pPr>
      <w:r>
        <w:rPr>
          <w:rFonts w:ascii="Arial" w:eastAsia="宋体" w:hAnsi="Arial" w:cs="Arial"/>
          <w:b/>
          <w:bCs/>
          <w:i/>
          <w:iCs/>
          <w:color w:val="000000"/>
          <w:sz w:val="20"/>
          <w:szCs w:val="20"/>
        </w:rPr>
        <w:t>Restructuring and Repositioning Charges</w:t>
      </w:r>
    </w:p>
    <w:p w14:paraId="392C9FD5" w14:textId="77777777" w:rsidR="00980E5F" w:rsidRDefault="00483613">
      <w:pPr>
        <w:spacing w:before="60"/>
        <w:ind w:firstLine="450"/>
        <w:jc w:val="both"/>
      </w:pPr>
      <w:r>
        <w:rPr>
          <w:rFonts w:ascii="Arial" w:eastAsia="宋体" w:hAnsi="Arial" w:cs="Arial"/>
          <w:color w:val="000000"/>
          <w:sz w:val="20"/>
          <w:szCs w:val="20"/>
        </w:rPr>
        <w:t>The following table presents aggregate activity for repositioning charges for the periods ind</w:t>
      </w:r>
      <w:r>
        <w:rPr>
          <w:rFonts w:ascii="Arial" w:eastAsia="宋体" w:hAnsi="Arial" w:cs="Arial"/>
          <w:color w:val="000000"/>
          <w:sz w:val="20"/>
          <w:szCs w:val="20"/>
        </w:rPr>
        <w:t>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3716"/>
        <w:gridCol w:w="38"/>
        <w:gridCol w:w="99"/>
        <w:gridCol w:w="874"/>
        <w:gridCol w:w="36"/>
        <w:gridCol w:w="36"/>
        <w:gridCol w:w="36"/>
        <w:gridCol w:w="36"/>
        <w:gridCol w:w="99"/>
        <w:gridCol w:w="875"/>
        <w:gridCol w:w="36"/>
        <w:gridCol w:w="36"/>
        <w:gridCol w:w="36"/>
        <w:gridCol w:w="36"/>
        <w:gridCol w:w="36"/>
        <w:gridCol w:w="36"/>
        <w:gridCol w:w="36"/>
        <w:gridCol w:w="36"/>
        <w:gridCol w:w="99"/>
        <w:gridCol w:w="875"/>
        <w:gridCol w:w="36"/>
        <w:gridCol w:w="36"/>
        <w:gridCol w:w="36"/>
        <w:gridCol w:w="36"/>
        <w:gridCol w:w="98"/>
        <w:gridCol w:w="875"/>
        <w:gridCol w:w="36"/>
      </w:tblGrid>
      <w:tr w:rsidR="00980E5F" w14:paraId="392C9FF2" w14:textId="77777777">
        <w:tc>
          <w:tcPr>
            <w:tcW w:w="50" w:type="pct"/>
            <w:shd w:val="clear" w:color="auto" w:fill="auto"/>
            <w:vAlign w:val="bottom"/>
          </w:tcPr>
          <w:p w14:paraId="392C9FD6" w14:textId="77777777" w:rsidR="00980E5F" w:rsidRDefault="00980E5F">
            <w:pPr>
              <w:rPr>
                <w:rFonts w:ascii="宋体"/>
              </w:rPr>
            </w:pPr>
          </w:p>
        </w:tc>
        <w:tc>
          <w:tcPr>
            <w:tcW w:w="2331" w:type="pct"/>
            <w:shd w:val="clear" w:color="auto" w:fill="auto"/>
            <w:vAlign w:val="bottom"/>
          </w:tcPr>
          <w:p w14:paraId="392C9FD7" w14:textId="77777777" w:rsidR="00980E5F" w:rsidRDefault="00980E5F">
            <w:pPr>
              <w:rPr>
                <w:rFonts w:ascii="宋体"/>
              </w:rPr>
            </w:pPr>
          </w:p>
        </w:tc>
        <w:tc>
          <w:tcPr>
            <w:tcW w:w="5" w:type="pct"/>
            <w:shd w:val="clear" w:color="auto" w:fill="auto"/>
            <w:vAlign w:val="bottom"/>
          </w:tcPr>
          <w:p w14:paraId="392C9FD8" w14:textId="77777777" w:rsidR="00980E5F" w:rsidRDefault="00980E5F">
            <w:pPr>
              <w:rPr>
                <w:rFonts w:ascii="宋体"/>
              </w:rPr>
            </w:pPr>
          </w:p>
        </w:tc>
        <w:tc>
          <w:tcPr>
            <w:tcW w:w="50" w:type="pct"/>
            <w:shd w:val="clear" w:color="auto" w:fill="auto"/>
            <w:vAlign w:val="bottom"/>
          </w:tcPr>
          <w:p w14:paraId="392C9FD9" w14:textId="77777777" w:rsidR="00980E5F" w:rsidRDefault="00980E5F">
            <w:pPr>
              <w:rPr>
                <w:rFonts w:ascii="宋体"/>
              </w:rPr>
            </w:pPr>
          </w:p>
        </w:tc>
        <w:tc>
          <w:tcPr>
            <w:tcW w:w="576" w:type="pct"/>
            <w:shd w:val="clear" w:color="auto" w:fill="auto"/>
            <w:vAlign w:val="bottom"/>
          </w:tcPr>
          <w:p w14:paraId="392C9FDA" w14:textId="77777777" w:rsidR="00980E5F" w:rsidRDefault="00980E5F">
            <w:pPr>
              <w:rPr>
                <w:rFonts w:ascii="宋体"/>
              </w:rPr>
            </w:pPr>
          </w:p>
        </w:tc>
        <w:tc>
          <w:tcPr>
            <w:tcW w:w="5" w:type="pct"/>
            <w:shd w:val="clear" w:color="auto" w:fill="auto"/>
            <w:vAlign w:val="bottom"/>
          </w:tcPr>
          <w:p w14:paraId="392C9FDB" w14:textId="77777777" w:rsidR="00980E5F" w:rsidRDefault="00980E5F">
            <w:pPr>
              <w:rPr>
                <w:rFonts w:ascii="宋体"/>
              </w:rPr>
            </w:pPr>
          </w:p>
        </w:tc>
        <w:tc>
          <w:tcPr>
            <w:tcW w:w="5" w:type="pct"/>
            <w:shd w:val="clear" w:color="auto" w:fill="auto"/>
            <w:vAlign w:val="bottom"/>
          </w:tcPr>
          <w:p w14:paraId="392C9FDC" w14:textId="77777777" w:rsidR="00980E5F" w:rsidRDefault="00980E5F">
            <w:pPr>
              <w:rPr>
                <w:rFonts w:ascii="宋体"/>
              </w:rPr>
            </w:pPr>
          </w:p>
        </w:tc>
        <w:tc>
          <w:tcPr>
            <w:tcW w:w="19" w:type="pct"/>
            <w:shd w:val="clear" w:color="auto" w:fill="auto"/>
            <w:vAlign w:val="bottom"/>
          </w:tcPr>
          <w:p w14:paraId="392C9FDD" w14:textId="77777777" w:rsidR="00980E5F" w:rsidRDefault="00980E5F">
            <w:pPr>
              <w:rPr>
                <w:rFonts w:ascii="宋体"/>
              </w:rPr>
            </w:pPr>
          </w:p>
        </w:tc>
        <w:tc>
          <w:tcPr>
            <w:tcW w:w="5" w:type="pct"/>
            <w:shd w:val="clear" w:color="auto" w:fill="auto"/>
            <w:vAlign w:val="bottom"/>
          </w:tcPr>
          <w:p w14:paraId="392C9FDE" w14:textId="77777777" w:rsidR="00980E5F" w:rsidRDefault="00980E5F">
            <w:pPr>
              <w:rPr>
                <w:rFonts w:ascii="宋体"/>
              </w:rPr>
            </w:pPr>
          </w:p>
        </w:tc>
        <w:tc>
          <w:tcPr>
            <w:tcW w:w="50" w:type="pct"/>
            <w:shd w:val="clear" w:color="auto" w:fill="auto"/>
            <w:vAlign w:val="bottom"/>
          </w:tcPr>
          <w:p w14:paraId="392C9FDF" w14:textId="77777777" w:rsidR="00980E5F" w:rsidRDefault="00980E5F">
            <w:pPr>
              <w:rPr>
                <w:rFonts w:ascii="宋体"/>
              </w:rPr>
            </w:pPr>
          </w:p>
        </w:tc>
        <w:tc>
          <w:tcPr>
            <w:tcW w:w="576" w:type="pct"/>
            <w:shd w:val="clear" w:color="auto" w:fill="auto"/>
            <w:vAlign w:val="bottom"/>
          </w:tcPr>
          <w:p w14:paraId="392C9FE0" w14:textId="77777777" w:rsidR="00980E5F" w:rsidRDefault="00980E5F">
            <w:pPr>
              <w:rPr>
                <w:rFonts w:ascii="宋体"/>
              </w:rPr>
            </w:pPr>
          </w:p>
        </w:tc>
        <w:tc>
          <w:tcPr>
            <w:tcW w:w="5" w:type="pct"/>
            <w:shd w:val="clear" w:color="auto" w:fill="auto"/>
            <w:vAlign w:val="bottom"/>
          </w:tcPr>
          <w:p w14:paraId="392C9FE1" w14:textId="77777777" w:rsidR="00980E5F" w:rsidRDefault="00980E5F">
            <w:pPr>
              <w:rPr>
                <w:rFonts w:ascii="宋体"/>
              </w:rPr>
            </w:pPr>
          </w:p>
        </w:tc>
        <w:tc>
          <w:tcPr>
            <w:tcW w:w="5" w:type="pct"/>
            <w:shd w:val="clear" w:color="auto" w:fill="auto"/>
            <w:vAlign w:val="bottom"/>
          </w:tcPr>
          <w:p w14:paraId="392C9FE2" w14:textId="77777777" w:rsidR="00980E5F" w:rsidRDefault="00980E5F">
            <w:pPr>
              <w:rPr>
                <w:rFonts w:ascii="宋体"/>
              </w:rPr>
            </w:pPr>
          </w:p>
        </w:tc>
        <w:tc>
          <w:tcPr>
            <w:tcW w:w="19" w:type="pct"/>
            <w:shd w:val="clear" w:color="auto" w:fill="auto"/>
            <w:vAlign w:val="bottom"/>
          </w:tcPr>
          <w:p w14:paraId="392C9FE3" w14:textId="77777777" w:rsidR="00980E5F" w:rsidRDefault="00980E5F">
            <w:pPr>
              <w:rPr>
                <w:rFonts w:ascii="宋体"/>
              </w:rPr>
            </w:pPr>
          </w:p>
        </w:tc>
        <w:tc>
          <w:tcPr>
            <w:tcW w:w="5" w:type="pct"/>
            <w:shd w:val="clear" w:color="auto" w:fill="auto"/>
            <w:vAlign w:val="bottom"/>
          </w:tcPr>
          <w:p w14:paraId="392C9FE4" w14:textId="77777777" w:rsidR="00980E5F" w:rsidRDefault="00980E5F">
            <w:pPr>
              <w:rPr>
                <w:rFonts w:ascii="宋体"/>
              </w:rPr>
            </w:pPr>
          </w:p>
        </w:tc>
        <w:tc>
          <w:tcPr>
            <w:tcW w:w="0" w:type="auto"/>
            <w:shd w:val="clear" w:color="auto" w:fill="auto"/>
            <w:vAlign w:val="bottom"/>
          </w:tcPr>
          <w:p w14:paraId="392C9FE5" w14:textId="77777777" w:rsidR="00980E5F" w:rsidRDefault="00980E5F">
            <w:pPr>
              <w:rPr>
                <w:rFonts w:ascii="宋体"/>
                <w:vanish/>
              </w:rPr>
            </w:pPr>
          </w:p>
        </w:tc>
        <w:tc>
          <w:tcPr>
            <w:tcW w:w="0" w:type="auto"/>
            <w:shd w:val="clear" w:color="auto" w:fill="auto"/>
            <w:vAlign w:val="bottom"/>
          </w:tcPr>
          <w:p w14:paraId="392C9FE6" w14:textId="77777777" w:rsidR="00980E5F" w:rsidRDefault="00980E5F">
            <w:pPr>
              <w:rPr>
                <w:rFonts w:ascii="宋体"/>
                <w:vanish/>
              </w:rPr>
            </w:pPr>
          </w:p>
        </w:tc>
        <w:tc>
          <w:tcPr>
            <w:tcW w:w="0" w:type="auto"/>
            <w:shd w:val="clear" w:color="auto" w:fill="auto"/>
            <w:vAlign w:val="bottom"/>
          </w:tcPr>
          <w:p w14:paraId="392C9FE7" w14:textId="77777777" w:rsidR="00980E5F" w:rsidRDefault="00980E5F">
            <w:pPr>
              <w:rPr>
                <w:rFonts w:ascii="宋体"/>
                <w:vanish/>
              </w:rPr>
            </w:pPr>
          </w:p>
        </w:tc>
        <w:tc>
          <w:tcPr>
            <w:tcW w:w="0" w:type="auto"/>
            <w:shd w:val="clear" w:color="auto" w:fill="auto"/>
            <w:vAlign w:val="bottom"/>
          </w:tcPr>
          <w:p w14:paraId="392C9FE8" w14:textId="77777777" w:rsidR="00980E5F" w:rsidRDefault="00980E5F">
            <w:pPr>
              <w:rPr>
                <w:rFonts w:ascii="宋体"/>
                <w:vanish/>
              </w:rPr>
            </w:pPr>
          </w:p>
        </w:tc>
        <w:tc>
          <w:tcPr>
            <w:tcW w:w="50" w:type="pct"/>
            <w:shd w:val="clear" w:color="auto" w:fill="auto"/>
            <w:vAlign w:val="bottom"/>
          </w:tcPr>
          <w:p w14:paraId="392C9FE9" w14:textId="77777777" w:rsidR="00980E5F" w:rsidRDefault="00980E5F">
            <w:pPr>
              <w:rPr>
                <w:rFonts w:ascii="宋体"/>
              </w:rPr>
            </w:pPr>
          </w:p>
        </w:tc>
        <w:tc>
          <w:tcPr>
            <w:tcW w:w="576" w:type="pct"/>
            <w:shd w:val="clear" w:color="auto" w:fill="auto"/>
            <w:vAlign w:val="bottom"/>
          </w:tcPr>
          <w:p w14:paraId="392C9FEA" w14:textId="77777777" w:rsidR="00980E5F" w:rsidRDefault="00980E5F">
            <w:pPr>
              <w:rPr>
                <w:rFonts w:ascii="宋体"/>
              </w:rPr>
            </w:pPr>
          </w:p>
        </w:tc>
        <w:tc>
          <w:tcPr>
            <w:tcW w:w="5" w:type="pct"/>
            <w:shd w:val="clear" w:color="auto" w:fill="auto"/>
            <w:vAlign w:val="bottom"/>
          </w:tcPr>
          <w:p w14:paraId="392C9FEB" w14:textId="77777777" w:rsidR="00980E5F" w:rsidRDefault="00980E5F">
            <w:pPr>
              <w:rPr>
                <w:rFonts w:ascii="宋体"/>
              </w:rPr>
            </w:pPr>
          </w:p>
        </w:tc>
        <w:tc>
          <w:tcPr>
            <w:tcW w:w="5" w:type="pct"/>
            <w:shd w:val="clear" w:color="auto" w:fill="auto"/>
            <w:vAlign w:val="bottom"/>
          </w:tcPr>
          <w:p w14:paraId="392C9FEC" w14:textId="77777777" w:rsidR="00980E5F" w:rsidRDefault="00980E5F">
            <w:pPr>
              <w:rPr>
                <w:rFonts w:ascii="宋体"/>
              </w:rPr>
            </w:pPr>
          </w:p>
        </w:tc>
        <w:tc>
          <w:tcPr>
            <w:tcW w:w="19" w:type="pct"/>
            <w:shd w:val="clear" w:color="auto" w:fill="auto"/>
            <w:vAlign w:val="bottom"/>
          </w:tcPr>
          <w:p w14:paraId="392C9FED" w14:textId="77777777" w:rsidR="00980E5F" w:rsidRDefault="00980E5F">
            <w:pPr>
              <w:rPr>
                <w:rFonts w:ascii="宋体"/>
              </w:rPr>
            </w:pPr>
          </w:p>
        </w:tc>
        <w:tc>
          <w:tcPr>
            <w:tcW w:w="5" w:type="pct"/>
            <w:shd w:val="clear" w:color="auto" w:fill="auto"/>
            <w:vAlign w:val="bottom"/>
          </w:tcPr>
          <w:p w14:paraId="392C9FEE" w14:textId="77777777" w:rsidR="00980E5F" w:rsidRDefault="00980E5F">
            <w:pPr>
              <w:rPr>
                <w:rFonts w:ascii="宋体"/>
              </w:rPr>
            </w:pPr>
          </w:p>
        </w:tc>
        <w:tc>
          <w:tcPr>
            <w:tcW w:w="50" w:type="pct"/>
            <w:shd w:val="clear" w:color="auto" w:fill="auto"/>
            <w:vAlign w:val="bottom"/>
          </w:tcPr>
          <w:p w14:paraId="392C9FEF" w14:textId="77777777" w:rsidR="00980E5F" w:rsidRDefault="00980E5F">
            <w:pPr>
              <w:rPr>
                <w:rFonts w:ascii="宋体"/>
              </w:rPr>
            </w:pPr>
          </w:p>
        </w:tc>
        <w:tc>
          <w:tcPr>
            <w:tcW w:w="576" w:type="pct"/>
            <w:shd w:val="clear" w:color="auto" w:fill="auto"/>
            <w:vAlign w:val="bottom"/>
          </w:tcPr>
          <w:p w14:paraId="392C9FF0" w14:textId="77777777" w:rsidR="00980E5F" w:rsidRDefault="00980E5F">
            <w:pPr>
              <w:rPr>
                <w:rFonts w:ascii="宋体"/>
              </w:rPr>
            </w:pPr>
          </w:p>
        </w:tc>
        <w:tc>
          <w:tcPr>
            <w:tcW w:w="5" w:type="pct"/>
            <w:shd w:val="clear" w:color="auto" w:fill="auto"/>
            <w:vAlign w:val="bottom"/>
          </w:tcPr>
          <w:p w14:paraId="392C9FF1" w14:textId="77777777" w:rsidR="00980E5F" w:rsidRDefault="00980E5F">
            <w:pPr>
              <w:rPr>
                <w:rFonts w:ascii="宋体"/>
              </w:rPr>
            </w:pPr>
          </w:p>
        </w:tc>
      </w:tr>
      <w:tr w:rsidR="00980E5F" w14:paraId="392C9FFF" w14:textId="77777777">
        <w:tc>
          <w:tcPr>
            <w:tcW w:w="0" w:type="auto"/>
            <w:gridSpan w:val="3"/>
            <w:shd w:val="clear" w:color="auto" w:fill="auto"/>
            <w:tcMar>
              <w:top w:w="40" w:type="dxa"/>
              <w:left w:w="20" w:type="dxa"/>
              <w:bottom w:w="40" w:type="dxa"/>
              <w:right w:w="20" w:type="dxa"/>
            </w:tcMar>
            <w:vAlign w:val="bottom"/>
          </w:tcPr>
          <w:p w14:paraId="392C9FF3" w14:textId="77777777" w:rsidR="00980E5F" w:rsidRDefault="00483613">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392C9FF4" w14:textId="77777777" w:rsidR="00980E5F" w:rsidRDefault="00483613">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392C9FF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FF6" w14:textId="77777777" w:rsidR="00980E5F" w:rsidRDefault="00483613">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392C9FF7" w14:textId="77777777" w:rsidR="00980E5F" w:rsidRDefault="00980E5F">
            <w:pPr>
              <w:rPr>
                <w:rFonts w:ascii="宋体"/>
              </w:rPr>
            </w:pPr>
          </w:p>
        </w:tc>
        <w:tc>
          <w:tcPr>
            <w:tcW w:w="0" w:type="auto"/>
            <w:shd w:val="clear" w:color="auto" w:fill="auto"/>
            <w:vAlign w:val="bottom"/>
          </w:tcPr>
          <w:p w14:paraId="392C9FF8" w14:textId="77777777" w:rsidR="00980E5F" w:rsidRDefault="00980E5F">
            <w:pPr>
              <w:rPr>
                <w:rFonts w:ascii="宋体"/>
                <w:vanish/>
              </w:rPr>
            </w:pPr>
          </w:p>
        </w:tc>
        <w:tc>
          <w:tcPr>
            <w:tcW w:w="0" w:type="auto"/>
            <w:shd w:val="clear" w:color="auto" w:fill="auto"/>
            <w:vAlign w:val="bottom"/>
          </w:tcPr>
          <w:p w14:paraId="392C9FF9" w14:textId="77777777" w:rsidR="00980E5F" w:rsidRDefault="00980E5F">
            <w:pPr>
              <w:rPr>
                <w:rFonts w:ascii="宋体"/>
                <w:vanish/>
              </w:rPr>
            </w:pPr>
          </w:p>
        </w:tc>
        <w:tc>
          <w:tcPr>
            <w:tcW w:w="0" w:type="auto"/>
            <w:shd w:val="clear" w:color="auto" w:fill="auto"/>
            <w:vAlign w:val="bottom"/>
          </w:tcPr>
          <w:p w14:paraId="392C9FFA" w14:textId="77777777" w:rsidR="00980E5F" w:rsidRDefault="00980E5F">
            <w:pPr>
              <w:rPr>
                <w:rFonts w:ascii="宋体"/>
                <w:vanish/>
              </w:rPr>
            </w:pPr>
          </w:p>
        </w:tc>
        <w:tc>
          <w:tcPr>
            <w:tcW w:w="0" w:type="auto"/>
            <w:shd w:val="clear" w:color="auto" w:fill="auto"/>
            <w:vAlign w:val="bottom"/>
          </w:tcPr>
          <w:p w14:paraId="392C9FFB" w14:textId="77777777" w:rsidR="00980E5F" w:rsidRDefault="00980E5F">
            <w:pPr>
              <w:rPr>
                <w:rFonts w:ascii="宋体"/>
                <w:vanish/>
              </w:rPr>
            </w:pPr>
          </w:p>
        </w:tc>
        <w:tc>
          <w:tcPr>
            <w:tcW w:w="0" w:type="auto"/>
            <w:gridSpan w:val="3"/>
            <w:shd w:val="clear" w:color="auto" w:fill="auto"/>
            <w:tcMar>
              <w:top w:w="40" w:type="dxa"/>
              <w:left w:w="20" w:type="dxa"/>
              <w:bottom w:w="40" w:type="dxa"/>
              <w:right w:w="20" w:type="dxa"/>
            </w:tcMar>
            <w:vAlign w:val="bottom"/>
          </w:tcPr>
          <w:p w14:paraId="392C9FFC" w14:textId="77777777" w:rsidR="00980E5F" w:rsidRDefault="00483613">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392C9FF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9FFE"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014" w14:textId="77777777">
        <w:tc>
          <w:tcPr>
            <w:tcW w:w="0" w:type="auto"/>
            <w:gridSpan w:val="3"/>
            <w:shd w:val="clear" w:color="auto" w:fill="CCEEFF"/>
            <w:tcMar>
              <w:top w:w="40" w:type="dxa"/>
              <w:left w:w="20" w:type="dxa"/>
              <w:bottom w:w="40" w:type="dxa"/>
              <w:right w:w="20" w:type="dxa"/>
            </w:tcMar>
            <w:vAlign w:val="bottom"/>
          </w:tcPr>
          <w:p w14:paraId="392CA000" w14:textId="77777777" w:rsidR="00980E5F" w:rsidRDefault="00483613">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00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02" w14:textId="77777777" w:rsidR="00980E5F" w:rsidRDefault="00483613">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0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0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06"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08" w14:textId="77777777" w:rsidR="00980E5F" w:rsidRDefault="00980E5F">
            <w:pPr>
              <w:rPr>
                <w:rFonts w:ascii="宋体"/>
              </w:rPr>
            </w:pPr>
          </w:p>
        </w:tc>
        <w:tc>
          <w:tcPr>
            <w:tcW w:w="0" w:type="auto"/>
            <w:shd w:val="clear" w:color="auto" w:fill="auto"/>
            <w:vAlign w:val="bottom"/>
          </w:tcPr>
          <w:p w14:paraId="392CA009" w14:textId="77777777" w:rsidR="00980E5F" w:rsidRDefault="00980E5F">
            <w:pPr>
              <w:rPr>
                <w:rFonts w:ascii="宋体"/>
                <w:vanish/>
              </w:rPr>
            </w:pPr>
          </w:p>
        </w:tc>
        <w:tc>
          <w:tcPr>
            <w:tcW w:w="0" w:type="auto"/>
            <w:shd w:val="clear" w:color="auto" w:fill="auto"/>
            <w:vAlign w:val="bottom"/>
          </w:tcPr>
          <w:p w14:paraId="392CA00A" w14:textId="77777777" w:rsidR="00980E5F" w:rsidRDefault="00980E5F">
            <w:pPr>
              <w:rPr>
                <w:rFonts w:ascii="宋体"/>
                <w:vanish/>
              </w:rPr>
            </w:pPr>
          </w:p>
        </w:tc>
        <w:tc>
          <w:tcPr>
            <w:tcW w:w="0" w:type="auto"/>
            <w:shd w:val="clear" w:color="auto" w:fill="auto"/>
            <w:vAlign w:val="bottom"/>
          </w:tcPr>
          <w:p w14:paraId="392CA00B" w14:textId="77777777" w:rsidR="00980E5F" w:rsidRDefault="00980E5F">
            <w:pPr>
              <w:rPr>
                <w:rFonts w:ascii="宋体"/>
                <w:vanish/>
              </w:rPr>
            </w:pPr>
          </w:p>
        </w:tc>
        <w:tc>
          <w:tcPr>
            <w:tcW w:w="0" w:type="auto"/>
            <w:shd w:val="clear" w:color="auto" w:fill="auto"/>
            <w:vAlign w:val="bottom"/>
          </w:tcPr>
          <w:p w14:paraId="392CA00C"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0D"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0E"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1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1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12" w14:textId="77777777" w:rsidR="00980E5F" w:rsidRDefault="00483613">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13" w14:textId="77777777" w:rsidR="00980E5F" w:rsidRDefault="00980E5F">
            <w:pPr>
              <w:jc w:val="right"/>
              <w:rPr>
                <w:rFonts w:ascii="宋体"/>
              </w:rPr>
            </w:pPr>
          </w:p>
        </w:tc>
      </w:tr>
      <w:tr w:rsidR="00980E5F" w14:paraId="392CA025" w14:textId="77777777">
        <w:tc>
          <w:tcPr>
            <w:tcW w:w="0" w:type="auto"/>
            <w:gridSpan w:val="3"/>
            <w:shd w:val="clear" w:color="auto" w:fill="FFFFFF"/>
            <w:tcMar>
              <w:top w:w="40" w:type="dxa"/>
              <w:left w:w="20" w:type="dxa"/>
              <w:bottom w:w="40" w:type="dxa"/>
              <w:right w:w="20" w:type="dxa"/>
            </w:tcMar>
            <w:vAlign w:val="bottom"/>
          </w:tcPr>
          <w:p w14:paraId="392CA015" w14:textId="77777777" w:rsidR="00980E5F" w:rsidRDefault="00483613">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392CA016"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0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1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0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1B" w14:textId="77777777" w:rsidR="00980E5F" w:rsidRDefault="00980E5F">
            <w:pPr>
              <w:rPr>
                <w:rFonts w:ascii="宋体"/>
              </w:rPr>
            </w:pPr>
          </w:p>
        </w:tc>
        <w:tc>
          <w:tcPr>
            <w:tcW w:w="0" w:type="auto"/>
            <w:shd w:val="clear" w:color="auto" w:fill="auto"/>
            <w:vAlign w:val="bottom"/>
          </w:tcPr>
          <w:p w14:paraId="392CA01C" w14:textId="77777777" w:rsidR="00980E5F" w:rsidRDefault="00980E5F">
            <w:pPr>
              <w:rPr>
                <w:rFonts w:ascii="宋体"/>
                <w:vanish/>
              </w:rPr>
            </w:pPr>
          </w:p>
        </w:tc>
        <w:tc>
          <w:tcPr>
            <w:tcW w:w="0" w:type="auto"/>
            <w:shd w:val="clear" w:color="auto" w:fill="auto"/>
            <w:vAlign w:val="bottom"/>
          </w:tcPr>
          <w:p w14:paraId="392CA01D" w14:textId="77777777" w:rsidR="00980E5F" w:rsidRDefault="00980E5F">
            <w:pPr>
              <w:rPr>
                <w:rFonts w:ascii="宋体"/>
                <w:vanish/>
              </w:rPr>
            </w:pPr>
          </w:p>
        </w:tc>
        <w:tc>
          <w:tcPr>
            <w:tcW w:w="0" w:type="auto"/>
            <w:shd w:val="clear" w:color="auto" w:fill="auto"/>
            <w:vAlign w:val="bottom"/>
          </w:tcPr>
          <w:p w14:paraId="392CA01E" w14:textId="77777777" w:rsidR="00980E5F" w:rsidRDefault="00980E5F">
            <w:pPr>
              <w:rPr>
                <w:rFonts w:ascii="宋体"/>
                <w:vanish/>
              </w:rPr>
            </w:pPr>
          </w:p>
        </w:tc>
        <w:tc>
          <w:tcPr>
            <w:tcW w:w="0" w:type="auto"/>
            <w:shd w:val="clear" w:color="auto" w:fill="auto"/>
            <w:vAlign w:val="bottom"/>
          </w:tcPr>
          <w:p w14:paraId="392CA01F"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02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0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23"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024" w14:textId="77777777" w:rsidR="00980E5F" w:rsidRDefault="00980E5F">
            <w:pPr>
              <w:jc w:val="right"/>
              <w:rPr>
                <w:rFonts w:ascii="宋体"/>
              </w:rPr>
            </w:pPr>
          </w:p>
        </w:tc>
      </w:tr>
      <w:tr w:rsidR="00980E5F" w14:paraId="392CA036" w14:textId="77777777">
        <w:tc>
          <w:tcPr>
            <w:tcW w:w="0" w:type="auto"/>
            <w:gridSpan w:val="3"/>
            <w:shd w:val="clear" w:color="auto" w:fill="CCEEFF"/>
            <w:tcMar>
              <w:top w:w="40" w:type="dxa"/>
              <w:left w:w="20" w:type="dxa"/>
              <w:bottom w:w="40" w:type="dxa"/>
              <w:right w:w="20" w:type="dxa"/>
            </w:tcMar>
            <w:vAlign w:val="bottom"/>
          </w:tcPr>
          <w:p w14:paraId="392CA026" w14:textId="77777777" w:rsidR="00980E5F" w:rsidRDefault="00483613">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392CA02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0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02A"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A0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2C" w14:textId="77777777" w:rsidR="00980E5F" w:rsidRDefault="00980E5F">
            <w:pPr>
              <w:rPr>
                <w:rFonts w:ascii="宋体"/>
              </w:rPr>
            </w:pPr>
          </w:p>
        </w:tc>
        <w:tc>
          <w:tcPr>
            <w:tcW w:w="0" w:type="auto"/>
            <w:shd w:val="clear" w:color="auto" w:fill="auto"/>
            <w:vAlign w:val="bottom"/>
          </w:tcPr>
          <w:p w14:paraId="392CA02D" w14:textId="77777777" w:rsidR="00980E5F" w:rsidRDefault="00980E5F">
            <w:pPr>
              <w:rPr>
                <w:rFonts w:ascii="宋体"/>
                <w:vanish/>
              </w:rPr>
            </w:pPr>
          </w:p>
        </w:tc>
        <w:tc>
          <w:tcPr>
            <w:tcW w:w="0" w:type="auto"/>
            <w:shd w:val="clear" w:color="auto" w:fill="auto"/>
            <w:vAlign w:val="bottom"/>
          </w:tcPr>
          <w:p w14:paraId="392CA02E" w14:textId="77777777" w:rsidR="00980E5F" w:rsidRDefault="00980E5F">
            <w:pPr>
              <w:rPr>
                <w:rFonts w:ascii="宋体"/>
                <w:vanish/>
              </w:rPr>
            </w:pPr>
          </w:p>
        </w:tc>
        <w:tc>
          <w:tcPr>
            <w:tcW w:w="0" w:type="auto"/>
            <w:shd w:val="clear" w:color="auto" w:fill="auto"/>
            <w:vAlign w:val="bottom"/>
          </w:tcPr>
          <w:p w14:paraId="392CA02F" w14:textId="77777777" w:rsidR="00980E5F" w:rsidRDefault="00980E5F">
            <w:pPr>
              <w:rPr>
                <w:rFonts w:ascii="宋体"/>
                <w:vanish/>
              </w:rPr>
            </w:pPr>
          </w:p>
        </w:tc>
        <w:tc>
          <w:tcPr>
            <w:tcW w:w="0" w:type="auto"/>
            <w:shd w:val="clear" w:color="auto" w:fill="auto"/>
            <w:vAlign w:val="bottom"/>
          </w:tcPr>
          <w:p w14:paraId="392CA030"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03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03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3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034" w14:textId="77777777" w:rsidR="00980E5F" w:rsidRDefault="00483613">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392CA035" w14:textId="77777777" w:rsidR="00980E5F" w:rsidRDefault="00980E5F">
            <w:pPr>
              <w:jc w:val="right"/>
              <w:rPr>
                <w:rFonts w:ascii="宋体"/>
              </w:rPr>
            </w:pPr>
          </w:p>
        </w:tc>
      </w:tr>
      <w:tr w:rsidR="00980E5F" w14:paraId="392CA047" w14:textId="77777777">
        <w:tc>
          <w:tcPr>
            <w:tcW w:w="0" w:type="auto"/>
            <w:gridSpan w:val="3"/>
            <w:shd w:val="clear" w:color="auto" w:fill="FFFFFF"/>
            <w:tcMar>
              <w:top w:w="40" w:type="dxa"/>
              <w:left w:w="20" w:type="dxa"/>
              <w:bottom w:w="40" w:type="dxa"/>
              <w:right w:w="20" w:type="dxa"/>
            </w:tcMar>
            <w:vAlign w:val="bottom"/>
          </w:tcPr>
          <w:p w14:paraId="392CA037"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92CA038" w14:textId="77777777" w:rsidR="00980E5F" w:rsidRDefault="00483613">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392CA03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3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3B" w14:textId="77777777" w:rsidR="00980E5F" w:rsidRDefault="00483613">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392CA03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3D" w14:textId="77777777" w:rsidR="00980E5F" w:rsidRDefault="00980E5F">
            <w:pPr>
              <w:rPr>
                <w:rFonts w:ascii="宋体"/>
              </w:rPr>
            </w:pPr>
          </w:p>
        </w:tc>
        <w:tc>
          <w:tcPr>
            <w:tcW w:w="0" w:type="auto"/>
            <w:shd w:val="clear" w:color="auto" w:fill="auto"/>
            <w:vAlign w:val="bottom"/>
          </w:tcPr>
          <w:p w14:paraId="392CA03E" w14:textId="77777777" w:rsidR="00980E5F" w:rsidRDefault="00980E5F">
            <w:pPr>
              <w:rPr>
                <w:rFonts w:ascii="宋体"/>
                <w:vanish/>
              </w:rPr>
            </w:pPr>
          </w:p>
        </w:tc>
        <w:tc>
          <w:tcPr>
            <w:tcW w:w="0" w:type="auto"/>
            <w:shd w:val="clear" w:color="auto" w:fill="auto"/>
            <w:vAlign w:val="bottom"/>
          </w:tcPr>
          <w:p w14:paraId="392CA03F" w14:textId="77777777" w:rsidR="00980E5F" w:rsidRDefault="00980E5F">
            <w:pPr>
              <w:rPr>
                <w:rFonts w:ascii="宋体"/>
                <w:vanish/>
              </w:rPr>
            </w:pPr>
          </w:p>
        </w:tc>
        <w:tc>
          <w:tcPr>
            <w:tcW w:w="0" w:type="auto"/>
            <w:shd w:val="clear" w:color="auto" w:fill="auto"/>
            <w:vAlign w:val="bottom"/>
          </w:tcPr>
          <w:p w14:paraId="392CA040" w14:textId="77777777" w:rsidR="00980E5F" w:rsidRDefault="00980E5F">
            <w:pPr>
              <w:rPr>
                <w:rFonts w:ascii="宋体"/>
                <w:vanish/>
              </w:rPr>
            </w:pPr>
          </w:p>
        </w:tc>
        <w:tc>
          <w:tcPr>
            <w:tcW w:w="0" w:type="auto"/>
            <w:shd w:val="clear" w:color="auto" w:fill="auto"/>
            <w:vAlign w:val="bottom"/>
          </w:tcPr>
          <w:p w14:paraId="392CA04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04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0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45" w14:textId="77777777" w:rsidR="00980E5F" w:rsidRDefault="00483613">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392CA046" w14:textId="77777777" w:rsidR="00980E5F" w:rsidRDefault="00980E5F">
            <w:pPr>
              <w:jc w:val="right"/>
              <w:rPr>
                <w:rFonts w:ascii="宋体"/>
              </w:rPr>
            </w:pPr>
          </w:p>
        </w:tc>
      </w:tr>
      <w:tr w:rsidR="00980E5F" w14:paraId="392CA058" w14:textId="77777777">
        <w:tc>
          <w:tcPr>
            <w:tcW w:w="0" w:type="auto"/>
            <w:gridSpan w:val="3"/>
            <w:shd w:val="clear" w:color="auto" w:fill="CCEEFF"/>
            <w:tcMar>
              <w:top w:w="40" w:type="dxa"/>
              <w:left w:w="20" w:type="dxa"/>
              <w:bottom w:w="40" w:type="dxa"/>
              <w:right w:w="20" w:type="dxa"/>
            </w:tcMar>
            <w:vAlign w:val="bottom"/>
          </w:tcPr>
          <w:p w14:paraId="392CA048" w14:textId="77777777" w:rsidR="00980E5F" w:rsidRDefault="00483613">
            <w:pPr>
              <w:textAlignment w:val="bottom"/>
            </w:pPr>
            <w:r>
              <w:rPr>
                <w:rFonts w:ascii="Arial" w:eastAsia="宋体" w:hAnsi="Arial" w:cs="Arial"/>
                <w:b/>
                <w:bCs/>
                <w:color w:val="000000"/>
                <w:sz w:val="14"/>
                <w:szCs w:val="14"/>
              </w:rPr>
              <w:t>Accrual Balance at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049" w14:textId="77777777" w:rsidR="00980E5F" w:rsidRDefault="00483613">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4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4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04C"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4E" w14:textId="77777777" w:rsidR="00980E5F" w:rsidRDefault="00980E5F">
            <w:pPr>
              <w:rPr>
                <w:rFonts w:ascii="宋体"/>
              </w:rPr>
            </w:pPr>
          </w:p>
        </w:tc>
        <w:tc>
          <w:tcPr>
            <w:tcW w:w="0" w:type="auto"/>
            <w:shd w:val="clear" w:color="auto" w:fill="auto"/>
            <w:vAlign w:val="bottom"/>
          </w:tcPr>
          <w:p w14:paraId="392CA04F" w14:textId="77777777" w:rsidR="00980E5F" w:rsidRDefault="00980E5F">
            <w:pPr>
              <w:rPr>
                <w:rFonts w:ascii="宋体"/>
                <w:vanish/>
              </w:rPr>
            </w:pPr>
          </w:p>
        </w:tc>
        <w:tc>
          <w:tcPr>
            <w:tcW w:w="0" w:type="auto"/>
            <w:shd w:val="clear" w:color="auto" w:fill="auto"/>
            <w:vAlign w:val="bottom"/>
          </w:tcPr>
          <w:p w14:paraId="392CA050" w14:textId="77777777" w:rsidR="00980E5F" w:rsidRDefault="00980E5F">
            <w:pPr>
              <w:rPr>
                <w:rFonts w:ascii="宋体"/>
                <w:vanish/>
              </w:rPr>
            </w:pPr>
          </w:p>
        </w:tc>
        <w:tc>
          <w:tcPr>
            <w:tcW w:w="0" w:type="auto"/>
            <w:shd w:val="clear" w:color="auto" w:fill="auto"/>
            <w:vAlign w:val="bottom"/>
          </w:tcPr>
          <w:p w14:paraId="392CA051" w14:textId="77777777" w:rsidR="00980E5F" w:rsidRDefault="00980E5F">
            <w:pPr>
              <w:rPr>
                <w:rFonts w:ascii="宋体"/>
                <w:vanish/>
              </w:rPr>
            </w:pPr>
          </w:p>
        </w:tc>
        <w:tc>
          <w:tcPr>
            <w:tcW w:w="0" w:type="auto"/>
            <w:shd w:val="clear" w:color="auto" w:fill="auto"/>
            <w:vAlign w:val="bottom"/>
          </w:tcPr>
          <w:p w14:paraId="392CA052"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053"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5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5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056" w14:textId="77777777" w:rsidR="00980E5F" w:rsidRDefault="00483613">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57" w14:textId="77777777" w:rsidR="00980E5F" w:rsidRDefault="00980E5F">
            <w:pPr>
              <w:jc w:val="right"/>
              <w:rPr>
                <w:rFonts w:ascii="宋体"/>
              </w:rPr>
            </w:pPr>
          </w:p>
        </w:tc>
      </w:tr>
      <w:tr w:rsidR="00980E5F" w14:paraId="392CA065" w14:textId="77777777">
        <w:trPr>
          <w:hidden/>
        </w:trPr>
        <w:tc>
          <w:tcPr>
            <w:tcW w:w="0" w:type="auto"/>
            <w:gridSpan w:val="3"/>
            <w:shd w:val="clear" w:color="auto" w:fill="auto"/>
            <w:vAlign w:val="bottom"/>
          </w:tcPr>
          <w:p w14:paraId="392CA059" w14:textId="77777777" w:rsidR="00980E5F" w:rsidRDefault="00980E5F">
            <w:pPr>
              <w:rPr>
                <w:rFonts w:ascii="宋体"/>
                <w:vanish/>
              </w:rPr>
            </w:pPr>
          </w:p>
        </w:tc>
        <w:tc>
          <w:tcPr>
            <w:tcW w:w="0" w:type="auto"/>
            <w:gridSpan w:val="3"/>
            <w:shd w:val="clear" w:color="auto" w:fill="auto"/>
            <w:vAlign w:val="bottom"/>
          </w:tcPr>
          <w:p w14:paraId="392CA05A" w14:textId="77777777" w:rsidR="00980E5F" w:rsidRDefault="00980E5F">
            <w:pPr>
              <w:rPr>
                <w:rFonts w:ascii="宋体"/>
                <w:vanish/>
              </w:rPr>
            </w:pPr>
          </w:p>
        </w:tc>
        <w:tc>
          <w:tcPr>
            <w:tcW w:w="0" w:type="auto"/>
            <w:gridSpan w:val="3"/>
            <w:shd w:val="clear" w:color="auto" w:fill="auto"/>
            <w:vAlign w:val="bottom"/>
          </w:tcPr>
          <w:p w14:paraId="392CA05B" w14:textId="77777777" w:rsidR="00980E5F" w:rsidRDefault="00980E5F">
            <w:pPr>
              <w:rPr>
                <w:rFonts w:ascii="宋体"/>
                <w:vanish/>
              </w:rPr>
            </w:pPr>
          </w:p>
        </w:tc>
        <w:tc>
          <w:tcPr>
            <w:tcW w:w="0" w:type="auto"/>
            <w:gridSpan w:val="3"/>
            <w:shd w:val="clear" w:color="auto" w:fill="auto"/>
            <w:vAlign w:val="bottom"/>
          </w:tcPr>
          <w:p w14:paraId="392CA05C" w14:textId="77777777" w:rsidR="00980E5F" w:rsidRDefault="00980E5F">
            <w:pPr>
              <w:rPr>
                <w:rFonts w:ascii="宋体"/>
                <w:vanish/>
              </w:rPr>
            </w:pPr>
          </w:p>
        </w:tc>
        <w:tc>
          <w:tcPr>
            <w:tcW w:w="0" w:type="auto"/>
            <w:gridSpan w:val="3"/>
            <w:shd w:val="clear" w:color="auto" w:fill="auto"/>
            <w:vAlign w:val="bottom"/>
          </w:tcPr>
          <w:p w14:paraId="392CA05D" w14:textId="77777777" w:rsidR="00980E5F" w:rsidRDefault="00980E5F">
            <w:pPr>
              <w:rPr>
                <w:rFonts w:ascii="宋体"/>
                <w:vanish/>
              </w:rPr>
            </w:pPr>
          </w:p>
        </w:tc>
        <w:tc>
          <w:tcPr>
            <w:tcW w:w="0" w:type="auto"/>
            <w:shd w:val="clear" w:color="auto" w:fill="auto"/>
            <w:vAlign w:val="bottom"/>
          </w:tcPr>
          <w:p w14:paraId="392CA05E" w14:textId="77777777" w:rsidR="00980E5F" w:rsidRDefault="00980E5F">
            <w:pPr>
              <w:rPr>
                <w:rFonts w:ascii="宋体"/>
                <w:vanish/>
              </w:rPr>
            </w:pPr>
          </w:p>
        </w:tc>
        <w:tc>
          <w:tcPr>
            <w:tcW w:w="0" w:type="auto"/>
            <w:shd w:val="clear" w:color="auto" w:fill="auto"/>
            <w:vAlign w:val="bottom"/>
          </w:tcPr>
          <w:p w14:paraId="392CA05F" w14:textId="77777777" w:rsidR="00980E5F" w:rsidRDefault="00980E5F">
            <w:pPr>
              <w:rPr>
                <w:rFonts w:ascii="宋体"/>
                <w:vanish/>
              </w:rPr>
            </w:pPr>
          </w:p>
        </w:tc>
        <w:tc>
          <w:tcPr>
            <w:tcW w:w="0" w:type="auto"/>
            <w:shd w:val="clear" w:color="auto" w:fill="auto"/>
            <w:vAlign w:val="bottom"/>
          </w:tcPr>
          <w:p w14:paraId="392CA060" w14:textId="77777777" w:rsidR="00980E5F" w:rsidRDefault="00980E5F">
            <w:pPr>
              <w:rPr>
                <w:rFonts w:ascii="宋体"/>
                <w:vanish/>
              </w:rPr>
            </w:pPr>
          </w:p>
        </w:tc>
        <w:tc>
          <w:tcPr>
            <w:tcW w:w="0" w:type="auto"/>
            <w:shd w:val="clear" w:color="auto" w:fill="auto"/>
            <w:vAlign w:val="bottom"/>
          </w:tcPr>
          <w:p w14:paraId="392CA061" w14:textId="77777777" w:rsidR="00980E5F" w:rsidRDefault="00980E5F">
            <w:pPr>
              <w:rPr>
                <w:rFonts w:ascii="宋体"/>
                <w:vanish/>
              </w:rPr>
            </w:pPr>
          </w:p>
        </w:tc>
        <w:tc>
          <w:tcPr>
            <w:tcW w:w="0" w:type="auto"/>
            <w:gridSpan w:val="3"/>
            <w:shd w:val="clear" w:color="auto" w:fill="auto"/>
            <w:vAlign w:val="bottom"/>
          </w:tcPr>
          <w:p w14:paraId="392CA062" w14:textId="77777777" w:rsidR="00980E5F" w:rsidRDefault="00980E5F">
            <w:pPr>
              <w:rPr>
                <w:rFonts w:ascii="宋体"/>
                <w:vanish/>
              </w:rPr>
            </w:pPr>
          </w:p>
        </w:tc>
        <w:tc>
          <w:tcPr>
            <w:tcW w:w="0" w:type="auto"/>
            <w:gridSpan w:val="3"/>
            <w:shd w:val="clear" w:color="auto" w:fill="auto"/>
            <w:vAlign w:val="bottom"/>
          </w:tcPr>
          <w:p w14:paraId="392CA063" w14:textId="77777777" w:rsidR="00980E5F" w:rsidRDefault="00980E5F">
            <w:pPr>
              <w:rPr>
                <w:rFonts w:ascii="宋体"/>
                <w:vanish/>
              </w:rPr>
            </w:pPr>
          </w:p>
        </w:tc>
        <w:tc>
          <w:tcPr>
            <w:tcW w:w="0" w:type="auto"/>
            <w:gridSpan w:val="3"/>
            <w:shd w:val="clear" w:color="auto" w:fill="auto"/>
            <w:vAlign w:val="bottom"/>
          </w:tcPr>
          <w:p w14:paraId="392CA064" w14:textId="77777777" w:rsidR="00980E5F" w:rsidRDefault="00980E5F">
            <w:pPr>
              <w:rPr>
                <w:rFonts w:ascii="宋体"/>
                <w:vanish/>
              </w:rPr>
            </w:pPr>
          </w:p>
        </w:tc>
      </w:tr>
      <w:tr w:rsidR="00980E5F" w14:paraId="392CA072" w14:textId="77777777">
        <w:trPr>
          <w:hidden/>
        </w:trPr>
        <w:tc>
          <w:tcPr>
            <w:tcW w:w="0" w:type="auto"/>
            <w:gridSpan w:val="3"/>
            <w:shd w:val="clear" w:color="auto" w:fill="auto"/>
            <w:vAlign w:val="bottom"/>
          </w:tcPr>
          <w:p w14:paraId="392CA066" w14:textId="77777777" w:rsidR="00980E5F" w:rsidRDefault="00980E5F">
            <w:pPr>
              <w:rPr>
                <w:rFonts w:ascii="宋体"/>
                <w:vanish/>
              </w:rPr>
            </w:pPr>
          </w:p>
        </w:tc>
        <w:tc>
          <w:tcPr>
            <w:tcW w:w="0" w:type="auto"/>
            <w:gridSpan w:val="3"/>
            <w:shd w:val="clear" w:color="auto" w:fill="auto"/>
            <w:vAlign w:val="bottom"/>
          </w:tcPr>
          <w:p w14:paraId="392CA067" w14:textId="77777777" w:rsidR="00980E5F" w:rsidRDefault="00980E5F">
            <w:pPr>
              <w:rPr>
                <w:rFonts w:ascii="宋体"/>
                <w:vanish/>
              </w:rPr>
            </w:pPr>
          </w:p>
        </w:tc>
        <w:tc>
          <w:tcPr>
            <w:tcW w:w="0" w:type="auto"/>
            <w:gridSpan w:val="3"/>
            <w:shd w:val="clear" w:color="auto" w:fill="auto"/>
            <w:vAlign w:val="bottom"/>
          </w:tcPr>
          <w:p w14:paraId="392CA068" w14:textId="77777777" w:rsidR="00980E5F" w:rsidRDefault="00980E5F">
            <w:pPr>
              <w:rPr>
                <w:rFonts w:ascii="宋体"/>
                <w:vanish/>
              </w:rPr>
            </w:pPr>
          </w:p>
        </w:tc>
        <w:tc>
          <w:tcPr>
            <w:tcW w:w="0" w:type="auto"/>
            <w:gridSpan w:val="3"/>
            <w:shd w:val="clear" w:color="auto" w:fill="auto"/>
            <w:vAlign w:val="bottom"/>
          </w:tcPr>
          <w:p w14:paraId="392CA069" w14:textId="77777777" w:rsidR="00980E5F" w:rsidRDefault="00980E5F">
            <w:pPr>
              <w:rPr>
                <w:rFonts w:ascii="宋体"/>
                <w:vanish/>
              </w:rPr>
            </w:pPr>
          </w:p>
        </w:tc>
        <w:tc>
          <w:tcPr>
            <w:tcW w:w="0" w:type="auto"/>
            <w:gridSpan w:val="3"/>
            <w:shd w:val="clear" w:color="auto" w:fill="auto"/>
            <w:vAlign w:val="bottom"/>
          </w:tcPr>
          <w:p w14:paraId="392CA06A" w14:textId="77777777" w:rsidR="00980E5F" w:rsidRDefault="00980E5F">
            <w:pPr>
              <w:rPr>
                <w:rFonts w:ascii="宋体"/>
                <w:vanish/>
              </w:rPr>
            </w:pPr>
          </w:p>
        </w:tc>
        <w:tc>
          <w:tcPr>
            <w:tcW w:w="0" w:type="auto"/>
            <w:shd w:val="clear" w:color="auto" w:fill="auto"/>
            <w:vAlign w:val="bottom"/>
          </w:tcPr>
          <w:p w14:paraId="392CA06B" w14:textId="77777777" w:rsidR="00980E5F" w:rsidRDefault="00980E5F">
            <w:pPr>
              <w:rPr>
                <w:rFonts w:ascii="宋体"/>
                <w:vanish/>
              </w:rPr>
            </w:pPr>
          </w:p>
        </w:tc>
        <w:tc>
          <w:tcPr>
            <w:tcW w:w="0" w:type="auto"/>
            <w:shd w:val="clear" w:color="auto" w:fill="auto"/>
            <w:vAlign w:val="bottom"/>
          </w:tcPr>
          <w:p w14:paraId="392CA06C" w14:textId="77777777" w:rsidR="00980E5F" w:rsidRDefault="00980E5F">
            <w:pPr>
              <w:rPr>
                <w:rFonts w:ascii="宋体"/>
                <w:vanish/>
              </w:rPr>
            </w:pPr>
          </w:p>
        </w:tc>
        <w:tc>
          <w:tcPr>
            <w:tcW w:w="0" w:type="auto"/>
            <w:shd w:val="clear" w:color="auto" w:fill="auto"/>
            <w:vAlign w:val="bottom"/>
          </w:tcPr>
          <w:p w14:paraId="392CA06D" w14:textId="77777777" w:rsidR="00980E5F" w:rsidRDefault="00980E5F">
            <w:pPr>
              <w:rPr>
                <w:rFonts w:ascii="宋体"/>
                <w:vanish/>
              </w:rPr>
            </w:pPr>
          </w:p>
        </w:tc>
        <w:tc>
          <w:tcPr>
            <w:tcW w:w="0" w:type="auto"/>
            <w:shd w:val="clear" w:color="auto" w:fill="auto"/>
            <w:vAlign w:val="bottom"/>
          </w:tcPr>
          <w:p w14:paraId="392CA06E" w14:textId="77777777" w:rsidR="00980E5F" w:rsidRDefault="00980E5F">
            <w:pPr>
              <w:rPr>
                <w:rFonts w:ascii="宋体"/>
                <w:vanish/>
              </w:rPr>
            </w:pPr>
          </w:p>
        </w:tc>
        <w:tc>
          <w:tcPr>
            <w:tcW w:w="0" w:type="auto"/>
            <w:gridSpan w:val="3"/>
            <w:shd w:val="clear" w:color="auto" w:fill="auto"/>
            <w:vAlign w:val="bottom"/>
          </w:tcPr>
          <w:p w14:paraId="392CA06F" w14:textId="77777777" w:rsidR="00980E5F" w:rsidRDefault="00980E5F">
            <w:pPr>
              <w:rPr>
                <w:rFonts w:ascii="宋体"/>
                <w:vanish/>
              </w:rPr>
            </w:pPr>
          </w:p>
        </w:tc>
        <w:tc>
          <w:tcPr>
            <w:tcW w:w="0" w:type="auto"/>
            <w:gridSpan w:val="3"/>
            <w:shd w:val="clear" w:color="auto" w:fill="auto"/>
            <w:vAlign w:val="bottom"/>
          </w:tcPr>
          <w:p w14:paraId="392CA070" w14:textId="77777777" w:rsidR="00980E5F" w:rsidRDefault="00980E5F">
            <w:pPr>
              <w:rPr>
                <w:rFonts w:ascii="宋体"/>
                <w:vanish/>
              </w:rPr>
            </w:pPr>
          </w:p>
        </w:tc>
        <w:tc>
          <w:tcPr>
            <w:tcW w:w="0" w:type="auto"/>
            <w:gridSpan w:val="3"/>
            <w:shd w:val="clear" w:color="auto" w:fill="auto"/>
            <w:vAlign w:val="bottom"/>
          </w:tcPr>
          <w:p w14:paraId="392CA071" w14:textId="77777777" w:rsidR="00980E5F" w:rsidRDefault="00980E5F">
            <w:pPr>
              <w:rPr>
                <w:rFonts w:ascii="宋体"/>
                <w:vanish/>
              </w:rPr>
            </w:pPr>
          </w:p>
        </w:tc>
      </w:tr>
      <w:tr w:rsidR="00980E5F" w14:paraId="392CA083" w14:textId="77777777">
        <w:tc>
          <w:tcPr>
            <w:tcW w:w="0" w:type="auto"/>
            <w:gridSpan w:val="3"/>
            <w:shd w:val="clear" w:color="auto" w:fill="FFFFFF"/>
            <w:tcMar>
              <w:top w:w="40" w:type="dxa"/>
              <w:left w:w="20" w:type="dxa"/>
              <w:bottom w:w="40" w:type="dxa"/>
              <w:right w:w="20" w:type="dxa"/>
            </w:tcMar>
            <w:vAlign w:val="bottom"/>
          </w:tcPr>
          <w:p w14:paraId="392CA073"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392CA074" w14:textId="77777777" w:rsidR="00980E5F" w:rsidRDefault="00483613">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392CA0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7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07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79" w14:textId="77777777" w:rsidR="00980E5F" w:rsidRDefault="00980E5F">
            <w:pPr>
              <w:rPr>
                <w:rFonts w:ascii="宋体"/>
              </w:rPr>
            </w:pPr>
          </w:p>
        </w:tc>
        <w:tc>
          <w:tcPr>
            <w:tcW w:w="0" w:type="auto"/>
            <w:shd w:val="clear" w:color="auto" w:fill="auto"/>
            <w:vAlign w:val="bottom"/>
          </w:tcPr>
          <w:p w14:paraId="392CA07A" w14:textId="77777777" w:rsidR="00980E5F" w:rsidRDefault="00980E5F">
            <w:pPr>
              <w:rPr>
                <w:rFonts w:ascii="宋体"/>
                <w:vanish/>
              </w:rPr>
            </w:pPr>
          </w:p>
        </w:tc>
        <w:tc>
          <w:tcPr>
            <w:tcW w:w="0" w:type="auto"/>
            <w:shd w:val="clear" w:color="auto" w:fill="auto"/>
            <w:vAlign w:val="bottom"/>
          </w:tcPr>
          <w:p w14:paraId="392CA07B" w14:textId="77777777" w:rsidR="00980E5F" w:rsidRDefault="00980E5F">
            <w:pPr>
              <w:rPr>
                <w:rFonts w:ascii="宋体"/>
                <w:vanish/>
              </w:rPr>
            </w:pPr>
          </w:p>
        </w:tc>
        <w:tc>
          <w:tcPr>
            <w:tcW w:w="0" w:type="auto"/>
            <w:shd w:val="clear" w:color="auto" w:fill="auto"/>
            <w:vAlign w:val="bottom"/>
          </w:tcPr>
          <w:p w14:paraId="392CA07C" w14:textId="77777777" w:rsidR="00980E5F" w:rsidRDefault="00980E5F">
            <w:pPr>
              <w:rPr>
                <w:rFonts w:ascii="宋体"/>
                <w:vanish/>
              </w:rPr>
            </w:pPr>
          </w:p>
        </w:tc>
        <w:tc>
          <w:tcPr>
            <w:tcW w:w="0" w:type="auto"/>
            <w:shd w:val="clear" w:color="auto" w:fill="auto"/>
            <w:vAlign w:val="bottom"/>
          </w:tcPr>
          <w:p w14:paraId="392CA07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07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0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8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081" w14:textId="77777777" w:rsidR="00980E5F" w:rsidRDefault="00483613">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392CA082" w14:textId="77777777" w:rsidR="00980E5F" w:rsidRDefault="00980E5F">
            <w:pPr>
              <w:jc w:val="right"/>
              <w:rPr>
                <w:rFonts w:ascii="宋体"/>
              </w:rPr>
            </w:pPr>
          </w:p>
        </w:tc>
      </w:tr>
      <w:tr w:rsidR="00980E5F" w14:paraId="392CA098" w14:textId="77777777">
        <w:tc>
          <w:tcPr>
            <w:tcW w:w="0" w:type="auto"/>
            <w:gridSpan w:val="3"/>
            <w:shd w:val="clear" w:color="auto" w:fill="CCEEFF"/>
            <w:tcMar>
              <w:top w:w="40" w:type="dxa"/>
              <w:left w:w="20" w:type="dxa"/>
              <w:bottom w:w="40" w:type="dxa"/>
              <w:right w:w="20" w:type="dxa"/>
            </w:tcMar>
            <w:vAlign w:val="bottom"/>
          </w:tcPr>
          <w:p w14:paraId="392CA084" w14:textId="77777777" w:rsidR="00980E5F" w:rsidRDefault="00483613">
            <w:pPr>
              <w:textAlignment w:val="bottom"/>
            </w:pPr>
            <w:r>
              <w:rPr>
                <w:rFonts w:ascii="Arial" w:eastAsia="宋体" w:hAnsi="Arial" w:cs="Arial"/>
                <w:b/>
                <w:bCs/>
                <w:color w:val="000000"/>
                <w:sz w:val="14"/>
                <w:szCs w:val="14"/>
              </w:rPr>
              <w:t>Accrual Balance at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08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86" w14:textId="77777777" w:rsidR="00980E5F" w:rsidRDefault="00483613">
            <w:pPr>
              <w:jc w:val="right"/>
              <w:textAlignment w:val="bottom"/>
            </w:pPr>
            <w:r>
              <w:rPr>
                <w:rFonts w:ascii="Arial" w:eastAsia="宋体" w:hAnsi="Arial" w:cs="Arial"/>
                <w:color w:val="000000"/>
                <w:sz w:val="14"/>
                <w:szCs w:val="14"/>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88"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89"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8A"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8C" w14:textId="77777777" w:rsidR="00980E5F" w:rsidRDefault="00980E5F">
            <w:pPr>
              <w:rPr>
                <w:rFonts w:ascii="宋体"/>
              </w:rPr>
            </w:pPr>
          </w:p>
        </w:tc>
        <w:tc>
          <w:tcPr>
            <w:tcW w:w="0" w:type="auto"/>
            <w:shd w:val="clear" w:color="auto" w:fill="auto"/>
            <w:vAlign w:val="bottom"/>
          </w:tcPr>
          <w:p w14:paraId="392CA08D" w14:textId="77777777" w:rsidR="00980E5F" w:rsidRDefault="00980E5F">
            <w:pPr>
              <w:rPr>
                <w:rFonts w:ascii="宋体"/>
                <w:vanish/>
              </w:rPr>
            </w:pPr>
          </w:p>
        </w:tc>
        <w:tc>
          <w:tcPr>
            <w:tcW w:w="0" w:type="auto"/>
            <w:shd w:val="clear" w:color="auto" w:fill="auto"/>
            <w:vAlign w:val="bottom"/>
          </w:tcPr>
          <w:p w14:paraId="392CA08E" w14:textId="77777777" w:rsidR="00980E5F" w:rsidRDefault="00980E5F">
            <w:pPr>
              <w:rPr>
                <w:rFonts w:ascii="宋体"/>
                <w:vanish/>
              </w:rPr>
            </w:pPr>
          </w:p>
        </w:tc>
        <w:tc>
          <w:tcPr>
            <w:tcW w:w="0" w:type="auto"/>
            <w:shd w:val="clear" w:color="auto" w:fill="auto"/>
            <w:vAlign w:val="bottom"/>
          </w:tcPr>
          <w:p w14:paraId="392CA08F" w14:textId="77777777" w:rsidR="00980E5F" w:rsidRDefault="00980E5F">
            <w:pPr>
              <w:rPr>
                <w:rFonts w:ascii="宋体"/>
                <w:vanish/>
              </w:rPr>
            </w:pPr>
          </w:p>
        </w:tc>
        <w:tc>
          <w:tcPr>
            <w:tcW w:w="0" w:type="auto"/>
            <w:shd w:val="clear" w:color="auto" w:fill="auto"/>
            <w:vAlign w:val="bottom"/>
          </w:tcPr>
          <w:p w14:paraId="392CA090"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9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92"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9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94"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095"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096" w14:textId="77777777" w:rsidR="00980E5F" w:rsidRDefault="00483613">
            <w:pPr>
              <w:jc w:val="right"/>
              <w:textAlignment w:val="bottom"/>
            </w:pPr>
            <w:r>
              <w:rPr>
                <w:rFonts w:ascii="Arial" w:eastAsia="宋体" w:hAnsi="Arial" w:cs="Arial"/>
                <w:color w:val="000000"/>
                <w:sz w:val="14"/>
                <w:szCs w:val="14"/>
              </w:rPr>
              <w:t>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097" w14:textId="77777777" w:rsidR="00980E5F" w:rsidRDefault="00980E5F">
            <w:pPr>
              <w:jc w:val="right"/>
              <w:rPr>
                <w:rFonts w:ascii="宋体"/>
              </w:rPr>
            </w:pPr>
          </w:p>
        </w:tc>
      </w:tr>
      <w:tr w:rsidR="00980E5F" w14:paraId="392CA0A5" w14:textId="77777777">
        <w:trPr>
          <w:hidden/>
        </w:trPr>
        <w:tc>
          <w:tcPr>
            <w:tcW w:w="0" w:type="auto"/>
            <w:gridSpan w:val="3"/>
            <w:shd w:val="clear" w:color="auto" w:fill="auto"/>
            <w:vAlign w:val="bottom"/>
          </w:tcPr>
          <w:p w14:paraId="392CA099" w14:textId="77777777" w:rsidR="00980E5F" w:rsidRDefault="00980E5F">
            <w:pPr>
              <w:rPr>
                <w:rFonts w:ascii="宋体"/>
                <w:vanish/>
              </w:rPr>
            </w:pPr>
          </w:p>
        </w:tc>
        <w:tc>
          <w:tcPr>
            <w:tcW w:w="0" w:type="auto"/>
            <w:gridSpan w:val="3"/>
            <w:shd w:val="clear" w:color="auto" w:fill="auto"/>
            <w:vAlign w:val="bottom"/>
          </w:tcPr>
          <w:p w14:paraId="392CA09A" w14:textId="77777777" w:rsidR="00980E5F" w:rsidRDefault="00980E5F">
            <w:pPr>
              <w:rPr>
                <w:rFonts w:ascii="宋体"/>
                <w:vanish/>
              </w:rPr>
            </w:pPr>
          </w:p>
        </w:tc>
        <w:tc>
          <w:tcPr>
            <w:tcW w:w="0" w:type="auto"/>
            <w:gridSpan w:val="3"/>
            <w:shd w:val="clear" w:color="auto" w:fill="auto"/>
            <w:vAlign w:val="bottom"/>
          </w:tcPr>
          <w:p w14:paraId="392CA09B" w14:textId="77777777" w:rsidR="00980E5F" w:rsidRDefault="00980E5F">
            <w:pPr>
              <w:rPr>
                <w:rFonts w:ascii="宋体"/>
                <w:vanish/>
              </w:rPr>
            </w:pPr>
          </w:p>
        </w:tc>
        <w:tc>
          <w:tcPr>
            <w:tcW w:w="0" w:type="auto"/>
            <w:gridSpan w:val="3"/>
            <w:shd w:val="clear" w:color="auto" w:fill="auto"/>
            <w:vAlign w:val="bottom"/>
          </w:tcPr>
          <w:p w14:paraId="392CA09C" w14:textId="77777777" w:rsidR="00980E5F" w:rsidRDefault="00980E5F">
            <w:pPr>
              <w:rPr>
                <w:rFonts w:ascii="宋体"/>
                <w:vanish/>
              </w:rPr>
            </w:pPr>
          </w:p>
        </w:tc>
        <w:tc>
          <w:tcPr>
            <w:tcW w:w="0" w:type="auto"/>
            <w:gridSpan w:val="3"/>
            <w:shd w:val="clear" w:color="auto" w:fill="auto"/>
            <w:vAlign w:val="bottom"/>
          </w:tcPr>
          <w:p w14:paraId="392CA09D" w14:textId="77777777" w:rsidR="00980E5F" w:rsidRDefault="00980E5F">
            <w:pPr>
              <w:rPr>
                <w:rFonts w:ascii="宋体"/>
                <w:vanish/>
              </w:rPr>
            </w:pPr>
          </w:p>
        </w:tc>
        <w:tc>
          <w:tcPr>
            <w:tcW w:w="0" w:type="auto"/>
            <w:shd w:val="clear" w:color="auto" w:fill="auto"/>
            <w:vAlign w:val="bottom"/>
          </w:tcPr>
          <w:p w14:paraId="392CA09E" w14:textId="77777777" w:rsidR="00980E5F" w:rsidRDefault="00980E5F">
            <w:pPr>
              <w:rPr>
                <w:rFonts w:ascii="宋体"/>
                <w:vanish/>
              </w:rPr>
            </w:pPr>
          </w:p>
        </w:tc>
        <w:tc>
          <w:tcPr>
            <w:tcW w:w="0" w:type="auto"/>
            <w:shd w:val="clear" w:color="auto" w:fill="auto"/>
            <w:vAlign w:val="bottom"/>
          </w:tcPr>
          <w:p w14:paraId="392CA09F" w14:textId="77777777" w:rsidR="00980E5F" w:rsidRDefault="00980E5F">
            <w:pPr>
              <w:rPr>
                <w:rFonts w:ascii="宋体"/>
                <w:vanish/>
              </w:rPr>
            </w:pPr>
          </w:p>
        </w:tc>
        <w:tc>
          <w:tcPr>
            <w:tcW w:w="0" w:type="auto"/>
            <w:shd w:val="clear" w:color="auto" w:fill="auto"/>
            <w:vAlign w:val="bottom"/>
          </w:tcPr>
          <w:p w14:paraId="392CA0A0" w14:textId="77777777" w:rsidR="00980E5F" w:rsidRDefault="00980E5F">
            <w:pPr>
              <w:rPr>
                <w:rFonts w:ascii="宋体"/>
                <w:vanish/>
              </w:rPr>
            </w:pPr>
          </w:p>
        </w:tc>
        <w:tc>
          <w:tcPr>
            <w:tcW w:w="0" w:type="auto"/>
            <w:shd w:val="clear" w:color="auto" w:fill="auto"/>
            <w:vAlign w:val="bottom"/>
          </w:tcPr>
          <w:p w14:paraId="392CA0A1" w14:textId="77777777" w:rsidR="00980E5F" w:rsidRDefault="00980E5F">
            <w:pPr>
              <w:rPr>
                <w:rFonts w:ascii="宋体"/>
                <w:vanish/>
              </w:rPr>
            </w:pPr>
          </w:p>
        </w:tc>
        <w:tc>
          <w:tcPr>
            <w:tcW w:w="0" w:type="auto"/>
            <w:gridSpan w:val="3"/>
            <w:shd w:val="clear" w:color="auto" w:fill="auto"/>
            <w:vAlign w:val="bottom"/>
          </w:tcPr>
          <w:p w14:paraId="392CA0A2" w14:textId="77777777" w:rsidR="00980E5F" w:rsidRDefault="00980E5F">
            <w:pPr>
              <w:rPr>
                <w:rFonts w:ascii="宋体"/>
                <w:vanish/>
              </w:rPr>
            </w:pPr>
          </w:p>
        </w:tc>
        <w:tc>
          <w:tcPr>
            <w:tcW w:w="0" w:type="auto"/>
            <w:gridSpan w:val="3"/>
            <w:shd w:val="clear" w:color="auto" w:fill="auto"/>
            <w:vAlign w:val="bottom"/>
          </w:tcPr>
          <w:p w14:paraId="392CA0A3" w14:textId="77777777" w:rsidR="00980E5F" w:rsidRDefault="00980E5F">
            <w:pPr>
              <w:rPr>
                <w:rFonts w:ascii="宋体"/>
                <w:vanish/>
              </w:rPr>
            </w:pPr>
          </w:p>
        </w:tc>
        <w:tc>
          <w:tcPr>
            <w:tcW w:w="0" w:type="auto"/>
            <w:gridSpan w:val="3"/>
            <w:shd w:val="clear" w:color="auto" w:fill="auto"/>
            <w:vAlign w:val="bottom"/>
          </w:tcPr>
          <w:p w14:paraId="392CA0A4" w14:textId="77777777" w:rsidR="00980E5F" w:rsidRDefault="00980E5F">
            <w:pPr>
              <w:rPr>
                <w:rFonts w:ascii="宋体"/>
                <w:vanish/>
              </w:rPr>
            </w:pPr>
          </w:p>
        </w:tc>
      </w:tr>
      <w:tr w:rsidR="00980E5F" w14:paraId="392CA0B2" w14:textId="77777777">
        <w:trPr>
          <w:hidden/>
        </w:trPr>
        <w:tc>
          <w:tcPr>
            <w:tcW w:w="0" w:type="auto"/>
            <w:gridSpan w:val="3"/>
            <w:shd w:val="clear" w:color="auto" w:fill="auto"/>
            <w:vAlign w:val="bottom"/>
          </w:tcPr>
          <w:p w14:paraId="392CA0A6" w14:textId="77777777" w:rsidR="00980E5F" w:rsidRDefault="00980E5F">
            <w:pPr>
              <w:rPr>
                <w:rFonts w:ascii="宋体"/>
                <w:vanish/>
              </w:rPr>
            </w:pPr>
          </w:p>
        </w:tc>
        <w:tc>
          <w:tcPr>
            <w:tcW w:w="0" w:type="auto"/>
            <w:gridSpan w:val="3"/>
            <w:shd w:val="clear" w:color="auto" w:fill="auto"/>
            <w:vAlign w:val="bottom"/>
          </w:tcPr>
          <w:p w14:paraId="392CA0A7" w14:textId="77777777" w:rsidR="00980E5F" w:rsidRDefault="00980E5F">
            <w:pPr>
              <w:rPr>
                <w:rFonts w:ascii="宋体"/>
                <w:vanish/>
              </w:rPr>
            </w:pPr>
          </w:p>
        </w:tc>
        <w:tc>
          <w:tcPr>
            <w:tcW w:w="0" w:type="auto"/>
            <w:gridSpan w:val="3"/>
            <w:shd w:val="clear" w:color="auto" w:fill="auto"/>
            <w:vAlign w:val="bottom"/>
          </w:tcPr>
          <w:p w14:paraId="392CA0A8" w14:textId="77777777" w:rsidR="00980E5F" w:rsidRDefault="00980E5F">
            <w:pPr>
              <w:rPr>
                <w:rFonts w:ascii="宋体"/>
                <w:vanish/>
              </w:rPr>
            </w:pPr>
          </w:p>
        </w:tc>
        <w:tc>
          <w:tcPr>
            <w:tcW w:w="0" w:type="auto"/>
            <w:gridSpan w:val="3"/>
            <w:shd w:val="clear" w:color="auto" w:fill="auto"/>
            <w:vAlign w:val="bottom"/>
          </w:tcPr>
          <w:p w14:paraId="392CA0A9" w14:textId="77777777" w:rsidR="00980E5F" w:rsidRDefault="00980E5F">
            <w:pPr>
              <w:rPr>
                <w:rFonts w:ascii="宋体"/>
                <w:vanish/>
              </w:rPr>
            </w:pPr>
          </w:p>
        </w:tc>
        <w:tc>
          <w:tcPr>
            <w:tcW w:w="0" w:type="auto"/>
            <w:gridSpan w:val="3"/>
            <w:shd w:val="clear" w:color="auto" w:fill="auto"/>
            <w:vAlign w:val="bottom"/>
          </w:tcPr>
          <w:p w14:paraId="392CA0AA" w14:textId="77777777" w:rsidR="00980E5F" w:rsidRDefault="00980E5F">
            <w:pPr>
              <w:rPr>
                <w:rFonts w:ascii="宋体"/>
                <w:vanish/>
              </w:rPr>
            </w:pPr>
          </w:p>
        </w:tc>
        <w:tc>
          <w:tcPr>
            <w:tcW w:w="0" w:type="auto"/>
            <w:shd w:val="clear" w:color="auto" w:fill="auto"/>
            <w:vAlign w:val="bottom"/>
          </w:tcPr>
          <w:p w14:paraId="392CA0AB" w14:textId="77777777" w:rsidR="00980E5F" w:rsidRDefault="00980E5F">
            <w:pPr>
              <w:rPr>
                <w:rFonts w:ascii="宋体"/>
                <w:vanish/>
              </w:rPr>
            </w:pPr>
          </w:p>
        </w:tc>
        <w:tc>
          <w:tcPr>
            <w:tcW w:w="0" w:type="auto"/>
            <w:shd w:val="clear" w:color="auto" w:fill="auto"/>
            <w:vAlign w:val="bottom"/>
          </w:tcPr>
          <w:p w14:paraId="392CA0AC" w14:textId="77777777" w:rsidR="00980E5F" w:rsidRDefault="00980E5F">
            <w:pPr>
              <w:rPr>
                <w:rFonts w:ascii="宋体"/>
                <w:vanish/>
              </w:rPr>
            </w:pPr>
          </w:p>
        </w:tc>
        <w:tc>
          <w:tcPr>
            <w:tcW w:w="0" w:type="auto"/>
            <w:shd w:val="clear" w:color="auto" w:fill="auto"/>
            <w:vAlign w:val="bottom"/>
          </w:tcPr>
          <w:p w14:paraId="392CA0AD" w14:textId="77777777" w:rsidR="00980E5F" w:rsidRDefault="00980E5F">
            <w:pPr>
              <w:rPr>
                <w:rFonts w:ascii="宋体"/>
                <w:vanish/>
              </w:rPr>
            </w:pPr>
          </w:p>
        </w:tc>
        <w:tc>
          <w:tcPr>
            <w:tcW w:w="0" w:type="auto"/>
            <w:shd w:val="clear" w:color="auto" w:fill="auto"/>
            <w:vAlign w:val="bottom"/>
          </w:tcPr>
          <w:p w14:paraId="392CA0AE" w14:textId="77777777" w:rsidR="00980E5F" w:rsidRDefault="00980E5F">
            <w:pPr>
              <w:rPr>
                <w:rFonts w:ascii="宋体"/>
                <w:vanish/>
              </w:rPr>
            </w:pPr>
          </w:p>
        </w:tc>
        <w:tc>
          <w:tcPr>
            <w:tcW w:w="0" w:type="auto"/>
            <w:gridSpan w:val="3"/>
            <w:shd w:val="clear" w:color="auto" w:fill="auto"/>
            <w:vAlign w:val="bottom"/>
          </w:tcPr>
          <w:p w14:paraId="392CA0AF" w14:textId="77777777" w:rsidR="00980E5F" w:rsidRDefault="00980E5F">
            <w:pPr>
              <w:rPr>
                <w:rFonts w:ascii="宋体"/>
                <w:vanish/>
              </w:rPr>
            </w:pPr>
          </w:p>
        </w:tc>
        <w:tc>
          <w:tcPr>
            <w:tcW w:w="0" w:type="auto"/>
            <w:gridSpan w:val="3"/>
            <w:shd w:val="clear" w:color="auto" w:fill="auto"/>
            <w:vAlign w:val="bottom"/>
          </w:tcPr>
          <w:p w14:paraId="392CA0B0" w14:textId="77777777" w:rsidR="00980E5F" w:rsidRDefault="00980E5F">
            <w:pPr>
              <w:rPr>
                <w:rFonts w:ascii="宋体"/>
                <w:vanish/>
              </w:rPr>
            </w:pPr>
          </w:p>
        </w:tc>
        <w:tc>
          <w:tcPr>
            <w:tcW w:w="0" w:type="auto"/>
            <w:gridSpan w:val="3"/>
            <w:shd w:val="clear" w:color="auto" w:fill="auto"/>
            <w:vAlign w:val="bottom"/>
          </w:tcPr>
          <w:p w14:paraId="392CA0B1" w14:textId="77777777" w:rsidR="00980E5F" w:rsidRDefault="00980E5F">
            <w:pPr>
              <w:rPr>
                <w:rFonts w:ascii="宋体"/>
                <w:vanish/>
              </w:rPr>
            </w:pPr>
          </w:p>
        </w:tc>
      </w:tr>
      <w:tr w:rsidR="00980E5F" w14:paraId="392CA0C7" w14:textId="77777777">
        <w:tc>
          <w:tcPr>
            <w:tcW w:w="0" w:type="auto"/>
            <w:gridSpan w:val="3"/>
            <w:shd w:val="clear" w:color="auto" w:fill="FFFFFF"/>
            <w:tcMar>
              <w:top w:w="40" w:type="dxa"/>
              <w:left w:w="20" w:type="dxa"/>
              <w:bottom w:w="40" w:type="dxa"/>
              <w:right w:w="20" w:type="dxa"/>
            </w:tcMar>
            <w:vAlign w:val="bottom"/>
          </w:tcPr>
          <w:p w14:paraId="392CA0B3" w14:textId="77777777" w:rsidR="00980E5F" w:rsidRDefault="00483613">
            <w:pPr>
              <w:textAlignment w:val="bottom"/>
            </w:pPr>
            <w:r>
              <w:rPr>
                <w:rFonts w:ascii="Arial" w:eastAsia="宋体" w:hAnsi="Arial" w:cs="Arial"/>
                <w:b/>
                <w:bCs/>
                <w:color w:val="000000"/>
                <w:sz w:val="14"/>
                <w:szCs w:val="14"/>
              </w:rPr>
              <w:t>Accrual Balance at December 31, 2021</w:t>
            </w:r>
          </w:p>
        </w:tc>
        <w:tc>
          <w:tcPr>
            <w:tcW w:w="0" w:type="auto"/>
            <w:tcBorders>
              <w:top w:val="double" w:sz="6" w:space="0" w:color="000000"/>
            </w:tcBorders>
            <w:shd w:val="clear" w:color="auto" w:fill="FFFFFF"/>
            <w:tcMar>
              <w:top w:w="40" w:type="dxa"/>
              <w:left w:w="20" w:type="dxa"/>
              <w:bottom w:w="40" w:type="dxa"/>
              <w:right w:w="0" w:type="dxa"/>
            </w:tcMar>
            <w:vAlign w:val="bottom"/>
          </w:tcPr>
          <w:p w14:paraId="392CA0B4" w14:textId="77777777" w:rsidR="00980E5F" w:rsidRDefault="00483613">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A0B5" w14:textId="77777777" w:rsidR="00980E5F" w:rsidRDefault="00483613">
            <w:pPr>
              <w:jc w:val="right"/>
              <w:textAlignment w:val="bottom"/>
            </w:pPr>
            <w:r>
              <w:rPr>
                <w:rFonts w:ascii="Arial" w:eastAsia="宋体" w:hAnsi="Arial" w:cs="Arial"/>
                <w:color w:val="000000"/>
                <w:sz w:val="14"/>
                <w:szCs w:val="14"/>
              </w:rPr>
              <w:t>68 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0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B7"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A0B8" w14:textId="77777777" w:rsidR="00980E5F" w:rsidRDefault="00483613">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A0B9" w14:textId="77777777" w:rsidR="00980E5F" w:rsidRDefault="00483613">
            <w:pPr>
              <w:jc w:val="right"/>
              <w:textAlignment w:val="bottom"/>
            </w:pPr>
            <w:r>
              <w:rPr>
                <w:rFonts w:ascii="Arial" w:eastAsia="宋体" w:hAnsi="Arial" w:cs="Arial"/>
                <w:color w:val="000000"/>
                <w:sz w:val="14"/>
                <w:szCs w:val="14"/>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0B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BB" w14:textId="77777777" w:rsidR="00980E5F" w:rsidRDefault="00980E5F">
            <w:pPr>
              <w:rPr>
                <w:rFonts w:ascii="宋体"/>
              </w:rPr>
            </w:pPr>
          </w:p>
        </w:tc>
        <w:tc>
          <w:tcPr>
            <w:tcW w:w="0" w:type="auto"/>
            <w:shd w:val="clear" w:color="auto" w:fill="auto"/>
            <w:vAlign w:val="bottom"/>
          </w:tcPr>
          <w:p w14:paraId="392CA0BC" w14:textId="77777777" w:rsidR="00980E5F" w:rsidRDefault="00980E5F">
            <w:pPr>
              <w:rPr>
                <w:rFonts w:ascii="宋体"/>
                <w:vanish/>
              </w:rPr>
            </w:pPr>
          </w:p>
        </w:tc>
        <w:tc>
          <w:tcPr>
            <w:tcW w:w="0" w:type="auto"/>
            <w:shd w:val="clear" w:color="auto" w:fill="auto"/>
            <w:vAlign w:val="bottom"/>
          </w:tcPr>
          <w:p w14:paraId="392CA0BD" w14:textId="77777777" w:rsidR="00980E5F" w:rsidRDefault="00980E5F">
            <w:pPr>
              <w:rPr>
                <w:rFonts w:ascii="宋体"/>
                <w:vanish/>
              </w:rPr>
            </w:pPr>
          </w:p>
        </w:tc>
        <w:tc>
          <w:tcPr>
            <w:tcW w:w="0" w:type="auto"/>
            <w:shd w:val="clear" w:color="auto" w:fill="auto"/>
            <w:vAlign w:val="bottom"/>
          </w:tcPr>
          <w:p w14:paraId="392CA0BE" w14:textId="77777777" w:rsidR="00980E5F" w:rsidRDefault="00980E5F">
            <w:pPr>
              <w:rPr>
                <w:rFonts w:ascii="宋体"/>
                <w:vanish/>
              </w:rPr>
            </w:pPr>
          </w:p>
        </w:tc>
        <w:tc>
          <w:tcPr>
            <w:tcW w:w="0" w:type="auto"/>
            <w:shd w:val="clear" w:color="auto" w:fill="auto"/>
            <w:vAlign w:val="bottom"/>
          </w:tcPr>
          <w:p w14:paraId="392CA0BF" w14:textId="77777777" w:rsidR="00980E5F" w:rsidRDefault="00980E5F">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A0C0" w14:textId="77777777" w:rsidR="00980E5F" w:rsidRDefault="00483613">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A0C1"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0C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C3"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A0C4" w14:textId="77777777" w:rsidR="00980E5F" w:rsidRDefault="00483613">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392CA0C5" w14:textId="77777777" w:rsidR="00980E5F" w:rsidRDefault="00483613">
            <w:pPr>
              <w:jc w:val="right"/>
              <w:textAlignment w:val="bottom"/>
            </w:pPr>
            <w:r>
              <w:rPr>
                <w:rFonts w:ascii="Arial" w:eastAsia="宋体" w:hAnsi="Arial" w:cs="Arial"/>
                <w:color w:val="000000"/>
                <w:sz w:val="14"/>
                <w:szCs w:val="14"/>
              </w:rPr>
              <w:t>74 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0C6" w14:textId="77777777" w:rsidR="00980E5F" w:rsidRDefault="00980E5F">
            <w:pPr>
              <w:jc w:val="right"/>
              <w:rPr>
                <w:rFonts w:ascii="宋体"/>
              </w:rPr>
            </w:pPr>
          </w:p>
        </w:tc>
      </w:tr>
      <w:tr w:rsidR="00980E5F" w14:paraId="392CA0D4" w14:textId="77777777">
        <w:trPr>
          <w:hidden/>
        </w:trPr>
        <w:tc>
          <w:tcPr>
            <w:tcW w:w="0" w:type="auto"/>
            <w:gridSpan w:val="3"/>
            <w:shd w:val="clear" w:color="auto" w:fill="auto"/>
            <w:vAlign w:val="bottom"/>
          </w:tcPr>
          <w:p w14:paraId="392CA0C8" w14:textId="77777777" w:rsidR="00980E5F" w:rsidRDefault="00980E5F">
            <w:pPr>
              <w:rPr>
                <w:rFonts w:ascii="宋体"/>
                <w:vanish/>
              </w:rPr>
            </w:pPr>
          </w:p>
        </w:tc>
        <w:tc>
          <w:tcPr>
            <w:tcW w:w="0" w:type="auto"/>
            <w:gridSpan w:val="3"/>
            <w:shd w:val="clear" w:color="auto" w:fill="auto"/>
            <w:vAlign w:val="bottom"/>
          </w:tcPr>
          <w:p w14:paraId="392CA0C9" w14:textId="77777777" w:rsidR="00980E5F" w:rsidRDefault="00980E5F">
            <w:pPr>
              <w:rPr>
                <w:rFonts w:ascii="宋体"/>
                <w:vanish/>
              </w:rPr>
            </w:pPr>
          </w:p>
        </w:tc>
        <w:tc>
          <w:tcPr>
            <w:tcW w:w="0" w:type="auto"/>
            <w:gridSpan w:val="3"/>
            <w:shd w:val="clear" w:color="auto" w:fill="auto"/>
            <w:vAlign w:val="bottom"/>
          </w:tcPr>
          <w:p w14:paraId="392CA0CA" w14:textId="77777777" w:rsidR="00980E5F" w:rsidRDefault="00980E5F">
            <w:pPr>
              <w:rPr>
                <w:rFonts w:ascii="宋体"/>
                <w:vanish/>
              </w:rPr>
            </w:pPr>
          </w:p>
        </w:tc>
        <w:tc>
          <w:tcPr>
            <w:tcW w:w="0" w:type="auto"/>
            <w:gridSpan w:val="3"/>
            <w:shd w:val="clear" w:color="auto" w:fill="auto"/>
            <w:vAlign w:val="bottom"/>
          </w:tcPr>
          <w:p w14:paraId="392CA0CB" w14:textId="77777777" w:rsidR="00980E5F" w:rsidRDefault="00980E5F">
            <w:pPr>
              <w:rPr>
                <w:rFonts w:ascii="宋体"/>
                <w:vanish/>
              </w:rPr>
            </w:pPr>
          </w:p>
        </w:tc>
        <w:tc>
          <w:tcPr>
            <w:tcW w:w="0" w:type="auto"/>
            <w:gridSpan w:val="3"/>
            <w:shd w:val="clear" w:color="auto" w:fill="auto"/>
            <w:vAlign w:val="bottom"/>
          </w:tcPr>
          <w:p w14:paraId="392CA0CC" w14:textId="77777777" w:rsidR="00980E5F" w:rsidRDefault="00980E5F">
            <w:pPr>
              <w:rPr>
                <w:rFonts w:ascii="宋体"/>
                <w:vanish/>
              </w:rPr>
            </w:pPr>
          </w:p>
        </w:tc>
        <w:tc>
          <w:tcPr>
            <w:tcW w:w="0" w:type="auto"/>
            <w:shd w:val="clear" w:color="auto" w:fill="auto"/>
            <w:vAlign w:val="bottom"/>
          </w:tcPr>
          <w:p w14:paraId="392CA0CD" w14:textId="77777777" w:rsidR="00980E5F" w:rsidRDefault="00980E5F">
            <w:pPr>
              <w:rPr>
                <w:rFonts w:ascii="宋体"/>
                <w:vanish/>
              </w:rPr>
            </w:pPr>
          </w:p>
        </w:tc>
        <w:tc>
          <w:tcPr>
            <w:tcW w:w="0" w:type="auto"/>
            <w:shd w:val="clear" w:color="auto" w:fill="auto"/>
            <w:vAlign w:val="bottom"/>
          </w:tcPr>
          <w:p w14:paraId="392CA0CE" w14:textId="77777777" w:rsidR="00980E5F" w:rsidRDefault="00980E5F">
            <w:pPr>
              <w:rPr>
                <w:rFonts w:ascii="宋体"/>
                <w:vanish/>
              </w:rPr>
            </w:pPr>
          </w:p>
        </w:tc>
        <w:tc>
          <w:tcPr>
            <w:tcW w:w="0" w:type="auto"/>
            <w:shd w:val="clear" w:color="auto" w:fill="auto"/>
            <w:vAlign w:val="bottom"/>
          </w:tcPr>
          <w:p w14:paraId="392CA0CF" w14:textId="77777777" w:rsidR="00980E5F" w:rsidRDefault="00980E5F">
            <w:pPr>
              <w:rPr>
                <w:rFonts w:ascii="宋体"/>
                <w:vanish/>
              </w:rPr>
            </w:pPr>
          </w:p>
        </w:tc>
        <w:tc>
          <w:tcPr>
            <w:tcW w:w="0" w:type="auto"/>
            <w:shd w:val="clear" w:color="auto" w:fill="auto"/>
            <w:vAlign w:val="bottom"/>
          </w:tcPr>
          <w:p w14:paraId="392CA0D0" w14:textId="77777777" w:rsidR="00980E5F" w:rsidRDefault="00980E5F">
            <w:pPr>
              <w:rPr>
                <w:rFonts w:ascii="宋体"/>
                <w:vanish/>
              </w:rPr>
            </w:pPr>
          </w:p>
        </w:tc>
        <w:tc>
          <w:tcPr>
            <w:tcW w:w="0" w:type="auto"/>
            <w:gridSpan w:val="3"/>
            <w:shd w:val="clear" w:color="auto" w:fill="auto"/>
            <w:vAlign w:val="bottom"/>
          </w:tcPr>
          <w:p w14:paraId="392CA0D1" w14:textId="77777777" w:rsidR="00980E5F" w:rsidRDefault="00980E5F">
            <w:pPr>
              <w:rPr>
                <w:rFonts w:ascii="宋体"/>
                <w:vanish/>
              </w:rPr>
            </w:pPr>
          </w:p>
        </w:tc>
        <w:tc>
          <w:tcPr>
            <w:tcW w:w="0" w:type="auto"/>
            <w:gridSpan w:val="3"/>
            <w:shd w:val="clear" w:color="auto" w:fill="auto"/>
            <w:vAlign w:val="bottom"/>
          </w:tcPr>
          <w:p w14:paraId="392CA0D2" w14:textId="77777777" w:rsidR="00980E5F" w:rsidRDefault="00980E5F">
            <w:pPr>
              <w:rPr>
                <w:rFonts w:ascii="宋体"/>
                <w:vanish/>
              </w:rPr>
            </w:pPr>
          </w:p>
        </w:tc>
        <w:tc>
          <w:tcPr>
            <w:tcW w:w="0" w:type="auto"/>
            <w:gridSpan w:val="3"/>
            <w:shd w:val="clear" w:color="auto" w:fill="auto"/>
            <w:vAlign w:val="bottom"/>
          </w:tcPr>
          <w:p w14:paraId="392CA0D3" w14:textId="77777777" w:rsidR="00980E5F" w:rsidRDefault="00980E5F">
            <w:pPr>
              <w:rPr>
                <w:rFonts w:ascii="宋体"/>
                <w:vanish/>
              </w:rPr>
            </w:pPr>
          </w:p>
        </w:tc>
      </w:tr>
      <w:tr w:rsidR="00980E5F" w14:paraId="392CA0E1" w14:textId="77777777">
        <w:trPr>
          <w:hidden/>
        </w:trPr>
        <w:tc>
          <w:tcPr>
            <w:tcW w:w="0" w:type="auto"/>
            <w:gridSpan w:val="3"/>
            <w:shd w:val="clear" w:color="auto" w:fill="auto"/>
            <w:vAlign w:val="bottom"/>
          </w:tcPr>
          <w:p w14:paraId="392CA0D5" w14:textId="77777777" w:rsidR="00980E5F" w:rsidRDefault="00980E5F">
            <w:pPr>
              <w:rPr>
                <w:rFonts w:ascii="宋体"/>
                <w:vanish/>
              </w:rPr>
            </w:pPr>
          </w:p>
        </w:tc>
        <w:tc>
          <w:tcPr>
            <w:tcW w:w="0" w:type="auto"/>
            <w:gridSpan w:val="3"/>
            <w:shd w:val="clear" w:color="auto" w:fill="auto"/>
            <w:vAlign w:val="bottom"/>
          </w:tcPr>
          <w:p w14:paraId="392CA0D6" w14:textId="77777777" w:rsidR="00980E5F" w:rsidRDefault="00980E5F">
            <w:pPr>
              <w:rPr>
                <w:rFonts w:ascii="宋体"/>
                <w:vanish/>
              </w:rPr>
            </w:pPr>
          </w:p>
        </w:tc>
        <w:tc>
          <w:tcPr>
            <w:tcW w:w="0" w:type="auto"/>
            <w:gridSpan w:val="3"/>
            <w:shd w:val="clear" w:color="auto" w:fill="auto"/>
            <w:vAlign w:val="bottom"/>
          </w:tcPr>
          <w:p w14:paraId="392CA0D7" w14:textId="77777777" w:rsidR="00980E5F" w:rsidRDefault="00980E5F">
            <w:pPr>
              <w:rPr>
                <w:rFonts w:ascii="宋体"/>
                <w:vanish/>
              </w:rPr>
            </w:pPr>
          </w:p>
        </w:tc>
        <w:tc>
          <w:tcPr>
            <w:tcW w:w="0" w:type="auto"/>
            <w:gridSpan w:val="3"/>
            <w:shd w:val="clear" w:color="auto" w:fill="auto"/>
            <w:vAlign w:val="bottom"/>
          </w:tcPr>
          <w:p w14:paraId="392CA0D8" w14:textId="77777777" w:rsidR="00980E5F" w:rsidRDefault="00980E5F">
            <w:pPr>
              <w:rPr>
                <w:rFonts w:ascii="宋体"/>
                <w:vanish/>
              </w:rPr>
            </w:pPr>
          </w:p>
        </w:tc>
        <w:tc>
          <w:tcPr>
            <w:tcW w:w="0" w:type="auto"/>
            <w:gridSpan w:val="3"/>
            <w:shd w:val="clear" w:color="auto" w:fill="auto"/>
            <w:vAlign w:val="bottom"/>
          </w:tcPr>
          <w:p w14:paraId="392CA0D9" w14:textId="77777777" w:rsidR="00980E5F" w:rsidRDefault="00980E5F">
            <w:pPr>
              <w:rPr>
                <w:rFonts w:ascii="宋体"/>
                <w:vanish/>
              </w:rPr>
            </w:pPr>
          </w:p>
        </w:tc>
        <w:tc>
          <w:tcPr>
            <w:tcW w:w="0" w:type="auto"/>
            <w:shd w:val="clear" w:color="auto" w:fill="auto"/>
            <w:vAlign w:val="bottom"/>
          </w:tcPr>
          <w:p w14:paraId="392CA0DA" w14:textId="77777777" w:rsidR="00980E5F" w:rsidRDefault="00980E5F">
            <w:pPr>
              <w:rPr>
                <w:rFonts w:ascii="宋体"/>
                <w:vanish/>
              </w:rPr>
            </w:pPr>
          </w:p>
        </w:tc>
        <w:tc>
          <w:tcPr>
            <w:tcW w:w="0" w:type="auto"/>
            <w:shd w:val="clear" w:color="auto" w:fill="auto"/>
            <w:vAlign w:val="bottom"/>
          </w:tcPr>
          <w:p w14:paraId="392CA0DB" w14:textId="77777777" w:rsidR="00980E5F" w:rsidRDefault="00980E5F">
            <w:pPr>
              <w:rPr>
                <w:rFonts w:ascii="宋体"/>
                <w:vanish/>
              </w:rPr>
            </w:pPr>
          </w:p>
        </w:tc>
        <w:tc>
          <w:tcPr>
            <w:tcW w:w="0" w:type="auto"/>
            <w:shd w:val="clear" w:color="auto" w:fill="auto"/>
            <w:vAlign w:val="bottom"/>
          </w:tcPr>
          <w:p w14:paraId="392CA0DC" w14:textId="77777777" w:rsidR="00980E5F" w:rsidRDefault="00980E5F">
            <w:pPr>
              <w:rPr>
                <w:rFonts w:ascii="宋体"/>
                <w:vanish/>
              </w:rPr>
            </w:pPr>
          </w:p>
        </w:tc>
        <w:tc>
          <w:tcPr>
            <w:tcW w:w="0" w:type="auto"/>
            <w:shd w:val="clear" w:color="auto" w:fill="auto"/>
            <w:vAlign w:val="bottom"/>
          </w:tcPr>
          <w:p w14:paraId="392CA0DD" w14:textId="77777777" w:rsidR="00980E5F" w:rsidRDefault="00980E5F">
            <w:pPr>
              <w:rPr>
                <w:rFonts w:ascii="宋体"/>
                <w:vanish/>
              </w:rPr>
            </w:pPr>
          </w:p>
        </w:tc>
        <w:tc>
          <w:tcPr>
            <w:tcW w:w="0" w:type="auto"/>
            <w:gridSpan w:val="3"/>
            <w:shd w:val="clear" w:color="auto" w:fill="auto"/>
            <w:vAlign w:val="bottom"/>
          </w:tcPr>
          <w:p w14:paraId="392CA0DE" w14:textId="77777777" w:rsidR="00980E5F" w:rsidRDefault="00980E5F">
            <w:pPr>
              <w:rPr>
                <w:rFonts w:ascii="宋体"/>
                <w:vanish/>
              </w:rPr>
            </w:pPr>
          </w:p>
        </w:tc>
        <w:tc>
          <w:tcPr>
            <w:tcW w:w="0" w:type="auto"/>
            <w:gridSpan w:val="3"/>
            <w:shd w:val="clear" w:color="auto" w:fill="auto"/>
            <w:vAlign w:val="bottom"/>
          </w:tcPr>
          <w:p w14:paraId="392CA0DF" w14:textId="77777777" w:rsidR="00980E5F" w:rsidRDefault="00980E5F">
            <w:pPr>
              <w:rPr>
                <w:rFonts w:ascii="宋体"/>
                <w:vanish/>
              </w:rPr>
            </w:pPr>
          </w:p>
        </w:tc>
        <w:tc>
          <w:tcPr>
            <w:tcW w:w="0" w:type="auto"/>
            <w:gridSpan w:val="3"/>
            <w:shd w:val="clear" w:color="auto" w:fill="auto"/>
            <w:vAlign w:val="bottom"/>
          </w:tcPr>
          <w:p w14:paraId="392CA0E0" w14:textId="77777777" w:rsidR="00980E5F" w:rsidRDefault="00980E5F">
            <w:pPr>
              <w:rPr>
                <w:rFonts w:ascii="宋体"/>
                <w:vanish/>
              </w:rPr>
            </w:pPr>
          </w:p>
        </w:tc>
      </w:tr>
      <w:tr w:rsidR="00980E5F" w14:paraId="392CA0F2" w14:textId="77777777">
        <w:tc>
          <w:tcPr>
            <w:tcW w:w="0" w:type="auto"/>
            <w:gridSpan w:val="3"/>
            <w:shd w:val="clear" w:color="auto" w:fill="CCEEFF"/>
            <w:tcMar>
              <w:top w:w="40" w:type="dxa"/>
              <w:left w:w="20" w:type="dxa"/>
              <w:bottom w:w="40" w:type="dxa"/>
              <w:right w:w="20" w:type="dxa"/>
            </w:tcMar>
            <w:vAlign w:val="bottom"/>
          </w:tcPr>
          <w:p w14:paraId="392CA0E2"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392CA0E3" w14:textId="77777777" w:rsidR="00980E5F" w:rsidRDefault="00483613">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392CA0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E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0E6"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392CA0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E8" w14:textId="77777777" w:rsidR="00980E5F" w:rsidRDefault="00980E5F">
            <w:pPr>
              <w:rPr>
                <w:rFonts w:ascii="宋体"/>
              </w:rPr>
            </w:pPr>
          </w:p>
        </w:tc>
        <w:tc>
          <w:tcPr>
            <w:tcW w:w="0" w:type="auto"/>
            <w:shd w:val="clear" w:color="auto" w:fill="auto"/>
            <w:vAlign w:val="bottom"/>
          </w:tcPr>
          <w:p w14:paraId="392CA0E9" w14:textId="77777777" w:rsidR="00980E5F" w:rsidRDefault="00980E5F">
            <w:pPr>
              <w:rPr>
                <w:rFonts w:ascii="宋体"/>
                <w:vanish/>
              </w:rPr>
            </w:pPr>
          </w:p>
        </w:tc>
        <w:tc>
          <w:tcPr>
            <w:tcW w:w="0" w:type="auto"/>
            <w:shd w:val="clear" w:color="auto" w:fill="auto"/>
            <w:vAlign w:val="bottom"/>
          </w:tcPr>
          <w:p w14:paraId="392CA0EA" w14:textId="77777777" w:rsidR="00980E5F" w:rsidRDefault="00980E5F">
            <w:pPr>
              <w:rPr>
                <w:rFonts w:ascii="宋体"/>
                <w:vanish/>
              </w:rPr>
            </w:pPr>
          </w:p>
        </w:tc>
        <w:tc>
          <w:tcPr>
            <w:tcW w:w="0" w:type="auto"/>
            <w:shd w:val="clear" w:color="auto" w:fill="auto"/>
            <w:vAlign w:val="bottom"/>
          </w:tcPr>
          <w:p w14:paraId="392CA0EB" w14:textId="77777777" w:rsidR="00980E5F" w:rsidRDefault="00980E5F">
            <w:pPr>
              <w:rPr>
                <w:rFonts w:ascii="宋体"/>
                <w:vanish/>
              </w:rPr>
            </w:pPr>
          </w:p>
        </w:tc>
        <w:tc>
          <w:tcPr>
            <w:tcW w:w="0" w:type="auto"/>
            <w:shd w:val="clear" w:color="auto" w:fill="auto"/>
            <w:vAlign w:val="bottom"/>
          </w:tcPr>
          <w:p w14:paraId="392CA0EC"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0E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0E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0E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0F0" w14:textId="77777777" w:rsidR="00980E5F" w:rsidRDefault="00483613">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392CA0F1" w14:textId="77777777" w:rsidR="00980E5F" w:rsidRDefault="00980E5F">
            <w:pPr>
              <w:jc w:val="right"/>
              <w:rPr>
                <w:rFonts w:ascii="宋体"/>
              </w:rPr>
            </w:pPr>
          </w:p>
        </w:tc>
      </w:tr>
      <w:tr w:rsidR="00980E5F" w14:paraId="392CA104" w14:textId="77777777">
        <w:tc>
          <w:tcPr>
            <w:tcW w:w="0" w:type="auto"/>
            <w:gridSpan w:val="3"/>
            <w:shd w:val="clear" w:color="auto" w:fill="FFFFFF"/>
            <w:tcMar>
              <w:top w:w="40" w:type="dxa"/>
              <w:left w:w="20" w:type="dxa"/>
              <w:bottom w:w="40" w:type="dxa"/>
              <w:right w:w="20" w:type="dxa"/>
            </w:tcMar>
            <w:vAlign w:val="bottom"/>
          </w:tcPr>
          <w:p w14:paraId="392CA0F3" w14:textId="77777777" w:rsidR="00980E5F" w:rsidRDefault="00483613">
            <w:pPr>
              <w:textAlignment w:val="bottom"/>
            </w:pPr>
            <w:r>
              <w:rPr>
                <w:rFonts w:ascii="Arial" w:eastAsia="宋体" w:hAnsi="Arial" w:cs="Arial"/>
                <w:b/>
                <w:bCs/>
                <w:color w:val="000000"/>
                <w:sz w:val="14"/>
                <w:szCs w:val="14"/>
              </w:rPr>
              <w:t>Accrual Balance at March 31,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0F4" w14:textId="77777777" w:rsidR="00980E5F" w:rsidRDefault="00483613">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0F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F6"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0F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0F8" w14:textId="77777777" w:rsidR="00980E5F" w:rsidRDefault="00483613">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0F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0FA" w14:textId="77777777" w:rsidR="00980E5F" w:rsidRDefault="00980E5F">
            <w:pPr>
              <w:rPr>
                <w:rFonts w:ascii="宋体"/>
              </w:rPr>
            </w:pPr>
          </w:p>
        </w:tc>
        <w:tc>
          <w:tcPr>
            <w:tcW w:w="0" w:type="auto"/>
            <w:shd w:val="clear" w:color="auto" w:fill="auto"/>
            <w:vAlign w:val="bottom"/>
          </w:tcPr>
          <w:p w14:paraId="392CA0FB" w14:textId="77777777" w:rsidR="00980E5F" w:rsidRDefault="00980E5F">
            <w:pPr>
              <w:rPr>
                <w:rFonts w:ascii="宋体"/>
                <w:vanish/>
              </w:rPr>
            </w:pPr>
          </w:p>
        </w:tc>
        <w:tc>
          <w:tcPr>
            <w:tcW w:w="0" w:type="auto"/>
            <w:shd w:val="clear" w:color="auto" w:fill="auto"/>
            <w:vAlign w:val="bottom"/>
          </w:tcPr>
          <w:p w14:paraId="392CA0FC" w14:textId="77777777" w:rsidR="00980E5F" w:rsidRDefault="00980E5F">
            <w:pPr>
              <w:rPr>
                <w:rFonts w:ascii="宋体"/>
                <w:vanish/>
              </w:rPr>
            </w:pPr>
          </w:p>
        </w:tc>
        <w:tc>
          <w:tcPr>
            <w:tcW w:w="0" w:type="auto"/>
            <w:shd w:val="clear" w:color="auto" w:fill="auto"/>
            <w:vAlign w:val="bottom"/>
          </w:tcPr>
          <w:p w14:paraId="392CA0FD" w14:textId="77777777" w:rsidR="00980E5F" w:rsidRDefault="00980E5F">
            <w:pPr>
              <w:rPr>
                <w:rFonts w:ascii="宋体"/>
                <w:vanish/>
              </w:rPr>
            </w:pPr>
          </w:p>
        </w:tc>
        <w:tc>
          <w:tcPr>
            <w:tcW w:w="0" w:type="auto"/>
            <w:shd w:val="clear" w:color="auto" w:fill="auto"/>
            <w:vAlign w:val="bottom"/>
          </w:tcPr>
          <w:p w14:paraId="392CA0FE"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0FF"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10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01"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102" w14:textId="77777777" w:rsidR="00980E5F" w:rsidRDefault="00483613">
            <w:pPr>
              <w:jc w:val="right"/>
              <w:textAlignment w:val="bottom"/>
            </w:pPr>
            <w:r>
              <w:rPr>
                <w:rFonts w:ascii="Arial" w:eastAsia="宋体" w:hAnsi="Arial" w:cs="Arial"/>
                <w:color w:val="000000"/>
                <w:sz w:val="14"/>
                <w:szCs w:val="14"/>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103" w14:textId="77777777" w:rsidR="00980E5F" w:rsidRDefault="00980E5F">
            <w:pPr>
              <w:jc w:val="right"/>
              <w:rPr>
                <w:rFonts w:ascii="宋体"/>
              </w:rPr>
            </w:pPr>
          </w:p>
        </w:tc>
      </w:tr>
      <w:tr w:rsidR="00980E5F" w14:paraId="392CA111" w14:textId="77777777">
        <w:trPr>
          <w:hidden/>
        </w:trPr>
        <w:tc>
          <w:tcPr>
            <w:tcW w:w="0" w:type="auto"/>
            <w:gridSpan w:val="3"/>
            <w:shd w:val="clear" w:color="auto" w:fill="auto"/>
            <w:vAlign w:val="bottom"/>
          </w:tcPr>
          <w:p w14:paraId="392CA105" w14:textId="77777777" w:rsidR="00980E5F" w:rsidRDefault="00980E5F">
            <w:pPr>
              <w:rPr>
                <w:rFonts w:ascii="宋体"/>
                <w:vanish/>
              </w:rPr>
            </w:pPr>
          </w:p>
        </w:tc>
        <w:tc>
          <w:tcPr>
            <w:tcW w:w="0" w:type="auto"/>
            <w:gridSpan w:val="3"/>
            <w:shd w:val="clear" w:color="auto" w:fill="auto"/>
            <w:vAlign w:val="bottom"/>
          </w:tcPr>
          <w:p w14:paraId="392CA106" w14:textId="77777777" w:rsidR="00980E5F" w:rsidRDefault="00980E5F">
            <w:pPr>
              <w:rPr>
                <w:rFonts w:ascii="宋体"/>
                <w:vanish/>
              </w:rPr>
            </w:pPr>
          </w:p>
        </w:tc>
        <w:tc>
          <w:tcPr>
            <w:tcW w:w="0" w:type="auto"/>
            <w:gridSpan w:val="3"/>
            <w:shd w:val="clear" w:color="auto" w:fill="auto"/>
            <w:vAlign w:val="bottom"/>
          </w:tcPr>
          <w:p w14:paraId="392CA107" w14:textId="77777777" w:rsidR="00980E5F" w:rsidRDefault="00980E5F">
            <w:pPr>
              <w:rPr>
                <w:rFonts w:ascii="宋体"/>
                <w:vanish/>
              </w:rPr>
            </w:pPr>
          </w:p>
        </w:tc>
        <w:tc>
          <w:tcPr>
            <w:tcW w:w="0" w:type="auto"/>
            <w:gridSpan w:val="3"/>
            <w:shd w:val="clear" w:color="auto" w:fill="auto"/>
            <w:vAlign w:val="bottom"/>
          </w:tcPr>
          <w:p w14:paraId="392CA108" w14:textId="77777777" w:rsidR="00980E5F" w:rsidRDefault="00980E5F">
            <w:pPr>
              <w:rPr>
                <w:rFonts w:ascii="宋体"/>
                <w:vanish/>
              </w:rPr>
            </w:pPr>
          </w:p>
        </w:tc>
        <w:tc>
          <w:tcPr>
            <w:tcW w:w="0" w:type="auto"/>
            <w:gridSpan w:val="3"/>
            <w:shd w:val="clear" w:color="auto" w:fill="auto"/>
            <w:vAlign w:val="bottom"/>
          </w:tcPr>
          <w:p w14:paraId="392CA109" w14:textId="77777777" w:rsidR="00980E5F" w:rsidRDefault="00980E5F">
            <w:pPr>
              <w:rPr>
                <w:rFonts w:ascii="宋体"/>
                <w:vanish/>
              </w:rPr>
            </w:pPr>
          </w:p>
        </w:tc>
        <w:tc>
          <w:tcPr>
            <w:tcW w:w="0" w:type="auto"/>
            <w:shd w:val="clear" w:color="auto" w:fill="auto"/>
            <w:vAlign w:val="bottom"/>
          </w:tcPr>
          <w:p w14:paraId="392CA10A" w14:textId="77777777" w:rsidR="00980E5F" w:rsidRDefault="00980E5F">
            <w:pPr>
              <w:rPr>
                <w:rFonts w:ascii="宋体"/>
                <w:vanish/>
              </w:rPr>
            </w:pPr>
          </w:p>
        </w:tc>
        <w:tc>
          <w:tcPr>
            <w:tcW w:w="0" w:type="auto"/>
            <w:shd w:val="clear" w:color="auto" w:fill="auto"/>
            <w:vAlign w:val="bottom"/>
          </w:tcPr>
          <w:p w14:paraId="392CA10B" w14:textId="77777777" w:rsidR="00980E5F" w:rsidRDefault="00980E5F">
            <w:pPr>
              <w:rPr>
                <w:rFonts w:ascii="宋体"/>
                <w:vanish/>
              </w:rPr>
            </w:pPr>
          </w:p>
        </w:tc>
        <w:tc>
          <w:tcPr>
            <w:tcW w:w="0" w:type="auto"/>
            <w:shd w:val="clear" w:color="auto" w:fill="auto"/>
            <w:vAlign w:val="bottom"/>
          </w:tcPr>
          <w:p w14:paraId="392CA10C" w14:textId="77777777" w:rsidR="00980E5F" w:rsidRDefault="00980E5F">
            <w:pPr>
              <w:rPr>
                <w:rFonts w:ascii="宋体"/>
                <w:vanish/>
              </w:rPr>
            </w:pPr>
          </w:p>
        </w:tc>
        <w:tc>
          <w:tcPr>
            <w:tcW w:w="0" w:type="auto"/>
            <w:shd w:val="clear" w:color="auto" w:fill="auto"/>
            <w:vAlign w:val="bottom"/>
          </w:tcPr>
          <w:p w14:paraId="392CA10D" w14:textId="77777777" w:rsidR="00980E5F" w:rsidRDefault="00980E5F">
            <w:pPr>
              <w:rPr>
                <w:rFonts w:ascii="宋体"/>
                <w:vanish/>
              </w:rPr>
            </w:pPr>
          </w:p>
        </w:tc>
        <w:tc>
          <w:tcPr>
            <w:tcW w:w="0" w:type="auto"/>
            <w:gridSpan w:val="3"/>
            <w:shd w:val="clear" w:color="auto" w:fill="auto"/>
            <w:vAlign w:val="bottom"/>
          </w:tcPr>
          <w:p w14:paraId="392CA10E" w14:textId="77777777" w:rsidR="00980E5F" w:rsidRDefault="00980E5F">
            <w:pPr>
              <w:rPr>
                <w:rFonts w:ascii="宋体"/>
                <w:vanish/>
              </w:rPr>
            </w:pPr>
          </w:p>
        </w:tc>
        <w:tc>
          <w:tcPr>
            <w:tcW w:w="0" w:type="auto"/>
            <w:gridSpan w:val="3"/>
            <w:shd w:val="clear" w:color="auto" w:fill="auto"/>
            <w:vAlign w:val="bottom"/>
          </w:tcPr>
          <w:p w14:paraId="392CA10F" w14:textId="77777777" w:rsidR="00980E5F" w:rsidRDefault="00980E5F">
            <w:pPr>
              <w:rPr>
                <w:rFonts w:ascii="宋体"/>
                <w:vanish/>
              </w:rPr>
            </w:pPr>
          </w:p>
        </w:tc>
        <w:tc>
          <w:tcPr>
            <w:tcW w:w="0" w:type="auto"/>
            <w:gridSpan w:val="3"/>
            <w:shd w:val="clear" w:color="auto" w:fill="auto"/>
            <w:vAlign w:val="bottom"/>
          </w:tcPr>
          <w:p w14:paraId="392CA110" w14:textId="77777777" w:rsidR="00980E5F" w:rsidRDefault="00980E5F">
            <w:pPr>
              <w:rPr>
                <w:rFonts w:ascii="宋体"/>
                <w:vanish/>
              </w:rPr>
            </w:pPr>
          </w:p>
        </w:tc>
      </w:tr>
      <w:tr w:rsidR="00980E5F" w14:paraId="392CA11E" w14:textId="77777777">
        <w:trPr>
          <w:hidden/>
        </w:trPr>
        <w:tc>
          <w:tcPr>
            <w:tcW w:w="0" w:type="auto"/>
            <w:gridSpan w:val="3"/>
            <w:shd w:val="clear" w:color="auto" w:fill="auto"/>
            <w:vAlign w:val="bottom"/>
          </w:tcPr>
          <w:p w14:paraId="392CA112" w14:textId="77777777" w:rsidR="00980E5F" w:rsidRDefault="00980E5F">
            <w:pPr>
              <w:rPr>
                <w:rFonts w:ascii="宋体"/>
                <w:vanish/>
              </w:rPr>
            </w:pPr>
          </w:p>
        </w:tc>
        <w:tc>
          <w:tcPr>
            <w:tcW w:w="0" w:type="auto"/>
            <w:gridSpan w:val="3"/>
            <w:shd w:val="clear" w:color="auto" w:fill="auto"/>
            <w:vAlign w:val="bottom"/>
          </w:tcPr>
          <w:p w14:paraId="392CA113" w14:textId="77777777" w:rsidR="00980E5F" w:rsidRDefault="00980E5F">
            <w:pPr>
              <w:rPr>
                <w:rFonts w:ascii="宋体"/>
                <w:vanish/>
              </w:rPr>
            </w:pPr>
          </w:p>
        </w:tc>
        <w:tc>
          <w:tcPr>
            <w:tcW w:w="0" w:type="auto"/>
            <w:gridSpan w:val="3"/>
            <w:shd w:val="clear" w:color="auto" w:fill="auto"/>
            <w:vAlign w:val="bottom"/>
          </w:tcPr>
          <w:p w14:paraId="392CA114" w14:textId="77777777" w:rsidR="00980E5F" w:rsidRDefault="00980E5F">
            <w:pPr>
              <w:rPr>
                <w:rFonts w:ascii="宋体"/>
                <w:vanish/>
              </w:rPr>
            </w:pPr>
          </w:p>
        </w:tc>
        <w:tc>
          <w:tcPr>
            <w:tcW w:w="0" w:type="auto"/>
            <w:gridSpan w:val="3"/>
            <w:shd w:val="clear" w:color="auto" w:fill="auto"/>
            <w:vAlign w:val="bottom"/>
          </w:tcPr>
          <w:p w14:paraId="392CA115" w14:textId="77777777" w:rsidR="00980E5F" w:rsidRDefault="00980E5F">
            <w:pPr>
              <w:rPr>
                <w:rFonts w:ascii="宋体"/>
                <w:vanish/>
              </w:rPr>
            </w:pPr>
          </w:p>
        </w:tc>
        <w:tc>
          <w:tcPr>
            <w:tcW w:w="0" w:type="auto"/>
            <w:gridSpan w:val="3"/>
            <w:shd w:val="clear" w:color="auto" w:fill="auto"/>
            <w:vAlign w:val="bottom"/>
          </w:tcPr>
          <w:p w14:paraId="392CA116" w14:textId="77777777" w:rsidR="00980E5F" w:rsidRDefault="00980E5F">
            <w:pPr>
              <w:rPr>
                <w:rFonts w:ascii="宋体"/>
                <w:vanish/>
              </w:rPr>
            </w:pPr>
          </w:p>
        </w:tc>
        <w:tc>
          <w:tcPr>
            <w:tcW w:w="0" w:type="auto"/>
            <w:shd w:val="clear" w:color="auto" w:fill="auto"/>
            <w:vAlign w:val="bottom"/>
          </w:tcPr>
          <w:p w14:paraId="392CA117" w14:textId="77777777" w:rsidR="00980E5F" w:rsidRDefault="00980E5F">
            <w:pPr>
              <w:rPr>
                <w:rFonts w:ascii="宋体"/>
                <w:vanish/>
              </w:rPr>
            </w:pPr>
          </w:p>
        </w:tc>
        <w:tc>
          <w:tcPr>
            <w:tcW w:w="0" w:type="auto"/>
            <w:shd w:val="clear" w:color="auto" w:fill="auto"/>
            <w:vAlign w:val="bottom"/>
          </w:tcPr>
          <w:p w14:paraId="392CA118" w14:textId="77777777" w:rsidR="00980E5F" w:rsidRDefault="00980E5F">
            <w:pPr>
              <w:rPr>
                <w:rFonts w:ascii="宋体"/>
                <w:vanish/>
              </w:rPr>
            </w:pPr>
          </w:p>
        </w:tc>
        <w:tc>
          <w:tcPr>
            <w:tcW w:w="0" w:type="auto"/>
            <w:shd w:val="clear" w:color="auto" w:fill="auto"/>
            <w:vAlign w:val="bottom"/>
          </w:tcPr>
          <w:p w14:paraId="392CA119" w14:textId="77777777" w:rsidR="00980E5F" w:rsidRDefault="00980E5F">
            <w:pPr>
              <w:rPr>
                <w:rFonts w:ascii="宋体"/>
                <w:vanish/>
              </w:rPr>
            </w:pPr>
          </w:p>
        </w:tc>
        <w:tc>
          <w:tcPr>
            <w:tcW w:w="0" w:type="auto"/>
            <w:shd w:val="clear" w:color="auto" w:fill="auto"/>
            <w:vAlign w:val="bottom"/>
          </w:tcPr>
          <w:p w14:paraId="392CA11A" w14:textId="77777777" w:rsidR="00980E5F" w:rsidRDefault="00980E5F">
            <w:pPr>
              <w:rPr>
                <w:rFonts w:ascii="宋体"/>
                <w:vanish/>
              </w:rPr>
            </w:pPr>
          </w:p>
        </w:tc>
        <w:tc>
          <w:tcPr>
            <w:tcW w:w="0" w:type="auto"/>
            <w:gridSpan w:val="3"/>
            <w:shd w:val="clear" w:color="auto" w:fill="auto"/>
            <w:vAlign w:val="bottom"/>
          </w:tcPr>
          <w:p w14:paraId="392CA11B" w14:textId="77777777" w:rsidR="00980E5F" w:rsidRDefault="00980E5F">
            <w:pPr>
              <w:rPr>
                <w:rFonts w:ascii="宋体"/>
                <w:vanish/>
              </w:rPr>
            </w:pPr>
          </w:p>
        </w:tc>
        <w:tc>
          <w:tcPr>
            <w:tcW w:w="0" w:type="auto"/>
            <w:gridSpan w:val="3"/>
            <w:shd w:val="clear" w:color="auto" w:fill="auto"/>
            <w:vAlign w:val="bottom"/>
          </w:tcPr>
          <w:p w14:paraId="392CA11C" w14:textId="77777777" w:rsidR="00980E5F" w:rsidRDefault="00980E5F">
            <w:pPr>
              <w:rPr>
                <w:rFonts w:ascii="宋体"/>
                <w:vanish/>
              </w:rPr>
            </w:pPr>
          </w:p>
        </w:tc>
        <w:tc>
          <w:tcPr>
            <w:tcW w:w="0" w:type="auto"/>
            <w:gridSpan w:val="3"/>
            <w:shd w:val="clear" w:color="auto" w:fill="auto"/>
            <w:vAlign w:val="bottom"/>
          </w:tcPr>
          <w:p w14:paraId="392CA11D" w14:textId="77777777" w:rsidR="00980E5F" w:rsidRDefault="00980E5F">
            <w:pPr>
              <w:rPr>
                <w:rFonts w:ascii="宋体"/>
                <w:vanish/>
              </w:rPr>
            </w:pPr>
          </w:p>
        </w:tc>
      </w:tr>
      <w:tr w:rsidR="00980E5F" w14:paraId="392CA12F" w14:textId="77777777">
        <w:tc>
          <w:tcPr>
            <w:tcW w:w="0" w:type="auto"/>
            <w:gridSpan w:val="3"/>
            <w:shd w:val="clear" w:color="auto" w:fill="CCEEFF"/>
            <w:tcMar>
              <w:top w:w="40" w:type="dxa"/>
              <w:left w:w="20" w:type="dxa"/>
              <w:bottom w:w="40" w:type="dxa"/>
              <w:right w:w="20" w:type="dxa"/>
            </w:tcMar>
            <w:vAlign w:val="bottom"/>
          </w:tcPr>
          <w:p w14:paraId="392CA11F" w14:textId="77777777" w:rsidR="00980E5F" w:rsidRDefault="00483613">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392CA120" w14:textId="77777777" w:rsidR="00980E5F" w:rsidRDefault="00483613">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92CA12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2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12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12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25" w14:textId="77777777" w:rsidR="00980E5F" w:rsidRDefault="00980E5F">
            <w:pPr>
              <w:rPr>
                <w:rFonts w:ascii="宋体"/>
              </w:rPr>
            </w:pPr>
          </w:p>
        </w:tc>
        <w:tc>
          <w:tcPr>
            <w:tcW w:w="0" w:type="auto"/>
            <w:shd w:val="clear" w:color="auto" w:fill="auto"/>
            <w:vAlign w:val="bottom"/>
          </w:tcPr>
          <w:p w14:paraId="392CA126" w14:textId="77777777" w:rsidR="00980E5F" w:rsidRDefault="00980E5F">
            <w:pPr>
              <w:rPr>
                <w:rFonts w:ascii="宋体"/>
                <w:vanish/>
              </w:rPr>
            </w:pPr>
          </w:p>
        </w:tc>
        <w:tc>
          <w:tcPr>
            <w:tcW w:w="0" w:type="auto"/>
            <w:shd w:val="clear" w:color="auto" w:fill="auto"/>
            <w:vAlign w:val="bottom"/>
          </w:tcPr>
          <w:p w14:paraId="392CA127" w14:textId="77777777" w:rsidR="00980E5F" w:rsidRDefault="00980E5F">
            <w:pPr>
              <w:rPr>
                <w:rFonts w:ascii="宋体"/>
                <w:vanish/>
              </w:rPr>
            </w:pPr>
          </w:p>
        </w:tc>
        <w:tc>
          <w:tcPr>
            <w:tcW w:w="0" w:type="auto"/>
            <w:shd w:val="clear" w:color="auto" w:fill="auto"/>
            <w:vAlign w:val="bottom"/>
          </w:tcPr>
          <w:p w14:paraId="392CA128" w14:textId="77777777" w:rsidR="00980E5F" w:rsidRDefault="00980E5F">
            <w:pPr>
              <w:rPr>
                <w:rFonts w:ascii="宋体"/>
                <w:vanish/>
              </w:rPr>
            </w:pPr>
          </w:p>
        </w:tc>
        <w:tc>
          <w:tcPr>
            <w:tcW w:w="0" w:type="auto"/>
            <w:shd w:val="clear" w:color="auto" w:fill="auto"/>
            <w:vAlign w:val="bottom"/>
          </w:tcPr>
          <w:p w14:paraId="392CA129"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12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1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2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12D" w14:textId="77777777" w:rsidR="00980E5F" w:rsidRDefault="00483613">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392CA12E" w14:textId="77777777" w:rsidR="00980E5F" w:rsidRDefault="00980E5F">
            <w:pPr>
              <w:jc w:val="right"/>
              <w:rPr>
                <w:rFonts w:ascii="宋体"/>
              </w:rPr>
            </w:pPr>
          </w:p>
        </w:tc>
      </w:tr>
      <w:tr w:rsidR="00980E5F" w14:paraId="392CA144" w14:textId="77777777">
        <w:tc>
          <w:tcPr>
            <w:tcW w:w="0" w:type="auto"/>
            <w:gridSpan w:val="3"/>
            <w:shd w:val="clear" w:color="auto" w:fill="FFFFFF"/>
            <w:tcMar>
              <w:top w:w="40" w:type="dxa"/>
              <w:left w:w="20" w:type="dxa"/>
              <w:bottom w:w="40" w:type="dxa"/>
              <w:right w:w="20" w:type="dxa"/>
            </w:tcMar>
            <w:vAlign w:val="bottom"/>
          </w:tcPr>
          <w:p w14:paraId="392CA130" w14:textId="77777777" w:rsidR="00980E5F" w:rsidRDefault="00483613">
            <w:pPr>
              <w:textAlignment w:val="bottom"/>
            </w:pPr>
            <w:r>
              <w:rPr>
                <w:rFonts w:ascii="Arial" w:eastAsia="宋体" w:hAnsi="Arial" w:cs="Arial"/>
                <w:b/>
                <w:bCs/>
                <w:color w:val="000000"/>
                <w:sz w:val="14"/>
                <w:szCs w:val="14"/>
              </w:rPr>
              <w:t>Accrual Balance at June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13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132" w14:textId="77777777" w:rsidR="00980E5F" w:rsidRDefault="00483613">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1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34"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135"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136"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13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38" w14:textId="77777777" w:rsidR="00980E5F" w:rsidRDefault="00980E5F">
            <w:pPr>
              <w:rPr>
                <w:rFonts w:ascii="宋体"/>
              </w:rPr>
            </w:pPr>
          </w:p>
        </w:tc>
        <w:tc>
          <w:tcPr>
            <w:tcW w:w="0" w:type="auto"/>
            <w:shd w:val="clear" w:color="auto" w:fill="auto"/>
            <w:vAlign w:val="bottom"/>
          </w:tcPr>
          <w:p w14:paraId="392CA139" w14:textId="77777777" w:rsidR="00980E5F" w:rsidRDefault="00980E5F">
            <w:pPr>
              <w:rPr>
                <w:rFonts w:ascii="宋体"/>
                <w:vanish/>
              </w:rPr>
            </w:pPr>
          </w:p>
        </w:tc>
        <w:tc>
          <w:tcPr>
            <w:tcW w:w="0" w:type="auto"/>
            <w:shd w:val="clear" w:color="auto" w:fill="auto"/>
            <w:vAlign w:val="bottom"/>
          </w:tcPr>
          <w:p w14:paraId="392CA13A" w14:textId="77777777" w:rsidR="00980E5F" w:rsidRDefault="00980E5F">
            <w:pPr>
              <w:rPr>
                <w:rFonts w:ascii="宋体"/>
                <w:vanish/>
              </w:rPr>
            </w:pPr>
          </w:p>
        </w:tc>
        <w:tc>
          <w:tcPr>
            <w:tcW w:w="0" w:type="auto"/>
            <w:shd w:val="clear" w:color="auto" w:fill="auto"/>
            <w:vAlign w:val="bottom"/>
          </w:tcPr>
          <w:p w14:paraId="392CA13B" w14:textId="77777777" w:rsidR="00980E5F" w:rsidRDefault="00980E5F">
            <w:pPr>
              <w:rPr>
                <w:rFonts w:ascii="宋体"/>
                <w:vanish/>
              </w:rPr>
            </w:pPr>
          </w:p>
        </w:tc>
        <w:tc>
          <w:tcPr>
            <w:tcW w:w="0" w:type="auto"/>
            <w:shd w:val="clear" w:color="auto" w:fill="auto"/>
            <w:vAlign w:val="bottom"/>
          </w:tcPr>
          <w:p w14:paraId="392CA13C" w14:textId="77777777" w:rsidR="00980E5F" w:rsidRDefault="00980E5F">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13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13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13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40"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141"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142" w14:textId="77777777" w:rsidR="00980E5F" w:rsidRDefault="00483613">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143" w14:textId="77777777" w:rsidR="00980E5F" w:rsidRDefault="00980E5F">
            <w:pPr>
              <w:jc w:val="right"/>
              <w:rPr>
                <w:rFonts w:ascii="宋体"/>
              </w:rPr>
            </w:pPr>
          </w:p>
        </w:tc>
      </w:tr>
      <w:tr w:rsidR="00980E5F" w14:paraId="392CA151" w14:textId="77777777">
        <w:trPr>
          <w:hidden/>
        </w:trPr>
        <w:tc>
          <w:tcPr>
            <w:tcW w:w="0" w:type="auto"/>
            <w:gridSpan w:val="3"/>
            <w:shd w:val="clear" w:color="auto" w:fill="auto"/>
            <w:vAlign w:val="bottom"/>
          </w:tcPr>
          <w:p w14:paraId="392CA145" w14:textId="77777777" w:rsidR="00980E5F" w:rsidRDefault="00980E5F">
            <w:pPr>
              <w:rPr>
                <w:rFonts w:ascii="宋体"/>
                <w:vanish/>
              </w:rPr>
            </w:pPr>
          </w:p>
        </w:tc>
        <w:tc>
          <w:tcPr>
            <w:tcW w:w="0" w:type="auto"/>
            <w:gridSpan w:val="3"/>
            <w:shd w:val="clear" w:color="auto" w:fill="auto"/>
            <w:vAlign w:val="bottom"/>
          </w:tcPr>
          <w:p w14:paraId="392CA146" w14:textId="77777777" w:rsidR="00980E5F" w:rsidRDefault="00980E5F">
            <w:pPr>
              <w:rPr>
                <w:rFonts w:ascii="宋体"/>
                <w:vanish/>
              </w:rPr>
            </w:pPr>
          </w:p>
        </w:tc>
        <w:tc>
          <w:tcPr>
            <w:tcW w:w="0" w:type="auto"/>
            <w:gridSpan w:val="3"/>
            <w:shd w:val="clear" w:color="auto" w:fill="auto"/>
            <w:vAlign w:val="bottom"/>
          </w:tcPr>
          <w:p w14:paraId="392CA147" w14:textId="77777777" w:rsidR="00980E5F" w:rsidRDefault="00980E5F">
            <w:pPr>
              <w:rPr>
                <w:rFonts w:ascii="宋体"/>
                <w:vanish/>
              </w:rPr>
            </w:pPr>
          </w:p>
        </w:tc>
        <w:tc>
          <w:tcPr>
            <w:tcW w:w="0" w:type="auto"/>
            <w:gridSpan w:val="3"/>
            <w:shd w:val="clear" w:color="auto" w:fill="auto"/>
            <w:vAlign w:val="bottom"/>
          </w:tcPr>
          <w:p w14:paraId="392CA148" w14:textId="77777777" w:rsidR="00980E5F" w:rsidRDefault="00980E5F">
            <w:pPr>
              <w:rPr>
                <w:rFonts w:ascii="宋体"/>
                <w:vanish/>
              </w:rPr>
            </w:pPr>
          </w:p>
        </w:tc>
        <w:tc>
          <w:tcPr>
            <w:tcW w:w="0" w:type="auto"/>
            <w:gridSpan w:val="3"/>
            <w:shd w:val="clear" w:color="auto" w:fill="auto"/>
            <w:vAlign w:val="bottom"/>
          </w:tcPr>
          <w:p w14:paraId="392CA149" w14:textId="77777777" w:rsidR="00980E5F" w:rsidRDefault="00980E5F">
            <w:pPr>
              <w:rPr>
                <w:rFonts w:ascii="宋体"/>
                <w:vanish/>
              </w:rPr>
            </w:pPr>
          </w:p>
        </w:tc>
        <w:tc>
          <w:tcPr>
            <w:tcW w:w="0" w:type="auto"/>
            <w:shd w:val="clear" w:color="auto" w:fill="auto"/>
            <w:vAlign w:val="bottom"/>
          </w:tcPr>
          <w:p w14:paraId="392CA14A" w14:textId="77777777" w:rsidR="00980E5F" w:rsidRDefault="00980E5F">
            <w:pPr>
              <w:rPr>
                <w:rFonts w:ascii="宋体"/>
                <w:vanish/>
              </w:rPr>
            </w:pPr>
          </w:p>
        </w:tc>
        <w:tc>
          <w:tcPr>
            <w:tcW w:w="0" w:type="auto"/>
            <w:shd w:val="clear" w:color="auto" w:fill="auto"/>
            <w:vAlign w:val="bottom"/>
          </w:tcPr>
          <w:p w14:paraId="392CA14B" w14:textId="77777777" w:rsidR="00980E5F" w:rsidRDefault="00980E5F">
            <w:pPr>
              <w:rPr>
                <w:rFonts w:ascii="宋体"/>
                <w:vanish/>
              </w:rPr>
            </w:pPr>
          </w:p>
        </w:tc>
        <w:tc>
          <w:tcPr>
            <w:tcW w:w="0" w:type="auto"/>
            <w:shd w:val="clear" w:color="auto" w:fill="auto"/>
            <w:vAlign w:val="bottom"/>
          </w:tcPr>
          <w:p w14:paraId="392CA14C" w14:textId="77777777" w:rsidR="00980E5F" w:rsidRDefault="00980E5F">
            <w:pPr>
              <w:rPr>
                <w:rFonts w:ascii="宋体"/>
                <w:vanish/>
              </w:rPr>
            </w:pPr>
          </w:p>
        </w:tc>
        <w:tc>
          <w:tcPr>
            <w:tcW w:w="0" w:type="auto"/>
            <w:shd w:val="clear" w:color="auto" w:fill="auto"/>
            <w:vAlign w:val="bottom"/>
          </w:tcPr>
          <w:p w14:paraId="392CA14D" w14:textId="77777777" w:rsidR="00980E5F" w:rsidRDefault="00980E5F">
            <w:pPr>
              <w:rPr>
                <w:rFonts w:ascii="宋体"/>
                <w:vanish/>
              </w:rPr>
            </w:pPr>
          </w:p>
        </w:tc>
        <w:tc>
          <w:tcPr>
            <w:tcW w:w="0" w:type="auto"/>
            <w:gridSpan w:val="3"/>
            <w:shd w:val="clear" w:color="auto" w:fill="auto"/>
            <w:vAlign w:val="bottom"/>
          </w:tcPr>
          <w:p w14:paraId="392CA14E" w14:textId="77777777" w:rsidR="00980E5F" w:rsidRDefault="00980E5F">
            <w:pPr>
              <w:rPr>
                <w:rFonts w:ascii="宋体"/>
                <w:vanish/>
              </w:rPr>
            </w:pPr>
          </w:p>
        </w:tc>
        <w:tc>
          <w:tcPr>
            <w:tcW w:w="0" w:type="auto"/>
            <w:gridSpan w:val="3"/>
            <w:shd w:val="clear" w:color="auto" w:fill="auto"/>
            <w:vAlign w:val="bottom"/>
          </w:tcPr>
          <w:p w14:paraId="392CA14F" w14:textId="77777777" w:rsidR="00980E5F" w:rsidRDefault="00980E5F">
            <w:pPr>
              <w:rPr>
                <w:rFonts w:ascii="宋体"/>
                <w:vanish/>
              </w:rPr>
            </w:pPr>
          </w:p>
        </w:tc>
        <w:tc>
          <w:tcPr>
            <w:tcW w:w="0" w:type="auto"/>
            <w:gridSpan w:val="3"/>
            <w:shd w:val="clear" w:color="auto" w:fill="auto"/>
            <w:vAlign w:val="bottom"/>
          </w:tcPr>
          <w:p w14:paraId="392CA150" w14:textId="77777777" w:rsidR="00980E5F" w:rsidRDefault="00980E5F">
            <w:pPr>
              <w:rPr>
                <w:rFonts w:ascii="宋体"/>
                <w:vanish/>
              </w:rPr>
            </w:pPr>
          </w:p>
        </w:tc>
      </w:tr>
      <w:tr w:rsidR="00980E5F" w14:paraId="392CA15E" w14:textId="77777777">
        <w:trPr>
          <w:hidden/>
        </w:trPr>
        <w:tc>
          <w:tcPr>
            <w:tcW w:w="0" w:type="auto"/>
            <w:gridSpan w:val="3"/>
            <w:shd w:val="clear" w:color="auto" w:fill="auto"/>
            <w:vAlign w:val="bottom"/>
          </w:tcPr>
          <w:p w14:paraId="392CA152" w14:textId="77777777" w:rsidR="00980E5F" w:rsidRDefault="00980E5F">
            <w:pPr>
              <w:rPr>
                <w:rFonts w:ascii="宋体"/>
                <w:vanish/>
              </w:rPr>
            </w:pPr>
          </w:p>
        </w:tc>
        <w:tc>
          <w:tcPr>
            <w:tcW w:w="0" w:type="auto"/>
            <w:gridSpan w:val="3"/>
            <w:shd w:val="clear" w:color="auto" w:fill="auto"/>
            <w:vAlign w:val="bottom"/>
          </w:tcPr>
          <w:p w14:paraId="392CA153" w14:textId="77777777" w:rsidR="00980E5F" w:rsidRDefault="00980E5F">
            <w:pPr>
              <w:rPr>
                <w:rFonts w:ascii="宋体"/>
                <w:vanish/>
              </w:rPr>
            </w:pPr>
          </w:p>
        </w:tc>
        <w:tc>
          <w:tcPr>
            <w:tcW w:w="0" w:type="auto"/>
            <w:gridSpan w:val="3"/>
            <w:shd w:val="clear" w:color="auto" w:fill="auto"/>
            <w:vAlign w:val="bottom"/>
          </w:tcPr>
          <w:p w14:paraId="392CA154" w14:textId="77777777" w:rsidR="00980E5F" w:rsidRDefault="00980E5F">
            <w:pPr>
              <w:rPr>
                <w:rFonts w:ascii="宋体"/>
                <w:vanish/>
              </w:rPr>
            </w:pPr>
          </w:p>
        </w:tc>
        <w:tc>
          <w:tcPr>
            <w:tcW w:w="0" w:type="auto"/>
            <w:gridSpan w:val="3"/>
            <w:shd w:val="clear" w:color="auto" w:fill="auto"/>
            <w:vAlign w:val="bottom"/>
          </w:tcPr>
          <w:p w14:paraId="392CA155" w14:textId="77777777" w:rsidR="00980E5F" w:rsidRDefault="00980E5F">
            <w:pPr>
              <w:rPr>
                <w:rFonts w:ascii="宋体"/>
                <w:vanish/>
              </w:rPr>
            </w:pPr>
          </w:p>
        </w:tc>
        <w:tc>
          <w:tcPr>
            <w:tcW w:w="0" w:type="auto"/>
            <w:gridSpan w:val="3"/>
            <w:shd w:val="clear" w:color="auto" w:fill="auto"/>
            <w:vAlign w:val="bottom"/>
          </w:tcPr>
          <w:p w14:paraId="392CA156" w14:textId="77777777" w:rsidR="00980E5F" w:rsidRDefault="00980E5F">
            <w:pPr>
              <w:rPr>
                <w:rFonts w:ascii="宋体"/>
                <w:vanish/>
              </w:rPr>
            </w:pPr>
          </w:p>
        </w:tc>
        <w:tc>
          <w:tcPr>
            <w:tcW w:w="0" w:type="auto"/>
            <w:shd w:val="clear" w:color="auto" w:fill="auto"/>
            <w:vAlign w:val="bottom"/>
          </w:tcPr>
          <w:p w14:paraId="392CA157" w14:textId="77777777" w:rsidR="00980E5F" w:rsidRDefault="00980E5F">
            <w:pPr>
              <w:rPr>
                <w:rFonts w:ascii="宋体"/>
                <w:vanish/>
              </w:rPr>
            </w:pPr>
          </w:p>
        </w:tc>
        <w:tc>
          <w:tcPr>
            <w:tcW w:w="0" w:type="auto"/>
            <w:shd w:val="clear" w:color="auto" w:fill="auto"/>
            <w:vAlign w:val="bottom"/>
          </w:tcPr>
          <w:p w14:paraId="392CA158" w14:textId="77777777" w:rsidR="00980E5F" w:rsidRDefault="00980E5F">
            <w:pPr>
              <w:rPr>
                <w:rFonts w:ascii="宋体"/>
                <w:vanish/>
              </w:rPr>
            </w:pPr>
          </w:p>
        </w:tc>
        <w:tc>
          <w:tcPr>
            <w:tcW w:w="0" w:type="auto"/>
            <w:shd w:val="clear" w:color="auto" w:fill="auto"/>
            <w:vAlign w:val="bottom"/>
          </w:tcPr>
          <w:p w14:paraId="392CA159" w14:textId="77777777" w:rsidR="00980E5F" w:rsidRDefault="00980E5F">
            <w:pPr>
              <w:rPr>
                <w:rFonts w:ascii="宋体"/>
                <w:vanish/>
              </w:rPr>
            </w:pPr>
          </w:p>
        </w:tc>
        <w:tc>
          <w:tcPr>
            <w:tcW w:w="0" w:type="auto"/>
            <w:shd w:val="clear" w:color="auto" w:fill="auto"/>
            <w:vAlign w:val="bottom"/>
          </w:tcPr>
          <w:p w14:paraId="392CA15A" w14:textId="77777777" w:rsidR="00980E5F" w:rsidRDefault="00980E5F">
            <w:pPr>
              <w:rPr>
                <w:rFonts w:ascii="宋体"/>
                <w:vanish/>
              </w:rPr>
            </w:pPr>
          </w:p>
        </w:tc>
        <w:tc>
          <w:tcPr>
            <w:tcW w:w="0" w:type="auto"/>
            <w:gridSpan w:val="3"/>
            <w:shd w:val="clear" w:color="auto" w:fill="auto"/>
            <w:vAlign w:val="bottom"/>
          </w:tcPr>
          <w:p w14:paraId="392CA15B" w14:textId="77777777" w:rsidR="00980E5F" w:rsidRDefault="00980E5F">
            <w:pPr>
              <w:rPr>
                <w:rFonts w:ascii="宋体"/>
                <w:vanish/>
              </w:rPr>
            </w:pPr>
          </w:p>
        </w:tc>
        <w:tc>
          <w:tcPr>
            <w:tcW w:w="0" w:type="auto"/>
            <w:gridSpan w:val="3"/>
            <w:shd w:val="clear" w:color="auto" w:fill="auto"/>
            <w:vAlign w:val="bottom"/>
          </w:tcPr>
          <w:p w14:paraId="392CA15C" w14:textId="77777777" w:rsidR="00980E5F" w:rsidRDefault="00980E5F">
            <w:pPr>
              <w:rPr>
                <w:rFonts w:ascii="宋体"/>
                <w:vanish/>
              </w:rPr>
            </w:pPr>
          </w:p>
        </w:tc>
        <w:tc>
          <w:tcPr>
            <w:tcW w:w="0" w:type="auto"/>
            <w:gridSpan w:val="3"/>
            <w:shd w:val="clear" w:color="auto" w:fill="auto"/>
            <w:vAlign w:val="bottom"/>
          </w:tcPr>
          <w:p w14:paraId="392CA15D" w14:textId="77777777" w:rsidR="00980E5F" w:rsidRDefault="00980E5F">
            <w:pPr>
              <w:rPr>
                <w:rFonts w:ascii="宋体"/>
                <w:vanish/>
              </w:rPr>
            </w:pPr>
          </w:p>
        </w:tc>
      </w:tr>
      <w:tr w:rsidR="00980E5F" w14:paraId="392CA16B" w14:textId="77777777">
        <w:trPr>
          <w:hidden/>
        </w:trPr>
        <w:tc>
          <w:tcPr>
            <w:tcW w:w="0" w:type="auto"/>
            <w:gridSpan w:val="3"/>
            <w:shd w:val="clear" w:color="auto" w:fill="auto"/>
            <w:vAlign w:val="bottom"/>
          </w:tcPr>
          <w:p w14:paraId="392CA15F" w14:textId="77777777" w:rsidR="00980E5F" w:rsidRDefault="00980E5F">
            <w:pPr>
              <w:rPr>
                <w:rFonts w:ascii="宋体"/>
                <w:vanish/>
              </w:rPr>
            </w:pPr>
          </w:p>
        </w:tc>
        <w:tc>
          <w:tcPr>
            <w:tcW w:w="0" w:type="auto"/>
            <w:gridSpan w:val="3"/>
            <w:shd w:val="clear" w:color="auto" w:fill="auto"/>
            <w:vAlign w:val="bottom"/>
          </w:tcPr>
          <w:p w14:paraId="392CA160" w14:textId="77777777" w:rsidR="00980E5F" w:rsidRDefault="00980E5F">
            <w:pPr>
              <w:rPr>
                <w:rFonts w:ascii="宋体"/>
                <w:vanish/>
              </w:rPr>
            </w:pPr>
          </w:p>
        </w:tc>
        <w:tc>
          <w:tcPr>
            <w:tcW w:w="0" w:type="auto"/>
            <w:gridSpan w:val="3"/>
            <w:shd w:val="clear" w:color="auto" w:fill="auto"/>
            <w:vAlign w:val="bottom"/>
          </w:tcPr>
          <w:p w14:paraId="392CA161" w14:textId="77777777" w:rsidR="00980E5F" w:rsidRDefault="00980E5F">
            <w:pPr>
              <w:rPr>
                <w:rFonts w:ascii="宋体"/>
                <w:vanish/>
              </w:rPr>
            </w:pPr>
          </w:p>
        </w:tc>
        <w:tc>
          <w:tcPr>
            <w:tcW w:w="0" w:type="auto"/>
            <w:gridSpan w:val="3"/>
            <w:shd w:val="clear" w:color="auto" w:fill="auto"/>
            <w:vAlign w:val="bottom"/>
          </w:tcPr>
          <w:p w14:paraId="392CA162" w14:textId="77777777" w:rsidR="00980E5F" w:rsidRDefault="00980E5F">
            <w:pPr>
              <w:rPr>
                <w:rFonts w:ascii="宋体"/>
                <w:vanish/>
              </w:rPr>
            </w:pPr>
          </w:p>
        </w:tc>
        <w:tc>
          <w:tcPr>
            <w:tcW w:w="0" w:type="auto"/>
            <w:gridSpan w:val="3"/>
            <w:shd w:val="clear" w:color="auto" w:fill="auto"/>
            <w:vAlign w:val="bottom"/>
          </w:tcPr>
          <w:p w14:paraId="392CA163" w14:textId="77777777" w:rsidR="00980E5F" w:rsidRDefault="00980E5F">
            <w:pPr>
              <w:rPr>
                <w:rFonts w:ascii="宋体"/>
                <w:vanish/>
              </w:rPr>
            </w:pPr>
          </w:p>
        </w:tc>
        <w:tc>
          <w:tcPr>
            <w:tcW w:w="0" w:type="auto"/>
            <w:shd w:val="clear" w:color="auto" w:fill="auto"/>
            <w:vAlign w:val="bottom"/>
          </w:tcPr>
          <w:p w14:paraId="392CA164" w14:textId="77777777" w:rsidR="00980E5F" w:rsidRDefault="00980E5F">
            <w:pPr>
              <w:rPr>
                <w:rFonts w:ascii="宋体"/>
                <w:vanish/>
              </w:rPr>
            </w:pPr>
          </w:p>
        </w:tc>
        <w:tc>
          <w:tcPr>
            <w:tcW w:w="0" w:type="auto"/>
            <w:shd w:val="clear" w:color="auto" w:fill="auto"/>
            <w:vAlign w:val="bottom"/>
          </w:tcPr>
          <w:p w14:paraId="392CA165" w14:textId="77777777" w:rsidR="00980E5F" w:rsidRDefault="00980E5F">
            <w:pPr>
              <w:rPr>
                <w:rFonts w:ascii="宋体"/>
                <w:vanish/>
              </w:rPr>
            </w:pPr>
          </w:p>
        </w:tc>
        <w:tc>
          <w:tcPr>
            <w:tcW w:w="0" w:type="auto"/>
            <w:shd w:val="clear" w:color="auto" w:fill="auto"/>
            <w:vAlign w:val="bottom"/>
          </w:tcPr>
          <w:p w14:paraId="392CA166" w14:textId="77777777" w:rsidR="00980E5F" w:rsidRDefault="00980E5F">
            <w:pPr>
              <w:rPr>
                <w:rFonts w:ascii="宋体"/>
                <w:vanish/>
              </w:rPr>
            </w:pPr>
          </w:p>
        </w:tc>
        <w:tc>
          <w:tcPr>
            <w:tcW w:w="0" w:type="auto"/>
            <w:shd w:val="clear" w:color="auto" w:fill="auto"/>
            <w:vAlign w:val="bottom"/>
          </w:tcPr>
          <w:p w14:paraId="392CA167" w14:textId="77777777" w:rsidR="00980E5F" w:rsidRDefault="00980E5F">
            <w:pPr>
              <w:rPr>
                <w:rFonts w:ascii="宋体"/>
                <w:vanish/>
              </w:rPr>
            </w:pPr>
          </w:p>
        </w:tc>
        <w:tc>
          <w:tcPr>
            <w:tcW w:w="0" w:type="auto"/>
            <w:gridSpan w:val="3"/>
            <w:shd w:val="clear" w:color="auto" w:fill="auto"/>
            <w:vAlign w:val="bottom"/>
          </w:tcPr>
          <w:p w14:paraId="392CA168" w14:textId="77777777" w:rsidR="00980E5F" w:rsidRDefault="00980E5F">
            <w:pPr>
              <w:rPr>
                <w:rFonts w:ascii="宋体"/>
                <w:vanish/>
              </w:rPr>
            </w:pPr>
          </w:p>
        </w:tc>
        <w:tc>
          <w:tcPr>
            <w:tcW w:w="0" w:type="auto"/>
            <w:gridSpan w:val="3"/>
            <w:shd w:val="clear" w:color="auto" w:fill="auto"/>
            <w:vAlign w:val="bottom"/>
          </w:tcPr>
          <w:p w14:paraId="392CA169" w14:textId="77777777" w:rsidR="00980E5F" w:rsidRDefault="00980E5F">
            <w:pPr>
              <w:rPr>
                <w:rFonts w:ascii="宋体"/>
                <w:vanish/>
              </w:rPr>
            </w:pPr>
          </w:p>
        </w:tc>
        <w:tc>
          <w:tcPr>
            <w:tcW w:w="0" w:type="auto"/>
            <w:gridSpan w:val="3"/>
            <w:shd w:val="clear" w:color="auto" w:fill="auto"/>
            <w:vAlign w:val="bottom"/>
          </w:tcPr>
          <w:p w14:paraId="392CA16A" w14:textId="77777777" w:rsidR="00980E5F" w:rsidRDefault="00980E5F">
            <w:pPr>
              <w:rPr>
                <w:rFonts w:ascii="宋体"/>
                <w:vanish/>
              </w:rPr>
            </w:pPr>
          </w:p>
        </w:tc>
      </w:tr>
      <w:tr w:rsidR="00980E5F" w14:paraId="392CA178" w14:textId="77777777">
        <w:trPr>
          <w:hidden/>
        </w:trPr>
        <w:tc>
          <w:tcPr>
            <w:tcW w:w="0" w:type="auto"/>
            <w:gridSpan w:val="3"/>
            <w:shd w:val="clear" w:color="auto" w:fill="auto"/>
            <w:vAlign w:val="bottom"/>
          </w:tcPr>
          <w:p w14:paraId="392CA16C" w14:textId="77777777" w:rsidR="00980E5F" w:rsidRDefault="00980E5F">
            <w:pPr>
              <w:rPr>
                <w:rFonts w:ascii="宋体"/>
                <w:vanish/>
              </w:rPr>
            </w:pPr>
          </w:p>
        </w:tc>
        <w:tc>
          <w:tcPr>
            <w:tcW w:w="0" w:type="auto"/>
            <w:gridSpan w:val="3"/>
            <w:shd w:val="clear" w:color="auto" w:fill="auto"/>
            <w:vAlign w:val="bottom"/>
          </w:tcPr>
          <w:p w14:paraId="392CA16D" w14:textId="77777777" w:rsidR="00980E5F" w:rsidRDefault="00980E5F">
            <w:pPr>
              <w:rPr>
                <w:rFonts w:ascii="宋体"/>
                <w:vanish/>
              </w:rPr>
            </w:pPr>
          </w:p>
        </w:tc>
        <w:tc>
          <w:tcPr>
            <w:tcW w:w="0" w:type="auto"/>
            <w:gridSpan w:val="3"/>
            <w:shd w:val="clear" w:color="auto" w:fill="auto"/>
            <w:vAlign w:val="bottom"/>
          </w:tcPr>
          <w:p w14:paraId="392CA16E" w14:textId="77777777" w:rsidR="00980E5F" w:rsidRDefault="00980E5F">
            <w:pPr>
              <w:rPr>
                <w:rFonts w:ascii="宋体"/>
                <w:vanish/>
              </w:rPr>
            </w:pPr>
          </w:p>
        </w:tc>
        <w:tc>
          <w:tcPr>
            <w:tcW w:w="0" w:type="auto"/>
            <w:gridSpan w:val="3"/>
            <w:shd w:val="clear" w:color="auto" w:fill="auto"/>
            <w:vAlign w:val="bottom"/>
          </w:tcPr>
          <w:p w14:paraId="392CA16F" w14:textId="77777777" w:rsidR="00980E5F" w:rsidRDefault="00980E5F">
            <w:pPr>
              <w:rPr>
                <w:rFonts w:ascii="宋体"/>
                <w:vanish/>
              </w:rPr>
            </w:pPr>
          </w:p>
        </w:tc>
        <w:tc>
          <w:tcPr>
            <w:tcW w:w="0" w:type="auto"/>
            <w:gridSpan w:val="3"/>
            <w:shd w:val="clear" w:color="auto" w:fill="auto"/>
            <w:vAlign w:val="bottom"/>
          </w:tcPr>
          <w:p w14:paraId="392CA170" w14:textId="77777777" w:rsidR="00980E5F" w:rsidRDefault="00980E5F">
            <w:pPr>
              <w:rPr>
                <w:rFonts w:ascii="宋体"/>
                <w:vanish/>
              </w:rPr>
            </w:pPr>
          </w:p>
        </w:tc>
        <w:tc>
          <w:tcPr>
            <w:tcW w:w="0" w:type="auto"/>
            <w:shd w:val="clear" w:color="auto" w:fill="auto"/>
            <w:vAlign w:val="bottom"/>
          </w:tcPr>
          <w:p w14:paraId="392CA171" w14:textId="77777777" w:rsidR="00980E5F" w:rsidRDefault="00980E5F">
            <w:pPr>
              <w:rPr>
                <w:rFonts w:ascii="宋体"/>
                <w:vanish/>
              </w:rPr>
            </w:pPr>
          </w:p>
        </w:tc>
        <w:tc>
          <w:tcPr>
            <w:tcW w:w="0" w:type="auto"/>
            <w:shd w:val="clear" w:color="auto" w:fill="auto"/>
            <w:vAlign w:val="bottom"/>
          </w:tcPr>
          <w:p w14:paraId="392CA172" w14:textId="77777777" w:rsidR="00980E5F" w:rsidRDefault="00980E5F">
            <w:pPr>
              <w:rPr>
                <w:rFonts w:ascii="宋体"/>
                <w:vanish/>
              </w:rPr>
            </w:pPr>
          </w:p>
        </w:tc>
        <w:tc>
          <w:tcPr>
            <w:tcW w:w="0" w:type="auto"/>
            <w:shd w:val="clear" w:color="auto" w:fill="auto"/>
            <w:vAlign w:val="bottom"/>
          </w:tcPr>
          <w:p w14:paraId="392CA173" w14:textId="77777777" w:rsidR="00980E5F" w:rsidRDefault="00980E5F">
            <w:pPr>
              <w:rPr>
                <w:rFonts w:ascii="宋体"/>
                <w:vanish/>
              </w:rPr>
            </w:pPr>
          </w:p>
        </w:tc>
        <w:tc>
          <w:tcPr>
            <w:tcW w:w="0" w:type="auto"/>
            <w:shd w:val="clear" w:color="auto" w:fill="auto"/>
            <w:vAlign w:val="bottom"/>
          </w:tcPr>
          <w:p w14:paraId="392CA174" w14:textId="77777777" w:rsidR="00980E5F" w:rsidRDefault="00980E5F">
            <w:pPr>
              <w:rPr>
                <w:rFonts w:ascii="宋体"/>
                <w:vanish/>
              </w:rPr>
            </w:pPr>
          </w:p>
        </w:tc>
        <w:tc>
          <w:tcPr>
            <w:tcW w:w="0" w:type="auto"/>
            <w:gridSpan w:val="3"/>
            <w:shd w:val="clear" w:color="auto" w:fill="auto"/>
            <w:vAlign w:val="bottom"/>
          </w:tcPr>
          <w:p w14:paraId="392CA175" w14:textId="77777777" w:rsidR="00980E5F" w:rsidRDefault="00980E5F">
            <w:pPr>
              <w:rPr>
                <w:rFonts w:ascii="宋体"/>
                <w:vanish/>
              </w:rPr>
            </w:pPr>
          </w:p>
        </w:tc>
        <w:tc>
          <w:tcPr>
            <w:tcW w:w="0" w:type="auto"/>
            <w:gridSpan w:val="3"/>
            <w:shd w:val="clear" w:color="auto" w:fill="auto"/>
            <w:vAlign w:val="bottom"/>
          </w:tcPr>
          <w:p w14:paraId="392CA176" w14:textId="77777777" w:rsidR="00980E5F" w:rsidRDefault="00980E5F">
            <w:pPr>
              <w:rPr>
                <w:rFonts w:ascii="宋体"/>
                <w:vanish/>
              </w:rPr>
            </w:pPr>
          </w:p>
        </w:tc>
        <w:tc>
          <w:tcPr>
            <w:tcW w:w="0" w:type="auto"/>
            <w:gridSpan w:val="3"/>
            <w:shd w:val="clear" w:color="auto" w:fill="auto"/>
            <w:vAlign w:val="bottom"/>
          </w:tcPr>
          <w:p w14:paraId="392CA177" w14:textId="77777777" w:rsidR="00980E5F" w:rsidRDefault="00980E5F">
            <w:pPr>
              <w:rPr>
                <w:rFonts w:ascii="宋体"/>
                <w:vanish/>
              </w:rPr>
            </w:pPr>
          </w:p>
        </w:tc>
      </w:tr>
    </w:tbl>
    <w:p w14:paraId="392CA179" w14:textId="77777777" w:rsidR="00980E5F" w:rsidRDefault="00483613">
      <w:pPr>
        <w:spacing w:before="180"/>
      </w:pPr>
      <w:r>
        <w:rPr>
          <w:rFonts w:ascii="Arial" w:eastAsia="宋体" w:hAnsi="Arial" w:cs="Arial"/>
          <w:b/>
          <w:bCs/>
          <w:color w:val="000000"/>
          <w:sz w:val="20"/>
          <w:szCs w:val="20"/>
        </w:rPr>
        <w:t xml:space="preserve">Note 16. Earnings Per Common Share </w:t>
      </w:r>
    </w:p>
    <w:p w14:paraId="392CA17A" w14:textId="77777777" w:rsidR="00980E5F" w:rsidRDefault="00483613">
      <w:pPr>
        <w:spacing w:before="60"/>
        <w:ind w:firstLine="450"/>
        <w:jc w:val="both"/>
      </w:pPr>
      <w:r>
        <w:rPr>
          <w:rFonts w:ascii="Arial" w:eastAsia="宋体" w:hAnsi="Arial" w:cs="Arial"/>
          <w:color w:val="000000"/>
          <w:sz w:val="20"/>
          <w:szCs w:val="20"/>
        </w:rPr>
        <w:t>For additional information on our earnings per share calculation methodologies, refer to page 179 in Note 23 to the consolidated financial statements included under Item 8, Financial Statements and Supplementary Data, in</w:t>
      </w:r>
      <w:r>
        <w:rPr>
          <w:rFonts w:ascii="Arial" w:eastAsia="宋体" w:hAnsi="Arial" w:cs="Arial"/>
          <w:color w:val="000000"/>
          <w:sz w:val="20"/>
          <w:szCs w:val="20"/>
        </w:rPr>
        <w:t xml:space="preserve"> our 2021 Form 10-K.</w:t>
      </w:r>
    </w:p>
    <w:p w14:paraId="392CA17B" w14:textId="77777777" w:rsidR="00980E5F" w:rsidRDefault="00483613">
      <w:pPr>
        <w:spacing w:before="60"/>
        <w:ind w:firstLine="450"/>
        <w:jc w:val="both"/>
      </w:pPr>
      <w:r>
        <w:rPr>
          <w:rFonts w:ascii="Arial" w:eastAsia="宋体" w:hAnsi="Arial" w:cs="Arial"/>
          <w:color w:val="000000"/>
          <w:sz w:val="20"/>
          <w:szCs w:val="20"/>
        </w:rPr>
        <w:t>The following table presents the computation of basic and diluted earnings per common share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3700"/>
        <w:gridCol w:w="38"/>
        <w:gridCol w:w="99"/>
        <w:gridCol w:w="875"/>
        <w:gridCol w:w="36"/>
        <w:gridCol w:w="36"/>
        <w:gridCol w:w="36"/>
        <w:gridCol w:w="36"/>
        <w:gridCol w:w="99"/>
        <w:gridCol w:w="876"/>
        <w:gridCol w:w="36"/>
        <w:gridCol w:w="36"/>
        <w:gridCol w:w="36"/>
        <w:gridCol w:w="36"/>
        <w:gridCol w:w="99"/>
        <w:gridCol w:w="876"/>
        <w:gridCol w:w="36"/>
        <w:gridCol w:w="36"/>
        <w:gridCol w:w="36"/>
        <w:gridCol w:w="36"/>
        <w:gridCol w:w="99"/>
        <w:gridCol w:w="827"/>
        <w:gridCol w:w="36"/>
        <w:gridCol w:w="36"/>
        <w:gridCol w:w="36"/>
        <w:gridCol w:w="36"/>
        <w:gridCol w:w="36"/>
        <w:gridCol w:w="36"/>
        <w:gridCol w:w="36"/>
      </w:tblGrid>
      <w:tr w:rsidR="00980E5F" w14:paraId="392CA196" w14:textId="77777777">
        <w:tc>
          <w:tcPr>
            <w:tcW w:w="50" w:type="pct"/>
            <w:shd w:val="clear" w:color="auto" w:fill="auto"/>
            <w:vAlign w:val="bottom"/>
          </w:tcPr>
          <w:p w14:paraId="392CA17C" w14:textId="77777777" w:rsidR="00980E5F" w:rsidRDefault="00980E5F">
            <w:pPr>
              <w:rPr>
                <w:rFonts w:ascii="宋体"/>
              </w:rPr>
            </w:pPr>
          </w:p>
        </w:tc>
        <w:tc>
          <w:tcPr>
            <w:tcW w:w="2327" w:type="pct"/>
            <w:shd w:val="clear" w:color="auto" w:fill="auto"/>
            <w:vAlign w:val="bottom"/>
          </w:tcPr>
          <w:p w14:paraId="392CA17D" w14:textId="77777777" w:rsidR="00980E5F" w:rsidRDefault="00980E5F">
            <w:pPr>
              <w:rPr>
                <w:rFonts w:ascii="宋体"/>
              </w:rPr>
            </w:pPr>
          </w:p>
        </w:tc>
        <w:tc>
          <w:tcPr>
            <w:tcW w:w="5" w:type="pct"/>
            <w:shd w:val="clear" w:color="auto" w:fill="auto"/>
            <w:vAlign w:val="bottom"/>
          </w:tcPr>
          <w:p w14:paraId="392CA17E" w14:textId="77777777" w:rsidR="00980E5F" w:rsidRDefault="00980E5F">
            <w:pPr>
              <w:rPr>
                <w:rFonts w:ascii="宋体"/>
              </w:rPr>
            </w:pPr>
          </w:p>
        </w:tc>
        <w:tc>
          <w:tcPr>
            <w:tcW w:w="50" w:type="pct"/>
            <w:shd w:val="clear" w:color="auto" w:fill="auto"/>
            <w:vAlign w:val="bottom"/>
          </w:tcPr>
          <w:p w14:paraId="392CA17F" w14:textId="77777777" w:rsidR="00980E5F" w:rsidRDefault="00980E5F">
            <w:pPr>
              <w:rPr>
                <w:rFonts w:ascii="宋体"/>
              </w:rPr>
            </w:pPr>
          </w:p>
        </w:tc>
        <w:tc>
          <w:tcPr>
            <w:tcW w:w="575" w:type="pct"/>
            <w:shd w:val="clear" w:color="auto" w:fill="auto"/>
            <w:vAlign w:val="bottom"/>
          </w:tcPr>
          <w:p w14:paraId="392CA180" w14:textId="77777777" w:rsidR="00980E5F" w:rsidRDefault="00980E5F">
            <w:pPr>
              <w:rPr>
                <w:rFonts w:ascii="宋体"/>
              </w:rPr>
            </w:pPr>
          </w:p>
        </w:tc>
        <w:tc>
          <w:tcPr>
            <w:tcW w:w="5" w:type="pct"/>
            <w:shd w:val="clear" w:color="auto" w:fill="auto"/>
            <w:vAlign w:val="bottom"/>
          </w:tcPr>
          <w:p w14:paraId="392CA181" w14:textId="77777777" w:rsidR="00980E5F" w:rsidRDefault="00980E5F">
            <w:pPr>
              <w:rPr>
                <w:rFonts w:ascii="宋体"/>
              </w:rPr>
            </w:pPr>
          </w:p>
        </w:tc>
        <w:tc>
          <w:tcPr>
            <w:tcW w:w="5" w:type="pct"/>
            <w:shd w:val="clear" w:color="auto" w:fill="auto"/>
            <w:vAlign w:val="bottom"/>
          </w:tcPr>
          <w:p w14:paraId="392CA182" w14:textId="77777777" w:rsidR="00980E5F" w:rsidRDefault="00980E5F">
            <w:pPr>
              <w:rPr>
                <w:rFonts w:ascii="宋体"/>
              </w:rPr>
            </w:pPr>
          </w:p>
        </w:tc>
        <w:tc>
          <w:tcPr>
            <w:tcW w:w="19" w:type="pct"/>
            <w:shd w:val="clear" w:color="auto" w:fill="auto"/>
            <w:vAlign w:val="bottom"/>
          </w:tcPr>
          <w:p w14:paraId="392CA183" w14:textId="77777777" w:rsidR="00980E5F" w:rsidRDefault="00980E5F">
            <w:pPr>
              <w:rPr>
                <w:rFonts w:ascii="宋体"/>
              </w:rPr>
            </w:pPr>
          </w:p>
        </w:tc>
        <w:tc>
          <w:tcPr>
            <w:tcW w:w="5" w:type="pct"/>
            <w:shd w:val="clear" w:color="auto" w:fill="auto"/>
            <w:vAlign w:val="bottom"/>
          </w:tcPr>
          <w:p w14:paraId="392CA184" w14:textId="77777777" w:rsidR="00980E5F" w:rsidRDefault="00980E5F">
            <w:pPr>
              <w:rPr>
                <w:rFonts w:ascii="宋体"/>
              </w:rPr>
            </w:pPr>
          </w:p>
        </w:tc>
        <w:tc>
          <w:tcPr>
            <w:tcW w:w="50" w:type="pct"/>
            <w:shd w:val="clear" w:color="auto" w:fill="auto"/>
            <w:vAlign w:val="bottom"/>
          </w:tcPr>
          <w:p w14:paraId="392CA185" w14:textId="77777777" w:rsidR="00980E5F" w:rsidRDefault="00980E5F">
            <w:pPr>
              <w:rPr>
                <w:rFonts w:ascii="宋体"/>
              </w:rPr>
            </w:pPr>
          </w:p>
        </w:tc>
        <w:tc>
          <w:tcPr>
            <w:tcW w:w="575" w:type="pct"/>
            <w:shd w:val="clear" w:color="auto" w:fill="auto"/>
            <w:vAlign w:val="bottom"/>
          </w:tcPr>
          <w:p w14:paraId="392CA186" w14:textId="77777777" w:rsidR="00980E5F" w:rsidRDefault="00980E5F">
            <w:pPr>
              <w:rPr>
                <w:rFonts w:ascii="宋体"/>
              </w:rPr>
            </w:pPr>
          </w:p>
        </w:tc>
        <w:tc>
          <w:tcPr>
            <w:tcW w:w="5" w:type="pct"/>
            <w:shd w:val="clear" w:color="auto" w:fill="auto"/>
            <w:vAlign w:val="bottom"/>
          </w:tcPr>
          <w:p w14:paraId="392CA187" w14:textId="77777777" w:rsidR="00980E5F" w:rsidRDefault="00980E5F">
            <w:pPr>
              <w:rPr>
                <w:rFonts w:ascii="宋体"/>
              </w:rPr>
            </w:pPr>
          </w:p>
        </w:tc>
        <w:tc>
          <w:tcPr>
            <w:tcW w:w="5" w:type="pct"/>
            <w:shd w:val="clear" w:color="auto" w:fill="auto"/>
            <w:vAlign w:val="bottom"/>
          </w:tcPr>
          <w:p w14:paraId="392CA188" w14:textId="77777777" w:rsidR="00980E5F" w:rsidRDefault="00980E5F">
            <w:pPr>
              <w:rPr>
                <w:rFonts w:ascii="宋体"/>
              </w:rPr>
            </w:pPr>
          </w:p>
        </w:tc>
        <w:tc>
          <w:tcPr>
            <w:tcW w:w="19" w:type="pct"/>
            <w:shd w:val="clear" w:color="auto" w:fill="auto"/>
            <w:vAlign w:val="bottom"/>
          </w:tcPr>
          <w:p w14:paraId="392CA189" w14:textId="77777777" w:rsidR="00980E5F" w:rsidRDefault="00980E5F">
            <w:pPr>
              <w:rPr>
                <w:rFonts w:ascii="宋体"/>
              </w:rPr>
            </w:pPr>
          </w:p>
        </w:tc>
        <w:tc>
          <w:tcPr>
            <w:tcW w:w="5" w:type="pct"/>
            <w:shd w:val="clear" w:color="auto" w:fill="auto"/>
            <w:vAlign w:val="bottom"/>
          </w:tcPr>
          <w:p w14:paraId="392CA18A" w14:textId="77777777" w:rsidR="00980E5F" w:rsidRDefault="00980E5F">
            <w:pPr>
              <w:rPr>
                <w:rFonts w:ascii="宋体"/>
              </w:rPr>
            </w:pPr>
          </w:p>
        </w:tc>
        <w:tc>
          <w:tcPr>
            <w:tcW w:w="50" w:type="pct"/>
            <w:shd w:val="clear" w:color="auto" w:fill="auto"/>
            <w:vAlign w:val="bottom"/>
          </w:tcPr>
          <w:p w14:paraId="392CA18B" w14:textId="77777777" w:rsidR="00980E5F" w:rsidRDefault="00980E5F">
            <w:pPr>
              <w:rPr>
                <w:rFonts w:ascii="宋体"/>
              </w:rPr>
            </w:pPr>
          </w:p>
        </w:tc>
        <w:tc>
          <w:tcPr>
            <w:tcW w:w="575" w:type="pct"/>
            <w:shd w:val="clear" w:color="auto" w:fill="auto"/>
            <w:vAlign w:val="bottom"/>
          </w:tcPr>
          <w:p w14:paraId="392CA18C" w14:textId="77777777" w:rsidR="00980E5F" w:rsidRDefault="00980E5F">
            <w:pPr>
              <w:rPr>
                <w:rFonts w:ascii="宋体"/>
              </w:rPr>
            </w:pPr>
          </w:p>
        </w:tc>
        <w:tc>
          <w:tcPr>
            <w:tcW w:w="5" w:type="pct"/>
            <w:shd w:val="clear" w:color="auto" w:fill="auto"/>
            <w:vAlign w:val="bottom"/>
          </w:tcPr>
          <w:p w14:paraId="392CA18D" w14:textId="77777777" w:rsidR="00980E5F" w:rsidRDefault="00980E5F">
            <w:pPr>
              <w:rPr>
                <w:rFonts w:ascii="宋体"/>
              </w:rPr>
            </w:pPr>
          </w:p>
        </w:tc>
        <w:tc>
          <w:tcPr>
            <w:tcW w:w="5" w:type="pct"/>
            <w:shd w:val="clear" w:color="auto" w:fill="auto"/>
            <w:vAlign w:val="bottom"/>
          </w:tcPr>
          <w:p w14:paraId="392CA18E" w14:textId="77777777" w:rsidR="00980E5F" w:rsidRDefault="00980E5F">
            <w:pPr>
              <w:rPr>
                <w:rFonts w:ascii="宋体"/>
              </w:rPr>
            </w:pPr>
          </w:p>
        </w:tc>
        <w:tc>
          <w:tcPr>
            <w:tcW w:w="26" w:type="pct"/>
            <w:shd w:val="clear" w:color="auto" w:fill="auto"/>
            <w:vAlign w:val="bottom"/>
          </w:tcPr>
          <w:p w14:paraId="392CA18F" w14:textId="77777777" w:rsidR="00980E5F" w:rsidRDefault="00980E5F">
            <w:pPr>
              <w:rPr>
                <w:rFonts w:ascii="宋体"/>
              </w:rPr>
            </w:pPr>
          </w:p>
        </w:tc>
        <w:tc>
          <w:tcPr>
            <w:tcW w:w="5" w:type="pct"/>
            <w:shd w:val="clear" w:color="auto" w:fill="auto"/>
            <w:vAlign w:val="bottom"/>
          </w:tcPr>
          <w:p w14:paraId="392CA190" w14:textId="77777777" w:rsidR="00980E5F" w:rsidRDefault="00980E5F">
            <w:pPr>
              <w:rPr>
                <w:rFonts w:ascii="宋体"/>
              </w:rPr>
            </w:pPr>
          </w:p>
        </w:tc>
        <w:tc>
          <w:tcPr>
            <w:tcW w:w="50" w:type="pct"/>
            <w:shd w:val="clear" w:color="auto" w:fill="auto"/>
            <w:vAlign w:val="bottom"/>
          </w:tcPr>
          <w:p w14:paraId="392CA191" w14:textId="77777777" w:rsidR="00980E5F" w:rsidRDefault="00980E5F">
            <w:pPr>
              <w:rPr>
                <w:rFonts w:ascii="宋体"/>
              </w:rPr>
            </w:pPr>
          </w:p>
        </w:tc>
        <w:tc>
          <w:tcPr>
            <w:tcW w:w="575" w:type="pct"/>
            <w:shd w:val="clear" w:color="auto" w:fill="auto"/>
            <w:vAlign w:val="bottom"/>
          </w:tcPr>
          <w:p w14:paraId="392CA192" w14:textId="77777777" w:rsidR="00980E5F" w:rsidRDefault="00980E5F">
            <w:pPr>
              <w:rPr>
                <w:rFonts w:ascii="宋体"/>
              </w:rPr>
            </w:pPr>
          </w:p>
        </w:tc>
        <w:tc>
          <w:tcPr>
            <w:tcW w:w="5" w:type="pct"/>
            <w:shd w:val="clear" w:color="auto" w:fill="auto"/>
            <w:vAlign w:val="bottom"/>
          </w:tcPr>
          <w:p w14:paraId="392CA193" w14:textId="77777777" w:rsidR="00980E5F" w:rsidRDefault="00980E5F">
            <w:pPr>
              <w:rPr>
                <w:rFonts w:ascii="宋体"/>
              </w:rPr>
            </w:pPr>
          </w:p>
        </w:tc>
        <w:tc>
          <w:tcPr>
            <w:tcW w:w="0" w:type="auto"/>
            <w:gridSpan w:val="3"/>
            <w:shd w:val="clear" w:color="auto" w:fill="auto"/>
            <w:vAlign w:val="bottom"/>
          </w:tcPr>
          <w:p w14:paraId="392CA194" w14:textId="77777777" w:rsidR="00980E5F" w:rsidRDefault="00980E5F">
            <w:pPr>
              <w:rPr>
                <w:rFonts w:ascii="宋体"/>
                <w:vanish/>
              </w:rPr>
            </w:pPr>
          </w:p>
        </w:tc>
        <w:tc>
          <w:tcPr>
            <w:tcW w:w="0" w:type="auto"/>
            <w:gridSpan w:val="3"/>
            <w:shd w:val="clear" w:color="auto" w:fill="auto"/>
            <w:vAlign w:val="bottom"/>
          </w:tcPr>
          <w:p w14:paraId="392CA195" w14:textId="77777777" w:rsidR="00980E5F" w:rsidRDefault="00980E5F">
            <w:pPr>
              <w:rPr>
                <w:rFonts w:ascii="宋体"/>
                <w:vanish/>
              </w:rPr>
            </w:pPr>
          </w:p>
        </w:tc>
      </w:tr>
      <w:tr w:rsidR="00980E5F" w14:paraId="392CA1A1" w14:textId="77777777">
        <w:tc>
          <w:tcPr>
            <w:tcW w:w="0" w:type="auto"/>
            <w:gridSpan w:val="3"/>
            <w:shd w:val="clear" w:color="auto" w:fill="auto"/>
            <w:tcMar>
              <w:top w:w="0" w:type="dxa"/>
              <w:left w:w="20" w:type="dxa"/>
              <w:bottom w:w="0" w:type="dxa"/>
              <w:right w:w="20" w:type="dxa"/>
            </w:tcMar>
            <w:vAlign w:val="bottom"/>
          </w:tcPr>
          <w:p w14:paraId="392CA197"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A198"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gridSpan w:val="3"/>
            <w:shd w:val="clear" w:color="auto" w:fill="auto"/>
            <w:tcMar>
              <w:top w:w="0" w:type="dxa"/>
              <w:left w:w="20" w:type="dxa"/>
              <w:bottom w:w="0" w:type="dxa"/>
              <w:right w:w="20" w:type="dxa"/>
            </w:tcMar>
            <w:vAlign w:val="bottom"/>
          </w:tcPr>
          <w:p w14:paraId="392CA199" w14:textId="77777777" w:rsidR="00980E5F" w:rsidRDefault="00980E5F">
            <w:pPr>
              <w:rPr>
                <w:rFonts w:ascii="宋体"/>
              </w:rPr>
            </w:pPr>
          </w:p>
        </w:tc>
        <w:tc>
          <w:tcPr>
            <w:tcW w:w="0" w:type="auto"/>
            <w:gridSpan w:val="9"/>
            <w:shd w:val="clear" w:color="auto" w:fill="auto"/>
            <w:tcMar>
              <w:top w:w="40" w:type="dxa"/>
              <w:left w:w="20" w:type="dxa"/>
              <w:bottom w:w="40" w:type="dxa"/>
              <w:right w:w="20" w:type="dxa"/>
            </w:tcMar>
            <w:vAlign w:val="bottom"/>
          </w:tcPr>
          <w:p w14:paraId="392CA19A"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A19B" w14:textId="77777777" w:rsidR="00980E5F" w:rsidRDefault="00980E5F">
            <w:pPr>
              <w:rPr>
                <w:rFonts w:ascii="宋体"/>
              </w:rPr>
            </w:pPr>
          </w:p>
        </w:tc>
        <w:tc>
          <w:tcPr>
            <w:tcW w:w="0" w:type="auto"/>
            <w:shd w:val="clear" w:color="auto" w:fill="auto"/>
            <w:vAlign w:val="bottom"/>
          </w:tcPr>
          <w:p w14:paraId="392CA19C" w14:textId="77777777" w:rsidR="00980E5F" w:rsidRDefault="00980E5F">
            <w:pPr>
              <w:rPr>
                <w:rFonts w:ascii="宋体"/>
              </w:rPr>
            </w:pPr>
          </w:p>
        </w:tc>
        <w:tc>
          <w:tcPr>
            <w:tcW w:w="0" w:type="auto"/>
            <w:shd w:val="clear" w:color="auto" w:fill="auto"/>
            <w:vAlign w:val="bottom"/>
          </w:tcPr>
          <w:p w14:paraId="392CA19D" w14:textId="77777777" w:rsidR="00980E5F" w:rsidRDefault="00980E5F">
            <w:pPr>
              <w:rPr>
                <w:rFonts w:ascii="宋体"/>
              </w:rPr>
            </w:pPr>
          </w:p>
        </w:tc>
        <w:tc>
          <w:tcPr>
            <w:tcW w:w="0" w:type="auto"/>
            <w:shd w:val="clear" w:color="auto" w:fill="auto"/>
            <w:vAlign w:val="bottom"/>
          </w:tcPr>
          <w:p w14:paraId="392CA19E" w14:textId="77777777" w:rsidR="00980E5F" w:rsidRDefault="00980E5F">
            <w:pPr>
              <w:rPr>
                <w:rFonts w:ascii="宋体"/>
              </w:rPr>
            </w:pPr>
          </w:p>
        </w:tc>
        <w:tc>
          <w:tcPr>
            <w:tcW w:w="0" w:type="auto"/>
            <w:shd w:val="clear" w:color="auto" w:fill="auto"/>
            <w:vAlign w:val="bottom"/>
          </w:tcPr>
          <w:p w14:paraId="392CA19F" w14:textId="77777777" w:rsidR="00980E5F" w:rsidRDefault="00980E5F">
            <w:pPr>
              <w:rPr>
                <w:rFonts w:ascii="宋体"/>
              </w:rPr>
            </w:pPr>
          </w:p>
        </w:tc>
        <w:tc>
          <w:tcPr>
            <w:tcW w:w="0" w:type="auto"/>
            <w:shd w:val="clear" w:color="auto" w:fill="auto"/>
            <w:vAlign w:val="bottom"/>
          </w:tcPr>
          <w:p w14:paraId="392CA1A0" w14:textId="77777777" w:rsidR="00980E5F" w:rsidRDefault="00980E5F">
            <w:pPr>
              <w:rPr>
                <w:rFonts w:ascii="宋体"/>
              </w:rPr>
            </w:pPr>
          </w:p>
        </w:tc>
      </w:tr>
      <w:tr w:rsidR="00980E5F" w14:paraId="392CA1AC" w14:textId="77777777">
        <w:tc>
          <w:tcPr>
            <w:tcW w:w="0" w:type="auto"/>
            <w:gridSpan w:val="3"/>
            <w:shd w:val="clear" w:color="auto" w:fill="auto"/>
            <w:tcMar>
              <w:top w:w="40" w:type="dxa"/>
              <w:left w:w="20" w:type="dxa"/>
              <w:bottom w:w="40" w:type="dxa"/>
              <w:right w:w="20" w:type="dxa"/>
            </w:tcMar>
            <w:vAlign w:val="bottom"/>
          </w:tcPr>
          <w:p w14:paraId="392CA1A2" w14:textId="77777777" w:rsidR="00980E5F" w:rsidRDefault="00483613">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1A3"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1A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1A5"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392CA1A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1A7" w14:textId="77777777" w:rsidR="00980E5F" w:rsidRDefault="00483613">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1A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1A9" w14:textId="77777777" w:rsidR="00980E5F" w:rsidRDefault="00483613">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392CA1AA" w14:textId="77777777" w:rsidR="00980E5F" w:rsidRDefault="00980E5F">
            <w:pPr>
              <w:rPr>
                <w:rFonts w:ascii="宋体"/>
                <w:vanish/>
              </w:rPr>
            </w:pPr>
          </w:p>
        </w:tc>
        <w:tc>
          <w:tcPr>
            <w:tcW w:w="0" w:type="auto"/>
            <w:gridSpan w:val="3"/>
            <w:shd w:val="clear" w:color="auto" w:fill="auto"/>
            <w:vAlign w:val="bottom"/>
          </w:tcPr>
          <w:p w14:paraId="392CA1AB" w14:textId="77777777" w:rsidR="00980E5F" w:rsidRDefault="00980E5F">
            <w:pPr>
              <w:rPr>
                <w:rFonts w:ascii="宋体"/>
                <w:vanish/>
              </w:rPr>
            </w:pPr>
          </w:p>
        </w:tc>
      </w:tr>
      <w:tr w:rsidR="00980E5F" w14:paraId="392CA1BF" w14:textId="77777777">
        <w:tc>
          <w:tcPr>
            <w:tcW w:w="0" w:type="auto"/>
            <w:gridSpan w:val="3"/>
            <w:shd w:val="clear" w:color="auto" w:fill="CCEEFF"/>
            <w:tcMar>
              <w:top w:w="40" w:type="dxa"/>
              <w:left w:w="20" w:type="dxa"/>
              <w:bottom w:w="40" w:type="dxa"/>
              <w:right w:w="20" w:type="dxa"/>
            </w:tcMar>
            <w:vAlign w:val="bottom"/>
          </w:tcPr>
          <w:p w14:paraId="392CA1AD" w14:textId="77777777" w:rsidR="00980E5F" w:rsidRDefault="00483613">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1AE"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AF" w14:textId="77777777" w:rsidR="00980E5F" w:rsidRDefault="00483613">
            <w:pPr>
              <w:jc w:val="right"/>
              <w:textAlignment w:val="bottom"/>
            </w:pPr>
            <w:r>
              <w:rPr>
                <w:rFonts w:ascii="Arial" w:eastAsia="宋体" w:hAnsi="Arial" w:cs="Arial"/>
                <w:b/>
                <w:bCs/>
                <w:color w:val="000000"/>
                <w:sz w:val="14"/>
                <w:szCs w:val="14"/>
              </w:rPr>
              <w:t>747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B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B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B2"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B3" w14:textId="77777777" w:rsidR="00980E5F" w:rsidRDefault="00483613">
            <w:pPr>
              <w:jc w:val="right"/>
              <w:textAlignment w:val="bottom"/>
            </w:pPr>
            <w:r>
              <w:rPr>
                <w:rFonts w:ascii="Arial" w:eastAsia="宋体" w:hAnsi="Arial" w:cs="Arial"/>
                <w:color w:val="000000"/>
                <w:sz w:val="14"/>
                <w:szCs w:val="14"/>
              </w:rPr>
              <w:t>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B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B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B7" w14:textId="77777777" w:rsidR="00980E5F" w:rsidRDefault="00483613">
            <w:pPr>
              <w:jc w:val="right"/>
              <w:textAlignment w:val="bottom"/>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B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B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B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BB" w14:textId="77777777" w:rsidR="00980E5F" w:rsidRDefault="00483613">
            <w:pPr>
              <w:jc w:val="right"/>
              <w:textAlignment w:val="bottom"/>
            </w:pPr>
            <w:r>
              <w:rPr>
                <w:rFonts w:ascii="Arial" w:eastAsia="宋体" w:hAnsi="Arial" w:cs="Arial"/>
                <w:color w:val="000000"/>
                <w:sz w:val="14"/>
                <w:szCs w:val="14"/>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BC" w14:textId="77777777" w:rsidR="00980E5F" w:rsidRDefault="00980E5F">
            <w:pPr>
              <w:jc w:val="right"/>
              <w:rPr>
                <w:rFonts w:ascii="宋体"/>
              </w:rPr>
            </w:pPr>
          </w:p>
        </w:tc>
        <w:tc>
          <w:tcPr>
            <w:tcW w:w="0" w:type="auto"/>
            <w:gridSpan w:val="3"/>
            <w:shd w:val="clear" w:color="auto" w:fill="auto"/>
            <w:vAlign w:val="bottom"/>
          </w:tcPr>
          <w:p w14:paraId="392CA1BD" w14:textId="77777777" w:rsidR="00980E5F" w:rsidRDefault="00980E5F">
            <w:pPr>
              <w:rPr>
                <w:rFonts w:ascii="宋体"/>
                <w:vanish/>
              </w:rPr>
            </w:pPr>
          </w:p>
        </w:tc>
        <w:tc>
          <w:tcPr>
            <w:tcW w:w="0" w:type="auto"/>
            <w:gridSpan w:val="3"/>
            <w:shd w:val="clear" w:color="auto" w:fill="auto"/>
            <w:vAlign w:val="bottom"/>
          </w:tcPr>
          <w:p w14:paraId="392CA1BE" w14:textId="77777777" w:rsidR="00980E5F" w:rsidRDefault="00980E5F">
            <w:pPr>
              <w:rPr>
                <w:rFonts w:ascii="宋体"/>
                <w:vanish/>
              </w:rPr>
            </w:pPr>
          </w:p>
        </w:tc>
      </w:tr>
      <w:tr w:rsidR="00980E5F" w14:paraId="392CA1CA" w14:textId="77777777">
        <w:tc>
          <w:tcPr>
            <w:tcW w:w="0" w:type="auto"/>
            <w:gridSpan w:val="3"/>
            <w:shd w:val="clear" w:color="auto" w:fill="FFFFFF"/>
            <w:tcMar>
              <w:top w:w="40" w:type="dxa"/>
              <w:left w:w="20" w:type="dxa"/>
              <w:bottom w:w="40" w:type="dxa"/>
              <w:right w:w="20" w:type="dxa"/>
            </w:tcMar>
            <w:vAlign w:val="bottom"/>
          </w:tcPr>
          <w:p w14:paraId="392CA1C0" w14:textId="77777777" w:rsidR="00980E5F" w:rsidRDefault="00483613">
            <w:pPr>
              <w:textAlignment w:val="bottom"/>
            </w:pPr>
            <w:r>
              <w:rPr>
                <w:rFonts w:ascii="Arial" w:eastAsia="宋体" w:hAnsi="Arial" w:cs="Arial"/>
                <w:color w:val="000000"/>
                <w:sz w:val="14"/>
                <w:szCs w:val="14"/>
              </w:rPr>
              <w:t>Less:</w:t>
            </w:r>
          </w:p>
        </w:tc>
        <w:tc>
          <w:tcPr>
            <w:tcW w:w="0" w:type="auto"/>
            <w:gridSpan w:val="3"/>
            <w:shd w:val="clear" w:color="auto" w:fill="FFFFFF"/>
            <w:tcMar>
              <w:top w:w="0" w:type="dxa"/>
              <w:left w:w="20" w:type="dxa"/>
              <w:bottom w:w="0" w:type="dxa"/>
              <w:right w:w="20" w:type="dxa"/>
            </w:tcMar>
            <w:vAlign w:val="bottom"/>
          </w:tcPr>
          <w:p w14:paraId="392CA1C1"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2"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3"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4"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5"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1C7" w14:textId="77777777" w:rsidR="00980E5F" w:rsidRDefault="00980E5F">
            <w:pPr>
              <w:rPr>
                <w:rFonts w:ascii="宋体"/>
              </w:rPr>
            </w:pPr>
          </w:p>
        </w:tc>
        <w:tc>
          <w:tcPr>
            <w:tcW w:w="0" w:type="auto"/>
            <w:gridSpan w:val="3"/>
            <w:shd w:val="clear" w:color="auto" w:fill="auto"/>
            <w:vAlign w:val="bottom"/>
          </w:tcPr>
          <w:p w14:paraId="392CA1C8" w14:textId="77777777" w:rsidR="00980E5F" w:rsidRDefault="00980E5F">
            <w:pPr>
              <w:rPr>
                <w:rFonts w:ascii="宋体"/>
                <w:vanish/>
              </w:rPr>
            </w:pPr>
          </w:p>
        </w:tc>
        <w:tc>
          <w:tcPr>
            <w:tcW w:w="0" w:type="auto"/>
            <w:gridSpan w:val="3"/>
            <w:shd w:val="clear" w:color="auto" w:fill="auto"/>
            <w:vAlign w:val="bottom"/>
          </w:tcPr>
          <w:p w14:paraId="392CA1C9" w14:textId="77777777" w:rsidR="00980E5F" w:rsidRDefault="00980E5F">
            <w:pPr>
              <w:rPr>
                <w:rFonts w:ascii="宋体"/>
                <w:vanish/>
              </w:rPr>
            </w:pPr>
          </w:p>
        </w:tc>
      </w:tr>
      <w:tr w:rsidR="00980E5F" w14:paraId="392CA1D9" w14:textId="77777777">
        <w:tc>
          <w:tcPr>
            <w:tcW w:w="0" w:type="auto"/>
            <w:gridSpan w:val="3"/>
            <w:shd w:val="clear" w:color="auto" w:fill="CCEEFF"/>
            <w:tcMar>
              <w:top w:w="40" w:type="dxa"/>
              <w:left w:w="125" w:type="dxa"/>
              <w:bottom w:w="40" w:type="dxa"/>
              <w:right w:w="20" w:type="dxa"/>
            </w:tcMar>
            <w:vAlign w:val="bottom"/>
          </w:tcPr>
          <w:p w14:paraId="392CA1CB" w14:textId="77777777" w:rsidR="00980E5F" w:rsidRDefault="00483613">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392CA1CC" w14:textId="77777777" w:rsidR="00980E5F" w:rsidRDefault="00483613">
            <w:pPr>
              <w:jc w:val="right"/>
              <w:textAlignment w:val="bottom"/>
            </w:pPr>
            <w:r>
              <w:rPr>
                <w:rFonts w:ascii="Arial" w:eastAsia="宋体" w:hAnsi="Arial" w:cs="Arial"/>
                <w:b/>
                <w:bCs/>
                <w:color w:val="000000"/>
                <w:sz w:val="14"/>
                <w:szCs w:val="14"/>
              </w:rPr>
              <w:t>(35)</w:t>
            </w:r>
          </w:p>
        </w:tc>
        <w:tc>
          <w:tcPr>
            <w:tcW w:w="0" w:type="auto"/>
            <w:shd w:val="clear" w:color="auto" w:fill="CCEEFF"/>
            <w:tcMar>
              <w:top w:w="40" w:type="dxa"/>
              <w:left w:w="0" w:type="dxa"/>
              <w:bottom w:w="40" w:type="dxa"/>
              <w:right w:w="20" w:type="dxa"/>
            </w:tcMar>
            <w:vAlign w:val="bottom"/>
          </w:tcPr>
          <w:p w14:paraId="392CA1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C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1CF" w14:textId="77777777" w:rsidR="00980E5F" w:rsidRDefault="00483613">
            <w:pPr>
              <w:jc w:val="right"/>
              <w:textAlignment w:val="bottom"/>
            </w:pPr>
            <w:r>
              <w:rPr>
                <w:rFonts w:ascii="Arial" w:eastAsia="宋体" w:hAnsi="Arial" w:cs="Arial"/>
                <w:color w:val="000000"/>
                <w:sz w:val="14"/>
                <w:szCs w:val="14"/>
              </w:rPr>
              <w:t>(34)</w:t>
            </w:r>
          </w:p>
        </w:tc>
        <w:tc>
          <w:tcPr>
            <w:tcW w:w="0" w:type="auto"/>
            <w:shd w:val="clear" w:color="auto" w:fill="CCEEFF"/>
            <w:tcMar>
              <w:top w:w="40" w:type="dxa"/>
              <w:left w:w="0" w:type="dxa"/>
              <w:bottom w:w="40" w:type="dxa"/>
              <w:right w:w="20" w:type="dxa"/>
            </w:tcMar>
            <w:vAlign w:val="bottom"/>
          </w:tcPr>
          <w:p w14:paraId="392CA1D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D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1D2" w14:textId="77777777" w:rsidR="00980E5F" w:rsidRDefault="00483613">
            <w:pPr>
              <w:jc w:val="right"/>
              <w:textAlignment w:val="bottom"/>
            </w:pPr>
            <w:r>
              <w:rPr>
                <w:rFonts w:ascii="Arial" w:eastAsia="宋体" w:hAnsi="Arial" w:cs="Arial"/>
                <w:b/>
                <w:bCs/>
                <w:color w:val="000000"/>
                <w:sz w:val="14"/>
                <w:szCs w:val="14"/>
              </w:rPr>
              <w:t>(55)</w:t>
            </w:r>
          </w:p>
        </w:tc>
        <w:tc>
          <w:tcPr>
            <w:tcW w:w="0" w:type="auto"/>
            <w:shd w:val="clear" w:color="auto" w:fill="CCEEFF"/>
            <w:tcMar>
              <w:top w:w="40" w:type="dxa"/>
              <w:left w:w="0" w:type="dxa"/>
              <w:bottom w:w="40" w:type="dxa"/>
              <w:right w:w="20" w:type="dxa"/>
            </w:tcMar>
            <w:vAlign w:val="bottom"/>
          </w:tcPr>
          <w:p w14:paraId="392CA1D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D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1D5" w14:textId="77777777" w:rsidR="00980E5F" w:rsidRDefault="00483613">
            <w:pPr>
              <w:jc w:val="right"/>
              <w:textAlignment w:val="bottom"/>
            </w:pPr>
            <w:r>
              <w:rPr>
                <w:rFonts w:ascii="Arial" w:eastAsia="宋体" w:hAnsi="Arial" w:cs="Arial"/>
                <w:color w:val="000000"/>
                <w:sz w:val="14"/>
                <w:szCs w:val="14"/>
              </w:rPr>
              <w:t>(64)</w:t>
            </w:r>
          </w:p>
        </w:tc>
        <w:tc>
          <w:tcPr>
            <w:tcW w:w="0" w:type="auto"/>
            <w:shd w:val="clear" w:color="auto" w:fill="CCEEFF"/>
            <w:tcMar>
              <w:top w:w="40" w:type="dxa"/>
              <w:left w:w="0" w:type="dxa"/>
              <w:bottom w:w="40" w:type="dxa"/>
              <w:right w:w="20" w:type="dxa"/>
            </w:tcMar>
            <w:vAlign w:val="bottom"/>
          </w:tcPr>
          <w:p w14:paraId="392CA1D6" w14:textId="77777777" w:rsidR="00980E5F" w:rsidRDefault="00980E5F">
            <w:pPr>
              <w:jc w:val="right"/>
              <w:rPr>
                <w:rFonts w:ascii="宋体"/>
              </w:rPr>
            </w:pPr>
          </w:p>
        </w:tc>
        <w:tc>
          <w:tcPr>
            <w:tcW w:w="0" w:type="auto"/>
            <w:gridSpan w:val="3"/>
            <w:shd w:val="clear" w:color="auto" w:fill="auto"/>
            <w:vAlign w:val="bottom"/>
          </w:tcPr>
          <w:p w14:paraId="392CA1D7" w14:textId="77777777" w:rsidR="00980E5F" w:rsidRDefault="00980E5F">
            <w:pPr>
              <w:rPr>
                <w:rFonts w:ascii="宋体"/>
                <w:vanish/>
              </w:rPr>
            </w:pPr>
          </w:p>
        </w:tc>
        <w:tc>
          <w:tcPr>
            <w:tcW w:w="0" w:type="auto"/>
            <w:gridSpan w:val="3"/>
            <w:shd w:val="clear" w:color="auto" w:fill="auto"/>
            <w:vAlign w:val="bottom"/>
          </w:tcPr>
          <w:p w14:paraId="392CA1D8" w14:textId="77777777" w:rsidR="00980E5F" w:rsidRDefault="00980E5F">
            <w:pPr>
              <w:rPr>
                <w:rFonts w:ascii="宋体"/>
                <w:vanish/>
              </w:rPr>
            </w:pPr>
          </w:p>
        </w:tc>
      </w:tr>
      <w:tr w:rsidR="00980E5F" w14:paraId="392CA1E8" w14:textId="77777777">
        <w:tc>
          <w:tcPr>
            <w:tcW w:w="0" w:type="auto"/>
            <w:gridSpan w:val="3"/>
            <w:shd w:val="clear" w:color="auto" w:fill="FFFFFF"/>
            <w:tcMar>
              <w:top w:w="40" w:type="dxa"/>
              <w:left w:w="20" w:type="dxa"/>
              <w:bottom w:w="40" w:type="dxa"/>
              <w:right w:w="20" w:type="dxa"/>
            </w:tcMar>
            <w:vAlign w:val="bottom"/>
          </w:tcPr>
          <w:p w14:paraId="392CA1DA" w14:textId="77777777" w:rsidR="00980E5F" w:rsidRDefault="00483613">
            <w:pP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392CA1D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1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1DE"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1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1E1"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392CA1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1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1E4"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1E5" w14:textId="77777777" w:rsidR="00980E5F" w:rsidRDefault="00980E5F">
            <w:pPr>
              <w:jc w:val="right"/>
              <w:rPr>
                <w:rFonts w:ascii="宋体"/>
              </w:rPr>
            </w:pPr>
          </w:p>
        </w:tc>
        <w:tc>
          <w:tcPr>
            <w:tcW w:w="0" w:type="auto"/>
            <w:gridSpan w:val="3"/>
            <w:shd w:val="clear" w:color="auto" w:fill="auto"/>
            <w:vAlign w:val="bottom"/>
          </w:tcPr>
          <w:p w14:paraId="392CA1E6" w14:textId="77777777" w:rsidR="00980E5F" w:rsidRDefault="00980E5F">
            <w:pPr>
              <w:rPr>
                <w:rFonts w:ascii="宋体"/>
                <w:vanish/>
              </w:rPr>
            </w:pPr>
          </w:p>
        </w:tc>
        <w:tc>
          <w:tcPr>
            <w:tcW w:w="0" w:type="auto"/>
            <w:gridSpan w:val="3"/>
            <w:shd w:val="clear" w:color="auto" w:fill="auto"/>
            <w:vAlign w:val="bottom"/>
          </w:tcPr>
          <w:p w14:paraId="392CA1E7" w14:textId="77777777" w:rsidR="00980E5F" w:rsidRDefault="00980E5F">
            <w:pPr>
              <w:rPr>
                <w:rFonts w:ascii="宋体"/>
                <w:vanish/>
              </w:rPr>
            </w:pPr>
          </w:p>
        </w:tc>
      </w:tr>
      <w:tr w:rsidR="00980E5F" w14:paraId="392CA1FB" w14:textId="77777777">
        <w:tc>
          <w:tcPr>
            <w:tcW w:w="0" w:type="auto"/>
            <w:gridSpan w:val="3"/>
            <w:shd w:val="clear" w:color="auto" w:fill="CCEEFF"/>
            <w:tcMar>
              <w:top w:w="40" w:type="dxa"/>
              <w:left w:w="20" w:type="dxa"/>
              <w:bottom w:w="40" w:type="dxa"/>
              <w:right w:w="20" w:type="dxa"/>
            </w:tcMar>
            <w:vAlign w:val="bottom"/>
          </w:tcPr>
          <w:p w14:paraId="392CA1E9" w14:textId="77777777" w:rsidR="00980E5F" w:rsidRDefault="00483613">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1E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EB" w14:textId="77777777" w:rsidR="00980E5F" w:rsidRDefault="00483613">
            <w:pPr>
              <w:jc w:val="right"/>
              <w:textAlignment w:val="bottom"/>
            </w:pPr>
            <w:r>
              <w:rPr>
                <w:rFonts w:ascii="Arial" w:eastAsia="宋体" w:hAnsi="Arial" w:cs="Arial"/>
                <w:b/>
                <w:bCs/>
                <w:color w:val="000000"/>
                <w:sz w:val="14"/>
                <w:szCs w:val="14"/>
              </w:rPr>
              <w:t>712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E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EE"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EF" w14:textId="77777777" w:rsidR="00980E5F" w:rsidRDefault="00483613">
            <w:pPr>
              <w:jc w:val="right"/>
              <w:textAlignment w:val="bottom"/>
            </w:pPr>
            <w:r>
              <w:rPr>
                <w:rFonts w:ascii="Arial" w:eastAsia="宋体" w:hAnsi="Arial" w:cs="Arial"/>
                <w:color w:val="000000"/>
                <w:sz w:val="14"/>
                <w:szCs w:val="14"/>
              </w:rPr>
              <w:t>728 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F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F1"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F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F3" w14:textId="77777777" w:rsidR="00980E5F" w:rsidRDefault="00483613">
            <w:pPr>
              <w:jc w:val="right"/>
              <w:textAlignment w:val="bottom"/>
            </w:pPr>
            <w:r>
              <w:rPr>
                <w:rFonts w:ascii="Arial" w:eastAsia="宋体" w:hAnsi="Arial" w:cs="Arial"/>
                <w:b/>
                <w:bCs/>
                <w:color w:val="000000"/>
                <w:sz w:val="14"/>
                <w:szCs w:val="14"/>
              </w:rPr>
              <w:t>1,295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1F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1F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1F7" w14:textId="77777777" w:rsidR="00980E5F" w:rsidRDefault="00483613">
            <w:pPr>
              <w:jc w:val="right"/>
              <w:textAlignment w:val="bottom"/>
            </w:pPr>
            <w:r>
              <w:rPr>
                <w:rFonts w:ascii="Arial" w:eastAsia="宋体" w:hAnsi="Arial" w:cs="Arial"/>
                <w:color w:val="000000"/>
                <w:sz w:val="14"/>
                <w:szCs w:val="14"/>
              </w:rPr>
              <w:t>1,217 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1F8" w14:textId="77777777" w:rsidR="00980E5F" w:rsidRDefault="00980E5F">
            <w:pPr>
              <w:jc w:val="right"/>
              <w:rPr>
                <w:rFonts w:ascii="宋体"/>
              </w:rPr>
            </w:pPr>
          </w:p>
        </w:tc>
        <w:tc>
          <w:tcPr>
            <w:tcW w:w="0" w:type="auto"/>
            <w:gridSpan w:val="3"/>
            <w:shd w:val="clear" w:color="auto" w:fill="auto"/>
            <w:vAlign w:val="bottom"/>
          </w:tcPr>
          <w:p w14:paraId="392CA1F9" w14:textId="77777777" w:rsidR="00980E5F" w:rsidRDefault="00980E5F">
            <w:pPr>
              <w:rPr>
                <w:rFonts w:ascii="宋体"/>
                <w:vanish/>
              </w:rPr>
            </w:pPr>
          </w:p>
        </w:tc>
        <w:tc>
          <w:tcPr>
            <w:tcW w:w="0" w:type="auto"/>
            <w:gridSpan w:val="3"/>
            <w:shd w:val="clear" w:color="auto" w:fill="auto"/>
            <w:vAlign w:val="bottom"/>
          </w:tcPr>
          <w:p w14:paraId="392CA1FA" w14:textId="77777777" w:rsidR="00980E5F" w:rsidRDefault="00980E5F">
            <w:pPr>
              <w:rPr>
                <w:rFonts w:ascii="宋体"/>
                <w:vanish/>
              </w:rPr>
            </w:pPr>
          </w:p>
        </w:tc>
      </w:tr>
      <w:tr w:rsidR="00980E5F" w14:paraId="392CA206" w14:textId="77777777">
        <w:tc>
          <w:tcPr>
            <w:tcW w:w="0" w:type="auto"/>
            <w:gridSpan w:val="3"/>
            <w:shd w:val="clear" w:color="auto" w:fill="auto"/>
            <w:tcMar>
              <w:top w:w="40" w:type="dxa"/>
              <w:left w:w="20" w:type="dxa"/>
              <w:bottom w:w="40" w:type="dxa"/>
              <w:right w:w="20" w:type="dxa"/>
            </w:tcMar>
            <w:vAlign w:val="bottom"/>
          </w:tcPr>
          <w:p w14:paraId="392CA1FC" w14:textId="77777777" w:rsidR="00980E5F" w:rsidRDefault="00483613">
            <w:pPr>
              <w:textAlignment w:val="bottom"/>
            </w:pPr>
            <w:r>
              <w:rPr>
                <w:rFonts w:ascii="Arial" w:eastAsia="宋体" w:hAnsi="Arial" w:cs="Arial"/>
                <w:b/>
                <w:bCs/>
                <w:color w:val="000000"/>
                <w:sz w:val="14"/>
                <w:szCs w:val="14"/>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1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1F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1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200"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2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20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203" w14:textId="77777777" w:rsidR="00980E5F" w:rsidRDefault="00980E5F">
            <w:pPr>
              <w:rPr>
                <w:rFonts w:ascii="宋体"/>
              </w:rPr>
            </w:pPr>
          </w:p>
        </w:tc>
        <w:tc>
          <w:tcPr>
            <w:tcW w:w="0" w:type="auto"/>
            <w:gridSpan w:val="3"/>
            <w:shd w:val="clear" w:color="auto" w:fill="auto"/>
            <w:vAlign w:val="bottom"/>
          </w:tcPr>
          <w:p w14:paraId="392CA204" w14:textId="77777777" w:rsidR="00980E5F" w:rsidRDefault="00980E5F">
            <w:pPr>
              <w:rPr>
                <w:rFonts w:ascii="宋体"/>
                <w:vanish/>
              </w:rPr>
            </w:pPr>
          </w:p>
        </w:tc>
        <w:tc>
          <w:tcPr>
            <w:tcW w:w="0" w:type="auto"/>
            <w:gridSpan w:val="3"/>
            <w:shd w:val="clear" w:color="auto" w:fill="auto"/>
            <w:vAlign w:val="bottom"/>
          </w:tcPr>
          <w:p w14:paraId="392CA205" w14:textId="77777777" w:rsidR="00980E5F" w:rsidRDefault="00980E5F">
            <w:pPr>
              <w:rPr>
                <w:rFonts w:ascii="宋体"/>
                <w:vanish/>
              </w:rPr>
            </w:pPr>
          </w:p>
        </w:tc>
      </w:tr>
      <w:tr w:rsidR="00980E5F" w14:paraId="392CA215" w14:textId="77777777">
        <w:tc>
          <w:tcPr>
            <w:tcW w:w="0" w:type="auto"/>
            <w:gridSpan w:val="3"/>
            <w:shd w:val="clear" w:color="auto" w:fill="CCEEFF"/>
            <w:tcMar>
              <w:top w:w="40" w:type="dxa"/>
              <w:left w:w="20" w:type="dxa"/>
              <w:bottom w:w="40" w:type="dxa"/>
              <w:right w:w="20" w:type="dxa"/>
            </w:tcMar>
            <w:vAlign w:val="bottom"/>
          </w:tcPr>
          <w:p w14:paraId="392CA207" w14:textId="77777777" w:rsidR="00980E5F" w:rsidRDefault="00483613">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392CA208" w14:textId="77777777" w:rsidR="00980E5F" w:rsidRDefault="00483613">
            <w:pPr>
              <w:jc w:val="right"/>
              <w:textAlignment w:val="bottom"/>
            </w:pPr>
            <w:r>
              <w:rPr>
                <w:rFonts w:ascii="Arial" w:eastAsia="宋体" w:hAnsi="Arial" w:cs="Arial"/>
                <w:b/>
                <w:bCs/>
                <w:color w:val="000000"/>
                <w:sz w:val="14"/>
                <w:szCs w:val="14"/>
              </w:rPr>
              <w:t>367,375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2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0B" w14:textId="77777777" w:rsidR="00980E5F" w:rsidRDefault="00483613">
            <w:pPr>
              <w:jc w:val="right"/>
              <w:textAlignment w:val="bottom"/>
            </w:pPr>
            <w:r>
              <w:rPr>
                <w:rFonts w:ascii="Arial" w:eastAsia="宋体" w:hAnsi="Arial" w:cs="Arial"/>
                <w:color w:val="000000"/>
                <w:sz w:val="14"/>
                <w:szCs w:val="14"/>
              </w:rPr>
              <w:t>345,889 </w:t>
            </w:r>
          </w:p>
        </w:tc>
        <w:tc>
          <w:tcPr>
            <w:tcW w:w="0" w:type="auto"/>
            <w:shd w:val="clear" w:color="auto" w:fill="CCEEFF"/>
            <w:tcMar>
              <w:top w:w="40" w:type="dxa"/>
              <w:left w:w="0" w:type="dxa"/>
              <w:bottom w:w="40" w:type="dxa"/>
              <w:right w:w="20" w:type="dxa"/>
            </w:tcMar>
            <w:vAlign w:val="bottom"/>
          </w:tcPr>
          <w:p w14:paraId="392CA2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0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0E" w14:textId="77777777" w:rsidR="00980E5F" w:rsidRDefault="00483613">
            <w:pPr>
              <w:jc w:val="right"/>
              <w:textAlignment w:val="bottom"/>
            </w:pPr>
            <w:r>
              <w:rPr>
                <w:rFonts w:ascii="Arial" w:eastAsia="宋体" w:hAnsi="Arial" w:cs="Arial"/>
                <w:b/>
                <w:bCs/>
                <w:color w:val="000000"/>
                <w:sz w:val="14"/>
                <w:szCs w:val="14"/>
              </w:rPr>
              <w:t>366,961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2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11" w14:textId="77777777" w:rsidR="00980E5F" w:rsidRDefault="00483613">
            <w:pPr>
              <w:jc w:val="right"/>
              <w:textAlignment w:val="bottom"/>
            </w:pPr>
            <w:r>
              <w:rPr>
                <w:rFonts w:ascii="Arial" w:eastAsia="宋体" w:hAnsi="Arial" w:cs="Arial"/>
                <w:color w:val="000000"/>
                <w:sz w:val="14"/>
                <w:szCs w:val="14"/>
              </w:rPr>
              <w:t>348,303 </w:t>
            </w:r>
          </w:p>
        </w:tc>
        <w:tc>
          <w:tcPr>
            <w:tcW w:w="0" w:type="auto"/>
            <w:shd w:val="clear" w:color="auto" w:fill="CCEEFF"/>
            <w:tcMar>
              <w:top w:w="40" w:type="dxa"/>
              <w:left w:w="0" w:type="dxa"/>
              <w:bottom w:w="40" w:type="dxa"/>
              <w:right w:w="20" w:type="dxa"/>
            </w:tcMar>
            <w:vAlign w:val="bottom"/>
          </w:tcPr>
          <w:p w14:paraId="392CA212" w14:textId="77777777" w:rsidR="00980E5F" w:rsidRDefault="00980E5F">
            <w:pPr>
              <w:jc w:val="right"/>
              <w:rPr>
                <w:rFonts w:ascii="宋体"/>
              </w:rPr>
            </w:pPr>
          </w:p>
        </w:tc>
        <w:tc>
          <w:tcPr>
            <w:tcW w:w="0" w:type="auto"/>
            <w:gridSpan w:val="3"/>
            <w:shd w:val="clear" w:color="auto" w:fill="auto"/>
            <w:vAlign w:val="bottom"/>
          </w:tcPr>
          <w:p w14:paraId="392CA213" w14:textId="77777777" w:rsidR="00980E5F" w:rsidRDefault="00980E5F">
            <w:pPr>
              <w:rPr>
                <w:rFonts w:ascii="宋体"/>
                <w:vanish/>
              </w:rPr>
            </w:pPr>
          </w:p>
        </w:tc>
        <w:tc>
          <w:tcPr>
            <w:tcW w:w="0" w:type="auto"/>
            <w:gridSpan w:val="3"/>
            <w:shd w:val="clear" w:color="auto" w:fill="auto"/>
            <w:vAlign w:val="bottom"/>
          </w:tcPr>
          <w:p w14:paraId="392CA214" w14:textId="77777777" w:rsidR="00980E5F" w:rsidRDefault="00980E5F">
            <w:pPr>
              <w:rPr>
                <w:rFonts w:ascii="宋体"/>
                <w:vanish/>
              </w:rPr>
            </w:pPr>
          </w:p>
        </w:tc>
      </w:tr>
      <w:tr w:rsidR="00980E5F" w14:paraId="392CA224" w14:textId="77777777">
        <w:tc>
          <w:tcPr>
            <w:tcW w:w="0" w:type="auto"/>
            <w:gridSpan w:val="3"/>
            <w:shd w:val="clear" w:color="auto" w:fill="auto"/>
            <w:tcMar>
              <w:top w:w="40" w:type="dxa"/>
              <w:left w:w="20" w:type="dxa"/>
              <w:bottom w:w="40" w:type="dxa"/>
              <w:right w:w="20" w:type="dxa"/>
            </w:tcMar>
            <w:vAlign w:val="bottom"/>
          </w:tcPr>
          <w:p w14:paraId="392CA216" w14:textId="77777777" w:rsidR="00980E5F" w:rsidRDefault="00483613">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392CA217" w14:textId="77777777" w:rsidR="00980E5F" w:rsidRDefault="00483613">
            <w:pPr>
              <w:jc w:val="right"/>
              <w:textAlignment w:val="bottom"/>
            </w:pPr>
            <w:r>
              <w:rPr>
                <w:rFonts w:ascii="Arial" w:eastAsia="宋体" w:hAnsi="Arial" w:cs="Arial"/>
                <w:b/>
                <w:bCs/>
                <w:color w:val="000000"/>
                <w:sz w:val="14"/>
                <w:szCs w:val="14"/>
              </w:rPr>
              <w:t>4,748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21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1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21A" w14:textId="77777777" w:rsidR="00980E5F" w:rsidRDefault="00483613">
            <w:pPr>
              <w:jc w:val="right"/>
              <w:textAlignment w:val="bottom"/>
            </w:pPr>
            <w:r>
              <w:rPr>
                <w:rFonts w:ascii="Arial" w:eastAsia="宋体" w:hAnsi="Arial" w:cs="Arial"/>
                <w:color w:val="000000"/>
                <w:sz w:val="14"/>
                <w:szCs w:val="14"/>
              </w:rPr>
              <w:t>5,693 </w:t>
            </w:r>
          </w:p>
        </w:tc>
        <w:tc>
          <w:tcPr>
            <w:tcW w:w="0" w:type="auto"/>
            <w:shd w:val="clear" w:color="auto" w:fill="FFFFFF"/>
            <w:tcMar>
              <w:top w:w="40" w:type="dxa"/>
              <w:left w:w="0" w:type="dxa"/>
              <w:bottom w:w="40" w:type="dxa"/>
              <w:right w:w="20" w:type="dxa"/>
            </w:tcMar>
            <w:vAlign w:val="bottom"/>
          </w:tcPr>
          <w:p w14:paraId="392CA2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1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21D" w14:textId="77777777" w:rsidR="00980E5F" w:rsidRDefault="00483613">
            <w:pPr>
              <w:jc w:val="right"/>
              <w:textAlignment w:val="bottom"/>
            </w:pPr>
            <w:r>
              <w:rPr>
                <w:rFonts w:ascii="Arial" w:eastAsia="宋体" w:hAnsi="Arial" w:cs="Arial"/>
                <w:b/>
                <w:bCs/>
                <w:color w:val="000000"/>
                <w:sz w:val="14"/>
                <w:szCs w:val="14"/>
              </w:rPr>
              <w:t>5,119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2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1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220" w14:textId="77777777" w:rsidR="00980E5F" w:rsidRDefault="00483613">
            <w:pPr>
              <w:jc w:val="right"/>
              <w:textAlignment w:val="bottom"/>
            </w:pPr>
            <w:r>
              <w:rPr>
                <w:rFonts w:ascii="Arial" w:eastAsia="宋体" w:hAnsi="Arial" w:cs="Arial"/>
                <w:color w:val="000000"/>
                <w:sz w:val="14"/>
                <w:szCs w:val="14"/>
              </w:rPr>
              <w:t>5,131 </w:t>
            </w:r>
          </w:p>
        </w:tc>
        <w:tc>
          <w:tcPr>
            <w:tcW w:w="0" w:type="auto"/>
            <w:shd w:val="clear" w:color="auto" w:fill="FFFFFF"/>
            <w:tcMar>
              <w:top w:w="40" w:type="dxa"/>
              <w:left w:w="0" w:type="dxa"/>
              <w:bottom w:w="40" w:type="dxa"/>
              <w:right w:w="20" w:type="dxa"/>
            </w:tcMar>
            <w:vAlign w:val="bottom"/>
          </w:tcPr>
          <w:p w14:paraId="392CA221" w14:textId="77777777" w:rsidR="00980E5F" w:rsidRDefault="00980E5F">
            <w:pPr>
              <w:jc w:val="right"/>
              <w:rPr>
                <w:rFonts w:ascii="宋体"/>
              </w:rPr>
            </w:pPr>
          </w:p>
        </w:tc>
        <w:tc>
          <w:tcPr>
            <w:tcW w:w="0" w:type="auto"/>
            <w:gridSpan w:val="3"/>
            <w:shd w:val="clear" w:color="auto" w:fill="auto"/>
            <w:vAlign w:val="bottom"/>
          </w:tcPr>
          <w:p w14:paraId="392CA222" w14:textId="77777777" w:rsidR="00980E5F" w:rsidRDefault="00980E5F">
            <w:pPr>
              <w:rPr>
                <w:rFonts w:ascii="宋体"/>
                <w:vanish/>
              </w:rPr>
            </w:pPr>
          </w:p>
        </w:tc>
        <w:tc>
          <w:tcPr>
            <w:tcW w:w="0" w:type="auto"/>
            <w:gridSpan w:val="3"/>
            <w:shd w:val="clear" w:color="auto" w:fill="auto"/>
            <w:vAlign w:val="bottom"/>
          </w:tcPr>
          <w:p w14:paraId="392CA223" w14:textId="77777777" w:rsidR="00980E5F" w:rsidRDefault="00980E5F">
            <w:pPr>
              <w:rPr>
                <w:rFonts w:ascii="宋体"/>
                <w:vanish/>
              </w:rPr>
            </w:pPr>
          </w:p>
        </w:tc>
      </w:tr>
      <w:tr w:rsidR="00980E5F" w14:paraId="392CA233" w14:textId="77777777">
        <w:tc>
          <w:tcPr>
            <w:tcW w:w="0" w:type="auto"/>
            <w:gridSpan w:val="3"/>
            <w:shd w:val="clear" w:color="auto" w:fill="CCEEFF"/>
            <w:tcMar>
              <w:top w:w="40" w:type="dxa"/>
              <w:left w:w="20" w:type="dxa"/>
              <w:bottom w:w="40" w:type="dxa"/>
              <w:right w:w="20" w:type="dxa"/>
            </w:tcMar>
            <w:vAlign w:val="bottom"/>
          </w:tcPr>
          <w:p w14:paraId="392CA225" w14:textId="77777777" w:rsidR="00980E5F" w:rsidRDefault="00483613">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226" w14:textId="77777777" w:rsidR="00980E5F" w:rsidRDefault="00483613">
            <w:pPr>
              <w:jc w:val="right"/>
              <w:textAlignment w:val="bottom"/>
            </w:pPr>
            <w:r>
              <w:rPr>
                <w:rFonts w:ascii="Arial" w:eastAsia="宋体" w:hAnsi="Arial" w:cs="Arial"/>
                <w:b/>
                <w:bCs/>
                <w:color w:val="000000"/>
                <w:sz w:val="14"/>
                <w:szCs w:val="14"/>
              </w:rPr>
              <w:t>372,123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22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2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229" w14:textId="77777777" w:rsidR="00980E5F" w:rsidRDefault="00483613">
            <w:pPr>
              <w:jc w:val="right"/>
              <w:textAlignment w:val="bottom"/>
            </w:pPr>
            <w:r>
              <w:rPr>
                <w:rFonts w:ascii="Arial" w:eastAsia="宋体" w:hAnsi="Arial" w:cs="Arial"/>
                <w:color w:val="000000"/>
                <w:sz w:val="14"/>
                <w:szCs w:val="14"/>
              </w:rPr>
              <w:t>351,582 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2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2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22C" w14:textId="77777777" w:rsidR="00980E5F" w:rsidRDefault="00483613">
            <w:pPr>
              <w:jc w:val="right"/>
              <w:textAlignment w:val="bottom"/>
            </w:pPr>
            <w:r>
              <w:rPr>
                <w:rFonts w:ascii="Arial" w:eastAsia="宋体" w:hAnsi="Arial" w:cs="Arial"/>
                <w:b/>
                <w:bCs/>
                <w:color w:val="000000"/>
                <w:sz w:val="14"/>
                <w:szCs w:val="14"/>
              </w:rPr>
              <w:t>372,080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2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2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22F" w14:textId="77777777" w:rsidR="00980E5F" w:rsidRDefault="00483613">
            <w:pPr>
              <w:jc w:val="right"/>
              <w:textAlignment w:val="bottom"/>
            </w:pPr>
            <w:r>
              <w:rPr>
                <w:rFonts w:ascii="Arial" w:eastAsia="宋体" w:hAnsi="Arial" w:cs="Arial"/>
                <w:color w:val="000000"/>
                <w:sz w:val="14"/>
                <w:szCs w:val="14"/>
              </w:rPr>
              <w:t>353,434 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230" w14:textId="77777777" w:rsidR="00980E5F" w:rsidRDefault="00980E5F">
            <w:pPr>
              <w:jc w:val="right"/>
              <w:rPr>
                <w:rFonts w:ascii="宋体"/>
              </w:rPr>
            </w:pPr>
          </w:p>
        </w:tc>
        <w:tc>
          <w:tcPr>
            <w:tcW w:w="0" w:type="auto"/>
            <w:gridSpan w:val="3"/>
            <w:shd w:val="clear" w:color="auto" w:fill="auto"/>
            <w:vAlign w:val="bottom"/>
          </w:tcPr>
          <w:p w14:paraId="392CA231" w14:textId="77777777" w:rsidR="00980E5F" w:rsidRDefault="00980E5F">
            <w:pPr>
              <w:rPr>
                <w:rFonts w:ascii="宋体"/>
                <w:vanish/>
              </w:rPr>
            </w:pPr>
          </w:p>
        </w:tc>
        <w:tc>
          <w:tcPr>
            <w:tcW w:w="0" w:type="auto"/>
            <w:gridSpan w:val="3"/>
            <w:shd w:val="clear" w:color="auto" w:fill="auto"/>
            <w:vAlign w:val="bottom"/>
          </w:tcPr>
          <w:p w14:paraId="392CA232" w14:textId="77777777" w:rsidR="00980E5F" w:rsidRDefault="00980E5F">
            <w:pPr>
              <w:rPr>
                <w:rFonts w:ascii="宋体"/>
                <w:vanish/>
              </w:rPr>
            </w:pPr>
          </w:p>
        </w:tc>
      </w:tr>
      <w:tr w:rsidR="00980E5F" w14:paraId="392CA242" w14:textId="77777777">
        <w:tc>
          <w:tcPr>
            <w:tcW w:w="0" w:type="auto"/>
            <w:gridSpan w:val="3"/>
            <w:shd w:val="clear" w:color="auto" w:fill="auto"/>
            <w:tcMar>
              <w:top w:w="40" w:type="dxa"/>
              <w:left w:w="20" w:type="dxa"/>
              <w:bottom w:w="40" w:type="dxa"/>
              <w:right w:w="20" w:type="dxa"/>
            </w:tcMar>
            <w:vAlign w:val="bottom"/>
          </w:tcPr>
          <w:p w14:paraId="392CA234" w14:textId="77777777" w:rsidR="00980E5F" w:rsidRDefault="00483613">
            <w:pP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92CA235" w14:textId="77777777" w:rsidR="00980E5F" w:rsidRDefault="00483613">
            <w:pPr>
              <w:jc w:val="right"/>
              <w:textAlignment w:val="bottom"/>
            </w:pPr>
            <w:r>
              <w:rPr>
                <w:rFonts w:ascii="Arial" w:eastAsia="宋体" w:hAnsi="Arial" w:cs="Arial"/>
                <w:b/>
                <w:bCs/>
                <w:color w:val="000000"/>
                <w:sz w:val="14"/>
                <w:szCs w:val="14"/>
              </w:rPr>
              <w:t>1,990</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92CA236"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A237" w14:textId="77777777" w:rsidR="00980E5F" w:rsidRDefault="00980E5F">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92CA238" w14:textId="77777777" w:rsidR="00980E5F" w:rsidRDefault="00483613">
            <w:pPr>
              <w:jc w:val="right"/>
              <w:textAlignment w:val="bottom"/>
            </w:pPr>
            <w:r>
              <w:rPr>
                <w:rFonts w:ascii="Arial" w:eastAsia="宋体" w:hAnsi="Arial" w:cs="Arial"/>
                <w:color w:val="000000"/>
                <w:sz w:val="14"/>
                <w:szCs w:val="14"/>
              </w:rPr>
              <w:t>176 </w:t>
            </w:r>
          </w:p>
        </w:tc>
        <w:tc>
          <w:tcPr>
            <w:tcW w:w="0" w:type="auto"/>
            <w:tcBorders>
              <w:top w:val="double" w:sz="6" w:space="0" w:color="000000"/>
            </w:tcBorders>
            <w:shd w:val="clear" w:color="auto" w:fill="auto"/>
            <w:tcMar>
              <w:top w:w="40" w:type="dxa"/>
              <w:left w:w="0" w:type="dxa"/>
              <w:bottom w:w="40" w:type="dxa"/>
              <w:right w:w="20" w:type="dxa"/>
            </w:tcMar>
            <w:vAlign w:val="bottom"/>
          </w:tcPr>
          <w:p w14:paraId="392CA239"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A23A" w14:textId="77777777" w:rsidR="00980E5F" w:rsidRDefault="00980E5F">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92CA23B" w14:textId="77777777" w:rsidR="00980E5F" w:rsidRDefault="00483613">
            <w:pPr>
              <w:jc w:val="right"/>
              <w:textAlignment w:val="bottom"/>
            </w:pPr>
            <w:r>
              <w:rPr>
                <w:rFonts w:ascii="Arial" w:eastAsia="宋体" w:hAnsi="Arial" w:cs="Arial"/>
                <w:b/>
                <w:bCs/>
                <w:color w:val="000000"/>
                <w:sz w:val="14"/>
                <w:szCs w:val="14"/>
              </w:rPr>
              <w:t>741</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392CA23C" w14:textId="77777777" w:rsidR="00980E5F" w:rsidRDefault="00980E5F">
            <w:pPr>
              <w:jc w:val="right"/>
              <w:rPr>
                <w:rFonts w:ascii="宋体"/>
              </w:rPr>
            </w:pPr>
          </w:p>
        </w:tc>
        <w:tc>
          <w:tcPr>
            <w:tcW w:w="0" w:type="auto"/>
            <w:gridSpan w:val="3"/>
            <w:shd w:val="clear" w:color="auto" w:fill="auto"/>
            <w:tcMar>
              <w:top w:w="0" w:type="dxa"/>
              <w:left w:w="20" w:type="dxa"/>
              <w:bottom w:w="0" w:type="dxa"/>
              <w:right w:w="20" w:type="dxa"/>
            </w:tcMar>
            <w:vAlign w:val="bottom"/>
          </w:tcPr>
          <w:p w14:paraId="392CA23D" w14:textId="77777777" w:rsidR="00980E5F" w:rsidRDefault="00980E5F">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392CA23E" w14:textId="77777777" w:rsidR="00980E5F" w:rsidRDefault="00483613">
            <w:pPr>
              <w:jc w:val="right"/>
              <w:textAlignment w:val="bottom"/>
            </w:pPr>
            <w:r>
              <w:rPr>
                <w:rFonts w:ascii="Arial" w:eastAsia="宋体" w:hAnsi="Arial" w:cs="Arial"/>
                <w:color w:val="000000"/>
                <w:sz w:val="14"/>
                <w:szCs w:val="14"/>
              </w:rPr>
              <w:t>192 </w:t>
            </w:r>
          </w:p>
        </w:tc>
        <w:tc>
          <w:tcPr>
            <w:tcW w:w="0" w:type="auto"/>
            <w:tcBorders>
              <w:top w:val="double" w:sz="6" w:space="0" w:color="000000"/>
            </w:tcBorders>
            <w:shd w:val="clear" w:color="auto" w:fill="auto"/>
            <w:tcMar>
              <w:top w:w="40" w:type="dxa"/>
              <w:left w:w="0" w:type="dxa"/>
              <w:bottom w:w="40" w:type="dxa"/>
              <w:right w:w="20" w:type="dxa"/>
            </w:tcMar>
            <w:vAlign w:val="bottom"/>
          </w:tcPr>
          <w:p w14:paraId="392CA23F" w14:textId="77777777" w:rsidR="00980E5F" w:rsidRDefault="00980E5F">
            <w:pPr>
              <w:jc w:val="right"/>
              <w:rPr>
                <w:rFonts w:ascii="宋体"/>
              </w:rPr>
            </w:pPr>
          </w:p>
        </w:tc>
        <w:tc>
          <w:tcPr>
            <w:tcW w:w="0" w:type="auto"/>
            <w:gridSpan w:val="3"/>
            <w:shd w:val="clear" w:color="auto" w:fill="auto"/>
            <w:vAlign w:val="bottom"/>
          </w:tcPr>
          <w:p w14:paraId="392CA240" w14:textId="77777777" w:rsidR="00980E5F" w:rsidRDefault="00980E5F">
            <w:pPr>
              <w:rPr>
                <w:rFonts w:ascii="宋体"/>
                <w:vanish/>
              </w:rPr>
            </w:pPr>
          </w:p>
        </w:tc>
        <w:tc>
          <w:tcPr>
            <w:tcW w:w="0" w:type="auto"/>
            <w:gridSpan w:val="3"/>
            <w:shd w:val="clear" w:color="auto" w:fill="auto"/>
            <w:vAlign w:val="bottom"/>
          </w:tcPr>
          <w:p w14:paraId="392CA241" w14:textId="77777777" w:rsidR="00980E5F" w:rsidRDefault="00980E5F">
            <w:pPr>
              <w:rPr>
                <w:rFonts w:ascii="宋体"/>
                <w:vanish/>
              </w:rPr>
            </w:pPr>
          </w:p>
        </w:tc>
      </w:tr>
      <w:tr w:rsidR="00980E5F" w14:paraId="392CA24D" w14:textId="77777777">
        <w:tc>
          <w:tcPr>
            <w:tcW w:w="0" w:type="auto"/>
            <w:gridSpan w:val="3"/>
            <w:shd w:val="clear" w:color="auto" w:fill="CCEEFF"/>
            <w:tcMar>
              <w:top w:w="40" w:type="dxa"/>
              <w:left w:w="20" w:type="dxa"/>
              <w:bottom w:w="40" w:type="dxa"/>
              <w:right w:w="20" w:type="dxa"/>
            </w:tcMar>
            <w:vAlign w:val="bottom"/>
          </w:tcPr>
          <w:p w14:paraId="392CA243" w14:textId="77777777" w:rsidR="00980E5F" w:rsidRDefault="00483613">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top w:w="0" w:type="dxa"/>
              <w:left w:w="20" w:type="dxa"/>
              <w:bottom w:w="0" w:type="dxa"/>
              <w:right w:w="20" w:type="dxa"/>
            </w:tcMar>
            <w:vAlign w:val="bottom"/>
          </w:tcPr>
          <w:p w14:paraId="392CA244"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7"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8"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9"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24A" w14:textId="77777777" w:rsidR="00980E5F" w:rsidRDefault="00980E5F">
            <w:pPr>
              <w:rPr>
                <w:rFonts w:ascii="宋体"/>
              </w:rPr>
            </w:pPr>
          </w:p>
        </w:tc>
        <w:tc>
          <w:tcPr>
            <w:tcW w:w="0" w:type="auto"/>
            <w:gridSpan w:val="3"/>
            <w:shd w:val="clear" w:color="auto" w:fill="auto"/>
            <w:vAlign w:val="bottom"/>
          </w:tcPr>
          <w:p w14:paraId="392CA24B" w14:textId="77777777" w:rsidR="00980E5F" w:rsidRDefault="00980E5F">
            <w:pPr>
              <w:rPr>
                <w:rFonts w:ascii="宋体"/>
                <w:vanish/>
              </w:rPr>
            </w:pPr>
          </w:p>
        </w:tc>
        <w:tc>
          <w:tcPr>
            <w:tcW w:w="0" w:type="auto"/>
            <w:gridSpan w:val="3"/>
            <w:shd w:val="clear" w:color="auto" w:fill="auto"/>
            <w:vAlign w:val="bottom"/>
          </w:tcPr>
          <w:p w14:paraId="392CA24C" w14:textId="77777777" w:rsidR="00980E5F" w:rsidRDefault="00980E5F">
            <w:pPr>
              <w:rPr>
                <w:rFonts w:ascii="宋体"/>
                <w:vanish/>
              </w:rPr>
            </w:pPr>
          </w:p>
        </w:tc>
      </w:tr>
      <w:tr w:rsidR="00980E5F" w14:paraId="392CA260" w14:textId="77777777">
        <w:tc>
          <w:tcPr>
            <w:tcW w:w="0" w:type="auto"/>
            <w:gridSpan w:val="3"/>
            <w:shd w:val="clear" w:color="auto" w:fill="auto"/>
            <w:tcMar>
              <w:top w:w="40" w:type="dxa"/>
              <w:left w:w="20" w:type="dxa"/>
              <w:bottom w:w="40" w:type="dxa"/>
              <w:right w:w="20" w:type="dxa"/>
            </w:tcMar>
            <w:vAlign w:val="bottom"/>
          </w:tcPr>
          <w:p w14:paraId="392CA24E" w14:textId="77777777" w:rsidR="00980E5F" w:rsidRDefault="00483613">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right w:w="0" w:type="dxa"/>
            </w:tcMar>
            <w:vAlign w:val="bottom"/>
          </w:tcPr>
          <w:p w14:paraId="392CA24F"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92CA250" w14:textId="77777777" w:rsidR="00980E5F" w:rsidRDefault="00483613">
            <w:pPr>
              <w:jc w:val="right"/>
              <w:textAlignment w:val="bottom"/>
            </w:pPr>
            <w:r>
              <w:rPr>
                <w:rFonts w:ascii="Arial" w:eastAsia="宋体" w:hAnsi="Arial" w:cs="Arial"/>
                <w:b/>
                <w:bCs/>
                <w:color w:val="000000"/>
                <w:sz w:val="14"/>
                <w:szCs w:val="14"/>
              </w:rPr>
              <w:t>1.94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2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52"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253"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A254"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FFFFFF"/>
            <w:tcMar>
              <w:top w:w="40" w:type="dxa"/>
              <w:left w:w="0" w:type="dxa"/>
              <w:bottom w:w="40" w:type="dxa"/>
              <w:right w:w="20" w:type="dxa"/>
            </w:tcMar>
            <w:vAlign w:val="bottom"/>
          </w:tcPr>
          <w:p w14:paraId="392CA25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56"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257" w14:textId="77777777" w:rsidR="00980E5F" w:rsidRDefault="00483613">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392CA258" w14:textId="77777777" w:rsidR="00980E5F" w:rsidRDefault="00483613">
            <w:pPr>
              <w:jc w:val="right"/>
              <w:textAlignment w:val="bottom"/>
            </w:pPr>
            <w:r>
              <w:rPr>
                <w:rFonts w:ascii="Arial" w:eastAsia="宋体" w:hAnsi="Arial" w:cs="Arial"/>
                <w:b/>
                <w:bCs/>
                <w:color w:val="000000"/>
                <w:sz w:val="14"/>
                <w:szCs w:val="14"/>
              </w:rPr>
              <w:t>3.53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2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25A"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25B" w14:textId="77777777" w:rsidR="00980E5F" w:rsidRDefault="00483613">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392CA25C" w14:textId="77777777" w:rsidR="00980E5F" w:rsidRDefault="00483613">
            <w:pPr>
              <w:jc w:val="right"/>
              <w:textAlignment w:val="bottom"/>
            </w:pPr>
            <w:r>
              <w:rPr>
                <w:rFonts w:ascii="Arial" w:eastAsia="宋体" w:hAnsi="Arial" w:cs="Arial"/>
                <w:color w:val="000000"/>
                <w:sz w:val="14"/>
                <w:szCs w:val="14"/>
              </w:rPr>
              <w:t>3.49 </w:t>
            </w:r>
          </w:p>
        </w:tc>
        <w:tc>
          <w:tcPr>
            <w:tcW w:w="0" w:type="auto"/>
            <w:shd w:val="clear" w:color="auto" w:fill="FFFFFF"/>
            <w:tcMar>
              <w:top w:w="40" w:type="dxa"/>
              <w:left w:w="0" w:type="dxa"/>
              <w:bottom w:w="40" w:type="dxa"/>
              <w:right w:w="20" w:type="dxa"/>
            </w:tcMar>
            <w:vAlign w:val="bottom"/>
          </w:tcPr>
          <w:p w14:paraId="392CA25D" w14:textId="77777777" w:rsidR="00980E5F" w:rsidRDefault="00980E5F">
            <w:pPr>
              <w:jc w:val="right"/>
              <w:rPr>
                <w:rFonts w:ascii="宋体"/>
              </w:rPr>
            </w:pPr>
          </w:p>
        </w:tc>
        <w:tc>
          <w:tcPr>
            <w:tcW w:w="0" w:type="auto"/>
            <w:gridSpan w:val="3"/>
            <w:shd w:val="clear" w:color="auto" w:fill="auto"/>
            <w:vAlign w:val="bottom"/>
          </w:tcPr>
          <w:p w14:paraId="392CA25E" w14:textId="77777777" w:rsidR="00980E5F" w:rsidRDefault="00980E5F">
            <w:pPr>
              <w:rPr>
                <w:rFonts w:ascii="宋体"/>
                <w:vanish/>
              </w:rPr>
            </w:pPr>
          </w:p>
        </w:tc>
        <w:tc>
          <w:tcPr>
            <w:tcW w:w="0" w:type="auto"/>
            <w:gridSpan w:val="3"/>
            <w:shd w:val="clear" w:color="auto" w:fill="auto"/>
            <w:vAlign w:val="bottom"/>
          </w:tcPr>
          <w:p w14:paraId="392CA25F" w14:textId="77777777" w:rsidR="00980E5F" w:rsidRDefault="00980E5F">
            <w:pPr>
              <w:rPr>
                <w:rFonts w:ascii="宋体"/>
                <w:vanish/>
              </w:rPr>
            </w:pPr>
          </w:p>
        </w:tc>
      </w:tr>
      <w:tr w:rsidR="00980E5F" w14:paraId="392CA26F" w14:textId="77777777">
        <w:tc>
          <w:tcPr>
            <w:tcW w:w="0" w:type="auto"/>
            <w:gridSpan w:val="3"/>
            <w:shd w:val="clear" w:color="auto" w:fill="CCEEFF"/>
            <w:tcMar>
              <w:top w:w="40" w:type="dxa"/>
              <w:left w:w="20" w:type="dxa"/>
              <w:bottom w:w="40" w:type="dxa"/>
              <w:right w:w="20" w:type="dxa"/>
            </w:tcMar>
            <w:vAlign w:val="bottom"/>
          </w:tcPr>
          <w:p w14:paraId="392CA261" w14:textId="77777777" w:rsidR="00980E5F" w:rsidRDefault="00483613">
            <w:pP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392CA262" w14:textId="77777777" w:rsidR="00980E5F" w:rsidRDefault="00483613">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26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6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65" w14:textId="77777777" w:rsidR="00980E5F" w:rsidRDefault="00483613">
            <w:pPr>
              <w:jc w:val="right"/>
              <w:textAlignment w:val="bottom"/>
            </w:pPr>
            <w:r>
              <w:rPr>
                <w:rFonts w:ascii="Arial" w:eastAsia="宋体" w:hAnsi="Arial" w:cs="Arial"/>
                <w:color w:val="000000"/>
                <w:sz w:val="14"/>
                <w:szCs w:val="14"/>
              </w:rPr>
              <w:t>2.07 </w:t>
            </w:r>
          </w:p>
        </w:tc>
        <w:tc>
          <w:tcPr>
            <w:tcW w:w="0" w:type="auto"/>
            <w:shd w:val="clear" w:color="auto" w:fill="CCEEFF"/>
            <w:tcMar>
              <w:top w:w="40" w:type="dxa"/>
              <w:left w:w="0" w:type="dxa"/>
              <w:bottom w:w="40" w:type="dxa"/>
              <w:right w:w="20" w:type="dxa"/>
            </w:tcMar>
            <w:vAlign w:val="bottom"/>
          </w:tcPr>
          <w:p w14:paraId="392CA26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6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68" w14:textId="77777777" w:rsidR="00980E5F" w:rsidRDefault="00483613">
            <w:pPr>
              <w:jc w:val="right"/>
              <w:textAlignment w:val="bottom"/>
            </w:pPr>
            <w:r>
              <w:rPr>
                <w:rFonts w:ascii="Arial" w:eastAsia="宋体" w:hAnsi="Arial" w:cs="Arial"/>
                <w:b/>
                <w:bCs/>
                <w:color w:val="000000"/>
                <w:sz w:val="14"/>
                <w:szCs w:val="14"/>
              </w:rPr>
              <w:t>3.48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2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26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26B" w14:textId="77777777" w:rsidR="00980E5F" w:rsidRDefault="00483613">
            <w:pPr>
              <w:jc w:val="right"/>
              <w:textAlignment w:val="bottom"/>
            </w:pPr>
            <w:r>
              <w:rPr>
                <w:rFonts w:ascii="Arial" w:eastAsia="宋体" w:hAnsi="Arial" w:cs="Arial"/>
                <w:color w:val="000000"/>
                <w:sz w:val="14"/>
                <w:szCs w:val="14"/>
              </w:rPr>
              <w:t>3.44 </w:t>
            </w:r>
          </w:p>
        </w:tc>
        <w:tc>
          <w:tcPr>
            <w:tcW w:w="0" w:type="auto"/>
            <w:shd w:val="clear" w:color="auto" w:fill="CCEEFF"/>
            <w:tcMar>
              <w:top w:w="40" w:type="dxa"/>
              <w:left w:w="0" w:type="dxa"/>
              <w:bottom w:w="40" w:type="dxa"/>
              <w:right w:w="20" w:type="dxa"/>
            </w:tcMar>
            <w:vAlign w:val="bottom"/>
          </w:tcPr>
          <w:p w14:paraId="392CA26C" w14:textId="77777777" w:rsidR="00980E5F" w:rsidRDefault="00980E5F">
            <w:pPr>
              <w:jc w:val="right"/>
              <w:rPr>
                <w:rFonts w:ascii="宋体"/>
              </w:rPr>
            </w:pPr>
          </w:p>
        </w:tc>
        <w:tc>
          <w:tcPr>
            <w:tcW w:w="0" w:type="auto"/>
            <w:gridSpan w:val="3"/>
            <w:shd w:val="clear" w:color="auto" w:fill="auto"/>
            <w:vAlign w:val="bottom"/>
          </w:tcPr>
          <w:p w14:paraId="392CA26D" w14:textId="77777777" w:rsidR="00980E5F" w:rsidRDefault="00980E5F">
            <w:pPr>
              <w:rPr>
                <w:rFonts w:ascii="宋体"/>
                <w:vanish/>
              </w:rPr>
            </w:pPr>
          </w:p>
        </w:tc>
        <w:tc>
          <w:tcPr>
            <w:tcW w:w="0" w:type="auto"/>
            <w:gridSpan w:val="3"/>
            <w:shd w:val="clear" w:color="auto" w:fill="auto"/>
            <w:vAlign w:val="bottom"/>
          </w:tcPr>
          <w:p w14:paraId="392CA26E" w14:textId="77777777" w:rsidR="00980E5F" w:rsidRDefault="00980E5F">
            <w:pPr>
              <w:rPr>
                <w:rFonts w:ascii="宋体"/>
                <w:vanish/>
              </w:rPr>
            </w:pPr>
          </w:p>
        </w:tc>
      </w:tr>
      <w:tr w:rsidR="00980E5F" w14:paraId="392CA27A" w14:textId="77777777">
        <w:trPr>
          <w:hidden/>
        </w:trPr>
        <w:tc>
          <w:tcPr>
            <w:tcW w:w="0" w:type="auto"/>
            <w:gridSpan w:val="3"/>
            <w:shd w:val="clear" w:color="auto" w:fill="auto"/>
            <w:vAlign w:val="bottom"/>
          </w:tcPr>
          <w:p w14:paraId="392CA270" w14:textId="77777777" w:rsidR="00980E5F" w:rsidRDefault="00980E5F">
            <w:pPr>
              <w:rPr>
                <w:rFonts w:ascii="宋体"/>
                <w:vanish/>
              </w:rPr>
            </w:pPr>
          </w:p>
        </w:tc>
        <w:tc>
          <w:tcPr>
            <w:tcW w:w="0" w:type="auto"/>
            <w:gridSpan w:val="3"/>
            <w:shd w:val="clear" w:color="auto" w:fill="auto"/>
            <w:vAlign w:val="bottom"/>
          </w:tcPr>
          <w:p w14:paraId="392CA271" w14:textId="77777777" w:rsidR="00980E5F" w:rsidRDefault="00980E5F">
            <w:pPr>
              <w:rPr>
                <w:rFonts w:ascii="宋体"/>
                <w:vanish/>
              </w:rPr>
            </w:pPr>
          </w:p>
        </w:tc>
        <w:tc>
          <w:tcPr>
            <w:tcW w:w="0" w:type="auto"/>
            <w:gridSpan w:val="3"/>
            <w:shd w:val="clear" w:color="auto" w:fill="auto"/>
            <w:vAlign w:val="bottom"/>
          </w:tcPr>
          <w:p w14:paraId="392CA272" w14:textId="77777777" w:rsidR="00980E5F" w:rsidRDefault="00980E5F">
            <w:pPr>
              <w:rPr>
                <w:rFonts w:ascii="宋体"/>
                <w:vanish/>
              </w:rPr>
            </w:pPr>
          </w:p>
        </w:tc>
        <w:tc>
          <w:tcPr>
            <w:tcW w:w="0" w:type="auto"/>
            <w:gridSpan w:val="3"/>
            <w:shd w:val="clear" w:color="auto" w:fill="auto"/>
            <w:vAlign w:val="bottom"/>
          </w:tcPr>
          <w:p w14:paraId="392CA273" w14:textId="77777777" w:rsidR="00980E5F" w:rsidRDefault="00980E5F">
            <w:pPr>
              <w:rPr>
                <w:rFonts w:ascii="宋体"/>
                <w:vanish/>
              </w:rPr>
            </w:pPr>
          </w:p>
        </w:tc>
        <w:tc>
          <w:tcPr>
            <w:tcW w:w="0" w:type="auto"/>
            <w:gridSpan w:val="3"/>
            <w:shd w:val="clear" w:color="auto" w:fill="auto"/>
            <w:vAlign w:val="bottom"/>
          </w:tcPr>
          <w:p w14:paraId="392CA274" w14:textId="77777777" w:rsidR="00980E5F" w:rsidRDefault="00980E5F">
            <w:pPr>
              <w:rPr>
                <w:rFonts w:ascii="宋体"/>
                <w:vanish/>
              </w:rPr>
            </w:pPr>
          </w:p>
        </w:tc>
        <w:tc>
          <w:tcPr>
            <w:tcW w:w="0" w:type="auto"/>
            <w:gridSpan w:val="3"/>
            <w:shd w:val="clear" w:color="auto" w:fill="auto"/>
            <w:vAlign w:val="bottom"/>
          </w:tcPr>
          <w:p w14:paraId="392CA275" w14:textId="77777777" w:rsidR="00980E5F" w:rsidRDefault="00980E5F">
            <w:pPr>
              <w:rPr>
                <w:rFonts w:ascii="宋体"/>
                <w:vanish/>
              </w:rPr>
            </w:pPr>
          </w:p>
        </w:tc>
        <w:tc>
          <w:tcPr>
            <w:tcW w:w="0" w:type="auto"/>
            <w:gridSpan w:val="3"/>
            <w:shd w:val="clear" w:color="auto" w:fill="auto"/>
            <w:vAlign w:val="bottom"/>
          </w:tcPr>
          <w:p w14:paraId="392CA276" w14:textId="77777777" w:rsidR="00980E5F" w:rsidRDefault="00980E5F">
            <w:pPr>
              <w:rPr>
                <w:rFonts w:ascii="宋体"/>
                <w:vanish/>
              </w:rPr>
            </w:pPr>
          </w:p>
        </w:tc>
        <w:tc>
          <w:tcPr>
            <w:tcW w:w="0" w:type="auto"/>
            <w:gridSpan w:val="3"/>
            <w:shd w:val="clear" w:color="auto" w:fill="auto"/>
            <w:vAlign w:val="bottom"/>
          </w:tcPr>
          <w:p w14:paraId="392CA277" w14:textId="77777777" w:rsidR="00980E5F" w:rsidRDefault="00980E5F">
            <w:pPr>
              <w:rPr>
                <w:rFonts w:ascii="宋体"/>
                <w:vanish/>
              </w:rPr>
            </w:pPr>
          </w:p>
        </w:tc>
        <w:tc>
          <w:tcPr>
            <w:tcW w:w="0" w:type="auto"/>
            <w:gridSpan w:val="3"/>
            <w:shd w:val="clear" w:color="auto" w:fill="auto"/>
            <w:vAlign w:val="bottom"/>
          </w:tcPr>
          <w:p w14:paraId="392CA278" w14:textId="77777777" w:rsidR="00980E5F" w:rsidRDefault="00980E5F">
            <w:pPr>
              <w:rPr>
                <w:rFonts w:ascii="宋体"/>
                <w:vanish/>
              </w:rPr>
            </w:pPr>
          </w:p>
        </w:tc>
        <w:tc>
          <w:tcPr>
            <w:tcW w:w="0" w:type="auto"/>
            <w:gridSpan w:val="3"/>
            <w:shd w:val="clear" w:color="auto" w:fill="auto"/>
            <w:vAlign w:val="bottom"/>
          </w:tcPr>
          <w:p w14:paraId="392CA279" w14:textId="77777777" w:rsidR="00980E5F" w:rsidRDefault="00980E5F">
            <w:pPr>
              <w:rPr>
                <w:rFonts w:ascii="宋体"/>
                <w:vanish/>
              </w:rPr>
            </w:pPr>
          </w:p>
        </w:tc>
      </w:tr>
      <w:tr w:rsidR="00980E5F" w14:paraId="392CA285" w14:textId="77777777">
        <w:trPr>
          <w:hidden/>
        </w:trPr>
        <w:tc>
          <w:tcPr>
            <w:tcW w:w="0" w:type="auto"/>
            <w:gridSpan w:val="3"/>
            <w:shd w:val="clear" w:color="auto" w:fill="auto"/>
            <w:vAlign w:val="bottom"/>
          </w:tcPr>
          <w:p w14:paraId="392CA27B" w14:textId="77777777" w:rsidR="00980E5F" w:rsidRDefault="00980E5F">
            <w:pPr>
              <w:rPr>
                <w:rFonts w:ascii="宋体"/>
                <w:vanish/>
              </w:rPr>
            </w:pPr>
          </w:p>
        </w:tc>
        <w:tc>
          <w:tcPr>
            <w:tcW w:w="0" w:type="auto"/>
            <w:gridSpan w:val="3"/>
            <w:shd w:val="clear" w:color="auto" w:fill="auto"/>
            <w:vAlign w:val="bottom"/>
          </w:tcPr>
          <w:p w14:paraId="392CA27C" w14:textId="77777777" w:rsidR="00980E5F" w:rsidRDefault="00980E5F">
            <w:pPr>
              <w:rPr>
                <w:rFonts w:ascii="宋体"/>
                <w:vanish/>
              </w:rPr>
            </w:pPr>
          </w:p>
        </w:tc>
        <w:tc>
          <w:tcPr>
            <w:tcW w:w="0" w:type="auto"/>
            <w:gridSpan w:val="3"/>
            <w:shd w:val="clear" w:color="auto" w:fill="auto"/>
            <w:vAlign w:val="bottom"/>
          </w:tcPr>
          <w:p w14:paraId="392CA27D" w14:textId="77777777" w:rsidR="00980E5F" w:rsidRDefault="00980E5F">
            <w:pPr>
              <w:rPr>
                <w:rFonts w:ascii="宋体"/>
                <w:vanish/>
              </w:rPr>
            </w:pPr>
          </w:p>
        </w:tc>
        <w:tc>
          <w:tcPr>
            <w:tcW w:w="0" w:type="auto"/>
            <w:gridSpan w:val="3"/>
            <w:shd w:val="clear" w:color="auto" w:fill="auto"/>
            <w:vAlign w:val="bottom"/>
          </w:tcPr>
          <w:p w14:paraId="392CA27E" w14:textId="77777777" w:rsidR="00980E5F" w:rsidRDefault="00980E5F">
            <w:pPr>
              <w:rPr>
                <w:rFonts w:ascii="宋体"/>
                <w:vanish/>
              </w:rPr>
            </w:pPr>
          </w:p>
        </w:tc>
        <w:tc>
          <w:tcPr>
            <w:tcW w:w="0" w:type="auto"/>
            <w:gridSpan w:val="3"/>
            <w:shd w:val="clear" w:color="auto" w:fill="auto"/>
            <w:vAlign w:val="bottom"/>
          </w:tcPr>
          <w:p w14:paraId="392CA27F" w14:textId="77777777" w:rsidR="00980E5F" w:rsidRDefault="00980E5F">
            <w:pPr>
              <w:rPr>
                <w:rFonts w:ascii="宋体"/>
                <w:vanish/>
              </w:rPr>
            </w:pPr>
          </w:p>
        </w:tc>
        <w:tc>
          <w:tcPr>
            <w:tcW w:w="0" w:type="auto"/>
            <w:gridSpan w:val="3"/>
            <w:shd w:val="clear" w:color="auto" w:fill="auto"/>
            <w:vAlign w:val="bottom"/>
          </w:tcPr>
          <w:p w14:paraId="392CA280" w14:textId="77777777" w:rsidR="00980E5F" w:rsidRDefault="00980E5F">
            <w:pPr>
              <w:rPr>
                <w:rFonts w:ascii="宋体"/>
                <w:vanish/>
              </w:rPr>
            </w:pPr>
          </w:p>
        </w:tc>
        <w:tc>
          <w:tcPr>
            <w:tcW w:w="0" w:type="auto"/>
            <w:gridSpan w:val="3"/>
            <w:shd w:val="clear" w:color="auto" w:fill="auto"/>
            <w:vAlign w:val="bottom"/>
          </w:tcPr>
          <w:p w14:paraId="392CA281" w14:textId="77777777" w:rsidR="00980E5F" w:rsidRDefault="00980E5F">
            <w:pPr>
              <w:rPr>
                <w:rFonts w:ascii="宋体"/>
                <w:vanish/>
              </w:rPr>
            </w:pPr>
          </w:p>
        </w:tc>
        <w:tc>
          <w:tcPr>
            <w:tcW w:w="0" w:type="auto"/>
            <w:gridSpan w:val="3"/>
            <w:shd w:val="clear" w:color="auto" w:fill="auto"/>
            <w:vAlign w:val="bottom"/>
          </w:tcPr>
          <w:p w14:paraId="392CA282" w14:textId="77777777" w:rsidR="00980E5F" w:rsidRDefault="00980E5F">
            <w:pPr>
              <w:rPr>
                <w:rFonts w:ascii="宋体"/>
                <w:vanish/>
              </w:rPr>
            </w:pPr>
          </w:p>
        </w:tc>
        <w:tc>
          <w:tcPr>
            <w:tcW w:w="0" w:type="auto"/>
            <w:gridSpan w:val="3"/>
            <w:shd w:val="clear" w:color="auto" w:fill="auto"/>
            <w:vAlign w:val="bottom"/>
          </w:tcPr>
          <w:p w14:paraId="392CA283" w14:textId="77777777" w:rsidR="00980E5F" w:rsidRDefault="00980E5F">
            <w:pPr>
              <w:rPr>
                <w:rFonts w:ascii="宋体"/>
                <w:vanish/>
              </w:rPr>
            </w:pPr>
          </w:p>
        </w:tc>
        <w:tc>
          <w:tcPr>
            <w:tcW w:w="0" w:type="auto"/>
            <w:gridSpan w:val="3"/>
            <w:shd w:val="clear" w:color="auto" w:fill="auto"/>
            <w:vAlign w:val="bottom"/>
          </w:tcPr>
          <w:p w14:paraId="392CA284" w14:textId="77777777" w:rsidR="00980E5F" w:rsidRDefault="00980E5F">
            <w:pPr>
              <w:rPr>
                <w:rFonts w:ascii="宋体"/>
                <w:vanish/>
              </w:rPr>
            </w:pPr>
          </w:p>
        </w:tc>
      </w:tr>
      <w:tr w:rsidR="00980E5F" w14:paraId="392CA290" w14:textId="77777777">
        <w:trPr>
          <w:hidden/>
        </w:trPr>
        <w:tc>
          <w:tcPr>
            <w:tcW w:w="0" w:type="auto"/>
            <w:gridSpan w:val="3"/>
            <w:shd w:val="clear" w:color="auto" w:fill="auto"/>
            <w:vAlign w:val="bottom"/>
          </w:tcPr>
          <w:p w14:paraId="392CA286" w14:textId="77777777" w:rsidR="00980E5F" w:rsidRDefault="00980E5F">
            <w:pPr>
              <w:rPr>
                <w:rFonts w:ascii="宋体"/>
                <w:vanish/>
              </w:rPr>
            </w:pPr>
          </w:p>
        </w:tc>
        <w:tc>
          <w:tcPr>
            <w:tcW w:w="0" w:type="auto"/>
            <w:gridSpan w:val="3"/>
            <w:shd w:val="clear" w:color="auto" w:fill="auto"/>
            <w:vAlign w:val="bottom"/>
          </w:tcPr>
          <w:p w14:paraId="392CA287" w14:textId="77777777" w:rsidR="00980E5F" w:rsidRDefault="00980E5F">
            <w:pPr>
              <w:rPr>
                <w:rFonts w:ascii="宋体"/>
                <w:vanish/>
              </w:rPr>
            </w:pPr>
          </w:p>
        </w:tc>
        <w:tc>
          <w:tcPr>
            <w:tcW w:w="0" w:type="auto"/>
            <w:gridSpan w:val="3"/>
            <w:shd w:val="clear" w:color="auto" w:fill="auto"/>
            <w:vAlign w:val="bottom"/>
          </w:tcPr>
          <w:p w14:paraId="392CA288" w14:textId="77777777" w:rsidR="00980E5F" w:rsidRDefault="00980E5F">
            <w:pPr>
              <w:rPr>
                <w:rFonts w:ascii="宋体"/>
                <w:vanish/>
              </w:rPr>
            </w:pPr>
          </w:p>
        </w:tc>
        <w:tc>
          <w:tcPr>
            <w:tcW w:w="0" w:type="auto"/>
            <w:gridSpan w:val="3"/>
            <w:shd w:val="clear" w:color="auto" w:fill="auto"/>
            <w:vAlign w:val="bottom"/>
          </w:tcPr>
          <w:p w14:paraId="392CA289" w14:textId="77777777" w:rsidR="00980E5F" w:rsidRDefault="00980E5F">
            <w:pPr>
              <w:rPr>
                <w:rFonts w:ascii="宋体"/>
                <w:vanish/>
              </w:rPr>
            </w:pPr>
          </w:p>
        </w:tc>
        <w:tc>
          <w:tcPr>
            <w:tcW w:w="0" w:type="auto"/>
            <w:gridSpan w:val="3"/>
            <w:shd w:val="clear" w:color="auto" w:fill="auto"/>
            <w:vAlign w:val="bottom"/>
          </w:tcPr>
          <w:p w14:paraId="392CA28A" w14:textId="77777777" w:rsidR="00980E5F" w:rsidRDefault="00980E5F">
            <w:pPr>
              <w:rPr>
                <w:rFonts w:ascii="宋体"/>
                <w:vanish/>
              </w:rPr>
            </w:pPr>
          </w:p>
        </w:tc>
        <w:tc>
          <w:tcPr>
            <w:tcW w:w="0" w:type="auto"/>
            <w:gridSpan w:val="3"/>
            <w:shd w:val="clear" w:color="auto" w:fill="auto"/>
            <w:vAlign w:val="bottom"/>
          </w:tcPr>
          <w:p w14:paraId="392CA28B" w14:textId="77777777" w:rsidR="00980E5F" w:rsidRDefault="00980E5F">
            <w:pPr>
              <w:rPr>
                <w:rFonts w:ascii="宋体"/>
                <w:vanish/>
              </w:rPr>
            </w:pPr>
          </w:p>
        </w:tc>
        <w:tc>
          <w:tcPr>
            <w:tcW w:w="0" w:type="auto"/>
            <w:gridSpan w:val="3"/>
            <w:shd w:val="clear" w:color="auto" w:fill="auto"/>
            <w:vAlign w:val="bottom"/>
          </w:tcPr>
          <w:p w14:paraId="392CA28C" w14:textId="77777777" w:rsidR="00980E5F" w:rsidRDefault="00980E5F">
            <w:pPr>
              <w:rPr>
                <w:rFonts w:ascii="宋体"/>
                <w:vanish/>
              </w:rPr>
            </w:pPr>
          </w:p>
        </w:tc>
        <w:tc>
          <w:tcPr>
            <w:tcW w:w="0" w:type="auto"/>
            <w:gridSpan w:val="3"/>
            <w:shd w:val="clear" w:color="auto" w:fill="auto"/>
            <w:vAlign w:val="bottom"/>
          </w:tcPr>
          <w:p w14:paraId="392CA28D" w14:textId="77777777" w:rsidR="00980E5F" w:rsidRDefault="00980E5F">
            <w:pPr>
              <w:rPr>
                <w:rFonts w:ascii="宋体"/>
                <w:vanish/>
              </w:rPr>
            </w:pPr>
          </w:p>
        </w:tc>
        <w:tc>
          <w:tcPr>
            <w:tcW w:w="0" w:type="auto"/>
            <w:gridSpan w:val="3"/>
            <w:shd w:val="clear" w:color="auto" w:fill="auto"/>
            <w:vAlign w:val="bottom"/>
          </w:tcPr>
          <w:p w14:paraId="392CA28E" w14:textId="77777777" w:rsidR="00980E5F" w:rsidRDefault="00980E5F">
            <w:pPr>
              <w:rPr>
                <w:rFonts w:ascii="宋体"/>
                <w:vanish/>
              </w:rPr>
            </w:pPr>
          </w:p>
        </w:tc>
        <w:tc>
          <w:tcPr>
            <w:tcW w:w="0" w:type="auto"/>
            <w:gridSpan w:val="3"/>
            <w:shd w:val="clear" w:color="auto" w:fill="auto"/>
            <w:vAlign w:val="bottom"/>
          </w:tcPr>
          <w:p w14:paraId="392CA28F" w14:textId="77777777" w:rsidR="00980E5F" w:rsidRDefault="00980E5F">
            <w:pPr>
              <w:rPr>
                <w:rFonts w:ascii="宋体"/>
                <w:vanish/>
              </w:rPr>
            </w:pPr>
          </w:p>
        </w:tc>
      </w:tr>
      <w:tr w:rsidR="00980E5F" w14:paraId="392CA29B" w14:textId="77777777">
        <w:trPr>
          <w:hidden/>
        </w:trPr>
        <w:tc>
          <w:tcPr>
            <w:tcW w:w="0" w:type="auto"/>
            <w:gridSpan w:val="3"/>
            <w:shd w:val="clear" w:color="auto" w:fill="auto"/>
            <w:vAlign w:val="bottom"/>
          </w:tcPr>
          <w:p w14:paraId="392CA291" w14:textId="77777777" w:rsidR="00980E5F" w:rsidRDefault="00980E5F">
            <w:pPr>
              <w:rPr>
                <w:rFonts w:ascii="宋体"/>
                <w:vanish/>
              </w:rPr>
            </w:pPr>
          </w:p>
        </w:tc>
        <w:tc>
          <w:tcPr>
            <w:tcW w:w="0" w:type="auto"/>
            <w:gridSpan w:val="3"/>
            <w:shd w:val="clear" w:color="auto" w:fill="auto"/>
            <w:vAlign w:val="bottom"/>
          </w:tcPr>
          <w:p w14:paraId="392CA292" w14:textId="77777777" w:rsidR="00980E5F" w:rsidRDefault="00980E5F">
            <w:pPr>
              <w:rPr>
                <w:rFonts w:ascii="宋体"/>
                <w:vanish/>
              </w:rPr>
            </w:pPr>
          </w:p>
        </w:tc>
        <w:tc>
          <w:tcPr>
            <w:tcW w:w="0" w:type="auto"/>
            <w:gridSpan w:val="3"/>
            <w:shd w:val="clear" w:color="auto" w:fill="auto"/>
            <w:vAlign w:val="bottom"/>
          </w:tcPr>
          <w:p w14:paraId="392CA293" w14:textId="77777777" w:rsidR="00980E5F" w:rsidRDefault="00980E5F">
            <w:pPr>
              <w:rPr>
                <w:rFonts w:ascii="宋体"/>
                <w:vanish/>
              </w:rPr>
            </w:pPr>
          </w:p>
        </w:tc>
        <w:tc>
          <w:tcPr>
            <w:tcW w:w="0" w:type="auto"/>
            <w:gridSpan w:val="3"/>
            <w:shd w:val="clear" w:color="auto" w:fill="auto"/>
            <w:vAlign w:val="bottom"/>
          </w:tcPr>
          <w:p w14:paraId="392CA294" w14:textId="77777777" w:rsidR="00980E5F" w:rsidRDefault="00980E5F">
            <w:pPr>
              <w:rPr>
                <w:rFonts w:ascii="宋体"/>
                <w:vanish/>
              </w:rPr>
            </w:pPr>
          </w:p>
        </w:tc>
        <w:tc>
          <w:tcPr>
            <w:tcW w:w="0" w:type="auto"/>
            <w:gridSpan w:val="3"/>
            <w:shd w:val="clear" w:color="auto" w:fill="auto"/>
            <w:vAlign w:val="bottom"/>
          </w:tcPr>
          <w:p w14:paraId="392CA295" w14:textId="77777777" w:rsidR="00980E5F" w:rsidRDefault="00980E5F">
            <w:pPr>
              <w:rPr>
                <w:rFonts w:ascii="宋体"/>
                <w:vanish/>
              </w:rPr>
            </w:pPr>
          </w:p>
        </w:tc>
        <w:tc>
          <w:tcPr>
            <w:tcW w:w="0" w:type="auto"/>
            <w:gridSpan w:val="3"/>
            <w:shd w:val="clear" w:color="auto" w:fill="auto"/>
            <w:vAlign w:val="bottom"/>
          </w:tcPr>
          <w:p w14:paraId="392CA296" w14:textId="77777777" w:rsidR="00980E5F" w:rsidRDefault="00980E5F">
            <w:pPr>
              <w:rPr>
                <w:rFonts w:ascii="宋体"/>
                <w:vanish/>
              </w:rPr>
            </w:pPr>
          </w:p>
        </w:tc>
        <w:tc>
          <w:tcPr>
            <w:tcW w:w="0" w:type="auto"/>
            <w:gridSpan w:val="3"/>
            <w:shd w:val="clear" w:color="auto" w:fill="auto"/>
            <w:vAlign w:val="bottom"/>
          </w:tcPr>
          <w:p w14:paraId="392CA297" w14:textId="77777777" w:rsidR="00980E5F" w:rsidRDefault="00980E5F">
            <w:pPr>
              <w:rPr>
                <w:rFonts w:ascii="宋体"/>
                <w:vanish/>
              </w:rPr>
            </w:pPr>
          </w:p>
        </w:tc>
        <w:tc>
          <w:tcPr>
            <w:tcW w:w="0" w:type="auto"/>
            <w:gridSpan w:val="3"/>
            <w:shd w:val="clear" w:color="auto" w:fill="auto"/>
            <w:vAlign w:val="bottom"/>
          </w:tcPr>
          <w:p w14:paraId="392CA298" w14:textId="77777777" w:rsidR="00980E5F" w:rsidRDefault="00980E5F">
            <w:pPr>
              <w:rPr>
                <w:rFonts w:ascii="宋体"/>
                <w:vanish/>
              </w:rPr>
            </w:pPr>
          </w:p>
        </w:tc>
        <w:tc>
          <w:tcPr>
            <w:tcW w:w="0" w:type="auto"/>
            <w:gridSpan w:val="3"/>
            <w:shd w:val="clear" w:color="auto" w:fill="auto"/>
            <w:vAlign w:val="bottom"/>
          </w:tcPr>
          <w:p w14:paraId="392CA299" w14:textId="77777777" w:rsidR="00980E5F" w:rsidRDefault="00980E5F">
            <w:pPr>
              <w:rPr>
                <w:rFonts w:ascii="宋体"/>
                <w:vanish/>
              </w:rPr>
            </w:pPr>
          </w:p>
        </w:tc>
        <w:tc>
          <w:tcPr>
            <w:tcW w:w="0" w:type="auto"/>
            <w:gridSpan w:val="3"/>
            <w:shd w:val="clear" w:color="auto" w:fill="auto"/>
            <w:vAlign w:val="bottom"/>
          </w:tcPr>
          <w:p w14:paraId="392CA29A" w14:textId="77777777" w:rsidR="00980E5F" w:rsidRDefault="00980E5F">
            <w:pPr>
              <w:rPr>
                <w:rFonts w:ascii="宋体"/>
                <w:vanish/>
              </w:rPr>
            </w:pPr>
          </w:p>
        </w:tc>
      </w:tr>
      <w:tr w:rsidR="00980E5F" w14:paraId="392CA2A6" w14:textId="77777777">
        <w:trPr>
          <w:hidden/>
        </w:trPr>
        <w:tc>
          <w:tcPr>
            <w:tcW w:w="0" w:type="auto"/>
            <w:gridSpan w:val="3"/>
            <w:shd w:val="clear" w:color="auto" w:fill="auto"/>
            <w:vAlign w:val="bottom"/>
          </w:tcPr>
          <w:p w14:paraId="392CA29C" w14:textId="77777777" w:rsidR="00980E5F" w:rsidRDefault="00980E5F">
            <w:pPr>
              <w:rPr>
                <w:rFonts w:ascii="宋体"/>
                <w:vanish/>
              </w:rPr>
            </w:pPr>
          </w:p>
        </w:tc>
        <w:tc>
          <w:tcPr>
            <w:tcW w:w="0" w:type="auto"/>
            <w:gridSpan w:val="3"/>
            <w:shd w:val="clear" w:color="auto" w:fill="auto"/>
            <w:vAlign w:val="bottom"/>
          </w:tcPr>
          <w:p w14:paraId="392CA29D" w14:textId="77777777" w:rsidR="00980E5F" w:rsidRDefault="00980E5F">
            <w:pPr>
              <w:rPr>
                <w:rFonts w:ascii="宋体"/>
                <w:vanish/>
              </w:rPr>
            </w:pPr>
          </w:p>
        </w:tc>
        <w:tc>
          <w:tcPr>
            <w:tcW w:w="0" w:type="auto"/>
            <w:gridSpan w:val="3"/>
            <w:shd w:val="clear" w:color="auto" w:fill="auto"/>
            <w:vAlign w:val="bottom"/>
          </w:tcPr>
          <w:p w14:paraId="392CA29E" w14:textId="77777777" w:rsidR="00980E5F" w:rsidRDefault="00980E5F">
            <w:pPr>
              <w:rPr>
                <w:rFonts w:ascii="宋体"/>
                <w:vanish/>
              </w:rPr>
            </w:pPr>
          </w:p>
        </w:tc>
        <w:tc>
          <w:tcPr>
            <w:tcW w:w="0" w:type="auto"/>
            <w:gridSpan w:val="3"/>
            <w:shd w:val="clear" w:color="auto" w:fill="auto"/>
            <w:vAlign w:val="bottom"/>
          </w:tcPr>
          <w:p w14:paraId="392CA29F" w14:textId="77777777" w:rsidR="00980E5F" w:rsidRDefault="00980E5F">
            <w:pPr>
              <w:rPr>
                <w:rFonts w:ascii="宋体"/>
                <w:vanish/>
              </w:rPr>
            </w:pPr>
          </w:p>
        </w:tc>
        <w:tc>
          <w:tcPr>
            <w:tcW w:w="0" w:type="auto"/>
            <w:gridSpan w:val="3"/>
            <w:shd w:val="clear" w:color="auto" w:fill="auto"/>
            <w:vAlign w:val="bottom"/>
          </w:tcPr>
          <w:p w14:paraId="392CA2A0" w14:textId="77777777" w:rsidR="00980E5F" w:rsidRDefault="00980E5F">
            <w:pPr>
              <w:rPr>
                <w:rFonts w:ascii="宋体"/>
                <w:vanish/>
              </w:rPr>
            </w:pPr>
          </w:p>
        </w:tc>
        <w:tc>
          <w:tcPr>
            <w:tcW w:w="0" w:type="auto"/>
            <w:gridSpan w:val="3"/>
            <w:shd w:val="clear" w:color="auto" w:fill="auto"/>
            <w:vAlign w:val="bottom"/>
          </w:tcPr>
          <w:p w14:paraId="392CA2A1" w14:textId="77777777" w:rsidR="00980E5F" w:rsidRDefault="00980E5F">
            <w:pPr>
              <w:rPr>
                <w:rFonts w:ascii="宋体"/>
                <w:vanish/>
              </w:rPr>
            </w:pPr>
          </w:p>
        </w:tc>
        <w:tc>
          <w:tcPr>
            <w:tcW w:w="0" w:type="auto"/>
            <w:gridSpan w:val="3"/>
            <w:shd w:val="clear" w:color="auto" w:fill="auto"/>
            <w:vAlign w:val="bottom"/>
          </w:tcPr>
          <w:p w14:paraId="392CA2A2" w14:textId="77777777" w:rsidR="00980E5F" w:rsidRDefault="00980E5F">
            <w:pPr>
              <w:rPr>
                <w:rFonts w:ascii="宋体"/>
                <w:vanish/>
              </w:rPr>
            </w:pPr>
          </w:p>
        </w:tc>
        <w:tc>
          <w:tcPr>
            <w:tcW w:w="0" w:type="auto"/>
            <w:gridSpan w:val="3"/>
            <w:shd w:val="clear" w:color="auto" w:fill="auto"/>
            <w:vAlign w:val="bottom"/>
          </w:tcPr>
          <w:p w14:paraId="392CA2A3" w14:textId="77777777" w:rsidR="00980E5F" w:rsidRDefault="00980E5F">
            <w:pPr>
              <w:rPr>
                <w:rFonts w:ascii="宋体"/>
                <w:vanish/>
              </w:rPr>
            </w:pPr>
          </w:p>
        </w:tc>
        <w:tc>
          <w:tcPr>
            <w:tcW w:w="0" w:type="auto"/>
            <w:gridSpan w:val="3"/>
            <w:shd w:val="clear" w:color="auto" w:fill="auto"/>
            <w:vAlign w:val="bottom"/>
          </w:tcPr>
          <w:p w14:paraId="392CA2A4" w14:textId="77777777" w:rsidR="00980E5F" w:rsidRDefault="00980E5F">
            <w:pPr>
              <w:rPr>
                <w:rFonts w:ascii="宋体"/>
                <w:vanish/>
              </w:rPr>
            </w:pPr>
          </w:p>
        </w:tc>
        <w:tc>
          <w:tcPr>
            <w:tcW w:w="0" w:type="auto"/>
            <w:gridSpan w:val="3"/>
            <w:shd w:val="clear" w:color="auto" w:fill="auto"/>
            <w:vAlign w:val="bottom"/>
          </w:tcPr>
          <w:p w14:paraId="392CA2A5" w14:textId="77777777" w:rsidR="00980E5F" w:rsidRDefault="00980E5F">
            <w:pPr>
              <w:rPr>
                <w:rFonts w:ascii="宋体"/>
                <w:vanish/>
              </w:rPr>
            </w:pPr>
          </w:p>
        </w:tc>
      </w:tr>
      <w:tr w:rsidR="00980E5F" w14:paraId="392CA2B1" w14:textId="77777777">
        <w:trPr>
          <w:hidden/>
        </w:trPr>
        <w:tc>
          <w:tcPr>
            <w:tcW w:w="0" w:type="auto"/>
            <w:gridSpan w:val="3"/>
            <w:shd w:val="clear" w:color="auto" w:fill="auto"/>
            <w:vAlign w:val="bottom"/>
          </w:tcPr>
          <w:p w14:paraId="392CA2A7" w14:textId="77777777" w:rsidR="00980E5F" w:rsidRDefault="00980E5F">
            <w:pPr>
              <w:rPr>
                <w:rFonts w:ascii="宋体"/>
                <w:vanish/>
              </w:rPr>
            </w:pPr>
          </w:p>
        </w:tc>
        <w:tc>
          <w:tcPr>
            <w:tcW w:w="0" w:type="auto"/>
            <w:gridSpan w:val="3"/>
            <w:shd w:val="clear" w:color="auto" w:fill="auto"/>
            <w:vAlign w:val="bottom"/>
          </w:tcPr>
          <w:p w14:paraId="392CA2A8" w14:textId="77777777" w:rsidR="00980E5F" w:rsidRDefault="00980E5F">
            <w:pPr>
              <w:rPr>
                <w:rFonts w:ascii="宋体"/>
                <w:vanish/>
              </w:rPr>
            </w:pPr>
          </w:p>
        </w:tc>
        <w:tc>
          <w:tcPr>
            <w:tcW w:w="0" w:type="auto"/>
            <w:gridSpan w:val="3"/>
            <w:shd w:val="clear" w:color="auto" w:fill="auto"/>
            <w:vAlign w:val="bottom"/>
          </w:tcPr>
          <w:p w14:paraId="392CA2A9" w14:textId="77777777" w:rsidR="00980E5F" w:rsidRDefault="00980E5F">
            <w:pPr>
              <w:rPr>
                <w:rFonts w:ascii="宋体"/>
                <w:vanish/>
              </w:rPr>
            </w:pPr>
          </w:p>
        </w:tc>
        <w:tc>
          <w:tcPr>
            <w:tcW w:w="0" w:type="auto"/>
            <w:gridSpan w:val="3"/>
            <w:shd w:val="clear" w:color="auto" w:fill="auto"/>
            <w:vAlign w:val="bottom"/>
          </w:tcPr>
          <w:p w14:paraId="392CA2AA" w14:textId="77777777" w:rsidR="00980E5F" w:rsidRDefault="00980E5F">
            <w:pPr>
              <w:rPr>
                <w:rFonts w:ascii="宋体"/>
                <w:vanish/>
              </w:rPr>
            </w:pPr>
          </w:p>
        </w:tc>
        <w:tc>
          <w:tcPr>
            <w:tcW w:w="0" w:type="auto"/>
            <w:gridSpan w:val="3"/>
            <w:shd w:val="clear" w:color="auto" w:fill="auto"/>
            <w:vAlign w:val="bottom"/>
          </w:tcPr>
          <w:p w14:paraId="392CA2AB" w14:textId="77777777" w:rsidR="00980E5F" w:rsidRDefault="00980E5F">
            <w:pPr>
              <w:rPr>
                <w:rFonts w:ascii="宋体"/>
                <w:vanish/>
              </w:rPr>
            </w:pPr>
          </w:p>
        </w:tc>
        <w:tc>
          <w:tcPr>
            <w:tcW w:w="0" w:type="auto"/>
            <w:gridSpan w:val="3"/>
            <w:shd w:val="clear" w:color="auto" w:fill="auto"/>
            <w:vAlign w:val="bottom"/>
          </w:tcPr>
          <w:p w14:paraId="392CA2AC" w14:textId="77777777" w:rsidR="00980E5F" w:rsidRDefault="00980E5F">
            <w:pPr>
              <w:rPr>
                <w:rFonts w:ascii="宋体"/>
                <w:vanish/>
              </w:rPr>
            </w:pPr>
          </w:p>
        </w:tc>
        <w:tc>
          <w:tcPr>
            <w:tcW w:w="0" w:type="auto"/>
            <w:gridSpan w:val="3"/>
            <w:shd w:val="clear" w:color="auto" w:fill="auto"/>
            <w:vAlign w:val="bottom"/>
          </w:tcPr>
          <w:p w14:paraId="392CA2AD" w14:textId="77777777" w:rsidR="00980E5F" w:rsidRDefault="00980E5F">
            <w:pPr>
              <w:rPr>
                <w:rFonts w:ascii="宋体"/>
                <w:vanish/>
              </w:rPr>
            </w:pPr>
          </w:p>
        </w:tc>
        <w:tc>
          <w:tcPr>
            <w:tcW w:w="0" w:type="auto"/>
            <w:gridSpan w:val="3"/>
            <w:shd w:val="clear" w:color="auto" w:fill="auto"/>
            <w:vAlign w:val="bottom"/>
          </w:tcPr>
          <w:p w14:paraId="392CA2AE" w14:textId="77777777" w:rsidR="00980E5F" w:rsidRDefault="00980E5F">
            <w:pPr>
              <w:rPr>
                <w:rFonts w:ascii="宋体"/>
                <w:vanish/>
              </w:rPr>
            </w:pPr>
          </w:p>
        </w:tc>
        <w:tc>
          <w:tcPr>
            <w:tcW w:w="0" w:type="auto"/>
            <w:gridSpan w:val="3"/>
            <w:shd w:val="clear" w:color="auto" w:fill="auto"/>
            <w:vAlign w:val="bottom"/>
          </w:tcPr>
          <w:p w14:paraId="392CA2AF" w14:textId="77777777" w:rsidR="00980E5F" w:rsidRDefault="00980E5F">
            <w:pPr>
              <w:rPr>
                <w:rFonts w:ascii="宋体"/>
                <w:vanish/>
              </w:rPr>
            </w:pPr>
          </w:p>
        </w:tc>
        <w:tc>
          <w:tcPr>
            <w:tcW w:w="0" w:type="auto"/>
            <w:gridSpan w:val="3"/>
            <w:shd w:val="clear" w:color="auto" w:fill="auto"/>
            <w:vAlign w:val="bottom"/>
          </w:tcPr>
          <w:p w14:paraId="392CA2B0" w14:textId="77777777" w:rsidR="00980E5F" w:rsidRDefault="00980E5F">
            <w:pPr>
              <w:rPr>
                <w:rFonts w:ascii="宋体"/>
                <w:vanish/>
              </w:rPr>
            </w:pPr>
          </w:p>
        </w:tc>
      </w:tr>
      <w:tr w:rsidR="00980E5F" w14:paraId="392CA2BC" w14:textId="77777777">
        <w:trPr>
          <w:hidden/>
        </w:trPr>
        <w:tc>
          <w:tcPr>
            <w:tcW w:w="0" w:type="auto"/>
            <w:gridSpan w:val="3"/>
            <w:shd w:val="clear" w:color="auto" w:fill="auto"/>
            <w:vAlign w:val="bottom"/>
          </w:tcPr>
          <w:p w14:paraId="392CA2B2" w14:textId="77777777" w:rsidR="00980E5F" w:rsidRDefault="00980E5F">
            <w:pPr>
              <w:rPr>
                <w:rFonts w:ascii="宋体"/>
                <w:vanish/>
              </w:rPr>
            </w:pPr>
          </w:p>
        </w:tc>
        <w:tc>
          <w:tcPr>
            <w:tcW w:w="0" w:type="auto"/>
            <w:gridSpan w:val="3"/>
            <w:shd w:val="clear" w:color="auto" w:fill="auto"/>
            <w:vAlign w:val="bottom"/>
          </w:tcPr>
          <w:p w14:paraId="392CA2B3" w14:textId="77777777" w:rsidR="00980E5F" w:rsidRDefault="00980E5F">
            <w:pPr>
              <w:rPr>
                <w:rFonts w:ascii="宋体"/>
                <w:vanish/>
              </w:rPr>
            </w:pPr>
          </w:p>
        </w:tc>
        <w:tc>
          <w:tcPr>
            <w:tcW w:w="0" w:type="auto"/>
            <w:gridSpan w:val="3"/>
            <w:shd w:val="clear" w:color="auto" w:fill="auto"/>
            <w:vAlign w:val="bottom"/>
          </w:tcPr>
          <w:p w14:paraId="392CA2B4" w14:textId="77777777" w:rsidR="00980E5F" w:rsidRDefault="00980E5F">
            <w:pPr>
              <w:rPr>
                <w:rFonts w:ascii="宋体"/>
                <w:vanish/>
              </w:rPr>
            </w:pPr>
          </w:p>
        </w:tc>
        <w:tc>
          <w:tcPr>
            <w:tcW w:w="0" w:type="auto"/>
            <w:gridSpan w:val="3"/>
            <w:shd w:val="clear" w:color="auto" w:fill="auto"/>
            <w:vAlign w:val="bottom"/>
          </w:tcPr>
          <w:p w14:paraId="392CA2B5" w14:textId="77777777" w:rsidR="00980E5F" w:rsidRDefault="00980E5F">
            <w:pPr>
              <w:rPr>
                <w:rFonts w:ascii="宋体"/>
                <w:vanish/>
              </w:rPr>
            </w:pPr>
          </w:p>
        </w:tc>
        <w:tc>
          <w:tcPr>
            <w:tcW w:w="0" w:type="auto"/>
            <w:gridSpan w:val="3"/>
            <w:shd w:val="clear" w:color="auto" w:fill="auto"/>
            <w:vAlign w:val="bottom"/>
          </w:tcPr>
          <w:p w14:paraId="392CA2B6" w14:textId="77777777" w:rsidR="00980E5F" w:rsidRDefault="00980E5F">
            <w:pPr>
              <w:rPr>
                <w:rFonts w:ascii="宋体"/>
                <w:vanish/>
              </w:rPr>
            </w:pPr>
          </w:p>
        </w:tc>
        <w:tc>
          <w:tcPr>
            <w:tcW w:w="0" w:type="auto"/>
            <w:gridSpan w:val="3"/>
            <w:shd w:val="clear" w:color="auto" w:fill="auto"/>
            <w:vAlign w:val="bottom"/>
          </w:tcPr>
          <w:p w14:paraId="392CA2B7" w14:textId="77777777" w:rsidR="00980E5F" w:rsidRDefault="00980E5F">
            <w:pPr>
              <w:rPr>
                <w:rFonts w:ascii="宋体"/>
                <w:vanish/>
              </w:rPr>
            </w:pPr>
          </w:p>
        </w:tc>
        <w:tc>
          <w:tcPr>
            <w:tcW w:w="0" w:type="auto"/>
            <w:gridSpan w:val="3"/>
            <w:shd w:val="clear" w:color="auto" w:fill="auto"/>
            <w:vAlign w:val="bottom"/>
          </w:tcPr>
          <w:p w14:paraId="392CA2B8" w14:textId="77777777" w:rsidR="00980E5F" w:rsidRDefault="00980E5F">
            <w:pPr>
              <w:rPr>
                <w:rFonts w:ascii="宋体"/>
                <w:vanish/>
              </w:rPr>
            </w:pPr>
          </w:p>
        </w:tc>
        <w:tc>
          <w:tcPr>
            <w:tcW w:w="0" w:type="auto"/>
            <w:gridSpan w:val="3"/>
            <w:shd w:val="clear" w:color="auto" w:fill="auto"/>
            <w:vAlign w:val="bottom"/>
          </w:tcPr>
          <w:p w14:paraId="392CA2B9" w14:textId="77777777" w:rsidR="00980E5F" w:rsidRDefault="00980E5F">
            <w:pPr>
              <w:rPr>
                <w:rFonts w:ascii="宋体"/>
                <w:vanish/>
              </w:rPr>
            </w:pPr>
          </w:p>
        </w:tc>
        <w:tc>
          <w:tcPr>
            <w:tcW w:w="0" w:type="auto"/>
            <w:gridSpan w:val="3"/>
            <w:shd w:val="clear" w:color="auto" w:fill="auto"/>
            <w:vAlign w:val="bottom"/>
          </w:tcPr>
          <w:p w14:paraId="392CA2BA" w14:textId="77777777" w:rsidR="00980E5F" w:rsidRDefault="00980E5F">
            <w:pPr>
              <w:rPr>
                <w:rFonts w:ascii="宋体"/>
                <w:vanish/>
              </w:rPr>
            </w:pPr>
          </w:p>
        </w:tc>
        <w:tc>
          <w:tcPr>
            <w:tcW w:w="0" w:type="auto"/>
            <w:gridSpan w:val="3"/>
            <w:shd w:val="clear" w:color="auto" w:fill="auto"/>
            <w:vAlign w:val="bottom"/>
          </w:tcPr>
          <w:p w14:paraId="392CA2BB" w14:textId="77777777" w:rsidR="00980E5F" w:rsidRDefault="00980E5F">
            <w:pPr>
              <w:rPr>
                <w:rFonts w:ascii="宋体"/>
                <w:vanish/>
              </w:rPr>
            </w:pPr>
          </w:p>
        </w:tc>
      </w:tr>
      <w:tr w:rsidR="00980E5F" w14:paraId="392CA2C7" w14:textId="77777777">
        <w:trPr>
          <w:hidden/>
        </w:trPr>
        <w:tc>
          <w:tcPr>
            <w:tcW w:w="0" w:type="auto"/>
            <w:gridSpan w:val="3"/>
            <w:shd w:val="clear" w:color="auto" w:fill="auto"/>
            <w:vAlign w:val="bottom"/>
          </w:tcPr>
          <w:p w14:paraId="392CA2BD" w14:textId="77777777" w:rsidR="00980E5F" w:rsidRDefault="00980E5F">
            <w:pPr>
              <w:rPr>
                <w:rFonts w:ascii="宋体"/>
                <w:vanish/>
              </w:rPr>
            </w:pPr>
          </w:p>
        </w:tc>
        <w:tc>
          <w:tcPr>
            <w:tcW w:w="0" w:type="auto"/>
            <w:gridSpan w:val="3"/>
            <w:shd w:val="clear" w:color="auto" w:fill="auto"/>
            <w:vAlign w:val="bottom"/>
          </w:tcPr>
          <w:p w14:paraId="392CA2BE" w14:textId="77777777" w:rsidR="00980E5F" w:rsidRDefault="00980E5F">
            <w:pPr>
              <w:rPr>
                <w:rFonts w:ascii="宋体"/>
                <w:vanish/>
              </w:rPr>
            </w:pPr>
          </w:p>
        </w:tc>
        <w:tc>
          <w:tcPr>
            <w:tcW w:w="0" w:type="auto"/>
            <w:gridSpan w:val="3"/>
            <w:shd w:val="clear" w:color="auto" w:fill="auto"/>
            <w:vAlign w:val="bottom"/>
          </w:tcPr>
          <w:p w14:paraId="392CA2BF" w14:textId="77777777" w:rsidR="00980E5F" w:rsidRDefault="00980E5F">
            <w:pPr>
              <w:rPr>
                <w:rFonts w:ascii="宋体"/>
                <w:vanish/>
              </w:rPr>
            </w:pPr>
          </w:p>
        </w:tc>
        <w:tc>
          <w:tcPr>
            <w:tcW w:w="0" w:type="auto"/>
            <w:gridSpan w:val="3"/>
            <w:shd w:val="clear" w:color="auto" w:fill="auto"/>
            <w:vAlign w:val="bottom"/>
          </w:tcPr>
          <w:p w14:paraId="392CA2C0" w14:textId="77777777" w:rsidR="00980E5F" w:rsidRDefault="00980E5F">
            <w:pPr>
              <w:rPr>
                <w:rFonts w:ascii="宋体"/>
                <w:vanish/>
              </w:rPr>
            </w:pPr>
          </w:p>
        </w:tc>
        <w:tc>
          <w:tcPr>
            <w:tcW w:w="0" w:type="auto"/>
            <w:gridSpan w:val="3"/>
            <w:shd w:val="clear" w:color="auto" w:fill="auto"/>
            <w:vAlign w:val="bottom"/>
          </w:tcPr>
          <w:p w14:paraId="392CA2C1" w14:textId="77777777" w:rsidR="00980E5F" w:rsidRDefault="00980E5F">
            <w:pPr>
              <w:rPr>
                <w:rFonts w:ascii="宋体"/>
                <w:vanish/>
              </w:rPr>
            </w:pPr>
          </w:p>
        </w:tc>
        <w:tc>
          <w:tcPr>
            <w:tcW w:w="0" w:type="auto"/>
            <w:gridSpan w:val="3"/>
            <w:shd w:val="clear" w:color="auto" w:fill="auto"/>
            <w:vAlign w:val="bottom"/>
          </w:tcPr>
          <w:p w14:paraId="392CA2C2" w14:textId="77777777" w:rsidR="00980E5F" w:rsidRDefault="00980E5F">
            <w:pPr>
              <w:rPr>
                <w:rFonts w:ascii="宋体"/>
                <w:vanish/>
              </w:rPr>
            </w:pPr>
          </w:p>
        </w:tc>
        <w:tc>
          <w:tcPr>
            <w:tcW w:w="0" w:type="auto"/>
            <w:gridSpan w:val="3"/>
            <w:shd w:val="clear" w:color="auto" w:fill="auto"/>
            <w:vAlign w:val="bottom"/>
          </w:tcPr>
          <w:p w14:paraId="392CA2C3" w14:textId="77777777" w:rsidR="00980E5F" w:rsidRDefault="00980E5F">
            <w:pPr>
              <w:rPr>
                <w:rFonts w:ascii="宋体"/>
                <w:vanish/>
              </w:rPr>
            </w:pPr>
          </w:p>
        </w:tc>
        <w:tc>
          <w:tcPr>
            <w:tcW w:w="0" w:type="auto"/>
            <w:gridSpan w:val="3"/>
            <w:shd w:val="clear" w:color="auto" w:fill="auto"/>
            <w:vAlign w:val="bottom"/>
          </w:tcPr>
          <w:p w14:paraId="392CA2C4" w14:textId="77777777" w:rsidR="00980E5F" w:rsidRDefault="00980E5F">
            <w:pPr>
              <w:rPr>
                <w:rFonts w:ascii="宋体"/>
                <w:vanish/>
              </w:rPr>
            </w:pPr>
          </w:p>
        </w:tc>
        <w:tc>
          <w:tcPr>
            <w:tcW w:w="0" w:type="auto"/>
            <w:gridSpan w:val="3"/>
            <w:shd w:val="clear" w:color="auto" w:fill="auto"/>
            <w:vAlign w:val="bottom"/>
          </w:tcPr>
          <w:p w14:paraId="392CA2C5" w14:textId="77777777" w:rsidR="00980E5F" w:rsidRDefault="00980E5F">
            <w:pPr>
              <w:rPr>
                <w:rFonts w:ascii="宋体"/>
                <w:vanish/>
              </w:rPr>
            </w:pPr>
          </w:p>
        </w:tc>
        <w:tc>
          <w:tcPr>
            <w:tcW w:w="0" w:type="auto"/>
            <w:gridSpan w:val="3"/>
            <w:shd w:val="clear" w:color="auto" w:fill="auto"/>
            <w:vAlign w:val="bottom"/>
          </w:tcPr>
          <w:p w14:paraId="392CA2C6" w14:textId="77777777" w:rsidR="00980E5F" w:rsidRDefault="00980E5F">
            <w:pPr>
              <w:rPr>
                <w:rFonts w:ascii="宋体"/>
                <w:vanish/>
              </w:rPr>
            </w:pPr>
          </w:p>
        </w:tc>
      </w:tr>
      <w:tr w:rsidR="00980E5F" w14:paraId="392CA2D2" w14:textId="77777777">
        <w:trPr>
          <w:hidden/>
        </w:trPr>
        <w:tc>
          <w:tcPr>
            <w:tcW w:w="0" w:type="auto"/>
            <w:gridSpan w:val="3"/>
            <w:shd w:val="clear" w:color="auto" w:fill="auto"/>
            <w:vAlign w:val="bottom"/>
          </w:tcPr>
          <w:p w14:paraId="392CA2C8" w14:textId="77777777" w:rsidR="00980E5F" w:rsidRDefault="00980E5F">
            <w:pPr>
              <w:rPr>
                <w:rFonts w:ascii="宋体"/>
                <w:vanish/>
              </w:rPr>
            </w:pPr>
          </w:p>
        </w:tc>
        <w:tc>
          <w:tcPr>
            <w:tcW w:w="0" w:type="auto"/>
            <w:gridSpan w:val="3"/>
            <w:shd w:val="clear" w:color="auto" w:fill="auto"/>
            <w:vAlign w:val="bottom"/>
          </w:tcPr>
          <w:p w14:paraId="392CA2C9" w14:textId="77777777" w:rsidR="00980E5F" w:rsidRDefault="00980E5F">
            <w:pPr>
              <w:rPr>
                <w:rFonts w:ascii="宋体"/>
                <w:vanish/>
              </w:rPr>
            </w:pPr>
          </w:p>
        </w:tc>
        <w:tc>
          <w:tcPr>
            <w:tcW w:w="0" w:type="auto"/>
            <w:gridSpan w:val="3"/>
            <w:shd w:val="clear" w:color="auto" w:fill="auto"/>
            <w:vAlign w:val="bottom"/>
          </w:tcPr>
          <w:p w14:paraId="392CA2CA" w14:textId="77777777" w:rsidR="00980E5F" w:rsidRDefault="00980E5F">
            <w:pPr>
              <w:rPr>
                <w:rFonts w:ascii="宋体"/>
                <w:vanish/>
              </w:rPr>
            </w:pPr>
          </w:p>
        </w:tc>
        <w:tc>
          <w:tcPr>
            <w:tcW w:w="0" w:type="auto"/>
            <w:gridSpan w:val="3"/>
            <w:shd w:val="clear" w:color="auto" w:fill="auto"/>
            <w:vAlign w:val="bottom"/>
          </w:tcPr>
          <w:p w14:paraId="392CA2CB" w14:textId="77777777" w:rsidR="00980E5F" w:rsidRDefault="00980E5F">
            <w:pPr>
              <w:rPr>
                <w:rFonts w:ascii="宋体"/>
                <w:vanish/>
              </w:rPr>
            </w:pPr>
          </w:p>
        </w:tc>
        <w:tc>
          <w:tcPr>
            <w:tcW w:w="0" w:type="auto"/>
            <w:gridSpan w:val="3"/>
            <w:shd w:val="clear" w:color="auto" w:fill="auto"/>
            <w:vAlign w:val="bottom"/>
          </w:tcPr>
          <w:p w14:paraId="392CA2CC" w14:textId="77777777" w:rsidR="00980E5F" w:rsidRDefault="00980E5F">
            <w:pPr>
              <w:rPr>
                <w:rFonts w:ascii="宋体"/>
                <w:vanish/>
              </w:rPr>
            </w:pPr>
          </w:p>
        </w:tc>
        <w:tc>
          <w:tcPr>
            <w:tcW w:w="0" w:type="auto"/>
            <w:gridSpan w:val="3"/>
            <w:shd w:val="clear" w:color="auto" w:fill="auto"/>
            <w:vAlign w:val="bottom"/>
          </w:tcPr>
          <w:p w14:paraId="392CA2CD" w14:textId="77777777" w:rsidR="00980E5F" w:rsidRDefault="00980E5F">
            <w:pPr>
              <w:rPr>
                <w:rFonts w:ascii="宋体"/>
                <w:vanish/>
              </w:rPr>
            </w:pPr>
          </w:p>
        </w:tc>
        <w:tc>
          <w:tcPr>
            <w:tcW w:w="0" w:type="auto"/>
            <w:gridSpan w:val="3"/>
            <w:shd w:val="clear" w:color="auto" w:fill="auto"/>
            <w:vAlign w:val="bottom"/>
          </w:tcPr>
          <w:p w14:paraId="392CA2CE" w14:textId="77777777" w:rsidR="00980E5F" w:rsidRDefault="00980E5F">
            <w:pPr>
              <w:rPr>
                <w:rFonts w:ascii="宋体"/>
                <w:vanish/>
              </w:rPr>
            </w:pPr>
          </w:p>
        </w:tc>
        <w:tc>
          <w:tcPr>
            <w:tcW w:w="0" w:type="auto"/>
            <w:gridSpan w:val="3"/>
            <w:shd w:val="clear" w:color="auto" w:fill="auto"/>
            <w:vAlign w:val="bottom"/>
          </w:tcPr>
          <w:p w14:paraId="392CA2CF" w14:textId="77777777" w:rsidR="00980E5F" w:rsidRDefault="00980E5F">
            <w:pPr>
              <w:rPr>
                <w:rFonts w:ascii="宋体"/>
                <w:vanish/>
              </w:rPr>
            </w:pPr>
          </w:p>
        </w:tc>
        <w:tc>
          <w:tcPr>
            <w:tcW w:w="0" w:type="auto"/>
            <w:gridSpan w:val="3"/>
            <w:shd w:val="clear" w:color="auto" w:fill="auto"/>
            <w:vAlign w:val="bottom"/>
          </w:tcPr>
          <w:p w14:paraId="392CA2D0" w14:textId="77777777" w:rsidR="00980E5F" w:rsidRDefault="00980E5F">
            <w:pPr>
              <w:rPr>
                <w:rFonts w:ascii="宋体"/>
                <w:vanish/>
              </w:rPr>
            </w:pPr>
          </w:p>
        </w:tc>
        <w:tc>
          <w:tcPr>
            <w:tcW w:w="0" w:type="auto"/>
            <w:gridSpan w:val="3"/>
            <w:shd w:val="clear" w:color="auto" w:fill="auto"/>
            <w:vAlign w:val="bottom"/>
          </w:tcPr>
          <w:p w14:paraId="392CA2D1" w14:textId="77777777" w:rsidR="00980E5F" w:rsidRDefault="00980E5F">
            <w:pPr>
              <w:rPr>
                <w:rFonts w:ascii="宋体"/>
                <w:vanish/>
              </w:rPr>
            </w:pPr>
          </w:p>
        </w:tc>
      </w:tr>
      <w:tr w:rsidR="00980E5F" w14:paraId="392CA2DD" w14:textId="77777777">
        <w:trPr>
          <w:hidden/>
        </w:trPr>
        <w:tc>
          <w:tcPr>
            <w:tcW w:w="0" w:type="auto"/>
            <w:gridSpan w:val="3"/>
            <w:shd w:val="clear" w:color="auto" w:fill="auto"/>
            <w:vAlign w:val="bottom"/>
          </w:tcPr>
          <w:p w14:paraId="392CA2D3" w14:textId="77777777" w:rsidR="00980E5F" w:rsidRDefault="00980E5F">
            <w:pPr>
              <w:rPr>
                <w:rFonts w:ascii="宋体"/>
                <w:vanish/>
              </w:rPr>
            </w:pPr>
          </w:p>
        </w:tc>
        <w:tc>
          <w:tcPr>
            <w:tcW w:w="0" w:type="auto"/>
            <w:gridSpan w:val="3"/>
            <w:shd w:val="clear" w:color="auto" w:fill="auto"/>
            <w:vAlign w:val="bottom"/>
          </w:tcPr>
          <w:p w14:paraId="392CA2D4" w14:textId="77777777" w:rsidR="00980E5F" w:rsidRDefault="00980E5F">
            <w:pPr>
              <w:rPr>
                <w:rFonts w:ascii="宋体"/>
                <w:vanish/>
              </w:rPr>
            </w:pPr>
          </w:p>
        </w:tc>
        <w:tc>
          <w:tcPr>
            <w:tcW w:w="0" w:type="auto"/>
            <w:gridSpan w:val="3"/>
            <w:shd w:val="clear" w:color="auto" w:fill="auto"/>
            <w:vAlign w:val="bottom"/>
          </w:tcPr>
          <w:p w14:paraId="392CA2D5" w14:textId="77777777" w:rsidR="00980E5F" w:rsidRDefault="00980E5F">
            <w:pPr>
              <w:rPr>
                <w:rFonts w:ascii="宋体"/>
                <w:vanish/>
              </w:rPr>
            </w:pPr>
          </w:p>
        </w:tc>
        <w:tc>
          <w:tcPr>
            <w:tcW w:w="0" w:type="auto"/>
            <w:gridSpan w:val="3"/>
            <w:shd w:val="clear" w:color="auto" w:fill="auto"/>
            <w:vAlign w:val="bottom"/>
          </w:tcPr>
          <w:p w14:paraId="392CA2D6" w14:textId="77777777" w:rsidR="00980E5F" w:rsidRDefault="00980E5F">
            <w:pPr>
              <w:rPr>
                <w:rFonts w:ascii="宋体"/>
                <w:vanish/>
              </w:rPr>
            </w:pPr>
          </w:p>
        </w:tc>
        <w:tc>
          <w:tcPr>
            <w:tcW w:w="0" w:type="auto"/>
            <w:gridSpan w:val="3"/>
            <w:shd w:val="clear" w:color="auto" w:fill="auto"/>
            <w:vAlign w:val="bottom"/>
          </w:tcPr>
          <w:p w14:paraId="392CA2D7" w14:textId="77777777" w:rsidR="00980E5F" w:rsidRDefault="00980E5F">
            <w:pPr>
              <w:rPr>
                <w:rFonts w:ascii="宋体"/>
                <w:vanish/>
              </w:rPr>
            </w:pPr>
          </w:p>
        </w:tc>
        <w:tc>
          <w:tcPr>
            <w:tcW w:w="0" w:type="auto"/>
            <w:gridSpan w:val="3"/>
            <w:shd w:val="clear" w:color="auto" w:fill="auto"/>
            <w:vAlign w:val="bottom"/>
          </w:tcPr>
          <w:p w14:paraId="392CA2D8" w14:textId="77777777" w:rsidR="00980E5F" w:rsidRDefault="00980E5F">
            <w:pPr>
              <w:rPr>
                <w:rFonts w:ascii="宋体"/>
                <w:vanish/>
              </w:rPr>
            </w:pPr>
          </w:p>
        </w:tc>
        <w:tc>
          <w:tcPr>
            <w:tcW w:w="0" w:type="auto"/>
            <w:gridSpan w:val="3"/>
            <w:shd w:val="clear" w:color="auto" w:fill="auto"/>
            <w:vAlign w:val="bottom"/>
          </w:tcPr>
          <w:p w14:paraId="392CA2D9" w14:textId="77777777" w:rsidR="00980E5F" w:rsidRDefault="00980E5F">
            <w:pPr>
              <w:rPr>
                <w:rFonts w:ascii="宋体"/>
                <w:vanish/>
              </w:rPr>
            </w:pPr>
          </w:p>
        </w:tc>
        <w:tc>
          <w:tcPr>
            <w:tcW w:w="0" w:type="auto"/>
            <w:gridSpan w:val="3"/>
            <w:shd w:val="clear" w:color="auto" w:fill="auto"/>
            <w:vAlign w:val="bottom"/>
          </w:tcPr>
          <w:p w14:paraId="392CA2DA" w14:textId="77777777" w:rsidR="00980E5F" w:rsidRDefault="00980E5F">
            <w:pPr>
              <w:rPr>
                <w:rFonts w:ascii="宋体"/>
                <w:vanish/>
              </w:rPr>
            </w:pPr>
          </w:p>
        </w:tc>
        <w:tc>
          <w:tcPr>
            <w:tcW w:w="0" w:type="auto"/>
            <w:gridSpan w:val="3"/>
            <w:shd w:val="clear" w:color="auto" w:fill="auto"/>
            <w:vAlign w:val="bottom"/>
          </w:tcPr>
          <w:p w14:paraId="392CA2DB" w14:textId="77777777" w:rsidR="00980E5F" w:rsidRDefault="00980E5F">
            <w:pPr>
              <w:rPr>
                <w:rFonts w:ascii="宋体"/>
                <w:vanish/>
              </w:rPr>
            </w:pPr>
          </w:p>
        </w:tc>
        <w:tc>
          <w:tcPr>
            <w:tcW w:w="0" w:type="auto"/>
            <w:gridSpan w:val="3"/>
            <w:shd w:val="clear" w:color="auto" w:fill="auto"/>
            <w:vAlign w:val="bottom"/>
          </w:tcPr>
          <w:p w14:paraId="392CA2DC" w14:textId="77777777" w:rsidR="00980E5F" w:rsidRDefault="00980E5F">
            <w:pPr>
              <w:rPr>
                <w:rFonts w:ascii="宋体"/>
                <w:vanish/>
              </w:rPr>
            </w:pPr>
          </w:p>
        </w:tc>
      </w:tr>
      <w:tr w:rsidR="00980E5F" w14:paraId="392CA2E8" w14:textId="77777777">
        <w:trPr>
          <w:hidden/>
        </w:trPr>
        <w:tc>
          <w:tcPr>
            <w:tcW w:w="0" w:type="auto"/>
            <w:gridSpan w:val="3"/>
            <w:shd w:val="clear" w:color="auto" w:fill="auto"/>
            <w:vAlign w:val="bottom"/>
          </w:tcPr>
          <w:p w14:paraId="392CA2DE" w14:textId="77777777" w:rsidR="00980E5F" w:rsidRDefault="00980E5F">
            <w:pPr>
              <w:rPr>
                <w:rFonts w:ascii="宋体"/>
                <w:vanish/>
              </w:rPr>
            </w:pPr>
          </w:p>
        </w:tc>
        <w:tc>
          <w:tcPr>
            <w:tcW w:w="0" w:type="auto"/>
            <w:gridSpan w:val="3"/>
            <w:shd w:val="clear" w:color="auto" w:fill="auto"/>
            <w:vAlign w:val="bottom"/>
          </w:tcPr>
          <w:p w14:paraId="392CA2DF" w14:textId="77777777" w:rsidR="00980E5F" w:rsidRDefault="00980E5F">
            <w:pPr>
              <w:rPr>
                <w:rFonts w:ascii="宋体"/>
                <w:vanish/>
              </w:rPr>
            </w:pPr>
          </w:p>
        </w:tc>
        <w:tc>
          <w:tcPr>
            <w:tcW w:w="0" w:type="auto"/>
            <w:gridSpan w:val="3"/>
            <w:shd w:val="clear" w:color="auto" w:fill="auto"/>
            <w:vAlign w:val="bottom"/>
          </w:tcPr>
          <w:p w14:paraId="392CA2E0" w14:textId="77777777" w:rsidR="00980E5F" w:rsidRDefault="00980E5F">
            <w:pPr>
              <w:rPr>
                <w:rFonts w:ascii="宋体"/>
                <w:vanish/>
              </w:rPr>
            </w:pPr>
          </w:p>
        </w:tc>
        <w:tc>
          <w:tcPr>
            <w:tcW w:w="0" w:type="auto"/>
            <w:gridSpan w:val="3"/>
            <w:shd w:val="clear" w:color="auto" w:fill="auto"/>
            <w:vAlign w:val="bottom"/>
          </w:tcPr>
          <w:p w14:paraId="392CA2E1" w14:textId="77777777" w:rsidR="00980E5F" w:rsidRDefault="00980E5F">
            <w:pPr>
              <w:rPr>
                <w:rFonts w:ascii="宋体"/>
                <w:vanish/>
              </w:rPr>
            </w:pPr>
          </w:p>
        </w:tc>
        <w:tc>
          <w:tcPr>
            <w:tcW w:w="0" w:type="auto"/>
            <w:gridSpan w:val="3"/>
            <w:shd w:val="clear" w:color="auto" w:fill="auto"/>
            <w:vAlign w:val="bottom"/>
          </w:tcPr>
          <w:p w14:paraId="392CA2E2" w14:textId="77777777" w:rsidR="00980E5F" w:rsidRDefault="00980E5F">
            <w:pPr>
              <w:rPr>
                <w:rFonts w:ascii="宋体"/>
                <w:vanish/>
              </w:rPr>
            </w:pPr>
          </w:p>
        </w:tc>
        <w:tc>
          <w:tcPr>
            <w:tcW w:w="0" w:type="auto"/>
            <w:gridSpan w:val="3"/>
            <w:shd w:val="clear" w:color="auto" w:fill="auto"/>
            <w:vAlign w:val="bottom"/>
          </w:tcPr>
          <w:p w14:paraId="392CA2E3" w14:textId="77777777" w:rsidR="00980E5F" w:rsidRDefault="00980E5F">
            <w:pPr>
              <w:rPr>
                <w:rFonts w:ascii="宋体"/>
                <w:vanish/>
              </w:rPr>
            </w:pPr>
          </w:p>
        </w:tc>
        <w:tc>
          <w:tcPr>
            <w:tcW w:w="0" w:type="auto"/>
            <w:gridSpan w:val="3"/>
            <w:shd w:val="clear" w:color="auto" w:fill="auto"/>
            <w:vAlign w:val="bottom"/>
          </w:tcPr>
          <w:p w14:paraId="392CA2E4" w14:textId="77777777" w:rsidR="00980E5F" w:rsidRDefault="00980E5F">
            <w:pPr>
              <w:rPr>
                <w:rFonts w:ascii="宋体"/>
                <w:vanish/>
              </w:rPr>
            </w:pPr>
          </w:p>
        </w:tc>
        <w:tc>
          <w:tcPr>
            <w:tcW w:w="0" w:type="auto"/>
            <w:gridSpan w:val="3"/>
            <w:shd w:val="clear" w:color="auto" w:fill="auto"/>
            <w:vAlign w:val="bottom"/>
          </w:tcPr>
          <w:p w14:paraId="392CA2E5" w14:textId="77777777" w:rsidR="00980E5F" w:rsidRDefault="00980E5F">
            <w:pPr>
              <w:rPr>
                <w:rFonts w:ascii="宋体"/>
                <w:vanish/>
              </w:rPr>
            </w:pPr>
          </w:p>
        </w:tc>
        <w:tc>
          <w:tcPr>
            <w:tcW w:w="0" w:type="auto"/>
            <w:gridSpan w:val="3"/>
            <w:shd w:val="clear" w:color="auto" w:fill="auto"/>
            <w:vAlign w:val="bottom"/>
          </w:tcPr>
          <w:p w14:paraId="392CA2E6" w14:textId="77777777" w:rsidR="00980E5F" w:rsidRDefault="00980E5F">
            <w:pPr>
              <w:rPr>
                <w:rFonts w:ascii="宋体"/>
                <w:vanish/>
              </w:rPr>
            </w:pPr>
          </w:p>
        </w:tc>
        <w:tc>
          <w:tcPr>
            <w:tcW w:w="0" w:type="auto"/>
            <w:gridSpan w:val="3"/>
            <w:shd w:val="clear" w:color="auto" w:fill="auto"/>
            <w:vAlign w:val="bottom"/>
          </w:tcPr>
          <w:p w14:paraId="392CA2E7" w14:textId="77777777" w:rsidR="00980E5F" w:rsidRDefault="00980E5F">
            <w:pPr>
              <w:rPr>
                <w:rFonts w:ascii="宋体"/>
                <w:vanish/>
              </w:rPr>
            </w:pPr>
          </w:p>
        </w:tc>
      </w:tr>
      <w:tr w:rsidR="00980E5F" w14:paraId="392CA2F3" w14:textId="77777777">
        <w:trPr>
          <w:hidden/>
        </w:trPr>
        <w:tc>
          <w:tcPr>
            <w:tcW w:w="0" w:type="auto"/>
            <w:gridSpan w:val="3"/>
            <w:shd w:val="clear" w:color="auto" w:fill="auto"/>
            <w:vAlign w:val="bottom"/>
          </w:tcPr>
          <w:p w14:paraId="392CA2E9" w14:textId="77777777" w:rsidR="00980E5F" w:rsidRDefault="00980E5F">
            <w:pPr>
              <w:rPr>
                <w:rFonts w:ascii="宋体"/>
                <w:vanish/>
              </w:rPr>
            </w:pPr>
          </w:p>
        </w:tc>
        <w:tc>
          <w:tcPr>
            <w:tcW w:w="0" w:type="auto"/>
            <w:gridSpan w:val="3"/>
            <w:shd w:val="clear" w:color="auto" w:fill="auto"/>
            <w:vAlign w:val="bottom"/>
          </w:tcPr>
          <w:p w14:paraId="392CA2EA" w14:textId="77777777" w:rsidR="00980E5F" w:rsidRDefault="00980E5F">
            <w:pPr>
              <w:rPr>
                <w:rFonts w:ascii="宋体"/>
                <w:vanish/>
              </w:rPr>
            </w:pPr>
          </w:p>
        </w:tc>
        <w:tc>
          <w:tcPr>
            <w:tcW w:w="0" w:type="auto"/>
            <w:gridSpan w:val="3"/>
            <w:shd w:val="clear" w:color="auto" w:fill="auto"/>
            <w:vAlign w:val="bottom"/>
          </w:tcPr>
          <w:p w14:paraId="392CA2EB" w14:textId="77777777" w:rsidR="00980E5F" w:rsidRDefault="00980E5F">
            <w:pPr>
              <w:rPr>
                <w:rFonts w:ascii="宋体"/>
                <w:vanish/>
              </w:rPr>
            </w:pPr>
          </w:p>
        </w:tc>
        <w:tc>
          <w:tcPr>
            <w:tcW w:w="0" w:type="auto"/>
            <w:gridSpan w:val="3"/>
            <w:shd w:val="clear" w:color="auto" w:fill="auto"/>
            <w:vAlign w:val="bottom"/>
          </w:tcPr>
          <w:p w14:paraId="392CA2EC" w14:textId="77777777" w:rsidR="00980E5F" w:rsidRDefault="00980E5F">
            <w:pPr>
              <w:rPr>
                <w:rFonts w:ascii="宋体"/>
                <w:vanish/>
              </w:rPr>
            </w:pPr>
          </w:p>
        </w:tc>
        <w:tc>
          <w:tcPr>
            <w:tcW w:w="0" w:type="auto"/>
            <w:gridSpan w:val="3"/>
            <w:shd w:val="clear" w:color="auto" w:fill="auto"/>
            <w:vAlign w:val="bottom"/>
          </w:tcPr>
          <w:p w14:paraId="392CA2ED" w14:textId="77777777" w:rsidR="00980E5F" w:rsidRDefault="00980E5F">
            <w:pPr>
              <w:rPr>
                <w:rFonts w:ascii="宋体"/>
                <w:vanish/>
              </w:rPr>
            </w:pPr>
          </w:p>
        </w:tc>
        <w:tc>
          <w:tcPr>
            <w:tcW w:w="0" w:type="auto"/>
            <w:gridSpan w:val="3"/>
            <w:shd w:val="clear" w:color="auto" w:fill="auto"/>
            <w:vAlign w:val="bottom"/>
          </w:tcPr>
          <w:p w14:paraId="392CA2EE" w14:textId="77777777" w:rsidR="00980E5F" w:rsidRDefault="00980E5F">
            <w:pPr>
              <w:rPr>
                <w:rFonts w:ascii="宋体"/>
                <w:vanish/>
              </w:rPr>
            </w:pPr>
          </w:p>
        </w:tc>
        <w:tc>
          <w:tcPr>
            <w:tcW w:w="0" w:type="auto"/>
            <w:gridSpan w:val="3"/>
            <w:shd w:val="clear" w:color="auto" w:fill="auto"/>
            <w:vAlign w:val="bottom"/>
          </w:tcPr>
          <w:p w14:paraId="392CA2EF" w14:textId="77777777" w:rsidR="00980E5F" w:rsidRDefault="00980E5F">
            <w:pPr>
              <w:rPr>
                <w:rFonts w:ascii="宋体"/>
                <w:vanish/>
              </w:rPr>
            </w:pPr>
          </w:p>
        </w:tc>
        <w:tc>
          <w:tcPr>
            <w:tcW w:w="0" w:type="auto"/>
            <w:gridSpan w:val="3"/>
            <w:shd w:val="clear" w:color="auto" w:fill="auto"/>
            <w:vAlign w:val="bottom"/>
          </w:tcPr>
          <w:p w14:paraId="392CA2F0" w14:textId="77777777" w:rsidR="00980E5F" w:rsidRDefault="00980E5F">
            <w:pPr>
              <w:rPr>
                <w:rFonts w:ascii="宋体"/>
                <w:vanish/>
              </w:rPr>
            </w:pPr>
          </w:p>
        </w:tc>
        <w:tc>
          <w:tcPr>
            <w:tcW w:w="0" w:type="auto"/>
            <w:gridSpan w:val="3"/>
            <w:shd w:val="clear" w:color="auto" w:fill="auto"/>
            <w:vAlign w:val="bottom"/>
          </w:tcPr>
          <w:p w14:paraId="392CA2F1" w14:textId="77777777" w:rsidR="00980E5F" w:rsidRDefault="00980E5F">
            <w:pPr>
              <w:rPr>
                <w:rFonts w:ascii="宋体"/>
                <w:vanish/>
              </w:rPr>
            </w:pPr>
          </w:p>
        </w:tc>
        <w:tc>
          <w:tcPr>
            <w:tcW w:w="0" w:type="auto"/>
            <w:gridSpan w:val="3"/>
            <w:shd w:val="clear" w:color="auto" w:fill="auto"/>
            <w:vAlign w:val="bottom"/>
          </w:tcPr>
          <w:p w14:paraId="392CA2F2" w14:textId="77777777" w:rsidR="00980E5F" w:rsidRDefault="00980E5F">
            <w:pPr>
              <w:rPr>
                <w:rFonts w:ascii="宋体"/>
                <w:vanish/>
              </w:rPr>
            </w:pPr>
          </w:p>
        </w:tc>
      </w:tr>
      <w:tr w:rsidR="00980E5F" w14:paraId="392CA2FE" w14:textId="77777777">
        <w:trPr>
          <w:hidden/>
        </w:trPr>
        <w:tc>
          <w:tcPr>
            <w:tcW w:w="0" w:type="auto"/>
            <w:gridSpan w:val="3"/>
            <w:shd w:val="clear" w:color="auto" w:fill="auto"/>
            <w:vAlign w:val="bottom"/>
          </w:tcPr>
          <w:p w14:paraId="392CA2F4" w14:textId="77777777" w:rsidR="00980E5F" w:rsidRDefault="00980E5F">
            <w:pPr>
              <w:rPr>
                <w:rFonts w:ascii="宋体"/>
                <w:vanish/>
              </w:rPr>
            </w:pPr>
          </w:p>
        </w:tc>
        <w:tc>
          <w:tcPr>
            <w:tcW w:w="0" w:type="auto"/>
            <w:gridSpan w:val="3"/>
            <w:shd w:val="clear" w:color="auto" w:fill="auto"/>
            <w:vAlign w:val="bottom"/>
          </w:tcPr>
          <w:p w14:paraId="392CA2F5" w14:textId="77777777" w:rsidR="00980E5F" w:rsidRDefault="00980E5F">
            <w:pPr>
              <w:rPr>
                <w:rFonts w:ascii="宋体"/>
                <w:vanish/>
              </w:rPr>
            </w:pPr>
          </w:p>
        </w:tc>
        <w:tc>
          <w:tcPr>
            <w:tcW w:w="0" w:type="auto"/>
            <w:gridSpan w:val="3"/>
            <w:shd w:val="clear" w:color="auto" w:fill="auto"/>
            <w:vAlign w:val="bottom"/>
          </w:tcPr>
          <w:p w14:paraId="392CA2F6" w14:textId="77777777" w:rsidR="00980E5F" w:rsidRDefault="00980E5F">
            <w:pPr>
              <w:rPr>
                <w:rFonts w:ascii="宋体"/>
                <w:vanish/>
              </w:rPr>
            </w:pPr>
          </w:p>
        </w:tc>
        <w:tc>
          <w:tcPr>
            <w:tcW w:w="0" w:type="auto"/>
            <w:gridSpan w:val="3"/>
            <w:shd w:val="clear" w:color="auto" w:fill="auto"/>
            <w:vAlign w:val="bottom"/>
          </w:tcPr>
          <w:p w14:paraId="392CA2F7" w14:textId="77777777" w:rsidR="00980E5F" w:rsidRDefault="00980E5F">
            <w:pPr>
              <w:rPr>
                <w:rFonts w:ascii="宋体"/>
                <w:vanish/>
              </w:rPr>
            </w:pPr>
          </w:p>
        </w:tc>
        <w:tc>
          <w:tcPr>
            <w:tcW w:w="0" w:type="auto"/>
            <w:gridSpan w:val="3"/>
            <w:shd w:val="clear" w:color="auto" w:fill="auto"/>
            <w:vAlign w:val="bottom"/>
          </w:tcPr>
          <w:p w14:paraId="392CA2F8" w14:textId="77777777" w:rsidR="00980E5F" w:rsidRDefault="00980E5F">
            <w:pPr>
              <w:rPr>
                <w:rFonts w:ascii="宋体"/>
                <w:vanish/>
              </w:rPr>
            </w:pPr>
          </w:p>
        </w:tc>
        <w:tc>
          <w:tcPr>
            <w:tcW w:w="0" w:type="auto"/>
            <w:gridSpan w:val="3"/>
            <w:shd w:val="clear" w:color="auto" w:fill="auto"/>
            <w:vAlign w:val="bottom"/>
          </w:tcPr>
          <w:p w14:paraId="392CA2F9" w14:textId="77777777" w:rsidR="00980E5F" w:rsidRDefault="00980E5F">
            <w:pPr>
              <w:rPr>
                <w:rFonts w:ascii="宋体"/>
                <w:vanish/>
              </w:rPr>
            </w:pPr>
          </w:p>
        </w:tc>
        <w:tc>
          <w:tcPr>
            <w:tcW w:w="0" w:type="auto"/>
            <w:gridSpan w:val="3"/>
            <w:shd w:val="clear" w:color="auto" w:fill="auto"/>
            <w:vAlign w:val="bottom"/>
          </w:tcPr>
          <w:p w14:paraId="392CA2FA" w14:textId="77777777" w:rsidR="00980E5F" w:rsidRDefault="00980E5F">
            <w:pPr>
              <w:rPr>
                <w:rFonts w:ascii="宋体"/>
                <w:vanish/>
              </w:rPr>
            </w:pPr>
          </w:p>
        </w:tc>
        <w:tc>
          <w:tcPr>
            <w:tcW w:w="0" w:type="auto"/>
            <w:gridSpan w:val="3"/>
            <w:shd w:val="clear" w:color="auto" w:fill="auto"/>
            <w:vAlign w:val="bottom"/>
          </w:tcPr>
          <w:p w14:paraId="392CA2FB" w14:textId="77777777" w:rsidR="00980E5F" w:rsidRDefault="00980E5F">
            <w:pPr>
              <w:rPr>
                <w:rFonts w:ascii="宋体"/>
                <w:vanish/>
              </w:rPr>
            </w:pPr>
          </w:p>
        </w:tc>
        <w:tc>
          <w:tcPr>
            <w:tcW w:w="0" w:type="auto"/>
            <w:gridSpan w:val="3"/>
            <w:shd w:val="clear" w:color="auto" w:fill="auto"/>
            <w:vAlign w:val="bottom"/>
          </w:tcPr>
          <w:p w14:paraId="392CA2FC" w14:textId="77777777" w:rsidR="00980E5F" w:rsidRDefault="00980E5F">
            <w:pPr>
              <w:rPr>
                <w:rFonts w:ascii="宋体"/>
                <w:vanish/>
              </w:rPr>
            </w:pPr>
          </w:p>
        </w:tc>
        <w:tc>
          <w:tcPr>
            <w:tcW w:w="0" w:type="auto"/>
            <w:gridSpan w:val="3"/>
            <w:shd w:val="clear" w:color="auto" w:fill="auto"/>
            <w:vAlign w:val="bottom"/>
          </w:tcPr>
          <w:p w14:paraId="392CA2FD" w14:textId="77777777" w:rsidR="00980E5F" w:rsidRDefault="00980E5F">
            <w:pPr>
              <w:rPr>
                <w:rFonts w:ascii="宋体"/>
                <w:vanish/>
              </w:rPr>
            </w:pPr>
          </w:p>
        </w:tc>
      </w:tr>
      <w:tr w:rsidR="00980E5F" w14:paraId="392CA309" w14:textId="77777777">
        <w:trPr>
          <w:hidden/>
        </w:trPr>
        <w:tc>
          <w:tcPr>
            <w:tcW w:w="0" w:type="auto"/>
            <w:gridSpan w:val="3"/>
            <w:shd w:val="clear" w:color="auto" w:fill="auto"/>
            <w:vAlign w:val="bottom"/>
          </w:tcPr>
          <w:p w14:paraId="392CA2FF" w14:textId="77777777" w:rsidR="00980E5F" w:rsidRDefault="00980E5F">
            <w:pPr>
              <w:rPr>
                <w:rFonts w:ascii="宋体"/>
                <w:vanish/>
              </w:rPr>
            </w:pPr>
          </w:p>
        </w:tc>
        <w:tc>
          <w:tcPr>
            <w:tcW w:w="0" w:type="auto"/>
            <w:gridSpan w:val="3"/>
            <w:shd w:val="clear" w:color="auto" w:fill="auto"/>
            <w:vAlign w:val="bottom"/>
          </w:tcPr>
          <w:p w14:paraId="392CA300" w14:textId="77777777" w:rsidR="00980E5F" w:rsidRDefault="00980E5F">
            <w:pPr>
              <w:rPr>
                <w:rFonts w:ascii="宋体"/>
                <w:vanish/>
              </w:rPr>
            </w:pPr>
          </w:p>
        </w:tc>
        <w:tc>
          <w:tcPr>
            <w:tcW w:w="0" w:type="auto"/>
            <w:gridSpan w:val="3"/>
            <w:shd w:val="clear" w:color="auto" w:fill="auto"/>
            <w:vAlign w:val="bottom"/>
          </w:tcPr>
          <w:p w14:paraId="392CA301" w14:textId="77777777" w:rsidR="00980E5F" w:rsidRDefault="00980E5F">
            <w:pPr>
              <w:rPr>
                <w:rFonts w:ascii="宋体"/>
                <w:vanish/>
              </w:rPr>
            </w:pPr>
          </w:p>
        </w:tc>
        <w:tc>
          <w:tcPr>
            <w:tcW w:w="0" w:type="auto"/>
            <w:gridSpan w:val="3"/>
            <w:shd w:val="clear" w:color="auto" w:fill="auto"/>
            <w:vAlign w:val="bottom"/>
          </w:tcPr>
          <w:p w14:paraId="392CA302" w14:textId="77777777" w:rsidR="00980E5F" w:rsidRDefault="00980E5F">
            <w:pPr>
              <w:rPr>
                <w:rFonts w:ascii="宋体"/>
                <w:vanish/>
              </w:rPr>
            </w:pPr>
          </w:p>
        </w:tc>
        <w:tc>
          <w:tcPr>
            <w:tcW w:w="0" w:type="auto"/>
            <w:gridSpan w:val="3"/>
            <w:shd w:val="clear" w:color="auto" w:fill="auto"/>
            <w:vAlign w:val="bottom"/>
          </w:tcPr>
          <w:p w14:paraId="392CA303" w14:textId="77777777" w:rsidR="00980E5F" w:rsidRDefault="00980E5F">
            <w:pPr>
              <w:rPr>
                <w:rFonts w:ascii="宋体"/>
                <w:vanish/>
              </w:rPr>
            </w:pPr>
          </w:p>
        </w:tc>
        <w:tc>
          <w:tcPr>
            <w:tcW w:w="0" w:type="auto"/>
            <w:gridSpan w:val="3"/>
            <w:shd w:val="clear" w:color="auto" w:fill="auto"/>
            <w:vAlign w:val="bottom"/>
          </w:tcPr>
          <w:p w14:paraId="392CA304" w14:textId="77777777" w:rsidR="00980E5F" w:rsidRDefault="00980E5F">
            <w:pPr>
              <w:rPr>
                <w:rFonts w:ascii="宋体"/>
                <w:vanish/>
              </w:rPr>
            </w:pPr>
          </w:p>
        </w:tc>
        <w:tc>
          <w:tcPr>
            <w:tcW w:w="0" w:type="auto"/>
            <w:gridSpan w:val="3"/>
            <w:shd w:val="clear" w:color="auto" w:fill="auto"/>
            <w:vAlign w:val="bottom"/>
          </w:tcPr>
          <w:p w14:paraId="392CA305" w14:textId="77777777" w:rsidR="00980E5F" w:rsidRDefault="00980E5F">
            <w:pPr>
              <w:rPr>
                <w:rFonts w:ascii="宋体"/>
                <w:vanish/>
              </w:rPr>
            </w:pPr>
          </w:p>
        </w:tc>
        <w:tc>
          <w:tcPr>
            <w:tcW w:w="0" w:type="auto"/>
            <w:gridSpan w:val="3"/>
            <w:shd w:val="clear" w:color="auto" w:fill="auto"/>
            <w:vAlign w:val="bottom"/>
          </w:tcPr>
          <w:p w14:paraId="392CA306" w14:textId="77777777" w:rsidR="00980E5F" w:rsidRDefault="00980E5F">
            <w:pPr>
              <w:rPr>
                <w:rFonts w:ascii="宋体"/>
                <w:vanish/>
              </w:rPr>
            </w:pPr>
          </w:p>
        </w:tc>
        <w:tc>
          <w:tcPr>
            <w:tcW w:w="0" w:type="auto"/>
            <w:gridSpan w:val="3"/>
            <w:shd w:val="clear" w:color="auto" w:fill="auto"/>
            <w:vAlign w:val="bottom"/>
          </w:tcPr>
          <w:p w14:paraId="392CA307" w14:textId="77777777" w:rsidR="00980E5F" w:rsidRDefault="00980E5F">
            <w:pPr>
              <w:rPr>
                <w:rFonts w:ascii="宋体"/>
                <w:vanish/>
              </w:rPr>
            </w:pPr>
          </w:p>
        </w:tc>
        <w:tc>
          <w:tcPr>
            <w:tcW w:w="0" w:type="auto"/>
            <w:gridSpan w:val="3"/>
            <w:shd w:val="clear" w:color="auto" w:fill="auto"/>
            <w:vAlign w:val="bottom"/>
          </w:tcPr>
          <w:p w14:paraId="392CA308" w14:textId="77777777" w:rsidR="00980E5F" w:rsidRDefault="00980E5F">
            <w:pPr>
              <w:rPr>
                <w:rFonts w:ascii="宋体"/>
                <w:vanish/>
              </w:rPr>
            </w:pPr>
          </w:p>
        </w:tc>
      </w:tr>
      <w:tr w:rsidR="00980E5F" w14:paraId="392CA314" w14:textId="77777777">
        <w:trPr>
          <w:hidden/>
        </w:trPr>
        <w:tc>
          <w:tcPr>
            <w:tcW w:w="0" w:type="auto"/>
            <w:gridSpan w:val="3"/>
            <w:shd w:val="clear" w:color="auto" w:fill="auto"/>
            <w:vAlign w:val="bottom"/>
          </w:tcPr>
          <w:p w14:paraId="392CA30A" w14:textId="77777777" w:rsidR="00980E5F" w:rsidRDefault="00980E5F">
            <w:pPr>
              <w:rPr>
                <w:rFonts w:ascii="宋体"/>
                <w:vanish/>
              </w:rPr>
            </w:pPr>
          </w:p>
        </w:tc>
        <w:tc>
          <w:tcPr>
            <w:tcW w:w="0" w:type="auto"/>
            <w:gridSpan w:val="3"/>
            <w:shd w:val="clear" w:color="auto" w:fill="auto"/>
            <w:vAlign w:val="bottom"/>
          </w:tcPr>
          <w:p w14:paraId="392CA30B" w14:textId="77777777" w:rsidR="00980E5F" w:rsidRDefault="00980E5F">
            <w:pPr>
              <w:rPr>
                <w:rFonts w:ascii="宋体"/>
                <w:vanish/>
              </w:rPr>
            </w:pPr>
          </w:p>
        </w:tc>
        <w:tc>
          <w:tcPr>
            <w:tcW w:w="0" w:type="auto"/>
            <w:gridSpan w:val="3"/>
            <w:shd w:val="clear" w:color="auto" w:fill="auto"/>
            <w:vAlign w:val="bottom"/>
          </w:tcPr>
          <w:p w14:paraId="392CA30C" w14:textId="77777777" w:rsidR="00980E5F" w:rsidRDefault="00980E5F">
            <w:pPr>
              <w:rPr>
                <w:rFonts w:ascii="宋体"/>
                <w:vanish/>
              </w:rPr>
            </w:pPr>
          </w:p>
        </w:tc>
        <w:tc>
          <w:tcPr>
            <w:tcW w:w="0" w:type="auto"/>
            <w:gridSpan w:val="3"/>
            <w:shd w:val="clear" w:color="auto" w:fill="auto"/>
            <w:vAlign w:val="bottom"/>
          </w:tcPr>
          <w:p w14:paraId="392CA30D" w14:textId="77777777" w:rsidR="00980E5F" w:rsidRDefault="00980E5F">
            <w:pPr>
              <w:rPr>
                <w:rFonts w:ascii="宋体"/>
                <w:vanish/>
              </w:rPr>
            </w:pPr>
          </w:p>
        </w:tc>
        <w:tc>
          <w:tcPr>
            <w:tcW w:w="0" w:type="auto"/>
            <w:gridSpan w:val="3"/>
            <w:shd w:val="clear" w:color="auto" w:fill="auto"/>
            <w:vAlign w:val="bottom"/>
          </w:tcPr>
          <w:p w14:paraId="392CA30E" w14:textId="77777777" w:rsidR="00980E5F" w:rsidRDefault="00980E5F">
            <w:pPr>
              <w:rPr>
                <w:rFonts w:ascii="宋体"/>
                <w:vanish/>
              </w:rPr>
            </w:pPr>
          </w:p>
        </w:tc>
        <w:tc>
          <w:tcPr>
            <w:tcW w:w="0" w:type="auto"/>
            <w:gridSpan w:val="3"/>
            <w:shd w:val="clear" w:color="auto" w:fill="auto"/>
            <w:vAlign w:val="bottom"/>
          </w:tcPr>
          <w:p w14:paraId="392CA30F" w14:textId="77777777" w:rsidR="00980E5F" w:rsidRDefault="00980E5F">
            <w:pPr>
              <w:rPr>
                <w:rFonts w:ascii="宋体"/>
                <w:vanish/>
              </w:rPr>
            </w:pPr>
          </w:p>
        </w:tc>
        <w:tc>
          <w:tcPr>
            <w:tcW w:w="0" w:type="auto"/>
            <w:gridSpan w:val="3"/>
            <w:shd w:val="clear" w:color="auto" w:fill="auto"/>
            <w:vAlign w:val="bottom"/>
          </w:tcPr>
          <w:p w14:paraId="392CA310" w14:textId="77777777" w:rsidR="00980E5F" w:rsidRDefault="00980E5F">
            <w:pPr>
              <w:rPr>
                <w:rFonts w:ascii="宋体"/>
                <w:vanish/>
              </w:rPr>
            </w:pPr>
          </w:p>
        </w:tc>
        <w:tc>
          <w:tcPr>
            <w:tcW w:w="0" w:type="auto"/>
            <w:gridSpan w:val="3"/>
            <w:shd w:val="clear" w:color="auto" w:fill="auto"/>
            <w:vAlign w:val="bottom"/>
          </w:tcPr>
          <w:p w14:paraId="392CA311" w14:textId="77777777" w:rsidR="00980E5F" w:rsidRDefault="00980E5F">
            <w:pPr>
              <w:rPr>
                <w:rFonts w:ascii="宋体"/>
                <w:vanish/>
              </w:rPr>
            </w:pPr>
          </w:p>
        </w:tc>
        <w:tc>
          <w:tcPr>
            <w:tcW w:w="0" w:type="auto"/>
            <w:gridSpan w:val="3"/>
            <w:shd w:val="clear" w:color="auto" w:fill="auto"/>
            <w:vAlign w:val="bottom"/>
          </w:tcPr>
          <w:p w14:paraId="392CA312" w14:textId="77777777" w:rsidR="00980E5F" w:rsidRDefault="00980E5F">
            <w:pPr>
              <w:rPr>
                <w:rFonts w:ascii="宋体"/>
                <w:vanish/>
              </w:rPr>
            </w:pPr>
          </w:p>
        </w:tc>
        <w:tc>
          <w:tcPr>
            <w:tcW w:w="0" w:type="auto"/>
            <w:gridSpan w:val="3"/>
            <w:shd w:val="clear" w:color="auto" w:fill="auto"/>
            <w:vAlign w:val="bottom"/>
          </w:tcPr>
          <w:p w14:paraId="392CA313" w14:textId="77777777" w:rsidR="00980E5F" w:rsidRDefault="00980E5F">
            <w:pPr>
              <w:rPr>
                <w:rFonts w:ascii="宋体"/>
                <w:vanish/>
              </w:rPr>
            </w:pPr>
          </w:p>
        </w:tc>
      </w:tr>
    </w:tbl>
    <w:p w14:paraId="392CA315" w14:textId="77777777" w:rsidR="00980E5F" w:rsidRDefault="00980E5F">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15"/>
        <w:gridCol w:w="36"/>
      </w:tblGrid>
      <w:tr w:rsidR="00980E5F" w14:paraId="392CA31C" w14:textId="77777777">
        <w:tc>
          <w:tcPr>
            <w:tcW w:w="50" w:type="pct"/>
            <w:shd w:val="clear" w:color="auto" w:fill="auto"/>
            <w:vAlign w:val="bottom"/>
          </w:tcPr>
          <w:p w14:paraId="392CA316" w14:textId="77777777" w:rsidR="00980E5F" w:rsidRDefault="00980E5F">
            <w:pPr>
              <w:rPr>
                <w:rFonts w:ascii="宋体"/>
              </w:rPr>
            </w:pPr>
          </w:p>
        </w:tc>
        <w:tc>
          <w:tcPr>
            <w:tcW w:w="2382" w:type="pct"/>
            <w:shd w:val="clear" w:color="auto" w:fill="auto"/>
            <w:vAlign w:val="bottom"/>
          </w:tcPr>
          <w:p w14:paraId="392CA317" w14:textId="77777777" w:rsidR="00980E5F" w:rsidRDefault="00980E5F">
            <w:pPr>
              <w:rPr>
                <w:rFonts w:ascii="宋体"/>
              </w:rPr>
            </w:pPr>
          </w:p>
        </w:tc>
        <w:tc>
          <w:tcPr>
            <w:tcW w:w="5" w:type="pct"/>
            <w:shd w:val="clear" w:color="auto" w:fill="auto"/>
            <w:vAlign w:val="bottom"/>
          </w:tcPr>
          <w:p w14:paraId="392CA318" w14:textId="77777777" w:rsidR="00980E5F" w:rsidRDefault="00980E5F">
            <w:pPr>
              <w:rPr>
                <w:rFonts w:ascii="宋体"/>
              </w:rPr>
            </w:pPr>
          </w:p>
        </w:tc>
        <w:tc>
          <w:tcPr>
            <w:tcW w:w="50" w:type="pct"/>
            <w:shd w:val="clear" w:color="auto" w:fill="auto"/>
            <w:vAlign w:val="bottom"/>
          </w:tcPr>
          <w:p w14:paraId="392CA319" w14:textId="77777777" w:rsidR="00980E5F" w:rsidRDefault="00980E5F">
            <w:pPr>
              <w:rPr>
                <w:rFonts w:ascii="宋体"/>
              </w:rPr>
            </w:pPr>
          </w:p>
        </w:tc>
        <w:tc>
          <w:tcPr>
            <w:tcW w:w="2507" w:type="pct"/>
            <w:shd w:val="clear" w:color="auto" w:fill="auto"/>
            <w:vAlign w:val="bottom"/>
          </w:tcPr>
          <w:p w14:paraId="392CA31A" w14:textId="77777777" w:rsidR="00980E5F" w:rsidRDefault="00980E5F">
            <w:pPr>
              <w:rPr>
                <w:rFonts w:ascii="宋体"/>
              </w:rPr>
            </w:pPr>
          </w:p>
        </w:tc>
        <w:tc>
          <w:tcPr>
            <w:tcW w:w="5" w:type="pct"/>
            <w:shd w:val="clear" w:color="auto" w:fill="auto"/>
            <w:vAlign w:val="bottom"/>
          </w:tcPr>
          <w:p w14:paraId="392CA31B" w14:textId="77777777" w:rsidR="00980E5F" w:rsidRDefault="00980E5F">
            <w:pPr>
              <w:rPr>
                <w:rFonts w:ascii="宋体"/>
              </w:rPr>
            </w:pPr>
          </w:p>
        </w:tc>
      </w:tr>
      <w:tr w:rsidR="00980E5F" w14:paraId="392CA31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A31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31E" w14:textId="77777777" w:rsidR="00980E5F" w:rsidRDefault="00980E5F">
            <w:pPr>
              <w:rPr>
                <w:rFonts w:ascii="宋体"/>
              </w:rPr>
            </w:pPr>
          </w:p>
        </w:tc>
      </w:tr>
      <w:tr w:rsidR="00980E5F" w14:paraId="392CA322" w14:textId="77777777">
        <w:trPr>
          <w:hidden/>
        </w:trPr>
        <w:tc>
          <w:tcPr>
            <w:tcW w:w="0" w:type="auto"/>
            <w:gridSpan w:val="3"/>
            <w:shd w:val="clear" w:color="auto" w:fill="auto"/>
            <w:vAlign w:val="bottom"/>
          </w:tcPr>
          <w:p w14:paraId="392CA320" w14:textId="77777777" w:rsidR="00980E5F" w:rsidRDefault="00980E5F">
            <w:pPr>
              <w:rPr>
                <w:rFonts w:ascii="宋体"/>
                <w:vanish/>
              </w:rPr>
            </w:pPr>
          </w:p>
        </w:tc>
        <w:tc>
          <w:tcPr>
            <w:tcW w:w="0" w:type="auto"/>
            <w:gridSpan w:val="3"/>
            <w:shd w:val="clear" w:color="auto" w:fill="auto"/>
            <w:vAlign w:val="bottom"/>
          </w:tcPr>
          <w:p w14:paraId="392CA321" w14:textId="77777777" w:rsidR="00980E5F" w:rsidRDefault="00980E5F">
            <w:pPr>
              <w:rPr>
                <w:rFonts w:ascii="宋体"/>
                <w:vanish/>
              </w:rPr>
            </w:pPr>
          </w:p>
        </w:tc>
      </w:tr>
    </w:tbl>
    <w:p w14:paraId="392CA323" w14:textId="77777777" w:rsidR="00980E5F" w:rsidRDefault="00483613">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the portion of net </w:t>
      </w:r>
      <w:r>
        <w:rPr>
          <w:rFonts w:ascii="Arial" w:eastAsia="宋体" w:hAnsi="Arial" w:cs="Arial"/>
          <w:color w:val="000000"/>
          <w:sz w:val="13"/>
          <w:szCs w:val="13"/>
        </w:rPr>
        <w:t>income available to common equity allocated to participating securities, composed of unvested and fully vested SERP (Supplemental executive retirement plans) shares and fully vested deferred director stock awards, which are equity-based awards that contain</w:t>
      </w:r>
      <w:r>
        <w:rPr>
          <w:rFonts w:ascii="Arial" w:eastAsia="宋体" w:hAnsi="Arial" w:cs="Arial"/>
          <w:color w:val="000000"/>
          <w:sz w:val="13"/>
          <w:szCs w:val="13"/>
        </w:rPr>
        <w:t xml:space="preserve"> non-forfeitable rights to dividends, and are considered to participate with the common stock in undistributed earnings.</w:t>
      </w:r>
    </w:p>
    <w:p w14:paraId="392CA324" w14:textId="77777777" w:rsidR="00980E5F" w:rsidRDefault="00483613">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Represents equity-based awards outstanding but not included in the computation of diluted average common shares, because their effe</w:t>
      </w:r>
      <w:r>
        <w:rPr>
          <w:rFonts w:ascii="Arial" w:eastAsia="宋体" w:hAnsi="Arial" w:cs="Arial"/>
          <w:color w:val="000000"/>
          <w:sz w:val="13"/>
          <w:szCs w:val="13"/>
        </w:rPr>
        <w:t>ct was anti-dilutive. Additional information about equity-based awards is provided on pages 173 and 175 in Note 18 to the consolidated financial statements included under Item 8, Financial Statements and Supplementary Data, in our 2021 Form 10-K.</w:t>
      </w:r>
    </w:p>
    <w:p w14:paraId="392CA325" w14:textId="77777777" w:rsidR="00980E5F" w:rsidRDefault="00483613">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Calcu</w:t>
      </w:r>
      <w:r>
        <w:rPr>
          <w:rFonts w:ascii="Arial" w:eastAsia="宋体" w:hAnsi="Arial" w:cs="Arial"/>
          <w:color w:val="000000"/>
          <w:sz w:val="13"/>
          <w:szCs w:val="13"/>
        </w:rPr>
        <w:t>lations reflect allocation of earnings to participating securities using the two-class method, as this computation is more dilutive than the treasury stock method.</w:t>
      </w:r>
    </w:p>
    <w:p w14:paraId="392CA326" w14:textId="77777777" w:rsidR="00980E5F" w:rsidRDefault="00483613">
      <w:pPr>
        <w:spacing w:before="90"/>
        <w:jc w:val="both"/>
      </w:pPr>
      <w:r>
        <w:rPr>
          <w:rFonts w:ascii="Arial" w:eastAsia="宋体" w:hAnsi="Arial" w:cs="Arial"/>
          <w:b/>
          <w:bCs/>
          <w:color w:val="000000"/>
          <w:sz w:val="20"/>
          <w:szCs w:val="20"/>
        </w:rPr>
        <w:t>Note 17. Line of Business Information</w:t>
      </w:r>
    </w:p>
    <w:p w14:paraId="392CA327" w14:textId="77777777" w:rsidR="00980E5F" w:rsidRDefault="00483613">
      <w:pPr>
        <w:spacing w:before="60"/>
        <w:ind w:firstLine="450"/>
        <w:jc w:val="both"/>
      </w:pPr>
      <w:r>
        <w:rPr>
          <w:rFonts w:ascii="Arial" w:eastAsia="宋体" w:hAnsi="Arial" w:cs="Arial"/>
          <w:color w:val="000000"/>
          <w:sz w:val="20"/>
          <w:szCs w:val="20"/>
        </w:rPr>
        <w:t>Our operations are organized into two lines of busines</w:t>
      </w:r>
      <w:r>
        <w:rPr>
          <w:rFonts w:ascii="Arial" w:eastAsia="宋体" w:hAnsi="Arial" w:cs="Arial"/>
          <w:color w:val="000000"/>
          <w:sz w:val="20"/>
          <w:szCs w:val="20"/>
        </w:rPr>
        <w:t>s: Investment Servicing and Investment Management, which are defined based on products and services provided. The results of operations for these lines of business are not necessarily comparable with those of other companies, including companies in the fin</w:t>
      </w:r>
      <w:r>
        <w:rPr>
          <w:rFonts w:ascii="Arial" w:eastAsia="宋体" w:hAnsi="Arial" w:cs="Arial"/>
          <w:color w:val="000000"/>
          <w:sz w:val="20"/>
          <w:szCs w:val="20"/>
        </w:rPr>
        <w:t>ancial services industry. For information about our two lines of business, as well as revenues, expenses and capital allocation methodologies associated with them, refer to pages 179 to 181 in Note 24 to the consolidated financial statements included under</w:t>
      </w:r>
      <w:r>
        <w:rPr>
          <w:rFonts w:ascii="Arial" w:eastAsia="宋体" w:hAnsi="Arial" w:cs="Arial"/>
          <w:color w:val="000000"/>
          <w:sz w:val="20"/>
          <w:szCs w:val="20"/>
        </w:rPr>
        <w:t xml:space="preserve"> Item 8, Financial Statements and Supplementary Data, in our 2021 Form 10-K.</w:t>
      </w:r>
    </w:p>
    <w:p w14:paraId="392CA328" w14:textId="77777777" w:rsidR="00980E5F" w:rsidRDefault="00483613">
      <w:pPr>
        <w:spacing w:before="60"/>
        <w:ind w:firstLine="450"/>
        <w:jc w:val="both"/>
      </w:pPr>
      <w:r>
        <w:rPr>
          <w:rFonts w:ascii="Arial" w:eastAsia="宋体" w:hAnsi="Arial" w:cs="Arial"/>
          <w:color w:val="000000"/>
          <w:sz w:val="20"/>
          <w:szCs w:val="20"/>
        </w:rPr>
        <w:t>The following tables summarize our line of business results for the periods indicated. The "Other" columns represent costs incurred that are not allocated to a specific line of bu</w:t>
      </w:r>
      <w:r>
        <w:rPr>
          <w:rFonts w:ascii="Arial" w:eastAsia="宋体" w:hAnsi="Arial" w:cs="Arial"/>
          <w:color w:val="000000"/>
          <w:sz w:val="20"/>
          <w:szCs w:val="20"/>
        </w:rPr>
        <w:t>siness, certain employee costs, including certain severance and restructuring costs, acquisition costs and certain provisions for legal contingencies.</w:t>
      </w:r>
    </w:p>
    <w:p w14:paraId="392CA329" w14:textId="77777777" w:rsidR="00980E5F" w:rsidRDefault="00483613">
      <w:pPr>
        <w:ind w:firstLine="450"/>
        <w:jc w:val="right"/>
      </w:pPr>
      <w:r>
        <w:rPr>
          <w:rFonts w:ascii="Arial" w:eastAsia="宋体" w:hAnsi="Arial" w:cs="Arial"/>
          <w:color w:val="000000"/>
          <w:sz w:val="18"/>
          <w:szCs w:val="18"/>
        </w:rPr>
        <w:t>State Street Corporation | 95</w:t>
      </w:r>
    </w:p>
    <w:p w14:paraId="392CA32A" w14:textId="77777777" w:rsidR="00980E5F" w:rsidRDefault="00980E5F">
      <w:pPr>
        <w:ind w:firstLine="450"/>
        <w:jc w:val="center"/>
      </w:pPr>
    </w:p>
    <w:p w14:paraId="392CA32B" w14:textId="77777777" w:rsidR="00980E5F" w:rsidRDefault="00483613">
      <w:r>
        <w:pict w14:anchorId="392CBB2D">
          <v:rect id="_x0000_i1119" style="width:415.3pt;height:1.5pt" o:hralign="center" o:hrstd="t" o:hr="t" fillcolor="#a0a0a0" stroked="f"/>
        </w:pict>
      </w:r>
    </w:p>
    <w:p w14:paraId="392CA32C" w14:textId="77777777" w:rsidR="00980E5F" w:rsidRDefault="00483613">
      <w:pPr>
        <w:ind w:firstLine="450"/>
        <w:jc w:val="center"/>
      </w:pPr>
      <w:r>
        <w:rPr>
          <w:rFonts w:ascii="Arial" w:eastAsia="宋体" w:hAnsi="Arial" w:cs="Arial"/>
          <w:b/>
          <w:bCs/>
          <w:color w:val="000000"/>
          <w:sz w:val="20"/>
          <w:szCs w:val="20"/>
        </w:rPr>
        <w:t>STATE STREET CORPORATION</w:t>
      </w:r>
    </w:p>
    <w:p w14:paraId="392CA32D" w14:textId="77777777" w:rsidR="00980E5F" w:rsidRDefault="00483613">
      <w:pPr>
        <w:ind w:firstLine="450"/>
        <w:jc w:val="center"/>
      </w:pPr>
      <w:r>
        <w:rPr>
          <w:rFonts w:ascii="Arial" w:eastAsia="宋体" w:hAnsi="Arial" w:cs="Arial"/>
          <w:b/>
          <w:bCs/>
          <w:color w:val="000000"/>
          <w:sz w:val="20"/>
          <w:szCs w:val="20"/>
        </w:rPr>
        <w:t>CONDENSED NOTES TO CONSOLIDATED FINANCIAL STATE</w:t>
      </w:r>
      <w:r>
        <w:rPr>
          <w:rFonts w:ascii="Arial" w:eastAsia="宋体" w:hAnsi="Arial" w:cs="Arial"/>
          <w:b/>
          <w:bCs/>
          <w:color w:val="000000"/>
          <w:sz w:val="20"/>
          <w:szCs w:val="20"/>
        </w:rPr>
        <w:t>MENTS</w:t>
      </w:r>
    </w:p>
    <w:p w14:paraId="392CA32E"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255"/>
        <w:gridCol w:w="37"/>
        <w:gridCol w:w="98"/>
        <w:gridCol w:w="506"/>
        <w:gridCol w:w="145"/>
        <w:gridCol w:w="36"/>
        <w:gridCol w:w="36"/>
        <w:gridCol w:w="36"/>
        <w:gridCol w:w="98"/>
        <w:gridCol w:w="450"/>
        <w:gridCol w:w="145"/>
        <w:gridCol w:w="36"/>
        <w:gridCol w:w="36"/>
        <w:gridCol w:w="36"/>
        <w:gridCol w:w="36"/>
        <w:gridCol w:w="36"/>
        <w:gridCol w:w="99"/>
        <w:gridCol w:w="390"/>
        <w:gridCol w:w="145"/>
        <w:gridCol w:w="36"/>
        <w:gridCol w:w="36"/>
        <w:gridCol w:w="36"/>
        <w:gridCol w:w="99"/>
        <w:gridCol w:w="450"/>
        <w:gridCol w:w="145"/>
        <w:gridCol w:w="36"/>
        <w:gridCol w:w="36"/>
        <w:gridCol w:w="36"/>
        <w:gridCol w:w="36"/>
        <w:gridCol w:w="36"/>
        <w:gridCol w:w="98"/>
        <w:gridCol w:w="392"/>
        <w:gridCol w:w="36"/>
        <w:gridCol w:w="36"/>
        <w:gridCol w:w="36"/>
        <w:gridCol w:w="36"/>
        <w:gridCol w:w="98"/>
        <w:gridCol w:w="453"/>
        <w:gridCol w:w="36"/>
        <w:gridCol w:w="36"/>
        <w:gridCol w:w="36"/>
        <w:gridCol w:w="36"/>
        <w:gridCol w:w="36"/>
        <w:gridCol w:w="36"/>
        <w:gridCol w:w="36"/>
        <w:gridCol w:w="36"/>
        <w:gridCol w:w="36"/>
        <w:gridCol w:w="36"/>
        <w:gridCol w:w="98"/>
        <w:gridCol w:w="390"/>
        <w:gridCol w:w="145"/>
        <w:gridCol w:w="36"/>
        <w:gridCol w:w="36"/>
        <w:gridCol w:w="410"/>
      </w:tblGrid>
      <w:tr w:rsidR="00980E5F" w14:paraId="392CA362" w14:textId="77777777">
        <w:tc>
          <w:tcPr>
            <w:tcW w:w="50" w:type="pct"/>
            <w:shd w:val="clear" w:color="auto" w:fill="auto"/>
            <w:vAlign w:val="bottom"/>
          </w:tcPr>
          <w:p w14:paraId="392CA32F" w14:textId="77777777" w:rsidR="00980E5F" w:rsidRDefault="00980E5F">
            <w:pPr>
              <w:rPr>
                <w:rFonts w:ascii="宋体"/>
              </w:rPr>
            </w:pPr>
          </w:p>
        </w:tc>
        <w:tc>
          <w:tcPr>
            <w:tcW w:w="1414" w:type="pct"/>
            <w:shd w:val="clear" w:color="auto" w:fill="auto"/>
            <w:vAlign w:val="bottom"/>
          </w:tcPr>
          <w:p w14:paraId="392CA330" w14:textId="77777777" w:rsidR="00980E5F" w:rsidRDefault="00980E5F">
            <w:pPr>
              <w:rPr>
                <w:rFonts w:ascii="宋体"/>
              </w:rPr>
            </w:pPr>
          </w:p>
        </w:tc>
        <w:tc>
          <w:tcPr>
            <w:tcW w:w="5" w:type="pct"/>
            <w:shd w:val="clear" w:color="auto" w:fill="auto"/>
            <w:vAlign w:val="bottom"/>
          </w:tcPr>
          <w:p w14:paraId="392CA331" w14:textId="77777777" w:rsidR="00980E5F" w:rsidRDefault="00980E5F">
            <w:pPr>
              <w:rPr>
                <w:rFonts w:ascii="宋体"/>
              </w:rPr>
            </w:pPr>
          </w:p>
        </w:tc>
        <w:tc>
          <w:tcPr>
            <w:tcW w:w="50" w:type="pct"/>
            <w:shd w:val="clear" w:color="auto" w:fill="auto"/>
            <w:vAlign w:val="bottom"/>
          </w:tcPr>
          <w:p w14:paraId="392CA332" w14:textId="77777777" w:rsidR="00980E5F" w:rsidRDefault="00980E5F">
            <w:pPr>
              <w:rPr>
                <w:rFonts w:ascii="宋体"/>
              </w:rPr>
            </w:pPr>
          </w:p>
        </w:tc>
        <w:tc>
          <w:tcPr>
            <w:tcW w:w="354" w:type="pct"/>
            <w:shd w:val="clear" w:color="auto" w:fill="auto"/>
            <w:vAlign w:val="bottom"/>
          </w:tcPr>
          <w:p w14:paraId="392CA333" w14:textId="77777777" w:rsidR="00980E5F" w:rsidRDefault="00980E5F">
            <w:pPr>
              <w:rPr>
                <w:rFonts w:ascii="宋体"/>
              </w:rPr>
            </w:pPr>
          </w:p>
        </w:tc>
        <w:tc>
          <w:tcPr>
            <w:tcW w:w="5" w:type="pct"/>
            <w:shd w:val="clear" w:color="auto" w:fill="auto"/>
            <w:vAlign w:val="bottom"/>
          </w:tcPr>
          <w:p w14:paraId="392CA334" w14:textId="77777777" w:rsidR="00980E5F" w:rsidRDefault="00980E5F">
            <w:pPr>
              <w:rPr>
                <w:rFonts w:ascii="宋体"/>
              </w:rPr>
            </w:pPr>
          </w:p>
        </w:tc>
        <w:tc>
          <w:tcPr>
            <w:tcW w:w="5" w:type="pct"/>
            <w:shd w:val="clear" w:color="auto" w:fill="auto"/>
            <w:vAlign w:val="bottom"/>
          </w:tcPr>
          <w:p w14:paraId="392CA335" w14:textId="77777777" w:rsidR="00980E5F" w:rsidRDefault="00980E5F">
            <w:pPr>
              <w:rPr>
                <w:rFonts w:ascii="宋体"/>
              </w:rPr>
            </w:pPr>
          </w:p>
        </w:tc>
        <w:tc>
          <w:tcPr>
            <w:tcW w:w="26" w:type="pct"/>
            <w:shd w:val="clear" w:color="auto" w:fill="auto"/>
            <w:vAlign w:val="bottom"/>
          </w:tcPr>
          <w:p w14:paraId="392CA336" w14:textId="77777777" w:rsidR="00980E5F" w:rsidRDefault="00980E5F">
            <w:pPr>
              <w:rPr>
                <w:rFonts w:ascii="宋体"/>
              </w:rPr>
            </w:pPr>
          </w:p>
        </w:tc>
        <w:tc>
          <w:tcPr>
            <w:tcW w:w="5" w:type="pct"/>
            <w:shd w:val="clear" w:color="auto" w:fill="auto"/>
            <w:vAlign w:val="bottom"/>
          </w:tcPr>
          <w:p w14:paraId="392CA337" w14:textId="77777777" w:rsidR="00980E5F" w:rsidRDefault="00980E5F">
            <w:pPr>
              <w:rPr>
                <w:rFonts w:ascii="宋体"/>
              </w:rPr>
            </w:pPr>
          </w:p>
        </w:tc>
        <w:tc>
          <w:tcPr>
            <w:tcW w:w="50" w:type="pct"/>
            <w:shd w:val="clear" w:color="auto" w:fill="auto"/>
            <w:vAlign w:val="bottom"/>
          </w:tcPr>
          <w:p w14:paraId="392CA338" w14:textId="77777777" w:rsidR="00980E5F" w:rsidRDefault="00980E5F">
            <w:pPr>
              <w:rPr>
                <w:rFonts w:ascii="宋体"/>
              </w:rPr>
            </w:pPr>
          </w:p>
        </w:tc>
        <w:tc>
          <w:tcPr>
            <w:tcW w:w="354" w:type="pct"/>
            <w:shd w:val="clear" w:color="auto" w:fill="auto"/>
            <w:vAlign w:val="bottom"/>
          </w:tcPr>
          <w:p w14:paraId="392CA339" w14:textId="77777777" w:rsidR="00980E5F" w:rsidRDefault="00980E5F">
            <w:pPr>
              <w:rPr>
                <w:rFonts w:ascii="宋体"/>
              </w:rPr>
            </w:pPr>
          </w:p>
        </w:tc>
        <w:tc>
          <w:tcPr>
            <w:tcW w:w="5" w:type="pct"/>
            <w:shd w:val="clear" w:color="auto" w:fill="auto"/>
            <w:vAlign w:val="bottom"/>
          </w:tcPr>
          <w:p w14:paraId="392CA33A" w14:textId="77777777" w:rsidR="00980E5F" w:rsidRDefault="00980E5F">
            <w:pPr>
              <w:rPr>
                <w:rFonts w:ascii="宋体"/>
              </w:rPr>
            </w:pPr>
          </w:p>
        </w:tc>
        <w:tc>
          <w:tcPr>
            <w:tcW w:w="5" w:type="pct"/>
            <w:shd w:val="clear" w:color="auto" w:fill="auto"/>
            <w:vAlign w:val="bottom"/>
          </w:tcPr>
          <w:p w14:paraId="392CA33B" w14:textId="77777777" w:rsidR="00980E5F" w:rsidRDefault="00980E5F">
            <w:pPr>
              <w:rPr>
                <w:rFonts w:ascii="宋体"/>
              </w:rPr>
            </w:pPr>
          </w:p>
        </w:tc>
        <w:tc>
          <w:tcPr>
            <w:tcW w:w="26" w:type="pct"/>
            <w:shd w:val="clear" w:color="auto" w:fill="auto"/>
            <w:vAlign w:val="bottom"/>
          </w:tcPr>
          <w:p w14:paraId="392CA33C" w14:textId="77777777" w:rsidR="00980E5F" w:rsidRDefault="00980E5F">
            <w:pPr>
              <w:rPr>
                <w:rFonts w:ascii="宋体"/>
              </w:rPr>
            </w:pPr>
          </w:p>
        </w:tc>
        <w:tc>
          <w:tcPr>
            <w:tcW w:w="5" w:type="pct"/>
            <w:shd w:val="clear" w:color="auto" w:fill="auto"/>
            <w:vAlign w:val="bottom"/>
          </w:tcPr>
          <w:p w14:paraId="392CA33D" w14:textId="77777777" w:rsidR="00980E5F" w:rsidRDefault="00980E5F">
            <w:pPr>
              <w:rPr>
                <w:rFonts w:ascii="宋体"/>
              </w:rPr>
            </w:pPr>
          </w:p>
        </w:tc>
        <w:tc>
          <w:tcPr>
            <w:tcW w:w="0" w:type="auto"/>
            <w:shd w:val="clear" w:color="auto" w:fill="auto"/>
            <w:vAlign w:val="bottom"/>
          </w:tcPr>
          <w:p w14:paraId="392CA33E" w14:textId="77777777" w:rsidR="00980E5F" w:rsidRDefault="00980E5F">
            <w:pPr>
              <w:rPr>
                <w:rFonts w:ascii="宋体"/>
                <w:vanish/>
              </w:rPr>
            </w:pPr>
          </w:p>
        </w:tc>
        <w:tc>
          <w:tcPr>
            <w:tcW w:w="0" w:type="auto"/>
            <w:shd w:val="clear" w:color="auto" w:fill="auto"/>
            <w:vAlign w:val="bottom"/>
          </w:tcPr>
          <w:p w14:paraId="392CA33F" w14:textId="77777777" w:rsidR="00980E5F" w:rsidRDefault="00980E5F">
            <w:pPr>
              <w:rPr>
                <w:rFonts w:ascii="宋体"/>
                <w:vanish/>
              </w:rPr>
            </w:pPr>
          </w:p>
        </w:tc>
        <w:tc>
          <w:tcPr>
            <w:tcW w:w="50" w:type="pct"/>
            <w:shd w:val="clear" w:color="auto" w:fill="auto"/>
            <w:vAlign w:val="bottom"/>
          </w:tcPr>
          <w:p w14:paraId="392CA340" w14:textId="77777777" w:rsidR="00980E5F" w:rsidRDefault="00980E5F">
            <w:pPr>
              <w:rPr>
                <w:rFonts w:ascii="宋体"/>
              </w:rPr>
            </w:pPr>
          </w:p>
        </w:tc>
        <w:tc>
          <w:tcPr>
            <w:tcW w:w="354" w:type="pct"/>
            <w:shd w:val="clear" w:color="auto" w:fill="auto"/>
            <w:vAlign w:val="bottom"/>
          </w:tcPr>
          <w:p w14:paraId="392CA341" w14:textId="77777777" w:rsidR="00980E5F" w:rsidRDefault="00980E5F">
            <w:pPr>
              <w:rPr>
                <w:rFonts w:ascii="宋体"/>
              </w:rPr>
            </w:pPr>
          </w:p>
        </w:tc>
        <w:tc>
          <w:tcPr>
            <w:tcW w:w="5" w:type="pct"/>
            <w:shd w:val="clear" w:color="auto" w:fill="auto"/>
            <w:vAlign w:val="bottom"/>
          </w:tcPr>
          <w:p w14:paraId="392CA342" w14:textId="77777777" w:rsidR="00980E5F" w:rsidRDefault="00980E5F">
            <w:pPr>
              <w:rPr>
                <w:rFonts w:ascii="宋体"/>
              </w:rPr>
            </w:pPr>
          </w:p>
        </w:tc>
        <w:tc>
          <w:tcPr>
            <w:tcW w:w="5" w:type="pct"/>
            <w:shd w:val="clear" w:color="auto" w:fill="auto"/>
            <w:vAlign w:val="bottom"/>
          </w:tcPr>
          <w:p w14:paraId="392CA343" w14:textId="77777777" w:rsidR="00980E5F" w:rsidRDefault="00980E5F">
            <w:pPr>
              <w:rPr>
                <w:rFonts w:ascii="宋体"/>
              </w:rPr>
            </w:pPr>
          </w:p>
        </w:tc>
        <w:tc>
          <w:tcPr>
            <w:tcW w:w="26" w:type="pct"/>
            <w:shd w:val="clear" w:color="auto" w:fill="auto"/>
            <w:vAlign w:val="bottom"/>
          </w:tcPr>
          <w:p w14:paraId="392CA344" w14:textId="77777777" w:rsidR="00980E5F" w:rsidRDefault="00980E5F">
            <w:pPr>
              <w:rPr>
                <w:rFonts w:ascii="宋体"/>
              </w:rPr>
            </w:pPr>
          </w:p>
        </w:tc>
        <w:tc>
          <w:tcPr>
            <w:tcW w:w="5" w:type="pct"/>
            <w:shd w:val="clear" w:color="auto" w:fill="auto"/>
            <w:vAlign w:val="bottom"/>
          </w:tcPr>
          <w:p w14:paraId="392CA345" w14:textId="77777777" w:rsidR="00980E5F" w:rsidRDefault="00980E5F">
            <w:pPr>
              <w:rPr>
                <w:rFonts w:ascii="宋体"/>
              </w:rPr>
            </w:pPr>
          </w:p>
        </w:tc>
        <w:tc>
          <w:tcPr>
            <w:tcW w:w="50" w:type="pct"/>
            <w:shd w:val="clear" w:color="auto" w:fill="auto"/>
            <w:vAlign w:val="bottom"/>
          </w:tcPr>
          <w:p w14:paraId="392CA346" w14:textId="77777777" w:rsidR="00980E5F" w:rsidRDefault="00980E5F">
            <w:pPr>
              <w:rPr>
                <w:rFonts w:ascii="宋体"/>
              </w:rPr>
            </w:pPr>
          </w:p>
        </w:tc>
        <w:tc>
          <w:tcPr>
            <w:tcW w:w="354" w:type="pct"/>
            <w:shd w:val="clear" w:color="auto" w:fill="auto"/>
            <w:vAlign w:val="bottom"/>
          </w:tcPr>
          <w:p w14:paraId="392CA347" w14:textId="77777777" w:rsidR="00980E5F" w:rsidRDefault="00980E5F">
            <w:pPr>
              <w:rPr>
                <w:rFonts w:ascii="宋体"/>
              </w:rPr>
            </w:pPr>
          </w:p>
        </w:tc>
        <w:tc>
          <w:tcPr>
            <w:tcW w:w="5" w:type="pct"/>
            <w:shd w:val="clear" w:color="auto" w:fill="auto"/>
            <w:vAlign w:val="bottom"/>
          </w:tcPr>
          <w:p w14:paraId="392CA348" w14:textId="77777777" w:rsidR="00980E5F" w:rsidRDefault="00980E5F">
            <w:pPr>
              <w:rPr>
                <w:rFonts w:ascii="宋体"/>
              </w:rPr>
            </w:pPr>
          </w:p>
        </w:tc>
        <w:tc>
          <w:tcPr>
            <w:tcW w:w="5" w:type="pct"/>
            <w:shd w:val="clear" w:color="auto" w:fill="auto"/>
            <w:vAlign w:val="bottom"/>
          </w:tcPr>
          <w:p w14:paraId="392CA349" w14:textId="77777777" w:rsidR="00980E5F" w:rsidRDefault="00980E5F">
            <w:pPr>
              <w:rPr>
                <w:rFonts w:ascii="宋体"/>
              </w:rPr>
            </w:pPr>
          </w:p>
        </w:tc>
        <w:tc>
          <w:tcPr>
            <w:tcW w:w="26" w:type="pct"/>
            <w:shd w:val="clear" w:color="auto" w:fill="auto"/>
            <w:vAlign w:val="bottom"/>
          </w:tcPr>
          <w:p w14:paraId="392CA34A" w14:textId="77777777" w:rsidR="00980E5F" w:rsidRDefault="00980E5F">
            <w:pPr>
              <w:rPr>
                <w:rFonts w:ascii="宋体"/>
              </w:rPr>
            </w:pPr>
          </w:p>
        </w:tc>
        <w:tc>
          <w:tcPr>
            <w:tcW w:w="5" w:type="pct"/>
            <w:shd w:val="clear" w:color="auto" w:fill="auto"/>
            <w:vAlign w:val="bottom"/>
          </w:tcPr>
          <w:p w14:paraId="392CA34B" w14:textId="77777777" w:rsidR="00980E5F" w:rsidRDefault="00980E5F">
            <w:pPr>
              <w:rPr>
                <w:rFonts w:ascii="宋体"/>
              </w:rPr>
            </w:pPr>
          </w:p>
        </w:tc>
        <w:tc>
          <w:tcPr>
            <w:tcW w:w="0" w:type="auto"/>
            <w:shd w:val="clear" w:color="auto" w:fill="auto"/>
            <w:vAlign w:val="bottom"/>
          </w:tcPr>
          <w:p w14:paraId="392CA34C" w14:textId="77777777" w:rsidR="00980E5F" w:rsidRDefault="00980E5F">
            <w:pPr>
              <w:rPr>
                <w:rFonts w:ascii="宋体"/>
                <w:vanish/>
              </w:rPr>
            </w:pPr>
          </w:p>
        </w:tc>
        <w:tc>
          <w:tcPr>
            <w:tcW w:w="0" w:type="auto"/>
            <w:shd w:val="clear" w:color="auto" w:fill="auto"/>
            <w:vAlign w:val="bottom"/>
          </w:tcPr>
          <w:p w14:paraId="392CA34D" w14:textId="77777777" w:rsidR="00980E5F" w:rsidRDefault="00980E5F">
            <w:pPr>
              <w:rPr>
                <w:rFonts w:ascii="宋体"/>
                <w:vanish/>
              </w:rPr>
            </w:pPr>
          </w:p>
        </w:tc>
        <w:tc>
          <w:tcPr>
            <w:tcW w:w="50" w:type="pct"/>
            <w:shd w:val="clear" w:color="auto" w:fill="auto"/>
            <w:vAlign w:val="bottom"/>
          </w:tcPr>
          <w:p w14:paraId="392CA34E" w14:textId="77777777" w:rsidR="00980E5F" w:rsidRDefault="00980E5F">
            <w:pPr>
              <w:rPr>
                <w:rFonts w:ascii="宋体"/>
              </w:rPr>
            </w:pPr>
          </w:p>
        </w:tc>
        <w:tc>
          <w:tcPr>
            <w:tcW w:w="354" w:type="pct"/>
            <w:shd w:val="clear" w:color="auto" w:fill="auto"/>
            <w:vAlign w:val="bottom"/>
          </w:tcPr>
          <w:p w14:paraId="392CA34F" w14:textId="77777777" w:rsidR="00980E5F" w:rsidRDefault="00980E5F">
            <w:pPr>
              <w:rPr>
                <w:rFonts w:ascii="宋体"/>
              </w:rPr>
            </w:pPr>
          </w:p>
        </w:tc>
        <w:tc>
          <w:tcPr>
            <w:tcW w:w="5" w:type="pct"/>
            <w:shd w:val="clear" w:color="auto" w:fill="auto"/>
            <w:vAlign w:val="bottom"/>
          </w:tcPr>
          <w:p w14:paraId="392CA350" w14:textId="77777777" w:rsidR="00980E5F" w:rsidRDefault="00980E5F">
            <w:pPr>
              <w:rPr>
                <w:rFonts w:ascii="宋体"/>
              </w:rPr>
            </w:pPr>
          </w:p>
        </w:tc>
        <w:tc>
          <w:tcPr>
            <w:tcW w:w="5" w:type="pct"/>
            <w:shd w:val="clear" w:color="auto" w:fill="auto"/>
            <w:vAlign w:val="bottom"/>
          </w:tcPr>
          <w:p w14:paraId="392CA351" w14:textId="77777777" w:rsidR="00980E5F" w:rsidRDefault="00980E5F">
            <w:pPr>
              <w:rPr>
                <w:rFonts w:ascii="宋体"/>
              </w:rPr>
            </w:pPr>
          </w:p>
        </w:tc>
        <w:tc>
          <w:tcPr>
            <w:tcW w:w="26" w:type="pct"/>
            <w:shd w:val="clear" w:color="auto" w:fill="auto"/>
            <w:vAlign w:val="bottom"/>
          </w:tcPr>
          <w:p w14:paraId="392CA352" w14:textId="77777777" w:rsidR="00980E5F" w:rsidRDefault="00980E5F">
            <w:pPr>
              <w:rPr>
                <w:rFonts w:ascii="宋体"/>
              </w:rPr>
            </w:pPr>
          </w:p>
        </w:tc>
        <w:tc>
          <w:tcPr>
            <w:tcW w:w="5" w:type="pct"/>
            <w:shd w:val="clear" w:color="auto" w:fill="auto"/>
            <w:vAlign w:val="bottom"/>
          </w:tcPr>
          <w:p w14:paraId="392CA353" w14:textId="77777777" w:rsidR="00980E5F" w:rsidRDefault="00980E5F">
            <w:pPr>
              <w:rPr>
                <w:rFonts w:ascii="宋体"/>
              </w:rPr>
            </w:pPr>
          </w:p>
        </w:tc>
        <w:tc>
          <w:tcPr>
            <w:tcW w:w="50" w:type="pct"/>
            <w:shd w:val="clear" w:color="auto" w:fill="auto"/>
            <w:vAlign w:val="bottom"/>
          </w:tcPr>
          <w:p w14:paraId="392CA354" w14:textId="77777777" w:rsidR="00980E5F" w:rsidRDefault="00980E5F">
            <w:pPr>
              <w:rPr>
                <w:rFonts w:ascii="宋体"/>
              </w:rPr>
            </w:pPr>
          </w:p>
        </w:tc>
        <w:tc>
          <w:tcPr>
            <w:tcW w:w="354" w:type="pct"/>
            <w:shd w:val="clear" w:color="auto" w:fill="auto"/>
            <w:vAlign w:val="bottom"/>
          </w:tcPr>
          <w:p w14:paraId="392CA355" w14:textId="77777777" w:rsidR="00980E5F" w:rsidRDefault="00980E5F">
            <w:pPr>
              <w:rPr>
                <w:rFonts w:ascii="宋体"/>
              </w:rPr>
            </w:pPr>
          </w:p>
        </w:tc>
        <w:tc>
          <w:tcPr>
            <w:tcW w:w="5" w:type="pct"/>
            <w:shd w:val="clear" w:color="auto" w:fill="auto"/>
            <w:vAlign w:val="bottom"/>
          </w:tcPr>
          <w:p w14:paraId="392CA356" w14:textId="77777777" w:rsidR="00980E5F" w:rsidRDefault="00980E5F">
            <w:pPr>
              <w:rPr>
                <w:rFonts w:ascii="宋体"/>
              </w:rPr>
            </w:pPr>
          </w:p>
        </w:tc>
        <w:tc>
          <w:tcPr>
            <w:tcW w:w="5" w:type="pct"/>
            <w:shd w:val="clear" w:color="auto" w:fill="auto"/>
            <w:vAlign w:val="bottom"/>
          </w:tcPr>
          <w:p w14:paraId="392CA357" w14:textId="77777777" w:rsidR="00980E5F" w:rsidRDefault="00980E5F">
            <w:pPr>
              <w:rPr>
                <w:rFonts w:ascii="宋体"/>
              </w:rPr>
            </w:pPr>
          </w:p>
        </w:tc>
        <w:tc>
          <w:tcPr>
            <w:tcW w:w="26" w:type="pct"/>
            <w:shd w:val="clear" w:color="auto" w:fill="auto"/>
            <w:vAlign w:val="bottom"/>
          </w:tcPr>
          <w:p w14:paraId="392CA358" w14:textId="77777777" w:rsidR="00980E5F" w:rsidRDefault="00980E5F">
            <w:pPr>
              <w:rPr>
                <w:rFonts w:ascii="宋体"/>
              </w:rPr>
            </w:pPr>
          </w:p>
        </w:tc>
        <w:tc>
          <w:tcPr>
            <w:tcW w:w="5" w:type="pct"/>
            <w:shd w:val="clear" w:color="auto" w:fill="auto"/>
            <w:vAlign w:val="bottom"/>
          </w:tcPr>
          <w:p w14:paraId="392CA359" w14:textId="77777777" w:rsidR="00980E5F" w:rsidRDefault="00980E5F">
            <w:pPr>
              <w:rPr>
                <w:rFonts w:ascii="宋体"/>
              </w:rPr>
            </w:pPr>
          </w:p>
        </w:tc>
        <w:tc>
          <w:tcPr>
            <w:tcW w:w="0" w:type="auto"/>
            <w:gridSpan w:val="3"/>
            <w:shd w:val="clear" w:color="auto" w:fill="auto"/>
            <w:vAlign w:val="bottom"/>
          </w:tcPr>
          <w:p w14:paraId="392CA35A" w14:textId="77777777" w:rsidR="00980E5F" w:rsidRDefault="00980E5F">
            <w:pPr>
              <w:rPr>
                <w:rFonts w:ascii="宋体"/>
                <w:vanish/>
              </w:rPr>
            </w:pPr>
          </w:p>
        </w:tc>
        <w:tc>
          <w:tcPr>
            <w:tcW w:w="0" w:type="auto"/>
            <w:gridSpan w:val="3"/>
            <w:shd w:val="clear" w:color="auto" w:fill="auto"/>
            <w:vAlign w:val="bottom"/>
          </w:tcPr>
          <w:p w14:paraId="392CA35B" w14:textId="77777777" w:rsidR="00980E5F" w:rsidRDefault="00980E5F">
            <w:pPr>
              <w:rPr>
                <w:rFonts w:ascii="宋体"/>
                <w:vanish/>
              </w:rPr>
            </w:pPr>
          </w:p>
        </w:tc>
        <w:tc>
          <w:tcPr>
            <w:tcW w:w="50" w:type="pct"/>
            <w:shd w:val="clear" w:color="auto" w:fill="auto"/>
            <w:vAlign w:val="bottom"/>
          </w:tcPr>
          <w:p w14:paraId="392CA35C" w14:textId="77777777" w:rsidR="00980E5F" w:rsidRDefault="00980E5F">
            <w:pPr>
              <w:rPr>
                <w:rFonts w:ascii="宋体"/>
              </w:rPr>
            </w:pPr>
          </w:p>
        </w:tc>
        <w:tc>
          <w:tcPr>
            <w:tcW w:w="354" w:type="pct"/>
            <w:shd w:val="clear" w:color="auto" w:fill="auto"/>
            <w:vAlign w:val="bottom"/>
          </w:tcPr>
          <w:p w14:paraId="392CA35D" w14:textId="77777777" w:rsidR="00980E5F" w:rsidRDefault="00980E5F">
            <w:pPr>
              <w:rPr>
                <w:rFonts w:ascii="宋体"/>
              </w:rPr>
            </w:pPr>
          </w:p>
        </w:tc>
        <w:tc>
          <w:tcPr>
            <w:tcW w:w="5" w:type="pct"/>
            <w:shd w:val="clear" w:color="auto" w:fill="auto"/>
            <w:vAlign w:val="bottom"/>
          </w:tcPr>
          <w:p w14:paraId="392CA35E" w14:textId="77777777" w:rsidR="00980E5F" w:rsidRDefault="00980E5F">
            <w:pPr>
              <w:rPr>
                <w:rFonts w:ascii="宋体"/>
              </w:rPr>
            </w:pPr>
          </w:p>
        </w:tc>
        <w:tc>
          <w:tcPr>
            <w:tcW w:w="5" w:type="pct"/>
            <w:shd w:val="clear" w:color="auto" w:fill="auto"/>
            <w:vAlign w:val="bottom"/>
          </w:tcPr>
          <w:p w14:paraId="392CA35F" w14:textId="77777777" w:rsidR="00980E5F" w:rsidRDefault="00980E5F">
            <w:pPr>
              <w:rPr>
                <w:rFonts w:ascii="宋体"/>
              </w:rPr>
            </w:pPr>
          </w:p>
        </w:tc>
        <w:tc>
          <w:tcPr>
            <w:tcW w:w="26" w:type="pct"/>
            <w:shd w:val="clear" w:color="auto" w:fill="auto"/>
            <w:vAlign w:val="bottom"/>
          </w:tcPr>
          <w:p w14:paraId="392CA360" w14:textId="77777777" w:rsidR="00980E5F" w:rsidRDefault="00980E5F">
            <w:pPr>
              <w:rPr>
                <w:rFonts w:ascii="宋体"/>
              </w:rPr>
            </w:pPr>
          </w:p>
        </w:tc>
        <w:tc>
          <w:tcPr>
            <w:tcW w:w="5" w:type="pct"/>
            <w:shd w:val="clear" w:color="auto" w:fill="auto"/>
            <w:vAlign w:val="bottom"/>
          </w:tcPr>
          <w:p w14:paraId="392CA361" w14:textId="77777777" w:rsidR="00980E5F" w:rsidRDefault="00980E5F">
            <w:pPr>
              <w:rPr>
                <w:rFonts w:ascii="宋体"/>
              </w:rPr>
            </w:pPr>
          </w:p>
        </w:tc>
      </w:tr>
      <w:tr w:rsidR="00980E5F" w14:paraId="392CA374" w14:textId="77777777">
        <w:tc>
          <w:tcPr>
            <w:tcW w:w="0" w:type="auto"/>
            <w:gridSpan w:val="3"/>
            <w:shd w:val="clear" w:color="auto" w:fill="auto"/>
            <w:tcMar>
              <w:top w:w="0" w:type="dxa"/>
              <w:left w:w="20" w:type="dxa"/>
              <w:bottom w:w="0" w:type="dxa"/>
              <w:right w:w="20" w:type="dxa"/>
            </w:tcMar>
            <w:vAlign w:val="bottom"/>
          </w:tcPr>
          <w:p w14:paraId="392CA363" w14:textId="77777777" w:rsidR="00980E5F" w:rsidRDefault="00980E5F">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392CA364" w14:textId="77777777" w:rsidR="00980E5F" w:rsidRDefault="00483613">
            <w:pPr>
              <w:jc w:val="center"/>
              <w:textAlignment w:val="bottom"/>
            </w:pPr>
            <w:r>
              <w:rPr>
                <w:rFonts w:ascii="Arial" w:eastAsia="宋体" w:hAnsi="Arial" w:cs="Arial"/>
                <w:b/>
                <w:bCs/>
                <w:color w:val="000000"/>
                <w:sz w:val="14"/>
                <w:szCs w:val="14"/>
              </w:rPr>
              <w:t>Three Months Ended June 30,</w:t>
            </w:r>
          </w:p>
        </w:tc>
        <w:tc>
          <w:tcPr>
            <w:tcW w:w="0" w:type="auto"/>
            <w:shd w:val="clear" w:color="auto" w:fill="auto"/>
            <w:vAlign w:val="bottom"/>
          </w:tcPr>
          <w:p w14:paraId="392CA365" w14:textId="77777777" w:rsidR="00980E5F" w:rsidRDefault="00980E5F">
            <w:pPr>
              <w:rPr>
                <w:rFonts w:ascii="宋体"/>
              </w:rPr>
            </w:pPr>
          </w:p>
        </w:tc>
        <w:tc>
          <w:tcPr>
            <w:tcW w:w="0" w:type="auto"/>
            <w:shd w:val="clear" w:color="auto" w:fill="auto"/>
            <w:vAlign w:val="bottom"/>
          </w:tcPr>
          <w:p w14:paraId="392CA366" w14:textId="77777777" w:rsidR="00980E5F" w:rsidRDefault="00980E5F">
            <w:pPr>
              <w:rPr>
                <w:rFonts w:ascii="宋体"/>
              </w:rPr>
            </w:pPr>
          </w:p>
        </w:tc>
        <w:tc>
          <w:tcPr>
            <w:tcW w:w="0" w:type="auto"/>
            <w:shd w:val="clear" w:color="auto" w:fill="auto"/>
            <w:vAlign w:val="bottom"/>
          </w:tcPr>
          <w:p w14:paraId="392CA367" w14:textId="77777777" w:rsidR="00980E5F" w:rsidRDefault="00980E5F">
            <w:pPr>
              <w:rPr>
                <w:rFonts w:ascii="宋体"/>
              </w:rPr>
            </w:pPr>
          </w:p>
        </w:tc>
        <w:tc>
          <w:tcPr>
            <w:tcW w:w="0" w:type="auto"/>
            <w:shd w:val="clear" w:color="auto" w:fill="auto"/>
            <w:vAlign w:val="bottom"/>
          </w:tcPr>
          <w:p w14:paraId="392CA368" w14:textId="77777777" w:rsidR="00980E5F" w:rsidRDefault="00980E5F">
            <w:pPr>
              <w:rPr>
                <w:rFonts w:ascii="宋体"/>
              </w:rPr>
            </w:pPr>
          </w:p>
        </w:tc>
        <w:tc>
          <w:tcPr>
            <w:tcW w:w="0" w:type="auto"/>
            <w:shd w:val="clear" w:color="auto" w:fill="auto"/>
            <w:vAlign w:val="bottom"/>
          </w:tcPr>
          <w:p w14:paraId="392CA369" w14:textId="77777777" w:rsidR="00980E5F" w:rsidRDefault="00980E5F">
            <w:pPr>
              <w:rPr>
                <w:rFonts w:ascii="宋体"/>
              </w:rPr>
            </w:pPr>
          </w:p>
        </w:tc>
        <w:tc>
          <w:tcPr>
            <w:tcW w:w="0" w:type="auto"/>
            <w:shd w:val="clear" w:color="auto" w:fill="auto"/>
            <w:vAlign w:val="bottom"/>
          </w:tcPr>
          <w:p w14:paraId="392CA36A" w14:textId="77777777" w:rsidR="00980E5F" w:rsidRDefault="00980E5F">
            <w:pPr>
              <w:rPr>
                <w:rFonts w:ascii="宋体"/>
              </w:rPr>
            </w:pPr>
          </w:p>
        </w:tc>
        <w:tc>
          <w:tcPr>
            <w:tcW w:w="0" w:type="auto"/>
            <w:shd w:val="clear" w:color="auto" w:fill="auto"/>
            <w:vAlign w:val="bottom"/>
          </w:tcPr>
          <w:p w14:paraId="392CA36B" w14:textId="77777777" w:rsidR="00980E5F" w:rsidRDefault="00980E5F">
            <w:pPr>
              <w:rPr>
                <w:rFonts w:ascii="宋体"/>
              </w:rPr>
            </w:pPr>
          </w:p>
        </w:tc>
        <w:tc>
          <w:tcPr>
            <w:tcW w:w="0" w:type="auto"/>
            <w:shd w:val="clear" w:color="auto" w:fill="auto"/>
            <w:vAlign w:val="bottom"/>
          </w:tcPr>
          <w:p w14:paraId="392CA36C" w14:textId="77777777" w:rsidR="00980E5F" w:rsidRDefault="00980E5F">
            <w:pPr>
              <w:rPr>
                <w:rFonts w:ascii="宋体"/>
              </w:rPr>
            </w:pPr>
          </w:p>
        </w:tc>
        <w:tc>
          <w:tcPr>
            <w:tcW w:w="0" w:type="auto"/>
            <w:shd w:val="clear" w:color="auto" w:fill="auto"/>
            <w:vAlign w:val="bottom"/>
          </w:tcPr>
          <w:p w14:paraId="392CA36D" w14:textId="77777777" w:rsidR="00980E5F" w:rsidRDefault="00980E5F">
            <w:pPr>
              <w:rPr>
                <w:rFonts w:ascii="宋体"/>
              </w:rPr>
            </w:pPr>
          </w:p>
        </w:tc>
        <w:tc>
          <w:tcPr>
            <w:tcW w:w="0" w:type="auto"/>
            <w:shd w:val="clear" w:color="auto" w:fill="auto"/>
            <w:vAlign w:val="bottom"/>
          </w:tcPr>
          <w:p w14:paraId="392CA36E" w14:textId="77777777" w:rsidR="00980E5F" w:rsidRDefault="00980E5F">
            <w:pPr>
              <w:rPr>
                <w:rFonts w:ascii="宋体"/>
              </w:rPr>
            </w:pPr>
          </w:p>
        </w:tc>
        <w:tc>
          <w:tcPr>
            <w:tcW w:w="0" w:type="auto"/>
            <w:shd w:val="clear" w:color="auto" w:fill="auto"/>
            <w:vAlign w:val="bottom"/>
          </w:tcPr>
          <w:p w14:paraId="392CA36F" w14:textId="77777777" w:rsidR="00980E5F" w:rsidRDefault="00980E5F">
            <w:pPr>
              <w:rPr>
                <w:rFonts w:ascii="宋体"/>
              </w:rPr>
            </w:pPr>
          </w:p>
        </w:tc>
        <w:tc>
          <w:tcPr>
            <w:tcW w:w="0" w:type="auto"/>
            <w:shd w:val="clear" w:color="auto" w:fill="auto"/>
            <w:vAlign w:val="bottom"/>
          </w:tcPr>
          <w:p w14:paraId="392CA370" w14:textId="77777777" w:rsidR="00980E5F" w:rsidRDefault="00980E5F">
            <w:pPr>
              <w:rPr>
                <w:rFonts w:ascii="宋体"/>
              </w:rPr>
            </w:pPr>
          </w:p>
        </w:tc>
        <w:tc>
          <w:tcPr>
            <w:tcW w:w="0" w:type="auto"/>
            <w:shd w:val="clear" w:color="auto" w:fill="auto"/>
            <w:vAlign w:val="bottom"/>
          </w:tcPr>
          <w:p w14:paraId="392CA371" w14:textId="77777777" w:rsidR="00980E5F" w:rsidRDefault="00980E5F">
            <w:pPr>
              <w:rPr>
                <w:rFonts w:ascii="宋体"/>
              </w:rPr>
            </w:pPr>
          </w:p>
        </w:tc>
        <w:tc>
          <w:tcPr>
            <w:tcW w:w="0" w:type="auto"/>
            <w:shd w:val="clear" w:color="auto" w:fill="auto"/>
            <w:vAlign w:val="bottom"/>
          </w:tcPr>
          <w:p w14:paraId="392CA372" w14:textId="77777777" w:rsidR="00980E5F" w:rsidRDefault="00980E5F">
            <w:pPr>
              <w:rPr>
                <w:rFonts w:ascii="宋体"/>
              </w:rPr>
            </w:pPr>
          </w:p>
        </w:tc>
        <w:tc>
          <w:tcPr>
            <w:tcW w:w="0" w:type="auto"/>
            <w:shd w:val="clear" w:color="auto" w:fill="auto"/>
            <w:vAlign w:val="bottom"/>
          </w:tcPr>
          <w:p w14:paraId="392CA373" w14:textId="77777777" w:rsidR="00980E5F" w:rsidRDefault="00980E5F">
            <w:pPr>
              <w:rPr>
                <w:rFonts w:ascii="宋体"/>
              </w:rPr>
            </w:pPr>
          </w:p>
        </w:tc>
      </w:tr>
      <w:tr w:rsidR="00980E5F" w14:paraId="392CA383" w14:textId="77777777">
        <w:tc>
          <w:tcPr>
            <w:tcW w:w="0" w:type="auto"/>
            <w:gridSpan w:val="3"/>
            <w:shd w:val="clear" w:color="auto" w:fill="auto"/>
            <w:tcMar>
              <w:top w:w="0" w:type="dxa"/>
              <w:left w:w="20" w:type="dxa"/>
              <w:bottom w:w="0" w:type="dxa"/>
              <w:right w:w="20" w:type="dxa"/>
            </w:tcMar>
            <w:vAlign w:val="bottom"/>
          </w:tcPr>
          <w:p w14:paraId="392CA375"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376" w14:textId="77777777" w:rsidR="00980E5F" w:rsidRDefault="00483613">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77" w14:textId="77777777" w:rsidR="00980E5F" w:rsidRDefault="00980E5F">
            <w:pPr>
              <w:rPr>
                <w:rFonts w:ascii="宋体"/>
              </w:rPr>
            </w:pPr>
          </w:p>
        </w:tc>
        <w:tc>
          <w:tcPr>
            <w:tcW w:w="0" w:type="auto"/>
            <w:shd w:val="clear" w:color="auto" w:fill="auto"/>
            <w:vAlign w:val="bottom"/>
          </w:tcPr>
          <w:p w14:paraId="392CA378" w14:textId="77777777" w:rsidR="00980E5F" w:rsidRDefault="00980E5F">
            <w:pPr>
              <w:rPr>
                <w:rFonts w:ascii="宋体"/>
                <w:vanish/>
              </w:rPr>
            </w:pPr>
          </w:p>
        </w:tc>
        <w:tc>
          <w:tcPr>
            <w:tcW w:w="0" w:type="auto"/>
            <w:shd w:val="clear" w:color="auto" w:fill="auto"/>
            <w:vAlign w:val="bottom"/>
          </w:tcPr>
          <w:p w14:paraId="392CA379" w14:textId="77777777" w:rsidR="00980E5F" w:rsidRDefault="00980E5F">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37A" w14:textId="77777777" w:rsidR="00980E5F" w:rsidRDefault="00483613">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7B" w14:textId="77777777" w:rsidR="00980E5F" w:rsidRDefault="00980E5F">
            <w:pPr>
              <w:rPr>
                <w:rFonts w:ascii="宋体"/>
              </w:rPr>
            </w:pPr>
          </w:p>
        </w:tc>
        <w:tc>
          <w:tcPr>
            <w:tcW w:w="0" w:type="auto"/>
            <w:shd w:val="clear" w:color="auto" w:fill="auto"/>
            <w:vAlign w:val="bottom"/>
          </w:tcPr>
          <w:p w14:paraId="392CA37C" w14:textId="77777777" w:rsidR="00980E5F" w:rsidRDefault="00980E5F">
            <w:pPr>
              <w:rPr>
                <w:rFonts w:ascii="宋体"/>
                <w:vanish/>
              </w:rPr>
            </w:pPr>
          </w:p>
        </w:tc>
        <w:tc>
          <w:tcPr>
            <w:tcW w:w="0" w:type="auto"/>
            <w:shd w:val="clear" w:color="auto" w:fill="auto"/>
            <w:vAlign w:val="bottom"/>
          </w:tcPr>
          <w:p w14:paraId="392CA37D" w14:textId="77777777" w:rsidR="00980E5F" w:rsidRDefault="00980E5F">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37E"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7F" w14:textId="77777777" w:rsidR="00980E5F" w:rsidRDefault="00980E5F">
            <w:pPr>
              <w:rPr>
                <w:rFonts w:ascii="宋体"/>
              </w:rPr>
            </w:pPr>
          </w:p>
        </w:tc>
        <w:tc>
          <w:tcPr>
            <w:tcW w:w="0" w:type="auto"/>
            <w:gridSpan w:val="3"/>
            <w:shd w:val="clear" w:color="auto" w:fill="auto"/>
            <w:vAlign w:val="bottom"/>
          </w:tcPr>
          <w:p w14:paraId="392CA380" w14:textId="77777777" w:rsidR="00980E5F" w:rsidRDefault="00980E5F">
            <w:pPr>
              <w:rPr>
                <w:rFonts w:ascii="宋体"/>
                <w:vanish/>
              </w:rPr>
            </w:pPr>
          </w:p>
        </w:tc>
        <w:tc>
          <w:tcPr>
            <w:tcW w:w="0" w:type="auto"/>
            <w:gridSpan w:val="3"/>
            <w:shd w:val="clear" w:color="auto" w:fill="auto"/>
            <w:vAlign w:val="bottom"/>
          </w:tcPr>
          <w:p w14:paraId="392CA381" w14:textId="77777777" w:rsidR="00980E5F" w:rsidRDefault="00980E5F">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392CA382"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39A" w14:textId="77777777">
        <w:tc>
          <w:tcPr>
            <w:tcW w:w="0" w:type="auto"/>
            <w:gridSpan w:val="3"/>
            <w:shd w:val="clear" w:color="auto" w:fill="auto"/>
            <w:tcMar>
              <w:top w:w="40" w:type="dxa"/>
              <w:left w:w="20" w:type="dxa"/>
              <w:bottom w:w="40" w:type="dxa"/>
              <w:right w:w="20" w:type="dxa"/>
            </w:tcMar>
            <w:vAlign w:val="bottom"/>
          </w:tcPr>
          <w:p w14:paraId="392CA384"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85"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8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87"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392CA388" w14:textId="77777777" w:rsidR="00980E5F" w:rsidRDefault="00980E5F">
            <w:pPr>
              <w:rPr>
                <w:rFonts w:ascii="宋体"/>
              </w:rPr>
            </w:pPr>
          </w:p>
        </w:tc>
        <w:tc>
          <w:tcPr>
            <w:tcW w:w="0" w:type="auto"/>
            <w:shd w:val="clear" w:color="auto" w:fill="auto"/>
            <w:vAlign w:val="bottom"/>
          </w:tcPr>
          <w:p w14:paraId="392CA389" w14:textId="77777777" w:rsidR="00980E5F" w:rsidRDefault="00980E5F">
            <w:pPr>
              <w:rPr>
                <w:rFonts w:ascii="宋体"/>
                <w:vanish/>
              </w:rPr>
            </w:pPr>
          </w:p>
        </w:tc>
        <w:tc>
          <w:tcPr>
            <w:tcW w:w="0" w:type="auto"/>
            <w:shd w:val="clear" w:color="auto" w:fill="auto"/>
            <w:vAlign w:val="bottom"/>
          </w:tcPr>
          <w:p w14:paraId="392CA38A"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8B"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8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8D"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392CA38E" w14:textId="77777777" w:rsidR="00980E5F" w:rsidRDefault="00980E5F">
            <w:pPr>
              <w:rPr>
                <w:rFonts w:ascii="宋体"/>
              </w:rPr>
            </w:pPr>
          </w:p>
        </w:tc>
        <w:tc>
          <w:tcPr>
            <w:tcW w:w="0" w:type="auto"/>
            <w:shd w:val="clear" w:color="auto" w:fill="auto"/>
            <w:vAlign w:val="bottom"/>
          </w:tcPr>
          <w:p w14:paraId="392CA38F" w14:textId="77777777" w:rsidR="00980E5F" w:rsidRDefault="00980E5F">
            <w:pPr>
              <w:rPr>
                <w:rFonts w:ascii="宋体"/>
                <w:vanish/>
              </w:rPr>
            </w:pPr>
          </w:p>
        </w:tc>
        <w:tc>
          <w:tcPr>
            <w:tcW w:w="0" w:type="auto"/>
            <w:shd w:val="clear" w:color="auto" w:fill="auto"/>
            <w:vAlign w:val="bottom"/>
          </w:tcPr>
          <w:p w14:paraId="392CA390"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91"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39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93"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392CA394" w14:textId="77777777" w:rsidR="00980E5F" w:rsidRDefault="00980E5F">
            <w:pPr>
              <w:rPr>
                <w:rFonts w:ascii="宋体"/>
              </w:rPr>
            </w:pPr>
          </w:p>
        </w:tc>
        <w:tc>
          <w:tcPr>
            <w:tcW w:w="0" w:type="auto"/>
            <w:gridSpan w:val="3"/>
            <w:shd w:val="clear" w:color="auto" w:fill="auto"/>
            <w:vAlign w:val="bottom"/>
          </w:tcPr>
          <w:p w14:paraId="392CA395" w14:textId="77777777" w:rsidR="00980E5F" w:rsidRDefault="00980E5F">
            <w:pPr>
              <w:rPr>
                <w:rFonts w:ascii="宋体"/>
                <w:vanish/>
              </w:rPr>
            </w:pPr>
          </w:p>
        </w:tc>
        <w:tc>
          <w:tcPr>
            <w:tcW w:w="0" w:type="auto"/>
            <w:gridSpan w:val="3"/>
            <w:shd w:val="clear" w:color="auto" w:fill="auto"/>
            <w:vAlign w:val="bottom"/>
          </w:tcPr>
          <w:p w14:paraId="392CA396" w14:textId="77777777" w:rsidR="00980E5F" w:rsidRDefault="00980E5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397"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392CA398" w14:textId="77777777" w:rsidR="00980E5F" w:rsidRDefault="00980E5F">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392CA399" w14:textId="77777777" w:rsidR="00980E5F" w:rsidRDefault="00483613">
            <w:pPr>
              <w:jc w:val="center"/>
              <w:textAlignment w:val="bottom"/>
            </w:pPr>
            <w:r>
              <w:rPr>
                <w:rFonts w:ascii="Arial" w:eastAsia="宋体" w:hAnsi="Arial" w:cs="Arial"/>
                <w:b/>
                <w:bCs/>
                <w:color w:val="000000"/>
                <w:sz w:val="13"/>
                <w:szCs w:val="13"/>
              </w:rPr>
              <w:t>2021</w:t>
            </w:r>
          </w:p>
        </w:tc>
      </w:tr>
      <w:tr w:rsidR="00980E5F" w14:paraId="392CA3C0" w14:textId="77777777">
        <w:tc>
          <w:tcPr>
            <w:tcW w:w="0" w:type="auto"/>
            <w:gridSpan w:val="3"/>
            <w:shd w:val="clear" w:color="auto" w:fill="CCEEFF"/>
            <w:tcMar>
              <w:top w:w="40" w:type="dxa"/>
              <w:left w:w="20" w:type="dxa"/>
              <w:bottom w:w="40" w:type="dxa"/>
              <w:right w:w="20" w:type="dxa"/>
            </w:tcMar>
            <w:vAlign w:val="bottom"/>
          </w:tcPr>
          <w:p w14:paraId="392CA39B"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39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9D"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9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9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A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A1" w14:textId="77777777" w:rsidR="00980E5F" w:rsidRDefault="00483613">
            <w:pPr>
              <w:jc w:val="right"/>
              <w:textAlignment w:val="bottom"/>
            </w:pPr>
            <w:r>
              <w:rPr>
                <w:rFonts w:ascii="Arial" w:eastAsia="宋体" w:hAnsi="Arial" w:cs="Arial"/>
                <w:color w:val="000000"/>
                <w:sz w:val="14"/>
                <w:szCs w:val="14"/>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A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A3" w14:textId="77777777" w:rsidR="00980E5F" w:rsidRDefault="00980E5F">
            <w:pPr>
              <w:rPr>
                <w:rFonts w:ascii="宋体"/>
              </w:rPr>
            </w:pPr>
          </w:p>
        </w:tc>
        <w:tc>
          <w:tcPr>
            <w:tcW w:w="0" w:type="auto"/>
            <w:shd w:val="clear" w:color="auto" w:fill="auto"/>
            <w:vAlign w:val="bottom"/>
          </w:tcPr>
          <w:p w14:paraId="392CA3A4" w14:textId="77777777" w:rsidR="00980E5F" w:rsidRDefault="00980E5F">
            <w:pPr>
              <w:rPr>
                <w:rFonts w:ascii="宋体"/>
                <w:vanish/>
              </w:rPr>
            </w:pPr>
          </w:p>
        </w:tc>
        <w:tc>
          <w:tcPr>
            <w:tcW w:w="0" w:type="auto"/>
            <w:shd w:val="clear" w:color="auto" w:fill="auto"/>
            <w:vAlign w:val="bottom"/>
          </w:tcPr>
          <w:p w14:paraId="392CA3A5"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A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A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A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AA"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AB"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AD" w14:textId="77777777" w:rsidR="00980E5F" w:rsidRDefault="00980E5F">
            <w:pPr>
              <w:rPr>
                <w:rFonts w:ascii="宋体"/>
              </w:rPr>
            </w:pPr>
          </w:p>
        </w:tc>
        <w:tc>
          <w:tcPr>
            <w:tcW w:w="0" w:type="auto"/>
            <w:shd w:val="clear" w:color="auto" w:fill="auto"/>
            <w:vAlign w:val="bottom"/>
          </w:tcPr>
          <w:p w14:paraId="392CA3AE" w14:textId="77777777" w:rsidR="00980E5F" w:rsidRDefault="00980E5F">
            <w:pPr>
              <w:rPr>
                <w:rFonts w:ascii="宋体"/>
                <w:vanish/>
              </w:rPr>
            </w:pPr>
          </w:p>
        </w:tc>
        <w:tc>
          <w:tcPr>
            <w:tcW w:w="0" w:type="auto"/>
            <w:shd w:val="clear" w:color="auto" w:fill="auto"/>
            <w:vAlign w:val="bottom"/>
          </w:tcPr>
          <w:p w14:paraId="392CA3AF"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B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B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B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B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B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B5"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B7" w14:textId="77777777" w:rsidR="00980E5F" w:rsidRDefault="00980E5F">
            <w:pPr>
              <w:rPr>
                <w:rFonts w:ascii="宋体"/>
              </w:rPr>
            </w:pPr>
          </w:p>
        </w:tc>
        <w:tc>
          <w:tcPr>
            <w:tcW w:w="0" w:type="auto"/>
            <w:gridSpan w:val="3"/>
            <w:shd w:val="clear" w:color="auto" w:fill="auto"/>
            <w:vAlign w:val="bottom"/>
          </w:tcPr>
          <w:p w14:paraId="392CA3B8" w14:textId="77777777" w:rsidR="00980E5F" w:rsidRDefault="00980E5F">
            <w:pPr>
              <w:rPr>
                <w:rFonts w:ascii="宋体"/>
                <w:vanish/>
              </w:rPr>
            </w:pPr>
          </w:p>
        </w:tc>
        <w:tc>
          <w:tcPr>
            <w:tcW w:w="0" w:type="auto"/>
            <w:gridSpan w:val="3"/>
            <w:shd w:val="clear" w:color="auto" w:fill="auto"/>
            <w:vAlign w:val="bottom"/>
          </w:tcPr>
          <w:p w14:paraId="392CA3B9"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BA"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3BB"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3BC"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3B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3BE" w14:textId="77777777" w:rsidR="00980E5F" w:rsidRDefault="00483613">
            <w:pPr>
              <w:textAlignment w:val="bottom"/>
            </w:pPr>
            <w:r>
              <w:rPr>
                <w:rFonts w:ascii="Arial" w:eastAsia="宋体" w:hAnsi="Arial" w:cs="Arial"/>
                <w:color w:val="000000"/>
                <w:sz w:val="14"/>
                <w:szCs w:val="14"/>
              </w:rPr>
              <w:t>$</w:t>
            </w:r>
          </w:p>
          <w:p w14:paraId="392CA3BF" w14:textId="77777777" w:rsidR="00980E5F" w:rsidRDefault="00483613">
            <w:pPr>
              <w:jc w:val="right"/>
              <w:textAlignment w:val="bottom"/>
            </w:pPr>
            <w:r>
              <w:rPr>
                <w:rFonts w:ascii="Arial" w:eastAsia="宋体" w:hAnsi="Arial" w:cs="Arial"/>
                <w:color w:val="000000"/>
                <w:sz w:val="14"/>
                <w:szCs w:val="14"/>
              </w:rPr>
              <w:t>1,394 </w:t>
            </w:r>
          </w:p>
        </w:tc>
      </w:tr>
      <w:tr w:rsidR="00980E5F" w14:paraId="392CA3DE" w14:textId="77777777">
        <w:tc>
          <w:tcPr>
            <w:tcW w:w="0" w:type="auto"/>
            <w:gridSpan w:val="3"/>
            <w:shd w:val="clear" w:color="auto" w:fill="FFFFFF"/>
            <w:tcMar>
              <w:top w:w="40" w:type="dxa"/>
              <w:left w:w="20" w:type="dxa"/>
              <w:bottom w:w="40" w:type="dxa"/>
              <w:right w:w="20" w:type="dxa"/>
            </w:tcMar>
            <w:vAlign w:val="bottom"/>
          </w:tcPr>
          <w:p w14:paraId="392CA3C1"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3C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C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3C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C7" w14:textId="77777777" w:rsidR="00980E5F" w:rsidRDefault="00980E5F">
            <w:pPr>
              <w:rPr>
                <w:rFonts w:ascii="宋体"/>
              </w:rPr>
            </w:pPr>
          </w:p>
        </w:tc>
        <w:tc>
          <w:tcPr>
            <w:tcW w:w="0" w:type="auto"/>
            <w:shd w:val="clear" w:color="auto" w:fill="auto"/>
            <w:vAlign w:val="bottom"/>
          </w:tcPr>
          <w:p w14:paraId="392CA3C8" w14:textId="77777777" w:rsidR="00980E5F" w:rsidRDefault="00980E5F">
            <w:pPr>
              <w:rPr>
                <w:rFonts w:ascii="宋体"/>
                <w:vanish/>
              </w:rPr>
            </w:pPr>
          </w:p>
        </w:tc>
        <w:tc>
          <w:tcPr>
            <w:tcW w:w="0" w:type="auto"/>
            <w:shd w:val="clear" w:color="auto" w:fill="auto"/>
            <w:vAlign w:val="bottom"/>
          </w:tcPr>
          <w:p w14:paraId="392CA3C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3CA"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C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C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3CD" w14:textId="77777777" w:rsidR="00980E5F" w:rsidRDefault="00483613">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392CA3C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CF" w14:textId="77777777" w:rsidR="00980E5F" w:rsidRDefault="00980E5F">
            <w:pPr>
              <w:rPr>
                <w:rFonts w:ascii="宋体"/>
              </w:rPr>
            </w:pPr>
          </w:p>
        </w:tc>
        <w:tc>
          <w:tcPr>
            <w:tcW w:w="0" w:type="auto"/>
            <w:shd w:val="clear" w:color="auto" w:fill="auto"/>
            <w:vAlign w:val="bottom"/>
          </w:tcPr>
          <w:p w14:paraId="392CA3D0" w14:textId="77777777" w:rsidR="00980E5F" w:rsidRDefault="00980E5F">
            <w:pPr>
              <w:rPr>
                <w:rFonts w:ascii="宋体"/>
                <w:vanish/>
              </w:rPr>
            </w:pPr>
          </w:p>
        </w:tc>
        <w:tc>
          <w:tcPr>
            <w:tcW w:w="0" w:type="auto"/>
            <w:shd w:val="clear" w:color="auto" w:fill="auto"/>
            <w:vAlign w:val="bottom"/>
          </w:tcPr>
          <w:p w14:paraId="392CA3D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3D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D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D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3D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3D7" w14:textId="77777777" w:rsidR="00980E5F" w:rsidRDefault="00980E5F">
            <w:pPr>
              <w:rPr>
                <w:rFonts w:ascii="宋体"/>
              </w:rPr>
            </w:pPr>
          </w:p>
        </w:tc>
        <w:tc>
          <w:tcPr>
            <w:tcW w:w="0" w:type="auto"/>
            <w:gridSpan w:val="3"/>
            <w:shd w:val="clear" w:color="auto" w:fill="auto"/>
            <w:vAlign w:val="bottom"/>
          </w:tcPr>
          <w:p w14:paraId="392CA3D8" w14:textId="77777777" w:rsidR="00980E5F" w:rsidRDefault="00980E5F">
            <w:pPr>
              <w:rPr>
                <w:rFonts w:ascii="宋体"/>
                <w:vanish/>
              </w:rPr>
            </w:pPr>
          </w:p>
        </w:tc>
        <w:tc>
          <w:tcPr>
            <w:tcW w:w="0" w:type="auto"/>
            <w:gridSpan w:val="3"/>
            <w:shd w:val="clear" w:color="auto" w:fill="auto"/>
            <w:vAlign w:val="bottom"/>
          </w:tcPr>
          <w:p w14:paraId="392CA3D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3DA"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DB"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3DC"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3DD" w14:textId="77777777" w:rsidR="00980E5F" w:rsidRDefault="00483613">
            <w:pPr>
              <w:jc w:val="right"/>
              <w:textAlignment w:val="bottom"/>
            </w:pPr>
            <w:r>
              <w:rPr>
                <w:rFonts w:ascii="Arial" w:eastAsia="宋体" w:hAnsi="Arial" w:cs="Arial"/>
                <w:color w:val="000000"/>
                <w:sz w:val="14"/>
                <w:szCs w:val="14"/>
              </w:rPr>
              <w:t>504 </w:t>
            </w:r>
          </w:p>
        </w:tc>
      </w:tr>
      <w:tr w:rsidR="00980E5F" w14:paraId="392CA3FC" w14:textId="77777777">
        <w:tc>
          <w:tcPr>
            <w:tcW w:w="0" w:type="auto"/>
            <w:gridSpan w:val="3"/>
            <w:shd w:val="clear" w:color="auto" w:fill="CCEEFF"/>
            <w:tcMar>
              <w:top w:w="40" w:type="dxa"/>
              <w:left w:w="20" w:type="dxa"/>
              <w:bottom w:w="40" w:type="dxa"/>
              <w:right w:w="20" w:type="dxa"/>
            </w:tcMar>
            <w:vAlign w:val="bottom"/>
          </w:tcPr>
          <w:p w14:paraId="392CA3DF"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392CA3E0" w14:textId="77777777" w:rsidR="00980E5F" w:rsidRDefault="00483613">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3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3E3" w14:textId="77777777" w:rsidR="00980E5F" w:rsidRDefault="00483613">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392CA3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E5" w14:textId="77777777" w:rsidR="00980E5F" w:rsidRDefault="00980E5F">
            <w:pPr>
              <w:rPr>
                <w:rFonts w:ascii="宋体"/>
              </w:rPr>
            </w:pPr>
          </w:p>
        </w:tc>
        <w:tc>
          <w:tcPr>
            <w:tcW w:w="0" w:type="auto"/>
            <w:shd w:val="clear" w:color="auto" w:fill="auto"/>
            <w:vAlign w:val="bottom"/>
          </w:tcPr>
          <w:p w14:paraId="392CA3E6" w14:textId="77777777" w:rsidR="00980E5F" w:rsidRDefault="00980E5F">
            <w:pPr>
              <w:rPr>
                <w:rFonts w:ascii="宋体"/>
                <w:vanish/>
              </w:rPr>
            </w:pPr>
          </w:p>
        </w:tc>
        <w:tc>
          <w:tcPr>
            <w:tcW w:w="0" w:type="auto"/>
            <w:shd w:val="clear" w:color="auto" w:fill="auto"/>
            <w:vAlign w:val="bottom"/>
          </w:tcPr>
          <w:p w14:paraId="392CA3E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3E8"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3E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E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3EB"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392CA3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ED" w14:textId="77777777" w:rsidR="00980E5F" w:rsidRDefault="00980E5F">
            <w:pPr>
              <w:rPr>
                <w:rFonts w:ascii="宋体"/>
              </w:rPr>
            </w:pPr>
          </w:p>
        </w:tc>
        <w:tc>
          <w:tcPr>
            <w:tcW w:w="0" w:type="auto"/>
            <w:shd w:val="clear" w:color="auto" w:fill="auto"/>
            <w:vAlign w:val="bottom"/>
          </w:tcPr>
          <w:p w14:paraId="392CA3EE" w14:textId="77777777" w:rsidR="00980E5F" w:rsidRDefault="00980E5F">
            <w:pPr>
              <w:rPr>
                <w:rFonts w:ascii="宋体"/>
                <w:vanish/>
              </w:rPr>
            </w:pPr>
          </w:p>
        </w:tc>
        <w:tc>
          <w:tcPr>
            <w:tcW w:w="0" w:type="auto"/>
            <w:shd w:val="clear" w:color="auto" w:fill="auto"/>
            <w:vAlign w:val="bottom"/>
          </w:tcPr>
          <w:p w14:paraId="392CA3E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3F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3F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F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3F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3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3F5" w14:textId="77777777" w:rsidR="00980E5F" w:rsidRDefault="00980E5F">
            <w:pPr>
              <w:rPr>
                <w:rFonts w:ascii="宋体"/>
              </w:rPr>
            </w:pPr>
          </w:p>
        </w:tc>
        <w:tc>
          <w:tcPr>
            <w:tcW w:w="0" w:type="auto"/>
            <w:gridSpan w:val="3"/>
            <w:shd w:val="clear" w:color="auto" w:fill="auto"/>
            <w:vAlign w:val="bottom"/>
          </w:tcPr>
          <w:p w14:paraId="392CA3F6" w14:textId="77777777" w:rsidR="00980E5F" w:rsidRDefault="00980E5F">
            <w:pPr>
              <w:rPr>
                <w:rFonts w:ascii="宋体"/>
                <w:vanish/>
              </w:rPr>
            </w:pPr>
          </w:p>
        </w:tc>
        <w:tc>
          <w:tcPr>
            <w:tcW w:w="0" w:type="auto"/>
            <w:gridSpan w:val="3"/>
            <w:shd w:val="clear" w:color="auto" w:fill="auto"/>
            <w:vAlign w:val="bottom"/>
          </w:tcPr>
          <w:p w14:paraId="392CA3F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3F8" w14:textId="77777777" w:rsidR="00980E5F" w:rsidRDefault="00483613">
            <w:pPr>
              <w:jc w:val="right"/>
              <w:textAlignment w:val="bottom"/>
            </w:pPr>
            <w:r>
              <w:rPr>
                <w:rFonts w:ascii="Arial" w:eastAsia="宋体" w:hAnsi="Arial" w:cs="Arial"/>
                <w:b/>
                <w:bCs/>
                <w:color w:val="000000"/>
                <w:sz w:val="14"/>
                <w:szCs w:val="14"/>
              </w:rPr>
              <w:t>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3F9"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3F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3FB" w14:textId="77777777" w:rsidR="00980E5F" w:rsidRDefault="00483613">
            <w:pPr>
              <w:jc w:val="right"/>
              <w:textAlignment w:val="bottom"/>
            </w:pPr>
            <w:r>
              <w:rPr>
                <w:rFonts w:ascii="Arial" w:eastAsia="宋体" w:hAnsi="Arial" w:cs="Arial"/>
                <w:color w:val="000000"/>
                <w:sz w:val="14"/>
                <w:szCs w:val="14"/>
              </w:rPr>
              <w:t>286 </w:t>
            </w:r>
          </w:p>
        </w:tc>
      </w:tr>
      <w:tr w:rsidR="00980E5F" w14:paraId="392CA41A" w14:textId="77777777">
        <w:tc>
          <w:tcPr>
            <w:tcW w:w="0" w:type="auto"/>
            <w:gridSpan w:val="3"/>
            <w:shd w:val="clear" w:color="auto" w:fill="FFFFFF"/>
            <w:tcMar>
              <w:top w:w="40" w:type="dxa"/>
              <w:left w:w="20" w:type="dxa"/>
              <w:bottom w:w="40" w:type="dxa"/>
              <w:right w:w="20" w:type="dxa"/>
            </w:tcMar>
            <w:vAlign w:val="bottom"/>
          </w:tcPr>
          <w:p w14:paraId="392CA3FD"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3FE" w14:textId="77777777" w:rsidR="00980E5F" w:rsidRDefault="00483613">
            <w:pPr>
              <w:jc w:val="right"/>
              <w:textAlignment w:val="bottom"/>
            </w:pPr>
            <w:r>
              <w:rPr>
                <w:rFonts w:ascii="Arial" w:eastAsia="宋体" w:hAnsi="Arial" w:cs="Arial"/>
                <w:b/>
                <w:bCs/>
                <w:color w:val="000000"/>
                <w:sz w:val="14"/>
                <w:szCs w:val="14"/>
              </w:rPr>
              <w:t>102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3F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0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01" w14:textId="77777777" w:rsidR="00980E5F" w:rsidRDefault="00483613">
            <w:pPr>
              <w:jc w:val="right"/>
              <w:textAlignment w:val="bottom"/>
            </w:pPr>
            <w:r>
              <w:rPr>
                <w:rFonts w:ascii="Arial" w:eastAsia="宋体" w:hAnsi="Arial" w:cs="Arial"/>
                <w:color w:val="000000"/>
                <w:sz w:val="14"/>
                <w:szCs w:val="14"/>
              </w:rPr>
              <w:t>106 </w:t>
            </w:r>
          </w:p>
        </w:tc>
        <w:tc>
          <w:tcPr>
            <w:tcW w:w="0" w:type="auto"/>
            <w:shd w:val="clear" w:color="auto" w:fill="FFFFFF"/>
            <w:tcMar>
              <w:top w:w="40" w:type="dxa"/>
              <w:left w:w="0" w:type="dxa"/>
              <w:bottom w:w="40" w:type="dxa"/>
              <w:right w:w="20" w:type="dxa"/>
            </w:tcMar>
            <w:vAlign w:val="bottom"/>
          </w:tcPr>
          <w:p w14:paraId="392CA40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03" w14:textId="77777777" w:rsidR="00980E5F" w:rsidRDefault="00980E5F">
            <w:pPr>
              <w:rPr>
                <w:rFonts w:ascii="宋体"/>
              </w:rPr>
            </w:pPr>
          </w:p>
        </w:tc>
        <w:tc>
          <w:tcPr>
            <w:tcW w:w="0" w:type="auto"/>
            <w:shd w:val="clear" w:color="auto" w:fill="auto"/>
            <w:vAlign w:val="bottom"/>
          </w:tcPr>
          <w:p w14:paraId="392CA404" w14:textId="77777777" w:rsidR="00980E5F" w:rsidRDefault="00980E5F">
            <w:pPr>
              <w:rPr>
                <w:rFonts w:ascii="宋体"/>
                <w:vanish/>
              </w:rPr>
            </w:pPr>
          </w:p>
        </w:tc>
        <w:tc>
          <w:tcPr>
            <w:tcW w:w="0" w:type="auto"/>
            <w:shd w:val="clear" w:color="auto" w:fill="auto"/>
            <w:vAlign w:val="bottom"/>
          </w:tcPr>
          <w:p w14:paraId="392CA405"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06"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0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0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09"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4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0B" w14:textId="77777777" w:rsidR="00980E5F" w:rsidRDefault="00980E5F">
            <w:pPr>
              <w:rPr>
                <w:rFonts w:ascii="宋体"/>
              </w:rPr>
            </w:pPr>
          </w:p>
        </w:tc>
        <w:tc>
          <w:tcPr>
            <w:tcW w:w="0" w:type="auto"/>
            <w:shd w:val="clear" w:color="auto" w:fill="auto"/>
            <w:vAlign w:val="bottom"/>
          </w:tcPr>
          <w:p w14:paraId="392CA40C" w14:textId="77777777" w:rsidR="00980E5F" w:rsidRDefault="00980E5F">
            <w:pPr>
              <w:rPr>
                <w:rFonts w:ascii="宋体"/>
                <w:vanish/>
              </w:rPr>
            </w:pPr>
          </w:p>
        </w:tc>
        <w:tc>
          <w:tcPr>
            <w:tcW w:w="0" w:type="auto"/>
            <w:shd w:val="clear" w:color="auto" w:fill="auto"/>
            <w:vAlign w:val="bottom"/>
          </w:tcPr>
          <w:p w14:paraId="392CA40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0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0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1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1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13" w14:textId="77777777" w:rsidR="00980E5F" w:rsidRDefault="00980E5F">
            <w:pPr>
              <w:rPr>
                <w:rFonts w:ascii="宋体"/>
              </w:rPr>
            </w:pPr>
          </w:p>
        </w:tc>
        <w:tc>
          <w:tcPr>
            <w:tcW w:w="0" w:type="auto"/>
            <w:gridSpan w:val="3"/>
            <w:shd w:val="clear" w:color="auto" w:fill="auto"/>
            <w:vAlign w:val="bottom"/>
          </w:tcPr>
          <w:p w14:paraId="392CA414" w14:textId="77777777" w:rsidR="00980E5F" w:rsidRDefault="00980E5F">
            <w:pPr>
              <w:rPr>
                <w:rFonts w:ascii="宋体"/>
                <w:vanish/>
              </w:rPr>
            </w:pPr>
          </w:p>
        </w:tc>
        <w:tc>
          <w:tcPr>
            <w:tcW w:w="0" w:type="auto"/>
            <w:gridSpan w:val="3"/>
            <w:shd w:val="clear" w:color="auto" w:fill="auto"/>
            <w:vAlign w:val="bottom"/>
          </w:tcPr>
          <w:p w14:paraId="392CA415"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16" w14:textId="77777777" w:rsidR="00980E5F" w:rsidRDefault="00483613">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17"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41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419" w14:textId="77777777" w:rsidR="00980E5F" w:rsidRDefault="00483613">
            <w:pPr>
              <w:jc w:val="right"/>
              <w:textAlignment w:val="bottom"/>
            </w:pPr>
            <w:r>
              <w:rPr>
                <w:rFonts w:ascii="Arial" w:eastAsia="宋体" w:hAnsi="Arial" w:cs="Arial"/>
                <w:color w:val="000000"/>
                <w:sz w:val="14"/>
                <w:szCs w:val="14"/>
              </w:rPr>
              <w:t>109 </w:t>
            </w:r>
          </w:p>
        </w:tc>
      </w:tr>
      <w:tr w:rsidR="00980E5F" w14:paraId="392CA438" w14:textId="77777777">
        <w:tc>
          <w:tcPr>
            <w:tcW w:w="0" w:type="auto"/>
            <w:gridSpan w:val="3"/>
            <w:shd w:val="clear" w:color="auto" w:fill="CCEEFF"/>
            <w:tcMar>
              <w:top w:w="40" w:type="dxa"/>
              <w:left w:w="20" w:type="dxa"/>
              <w:bottom w:w="40" w:type="dxa"/>
              <w:right w:w="20" w:type="dxa"/>
            </w:tcMar>
            <w:vAlign w:val="bottom"/>
          </w:tcPr>
          <w:p w14:paraId="392CA41B" w14:textId="77777777" w:rsidR="00980E5F" w:rsidRDefault="00483613">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392CA41C" w14:textId="77777777" w:rsidR="00980E5F" w:rsidRDefault="00483613">
            <w:pPr>
              <w:jc w:val="right"/>
              <w:textAlignment w:val="bottom"/>
            </w:pPr>
            <w:r>
              <w:rPr>
                <w:rFonts w:ascii="Arial" w:eastAsia="宋体" w:hAnsi="Arial" w:cs="Arial"/>
                <w:b/>
                <w:bCs/>
                <w:color w:val="000000"/>
                <w:sz w:val="14"/>
                <w:szCs w:val="14"/>
              </w:rPr>
              <w:t>188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1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1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1F"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A4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21" w14:textId="77777777" w:rsidR="00980E5F" w:rsidRDefault="00980E5F">
            <w:pPr>
              <w:rPr>
                <w:rFonts w:ascii="宋体"/>
              </w:rPr>
            </w:pPr>
          </w:p>
        </w:tc>
        <w:tc>
          <w:tcPr>
            <w:tcW w:w="0" w:type="auto"/>
            <w:shd w:val="clear" w:color="auto" w:fill="auto"/>
            <w:vAlign w:val="bottom"/>
          </w:tcPr>
          <w:p w14:paraId="392CA422" w14:textId="77777777" w:rsidR="00980E5F" w:rsidRDefault="00980E5F">
            <w:pPr>
              <w:rPr>
                <w:rFonts w:ascii="宋体"/>
                <w:vanish/>
              </w:rPr>
            </w:pPr>
          </w:p>
        </w:tc>
        <w:tc>
          <w:tcPr>
            <w:tcW w:w="0" w:type="auto"/>
            <w:shd w:val="clear" w:color="auto" w:fill="auto"/>
            <w:vAlign w:val="bottom"/>
          </w:tcPr>
          <w:p w14:paraId="392CA42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2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2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2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2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29" w14:textId="77777777" w:rsidR="00980E5F" w:rsidRDefault="00980E5F">
            <w:pPr>
              <w:rPr>
                <w:rFonts w:ascii="宋体"/>
              </w:rPr>
            </w:pPr>
          </w:p>
        </w:tc>
        <w:tc>
          <w:tcPr>
            <w:tcW w:w="0" w:type="auto"/>
            <w:shd w:val="clear" w:color="auto" w:fill="auto"/>
            <w:vAlign w:val="bottom"/>
          </w:tcPr>
          <w:p w14:paraId="392CA42A" w14:textId="77777777" w:rsidR="00980E5F" w:rsidRDefault="00980E5F">
            <w:pPr>
              <w:rPr>
                <w:rFonts w:ascii="宋体"/>
                <w:vanish/>
              </w:rPr>
            </w:pPr>
          </w:p>
        </w:tc>
        <w:tc>
          <w:tcPr>
            <w:tcW w:w="0" w:type="auto"/>
            <w:shd w:val="clear" w:color="auto" w:fill="auto"/>
            <w:vAlign w:val="bottom"/>
          </w:tcPr>
          <w:p w14:paraId="392CA42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2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2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2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2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31" w14:textId="77777777" w:rsidR="00980E5F" w:rsidRDefault="00980E5F">
            <w:pPr>
              <w:rPr>
                <w:rFonts w:ascii="宋体"/>
              </w:rPr>
            </w:pPr>
          </w:p>
        </w:tc>
        <w:tc>
          <w:tcPr>
            <w:tcW w:w="0" w:type="auto"/>
            <w:gridSpan w:val="3"/>
            <w:shd w:val="clear" w:color="auto" w:fill="auto"/>
            <w:vAlign w:val="bottom"/>
          </w:tcPr>
          <w:p w14:paraId="392CA432" w14:textId="77777777" w:rsidR="00980E5F" w:rsidRDefault="00980E5F">
            <w:pPr>
              <w:rPr>
                <w:rFonts w:ascii="宋体"/>
                <w:vanish/>
              </w:rPr>
            </w:pPr>
          </w:p>
        </w:tc>
        <w:tc>
          <w:tcPr>
            <w:tcW w:w="0" w:type="auto"/>
            <w:gridSpan w:val="3"/>
            <w:shd w:val="clear" w:color="auto" w:fill="auto"/>
            <w:vAlign w:val="bottom"/>
          </w:tcPr>
          <w:p w14:paraId="392CA43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34" w14:textId="77777777" w:rsidR="00980E5F" w:rsidRDefault="00483613">
            <w:pPr>
              <w:jc w:val="right"/>
              <w:textAlignment w:val="bottom"/>
            </w:pPr>
            <w:r>
              <w:rPr>
                <w:rFonts w:ascii="Arial" w:eastAsia="宋体" w:hAnsi="Arial" w:cs="Arial"/>
                <w:b/>
                <w:bCs/>
                <w:color w:val="000000"/>
                <w:sz w:val="14"/>
                <w:szCs w:val="14"/>
              </w:rPr>
              <w:t>188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35"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43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437" w14:textId="77777777" w:rsidR="00980E5F" w:rsidRDefault="00483613">
            <w:pPr>
              <w:jc w:val="right"/>
              <w:textAlignment w:val="bottom"/>
            </w:pPr>
            <w:r>
              <w:rPr>
                <w:rFonts w:ascii="Arial" w:eastAsia="宋体" w:hAnsi="Arial" w:cs="Arial"/>
                <w:color w:val="000000"/>
                <w:sz w:val="14"/>
                <w:szCs w:val="14"/>
              </w:rPr>
              <w:t>211 </w:t>
            </w:r>
          </w:p>
        </w:tc>
      </w:tr>
      <w:tr w:rsidR="00980E5F" w14:paraId="392CA456" w14:textId="77777777">
        <w:tc>
          <w:tcPr>
            <w:tcW w:w="0" w:type="auto"/>
            <w:gridSpan w:val="3"/>
            <w:shd w:val="clear" w:color="auto" w:fill="FFFFFF"/>
            <w:tcMar>
              <w:top w:w="40" w:type="dxa"/>
              <w:left w:w="20" w:type="dxa"/>
              <w:bottom w:w="40" w:type="dxa"/>
              <w:right w:w="20" w:type="dxa"/>
            </w:tcMar>
            <w:vAlign w:val="bottom"/>
          </w:tcPr>
          <w:p w14:paraId="392CA439"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43A" w14:textId="77777777" w:rsidR="00980E5F" w:rsidRDefault="00483613">
            <w:pPr>
              <w:jc w:val="right"/>
              <w:textAlignment w:val="bottom"/>
            </w:pPr>
            <w:r>
              <w:rPr>
                <w:rFonts w:ascii="Arial" w:eastAsia="宋体" w:hAnsi="Arial" w:cs="Arial"/>
                <w:b/>
                <w:bCs/>
                <w:color w:val="000000"/>
                <w:sz w:val="14"/>
                <w:szCs w:val="14"/>
              </w:rPr>
              <w:t>(12)</w:t>
            </w:r>
          </w:p>
        </w:tc>
        <w:tc>
          <w:tcPr>
            <w:tcW w:w="0" w:type="auto"/>
            <w:shd w:val="clear" w:color="auto" w:fill="FFFFFF"/>
            <w:tcMar>
              <w:top w:w="40" w:type="dxa"/>
              <w:left w:w="0" w:type="dxa"/>
              <w:bottom w:w="40" w:type="dxa"/>
              <w:right w:w="20" w:type="dxa"/>
            </w:tcMar>
            <w:vAlign w:val="bottom"/>
          </w:tcPr>
          <w:p w14:paraId="392CA43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3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3D"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4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3F" w14:textId="77777777" w:rsidR="00980E5F" w:rsidRDefault="00980E5F">
            <w:pPr>
              <w:rPr>
                <w:rFonts w:ascii="宋体"/>
              </w:rPr>
            </w:pPr>
          </w:p>
        </w:tc>
        <w:tc>
          <w:tcPr>
            <w:tcW w:w="0" w:type="auto"/>
            <w:shd w:val="clear" w:color="auto" w:fill="auto"/>
            <w:vAlign w:val="bottom"/>
          </w:tcPr>
          <w:p w14:paraId="392CA440" w14:textId="77777777" w:rsidR="00980E5F" w:rsidRDefault="00980E5F">
            <w:pPr>
              <w:rPr>
                <w:rFonts w:ascii="宋体"/>
                <w:vanish/>
              </w:rPr>
            </w:pPr>
          </w:p>
        </w:tc>
        <w:tc>
          <w:tcPr>
            <w:tcW w:w="0" w:type="auto"/>
            <w:shd w:val="clear" w:color="auto" w:fill="auto"/>
            <w:vAlign w:val="bottom"/>
          </w:tcPr>
          <w:p w14:paraId="392CA44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42" w14:textId="77777777" w:rsidR="00980E5F" w:rsidRDefault="00483613">
            <w:pPr>
              <w:jc w:val="right"/>
              <w:textAlignment w:val="bottom"/>
            </w:pPr>
            <w:r>
              <w:rPr>
                <w:rFonts w:ascii="Arial" w:eastAsia="宋体" w:hAnsi="Arial" w:cs="Arial"/>
                <w:b/>
                <w:bCs/>
                <w:color w:val="000000"/>
                <w:sz w:val="14"/>
                <w:szCs w:val="14"/>
              </w:rPr>
              <w:t>(31)</w:t>
            </w:r>
          </w:p>
        </w:tc>
        <w:tc>
          <w:tcPr>
            <w:tcW w:w="0" w:type="auto"/>
            <w:shd w:val="clear" w:color="auto" w:fill="FFFFFF"/>
            <w:tcMar>
              <w:top w:w="40" w:type="dxa"/>
              <w:left w:w="0" w:type="dxa"/>
              <w:bottom w:w="40" w:type="dxa"/>
              <w:right w:w="20" w:type="dxa"/>
            </w:tcMar>
            <w:vAlign w:val="bottom"/>
          </w:tcPr>
          <w:p w14:paraId="392CA44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4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45"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4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47" w14:textId="77777777" w:rsidR="00980E5F" w:rsidRDefault="00980E5F">
            <w:pPr>
              <w:rPr>
                <w:rFonts w:ascii="宋体"/>
              </w:rPr>
            </w:pPr>
          </w:p>
        </w:tc>
        <w:tc>
          <w:tcPr>
            <w:tcW w:w="0" w:type="auto"/>
            <w:shd w:val="clear" w:color="auto" w:fill="auto"/>
            <w:vAlign w:val="bottom"/>
          </w:tcPr>
          <w:p w14:paraId="392CA448" w14:textId="77777777" w:rsidR="00980E5F" w:rsidRDefault="00980E5F">
            <w:pPr>
              <w:rPr>
                <w:rFonts w:ascii="宋体"/>
                <w:vanish/>
              </w:rPr>
            </w:pPr>
          </w:p>
        </w:tc>
        <w:tc>
          <w:tcPr>
            <w:tcW w:w="0" w:type="auto"/>
            <w:shd w:val="clear" w:color="auto" w:fill="auto"/>
            <w:vAlign w:val="bottom"/>
          </w:tcPr>
          <w:p w14:paraId="392CA44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4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4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4F" w14:textId="77777777" w:rsidR="00980E5F" w:rsidRDefault="00980E5F">
            <w:pPr>
              <w:rPr>
                <w:rFonts w:ascii="宋体"/>
              </w:rPr>
            </w:pPr>
          </w:p>
        </w:tc>
        <w:tc>
          <w:tcPr>
            <w:tcW w:w="0" w:type="auto"/>
            <w:gridSpan w:val="3"/>
            <w:shd w:val="clear" w:color="auto" w:fill="auto"/>
            <w:vAlign w:val="bottom"/>
          </w:tcPr>
          <w:p w14:paraId="392CA450" w14:textId="77777777" w:rsidR="00980E5F" w:rsidRDefault="00980E5F">
            <w:pPr>
              <w:rPr>
                <w:rFonts w:ascii="宋体"/>
                <w:vanish/>
              </w:rPr>
            </w:pPr>
          </w:p>
        </w:tc>
        <w:tc>
          <w:tcPr>
            <w:tcW w:w="0" w:type="auto"/>
            <w:gridSpan w:val="3"/>
            <w:shd w:val="clear" w:color="auto" w:fill="auto"/>
            <w:vAlign w:val="bottom"/>
          </w:tcPr>
          <w:p w14:paraId="392CA45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52" w14:textId="77777777" w:rsidR="00980E5F" w:rsidRDefault="00483613">
            <w:pPr>
              <w:jc w:val="right"/>
              <w:textAlignment w:val="bottom"/>
            </w:pPr>
            <w:r>
              <w:rPr>
                <w:rFonts w:ascii="Arial" w:eastAsia="宋体" w:hAnsi="Arial" w:cs="Arial"/>
                <w:b/>
                <w:bCs/>
                <w:color w:val="000000"/>
                <w:sz w:val="14"/>
                <w:szCs w:val="14"/>
              </w:rPr>
              <w:t>(43)</w:t>
            </w:r>
          </w:p>
        </w:tc>
        <w:tc>
          <w:tcPr>
            <w:tcW w:w="0" w:type="auto"/>
            <w:shd w:val="clear" w:color="auto" w:fill="FFFFFF"/>
            <w:tcMar>
              <w:top w:w="40" w:type="dxa"/>
              <w:left w:w="0" w:type="dxa"/>
              <w:bottom w:w="40" w:type="dxa"/>
              <w:right w:w="20" w:type="dxa"/>
            </w:tcMar>
            <w:vAlign w:val="bottom"/>
          </w:tcPr>
          <w:p w14:paraId="392CA453"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45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455" w14:textId="77777777" w:rsidR="00980E5F" w:rsidRDefault="00483613">
            <w:pPr>
              <w:jc w:val="right"/>
              <w:textAlignment w:val="bottom"/>
            </w:pPr>
            <w:r>
              <w:rPr>
                <w:rFonts w:ascii="Arial" w:eastAsia="宋体" w:hAnsi="Arial" w:cs="Arial"/>
                <w:color w:val="000000"/>
                <w:sz w:val="14"/>
                <w:szCs w:val="14"/>
              </w:rPr>
              <w:t>10 </w:t>
            </w:r>
          </w:p>
        </w:tc>
      </w:tr>
      <w:tr w:rsidR="00980E5F" w14:paraId="392CA474" w14:textId="77777777">
        <w:tc>
          <w:tcPr>
            <w:tcW w:w="0" w:type="auto"/>
            <w:gridSpan w:val="3"/>
            <w:shd w:val="clear" w:color="auto" w:fill="CCEEFF"/>
            <w:tcMar>
              <w:top w:w="40" w:type="dxa"/>
              <w:left w:w="20" w:type="dxa"/>
              <w:bottom w:w="40" w:type="dxa"/>
              <w:right w:w="20" w:type="dxa"/>
            </w:tcMar>
            <w:vAlign w:val="bottom"/>
          </w:tcPr>
          <w:p w14:paraId="392CA457" w14:textId="77777777" w:rsidR="00980E5F" w:rsidRDefault="00483613">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58" w14:textId="77777777" w:rsidR="00980E5F" w:rsidRDefault="00483613">
            <w:pPr>
              <w:jc w:val="right"/>
              <w:textAlignment w:val="bottom"/>
            </w:pPr>
            <w:r>
              <w:rPr>
                <w:rFonts w:ascii="Arial" w:eastAsia="宋体" w:hAnsi="Arial" w:cs="Arial"/>
                <w:b/>
                <w:bCs/>
                <w:color w:val="000000"/>
                <w:sz w:val="14"/>
                <w:szCs w:val="14"/>
              </w:rPr>
              <w:t>1,888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5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5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5B" w14:textId="77777777" w:rsidR="00980E5F" w:rsidRDefault="00483613">
            <w:pPr>
              <w:jc w:val="right"/>
              <w:textAlignment w:val="bottom"/>
            </w:pPr>
            <w:r>
              <w:rPr>
                <w:rFonts w:ascii="Arial" w:eastAsia="宋体" w:hAnsi="Arial" w:cs="Arial"/>
                <w:color w:val="000000"/>
                <w:sz w:val="14"/>
                <w:szCs w:val="14"/>
              </w:rPr>
              <w:t>1,984 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5D" w14:textId="77777777" w:rsidR="00980E5F" w:rsidRDefault="00980E5F">
            <w:pPr>
              <w:rPr>
                <w:rFonts w:ascii="宋体"/>
              </w:rPr>
            </w:pPr>
          </w:p>
        </w:tc>
        <w:tc>
          <w:tcPr>
            <w:tcW w:w="0" w:type="auto"/>
            <w:shd w:val="clear" w:color="auto" w:fill="auto"/>
            <w:vAlign w:val="bottom"/>
          </w:tcPr>
          <w:p w14:paraId="392CA45E" w14:textId="77777777" w:rsidR="00980E5F" w:rsidRDefault="00980E5F">
            <w:pPr>
              <w:rPr>
                <w:rFonts w:ascii="宋体"/>
                <w:vanish/>
              </w:rPr>
            </w:pPr>
          </w:p>
        </w:tc>
        <w:tc>
          <w:tcPr>
            <w:tcW w:w="0" w:type="auto"/>
            <w:shd w:val="clear" w:color="auto" w:fill="auto"/>
            <w:vAlign w:val="bottom"/>
          </w:tcPr>
          <w:p w14:paraId="392CA45F"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60" w14:textId="77777777" w:rsidR="00980E5F" w:rsidRDefault="00483613">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6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6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63" w14:textId="77777777" w:rsidR="00980E5F" w:rsidRDefault="00483613">
            <w:pPr>
              <w:jc w:val="right"/>
              <w:textAlignment w:val="bottom"/>
            </w:pPr>
            <w:r>
              <w:rPr>
                <w:rFonts w:ascii="Arial" w:eastAsia="宋体" w:hAnsi="Arial" w:cs="Arial"/>
                <w:color w:val="000000"/>
                <w:sz w:val="14"/>
                <w:szCs w:val="14"/>
              </w:rPr>
              <w:t>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65" w14:textId="77777777" w:rsidR="00980E5F" w:rsidRDefault="00980E5F">
            <w:pPr>
              <w:rPr>
                <w:rFonts w:ascii="宋体"/>
              </w:rPr>
            </w:pPr>
          </w:p>
        </w:tc>
        <w:tc>
          <w:tcPr>
            <w:tcW w:w="0" w:type="auto"/>
            <w:shd w:val="clear" w:color="auto" w:fill="auto"/>
            <w:vAlign w:val="bottom"/>
          </w:tcPr>
          <w:p w14:paraId="392CA466" w14:textId="77777777" w:rsidR="00980E5F" w:rsidRDefault="00980E5F">
            <w:pPr>
              <w:rPr>
                <w:rFonts w:ascii="宋体"/>
                <w:vanish/>
              </w:rPr>
            </w:pPr>
          </w:p>
        </w:tc>
        <w:tc>
          <w:tcPr>
            <w:tcW w:w="0" w:type="auto"/>
            <w:shd w:val="clear" w:color="auto" w:fill="auto"/>
            <w:vAlign w:val="bottom"/>
          </w:tcPr>
          <w:p w14:paraId="392CA467"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6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6A"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6B"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6D" w14:textId="77777777" w:rsidR="00980E5F" w:rsidRDefault="00980E5F">
            <w:pPr>
              <w:rPr>
                <w:rFonts w:ascii="宋体"/>
              </w:rPr>
            </w:pPr>
          </w:p>
        </w:tc>
        <w:tc>
          <w:tcPr>
            <w:tcW w:w="0" w:type="auto"/>
            <w:gridSpan w:val="3"/>
            <w:shd w:val="clear" w:color="auto" w:fill="auto"/>
            <w:vAlign w:val="bottom"/>
          </w:tcPr>
          <w:p w14:paraId="392CA46E" w14:textId="77777777" w:rsidR="00980E5F" w:rsidRDefault="00980E5F">
            <w:pPr>
              <w:rPr>
                <w:rFonts w:ascii="宋体"/>
                <w:vanish/>
              </w:rPr>
            </w:pPr>
          </w:p>
        </w:tc>
        <w:tc>
          <w:tcPr>
            <w:tcW w:w="0" w:type="auto"/>
            <w:gridSpan w:val="3"/>
            <w:shd w:val="clear" w:color="auto" w:fill="auto"/>
            <w:vAlign w:val="bottom"/>
          </w:tcPr>
          <w:p w14:paraId="392CA46F"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470" w14:textId="77777777" w:rsidR="00980E5F" w:rsidRDefault="00483613">
            <w:pPr>
              <w:jc w:val="right"/>
              <w:textAlignment w:val="bottom"/>
            </w:pPr>
            <w:r>
              <w:rPr>
                <w:rFonts w:ascii="Arial" w:eastAsia="宋体" w:hAnsi="Arial" w:cs="Arial"/>
                <w:b/>
                <w:bCs/>
                <w:color w:val="000000"/>
                <w:sz w:val="14"/>
                <w:szCs w:val="14"/>
              </w:rPr>
              <w:t>2,370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471"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47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473" w14:textId="77777777" w:rsidR="00980E5F" w:rsidRDefault="00483613">
            <w:pPr>
              <w:jc w:val="right"/>
              <w:textAlignment w:val="bottom"/>
            </w:pPr>
            <w:r>
              <w:rPr>
                <w:rFonts w:ascii="Arial" w:eastAsia="宋体" w:hAnsi="Arial" w:cs="Arial"/>
                <w:color w:val="000000"/>
                <w:sz w:val="14"/>
                <w:szCs w:val="14"/>
              </w:rPr>
              <w:t>2,514 </w:t>
            </w:r>
          </w:p>
        </w:tc>
      </w:tr>
      <w:tr w:rsidR="00980E5F" w14:paraId="392CA492" w14:textId="77777777">
        <w:tc>
          <w:tcPr>
            <w:tcW w:w="0" w:type="auto"/>
            <w:gridSpan w:val="3"/>
            <w:shd w:val="clear" w:color="auto" w:fill="FFFFFF"/>
            <w:tcMar>
              <w:top w:w="40" w:type="dxa"/>
              <w:left w:w="20" w:type="dxa"/>
              <w:bottom w:w="40" w:type="dxa"/>
              <w:right w:w="20" w:type="dxa"/>
            </w:tcMar>
            <w:vAlign w:val="bottom"/>
          </w:tcPr>
          <w:p w14:paraId="392CA475"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476" w14:textId="77777777" w:rsidR="00980E5F" w:rsidRDefault="00483613">
            <w:pPr>
              <w:jc w:val="right"/>
              <w:textAlignment w:val="bottom"/>
            </w:pPr>
            <w:r>
              <w:rPr>
                <w:rFonts w:ascii="Arial" w:eastAsia="宋体" w:hAnsi="Arial" w:cs="Arial"/>
                <w:b/>
                <w:bCs/>
                <w:color w:val="000000"/>
                <w:sz w:val="14"/>
                <w:szCs w:val="14"/>
              </w:rPr>
              <w:t>588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7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7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79" w14:textId="77777777" w:rsidR="00980E5F" w:rsidRDefault="00483613">
            <w:pPr>
              <w:jc w:val="right"/>
              <w:textAlignment w:val="bottom"/>
            </w:pPr>
            <w:r>
              <w:rPr>
                <w:rFonts w:ascii="Arial" w:eastAsia="宋体" w:hAnsi="Arial" w:cs="Arial"/>
                <w:color w:val="000000"/>
                <w:sz w:val="14"/>
                <w:szCs w:val="14"/>
              </w:rPr>
              <w:t>468 </w:t>
            </w:r>
          </w:p>
        </w:tc>
        <w:tc>
          <w:tcPr>
            <w:tcW w:w="0" w:type="auto"/>
            <w:shd w:val="clear" w:color="auto" w:fill="FFFFFF"/>
            <w:tcMar>
              <w:top w:w="40" w:type="dxa"/>
              <w:left w:w="0" w:type="dxa"/>
              <w:bottom w:w="40" w:type="dxa"/>
              <w:right w:w="20" w:type="dxa"/>
            </w:tcMar>
            <w:vAlign w:val="bottom"/>
          </w:tcPr>
          <w:p w14:paraId="392CA47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7B" w14:textId="77777777" w:rsidR="00980E5F" w:rsidRDefault="00980E5F">
            <w:pPr>
              <w:rPr>
                <w:rFonts w:ascii="宋体"/>
              </w:rPr>
            </w:pPr>
          </w:p>
        </w:tc>
        <w:tc>
          <w:tcPr>
            <w:tcW w:w="0" w:type="auto"/>
            <w:shd w:val="clear" w:color="auto" w:fill="auto"/>
            <w:vAlign w:val="bottom"/>
          </w:tcPr>
          <w:p w14:paraId="392CA47C" w14:textId="77777777" w:rsidR="00980E5F" w:rsidRDefault="00980E5F">
            <w:pPr>
              <w:rPr>
                <w:rFonts w:ascii="宋体"/>
                <w:vanish/>
              </w:rPr>
            </w:pPr>
          </w:p>
        </w:tc>
        <w:tc>
          <w:tcPr>
            <w:tcW w:w="0" w:type="auto"/>
            <w:shd w:val="clear" w:color="auto" w:fill="auto"/>
            <w:vAlign w:val="bottom"/>
          </w:tcPr>
          <w:p w14:paraId="392CA47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7E"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47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8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81"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48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83" w14:textId="77777777" w:rsidR="00980E5F" w:rsidRDefault="00980E5F">
            <w:pPr>
              <w:rPr>
                <w:rFonts w:ascii="宋体"/>
              </w:rPr>
            </w:pPr>
          </w:p>
        </w:tc>
        <w:tc>
          <w:tcPr>
            <w:tcW w:w="0" w:type="auto"/>
            <w:shd w:val="clear" w:color="auto" w:fill="auto"/>
            <w:vAlign w:val="bottom"/>
          </w:tcPr>
          <w:p w14:paraId="392CA484" w14:textId="77777777" w:rsidR="00980E5F" w:rsidRDefault="00980E5F">
            <w:pPr>
              <w:rPr>
                <w:rFonts w:ascii="宋体"/>
                <w:vanish/>
              </w:rPr>
            </w:pPr>
          </w:p>
        </w:tc>
        <w:tc>
          <w:tcPr>
            <w:tcW w:w="0" w:type="auto"/>
            <w:shd w:val="clear" w:color="auto" w:fill="auto"/>
            <w:vAlign w:val="bottom"/>
          </w:tcPr>
          <w:p w14:paraId="392CA485"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8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8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8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489"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8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8B" w14:textId="77777777" w:rsidR="00980E5F" w:rsidRDefault="00980E5F">
            <w:pPr>
              <w:rPr>
                <w:rFonts w:ascii="宋体"/>
              </w:rPr>
            </w:pPr>
          </w:p>
        </w:tc>
        <w:tc>
          <w:tcPr>
            <w:tcW w:w="0" w:type="auto"/>
            <w:gridSpan w:val="3"/>
            <w:shd w:val="clear" w:color="auto" w:fill="auto"/>
            <w:vAlign w:val="bottom"/>
          </w:tcPr>
          <w:p w14:paraId="392CA48C" w14:textId="77777777" w:rsidR="00980E5F" w:rsidRDefault="00980E5F">
            <w:pPr>
              <w:rPr>
                <w:rFonts w:ascii="宋体"/>
                <w:vanish/>
              </w:rPr>
            </w:pPr>
          </w:p>
        </w:tc>
        <w:tc>
          <w:tcPr>
            <w:tcW w:w="0" w:type="auto"/>
            <w:gridSpan w:val="3"/>
            <w:shd w:val="clear" w:color="auto" w:fill="auto"/>
            <w:vAlign w:val="bottom"/>
          </w:tcPr>
          <w:p w14:paraId="392CA48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48E" w14:textId="77777777" w:rsidR="00980E5F" w:rsidRDefault="00483613">
            <w:pPr>
              <w:jc w:val="right"/>
              <w:textAlignment w:val="bottom"/>
            </w:pPr>
            <w:r>
              <w:rPr>
                <w:rFonts w:ascii="Arial" w:eastAsia="宋体" w:hAnsi="Arial" w:cs="Arial"/>
                <w:b/>
                <w:bCs/>
                <w:color w:val="000000"/>
                <w:sz w:val="14"/>
                <w:szCs w:val="14"/>
              </w:rPr>
              <w:t>584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48F"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490"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491" w14:textId="77777777" w:rsidR="00980E5F" w:rsidRDefault="00483613">
            <w:pPr>
              <w:jc w:val="right"/>
              <w:textAlignment w:val="bottom"/>
            </w:pPr>
            <w:r>
              <w:rPr>
                <w:rFonts w:ascii="Arial" w:eastAsia="宋体" w:hAnsi="Arial" w:cs="Arial"/>
                <w:color w:val="000000"/>
                <w:sz w:val="14"/>
                <w:szCs w:val="14"/>
              </w:rPr>
              <w:t>467 </w:t>
            </w:r>
          </w:p>
        </w:tc>
      </w:tr>
      <w:tr w:rsidR="00980E5F" w14:paraId="392CA4B0" w14:textId="77777777">
        <w:tc>
          <w:tcPr>
            <w:tcW w:w="0" w:type="auto"/>
            <w:gridSpan w:val="3"/>
            <w:shd w:val="clear" w:color="auto" w:fill="CCEEFF"/>
            <w:tcMar>
              <w:top w:w="40" w:type="dxa"/>
              <w:left w:w="20" w:type="dxa"/>
              <w:bottom w:w="40" w:type="dxa"/>
              <w:right w:w="20" w:type="dxa"/>
            </w:tcMar>
            <w:vAlign w:val="bottom"/>
          </w:tcPr>
          <w:p w14:paraId="392CA493"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494"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A49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9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9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9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99" w14:textId="77777777" w:rsidR="00980E5F" w:rsidRDefault="00980E5F">
            <w:pPr>
              <w:rPr>
                <w:rFonts w:ascii="宋体"/>
              </w:rPr>
            </w:pPr>
          </w:p>
        </w:tc>
        <w:tc>
          <w:tcPr>
            <w:tcW w:w="0" w:type="auto"/>
            <w:shd w:val="clear" w:color="auto" w:fill="auto"/>
            <w:vAlign w:val="bottom"/>
          </w:tcPr>
          <w:p w14:paraId="392CA49A" w14:textId="77777777" w:rsidR="00980E5F" w:rsidRDefault="00980E5F">
            <w:pPr>
              <w:rPr>
                <w:rFonts w:ascii="宋体"/>
                <w:vanish/>
              </w:rPr>
            </w:pPr>
          </w:p>
        </w:tc>
        <w:tc>
          <w:tcPr>
            <w:tcW w:w="0" w:type="auto"/>
            <w:shd w:val="clear" w:color="auto" w:fill="auto"/>
            <w:vAlign w:val="bottom"/>
          </w:tcPr>
          <w:p w14:paraId="392CA49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9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9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9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9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A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A1" w14:textId="77777777" w:rsidR="00980E5F" w:rsidRDefault="00980E5F">
            <w:pPr>
              <w:rPr>
                <w:rFonts w:ascii="宋体"/>
              </w:rPr>
            </w:pPr>
          </w:p>
        </w:tc>
        <w:tc>
          <w:tcPr>
            <w:tcW w:w="0" w:type="auto"/>
            <w:shd w:val="clear" w:color="auto" w:fill="auto"/>
            <w:vAlign w:val="bottom"/>
          </w:tcPr>
          <w:p w14:paraId="392CA4A2" w14:textId="77777777" w:rsidR="00980E5F" w:rsidRDefault="00980E5F">
            <w:pPr>
              <w:rPr>
                <w:rFonts w:ascii="宋体"/>
                <w:vanish/>
              </w:rPr>
            </w:pPr>
          </w:p>
        </w:tc>
        <w:tc>
          <w:tcPr>
            <w:tcW w:w="0" w:type="auto"/>
            <w:shd w:val="clear" w:color="auto" w:fill="auto"/>
            <w:vAlign w:val="bottom"/>
          </w:tcPr>
          <w:p w14:paraId="392CA4A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A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A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A7"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4A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A9" w14:textId="77777777" w:rsidR="00980E5F" w:rsidRDefault="00980E5F">
            <w:pPr>
              <w:rPr>
                <w:rFonts w:ascii="宋体"/>
              </w:rPr>
            </w:pPr>
          </w:p>
        </w:tc>
        <w:tc>
          <w:tcPr>
            <w:tcW w:w="0" w:type="auto"/>
            <w:gridSpan w:val="3"/>
            <w:shd w:val="clear" w:color="auto" w:fill="auto"/>
            <w:vAlign w:val="bottom"/>
          </w:tcPr>
          <w:p w14:paraId="392CA4AA" w14:textId="77777777" w:rsidR="00980E5F" w:rsidRDefault="00980E5F">
            <w:pPr>
              <w:rPr>
                <w:rFonts w:ascii="宋体"/>
                <w:vanish/>
              </w:rPr>
            </w:pPr>
          </w:p>
        </w:tc>
        <w:tc>
          <w:tcPr>
            <w:tcW w:w="0" w:type="auto"/>
            <w:gridSpan w:val="3"/>
            <w:shd w:val="clear" w:color="auto" w:fill="auto"/>
            <w:vAlign w:val="bottom"/>
          </w:tcPr>
          <w:p w14:paraId="392CA4A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AC"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A4AD"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4AE"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4AF" w14:textId="77777777" w:rsidR="00980E5F" w:rsidRDefault="00483613">
            <w:pPr>
              <w:jc w:val="right"/>
              <w:textAlignment w:val="bottom"/>
            </w:pPr>
            <w:r>
              <w:rPr>
                <w:rFonts w:ascii="Arial" w:eastAsia="宋体" w:hAnsi="Arial" w:cs="Arial"/>
                <w:color w:val="000000"/>
                <w:sz w:val="14"/>
                <w:szCs w:val="14"/>
              </w:rPr>
              <w:t>53 </w:t>
            </w:r>
          </w:p>
        </w:tc>
      </w:tr>
      <w:tr w:rsidR="00980E5F" w14:paraId="392CA4CE" w14:textId="77777777">
        <w:tc>
          <w:tcPr>
            <w:tcW w:w="0" w:type="auto"/>
            <w:gridSpan w:val="3"/>
            <w:shd w:val="clear" w:color="auto" w:fill="FFFFFF"/>
            <w:tcMar>
              <w:top w:w="40" w:type="dxa"/>
              <w:left w:w="20" w:type="dxa"/>
              <w:bottom w:w="40" w:type="dxa"/>
              <w:right w:w="20" w:type="dxa"/>
            </w:tcMar>
            <w:vAlign w:val="bottom"/>
          </w:tcPr>
          <w:p w14:paraId="392CA4B1" w14:textId="77777777" w:rsidR="00980E5F" w:rsidRDefault="00483613">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B2" w14:textId="77777777" w:rsidR="00980E5F" w:rsidRDefault="00483613">
            <w:pPr>
              <w:jc w:val="right"/>
              <w:textAlignment w:val="bottom"/>
            </w:pPr>
            <w:r>
              <w:rPr>
                <w:rFonts w:ascii="Arial" w:eastAsia="宋体" w:hAnsi="Arial" w:cs="Arial"/>
                <w:b/>
                <w:bCs/>
                <w:color w:val="000000"/>
                <w:sz w:val="14"/>
                <w:szCs w:val="14"/>
              </w:rPr>
              <w:t>2,475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B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B5" w14:textId="77777777" w:rsidR="00980E5F" w:rsidRDefault="00483613">
            <w:pPr>
              <w:jc w:val="right"/>
              <w:textAlignment w:val="bottom"/>
            </w:pPr>
            <w:r>
              <w:rPr>
                <w:rFonts w:ascii="Arial" w:eastAsia="宋体" w:hAnsi="Arial" w:cs="Arial"/>
                <w:color w:val="000000"/>
                <w:sz w:val="14"/>
                <w:szCs w:val="14"/>
              </w:rPr>
              <w:t>2,452 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B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B7" w14:textId="77777777" w:rsidR="00980E5F" w:rsidRDefault="00980E5F">
            <w:pPr>
              <w:rPr>
                <w:rFonts w:ascii="宋体"/>
              </w:rPr>
            </w:pPr>
          </w:p>
        </w:tc>
        <w:tc>
          <w:tcPr>
            <w:tcW w:w="0" w:type="auto"/>
            <w:shd w:val="clear" w:color="auto" w:fill="auto"/>
            <w:vAlign w:val="bottom"/>
          </w:tcPr>
          <w:p w14:paraId="392CA4B8" w14:textId="77777777" w:rsidR="00980E5F" w:rsidRDefault="00980E5F">
            <w:pPr>
              <w:rPr>
                <w:rFonts w:ascii="宋体"/>
                <w:vanish/>
              </w:rPr>
            </w:pPr>
          </w:p>
        </w:tc>
        <w:tc>
          <w:tcPr>
            <w:tcW w:w="0" w:type="auto"/>
            <w:shd w:val="clear" w:color="auto" w:fill="auto"/>
            <w:vAlign w:val="bottom"/>
          </w:tcPr>
          <w:p w14:paraId="392CA4B9"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BA" w14:textId="77777777" w:rsidR="00980E5F" w:rsidRDefault="00483613">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B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BC"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BD" w14:textId="77777777" w:rsidR="00980E5F" w:rsidRDefault="00483613">
            <w:pPr>
              <w:jc w:val="right"/>
              <w:textAlignment w:val="bottom"/>
            </w:pPr>
            <w:r>
              <w:rPr>
                <w:rFonts w:ascii="Arial" w:eastAsia="宋体" w:hAnsi="Arial" w:cs="Arial"/>
                <w:color w:val="000000"/>
                <w:sz w:val="14"/>
                <w:szCs w:val="14"/>
              </w:rPr>
              <w:t>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B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BF" w14:textId="77777777" w:rsidR="00980E5F" w:rsidRDefault="00980E5F">
            <w:pPr>
              <w:rPr>
                <w:rFonts w:ascii="宋体"/>
              </w:rPr>
            </w:pPr>
          </w:p>
        </w:tc>
        <w:tc>
          <w:tcPr>
            <w:tcW w:w="0" w:type="auto"/>
            <w:shd w:val="clear" w:color="auto" w:fill="auto"/>
            <w:vAlign w:val="bottom"/>
          </w:tcPr>
          <w:p w14:paraId="392CA4C0" w14:textId="77777777" w:rsidR="00980E5F" w:rsidRDefault="00980E5F">
            <w:pPr>
              <w:rPr>
                <w:rFonts w:ascii="宋体"/>
                <w:vanish/>
              </w:rPr>
            </w:pPr>
          </w:p>
        </w:tc>
        <w:tc>
          <w:tcPr>
            <w:tcW w:w="0" w:type="auto"/>
            <w:shd w:val="clear" w:color="auto" w:fill="auto"/>
            <w:vAlign w:val="bottom"/>
          </w:tcPr>
          <w:p w14:paraId="392CA4C1"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C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C4"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C5"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4C7" w14:textId="77777777" w:rsidR="00980E5F" w:rsidRDefault="00980E5F">
            <w:pPr>
              <w:rPr>
                <w:rFonts w:ascii="宋体"/>
              </w:rPr>
            </w:pPr>
          </w:p>
        </w:tc>
        <w:tc>
          <w:tcPr>
            <w:tcW w:w="0" w:type="auto"/>
            <w:gridSpan w:val="3"/>
            <w:shd w:val="clear" w:color="auto" w:fill="auto"/>
            <w:vAlign w:val="bottom"/>
          </w:tcPr>
          <w:p w14:paraId="392CA4C8" w14:textId="77777777" w:rsidR="00980E5F" w:rsidRDefault="00980E5F">
            <w:pPr>
              <w:rPr>
                <w:rFonts w:ascii="宋体"/>
                <w:vanish/>
              </w:rPr>
            </w:pPr>
          </w:p>
        </w:tc>
        <w:tc>
          <w:tcPr>
            <w:tcW w:w="0" w:type="auto"/>
            <w:gridSpan w:val="3"/>
            <w:shd w:val="clear" w:color="auto" w:fill="auto"/>
            <w:vAlign w:val="bottom"/>
          </w:tcPr>
          <w:p w14:paraId="392CA4C9"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4CA" w14:textId="77777777" w:rsidR="00980E5F" w:rsidRDefault="00483613">
            <w:pPr>
              <w:jc w:val="right"/>
              <w:textAlignment w:val="bottom"/>
            </w:pPr>
            <w:r>
              <w:rPr>
                <w:rFonts w:ascii="Arial" w:eastAsia="宋体" w:hAnsi="Arial" w:cs="Arial"/>
                <w:b/>
                <w:bCs/>
                <w:color w:val="000000"/>
                <w:sz w:val="14"/>
                <w:szCs w:val="14"/>
              </w:rPr>
              <w:t>2,953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4CB"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4CC"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4CD" w14:textId="77777777" w:rsidR="00980E5F" w:rsidRDefault="00483613">
            <w:pPr>
              <w:jc w:val="right"/>
              <w:textAlignment w:val="bottom"/>
            </w:pPr>
            <w:r>
              <w:rPr>
                <w:rFonts w:ascii="Arial" w:eastAsia="宋体" w:hAnsi="Arial" w:cs="Arial"/>
                <w:color w:val="000000"/>
                <w:sz w:val="14"/>
                <w:szCs w:val="14"/>
              </w:rPr>
              <w:t>3,034 </w:t>
            </w:r>
          </w:p>
        </w:tc>
      </w:tr>
      <w:tr w:rsidR="00980E5F" w14:paraId="392CA4EC" w14:textId="77777777">
        <w:tc>
          <w:tcPr>
            <w:tcW w:w="0" w:type="auto"/>
            <w:gridSpan w:val="3"/>
            <w:shd w:val="clear" w:color="auto" w:fill="CCEEFF"/>
            <w:tcMar>
              <w:top w:w="40" w:type="dxa"/>
              <w:left w:w="20" w:type="dxa"/>
              <w:bottom w:w="40" w:type="dxa"/>
              <w:right w:w="20" w:type="dxa"/>
            </w:tcMar>
            <w:vAlign w:val="bottom"/>
          </w:tcPr>
          <w:p w14:paraId="392CA4CF" w14:textId="77777777" w:rsidR="00980E5F" w:rsidRDefault="00483613">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392CA4D0"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D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D3" w14:textId="77777777" w:rsidR="00980E5F" w:rsidRDefault="00483613">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392CA4D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D5" w14:textId="77777777" w:rsidR="00980E5F" w:rsidRDefault="00980E5F">
            <w:pPr>
              <w:rPr>
                <w:rFonts w:ascii="宋体"/>
              </w:rPr>
            </w:pPr>
          </w:p>
        </w:tc>
        <w:tc>
          <w:tcPr>
            <w:tcW w:w="0" w:type="auto"/>
            <w:shd w:val="clear" w:color="auto" w:fill="auto"/>
            <w:vAlign w:val="bottom"/>
          </w:tcPr>
          <w:p w14:paraId="392CA4D6" w14:textId="77777777" w:rsidR="00980E5F" w:rsidRDefault="00980E5F">
            <w:pPr>
              <w:rPr>
                <w:rFonts w:ascii="宋体"/>
                <w:vanish/>
              </w:rPr>
            </w:pPr>
          </w:p>
        </w:tc>
        <w:tc>
          <w:tcPr>
            <w:tcW w:w="0" w:type="auto"/>
            <w:shd w:val="clear" w:color="auto" w:fill="auto"/>
            <w:vAlign w:val="bottom"/>
          </w:tcPr>
          <w:p w14:paraId="392CA4D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D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D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D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D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D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DD" w14:textId="77777777" w:rsidR="00980E5F" w:rsidRDefault="00980E5F">
            <w:pPr>
              <w:rPr>
                <w:rFonts w:ascii="宋体"/>
              </w:rPr>
            </w:pPr>
          </w:p>
        </w:tc>
        <w:tc>
          <w:tcPr>
            <w:tcW w:w="0" w:type="auto"/>
            <w:shd w:val="clear" w:color="auto" w:fill="auto"/>
            <w:vAlign w:val="bottom"/>
          </w:tcPr>
          <w:p w14:paraId="392CA4DE" w14:textId="77777777" w:rsidR="00980E5F" w:rsidRDefault="00980E5F">
            <w:pPr>
              <w:rPr>
                <w:rFonts w:ascii="宋体"/>
                <w:vanish/>
              </w:rPr>
            </w:pPr>
          </w:p>
        </w:tc>
        <w:tc>
          <w:tcPr>
            <w:tcW w:w="0" w:type="auto"/>
            <w:shd w:val="clear" w:color="auto" w:fill="auto"/>
            <w:vAlign w:val="bottom"/>
          </w:tcPr>
          <w:p w14:paraId="392CA4D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E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E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E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4E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4E5" w14:textId="77777777" w:rsidR="00980E5F" w:rsidRDefault="00980E5F">
            <w:pPr>
              <w:rPr>
                <w:rFonts w:ascii="宋体"/>
              </w:rPr>
            </w:pPr>
          </w:p>
        </w:tc>
        <w:tc>
          <w:tcPr>
            <w:tcW w:w="0" w:type="auto"/>
            <w:gridSpan w:val="3"/>
            <w:shd w:val="clear" w:color="auto" w:fill="auto"/>
            <w:vAlign w:val="bottom"/>
          </w:tcPr>
          <w:p w14:paraId="392CA4E6" w14:textId="77777777" w:rsidR="00980E5F" w:rsidRDefault="00980E5F">
            <w:pPr>
              <w:rPr>
                <w:rFonts w:ascii="宋体"/>
                <w:vanish/>
              </w:rPr>
            </w:pPr>
          </w:p>
        </w:tc>
        <w:tc>
          <w:tcPr>
            <w:tcW w:w="0" w:type="auto"/>
            <w:gridSpan w:val="3"/>
            <w:shd w:val="clear" w:color="auto" w:fill="auto"/>
            <w:vAlign w:val="bottom"/>
          </w:tcPr>
          <w:p w14:paraId="392CA4E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4E8"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4E9"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4EA"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4EB" w14:textId="77777777" w:rsidR="00980E5F" w:rsidRDefault="00483613">
            <w:pPr>
              <w:jc w:val="right"/>
              <w:textAlignment w:val="bottom"/>
            </w:pPr>
            <w:r>
              <w:rPr>
                <w:rFonts w:ascii="Arial" w:eastAsia="宋体" w:hAnsi="Arial" w:cs="Arial"/>
                <w:color w:val="000000"/>
                <w:sz w:val="14"/>
                <w:szCs w:val="14"/>
              </w:rPr>
              <w:t>(15)</w:t>
            </w:r>
          </w:p>
        </w:tc>
      </w:tr>
      <w:tr w:rsidR="00980E5F" w14:paraId="392CA503" w14:textId="77777777">
        <w:trPr>
          <w:hidden/>
        </w:trPr>
        <w:tc>
          <w:tcPr>
            <w:tcW w:w="0" w:type="auto"/>
            <w:gridSpan w:val="3"/>
            <w:shd w:val="clear" w:color="auto" w:fill="auto"/>
            <w:vAlign w:val="bottom"/>
          </w:tcPr>
          <w:p w14:paraId="392CA4ED" w14:textId="77777777" w:rsidR="00980E5F" w:rsidRDefault="00980E5F">
            <w:pPr>
              <w:rPr>
                <w:rFonts w:ascii="宋体"/>
                <w:vanish/>
              </w:rPr>
            </w:pPr>
          </w:p>
        </w:tc>
        <w:tc>
          <w:tcPr>
            <w:tcW w:w="0" w:type="auto"/>
            <w:gridSpan w:val="3"/>
            <w:shd w:val="clear" w:color="auto" w:fill="auto"/>
            <w:vAlign w:val="bottom"/>
          </w:tcPr>
          <w:p w14:paraId="392CA4EE" w14:textId="77777777" w:rsidR="00980E5F" w:rsidRDefault="00980E5F">
            <w:pPr>
              <w:rPr>
                <w:rFonts w:ascii="宋体"/>
                <w:vanish/>
              </w:rPr>
            </w:pPr>
          </w:p>
        </w:tc>
        <w:tc>
          <w:tcPr>
            <w:tcW w:w="0" w:type="auto"/>
            <w:gridSpan w:val="3"/>
            <w:shd w:val="clear" w:color="auto" w:fill="auto"/>
            <w:vAlign w:val="bottom"/>
          </w:tcPr>
          <w:p w14:paraId="392CA4EF" w14:textId="77777777" w:rsidR="00980E5F" w:rsidRDefault="00980E5F">
            <w:pPr>
              <w:rPr>
                <w:rFonts w:ascii="宋体"/>
                <w:vanish/>
              </w:rPr>
            </w:pPr>
          </w:p>
        </w:tc>
        <w:tc>
          <w:tcPr>
            <w:tcW w:w="0" w:type="auto"/>
            <w:gridSpan w:val="3"/>
            <w:shd w:val="clear" w:color="auto" w:fill="auto"/>
            <w:vAlign w:val="bottom"/>
          </w:tcPr>
          <w:p w14:paraId="392CA4F0" w14:textId="77777777" w:rsidR="00980E5F" w:rsidRDefault="00980E5F">
            <w:pPr>
              <w:rPr>
                <w:rFonts w:ascii="宋体"/>
                <w:vanish/>
              </w:rPr>
            </w:pPr>
          </w:p>
        </w:tc>
        <w:tc>
          <w:tcPr>
            <w:tcW w:w="0" w:type="auto"/>
            <w:gridSpan w:val="3"/>
            <w:shd w:val="clear" w:color="auto" w:fill="auto"/>
            <w:vAlign w:val="bottom"/>
          </w:tcPr>
          <w:p w14:paraId="392CA4F1" w14:textId="77777777" w:rsidR="00980E5F" w:rsidRDefault="00980E5F">
            <w:pPr>
              <w:rPr>
                <w:rFonts w:ascii="宋体"/>
                <w:vanish/>
              </w:rPr>
            </w:pPr>
          </w:p>
        </w:tc>
        <w:tc>
          <w:tcPr>
            <w:tcW w:w="0" w:type="auto"/>
            <w:shd w:val="clear" w:color="auto" w:fill="auto"/>
            <w:vAlign w:val="bottom"/>
          </w:tcPr>
          <w:p w14:paraId="392CA4F2" w14:textId="77777777" w:rsidR="00980E5F" w:rsidRDefault="00980E5F">
            <w:pPr>
              <w:rPr>
                <w:rFonts w:ascii="宋体"/>
                <w:vanish/>
              </w:rPr>
            </w:pPr>
          </w:p>
        </w:tc>
        <w:tc>
          <w:tcPr>
            <w:tcW w:w="0" w:type="auto"/>
            <w:shd w:val="clear" w:color="auto" w:fill="auto"/>
            <w:vAlign w:val="bottom"/>
          </w:tcPr>
          <w:p w14:paraId="392CA4F3" w14:textId="77777777" w:rsidR="00980E5F" w:rsidRDefault="00980E5F">
            <w:pPr>
              <w:rPr>
                <w:rFonts w:ascii="宋体"/>
                <w:vanish/>
              </w:rPr>
            </w:pPr>
          </w:p>
        </w:tc>
        <w:tc>
          <w:tcPr>
            <w:tcW w:w="0" w:type="auto"/>
            <w:gridSpan w:val="3"/>
            <w:shd w:val="clear" w:color="auto" w:fill="auto"/>
            <w:vAlign w:val="bottom"/>
          </w:tcPr>
          <w:p w14:paraId="392CA4F4" w14:textId="77777777" w:rsidR="00980E5F" w:rsidRDefault="00980E5F">
            <w:pPr>
              <w:rPr>
                <w:rFonts w:ascii="宋体"/>
                <w:vanish/>
              </w:rPr>
            </w:pPr>
          </w:p>
        </w:tc>
        <w:tc>
          <w:tcPr>
            <w:tcW w:w="0" w:type="auto"/>
            <w:gridSpan w:val="3"/>
            <w:shd w:val="clear" w:color="auto" w:fill="auto"/>
            <w:vAlign w:val="bottom"/>
          </w:tcPr>
          <w:p w14:paraId="392CA4F5" w14:textId="77777777" w:rsidR="00980E5F" w:rsidRDefault="00980E5F">
            <w:pPr>
              <w:rPr>
                <w:rFonts w:ascii="宋体"/>
                <w:vanish/>
              </w:rPr>
            </w:pPr>
          </w:p>
        </w:tc>
        <w:tc>
          <w:tcPr>
            <w:tcW w:w="0" w:type="auto"/>
            <w:gridSpan w:val="3"/>
            <w:shd w:val="clear" w:color="auto" w:fill="auto"/>
            <w:vAlign w:val="bottom"/>
          </w:tcPr>
          <w:p w14:paraId="392CA4F6" w14:textId="77777777" w:rsidR="00980E5F" w:rsidRDefault="00980E5F">
            <w:pPr>
              <w:rPr>
                <w:rFonts w:ascii="宋体"/>
                <w:vanish/>
              </w:rPr>
            </w:pPr>
          </w:p>
        </w:tc>
        <w:tc>
          <w:tcPr>
            <w:tcW w:w="0" w:type="auto"/>
            <w:gridSpan w:val="3"/>
            <w:shd w:val="clear" w:color="auto" w:fill="auto"/>
            <w:vAlign w:val="bottom"/>
          </w:tcPr>
          <w:p w14:paraId="392CA4F7" w14:textId="77777777" w:rsidR="00980E5F" w:rsidRDefault="00980E5F">
            <w:pPr>
              <w:rPr>
                <w:rFonts w:ascii="宋体"/>
                <w:vanish/>
              </w:rPr>
            </w:pPr>
          </w:p>
        </w:tc>
        <w:tc>
          <w:tcPr>
            <w:tcW w:w="0" w:type="auto"/>
            <w:shd w:val="clear" w:color="auto" w:fill="auto"/>
            <w:vAlign w:val="bottom"/>
          </w:tcPr>
          <w:p w14:paraId="392CA4F8" w14:textId="77777777" w:rsidR="00980E5F" w:rsidRDefault="00980E5F">
            <w:pPr>
              <w:rPr>
                <w:rFonts w:ascii="宋体"/>
                <w:vanish/>
              </w:rPr>
            </w:pPr>
          </w:p>
        </w:tc>
        <w:tc>
          <w:tcPr>
            <w:tcW w:w="0" w:type="auto"/>
            <w:shd w:val="clear" w:color="auto" w:fill="auto"/>
            <w:vAlign w:val="bottom"/>
          </w:tcPr>
          <w:p w14:paraId="392CA4F9" w14:textId="77777777" w:rsidR="00980E5F" w:rsidRDefault="00980E5F">
            <w:pPr>
              <w:rPr>
                <w:rFonts w:ascii="宋体"/>
                <w:vanish/>
              </w:rPr>
            </w:pPr>
          </w:p>
        </w:tc>
        <w:tc>
          <w:tcPr>
            <w:tcW w:w="0" w:type="auto"/>
            <w:gridSpan w:val="3"/>
            <w:shd w:val="clear" w:color="auto" w:fill="auto"/>
            <w:vAlign w:val="bottom"/>
          </w:tcPr>
          <w:p w14:paraId="392CA4FA" w14:textId="77777777" w:rsidR="00980E5F" w:rsidRDefault="00980E5F">
            <w:pPr>
              <w:rPr>
                <w:rFonts w:ascii="宋体"/>
                <w:vanish/>
              </w:rPr>
            </w:pPr>
          </w:p>
        </w:tc>
        <w:tc>
          <w:tcPr>
            <w:tcW w:w="0" w:type="auto"/>
            <w:gridSpan w:val="3"/>
            <w:shd w:val="clear" w:color="auto" w:fill="auto"/>
            <w:vAlign w:val="bottom"/>
          </w:tcPr>
          <w:p w14:paraId="392CA4FB" w14:textId="77777777" w:rsidR="00980E5F" w:rsidRDefault="00980E5F">
            <w:pPr>
              <w:rPr>
                <w:rFonts w:ascii="宋体"/>
                <w:vanish/>
              </w:rPr>
            </w:pPr>
          </w:p>
        </w:tc>
        <w:tc>
          <w:tcPr>
            <w:tcW w:w="0" w:type="auto"/>
            <w:gridSpan w:val="3"/>
            <w:shd w:val="clear" w:color="auto" w:fill="auto"/>
            <w:vAlign w:val="bottom"/>
          </w:tcPr>
          <w:p w14:paraId="392CA4FC" w14:textId="77777777" w:rsidR="00980E5F" w:rsidRDefault="00980E5F">
            <w:pPr>
              <w:rPr>
                <w:rFonts w:ascii="宋体"/>
                <w:vanish/>
              </w:rPr>
            </w:pPr>
          </w:p>
        </w:tc>
        <w:tc>
          <w:tcPr>
            <w:tcW w:w="0" w:type="auto"/>
            <w:gridSpan w:val="3"/>
            <w:shd w:val="clear" w:color="auto" w:fill="auto"/>
            <w:vAlign w:val="bottom"/>
          </w:tcPr>
          <w:p w14:paraId="392CA4FD" w14:textId="77777777" w:rsidR="00980E5F" w:rsidRDefault="00980E5F">
            <w:pPr>
              <w:rPr>
                <w:rFonts w:ascii="宋体"/>
                <w:vanish/>
              </w:rPr>
            </w:pPr>
          </w:p>
        </w:tc>
        <w:tc>
          <w:tcPr>
            <w:tcW w:w="0" w:type="auto"/>
            <w:gridSpan w:val="3"/>
            <w:shd w:val="clear" w:color="auto" w:fill="auto"/>
            <w:vAlign w:val="bottom"/>
          </w:tcPr>
          <w:p w14:paraId="392CA4FE" w14:textId="77777777" w:rsidR="00980E5F" w:rsidRDefault="00980E5F">
            <w:pPr>
              <w:rPr>
                <w:rFonts w:ascii="宋体"/>
                <w:vanish/>
              </w:rPr>
            </w:pPr>
          </w:p>
        </w:tc>
        <w:tc>
          <w:tcPr>
            <w:tcW w:w="0" w:type="auto"/>
            <w:gridSpan w:val="3"/>
            <w:shd w:val="clear" w:color="auto" w:fill="auto"/>
            <w:vAlign w:val="bottom"/>
          </w:tcPr>
          <w:p w14:paraId="392CA4FF" w14:textId="77777777" w:rsidR="00980E5F" w:rsidRDefault="00980E5F">
            <w:pPr>
              <w:rPr>
                <w:rFonts w:ascii="宋体"/>
                <w:vanish/>
              </w:rPr>
            </w:pPr>
          </w:p>
        </w:tc>
        <w:tc>
          <w:tcPr>
            <w:tcW w:w="0" w:type="auto"/>
            <w:gridSpan w:val="3"/>
            <w:shd w:val="clear" w:color="auto" w:fill="auto"/>
            <w:vAlign w:val="bottom"/>
          </w:tcPr>
          <w:p w14:paraId="392CA500" w14:textId="77777777" w:rsidR="00980E5F" w:rsidRDefault="00980E5F">
            <w:pPr>
              <w:rPr>
                <w:rFonts w:ascii="宋体"/>
                <w:vanish/>
              </w:rPr>
            </w:pPr>
          </w:p>
        </w:tc>
        <w:tc>
          <w:tcPr>
            <w:tcW w:w="0" w:type="auto"/>
            <w:gridSpan w:val="2"/>
            <w:shd w:val="clear" w:color="auto" w:fill="auto"/>
            <w:vAlign w:val="bottom"/>
          </w:tcPr>
          <w:p w14:paraId="392CA501" w14:textId="77777777" w:rsidR="00980E5F" w:rsidRDefault="00980E5F">
            <w:pPr>
              <w:rPr>
                <w:rFonts w:ascii="宋体"/>
                <w:vanish/>
              </w:rPr>
            </w:pPr>
          </w:p>
        </w:tc>
        <w:tc>
          <w:tcPr>
            <w:tcW w:w="0" w:type="auto"/>
            <w:shd w:val="clear" w:color="auto" w:fill="auto"/>
            <w:vAlign w:val="bottom"/>
          </w:tcPr>
          <w:p w14:paraId="392CA502" w14:textId="77777777" w:rsidR="00980E5F" w:rsidRDefault="00980E5F">
            <w:pPr>
              <w:rPr>
                <w:rFonts w:ascii="宋体"/>
                <w:vanish/>
              </w:rPr>
            </w:pPr>
          </w:p>
        </w:tc>
      </w:tr>
      <w:tr w:rsidR="00980E5F" w14:paraId="392CA51A" w14:textId="77777777">
        <w:trPr>
          <w:hidden/>
        </w:trPr>
        <w:tc>
          <w:tcPr>
            <w:tcW w:w="0" w:type="auto"/>
            <w:gridSpan w:val="3"/>
            <w:shd w:val="clear" w:color="auto" w:fill="auto"/>
            <w:vAlign w:val="bottom"/>
          </w:tcPr>
          <w:p w14:paraId="392CA504" w14:textId="77777777" w:rsidR="00980E5F" w:rsidRDefault="00980E5F">
            <w:pPr>
              <w:rPr>
                <w:rFonts w:ascii="宋体"/>
                <w:vanish/>
              </w:rPr>
            </w:pPr>
          </w:p>
        </w:tc>
        <w:tc>
          <w:tcPr>
            <w:tcW w:w="0" w:type="auto"/>
            <w:gridSpan w:val="3"/>
            <w:shd w:val="clear" w:color="auto" w:fill="auto"/>
            <w:vAlign w:val="bottom"/>
          </w:tcPr>
          <w:p w14:paraId="392CA505" w14:textId="77777777" w:rsidR="00980E5F" w:rsidRDefault="00980E5F">
            <w:pPr>
              <w:rPr>
                <w:rFonts w:ascii="宋体"/>
                <w:vanish/>
              </w:rPr>
            </w:pPr>
          </w:p>
        </w:tc>
        <w:tc>
          <w:tcPr>
            <w:tcW w:w="0" w:type="auto"/>
            <w:gridSpan w:val="3"/>
            <w:shd w:val="clear" w:color="auto" w:fill="auto"/>
            <w:vAlign w:val="bottom"/>
          </w:tcPr>
          <w:p w14:paraId="392CA506" w14:textId="77777777" w:rsidR="00980E5F" w:rsidRDefault="00980E5F">
            <w:pPr>
              <w:rPr>
                <w:rFonts w:ascii="宋体"/>
                <w:vanish/>
              </w:rPr>
            </w:pPr>
          </w:p>
        </w:tc>
        <w:tc>
          <w:tcPr>
            <w:tcW w:w="0" w:type="auto"/>
            <w:gridSpan w:val="3"/>
            <w:shd w:val="clear" w:color="auto" w:fill="auto"/>
            <w:vAlign w:val="bottom"/>
          </w:tcPr>
          <w:p w14:paraId="392CA507" w14:textId="77777777" w:rsidR="00980E5F" w:rsidRDefault="00980E5F">
            <w:pPr>
              <w:rPr>
                <w:rFonts w:ascii="宋体"/>
                <w:vanish/>
              </w:rPr>
            </w:pPr>
          </w:p>
        </w:tc>
        <w:tc>
          <w:tcPr>
            <w:tcW w:w="0" w:type="auto"/>
            <w:gridSpan w:val="3"/>
            <w:shd w:val="clear" w:color="auto" w:fill="auto"/>
            <w:vAlign w:val="bottom"/>
          </w:tcPr>
          <w:p w14:paraId="392CA508" w14:textId="77777777" w:rsidR="00980E5F" w:rsidRDefault="00980E5F">
            <w:pPr>
              <w:rPr>
                <w:rFonts w:ascii="宋体"/>
                <w:vanish/>
              </w:rPr>
            </w:pPr>
          </w:p>
        </w:tc>
        <w:tc>
          <w:tcPr>
            <w:tcW w:w="0" w:type="auto"/>
            <w:shd w:val="clear" w:color="auto" w:fill="auto"/>
            <w:vAlign w:val="bottom"/>
          </w:tcPr>
          <w:p w14:paraId="392CA509" w14:textId="77777777" w:rsidR="00980E5F" w:rsidRDefault="00980E5F">
            <w:pPr>
              <w:rPr>
                <w:rFonts w:ascii="宋体"/>
                <w:vanish/>
              </w:rPr>
            </w:pPr>
          </w:p>
        </w:tc>
        <w:tc>
          <w:tcPr>
            <w:tcW w:w="0" w:type="auto"/>
            <w:shd w:val="clear" w:color="auto" w:fill="auto"/>
            <w:vAlign w:val="bottom"/>
          </w:tcPr>
          <w:p w14:paraId="392CA50A" w14:textId="77777777" w:rsidR="00980E5F" w:rsidRDefault="00980E5F">
            <w:pPr>
              <w:rPr>
                <w:rFonts w:ascii="宋体"/>
                <w:vanish/>
              </w:rPr>
            </w:pPr>
          </w:p>
        </w:tc>
        <w:tc>
          <w:tcPr>
            <w:tcW w:w="0" w:type="auto"/>
            <w:gridSpan w:val="3"/>
            <w:shd w:val="clear" w:color="auto" w:fill="auto"/>
            <w:vAlign w:val="bottom"/>
          </w:tcPr>
          <w:p w14:paraId="392CA50B" w14:textId="77777777" w:rsidR="00980E5F" w:rsidRDefault="00980E5F">
            <w:pPr>
              <w:rPr>
                <w:rFonts w:ascii="宋体"/>
                <w:vanish/>
              </w:rPr>
            </w:pPr>
          </w:p>
        </w:tc>
        <w:tc>
          <w:tcPr>
            <w:tcW w:w="0" w:type="auto"/>
            <w:gridSpan w:val="3"/>
            <w:shd w:val="clear" w:color="auto" w:fill="auto"/>
            <w:vAlign w:val="bottom"/>
          </w:tcPr>
          <w:p w14:paraId="392CA50C" w14:textId="77777777" w:rsidR="00980E5F" w:rsidRDefault="00980E5F">
            <w:pPr>
              <w:rPr>
                <w:rFonts w:ascii="宋体"/>
                <w:vanish/>
              </w:rPr>
            </w:pPr>
          </w:p>
        </w:tc>
        <w:tc>
          <w:tcPr>
            <w:tcW w:w="0" w:type="auto"/>
            <w:gridSpan w:val="3"/>
            <w:shd w:val="clear" w:color="auto" w:fill="auto"/>
            <w:vAlign w:val="bottom"/>
          </w:tcPr>
          <w:p w14:paraId="392CA50D" w14:textId="77777777" w:rsidR="00980E5F" w:rsidRDefault="00980E5F">
            <w:pPr>
              <w:rPr>
                <w:rFonts w:ascii="宋体"/>
                <w:vanish/>
              </w:rPr>
            </w:pPr>
          </w:p>
        </w:tc>
        <w:tc>
          <w:tcPr>
            <w:tcW w:w="0" w:type="auto"/>
            <w:gridSpan w:val="3"/>
            <w:shd w:val="clear" w:color="auto" w:fill="auto"/>
            <w:vAlign w:val="bottom"/>
          </w:tcPr>
          <w:p w14:paraId="392CA50E" w14:textId="77777777" w:rsidR="00980E5F" w:rsidRDefault="00980E5F">
            <w:pPr>
              <w:rPr>
                <w:rFonts w:ascii="宋体"/>
                <w:vanish/>
              </w:rPr>
            </w:pPr>
          </w:p>
        </w:tc>
        <w:tc>
          <w:tcPr>
            <w:tcW w:w="0" w:type="auto"/>
            <w:shd w:val="clear" w:color="auto" w:fill="auto"/>
            <w:vAlign w:val="bottom"/>
          </w:tcPr>
          <w:p w14:paraId="392CA50F" w14:textId="77777777" w:rsidR="00980E5F" w:rsidRDefault="00980E5F">
            <w:pPr>
              <w:rPr>
                <w:rFonts w:ascii="宋体"/>
                <w:vanish/>
              </w:rPr>
            </w:pPr>
          </w:p>
        </w:tc>
        <w:tc>
          <w:tcPr>
            <w:tcW w:w="0" w:type="auto"/>
            <w:shd w:val="clear" w:color="auto" w:fill="auto"/>
            <w:vAlign w:val="bottom"/>
          </w:tcPr>
          <w:p w14:paraId="392CA510" w14:textId="77777777" w:rsidR="00980E5F" w:rsidRDefault="00980E5F">
            <w:pPr>
              <w:rPr>
                <w:rFonts w:ascii="宋体"/>
                <w:vanish/>
              </w:rPr>
            </w:pPr>
          </w:p>
        </w:tc>
        <w:tc>
          <w:tcPr>
            <w:tcW w:w="0" w:type="auto"/>
            <w:gridSpan w:val="3"/>
            <w:shd w:val="clear" w:color="auto" w:fill="auto"/>
            <w:vAlign w:val="bottom"/>
          </w:tcPr>
          <w:p w14:paraId="392CA511" w14:textId="77777777" w:rsidR="00980E5F" w:rsidRDefault="00980E5F">
            <w:pPr>
              <w:rPr>
                <w:rFonts w:ascii="宋体"/>
                <w:vanish/>
              </w:rPr>
            </w:pPr>
          </w:p>
        </w:tc>
        <w:tc>
          <w:tcPr>
            <w:tcW w:w="0" w:type="auto"/>
            <w:gridSpan w:val="3"/>
            <w:shd w:val="clear" w:color="auto" w:fill="auto"/>
            <w:vAlign w:val="bottom"/>
          </w:tcPr>
          <w:p w14:paraId="392CA512" w14:textId="77777777" w:rsidR="00980E5F" w:rsidRDefault="00980E5F">
            <w:pPr>
              <w:rPr>
                <w:rFonts w:ascii="宋体"/>
                <w:vanish/>
              </w:rPr>
            </w:pPr>
          </w:p>
        </w:tc>
        <w:tc>
          <w:tcPr>
            <w:tcW w:w="0" w:type="auto"/>
            <w:gridSpan w:val="3"/>
            <w:shd w:val="clear" w:color="auto" w:fill="auto"/>
            <w:vAlign w:val="bottom"/>
          </w:tcPr>
          <w:p w14:paraId="392CA513" w14:textId="77777777" w:rsidR="00980E5F" w:rsidRDefault="00980E5F">
            <w:pPr>
              <w:rPr>
                <w:rFonts w:ascii="宋体"/>
                <w:vanish/>
              </w:rPr>
            </w:pPr>
          </w:p>
        </w:tc>
        <w:tc>
          <w:tcPr>
            <w:tcW w:w="0" w:type="auto"/>
            <w:gridSpan w:val="3"/>
            <w:shd w:val="clear" w:color="auto" w:fill="auto"/>
            <w:vAlign w:val="bottom"/>
          </w:tcPr>
          <w:p w14:paraId="392CA514" w14:textId="77777777" w:rsidR="00980E5F" w:rsidRDefault="00980E5F">
            <w:pPr>
              <w:rPr>
                <w:rFonts w:ascii="宋体"/>
                <w:vanish/>
              </w:rPr>
            </w:pPr>
          </w:p>
        </w:tc>
        <w:tc>
          <w:tcPr>
            <w:tcW w:w="0" w:type="auto"/>
            <w:gridSpan w:val="3"/>
            <w:shd w:val="clear" w:color="auto" w:fill="auto"/>
            <w:vAlign w:val="bottom"/>
          </w:tcPr>
          <w:p w14:paraId="392CA515" w14:textId="77777777" w:rsidR="00980E5F" w:rsidRDefault="00980E5F">
            <w:pPr>
              <w:rPr>
                <w:rFonts w:ascii="宋体"/>
                <w:vanish/>
              </w:rPr>
            </w:pPr>
          </w:p>
        </w:tc>
        <w:tc>
          <w:tcPr>
            <w:tcW w:w="0" w:type="auto"/>
            <w:gridSpan w:val="3"/>
            <w:shd w:val="clear" w:color="auto" w:fill="auto"/>
            <w:vAlign w:val="bottom"/>
          </w:tcPr>
          <w:p w14:paraId="392CA516" w14:textId="77777777" w:rsidR="00980E5F" w:rsidRDefault="00980E5F">
            <w:pPr>
              <w:rPr>
                <w:rFonts w:ascii="宋体"/>
                <w:vanish/>
              </w:rPr>
            </w:pPr>
          </w:p>
        </w:tc>
        <w:tc>
          <w:tcPr>
            <w:tcW w:w="0" w:type="auto"/>
            <w:gridSpan w:val="3"/>
            <w:shd w:val="clear" w:color="auto" w:fill="auto"/>
            <w:vAlign w:val="bottom"/>
          </w:tcPr>
          <w:p w14:paraId="392CA517" w14:textId="77777777" w:rsidR="00980E5F" w:rsidRDefault="00980E5F">
            <w:pPr>
              <w:rPr>
                <w:rFonts w:ascii="宋体"/>
                <w:vanish/>
              </w:rPr>
            </w:pPr>
          </w:p>
        </w:tc>
        <w:tc>
          <w:tcPr>
            <w:tcW w:w="0" w:type="auto"/>
            <w:gridSpan w:val="2"/>
            <w:shd w:val="clear" w:color="auto" w:fill="auto"/>
            <w:vAlign w:val="bottom"/>
          </w:tcPr>
          <w:p w14:paraId="392CA518" w14:textId="77777777" w:rsidR="00980E5F" w:rsidRDefault="00980E5F">
            <w:pPr>
              <w:rPr>
                <w:rFonts w:ascii="宋体"/>
                <w:vanish/>
              </w:rPr>
            </w:pPr>
          </w:p>
        </w:tc>
        <w:tc>
          <w:tcPr>
            <w:tcW w:w="0" w:type="auto"/>
            <w:shd w:val="clear" w:color="auto" w:fill="auto"/>
            <w:vAlign w:val="bottom"/>
          </w:tcPr>
          <w:p w14:paraId="392CA519" w14:textId="77777777" w:rsidR="00980E5F" w:rsidRDefault="00980E5F">
            <w:pPr>
              <w:rPr>
                <w:rFonts w:ascii="宋体"/>
                <w:vanish/>
              </w:rPr>
            </w:pPr>
          </w:p>
        </w:tc>
      </w:tr>
      <w:tr w:rsidR="00980E5F" w14:paraId="392CA531" w14:textId="77777777">
        <w:trPr>
          <w:hidden/>
        </w:trPr>
        <w:tc>
          <w:tcPr>
            <w:tcW w:w="0" w:type="auto"/>
            <w:gridSpan w:val="3"/>
            <w:shd w:val="clear" w:color="auto" w:fill="auto"/>
            <w:vAlign w:val="bottom"/>
          </w:tcPr>
          <w:p w14:paraId="392CA51B" w14:textId="77777777" w:rsidR="00980E5F" w:rsidRDefault="00980E5F">
            <w:pPr>
              <w:rPr>
                <w:rFonts w:ascii="宋体"/>
                <w:vanish/>
              </w:rPr>
            </w:pPr>
          </w:p>
        </w:tc>
        <w:tc>
          <w:tcPr>
            <w:tcW w:w="0" w:type="auto"/>
            <w:gridSpan w:val="3"/>
            <w:shd w:val="clear" w:color="auto" w:fill="auto"/>
            <w:vAlign w:val="bottom"/>
          </w:tcPr>
          <w:p w14:paraId="392CA51C" w14:textId="77777777" w:rsidR="00980E5F" w:rsidRDefault="00980E5F">
            <w:pPr>
              <w:rPr>
                <w:rFonts w:ascii="宋体"/>
                <w:vanish/>
              </w:rPr>
            </w:pPr>
          </w:p>
        </w:tc>
        <w:tc>
          <w:tcPr>
            <w:tcW w:w="0" w:type="auto"/>
            <w:gridSpan w:val="3"/>
            <w:shd w:val="clear" w:color="auto" w:fill="auto"/>
            <w:vAlign w:val="bottom"/>
          </w:tcPr>
          <w:p w14:paraId="392CA51D" w14:textId="77777777" w:rsidR="00980E5F" w:rsidRDefault="00980E5F">
            <w:pPr>
              <w:rPr>
                <w:rFonts w:ascii="宋体"/>
                <w:vanish/>
              </w:rPr>
            </w:pPr>
          </w:p>
        </w:tc>
        <w:tc>
          <w:tcPr>
            <w:tcW w:w="0" w:type="auto"/>
            <w:gridSpan w:val="3"/>
            <w:shd w:val="clear" w:color="auto" w:fill="auto"/>
            <w:vAlign w:val="bottom"/>
          </w:tcPr>
          <w:p w14:paraId="392CA51E" w14:textId="77777777" w:rsidR="00980E5F" w:rsidRDefault="00980E5F">
            <w:pPr>
              <w:rPr>
                <w:rFonts w:ascii="宋体"/>
                <w:vanish/>
              </w:rPr>
            </w:pPr>
          </w:p>
        </w:tc>
        <w:tc>
          <w:tcPr>
            <w:tcW w:w="0" w:type="auto"/>
            <w:gridSpan w:val="3"/>
            <w:shd w:val="clear" w:color="auto" w:fill="auto"/>
            <w:vAlign w:val="bottom"/>
          </w:tcPr>
          <w:p w14:paraId="392CA51F" w14:textId="77777777" w:rsidR="00980E5F" w:rsidRDefault="00980E5F">
            <w:pPr>
              <w:rPr>
                <w:rFonts w:ascii="宋体"/>
                <w:vanish/>
              </w:rPr>
            </w:pPr>
          </w:p>
        </w:tc>
        <w:tc>
          <w:tcPr>
            <w:tcW w:w="0" w:type="auto"/>
            <w:shd w:val="clear" w:color="auto" w:fill="auto"/>
            <w:vAlign w:val="bottom"/>
          </w:tcPr>
          <w:p w14:paraId="392CA520" w14:textId="77777777" w:rsidR="00980E5F" w:rsidRDefault="00980E5F">
            <w:pPr>
              <w:rPr>
                <w:rFonts w:ascii="宋体"/>
                <w:vanish/>
              </w:rPr>
            </w:pPr>
          </w:p>
        </w:tc>
        <w:tc>
          <w:tcPr>
            <w:tcW w:w="0" w:type="auto"/>
            <w:shd w:val="clear" w:color="auto" w:fill="auto"/>
            <w:vAlign w:val="bottom"/>
          </w:tcPr>
          <w:p w14:paraId="392CA521" w14:textId="77777777" w:rsidR="00980E5F" w:rsidRDefault="00980E5F">
            <w:pPr>
              <w:rPr>
                <w:rFonts w:ascii="宋体"/>
                <w:vanish/>
              </w:rPr>
            </w:pPr>
          </w:p>
        </w:tc>
        <w:tc>
          <w:tcPr>
            <w:tcW w:w="0" w:type="auto"/>
            <w:gridSpan w:val="3"/>
            <w:shd w:val="clear" w:color="auto" w:fill="auto"/>
            <w:vAlign w:val="bottom"/>
          </w:tcPr>
          <w:p w14:paraId="392CA522" w14:textId="77777777" w:rsidR="00980E5F" w:rsidRDefault="00980E5F">
            <w:pPr>
              <w:rPr>
                <w:rFonts w:ascii="宋体"/>
                <w:vanish/>
              </w:rPr>
            </w:pPr>
          </w:p>
        </w:tc>
        <w:tc>
          <w:tcPr>
            <w:tcW w:w="0" w:type="auto"/>
            <w:gridSpan w:val="3"/>
            <w:shd w:val="clear" w:color="auto" w:fill="auto"/>
            <w:vAlign w:val="bottom"/>
          </w:tcPr>
          <w:p w14:paraId="392CA523" w14:textId="77777777" w:rsidR="00980E5F" w:rsidRDefault="00980E5F">
            <w:pPr>
              <w:rPr>
                <w:rFonts w:ascii="宋体"/>
                <w:vanish/>
              </w:rPr>
            </w:pPr>
          </w:p>
        </w:tc>
        <w:tc>
          <w:tcPr>
            <w:tcW w:w="0" w:type="auto"/>
            <w:gridSpan w:val="3"/>
            <w:shd w:val="clear" w:color="auto" w:fill="auto"/>
            <w:vAlign w:val="bottom"/>
          </w:tcPr>
          <w:p w14:paraId="392CA524" w14:textId="77777777" w:rsidR="00980E5F" w:rsidRDefault="00980E5F">
            <w:pPr>
              <w:rPr>
                <w:rFonts w:ascii="宋体"/>
                <w:vanish/>
              </w:rPr>
            </w:pPr>
          </w:p>
        </w:tc>
        <w:tc>
          <w:tcPr>
            <w:tcW w:w="0" w:type="auto"/>
            <w:gridSpan w:val="3"/>
            <w:shd w:val="clear" w:color="auto" w:fill="auto"/>
            <w:vAlign w:val="bottom"/>
          </w:tcPr>
          <w:p w14:paraId="392CA525" w14:textId="77777777" w:rsidR="00980E5F" w:rsidRDefault="00980E5F">
            <w:pPr>
              <w:rPr>
                <w:rFonts w:ascii="宋体"/>
                <w:vanish/>
              </w:rPr>
            </w:pPr>
          </w:p>
        </w:tc>
        <w:tc>
          <w:tcPr>
            <w:tcW w:w="0" w:type="auto"/>
            <w:shd w:val="clear" w:color="auto" w:fill="auto"/>
            <w:vAlign w:val="bottom"/>
          </w:tcPr>
          <w:p w14:paraId="392CA526" w14:textId="77777777" w:rsidR="00980E5F" w:rsidRDefault="00980E5F">
            <w:pPr>
              <w:rPr>
                <w:rFonts w:ascii="宋体"/>
                <w:vanish/>
              </w:rPr>
            </w:pPr>
          </w:p>
        </w:tc>
        <w:tc>
          <w:tcPr>
            <w:tcW w:w="0" w:type="auto"/>
            <w:shd w:val="clear" w:color="auto" w:fill="auto"/>
            <w:vAlign w:val="bottom"/>
          </w:tcPr>
          <w:p w14:paraId="392CA527" w14:textId="77777777" w:rsidR="00980E5F" w:rsidRDefault="00980E5F">
            <w:pPr>
              <w:rPr>
                <w:rFonts w:ascii="宋体"/>
                <w:vanish/>
              </w:rPr>
            </w:pPr>
          </w:p>
        </w:tc>
        <w:tc>
          <w:tcPr>
            <w:tcW w:w="0" w:type="auto"/>
            <w:gridSpan w:val="3"/>
            <w:shd w:val="clear" w:color="auto" w:fill="auto"/>
            <w:vAlign w:val="bottom"/>
          </w:tcPr>
          <w:p w14:paraId="392CA528" w14:textId="77777777" w:rsidR="00980E5F" w:rsidRDefault="00980E5F">
            <w:pPr>
              <w:rPr>
                <w:rFonts w:ascii="宋体"/>
                <w:vanish/>
              </w:rPr>
            </w:pPr>
          </w:p>
        </w:tc>
        <w:tc>
          <w:tcPr>
            <w:tcW w:w="0" w:type="auto"/>
            <w:gridSpan w:val="3"/>
            <w:shd w:val="clear" w:color="auto" w:fill="auto"/>
            <w:vAlign w:val="bottom"/>
          </w:tcPr>
          <w:p w14:paraId="392CA529" w14:textId="77777777" w:rsidR="00980E5F" w:rsidRDefault="00980E5F">
            <w:pPr>
              <w:rPr>
                <w:rFonts w:ascii="宋体"/>
                <w:vanish/>
              </w:rPr>
            </w:pPr>
          </w:p>
        </w:tc>
        <w:tc>
          <w:tcPr>
            <w:tcW w:w="0" w:type="auto"/>
            <w:gridSpan w:val="3"/>
            <w:shd w:val="clear" w:color="auto" w:fill="auto"/>
            <w:vAlign w:val="bottom"/>
          </w:tcPr>
          <w:p w14:paraId="392CA52A" w14:textId="77777777" w:rsidR="00980E5F" w:rsidRDefault="00980E5F">
            <w:pPr>
              <w:rPr>
                <w:rFonts w:ascii="宋体"/>
                <w:vanish/>
              </w:rPr>
            </w:pPr>
          </w:p>
        </w:tc>
        <w:tc>
          <w:tcPr>
            <w:tcW w:w="0" w:type="auto"/>
            <w:gridSpan w:val="3"/>
            <w:shd w:val="clear" w:color="auto" w:fill="auto"/>
            <w:vAlign w:val="bottom"/>
          </w:tcPr>
          <w:p w14:paraId="392CA52B" w14:textId="77777777" w:rsidR="00980E5F" w:rsidRDefault="00980E5F">
            <w:pPr>
              <w:rPr>
                <w:rFonts w:ascii="宋体"/>
                <w:vanish/>
              </w:rPr>
            </w:pPr>
          </w:p>
        </w:tc>
        <w:tc>
          <w:tcPr>
            <w:tcW w:w="0" w:type="auto"/>
            <w:gridSpan w:val="3"/>
            <w:shd w:val="clear" w:color="auto" w:fill="auto"/>
            <w:vAlign w:val="bottom"/>
          </w:tcPr>
          <w:p w14:paraId="392CA52C" w14:textId="77777777" w:rsidR="00980E5F" w:rsidRDefault="00980E5F">
            <w:pPr>
              <w:rPr>
                <w:rFonts w:ascii="宋体"/>
                <w:vanish/>
              </w:rPr>
            </w:pPr>
          </w:p>
        </w:tc>
        <w:tc>
          <w:tcPr>
            <w:tcW w:w="0" w:type="auto"/>
            <w:gridSpan w:val="3"/>
            <w:shd w:val="clear" w:color="auto" w:fill="auto"/>
            <w:vAlign w:val="bottom"/>
          </w:tcPr>
          <w:p w14:paraId="392CA52D" w14:textId="77777777" w:rsidR="00980E5F" w:rsidRDefault="00980E5F">
            <w:pPr>
              <w:rPr>
                <w:rFonts w:ascii="宋体"/>
                <w:vanish/>
              </w:rPr>
            </w:pPr>
          </w:p>
        </w:tc>
        <w:tc>
          <w:tcPr>
            <w:tcW w:w="0" w:type="auto"/>
            <w:gridSpan w:val="3"/>
            <w:shd w:val="clear" w:color="auto" w:fill="auto"/>
            <w:vAlign w:val="bottom"/>
          </w:tcPr>
          <w:p w14:paraId="392CA52E" w14:textId="77777777" w:rsidR="00980E5F" w:rsidRDefault="00980E5F">
            <w:pPr>
              <w:rPr>
                <w:rFonts w:ascii="宋体"/>
                <w:vanish/>
              </w:rPr>
            </w:pPr>
          </w:p>
        </w:tc>
        <w:tc>
          <w:tcPr>
            <w:tcW w:w="0" w:type="auto"/>
            <w:gridSpan w:val="2"/>
            <w:shd w:val="clear" w:color="auto" w:fill="auto"/>
            <w:vAlign w:val="bottom"/>
          </w:tcPr>
          <w:p w14:paraId="392CA52F" w14:textId="77777777" w:rsidR="00980E5F" w:rsidRDefault="00980E5F">
            <w:pPr>
              <w:rPr>
                <w:rFonts w:ascii="宋体"/>
                <w:vanish/>
              </w:rPr>
            </w:pPr>
          </w:p>
        </w:tc>
        <w:tc>
          <w:tcPr>
            <w:tcW w:w="0" w:type="auto"/>
            <w:shd w:val="clear" w:color="auto" w:fill="auto"/>
            <w:vAlign w:val="bottom"/>
          </w:tcPr>
          <w:p w14:paraId="392CA530" w14:textId="77777777" w:rsidR="00980E5F" w:rsidRDefault="00980E5F">
            <w:pPr>
              <w:rPr>
                <w:rFonts w:ascii="宋体"/>
                <w:vanish/>
              </w:rPr>
            </w:pPr>
          </w:p>
        </w:tc>
      </w:tr>
      <w:tr w:rsidR="00980E5F" w14:paraId="392CA548" w14:textId="77777777">
        <w:trPr>
          <w:hidden/>
        </w:trPr>
        <w:tc>
          <w:tcPr>
            <w:tcW w:w="0" w:type="auto"/>
            <w:gridSpan w:val="3"/>
            <w:shd w:val="clear" w:color="auto" w:fill="auto"/>
            <w:vAlign w:val="bottom"/>
          </w:tcPr>
          <w:p w14:paraId="392CA532" w14:textId="77777777" w:rsidR="00980E5F" w:rsidRDefault="00980E5F">
            <w:pPr>
              <w:rPr>
                <w:rFonts w:ascii="宋体"/>
                <w:vanish/>
              </w:rPr>
            </w:pPr>
          </w:p>
        </w:tc>
        <w:tc>
          <w:tcPr>
            <w:tcW w:w="0" w:type="auto"/>
            <w:gridSpan w:val="3"/>
            <w:shd w:val="clear" w:color="auto" w:fill="auto"/>
            <w:vAlign w:val="bottom"/>
          </w:tcPr>
          <w:p w14:paraId="392CA533" w14:textId="77777777" w:rsidR="00980E5F" w:rsidRDefault="00980E5F">
            <w:pPr>
              <w:rPr>
                <w:rFonts w:ascii="宋体"/>
                <w:vanish/>
              </w:rPr>
            </w:pPr>
          </w:p>
        </w:tc>
        <w:tc>
          <w:tcPr>
            <w:tcW w:w="0" w:type="auto"/>
            <w:gridSpan w:val="3"/>
            <w:shd w:val="clear" w:color="auto" w:fill="auto"/>
            <w:vAlign w:val="bottom"/>
          </w:tcPr>
          <w:p w14:paraId="392CA534" w14:textId="77777777" w:rsidR="00980E5F" w:rsidRDefault="00980E5F">
            <w:pPr>
              <w:rPr>
                <w:rFonts w:ascii="宋体"/>
                <w:vanish/>
              </w:rPr>
            </w:pPr>
          </w:p>
        </w:tc>
        <w:tc>
          <w:tcPr>
            <w:tcW w:w="0" w:type="auto"/>
            <w:gridSpan w:val="3"/>
            <w:shd w:val="clear" w:color="auto" w:fill="auto"/>
            <w:vAlign w:val="bottom"/>
          </w:tcPr>
          <w:p w14:paraId="392CA535" w14:textId="77777777" w:rsidR="00980E5F" w:rsidRDefault="00980E5F">
            <w:pPr>
              <w:rPr>
                <w:rFonts w:ascii="宋体"/>
                <w:vanish/>
              </w:rPr>
            </w:pPr>
          </w:p>
        </w:tc>
        <w:tc>
          <w:tcPr>
            <w:tcW w:w="0" w:type="auto"/>
            <w:gridSpan w:val="3"/>
            <w:shd w:val="clear" w:color="auto" w:fill="auto"/>
            <w:vAlign w:val="bottom"/>
          </w:tcPr>
          <w:p w14:paraId="392CA536" w14:textId="77777777" w:rsidR="00980E5F" w:rsidRDefault="00980E5F">
            <w:pPr>
              <w:rPr>
                <w:rFonts w:ascii="宋体"/>
                <w:vanish/>
              </w:rPr>
            </w:pPr>
          </w:p>
        </w:tc>
        <w:tc>
          <w:tcPr>
            <w:tcW w:w="0" w:type="auto"/>
            <w:shd w:val="clear" w:color="auto" w:fill="auto"/>
            <w:vAlign w:val="bottom"/>
          </w:tcPr>
          <w:p w14:paraId="392CA537" w14:textId="77777777" w:rsidR="00980E5F" w:rsidRDefault="00980E5F">
            <w:pPr>
              <w:rPr>
                <w:rFonts w:ascii="宋体"/>
                <w:vanish/>
              </w:rPr>
            </w:pPr>
          </w:p>
        </w:tc>
        <w:tc>
          <w:tcPr>
            <w:tcW w:w="0" w:type="auto"/>
            <w:shd w:val="clear" w:color="auto" w:fill="auto"/>
            <w:vAlign w:val="bottom"/>
          </w:tcPr>
          <w:p w14:paraId="392CA538" w14:textId="77777777" w:rsidR="00980E5F" w:rsidRDefault="00980E5F">
            <w:pPr>
              <w:rPr>
                <w:rFonts w:ascii="宋体"/>
                <w:vanish/>
              </w:rPr>
            </w:pPr>
          </w:p>
        </w:tc>
        <w:tc>
          <w:tcPr>
            <w:tcW w:w="0" w:type="auto"/>
            <w:gridSpan w:val="3"/>
            <w:shd w:val="clear" w:color="auto" w:fill="auto"/>
            <w:vAlign w:val="bottom"/>
          </w:tcPr>
          <w:p w14:paraId="392CA539" w14:textId="77777777" w:rsidR="00980E5F" w:rsidRDefault="00980E5F">
            <w:pPr>
              <w:rPr>
                <w:rFonts w:ascii="宋体"/>
                <w:vanish/>
              </w:rPr>
            </w:pPr>
          </w:p>
        </w:tc>
        <w:tc>
          <w:tcPr>
            <w:tcW w:w="0" w:type="auto"/>
            <w:gridSpan w:val="3"/>
            <w:shd w:val="clear" w:color="auto" w:fill="auto"/>
            <w:vAlign w:val="bottom"/>
          </w:tcPr>
          <w:p w14:paraId="392CA53A" w14:textId="77777777" w:rsidR="00980E5F" w:rsidRDefault="00980E5F">
            <w:pPr>
              <w:rPr>
                <w:rFonts w:ascii="宋体"/>
                <w:vanish/>
              </w:rPr>
            </w:pPr>
          </w:p>
        </w:tc>
        <w:tc>
          <w:tcPr>
            <w:tcW w:w="0" w:type="auto"/>
            <w:gridSpan w:val="3"/>
            <w:shd w:val="clear" w:color="auto" w:fill="auto"/>
            <w:vAlign w:val="bottom"/>
          </w:tcPr>
          <w:p w14:paraId="392CA53B" w14:textId="77777777" w:rsidR="00980E5F" w:rsidRDefault="00980E5F">
            <w:pPr>
              <w:rPr>
                <w:rFonts w:ascii="宋体"/>
                <w:vanish/>
              </w:rPr>
            </w:pPr>
          </w:p>
        </w:tc>
        <w:tc>
          <w:tcPr>
            <w:tcW w:w="0" w:type="auto"/>
            <w:gridSpan w:val="3"/>
            <w:shd w:val="clear" w:color="auto" w:fill="auto"/>
            <w:vAlign w:val="bottom"/>
          </w:tcPr>
          <w:p w14:paraId="392CA53C" w14:textId="77777777" w:rsidR="00980E5F" w:rsidRDefault="00980E5F">
            <w:pPr>
              <w:rPr>
                <w:rFonts w:ascii="宋体"/>
                <w:vanish/>
              </w:rPr>
            </w:pPr>
          </w:p>
        </w:tc>
        <w:tc>
          <w:tcPr>
            <w:tcW w:w="0" w:type="auto"/>
            <w:shd w:val="clear" w:color="auto" w:fill="auto"/>
            <w:vAlign w:val="bottom"/>
          </w:tcPr>
          <w:p w14:paraId="392CA53D" w14:textId="77777777" w:rsidR="00980E5F" w:rsidRDefault="00980E5F">
            <w:pPr>
              <w:rPr>
                <w:rFonts w:ascii="宋体"/>
                <w:vanish/>
              </w:rPr>
            </w:pPr>
          </w:p>
        </w:tc>
        <w:tc>
          <w:tcPr>
            <w:tcW w:w="0" w:type="auto"/>
            <w:shd w:val="clear" w:color="auto" w:fill="auto"/>
            <w:vAlign w:val="bottom"/>
          </w:tcPr>
          <w:p w14:paraId="392CA53E" w14:textId="77777777" w:rsidR="00980E5F" w:rsidRDefault="00980E5F">
            <w:pPr>
              <w:rPr>
                <w:rFonts w:ascii="宋体"/>
                <w:vanish/>
              </w:rPr>
            </w:pPr>
          </w:p>
        </w:tc>
        <w:tc>
          <w:tcPr>
            <w:tcW w:w="0" w:type="auto"/>
            <w:gridSpan w:val="3"/>
            <w:shd w:val="clear" w:color="auto" w:fill="auto"/>
            <w:vAlign w:val="bottom"/>
          </w:tcPr>
          <w:p w14:paraId="392CA53F" w14:textId="77777777" w:rsidR="00980E5F" w:rsidRDefault="00980E5F">
            <w:pPr>
              <w:rPr>
                <w:rFonts w:ascii="宋体"/>
                <w:vanish/>
              </w:rPr>
            </w:pPr>
          </w:p>
        </w:tc>
        <w:tc>
          <w:tcPr>
            <w:tcW w:w="0" w:type="auto"/>
            <w:gridSpan w:val="3"/>
            <w:shd w:val="clear" w:color="auto" w:fill="auto"/>
            <w:vAlign w:val="bottom"/>
          </w:tcPr>
          <w:p w14:paraId="392CA540" w14:textId="77777777" w:rsidR="00980E5F" w:rsidRDefault="00980E5F">
            <w:pPr>
              <w:rPr>
                <w:rFonts w:ascii="宋体"/>
                <w:vanish/>
              </w:rPr>
            </w:pPr>
          </w:p>
        </w:tc>
        <w:tc>
          <w:tcPr>
            <w:tcW w:w="0" w:type="auto"/>
            <w:gridSpan w:val="3"/>
            <w:shd w:val="clear" w:color="auto" w:fill="auto"/>
            <w:vAlign w:val="bottom"/>
          </w:tcPr>
          <w:p w14:paraId="392CA541" w14:textId="77777777" w:rsidR="00980E5F" w:rsidRDefault="00980E5F">
            <w:pPr>
              <w:rPr>
                <w:rFonts w:ascii="宋体"/>
                <w:vanish/>
              </w:rPr>
            </w:pPr>
          </w:p>
        </w:tc>
        <w:tc>
          <w:tcPr>
            <w:tcW w:w="0" w:type="auto"/>
            <w:gridSpan w:val="3"/>
            <w:shd w:val="clear" w:color="auto" w:fill="auto"/>
            <w:vAlign w:val="bottom"/>
          </w:tcPr>
          <w:p w14:paraId="392CA542" w14:textId="77777777" w:rsidR="00980E5F" w:rsidRDefault="00980E5F">
            <w:pPr>
              <w:rPr>
                <w:rFonts w:ascii="宋体"/>
                <w:vanish/>
              </w:rPr>
            </w:pPr>
          </w:p>
        </w:tc>
        <w:tc>
          <w:tcPr>
            <w:tcW w:w="0" w:type="auto"/>
            <w:gridSpan w:val="3"/>
            <w:shd w:val="clear" w:color="auto" w:fill="auto"/>
            <w:vAlign w:val="bottom"/>
          </w:tcPr>
          <w:p w14:paraId="392CA543" w14:textId="77777777" w:rsidR="00980E5F" w:rsidRDefault="00980E5F">
            <w:pPr>
              <w:rPr>
                <w:rFonts w:ascii="宋体"/>
                <w:vanish/>
              </w:rPr>
            </w:pPr>
          </w:p>
        </w:tc>
        <w:tc>
          <w:tcPr>
            <w:tcW w:w="0" w:type="auto"/>
            <w:gridSpan w:val="3"/>
            <w:shd w:val="clear" w:color="auto" w:fill="auto"/>
            <w:vAlign w:val="bottom"/>
          </w:tcPr>
          <w:p w14:paraId="392CA544" w14:textId="77777777" w:rsidR="00980E5F" w:rsidRDefault="00980E5F">
            <w:pPr>
              <w:rPr>
                <w:rFonts w:ascii="宋体"/>
                <w:vanish/>
              </w:rPr>
            </w:pPr>
          </w:p>
        </w:tc>
        <w:tc>
          <w:tcPr>
            <w:tcW w:w="0" w:type="auto"/>
            <w:gridSpan w:val="3"/>
            <w:shd w:val="clear" w:color="auto" w:fill="auto"/>
            <w:vAlign w:val="bottom"/>
          </w:tcPr>
          <w:p w14:paraId="392CA545" w14:textId="77777777" w:rsidR="00980E5F" w:rsidRDefault="00980E5F">
            <w:pPr>
              <w:rPr>
                <w:rFonts w:ascii="宋体"/>
                <w:vanish/>
              </w:rPr>
            </w:pPr>
          </w:p>
        </w:tc>
        <w:tc>
          <w:tcPr>
            <w:tcW w:w="0" w:type="auto"/>
            <w:gridSpan w:val="2"/>
            <w:shd w:val="clear" w:color="auto" w:fill="auto"/>
            <w:vAlign w:val="bottom"/>
          </w:tcPr>
          <w:p w14:paraId="392CA546" w14:textId="77777777" w:rsidR="00980E5F" w:rsidRDefault="00980E5F">
            <w:pPr>
              <w:rPr>
                <w:rFonts w:ascii="宋体"/>
                <w:vanish/>
              </w:rPr>
            </w:pPr>
          </w:p>
        </w:tc>
        <w:tc>
          <w:tcPr>
            <w:tcW w:w="0" w:type="auto"/>
            <w:shd w:val="clear" w:color="auto" w:fill="auto"/>
            <w:vAlign w:val="bottom"/>
          </w:tcPr>
          <w:p w14:paraId="392CA547" w14:textId="77777777" w:rsidR="00980E5F" w:rsidRDefault="00980E5F">
            <w:pPr>
              <w:rPr>
                <w:rFonts w:ascii="宋体"/>
                <w:vanish/>
              </w:rPr>
            </w:pPr>
          </w:p>
        </w:tc>
      </w:tr>
      <w:tr w:rsidR="00980E5F" w14:paraId="392CA566" w14:textId="77777777">
        <w:tc>
          <w:tcPr>
            <w:tcW w:w="0" w:type="auto"/>
            <w:gridSpan w:val="3"/>
            <w:shd w:val="clear" w:color="auto" w:fill="FFFFFF"/>
            <w:tcMar>
              <w:top w:w="40" w:type="dxa"/>
              <w:left w:w="20" w:type="dxa"/>
              <w:bottom w:w="40" w:type="dxa"/>
              <w:right w:w="20" w:type="dxa"/>
            </w:tcMar>
            <w:vAlign w:val="bottom"/>
          </w:tcPr>
          <w:p w14:paraId="392CA549" w14:textId="77777777" w:rsidR="00980E5F" w:rsidRDefault="00483613">
            <w:pPr>
              <w:textAlignment w:val="bottom"/>
            </w:pPr>
            <w:r>
              <w:rPr>
                <w:rFonts w:ascii="Arial" w:eastAsia="宋体" w:hAnsi="Arial" w:cs="Arial"/>
                <w:b/>
                <w:bCs/>
                <w:color w:val="000000"/>
                <w:sz w:val="14"/>
                <w:szCs w:val="14"/>
              </w:rPr>
              <w:t>Total expenses</w:t>
            </w:r>
          </w:p>
        </w:tc>
        <w:tc>
          <w:tcPr>
            <w:tcW w:w="0" w:type="auto"/>
            <w:gridSpan w:val="2"/>
            <w:shd w:val="clear" w:color="auto" w:fill="FFFFFF"/>
            <w:tcMar>
              <w:top w:w="40" w:type="dxa"/>
              <w:left w:w="20" w:type="dxa"/>
              <w:bottom w:w="40" w:type="dxa"/>
              <w:right w:w="0" w:type="dxa"/>
            </w:tcMar>
            <w:vAlign w:val="bottom"/>
          </w:tcPr>
          <w:p w14:paraId="392CA54A" w14:textId="77777777" w:rsidR="00980E5F" w:rsidRDefault="00483613">
            <w:pPr>
              <w:jc w:val="right"/>
              <w:textAlignment w:val="bottom"/>
            </w:pPr>
            <w:r>
              <w:rPr>
                <w:rFonts w:ascii="Arial" w:eastAsia="宋体" w:hAnsi="Arial" w:cs="Arial"/>
                <w:b/>
                <w:bCs/>
                <w:color w:val="000000"/>
                <w:sz w:val="14"/>
                <w:szCs w:val="14"/>
              </w:rPr>
              <w:t>1,767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54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4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54D" w14:textId="77777777" w:rsidR="00980E5F" w:rsidRDefault="00483613">
            <w:pPr>
              <w:jc w:val="right"/>
              <w:textAlignment w:val="bottom"/>
            </w:pPr>
            <w:r>
              <w:rPr>
                <w:rFonts w:ascii="Arial" w:eastAsia="宋体" w:hAnsi="Arial" w:cs="Arial"/>
                <w:color w:val="000000"/>
                <w:sz w:val="14"/>
                <w:szCs w:val="14"/>
              </w:rPr>
              <w:t>1,755 </w:t>
            </w:r>
          </w:p>
        </w:tc>
        <w:tc>
          <w:tcPr>
            <w:tcW w:w="0" w:type="auto"/>
            <w:shd w:val="clear" w:color="auto" w:fill="FFFFFF"/>
            <w:tcMar>
              <w:top w:w="40" w:type="dxa"/>
              <w:left w:w="0" w:type="dxa"/>
              <w:bottom w:w="40" w:type="dxa"/>
              <w:right w:w="20" w:type="dxa"/>
            </w:tcMar>
            <w:vAlign w:val="bottom"/>
          </w:tcPr>
          <w:p w14:paraId="392CA5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4F" w14:textId="77777777" w:rsidR="00980E5F" w:rsidRDefault="00980E5F">
            <w:pPr>
              <w:rPr>
                <w:rFonts w:ascii="宋体"/>
              </w:rPr>
            </w:pPr>
          </w:p>
        </w:tc>
        <w:tc>
          <w:tcPr>
            <w:tcW w:w="0" w:type="auto"/>
            <w:shd w:val="clear" w:color="auto" w:fill="auto"/>
            <w:vAlign w:val="bottom"/>
          </w:tcPr>
          <w:p w14:paraId="392CA550" w14:textId="77777777" w:rsidR="00980E5F" w:rsidRDefault="00980E5F">
            <w:pPr>
              <w:rPr>
                <w:rFonts w:ascii="宋体"/>
                <w:vanish/>
              </w:rPr>
            </w:pPr>
          </w:p>
        </w:tc>
        <w:tc>
          <w:tcPr>
            <w:tcW w:w="0" w:type="auto"/>
            <w:shd w:val="clear" w:color="auto" w:fill="auto"/>
            <w:vAlign w:val="bottom"/>
          </w:tcPr>
          <w:p w14:paraId="392CA55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552" w14:textId="77777777" w:rsidR="00980E5F" w:rsidRDefault="00483613">
            <w:pPr>
              <w:jc w:val="right"/>
              <w:textAlignment w:val="bottom"/>
            </w:pPr>
            <w:r>
              <w:rPr>
                <w:rFonts w:ascii="Arial" w:eastAsia="宋体" w:hAnsi="Arial" w:cs="Arial"/>
                <w:b/>
                <w:bCs/>
                <w:color w:val="000000"/>
                <w:sz w:val="14"/>
                <w:szCs w:val="14"/>
              </w:rPr>
              <w:t>327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55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5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555" w14:textId="77777777" w:rsidR="00980E5F" w:rsidRDefault="00483613">
            <w:pPr>
              <w:jc w:val="right"/>
              <w:textAlignment w:val="bottom"/>
            </w:pPr>
            <w:r>
              <w:rPr>
                <w:rFonts w:ascii="Arial" w:eastAsia="宋体" w:hAnsi="Arial" w:cs="Arial"/>
                <w:color w:val="000000"/>
                <w:sz w:val="14"/>
                <w:szCs w:val="14"/>
              </w:rPr>
              <w:t>346 </w:t>
            </w:r>
          </w:p>
        </w:tc>
        <w:tc>
          <w:tcPr>
            <w:tcW w:w="0" w:type="auto"/>
            <w:shd w:val="clear" w:color="auto" w:fill="FFFFFF"/>
            <w:tcMar>
              <w:top w:w="40" w:type="dxa"/>
              <w:left w:w="0" w:type="dxa"/>
              <w:bottom w:w="40" w:type="dxa"/>
              <w:right w:w="20" w:type="dxa"/>
            </w:tcMar>
            <w:vAlign w:val="bottom"/>
          </w:tcPr>
          <w:p w14:paraId="392CA5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57" w14:textId="77777777" w:rsidR="00980E5F" w:rsidRDefault="00980E5F">
            <w:pPr>
              <w:rPr>
                <w:rFonts w:ascii="宋体"/>
              </w:rPr>
            </w:pPr>
          </w:p>
        </w:tc>
        <w:tc>
          <w:tcPr>
            <w:tcW w:w="0" w:type="auto"/>
            <w:shd w:val="clear" w:color="auto" w:fill="auto"/>
            <w:vAlign w:val="bottom"/>
          </w:tcPr>
          <w:p w14:paraId="392CA558" w14:textId="77777777" w:rsidR="00980E5F" w:rsidRDefault="00980E5F">
            <w:pPr>
              <w:rPr>
                <w:rFonts w:ascii="宋体"/>
                <w:vanish/>
              </w:rPr>
            </w:pPr>
          </w:p>
        </w:tc>
        <w:tc>
          <w:tcPr>
            <w:tcW w:w="0" w:type="auto"/>
            <w:shd w:val="clear" w:color="auto" w:fill="auto"/>
            <w:vAlign w:val="bottom"/>
          </w:tcPr>
          <w:p w14:paraId="392CA55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55A" w14:textId="77777777" w:rsidR="00980E5F" w:rsidRDefault="00483613">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55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5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55D" w14:textId="77777777" w:rsidR="00980E5F" w:rsidRDefault="00483613">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392CA5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55F" w14:textId="77777777" w:rsidR="00980E5F" w:rsidRDefault="00980E5F">
            <w:pPr>
              <w:rPr>
                <w:rFonts w:ascii="宋体"/>
              </w:rPr>
            </w:pPr>
          </w:p>
        </w:tc>
        <w:tc>
          <w:tcPr>
            <w:tcW w:w="0" w:type="auto"/>
            <w:gridSpan w:val="3"/>
            <w:shd w:val="clear" w:color="auto" w:fill="auto"/>
            <w:vAlign w:val="bottom"/>
          </w:tcPr>
          <w:p w14:paraId="392CA560" w14:textId="77777777" w:rsidR="00980E5F" w:rsidRDefault="00980E5F">
            <w:pPr>
              <w:rPr>
                <w:rFonts w:ascii="宋体"/>
                <w:vanish/>
              </w:rPr>
            </w:pPr>
          </w:p>
        </w:tc>
        <w:tc>
          <w:tcPr>
            <w:tcW w:w="0" w:type="auto"/>
            <w:gridSpan w:val="3"/>
            <w:shd w:val="clear" w:color="auto" w:fill="auto"/>
            <w:vAlign w:val="bottom"/>
          </w:tcPr>
          <w:p w14:paraId="392CA56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562" w14:textId="77777777" w:rsidR="00980E5F" w:rsidRDefault="00483613">
            <w:pPr>
              <w:jc w:val="right"/>
              <w:textAlignment w:val="bottom"/>
            </w:pPr>
            <w:r>
              <w:rPr>
                <w:rFonts w:ascii="Arial" w:eastAsia="宋体" w:hAnsi="Arial" w:cs="Arial"/>
                <w:b/>
                <w:bCs/>
                <w:color w:val="000000"/>
                <w:sz w:val="14"/>
                <w:szCs w:val="14"/>
              </w:rPr>
              <w:t>2,108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563"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56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565" w14:textId="77777777" w:rsidR="00980E5F" w:rsidRDefault="00483613">
            <w:pPr>
              <w:jc w:val="right"/>
              <w:textAlignment w:val="bottom"/>
            </w:pPr>
            <w:r>
              <w:rPr>
                <w:rFonts w:ascii="Arial" w:eastAsia="宋体" w:hAnsi="Arial" w:cs="Arial"/>
                <w:color w:val="000000"/>
                <w:sz w:val="14"/>
                <w:szCs w:val="14"/>
              </w:rPr>
              <w:t>2,111 </w:t>
            </w:r>
          </w:p>
        </w:tc>
      </w:tr>
      <w:tr w:rsidR="00980E5F" w14:paraId="392CA58C" w14:textId="77777777">
        <w:tc>
          <w:tcPr>
            <w:tcW w:w="0" w:type="auto"/>
            <w:gridSpan w:val="3"/>
            <w:shd w:val="clear" w:color="auto" w:fill="CCEEFF"/>
            <w:tcMar>
              <w:top w:w="40" w:type="dxa"/>
              <w:left w:w="20" w:type="dxa"/>
              <w:bottom w:w="40" w:type="dxa"/>
              <w:right w:w="20" w:type="dxa"/>
            </w:tcMar>
            <w:vAlign w:val="bottom"/>
          </w:tcPr>
          <w:p w14:paraId="392CA567"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56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69" w14:textId="77777777" w:rsidR="00980E5F" w:rsidRDefault="00483613">
            <w:pPr>
              <w:jc w:val="right"/>
              <w:textAlignment w:val="bottom"/>
            </w:pPr>
            <w:r>
              <w:rPr>
                <w:rFonts w:ascii="Arial" w:eastAsia="宋体" w:hAnsi="Arial" w:cs="Arial"/>
                <w:b/>
                <w:bCs/>
                <w:color w:val="000000"/>
                <w:sz w:val="14"/>
                <w:szCs w:val="14"/>
              </w:rPr>
              <w:t>698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6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6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6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6D" w14:textId="77777777" w:rsidR="00980E5F" w:rsidRDefault="00483613">
            <w:pPr>
              <w:jc w:val="right"/>
              <w:textAlignment w:val="bottom"/>
            </w:pPr>
            <w:r>
              <w:rPr>
                <w:rFonts w:ascii="Arial" w:eastAsia="宋体" w:hAnsi="Arial" w:cs="Arial"/>
                <w:color w:val="000000"/>
                <w:sz w:val="14"/>
                <w:szCs w:val="14"/>
              </w:rPr>
              <w:t>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6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6F" w14:textId="77777777" w:rsidR="00980E5F" w:rsidRDefault="00980E5F">
            <w:pPr>
              <w:rPr>
                <w:rFonts w:ascii="宋体"/>
              </w:rPr>
            </w:pPr>
          </w:p>
        </w:tc>
        <w:tc>
          <w:tcPr>
            <w:tcW w:w="0" w:type="auto"/>
            <w:shd w:val="clear" w:color="auto" w:fill="auto"/>
            <w:vAlign w:val="bottom"/>
          </w:tcPr>
          <w:p w14:paraId="392CA570" w14:textId="77777777" w:rsidR="00980E5F" w:rsidRDefault="00980E5F">
            <w:pPr>
              <w:rPr>
                <w:rFonts w:ascii="宋体"/>
                <w:vanish/>
              </w:rPr>
            </w:pPr>
          </w:p>
        </w:tc>
        <w:tc>
          <w:tcPr>
            <w:tcW w:w="0" w:type="auto"/>
            <w:shd w:val="clear" w:color="auto" w:fill="auto"/>
            <w:vAlign w:val="bottom"/>
          </w:tcPr>
          <w:p w14:paraId="392CA571"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7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73" w14:textId="77777777" w:rsidR="00980E5F" w:rsidRDefault="00483613">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7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7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7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77" w14:textId="77777777" w:rsidR="00980E5F" w:rsidRDefault="00483613">
            <w:pPr>
              <w:jc w:val="right"/>
              <w:textAlignment w:val="bottom"/>
            </w:pPr>
            <w:r>
              <w:rPr>
                <w:rFonts w:ascii="Arial" w:eastAsia="宋体" w:hAnsi="Arial" w:cs="Arial"/>
                <w:color w:val="000000"/>
                <w:sz w:val="14"/>
                <w:szCs w:val="14"/>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79" w14:textId="77777777" w:rsidR="00980E5F" w:rsidRDefault="00980E5F">
            <w:pPr>
              <w:rPr>
                <w:rFonts w:ascii="宋体"/>
              </w:rPr>
            </w:pPr>
          </w:p>
        </w:tc>
        <w:tc>
          <w:tcPr>
            <w:tcW w:w="0" w:type="auto"/>
            <w:shd w:val="clear" w:color="auto" w:fill="auto"/>
            <w:vAlign w:val="bottom"/>
          </w:tcPr>
          <w:p w14:paraId="392CA57A" w14:textId="77777777" w:rsidR="00980E5F" w:rsidRDefault="00980E5F">
            <w:pPr>
              <w:rPr>
                <w:rFonts w:ascii="宋体"/>
                <w:vanish/>
              </w:rPr>
            </w:pPr>
          </w:p>
        </w:tc>
        <w:tc>
          <w:tcPr>
            <w:tcW w:w="0" w:type="auto"/>
            <w:shd w:val="clear" w:color="auto" w:fill="auto"/>
            <w:vAlign w:val="bottom"/>
          </w:tcPr>
          <w:p w14:paraId="392CA57B"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7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7D" w14:textId="77777777" w:rsidR="00980E5F" w:rsidRDefault="00483613">
            <w:pPr>
              <w:jc w:val="right"/>
              <w:textAlignment w:val="bottom"/>
            </w:pPr>
            <w:r>
              <w:rPr>
                <w:rFonts w:ascii="Arial" w:eastAsia="宋体" w:hAnsi="Arial" w:cs="Arial"/>
                <w:b/>
                <w:bCs/>
                <w:color w:val="000000"/>
                <w:sz w:val="14"/>
                <w:szCs w:val="14"/>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7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8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81" w14:textId="77777777" w:rsidR="00980E5F" w:rsidRDefault="00483613">
            <w:pPr>
              <w:jc w:val="right"/>
              <w:textAlignment w:val="bottom"/>
            </w:pPr>
            <w:r>
              <w:rPr>
                <w:rFonts w:ascii="Arial" w:eastAsia="宋体" w:hAnsi="Arial" w:cs="Arial"/>
                <w:color w:val="000000"/>
                <w:sz w:val="14"/>
                <w:szCs w:val="14"/>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583" w14:textId="77777777" w:rsidR="00980E5F" w:rsidRDefault="00980E5F">
            <w:pPr>
              <w:rPr>
                <w:rFonts w:ascii="宋体"/>
              </w:rPr>
            </w:pPr>
          </w:p>
        </w:tc>
        <w:tc>
          <w:tcPr>
            <w:tcW w:w="0" w:type="auto"/>
            <w:gridSpan w:val="3"/>
            <w:shd w:val="clear" w:color="auto" w:fill="auto"/>
            <w:vAlign w:val="bottom"/>
          </w:tcPr>
          <w:p w14:paraId="392CA584" w14:textId="77777777" w:rsidR="00980E5F" w:rsidRDefault="00980E5F">
            <w:pPr>
              <w:rPr>
                <w:rFonts w:ascii="宋体"/>
                <w:vanish/>
              </w:rPr>
            </w:pPr>
          </w:p>
        </w:tc>
        <w:tc>
          <w:tcPr>
            <w:tcW w:w="0" w:type="auto"/>
            <w:gridSpan w:val="3"/>
            <w:shd w:val="clear" w:color="auto" w:fill="auto"/>
            <w:vAlign w:val="bottom"/>
          </w:tcPr>
          <w:p w14:paraId="392CA585"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8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587" w14:textId="77777777" w:rsidR="00980E5F" w:rsidRDefault="00483613">
            <w:pPr>
              <w:jc w:val="right"/>
              <w:textAlignment w:val="bottom"/>
            </w:pPr>
            <w:r>
              <w:rPr>
                <w:rFonts w:ascii="Arial" w:eastAsia="宋体" w:hAnsi="Arial" w:cs="Arial"/>
                <w:b/>
                <w:bCs/>
                <w:color w:val="000000"/>
                <w:sz w:val="14"/>
                <w:szCs w:val="14"/>
              </w:rPr>
              <w:t>835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588"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58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58A" w14:textId="77777777" w:rsidR="00980E5F" w:rsidRDefault="00483613">
            <w:pPr>
              <w:textAlignment w:val="bottom"/>
            </w:pPr>
            <w:r>
              <w:rPr>
                <w:rFonts w:ascii="Arial" w:eastAsia="宋体" w:hAnsi="Arial" w:cs="Arial"/>
                <w:color w:val="000000"/>
                <w:sz w:val="14"/>
                <w:szCs w:val="14"/>
              </w:rPr>
              <w:t>$</w:t>
            </w:r>
          </w:p>
          <w:p w14:paraId="392CA58B" w14:textId="77777777" w:rsidR="00980E5F" w:rsidRDefault="00483613">
            <w:pPr>
              <w:jc w:val="right"/>
              <w:textAlignment w:val="bottom"/>
            </w:pPr>
            <w:r>
              <w:rPr>
                <w:rFonts w:ascii="Arial" w:eastAsia="宋体" w:hAnsi="Arial" w:cs="Arial"/>
                <w:color w:val="000000"/>
                <w:sz w:val="14"/>
                <w:szCs w:val="14"/>
              </w:rPr>
              <w:t>938 </w:t>
            </w:r>
          </w:p>
        </w:tc>
      </w:tr>
      <w:tr w:rsidR="00980E5F" w14:paraId="392CA5A9" w14:textId="77777777">
        <w:tc>
          <w:tcPr>
            <w:tcW w:w="0" w:type="auto"/>
            <w:gridSpan w:val="3"/>
            <w:shd w:val="clear" w:color="auto" w:fill="FFFFFF"/>
            <w:tcMar>
              <w:top w:w="40" w:type="dxa"/>
              <w:left w:w="20" w:type="dxa"/>
              <w:bottom w:w="40" w:type="dxa"/>
              <w:right w:w="20" w:type="dxa"/>
            </w:tcMar>
            <w:vAlign w:val="bottom"/>
          </w:tcPr>
          <w:p w14:paraId="392CA58D" w14:textId="77777777" w:rsidR="00980E5F" w:rsidRDefault="00483613">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A58E" w14:textId="77777777" w:rsidR="00980E5F" w:rsidRDefault="00483613">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58F"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590" w14:textId="77777777" w:rsidR="00980E5F" w:rsidRDefault="00980E5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A591" w14:textId="77777777" w:rsidR="00980E5F" w:rsidRDefault="00483613">
            <w:pPr>
              <w:jc w:val="right"/>
              <w:textAlignment w:val="bottom"/>
            </w:pPr>
            <w:r>
              <w:rPr>
                <w:rFonts w:ascii="Arial" w:eastAsia="宋体" w:hAnsi="Arial" w:cs="Arial"/>
                <w:color w:val="000000"/>
                <w:sz w:val="14"/>
                <w:szCs w:val="14"/>
              </w:rPr>
              <w:t>29 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592"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593" w14:textId="77777777" w:rsidR="00980E5F" w:rsidRDefault="00980E5F">
            <w:pPr>
              <w:rPr>
                <w:rFonts w:ascii="宋体"/>
              </w:rPr>
            </w:pPr>
          </w:p>
        </w:tc>
        <w:tc>
          <w:tcPr>
            <w:tcW w:w="0" w:type="auto"/>
            <w:shd w:val="clear" w:color="auto" w:fill="auto"/>
            <w:vAlign w:val="bottom"/>
          </w:tcPr>
          <w:p w14:paraId="392CA594" w14:textId="77777777" w:rsidR="00980E5F" w:rsidRDefault="00980E5F">
            <w:pPr>
              <w:rPr>
                <w:rFonts w:ascii="宋体"/>
                <w:vanish/>
              </w:rPr>
            </w:pPr>
          </w:p>
        </w:tc>
        <w:tc>
          <w:tcPr>
            <w:tcW w:w="0" w:type="auto"/>
            <w:shd w:val="clear" w:color="auto" w:fill="auto"/>
            <w:vAlign w:val="bottom"/>
          </w:tcPr>
          <w:p w14:paraId="392CA595" w14:textId="77777777" w:rsidR="00980E5F" w:rsidRDefault="00980E5F">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A596" w14:textId="77777777" w:rsidR="00980E5F" w:rsidRDefault="00483613">
            <w:pPr>
              <w:jc w:val="right"/>
              <w:textAlignment w:val="bottom"/>
            </w:pPr>
            <w:r>
              <w:rPr>
                <w:rFonts w:ascii="Arial" w:eastAsia="宋体" w:hAnsi="Arial" w:cs="Arial"/>
                <w:b/>
                <w:bCs/>
                <w:color w:val="000000"/>
                <w:sz w:val="14"/>
                <w:szCs w:val="14"/>
              </w:rPr>
              <w:t>32</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597"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598" w14:textId="77777777" w:rsidR="00980E5F" w:rsidRDefault="00980E5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A599" w14:textId="77777777" w:rsidR="00980E5F" w:rsidRDefault="00483613">
            <w:pPr>
              <w:jc w:val="right"/>
              <w:textAlignment w:val="bottom"/>
            </w:pPr>
            <w:r>
              <w:rPr>
                <w:rFonts w:ascii="Arial" w:eastAsia="宋体" w:hAnsi="Arial" w:cs="Arial"/>
                <w:color w:val="000000"/>
                <w:sz w:val="14"/>
                <w:szCs w:val="14"/>
              </w:rPr>
              <w:t>35 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59A"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59B" w14:textId="77777777" w:rsidR="00980E5F" w:rsidRDefault="00980E5F">
            <w:pPr>
              <w:rPr>
                <w:rFonts w:ascii="宋体"/>
              </w:rPr>
            </w:pPr>
          </w:p>
        </w:tc>
        <w:tc>
          <w:tcPr>
            <w:tcW w:w="0" w:type="auto"/>
            <w:shd w:val="clear" w:color="auto" w:fill="auto"/>
            <w:vAlign w:val="bottom"/>
          </w:tcPr>
          <w:p w14:paraId="392CA59C" w14:textId="77777777" w:rsidR="00980E5F" w:rsidRDefault="00980E5F">
            <w:pPr>
              <w:rPr>
                <w:rFonts w:ascii="宋体"/>
                <w:vanish/>
              </w:rPr>
            </w:pPr>
          </w:p>
        </w:tc>
        <w:tc>
          <w:tcPr>
            <w:tcW w:w="0" w:type="auto"/>
            <w:shd w:val="clear" w:color="auto" w:fill="auto"/>
            <w:vAlign w:val="bottom"/>
          </w:tcPr>
          <w:p w14:paraId="392CA59D"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59E"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59F"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5A0"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5A1" w14:textId="77777777" w:rsidR="00980E5F" w:rsidRDefault="00980E5F">
            <w:pPr>
              <w:rPr>
                <w:rFonts w:ascii="宋体"/>
              </w:rPr>
            </w:pPr>
          </w:p>
        </w:tc>
        <w:tc>
          <w:tcPr>
            <w:tcW w:w="0" w:type="auto"/>
            <w:gridSpan w:val="3"/>
            <w:shd w:val="clear" w:color="auto" w:fill="auto"/>
            <w:vAlign w:val="bottom"/>
          </w:tcPr>
          <w:p w14:paraId="392CA5A2" w14:textId="77777777" w:rsidR="00980E5F" w:rsidRDefault="00980E5F">
            <w:pPr>
              <w:rPr>
                <w:rFonts w:ascii="宋体"/>
                <w:vanish/>
              </w:rPr>
            </w:pPr>
          </w:p>
        </w:tc>
        <w:tc>
          <w:tcPr>
            <w:tcW w:w="0" w:type="auto"/>
            <w:gridSpan w:val="3"/>
            <w:shd w:val="clear" w:color="auto" w:fill="auto"/>
            <w:vAlign w:val="bottom"/>
          </w:tcPr>
          <w:p w14:paraId="392CA5A3" w14:textId="77777777" w:rsidR="00980E5F" w:rsidRDefault="00980E5F">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392CA5A4" w14:textId="77777777" w:rsidR="00980E5F" w:rsidRDefault="00483613">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392CA5A5"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2"/>
            <w:shd w:val="clear" w:color="auto" w:fill="FFFFFF"/>
            <w:tcMar>
              <w:top w:w="0" w:type="dxa"/>
              <w:left w:w="20" w:type="dxa"/>
              <w:bottom w:w="0" w:type="dxa"/>
              <w:right w:w="20" w:type="dxa"/>
            </w:tcMar>
            <w:vAlign w:val="bottom"/>
          </w:tcPr>
          <w:p w14:paraId="392CA5A6" w14:textId="77777777" w:rsidR="00980E5F" w:rsidRDefault="00980E5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392CA5A7" w14:textId="77777777" w:rsidR="00980E5F" w:rsidRDefault="00483613">
            <w:pPr>
              <w:jc w:val="right"/>
              <w:textAlignment w:val="bottom"/>
            </w:pPr>
            <w:r>
              <w:rPr>
                <w:rFonts w:ascii="Arial" w:eastAsia="宋体" w:hAnsi="Arial" w:cs="Arial"/>
                <w:color w:val="000000"/>
                <w:sz w:val="14"/>
                <w:szCs w:val="14"/>
              </w:rPr>
              <w:t>31 </w:t>
            </w:r>
          </w:p>
          <w:p w14:paraId="392CA5A8" w14:textId="77777777" w:rsidR="00980E5F" w:rsidRDefault="00483613">
            <w:pPr>
              <w:jc w:val="right"/>
              <w:textAlignment w:val="bottom"/>
            </w:pPr>
            <w:r>
              <w:rPr>
                <w:rFonts w:ascii="Arial" w:eastAsia="宋体" w:hAnsi="Arial" w:cs="Arial"/>
                <w:color w:val="000000"/>
                <w:sz w:val="14"/>
                <w:szCs w:val="14"/>
              </w:rPr>
              <w:t>%</w:t>
            </w:r>
          </w:p>
        </w:tc>
      </w:tr>
      <w:tr w:rsidR="00980E5F" w14:paraId="392CA5C0" w14:textId="77777777">
        <w:trPr>
          <w:trHeight w:val="60"/>
        </w:trPr>
        <w:tc>
          <w:tcPr>
            <w:tcW w:w="0" w:type="auto"/>
            <w:gridSpan w:val="3"/>
            <w:shd w:val="clear" w:color="auto" w:fill="auto"/>
            <w:tcMar>
              <w:top w:w="0" w:type="dxa"/>
              <w:left w:w="20" w:type="dxa"/>
              <w:bottom w:w="0" w:type="dxa"/>
              <w:right w:w="20" w:type="dxa"/>
            </w:tcMar>
            <w:vAlign w:val="bottom"/>
          </w:tcPr>
          <w:p w14:paraId="392CA5A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5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A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5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AE" w14:textId="77777777" w:rsidR="00980E5F" w:rsidRDefault="00980E5F">
            <w:pPr>
              <w:rPr>
                <w:rFonts w:ascii="宋体"/>
              </w:rPr>
            </w:pPr>
          </w:p>
        </w:tc>
        <w:tc>
          <w:tcPr>
            <w:tcW w:w="0" w:type="auto"/>
            <w:shd w:val="clear" w:color="auto" w:fill="auto"/>
            <w:vAlign w:val="bottom"/>
          </w:tcPr>
          <w:p w14:paraId="392CA5AF" w14:textId="77777777" w:rsidR="00980E5F" w:rsidRDefault="00980E5F">
            <w:pPr>
              <w:rPr>
                <w:rFonts w:ascii="宋体"/>
                <w:vanish/>
              </w:rPr>
            </w:pPr>
          </w:p>
        </w:tc>
        <w:tc>
          <w:tcPr>
            <w:tcW w:w="0" w:type="auto"/>
            <w:shd w:val="clear" w:color="auto" w:fill="auto"/>
            <w:vAlign w:val="bottom"/>
          </w:tcPr>
          <w:p w14:paraId="392CA5B0"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5B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B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5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B4" w14:textId="77777777" w:rsidR="00980E5F" w:rsidRDefault="00980E5F">
            <w:pPr>
              <w:rPr>
                <w:rFonts w:ascii="宋体"/>
              </w:rPr>
            </w:pPr>
          </w:p>
        </w:tc>
        <w:tc>
          <w:tcPr>
            <w:tcW w:w="0" w:type="auto"/>
            <w:shd w:val="clear" w:color="auto" w:fill="auto"/>
            <w:vAlign w:val="bottom"/>
          </w:tcPr>
          <w:p w14:paraId="392CA5B5" w14:textId="77777777" w:rsidR="00980E5F" w:rsidRDefault="00980E5F">
            <w:pPr>
              <w:rPr>
                <w:rFonts w:ascii="宋体"/>
                <w:vanish/>
              </w:rPr>
            </w:pPr>
          </w:p>
        </w:tc>
        <w:tc>
          <w:tcPr>
            <w:tcW w:w="0" w:type="auto"/>
            <w:shd w:val="clear" w:color="auto" w:fill="auto"/>
            <w:vAlign w:val="bottom"/>
          </w:tcPr>
          <w:p w14:paraId="392CA5B6"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A5B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B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B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BA" w14:textId="77777777" w:rsidR="00980E5F" w:rsidRDefault="00980E5F">
            <w:pPr>
              <w:rPr>
                <w:rFonts w:ascii="宋体"/>
              </w:rPr>
            </w:pPr>
          </w:p>
        </w:tc>
        <w:tc>
          <w:tcPr>
            <w:tcW w:w="0" w:type="auto"/>
            <w:gridSpan w:val="3"/>
            <w:shd w:val="clear" w:color="auto" w:fill="auto"/>
            <w:vAlign w:val="bottom"/>
          </w:tcPr>
          <w:p w14:paraId="392CA5BB" w14:textId="77777777" w:rsidR="00980E5F" w:rsidRDefault="00980E5F">
            <w:pPr>
              <w:rPr>
                <w:rFonts w:ascii="宋体"/>
                <w:vanish/>
              </w:rPr>
            </w:pPr>
          </w:p>
        </w:tc>
        <w:tc>
          <w:tcPr>
            <w:tcW w:w="0" w:type="auto"/>
            <w:gridSpan w:val="3"/>
            <w:shd w:val="clear" w:color="auto" w:fill="auto"/>
            <w:vAlign w:val="bottom"/>
          </w:tcPr>
          <w:p w14:paraId="392CA5BC" w14:textId="77777777" w:rsidR="00980E5F" w:rsidRDefault="00980E5F">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5BD"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A5BE" w14:textId="77777777" w:rsidR="00980E5F" w:rsidRDefault="00980E5F">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392CA5BF" w14:textId="77777777" w:rsidR="00980E5F" w:rsidRDefault="00980E5F">
            <w:pPr>
              <w:rPr>
                <w:rFonts w:ascii="宋体"/>
              </w:rPr>
            </w:pPr>
          </w:p>
        </w:tc>
      </w:tr>
      <w:tr w:rsidR="00980E5F" w14:paraId="392CA5D7" w14:textId="77777777">
        <w:trPr>
          <w:hidden/>
        </w:trPr>
        <w:tc>
          <w:tcPr>
            <w:tcW w:w="0" w:type="auto"/>
            <w:gridSpan w:val="3"/>
            <w:shd w:val="clear" w:color="auto" w:fill="auto"/>
            <w:vAlign w:val="bottom"/>
          </w:tcPr>
          <w:p w14:paraId="392CA5C1" w14:textId="77777777" w:rsidR="00980E5F" w:rsidRDefault="00980E5F">
            <w:pPr>
              <w:rPr>
                <w:rFonts w:ascii="宋体"/>
                <w:vanish/>
              </w:rPr>
            </w:pPr>
          </w:p>
        </w:tc>
        <w:tc>
          <w:tcPr>
            <w:tcW w:w="0" w:type="auto"/>
            <w:gridSpan w:val="3"/>
            <w:shd w:val="clear" w:color="auto" w:fill="auto"/>
            <w:vAlign w:val="bottom"/>
          </w:tcPr>
          <w:p w14:paraId="392CA5C2" w14:textId="77777777" w:rsidR="00980E5F" w:rsidRDefault="00980E5F">
            <w:pPr>
              <w:rPr>
                <w:rFonts w:ascii="宋体"/>
                <w:vanish/>
              </w:rPr>
            </w:pPr>
          </w:p>
        </w:tc>
        <w:tc>
          <w:tcPr>
            <w:tcW w:w="0" w:type="auto"/>
            <w:gridSpan w:val="3"/>
            <w:shd w:val="clear" w:color="auto" w:fill="auto"/>
            <w:vAlign w:val="bottom"/>
          </w:tcPr>
          <w:p w14:paraId="392CA5C3" w14:textId="77777777" w:rsidR="00980E5F" w:rsidRDefault="00980E5F">
            <w:pPr>
              <w:rPr>
                <w:rFonts w:ascii="宋体"/>
                <w:vanish/>
              </w:rPr>
            </w:pPr>
          </w:p>
        </w:tc>
        <w:tc>
          <w:tcPr>
            <w:tcW w:w="0" w:type="auto"/>
            <w:gridSpan w:val="3"/>
            <w:shd w:val="clear" w:color="auto" w:fill="auto"/>
            <w:vAlign w:val="bottom"/>
          </w:tcPr>
          <w:p w14:paraId="392CA5C4" w14:textId="77777777" w:rsidR="00980E5F" w:rsidRDefault="00980E5F">
            <w:pPr>
              <w:rPr>
                <w:rFonts w:ascii="宋体"/>
                <w:vanish/>
              </w:rPr>
            </w:pPr>
          </w:p>
        </w:tc>
        <w:tc>
          <w:tcPr>
            <w:tcW w:w="0" w:type="auto"/>
            <w:gridSpan w:val="3"/>
            <w:shd w:val="clear" w:color="auto" w:fill="auto"/>
            <w:vAlign w:val="bottom"/>
          </w:tcPr>
          <w:p w14:paraId="392CA5C5" w14:textId="77777777" w:rsidR="00980E5F" w:rsidRDefault="00980E5F">
            <w:pPr>
              <w:rPr>
                <w:rFonts w:ascii="宋体"/>
                <w:vanish/>
              </w:rPr>
            </w:pPr>
          </w:p>
        </w:tc>
        <w:tc>
          <w:tcPr>
            <w:tcW w:w="0" w:type="auto"/>
            <w:shd w:val="clear" w:color="auto" w:fill="auto"/>
            <w:vAlign w:val="bottom"/>
          </w:tcPr>
          <w:p w14:paraId="392CA5C6" w14:textId="77777777" w:rsidR="00980E5F" w:rsidRDefault="00980E5F">
            <w:pPr>
              <w:rPr>
                <w:rFonts w:ascii="宋体"/>
                <w:vanish/>
              </w:rPr>
            </w:pPr>
          </w:p>
        </w:tc>
        <w:tc>
          <w:tcPr>
            <w:tcW w:w="0" w:type="auto"/>
            <w:shd w:val="clear" w:color="auto" w:fill="auto"/>
            <w:vAlign w:val="bottom"/>
          </w:tcPr>
          <w:p w14:paraId="392CA5C7" w14:textId="77777777" w:rsidR="00980E5F" w:rsidRDefault="00980E5F">
            <w:pPr>
              <w:rPr>
                <w:rFonts w:ascii="宋体"/>
                <w:vanish/>
              </w:rPr>
            </w:pPr>
          </w:p>
        </w:tc>
        <w:tc>
          <w:tcPr>
            <w:tcW w:w="0" w:type="auto"/>
            <w:gridSpan w:val="3"/>
            <w:shd w:val="clear" w:color="auto" w:fill="auto"/>
            <w:vAlign w:val="bottom"/>
          </w:tcPr>
          <w:p w14:paraId="392CA5C8" w14:textId="77777777" w:rsidR="00980E5F" w:rsidRDefault="00980E5F">
            <w:pPr>
              <w:rPr>
                <w:rFonts w:ascii="宋体"/>
                <w:vanish/>
              </w:rPr>
            </w:pPr>
          </w:p>
        </w:tc>
        <w:tc>
          <w:tcPr>
            <w:tcW w:w="0" w:type="auto"/>
            <w:gridSpan w:val="3"/>
            <w:shd w:val="clear" w:color="auto" w:fill="auto"/>
            <w:vAlign w:val="bottom"/>
          </w:tcPr>
          <w:p w14:paraId="392CA5C9" w14:textId="77777777" w:rsidR="00980E5F" w:rsidRDefault="00980E5F">
            <w:pPr>
              <w:rPr>
                <w:rFonts w:ascii="宋体"/>
                <w:vanish/>
              </w:rPr>
            </w:pPr>
          </w:p>
        </w:tc>
        <w:tc>
          <w:tcPr>
            <w:tcW w:w="0" w:type="auto"/>
            <w:gridSpan w:val="3"/>
            <w:shd w:val="clear" w:color="auto" w:fill="auto"/>
            <w:vAlign w:val="bottom"/>
          </w:tcPr>
          <w:p w14:paraId="392CA5CA" w14:textId="77777777" w:rsidR="00980E5F" w:rsidRDefault="00980E5F">
            <w:pPr>
              <w:rPr>
                <w:rFonts w:ascii="宋体"/>
                <w:vanish/>
              </w:rPr>
            </w:pPr>
          </w:p>
        </w:tc>
        <w:tc>
          <w:tcPr>
            <w:tcW w:w="0" w:type="auto"/>
            <w:gridSpan w:val="3"/>
            <w:shd w:val="clear" w:color="auto" w:fill="auto"/>
            <w:vAlign w:val="bottom"/>
          </w:tcPr>
          <w:p w14:paraId="392CA5CB" w14:textId="77777777" w:rsidR="00980E5F" w:rsidRDefault="00980E5F">
            <w:pPr>
              <w:rPr>
                <w:rFonts w:ascii="宋体"/>
                <w:vanish/>
              </w:rPr>
            </w:pPr>
          </w:p>
        </w:tc>
        <w:tc>
          <w:tcPr>
            <w:tcW w:w="0" w:type="auto"/>
            <w:shd w:val="clear" w:color="auto" w:fill="auto"/>
            <w:vAlign w:val="bottom"/>
          </w:tcPr>
          <w:p w14:paraId="392CA5CC" w14:textId="77777777" w:rsidR="00980E5F" w:rsidRDefault="00980E5F">
            <w:pPr>
              <w:rPr>
                <w:rFonts w:ascii="宋体"/>
                <w:vanish/>
              </w:rPr>
            </w:pPr>
          </w:p>
        </w:tc>
        <w:tc>
          <w:tcPr>
            <w:tcW w:w="0" w:type="auto"/>
            <w:shd w:val="clear" w:color="auto" w:fill="auto"/>
            <w:vAlign w:val="bottom"/>
          </w:tcPr>
          <w:p w14:paraId="392CA5CD" w14:textId="77777777" w:rsidR="00980E5F" w:rsidRDefault="00980E5F">
            <w:pPr>
              <w:rPr>
                <w:rFonts w:ascii="宋体"/>
                <w:vanish/>
              </w:rPr>
            </w:pPr>
          </w:p>
        </w:tc>
        <w:tc>
          <w:tcPr>
            <w:tcW w:w="0" w:type="auto"/>
            <w:gridSpan w:val="3"/>
            <w:shd w:val="clear" w:color="auto" w:fill="auto"/>
            <w:vAlign w:val="bottom"/>
          </w:tcPr>
          <w:p w14:paraId="392CA5CE" w14:textId="77777777" w:rsidR="00980E5F" w:rsidRDefault="00980E5F">
            <w:pPr>
              <w:rPr>
                <w:rFonts w:ascii="宋体"/>
                <w:vanish/>
              </w:rPr>
            </w:pPr>
          </w:p>
        </w:tc>
        <w:tc>
          <w:tcPr>
            <w:tcW w:w="0" w:type="auto"/>
            <w:gridSpan w:val="3"/>
            <w:shd w:val="clear" w:color="auto" w:fill="auto"/>
            <w:vAlign w:val="bottom"/>
          </w:tcPr>
          <w:p w14:paraId="392CA5CF" w14:textId="77777777" w:rsidR="00980E5F" w:rsidRDefault="00980E5F">
            <w:pPr>
              <w:rPr>
                <w:rFonts w:ascii="宋体"/>
                <w:vanish/>
              </w:rPr>
            </w:pPr>
          </w:p>
        </w:tc>
        <w:tc>
          <w:tcPr>
            <w:tcW w:w="0" w:type="auto"/>
            <w:gridSpan w:val="3"/>
            <w:shd w:val="clear" w:color="auto" w:fill="auto"/>
            <w:vAlign w:val="bottom"/>
          </w:tcPr>
          <w:p w14:paraId="392CA5D0" w14:textId="77777777" w:rsidR="00980E5F" w:rsidRDefault="00980E5F">
            <w:pPr>
              <w:rPr>
                <w:rFonts w:ascii="宋体"/>
                <w:vanish/>
              </w:rPr>
            </w:pPr>
          </w:p>
        </w:tc>
        <w:tc>
          <w:tcPr>
            <w:tcW w:w="0" w:type="auto"/>
            <w:gridSpan w:val="3"/>
            <w:shd w:val="clear" w:color="auto" w:fill="auto"/>
            <w:vAlign w:val="bottom"/>
          </w:tcPr>
          <w:p w14:paraId="392CA5D1" w14:textId="77777777" w:rsidR="00980E5F" w:rsidRDefault="00980E5F">
            <w:pPr>
              <w:rPr>
                <w:rFonts w:ascii="宋体"/>
                <w:vanish/>
              </w:rPr>
            </w:pPr>
          </w:p>
        </w:tc>
        <w:tc>
          <w:tcPr>
            <w:tcW w:w="0" w:type="auto"/>
            <w:gridSpan w:val="3"/>
            <w:shd w:val="clear" w:color="auto" w:fill="auto"/>
            <w:vAlign w:val="bottom"/>
          </w:tcPr>
          <w:p w14:paraId="392CA5D2" w14:textId="77777777" w:rsidR="00980E5F" w:rsidRDefault="00980E5F">
            <w:pPr>
              <w:rPr>
                <w:rFonts w:ascii="宋体"/>
                <w:vanish/>
              </w:rPr>
            </w:pPr>
          </w:p>
        </w:tc>
        <w:tc>
          <w:tcPr>
            <w:tcW w:w="0" w:type="auto"/>
            <w:gridSpan w:val="3"/>
            <w:shd w:val="clear" w:color="auto" w:fill="auto"/>
            <w:vAlign w:val="bottom"/>
          </w:tcPr>
          <w:p w14:paraId="392CA5D3" w14:textId="77777777" w:rsidR="00980E5F" w:rsidRDefault="00980E5F">
            <w:pPr>
              <w:rPr>
                <w:rFonts w:ascii="宋体"/>
                <w:vanish/>
              </w:rPr>
            </w:pPr>
          </w:p>
        </w:tc>
        <w:tc>
          <w:tcPr>
            <w:tcW w:w="0" w:type="auto"/>
            <w:gridSpan w:val="3"/>
            <w:shd w:val="clear" w:color="auto" w:fill="auto"/>
            <w:vAlign w:val="bottom"/>
          </w:tcPr>
          <w:p w14:paraId="392CA5D4" w14:textId="77777777" w:rsidR="00980E5F" w:rsidRDefault="00980E5F">
            <w:pPr>
              <w:rPr>
                <w:rFonts w:ascii="宋体"/>
                <w:vanish/>
              </w:rPr>
            </w:pPr>
          </w:p>
        </w:tc>
        <w:tc>
          <w:tcPr>
            <w:tcW w:w="0" w:type="auto"/>
            <w:gridSpan w:val="2"/>
            <w:shd w:val="clear" w:color="auto" w:fill="auto"/>
            <w:vAlign w:val="bottom"/>
          </w:tcPr>
          <w:p w14:paraId="392CA5D5" w14:textId="77777777" w:rsidR="00980E5F" w:rsidRDefault="00980E5F">
            <w:pPr>
              <w:rPr>
                <w:rFonts w:ascii="宋体"/>
                <w:vanish/>
              </w:rPr>
            </w:pPr>
          </w:p>
        </w:tc>
        <w:tc>
          <w:tcPr>
            <w:tcW w:w="0" w:type="auto"/>
            <w:shd w:val="clear" w:color="auto" w:fill="auto"/>
            <w:vAlign w:val="bottom"/>
          </w:tcPr>
          <w:p w14:paraId="392CA5D6" w14:textId="77777777" w:rsidR="00980E5F" w:rsidRDefault="00980E5F">
            <w:pPr>
              <w:rPr>
                <w:rFonts w:ascii="宋体"/>
                <w:vanish/>
              </w:rPr>
            </w:pPr>
          </w:p>
        </w:tc>
      </w:tr>
      <w:tr w:rsidR="00980E5F" w14:paraId="392CA5EE" w14:textId="77777777">
        <w:trPr>
          <w:trHeight w:val="100"/>
        </w:trPr>
        <w:tc>
          <w:tcPr>
            <w:tcW w:w="0" w:type="auto"/>
            <w:gridSpan w:val="3"/>
            <w:shd w:val="clear" w:color="auto" w:fill="auto"/>
            <w:tcMar>
              <w:top w:w="0" w:type="dxa"/>
              <w:left w:w="20" w:type="dxa"/>
              <w:bottom w:w="0" w:type="dxa"/>
              <w:right w:w="20" w:type="dxa"/>
            </w:tcMar>
            <w:vAlign w:val="bottom"/>
          </w:tcPr>
          <w:p w14:paraId="392CA5D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D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DC" w14:textId="77777777" w:rsidR="00980E5F" w:rsidRDefault="00980E5F">
            <w:pPr>
              <w:rPr>
                <w:rFonts w:ascii="宋体"/>
              </w:rPr>
            </w:pPr>
          </w:p>
        </w:tc>
        <w:tc>
          <w:tcPr>
            <w:tcW w:w="0" w:type="auto"/>
            <w:shd w:val="clear" w:color="auto" w:fill="auto"/>
            <w:vAlign w:val="bottom"/>
          </w:tcPr>
          <w:p w14:paraId="392CA5DD" w14:textId="77777777" w:rsidR="00980E5F" w:rsidRDefault="00980E5F">
            <w:pPr>
              <w:rPr>
                <w:rFonts w:ascii="宋体"/>
                <w:vanish/>
              </w:rPr>
            </w:pPr>
          </w:p>
        </w:tc>
        <w:tc>
          <w:tcPr>
            <w:tcW w:w="0" w:type="auto"/>
            <w:shd w:val="clear" w:color="auto" w:fill="auto"/>
            <w:vAlign w:val="bottom"/>
          </w:tcPr>
          <w:p w14:paraId="392CA5DE"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A5D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2" w14:textId="77777777" w:rsidR="00980E5F" w:rsidRDefault="00980E5F">
            <w:pPr>
              <w:rPr>
                <w:rFonts w:ascii="宋体"/>
              </w:rPr>
            </w:pPr>
          </w:p>
        </w:tc>
        <w:tc>
          <w:tcPr>
            <w:tcW w:w="0" w:type="auto"/>
            <w:shd w:val="clear" w:color="auto" w:fill="auto"/>
            <w:vAlign w:val="bottom"/>
          </w:tcPr>
          <w:p w14:paraId="392CA5E3" w14:textId="77777777" w:rsidR="00980E5F" w:rsidRDefault="00980E5F">
            <w:pPr>
              <w:rPr>
                <w:rFonts w:ascii="宋体"/>
                <w:vanish/>
              </w:rPr>
            </w:pPr>
          </w:p>
        </w:tc>
        <w:tc>
          <w:tcPr>
            <w:tcW w:w="0" w:type="auto"/>
            <w:shd w:val="clear" w:color="auto" w:fill="auto"/>
            <w:vAlign w:val="bottom"/>
          </w:tcPr>
          <w:p w14:paraId="392CA5E4"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A5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5E8" w14:textId="77777777" w:rsidR="00980E5F" w:rsidRDefault="00980E5F">
            <w:pPr>
              <w:rPr>
                <w:rFonts w:ascii="宋体"/>
              </w:rPr>
            </w:pPr>
          </w:p>
        </w:tc>
        <w:tc>
          <w:tcPr>
            <w:tcW w:w="0" w:type="auto"/>
            <w:gridSpan w:val="3"/>
            <w:shd w:val="clear" w:color="auto" w:fill="auto"/>
            <w:vAlign w:val="bottom"/>
          </w:tcPr>
          <w:p w14:paraId="392CA5E9" w14:textId="77777777" w:rsidR="00980E5F" w:rsidRDefault="00980E5F">
            <w:pPr>
              <w:rPr>
                <w:rFonts w:ascii="宋体"/>
                <w:vanish/>
              </w:rPr>
            </w:pPr>
          </w:p>
        </w:tc>
        <w:tc>
          <w:tcPr>
            <w:tcW w:w="0" w:type="auto"/>
            <w:gridSpan w:val="3"/>
            <w:shd w:val="clear" w:color="auto" w:fill="auto"/>
            <w:vAlign w:val="bottom"/>
          </w:tcPr>
          <w:p w14:paraId="392CA5EA"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A5EB" w14:textId="77777777" w:rsidR="00980E5F" w:rsidRDefault="00980E5F">
            <w:pPr>
              <w:rPr>
                <w:rFonts w:ascii="宋体"/>
              </w:rPr>
            </w:pPr>
          </w:p>
        </w:tc>
        <w:tc>
          <w:tcPr>
            <w:tcW w:w="0" w:type="auto"/>
            <w:gridSpan w:val="2"/>
            <w:shd w:val="clear" w:color="auto" w:fill="auto"/>
            <w:tcMar>
              <w:top w:w="0" w:type="dxa"/>
              <w:left w:w="20" w:type="dxa"/>
              <w:bottom w:w="0" w:type="dxa"/>
              <w:right w:w="20" w:type="dxa"/>
            </w:tcMar>
            <w:vAlign w:val="bottom"/>
          </w:tcPr>
          <w:p w14:paraId="392CA5EC" w14:textId="77777777" w:rsidR="00980E5F" w:rsidRDefault="00980E5F">
            <w:pPr>
              <w:rPr>
                <w:rFonts w:ascii="宋体"/>
              </w:rPr>
            </w:pPr>
          </w:p>
        </w:tc>
        <w:tc>
          <w:tcPr>
            <w:tcW w:w="0" w:type="auto"/>
            <w:shd w:val="clear" w:color="auto" w:fill="auto"/>
            <w:tcMar>
              <w:top w:w="0" w:type="dxa"/>
              <w:left w:w="20" w:type="dxa"/>
              <w:bottom w:w="0" w:type="dxa"/>
              <w:right w:w="20" w:type="dxa"/>
            </w:tcMar>
            <w:vAlign w:val="bottom"/>
          </w:tcPr>
          <w:p w14:paraId="392CA5ED" w14:textId="77777777" w:rsidR="00980E5F" w:rsidRDefault="00980E5F">
            <w:pPr>
              <w:rPr>
                <w:rFonts w:ascii="宋体"/>
              </w:rPr>
            </w:pPr>
          </w:p>
        </w:tc>
      </w:tr>
      <w:tr w:rsidR="00980E5F" w14:paraId="392CA600" w14:textId="77777777">
        <w:tc>
          <w:tcPr>
            <w:tcW w:w="0" w:type="auto"/>
            <w:gridSpan w:val="3"/>
            <w:shd w:val="clear" w:color="auto" w:fill="auto"/>
            <w:tcMar>
              <w:top w:w="0" w:type="dxa"/>
              <w:left w:w="20" w:type="dxa"/>
              <w:bottom w:w="0" w:type="dxa"/>
              <w:right w:w="20" w:type="dxa"/>
            </w:tcMar>
            <w:vAlign w:val="bottom"/>
          </w:tcPr>
          <w:p w14:paraId="392CA5EF" w14:textId="77777777" w:rsidR="00980E5F" w:rsidRDefault="00980E5F">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392CA5F0" w14:textId="77777777" w:rsidR="00980E5F" w:rsidRDefault="00483613">
            <w:pPr>
              <w:jc w:val="center"/>
              <w:textAlignment w:val="bottom"/>
            </w:pPr>
            <w:r>
              <w:rPr>
                <w:rFonts w:ascii="Arial" w:eastAsia="宋体" w:hAnsi="Arial" w:cs="Arial"/>
                <w:b/>
                <w:bCs/>
                <w:color w:val="000000"/>
                <w:sz w:val="14"/>
                <w:szCs w:val="14"/>
              </w:rPr>
              <w:t>Six Months Ended June 30,</w:t>
            </w:r>
          </w:p>
        </w:tc>
        <w:tc>
          <w:tcPr>
            <w:tcW w:w="0" w:type="auto"/>
            <w:shd w:val="clear" w:color="auto" w:fill="auto"/>
            <w:vAlign w:val="bottom"/>
          </w:tcPr>
          <w:p w14:paraId="392CA5F1" w14:textId="77777777" w:rsidR="00980E5F" w:rsidRDefault="00980E5F">
            <w:pPr>
              <w:rPr>
                <w:rFonts w:ascii="宋体"/>
              </w:rPr>
            </w:pPr>
          </w:p>
        </w:tc>
        <w:tc>
          <w:tcPr>
            <w:tcW w:w="0" w:type="auto"/>
            <w:shd w:val="clear" w:color="auto" w:fill="auto"/>
            <w:vAlign w:val="bottom"/>
          </w:tcPr>
          <w:p w14:paraId="392CA5F2" w14:textId="77777777" w:rsidR="00980E5F" w:rsidRDefault="00980E5F">
            <w:pPr>
              <w:rPr>
                <w:rFonts w:ascii="宋体"/>
              </w:rPr>
            </w:pPr>
          </w:p>
        </w:tc>
        <w:tc>
          <w:tcPr>
            <w:tcW w:w="0" w:type="auto"/>
            <w:shd w:val="clear" w:color="auto" w:fill="auto"/>
            <w:vAlign w:val="bottom"/>
          </w:tcPr>
          <w:p w14:paraId="392CA5F3" w14:textId="77777777" w:rsidR="00980E5F" w:rsidRDefault="00980E5F">
            <w:pPr>
              <w:rPr>
                <w:rFonts w:ascii="宋体"/>
              </w:rPr>
            </w:pPr>
          </w:p>
        </w:tc>
        <w:tc>
          <w:tcPr>
            <w:tcW w:w="0" w:type="auto"/>
            <w:shd w:val="clear" w:color="auto" w:fill="auto"/>
            <w:vAlign w:val="bottom"/>
          </w:tcPr>
          <w:p w14:paraId="392CA5F4" w14:textId="77777777" w:rsidR="00980E5F" w:rsidRDefault="00980E5F">
            <w:pPr>
              <w:rPr>
                <w:rFonts w:ascii="宋体"/>
              </w:rPr>
            </w:pPr>
          </w:p>
        </w:tc>
        <w:tc>
          <w:tcPr>
            <w:tcW w:w="0" w:type="auto"/>
            <w:shd w:val="clear" w:color="auto" w:fill="auto"/>
            <w:vAlign w:val="bottom"/>
          </w:tcPr>
          <w:p w14:paraId="392CA5F5" w14:textId="77777777" w:rsidR="00980E5F" w:rsidRDefault="00980E5F">
            <w:pPr>
              <w:rPr>
                <w:rFonts w:ascii="宋体"/>
              </w:rPr>
            </w:pPr>
          </w:p>
        </w:tc>
        <w:tc>
          <w:tcPr>
            <w:tcW w:w="0" w:type="auto"/>
            <w:shd w:val="clear" w:color="auto" w:fill="auto"/>
            <w:vAlign w:val="bottom"/>
          </w:tcPr>
          <w:p w14:paraId="392CA5F6" w14:textId="77777777" w:rsidR="00980E5F" w:rsidRDefault="00980E5F">
            <w:pPr>
              <w:rPr>
                <w:rFonts w:ascii="宋体"/>
              </w:rPr>
            </w:pPr>
          </w:p>
        </w:tc>
        <w:tc>
          <w:tcPr>
            <w:tcW w:w="0" w:type="auto"/>
            <w:shd w:val="clear" w:color="auto" w:fill="auto"/>
            <w:vAlign w:val="bottom"/>
          </w:tcPr>
          <w:p w14:paraId="392CA5F7" w14:textId="77777777" w:rsidR="00980E5F" w:rsidRDefault="00980E5F">
            <w:pPr>
              <w:rPr>
                <w:rFonts w:ascii="宋体"/>
              </w:rPr>
            </w:pPr>
          </w:p>
        </w:tc>
        <w:tc>
          <w:tcPr>
            <w:tcW w:w="0" w:type="auto"/>
            <w:shd w:val="clear" w:color="auto" w:fill="auto"/>
            <w:vAlign w:val="bottom"/>
          </w:tcPr>
          <w:p w14:paraId="392CA5F8" w14:textId="77777777" w:rsidR="00980E5F" w:rsidRDefault="00980E5F">
            <w:pPr>
              <w:rPr>
                <w:rFonts w:ascii="宋体"/>
              </w:rPr>
            </w:pPr>
          </w:p>
        </w:tc>
        <w:tc>
          <w:tcPr>
            <w:tcW w:w="0" w:type="auto"/>
            <w:shd w:val="clear" w:color="auto" w:fill="auto"/>
            <w:vAlign w:val="bottom"/>
          </w:tcPr>
          <w:p w14:paraId="392CA5F9" w14:textId="77777777" w:rsidR="00980E5F" w:rsidRDefault="00980E5F">
            <w:pPr>
              <w:rPr>
                <w:rFonts w:ascii="宋体"/>
              </w:rPr>
            </w:pPr>
          </w:p>
        </w:tc>
        <w:tc>
          <w:tcPr>
            <w:tcW w:w="0" w:type="auto"/>
            <w:shd w:val="clear" w:color="auto" w:fill="auto"/>
            <w:vAlign w:val="bottom"/>
          </w:tcPr>
          <w:p w14:paraId="392CA5FA" w14:textId="77777777" w:rsidR="00980E5F" w:rsidRDefault="00980E5F">
            <w:pPr>
              <w:rPr>
                <w:rFonts w:ascii="宋体"/>
              </w:rPr>
            </w:pPr>
          </w:p>
        </w:tc>
        <w:tc>
          <w:tcPr>
            <w:tcW w:w="0" w:type="auto"/>
            <w:shd w:val="clear" w:color="auto" w:fill="auto"/>
            <w:vAlign w:val="bottom"/>
          </w:tcPr>
          <w:p w14:paraId="392CA5FB" w14:textId="77777777" w:rsidR="00980E5F" w:rsidRDefault="00980E5F">
            <w:pPr>
              <w:rPr>
                <w:rFonts w:ascii="宋体"/>
              </w:rPr>
            </w:pPr>
          </w:p>
        </w:tc>
        <w:tc>
          <w:tcPr>
            <w:tcW w:w="0" w:type="auto"/>
            <w:shd w:val="clear" w:color="auto" w:fill="auto"/>
            <w:vAlign w:val="bottom"/>
          </w:tcPr>
          <w:p w14:paraId="392CA5FC" w14:textId="77777777" w:rsidR="00980E5F" w:rsidRDefault="00980E5F">
            <w:pPr>
              <w:rPr>
                <w:rFonts w:ascii="宋体"/>
              </w:rPr>
            </w:pPr>
          </w:p>
        </w:tc>
        <w:tc>
          <w:tcPr>
            <w:tcW w:w="0" w:type="auto"/>
            <w:shd w:val="clear" w:color="auto" w:fill="auto"/>
            <w:vAlign w:val="bottom"/>
          </w:tcPr>
          <w:p w14:paraId="392CA5FD" w14:textId="77777777" w:rsidR="00980E5F" w:rsidRDefault="00980E5F">
            <w:pPr>
              <w:rPr>
                <w:rFonts w:ascii="宋体"/>
              </w:rPr>
            </w:pPr>
          </w:p>
        </w:tc>
        <w:tc>
          <w:tcPr>
            <w:tcW w:w="0" w:type="auto"/>
            <w:shd w:val="clear" w:color="auto" w:fill="auto"/>
            <w:vAlign w:val="bottom"/>
          </w:tcPr>
          <w:p w14:paraId="392CA5FE" w14:textId="77777777" w:rsidR="00980E5F" w:rsidRDefault="00980E5F">
            <w:pPr>
              <w:rPr>
                <w:rFonts w:ascii="宋体"/>
              </w:rPr>
            </w:pPr>
          </w:p>
        </w:tc>
        <w:tc>
          <w:tcPr>
            <w:tcW w:w="0" w:type="auto"/>
            <w:shd w:val="clear" w:color="auto" w:fill="auto"/>
            <w:vAlign w:val="bottom"/>
          </w:tcPr>
          <w:p w14:paraId="392CA5FF" w14:textId="77777777" w:rsidR="00980E5F" w:rsidRDefault="00980E5F">
            <w:pPr>
              <w:rPr>
                <w:rFonts w:ascii="宋体"/>
              </w:rPr>
            </w:pPr>
          </w:p>
        </w:tc>
      </w:tr>
      <w:tr w:rsidR="00980E5F" w14:paraId="392CA60F" w14:textId="77777777">
        <w:tc>
          <w:tcPr>
            <w:tcW w:w="0" w:type="auto"/>
            <w:gridSpan w:val="3"/>
            <w:shd w:val="clear" w:color="auto" w:fill="auto"/>
            <w:tcMar>
              <w:top w:w="0" w:type="dxa"/>
              <w:left w:w="20" w:type="dxa"/>
              <w:bottom w:w="0" w:type="dxa"/>
              <w:right w:w="20" w:type="dxa"/>
            </w:tcMar>
            <w:vAlign w:val="bottom"/>
          </w:tcPr>
          <w:p w14:paraId="392CA601" w14:textId="77777777" w:rsidR="00980E5F" w:rsidRDefault="00980E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602" w14:textId="77777777" w:rsidR="00980E5F" w:rsidRDefault="00483613">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603" w14:textId="77777777" w:rsidR="00980E5F" w:rsidRDefault="00980E5F">
            <w:pPr>
              <w:rPr>
                <w:rFonts w:ascii="宋体"/>
              </w:rPr>
            </w:pPr>
          </w:p>
        </w:tc>
        <w:tc>
          <w:tcPr>
            <w:tcW w:w="0" w:type="auto"/>
            <w:shd w:val="clear" w:color="auto" w:fill="auto"/>
            <w:vAlign w:val="bottom"/>
          </w:tcPr>
          <w:p w14:paraId="392CA604" w14:textId="77777777" w:rsidR="00980E5F" w:rsidRDefault="00980E5F">
            <w:pPr>
              <w:rPr>
                <w:rFonts w:ascii="宋体"/>
                <w:vanish/>
              </w:rPr>
            </w:pPr>
          </w:p>
        </w:tc>
        <w:tc>
          <w:tcPr>
            <w:tcW w:w="0" w:type="auto"/>
            <w:shd w:val="clear" w:color="auto" w:fill="auto"/>
            <w:vAlign w:val="bottom"/>
          </w:tcPr>
          <w:p w14:paraId="392CA605" w14:textId="77777777" w:rsidR="00980E5F" w:rsidRDefault="00980E5F">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606" w14:textId="77777777" w:rsidR="00980E5F" w:rsidRDefault="00483613">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607" w14:textId="77777777" w:rsidR="00980E5F" w:rsidRDefault="00980E5F">
            <w:pPr>
              <w:rPr>
                <w:rFonts w:ascii="宋体"/>
              </w:rPr>
            </w:pPr>
          </w:p>
        </w:tc>
        <w:tc>
          <w:tcPr>
            <w:tcW w:w="0" w:type="auto"/>
            <w:shd w:val="clear" w:color="auto" w:fill="auto"/>
            <w:vAlign w:val="bottom"/>
          </w:tcPr>
          <w:p w14:paraId="392CA608" w14:textId="77777777" w:rsidR="00980E5F" w:rsidRDefault="00980E5F">
            <w:pPr>
              <w:rPr>
                <w:rFonts w:ascii="宋体"/>
                <w:vanish/>
              </w:rPr>
            </w:pPr>
          </w:p>
        </w:tc>
        <w:tc>
          <w:tcPr>
            <w:tcW w:w="0" w:type="auto"/>
            <w:shd w:val="clear" w:color="auto" w:fill="auto"/>
            <w:vAlign w:val="bottom"/>
          </w:tcPr>
          <w:p w14:paraId="392CA609" w14:textId="77777777" w:rsidR="00980E5F" w:rsidRDefault="00980E5F">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92CA60A"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60B" w14:textId="77777777" w:rsidR="00980E5F" w:rsidRDefault="00980E5F">
            <w:pPr>
              <w:rPr>
                <w:rFonts w:ascii="宋体"/>
              </w:rPr>
            </w:pPr>
          </w:p>
        </w:tc>
        <w:tc>
          <w:tcPr>
            <w:tcW w:w="0" w:type="auto"/>
            <w:gridSpan w:val="3"/>
            <w:shd w:val="clear" w:color="auto" w:fill="auto"/>
            <w:vAlign w:val="bottom"/>
          </w:tcPr>
          <w:p w14:paraId="392CA60C" w14:textId="77777777" w:rsidR="00980E5F" w:rsidRDefault="00980E5F">
            <w:pPr>
              <w:rPr>
                <w:rFonts w:ascii="宋体"/>
                <w:vanish/>
              </w:rPr>
            </w:pPr>
          </w:p>
        </w:tc>
        <w:tc>
          <w:tcPr>
            <w:tcW w:w="0" w:type="auto"/>
            <w:gridSpan w:val="3"/>
            <w:shd w:val="clear" w:color="auto" w:fill="auto"/>
            <w:vAlign w:val="bottom"/>
          </w:tcPr>
          <w:p w14:paraId="392CA60D" w14:textId="77777777" w:rsidR="00980E5F" w:rsidRDefault="00980E5F">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392CA60E"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626" w14:textId="77777777">
        <w:tc>
          <w:tcPr>
            <w:tcW w:w="0" w:type="auto"/>
            <w:gridSpan w:val="3"/>
            <w:shd w:val="clear" w:color="auto" w:fill="FFFFFF"/>
            <w:tcMar>
              <w:top w:w="40" w:type="dxa"/>
              <w:left w:w="20" w:type="dxa"/>
              <w:bottom w:w="40" w:type="dxa"/>
              <w:right w:w="20" w:type="dxa"/>
            </w:tcMar>
            <w:vAlign w:val="bottom"/>
          </w:tcPr>
          <w:p w14:paraId="392CA610"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1"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612"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3"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392CA614" w14:textId="77777777" w:rsidR="00980E5F" w:rsidRDefault="00980E5F">
            <w:pPr>
              <w:rPr>
                <w:rFonts w:ascii="宋体"/>
              </w:rPr>
            </w:pPr>
          </w:p>
        </w:tc>
        <w:tc>
          <w:tcPr>
            <w:tcW w:w="0" w:type="auto"/>
            <w:shd w:val="clear" w:color="auto" w:fill="auto"/>
            <w:vAlign w:val="bottom"/>
          </w:tcPr>
          <w:p w14:paraId="392CA615" w14:textId="77777777" w:rsidR="00980E5F" w:rsidRDefault="00980E5F">
            <w:pPr>
              <w:rPr>
                <w:rFonts w:ascii="宋体"/>
                <w:vanish/>
              </w:rPr>
            </w:pPr>
          </w:p>
        </w:tc>
        <w:tc>
          <w:tcPr>
            <w:tcW w:w="0" w:type="auto"/>
            <w:shd w:val="clear" w:color="auto" w:fill="auto"/>
            <w:vAlign w:val="bottom"/>
          </w:tcPr>
          <w:p w14:paraId="392CA616" w14:textId="77777777" w:rsidR="00980E5F" w:rsidRDefault="00980E5F">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7"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618"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9"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392CA61A" w14:textId="77777777" w:rsidR="00980E5F" w:rsidRDefault="00980E5F">
            <w:pPr>
              <w:rPr>
                <w:rFonts w:ascii="宋体"/>
              </w:rPr>
            </w:pPr>
          </w:p>
        </w:tc>
        <w:tc>
          <w:tcPr>
            <w:tcW w:w="0" w:type="auto"/>
            <w:shd w:val="clear" w:color="auto" w:fill="auto"/>
            <w:vAlign w:val="bottom"/>
          </w:tcPr>
          <w:p w14:paraId="392CA61B" w14:textId="77777777" w:rsidR="00980E5F" w:rsidRDefault="00980E5F">
            <w:pPr>
              <w:rPr>
                <w:rFonts w:ascii="宋体"/>
                <w:vanish/>
              </w:rPr>
            </w:pPr>
          </w:p>
        </w:tc>
        <w:tc>
          <w:tcPr>
            <w:tcW w:w="0" w:type="auto"/>
            <w:shd w:val="clear" w:color="auto" w:fill="auto"/>
            <w:vAlign w:val="bottom"/>
          </w:tcPr>
          <w:p w14:paraId="392CA61C" w14:textId="77777777" w:rsidR="00980E5F" w:rsidRDefault="00980E5F">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D"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61E"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1F" w14:textId="77777777" w:rsidR="00980E5F" w:rsidRDefault="00483613">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392CA620" w14:textId="77777777" w:rsidR="00980E5F" w:rsidRDefault="00980E5F">
            <w:pPr>
              <w:rPr>
                <w:rFonts w:ascii="宋体"/>
              </w:rPr>
            </w:pPr>
          </w:p>
        </w:tc>
        <w:tc>
          <w:tcPr>
            <w:tcW w:w="0" w:type="auto"/>
            <w:gridSpan w:val="3"/>
            <w:shd w:val="clear" w:color="auto" w:fill="auto"/>
            <w:vAlign w:val="bottom"/>
          </w:tcPr>
          <w:p w14:paraId="392CA621" w14:textId="77777777" w:rsidR="00980E5F" w:rsidRDefault="00980E5F">
            <w:pPr>
              <w:rPr>
                <w:rFonts w:ascii="宋体"/>
                <w:vanish/>
              </w:rPr>
            </w:pPr>
          </w:p>
        </w:tc>
        <w:tc>
          <w:tcPr>
            <w:tcW w:w="0" w:type="auto"/>
            <w:gridSpan w:val="3"/>
            <w:shd w:val="clear" w:color="auto" w:fill="auto"/>
            <w:vAlign w:val="bottom"/>
          </w:tcPr>
          <w:p w14:paraId="392CA622" w14:textId="77777777" w:rsidR="00980E5F" w:rsidRDefault="00980E5F">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623" w14:textId="77777777" w:rsidR="00980E5F" w:rsidRDefault="00483613">
            <w:pPr>
              <w:jc w:val="center"/>
              <w:textAlignment w:val="bottom"/>
            </w:pPr>
            <w:r>
              <w:rPr>
                <w:rFonts w:ascii="Arial" w:eastAsia="宋体" w:hAnsi="Arial" w:cs="Arial"/>
                <w:b/>
                <w:bCs/>
                <w:color w:val="000000"/>
                <w:sz w:val="13"/>
                <w:szCs w:val="13"/>
              </w:rPr>
              <w:t>2022</w:t>
            </w:r>
          </w:p>
        </w:tc>
        <w:tc>
          <w:tcPr>
            <w:tcW w:w="0" w:type="auto"/>
            <w:gridSpan w:val="2"/>
            <w:tcBorders>
              <w:top w:val="single" w:sz="8" w:space="0" w:color="000000"/>
            </w:tcBorders>
            <w:shd w:val="clear" w:color="auto" w:fill="FFFFFF"/>
            <w:tcMar>
              <w:top w:w="0" w:type="dxa"/>
              <w:left w:w="20" w:type="dxa"/>
              <w:bottom w:w="0" w:type="dxa"/>
              <w:right w:w="20" w:type="dxa"/>
            </w:tcMar>
            <w:vAlign w:val="bottom"/>
          </w:tcPr>
          <w:p w14:paraId="392CA624"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392CA625" w14:textId="77777777" w:rsidR="00980E5F" w:rsidRDefault="00483613">
            <w:pPr>
              <w:jc w:val="center"/>
              <w:textAlignment w:val="bottom"/>
            </w:pPr>
            <w:r>
              <w:rPr>
                <w:rFonts w:ascii="Arial" w:eastAsia="宋体" w:hAnsi="Arial" w:cs="Arial"/>
                <w:b/>
                <w:bCs/>
                <w:color w:val="000000"/>
                <w:sz w:val="13"/>
                <w:szCs w:val="13"/>
              </w:rPr>
              <w:t>2021</w:t>
            </w:r>
          </w:p>
        </w:tc>
      </w:tr>
      <w:tr w:rsidR="00980E5F" w14:paraId="392CA64C" w14:textId="77777777">
        <w:tc>
          <w:tcPr>
            <w:tcW w:w="0" w:type="auto"/>
            <w:gridSpan w:val="3"/>
            <w:shd w:val="clear" w:color="auto" w:fill="CCEEFF"/>
            <w:tcMar>
              <w:top w:w="40" w:type="dxa"/>
              <w:left w:w="20" w:type="dxa"/>
              <w:bottom w:w="40" w:type="dxa"/>
              <w:right w:w="20" w:type="dxa"/>
            </w:tcMar>
            <w:vAlign w:val="bottom"/>
          </w:tcPr>
          <w:p w14:paraId="392CA627"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62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29"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2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2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2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2D" w14:textId="77777777" w:rsidR="00980E5F" w:rsidRDefault="00483613">
            <w:pPr>
              <w:jc w:val="right"/>
              <w:textAlignment w:val="bottom"/>
            </w:pPr>
            <w:r>
              <w:rPr>
                <w:rFonts w:ascii="Arial" w:eastAsia="宋体" w:hAnsi="Arial" w:cs="Arial"/>
                <w:color w:val="000000"/>
                <w:sz w:val="14"/>
                <w:szCs w:val="14"/>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2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2F" w14:textId="77777777" w:rsidR="00980E5F" w:rsidRDefault="00980E5F">
            <w:pPr>
              <w:rPr>
                <w:rFonts w:ascii="宋体"/>
              </w:rPr>
            </w:pPr>
          </w:p>
        </w:tc>
        <w:tc>
          <w:tcPr>
            <w:tcW w:w="0" w:type="auto"/>
            <w:shd w:val="clear" w:color="auto" w:fill="auto"/>
            <w:vAlign w:val="bottom"/>
          </w:tcPr>
          <w:p w14:paraId="392CA630" w14:textId="77777777" w:rsidR="00980E5F" w:rsidRDefault="00980E5F">
            <w:pPr>
              <w:rPr>
                <w:rFonts w:ascii="宋体"/>
                <w:vanish/>
              </w:rPr>
            </w:pPr>
          </w:p>
        </w:tc>
        <w:tc>
          <w:tcPr>
            <w:tcW w:w="0" w:type="auto"/>
            <w:shd w:val="clear" w:color="auto" w:fill="auto"/>
            <w:vAlign w:val="bottom"/>
          </w:tcPr>
          <w:p w14:paraId="392CA631"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32"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3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3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35"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36"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37"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3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39" w14:textId="77777777" w:rsidR="00980E5F" w:rsidRDefault="00980E5F">
            <w:pPr>
              <w:rPr>
                <w:rFonts w:ascii="宋体"/>
              </w:rPr>
            </w:pPr>
          </w:p>
        </w:tc>
        <w:tc>
          <w:tcPr>
            <w:tcW w:w="0" w:type="auto"/>
            <w:shd w:val="clear" w:color="auto" w:fill="auto"/>
            <w:vAlign w:val="bottom"/>
          </w:tcPr>
          <w:p w14:paraId="392CA63A" w14:textId="77777777" w:rsidR="00980E5F" w:rsidRDefault="00980E5F">
            <w:pPr>
              <w:rPr>
                <w:rFonts w:ascii="宋体"/>
                <w:vanish/>
              </w:rPr>
            </w:pPr>
          </w:p>
        </w:tc>
        <w:tc>
          <w:tcPr>
            <w:tcW w:w="0" w:type="auto"/>
            <w:shd w:val="clear" w:color="auto" w:fill="auto"/>
            <w:vAlign w:val="bottom"/>
          </w:tcPr>
          <w:p w14:paraId="392CA63B"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3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3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3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4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41"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43" w14:textId="77777777" w:rsidR="00980E5F" w:rsidRDefault="00980E5F">
            <w:pPr>
              <w:rPr>
                <w:rFonts w:ascii="宋体"/>
              </w:rPr>
            </w:pPr>
          </w:p>
        </w:tc>
        <w:tc>
          <w:tcPr>
            <w:tcW w:w="0" w:type="auto"/>
            <w:gridSpan w:val="3"/>
            <w:shd w:val="clear" w:color="auto" w:fill="auto"/>
            <w:vAlign w:val="bottom"/>
          </w:tcPr>
          <w:p w14:paraId="392CA644" w14:textId="77777777" w:rsidR="00980E5F" w:rsidRDefault="00980E5F">
            <w:pPr>
              <w:rPr>
                <w:rFonts w:ascii="宋体"/>
                <w:vanish/>
              </w:rPr>
            </w:pPr>
          </w:p>
        </w:tc>
        <w:tc>
          <w:tcPr>
            <w:tcW w:w="0" w:type="auto"/>
            <w:gridSpan w:val="3"/>
            <w:shd w:val="clear" w:color="auto" w:fill="auto"/>
            <w:vAlign w:val="bottom"/>
          </w:tcPr>
          <w:p w14:paraId="392CA645"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46"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647"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48"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649"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4A" w14:textId="77777777" w:rsidR="00980E5F" w:rsidRDefault="00483613">
            <w:pPr>
              <w:textAlignment w:val="bottom"/>
            </w:pPr>
            <w:r>
              <w:rPr>
                <w:rFonts w:ascii="Arial" w:eastAsia="宋体" w:hAnsi="Arial" w:cs="Arial"/>
                <w:color w:val="000000"/>
                <w:sz w:val="14"/>
                <w:szCs w:val="14"/>
              </w:rPr>
              <w:t>$</w:t>
            </w:r>
          </w:p>
          <w:p w14:paraId="392CA64B" w14:textId="77777777" w:rsidR="00980E5F" w:rsidRDefault="00483613">
            <w:pPr>
              <w:jc w:val="right"/>
              <w:textAlignment w:val="bottom"/>
            </w:pPr>
            <w:r>
              <w:rPr>
                <w:rFonts w:ascii="Arial" w:eastAsia="宋体" w:hAnsi="Arial" w:cs="Arial"/>
                <w:color w:val="000000"/>
                <w:sz w:val="14"/>
                <w:szCs w:val="14"/>
              </w:rPr>
              <w:t>2,763 </w:t>
            </w:r>
          </w:p>
        </w:tc>
      </w:tr>
      <w:tr w:rsidR="00980E5F" w14:paraId="392CA66A" w14:textId="77777777">
        <w:tc>
          <w:tcPr>
            <w:tcW w:w="0" w:type="auto"/>
            <w:gridSpan w:val="3"/>
            <w:shd w:val="clear" w:color="auto" w:fill="FFFFFF"/>
            <w:tcMar>
              <w:top w:w="40" w:type="dxa"/>
              <w:left w:w="20" w:type="dxa"/>
              <w:bottom w:w="40" w:type="dxa"/>
              <w:right w:w="20" w:type="dxa"/>
            </w:tcMar>
            <w:vAlign w:val="bottom"/>
          </w:tcPr>
          <w:p w14:paraId="392CA64D"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64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4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5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5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5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53" w14:textId="77777777" w:rsidR="00980E5F" w:rsidRDefault="00980E5F">
            <w:pPr>
              <w:rPr>
                <w:rFonts w:ascii="宋体"/>
              </w:rPr>
            </w:pPr>
          </w:p>
        </w:tc>
        <w:tc>
          <w:tcPr>
            <w:tcW w:w="0" w:type="auto"/>
            <w:shd w:val="clear" w:color="auto" w:fill="auto"/>
            <w:vAlign w:val="bottom"/>
          </w:tcPr>
          <w:p w14:paraId="392CA654" w14:textId="77777777" w:rsidR="00980E5F" w:rsidRDefault="00980E5F">
            <w:pPr>
              <w:rPr>
                <w:rFonts w:ascii="宋体"/>
                <w:vanish/>
              </w:rPr>
            </w:pPr>
          </w:p>
        </w:tc>
        <w:tc>
          <w:tcPr>
            <w:tcW w:w="0" w:type="auto"/>
            <w:shd w:val="clear" w:color="auto" w:fill="auto"/>
            <w:vAlign w:val="bottom"/>
          </w:tcPr>
          <w:p w14:paraId="392CA655"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56"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5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5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59" w14:textId="77777777" w:rsidR="00980E5F" w:rsidRDefault="00483613">
            <w:pPr>
              <w:jc w:val="right"/>
              <w:textAlignment w:val="bottom"/>
            </w:pPr>
            <w:r>
              <w:rPr>
                <w:rFonts w:ascii="Arial" w:eastAsia="宋体" w:hAnsi="Arial" w:cs="Arial"/>
                <w:color w:val="000000"/>
                <w:sz w:val="14"/>
                <w:szCs w:val="14"/>
              </w:rPr>
              <w:t>997 </w:t>
            </w:r>
          </w:p>
        </w:tc>
        <w:tc>
          <w:tcPr>
            <w:tcW w:w="0" w:type="auto"/>
            <w:shd w:val="clear" w:color="auto" w:fill="FFFFFF"/>
            <w:tcMar>
              <w:top w:w="40" w:type="dxa"/>
              <w:left w:w="0" w:type="dxa"/>
              <w:bottom w:w="40" w:type="dxa"/>
              <w:right w:w="20" w:type="dxa"/>
            </w:tcMar>
            <w:vAlign w:val="bottom"/>
          </w:tcPr>
          <w:p w14:paraId="392CA6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5B" w14:textId="77777777" w:rsidR="00980E5F" w:rsidRDefault="00980E5F">
            <w:pPr>
              <w:rPr>
                <w:rFonts w:ascii="宋体"/>
              </w:rPr>
            </w:pPr>
          </w:p>
        </w:tc>
        <w:tc>
          <w:tcPr>
            <w:tcW w:w="0" w:type="auto"/>
            <w:shd w:val="clear" w:color="auto" w:fill="auto"/>
            <w:vAlign w:val="bottom"/>
          </w:tcPr>
          <w:p w14:paraId="392CA65C" w14:textId="77777777" w:rsidR="00980E5F" w:rsidRDefault="00980E5F">
            <w:pPr>
              <w:rPr>
                <w:rFonts w:ascii="宋体"/>
                <w:vanish/>
              </w:rPr>
            </w:pPr>
          </w:p>
        </w:tc>
        <w:tc>
          <w:tcPr>
            <w:tcW w:w="0" w:type="auto"/>
            <w:shd w:val="clear" w:color="auto" w:fill="auto"/>
            <w:vAlign w:val="bottom"/>
          </w:tcPr>
          <w:p w14:paraId="392CA65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5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6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63" w14:textId="77777777" w:rsidR="00980E5F" w:rsidRDefault="00980E5F">
            <w:pPr>
              <w:rPr>
                <w:rFonts w:ascii="宋体"/>
              </w:rPr>
            </w:pPr>
          </w:p>
        </w:tc>
        <w:tc>
          <w:tcPr>
            <w:tcW w:w="0" w:type="auto"/>
            <w:gridSpan w:val="3"/>
            <w:shd w:val="clear" w:color="auto" w:fill="auto"/>
            <w:vAlign w:val="bottom"/>
          </w:tcPr>
          <w:p w14:paraId="392CA664" w14:textId="77777777" w:rsidR="00980E5F" w:rsidRDefault="00980E5F">
            <w:pPr>
              <w:rPr>
                <w:rFonts w:ascii="宋体"/>
                <w:vanish/>
              </w:rPr>
            </w:pPr>
          </w:p>
        </w:tc>
        <w:tc>
          <w:tcPr>
            <w:tcW w:w="0" w:type="auto"/>
            <w:gridSpan w:val="3"/>
            <w:shd w:val="clear" w:color="auto" w:fill="auto"/>
            <w:vAlign w:val="bottom"/>
          </w:tcPr>
          <w:p w14:paraId="392CA665"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66"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67"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668"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669" w14:textId="77777777" w:rsidR="00980E5F" w:rsidRDefault="00483613">
            <w:pPr>
              <w:jc w:val="right"/>
              <w:textAlignment w:val="bottom"/>
            </w:pPr>
            <w:r>
              <w:rPr>
                <w:rFonts w:ascii="Arial" w:eastAsia="宋体" w:hAnsi="Arial" w:cs="Arial"/>
                <w:color w:val="000000"/>
                <w:sz w:val="14"/>
                <w:szCs w:val="14"/>
              </w:rPr>
              <w:t>997 </w:t>
            </w:r>
          </w:p>
        </w:tc>
      </w:tr>
      <w:tr w:rsidR="00980E5F" w14:paraId="392CA688" w14:textId="77777777">
        <w:tc>
          <w:tcPr>
            <w:tcW w:w="0" w:type="auto"/>
            <w:gridSpan w:val="3"/>
            <w:shd w:val="clear" w:color="auto" w:fill="CCEEFF"/>
            <w:tcMar>
              <w:top w:w="40" w:type="dxa"/>
              <w:left w:w="20" w:type="dxa"/>
              <w:bottom w:w="40" w:type="dxa"/>
              <w:right w:w="20" w:type="dxa"/>
            </w:tcMar>
            <w:vAlign w:val="bottom"/>
          </w:tcPr>
          <w:p w14:paraId="392CA66B"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392CA66C" w14:textId="77777777" w:rsidR="00980E5F" w:rsidRDefault="00483613">
            <w:pPr>
              <w:jc w:val="right"/>
              <w:textAlignment w:val="bottom"/>
            </w:pPr>
            <w:r>
              <w:rPr>
                <w:rFonts w:ascii="Arial" w:eastAsia="宋体" w:hAnsi="Arial" w:cs="Arial"/>
                <w:b/>
                <w:bCs/>
                <w:color w:val="000000"/>
                <w:sz w:val="14"/>
                <w:szCs w:val="14"/>
              </w:rPr>
              <w:t>655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6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6F" w14:textId="77777777" w:rsidR="00980E5F" w:rsidRDefault="00483613">
            <w:pPr>
              <w:jc w:val="right"/>
              <w:textAlignment w:val="bottom"/>
            </w:pPr>
            <w:r>
              <w:rPr>
                <w:rFonts w:ascii="Arial" w:eastAsia="宋体" w:hAnsi="Arial" w:cs="Arial"/>
                <w:color w:val="000000"/>
                <w:sz w:val="14"/>
                <w:szCs w:val="14"/>
              </w:rPr>
              <w:t>603 </w:t>
            </w:r>
          </w:p>
        </w:tc>
        <w:tc>
          <w:tcPr>
            <w:tcW w:w="0" w:type="auto"/>
            <w:shd w:val="clear" w:color="auto" w:fill="CCEEFF"/>
            <w:tcMar>
              <w:top w:w="40" w:type="dxa"/>
              <w:left w:w="0" w:type="dxa"/>
              <w:bottom w:w="40" w:type="dxa"/>
              <w:right w:w="20" w:type="dxa"/>
            </w:tcMar>
            <w:vAlign w:val="bottom"/>
          </w:tcPr>
          <w:p w14:paraId="392CA67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71" w14:textId="77777777" w:rsidR="00980E5F" w:rsidRDefault="00980E5F">
            <w:pPr>
              <w:rPr>
                <w:rFonts w:ascii="宋体"/>
              </w:rPr>
            </w:pPr>
          </w:p>
        </w:tc>
        <w:tc>
          <w:tcPr>
            <w:tcW w:w="0" w:type="auto"/>
            <w:shd w:val="clear" w:color="auto" w:fill="auto"/>
            <w:vAlign w:val="bottom"/>
          </w:tcPr>
          <w:p w14:paraId="392CA672" w14:textId="77777777" w:rsidR="00980E5F" w:rsidRDefault="00980E5F">
            <w:pPr>
              <w:rPr>
                <w:rFonts w:ascii="宋体"/>
                <w:vanish/>
              </w:rPr>
            </w:pPr>
          </w:p>
        </w:tc>
        <w:tc>
          <w:tcPr>
            <w:tcW w:w="0" w:type="auto"/>
            <w:shd w:val="clear" w:color="auto" w:fill="auto"/>
            <w:vAlign w:val="bottom"/>
          </w:tcPr>
          <w:p w14:paraId="392CA67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74" w14:textId="77777777" w:rsidR="00980E5F" w:rsidRDefault="00483613">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7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77" w14:textId="77777777" w:rsidR="00980E5F" w:rsidRDefault="00483613">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92CA6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79" w14:textId="77777777" w:rsidR="00980E5F" w:rsidRDefault="00980E5F">
            <w:pPr>
              <w:rPr>
                <w:rFonts w:ascii="宋体"/>
              </w:rPr>
            </w:pPr>
          </w:p>
        </w:tc>
        <w:tc>
          <w:tcPr>
            <w:tcW w:w="0" w:type="auto"/>
            <w:shd w:val="clear" w:color="auto" w:fill="auto"/>
            <w:vAlign w:val="bottom"/>
          </w:tcPr>
          <w:p w14:paraId="392CA67A" w14:textId="77777777" w:rsidR="00980E5F" w:rsidRDefault="00980E5F">
            <w:pPr>
              <w:rPr>
                <w:rFonts w:ascii="宋体"/>
                <w:vanish/>
              </w:rPr>
            </w:pPr>
          </w:p>
        </w:tc>
        <w:tc>
          <w:tcPr>
            <w:tcW w:w="0" w:type="auto"/>
            <w:shd w:val="clear" w:color="auto" w:fill="auto"/>
            <w:vAlign w:val="bottom"/>
          </w:tcPr>
          <w:p w14:paraId="392CA67B"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7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7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7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7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8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81" w14:textId="77777777" w:rsidR="00980E5F" w:rsidRDefault="00980E5F">
            <w:pPr>
              <w:rPr>
                <w:rFonts w:ascii="宋体"/>
              </w:rPr>
            </w:pPr>
          </w:p>
        </w:tc>
        <w:tc>
          <w:tcPr>
            <w:tcW w:w="0" w:type="auto"/>
            <w:gridSpan w:val="3"/>
            <w:shd w:val="clear" w:color="auto" w:fill="auto"/>
            <w:vAlign w:val="bottom"/>
          </w:tcPr>
          <w:p w14:paraId="392CA682" w14:textId="77777777" w:rsidR="00980E5F" w:rsidRDefault="00980E5F">
            <w:pPr>
              <w:rPr>
                <w:rFonts w:ascii="宋体"/>
                <w:vanish/>
              </w:rPr>
            </w:pPr>
          </w:p>
        </w:tc>
        <w:tc>
          <w:tcPr>
            <w:tcW w:w="0" w:type="auto"/>
            <w:gridSpan w:val="3"/>
            <w:shd w:val="clear" w:color="auto" w:fill="auto"/>
            <w:vAlign w:val="bottom"/>
          </w:tcPr>
          <w:p w14:paraId="392CA683"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84" w14:textId="77777777" w:rsidR="00980E5F" w:rsidRDefault="00483613">
            <w:pPr>
              <w:jc w:val="right"/>
              <w:textAlignment w:val="bottom"/>
            </w:pPr>
            <w:r>
              <w:rPr>
                <w:rFonts w:ascii="Arial" w:eastAsia="宋体" w:hAnsi="Arial" w:cs="Arial"/>
                <w:b/>
                <w:bCs/>
                <w:color w:val="000000"/>
                <w:sz w:val="14"/>
                <w:szCs w:val="14"/>
              </w:rPr>
              <w:t>690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85"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686"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687" w14:textId="77777777" w:rsidR="00980E5F" w:rsidRDefault="00483613">
            <w:pPr>
              <w:jc w:val="right"/>
              <w:textAlignment w:val="bottom"/>
            </w:pPr>
            <w:r>
              <w:rPr>
                <w:rFonts w:ascii="Arial" w:eastAsia="宋体" w:hAnsi="Arial" w:cs="Arial"/>
                <w:color w:val="000000"/>
                <w:sz w:val="14"/>
                <w:szCs w:val="14"/>
              </w:rPr>
              <w:t>632 </w:t>
            </w:r>
          </w:p>
        </w:tc>
      </w:tr>
      <w:tr w:rsidR="00980E5F" w14:paraId="392CA6A6" w14:textId="77777777">
        <w:tc>
          <w:tcPr>
            <w:tcW w:w="0" w:type="auto"/>
            <w:gridSpan w:val="3"/>
            <w:shd w:val="clear" w:color="auto" w:fill="FFFFFF"/>
            <w:tcMar>
              <w:top w:w="40" w:type="dxa"/>
              <w:left w:w="20" w:type="dxa"/>
              <w:bottom w:w="40" w:type="dxa"/>
              <w:right w:w="20" w:type="dxa"/>
            </w:tcMar>
            <w:vAlign w:val="bottom"/>
          </w:tcPr>
          <w:p w14:paraId="392CA689"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68A"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8D" w14:textId="77777777" w:rsidR="00980E5F" w:rsidRDefault="00483613">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392CA6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8F" w14:textId="77777777" w:rsidR="00980E5F" w:rsidRDefault="00980E5F">
            <w:pPr>
              <w:rPr>
                <w:rFonts w:ascii="宋体"/>
              </w:rPr>
            </w:pPr>
          </w:p>
        </w:tc>
        <w:tc>
          <w:tcPr>
            <w:tcW w:w="0" w:type="auto"/>
            <w:shd w:val="clear" w:color="auto" w:fill="auto"/>
            <w:vAlign w:val="bottom"/>
          </w:tcPr>
          <w:p w14:paraId="392CA690" w14:textId="77777777" w:rsidR="00980E5F" w:rsidRDefault="00980E5F">
            <w:pPr>
              <w:rPr>
                <w:rFonts w:ascii="宋体"/>
                <w:vanish/>
              </w:rPr>
            </w:pPr>
          </w:p>
        </w:tc>
        <w:tc>
          <w:tcPr>
            <w:tcW w:w="0" w:type="auto"/>
            <w:shd w:val="clear" w:color="auto" w:fill="auto"/>
            <w:vAlign w:val="bottom"/>
          </w:tcPr>
          <w:p w14:paraId="392CA69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92" w14:textId="77777777" w:rsidR="00980E5F" w:rsidRDefault="00483613">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9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9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95"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69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97" w14:textId="77777777" w:rsidR="00980E5F" w:rsidRDefault="00980E5F">
            <w:pPr>
              <w:rPr>
                <w:rFonts w:ascii="宋体"/>
              </w:rPr>
            </w:pPr>
          </w:p>
        </w:tc>
        <w:tc>
          <w:tcPr>
            <w:tcW w:w="0" w:type="auto"/>
            <w:shd w:val="clear" w:color="auto" w:fill="auto"/>
            <w:vAlign w:val="bottom"/>
          </w:tcPr>
          <w:p w14:paraId="392CA698" w14:textId="77777777" w:rsidR="00980E5F" w:rsidRDefault="00980E5F">
            <w:pPr>
              <w:rPr>
                <w:rFonts w:ascii="宋体"/>
                <w:vanish/>
              </w:rPr>
            </w:pPr>
          </w:p>
        </w:tc>
        <w:tc>
          <w:tcPr>
            <w:tcW w:w="0" w:type="auto"/>
            <w:shd w:val="clear" w:color="auto" w:fill="auto"/>
            <w:vAlign w:val="bottom"/>
          </w:tcPr>
          <w:p w14:paraId="392CA699"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9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9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9F" w14:textId="77777777" w:rsidR="00980E5F" w:rsidRDefault="00980E5F">
            <w:pPr>
              <w:rPr>
                <w:rFonts w:ascii="宋体"/>
              </w:rPr>
            </w:pPr>
          </w:p>
        </w:tc>
        <w:tc>
          <w:tcPr>
            <w:tcW w:w="0" w:type="auto"/>
            <w:gridSpan w:val="3"/>
            <w:shd w:val="clear" w:color="auto" w:fill="auto"/>
            <w:vAlign w:val="bottom"/>
          </w:tcPr>
          <w:p w14:paraId="392CA6A0" w14:textId="77777777" w:rsidR="00980E5F" w:rsidRDefault="00980E5F">
            <w:pPr>
              <w:rPr>
                <w:rFonts w:ascii="宋体"/>
                <w:vanish/>
              </w:rPr>
            </w:pPr>
          </w:p>
        </w:tc>
        <w:tc>
          <w:tcPr>
            <w:tcW w:w="0" w:type="auto"/>
            <w:gridSpan w:val="3"/>
            <w:shd w:val="clear" w:color="auto" w:fill="auto"/>
            <w:vAlign w:val="bottom"/>
          </w:tcPr>
          <w:p w14:paraId="392CA6A1"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A2" w14:textId="77777777" w:rsidR="00980E5F" w:rsidRDefault="00483613">
            <w:pPr>
              <w:jc w:val="right"/>
              <w:textAlignment w:val="bottom"/>
            </w:pPr>
            <w:r>
              <w:rPr>
                <w:rFonts w:ascii="Arial" w:eastAsia="宋体" w:hAnsi="Arial" w:cs="Arial"/>
                <w:b/>
                <w:bCs/>
                <w:color w:val="000000"/>
                <w:sz w:val="14"/>
                <w:szCs w:val="14"/>
              </w:rPr>
              <w:t>203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A3"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6A4"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6A5" w14:textId="77777777" w:rsidR="00980E5F" w:rsidRDefault="00483613">
            <w:pPr>
              <w:jc w:val="right"/>
              <w:textAlignment w:val="bottom"/>
            </w:pPr>
            <w:r>
              <w:rPr>
                <w:rFonts w:ascii="Arial" w:eastAsia="宋体" w:hAnsi="Arial" w:cs="Arial"/>
                <w:color w:val="000000"/>
                <w:sz w:val="14"/>
                <w:szCs w:val="14"/>
              </w:rPr>
              <w:t>208 </w:t>
            </w:r>
          </w:p>
        </w:tc>
      </w:tr>
      <w:tr w:rsidR="00980E5F" w14:paraId="392CA6C4" w14:textId="77777777">
        <w:tc>
          <w:tcPr>
            <w:tcW w:w="0" w:type="auto"/>
            <w:gridSpan w:val="3"/>
            <w:shd w:val="clear" w:color="auto" w:fill="CCEEFF"/>
            <w:tcMar>
              <w:top w:w="40" w:type="dxa"/>
              <w:left w:w="20" w:type="dxa"/>
              <w:bottom w:w="40" w:type="dxa"/>
              <w:right w:w="20" w:type="dxa"/>
            </w:tcMar>
            <w:vAlign w:val="bottom"/>
          </w:tcPr>
          <w:p w14:paraId="392CA6A7" w14:textId="77777777" w:rsidR="00980E5F" w:rsidRDefault="00483613">
            <w:pPr>
              <w:textAlignment w:val="bottom"/>
            </w:pPr>
            <w:r>
              <w:rPr>
                <w:rFonts w:ascii="Arial" w:eastAsia="宋体" w:hAnsi="Arial" w:cs="Arial"/>
                <w:color w:val="000000"/>
                <w:sz w:val="14"/>
                <w:szCs w:val="14"/>
              </w:rPr>
              <w:t xml:space="preserve">Software and processing fees </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392CA6A8" w14:textId="77777777" w:rsidR="00980E5F" w:rsidRDefault="00483613">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A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AB" w14:textId="77777777" w:rsidR="00980E5F" w:rsidRDefault="00483613">
            <w:pPr>
              <w:jc w:val="right"/>
              <w:textAlignment w:val="bottom"/>
            </w:pPr>
            <w:r>
              <w:rPr>
                <w:rFonts w:ascii="Arial" w:eastAsia="宋体" w:hAnsi="Arial" w:cs="Arial"/>
                <w:color w:val="000000"/>
                <w:sz w:val="14"/>
                <w:szCs w:val="14"/>
              </w:rPr>
              <w:t>371 </w:t>
            </w:r>
          </w:p>
        </w:tc>
        <w:tc>
          <w:tcPr>
            <w:tcW w:w="0" w:type="auto"/>
            <w:shd w:val="clear" w:color="auto" w:fill="CCEEFF"/>
            <w:tcMar>
              <w:top w:w="40" w:type="dxa"/>
              <w:left w:w="0" w:type="dxa"/>
              <w:bottom w:w="40" w:type="dxa"/>
              <w:right w:w="20" w:type="dxa"/>
            </w:tcMar>
            <w:vAlign w:val="bottom"/>
          </w:tcPr>
          <w:p w14:paraId="392CA6A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AD" w14:textId="77777777" w:rsidR="00980E5F" w:rsidRDefault="00980E5F">
            <w:pPr>
              <w:rPr>
                <w:rFonts w:ascii="宋体"/>
              </w:rPr>
            </w:pPr>
          </w:p>
        </w:tc>
        <w:tc>
          <w:tcPr>
            <w:tcW w:w="0" w:type="auto"/>
            <w:shd w:val="clear" w:color="auto" w:fill="auto"/>
            <w:vAlign w:val="bottom"/>
          </w:tcPr>
          <w:p w14:paraId="392CA6AE" w14:textId="77777777" w:rsidR="00980E5F" w:rsidRDefault="00980E5F">
            <w:pPr>
              <w:rPr>
                <w:rFonts w:ascii="宋体"/>
                <w:vanish/>
              </w:rPr>
            </w:pPr>
          </w:p>
        </w:tc>
        <w:tc>
          <w:tcPr>
            <w:tcW w:w="0" w:type="auto"/>
            <w:shd w:val="clear" w:color="auto" w:fill="auto"/>
            <w:vAlign w:val="bottom"/>
          </w:tcPr>
          <w:p w14:paraId="392CA6A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B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B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B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B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B5" w14:textId="77777777" w:rsidR="00980E5F" w:rsidRDefault="00980E5F">
            <w:pPr>
              <w:rPr>
                <w:rFonts w:ascii="宋体"/>
              </w:rPr>
            </w:pPr>
          </w:p>
        </w:tc>
        <w:tc>
          <w:tcPr>
            <w:tcW w:w="0" w:type="auto"/>
            <w:shd w:val="clear" w:color="auto" w:fill="auto"/>
            <w:vAlign w:val="bottom"/>
          </w:tcPr>
          <w:p w14:paraId="392CA6B6" w14:textId="77777777" w:rsidR="00980E5F" w:rsidRDefault="00980E5F">
            <w:pPr>
              <w:rPr>
                <w:rFonts w:ascii="宋体"/>
                <w:vanish/>
              </w:rPr>
            </w:pPr>
          </w:p>
        </w:tc>
        <w:tc>
          <w:tcPr>
            <w:tcW w:w="0" w:type="auto"/>
            <w:shd w:val="clear" w:color="auto" w:fill="auto"/>
            <w:vAlign w:val="bottom"/>
          </w:tcPr>
          <w:p w14:paraId="392CA6B7"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B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6B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BD" w14:textId="77777777" w:rsidR="00980E5F" w:rsidRDefault="00980E5F">
            <w:pPr>
              <w:rPr>
                <w:rFonts w:ascii="宋体"/>
              </w:rPr>
            </w:pPr>
          </w:p>
        </w:tc>
        <w:tc>
          <w:tcPr>
            <w:tcW w:w="0" w:type="auto"/>
            <w:gridSpan w:val="3"/>
            <w:shd w:val="clear" w:color="auto" w:fill="auto"/>
            <w:vAlign w:val="bottom"/>
          </w:tcPr>
          <w:p w14:paraId="392CA6BE" w14:textId="77777777" w:rsidR="00980E5F" w:rsidRDefault="00980E5F">
            <w:pPr>
              <w:rPr>
                <w:rFonts w:ascii="宋体"/>
                <w:vanish/>
              </w:rPr>
            </w:pPr>
          </w:p>
        </w:tc>
        <w:tc>
          <w:tcPr>
            <w:tcW w:w="0" w:type="auto"/>
            <w:gridSpan w:val="3"/>
            <w:shd w:val="clear" w:color="auto" w:fill="auto"/>
            <w:vAlign w:val="bottom"/>
          </w:tcPr>
          <w:p w14:paraId="392CA6BF"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6C0" w14:textId="77777777" w:rsidR="00980E5F" w:rsidRDefault="00483613">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6C1"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6C2"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6C3" w14:textId="77777777" w:rsidR="00980E5F" w:rsidRDefault="00483613">
            <w:pPr>
              <w:jc w:val="right"/>
              <w:textAlignment w:val="bottom"/>
            </w:pPr>
            <w:r>
              <w:rPr>
                <w:rFonts w:ascii="Arial" w:eastAsia="宋体" w:hAnsi="Arial" w:cs="Arial"/>
                <w:color w:val="000000"/>
                <w:sz w:val="14"/>
                <w:szCs w:val="14"/>
              </w:rPr>
              <w:t>371 </w:t>
            </w:r>
          </w:p>
        </w:tc>
      </w:tr>
      <w:tr w:rsidR="00980E5F" w14:paraId="392CA6E1" w14:textId="77777777">
        <w:tc>
          <w:tcPr>
            <w:tcW w:w="0" w:type="auto"/>
            <w:gridSpan w:val="3"/>
            <w:shd w:val="clear" w:color="auto" w:fill="FFFFFF"/>
            <w:tcMar>
              <w:top w:w="40" w:type="dxa"/>
              <w:left w:w="20" w:type="dxa"/>
              <w:bottom w:w="40" w:type="dxa"/>
              <w:right w:w="20" w:type="dxa"/>
            </w:tcMar>
            <w:vAlign w:val="bottom"/>
          </w:tcPr>
          <w:p w14:paraId="392CA6C5"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6C6" w14:textId="77777777" w:rsidR="00980E5F" w:rsidRDefault="00483613">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6C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C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C9"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92CA6C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CB" w14:textId="77777777" w:rsidR="00980E5F" w:rsidRDefault="00980E5F">
            <w:pPr>
              <w:rPr>
                <w:rFonts w:ascii="宋体"/>
              </w:rPr>
            </w:pPr>
          </w:p>
        </w:tc>
        <w:tc>
          <w:tcPr>
            <w:tcW w:w="0" w:type="auto"/>
            <w:shd w:val="clear" w:color="auto" w:fill="auto"/>
            <w:vAlign w:val="bottom"/>
          </w:tcPr>
          <w:p w14:paraId="392CA6CC" w14:textId="77777777" w:rsidR="00980E5F" w:rsidRDefault="00980E5F">
            <w:pPr>
              <w:rPr>
                <w:rFonts w:ascii="宋体"/>
                <w:vanish/>
              </w:rPr>
            </w:pPr>
          </w:p>
        </w:tc>
        <w:tc>
          <w:tcPr>
            <w:tcW w:w="0" w:type="auto"/>
            <w:shd w:val="clear" w:color="auto" w:fill="auto"/>
            <w:vAlign w:val="bottom"/>
          </w:tcPr>
          <w:p w14:paraId="392CA6CD"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CE" w14:textId="77777777" w:rsidR="00980E5F" w:rsidRDefault="00483613">
            <w:pPr>
              <w:jc w:val="right"/>
              <w:textAlignment w:val="bottom"/>
            </w:pPr>
            <w:r>
              <w:rPr>
                <w:rFonts w:ascii="Arial" w:eastAsia="宋体" w:hAnsi="Arial" w:cs="Arial"/>
                <w:b/>
                <w:bCs/>
                <w:color w:val="000000"/>
                <w:sz w:val="14"/>
                <w:szCs w:val="14"/>
              </w:rPr>
              <w:t>(48)</w:t>
            </w:r>
          </w:p>
        </w:tc>
        <w:tc>
          <w:tcPr>
            <w:tcW w:w="0" w:type="auto"/>
            <w:shd w:val="clear" w:color="auto" w:fill="FFFFFF"/>
            <w:tcMar>
              <w:top w:w="40" w:type="dxa"/>
              <w:left w:w="0" w:type="dxa"/>
              <w:bottom w:w="40" w:type="dxa"/>
              <w:right w:w="20" w:type="dxa"/>
            </w:tcMar>
            <w:vAlign w:val="bottom"/>
          </w:tcPr>
          <w:p w14:paraId="392CA6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D1"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A6D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D3" w14:textId="77777777" w:rsidR="00980E5F" w:rsidRDefault="00980E5F">
            <w:pPr>
              <w:rPr>
                <w:rFonts w:ascii="宋体"/>
              </w:rPr>
            </w:pPr>
          </w:p>
        </w:tc>
        <w:tc>
          <w:tcPr>
            <w:tcW w:w="0" w:type="auto"/>
            <w:shd w:val="clear" w:color="auto" w:fill="auto"/>
            <w:vAlign w:val="bottom"/>
          </w:tcPr>
          <w:p w14:paraId="392CA6D4" w14:textId="77777777" w:rsidR="00980E5F" w:rsidRDefault="00980E5F">
            <w:pPr>
              <w:rPr>
                <w:rFonts w:ascii="宋体"/>
                <w:vanish/>
              </w:rPr>
            </w:pPr>
          </w:p>
        </w:tc>
        <w:tc>
          <w:tcPr>
            <w:tcW w:w="0" w:type="auto"/>
            <w:shd w:val="clear" w:color="auto" w:fill="auto"/>
            <w:vAlign w:val="bottom"/>
          </w:tcPr>
          <w:p w14:paraId="392CA6D5" w14:textId="77777777" w:rsidR="00980E5F" w:rsidRDefault="00980E5F">
            <w:pPr>
              <w:rPr>
                <w:rFonts w:ascii="宋体"/>
                <w:vanish/>
              </w:rPr>
            </w:pPr>
          </w:p>
        </w:tc>
        <w:tc>
          <w:tcPr>
            <w:tcW w:w="0" w:type="auto"/>
            <w:gridSpan w:val="3"/>
            <w:shd w:val="clear" w:color="auto" w:fill="FFFFFF"/>
            <w:tcMar>
              <w:top w:w="0" w:type="dxa"/>
              <w:left w:w="20" w:type="dxa"/>
              <w:bottom w:w="0" w:type="dxa"/>
              <w:right w:w="20" w:type="dxa"/>
            </w:tcMar>
            <w:vAlign w:val="bottom"/>
          </w:tcPr>
          <w:p w14:paraId="392CA6D6"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6D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6D8" w14:textId="77777777" w:rsidR="00980E5F" w:rsidRDefault="004836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92CA6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6DA" w14:textId="77777777" w:rsidR="00980E5F" w:rsidRDefault="00980E5F">
            <w:pPr>
              <w:rPr>
                <w:rFonts w:ascii="宋体"/>
              </w:rPr>
            </w:pPr>
          </w:p>
        </w:tc>
        <w:tc>
          <w:tcPr>
            <w:tcW w:w="0" w:type="auto"/>
            <w:gridSpan w:val="3"/>
            <w:shd w:val="clear" w:color="auto" w:fill="auto"/>
            <w:vAlign w:val="bottom"/>
          </w:tcPr>
          <w:p w14:paraId="392CA6DB" w14:textId="77777777" w:rsidR="00980E5F" w:rsidRDefault="00980E5F">
            <w:pPr>
              <w:rPr>
                <w:rFonts w:ascii="宋体"/>
                <w:vanish/>
              </w:rPr>
            </w:pPr>
          </w:p>
        </w:tc>
        <w:tc>
          <w:tcPr>
            <w:tcW w:w="0" w:type="auto"/>
            <w:gridSpan w:val="3"/>
            <w:shd w:val="clear" w:color="auto" w:fill="auto"/>
            <w:vAlign w:val="bottom"/>
          </w:tcPr>
          <w:p w14:paraId="392CA6DC"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6DD" w14:textId="77777777" w:rsidR="00980E5F" w:rsidRDefault="00483613">
            <w:pPr>
              <w:jc w:val="right"/>
              <w:textAlignment w:val="bottom"/>
            </w:pPr>
            <w:r>
              <w:rPr>
                <w:rFonts w:ascii="Arial" w:eastAsia="宋体" w:hAnsi="Arial" w:cs="Arial"/>
                <w:b/>
                <w:bCs/>
                <w:color w:val="000000"/>
                <w:sz w:val="14"/>
                <w:szCs w:val="14"/>
              </w:rPr>
              <w:t>(14)</w:t>
            </w:r>
          </w:p>
        </w:tc>
        <w:tc>
          <w:tcPr>
            <w:tcW w:w="0" w:type="auto"/>
            <w:shd w:val="clear" w:color="auto" w:fill="FFFFFF"/>
            <w:tcMar>
              <w:top w:w="40" w:type="dxa"/>
              <w:left w:w="0" w:type="dxa"/>
              <w:bottom w:w="40" w:type="dxa"/>
              <w:right w:w="20" w:type="dxa"/>
            </w:tcMar>
            <w:vAlign w:val="bottom"/>
          </w:tcPr>
          <w:p w14:paraId="392CA6DE"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6D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6E0" w14:textId="77777777" w:rsidR="00980E5F" w:rsidRDefault="00483613">
            <w:pPr>
              <w:jc w:val="right"/>
              <w:textAlignment w:val="bottom"/>
            </w:pPr>
            <w:r>
              <w:rPr>
                <w:rFonts w:ascii="Arial" w:eastAsia="宋体" w:hAnsi="Arial" w:cs="Arial"/>
                <w:color w:val="000000"/>
                <w:sz w:val="14"/>
                <w:szCs w:val="14"/>
              </w:rPr>
              <w:t>26 </w:t>
            </w:r>
          </w:p>
        </w:tc>
      </w:tr>
      <w:tr w:rsidR="00980E5F" w14:paraId="392CA6FF" w14:textId="77777777">
        <w:tc>
          <w:tcPr>
            <w:tcW w:w="0" w:type="auto"/>
            <w:gridSpan w:val="3"/>
            <w:shd w:val="clear" w:color="auto" w:fill="CCEEFF"/>
            <w:tcMar>
              <w:top w:w="40" w:type="dxa"/>
              <w:left w:w="20" w:type="dxa"/>
              <w:bottom w:w="40" w:type="dxa"/>
              <w:right w:w="20" w:type="dxa"/>
            </w:tcMar>
            <w:vAlign w:val="bottom"/>
          </w:tcPr>
          <w:p w14:paraId="392CA6E2" w14:textId="77777777" w:rsidR="00980E5F" w:rsidRDefault="00483613">
            <w:pPr>
              <w:textAlignment w:val="bottom"/>
            </w:pPr>
            <w:r>
              <w:rPr>
                <w:rFonts w:ascii="Arial" w:eastAsia="宋体" w:hAnsi="Arial" w:cs="Arial"/>
                <w:color w:val="000000"/>
                <w:sz w:val="14"/>
                <w:szCs w:val="14"/>
              </w:rPr>
              <w:t>Total fee r</w:t>
            </w:r>
            <w:r>
              <w:rPr>
                <w:rFonts w:ascii="Arial" w:eastAsia="宋体" w:hAnsi="Arial" w:cs="Arial"/>
                <w:color w:val="000000"/>
                <w:sz w:val="14"/>
                <w:szCs w:val="14"/>
              </w:rPr>
              <w:t>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E3" w14:textId="77777777" w:rsidR="00980E5F" w:rsidRDefault="00483613">
            <w:pPr>
              <w:jc w:val="right"/>
              <w:textAlignment w:val="bottom"/>
            </w:pPr>
            <w:r>
              <w:rPr>
                <w:rFonts w:ascii="Arial" w:eastAsia="宋体" w:hAnsi="Arial" w:cs="Arial"/>
                <w:b/>
                <w:bCs/>
                <w:color w:val="000000"/>
                <w:sz w:val="14"/>
                <w:szCs w:val="14"/>
              </w:rPr>
              <w:t>3,938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E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E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E6" w14:textId="77777777" w:rsidR="00980E5F" w:rsidRDefault="00483613">
            <w:pPr>
              <w:jc w:val="right"/>
              <w:textAlignment w:val="bottom"/>
            </w:pPr>
            <w:r>
              <w:rPr>
                <w:rFonts w:ascii="Arial" w:eastAsia="宋体" w:hAnsi="Arial" w:cs="Arial"/>
                <w:color w:val="000000"/>
                <w:sz w:val="14"/>
                <w:szCs w:val="14"/>
              </w:rPr>
              <w:t>3,955 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E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E8" w14:textId="77777777" w:rsidR="00980E5F" w:rsidRDefault="00980E5F">
            <w:pPr>
              <w:rPr>
                <w:rFonts w:ascii="宋体"/>
              </w:rPr>
            </w:pPr>
          </w:p>
        </w:tc>
        <w:tc>
          <w:tcPr>
            <w:tcW w:w="0" w:type="auto"/>
            <w:shd w:val="clear" w:color="auto" w:fill="auto"/>
            <w:vAlign w:val="bottom"/>
          </w:tcPr>
          <w:p w14:paraId="392CA6E9" w14:textId="77777777" w:rsidR="00980E5F" w:rsidRDefault="00980E5F">
            <w:pPr>
              <w:rPr>
                <w:rFonts w:ascii="宋体"/>
                <w:vanish/>
              </w:rPr>
            </w:pPr>
          </w:p>
        </w:tc>
        <w:tc>
          <w:tcPr>
            <w:tcW w:w="0" w:type="auto"/>
            <w:shd w:val="clear" w:color="auto" w:fill="auto"/>
            <w:vAlign w:val="bottom"/>
          </w:tcPr>
          <w:p w14:paraId="392CA6EA"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EB" w14:textId="77777777" w:rsidR="00980E5F" w:rsidRDefault="00483613">
            <w:pPr>
              <w:jc w:val="right"/>
              <w:textAlignment w:val="bottom"/>
            </w:pPr>
            <w:r>
              <w:rPr>
                <w:rFonts w:ascii="Arial" w:eastAsia="宋体" w:hAnsi="Arial" w:cs="Arial"/>
                <w:b/>
                <w:bCs/>
                <w:color w:val="000000"/>
                <w:sz w:val="14"/>
                <w:szCs w:val="14"/>
              </w:rPr>
              <w:t>1,005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E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ED"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EE" w14:textId="77777777" w:rsidR="00980E5F" w:rsidRDefault="00483613">
            <w:pPr>
              <w:jc w:val="right"/>
              <w:textAlignment w:val="bottom"/>
            </w:pPr>
            <w:r>
              <w:rPr>
                <w:rFonts w:ascii="Arial" w:eastAsia="宋体" w:hAnsi="Arial" w:cs="Arial"/>
                <w:color w:val="000000"/>
                <w:sz w:val="14"/>
                <w:szCs w:val="14"/>
              </w:rPr>
              <w:t>1,042 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E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F0" w14:textId="77777777" w:rsidR="00980E5F" w:rsidRDefault="00980E5F">
            <w:pPr>
              <w:rPr>
                <w:rFonts w:ascii="宋体"/>
              </w:rPr>
            </w:pPr>
          </w:p>
        </w:tc>
        <w:tc>
          <w:tcPr>
            <w:tcW w:w="0" w:type="auto"/>
            <w:shd w:val="clear" w:color="auto" w:fill="auto"/>
            <w:vAlign w:val="bottom"/>
          </w:tcPr>
          <w:p w14:paraId="392CA6F1" w14:textId="77777777" w:rsidR="00980E5F" w:rsidRDefault="00980E5F">
            <w:pPr>
              <w:rPr>
                <w:rFonts w:ascii="宋体"/>
                <w:vanish/>
              </w:rPr>
            </w:pPr>
          </w:p>
        </w:tc>
        <w:tc>
          <w:tcPr>
            <w:tcW w:w="0" w:type="auto"/>
            <w:shd w:val="clear" w:color="auto" w:fill="auto"/>
            <w:vAlign w:val="bottom"/>
          </w:tcPr>
          <w:p w14:paraId="392CA6F2"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F3"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F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F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F6"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F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6F8" w14:textId="77777777" w:rsidR="00980E5F" w:rsidRDefault="00980E5F">
            <w:pPr>
              <w:rPr>
                <w:rFonts w:ascii="宋体"/>
              </w:rPr>
            </w:pPr>
          </w:p>
        </w:tc>
        <w:tc>
          <w:tcPr>
            <w:tcW w:w="0" w:type="auto"/>
            <w:gridSpan w:val="3"/>
            <w:shd w:val="clear" w:color="auto" w:fill="auto"/>
            <w:vAlign w:val="bottom"/>
          </w:tcPr>
          <w:p w14:paraId="392CA6F9" w14:textId="77777777" w:rsidR="00980E5F" w:rsidRDefault="00980E5F">
            <w:pPr>
              <w:rPr>
                <w:rFonts w:ascii="宋体"/>
                <w:vanish/>
              </w:rPr>
            </w:pPr>
          </w:p>
        </w:tc>
        <w:tc>
          <w:tcPr>
            <w:tcW w:w="0" w:type="auto"/>
            <w:gridSpan w:val="3"/>
            <w:shd w:val="clear" w:color="auto" w:fill="auto"/>
            <w:vAlign w:val="bottom"/>
          </w:tcPr>
          <w:p w14:paraId="392CA6FA"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6FB" w14:textId="77777777" w:rsidR="00980E5F" w:rsidRDefault="00483613">
            <w:pPr>
              <w:jc w:val="right"/>
              <w:textAlignment w:val="bottom"/>
            </w:pPr>
            <w:r>
              <w:rPr>
                <w:rFonts w:ascii="Arial" w:eastAsia="宋体" w:hAnsi="Arial" w:cs="Arial"/>
                <w:b/>
                <w:bCs/>
                <w:color w:val="000000"/>
                <w:sz w:val="14"/>
                <w:szCs w:val="14"/>
              </w:rPr>
              <w:t>4,943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6FC"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6FD"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6FE" w14:textId="77777777" w:rsidR="00980E5F" w:rsidRDefault="00483613">
            <w:pPr>
              <w:jc w:val="right"/>
              <w:textAlignment w:val="bottom"/>
            </w:pPr>
            <w:r>
              <w:rPr>
                <w:rFonts w:ascii="Arial" w:eastAsia="宋体" w:hAnsi="Arial" w:cs="Arial"/>
                <w:color w:val="000000"/>
                <w:sz w:val="14"/>
                <w:szCs w:val="14"/>
              </w:rPr>
              <w:t>4,997 </w:t>
            </w:r>
          </w:p>
        </w:tc>
      </w:tr>
      <w:tr w:rsidR="00980E5F" w14:paraId="392CA71D" w14:textId="77777777">
        <w:tc>
          <w:tcPr>
            <w:tcW w:w="0" w:type="auto"/>
            <w:gridSpan w:val="3"/>
            <w:shd w:val="clear" w:color="auto" w:fill="FFFFFF"/>
            <w:tcMar>
              <w:top w:w="40" w:type="dxa"/>
              <w:left w:w="20" w:type="dxa"/>
              <w:bottom w:w="40" w:type="dxa"/>
              <w:right w:w="20" w:type="dxa"/>
            </w:tcMar>
            <w:vAlign w:val="bottom"/>
          </w:tcPr>
          <w:p w14:paraId="392CA700"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701" w14:textId="77777777" w:rsidR="00980E5F" w:rsidRDefault="00483613">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0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0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04" w14:textId="77777777" w:rsidR="00980E5F" w:rsidRDefault="00483613">
            <w:pPr>
              <w:jc w:val="right"/>
              <w:textAlignment w:val="bottom"/>
            </w:pPr>
            <w:r>
              <w:rPr>
                <w:rFonts w:ascii="Arial" w:eastAsia="宋体" w:hAnsi="Arial" w:cs="Arial"/>
                <w:color w:val="000000"/>
                <w:sz w:val="14"/>
                <w:szCs w:val="14"/>
              </w:rPr>
              <w:t>941 </w:t>
            </w:r>
          </w:p>
        </w:tc>
        <w:tc>
          <w:tcPr>
            <w:tcW w:w="0" w:type="auto"/>
            <w:shd w:val="clear" w:color="auto" w:fill="FFFFFF"/>
            <w:tcMar>
              <w:top w:w="40" w:type="dxa"/>
              <w:left w:w="0" w:type="dxa"/>
              <w:bottom w:w="40" w:type="dxa"/>
              <w:right w:w="20" w:type="dxa"/>
            </w:tcMar>
            <w:vAlign w:val="bottom"/>
          </w:tcPr>
          <w:p w14:paraId="392CA70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06" w14:textId="77777777" w:rsidR="00980E5F" w:rsidRDefault="00980E5F">
            <w:pPr>
              <w:rPr>
                <w:rFonts w:ascii="宋体"/>
              </w:rPr>
            </w:pPr>
          </w:p>
        </w:tc>
        <w:tc>
          <w:tcPr>
            <w:tcW w:w="0" w:type="auto"/>
            <w:shd w:val="clear" w:color="auto" w:fill="auto"/>
            <w:vAlign w:val="bottom"/>
          </w:tcPr>
          <w:p w14:paraId="392CA707" w14:textId="77777777" w:rsidR="00980E5F" w:rsidRDefault="00980E5F">
            <w:pPr>
              <w:rPr>
                <w:rFonts w:ascii="宋体"/>
                <w:vanish/>
              </w:rPr>
            </w:pPr>
          </w:p>
        </w:tc>
        <w:tc>
          <w:tcPr>
            <w:tcW w:w="0" w:type="auto"/>
            <w:shd w:val="clear" w:color="auto" w:fill="auto"/>
            <w:vAlign w:val="bottom"/>
          </w:tcPr>
          <w:p w14:paraId="392CA70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09"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70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0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0C" w14:textId="77777777" w:rsidR="00980E5F" w:rsidRDefault="00483613">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392CA70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0E" w14:textId="77777777" w:rsidR="00980E5F" w:rsidRDefault="00980E5F">
            <w:pPr>
              <w:rPr>
                <w:rFonts w:ascii="宋体"/>
              </w:rPr>
            </w:pPr>
          </w:p>
        </w:tc>
        <w:tc>
          <w:tcPr>
            <w:tcW w:w="0" w:type="auto"/>
            <w:shd w:val="clear" w:color="auto" w:fill="auto"/>
            <w:vAlign w:val="bottom"/>
          </w:tcPr>
          <w:p w14:paraId="392CA70F" w14:textId="77777777" w:rsidR="00980E5F" w:rsidRDefault="00980E5F">
            <w:pPr>
              <w:rPr>
                <w:rFonts w:ascii="宋体"/>
                <w:vanish/>
              </w:rPr>
            </w:pPr>
          </w:p>
        </w:tc>
        <w:tc>
          <w:tcPr>
            <w:tcW w:w="0" w:type="auto"/>
            <w:shd w:val="clear" w:color="auto" w:fill="auto"/>
            <w:vAlign w:val="bottom"/>
          </w:tcPr>
          <w:p w14:paraId="392CA710"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1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1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1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1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1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16" w14:textId="77777777" w:rsidR="00980E5F" w:rsidRDefault="00980E5F">
            <w:pPr>
              <w:rPr>
                <w:rFonts w:ascii="宋体"/>
              </w:rPr>
            </w:pPr>
          </w:p>
        </w:tc>
        <w:tc>
          <w:tcPr>
            <w:tcW w:w="0" w:type="auto"/>
            <w:gridSpan w:val="3"/>
            <w:shd w:val="clear" w:color="auto" w:fill="auto"/>
            <w:vAlign w:val="bottom"/>
          </w:tcPr>
          <w:p w14:paraId="392CA717" w14:textId="77777777" w:rsidR="00980E5F" w:rsidRDefault="00980E5F">
            <w:pPr>
              <w:rPr>
                <w:rFonts w:ascii="宋体"/>
                <w:vanish/>
              </w:rPr>
            </w:pPr>
          </w:p>
        </w:tc>
        <w:tc>
          <w:tcPr>
            <w:tcW w:w="0" w:type="auto"/>
            <w:gridSpan w:val="3"/>
            <w:shd w:val="clear" w:color="auto" w:fill="auto"/>
            <w:vAlign w:val="bottom"/>
          </w:tcPr>
          <w:p w14:paraId="392CA718"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19" w14:textId="77777777" w:rsidR="00980E5F" w:rsidRDefault="00483613">
            <w:pPr>
              <w:jc w:val="right"/>
              <w:textAlignment w:val="bottom"/>
            </w:pPr>
            <w:r>
              <w:rPr>
                <w:rFonts w:ascii="Arial" w:eastAsia="宋体" w:hAnsi="Arial" w:cs="Arial"/>
                <w:b/>
                <w:bCs/>
                <w:color w:val="000000"/>
                <w:sz w:val="14"/>
                <w:szCs w:val="14"/>
              </w:rPr>
              <w:t>1,093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1A"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71B"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71C" w14:textId="77777777" w:rsidR="00980E5F" w:rsidRDefault="00483613">
            <w:pPr>
              <w:jc w:val="right"/>
              <w:textAlignment w:val="bottom"/>
            </w:pPr>
            <w:r>
              <w:rPr>
                <w:rFonts w:ascii="Arial" w:eastAsia="宋体" w:hAnsi="Arial" w:cs="Arial"/>
                <w:color w:val="000000"/>
                <w:sz w:val="14"/>
                <w:szCs w:val="14"/>
              </w:rPr>
              <w:t>934 </w:t>
            </w:r>
          </w:p>
        </w:tc>
      </w:tr>
      <w:tr w:rsidR="00980E5F" w14:paraId="392CA73B" w14:textId="77777777">
        <w:tc>
          <w:tcPr>
            <w:tcW w:w="0" w:type="auto"/>
            <w:gridSpan w:val="3"/>
            <w:shd w:val="clear" w:color="auto" w:fill="CCEEFF"/>
            <w:tcMar>
              <w:top w:w="40" w:type="dxa"/>
              <w:left w:w="20" w:type="dxa"/>
              <w:bottom w:w="40" w:type="dxa"/>
              <w:right w:w="20" w:type="dxa"/>
            </w:tcMar>
            <w:vAlign w:val="bottom"/>
          </w:tcPr>
          <w:p w14:paraId="392CA71E"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71F"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A72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2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2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2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24" w14:textId="77777777" w:rsidR="00980E5F" w:rsidRDefault="00980E5F">
            <w:pPr>
              <w:rPr>
                <w:rFonts w:ascii="宋体"/>
              </w:rPr>
            </w:pPr>
          </w:p>
        </w:tc>
        <w:tc>
          <w:tcPr>
            <w:tcW w:w="0" w:type="auto"/>
            <w:shd w:val="clear" w:color="auto" w:fill="auto"/>
            <w:vAlign w:val="bottom"/>
          </w:tcPr>
          <w:p w14:paraId="392CA725" w14:textId="77777777" w:rsidR="00980E5F" w:rsidRDefault="00980E5F">
            <w:pPr>
              <w:rPr>
                <w:rFonts w:ascii="宋体"/>
                <w:vanish/>
              </w:rPr>
            </w:pPr>
          </w:p>
        </w:tc>
        <w:tc>
          <w:tcPr>
            <w:tcW w:w="0" w:type="auto"/>
            <w:shd w:val="clear" w:color="auto" w:fill="auto"/>
            <w:vAlign w:val="bottom"/>
          </w:tcPr>
          <w:p w14:paraId="392CA726"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2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2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2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2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2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2C" w14:textId="77777777" w:rsidR="00980E5F" w:rsidRDefault="00980E5F">
            <w:pPr>
              <w:rPr>
                <w:rFonts w:ascii="宋体"/>
              </w:rPr>
            </w:pPr>
          </w:p>
        </w:tc>
        <w:tc>
          <w:tcPr>
            <w:tcW w:w="0" w:type="auto"/>
            <w:shd w:val="clear" w:color="auto" w:fill="auto"/>
            <w:vAlign w:val="bottom"/>
          </w:tcPr>
          <w:p w14:paraId="392CA72D" w14:textId="77777777" w:rsidR="00980E5F" w:rsidRDefault="00980E5F">
            <w:pPr>
              <w:rPr>
                <w:rFonts w:ascii="宋体"/>
                <w:vanish/>
              </w:rPr>
            </w:pPr>
          </w:p>
        </w:tc>
        <w:tc>
          <w:tcPr>
            <w:tcW w:w="0" w:type="auto"/>
            <w:shd w:val="clear" w:color="auto" w:fill="auto"/>
            <w:vAlign w:val="bottom"/>
          </w:tcPr>
          <w:p w14:paraId="392CA72E"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2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3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3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32"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73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34" w14:textId="77777777" w:rsidR="00980E5F" w:rsidRDefault="00980E5F">
            <w:pPr>
              <w:rPr>
                <w:rFonts w:ascii="宋体"/>
              </w:rPr>
            </w:pPr>
          </w:p>
        </w:tc>
        <w:tc>
          <w:tcPr>
            <w:tcW w:w="0" w:type="auto"/>
            <w:gridSpan w:val="3"/>
            <w:shd w:val="clear" w:color="auto" w:fill="auto"/>
            <w:vAlign w:val="bottom"/>
          </w:tcPr>
          <w:p w14:paraId="392CA735" w14:textId="77777777" w:rsidR="00980E5F" w:rsidRDefault="00980E5F">
            <w:pPr>
              <w:rPr>
                <w:rFonts w:ascii="宋体"/>
                <w:vanish/>
              </w:rPr>
            </w:pPr>
          </w:p>
        </w:tc>
        <w:tc>
          <w:tcPr>
            <w:tcW w:w="0" w:type="auto"/>
            <w:gridSpan w:val="3"/>
            <w:shd w:val="clear" w:color="auto" w:fill="auto"/>
            <w:vAlign w:val="bottom"/>
          </w:tcPr>
          <w:p w14:paraId="392CA736"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37"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A738"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739"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73A" w14:textId="77777777" w:rsidR="00980E5F" w:rsidRDefault="00483613">
            <w:pPr>
              <w:jc w:val="right"/>
              <w:textAlignment w:val="bottom"/>
            </w:pPr>
            <w:r>
              <w:rPr>
                <w:rFonts w:ascii="Arial" w:eastAsia="宋体" w:hAnsi="Arial" w:cs="Arial"/>
                <w:color w:val="000000"/>
                <w:sz w:val="14"/>
                <w:szCs w:val="14"/>
              </w:rPr>
              <w:t>53 </w:t>
            </w:r>
          </w:p>
        </w:tc>
      </w:tr>
      <w:tr w:rsidR="00980E5F" w14:paraId="392CA759" w14:textId="77777777">
        <w:tc>
          <w:tcPr>
            <w:tcW w:w="0" w:type="auto"/>
            <w:gridSpan w:val="3"/>
            <w:shd w:val="clear" w:color="auto" w:fill="FFFFFF"/>
            <w:tcMar>
              <w:top w:w="40" w:type="dxa"/>
              <w:left w:w="20" w:type="dxa"/>
              <w:bottom w:w="40" w:type="dxa"/>
              <w:right w:w="20" w:type="dxa"/>
            </w:tcMar>
            <w:vAlign w:val="bottom"/>
          </w:tcPr>
          <w:p w14:paraId="392CA73C" w14:textId="77777777" w:rsidR="00980E5F" w:rsidRDefault="00483613">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3D" w14:textId="77777777" w:rsidR="00980E5F" w:rsidRDefault="00483613">
            <w:pPr>
              <w:jc w:val="right"/>
              <w:textAlignment w:val="bottom"/>
            </w:pPr>
            <w:r>
              <w:rPr>
                <w:rFonts w:ascii="Arial" w:eastAsia="宋体" w:hAnsi="Arial" w:cs="Arial"/>
                <w:b/>
                <w:bCs/>
                <w:color w:val="000000"/>
                <w:sz w:val="14"/>
                <w:szCs w:val="14"/>
              </w:rPr>
              <w:t>5,033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3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3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40" w14:textId="77777777" w:rsidR="00980E5F" w:rsidRDefault="00483613">
            <w:pPr>
              <w:jc w:val="right"/>
              <w:textAlignment w:val="bottom"/>
            </w:pPr>
            <w:r>
              <w:rPr>
                <w:rFonts w:ascii="Arial" w:eastAsia="宋体" w:hAnsi="Arial" w:cs="Arial"/>
                <w:color w:val="000000"/>
                <w:sz w:val="14"/>
                <w:szCs w:val="14"/>
              </w:rPr>
              <w:t>4,896 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4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42" w14:textId="77777777" w:rsidR="00980E5F" w:rsidRDefault="00980E5F">
            <w:pPr>
              <w:rPr>
                <w:rFonts w:ascii="宋体"/>
              </w:rPr>
            </w:pPr>
          </w:p>
        </w:tc>
        <w:tc>
          <w:tcPr>
            <w:tcW w:w="0" w:type="auto"/>
            <w:shd w:val="clear" w:color="auto" w:fill="auto"/>
            <w:vAlign w:val="bottom"/>
          </w:tcPr>
          <w:p w14:paraId="392CA743" w14:textId="77777777" w:rsidR="00980E5F" w:rsidRDefault="00980E5F">
            <w:pPr>
              <w:rPr>
                <w:rFonts w:ascii="宋体"/>
                <w:vanish/>
              </w:rPr>
            </w:pPr>
          </w:p>
        </w:tc>
        <w:tc>
          <w:tcPr>
            <w:tcW w:w="0" w:type="auto"/>
            <w:shd w:val="clear" w:color="auto" w:fill="auto"/>
            <w:vAlign w:val="bottom"/>
          </w:tcPr>
          <w:p w14:paraId="392CA744"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45" w14:textId="77777777" w:rsidR="00980E5F" w:rsidRDefault="00483613">
            <w:pPr>
              <w:jc w:val="right"/>
              <w:textAlignment w:val="bottom"/>
            </w:pPr>
            <w:r>
              <w:rPr>
                <w:rFonts w:ascii="Arial" w:eastAsia="宋体" w:hAnsi="Arial" w:cs="Arial"/>
                <w:b/>
                <w:bCs/>
                <w:color w:val="000000"/>
                <w:sz w:val="14"/>
                <w:szCs w:val="14"/>
              </w:rPr>
              <w:t>1,001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4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47"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48" w14:textId="77777777" w:rsidR="00980E5F" w:rsidRDefault="00483613">
            <w:pPr>
              <w:jc w:val="right"/>
              <w:textAlignment w:val="bottom"/>
            </w:pPr>
            <w:r>
              <w:rPr>
                <w:rFonts w:ascii="Arial" w:eastAsia="宋体" w:hAnsi="Arial" w:cs="Arial"/>
                <w:color w:val="000000"/>
                <w:sz w:val="14"/>
                <w:szCs w:val="14"/>
              </w:rPr>
              <w:t>1,035 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4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4A" w14:textId="77777777" w:rsidR="00980E5F" w:rsidRDefault="00980E5F">
            <w:pPr>
              <w:rPr>
                <w:rFonts w:ascii="宋体"/>
              </w:rPr>
            </w:pPr>
          </w:p>
        </w:tc>
        <w:tc>
          <w:tcPr>
            <w:tcW w:w="0" w:type="auto"/>
            <w:shd w:val="clear" w:color="auto" w:fill="auto"/>
            <w:vAlign w:val="bottom"/>
          </w:tcPr>
          <w:p w14:paraId="392CA74B" w14:textId="77777777" w:rsidR="00980E5F" w:rsidRDefault="00980E5F">
            <w:pPr>
              <w:rPr>
                <w:rFonts w:ascii="宋体"/>
                <w:vanish/>
              </w:rPr>
            </w:pPr>
          </w:p>
        </w:tc>
        <w:tc>
          <w:tcPr>
            <w:tcW w:w="0" w:type="auto"/>
            <w:shd w:val="clear" w:color="auto" w:fill="auto"/>
            <w:vAlign w:val="bottom"/>
          </w:tcPr>
          <w:p w14:paraId="392CA74C"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4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4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4F" w14:textId="77777777" w:rsidR="00980E5F" w:rsidRDefault="00980E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50"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5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52" w14:textId="77777777" w:rsidR="00980E5F" w:rsidRDefault="00980E5F">
            <w:pPr>
              <w:rPr>
                <w:rFonts w:ascii="宋体"/>
              </w:rPr>
            </w:pPr>
          </w:p>
        </w:tc>
        <w:tc>
          <w:tcPr>
            <w:tcW w:w="0" w:type="auto"/>
            <w:gridSpan w:val="3"/>
            <w:shd w:val="clear" w:color="auto" w:fill="auto"/>
            <w:vAlign w:val="bottom"/>
          </w:tcPr>
          <w:p w14:paraId="392CA753" w14:textId="77777777" w:rsidR="00980E5F" w:rsidRDefault="00980E5F">
            <w:pPr>
              <w:rPr>
                <w:rFonts w:ascii="宋体"/>
                <w:vanish/>
              </w:rPr>
            </w:pPr>
          </w:p>
        </w:tc>
        <w:tc>
          <w:tcPr>
            <w:tcW w:w="0" w:type="auto"/>
            <w:gridSpan w:val="3"/>
            <w:shd w:val="clear" w:color="auto" w:fill="auto"/>
            <w:vAlign w:val="bottom"/>
          </w:tcPr>
          <w:p w14:paraId="392CA754" w14:textId="77777777" w:rsidR="00980E5F" w:rsidRDefault="00980E5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92CA755" w14:textId="77777777" w:rsidR="00980E5F" w:rsidRDefault="00483613">
            <w:pPr>
              <w:jc w:val="right"/>
              <w:textAlignment w:val="bottom"/>
            </w:pPr>
            <w:r>
              <w:rPr>
                <w:rFonts w:ascii="Arial" w:eastAsia="宋体" w:hAnsi="Arial" w:cs="Arial"/>
                <w:b/>
                <w:bCs/>
                <w:color w:val="000000"/>
                <w:sz w:val="14"/>
                <w:szCs w:val="14"/>
              </w:rPr>
              <w:t>6,034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756"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75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758" w14:textId="77777777" w:rsidR="00980E5F" w:rsidRDefault="00483613">
            <w:pPr>
              <w:jc w:val="right"/>
              <w:textAlignment w:val="bottom"/>
            </w:pPr>
            <w:r>
              <w:rPr>
                <w:rFonts w:ascii="Arial" w:eastAsia="宋体" w:hAnsi="Arial" w:cs="Arial"/>
                <w:color w:val="000000"/>
                <w:sz w:val="14"/>
                <w:szCs w:val="14"/>
              </w:rPr>
              <w:t>5,984 </w:t>
            </w:r>
          </w:p>
        </w:tc>
      </w:tr>
      <w:tr w:rsidR="00980E5F" w14:paraId="392CA777" w14:textId="77777777">
        <w:tc>
          <w:tcPr>
            <w:tcW w:w="0" w:type="auto"/>
            <w:gridSpan w:val="3"/>
            <w:shd w:val="clear" w:color="auto" w:fill="CCEEFF"/>
            <w:tcMar>
              <w:top w:w="40" w:type="dxa"/>
              <w:left w:w="20" w:type="dxa"/>
              <w:bottom w:w="40" w:type="dxa"/>
              <w:right w:w="20" w:type="dxa"/>
            </w:tcMar>
            <w:vAlign w:val="bottom"/>
          </w:tcPr>
          <w:p w14:paraId="392CA75A" w14:textId="77777777" w:rsidR="00980E5F" w:rsidRDefault="00483613">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392CA75B"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5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5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5E" w14:textId="77777777" w:rsidR="00980E5F" w:rsidRDefault="00483613">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392CA75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60" w14:textId="77777777" w:rsidR="00980E5F" w:rsidRDefault="00980E5F">
            <w:pPr>
              <w:rPr>
                <w:rFonts w:ascii="宋体"/>
              </w:rPr>
            </w:pPr>
          </w:p>
        </w:tc>
        <w:tc>
          <w:tcPr>
            <w:tcW w:w="0" w:type="auto"/>
            <w:shd w:val="clear" w:color="auto" w:fill="auto"/>
            <w:vAlign w:val="bottom"/>
          </w:tcPr>
          <w:p w14:paraId="392CA761" w14:textId="77777777" w:rsidR="00980E5F" w:rsidRDefault="00980E5F">
            <w:pPr>
              <w:rPr>
                <w:rFonts w:ascii="宋体"/>
                <w:vanish/>
              </w:rPr>
            </w:pPr>
          </w:p>
        </w:tc>
        <w:tc>
          <w:tcPr>
            <w:tcW w:w="0" w:type="auto"/>
            <w:shd w:val="clear" w:color="auto" w:fill="auto"/>
            <w:vAlign w:val="bottom"/>
          </w:tcPr>
          <w:p w14:paraId="392CA76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6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6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6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6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6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68" w14:textId="77777777" w:rsidR="00980E5F" w:rsidRDefault="00980E5F">
            <w:pPr>
              <w:rPr>
                <w:rFonts w:ascii="宋体"/>
              </w:rPr>
            </w:pPr>
          </w:p>
        </w:tc>
        <w:tc>
          <w:tcPr>
            <w:tcW w:w="0" w:type="auto"/>
            <w:shd w:val="clear" w:color="auto" w:fill="auto"/>
            <w:vAlign w:val="bottom"/>
          </w:tcPr>
          <w:p w14:paraId="392CA769" w14:textId="77777777" w:rsidR="00980E5F" w:rsidRDefault="00980E5F">
            <w:pPr>
              <w:rPr>
                <w:rFonts w:ascii="宋体"/>
                <w:vanish/>
              </w:rPr>
            </w:pPr>
          </w:p>
        </w:tc>
        <w:tc>
          <w:tcPr>
            <w:tcW w:w="0" w:type="auto"/>
            <w:shd w:val="clear" w:color="auto" w:fill="auto"/>
            <w:vAlign w:val="bottom"/>
          </w:tcPr>
          <w:p w14:paraId="392CA76A"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6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6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6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76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6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70" w14:textId="77777777" w:rsidR="00980E5F" w:rsidRDefault="00980E5F">
            <w:pPr>
              <w:rPr>
                <w:rFonts w:ascii="宋体"/>
              </w:rPr>
            </w:pPr>
          </w:p>
        </w:tc>
        <w:tc>
          <w:tcPr>
            <w:tcW w:w="0" w:type="auto"/>
            <w:gridSpan w:val="3"/>
            <w:shd w:val="clear" w:color="auto" w:fill="auto"/>
            <w:vAlign w:val="bottom"/>
          </w:tcPr>
          <w:p w14:paraId="392CA771" w14:textId="77777777" w:rsidR="00980E5F" w:rsidRDefault="00980E5F">
            <w:pPr>
              <w:rPr>
                <w:rFonts w:ascii="宋体"/>
                <w:vanish/>
              </w:rPr>
            </w:pPr>
          </w:p>
        </w:tc>
        <w:tc>
          <w:tcPr>
            <w:tcW w:w="0" w:type="auto"/>
            <w:gridSpan w:val="3"/>
            <w:shd w:val="clear" w:color="auto" w:fill="auto"/>
            <w:vAlign w:val="bottom"/>
          </w:tcPr>
          <w:p w14:paraId="392CA772" w14:textId="77777777" w:rsidR="00980E5F" w:rsidRDefault="00980E5F">
            <w:pPr>
              <w:rPr>
                <w:rFonts w:ascii="宋体"/>
                <w:vanish/>
              </w:rPr>
            </w:pPr>
          </w:p>
        </w:tc>
        <w:tc>
          <w:tcPr>
            <w:tcW w:w="0" w:type="auto"/>
            <w:gridSpan w:val="2"/>
            <w:shd w:val="clear" w:color="auto" w:fill="CCEEFF"/>
            <w:tcMar>
              <w:top w:w="40" w:type="dxa"/>
              <w:left w:w="20" w:type="dxa"/>
              <w:bottom w:w="40" w:type="dxa"/>
              <w:right w:w="0" w:type="dxa"/>
            </w:tcMar>
            <w:vAlign w:val="bottom"/>
          </w:tcPr>
          <w:p w14:paraId="392CA773" w14:textId="77777777" w:rsidR="00980E5F" w:rsidRDefault="00483613">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774"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775" w14:textId="77777777" w:rsidR="00980E5F" w:rsidRDefault="00980E5F">
            <w:pPr>
              <w:rPr>
                <w:rFonts w:ascii="宋体"/>
              </w:rPr>
            </w:pPr>
          </w:p>
        </w:tc>
        <w:tc>
          <w:tcPr>
            <w:tcW w:w="0" w:type="auto"/>
            <w:shd w:val="clear" w:color="auto" w:fill="CCEEFF"/>
            <w:tcMar>
              <w:top w:w="40" w:type="dxa"/>
              <w:left w:w="20" w:type="dxa"/>
              <w:bottom w:w="40" w:type="dxa"/>
              <w:right w:w="0" w:type="dxa"/>
            </w:tcMar>
            <w:vAlign w:val="bottom"/>
          </w:tcPr>
          <w:p w14:paraId="392CA776" w14:textId="77777777" w:rsidR="00980E5F" w:rsidRDefault="00483613">
            <w:pPr>
              <w:jc w:val="right"/>
              <w:textAlignment w:val="bottom"/>
            </w:pPr>
            <w:r>
              <w:rPr>
                <w:rFonts w:ascii="Arial" w:eastAsia="宋体" w:hAnsi="Arial" w:cs="Arial"/>
                <w:color w:val="000000"/>
                <w:sz w:val="14"/>
                <w:szCs w:val="14"/>
              </w:rPr>
              <w:t>(24)</w:t>
            </w:r>
          </w:p>
        </w:tc>
      </w:tr>
      <w:tr w:rsidR="00980E5F" w14:paraId="392CA78E" w14:textId="77777777">
        <w:trPr>
          <w:hidden/>
        </w:trPr>
        <w:tc>
          <w:tcPr>
            <w:tcW w:w="0" w:type="auto"/>
            <w:gridSpan w:val="3"/>
            <w:shd w:val="clear" w:color="auto" w:fill="auto"/>
            <w:vAlign w:val="bottom"/>
          </w:tcPr>
          <w:p w14:paraId="392CA778" w14:textId="77777777" w:rsidR="00980E5F" w:rsidRDefault="00980E5F">
            <w:pPr>
              <w:rPr>
                <w:rFonts w:ascii="宋体"/>
                <w:vanish/>
              </w:rPr>
            </w:pPr>
          </w:p>
        </w:tc>
        <w:tc>
          <w:tcPr>
            <w:tcW w:w="0" w:type="auto"/>
            <w:gridSpan w:val="3"/>
            <w:shd w:val="clear" w:color="auto" w:fill="auto"/>
            <w:vAlign w:val="bottom"/>
          </w:tcPr>
          <w:p w14:paraId="392CA779" w14:textId="77777777" w:rsidR="00980E5F" w:rsidRDefault="00980E5F">
            <w:pPr>
              <w:rPr>
                <w:rFonts w:ascii="宋体"/>
                <w:vanish/>
              </w:rPr>
            </w:pPr>
          </w:p>
        </w:tc>
        <w:tc>
          <w:tcPr>
            <w:tcW w:w="0" w:type="auto"/>
            <w:gridSpan w:val="3"/>
            <w:shd w:val="clear" w:color="auto" w:fill="auto"/>
            <w:vAlign w:val="bottom"/>
          </w:tcPr>
          <w:p w14:paraId="392CA77A" w14:textId="77777777" w:rsidR="00980E5F" w:rsidRDefault="00980E5F">
            <w:pPr>
              <w:rPr>
                <w:rFonts w:ascii="宋体"/>
                <w:vanish/>
              </w:rPr>
            </w:pPr>
          </w:p>
        </w:tc>
        <w:tc>
          <w:tcPr>
            <w:tcW w:w="0" w:type="auto"/>
            <w:gridSpan w:val="3"/>
            <w:shd w:val="clear" w:color="auto" w:fill="auto"/>
            <w:vAlign w:val="bottom"/>
          </w:tcPr>
          <w:p w14:paraId="392CA77B" w14:textId="77777777" w:rsidR="00980E5F" w:rsidRDefault="00980E5F">
            <w:pPr>
              <w:rPr>
                <w:rFonts w:ascii="宋体"/>
                <w:vanish/>
              </w:rPr>
            </w:pPr>
          </w:p>
        </w:tc>
        <w:tc>
          <w:tcPr>
            <w:tcW w:w="0" w:type="auto"/>
            <w:gridSpan w:val="3"/>
            <w:shd w:val="clear" w:color="auto" w:fill="auto"/>
            <w:vAlign w:val="bottom"/>
          </w:tcPr>
          <w:p w14:paraId="392CA77C" w14:textId="77777777" w:rsidR="00980E5F" w:rsidRDefault="00980E5F">
            <w:pPr>
              <w:rPr>
                <w:rFonts w:ascii="宋体"/>
                <w:vanish/>
              </w:rPr>
            </w:pPr>
          </w:p>
        </w:tc>
        <w:tc>
          <w:tcPr>
            <w:tcW w:w="0" w:type="auto"/>
            <w:shd w:val="clear" w:color="auto" w:fill="auto"/>
            <w:vAlign w:val="bottom"/>
          </w:tcPr>
          <w:p w14:paraId="392CA77D" w14:textId="77777777" w:rsidR="00980E5F" w:rsidRDefault="00980E5F">
            <w:pPr>
              <w:rPr>
                <w:rFonts w:ascii="宋体"/>
                <w:vanish/>
              </w:rPr>
            </w:pPr>
          </w:p>
        </w:tc>
        <w:tc>
          <w:tcPr>
            <w:tcW w:w="0" w:type="auto"/>
            <w:shd w:val="clear" w:color="auto" w:fill="auto"/>
            <w:vAlign w:val="bottom"/>
          </w:tcPr>
          <w:p w14:paraId="392CA77E" w14:textId="77777777" w:rsidR="00980E5F" w:rsidRDefault="00980E5F">
            <w:pPr>
              <w:rPr>
                <w:rFonts w:ascii="宋体"/>
                <w:vanish/>
              </w:rPr>
            </w:pPr>
          </w:p>
        </w:tc>
        <w:tc>
          <w:tcPr>
            <w:tcW w:w="0" w:type="auto"/>
            <w:gridSpan w:val="3"/>
            <w:shd w:val="clear" w:color="auto" w:fill="auto"/>
            <w:vAlign w:val="bottom"/>
          </w:tcPr>
          <w:p w14:paraId="392CA77F" w14:textId="77777777" w:rsidR="00980E5F" w:rsidRDefault="00980E5F">
            <w:pPr>
              <w:rPr>
                <w:rFonts w:ascii="宋体"/>
                <w:vanish/>
              </w:rPr>
            </w:pPr>
          </w:p>
        </w:tc>
        <w:tc>
          <w:tcPr>
            <w:tcW w:w="0" w:type="auto"/>
            <w:gridSpan w:val="3"/>
            <w:shd w:val="clear" w:color="auto" w:fill="auto"/>
            <w:vAlign w:val="bottom"/>
          </w:tcPr>
          <w:p w14:paraId="392CA780" w14:textId="77777777" w:rsidR="00980E5F" w:rsidRDefault="00980E5F">
            <w:pPr>
              <w:rPr>
                <w:rFonts w:ascii="宋体"/>
                <w:vanish/>
              </w:rPr>
            </w:pPr>
          </w:p>
        </w:tc>
        <w:tc>
          <w:tcPr>
            <w:tcW w:w="0" w:type="auto"/>
            <w:gridSpan w:val="3"/>
            <w:shd w:val="clear" w:color="auto" w:fill="auto"/>
            <w:vAlign w:val="bottom"/>
          </w:tcPr>
          <w:p w14:paraId="392CA781" w14:textId="77777777" w:rsidR="00980E5F" w:rsidRDefault="00980E5F">
            <w:pPr>
              <w:rPr>
                <w:rFonts w:ascii="宋体"/>
                <w:vanish/>
              </w:rPr>
            </w:pPr>
          </w:p>
        </w:tc>
        <w:tc>
          <w:tcPr>
            <w:tcW w:w="0" w:type="auto"/>
            <w:gridSpan w:val="3"/>
            <w:shd w:val="clear" w:color="auto" w:fill="auto"/>
            <w:vAlign w:val="bottom"/>
          </w:tcPr>
          <w:p w14:paraId="392CA782" w14:textId="77777777" w:rsidR="00980E5F" w:rsidRDefault="00980E5F">
            <w:pPr>
              <w:rPr>
                <w:rFonts w:ascii="宋体"/>
                <w:vanish/>
              </w:rPr>
            </w:pPr>
          </w:p>
        </w:tc>
        <w:tc>
          <w:tcPr>
            <w:tcW w:w="0" w:type="auto"/>
            <w:shd w:val="clear" w:color="auto" w:fill="auto"/>
            <w:vAlign w:val="bottom"/>
          </w:tcPr>
          <w:p w14:paraId="392CA783" w14:textId="77777777" w:rsidR="00980E5F" w:rsidRDefault="00980E5F">
            <w:pPr>
              <w:rPr>
                <w:rFonts w:ascii="宋体"/>
                <w:vanish/>
              </w:rPr>
            </w:pPr>
          </w:p>
        </w:tc>
        <w:tc>
          <w:tcPr>
            <w:tcW w:w="0" w:type="auto"/>
            <w:shd w:val="clear" w:color="auto" w:fill="auto"/>
            <w:vAlign w:val="bottom"/>
          </w:tcPr>
          <w:p w14:paraId="392CA784" w14:textId="77777777" w:rsidR="00980E5F" w:rsidRDefault="00980E5F">
            <w:pPr>
              <w:rPr>
                <w:rFonts w:ascii="宋体"/>
                <w:vanish/>
              </w:rPr>
            </w:pPr>
          </w:p>
        </w:tc>
        <w:tc>
          <w:tcPr>
            <w:tcW w:w="0" w:type="auto"/>
            <w:gridSpan w:val="3"/>
            <w:shd w:val="clear" w:color="auto" w:fill="auto"/>
            <w:vAlign w:val="bottom"/>
          </w:tcPr>
          <w:p w14:paraId="392CA785" w14:textId="77777777" w:rsidR="00980E5F" w:rsidRDefault="00980E5F">
            <w:pPr>
              <w:rPr>
                <w:rFonts w:ascii="宋体"/>
                <w:vanish/>
              </w:rPr>
            </w:pPr>
          </w:p>
        </w:tc>
        <w:tc>
          <w:tcPr>
            <w:tcW w:w="0" w:type="auto"/>
            <w:gridSpan w:val="3"/>
            <w:shd w:val="clear" w:color="auto" w:fill="auto"/>
            <w:vAlign w:val="bottom"/>
          </w:tcPr>
          <w:p w14:paraId="392CA786" w14:textId="77777777" w:rsidR="00980E5F" w:rsidRDefault="00980E5F">
            <w:pPr>
              <w:rPr>
                <w:rFonts w:ascii="宋体"/>
                <w:vanish/>
              </w:rPr>
            </w:pPr>
          </w:p>
        </w:tc>
        <w:tc>
          <w:tcPr>
            <w:tcW w:w="0" w:type="auto"/>
            <w:gridSpan w:val="3"/>
            <w:shd w:val="clear" w:color="auto" w:fill="auto"/>
            <w:vAlign w:val="bottom"/>
          </w:tcPr>
          <w:p w14:paraId="392CA787" w14:textId="77777777" w:rsidR="00980E5F" w:rsidRDefault="00980E5F">
            <w:pPr>
              <w:rPr>
                <w:rFonts w:ascii="宋体"/>
                <w:vanish/>
              </w:rPr>
            </w:pPr>
          </w:p>
        </w:tc>
        <w:tc>
          <w:tcPr>
            <w:tcW w:w="0" w:type="auto"/>
            <w:gridSpan w:val="3"/>
            <w:shd w:val="clear" w:color="auto" w:fill="auto"/>
            <w:vAlign w:val="bottom"/>
          </w:tcPr>
          <w:p w14:paraId="392CA788" w14:textId="77777777" w:rsidR="00980E5F" w:rsidRDefault="00980E5F">
            <w:pPr>
              <w:rPr>
                <w:rFonts w:ascii="宋体"/>
                <w:vanish/>
              </w:rPr>
            </w:pPr>
          </w:p>
        </w:tc>
        <w:tc>
          <w:tcPr>
            <w:tcW w:w="0" w:type="auto"/>
            <w:gridSpan w:val="3"/>
            <w:shd w:val="clear" w:color="auto" w:fill="auto"/>
            <w:vAlign w:val="bottom"/>
          </w:tcPr>
          <w:p w14:paraId="392CA789" w14:textId="77777777" w:rsidR="00980E5F" w:rsidRDefault="00980E5F">
            <w:pPr>
              <w:rPr>
                <w:rFonts w:ascii="宋体"/>
                <w:vanish/>
              </w:rPr>
            </w:pPr>
          </w:p>
        </w:tc>
        <w:tc>
          <w:tcPr>
            <w:tcW w:w="0" w:type="auto"/>
            <w:gridSpan w:val="3"/>
            <w:shd w:val="clear" w:color="auto" w:fill="auto"/>
            <w:vAlign w:val="bottom"/>
          </w:tcPr>
          <w:p w14:paraId="392CA78A" w14:textId="77777777" w:rsidR="00980E5F" w:rsidRDefault="00980E5F">
            <w:pPr>
              <w:rPr>
                <w:rFonts w:ascii="宋体"/>
                <w:vanish/>
              </w:rPr>
            </w:pPr>
          </w:p>
        </w:tc>
        <w:tc>
          <w:tcPr>
            <w:tcW w:w="0" w:type="auto"/>
            <w:gridSpan w:val="3"/>
            <w:shd w:val="clear" w:color="auto" w:fill="auto"/>
            <w:vAlign w:val="bottom"/>
          </w:tcPr>
          <w:p w14:paraId="392CA78B" w14:textId="77777777" w:rsidR="00980E5F" w:rsidRDefault="00980E5F">
            <w:pPr>
              <w:rPr>
                <w:rFonts w:ascii="宋体"/>
                <w:vanish/>
              </w:rPr>
            </w:pPr>
          </w:p>
        </w:tc>
        <w:tc>
          <w:tcPr>
            <w:tcW w:w="0" w:type="auto"/>
            <w:gridSpan w:val="2"/>
            <w:shd w:val="clear" w:color="auto" w:fill="auto"/>
            <w:vAlign w:val="bottom"/>
          </w:tcPr>
          <w:p w14:paraId="392CA78C" w14:textId="77777777" w:rsidR="00980E5F" w:rsidRDefault="00980E5F">
            <w:pPr>
              <w:rPr>
                <w:rFonts w:ascii="宋体"/>
                <w:vanish/>
              </w:rPr>
            </w:pPr>
          </w:p>
        </w:tc>
        <w:tc>
          <w:tcPr>
            <w:tcW w:w="0" w:type="auto"/>
            <w:shd w:val="clear" w:color="auto" w:fill="auto"/>
            <w:vAlign w:val="bottom"/>
          </w:tcPr>
          <w:p w14:paraId="392CA78D" w14:textId="77777777" w:rsidR="00980E5F" w:rsidRDefault="00980E5F">
            <w:pPr>
              <w:rPr>
                <w:rFonts w:ascii="宋体"/>
                <w:vanish/>
              </w:rPr>
            </w:pPr>
          </w:p>
        </w:tc>
      </w:tr>
      <w:tr w:rsidR="00980E5F" w14:paraId="392CA7A5" w14:textId="77777777">
        <w:trPr>
          <w:hidden/>
        </w:trPr>
        <w:tc>
          <w:tcPr>
            <w:tcW w:w="0" w:type="auto"/>
            <w:gridSpan w:val="3"/>
            <w:shd w:val="clear" w:color="auto" w:fill="auto"/>
            <w:vAlign w:val="bottom"/>
          </w:tcPr>
          <w:p w14:paraId="392CA78F" w14:textId="77777777" w:rsidR="00980E5F" w:rsidRDefault="00980E5F">
            <w:pPr>
              <w:rPr>
                <w:rFonts w:ascii="宋体"/>
                <w:vanish/>
              </w:rPr>
            </w:pPr>
          </w:p>
        </w:tc>
        <w:tc>
          <w:tcPr>
            <w:tcW w:w="0" w:type="auto"/>
            <w:gridSpan w:val="3"/>
            <w:shd w:val="clear" w:color="auto" w:fill="auto"/>
            <w:vAlign w:val="bottom"/>
          </w:tcPr>
          <w:p w14:paraId="392CA790" w14:textId="77777777" w:rsidR="00980E5F" w:rsidRDefault="00980E5F">
            <w:pPr>
              <w:rPr>
                <w:rFonts w:ascii="宋体"/>
                <w:vanish/>
              </w:rPr>
            </w:pPr>
          </w:p>
        </w:tc>
        <w:tc>
          <w:tcPr>
            <w:tcW w:w="0" w:type="auto"/>
            <w:gridSpan w:val="3"/>
            <w:shd w:val="clear" w:color="auto" w:fill="auto"/>
            <w:vAlign w:val="bottom"/>
          </w:tcPr>
          <w:p w14:paraId="392CA791" w14:textId="77777777" w:rsidR="00980E5F" w:rsidRDefault="00980E5F">
            <w:pPr>
              <w:rPr>
                <w:rFonts w:ascii="宋体"/>
                <w:vanish/>
              </w:rPr>
            </w:pPr>
          </w:p>
        </w:tc>
        <w:tc>
          <w:tcPr>
            <w:tcW w:w="0" w:type="auto"/>
            <w:gridSpan w:val="3"/>
            <w:shd w:val="clear" w:color="auto" w:fill="auto"/>
            <w:vAlign w:val="bottom"/>
          </w:tcPr>
          <w:p w14:paraId="392CA792" w14:textId="77777777" w:rsidR="00980E5F" w:rsidRDefault="00980E5F">
            <w:pPr>
              <w:rPr>
                <w:rFonts w:ascii="宋体"/>
                <w:vanish/>
              </w:rPr>
            </w:pPr>
          </w:p>
        </w:tc>
        <w:tc>
          <w:tcPr>
            <w:tcW w:w="0" w:type="auto"/>
            <w:gridSpan w:val="3"/>
            <w:shd w:val="clear" w:color="auto" w:fill="auto"/>
            <w:vAlign w:val="bottom"/>
          </w:tcPr>
          <w:p w14:paraId="392CA793" w14:textId="77777777" w:rsidR="00980E5F" w:rsidRDefault="00980E5F">
            <w:pPr>
              <w:rPr>
                <w:rFonts w:ascii="宋体"/>
                <w:vanish/>
              </w:rPr>
            </w:pPr>
          </w:p>
        </w:tc>
        <w:tc>
          <w:tcPr>
            <w:tcW w:w="0" w:type="auto"/>
            <w:shd w:val="clear" w:color="auto" w:fill="auto"/>
            <w:vAlign w:val="bottom"/>
          </w:tcPr>
          <w:p w14:paraId="392CA794" w14:textId="77777777" w:rsidR="00980E5F" w:rsidRDefault="00980E5F">
            <w:pPr>
              <w:rPr>
                <w:rFonts w:ascii="宋体"/>
                <w:vanish/>
              </w:rPr>
            </w:pPr>
          </w:p>
        </w:tc>
        <w:tc>
          <w:tcPr>
            <w:tcW w:w="0" w:type="auto"/>
            <w:shd w:val="clear" w:color="auto" w:fill="auto"/>
            <w:vAlign w:val="bottom"/>
          </w:tcPr>
          <w:p w14:paraId="392CA795" w14:textId="77777777" w:rsidR="00980E5F" w:rsidRDefault="00980E5F">
            <w:pPr>
              <w:rPr>
                <w:rFonts w:ascii="宋体"/>
                <w:vanish/>
              </w:rPr>
            </w:pPr>
          </w:p>
        </w:tc>
        <w:tc>
          <w:tcPr>
            <w:tcW w:w="0" w:type="auto"/>
            <w:gridSpan w:val="3"/>
            <w:shd w:val="clear" w:color="auto" w:fill="auto"/>
            <w:vAlign w:val="bottom"/>
          </w:tcPr>
          <w:p w14:paraId="392CA796" w14:textId="77777777" w:rsidR="00980E5F" w:rsidRDefault="00980E5F">
            <w:pPr>
              <w:rPr>
                <w:rFonts w:ascii="宋体"/>
                <w:vanish/>
              </w:rPr>
            </w:pPr>
          </w:p>
        </w:tc>
        <w:tc>
          <w:tcPr>
            <w:tcW w:w="0" w:type="auto"/>
            <w:gridSpan w:val="3"/>
            <w:shd w:val="clear" w:color="auto" w:fill="auto"/>
            <w:vAlign w:val="bottom"/>
          </w:tcPr>
          <w:p w14:paraId="392CA797" w14:textId="77777777" w:rsidR="00980E5F" w:rsidRDefault="00980E5F">
            <w:pPr>
              <w:rPr>
                <w:rFonts w:ascii="宋体"/>
                <w:vanish/>
              </w:rPr>
            </w:pPr>
          </w:p>
        </w:tc>
        <w:tc>
          <w:tcPr>
            <w:tcW w:w="0" w:type="auto"/>
            <w:gridSpan w:val="3"/>
            <w:shd w:val="clear" w:color="auto" w:fill="auto"/>
            <w:vAlign w:val="bottom"/>
          </w:tcPr>
          <w:p w14:paraId="392CA798" w14:textId="77777777" w:rsidR="00980E5F" w:rsidRDefault="00980E5F">
            <w:pPr>
              <w:rPr>
                <w:rFonts w:ascii="宋体"/>
                <w:vanish/>
              </w:rPr>
            </w:pPr>
          </w:p>
        </w:tc>
        <w:tc>
          <w:tcPr>
            <w:tcW w:w="0" w:type="auto"/>
            <w:gridSpan w:val="3"/>
            <w:shd w:val="clear" w:color="auto" w:fill="auto"/>
            <w:vAlign w:val="bottom"/>
          </w:tcPr>
          <w:p w14:paraId="392CA799" w14:textId="77777777" w:rsidR="00980E5F" w:rsidRDefault="00980E5F">
            <w:pPr>
              <w:rPr>
                <w:rFonts w:ascii="宋体"/>
                <w:vanish/>
              </w:rPr>
            </w:pPr>
          </w:p>
        </w:tc>
        <w:tc>
          <w:tcPr>
            <w:tcW w:w="0" w:type="auto"/>
            <w:shd w:val="clear" w:color="auto" w:fill="auto"/>
            <w:vAlign w:val="bottom"/>
          </w:tcPr>
          <w:p w14:paraId="392CA79A" w14:textId="77777777" w:rsidR="00980E5F" w:rsidRDefault="00980E5F">
            <w:pPr>
              <w:rPr>
                <w:rFonts w:ascii="宋体"/>
                <w:vanish/>
              </w:rPr>
            </w:pPr>
          </w:p>
        </w:tc>
        <w:tc>
          <w:tcPr>
            <w:tcW w:w="0" w:type="auto"/>
            <w:shd w:val="clear" w:color="auto" w:fill="auto"/>
            <w:vAlign w:val="bottom"/>
          </w:tcPr>
          <w:p w14:paraId="392CA79B" w14:textId="77777777" w:rsidR="00980E5F" w:rsidRDefault="00980E5F">
            <w:pPr>
              <w:rPr>
                <w:rFonts w:ascii="宋体"/>
                <w:vanish/>
              </w:rPr>
            </w:pPr>
          </w:p>
        </w:tc>
        <w:tc>
          <w:tcPr>
            <w:tcW w:w="0" w:type="auto"/>
            <w:gridSpan w:val="3"/>
            <w:shd w:val="clear" w:color="auto" w:fill="auto"/>
            <w:vAlign w:val="bottom"/>
          </w:tcPr>
          <w:p w14:paraId="392CA79C" w14:textId="77777777" w:rsidR="00980E5F" w:rsidRDefault="00980E5F">
            <w:pPr>
              <w:rPr>
                <w:rFonts w:ascii="宋体"/>
                <w:vanish/>
              </w:rPr>
            </w:pPr>
          </w:p>
        </w:tc>
        <w:tc>
          <w:tcPr>
            <w:tcW w:w="0" w:type="auto"/>
            <w:gridSpan w:val="3"/>
            <w:shd w:val="clear" w:color="auto" w:fill="auto"/>
            <w:vAlign w:val="bottom"/>
          </w:tcPr>
          <w:p w14:paraId="392CA79D" w14:textId="77777777" w:rsidR="00980E5F" w:rsidRDefault="00980E5F">
            <w:pPr>
              <w:rPr>
                <w:rFonts w:ascii="宋体"/>
                <w:vanish/>
              </w:rPr>
            </w:pPr>
          </w:p>
        </w:tc>
        <w:tc>
          <w:tcPr>
            <w:tcW w:w="0" w:type="auto"/>
            <w:gridSpan w:val="3"/>
            <w:shd w:val="clear" w:color="auto" w:fill="auto"/>
            <w:vAlign w:val="bottom"/>
          </w:tcPr>
          <w:p w14:paraId="392CA79E" w14:textId="77777777" w:rsidR="00980E5F" w:rsidRDefault="00980E5F">
            <w:pPr>
              <w:rPr>
                <w:rFonts w:ascii="宋体"/>
                <w:vanish/>
              </w:rPr>
            </w:pPr>
          </w:p>
        </w:tc>
        <w:tc>
          <w:tcPr>
            <w:tcW w:w="0" w:type="auto"/>
            <w:gridSpan w:val="3"/>
            <w:shd w:val="clear" w:color="auto" w:fill="auto"/>
            <w:vAlign w:val="bottom"/>
          </w:tcPr>
          <w:p w14:paraId="392CA79F" w14:textId="77777777" w:rsidR="00980E5F" w:rsidRDefault="00980E5F">
            <w:pPr>
              <w:rPr>
                <w:rFonts w:ascii="宋体"/>
                <w:vanish/>
              </w:rPr>
            </w:pPr>
          </w:p>
        </w:tc>
        <w:tc>
          <w:tcPr>
            <w:tcW w:w="0" w:type="auto"/>
            <w:gridSpan w:val="3"/>
            <w:shd w:val="clear" w:color="auto" w:fill="auto"/>
            <w:vAlign w:val="bottom"/>
          </w:tcPr>
          <w:p w14:paraId="392CA7A0" w14:textId="77777777" w:rsidR="00980E5F" w:rsidRDefault="00980E5F">
            <w:pPr>
              <w:rPr>
                <w:rFonts w:ascii="宋体"/>
                <w:vanish/>
              </w:rPr>
            </w:pPr>
          </w:p>
        </w:tc>
        <w:tc>
          <w:tcPr>
            <w:tcW w:w="0" w:type="auto"/>
            <w:gridSpan w:val="3"/>
            <w:shd w:val="clear" w:color="auto" w:fill="auto"/>
            <w:vAlign w:val="bottom"/>
          </w:tcPr>
          <w:p w14:paraId="392CA7A1" w14:textId="77777777" w:rsidR="00980E5F" w:rsidRDefault="00980E5F">
            <w:pPr>
              <w:rPr>
                <w:rFonts w:ascii="宋体"/>
                <w:vanish/>
              </w:rPr>
            </w:pPr>
          </w:p>
        </w:tc>
        <w:tc>
          <w:tcPr>
            <w:tcW w:w="0" w:type="auto"/>
            <w:gridSpan w:val="3"/>
            <w:shd w:val="clear" w:color="auto" w:fill="auto"/>
            <w:vAlign w:val="bottom"/>
          </w:tcPr>
          <w:p w14:paraId="392CA7A2" w14:textId="77777777" w:rsidR="00980E5F" w:rsidRDefault="00980E5F">
            <w:pPr>
              <w:rPr>
                <w:rFonts w:ascii="宋体"/>
                <w:vanish/>
              </w:rPr>
            </w:pPr>
          </w:p>
        </w:tc>
        <w:tc>
          <w:tcPr>
            <w:tcW w:w="0" w:type="auto"/>
            <w:gridSpan w:val="2"/>
            <w:shd w:val="clear" w:color="auto" w:fill="auto"/>
            <w:vAlign w:val="bottom"/>
          </w:tcPr>
          <w:p w14:paraId="392CA7A3" w14:textId="77777777" w:rsidR="00980E5F" w:rsidRDefault="00980E5F">
            <w:pPr>
              <w:rPr>
                <w:rFonts w:ascii="宋体"/>
                <w:vanish/>
              </w:rPr>
            </w:pPr>
          </w:p>
        </w:tc>
        <w:tc>
          <w:tcPr>
            <w:tcW w:w="0" w:type="auto"/>
            <w:shd w:val="clear" w:color="auto" w:fill="auto"/>
            <w:vAlign w:val="bottom"/>
          </w:tcPr>
          <w:p w14:paraId="392CA7A4" w14:textId="77777777" w:rsidR="00980E5F" w:rsidRDefault="00980E5F">
            <w:pPr>
              <w:rPr>
                <w:rFonts w:ascii="宋体"/>
                <w:vanish/>
              </w:rPr>
            </w:pPr>
          </w:p>
        </w:tc>
      </w:tr>
      <w:tr w:rsidR="00980E5F" w14:paraId="392CA7BC" w14:textId="77777777">
        <w:trPr>
          <w:hidden/>
        </w:trPr>
        <w:tc>
          <w:tcPr>
            <w:tcW w:w="0" w:type="auto"/>
            <w:gridSpan w:val="3"/>
            <w:shd w:val="clear" w:color="auto" w:fill="auto"/>
            <w:vAlign w:val="bottom"/>
          </w:tcPr>
          <w:p w14:paraId="392CA7A6" w14:textId="77777777" w:rsidR="00980E5F" w:rsidRDefault="00980E5F">
            <w:pPr>
              <w:rPr>
                <w:rFonts w:ascii="宋体"/>
                <w:vanish/>
              </w:rPr>
            </w:pPr>
          </w:p>
        </w:tc>
        <w:tc>
          <w:tcPr>
            <w:tcW w:w="0" w:type="auto"/>
            <w:gridSpan w:val="3"/>
            <w:shd w:val="clear" w:color="auto" w:fill="auto"/>
            <w:vAlign w:val="bottom"/>
          </w:tcPr>
          <w:p w14:paraId="392CA7A7" w14:textId="77777777" w:rsidR="00980E5F" w:rsidRDefault="00980E5F">
            <w:pPr>
              <w:rPr>
                <w:rFonts w:ascii="宋体"/>
                <w:vanish/>
              </w:rPr>
            </w:pPr>
          </w:p>
        </w:tc>
        <w:tc>
          <w:tcPr>
            <w:tcW w:w="0" w:type="auto"/>
            <w:gridSpan w:val="3"/>
            <w:shd w:val="clear" w:color="auto" w:fill="auto"/>
            <w:vAlign w:val="bottom"/>
          </w:tcPr>
          <w:p w14:paraId="392CA7A8" w14:textId="77777777" w:rsidR="00980E5F" w:rsidRDefault="00980E5F">
            <w:pPr>
              <w:rPr>
                <w:rFonts w:ascii="宋体"/>
                <w:vanish/>
              </w:rPr>
            </w:pPr>
          </w:p>
        </w:tc>
        <w:tc>
          <w:tcPr>
            <w:tcW w:w="0" w:type="auto"/>
            <w:gridSpan w:val="3"/>
            <w:shd w:val="clear" w:color="auto" w:fill="auto"/>
            <w:vAlign w:val="bottom"/>
          </w:tcPr>
          <w:p w14:paraId="392CA7A9" w14:textId="77777777" w:rsidR="00980E5F" w:rsidRDefault="00980E5F">
            <w:pPr>
              <w:rPr>
                <w:rFonts w:ascii="宋体"/>
                <w:vanish/>
              </w:rPr>
            </w:pPr>
          </w:p>
        </w:tc>
        <w:tc>
          <w:tcPr>
            <w:tcW w:w="0" w:type="auto"/>
            <w:gridSpan w:val="3"/>
            <w:shd w:val="clear" w:color="auto" w:fill="auto"/>
            <w:vAlign w:val="bottom"/>
          </w:tcPr>
          <w:p w14:paraId="392CA7AA" w14:textId="77777777" w:rsidR="00980E5F" w:rsidRDefault="00980E5F">
            <w:pPr>
              <w:rPr>
                <w:rFonts w:ascii="宋体"/>
                <w:vanish/>
              </w:rPr>
            </w:pPr>
          </w:p>
        </w:tc>
        <w:tc>
          <w:tcPr>
            <w:tcW w:w="0" w:type="auto"/>
            <w:shd w:val="clear" w:color="auto" w:fill="auto"/>
            <w:vAlign w:val="bottom"/>
          </w:tcPr>
          <w:p w14:paraId="392CA7AB" w14:textId="77777777" w:rsidR="00980E5F" w:rsidRDefault="00980E5F">
            <w:pPr>
              <w:rPr>
                <w:rFonts w:ascii="宋体"/>
                <w:vanish/>
              </w:rPr>
            </w:pPr>
          </w:p>
        </w:tc>
        <w:tc>
          <w:tcPr>
            <w:tcW w:w="0" w:type="auto"/>
            <w:shd w:val="clear" w:color="auto" w:fill="auto"/>
            <w:vAlign w:val="bottom"/>
          </w:tcPr>
          <w:p w14:paraId="392CA7AC" w14:textId="77777777" w:rsidR="00980E5F" w:rsidRDefault="00980E5F">
            <w:pPr>
              <w:rPr>
                <w:rFonts w:ascii="宋体"/>
                <w:vanish/>
              </w:rPr>
            </w:pPr>
          </w:p>
        </w:tc>
        <w:tc>
          <w:tcPr>
            <w:tcW w:w="0" w:type="auto"/>
            <w:gridSpan w:val="3"/>
            <w:shd w:val="clear" w:color="auto" w:fill="auto"/>
            <w:vAlign w:val="bottom"/>
          </w:tcPr>
          <w:p w14:paraId="392CA7AD" w14:textId="77777777" w:rsidR="00980E5F" w:rsidRDefault="00980E5F">
            <w:pPr>
              <w:rPr>
                <w:rFonts w:ascii="宋体"/>
                <w:vanish/>
              </w:rPr>
            </w:pPr>
          </w:p>
        </w:tc>
        <w:tc>
          <w:tcPr>
            <w:tcW w:w="0" w:type="auto"/>
            <w:gridSpan w:val="3"/>
            <w:shd w:val="clear" w:color="auto" w:fill="auto"/>
            <w:vAlign w:val="bottom"/>
          </w:tcPr>
          <w:p w14:paraId="392CA7AE" w14:textId="77777777" w:rsidR="00980E5F" w:rsidRDefault="00980E5F">
            <w:pPr>
              <w:rPr>
                <w:rFonts w:ascii="宋体"/>
                <w:vanish/>
              </w:rPr>
            </w:pPr>
          </w:p>
        </w:tc>
        <w:tc>
          <w:tcPr>
            <w:tcW w:w="0" w:type="auto"/>
            <w:gridSpan w:val="3"/>
            <w:shd w:val="clear" w:color="auto" w:fill="auto"/>
            <w:vAlign w:val="bottom"/>
          </w:tcPr>
          <w:p w14:paraId="392CA7AF" w14:textId="77777777" w:rsidR="00980E5F" w:rsidRDefault="00980E5F">
            <w:pPr>
              <w:rPr>
                <w:rFonts w:ascii="宋体"/>
                <w:vanish/>
              </w:rPr>
            </w:pPr>
          </w:p>
        </w:tc>
        <w:tc>
          <w:tcPr>
            <w:tcW w:w="0" w:type="auto"/>
            <w:gridSpan w:val="3"/>
            <w:shd w:val="clear" w:color="auto" w:fill="auto"/>
            <w:vAlign w:val="bottom"/>
          </w:tcPr>
          <w:p w14:paraId="392CA7B0" w14:textId="77777777" w:rsidR="00980E5F" w:rsidRDefault="00980E5F">
            <w:pPr>
              <w:rPr>
                <w:rFonts w:ascii="宋体"/>
                <w:vanish/>
              </w:rPr>
            </w:pPr>
          </w:p>
        </w:tc>
        <w:tc>
          <w:tcPr>
            <w:tcW w:w="0" w:type="auto"/>
            <w:shd w:val="clear" w:color="auto" w:fill="auto"/>
            <w:vAlign w:val="bottom"/>
          </w:tcPr>
          <w:p w14:paraId="392CA7B1" w14:textId="77777777" w:rsidR="00980E5F" w:rsidRDefault="00980E5F">
            <w:pPr>
              <w:rPr>
                <w:rFonts w:ascii="宋体"/>
                <w:vanish/>
              </w:rPr>
            </w:pPr>
          </w:p>
        </w:tc>
        <w:tc>
          <w:tcPr>
            <w:tcW w:w="0" w:type="auto"/>
            <w:shd w:val="clear" w:color="auto" w:fill="auto"/>
            <w:vAlign w:val="bottom"/>
          </w:tcPr>
          <w:p w14:paraId="392CA7B2" w14:textId="77777777" w:rsidR="00980E5F" w:rsidRDefault="00980E5F">
            <w:pPr>
              <w:rPr>
                <w:rFonts w:ascii="宋体"/>
                <w:vanish/>
              </w:rPr>
            </w:pPr>
          </w:p>
        </w:tc>
        <w:tc>
          <w:tcPr>
            <w:tcW w:w="0" w:type="auto"/>
            <w:gridSpan w:val="3"/>
            <w:shd w:val="clear" w:color="auto" w:fill="auto"/>
            <w:vAlign w:val="bottom"/>
          </w:tcPr>
          <w:p w14:paraId="392CA7B3" w14:textId="77777777" w:rsidR="00980E5F" w:rsidRDefault="00980E5F">
            <w:pPr>
              <w:rPr>
                <w:rFonts w:ascii="宋体"/>
                <w:vanish/>
              </w:rPr>
            </w:pPr>
          </w:p>
        </w:tc>
        <w:tc>
          <w:tcPr>
            <w:tcW w:w="0" w:type="auto"/>
            <w:gridSpan w:val="3"/>
            <w:shd w:val="clear" w:color="auto" w:fill="auto"/>
            <w:vAlign w:val="bottom"/>
          </w:tcPr>
          <w:p w14:paraId="392CA7B4" w14:textId="77777777" w:rsidR="00980E5F" w:rsidRDefault="00980E5F">
            <w:pPr>
              <w:rPr>
                <w:rFonts w:ascii="宋体"/>
                <w:vanish/>
              </w:rPr>
            </w:pPr>
          </w:p>
        </w:tc>
        <w:tc>
          <w:tcPr>
            <w:tcW w:w="0" w:type="auto"/>
            <w:gridSpan w:val="3"/>
            <w:shd w:val="clear" w:color="auto" w:fill="auto"/>
            <w:vAlign w:val="bottom"/>
          </w:tcPr>
          <w:p w14:paraId="392CA7B5" w14:textId="77777777" w:rsidR="00980E5F" w:rsidRDefault="00980E5F">
            <w:pPr>
              <w:rPr>
                <w:rFonts w:ascii="宋体"/>
                <w:vanish/>
              </w:rPr>
            </w:pPr>
          </w:p>
        </w:tc>
        <w:tc>
          <w:tcPr>
            <w:tcW w:w="0" w:type="auto"/>
            <w:gridSpan w:val="3"/>
            <w:shd w:val="clear" w:color="auto" w:fill="auto"/>
            <w:vAlign w:val="bottom"/>
          </w:tcPr>
          <w:p w14:paraId="392CA7B6" w14:textId="77777777" w:rsidR="00980E5F" w:rsidRDefault="00980E5F">
            <w:pPr>
              <w:rPr>
                <w:rFonts w:ascii="宋体"/>
                <w:vanish/>
              </w:rPr>
            </w:pPr>
          </w:p>
        </w:tc>
        <w:tc>
          <w:tcPr>
            <w:tcW w:w="0" w:type="auto"/>
            <w:gridSpan w:val="3"/>
            <w:shd w:val="clear" w:color="auto" w:fill="auto"/>
            <w:vAlign w:val="bottom"/>
          </w:tcPr>
          <w:p w14:paraId="392CA7B7" w14:textId="77777777" w:rsidR="00980E5F" w:rsidRDefault="00980E5F">
            <w:pPr>
              <w:rPr>
                <w:rFonts w:ascii="宋体"/>
                <w:vanish/>
              </w:rPr>
            </w:pPr>
          </w:p>
        </w:tc>
        <w:tc>
          <w:tcPr>
            <w:tcW w:w="0" w:type="auto"/>
            <w:gridSpan w:val="3"/>
            <w:shd w:val="clear" w:color="auto" w:fill="auto"/>
            <w:vAlign w:val="bottom"/>
          </w:tcPr>
          <w:p w14:paraId="392CA7B8" w14:textId="77777777" w:rsidR="00980E5F" w:rsidRDefault="00980E5F">
            <w:pPr>
              <w:rPr>
                <w:rFonts w:ascii="宋体"/>
                <w:vanish/>
              </w:rPr>
            </w:pPr>
          </w:p>
        </w:tc>
        <w:tc>
          <w:tcPr>
            <w:tcW w:w="0" w:type="auto"/>
            <w:gridSpan w:val="3"/>
            <w:shd w:val="clear" w:color="auto" w:fill="auto"/>
            <w:vAlign w:val="bottom"/>
          </w:tcPr>
          <w:p w14:paraId="392CA7B9" w14:textId="77777777" w:rsidR="00980E5F" w:rsidRDefault="00980E5F">
            <w:pPr>
              <w:rPr>
                <w:rFonts w:ascii="宋体"/>
                <w:vanish/>
              </w:rPr>
            </w:pPr>
          </w:p>
        </w:tc>
        <w:tc>
          <w:tcPr>
            <w:tcW w:w="0" w:type="auto"/>
            <w:gridSpan w:val="2"/>
            <w:shd w:val="clear" w:color="auto" w:fill="auto"/>
            <w:vAlign w:val="bottom"/>
          </w:tcPr>
          <w:p w14:paraId="392CA7BA" w14:textId="77777777" w:rsidR="00980E5F" w:rsidRDefault="00980E5F">
            <w:pPr>
              <w:rPr>
                <w:rFonts w:ascii="宋体"/>
                <w:vanish/>
              </w:rPr>
            </w:pPr>
          </w:p>
        </w:tc>
        <w:tc>
          <w:tcPr>
            <w:tcW w:w="0" w:type="auto"/>
            <w:shd w:val="clear" w:color="auto" w:fill="auto"/>
            <w:vAlign w:val="bottom"/>
          </w:tcPr>
          <w:p w14:paraId="392CA7BB" w14:textId="77777777" w:rsidR="00980E5F" w:rsidRDefault="00980E5F">
            <w:pPr>
              <w:rPr>
                <w:rFonts w:ascii="宋体"/>
                <w:vanish/>
              </w:rPr>
            </w:pPr>
          </w:p>
        </w:tc>
      </w:tr>
      <w:tr w:rsidR="00980E5F" w14:paraId="392CA7D3" w14:textId="77777777">
        <w:trPr>
          <w:hidden/>
        </w:trPr>
        <w:tc>
          <w:tcPr>
            <w:tcW w:w="0" w:type="auto"/>
            <w:gridSpan w:val="3"/>
            <w:shd w:val="clear" w:color="auto" w:fill="auto"/>
            <w:vAlign w:val="bottom"/>
          </w:tcPr>
          <w:p w14:paraId="392CA7BD" w14:textId="77777777" w:rsidR="00980E5F" w:rsidRDefault="00980E5F">
            <w:pPr>
              <w:rPr>
                <w:rFonts w:ascii="宋体"/>
                <w:vanish/>
              </w:rPr>
            </w:pPr>
          </w:p>
        </w:tc>
        <w:tc>
          <w:tcPr>
            <w:tcW w:w="0" w:type="auto"/>
            <w:gridSpan w:val="3"/>
            <w:shd w:val="clear" w:color="auto" w:fill="auto"/>
            <w:vAlign w:val="bottom"/>
          </w:tcPr>
          <w:p w14:paraId="392CA7BE" w14:textId="77777777" w:rsidR="00980E5F" w:rsidRDefault="00980E5F">
            <w:pPr>
              <w:rPr>
                <w:rFonts w:ascii="宋体"/>
                <w:vanish/>
              </w:rPr>
            </w:pPr>
          </w:p>
        </w:tc>
        <w:tc>
          <w:tcPr>
            <w:tcW w:w="0" w:type="auto"/>
            <w:gridSpan w:val="3"/>
            <w:shd w:val="clear" w:color="auto" w:fill="auto"/>
            <w:vAlign w:val="bottom"/>
          </w:tcPr>
          <w:p w14:paraId="392CA7BF" w14:textId="77777777" w:rsidR="00980E5F" w:rsidRDefault="00980E5F">
            <w:pPr>
              <w:rPr>
                <w:rFonts w:ascii="宋体"/>
                <w:vanish/>
              </w:rPr>
            </w:pPr>
          </w:p>
        </w:tc>
        <w:tc>
          <w:tcPr>
            <w:tcW w:w="0" w:type="auto"/>
            <w:gridSpan w:val="3"/>
            <w:shd w:val="clear" w:color="auto" w:fill="auto"/>
            <w:vAlign w:val="bottom"/>
          </w:tcPr>
          <w:p w14:paraId="392CA7C0" w14:textId="77777777" w:rsidR="00980E5F" w:rsidRDefault="00980E5F">
            <w:pPr>
              <w:rPr>
                <w:rFonts w:ascii="宋体"/>
                <w:vanish/>
              </w:rPr>
            </w:pPr>
          </w:p>
        </w:tc>
        <w:tc>
          <w:tcPr>
            <w:tcW w:w="0" w:type="auto"/>
            <w:gridSpan w:val="3"/>
            <w:shd w:val="clear" w:color="auto" w:fill="auto"/>
            <w:vAlign w:val="bottom"/>
          </w:tcPr>
          <w:p w14:paraId="392CA7C1" w14:textId="77777777" w:rsidR="00980E5F" w:rsidRDefault="00980E5F">
            <w:pPr>
              <w:rPr>
                <w:rFonts w:ascii="宋体"/>
                <w:vanish/>
              </w:rPr>
            </w:pPr>
          </w:p>
        </w:tc>
        <w:tc>
          <w:tcPr>
            <w:tcW w:w="0" w:type="auto"/>
            <w:shd w:val="clear" w:color="auto" w:fill="auto"/>
            <w:vAlign w:val="bottom"/>
          </w:tcPr>
          <w:p w14:paraId="392CA7C2" w14:textId="77777777" w:rsidR="00980E5F" w:rsidRDefault="00980E5F">
            <w:pPr>
              <w:rPr>
                <w:rFonts w:ascii="宋体"/>
                <w:vanish/>
              </w:rPr>
            </w:pPr>
          </w:p>
        </w:tc>
        <w:tc>
          <w:tcPr>
            <w:tcW w:w="0" w:type="auto"/>
            <w:shd w:val="clear" w:color="auto" w:fill="auto"/>
            <w:vAlign w:val="bottom"/>
          </w:tcPr>
          <w:p w14:paraId="392CA7C3" w14:textId="77777777" w:rsidR="00980E5F" w:rsidRDefault="00980E5F">
            <w:pPr>
              <w:rPr>
                <w:rFonts w:ascii="宋体"/>
                <w:vanish/>
              </w:rPr>
            </w:pPr>
          </w:p>
        </w:tc>
        <w:tc>
          <w:tcPr>
            <w:tcW w:w="0" w:type="auto"/>
            <w:gridSpan w:val="3"/>
            <w:shd w:val="clear" w:color="auto" w:fill="auto"/>
            <w:vAlign w:val="bottom"/>
          </w:tcPr>
          <w:p w14:paraId="392CA7C4" w14:textId="77777777" w:rsidR="00980E5F" w:rsidRDefault="00980E5F">
            <w:pPr>
              <w:rPr>
                <w:rFonts w:ascii="宋体"/>
                <w:vanish/>
              </w:rPr>
            </w:pPr>
          </w:p>
        </w:tc>
        <w:tc>
          <w:tcPr>
            <w:tcW w:w="0" w:type="auto"/>
            <w:gridSpan w:val="3"/>
            <w:shd w:val="clear" w:color="auto" w:fill="auto"/>
            <w:vAlign w:val="bottom"/>
          </w:tcPr>
          <w:p w14:paraId="392CA7C5" w14:textId="77777777" w:rsidR="00980E5F" w:rsidRDefault="00980E5F">
            <w:pPr>
              <w:rPr>
                <w:rFonts w:ascii="宋体"/>
                <w:vanish/>
              </w:rPr>
            </w:pPr>
          </w:p>
        </w:tc>
        <w:tc>
          <w:tcPr>
            <w:tcW w:w="0" w:type="auto"/>
            <w:gridSpan w:val="3"/>
            <w:shd w:val="clear" w:color="auto" w:fill="auto"/>
            <w:vAlign w:val="bottom"/>
          </w:tcPr>
          <w:p w14:paraId="392CA7C6" w14:textId="77777777" w:rsidR="00980E5F" w:rsidRDefault="00980E5F">
            <w:pPr>
              <w:rPr>
                <w:rFonts w:ascii="宋体"/>
                <w:vanish/>
              </w:rPr>
            </w:pPr>
          </w:p>
        </w:tc>
        <w:tc>
          <w:tcPr>
            <w:tcW w:w="0" w:type="auto"/>
            <w:gridSpan w:val="3"/>
            <w:shd w:val="clear" w:color="auto" w:fill="auto"/>
            <w:vAlign w:val="bottom"/>
          </w:tcPr>
          <w:p w14:paraId="392CA7C7" w14:textId="77777777" w:rsidR="00980E5F" w:rsidRDefault="00980E5F">
            <w:pPr>
              <w:rPr>
                <w:rFonts w:ascii="宋体"/>
                <w:vanish/>
              </w:rPr>
            </w:pPr>
          </w:p>
        </w:tc>
        <w:tc>
          <w:tcPr>
            <w:tcW w:w="0" w:type="auto"/>
            <w:shd w:val="clear" w:color="auto" w:fill="auto"/>
            <w:vAlign w:val="bottom"/>
          </w:tcPr>
          <w:p w14:paraId="392CA7C8" w14:textId="77777777" w:rsidR="00980E5F" w:rsidRDefault="00980E5F">
            <w:pPr>
              <w:rPr>
                <w:rFonts w:ascii="宋体"/>
                <w:vanish/>
              </w:rPr>
            </w:pPr>
          </w:p>
        </w:tc>
        <w:tc>
          <w:tcPr>
            <w:tcW w:w="0" w:type="auto"/>
            <w:shd w:val="clear" w:color="auto" w:fill="auto"/>
            <w:vAlign w:val="bottom"/>
          </w:tcPr>
          <w:p w14:paraId="392CA7C9" w14:textId="77777777" w:rsidR="00980E5F" w:rsidRDefault="00980E5F">
            <w:pPr>
              <w:rPr>
                <w:rFonts w:ascii="宋体"/>
                <w:vanish/>
              </w:rPr>
            </w:pPr>
          </w:p>
        </w:tc>
        <w:tc>
          <w:tcPr>
            <w:tcW w:w="0" w:type="auto"/>
            <w:gridSpan w:val="3"/>
            <w:shd w:val="clear" w:color="auto" w:fill="auto"/>
            <w:vAlign w:val="bottom"/>
          </w:tcPr>
          <w:p w14:paraId="392CA7CA" w14:textId="77777777" w:rsidR="00980E5F" w:rsidRDefault="00980E5F">
            <w:pPr>
              <w:rPr>
                <w:rFonts w:ascii="宋体"/>
                <w:vanish/>
              </w:rPr>
            </w:pPr>
          </w:p>
        </w:tc>
        <w:tc>
          <w:tcPr>
            <w:tcW w:w="0" w:type="auto"/>
            <w:gridSpan w:val="3"/>
            <w:shd w:val="clear" w:color="auto" w:fill="auto"/>
            <w:vAlign w:val="bottom"/>
          </w:tcPr>
          <w:p w14:paraId="392CA7CB" w14:textId="77777777" w:rsidR="00980E5F" w:rsidRDefault="00980E5F">
            <w:pPr>
              <w:rPr>
                <w:rFonts w:ascii="宋体"/>
                <w:vanish/>
              </w:rPr>
            </w:pPr>
          </w:p>
        </w:tc>
        <w:tc>
          <w:tcPr>
            <w:tcW w:w="0" w:type="auto"/>
            <w:gridSpan w:val="3"/>
            <w:shd w:val="clear" w:color="auto" w:fill="auto"/>
            <w:vAlign w:val="bottom"/>
          </w:tcPr>
          <w:p w14:paraId="392CA7CC" w14:textId="77777777" w:rsidR="00980E5F" w:rsidRDefault="00980E5F">
            <w:pPr>
              <w:rPr>
                <w:rFonts w:ascii="宋体"/>
                <w:vanish/>
              </w:rPr>
            </w:pPr>
          </w:p>
        </w:tc>
        <w:tc>
          <w:tcPr>
            <w:tcW w:w="0" w:type="auto"/>
            <w:gridSpan w:val="3"/>
            <w:shd w:val="clear" w:color="auto" w:fill="auto"/>
            <w:vAlign w:val="bottom"/>
          </w:tcPr>
          <w:p w14:paraId="392CA7CD" w14:textId="77777777" w:rsidR="00980E5F" w:rsidRDefault="00980E5F">
            <w:pPr>
              <w:rPr>
                <w:rFonts w:ascii="宋体"/>
                <w:vanish/>
              </w:rPr>
            </w:pPr>
          </w:p>
        </w:tc>
        <w:tc>
          <w:tcPr>
            <w:tcW w:w="0" w:type="auto"/>
            <w:gridSpan w:val="3"/>
            <w:shd w:val="clear" w:color="auto" w:fill="auto"/>
            <w:vAlign w:val="bottom"/>
          </w:tcPr>
          <w:p w14:paraId="392CA7CE" w14:textId="77777777" w:rsidR="00980E5F" w:rsidRDefault="00980E5F">
            <w:pPr>
              <w:rPr>
                <w:rFonts w:ascii="宋体"/>
                <w:vanish/>
              </w:rPr>
            </w:pPr>
          </w:p>
        </w:tc>
        <w:tc>
          <w:tcPr>
            <w:tcW w:w="0" w:type="auto"/>
            <w:gridSpan w:val="3"/>
            <w:shd w:val="clear" w:color="auto" w:fill="auto"/>
            <w:vAlign w:val="bottom"/>
          </w:tcPr>
          <w:p w14:paraId="392CA7CF" w14:textId="77777777" w:rsidR="00980E5F" w:rsidRDefault="00980E5F">
            <w:pPr>
              <w:rPr>
                <w:rFonts w:ascii="宋体"/>
                <w:vanish/>
              </w:rPr>
            </w:pPr>
          </w:p>
        </w:tc>
        <w:tc>
          <w:tcPr>
            <w:tcW w:w="0" w:type="auto"/>
            <w:gridSpan w:val="3"/>
            <w:shd w:val="clear" w:color="auto" w:fill="auto"/>
            <w:vAlign w:val="bottom"/>
          </w:tcPr>
          <w:p w14:paraId="392CA7D0" w14:textId="77777777" w:rsidR="00980E5F" w:rsidRDefault="00980E5F">
            <w:pPr>
              <w:rPr>
                <w:rFonts w:ascii="宋体"/>
                <w:vanish/>
              </w:rPr>
            </w:pPr>
          </w:p>
        </w:tc>
        <w:tc>
          <w:tcPr>
            <w:tcW w:w="0" w:type="auto"/>
            <w:gridSpan w:val="2"/>
            <w:shd w:val="clear" w:color="auto" w:fill="auto"/>
            <w:vAlign w:val="bottom"/>
          </w:tcPr>
          <w:p w14:paraId="392CA7D1" w14:textId="77777777" w:rsidR="00980E5F" w:rsidRDefault="00980E5F">
            <w:pPr>
              <w:rPr>
                <w:rFonts w:ascii="宋体"/>
                <w:vanish/>
              </w:rPr>
            </w:pPr>
          </w:p>
        </w:tc>
        <w:tc>
          <w:tcPr>
            <w:tcW w:w="0" w:type="auto"/>
            <w:shd w:val="clear" w:color="auto" w:fill="auto"/>
            <w:vAlign w:val="bottom"/>
          </w:tcPr>
          <w:p w14:paraId="392CA7D2" w14:textId="77777777" w:rsidR="00980E5F" w:rsidRDefault="00980E5F">
            <w:pPr>
              <w:rPr>
                <w:rFonts w:ascii="宋体"/>
                <w:vanish/>
              </w:rPr>
            </w:pPr>
          </w:p>
        </w:tc>
      </w:tr>
      <w:tr w:rsidR="00980E5F" w14:paraId="392CA7F1" w14:textId="77777777">
        <w:tc>
          <w:tcPr>
            <w:tcW w:w="0" w:type="auto"/>
            <w:gridSpan w:val="3"/>
            <w:shd w:val="clear" w:color="auto" w:fill="FFFFFF"/>
            <w:tcMar>
              <w:top w:w="40" w:type="dxa"/>
              <w:left w:w="20" w:type="dxa"/>
              <w:bottom w:w="40" w:type="dxa"/>
              <w:right w:w="20" w:type="dxa"/>
            </w:tcMar>
            <w:vAlign w:val="bottom"/>
          </w:tcPr>
          <w:p w14:paraId="392CA7D4" w14:textId="77777777" w:rsidR="00980E5F" w:rsidRDefault="00483613">
            <w:pPr>
              <w:textAlignment w:val="bottom"/>
            </w:pPr>
            <w:r>
              <w:rPr>
                <w:rFonts w:ascii="Arial" w:eastAsia="宋体" w:hAnsi="Arial" w:cs="Arial"/>
                <w:b/>
                <w:bCs/>
                <w:color w:val="000000"/>
                <w:sz w:val="14"/>
                <w:szCs w:val="14"/>
              </w:rPr>
              <w:t>Total expenses</w:t>
            </w:r>
          </w:p>
        </w:tc>
        <w:tc>
          <w:tcPr>
            <w:tcW w:w="0" w:type="auto"/>
            <w:gridSpan w:val="2"/>
            <w:shd w:val="clear" w:color="auto" w:fill="FFFFFF"/>
            <w:tcMar>
              <w:top w:w="40" w:type="dxa"/>
              <w:left w:w="20" w:type="dxa"/>
              <w:bottom w:w="40" w:type="dxa"/>
              <w:right w:w="0" w:type="dxa"/>
            </w:tcMar>
            <w:vAlign w:val="bottom"/>
          </w:tcPr>
          <w:p w14:paraId="392CA7D5" w14:textId="77777777" w:rsidR="00980E5F" w:rsidRDefault="00483613">
            <w:pPr>
              <w:jc w:val="right"/>
              <w:textAlignment w:val="bottom"/>
            </w:pPr>
            <w:r>
              <w:rPr>
                <w:rFonts w:ascii="Arial" w:eastAsia="宋体" w:hAnsi="Arial" w:cs="Arial"/>
                <w:b/>
                <w:bCs/>
                <w:color w:val="000000"/>
                <w:sz w:val="14"/>
                <w:szCs w:val="14"/>
              </w:rPr>
              <w:t>3,692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D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D8" w14:textId="77777777" w:rsidR="00980E5F" w:rsidRDefault="00483613">
            <w:pPr>
              <w:jc w:val="right"/>
              <w:textAlignment w:val="bottom"/>
            </w:pPr>
            <w:r>
              <w:rPr>
                <w:rFonts w:ascii="Arial" w:eastAsia="宋体" w:hAnsi="Arial" w:cs="Arial"/>
                <w:color w:val="000000"/>
                <w:sz w:val="14"/>
                <w:szCs w:val="14"/>
              </w:rPr>
              <w:t>3,634 </w:t>
            </w:r>
          </w:p>
        </w:tc>
        <w:tc>
          <w:tcPr>
            <w:tcW w:w="0" w:type="auto"/>
            <w:shd w:val="clear" w:color="auto" w:fill="FFFFFF"/>
            <w:tcMar>
              <w:top w:w="40" w:type="dxa"/>
              <w:left w:w="0" w:type="dxa"/>
              <w:bottom w:w="40" w:type="dxa"/>
              <w:right w:w="20" w:type="dxa"/>
            </w:tcMar>
            <w:vAlign w:val="bottom"/>
          </w:tcPr>
          <w:p w14:paraId="392CA7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DA" w14:textId="77777777" w:rsidR="00980E5F" w:rsidRDefault="00980E5F">
            <w:pPr>
              <w:rPr>
                <w:rFonts w:ascii="宋体"/>
              </w:rPr>
            </w:pPr>
          </w:p>
        </w:tc>
        <w:tc>
          <w:tcPr>
            <w:tcW w:w="0" w:type="auto"/>
            <w:shd w:val="clear" w:color="auto" w:fill="auto"/>
            <w:vAlign w:val="bottom"/>
          </w:tcPr>
          <w:p w14:paraId="392CA7DB" w14:textId="77777777" w:rsidR="00980E5F" w:rsidRDefault="00980E5F">
            <w:pPr>
              <w:rPr>
                <w:rFonts w:ascii="宋体"/>
                <w:vanish/>
              </w:rPr>
            </w:pPr>
          </w:p>
        </w:tc>
        <w:tc>
          <w:tcPr>
            <w:tcW w:w="0" w:type="auto"/>
            <w:shd w:val="clear" w:color="auto" w:fill="auto"/>
            <w:vAlign w:val="bottom"/>
          </w:tcPr>
          <w:p w14:paraId="392CA7DC"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DD" w14:textId="77777777" w:rsidR="00980E5F" w:rsidRDefault="00483613">
            <w:pPr>
              <w:jc w:val="right"/>
              <w:textAlignment w:val="bottom"/>
            </w:pPr>
            <w:r>
              <w:rPr>
                <w:rFonts w:ascii="Arial" w:eastAsia="宋体" w:hAnsi="Arial" w:cs="Arial"/>
                <w:b/>
                <w:bCs/>
                <w:color w:val="000000"/>
                <w:sz w:val="14"/>
                <w:szCs w:val="14"/>
              </w:rPr>
              <w:t>716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E0" w14:textId="77777777" w:rsidR="00980E5F" w:rsidRDefault="00483613">
            <w:pPr>
              <w:jc w:val="right"/>
              <w:textAlignment w:val="bottom"/>
            </w:pPr>
            <w:r>
              <w:rPr>
                <w:rFonts w:ascii="Arial" w:eastAsia="宋体" w:hAnsi="Arial" w:cs="Arial"/>
                <w:color w:val="000000"/>
                <w:sz w:val="14"/>
                <w:szCs w:val="14"/>
              </w:rPr>
              <w:t>743 </w:t>
            </w:r>
          </w:p>
        </w:tc>
        <w:tc>
          <w:tcPr>
            <w:tcW w:w="0" w:type="auto"/>
            <w:shd w:val="clear" w:color="auto" w:fill="FFFFFF"/>
            <w:tcMar>
              <w:top w:w="40" w:type="dxa"/>
              <w:left w:w="0" w:type="dxa"/>
              <w:bottom w:w="40" w:type="dxa"/>
              <w:right w:w="20" w:type="dxa"/>
            </w:tcMar>
            <w:vAlign w:val="bottom"/>
          </w:tcPr>
          <w:p w14:paraId="392CA7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E2" w14:textId="77777777" w:rsidR="00980E5F" w:rsidRDefault="00980E5F">
            <w:pPr>
              <w:rPr>
                <w:rFonts w:ascii="宋体"/>
              </w:rPr>
            </w:pPr>
          </w:p>
        </w:tc>
        <w:tc>
          <w:tcPr>
            <w:tcW w:w="0" w:type="auto"/>
            <w:shd w:val="clear" w:color="auto" w:fill="auto"/>
            <w:vAlign w:val="bottom"/>
          </w:tcPr>
          <w:p w14:paraId="392CA7E3" w14:textId="77777777" w:rsidR="00980E5F" w:rsidRDefault="00980E5F">
            <w:pPr>
              <w:rPr>
                <w:rFonts w:ascii="宋体"/>
                <w:vanish/>
              </w:rPr>
            </w:pPr>
          </w:p>
        </w:tc>
        <w:tc>
          <w:tcPr>
            <w:tcW w:w="0" w:type="auto"/>
            <w:shd w:val="clear" w:color="auto" w:fill="auto"/>
            <w:vAlign w:val="bottom"/>
          </w:tcPr>
          <w:p w14:paraId="392CA7E4"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E5" w14:textId="77777777" w:rsidR="00980E5F" w:rsidRDefault="00483613">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7E8" w14:textId="77777777" w:rsidR="00980E5F" w:rsidRDefault="00483613">
            <w:pPr>
              <w:jc w:val="right"/>
              <w:textAlignment w:val="bottom"/>
            </w:pPr>
            <w:r>
              <w:rPr>
                <w:rFonts w:ascii="Arial" w:eastAsia="宋体" w:hAnsi="Arial" w:cs="Arial"/>
                <w:color w:val="000000"/>
                <w:sz w:val="14"/>
                <w:szCs w:val="14"/>
              </w:rPr>
              <w:t>66 </w:t>
            </w:r>
          </w:p>
        </w:tc>
        <w:tc>
          <w:tcPr>
            <w:tcW w:w="0" w:type="auto"/>
            <w:shd w:val="clear" w:color="auto" w:fill="FFFFFF"/>
            <w:tcMar>
              <w:top w:w="40" w:type="dxa"/>
              <w:left w:w="0" w:type="dxa"/>
              <w:bottom w:w="40" w:type="dxa"/>
              <w:right w:w="20" w:type="dxa"/>
            </w:tcMar>
            <w:vAlign w:val="bottom"/>
          </w:tcPr>
          <w:p w14:paraId="392CA7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7EA" w14:textId="77777777" w:rsidR="00980E5F" w:rsidRDefault="00980E5F">
            <w:pPr>
              <w:rPr>
                <w:rFonts w:ascii="宋体"/>
              </w:rPr>
            </w:pPr>
          </w:p>
        </w:tc>
        <w:tc>
          <w:tcPr>
            <w:tcW w:w="0" w:type="auto"/>
            <w:gridSpan w:val="3"/>
            <w:shd w:val="clear" w:color="auto" w:fill="auto"/>
            <w:vAlign w:val="bottom"/>
          </w:tcPr>
          <w:p w14:paraId="392CA7EB" w14:textId="77777777" w:rsidR="00980E5F" w:rsidRDefault="00980E5F">
            <w:pPr>
              <w:rPr>
                <w:rFonts w:ascii="宋体"/>
                <w:vanish/>
              </w:rPr>
            </w:pPr>
          </w:p>
        </w:tc>
        <w:tc>
          <w:tcPr>
            <w:tcW w:w="0" w:type="auto"/>
            <w:gridSpan w:val="3"/>
            <w:shd w:val="clear" w:color="auto" w:fill="auto"/>
            <w:vAlign w:val="bottom"/>
          </w:tcPr>
          <w:p w14:paraId="392CA7EC" w14:textId="77777777" w:rsidR="00980E5F" w:rsidRDefault="00980E5F">
            <w:pPr>
              <w:rPr>
                <w:rFonts w:ascii="宋体"/>
                <w:vanish/>
              </w:rPr>
            </w:pPr>
          </w:p>
        </w:tc>
        <w:tc>
          <w:tcPr>
            <w:tcW w:w="0" w:type="auto"/>
            <w:gridSpan w:val="2"/>
            <w:shd w:val="clear" w:color="auto" w:fill="FFFFFF"/>
            <w:tcMar>
              <w:top w:w="40" w:type="dxa"/>
              <w:left w:w="20" w:type="dxa"/>
              <w:bottom w:w="40" w:type="dxa"/>
              <w:right w:w="0" w:type="dxa"/>
            </w:tcMar>
            <w:vAlign w:val="bottom"/>
          </w:tcPr>
          <w:p w14:paraId="392CA7ED" w14:textId="77777777" w:rsidR="00980E5F" w:rsidRDefault="00483613">
            <w:pPr>
              <w:jc w:val="right"/>
              <w:textAlignment w:val="bottom"/>
            </w:pPr>
            <w:r>
              <w:rPr>
                <w:rFonts w:ascii="Arial" w:eastAsia="宋体" w:hAnsi="Arial" w:cs="Arial"/>
                <w:b/>
                <w:bCs/>
                <w:color w:val="000000"/>
                <w:sz w:val="14"/>
                <w:szCs w:val="14"/>
              </w:rPr>
              <w:t>4,435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7EE" w14:textId="77777777" w:rsidR="00980E5F" w:rsidRDefault="00980E5F">
            <w:pPr>
              <w:jc w:val="right"/>
              <w:rPr>
                <w:rFonts w:ascii="宋体"/>
              </w:rPr>
            </w:pPr>
          </w:p>
        </w:tc>
        <w:tc>
          <w:tcPr>
            <w:tcW w:w="0" w:type="auto"/>
            <w:gridSpan w:val="2"/>
            <w:shd w:val="clear" w:color="auto" w:fill="FFFFFF"/>
            <w:tcMar>
              <w:top w:w="0" w:type="dxa"/>
              <w:left w:w="20" w:type="dxa"/>
              <w:bottom w:w="0" w:type="dxa"/>
              <w:right w:w="20" w:type="dxa"/>
            </w:tcMar>
            <w:vAlign w:val="bottom"/>
          </w:tcPr>
          <w:p w14:paraId="392CA7EF" w14:textId="77777777" w:rsidR="00980E5F" w:rsidRDefault="00980E5F">
            <w:pPr>
              <w:rPr>
                <w:rFonts w:ascii="宋体"/>
              </w:rPr>
            </w:pPr>
          </w:p>
        </w:tc>
        <w:tc>
          <w:tcPr>
            <w:tcW w:w="0" w:type="auto"/>
            <w:shd w:val="clear" w:color="auto" w:fill="FFFFFF"/>
            <w:tcMar>
              <w:top w:w="40" w:type="dxa"/>
              <w:left w:w="20" w:type="dxa"/>
              <w:bottom w:w="40" w:type="dxa"/>
              <w:right w:w="0" w:type="dxa"/>
            </w:tcMar>
            <w:vAlign w:val="bottom"/>
          </w:tcPr>
          <w:p w14:paraId="392CA7F0" w14:textId="77777777" w:rsidR="00980E5F" w:rsidRDefault="00483613">
            <w:pPr>
              <w:jc w:val="right"/>
              <w:textAlignment w:val="bottom"/>
            </w:pPr>
            <w:r>
              <w:rPr>
                <w:rFonts w:ascii="Arial" w:eastAsia="宋体" w:hAnsi="Arial" w:cs="Arial"/>
                <w:color w:val="000000"/>
                <w:sz w:val="14"/>
                <w:szCs w:val="14"/>
              </w:rPr>
              <w:t>4,443 </w:t>
            </w:r>
          </w:p>
        </w:tc>
      </w:tr>
      <w:tr w:rsidR="00980E5F" w14:paraId="392CA816" w14:textId="77777777">
        <w:tc>
          <w:tcPr>
            <w:tcW w:w="0" w:type="auto"/>
            <w:gridSpan w:val="3"/>
            <w:shd w:val="clear" w:color="auto" w:fill="CCEEFF"/>
            <w:tcMar>
              <w:top w:w="40" w:type="dxa"/>
              <w:left w:w="20" w:type="dxa"/>
              <w:bottom w:w="40" w:type="dxa"/>
              <w:right w:w="20" w:type="dxa"/>
            </w:tcMar>
            <w:vAlign w:val="bottom"/>
          </w:tcPr>
          <w:p w14:paraId="392CA7F2" w14:textId="77777777" w:rsidR="00980E5F" w:rsidRDefault="00483613">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7F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7F4" w14:textId="77777777" w:rsidR="00980E5F" w:rsidRDefault="00483613">
            <w:pPr>
              <w:jc w:val="right"/>
              <w:textAlignment w:val="bottom"/>
            </w:pPr>
            <w:r>
              <w:rPr>
                <w:rFonts w:ascii="Arial" w:eastAsia="宋体" w:hAnsi="Arial" w:cs="Arial"/>
                <w:b/>
                <w:bCs/>
                <w:color w:val="000000"/>
                <w:sz w:val="14"/>
                <w:szCs w:val="14"/>
              </w:rPr>
              <w:t>1,331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7F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F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7F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7F8" w14:textId="77777777" w:rsidR="00980E5F" w:rsidRDefault="00483613">
            <w:pPr>
              <w:jc w:val="right"/>
              <w:textAlignment w:val="bottom"/>
            </w:pPr>
            <w:r>
              <w:rPr>
                <w:rFonts w:ascii="Arial" w:eastAsia="宋体" w:hAnsi="Arial" w:cs="Arial"/>
                <w:color w:val="000000"/>
                <w:sz w:val="14"/>
                <w:szCs w:val="14"/>
              </w:rPr>
              <w:t>1,286 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7F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7FA" w14:textId="77777777" w:rsidR="00980E5F" w:rsidRDefault="00980E5F">
            <w:pPr>
              <w:rPr>
                <w:rFonts w:ascii="宋体"/>
              </w:rPr>
            </w:pPr>
          </w:p>
        </w:tc>
        <w:tc>
          <w:tcPr>
            <w:tcW w:w="0" w:type="auto"/>
            <w:shd w:val="clear" w:color="auto" w:fill="auto"/>
            <w:vAlign w:val="bottom"/>
          </w:tcPr>
          <w:p w14:paraId="392CA7FB" w14:textId="77777777" w:rsidR="00980E5F" w:rsidRDefault="00980E5F">
            <w:pPr>
              <w:rPr>
                <w:rFonts w:ascii="宋体"/>
                <w:vanish/>
              </w:rPr>
            </w:pPr>
          </w:p>
        </w:tc>
        <w:tc>
          <w:tcPr>
            <w:tcW w:w="0" w:type="auto"/>
            <w:shd w:val="clear" w:color="auto" w:fill="auto"/>
            <w:vAlign w:val="bottom"/>
          </w:tcPr>
          <w:p w14:paraId="392CA7FC"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7FD"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7FE" w14:textId="77777777" w:rsidR="00980E5F" w:rsidRDefault="00483613">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7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00"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01"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02" w14:textId="77777777" w:rsidR="00980E5F" w:rsidRDefault="00483613">
            <w:pPr>
              <w:jc w:val="right"/>
              <w:textAlignment w:val="bottom"/>
            </w:pPr>
            <w:r>
              <w:rPr>
                <w:rFonts w:ascii="Arial" w:eastAsia="宋体" w:hAnsi="Arial" w:cs="Arial"/>
                <w:color w:val="000000"/>
                <w:sz w:val="14"/>
                <w:szCs w:val="14"/>
              </w:rPr>
              <w:t>292 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04" w14:textId="77777777" w:rsidR="00980E5F" w:rsidRDefault="00980E5F">
            <w:pPr>
              <w:rPr>
                <w:rFonts w:ascii="宋体"/>
              </w:rPr>
            </w:pPr>
          </w:p>
        </w:tc>
        <w:tc>
          <w:tcPr>
            <w:tcW w:w="0" w:type="auto"/>
            <w:shd w:val="clear" w:color="auto" w:fill="auto"/>
            <w:vAlign w:val="bottom"/>
          </w:tcPr>
          <w:p w14:paraId="392CA805" w14:textId="77777777" w:rsidR="00980E5F" w:rsidRDefault="00980E5F">
            <w:pPr>
              <w:rPr>
                <w:rFonts w:ascii="宋体"/>
                <w:vanish/>
              </w:rPr>
            </w:pPr>
          </w:p>
        </w:tc>
        <w:tc>
          <w:tcPr>
            <w:tcW w:w="0" w:type="auto"/>
            <w:shd w:val="clear" w:color="auto" w:fill="auto"/>
            <w:vAlign w:val="bottom"/>
          </w:tcPr>
          <w:p w14:paraId="392CA806" w14:textId="77777777" w:rsidR="00980E5F" w:rsidRDefault="00980E5F">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0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08" w14:textId="77777777" w:rsidR="00980E5F" w:rsidRDefault="00483613">
            <w:pPr>
              <w:jc w:val="right"/>
              <w:textAlignment w:val="bottom"/>
            </w:pPr>
            <w:r>
              <w:rPr>
                <w:rFonts w:ascii="Arial" w:eastAsia="宋体" w:hAnsi="Arial" w:cs="Arial"/>
                <w:b/>
                <w:bCs/>
                <w:color w:val="000000"/>
                <w:sz w:val="14"/>
                <w:szCs w:val="14"/>
              </w:rPr>
              <w:t>(27)</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0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0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0C" w14:textId="77777777" w:rsidR="00980E5F" w:rsidRDefault="00483613">
            <w:pPr>
              <w:jc w:val="right"/>
              <w:textAlignment w:val="bottom"/>
            </w:pPr>
            <w:r>
              <w:rPr>
                <w:rFonts w:ascii="Arial" w:eastAsia="宋体" w:hAnsi="Arial" w:cs="Arial"/>
                <w:color w:val="000000"/>
                <w:sz w:val="14"/>
                <w:szCs w:val="14"/>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0E" w14:textId="77777777" w:rsidR="00980E5F" w:rsidRDefault="00980E5F">
            <w:pPr>
              <w:rPr>
                <w:rFonts w:ascii="宋体"/>
              </w:rPr>
            </w:pPr>
          </w:p>
        </w:tc>
        <w:tc>
          <w:tcPr>
            <w:tcW w:w="0" w:type="auto"/>
            <w:gridSpan w:val="3"/>
            <w:shd w:val="clear" w:color="auto" w:fill="auto"/>
            <w:vAlign w:val="bottom"/>
          </w:tcPr>
          <w:p w14:paraId="392CA80F" w14:textId="77777777" w:rsidR="00980E5F" w:rsidRDefault="00980E5F">
            <w:pPr>
              <w:rPr>
                <w:rFonts w:ascii="宋体"/>
                <w:vanish/>
              </w:rPr>
            </w:pPr>
          </w:p>
        </w:tc>
        <w:tc>
          <w:tcPr>
            <w:tcW w:w="0" w:type="auto"/>
            <w:gridSpan w:val="3"/>
            <w:shd w:val="clear" w:color="auto" w:fill="auto"/>
            <w:vAlign w:val="bottom"/>
          </w:tcPr>
          <w:p w14:paraId="392CA810" w14:textId="77777777" w:rsidR="00980E5F" w:rsidRDefault="00980E5F">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811" w14:textId="77777777" w:rsidR="00980E5F" w:rsidRDefault="00483613">
            <w:pPr>
              <w:jc w:val="right"/>
              <w:textAlignment w:val="bottom"/>
            </w:pPr>
            <w:r>
              <w:rPr>
                <w:rFonts w:ascii="Arial" w:eastAsia="宋体" w:hAnsi="Arial" w:cs="Arial"/>
                <w:b/>
                <w:bCs/>
                <w:color w:val="000000"/>
                <w:sz w:val="14"/>
                <w:szCs w:val="14"/>
              </w:rPr>
              <w:t>1,589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12" w14:textId="77777777" w:rsidR="00980E5F" w:rsidRDefault="00980E5F">
            <w:pPr>
              <w:jc w:val="right"/>
              <w:rPr>
                <w:rFonts w:ascii="宋体"/>
              </w:rPr>
            </w:pPr>
          </w:p>
        </w:tc>
        <w:tc>
          <w:tcPr>
            <w:tcW w:w="0" w:type="auto"/>
            <w:gridSpan w:val="2"/>
            <w:shd w:val="clear" w:color="auto" w:fill="CCEEFF"/>
            <w:tcMar>
              <w:top w:w="0" w:type="dxa"/>
              <w:left w:w="20" w:type="dxa"/>
              <w:bottom w:w="0" w:type="dxa"/>
              <w:right w:w="20" w:type="dxa"/>
            </w:tcMar>
            <w:vAlign w:val="bottom"/>
          </w:tcPr>
          <w:p w14:paraId="392CA81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14" w14:textId="77777777" w:rsidR="00980E5F" w:rsidRDefault="00483613">
            <w:pPr>
              <w:textAlignment w:val="bottom"/>
            </w:pPr>
            <w:r>
              <w:rPr>
                <w:rFonts w:ascii="Arial" w:eastAsia="宋体" w:hAnsi="Arial" w:cs="Arial"/>
                <w:color w:val="000000"/>
                <w:sz w:val="14"/>
                <w:szCs w:val="14"/>
              </w:rPr>
              <w:t>$</w:t>
            </w:r>
          </w:p>
          <w:p w14:paraId="392CA815" w14:textId="77777777" w:rsidR="00980E5F" w:rsidRDefault="00483613">
            <w:pPr>
              <w:jc w:val="right"/>
              <w:textAlignment w:val="bottom"/>
            </w:pPr>
            <w:r>
              <w:rPr>
                <w:rFonts w:ascii="Arial" w:eastAsia="宋体" w:hAnsi="Arial" w:cs="Arial"/>
                <w:color w:val="000000"/>
                <w:sz w:val="14"/>
                <w:szCs w:val="14"/>
              </w:rPr>
              <w:t>1,565 </w:t>
            </w:r>
          </w:p>
        </w:tc>
      </w:tr>
      <w:tr w:rsidR="00980E5F" w14:paraId="392CA833" w14:textId="77777777">
        <w:tc>
          <w:tcPr>
            <w:tcW w:w="0" w:type="auto"/>
            <w:gridSpan w:val="3"/>
            <w:shd w:val="clear" w:color="auto" w:fill="FFFFFF"/>
            <w:tcMar>
              <w:top w:w="40" w:type="dxa"/>
              <w:left w:w="20" w:type="dxa"/>
              <w:bottom w:w="40" w:type="dxa"/>
              <w:right w:w="20" w:type="dxa"/>
            </w:tcMar>
            <w:vAlign w:val="bottom"/>
          </w:tcPr>
          <w:p w14:paraId="392CA817" w14:textId="77777777" w:rsidR="00980E5F" w:rsidRDefault="00483613">
            <w:pPr>
              <w:textAlignment w:val="bottom"/>
            </w:pPr>
            <w:r>
              <w:rPr>
                <w:rFonts w:ascii="Arial" w:eastAsia="宋体" w:hAnsi="Arial" w:cs="Arial"/>
                <w:color w:val="000000"/>
                <w:sz w:val="14"/>
                <w:szCs w:val="14"/>
              </w:rPr>
              <w:t>Pre-tax margin</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18" w14:textId="77777777" w:rsidR="00980E5F" w:rsidRDefault="00483613">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92CA819"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81A" w14:textId="77777777" w:rsidR="00980E5F" w:rsidRDefault="00980E5F">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1B" w14:textId="77777777" w:rsidR="00980E5F" w:rsidRDefault="00483613">
            <w:pPr>
              <w:jc w:val="right"/>
              <w:textAlignment w:val="bottom"/>
            </w:pPr>
            <w:r>
              <w:rPr>
                <w:rFonts w:ascii="Arial" w:eastAsia="宋体" w:hAnsi="Arial" w:cs="Arial"/>
                <w:color w:val="000000"/>
                <w:sz w:val="14"/>
                <w:szCs w:val="14"/>
              </w:rPr>
              <w:t>26 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92CA81C"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81D" w14:textId="77777777" w:rsidR="00980E5F" w:rsidRDefault="00980E5F">
            <w:pPr>
              <w:rPr>
                <w:rFonts w:ascii="宋体"/>
              </w:rPr>
            </w:pPr>
          </w:p>
        </w:tc>
        <w:tc>
          <w:tcPr>
            <w:tcW w:w="0" w:type="auto"/>
            <w:shd w:val="clear" w:color="auto" w:fill="auto"/>
            <w:vAlign w:val="bottom"/>
          </w:tcPr>
          <w:p w14:paraId="392CA81E" w14:textId="77777777" w:rsidR="00980E5F" w:rsidRDefault="00980E5F">
            <w:pPr>
              <w:rPr>
                <w:rFonts w:ascii="宋体"/>
                <w:vanish/>
              </w:rPr>
            </w:pPr>
          </w:p>
        </w:tc>
        <w:tc>
          <w:tcPr>
            <w:tcW w:w="0" w:type="auto"/>
            <w:shd w:val="clear" w:color="auto" w:fill="auto"/>
            <w:vAlign w:val="bottom"/>
          </w:tcPr>
          <w:p w14:paraId="392CA81F" w14:textId="77777777" w:rsidR="00980E5F" w:rsidRDefault="00980E5F">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20" w14:textId="77777777" w:rsidR="00980E5F" w:rsidRDefault="00483613">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92CA821"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822" w14:textId="77777777" w:rsidR="00980E5F" w:rsidRDefault="00980E5F">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23" w14:textId="77777777" w:rsidR="00980E5F" w:rsidRDefault="00483613">
            <w:pPr>
              <w:jc w:val="right"/>
              <w:textAlignment w:val="bottom"/>
            </w:pPr>
            <w:r>
              <w:rPr>
                <w:rFonts w:ascii="Arial" w:eastAsia="宋体" w:hAnsi="Arial" w:cs="Arial"/>
                <w:color w:val="000000"/>
                <w:sz w:val="14"/>
                <w:szCs w:val="14"/>
              </w:rPr>
              <w:t>28 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92CA824" w14:textId="77777777" w:rsidR="00980E5F" w:rsidRDefault="00483613">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392CA825" w14:textId="77777777" w:rsidR="00980E5F" w:rsidRDefault="00980E5F">
            <w:pPr>
              <w:rPr>
                <w:rFonts w:ascii="宋体"/>
              </w:rPr>
            </w:pPr>
          </w:p>
        </w:tc>
        <w:tc>
          <w:tcPr>
            <w:tcW w:w="0" w:type="auto"/>
            <w:shd w:val="clear" w:color="auto" w:fill="auto"/>
            <w:vAlign w:val="bottom"/>
          </w:tcPr>
          <w:p w14:paraId="392CA826" w14:textId="77777777" w:rsidR="00980E5F" w:rsidRDefault="00980E5F">
            <w:pPr>
              <w:rPr>
                <w:rFonts w:ascii="宋体"/>
                <w:vanish/>
              </w:rPr>
            </w:pPr>
          </w:p>
        </w:tc>
        <w:tc>
          <w:tcPr>
            <w:tcW w:w="0" w:type="auto"/>
            <w:shd w:val="clear" w:color="auto" w:fill="auto"/>
            <w:vAlign w:val="bottom"/>
          </w:tcPr>
          <w:p w14:paraId="392CA827" w14:textId="77777777" w:rsidR="00980E5F" w:rsidRDefault="00980E5F">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828"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829"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82A" w14:textId="77777777" w:rsidR="00980E5F" w:rsidRDefault="00980E5F">
            <w:pPr>
              <w:rPr>
                <w:rFonts w:ascii="宋体"/>
              </w:rPr>
            </w:pPr>
          </w:p>
        </w:tc>
        <w:tc>
          <w:tcPr>
            <w:tcW w:w="0" w:type="auto"/>
            <w:gridSpan w:val="3"/>
            <w:shd w:val="clear" w:color="auto" w:fill="FFFFFF"/>
            <w:tcMar>
              <w:top w:w="0" w:type="dxa"/>
              <w:left w:w="20" w:type="dxa"/>
              <w:bottom w:w="0" w:type="dxa"/>
              <w:right w:w="20" w:type="dxa"/>
            </w:tcMar>
            <w:vAlign w:val="bottom"/>
          </w:tcPr>
          <w:p w14:paraId="392CA82B" w14:textId="77777777" w:rsidR="00980E5F" w:rsidRDefault="00980E5F">
            <w:pPr>
              <w:rPr>
                <w:rFonts w:ascii="宋体"/>
              </w:rPr>
            </w:pPr>
          </w:p>
        </w:tc>
        <w:tc>
          <w:tcPr>
            <w:tcW w:w="0" w:type="auto"/>
            <w:gridSpan w:val="3"/>
            <w:shd w:val="clear" w:color="auto" w:fill="auto"/>
            <w:vAlign w:val="bottom"/>
          </w:tcPr>
          <w:p w14:paraId="392CA82C" w14:textId="77777777" w:rsidR="00980E5F" w:rsidRDefault="00980E5F">
            <w:pPr>
              <w:rPr>
                <w:rFonts w:ascii="宋体"/>
                <w:vanish/>
              </w:rPr>
            </w:pPr>
          </w:p>
        </w:tc>
        <w:tc>
          <w:tcPr>
            <w:tcW w:w="0" w:type="auto"/>
            <w:gridSpan w:val="3"/>
            <w:shd w:val="clear" w:color="auto" w:fill="auto"/>
            <w:vAlign w:val="bottom"/>
          </w:tcPr>
          <w:p w14:paraId="392CA82D" w14:textId="77777777" w:rsidR="00980E5F" w:rsidRDefault="00980E5F">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2E" w14:textId="77777777" w:rsidR="00980E5F" w:rsidRDefault="00483613">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392CA82F" w14:textId="77777777" w:rsidR="00980E5F" w:rsidRDefault="00483613">
            <w:pPr>
              <w:jc w:val="right"/>
              <w:textAlignment w:val="bottom"/>
            </w:pPr>
            <w:r>
              <w:rPr>
                <w:rFonts w:ascii="Arial" w:eastAsia="宋体" w:hAnsi="Arial" w:cs="Arial"/>
                <w:b/>
                <w:bCs/>
                <w:color w:val="000000"/>
                <w:sz w:val="14"/>
                <w:szCs w:val="14"/>
              </w:rPr>
              <w:t>%</w:t>
            </w:r>
          </w:p>
        </w:tc>
        <w:tc>
          <w:tcPr>
            <w:tcW w:w="0" w:type="auto"/>
            <w:gridSpan w:val="2"/>
            <w:shd w:val="clear" w:color="auto" w:fill="FFFFFF"/>
            <w:tcMar>
              <w:top w:w="0" w:type="dxa"/>
              <w:left w:w="20" w:type="dxa"/>
              <w:bottom w:w="0" w:type="dxa"/>
              <w:right w:w="20" w:type="dxa"/>
            </w:tcMar>
            <w:vAlign w:val="bottom"/>
          </w:tcPr>
          <w:p w14:paraId="392CA830" w14:textId="77777777" w:rsidR="00980E5F" w:rsidRDefault="00980E5F">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392CA831" w14:textId="77777777" w:rsidR="00980E5F" w:rsidRDefault="00483613">
            <w:pPr>
              <w:jc w:val="right"/>
              <w:textAlignment w:val="bottom"/>
            </w:pPr>
            <w:r>
              <w:rPr>
                <w:rFonts w:ascii="Arial" w:eastAsia="宋体" w:hAnsi="Arial" w:cs="Arial"/>
                <w:color w:val="000000"/>
                <w:sz w:val="14"/>
                <w:szCs w:val="14"/>
              </w:rPr>
              <w:t>26 </w:t>
            </w:r>
          </w:p>
          <w:p w14:paraId="392CA832" w14:textId="77777777" w:rsidR="00980E5F" w:rsidRDefault="00483613">
            <w:pPr>
              <w:jc w:val="right"/>
              <w:textAlignment w:val="bottom"/>
            </w:pPr>
            <w:r>
              <w:rPr>
                <w:rFonts w:ascii="Arial" w:eastAsia="宋体" w:hAnsi="Arial" w:cs="Arial"/>
                <w:color w:val="000000"/>
                <w:sz w:val="14"/>
                <w:szCs w:val="14"/>
              </w:rPr>
              <w:t>%</w:t>
            </w:r>
          </w:p>
        </w:tc>
      </w:tr>
      <w:tr w:rsidR="00980E5F" w14:paraId="392CA84A" w14:textId="77777777">
        <w:trPr>
          <w:hidden/>
        </w:trPr>
        <w:tc>
          <w:tcPr>
            <w:tcW w:w="0" w:type="auto"/>
            <w:gridSpan w:val="3"/>
            <w:shd w:val="clear" w:color="auto" w:fill="auto"/>
            <w:vAlign w:val="bottom"/>
          </w:tcPr>
          <w:p w14:paraId="392CA834" w14:textId="77777777" w:rsidR="00980E5F" w:rsidRDefault="00980E5F">
            <w:pPr>
              <w:rPr>
                <w:rFonts w:ascii="宋体"/>
                <w:vanish/>
              </w:rPr>
            </w:pPr>
          </w:p>
        </w:tc>
        <w:tc>
          <w:tcPr>
            <w:tcW w:w="0" w:type="auto"/>
            <w:gridSpan w:val="3"/>
            <w:shd w:val="clear" w:color="auto" w:fill="auto"/>
            <w:vAlign w:val="bottom"/>
          </w:tcPr>
          <w:p w14:paraId="392CA835" w14:textId="77777777" w:rsidR="00980E5F" w:rsidRDefault="00980E5F">
            <w:pPr>
              <w:rPr>
                <w:rFonts w:ascii="宋体"/>
                <w:vanish/>
              </w:rPr>
            </w:pPr>
          </w:p>
        </w:tc>
        <w:tc>
          <w:tcPr>
            <w:tcW w:w="0" w:type="auto"/>
            <w:gridSpan w:val="3"/>
            <w:shd w:val="clear" w:color="auto" w:fill="auto"/>
            <w:vAlign w:val="bottom"/>
          </w:tcPr>
          <w:p w14:paraId="392CA836" w14:textId="77777777" w:rsidR="00980E5F" w:rsidRDefault="00980E5F">
            <w:pPr>
              <w:rPr>
                <w:rFonts w:ascii="宋体"/>
                <w:vanish/>
              </w:rPr>
            </w:pPr>
          </w:p>
        </w:tc>
        <w:tc>
          <w:tcPr>
            <w:tcW w:w="0" w:type="auto"/>
            <w:gridSpan w:val="3"/>
            <w:shd w:val="clear" w:color="auto" w:fill="auto"/>
            <w:vAlign w:val="bottom"/>
          </w:tcPr>
          <w:p w14:paraId="392CA837" w14:textId="77777777" w:rsidR="00980E5F" w:rsidRDefault="00980E5F">
            <w:pPr>
              <w:rPr>
                <w:rFonts w:ascii="宋体"/>
                <w:vanish/>
              </w:rPr>
            </w:pPr>
          </w:p>
        </w:tc>
        <w:tc>
          <w:tcPr>
            <w:tcW w:w="0" w:type="auto"/>
            <w:gridSpan w:val="3"/>
            <w:shd w:val="clear" w:color="auto" w:fill="auto"/>
            <w:vAlign w:val="bottom"/>
          </w:tcPr>
          <w:p w14:paraId="392CA838" w14:textId="77777777" w:rsidR="00980E5F" w:rsidRDefault="00980E5F">
            <w:pPr>
              <w:rPr>
                <w:rFonts w:ascii="宋体"/>
                <w:vanish/>
              </w:rPr>
            </w:pPr>
          </w:p>
        </w:tc>
        <w:tc>
          <w:tcPr>
            <w:tcW w:w="0" w:type="auto"/>
            <w:shd w:val="clear" w:color="auto" w:fill="auto"/>
            <w:vAlign w:val="bottom"/>
          </w:tcPr>
          <w:p w14:paraId="392CA839" w14:textId="77777777" w:rsidR="00980E5F" w:rsidRDefault="00980E5F">
            <w:pPr>
              <w:rPr>
                <w:rFonts w:ascii="宋体"/>
                <w:vanish/>
              </w:rPr>
            </w:pPr>
          </w:p>
        </w:tc>
        <w:tc>
          <w:tcPr>
            <w:tcW w:w="0" w:type="auto"/>
            <w:shd w:val="clear" w:color="auto" w:fill="auto"/>
            <w:vAlign w:val="bottom"/>
          </w:tcPr>
          <w:p w14:paraId="392CA83A" w14:textId="77777777" w:rsidR="00980E5F" w:rsidRDefault="00980E5F">
            <w:pPr>
              <w:rPr>
                <w:rFonts w:ascii="宋体"/>
                <w:vanish/>
              </w:rPr>
            </w:pPr>
          </w:p>
        </w:tc>
        <w:tc>
          <w:tcPr>
            <w:tcW w:w="0" w:type="auto"/>
            <w:gridSpan w:val="3"/>
            <w:shd w:val="clear" w:color="auto" w:fill="auto"/>
            <w:vAlign w:val="bottom"/>
          </w:tcPr>
          <w:p w14:paraId="392CA83B" w14:textId="77777777" w:rsidR="00980E5F" w:rsidRDefault="00980E5F">
            <w:pPr>
              <w:rPr>
                <w:rFonts w:ascii="宋体"/>
                <w:vanish/>
              </w:rPr>
            </w:pPr>
          </w:p>
        </w:tc>
        <w:tc>
          <w:tcPr>
            <w:tcW w:w="0" w:type="auto"/>
            <w:gridSpan w:val="3"/>
            <w:shd w:val="clear" w:color="auto" w:fill="auto"/>
            <w:vAlign w:val="bottom"/>
          </w:tcPr>
          <w:p w14:paraId="392CA83C" w14:textId="77777777" w:rsidR="00980E5F" w:rsidRDefault="00980E5F">
            <w:pPr>
              <w:rPr>
                <w:rFonts w:ascii="宋体"/>
                <w:vanish/>
              </w:rPr>
            </w:pPr>
          </w:p>
        </w:tc>
        <w:tc>
          <w:tcPr>
            <w:tcW w:w="0" w:type="auto"/>
            <w:gridSpan w:val="3"/>
            <w:shd w:val="clear" w:color="auto" w:fill="auto"/>
            <w:vAlign w:val="bottom"/>
          </w:tcPr>
          <w:p w14:paraId="392CA83D" w14:textId="77777777" w:rsidR="00980E5F" w:rsidRDefault="00980E5F">
            <w:pPr>
              <w:rPr>
                <w:rFonts w:ascii="宋体"/>
                <w:vanish/>
              </w:rPr>
            </w:pPr>
          </w:p>
        </w:tc>
        <w:tc>
          <w:tcPr>
            <w:tcW w:w="0" w:type="auto"/>
            <w:gridSpan w:val="3"/>
            <w:shd w:val="clear" w:color="auto" w:fill="auto"/>
            <w:vAlign w:val="bottom"/>
          </w:tcPr>
          <w:p w14:paraId="392CA83E" w14:textId="77777777" w:rsidR="00980E5F" w:rsidRDefault="00980E5F">
            <w:pPr>
              <w:rPr>
                <w:rFonts w:ascii="宋体"/>
                <w:vanish/>
              </w:rPr>
            </w:pPr>
          </w:p>
        </w:tc>
        <w:tc>
          <w:tcPr>
            <w:tcW w:w="0" w:type="auto"/>
            <w:shd w:val="clear" w:color="auto" w:fill="auto"/>
            <w:vAlign w:val="bottom"/>
          </w:tcPr>
          <w:p w14:paraId="392CA83F" w14:textId="77777777" w:rsidR="00980E5F" w:rsidRDefault="00980E5F">
            <w:pPr>
              <w:rPr>
                <w:rFonts w:ascii="宋体"/>
                <w:vanish/>
              </w:rPr>
            </w:pPr>
          </w:p>
        </w:tc>
        <w:tc>
          <w:tcPr>
            <w:tcW w:w="0" w:type="auto"/>
            <w:shd w:val="clear" w:color="auto" w:fill="auto"/>
            <w:vAlign w:val="bottom"/>
          </w:tcPr>
          <w:p w14:paraId="392CA840" w14:textId="77777777" w:rsidR="00980E5F" w:rsidRDefault="00980E5F">
            <w:pPr>
              <w:rPr>
                <w:rFonts w:ascii="宋体"/>
                <w:vanish/>
              </w:rPr>
            </w:pPr>
          </w:p>
        </w:tc>
        <w:tc>
          <w:tcPr>
            <w:tcW w:w="0" w:type="auto"/>
            <w:gridSpan w:val="3"/>
            <w:shd w:val="clear" w:color="auto" w:fill="auto"/>
            <w:vAlign w:val="bottom"/>
          </w:tcPr>
          <w:p w14:paraId="392CA841" w14:textId="77777777" w:rsidR="00980E5F" w:rsidRDefault="00980E5F">
            <w:pPr>
              <w:rPr>
                <w:rFonts w:ascii="宋体"/>
                <w:vanish/>
              </w:rPr>
            </w:pPr>
          </w:p>
        </w:tc>
        <w:tc>
          <w:tcPr>
            <w:tcW w:w="0" w:type="auto"/>
            <w:gridSpan w:val="3"/>
            <w:shd w:val="clear" w:color="auto" w:fill="auto"/>
            <w:vAlign w:val="bottom"/>
          </w:tcPr>
          <w:p w14:paraId="392CA842" w14:textId="77777777" w:rsidR="00980E5F" w:rsidRDefault="00980E5F">
            <w:pPr>
              <w:rPr>
                <w:rFonts w:ascii="宋体"/>
                <w:vanish/>
              </w:rPr>
            </w:pPr>
          </w:p>
        </w:tc>
        <w:tc>
          <w:tcPr>
            <w:tcW w:w="0" w:type="auto"/>
            <w:gridSpan w:val="3"/>
            <w:shd w:val="clear" w:color="auto" w:fill="auto"/>
            <w:vAlign w:val="bottom"/>
          </w:tcPr>
          <w:p w14:paraId="392CA843" w14:textId="77777777" w:rsidR="00980E5F" w:rsidRDefault="00980E5F">
            <w:pPr>
              <w:rPr>
                <w:rFonts w:ascii="宋体"/>
                <w:vanish/>
              </w:rPr>
            </w:pPr>
          </w:p>
        </w:tc>
        <w:tc>
          <w:tcPr>
            <w:tcW w:w="0" w:type="auto"/>
            <w:gridSpan w:val="3"/>
            <w:shd w:val="clear" w:color="auto" w:fill="auto"/>
            <w:vAlign w:val="bottom"/>
          </w:tcPr>
          <w:p w14:paraId="392CA844" w14:textId="77777777" w:rsidR="00980E5F" w:rsidRDefault="00980E5F">
            <w:pPr>
              <w:rPr>
                <w:rFonts w:ascii="宋体"/>
                <w:vanish/>
              </w:rPr>
            </w:pPr>
          </w:p>
        </w:tc>
        <w:tc>
          <w:tcPr>
            <w:tcW w:w="0" w:type="auto"/>
            <w:gridSpan w:val="3"/>
            <w:shd w:val="clear" w:color="auto" w:fill="auto"/>
            <w:vAlign w:val="bottom"/>
          </w:tcPr>
          <w:p w14:paraId="392CA845" w14:textId="77777777" w:rsidR="00980E5F" w:rsidRDefault="00980E5F">
            <w:pPr>
              <w:rPr>
                <w:rFonts w:ascii="宋体"/>
                <w:vanish/>
              </w:rPr>
            </w:pPr>
          </w:p>
        </w:tc>
        <w:tc>
          <w:tcPr>
            <w:tcW w:w="0" w:type="auto"/>
            <w:gridSpan w:val="3"/>
            <w:shd w:val="clear" w:color="auto" w:fill="auto"/>
            <w:vAlign w:val="bottom"/>
          </w:tcPr>
          <w:p w14:paraId="392CA846" w14:textId="77777777" w:rsidR="00980E5F" w:rsidRDefault="00980E5F">
            <w:pPr>
              <w:rPr>
                <w:rFonts w:ascii="宋体"/>
                <w:vanish/>
              </w:rPr>
            </w:pPr>
          </w:p>
        </w:tc>
        <w:tc>
          <w:tcPr>
            <w:tcW w:w="0" w:type="auto"/>
            <w:gridSpan w:val="3"/>
            <w:shd w:val="clear" w:color="auto" w:fill="auto"/>
            <w:vAlign w:val="bottom"/>
          </w:tcPr>
          <w:p w14:paraId="392CA847" w14:textId="77777777" w:rsidR="00980E5F" w:rsidRDefault="00980E5F">
            <w:pPr>
              <w:rPr>
                <w:rFonts w:ascii="宋体"/>
                <w:vanish/>
              </w:rPr>
            </w:pPr>
          </w:p>
        </w:tc>
        <w:tc>
          <w:tcPr>
            <w:tcW w:w="0" w:type="auto"/>
            <w:gridSpan w:val="2"/>
            <w:shd w:val="clear" w:color="auto" w:fill="auto"/>
            <w:vAlign w:val="bottom"/>
          </w:tcPr>
          <w:p w14:paraId="392CA848" w14:textId="77777777" w:rsidR="00980E5F" w:rsidRDefault="00980E5F">
            <w:pPr>
              <w:rPr>
                <w:rFonts w:ascii="宋体"/>
                <w:vanish/>
              </w:rPr>
            </w:pPr>
          </w:p>
        </w:tc>
        <w:tc>
          <w:tcPr>
            <w:tcW w:w="0" w:type="auto"/>
            <w:shd w:val="clear" w:color="auto" w:fill="auto"/>
            <w:vAlign w:val="bottom"/>
          </w:tcPr>
          <w:p w14:paraId="392CA849" w14:textId="77777777" w:rsidR="00980E5F" w:rsidRDefault="00980E5F">
            <w:pPr>
              <w:rPr>
                <w:rFonts w:ascii="宋体"/>
                <w:vanish/>
              </w:rPr>
            </w:pPr>
          </w:p>
        </w:tc>
      </w:tr>
    </w:tbl>
    <w:p w14:paraId="392CA84B" w14:textId="77777777" w:rsidR="00980E5F" w:rsidRDefault="00483613">
      <w:pPr>
        <w:spacing w:before="180"/>
        <w:jc w:val="both"/>
      </w:pPr>
      <w:r>
        <w:rPr>
          <w:rFonts w:ascii="Arial" w:eastAsia="宋体" w:hAnsi="Arial" w:cs="Arial"/>
          <w:b/>
          <w:bCs/>
          <w:color w:val="000000"/>
          <w:sz w:val="20"/>
          <w:szCs w:val="20"/>
        </w:rPr>
        <w:t>Note 18.  Revenue from Contracts with Customers</w:t>
      </w:r>
    </w:p>
    <w:p w14:paraId="392CA84C" w14:textId="77777777" w:rsidR="00980E5F" w:rsidRDefault="00483613">
      <w:pPr>
        <w:spacing w:before="60"/>
        <w:ind w:firstLine="450"/>
        <w:jc w:val="both"/>
      </w:pPr>
      <w:r>
        <w:rPr>
          <w:rFonts w:ascii="Arial" w:eastAsia="宋体" w:hAnsi="Arial" w:cs="Arial"/>
          <w:color w:val="000000"/>
          <w:sz w:val="20"/>
          <w:szCs w:val="20"/>
        </w:rPr>
        <w:t xml:space="preserve">For additional information on the nature of services and our revenue from contracts with customers, including revenues associated with both our Investment Servicing and </w:t>
      </w:r>
      <w:r>
        <w:rPr>
          <w:rFonts w:ascii="Arial" w:eastAsia="宋体" w:hAnsi="Arial" w:cs="Arial"/>
          <w:color w:val="000000"/>
          <w:sz w:val="20"/>
          <w:szCs w:val="20"/>
        </w:rPr>
        <w:t>Investment Management lines of business, refer to pages 181 to 183 in Note 25 to the consolidated financial statements included under Item 8, Financial Statements and Supplementary Data, in our 2021 Form 10-K.</w:t>
      </w:r>
    </w:p>
    <w:p w14:paraId="392CA84D" w14:textId="77777777" w:rsidR="00980E5F" w:rsidRDefault="00483613">
      <w:pPr>
        <w:spacing w:before="60"/>
        <w:jc w:val="both"/>
      </w:pPr>
      <w:r>
        <w:rPr>
          <w:rFonts w:ascii="Arial" w:eastAsia="宋体" w:hAnsi="Arial" w:cs="Arial"/>
          <w:b/>
          <w:bCs/>
          <w:i/>
          <w:iCs/>
          <w:color w:val="000000"/>
          <w:sz w:val="20"/>
          <w:szCs w:val="20"/>
        </w:rPr>
        <w:t>Revenue by category</w:t>
      </w:r>
    </w:p>
    <w:p w14:paraId="392CA84E" w14:textId="77777777" w:rsidR="00980E5F" w:rsidRDefault="00483613">
      <w:pPr>
        <w:spacing w:before="60"/>
        <w:ind w:firstLine="450"/>
        <w:jc w:val="both"/>
      </w:pPr>
      <w:r>
        <w:rPr>
          <w:rFonts w:ascii="Arial" w:eastAsia="宋体" w:hAnsi="Arial" w:cs="Arial"/>
          <w:color w:val="000000"/>
          <w:sz w:val="20"/>
          <w:szCs w:val="20"/>
        </w:rPr>
        <w:t xml:space="preserve">In the following </w:t>
      </w:r>
      <w:r>
        <w:rPr>
          <w:rFonts w:ascii="Arial" w:eastAsia="宋体" w:hAnsi="Arial" w:cs="Arial"/>
          <w:color w:val="000000"/>
          <w:sz w:val="20"/>
          <w:szCs w:val="20"/>
        </w:rPr>
        <w:t>tables, revenue is disaggregated by our two lines of business and by revenue stream for which the nature, amount, timing and uncertainty of revenue and cash flows are affected by economic factors.</w:t>
      </w:r>
    </w:p>
    <w:p w14:paraId="392CA84F" w14:textId="77777777" w:rsidR="00980E5F" w:rsidRDefault="00483613">
      <w:pPr>
        <w:ind w:firstLine="450"/>
        <w:jc w:val="right"/>
      </w:pPr>
      <w:r>
        <w:rPr>
          <w:rFonts w:ascii="Arial" w:eastAsia="宋体" w:hAnsi="Arial" w:cs="Arial"/>
          <w:color w:val="000000"/>
          <w:sz w:val="18"/>
          <w:szCs w:val="18"/>
        </w:rPr>
        <w:t>State Street Corporation | 96</w:t>
      </w:r>
    </w:p>
    <w:p w14:paraId="392CA850" w14:textId="77777777" w:rsidR="00980E5F" w:rsidRDefault="00980E5F">
      <w:pPr>
        <w:ind w:firstLine="450"/>
        <w:jc w:val="center"/>
      </w:pPr>
    </w:p>
    <w:p w14:paraId="392CA851" w14:textId="77777777" w:rsidR="00980E5F" w:rsidRDefault="00483613">
      <w:r>
        <w:pict w14:anchorId="392CBB2E">
          <v:rect id="_x0000_i1120" style="width:415.3pt;height:1.5pt" o:hralign="center" o:hrstd="t" o:hr="t" fillcolor="#a0a0a0" stroked="f"/>
        </w:pict>
      </w:r>
    </w:p>
    <w:p w14:paraId="392CA852" w14:textId="77777777" w:rsidR="00980E5F" w:rsidRDefault="00483613">
      <w:pPr>
        <w:ind w:firstLine="450"/>
        <w:jc w:val="center"/>
      </w:pPr>
      <w:r>
        <w:rPr>
          <w:rFonts w:ascii="Arial" w:eastAsia="宋体" w:hAnsi="Arial" w:cs="Arial"/>
          <w:b/>
          <w:bCs/>
          <w:color w:val="000000"/>
          <w:sz w:val="20"/>
          <w:szCs w:val="20"/>
        </w:rPr>
        <w:t>STATE STREET CORPORATION</w:t>
      </w:r>
    </w:p>
    <w:p w14:paraId="392CA853" w14:textId="77777777" w:rsidR="00980E5F" w:rsidRDefault="00483613">
      <w:pPr>
        <w:ind w:firstLine="450"/>
        <w:jc w:val="center"/>
      </w:pPr>
      <w:r>
        <w:rPr>
          <w:rFonts w:ascii="Arial" w:eastAsia="宋体" w:hAnsi="Arial" w:cs="Arial"/>
          <w:b/>
          <w:bCs/>
          <w:color w:val="000000"/>
          <w:sz w:val="20"/>
          <w:szCs w:val="20"/>
        </w:rPr>
        <w:t>C</w:t>
      </w:r>
      <w:r>
        <w:rPr>
          <w:rFonts w:ascii="Arial" w:eastAsia="宋体" w:hAnsi="Arial" w:cs="Arial"/>
          <w:b/>
          <w:bCs/>
          <w:color w:val="000000"/>
          <w:sz w:val="20"/>
          <w:szCs w:val="20"/>
        </w:rPr>
        <w:t>ONDENSED NOTES TO CONSOLIDATED FINANCIAL STATEMENTS</w:t>
      </w:r>
    </w:p>
    <w:p w14:paraId="392CA854" w14:textId="77777777" w:rsidR="00980E5F" w:rsidRDefault="00483613">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9"/>
        <w:gridCol w:w="1488"/>
        <w:gridCol w:w="38"/>
        <w:gridCol w:w="99"/>
        <w:gridCol w:w="498"/>
        <w:gridCol w:w="36"/>
        <w:gridCol w:w="36"/>
        <w:gridCol w:w="36"/>
        <w:gridCol w:w="36"/>
        <w:gridCol w:w="99"/>
        <w:gridCol w:w="492"/>
        <w:gridCol w:w="36"/>
        <w:gridCol w:w="36"/>
        <w:gridCol w:w="36"/>
        <w:gridCol w:w="36"/>
        <w:gridCol w:w="98"/>
        <w:gridCol w:w="390"/>
        <w:gridCol w:w="36"/>
        <w:gridCol w:w="36"/>
        <w:gridCol w:w="36"/>
        <w:gridCol w:w="36"/>
        <w:gridCol w:w="99"/>
        <w:gridCol w:w="486"/>
        <w:gridCol w:w="36"/>
        <w:gridCol w:w="36"/>
        <w:gridCol w:w="36"/>
        <w:gridCol w:w="36"/>
        <w:gridCol w:w="99"/>
        <w:gridCol w:w="496"/>
        <w:gridCol w:w="36"/>
        <w:gridCol w:w="36"/>
        <w:gridCol w:w="36"/>
        <w:gridCol w:w="36"/>
        <w:gridCol w:w="98"/>
        <w:gridCol w:w="390"/>
        <w:gridCol w:w="36"/>
        <w:gridCol w:w="36"/>
        <w:gridCol w:w="36"/>
        <w:gridCol w:w="36"/>
        <w:gridCol w:w="99"/>
        <w:gridCol w:w="492"/>
        <w:gridCol w:w="36"/>
        <w:gridCol w:w="36"/>
        <w:gridCol w:w="36"/>
        <w:gridCol w:w="36"/>
        <w:gridCol w:w="99"/>
        <w:gridCol w:w="492"/>
        <w:gridCol w:w="36"/>
        <w:gridCol w:w="36"/>
        <w:gridCol w:w="36"/>
        <w:gridCol w:w="36"/>
        <w:gridCol w:w="99"/>
        <w:gridCol w:w="316"/>
        <w:gridCol w:w="36"/>
        <w:gridCol w:w="36"/>
        <w:gridCol w:w="36"/>
        <w:gridCol w:w="36"/>
        <w:gridCol w:w="98"/>
        <w:gridCol w:w="390"/>
        <w:gridCol w:w="36"/>
      </w:tblGrid>
      <w:tr w:rsidR="00980E5F" w14:paraId="392CA891" w14:textId="77777777">
        <w:tc>
          <w:tcPr>
            <w:tcW w:w="50" w:type="pct"/>
            <w:shd w:val="clear" w:color="auto" w:fill="auto"/>
            <w:vAlign w:val="bottom"/>
          </w:tcPr>
          <w:p w14:paraId="392CA855" w14:textId="77777777" w:rsidR="00980E5F" w:rsidRDefault="00980E5F">
            <w:pPr>
              <w:rPr>
                <w:rFonts w:ascii="宋体"/>
              </w:rPr>
            </w:pPr>
          </w:p>
        </w:tc>
        <w:tc>
          <w:tcPr>
            <w:tcW w:w="968" w:type="pct"/>
            <w:shd w:val="clear" w:color="auto" w:fill="auto"/>
            <w:vAlign w:val="bottom"/>
          </w:tcPr>
          <w:p w14:paraId="392CA856" w14:textId="77777777" w:rsidR="00980E5F" w:rsidRDefault="00980E5F">
            <w:pPr>
              <w:rPr>
                <w:rFonts w:ascii="宋体"/>
              </w:rPr>
            </w:pPr>
          </w:p>
        </w:tc>
        <w:tc>
          <w:tcPr>
            <w:tcW w:w="5" w:type="pct"/>
            <w:shd w:val="clear" w:color="auto" w:fill="auto"/>
            <w:vAlign w:val="bottom"/>
          </w:tcPr>
          <w:p w14:paraId="392CA857" w14:textId="77777777" w:rsidR="00980E5F" w:rsidRDefault="00980E5F">
            <w:pPr>
              <w:rPr>
                <w:rFonts w:ascii="宋体"/>
              </w:rPr>
            </w:pPr>
          </w:p>
        </w:tc>
        <w:tc>
          <w:tcPr>
            <w:tcW w:w="50" w:type="pct"/>
            <w:shd w:val="clear" w:color="auto" w:fill="auto"/>
            <w:vAlign w:val="bottom"/>
          </w:tcPr>
          <w:p w14:paraId="392CA858" w14:textId="77777777" w:rsidR="00980E5F" w:rsidRDefault="00980E5F">
            <w:pPr>
              <w:rPr>
                <w:rFonts w:ascii="宋体"/>
              </w:rPr>
            </w:pPr>
          </w:p>
        </w:tc>
        <w:tc>
          <w:tcPr>
            <w:tcW w:w="347" w:type="pct"/>
            <w:shd w:val="clear" w:color="auto" w:fill="auto"/>
            <w:vAlign w:val="bottom"/>
          </w:tcPr>
          <w:p w14:paraId="392CA859" w14:textId="77777777" w:rsidR="00980E5F" w:rsidRDefault="00980E5F">
            <w:pPr>
              <w:rPr>
                <w:rFonts w:ascii="宋体"/>
              </w:rPr>
            </w:pPr>
          </w:p>
        </w:tc>
        <w:tc>
          <w:tcPr>
            <w:tcW w:w="5" w:type="pct"/>
            <w:shd w:val="clear" w:color="auto" w:fill="auto"/>
            <w:vAlign w:val="bottom"/>
          </w:tcPr>
          <w:p w14:paraId="392CA85A" w14:textId="77777777" w:rsidR="00980E5F" w:rsidRDefault="00980E5F">
            <w:pPr>
              <w:rPr>
                <w:rFonts w:ascii="宋体"/>
              </w:rPr>
            </w:pPr>
          </w:p>
        </w:tc>
        <w:tc>
          <w:tcPr>
            <w:tcW w:w="5" w:type="pct"/>
            <w:shd w:val="clear" w:color="auto" w:fill="auto"/>
            <w:vAlign w:val="bottom"/>
          </w:tcPr>
          <w:p w14:paraId="392CA85B" w14:textId="77777777" w:rsidR="00980E5F" w:rsidRDefault="00980E5F">
            <w:pPr>
              <w:rPr>
                <w:rFonts w:ascii="宋体"/>
              </w:rPr>
            </w:pPr>
          </w:p>
        </w:tc>
        <w:tc>
          <w:tcPr>
            <w:tcW w:w="19" w:type="pct"/>
            <w:shd w:val="clear" w:color="auto" w:fill="auto"/>
            <w:vAlign w:val="bottom"/>
          </w:tcPr>
          <w:p w14:paraId="392CA85C" w14:textId="77777777" w:rsidR="00980E5F" w:rsidRDefault="00980E5F">
            <w:pPr>
              <w:rPr>
                <w:rFonts w:ascii="宋体"/>
              </w:rPr>
            </w:pPr>
          </w:p>
        </w:tc>
        <w:tc>
          <w:tcPr>
            <w:tcW w:w="5" w:type="pct"/>
            <w:shd w:val="clear" w:color="auto" w:fill="auto"/>
            <w:vAlign w:val="bottom"/>
          </w:tcPr>
          <w:p w14:paraId="392CA85D" w14:textId="77777777" w:rsidR="00980E5F" w:rsidRDefault="00980E5F">
            <w:pPr>
              <w:rPr>
                <w:rFonts w:ascii="宋体"/>
              </w:rPr>
            </w:pPr>
          </w:p>
        </w:tc>
        <w:tc>
          <w:tcPr>
            <w:tcW w:w="50" w:type="pct"/>
            <w:shd w:val="clear" w:color="auto" w:fill="auto"/>
            <w:vAlign w:val="bottom"/>
          </w:tcPr>
          <w:p w14:paraId="392CA85E" w14:textId="77777777" w:rsidR="00980E5F" w:rsidRDefault="00980E5F">
            <w:pPr>
              <w:rPr>
                <w:rFonts w:ascii="宋体"/>
              </w:rPr>
            </w:pPr>
          </w:p>
        </w:tc>
        <w:tc>
          <w:tcPr>
            <w:tcW w:w="317" w:type="pct"/>
            <w:shd w:val="clear" w:color="auto" w:fill="auto"/>
            <w:vAlign w:val="bottom"/>
          </w:tcPr>
          <w:p w14:paraId="392CA85F" w14:textId="77777777" w:rsidR="00980E5F" w:rsidRDefault="00980E5F">
            <w:pPr>
              <w:rPr>
                <w:rFonts w:ascii="宋体"/>
              </w:rPr>
            </w:pPr>
          </w:p>
        </w:tc>
        <w:tc>
          <w:tcPr>
            <w:tcW w:w="5" w:type="pct"/>
            <w:shd w:val="clear" w:color="auto" w:fill="auto"/>
            <w:vAlign w:val="bottom"/>
          </w:tcPr>
          <w:p w14:paraId="392CA860" w14:textId="77777777" w:rsidR="00980E5F" w:rsidRDefault="00980E5F">
            <w:pPr>
              <w:rPr>
                <w:rFonts w:ascii="宋体"/>
              </w:rPr>
            </w:pPr>
          </w:p>
        </w:tc>
        <w:tc>
          <w:tcPr>
            <w:tcW w:w="5" w:type="pct"/>
            <w:shd w:val="clear" w:color="auto" w:fill="auto"/>
            <w:vAlign w:val="bottom"/>
          </w:tcPr>
          <w:p w14:paraId="392CA861" w14:textId="77777777" w:rsidR="00980E5F" w:rsidRDefault="00980E5F">
            <w:pPr>
              <w:rPr>
                <w:rFonts w:ascii="宋体"/>
              </w:rPr>
            </w:pPr>
          </w:p>
        </w:tc>
        <w:tc>
          <w:tcPr>
            <w:tcW w:w="19" w:type="pct"/>
            <w:shd w:val="clear" w:color="auto" w:fill="auto"/>
            <w:vAlign w:val="bottom"/>
          </w:tcPr>
          <w:p w14:paraId="392CA862" w14:textId="77777777" w:rsidR="00980E5F" w:rsidRDefault="00980E5F">
            <w:pPr>
              <w:rPr>
                <w:rFonts w:ascii="宋体"/>
              </w:rPr>
            </w:pPr>
          </w:p>
        </w:tc>
        <w:tc>
          <w:tcPr>
            <w:tcW w:w="5" w:type="pct"/>
            <w:shd w:val="clear" w:color="auto" w:fill="auto"/>
            <w:vAlign w:val="bottom"/>
          </w:tcPr>
          <w:p w14:paraId="392CA863" w14:textId="77777777" w:rsidR="00980E5F" w:rsidRDefault="00980E5F">
            <w:pPr>
              <w:rPr>
                <w:rFonts w:ascii="宋体"/>
              </w:rPr>
            </w:pPr>
          </w:p>
        </w:tc>
        <w:tc>
          <w:tcPr>
            <w:tcW w:w="50" w:type="pct"/>
            <w:shd w:val="clear" w:color="auto" w:fill="auto"/>
            <w:vAlign w:val="bottom"/>
          </w:tcPr>
          <w:p w14:paraId="392CA864" w14:textId="77777777" w:rsidR="00980E5F" w:rsidRDefault="00980E5F">
            <w:pPr>
              <w:rPr>
                <w:rFonts w:ascii="宋体"/>
              </w:rPr>
            </w:pPr>
          </w:p>
        </w:tc>
        <w:tc>
          <w:tcPr>
            <w:tcW w:w="295" w:type="pct"/>
            <w:shd w:val="clear" w:color="auto" w:fill="auto"/>
            <w:vAlign w:val="bottom"/>
          </w:tcPr>
          <w:p w14:paraId="392CA865" w14:textId="77777777" w:rsidR="00980E5F" w:rsidRDefault="00980E5F">
            <w:pPr>
              <w:rPr>
                <w:rFonts w:ascii="宋体"/>
              </w:rPr>
            </w:pPr>
          </w:p>
        </w:tc>
        <w:tc>
          <w:tcPr>
            <w:tcW w:w="5" w:type="pct"/>
            <w:shd w:val="clear" w:color="auto" w:fill="auto"/>
            <w:vAlign w:val="bottom"/>
          </w:tcPr>
          <w:p w14:paraId="392CA866" w14:textId="77777777" w:rsidR="00980E5F" w:rsidRDefault="00980E5F">
            <w:pPr>
              <w:rPr>
                <w:rFonts w:ascii="宋体"/>
              </w:rPr>
            </w:pPr>
          </w:p>
        </w:tc>
        <w:tc>
          <w:tcPr>
            <w:tcW w:w="5" w:type="pct"/>
            <w:shd w:val="clear" w:color="auto" w:fill="auto"/>
            <w:vAlign w:val="bottom"/>
          </w:tcPr>
          <w:p w14:paraId="392CA867" w14:textId="77777777" w:rsidR="00980E5F" w:rsidRDefault="00980E5F">
            <w:pPr>
              <w:rPr>
                <w:rFonts w:ascii="宋体"/>
              </w:rPr>
            </w:pPr>
          </w:p>
        </w:tc>
        <w:tc>
          <w:tcPr>
            <w:tcW w:w="19" w:type="pct"/>
            <w:shd w:val="clear" w:color="auto" w:fill="auto"/>
            <w:vAlign w:val="bottom"/>
          </w:tcPr>
          <w:p w14:paraId="392CA868" w14:textId="77777777" w:rsidR="00980E5F" w:rsidRDefault="00980E5F">
            <w:pPr>
              <w:rPr>
                <w:rFonts w:ascii="宋体"/>
              </w:rPr>
            </w:pPr>
          </w:p>
        </w:tc>
        <w:tc>
          <w:tcPr>
            <w:tcW w:w="5" w:type="pct"/>
            <w:shd w:val="clear" w:color="auto" w:fill="auto"/>
            <w:vAlign w:val="bottom"/>
          </w:tcPr>
          <w:p w14:paraId="392CA869" w14:textId="77777777" w:rsidR="00980E5F" w:rsidRDefault="00980E5F">
            <w:pPr>
              <w:rPr>
                <w:rFonts w:ascii="宋体"/>
              </w:rPr>
            </w:pPr>
          </w:p>
        </w:tc>
        <w:tc>
          <w:tcPr>
            <w:tcW w:w="50" w:type="pct"/>
            <w:shd w:val="clear" w:color="auto" w:fill="auto"/>
            <w:vAlign w:val="bottom"/>
          </w:tcPr>
          <w:p w14:paraId="392CA86A" w14:textId="77777777" w:rsidR="00980E5F" w:rsidRDefault="00980E5F">
            <w:pPr>
              <w:rPr>
                <w:rFonts w:ascii="宋体"/>
              </w:rPr>
            </w:pPr>
          </w:p>
        </w:tc>
        <w:tc>
          <w:tcPr>
            <w:tcW w:w="295" w:type="pct"/>
            <w:shd w:val="clear" w:color="auto" w:fill="auto"/>
            <w:vAlign w:val="bottom"/>
          </w:tcPr>
          <w:p w14:paraId="392CA86B" w14:textId="77777777" w:rsidR="00980E5F" w:rsidRDefault="00980E5F">
            <w:pPr>
              <w:rPr>
                <w:rFonts w:ascii="宋体"/>
              </w:rPr>
            </w:pPr>
          </w:p>
        </w:tc>
        <w:tc>
          <w:tcPr>
            <w:tcW w:w="5" w:type="pct"/>
            <w:shd w:val="clear" w:color="auto" w:fill="auto"/>
            <w:vAlign w:val="bottom"/>
          </w:tcPr>
          <w:p w14:paraId="392CA86C" w14:textId="77777777" w:rsidR="00980E5F" w:rsidRDefault="00980E5F">
            <w:pPr>
              <w:rPr>
                <w:rFonts w:ascii="宋体"/>
              </w:rPr>
            </w:pPr>
          </w:p>
        </w:tc>
        <w:tc>
          <w:tcPr>
            <w:tcW w:w="5" w:type="pct"/>
            <w:shd w:val="clear" w:color="auto" w:fill="auto"/>
            <w:vAlign w:val="bottom"/>
          </w:tcPr>
          <w:p w14:paraId="392CA86D" w14:textId="77777777" w:rsidR="00980E5F" w:rsidRDefault="00980E5F">
            <w:pPr>
              <w:rPr>
                <w:rFonts w:ascii="宋体"/>
              </w:rPr>
            </w:pPr>
          </w:p>
        </w:tc>
        <w:tc>
          <w:tcPr>
            <w:tcW w:w="19" w:type="pct"/>
            <w:shd w:val="clear" w:color="auto" w:fill="auto"/>
            <w:vAlign w:val="bottom"/>
          </w:tcPr>
          <w:p w14:paraId="392CA86E" w14:textId="77777777" w:rsidR="00980E5F" w:rsidRDefault="00980E5F">
            <w:pPr>
              <w:rPr>
                <w:rFonts w:ascii="宋体"/>
              </w:rPr>
            </w:pPr>
          </w:p>
        </w:tc>
        <w:tc>
          <w:tcPr>
            <w:tcW w:w="5" w:type="pct"/>
            <w:shd w:val="clear" w:color="auto" w:fill="auto"/>
            <w:vAlign w:val="bottom"/>
          </w:tcPr>
          <w:p w14:paraId="392CA86F" w14:textId="77777777" w:rsidR="00980E5F" w:rsidRDefault="00980E5F">
            <w:pPr>
              <w:rPr>
                <w:rFonts w:ascii="宋体"/>
              </w:rPr>
            </w:pPr>
          </w:p>
        </w:tc>
        <w:tc>
          <w:tcPr>
            <w:tcW w:w="50" w:type="pct"/>
            <w:shd w:val="clear" w:color="auto" w:fill="auto"/>
            <w:vAlign w:val="bottom"/>
          </w:tcPr>
          <w:p w14:paraId="392CA870" w14:textId="77777777" w:rsidR="00980E5F" w:rsidRDefault="00980E5F">
            <w:pPr>
              <w:rPr>
                <w:rFonts w:ascii="宋体"/>
              </w:rPr>
            </w:pPr>
          </w:p>
        </w:tc>
        <w:tc>
          <w:tcPr>
            <w:tcW w:w="339" w:type="pct"/>
            <w:shd w:val="clear" w:color="auto" w:fill="auto"/>
            <w:vAlign w:val="bottom"/>
          </w:tcPr>
          <w:p w14:paraId="392CA871" w14:textId="77777777" w:rsidR="00980E5F" w:rsidRDefault="00980E5F">
            <w:pPr>
              <w:rPr>
                <w:rFonts w:ascii="宋体"/>
              </w:rPr>
            </w:pPr>
          </w:p>
        </w:tc>
        <w:tc>
          <w:tcPr>
            <w:tcW w:w="5" w:type="pct"/>
            <w:shd w:val="clear" w:color="auto" w:fill="auto"/>
            <w:vAlign w:val="bottom"/>
          </w:tcPr>
          <w:p w14:paraId="392CA872" w14:textId="77777777" w:rsidR="00980E5F" w:rsidRDefault="00980E5F">
            <w:pPr>
              <w:rPr>
                <w:rFonts w:ascii="宋体"/>
              </w:rPr>
            </w:pPr>
          </w:p>
        </w:tc>
        <w:tc>
          <w:tcPr>
            <w:tcW w:w="5" w:type="pct"/>
            <w:shd w:val="clear" w:color="auto" w:fill="auto"/>
            <w:vAlign w:val="bottom"/>
          </w:tcPr>
          <w:p w14:paraId="392CA873" w14:textId="77777777" w:rsidR="00980E5F" w:rsidRDefault="00980E5F">
            <w:pPr>
              <w:rPr>
                <w:rFonts w:ascii="宋体"/>
              </w:rPr>
            </w:pPr>
          </w:p>
        </w:tc>
        <w:tc>
          <w:tcPr>
            <w:tcW w:w="26" w:type="pct"/>
            <w:shd w:val="clear" w:color="auto" w:fill="auto"/>
            <w:vAlign w:val="bottom"/>
          </w:tcPr>
          <w:p w14:paraId="392CA874" w14:textId="77777777" w:rsidR="00980E5F" w:rsidRDefault="00980E5F">
            <w:pPr>
              <w:rPr>
                <w:rFonts w:ascii="宋体"/>
              </w:rPr>
            </w:pPr>
          </w:p>
        </w:tc>
        <w:tc>
          <w:tcPr>
            <w:tcW w:w="5" w:type="pct"/>
            <w:shd w:val="clear" w:color="auto" w:fill="auto"/>
            <w:vAlign w:val="bottom"/>
          </w:tcPr>
          <w:p w14:paraId="392CA875" w14:textId="77777777" w:rsidR="00980E5F" w:rsidRDefault="00980E5F">
            <w:pPr>
              <w:rPr>
                <w:rFonts w:ascii="宋体"/>
              </w:rPr>
            </w:pPr>
          </w:p>
        </w:tc>
        <w:tc>
          <w:tcPr>
            <w:tcW w:w="50" w:type="pct"/>
            <w:shd w:val="clear" w:color="auto" w:fill="auto"/>
            <w:vAlign w:val="bottom"/>
          </w:tcPr>
          <w:p w14:paraId="392CA876" w14:textId="77777777" w:rsidR="00980E5F" w:rsidRDefault="00980E5F">
            <w:pPr>
              <w:rPr>
                <w:rFonts w:ascii="宋体"/>
              </w:rPr>
            </w:pPr>
          </w:p>
        </w:tc>
        <w:tc>
          <w:tcPr>
            <w:tcW w:w="295" w:type="pct"/>
            <w:shd w:val="clear" w:color="auto" w:fill="auto"/>
            <w:vAlign w:val="bottom"/>
          </w:tcPr>
          <w:p w14:paraId="392CA877" w14:textId="77777777" w:rsidR="00980E5F" w:rsidRDefault="00980E5F">
            <w:pPr>
              <w:rPr>
                <w:rFonts w:ascii="宋体"/>
              </w:rPr>
            </w:pPr>
          </w:p>
        </w:tc>
        <w:tc>
          <w:tcPr>
            <w:tcW w:w="5" w:type="pct"/>
            <w:shd w:val="clear" w:color="auto" w:fill="auto"/>
            <w:vAlign w:val="bottom"/>
          </w:tcPr>
          <w:p w14:paraId="392CA878" w14:textId="77777777" w:rsidR="00980E5F" w:rsidRDefault="00980E5F">
            <w:pPr>
              <w:rPr>
                <w:rFonts w:ascii="宋体"/>
              </w:rPr>
            </w:pPr>
          </w:p>
        </w:tc>
        <w:tc>
          <w:tcPr>
            <w:tcW w:w="5" w:type="pct"/>
            <w:shd w:val="clear" w:color="auto" w:fill="auto"/>
            <w:vAlign w:val="bottom"/>
          </w:tcPr>
          <w:p w14:paraId="392CA879" w14:textId="77777777" w:rsidR="00980E5F" w:rsidRDefault="00980E5F">
            <w:pPr>
              <w:rPr>
                <w:rFonts w:ascii="宋体"/>
              </w:rPr>
            </w:pPr>
          </w:p>
        </w:tc>
        <w:tc>
          <w:tcPr>
            <w:tcW w:w="26" w:type="pct"/>
            <w:shd w:val="clear" w:color="auto" w:fill="auto"/>
            <w:vAlign w:val="bottom"/>
          </w:tcPr>
          <w:p w14:paraId="392CA87A" w14:textId="77777777" w:rsidR="00980E5F" w:rsidRDefault="00980E5F">
            <w:pPr>
              <w:rPr>
                <w:rFonts w:ascii="宋体"/>
              </w:rPr>
            </w:pPr>
          </w:p>
        </w:tc>
        <w:tc>
          <w:tcPr>
            <w:tcW w:w="5" w:type="pct"/>
            <w:shd w:val="clear" w:color="auto" w:fill="auto"/>
            <w:vAlign w:val="bottom"/>
          </w:tcPr>
          <w:p w14:paraId="392CA87B" w14:textId="77777777" w:rsidR="00980E5F" w:rsidRDefault="00980E5F">
            <w:pPr>
              <w:rPr>
                <w:rFonts w:ascii="宋体"/>
              </w:rPr>
            </w:pPr>
          </w:p>
        </w:tc>
        <w:tc>
          <w:tcPr>
            <w:tcW w:w="50" w:type="pct"/>
            <w:shd w:val="clear" w:color="auto" w:fill="auto"/>
            <w:vAlign w:val="bottom"/>
          </w:tcPr>
          <w:p w14:paraId="392CA87C" w14:textId="77777777" w:rsidR="00980E5F" w:rsidRDefault="00980E5F">
            <w:pPr>
              <w:rPr>
                <w:rFonts w:ascii="宋体"/>
              </w:rPr>
            </w:pPr>
          </w:p>
        </w:tc>
        <w:tc>
          <w:tcPr>
            <w:tcW w:w="317" w:type="pct"/>
            <w:shd w:val="clear" w:color="auto" w:fill="auto"/>
            <w:vAlign w:val="bottom"/>
          </w:tcPr>
          <w:p w14:paraId="392CA87D" w14:textId="77777777" w:rsidR="00980E5F" w:rsidRDefault="00980E5F">
            <w:pPr>
              <w:rPr>
                <w:rFonts w:ascii="宋体"/>
              </w:rPr>
            </w:pPr>
          </w:p>
        </w:tc>
        <w:tc>
          <w:tcPr>
            <w:tcW w:w="5" w:type="pct"/>
            <w:shd w:val="clear" w:color="auto" w:fill="auto"/>
            <w:vAlign w:val="bottom"/>
          </w:tcPr>
          <w:p w14:paraId="392CA87E" w14:textId="77777777" w:rsidR="00980E5F" w:rsidRDefault="00980E5F">
            <w:pPr>
              <w:rPr>
                <w:rFonts w:ascii="宋体"/>
              </w:rPr>
            </w:pPr>
          </w:p>
        </w:tc>
        <w:tc>
          <w:tcPr>
            <w:tcW w:w="5" w:type="pct"/>
            <w:shd w:val="clear" w:color="auto" w:fill="auto"/>
            <w:vAlign w:val="bottom"/>
          </w:tcPr>
          <w:p w14:paraId="392CA87F" w14:textId="77777777" w:rsidR="00980E5F" w:rsidRDefault="00980E5F">
            <w:pPr>
              <w:rPr>
                <w:rFonts w:ascii="宋体"/>
              </w:rPr>
            </w:pPr>
          </w:p>
        </w:tc>
        <w:tc>
          <w:tcPr>
            <w:tcW w:w="26" w:type="pct"/>
            <w:shd w:val="clear" w:color="auto" w:fill="auto"/>
            <w:vAlign w:val="bottom"/>
          </w:tcPr>
          <w:p w14:paraId="392CA880" w14:textId="77777777" w:rsidR="00980E5F" w:rsidRDefault="00980E5F">
            <w:pPr>
              <w:rPr>
                <w:rFonts w:ascii="宋体"/>
              </w:rPr>
            </w:pPr>
          </w:p>
        </w:tc>
        <w:tc>
          <w:tcPr>
            <w:tcW w:w="5" w:type="pct"/>
            <w:shd w:val="clear" w:color="auto" w:fill="auto"/>
            <w:vAlign w:val="bottom"/>
          </w:tcPr>
          <w:p w14:paraId="392CA881" w14:textId="77777777" w:rsidR="00980E5F" w:rsidRDefault="00980E5F">
            <w:pPr>
              <w:rPr>
                <w:rFonts w:ascii="宋体"/>
              </w:rPr>
            </w:pPr>
          </w:p>
        </w:tc>
        <w:tc>
          <w:tcPr>
            <w:tcW w:w="50" w:type="pct"/>
            <w:shd w:val="clear" w:color="auto" w:fill="auto"/>
            <w:vAlign w:val="bottom"/>
          </w:tcPr>
          <w:p w14:paraId="392CA882" w14:textId="77777777" w:rsidR="00980E5F" w:rsidRDefault="00980E5F">
            <w:pPr>
              <w:rPr>
                <w:rFonts w:ascii="宋体"/>
              </w:rPr>
            </w:pPr>
          </w:p>
        </w:tc>
        <w:tc>
          <w:tcPr>
            <w:tcW w:w="317" w:type="pct"/>
            <w:shd w:val="clear" w:color="auto" w:fill="auto"/>
            <w:vAlign w:val="bottom"/>
          </w:tcPr>
          <w:p w14:paraId="392CA883" w14:textId="77777777" w:rsidR="00980E5F" w:rsidRDefault="00980E5F">
            <w:pPr>
              <w:rPr>
                <w:rFonts w:ascii="宋体"/>
              </w:rPr>
            </w:pPr>
          </w:p>
        </w:tc>
        <w:tc>
          <w:tcPr>
            <w:tcW w:w="5" w:type="pct"/>
            <w:shd w:val="clear" w:color="auto" w:fill="auto"/>
            <w:vAlign w:val="bottom"/>
          </w:tcPr>
          <w:p w14:paraId="392CA884" w14:textId="77777777" w:rsidR="00980E5F" w:rsidRDefault="00980E5F">
            <w:pPr>
              <w:rPr>
                <w:rFonts w:ascii="宋体"/>
              </w:rPr>
            </w:pPr>
          </w:p>
        </w:tc>
        <w:tc>
          <w:tcPr>
            <w:tcW w:w="5" w:type="pct"/>
            <w:shd w:val="clear" w:color="auto" w:fill="auto"/>
            <w:vAlign w:val="bottom"/>
          </w:tcPr>
          <w:p w14:paraId="392CA885" w14:textId="77777777" w:rsidR="00980E5F" w:rsidRDefault="00980E5F">
            <w:pPr>
              <w:rPr>
                <w:rFonts w:ascii="宋体"/>
              </w:rPr>
            </w:pPr>
          </w:p>
        </w:tc>
        <w:tc>
          <w:tcPr>
            <w:tcW w:w="26" w:type="pct"/>
            <w:shd w:val="clear" w:color="auto" w:fill="auto"/>
            <w:vAlign w:val="bottom"/>
          </w:tcPr>
          <w:p w14:paraId="392CA886" w14:textId="77777777" w:rsidR="00980E5F" w:rsidRDefault="00980E5F">
            <w:pPr>
              <w:rPr>
                <w:rFonts w:ascii="宋体"/>
              </w:rPr>
            </w:pPr>
          </w:p>
        </w:tc>
        <w:tc>
          <w:tcPr>
            <w:tcW w:w="5" w:type="pct"/>
            <w:shd w:val="clear" w:color="auto" w:fill="auto"/>
            <w:vAlign w:val="bottom"/>
          </w:tcPr>
          <w:p w14:paraId="392CA887" w14:textId="77777777" w:rsidR="00980E5F" w:rsidRDefault="00980E5F">
            <w:pPr>
              <w:rPr>
                <w:rFonts w:ascii="宋体"/>
              </w:rPr>
            </w:pPr>
          </w:p>
        </w:tc>
        <w:tc>
          <w:tcPr>
            <w:tcW w:w="50" w:type="pct"/>
            <w:shd w:val="clear" w:color="auto" w:fill="auto"/>
            <w:vAlign w:val="bottom"/>
          </w:tcPr>
          <w:p w14:paraId="392CA888" w14:textId="77777777" w:rsidR="00980E5F" w:rsidRDefault="00980E5F">
            <w:pPr>
              <w:rPr>
                <w:rFonts w:ascii="宋体"/>
              </w:rPr>
            </w:pPr>
          </w:p>
        </w:tc>
        <w:tc>
          <w:tcPr>
            <w:tcW w:w="295" w:type="pct"/>
            <w:shd w:val="clear" w:color="auto" w:fill="auto"/>
            <w:vAlign w:val="bottom"/>
          </w:tcPr>
          <w:p w14:paraId="392CA889" w14:textId="77777777" w:rsidR="00980E5F" w:rsidRDefault="00980E5F">
            <w:pPr>
              <w:rPr>
                <w:rFonts w:ascii="宋体"/>
              </w:rPr>
            </w:pPr>
          </w:p>
        </w:tc>
        <w:tc>
          <w:tcPr>
            <w:tcW w:w="5" w:type="pct"/>
            <w:shd w:val="clear" w:color="auto" w:fill="auto"/>
            <w:vAlign w:val="bottom"/>
          </w:tcPr>
          <w:p w14:paraId="392CA88A" w14:textId="77777777" w:rsidR="00980E5F" w:rsidRDefault="00980E5F">
            <w:pPr>
              <w:rPr>
                <w:rFonts w:ascii="宋体"/>
              </w:rPr>
            </w:pPr>
          </w:p>
        </w:tc>
        <w:tc>
          <w:tcPr>
            <w:tcW w:w="5" w:type="pct"/>
            <w:shd w:val="clear" w:color="auto" w:fill="auto"/>
            <w:vAlign w:val="bottom"/>
          </w:tcPr>
          <w:p w14:paraId="392CA88B" w14:textId="77777777" w:rsidR="00980E5F" w:rsidRDefault="00980E5F">
            <w:pPr>
              <w:rPr>
                <w:rFonts w:ascii="宋体"/>
              </w:rPr>
            </w:pPr>
          </w:p>
        </w:tc>
        <w:tc>
          <w:tcPr>
            <w:tcW w:w="19" w:type="pct"/>
            <w:shd w:val="clear" w:color="auto" w:fill="auto"/>
            <w:vAlign w:val="bottom"/>
          </w:tcPr>
          <w:p w14:paraId="392CA88C" w14:textId="77777777" w:rsidR="00980E5F" w:rsidRDefault="00980E5F">
            <w:pPr>
              <w:rPr>
                <w:rFonts w:ascii="宋体"/>
              </w:rPr>
            </w:pPr>
          </w:p>
        </w:tc>
        <w:tc>
          <w:tcPr>
            <w:tcW w:w="5" w:type="pct"/>
            <w:shd w:val="clear" w:color="auto" w:fill="auto"/>
            <w:vAlign w:val="bottom"/>
          </w:tcPr>
          <w:p w14:paraId="392CA88D" w14:textId="77777777" w:rsidR="00980E5F" w:rsidRDefault="00980E5F">
            <w:pPr>
              <w:rPr>
                <w:rFonts w:ascii="宋体"/>
              </w:rPr>
            </w:pPr>
          </w:p>
        </w:tc>
        <w:tc>
          <w:tcPr>
            <w:tcW w:w="50" w:type="pct"/>
            <w:shd w:val="clear" w:color="auto" w:fill="auto"/>
            <w:vAlign w:val="bottom"/>
          </w:tcPr>
          <w:p w14:paraId="392CA88E" w14:textId="77777777" w:rsidR="00980E5F" w:rsidRDefault="00980E5F">
            <w:pPr>
              <w:rPr>
                <w:rFonts w:ascii="宋体"/>
              </w:rPr>
            </w:pPr>
          </w:p>
        </w:tc>
        <w:tc>
          <w:tcPr>
            <w:tcW w:w="311" w:type="pct"/>
            <w:shd w:val="clear" w:color="auto" w:fill="auto"/>
            <w:vAlign w:val="bottom"/>
          </w:tcPr>
          <w:p w14:paraId="392CA88F" w14:textId="77777777" w:rsidR="00980E5F" w:rsidRDefault="00980E5F">
            <w:pPr>
              <w:rPr>
                <w:rFonts w:ascii="宋体"/>
              </w:rPr>
            </w:pPr>
          </w:p>
        </w:tc>
        <w:tc>
          <w:tcPr>
            <w:tcW w:w="5" w:type="pct"/>
            <w:shd w:val="clear" w:color="auto" w:fill="auto"/>
            <w:vAlign w:val="bottom"/>
          </w:tcPr>
          <w:p w14:paraId="392CA890" w14:textId="77777777" w:rsidR="00980E5F" w:rsidRDefault="00980E5F">
            <w:pPr>
              <w:rPr>
                <w:rFonts w:ascii="宋体"/>
              </w:rPr>
            </w:pPr>
          </w:p>
        </w:tc>
      </w:tr>
      <w:tr w:rsidR="00980E5F" w14:paraId="392CA894" w14:textId="77777777">
        <w:tc>
          <w:tcPr>
            <w:tcW w:w="0" w:type="auto"/>
            <w:gridSpan w:val="3"/>
            <w:shd w:val="clear" w:color="auto" w:fill="auto"/>
            <w:tcMar>
              <w:top w:w="0" w:type="dxa"/>
              <w:left w:w="20" w:type="dxa"/>
              <w:bottom w:w="0" w:type="dxa"/>
              <w:right w:w="20" w:type="dxa"/>
            </w:tcMar>
            <w:vAlign w:val="bottom"/>
          </w:tcPr>
          <w:p w14:paraId="392CA892" w14:textId="77777777" w:rsidR="00980E5F" w:rsidRDefault="00980E5F">
            <w:pPr>
              <w:rPr>
                <w:rFonts w:ascii="宋体"/>
              </w:rPr>
            </w:pPr>
          </w:p>
        </w:tc>
        <w:tc>
          <w:tcPr>
            <w:tcW w:w="0" w:type="auto"/>
            <w:gridSpan w:val="57"/>
            <w:shd w:val="clear" w:color="auto" w:fill="auto"/>
            <w:tcMar>
              <w:top w:w="40" w:type="dxa"/>
              <w:left w:w="20" w:type="dxa"/>
              <w:bottom w:w="40" w:type="dxa"/>
              <w:right w:w="20" w:type="dxa"/>
            </w:tcMar>
            <w:vAlign w:val="bottom"/>
          </w:tcPr>
          <w:p w14:paraId="392CA893" w14:textId="77777777" w:rsidR="00980E5F" w:rsidRDefault="00483613">
            <w:pPr>
              <w:jc w:val="center"/>
              <w:textAlignment w:val="bottom"/>
            </w:pPr>
            <w:r>
              <w:rPr>
                <w:rFonts w:ascii="Arial" w:eastAsia="宋体" w:hAnsi="Arial" w:cs="Arial"/>
                <w:b/>
                <w:bCs/>
                <w:color w:val="000000"/>
                <w:sz w:val="14"/>
                <w:szCs w:val="14"/>
              </w:rPr>
              <w:t>Three Months Ended June 30, 2022</w:t>
            </w:r>
          </w:p>
        </w:tc>
      </w:tr>
      <w:tr w:rsidR="00980E5F" w14:paraId="392CA89D" w14:textId="77777777">
        <w:tc>
          <w:tcPr>
            <w:tcW w:w="0" w:type="auto"/>
            <w:gridSpan w:val="3"/>
            <w:shd w:val="clear" w:color="auto" w:fill="auto"/>
            <w:tcMar>
              <w:top w:w="0" w:type="dxa"/>
              <w:left w:w="20" w:type="dxa"/>
              <w:bottom w:w="0" w:type="dxa"/>
              <w:right w:w="20" w:type="dxa"/>
            </w:tcMar>
            <w:vAlign w:val="bottom"/>
          </w:tcPr>
          <w:p w14:paraId="392CA895"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896" w14:textId="77777777" w:rsidR="00980E5F" w:rsidRDefault="00483613">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97"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898" w14:textId="77777777" w:rsidR="00980E5F" w:rsidRDefault="00483613">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99"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89A"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9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9C"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8B2" w14:textId="77777777">
        <w:tc>
          <w:tcPr>
            <w:tcW w:w="0" w:type="auto"/>
            <w:gridSpan w:val="3"/>
            <w:shd w:val="clear" w:color="auto" w:fill="auto"/>
            <w:tcMar>
              <w:top w:w="40" w:type="dxa"/>
              <w:left w:w="20" w:type="dxa"/>
              <w:bottom w:w="40" w:type="dxa"/>
              <w:right w:w="20" w:type="dxa"/>
            </w:tcMar>
            <w:vAlign w:val="bottom"/>
          </w:tcPr>
          <w:p w14:paraId="392CA89E"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9F" w14:textId="77777777" w:rsidR="00980E5F" w:rsidRDefault="00483613">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1"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2"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3"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8A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5"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6"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7"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8"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9"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8A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B"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C"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D"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8AE"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AF"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8B0"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8B1" w14:textId="77777777" w:rsidR="00980E5F" w:rsidRDefault="00483613">
            <w:pPr>
              <w:jc w:val="center"/>
              <w:textAlignment w:val="bottom"/>
            </w:pPr>
            <w:r>
              <w:rPr>
                <w:rFonts w:ascii="Arial" w:eastAsia="宋体" w:hAnsi="Arial" w:cs="Arial"/>
                <w:b/>
                <w:bCs/>
                <w:color w:val="000000"/>
                <w:sz w:val="14"/>
                <w:szCs w:val="14"/>
              </w:rPr>
              <w:t>2022</w:t>
            </w:r>
          </w:p>
        </w:tc>
      </w:tr>
      <w:tr w:rsidR="00483613" w14:paraId="392CA8DB" w14:textId="77777777">
        <w:tc>
          <w:tcPr>
            <w:tcW w:w="0" w:type="auto"/>
            <w:gridSpan w:val="3"/>
            <w:shd w:val="clear" w:color="auto" w:fill="CCEEFF"/>
            <w:tcMar>
              <w:top w:w="40" w:type="dxa"/>
              <w:left w:w="155" w:type="dxa"/>
              <w:bottom w:w="40" w:type="dxa"/>
              <w:right w:w="20" w:type="dxa"/>
            </w:tcMar>
            <w:vAlign w:val="bottom"/>
          </w:tcPr>
          <w:p w14:paraId="392CA8B3"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8B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B5"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B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B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B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B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B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BD"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B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B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C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C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C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C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C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C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C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C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C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CB"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C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C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CF"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D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D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D3"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D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D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D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D7"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8D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8D9" w14:textId="77777777" w:rsidR="00980E5F" w:rsidRDefault="00483613">
            <w:pPr>
              <w:jc w:val="right"/>
              <w:textAlignment w:val="bottom"/>
            </w:pPr>
            <w:r>
              <w:rPr>
                <w:rFonts w:ascii="Arial" w:eastAsia="宋体" w:hAnsi="Arial" w:cs="Arial"/>
                <w:b/>
                <w:bCs/>
                <w:color w:val="000000"/>
                <w:sz w:val="14"/>
                <w:szCs w:val="14"/>
              </w:rPr>
              <w:t>1,297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8DA" w14:textId="77777777" w:rsidR="00980E5F" w:rsidRDefault="00980E5F">
            <w:pPr>
              <w:jc w:val="right"/>
              <w:rPr>
                <w:rFonts w:ascii="宋体"/>
              </w:rPr>
            </w:pPr>
          </w:p>
        </w:tc>
      </w:tr>
      <w:tr w:rsidR="00980E5F" w14:paraId="392CA8FA" w14:textId="77777777">
        <w:tc>
          <w:tcPr>
            <w:tcW w:w="0" w:type="auto"/>
            <w:gridSpan w:val="3"/>
            <w:shd w:val="clear" w:color="auto" w:fill="FFFFFF"/>
            <w:tcMar>
              <w:top w:w="40" w:type="dxa"/>
              <w:left w:w="155" w:type="dxa"/>
              <w:bottom w:w="40" w:type="dxa"/>
              <w:right w:w="20" w:type="dxa"/>
            </w:tcMar>
            <w:vAlign w:val="bottom"/>
          </w:tcPr>
          <w:p w14:paraId="392CA8DC"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8D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D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E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E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E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E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6"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E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E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E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C"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E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E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E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F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F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F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F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F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F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8F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8F8" w14:textId="77777777" w:rsidR="00980E5F" w:rsidRDefault="00483613">
            <w:pPr>
              <w:jc w:val="right"/>
              <w:textAlignment w:val="bottom"/>
            </w:pPr>
            <w:r>
              <w:rPr>
                <w:rFonts w:ascii="Arial" w:eastAsia="宋体" w:hAnsi="Arial" w:cs="Arial"/>
                <w:b/>
                <w:bCs/>
                <w:color w:val="000000"/>
                <w:sz w:val="14"/>
                <w:szCs w:val="14"/>
              </w:rPr>
              <w:t>490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8F9" w14:textId="77777777" w:rsidR="00980E5F" w:rsidRDefault="00980E5F">
            <w:pPr>
              <w:jc w:val="right"/>
              <w:rPr>
                <w:rFonts w:ascii="宋体"/>
              </w:rPr>
            </w:pPr>
          </w:p>
        </w:tc>
      </w:tr>
      <w:tr w:rsidR="00980E5F" w14:paraId="392CA919" w14:textId="77777777">
        <w:tc>
          <w:tcPr>
            <w:tcW w:w="0" w:type="auto"/>
            <w:gridSpan w:val="3"/>
            <w:shd w:val="clear" w:color="auto" w:fill="CCEEFF"/>
            <w:tcMar>
              <w:top w:w="40" w:type="dxa"/>
              <w:left w:w="155" w:type="dxa"/>
              <w:bottom w:w="40" w:type="dxa"/>
              <w:right w:w="20" w:type="dxa"/>
            </w:tcMar>
            <w:vAlign w:val="bottom"/>
          </w:tcPr>
          <w:p w14:paraId="392CA8FB" w14:textId="77777777" w:rsidR="00980E5F" w:rsidRDefault="00483613">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392CA8FC" w14:textId="77777777" w:rsidR="00980E5F" w:rsidRDefault="00483613">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8F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8F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8FF" w14:textId="77777777" w:rsidR="00980E5F" w:rsidRDefault="00483613">
            <w:pPr>
              <w:jc w:val="right"/>
              <w:textAlignment w:val="bottom"/>
            </w:pPr>
            <w:r>
              <w:rPr>
                <w:rFonts w:ascii="Arial" w:eastAsia="宋体" w:hAnsi="Arial" w:cs="Arial"/>
                <w:b/>
                <w:bCs/>
                <w:color w:val="000000"/>
                <w:sz w:val="14"/>
                <w:szCs w:val="14"/>
              </w:rPr>
              <w:t>223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0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02" w14:textId="77777777" w:rsidR="00980E5F" w:rsidRDefault="00483613">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0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05"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0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0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0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0B" w14:textId="77777777" w:rsidR="00980E5F" w:rsidRDefault="00483613">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0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0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0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1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1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1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1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1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1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1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17" w14:textId="77777777" w:rsidR="00980E5F" w:rsidRDefault="00483613">
            <w:pPr>
              <w:jc w:val="right"/>
              <w:textAlignment w:val="bottom"/>
            </w:pPr>
            <w:r>
              <w:rPr>
                <w:rFonts w:ascii="Arial" w:eastAsia="宋体" w:hAnsi="Arial" w:cs="Arial"/>
                <w:b/>
                <w:bCs/>
                <w:color w:val="000000"/>
                <w:sz w:val="14"/>
                <w:szCs w:val="14"/>
              </w:rPr>
              <w:t>331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18" w14:textId="77777777" w:rsidR="00980E5F" w:rsidRDefault="00980E5F">
            <w:pPr>
              <w:jc w:val="right"/>
              <w:rPr>
                <w:rFonts w:ascii="宋体"/>
              </w:rPr>
            </w:pPr>
          </w:p>
        </w:tc>
      </w:tr>
      <w:tr w:rsidR="00980E5F" w14:paraId="392CA938" w14:textId="77777777">
        <w:tc>
          <w:tcPr>
            <w:tcW w:w="0" w:type="auto"/>
            <w:gridSpan w:val="3"/>
            <w:shd w:val="clear" w:color="auto" w:fill="FFFFFF"/>
            <w:tcMar>
              <w:top w:w="40" w:type="dxa"/>
              <w:left w:w="155" w:type="dxa"/>
              <w:bottom w:w="40" w:type="dxa"/>
              <w:right w:w="20" w:type="dxa"/>
            </w:tcMar>
            <w:vAlign w:val="bottom"/>
          </w:tcPr>
          <w:p w14:paraId="392CA91A"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91B" w14:textId="77777777" w:rsidR="00980E5F" w:rsidRDefault="00483613">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1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1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1E" w14:textId="77777777" w:rsidR="00980E5F" w:rsidRDefault="00483613">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1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21" w14:textId="77777777" w:rsidR="00980E5F" w:rsidRDefault="00483613">
            <w:pPr>
              <w:jc w:val="right"/>
              <w:textAlignment w:val="bottom"/>
            </w:pPr>
            <w:r>
              <w:rPr>
                <w:rFonts w:ascii="Arial" w:eastAsia="宋体" w:hAnsi="Arial" w:cs="Arial"/>
                <w:b/>
                <w:bCs/>
                <w:color w:val="000000"/>
                <w:sz w:val="14"/>
                <w:szCs w:val="14"/>
              </w:rPr>
              <w:t>102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2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2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2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27"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2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2A" w14:textId="77777777" w:rsidR="00980E5F" w:rsidRDefault="00483613">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2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2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2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2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3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3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3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3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3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3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36" w14:textId="77777777" w:rsidR="00980E5F" w:rsidRDefault="00483613">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37" w14:textId="77777777" w:rsidR="00980E5F" w:rsidRDefault="00980E5F">
            <w:pPr>
              <w:jc w:val="right"/>
              <w:rPr>
                <w:rFonts w:ascii="宋体"/>
              </w:rPr>
            </w:pPr>
          </w:p>
        </w:tc>
      </w:tr>
      <w:tr w:rsidR="00980E5F" w14:paraId="392CA956" w14:textId="77777777">
        <w:tc>
          <w:tcPr>
            <w:tcW w:w="0" w:type="auto"/>
            <w:gridSpan w:val="3"/>
            <w:shd w:val="clear" w:color="auto" w:fill="CCEEFF"/>
            <w:tcMar>
              <w:top w:w="40" w:type="dxa"/>
              <w:left w:w="155" w:type="dxa"/>
              <w:bottom w:w="40" w:type="dxa"/>
              <w:right w:w="20" w:type="dxa"/>
            </w:tcMar>
            <w:vAlign w:val="bottom"/>
          </w:tcPr>
          <w:p w14:paraId="392CA939" w14:textId="77777777" w:rsidR="00980E5F" w:rsidRDefault="00483613">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392CA93A" w14:textId="77777777" w:rsidR="00980E5F" w:rsidRDefault="00483613">
            <w:pPr>
              <w:jc w:val="right"/>
              <w:textAlignment w:val="bottom"/>
            </w:pPr>
            <w:r>
              <w:rPr>
                <w:rFonts w:ascii="Arial" w:eastAsia="宋体" w:hAnsi="Arial" w:cs="Arial"/>
                <w:b/>
                <w:bCs/>
                <w:color w:val="000000"/>
                <w:sz w:val="14"/>
                <w:szCs w:val="14"/>
              </w:rPr>
              <w:t>138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3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3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3D" w14:textId="77777777" w:rsidR="00980E5F" w:rsidRDefault="00483613">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3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3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40" w14:textId="77777777" w:rsidR="00980E5F" w:rsidRDefault="00483613">
            <w:pPr>
              <w:jc w:val="right"/>
              <w:textAlignment w:val="bottom"/>
            </w:pPr>
            <w:r>
              <w:rPr>
                <w:rFonts w:ascii="Arial" w:eastAsia="宋体" w:hAnsi="Arial" w:cs="Arial"/>
                <w:b/>
                <w:bCs/>
                <w:color w:val="000000"/>
                <w:sz w:val="14"/>
                <w:szCs w:val="14"/>
              </w:rPr>
              <w:t>188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4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4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4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45"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946" w14:textId="77777777" w:rsidR="00980E5F" w:rsidRDefault="00980E5F">
            <w:pPr>
              <w:rPr>
                <w:rFonts w:ascii="宋体"/>
              </w:rPr>
            </w:pPr>
          </w:p>
        </w:tc>
        <w:tc>
          <w:tcPr>
            <w:tcW w:w="0" w:type="auto"/>
            <w:gridSpan w:val="3"/>
            <w:shd w:val="clear" w:color="auto" w:fill="CCEEFF"/>
            <w:tcMar>
              <w:top w:w="0" w:type="dxa"/>
              <w:left w:w="20" w:type="dxa"/>
              <w:bottom w:w="0" w:type="dxa"/>
              <w:right w:w="20" w:type="dxa"/>
            </w:tcMar>
            <w:vAlign w:val="bottom"/>
          </w:tcPr>
          <w:p w14:paraId="392CA9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4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4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4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5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5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54" w14:textId="77777777" w:rsidR="00980E5F" w:rsidRDefault="00483613">
            <w:pPr>
              <w:jc w:val="right"/>
              <w:textAlignment w:val="bottom"/>
            </w:pPr>
            <w:r>
              <w:rPr>
                <w:rFonts w:ascii="Arial" w:eastAsia="宋体" w:hAnsi="Arial" w:cs="Arial"/>
                <w:b/>
                <w:bCs/>
                <w:color w:val="000000"/>
                <w:sz w:val="14"/>
                <w:szCs w:val="14"/>
              </w:rPr>
              <w:t>188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55" w14:textId="77777777" w:rsidR="00980E5F" w:rsidRDefault="00980E5F">
            <w:pPr>
              <w:jc w:val="right"/>
              <w:rPr>
                <w:rFonts w:ascii="宋体"/>
              </w:rPr>
            </w:pPr>
          </w:p>
        </w:tc>
      </w:tr>
      <w:tr w:rsidR="00980E5F" w14:paraId="392CA975" w14:textId="77777777">
        <w:tc>
          <w:tcPr>
            <w:tcW w:w="0" w:type="auto"/>
            <w:gridSpan w:val="3"/>
            <w:shd w:val="clear" w:color="auto" w:fill="FFFFFF"/>
            <w:tcMar>
              <w:top w:w="40" w:type="dxa"/>
              <w:left w:w="155" w:type="dxa"/>
              <w:bottom w:w="40" w:type="dxa"/>
              <w:right w:w="20" w:type="dxa"/>
            </w:tcMar>
            <w:vAlign w:val="bottom"/>
          </w:tcPr>
          <w:p w14:paraId="392CA957"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95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5B" w14:textId="77777777" w:rsidR="00980E5F" w:rsidRDefault="00483613">
            <w:pPr>
              <w:jc w:val="right"/>
              <w:textAlignment w:val="bottom"/>
            </w:pPr>
            <w:r>
              <w:rPr>
                <w:rFonts w:ascii="Arial" w:eastAsia="宋体" w:hAnsi="Arial" w:cs="Arial"/>
                <w:b/>
                <w:bCs/>
                <w:color w:val="000000"/>
                <w:sz w:val="14"/>
                <w:szCs w:val="14"/>
              </w:rPr>
              <w:t>(12)</w:t>
            </w:r>
          </w:p>
        </w:tc>
        <w:tc>
          <w:tcPr>
            <w:tcW w:w="0" w:type="auto"/>
            <w:shd w:val="clear" w:color="auto" w:fill="FFFFFF"/>
            <w:tcMar>
              <w:top w:w="40" w:type="dxa"/>
              <w:left w:w="0" w:type="dxa"/>
              <w:bottom w:w="40" w:type="dxa"/>
              <w:right w:w="20" w:type="dxa"/>
            </w:tcMar>
            <w:vAlign w:val="bottom"/>
          </w:tcPr>
          <w:p w14:paraId="392CA9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5E" w14:textId="77777777" w:rsidR="00980E5F" w:rsidRDefault="00483613">
            <w:pPr>
              <w:jc w:val="right"/>
              <w:textAlignment w:val="bottom"/>
            </w:pPr>
            <w:r>
              <w:rPr>
                <w:rFonts w:ascii="Arial" w:eastAsia="宋体" w:hAnsi="Arial" w:cs="Arial"/>
                <w:b/>
                <w:bCs/>
                <w:color w:val="000000"/>
                <w:sz w:val="14"/>
                <w:szCs w:val="14"/>
              </w:rPr>
              <w:t>(12)</w:t>
            </w:r>
          </w:p>
        </w:tc>
        <w:tc>
          <w:tcPr>
            <w:tcW w:w="0" w:type="auto"/>
            <w:shd w:val="clear" w:color="auto" w:fill="FFFFFF"/>
            <w:tcMar>
              <w:top w:w="40" w:type="dxa"/>
              <w:left w:w="0" w:type="dxa"/>
              <w:bottom w:w="40" w:type="dxa"/>
              <w:right w:w="20" w:type="dxa"/>
            </w:tcMar>
            <w:vAlign w:val="bottom"/>
          </w:tcPr>
          <w:p w14:paraId="392CA9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6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64" w14:textId="77777777" w:rsidR="00980E5F" w:rsidRDefault="00483613">
            <w:pPr>
              <w:jc w:val="right"/>
              <w:textAlignment w:val="bottom"/>
            </w:pPr>
            <w:r>
              <w:rPr>
                <w:rFonts w:ascii="Arial" w:eastAsia="宋体" w:hAnsi="Arial" w:cs="Arial"/>
                <w:b/>
                <w:bCs/>
                <w:color w:val="000000"/>
                <w:sz w:val="14"/>
                <w:szCs w:val="14"/>
              </w:rPr>
              <w:t>(31)</w:t>
            </w:r>
          </w:p>
        </w:tc>
        <w:tc>
          <w:tcPr>
            <w:tcW w:w="0" w:type="auto"/>
            <w:shd w:val="clear" w:color="auto" w:fill="FFFFFF"/>
            <w:tcMar>
              <w:top w:w="40" w:type="dxa"/>
              <w:left w:w="0" w:type="dxa"/>
              <w:bottom w:w="40" w:type="dxa"/>
              <w:right w:w="20" w:type="dxa"/>
            </w:tcMar>
            <w:vAlign w:val="bottom"/>
          </w:tcPr>
          <w:p w14:paraId="392CA9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67" w14:textId="77777777" w:rsidR="00980E5F" w:rsidRDefault="00483613">
            <w:pPr>
              <w:jc w:val="right"/>
              <w:textAlignment w:val="bottom"/>
            </w:pPr>
            <w:r>
              <w:rPr>
                <w:rFonts w:ascii="Arial" w:eastAsia="宋体" w:hAnsi="Arial" w:cs="Arial"/>
                <w:b/>
                <w:bCs/>
                <w:color w:val="000000"/>
                <w:sz w:val="14"/>
                <w:szCs w:val="14"/>
              </w:rPr>
              <w:t>(31)</w:t>
            </w:r>
          </w:p>
        </w:tc>
        <w:tc>
          <w:tcPr>
            <w:tcW w:w="0" w:type="auto"/>
            <w:shd w:val="clear" w:color="auto" w:fill="FFFFFF"/>
            <w:tcMar>
              <w:top w:w="40" w:type="dxa"/>
              <w:left w:w="0" w:type="dxa"/>
              <w:bottom w:w="40" w:type="dxa"/>
              <w:right w:w="20" w:type="dxa"/>
            </w:tcMar>
            <w:vAlign w:val="bottom"/>
          </w:tcPr>
          <w:p w14:paraId="392CA9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6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6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6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7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73" w14:textId="77777777" w:rsidR="00980E5F" w:rsidRDefault="00483613">
            <w:pPr>
              <w:jc w:val="right"/>
              <w:textAlignment w:val="bottom"/>
            </w:pPr>
            <w:r>
              <w:rPr>
                <w:rFonts w:ascii="Arial" w:eastAsia="宋体" w:hAnsi="Arial" w:cs="Arial"/>
                <w:b/>
                <w:bCs/>
                <w:color w:val="000000"/>
                <w:sz w:val="14"/>
                <w:szCs w:val="14"/>
              </w:rPr>
              <w:t>(43)</w:t>
            </w:r>
          </w:p>
        </w:tc>
        <w:tc>
          <w:tcPr>
            <w:tcW w:w="0" w:type="auto"/>
            <w:shd w:val="clear" w:color="auto" w:fill="FFFFFF"/>
            <w:tcMar>
              <w:top w:w="40" w:type="dxa"/>
              <w:left w:w="0" w:type="dxa"/>
              <w:bottom w:w="40" w:type="dxa"/>
              <w:right w:w="20" w:type="dxa"/>
            </w:tcMar>
            <w:vAlign w:val="bottom"/>
          </w:tcPr>
          <w:p w14:paraId="392CA974" w14:textId="77777777" w:rsidR="00980E5F" w:rsidRDefault="00980E5F">
            <w:pPr>
              <w:jc w:val="right"/>
              <w:rPr>
                <w:rFonts w:ascii="宋体"/>
              </w:rPr>
            </w:pPr>
          </w:p>
        </w:tc>
      </w:tr>
      <w:tr w:rsidR="00980E5F" w14:paraId="392CA994" w14:textId="77777777">
        <w:tc>
          <w:tcPr>
            <w:tcW w:w="0" w:type="auto"/>
            <w:gridSpan w:val="3"/>
            <w:shd w:val="clear" w:color="auto" w:fill="CCEEFF"/>
            <w:tcMar>
              <w:top w:w="40" w:type="dxa"/>
              <w:left w:w="20" w:type="dxa"/>
              <w:bottom w:w="40" w:type="dxa"/>
              <w:right w:w="20" w:type="dxa"/>
            </w:tcMar>
            <w:vAlign w:val="bottom"/>
          </w:tcPr>
          <w:p w14:paraId="392CA976" w14:textId="77777777" w:rsidR="00980E5F" w:rsidRDefault="00483613">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77" w14:textId="77777777" w:rsidR="00980E5F" w:rsidRDefault="00483613">
            <w:pPr>
              <w:jc w:val="right"/>
              <w:textAlignment w:val="bottom"/>
            </w:pPr>
            <w:r>
              <w:rPr>
                <w:rFonts w:ascii="Arial" w:eastAsia="宋体" w:hAnsi="Arial" w:cs="Arial"/>
                <w:b/>
                <w:bCs/>
                <w:color w:val="000000"/>
                <w:sz w:val="14"/>
                <w:szCs w:val="14"/>
              </w:rPr>
              <w:t>1,586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7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7A" w14:textId="77777777" w:rsidR="00980E5F" w:rsidRDefault="00483613">
            <w:pPr>
              <w:jc w:val="right"/>
              <w:textAlignment w:val="bottom"/>
            </w:pPr>
            <w:r>
              <w:rPr>
                <w:rFonts w:ascii="Arial" w:eastAsia="宋体" w:hAnsi="Arial" w:cs="Arial"/>
                <w:b/>
                <w:bCs/>
                <w:color w:val="000000"/>
                <w:sz w:val="14"/>
                <w:szCs w:val="14"/>
              </w:rPr>
              <w:t>302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7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7D" w14:textId="77777777" w:rsidR="00980E5F" w:rsidRDefault="00483613">
            <w:pPr>
              <w:jc w:val="right"/>
              <w:textAlignment w:val="bottom"/>
            </w:pPr>
            <w:r>
              <w:rPr>
                <w:rFonts w:ascii="Arial" w:eastAsia="宋体" w:hAnsi="Arial" w:cs="Arial"/>
                <w:b/>
                <w:bCs/>
                <w:color w:val="000000"/>
                <w:sz w:val="14"/>
                <w:szCs w:val="14"/>
              </w:rPr>
              <w:t>1,888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7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0" w14:textId="77777777" w:rsidR="00980E5F" w:rsidRDefault="00483613">
            <w:pPr>
              <w:jc w:val="right"/>
              <w:textAlignment w:val="bottom"/>
            </w:pPr>
            <w:r>
              <w:rPr>
                <w:rFonts w:ascii="Arial" w:eastAsia="宋体" w:hAnsi="Arial" w:cs="Arial"/>
                <w:b/>
                <w:bCs/>
                <w:color w:val="000000"/>
                <w:sz w:val="14"/>
                <w:szCs w:val="14"/>
              </w:rPr>
              <w:t>508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8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3" w14:textId="77777777" w:rsidR="00980E5F" w:rsidRDefault="00483613">
            <w:pPr>
              <w:jc w:val="right"/>
              <w:textAlignment w:val="bottom"/>
            </w:pPr>
            <w:r>
              <w:rPr>
                <w:rFonts w:ascii="Arial" w:eastAsia="宋体" w:hAnsi="Arial" w:cs="Arial"/>
                <w:b/>
                <w:bCs/>
                <w:color w:val="000000"/>
                <w:sz w:val="14"/>
                <w:szCs w:val="14"/>
              </w:rPr>
              <w:t>(26)</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8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6" w14:textId="77777777" w:rsidR="00980E5F" w:rsidRDefault="00483613">
            <w:pPr>
              <w:jc w:val="right"/>
              <w:textAlignment w:val="bottom"/>
            </w:pPr>
            <w:r>
              <w:rPr>
                <w:rFonts w:ascii="Arial" w:eastAsia="宋体" w:hAnsi="Arial" w:cs="Arial"/>
                <w:b/>
                <w:bCs/>
                <w:color w:val="000000"/>
                <w:sz w:val="14"/>
                <w:szCs w:val="14"/>
              </w:rPr>
              <w:t>482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8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8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8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8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9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992" w14:textId="77777777" w:rsidR="00980E5F" w:rsidRDefault="00483613">
            <w:pPr>
              <w:jc w:val="right"/>
              <w:textAlignment w:val="bottom"/>
            </w:pPr>
            <w:r>
              <w:rPr>
                <w:rFonts w:ascii="Arial" w:eastAsia="宋体" w:hAnsi="Arial" w:cs="Arial"/>
                <w:b/>
                <w:bCs/>
                <w:color w:val="000000"/>
                <w:sz w:val="14"/>
                <w:szCs w:val="14"/>
              </w:rPr>
              <w:t>2,370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993" w14:textId="77777777" w:rsidR="00980E5F" w:rsidRDefault="00980E5F">
            <w:pPr>
              <w:jc w:val="right"/>
              <w:rPr>
                <w:rFonts w:ascii="宋体"/>
              </w:rPr>
            </w:pPr>
          </w:p>
        </w:tc>
      </w:tr>
      <w:tr w:rsidR="00980E5F" w14:paraId="392CA9B3" w14:textId="77777777">
        <w:tc>
          <w:tcPr>
            <w:tcW w:w="0" w:type="auto"/>
            <w:gridSpan w:val="3"/>
            <w:shd w:val="clear" w:color="auto" w:fill="FFFFFF"/>
            <w:tcMar>
              <w:top w:w="40" w:type="dxa"/>
              <w:left w:w="155" w:type="dxa"/>
              <w:bottom w:w="40" w:type="dxa"/>
              <w:right w:w="20" w:type="dxa"/>
            </w:tcMar>
            <w:vAlign w:val="bottom"/>
          </w:tcPr>
          <w:p w14:paraId="392CA995"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99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99" w14:textId="77777777" w:rsidR="00980E5F" w:rsidRDefault="00483613">
            <w:pPr>
              <w:jc w:val="right"/>
              <w:textAlignment w:val="bottom"/>
            </w:pPr>
            <w:r>
              <w:rPr>
                <w:rFonts w:ascii="Arial" w:eastAsia="宋体" w:hAnsi="Arial" w:cs="Arial"/>
                <w:b/>
                <w:bCs/>
                <w:color w:val="000000"/>
                <w:sz w:val="14"/>
                <w:szCs w:val="14"/>
              </w:rPr>
              <w:t>588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9C" w14:textId="77777777" w:rsidR="00980E5F" w:rsidRDefault="00483613">
            <w:pPr>
              <w:jc w:val="right"/>
              <w:textAlignment w:val="bottom"/>
            </w:pPr>
            <w:r>
              <w:rPr>
                <w:rFonts w:ascii="Arial" w:eastAsia="宋体" w:hAnsi="Arial" w:cs="Arial"/>
                <w:b/>
                <w:bCs/>
                <w:color w:val="000000"/>
                <w:sz w:val="14"/>
                <w:szCs w:val="14"/>
              </w:rPr>
              <w:t>588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9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A2"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9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A5"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9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A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A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A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9B1" w14:textId="77777777" w:rsidR="00980E5F" w:rsidRDefault="00483613">
            <w:pPr>
              <w:jc w:val="right"/>
              <w:textAlignment w:val="bottom"/>
            </w:pPr>
            <w:r>
              <w:rPr>
                <w:rFonts w:ascii="Arial" w:eastAsia="宋体" w:hAnsi="Arial" w:cs="Arial"/>
                <w:b/>
                <w:bCs/>
                <w:color w:val="000000"/>
                <w:sz w:val="14"/>
                <w:szCs w:val="14"/>
              </w:rPr>
              <w:t>584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9B2" w14:textId="77777777" w:rsidR="00980E5F" w:rsidRDefault="00980E5F">
            <w:pPr>
              <w:jc w:val="right"/>
              <w:rPr>
                <w:rFonts w:ascii="宋体"/>
              </w:rPr>
            </w:pPr>
          </w:p>
        </w:tc>
      </w:tr>
      <w:tr w:rsidR="00980E5F" w14:paraId="392CA9D2" w14:textId="77777777">
        <w:tc>
          <w:tcPr>
            <w:tcW w:w="0" w:type="auto"/>
            <w:gridSpan w:val="3"/>
            <w:shd w:val="clear" w:color="auto" w:fill="CCEEFF"/>
            <w:tcMar>
              <w:top w:w="40" w:type="dxa"/>
              <w:left w:w="155" w:type="dxa"/>
              <w:bottom w:w="40" w:type="dxa"/>
              <w:right w:w="20" w:type="dxa"/>
            </w:tcMar>
            <w:vAlign w:val="bottom"/>
          </w:tcPr>
          <w:p w14:paraId="392CA9B4"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9B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B8"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A9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BB"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A9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B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C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C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C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C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C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9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9C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9D0" w14:textId="77777777" w:rsidR="00980E5F" w:rsidRDefault="00483613">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392CA9D1" w14:textId="77777777" w:rsidR="00980E5F" w:rsidRDefault="00980E5F">
            <w:pPr>
              <w:jc w:val="right"/>
              <w:rPr>
                <w:rFonts w:ascii="宋体"/>
              </w:rPr>
            </w:pPr>
          </w:p>
        </w:tc>
      </w:tr>
      <w:tr w:rsidR="00483613" w14:paraId="392CA9FB" w14:textId="77777777">
        <w:tc>
          <w:tcPr>
            <w:tcW w:w="0" w:type="auto"/>
            <w:gridSpan w:val="3"/>
            <w:shd w:val="clear" w:color="auto" w:fill="FFFFFF"/>
            <w:tcMar>
              <w:top w:w="40" w:type="dxa"/>
              <w:left w:w="20" w:type="dxa"/>
              <w:bottom w:w="40" w:type="dxa"/>
              <w:right w:w="20" w:type="dxa"/>
            </w:tcMar>
            <w:vAlign w:val="bottom"/>
          </w:tcPr>
          <w:p w14:paraId="392CA9D3" w14:textId="77777777" w:rsidR="00980E5F" w:rsidRDefault="00483613">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A9D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D5" w14:textId="77777777" w:rsidR="00980E5F" w:rsidRDefault="00483613">
            <w:pPr>
              <w:jc w:val="right"/>
              <w:textAlignment w:val="bottom"/>
            </w:pPr>
            <w:r>
              <w:rPr>
                <w:rFonts w:ascii="Arial" w:eastAsia="宋体" w:hAnsi="Arial" w:cs="Arial"/>
                <w:b/>
                <w:bCs/>
                <w:color w:val="000000"/>
                <w:sz w:val="14"/>
                <w:szCs w:val="14"/>
              </w:rPr>
              <w:t>1,586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D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D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D9" w14:textId="77777777" w:rsidR="00980E5F" w:rsidRDefault="00483613">
            <w:pPr>
              <w:jc w:val="right"/>
              <w:textAlignment w:val="bottom"/>
            </w:pPr>
            <w:r>
              <w:rPr>
                <w:rFonts w:ascii="Arial" w:eastAsia="宋体" w:hAnsi="Arial" w:cs="Arial"/>
                <w:b/>
                <w:bCs/>
                <w:color w:val="000000"/>
                <w:sz w:val="14"/>
                <w:szCs w:val="14"/>
              </w:rPr>
              <w:t>889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D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D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D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DD" w14:textId="77777777" w:rsidR="00980E5F" w:rsidRDefault="00483613">
            <w:pPr>
              <w:jc w:val="right"/>
              <w:textAlignment w:val="bottom"/>
            </w:pPr>
            <w:r>
              <w:rPr>
                <w:rFonts w:ascii="Arial" w:eastAsia="宋体" w:hAnsi="Arial" w:cs="Arial"/>
                <w:b/>
                <w:bCs/>
                <w:color w:val="000000"/>
                <w:sz w:val="14"/>
                <w:szCs w:val="14"/>
              </w:rPr>
              <w:t>2,475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D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E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E1" w14:textId="77777777" w:rsidR="00980E5F" w:rsidRDefault="00483613">
            <w:pPr>
              <w:jc w:val="right"/>
              <w:textAlignment w:val="bottom"/>
            </w:pPr>
            <w:r>
              <w:rPr>
                <w:rFonts w:ascii="Arial" w:eastAsia="宋体" w:hAnsi="Arial" w:cs="Arial"/>
                <w:b/>
                <w:bCs/>
                <w:color w:val="000000"/>
                <w:sz w:val="14"/>
                <w:szCs w:val="14"/>
              </w:rPr>
              <w:t>508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E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E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E5" w14:textId="77777777" w:rsidR="00980E5F" w:rsidRDefault="00483613">
            <w:pPr>
              <w:jc w:val="right"/>
              <w:textAlignment w:val="bottom"/>
            </w:pPr>
            <w:r>
              <w:rPr>
                <w:rFonts w:ascii="Arial" w:eastAsia="宋体" w:hAnsi="Arial" w:cs="Arial"/>
                <w:b/>
                <w:bCs/>
                <w:color w:val="000000"/>
                <w:sz w:val="14"/>
                <w:szCs w:val="14"/>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E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E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E9" w14:textId="77777777" w:rsidR="00980E5F" w:rsidRDefault="00483613">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E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E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E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E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F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F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F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F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F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9F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9F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9F9" w14:textId="77777777" w:rsidR="00980E5F" w:rsidRDefault="00483613">
            <w:pPr>
              <w:jc w:val="right"/>
              <w:textAlignment w:val="bottom"/>
            </w:pPr>
            <w:r>
              <w:rPr>
                <w:rFonts w:ascii="Arial" w:eastAsia="宋体" w:hAnsi="Arial" w:cs="Arial"/>
                <w:b/>
                <w:bCs/>
                <w:color w:val="000000"/>
                <w:sz w:val="14"/>
                <w:szCs w:val="14"/>
              </w:rPr>
              <w:t>2,953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9FA" w14:textId="77777777" w:rsidR="00980E5F" w:rsidRDefault="00980E5F">
            <w:pPr>
              <w:jc w:val="right"/>
              <w:rPr>
                <w:rFonts w:ascii="宋体"/>
              </w:rPr>
            </w:pPr>
          </w:p>
        </w:tc>
      </w:tr>
      <w:tr w:rsidR="00980E5F" w14:paraId="392CAA10" w14:textId="77777777">
        <w:trPr>
          <w:trHeight w:val="160"/>
        </w:trPr>
        <w:tc>
          <w:tcPr>
            <w:tcW w:w="0" w:type="auto"/>
            <w:gridSpan w:val="3"/>
            <w:shd w:val="clear" w:color="auto" w:fill="auto"/>
            <w:tcMar>
              <w:top w:w="0" w:type="dxa"/>
              <w:left w:w="20" w:type="dxa"/>
              <w:bottom w:w="0" w:type="dxa"/>
              <w:right w:w="20" w:type="dxa"/>
            </w:tcMar>
            <w:vAlign w:val="bottom"/>
          </w:tcPr>
          <w:p w14:paraId="392CA9F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9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9F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9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0"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4"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6"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8"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A0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A0F" w14:textId="77777777" w:rsidR="00980E5F" w:rsidRDefault="00980E5F">
            <w:pPr>
              <w:rPr>
                <w:rFonts w:ascii="宋体"/>
              </w:rPr>
            </w:pPr>
          </w:p>
        </w:tc>
      </w:tr>
      <w:tr w:rsidR="00980E5F" w14:paraId="392CAA13" w14:textId="77777777">
        <w:tc>
          <w:tcPr>
            <w:tcW w:w="0" w:type="auto"/>
            <w:gridSpan w:val="3"/>
            <w:shd w:val="clear" w:color="auto" w:fill="auto"/>
            <w:tcMar>
              <w:top w:w="0" w:type="dxa"/>
              <w:left w:w="20" w:type="dxa"/>
              <w:bottom w:w="0" w:type="dxa"/>
              <w:right w:w="20" w:type="dxa"/>
            </w:tcMar>
            <w:vAlign w:val="bottom"/>
          </w:tcPr>
          <w:p w14:paraId="392CAA11" w14:textId="77777777" w:rsidR="00980E5F" w:rsidRDefault="00980E5F">
            <w:pPr>
              <w:rPr>
                <w:rFonts w:ascii="宋体"/>
              </w:rPr>
            </w:pPr>
          </w:p>
        </w:tc>
        <w:tc>
          <w:tcPr>
            <w:tcW w:w="0" w:type="auto"/>
            <w:gridSpan w:val="57"/>
            <w:shd w:val="clear" w:color="auto" w:fill="auto"/>
            <w:tcMar>
              <w:top w:w="40" w:type="dxa"/>
              <w:left w:w="20" w:type="dxa"/>
              <w:bottom w:w="40" w:type="dxa"/>
              <w:right w:w="20" w:type="dxa"/>
            </w:tcMar>
            <w:vAlign w:val="bottom"/>
          </w:tcPr>
          <w:p w14:paraId="392CAA12" w14:textId="77777777" w:rsidR="00980E5F" w:rsidRDefault="00483613">
            <w:pPr>
              <w:jc w:val="center"/>
              <w:textAlignment w:val="bottom"/>
            </w:pPr>
            <w:r>
              <w:rPr>
                <w:rFonts w:ascii="Arial" w:eastAsia="宋体" w:hAnsi="Arial" w:cs="Arial"/>
                <w:b/>
                <w:bCs/>
                <w:color w:val="000000"/>
                <w:sz w:val="14"/>
                <w:szCs w:val="14"/>
              </w:rPr>
              <w:t>Six Months Ended June 30, 2022</w:t>
            </w:r>
          </w:p>
        </w:tc>
      </w:tr>
      <w:tr w:rsidR="00980E5F" w14:paraId="392CAA1C" w14:textId="77777777">
        <w:tc>
          <w:tcPr>
            <w:tcW w:w="0" w:type="auto"/>
            <w:gridSpan w:val="3"/>
            <w:shd w:val="clear" w:color="auto" w:fill="auto"/>
            <w:tcMar>
              <w:top w:w="0" w:type="dxa"/>
              <w:left w:w="20" w:type="dxa"/>
              <w:bottom w:w="0" w:type="dxa"/>
              <w:right w:w="20" w:type="dxa"/>
            </w:tcMar>
            <w:vAlign w:val="bottom"/>
          </w:tcPr>
          <w:p w14:paraId="392CAA14"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A15" w14:textId="77777777" w:rsidR="00980E5F" w:rsidRDefault="00483613">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16"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A17" w14:textId="77777777" w:rsidR="00980E5F" w:rsidRDefault="00483613">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18"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A19"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1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1B"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A31" w14:textId="77777777">
        <w:tc>
          <w:tcPr>
            <w:tcW w:w="0" w:type="auto"/>
            <w:gridSpan w:val="3"/>
            <w:shd w:val="clear" w:color="auto" w:fill="auto"/>
            <w:tcMar>
              <w:top w:w="40" w:type="dxa"/>
              <w:left w:w="20" w:type="dxa"/>
              <w:bottom w:w="40" w:type="dxa"/>
              <w:right w:w="20" w:type="dxa"/>
            </w:tcMar>
            <w:vAlign w:val="bottom"/>
          </w:tcPr>
          <w:p w14:paraId="392CAA1D"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1E"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1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0"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2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2"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A2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4"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2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6"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2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8"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A2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A"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2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C" w14:textId="77777777" w:rsidR="00980E5F" w:rsidRDefault="00483613">
            <w:pPr>
              <w:jc w:val="center"/>
              <w:textAlignment w:val="bottom"/>
            </w:pPr>
            <w:r>
              <w:rPr>
                <w:rFonts w:ascii="Arial" w:eastAsia="宋体" w:hAnsi="Arial" w:cs="Arial"/>
                <w:b/>
                <w:bCs/>
                <w:color w:val="000000"/>
                <w:sz w:val="14"/>
                <w:szCs w:val="14"/>
              </w:rPr>
              <w:t xml:space="preserve">All </w:t>
            </w:r>
            <w:r>
              <w:rPr>
                <w:rFonts w:ascii="Arial" w:eastAsia="宋体" w:hAnsi="Arial" w:cs="Arial"/>
                <w:b/>
                <w:bCs/>
                <w:color w:val="000000"/>
                <w:sz w:val="14"/>
                <w:szCs w:val="14"/>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A2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2E"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A2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A30" w14:textId="77777777" w:rsidR="00980E5F" w:rsidRDefault="00483613">
            <w:pPr>
              <w:jc w:val="center"/>
              <w:textAlignment w:val="bottom"/>
            </w:pPr>
            <w:r>
              <w:rPr>
                <w:rFonts w:ascii="Arial" w:eastAsia="宋体" w:hAnsi="Arial" w:cs="Arial"/>
                <w:b/>
                <w:bCs/>
                <w:color w:val="000000"/>
                <w:sz w:val="14"/>
                <w:szCs w:val="14"/>
              </w:rPr>
              <w:t>2022</w:t>
            </w:r>
          </w:p>
        </w:tc>
      </w:tr>
      <w:tr w:rsidR="00483613" w14:paraId="392CAA5A" w14:textId="77777777">
        <w:tc>
          <w:tcPr>
            <w:tcW w:w="0" w:type="auto"/>
            <w:gridSpan w:val="3"/>
            <w:shd w:val="clear" w:color="auto" w:fill="CCEEFF"/>
            <w:tcMar>
              <w:top w:w="40" w:type="dxa"/>
              <w:left w:w="155" w:type="dxa"/>
              <w:bottom w:w="40" w:type="dxa"/>
              <w:right w:w="20" w:type="dxa"/>
            </w:tcMar>
            <w:vAlign w:val="bottom"/>
          </w:tcPr>
          <w:p w14:paraId="392CAA32"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A3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34"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3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3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3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3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3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3C"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3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3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4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4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4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4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4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4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4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4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4B"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4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4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4F"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5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5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53"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5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5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A57"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A58" w14:textId="77777777" w:rsidR="00980E5F" w:rsidRDefault="00483613">
            <w:pPr>
              <w:jc w:val="right"/>
              <w:textAlignment w:val="bottom"/>
            </w:pPr>
            <w:r>
              <w:rPr>
                <w:rFonts w:ascii="Arial" w:eastAsia="宋体" w:hAnsi="Arial" w:cs="Arial"/>
                <w:b/>
                <w:bCs/>
                <w:color w:val="000000"/>
                <w:sz w:val="14"/>
                <w:szCs w:val="14"/>
              </w:rPr>
              <w:t>2,665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59" w14:textId="77777777" w:rsidR="00980E5F" w:rsidRDefault="00980E5F">
            <w:pPr>
              <w:jc w:val="right"/>
              <w:rPr>
                <w:rFonts w:ascii="宋体"/>
              </w:rPr>
            </w:pPr>
          </w:p>
        </w:tc>
      </w:tr>
      <w:tr w:rsidR="00980E5F" w14:paraId="392CAA79" w14:textId="77777777">
        <w:tc>
          <w:tcPr>
            <w:tcW w:w="0" w:type="auto"/>
            <w:gridSpan w:val="3"/>
            <w:shd w:val="clear" w:color="auto" w:fill="FFFFFF"/>
            <w:tcMar>
              <w:top w:w="40" w:type="dxa"/>
              <w:left w:w="155" w:type="dxa"/>
              <w:bottom w:w="40" w:type="dxa"/>
              <w:right w:w="20" w:type="dxa"/>
            </w:tcMar>
            <w:vAlign w:val="bottom"/>
          </w:tcPr>
          <w:p w14:paraId="392CAA5B"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A5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5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6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65"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6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6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6B"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6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6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7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7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7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77" w14:textId="77777777" w:rsidR="00980E5F" w:rsidRDefault="00483613">
            <w:pPr>
              <w:jc w:val="right"/>
              <w:textAlignment w:val="bottom"/>
            </w:pPr>
            <w:r>
              <w:rPr>
                <w:rFonts w:ascii="Arial" w:eastAsia="宋体" w:hAnsi="Arial" w:cs="Arial"/>
                <w:b/>
                <w:bCs/>
                <w:color w:val="000000"/>
                <w:sz w:val="14"/>
                <w:szCs w:val="14"/>
              </w:rPr>
              <w:t>1,010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78" w14:textId="77777777" w:rsidR="00980E5F" w:rsidRDefault="00980E5F">
            <w:pPr>
              <w:jc w:val="right"/>
              <w:rPr>
                <w:rFonts w:ascii="宋体"/>
              </w:rPr>
            </w:pPr>
          </w:p>
        </w:tc>
      </w:tr>
      <w:tr w:rsidR="00980E5F" w14:paraId="392CAA98" w14:textId="77777777">
        <w:tc>
          <w:tcPr>
            <w:tcW w:w="0" w:type="auto"/>
            <w:gridSpan w:val="3"/>
            <w:shd w:val="clear" w:color="auto" w:fill="CCEEFF"/>
            <w:tcMar>
              <w:top w:w="40" w:type="dxa"/>
              <w:left w:w="155" w:type="dxa"/>
              <w:bottom w:w="40" w:type="dxa"/>
              <w:right w:w="20" w:type="dxa"/>
            </w:tcMar>
            <w:vAlign w:val="bottom"/>
          </w:tcPr>
          <w:p w14:paraId="392CAA7A" w14:textId="77777777" w:rsidR="00980E5F" w:rsidRDefault="00483613">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392CAA7B" w14:textId="77777777" w:rsidR="00980E5F" w:rsidRDefault="00483613">
            <w:pPr>
              <w:jc w:val="right"/>
              <w:textAlignment w:val="bottom"/>
            </w:pPr>
            <w:r>
              <w:rPr>
                <w:rFonts w:ascii="Arial" w:eastAsia="宋体" w:hAnsi="Arial" w:cs="Arial"/>
                <w:b/>
                <w:bCs/>
                <w:color w:val="000000"/>
                <w:sz w:val="14"/>
                <w:szCs w:val="14"/>
              </w:rPr>
              <w:t>191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7E" w14:textId="77777777" w:rsidR="00980E5F" w:rsidRDefault="00483613">
            <w:pPr>
              <w:jc w:val="right"/>
              <w:textAlignment w:val="bottom"/>
            </w:pPr>
            <w:r>
              <w:rPr>
                <w:rFonts w:ascii="Arial" w:eastAsia="宋体" w:hAnsi="Arial" w:cs="Arial"/>
                <w:b/>
                <w:bCs/>
                <w:color w:val="000000"/>
                <w:sz w:val="14"/>
                <w:szCs w:val="14"/>
              </w:rPr>
              <w:t>464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81" w14:textId="77777777" w:rsidR="00980E5F" w:rsidRDefault="00483613">
            <w:pPr>
              <w:jc w:val="right"/>
              <w:textAlignment w:val="bottom"/>
            </w:pPr>
            <w:r>
              <w:rPr>
                <w:rFonts w:ascii="Arial" w:eastAsia="宋体" w:hAnsi="Arial" w:cs="Arial"/>
                <w:b/>
                <w:bCs/>
                <w:color w:val="000000"/>
                <w:sz w:val="14"/>
                <w:szCs w:val="14"/>
              </w:rPr>
              <w:t>655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84" w14:textId="77777777" w:rsidR="00980E5F" w:rsidRDefault="00483613">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8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8A" w14:textId="77777777" w:rsidR="00980E5F" w:rsidRDefault="00483613">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8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8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9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9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9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96" w14:textId="77777777" w:rsidR="00980E5F" w:rsidRDefault="00483613">
            <w:pPr>
              <w:jc w:val="right"/>
              <w:textAlignment w:val="bottom"/>
            </w:pPr>
            <w:r>
              <w:rPr>
                <w:rFonts w:ascii="Arial" w:eastAsia="宋体" w:hAnsi="Arial" w:cs="Arial"/>
                <w:b/>
                <w:bCs/>
                <w:color w:val="000000"/>
                <w:sz w:val="14"/>
                <w:szCs w:val="14"/>
              </w:rPr>
              <w:t>690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97" w14:textId="77777777" w:rsidR="00980E5F" w:rsidRDefault="00980E5F">
            <w:pPr>
              <w:jc w:val="right"/>
              <w:rPr>
                <w:rFonts w:ascii="宋体"/>
              </w:rPr>
            </w:pPr>
          </w:p>
        </w:tc>
      </w:tr>
      <w:tr w:rsidR="00980E5F" w14:paraId="392CAAB7" w14:textId="77777777">
        <w:tc>
          <w:tcPr>
            <w:tcW w:w="0" w:type="auto"/>
            <w:gridSpan w:val="3"/>
            <w:shd w:val="clear" w:color="auto" w:fill="FFFFFF"/>
            <w:tcMar>
              <w:top w:w="40" w:type="dxa"/>
              <w:left w:w="155" w:type="dxa"/>
              <w:bottom w:w="40" w:type="dxa"/>
              <w:right w:w="20" w:type="dxa"/>
            </w:tcMar>
            <w:vAlign w:val="bottom"/>
          </w:tcPr>
          <w:p w14:paraId="392CAA99"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A9A" w14:textId="77777777" w:rsidR="00980E5F" w:rsidRDefault="00483613">
            <w:pPr>
              <w:jc w:val="right"/>
              <w:textAlignment w:val="bottom"/>
            </w:pPr>
            <w:r>
              <w:rPr>
                <w:rFonts w:ascii="Arial" w:eastAsia="宋体" w:hAnsi="Arial" w:cs="Arial"/>
                <w:b/>
                <w:bCs/>
                <w:color w:val="000000"/>
                <w:sz w:val="14"/>
                <w:szCs w:val="14"/>
              </w:rPr>
              <w:t>115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9D" w14:textId="77777777" w:rsidR="00980E5F" w:rsidRDefault="00483613">
            <w:pPr>
              <w:jc w:val="right"/>
              <w:textAlignment w:val="bottom"/>
            </w:pPr>
            <w:r>
              <w:rPr>
                <w:rFonts w:ascii="Arial" w:eastAsia="宋体" w:hAnsi="Arial" w:cs="Arial"/>
                <w:b/>
                <w:bCs/>
                <w:color w:val="000000"/>
                <w:sz w:val="14"/>
                <w:szCs w:val="14"/>
              </w:rPr>
              <w:t>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9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0" w14:textId="77777777" w:rsidR="00980E5F" w:rsidRDefault="00483613">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A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A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3"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A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A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6" w14:textId="77777777" w:rsidR="00980E5F" w:rsidRDefault="00483613">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A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A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9" w14:textId="77777777" w:rsidR="00980E5F" w:rsidRDefault="00483613">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A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A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A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B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B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B5" w14:textId="77777777" w:rsidR="00980E5F" w:rsidRDefault="00483613">
            <w:pPr>
              <w:jc w:val="right"/>
              <w:textAlignment w:val="bottom"/>
            </w:pPr>
            <w:r>
              <w:rPr>
                <w:rFonts w:ascii="Arial" w:eastAsia="宋体" w:hAnsi="Arial" w:cs="Arial"/>
                <w:b/>
                <w:bCs/>
                <w:color w:val="000000"/>
                <w:sz w:val="14"/>
                <w:szCs w:val="14"/>
              </w:rPr>
              <w:t>203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B6" w14:textId="77777777" w:rsidR="00980E5F" w:rsidRDefault="00980E5F">
            <w:pPr>
              <w:jc w:val="right"/>
              <w:rPr>
                <w:rFonts w:ascii="宋体"/>
              </w:rPr>
            </w:pPr>
          </w:p>
        </w:tc>
      </w:tr>
      <w:tr w:rsidR="00980E5F" w14:paraId="392CAAD6" w14:textId="77777777">
        <w:tc>
          <w:tcPr>
            <w:tcW w:w="0" w:type="auto"/>
            <w:gridSpan w:val="3"/>
            <w:shd w:val="clear" w:color="auto" w:fill="CCEEFF"/>
            <w:tcMar>
              <w:top w:w="40" w:type="dxa"/>
              <w:left w:w="155" w:type="dxa"/>
              <w:bottom w:w="40" w:type="dxa"/>
              <w:right w:w="20" w:type="dxa"/>
            </w:tcMar>
            <w:vAlign w:val="bottom"/>
          </w:tcPr>
          <w:p w14:paraId="392CAAB8" w14:textId="77777777" w:rsidR="00980E5F" w:rsidRDefault="00483613">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392CAAB9" w14:textId="77777777" w:rsidR="00980E5F" w:rsidRDefault="00483613">
            <w:pPr>
              <w:jc w:val="right"/>
              <w:textAlignment w:val="bottom"/>
            </w:pPr>
            <w:r>
              <w:rPr>
                <w:rFonts w:ascii="Arial" w:eastAsia="宋体" w:hAnsi="Arial" w:cs="Arial"/>
                <w:b/>
                <w:bCs/>
                <w:color w:val="000000"/>
                <w:sz w:val="14"/>
                <w:szCs w:val="14"/>
              </w:rPr>
              <w:t>289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BC" w14:textId="77777777" w:rsidR="00980E5F" w:rsidRDefault="00483613">
            <w:pPr>
              <w:jc w:val="right"/>
              <w:textAlignment w:val="bottom"/>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B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BF" w14:textId="77777777" w:rsidR="00980E5F" w:rsidRDefault="00483613">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C2"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C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C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C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C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D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AD4" w14:textId="77777777" w:rsidR="00980E5F" w:rsidRDefault="00483613">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AD5" w14:textId="77777777" w:rsidR="00980E5F" w:rsidRDefault="00980E5F">
            <w:pPr>
              <w:jc w:val="right"/>
              <w:rPr>
                <w:rFonts w:ascii="宋体"/>
              </w:rPr>
            </w:pPr>
          </w:p>
        </w:tc>
      </w:tr>
      <w:tr w:rsidR="00980E5F" w14:paraId="392CAAF5" w14:textId="77777777">
        <w:tc>
          <w:tcPr>
            <w:tcW w:w="0" w:type="auto"/>
            <w:gridSpan w:val="3"/>
            <w:shd w:val="clear" w:color="auto" w:fill="FFFFFF"/>
            <w:tcMar>
              <w:top w:w="40" w:type="dxa"/>
              <w:left w:w="155" w:type="dxa"/>
              <w:bottom w:w="40" w:type="dxa"/>
              <w:right w:w="20" w:type="dxa"/>
            </w:tcMar>
            <w:vAlign w:val="bottom"/>
          </w:tcPr>
          <w:p w14:paraId="392CAAD7"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AD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DB" w14:textId="77777777" w:rsidR="00980E5F" w:rsidRDefault="00483613">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DE" w14:textId="77777777" w:rsidR="00980E5F" w:rsidRDefault="00483613">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E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E4" w14:textId="77777777" w:rsidR="00980E5F" w:rsidRDefault="00483613">
            <w:pPr>
              <w:jc w:val="right"/>
              <w:textAlignment w:val="bottom"/>
            </w:pPr>
            <w:r>
              <w:rPr>
                <w:rFonts w:ascii="Arial" w:eastAsia="宋体" w:hAnsi="Arial" w:cs="Arial"/>
                <w:b/>
                <w:bCs/>
                <w:color w:val="000000"/>
                <w:sz w:val="14"/>
                <w:szCs w:val="14"/>
              </w:rPr>
              <w:t>(48)</w:t>
            </w:r>
          </w:p>
        </w:tc>
        <w:tc>
          <w:tcPr>
            <w:tcW w:w="0" w:type="auto"/>
            <w:shd w:val="clear" w:color="auto" w:fill="FFFFFF"/>
            <w:tcMar>
              <w:top w:w="40" w:type="dxa"/>
              <w:left w:w="0" w:type="dxa"/>
              <w:bottom w:w="40" w:type="dxa"/>
              <w:right w:w="20" w:type="dxa"/>
            </w:tcMar>
            <w:vAlign w:val="bottom"/>
          </w:tcPr>
          <w:p w14:paraId="392CAA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E7" w14:textId="77777777" w:rsidR="00980E5F" w:rsidRDefault="00483613">
            <w:pPr>
              <w:jc w:val="right"/>
              <w:textAlignment w:val="bottom"/>
            </w:pPr>
            <w:r>
              <w:rPr>
                <w:rFonts w:ascii="Arial" w:eastAsia="宋体" w:hAnsi="Arial" w:cs="Arial"/>
                <w:b/>
                <w:bCs/>
                <w:color w:val="000000"/>
                <w:sz w:val="14"/>
                <w:szCs w:val="14"/>
              </w:rPr>
              <w:t>(48)</w:t>
            </w:r>
          </w:p>
        </w:tc>
        <w:tc>
          <w:tcPr>
            <w:tcW w:w="0" w:type="auto"/>
            <w:shd w:val="clear" w:color="auto" w:fill="FFFFFF"/>
            <w:tcMar>
              <w:top w:w="40" w:type="dxa"/>
              <w:left w:w="0" w:type="dxa"/>
              <w:bottom w:w="40" w:type="dxa"/>
              <w:right w:w="20" w:type="dxa"/>
            </w:tcMar>
            <w:vAlign w:val="bottom"/>
          </w:tcPr>
          <w:p w14:paraId="392CAA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E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E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E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F0"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A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AF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AF3" w14:textId="77777777" w:rsidR="00980E5F" w:rsidRDefault="00483613">
            <w:pPr>
              <w:jc w:val="right"/>
              <w:textAlignment w:val="bottom"/>
            </w:pPr>
            <w:r>
              <w:rPr>
                <w:rFonts w:ascii="Arial" w:eastAsia="宋体" w:hAnsi="Arial" w:cs="Arial"/>
                <w:b/>
                <w:bCs/>
                <w:color w:val="000000"/>
                <w:sz w:val="14"/>
                <w:szCs w:val="14"/>
              </w:rPr>
              <w:t>(14)</w:t>
            </w:r>
          </w:p>
        </w:tc>
        <w:tc>
          <w:tcPr>
            <w:tcW w:w="0" w:type="auto"/>
            <w:shd w:val="clear" w:color="auto" w:fill="FFFFFF"/>
            <w:tcMar>
              <w:top w:w="40" w:type="dxa"/>
              <w:left w:w="0" w:type="dxa"/>
              <w:bottom w:w="40" w:type="dxa"/>
              <w:right w:w="20" w:type="dxa"/>
            </w:tcMar>
            <w:vAlign w:val="bottom"/>
          </w:tcPr>
          <w:p w14:paraId="392CAAF4" w14:textId="77777777" w:rsidR="00980E5F" w:rsidRDefault="00980E5F">
            <w:pPr>
              <w:jc w:val="right"/>
              <w:rPr>
                <w:rFonts w:ascii="宋体"/>
              </w:rPr>
            </w:pPr>
          </w:p>
        </w:tc>
      </w:tr>
      <w:tr w:rsidR="00980E5F" w14:paraId="392CAB14" w14:textId="77777777">
        <w:tc>
          <w:tcPr>
            <w:tcW w:w="0" w:type="auto"/>
            <w:gridSpan w:val="3"/>
            <w:shd w:val="clear" w:color="auto" w:fill="CCEEFF"/>
            <w:tcMar>
              <w:top w:w="40" w:type="dxa"/>
              <w:left w:w="20" w:type="dxa"/>
              <w:bottom w:w="40" w:type="dxa"/>
              <w:right w:w="20" w:type="dxa"/>
            </w:tcMar>
            <w:vAlign w:val="bottom"/>
          </w:tcPr>
          <w:p w14:paraId="392CAAF6" w14:textId="77777777" w:rsidR="00980E5F" w:rsidRDefault="00483613">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AF7" w14:textId="77777777" w:rsidR="00980E5F" w:rsidRDefault="00483613">
            <w:pPr>
              <w:jc w:val="right"/>
              <w:textAlignment w:val="bottom"/>
            </w:pPr>
            <w:r>
              <w:rPr>
                <w:rFonts w:ascii="Arial" w:eastAsia="宋体" w:hAnsi="Arial" w:cs="Arial"/>
                <w:b/>
                <w:bCs/>
                <w:color w:val="000000"/>
                <w:sz w:val="14"/>
                <w:szCs w:val="14"/>
              </w:rPr>
              <w:t>3,260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F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AFA" w14:textId="77777777" w:rsidR="00980E5F" w:rsidRDefault="00483613">
            <w:pPr>
              <w:jc w:val="right"/>
              <w:textAlignment w:val="bottom"/>
            </w:pPr>
            <w:r>
              <w:rPr>
                <w:rFonts w:ascii="Arial" w:eastAsia="宋体" w:hAnsi="Arial" w:cs="Arial"/>
                <w:b/>
                <w:bCs/>
                <w:color w:val="000000"/>
                <w:sz w:val="14"/>
                <w:szCs w:val="14"/>
              </w:rPr>
              <w:t>678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F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AFD" w14:textId="77777777" w:rsidR="00980E5F" w:rsidRDefault="00483613">
            <w:pPr>
              <w:jc w:val="right"/>
              <w:textAlignment w:val="bottom"/>
            </w:pPr>
            <w:r>
              <w:rPr>
                <w:rFonts w:ascii="Arial" w:eastAsia="宋体" w:hAnsi="Arial" w:cs="Arial"/>
                <w:b/>
                <w:bCs/>
                <w:color w:val="000000"/>
                <w:sz w:val="14"/>
                <w:szCs w:val="14"/>
              </w:rPr>
              <w:t>3,938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A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AF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0" w14:textId="77777777" w:rsidR="00980E5F" w:rsidRDefault="00483613">
            <w:pPr>
              <w:jc w:val="right"/>
              <w:textAlignment w:val="bottom"/>
            </w:pPr>
            <w:r>
              <w:rPr>
                <w:rFonts w:ascii="Arial" w:eastAsia="宋体" w:hAnsi="Arial" w:cs="Arial"/>
                <w:b/>
                <w:bCs/>
                <w:color w:val="000000"/>
                <w:sz w:val="14"/>
                <w:szCs w:val="14"/>
              </w:rPr>
              <w:t>1,045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0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3" w14:textId="77777777" w:rsidR="00980E5F" w:rsidRDefault="00483613">
            <w:pPr>
              <w:jc w:val="right"/>
              <w:textAlignment w:val="bottom"/>
            </w:pPr>
            <w:r>
              <w:rPr>
                <w:rFonts w:ascii="Arial" w:eastAsia="宋体" w:hAnsi="Arial" w:cs="Arial"/>
                <w:b/>
                <w:bCs/>
                <w:color w:val="000000"/>
                <w:sz w:val="14"/>
                <w:szCs w:val="14"/>
              </w:rPr>
              <w:t>(40)</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0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6" w14:textId="77777777" w:rsidR="00980E5F" w:rsidRDefault="00483613">
            <w:pPr>
              <w:jc w:val="right"/>
              <w:textAlignment w:val="bottom"/>
            </w:pPr>
            <w:r>
              <w:rPr>
                <w:rFonts w:ascii="Arial" w:eastAsia="宋体" w:hAnsi="Arial" w:cs="Arial"/>
                <w:b/>
                <w:bCs/>
                <w:color w:val="000000"/>
                <w:sz w:val="14"/>
                <w:szCs w:val="14"/>
              </w:rPr>
              <w:t>1,005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0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9"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0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C"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0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0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1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B12" w14:textId="77777777" w:rsidR="00980E5F" w:rsidRDefault="00483613">
            <w:pPr>
              <w:jc w:val="right"/>
              <w:textAlignment w:val="bottom"/>
            </w:pPr>
            <w:r>
              <w:rPr>
                <w:rFonts w:ascii="Arial" w:eastAsia="宋体" w:hAnsi="Arial" w:cs="Arial"/>
                <w:b/>
                <w:bCs/>
                <w:color w:val="000000"/>
                <w:sz w:val="14"/>
                <w:szCs w:val="14"/>
              </w:rPr>
              <w:t>4,943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13" w14:textId="77777777" w:rsidR="00980E5F" w:rsidRDefault="00980E5F">
            <w:pPr>
              <w:jc w:val="right"/>
              <w:rPr>
                <w:rFonts w:ascii="宋体"/>
              </w:rPr>
            </w:pPr>
          </w:p>
        </w:tc>
      </w:tr>
      <w:tr w:rsidR="00980E5F" w14:paraId="392CAB33" w14:textId="77777777">
        <w:tc>
          <w:tcPr>
            <w:tcW w:w="0" w:type="auto"/>
            <w:gridSpan w:val="3"/>
            <w:shd w:val="clear" w:color="auto" w:fill="FFFFFF"/>
            <w:tcMar>
              <w:top w:w="40" w:type="dxa"/>
              <w:left w:w="155" w:type="dxa"/>
              <w:bottom w:w="40" w:type="dxa"/>
              <w:right w:w="20" w:type="dxa"/>
            </w:tcMar>
            <w:vAlign w:val="bottom"/>
          </w:tcPr>
          <w:p w14:paraId="392CAB15"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B16"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19" w14:textId="77777777" w:rsidR="00980E5F" w:rsidRDefault="00483613">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1C" w14:textId="77777777" w:rsidR="00980E5F" w:rsidRDefault="00483613">
            <w:pPr>
              <w:jc w:val="right"/>
              <w:textAlignment w:val="bottom"/>
            </w:pPr>
            <w:r>
              <w:rPr>
                <w:rFonts w:ascii="Arial" w:eastAsia="宋体" w:hAnsi="Arial" w:cs="Arial"/>
                <w:b/>
                <w:bCs/>
                <w:color w:val="000000"/>
                <w:sz w:val="14"/>
                <w:szCs w:val="14"/>
              </w:rPr>
              <w:t>1,097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1F"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22"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B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25" w14:textId="77777777" w:rsidR="00980E5F" w:rsidRDefault="00483613">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392CAB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28"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2B"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2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2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31" w14:textId="77777777" w:rsidR="00980E5F" w:rsidRDefault="00483613">
            <w:pPr>
              <w:jc w:val="right"/>
              <w:textAlignment w:val="bottom"/>
            </w:pPr>
            <w:r>
              <w:rPr>
                <w:rFonts w:ascii="Arial" w:eastAsia="宋体" w:hAnsi="Arial" w:cs="Arial"/>
                <w:b/>
                <w:bCs/>
                <w:color w:val="000000"/>
                <w:sz w:val="14"/>
                <w:szCs w:val="14"/>
              </w:rPr>
              <w:t>1,093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32" w14:textId="77777777" w:rsidR="00980E5F" w:rsidRDefault="00980E5F">
            <w:pPr>
              <w:jc w:val="right"/>
              <w:rPr>
                <w:rFonts w:ascii="宋体"/>
              </w:rPr>
            </w:pPr>
          </w:p>
        </w:tc>
      </w:tr>
      <w:tr w:rsidR="00980E5F" w14:paraId="392CAB52" w14:textId="77777777">
        <w:tc>
          <w:tcPr>
            <w:tcW w:w="0" w:type="auto"/>
            <w:gridSpan w:val="3"/>
            <w:shd w:val="clear" w:color="auto" w:fill="CCEEFF"/>
            <w:tcMar>
              <w:top w:w="40" w:type="dxa"/>
              <w:left w:w="155" w:type="dxa"/>
              <w:bottom w:w="40" w:type="dxa"/>
              <w:right w:w="20" w:type="dxa"/>
            </w:tcMar>
            <w:vAlign w:val="bottom"/>
          </w:tcPr>
          <w:p w14:paraId="392CAB34"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B3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3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38"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AB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3B"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AB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3E"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4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44"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47"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4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4A"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4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B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4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50" w14:textId="77777777" w:rsidR="00980E5F" w:rsidRDefault="00483613">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392CAB51" w14:textId="77777777" w:rsidR="00980E5F" w:rsidRDefault="00980E5F">
            <w:pPr>
              <w:jc w:val="right"/>
              <w:rPr>
                <w:rFonts w:ascii="宋体"/>
              </w:rPr>
            </w:pPr>
          </w:p>
        </w:tc>
      </w:tr>
      <w:tr w:rsidR="00483613" w14:paraId="392CAB7B" w14:textId="77777777">
        <w:tc>
          <w:tcPr>
            <w:tcW w:w="0" w:type="auto"/>
            <w:gridSpan w:val="3"/>
            <w:shd w:val="clear" w:color="auto" w:fill="FFFFFF"/>
            <w:tcMar>
              <w:top w:w="40" w:type="dxa"/>
              <w:left w:w="20" w:type="dxa"/>
              <w:bottom w:w="40" w:type="dxa"/>
              <w:right w:w="20" w:type="dxa"/>
            </w:tcMar>
            <w:vAlign w:val="bottom"/>
          </w:tcPr>
          <w:p w14:paraId="392CAB53" w14:textId="77777777" w:rsidR="00980E5F" w:rsidRDefault="00483613">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AB5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55" w14:textId="77777777" w:rsidR="00980E5F" w:rsidRDefault="00483613">
            <w:pPr>
              <w:jc w:val="right"/>
              <w:textAlignment w:val="bottom"/>
            </w:pPr>
            <w:r>
              <w:rPr>
                <w:rFonts w:ascii="Arial" w:eastAsia="宋体" w:hAnsi="Arial" w:cs="Arial"/>
                <w:b/>
                <w:bCs/>
                <w:color w:val="000000"/>
                <w:sz w:val="14"/>
                <w:szCs w:val="14"/>
              </w:rPr>
              <w:t>3,260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5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5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59" w14:textId="77777777" w:rsidR="00980E5F" w:rsidRDefault="00483613">
            <w:pPr>
              <w:jc w:val="right"/>
              <w:textAlignment w:val="bottom"/>
            </w:pPr>
            <w:r>
              <w:rPr>
                <w:rFonts w:ascii="Arial" w:eastAsia="宋体" w:hAnsi="Arial" w:cs="Arial"/>
                <w:b/>
                <w:bCs/>
                <w:color w:val="000000"/>
                <w:sz w:val="14"/>
                <w:szCs w:val="14"/>
              </w:rPr>
              <w:t>1,773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5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5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5D" w14:textId="77777777" w:rsidR="00980E5F" w:rsidRDefault="00483613">
            <w:pPr>
              <w:jc w:val="right"/>
              <w:textAlignment w:val="bottom"/>
            </w:pPr>
            <w:r>
              <w:rPr>
                <w:rFonts w:ascii="Arial" w:eastAsia="宋体" w:hAnsi="Arial" w:cs="Arial"/>
                <w:b/>
                <w:bCs/>
                <w:color w:val="000000"/>
                <w:sz w:val="14"/>
                <w:szCs w:val="14"/>
              </w:rPr>
              <w:t>5,033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5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6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61" w14:textId="77777777" w:rsidR="00980E5F" w:rsidRDefault="00483613">
            <w:pPr>
              <w:jc w:val="right"/>
              <w:textAlignment w:val="bottom"/>
            </w:pPr>
            <w:r>
              <w:rPr>
                <w:rFonts w:ascii="Arial" w:eastAsia="宋体" w:hAnsi="Arial" w:cs="Arial"/>
                <w:b/>
                <w:bCs/>
                <w:color w:val="000000"/>
                <w:sz w:val="14"/>
                <w:szCs w:val="14"/>
              </w:rPr>
              <w:t>1,045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6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6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65" w14:textId="77777777" w:rsidR="00980E5F" w:rsidRDefault="00483613">
            <w:pPr>
              <w:jc w:val="right"/>
              <w:textAlignment w:val="bottom"/>
            </w:pPr>
            <w:r>
              <w:rPr>
                <w:rFonts w:ascii="Arial" w:eastAsia="宋体" w:hAnsi="Arial" w:cs="Arial"/>
                <w:b/>
                <w:bCs/>
                <w:color w:val="000000"/>
                <w:sz w:val="14"/>
                <w:szCs w:val="14"/>
              </w:rPr>
              <w:t>(44)</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6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6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69" w14:textId="77777777" w:rsidR="00980E5F" w:rsidRDefault="00483613">
            <w:pPr>
              <w:jc w:val="right"/>
              <w:textAlignment w:val="bottom"/>
            </w:pPr>
            <w:r>
              <w:rPr>
                <w:rFonts w:ascii="Arial" w:eastAsia="宋体" w:hAnsi="Arial" w:cs="Arial"/>
                <w:b/>
                <w:bCs/>
                <w:color w:val="000000"/>
                <w:sz w:val="14"/>
                <w:szCs w:val="14"/>
              </w:rPr>
              <w:t>1,001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6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6C"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6D"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6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70"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71"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7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74"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75" w14:textId="77777777" w:rsidR="00980E5F" w:rsidRDefault="00483613">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7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B78" w14:textId="77777777" w:rsidR="00980E5F" w:rsidRDefault="00483613">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B79" w14:textId="77777777" w:rsidR="00980E5F" w:rsidRDefault="00483613">
            <w:pPr>
              <w:jc w:val="right"/>
              <w:textAlignment w:val="bottom"/>
            </w:pPr>
            <w:r>
              <w:rPr>
                <w:rFonts w:ascii="Arial" w:eastAsia="宋体" w:hAnsi="Arial" w:cs="Arial"/>
                <w:b/>
                <w:bCs/>
                <w:color w:val="000000"/>
                <w:sz w:val="14"/>
                <w:szCs w:val="14"/>
              </w:rPr>
              <w:t>6,034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B7A" w14:textId="77777777" w:rsidR="00980E5F" w:rsidRDefault="00980E5F">
            <w:pPr>
              <w:jc w:val="right"/>
              <w:rPr>
                <w:rFonts w:ascii="宋体"/>
              </w:rPr>
            </w:pPr>
          </w:p>
        </w:tc>
      </w:tr>
      <w:tr w:rsidR="00980E5F" w14:paraId="392CAB90" w14:textId="77777777">
        <w:trPr>
          <w:trHeight w:val="180"/>
        </w:trPr>
        <w:tc>
          <w:tcPr>
            <w:tcW w:w="0" w:type="auto"/>
            <w:gridSpan w:val="3"/>
            <w:shd w:val="clear" w:color="auto" w:fill="FFFFFF"/>
            <w:tcMar>
              <w:top w:w="0" w:type="dxa"/>
              <w:left w:w="20" w:type="dxa"/>
              <w:bottom w:w="0" w:type="dxa"/>
              <w:right w:w="20" w:type="dxa"/>
            </w:tcMar>
            <w:vAlign w:val="bottom"/>
          </w:tcPr>
          <w:p w14:paraId="392CAB7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7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7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7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0"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2"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4"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6"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8"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A"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C"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B8E" w14:textId="77777777" w:rsidR="00980E5F" w:rsidRDefault="00980E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92CAB8F" w14:textId="77777777" w:rsidR="00980E5F" w:rsidRDefault="00980E5F">
            <w:pPr>
              <w:rPr>
                <w:rFonts w:ascii="宋体"/>
              </w:rPr>
            </w:pPr>
          </w:p>
        </w:tc>
      </w:tr>
      <w:tr w:rsidR="00980E5F" w14:paraId="392CAB93" w14:textId="77777777">
        <w:tc>
          <w:tcPr>
            <w:tcW w:w="0" w:type="auto"/>
            <w:gridSpan w:val="3"/>
            <w:shd w:val="clear" w:color="auto" w:fill="auto"/>
            <w:tcMar>
              <w:top w:w="0" w:type="dxa"/>
              <w:left w:w="20" w:type="dxa"/>
              <w:bottom w:w="0" w:type="dxa"/>
              <w:right w:w="20" w:type="dxa"/>
            </w:tcMar>
            <w:vAlign w:val="bottom"/>
          </w:tcPr>
          <w:p w14:paraId="392CAB91" w14:textId="77777777" w:rsidR="00980E5F" w:rsidRDefault="00980E5F">
            <w:pPr>
              <w:rPr>
                <w:rFonts w:ascii="宋体"/>
              </w:rPr>
            </w:pPr>
          </w:p>
        </w:tc>
        <w:tc>
          <w:tcPr>
            <w:tcW w:w="0" w:type="auto"/>
            <w:gridSpan w:val="57"/>
            <w:shd w:val="clear" w:color="auto" w:fill="auto"/>
            <w:tcMar>
              <w:top w:w="40" w:type="dxa"/>
              <w:left w:w="20" w:type="dxa"/>
              <w:bottom w:w="40" w:type="dxa"/>
              <w:right w:w="20" w:type="dxa"/>
            </w:tcMar>
            <w:vAlign w:val="bottom"/>
          </w:tcPr>
          <w:p w14:paraId="392CAB92" w14:textId="77777777" w:rsidR="00980E5F" w:rsidRDefault="00483613">
            <w:pPr>
              <w:jc w:val="center"/>
              <w:textAlignment w:val="bottom"/>
            </w:pPr>
            <w:r>
              <w:rPr>
                <w:rFonts w:ascii="Arial" w:eastAsia="宋体" w:hAnsi="Arial" w:cs="Arial"/>
                <w:b/>
                <w:bCs/>
                <w:color w:val="000000"/>
                <w:sz w:val="14"/>
                <w:szCs w:val="14"/>
              </w:rPr>
              <w:t>Three Months Ended June 30, 2021</w:t>
            </w:r>
          </w:p>
        </w:tc>
      </w:tr>
      <w:tr w:rsidR="00980E5F" w14:paraId="392CAB9C" w14:textId="77777777">
        <w:tc>
          <w:tcPr>
            <w:tcW w:w="0" w:type="auto"/>
            <w:gridSpan w:val="3"/>
            <w:shd w:val="clear" w:color="auto" w:fill="FFFFFF"/>
            <w:tcMar>
              <w:top w:w="0" w:type="dxa"/>
              <w:left w:w="20" w:type="dxa"/>
              <w:bottom w:w="0" w:type="dxa"/>
              <w:right w:w="20" w:type="dxa"/>
            </w:tcMar>
            <w:vAlign w:val="bottom"/>
          </w:tcPr>
          <w:p w14:paraId="392CAB94" w14:textId="77777777" w:rsidR="00980E5F" w:rsidRDefault="00980E5F">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92CAB95" w14:textId="77777777" w:rsidR="00980E5F" w:rsidRDefault="00483613">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B96" w14:textId="77777777" w:rsidR="00980E5F" w:rsidRDefault="00980E5F">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92CAB97" w14:textId="77777777" w:rsidR="00980E5F" w:rsidRDefault="00483613">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B98" w14:textId="77777777" w:rsidR="00980E5F" w:rsidRDefault="00980E5F">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392CAB99"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92CAB9A" w14:textId="77777777" w:rsidR="00980E5F" w:rsidRDefault="00980E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92CAB9B"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BB1" w14:textId="77777777">
        <w:tc>
          <w:tcPr>
            <w:tcW w:w="0" w:type="auto"/>
            <w:gridSpan w:val="3"/>
            <w:shd w:val="clear" w:color="auto" w:fill="auto"/>
            <w:tcMar>
              <w:top w:w="40" w:type="dxa"/>
              <w:left w:w="20" w:type="dxa"/>
              <w:bottom w:w="40" w:type="dxa"/>
              <w:right w:w="20" w:type="dxa"/>
            </w:tcMar>
            <w:vAlign w:val="bottom"/>
          </w:tcPr>
          <w:p w14:paraId="392CAB9D"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9E"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9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0"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A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2"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BA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4"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A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6"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A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8"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BA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A"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A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C" w14:textId="77777777" w:rsidR="00980E5F" w:rsidRDefault="00483613">
            <w:pPr>
              <w:jc w:val="center"/>
              <w:textAlignment w:val="bottom"/>
            </w:pPr>
            <w:r>
              <w:rPr>
                <w:rFonts w:ascii="Arial" w:eastAsia="宋体" w:hAnsi="Arial" w:cs="Arial"/>
                <w:b/>
                <w:bCs/>
                <w:color w:val="000000"/>
                <w:sz w:val="14"/>
                <w:szCs w:val="14"/>
              </w:rPr>
              <w:t xml:space="preserve">All </w:t>
            </w:r>
            <w:r>
              <w:rPr>
                <w:rFonts w:ascii="Arial" w:eastAsia="宋体" w:hAnsi="Arial" w:cs="Arial"/>
                <w:b/>
                <w:bCs/>
                <w:color w:val="000000"/>
                <w:sz w:val="14"/>
                <w:szCs w:val="14"/>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BA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AE"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BA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BB0" w14:textId="77777777" w:rsidR="00980E5F" w:rsidRDefault="00483613">
            <w:pPr>
              <w:jc w:val="center"/>
              <w:textAlignment w:val="bottom"/>
            </w:pPr>
            <w:r>
              <w:rPr>
                <w:rFonts w:ascii="Arial" w:eastAsia="宋体" w:hAnsi="Arial" w:cs="Arial"/>
                <w:b/>
                <w:bCs/>
                <w:color w:val="000000"/>
                <w:sz w:val="14"/>
                <w:szCs w:val="14"/>
              </w:rPr>
              <w:t>2021</w:t>
            </w:r>
          </w:p>
        </w:tc>
      </w:tr>
      <w:tr w:rsidR="00483613" w14:paraId="392CABDA" w14:textId="77777777">
        <w:tc>
          <w:tcPr>
            <w:tcW w:w="0" w:type="auto"/>
            <w:gridSpan w:val="3"/>
            <w:shd w:val="clear" w:color="auto" w:fill="CCEEFF"/>
            <w:tcMar>
              <w:top w:w="40" w:type="dxa"/>
              <w:left w:w="155" w:type="dxa"/>
              <w:bottom w:w="40" w:type="dxa"/>
              <w:right w:w="20" w:type="dxa"/>
            </w:tcMar>
            <w:vAlign w:val="bottom"/>
          </w:tcPr>
          <w:p w14:paraId="392CABB2"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BB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B4" w14:textId="77777777" w:rsidR="00980E5F" w:rsidRDefault="00483613">
            <w:pPr>
              <w:jc w:val="right"/>
              <w:textAlignment w:val="bottom"/>
            </w:pPr>
            <w:r>
              <w:rPr>
                <w:rFonts w:ascii="Arial" w:eastAsia="宋体" w:hAnsi="Arial" w:cs="Arial"/>
                <w:color w:val="000000"/>
                <w:sz w:val="14"/>
                <w:szCs w:val="14"/>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B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B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B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B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B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B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BC" w14:textId="77777777" w:rsidR="00980E5F" w:rsidRDefault="00483613">
            <w:pPr>
              <w:jc w:val="right"/>
              <w:textAlignment w:val="bottom"/>
            </w:pPr>
            <w:r>
              <w:rPr>
                <w:rFonts w:ascii="Arial" w:eastAsia="宋体" w:hAnsi="Arial" w:cs="Arial"/>
                <w:color w:val="000000"/>
                <w:sz w:val="14"/>
                <w:szCs w:val="14"/>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B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B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C0"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C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C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C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C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C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C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C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C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C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C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C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C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C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D0"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D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D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D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D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D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D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BD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BD8" w14:textId="77777777" w:rsidR="00980E5F" w:rsidRDefault="00483613">
            <w:pPr>
              <w:jc w:val="right"/>
              <w:textAlignment w:val="bottom"/>
            </w:pPr>
            <w:r>
              <w:rPr>
                <w:rFonts w:ascii="Arial" w:eastAsia="宋体" w:hAnsi="Arial" w:cs="Arial"/>
                <w:color w:val="000000"/>
                <w:sz w:val="14"/>
                <w:szCs w:val="14"/>
              </w:rPr>
              <w:t>1,394 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BD9" w14:textId="77777777" w:rsidR="00980E5F" w:rsidRDefault="00980E5F">
            <w:pPr>
              <w:jc w:val="right"/>
              <w:rPr>
                <w:rFonts w:ascii="宋体"/>
              </w:rPr>
            </w:pPr>
          </w:p>
        </w:tc>
      </w:tr>
      <w:tr w:rsidR="00980E5F" w14:paraId="392CABF9" w14:textId="77777777">
        <w:tc>
          <w:tcPr>
            <w:tcW w:w="0" w:type="auto"/>
            <w:gridSpan w:val="3"/>
            <w:shd w:val="clear" w:color="auto" w:fill="FFFFFF"/>
            <w:tcMar>
              <w:top w:w="40" w:type="dxa"/>
              <w:left w:w="155" w:type="dxa"/>
              <w:bottom w:w="40" w:type="dxa"/>
              <w:right w:w="20" w:type="dxa"/>
            </w:tcMar>
            <w:vAlign w:val="bottom"/>
          </w:tcPr>
          <w:p w14:paraId="392CABDB"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BD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D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D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D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E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E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E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E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E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E5" w14:textId="77777777" w:rsidR="00980E5F" w:rsidRDefault="00483613">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392CAB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E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E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E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E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EB" w14:textId="77777777" w:rsidR="00980E5F" w:rsidRDefault="00483613">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392CABE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E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E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E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F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F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F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F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BF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BF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BF7" w14:textId="77777777" w:rsidR="00980E5F" w:rsidRDefault="00483613">
            <w:pPr>
              <w:jc w:val="right"/>
              <w:textAlignment w:val="bottom"/>
            </w:pPr>
            <w:r>
              <w:rPr>
                <w:rFonts w:ascii="Arial" w:eastAsia="宋体" w:hAnsi="Arial" w:cs="Arial"/>
                <w:color w:val="000000"/>
                <w:sz w:val="14"/>
                <w:szCs w:val="14"/>
              </w:rPr>
              <w:t>504 </w:t>
            </w:r>
          </w:p>
        </w:tc>
        <w:tc>
          <w:tcPr>
            <w:tcW w:w="0" w:type="auto"/>
            <w:shd w:val="clear" w:color="auto" w:fill="FFFFFF"/>
            <w:tcMar>
              <w:top w:w="40" w:type="dxa"/>
              <w:left w:w="0" w:type="dxa"/>
              <w:bottom w:w="40" w:type="dxa"/>
              <w:right w:w="20" w:type="dxa"/>
            </w:tcMar>
            <w:vAlign w:val="bottom"/>
          </w:tcPr>
          <w:p w14:paraId="392CABF8" w14:textId="77777777" w:rsidR="00980E5F" w:rsidRDefault="00980E5F">
            <w:pPr>
              <w:jc w:val="right"/>
              <w:rPr>
                <w:rFonts w:ascii="宋体"/>
              </w:rPr>
            </w:pPr>
          </w:p>
        </w:tc>
      </w:tr>
      <w:tr w:rsidR="00980E5F" w14:paraId="392CAC18" w14:textId="77777777">
        <w:tc>
          <w:tcPr>
            <w:tcW w:w="0" w:type="auto"/>
            <w:gridSpan w:val="3"/>
            <w:shd w:val="clear" w:color="auto" w:fill="CCEEFF"/>
            <w:tcMar>
              <w:top w:w="40" w:type="dxa"/>
              <w:left w:w="155" w:type="dxa"/>
              <w:bottom w:w="40" w:type="dxa"/>
              <w:right w:w="20" w:type="dxa"/>
            </w:tcMar>
            <w:vAlign w:val="bottom"/>
          </w:tcPr>
          <w:p w14:paraId="392CABFA"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392CABFB" w14:textId="77777777" w:rsidR="00980E5F" w:rsidRDefault="00483613">
            <w:pPr>
              <w:jc w:val="right"/>
              <w:textAlignment w:val="bottom"/>
            </w:pPr>
            <w:r>
              <w:rPr>
                <w:rFonts w:ascii="Arial" w:eastAsia="宋体" w:hAnsi="Arial" w:cs="Arial"/>
                <w:color w:val="000000"/>
                <w:sz w:val="14"/>
                <w:szCs w:val="14"/>
              </w:rPr>
              <w:t>83 </w:t>
            </w:r>
          </w:p>
        </w:tc>
        <w:tc>
          <w:tcPr>
            <w:tcW w:w="0" w:type="auto"/>
            <w:shd w:val="clear" w:color="auto" w:fill="CCEEFF"/>
            <w:tcMar>
              <w:top w:w="40" w:type="dxa"/>
              <w:left w:w="0" w:type="dxa"/>
              <w:bottom w:w="40" w:type="dxa"/>
              <w:right w:w="20" w:type="dxa"/>
            </w:tcMar>
            <w:vAlign w:val="bottom"/>
          </w:tcPr>
          <w:p w14:paraId="392CABF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BF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BFE" w14:textId="77777777" w:rsidR="00980E5F" w:rsidRDefault="00483613">
            <w:pPr>
              <w:jc w:val="right"/>
              <w:textAlignment w:val="bottom"/>
            </w:pPr>
            <w:r>
              <w:rPr>
                <w:rFonts w:ascii="Arial" w:eastAsia="宋体" w:hAnsi="Arial" w:cs="Arial"/>
                <w:color w:val="000000"/>
                <w:sz w:val="14"/>
                <w:szCs w:val="14"/>
              </w:rPr>
              <w:t>187 </w:t>
            </w:r>
          </w:p>
        </w:tc>
        <w:tc>
          <w:tcPr>
            <w:tcW w:w="0" w:type="auto"/>
            <w:shd w:val="clear" w:color="auto" w:fill="CCEEFF"/>
            <w:tcMar>
              <w:top w:w="40" w:type="dxa"/>
              <w:left w:w="0" w:type="dxa"/>
              <w:bottom w:w="40" w:type="dxa"/>
              <w:right w:w="20" w:type="dxa"/>
            </w:tcMar>
            <w:vAlign w:val="bottom"/>
          </w:tcPr>
          <w:p w14:paraId="392CABF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01" w14:textId="77777777" w:rsidR="00980E5F" w:rsidRDefault="00483613">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392CAC0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04"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392CAC0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0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0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0A" w14:textId="77777777" w:rsidR="00980E5F" w:rsidRDefault="00483613">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392CAC0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0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0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0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1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1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1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1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1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1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16" w14:textId="77777777" w:rsidR="00980E5F" w:rsidRDefault="00483613">
            <w:pPr>
              <w:jc w:val="right"/>
              <w:textAlignment w:val="bottom"/>
            </w:pPr>
            <w:r>
              <w:rPr>
                <w:rFonts w:ascii="Arial" w:eastAsia="宋体" w:hAnsi="Arial" w:cs="Arial"/>
                <w:color w:val="000000"/>
                <w:sz w:val="14"/>
                <w:szCs w:val="14"/>
              </w:rPr>
              <w:t>286 </w:t>
            </w:r>
          </w:p>
        </w:tc>
        <w:tc>
          <w:tcPr>
            <w:tcW w:w="0" w:type="auto"/>
            <w:shd w:val="clear" w:color="auto" w:fill="CCEEFF"/>
            <w:tcMar>
              <w:top w:w="40" w:type="dxa"/>
              <w:left w:w="0" w:type="dxa"/>
              <w:bottom w:w="40" w:type="dxa"/>
              <w:right w:w="20" w:type="dxa"/>
            </w:tcMar>
            <w:vAlign w:val="bottom"/>
          </w:tcPr>
          <w:p w14:paraId="392CAC17" w14:textId="77777777" w:rsidR="00980E5F" w:rsidRDefault="00980E5F">
            <w:pPr>
              <w:jc w:val="right"/>
              <w:rPr>
                <w:rFonts w:ascii="宋体"/>
              </w:rPr>
            </w:pPr>
          </w:p>
        </w:tc>
      </w:tr>
      <w:tr w:rsidR="00980E5F" w14:paraId="392CAC37" w14:textId="77777777">
        <w:tc>
          <w:tcPr>
            <w:tcW w:w="0" w:type="auto"/>
            <w:gridSpan w:val="3"/>
            <w:shd w:val="clear" w:color="auto" w:fill="FFFFFF"/>
            <w:tcMar>
              <w:top w:w="40" w:type="dxa"/>
              <w:left w:w="155" w:type="dxa"/>
              <w:bottom w:w="40" w:type="dxa"/>
              <w:right w:w="20" w:type="dxa"/>
            </w:tcMar>
            <w:vAlign w:val="bottom"/>
          </w:tcPr>
          <w:p w14:paraId="392CAC19"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C1A" w14:textId="77777777" w:rsidR="00980E5F" w:rsidRDefault="00483613">
            <w:pPr>
              <w:jc w:val="right"/>
              <w:textAlignment w:val="bottom"/>
            </w:pPr>
            <w:r>
              <w:rPr>
                <w:rFonts w:ascii="Arial" w:eastAsia="宋体" w:hAnsi="Arial" w:cs="Arial"/>
                <w:color w:val="000000"/>
                <w:sz w:val="14"/>
                <w:szCs w:val="14"/>
              </w:rPr>
              <w:t>61 </w:t>
            </w:r>
          </w:p>
        </w:tc>
        <w:tc>
          <w:tcPr>
            <w:tcW w:w="0" w:type="auto"/>
            <w:shd w:val="clear" w:color="auto" w:fill="FFFFFF"/>
            <w:tcMar>
              <w:top w:w="40" w:type="dxa"/>
              <w:left w:w="0" w:type="dxa"/>
              <w:bottom w:w="40" w:type="dxa"/>
              <w:right w:w="20" w:type="dxa"/>
            </w:tcMar>
            <w:vAlign w:val="bottom"/>
          </w:tcPr>
          <w:p w14:paraId="392CAC1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1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1D" w14:textId="77777777" w:rsidR="00980E5F" w:rsidRDefault="00483613">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392CAC1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1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0" w14:textId="77777777" w:rsidR="00980E5F" w:rsidRDefault="00483613">
            <w:pPr>
              <w:jc w:val="right"/>
              <w:textAlignment w:val="bottom"/>
            </w:pPr>
            <w:r>
              <w:rPr>
                <w:rFonts w:ascii="Arial" w:eastAsia="宋体" w:hAnsi="Arial" w:cs="Arial"/>
                <w:color w:val="000000"/>
                <w:sz w:val="14"/>
                <w:szCs w:val="14"/>
              </w:rPr>
              <w:t>106 </w:t>
            </w:r>
          </w:p>
        </w:tc>
        <w:tc>
          <w:tcPr>
            <w:tcW w:w="0" w:type="auto"/>
            <w:shd w:val="clear" w:color="auto" w:fill="FFFFFF"/>
            <w:tcMar>
              <w:top w:w="40" w:type="dxa"/>
              <w:left w:w="0" w:type="dxa"/>
              <w:bottom w:w="40" w:type="dxa"/>
              <w:right w:w="20" w:type="dxa"/>
            </w:tcMar>
            <w:vAlign w:val="bottom"/>
          </w:tcPr>
          <w:p w14:paraId="392CAC2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2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2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2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6"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C2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2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9"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C2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2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2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2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2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3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3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3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3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3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35" w14:textId="77777777" w:rsidR="00980E5F" w:rsidRDefault="00483613">
            <w:pPr>
              <w:jc w:val="right"/>
              <w:textAlignment w:val="bottom"/>
            </w:pPr>
            <w:r>
              <w:rPr>
                <w:rFonts w:ascii="Arial" w:eastAsia="宋体" w:hAnsi="Arial" w:cs="Arial"/>
                <w:color w:val="000000"/>
                <w:sz w:val="14"/>
                <w:szCs w:val="14"/>
              </w:rPr>
              <w:t>109 </w:t>
            </w:r>
          </w:p>
        </w:tc>
        <w:tc>
          <w:tcPr>
            <w:tcW w:w="0" w:type="auto"/>
            <w:shd w:val="clear" w:color="auto" w:fill="FFFFFF"/>
            <w:tcMar>
              <w:top w:w="40" w:type="dxa"/>
              <w:left w:w="0" w:type="dxa"/>
              <w:bottom w:w="40" w:type="dxa"/>
              <w:right w:w="20" w:type="dxa"/>
            </w:tcMar>
            <w:vAlign w:val="bottom"/>
          </w:tcPr>
          <w:p w14:paraId="392CAC36" w14:textId="77777777" w:rsidR="00980E5F" w:rsidRDefault="00980E5F">
            <w:pPr>
              <w:jc w:val="right"/>
              <w:rPr>
                <w:rFonts w:ascii="宋体"/>
              </w:rPr>
            </w:pPr>
          </w:p>
        </w:tc>
      </w:tr>
      <w:tr w:rsidR="00980E5F" w14:paraId="392CAC56" w14:textId="77777777">
        <w:tc>
          <w:tcPr>
            <w:tcW w:w="0" w:type="auto"/>
            <w:gridSpan w:val="3"/>
            <w:shd w:val="clear" w:color="auto" w:fill="CCEEFF"/>
            <w:tcMar>
              <w:top w:w="40" w:type="dxa"/>
              <w:left w:w="155" w:type="dxa"/>
              <w:bottom w:w="40" w:type="dxa"/>
              <w:right w:w="20" w:type="dxa"/>
            </w:tcMar>
            <w:vAlign w:val="bottom"/>
          </w:tcPr>
          <w:p w14:paraId="392CAC38" w14:textId="77777777" w:rsidR="00980E5F" w:rsidRDefault="00483613">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392CAC39" w14:textId="77777777" w:rsidR="00980E5F" w:rsidRDefault="00483613">
            <w:pPr>
              <w:jc w:val="right"/>
              <w:textAlignment w:val="bottom"/>
            </w:pPr>
            <w:r>
              <w:rPr>
                <w:rFonts w:ascii="Arial" w:eastAsia="宋体" w:hAnsi="Arial" w:cs="Arial"/>
                <w:color w:val="000000"/>
                <w:sz w:val="14"/>
                <w:szCs w:val="14"/>
              </w:rPr>
              <w:t>161 </w:t>
            </w:r>
          </w:p>
        </w:tc>
        <w:tc>
          <w:tcPr>
            <w:tcW w:w="0" w:type="auto"/>
            <w:shd w:val="clear" w:color="auto" w:fill="CCEEFF"/>
            <w:tcMar>
              <w:top w:w="40" w:type="dxa"/>
              <w:left w:w="0" w:type="dxa"/>
              <w:bottom w:w="40" w:type="dxa"/>
              <w:right w:w="20" w:type="dxa"/>
            </w:tcMar>
            <w:vAlign w:val="bottom"/>
          </w:tcPr>
          <w:p w14:paraId="392CAC3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3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3C" w14:textId="77777777" w:rsidR="00980E5F" w:rsidRDefault="00483613">
            <w:pPr>
              <w:jc w:val="right"/>
              <w:textAlignment w:val="bottom"/>
            </w:pPr>
            <w:r>
              <w:rPr>
                <w:rFonts w:ascii="Arial" w:eastAsia="宋体" w:hAnsi="Arial" w:cs="Arial"/>
                <w:color w:val="000000"/>
                <w:sz w:val="14"/>
                <w:szCs w:val="14"/>
              </w:rPr>
              <w:t>50 </w:t>
            </w:r>
          </w:p>
        </w:tc>
        <w:tc>
          <w:tcPr>
            <w:tcW w:w="0" w:type="auto"/>
            <w:shd w:val="clear" w:color="auto" w:fill="CCEEFF"/>
            <w:tcMar>
              <w:top w:w="40" w:type="dxa"/>
              <w:left w:w="0" w:type="dxa"/>
              <w:bottom w:w="40" w:type="dxa"/>
              <w:right w:w="20" w:type="dxa"/>
            </w:tcMar>
            <w:vAlign w:val="bottom"/>
          </w:tcPr>
          <w:p w14:paraId="392CAC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3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3F"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AC4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4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4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4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4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4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4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4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4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4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4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4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4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4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4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5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5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5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5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54" w14:textId="77777777" w:rsidR="00980E5F" w:rsidRDefault="00483613">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392CAC55" w14:textId="77777777" w:rsidR="00980E5F" w:rsidRDefault="00980E5F">
            <w:pPr>
              <w:jc w:val="right"/>
              <w:rPr>
                <w:rFonts w:ascii="宋体"/>
              </w:rPr>
            </w:pPr>
          </w:p>
        </w:tc>
      </w:tr>
      <w:tr w:rsidR="00980E5F" w14:paraId="392CAC75" w14:textId="77777777">
        <w:tc>
          <w:tcPr>
            <w:tcW w:w="0" w:type="auto"/>
            <w:gridSpan w:val="3"/>
            <w:shd w:val="clear" w:color="auto" w:fill="FFFFFF"/>
            <w:tcMar>
              <w:top w:w="40" w:type="dxa"/>
              <w:left w:w="155" w:type="dxa"/>
              <w:bottom w:w="40" w:type="dxa"/>
              <w:right w:w="20" w:type="dxa"/>
            </w:tcMar>
            <w:vAlign w:val="bottom"/>
          </w:tcPr>
          <w:p w14:paraId="392CAC57"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C5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5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5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5B"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C5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5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5E" w14:textId="77777777" w:rsidR="00980E5F" w:rsidRDefault="00483613">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392CAC5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6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64"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C6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67"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C6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6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6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6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6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7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7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7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73" w14:textId="77777777" w:rsidR="00980E5F" w:rsidRDefault="00483613">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392CAC74" w14:textId="77777777" w:rsidR="00980E5F" w:rsidRDefault="00980E5F">
            <w:pPr>
              <w:jc w:val="right"/>
              <w:rPr>
                <w:rFonts w:ascii="宋体"/>
              </w:rPr>
            </w:pPr>
          </w:p>
        </w:tc>
      </w:tr>
      <w:tr w:rsidR="00980E5F" w14:paraId="392CAC94" w14:textId="77777777">
        <w:tc>
          <w:tcPr>
            <w:tcW w:w="0" w:type="auto"/>
            <w:gridSpan w:val="3"/>
            <w:shd w:val="clear" w:color="auto" w:fill="CCEEFF"/>
            <w:tcMar>
              <w:top w:w="40" w:type="dxa"/>
              <w:left w:w="20" w:type="dxa"/>
              <w:bottom w:w="40" w:type="dxa"/>
              <w:right w:w="20" w:type="dxa"/>
            </w:tcMar>
            <w:vAlign w:val="bottom"/>
          </w:tcPr>
          <w:p w14:paraId="392CAC76" w14:textId="77777777" w:rsidR="00980E5F" w:rsidRDefault="00483613">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77" w14:textId="77777777" w:rsidR="00980E5F" w:rsidRDefault="00483613">
            <w:pPr>
              <w:jc w:val="right"/>
              <w:textAlignment w:val="bottom"/>
            </w:pPr>
            <w:r>
              <w:rPr>
                <w:rFonts w:ascii="Arial" w:eastAsia="宋体" w:hAnsi="Arial" w:cs="Arial"/>
                <w:color w:val="000000"/>
                <w:sz w:val="14"/>
                <w:szCs w:val="14"/>
              </w:rPr>
              <w:t>1,699 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7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7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7A" w14:textId="77777777" w:rsidR="00980E5F" w:rsidRDefault="00483613">
            <w:pPr>
              <w:jc w:val="right"/>
              <w:textAlignment w:val="bottom"/>
            </w:pPr>
            <w:r>
              <w:rPr>
                <w:rFonts w:ascii="Arial" w:eastAsia="宋体" w:hAnsi="Arial" w:cs="Arial"/>
                <w:color w:val="000000"/>
                <w:sz w:val="14"/>
                <w:szCs w:val="14"/>
              </w:rPr>
              <w:t>285 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7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7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7D" w14:textId="77777777" w:rsidR="00980E5F" w:rsidRDefault="00483613">
            <w:pPr>
              <w:jc w:val="right"/>
              <w:textAlignment w:val="bottom"/>
            </w:pPr>
            <w:r>
              <w:rPr>
                <w:rFonts w:ascii="Arial" w:eastAsia="宋体" w:hAnsi="Arial" w:cs="Arial"/>
                <w:color w:val="000000"/>
                <w:sz w:val="14"/>
                <w:szCs w:val="14"/>
              </w:rPr>
              <w:t>1,984 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7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7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0" w14:textId="77777777" w:rsidR="00980E5F" w:rsidRDefault="00483613">
            <w:pPr>
              <w:jc w:val="right"/>
              <w:textAlignment w:val="bottom"/>
            </w:pPr>
            <w:r>
              <w:rPr>
                <w:rFonts w:ascii="Arial" w:eastAsia="宋体" w:hAnsi="Arial" w:cs="Arial"/>
                <w:color w:val="000000"/>
                <w:sz w:val="14"/>
                <w:szCs w:val="14"/>
              </w:rPr>
              <w:t>520 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8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8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3" w14:textId="77777777" w:rsidR="00980E5F" w:rsidRDefault="00483613">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8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8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6" w14:textId="77777777" w:rsidR="00980E5F" w:rsidRDefault="00483613">
            <w:pPr>
              <w:jc w:val="right"/>
              <w:textAlignment w:val="bottom"/>
            </w:pPr>
            <w:r>
              <w:rPr>
                <w:rFonts w:ascii="Arial" w:eastAsia="宋体" w:hAnsi="Arial" w:cs="Arial"/>
                <w:color w:val="000000"/>
                <w:sz w:val="14"/>
                <w:szCs w:val="14"/>
              </w:rPr>
              <w:t>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8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8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9"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8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8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8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8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8F"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9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9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C92" w14:textId="77777777" w:rsidR="00980E5F" w:rsidRDefault="00483613">
            <w:pPr>
              <w:jc w:val="right"/>
              <w:textAlignment w:val="bottom"/>
            </w:pPr>
            <w:r>
              <w:rPr>
                <w:rFonts w:ascii="Arial" w:eastAsia="宋体" w:hAnsi="Arial" w:cs="Arial"/>
                <w:color w:val="000000"/>
                <w:sz w:val="14"/>
                <w:szCs w:val="14"/>
              </w:rPr>
              <w:t>2,514 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C93" w14:textId="77777777" w:rsidR="00980E5F" w:rsidRDefault="00980E5F">
            <w:pPr>
              <w:jc w:val="right"/>
              <w:rPr>
                <w:rFonts w:ascii="宋体"/>
              </w:rPr>
            </w:pPr>
          </w:p>
        </w:tc>
      </w:tr>
      <w:tr w:rsidR="00980E5F" w14:paraId="392CACB3" w14:textId="77777777">
        <w:tc>
          <w:tcPr>
            <w:tcW w:w="0" w:type="auto"/>
            <w:gridSpan w:val="3"/>
            <w:shd w:val="clear" w:color="auto" w:fill="FFFFFF"/>
            <w:tcMar>
              <w:top w:w="40" w:type="dxa"/>
              <w:left w:w="155" w:type="dxa"/>
              <w:bottom w:w="40" w:type="dxa"/>
              <w:right w:w="20" w:type="dxa"/>
            </w:tcMar>
            <w:vAlign w:val="bottom"/>
          </w:tcPr>
          <w:p w14:paraId="392CAC95"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C9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99" w14:textId="77777777" w:rsidR="00980E5F" w:rsidRDefault="00483613">
            <w:pPr>
              <w:jc w:val="right"/>
              <w:textAlignment w:val="bottom"/>
            </w:pPr>
            <w:r>
              <w:rPr>
                <w:rFonts w:ascii="Arial" w:eastAsia="宋体" w:hAnsi="Arial" w:cs="Arial"/>
                <w:color w:val="000000"/>
                <w:sz w:val="14"/>
                <w:szCs w:val="14"/>
              </w:rPr>
              <w:t>468 </w:t>
            </w:r>
          </w:p>
        </w:tc>
        <w:tc>
          <w:tcPr>
            <w:tcW w:w="0" w:type="auto"/>
            <w:shd w:val="clear" w:color="auto" w:fill="FFFFFF"/>
            <w:tcMar>
              <w:top w:w="40" w:type="dxa"/>
              <w:left w:w="0" w:type="dxa"/>
              <w:bottom w:w="40" w:type="dxa"/>
              <w:right w:w="20" w:type="dxa"/>
            </w:tcMar>
            <w:vAlign w:val="bottom"/>
          </w:tcPr>
          <w:p w14:paraId="392CAC9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9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9C" w14:textId="77777777" w:rsidR="00980E5F" w:rsidRDefault="00483613">
            <w:pPr>
              <w:jc w:val="right"/>
              <w:textAlignment w:val="bottom"/>
            </w:pPr>
            <w:r>
              <w:rPr>
                <w:rFonts w:ascii="Arial" w:eastAsia="宋体" w:hAnsi="Arial" w:cs="Arial"/>
                <w:color w:val="000000"/>
                <w:sz w:val="14"/>
                <w:szCs w:val="14"/>
              </w:rPr>
              <w:t>468 </w:t>
            </w:r>
          </w:p>
        </w:tc>
        <w:tc>
          <w:tcPr>
            <w:tcW w:w="0" w:type="auto"/>
            <w:shd w:val="clear" w:color="auto" w:fill="FFFFFF"/>
            <w:tcMar>
              <w:top w:w="40" w:type="dxa"/>
              <w:left w:w="0" w:type="dxa"/>
              <w:bottom w:w="40" w:type="dxa"/>
              <w:right w:w="20" w:type="dxa"/>
            </w:tcMar>
            <w:vAlign w:val="bottom"/>
          </w:tcPr>
          <w:p w14:paraId="392CAC9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9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9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A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A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A2"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CA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A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A5" w14:textId="77777777" w:rsidR="00980E5F" w:rsidRDefault="00483613">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392CACA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A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A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A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A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A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A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A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A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CA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B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CB1" w14:textId="77777777" w:rsidR="00980E5F" w:rsidRDefault="00483613">
            <w:pPr>
              <w:jc w:val="right"/>
              <w:textAlignment w:val="bottom"/>
            </w:pPr>
            <w:r>
              <w:rPr>
                <w:rFonts w:ascii="Arial" w:eastAsia="宋体" w:hAnsi="Arial" w:cs="Arial"/>
                <w:color w:val="000000"/>
                <w:sz w:val="14"/>
                <w:szCs w:val="14"/>
              </w:rPr>
              <w:t>467 </w:t>
            </w:r>
          </w:p>
        </w:tc>
        <w:tc>
          <w:tcPr>
            <w:tcW w:w="0" w:type="auto"/>
            <w:shd w:val="clear" w:color="auto" w:fill="FFFFFF"/>
            <w:tcMar>
              <w:top w:w="40" w:type="dxa"/>
              <w:left w:w="0" w:type="dxa"/>
              <w:bottom w:w="40" w:type="dxa"/>
              <w:right w:w="20" w:type="dxa"/>
            </w:tcMar>
            <w:vAlign w:val="bottom"/>
          </w:tcPr>
          <w:p w14:paraId="392CACB2" w14:textId="77777777" w:rsidR="00980E5F" w:rsidRDefault="00980E5F">
            <w:pPr>
              <w:jc w:val="right"/>
              <w:rPr>
                <w:rFonts w:ascii="宋体"/>
              </w:rPr>
            </w:pPr>
          </w:p>
        </w:tc>
      </w:tr>
      <w:tr w:rsidR="00980E5F" w14:paraId="392CACD2" w14:textId="77777777">
        <w:tc>
          <w:tcPr>
            <w:tcW w:w="0" w:type="auto"/>
            <w:gridSpan w:val="3"/>
            <w:shd w:val="clear" w:color="auto" w:fill="CCEEFF"/>
            <w:tcMar>
              <w:top w:w="40" w:type="dxa"/>
              <w:left w:w="155" w:type="dxa"/>
              <w:bottom w:w="40" w:type="dxa"/>
              <w:right w:w="20" w:type="dxa"/>
            </w:tcMar>
            <w:vAlign w:val="bottom"/>
          </w:tcPr>
          <w:p w14:paraId="392CACB4"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CB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B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B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B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B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B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B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B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B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B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B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C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C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C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C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C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CC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CA"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CC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CD"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CC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CC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CD0"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CD1" w14:textId="77777777" w:rsidR="00980E5F" w:rsidRDefault="00980E5F">
            <w:pPr>
              <w:jc w:val="right"/>
              <w:rPr>
                <w:rFonts w:ascii="宋体"/>
              </w:rPr>
            </w:pPr>
          </w:p>
        </w:tc>
      </w:tr>
      <w:tr w:rsidR="00483613" w14:paraId="392CACFB" w14:textId="77777777">
        <w:tc>
          <w:tcPr>
            <w:tcW w:w="0" w:type="auto"/>
            <w:gridSpan w:val="3"/>
            <w:shd w:val="clear" w:color="auto" w:fill="FFFFFF"/>
            <w:tcMar>
              <w:top w:w="40" w:type="dxa"/>
              <w:left w:w="20" w:type="dxa"/>
              <w:bottom w:w="40" w:type="dxa"/>
              <w:right w:w="20" w:type="dxa"/>
            </w:tcMar>
            <w:vAlign w:val="bottom"/>
          </w:tcPr>
          <w:p w14:paraId="392CACD3" w14:textId="77777777" w:rsidR="00980E5F" w:rsidRDefault="00483613">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392CACD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D5" w14:textId="77777777" w:rsidR="00980E5F" w:rsidRDefault="00483613">
            <w:pPr>
              <w:jc w:val="right"/>
              <w:textAlignment w:val="bottom"/>
            </w:pPr>
            <w:r>
              <w:rPr>
                <w:rFonts w:ascii="Arial" w:eastAsia="宋体" w:hAnsi="Arial" w:cs="Arial"/>
                <w:color w:val="000000"/>
                <w:sz w:val="14"/>
                <w:szCs w:val="14"/>
              </w:rPr>
              <w:t>1,699 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D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D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D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D9" w14:textId="77777777" w:rsidR="00980E5F" w:rsidRDefault="00483613">
            <w:pPr>
              <w:jc w:val="right"/>
              <w:textAlignment w:val="bottom"/>
            </w:pPr>
            <w:r>
              <w:rPr>
                <w:rFonts w:ascii="Arial" w:eastAsia="宋体" w:hAnsi="Arial" w:cs="Arial"/>
                <w:color w:val="000000"/>
                <w:sz w:val="14"/>
                <w:szCs w:val="14"/>
              </w:rPr>
              <w:t>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D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D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D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DD" w14:textId="77777777" w:rsidR="00980E5F" w:rsidRDefault="00483613">
            <w:pPr>
              <w:jc w:val="right"/>
              <w:textAlignment w:val="bottom"/>
            </w:pPr>
            <w:r>
              <w:rPr>
                <w:rFonts w:ascii="Arial" w:eastAsia="宋体" w:hAnsi="Arial" w:cs="Arial"/>
                <w:color w:val="000000"/>
                <w:sz w:val="14"/>
                <w:szCs w:val="14"/>
              </w:rPr>
              <w:t>2,452 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D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D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E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E1" w14:textId="77777777" w:rsidR="00980E5F" w:rsidRDefault="00483613">
            <w:pPr>
              <w:jc w:val="right"/>
              <w:textAlignment w:val="bottom"/>
            </w:pPr>
            <w:r>
              <w:rPr>
                <w:rFonts w:ascii="Arial" w:eastAsia="宋体" w:hAnsi="Arial" w:cs="Arial"/>
                <w:color w:val="000000"/>
                <w:sz w:val="14"/>
                <w:szCs w:val="14"/>
              </w:rPr>
              <w:t>520 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E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E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E5" w14:textId="77777777" w:rsidR="00980E5F" w:rsidRDefault="00483613">
            <w:pPr>
              <w:jc w:val="right"/>
              <w:textAlignment w:val="bottom"/>
            </w:pPr>
            <w:r>
              <w:rPr>
                <w:rFonts w:ascii="Arial" w:eastAsia="宋体" w:hAnsi="Arial" w:cs="Arial"/>
                <w:color w:val="000000"/>
                <w:sz w:val="14"/>
                <w:szCs w:val="14"/>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E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E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E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E9" w14:textId="77777777" w:rsidR="00980E5F" w:rsidRDefault="00483613">
            <w:pPr>
              <w:jc w:val="right"/>
              <w:textAlignment w:val="bottom"/>
            </w:pPr>
            <w:r>
              <w:rPr>
                <w:rFonts w:ascii="Arial" w:eastAsia="宋体" w:hAnsi="Arial" w:cs="Arial"/>
                <w:color w:val="000000"/>
                <w:sz w:val="14"/>
                <w:szCs w:val="14"/>
              </w:rPr>
              <w:t>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E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EB"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E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ED"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EF"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F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F1"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F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F3"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F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F5"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F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CF7" w14:textId="77777777" w:rsidR="00980E5F" w:rsidRDefault="00980E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92CACF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92CACF9" w14:textId="77777777" w:rsidR="00980E5F" w:rsidRDefault="00483613">
            <w:pPr>
              <w:jc w:val="right"/>
              <w:textAlignment w:val="bottom"/>
            </w:pPr>
            <w:r>
              <w:rPr>
                <w:rFonts w:ascii="Arial" w:eastAsia="宋体" w:hAnsi="Arial" w:cs="Arial"/>
                <w:color w:val="000000"/>
                <w:sz w:val="14"/>
                <w:szCs w:val="14"/>
              </w:rPr>
              <w:t>3,034 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92CACFA" w14:textId="77777777" w:rsidR="00980E5F" w:rsidRDefault="00980E5F">
            <w:pPr>
              <w:jc w:val="right"/>
              <w:rPr>
                <w:rFonts w:ascii="宋体"/>
              </w:rPr>
            </w:pPr>
          </w:p>
        </w:tc>
      </w:tr>
      <w:tr w:rsidR="00980E5F" w14:paraId="392CAD10" w14:textId="77777777">
        <w:trPr>
          <w:trHeight w:val="60"/>
        </w:trPr>
        <w:tc>
          <w:tcPr>
            <w:tcW w:w="0" w:type="auto"/>
            <w:gridSpan w:val="3"/>
            <w:shd w:val="clear" w:color="auto" w:fill="auto"/>
            <w:tcMar>
              <w:top w:w="0" w:type="dxa"/>
              <w:left w:w="20" w:type="dxa"/>
              <w:bottom w:w="0" w:type="dxa"/>
              <w:right w:w="20" w:type="dxa"/>
            </w:tcMar>
            <w:vAlign w:val="bottom"/>
          </w:tcPr>
          <w:p w14:paraId="392CACF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CF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CF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CF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0"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2"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4"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6"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8"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A"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C"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AD0E" w14:textId="77777777" w:rsidR="00980E5F" w:rsidRDefault="00980E5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92CAD0F" w14:textId="77777777" w:rsidR="00980E5F" w:rsidRDefault="00980E5F">
            <w:pPr>
              <w:rPr>
                <w:rFonts w:ascii="宋体"/>
              </w:rPr>
            </w:pPr>
          </w:p>
        </w:tc>
      </w:tr>
      <w:tr w:rsidR="00980E5F" w14:paraId="392CAD13" w14:textId="77777777">
        <w:tc>
          <w:tcPr>
            <w:tcW w:w="0" w:type="auto"/>
            <w:gridSpan w:val="3"/>
            <w:shd w:val="clear" w:color="auto" w:fill="auto"/>
            <w:tcMar>
              <w:top w:w="0" w:type="dxa"/>
              <w:left w:w="20" w:type="dxa"/>
              <w:bottom w:w="0" w:type="dxa"/>
              <w:right w:w="20" w:type="dxa"/>
            </w:tcMar>
            <w:vAlign w:val="bottom"/>
          </w:tcPr>
          <w:p w14:paraId="392CAD11" w14:textId="77777777" w:rsidR="00980E5F" w:rsidRDefault="00980E5F">
            <w:pPr>
              <w:rPr>
                <w:rFonts w:ascii="宋体"/>
              </w:rPr>
            </w:pPr>
          </w:p>
        </w:tc>
        <w:tc>
          <w:tcPr>
            <w:tcW w:w="0" w:type="auto"/>
            <w:gridSpan w:val="57"/>
            <w:shd w:val="clear" w:color="auto" w:fill="auto"/>
            <w:tcMar>
              <w:top w:w="40" w:type="dxa"/>
              <w:left w:w="20" w:type="dxa"/>
              <w:bottom w:w="40" w:type="dxa"/>
              <w:right w:w="20" w:type="dxa"/>
            </w:tcMar>
            <w:vAlign w:val="bottom"/>
          </w:tcPr>
          <w:p w14:paraId="392CAD12" w14:textId="77777777" w:rsidR="00980E5F" w:rsidRDefault="00483613">
            <w:pPr>
              <w:jc w:val="center"/>
              <w:textAlignment w:val="bottom"/>
            </w:pPr>
            <w:r>
              <w:rPr>
                <w:rFonts w:ascii="Arial" w:eastAsia="宋体" w:hAnsi="Arial" w:cs="Arial"/>
                <w:b/>
                <w:bCs/>
                <w:color w:val="000000"/>
                <w:sz w:val="14"/>
                <w:szCs w:val="14"/>
              </w:rPr>
              <w:t>Six Months Ended June 30, 2021</w:t>
            </w:r>
          </w:p>
        </w:tc>
      </w:tr>
      <w:tr w:rsidR="00980E5F" w14:paraId="392CAD1C" w14:textId="77777777">
        <w:tc>
          <w:tcPr>
            <w:tcW w:w="0" w:type="auto"/>
            <w:gridSpan w:val="3"/>
            <w:shd w:val="clear" w:color="auto" w:fill="auto"/>
            <w:tcMar>
              <w:top w:w="0" w:type="dxa"/>
              <w:left w:w="20" w:type="dxa"/>
              <w:bottom w:w="0" w:type="dxa"/>
              <w:right w:w="20" w:type="dxa"/>
            </w:tcMar>
            <w:vAlign w:val="bottom"/>
          </w:tcPr>
          <w:p w14:paraId="392CAD14"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D15" w14:textId="77777777" w:rsidR="00980E5F" w:rsidRDefault="00483613">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16"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D17" w14:textId="77777777" w:rsidR="00980E5F" w:rsidRDefault="00483613">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18"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AD19" w14:textId="77777777" w:rsidR="00980E5F" w:rsidRDefault="00483613">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1A"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1B" w14:textId="77777777" w:rsidR="00980E5F" w:rsidRDefault="00483613">
            <w:pPr>
              <w:jc w:val="center"/>
              <w:textAlignment w:val="bottom"/>
            </w:pPr>
            <w:r>
              <w:rPr>
                <w:rFonts w:ascii="Arial" w:eastAsia="宋体" w:hAnsi="Arial" w:cs="Arial"/>
                <w:b/>
                <w:bCs/>
                <w:color w:val="000000"/>
                <w:sz w:val="14"/>
                <w:szCs w:val="14"/>
              </w:rPr>
              <w:t>Total</w:t>
            </w:r>
          </w:p>
        </w:tc>
      </w:tr>
      <w:tr w:rsidR="00980E5F" w14:paraId="392CAD31" w14:textId="77777777">
        <w:tc>
          <w:tcPr>
            <w:tcW w:w="0" w:type="auto"/>
            <w:gridSpan w:val="3"/>
            <w:shd w:val="clear" w:color="auto" w:fill="auto"/>
            <w:tcMar>
              <w:top w:w="40" w:type="dxa"/>
              <w:left w:w="20" w:type="dxa"/>
              <w:bottom w:w="40" w:type="dxa"/>
              <w:right w:w="20" w:type="dxa"/>
            </w:tcMar>
            <w:vAlign w:val="bottom"/>
          </w:tcPr>
          <w:p w14:paraId="392CAD1D" w14:textId="77777777" w:rsidR="00980E5F" w:rsidRDefault="00483613">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1E"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1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0"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2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2"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D2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4"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2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6" w14:textId="77777777" w:rsidR="00980E5F" w:rsidRDefault="00483613">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2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8"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D2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A" w14:textId="77777777" w:rsidR="00980E5F" w:rsidRDefault="00483613">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2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C" w14:textId="77777777" w:rsidR="00980E5F" w:rsidRDefault="00483613">
            <w:pPr>
              <w:jc w:val="center"/>
              <w:textAlignment w:val="bottom"/>
            </w:pPr>
            <w:r>
              <w:rPr>
                <w:rFonts w:ascii="Arial" w:eastAsia="宋体" w:hAnsi="Arial" w:cs="Arial"/>
                <w:b/>
                <w:bCs/>
                <w:color w:val="000000"/>
                <w:sz w:val="14"/>
                <w:szCs w:val="14"/>
              </w:rPr>
              <w:t xml:space="preserve">All </w:t>
            </w:r>
            <w:r>
              <w:rPr>
                <w:rFonts w:ascii="Arial" w:eastAsia="宋体" w:hAnsi="Arial" w:cs="Arial"/>
                <w:b/>
                <w:bCs/>
                <w:color w:val="000000"/>
                <w:sz w:val="14"/>
                <w:szCs w:val="14"/>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AD2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2E" w14:textId="77777777" w:rsidR="00980E5F" w:rsidRDefault="00483613">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392CAD2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AD30" w14:textId="77777777" w:rsidR="00980E5F" w:rsidRDefault="00483613">
            <w:pPr>
              <w:jc w:val="center"/>
              <w:textAlignment w:val="bottom"/>
            </w:pPr>
            <w:r>
              <w:rPr>
                <w:rFonts w:ascii="Arial" w:eastAsia="宋体" w:hAnsi="Arial" w:cs="Arial"/>
                <w:b/>
                <w:bCs/>
                <w:color w:val="000000"/>
                <w:sz w:val="14"/>
                <w:szCs w:val="14"/>
              </w:rPr>
              <w:t>2021</w:t>
            </w:r>
          </w:p>
        </w:tc>
      </w:tr>
      <w:tr w:rsidR="00483613" w14:paraId="392CAD5A" w14:textId="77777777">
        <w:tc>
          <w:tcPr>
            <w:tcW w:w="0" w:type="auto"/>
            <w:gridSpan w:val="3"/>
            <w:shd w:val="clear" w:color="auto" w:fill="CCEEFF"/>
            <w:tcMar>
              <w:top w:w="40" w:type="dxa"/>
              <w:left w:w="155" w:type="dxa"/>
              <w:bottom w:w="40" w:type="dxa"/>
              <w:right w:w="20" w:type="dxa"/>
            </w:tcMar>
            <w:vAlign w:val="bottom"/>
          </w:tcPr>
          <w:p w14:paraId="392CAD32" w14:textId="77777777" w:rsidR="00980E5F" w:rsidRDefault="00483613">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AD3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34" w14:textId="77777777" w:rsidR="00980E5F" w:rsidRDefault="00483613">
            <w:pPr>
              <w:jc w:val="right"/>
              <w:textAlignment w:val="bottom"/>
            </w:pPr>
            <w:r>
              <w:rPr>
                <w:rFonts w:ascii="Arial" w:eastAsia="宋体" w:hAnsi="Arial" w:cs="Arial"/>
                <w:color w:val="000000"/>
                <w:sz w:val="14"/>
                <w:szCs w:val="14"/>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3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3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3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3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3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3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3C" w14:textId="77777777" w:rsidR="00980E5F" w:rsidRDefault="00483613">
            <w:pPr>
              <w:jc w:val="right"/>
              <w:textAlignment w:val="bottom"/>
            </w:pPr>
            <w:r>
              <w:rPr>
                <w:rFonts w:ascii="Arial" w:eastAsia="宋体" w:hAnsi="Arial" w:cs="Arial"/>
                <w:color w:val="000000"/>
                <w:sz w:val="14"/>
                <w:szCs w:val="14"/>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3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3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3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40"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4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4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4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4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4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4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48"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4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4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4B"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4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4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4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4F"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50"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5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5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53"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54"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5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5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AD57"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AD58" w14:textId="77777777" w:rsidR="00980E5F" w:rsidRDefault="00483613">
            <w:pPr>
              <w:jc w:val="right"/>
              <w:textAlignment w:val="bottom"/>
            </w:pPr>
            <w:r>
              <w:rPr>
                <w:rFonts w:ascii="Arial" w:eastAsia="宋体" w:hAnsi="Arial" w:cs="Arial"/>
                <w:color w:val="000000"/>
                <w:sz w:val="14"/>
                <w:szCs w:val="14"/>
              </w:rPr>
              <w:t>2,763 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59" w14:textId="77777777" w:rsidR="00980E5F" w:rsidRDefault="00980E5F">
            <w:pPr>
              <w:jc w:val="right"/>
              <w:rPr>
                <w:rFonts w:ascii="宋体"/>
              </w:rPr>
            </w:pPr>
          </w:p>
        </w:tc>
      </w:tr>
      <w:tr w:rsidR="00980E5F" w14:paraId="392CAD79" w14:textId="77777777">
        <w:tc>
          <w:tcPr>
            <w:tcW w:w="0" w:type="auto"/>
            <w:gridSpan w:val="3"/>
            <w:shd w:val="clear" w:color="auto" w:fill="FFFFFF"/>
            <w:tcMar>
              <w:top w:w="40" w:type="dxa"/>
              <w:left w:w="155" w:type="dxa"/>
              <w:bottom w:w="40" w:type="dxa"/>
              <w:right w:w="20" w:type="dxa"/>
            </w:tcMar>
            <w:vAlign w:val="bottom"/>
          </w:tcPr>
          <w:p w14:paraId="392CAD5B" w14:textId="77777777" w:rsidR="00980E5F" w:rsidRDefault="00483613">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392CAD5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5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5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5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6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6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6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6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6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65" w14:textId="77777777" w:rsidR="00980E5F" w:rsidRDefault="00483613">
            <w:pPr>
              <w:jc w:val="right"/>
              <w:textAlignment w:val="bottom"/>
            </w:pPr>
            <w:r>
              <w:rPr>
                <w:rFonts w:ascii="Arial" w:eastAsia="宋体" w:hAnsi="Arial" w:cs="Arial"/>
                <w:color w:val="000000"/>
                <w:sz w:val="14"/>
                <w:szCs w:val="14"/>
              </w:rPr>
              <w:t>997 </w:t>
            </w:r>
          </w:p>
        </w:tc>
        <w:tc>
          <w:tcPr>
            <w:tcW w:w="0" w:type="auto"/>
            <w:shd w:val="clear" w:color="auto" w:fill="FFFFFF"/>
            <w:tcMar>
              <w:top w:w="40" w:type="dxa"/>
              <w:left w:w="0" w:type="dxa"/>
              <w:bottom w:w="40" w:type="dxa"/>
              <w:right w:w="20" w:type="dxa"/>
            </w:tcMar>
            <w:vAlign w:val="bottom"/>
          </w:tcPr>
          <w:p w14:paraId="392CAD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6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6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6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6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6B" w14:textId="77777777" w:rsidR="00980E5F" w:rsidRDefault="00483613">
            <w:pPr>
              <w:jc w:val="right"/>
              <w:textAlignment w:val="bottom"/>
            </w:pPr>
            <w:r>
              <w:rPr>
                <w:rFonts w:ascii="Arial" w:eastAsia="宋体" w:hAnsi="Arial" w:cs="Arial"/>
                <w:color w:val="000000"/>
                <w:sz w:val="14"/>
                <w:szCs w:val="14"/>
              </w:rPr>
              <w:t>997 </w:t>
            </w:r>
          </w:p>
        </w:tc>
        <w:tc>
          <w:tcPr>
            <w:tcW w:w="0" w:type="auto"/>
            <w:shd w:val="clear" w:color="auto" w:fill="FFFFFF"/>
            <w:tcMar>
              <w:top w:w="40" w:type="dxa"/>
              <w:left w:w="0" w:type="dxa"/>
              <w:bottom w:w="40" w:type="dxa"/>
              <w:right w:w="20" w:type="dxa"/>
            </w:tcMar>
            <w:vAlign w:val="bottom"/>
          </w:tcPr>
          <w:p w14:paraId="392CAD6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6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6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6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7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7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7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7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7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7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77" w14:textId="77777777" w:rsidR="00980E5F" w:rsidRDefault="00483613">
            <w:pPr>
              <w:jc w:val="right"/>
              <w:textAlignment w:val="bottom"/>
            </w:pPr>
            <w:r>
              <w:rPr>
                <w:rFonts w:ascii="Arial" w:eastAsia="宋体" w:hAnsi="Arial" w:cs="Arial"/>
                <w:color w:val="000000"/>
                <w:sz w:val="14"/>
                <w:szCs w:val="14"/>
              </w:rPr>
              <w:t>997 </w:t>
            </w:r>
          </w:p>
        </w:tc>
        <w:tc>
          <w:tcPr>
            <w:tcW w:w="0" w:type="auto"/>
            <w:shd w:val="clear" w:color="auto" w:fill="FFFFFF"/>
            <w:tcMar>
              <w:top w:w="40" w:type="dxa"/>
              <w:left w:w="0" w:type="dxa"/>
              <w:bottom w:w="40" w:type="dxa"/>
              <w:right w:w="20" w:type="dxa"/>
            </w:tcMar>
            <w:vAlign w:val="bottom"/>
          </w:tcPr>
          <w:p w14:paraId="392CAD78" w14:textId="77777777" w:rsidR="00980E5F" w:rsidRDefault="00980E5F">
            <w:pPr>
              <w:jc w:val="right"/>
              <w:rPr>
                <w:rFonts w:ascii="宋体"/>
              </w:rPr>
            </w:pPr>
          </w:p>
        </w:tc>
      </w:tr>
      <w:tr w:rsidR="00980E5F" w14:paraId="392CAD98" w14:textId="77777777">
        <w:tc>
          <w:tcPr>
            <w:tcW w:w="0" w:type="auto"/>
            <w:gridSpan w:val="3"/>
            <w:shd w:val="clear" w:color="auto" w:fill="CCEEFF"/>
            <w:tcMar>
              <w:top w:w="40" w:type="dxa"/>
              <w:left w:w="155" w:type="dxa"/>
              <w:bottom w:w="40" w:type="dxa"/>
              <w:right w:w="20" w:type="dxa"/>
            </w:tcMar>
            <w:vAlign w:val="bottom"/>
          </w:tcPr>
          <w:p w14:paraId="392CAD7A" w14:textId="77777777" w:rsidR="00980E5F" w:rsidRDefault="00483613">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392CAD7B" w14:textId="77777777" w:rsidR="00980E5F" w:rsidRDefault="00483613">
            <w:pPr>
              <w:jc w:val="right"/>
              <w:textAlignment w:val="bottom"/>
            </w:pPr>
            <w:r>
              <w:rPr>
                <w:rFonts w:ascii="Arial" w:eastAsia="宋体" w:hAnsi="Arial" w:cs="Arial"/>
                <w:color w:val="000000"/>
                <w:sz w:val="14"/>
                <w:szCs w:val="14"/>
              </w:rPr>
              <w:t>178 </w:t>
            </w:r>
          </w:p>
        </w:tc>
        <w:tc>
          <w:tcPr>
            <w:tcW w:w="0" w:type="auto"/>
            <w:shd w:val="clear" w:color="auto" w:fill="CCEEFF"/>
            <w:tcMar>
              <w:top w:w="40" w:type="dxa"/>
              <w:left w:w="0" w:type="dxa"/>
              <w:bottom w:w="40" w:type="dxa"/>
              <w:right w:w="20" w:type="dxa"/>
            </w:tcMar>
            <w:vAlign w:val="bottom"/>
          </w:tcPr>
          <w:p w14:paraId="392CAD7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7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7E" w14:textId="77777777" w:rsidR="00980E5F" w:rsidRDefault="00483613">
            <w:pPr>
              <w:jc w:val="right"/>
              <w:textAlignment w:val="bottom"/>
            </w:pPr>
            <w:r>
              <w:rPr>
                <w:rFonts w:ascii="Arial" w:eastAsia="宋体" w:hAnsi="Arial" w:cs="Arial"/>
                <w:color w:val="000000"/>
                <w:sz w:val="14"/>
                <w:szCs w:val="14"/>
              </w:rPr>
              <w:t>425 </w:t>
            </w:r>
          </w:p>
        </w:tc>
        <w:tc>
          <w:tcPr>
            <w:tcW w:w="0" w:type="auto"/>
            <w:shd w:val="clear" w:color="auto" w:fill="CCEEFF"/>
            <w:tcMar>
              <w:top w:w="40" w:type="dxa"/>
              <w:left w:w="0" w:type="dxa"/>
              <w:bottom w:w="40" w:type="dxa"/>
              <w:right w:w="20" w:type="dxa"/>
            </w:tcMar>
            <w:vAlign w:val="bottom"/>
          </w:tcPr>
          <w:p w14:paraId="392CAD7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81" w14:textId="77777777" w:rsidR="00980E5F" w:rsidRDefault="00483613">
            <w:pPr>
              <w:jc w:val="right"/>
              <w:textAlignment w:val="bottom"/>
            </w:pPr>
            <w:r>
              <w:rPr>
                <w:rFonts w:ascii="Arial" w:eastAsia="宋体" w:hAnsi="Arial" w:cs="Arial"/>
                <w:color w:val="000000"/>
                <w:sz w:val="14"/>
                <w:szCs w:val="14"/>
              </w:rPr>
              <w:t>603 </w:t>
            </w:r>
          </w:p>
        </w:tc>
        <w:tc>
          <w:tcPr>
            <w:tcW w:w="0" w:type="auto"/>
            <w:shd w:val="clear" w:color="auto" w:fill="CCEEFF"/>
            <w:tcMar>
              <w:top w:w="40" w:type="dxa"/>
              <w:left w:w="0" w:type="dxa"/>
              <w:bottom w:w="40" w:type="dxa"/>
              <w:right w:w="20" w:type="dxa"/>
            </w:tcMar>
            <w:vAlign w:val="bottom"/>
          </w:tcPr>
          <w:p w14:paraId="392CAD8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84" w14:textId="77777777" w:rsidR="00980E5F" w:rsidRDefault="00483613">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92CAD8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8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8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8A" w14:textId="77777777" w:rsidR="00980E5F" w:rsidRDefault="00483613">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392CAD8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8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8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8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9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9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92"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9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9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95"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96" w14:textId="77777777" w:rsidR="00980E5F" w:rsidRDefault="00483613">
            <w:pPr>
              <w:jc w:val="right"/>
              <w:textAlignment w:val="bottom"/>
            </w:pPr>
            <w:r>
              <w:rPr>
                <w:rFonts w:ascii="Arial" w:eastAsia="宋体" w:hAnsi="Arial" w:cs="Arial"/>
                <w:color w:val="000000"/>
                <w:sz w:val="14"/>
                <w:szCs w:val="14"/>
              </w:rPr>
              <w:t>632 </w:t>
            </w:r>
          </w:p>
        </w:tc>
        <w:tc>
          <w:tcPr>
            <w:tcW w:w="0" w:type="auto"/>
            <w:shd w:val="clear" w:color="auto" w:fill="CCEEFF"/>
            <w:tcMar>
              <w:top w:w="40" w:type="dxa"/>
              <w:left w:w="0" w:type="dxa"/>
              <w:bottom w:w="40" w:type="dxa"/>
              <w:right w:w="20" w:type="dxa"/>
            </w:tcMar>
            <w:vAlign w:val="bottom"/>
          </w:tcPr>
          <w:p w14:paraId="392CAD97" w14:textId="77777777" w:rsidR="00980E5F" w:rsidRDefault="00980E5F">
            <w:pPr>
              <w:jc w:val="right"/>
              <w:rPr>
                <w:rFonts w:ascii="宋体"/>
              </w:rPr>
            </w:pPr>
          </w:p>
        </w:tc>
      </w:tr>
      <w:tr w:rsidR="00980E5F" w14:paraId="392CADB7" w14:textId="77777777">
        <w:tc>
          <w:tcPr>
            <w:tcW w:w="0" w:type="auto"/>
            <w:gridSpan w:val="3"/>
            <w:shd w:val="clear" w:color="auto" w:fill="FFFFFF"/>
            <w:tcMar>
              <w:top w:w="40" w:type="dxa"/>
              <w:left w:w="155" w:type="dxa"/>
              <w:bottom w:w="40" w:type="dxa"/>
              <w:right w:w="20" w:type="dxa"/>
            </w:tcMar>
            <w:vAlign w:val="bottom"/>
          </w:tcPr>
          <w:p w14:paraId="392CAD99" w14:textId="77777777" w:rsidR="00980E5F" w:rsidRDefault="00483613">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392CAD9A" w14:textId="77777777" w:rsidR="00980E5F" w:rsidRDefault="00483613">
            <w:pPr>
              <w:jc w:val="right"/>
              <w:textAlignment w:val="bottom"/>
            </w:pPr>
            <w:r>
              <w:rPr>
                <w:rFonts w:ascii="Arial" w:eastAsia="宋体" w:hAnsi="Arial" w:cs="Arial"/>
                <w:color w:val="000000"/>
                <w:sz w:val="14"/>
                <w:szCs w:val="14"/>
              </w:rPr>
              <w:t>121 </w:t>
            </w:r>
          </w:p>
        </w:tc>
        <w:tc>
          <w:tcPr>
            <w:tcW w:w="0" w:type="auto"/>
            <w:shd w:val="clear" w:color="auto" w:fill="FFFFFF"/>
            <w:tcMar>
              <w:top w:w="40" w:type="dxa"/>
              <w:left w:w="0" w:type="dxa"/>
              <w:bottom w:w="40" w:type="dxa"/>
              <w:right w:w="20" w:type="dxa"/>
            </w:tcMar>
            <w:vAlign w:val="bottom"/>
          </w:tcPr>
          <w:p w14:paraId="392CAD9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9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9D" w14:textId="77777777" w:rsidR="00980E5F" w:rsidRDefault="00483613">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392CAD9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9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0" w14:textId="77777777" w:rsidR="00980E5F" w:rsidRDefault="00483613">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392CADA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A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3"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A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A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6"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DA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A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9" w14:textId="77777777" w:rsidR="00980E5F" w:rsidRDefault="00483613">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392CADA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A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C"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A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A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A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B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B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B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B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B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B5" w14:textId="77777777" w:rsidR="00980E5F" w:rsidRDefault="00483613">
            <w:pPr>
              <w:jc w:val="right"/>
              <w:textAlignment w:val="bottom"/>
            </w:pPr>
            <w:r>
              <w:rPr>
                <w:rFonts w:ascii="Arial" w:eastAsia="宋体" w:hAnsi="Arial" w:cs="Arial"/>
                <w:color w:val="000000"/>
                <w:sz w:val="14"/>
                <w:szCs w:val="14"/>
              </w:rPr>
              <w:t>208 </w:t>
            </w:r>
          </w:p>
        </w:tc>
        <w:tc>
          <w:tcPr>
            <w:tcW w:w="0" w:type="auto"/>
            <w:shd w:val="clear" w:color="auto" w:fill="FFFFFF"/>
            <w:tcMar>
              <w:top w:w="40" w:type="dxa"/>
              <w:left w:w="0" w:type="dxa"/>
              <w:bottom w:w="40" w:type="dxa"/>
              <w:right w:w="20" w:type="dxa"/>
            </w:tcMar>
            <w:vAlign w:val="bottom"/>
          </w:tcPr>
          <w:p w14:paraId="392CADB6" w14:textId="77777777" w:rsidR="00980E5F" w:rsidRDefault="00980E5F">
            <w:pPr>
              <w:jc w:val="right"/>
              <w:rPr>
                <w:rFonts w:ascii="宋体"/>
              </w:rPr>
            </w:pPr>
          </w:p>
        </w:tc>
      </w:tr>
      <w:tr w:rsidR="00980E5F" w14:paraId="392CADD6" w14:textId="77777777">
        <w:tc>
          <w:tcPr>
            <w:tcW w:w="0" w:type="auto"/>
            <w:gridSpan w:val="3"/>
            <w:shd w:val="clear" w:color="auto" w:fill="CCEEFF"/>
            <w:tcMar>
              <w:top w:w="40" w:type="dxa"/>
              <w:left w:w="155" w:type="dxa"/>
              <w:bottom w:w="40" w:type="dxa"/>
              <w:right w:w="20" w:type="dxa"/>
            </w:tcMar>
            <w:vAlign w:val="bottom"/>
          </w:tcPr>
          <w:p w14:paraId="392CADB8" w14:textId="77777777" w:rsidR="00980E5F" w:rsidRDefault="00483613">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392CADB9" w14:textId="77777777" w:rsidR="00980E5F" w:rsidRDefault="00483613">
            <w:pPr>
              <w:jc w:val="right"/>
              <w:textAlignment w:val="bottom"/>
            </w:pPr>
            <w:r>
              <w:rPr>
                <w:rFonts w:ascii="Arial" w:eastAsia="宋体" w:hAnsi="Arial" w:cs="Arial"/>
                <w:color w:val="000000"/>
                <w:sz w:val="14"/>
                <w:szCs w:val="14"/>
              </w:rPr>
              <w:t>271 </w:t>
            </w:r>
          </w:p>
        </w:tc>
        <w:tc>
          <w:tcPr>
            <w:tcW w:w="0" w:type="auto"/>
            <w:shd w:val="clear" w:color="auto" w:fill="CCEEFF"/>
            <w:tcMar>
              <w:top w:w="40" w:type="dxa"/>
              <w:left w:w="0" w:type="dxa"/>
              <w:bottom w:w="40" w:type="dxa"/>
              <w:right w:w="20" w:type="dxa"/>
            </w:tcMar>
            <w:vAlign w:val="bottom"/>
          </w:tcPr>
          <w:p w14:paraId="392CADB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BB"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BC" w14:textId="77777777" w:rsidR="00980E5F" w:rsidRDefault="00483613">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392CADB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BE"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BF" w14:textId="77777777" w:rsidR="00980E5F" w:rsidRDefault="00483613">
            <w:pPr>
              <w:jc w:val="right"/>
              <w:textAlignment w:val="bottom"/>
            </w:pPr>
            <w:r>
              <w:rPr>
                <w:rFonts w:ascii="Arial" w:eastAsia="宋体" w:hAnsi="Arial" w:cs="Arial"/>
                <w:color w:val="000000"/>
                <w:sz w:val="14"/>
                <w:szCs w:val="14"/>
              </w:rPr>
              <w:t>371 </w:t>
            </w:r>
          </w:p>
        </w:tc>
        <w:tc>
          <w:tcPr>
            <w:tcW w:w="0" w:type="auto"/>
            <w:shd w:val="clear" w:color="auto" w:fill="CCEEFF"/>
            <w:tcMar>
              <w:top w:w="40" w:type="dxa"/>
              <w:left w:w="0" w:type="dxa"/>
              <w:bottom w:w="40" w:type="dxa"/>
              <w:right w:w="20" w:type="dxa"/>
            </w:tcMar>
            <w:vAlign w:val="bottom"/>
          </w:tcPr>
          <w:p w14:paraId="392CADC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C1"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C2"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C3"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C4"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C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C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C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C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C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C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C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C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C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C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C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D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D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DD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D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DD4" w14:textId="77777777" w:rsidR="00980E5F" w:rsidRDefault="00483613">
            <w:pPr>
              <w:jc w:val="right"/>
              <w:textAlignment w:val="bottom"/>
            </w:pPr>
            <w:r>
              <w:rPr>
                <w:rFonts w:ascii="Arial" w:eastAsia="宋体" w:hAnsi="Arial" w:cs="Arial"/>
                <w:color w:val="000000"/>
                <w:sz w:val="14"/>
                <w:szCs w:val="14"/>
              </w:rPr>
              <w:t>371 </w:t>
            </w:r>
          </w:p>
        </w:tc>
        <w:tc>
          <w:tcPr>
            <w:tcW w:w="0" w:type="auto"/>
            <w:shd w:val="clear" w:color="auto" w:fill="CCEEFF"/>
            <w:tcMar>
              <w:top w:w="40" w:type="dxa"/>
              <w:left w:w="0" w:type="dxa"/>
              <w:bottom w:w="40" w:type="dxa"/>
              <w:right w:w="20" w:type="dxa"/>
            </w:tcMar>
            <w:vAlign w:val="bottom"/>
          </w:tcPr>
          <w:p w14:paraId="392CADD5" w14:textId="77777777" w:rsidR="00980E5F" w:rsidRDefault="00980E5F">
            <w:pPr>
              <w:jc w:val="right"/>
              <w:rPr>
                <w:rFonts w:ascii="宋体"/>
              </w:rPr>
            </w:pPr>
          </w:p>
        </w:tc>
      </w:tr>
      <w:tr w:rsidR="00980E5F" w14:paraId="392CADF5" w14:textId="77777777">
        <w:tc>
          <w:tcPr>
            <w:tcW w:w="0" w:type="auto"/>
            <w:gridSpan w:val="3"/>
            <w:shd w:val="clear" w:color="auto" w:fill="FFFFFF"/>
            <w:tcMar>
              <w:top w:w="40" w:type="dxa"/>
              <w:left w:w="155" w:type="dxa"/>
              <w:bottom w:w="40" w:type="dxa"/>
              <w:right w:w="20" w:type="dxa"/>
            </w:tcMar>
            <w:vAlign w:val="bottom"/>
          </w:tcPr>
          <w:p w14:paraId="392CADD7" w14:textId="77777777" w:rsidR="00980E5F" w:rsidRDefault="00483613">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392CADD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D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D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DB"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92CADD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D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DE" w14:textId="77777777" w:rsidR="00980E5F" w:rsidRDefault="00483613">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392CADD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E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E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3"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E4"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ADE5"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6"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E7" w14:textId="77777777" w:rsidR="00980E5F" w:rsidRDefault="00483613">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392CADE8"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9"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EA"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E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ED"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E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E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F0"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DF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DF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DF3" w14:textId="77777777" w:rsidR="00980E5F" w:rsidRDefault="00483613">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392CADF4" w14:textId="77777777" w:rsidR="00980E5F" w:rsidRDefault="00980E5F">
            <w:pPr>
              <w:jc w:val="right"/>
              <w:rPr>
                <w:rFonts w:ascii="宋体"/>
              </w:rPr>
            </w:pPr>
          </w:p>
        </w:tc>
      </w:tr>
      <w:tr w:rsidR="00980E5F" w14:paraId="392CAE14" w14:textId="77777777">
        <w:tc>
          <w:tcPr>
            <w:tcW w:w="0" w:type="auto"/>
            <w:gridSpan w:val="3"/>
            <w:shd w:val="clear" w:color="auto" w:fill="CCEEFF"/>
            <w:tcMar>
              <w:top w:w="40" w:type="dxa"/>
              <w:left w:w="20" w:type="dxa"/>
              <w:bottom w:w="40" w:type="dxa"/>
              <w:right w:w="20" w:type="dxa"/>
            </w:tcMar>
            <w:vAlign w:val="bottom"/>
          </w:tcPr>
          <w:p w14:paraId="392CADF6" w14:textId="77777777" w:rsidR="00980E5F" w:rsidRDefault="00483613">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DF7" w14:textId="77777777" w:rsidR="00980E5F" w:rsidRDefault="00483613">
            <w:pPr>
              <w:jc w:val="right"/>
              <w:textAlignment w:val="bottom"/>
            </w:pPr>
            <w:r>
              <w:rPr>
                <w:rFonts w:ascii="Arial" w:eastAsia="宋体" w:hAnsi="Arial" w:cs="Arial"/>
                <w:color w:val="000000"/>
                <w:sz w:val="14"/>
                <w:szCs w:val="14"/>
              </w:rPr>
              <w:t>3,333 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F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F9"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DFA" w14:textId="77777777" w:rsidR="00980E5F" w:rsidRDefault="00483613">
            <w:pPr>
              <w:jc w:val="right"/>
              <w:textAlignment w:val="bottom"/>
            </w:pPr>
            <w:r>
              <w:rPr>
                <w:rFonts w:ascii="Arial" w:eastAsia="宋体" w:hAnsi="Arial" w:cs="Arial"/>
                <w:color w:val="000000"/>
                <w:sz w:val="14"/>
                <w:szCs w:val="14"/>
              </w:rPr>
              <w:t>622 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F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FC"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DFD" w14:textId="77777777" w:rsidR="00980E5F" w:rsidRDefault="00483613">
            <w:pPr>
              <w:jc w:val="right"/>
              <w:textAlignment w:val="bottom"/>
            </w:pPr>
            <w:r>
              <w:rPr>
                <w:rFonts w:ascii="Arial" w:eastAsia="宋体" w:hAnsi="Arial" w:cs="Arial"/>
                <w:color w:val="000000"/>
                <w:sz w:val="14"/>
                <w:szCs w:val="14"/>
              </w:rPr>
              <w:t>3,955 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DF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DFF"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0" w14:textId="77777777" w:rsidR="00980E5F" w:rsidRDefault="00483613">
            <w:pPr>
              <w:jc w:val="right"/>
              <w:textAlignment w:val="bottom"/>
            </w:pPr>
            <w:r>
              <w:rPr>
                <w:rFonts w:ascii="Arial" w:eastAsia="宋体" w:hAnsi="Arial" w:cs="Arial"/>
                <w:color w:val="000000"/>
                <w:sz w:val="14"/>
                <w:szCs w:val="14"/>
              </w:rPr>
              <w:t>1,026 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0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02"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3" w14:textId="77777777" w:rsidR="00980E5F" w:rsidRDefault="00483613">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04"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05"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6" w14:textId="77777777" w:rsidR="00980E5F" w:rsidRDefault="00483613">
            <w:pPr>
              <w:jc w:val="right"/>
              <w:textAlignment w:val="bottom"/>
            </w:pPr>
            <w:r>
              <w:rPr>
                <w:rFonts w:ascii="Arial" w:eastAsia="宋体" w:hAnsi="Arial" w:cs="Arial"/>
                <w:color w:val="000000"/>
                <w:sz w:val="14"/>
                <w:szCs w:val="14"/>
              </w:rPr>
              <w:t>1,042 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07"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08"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9"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0A"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0B"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C"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0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0E"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0F"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10"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11" w14:textId="77777777" w:rsidR="00980E5F" w:rsidRDefault="00980E5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92CAE12" w14:textId="77777777" w:rsidR="00980E5F" w:rsidRDefault="00483613">
            <w:pPr>
              <w:jc w:val="right"/>
              <w:textAlignment w:val="bottom"/>
            </w:pPr>
            <w:r>
              <w:rPr>
                <w:rFonts w:ascii="Arial" w:eastAsia="宋体" w:hAnsi="Arial" w:cs="Arial"/>
                <w:color w:val="000000"/>
                <w:sz w:val="14"/>
                <w:szCs w:val="14"/>
              </w:rPr>
              <w:t>4,997 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AE13" w14:textId="77777777" w:rsidR="00980E5F" w:rsidRDefault="00980E5F">
            <w:pPr>
              <w:jc w:val="right"/>
              <w:rPr>
                <w:rFonts w:ascii="宋体"/>
              </w:rPr>
            </w:pPr>
          </w:p>
        </w:tc>
      </w:tr>
      <w:tr w:rsidR="00980E5F" w14:paraId="392CAE33" w14:textId="77777777">
        <w:tc>
          <w:tcPr>
            <w:tcW w:w="0" w:type="auto"/>
            <w:gridSpan w:val="3"/>
            <w:shd w:val="clear" w:color="auto" w:fill="FFFFFF"/>
            <w:tcMar>
              <w:top w:w="40" w:type="dxa"/>
              <w:left w:w="155" w:type="dxa"/>
              <w:bottom w:w="40" w:type="dxa"/>
              <w:right w:w="20" w:type="dxa"/>
            </w:tcMar>
            <w:vAlign w:val="bottom"/>
          </w:tcPr>
          <w:p w14:paraId="392CAE15" w14:textId="77777777" w:rsidR="00980E5F" w:rsidRDefault="00483613">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392CAE16"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E1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1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19" w14:textId="77777777" w:rsidR="00980E5F" w:rsidRDefault="00483613">
            <w:pPr>
              <w:jc w:val="right"/>
              <w:textAlignment w:val="bottom"/>
            </w:pPr>
            <w:r>
              <w:rPr>
                <w:rFonts w:ascii="Arial" w:eastAsia="宋体" w:hAnsi="Arial" w:cs="Arial"/>
                <w:color w:val="000000"/>
                <w:sz w:val="14"/>
                <w:szCs w:val="14"/>
              </w:rPr>
              <w:t>941 </w:t>
            </w:r>
          </w:p>
        </w:tc>
        <w:tc>
          <w:tcPr>
            <w:tcW w:w="0" w:type="auto"/>
            <w:shd w:val="clear" w:color="auto" w:fill="FFFFFF"/>
            <w:tcMar>
              <w:top w:w="40" w:type="dxa"/>
              <w:left w:w="0" w:type="dxa"/>
              <w:bottom w:w="40" w:type="dxa"/>
              <w:right w:w="20" w:type="dxa"/>
            </w:tcMar>
            <w:vAlign w:val="bottom"/>
          </w:tcPr>
          <w:p w14:paraId="392CAE1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1B"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1C" w14:textId="77777777" w:rsidR="00980E5F" w:rsidRDefault="00483613">
            <w:pPr>
              <w:jc w:val="right"/>
              <w:textAlignment w:val="bottom"/>
            </w:pPr>
            <w:r>
              <w:rPr>
                <w:rFonts w:ascii="Arial" w:eastAsia="宋体" w:hAnsi="Arial" w:cs="Arial"/>
                <w:color w:val="000000"/>
                <w:sz w:val="14"/>
                <w:szCs w:val="14"/>
              </w:rPr>
              <w:t>941 </w:t>
            </w:r>
          </w:p>
        </w:tc>
        <w:tc>
          <w:tcPr>
            <w:tcW w:w="0" w:type="auto"/>
            <w:shd w:val="clear" w:color="auto" w:fill="FFFFFF"/>
            <w:tcMar>
              <w:top w:w="40" w:type="dxa"/>
              <w:left w:w="0" w:type="dxa"/>
              <w:bottom w:w="40" w:type="dxa"/>
              <w:right w:w="20" w:type="dxa"/>
            </w:tcMar>
            <w:vAlign w:val="bottom"/>
          </w:tcPr>
          <w:p w14:paraId="392CAE1D"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1E"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1F"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E20"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21"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22" w14:textId="77777777" w:rsidR="00980E5F" w:rsidRDefault="00483613">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392CAE2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24"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25" w14:textId="77777777" w:rsidR="00980E5F" w:rsidRDefault="00483613">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392CAE2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27"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2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E2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2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2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E2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2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2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392CAE2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3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AE31" w14:textId="77777777" w:rsidR="00980E5F" w:rsidRDefault="00483613">
            <w:pPr>
              <w:jc w:val="right"/>
              <w:textAlignment w:val="bottom"/>
            </w:pPr>
            <w:r>
              <w:rPr>
                <w:rFonts w:ascii="Arial" w:eastAsia="宋体" w:hAnsi="Arial" w:cs="Arial"/>
                <w:color w:val="000000"/>
                <w:sz w:val="14"/>
                <w:szCs w:val="14"/>
              </w:rPr>
              <w:t>934 </w:t>
            </w:r>
          </w:p>
        </w:tc>
        <w:tc>
          <w:tcPr>
            <w:tcW w:w="0" w:type="auto"/>
            <w:shd w:val="clear" w:color="auto" w:fill="FFFFFF"/>
            <w:tcMar>
              <w:top w:w="40" w:type="dxa"/>
              <w:left w:w="0" w:type="dxa"/>
              <w:bottom w:w="40" w:type="dxa"/>
              <w:right w:w="20" w:type="dxa"/>
            </w:tcMar>
            <w:vAlign w:val="bottom"/>
          </w:tcPr>
          <w:p w14:paraId="392CAE32" w14:textId="77777777" w:rsidR="00980E5F" w:rsidRDefault="00980E5F">
            <w:pPr>
              <w:jc w:val="right"/>
              <w:rPr>
                <w:rFonts w:ascii="宋体"/>
              </w:rPr>
            </w:pPr>
          </w:p>
        </w:tc>
      </w:tr>
      <w:tr w:rsidR="00980E5F" w14:paraId="392CAE52" w14:textId="77777777">
        <w:tc>
          <w:tcPr>
            <w:tcW w:w="0" w:type="auto"/>
            <w:gridSpan w:val="3"/>
            <w:shd w:val="clear" w:color="auto" w:fill="CCEEFF"/>
            <w:tcMar>
              <w:top w:w="40" w:type="dxa"/>
              <w:left w:w="155" w:type="dxa"/>
              <w:bottom w:w="40" w:type="dxa"/>
              <w:right w:w="20" w:type="dxa"/>
            </w:tcMar>
            <w:vAlign w:val="bottom"/>
          </w:tcPr>
          <w:p w14:paraId="392CAE34" w14:textId="77777777" w:rsidR="00980E5F" w:rsidRDefault="00483613">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392CAE35"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36"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37"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38"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3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3A"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3B"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3C"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3D"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3E"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3F"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0"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41"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42"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3"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44"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4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6"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47" w14:textId="77777777" w:rsidR="00980E5F" w:rsidRDefault="00483613">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392CAE48"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9"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4A"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E4B"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C"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4D"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E4E"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AE4F" w14:textId="77777777" w:rsidR="00980E5F" w:rsidRDefault="00980E5F">
            <w:pPr>
              <w:rPr>
                <w:rFonts w:ascii="宋体"/>
              </w:rPr>
            </w:pPr>
          </w:p>
        </w:tc>
        <w:tc>
          <w:tcPr>
            <w:tcW w:w="0" w:type="auto"/>
            <w:gridSpan w:val="2"/>
            <w:shd w:val="clear" w:color="auto" w:fill="CCEEFF"/>
            <w:tcMar>
              <w:top w:w="40" w:type="dxa"/>
              <w:left w:w="20" w:type="dxa"/>
              <w:bottom w:w="40" w:type="dxa"/>
              <w:right w:w="0" w:type="dxa"/>
            </w:tcMar>
            <w:vAlign w:val="bottom"/>
          </w:tcPr>
          <w:p w14:paraId="392CAE50" w14:textId="77777777" w:rsidR="00980E5F" w:rsidRDefault="00483613">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392CAE51" w14:textId="77777777" w:rsidR="00980E5F" w:rsidRDefault="00980E5F">
            <w:pPr>
              <w:jc w:val="right"/>
              <w:rPr>
                <w:rFonts w:ascii="宋体"/>
              </w:rPr>
            </w:pPr>
          </w:p>
        </w:tc>
      </w:tr>
      <w:tr w:rsidR="00483613" w14:paraId="392CAE7B" w14:textId="77777777">
        <w:tc>
          <w:tcPr>
            <w:tcW w:w="0" w:type="auto"/>
            <w:gridSpan w:val="3"/>
            <w:shd w:val="clear" w:color="auto" w:fill="FFFFFF"/>
            <w:tcMar>
              <w:top w:w="40" w:type="dxa"/>
              <w:left w:w="20" w:type="dxa"/>
              <w:bottom w:w="40" w:type="dxa"/>
              <w:right w:w="20" w:type="dxa"/>
            </w:tcMar>
            <w:vAlign w:val="bottom"/>
          </w:tcPr>
          <w:p w14:paraId="392CAE53" w14:textId="77777777" w:rsidR="00980E5F" w:rsidRDefault="00483613">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5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55" w14:textId="77777777" w:rsidR="00980E5F" w:rsidRDefault="00483613">
            <w:pPr>
              <w:jc w:val="right"/>
              <w:textAlignment w:val="bottom"/>
            </w:pPr>
            <w:r>
              <w:rPr>
                <w:rFonts w:ascii="Arial" w:eastAsia="宋体" w:hAnsi="Arial" w:cs="Arial"/>
                <w:color w:val="000000"/>
                <w:sz w:val="14"/>
                <w:szCs w:val="14"/>
              </w:rPr>
              <w:t>3,333 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5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5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5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59" w14:textId="77777777" w:rsidR="00980E5F" w:rsidRDefault="00483613">
            <w:pPr>
              <w:jc w:val="right"/>
              <w:textAlignment w:val="bottom"/>
            </w:pPr>
            <w:r>
              <w:rPr>
                <w:rFonts w:ascii="Arial" w:eastAsia="宋体" w:hAnsi="Arial" w:cs="Arial"/>
                <w:color w:val="000000"/>
                <w:sz w:val="14"/>
                <w:szCs w:val="14"/>
              </w:rPr>
              <w:t>1,563 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5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5B"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5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5D" w14:textId="77777777" w:rsidR="00980E5F" w:rsidRDefault="00483613">
            <w:pPr>
              <w:jc w:val="right"/>
              <w:textAlignment w:val="bottom"/>
            </w:pPr>
            <w:r>
              <w:rPr>
                <w:rFonts w:ascii="Arial" w:eastAsia="宋体" w:hAnsi="Arial" w:cs="Arial"/>
                <w:color w:val="000000"/>
                <w:sz w:val="14"/>
                <w:szCs w:val="14"/>
              </w:rPr>
              <w:t>4,896 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5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5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6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61" w14:textId="77777777" w:rsidR="00980E5F" w:rsidRDefault="00483613">
            <w:pPr>
              <w:jc w:val="right"/>
              <w:textAlignment w:val="bottom"/>
            </w:pPr>
            <w:r>
              <w:rPr>
                <w:rFonts w:ascii="Arial" w:eastAsia="宋体" w:hAnsi="Arial" w:cs="Arial"/>
                <w:color w:val="000000"/>
                <w:sz w:val="14"/>
                <w:szCs w:val="14"/>
              </w:rPr>
              <w:t>1,026 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6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6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6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65" w14:textId="77777777" w:rsidR="00980E5F" w:rsidRDefault="00483613">
            <w:pPr>
              <w:jc w:val="right"/>
              <w:textAlignment w:val="bottom"/>
            </w:pPr>
            <w:r>
              <w:rPr>
                <w:rFonts w:ascii="Arial" w:eastAsia="宋体" w:hAnsi="Arial" w:cs="Arial"/>
                <w:color w:val="000000"/>
                <w:sz w:val="14"/>
                <w:szCs w:val="14"/>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6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6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6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69" w14:textId="77777777" w:rsidR="00980E5F" w:rsidRDefault="00483613">
            <w:pPr>
              <w:jc w:val="right"/>
              <w:textAlignment w:val="bottom"/>
            </w:pPr>
            <w:r>
              <w:rPr>
                <w:rFonts w:ascii="Arial" w:eastAsia="宋体" w:hAnsi="Arial" w:cs="Arial"/>
                <w:color w:val="000000"/>
                <w:sz w:val="14"/>
                <w:szCs w:val="14"/>
              </w:rPr>
              <w:t>1,035 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6A"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6B"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6C"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6D" w14:textId="77777777" w:rsidR="00980E5F" w:rsidRDefault="00483613">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6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6F"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70"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71"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72"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73"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74"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75" w14:textId="77777777" w:rsidR="00980E5F" w:rsidRDefault="00483613">
            <w:pPr>
              <w:jc w:val="right"/>
              <w:textAlignment w:val="bottom"/>
            </w:pPr>
            <w:r>
              <w:rPr>
                <w:rFonts w:ascii="Arial" w:eastAsia="宋体" w:hAnsi="Arial" w:cs="Arial"/>
                <w:color w:val="000000"/>
                <w:sz w:val="14"/>
                <w:szCs w:val="14"/>
              </w:rPr>
              <w:t>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7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AE77" w14:textId="77777777" w:rsidR="00980E5F" w:rsidRDefault="00980E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92CAE78" w14:textId="77777777" w:rsidR="00980E5F" w:rsidRDefault="00483613">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92CAE79" w14:textId="77777777" w:rsidR="00980E5F" w:rsidRDefault="00483613">
            <w:pPr>
              <w:jc w:val="right"/>
              <w:textAlignment w:val="bottom"/>
            </w:pPr>
            <w:r>
              <w:rPr>
                <w:rFonts w:ascii="Arial" w:eastAsia="宋体" w:hAnsi="Arial" w:cs="Arial"/>
                <w:color w:val="000000"/>
                <w:sz w:val="14"/>
                <w:szCs w:val="14"/>
              </w:rPr>
              <w:t>5,984 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92CAE7A" w14:textId="77777777" w:rsidR="00980E5F" w:rsidRDefault="00980E5F">
            <w:pPr>
              <w:jc w:val="right"/>
              <w:rPr>
                <w:rFonts w:ascii="宋体"/>
              </w:rPr>
            </w:pPr>
          </w:p>
        </w:tc>
      </w:tr>
    </w:tbl>
    <w:p w14:paraId="392CAE7C"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2185"/>
        <w:gridCol w:w="36"/>
        <w:gridCol w:w="51"/>
        <w:gridCol w:w="621"/>
        <w:gridCol w:w="36"/>
        <w:gridCol w:w="36"/>
        <w:gridCol w:w="36"/>
        <w:gridCol w:w="36"/>
        <w:gridCol w:w="36"/>
        <w:gridCol w:w="636"/>
        <w:gridCol w:w="36"/>
        <w:gridCol w:w="36"/>
        <w:gridCol w:w="36"/>
        <w:gridCol w:w="36"/>
        <w:gridCol w:w="36"/>
        <w:gridCol w:w="591"/>
        <w:gridCol w:w="36"/>
        <w:gridCol w:w="36"/>
        <w:gridCol w:w="36"/>
        <w:gridCol w:w="36"/>
        <w:gridCol w:w="36"/>
        <w:gridCol w:w="636"/>
        <w:gridCol w:w="36"/>
        <w:gridCol w:w="36"/>
        <w:gridCol w:w="36"/>
        <w:gridCol w:w="36"/>
        <w:gridCol w:w="36"/>
        <w:gridCol w:w="647"/>
        <w:gridCol w:w="36"/>
        <w:gridCol w:w="36"/>
        <w:gridCol w:w="36"/>
        <w:gridCol w:w="36"/>
        <w:gridCol w:w="36"/>
        <w:gridCol w:w="45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662"/>
        <w:gridCol w:w="36"/>
      </w:tblGrid>
      <w:tr w:rsidR="00980E5F" w14:paraId="392CAEAD" w14:textId="77777777">
        <w:tc>
          <w:tcPr>
            <w:tcW w:w="50" w:type="pct"/>
            <w:shd w:val="clear" w:color="auto" w:fill="auto"/>
            <w:vAlign w:val="bottom"/>
          </w:tcPr>
          <w:p w14:paraId="392CAE7D" w14:textId="77777777" w:rsidR="00980E5F" w:rsidRDefault="00980E5F">
            <w:pPr>
              <w:rPr>
                <w:rFonts w:ascii="宋体"/>
              </w:rPr>
            </w:pPr>
          </w:p>
        </w:tc>
        <w:tc>
          <w:tcPr>
            <w:tcW w:w="1436" w:type="pct"/>
            <w:shd w:val="clear" w:color="auto" w:fill="auto"/>
            <w:vAlign w:val="bottom"/>
          </w:tcPr>
          <w:p w14:paraId="392CAE7E" w14:textId="77777777" w:rsidR="00980E5F" w:rsidRDefault="00980E5F">
            <w:pPr>
              <w:rPr>
                <w:rFonts w:ascii="宋体"/>
              </w:rPr>
            </w:pPr>
          </w:p>
        </w:tc>
        <w:tc>
          <w:tcPr>
            <w:tcW w:w="5" w:type="pct"/>
            <w:shd w:val="clear" w:color="auto" w:fill="auto"/>
            <w:vAlign w:val="bottom"/>
          </w:tcPr>
          <w:p w14:paraId="392CAE7F" w14:textId="77777777" w:rsidR="00980E5F" w:rsidRDefault="00980E5F">
            <w:pPr>
              <w:rPr>
                <w:rFonts w:ascii="宋体"/>
              </w:rPr>
            </w:pPr>
          </w:p>
        </w:tc>
        <w:tc>
          <w:tcPr>
            <w:tcW w:w="50" w:type="pct"/>
            <w:shd w:val="clear" w:color="auto" w:fill="auto"/>
            <w:vAlign w:val="bottom"/>
          </w:tcPr>
          <w:p w14:paraId="392CAE80" w14:textId="77777777" w:rsidR="00980E5F" w:rsidRDefault="00980E5F">
            <w:pPr>
              <w:rPr>
                <w:rFonts w:ascii="宋体"/>
              </w:rPr>
            </w:pPr>
          </w:p>
        </w:tc>
        <w:tc>
          <w:tcPr>
            <w:tcW w:w="420" w:type="pct"/>
            <w:shd w:val="clear" w:color="auto" w:fill="auto"/>
            <w:vAlign w:val="bottom"/>
          </w:tcPr>
          <w:p w14:paraId="392CAE81" w14:textId="77777777" w:rsidR="00980E5F" w:rsidRDefault="00980E5F">
            <w:pPr>
              <w:rPr>
                <w:rFonts w:ascii="宋体"/>
              </w:rPr>
            </w:pPr>
          </w:p>
        </w:tc>
        <w:tc>
          <w:tcPr>
            <w:tcW w:w="5" w:type="pct"/>
            <w:shd w:val="clear" w:color="auto" w:fill="auto"/>
            <w:vAlign w:val="bottom"/>
          </w:tcPr>
          <w:p w14:paraId="392CAE82" w14:textId="77777777" w:rsidR="00980E5F" w:rsidRDefault="00980E5F">
            <w:pPr>
              <w:rPr>
                <w:rFonts w:ascii="宋体"/>
              </w:rPr>
            </w:pPr>
          </w:p>
        </w:tc>
        <w:tc>
          <w:tcPr>
            <w:tcW w:w="5" w:type="pct"/>
            <w:shd w:val="clear" w:color="auto" w:fill="auto"/>
            <w:vAlign w:val="bottom"/>
          </w:tcPr>
          <w:p w14:paraId="392CAE83" w14:textId="77777777" w:rsidR="00980E5F" w:rsidRDefault="00980E5F">
            <w:pPr>
              <w:rPr>
                <w:rFonts w:ascii="宋体"/>
              </w:rPr>
            </w:pPr>
          </w:p>
        </w:tc>
        <w:tc>
          <w:tcPr>
            <w:tcW w:w="26" w:type="pct"/>
            <w:shd w:val="clear" w:color="auto" w:fill="auto"/>
            <w:vAlign w:val="bottom"/>
          </w:tcPr>
          <w:p w14:paraId="392CAE84" w14:textId="77777777" w:rsidR="00980E5F" w:rsidRDefault="00980E5F">
            <w:pPr>
              <w:rPr>
                <w:rFonts w:ascii="宋体"/>
              </w:rPr>
            </w:pPr>
          </w:p>
        </w:tc>
        <w:tc>
          <w:tcPr>
            <w:tcW w:w="5" w:type="pct"/>
            <w:shd w:val="clear" w:color="auto" w:fill="auto"/>
            <w:vAlign w:val="bottom"/>
          </w:tcPr>
          <w:p w14:paraId="392CAE85" w14:textId="77777777" w:rsidR="00980E5F" w:rsidRDefault="00980E5F">
            <w:pPr>
              <w:rPr>
                <w:rFonts w:ascii="宋体"/>
              </w:rPr>
            </w:pPr>
          </w:p>
        </w:tc>
        <w:tc>
          <w:tcPr>
            <w:tcW w:w="50" w:type="pct"/>
            <w:shd w:val="clear" w:color="auto" w:fill="auto"/>
            <w:vAlign w:val="bottom"/>
          </w:tcPr>
          <w:p w14:paraId="392CAE86" w14:textId="77777777" w:rsidR="00980E5F" w:rsidRDefault="00980E5F">
            <w:pPr>
              <w:rPr>
                <w:rFonts w:ascii="宋体"/>
              </w:rPr>
            </w:pPr>
          </w:p>
        </w:tc>
        <w:tc>
          <w:tcPr>
            <w:tcW w:w="434" w:type="pct"/>
            <w:shd w:val="clear" w:color="auto" w:fill="auto"/>
            <w:vAlign w:val="bottom"/>
          </w:tcPr>
          <w:p w14:paraId="392CAE87" w14:textId="77777777" w:rsidR="00980E5F" w:rsidRDefault="00980E5F">
            <w:pPr>
              <w:rPr>
                <w:rFonts w:ascii="宋体"/>
              </w:rPr>
            </w:pPr>
          </w:p>
        </w:tc>
        <w:tc>
          <w:tcPr>
            <w:tcW w:w="5" w:type="pct"/>
            <w:shd w:val="clear" w:color="auto" w:fill="auto"/>
            <w:vAlign w:val="bottom"/>
          </w:tcPr>
          <w:p w14:paraId="392CAE88" w14:textId="77777777" w:rsidR="00980E5F" w:rsidRDefault="00980E5F">
            <w:pPr>
              <w:rPr>
                <w:rFonts w:ascii="宋体"/>
              </w:rPr>
            </w:pPr>
          </w:p>
        </w:tc>
        <w:tc>
          <w:tcPr>
            <w:tcW w:w="5" w:type="pct"/>
            <w:shd w:val="clear" w:color="auto" w:fill="auto"/>
            <w:vAlign w:val="bottom"/>
          </w:tcPr>
          <w:p w14:paraId="392CAE89" w14:textId="77777777" w:rsidR="00980E5F" w:rsidRDefault="00980E5F">
            <w:pPr>
              <w:rPr>
                <w:rFonts w:ascii="宋体"/>
              </w:rPr>
            </w:pPr>
          </w:p>
        </w:tc>
        <w:tc>
          <w:tcPr>
            <w:tcW w:w="26" w:type="pct"/>
            <w:shd w:val="clear" w:color="auto" w:fill="auto"/>
            <w:vAlign w:val="bottom"/>
          </w:tcPr>
          <w:p w14:paraId="392CAE8A" w14:textId="77777777" w:rsidR="00980E5F" w:rsidRDefault="00980E5F">
            <w:pPr>
              <w:rPr>
                <w:rFonts w:ascii="宋体"/>
              </w:rPr>
            </w:pPr>
          </w:p>
        </w:tc>
        <w:tc>
          <w:tcPr>
            <w:tcW w:w="5" w:type="pct"/>
            <w:shd w:val="clear" w:color="auto" w:fill="auto"/>
            <w:vAlign w:val="bottom"/>
          </w:tcPr>
          <w:p w14:paraId="392CAE8B" w14:textId="77777777" w:rsidR="00980E5F" w:rsidRDefault="00980E5F">
            <w:pPr>
              <w:rPr>
                <w:rFonts w:ascii="宋体"/>
              </w:rPr>
            </w:pPr>
          </w:p>
        </w:tc>
        <w:tc>
          <w:tcPr>
            <w:tcW w:w="50" w:type="pct"/>
            <w:shd w:val="clear" w:color="auto" w:fill="auto"/>
            <w:vAlign w:val="bottom"/>
          </w:tcPr>
          <w:p w14:paraId="392CAE8C" w14:textId="77777777" w:rsidR="00980E5F" w:rsidRDefault="00980E5F">
            <w:pPr>
              <w:rPr>
                <w:rFonts w:ascii="宋体"/>
              </w:rPr>
            </w:pPr>
          </w:p>
        </w:tc>
        <w:tc>
          <w:tcPr>
            <w:tcW w:w="405" w:type="pct"/>
            <w:shd w:val="clear" w:color="auto" w:fill="auto"/>
            <w:vAlign w:val="bottom"/>
          </w:tcPr>
          <w:p w14:paraId="392CAE8D" w14:textId="77777777" w:rsidR="00980E5F" w:rsidRDefault="00980E5F">
            <w:pPr>
              <w:rPr>
                <w:rFonts w:ascii="宋体"/>
              </w:rPr>
            </w:pPr>
          </w:p>
        </w:tc>
        <w:tc>
          <w:tcPr>
            <w:tcW w:w="5" w:type="pct"/>
            <w:shd w:val="clear" w:color="auto" w:fill="auto"/>
            <w:vAlign w:val="bottom"/>
          </w:tcPr>
          <w:p w14:paraId="392CAE8E" w14:textId="77777777" w:rsidR="00980E5F" w:rsidRDefault="00980E5F">
            <w:pPr>
              <w:rPr>
                <w:rFonts w:ascii="宋体"/>
              </w:rPr>
            </w:pPr>
          </w:p>
        </w:tc>
        <w:tc>
          <w:tcPr>
            <w:tcW w:w="5" w:type="pct"/>
            <w:shd w:val="clear" w:color="auto" w:fill="auto"/>
            <w:vAlign w:val="bottom"/>
          </w:tcPr>
          <w:p w14:paraId="392CAE8F" w14:textId="77777777" w:rsidR="00980E5F" w:rsidRDefault="00980E5F">
            <w:pPr>
              <w:rPr>
                <w:rFonts w:ascii="宋体"/>
              </w:rPr>
            </w:pPr>
          </w:p>
        </w:tc>
        <w:tc>
          <w:tcPr>
            <w:tcW w:w="26" w:type="pct"/>
            <w:shd w:val="clear" w:color="auto" w:fill="auto"/>
            <w:vAlign w:val="bottom"/>
          </w:tcPr>
          <w:p w14:paraId="392CAE90" w14:textId="77777777" w:rsidR="00980E5F" w:rsidRDefault="00980E5F">
            <w:pPr>
              <w:rPr>
                <w:rFonts w:ascii="宋体"/>
              </w:rPr>
            </w:pPr>
          </w:p>
        </w:tc>
        <w:tc>
          <w:tcPr>
            <w:tcW w:w="5" w:type="pct"/>
            <w:shd w:val="clear" w:color="auto" w:fill="auto"/>
            <w:vAlign w:val="bottom"/>
          </w:tcPr>
          <w:p w14:paraId="392CAE91" w14:textId="77777777" w:rsidR="00980E5F" w:rsidRDefault="00980E5F">
            <w:pPr>
              <w:rPr>
                <w:rFonts w:ascii="宋体"/>
              </w:rPr>
            </w:pPr>
          </w:p>
        </w:tc>
        <w:tc>
          <w:tcPr>
            <w:tcW w:w="50" w:type="pct"/>
            <w:shd w:val="clear" w:color="auto" w:fill="auto"/>
            <w:vAlign w:val="bottom"/>
          </w:tcPr>
          <w:p w14:paraId="392CAE92" w14:textId="77777777" w:rsidR="00980E5F" w:rsidRDefault="00980E5F">
            <w:pPr>
              <w:rPr>
                <w:rFonts w:ascii="宋体"/>
              </w:rPr>
            </w:pPr>
          </w:p>
        </w:tc>
        <w:tc>
          <w:tcPr>
            <w:tcW w:w="434" w:type="pct"/>
            <w:shd w:val="clear" w:color="auto" w:fill="auto"/>
            <w:vAlign w:val="bottom"/>
          </w:tcPr>
          <w:p w14:paraId="392CAE93" w14:textId="77777777" w:rsidR="00980E5F" w:rsidRDefault="00980E5F">
            <w:pPr>
              <w:rPr>
                <w:rFonts w:ascii="宋体"/>
              </w:rPr>
            </w:pPr>
          </w:p>
        </w:tc>
        <w:tc>
          <w:tcPr>
            <w:tcW w:w="5" w:type="pct"/>
            <w:shd w:val="clear" w:color="auto" w:fill="auto"/>
            <w:vAlign w:val="bottom"/>
          </w:tcPr>
          <w:p w14:paraId="392CAE94" w14:textId="77777777" w:rsidR="00980E5F" w:rsidRDefault="00980E5F">
            <w:pPr>
              <w:rPr>
                <w:rFonts w:ascii="宋体"/>
              </w:rPr>
            </w:pPr>
          </w:p>
        </w:tc>
        <w:tc>
          <w:tcPr>
            <w:tcW w:w="5" w:type="pct"/>
            <w:shd w:val="clear" w:color="auto" w:fill="auto"/>
            <w:vAlign w:val="bottom"/>
          </w:tcPr>
          <w:p w14:paraId="392CAE95" w14:textId="77777777" w:rsidR="00980E5F" w:rsidRDefault="00980E5F">
            <w:pPr>
              <w:rPr>
                <w:rFonts w:ascii="宋体"/>
              </w:rPr>
            </w:pPr>
          </w:p>
        </w:tc>
        <w:tc>
          <w:tcPr>
            <w:tcW w:w="26" w:type="pct"/>
            <w:shd w:val="clear" w:color="auto" w:fill="auto"/>
            <w:vAlign w:val="bottom"/>
          </w:tcPr>
          <w:p w14:paraId="392CAE96" w14:textId="77777777" w:rsidR="00980E5F" w:rsidRDefault="00980E5F">
            <w:pPr>
              <w:rPr>
                <w:rFonts w:ascii="宋体"/>
              </w:rPr>
            </w:pPr>
          </w:p>
        </w:tc>
        <w:tc>
          <w:tcPr>
            <w:tcW w:w="5" w:type="pct"/>
            <w:shd w:val="clear" w:color="auto" w:fill="auto"/>
            <w:vAlign w:val="bottom"/>
          </w:tcPr>
          <w:p w14:paraId="392CAE97" w14:textId="77777777" w:rsidR="00980E5F" w:rsidRDefault="00980E5F">
            <w:pPr>
              <w:rPr>
                <w:rFonts w:ascii="宋体"/>
              </w:rPr>
            </w:pPr>
          </w:p>
        </w:tc>
        <w:tc>
          <w:tcPr>
            <w:tcW w:w="50" w:type="pct"/>
            <w:shd w:val="clear" w:color="auto" w:fill="auto"/>
            <w:vAlign w:val="bottom"/>
          </w:tcPr>
          <w:p w14:paraId="392CAE98" w14:textId="77777777" w:rsidR="00980E5F" w:rsidRDefault="00980E5F">
            <w:pPr>
              <w:rPr>
                <w:rFonts w:ascii="宋体"/>
              </w:rPr>
            </w:pPr>
          </w:p>
        </w:tc>
        <w:tc>
          <w:tcPr>
            <w:tcW w:w="442" w:type="pct"/>
            <w:shd w:val="clear" w:color="auto" w:fill="auto"/>
            <w:vAlign w:val="bottom"/>
          </w:tcPr>
          <w:p w14:paraId="392CAE99" w14:textId="77777777" w:rsidR="00980E5F" w:rsidRDefault="00980E5F">
            <w:pPr>
              <w:rPr>
                <w:rFonts w:ascii="宋体"/>
              </w:rPr>
            </w:pPr>
          </w:p>
        </w:tc>
        <w:tc>
          <w:tcPr>
            <w:tcW w:w="5" w:type="pct"/>
            <w:shd w:val="clear" w:color="auto" w:fill="auto"/>
            <w:vAlign w:val="bottom"/>
          </w:tcPr>
          <w:p w14:paraId="392CAE9A" w14:textId="77777777" w:rsidR="00980E5F" w:rsidRDefault="00980E5F">
            <w:pPr>
              <w:rPr>
                <w:rFonts w:ascii="宋体"/>
              </w:rPr>
            </w:pPr>
          </w:p>
        </w:tc>
        <w:tc>
          <w:tcPr>
            <w:tcW w:w="5" w:type="pct"/>
            <w:shd w:val="clear" w:color="auto" w:fill="auto"/>
            <w:vAlign w:val="bottom"/>
          </w:tcPr>
          <w:p w14:paraId="392CAE9B" w14:textId="77777777" w:rsidR="00980E5F" w:rsidRDefault="00980E5F">
            <w:pPr>
              <w:rPr>
                <w:rFonts w:ascii="宋体"/>
              </w:rPr>
            </w:pPr>
          </w:p>
        </w:tc>
        <w:tc>
          <w:tcPr>
            <w:tcW w:w="26" w:type="pct"/>
            <w:shd w:val="clear" w:color="auto" w:fill="auto"/>
            <w:vAlign w:val="bottom"/>
          </w:tcPr>
          <w:p w14:paraId="392CAE9C" w14:textId="77777777" w:rsidR="00980E5F" w:rsidRDefault="00980E5F">
            <w:pPr>
              <w:rPr>
                <w:rFonts w:ascii="宋体"/>
              </w:rPr>
            </w:pPr>
          </w:p>
        </w:tc>
        <w:tc>
          <w:tcPr>
            <w:tcW w:w="5" w:type="pct"/>
            <w:shd w:val="clear" w:color="auto" w:fill="auto"/>
            <w:vAlign w:val="bottom"/>
          </w:tcPr>
          <w:p w14:paraId="392CAE9D" w14:textId="77777777" w:rsidR="00980E5F" w:rsidRDefault="00980E5F">
            <w:pPr>
              <w:rPr>
                <w:rFonts w:ascii="宋体"/>
              </w:rPr>
            </w:pPr>
          </w:p>
        </w:tc>
        <w:tc>
          <w:tcPr>
            <w:tcW w:w="50" w:type="pct"/>
            <w:shd w:val="clear" w:color="auto" w:fill="auto"/>
            <w:vAlign w:val="bottom"/>
          </w:tcPr>
          <w:p w14:paraId="392CAE9E" w14:textId="77777777" w:rsidR="00980E5F" w:rsidRDefault="00980E5F">
            <w:pPr>
              <w:rPr>
                <w:rFonts w:ascii="宋体"/>
              </w:rPr>
            </w:pPr>
          </w:p>
        </w:tc>
        <w:tc>
          <w:tcPr>
            <w:tcW w:w="317" w:type="pct"/>
            <w:shd w:val="clear" w:color="auto" w:fill="auto"/>
            <w:vAlign w:val="bottom"/>
          </w:tcPr>
          <w:p w14:paraId="392CAE9F" w14:textId="77777777" w:rsidR="00980E5F" w:rsidRDefault="00980E5F">
            <w:pPr>
              <w:rPr>
                <w:rFonts w:ascii="宋体"/>
              </w:rPr>
            </w:pPr>
          </w:p>
        </w:tc>
        <w:tc>
          <w:tcPr>
            <w:tcW w:w="5" w:type="pct"/>
            <w:shd w:val="clear" w:color="auto" w:fill="auto"/>
            <w:vAlign w:val="bottom"/>
          </w:tcPr>
          <w:p w14:paraId="392CAEA0" w14:textId="77777777" w:rsidR="00980E5F" w:rsidRDefault="00980E5F">
            <w:pPr>
              <w:rPr>
                <w:rFonts w:ascii="宋体"/>
              </w:rPr>
            </w:pPr>
          </w:p>
        </w:tc>
        <w:tc>
          <w:tcPr>
            <w:tcW w:w="5" w:type="pct"/>
            <w:shd w:val="clear" w:color="auto" w:fill="auto"/>
            <w:vAlign w:val="bottom"/>
          </w:tcPr>
          <w:p w14:paraId="392CAEA1" w14:textId="77777777" w:rsidR="00980E5F" w:rsidRDefault="00980E5F">
            <w:pPr>
              <w:rPr>
                <w:rFonts w:ascii="宋体"/>
              </w:rPr>
            </w:pPr>
          </w:p>
        </w:tc>
        <w:tc>
          <w:tcPr>
            <w:tcW w:w="26" w:type="pct"/>
            <w:shd w:val="clear" w:color="auto" w:fill="auto"/>
            <w:vAlign w:val="bottom"/>
          </w:tcPr>
          <w:p w14:paraId="392CAEA2" w14:textId="77777777" w:rsidR="00980E5F" w:rsidRDefault="00980E5F">
            <w:pPr>
              <w:rPr>
                <w:rFonts w:ascii="宋体"/>
              </w:rPr>
            </w:pPr>
          </w:p>
        </w:tc>
        <w:tc>
          <w:tcPr>
            <w:tcW w:w="5" w:type="pct"/>
            <w:shd w:val="clear" w:color="auto" w:fill="auto"/>
            <w:vAlign w:val="bottom"/>
          </w:tcPr>
          <w:p w14:paraId="392CAEA3" w14:textId="77777777" w:rsidR="00980E5F" w:rsidRDefault="00980E5F">
            <w:pPr>
              <w:rPr>
                <w:rFonts w:ascii="宋体"/>
              </w:rPr>
            </w:pPr>
          </w:p>
        </w:tc>
        <w:tc>
          <w:tcPr>
            <w:tcW w:w="0" w:type="auto"/>
            <w:gridSpan w:val="3"/>
            <w:shd w:val="clear" w:color="auto" w:fill="auto"/>
            <w:vAlign w:val="bottom"/>
          </w:tcPr>
          <w:p w14:paraId="392CAEA4" w14:textId="77777777" w:rsidR="00980E5F" w:rsidRDefault="00980E5F">
            <w:pPr>
              <w:rPr>
                <w:rFonts w:ascii="宋体"/>
                <w:vanish/>
              </w:rPr>
            </w:pPr>
          </w:p>
        </w:tc>
        <w:tc>
          <w:tcPr>
            <w:tcW w:w="0" w:type="auto"/>
            <w:gridSpan w:val="3"/>
            <w:shd w:val="clear" w:color="auto" w:fill="auto"/>
            <w:vAlign w:val="bottom"/>
          </w:tcPr>
          <w:p w14:paraId="392CAEA5" w14:textId="77777777" w:rsidR="00980E5F" w:rsidRDefault="00980E5F">
            <w:pPr>
              <w:rPr>
                <w:rFonts w:ascii="宋体"/>
                <w:vanish/>
              </w:rPr>
            </w:pPr>
          </w:p>
        </w:tc>
        <w:tc>
          <w:tcPr>
            <w:tcW w:w="0" w:type="auto"/>
            <w:gridSpan w:val="3"/>
            <w:shd w:val="clear" w:color="auto" w:fill="auto"/>
            <w:vAlign w:val="bottom"/>
          </w:tcPr>
          <w:p w14:paraId="392CAEA6" w14:textId="77777777" w:rsidR="00980E5F" w:rsidRDefault="00980E5F">
            <w:pPr>
              <w:rPr>
                <w:rFonts w:ascii="宋体"/>
                <w:vanish/>
              </w:rPr>
            </w:pPr>
          </w:p>
        </w:tc>
        <w:tc>
          <w:tcPr>
            <w:tcW w:w="0" w:type="auto"/>
            <w:gridSpan w:val="3"/>
            <w:shd w:val="clear" w:color="auto" w:fill="auto"/>
            <w:vAlign w:val="bottom"/>
          </w:tcPr>
          <w:p w14:paraId="392CAEA7" w14:textId="77777777" w:rsidR="00980E5F" w:rsidRDefault="00980E5F">
            <w:pPr>
              <w:rPr>
                <w:rFonts w:ascii="宋体"/>
                <w:vanish/>
              </w:rPr>
            </w:pPr>
          </w:p>
        </w:tc>
        <w:tc>
          <w:tcPr>
            <w:tcW w:w="0" w:type="auto"/>
            <w:gridSpan w:val="3"/>
            <w:shd w:val="clear" w:color="auto" w:fill="auto"/>
            <w:vAlign w:val="bottom"/>
          </w:tcPr>
          <w:p w14:paraId="392CAEA8" w14:textId="77777777" w:rsidR="00980E5F" w:rsidRDefault="00980E5F">
            <w:pPr>
              <w:rPr>
                <w:rFonts w:ascii="宋体"/>
                <w:vanish/>
              </w:rPr>
            </w:pPr>
          </w:p>
        </w:tc>
        <w:tc>
          <w:tcPr>
            <w:tcW w:w="0" w:type="auto"/>
            <w:gridSpan w:val="3"/>
            <w:shd w:val="clear" w:color="auto" w:fill="auto"/>
            <w:vAlign w:val="bottom"/>
          </w:tcPr>
          <w:p w14:paraId="392CAEA9" w14:textId="77777777" w:rsidR="00980E5F" w:rsidRDefault="00980E5F">
            <w:pPr>
              <w:rPr>
                <w:rFonts w:ascii="宋体"/>
                <w:vanish/>
              </w:rPr>
            </w:pPr>
          </w:p>
        </w:tc>
        <w:tc>
          <w:tcPr>
            <w:tcW w:w="50" w:type="pct"/>
            <w:shd w:val="clear" w:color="auto" w:fill="auto"/>
            <w:vAlign w:val="bottom"/>
          </w:tcPr>
          <w:p w14:paraId="392CAEAA" w14:textId="77777777" w:rsidR="00980E5F" w:rsidRDefault="00980E5F">
            <w:pPr>
              <w:rPr>
                <w:rFonts w:ascii="宋体"/>
              </w:rPr>
            </w:pPr>
          </w:p>
        </w:tc>
        <w:tc>
          <w:tcPr>
            <w:tcW w:w="449" w:type="pct"/>
            <w:shd w:val="clear" w:color="auto" w:fill="auto"/>
            <w:vAlign w:val="bottom"/>
          </w:tcPr>
          <w:p w14:paraId="392CAEAB" w14:textId="77777777" w:rsidR="00980E5F" w:rsidRDefault="00980E5F">
            <w:pPr>
              <w:rPr>
                <w:rFonts w:ascii="宋体"/>
              </w:rPr>
            </w:pPr>
          </w:p>
        </w:tc>
        <w:tc>
          <w:tcPr>
            <w:tcW w:w="5" w:type="pct"/>
            <w:shd w:val="clear" w:color="auto" w:fill="auto"/>
            <w:vAlign w:val="bottom"/>
          </w:tcPr>
          <w:p w14:paraId="392CAEAC" w14:textId="77777777" w:rsidR="00980E5F" w:rsidRDefault="00980E5F">
            <w:pPr>
              <w:rPr>
                <w:rFonts w:ascii="宋体"/>
              </w:rPr>
            </w:pPr>
          </w:p>
        </w:tc>
      </w:tr>
      <w:tr w:rsidR="00980E5F" w14:paraId="392CAEE6" w14:textId="77777777">
        <w:trPr>
          <w:hidden/>
        </w:trPr>
        <w:tc>
          <w:tcPr>
            <w:tcW w:w="0" w:type="auto"/>
            <w:gridSpan w:val="3"/>
            <w:shd w:val="clear" w:color="auto" w:fill="auto"/>
            <w:vAlign w:val="bottom"/>
          </w:tcPr>
          <w:p w14:paraId="392CAEAE" w14:textId="77777777" w:rsidR="00980E5F" w:rsidRDefault="00980E5F">
            <w:pPr>
              <w:rPr>
                <w:rFonts w:ascii="宋体"/>
                <w:vanish/>
              </w:rPr>
            </w:pPr>
          </w:p>
        </w:tc>
        <w:tc>
          <w:tcPr>
            <w:tcW w:w="0" w:type="auto"/>
            <w:gridSpan w:val="3"/>
            <w:shd w:val="clear" w:color="auto" w:fill="auto"/>
            <w:vAlign w:val="bottom"/>
          </w:tcPr>
          <w:p w14:paraId="392CAEAF" w14:textId="77777777" w:rsidR="00980E5F" w:rsidRDefault="00980E5F">
            <w:pPr>
              <w:rPr>
                <w:rFonts w:ascii="宋体"/>
                <w:vanish/>
              </w:rPr>
            </w:pPr>
          </w:p>
        </w:tc>
        <w:tc>
          <w:tcPr>
            <w:tcW w:w="0" w:type="auto"/>
            <w:shd w:val="clear" w:color="auto" w:fill="auto"/>
            <w:vAlign w:val="bottom"/>
          </w:tcPr>
          <w:p w14:paraId="392CAEB0" w14:textId="77777777" w:rsidR="00980E5F" w:rsidRDefault="00980E5F">
            <w:pPr>
              <w:rPr>
                <w:rFonts w:ascii="宋体"/>
              </w:rPr>
            </w:pPr>
          </w:p>
        </w:tc>
        <w:tc>
          <w:tcPr>
            <w:tcW w:w="0" w:type="auto"/>
            <w:shd w:val="clear" w:color="auto" w:fill="auto"/>
            <w:vAlign w:val="bottom"/>
          </w:tcPr>
          <w:p w14:paraId="392CAEB1" w14:textId="77777777" w:rsidR="00980E5F" w:rsidRDefault="00980E5F">
            <w:pPr>
              <w:rPr>
                <w:rFonts w:ascii="宋体"/>
              </w:rPr>
            </w:pPr>
          </w:p>
        </w:tc>
        <w:tc>
          <w:tcPr>
            <w:tcW w:w="0" w:type="auto"/>
            <w:shd w:val="clear" w:color="auto" w:fill="auto"/>
            <w:vAlign w:val="bottom"/>
          </w:tcPr>
          <w:p w14:paraId="392CAEB2" w14:textId="77777777" w:rsidR="00980E5F" w:rsidRDefault="00980E5F">
            <w:pPr>
              <w:rPr>
                <w:rFonts w:ascii="宋体"/>
              </w:rPr>
            </w:pPr>
          </w:p>
        </w:tc>
        <w:tc>
          <w:tcPr>
            <w:tcW w:w="0" w:type="auto"/>
            <w:shd w:val="clear" w:color="auto" w:fill="auto"/>
            <w:vAlign w:val="bottom"/>
          </w:tcPr>
          <w:p w14:paraId="392CAEB3" w14:textId="77777777" w:rsidR="00980E5F" w:rsidRDefault="00980E5F">
            <w:pPr>
              <w:rPr>
                <w:rFonts w:ascii="宋体"/>
              </w:rPr>
            </w:pPr>
          </w:p>
        </w:tc>
        <w:tc>
          <w:tcPr>
            <w:tcW w:w="0" w:type="auto"/>
            <w:shd w:val="clear" w:color="auto" w:fill="auto"/>
            <w:vAlign w:val="bottom"/>
          </w:tcPr>
          <w:p w14:paraId="392CAEB4" w14:textId="77777777" w:rsidR="00980E5F" w:rsidRDefault="00980E5F">
            <w:pPr>
              <w:rPr>
                <w:rFonts w:ascii="宋体"/>
              </w:rPr>
            </w:pPr>
          </w:p>
        </w:tc>
        <w:tc>
          <w:tcPr>
            <w:tcW w:w="0" w:type="auto"/>
            <w:shd w:val="clear" w:color="auto" w:fill="auto"/>
            <w:vAlign w:val="bottom"/>
          </w:tcPr>
          <w:p w14:paraId="392CAEB5" w14:textId="77777777" w:rsidR="00980E5F" w:rsidRDefault="00980E5F">
            <w:pPr>
              <w:rPr>
                <w:rFonts w:ascii="宋体"/>
              </w:rPr>
            </w:pPr>
          </w:p>
        </w:tc>
        <w:tc>
          <w:tcPr>
            <w:tcW w:w="0" w:type="auto"/>
            <w:shd w:val="clear" w:color="auto" w:fill="auto"/>
            <w:vAlign w:val="bottom"/>
          </w:tcPr>
          <w:p w14:paraId="392CAEB6" w14:textId="77777777" w:rsidR="00980E5F" w:rsidRDefault="00980E5F">
            <w:pPr>
              <w:rPr>
                <w:rFonts w:ascii="宋体"/>
              </w:rPr>
            </w:pPr>
          </w:p>
        </w:tc>
        <w:tc>
          <w:tcPr>
            <w:tcW w:w="0" w:type="auto"/>
            <w:shd w:val="clear" w:color="auto" w:fill="auto"/>
            <w:vAlign w:val="bottom"/>
          </w:tcPr>
          <w:p w14:paraId="392CAEB7" w14:textId="77777777" w:rsidR="00980E5F" w:rsidRDefault="00980E5F">
            <w:pPr>
              <w:rPr>
                <w:rFonts w:ascii="宋体"/>
              </w:rPr>
            </w:pPr>
          </w:p>
        </w:tc>
        <w:tc>
          <w:tcPr>
            <w:tcW w:w="0" w:type="auto"/>
            <w:shd w:val="clear" w:color="auto" w:fill="auto"/>
            <w:vAlign w:val="bottom"/>
          </w:tcPr>
          <w:p w14:paraId="392CAEB8" w14:textId="77777777" w:rsidR="00980E5F" w:rsidRDefault="00980E5F">
            <w:pPr>
              <w:rPr>
                <w:rFonts w:ascii="宋体"/>
              </w:rPr>
            </w:pPr>
          </w:p>
        </w:tc>
        <w:tc>
          <w:tcPr>
            <w:tcW w:w="0" w:type="auto"/>
            <w:shd w:val="clear" w:color="auto" w:fill="auto"/>
            <w:vAlign w:val="bottom"/>
          </w:tcPr>
          <w:p w14:paraId="392CAEB9" w14:textId="77777777" w:rsidR="00980E5F" w:rsidRDefault="00980E5F">
            <w:pPr>
              <w:rPr>
                <w:rFonts w:ascii="宋体"/>
              </w:rPr>
            </w:pPr>
          </w:p>
        </w:tc>
        <w:tc>
          <w:tcPr>
            <w:tcW w:w="0" w:type="auto"/>
            <w:shd w:val="clear" w:color="auto" w:fill="auto"/>
            <w:vAlign w:val="bottom"/>
          </w:tcPr>
          <w:p w14:paraId="392CAEBA" w14:textId="77777777" w:rsidR="00980E5F" w:rsidRDefault="00980E5F">
            <w:pPr>
              <w:rPr>
                <w:rFonts w:ascii="宋体"/>
              </w:rPr>
            </w:pPr>
          </w:p>
        </w:tc>
        <w:tc>
          <w:tcPr>
            <w:tcW w:w="0" w:type="auto"/>
            <w:shd w:val="clear" w:color="auto" w:fill="auto"/>
            <w:vAlign w:val="bottom"/>
          </w:tcPr>
          <w:p w14:paraId="392CAEBB" w14:textId="77777777" w:rsidR="00980E5F" w:rsidRDefault="00980E5F">
            <w:pPr>
              <w:rPr>
                <w:rFonts w:ascii="宋体"/>
              </w:rPr>
            </w:pPr>
          </w:p>
        </w:tc>
        <w:tc>
          <w:tcPr>
            <w:tcW w:w="0" w:type="auto"/>
            <w:shd w:val="clear" w:color="auto" w:fill="auto"/>
            <w:vAlign w:val="bottom"/>
          </w:tcPr>
          <w:p w14:paraId="392CAEBC" w14:textId="77777777" w:rsidR="00980E5F" w:rsidRDefault="00980E5F">
            <w:pPr>
              <w:rPr>
                <w:rFonts w:ascii="宋体"/>
              </w:rPr>
            </w:pPr>
          </w:p>
        </w:tc>
        <w:tc>
          <w:tcPr>
            <w:tcW w:w="0" w:type="auto"/>
            <w:shd w:val="clear" w:color="auto" w:fill="auto"/>
            <w:vAlign w:val="bottom"/>
          </w:tcPr>
          <w:p w14:paraId="392CAEBD" w14:textId="77777777" w:rsidR="00980E5F" w:rsidRDefault="00980E5F">
            <w:pPr>
              <w:rPr>
                <w:rFonts w:ascii="宋体"/>
              </w:rPr>
            </w:pPr>
          </w:p>
        </w:tc>
        <w:tc>
          <w:tcPr>
            <w:tcW w:w="0" w:type="auto"/>
            <w:shd w:val="clear" w:color="auto" w:fill="auto"/>
            <w:vAlign w:val="bottom"/>
          </w:tcPr>
          <w:p w14:paraId="392CAEBE" w14:textId="77777777" w:rsidR="00980E5F" w:rsidRDefault="00980E5F">
            <w:pPr>
              <w:rPr>
                <w:rFonts w:ascii="宋体"/>
              </w:rPr>
            </w:pPr>
          </w:p>
        </w:tc>
        <w:tc>
          <w:tcPr>
            <w:tcW w:w="0" w:type="auto"/>
            <w:shd w:val="clear" w:color="auto" w:fill="auto"/>
            <w:vAlign w:val="bottom"/>
          </w:tcPr>
          <w:p w14:paraId="392CAEBF" w14:textId="77777777" w:rsidR="00980E5F" w:rsidRDefault="00980E5F">
            <w:pPr>
              <w:rPr>
                <w:rFonts w:ascii="宋体"/>
              </w:rPr>
            </w:pPr>
          </w:p>
        </w:tc>
        <w:tc>
          <w:tcPr>
            <w:tcW w:w="0" w:type="auto"/>
            <w:shd w:val="clear" w:color="auto" w:fill="auto"/>
            <w:vAlign w:val="bottom"/>
          </w:tcPr>
          <w:p w14:paraId="392CAEC0" w14:textId="77777777" w:rsidR="00980E5F" w:rsidRDefault="00980E5F">
            <w:pPr>
              <w:rPr>
                <w:rFonts w:ascii="宋体"/>
              </w:rPr>
            </w:pPr>
          </w:p>
        </w:tc>
        <w:tc>
          <w:tcPr>
            <w:tcW w:w="0" w:type="auto"/>
            <w:shd w:val="clear" w:color="auto" w:fill="auto"/>
            <w:vAlign w:val="bottom"/>
          </w:tcPr>
          <w:p w14:paraId="392CAEC1" w14:textId="77777777" w:rsidR="00980E5F" w:rsidRDefault="00980E5F">
            <w:pPr>
              <w:rPr>
                <w:rFonts w:ascii="宋体"/>
              </w:rPr>
            </w:pPr>
          </w:p>
        </w:tc>
        <w:tc>
          <w:tcPr>
            <w:tcW w:w="0" w:type="auto"/>
            <w:shd w:val="clear" w:color="auto" w:fill="auto"/>
            <w:vAlign w:val="bottom"/>
          </w:tcPr>
          <w:p w14:paraId="392CAEC2" w14:textId="77777777" w:rsidR="00980E5F" w:rsidRDefault="00980E5F">
            <w:pPr>
              <w:rPr>
                <w:rFonts w:ascii="宋体"/>
              </w:rPr>
            </w:pPr>
          </w:p>
        </w:tc>
        <w:tc>
          <w:tcPr>
            <w:tcW w:w="0" w:type="auto"/>
            <w:shd w:val="clear" w:color="auto" w:fill="auto"/>
            <w:vAlign w:val="bottom"/>
          </w:tcPr>
          <w:p w14:paraId="392CAEC3" w14:textId="77777777" w:rsidR="00980E5F" w:rsidRDefault="00980E5F">
            <w:pPr>
              <w:rPr>
                <w:rFonts w:ascii="宋体"/>
              </w:rPr>
            </w:pPr>
          </w:p>
        </w:tc>
        <w:tc>
          <w:tcPr>
            <w:tcW w:w="0" w:type="auto"/>
            <w:shd w:val="clear" w:color="auto" w:fill="auto"/>
            <w:vAlign w:val="bottom"/>
          </w:tcPr>
          <w:p w14:paraId="392CAEC4" w14:textId="77777777" w:rsidR="00980E5F" w:rsidRDefault="00980E5F">
            <w:pPr>
              <w:rPr>
                <w:rFonts w:ascii="宋体"/>
              </w:rPr>
            </w:pPr>
          </w:p>
        </w:tc>
        <w:tc>
          <w:tcPr>
            <w:tcW w:w="0" w:type="auto"/>
            <w:shd w:val="clear" w:color="auto" w:fill="auto"/>
            <w:vAlign w:val="bottom"/>
          </w:tcPr>
          <w:p w14:paraId="392CAEC5" w14:textId="77777777" w:rsidR="00980E5F" w:rsidRDefault="00980E5F">
            <w:pPr>
              <w:rPr>
                <w:rFonts w:ascii="宋体"/>
              </w:rPr>
            </w:pPr>
          </w:p>
        </w:tc>
        <w:tc>
          <w:tcPr>
            <w:tcW w:w="0" w:type="auto"/>
            <w:shd w:val="clear" w:color="auto" w:fill="auto"/>
            <w:vAlign w:val="bottom"/>
          </w:tcPr>
          <w:p w14:paraId="392CAEC6" w14:textId="77777777" w:rsidR="00980E5F" w:rsidRDefault="00980E5F">
            <w:pPr>
              <w:rPr>
                <w:rFonts w:ascii="宋体"/>
              </w:rPr>
            </w:pPr>
          </w:p>
        </w:tc>
        <w:tc>
          <w:tcPr>
            <w:tcW w:w="0" w:type="auto"/>
            <w:shd w:val="clear" w:color="auto" w:fill="auto"/>
            <w:vAlign w:val="bottom"/>
          </w:tcPr>
          <w:p w14:paraId="392CAEC7" w14:textId="77777777" w:rsidR="00980E5F" w:rsidRDefault="00980E5F">
            <w:pPr>
              <w:rPr>
                <w:rFonts w:ascii="宋体"/>
              </w:rPr>
            </w:pPr>
          </w:p>
        </w:tc>
        <w:tc>
          <w:tcPr>
            <w:tcW w:w="0" w:type="auto"/>
            <w:shd w:val="clear" w:color="auto" w:fill="auto"/>
            <w:vAlign w:val="bottom"/>
          </w:tcPr>
          <w:p w14:paraId="392CAEC8" w14:textId="77777777" w:rsidR="00980E5F" w:rsidRDefault="00980E5F">
            <w:pPr>
              <w:rPr>
                <w:rFonts w:ascii="宋体"/>
              </w:rPr>
            </w:pPr>
          </w:p>
        </w:tc>
        <w:tc>
          <w:tcPr>
            <w:tcW w:w="0" w:type="auto"/>
            <w:shd w:val="clear" w:color="auto" w:fill="auto"/>
            <w:vAlign w:val="bottom"/>
          </w:tcPr>
          <w:p w14:paraId="392CAEC9" w14:textId="77777777" w:rsidR="00980E5F" w:rsidRDefault="00980E5F">
            <w:pPr>
              <w:rPr>
                <w:rFonts w:ascii="宋体"/>
              </w:rPr>
            </w:pPr>
          </w:p>
        </w:tc>
        <w:tc>
          <w:tcPr>
            <w:tcW w:w="0" w:type="auto"/>
            <w:shd w:val="clear" w:color="auto" w:fill="auto"/>
            <w:vAlign w:val="bottom"/>
          </w:tcPr>
          <w:p w14:paraId="392CAECA" w14:textId="77777777" w:rsidR="00980E5F" w:rsidRDefault="00980E5F">
            <w:pPr>
              <w:rPr>
                <w:rFonts w:ascii="宋体"/>
              </w:rPr>
            </w:pPr>
          </w:p>
        </w:tc>
        <w:tc>
          <w:tcPr>
            <w:tcW w:w="0" w:type="auto"/>
            <w:shd w:val="clear" w:color="auto" w:fill="auto"/>
            <w:vAlign w:val="bottom"/>
          </w:tcPr>
          <w:p w14:paraId="392CAECB" w14:textId="77777777" w:rsidR="00980E5F" w:rsidRDefault="00980E5F">
            <w:pPr>
              <w:rPr>
                <w:rFonts w:ascii="宋体"/>
              </w:rPr>
            </w:pPr>
          </w:p>
        </w:tc>
        <w:tc>
          <w:tcPr>
            <w:tcW w:w="0" w:type="auto"/>
            <w:shd w:val="clear" w:color="auto" w:fill="auto"/>
            <w:vAlign w:val="bottom"/>
          </w:tcPr>
          <w:p w14:paraId="392CAECC" w14:textId="77777777" w:rsidR="00980E5F" w:rsidRDefault="00980E5F">
            <w:pPr>
              <w:rPr>
                <w:rFonts w:ascii="宋体"/>
              </w:rPr>
            </w:pPr>
          </w:p>
        </w:tc>
        <w:tc>
          <w:tcPr>
            <w:tcW w:w="0" w:type="auto"/>
            <w:shd w:val="clear" w:color="auto" w:fill="auto"/>
            <w:vAlign w:val="bottom"/>
          </w:tcPr>
          <w:p w14:paraId="392CAECD" w14:textId="77777777" w:rsidR="00980E5F" w:rsidRDefault="00980E5F">
            <w:pPr>
              <w:rPr>
                <w:rFonts w:ascii="宋体"/>
              </w:rPr>
            </w:pPr>
          </w:p>
        </w:tc>
        <w:tc>
          <w:tcPr>
            <w:tcW w:w="0" w:type="auto"/>
            <w:shd w:val="clear" w:color="auto" w:fill="auto"/>
            <w:vAlign w:val="bottom"/>
          </w:tcPr>
          <w:p w14:paraId="392CAECE" w14:textId="77777777" w:rsidR="00980E5F" w:rsidRDefault="00980E5F">
            <w:pPr>
              <w:rPr>
                <w:rFonts w:ascii="宋体"/>
              </w:rPr>
            </w:pPr>
          </w:p>
        </w:tc>
        <w:tc>
          <w:tcPr>
            <w:tcW w:w="0" w:type="auto"/>
            <w:shd w:val="clear" w:color="auto" w:fill="auto"/>
            <w:vAlign w:val="bottom"/>
          </w:tcPr>
          <w:p w14:paraId="392CAECF" w14:textId="77777777" w:rsidR="00980E5F" w:rsidRDefault="00980E5F">
            <w:pPr>
              <w:rPr>
                <w:rFonts w:ascii="宋体"/>
              </w:rPr>
            </w:pPr>
          </w:p>
        </w:tc>
        <w:tc>
          <w:tcPr>
            <w:tcW w:w="0" w:type="auto"/>
            <w:shd w:val="clear" w:color="auto" w:fill="auto"/>
            <w:vAlign w:val="bottom"/>
          </w:tcPr>
          <w:p w14:paraId="392CAED0" w14:textId="77777777" w:rsidR="00980E5F" w:rsidRDefault="00980E5F">
            <w:pPr>
              <w:rPr>
                <w:rFonts w:ascii="宋体"/>
              </w:rPr>
            </w:pPr>
          </w:p>
        </w:tc>
        <w:tc>
          <w:tcPr>
            <w:tcW w:w="0" w:type="auto"/>
            <w:shd w:val="clear" w:color="auto" w:fill="auto"/>
            <w:vAlign w:val="bottom"/>
          </w:tcPr>
          <w:p w14:paraId="392CAED1" w14:textId="77777777" w:rsidR="00980E5F" w:rsidRDefault="00980E5F">
            <w:pPr>
              <w:rPr>
                <w:rFonts w:ascii="宋体"/>
              </w:rPr>
            </w:pPr>
          </w:p>
        </w:tc>
        <w:tc>
          <w:tcPr>
            <w:tcW w:w="0" w:type="auto"/>
            <w:shd w:val="clear" w:color="auto" w:fill="auto"/>
            <w:vAlign w:val="bottom"/>
          </w:tcPr>
          <w:p w14:paraId="392CAED2" w14:textId="77777777" w:rsidR="00980E5F" w:rsidRDefault="00980E5F">
            <w:pPr>
              <w:rPr>
                <w:rFonts w:ascii="宋体"/>
              </w:rPr>
            </w:pPr>
          </w:p>
        </w:tc>
        <w:tc>
          <w:tcPr>
            <w:tcW w:w="0" w:type="auto"/>
            <w:shd w:val="clear" w:color="auto" w:fill="auto"/>
            <w:vAlign w:val="bottom"/>
          </w:tcPr>
          <w:p w14:paraId="392CAED3" w14:textId="77777777" w:rsidR="00980E5F" w:rsidRDefault="00980E5F">
            <w:pPr>
              <w:rPr>
                <w:rFonts w:ascii="宋体"/>
              </w:rPr>
            </w:pPr>
          </w:p>
        </w:tc>
        <w:tc>
          <w:tcPr>
            <w:tcW w:w="0" w:type="auto"/>
            <w:shd w:val="clear" w:color="auto" w:fill="auto"/>
            <w:vAlign w:val="bottom"/>
          </w:tcPr>
          <w:p w14:paraId="392CAED4" w14:textId="77777777" w:rsidR="00980E5F" w:rsidRDefault="00980E5F">
            <w:pPr>
              <w:rPr>
                <w:rFonts w:ascii="宋体"/>
              </w:rPr>
            </w:pPr>
          </w:p>
        </w:tc>
        <w:tc>
          <w:tcPr>
            <w:tcW w:w="0" w:type="auto"/>
            <w:shd w:val="clear" w:color="auto" w:fill="auto"/>
            <w:vAlign w:val="bottom"/>
          </w:tcPr>
          <w:p w14:paraId="392CAED5" w14:textId="77777777" w:rsidR="00980E5F" w:rsidRDefault="00980E5F">
            <w:pPr>
              <w:rPr>
                <w:rFonts w:ascii="宋体"/>
              </w:rPr>
            </w:pPr>
          </w:p>
        </w:tc>
        <w:tc>
          <w:tcPr>
            <w:tcW w:w="0" w:type="auto"/>
            <w:shd w:val="clear" w:color="auto" w:fill="auto"/>
            <w:vAlign w:val="bottom"/>
          </w:tcPr>
          <w:p w14:paraId="392CAED6" w14:textId="77777777" w:rsidR="00980E5F" w:rsidRDefault="00980E5F">
            <w:pPr>
              <w:rPr>
                <w:rFonts w:ascii="宋体"/>
              </w:rPr>
            </w:pPr>
          </w:p>
        </w:tc>
        <w:tc>
          <w:tcPr>
            <w:tcW w:w="0" w:type="auto"/>
            <w:shd w:val="clear" w:color="auto" w:fill="auto"/>
            <w:vAlign w:val="bottom"/>
          </w:tcPr>
          <w:p w14:paraId="392CAED7" w14:textId="77777777" w:rsidR="00980E5F" w:rsidRDefault="00980E5F">
            <w:pPr>
              <w:rPr>
                <w:rFonts w:ascii="宋体"/>
              </w:rPr>
            </w:pPr>
          </w:p>
        </w:tc>
        <w:tc>
          <w:tcPr>
            <w:tcW w:w="0" w:type="auto"/>
            <w:shd w:val="clear" w:color="auto" w:fill="auto"/>
            <w:vAlign w:val="bottom"/>
          </w:tcPr>
          <w:p w14:paraId="392CAED8" w14:textId="77777777" w:rsidR="00980E5F" w:rsidRDefault="00980E5F">
            <w:pPr>
              <w:rPr>
                <w:rFonts w:ascii="宋体"/>
              </w:rPr>
            </w:pPr>
          </w:p>
        </w:tc>
        <w:tc>
          <w:tcPr>
            <w:tcW w:w="0" w:type="auto"/>
            <w:shd w:val="clear" w:color="auto" w:fill="auto"/>
            <w:vAlign w:val="bottom"/>
          </w:tcPr>
          <w:p w14:paraId="392CAED9" w14:textId="77777777" w:rsidR="00980E5F" w:rsidRDefault="00980E5F">
            <w:pPr>
              <w:rPr>
                <w:rFonts w:ascii="宋体"/>
              </w:rPr>
            </w:pPr>
          </w:p>
        </w:tc>
        <w:tc>
          <w:tcPr>
            <w:tcW w:w="0" w:type="auto"/>
            <w:shd w:val="clear" w:color="auto" w:fill="auto"/>
            <w:vAlign w:val="bottom"/>
          </w:tcPr>
          <w:p w14:paraId="392CAEDA" w14:textId="77777777" w:rsidR="00980E5F" w:rsidRDefault="00980E5F">
            <w:pPr>
              <w:rPr>
                <w:rFonts w:ascii="宋体"/>
              </w:rPr>
            </w:pPr>
          </w:p>
        </w:tc>
        <w:tc>
          <w:tcPr>
            <w:tcW w:w="0" w:type="auto"/>
            <w:shd w:val="clear" w:color="auto" w:fill="auto"/>
            <w:vAlign w:val="bottom"/>
          </w:tcPr>
          <w:p w14:paraId="392CAEDB" w14:textId="77777777" w:rsidR="00980E5F" w:rsidRDefault="00980E5F">
            <w:pPr>
              <w:rPr>
                <w:rFonts w:ascii="宋体"/>
              </w:rPr>
            </w:pPr>
          </w:p>
        </w:tc>
        <w:tc>
          <w:tcPr>
            <w:tcW w:w="0" w:type="auto"/>
            <w:shd w:val="clear" w:color="auto" w:fill="auto"/>
            <w:vAlign w:val="bottom"/>
          </w:tcPr>
          <w:p w14:paraId="392CAEDC" w14:textId="77777777" w:rsidR="00980E5F" w:rsidRDefault="00980E5F">
            <w:pPr>
              <w:rPr>
                <w:rFonts w:ascii="宋体"/>
              </w:rPr>
            </w:pPr>
          </w:p>
        </w:tc>
        <w:tc>
          <w:tcPr>
            <w:tcW w:w="0" w:type="auto"/>
            <w:shd w:val="clear" w:color="auto" w:fill="auto"/>
            <w:vAlign w:val="bottom"/>
          </w:tcPr>
          <w:p w14:paraId="392CAEDD" w14:textId="77777777" w:rsidR="00980E5F" w:rsidRDefault="00980E5F">
            <w:pPr>
              <w:rPr>
                <w:rFonts w:ascii="宋体"/>
              </w:rPr>
            </w:pPr>
          </w:p>
        </w:tc>
        <w:tc>
          <w:tcPr>
            <w:tcW w:w="0" w:type="auto"/>
            <w:shd w:val="clear" w:color="auto" w:fill="auto"/>
            <w:vAlign w:val="bottom"/>
          </w:tcPr>
          <w:p w14:paraId="392CAEDE" w14:textId="77777777" w:rsidR="00980E5F" w:rsidRDefault="00980E5F">
            <w:pPr>
              <w:rPr>
                <w:rFonts w:ascii="宋体"/>
              </w:rPr>
            </w:pPr>
          </w:p>
        </w:tc>
        <w:tc>
          <w:tcPr>
            <w:tcW w:w="0" w:type="auto"/>
            <w:shd w:val="clear" w:color="auto" w:fill="auto"/>
            <w:vAlign w:val="bottom"/>
          </w:tcPr>
          <w:p w14:paraId="392CAEDF" w14:textId="77777777" w:rsidR="00980E5F" w:rsidRDefault="00980E5F">
            <w:pPr>
              <w:rPr>
                <w:rFonts w:ascii="宋体"/>
              </w:rPr>
            </w:pPr>
          </w:p>
        </w:tc>
        <w:tc>
          <w:tcPr>
            <w:tcW w:w="0" w:type="auto"/>
            <w:shd w:val="clear" w:color="auto" w:fill="auto"/>
            <w:vAlign w:val="bottom"/>
          </w:tcPr>
          <w:p w14:paraId="392CAEE0" w14:textId="77777777" w:rsidR="00980E5F" w:rsidRDefault="00980E5F">
            <w:pPr>
              <w:rPr>
                <w:rFonts w:ascii="宋体"/>
              </w:rPr>
            </w:pPr>
          </w:p>
        </w:tc>
        <w:tc>
          <w:tcPr>
            <w:tcW w:w="0" w:type="auto"/>
            <w:shd w:val="clear" w:color="auto" w:fill="auto"/>
            <w:vAlign w:val="bottom"/>
          </w:tcPr>
          <w:p w14:paraId="392CAEE1" w14:textId="77777777" w:rsidR="00980E5F" w:rsidRDefault="00980E5F">
            <w:pPr>
              <w:rPr>
                <w:rFonts w:ascii="宋体"/>
              </w:rPr>
            </w:pPr>
          </w:p>
        </w:tc>
        <w:tc>
          <w:tcPr>
            <w:tcW w:w="0" w:type="auto"/>
            <w:shd w:val="clear" w:color="auto" w:fill="auto"/>
            <w:vAlign w:val="bottom"/>
          </w:tcPr>
          <w:p w14:paraId="392CAEE2" w14:textId="77777777" w:rsidR="00980E5F" w:rsidRDefault="00980E5F">
            <w:pPr>
              <w:rPr>
                <w:rFonts w:ascii="宋体"/>
              </w:rPr>
            </w:pPr>
          </w:p>
        </w:tc>
        <w:tc>
          <w:tcPr>
            <w:tcW w:w="0" w:type="auto"/>
            <w:shd w:val="clear" w:color="auto" w:fill="auto"/>
            <w:vAlign w:val="bottom"/>
          </w:tcPr>
          <w:p w14:paraId="392CAEE3" w14:textId="77777777" w:rsidR="00980E5F" w:rsidRDefault="00980E5F">
            <w:pPr>
              <w:rPr>
                <w:rFonts w:ascii="宋体"/>
              </w:rPr>
            </w:pPr>
          </w:p>
        </w:tc>
        <w:tc>
          <w:tcPr>
            <w:tcW w:w="0" w:type="auto"/>
            <w:shd w:val="clear" w:color="auto" w:fill="auto"/>
            <w:vAlign w:val="bottom"/>
          </w:tcPr>
          <w:p w14:paraId="392CAEE4" w14:textId="77777777" w:rsidR="00980E5F" w:rsidRDefault="00980E5F">
            <w:pPr>
              <w:rPr>
                <w:rFonts w:ascii="宋体"/>
              </w:rPr>
            </w:pPr>
          </w:p>
        </w:tc>
        <w:tc>
          <w:tcPr>
            <w:tcW w:w="0" w:type="auto"/>
            <w:shd w:val="clear" w:color="auto" w:fill="auto"/>
            <w:vAlign w:val="bottom"/>
          </w:tcPr>
          <w:p w14:paraId="392CAEE5" w14:textId="77777777" w:rsidR="00980E5F" w:rsidRDefault="00980E5F">
            <w:pPr>
              <w:rPr>
                <w:rFonts w:ascii="宋体"/>
              </w:rPr>
            </w:pPr>
          </w:p>
        </w:tc>
      </w:tr>
      <w:tr w:rsidR="00980E5F" w14:paraId="392CAF13" w14:textId="77777777">
        <w:trPr>
          <w:hidden/>
        </w:trPr>
        <w:tc>
          <w:tcPr>
            <w:tcW w:w="0" w:type="auto"/>
            <w:gridSpan w:val="3"/>
            <w:shd w:val="clear" w:color="auto" w:fill="auto"/>
            <w:vAlign w:val="bottom"/>
          </w:tcPr>
          <w:p w14:paraId="392CAEE7" w14:textId="77777777" w:rsidR="00980E5F" w:rsidRDefault="00980E5F">
            <w:pPr>
              <w:rPr>
                <w:rFonts w:ascii="宋体"/>
                <w:vanish/>
              </w:rPr>
            </w:pPr>
          </w:p>
        </w:tc>
        <w:tc>
          <w:tcPr>
            <w:tcW w:w="0" w:type="auto"/>
            <w:gridSpan w:val="3"/>
            <w:shd w:val="clear" w:color="auto" w:fill="auto"/>
            <w:vAlign w:val="bottom"/>
          </w:tcPr>
          <w:p w14:paraId="392CAEE8" w14:textId="77777777" w:rsidR="00980E5F" w:rsidRDefault="00980E5F">
            <w:pPr>
              <w:rPr>
                <w:rFonts w:ascii="宋体"/>
                <w:vanish/>
              </w:rPr>
            </w:pPr>
          </w:p>
        </w:tc>
        <w:tc>
          <w:tcPr>
            <w:tcW w:w="0" w:type="auto"/>
            <w:gridSpan w:val="3"/>
            <w:shd w:val="clear" w:color="auto" w:fill="auto"/>
            <w:vAlign w:val="bottom"/>
          </w:tcPr>
          <w:p w14:paraId="392CAEE9" w14:textId="77777777" w:rsidR="00980E5F" w:rsidRDefault="00980E5F">
            <w:pPr>
              <w:rPr>
                <w:rFonts w:ascii="宋体"/>
                <w:vanish/>
              </w:rPr>
            </w:pPr>
          </w:p>
        </w:tc>
        <w:tc>
          <w:tcPr>
            <w:tcW w:w="0" w:type="auto"/>
            <w:gridSpan w:val="3"/>
            <w:shd w:val="clear" w:color="auto" w:fill="auto"/>
            <w:vAlign w:val="bottom"/>
          </w:tcPr>
          <w:p w14:paraId="392CAEEA" w14:textId="77777777" w:rsidR="00980E5F" w:rsidRDefault="00980E5F">
            <w:pPr>
              <w:rPr>
                <w:rFonts w:ascii="宋体"/>
                <w:vanish/>
              </w:rPr>
            </w:pPr>
          </w:p>
        </w:tc>
        <w:tc>
          <w:tcPr>
            <w:tcW w:w="0" w:type="auto"/>
            <w:gridSpan w:val="3"/>
            <w:shd w:val="clear" w:color="auto" w:fill="auto"/>
            <w:vAlign w:val="bottom"/>
          </w:tcPr>
          <w:p w14:paraId="392CAEEB" w14:textId="77777777" w:rsidR="00980E5F" w:rsidRDefault="00980E5F">
            <w:pPr>
              <w:rPr>
                <w:rFonts w:ascii="宋体"/>
                <w:vanish/>
              </w:rPr>
            </w:pPr>
          </w:p>
        </w:tc>
        <w:tc>
          <w:tcPr>
            <w:tcW w:w="0" w:type="auto"/>
            <w:gridSpan w:val="3"/>
            <w:shd w:val="clear" w:color="auto" w:fill="auto"/>
            <w:vAlign w:val="bottom"/>
          </w:tcPr>
          <w:p w14:paraId="392CAEEC" w14:textId="77777777" w:rsidR="00980E5F" w:rsidRDefault="00980E5F">
            <w:pPr>
              <w:rPr>
                <w:rFonts w:ascii="宋体"/>
                <w:vanish/>
              </w:rPr>
            </w:pPr>
          </w:p>
        </w:tc>
        <w:tc>
          <w:tcPr>
            <w:tcW w:w="0" w:type="auto"/>
            <w:gridSpan w:val="3"/>
            <w:shd w:val="clear" w:color="auto" w:fill="auto"/>
            <w:vAlign w:val="bottom"/>
          </w:tcPr>
          <w:p w14:paraId="392CAEED" w14:textId="77777777" w:rsidR="00980E5F" w:rsidRDefault="00980E5F">
            <w:pPr>
              <w:rPr>
                <w:rFonts w:ascii="宋体"/>
                <w:vanish/>
              </w:rPr>
            </w:pPr>
          </w:p>
        </w:tc>
        <w:tc>
          <w:tcPr>
            <w:tcW w:w="0" w:type="auto"/>
            <w:gridSpan w:val="3"/>
            <w:shd w:val="clear" w:color="auto" w:fill="auto"/>
            <w:vAlign w:val="bottom"/>
          </w:tcPr>
          <w:p w14:paraId="392CAEEE" w14:textId="77777777" w:rsidR="00980E5F" w:rsidRDefault="00980E5F">
            <w:pPr>
              <w:rPr>
                <w:rFonts w:ascii="宋体"/>
                <w:vanish/>
              </w:rPr>
            </w:pPr>
          </w:p>
        </w:tc>
        <w:tc>
          <w:tcPr>
            <w:tcW w:w="0" w:type="auto"/>
            <w:shd w:val="clear" w:color="auto" w:fill="auto"/>
            <w:vAlign w:val="bottom"/>
          </w:tcPr>
          <w:p w14:paraId="392CAEEF" w14:textId="77777777" w:rsidR="00980E5F" w:rsidRDefault="00980E5F">
            <w:pPr>
              <w:rPr>
                <w:rFonts w:ascii="宋体"/>
              </w:rPr>
            </w:pPr>
          </w:p>
        </w:tc>
        <w:tc>
          <w:tcPr>
            <w:tcW w:w="0" w:type="auto"/>
            <w:shd w:val="clear" w:color="auto" w:fill="auto"/>
            <w:vAlign w:val="bottom"/>
          </w:tcPr>
          <w:p w14:paraId="392CAEF0" w14:textId="77777777" w:rsidR="00980E5F" w:rsidRDefault="00980E5F">
            <w:pPr>
              <w:rPr>
                <w:rFonts w:ascii="宋体"/>
              </w:rPr>
            </w:pPr>
          </w:p>
        </w:tc>
        <w:tc>
          <w:tcPr>
            <w:tcW w:w="0" w:type="auto"/>
            <w:shd w:val="clear" w:color="auto" w:fill="auto"/>
            <w:vAlign w:val="bottom"/>
          </w:tcPr>
          <w:p w14:paraId="392CAEF1" w14:textId="77777777" w:rsidR="00980E5F" w:rsidRDefault="00980E5F">
            <w:pPr>
              <w:rPr>
                <w:rFonts w:ascii="宋体"/>
              </w:rPr>
            </w:pPr>
          </w:p>
        </w:tc>
        <w:tc>
          <w:tcPr>
            <w:tcW w:w="0" w:type="auto"/>
            <w:shd w:val="clear" w:color="auto" w:fill="auto"/>
            <w:vAlign w:val="bottom"/>
          </w:tcPr>
          <w:p w14:paraId="392CAEF2" w14:textId="77777777" w:rsidR="00980E5F" w:rsidRDefault="00980E5F">
            <w:pPr>
              <w:rPr>
                <w:rFonts w:ascii="宋体"/>
              </w:rPr>
            </w:pPr>
          </w:p>
        </w:tc>
        <w:tc>
          <w:tcPr>
            <w:tcW w:w="0" w:type="auto"/>
            <w:shd w:val="clear" w:color="auto" w:fill="auto"/>
            <w:vAlign w:val="bottom"/>
          </w:tcPr>
          <w:p w14:paraId="392CAEF3" w14:textId="77777777" w:rsidR="00980E5F" w:rsidRDefault="00980E5F">
            <w:pPr>
              <w:rPr>
                <w:rFonts w:ascii="宋体"/>
              </w:rPr>
            </w:pPr>
          </w:p>
        </w:tc>
        <w:tc>
          <w:tcPr>
            <w:tcW w:w="0" w:type="auto"/>
            <w:shd w:val="clear" w:color="auto" w:fill="auto"/>
            <w:vAlign w:val="bottom"/>
          </w:tcPr>
          <w:p w14:paraId="392CAEF4" w14:textId="77777777" w:rsidR="00980E5F" w:rsidRDefault="00980E5F">
            <w:pPr>
              <w:rPr>
                <w:rFonts w:ascii="宋体"/>
              </w:rPr>
            </w:pPr>
          </w:p>
        </w:tc>
        <w:tc>
          <w:tcPr>
            <w:tcW w:w="0" w:type="auto"/>
            <w:shd w:val="clear" w:color="auto" w:fill="auto"/>
            <w:vAlign w:val="bottom"/>
          </w:tcPr>
          <w:p w14:paraId="392CAEF5" w14:textId="77777777" w:rsidR="00980E5F" w:rsidRDefault="00980E5F">
            <w:pPr>
              <w:rPr>
                <w:rFonts w:ascii="宋体"/>
              </w:rPr>
            </w:pPr>
          </w:p>
        </w:tc>
        <w:tc>
          <w:tcPr>
            <w:tcW w:w="0" w:type="auto"/>
            <w:shd w:val="clear" w:color="auto" w:fill="auto"/>
            <w:vAlign w:val="bottom"/>
          </w:tcPr>
          <w:p w14:paraId="392CAEF6" w14:textId="77777777" w:rsidR="00980E5F" w:rsidRDefault="00980E5F">
            <w:pPr>
              <w:rPr>
                <w:rFonts w:ascii="宋体"/>
              </w:rPr>
            </w:pPr>
          </w:p>
        </w:tc>
        <w:tc>
          <w:tcPr>
            <w:tcW w:w="0" w:type="auto"/>
            <w:shd w:val="clear" w:color="auto" w:fill="auto"/>
            <w:vAlign w:val="bottom"/>
          </w:tcPr>
          <w:p w14:paraId="392CAEF7" w14:textId="77777777" w:rsidR="00980E5F" w:rsidRDefault="00980E5F">
            <w:pPr>
              <w:rPr>
                <w:rFonts w:ascii="宋体"/>
              </w:rPr>
            </w:pPr>
          </w:p>
        </w:tc>
        <w:tc>
          <w:tcPr>
            <w:tcW w:w="0" w:type="auto"/>
            <w:shd w:val="clear" w:color="auto" w:fill="auto"/>
            <w:vAlign w:val="bottom"/>
          </w:tcPr>
          <w:p w14:paraId="392CAEF8" w14:textId="77777777" w:rsidR="00980E5F" w:rsidRDefault="00980E5F">
            <w:pPr>
              <w:rPr>
                <w:rFonts w:ascii="宋体"/>
              </w:rPr>
            </w:pPr>
          </w:p>
        </w:tc>
        <w:tc>
          <w:tcPr>
            <w:tcW w:w="0" w:type="auto"/>
            <w:shd w:val="clear" w:color="auto" w:fill="auto"/>
            <w:vAlign w:val="bottom"/>
          </w:tcPr>
          <w:p w14:paraId="392CAEF9" w14:textId="77777777" w:rsidR="00980E5F" w:rsidRDefault="00980E5F">
            <w:pPr>
              <w:rPr>
                <w:rFonts w:ascii="宋体"/>
              </w:rPr>
            </w:pPr>
          </w:p>
        </w:tc>
        <w:tc>
          <w:tcPr>
            <w:tcW w:w="0" w:type="auto"/>
            <w:shd w:val="clear" w:color="auto" w:fill="auto"/>
            <w:vAlign w:val="bottom"/>
          </w:tcPr>
          <w:p w14:paraId="392CAEFA" w14:textId="77777777" w:rsidR="00980E5F" w:rsidRDefault="00980E5F">
            <w:pPr>
              <w:rPr>
                <w:rFonts w:ascii="宋体"/>
              </w:rPr>
            </w:pPr>
          </w:p>
        </w:tc>
        <w:tc>
          <w:tcPr>
            <w:tcW w:w="0" w:type="auto"/>
            <w:shd w:val="clear" w:color="auto" w:fill="auto"/>
            <w:vAlign w:val="bottom"/>
          </w:tcPr>
          <w:p w14:paraId="392CAEFB" w14:textId="77777777" w:rsidR="00980E5F" w:rsidRDefault="00980E5F">
            <w:pPr>
              <w:rPr>
                <w:rFonts w:ascii="宋体"/>
              </w:rPr>
            </w:pPr>
          </w:p>
        </w:tc>
        <w:tc>
          <w:tcPr>
            <w:tcW w:w="0" w:type="auto"/>
            <w:shd w:val="clear" w:color="auto" w:fill="auto"/>
            <w:vAlign w:val="bottom"/>
          </w:tcPr>
          <w:p w14:paraId="392CAEFC" w14:textId="77777777" w:rsidR="00980E5F" w:rsidRDefault="00980E5F">
            <w:pPr>
              <w:rPr>
                <w:rFonts w:ascii="宋体"/>
              </w:rPr>
            </w:pPr>
          </w:p>
        </w:tc>
        <w:tc>
          <w:tcPr>
            <w:tcW w:w="0" w:type="auto"/>
            <w:shd w:val="clear" w:color="auto" w:fill="auto"/>
            <w:vAlign w:val="bottom"/>
          </w:tcPr>
          <w:p w14:paraId="392CAEFD" w14:textId="77777777" w:rsidR="00980E5F" w:rsidRDefault="00980E5F">
            <w:pPr>
              <w:rPr>
                <w:rFonts w:ascii="宋体"/>
              </w:rPr>
            </w:pPr>
          </w:p>
        </w:tc>
        <w:tc>
          <w:tcPr>
            <w:tcW w:w="0" w:type="auto"/>
            <w:shd w:val="clear" w:color="auto" w:fill="auto"/>
            <w:vAlign w:val="bottom"/>
          </w:tcPr>
          <w:p w14:paraId="392CAEFE" w14:textId="77777777" w:rsidR="00980E5F" w:rsidRDefault="00980E5F">
            <w:pPr>
              <w:rPr>
                <w:rFonts w:ascii="宋体"/>
              </w:rPr>
            </w:pPr>
          </w:p>
        </w:tc>
        <w:tc>
          <w:tcPr>
            <w:tcW w:w="0" w:type="auto"/>
            <w:shd w:val="clear" w:color="auto" w:fill="auto"/>
            <w:vAlign w:val="bottom"/>
          </w:tcPr>
          <w:p w14:paraId="392CAEFF" w14:textId="77777777" w:rsidR="00980E5F" w:rsidRDefault="00980E5F">
            <w:pPr>
              <w:rPr>
                <w:rFonts w:ascii="宋体"/>
              </w:rPr>
            </w:pPr>
          </w:p>
        </w:tc>
        <w:tc>
          <w:tcPr>
            <w:tcW w:w="0" w:type="auto"/>
            <w:shd w:val="clear" w:color="auto" w:fill="auto"/>
            <w:vAlign w:val="bottom"/>
          </w:tcPr>
          <w:p w14:paraId="392CAF00" w14:textId="77777777" w:rsidR="00980E5F" w:rsidRDefault="00980E5F">
            <w:pPr>
              <w:rPr>
                <w:rFonts w:ascii="宋体"/>
              </w:rPr>
            </w:pPr>
          </w:p>
        </w:tc>
        <w:tc>
          <w:tcPr>
            <w:tcW w:w="0" w:type="auto"/>
            <w:shd w:val="clear" w:color="auto" w:fill="auto"/>
            <w:vAlign w:val="bottom"/>
          </w:tcPr>
          <w:p w14:paraId="392CAF01" w14:textId="77777777" w:rsidR="00980E5F" w:rsidRDefault="00980E5F">
            <w:pPr>
              <w:rPr>
                <w:rFonts w:ascii="宋体"/>
              </w:rPr>
            </w:pPr>
          </w:p>
        </w:tc>
        <w:tc>
          <w:tcPr>
            <w:tcW w:w="0" w:type="auto"/>
            <w:shd w:val="clear" w:color="auto" w:fill="auto"/>
            <w:vAlign w:val="bottom"/>
          </w:tcPr>
          <w:p w14:paraId="392CAF02" w14:textId="77777777" w:rsidR="00980E5F" w:rsidRDefault="00980E5F">
            <w:pPr>
              <w:rPr>
                <w:rFonts w:ascii="宋体"/>
              </w:rPr>
            </w:pPr>
          </w:p>
        </w:tc>
        <w:tc>
          <w:tcPr>
            <w:tcW w:w="0" w:type="auto"/>
            <w:shd w:val="clear" w:color="auto" w:fill="auto"/>
            <w:vAlign w:val="bottom"/>
          </w:tcPr>
          <w:p w14:paraId="392CAF03" w14:textId="77777777" w:rsidR="00980E5F" w:rsidRDefault="00980E5F">
            <w:pPr>
              <w:rPr>
                <w:rFonts w:ascii="宋体"/>
              </w:rPr>
            </w:pPr>
          </w:p>
        </w:tc>
        <w:tc>
          <w:tcPr>
            <w:tcW w:w="0" w:type="auto"/>
            <w:shd w:val="clear" w:color="auto" w:fill="auto"/>
            <w:vAlign w:val="bottom"/>
          </w:tcPr>
          <w:p w14:paraId="392CAF04" w14:textId="77777777" w:rsidR="00980E5F" w:rsidRDefault="00980E5F">
            <w:pPr>
              <w:rPr>
                <w:rFonts w:ascii="宋体"/>
              </w:rPr>
            </w:pPr>
          </w:p>
        </w:tc>
        <w:tc>
          <w:tcPr>
            <w:tcW w:w="0" w:type="auto"/>
            <w:shd w:val="clear" w:color="auto" w:fill="auto"/>
            <w:vAlign w:val="bottom"/>
          </w:tcPr>
          <w:p w14:paraId="392CAF05" w14:textId="77777777" w:rsidR="00980E5F" w:rsidRDefault="00980E5F">
            <w:pPr>
              <w:rPr>
                <w:rFonts w:ascii="宋体"/>
              </w:rPr>
            </w:pPr>
          </w:p>
        </w:tc>
        <w:tc>
          <w:tcPr>
            <w:tcW w:w="0" w:type="auto"/>
            <w:shd w:val="clear" w:color="auto" w:fill="auto"/>
            <w:vAlign w:val="bottom"/>
          </w:tcPr>
          <w:p w14:paraId="392CAF06" w14:textId="77777777" w:rsidR="00980E5F" w:rsidRDefault="00980E5F">
            <w:pPr>
              <w:rPr>
                <w:rFonts w:ascii="宋体"/>
              </w:rPr>
            </w:pPr>
          </w:p>
        </w:tc>
        <w:tc>
          <w:tcPr>
            <w:tcW w:w="0" w:type="auto"/>
            <w:shd w:val="clear" w:color="auto" w:fill="auto"/>
            <w:vAlign w:val="bottom"/>
          </w:tcPr>
          <w:p w14:paraId="392CAF07" w14:textId="77777777" w:rsidR="00980E5F" w:rsidRDefault="00980E5F">
            <w:pPr>
              <w:rPr>
                <w:rFonts w:ascii="宋体"/>
              </w:rPr>
            </w:pPr>
          </w:p>
        </w:tc>
        <w:tc>
          <w:tcPr>
            <w:tcW w:w="0" w:type="auto"/>
            <w:shd w:val="clear" w:color="auto" w:fill="auto"/>
            <w:vAlign w:val="bottom"/>
          </w:tcPr>
          <w:p w14:paraId="392CAF08" w14:textId="77777777" w:rsidR="00980E5F" w:rsidRDefault="00980E5F">
            <w:pPr>
              <w:rPr>
                <w:rFonts w:ascii="宋体"/>
              </w:rPr>
            </w:pPr>
          </w:p>
        </w:tc>
        <w:tc>
          <w:tcPr>
            <w:tcW w:w="0" w:type="auto"/>
            <w:shd w:val="clear" w:color="auto" w:fill="auto"/>
            <w:vAlign w:val="bottom"/>
          </w:tcPr>
          <w:p w14:paraId="392CAF09" w14:textId="77777777" w:rsidR="00980E5F" w:rsidRDefault="00980E5F">
            <w:pPr>
              <w:rPr>
                <w:rFonts w:ascii="宋体"/>
              </w:rPr>
            </w:pPr>
          </w:p>
        </w:tc>
        <w:tc>
          <w:tcPr>
            <w:tcW w:w="0" w:type="auto"/>
            <w:shd w:val="clear" w:color="auto" w:fill="auto"/>
            <w:vAlign w:val="bottom"/>
          </w:tcPr>
          <w:p w14:paraId="392CAF0A" w14:textId="77777777" w:rsidR="00980E5F" w:rsidRDefault="00980E5F">
            <w:pPr>
              <w:rPr>
                <w:rFonts w:ascii="宋体"/>
              </w:rPr>
            </w:pPr>
          </w:p>
        </w:tc>
        <w:tc>
          <w:tcPr>
            <w:tcW w:w="0" w:type="auto"/>
            <w:shd w:val="clear" w:color="auto" w:fill="auto"/>
            <w:vAlign w:val="bottom"/>
          </w:tcPr>
          <w:p w14:paraId="392CAF0B" w14:textId="77777777" w:rsidR="00980E5F" w:rsidRDefault="00980E5F">
            <w:pPr>
              <w:rPr>
                <w:rFonts w:ascii="宋体"/>
              </w:rPr>
            </w:pPr>
          </w:p>
        </w:tc>
        <w:tc>
          <w:tcPr>
            <w:tcW w:w="0" w:type="auto"/>
            <w:shd w:val="clear" w:color="auto" w:fill="auto"/>
            <w:vAlign w:val="bottom"/>
          </w:tcPr>
          <w:p w14:paraId="392CAF0C" w14:textId="77777777" w:rsidR="00980E5F" w:rsidRDefault="00980E5F">
            <w:pPr>
              <w:rPr>
                <w:rFonts w:ascii="宋体"/>
              </w:rPr>
            </w:pPr>
          </w:p>
        </w:tc>
        <w:tc>
          <w:tcPr>
            <w:tcW w:w="0" w:type="auto"/>
            <w:shd w:val="clear" w:color="auto" w:fill="auto"/>
            <w:vAlign w:val="bottom"/>
          </w:tcPr>
          <w:p w14:paraId="392CAF0D" w14:textId="77777777" w:rsidR="00980E5F" w:rsidRDefault="00980E5F">
            <w:pPr>
              <w:rPr>
                <w:rFonts w:ascii="宋体"/>
              </w:rPr>
            </w:pPr>
          </w:p>
        </w:tc>
        <w:tc>
          <w:tcPr>
            <w:tcW w:w="0" w:type="auto"/>
            <w:shd w:val="clear" w:color="auto" w:fill="auto"/>
            <w:vAlign w:val="bottom"/>
          </w:tcPr>
          <w:p w14:paraId="392CAF0E" w14:textId="77777777" w:rsidR="00980E5F" w:rsidRDefault="00980E5F">
            <w:pPr>
              <w:rPr>
                <w:rFonts w:ascii="宋体"/>
              </w:rPr>
            </w:pPr>
          </w:p>
        </w:tc>
        <w:tc>
          <w:tcPr>
            <w:tcW w:w="0" w:type="auto"/>
            <w:shd w:val="clear" w:color="auto" w:fill="auto"/>
            <w:vAlign w:val="bottom"/>
          </w:tcPr>
          <w:p w14:paraId="392CAF0F" w14:textId="77777777" w:rsidR="00980E5F" w:rsidRDefault="00980E5F">
            <w:pPr>
              <w:rPr>
                <w:rFonts w:ascii="宋体"/>
              </w:rPr>
            </w:pPr>
          </w:p>
        </w:tc>
        <w:tc>
          <w:tcPr>
            <w:tcW w:w="0" w:type="auto"/>
            <w:shd w:val="clear" w:color="auto" w:fill="auto"/>
            <w:vAlign w:val="bottom"/>
          </w:tcPr>
          <w:p w14:paraId="392CAF10" w14:textId="77777777" w:rsidR="00980E5F" w:rsidRDefault="00980E5F">
            <w:pPr>
              <w:rPr>
                <w:rFonts w:ascii="宋体"/>
              </w:rPr>
            </w:pPr>
          </w:p>
        </w:tc>
        <w:tc>
          <w:tcPr>
            <w:tcW w:w="0" w:type="auto"/>
            <w:shd w:val="clear" w:color="auto" w:fill="auto"/>
            <w:vAlign w:val="bottom"/>
          </w:tcPr>
          <w:p w14:paraId="392CAF11" w14:textId="77777777" w:rsidR="00980E5F" w:rsidRDefault="00980E5F">
            <w:pPr>
              <w:rPr>
                <w:rFonts w:ascii="宋体"/>
              </w:rPr>
            </w:pPr>
          </w:p>
        </w:tc>
        <w:tc>
          <w:tcPr>
            <w:tcW w:w="0" w:type="auto"/>
            <w:shd w:val="clear" w:color="auto" w:fill="auto"/>
            <w:vAlign w:val="bottom"/>
          </w:tcPr>
          <w:p w14:paraId="392CAF12" w14:textId="77777777" w:rsidR="00980E5F" w:rsidRDefault="00980E5F">
            <w:pPr>
              <w:rPr>
                <w:rFonts w:ascii="宋体"/>
              </w:rPr>
            </w:pPr>
          </w:p>
        </w:tc>
      </w:tr>
      <w:tr w:rsidR="00980E5F" w14:paraId="392CAF28" w14:textId="77777777">
        <w:trPr>
          <w:hidden/>
        </w:trPr>
        <w:tc>
          <w:tcPr>
            <w:tcW w:w="0" w:type="auto"/>
            <w:gridSpan w:val="3"/>
            <w:shd w:val="clear" w:color="auto" w:fill="auto"/>
            <w:vAlign w:val="bottom"/>
          </w:tcPr>
          <w:p w14:paraId="392CAF14" w14:textId="77777777" w:rsidR="00980E5F" w:rsidRDefault="00980E5F">
            <w:pPr>
              <w:rPr>
                <w:rFonts w:ascii="宋体"/>
                <w:vanish/>
              </w:rPr>
            </w:pPr>
          </w:p>
        </w:tc>
        <w:tc>
          <w:tcPr>
            <w:tcW w:w="0" w:type="auto"/>
            <w:gridSpan w:val="3"/>
            <w:shd w:val="clear" w:color="auto" w:fill="auto"/>
            <w:vAlign w:val="bottom"/>
          </w:tcPr>
          <w:p w14:paraId="392CAF15" w14:textId="77777777" w:rsidR="00980E5F" w:rsidRDefault="00980E5F">
            <w:pPr>
              <w:rPr>
                <w:rFonts w:ascii="宋体"/>
                <w:vanish/>
              </w:rPr>
            </w:pPr>
          </w:p>
        </w:tc>
        <w:tc>
          <w:tcPr>
            <w:tcW w:w="0" w:type="auto"/>
            <w:gridSpan w:val="3"/>
            <w:shd w:val="clear" w:color="auto" w:fill="auto"/>
            <w:vAlign w:val="bottom"/>
          </w:tcPr>
          <w:p w14:paraId="392CAF16" w14:textId="77777777" w:rsidR="00980E5F" w:rsidRDefault="00980E5F">
            <w:pPr>
              <w:rPr>
                <w:rFonts w:ascii="宋体"/>
                <w:vanish/>
              </w:rPr>
            </w:pPr>
          </w:p>
        </w:tc>
        <w:tc>
          <w:tcPr>
            <w:tcW w:w="0" w:type="auto"/>
            <w:gridSpan w:val="3"/>
            <w:shd w:val="clear" w:color="auto" w:fill="auto"/>
            <w:vAlign w:val="bottom"/>
          </w:tcPr>
          <w:p w14:paraId="392CAF17" w14:textId="77777777" w:rsidR="00980E5F" w:rsidRDefault="00980E5F">
            <w:pPr>
              <w:rPr>
                <w:rFonts w:ascii="宋体"/>
                <w:vanish/>
              </w:rPr>
            </w:pPr>
          </w:p>
        </w:tc>
        <w:tc>
          <w:tcPr>
            <w:tcW w:w="0" w:type="auto"/>
            <w:gridSpan w:val="3"/>
            <w:shd w:val="clear" w:color="auto" w:fill="auto"/>
            <w:vAlign w:val="bottom"/>
          </w:tcPr>
          <w:p w14:paraId="392CAF18" w14:textId="77777777" w:rsidR="00980E5F" w:rsidRDefault="00980E5F">
            <w:pPr>
              <w:rPr>
                <w:rFonts w:ascii="宋体"/>
                <w:vanish/>
              </w:rPr>
            </w:pPr>
          </w:p>
        </w:tc>
        <w:tc>
          <w:tcPr>
            <w:tcW w:w="0" w:type="auto"/>
            <w:gridSpan w:val="3"/>
            <w:shd w:val="clear" w:color="auto" w:fill="auto"/>
            <w:vAlign w:val="bottom"/>
          </w:tcPr>
          <w:p w14:paraId="392CAF19" w14:textId="77777777" w:rsidR="00980E5F" w:rsidRDefault="00980E5F">
            <w:pPr>
              <w:rPr>
                <w:rFonts w:ascii="宋体"/>
                <w:vanish/>
              </w:rPr>
            </w:pPr>
          </w:p>
        </w:tc>
        <w:tc>
          <w:tcPr>
            <w:tcW w:w="0" w:type="auto"/>
            <w:gridSpan w:val="3"/>
            <w:shd w:val="clear" w:color="auto" w:fill="auto"/>
            <w:vAlign w:val="bottom"/>
          </w:tcPr>
          <w:p w14:paraId="392CAF1A" w14:textId="77777777" w:rsidR="00980E5F" w:rsidRDefault="00980E5F">
            <w:pPr>
              <w:rPr>
                <w:rFonts w:ascii="宋体"/>
                <w:vanish/>
              </w:rPr>
            </w:pPr>
          </w:p>
        </w:tc>
        <w:tc>
          <w:tcPr>
            <w:tcW w:w="0" w:type="auto"/>
            <w:gridSpan w:val="3"/>
            <w:shd w:val="clear" w:color="auto" w:fill="auto"/>
            <w:vAlign w:val="bottom"/>
          </w:tcPr>
          <w:p w14:paraId="392CAF1B" w14:textId="77777777" w:rsidR="00980E5F" w:rsidRDefault="00980E5F">
            <w:pPr>
              <w:rPr>
                <w:rFonts w:ascii="宋体"/>
                <w:vanish/>
              </w:rPr>
            </w:pPr>
          </w:p>
        </w:tc>
        <w:tc>
          <w:tcPr>
            <w:tcW w:w="0" w:type="auto"/>
            <w:gridSpan w:val="3"/>
            <w:shd w:val="clear" w:color="auto" w:fill="auto"/>
            <w:vAlign w:val="bottom"/>
          </w:tcPr>
          <w:p w14:paraId="392CAF1C" w14:textId="77777777" w:rsidR="00980E5F" w:rsidRDefault="00980E5F">
            <w:pPr>
              <w:rPr>
                <w:rFonts w:ascii="宋体"/>
                <w:vanish/>
              </w:rPr>
            </w:pPr>
          </w:p>
        </w:tc>
        <w:tc>
          <w:tcPr>
            <w:tcW w:w="0" w:type="auto"/>
            <w:gridSpan w:val="3"/>
            <w:shd w:val="clear" w:color="auto" w:fill="auto"/>
            <w:vAlign w:val="bottom"/>
          </w:tcPr>
          <w:p w14:paraId="392CAF1D" w14:textId="77777777" w:rsidR="00980E5F" w:rsidRDefault="00980E5F">
            <w:pPr>
              <w:rPr>
                <w:rFonts w:ascii="宋体"/>
                <w:vanish/>
              </w:rPr>
            </w:pPr>
          </w:p>
        </w:tc>
        <w:tc>
          <w:tcPr>
            <w:tcW w:w="0" w:type="auto"/>
            <w:gridSpan w:val="3"/>
            <w:shd w:val="clear" w:color="auto" w:fill="auto"/>
            <w:vAlign w:val="bottom"/>
          </w:tcPr>
          <w:p w14:paraId="392CAF1E" w14:textId="77777777" w:rsidR="00980E5F" w:rsidRDefault="00980E5F">
            <w:pPr>
              <w:rPr>
                <w:rFonts w:ascii="宋体"/>
                <w:vanish/>
              </w:rPr>
            </w:pPr>
          </w:p>
        </w:tc>
        <w:tc>
          <w:tcPr>
            <w:tcW w:w="0" w:type="auto"/>
            <w:gridSpan w:val="3"/>
            <w:shd w:val="clear" w:color="auto" w:fill="auto"/>
            <w:vAlign w:val="bottom"/>
          </w:tcPr>
          <w:p w14:paraId="392CAF1F" w14:textId="77777777" w:rsidR="00980E5F" w:rsidRDefault="00980E5F">
            <w:pPr>
              <w:rPr>
                <w:rFonts w:ascii="宋体"/>
                <w:vanish/>
              </w:rPr>
            </w:pPr>
          </w:p>
        </w:tc>
        <w:tc>
          <w:tcPr>
            <w:tcW w:w="0" w:type="auto"/>
            <w:gridSpan w:val="3"/>
            <w:shd w:val="clear" w:color="auto" w:fill="auto"/>
            <w:vAlign w:val="bottom"/>
          </w:tcPr>
          <w:p w14:paraId="392CAF20" w14:textId="77777777" w:rsidR="00980E5F" w:rsidRDefault="00980E5F">
            <w:pPr>
              <w:rPr>
                <w:rFonts w:ascii="宋体"/>
                <w:vanish/>
              </w:rPr>
            </w:pPr>
          </w:p>
        </w:tc>
        <w:tc>
          <w:tcPr>
            <w:tcW w:w="0" w:type="auto"/>
            <w:gridSpan w:val="3"/>
            <w:shd w:val="clear" w:color="auto" w:fill="auto"/>
            <w:vAlign w:val="bottom"/>
          </w:tcPr>
          <w:p w14:paraId="392CAF21" w14:textId="77777777" w:rsidR="00980E5F" w:rsidRDefault="00980E5F">
            <w:pPr>
              <w:rPr>
                <w:rFonts w:ascii="宋体"/>
                <w:vanish/>
              </w:rPr>
            </w:pPr>
          </w:p>
        </w:tc>
        <w:tc>
          <w:tcPr>
            <w:tcW w:w="0" w:type="auto"/>
            <w:gridSpan w:val="3"/>
            <w:shd w:val="clear" w:color="auto" w:fill="auto"/>
            <w:vAlign w:val="bottom"/>
          </w:tcPr>
          <w:p w14:paraId="392CAF22" w14:textId="77777777" w:rsidR="00980E5F" w:rsidRDefault="00980E5F">
            <w:pPr>
              <w:rPr>
                <w:rFonts w:ascii="宋体"/>
                <w:vanish/>
              </w:rPr>
            </w:pPr>
          </w:p>
        </w:tc>
        <w:tc>
          <w:tcPr>
            <w:tcW w:w="0" w:type="auto"/>
            <w:gridSpan w:val="3"/>
            <w:shd w:val="clear" w:color="auto" w:fill="auto"/>
            <w:vAlign w:val="bottom"/>
          </w:tcPr>
          <w:p w14:paraId="392CAF23" w14:textId="77777777" w:rsidR="00980E5F" w:rsidRDefault="00980E5F">
            <w:pPr>
              <w:rPr>
                <w:rFonts w:ascii="宋体"/>
                <w:vanish/>
              </w:rPr>
            </w:pPr>
          </w:p>
        </w:tc>
        <w:tc>
          <w:tcPr>
            <w:tcW w:w="0" w:type="auto"/>
            <w:gridSpan w:val="3"/>
            <w:shd w:val="clear" w:color="auto" w:fill="auto"/>
            <w:vAlign w:val="bottom"/>
          </w:tcPr>
          <w:p w14:paraId="392CAF24" w14:textId="77777777" w:rsidR="00980E5F" w:rsidRDefault="00980E5F">
            <w:pPr>
              <w:rPr>
                <w:rFonts w:ascii="宋体"/>
                <w:vanish/>
              </w:rPr>
            </w:pPr>
          </w:p>
        </w:tc>
        <w:tc>
          <w:tcPr>
            <w:tcW w:w="0" w:type="auto"/>
            <w:gridSpan w:val="3"/>
            <w:shd w:val="clear" w:color="auto" w:fill="auto"/>
            <w:vAlign w:val="bottom"/>
          </w:tcPr>
          <w:p w14:paraId="392CAF25" w14:textId="77777777" w:rsidR="00980E5F" w:rsidRDefault="00980E5F">
            <w:pPr>
              <w:rPr>
                <w:rFonts w:ascii="宋体"/>
                <w:vanish/>
              </w:rPr>
            </w:pPr>
          </w:p>
        </w:tc>
        <w:tc>
          <w:tcPr>
            <w:tcW w:w="0" w:type="auto"/>
            <w:gridSpan w:val="3"/>
            <w:shd w:val="clear" w:color="auto" w:fill="auto"/>
            <w:vAlign w:val="bottom"/>
          </w:tcPr>
          <w:p w14:paraId="392CAF26" w14:textId="77777777" w:rsidR="00980E5F" w:rsidRDefault="00980E5F">
            <w:pPr>
              <w:rPr>
                <w:rFonts w:ascii="宋体"/>
                <w:vanish/>
              </w:rPr>
            </w:pPr>
          </w:p>
        </w:tc>
        <w:tc>
          <w:tcPr>
            <w:tcW w:w="0" w:type="auto"/>
            <w:gridSpan w:val="3"/>
            <w:shd w:val="clear" w:color="auto" w:fill="auto"/>
            <w:vAlign w:val="bottom"/>
          </w:tcPr>
          <w:p w14:paraId="392CAF27" w14:textId="77777777" w:rsidR="00980E5F" w:rsidRDefault="00980E5F">
            <w:pPr>
              <w:rPr>
                <w:rFonts w:ascii="宋体"/>
                <w:vanish/>
              </w:rPr>
            </w:pPr>
          </w:p>
        </w:tc>
      </w:tr>
      <w:tr w:rsidR="00980E5F" w14:paraId="392CAF3D" w14:textId="77777777">
        <w:trPr>
          <w:hidden/>
        </w:trPr>
        <w:tc>
          <w:tcPr>
            <w:tcW w:w="0" w:type="auto"/>
            <w:gridSpan w:val="3"/>
            <w:shd w:val="clear" w:color="auto" w:fill="auto"/>
            <w:vAlign w:val="bottom"/>
          </w:tcPr>
          <w:p w14:paraId="392CAF29" w14:textId="77777777" w:rsidR="00980E5F" w:rsidRDefault="00980E5F">
            <w:pPr>
              <w:rPr>
                <w:rFonts w:ascii="宋体"/>
                <w:vanish/>
              </w:rPr>
            </w:pPr>
          </w:p>
        </w:tc>
        <w:tc>
          <w:tcPr>
            <w:tcW w:w="0" w:type="auto"/>
            <w:gridSpan w:val="3"/>
            <w:shd w:val="clear" w:color="auto" w:fill="auto"/>
            <w:vAlign w:val="bottom"/>
          </w:tcPr>
          <w:p w14:paraId="392CAF2A" w14:textId="77777777" w:rsidR="00980E5F" w:rsidRDefault="00980E5F">
            <w:pPr>
              <w:rPr>
                <w:rFonts w:ascii="宋体"/>
                <w:vanish/>
              </w:rPr>
            </w:pPr>
          </w:p>
        </w:tc>
        <w:tc>
          <w:tcPr>
            <w:tcW w:w="0" w:type="auto"/>
            <w:gridSpan w:val="3"/>
            <w:shd w:val="clear" w:color="auto" w:fill="auto"/>
            <w:vAlign w:val="bottom"/>
          </w:tcPr>
          <w:p w14:paraId="392CAF2B" w14:textId="77777777" w:rsidR="00980E5F" w:rsidRDefault="00980E5F">
            <w:pPr>
              <w:rPr>
                <w:rFonts w:ascii="宋体"/>
                <w:vanish/>
              </w:rPr>
            </w:pPr>
          </w:p>
        </w:tc>
        <w:tc>
          <w:tcPr>
            <w:tcW w:w="0" w:type="auto"/>
            <w:gridSpan w:val="3"/>
            <w:shd w:val="clear" w:color="auto" w:fill="auto"/>
            <w:vAlign w:val="bottom"/>
          </w:tcPr>
          <w:p w14:paraId="392CAF2C" w14:textId="77777777" w:rsidR="00980E5F" w:rsidRDefault="00980E5F">
            <w:pPr>
              <w:rPr>
                <w:rFonts w:ascii="宋体"/>
                <w:vanish/>
              </w:rPr>
            </w:pPr>
          </w:p>
        </w:tc>
        <w:tc>
          <w:tcPr>
            <w:tcW w:w="0" w:type="auto"/>
            <w:gridSpan w:val="3"/>
            <w:shd w:val="clear" w:color="auto" w:fill="auto"/>
            <w:vAlign w:val="bottom"/>
          </w:tcPr>
          <w:p w14:paraId="392CAF2D" w14:textId="77777777" w:rsidR="00980E5F" w:rsidRDefault="00980E5F">
            <w:pPr>
              <w:rPr>
                <w:rFonts w:ascii="宋体"/>
                <w:vanish/>
              </w:rPr>
            </w:pPr>
          </w:p>
        </w:tc>
        <w:tc>
          <w:tcPr>
            <w:tcW w:w="0" w:type="auto"/>
            <w:gridSpan w:val="3"/>
            <w:shd w:val="clear" w:color="auto" w:fill="auto"/>
            <w:vAlign w:val="bottom"/>
          </w:tcPr>
          <w:p w14:paraId="392CAF2E" w14:textId="77777777" w:rsidR="00980E5F" w:rsidRDefault="00980E5F">
            <w:pPr>
              <w:rPr>
                <w:rFonts w:ascii="宋体"/>
                <w:vanish/>
              </w:rPr>
            </w:pPr>
          </w:p>
        </w:tc>
        <w:tc>
          <w:tcPr>
            <w:tcW w:w="0" w:type="auto"/>
            <w:gridSpan w:val="3"/>
            <w:shd w:val="clear" w:color="auto" w:fill="auto"/>
            <w:vAlign w:val="bottom"/>
          </w:tcPr>
          <w:p w14:paraId="392CAF2F" w14:textId="77777777" w:rsidR="00980E5F" w:rsidRDefault="00980E5F">
            <w:pPr>
              <w:rPr>
                <w:rFonts w:ascii="宋体"/>
                <w:vanish/>
              </w:rPr>
            </w:pPr>
          </w:p>
        </w:tc>
        <w:tc>
          <w:tcPr>
            <w:tcW w:w="0" w:type="auto"/>
            <w:gridSpan w:val="3"/>
            <w:shd w:val="clear" w:color="auto" w:fill="auto"/>
            <w:vAlign w:val="bottom"/>
          </w:tcPr>
          <w:p w14:paraId="392CAF30" w14:textId="77777777" w:rsidR="00980E5F" w:rsidRDefault="00980E5F">
            <w:pPr>
              <w:rPr>
                <w:rFonts w:ascii="宋体"/>
                <w:vanish/>
              </w:rPr>
            </w:pPr>
          </w:p>
        </w:tc>
        <w:tc>
          <w:tcPr>
            <w:tcW w:w="0" w:type="auto"/>
            <w:gridSpan w:val="3"/>
            <w:shd w:val="clear" w:color="auto" w:fill="auto"/>
            <w:vAlign w:val="bottom"/>
          </w:tcPr>
          <w:p w14:paraId="392CAF31" w14:textId="77777777" w:rsidR="00980E5F" w:rsidRDefault="00980E5F">
            <w:pPr>
              <w:rPr>
                <w:rFonts w:ascii="宋体"/>
                <w:vanish/>
              </w:rPr>
            </w:pPr>
          </w:p>
        </w:tc>
        <w:tc>
          <w:tcPr>
            <w:tcW w:w="0" w:type="auto"/>
            <w:gridSpan w:val="3"/>
            <w:shd w:val="clear" w:color="auto" w:fill="auto"/>
            <w:vAlign w:val="bottom"/>
          </w:tcPr>
          <w:p w14:paraId="392CAF32" w14:textId="77777777" w:rsidR="00980E5F" w:rsidRDefault="00980E5F">
            <w:pPr>
              <w:rPr>
                <w:rFonts w:ascii="宋体"/>
                <w:vanish/>
              </w:rPr>
            </w:pPr>
          </w:p>
        </w:tc>
        <w:tc>
          <w:tcPr>
            <w:tcW w:w="0" w:type="auto"/>
            <w:gridSpan w:val="3"/>
            <w:shd w:val="clear" w:color="auto" w:fill="auto"/>
            <w:vAlign w:val="bottom"/>
          </w:tcPr>
          <w:p w14:paraId="392CAF33" w14:textId="77777777" w:rsidR="00980E5F" w:rsidRDefault="00980E5F">
            <w:pPr>
              <w:rPr>
                <w:rFonts w:ascii="宋体"/>
                <w:vanish/>
              </w:rPr>
            </w:pPr>
          </w:p>
        </w:tc>
        <w:tc>
          <w:tcPr>
            <w:tcW w:w="0" w:type="auto"/>
            <w:gridSpan w:val="3"/>
            <w:shd w:val="clear" w:color="auto" w:fill="auto"/>
            <w:vAlign w:val="bottom"/>
          </w:tcPr>
          <w:p w14:paraId="392CAF34" w14:textId="77777777" w:rsidR="00980E5F" w:rsidRDefault="00980E5F">
            <w:pPr>
              <w:rPr>
                <w:rFonts w:ascii="宋体"/>
                <w:vanish/>
              </w:rPr>
            </w:pPr>
          </w:p>
        </w:tc>
        <w:tc>
          <w:tcPr>
            <w:tcW w:w="0" w:type="auto"/>
            <w:gridSpan w:val="3"/>
            <w:shd w:val="clear" w:color="auto" w:fill="auto"/>
            <w:vAlign w:val="bottom"/>
          </w:tcPr>
          <w:p w14:paraId="392CAF35" w14:textId="77777777" w:rsidR="00980E5F" w:rsidRDefault="00980E5F">
            <w:pPr>
              <w:rPr>
                <w:rFonts w:ascii="宋体"/>
                <w:vanish/>
              </w:rPr>
            </w:pPr>
          </w:p>
        </w:tc>
        <w:tc>
          <w:tcPr>
            <w:tcW w:w="0" w:type="auto"/>
            <w:gridSpan w:val="3"/>
            <w:shd w:val="clear" w:color="auto" w:fill="auto"/>
            <w:vAlign w:val="bottom"/>
          </w:tcPr>
          <w:p w14:paraId="392CAF36" w14:textId="77777777" w:rsidR="00980E5F" w:rsidRDefault="00980E5F">
            <w:pPr>
              <w:rPr>
                <w:rFonts w:ascii="宋体"/>
                <w:vanish/>
              </w:rPr>
            </w:pPr>
          </w:p>
        </w:tc>
        <w:tc>
          <w:tcPr>
            <w:tcW w:w="0" w:type="auto"/>
            <w:gridSpan w:val="3"/>
            <w:shd w:val="clear" w:color="auto" w:fill="auto"/>
            <w:vAlign w:val="bottom"/>
          </w:tcPr>
          <w:p w14:paraId="392CAF37" w14:textId="77777777" w:rsidR="00980E5F" w:rsidRDefault="00980E5F">
            <w:pPr>
              <w:rPr>
                <w:rFonts w:ascii="宋体"/>
                <w:vanish/>
              </w:rPr>
            </w:pPr>
          </w:p>
        </w:tc>
        <w:tc>
          <w:tcPr>
            <w:tcW w:w="0" w:type="auto"/>
            <w:gridSpan w:val="3"/>
            <w:shd w:val="clear" w:color="auto" w:fill="auto"/>
            <w:vAlign w:val="bottom"/>
          </w:tcPr>
          <w:p w14:paraId="392CAF38" w14:textId="77777777" w:rsidR="00980E5F" w:rsidRDefault="00980E5F">
            <w:pPr>
              <w:rPr>
                <w:rFonts w:ascii="宋体"/>
                <w:vanish/>
              </w:rPr>
            </w:pPr>
          </w:p>
        </w:tc>
        <w:tc>
          <w:tcPr>
            <w:tcW w:w="0" w:type="auto"/>
            <w:gridSpan w:val="3"/>
            <w:shd w:val="clear" w:color="auto" w:fill="auto"/>
            <w:vAlign w:val="bottom"/>
          </w:tcPr>
          <w:p w14:paraId="392CAF39" w14:textId="77777777" w:rsidR="00980E5F" w:rsidRDefault="00980E5F">
            <w:pPr>
              <w:rPr>
                <w:rFonts w:ascii="宋体"/>
                <w:vanish/>
              </w:rPr>
            </w:pPr>
          </w:p>
        </w:tc>
        <w:tc>
          <w:tcPr>
            <w:tcW w:w="0" w:type="auto"/>
            <w:gridSpan w:val="3"/>
            <w:shd w:val="clear" w:color="auto" w:fill="auto"/>
            <w:vAlign w:val="bottom"/>
          </w:tcPr>
          <w:p w14:paraId="392CAF3A" w14:textId="77777777" w:rsidR="00980E5F" w:rsidRDefault="00980E5F">
            <w:pPr>
              <w:rPr>
                <w:rFonts w:ascii="宋体"/>
                <w:vanish/>
              </w:rPr>
            </w:pPr>
          </w:p>
        </w:tc>
        <w:tc>
          <w:tcPr>
            <w:tcW w:w="0" w:type="auto"/>
            <w:gridSpan w:val="3"/>
            <w:shd w:val="clear" w:color="auto" w:fill="auto"/>
            <w:vAlign w:val="bottom"/>
          </w:tcPr>
          <w:p w14:paraId="392CAF3B" w14:textId="77777777" w:rsidR="00980E5F" w:rsidRDefault="00980E5F">
            <w:pPr>
              <w:rPr>
                <w:rFonts w:ascii="宋体"/>
                <w:vanish/>
              </w:rPr>
            </w:pPr>
          </w:p>
        </w:tc>
        <w:tc>
          <w:tcPr>
            <w:tcW w:w="0" w:type="auto"/>
            <w:gridSpan w:val="3"/>
            <w:shd w:val="clear" w:color="auto" w:fill="auto"/>
            <w:vAlign w:val="bottom"/>
          </w:tcPr>
          <w:p w14:paraId="392CAF3C" w14:textId="77777777" w:rsidR="00980E5F" w:rsidRDefault="00980E5F">
            <w:pPr>
              <w:rPr>
                <w:rFonts w:ascii="宋体"/>
                <w:vanish/>
              </w:rPr>
            </w:pPr>
          </w:p>
        </w:tc>
      </w:tr>
      <w:tr w:rsidR="00980E5F" w14:paraId="392CAF52" w14:textId="77777777">
        <w:trPr>
          <w:hidden/>
        </w:trPr>
        <w:tc>
          <w:tcPr>
            <w:tcW w:w="0" w:type="auto"/>
            <w:gridSpan w:val="3"/>
            <w:shd w:val="clear" w:color="auto" w:fill="auto"/>
            <w:vAlign w:val="bottom"/>
          </w:tcPr>
          <w:p w14:paraId="392CAF3E" w14:textId="77777777" w:rsidR="00980E5F" w:rsidRDefault="00980E5F">
            <w:pPr>
              <w:rPr>
                <w:rFonts w:ascii="宋体"/>
                <w:vanish/>
              </w:rPr>
            </w:pPr>
          </w:p>
        </w:tc>
        <w:tc>
          <w:tcPr>
            <w:tcW w:w="0" w:type="auto"/>
            <w:gridSpan w:val="3"/>
            <w:shd w:val="clear" w:color="auto" w:fill="auto"/>
            <w:vAlign w:val="bottom"/>
          </w:tcPr>
          <w:p w14:paraId="392CAF3F" w14:textId="77777777" w:rsidR="00980E5F" w:rsidRDefault="00980E5F">
            <w:pPr>
              <w:rPr>
                <w:rFonts w:ascii="宋体"/>
                <w:vanish/>
              </w:rPr>
            </w:pPr>
          </w:p>
        </w:tc>
        <w:tc>
          <w:tcPr>
            <w:tcW w:w="0" w:type="auto"/>
            <w:gridSpan w:val="3"/>
            <w:shd w:val="clear" w:color="auto" w:fill="auto"/>
            <w:vAlign w:val="bottom"/>
          </w:tcPr>
          <w:p w14:paraId="392CAF40" w14:textId="77777777" w:rsidR="00980E5F" w:rsidRDefault="00980E5F">
            <w:pPr>
              <w:rPr>
                <w:rFonts w:ascii="宋体"/>
                <w:vanish/>
              </w:rPr>
            </w:pPr>
          </w:p>
        </w:tc>
        <w:tc>
          <w:tcPr>
            <w:tcW w:w="0" w:type="auto"/>
            <w:gridSpan w:val="3"/>
            <w:shd w:val="clear" w:color="auto" w:fill="auto"/>
            <w:vAlign w:val="bottom"/>
          </w:tcPr>
          <w:p w14:paraId="392CAF41" w14:textId="77777777" w:rsidR="00980E5F" w:rsidRDefault="00980E5F">
            <w:pPr>
              <w:rPr>
                <w:rFonts w:ascii="宋体"/>
                <w:vanish/>
              </w:rPr>
            </w:pPr>
          </w:p>
        </w:tc>
        <w:tc>
          <w:tcPr>
            <w:tcW w:w="0" w:type="auto"/>
            <w:gridSpan w:val="3"/>
            <w:shd w:val="clear" w:color="auto" w:fill="auto"/>
            <w:vAlign w:val="bottom"/>
          </w:tcPr>
          <w:p w14:paraId="392CAF42" w14:textId="77777777" w:rsidR="00980E5F" w:rsidRDefault="00980E5F">
            <w:pPr>
              <w:rPr>
                <w:rFonts w:ascii="宋体"/>
                <w:vanish/>
              </w:rPr>
            </w:pPr>
          </w:p>
        </w:tc>
        <w:tc>
          <w:tcPr>
            <w:tcW w:w="0" w:type="auto"/>
            <w:gridSpan w:val="3"/>
            <w:shd w:val="clear" w:color="auto" w:fill="auto"/>
            <w:vAlign w:val="bottom"/>
          </w:tcPr>
          <w:p w14:paraId="392CAF43" w14:textId="77777777" w:rsidR="00980E5F" w:rsidRDefault="00980E5F">
            <w:pPr>
              <w:rPr>
                <w:rFonts w:ascii="宋体"/>
                <w:vanish/>
              </w:rPr>
            </w:pPr>
          </w:p>
        </w:tc>
        <w:tc>
          <w:tcPr>
            <w:tcW w:w="0" w:type="auto"/>
            <w:gridSpan w:val="3"/>
            <w:shd w:val="clear" w:color="auto" w:fill="auto"/>
            <w:vAlign w:val="bottom"/>
          </w:tcPr>
          <w:p w14:paraId="392CAF44" w14:textId="77777777" w:rsidR="00980E5F" w:rsidRDefault="00980E5F">
            <w:pPr>
              <w:rPr>
                <w:rFonts w:ascii="宋体"/>
                <w:vanish/>
              </w:rPr>
            </w:pPr>
          </w:p>
        </w:tc>
        <w:tc>
          <w:tcPr>
            <w:tcW w:w="0" w:type="auto"/>
            <w:gridSpan w:val="3"/>
            <w:shd w:val="clear" w:color="auto" w:fill="auto"/>
            <w:vAlign w:val="bottom"/>
          </w:tcPr>
          <w:p w14:paraId="392CAF45" w14:textId="77777777" w:rsidR="00980E5F" w:rsidRDefault="00980E5F">
            <w:pPr>
              <w:rPr>
                <w:rFonts w:ascii="宋体"/>
                <w:vanish/>
              </w:rPr>
            </w:pPr>
          </w:p>
        </w:tc>
        <w:tc>
          <w:tcPr>
            <w:tcW w:w="0" w:type="auto"/>
            <w:gridSpan w:val="3"/>
            <w:shd w:val="clear" w:color="auto" w:fill="auto"/>
            <w:vAlign w:val="bottom"/>
          </w:tcPr>
          <w:p w14:paraId="392CAF46" w14:textId="77777777" w:rsidR="00980E5F" w:rsidRDefault="00980E5F">
            <w:pPr>
              <w:rPr>
                <w:rFonts w:ascii="宋体"/>
                <w:vanish/>
              </w:rPr>
            </w:pPr>
          </w:p>
        </w:tc>
        <w:tc>
          <w:tcPr>
            <w:tcW w:w="0" w:type="auto"/>
            <w:gridSpan w:val="3"/>
            <w:shd w:val="clear" w:color="auto" w:fill="auto"/>
            <w:vAlign w:val="bottom"/>
          </w:tcPr>
          <w:p w14:paraId="392CAF47" w14:textId="77777777" w:rsidR="00980E5F" w:rsidRDefault="00980E5F">
            <w:pPr>
              <w:rPr>
                <w:rFonts w:ascii="宋体"/>
                <w:vanish/>
              </w:rPr>
            </w:pPr>
          </w:p>
        </w:tc>
        <w:tc>
          <w:tcPr>
            <w:tcW w:w="0" w:type="auto"/>
            <w:gridSpan w:val="3"/>
            <w:shd w:val="clear" w:color="auto" w:fill="auto"/>
            <w:vAlign w:val="bottom"/>
          </w:tcPr>
          <w:p w14:paraId="392CAF48" w14:textId="77777777" w:rsidR="00980E5F" w:rsidRDefault="00980E5F">
            <w:pPr>
              <w:rPr>
                <w:rFonts w:ascii="宋体"/>
                <w:vanish/>
              </w:rPr>
            </w:pPr>
          </w:p>
        </w:tc>
        <w:tc>
          <w:tcPr>
            <w:tcW w:w="0" w:type="auto"/>
            <w:gridSpan w:val="3"/>
            <w:shd w:val="clear" w:color="auto" w:fill="auto"/>
            <w:vAlign w:val="bottom"/>
          </w:tcPr>
          <w:p w14:paraId="392CAF49" w14:textId="77777777" w:rsidR="00980E5F" w:rsidRDefault="00980E5F">
            <w:pPr>
              <w:rPr>
                <w:rFonts w:ascii="宋体"/>
                <w:vanish/>
              </w:rPr>
            </w:pPr>
          </w:p>
        </w:tc>
        <w:tc>
          <w:tcPr>
            <w:tcW w:w="0" w:type="auto"/>
            <w:gridSpan w:val="3"/>
            <w:shd w:val="clear" w:color="auto" w:fill="auto"/>
            <w:vAlign w:val="bottom"/>
          </w:tcPr>
          <w:p w14:paraId="392CAF4A" w14:textId="77777777" w:rsidR="00980E5F" w:rsidRDefault="00980E5F">
            <w:pPr>
              <w:rPr>
                <w:rFonts w:ascii="宋体"/>
                <w:vanish/>
              </w:rPr>
            </w:pPr>
          </w:p>
        </w:tc>
        <w:tc>
          <w:tcPr>
            <w:tcW w:w="0" w:type="auto"/>
            <w:gridSpan w:val="3"/>
            <w:shd w:val="clear" w:color="auto" w:fill="auto"/>
            <w:vAlign w:val="bottom"/>
          </w:tcPr>
          <w:p w14:paraId="392CAF4B" w14:textId="77777777" w:rsidR="00980E5F" w:rsidRDefault="00980E5F">
            <w:pPr>
              <w:rPr>
                <w:rFonts w:ascii="宋体"/>
                <w:vanish/>
              </w:rPr>
            </w:pPr>
          </w:p>
        </w:tc>
        <w:tc>
          <w:tcPr>
            <w:tcW w:w="0" w:type="auto"/>
            <w:gridSpan w:val="3"/>
            <w:shd w:val="clear" w:color="auto" w:fill="auto"/>
            <w:vAlign w:val="bottom"/>
          </w:tcPr>
          <w:p w14:paraId="392CAF4C" w14:textId="77777777" w:rsidR="00980E5F" w:rsidRDefault="00980E5F">
            <w:pPr>
              <w:rPr>
                <w:rFonts w:ascii="宋体"/>
                <w:vanish/>
              </w:rPr>
            </w:pPr>
          </w:p>
        </w:tc>
        <w:tc>
          <w:tcPr>
            <w:tcW w:w="0" w:type="auto"/>
            <w:gridSpan w:val="3"/>
            <w:shd w:val="clear" w:color="auto" w:fill="auto"/>
            <w:vAlign w:val="bottom"/>
          </w:tcPr>
          <w:p w14:paraId="392CAF4D" w14:textId="77777777" w:rsidR="00980E5F" w:rsidRDefault="00980E5F">
            <w:pPr>
              <w:rPr>
                <w:rFonts w:ascii="宋体"/>
                <w:vanish/>
              </w:rPr>
            </w:pPr>
          </w:p>
        </w:tc>
        <w:tc>
          <w:tcPr>
            <w:tcW w:w="0" w:type="auto"/>
            <w:gridSpan w:val="3"/>
            <w:shd w:val="clear" w:color="auto" w:fill="auto"/>
            <w:vAlign w:val="bottom"/>
          </w:tcPr>
          <w:p w14:paraId="392CAF4E" w14:textId="77777777" w:rsidR="00980E5F" w:rsidRDefault="00980E5F">
            <w:pPr>
              <w:rPr>
                <w:rFonts w:ascii="宋体"/>
                <w:vanish/>
              </w:rPr>
            </w:pPr>
          </w:p>
        </w:tc>
        <w:tc>
          <w:tcPr>
            <w:tcW w:w="0" w:type="auto"/>
            <w:gridSpan w:val="3"/>
            <w:shd w:val="clear" w:color="auto" w:fill="auto"/>
            <w:vAlign w:val="bottom"/>
          </w:tcPr>
          <w:p w14:paraId="392CAF4F" w14:textId="77777777" w:rsidR="00980E5F" w:rsidRDefault="00980E5F">
            <w:pPr>
              <w:rPr>
                <w:rFonts w:ascii="宋体"/>
                <w:vanish/>
              </w:rPr>
            </w:pPr>
          </w:p>
        </w:tc>
        <w:tc>
          <w:tcPr>
            <w:tcW w:w="0" w:type="auto"/>
            <w:gridSpan w:val="3"/>
            <w:shd w:val="clear" w:color="auto" w:fill="auto"/>
            <w:vAlign w:val="bottom"/>
          </w:tcPr>
          <w:p w14:paraId="392CAF50" w14:textId="77777777" w:rsidR="00980E5F" w:rsidRDefault="00980E5F">
            <w:pPr>
              <w:rPr>
                <w:rFonts w:ascii="宋体"/>
                <w:vanish/>
              </w:rPr>
            </w:pPr>
          </w:p>
        </w:tc>
        <w:tc>
          <w:tcPr>
            <w:tcW w:w="0" w:type="auto"/>
            <w:gridSpan w:val="3"/>
            <w:shd w:val="clear" w:color="auto" w:fill="auto"/>
            <w:vAlign w:val="bottom"/>
          </w:tcPr>
          <w:p w14:paraId="392CAF51" w14:textId="77777777" w:rsidR="00980E5F" w:rsidRDefault="00980E5F">
            <w:pPr>
              <w:rPr>
                <w:rFonts w:ascii="宋体"/>
                <w:vanish/>
              </w:rPr>
            </w:pPr>
          </w:p>
        </w:tc>
      </w:tr>
      <w:tr w:rsidR="00980E5F" w14:paraId="392CAF67" w14:textId="77777777">
        <w:trPr>
          <w:hidden/>
        </w:trPr>
        <w:tc>
          <w:tcPr>
            <w:tcW w:w="0" w:type="auto"/>
            <w:gridSpan w:val="3"/>
            <w:shd w:val="clear" w:color="auto" w:fill="auto"/>
            <w:vAlign w:val="bottom"/>
          </w:tcPr>
          <w:p w14:paraId="392CAF53" w14:textId="77777777" w:rsidR="00980E5F" w:rsidRDefault="00980E5F">
            <w:pPr>
              <w:rPr>
                <w:rFonts w:ascii="宋体"/>
                <w:vanish/>
              </w:rPr>
            </w:pPr>
          </w:p>
        </w:tc>
        <w:tc>
          <w:tcPr>
            <w:tcW w:w="0" w:type="auto"/>
            <w:gridSpan w:val="3"/>
            <w:shd w:val="clear" w:color="auto" w:fill="auto"/>
            <w:vAlign w:val="bottom"/>
          </w:tcPr>
          <w:p w14:paraId="392CAF54" w14:textId="77777777" w:rsidR="00980E5F" w:rsidRDefault="00980E5F">
            <w:pPr>
              <w:rPr>
                <w:rFonts w:ascii="宋体"/>
                <w:vanish/>
              </w:rPr>
            </w:pPr>
          </w:p>
        </w:tc>
        <w:tc>
          <w:tcPr>
            <w:tcW w:w="0" w:type="auto"/>
            <w:gridSpan w:val="3"/>
            <w:shd w:val="clear" w:color="auto" w:fill="auto"/>
            <w:vAlign w:val="bottom"/>
          </w:tcPr>
          <w:p w14:paraId="392CAF55" w14:textId="77777777" w:rsidR="00980E5F" w:rsidRDefault="00980E5F">
            <w:pPr>
              <w:rPr>
                <w:rFonts w:ascii="宋体"/>
                <w:vanish/>
              </w:rPr>
            </w:pPr>
          </w:p>
        </w:tc>
        <w:tc>
          <w:tcPr>
            <w:tcW w:w="0" w:type="auto"/>
            <w:gridSpan w:val="3"/>
            <w:shd w:val="clear" w:color="auto" w:fill="auto"/>
            <w:vAlign w:val="bottom"/>
          </w:tcPr>
          <w:p w14:paraId="392CAF56" w14:textId="77777777" w:rsidR="00980E5F" w:rsidRDefault="00980E5F">
            <w:pPr>
              <w:rPr>
                <w:rFonts w:ascii="宋体"/>
                <w:vanish/>
              </w:rPr>
            </w:pPr>
          </w:p>
        </w:tc>
        <w:tc>
          <w:tcPr>
            <w:tcW w:w="0" w:type="auto"/>
            <w:gridSpan w:val="3"/>
            <w:shd w:val="clear" w:color="auto" w:fill="auto"/>
            <w:vAlign w:val="bottom"/>
          </w:tcPr>
          <w:p w14:paraId="392CAF57" w14:textId="77777777" w:rsidR="00980E5F" w:rsidRDefault="00980E5F">
            <w:pPr>
              <w:rPr>
                <w:rFonts w:ascii="宋体"/>
                <w:vanish/>
              </w:rPr>
            </w:pPr>
          </w:p>
        </w:tc>
        <w:tc>
          <w:tcPr>
            <w:tcW w:w="0" w:type="auto"/>
            <w:gridSpan w:val="3"/>
            <w:shd w:val="clear" w:color="auto" w:fill="auto"/>
            <w:vAlign w:val="bottom"/>
          </w:tcPr>
          <w:p w14:paraId="392CAF58" w14:textId="77777777" w:rsidR="00980E5F" w:rsidRDefault="00980E5F">
            <w:pPr>
              <w:rPr>
                <w:rFonts w:ascii="宋体"/>
                <w:vanish/>
              </w:rPr>
            </w:pPr>
          </w:p>
        </w:tc>
        <w:tc>
          <w:tcPr>
            <w:tcW w:w="0" w:type="auto"/>
            <w:gridSpan w:val="3"/>
            <w:shd w:val="clear" w:color="auto" w:fill="auto"/>
            <w:vAlign w:val="bottom"/>
          </w:tcPr>
          <w:p w14:paraId="392CAF59" w14:textId="77777777" w:rsidR="00980E5F" w:rsidRDefault="00980E5F">
            <w:pPr>
              <w:rPr>
                <w:rFonts w:ascii="宋体"/>
                <w:vanish/>
              </w:rPr>
            </w:pPr>
          </w:p>
        </w:tc>
        <w:tc>
          <w:tcPr>
            <w:tcW w:w="0" w:type="auto"/>
            <w:gridSpan w:val="3"/>
            <w:shd w:val="clear" w:color="auto" w:fill="auto"/>
            <w:vAlign w:val="bottom"/>
          </w:tcPr>
          <w:p w14:paraId="392CAF5A" w14:textId="77777777" w:rsidR="00980E5F" w:rsidRDefault="00980E5F">
            <w:pPr>
              <w:rPr>
                <w:rFonts w:ascii="宋体"/>
                <w:vanish/>
              </w:rPr>
            </w:pPr>
          </w:p>
        </w:tc>
        <w:tc>
          <w:tcPr>
            <w:tcW w:w="0" w:type="auto"/>
            <w:gridSpan w:val="3"/>
            <w:shd w:val="clear" w:color="auto" w:fill="auto"/>
            <w:vAlign w:val="bottom"/>
          </w:tcPr>
          <w:p w14:paraId="392CAF5B" w14:textId="77777777" w:rsidR="00980E5F" w:rsidRDefault="00980E5F">
            <w:pPr>
              <w:rPr>
                <w:rFonts w:ascii="宋体"/>
                <w:vanish/>
              </w:rPr>
            </w:pPr>
          </w:p>
        </w:tc>
        <w:tc>
          <w:tcPr>
            <w:tcW w:w="0" w:type="auto"/>
            <w:gridSpan w:val="3"/>
            <w:shd w:val="clear" w:color="auto" w:fill="auto"/>
            <w:vAlign w:val="bottom"/>
          </w:tcPr>
          <w:p w14:paraId="392CAF5C" w14:textId="77777777" w:rsidR="00980E5F" w:rsidRDefault="00980E5F">
            <w:pPr>
              <w:rPr>
                <w:rFonts w:ascii="宋体"/>
                <w:vanish/>
              </w:rPr>
            </w:pPr>
          </w:p>
        </w:tc>
        <w:tc>
          <w:tcPr>
            <w:tcW w:w="0" w:type="auto"/>
            <w:gridSpan w:val="3"/>
            <w:shd w:val="clear" w:color="auto" w:fill="auto"/>
            <w:vAlign w:val="bottom"/>
          </w:tcPr>
          <w:p w14:paraId="392CAF5D" w14:textId="77777777" w:rsidR="00980E5F" w:rsidRDefault="00980E5F">
            <w:pPr>
              <w:rPr>
                <w:rFonts w:ascii="宋体"/>
                <w:vanish/>
              </w:rPr>
            </w:pPr>
          </w:p>
        </w:tc>
        <w:tc>
          <w:tcPr>
            <w:tcW w:w="0" w:type="auto"/>
            <w:gridSpan w:val="3"/>
            <w:shd w:val="clear" w:color="auto" w:fill="auto"/>
            <w:vAlign w:val="bottom"/>
          </w:tcPr>
          <w:p w14:paraId="392CAF5E" w14:textId="77777777" w:rsidR="00980E5F" w:rsidRDefault="00980E5F">
            <w:pPr>
              <w:rPr>
                <w:rFonts w:ascii="宋体"/>
                <w:vanish/>
              </w:rPr>
            </w:pPr>
          </w:p>
        </w:tc>
        <w:tc>
          <w:tcPr>
            <w:tcW w:w="0" w:type="auto"/>
            <w:gridSpan w:val="3"/>
            <w:shd w:val="clear" w:color="auto" w:fill="auto"/>
            <w:vAlign w:val="bottom"/>
          </w:tcPr>
          <w:p w14:paraId="392CAF5F" w14:textId="77777777" w:rsidR="00980E5F" w:rsidRDefault="00980E5F">
            <w:pPr>
              <w:rPr>
                <w:rFonts w:ascii="宋体"/>
                <w:vanish/>
              </w:rPr>
            </w:pPr>
          </w:p>
        </w:tc>
        <w:tc>
          <w:tcPr>
            <w:tcW w:w="0" w:type="auto"/>
            <w:gridSpan w:val="3"/>
            <w:shd w:val="clear" w:color="auto" w:fill="auto"/>
            <w:vAlign w:val="bottom"/>
          </w:tcPr>
          <w:p w14:paraId="392CAF60" w14:textId="77777777" w:rsidR="00980E5F" w:rsidRDefault="00980E5F">
            <w:pPr>
              <w:rPr>
                <w:rFonts w:ascii="宋体"/>
                <w:vanish/>
              </w:rPr>
            </w:pPr>
          </w:p>
        </w:tc>
        <w:tc>
          <w:tcPr>
            <w:tcW w:w="0" w:type="auto"/>
            <w:gridSpan w:val="3"/>
            <w:shd w:val="clear" w:color="auto" w:fill="auto"/>
            <w:vAlign w:val="bottom"/>
          </w:tcPr>
          <w:p w14:paraId="392CAF61" w14:textId="77777777" w:rsidR="00980E5F" w:rsidRDefault="00980E5F">
            <w:pPr>
              <w:rPr>
                <w:rFonts w:ascii="宋体"/>
                <w:vanish/>
              </w:rPr>
            </w:pPr>
          </w:p>
        </w:tc>
        <w:tc>
          <w:tcPr>
            <w:tcW w:w="0" w:type="auto"/>
            <w:gridSpan w:val="3"/>
            <w:shd w:val="clear" w:color="auto" w:fill="auto"/>
            <w:vAlign w:val="bottom"/>
          </w:tcPr>
          <w:p w14:paraId="392CAF62" w14:textId="77777777" w:rsidR="00980E5F" w:rsidRDefault="00980E5F">
            <w:pPr>
              <w:rPr>
                <w:rFonts w:ascii="宋体"/>
                <w:vanish/>
              </w:rPr>
            </w:pPr>
          </w:p>
        </w:tc>
        <w:tc>
          <w:tcPr>
            <w:tcW w:w="0" w:type="auto"/>
            <w:gridSpan w:val="3"/>
            <w:shd w:val="clear" w:color="auto" w:fill="auto"/>
            <w:vAlign w:val="bottom"/>
          </w:tcPr>
          <w:p w14:paraId="392CAF63" w14:textId="77777777" w:rsidR="00980E5F" w:rsidRDefault="00980E5F">
            <w:pPr>
              <w:rPr>
                <w:rFonts w:ascii="宋体"/>
                <w:vanish/>
              </w:rPr>
            </w:pPr>
          </w:p>
        </w:tc>
        <w:tc>
          <w:tcPr>
            <w:tcW w:w="0" w:type="auto"/>
            <w:gridSpan w:val="3"/>
            <w:shd w:val="clear" w:color="auto" w:fill="auto"/>
            <w:vAlign w:val="bottom"/>
          </w:tcPr>
          <w:p w14:paraId="392CAF64" w14:textId="77777777" w:rsidR="00980E5F" w:rsidRDefault="00980E5F">
            <w:pPr>
              <w:rPr>
                <w:rFonts w:ascii="宋体"/>
                <w:vanish/>
              </w:rPr>
            </w:pPr>
          </w:p>
        </w:tc>
        <w:tc>
          <w:tcPr>
            <w:tcW w:w="0" w:type="auto"/>
            <w:gridSpan w:val="3"/>
            <w:shd w:val="clear" w:color="auto" w:fill="auto"/>
            <w:vAlign w:val="bottom"/>
          </w:tcPr>
          <w:p w14:paraId="392CAF65" w14:textId="77777777" w:rsidR="00980E5F" w:rsidRDefault="00980E5F">
            <w:pPr>
              <w:rPr>
                <w:rFonts w:ascii="宋体"/>
                <w:vanish/>
              </w:rPr>
            </w:pPr>
          </w:p>
        </w:tc>
        <w:tc>
          <w:tcPr>
            <w:tcW w:w="0" w:type="auto"/>
            <w:gridSpan w:val="3"/>
            <w:shd w:val="clear" w:color="auto" w:fill="auto"/>
            <w:vAlign w:val="bottom"/>
          </w:tcPr>
          <w:p w14:paraId="392CAF66" w14:textId="77777777" w:rsidR="00980E5F" w:rsidRDefault="00980E5F">
            <w:pPr>
              <w:rPr>
                <w:rFonts w:ascii="宋体"/>
                <w:vanish/>
              </w:rPr>
            </w:pPr>
          </w:p>
        </w:tc>
      </w:tr>
      <w:tr w:rsidR="00980E5F" w14:paraId="392CAF7C" w14:textId="77777777">
        <w:trPr>
          <w:hidden/>
        </w:trPr>
        <w:tc>
          <w:tcPr>
            <w:tcW w:w="0" w:type="auto"/>
            <w:gridSpan w:val="3"/>
            <w:shd w:val="clear" w:color="auto" w:fill="auto"/>
            <w:vAlign w:val="bottom"/>
          </w:tcPr>
          <w:p w14:paraId="392CAF68" w14:textId="77777777" w:rsidR="00980E5F" w:rsidRDefault="00980E5F">
            <w:pPr>
              <w:rPr>
                <w:rFonts w:ascii="宋体"/>
                <w:vanish/>
              </w:rPr>
            </w:pPr>
          </w:p>
        </w:tc>
        <w:tc>
          <w:tcPr>
            <w:tcW w:w="0" w:type="auto"/>
            <w:gridSpan w:val="3"/>
            <w:shd w:val="clear" w:color="auto" w:fill="auto"/>
            <w:vAlign w:val="bottom"/>
          </w:tcPr>
          <w:p w14:paraId="392CAF69" w14:textId="77777777" w:rsidR="00980E5F" w:rsidRDefault="00980E5F">
            <w:pPr>
              <w:rPr>
                <w:rFonts w:ascii="宋体"/>
                <w:vanish/>
              </w:rPr>
            </w:pPr>
          </w:p>
        </w:tc>
        <w:tc>
          <w:tcPr>
            <w:tcW w:w="0" w:type="auto"/>
            <w:gridSpan w:val="3"/>
            <w:shd w:val="clear" w:color="auto" w:fill="auto"/>
            <w:vAlign w:val="bottom"/>
          </w:tcPr>
          <w:p w14:paraId="392CAF6A" w14:textId="77777777" w:rsidR="00980E5F" w:rsidRDefault="00980E5F">
            <w:pPr>
              <w:rPr>
                <w:rFonts w:ascii="宋体"/>
                <w:vanish/>
              </w:rPr>
            </w:pPr>
          </w:p>
        </w:tc>
        <w:tc>
          <w:tcPr>
            <w:tcW w:w="0" w:type="auto"/>
            <w:gridSpan w:val="3"/>
            <w:shd w:val="clear" w:color="auto" w:fill="auto"/>
            <w:vAlign w:val="bottom"/>
          </w:tcPr>
          <w:p w14:paraId="392CAF6B" w14:textId="77777777" w:rsidR="00980E5F" w:rsidRDefault="00980E5F">
            <w:pPr>
              <w:rPr>
                <w:rFonts w:ascii="宋体"/>
                <w:vanish/>
              </w:rPr>
            </w:pPr>
          </w:p>
        </w:tc>
        <w:tc>
          <w:tcPr>
            <w:tcW w:w="0" w:type="auto"/>
            <w:gridSpan w:val="3"/>
            <w:shd w:val="clear" w:color="auto" w:fill="auto"/>
            <w:vAlign w:val="bottom"/>
          </w:tcPr>
          <w:p w14:paraId="392CAF6C" w14:textId="77777777" w:rsidR="00980E5F" w:rsidRDefault="00980E5F">
            <w:pPr>
              <w:rPr>
                <w:rFonts w:ascii="宋体"/>
                <w:vanish/>
              </w:rPr>
            </w:pPr>
          </w:p>
        </w:tc>
        <w:tc>
          <w:tcPr>
            <w:tcW w:w="0" w:type="auto"/>
            <w:gridSpan w:val="3"/>
            <w:shd w:val="clear" w:color="auto" w:fill="auto"/>
            <w:vAlign w:val="bottom"/>
          </w:tcPr>
          <w:p w14:paraId="392CAF6D" w14:textId="77777777" w:rsidR="00980E5F" w:rsidRDefault="00980E5F">
            <w:pPr>
              <w:rPr>
                <w:rFonts w:ascii="宋体"/>
                <w:vanish/>
              </w:rPr>
            </w:pPr>
          </w:p>
        </w:tc>
        <w:tc>
          <w:tcPr>
            <w:tcW w:w="0" w:type="auto"/>
            <w:gridSpan w:val="3"/>
            <w:shd w:val="clear" w:color="auto" w:fill="auto"/>
            <w:vAlign w:val="bottom"/>
          </w:tcPr>
          <w:p w14:paraId="392CAF6E" w14:textId="77777777" w:rsidR="00980E5F" w:rsidRDefault="00980E5F">
            <w:pPr>
              <w:rPr>
                <w:rFonts w:ascii="宋体"/>
                <w:vanish/>
              </w:rPr>
            </w:pPr>
          </w:p>
        </w:tc>
        <w:tc>
          <w:tcPr>
            <w:tcW w:w="0" w:type="auto"/>
            <w:gridSpan w:val="3"/>
            <w:shd w:val="clear" w:color="auto" w:fill="auto"/>
            <w:vAlign w:val="bottom"/>
          </w:tcPr>
          <w:p w14:paraId="392CAF6F" w14:textId="77777777" w:rsidR="00980E5F" w:rsidRDefault="00980E5F">
            <w:pPr>
              <w:rPr>
                <w:rFonts w:ascii="宋体"/>
                <w:vanish/>
              </w:rPr>
            </w:pPr>
          </w:p>
        </w:tc>
        <w:tc>
          <w:tcPr>
            <w:tcW w:w="0" w:type="auto"/>
            <w:gridSpan w:val="3"/>
            <w:shd w:val="clear" w:color="auto" w:fill="auto"/>
            <w:vAlign w:val="bottom"/>
          </w:tcPr>
          <w:p w14:paraId="392CAF70" w14:textId="77777777" w:rsidR="00980E5F" w:rsidRDefault="00980E5F">
            <w:pPr>
              <w:rPr>
                <w:rFonts w:ascii="宋体"/>
                <w:vanish/>
              </w:rPr>
            </w:pPr>
          </w:p>
        </w:tc>
        <w:tc>
          <w:tcPr>
            <w:tcW w:w="0" w:type="auto"/>
            <w:gridSpan w:val="3"/>
            <w:shd w:val="clear" w:color="auto" w:fill="auto"/>
            <w:vAlign w:val="bottom"/>
          </w:tcPr>
          <w:p w14:paraId="392CAF71" w14:textId="77777777" w:rsidR="00980E5F" w:rsidRDefault="00980E5F">
            <w:pPr>
              <w:rPr>
                <w:rFonts w:ascii="宋体"/>
                <w:vanish/>
              </w:rPr>
            </w:pPr>
          </w:p>
        </w:tc>
        <w:tc>
          <w:tcPr>
            <w:tcW w:w="0" w:type="auto"/>
            <w:gridSpan w:val="3"/>
            <w:shd w:val="clear" w:color="auto" w:fill="auto"/>
            <w:vAlign w:val="bottom"/>
          </w:tcPr>
          <w:p w14:paraId="392CAF72" w14:textId="77777777" w:rsidR="00980E5F" w:rsidRDefault="00980E5F">
            <w:pPr>
              <w:rPr>
                <w:rFonts w:ascii="宋体"/>
                <w:vanish/>
              </w:rPr>
            </w:pPr>
          </w:p>
        </w:tc>
        <w:tc>
          <w:tcPr>
            <w:tcW w:w="0" w:type="auto"/>
            <w:gridSpan w:val="3"/>
            <w:shd w:val="clear" w:color="auto" w:fill="auto"/>
            <w:vAlign w:val="bottom"/>
          </w:tcPr>
          <w:p w14:paraId="392CAF73" w14:textId="77777777" w:rsidR="00980E5F" w:rsidRDefault="00980E5F">
            <w:pPr>
              <w:rPr>
                <w:rFonts w:ascii="宋体"/>
                <w:vanish/>
              </w:rPr>
            </w:pPr>
          </w:p>
        </w:tc>
        <w:tc>
          <w:tcPr>
            <w:tcW w:w="0" w:type="auto"/>
            <w:gridSpan w:val="3"/>
            <w:shd w:val="clear" w:color="auto" w:fill="auto"/>
            <w:vAlign w:val="bottom"/>
          </w:tcPr>
          <w:p w14:paraId="392CAF74" w14:textId="77777777" w:rsidR="00980E5F" w:rsidRDefault="00980E5F">
            <w:pPr>
              <w:rPr>
                <w:rFonts w:ascii="宋体"/>
                <w:vanish/>
              </w:rPr>
            </w:pPr>
          </w:p>
        </w:tc>
        <w:tc>
          <w:tcPr>
            <w:tcW w:w="0" w:type="auto"/>
            <w:gridSpan w:val="3"/>
            <w:shd w:val="clear" w:color="auto" w:fill="auto"/>
            <w:vAlign w:val="bottom"/>
          </w:tcPr>
          <w:p w14:paraId="392CAF75" w14:textId="77777777" w:rsidR="00980E5F" w:rsidRDefault="00980E5F">
            <w:pPr>
              <w:rPr>
                <w:rFonts w:ascii="宋体"/>
                <w:vanish/>
              </w:rPr>
            </w:pPr>
          </w:p>
        </w:tc>
        <w:tc>
          <w:tcPr>
            <w:tcW w:w="0" w:type="auto"/>
            <w:gridSpan w:val="3"/>
            <w:shd w:val="clear" w:color="auto" w:fill="auto"/>
            <w:vAlign w:val="bottom"/>
          </w:tcPr>
          <w:p w14:paraId="392CAF76" w14:textId="77777777" w:rsidR="00980E5F" w:rsidRDefault="00980E5F">
            <w:pPr>
              <w:rPr>
                <w:rFonts w:ascii="宋体"/>
                <w:vanish/>
              </w:rPr>
            </w:pPr>
          </w:p>
        </w:tc>
        <w:tc>
          <w:tcPr>
            <w:tcW w:w="0" w:type="auto"/>
            <w:gridSpan w:val="3"/>
            <w:shd w:val="clear" w:color="auto" w:fill="auto"/>
            <w:vAlign w:val="bottom"/>
          </w:tcPr>
          <w:p w14:paraId="392CAF77" w14:textId="77777777" w:rsidR="00980E5F" w:rsidRDefault="00980E5F">
            <w:pPr>
              <w:rPr>
                <w:rFonts w:ascii="宋体"/>
                <w:vanish/>
              </w:rPr>
            </w:pPr>
          </w:p>
        </w:tc>
        <w:tc>
          <w:tcPr>
            <w:tcW w:w="0" w:type="auto"/>
            <w:gridSpan w:val="3"/>
            <w:shd w:val="clear" w:color="auto" w:fill="auto"/>
            <w:vAlign w:val="bottom"/>
          </w:tcPr>
          <w:p w14:paraId="392CAF78" w14:textId="77777777" w:rsidR="00980E5F" w:rsidRDefault="00980E5F">
            <w:pPr>
              <w:rPr>
                <w:rFonts w:ascii="宋体"/>
                <w:vanish/>
              </w:rPr>
            </w:pPr>
          </w:p>
        </w:tc>
        <w:tc>
          <w:tcPr>
            <w:tcW w:w="0" w:type="auto"/>
            <w:gridSpan w:val="3"/>
            <w:shd w:val="clear" w:color="auto" w:fill="auto"/>
            <w:vAlign w:val="bottom"/>
          </w:tcPr>
          <w:p w14:paraId="392CAF79" w14:textId="77777777" w:rsidR="00980E5F" w:rsidRDefault="00980E5F">
            <w:pPr>
              <w:rPr>
                <w:rFonts w:ascii="宋体"/>
                <w:vanish/>
              </w:rPr>
            </w:pPr>
          </w:p>
        </w:tc>
        <w:tc>
          <w:tcPr>
            <w:tcW w:w="0" w:type="auto"/>
            <w:gridSpan w:val="3"/>
            <w:shd w:val="clear" w:color="auto" w:fill="auto"/>
            <w:vAlign w:val="bottom"/>
          </w:tcPr>
          <w:p w14:paraId="392CAF7A" w14:textId="77777777" w:rsidR="00980E5F" w:rsidRDefault="00980E5F">
            <w:pPr>
              <w:rPr>
                <w:rFonts w:ascii="宋体"/>
                <w:vanish/>
              </w:rPr>
            </w:pPr>
          </w:p>
        </w:tc>
        <w:tc>
          <w:tcPr>
            <w:tcW w:w="0" w:type="auto"/>
            <w:gridSpan w:val="3"/>
            <w:shd w:val="clear" w:color="auto" w:fill="auto"/>
            <w:vAlign w:val="bottom"/>
          </w:tcPr>
          <w:p w14:paraId="392CAF7B" w14:textId="77777777" w:rsidR="00980E5F" w:rsidRDefault="00980E5F">
            <w:pPr>
              <w:rPr>
                <w:rFonts w:ascii="宋体"/>
                <w:vanish/>
              </w:rPr>
            </w:pPr>
          </w:p>
        </w:tc>
      </w:tr>
      <w:tr w:rsidR="00980E5F" w14:paraId="392CAF91" w14:textId="77777777">
        <w:trPr>
          <w:hidden/>
        </w:trPr>
        <w:tc>
          <w:tcPr>
            <w:tcW w:w="0" w:type="auto"/>
            <w:gridSpan w:val="3"/>
            <w:shd w:val="clear" w:color="auto" w:fill="auto"/>
            <w:vAlign w:val="bottom"/>
          </w:tcPr>
          <w:p w14:paraId="392CAF7D" w14:textId="77777777" w:rsidR="00980E5F" w:rsidRDefault="00980E5F">
            <w:pPr>
              <w:rPr>
                <w:rFonts w:ascii="宋体"/>
                <w:vanish/>
              </w:rPr>
            </w:pPr>
          </w:p>
        </w:tc>
        <w:tc>
          <w:tcPr>
            <w:tcW w:w="0" w:type="auto"/>
            <w:gridSpan w:val="3"/>
            <w:shd w:val="clear" w:color="auto" w:fill="auto"/>
            <w:vAlign w:val="bottom"/>
          </w:tcPr>
          <w:p w14:paraId="392CAF7E" w14:textId="77777777" w:rsidR="00980E5F" w:rsidRDefault="00980E5F">
            <w:pPr>
              <w:rPr>
                <w:rFonts w:ascii="宋体"/>
                <w:vanish/>
              </w:rPr>
            </w:pPr>
          </w:p>
        </w:tc>
        <w:tc>
          <w:tcPr>
            <w:tcW w:w="0" w:type="auto"/>
            <w:gridSpan w:val="3"/>
            <w:shd w:val="clear" w:color="auto" w:fill="auto"/>
            <w:vAlign w:val="bottom"/>
          </w:tcPr>
          <w:p w14:paraId="392CAF7F" w14:textId="77777777" w:rsidR="00980E5F" w:rsidRDefault="00980E5F">
            <w:pPr>
              <w:rPr>
                <w:rFonts w:ascii="宋体"/>
                <w:vanish/>
              </w:rPr>
            </w:pPr>
          </w:p>
        </w:tc>
        <w:tc>
          <w:tcPr>
            <w:tcW w:w="0" w:type="auto"/>
            <w:gridSpan w:val="3"/>
            <w:shd w:val="clear" w:color="auto" w:fill="auto"/>
            <w:vAlign w:val="bottom"/>
          </w:tcPr>
          <w:p w14:paraId="392CAF80" w14:textId="77777777" w:rsidR="00980E5F" w:rsidRDefault="00980E5F">
            <w:pPr>
              <w:rPr>
                <w:rFonts w:ascii="宋体"/>
                <w:vanish/>
              </w:rPr>
            </w:pPr>
          </w:p>
        </w:tc>
        <w:tc>
          <w:tcPr>
            <w:tcW w:w="0" w:type="auto"/>
            <w:gridSpan w:val="3"/>
            <w:shd w:val="clear" w:color="auto" w:fill="auto"/>
            <w:vAlign w:val="bottom"/>
          </w:tcPr>
          <w:p w14:paraId="392CAF81" w14:textId="77777777" w:rsidR="00980E5F" w:rsidRDefault="00980E5F">
            <w:pPr>
              <w:rPr>
                <w:rFonts w:ascii="宋体"/>
                <w:vanish/>
              </w:rPr>
            </w:pPr>
          </w:p>
        </w:tc>
        <w:tc>
          <w:tcPr>
            <w:tcW w:w="0" w:type="auto"/>
            <w:gridSpan w:val="3"/>
            <w:shd w:val="clear" w:color="auto" w:fill="auto"/>
            <w:vAlign w:val="bottom"/>
          </w:tcPr>
          <w:p w14:paraId="392CAF82" w14:textId="77777777" w:rsidR="00980E5F" w:rsidRDefault="00980E5F">
            <w:pPr>
              <w:rPr>
                <w:rFonts w:ascii="宋体"/>
                <w:vanish/>
              </w:rPr>
            </w:pPr>
          </w:p>
        </w:tc>
        <w:tc>
          <w:tcPr>
            <w:tcW w:w="0" w:type="auto"/>
            <w:gridSpan w:val="3"/>
            <w:shd w:val="clear" w:color="auto" w:fill="auto"/>
            <w:vAlign w:val="bottom"/>
          </w:tcPr>
          <w:p w14:paraId="392CAF83" w14:textId="77777777" w:rsidR="00980E5F" w:rsidRDefault="00980E5F">
            <w:pPr>
              <w:rPr>
                <w:rFonts w:ascii="宋体"/>
                <w:vanish/>
              </w:rPr>
            </w:pPr>
          </w:p>
        </w:tc>
        <w:tc>
          <w:tcPr>
            <w:tcW w:w="0" w:type="auto"/>
            <w:gridSpan w:val="3"/>
            <w:shd w:val="clear" w:color="auto" w:fill="auto"/>
            <w:vAlign w:val="bottom"/>
          </w:tcPr>
          <w:p w14:paraId="392CAF84" w14:textId="77777777" w:rsidR="00980E5F" w:rsidRDefault="00980E5F">
            <w:pPr>
              <w:rPr>
                <w:rFonts w:ascii="宋体"/>
                <w:vanish/>
              </w:rPr>
            </w:pPr>
          </w:p>
        </w:tc>
        <w:tc>
          <w:tcPr>
            <w:tcW w:w="0" w:type="auto"/>
            <w:gridSpan w:val="3"/>
            <w:shd w:val="clear" w:color="auto" w:fill="auto"/>
            <w:vAlign w:val="bottom"/>
          </w:tcPr>
          <w:p w14:paraId="392CAF85" w14:textId="77777777" w:rsidR="00980E5F" w:rsidRDefault="00980E5F">
            <w:pPr>
              <w:rPr>
                <w:rFonts w:ascii="宋体"/>
                <w:vanish/>
              </w:rPr>
            </w:pPr>
          </w:p>
        </w:tc>
        <w:tc>
          <w:tcPr>
            <w:tcW w:w="0" w:type="auto"/>
            <w:gridSpan w:val="3"/>
            <w:shd w:val="clear" w:color="auto" w:fill="auto"/>
            <w:vAlign w:val="bottom"/>
          </w:tcPr>
          <w:p w14:paraId="392CAF86" w14:textId="77777777" w:rsidR="00980E5F" w:rsidRDefault="00980E5F">
            <w:pPr>
              <w:rPr>
                <w:rFonts w:ascii="宋体"/>
                <w:vanish/>
              </w:rPr>
            </w:pPr>
          </w:p>
        </w:tc>
        <w:tc>
          <w:tcPr>
            <w:tcW w:w="0" w:type="auto"/>
            <w:gridSpan w:val="3"/>
            <w:shd w:val="clear" w:color="auto" w:fill="auto"/>
            <w:vAlign w:val="bottom"/>
          </w:tcPr>
          <w:p w14:paraId="392CAF87" w14:textId="77777777" w:rsidR="00980E5F" w:rsidRDefault="00980E5F">
            <w:pPr>
              <w:rPr>
                <w:rFonts w:ascii="宋体"/>
                <w:vanish/>
              </w:rPr>
            </w:pPr>
          </w:p>
        </w:tc>
        <w:tc>
          <w:tcPr>
            <w:tcW w:w="0" w:type="auto"/>
            <w:gridSpan w:val="3"/>
            <w:shd w:val="clear" w:color="auto" w:fill="auto"/>
            <w:vAlign w:val="bottom"/>
          </w:tcPr>
          <w:p w14:paraId="392CAF88" w14:textId="77777777" w:rsidR="00980E5F" w:rsidRDefault="00980E5F">
            <w:pPr>
              <w:rPr>
                <w:rFonts w:ascii="宋体"/>
                <w:vanish/>
              </w:rPr>
            </w:pPr>
          </w:p>
        </w:tc>
        <w:tc>
          <w:tcPr>
            <w:tcW w:w="0" w:type="auto"/>
            <w:gridSpan w:val="3"/>
            <w:shd w:val="clear" w:color="auto" w:fill="auto"/>
            <w:vAlign w:val="bottom"/>
          </w:tcPr>
          <w:p w14:paraId="392CAF89" w14:textId="77777777" w:rsidR="00980E5F" w:rsidRDefault="00980E5F">
            <w:pPr>
              <w:rPr>
                <w:rFonts w:ascii="宋体"/>
                <w:vanish/>
              </w:rPr>
            </w:pPr>
          </w:p>
        </w:tc>
        <w:tc>
          <w:tcPr>
            <w:tcW w:w="0" w:type="auto"/>
            <w:gridSpan w:val="3"/>
            <w:shd w:val="clear" w:color="auto" w:fill="auto"/>
            <w:vAlign w:val="bottom"/>
          </w:tcPr>
          <w:p w14:paraId="392CAF8A" w14:textId="77777777" w:rsidR="00980E5F" w:rsidRDefault="00980E5F">
            <w:pPr>
              <w:rPr>
                <w:rFonts w:ascii="宋体"/>
                <w:vanish/>
              </w:rPr>
            </w:pPr>
          </w:p>
        </w:tc>
        <w:tc>
          <w:tcPr>
            <w:tcW w:w="0" w:type="auto"/>
            <w:gridSpan w:val="3"/>
            <w:shd w:val="clear" w:color="auto" w:fill="auto"/>
            <w:vAlign w:val="bottom"/>
          </w:tcPr>
          <w:p w14:paraId="392CAF8B" w14:textId="77777777" w:rsidR="00980E5F" w:rsidRDefault="00980E5F">
            <w:pPr>
              <w:rPr>
                <w:rFonts w:ascii="宋体"/>
                <w:vanish/>
              </w:rPr>
            </w:pPr>
          </w:p>
        </w:tc>
        <w:tc>
          <w:tcPr>
            <w:tcW w:w="0" w:type="auto"/>
            <w:gridSpan w:val="3"/>
            <w:shd w:val="clear" w:color="auto" w:fill="auto"/>
            <w:vAlign w:val="bottom"/>
          </w:tcPr>
          <w:p w14:paraId="392CAF8C" w14:textId="77777777" w:rsidR="00980E5F" w:rsidRDefault="00980E5F">
            <w:pPr>
              <w:rPr>
                <w:rFonts w:ascii="宋体"/>
                <w:vanish/>
              </w:rPr>
            </w:pPr>
          </w:p>
        </w:tc>
        <w:tc>
          <w:tcPr>
            <w:tcW w:w="0" w:type="auto"/>
            <w:gridSpan w:val="3"/>
            <w:shd w:val="clear" w:color="auto" w:fill="auto"/>
            <w:vAlign w:val="bottom"/>
          </w:tcPr>
          <w:p w14:paraId="392CAF8D" w14:textId="77777777" w:rsidR="00980E5F" w:rsidRDefault="00980E5F">
            <w:pPr>
              <w:rPr>
                <w:rFonts w:ascii="宋体"/>
                <w:vanish/>
              </w:rPr>
            </w:pPr>
          </w:p>
        </w:tc>
        <w:tc>
          <w:tcPr>
            <w:tcW w:w="0" w:type="auto"/>
            <w:gridSpan w:val="3"/>
            <w:shd w:val="clear" w:color="auto" w:fill="auto"/>
            <w:vAlign w:val="bottom"/>
          </w:tcPr>
          <w:p w14:paraId="392CAF8E" w14:textId="77777777" w:rsidR="00980E5F" w:rsidRDefault="00980E5F">
            <w:pPr>
              <w:rPr>
                <w:rFonts w:ascii="宋体"/>
                <w:vanish/>
              </w:rPr>
            </w:pPr>
          </w:p>
        </w:tc>
        <w:tc>
          <w:tcPr>
            <w:tcW w:w="0" w:type="auto"/>
            <w:gridSpan w:val="3"/>
            <w:shd w:val="clear" w:color="auto" w:fill="auto"/>
            <w:vAlign w:val="bottom"/>
          </w:tcPr>
          <w:p w14:paraId="392CAF8F" w14:textId="77777777" w:rsidR="00980E5F" w:rsidRDefault="00980E5F">
            <w:pPr>
              <w:rPr>
                <w:rFonts w:ascii="宋体"/>
                <w:vanish/>
              </w:rPr>
            </w:pPr>
          </w:p>
        </w:tc>
        <w:tc>
          <w:tcPr>
            <w:tcW w:w="0" w:type="auto"/>
            <w:gridSpan w:val="3"/>
            <w:shd w:val="clear" w:color="auto" w:fill="auto"/>
            <w:vAlign w:val="bottom"/>
          </w:tcPr>
          <w:p w14:paraId="392CAF90" w14:textId="77777777" w:rsidR="00980E5F" w:rsidRDefault="00980E5F">
            <w:pPr>
              <w:rPr>
                <w:rFonts w:ascii="宋体"/>
                <w:vanish/>
              </w:rPr>
            </w:pPr>
          </w:p>
        </w:tc>
      </w:tr>
      <w:tr w:rsidR="00980E5F" w14:paraId="392CAFA6" w14:textId="77777777">
        <w:trPr>
          <w:hidden/>
        </w:trPr>
        <w:tc>
          <w:tcPr>
            <w:tcW w:w="0" w:type="auto"/>
            <w:gridSpan w:val="3"/>
            <w:shd w:val="clear" w:color="auto" w:fill="auto"/>
            <w:vAlign w:val="bottom"/>
          </w:tcPr>
          <w:p w14:paraId="392CAF92" w14:textId="77777777" w:rsidR="00980E5F" w:rsidRDefault="00980E5F">
            <w:pPr>
              <w:rPr>
                <w:rFonts w:ascii="宋体"/>
                <w:vanish/>
              </w:rPr>
            </w:pPr>
          </w:p>
        </w:tc>
        <w:tc>
          <w:tcPr>
            <w:tcW w:w="0" w:type="auto"/>
            <w:gridSpan w:val="3"/>
            <w:shd w:val="clear" w:color="auto" w:fill="auto"/>
            <w:vAlign w:val="bottom"/>
          </w:tcPr>
          <w:p w14:paraId="392CAF93" w14:textId="77777777" w:rsidR="00980E5F" w:rsidRDefault="00980E5F">
            <w:pPr>
              <w:rPr>
                <w:rFonts w:ascii="宋体"/>
                <w:vanish/>
              </w:rPr>
            </w:pPr>
          </w:p>
        </w:tc>
        <w:tc>
          <w:tcPr>
            <w:tcW w:w="0" w:type="auto"/>
            <w:gridSpan w:val="3"/>
            <w:shd w:val="clear" w:color="auto" w:fill="auto"/>
            <w:vAlign w:val="bottom"/>
          </w:tcPr>
          <w:p w14:paraId="392CAF94" w14:textId="77777777" w:rsidR="00980E5F" w:rsidRDefault="00980E5F">
            <w:pPr>
              <w:rPr>
                <w:rFonts w:ascii="宋体"/>
                <w:vanish/>
              </w:rPr>
            </w:pPr>
          </w:p>
        </w:tc>
        <w:tc>
          <w:tcPr>
            <w:tcW w:w="0" w:type="auto"/>
            <w:gridSpan w:val="3"/>
            <w:shd w:val="clear" w:color="auto" w:fill="auto"/>
            <w:vAlign w:val="bottom"/>
          </w:tcPr>
          <w:p w14:paraId="392CAF95" w14:textId="77777777" w:rsidR="00980E5F" w:rsidRDefault="00980E5F">
            <w:pPr>
              <w:rPr>
                <w:rFonts w:ascii="宋体"/>
                <w:vanish/>
              </w:rPr>
            </w:pPr>
          </w:p>
        </w:tc>
        <w:tc>
          <w:tcPr>
            <w:tcW w:w="0" w:type="auto"/>
            <w:gridSpan w:val="3"/>
            <w:shd w:val="clear" w:color="auto" w:fill="auto"/>
            <w:vAlign w:val="bottom"/>
          </w:tcPr>
          <w:p w14:paraId="392CAF96" w14:textId="77777777" w:rsidR="00980E5F" w:rsidRDefault="00980E5F">
            <w:pPr>
              <w:rPr>
                <w:rFonts w:ascii="宋体"/>
                <w:vanish/>
              </w:rPr>
            </w:pPr>
          </w:p>
        </w:tc>
        <w:tc>
          <w:tcPr>
            <w:tcW w:w="0" w:type="auto"/>
            <w:gridSpan w:val="3"/>
            <w:shd w:val="clear" w:color="auto" w:fill="auto"/>
            <w:vAlign w:val="bottom"/>
          </w:tcPr>
          <w:p w14:paraId="392CAF97" w14:textId="77777777" w:rsidR="00980E5F" w:rsidRDefault="00980E5F">
            <w:pPr>
              <w:rPr>
                <w:rFonts w:ascii="宋体"/>
                <w:vanish/>
              </w:rPr>
            </w:pPr>
          </w:p>
        </w:tc>
        <w:tc>
          <w:tcPr>
            <w:tcW w:w="0" w:type="auto"/>
            <w:gridSpan w:val="3"/>
            <w:shd w:val="clear" w:color="auto" w:fill="auto"/>
            <w:vAlign w:val="bottom"/>
          </w:tcPr>
          <w:p w14:paraId="392CAF98" w14:textId="77777777" w:rsidR="00980E5F" w:rsidRDefault="00980E5F">
            <w:pPr>
              <w:rPr>
                <w:rFonts w:ascii="宋体"/>
                <w:vanish/>
              </w:rPr>
            </w:pPr>
          </w:p>
        </w:tc>
        <w:tc>
          <w:tcPr>
            <w:tcW w:w="0" w:type="auto"/>
            <w:gridSpan w:val="3"/>
            <w:shd w:val="clear" w:color="auto" w:fill="auto"/>
            <w:vAlign w:val="bottom"/>
          </w:tcPr>
          <w:p w14:paraId="392CAF99" w14:textId="77777777" w:rsidR="00980E5F" w:rsidRDefault="00980E5F">
            <w:pPr>
              <w:rPr>
                <w:rFonts w:ascii="宋体"/>
                <w:vanish/>
              </w:rPr>
            </w:pPr>
          </w:p>
        </w:tc>
        <w:tc>
          <w:tcPr>
            <w:tcW w:w="0" w:type="auto"/>
            <w:gridSpan w:val="3"/>
            <w:shd w:val="clear" w:color="auto" w:fill="auto"/>
            <w:vAlign w:val="bottom"/>
          </w:tcPr>
          <w:p w14:paraId="392CAF9A" w14:textId="77777777" w:rsidR="00980E5F" w:rsidRDefault="00980E5F">
            <w:pPr>
              <w:rPr>
                <w:rFonts w:ascii="宋体"/>
                <w:vanish/>
              </w:rPr>
            </w:pPr>
          </w:p>
        </w:tc>
        <w:tc>
          <w:tcPr>
            <w:tcW w:w="0" w:type="auto"/>
            <w:gridSpan w:val="3"/>
            <w:shd w:val="clear" w:color="auto" w:fill="auto"/>
            <w:vAlign w:val="bottom"/>
          </w:tcPr>
          <w:p w14:paraId="392CAF9B" w14:textId="77777777" w:rsidR="00980E5F" w:rsidRDefault="00980E5F">
            <w:pPr>
              <w:rPr>
                <w:rFonts w:ascii="宋体"/>
                <w:vanish/>
              </w:rPr>
            </w:pPr>
          </w:p>
        </w:tc>
        <w:tc>
          <w:tcPr>
            <w:tcW w:w="0" w:type="auto"/>
            <w:gridSpan w:val="3"/>
            <w:shd w:val="clear" w:color="auto" w:fill="auto"/>
            <w:vAlign w:val="bottom"/>
          </w:tcPr>
          <w:p w14:paraId="392CAF9C" w14:textId="77777777" w:rsidR="00980E5F" w:rsidRDefault="00980E5F">
            <w:pPr>
              <w:rPr>
                <w:rFonts w:ascii="宋体"/>
                <w:vanish/>
              </w:rPr>
            </w:pPr>
          </w:p>
        </w:tc>
        <w:tc>
          <w:tcPr>
            <w:tcW w:w="0" w:type="auto"/>
            <w:gridSpan w:val="3"/>
            <w:shd w:val="clear" w:color="auto" w:fill="auto"/>
            <w:vAlign w:val="bottom"/>
          </w:tcPr>
          <w:p w14:paraId="392CAF9D" w14:textId="77777777" w:rsidR="00980E5F" w:rsidRDefault="00980E5F">
            <w:pPr>
              <w:rPr>
                <w:rFonts w:ascii="宋体"/>
                <w:vanish/>
              </w:rPr>
            </w:pPr>
          </w:p>
        </w:tc>
        <w:tc>
          <w:tcPr>
            <w:tcW w:w="0" w:type="auto"/>
            <w:gridSpan w:val="3"/>
            <w:shd w:val="clear" w:color="auto" w:fill="auto"/>
            <w:vAlign w:val="bottom"/>
          </w:tcPr>
          <w:p w14:paraId="392CAF9E" w14:textId="77777777" w:rsidR="00980E5F" w:rsidRDefault="00980E5F">
            <w:pPr>
              <w:rPr>
                <w:rFonts w:ascii="宋体"/>
                <w:vanish/>
              </w:rPr>
            </w:pPr>
          </w:p>
        </w:tc>
        <w:tc>
          <w:tcPr>
            <w:tcW w:w="0" w:type="auto"/>
            <w:gridSpan w:val="3"/>
            <w:shd w:val="clear" w:color="auto" w:fill="auto"/>
            <w:vAlign w:val="bottom"/>
          </w:tcPr>
          <w:p w14:paraId="392CAF9F" w14:textId="77777777" w:rsidR="00980E5F" w:rsidRDefault="00980E5F">
            <w:pPr>
              <w:rPr>
                <w:rFonts w:ascii="宋体"/>
                <w:vanish/>
              </w:rPr>
            </w:pPr>
          </w:p>
        </w:tc>
        <w:tc>
          <w:tcPr>
            <w:tcW w:w="0" w:type="auto"/>
            <w:gridSpan w:val="3"/>
            <w:shd w:val="clear" w:color="auto" w:fill="auto"/>
            <w:vAlign w:val="bottom"/>
          </w:tcPr>
          <w:p w14:paraId="392CAFA0" w14:textId="77777777" w:rsidR="00980E5F" w:rsidRDefault="00980E5F">
            <w:pPr>
              <w:rPr>
                <w:rFonts w:ascii="宋体"/>
                <w:vanish/>
              </w:rPr>
            </w:pPr>
          </w:p>
        </w:tc>
        <w:tc>
          <w:tcPr>
            <w:tcW w:w="0" w:type="auto"/>
            <w:gridSpan w:val="3"/>
            <w:shd w:val="clear" w:color="auto" w:fill="auto"/>
            <w:vAlign w:val="bottom"/>
          </w:tcPr>
          <w:p w14:paraId="392CAFA1" w14:textId="77777777" w:rsidR="00980E5F" w:rsidRDefault="00980E5F">
            <w:pPr>
              <w:rPr>
                <w:rFonts w:ascii="宋体"/>
                <w:vanish/>
              </w:rPr>
            </w:pPr>
          </w:p>
        </w:tc>
        <w:tc>
          <w:tcPr>
            <w:tcW w:w="0" w:type="auto"/>
            <w:gridSpan w:val="3"/>
            <w:shd w:val="clear" w:color="auto" w:fill="auto"/>
            <w:vAlign w:val="bottom"/>
          </w:tcPr>
          <w:p w14:paraId="392CAFA2" w14:textId="77777777" w:rsidR="00980E5F" w:rsidRDefault="00980E5F">
            <w:pPr>
              <w:rPr>
                <w:rFonts w:ascii="宋体"/>
                <w:vanish/>
              </w:rPr>
            </w:pPr>
          </w:p>
        </w:tc>
        <w:tc>
          <w:tcPr>
            <w:tcW w:w="0" w:type="auto"/>
            <w:gridSpan w:val="3"/>
            <w:shd w:val="clear" w:color="auto" w:fill="auto"/>
            <w:vAlign w:val="bottom"/>
          </w:tcPr>
          <w:p w14:paraId="392CAFA3" w14:textId="77777777" w:rsidR="00980E5F" w:rsidRDefault="00980E5F">
            <w:pPr>
              <w:rPr>
                <w:rFonts w:ascii="宋体"/>
                <w:vanish/>
              </w:rPr>
            </w:pPr>
          </w:p>
        </w:tc>
        <w:tc>
          <w:tcPr>
            <w:tcW w:w="0" w:type="auto"/>
            <w:gridSpan w:val="3"/>
            <w:shd w:val="clear" w:color="auto" w:fill="auto"/>
            <w:vAlign w:val="bottom"/>
          </w:tcPr>
          <w:p w14:paraId="392CAFA4" w14:textId="77777777" w:rsidR="00980E5F" w:rsidRDefault="00980E5F">
            <w:pPr>
              <w:rPr>
                <w:rFonts w:ascii="宋体"/>
                <w:vanish/>
              </w:rPr>
            </w:pPr>
          </w:p>
        </w:tc>
        <w:tc>
          <w:tcPr>
            <w:tcW w:w="0" w:type="auto"/>
            <w:gridSpan w:val="3"/>
            <w:shd w:val="clear" w:color="auto" w:fill="auto"/>
            <w:vAlign w:val="bottom"/>
          </w:tcPr>
          <w:p w14:paraId="392CAFA5" w14:textId="77777777" w:rsidR="00980E5F" w:rsidRDefault="00980E5F">
            <w:pPr>
              <w:rPr>
                <w:rFonts w:ascii="宋体"/>
                <w:vanish/>
              </w:rPr>
            </w:pPr>
          </w:p>
        </w:tc>
      </w:tr>
      <w:tr w:rsidR="00980E5F" w14:paraId="392CAFBB" w14:textId="77777777">
        <w:trPr>
          <w:hidden/>
        </w:trPr>
        <w:tc>
          <w:tcPr>
            <w:tcW w:w="0" w:type="auto"/>
            <w:gridSpan w:val="3"/>
            <w:shd w:val="clear" w:color="auto" w:fill="auto"/>
            <w:vAlign w:val="bottom"/>
          </w:tcPr>
          <w:p w14:paraId="392CAFA7" w14:textId="77777777" w:rsidR="00980E5F" w:rsidRDefault="00980E5F">
            <w:pPr>
              <w:rPr>
                <w:rFonts w:ascii="宋体"/>
                <w:vanish/>
              </w:rPr>
            </w:pPr>
          </w:p>
        </w:tc>
        <w:tc>
          <w:tcPr>
            <w:tcW w:w="0" w:type="auto"/>
            <w:gridSpan w:val="3"/>
            <w:shd w:val="clear" w:color="auto" w:fill="auto"/>
            <w:vAlign w:val="bottom"/>
          </w:tcPr>
          <w:p w14:paraId="392CAFA8" w14:textId="77777777" w:rsidR="00980E5F" w:rsidRDefault="00980E5F">
            <w:pPr>
              <w:rPr>
                <w:rFonts w:ascii="宋体"/>
                <w:vanish/>
              </w:rPr>
            </w:pPr>
          </w:p>
        </w:tc>
        <w:tc>
          <w:tcPr>
            <w:tcW w:w="0" w:type="auto"/>
            <w:gridSpan w:val="3"/>
            <w:shd w:val="clear" w:color="auto" w:fill="auto"/>
            <w:vAlign w:val="bottom"/>
          </w:tcPr>
          <w:p w14:paraId="392CAFA9" w14:textId="77777777" w:rsidR="00980E5F" w:rsidRDefault="00980E5F">
            <w:pPr>
              <w:rPr>
                <w:rFonts w:ascii="宋体"/>
                <w:vanish/>
              </w:rPr>
            </w:pPr>
          </w:p>
        </w:tc>
        <w:tc>
          <w:tcPr>
            <w:tcW w:w="0" w:type="auto"/>
            <w:gridSpan w:val="3"/>
            <w:shd w:val="clear" w:color="auto" w:fill="auto"/>
            <w:vAlign w:val="bottom"/>
          </w:tcPr>
          <w:p w14:paraId="392CAFAA" w14:textId="77777777" w:rsidR="00980E5F" w:rsidRDefault="00980E5F">
            <w:pPr>
              <w:rPr>
                <w:rFonts w:ascii="宋体"/>
                <w:vanish/>
              </w:rPr>
            </w:pPr>
          </w:p>
        </w:tc>
        <w:tc>
          <w:tcPr>
            <w:tcW w:w="0" w:type="auto"/>
            <w:gridSpan w:val="3"/>
            <w:shd w:val="clear" w:color="auto" w:fill="auto"/>
            <w:vAlign w:val="bottom"/>
          </w:tcPr>
          <w:p w14:paraId="392CAFAB" w14:textId="77777777" w:rsidR="00980E5F" w:rsidRDefault="00980E5F">
            <w:pPr>
              <w:rPr>
                <w:rFonts w:ascii="宋体"/>
                <w:vanish/>
              </w:rPr>
            </w:pPr>
          </w:p>
        </w:tc>
        <w:tc>
          <w:tcPr>
            <w:tcW w:w="0" w:type="auto"/>
            <w:gridSpan w:val="3"/>
            <w:shd w:val="clear" w:color="auto" w:fill="auto"/>
            <w:vAlign w:val="bottom"/>
          </w:tcPr>
          <w:p w14:paraId="392CAFAC" w14:textId="77777777" w:rsidR="00980E5F" w:rsidRDefault="00980E5F">
            <w:pPr>
              <w:rPr>
                <w:rFonts w:ascii="宋体"/>
                <w:vanish/>
              </w:rPr>
            </w:pPr>
          </w:p>
        </w:tc>
        <w:tc>
          <w:tcPr>
            <w:tcW w:w="0" w:type="auto"/>
            <w:gridSpan w:val="3"/>
            <w:shd w:val="clear" w:color="auto" w:fill="auto"/>
            <w:vAlign w:val="bottom"/>
          </w:tcPr>
          <w:p w14:paraId="392CAFAD" w14:textId="77777777" w:rsidR="00980E5F" w:rsidRDefault="00980E5F">
            <w:pPr>
              <w:rPr>
                <w:rFonts w:ascii="宋体"/>
                <w:vanish/>
              </w:rPr>
            </w:pPr>
          </w:p>
        </w:tc>
        <w:tc>
          <w:tcPr>
            <w:tcW w:w="0" w:type="auto"/>
            <w:gridSpan w:val="3"/>
            <w:shd w:val="clear" w:color="auto" w:fill="auto"/>
            <w:vAlign w:val="bottom"/>
          </w:tcPr>
          <w:p w14:paraId="392CAFAE" w14:textId="77777777" w:rsidR="00980E5F" w:rsidRDefault="00980E5F">
            <w:pPr>
              <w:rPr>
                <w:rFonts w:ascii="宋体"/>
                <w:vanish/>
              </w:rPr>
            </w:pPr>
          </w:p>
        </w:tc>
        <w:tc>
          <w:tcPr>
            <w:tcW w:w="0" w:type="auto"/>
            <w:gridSpan w:val="3"/>
            <w:shd w:val="clear" w:color="auto" w:fill="auto"/>
            <w:vAlign w:val="bottom"/>
          </w:tcPr>
          <w:p w14:paraId="392CAFAF" w14:textId="77777777" w:rsidR="00980E5F" w:rsidRDefault="00980E5F">
            <w:pPr>
              <w:rPr>
                <w:rFonts w:ascii="宋体"/>
                <w:vanish/>
              </w:rPr>
            </w:pPr>
          </w:p>
        </w:tc>
        <w:tc>
          <w:tcPr>
            <w:tcW w:w="0" w:type="auto"/>
            <w:gridSpan w:val="3"/>
            <w:shd w:val="clear" w:color="auto" w:fill="auto"/>
            <w:vAlign w:val="bottom"/>
          </w:tcPr>
          <w:p w14:paraId="392CAFB0" w14:textId="77777777" w:rsidR="00980E5F" w:rsidRDefault="00980E5F">
            <w:pPr>
              <w:rPr>
                <w:rFonts w:ascii="宋体"/>
                <w:vanish/>
              </w:rPr>
            </w:pPr>
          </w:p>
        </w:tc>
        <w:tc>
          <w:tcPr>
            <w:tcW w:w="0" w:type="auto"/>
            <w:gridSpan w:val="3"/>
            <w:shd w:val="clear" w:color="auto" w:fill="auto"/>
            <w:vAlign w:val="bottom"/>
          </w:tcPr>
          <w:p w14:paraId="392CAFB1" w14:textId="77777777" w:rsidR="00980E5F" w:rsidRDefault="00980E5F">
            <w:pPr>
              <w:rPr>
                <w:rFonts w:ascii="宋体"/>
                <w:vanish/>
              </w:rPr>
            </w:pPr>
          </w:p>
        </w:tc>
        <w:tc>
          <w:tcPr>
            <w:tcW w:w="0" w:type="auto"/>
            <w:gridSpan w:val="3"/>
            <w:shd w:val="clear" w:color="auto" w:fill="auto"/>
            <w:vAlign w:val="bottom"/>
          </w:tcPr>
          <w:p w14:paraId="392CAFB2" w14:textId="77777777" w:rsidR="00980E5F" w:rsidRDefault="00980E5F">
            <w:pPr>
              <w:rPr>
                <w:rFonts w:ascii="宋体"/>
                <w:vanish/>
              </w:rPr>
            </w:pPr>
          </w:p>
        </w:tc>
        <w:tc>
          <w:tcPr>
            <w:tcW w:w="0" w:type="auto"/>
            <w:gridSpan w:val="3"/>
            <w:shd w:val="clear" w:color="auto" w:fill="auto"/>
            <w:vAlign w:val="bottom"/>
          </w:tcPr>
          <w:p w14:paraId="392CAFB3" w14:textId="77777777" w:rsidR="00980E5F" w:rsidRDefault="00980E5F">
            <w:pPr>
              <w:rPr>
                <w:rFonts w:ascii="宋体"/>
                <w:vanish/>
              </w:rPr>
            </w:pPr>
          </w:p>
        </w:tc>
        <w:tc>
          <w:tcPr>
            <w:tcW w:w="0" w:type="auto"/>
            <w:gridSpan w:val="3"/>
            <w:shd w:val="clear" w:color="auto" w:fill="auto"/>
            <w:vAlign w:val="bottom"/>
          </w:tcPr>
          <w:p w14:paraId="392CAFB4" w14:textId="77777777" w:rsidR="00980E5F" w:rsidRDefault="00980E5F">
            <w:pPr>
              <w:rPr>
                <w:rFonts w:ascii="宋体"/>
                <w:vanish/>
              </w:rPr>
            </w:pPr>
          </w:p>
        </w:tc>
        <w:tc>
          <w:tcPr>
            <w:tcW w:w="0" w:type="auto"/>
            <w:gridSpan w:val="3"/>
            <w:shd w:val="clear" w:color="auto" w:fill="auto"/>
            <w:vAlign w:val="bottom"/>
          </w:tcPr>
          <w:p w14:paraId="392CAFB5" w14:textId="77777777" w:rsidR="00980E5F" w:rsidRDefault="00980E5F">
            <w:pPr>
              <w:rPr>
                <w:rFonts w:ascii="宋体"/>
                <w:vanish/>
              </w:rPr>
            </w:pPr>
          </w:p>
        </w:tc>
        <w:tc>
          <w:tcPr>
            <w:tcW w:w="0" w:type="auto"/>
            <w:gridSpan w:val="3"/>
            <w:shd w:val="clear" w:color="auto" w:fill="auto"/>
            <w:vAlign w:val="bottom"/>
          </w:tcPr>
          <w:p w14:paraId="392CAFB6" w14:textId="77777777" w:rsidR="00980E5F" w:rsidRDefault="00980E5F">
            <w:pPr>
              <w:rPr>
                <w:rFonts w:ascii="宋体"/>
                <w:vanish/>
              </w:rPr>
            </w:pPr>
          </w:p>
        </w:tc>
        <w:tc>
          <w:tcPr>
            <w:tcW w:w="0" w:type="auto"/>
            <w:gridSpan w:val="3"/>
            <w:shd w:val="clear" w:color="auto" w:fill="auto"/>
            <w:vAlign w:val="bottom"/>
          </w:tcPr>
          <w:p w14:paraId="392CAFB7" w14:textId="77777777" w:rsidR="00980E5F" w:rsidRDefault="00980E5F">
            <w:pPr>
              <w:rPr>
                <w:rFonts w:ascii="宋体"/>
                <w:vanish/>
              </w:rPr>
            </w:pPr>
          </w:p>
        </w:tc>
        <w:tc>
          <w:tcPr>
            <w:tcW w:w="0" w:type="auto"/>
            <w:gridSpan w:val="3"/>
            <w:shd w:val="clear" w:color="auto" w:fill="auto"/>
            <w:vAlign w:val="bottom"/>
          </w:tcPr>
          <w:p w14:paraId="392CAFB8" w14:textId="77777777" w:rsidR="00980E5F" w:rsidRDefault="00980E5F">
            <w:pPr>
              <w:rPr>
                <w:rFonts w:ascii="宋体"/>
                <w:vanish/>
              </w:rPr>
            </w:pPr>
          </w:p>
        </w:tc>
        <w:tc>
          <w:tcPr>
            <w:tcW w:w="0" w:type="auto"/>
            <w:gridSpan w:val="3"/>
            <w:shd w:val="clear" w:color="auto" w:fill="auto"/>
            <w:vAlign w:val="bottom"/>
          </w:tcPr>
          <w:p w14:paraId="392CAFB9" w14:textId="77777777" w:rsidR="00980E5F" w:rsidRDefault="00980E5F">
            <w:pPr>
              <w:rPr>
                <w:rFonts w:ascii="宋体"/>
                <w:vanish/>
              </w:rPr>
            </w:pPr>
          </w:p>
        </w:tc>
        <w:tc>
          <w:tcPr>
            <w:tcW w:w="0" w:type="auto"/>
            <w:gridSpan w:val="3"/>
            <w:shd w:val="clear" w:color="auto" w:fill="auto"/>
            <w:vAlign w:val="bottom"/>
          </w:tcPr>
          <w:p w14:paraId="392CAFBA" w14:textId="77777777" w:rsidR="00980E5F" w:rsidRDefault="00980E5F">
            <w:pPr>
              <w:rPr>
                <w:rFonts w:ascii="宋体"/>
                <w:vanish/>
              </w:rPr>
            </w:pPr>
          </w:p>
        </w:tc>
      </w:tr>
      <w:tr w:rsidR="00980E5F" w14:paraId="392CAFD0" w14:textId="77777777">
        <w:trPr>
          <w:hidden/>
        </w:trPr>
        <w:tc>
          <w:tcPr>
            <w:tcW w:w="0" w:type="auto"/>
            <w:gridSpan w:val="3"/>
            <w:shd w:val="clear" w:color="auto" w:fill="auto"/>
            <w:vAlign w:val="bottom"/>
          </w:tcPr>
          <w:p w14:paraId="392CAFBC" w14:textId="77777777" w:rsidR="00980E5F" w:rsidRDefault="00980E5F">
            <w:pPr>
              <w:rPr>
                <w:rFonts w:ascii="宋体"/>
                <w:vanish/>
              </w:rPr>
            </w:pPr>
          </w:p>
        </w:tc>
        <w:tc>
          <w:tcPr>
            <w:tcW w:w="0" w:type="auto"/>
            <w:gridSpan w:val="3"/>
            <w:shd w:val="clear" w:color="auto" w:fill="auto"/>
            <w:vAlign w:val="bottom"/>
          </w:tcPr>
          <w:p w14:paraId="392CAFBD" w14:textId="77777777" w:rsidR="00980E5F" w:rsidRDefault="00980E5F">
            <w:pPr>
              <w:rPr>
                <w:rFonts w:ascii="宋体"/>
                <w:vanish/>
              </w:rPr>
            </w:pPr>
          </w:p>
        </w:tc>
        <w:tc>
          <w:tcPr>
            <w:tcW w:w="0" w:type="auto"/>
            <w:gridSpan w:val="3"/>
            <w:shd w:val="clear" w:color="auto" w:fill="auto"/>
            <w:vAlign w:val="bottom"/>
          </w:tcPr>
          <w:p w14:paraId="392CAFBE" w14:textId="77777777" w:rsidR="00980E5F" w:rsidRDefault="00980E5F">
            <w:pPr>
              <w:rPr>
                <w:rFonts w:ascii="宋体"/>
                <w:vanish/>
              </w:rPr>
            </w:pPr>
          </w:p>
        </w:tc>
        <w:tc>
          <w:tcPr>
            <w:tcW w:w="0" w:type="auto"/>
            <w:gridSpan w:val="3"/>
            <w:shd w:val="clear" w:color="auto" w:fill="auto"/>
            <w:vAlign w:val="bottom"/>
          </w:tcPr>
          <w:p w14:paraId="392CAFBF" w14:textId="77777777" w:rsidR="00980E5F" w:rsidRDefault="00980E5F">
            <w:pPr>
              <w:rPr>
                <w:rFonts w:ascii="宋体"/>
                <w:vanish/>
              </w:rPr>
            </w:pPr>
          </w:p>
        </w:tc>
        <w:tc>
          <w:tcPr>
            <w:tcW w:w="0" w:type="auto"/>
            <w:gridSpan w:val="3"/>
            <w:shd w:val="clear" w:color="auto" w:fill="auto"/>
            <w:vAlign w:val="bottom"/>
          </w:tcPr>
          <w:p w14:paraId="392CAFC0" w14:textId="77777777" w:rsidR="00980E5F" w:rsidRDefault="00980E5F">
            <w:pPr>
              <w:rPr>
                <w:rFonts w:ascii="宋体"/>
                <w:vanish/>
              </w:rPr>
            </w:pPr>
          </w:p>
        </w:tc>
        <w:tc>
          <w:tcPr>
            <w:tcW w:w="0" w:type="auto"/>
            <w:gridSpan w:val="3"/>
            <w:shd w:val="clear" w:color="auto" w:fill="auto"/>
            <w:vAlign w:val="bottom"/>
          </w:tcPr>
          <w:p w14:paraId="392CAFC1" w14:textId="77777777" w:rsidR="00980E5F" w:rsidRDefault="00980E5F">
            <w:pPr>
              <w:rPr>
                <w:rFonts w:ascii="宋体"/>
                <w:vanish/>
              </w:rPr>
            </w:pPr>
          </w:p>
        </w:tc>
        <w:tc>
          <w:tcPr>
            <w:tcW w:w="0" w:type="auto"/>
            <w:gridSpan w:val="3"/>
            <w:shd w:val="clear" w:color="auto" w:fill="auto"/>
            <w:vAlign w:val="bottom"/>
          </w:tcPr>
          <w:p w14:paraId="392CAFC2" w14:textId="77777777" w:rsidR="00980E5F" w:rsidRDefault="00980E5F">
            <w:pPr>
              <w:rPr>
                <w:rFonts w:ascii="宋体"/>
                <w:vanish/>
              </w:rPr>
            </w:pPr>
          </w:p>
        </w:tc>
        <w:tc>
          <w:tcPr>
            <w:tcW w:w="0" w:type="auto"/>
            <w:gridSpan w:val="3"/>
            <w:shd w:val="clear" w:color="auto" w:fill="auto"/>
            <w:vAlign w:val="bottom"/>
          </w:tcPr>
          <w:p w14:paraId="392CAFC3" w14:textId="77777777" w:rsidR="00980E5F" w:rsidRDefault="00980E5F">
            <w:pPr>
              <w:rPr>
                <w:rFonts w:ascii="宋体"/>
                <w:vanish/>
              </w:rPr>
            </w:pPr>
          </w:p>
        </w:tc>
        <w:tc>
          <w:tcPr>
            <w:tcW w:w="0" w:type="auto"/>
            <w:gridSpan w:val="3"/>
            <w:shd w:val="clear" w:color="auto" w:fill="auto"/>
            <w:vAlign w:val="bottom"/>
          </w:tcPr>
          <w:p w14:paraId="392CAFC4" w14:textId="77777777" w:rsidR="00980E5F" w:rsidRDefault="00980E5F">
            <w:pPr>
              <w:rPr>
                <w:rFonts w:ascii="宋体"/>
                <w:vanish/>
              </w:rPr>
            </w:pPr>
          </w:p>
        </w:tc>
        <w:tc>
          <w:tcPr>
            <w:tcW w:w="0" w:type="auto"/>
            <w:gridSpan w:val="3"/>
            <w:shd w:val="clear" w:color="auto" w:fill="auto"/>
            <w:vAlign w:val="bottom"/>
          </w:tcPr>
          <w:p w14:paraId="392CAFC5" w14:textId="77777777" w:rsidR="00980E5F" w:rsidRDefault="00980E5F">
            <w:pPr>
              <w:rPr>
                <w:rFonts w:ascii="宋体"/>
                <w:vanish/>
              </w:rPr>
            </w:pPr>
          </w:p>
        </w:tc>
        <w:tc>
          <w:tcPr>
            <w:tcW w:w="0" w:type="auto"/>
            <w:gridSpan w:val="3"/>
            <w:shd w:val="clear" w:color="auto" w:fill="auto"/>
            <w:vAlign w:val="bottom"/>
          </w:tcPr>
          <w:p w14:paraId="392CAFC6" w14:textId="77777777" w:rsidR="00980E5F" w:rsidRDefault="00980E5F">
            <w:pPr>
              <w:rPr>
                <w:rFonts w:ascii="宋体"/>
                <w:vanish/>
              </w:rPr>
            </w:pPr>
          </w:p>
        </w:tc>
        <w:tc>
          <w:tcPr>
            <w:tcW w:w="0" w:type="auto"/>
            <w:gridSpan w:val="3"/>
            <w:shd w:val="clear" w:color="auto" w:fill="auto"/>
            <w:vAlign w:val="bottom"/>
          </w:tcPr>
          <w:p w14:paraId="392CAFC7" w14:textId="77777777" w:rsidR="00980E5F" w:rsidRDefault="00980E5F">
            <w:pPr>
              <w:rPr>
                <w:rFonts w:ascii="宋体"/>
                <w:vanish/>
              </w:rPr>
            </w:pPr>
          </w:p>
        </w:tc>
        <w:tc>
          <w:tcPr>
            <w:tcW w:w="0" w:type="auto"/>
            <w:gridSpan w:val="3"/>
            <w:shd w:val="clear" w:color="auto" w:fill="auto"/>
            <w:vAlign w:val="bottom"/>
          </w:tcPr>
          <w:p w14:paraId="392CAFC8" w14:textId="77777777" w:rsidR="00980E5F" w:rsidRDefault="00980E5F">
            <w:pPr>
              <w:rPr>
                <w:rFonts w:ascii="宋体"/>
                <w:vanish/>
              </w:rPr>
            </w:pPr>
          </w:p>
        </w:tc>
        <w:tc>
          <w:tcPr>
            <w:tcW w:w="0" w:type="auto"/>
            <w:gridSpan w:val="3"/>
            <w:shd w:val="clear" w:color="auto" w:fill="auto"/>
            <w:vAlign w:val="bottom"/>
          </w:tcPr>
          <w:p w14:paraId="392CAFC9" w14:textId="77777777" w:rsidR="00980E5F" w:rsidRDefault="00980E5F">
            <w:pPr>
              <w:rPr>
                <w:rFonts w:ascii="宋体"/>
                <w:vanish/>
              </w:rPr>
            </w:pPr>
          </w:p>
        </w:tc>
        <w:tc>
          <w:tcPr>
            <w:tcW w:w="0" w:type="auto"/>
            <w:gridSpan w:val="3"/>
            <w:shd w:val="clear" w:color="auto" w:fill="auto"/>
            <w:vAlign w:val="bottom"/>
          </w:tcPr>
          <w:p w14:paraId="392CAFCA" w14:textId="77777777" w:rsidR="00980E5F" w:rsidRDefault="00980E5F">
            <w:pPr>
              <w:rPr>
                <w:rFonts w:ascii="宋体"/>
                <w:vanish/>
              </w:rPr>
            </w:pPr>
          </w:p>
        </w:tc>
        <w:tc>
          <w:tcPr>
            <w:tcW w:w="0" w:type="auto"/>
            <w:gridSpan w:val="3"/>
            <w:shd w:val="clear" w:color="auto" w:fill="auto"/>
            <w:vAlign w:val="bottom"/>
          </w:tcPr>
          <w:p w14:paraId="392CAFCB" w14:textId="77777777" w:rsidR="00980E5F" w:rsidRDefault="00980E5F">
            <w:pPr>
              <w:rPr>
                <w:rFonts w:ascii="宋体"/>
                <w:vanish/>
              </w:rPr>
            </w:pPr>
          </w:p>
        </w:tc>
        <w:tc>
          <w:tcPr>
            <w:tcW w:w="0" w:type="auto"/>
            <w:gridSpan w:val="3"/>
            <w:shd w:val="clear" w:color="auto" w:fill="auto"/>
            <w:vAlign w:val="bottom"/>
          </w:tcPr>
          <w:p w14:paraId="392CAFCC" w14:textId="77777777" w:rsidR="00980E5F" w:rsidRDefault="00980E5F">
            <w:pPr>
              <w:rPr>
                <w:rFonts w:ascii="宋体"/>
                <w:vanish/>
              </w:rPr>
            </w:pPr>
          </w:p>
        </w:tc>
        <w:tc>
          <w:tcPr>
            <w:tcW w:w="0" w:type="auto"/>
            <w:gridSpan w:val="3"/>
            <w:shd w:val="clear" w:color="auto" w:fill="auto"/>
            <w:vAlign w:val="bottom"/>
          </w:tcPr>
          <w:p w14:paraId="392CAFCD" w14:textId="77777777" w:rsidR="00980E5F" w:rsidRDefault="00980E5F">
            <w:pPr>
              <w:rPr>
                <w:rFonts w:ascii="宋体"/>
                <w:vanish/>
              </w:rPr>
            </w:pPr>
          </w:p>
        </w:tc>
        <w:tc>
          <w:tcPr>
            <w:tcW w:w="0" w:type="auto"/>
            <w:gridSpan w:val="3"/>
            <w:shd w:val="clear" w:color="auto" w:fill="auto"/>
            <w:vAlign w:val="bottom"/>
          </w:tcPr>
          <w:p w14:paraId="392CAFCE" w14:textId="77777777" w:rsidR="00980E5F" w:rsidRDefault="00980E5F">
            <w:pPr>
              <w:rPr>
                <w:rFonts w:ascii="宋体"/>
                <w:vanish/>
              </w:rPr>
            </w:pPr>
          </w:p>
        </w:tc>
        <w:tc>
          <w:tcPr>
            <w:tcW w:w="0" w:type="auto"/>
            <w:gridSpan w:val="3"/>
            <w:shd w:val="clear" w:color="auto" w:fill="auto"/>
            <w:vAlign w:val="bottom"/>
          </w:tcPr>
          <w:p w14:paraId="392CAFCF" w14:textId="77777777" w:rsidR="00980E5F" w:rsidRDefault="00980E5F">
            <w:pPr>
              <w:rPr>
                <w:rFonts w:ascii="宋体"/>
                <w:vanish/>
              </w:rPr>
            </w:pPr>
          </w:p>
        </w:tc>
      </w:tr>
      <w:tr w:rsidR="00980E5F" w14:paraId="392CAFE5" w14:textId="77777777">
        <w:trPr>
          <w:hidden/>
        </w:trPr>
        <w:tc>
          <w:tcPr>
            <w:tcW w:w="0" w:type="auto"/>
            <w:gridSpan w:val="3"/>
            <w:shd w:val="clear" w:color="auto" w:fill="auto"/>
            <w:vAlign w:val="bottom"/>
          </w:tcPr>
          <w:p w14:paraId="392CAFD1" w14:textId="77777777" w:rsidR="00980E5F" w:rsidRDefault="00980E5F">
            <w:pPr>
              <w:rPr>
                <w:rFonts w:ascii="宋体"/>
                <w:vanish/>
              </w:rPr>
            </w:pPr>
          </w:p>
        </w:tc>
        <w:tc>
          <w:tcPr>
            <w:tcW w:w="0" w:type="auto"/>
            <w:gridSpan w:val="3"/>
            <w:shd w:val="clear" w:color="auto" w:fill="auto"/>
            <w:vAlign w:val="bottom"/>
          </w:tcPr>
          <w:p w14:paraId="392CAFD2" w14:textId="77777777" w:rsidR="00980E5F" w:rsidRDefault="00980E5F">
            <w:pPr>
              <w:rPr>
                <w:rFonts w:ascii="宋体"/>
                <w:vanish/>
              </w:rPr>
            </w:pPr>
          </w:p>
        </w:tc>
        <w:tc>
          <w:tcPr>
            <w:tcW w:w="0" w:type="auto"/>
            <w:gridSpan w:val="3"/>
            <w:shd w:val="clear" w:color="auto" w:fill="auto"/>
            <w:vAlign w:val="bottom"/>
          </w:tcPr>
          <w:p w14:paraId="392CAFD3" w14:textId="77777777" w:rsidR="00980E5F" w:rsidRDefault="00980E5F">
            <w:pPr>
              <w:rPr>
                <w:rFonts w:ascii="宋体"/>
                <w:vanish/>
              </w:rPr>
            </w:pPr>
          </w:p>
        </w:tc>
        <w:tc>
          <w:tcPr>
            <w:tcW w:w="0" w:type="auto"/>
            <w:gridSpan w:val="3"/>
            <w:shd w:val="clear" w:color="auto" w:fill="auto"/>
            <w:vAlign w:val="bottom"/>
          </w:tcPr>
          <w:p w14:paraId="392CAFD4" w14:textId="77777777" w:rsidR="00980E5F" w:rsidRDefault="00980E5F">
            <w:pPr>
              <w:rPr>
                <w:rFonts w:ascii="宋体"/>
                <w:vanish/>
              </w:rPr>
            </w:pPr>
          </w:p>
        </w:tc>
        <w:tc>
          <w:tcPr>
            <w:tcW w:w="0" w:type="auto"/>
            <w:gridSpan w:val="3"/>
            <w:shd w:val="clear" w:color="auto" w:fill="auto"/>
            <w:vAlign w:val="bottom"/>
          </w:tcPr>
          <w:p w14:paraId="392CAFD5" w14:textId="77777777" w:rsidR="00980E5F" w:rsidRDefault="00980E5F">
            <w:pPr>
              <w:rPr>
                <w:rFonts w:ascii="宋体"/>
                <w:vanish/>
              </w:rPr>
            </w:pPr>
          </w:p>
        </w:tc>
        <w:tc>
          <w:tcPr>
            <w:tcW w:w="0" w:type="auto"/>
            <w:gridSpan w:val="3"/>
            <w:shd w:val="clear" w:color="auto" w:fill="auto"/>
            <w:vAlign w:val="bottom"/>
          </w:tcPr>
          <w:p w14:paraId="392CAFD6" w14:textId="77777777" w:rsidR="00980E5F" w:rsidRDefault="00980E5F">
            <w:pPr>
              <w:rPr>
                <w:rFonts w:ascii="宋体"/>
                <w:vanish/>
              </w:rPr>
            </w:pPr>
          </w:p>
        </w:tc>
        <w:tc>
          <w:tcPr>
            <w:tcW w:w="0" w:type="auto"/>
            <w:gridSpan w:val="3"/>
            <w:shd w:val="clear" w:color="auto" w:fill="auto"/>
            <w:vAlign w:val="bottom"/>
          </w:tcPr>
          <w:p w14:paraId="392CAFD7" w14:textId="77777777" w:rsidR="00980E5F" w:rsidRDefault="00980E5F">
            <w:pPr>
              <w:rPr>
                <w:rFonts w:ascii="宋体"/>
                <w:vanish/>
              </w:rPr>
            </w:pPr>
          </w:p>
        </w:tc>
        <w:tc>
          <w:tcPr>
            <w:tcW w:w="0" w:type="auto"/>
            <w:gridSpan w:val="3"/>
            <w:shd w:val="clear" w:color="auto" w:fill="auto"/>
            <w:vAlign w:val="bottom"/>
          </w:tcPr>
          <w:p w14:paraId="392CAFD8" w14:textId="77777777" w:rsidR="00980E5F" w:rsidRDefault="00980E5F">
            <w:pPr>
              <w:rPr>
                <w:rFonts w:ascii="宋体"/>
                <w:vanish/>
              </w:rPr>
            </w:pPr>
          </w:p>
        </w:tc>
        <w:tc>
          <w:tcPr>
            <w:tcW w:w="0" w:type="auto"/>
            <w:gridSpan w:val="3"/>
            <w:shd w:val="clear" w:color="auto" w:fill="auto"/>
            <w:vAlign w:val="bottom"/>
          </w:tcPr>
          <w:p w14:paraId="392CAFD9" w14:textId="77777777" w:rsidR="00980E5F" w:rsidRDefault="00980E5F">
            <w:pPr>
              <w:rPr>
                <w:rFonts w:ascii="宋体"/>
                <w:vanish/>
              </w:rPr>
            </w:pPr>
          </w:p>
        </w:tc>
        <w:tc>
          <w:tcPr>
            <w:tcW w:w="0" w:type="auto"/>
            <w:gridSpan w:val="3"/>
            <w:shd w:val="clear" w:color="auto" w:fill="auto"/>
            <w:vAlign w:val="bottom"/>
          </w:tcPr>
          <w:p w14:paraId="392CAFDA" w14:textId="77777777" w:rsidR="00980E5F" w:rsidRDefault="00980E5F">
            <w:pPr>
              <w:rPr>
                <w:rFonts w:ascii="宋体"/>
                <w:vanish/>
              </w:rPr>
            </w:pPr>
          </w:p>
        </w:tc>
        <w:tc>
          <w:tcPr>
            <w:tcW w:w="0" w:type="auto"/>
            <w:gridSpan w:val="3"/>
            <w:shd w:val="clear" w:color="auto" w:fill="auto"/>
            <w:vAlign w:val="bottom"/>
          </w:tcPr>
          <w:p w14:paraId="392CAFDB" w14:textId="77777777" w:rsidR="00980E5F" w:rsidRDefault="00980E5F">
            <w:pPr>
              <w:rPr>
                <w:rFonts w:ascii="宋体"/>
                <w:vanish/>
              </w:rPr>
            </w:pPr>
          </w:p>
        </w:tc>
        <w:tc>
          <w:tcPr>
            <w:tcW w:w="0" w:type="auto"/>
            <w:gridSpan w:val="3"/>
            <w:shd w:val="clear" w:color="auto" w:fill="auto"/>
            <w:vAlign w:val="bottom"/>
          </w:tcPr>
          <w:p w14:paraId="392CAFDC" w14:textId="77777777" w:rsidR="00980E5F" w:rsidRDefault="00980E5F">
            <w:pPr>
              <w:rPr>
                <w:rFonts w:ascii="宋体"/>
                <w:vanish/>
              </w:rPr>
            </w:pPr>
          </w:p>
        </w:tc>
        <w:tc>
          <w:tcPr>
            <w:tcW w:w="0" w:type="auto"/>
            <w:gridSpan w:val="3"/>
            <w:shd w:val="clear" w:color="auto" w:fill="auto"/>
            <w:vAlign w:val="bottom"/>
          </w:tcPr>
          <w:p w14:paraId="392CAFDD" w14:textId="77777777" w:rsidR="00980E5F" w:rsidRDefault="00980E5F">
            <w:pPr>
              <w:rPr>
                <w:rFonts w:ascii="宋体"/>
                <w:vanish/>
              </w:rPr>
            </w:pPr>
          </w:p>
        </w:tc>
        <w:tc>
          <w:tcPr>
            <w:tcW w:w="0" w:type="auto"/>
            <w:gridSpan w:val="3"/>
            <w:shd w:val="clear" w:color="auto" w:fill="auto"/>
            <w:vAlign w:val="bottom"/>
          </w:tcPr>
          <w:p w14:paraId="392CAFDE" w14:textId="77777777" w:rsidR="00980E5F" w:rsidRDefault="00980E5F">
            <w:pPr>
              <w:rPr>
                <w:rFonts w:ascii="宋体"/>
                <w:vanish/>
              </w:rPr>
            </w:pPr>
          </w:p>
        </w:tc>
        <w:tc>
          <w:tcPr>
            <w:tcW w:w="0" w:type="auto"/>
            <w:gridSpan w:val="3"/>
            <w:shd w:val="clear" w:color="auto" w:fill="auto"/>
            <w:vAlign w:val="bottom"/>
          </w:tcPr>
          <w:p w14:paraId="392CAFDF" w14:textId="77777777" w:rsidR="00980E5F" w:rsidRDefault="00980E5F">
            <w:pPr>
              <w:rPr>
                <w:rFonts w:ascii="宋体"/>
                <w:vanish/>
              </w:rPr>
            </w:pPr>
          </w:p>
        </w:tc>
        <w:tc>
          <w:tcPr>
            <w:tcW w:w="0" w:type="auto"/>
            <w:gridSpan w:val="3"/>
            <w:shd w:val="clear" w:color="auto" w:fill="auto"/>
            <w:vAlign w:val="bottom"/>
          </w:tcPr>
          <w:p w14:paraId="392CAFE0" w14:textId="77777777" w:rsidR="00980E5F" w:rsidRDefault="00980E5F">
            <w:pPr>
              <w:rPr>
                <w:rFonts w:ascii="宋体"/>
                <w:vanish/>
              </w:rPr>
            </w:pPr>
          </w:p>
        </w:tc>
        <w:tc>
          <w:tcPr>
            <w:tcW w:w="0" w:type="auto"/>
            <w:gridSpan w:val="3"/>
            <w:shd w:val="clear" w:color="auto" w:fill="auto"/>
            <w:vAlign w:val="bottom"/>
          </w:tcPr>
          <w:p w14:paraId="392CAFE1" w14:textId="77777777" w:rsidR="00980E5F" w:rsidRDefault="00980E5F">
            <w:pPr>
              <w:rPr>
                <w:rFonts w:ascii="宋体"/>
                <w:vanish/>
              </w:rPr>
            </w:pPr>
          </w:p>
        </w:tc>
        <w:tc>
          <w:tcPr>
            <w:tcW w:w="0" w:type="auto"/>
            <w:gridSpan w:val="3"/>
            <w:shd w:val="clear" w:color="auto" w:fill="auto"/>
            <w:vAlign w:val="bottom"/>
          </w:tcPr>
          <w:p w14:paraId="392CAFE2" w14:textId="77777777" w:rsidR="00980E5F" w:rsidRDefault="00980E5F">
            <w:pPr>
              <w:rPr>
                <w:rFonts w:ascii="宋体"/>
                <w:vanish/>
              </w:rPr>
            </w:pPr>
          </w:p>
        </w:tc>
        <w:tc>
          <w:tcPr>
            <w:tcW w:w="0" w:type="auto"/>
            <w:gridSpan w:val="3"/>
            <w:shd w:val="clear" w:color="auto" w:fill="auto"/>
            <w:vAlign w:val="bottom"/>
          </w:tcPr>
          <w:p w14:paraId="392CAFE3" w14:textId="77777777" w:rsidR="00980E5F" w:rsidRDefault="00980E5F">
            <w:pPr>
              <w:rPr>
                <w:rFonts w:ascii="宋体"/>
                <w:vanish/>
              </w:rPr>
            </w:pPr>
          </w:p>
        </w:tc>
        <w:tc>
          <w:tcPr>
            <w:tcW w:w="0" w:type="auto"/>
            <w:gridSpan w:val="3"/>
            <w:shd w:val="clear" w:color="auto" w:fill="auto"/>
            <w:vAlign w:val="bottom"/>
          </w:tcPr>
          <w:p w14:paraId="392CAFE4" w14:textId="77777777" w:rsidR="00980E5F" w:rsidRDefault="00980E5F">
            <w:pPr>
              <w:rPr>
                <w:rFonts w:ascii="宋体"/>
                <w:vanish/>
              </w:rPr>
            </w:pPr>
          </w:p>
        </w:tc>
      </w:tr>
      <w:tr w:rsidR="00980E5F" w14:paraId="392CAFFA" w14:textId="77777777">
        <w:trPr>
          <w:hidden/>
        </w:trPr>
        <w:tc>
          <w:tcPr>
            <w:tcW w:w="0" w:type="auto"/>
            <w:gridSpan w:val="3"/>
            <w:shd w:val="clear" w:color="auto" w:fill="auto"/>
            <w:vAlign w:val="bottom"/>
          </w:tcPr>
          <w:p w14:paraId="392CAFE6" w14:textId="77777777" w:rsidR="00980E5F" w:rsidRDefault="00980E5F">
            <w:pPr>
              <w:rPr>
                <w:rFonts w:ascii="宋体"/>
                <w:vanish/>
              </w:rPr>
            </w:pPr>
          </w:p>
        </w:tc>
        <w:tc>
          <w:tcPr>
            <w:tcW w:w="0" w:type="auto"/>
            <w:gridSpan w:val="3"/>
            <w:shd w:val="clear" w:color="auto" w:fill="auto"/>
            <w:vAlign w:val="bottom"/>
          </w:tcPr>
          <w:p w14:paraId="392CAFE7" w14:textId="77777777" w:rsidR="00980E5F" w:rsidRDefault="00980E5F">
            <w:pPr>
              <w:rPr>
                <w:rFonts w:ascii="宋体"/>
                <w:vanish/>
              </w:rPr>
            </w:pPr>
          </w:p>
        </w:tc>
        <w:tc>
          <w:tcPr>
            <w:tcW w:w="0" w:type="auto"/>
            <w:gridSpan w:val="3"/>
            <w:shd w:val="clear" w:color="auto" w:fill="auto"/>
            <w:vAlign w:val="bottom"/>
          </w:tcPr>
          <w:p w14:paraId="392CAFE8" w14:textId="77777777" w:rsidR="00980E5F" w:rsidRDefault="00980E5F">
            <w:pPr>
              <w:rPr>
                <w:rFonts w:ascii="宋体"/>
                <w:vanish/>
              </w:rPr>
            </w:pPr>
          </w:p>
        </w:tc>
        <w:tc>
          <w:tcPr>
            <w:tcW w:w="0" w:type="auto"/>
            <w:gridSpan w:val="3"/>
            <w:shd w:val="clear" w:color="auto" w:fill="auto"/>
            <w:vAlign w:val="bottom"/>
          </w:tcPr>
          <w:p w14:paraId="392CAFE9" w14:textId="77777777" w:rsidR="00980E5F" w:rsidRDefault="00980E5F">
            <w:pPr>
              <w:rPr>
                <w:rFonts w:ascii="宋体"/>
                <w:vanish/>
              </w:rPr>
            </w:pPr>
          </w:p>
        </w:tc>
        <w:tc>
          <w:tcPr>
            <w:tcW w:w="0" w:type="auto"/>
            <w:gridSpan w:val="3"/>
            <w:shd w:val="clear" w:color="auto" w:fill="auto"/>
            <w:vAlign w:val="bottom"/>
          </w:tcPr>
          <w:p w14:paraId="392CAFEA" w14:textId="77777777" w:rsidR="00980E5F" w:rsidRDefault="00980E5F">
            <w:pPr>
              <w:rPr>
                <w:rFonts w:ascii="宋体"/>
                <w:vanish/>
              </w:rPr>
            </w:pPr>
          </w:p>
        </w:tc>
        <w:tc>
          <w:tcPr>
            <w:tcW w:w="0" w:type="auto"/>
            <w:gridSpan w:val="3"/>
            <w:shd w:val="clear" w:color="auto" w:fill="auto"/>
            <w:vAlign w:val="bottom"/>
          </w:tcPr>
          <w:p w14:paraId="392CAFEB" w14:textId="77777777" w:rsidR="00980E5F" w:rsidRDefault="00980E5F">
            <w:pPr>
              <w:rPr>
                <w:rFonts w:ascii="宋体"/>
                <w:vanish/>
              </w:rPr>
            </w:pPr>
          </w:p>
        </w:tc>
        <w:tc>
          <w:tcPr>
            <w:tcW w:w="0" w:type="auto"/>
            <w:gridSpan w:val="3"/>
            <w:shd w:val="clear" w:color="auto" w:fill="auto"/>
            <w:vAlign w:val="bottom"/>
          </w:tcPr>
          <w:p w14:paraId="392CAFEC" w14:textId="77777777" w:rsidR="00980E5F" w:rsidRDefault="00980E5F">
            <w:pPr>
              <w:rPr>
                <w:rFonts w:ascii="宋体"/>
                <w:vanish/>
              </w:rPr>
            </w:pPr>
          </w:p>
        </w:tc>
        <w:tc>
          <w:tcPr>
            <w:tcW w:w="0" w:type="auto"/>
            <w:gridSpan w:val="3"/>
            <w:shd w:val="clear" w:color="auto" w:fill="auto"/>
            <w:vAlign w:val="bottom"/>
          </w:tcPr>
          <w:p w14:paraId="392CAFED" w14:textId="77777777" w:rsidR="00980E5F" w:rsidRDefault="00980E5F">
            <w:pPr>
              <w:rPr>
                <w:rFonts w:ascii="宋体"/>
                <w:vanish/>
              </w:rPr>
            </w:pPr>
          </w:p>
        </w:tc>
        <w:tc>
          <w:tcPr>
            <w:tcW w:w="0" w:type="auto"/>
            <w:gridSpan w:val="3"/>
            <w:shd w:val="clear" w:color="auto" w:fill="auto"/>
            <w:vAlign w:val="bottom"/>
          </w:tcPr>
          <w:p w14:paraId="392CAFEE" w14:textId="77777777" w:rsidR="00980E5F" w:rsidRDefault="00980E5F">
            <w:pPr>
              <w:rPr>
                <w:rFonts w:ascii="宋体"/>
                <w:vanish/>
              </w:rPr>
            </w:pPr>
          </w:p>
        </w:tc>
        <w:tc>
          <w:tcPr>
            <w:tcW w:w="0" w:type="auto"/>
            <w:gridSpan w:val="3"/>
            <w:shd w:val="clear" w:color="auto" w:fill="auto"/>
            <w:vAlign w:val="bottom"/>
          </w:tcPr>
          <w:p w14:paraId="392CAFEF" w14:textId="77777777" w:rsidR="00980E5F" w:rsidRDefault="00980E5F">
            <w:pPr>
              <w:rPr>
                <w:rFonts w:ascii="宋体"/>
                <w:vanish/>
              </w:rPr>
            </w:pPr>
          </w:p>
        </w:tc>
        <w:tc>
          <w:tcPr>
            <w:tcW w:w="0" w:type="auto"/>
            <w:gridSpan w:val="3"/>
            <w:shd w:val="clear" w:color="auto" w:fill="auto"/>
            <w:vAlign w:val="bottom"/>
          </w:tcPr>
          <w:p w14:paraId="392CAFF0" w14:textId="77777777" w:rsidR="00980E5F" w:rsidRDefault="00980E5F">
            <w:pPr>
              <w:rPr>
                <w:rFonts w:ascii="宋体"/>
                <w:vanish/>
              </w:rPr>
            </w:pPr>
          </w:p>
        </w:tc>
        <w:tc>
          <w:tcPr>
            <w:tcW w:w="0" w:type="auto"/>
            <w:gridSpan w:val="3"/>
            <w:shd w:val="clear" w:color="auto" w:fill="auto"/>
            <w:vAlign w:val="bottom"/>
          </w:tcPr>
          <w:p w14:paraId="392CAFF1" w14:textId="77777777" w:rsidR="00980E5F" w:rsidRDefault="00980E5F">
            <w:pPr>
              <w:rPr>
                <w:rFonts w:ascii="宋体"/>
                <w:vanish/>
              </w:rPr>
            </w:pPr>
          </w:p>
        </w:tc>
        <w:tc>
          <w:tcPr>
            <w:tcW w:w="0" w:type="auto"/>
            <w:gridSpan w:val="3"/>
            <w:shd w:val="clear" w:color="auto" w:fill="auto"/>
            <w:vAlign w:val="bottom"/>
          </w:tcPr>
          <w:p w14:paraId="392CAFF2" w14:textId="77777777" w:rsidR="00980E5F" w:rsidRDefault="00980E5F">
            <w:pPr>
              <w:rPr>
                <w:rFonts w:ascii="宋体"/>
                <w:vanish/>
              </w:rPr>
            </w:pPr>
          </w:p>
        </w:tc>
        <w:tc>
          <w:tcPr>
            <w:tcW w:w="0" w:type="auto"/>
            <w:gridSpan w:val="3"/>
            <w:shd w:val="clear" w:color="auto" w:fill="auto"/>
            <w:vAlign w:val="bottom"/>
          </w:tcPr>
          <w:p w14:paraId="392CAFF3" w14:textId="77777777" w:rsidR="00980E5F" w:rsidRDefault="00980E5F">
            <w:pPr>
              <w:rPr>
                <w:rFonts w:ascii="宋体"/>
                <w:vanish/>
              </w:rPr>
            </w:pPr>
          </w:p>
        </w:tc>
        <w:tc>
          <w:tcPr>
            <w:tcW w:w="0" w:type="auto"/>
            <w:gridSpan w:val="3"/>
            <w:shd w:val="clear" w:color="auto" w:fill="auto"/>
            <w:vAlign w:val="bottom"/>
          </w:tcPr>
          <w:p w14:paraId="392CAFF4" w14:textId="77777777" w:rsidR="00980E5F" w:rsidRDefault="00980E5F">
            <w:pPr>
              <w:rPr>
                <w:rFonts w:ascii="宋体"/>
                <w:vanish/>
              </w:rPr>
            </w:pPr>
          </w:p>
        </w:tc>
        <w:tc>
          <w:tcPr>
            <w:tcW w:w="0" w:type="auto"/>
            <w:gridSpan w:val="3"/>
            <w:shd w:val="clear" w:color="auto" w:fill="auto"/>
            <w:vAlign w:val="bottom"/>
          </w:tcPr>
          <w:p w14:paraId="392CAFF5" w14:textId="77777777" w:rsidR="00980E5F" w:rsidRDefault="00980E5F">
            <w:pPr>
              <w:rPr>
                <w:rFonts w:ascii="宋体"/>
                <w:vanish/>
              </w:rPr>
            </w:pPr>
          </w:p>
        </w:tc>
        <w:tc>
          <w:tcPr>
            <w:tcW w:w="0" w:type="auto"/>
            <w:gridSpan w:val="3"/>
            <w:shd w:val="clear" w:color="auto" w:fill="auto"/>
            <w:vAlign w:val="bottom"/>
          </w:tcPr>
          <w:p w14:paraId="392CAFF6" w14:textId="77777777" w:rsidR="00980E5F" w:rsidRDefault="00980E5F">
            <w:pPr>
              <w:rPr>
                <w:rFonts w:ascii="宋体"/>
                <w:vanish/>
              </w:rPr>
            </w:pPr>
          </w:p>
        </w:tc>
        <w:tc>
          <w:tcPr>
            <w:tcW w:w="0" w:type="auto"/>
            <w:gridSpan w:val="3"/>
            <w:shd w:val="clear" w:color="auto" w:fill="auto"/>
            <w:vAlign w:val="bottom"/>
          </w:tcPr>
          <w:p w14:paraId="392CAFF7" w14:textId="77777777" w:rsidR="00980E5F" w:rsidRDefault="00980E5F">
            <w:pPr>
              <w:rPr>
                <w:rFonts w:ascii="宋体"/>
                <w:vanish/>
              </w:rPr>
            </w:pPr>
          </w:p>
        </w:tc>
        <w:tc>
          <w:tcPr>
            <w:tcW w:w="0" w:type="auto"/>
            <w:gridSpan w:val="3"/>
            <w:shd w:val="clear" w:color="auto" w:fill="auto"/>
            <w:vAlign w:val="bottom"/>
          </w:tcPr>
          <w:p w14:paraId="392CAFF8" w14:textId="77777777" w:rsidR="00980E5F" w:rsidRDefault="00980E5F">
            <w:pPr>
              <w:rPr>
                <w:rFonts w:ascii="宋体"/>
                <w:vanish/>
              </w:rPr>
            </w:pPr>
          </w:p>
        </w:tc>
        <w:tc>
          <w:tcPr>
            <w:tcW w:w="0" w:type="auto"/>
            <w:gridSpan w:val="3"/>
            <w:shd w:val="clear" w:color="auto" w:fill="auto"/>
            <w:vAlign w:val="bottom"/>
          </w:tcPr>
          <w:p w14:paraId="392CAFF9" w14:textId="77777777" w:rsidR="00980E5F" w:rsidRDefault="00980E5F">
            <w:pPr>
              <w:rPr>
                <w:rFonts w:ascii="宋体"/>
                <w:vanish/>
              </w:rPr>
            </w:pPr>
          </w:p>
        </w:tc>
      </w:tr>
      <w:tr w:rsidR="00980E5F" w14:paraId="392CB033" w14:textId="77777777">
        <w:trPr>
          <w:hidden/>
        </w:trPr>
        <w:tc>
          <w:tcPr>
            <w:tcW w:w="0" w:type="auto"/>
            <w:gridSpan w:val="3"/>
            <w:shd w:val="clear" w:color="auto" w:fill="auto"/>
            <w:vAlign w:val="bottom"/>
          </w:tcPr>
          <w:p w14:paraId="392CAFFB" w14:textId="77777777" w:rsidR="00980E5F" w:rsidRDefault="00980E5F">
            <w:pPr>
              <w:rPr>
                <w:rFonts w:ascii="宋体"/>
                <w:vanish/>
              </w:rPr>
            </w:pPr>
          </w:p>
        </w:tc>
        <w:tc>
          <w:tcPr>
            <w:tcW w:w="0" w:type="auto"/>
            <w:gridSpan w:val="3"/>
            <w:shd w:val="clear" w:color="auto" w:fill="auto"/>
            <w:vAlign w:val="bottom"/>
          </w:tcPr>
          <w:p w14:paraId="392CAFFC" w14:textId="77777777" w:rsidR="00980E5F" w:rsidRDefault="00980E5F">
            <w:pPr>
              <w:rPr>
                <w:rFonts w:ascii="宋体"/>
                <w:vanish/>
              </w:rPr>
            </w:pPr>
          </w:p>
        </w:tc>
        <w:tc>
          <w:tcPr>
            <w:tcW w:w="0" w:type="auto"/>
            <w:shd w:val="clear" w:color="auto" w:fill="auto"/>
            <w:vAlign w:val="bottom"/>
          </w:tcPr>
          <w:p w14:paraId="392CAFFD" w14:textId="77777777" w:rsidR="00980E5F" w:rsidRDefault="00980E5F">
            <w:pPr>
              <w:rPr>
                <w:rFonts w:ascii="宋体"/>
              </w:rPr>
            </w:pPr>
          </w:p>
        </w:tc>
        <w:tc>
          <w:tcPr>
            <w:tcW w:w="0" w:type="auto"/>
            <w:shd w:val="clear" w:color="auto" w:fill="auto"/>
            <w:vAlign w:val="bottom"/>
          </w:tcPr>
          <w:p w14:paraId="392CAFFE" w14:textId="77777777" w:rsidR="00980E5F" w:rsidRDefault="00980E5F">
            <w:pPr>
              <w:rPr>
                <w:rFonts w:ascii="宋体"/>
              </w:rPr>
            </w:pPr>
          </w:p>
        </w:tc>
        <w:tc>
          <w:tcPr>
            <w:tcW w:w="0" w:type="auto"/>
            <w:shd w:val="clear" w:color="auto" w:fill="auto"/>
            <w:vAlign w:val="bottom"/>
          </w:tcPr>
          <w:p w14:paraId="392CAFFF" w14:textId="77777777" w:rsidR="00980E5F" w:rsidRDefault="00980E5F">
            <w:pPr>
              <w:rPr>
                <w:rFonts w:ascii="宋体"/>
              </w:rPr>
            </w:pPr>
          </w:p>
        </w:tc>
        <w:tc>
          <w:tcPr>
            <w:tcW w:w="0" w:type="auto"/>
            <w:shd w:val="clear" w:color="auto" w:fill="auto"/>
            <w:vAlign w:val="bottom"/>
          </w:tcPr>
          <w:p w14:paraId="392CB000" w14:textId="77777777" w:rsidR="00980E5F" w:rsidRDefault="00980E5F">
            <w:pPr>
              <w:rPr>
                <w:rFonts w:ascii="宋体"/>
              </w:rPr>
            </w:pPr>
          </w:p>
        </w:tc>
        <w:tc>
          <w:tcPr>
            <w:tcW w:w="0" w:type="auto"/>
            <w:shd w:val="clear" w:color="auto" w:fill="auto"/>
            <w:vAlign w:val="bottom"/>
          </w:tcPr>
          <w:p w14:paraId="392CB001" w14:textId="77777777" w:rsidR="00980E5F" w:rsidRDefault="00980E5F">
            <w:pPr>
              <w:rPr>
                <w:rFonts w:ascii="宋体"/>
              </w:rPr>
            </w:pPr>
          </w:p>
        </w:tc>
        <w:tc>
          <w:tcPr>
            <w:tcW w:w="0" w:type="auto"/>
            <w:shd w:val="clear" w:color="auto" w:fill="auto"/>
            <w:vAlign w:val="bottom"/>
          </w:tcPr>
          <w:p w14:paraId="392CB002" w14:textId="77777777" w:rsidR="00980E5F" w:rsidRDefault="00980E5F">
            <w:pPr>
              <w:rPr>
                <w:rFonts w:ascii="宋体"/>
              </w:rPr>
            </w:pPr>
          </w:p>
        </w:tc>
        <w:tc>
          <w:tcPr>
            <w:tcW w:w="0" w:type="auto"/>
            <w:shd w:val="clear" w:color="auto" w:fill="auto"/>
            <w:vAlign w:val="bottom"/>
          </w:tcPr>
          <w:p w14:paraId="392CB003" w14:textId="77777777" w:rsidR="00980E5F" w:rsidRDefault="00980E5F">
            <w:pPr>
              <w:rPr>
                <w:rFonts w:ascii="宋体"/>
              </w:rPr>
            </w:pPr>
          </w:p>
        </w:tc>
        <w:tc>
          <w:tcPr>
            <w:tcW w:w="0" w:type="auto"/>
            <w:shd w:val="clear" w:color="auto" w:fill="auto"/>
            <w:vAlign w:val="bottom"/>
          </w:tcPr>
          <w:p w14:paraId="392CB004" w14:textId="77777777" w:rsidR="00980E5F" w:rsidRDefault="00980E5F">
            <w:pPr>
              <w:rPr>
                <w:rFonts w:ascii="宋体"/>
              </w:rPr>
            </w:pPr>
          </w:p>
        </w:tc>
        <w:tc>
          <w:tcPr>
            <w:tcW w:w="0" w:type="auto"/>
            <w:shd w:val="clear" w:color="auto" w:fill="auto"/>
            <w:vAlign w:val="bottom"/>
          </w:tcPr>
          <w:p w14:paraId="392CB005" w14:textId="77777777" w:rsidR="00980E5F" w:rsidRDefault="00980E5F">
            <w:pPr>
              <w:rPr>
                <w:rFonts w:ascii="宋体"/>
              </w:rPr>
            </w:pPr>
          </w:p>
        </w:tc>
        <w:tc>
          <w:tcPr>
            <w:tcW w:w="0" w:type="auto"/>
            <w:shd w:val="clear" w:color="auto" w:fill="auto"/>
            <w:vAlign w:val="bottom"/>
          </w:tcPr>
          <w:p w14:paraId="392CB006" w14:textId="77777777" w:rsidR="00980E5F" w:rsidRDefault="00980E5F">
            <w:pPr>
              <w:rPr>
                <w:rFonts w:ascii="宋体"/>
              </w:rPr>
            </w:pPr>
          </w:p>
        </w:tc>
        <w:tc>
          <w:tcPr>
            <w:tcW w:w="0" w:type="auto"/>
            <w:shd w:val="clear" w:color="auto" w:fill="auto"/>
            <w:vAlign w:val="bottom"/>
          </w:tcPr>
          <w:p w14:paraId="392CB007" w14:textId="77777777" w:rsidR="00980E5F" w:rsidRDefault="00980E5F">
            <w:pPr>
              <w:rPr>
                <w:rFonts w:ascii="宋体"/>
              </w:rPr>
            </w:pPr>
          </w:p>
        </w:tc>
        <w:tc>
          <w:tcPr>
            <w:tcW w:w="0" w:type="auto"/>
            <w:shd w:val="clear" w:color="auto" w:fill="auto"/>
            <w:vAlign w:val="bottom"/>
          </w:tcPr>
          <w:p w14:paraId="392CB008" w14:textId="77777777" w:rsidR="00980E5F" w:rsidRDefault="00980E5F">
            <w:pPr>
              <w:rPr>
                <w:rFonts w:ascii="宋体"/>
              </w:rPr>
            </w:pPr>
          </w:p>
        </w:tc>
        <w:tc>
          <w:tcPr>
            <w:tcW w:w="0" w:type="auto"/>
            <w:shd w:val="clear" w:color="auto" w:fill="auto"/>
            <w:vAlign w:val="bottom"/>
          </w:tcPr>
          <w:p w14:paraId="392CB009" w14:textId="77777777" w:rsidR="00980E5F" w:rsidRDefault="00980E5F">
            <w:pPr>
              <w:rPr>
                <w:rFonts w:ascii="宋体"/>
              </w:rPr>
            </w:pPr>
          </w:p>
        </w:tc>
        <w:tc>
          <w:tcPr>
            <w:tcW w:w="0" w:type="auto"/>
            <w:shd w:val="clear" w:color="auto" w:fill="auto"/>
            <w:vAlign w:val="bottom"/>
          </w:tcPr>
          <w:p w14:paraId="392CB00A" w14:textId="77777777" w:rsidR="00980E5F" w:rsidRDefault="00980E5F">
            <w:pPr>
              <w:rPr>
                <w:rFonts w:ascii="宋体"/>
              </w:rPr>
            </w:pPr>
          </w:p>
        </w:tc>
        <w:tc>
          <w:tcPr>
            <w:tcW w:w="0" w:type="auto"/>
            <w:shd w:val="clear" w:color="auto" w:fill="auto"/>
            <w:vAlign w:val="bottom"/>
          </w:tcPr>
          <w:p w14:paraId="392CB00B" w14:textId="77777777" w:rsidR="00980E5F" w:rsidRDefault="00980E5F">
            <w:pPr>
              <w:rPr>
                <w:rFonts w:ascii="宋体"/>
              </w:rPr>
            </w:pPr>
          </w:p>
        </w:tc>
        <w:tc>
          <w:tcPr>
            <w:tcW w:w="0" w:type="auto"/>
            <w:shd w:val="clear" w:color="auto" w:fill="auto"/>
            <w:vAlign w:val="bottom"/>
          </w:tcPr>
          <w:p w14:paraId="392CB00C" w14:textId="77777777" w:rsidR="00980E5F" w:rsidRDefault="00980E5F">
            <w:pPr>
              <w:rPr>
                <w:rFonts w:ascii="宋体"/>
              </w:rPr>
            </w:pPr>
          </w:p>
        </w:tc>
        <w:tc>
          <w:tcPr>
            <w:tcW w:w="0" w:type="auto"/>
            <w:shd w:val="clear" w:color="auto" w:fill="auto"/>
            <w:vAlign w:val="bottom"/>
          </w:tcPr>
          <w:p w14:paraId="392CB00D" w14:textId="77777777" w:rsidR="00980E5F" w:rsidRDefault="00980E5F">
            <w:pPr>
              <w:rPr>
                <w:rFonts w:ascii="宋体"/>
              </w:rPr>
            </w:pPr>
          </w:p>
        </w:tc>
        <w:tc>
          <w:tcPr>
            <w:tcW w:w="0" w:type="auto"/>
            <w:shd w:val="clear" w:color="auto" w:fill="auto"/>
            <w:vAlign w:val="bottom"/>
          </w:tcPr>
          <w:p w14:paraId="392CB00E" w14:textId="77777777" w:rsidR="00980E5F" w:rsidRDefault="00980E5F">
            <w:pPr>
              <w:rPr>
                <w:rFonts w:ascii="宋体"/>
              </w:rPr>
            </w:pPr>
          </w:p>
        </w:tc>
        <w:tc>
          <w:tcPr>
            <w:tcW w:w="0" w:type="auto"/>
            <w:shd w:val="clear" w:color="auto" w:fill="auto"/>
            <w:vAlign w:val="bottom"/>
          </w:tcPr>
          <w:p w14:paraId="392CB00F" w14:textId="77777777" w:rsidR="00980E5F" w:rsidRDefault="00980E5F">
            <w:pPr>
              <w:rPr>
                <w:rFonts w:ascii="宋体"/>
              </w:rPr>
            </w:pPr>
          </w:p>
        </w:tc>
        <w:tc>
          <w:tcPr>
            <w:tcW w:w="0" w:type="auto"/>
            <w:shd w:val="clear" w:color="auto" w:fill="auto"/>
            <w:vAlign w:val="bottom"/>
          </w:tcPr>
          <w:p w14:paraId="392CB010" w14:textId="77777777" w:rsidR="00980E5F" w:rsidRDefault="00980E5F">
            <w:pPr>
              <w:rPr>
                <w:rFonts w:ascii="宋体"/>
              </w:rPr>
            </w:pPr>
          </w:p>
        </w:tc>
        <w:tc>
          <w:tcPr>
            <w:tcW w:w="0" w:type="auto"/>
            <w:shd w:val="clear" w:color="auto" w:fill="auto"/>
            <w:vAlign w:val="bottom"/>
          </w:tcPr>
          <w:p w14:paraId="392CB011" w14:textId="77777777" w:rsidR="00980E5F" w:rsidRDefault="00980E5F">
            <w:pPr>
              <w:rPr>
                <w:rFonts w:ascii="宋体"/>
              </w:rPr>
            </w:pPr>
          </w:p>
        </w:tc>
        <w:tc>
          <w:tcPr>
            <w:tcW w:w="0" w:type="auto"/>
            <w:shd w:val="clear" w:color="auto" w:fill="auto"/>
            <w:vAlign w:val="bottom"/>
          </w:tcPr>
          <w:p w14:paraId="392CB012" w14:textId="77777777" w:rsidR="00980E5F" w:rsidRDefault="00980E5F">
            <w:pPr>
              <w:rPr>
                <w:rFonts w:ascii="宋体"/>
              </w:rPr>
            </w:pPr>
          </w:p>
        </w:tc>
        <w:tc>
          <w:tcPr>
            <w:tcW w:w="0" w:type="auto"/>
            <w:shd w:val="clear" w:color="auto" w:fill="auto"/>
            <w:vAlign w:val="bottom"/>
          </w:tcPr>
          <w:p w14:paraId="392CB013" w14:textId="77777777" w:rsidR="00980E5F" w:rsidRDefault="00980E5F">
            <w:pPr>
              <w:rPr>
                <w:rFonts w:ascii="宋体"/>
              </w:rPr>
            </w:pPr>
          </w:p>
        </w:tc>
        <w:tc>
          <w:tcPr>
            <w:tcW w:w="0" w:type="auto"/>
            <w:shd w:val="clear" w:color="auto" w:fill="auto"/>
            <w:vAlign w:val="bottom"/>
          </w:tcPr>
          <w:p w14:paraId="392CB014" w14:textId="77777777" w:rsidR="00980E5F" w:rsidRDefault="00980E5F">
            <w:pPr>
              <w:rPr>
                <w:rFonts w:ascii="宋体"/>
              </w:rPr>
            </w:pPr>
          </w:p>
        </w:tc>
        <w:tc>
          <w:tcPr>
            <w:tcW w:w="0" w:type="auto"/>
            <w:shd w:val="clear" w:color="auto" w:fill="auto"/>
            <w:vAlign w:val="bottom"/>
          </w:tcPr>
          <w:p w14:paraId="392CB015" w14:textId="77777777" w:rsidR="00980E5F" w:rsidRDefault="00980E5F">
            <w:pPr>
              <w:rPr>
                <w:rFonts w:ascii="宋体"/>
              </w:rPr>
            </w:pPr>
          </w:p>
        </w:tc>
        <w:tc>
          <w:tcPr>
            <w:tcW w:w="0" w:type="auto"/>
            <w:shd w:val="clear" w:color="auto" w:fill="auto"/>
            <w:vAlign w:val="bottom"/>
          </w:tcPr>
          <w:p w14:paraId="392CB016" w14:textId="77777777" w:rsidR="00980E5F" w:rsidRDefault="00980E5F">
            <w:pPr>
              <w:rPr>
                <w:rFonts w:ascii="宋体"/>
              </w:rPr>
            </w:pPr>
          </w:p>
        </w:tc>
        <w:tc>
          <w:tcPr>
            <w:tcW w:w="0" w:type="auto"/>
            <w:shd w:val="clear" w:color="auto" w:fill="auto"/>
            <w:vAlign w:val="bottom"/>
          </w:tcPr>
          <w:p w14:paraId="392CB017" w14:textId="77777777" w:rsidR="00980E5F" w:rsidRDefault="00980E5F">
            <w:pPr>
              <w:rPr>
                <w:rFonts w:ascii="宋体"/>
              </w:rPr>
            </w:pPr>
          </w:p>
        </w:tc>
        <w:tc>
          <w:tcPr>
            <w:tcW w:w="0" w:type="auto"/>
            <w:shd w:val="clear" w:color="auto" w:fill="auto"/>
            <w:vAlign w:val="bottom"/>
          </w:tcPr>
          <w:p w14:paraId="392CB018" w14:textId="77777777" w:rsidR="00980E5F" w:rsidRDefault="00980E5F">
            <w:pPr>
              <w:rPr>
                <w:rFonts w:ascii="宋体"/>
              </w:rPr>
            </w:pPr>
          </w:p>
        </w:tc>
        <w:tc>
          <w:tcPr>
            <w:tcW w:w="0" w:type="auto"/>
            <w:shd w:val="clear" w:color="auto" w:fill="auto"/>
            <w:vAlign w:val="bottom"/>
          </w:tcPr>
          <w:p w14:paraId="392CB019" w14:textId="77777777" w:rsidR="00980E5F" w:rsidRDefault="00980E5F">
            <w:pPr>
              <w:rPr>
                <w:rFonts w:ascii="宋体"/>
              </w:rPr>
            </w:pPr>
          </w:p>
        </w:tc>
        <w:tc>
          <w:tcPr>
            <w:tcW w:w="0" w:type="auto"/>
            <w:shd w:val="clear" w:color="auto" w:fill="auto"/>
            <w:vAlign w:val="bottom"/>
          </w:tcPr>
          <w:p w14:paraId="392CB01A" w14:textId="77777777" w:rsidR="00980E5F" w:rsidRDefault="00980E5F">
            <w:pPr>
              <w:rPr>
                <w:rFonts w:ascii="宋体"/>
              </w:rPr>
            </w:pPr>
          </w:p>
        </w:tc>
        <w:tc>
          <w:tcPr>
            <w:tcW w:w="0" w:type="auto"/>
            <w:shd w:val="clear" w:color="auto" w:fill="auto"/>
            <w:vAlign w:val="bottom"/>
          </w:tcPr>
          <w:p w14:paraId="392CB01B" w14:textId="77777777" w:rsidR="00980E5F" w:rsidRDefault="00980E5F">
            <w:pPr>
              <w:rPr>
                <w:rFonts w:ascii="宋体"/>
              </w:rPr>
            </w:pPr>
          </w:p>
        </w:tc>
        <w:tc>
          <w:tcPr>
            <w:tcW w:w="0" w:type="auto"/>
            <w:shd w:val="clear" w:color="auto" w:fill="auto"/>
            <w:vAlign w:val="bottom"/>
          </w:tcPr>
          <w:p w14:paraId="392CB01C" w14:textId="77777777" w:rsidR="00980E5F" w:rsidRDefault="00980E5F">
            <w:pPr>
              <w:rPr>
                <w:rFonts w:ascii="宋体"/>
              </w:rPr>
            </w:pPr>
          </w:p>
        </w:tc>
        <w:tc>
          <w:tcPr>
            <w:tcW w:w="0" w:type="auto"/>
            <w:shd w:val="clear" w:color="auto" w:fill="auto"/>
            <w:vAlign w:val="bottom"/>
          </w:tcPr>
          <w:p w14:paraId="392CB01D" w14:textId="77777777" w:rsidR="00980E5F" w:rsidRDefault="00980E5F">
            <w:pPr>
              <w:rPr>
                <w:rFonts w:ascii="宋体"/>
              </w:rPr>
            </w:pPr>
          </w:p>
        </w:tc>
        <w:tc>
          <w:tcPr>
            <w:tcW w:w="0" w:type="auto"/>
            <w:shd w:val="clear" w:color="auto" w:fill="auto"/>
            <w:vAlign w:val="bottom"/>
          </w:tcPr>
          <w:p w14:paraId="392CB01E" w14:textId="77777777" w:rsidR="00980E5F" w:rsidRDefault="00980E5F">
            <w:pPr>
              <w:rPr>
                <w:rFonts w:ascii="宋体"/>
              </w:rPr>
            </w:pPr>
          </w:p>
        </w:tc>
        <w:tc>
          <w:tcPr>
            <w:tcW w:w="0" w:type="auto"/>
            <w:shd w:val="clear" w:color="auto" w:fill="auto"/>
            <w:vAlign w:val="bottom"/>
          </w:tcPr>
          <w:p w14:paraId="392CB01F" w14:textId="77777777" w:rsidR="00980E5F" w:rsidRDefault="00980E5F">
            <w:pPr>
              <w:rPr>
                <w:rFonts w:ascii="宋体"/>
              </w:rPr>
            </w:pPr>
          </w:p>
        </w:tc>
        <w:tc>
          <w:tcPr>
            <w:tcW w:w="0" w:type="auto"/>
            <w:shd w:val="clear" w:color="auto" w:fill="auto"/>
            <w:vAlign w:val="bottom"/>
          </w:tcPr>
          <w:p w14:paraId="392CB020" w14:textId="77777777" w:rsidR="00980E5F" w:rsidRDefault="00980E5F">
            <w:pPr>
              <w:rPr>
                <w:rFonts w:ascii="宋体"/>
              </w:rPr>
            </w:pPr>
          </w:p>
        </w:tc>
        <w:tc>
          <w:tcPr>
            <w:tcW w:w="0" w:type="auto"/>
            <w:shd w:val="clear" w:color="auto" w:fill="auto"/>
            <w:vAlign w:val="bottom"/>
          </w:tcPr>
          <w:p w14:paraId="392CB021" w14:textId="77777777" w:rsidR="00980E5F" w:rsidRDefault="00980E5F">
            <w:pPr>
              <w:rPr>
                <w:rFonts w:ascii="宋体"/>
              </w:rPr>
            </w:pPr>
          </w:p>
        </w:tc>
        <w:tc>
          <w:tcPr>
            <w:tcW w:w="0" w:type="auto"/>
            <w:shd w:val="clear" w:color="auto" w:fill="auto"/>
            <w:vAlign w:val="bottom"/>
          </w:tcPr>
          <w:p w14:paraId="392CB022" w14:textId="77777777" w:rsidR="00980E5F" w:rsidRDefault="00980E5F">
            <w:pPr>
              <w:rPr>
                <w:rFonts w:ascii="宋体"/>
              </w:rPr>
            </w:pPr>
          </w:p>
        </w:tc>
        <w:tc>
          <w:tcPr>
            <w:tcW w:w="0" w:type="auto"/>
            <w:shd w:val="clear" w:color="auto" w:fill="auto"/>
            <w:vAlign w:val="bottom"/>
          </w:tcPr>
          <w:p w14:paraId="392CB023" w14:textId="77777777" w:rsidR="00980E5F" w:rsidRDefault="00980E5F">
            <w:pPr>
              <w:rPr>
                <w:rFonts w:ascii="宋体"/>
              </w:rPr>
            </w:pPr>
          </w:p>
        </w:tc>
        <w:tc>
          <w:tcPr>
            <w:tcW w:w="0" w:type="auto"/>
            <w:shd w:val="clear" w:color="auto" w:fill="auto"/>
            <w:vAlign w:val="bottom"/>
          </w:tcPr>
          <w:p w14:paraId="392CB024" w14:textId="77777777" w:rsidR="00980E5F" w:rsidRDefault="00980E5F">
            <w:pPr>
              <w:rPr>
                <w:rFonts w:ascii="宋体"/>
              </w:rPr>
            </w:pPr>
          </w:p>
        </w:tc>
        <w:tc>
          <w:tcPr>
            <w:tcW w:w="0" w:type="auto"/>
            <w:shd w:val="clear" w:color="auto" w:fill="auto"/>
            <w:vAlign w:val="bottom"/>
          </w:tcPr>
          <w:p w14:paraId="392CB025" w14:textId="77777777" w:rsidR="00980E5F" w:rsidRDefault="00980E5F">
            <w:pPr>
              <w:rPr>
                <w:rFonts w:ascii="宋体"/>
              </w:rPr>
            </w:pPr>
          </w:p>
        </w:tc>
        <w:tc>
          <w:tcPr>
            <w:tcW w:w="0" w:type="auto"/>
            <w:shd w:val="clear" w:color="auto" w:fill="auto"/>
            <w:vAlign w:val="bottom"/>
          </w:tcPr>
          <w:p w14:paraId="392CB026" w14:textId="77777777" w:rsidR="00980E5F" w:rsidRDefault="00980E5F">
            <w:pPr>
              <w:rPr>
                <w:rFonts w:ascii="宋体"/>
              </w:rPr>
            </w:pPr>
          </w:p>
        </w:tc>
        <w:tc>
          <w:tcPr>
            <w:tcW w:w="0" w:type="auto"/>
            <w:shd w:val="clear" w:color="auto" w:fill="auto"/>
            <w:vAlign w:val="bottom"/>
          </w:tcPr>
          <w:p w14:paraId="392CB027" w14:textId="77777777" w:rsidR="00980E5F" w:rsidRDefault="00980E5F">
            <w:pPr>
              <w:rPr>
                <w:rFonts w:ascii="宋体"/>
              </w:rPr>
            </w:pPr>
          </w:p>
        </w:tc>
        <w:tc>
          <w:tcPr>
            <w:tcW w:w="0" w:type="auto"/>
            <w:shd w:val="clear" w:color="auto" w:fill="auto"/>
            <w:vAlign w:val="bottom"/>
          </w:tcPr>
          <w:p w14:paraId="392CB028" w14:textId="77777777" w:rsidR="00980E5F" w:rsidRDefault="00980E5F">
            <w:pPr>
              <w:rPr>
                <w:rFonts w:ascii="宋体"/>
              </w:rPr>
            </w:pPr>
          </w:p>
        </w:tc>
        <w:tc>
          <w:tcPr>
            <w:tcW w:w="0" w:type="auto"/>
            <w:shd w:val="clear" w:color="auto" w:fill="auto"/>
            <w:vAlign w:val="bottom"/>
          </w:tcPr>
          <w:p w14:paraId="392CB029" w14:textId="77777777" w:rsidR="00980E5F" w:rsidRDefault="00980E5F">
            <w:pPr>
              <w:rPr>
                <w:rFonts w:ascii="宋体"/>
              </w:rPr>
            </w:pPr>
          </w:p>
        </w:tc>
        <w:tc>
          <w:tcPr>
            <w:tcW w:w="0" w:type="auto"/>
            <w:shd w:val="clear" w:color="auto" w:fill="auto"/>
            <w:vAlign w:val="bottom"/>
          </w:tcPr>
          <w:p w14:paraId="392CB02A" w14:textId="77777777" w:rsidR="00980E5F" w:rsidRDefault="00980E5F">
            <w:pPr>
              <w:rPr>
                <w:rFonts w:ascii="宋体"/>
              </w:rPr>
            </w:pPr>
          </w:p>
        </w:tc>
        <w:tc>
          <w:tcPr>
            <w:tcW w:w="0" w:type="auto"/>
            <w:shd w:val="clear" w:color="auto" w:fill="auto"/>
            <w:vAlign w:val="bottom"/>
          </w:tcPr>
          <w:p w14:paraId="392CB02B" w14:textId="77777777" w:rsidR="00980E5F" w:rsidRDefault="00980E5F">
            <w:pPr>
              <w:rPr>
                <w:rFonts w:ascii="宋体"/>
              </w:rPr>
            </w:pPr>
          </w:p>
        </w:tc>
        <w:tc>
          <w:tcPr>
            <w:tcW w:w="0" w:type="auto"/>
            <w:shd w:val="clear" w:color="auto" w:fill="auto"/>
            <w:vAlign w:val="bottom"/>
          </w:tcPr>
          <w:p w14:paraId="392CB02C" w14:textId="77777777" w:rsidR="00980E5F" w:rsidRDefault="00980E5F">
            <w:pPr>
              <w:rPr>
                <w:rFonts w:ascii="宋体"/>
              </w:rPr>
            </w:pPr>
          </w:p>
        </w:tc>
        <w:tc>
          <w:tcPr>
            <w:tcW w:w="0" w:type="auto"/>
            <w:shd w:val="clear" w:color="auto" w:fill="auto"/>
            <w:vAlign w:val="bottom"/>
          </w:tcPr>
          <w:p w14:paraId="392CB02D" w14:textId="77777777" w:rsidR="00980E5F" w:rsidRDefault="00980E5F">
            <w:pPr>
              <w:rPr>
                <w:rFonts w:ascii="宋体"/>
              </w:rPr>
            </w:pPr>
          </w:p>
        </w:tc>
        <w:tc>
          <w:tcPr>
            <w:tcW w:w="0" w:type="auto"/>
            <w:shd w:val="clear" w:color="auto" w:fill="auto"/>
            <w:vAlign w:val="bottom"/>
          </w:tcPr>
          <w:p w14:paraId="392CB02E" w14:textId="77777777" w:rsidR="00980E5F" w:rsidRDefault="00980E5F">
            <w:pPr>
              <w:rPr>
                <w:rFonts w:ascii="宋体"/>
              </w:rPr>
            </w:pPr>
          </w:p>
        </w:tc>
        <w:tc>
          <w:tcPr>
            <w:tcW w:w="0" w:type="auto"/>
            <w:shd w:val="clear" w:color="auto" w:fill="auto"/>
            <w:vAlign w:val="bottom"/>
          </w:tcPr>
          <w:p w14:paraId="392CB02F" w14:textId="77777777" w:rsidR="00980E5F" w:rsidRDefault="00980E5F">
            <w:pPr>
              <w:rPr>
                <w:rFonts w:ascii="宋体"/>
              </w:rPr>
            </w:pPr>
          </w:p>
        </w:tc>
        <w:tc>
          <w:tcPr>
            <w:tcW w:w="0" w:type="auto"/>
            <w:shd w:val="clear" w:color="auto" w:fill="auto"/>
            <w:vAlign w:val="bottom"/>
          </w:tcPr>
          <w:p w14:paraId="392CB030" w14:textId="77777777" w:rsidR="00980E5F" w:rsidRDefault="00980E5F">
            <w:pPr>
              <w:rPr>
                <w:rFonts w:ascii="宋体"/>
              </w:rPr>
            </w:pPr>
          </w:p>
        </w:tc>
        <w:tc>
          <w:tcPr>
            <w:tcW w:w="0" w:type="auto"/>
            <w:shd w:val="clear" w:color="auto" w:fill="auto"/>
            <w:vAlign w:val="bottom"/>
          </w:tcPr>
          <w:p w14:paraId="392CB031" w14:textId="77777777" w:rsidR="00980E5F" w:rsidRDefault="00980E5F">
            <w:pPr>
              <w:rPr>
                <w:rFonts w:ascii="宋体"/>
              </w:rPr>
            </w:pPr>
          </w:p>
        </w:tc>
        <w:tc>
          <w:tcPr>
            <w:tcW w:w="0" w:type="auto"/>
            <w:shd w:val="clear" w:color="auto" w:fill="auto"/>
            <w:vAlign w:val="bottom"/>
          </w:tcPr>
          <w:p w14:paraId="392CB032" w14:textId="77777777" w:rsidR="00980E5F" w:rsidRDefault="00980E5F">
            <w:pPr>
              <w:rPr>
                <w:rFonts w:ascii="宋体"/>
              </w:rPr>
            </w:pPr>
          </w:p>
        </w:tc>
      </w:tr>
      <w:tr w:rsidR="00980E5F" w14:paraId="392CB060" w14:textId="77777777">
        <w:trPr>
          <w:hidden/>
        </w:trPr>
        <w:tc>
          <w:tcPr>
            <w:tcW w:w="0" w:type="auto"/>
            <w:gridSpan w:val="3"/>
            <w:shd w:val="clear" w:color="auto" w:fill="auto"/>
            <w:vAlign w:val="bottom"/>
          </w:tcPr>
          <w:p w14:paraId="392CB034" w14:textId="77777777" w:rsidR="00980E5F" w:rsidRDefault="00980E5F">
            <w:pPr>
              <w:rPr>
                <w:rFonts w:ascii="宋体"/>
                <w:vanish/>
              </w:rPr>
            </w:pPr>
          </w:p>
        </w:tc>
        <w:tc>
          <w:tcPr>
            <w:tcW w:w="0" w:type="auto"/>
            <w:gridSpan w:val="3"/>
            <w:shd w:val="clear" w:color="auto" w:fill="auto"/>
            <w:vAlign w:val="bottom"/>
          </w:tcPr>
          <w:p w14:paraId="392CB035" w14:textId="77777777" w:rsidR="00980E5F" w:rsidRDefault="00980E5F">
            <w:pPr>
              <w:rPr>
                <w:rFonts w:ascii="宋体"/>
                <w:vanish/>
              </w:rPr>
            </w:pPr>
          </w:p>
        </w:tc>
        <w:tc>
          <w:tcPr>
            <w:tcW w:w="0" w:type="auto"/>
            <w:gridSpan w:val="3"/>
            <w:shd w:val="clear" w:color="auto" w:fill="auto"/>
            <w:vAlign w:val="bottom"/>
          </w:tcPr>
          <w:p w14:paraId="392CB036" w14:textId="77777777" w:rsidR="00980E5F" w:rsidRDefault="00980E5F">
            <w:pPr>
              <w:rPr>
                <w:rFonts w:ascii="宋体"/>
                <w:vanish/>
              </w:rPr>
            </w:pPr>
          </w:p>
        </w:tc>
        <w:tc>
          <w:tcPr>
            <w:tcW w:w="0" w:type="auto"/>
            <w:gridSpan w:val="3"/>
            <w:shd w:val="clear" w:color="auto" w:fill="auto"/>
            <w:vAlign w:val="bottom"/>
          </w:tcPr>
          <w:p w14:paraId="392CB037" w14:textId="77777777" w:rsidR="00980E5F" w:rsidRDefault="00980E5F">
            <w:pPr>
              <w:rPr>
                <w:rFonts w:ascii="宋体"/>
                <w:vanish/>
              </w:rPr>
            </w:pPr>
          </w:p>
        </w:tc>
        <w:tc>
          <w:tcPr>
            <w:tcW w:w="0" w:type="auto"/>
            <w:gridSpan w:val="3"/>
            <w:shd w:val="clear" w:color="auto" w:fill="auto"/>
            <w:vAlign w:val="bottom"/>
          </w:tcPr>
          <w:p w14:paraId="392CB038" w14:textId="77777777" w:rsidR="00980E5F" w:rsidRDefault="00980E5F">
            <w:pPr>
              <w:rPr>
                <w:rFonts w:ascii="宋体"/>
                <w:vanish/>
              </w:rPr>
            </w:pPr>
          </w:p>
        </w:tc>
        <w:tc>
          <w:tcPr>
            <w:tcW w:w="0" w:type="auto"/>
            <w:gridSpan w:val="3"/>
            <w:shd w:val="clear" w:color="auto" w:fill="auto"/>
            <w:vAlign w:val="bottom"/>
          </w:tcPr>
          <w:p w14:paraId="392CB039" w14:textId="77777777" w:rsidR="00980E5F" w:rsidRDefault="00980E5F">
            <w:pPr>
              <w:rPr>
                <w:rFonts w:ascii="宋体"/>
                <w:vanish/>
              </w:rPr>
            </w:pPr>
          </w:p>
        </w:tc>
        <w:tc>
          <w:tcPr>
            <w:tcW w:w="0" w:type="auto"/>
            <w:gridSpan w:val="3"/>
            <w:shd w:val="clear" w:color="auto" w:fill="auto"/>
            <w:vAlign w:val="bottom"/>
          </w:tcPr>
          <w:p w14:paraId="392CB03A" w14:textId="77777777" w:rsidR="00980E5F" w:rsidRDefault="00980E5F">
            <w:pPr>
              <w:rPr>
                <w:rFonts w:ascii="宋体"/>
                <w:vanish/>
              </w:rPr>
            </w:pPr>
          </w:p>
        </w:tc>
        <w:tc>
          <w:tcPr>
            <w:tcW w:w="0" w:type="auto"/>
            <w:gridSpan w:val="3"/>
            <w:shd w:val="clear" w:color="auto" w:fill="auto"/>
            <w:vAlign w:val="bottom"/>
          </w:tcPr>
          <w:p w14:paraId="392CB03B" w14:textId="77777777" w:rsidR="00980E5F" w:rsidRDefault="00980E5F">
            <w:pPr>
              <w:rPr>
                <w:rFonts w:ascii="宋体"/>
                <w:vanish/>
              </w:rPr>
            </w:pPr>
          </w:p>
        </w:tc>
        <w:tc>
          <w:tcPr>
            <w:tcW w:w="0" w:type="auto"/>
            <w:shd w:val="clear" w:color="auto" w:fill="auto"/>
            <w:vAlign w:val="bottom"/>
          </w:tcPr>
          <w:p w14:paraId="392CB03C" w14:textId="77777777" w:rsidR="00980E5F" w:rsidRDefault="00980E5F">
            <w:pPr>
              <w:rPr>
                <w:rFonts w:ascii="宋体"/>
              </w:rPr>
            </w:pPr>
          </w:p>
        </w:tc>
        <w:tc>
          <w:tcPr>
            <w:tcW w:w="0" w:type="auto"/>
            <w:shd w:val="clear" w:color="auto" w:fill="auto"/>
            <w:vAlign w:val="bottom"/>
          </w:tcPr>
          <w:p w14:paraId="392CB03D" w14:textId="77777777" w:rsidR="00980E5F" w:rsidRDefault="00980E5F">
            <w:pPr>
              <w:rPr>
                <w:rFonts w:ascii="宋体"/>
              </w:rPr>
            </w:pPr>
          </w:p>
        </w:tc>
        <w:tc>
          <w:tcPr>
            <w:tcW w:w="0" w:type="auto"/>
            <w:shd w:val="clear" w:color="auto" w:fill="auto"/>
            <w:vAlign w:val="bottom"/>
          </w:tcPr>
          <w:p w14:paraId="392CB03E" w14:textId="77777777" w:rsidR="00980E5F" w:rsidRDefault="00980E5F">
            <w:pPr>
              <w:rPr>
                <w:rFonts w:ascii="宋体"/>
              </w:rPr>
            </w:pPr>
          </w:p>
        </w:tc>
        <w:tc>
          <w:tcPr>
            <w:tcW w:w="0" w:type="auto"/>
            <w:shd w:val="clear" w:color="auto" w:fill="auto"/>
            <w:vAlign w:val="bottom"/>
          </w:tcPr>
          <w:p w14:paraId="392CB03F" w14:textId="77777777" w:rsidR="00980E5F" w:rsidRDefault="00980E5F">
            <w:pPr>
              <w:rPr>
                <w:rFonts w:ascii="宋体"/>
              </w:rPr>
            </w:pPr>
          </w:p>
        </w:tc>
        <w:tc>
          <w:tcPr>
            <w:tcW w:w="0" w:type="auto"/>
            <w:shd w:val="clear" w:color="auto" w:fill="auto"/>
            <w:vAlign w:val="bottom"/>
          </w:tcPr>
          <w:p w14:paraId="392CB040" w14:textId="77777777" w:rsidR="00980E5F" w:rsidRDefault="00980E5F">
            <w:pPr>
              <w:rPr>
                <w:rFonts w:ascii="宋体"/>
              </w:rPr>
            </w:pPr>
          </w:p>
        </w:tc>
        <w:tc>
          <w:tcPr>
            <w:tcW w:w="0" w:type="auto"/>
            <w:shd w:val="clear" w:color="auto" w:fill="auto"/>
            <w:vAlign w:val="bottom"/>
          </w:tcPr>
          <w:p w14:paraId="392CB041" w14:textId="77777777" w:rsidR="00980E5F" w:rsidRDefault="00980E5F">
            <w:pPr>
              <w:rPr>
                <w:rFonts w:ascii="宋体"/>
              </w:rPr>
            </w:pPr>
          </w:p>
        </w:tc>
        <w:tc>
          <w:tcPr>
            <w:tcW w:w="0" w:type="auto"/>
            <w:shd w:val="clear" w:color="auto" w:fill="auto"/>
            <w:vAlign w:val="bottom"/>
          </w:tcPr>
          <w:p w14:paraId="392CB042" w14:textId="77777777" w:rsidR="00980E5F" w:rsidRDefault="00980E5F">
            <w:pPr>
              <w:rPr>
                <w:rFonts w:ascii="宋体"/>
              </w:rPr>
            </w:pPr>
          </w:p>
        </w:tc>
        <w:tc>
          <w:tcPr>
            <w:tcW w:w="0" w:type="auto"/>
            <w:shd w:val="clear" w:color="auto" w:fill="auto"/>
            <w:vAlign w:val="bottom"/>
          </w:tcPr>
          <w:p w14:paraId="392CB043" w14:textId="77777777" w:rsidR="00980E5F" w:rsidRDefault="00980E5F">
            <w:pPr>
              <w:rPr>
                <w:rFonts w:ascii="宋体"/>
              </w:rPr>
            </w:pPr>
          </w:p>
        </w:tc>
        <w:tc>
          <w:tcPr>
            <w:tcW w:w="0" w:type="auto"/>
            <w:shd w:val="clear" w:color="auto" w:fill="auto"/>
            <w:vAlign w:val="bottom"/>
          </w:tcPr>
          <w:p w14:paraId="392CB044" w14:textId="77777777" w:rsidR="00980E5F" w:rsidRDefault="00980E5F">
            <w:pPr>
              <w:rPr>
                <w:rFonts w:ascii="宋体"/>
              </w:rPr>
            </w:pPr>
          </w:p>
        </w:tc>
        <w:tc>
          <w:tcPr>
            <w:tcW w:w="0" w:type="auto"/>
            <w:shd w:val="clear" w:color="auto" w:fill="auto"/>
            <w:vAlign w:val="bottom"/>
          </w:tcPr>
          <w:p w14:paraId="392CB045" w14:textId="77777777" w:rsidR="00980E5F" w:rsidRDefault="00980E5F">
            <w:pPr>
              <w:rPr>
                <w:rFonts w:ascii="宋体"/>
              </w:rPr>
            </w:pPr>
          </w:p>
        </w:tc>
        <w:tc>
          <w:tcPr>
            <w:tcW w:w="0" w:type="auto"/>
            <w:shd w:val="clear" w:color="auto" w:fill="auto"/>
            <w:vAlign w:val="bottom"/>
          </w:tcPr>
          <w:p w14:paraId="392CB046" w14:textId="77777777" w:rsidR="00980E5F" w:rsidRDefault="00980E5F">
            <w:pPr>
              <w:rPr>
                <w:rFonts w:ascii="宋体"/>
              </w:rPr>
            </w:pPr>
          </w:p>
        </w:tc>
        <w:tc>
          <w:tcPr>
            <w:tcW w:w="0" w:type="auto"/>
            <w:shd w:val="clear" w:color="auto" w:fill="auto"/>
            <w:vAlign w:val="bottom"/>
          </w:tcPr>
          <w:p w14:paraId="392CB047" w14:textId="77777777" w:rsidR="00980E5F" w:rsidRDefault="00980E5F">
            <w:pPr>
              <w:rPr>
                <w:rFonts w:ascii="宋体"/>
              </w:rPr>
            </w:pPr>
          </w:p>
        </w:tc>
        <w:tc>
          <w:tcPr>
            <w:tcW w:w="0" w:type="auto"/>
            <w:shd w:val="clear" w:color="auto" w:fill="auto"/>
            <w:vAlign w:val="bottom"/>
          </w:tcPr>
          <w:p w14:paraId="392CB048" w14:textId="77777777" w:rsidR="00980E5F" w:rsidRDefault="00980E5F">
            <w:pPr>
              <w:rPr>
                <w:rFonts w:ascii="宋体"/>
              </w:rPr>
            </w:pPr>
          </w:p>
        </w:tc>
        <w:tc>
          <w:tcPr>
            <w:tcW w:w="0" w:type="auto"/>
            <w:shd w:val="clear" w:color="auto" w:fill="auto"/>
            <w:vAlign w:val="bottom"/>
          </w:tcPr>
          <w:p w14:paraId="392CB049" w14:textId="77777777" w:rsidR="00980E5F" w:rsidRDefault="00980E5F">
            <w:pPr>
              <w:rPr>
                <w:rFonts w:ascii="宋体"/>
              </w:rPr>
            </w:pPr>
          </w:p>
        </w:tc>
        <w:tc>
          <w:tcPr>
            <w:tcW w:w="0" w:type="auto"/>
            <w:shd w:val="clear" w:color="auto" w:fill="auto"/>
            <w:vAlign w:val="bottom"/>
          </w:tcPr>
          <w:p w14:paraId="392CB04A" w14:textId="77777777" w:rsidR="00980E5F" w:rsidRDefault="00980E5F">
            <w:pPr>
              <w:rPr>
                <w:rFonts w:ascii="宋体"/>
              </w:rPr>
            </w:pPr>
          </w:p>
        </w:tc>
        <w:tc>
          <w:tcPr>
            <w:tcW w:w="0" w:type="auto"/>
            <w:shd w:val="clear" w:color="auto" w:fill="auto"/>
            <w:vAlign w:val="bottom"/>
          </w:tcPr>
          <w:p w14:paraId="392CB04B" w14:textId="77777777" w:rsidR="00980E5F" w:rsidRDefault="00980E5F">
            <w:pPr>
              <w:rPr>
                <w:rFonts w:ascii="宋体"/>
              </w:rPr>
            </w:pPr>
          </w:p>
        </w:tc>
        <w:tc>
          <w:tcPr>
            <w:tcW w:w="0" w:type="auto"/>
            <w:shd w:val="clear" w:color="auto" w:fill="auto"/>
            <w:vAlign w:val="bottom"/>
          </w:tcPr>
          <w:p w14:paraId="392CB04C" w14:textId="77777777" w:rsidR="00980E5F" w:rsidRDefault="00980E5F">
            <w:pPr>
              <w:rPr>
                <w:rFonts w:ascii="宋体"/>
              </w:rPr>
            </w:pPr>
          </w:p>
        </w:tc>
        <w:tc>
          <w:tcPr>
            <w:tcW w:w="0" w:type="auto"/>
            <w:shd w:val="clear" w:color="auto" w:fill="auto"/>
            <w:vAlign w:val="bottom"/>
          </w:tcPr>
          <w:p w14:paraId="392CB04D" w14:textId="77777777" w:rsidR="00980E5F" w:rsidRDefault="00980E5F">
            <w:pPr>
              <w:rPr>
                <w:rFonts w:ascii="宋体"/>
              </w:rPr>
            </w:pPr>
          </w:p>
        </w:tc>
        <w:tc>
          <w:tcPr>
            <w:tcW w:w="0" w:type="auto"/>
            <w:shd w:val="clear" w:color="auto" w:fill="auto"/>
            <w:vAlign w:val="bottom"/>
          </w:tcPr>
          <w:p w14:paraId="392CB04E" w14:textId="77777777" w:rsidR="00980E5F" w:rsidRDefault="00980E5F">
            <w:pPr>
              <w:rPr>
                <w:rFonts w:ascii="宋体"/>
              </w:rPr>
            </w:pPr>
          </w:p>
        </w:tc>
        <w:tc>
          <w:tcPr>
            <w:tcW w:w="0" w:type="auto"/>
            <w:shd w:val="clear" w:color="auto" w:fill="auto"/>
            <w:vAlign w:val="bottom"/>
          </w:tcPr>
          <w:p w14:paraId="392CB04F" w14:textId="77777777" w:rsidR="00980E5F" w:rsidRDefault="00980E5F">
            <w:pPr>
              <w:rPr>
                <w:rFonts w:ascii="宋体"/>
              </w:rPr>
            </w:pPr>
          </w:p>
        </w:tc>
        <w:tc>
          <w:tcPr>
            <w:tcW w:w="0" w:type="auto"/>
            <w:shd w:val="clear" w:color="auto" w:fill="auto"/>
            <w:vAlign w:val="bottom"/>
          </w:tcPr>
          <w:p w14:paraId="392CB050" w14:textId="77777777" w:rsidR="00980E5F" w:rsidRDefault="00980E5F">
            <w:pPr>
              <w:rPr>
                <w:rFonts w:ascii="宋体"/>
              </w:rPr>
            </w:pPr>
          </w:p>
        </w:tc>
        <w:tc>
          <w:tcPr>
            <w:tcW w:w="0" w:type="auto"/>
            <w:shd w:val="clear" w:color="auto" w:fill="auto"/>
            <w:vAlign w:val="bottom"/>
          </w:tcPr>
          <w:p w14:paraId="392CB051" w14:textId="77777777" w:rsidR="00980E5F" w:rsidRDefault="00980E5F">
            <w:pPr>
              <w:rPr>
                <w:rFonts w:ascii="宋体"/>
              </w:rPr>
            </w:pPr>
          </w:p>
        </w:tc>
        <w:tc>
          <w:tcPr>
            <w:tcW w:w="0" w:type="auto"/>
            <w:shd w:val="clear" w:color="auto" w:fill="auto"/>
            <w:vAlign w:val="bottom"/>
          </w:tcPr>
          <w:p w14:paraId="392CB052" w14:textId="77777777" w:rsidR="00980E5F" w:rsidRDefault="00980E5F">
            <w:pPr>
              <w:rPr>
                <w:rFonts w:ascii="宋体"/>
              </w:rPr>
            </w:pPr>
          </w:p>
        </w:tc>
        <w:tc>
          <w:tcPr>
            <w:tcW w:w="0" w:type="auto"/>
            <w:shd w:val="clear" w:color="auto" w:fill="auto"/>
            <w:vAlign w:val="bottom"/>
          </w:tcPr>
          <w:p w14:paraId="392CB053" w14:textId="77777777" w:rsidR="00980E5F" w:rsidRDefault="00980E5F">
            <w:pPr>
              <w:rPr>
                <w:rFonts w:ascii="宋体"/>
              </w:rPr>
            </w:pPr>
          </w:p>
        </w:tc>
        <w:tc>
          <w:tcPr>
            <w:tcW w:w="0" w:type="auto"/>
            <w:shd w:val="clear" w:color="auto" w:fill="auto"/>
            <w:vAlign w:val="bottom"/>
          </w:tcPr>
          <w:p w14:paraId="392CB054" w14:textId="77777777" w:rsidR="00980E5F" w:rsidRDefault="00980E5F">
            <w:pPr>
              <w:rPr>
                <w:rFonts w:ascii="宋体"/>
              </w:rPr>
            </w:pPr>
          </w:p>
        </w:tc>
        <w:tc>
          <w:tcPr>
            <w:tcW w:w="0" w:type="auto"/>
            <w:shd w:val="clear" w:color="auto" w:fill="auto"/>
            <w:vAlign w:val="bottom"/>
          </w:tcPr>
          <w:p w14:paraId="392CB055" w14:textId="77777777" w:rsidR="00980E5F" w:rsidRDefault="00980E5F">
            <w:pPr>
              <w:rPr>
                <w:rFonts w:ascii="宋体"/>
              </w:rPr>
            </w:pPr>
          </w:p>
        </w:tc>
        <w:tc>
          <w:tcPr>
            <w:tcW w:w="0" w:type="auto"/>
            <w:shd w:val="clear" w:color="auto" w:fill="auto"/>
            <w:vAlign w:val="bottom"/>
          </w:tcPr>
          <w:p w14:paraId="392CB056" w14:textId="77777777" w:rsidR="00980E5F" w:rsidRDefault="00980E5F">
            <w:pPr>
              <w:rPr>
                <w:rFonts w:ascii="宋体"/>
              </w:rPr>
            </w:pPr>
          </w:p>
        </w:tc>
        <w:tc>
          <w:tcPr>
            <w:tcW w:w="0" w:type="auto"/>
            <w:shd w:val="clear" w:color="auto" w:fill="auto"/>
            <w:vAlign w:val="bottom"/>
          </w:tcPr>
          <w:p w14:paraId="392CB057" w14:textId="77777777" w:rsidR="00980E5F" w:rsidRDefault="00980E5F">
            <w:pPr>
              <w:rPr>
                <w:rFonts w:ascii="宋体"/>
              </w:rPr>
            </w:pPr>
          </w:p>
        </w:tc>
        <w:tc>
          <w:tcPr>
            <w:tcW w:w="0" w:type="auto"/>
            <w:shd w:val="clear" w:color="auto" w:fill="auto"/>
            <w:vAlign w:val="bottom"/>
          </w:tcPr>
          <w:p w14:paraId="392CB058" w14:textId="77777777" w:rsidR="00980E5F" w:rsidRDefault="00980E5F">
            <w:pPr>
              <w:rPr>
                <w:rFonts w:ascii="宋体"/>
              </w:rPr>
            </w:pPr>
          </w:p>
        </w:tc>
        <w:tc>
          <w:tcPr>
            <w:tcW w:w="0" w:type="auto"/>
            <w:shd w:val="clear" w:color="auto" w:fill="auto"/>
            <w:vAlign w:val="bottom"/>
          </w:tcPr>
          <w:p w14:paraId="392CB059" w14:textId="77777777" w:rsidR="00980E5F" w:rsidRDefault="00980E5F">
            <w:pPr>
              <w:rPr>
                <w:rFonts w:ascii="宋体"/>
              </w:rPr>
            </w:pPr>
          </w:p>
        </w:tc>
        <w:tc>
          <w:tcPr>
            <w:tcW w:w="0" w:type="auto"/>
            <w:shd w:val="clear" w:color="auto" w:fill="auto"/>
            <w:vAlign w:val="bottom"/>
          </w:tcPr>
          <w:p w14:paraId="392CB05A" w14:textId="77777777" w:rsidR="00980E5F" w:rsidRDefault="00980E5F">
            <w:pPr>
              <w:rPr>
                <w:rFonts w:ascii="宋体"/>
              </w:rPr>
            </w:pPr>
          </w:p>
        </w:tc>
        <w:tc>
          <w:tcPr>
            <w:tcW w:w="0" w:type="auto"/>
            <w:shd w:val="clear" w:color="auto" w:fill="auto"/>
            <w:vAlign w:val="bottom"/>
          </w:tcPr>
          <w:p w14:paraId="392CB05B" w14:textId="77777777" w:rsidR="00980E5F" w:rsidRDefault="00980E5F">
            <w:pPr>
              <w:rPr>
                <w:rFonts w:ascii="宋体"/>
              </w:rPr>
            </w:pPr>
          </w:p>
        </w:tc>
        <w:tc>
          <w:tcPr>
            <w:tcW w:w="0" w:type="auto"/>
            <w:shd w:val="clear" w:color="auto" w:fill="auto"/>
            <w:vAlign w:val="bottom"/>
          </w:tcPr>
          <w:p w14:paraId="392CB05C" w14:textId="77777777" w:rsidR="00980E5F" w:rsidRDefault="00980E5F">
            <w:pPr>
              <w:rPr>
                <w:rFonts w:ascii="宋体"/>
              </w:rPr>
            </w:pPr>
          </w:p>
        </w:tc>
        <w:tc>
          <w:tcPr>
            <w:tcW w:w="0" w:type="auto"/>
            <w:shd w:val="clear" w:color="auto" w:fill="auto"/>
            <w:vAlign w:val="bottom"/>
          </w:tcPr>
          <w:p w14:paraId="392CB05D" w14:textId="77777777" w:rsidR="00980E5F" w:rsidRDefault="00980E5F">
            <w:pPr>
              <w:rPr>
                <w:rFonts w:ascii="宋体"/>
              </w:rPr>
            </w:pPr>
          </w:p>
        </w:tc>
        <w:tc>
          <w:tcPr>
            <w:tcW w:w="0" w:type="auto"/>
            <w:shd w:val="clear" w:color="auto" w:fill="auto"/>
            <w:vAlign w:val="bottom"/>
          </w:tcPr>
          <w:p w14:paraId="392CB05E" w14:textId="77777777" w:rsidR="00980E5F" w:rsidRDefault="00980E5F">
            <w:pPr>
              <w:rPr>
                <w:rFonts w:ascii="宋体"/>
              </w:rPr>
            </w:pPr>
          </w:p>
        </w:tc>
        <w:tc>
          <w:tcPr>
            <w:tcW w:w="0" w:type="auto"/>
            <w:shd w:val="clear" w:color="auto" w:fill="auto"/>
            <w:vAlign w:val="bottom"/>
          </w:tcPr>
          <w:p w14:paraId="392CB05F" w14:textId="77777777" w:rsidR="00980E5F" w:rsidRDefault="00980E5F">
            <w:pPr>
              <w:rPr>
                <w:rFonts w:ascii="宋体"/>
              </w:rPr>
            </w:pPr>
          </w:p>
        </w:tc>
      </w:tr>
      <w:tr w:rsidR="00980E5F" w14:paraId="392CB075" w14:textId="77777777">
        <w:trPr>
          <w:hidden/>
        </w:trPr>
        <w:tc>
          <w:tcPr>
            <w:tcW w:w="0" w:type="auto"/>
            <w:gridSpan w:val="3"/>
            <w:shd w:val="clear" w:color="auto" w:fill="auto"/>
            <w:vAlign w:val="bottom"/>
          </w:tcPr>
          <w:p w14:paraId="392CB061" w14:textId="77777777" w:rsidR="00980E5F" w:rsidRDefault="00980E5F">
            <w:pPr>
              <w:rPr>
                <w:rFonts w:ascii="宋体"/>
                <w:vanish/>
              </w:rPr>
            </w:pPr>
          </w:p>
        </w:tc>
        <w:tc>
          <w:tcPr>
            <w:tcW w:w="0" w:type="auto"/>
            <w:gridSpan w:val="3"/>
            <w:shd w:val="clear" w:color="auto" w:fill="auto"/>
            <w:vAlign w:val="bottom"/>
          </w:tcPr>
          <w:p w14:paraId="392CB062" w14:textId="77777777" w:rsidR="00980E5F" w:rsidRDefault="00980E5F">
            <w:pPr>
              <w:rPr>
                <w:rFonts w:ascii="宋体"/>
                <w:vanish/>
              </w:rPr>
            </w:pPr>
          </w:p>
        </w:tc>
        <w:tc>
          <w:tcPr>
            <w:tcW w:w="0" w:type="auto"/>
            <w:gridSpan w:val="3"/>
            <w:shd w:val="clear" w:color="auto" w:fill="auto"/>
            <w:vAlign w:val="bottom"/>
          </w:tcPr>
          <w:p w14:paraId="392CB063" w14:textId="77777777" w:rsidR="00980E5F" w:rsidRDefault="00980E5F">
            <w:pPr>
              <w:rPr>
                <w:rFonts w:ascii="宋体"/>
                <w:vanish/>
              </w:rPr>
            </w:pPr>
          </w:p>
        </w:tc>
        <w:tc>
          <w:tcPr>
            <w:tcW w:w="0" w:type="auto"/>
            <w:gridSpan w:val="3"/>
            <w:shd w:val="clear" w:color="auto" w:fill="auto"/>
            <w:vAlign w:val="bottom"/>
          </w:tcPr>
          <w:p w14:paraId="392CB064" w14:textId="77777777" w:rsidR="00980E5F" w:rsidRDefault="00980E5F">
            <w:pPr>
              <w:rPr>
                <w:rFonts w:ascii="宋体"/>
                <w:vanish/>
              </w:rPr>
            </w:pPr>
          </w:p>
        </w:tc>
        <w:tc>
          <w:tcPr>
            <w:tcW w:w="0" w:type="auto"/>
            <w:gridSpan w:val="3"/>
            <w:shd w:val="clear" w:color="auto" w:fill="auto"/>
            <w:vAlign w:val="bottom"/>
          </w:tcPr>
          <w:p w14:paraId="392CB065" w14:textId="77777777" w:rsidR="00980E5F" w:rsidRDefault="00980E5F">
            <w:pPr>
              <w:rPr>
                <w:rFonts w:ascii="宋体"/>
                <w:vanish/>
              </w:rPr>
            </w:pPr>
          </w:p>
        </w:tc>
        <w:tc>
          <w:tcPr>
            <w:tcW w:w="0" w:type="auto"/>
            <w:gridSpan w:val="3"/>
            <w:shd w:val="clear" w:color="auto" w:fill="auto"/>
            <w:vAlign w:val="bottom"/>
          </w:tcPr>
          <w:p w14:paraId="392CB066" w14:textId="77777777" w:rsidR="00980E5F" w:rsidRDefault="00980E5F">
            <w:pPr>
              <w:rPr>
                <w:rFonts w:ascii="宋体"/>
                <w:vanish/>
              </w:rPr>
            </w:pPr>
          </w:p>
        </w:tc>
        <w:tc>
          <w:tcPr>
            <w:tcW w:w="0" w:type="auto"/>
            <w:gridSpan w:val="3"/>
            <w:shd w:val="clear" w:color="auto" w:fill="auto"/>
            <w:vAlign w:val="bottom"/>
          </w:tcPr>
          <w:p w14:paraId="392CB067" w14:textId="77777777" w:rsidR="00980E5F" w:rsidRDefault="00980E5F">
            <w:pPr>
              <w:rPr>
                <w:rFonts w:ascii="宋体"/>
                <w:vanish/>
              </w:rPr>
            </w:pPr>
          </w:p>
        </w:tc>
        <w:tc>
          <w:tcPr>
            <w:tcW w:w="0" w:type="auto"/>
            <w:gridSpan w:val="3"/>
            <w:shd w:val="clear" w:color="auto" w:fill="auto"/>
            <w:vAlign w:val="bottom"/>
          </w:tcPr>
          <w:p w14:paraId="392CB068" w14:textId="77777777" w:rsidR="00980E5F" w:rsidRDefault="00980E5F">
            <w:pPr>
              <w:rPr>
                <w:rFonts w:ascii="宋体"/>
                <w:vanish/>
              </w:rPr>
            </w:pPr>
          </w:p>
        </w:tc>
        <w:tc>
          <w:tcPr>
            <w:tcW w:w="0" w:type="auto"/>
            <w:gridSpan w:val="3"/>
            <w:shd w:val="clear" w:color="auto" w:fill="auto"/>
            <w:vAlign w:val="bottom"/>
          </w:tcPr>
          <w:p w14:paraId="392CB069" w14:textId="77777777" w:rsidR="00980E5F" w:rsidRDefault="00980E5F">
            <w:pPr>
              <w:rPr>
                <w:rFonts w:ascii="宋体"/>
                <w:vanish/>
              </w:rPr>
            </w:pPr>
          </w:p>
        </w:tc>
        <w:tc>
          <w:tcPr>
            <w:tcW w:w="0" w:type="auto"/>
            <w:gridSpan w:val="3"/>
            <w:shd w:val="clear" w:color="auto" w:fill="auto"/>
            <w:vAlign w:val="bottom"/>
          </w:tcPr>
          <w:p w14:paraId="392CB06A" w14:textId="77777777" w:rsidR="00980E5F" w:rsidRDefault="00980E5F">
            <w:pPr>
              <w:rPr>
                <w:rFonts w:ascii="宋体"/>
                <w:vanish/>
              </w:rPr>
            </w:pPr>
          </w:p>
        </w:tc>
        <w:tc>
          <w:tcPr>
            <w:tcW w:w="0" w:type="auto"/>
            <w:gridSpan w:val="3"/>
            <w:shd w:val="clear" w:color="auto" w:fill="auto"/>
            <w:vAlign w:val="bottom"/>
          </w:tcPr>
          <w:p w14:paraId="392CB06B" w14:textId="77777777" w:rsidR="00980E5F" w:rsidRDefault="00980E5F">
            <w:pPr>
              <w:rPr>
                <w:rFonts w:ascii="宋体"/>
                <w:vanish/>
              </w:rPr>
            </w:pPr>
          </w:p>
        </w:tc>
        <w:tc>
          <w:tcPr>
            <w:tcW w:w="0" w:type="auto"/>
            <w:gridSpan w:val="3"/>
            <w:shd w:val="clear" w:color="auto" w:fill="auto"/>
            <w:vAlign w:val="bottom"/>
          </w:tcPr>
          <w:p w14:paraId="392CB06C" w14:textId="77777777" w:rsidR="00980E5F" w:rsidRDefault="00980E5F">
            <w:pPr>
              <w:rPr>
                <w:rFonts w:ascii="宋体"/>
                <w:vanish/>
              </w:rPr>
            </w:pPr>
          </w:p>
        </w:tc>
        <w:tc>
          <w:tcPr>
            <w:tcW w:w="0" w:type="auto"/>
            <w:gridSpan w:val="3"/>
            <w:shd w:val="clear" w:color="auto" w:fill="auto"/>
            <w:vAlign w:val="bottom"/>
          </w:tcPr>
          <w:p w14:paraId="392CB06D" w14:textId="77777777" w:rsidR="00980E5F" w:rsidRDefault="00980E5F">
            <w:pPr>
              <w:rPr>
                <w:rFonts w:ascii="宋体"/>
                <w:vanish/>
              </w:rPr>
            </w:pPr>
          </w:p>
        </w:tc>
        <w:tc>
          <w:tcPr>
            <w:tcW w:w="0" w:type="auto"/>
            <w:gridSpan w:val="3"/>
            <w:shd w:val="clear" w:color="auto" w:fill="auto"/>
            <w:vAlign w:val="bottom"/>
          </w:tcPr>
          <w:p w14:paraId="392CB06E" w14:textId="77777777" w:rsidR="00980E5F" w:rsidRDefault="00980E5F">
            <w:pPr>
              <w:rPr>
                <w:rFonts w:ascii="宋体"/>
                <w:vanish/>
              </w:rPr>
            </w:pPr>
          </w:p>
        </w:tc>
        <w:tc>
          <w:tcPr>
            <w:tcW w:w="0" w:type="auto"/>
            <w:gridSpan w:val="3"/>
            <w:shd w:val="clear" w:color="auto" w:fill="auto"/>
            <w:vAlign w:val="bottom"/>
          </w:tcPr>
          <w:p w14:paraId="392CB06F" w14:textId="77777777" w:rsidR="00980E5F" w:rsidRDefault="00980E5F">
            <w:pPr>
              <w:rPr>
                <w:rFonts w:ascii="宋体"/>
                <w:vanish/>
              </w:rPr>
            </w:pPr>
          </w:p>
        </w:tc>
        <w:tc>
          <w:tcPr>
            <w:tcW w:w="0" w:type="auto"/>
            <w:gridSpan w:val="3"/>
            <w:shd w:val="clear" w:color="auto" w:fill="auto"/>
            <w:vAlign w:val="bottom"/>
          </w:tcPr>
          <w:p w14:paraId="392CB070" w14:textId="77777777" w:rsidR="00980E5F" w:rsidRDefault="00980E5F">
            <w:pPr>
              <w:rPr>
                <w:rFonts w:ascii="宋体"/>
                <w:vanish/>
              </w:rPr>
            </w:pPr>
          </w:p>
        </w:tc>
        <w:tc>
          <w:tcPr>
            <w:tcW w:w="0" w:type="auto"/>
            <w:gridSpan w:val="3"/>
            <w:shd w:val="clear" w:color="auto" w:fill="auto"/>
            <w:vAlign w:val="bottom"/>
          </w:tcPr>
          <w:p w14:paraId="392CB071" w14:textId="77777777" w:rsidR="00980E5F" w:rsidRDefault="00980E5F">
            <w:pPr>
              <w:rPr>
                <w:rFonts w:ascii="宋体"/>
                <w:vanish/>
              </w:rPr>
            </w:pPr>
          </w:p>
        </w:tc>
        <w:tc>
          <w:tcPr>
            <w:tcW w:w="0" w:type="auto"/>
            <w:gridSpan w:val="3"/>
            <w:shd w:val="clear" w:color="auto" w:fill="auto"/>
            <w:vAlign w:val="bottom"/>
          </w:tcPr>
          <w:p w14:paraId="392CB072" w14:textId="77777777" w:rsidR="00980E5F" w:rsidRDefault="00980E5F">
            <w:pPr>
              <w:rPr>
                <w:rFonts w:ascii="宋体"/>
                <w:vanish/>
              </w:rPr>
            </w:pPr>
          </w:p>
        </w:tc>
        <w:tc>
          <w:tcPr>
            <w:tcW w:w="0" w:type="auto"/>
            <w:gridSpan w:val="3"/>
            <w:shd w:val="clear" w:color="auto" w:fill="auto"/>
            <w:vAlign w:val="bottom"/>
          </w:tcPr>
          <w:p w14:paraId="392CB073" w14:textId="77777777" w:rsidR="00980E5F" w:rsidRDefault="00980E5F">
            <w:pPr>
              <w:rPr>
                <w:rFonts w:ascii="宋体"/>
                <w:vanish/>
              </w:rPr>
            </w:pPr>
          </w:p>
        </w:tc>
        <w:tc>
          <w:tcPr>
            <w:tcW w:w="0" w:type="auto"/>
            <w:gridSpan w:val="3"/>
            <w:shd w:val="clear" w:color="auto" w:fill="auto"/>
            <w:vAlign w:val="bottom"/>
          </w:tcPr>
          <w:p w14:paraId="392CB074" w14:textId="77777777" w:rsidR="00980E5F" w:rsidRDefault="00980E5F">
            <w:pPr>
              <w:rPr>
                <w:rFonts w:ascii="宋体"/>
                <w:vanish/>
              </w:rPr>
            </w:pPr>
          </w:p>
        </w:tc>
      </w:tr>
      <w:tr w:rsidR="00980E5F" w14:paraId="392CB08A" w14:textId="77777777">
        <w:trPr>
          <w:hidden/>
        </w:trPr>
        <w:tc>
          <w:tcPr>
            <w:tcW w:w="0" w:type="auto"/>
            <w:gridSpan w:val="3"/>
            <w:shd w:val="clear" w:color="auto" w:fill="auto"/>
            <w:vAlign w:val="bottom"/>
          </w:tcPr>
          <w:p w14:paraId="392CB076" w14:textId="77777777" w:rsidR="00980E5F" w:rsidRDefault="00980E5F">
            <w:pPr>
              <w:rPr>
                <w:rFonts w:ascii="宋体"/>
                <w:vanish/>
              </w:rPr>
            </w:pPr>
          </w:p>
        </w:tc>
        <w:tc>
          <w:tcPr>
            <w:tcW w:w="0" w:type="auto"/>
            <w:gridSpan w:val="3"/>
            <w:shd w:val="clear" w:color="auto" w:fill="auto"/>
            <w:vAlign w:val="bottom"/>
          </w:tcPr>
          <w:p w14:paraId="392CB077" w14:textId="77777777" w:rsidR="00980E5F" w:rsidRDefault="00980E5F">
            <w:pPr>
              <w:rPr>
                <w:rFonts w:ascii="宋体"/>
                <w:vanish/>
              </w:rPr>
            </w:pPr>
          </w:p>
        </w:tc>
        <w:tc>
          <w:tcPr>
            <w:tcW w:w="0" w:type="auto"/>
            <w:gridSpan w:val="3"/>
            <w:shd w:val="clear" w:color="auto" w:fill="auto"/>
            <w:vAlign w:val="bottom"/>
          </w:tcPr>
          <w:p w14:paraId="392CB078" w14:textId="77777777" w:rsidR="00980E5F" w:rsidRDefault="00980E5F">
            <w:pPr>
              <w:rPr>
                <w:rFonts w:ascii="宋体"/>
                <w:vanish/>
              </w:rPr>
            </w:pPr>
          </w:p>
        </w:tc>
        <w:tc>
          <w:tcPr>
            <w:tcW w:w="0" w:type="auto"/>
            <w:gridSpan w:val="3"/>
            <w:shd w:val="clear" w:color="auto" w:fill="auto"/>
            <w:vAlign w:val="bottom"/>
          </w:tcPr>
          <w:p w14:paraId="392CB079" w14:textId="77777777" w:rsidR="00980E5F" w:rsidRDefault="00980E5F">
            <w:pPr>
              <w:rPr>
                <w:rFonts w:ascii="宋体"/>
                <w:vanish/>
              </w:rPr>
            </w:pPr>
          </w:p>
        </w:tc>
        <w:tc>
          <w:tcPr>
            <w:tcW w:w="0" w:type="auto"/>
            <w:gridSpan w:val="3"/>
            <w:shd w:val="clear" w:color="auto" w:fill="auto"/>
            <w:vAlign w:val="bottom"/>
          </w:tcPr>
          <w:p w14:paraId="392CB07A" w14:textId="77777777" w:rsidR="00980E5F" w:rsidRDefault="00980E5F">
            <w:pPr>
              <w:rPr>
                <w:rFonts w:ascii="宋体"/>
                <w:vanish/>
              </w:rPr>
            </w:pPr>
          </w:p>
        </w:tc>
        <w:tc>
          <w:tcPr>
            <w:tcW w:w="0" w:type="auto"/>
            <w:gridSpan w:val="3"/>
            <w:shd w:val="clear" w:color="auto" w:fill="auto"/>
            <w:vAlign w:val="bottom"/>
          </w:tcPr>
          <w:p w14:paraId="392CB07B" w14:textId="77777777" w:rsidR="00980E5F" w:rsidRDefault="00980E5F">
            <w:pPr>
              <w:rPr>
                <w:rFonts w:ascii="宋体"/>
                <w:vanish/>
              </w:rPr>
            </w:pPr>
          </w:p>
        </w:tc>
        <w:tc>
          <w:tcPr>
            <w:tcW w:w="0" w:type="auto"/>
            <w:gridSpan w:val="3"/>
            <w:shd w:val="clear" w:color="auto" w:fill="auto"/>
            <w:vAlign w:val="bottom"/>
          </w:tcPr>
          <w:p w14:paraId="392CB07C" w14:textId="77777777" w:rsidR="00980E5F" w:rsidRDefault="00980E5F">
            <w:pPr>
              <w:rPr>
                <w:rFonts w:ascii="宋体"/>
                <w:vanish/>
              </w:rPr>
            </w:pPr>
          </w:p>
        </w:tc>
        <w:tc>
          <w:tcPr>
            <w:tcW w:w="0" w:type="auto"/>
            <w:gridSpan w:val="3"/>
            <w:shd w:val="clear" w:color="auto" w:fill="auto"/>
            <w:vAlign w:val="bottom"/>
          </w:tcPr>
          <w:p w14:paraId="392CB07D" w14:textId="77777777" w:rsidR="00980E5F" w:rsidRDefault="00980E5F">
            <w:pPr>
              <w:rPr>
                <w:rFonts w:ascii="宋体"/>
                <w:vanish/>
              </w:rPr>
            </w:pPr>
          </w:p>
        </w:tc>
        <w:tc>
          <w:tcPr>
            <w:tcW w:w="0" w:type="auto"/>
            <w:gridSpan w:val="3"/>
            <w:shd w:val="clear" w:color="auto" w:fill="auto"/>
            <w:vAlign w:val="bottom"/>
          </w:tcPr>
          <w:p w14:paraId="392CB07E" w14:textId="77777777" w:rsidR="00980E5F" w:rsidRDefault="00980E5F">
            <w:pPr>
              <w:rPr>
                <w:rFonts w:ascii="宋体"/>
                <w:vanish/>
              </w:rPr>
            </w:pPr>
          </w:p>
        </w:tc>
        <w:tc>
          <w:tcPr>
            <w:tcW w:w="0" w:type="auto"/>
            <w:gridSpan w:val="3"/>
            <w:shd w:val="clear" w:color="auto" w:fill="auto"/>
            <w:vAlign w:val="bottom"/>
          </w:tcPr>
          <w:p w14:paraId="392CB07F" w14:textId="77777777" w:rsidR="00980E5F" w:rsidRDefault="00980E5F">
            <w:pPr>
              <w:rPr>
                <w:rFonts w:ascii="宋体"/>
                <w:vanish/>
              </w:rPr>
            </w:pPr>
          </w:p>
        </w:tc>
        <w:tc>
          <w:tcPr>
            <w:tcW w:w="0" w:type="auto"/>
            <w:gridSpan w:val="3"/>
            <w:shd w:val="clear" w:color="auto" w:fill="auto"/>
            <w:vAlign w:val="bottom"/>
          </w:tcPr>
          <w:p w14:paraId="392CB080" w14:textId="77777777" w:rsidR="00980E5F" w:rsidRDefault="00980E5F">
            <w:pPr>
              <w:rPr>
                <w:rFonts w:ascii="宋体"/>
                <w:vanish/>
              </w:rPr>
            </w:pPr>
          </w:p>
        </w:tc>
        <w:tc>
          <w:tcPr>
            <w:tcW w:w="0" w:type="auto"/>
            <w:gridSpan w:val="3"/>
            <w:shd w:val="clear" w:color="auto" w:fill="auto"/>
            <w:vAlign w:val="bottom"/>
          </w:tcPr>
          <w:p w14:paraId="392CB081" w14:textId="77777777" w:rsidR="00980E5F" w:rsidRDefault="00980E5F">
            <w:pPr>
              <w:rPr>
                <w:rFonts w:ascii="宋体"/>
                <w:vanish/>
              </w:rPr>
            </w:pPr>
          </w:p>
        </w:tc>
        <w:tc>
          <w:tcPr>
            <w:tcW w:w="0" w:type="auto"/>
            <w:gridSpan w:val="3"/>
            <w:shd w:val="clear" w:color="auto" w:fill="auto"/>
            <w:vAlign w:val="bottom"/>
          </w:tcPr>
          <w:p w14:paraId="392CB082" w14:textId="77777777" w:rsidR="00980E5F" w:rsidRDefault="00980E5F">
            <w:pPr>
              <w:rPr>
                <w:rFonts w:ascii="宋体"/>
                <w:vanish/>
              </w:rPr>
            </w:pPr>
          </w:p>
        </w:tc>
        <w:tc>
          <w:tcPr>
            <w:tcW w:w="0" w:type="auto"/>
            <w:gridSpan w:val="3"/>
            <w:shd w:val="clear" w:color="auto" w:fill="auto"/>
            <w:vAlign w:val="bottom"/>
          </w:tcPr>
          <w:p w14:paraId="392CB083" w14:textId="77777777" w:rsidR="00980E5F" w:rsidRDefault="00980E5F">
            <w:pPr>
              <w:rPr>
                <w:rFonts w:ascii="宋体"/>
                <w:vanish/>
              </w:rPr>
            </w:pPr>
          </w:p>
        </w:tc>
        <w:tc>
          <w:tcPr>
            <w:tcW w:w="0" w:type="auto"/>
            <w:gridSpan w:val="3"/>
            <w:shd w:val="clear" w:color="auto" w:fill="auto"/>
            <w:vAlign w:val="bottom"/>
          </w:tcPr>
          <w:p w14:paraId="392CB084" w14:textId="77777777" w:rsidR="00980E5F" w:rsidRDefault="00980E5F">
            <w:pPr>
              <w:rPr>
                <w:rFonts w:ascii="宋体"/>
                <w:vanish/>
              </w:rPr>
            </w:pPr>
          </w:p>
        </w:tc>
        <w:tc>
          <w:tcPr>
            <w:tcW w:w="0" w:type="auto"/>
            <w:gridSpan w:val="3"/>
            <w:shd w:val="clear" w:color="auto" w:fill="auto"/>
            <w:vAlign w:val="bottom"/>
          </w:tcPr>
          <w:p w14:paraId="392CB085" w14:textId="77777777" w:rsidR="00980E5F" w:rsidRDefault="00980E5F">
            <w:pPr>
              <w:rPr>
                <w:rFonts w:ascii="宋体"/>
                <w:vanish/>
              </w:rPr>
            </w:pPr>
          </w:p>
        </w:tc>
        <w:tc>
          <w:tcPr>
            <w:tcW w:w="0" w:type="auto"/>
            <w:gridSpan w:val="3"/>
            <w:shd w:val="clear" w:color="auto" w:fill="auto"/>
            <w:vAlign w:val="bottom"/>
          </w:tcPr>
          <w:p w14:paraId="392CB086" w14:textId="77777777" w:rsidR="00980E5F" w:rsidRDefault="00980E5F">
            <w:pPr>
              <w:rPr>
                <w:rFonts w:ascii="宋体"/>
                <w:vanish/>
              </w:rPr>
            </w:pPr>
          </w:p>
        </w:tc>
        <w:tc>
          <w:tcPr>
            <w:tcW w:w="0" w:type="auto"/>
            <w:gridSpan w:val="3"/>
            <w:shd w:val="clear" w:color="auto" w:fill="auto"/>
            <w:vAlign w:val="bottom"/>
          </w:tcPr>
          <w:p w14:paraId="392CB087" w14:textId="77777777" w:rsidR="00980E5F" w:rsidRDefault="00980E5F">
            <w:pPr>
              <w:rPr>
                <w:rFonts w:ascii="宋体"/>
                <w:vanish/>
              </w:rPr>
            </w:pPr>
          </w:p>
        </w:tc>
        <w:tc>
          <w:tcPr>
            <w:tcW w:w="0" w:type="auto"/>
            <w:gridSpan w:val="3"/>
            <w:shd w:val="clear" w:color="auto" w:fill="auto"/>
            <w:vAlign w:val="bottom"/>
          </w:tcPr>
          <w:p w14:paraId="392CB088" w14:textId="77777777" w:rsidR="00980E5F" w:rsidRDefault="00980E5F">
            <w:pPr>
              <w:rPr>
                <w:rFonts w:ascii="宋体"/>
                <w:vanish/>
              </w:rPr>
            </w:pPr>
          </w:p>
        </w:tc>
        <w:tc>
          <w:tcPr>
            <w:tcW w:w="0" w:type="auto"/>
            <w:gridSpan w:val="3"/>
            <w:shd w:val="clear" w:color="auto" w:fill="auto"/>
            <w:vAlign w:val="bottom"/>
          </w:tcPr>
          <w:p w14:paraId="392CB089" w14:textId="77777777" w:rsidR="00980E5F" w:rsidRDefault="00980E5F">
            <w:pPr>
              <w:rPr>
                <w:rFonts w:ascii="宋体"/>
                <w:vanish/>
              </w:rPr>
            </w:pPr>
          </w:p>
        </w:tc>
      </w:tr>
      <w:tr w:rsidR="00980E5F" w14:paraId="392CB09F" w14:textId="77777777">
        <w:trPr>
          <w:hidden/>
        </w:trPr>
        <w:tc>
          <w:tcPr>
            <w:tcW w:w="0" w:type="auto"/>
            <w:gridSpan w:val="3"/>
            <w:shd w:val="clear" w:color="auto" w:fill="auto"/>
            <w:vAlign w:val="bottom"/>
          </w:tcPr>
          <w:p w14:paraId="392CB08B" w14:textId="77777777" w:rsidR="00980E5F" w:rsidRDefault="00980E5F">
            <w:pPr>
              <w:rPr>
                <w:rFonts w:ascii="宋体"/>
                <w:vanish/>
              </w:rPr>
            </w:pPr>
          </w:p>
        </w:tc>
        <w:tc>
          <w:tcPr>
            <w:tcW w:w="0" w:type="auto"/>
            <w:gridSpan w:val="3"/>
            <w:shd w:val="clear" w:color="auto" w:fill="auto"/>
            <w:vAlign w:val="bottom"/>
          </w:tcPr>
          <w:p w14:paraId="392CB08C" w14:textId="77777777" w:rsidR="00980E5F" w:rsidRDefault="00980E5F">
            <w:pPr>
              <w:rPr>
                <w:rFonts w:ascii="宋体"/>
                <w:vanish/>
              </w:rPr>
            </w:pPr>
          </w:p>
        </w:tc>
        <w:tc>
          <w:tcPr>
            <w:tcW w:w="0" w:type="auto"/>
            <w:gridSpan w:val="3"/>
            <w:shd w:val="clear" w:color="auto" w:fill="auto"/>
            <w:vAlign w:val="bottom"/>
          </w:tcPr>
          <w:p w14:paraId="392CB08D" w14:textId="77777777" w:rsidR="00980E5F" w:rsidRDefault="00980E5F">
            <w:pPr>
              <w:rPr>
                <w:rFonts w:ascii="宋体"/>
                <w:vanish/>
              </w:rPr>
            </w:pPr>
          </w:p>
        </w:tc>
        <w:tc>
          <w:tcPr>
            <w:tcW w:w="0" w:type="auto"/>
            <w:gridSpan w:val="3"/>
            <w:shd w:val="clear" w:color="auto" w:fill="auto"/>
            <w:vAlign w:val="bottom"/>
          </w:tcPr>
          <w:p w14:paraId="392CB08E" w14:textId="77777777" w:rsidR="00980E5F" w:rsidRDefault="00980E5F">
            <w:pPr>
              <w:rPr>
                <w:rFonts w:ascii="宋体"/>
                <w:vanish/>
              </w:rPr>
            </w:pPr>
          </w:p>
        </w:tc>
        <w:tc>
          <w:tcPr>
            <w:tcW w:w="0" w:type="auto"/>
            <w:gridSpan w:val="3"/>
            <w:shd w:val="clear" w:color="auto" w:fill="auto"/>
            <w:vAlign w:val="bottom"/>
          </w:tcPr>
          <w:p w14:paraId="392CB08F" w14:textId="77777777" w:rsidR="00980E5F" w:rsidRDefault="00980E5F">
            <w:pPr>
              <w:rPr>
                <w:rFonts w:ascii="宋体"/>
                <w:vanish/>
              </w:rPr>
            </w:pPr>
          </w:p>
        </w:tc>
        <w:tc>
          <w:tcPr>
            <w:tcW w:w="0" w:type="auto"/>
            <w:gridSpan w:val="3"/>
            <w:shd w:val="clear" w:color="auto" w:fill="auto"/>
            <w:vAlign w:val="bottom"/>
          </w:tcPr>
          <w:p w14:paraId="392CB090" w14:textId="77777777" w:rsidR="00980E5F" w:rsidRDefault="00980E5F">
            <w:pPr>
              <w:rPr>
                <w:rFonts w:ascii="宋体"/>
                <w:vanish/>
              </w:rPr>
            </w:pPr>
          </w:p>
        </w:tc>
        <w:tc>
          <w:tcPr>
            <w:tcW w:w="0" w:type="auto"/>
            <w:gridSpan w:val="3"/>
            <w:shd w:val="clear" w:color="auto" w:fill="auto"/>
            <w:vAlign w:val="bottom"/>
          </w:tcPr>
          <w:p w14:paraId="392CB091" w14:textId="77777777" w:rsidR="00980E5F" w:rsidRDefault="00980E5F">
            <w:pPr>
              <w:rPr>
                <w:rFonts w:ascii="宋体"/>
                <w:vanish/>
              </w:rPr>
            </w:pPr>
          </w:p>
        </w:tc>
        <w:tc>
          <w:tcPr>
            <w:tcW w:w="0" w:type="auto"/>
            <w:gridSpan w:val="3"/>
            <w:shd w:val="clear" w:color="auto" w:fill="auto"/>
            <w:vAlign w:val="bottom"/>
          </w:tcPr>
          <w:p w14:paraId="392CB092" w14:textId="77777777" w:rsidR="00980E5F" w:rsidRDefault="00980E5F">
            <w:pPr>
              <w:rPr>
                <w:rFonts w:ascii="宋体"/>
                <w:vanish/>
              </w:rPr>
            </w:pPr>
          </w:p>
        </w:tc>
        <w:tc>
          <w:tcPr>
            <w:tcW w:w="0" w:type="auto"/>
            <w:gridSpan w:val="3"/>
            <w:shd w:val="clear" w:color="auto" w:fill="auto"/>
            <w:vAlign w:val="bottom"/>
          </w:tcPr>
          <w:p w14:paraId="392CB093" w14:textId="77777777" w:rsidR="00980E5F" w:rsidRDefault="00980E5F">
            <w:pPr>
              <w:rPr>
                <w:rFonts w:ascii="宋体"/>
                <w:vanish/>
              </w:rPr>
            </w:pPr>
          </w:p>
        </w:tc>
        <w:tc>
          <w:tcPr>
            <w:tcW w:w="0" w:type="auto"/>
            <w:gridSpan w:val="3"/>
            <w:shd w:val="clear" w:color="auto" w:fill="auto"/>
            <w:vAlign w:val="bottom"/>
          </w:tcPr>
          <w:p w14:paraId="392CB094" w14:textId="77777777" w:rsidR="00980E5F" w:rsidRDefault="00980E5F">
            <w:pPr>
              <w:rPr>
                <w:rFonts w:ascii="宋体"/>
                <w:vanish/>
              </w:rPr>
            </w:pPr>
          </w:p>
        </w:tc>
        <w:tc>
          <w:tcPr>
            <w:tcW w:w="0" w:type="auto"/>
            <w:gridSpan w:val="3"/>
            <w:shd w:val="clear" w:color="auto" w:fill="auto"/>
            <w:vAlign w:val="bottom"/>
          </w:tcPr>
          <w:p w14:paraId="392CB095" w14:textId="77777777" w:rsidR="00980E5F" w:rsidRDefault="00980E5F">
            <w:pPr>
              <w:rPr>
                <w:rFonts w:ascii="宋体"/>
                <w:vanish/>
              </w:rPr>
            </w:pPr>
          </w:p>
        </w:tc>
        <w:tc>
          <w:tcPr>
            <w:tcW w:w="0" w:type="auto"/>
            <w:gridSpan w:val="3"/>
            <w:shd w:val="clear" w:color="auto" w:fill="auto"/>
            <w:vAlign w:val="bottom"/>
          </w:tcPr>
          <w:p w14:paraId="392CB096" w14:textId="77777777" w:rsidR="00980E5F" w:rsidRDefault="00980E5F">
            <w:pPr>
              <w:rPr>
                <w:rFonts w:ascii="宋体"/>
                <w:vanish/>
              </w:rPr>
            </w:pPr>
          </w:p>
        </w:tc>
        <w:tc>
          <w:tcPr>
            <w:tcW w:w="0" w:type="auto"/>
            <w:gridSpan w:val="3"/>
            <w:shd w:val="clear" w:color="auto" w:fill="auto"/>
            <w:vAlign w:val="bottom"/>
          </w:tcPr>
          <w:p w14:paraId="392CB097" w14:textId="77777777" w:rsidR="00980E5F" w:rsidRDefault="00980E5F">
            <w:pPr>
              <w:rPr>
                <w:rFonts w:ascii="宋体"/>
                <w:vanish/>
              </w:rPr>
            </w:pPr>
          </w:p>
        </w:tc>
        <w:tc>
          <w:tcPr>
            <w:tcW w:w="0" w:type="auto"/>
            <w:gridSpan w:val="3"/>
            <w:shd w:val="clear" w:color="auto" w:fill="auto"/>
            <w:vAlign w:val="bottom"/>
          </w:tcPr>
          <w:p w14:paraId="392CB098" w14:textId="77777777" w:rsidR="00980E5F" w:rsidRDefault="00980E5F">
            <w:pPr>
              <w:rPr>
                <w:rFonts w:ascii="宋体"/>
                <w:vanish/>
              </w:rPr>
            </w:pPr>
          </w:p>
        </w:tc>
        <w:tc>
          <w:tcPr>
            <w:tcW w:w="0" w:type="auto"/>
            <w:gridSpan w:val="3"/>
            <w:shd w:val="clear" w:color="auto" w:fill="auto"/>
            <w:vAlign w:val="bottom"/>
          </w:tcPr>
          <w:p w14:paraId="392CB099" w14:textId="77777777" w:rsidR="00980E5F" w:rsidRDefault="00980E5F">
            <w:pPr>
              <w:rPr>
                <w:rFonts w:ascii="宋体"/>
                <w:vanish/>
              </w:rPr>
            </w:pPr>
          </w:p>
        </w:tc>
        <w:tc>
          <w:tcPr>
            <w:tcW w:w="0" w:type="auto"/>
            <w:gridSpan w:val="3"/>
            <w:shd w:val="clear" w:color="auto" w:fill="auto"/>
            <w:vAlign w:val="bottom"/>
          </w:tcPr>
          <w:p w14:paraId="392CB09A" w14:textId="77777777" w:rsidR="00980E5F" w:rsidRDefault="00980E5F">
            <w:pPr>
              <w:rPr>
                <w:rFonts w:ascii="宋体"/>
                <w:vanish/>
              </w:rPr>
            </w:pPr>
          </w:p>
        </w:tc>
        <w:tc>
          <w:tcPr>
            <w:tcW w:w="0" w:type="auto"/>
            <w:gridSpan w:val="3"/>
            <w:shd w:val="clear" w:color="auto" w:fill="auto"/>
            <w:vAlign w:val="bottom"/>
          </w:tcPr>
          <w:p w14:paraId="392CB09B" w14:textId="77777777" w:rsidR="00980E5F" w:rsidRDefault="00980E5F">
            <w:pPr>
              <w:rPr>
                <w:rFonts w:ascii="宋体"/>
                <w:vanish/>
              </w:rPr>
            </w:pPr>
          </w:p>
        </w:tc>
        <w:tc>
          <w:tcPr>
            <w:tcW w:w="0" w:type="auto"/>
            <w:gridSpan w:val="3"/>
            <w:shd w:val="clear" w:color="auto" w:fill="auto"/>
            <w:vAlign w:val="bottom"/>
          </w:tcPr>
          <w:p w14:paraId="392CB09C" w14:textId="77777777" w:rsidR="00980E5F" w:rsidRDefault="00980E5F">
            <w:pPr>
              <w:rPr>
                <w:rFonts w:ascii="宋体"/>
                <w:vanish/>
              </w:rPr>
            </w:pPr>
          </w:p>
        </w:tc>
        <w:tc>
          <w:tcPr>
            <w:tcW w:w="0" w:type="auto"/>
            <w:gridSpan w:val="3"/>
            <w:shd w:val="clear" w:color="auto" w:fill="auto"/>
            <w:vAlign w:val="bottom"/>
          </w:tcPr>
          <w:p w14:paraId="392CB09D" w14:textId="77777777" w:rsidR="00980E5F" w:rsidRDefault="00980E5F">
            <w:pPr>
              <w:rPr>
                <w:rFonts w:ascii="宋体"/>
                <w:vanish/>
              </w:rPr>
            </w:pPr>
          </w:p>
        </w:tc>
        <w:tc>
          <w:tcPr>
            <w:tcW w:w="0" w:type="auto"/>
            <w:gridSpan w:val="3"/>
            <w:shd w:val="clear" w:color="auto" w:fill="auto"/>
            <w:vAlign w:val="bottom"/>
          </w:tcPr>
          <w:p w14:paraId="392CB09E" w14:textId="77777777" w:rsidR="00980E5F" w:rsidRDefault="00980E5F">
            <w:pPr>
              <w:rPr>
                <w:rFonts w:ascii="宋体"/>
                <w:vanish/>
              </w:rPr>
            </w:pPr>
          </w:p>
        </w:tc>
      </w:tr>
      <w:tr w:rsidR="00980E5F" w14:paraId="392CB0B4" w14:textId="77777777">
        <w:trPr>
          <w:hidden/>
        </w:trPr>
        <w:tc>
          <w:tcPr>
            <w:tcW w:w="0" w:type="auto"/>
            <w:gridSpan w:val="3"/>
            <w:shd w:val="clear" w:color="auto" w:fill="auto"/>
            <w:vAlign w:val="bottom"/>
          </w:tcPr>
          <w:p w14:paraId="392CB0A0" w14:textId="77777777" w:rsidR="00980E5F" w:rsidRDefault="00980E5F">
            <w:pPr>
              <w:rPr>
                <w:rFonts w:ascii="宋体"/>
                <w:vanish/>
              </w:rPr>
            </w:pPr>
          </w:p>
        </w:tc>
        <w:tc>
          <w:tcPr>
            <w:tcW w:w="0" w:type="auto"/>
            <w:gridSpan w:val="3"/>
            <w:shd w:val="clear" w:color="auto" w:fill="auto"/>
            <w:vAlign w:val="bottom"/>
          </w:tcPr>
          <w:p w14:paraId="392CB0A1" w14:textId="77777777" w:rsidR="00980E5F" w:rsidRDefault="00980E5F">
            <w:pPr>
              <w:rPr>
                <w:rFonts w:ascii="宋体"/>
                <w:vanish/>
              </w:rPr>
            </w:pPr>
          </w:p>
        </w:tc>
        <w:tc>
          <w:tcPr>
            <w:tcW w:w="0" w:type="auto"/>
            <w:gridSpan w:val="3"/>
            <w:shd w:val="clear" w:color="auto" w:fill="auto"/>
            <w:vAlign w:val="bottom"/>
          </w:tcPr>
          <w:p w14:paraId="392CB0A2" w14:textId="77777777" w:rsidR="00980E5F" w:rsidRDefault="00980E5F">
            <w:pPr>
              <w:rPr>
                <w:rFonts w:ascii="宋体"/>
                <w:vanish/>
              </w:rPr>
            </w:pPr>
          </w:p>
        </w:tc>
        <w:tc>
          <w:tcPr>
            <w:tcW w:w="0" w:type="auto"/>
            <w:gridSpan w:val="3"/>
            <w:shd w:val="clear" w:color="auto" w:fill="auto"/>
            <w:vAlign w:val="bottom"/>
          </w:tcPr>
          <w:p w14:paraId="392CB0A3" w14:textId="77777777" w:rsidR="00980E5F" w:rsidRDefault="00980E5F">
            <w:pPr>
              <w:rPr>
                <w:rFonts w:ascii="宋体"/>
                <w:vanish/>
              </w:rPr>
            </w:pPr>
          </w:p>
        </w:tc>
        <w:tc>
          <w:tcPr>
            <w:tcW w:w="0" w:type="auto"/>
            <w:gridSpan w:val="3"/>
            <w:shd w:val="clear" w:color="auto" w:fill="auto"/>
            <w:vAlign w:val="bottom"/>
          </w:tcPr>
          <w:p w14:paraId="392CB0A4" w14:textId="77777777" w:rsidR="00980E5F" w:rsidRDefault="00980E5F">
            <w:pPr>
              <w:rPr>
                <w:rFonts w:ascii="宋体"/>
                <w:vanish/>
              </w:rPr>
            </w:pPr>
          </w:p>
        </w:tc>
        <w:tc>
          <w:tcPr>
            <w:tcW w:w="0" w:type="auto"/>
            <w:gridSpan w:val="3"/>
            <w:shd w:val="clear" w:color="auto" w:fill="auto"/>
            <w:vAlign w:val="bottom"/>
          </w:tcPr>
          <w:p w14:paraId="392CB0A5" w14:textId="77777777" w:rsidR="00980E5F" w:rsidRDefault="00980E5F">
            <w:pPr>
              <w:rPr>
                <w:rFonts w:ascii="宋体"/>
                <w:vanish/>
              </w:rPr>
            </w:pPr>
          </w:p>
        </w:tc>
        <w:tc>
          <w:tcPr>
            <w:tcW w:w="0" w:type="auto"/>
            <w:gridSpan w:val="3"/>
            <w:shd w:val="clear" w:color="auto" w:fill="auto"/>
            <w:vAlign w:val="bottom"/>
          </w:tcPr>
          <w:p w14:paraId="392CB0A6" w14:textId="77777777" w:rsidR="00980E5F" w:rsidRDefault="00980E5F">
            <w:pPr>
              <w:rPr>
                <w:rFonts w:ascii="宋体"/>
                <w:vanish/>
              </w:rPr>
            </w:pPr>
          </w:p>
        </w:tc>
        <w:tc>
          <w:tcPr>
            <w:tcW w:w="0" w:type="auto"/>
            <w:gridSpan w:val="3"/>
            <w:shd w:val="clear" w:color="auto" w:fill="auto"/>
            <w:vAlign w:val="bottom"/>
          </w:tcPr>
          <w:p w14:paraId="392CB0A7" w14:textId="77777777" w:rsidR="00980E5F" w:rsidRDefault="00980E5F">
            <w:pPr>
              <w:rPr>
                <w:rFonts w:ascii="宋体"/>
                <w:vanish/>
              </w:rPr>
            </w:pPr>
          </w:p>
        </w:tc>
        <w:tc>
          <w:tcPr>
            <w:tcW w:w="0" w:type="auto"/>
            <w:gridSpan w:val="3"/>
            <w:shd w:val="clear" w:color="auto" w:fill="auto"/>
            <w:vAlign w:val="bottom"/>
          </w:tcPr>
          <w:p w14:paraId="392CB0A8" w14:textId="77777777" w:rsidR="00980E5F" w:rsidRDefault="00980E5F">
            <w:pPr>
              <w:rPr>
                <w:rFonts w:ascii="宋体"/>
                <w:vanish/>
              </w:rPr>
            </w:pPr>
          </w:p>
        </w:tc>
        <w:tc>
          <w:tcPr>
            <w:tcW w:w="0" w:type="auto"/>
            <w:gridSpan w:val="3"/>
            <w:shd w:val="clear" w:color="auto" w:fill="auto"/>
            <w:vAlign w:val="bottom"/>
          </w:tcPr>
          <w:p w14:paraId="392CB0A9" w14:textId="77777777" w:rsidR="00980E5F" w:rsidRDefault="00980E5F">
            <w:pPr>
              <w:rPr>
                <w:rFonts w:ascii="宋体"/>
                <w:vanish/>
              </w:rPr>
            </w:pPr>
          </w:p>
        </w:tc>
        <w:tc>
          <w:tcPr>
            <w:tcW w:w="0" w:type="auto"/>
            <w:gridSpan w:val="3"/>
            <w:shd w:val="clear" w:color="auto" w:fill="auto"/>
            <w:vAlign w:val="bottom"/>
          </w:tcPr>
          <w:p w14:paraId="392CB0AA" w14:textId="77777777" w:rsidR="00980E5F" w:rsidRDefault="00980E5F">
            <w:pPr>
              <w:rPr>
                <w:rFonts w:ascii="宋体"/>
                <w:vanish/>
              </w:rPr>
            </w:pPr>
          </w:p>
        </w:tc>
        <w:tc>
          <w:tcPr>
            <w:tcW w:w="0" w:type="auto"/>
            <w:gridSpan w:val="3"/>
            <w:shd w:val="clear" w:color="auto" w:fill="auto"/>
            <w:vAlign w:val="bottom"/>
          </w:tcPr>
          <w:p w14:paraId="392CB0AB" w14:textId="77777777" w:rsidR="00980E5F" w:rsidRDefault="00980E5F">
            <w:pPr>
              <w:rPr>
                <w:rFonts w:ascii="宋体"/>
                <w:vanish/>
              </w:rPr>
            </w:pPr>
          </w:p>
        </w:tc>
        <w:tc>
          <w:tcPr>
            <w:tcW w:w="0" w:type="auto"/>
            <w:gridSpan w:val="3"/>
            <w:shd w:val="clear" w:color="auto" w:fill="auto"/>
            <w:vAlign w:val="bottom"/>
          </w:tcPr>
          <w:p w14:paraId="392CB0AC" w14:textId="77777777" w:rsidR="00980E5F" w:rsidRDefault="00980E5F">
            <w:pPr>
              <w:rPr>
                <w:rFonts w:ascii="宋体"/>
                <w:vanish/>
              </w:rPr>
            </w:pPr>
          </w:p>
        </w:tc>
        <w:tc>
          <w:tcPr>
            <w:tcW w:w="0" w:type="auto"/>
            <w:gridSpan w:val="3"/>
            <w:shd w:val="clear" w:color="auto" w:fill="auto"/>
            <w:vAlign w:val="bottom"/>
          </w:tcPr>
          <w:p w14:paraId="392CB0AD" w14:textId="77777777" w:rsidR="00980E5F" w:rsidRDefault="00980E5F">
            <w:pPr>
              <w:rPr>
                <w:rFonts w:ascii="宋体"/>
                <w:vanish/>
              </w:rPr>
            </w:pPr>
          </w:p>
        </w:tc>
        <w:tc>
          <w:tcPr>
            <w:tcW w:w="0" w:type="auto"/>
            <w:gridSpan w:val="3"/>
            <w:shd w:val="clear" w:color="auto" w:fill="auto"/>
            <w:vAlign w:val="bottom"/>
          </w:tcPr>
          <w:p w14:paraId="392CB0AE" w14:textId="77777777" w:rsidR="00980E5F" w:rsidRDefault="00980E5F">
            <w:pPr>
              <w:rPr>
                <w:rFonts w:ascii="宋体"/>
                <w:vanish/>
              </w:rPr>
            </w:pPr>
          </w:p>
        </w:tc>
        <w:tc>
          <w:tcPr>
            <w:tcW w:w="0" w:type="auto"/>
            <w:gridSpan w:val="3"/>
            <w:shd w:val="clear" w:color="auto" w:fill="auto"/>
            <w:vAlign w:val="bottom"/>
          </w:tcPr>
          <w:p w14:paraId="392CB0AF" w14:textId="77777777" w:rsidR="00980E5F" w:rsidRDefault="00980E5F">
            <w:pPr>
              <w:rPr>
                <w:rFonts w:ascii="宋体"/>
                <w:vanish/>
              </w:rPr>
            </w:pPr>
          </w:p>
        </w:tc>
        <w:tc>
          <w:tcPr>
            <w:tcW w:w="0" w:type="auto"/>
            <w:gridSpan w:val="3"/>
            <w:shd w:val="clear" w:color="auto" w:fill="auto"/>
            <w:vAlign w:val="bottom"/>
          </w:tcPr>
          <w:p w14:paraId="392CB0B0" w14:textId="77777777" w:rsidR="00980E5F" w:rsidRDefault="00980E5F">
            <w:pPr>
              <w:rPr>
                <w:rFonts w:ascii="宋体"/>
                <w:vanish/>
              </w:rPr>
            </w:pPr>
          </w:p>
        </w:tc>
        <w:tc>
          <w:tcPr>
            <w:tcW w:w="0" w:type="auto"/>
            <w:gridSpan w:val="3"/>
            <w:shd w:val="clear" w:color="auto" w:fill="auto"/>
            <w:vAlign w:val="bottom"/>
          </w:tcPr>
          <w:p w14:paraId="392CB0B1" w14:textId="77777777" w:rsidR="00980E5F" w:rsidRDefault="00980E5F">
            <w:pPr>
              <w:rPr>
                <w:rFonts w:ascii="宋体"/>
                <w:vanish/>
              </w:rPr>
            </w:pPr>
          </w:p>
        </w:tc>
        <w:tc>
          <w:tcPr>
            <w:tcW w:w="0" w:type="auto"/>
            <w:gridSpan w:val="3"/>
            <w:shd w:val="clear" w:color="auto" w:fill="auto"/>
            <w:vAlign w:val="bottom"/>
          </w:tcPr>
          <w:p w14:paraId="392CB0B2" w14:textId="77777777" w:rsidR="00980E5F" w:rsidRDefault="00980E5F">
            <w:pPr>
              <w:rPr>
                <w:rFonts w:ascii="宋体"/>
                <w:vanish/>
              </w:rPr>
            </w:pPr>
          </w:p>
        </w:tc>
        <w:tc>
          <w:tcPr>
            <w:tcW w:w="0" w:type="auto"/>
            <w:gridSpan w:val="3"/>
            <w:shd w:val="clear" w:color="auto" w:fill="auto"/>
            <w:vAlign w:val="bottom"/>
          </w:tcPr>
          <w:p w14:paraId="392CB0B3" w14:textId="77777777" w:rsidR="00980E5F" w:rsidRDefault="00980E5F">
            <w:pPr>
              <w:rPr>
                <w:rFonts w:ascii="宋体"/>
                <w:vanish/>
              </w:rPr>
            </w:pPr>
          </w:p>
        </w:tc>
      </w:tr>
      <w:tr w:rsidR="00980E5F" w14:paraId="392CB0C9" w14:textId="77777777">
        <w:trPr>
          <w:hidden/>
        </w:trPr>
        <w:tc>
          <w:tcPr>
            <w:tcW w:w="0" w:type="auto"/>
            <w:gridSpan w:val="3"/>
            <w:shd w:val="clear" w:color="auto" w:fill="auto"/>
            <w:vAlign w:val="bottom"/>
          </w:tcPr>
          <w:p w14:paraId="392CB0B5" w14:textId="77777777" w:rsidR="00980E5F" w:rsidRDefault="00980E5F">
            <w:pPr>
              <w:rPr>
                <w:rFonts w:ascii="宋体"/>
                <w:vanish/>
              </w:rPr>
            </w:pPr>
          </w:p>
        </w:tc>
        <w:tc>
          <w:tcPr>
            <w:tcW w:w="0" w:type="auto"/>
            <w:gridSpan w:val="3"/>
            <w:shd w:val="clear" w:color="auto" w:fill="auto"/>
            <w:vAlign w:val="bottom"/>
          </w:tcPr>
          <w:p w14:paraId="392CB0B6" w14:textId="77777777" w:rsidR="00980E5F" w:rsidRDefault="00980E5F">
            <w:pPr>
              <w:rPr>
                <w:rFonts w:ascii="宋体"/>
                <w:vanish/>
              </w:rPr>
            </w:pPr>
          </w:p>
        </w:tc>
        <w:tc>
          <w:tcPr>
            <w:tcW w:w="0" w:type="auto"/>
            <w:gridSpan w:val="3"/>
            <w:shd w:val="clear" w:color="auto" w:fill="auto"/>
            <w:vAlign w:val="bottom"/>
          </w:tcPr>
          <w:p w14:paraId="392CB0B7" w14:textId="77777777" w:rsidR="00980E5F" w:rsidRDefault="00980E5F">
            <w:pPr>
              <w:rPr>
                <w:rFonts w:ascii="宋体"/>
                <w:vanish/>
              </w:rPr>
            </w:pPr>
          </w:p>
        </w:tc>
        <w:tc>
          <w:tcPr>
            <w:tcW w:w="0" w:type="auto"/>
            <w:gridSpan w:val="3"/>
            <w:shd w:val="clear" w:color="auto" w:fill="auto"/>
            <w:vAlign w:val="bottom"/>
          </w:tcPr>
          <w:p w14:paraId="392CB0B8" w14:textId="77777777" w:rsidR="00980E5F" w:rsidRDefault="00980E5F">
            <w:pPr>
              <w:rPr>
                <w:rFonts w:ascii="宋体"/>
                <w:vanish/>
              </w:rPr>
            </w:pPr>
          </w:p>
        </w:tc>
        <w:tc>
          <w:tcPr>
            <w:tcW w:w="0" w:type="auto"/>
            <w:gridSpan w:val="3"/>
            <w:shd w:val="clear" w:color="auto" w:fill="auto"/>
            <w:vAlign w:val="bottom"/>
          </w:tcPr>
          <w:p w14:paraId="392CB0B9" w14:textId="77777777" w:rsidR="00980E5F" w:rsidRDefault="00980E5F">
            <w:pPr>
              <w:rPr>
                <w:rFonts w:ascii="宋体"/>
                <w:vanish/>
              </w:rPr>
            </w:pPr>
          </w:p>
        </w:tc>
        <w:tc>
          <w:tcPr>
            <w:tcW w:w="0" w:type="auto"/>
            <w:gridSpan w:val="3"/>
            <w:shd w:val="clear" w:color="auto" w:fill="auto"/>
            <w:vAlign w:val="bottom"/>
          </w:tcPr>
          <w:p w14:paraId="392CB0BA" w14:textId="77777777" w:rsidR="00980E5F" w:rsidRDefault="00980E5F">
            <w:pPr>
              <w:rPr>
                <w:rFonts w:ascii="宋体"/>
                <w:vanish/>
              </w:rPr>
            </w:pPr>
          </w:p>
        </w:tc>
        <w:tc>
          <w:tcPr>
            <w:tcW w:w="0" w:type="auto"/>
            <w:gridSpan w:val="3"/>
            <w:shd w:val="clear" w:color="auto" w:fill="auto"/>
            <w:vAlign w:val="bottom"/>
          </w:tcPr>
          <w:p w14:paraId="392CB0BB" w14:textId="77777777" w:rsidR="00980E5F" w:rsidRDefault="00980E5F">
            <w:pPr>
              <w:rPr>
                <w:rFonts w:ascii="宋体"/>
                <w:vanish/>
              </w:rPr>
            </w:pPr>
          </w:p>
        </w:tc>
        <w:tc>
          <w:tcPr>
            <w:tcW w:w="0" w:type="auto"/>
            <w:gridSpan w:val="3"/>
            <w:shd w:val="clear" w:color="auto" w:fill="auto"/>
            <w:vAlign w:val="bottom"/>
          </w:tcPr>
          <w:p w14:paraId="392CB0BC" w14:textId="77777777" w:rsidR="00980E5F" w:rsidRDefault="00980E5F">
            <w:pPr>
              <w:rPr>
                <w:rFonts w:ascii="宋体"/>
                <w:vanish/>
              </w:rPr>
            </w:pPr>
          </w:p>
        </w:tc>
        <w:tc>
          <w:tcPr>
            <w:tcW w:w="0" w:type="auto"/>
            <w:gridSpan w:val="3"/>
            <w:shd w:val="clear" w:color="auto" w:fill="auto"/>
            <w:vAlign w:val="bottom"/>
          </w:tcPr>
          <w:p w14:paraId="392CB0BD" w14:textId="77777777" w:rsidR="00980E5F" w:rsidRDefault="00980E5F">
            <w:pPr>
              <w:rPr>
                <w:rFonts w:ascii="宋体"/>
                <w:vanish/>
              </w:rPr>
            </w:pPr>
          </w:p>
        </w:tc>
        <w:tc>
          <w:tcPr>
            <w:tcW w:w="0" w:type="auto"/>
            <w:gridSpan w:val="3"/>
            <w:shd w:val="clear" w:color="auto" w:fill="auto"/>
            <w:vAlign w:val="bottom"/>
          </w:tcPr>
          <w:p w14:paraId="392CB0BE" w14:textId="77777777" w:rsidR="00980E5F" w:rsidRDefault="00980E5F">
            <w:pPr>
              <w:rPr>
                <w:rFonts w:ascii="宋体"/>
                <w:vanish/>
              </w:rPr>
            </w:pPr>
          </w:p>
        </w:tc>
        <w:tc>
          <w:tcPr>
            <w:tcW w:w="0" w:type="auto"/>
            <w:gridSpan w:val="3"/>
            <w:shd w:val="clear" w:color="auto" w:fill="auto"/>
            <w:vAlign w:val="bottom"/>
          </w:tcPr>
          <w:p w14:paraId="392CB0BF" w14:textId="77777777" w:rsidR="00980E5F" w:rsidRDefault="00980E5F">
            <w:pPr>
              <w:rPr>
                <w:rFonts w:ascii="宋体"/>
                <w:vanish/>
              </w:rPr>
            </w:pPr>
          </w:p>
        </w:tc>
        <w:tc>
          <w:tcPr>
            <w:tcW w:w="0" w:type="auto"/>
            <w:gridSpan w:val="3"/>
            <w:shd w:val="clear" w:color="auto" w:fill="auto"/>
            <w:vAlign w:val="bottom"/>
          </w:tcPr>
          <w:p w14:paraId="392CB0C0" w14:textId="77777777" w:rsidR="00980E5F" w:rsidRDefault="00980E5F">
            <w:pPr>
              <w:rPr>
                <w:rFonts w:ascii="宋体"/>
                <w:vanish/>
              </w:rPr>
            </w:pPr>
          </w:p>
        </w:tc>
        <w:tc>
          <w:tcPr>
            <w:tcW w:w="0" w:type="auto"/>
            <w:gridSpan w:val="3"/>
            <w:shd w:val="clear" w:color="auto" w:fill="auto"/>
            <w:vAlign w:val="bottom"/>
          </w:tcPr>
          <w:p w14:paraId="392CB0C1" w14:textId="77777777" w:rsidR="00980E5F" w:rsidRDefault="00980E5F">
            <w:pPr>
              <w:rPr>
                <w:rFonts w:ascii="宋体"/>
                <w:vanish/>
              </w:rPr>
            </w:pPr>
          </w:p>
        </w:tc>
        <w:tc>
          <w:tcPr>
            <w:tcW w:w="0" w:type="auto"/>
            <w:gridSpan w:val="3"/>
            <w:shd w:val="clear" w:color="auto" w:fill="auto"/>
            <w:vAlign w:val="bottom"/>
          </w:tcPr>
          <w:p w14:paraId="392CB0C2" w14:textId="77777777" w:rsidR="00980E5F" w:rsidRDefault="00980E5F">
            <w:pPr>
              <w:rPr>
                <w:rFonts w:ascii="宋体"/>
                <w:vanish/>
              </w:rPr>
            </w:pPr>
          </w:p>
        </w:tc>
        <w:tc>
          <w:tcPr>
            <w:tcW w:w="0" w:type="auto"/>
            <w:gridSpan w:val="3"/>
            <w:shd w:val="clear" w:color="auto" w:fill="auto"/>
            <w:vAlign w:val="bottom"/>
          </w:tcPr>
          <w:p w14:paraId="392CB0C3" w14:textId="77777777" w:rsidR="00980E5F" w:rsidRDefault="00980E5F">
            <w:pPr>
              <w:rPr>
                <w:rFonts w:ascii="宋体"/>
                <w:vanish/>
              </w:rPr>
            </w:pPr>
          </w:p>
        </w:tc>
        <w:tc>
          <w:tcPr>
            <w:tcW w:w="0" w:type="auto"/>
            <w:gridSpan w:val="3"/>
            <w:shd w:val="clear" w:color="auto" w:fill="auto"/>
            <w:vAlign w:val="bottom"/>
          </w:tcPr>
          <w:p w14:paraId="392CB0C4" w14:textId="77777777" w:rsidR="00980E5F" w:rsidRDefault="00980E5F">
            <w:pPr>
              <w:rPr>
                <w:rFonts w:ascii="宋体"/>
                <w:vanish/>
              </w:rPr>
            </w:pPr>
          </w:p>
        </w:tc>
        <w:tc>
          <w:tcPr>
            <w:tcW w:w="0" w:type="auto"/>
            <w:gridSpan w:val="3"/>
            <w:shd w:val="clear" w:color="auto" w:fill="auto"/>
            <w:vAlign w:val="bottom"/>
          </w:tcPr>
          <w:p w14:paraId="392CB0C5" w14:textId="77777777" w:rsidR="00980E5F" w:rsidRDefault="00980E5F">
            <w:pPr>
              <w:rPr>
                <w:rFonts w:ascii="宋体"/>
                <w:vanish/>
              </w:rPr>
            </w:pPr>
          </w:p>
        </w:tc>
        <w:tc>
          <w:tcPr>
            <w:tcW w:w="0" w:type="auto"/>
            <w:gridSpan w:val="3"/>
            <w:shd w:val="clear" w:color="auto" w:fill="auto"/>
            <w:vAlign w:val="bottom"/>
          </w:tcPr>
          <w:p w14:paraId="392CB0C6" w14:textId="77777777" w:rsidR="00980E5F" w:rsidRDefault="00980E5F">
            <w:pPr>
              <w:rPr>
                <w:rFonts w:ascii="宋体"/>
                <w:vanish/>
              </w:rPr>
            </w:pPr>
          </w:p>
        </w:tc>
        <w:tc>
          <w:tcPr>
            <w:tcW w:w="0" w:type="auto"/>
            <w:gridSpan w:val="3"/>
            <w:shd w:val="clear" w:color="auto" w:fill="auto"/>
            <w:vAlign w:val="bottom"/>
          </w:tcPr>
          <w:p w14:paraId="392CB0C7" w14:textId="77777777" w:rsidR="00980E5F" w:rsidRDefault="00980E5F">
            <w:pPr>
              <w:rPr>
                <w:rFonts w:ascii="宋体"/>
                <w:vanish/>
              </w:rPr>
            </w:pPr>
          </w:p>
        </w:tc>
        <w:tc>
          <w:tcPr>
            <w:tcW w:w="0" w:type="auto"/>
            <w:gridSpan w:val="3"/>
            <w:shd w:val="clear" w:color="auto" w:fill="auto"/>
            <w:vAlign w:val="bottom"/>
          </w:tcPr>
          <w:p w14:paraId="392CB0C8" w14:textId="77777777" w:rsidR="00980E5F" w:rsidRDefault="00980E5F">
            <w:pPr>
              <w:rPr>
                <w:rFonts w:ascii="宋体"/>
                <w:vanish/>
              </w:rPr>
            </w:pPr>
          </w:p>
        </w:tc>
      </w:tr>
      <w:tr w:rsidR="00980E5F" w14:paraId="392CB0DE" w14:textId="77777777">
        <w:trPr>
          <w:hidden/>
        </w:trPr>
        <w:tc>
          <w:tcPr>
            <w:tcW w:w="0" w:type="auto"/>
            <w:gridSpan w:val="3"/>
            <w:shd w:val="clear" w:color="auto" w:fill="auto"/>
            <w:vAlign w:val="bottom"/>
          </w:tcPr>
          <w:p w14:paraId="392CB0CA" w14:textId="77777777" w:rsidR="00980E5F" w:rsidRDefault="00980E5F">
            <w:pPr>
              <w:rPr>
                <w:rFonts w:ascii="宋体"/>
                <w:vanish/>
              </w:rPr>
            </w:pPr>
          </w:p>
        </w:tc>
        <w:tc>
          <w:tcPr>
            <w:tcW w:w="0" w:type="auto"/>
            <w:gridSpan w:val="3"/>
            <w:shd w:val="clear" w:color="auto" w:fill="auto"/>
            <w:vAlign w:val="bottom"/>
          </w:tcPr>
          <w:p w14:paraId="392CB0CB" w14:textId="77777777" w:rsidR="00980E5F" w:rsidRDefault="00980E5F">
            <w:pPr>
              <w:rPr>
                <w:rFonts w:ascii="宋体"/>
                <w:vanish/>
              </w:rPr>
            </w:pPr>
          </w:p>
        </w:tc>
        <w:tc>
          <w:tcPr>
            <w:tcW w:w="0" w:type="auto"/>
            <w:gridSpan w:val="3"/>
            <w:shd w:val="clear" w:color="auto" w:fill="auto"/>
            <w:vAlign w:val="bottom"/>
          </w:tcPr>
          <w:p w14:paraId="392CB0CC" w14:textId="77777777" w:rsidR="00980E5F" w:rsidRDefault="00980E5F">
            <w:pPr>
              <w:rPr>
                <w:rFonts w:ascii="宋体"/>
                <w:vanish/>
              </w:rPr>
            </w:pPr>
          </w:p>
        </w:tc>
        <w:tc>
          <w:tcPr>
            <w:tcW w:w="0" w:type="auto"/>
            <w:gridSpan w:val="3"/>
            <w:shd w:val="clear" w:color="auto" w:fill="auto"/>
            <w:vAlign w:val="bottom"/>
          </w:tcPr>
          <w:p w14:paraId="392CB0CD" w14:textId="77777777" w:rsidR="00980E5F" w:rsidRDefault="00980E5F">
            <w:pPr>
              <w:rPr>
                <w:rFonts w:ascii="宋体"/>
                <w:vanish/>
              </w:rPr>
            </w:pPr>
          </w:p>
        </w:tc>
        <w:tc>
          <w:tcPr>
            <w:tcW w:w="0" w:type="auto"/>
            <w:gridSpan w:val="3"/>
            <w:shd w:val="clear" w:color="auto" w:fill="auto"/>
            <w:vAlign w:val="bottom"/>
          </w:tcPr>
          <w:p w14:paraId="392CB0CE" w14:textId="77777777" w:rsidR="00980E5F" w:rsidRDefault="00980E5F">
            <w:pPr>
              <w:rPr>
                <w:rFonts w:ascii="宋体"/>
                <w:vanish/>
              </w:rPr>
            </w:pPr>
          </w:p>
        </w:tc>
        <w:tc>
          <w:tcPr>
            <w:tcW w:w="0" w:type="auto"/>
            <w:gridSpan w:val="3"/>
            <w:shd w:val="clear" w:color="auto" w:fill="auto"/>
            <w:vAlign w:val="bottom"/>
          </w:tcPr>
          <w:p w14:paraId="392CB0CF" w14:textId="77777777" w:rsidR="00980E5F" w:rsidRDefault="00980E5F">
            <w:pPr>
              <w:rPr>
                <w:rFonts w:ascii="宋体"/>
                <w:vanish/>
              </w:rPr>
            </w:pPr>
          </w:p>
        </w:tc>
        <w:tc>
          <w:tcPr>
            <w:tcW w:w="0" w:type="auto"/>
            <w:gridSpan w:val="3"/>
            <w:shd w:val="clear" w:color="auto" w:fill="auto"/>
            <w:vAlign w:val="bottom"/>
          </w:tcPr>
          <w:p w14:paraId="392CB0D0" w14:textId="77777777" w:rsidR="00980E5F" w:rsidRDefault="00980E5F">
            <w:pPr>
              <w:rPr>
                <w:rFonts w:ascii="宋体"/>
                <w:vanish/>
              </w:rPr>
            </w:pPr>
          </w:p>
        </w:tc>
        <w:tc>
          <w:tcPr>
            <w:tcW w:w="0" w:type="auto"/>
            <w:gridSpan w:val="3"/>
            <w:shd w:val="clear" w:color="auto" w:fill="auto"/>
            <w:vAlign w:val="bottom"/>
          </w:tcPr>
          <w:p w14:paraId="392CB0D1" w14:textId="77777777" w:rsidR="00980E5F" w:rsidRDefault="00980E5F">
            <w:pPr>
              <w:rPr>
                <w:rFonts w:ascii="宋体"/>
                <w:vanish/>
              </w:rPr>
            </w:pPr>
          </w:p>
        </w:tc>
        <w:tc>
          <w:tcPr>
            <w:tcW w:w="0" w:type="auto"/>
            <w:gridSpan w:val="3"/>
            <w:shd w:val="clear" w:color="auto" w:fill="auto"/>
            <w:vAlign w:val="bottom"/>
          </w:tcPr>
          <w:p w14:paraId="392CB0D2" w14:textId="77777777" w:rsidR="00980E5F" w:rsidRDefault="00980E5F">
            <w:pPr>
              <w:rPr>
                <w:rFonts w:ascii="宋体"/>
                <w:vanish/>
              </w:rPr>
            </w:pPr>
          </w:p>
        </w:tc>
        <w:tc>
          <w:tcPr>
            <w:tcW w:w="0" w:type="auto"/>
            <w:gridSpan w:val="3"/>
            <w:shd w:val="clear" w:color="auto" w:fill="auto"/>
            <w:vAlign w:val="bottom"/>
          </w:tcPr>
          <w:p w14:paraId="392CB0D3" w14:textId="77777777" w:rsidR="00980E5F" w:rsidRDefault="00980E5F">
            <w:pPr>
              <w:rPr>
                <w:rFonts w:ascii="宋体"/>
                <w:vanish/>
              </w:rPr>
            </w:pPr>
          </w:p>
        </w:tc>
        <w:tc>
          <w:tcPr>
            <w:tcW w:w="0" w:type="auto"/>
            <w:gridSpan w:val="3"/>
            <w:shd w:val="clear" w:color="auto" w:fill="auto"/>
            <w:vAlign w:val="bottom"/>
          </w:tcPr>
          <w:p w14:paraId="392CB0D4" w14:textId="77777777" w:rsidR="00980E5F" w:rsidRDefault="00980E5F">
            <w:pPr>
              <w:rPr>
                <w:rFonts w:ascii="宋体"/>
                <w:vanish/>
              </w:rPr>
            </w:pPr>
          </w:p>
        </w:tc>
        <w:tc>
          <w:tcPr>
            <w:tcW w:w="0" w:type="auto"/>
            <w:gridSpan w:val="3"/>
            <w:shd w:val="clear" w:color="auto" w:fill="auto"/>
            <w:vAlign w:val="bottom"/>
          </w:tcPr>
          <w:p w14:paraId="392CB0D5" w14:textId="77777777" w:rsidR="00980E5F" w:rsidRDefault="00980E5F">
            <w:pPr>
              <w:rPr>
                <w:rFonts w:ascii="宋体"/>
                <w:vanish/>
              </w:rPr>
            </w:pPr>
          </w:p>
        </w:tc>
        <w:tc>
          <w:tcPr>
            <w:tcW w:w="0" w:type="auto"/>
            <w:gridSpan w:val="3"/>
            <w:shd w:val="clear" w:color="auto" w:fill="auto"/>
            <w:vAlign w:val="bottom"/>
          </w:tcPr>
          <w:p w14:paraId="392CB0D6" w14:textId="77777777" w:rsidR="00980E5F" w:rsidRDefault="00980E5F">
            <w:pPr>
              <w:rPr>
                <w:rFonts w:ascii="宋体"/>
                <w:vanish/>
              </w:rPr>
            </w:pPr>
          </w:p>
        </w:tc>
        <w:tc>
          <w:tcPr>
            <w:tcW w:w="0" w:type="auto"/>
            <w:gridSpan w:val="3"/>
            <w:shd w:val="clear" w:color="auto" w:fill="auto"/>
            <w:vAlign w:val="bottom"/>
          </w:tcPr>
          <w:p w14:paraId="392CB0D7" w14:textId="77777777" w:rsidR="00980E5F" w:rsidRDefault="00980E5F">
            <w:pPr>
              <w:rPr>
                <w:rFonts w:ascii="宋体"/>
                <w:vanish/>
              </w:rPr>
            </w:pPr>
          </w:p>
        </w:tc>
        <w:tc>
          <w:tcPr>
            <w:tcW w:w="0" w:type="auto"/>
            <w:gridSpan w:val="3"/>
            <w:shd w:val="clear" w:color="auto" w:fill="auto"/>
            <w:vAlign w:val="bottom"/>
          </w:tcPr>
          <w:p w14:paraId="392CB0D8" w14:textId="77777777" w:rsidR="00980E5F" w:rsidRDefault="00980E5F">
            <w:pPr>
              <w:rPr>
                <w:rFonts w:ascii="宋体"/>
                <w:vanish/>
              </w:rPr>
            </w:pPr>
          </w:p>
        </w:tc>
        <w:tc>
          <w:tcPr>
            <w:tcW w:w="0" w:type="auto"/>
            <w:gridSpan w:val="3"/>
            <w:shd w:val="clear" w:color="auto" w:fill="auto"/>
            <w:vAlign w:val="bottom"/>
          </w:tcPr>
          <w:p w14:paraId="392CB0D9" w14:textId="77777777" w:rsidR="00980E5F" w:rsidRDefault="00980E5F">
            <w:pPr>
              <w:rPr>
                <w:rFonts w:ascii="宋体"/>
                <w:vanish/>
              </w:rPr>
            </w:pPr>
          </w:p>
        </w:tc>
        <w:tc>
          <w:tcPr>
            <w:tcW w:w="0" w:type="auto"/>
            <w:gridSpan w:val="3"/>
            <w:shd w:val="clear" w:color="auto" w:fill="auto"/>
            <w:vAlign w:val="bottom"/>
          </w:tcPr>
          <w:p w14:paraId="392CB0DA" w14:textId="77777777" w:rsidR="00980E5F" w:rsidRDefault="00980E5F">
            <w:pPr>
              <w:rPr>
                <w:rFonts w:ascii="宋体"/>
                <w:vanish/>
              </w:rPr>
            </w:pPr>
          </w:p>
        </w:tc>
        <w:tc>
          <w:tcPr>
            <w:tcW w:w="0" w:type="auto"/>
            <w:gridSpan w:val="3"/>
            <w:shd w:val="clear" w:color="auto" w:fill="auto"/>
            <w:vAlign w:val="bottom"/>
          </w:tcPr>
          <w:p w14:paraId="392CB0DB" w14:textId="77777777" w:rsidR="00980E5F" w:rsidRDefault="00980E5F">
            <w:pPr>
              <w:rPr>
                <w:rFonts w:ascii="宋体"/>
                <w:vanish/>
              </w:rPr>
            </w:pPr>
          </w:p>
        </w:tc>
        <w:tc>
          <w:tcPr>
            <w:tcW w:w="0" w:type="auto"/>
            <w:gridSpan w:val="3"/>
            <w:shd w:val="clear" w:color="auto" w:fill="auto"/>
            <w:vAlign w:val="bottom"/>
          </w:tcPr>
          <w:p w14:paraId="392CB0DC" w14:textId="77777777" w:rsidR="00980E5F" w:rsidRDefault="00980E5F">
            <w:pPr>
              <w:rPr>
                <w:rFonts w:ascii="宋体"/>
                <w:vanish/>
              </w:rPr>
            </w:pPr>
          </w:p>
        </w:tc>
        <w:tc>
          <w:tcPr>
            <w:tcW w:w="0" w:type="auto"/>
            <w:gridSpan w:val="3"/>
            <w:shd w:val="clear" w:color="auto" w:fill="auto"/>
            <w:vAlign w:val="bottom"/>
          </w:tcPr>
          <w:p w14:paraId="392CB0DD" w14:textId="77777777" w:rsidR="00980E5F" w:rsidRDefault="00980E5F">
            <w:pPr>
              <w:rPr>
                <w:rFonts w:ascii="宋体"/>
                <w:vanish/>
              </w:rPr>
            </w:pPr>
          </w:p>
        </w:tc>
      </w:tr>
      <w:tr w:rsidR="00980E5F" w14:paraId="392CB0F3" w14:textId="77777777">
        <w:trPr>
          <w:hidden/>
        </w:trPr>
        <w:tc>
          <w:tcPr>
            <w:tcW w:w="0" w:type="auto"/>
            <w:gridSpan w:val="3"/>
            <w:shd w:val="clear" w:color="auto" w:fill="auto"/>
            <w:vAlign w:val="bottom"/>
          </w:tcPr>
          <w:p w14:paraId="392CB0DF" w14:textId="77777777" w:rsidR="00980E5F" w:rsidRDefault="00980E5F">
            <w:pPr>
              <w:rPr>
                <w:rFonts w:ascii="宋体"/>
                <w:vanish/>
              </w:rPr>
            </w:pPr>
          </w:p>
        </w:tc>
        <w:tc>
          <w:tcPr>
            <w:tcW w:w="0" w:type="auto"/>
            <w:gridSpan w:val="3"/>
            <w:shd w:val="clear" w:color="auto" w:fill="auto"/>
            <w:vAlign w:val="bottom"/>
          </w:tcPr>
          <w:p w14:paraId="392CB0E0" w14:textId="77777777" w:rsidR="00980E5F" w:rsidRDefault="00980E5F">
            <w:pPr>
              <w:rPr>
                <w:rFonts w:ascii="宋体"/>
                <w:vanish/>
              </w:rPr>
            </w:pPr>
          </w:p>
        </w:tc>
        <w:tc>
          <w:tcPr>
            <w:tcW w:w="0" w:type="auto"/>
            <w:gridSpan w:val="3"/>
            <w:shd w:val="clear" w:color="auto" w:fill="auto"/>
            <w:vAlign w:val="bottom"/>
          </w:tcPr>
          <w:p w14:paraId="392CB0E1" w14:textId="77777777" w:rsidR="00980E5F" w:rsidRDefault="00980E5F">
            <w:pPr>
              <w:rPr>
                <w:rFonts w:ascii="宋体"/>
                <w:vanish/>
              </w:rPr>
            </w:pPr>
          </w:p>
        </w:tc>
        <w:tc>
          <w:tcPr>
            <w:tcW w:w="0" w:type="auto"/>
            <w:gridSpan w:val="3"/>
            <w:shd w:val="clear" w:color="auto" w:fill="auto"/>
            <w:vAlign w:val="bottom"/>
          </w:tcPr>
          <w:p w14:paraId="392CB0E2" w14:textId="77777777" w:rsidR="00980E5F" w:rsidRDefault="00980E5F">
            <w:pPr>
              <w:rPr>
                <w:rFonts w:ascii="宋体"/>
                <w:vanish/>
              </w:rPr>
            </w:pPr>
          </w:p>
        </w:tc>
        <w:tc>
          <w:tcPr>
            <w:tcW w:w="0" w:type="auto"/>
            <w:gridSpan w:val="3"/>
            <w:shd w:val="clear" w:color="auto" w:fill="auto"/>
            <w:vAlign w:val="bottom"/>
          </w:tcPr>
          <w:p w14:paraId="392CB0E3" w14:textId="77777777" w:rsidR="00980E5F" w:rsidRDefault="00980E5F">
            <w:pPr>
              <w:rPr>
                <w:rFonts w:ascii="宋体"/>
                <w:vanish/>
              </w:rPr>
            </w:pPr>
          </w:p>
        </w:tc>
        <w:tc>
          <w:tcPr>
            <w:tcW w:w="0" w:type="auto"/>
            <w:gridSpan w:val="3"/>
            <w:shd w:val="clear" w:color="auto" w:fill="auto"/>
            <w:vAlign w:val="bottom"/>
          </w:tcPr>
          <w:p w14:paraId="392CB0E4" w14:textId="77777777" w:rsidR="00980E5F" w:rsidRDefault="00980E5F">
            <w:pPr>
              <w:rPr>
                <w:rFonts w:ascii="宋体"/>
                <w:vanish/>
              </w:rPr>
            </w:pPr>
          </w:p>
        </w:tc>
        <w:tc>
          <w:tcPr>
            <w:tcW w:w="0" w:type="auto"/>
            <w:gridSpan w:val="3"/>
            <w:shd w:val="clear" w:color="auto" w:fill="auto"/>
            <w:vAlign w:val="bottom"/>
          </w:tcPr>
          <w:p w14:paraId="392CB0E5" w14:textId="77777777" w:rsidR="00980E5F" w:rsidRDefault="00980E5F">
            <w:pPr>
              <w:rPr>
                <w:rFonts w:ascii="宋体"/>
                <w:vanish/>
              </w:rPr>
            </w:pPr>
          </w:p>
        </w:tc>
        <w:tc>
          <w:tcPr>
            <w:tcW w:w="0" w:type="auto"/>
            <w:gridSpan w:val="3"/>
            <w:shd w:val="clear" w:color="auto" w:fill="auto"/>
            <w:vAlign w:val="bottom"/>
          </w:tcPr>
          <w:p w14:paraId="392CB0E6" w14:textId="77777777" w:rsidR="00980E5F" w:rsidRDefault="00980E5F">
            <w:pPr>
              <w:rPr>
                <w:rFonts w:ascii="宋体"/>
                <w:vanish/>
              </w:rPr>
            </w:pPr>
          </w:p>
        </w:tc>
        <w:tc>
          <w:tcPr>
            <w:tcW w:w="0" w:type="auto"/>
            <w:gridSpan w:val="3"/>
            <w:shd w:val="clear" w:color="auto" w:fill="auto"/>
            <w:vAlign w:val="bottom"/>
          </w:tcPr>
          <w:p w14:paraId="392CB0E7" w14:textId="77777777" w:rsidR="00980E5F" w:rsidRDefault="00980E5F">
            <w:pPr>
              <w:rPr>
                <w:rFonts w:ascii="宋体"/>
                <w:vanish/>
              </w:rPr>
            </w:pPr>
          </w:p>
        </w:tc>
        <w:tc>
          <w:tcPr>
            <w:tcW w:w="0" w:type="auto"/>
            <w:gridSpan w:val="3"/>
            <w:shd w:val="clear" w:color="auto" w:fill="auto"/>
            <w:vAlign w:val="bottom"/>
          </w:tcPr>
          <w:p w14:paraId="392CB0E8" w14:textId="77777777" w:rsidR="00980E5F" w:rsidRDefault="00980E5F">
            <w:pPr>
              <w:rPr>
                <w:rFonts w:ascii="宋体"/>
                <w:vanish/>
              </w:rPr>
            </w:pPr>
          </w:p>
        </w:tc>
        <w:tc>
          <w:tcPr>
            <w:tcW w:w="0" w:type="auto"/>
            <w:gridSpan w:val="3"/>
            <w:shd w:val="clear" w:color="auto" w:fill="auto"/>
            <w:vAlign w:val="bottom"/>
          </w:tcPr>
          <w:p w14:paraId="392CB0E9" w14:textId="77777777" w:rsidR="00980E5F" w:rsidRDefault="00980E5F">
            <w:pPr>
              <w:rPr>
                <w:rFonts w:ascii="宋体"/>
                <w:vanish/>
              </w:rPr>
            </w:pPr>
          </w:p>
        </w:tc>
        <w:tc>
          <w:tcPr>
            <w:tcW w:w="0" w:type="auto"/>
            <w:gridSpan w:val="3"/>
            <w:shd w:val="clear" w:color="auto" w:fill="auto"/>
            <w:vAlign w:val="bottom"/>
          </w:tcPr>
          <w:p w14:paraId="392CB0EA" w14:textId="77777777" w:rsidR="00980E5F" w:rsidRDefault="00980E5F">
            <w:pPr>
              <w:rPr>
                <w:rFonts w:ascii="宋体"/>
                <w:vanish/>
              </w:rPr>
            </w:pPr>
          </w:p>
        </w:tc>
        <w:tc>
          <w:tcPr>
            <w:tcW w:w="0" w:type="auto"/>
            <w:gridSpan w:val="3"/>
            <w:shd w:val="clear" w:color="auto" w:fill="auto"/>
            <w:vAlign w:val="bottom"/>
          </w:tcPr>
          <w:p w14:paraId="392CB0EB" w14:textId="77777777" w:rsidR="00980E5F" w:rsidRDefault="00980E5F">
            <w:pPr>
              <w:rPr>
                <w:rFonts w:ascii="宋体"/>
                <w:vanish/>
              </w:rPr>
            </w:pPr>
          </w:p>
        </w:tc>
        <w:tc>
          <w:tcPr>
            <w:tcW w:w="0" w:type="auto"/>
            <w:gridSpan w:val="3"/>
            <w:shd w:val="clear" w:color="auto" w:fill="auto"/>
            <w:vAlign w:val="bottom"/>
          </w:tcPr>
          <w:p w14:paraId="392CB0EC" w14:textId="77777777" w:rsidR="00980E5F" w:rsidRDefault="00980E5F">
            <w:pPr>
              <w:rPr>
                <w:rFonts w:ascii="宋体"/>
                <w:vanish/>
              </w:rPr>
            </w:pPr>
          </w:p>
        </w:tc>
        <w:tc>
          <w:tcPr>
            <w:tcW w:w="0" w:type="auto"/>
            <w:gridSpan w:val="3"/>
            <w:shd w:val="clear" w:color="auto" w:fill="auto"/>
            <w:vAlign w:val="bottom"/>
          </w:tcPr>
          <w:p w14:paraId="392CB0ED" w14:textId="77777777" w:rsidR="00980E5F" w:rsidRDefault="00980E5F">
            <w:pPr>
              <w:rPr>
                <w:rFonts w:ascii="宋体"/>
                <w:vanish/>
              </w:rPr>
            </w:pPr>
          </w:p>
        </w:tc>
        <w:tc>
          <w:tcPr>
            <w:tcW w:w="0" w:type="auto"/>
            <w:gridSpan w:val="3"/>
            <w:shd w:val="clear" w:color="auto" w:fill="auto"/>
            <w:vAlign w:val="bottom"/>
          </w:tcPr>
          <w:p w14:paraId="392CB0EE" w14:textId="77777777" w:rsidR="00980E5F" w:rsidRDefault="00980E5F">
            <w:pPr>
              <w:rPr>
                <w:rFonts w:ascii="宋体"/>
                <w:vanish/>
              </w:rPr>
            </w:pPr>
          </w:p>
        </w:tc>
        <w:tc>
          <w:tcPr>
            <w:tcW w:w="0" w:type="auto"/>
            <w:gridSpan w:val="3"/>
            <w:shd w:val="clear" w:color="auto" w:fill="auto"/>
            <w:vAlign w:val="bottom"/>
          </w:tcPr>
          <w:p w14:paraId="392CB0EF" w14:textId="77777777" w:rsidR="00980E5F" w:rsidRDefault="00980E5F">
            <w:pPr>
              <w:rPr>
                <w:rFonts w:ascii="宋体"/>
                <w:vanish/>
              </w:rPr>
            </w:pPr>
          </w:p>
        </w:tc>
        <w:tc>
          <w:tcPr>
            <w:tcW w:w="0" w:type="auto"/>
            <w:gridSpan w:val="3"/>
            <w:shd w:val="clear" w:color="auto" w:fill="auto"/>
            <w:vAlign w:val="bottom"/>
          </w:tcPr>
          <w:p w14:paraId="392CB0F0" w14:textId="77777777" w:rsidR="00980E5F" w:rsidRDefault="00980E5F">
            <w:pPr>
              <w:rPr>
                <w:rFonts w:ascii="宋体"/>
                <w:vanish/>
              </w:rPr>
            </w:pPr>
          </w:p>
        </w:tc>
        <w:tc>
          <w:tcPr>
            <w:tcW w:w="0" w:type="auto"/>
            <w:gridSpan w:val="3"/>
            <w:shd w:val="clear" w:color="auto" w:fill="auto"/>
            <w:vAlign w:val="bottom"/>
          </w:tcPr>
          <w:p w14:paraId="392CB0F1" w14:textId="77777777" w:rsidR="00980E5F" w:rsidRDefault="00980E5F">
            <w:pPr>
              <w:rPr>
                <w:rFonts w:ascii="宋体"/>
                <w:vanish/>
              </w:rPr>
            </w:pPr>
          </w:p>
        </w:tc>
        <w:tc>
          <w:tcPr>
            <w:tcW w:w="0" w:type="auto"/>
            <w:gridSpan w:val="3"/>
            <w:shd w:val="clear" w:color="auto" w:fill="auto"/>
            <w:vAlign w:val="bottom"/>
          </w:tcPr>
          <w:p w14:paraId="392CB0F2" w14:textId="77777777" w:rsidR="00980E5F" w:rsidRDefault="00980E5F">
            <w:pPr>
              <w:rPr>
                <w:rFonts w:ascii="宋体"/>
                <w:vanish/>
              </w:rPr>
            </w:pPr>
          </w:p>
        </w:tc>
      </w:tr>
      <w:tr w:rsidR="00980E5F" w14:paraId="392CB108" w14:textId="77777777">
        <w:trPr>
          <w:hidden/>
        </w:trPr>
        <w:tc>
          <w:tcPr>
            <w:tcW w:w="0" w:type="auto"/>
            <w:gridSpan w:val="3"/>
            <w:shd w:val="clear" w:color="auto" w:fill="auto"/>
            <w:vAlign w:val="bottom"/>
          </w:tcPr>
          <w:p w14:paraId="392CB0F4" w14:textId="77777777" w:rsidR="00980E5F" w:rsidRDefault="00980E5F">
            <w:pPr>
              <w:rPr>
                <w:rFonts w:ascii="宋体"/>
                <w:vanish/>
              </w:rPr>
            </w:pPr>
          </w:p>
        </w:tc>
        <w:tc>
          <w:tcPr>
            <w:tcW w:w="0" w:type="auto"/>
            <w:gridSpan w:val="3"/>
            <w:shd w:val="clear" w:color="auto" w:fill="auto"/>
            <w:vAlign w:val="bottom"/>
          </w:tcPr>
          <w:p w14:paraId="392CB0F5" w14:textId="77777777" w:rsidR="00980E5F" w:rsidRDefault="00980E5F">
            <w:pPr>
              <w:rPr>
                <w:rFonts w:ascii="宋体"/>
                <w:vanish/>
              </w:rPr>
            </w:pPr>
          </w:p>
        </w:tc>
        <w:tc>
          <w:tcPr>
            <w:tcW w:w="0" w:type="auto"/>
            <w:gridSpan w:val="3"/>
            <w:shd w:val="clear" w:color="auto" w:fill="auto"/>
            <w:vAlign w:val="bottom"/>
          </w:tcPr>
          <w:p w14:paraId="392CB0F6" w14:textId="77777777" w:rsidR="00980E5F" w:rsidRDefault="00980E5F">
            <w:pPr>
              <w:rPr>
                <w:rFonts w:ascii="宋体"/>
                <w:vanish/>
              </w:rPr>
            </w:pPr>
          </w:p>
        </w:tc>
        <w:tc>
          <w:tcPr>
            <w:tcW w:w="0" w:type="auto"/>
            <w:gridSpan w:val="3"/>
            <w:shd w:val="clear" w:color="auto" w:fill="auto"/>
            <w:vAlign w:val="bottom"/>
          </w:tcPr>
          <w:p w14:paraId="392CB0F7" w14:textId="77777777" w:rsidR="00980E5F" w:rsidRDefault="00980E5F">
            <w:pPr>
              <w:rPr>
                <w:rFonts w:ascii="宋体"/>
                <w:vanish/>
              </w:rPr>
            </w:pPr>
          </w:p>
        </w:tc>
        <w:tc>
          <w:tcPr>
            <w:tcW w:w="0" w:type="auto"/>
            <w:gridSpan w:val="3"/>
            <w:shd w:val="clear" w:color="auto" w:fill="auto"/>
            <w:vAlign w:val="bottom"/>
          </w:tcPr>
          <w:p w14:paraId="392CB0F8" w14:textId="77777777" w:rsidR="00980E5F" w:rsidRDefault="00980E5F">
            <w:pPr>
              <w:rPr>
                <w:rFonts w:ascii="宋体"/>
                <w:vanish/>
              </w:rPr>
            </w:pPr>
          </w:p>
        </w:tc>
        <w:tc>
          <w:tcPr>
            <w:tcW w:w="0" w:type="auto"/>
            <w:gridSpan w:val="3"/>
            <w:shd w:val="clear" w:color="auto" w:fill="auto"/>
            <w:vAlign w:val="bottom"/>
          </w:tcPr>
          <w:p w14:paraId="392CB0F9" w14:textId="77777777" w:rsidR="00980E5F" w:rsidRDefault="00980E5F">
            <w:pPr>
              <w:rPr>
                <w:rFonts w:ascii="宋体"/>
                <w:vanish/>
              </w:rPr>
            </w:pPr>
          </w:p>
        </w:tc>
        <w:tc>
          <w:tcPr>
            <w:tcW w:w="0" w:type="auto"/>
            <w:gridSpan w:val="3"/>
            <w:shd w:val="clear" w:color="auto" w:fill="auto"/>
            <w:vAlign w:val="bottom"/>
          </w:tcPr>
          <w:p w14:paraId="392CB0FA" w14:textId="77777777" w:rsidR="00980E5F" w:rsidRDefault="00980E5F">
            <w:pPr>
              <w:rPr>
                <w:rFonts w:ascii="宋体"/>
                <w:vanish/>
              </w:rPr>
            </w:pPr>
          </w:p>
        </w:tc>
        <w:tc>
          <w:tcPr>
            <w:tcW w:w="0" w:type="auto"/>
            <w:gridSpan w:val="3"/>
            <w:shd w:val="clear" w:color="auto" w:fill="auto"/>
            <w:vAlign w:val="bottom"/>
          </w:tcPr>
          <w:p w14:paraId="392CB0FB" w14:textId="77777777" w:rsidR="00980E5F" w:rsidRDefault="00980E5F">
            <w:pPr>
              <w:rPr>
                <w:rFonts w:ascii="宋体"/>
                <w:vanish/>
              </w:rPr>
            </w:pPr>
          </w:p>
        </w:tc>
        <w:tc>
          <w:tcPr>
            <w:tcW w:w="0" w:type="auto"/>
            <w:gridSpan w:val="3"/>
            <w:shd w:val="clear" w:color="auto" w:fill="auto"/>
            <w:vAlign w:val="bottom"/>
          </w:tcPr>
          <w:p w14:paraId="392CB0FC" w14:textId="77777777" w:rsidR="00980E5F" w:rsidRDefault="00980E5F">
            <w:pPr>
              <w:rPr>
                <w:rFonts w:ascii="宋体"/>
                <w:vanish/>
              </w:rPr>
            </w:pPr>
          </w:p>
        </w:tc>
        <w:tc>
          <w:tcPr>
            <w:tcW w:w="0" w:type="auto"/>
            <w:gridSpan w:val="3"/>
            <w:shd w:val="clear" w:color="auto" w:fill="auto"/>
            <w:vAlign w:val="bottom"/>
          </w:tcPr>
          <w:p w14:paraId="392CB0FD" w14:textId="77777777" w:rsidR="00980E5F" w:rsidRDefault="00980E5F">
            <w:pPr>
              <w:rPr>
                <w:rFonts w:ascii="宋体"/>
                <w:vanish/>
              </w:rPr>
            </w:pPr>
          </w:p>
        </w:tc>
        <w:tc>
          <w:tcPr>
            <w:tcW w:w="0" w:type="auto"/>
            <w:gridSpan w:val="3"/>
            <w:shd w:val="clear" w:color="auto" w:fill="auto"/>
            <w:vAlign w:val="bottom"/>
          </w:tcPr>
          <w:p w14:paraId="392CB0FE" w14:textId="77777777" w:rsidR="00980E5F" w:rsidRDefault="00980E5F">
            <w:pPr>
              <w:rPr>
                <w:rFonts w:ascii="宋体"/>
                <w:vanish/>
              </w:rPr>
            </w:pPr>
          </w:p>
        </w:tc>
        <w:tc>
          <w:tcPr>
            <w:tcW w:w="0" w:type="auto"/>
            <w:gridSpan w:val="3"/>
            <w:shd w:val="clear" w:color="auto" w:fill="auto"/>
            <w:vAlign w:val="bottom"/>
          </w:tcPr>
          <w:p w14:paraId="392CB0FF" w14:textId="77777777" w:rsidR="00980E5F" w:rsidRDefault="00980E5F">
            <w:pPr>
              <w:rPr>
                <w:rFonts w:ascii="宋体"/>
                <w:vanish/>
              </w:rPr>
            </w:pPr>
          </w:p>
        </w:tc>
        <w:tc>
          <w:tcPr>
            <w:tcW w:w="0" w:type="auto"/>
            <w:gridSpan w:val="3"/>
            <w:shd w:val="clear" w:color="auto" w:fill="auto"/>
            <w:vAlign w:val="bottom"/>
          </w:tcPr>
          <w:p w14:paraId="392CB100" w14:textId="77777777" w:rsidR="00980E5F" w:rsidRDefault="00980E5F">
            <w:pPr>
              <w:rPr>
                <w:rFonts w:ascii="宋体"/>
                <w:vanish/>
              </w:rPr>
            </w:pPr>
          </w:p>
        </w:tc>
        <w:tc>
          <w:tcPr>
            <w:tcW w:w="0" w:type="auto"/>
            <w:gridSpan w:val="3"/>
            <w:shd w:val="clear" w:color="auto" w:fill="auto"/>
            <w:vAlign w:val="bottom"/>
          </w:tcPr>
          <w:p w14:paraId="392CB101" w14:textId="77777777" w:rsidR="00980E5F" w:rsidRDefault="00980E5F">
            <w:pPr>
              <w:rPr>
                <w:rFonts w:ascii="宋体"/>
                <w:vanish/>
              </w:rPr>
            </w:pPr>
          </w:p>
        </w:tc>
        <w:tc>
          <w:tcPr>
            <w:tcW w:w="0" w:type="auto"/>
            <w:gridSpan w:val="3"/>
            <w:shd w:val="clear" w:color="auto" w:fill="auto"/>
            <w:vAlign w:val="bottom"/>
          </w:tcPr>
          <w:p w14:paraId="392CB102" w14:textId="77777777" w:rsidR="00980E5F" w:rsidRDefault="00980E5F">
            <w:pPr>
              <w:rPr>
                <w:rFonts w:ascii="宋体"/>
                <w:vanish/>
              </w:rPr>
            </w:pPr>
          </w:p>
        </w:tc>
        <w:tc>
          <w:tcPr>
            <w:tcW w:w="0" w:type="auto"/>
            <w:gridSpan w:val="3"/>
            <w:shd w:val="clear" w:color="auto" w:fill="auto"/>
            <w:vAlign w:val="bottom"/>
          </w:tcPr>
          <w:p w14:paraId="392CB103" w14:textId="77777777" w:rsidR="00980E5F" w:rsidRDefault="00980E5F">
            <w:pPr>
              <w:rPr>
                <w:rFonts w:ascii="宋体"/>
                <w:vanish/>
              </w:rPr>
            </w:pPr>
          </w:p>
        </w:tc>
        <w:tc>
          <w:tcPr>
            <w:tcW w:w="0" w:type="auto"/>
            <w:gridSpan w:val="3"/>
            <w:shd w:val="clear" w:color="auto" w:fill="auto"/>
            <w:vAlign w:val="bottom"/>
          </w:tcPr>
          <w:p w14:paraId="392CB104" w14:textId="77777777" w:rsidR="00980E5F" w:rsidRDefault="00980E5F">
            <w:pPr>
              <w:rPr>
                <w:rFonts w:ascii="宋体"/>
                <w:vanish/>
              </w:rPr>
            </w:pPr>
          </w:p>
        </w:tc>
        <w:tc>
          <w:tcPr>
            <w:tcW w:w="0" w:type="auto"/>
            <w:gridSpan w:val="3"/>
            <w:shd w:val="clear" w:color="auto" w:fill="auto"/>
            <w:vAlign w:val="bottom"/>
          </w:tcPr>
          <w:p w14:paraId="392CB105" w14:textId="77777777" w:rsidR="00980E5F" w:rsidRDefault="00980E5F">
            <w:pPr>
              <w:rPr>
                <w:rFonts w:ascii="宋体"/>
                <w:vanish/>
              </w:rPr>
            </w:pPr>
          </w:p>
        </w:tc>
        <w:tc>
          <w:tcPr>
            <w:tcW w:w="0" w:type="auto"/>
            <w:gridSpan w:val="3"/>
            <w:shd w:val="clear" w:color="auto" w:fill="auto"/>
            <w:vAlign w:val="bottom"/>
          </w:tcPr>
          <w:p w14:paraId="392CB106" w14:textId="77777777" w:rsidR="00980E5F" w:rsidRDefault="00980E5F">
            <w:pPr>
              <w:rPr>
                <w:rFonts w:ascii="宋体"/>
                <w:vanish/>
              </w:rPr>
            </w:pPr>
          </w:p>
        </w:tc>
        <w:tc>
          <w:tcPr>
            <w:tcW w:w="0" w:type="auto"/>
            <w:gridSpan w:val="3"/>
            <w:shd w:val="clear" w:color="auto" w:fill="auto"/>
            <w:vAlign w:val="bottom"/>
          </w:tcPr>
          <w:p w14:paraId="392CB107" w14:textId="77777777" w:rsidR="00980E5F" w:rsidRDefault="00980E5F">
            <w:pPr>
              <w:rPr>
                <w:rFonts w:ascii="宋体"/>
                <w:vanish/>
              </w:rPr>
            </w:pPr>
          </w:p>
        </w:tc>
      </w:tr>
      <w:tr w:rsidR="00980E5F" w14:paraId="392CB11D" w14:textId="77777777">
        <w:trPr>
          <w:hidden/>
        </w:trPr>
        <w:tc>
          <w:tcPr>
            <w:tcW w:w="0" w:type="auto"/>
            <w:gridSpan w:val="3"/>
            <w:shd w:val="clear" w:color="auto" w:fill="auto"/>
            <w:vAlign w:val="bottom"/>
          </w:tcPr>
          <w:p w14:paraId="392CB109" w14:textId="77777777" w:rsidR="00980E5F" w:rsidRDefault="00980E5F">
            <w:pPr>
              <w:rPr>
                <w:rFonts w:ascii="宋体"/>
                <w:vanish/>
              </w:rPr>
            </w:pPr>
          </w:p>
        </w:tc>
        <w:tc>
          <w:tcPr>
            <w:tcW w:w="0" w:type="auto"/>
            <w:gridSpan w:val="3"/>
            <w:shd w:val="clear" w:color="auto" w:fill="auto"/>
            <w:vAlign w:val="bottom"/>
          </w:tcPr>
          <w:p w14:paraId="392CB10A" w14:textId="77777777" w:rsidR="00980E5F" w:rsidRDefault="00980E5F">
            <w:pPr>
              <w:rPr>
                <w:rFonts w:ascii="宋体"/>
                <w:vanish/>
              </w:rPr>
            </w:pPr>
          </w:p>
        </w:tc>
        <w:tc>
          <w:tcPr>
            <w:tcW w:w="0" w:type="auto"/>
            <w:gridSpan w:val="3"/>
            <w:shd w:val="clear" w:color="auto" w:fill="auto"/>
            <w:vAlign w:val="bottom"/>
          </w:tcPr>
          <w:p w14:paraId="392CB10B" w14:textId="77777777" w:rsidR="00980E5F" w:rsidRDefault="00980E5F">
            <w:pPr>
              <w:rPr>
                <w:rFonts w:ascii="宋体"/>
                <w:vanish/>
              </w:rPr>
            </w:pPr>
          </w:p>
        </w:tc>
        <w:tc>
          <w:tcPr>
            <w:tcW w:w="0" w:type="auto"/>
            <w:gridSpan w:val="3"/>
            <w:shd w:val="clear" w:color="auto" w:fill="auto"/>
            <w:vAlign w:val="bottom"/>
          </w:tcPr>
          <w:p w14:paraId="392CB10C" w14:textId="77777777" w:rsidR="00980E5F" w:rsidRDefault="00980E5F">
            <w:pPr>
              <w:rPr>
                <w:rFonts w:ascii="宋体"/>
                <w:vanish/>
              </w:rPr>
            </w:pPr>
          </w:p>
        </w:tc>
        <w:tc>
          <w:tcPr>
            <w:tcW w:w="0" w:type="auto"/>
            <w:gridSpan w:val="3"/>
            <w:shd w:val="clear" w:color="auto" w:fill="auto"/>
            <w:vAlign w:val="bottom"/>
          </w:tcPr>
          <w:p w14:paraId="392CB10D" w14:textId="77777777" w:rsidR="00980E5F" w:rsidRDefault="00980E5F">
            <w:pPr>
              <w:rPr>
                <w:rFonts w:ascii="宋体"/>
                <w:vanish/>
              </w:rPr>
            </w:pPr>
          </w:p>
        </w:tc>
        <w:tc>
          <w:tcPr>
            <w:tcW w:w="0" w:type="auto"/>
            <w:gridSpan w:val="3"/>
            <w:shd w:val="clear" w:color="auto" w:fill="auto"/>
            <w:vAlign w:val="bottom"/>
          </w:tcPr>
          <w:p w14:paraId="392CB10E" w14:textId="77777777" w:rsidR="00980E5F" w:rsidRDefault="00980E5F">
            <w:pPr>
              <w:rPr>
                <w:rFonts w:ascii="宋体"/>
                <w:vanish/>
              </w:rPr>
            </w:pPr>
          </w:p>
        </w:tc>
        <w:tc>
          <w:tcPr>
            <w:tcW w:w="0" w:type="auto"/>
            <w:gridSpan w:val="3"/>
            <w:shd w:val="clear" w:color="auto" w:fill="auto"/>
            <w:vAlign w:val="bottom"/>
          </w:tcPr>
          <w:p w14:paraId="392CB10F" w14:textId="77777777" w:rsidR="00980E5F" w:rsidRDefault="00980E5F">
            <w:pPr>
              <w:rPr>
                <w:rFonts w:ascii="宋体"/>
                <w:vanish/>
              </w:rPr>
            </w:pPr>
          </w:p>
        </w:tc>
        <w:tc>
          <w:tcPr>
            <w:tcW w:w="0" w:type="auto"/>
            <w:gridSpan w:val="3"/>
            <w:shd w:val="clear" w:color="auto" w:fill="auto"/>
            <w:vAlign w:val="bottom"/>
          </w:tcPr>
          <w:p w14:paraId="392CB110" w14:textId="77777777" w:rsidR="00980E5F" w:rsidRDefault="00980E5F">
            <w:pPr>
              <w:rPr>
                <w:rFonts w:ascii="宋体"/>
                <w:vanish/>
              </w:rPr>
            </w:pPr>
          </w:p>
        </w:tc>
        <w:tc>
          <w:tcPr>
            <w:tcW w:w="0" w:type="auto"/>
            <w:gridSpan w:val="3"/>
            <w:shd w:val="clear" w:color="auto" w:fill="auto"/>
            <w:vAlign w:val="bottom"/>
          </w:tcPr>
          <w:p w14:paraId="392CB111" w14:textId="77777777" w:rsidR="00980E5F" w:rsidRDefault="00980E5F">
            <w:pPr>
              <w:rPr>
                <w:rFonts w:ascii="宋体"/>
                <w:vanish/>
              </w:rPr>
            </w:pPr>
          </w:p>
        </w:tc>
        <w:tc>
          <w:tcPr>
            <w:tcW w:w="0" w:type="auto"/>
            <w:gridSpan w:val="3"/>
            <w:shd w:val="clear" w:color="auto" w:fill="auto"/>
            <w:vAlign w:val="bottom"/>
          </w:tcPr>
          <w:p w14:paraId="392CB112" w14:textId="77777777" w:rsidR="00980E5F" w:rsidRDefault="00980E5F">
            <w:pPr>
              <w:rPr>
                <w:rFonts w:ascii="宋体"/>
                <w:vanish/>
              </w:rPr>
            </w:pPr>
          </w:p>
        </w:tc>
        <w:tc>
          <w:tcPr>
            <w:tcW w:w="0" w:type="auto"/>
            <w:gridSpan w:val="3"/>
            <w:shd w:val="clear" w:color="auto" w:fill="auto"/>
            <w:vAlign w:val="bottom"/>
          </w:tcPr>
          <w:p w14:paraId="392CB113" w14:textId="77777777" w:rsidR="00980E5F" w:rsidRDefault="00980E5F">
            <w:pPr>
              <w:rPr>
                <w:rFonts w:ascii="宋体"/>
                <w:vanish/>
              </w:rPr>
            </w:pPr>
          </w:p>
        </w:tc>
        <w:tc>
          <w:tcPr>
            <w:tcW w:w="0" w:type="auto"/>
            <w:gridSpan w:val="3"/>
            <w:shd w:val="clear" w:color="auto" w:fill="auto"/>
            <w:vAlign w:val="bottom"/>
          </w:tcPr>
          <w:p w14:paraId="392CB114" w14:textId="77777777" w:rsidR="00980E5F" w:rsidRDefault="00980E5F">
            <w:pPr>
              <w:rPr>
                <w:rFonts w:ascii="宋体"/>
                <w:vanish/>
              </w:rPr>
            </w:pPr>
          </w:p>
        </w:tc>
        <w:tc>
          <w:tcPr>
            <w:tcW w:w="0" w:type="auto"/>
            <w:gridSpan w:val="3"/>
            <w:shd w:val="clear" w:color="auto" w:fill="auto"/>
            <w:vAlign w:val="bottom"/>
          </w:tcPr>
          <w:p w14:paraId="392CB115" w14:textId="77777777" w:rsidR="00980E5F" w:rsidRDefault="00980E5F">
            <w:pPr>
              <w:rPr>
                <w:rFonts w:ascii="宋体"/>
                <w:vanish/>
              </w:rPr>
            </w:pPr>
          </w:p>
        </w:tc>
        <w:tc>
          <w:tcPr>
            <w:tcW w:w="0" w:type="auto"/>
            <w:gridSpan w:val="3"/>
            <w:shd w:val="clear" w:color="auto" w:fill="auto"/>
            <w:vAlign w:val="bottom"/>
          </w:tcPr>
          <w:p w14:paraId="392CB116" w14:textId="77777777" w:rsidR="00980E5F" w:rsidRDefault="00980E5F">
            <w:pPr>
              <w:rPr>
                <w:rFonts w:ascii="宋体"/>
                <w:vanish/>
              </w:rPr>
            </w:pPr>
          </w:p>
        </w:tc>
        <w:tc>
          <w:tcPr>
            <w:tcW w:w="0" w:type="auto"/>
            <w:gridSpan w:val="3"/>
            <w:shd w:val="clear" w:color="auto" w:fill="auto"/>
            <w:vAlign w:val="bottom"/>
          </w:tcPr>
          <w:p w14:paraId="392CB117" w14:textId="77777777" w:rsidR="00980E5F" w:rsidRDefault="00980E5F">
            <w:pPr>
              <w:rPr>
                <w:rFonts w:ascii="宋体"/>
                <w:vanish/>
              </w:rPr>
            </w:pPr>
          </w:p>
        </w:tc>
        <w:tc>
          <w:tcPr>
            <w:tcW w:w="0" w:type="auto"/>
            <w:gridSpan w:val="3"/>
            <w:shd w:val="clear" w:color="auto" w:fill="auto"/>
            <w:vAlign w:val="bottom"/>
          </w:tcPr>
          <w:p w14:paraId="392CB118" w14:textId="77777777" w:rsidR="00980E5F" w:rsidRDefault="00980E5F">
            <w:pPr>
              <w:rPr>
                <w:rFonts w:ascii="宋体"/>
                <w:vanish/>
              </w:rPr>
            </w:pPr>
          </w:p>
        </w:tc>
        <w:tc>
          <w:tcPr>
            <w:tcW w:w="0" w:type="auto"/>
            <w:gridSpan w:val="3"/>
            <w:shd w:val="clear" w:color="auto" w:fill="auto"/>
            <w:vAlign w:val="bottom"/>
          </w:tcPr>
          <w:p w14:paraId="392CB119" w14:textId="77777777" w:rsidR="00980E5F" w:rsidRDefault="00980E5F">
            <w:pPr>
              <w:rPr>
                <w:rFonts w:ascii="宋体"/>
                <w:vanish/>
              </w:rPr>
            </w:pPr>
          </w:p>
        </w:tc>
        <w:tc>
          <w:tcPr>
            <w:tcW w:w="0" w:type="auto"/>
            <w:gridSpan w:val="3"/>
            <w:shd w:val="clear" w:color="auto" w:fill="auto"/>
            <w:vAlign w:val="bottom"/>
          </w:tcPr>
          <w:p w14:paraId="392CB11A" w14:textId="77777777" w:rsidR="00980E5F" w:rsidRDefault="00980E5F">
            <w:pPr>
              <w:rPr>
                <w:rFonts w:ascii="宋体"/>
                <w:vanish/>
              </w:rPr>
            </w:pPr>
          </w:p>
        </w:tc>
        <w:tc>
          <w:tcPr>
            <w:tcW w:w="0" w:type="auto"/>
            <w:gridSpan w:val="3"/>
            <w:shd w:val="clear" w:color="auto" w:fill="auto"/>
            <w:vAlign w:val="bottom"/>
          </w:tcPr>
          <w:p w14:paraId="392CB11B" w14:textId="77777777" w:rsidR="00980E5F" w:rsidRDefault="00980E5F">
            <w:pPr>
              <w:rPr>
                <w:rFonts w:ascii="宋体"/>
                <w:vanish/>
              </w:rPr>
            </w:pPr>
          </w:p>
        </w:tc>
        <w:tc>
          <w:tcPr>
            <w:tcW w:w="0" w:type="auto"/>
            <w:gridSpan w:val="3"/>
            <w:shd w:val="clear" w:color="auto" w:fill="auto"/>
            <w:vAlign w:val="bottom"/>
          </w:tcPr>
          <w:p w14:paraId="392CB11C" w14:textId="77777777" w:rsidR="00980E5F" w:rsidRDefault="00980E5F">
            <w:pPr>
              <w:rPr>
                <w:rFonts w:ascii="宋体"/>
                <w:vanish/>
              </w:rPr>
            </w:pPr>
          </w:p>
        </w:tc>
      </w:tr>
      <w:tr w:rsidR="00980E5F" w14:paraId="392CB132" w14:textId="77777777">
        <w:trPr>
          <w:hidden/>
        </w:trPr>
        <w:tc>
          <w:tcPr>
            <w:tcW w:w="0" w:type="auto"/>
            <w:gridSpan w:val="3"/>
            <w:shd w:val="clear" w:color="auto" w:fill="auto"/>
            <w:vAlign w:val="bottom"/>
          </w:tcPr>
          <w:p w14:paraId="392CB11E" w14:textId="77777777" w:rsidR="00980E5F" w:rsidRDefault="00980E5F">
            <w:pPr>
              <w:rPr>
                <w:rFonts w:ascii="宋体"/>
                <w:vanish/>
              </w:rPr>
            </w:pPr>
          </w:p>
        </w:tc>
        <w:tc>
          <w:tcPr>
            <w:tcW w:w="0" w:type="auto"/>
            <w:gridSpan w:val="3"/>
            <w:shd w:val="clear" w:color="auto" w:fill="auto"/>
            <w:vAlign w:val="bottom"/>
          </w:tcPr>
          <w:p w14:paraId="392CB11F" w14:textId="77777777" w:rsidR="00980E5F" w:rsidRDefault="00980E5F">
            <w:pPr>
              <w:rPr>
                <w:rFonts w:ascii="宋体"/>
                <w:vanish/>
              </w:rPr>
            </w:pPr>
          </w:p>
        </w:tc>
        <w:tc>
          <w:tcPr>
            <w:tcW w:w="0" w:type="auto"/>
            <w:gridSpan w:val="3"/>
            <w:shd w:val="clear" w:color="auto" w:fill="auto"/>
            <w:vAlign w:val="bottom"/>
          </w:tcPr>
          <w:p w14:paraId="392CB120" w14:textId="77777777" w:rsidR="00980E5F" w:rsidRDefault="00980E5F">
            <w:pPr>
              <w:rPr>
                <w:rFonts w:ascii="宋体"/>
                <w:vanish/>
              </w:rPr>
            </w:pPr>
          </w:p>
        </w:tc>
        <w:tc>
          <w:tcPr>
            <w:tcW w:w="0" w:type="auto"/>
            <w:gridSpan w:val="3"/>
            <w:shd w:val="clear" w:color="auto" w:fill="auto"/>
            <w:vAlign w:val="bottom"/>
          </w:tcPr>
          <w:p w14:paraId="392CB121" w14:textId="77777777" w:rsidR="00980E5F" w:rsidRDefault="00980E5F">
            <w:pPr>
              <w:rPr>
                <w:rFonts w:ascii="宋体"/>
                <w:vanish/>
              </w:rPr>
            </w:pPr>
          </w:p>
        </w:tc>
        <w:tc>
          <w:tcPr>
            <w:tcW w:w="0" w:type="auto"/>
            <w:gridSpan w:val="3"/>
            <w:shd w:val="clear" w:color="auto" w:fill="auto"/>
            <w:vAlign w:val="bottom"/>
          </w:tcPr>
          <w:p w14:paraId="392CB122" w14:textId="77777777" w:rsidR="00980E5F" w:rsidRDefault="00980E5F">
            <w:pPr>
              <w:rPr>
                <w:rFonts w:ascii="宋体"/>
                <w:vanish/>
              </w:rPr>
            </w:pPr>
          </w:p>
        </w:tc>
        <w:tc>
          <w:tcPr>
            <w:tcW w:w="0" w:type="auto"/>
            <w:gridSpan w:val="3"/>
            <w:shd w:val="clear" w:color="auto" w:fill="auto"/>
            <w:vAlign w:val="bottom"/>
          </w:tcPr>
          <w:p w14:paraId="392CB123" w14:textId="77777777" w:rsidR="00980E5F" w:rsidRDefault="00980E5F">
            <w:pPr>
              <w:rPr>
                <w:rFonts w:ascii="宋体"/>
                <w:vanish/>
              </w:rPr>
            </w:pPr>
          </w:p>
        </w:tc>
        <w:tc>
          <w:tcPr>
            <w:tcW w:w="0" w:type="auto"/>
            <w:gridSpan w:val="3"/>
            <w:shd w:val="clear" w:color="auto" w:fill="auto"/>
            <w:vAlign w:val="bottom"/>
          </w:tcPr>
          <w:p w14:paraId="392CB124" w14:textId="77777777" w:rsidR="00980E5F" w:rsidRDefault="00980E5F">
            <w:pPr>
              <w:rPr>
                <w:rFonts w:ascii="宋体"/>
                <w:vanish/>
              </w:rPr>
            </w:pPr>
          </w:p>
        </w:tc>
        <w:tc>
          <w:tcPr>
            <w:tcW w:w="0" w:type="auto"/>
            <w:gridSpan w:val="3"/>
            <w:shd w:val="clear" w:color="auto" w:fill="auto"/>
            <w:vAlign w:val="bottom"/>
          </w:tcPr>
          <w:p w14:paraId="392CB125" w14:textId="77777777" w:rsidR="00980E5F" w:rsidRDefault="00980E5F">
            <w:pPr>
              <w:rPr>
                <w:rFonts w:ascii="宋体"/>
                <w:vanish/>
              </w:rPr>
            </w:pPr>
          </w:p>
        </w:tc>
        <w:tc>
          <w:tcPr>
            <w:tcW w:w="0" w:type="auto"/>
            <w:gridSpan w:val="3"/>
            <w:shd w:val="clear" w:color="auto" w:fill="auto"/>
            <w:vAlign w:val="bottom"/>
          </w:tcPr>
          <w:p w14:paraId="392CB126" w14:textId="77777777" w:rsidR="00980E5F" w:rsidRDefault="00980E5F">
            <w:pPr>
              <w:rPr>
                <w:rFonts w:ascii="宋体"/>
                <w:vanish/>
              </w:rPr>
            </w:pPr>
          </w:p>
        </w:tc>
        <w:tc>
          <w:tcPr>
            <w:tcW w:w="0" w:type="auto"/>
            <w:gridSpan w:val="3"/>
            <w:shd w:val="clear" w:color="auto" w:fill="auto"/>
            <w:vAlign w:val="bottom"/>
          </w:tcPr>
          <w:p w14:paraId="392CB127" w14:textId="77777777" w:rsidR="00980E5F" w:rsidRDefault="00980E5F">
            <w:pPr>
              <w:rPr>
                <w:rFonts w:ascii="宋体"/>
                <w:vanish/>
              </w:rPr>
            </w:pPr>
          </w:p>
        </w:tc>
        <w:tc>
          <w:tcPr>
            <w:tcW w:w="0" w:type="auto"/>
            <w:gridSpan w:val="3"/>
            <w:shd w:val="clear" w:color="auto" w:fill="auto"/>
            <w:vAlign w:val="bottom"/>
          </w:tcPr>
          <w:p w14:paraId="392CB128" w14:textId="77777777" w:rsidR="00980E5F" w:rsidRDefault="00980E5F">
            <w:pPr>
              <w:rPr>
                <w:rFonts w:ascii="宋体"/>
                <w:vanish/>
              </w:rPr>
            </w:pPr>
          </w:p>
        </w:tc>
        <w:tc>
          <w:tcPr>
            <w:tcW w:w="0" w:type="auto"/>
            <w:gridSpan w:val="3"/>
            <w:shd w:val="clear" w:color="auto" w:fill="auto"/>
            <w:vAlign w:val="bottom"/>
          </w:tcPr>
          <w:p w14:paraId="392CB129" w14:textId="77777777" w:rsidR="00980E5F" w:rsidRDefault="00980E5F">
            <w:pPr>
              <w:rPr>
                <w:rFonts w:ascii="宋体"/>
                <w:vanish/>
              </w:rPr>
            </w:pPr>
          </w:p>
        </w:tc>
        <w:tc>
          <w:tcPr>
            <w:tcW w:w="0" w:type="auto"/>
            <w:gridSpan w:val="3"/>
            <w:shd w:val="clear" w:color="auto" w:fill="auto"/>
            <w:vAlign w:val="bottom"/>
          </w:tcPr>
          <w:p w14:paraId="392CB12A" w14:textId="77777777" w:rsidR="00980E5F" w:rsidRDefault="00980E5F">
            <w:pPr>
              <w:rPr>
                <w:rFonts w:ascii="宋体"/>
                <w:vanish/>
              </w:rPr>
            </w:pPr>
          </w:p>
        </w:tc>
        <w:tc>
          <w:tcPr>
            <w:tcW w:w="0" w:type="auto"/>
            <w:gridSpan w:val="3"/>
            <w:shd w:val="clear" w:color="auto" w:fill="auto"/>
            <w:vAlign w:val="bottom"/>
          </w:tcPr>
          <w:p w14:paraId="392CB12B" w14:textId="77777777" w:rsidR="00980E5F" w:rsidRDefault="00980E5F">
            <w:pPr>
              <w:rPr>
                <w:rFonts w:ascii="宋体"/>
                <w:vanish/>
              </w:rPr>
            </w:pPr>
          </w:p>
        </w:tc>
        <w:tc>
          <w:tcPr>
            <w:tcW w:w="0" w:type="auto"/>
            <w:gridSpan w:val="3"/>
            <w:shd w:val="clear" w:color="auto" w:fill="auto"/>
            <w:vAlign w:val="bottom"/>
          </w:tcPr>
          <w:p w14:paraId="392CB12C" w14:textId="77777777" w:rsidR="00980E5F" w:rsidRDefault="00980E5F">
            <w:pPr>
              <w:rPr>
                <w:rFonts w:ascii="宋体"/>
                <w:vanish/>
              </w:rPr>
            </w:pPr>
          </w:p>
        </w:tc>
        <w:tc>
          <w:tcPr>
            <w:tcW w:w="0" w:type="auto"/>
            <w:gridSpan w:val="3"/>
            <w:shd w:val="clear" w:color="auto" w:fill="auto"/>
            <w:vAlign w:val="bottom"/>
          </w:tcPr>
          <w:p w14:paraId="392CB12D" w14:textId="77777777" w:rsidR="00980E5F" w:rsidRDefault="00980E5F">
            <w:pPr>
              <w:rPr>
                <w:rFonts w:ascii="宋体"/>
                <w:vanish/>
              </w:rPr>
            </w:pPr>
          </w:p>
        </w:tc>
        <w:tc>
          <w:tcPr>
            <w:tcW w:w="0" w:type="auto"/>
            <w:gridSpan w:val="3"/>
            <w:shd w:val="clear" w:color="auto" w:fill="auto"/>
            <w:vAlign w:val="bottom"/>
          </w:tcPr>
          <w:p w14:paraId="392CB12E" w14:textId="77777777" w:rsidR="00980E5F" w:rsidRDefault="00980E5F">
            <w:pPr>
              <w:rPr>
                <w:rFonts w:ascii="宋体"/>
                <w:vanish/>
              </w:rPr>
            </w:pPr>
          </w:p>
        </w:tc>
        <w:tc>
          <w:tcPr>
            <w:tcW w:w="0" w:type="auto"/>
            <w:gridSpan w:val="3"/>
            <w:shd w:val="clear" w:color="auto" w:fill="auto"/>
            <w:vAlign w:val="bottom"/>
          </w:tcPr>
          <w:p w14:paraId="392CB12F" w14:textId="77777777" w:rsidR="00980E5F" w:rsidRDefault="00980E5F">
            <w:pPr>
              <w:rPr>
                <w:rFonts w:ascii="宋体"/>
                <w:vanish/>
              </w:rPr>
            </w:pPr>
          </w:p>
        </w:tc>
        <w:tc>
          <w:tcPr>
            <w:tcW w:w="0" w:type="auto"/>
            <w:gridSpan w:val="3"/>
            <w:shd w:val="clear" w:color="auto" w:fill="auto"/>
            <w:vAlign w:val="bottom"/>
          </w:tcPr>
          <w:p w14:paraId="392CB130" w14:textId="77777777" w:rsidR="00980E5F" w:rsidRDefault="00980E5F">
            <w:pPr>
              <w:rPr>
                <w:rFonts w:ascii="宋体"/>
                <w:vanish/>
              </w:rPr>
            </w:pPr>
          </w:p>
        </w:tc>
        <w:tc>
          <w:tcPr>
            <w:tcW w:w="0" w:type="auto"/>
            <w:gridSpan w:val="3"/>
            <w:shd w:val="clear" w:color="auto" w:fill="auto"/>
            <w:vAlign w:val="bottom"/>
          </w:tcPr>
          <w:p w14:paraId="392CB131" w14:textId="77777777" w:rsidR="00980E5F" w:rsidRDefault="00980E5F">
            <w:pPr>
              <w:rPr>
                <w:rFonts w:ascii="宋体"/>
                <w:vanish/>
              </w:rPr>
            </w:pPr>
          </w:p>
        </w:tc>
      </w:tr>
      <w:tr w:rsidR="00980E5F" w14:paraId="392CB147" w14:textId="77777777">
        <w:trPr>
          <w:hidden/>
        </w:trPr>
        <w:tc>
          <w:tcPr>
            <w:tcW w:w="0" w:type="auto"/>
            <w:gridSpan w:val="3"/>
            <w:shd w:val="clear" w:color="auto" w:fill="auto"/>
            <w:vAlign w:val="bottom"/>
          </w:tcPr>
          <w:p w14:paraId="392CB133" w14:textId="77777777" w:rsidR="00980E5F" w:rsidRDefault="00980E5F">
            <w:pPr>
              <w:rPr>
                <w:rFonts w:ascii="宋体"/>
                <w:vanish/>
              </w:rPr>
            </w:pPr>
          </w:p>
        </w:tc>
        <w:tc>
          <w:tcPr>
            <w:tcW w:w="0" w:type="auto"/>
            <w:gridSpan w:val="3"/>
            <w:shd w:val="clear" w:color="auto" w:fill="auto"/>
            <w:vAlign w:val="bottom"/>
          </w:tcPr>
          <w:p w14:paraId="392CB134" w14:textId="77777777" w:rsidR="00980E5F" w:rsidRDefault="00980E5F">
            <w:pPr>
              <w:rPr>
                <w:rFonts w:ascii="宋体"/>
                <w:vanish/>
              </w:rPr>
            </w:pPr>
          </w:p>
        </w:tc>
        <w:tc>
          <w:tcPr>
            <w:tcW w:w="0" w:type="auto"/>
            <w:gridSpan w:val="3"/>
            <w:shd w:val="clear" w:color="auto" w:fill="auto"/>
            <w:vAlign w:val="bottom"/>
          </w:tcPr>
          <w:p w14:paraId="392CB135" w14:textId="77777777" w:rsidR="00980E5F" w:rsidRDefault="00980E5F">
            <w:pPr>
              <w:rPr>
                <w:rFonts w:ascii="宋体"/>
                <w:vanish/>
              </w:rPr>
            </w:pPr>
          </w:p>
        </w:tc>
        <w:tc>
          <w:tcPr>
            <w:tcW w:w="0" w:type="auto"/>
            <w:gridSpan w:val="3"/>
            <w:shd w:val="clear" w:color="auto" w:fill="auto"/>
            <w:vAlign w:val="bottom"/>
          </w:tcPr>
          <w:p w14:paraId="392CB136" w14:textId="77777777" w:rsidR="00980E5F" w:rsidRDefault="00980E5F">
            <w:pPr>
              <w:rPr>
                <w:rFonts w:ascii="宋体"/>
                <w:vanish/>
              </w:rPr>
            </w:pPr>
          </w:p>
        </w:tc>
        <w:tc>
          <w:tcPr>
            <w:tcW w:w="0" w:type="auto"/>
            <w:gridSpan w:val="3"/>
            <w:shd w:val="clear" w:color="auto" w:fill="auto"/>
            <w:vAlign w:val="bottom"/>
          </w:tcPr>
          <w:p w14:paraId="392CB137" w14:textId="77777777" w:rsidR="00980E5F" w:rsidRDefault="00980E5F">
            <w:pPr>
              <w:rPr>
                <w:rFonts w:ascii="宋体"/>
                <w:vanish/>
              </w:rPr>
            </w:pPr>
          </w:p>
        </w:tc>
        <w:tc>
          <w:tcPr>
            <w:tcW w:w="0" w:type="auto"/>
            <w:gridSpan w:val="3"/>
            <w:shd w:val="clear" w:color="auto" w:fill="auto"/>
            <w:vAlign w:val="bottom"/>
          </w:tcPr>
          <w:p w14:paraId="392CB138" w14:textId="77777777" w:rsidR="00980E5F" w:rsidRDefault="00980E5F">
            <w:pPr>
              <w:rPr>
                <w:rFonts w:ascii="宋体"/>
                <w:vanish/>
              </w:rPr>
            </w:pPr>
          </w:p>
        </w:tc>
        <w:tc>
          <w:tcPr>
            <w:tcW w:w="0" w:type="auto"/>
            <w:gridSpan w:val="3"/>
            <w:shd w:val="clear" w:color="auto" w:fill="auto"/>
            <w:vAlign w:val="bottom"/>
          </w:tcPr>
          <w:p w14:paraId="392CB139" w14:textId="77777777" w:rsidR="00980E5F" w:rsidRDefault="00980E5F">
            <w:pPr>
              <w:rPr>
                <w:rFonts w:ascii="宋体"/>
                <w:vanish/>
              </w:rPr>
            </w:pPr>
          </w:p>
        </w:tc>
        <w:tc>
          <w:tcPr>
            <w:tcW w:w="0" w:type="auto"/>
            <w:gridSpan w:val="3"/>
            <w:shd w:val="clear" w:color="auto" w:fill="auto"/>
            <w:vAlign w:val="bottom"/>
          </w:tcPr>
          <w:p w14:paraId="392CB13A" w14:textId="77777777" w:rsidR="00980E5F" w:rsidRDefault="00980E5F">
            <w:pPr>
              <w:rPr>
                <w:rFonts w:ascii="宋体"/>
                <w:vanish/>
              </w:rPr>
            </w:pPr>
          </w:p>
        </w:tc>
        <w:tc>
          <w:tcPr>
            <w:tcW w:w="0" w:type="auto"/>
            <w:gridSpan w:val="3"/>
            <w:shd w:val="clear" w:color="auto" w:fill="auto"/>
            <w:vAlign w:val="bottom"/>
          </w:tcPr>
          <w:p w14:paraId="392CB13B" w14:textId="77777777" w:rsidR="00980E5F" w:rsidRDefault="00980E5F">
            <w:pPr>
              <w:rPr>
                <w:rFonts w:ascii="宋体"/>
                <w:vanish/>
              </w:rPr>
            </w:pPr>
          </w:p>
        </w:tc>
        <w:tc>
          <w:tcPr>
            <w:tcW w:w="0" w:type="auto"/>
            <w:gridSpan w:val="3"/>
            <w:shd w:val="clear" w:color="auto" w:fill="auto"/>
            <w:vAlign w:val="bottom"/>
          </w:tcPr>
          <w:p w14:paraId="392CB13C" w14:textId="77777777" w:rsidR="00980E5F" w:rsidRDefault="00980E5F">
            <w:pPr>
              <w:rPr>
                <w:rFonts w:ascii="宋体"/>
                <w:vanish/>
              </w:rPr>
            </w:pPr>
          </w:p>
        </w:tc>
        <w:tc>
          <w:tcPr>
            <w:tcW w:w="0" w:type="auto"/>
            <w:gridSpan w:val="3"/>
            <w:shd w:val="clear" w:color="auto" w:fill="auto"/>
            <w:vAlign w:val="bottom"/>
          </w:tcPr>
          <w:p w14:paraId="392CB13D" w14:textId="77777777" w:rsidR="00980E5F" w:rsidRDefault="00980E5F">
            <w:pPr>
              <w:rPr>
                <w:rFonts w:ascii="宋体"/>
                <w:vanish/>
              </w:rPr>
            </w:pPr>
          </w:p>
        </w:tc>
        <w:tc>
          <w:tcPr>
            <w:tcW w:w="0" w:type="auto"/>
            <w:gridSpan w:val="3"/>
            <w:shd w:val="clear" w:color="auto" w:fill="auto"/>
            <w:vAlign w:val="bottom"/>
          </w:tcPr>
          <w:p w14:paraId="392CB13E" w14:textId="77777777" w:rsidR="00980E5F" w:rsidRDefault="00980E5F">
            <w:pPr>
              <w:rPr>
                <w:rFonts w:ascii="宋体"/>
                <w:vanish/>
              </w:rPr>
            </w:pPr>
          </w:p>
        </w:tc>
        <w:tc>
          <w:tcPr>
            <w:tcW w:w="0" w:type="auto"/>
            <w:gridSpan w:val="3"/>
            <w:shd w:val="clear" w:color="auto" w:fill="auto"/>
            <w:vAlign w:val="bottom"/>
          </w:tcPr>
          <w:p w14:paraId="392CB13F" w14:textId="77777777" w:rsidR="00980E5F" w:rsidRDefault="00980E5F">
            <w:pPr>
              <w:rPr>
                <w:rFonts w:ascii="宋体"/>
                <w:vanish/>
              </w:rPr>
            </w:pPr>
          </w:p>
        </w:tc>
        <w:tc>
          <w:tcPr>
            <w:tcW w:w="0" w:type="auto"/>
            <w:gridSpan w:val="3"/>
            <w:shd w:val="clear" w:color="auto" w:fill="auto"/>
            <w:vAlign w:val="bottom"/>
          </w:tcPr>
          <w:p w14:paraId="392CB140" w14:textId="77777777" w:rsidR="00980E5F" w:rsidRDefault="00980E5F">
            <w:pPr>
              <w:rPr>
                <w:rFonts w:ascii="宋体"/>
                <w:vanish/>
              </w:rPr>
            </w:pPr>
          </w:p>
        </w:tc>
        <w:tc>
          <w:tcPr>
            <w:tcW w:w="0" w:type="auto"/>
            <w:gridSpan w:val="3"/>
            <w:shd w:val="clear" w:color="auto" w:fill="auto"/>
            <w:vAlign w:val="bottom"/>
          </w:tcPr>
          <w:p w14:paraId="392CB141" w14:textId="77777777" w:rsidR="00980E5F" w:rsidRDefault="00980E5F">
            <w:pPr>
              <w:rPr>
                <w:rFonts w:ascii="宋体"/>
                <w:vanish/>
              </w:rPr>
            </w:pPr>
          </w:p>
        </w:tc>
        <w:tc>
          <w:tcPr>
            <w:tcW w:w="0" w:type="auto"/>
            <w:gridSpan w:val="3"/>
            <w:shd w:val="clear" w:color="auto" w:fill="auto"/>
            <w:vAlign w:val="bottom"/>
          </w:tcPr>
          <w:p w14:paraId="392CB142" w14:textId="77777777" w:rsidR="00980E5F" w:rsidRDefault="00980E5F">
            <w:pPr>
              <w:rPr>
                <w:rFonts w:ascii="宋体"/>
                <w:vanish/>
              </w:rPr>
            </w:pPr>
          </w:p>
        </w:tc>
        <w:tc>
          <w:tcPr>
            <w:tcW w:w="0" w:type="auto"/>
            <w:gridSpan w:val="3"/>
            <w:shd w:val="clear" w:color="auto" w:fill="auto"/>
            <w:vAlign w:val="bottom"/>
          </w:tcPr>
          <w:p w14:paraId="392CB143" w14:textId="77777777" w:rsidR="00980E5F" w:rsidRDefault="00980E5F">
            <w:pPr>
              <w:rPr>
                <w:rFonts w:ascii="宋体"/>
                <w:vanish/>
              </w:rPr>
            </w:pPr>
          </w:p>
        </w:tc>
        <w:tc>
          <w:tcPr>
            <w:tcW w:w="0" w:type="auto"/>
            <w:gridSpan w:val="3"/>
            <w:shd w:val="clear" w:color="auto" w:fill="auto"/>
            <w:vAlign w:val="bottom"/>
          </w:tcPr>
          <w:p w14:paraId="392CB144" w14:textId="77777777" w:rsidR="00980E5F" w:rsidRDefault="00980E5F">
            <w:pPr>
              <w:rPr>
                <w:rFonts w:ascii="宋体"/>
                <w:vanish/>
              </w:rPr>
            </w:pPr>
          </w:p>
        </w:tc>
        <w:tc>
          <w:tcPr>
            <w:tcW w:w="0" w:type="auto"/>
            <w:gridSpan w:val="3"/>
            <w:shd w:val="clear" w:color="auto" w:fill="auto"/>
            <w:vAlign w:val="bottom"/>
          </w:tcPr>
          <w:p w14:paraId="392CB145" w14:textId="77777777" w:rsidR="00980E5F" w:rsidRDefault="00980E5F">
            <w:pPr>
              <w:rPr>
                <w:rFonts w:ascii="宋体"/>
                <w:vanish/>
              </w:rPr>
            </w:pPr>
          </w:p>
        </w:tc>
        <w:tc>
          <w:tcPr>
            <w:tcW w:w="0" w:type="auto"/>
            <w:gridSpan w:val="3"/>
            <w:shd w:val="clear" w:color="auto" w:fill="auto"/>
            <w:vAlign w:val="bottom"/>
          </w:tcPr>
          <w:p w14:paraId="392CB146" w14:textId="77777777" w:rsidR="00980E5F" w:rsidRDefault="00980E5F">
            <w:pPr>
              <w:rPr>
                <w:rFonts w:ascii="宋体"/>
                <w:vanish/>
              </w:rPr>
            </w:pPr>
          </w:p>
        </w:tc>
      </w:tr>
      <w:tr w:rsidR="00980E5F" w14:paraId="392CB180" w14:textId="77777777">
        <w:trPr>
          <w:hidden/>
        </w:trPr>
        <w:tc>
          <w:tcPr>
            <w:tcW w:w="0" w:type="auto"/>
            <w:gridSpan w:val="3"/>
            <w:shd w:val="clear" w:color="auto" w:fill="auto"/>
            <w:vAlign w:val="bottom"/>
          </w:tcPr>
          <w:p w14:paraId="392CB148" w14:textId="77777777" w:rsidR="00980E5F" w:rsidRDefault="00980E5F">
            <w:pPr>
              <w:rPr>
                <w:rFonts w:ascii="宋体"/>
                <w:vanish/>
              </w:rPr>
            </w:pPr>
          </w:p>
        </w:tc>
        <w:tc>
          <w:tcPr>
            <w:tcW w:w="0" w:type="auto"/>
            <w:gridSpan w:val="3"/>
            <w:shd w:val="clear" w:color="auto" w:fill="auto"/>
            <w:vAlign w:val="bottom"/>
          </w:tcPr>
          <w:p w14:paraId="392CB149" w14:textId="77777777" w:rsidR="00980E5F" w:rsidRDefault="00980E5F">
            <w:pPr>
              <w:rPr>
                <w:rFonts w:ascii="宋体"/>
                <w:vanish/>
              </w:rPr>
            </w:pPr>
          </w:p>
        </w:tc>
        <w:tc>
          <w:tcPr>
            <w:tcW w:w="0" w:type="auto"/>
            <w:shd w:val="clear" w:color="auto" w:fill="auto"/>
            <w:vAlign w:val="bottom"/>
          </w:tcPr>
          <w:p w14:paraId="392CB14A" w14:textId="77777777" w:rsidR="00980E5F" w:rsidRDefault="00980E5F">
            <w:pPr>
              <w:rPr>
                <w:rFonts w:ascii="宋体"/>
              </w:rPr>
            </w:pPr>
          </w:p>
        </w:tc>
        <w:tc>
          <w:tcPr>
            <w:tcW w:w="0" w:type="auto"/>
            <w:shd w:val="clear" w:color="auto" w:fill="auto"/>
            <w:vAlign w:val="bottom"/>
          </w:tcPr>
          <w:p w14:paraId="392CB14B" w14:textId="77777777" w:rsidR="00980E5F" w:rsidRDefault="00980E5F">
            <w:pPr>
              <w:rPr>
                <w:rFonts w:ascii="宋体"/>
              </w:rPr>
            </w:pPr>
          </w:p>
        </w:tc>
        <w:tc>
          <w:tcPr>
            <w:tcW w:w="0" w:type="auto"/>
            <w:shd w:val="clear" w:color="auto" w:fill="auto"/>
            <w:vAlign w:val="bottom"/>
          </w:tcPr>
          <w:p w14:paraId="392CB14C" w14:textId="77777777" w:rsidR="00980E5F" w:rsidRDefault="00980E5F">
            <w:pPr>
              <w:rPr>
                <w:rFonts w:ascii="宋体"/>
              </w:rPr>
            </w:pPr>
          </w:p>
        </w:tc>
        <w:tc>
          <w:tcPr>
            <w:tcW w:w="0" w:type="auto"/>
            <w:shd w:val="clear" w:color="auto" w:fill="auto"/>
            <w:vAlign w:val="bottom"/>
          </w:tcPr>
          <w:p w14:paraId="392CB14D" w14:textId="77777777" w:rsidR="00980E5F" w:rsidRDefault="00980E5F">
            <w:pPr>
              <w:rPr>
                <w:rFonts w:ascii="宋体"/>
              </w:rPr>
            </w:pPr>
          </w:p>
        </w:tc>
        <w:tc>
          <w:tcPr>
            <w:tcW w:w="0" w:type="auto"/>
            <w:shd w:val="clear" w:color="auto" w:fill="auto"/>
            <w:vAlign w:val="bottom"/>
          </w:tcPr>
          <w:p w14:paraId="392CB14E" w14:textId="77777777" w:rsidR="00980E5F" w:rsidRDefault="00980E5F">
            <w:pPr>
              <w:rPr>
                <w:rFonts w:ascii="宋体"/>
              </w:rPr>
            </w:pPr>
          </w:p>
        </w:tc>
        <w:tc>
          <w:tcPr>
            <w:tcW w:w="0" w:type="auto"/>
            <w:shd w:val="clear" w:color="auto" w:fill="auto"/>
            <w:vAlign w:val="bottom"/>
          </w:tcPr>
          <w:p w14:paraId="392CB14F" w14:textId="77777777" w:rsidR="00980E5F" w:rsidRDefault="00980E5F">
            <w:pPr>
              <w:rPr>
                <w:rFonts w:ascii="宋体"/>
              </w:rPr>
            </w:pPr>
          </w:p>
        </w:tc>
        <w:tc>
          <w:tcPr>
            <w:tcW w:w="0" w:type="auto"/>
            <w:shd w:val="clear" w:color="auto" w:fill="auto"/>
            <w:vAlign w:val="bottom"/>
          </w:tcPr>
          <w:p w14:paraId="392CB150" w14:textId="77777777" w:rsidR="00980E5F" w:rsidRDefault="00980E5F">
            <w:pPr>
              <w:rPr>
                <w:rFonts w:ascii="宋体"/>
              </w:rPr>
            </w:pPr>
          </w:p>
        </w:tc>
        <w:tc>
          <w:tcPr>
            <w:tcW w:w="0" w:type="auto"/>
            <w:shd w:val="clear" w:color="auto" w:fill="auto"/>
            <w:vAlign w:val="bottom"/>
          </w:tcPr>
          <w:p w14:paraId="392CB151" w14:textId="77777777" w:rsidR="00980E5F" w:rsidRDefault="00980E5F">
            <w:pPr>
              <w:rPr>
                <w:rFonts w:ascii="宋体"/>
              </w:rPr>
            </w:pPr>
          </w:p>
        </w:tc>
        <w:tc>
          <w:tcPr>
            <w:tcW w:w="0" w:type="auto"/>
            <w:shd w:val="clear" w:color="auto" w:fill="auto"/>
            <w:vAlign w:val="bottom"/>
          </w:tcPr>
          <w:p w14:paraId="392CB152" w14:textId="77777777" w:rsidR="00980E5F" w:rsidRDefault="00980E5F">
            <w:pPr>
              <w:rPr>
                <w:rFonts w:ascii="宋体"/>
              </w:rPr>
            </w:pPr>
          </w:p>
        </w:tc>
        <w:tc>
          <w:tcPr>
            <w:tcW w:w="0" w:type="auto"/>
            <w:shd w:val="clear" w:color="auto" w:fill="auto"/>
            <w:vAlign w:val="bottom"/>
          </w:tcPr>
          <w:p w14:paraId="392CB153" w14:textId="77777777" w:rsidR="00980E5F" w:rsidRDefault="00980E5F">
            <w:pPr>
              <w:rPr>
                <w:rFonts w:ascii="宋体"/>
              </w:rPr>
            </w:pPr>
          </w:p>
        </w:tc>
        <w:tc>
          <w:tcPr>
            <w:tcW w:w="0" w:type="auto"/>
            <w:shd w:val="clear" w:color="auto" w:fill="auto"/>
            <w:vAlign w:val="bottom"/>
          </w:tcPr>
          <w:p w14:paraId="392CB154" w14:textId="77777777" w:rsidR="00980E5F" w:rsidRDefault="00980E5F">
            <w:pPr>
              <w:rPr>
                <w:rFonts w:ascii="宋体"/>
              </w:rPr>
            </w:pPr>
          </w:p>
        </w:tc>
        <w:tc>
          <w:tcPr>
            <w:tcW w:w="0" w:type="auto"/>
            <w:shd w:val="clear" w:color="auto" w:fill="auto"/>
            <w:vAlign w:val="bottom"/>
          </w:tcPr>
          <w:p w14:paraId="392CB155" w14:textId="77777777" w:rsidR="00980E5F" w:rsidRDefault="00980E5F">
            <w:pPr>
              <w:rPr>
                <w:rFonts w:ascii="宋体"/>
              </w:rPr>
            </w:pPr>
          </w:p>
        </w:tc>
        <w:tc>
          <w:tcPr>
            <w:tcW w:w="0" w:type="auto"/>
            <w:shd w:val="clear" w:color="auto" w:fill="auto"/>
            <w:vAlign w:val="bottom"/>
          </w:tcPr>
          <w:p w14:paraId="392CB156" w14:textId="77777777" w:rsidR="00980E5F" w:rsidRDefault="00980E5F">
            <w:pPr>
              <w:rPr>
                <w:rFonts w:ascii="宋体"/>
              </w:rPr>
            </w:pPr>
          </w:p>
        </w:tc>
        <w:tc>
          <w:tcPr>
            <w:tcW w:w="0" w:type="auto"/>
            <w:shd w:val="clear" w:color="auto" w:fill="auto"/>
            <w:vAlign w:val="bottom"/>
          </w:tcPr>
          <w:p w14:paraId="392CB157" w14:textId="77777777" w:rsidR="00980E5F" w:rsidRDefault="00980E5F">
            <w:pPr>
              <w:rPr>
                <w:rFonts w:ascii="宋体"/>
              </w:rPr>
            </w:pPr>
          </w:p>
        </w:tc>
        <w:tc>
          <w:tcPr>
            <w:tcW w:w="0" w:type="auto"/>
            <w:shd w:val="clear" w:color="auto" w:fill="auto"/>
            <w:vAlign w:val="bottom"/>
          </w:tcPr>
          <w:p w14:paraId="392CB158" w14:textId="77777777" w:rsidR="00980E5F" w:rsidRDefault="00980E5F">
            <w:pPr>
              <w:rPr>
                <w:rFonts w:ascii="宋体"/>
              </w:rPr>
            </w:pPr>
          </w:p>
        </w:tc>
        <w:tc>
          <w:tcPr>
            <w:tcW w:w="0" w:type="auto"/>
            <w:shd w:val="clear" w:color="auto" w:fill="auto"/>
            <w:vAlign w:val="bottom"/>
          </w:tcPr>
          <w:p w14:paraId="392CB159" w14:textId="77777777" w:rsidR="00980E5F" w:rsidRDefault="00980E5F">
            <w:pPr>
              <w:rPr>
                <w:rFonts w:ascii="宋体"/>
              </w:rPr>
            </w:pPr>
          </w:p>
        </w:tc>
        <w:tc>
          <w:tcPr>
            <w:tcW w:w="0" w:type="auto"/>
            <w:shd w:val="clear" w:color="auto" w:fill="auto"/>
            <w:vAlign w:val="bottom"/>
          </w:tcPr>
          <w:p w14:paraId="392CB15A" w14:textId="77777777" w:rsidR="00980E5F" w:rsidRDefault="00980E5F">
            <w:pPr>
              <w:rPr>
                <w:rFonts w:ascii="宋体"/>
              </w:rPr>
            </w:pPr>
          </w:p>
        </w:tc>
        <w:tc>
          <w:tcPr>
            <w:tcW w:w="0" w:type="auto"/>
            <w:shd w:val="clear" w:color="auto" w:fill="auto"/>
            <w:vAlign w:val="bottom"/>
          </w:tcPr>
          <w:p w14:paraId="392CB15B" w14:textId="77777777" w:rsidR="00980E5F" w:rsidRDefault="00980E5F">
            <w:pPr>
              <w:rPr>
                <w:rFonts w:ascii="宋体"/>
              </w:rPr>
            </w:pPr>
          </w:p>
        </w:tc>
        <w:tc>
          <w:tcPr>
            <w:tcW w:w="0" w:type="auto"/>
            <w:shd w:val="clear" w:color="auto" w:fill="auto"/>
            <w:vAlign w:val="bottom"/>
          </w:tcPr>
          <w:p w14:paraId="392CB15C" w14:textId="77777777" w:rsidR="00980E5F" w:rsidRDefault="00980E5F">
            <w:pPr>
              <w:rPr>
                <w:rFonts w:ascii="宋体"/>
              </w:rPr>
            </w:pPr>
          </w:p>
        </w:tc>
        <w:tc>
          <w:tcPr>
            <w:tcW w:w="0" w:type="auto"/>
            <w:shd w:val="clear" w:color="auto" w:fill="auto"/>
            <w:vAlign w:val="bottom"/>
          </w:tcPr>
          <w:p w14:paraId="392CB15D" w14:textId="77777777" w:rsidR="00980E5F" w:rsidRDefault="00980E5F">
            <w:pPr>
              <w:rPr>
                <w:rFonts w:ascii="宋体"/>
              </w:rPr>
            </w:pPr>
          </w:p>
        </w:tc>
        <w:tc>
          <w:tcPr>
            <w:tcW w:w="0" w:type="auto"/>
            <w:shd w:val="clear" w:color="auto" w:fill="auto"/>
            <w:vAlign w:val="bottom"/>
          </w:tcPr>
          <w:p w14:paraId="392CB15E" w14:textId="77777777" w:rsidR="00980E5F" w:rsidRDefault="00980E5F">
            <w:pPr>
              <w:rPr>
                <w:rFonts w:ascii="宋体"/>
              </w:rPr>
            </w:pPr>
          </w:p>
        </w:tc>
        <w:tc>
          <w:tcPr>
            <w:tcW w:w="0" w:type="auto"/>
            <w:shd w:val="clear" w:color="auto" w:fill="auto"/>
            <w:vAlign w:val="bottom"/>
          </w:tcPr>
          <w:p w14:paraId="392CB15F" w14:textId="77777777" w:rsidR="00980E5F" w:rsidRDefault="00980E5F">
            <w:pPr>
              <w:rPr>
                <w:rFonts w:ascii="宋体"/>
              </w:rPr>
            </w:pPr>
          </w:p>
        </w:tc>
        <w:tc>
          <w:tcPr>
            <w:tcW w:w="0" w:type="auto"/>
            <w:shd w:val="clear" w:color="auto" w:fill="auto"/>
            <w:vAlign w:val="bottom"/>
          </w:tcPr>
          <w:p w14:paraId="392CB160" w14:textId="77777777" w:rsidR="00980E5F" w:rsidRDefault="00980E5F">
            <w:pPr>
              <w:rPr>
                <w:rFonts w:ascii="宋体"/>
              </w:rPr>
            </w:pPr>
          </w:p>
        </w:tc>
        <w:tc>
          <w:tcPr>
            <w:tcW w:w="0" w:type="auto"/>
            <w:shd w:val="clear" w:color="auto" w:fill="auto"/>
            <w:vAlign w:val="bottom"/>
          </w:tcPr>
          <w:p w14:paraId="392CB161" w14:textId="77777777" w:rsidR="00980E5F" w:rsidRDefault="00980E5F">
            <w:pPr>
              <w:rPr>
                <w:rFonts w:ascii="宋体"/>
              </w:rPr>
            </w:pPr>
          </w:p>
        </w:tc>
        <w:tc>
          <w:tcPr>
            <w:tcW w:w="0" w:type="auto"/>
            <w:shd w:val="clear" w:color="auto" w:fill="auto"/>
            <w:vAlign w:val="bottom"/>
          </w:tcPr>
          <w:p w14:paraId="392CB162" w14:textId="77777777" w:rsidR="00980E5F" w:rsidRDefault="00980E5F">
            <w:pPr>
              <w:rPr>
                <w:rFonts w:ascii="宋体"/>
              </w:rPr>
            </w:pPr>
          </w:p>
        </w:tc>
        <w:tc>
          <w:tcPr>
            <w:tcW w:w="0" w:type="auto"/>
            <w:shd w:val="clear" w:color="auto" w:fill="auto"/>
            <w:vAlign w:val="bottom"/>
          </w:tcPr>
          <w:p w14:paraId="392CB163" w14:textId="77777777" w:rsidR="00980E5F" w:rsidRDefault="00980E5F">
            <w:pPr>
              <w:rPr>
                <w:rFonts w:ascii="宋体"/>
              </w:rPr>
            </w:pPr>
          </w:p>
        </w:tc>
        <w:tc>
          <w:tcPr>
            <w:tcW w:w="0" w:type="auto"/>
            <w:shd w:val="clear" w:color="auto" w:fill="auto"/>
            <w:vAlign w:val="bottom"/>
          </w:tcPr>
          <w:p w14:paraId="392CB164" w14:textId="77777777" w:rsidR="00980E5F" w:rsidRDefault="00980E5F">
            <w:pPr>
              <w:rPr>
                <w:rFonts w:ascii="宋体"/>
              </w:rPr>
            </w:pPr>
          </w:p>
        </w:tc>
        <w:tc>
          <w:tcPr>
            <w:tcW w:w="0" w:type="auto"/>
            <w:shd w:val="clear" w:color="auto" w:fill="auto"/>
            <w:vAlign w:val="bottom"/>
          </w:tcPr>
          <w:p w14:paraId="392CB165" w14:textId="77777777" w:rsidR="00980E5F" w:rsidRDefault="00980E5F">
            <w:pPr>
              <w:rPr>
                <w:rFonts w:ascii="宋体"/>
              </w:rPr>
            </w:pPr>
          </w:p>
        </w:tc>
        <w:tc>
          <w:tcPr>
            <w:tcW w:w="0" w:type="auto"/>
            <w:shd w:val="clear" w:color="auto" w:fill="auto"/>
            <w:vAlign w:val="bottom"/>
          </w:tcPr>
          <w:p w14:paraId="392CB166" w14:textId="77777777" w:rsidR="00980E5F" w:rsidRDefault="00980E5F">
            <w:pPr>
              <w:rPr>
                <w:rFonts w:ascii="宋体"/>
              </w:rPr>
            </w:pPr>
          </w:p>
        </w:tc>
        <w:tc>
          <w:tcPr>
            <w:tcW w:w="0" w:type="auto"/>
            <w:shd w:val="clear" w:color="auto" w:fill="auto"/>
            <w:vAlign w:val="bottom"/>
          </w:tcPr>
          <w:p w14:paraId="392CB167" w14:textId="77777777" w:rsidR="00980E5F" w:rsidRDefault="00980E5F">
            <w:pPr>
              <w:rPr>
                <w:rFonts w:ascii="宋体"/>
              </w:rPr>
            </w:pPr>
          </w:p>
        </w:tc>
        <w:tc>
          <w:tcPr>
            <w:tcW w:w="0" w:type="auto"/>
            <w:shd w:val="clear" w:color="auto" w:fill="auto"/>
            <w:vAlign w:val="bottom"/>
          </w:tcPr>
          <w:p w14:paraId="392CB168" w14:textId="77777777" w:rsidR="00980E5F" w:rsidRDefault="00980E5F">
            <w:pPr>
              <w:rPr>
                <w:rFonts w:ascii="宋体"/>
              </w:rPr>
            </w:pPr>
          </w:p>
        </w:tc>
        <w:tc>
          <w:tcPr>
            <w:tcW w:w="0" w:type="auto"/>
            <w:shd w:val="clear" w:color="auto" w:fill="auto"/>
            <w:vAlign w:val="bottom"/>
          </w:tcPr>
          <w:p w14:paraId="392CB169" w14:textId="77777777" w:rsidR="00980E5F" w:rsidRDefault="00980E5F">
            <w:pPr>
              <w:rPr>
                <w:rFonts w:ascii="宋体"/>
              </w:rPr>
            </w:pPr>
          </w:p>
        </w:tc>
        <w:tc>
          <w:tcPr>
            <w:tcW w:w="0" w:type="auto"/>
            <w:shd w:val="clear" w:color="auto" w:fill="auto"/>
            <w:vAlign w:val="bottom"/>
          </w:tcPr>
          <w:p w14:paraId="392CB16A" w14:textId="77777777" w:rsidR="00980E5F" w:rsidRDefault="00980E5F">
            <w:pPr>
              <w:rPr>
                <w:rFonts w:ascii="宋体"/>
              </w:rPr>
            </w:pPr>
          </w:p>
        </w:tc>
        <w:tc>
          <w:tcPr>
            <w:tcW w:w="0" w:type="auto"/>
            <w:shd w:val="clear" w:color="auto" w:fill="auto"/>
            <w:vAlign w:val="bottom"/>
          </w:tcPr>
          <w:p w14:paraId="392CB16B" w14:textId="77777777" w:rsidR="00980E5F" w:rsidRDefault="00980E5F">
            <w:pPr>
              <w:rPr>
                <w:rFonts w:ascii="宋体"/>
              </w:rPr>
            </w:pPr>
          </w:p>
        </w:tc>
        <w:tc>
          <w:tcPr>
            <w:tcW w:w="0" w:type="auto"/>
            <w:shd w:val="clear" w:color="auto" w:fill="auto"/>
            <w:vAlign w:val="bottom"/>
          </w:tcPr>
          <w:p w14:paraId="392CB16C" w14:textId="77777777" w:rsidR="00980E5F" w:rsidRDefault="00980E5F">
            <w:pPr>
              <w:rPr>
                <w:rFonts w:ascii="宋体"/>
              </w:rPr>
            </w:pPr>
          </w:p>
        </w:tc>
        <w:tc>
          <w:tcPr>
            <w:tcW w:w="0" w:type="auto"/>
            <w:shd w:val="clear" w:color="auto" w:fill="auto"/>
            <w:vAlign w:val="bottom"/>
          </w:tcPr>
          <w:p w14:paraId="392CB16D" w14:textId="77777777" w:rsidR="00980E5F" w:rsidRDefault="00980E5F">
            <w:pPr>
              <w:rPr>
                <w:rFonts w:ascii="宋体"/>
              </w:rPr>
            </w:pPr>
          </w:p>
        </w:tc>
        <w:tc>
          <w:tcPr>
            <w:tcW w:w="0" w:type="auto"/>
            <w:shd w:val="clear" w:color="auto" w:fill="auto"/>
            <w:vAlign w:val="bottom"/>
          </w:tcPr>
          <w:p w14:paraId="392CB16E" w14:textId="77777777" w:rsidR="00980E5F" w:rsidRDefault="00980E5F">
            <w:pPr>
              <w:rPr>
                <w:rFonts w:ascii="宋体"/>
              </w:rPr>
            </w:pPr>
          </w:p>
        </w:tc>
        <w:tc>
          <w:tcPr>
            <w:tcW w:w="0" w:type="auto"/>
            <w:shd w:val="clear" w:color="auto" w:fill="auto"/>
            <w:vAlign w:val="bottom"/>
          </w:tcPr>
          <w:p w14:paraId="392CB16F" w14:textId="77777777" w:rsidR="00980E5F" w:rsidRDefault="00980E5F">
            <w:pPr>
              <w:rPr>
                <w:rFonts w:ascii="宋体"/>
              </w:rPr>
            </w:pPr>
          </w:p>
        </w:tc>
        <w:tc>
          <w:tcPr>
            <w:tcW w:w="0" w:type="auto"/>
            <w:shd w:val="clear" w:color="auto" w:fill="auto"/>
            <w:vAlign w:val="bottom"/>
          </w:tcPr>
          <w:p w14:paraId="392CB170" w14:textId="77777777" w:rsidR="00980E5F" w:rsidRDefault="00980E5F">
            <w:pPr>
              <w:rPr>
                <w:rFonts w:ascii="宋体"/>
              </w:rPr>
            </w:pPr>
          </w:p>
        </w:tc>
        <w:tc>
          <w:tcPr>
            <w:tcW w:w="0" w:type="auto"/>
            <w:shd w:val="clear" w:color="auto" w:fill="auto"/>
            <w:vAlign w:val="bottom"/>
          </w:tcPr>
          <w:p w14:paraId="392CB171" w14:textId="77777777" w:rsidR="00980E5F" w:rsidRDefault="00980E5F">
            <w:pPr>
              <w:rPr>
                <w:rFonts w:ascii="宋体"/>
              </w:rPr>
            </w:pPr>
          </w:p>
        </w:tc>
        <w:tc>
          <w:tcPr>
            <w:tcW w:w="0" w:type="auto"/>
            <w:shd w:val="clear" w:color="auto" w:fill="auto"/>
            <w:vAlign w:val="bottom"/>
          </w:tcPr>
          <w:p w14:paraId="392CB172" w14:textId="77777777" w:rsidR="00980E5F" w:rsidRDefault="00980E5F">
            <w:pPr>
              <w:rPr>
                <w:rFonts w:ascii="宋体"/>
              </w:rPr>
            </w:pPr>
          </w:p>
        </w:tc>
        <w:tc>
          <w:tcPr>
            <w:tcW w:w="0" w:type="auto"/>
            <w:shd w:val="clear" w:color="auto" w:fill="auto"/>
            <w:vAlign w:val="bottom"/>
          </w:tcPr>
          <w:p w14:paraId="392CB173" w14:textId="77777777" w:rsidR="00980E5F" w:rsidRDefault="00980E5F">
            <w:pPr>
              <w:rPr>
                <w:rFonts w:ascii="宋体"/>
              </w:rPr>
            </w:pPr>
          </w:p>
        </w:tc>
        <w:tc>
          <w:tcPr>
            <w:tcW w:w="0" w:type="auto"/>
            <w:shd w:val="clear" w:color="auto" w:fill="auto"/>
            <w:vAlign w:val="bottom"/>
          </w:tcPr>
          <w:p w14:paraId="392CB174" w14:textId="77777777" w:rsidR="00980E5F" w:rsidRDefault="00980E5F">
            <w:pPr>
              <w:rPr>
                <w:rFonts w:ascii="宋体"/>
              </w:rPr>
            </w:pPr>
          </w:p>
        </w:tc>
        <w:tc>
          <w:tcPr>
            <w:tcW w:w="0" w:type="auto"/>
            <w:shd w:val="clear" w:color="auto" w:fill="auto"/>
            <w:vAlign w:val="bottom"/>
          </w:tcPr>
          <w:p w14:paraId="392CB175" w14:textId="77777777" w:rsidR="00980E5F" w:rsidRDefault="00980E5F">
            <w:pPr>
              <w:rPr>
                <w:rFonts w:ascii="宋体"/>
              </w:rPr>
            </w:pPr>
          </w:p>
        </w:tc>
        <w:tc>
          <w:tcPr>
            <w:tcW w:w="0" w:type="auto"/>
            <w:shd w:val="clear" w:color="auto" w:fill="auto"/>
            <w:vAlign w:val="bottom"/>
          </w:tcPr>
          <w:p w14:paraId="392CB176" w14:textId="77777777" w:rsidR="00980E5F" w:rsidRDefault="00980E5F">
            <w:pPr>
              <w:rPr>
                <w:rFonts w:ascii="宋体"/>
              </w:rPr>
            </w:pPr>
          </w:p>
        </w:tc>
        <w:tc>
          <w:tcPr>
            <w:tcW w:w="0" w:type="auto"/>
            <w:shd w:val="clear" w:color="auto" w:fill="auto"/>
            <w:vAlign w:val="bottom"/>
          </w:tcPr>
          <w:p w14:paraId="392CB177" w14:textId="77777777" w:rsidR="00980E5F" w:rsidRDefault="00980E5F">
            <w:pPr>
              <w:rPr>
                <w:rFonts w:ascii="宋体"/>
              </w:rPr>
            </w:pPr>
          </w:p>
        </w:tc>
        <w:tc>
          <w:tcPr>
            <w:tcW w:w="0" w:type="auto"/>
            <w:shd w:val="clear" w:color="auto" w:fill="auto"/>
            <w:vAlign w:val="bottom"/>
          </w:tcPr>
          <w:p w14:paraId="392CB178" w14:textId="77777777" w:rsidR="00980E5F" w:rsidRDefault="00980E5F">
            <w:pPr>
              <w:rPr>
                <w:rFonts w:ascii="宋体"/>
              </w:rPr>
            </w:pPr>
          </w:p>
        </w:tc>
        <w:tc>
          <w:tcPr>
            <w:tcW w:w="0" w:type="auto"/>
            <w:shd w:val="clear" w:color="auto" w:fill="auto"/>
            <w:vAlign w:val="bottom"/>
          </w:tcPr>
          <w:p w14:paraId="392CB179" w14:textId="77777777" w:rsidR="00980E5F" w:rsidRDefault="00980E5F">
            <w:pPr>
              <w:rPr>
                <w:rFonts w:ascii="宋体"/>
              </w:rPr>
            </w:pPr>
          </w:p>
        </w:tc>
        <w:tc>
          <w:tcPr>
            <w:tcW w:w="0" w:type="auto"/>
            <w:shd w:val="clear" w:color="auto" w:fill="auto"/>
            <w:vAlign w:val="bottom"/>
          </w:tcPr>
          <w:p w14:paraId="392CB17A" w14:textId="77777777" w:rsidR="00980E5F" w:rsidRDefault="00980E5F">
            <w:pPr>
              <w:rPr>
                <w:rFonts w:ascii="宋体"/>
              </w:rPr>
            </w:pPr>
          </w:p>
        </w:tc>
        <w:tc>
          <w:tcPr>
            <w:tcW w:w="0" w:type="auto"/>
            <w:shd w:val="clear" w:color="auto" w:fill="auto"/>
            <w:vAlign w:val="bottom"/>
          </w:tcPr>
          <w:p w14:paraId="392CB17B" w14:textId="77777777" w:rsidR="00980E5F" w:rsidRDefault="00980E5F">
            <w:pPr>
              <w:rPr>
                <w:rFonts w:ascii="宋体"/>
              </w:rPr>
            </w:pPr>
          </w:p>
        </w:tc>
        <w:tc>
          <w:tcPr>
            <w:tcW w:w="0" w:type="auto"/>
            <w:shd w:val="clear" w:color="auto" w:fill="auto"/>
            <w:vAlign w:val="bottom"/>
          </w:tcPr>
          <w:p w14:paraId="392CB17C" w14:textId="77777777" w:rsidR="00980E5F" w:rsidRDefault="00980E5F">
            <w:pPr>
              <w:rPr>
                <w:rFonts w:ascii="宋体"/>
              </w:rPr>
            </w:pPr>
          </w:p>
        </w:tc>
        <w:tc>
          <w:tcPr>
            <w:tcW w:w="0" w:type="auto"/>
            <w:shd w:val="clear" w:color="auto" w:fill="auto"/>
            <w:vAlign w:val="bottom"/>
          </w:tcPr>
          <w:p w14:paraId="392CB17D" w14:textId="77777777" w:rsidR="00980E5F" w:rsidRDefault="00980E5F">
            <w:pPr>
              <w:rPr>
                <w:rFonts w:ascii="宋体"/>
              </w:rPr>
            </w:pPr>
          </w:p>
        </w:tc>
        <w:tc>
          <w:tcPr>
            <w:tcW w:w="0" w:type="auto"/>
            <w:shd w:val="clear" w:color="auto" w:fill="auto"/>
            <w:vAlign w:val="bottom"/>
          </w:tcPr>
          <w:p w14:paraId="392CB17E" w14:textId="77777777" w:rsidR="00980E5F" w:rsidRDefault="00980E5F">
            <w:pPr>
              <w:rPr>
                <w:rFonts w:ascii="宋体"/>
              </w:rPr>
            </w:pPr>
          </w:p>
        </w:tc>
        <w:tc>
          <w:tcPr>
            <w:tcW w:w="0" w:type="auto"/>
            <w:shd w:val="clear" w:color="auto" w:fill="auto"/>
            <w:vAlign w:val="bottom"/>
          </w:tcPr>
          <w:p w14:paraId="392CB17F" w14:textId="77777777" w:rsidR="00980E5F" w:rsidRDefault="00980E5F">
            <w:pPr>
              <w:rPr>
                <w:rFonts w:ascii="宋体"/>
              </w:rPr>
            </w:pPr>
          </w:p>
        </w:tc>
      </w:tr>
      <w:tr w:rsidR="00980E5F" w14:paraId="392CB1AD" w14:textId="77777777">
        <w:trPr>
          <w:hidden/>
        </w:trPr>
        <w:tc>
          <w:tcPr>
            <w:tcW w:w="0" w:type="auto"/>
            <w:gridSpan w:val="3"/>
            <w:shd w:val="clear" w:color="auto" w:fill="auto"/>
            <w:vAlign w:val="bottom"/>
          </w:tcPr>
          <w:p w14:paraId="392CB181" w14:textId="77777777" w:rsidR="00980E5F" w:rsidRDefault="00980E5F">
            <w:pPr>
              <w:rPr>
                <w:rFonts w:ascii="宋体"/>
                <w:vanish/>
              </w:rPr>
            </w:pPr>
          </w:p>
        </w:tc>
        <w:tc>
          <w:tcPr>
            <w:tcW w:w="0" w:type="auto"/>
            <w:gridSpan w:val="3"/>
            <w:shd w:val="clear" w:color="auto" w:fill="auto"/>
            <w:vAlign w:val="bottom"/>
          </w:tcPr>
          <w:p w14:paraId="392CB182" w14:textId="77777777" w:rsidR="00980E5F" w:rsidRDefault="00980E5F">
            <w:pPr>
              <w:rPr>
                <w:rFonts w:ascii="宋体"/>
                <w:vanish/>
              </w:rPr>
            </w:pPr>
          </w:p>
        </w:tc>
        <w:tc>
          <w:tcPr>
            <w:tcW w:w="0" w:type="auto"/>
            <w:gridSpan w:val="3"/>
            <w:shd w:val="clear" w:color="auto" w:fill="auto"/>
            <w:vAlign w:val="bottom"/>
          </w:tcPr>
          <w:p w14:paraId="392CB183" w14:textId="77777777" w:rsidR="00980E5F" w:rsidRDefault="00980E5F">
            <w:pPr>
              <w:rPr>
                <w:rFonts w:ascii="宋体"/>
                <w:vanish/>
              </w:rPr>
            </w:pPr>
          </w:p>
        </w:tc>
        <w:tc>
          <w:tcPr>
            <w:tcW w:w="0" w:type="auto"/>
            <w:gridSpan w:val="3"/>
            <w:shd w:val="clear" w:color="auto" w:fill="auto"/>
            <w:vAlign w:val="bottom"/>
          </w:tcPr>
          <w:p w14:paraId="392CB184" w14:textId="77777777" w:rsidR="00980E5F" w:rsidRDefault="00980E5F">
            <w:pPr>
              <w:rPr>
                <w:rFonts w:ascii="宋体"/>
                <w:vanish/>
              </w:rPr>
            </w:pPr>
          </w:p>
        </w:tc>
        <w:tc>
          <w:tcPr>
            <w:tcW w:w="0" w:type="auto"/>
            <w:gridSpan w:val="3"/>
            <w:shd w:val="clear" w:color="auto" w:fill="auto"/>
            <w:vAlign w:val="bottom"/>
          </w:tcPr>
          <w:p w14:paraId="392CB185" w14:textId="77777777" w:rsidR="00980E5F" w:rsidRDefault="00980E5F">
            <w:pPr>
              <w:rPr>
                <w:rFonts w:ascii="宋体"/>
                <w:vanish/>
              </w:rPr>
            </w:pPr>
          </w:p>
        </w:tc>
        <w:tc>
          <w:tcPr>
            <w:tcW w:w="0" w:type="auto"/>
            <w:gridSpan w:val="3"/>
            <w:shd w:val="clear" w:color="auto" w:fill="auto"/>
            <w:vAlign w:val="bottom"/>
          </w:tcPr>
          <w:p w14:paraId="392CB186" w14:textId="77777777" w:rsidR="00980E5F" w:rsidRDefault="00980E5F">
            <w:pPr>
              <w:rPr>
                <w:rFonts w:ascii="宋体"/>
                <w:vanish/>
              </w:rPr>
            </w:pPr>
          </w:p>
        </w:tc>
        <w:tc>
          <w:tcPr>
            <w:tcW w:w="0" w:type="auto"/>
            <w:gridSpan w:val="3"/>
            <w:shd w:val="clear" w:color="auto" w:fill="auto"/>
            <w:vAlign w:val="bottom"/>
          </w:tcPr>
          <w:p w14:paraId="392CB187" w14:textId="77777777" w:rsidR="00980E5F" w:rsidRDefault="00980E5F">
            <w:pPr>
              <w:rPr>
                <w:rFonts w:ascii="宋体"/>
                <w:vanish/>
              </w:rPr>
            </w:pPr>
          </w:p>
        </w:tc>
        <w:tc>
          <w:tcPr>
            <w:tcW w:w="0" w:type="auto"/>
            <w:gridSpan w:val="3"/>
            <w:shd w:val="clear" w:color="auto" w:fill="auto"/>
            <w:vAlign w:val="bottom"/>
          </w:tcPr>
          <w:p w14:paraId="392CB188" w14:textId="77777777" w:rsidR="00980E5F" w:rsidRDefault="00980E5F">
            <w:pPr>
              <w:rPr>
                <w:rFonts w:ascii="宋体"/>
                <w:vanish/>
              </w:rPr>
            </w:pPr>
          </w:p>
        </w:tc>
        <w:tc>
          <w:tcPr>
            <w:tcW w:w="0" w:type="auto"/>
            <w:shd w:val="clear" w:color="auto" w:fill="auto"/>
            <w:vAlign w:val="bottom"/>
          </w:tcPr>
          <w:p w14:paraId="392CB189" w14:textId="77777777" w:rsidR="00980E5F" w:rsidRDefault="00980E5F">
            <w:pPr>
              <w:rPr>
                <w:rFonts w:ascii="宋体"/>
              </w:rPr>
            </w:pPr>
          </w:p>
        </w:tc>
        <w:tc>
          <w:tcPr>
            <w:tcW w:w="0" w:type="auto"/>
            <w:shd w:val="clear" w:color="auto" w:fill="auto"/>
            <w:vAlign w:val="bottom"/>
          </w:tcPr>
          <w:p w14:paraId="392CB18A" w14:textId="77777777" w:rsidR="00980E5F" w:rsidRDefault="00980E5F">
            <w:pPr>
              <w:rPr>
                <w:rFonts w:ascii="宋体"/>
              </w:rPr>
            </w:pPr>
          </w:p>
        </w:tc>
        <w:tc>
          <w:tcPr>
            <w:tcW w:w="0" w:type="auto"/>
            <w:shd w:val="clear" w:color="auto" w:fill="auto"/>
            <w:vAlign w:val="bottom"/>
          </w:tcPr>
          <w:p w14:paraId="392CB18B" w14:textId="77777777" w:rsidR="00980E5F" w:rsidRDefault="00980E5F">
            <w:pPr>
              <w:rPr>
                <w:rFonts w:ascii="宋体"/>
              </w:rPr>
            </w:pPr>
          </w:p>
        </w:tc>
        <w:tc>
          <w:tcPr>
            <w:tcW w:w="0" w:type="auto"/>
            <w:shd w:val="clear" w:color="auto" w:fill="auto"/>
            <w:vAlign w:val="bottom"/>
          </w:tcPr>
          <w:p w14:paraId="392CB18C" w14:textId="77777777" w:rsidR="00980E5F" w:rsidRDefault="00980E5F">
            <w:pPr>
              <w:rPr>
                <w:rFonts w:ascii="宋体"/>
              </w:rPr>
            </w:pPr>
          </w:p>
        </w:tc>
        <w:tc>
          <w:tcPr>
            <w:tcW w:w="0" w:type="auto"/>
            <w:shd w:val="clear" w:color="auto" w:fill="auto"/>
            <w:vAlign w:val="bottom"/>
          </w:tcPr>
          <w:p w14:paraId="392CB18D" w14:textId="77777777" w:rsidR="00980E5F" w:rsidRDefault="00980E5F">
            <w:pPr>
              <w:rPr>
                <w:rFonts w:ascii="宋体"/>
              </w:rPr>
            </w:pPr>
          </w:p>
        </w:tc>
        <w:tc>
          <w:tcPr>
            <w:tcW w:w="0" w:type="auto"/>
            <w:shd w:val="clear" w:color="auto" w:fill="auto"/>
            <w:vAlign w:val="bottom"/>
          </w:tcPr>
          <w:p w14:paraId="392CB18E" w14:textId="77777777" w:rsidR="00980E5F" w:rsidRDefault="00980E5F">
            <w:pPr>
              <w:rPr>
                <w:rFonts w:ascii="宋体"/>
              </w:rPr>
            </w:pPr>
          </w:p>
        </w:tc>
        <w:tc>
          <w:tcPr>
            <w:tcW w:w="0" w:type="auto"/>
            <w:shd w:val="clear" w:color="auto" w:fill="auto"/>
            <w:vAlign w:val="bottom"/>
          </w:tcPr>
          <w:p w14:paraId="392CB18F" w14:textId="77777777" w:rsidR="00980E5F" w:rsidRDefault="00980E5F">
            <w:pPr>
              <w:rPr>
                <w:rFonts w:ascii="宋体"/>
              </w:rPr>
            </w:pPr>
          </w:p>
        </w:tc>
        <w:tc>
          <w:tcPr>
            <w:tcW w:w="0" w:type="auto"/>
            <w:shd w:val="clear" w:color="auto" w:fill="auto"/>
            <w:vAlign w:val="bottom"/>
          </w:tcPr>
          <w:p w14:paraId="392CB190" w14:textId="77777777" w:rsidR="00980E5F" w:rsidRDefault="00980E5F">
            <w:pPr>
              <w:rPr>
                <w:rFonts w:ascii="宋体"/>
              </w:rPr>
            </w:pPr>
          </w:p>
        </w:tc>
        <w:tc>
          <w:tcPr>
            <w:tcW w:w="0" w:type="auto"/>
            <w:shd w:val="clear" w:color="auto" w:fill="auto"/>
            <w:vAlign w:val="bottom"/>
          </w:tcPr>
          <w:p w14:paraId="392CB191" w14:textId="77777777" w:rsidR="00980E5F" w:rsidRDefault="00980E5F">
            <w:pPr>
              <w:rPr>
                <w:rFonts w:ascii="宋体"/>
              </w:rPr>
            </w:pPr>
          </w:p>
        </w:tc>
        <w:tc>
          <w:tcPr>
            <w:tcW w:w="0" w:type="auto"/>
            <w:shd w:val="clear" w:color="auto" w:fill="auto"/>
            <w:vAlign w:val="bottom"/>
          </w:tcPr>
          <w:p w14:paraId="392CB192" w14:textId="77777777" w:rsidR="00980E5F" w:rsidRDefault="00980E5F">
            <w:pPr>
              <w:rPr>
                <w:rFonts w:ascii="宋体"/>
              </w:rPr>
            </w:pPr>
          </w:p>
        </w:tc>
        <w:tc>
          <w:tcPr>
            <w:tcW w:w="0" w:type="auto"/>
            <w:shd w:val="clear" w:color="auto" w:fill="auto"/>
            <w:vAlign w:val="bottom"/>
          </w:tcPr>
          <w:p w14:paraId="392CB193" w14:textId="77777777" w:rsidR="00980E5F" w:rsidRDefault="00980E5F">
            <w:pPr>
              <w:rPr>
                <w:rFonts w:ascii="宋体"/>
              </w:rPr>
            </w:pPr>
          </w:p>
        </w:tc>
        <w:tc>
          <w:tcPr>
            <w:tcW w:w="0" w:type="auto"/>
            <w:shd w:val="clear" w:color="auto" w:fill="auto"/>
            <w:vAlign w:val="bottom"/>
          </w:tcPr>
          <w:p w14:paraId="392CB194" w14:textId="77777777" w:rsidR="00980E5F" w:rsidRDefault="00980E5F">
            <w:pPr>
              <w:rPr>
                <w:rFonts w:ascii="宋体"/>
              </w:rPr>
            </w:pPr>
          </w:p>
        </w:tc>
        <w:tc>
          <w:tcPr>
            <w:tcW w:w="0" w:type="auto"/>
            <w:shd w:val="clear" w:color="auto" w:fill="auto"/>
            <w:vAlign w:val="bottom"/>
          </w:tcPr>
          <w:p w14:paraId="392CB195" w14:textId="77777777" w:rsidR="00980E5F" w:rsidRDefault="00980E5F">
            <w:pPr>
              <w:rPr>
                <w:rFonts w:ascii="宋体"/>
              </w:rPr>
            </w:pPr>
          </w:p>
        </w:tc>
        <w:tc>
          <w:tcPr>
            <w:tcW w:w="0" w:type="auto"/>
            <w:shd w:val="clear" w:color="auto" w:fill="auto"/>
            <w:vAlign w:val="bottom"/>
          </w:tcPr>
          <w:p w14:paraId="392CB196" w14:textId="77777777" w:rsidR="00980E5F" w:rsidRDefault="00980E5F">
            <w:pPr>
              <w:rPr>
                <w:rFonts w:ascii="宋体"/>
              </w:rPr>
            </w:pPr>
          </w:p>
        </w:tc>
        <w:tc>
          <w:tcPr>
            <w:tcW w:w="0" w:type="auto"/>
            <w:shd w:val="clear" w:color="auto" w:fill="auto"/>
            <w:vAlign w:val="bottom"/>
          </w:tcPr>
          <w:p w14:paraId="392CB197" w14:textId="77777777" w:rsidR="00980E5F" w:rsidRDefault="00980E5F">
            <w:pPr>
              <w:rPr>
                <w:rFonts w:ascii="宋体"/>
              </w:rPr>
            </w:pPr>
          </w:p>
        </w:tc>
        <w:tc>
          <w:tcPr>
            <w:tcW w:w="0" w:type="auto"/>
            <w:shd w:val="clear" w:color="auto" w:fill="auto"/>
            <w:vAlign w:val="bottom"/>
          </w:tcPr>
          <w:p w14:paraId="392CB198" w14:textId="77777777" w:rsidR="00980E5F" w:rsidRDefault="00980E5F">
            <w:pPr>
              <w:rPr>
                <w:rFonts w:ascii="宋体"/>
              </w:rPr>
            </w:pPr>
          </w:p>
        </w:tc>
        <w:tc>
          <w:tcPr>
            <w:tcW w:w="0" w:type="auto"/>
            <w:shd w:val="clear" w:color="auto" w:fill="auto"/>
            <w:vAlign w:val="bottom"/>
          </w:tcPr>
          <w:p w14:paraId="392CB199" w14:textId="77777777" w:rsidR="00980E5F" w:rsidRDefault="00980E5F">
            <w:pPr>
              <w:rPr>
                <w:rFonts w:ascii="宋体"/>
              </w:rPr>
            </w:pPr>
          </w:p>
        </w:tc>
        <w:tc>
          <w:tcPr>
            <w:tcW w:w="0" w:type="auto"/>
            <w:shd w:val="clear" w:color="auto" w:fill="auto"/>
            <w:vAlign w:val="bottom"/>
          </w:tcPr>
          <w:p w14:paraId="392CB19A" w14:textId="77777777" w:rsidR="00980E5F" w:rsidRDefault="00980E5F">
            <w:pPr>
              <w:rPr>
                <w:rFonts w:ascii="宋体"/>
              </w:rPr>
            </w:pPr>
          </w:p>
        </w:tc>
        <w:tc>
          <w:tcPr>
            <w:tcW w:w="0" w:type="auto"/>
            <w:shd w:val="clear" w:color="auto" w:fill="auto"/>
            <w:vAlign w:val="bottom"/>
          </w:tcPr>
          <w:p w14:paraId="392CB19B" w14:textId="77777777" w:rsidR="00980E5F" w:rsidRDefault="00980E5F">
            <w:pPr>
              <w:rPr>
                <w:rFonts w:ascii="宋体"/>
              </w:rPr>
            </w:pPr>
          </w:p>
        </w:tc>
        <w:tc>
          <w:tcPr>
            <w:tcW w:w="0" w:type="auto"/>
            <w:shd w:val="clear" w:color="auto" w:fill="auto"/>
            <w:vAlign w:val="bottom"/>
          </w:tcPr>
          <w:p w14:paraId="392CB19C" w14:textId="77777777" w:rsidR="00980E5F" w:rsidRDefault="00980E5F">
            <w:pPr>
              <w:rPr>
                <w:rFonts w:ascii="宋体"/>
              </w:rPr>
            </w:pPr>
          </w:p>
        </w:tc>
        <w:tc>
          <w:tcPr>
            <w:tcW w:w="0" w:type="auto"/>
            <w:shd w:val="clear" w:color="auto" w:fill="auto"/>
            <w:vAlign w:val="bottom"/>
          </w:tcPr>
          <w:p w14:paraId="392CB19D" w14:textId="77777777" w:rsidR="00980E5F" w:rsidRDefault="00980E5F">
            <w:pPr>
              <w:rPr>
                <w:rFonts w:ascii="宋体"/>
              </w:rPr>
            </w:pPr>
          </w:p>
        </w:tc>
        <w:tc>
          <w:tcPr>
            <w:tcW w:w="0" w:type="auto"/>
            <w:shd w:val="clear" w:color="auto" w:fill="auto"/>
            <w:vAlign w:val="bottom"/>
          </w:tcPr>
          <w:p w14:paraId="392CB19E" w14:textId="77777777" w:rsidR="00980E5F" w:rsidRDefault="00980E5F">
            <w:pPr>
              <w:rPr>
                <w:rFonts w:ascii="宋体"/>
              </w:rPr>
            </w:pPr>
          </w:p>
        </w:tc>
        <w:tc>
          <w:tcPr>
            <w:tcW w:w="0" w:type="auto"/>
            <w:shd w:val="clear" w:color="auto" w:fill="auto"/>
            <w:vAlign w:val="bottom"/>
          </w:tcPr>
          <w:p w14:paraId="392CB19F" w14:textId="77777777" w:rsidR="00980E5F" w:rsidRDefault="00980E5F">
            <w:pPr>
              <w:rPr>
                <w:rFonts w:ascii="宋体"/>
              </w:rPr>
            </w:pPr>
          </w:p>
        </w:tc>
        <w:tc>
          <w:tcPr>
            <w:tcW w:w="0" w:type="auto"/>
            <w:shd w:val="clear" w:color="auto" w:fill="auto"/>
            <w:vAlign w:val="bottom"/>
          </w:tcPr>
          <w:p w14:paraId="392CB1A0" w14:textId="77777777" w:rsidR="00980E5F" w:rsidRDefault="00980E5F">
            <w:pPr>
              <w:rPr>
                <w:rFonts w:ascii="宋体"/>
              </w:rPr>
            </w:pPr>
          </w:p>
        </w:tc>
        <w:tc>
          <w:tcPr>
            <w:tcW w:w="0" w:type="auto"/>
            <w:shd w:val="clear" w:color="auto" w:fill="auto"/>
            <w:vAlign w:val="bottom"/>
          </w:tcPr>
          <w:p w14:paraId="392CB1A1" w14:textId="77777777" w:rsidR="00980E5F" w:rsidRDefault="00980E5F">
            <w:pPr>
              <w:rPr>
                <w:rFonts w:ascii="宋体"/>
              </w:rPr>
            </w:pPr>
          </w:p>
        </w:tc>
        <w:tc>
          <w:tcPr>
            <w:tcW w:w="0" w:type="auto"/>
            <w:shd w:val="clear" w:color="auto" w:fill="auto"/>
            <w:vAlign w:val="bottom"/>
          </w:tcPr>
          <w:p w14:paraId="392CB1A2" w14:textId="77777777" w:rsidR="00980E5F" w:rsidRDefault="00980E5F">
            <w:pPr>
              <w:rPr>
                <w:rFonts w:ascii="宋体"/>
              </w:rPr>
            </w:pPr>
          </w:p>
        </w:tc>
        <w:tc>
          <w:tcPr>
            <w:tcW w:w="0" w:type="auto"/>
            <w:shd w:val="clear" w:color="auto" w:fill="auto"/>
            <w:vAlign w:val="bottom"/>
          </w:tcPr>
          <w:p w14:paraId="392CB1A3" w14:textId="77777777" w:rsidR="00980E5F" w:rsidRDefault="00980E5F">
            <w:pPr>
              <w:rPr>
                <w:rFonts w:ascii="宋体"/>
              </w:rPr>
            </w:pPr>
          </w:p>
        </w:tc>
        <w:tc>
          <w:tcPr>
            <w:tcW w:w="0" w:type="auto"/>
            <w:shd w:val="clear" w:color="auto" w:fill="auto"/>
            <w:vAlign w:val="bottom"/>
          </w:tcPr>
          <w:p w14:paraId="392CB1A4" w14:textId="77777777" w:rsidR="00980E5F" w:rsidRDefault="00980E5F">
            <w:pPr>
              <w:rPr>
                <w:rFonts w:ascii="宋体"/>
              </w:rPr>
            </w:pPr>
          </w:p>
        </w:tc>
        <w:tc>
          <w:tcPr>
            <w:tcW w:w="0" w:type="auto"/>
            <w:shd w:val="clear" w:color="auto" w:fill="auto"/>
            <w:vAlign w:val="bottom"/>
          </w:tcPr>
          <w:p w14:paraId="392CB1A5" w14:textId="77777777" w:rsidR="00980E5F" w:rsidRDefault="00980E5F">
            <w:pPr>
              <w:rPr>
                <w:rFonts w:ascii="宋体"/>
              </w:rPr>
            </w:pPr>
          </w:p>
        </w:tc>
        <w:tc>
          <w:tcPr>
            <w:tcW w:w="0" w:type="auto"/>
            <w:shd w:val="clear" w:color="auto" w:fill="auto"/>
            <w:vAlign w:val="bottom"/>
          </w:tcPr>
          <w:p w14:paraId="392CB1A6" w14:textId="77777777" w:rsidR="00980E5F" w:rsidRDefault="00980E5F">
            <w:pPr>
              <w:rPr>
                <w:rFonts w:ascii="宋体"/>
              </w:rPr>
            </w:pPr>
          </w:p>
        </w:tc>
        <w:tc>
          <w:tcPr>
            <w:tcW w:w="0" w:type="auto"/>
            <w:shd w:val="clear" w:color="auto" w:fill="auto"/>
            <w:vAlign w:val="bottom"/>
          </w:tcPr>
          <w:p w14:paraId="392CB1A7" w14:textId="77777777" w:rsidR="00980E5F" w:rsidRDefault="00980E5F">
            <w:pPr>
              <w:rPr>
                <w:rFonts w:ascii="宋体"/>
              </w:rPr>
            </w:pPr>
          </w:p>
        </w:tc>
        <w:tc>
          <w:tcPr>
            <w:tcW w:w="0" w:type="auto"/>
            <w:shd w:val="clear" w:color="auto" w:fill="auto"/>
            <w:vAlign w:val="bottom"/>
          </w:tcPr>
          <w:p w14:paraId="392CB1A8" w14:textId="77777777" w:rsidR="00980E5F" w:rsidRDefault="00980E5F">
            <w:pPr>
              <w:rPr>
                <w:rFonts w:ascii="宋体"/>
              </w:rPr>
            </w:pPr>
          </w:p>
        </w:tc>
        <w:tc>
          <w:tcPr>
            <w:tcW w:w="0" w:type="auto"/>
            <w:shd w:val="clear" w:color="auto" w:fill="auto"/>
            <w:vAlign w:val="bottom"/>
          </w:tcPr>
          <w:p w14:paraId="392CB1A9" w14:textId="77777777" w:rsidR="00980E5F" w:rsidRDefault="00980E5F">
            <w:pPr>
              <w:rPr>
                <w:rFonts w:ascii="宋体"/>
              </w:rPr>
            </w:pPr>
          </w:p>
        </w:tc>
        <w:tc>
          <w:tcPr>
            <w:tcW w:w="0" w:type="auto"/>
            <w:shd w:val="clear" w:color="auto" w:fill="auto"/>
            <w:vAlign w:val="bottom"/>
          </w:tcPr>
          <w:p w14:paraId="392CB1AA" w14:textId="77777777" w:rsidR="00980E5F" w:rsidRDefault="00980E5F">
            <w:pPr>
              <w:rPr>
                <w:rFonts w:ascii="宋体"/>
              </w:rPr>
            </w:pPr>
          </w:p>
        </w:tc>
        <w:tc>
          <w:tcPr>
            <w:tcW w:w="0" w:type="auto"/>
            <w:shd w:val="clear" w:color="auto" w:fill="auto"/>
            <w:vAlign w:val="bottom"/>
          </w:tcPr>
          <w:p w14:paraId="392CB1AB" w14:textId="77777777" w:rsidR="00980E5F" w:rsidRDefault="00980E5F">
            <w:pPr>
              <w:rPr>
                <w:rFonts w:ascii="宋体"/>
              </w:rPr>
            </w:pPr>
          </w:p>
        </w:tc>
        <w:tc>
          <w:tcPr>
            <w:tcW w:w="0" w:type="auto"/>
            <w:shd w:val="clear" w:color="auto" w:fill="auto"/>
            <w:vAlign w:val="bottom"/>
          </w:tcPr>
          <w:p w14:paraId="392CB1AC" w14:textId="77777777" w:rsidR="00980E5F" w:rsidRDefault="00980E5F">
            <w:pPr>
              <w:rPr>
                <w:rFonts w:ascii="宋体"/>
              </w:rPr>
            </w:pPr>
          </w:p>
        </w:tc>
      </w:tr>
      <w:tr w:rsidR="00980E5F" w14:paraId="392CB1C2" w14:textId="77777777">
        <w:trPr>
          <w:hidden/>
        </w:trPr>
        <w:tc>
          <w:tcPr>
            <w:tcW w:w="0" w:type="auto"/>
            <w:gridSpan w:val="3"/>
            <w:shd w:val="clear" w:color="auto" w:fill="auto"/>
            <w:vAlign w:val="bottom"/>
          </w:tcPr>
          <w:p w14:paraId="392CB1AE" w14:textId="77777777" w:rsidR="00980E5F" w:rsidRDefault="00980E5F">
            <w:pPr>
              <w:rPr>
                <w:rFonts w:ascii="宋体"/>
                <w:vanish/>
              </w:rPr>
            </w:pPr>
          </w:p>
        </w:tc>
        <w:tc>
          <w:tcPr>
            <w:tcW w:w="0" w:type="auto"/>
            <w:gridSpan w:val="3"/>
            <w:shd w:val="clear" w:color="auto" w:fill="auto"/>
            <w:vAlign w:val="bottom"/>
          </w:tcPr>
          <w:p w14:paraId="392CB1AF" w14:textId="77777777" w:rsidR="00980E5F" w:rsidRDefault="00980E5F">
            <w:pPr>
              <w:rPr>
                <w:rFonts w:ascii="宋体"/>
                <w:vanish/>
              </w:rPr>
            </w:pPr>
          </w:p>
        </w:tc>
        <w:tc>
          <w:tcPr>
            <w:tcW w:w="0" w:type="auto"/>
            <w:gridSpan w:val="3"/>
            <w:shd w:val="clear" w:color="auto" w:fill="auto"/>
            <w:vAlign w:val="bottom"/>
          </w:tcPr>
          <w:p w14:paraId="392CB1B0" w14:textId="77777777" w:rsidR="00980E5F" w:rsidRDefault="00980E5F">
            <w:pPr>
              <w:rPr>
                <w:rFonts w:ascii="宋体"/>
                <w:vanish/>
              </w:rPr>
            </w:pPr>
          </w:p>
        </w:tc>
        <w:tc>
          <w:tcPr>
            <w:tcW w:w="0" w:type="auto"/>
            <w:gridSpan w:val="3"/>
            <w:shd w:val="clear" w:color="auto" w:fill="auto"/>
            <w:vAlign w:val="bottom"/>
          </w:tcPr>
          <w:p w14:paraId="392CB1B1" w14:textId="77777777" w:rsidR="00980E5F" w:rsidRDefault="00980E5F">
            <w:pPr>
              <w:rPr>
                <w:rFonts w:ascii="宋体"/>
                <w:vanish/>
              </w:rPr>
            </w:pPr>
          </w:p>
        </w:tc>
        <w:tc>
          <w:tcPr>
            <w:tcW w:w="0" w:type="auto"/>
            <w:gridSpan w:val="3"/>
            <w:shd w:val="clear" w:color="auto" w:fill="auto"/>
            <w:vAlign w:val="bottom"/>
          </w:tcPr>
          <w:p w14:paraId="392CB1B2" w14:textId="77777777" w:rsidR="00980E5F" w:rsidRDefault="00980E5F">
            <w:pPr>
              <w:rPr>
                <w:rFonts w:ascii="宋体"/>
                <w:vanish/>
              </w:rPr>
            </w:pPr>
          </w:p>
        </w:tc>
        <w:tc>
          <w:tcPr>
            <w:tcW w:w="0" w:type="auto"/>
            <w:gridSpan w:val="3"/>
            <w:shd w:val="clear" w:color="auto" w:fill="auto"/>
            <w:vAlign w:val="bottom"/>
          </w:tcPr>
          <w:p w14:paraId="392CB1B3" w14:textId="77777777" w:rsidR="00980E5F" w:rsidRDefault="00980E5F">
            <w:pPr>
              <w:rPr>
                <w:rFonts w:ascii="宋体"/>
                <w:vanish/>
              </w:rPr>
            </w:pPr>
          </w:p>
        </w:tc>
        <w:tc>
          <w:tcPr>
            <w:tcW w:w="0" w:type="auto"/>
            <w:gridSpan w:val="3"/>
            <w:shd w:val="clear" w:color="auto" w:fill="auto"/>
            <w:vAlign w:val="bottom"/>
          </w:tcPr>
          <w:p w14:paraId="392CB1B4" w14:textId="77777777" w:rsidR="00980E5F" w:rsidRDefault="00980E5F">
            <w:pPr>
              <w:rPr>
                <w:rFonts w:ascii="宋体"/>
                <w:vanish/>
              </w:rPr>
            </w:pPr>
          </w:p>
        </w:tc>
        <w:tc>
          <w:tcPr>
            <w:tcW w:w="0" w:type="auto"/>
            <w:gridSpan w:val="3"/>
            <w:shd w:val="clear" w:color="auto" w:fill="auto"/>
            <w:vAlign w:val="bottom"/>
          </w:tcPr>
          <w:p w14:paraId="392CB1B5" w14:textId="77777777" w:rsidR="00980E5F" w:rsidRDefault="00980E5F">
            <w:pPr>
              <w:rPr>
                <w:rFonts w:ascii="宋体"/>
                <w:vanish/>
              </w:rPr>
            </w:pPr>
          </w:p>
        </w:tc>
        <w:tc>
          <w:tcPr>
            <w:tcW w:w="0" w:type="auto"/>
            <w:gridSpan w:val="3"/>
            <w:shd w:val="clear" w:color="auto" w:fill="auto"/>
            <w:vAlign w:val="bottom"/>
          </w:tcPr>
          <w:p w14:paraId="392CB1B6" w14:textId="77777777" w:rsidR="00980E5F" w:rsidRDefault="00980E5F">
            <w:pPr>
              <w:rPr>
                <w:rFonts w:ascii="宋体"/>
                <w:vanish/>
              </w:rPr>
            </w:pPr>
          </w:p>
        </w:tc>
        <w:tc>
          <w:tcPr>
            <w:tcW w:w="0" w:type="auto"/>
            <w:gridSpan w:val="3"/>
            <w:shd w:val="clear" w:color="auto" w:fill="auto"/>
            <w:vAlign w:val="bottom"/>
          </w:tcPr>
          <w:p w14:paraId="392CB1B7" w14:textId="77777777" w:rsidR="00980E5F" w:rsidRDefault="00980E5F">
            <w:pPr>
              <w:rPr>
                <w:rFonts w:ascii="宋体"/>
                <w:vanish/>
              </w:rPr>
            </w:pPr>
          </w:p>
        </w:tc>
        <w:tc>
          <w:tcPr>
            <w:tcW w:w="0" w:type="auto"/>
            <w:gridSpan w:val="3"/>
            <w:shd w:val="clear" w:color="auto" w:fill="auto"/>
            <w:vAlign w:val="bottom"/>
          </w:tcPr>
          <w:p w14:paraId="392CB1B8" w14:textId="77777777" w:rsidR="00980E5F" w:rsidRDefault="00980E5F">
            <w:pPr>
              <w:rPr>
                <w:rFonts w:ascii="宋体"/>
                <w:vanish/>
              </w:rPr>
            </w:pPr>
          </w:p>
        </w:tc>
        <w:tc>
          <w:tcPr>
            <w:tcW w:w="0" w:type="auto"/>
            <w:gridSpan w:val="3"/>
            <w:shd w:val="clear" w:color="auto" w:fill="auto"/>
            <w:vAlign w:val="bottom"/>
          </w:tcPr>
          <w:p w14:paraId="392CB1B9" w14:textId="77777777" w:rsidR="00980E5F" w:rsidRDefault="00980E5F">
            <w:pPr>
              <w:rPr>
                <w:rFonts w:ascii="宋体"/>
                <w:vanish/>
              </w:rPr>
            </w:pPr>
          </w:p>
        </w:tc>
        <w:tc>
          <w:tcPr>
            <w:tcW w:w="0" w:type="auto"/>
            <w:gridSpan w:val="3"/>
            <w:shd w:val="clear" w:color="auto" w:fill="auto"/>
            <w:vAlign w:val="bottom"/>
          </w:tcPr>
          <w:p w14:paraId="392CB1BA" w14:textId="77777777" w:rsidR="00980E5F" w:rsidRDefault="00980E5F">
            <w:pPr>
              <w:rPr>
                <w:rFonts w:ascii="宋体"/>
                <w:vanish/>
              </w:rPr>
            </w:pPr>
          </w:p>
        </w:tc>
        <w:tc>
          <w:tcPr>
            <w:tcW w:w="0" w:type="auto"/>
            <w:gridSpan w:val="3"/>
            <w:shd w:val="clear" w:color="auto" w:fill="auto"/>
            <w:vAlign w:val="bottom"/>
          </w:tcPr>
          <w:p w14:paraId="392CB1BB" w14:textId="77777777" w:rsidR="00980E5F" w:rsidRDefault="00980E5F">
            <w:pPr>
              <w:rPr>
                <w:rFonts w:ascii="宋体"/>
                <w:vanish/>
              </w:rPr>
            </w:pPr>
          </w:p>
        </w:tc>
        <w:tc>
          <w:tcPr>
            <w:tcW w:w="0" w:type="auto"/>
            <w:gridSpan w:val="3"/>
            <w:shd w:val="clear" w:color="auto" w:fill="auto"/>
            <w:vAlign w:val="bottom"/>
          </w:tcPr>
          <w:p w14:paraId="392CB1BC" w14:textId="77777777" w:rsidR="00980E5F" w:rsidRDefault="00980E5F">
            <w:pPr>
              <w:rPr>
                <w:rFonts w:ascii="宋体"/>
                <w:vanish/>
              </w:rPr>
            </w:pPr>
          </w:p>
        </w:tc>
        <w:tc>
          <w:tcPr>
            <w:tcW w:w="0" w:type="auto"/>
            <w:gridSpan w:val="3"/>
            <w:shd w:val="clear" w:color="auto" w:fill="auto"/>
            <w:vAlign w:val="bottom"/>
          </w:tcPr>
          <w:p w14:paraId="392CB1BD" w14:textId="77777777" w:rsidR="00980E5F" w:rsidRDefault="00980E5F">
            <w:pPr>
              <w:rPr>
                <w:rFonts w:ascii="宋体"/>
                <w:vanish/>
              </w:rPr>
            </w:pPr>
          </w:p>
        </w:tc>
        <w:tc>
          <w:tcPr>
            <w:tcW w:w="0" w:type="auto"/>
            <w:gridSpan w:val="3"/>
            <w:shd w:val="clear" w:color="auto" w:fill="auto"/>
            <w:vAlign w:val="bottom"/>
          </w:tcPr>
          <w:p w14:paraId="392CB1BE" w14:textId="77777777" w:rsidR="00980E5F" w:rsidRDefault="00980E5F">
            <w:pPr>
              <w:rPr>
                <w:rFonts w:ascii="宋体"/>
                <w:vanish/>
              </w:rPr>
            </w:pPr>
          </w:p>
        </w:tc>
        <w:tc>
          <w:tcPr>
            <w:tcW w:w="0" w:type="auto"/>
            <w:gridSpan w:val="3"/>
            <w:shd w:val="clear" w:color="auto" w:fill="auto"/>
            <w:vAlign w:val="bottom"/>
          </w:tcPr>
          <w:p w14:paraId="392CB1BF" w14:textId="77777777" w:rsidR="00980E5F" w:rsidRDefault="00980E5F">
            <w:pPr>
              <w:rPr>
                <w:rFonts w:ascii="宋体"/>
                <w:vanish/>
              </w:rPr>
            </w:pPr>
          </w:p>
        </w:tc>
        <w:tc>
          <w:tcPr>
            <w:tcW w:w="0" w:type="auto"/>
            <w:gridSpan w:val="3"/>
            <w:shd w:val="clear" w:color="auto" w:fill="auto"/>
            <w:vAlign w:val="bottom"/>
          </w:tcPr>
          <w:p w14:paraId="392CB1C0" w14:textId="77777777" w:rsidR="00980E5F" w:rsidRDefault="00980E5F">
            <w:pPr>
              <w:rPr>
                <w:rFonts w:ascii="宋体"/>
                <w:vanish/>
              </w:rPr>
            </w:pPr>
          </w:p>
        </w:tc>
        <w:tc>
          <w:tcPr>
            <w:tcW w:w="0" w:type="auto"/>
            <w:gridSpan w:val="3"/>
            <w:shd w:val="clear" w:color="auto" w:fill="auto"/>
            <w:vAlign w:val="bottom"/>
          </w:tcPr>
          <w:p w14:paraId="392CB1C1" w14:textId="77777777" w:rsidR="00980E5F" w:rsidRDefault="00980E5F">
            <w:pPr>
              <w:rPr>
                <w:rFonts w:ascii="宋体"/>
                <w:vanish/>
              </w:rPr>
            </w:pPr>
          </w:p>
        </w:tc>
      </w:tr>
      <w:tr w:rsidR="00980E5F" w14:paraId="392CB1D7" w14:textId="77777777">
        <w:trPr>
          <w:hidden/>
        </w:trPr>
        <w:tc>
          <w:tcPr>
            <w:tcW w:w="0" w:type="auto"/>
            <w:gridSpan w:val="3"/>
            <w:shd w:val="clear" w:color="auto" w:fill="auto"/>
            <w:vAlign w:val="bottom"/>
          </w:tcPr>
          <w:p w14:paraId="392CB1C3" w14:textId="77777777" w:rsidR="00980E5F" w:rsidRDefault="00980E5F">
            <w:pPr>
              <w:rPr>
                <w:rFonts w:ascii="宋体"/>
                <w:vanish/>
              </w:rPr>
            </w:pPr>
          </w:p>
        </w:tc>
        <w:tc>
          <w:tcPr>
            <w:tcW w:w="0" w:type="auto"/>
            <w:gridSpan w:val="3"/>
            <w:shd w:val="clear" w:color="auto" w:fill="auto"/>
            <w:vAlign w:val="bottom"/>
          </w:tcPr>
          <w:p w14:paraId="392CB1C4" w14:textId="77777777" w:rsidR="00980E5F" w:rsidRDefault="00980E5F">
            <w:pPr>
              <w:rPr>
                <w:rFonts w:ascii="宋体"/>
                <w:vanish/>
              </w:rPr>
            </w:pPr>
          </w:p>
        </w:tc>
        <w:tc>
          <w:tcPr>
            <w:tcW w:w="0" w:type="auto"/>
            <w:gridSpan w:val="3"/>
            <w:shd w:val="clear" w:color="auto" w:fill="auto"/>
            <w:vAlign w:val="bottom"/>
          </w:tcPr>
          <w:p w14:paraId="392CB1C5" w14:textId="77777777" w:rsidR="00980E5F" w:rsidRDefault="00980E5F">
            <w:pPr>
              <w:rPr>
                <w:rFonts w:ascii="宋体"/>
                <w:vanish/>
              </w:rPr>
            </w:pPr>
          </w:p>
        </w:tc>
        <w:tc>
          <w:tcPr>
            <w:tcW w:w="0" w:type="auto"/>
            <w:gridSpan w:val="3"/>
            <w:shd w:val="clear" w:color="auto" w:fill="auto"/>
            <w:vAlign w:val="bottom"/>
          </w:tcPr>
          <w:p w14:paraId="392CB1C6" w14:textId="77777777" w:rsidR="00980E5F" w:rsidRDefault="00980E5F">
            <w:pPr>
              <w:rPr>
                <w:rFonts w:ascii="宋体"/>
                <w:vanish/>
              </w:rPr>
            </w:pPr>
          </w:p>
        </w:tc>
        <w:tc>
          <w:tcPr>
            <w:tcW w:w="0" w:type="auto"/>
            <w:gridSpan w:val="3"/>
            <w:shd w:val="clear" w:color="auto" w:fill="auto"/>
            <w:vAlign w:val="bottom"/>
          </w:tcPr>
          <w:p w14:paraId="392CB1C7" w14:textId="77777777" w:rsidR="00980E5F" w:rsidRDefault="00980E5F">
            <w:pPr>
              <w:rPr>
                <w:rFonts w:ascii="宋体"/>
                <w:vanish/>
              </w:rPr>
            </w:pPr>
          </w:p>
        </w:tc>
        <w:tc>
          <w:tcPr>
            <w:tcW w:w="0" w:type="auto"/>
            <w:gridSpan w:val="3"/>
            <w:shd w:val="clear" w:color="auto" w:fill="auto"/>
            <w:vAlign w:val="bottom"/>
          </w:tcPr>
          <w:p w14:paraId="392CB1C8" w14:textId="77777777" w:rsidR="00980E5F" w:rsidRDefault="00980E5F">
            <w:pPr>
              <w:rPr>
                <w:rFonts w:ascii="宋体"/>
                <w:vanish/>
              </w:rPr>
            </w:pPr>
          </w:p>
        </w:tc>
        <w:tc>
          <w:tcPr>
            <w:tcW w:w="0" w:type="auto"/>
            <w:gridSpan w:val="3"/>
            <w:shd w:val="clear" w:color="auto" w:fill="auto"/>
            <w:vAlign w:val="bottom"/>
          </w:tcPr>
          <w:p w14:paraId="392CB1C9" w14:textId="77777777" w:rsidR="00980E5F" w:rsidRDefault="00980E5F">
            <w:pPr>
              <w:rPr>
                <w:rFonts w:ascii="宋体"/>
                <w:vanish/>
              </w:rPr>
            </w:pPr>
          </w:p>
        </w:tc>
        <w:tc>
          <w:tcPr>
            <w:tcW w:w="0" w:type="auto"/>
            <w:gridSpan w:val="3"/>
            <w:shd w:val="clear" w:color="auto" w:fill="auto"/>
            <w:vAlign w:val="bottom"/>
          </w:tcPr>
          <w:p w14:paraId="392CB1CA" w14:textId="77777777" w:rsidR="00980E5F" w:rsidRDefault="00980E5F">
            <w:pPr>
              <w:rPr>
                <w:rFonts w:ascii="宋体"/>
                <w:vanish/>
              </w:rPr>
            </w:pPr>
          </w:p>
        </w:tc>
        <w:tc>
          <w:tcPr>
            <w:tcW w:w="0" w:type="auto"/>
            <w:gridSpan w:val="3"/>
            <w:shd w:val="clear" w:color="auto" w:fill="auto"/>
            <w:vAlign w:val="bottom"/>
          </w:tcPr>
          <w:p w14:paraId="392CB1CB" w14:textId="77777777" w:rsidR="00980E5F" w:rsidRDefault="00980E5F">
            <w:pPr>
              <w:rPr>
                <w:rFonts w:ascii="宋体"/>
                <w:vanish/>
              </w:rPr>
            </w:pPr>
          </w:p>
        </w:tc>
        <w:tc>
          <w:tcPr>
            <w:tcW w:w="0" w:type="auto"/>
            <w:gridSpan w:val="3"/>
            <w:shd w:val="clear" w:color="auto" w:fill="auto"/>
            <w:vAlign w:val="bottom"/>
          </w:tcPr>
          <w:p w14:paraId="392CB1CC" w14:textId="77777777" w:rsidR="00980E5F" w:rsidRDefault="00980E5F">
            <w:pPr>
              <w:rPr>
                <w:rFonts w:ascii="宋体"/>
                <w:vanish/>
              </w:rPr>
            </w:pPr>
          </w:p>
        </w:tc>
        <w:tc>
          <w:tcPr>
            <w:tcW w:w="0" w:type="auto"/>
            <w:gridSpan w:val="3"/>
            <w:shd w:val="clear" w:color="auto" w:fill="auto"/>
            <w:vAlign w:val="bottom"/>
          </w:tcPr>
          <w:p w14:paraId="392CB1CD" w14:textId="77777777" w:rsidR="00980E5F" w:rsidRDefault="00980E5F">
            <w:pPr>
              <w:rPr>
                <w:rFonts w:ascii="宋体"/>
                <w:vanish/>
              </w:rPr>
            </w:pPr>
          </w:p>
        </w:tc>
        <w:tc>
          <w:tcPr>
            <w:tcW w:w="0" w:type="auto"/>
            <w:gridSpan w:val="3"/>
            <w:shd w:val="clear" w:color="auto" w:fill="auto"/>
            <w:vAlign w:val="bottom"/>
          </w:tcPr>
          <w:p w14:paraId="392CB1CE" w14:textId="77777777" w:rsidR="00980E5F" w:rsidRDefault="00980E5F">
            <w:pPr>
              <w:rPr>
                <w:rFonts w:ascii="宋体"/>
                <w:vanish/>
              </w:rPr>
            </w:pPr>
          </w:p>
        </w:tc>
        <w:tc>
          <w:tcPr>
            <w:tcW w:w="0" w:type="auto"/>
            <w:gridSpan w:val="3"/>
            <w:shd w:val="clear" w:color="auto" w:fill="auto"/>
            <w:vAlign w:val="bottom"/>
          </w:tcPr>
          <w:p w14:paraId="392CB1CF" w14:textId="77777777" w:rsidR="00980E5F" w:rsidRDefault="00980E5F">
            <w:pPr>
              <w:rPr>
                <w:rFonts w:ascii="宋体"/>
                <w:vanish/>
              </w:rPr>
            </w:pPr>
          </w:p>
        </w:tc>
        <w:tc>
          <w:tcPr>
            <w:tcW w:w="0" w:type="auto"/>
            <w:gridSpan w:val="3"/>
            <w:shd w:val="clear" w:color="auto" w:fill="auto"/>
            <w:vAlign w:val="bottom"/>
          </w:tcPr>
          <w:p w14:paraId="392CB1D0" w14:textId="77777777" w:rsidR="00980E5F" w:rsidRDefault="00980E5F">
            <w:pPr>
              <w:rPr>
                <w:rFonts w:ascii="宋体"/>
                <w:vanish/>
              </w:rPr>
            </w:pPr>
          </w:p>
        </w:tc>
        <w:tc>
          <w:tcPr>
            <w:tcW w:w="0" w:type="auto"/>
            <w:gridSpan w:val="3"/>
            <w:shd w:val="clear" w:color="auto" w:fill="auto"/>
            <w:vAlign w:val="bottom"/>
          </w:tcPr>
          <w:p w14:paraId="392CB1D1" w14:textId="77777777" w:rsidR="00980E5F" w:rsidRDefault="00980E5F">
            <w:pPr>
              <w:rPr>
                <w:rFonts w:ascii="宋体"/>
                <w:vanish/>
              </w:rPr>
            </w:pPr>
          </w:p>
        </w:tc>
        <w:tc>
          <w:tcPr>
            <w:tcW w:w="0" w:type="auto"/>
            <w:gridSpan w:val="3"/>
            <w:shd w:val="clear" w:color="auto" w:fill="auto"/>
            <w:vAlign w:val="bottom"/>
          </w:tcPr>
          <w:p w14:paraId="392CB1D2" w14:textId="77777777" w:rsidR="00980E5F" w:rsidRDefault="00980E5F">
            <w:pPr>
              <w:rPr>
                <w:rFonts w:ascii="宋体"/>
                <w:vanish/>
              </w:rPr>
            </w:pPr>
          </w:p>
        </w:tc>
        <w:tc>
          <w:tcPr>
            <w:tcW w:w="0" w:type="auto"/>
            <w:gridSpan w:val="3"/>
            <w:shd w:val="clear" w:color="auto" w:fill="auto"/>
            <w:vAlign w:val="bottom"/>
          </w:tcPr>
          <w:p w14:paraId="392CB1D3" w14:textId="77777777" w:rsidR="00980E5F" w:rsidRDefault="00980E5F">
            <w:pPr>
              <w:rPr>
                <w:rFonts w:ascii="宋体"/>
                <w:vanish/>
              </w:rPr>
            </w:pPr>
          </w:p>
        </w:tc>
        <w:tc>
          <w:tcPr>
            <w:tcW w:w="0" w:type="auto"/>
            <w:gridSpan w:val="3"/>
            <w:shd w:val="clear" w:color="auto" w:fill="auto"/>
            <w:vAlign w:val="bottom"/>
          </w:tcPr>
          <w:p w14:paraId="392CB1D4" w14:textId="77777777" w:rsidR="00980E5F" w:rsidRDefault="00980E5F">
            <w:pPr>
              <w:rPr>
                <w:rFonts w:ascii="宋体"/>
                <w:vanish/>
              </w:rPr>
            </w:pPr>
          </w:p>
        </w:tc>
        <w:tc>
          <w:tcPr>
            <w:tcW w:w="0" w:type="auto"/>
            <w:gridSpan w:val="3"/>
            <w:shd w:val="clear" w:color="auto" w:fill="auto"/>
            <w:vAlign w:val="bottom"/>
          </w:tcPr>
          <w:p w14:paraId="392CB1D5" w14:textId="77777777" w:rsidR="00980E5F" w:rsidRDefault="00980E5F">
            <w:pPr>
              <w:rPr>
                <w:rFonts w:ascii="宋体"/>
                <w:vanish/>
              </w:rPr>
            </w:pPr>
          </w:p>
        </w:tc>
        <w:tc>
          <w:tcPr>
            <w:tcW w:w="0" w:type="auto"/>
            <w:gridSpan w:val="3"/>
            <w:shd w:val="clear" w:color="auto" w:fill="auto"/>
            <w:vAlign w:val="bottom"/>
          </w:tcPr>
          <w:p w14:paraId="392CB1D6" w14:textId="77777777" w:rsidR="00980E5F" w:rsidRDefault="00980E5F">
            <w:pPr>
              <w:rPr>
                <w:rFonts w:ascii="宋体"/>
                <w:vanish/>
              </w:rPr>
            </w:pPr>
          </w:p>
        </w:tc>
      </w:tr>
      <w:tr w:rsidR="00980E5F" w14:paraId="392CB1EC" w14:textId="77777777">
        <w:trPr>
          <w:hidden/>
        </w:trPr>
        <w:tc>
          <w:tcPr>
            <w:tcW w:w="0" w:type="auto"/>
            <w:gridSpan w:val="3"/>
            <w:shd w:val="clear" w:color="auto" w:fill="auto"/>
            <w:vAlign w:val="bottom"/>
          </w:tcPr>
          <w:p w14:paraId="392CB1D8" w14:textId="77777777" w:rsidR="00980E5F" w:rsidRDefault="00980E5F">
            <w:pPr>
              <w:rPr>
                <w:rFonts w:ascii="宋体"/>
                <w:vanish/>
              </w:rPr>
            </w:pPr>
          </w:p>
        </w:tc>
        <w:tc>
          <w:tcPr>
            <w:tcW w:w="0" w:type="auto"/>
            <w:gridSpan w:val="3"/>
            <w:shd w:val="clear" w:color="auto" w:fill="auto"/>
            <w:vAlign w:val="bottom"/>
          </w:tcPr>
          <w:p w14:paraId="392CB1D9" w14:textId="77777777" w:rsidR="00980E5F" w:rsidRDefault="00980E5F">
            <w:pPr>
              <w:rPr>
                <w:rFonts w:ascii="宋体"/>
                <w:vanish/>
              </w:rPr>
            </w:pPr>
          </w:p>
        </w:tc>
        <w:tc>
          <w:tcPr>
            <w:tcW w:w="0" w:type="auto"/>
            <w:gridSpan w:val="3"/>
            <w:shd w:val="clear" w:color="auto" w:fill="auto"/>
            <w:vAlign w:val="bottom"/>
          </w:tcPr>
          <w:p w14:paraId="392CB1DA" w14:textId="77777777" w:rsidR="00980E5F" w:rsidRDefault="00980E5F">
            <w:pPr>
              <w:rPr>
                <w:rFonts w:ascii="宋体"/>
                <w:vanish/>
              </w:rPr>
            </w:pPr>
          </w:p>
        </w:tc>
        <w:tc>
          <w:tcPr>
            <w:tcW w:w="0" w:type="auto"/>
            <w:gridSpan w:val="3"/>
            <w:shd w:val="clear" w:color="auto" w:fill="auto"/>
            <w:vAlign w:val="bottom"/>
          </w:tcPr>
          <w:p w14:paraId="392CB1DB" w14:textId="77777777" w:rsidR="00980E5F" w:rsidRDefault="00980E5F">
            <w:pPr>
              <w:rPr>
                <w:rFonts w:ascii="宋体"/>
                <w:vanish/>
              </w:rPr>
            </w:pPr>
          </w:p>
        </w:tc>
        <w:tc>
          <w:tcPr>
            <w:tcW w:w="0" w:type="auto"/>
            <w:gridSpan w:val="3"/>
            <w:shd w:val="clear" w:color="auto" w:fill="auto"/>
            <w:vAlign w:val="bottom"/>
          </w:tcPr>
          <w:p w14:paraId="392CB1DC" w14:textId="77777777" w:rsidR="00980E5F" w:rsidRDefault="00980E5F">
            <w:pPr>
              <w:rPr>
                <w:rFonts w:ascii="宋体"/>
                <w:vanish/>
              </w:rPr>
            </w:pPr>
          </w:p>
        </w:tc>
        <w:tc>
          <w:tcPr>
            <w:tcW w:w="0" w:type="auto"/>
            <w:gridSpan w:val="3"/>
            <w:shd w:val="clear" w:color="auto" w:fill="auto"/>
            <w:vAlign w:val="bottom"/>
          </w:tcPr>
          <w:p w14:paraId="392CB1DD" w14:textId="77777777" w:rsidR="00980E5F" w:rsidRDefault="00980E5F">
            <w:pPr>
              <w:rPr>
                <w:rFonts w:ascii="宋体"/>
                <w:vanish/>
              </w:rPr>
            </w:pPr>
          </w:p>
        </w:tc>
        <w:tc>
          <w:tcPr>
            <w:tcW w:w="0" w:type="auto"/>
            <w:gridSpan w:val="3"/>
            <w:shd w:val="clear" w:color="auto" w:fill="auto"/>
            <w:vAlign w:val="bottom"/>
          </w:tcPr>
          <w:p w14:paraId="392CB1DE" w14:textId="77777777" w:rsidR="00980E5F" w:rsidRDefault="00980E5F">
            <w:pPr>
              <w:rPr>
                <w:rFonts w:ascii="宋体"/>
                <w:vanish/>
              </w:rPr>
            </w:pPr>
          </w:p>
        </w:tc>
        <w:tc>
          <w:tcPr>
            <w:tcW w:w="0" w:type="auto"/>
            <w:gridSpan w:val="3"/>
            <w:shd w:val="clear" w:color="auto" w:fill="auto"/>
            <w:vAlign w:val="bottom"/>
          </w:tcPr>
          <w:p w14:paraId="392CB1DF" w14:textId="77777777" w:rsidR="00980E5F" w:rsidRDefault="00980E5F">
            <w:pPr>
              <w:rPr>
                <w:rFonts w:ascii="宋体"/>
                <w:vanish/>
              </w:rPr>
            </w:pPr>
          </w:p>
        </w:tc>
        <w:tc>
          <w:tcPr>
            <w:tcW w:w="0" w:type="auto"/>
            <w:gridSpan w:val="3"/>
            <w:shd w:val="clear" w:color="auto" w:fill="auto"/>
            <w:vAlign w:val="bottom"/>
          </w:tcPr>
          <w:p w14:paraId="392CB1E0" w14:textId="77777777" w:rsidR="00980E5F" w:rsidRDefault="00980E5F">
            <w:pPr>
              <w:rPr>
                <w:rFonts w:ascii="宋体"/>
                <w:vanish/>
              </w:rPr>
            </w:pPr>
          </w:p>
        </w:tc>
        <w:tc>
          <w:tcPr>
            <w:tcW w:w="0" w:type="auto"/>
            <w:gridSpan w:val="3"/>
            <w:shd w:val="clear" w:color="auto" w:fill="auto"/>
            <w:vAlign w:val="bottom"/>
          </w:tcPr>
          <w:p w14:paraId="392CB1E1" w14:textId="77777777" w:rsidR="00980E5F" w:rsidRDefault="00980E5F">
            <w:pPr>
              <w:rPr>
                <w:rFonts w:ascii="宋体"/>
                <w:vanish/>
              </w:rPr>
            </w:pPr>
          </w:p>
        </w:tc>
        <w:tc>
          <w:tcPr>
            <w:tcW w:w="0" w:type="auto"/>
            <w:gridSpan w:val="3"/>
            <w:shd w:val="clear" w:color="auto" w:fill="auto"/>
            <w:vAlign w:val="bottom"/>
          </w:tcPr>
          <w:p w14:paraId="392CB1E2" w14:textId="77777777" w:rsidR="00980E5F" w:rsidRDefault="00980E5F">
            <w:pPr>
              <w:rPr>
                <w:rFonts w:ascii="宋体"/>
                <w:vanish/>
              </w:rPr>
            </w:pPr>
          </w:p>
        </w:tc>
        <w:tc>
          <w:tcPr>
            <w:tcW w:w="0" w:type="auto"/>
            <w:gridSpan w:val="3"/>
            <w:shd w:val="clear" w:color="auto" w:fill="auto"/>
            <w:vAlign w:val="bottom"/>
          </w:tcPr>
          <w:p w14:paraId="392CB1E3" w14:textId="77777777" w:rsidR="00980E5F" w:rsidRDefault="00980E5F">
            <w:pPr>
              <w:rPr>
                <w:rFonts w:ascii="宋体"/>
                <w:vanish/>
              </w:rPr>
            </w:pPr>
          </w:p>
        </w:tc>
        <w:tc>
          <w:tcPr>
            <w:tcW w:w="0" w:type="auto"/>
            <w:gridSpan w:val="3"/>
            <w:shd w:val="clear" w:color="auto" w:fill="auto"/>
            <w:vAlign w:val="bottom"/>
          </w:tcPr>
          <w:p w14:paraId="392CB1E4" w14:textId="77777777" w:rsidR="00980E5F" w:rsidRDefault="00980E5F">
            <w:pPr>
              <w:rPr>
                <w:rFonts w:ascii="宋体"/>
                <w:vanish/>
              </w:rPr>
            </w:pPr>
          </w:p>
        </w:tc>
        <w:tc>
          <w:tcPr>
            <w:tcW w:w="0" w:type="auto"/>
            <w:gridSpan w:val="3"/>
            <w:shd w:val="clear" w:color="auto" w:fill="auto"/>
            <w:vAlign w:val="bottom"/>
          </w:tcPr>
          <w:p w14:paraId="392CB1E5" w14:textId="77777777" w:rsidR="00980E5F" w:rsidRDefault="00980E5F">
            <w:pPr>
              <w:rPr>
                <w:rFonts w:ascii="宋体"/>
                <w:vanish/>
              </w:rPr>
            </w:pPr>
          </w:p>
        </w:tc>
        <w:tc>
          <w:tcPr>
            <w:tcW w:w="0" w:type="auto"/>
            <w:gridSpan w:val="3"/>
            <w:shd w:val="clear" w:color="auto" w:fill="auto"/>
            <w:vAlign w:val="bottom"/>
          </w:tcPr>
          <w:p w14:paraId="392CB1E6" w14:textId="77777777" w:rsidR="00980E5F" w:rsidRDefault="00980E5F">
            <w:pPr>
              <w:rPr>
                <w:rFonts w:ascii="宋体"/>
                <w:vanish/>
              </w:rPr>
            </w:pPr>
          </w:p>
        </w:tc>
        <w:tc>
          <w:tcPr>
            <w:tcW w:w="0" w:type="auto"/>
            <w:gridSpan w:val="3"/>
            <w:shd w:val="clear" w:color="auto" w:fill="auto"/>
            <w:vAlign w:val="bottom"/>
          </w:tcPr>
          <w:p w14:paraId="392CB1E7" w14:textId="77777777" w:rsidR="00980E5F" w:rsidRDefault="00980E5F">
            <w:pPr>
              <w:rPr>
                <w:rFonts w:ascii="宋体"/>
                <w:vanish/>
              </w:rPr>
            </w:pPr>
          </w:p>
        </w:tc>
        <w:tc>
          <w:tcPr>
            <w:tcW w:w="0" w:type="auto"/>
            <w:gridSpan w:val="3"/>
            <w:shd w:val="clear" w:color="auto" w:fill="auto"/>
            <w:vAlign w:val="bottom"/>
          </w:tcPr>
          <w:p w14:paraId="392CB1E8" w14:textId="77777777" w:rsidR="00980E5F" w:rsidRDefault="00980E5F">
            <w:pPr>
              <w:rPr>
                <w:rFonts w:ascii="宋体"/>
                <w:vanish/>
              </w:rPr>
            </w:pPr>
          </w:p>
        </w:tc>
        <w:tc>
          <w:tcPr>
            <w:tcW w:w="0" w:type="auto"/>
            <w:gridSpan w:val="3"/>
            <w:shd w:val="clear" w:color="auto" w:fill="auto"/>
            <w:vAlign w:val="bottom"/>
          </w:tcPr>
          <w:p w14:paraId="392CB1E9" w14:textId="77777777" w:rsidR="00980E5F" w:rsidRDefault="00980E5F">
            <w:pPr>
              <w:rPr>
                <w:rFonts w:ascii="宋体"/>
                <w:vanish/>
              </w:rPr>
            </w:pPr>
          </w:p>
        </w:tc>
        <w:tc>
          <w:tcPr>
            <w:tcW w:w="0" w:type="auto"/>
            <w:gridSpan w:val="3"/>
            <w:shd w:val="clear" w:color="auto" w:fill="auto"/>
            <w:vAlign w:val="bottom"/>
          </w:tcPr>
          <w:p w14:paraId="392CB1EA" w14:textId="77777777" w:rsidR="00980E5F" w:rsidRDefault="00980E5F">
            <w:pPr>
              <w:rPr>
                <w:rFonts w:ascii="宋体"/>
                <w:vanish/>
              </w:rPr>
            </w:pPr>
          </w:p>
        </w:tc>
        <w:tc>
          <w:tcPr>
            <w:tcW w:w="0" w:type="auto"/>
            <w:gridSpan w:val="3"/>
            <w:shd w:val="clear" w:color="auto" w:fill="auto"/>
            <w:vAlign w:val="bottom"/>
          </w:tcPr>
          <w:p w14:paraId="392CB1EB" w14:textId="77777777" w:rsidR="00980E5F" w:rsidRDefault="00980E5F">
            <w:pPr>
              <w:rPr>
                <w:rFonts w:ascii="宋体"/>
                <w:vanish/>
              </w:rPr>
            </w:pPr>
          </w:p>
        </w:tc>
      </w:tr>
      <w:tr w:rsidR="00980E5F" w14:paraId="392CB201" w14:textId="77777777">
        <w:trPr>
          <w:hidden/>
        </w:trPr>
        <w:tc>
          <w:tcPr>
            <w:tcW w:w="0" w:type="auto"/>
            <w:gridSpan w:val="3"/>
            <w:shd w:val="clear" w:color="auto" w:fill="auto"/>
            <w:vAlign w:val="bottom"/>
          </w:tcPr>
          <w:p w14:paraId="392CB1ED" w14:textId="77777777" w:rsidR="00980E5F" w:rsidRDefault="00980E5F">
            <w:pPr>
              <w:rPr>
                <w:rFonts w:ascii="宋体"/>
                <w:vanish/>
              </w:rPr>
            </w:pPr>
          </w:p>
        </w:tc>
        <w:tc>
          <w:tcPr>
            <w:tcW w:w="0" w:type="auto"/>
            <w:gridSpan w:val="3"/>
            <w:shd w:val="clear" w:color="auto" w:fill="auto"/>
            <w:vAlign w:val="bottom"/>
          </w:tcPr>
          <w:p w14:paraId="392CB1EE" w14:textId="77777777" w:rsidR="00980E5F" w:rsidRDefault="00980E5F">
            <w:pPr>
              <w:rPr>
                <w:rFonts w:ascii="宋体"/>
                <w:vanish/>
              </w:rPr>
            </w:pPr>
          </w:p>
        </w:tc>
        <w:tc>
          <w:tcPr>
            <w:tcW w:w="0" w:type="auto"/>
            <w:gridSpan w:val="3"/>
            <w:shd w:val="clear" w:color="auto" w:fill="auto"/>
            <w:vAlign w:val="bottom"/>
          </w:tcPr>
          <w:p w14:paraId="392CB1EF" w14:textId="77777777" w:rsidR="00980E5F" w:rsidRDefault="00980E5F">
            <w:pPr>
              <w:rPr>
                <w:rFonts w:ascii="宋体"/>
                <w:vanish/>
              </w:rPr>
            </w:pPr>
          </w:p>
        </w:tc>
        <w:tc>
          <w:tcPr>
            <w:tcW w:w="0" w:type="auto"/>
            <w:gridSpan w:val="3"/>
            <w:shd w:val="clear" w:color="auto" w:fill="auto"/>
            <w:vAlign w:val="bottom"/>
          </w:tcPr>
          <w:p w14:paraId="392CB1F0" w14:textId="77777777" w:rsidR="00980E5F" w:rsidRDefault="00980E5F">
            <w:pPr>
              <w:rPr>
                <w:rFonts w:ascii="宋体"/>
                <w:vanish/>
              </w:rPr>
            </w:pPr>
          </w:p>
        </w:tc>
        <w:tc>
          <w:tcPr>
            <w:tcW w:w="0" w:type="auto"/>
            <w:gridSpan w:val="3"/>
            <w:shd w:val="clear" w:color="auto" w:fill="auto"/>
            <w:vAlign w:val="bottom"/>
          </w:tcPr>
          <w:p w14:paraId="392CB1F1" w14:textId="77777777" w:rsidR="00980E5F" w:rsidRDefault="00980E5F">
            <w:pPr>
              <w:rPr>
                <w:rFonts w:ascii="宋体"/>
                <w:vanish/>
              </w:rPr>
            </w:pPr>
          </w:p>
        </w:tc>
        <w:tc>
          <w:tcPr>
            <w:tcW w:w="0" w:type="auto"/>
            <w:gridSpan w:val="3"/>
            <w:shd w:val="clear" w:color="auto" w:fill="auto"/>
            <w:vAlign w:val="bottom"/>
          </w:tcPr>
          <w:p w14:paraId="392CB1F2" w14:textId="77777777" w:rsidR="00980E5F" w:rsidRDefault="00980E5F">
            <w:pPr>
              <w:rPr>
                <w:rFonts w:ascii="宋体"/>
                <w:vanish/>
              </w:rPr>
            </w:pPr>
          </w:p>
        </w:tc>
        <w:tc>
          <w:tcPr>
            <w:tcW w:w="0" w:type="auto"/>
            <w:gridSpan w:val="3"/>
            <w:shd w:val="clear" w:color="auto" w:fill="auto"/>
            <w:vAlign w:val="bottom"/>
          </w:tcPr>
          <w:p w14:paraId="392CB1F3" w14:textId="77777777" w:rsidR="00980E5F" w:rsidRDefault="00980E5F">
            <w:pPr>
              <w:rPr>
                <w:rFonts w:ascii="宋体"/>
                <w:vanish/>
              </w:rPr>
            </w:pPr>
          </w:p>
        </w:tc>
        <w:tc>
          <w:tcPr>
            <w:tcW w:w="0" w:type="auto"/>
            <w:gridSpan w:val="3"/>
            <w:shd w:val="clear" w:color="auto" w:fill="auto"/>
            <w:vAlign w:val="bottom"/>
          </w:tcPr>
          <w:p w14:paraId="392CB1F4" w14:textId="77777777" w:rsidR="00980E5F" w:rsidRDefault="00980E5F">
            <w:pPr>
              <w:rPr>
                <w:rFonts w:ascii="宋体"/>
                <w:vanish/>
              </w:rPr>
            </w:pPr>
          </w:p>
        </w:tc>
        <w:tc>
          <w:tcPr>
            <w:tcW w:w="0" w:type="auto"/>
            <w:gridSpan w:val="3"/>
            <w:shd w:val="clear" w:color="auto" w:fill="auto"/>
            <w:vAlign w:val="bottom"/>
          </w:tcPr>
          <w:p w14:paraId="392CB1F5" w14:textId="77777777" w:rsidR="00980E5F" w:rsidRDefault="00980E5F">
            <w:pPr>
              <w:rPr>
                <w:rFonts w:ascii="宋体"/>
                <w:vanish/>
              </w:rPr>
            </w:pPr>
          </w:p>
        </w:tc>
        <w:tc>
          <w:tcPr>
            <w:tcW w:w="0" w:type="auto"/>
            <w:gridSpan w:val="3"/>
            <w:shd w:val="clear" w:color="auto" w:fill="auto"/>
            <w:vAlign w:val="bottom"/>
          </w:tcPr>
          <w:p w14:paraId="392CB1F6" w14:textId="77777777" w:rsidR="00980E5F" w:rsidRDefault="00980E5F">
            <w:pPr>
              <w:rPr>
                <w:rFonts w:ascii="宋体"/>
                <w:vanish/>
              </w:rPr>
            </w:pPr>
          </w:p>
        </w:tc>
        <w:tc>
          <w:tcPr>
            <w:tcW w:w="0" w:type="auto"/>
            <w:gridSpan w:val="3"/>
            <w:shd w:val="clear" w:color="auto" w:fill="auto"/>
            <w:vAlign w:val="bottom"/>
          </w:tcPr>
          <w:p w14:paraId="392CB1F7" w14:textId="77777777" w:rsidR="00980E5F" w:rsidRDefault="00980E5F">
            <w:pPr>
              <w:rPr>
                <w:rFonts w:ascii="宋体"/>
                <w:vanish/>
              </w:rPr>
            </w:pPr>
          </w:p>
        </w:tc>
        <w:tc>
          <w:tcPr>
            <w:tcW w:w="0" w:type="auto"/>
            <w:gridSpan w:val="3"/>
            <w:shd w:val="clear" w:color="auto" w:fill="auto"/>
            <w:vAlign w:val="bottom"/>
          </w:tcPr>
          <w:p w14:paraId="392CB1F8" w14:textId="77777777" w:rsidR="00980E5F" w:rsidRDefault="00980E5F">
            <w:pPr>
              <w:rPr>
                <w:rFonts w:ascii="宋体"/>
                <w:vanish/>
              </w:rPr>
            </w:pPr>
          </w:p>
        </w:tc>
        <w:tc>
          <w:tcPr>
            <w:tcW w:w="0" w:type="auto"/>
            <w:gridSpan w:val="3"/>
            <w:shd w:val="clear" w:color="auto" w:fill="auto"/>
            <w:vAlign w:val="bottom"/>
          </w:tcPr>
          <w:p w14:paraId="392CB1F9" w14:textId="77777777" w:rsidR="00980E5F" w:rsidRDefault="00980E5F">
            <w:pPr>
              <w:rPr>
                <w:rFonts w:ascii="宋体"/>
                <w:vanish/>
              </w:rPr>
            </w:pPr>
          </w:p>
        </w:tc>
        <w:tc>
          <w:tcPr>
            <w:tcW w:w="0" w:type="auto"/>
            <w:gridSpan w:val="3"/>
            <w:shd w:val="clear" w:color="auto" w:fill="auto"/>
            <w:vAlign w:val="bottom"/>
          </w:tcPr>
          <w:p w14:paraId="392CB1FA" w14:textId="77777777" w:rsidR="00980E5F" w:rsidRDefault="00980E5F">
            <w:pPr>
              <w:rPr>
                <w:rFonts w:ascii="宋体"/>
                <w:vanish/>
              </w:rPr>
            </w:pPr>
          </w:p>
        </w:tc>
        <w:tc>
          <w:tcPr>
            <w:tcW w:w="0" w:type="auto"/>
            <w:gridSpan w:val="3"/>
            <w:shd w:val="clear" w:color="auto" w:fill="auto"/>
            <w:vAlign w:val="bottom"/>
          </w:tcPr>
          <w:p w14:paraId="392CB1FB" w14:textId="77777777" w:rsidR="00980E5F" w:rsidRDefault="00980E5F">
            <w:pPr>
              <w:rPr>
                <w:rFonts w:ascii="宋体"/>
                <w:vanish/>
              </w:rPr>
            </w:pPr>
          </w:p>
        </w:tc>
        <w:tc>
          <w:tcPr>
            <w:tcW w:w="0" w:type="auto"/>
            <w:gridSpan w:val="3"/>
            <w:shd w:val="clear" w:color="auto" w:fill="auto"/>
            <w:vAlign w:val="bottom"/>
          </w:tcPr>
          <w:p w14:paraId="392CB1FC" w14:textId="77777777" w:rsidR="00980E5F" w:rsidRDefault="00980E5F">
            <w:pPr>
              <w:rPr>
                <w:rFonts w:ascii="宋体"/>
                <w:vanish/>
              </w:rPr>
            </w:pPr>
          </w:p>
        </w:tc>
        <w:tc>
          <w:tcPr>
            <w:tcW w:w="0" w:type="auto"/>
            <w:gridSpan w:val="3"/>
            <w:shd w:val="clear" w:color="auto" w:fill="auto"/>
            <w:vAlign w:val="bottom"/>
          </w:tcPr>
          <w:p w14:paraId="392CB1FD" w14:textId="77777777" w:rsidR="00980E5F" w:rsidRDefault="00980E5F">
            <w:pPr>
              <w:rPr>
                <w:rFonts w:ascii="宋体"/>
                <w:vanish/>
              </w:rPr>
            </w:pPr>
          </w:p>
        </w:tc>
        <w:tc>
          <w:tcPr>
            <w:tcW w:w="0" w:type="auto"/>
            <w:gridSpan w:val="3"/>
            <w:shd w:val="clear" w:color="auto" w:fill="auto"/>
            <w:vAlign w:val="bottom"/>
          </w:tcPr>
          <w:p w14:paraId="392CB1FE" w14:textId="77777777" w:rsidR="00980E5F" w:rsidRDefault="00980E5F">
            <w:pPr>
              <w:rPr>
                <w:rFonts w:ascii="宋体"/>
                <w:vanish/>
              </w:rPr>
            </w:pPr>
          </w:p>
        </w:tc>
        <w:tc>
          <w:tcPr>
            <w:tcW w:w="0" w:type="auto"/>
            <w:gridSpan w:val="3"/>
            <w:shd w:val="clear" w:color="auto" w:fill="auto"/>
            <w:vAlign w:val="bottom"/>
          </w:tcPr>
          <w:p w14:paraId="392CB1FF" w14:textId="77777777" w:rsidR="00980E5F" w:rsidRDefault="00980E5F">
            <w:pPr>
              <w:rPr>
                <w:rFonts w:ascii="宋体"/>
                <w:vanish/>
              </w:rPr>
            </w:pPr>
          </w:p>
        </w:tc>
        <w:tc>
          <w:tcPr>
            <w:tcW w:w="0" w:type="auto"/>
            <w:gridSpan w:val="3"/>
            <w:shd w:val="clear" w:color="auto" w:fill="auto"/>
            <w:vAlign w:val="bottom"/>
          </w:tcPr>
          <w:p w14:paraId="392CB200" w14:textId="77777777" w:rsidR="00980E5F" w:rsidRDefault="00980E5F">
            <w:pPr>
              <w:rPr>
                <w:rFonts w:ascii="宋体"/>
                <w:vanish/>
              </w:rPr>
            </w:pPr>
          </w:p>
        </w:tc>
      </w:tr>
      <w:tr w:rsidR="00980E5F" w14:paraId="392CB216" w14:textId="77777777">
        <w:trPr>
          <w:hidden/>
        </w:trPr>
        <w:tc>
          <w:tcPr>
            <w:tcW w:w="0" w:type="auto"/>
            <w:gridSpan w:val="3"/>
            <w:shd w:val="clear" w:color="auto" w:fill="auto"/>
            <w:vAlign w:val="bottom"/>
          </w:tcPr>
          <w:p w14:paraId="392CB202" w14:textId="77777777" w:rsidR="00980E5F" w:rsidRDefault="00980E5F">
            <w:pPr>
              <w:rPr>
                <w:rFonts w:ascii="宋体"/>
                <w:vanish/>
              </w:rPr>
            </w:pPr>
          </w:p>
        </w:tc>
        <w:tc>
          <w:tcPr>
            <w:tcW w:w="0" w:type="auto"/>
            <w:gridSpan w:val="3"/>
            <w:shd w:val="clear" w:color="auto" w:fill="auto"/>
            <w:vAlign w:val="bottom"/>
          </w:tcPr>
          <w:p w14:paraId="392CB203" w14:textId="77777777" w:rsidR="00980E5F" w:rsidRDefault="00980E5F">
            <w:pPr>
              <w:rPr>
                <w:rFonts w:ascii="宋体"/>
                <w:vanish/>
              </w:rPr>
            </w:pPr>
          </w:p>
        </w:tc>
        <w:tc>
          <w:tcPr>
            <w:tcW w:w="0" w:type="auto"/>
            <w:gridSpan w:val="3"/>
            <w:shd w:val="clear" w:color="auto" w:fill="auto"/>
            <w:vAlign w:val="bottom"/>
          </w:tcPr>
          <w:p w14:paraId="392CB204" w14:textId="77777777" w:rsidR="00980E5F" w:rsidRDefault="00980E5F">
            <w:pPr>
              <w:rPr>
                <w:rFonts w:ascii="宋体"/>
                <w:vanish/>
              </w:rPr>
            </w:pPr>
          </w:p>
        </w:tc>
        <w:tc>
          <w:tcPr>
            <w:tcW w:w="0" w:type="auto"/>
            <w:gridSpan w:val="3"/>
            <w:shd w:val="clear" w:color="auto" w:fill="auto"/>
            <w:vAlign w:val="bottom"/>
          </w:tcPr>
          <w:p w14:paraId="392CB205" w14:textId="77777777" w:rsidR="00980E5F" w:rsidRDefault="00980E5F">
            <w:pPr>
              <w:rPr>
                <w:rFonts w:ascii="宋体"/>
                <w:vanish/>
              </w:rPr>
            </w:pPr>
          </w:p>
        </w:tc>
        <w:tc>
          <w:tcPr>
            <w:tcW w:w="0" w:type="auto"/>
            <w:gridSpan w:val="3"/>
            <w:shd w:val="clear" w:color="auto" w:fill="auto"/>
            <w:vAlign w:val="bottom"/>
          </w:tcPr>
          <w:p w14:paraId="392CB206" w14:textId="77777777" w:rsidR="00980E5F" w:rsidRDefault="00980E5F">
            <w:pPr>
              <w:rPr>
                <w:rFonts w:ascii="宋体"/>
                <w:vanish/>
              </w:rPr>
            </w:pPr>
          </w:p>
        </w:tc>
        <w:tc>
          <w:tcPr>
            <w:tcW w:w="0" w:type="auto"/>
            <w:gridSpan w:val="3"/>
            <w:shd w:val="clear" w:color="auto" w:fill="auto"/>
            <w:vAlign w:val="bottom"/>
          </w:tcPr>
          <w:p w14:paraId="392CB207" w14:textId="77777777" w:rsidR="00980E5F" w:rsidRDefault="00980E5F">
            <w:pPr>
              <w:rPr>
                <w:rFonts w:ascii="宋体"/>
                <w:vanish/>
              </w:rPr>
            </w:pPr>
          </w:p>
        </w:tc>
        <w:tc>
          <w:tcPr>
            <w:tcW w:w="0" w:type="auto"/>
            <w:gridSpan w:val="3"/>
            <w:shd w:val="clear" w:color="auto" w:fill="auto"/>
            <w:vAlign w:val="bottom"/>
          </w:tcPr>
          <w:p w14:paraId="392CB208" w14:textId="77777777" w:rsidR="00980E5F" w:rsidRDefault="00980E5F">
            <w:pPr>
              <w:rPr>
                <w:rFonts w:ascii="宋体"/>
                <w:vanish/>
              </w:rPr>
            </w:pPr>
          </w:p>
        </w:tc>
        <w:tc>
          <w:tcPr>
            <w:tcW w:w="0" w:type="auto"/>
            <w:gridSpan w:val="3"/>
            <w:shd w:val="clear" w:color="auto" w:fill="auto"/>
            <w:vAlign w:val="bottom"/>
          </w:tcPr>
          <w:p w14:paraId="392CB209" w14:textId="77777777" w:rsidR="00980E5F" w:rsidRDefault="00980E5F">
            <w:pPr>
              <w:rPr>
                <w:rFonts w:ascii="宋体"/>
                <w:vanish/>
              </w:rPr>
            </w:pPr>
          </w:p>
        </w:tc>
        <w:tc>
          <w:tcPr>
            <w:tcW w:w="0" w:type="auto"/>
            <w:gridSpan w:val="3"/>
            <w:shd w:val="clear" w:color="auto" w:fill="auto"/>
            <w:vAlign w:val="bottom"/>
          </w:tcPr>
          <w:p w14:paraId="392CB20A" w14:textId="77777777" w:rsidR="00980E5F" w:rsidRDefault="00980E5F">
            <w:pPr>
              <w:rPr>
                <w:rFonts w:ascii="宋体"/>
                <w:vanish/>
              </w:rPr>
            </w:pPr>
          </w:p>
        </w:tc>
        <w:tc>
          <w:tcPr>
            <w:tcW w:w="0" w:type="auto"/>
            <w:gridSpan w:val="3"/>
            <w:shd w:val="clear" w:color="auto" w:fill="auto"/>
            <w:vAlign w:val="bottom"/>
          </w:tcPr>
          <w:p w14:paraId="392CB20B" w14:textId="77777777" w:rsidR="00980E5F" w:rsidRDefault="00980E5F">
            <w:pPr>
              <w:rPr>
                <w:rFonts w:ascii="宋体"/>
                <w:vanish/>
              </w:rPr>
            </w:pPr>
          </w:p>
        </w:tc>
        <w:tc>
          <w:tcPr>
            <w:tcW w:w="0" w:type="auto"/>
            <w:gridSpan w:val="3"/>
            <w:shd w:val="clear" w:color="auto" w:fill="auto"/>
            <w:vAlign w:val="bottom"/>
          </w:tcPr>
          <w:p w14:paraId="392CB20C" w14:textId="77777777" w:rsidR="00980E5F" w:rsidRDefault="00980E5F">
            <w:pPr>
              <w:rPr>
                <w:rFonts w:ascii="宋体"/>
                <w:vanish/>
              </w:rPr>
            </w:pPr>
          </w:p>
        </w:tc>
        <w:tc>
          <w:tcPr>
            <w:tcW w:w="0" w:type="auto"/>
            <w:gridSpan w:val="3"/>
            <w:shd w:val="clear" w:color="auto" w:fill="auto"/>
            <w:vAlign w:val="bottom"/>
          </w:tcPr>
          <w:p w14:paraId="392CB20D" w14:textId="77777777" w:rsidR="00980E5F" w:rsidRDefault="00980E5F">
            <w:pPr>
              <w:rPr>
                <w:rFonts w:ascii="宋体"/>
                <w:vanish/>
              </w:rPr>
            </w:pPr>
          </w:p>
        </w:tc>
        <w:tc>
          <w:tcPr>
            <w:tcW w:w="0" w:type="auto"/>
            <w:gridSpan w:val="3"/>
            <w:shd w:val="clear" w:color="auto" w:fill="auto"/>
            <w:vAlign w:val="bottom"/>
          </w:tcPr>
          <w:p w14:paraId="392CB20E" w14:textId="77777777" w:rsidR="00980E5F" w:rsidRDefault="00980E5F">
            <w:pPr>
              <w:rPr>
                <w:rFonts w:ascii="宋体"/>
                <w:vanish/>
              </w:rPr>
            </w:pPr>
          </w:p>
        </w:tc>
        <w:tc>
          <w:tcPr>
            <w:tcW w:w="0" w:type="auto"/>
            <w:gridSpan w:val="3"/>
            <w:shd w:val="clear" w:color="auto" w:fill="auto"/>
            <w:vAlign w:val="bottom"/>
          </w:tcPr>
          <w:p w14:paraId="392CB20F" w14:textId="77777777" w:rsidR="00980E5F" w:rsidRDefault="00980E5F">
            <w:pPr>
              <w:rPr>
                <w:rFonts w:ascii="宋体"/>
                <w:vanish/>
              </w:rPr>
            </w:pPr>
          </w:p>
        </w:tc>
        <w:tc>
          <w:tcPr>
            <w:tcW w:w="0" w:type="auto"/>
            <w:gridSpan w:val="3"/>
            <w:shd w:val="clear" w:color="auto" w:fill="auto"/>
            <w:vAlign w:val="bottom"/>
          </w:tcPr>
          <w:p w14:paraId="392CB210" w14:textId="77777777" w:rsidR="00980E5F" w:rsidRDefault="00980E5F">
            <w:pPr>
              <w:rPr>
                <w:rFonts w:ascii="宋体"/>
                <w:vanish/>
              </w:rPr>
            </w:pPr>
          </w:p>
        </w:tc>
        <w:tc>
          <w:tcPr>
            <w:tcW w:w="0" w:type="auto"/>
            <w:gridSpan w:val="3"/>
            <w:shd w:val="clear" w:color="auto" w:fill="auto"/>
            <w:vAlign w:val="bottom"/>
          </w:tcPr>
          <w:p w14:paraId="392CB211" w14:textId="77777777" w:rsidR="00980E5F" w:rsidRDefault="00980E5F">
            <w:pPr>
              <w:rPr>
                <w:rFonts w:ascii="宋体"/>
                <w:vanish/>
              </w:rPr>
            </w:pPr>
          </w:p>
        </w:tc>
        <w:tc>
          <w:tcPr>
            <w:tcW w:w="0" w:type="auto"/>
            <w:gridSpan w:val="3"/>
            <w:shd w:val="clear" w:color="auto" w:fill="auto"/>
            <w:vAlign w:val="bottom"/>
          </w:tcPr>
          <w:p w14:paraId="392CB212" w14:textId="77777777" w:rsidR="00980E5F" w:rsidRDefault="00980E5F">
            <w:pPr>
              <w:rPr>
                <w:rFonts w:ascii="宋体"/>
                <w:vanish/>
              </w:rPr>
            </w:pPr>
          </w:p>
        </w:tc>
        <w:tc>
          <w:tcPr>
            <w:tcW w:w="0" w:type="auto"/>
            <w:gridSpan w:val="3"/>
            <w:shd w:val="clear" w:color="auto" w:fill="auto"/>
            <w:vAlign w:val="bottom"/>
          </w:tcPr>
          <w:p w14:paraId="392CB213" w14:textId="77777777" w:rsidR="00980E5F" w:rsidRDefault="00980E5F">
            <w:pPr>
              <w:rPr>
                <w:rFonts w:ascii="宋体"/>
                <w:vanish/>
              </w:rPr>
            </w:pPr>
          </w:p>
        </w:tc>
        <w:tc>
          <w:tcPr>
            <w:tcW w:w="0" w:type="auto"/>
            <w:gridSpan w:val="3"/>
            <w:shd w:val="clear" w:color="auto" w:fill="auto"/>
            <w:vAlign w:val="bottom"/>
          </w:tcPr>
          <w:p w14:paraId="392CB214" w14:textId="77777777" w:rsidR="00980E5F" w:rsidRDefault="00980E5F">
            <w:pPr>
              <w:rPr>
                <w:rFonts w:ascii="宋体"/>
                <w:vanish/>
              </w:rPr>
            </w:pPr>
          </w:p>
        </w:tc>
        <w:tc>
          <w:tcPr>
            <w:tcW w:w="0" w:type="auto"/>
            <w:gridSpan w:val="3"/>
            <w:shd w:val="clear" w:color="auto" w:fill="auto"/>
            <w:vAlign w:val="bottom"/>
          </w:tcPr>
          <w:p w14:paraId="392CB215" w14:textId="77777777" w:rsidR="00980E5F" w:rsidRDefault="00980E5F">
            <w:pPr>
              <w:rPr>
                <w:rFonts w:ascii="宋体"/>
                <w:vanish/>
              </w:rPr>
            </w:pPr>
          </w:p>
        </w:tc>
      </w:tr>
      <w:tr w:rsidR="00980E5F" w14:paraId="392CB22B" w14:textId="77777777">
        <w:trPr>
          <w:hidden/>
        </w:trPr>
        <w:tc>
          <w:tcPr>
            <w:tcW w:w="0" w:type="auto"/>
            <w:gridSpan w:val="3"/>
            <w:shd w:val="clear" w:color="auto" w:fill="auto"/>
            <w:vAlign w:val="bottom"/>
          </w:tcPr>
          <w:p w14:paraId="392CB217" w14:textId="77777777" w:rsidR="00980E5F" w:rsidRDefault="00980E5F">
            <w:pPr>
              <w:rPr>
                <w:rFonts w:ascii="宋体"/>
                <w:vanish/>
              </w:rPr>
            </w:pPr>
          </w:p>
        </w:tc>
        <w:tc>
          <w:tcPr>
            <w:tcW w:w="0" w:type="auto"/>
            <w:gridSpan w:val="3"/>
            <w:shd w:val="clear" w:color="auto" w:fill="auto"/>
            <w:vAlign w:val="bottom"/>
          </w:tcPr>
          <w:p w14:paraId="392CB218" w14:textId="77777777" w:rsidR="00980E5F" w:rsidRDefault="00980E5F">
            <w:pPr>
              <w:rPr>
                <w:rFonts w:ascii="宋体"/>
                <w:vanish/>
              </w:rPr>
            </w:pPr>
          </w:p>
        </w:tc>
        <w:tc>
          <w:tcPr>
            <w:tcW w:w="0" w:type="auto"/>
            <w:gridSpan w:val="3"/>
            <w:shd w:val="clear" w:color="auto" w:fill="auto"/>
            <w:vAlign w:val="bottom"/>
          </w:tcPr>
          <w:p w14:paraId="392CB219" w14:textId="77777777" w:rsidR="00980E5F" w:rsidRDefault="00980E5F">
            <w:pPr>
              <w:rPr>
                <w:rFonts w:ascii="宋体"/>
                <w:vanish/>
              </w:rPr>
            </w:pPr>
          </w:p>
        </w:tc>
        <w:tc>
          <w:tcPr>
            <w:tcW w:w="0" w:type="auto"/>
            <w:gridSpan w:val="3"/>
            <w:shd w:val="clear" w:color="auto" w:fill="auto"/>
            <w:vAlign w:val="bottom"/>
          </w:tcPr>
          <w:p w14:paraId="392CB21A" w14:textId="77777777" w:rsidR="00980E5F" w:rsidRDefault="00980E5F">
            <w:pPr>
              <w:rPr>
                <w:rFonts w:ascii="宋体"/>
                <w:vanish/>
              </w:rPr>
            </w:pPr>
          </w:p>
        </w:tc>
        <w:tc>
          <w:tcPr>
            <w:tcW w:w="0" w:type="auto"/>
            <w:gridSpan w:val="3"/>
            <w:shd w:val="clear" w:color="auto" w:fill="auto"/>
            <w:vAlign w:val="bottom"/>
          </w:tcPr>
          <w:p w14:paraId="392CB21B" w14:textId="77777777" w:rsidR="00980E5F" w:rsidRDefault="00980E5F">
            <w:pPr>
              <w:rPr>
                <w:rFonts w:ascii="宋体"/>
                <w:vanish/>
              </w:rPr>
            </w:pPr>
          </w:p>
        </w:tc>
        <w:tc>
          <w:tcPr>
            <w:tcW w:w="0" w:type="auto"/>
            <w:gridSpan w:val="3"/>
            <w:shd w:val="clear" w:color="auto" w:fill="auto"/>
            <w:vAlign w:val="bottom"/>
          </w:tcPr>
          <w:p w14:paraId="392CB21C" w14:textId="77777777" w:rsidR="00980E5F" w:rsidRDefault="00980E5F">
            <w:pPr>
              <w:rPr>
                <w:rFonts w:ascii="宋体"/>
                <w:vanish/>
              </w:rPr>
            </w:pPr>
          </w:p>
        </w:tc>
        <w:tc>
          <w:tcPr>
            <w:tcW w:w="0" w:type="auto"/>
            <w:gridSpan w:val="3"/>
            <w:shd w:val="clear" w:color="auto" w:fill="auto"/>
            <w:vAlign w:val="bottom"/>
          </w:tcPr>
          <w:p w14:paraId="392CB21D" w14:textId="77777777" w:rsidR="00980E5F" w:rsidRDefault="00980E5F">
            <w:pPr>
              <w:rPr>
                <w:rFonts w:ascii="宋体"/>
                <w:vanish/>
              </w:rPr>
            </w:pPr>
          </w:p>
        </w:tc>
        <w:tc>
          <w:tcPr>
            <w:tcW w:w="0" w:type="auto"/>
            <w:gridSpan w:val="3"/>
            <w:shd w:val="clear" w:color="auto" w:fill="auto"/>
            <w:vAlign w:val="bottom"/>
          </w:tcPr>
          <w:p w14:paraId="392CB21E" w14:textId="77777777" w:rsidR="00980E5F" w:rsidRDefault="00980E5F">
            <w:pPr>
              <w:rPr>
                <w:rFonts w:ascii="宋体"/>
                <w:vanish/>
              </w:rPr>
            </w:pPr>
          </w:p>
        </w:tc>
        <w:tc>
          <w:tcPr>
            <w:tcW w:w="0" w:type="auto"/>
            <w:gridSpan w:val="3"/>
            <w:shd w:val="clear" w:color="auto" w:fill="auto"/>
            <w:vAlign w:val="bottom"/>
          </w:tcPr>
          <w:p w14:paraId="392CB21F" w14:textId="77777777" w:rsidR="00980E5F" w:rsidRDefault="00980E5F">
            <w:pPr>
              <w:rPr>
                <w:rFonts w:ascii="宋体"/>
                <w:vanish/>
              </w:rPr>
            </w:pPr>
          </w:p>
        </w:tc>
        <w:tc>
          <w:tcPr>
            <w:tcW w:w="0" w:type="auto"/>
            <w:gridSpan w:val="3"/>
            <w:shd w:val="clear" w:color="auto" w:fill="auto"/>
            <w:vAlign w:val="bottom"/>
          </w:tcPr>
          <w:p w14:paraId="392CB220" w14:textId="77777777" w:rsidR="00980E5F" w:rsidRDefault="00980E5F">
            <w:pPr>
              <w:rPr>
                <w:rFonts w:ascii="宋体"/>
                <w:vanish/>
              </w:rPr>
            </w:pPr>
          </w:p>
        </w:tc>
        <w:tc>
          <w:tcPr>
            <w:tcW w:w="0" w:type="auto"/>
            <w:gridSpan w:val="3"/>
            <w:shd w:val="clear" w:color="auto" w:fill="auto"/>
            <w:vAlign w:val="bottom"/>
          </w:tcPr>
          <w:p w14:paraId="392CB221" w14:textId="77777777" w:rsidR="00980E5F" w:rsidRDefault="00980E5F">
            <w:pPr>
              <w:rPr>
                <w:rFonts w:ascii="宋体"/>
                <w:vanish/>
              </w:rPr>
            </w:pPr>
          </w:p>
        </w:tc>
        <w:tc>
          <w:tcPr>
            <w:tcW w:w="0" w:type="auto"/>
            <w:gridSpan w:val="3"/>
            <w:shd w:val="clear" w:color="auto" w:fill="auto"/>
            <w:vAlign w:val="bottom"/>
          </w:tcPr>
          <w:p w14:paraId="392CB222" w14:textId="77777777" w:rsidR="00980E5F" w:rsidRDefault="00980E5F">
            <w:pPr>
              <w:rPr>
                <w:rFonts w:ascii="宋体"/>
                <w:vanish/>
              </w:rPr>
            </w:pPr>
          </w:p>
        </w:tc>
        <w:tc>
          <w:tcPr>
            <w:tcW w:w="0" w:type="auto"/>
            <w:gridSpan w:val="3"/>
            <w:shd w:val="clear" w:color="auto" w:fill="auto"/>
            <w:vAlign w:val="bottom"/>
          </w:tcPr>
          <w:p w14:paraId="392CB223" w14:textId="77777777" w:rsidR="00980E5F" w:rsidRDefault="00980E5F">
            <w:pPr>
              <w:rPr>
                <w:rFonts w:ascii="宋体"/>
                <w:vanish/>
              </w:rPr>
            </w:pPr>
          </w:p>
        </w:tc>
        <w:tc>
          <w:tcPr>
            <w:tcW w:w="0" w:type="auto"/>
            <w:gridSpan w:val="3"/>
            <w:shd w:val="clear" w:color="auto" w:fill="auto"/>
            <w:vAlign w:val="bottom"/>
          </w:tcPr>
          <w:p w14:paraId="392CB224" w14:textId="77777777" w:rsidR="00980E5F" w:rsidRDefault="00980E5F">
            <w:pPr>
              <w:rPr>
                <w:rFonts w:ascii="宋体"/>
                <w:vanish/>
              </w:rPr>
            </w:pPr>
          </w:p>
        </w:tc>
        <w:tc>
          <w:tcPr>
            <w:tcW w:w="0" w:type="auto"/>
            <w:gridSpan w:val="3"/>
            <w:shd w:val="clear" w:color="auto" w:fill="auto"/>
            <w:vAlign w:val="bottom"/>
          </w:tcPr>
          <w:p w14:paraId="392CB225" w14:textId="77777777" w:rsidR="00980E5F" w:rsidRDefault="00980E5F">
            <w:pPr>
              <w:rPr>
                <w:rFonts w:ascii="宋体"/>
                <w:vanish/>
              </w:rPr>
            </w:pPr>
          </w:p>
        </w:tc>
        <w:tc>
          <w:tcPr>
            <w:tcW w:w="0" w:type="auto"/>
            <w:gridSpan w:val="3"/>
            <w:shd w:val="clear" w:color="auto" w:fill="auto"/>
            <w:vAlign w:val="bottom"/>
          </w:tcPr>
          <w:p w14:paraId="392CB226" w14:textId="77777777" w:rsidR="00980E5F" w:rsidRDefault="00980E5F">
            <w:pPr>
              <w:rPr>
                <w:rFonts w:ascii="宋体"/>
                <w:vanish/>
              </w:rPr>
            </w:pPr>
          </w:p>
        </w:tc>
        <w:tc>
          <w:tcPr>
            <w:tcW w:w="0" w:type="auto"/>
            <w:gridSpan w:val="3"/>
            <w:shd w:val="clear" w:color="auto" w:fill="auto"/>
            <w:vAlign w:val="bottom"/>
          </w:tcPr>
          <w:p w14:paraId="392CB227" w14:textId="77777777" w:rsidR="00980E5F" w:rsidRDefault="00980E5F">
            <w:pPr>
              <w:rPr>
                <w:rFonts w:ascii="宋体"/>
                <w:vanish/>
              </w:rPr>
            </w:pPr>
          </w:p>
        </w:tc>
        <w:tc>
          <w:tcPr>
            <w:tcW w:w="0" w:type="auto"/>
            <w:gridSpan w:val="3"/>
            <w:shd w:val="clear" w:color="auto" w:fill="auto"/>
            <w:vAlign w:val="bottom"/>
          </w:tcPr>
          <w:p w14:paraId="392CB228" w14:textId="77777777" w:rsidR="00980E5F" w:rsidRDefault="00980E5F">
            <w:pPr>
              <w:rPr>
                <w:rFonts w:ascii="宋体"/>
                <w:vanish/>
              </w:rPr>
            </w:pPr>
          </w:p>
        </w:tc>
        <w:tc>
          <w:tcPr>
            <w:tcW w:w="0" w:type="auto"/>
            <w:gridSpan w:val="3"/>
            <w:shd w:val="clear" w:color="auto" w:fill="auto"/>
            <w:vAlign w:val="bottom"/>
          </w:tcPr>
          <w:p w14:paraId="392CB229" w14:textId="77777777" w:rsidR="00980E5F" w:rsidRDefault="00980E5F">
            <w:pPr>
              <w:rPr>
                <w:rFonts w:ascii="宋体"/>
                <w:vanish/>
              </w:rPr>
            </w:pPr>
          </w:p>
        </w:tc>
        <w:tc>
          <w:tcPr>
            <w:tcW w:w="0" w:type="auto"/>
            <w:gridSpan w:val="3"/>
            <w:shd w:val="clear" w:color="auto" w:fill="auto"/>
            <w:vAlign w:val="bottom"/>
          </w:tcPr>
          <w:p w14:paraId="392CB22A" w14:textId="77777777" w:rsidR="00980E5F" w:rsidRDefault="00980E5F">
            <w:pPr>
              <w:rPr>
                <w:rFonts w:ascii="宋体"/>
                <w:vanish/>
              </w:rPr>
            </w:pPr>
          </w:p>
        </w:tc>
      </w:tr>
      <w:tr w:rsidR="00980E5F" w14:paraId="392CB240" w14:textId="77777777">
        <w:trPr>
          <w:hidden/>
        </w:trPr>
        <w:tc>
          <w:tcPr>
            <w:tcW w:w="0" w:type="auto"/>
            <w:gridSpan w:val="3"/>
            <w:shd w:val="clear" w:color="auto" w:fill="auto"/>
            <w:vAlign w:val="bottom"/>
          </w:tcPr>
          <w:p w14:paraId="392CB22C" w14:textId="77777777" w:rsidR="00980E5F" w:rsidRDefault="00980E5F">
            <w:pPr>
              <w:rPr>
                <w:rFonts w:ascii="宋体"/>
                <w:vanish/>
              </w:rPr>
            </w:pPr>
          </w:p>
        </w:tc>
        <w:tc>
          <w:tcPr>
            <w:tcW w:w="0" w:type="auto"/>
            <w:gridSpan w:val="3"/>
            <w:shd w:val="clear" w:color="auto" w:fill="auto"/>
            <w:vAlign w:val="bottom"/>
          </w:tcPr>
          <w:p w14:paraId="392CB22D" w14:textId="77777777" w:rsidR="00980E5F" w:rsidRDefault="00980E5F">
            <w:pPr>
              <w:rPr>
                <w:rFonts w:ascii="宋体"/>
                <w:vanish/>
              </w:rPr>
            </w:pPr>
          </w:p>
        </w:tc>
        <w:tc>
          <w:tcPr>
            <w:tcW w:w="0" w:type="auto"/>
            <w:gridSpan w:val="3"/>
            <w:shd w:val="clear" w:color="auto" w:fill="auto"/>
            <w:vAlign w:val="bottom"/>
          </w:tcPr>
          <w:p w14:paraId="392CB22E" w14:textId="77777777" w:rsidR="00980E5F" w:rsidRDefault="00980E5F">
            <w:pPr>
              <w:rPr>
                <w:rFonts w:ascii="宋体"/>
                <w:vanish/>
              </w:rPr>
            </w:pPr>
          </w:p>
        </w:tc>
        <w:tc>
          <w:tcPr>
            <w:tcW w:w="0" w:type="auto"/>
            <w:gridSpan w:val="3"/>
            <w:shd w:val="clear" w:color="auto" w:fill="auto"/>
            <w:vAlign w:val="bottom"/>
          </w:tcPr>
          <w:p w14:paraId="392CB22F" w14:textId="77777777" w:rsidR="00980E5F" w:rsidRDefault="00980E5F">
            <w:pPr>
              <w:rPr>
                <w:rFonts w:ascii="宋体"/>
                <w:vanish/>
              </w:rPr>
            </w:pPr>
          </w:p>
        </w:tc>
        <w:tc>
          <w:tcPr>
            <w:tcW w:w="0" w:type="auto"/>
            <w:gridSpan w:val="3"/>
            <w:shd w:val="clear" w:color="auto" w:fill="auto"/>
            <w:vAlign w:val="bottom"/>
          </w:tcPr>
          <w:p w14:paraId="392CB230" w14:textId="77777777" w:rsidR="00980E5F" w:rsidRDefault="00980E5F">
            <w:pPr>
              <w:rPr>
                <w:rFonts w:ascii="宋体"/>
                <w:vanish/>
              </w:rPr>
            </w:pPr>
          </w:p>
        </w:tc>
        <w:tc>
          <w:tcPr>
            <w:tcW w:w="0" w:type="auto"/>
            <w:gridSpan w:val="3"/>
            <w:shd w:val="clear" w:color="auto" w:fill="auto"/>
            <w:vAlign w:val="bottom"/>
          </w:tcPr>
          <w:p w14:paraId="392CB231" w14:textId="77777777" w:rsidR="00980E5F" w:rsidRDefault="00980E5F">
            <w:pPr>
              <w:rPr>
                <w:rFonts w:ascii="宋体"/>
                <w:vanish/>
              </w:rPr>
            </w:pPr>
          </w:p>
        </w:tc>
        <w:tc>
          <w:tcPr>
            <w:tcW w:w="0" w:type="auto"/>
            <w:gridSpan w:val="3"/>
            <w:shd w:val="clear" w:color="auto" w:fill="auto"/>
            <w:vAlign w:val="bottom"/>
          </w:tcPr>
          <w:p w14:paraId="392CB232" w14:textId="77777777" w:rsidR="00980E5F" w:rsidRDefault="00980E5F">
            <w:pPr>
              <w:rPr>
                <w:rFonts w:ascii="宋体"/>
                <w:vanish/>
              </w:rPr>
            </w:pPr>
          </w:p>
        </w:tc>
        <w:tc>
          <w:tcPr>
            <w:tcW w:w="0" w:type="auto"/>
            <w:gridSpan w:val="3"/>
            <w:shd w:val="clear" w:color="auto" w:fill="auto"/>
            <w:vAlign w:val="bottom"/>
          </w:tcPr>
          <w:p w14:paraId="392CB233" w14:textId="77777777" w:rsidR="00980E5F" w:rsidRDefault="00980E5F">
            <w:pPr>
              <w:rPr>
                <w:rFonts w:ascii="宋体"/>
                <w:vanish/>
              </w:rPr>
            </w:pPr>
          </w:p>
        </w:tc>
        <w:tc>
          <w:tcPr>
            <w:tcW w:w="0" w:type="auto"/>
            <w:gridSpan w:val="3"/>
            <w:shd w:val="clear" w:color="auto" w:fill="auto"/>
            <w:vAlign w:val="bottom"/>
          </w:tcPr>
          <w:p w14:paraId="392CB234" w14:textId="77777777" w:rsidR="00980E5F" w:rsidRDefault="00980E5F">
            <w:pPr>
              <w:rPr>
                <w:rFonts w:ascii="宋体"/>
                <w:vanish/>
              </w:rPr>
            </w:pPr>
          </w:p>
        </w:tc>
        <w:tc>
          <w:tcPr>
            <w:tcW w:w="0" w:type="auto"/>
            <w:gridSpan w:val="3"/>
            <w:shd w:val="clear" w:color="auto" w:fill="auto"/>
            <w:vAlign w:val="bottom"/>
          </w:tcPr>
          <w:p w14:paraId="392CB235" w14:textId="77777777" w:rsidR="00980E5F" w:rsidRDefault="00980E5F">
            <w:pPr>
              <w:rPr>
                <w:rFonts w:ascii="宋体"/>
                <w:vanish/>
              </w:rPr>
            </w:pPr>
          </w:p>
        </w:tc>
        <w:tc>
          <w:tcPr>
            <w:tcW w:w="0" w:type="auto"/>
            <w:gridSpan w:val="3"/>
            <w:shd w:val="clear" w:color="auto" w:fill="auto"/>
            <w:vAlign w:val="bottom"/>
          </w:tcPr>
          <w:p w14:paraId="392CB236" w14:textId="77777777" w:rsidR="00980E5F" w:rsidRDefault="00980E5F">
            <w:pPr>
              <w:rPr>
                <w:rFonts w:ascii="宋体"/>
                <w:vanish/>
              </w:rPr>
            </w:pPr>
          </w:p>
        </w:tc>
        <w:tc>
          <w:tcPr>
            <w:tcW w:w="0" w:type="auto"/>
            <w:gridSpan w:val="3"/>
            <w:shd w:val="clear" w:color="auto" w:fill="auto"/>
            <w:vAlign w:val="bottom"/>
          </w:tcPr>
          <w:p w14:paraId="392CB237" w14:textId="77777777" w:rsidR="00980E5F" w:rsidRDefault="00980E5F">
            <w:pPr>
              <w:rPr>
                <w:rFonts w:ascii="宋体"/>
                <w:vanish/>
              </w:rPr>
            </w:pPr>
          </w:p>
        </w:tc>
        <w:tc>
          <w:tcPr>
            <w:tcW w:w="0" w:type="auto"/>
            <w:gridSpan w:val="3"/>
            <w:shd w:val="clear" w:color="auto" w:fill="auto"/>
            <w:vAlign w:val="bottom"/>
          </w:tcPr>
          <w:p w14:paraId="392CB238" w14:textId="77777777" w:rsidR="00980E5F" w:rsidRDefault="00980E5F">
            <w:pPr>
              <w:rPr>
                <w:rFonts w:ascii="宋体"/>
                <w:vanish/>
              </w:rPr>
            </w:pPr>
          </w:p>
        </w:tc>
        <w:tc>
          <w:tcPr>
            <w:tcW w:w="0" w:type="auto"/>
            <w:gridSpan w:val="3"/>
            <w:shd w:val="clear" w:color="auto" w:fill="auto"/>
            <w:vAlign w:val="bottom"/>
          </w:tcPr>
          <w:p w14:paraId="392CB239" w14:textId="77777777" w:rsidR="00980E5F" w:rsidRDefault="00980E5F">
            <w:pPr>
              <w:rPr>
                <w:rFonts w:ascii="宋体"/>
                <w:vanish/>
              </w:rPr>
            </w:pPr>
          </w:p>
        </w:tc>
        <w:tc>
          <w:tcPr>
            <w:tcW w:w="0" w:type="auto"/>
            <w:gridSpan w:val="3"/>
            <w:shd w:val="clear" w:color="auto" w:fill="auto"/>
            <w:vAlign w:val="bottom"/>
          </w:tcPr>
          <w:p w14:paraId="392CB23A" w14:textId="77777777" w:rsidR="00980E5F" w:rsidRDefault="00980E5F">
            <w:pPr>
              <w:rPr>
                <w:rFonts w:ascii="宋体"/>
                <w:vanish/>
              </w:rPr>
            </w:pPr>
          </w:p>
        </w:tc>
        <w:tc>
          <w:tcPr>
            <w:tcW w:w="0" w:type="auto"/>
            <w:gridSpan w:val="3"/>
            <w:shd w:val="clear" w:color="auto" w:fill="auto"/>
            <w:vAlign w:val="bottom"/>
          </w:tcPr>
          <w:p w14:paraId="392CB23B" w14:textId="77777777" w:rsidR="00980E5F" w:rsidRDefault="00980E5F">
            <w:pPr>
              <w:rPr>
                <w:rFonts w:ascii="宋体"/>
                <w:vanish/>
              </w:rPr>
            </w:pPr>
          </w:p>
        </w:tc>
        <w:tc>
          <w:tcPr>
            <w:tcW w:w="0" w:type="auto"/>
            <w:gridSpan w:val="3"/>
            <w:shd w:val="clear" w:color="auto" w:fill="auto"/>
            <w:vAlign w:val="bottom"/>
          </w:tcPr>
          <w:p w14:paraId="392CB23C" w14:textId="77777777" w:rsidR="00980E5F" w:rsidRDefault="00980E5F">
            <w:pPr>
              <w:rPr>
                <w:rFonts w:ascii="宋体"/>
                <w:vanish/>
              </w:rPr>
            </w:pPr>
          </w:p>
        </w:tc>
        <w:tc>
          <w:tcPr>
            <w:tcW w:w="0" w:type="auto"/>
            <w:gridSpan w:val="3"/>
            <w:shd w:val="clear" w:color="auto" w:fill="auto"/>
            <w:vAlign w:val="bottom"/>
          </w:tcPr>
          <w:p w14:paraId="392CB23D" w14:textId="77777777" w:rsidR="00980E5F" w:rsidRDefault="00980E5F">
            <w:pPr>
              <w:rPr>
                <w:rFonts w:ascii="宋体"/>
                <w:vanish/>
              </w:rPr>
            </w:pPr>
          </w:p>
        </w:tc>
        <w:tc>
          <w:tcPr>
            <w:tcW w:w="0" w:type="auto"/>
            <w:gridSpan w:val="3"/>
            <w:shd w:val="clear" w:color="auto" w:fill="auto"/>
            <w:vAlign w:val="bottom"/>
          </w:tcPr>
          <w:p w14:paraId="392CB23E" w14:textId="77777777" w:rsidR="00980E5F" w:rsidRDefault="00980E5F">
            <w:pPr>
              <w:rPr>
                <w:rFonts w:ascii="宋体"/>
                <w:vanish/>
              </w:rPr>
            </w:pPr>
          </w:p>
        </w:tc>
        <w:tc>
          <w:tcPr>
            <w:tcW w:w="0" w:type="auto"/>
            <w:gridSpan w:val="3"/>
            <w:shd w:val="clear" w:color="auto" w:fill="auto"/>
            <w:vAlign w:val="bottom"/>
          </w:tcPr>
          <w:p w14:paraId="392CB23F" w14:textId="77777777" w:rsidR="00980E5F" w:rsidRDefault="00980E5F">
            <w:pPr>
              <w:rPr>
                <w:rFonts w:ascii="宋体"/>
                <w:vanish/>
              </w:rPr>
            </w:pPr>
          </w:p>
        </w:tc>
      </w:tr>
      <w:tr w:rsidR="00980E5F" w14:paraId="392CB255" w14:textId="77777777">
        <w:trPr>
          <w:hidden/>
        </w:trPr>
        <w:tc>
          <w:tcPr>
            <w:tcW w:w="0" w:type="auto"/>
            <w:gridSpan w:val="3"/>
            <w:shd w:val="clear" w:color="auto" w:fill="auto"/>
            <w:vAlign w:val="bottom"/>
          </w:tcPr>
          <w:p w14:paraId="392CB241" w14:textId="77777777" w:rsidR="00980E5F" w:rsidRDefault="00980E5F">
            <w:pPr>
              <w:rPr>
                <w:rFonts w:ascii="宋体"/>
                <w:vanish/>
              </w:rPr>
            </w:pPr>
          </w:p>
        </w:tc>
        <w:tc>
          <w:tcPr>
            <w:tcW w:w="0" w:type="auto"/>
            <w:gridSpan w:val="3"/>
            <w:shd w:val="clear" w:color="auto" w:fill="auto"/>
            <w:vAlign w:val="bottom"/>
          </w:tcPr>
          <w:p w14:paraId="392CB242" w14:textId="77777777" w:rsidR="00980E5F" w:rsidRDefault="00980E5F">
            <w:pPr>
              <w:rPr>
                <w:rFonts w:ascii="宋体"/>
                <w:vanish/>
              </w:rPr>
            </w:pPr>
          </w:p>
        </w:tc>
        <w:tc>
          <w:tcPr>
            <w:tcW w:w="0" w:type="auto"/>
            <w:gridSpan w:val="3"/>
            <w:shd w:val="clear" w:color="auto" w:fill="auto"/>
            <w:vAlign w:val="bottom"/>
          </w:tcPr>
          <w:p w14:paraId="392CB243" w14:textId="77777777" w:rsidR="00980E5F" w:rsidRDefault="00980E5F">
            <w:pPr>
              <w:rPr>
                <w:rFonts w:ascii="宋体"/>
                <w:vanish/>
              </w:rPr>
            </w:pPr>
          </w:p>
        </w:tc>
        <w:tc>
          <w:tcPr>
            <w:tcW w:w="0" w:type="auto"/>
            <w:gridSpan w:val="3"/>
            <w:shd w:val="clear" w:color="auto" w:fill="auto"/>
            <w:vAlign w:val="bottom"/>
          </w:tcPr>
          <w:p w14:paraId="392CB244" w14:textId="77777777" w:rsidR="00980E5F" w:rsidRDefault="00980E5F">
            <w:pPr>
              <w:rPr>
                <w:rFonts w:ascii="宋体"/>
                <w:vanish/>
              </w:rPr>
            </w:pPr>
          </w:p>
        </w:tc>
        <w:tc>
          <w:tcPr>
            <w:tcW w:w="0" w:type="auto"/>
            <w:gridSpan w:val="3"/>
            <w:shd w:val="clear" w:color="auto" w:fill="auto"/>
            <w:vAlign w:val="bottom"/>
          </w:tcPr>
          <w:p w14:paraId="392CB245" w14:textId="77777777" w:rsidR="00980E5F" w:rsidRDefault="00980E5F">
            <w:pPr>
              <w:rPr>
                <w:rFonts w:ascii="宋体"/>
                <w:vanish/>
              </w:rPr>
            </w:pPr>
          </w:p>
        </w:tc>
        <w:tc>
          <w:tcPr>
            <w:tcW w:w="0" w:type="auto"/>
            <w:gridSpan w:val="3"/>
            <w:shd w:val="clear" w:color="auto" w:fill="auto"/>
            <w:vAlign w:val="bottom"/>
          </w:tcPr>
          <w:p w14:paraId="392CB246" w14:textId="77777777" w:rsidR="00980E5F" w:rsidRDefault="00980E5F">
            <w:pPr>
              <w:rPr>
                <w:rFonts w:ascii="宋体"/>
                <w:vanish/>
              </w:rPr>
            </w:pPr>
          </w:p>
        </w:tc>
        <w:tc>
          <w:tcPr>
            <w:tcW w:w="0" w:type="auto"/>
            <w:gridSpan w:val="3"/>
            <w:shd w:val="clear" w:color="auto" w:fill="auto"/>
            <w:vAlign w:val="bottom"/>
          </w:tcPr>
          <w:p w14:paraId="392CB247" w14:textId="77777777" w:rsidR="00980E5F" w:rsidRDefault="00980E5F">
            <w:pPr>
              <w:rPr>
                <w:rFonts w:ascii="宋体"/>
                <w:vanish/>
              </w:rPr>
            </w:pPr>
          </w:p>
        </w:tc>
        <w:tc>
          <w:tcPr>
            <w:tcW w:w="0" w:type="auto"/>
            <w:gridSpan w:val="3"/>
            <w:shd w:val="clear" w:color="auto" w:fill="auto"/>
            <w:vAlign w:val="bottom"/>
          </w:tcPr>
          <w:p w14:paraId="392CB248" w14:textId="77777777" w:rsidR="00980E5F" w:rsidRDefault="00980E5F">
            <w:pPr>
              <w:rPr>
                <w:rFonts w:ascii="宋体"/>
                <w:vanish/>
              </w:rPr>
            </w:pPr>
          </w:p>
        </w:tc>
        <w:tc>
          <w:tcPr>
            <w:tcW w:w="0" w:type="auto"/>
            <w:gridSpan w:val="3"/>
            <w:shd w:val="clear" w:color="auto" w:fill="auto"/>
            <w:vAlign w:val="bottom"/>
          </w:tcPr>
          <w:p w14:paraId="392CB249" w14:textId="77777777" w:rsidR="00980E5F" w:rsidRDefault="00980E5F">
            <w:pPr>
              <w:rPr>
                <w:rFonts w:ascii="宋体"/>
                <w:vanish/>
              </w:rPr>
            </w:pPr>
          </w:p>
        </w:tc>
        <w:tc>
          <w:tcPr>
            <w:tcW w:w="0" w:type="auto"/>
            <w:gridSpan w:val="3"/>
            <w:shd w:val="clear" w:color="auto" w:fill="auto"/>
            <w:vAlign w:val="bottom"/>
          </w:tcPr>
          <w:p w14:paraId="392CB24A" w14:textId="77777777" w:rsidR="00980E5F" w:rsidRDefault="00980E5F">
            <w:pPr>
              <w:rPr>
                <w:rFonts w:ascii="宋体"/>
                <w:vanish/>
              </w:rPr>
            </w:pPr>
          </w:p>
        </w:tc>
        <w:tc>
          <w:tcPr>
            <w:tcW w:w="0" w:type="auto"/>
            <w:gridSpan w:val="3"/>
            <w:shd w:val="clear" w:color="auto" w:fill="auto"/>
            <w:vAlign w:val="bottom"/>
          </w:tcPr>
          <w:p w14:paraId="392CB24B" w14:textId="77777777" w:rsidR="00980E5F" w:rsidRDefault="00980E5F">
            <w:pPr>
              <w:rPr>
                <w:rFonts w:ascii="宋体"/>
                <w:vanish/>
              </w:rPr>
            </w:pPr>
          </w:p>
        </w:tc>
        <w:tc>
          <w:tcPr>
            <w:tcW w:w="0" w:type="auto"/>
            <w:gridSpan w:val="3"/>
            <w:shd w:val="clear" w:color="auto" w:fill="auto"/>
            <w:vAlign w:val="bottom"/>
          </w:tcPr>
          <w:p w14:paraId="392CB24C" w14:textId="77777777" w:rsidR="00980E5F" w:rsidRDefault="00980E5F">
            <w:pPr>
              <w:rPr>
                <w:rFonts w:ascii="宋体"/>
                <w:vanish/>
              </w:rPr>
            </w:pPr>
          </w:p>
        </w:tc>
        <w:tc>
          <w:tcPr>
            <w:tcW w:w="0" w:type="auto"/>
            <w:gridSpan w:val="3"/>
            <w:shd w:val="clear" w:color="auto" w:fill="auto"/>
            <w:vAlign w:val="bottom"/>
          </w:tcPr>
          <w:p w14:paraId="392CB24D" w14:textId="77777777" w:rsidR="00980E5F" w:rsidRDefault="00980E5F">
            <w:pPr>
              <w:rPr>
                <w:rFonts w:ascii="宋体"/>
                <w:vanish/>
              </w:rPr>
            </w:pPr>
          </w:p>
        </w:tc>
        <w:tc>
          <w:tcPr>
            <w:tcW w:w="0" w:type="auto"/>
            <w:gridSpan w:val="3"/>
            <w:shd w:val="clear" w:color="auto" w:fill="auto"/>
            <w:vAlign w:val="bottom"/>
          </w:tcPr>
          <w:p w14:paraId="392CB24E" w14:textId="77777777" w:rsidR="00980E5F" w:rsidRDefault="00980E5F">
            <w:pPr>
              <w:rPr>
                <w:rFonts w:ascii="宋体"/>
                <w:vanish/>
              </w:rPr>
            </w:pPr>
          </w:p>
        </w:tc>
        <w:tc>
          <w:tcPr>
            <w:tcW w:w="0" w:type="auto"/>
            <w:gridSpan w:val="3"/>
            <w:shd w:val="clear" w:color="auto" w:fill="auto"/>
            <w:vAlign w:val="bottom"/>
          </w:tcPr>
          <w:p w14:paraId="392CB24F" w14:textId="77777777" w:rsidR="00980E5F" w:rsidRDefault="00980E5F">
            <w:pPr>
              <w:rPr>
                <w:rFonts w:ascii="宋体"/>
                <w:vanish/>
              </w:rPr>
            </w:pPr>
          </w:p>
        </w:tc>
        <w:tc>
          <w:tcPr>
            <w:tcW w:w="0" w:type="auto"/>
            <w:gridSpan w:val="3"/>
            <w:shd w:val="clear" w:color="auto" w:fill="auto"/>
            <w:vAlign w:val="bottom"/>
          </w:tcPr>
          <w:p w14:paraId="392CB250" w14:textId="77777777" w:rsidR="00980E5F" w:rsidRDefault="00980E5F">
            <w:pPr>
              <w:rPr>
                <w:rFonts w:ascii="宋体"/>
                <w:vanish/>
              </w:rPr>
            </w:pPr>
          </w:p>
        </w:tc>
        <w:tc>
          <w:tcPr>
            <w:tcW w:w="0" w:type="auto"/>
            <w:gridSpan w:val="3"/>
            <w:shd w:val="clear" w:color="auto" w:fill="auto"/>
            <w:vAlign w:val="bottom"/>
          </w:tcPr>
          <w:p w14:paraId="392CB251" w14:textId="77777777" w:rsidR="00980E5F" w:rsidRDefault="00980E5F">
            <w:pPr>
              <w:rPr>
                <w:rFonts w:ascii="宋体"/>
                <w:vanish/>
              </w:rPr>
            </w:pPr>
          </w:p>
        </w:tc>
        <w:tc>
          <w:tcPr>
            <w:tcW w:w="0" w:type="auto"/>
            <w:gridSpan w:val="3"/>
            <w:shd w:val="clear" w:color="auto" w:fill="auto"/>
            <w:vAlign w:val="bottom"/>
          </w:tcPr>
          <w:p w14:paraId="392CB252" w14:textId="77777777" w:rsidR="00980E5F" w:rsidRDefault="00980E5F">
            <w:pPr>
              <w:rPr>
                <w:rFonts w:ascii="宋体"/>
                <w:vanish/>
              </w:rPr>
            </w:pPr>
          </w:p>
        </w:tc>
        <w:tc>
          <w:tcPr>
            <w:tcW w:w="0" w:type="auto"/>
            <w:gridSpan w:val="3"/>
            <w:shd w:val="clear" w:color="auto" w:fill="auto"/>
            <w:vAlign w:val="bottom"/>
          </w:tcPr>
          <w:p w14:paraId="392CB253" w14:textId="77777777" w:rsidR="00980E5F" w:rsidRDefault="00980E5F">
            <w:pPr>
              <w:rPr>
                <w:rFonts w:ascii="宋体"/>
                <w:vanish/>
              </w:rPr>
            </w:pPr>
          </w:p>
        </w:tc>
        <w:tc>
          <w:tcPr>
            <w:tcW w:w="0" w:type="auto"/>
            <w:gridSpan w:val="3"/>
            <w:shd w:val="clear" w:color="auto" w:fill="auto"/>
            <w:vAlign w:val="bottom"/>
          </w:tcPr>
          <w:p w14:paraId="392CB254" w14:textId="77777777" w:rsidR="00980E5F" w:rsidRDefault="00980E5F">
            <w:pPr>
              <w:rPr>
                <w:rFonts w:ascii="宋体"/>
                <w:vanish/>
              </w:rPr>
            </w:pPr>
          </w:p>
        </w:tc>
      </w:tr>
      <w:tr w:rsidR="00980E5F" w14:paraId="392CB26A" w14:textId="77777777">
        <w:trPr>
          <w:hidden/>
        </w:trPr>
        <w:tc>
          <w:tcPr>
            <w:tcW w:w="0" w:type="auto"/>
            <w:gridSpan w:val="3"/>
            <w:shd w:val="clear" w:color="auto" w:fill="auto"/>
            <w:vAlign w:val="bottom"/>
          </w:tcPr>
          <w:p w14:paraId="392CB256" w14:textId="77777777" w:rsidR="00980E5F" w:rsidRDefault="00980E5F">
            <w:pPr>
              <w:rPr>
                <w:rFonts w:ascii="宋体"/>
                <w:vanish/>
              </w:rPr>
            </w:pPr>
          </w:p>
        </w:tc>
        <w:tc>
          <w:tcPr>
            <w:tcW w:w="0" w:type="auto"/>
            <w:gridSpan w:val="3"/>
            <w:shd w:val="clear" w:color="auto" w:fill="auto"/>
            <w:vAlign w:val="bottom"/>
          </w:tcPr>
          <w:p w14:paraId="392CB257" w14:textId="77777777" w:rsidR="00980E5F" w:rsidRDefault="00980E5F">
            <w:pPr>
              <w:rPr>
                <w:rFonts w:ascii="宋体"/>
                <w:vanish/>
              </w:rPr>
            </w:pPr>
          </w:p>
        </w:tc>
        <w:tc>
          <w:tcPr>
            <w:tcW w:w="0" w:type="auto"/>
            <w:gridSpan w:val="3"/>
            <w:shd w:val="clear" w:color="auto" w:fill="auto"/>
            <w:vAlign w:val="bottom"/>
          </w:tcPr>
          <w:p w14:paraId="392CB258" w14:textId="77777777" w:rsidR="00980E5F" w:rsidRDefault="00980E5F">
            <w:pPr>
              <w:rPr>
                <w:rFonts w:ascii="宋体"/>
                <w:vanish/>
              </w:rPr>
            </w:pPr>
          </w:p>
        </w:tc>
        <w:tc>
          <w:tcPr>
            <w:tcW w:w="0" w:type="auto"/>
            <w:gridSpan w:val="3"/>
            <w:shd w:val="clear" w:color="auto" w:fill="auto"/>
            <w:vAlign w:val="bottom"/>
          </w:tcPr>
          <w:p w14:paraId="392CB259" w14:textId="77777777" w:rsidR="00980E5F" w:rsidRDefault="00980E5F">
            <w:pPr>
              <w:rPr>
                <w:rFonts w:ascii="宋体"/>
                <w:vanish/>
              </w:rPr>
            </w:pPr>
          </w:p>
        </w:tc>
        <w:tc>
          <w:tcPr>
            <w:tcW w:w="0" w:type="auto"/>
            <w:gridSpan w:val="3"/>
            <w:shd w:val="clear" w:color="auto" w:fill="auto"/>
            <w:vAlign w:val="bottom"/>
          </w:tcPr>
          <w:p w14:paraId="392CB25A" w14:textId="77777777" w:rsidR="00980E5F" w:rsidRDefault="00980E5F">
            <w:pPr>
              <w:rPr>
                <w:rFonts w:ascii="宋体"/>
                <w:vanish/>
              </w:rPr>
            </w:pPr>
          </w:p>
        </w:tc>
        <w:tc>
          <w:tcPr>
            <w:tcW w:w="0" w:type="auto"/>
            <w:gridSpan w:val="3"/>
            <w:shd w:val="clear" w:color="auto" w:fill="auto"/>
            <w:vAlign w:val="bottom"/>
          </w:tcPr>
          <w:p w14:paraId="392CB25B" w14:textId="77777777" w:rsidR="00980E5F" w:rsidRDefault="00980E5F">
            <w:pPr>
              <w:rPr>
                <w:rFonts w:ascii="宋体"/>
                <w:vanish/>
              </w:rPr>
            </w:pPr>
          </w:p>
        </w:tc>
        <w:tc>
          <w:tcPr>
            <w:tcW w:w="0" w:type="auto"/>
            <w:gridSpan w:val="3"/>
            <w:shd w:val="clear" w:color="auto" w:fill="auto"/>
            <w:vAlign w:val="bottom"/>
          </w:tcPr>
          <w:p w14:paraId="392CB25C" w14:textId="77777777" w:rsidR="00980E5F" w:rsidRDefault="00980E5F">
            <w:pPr>
              <w:rPr>
                <w:rFonts w:ascii="宋体"/>
                <w:vanish/>
              </w:rPr>
            </w:pPr>
          </w:p>
        </w:tc>
        <w:tc>
          <w:tcPr>
            <w:tcW w:w="0" w:type="auto"/>
            <w:gridSpan w:val="3"/>
            <w:shd w:val="clear" w:color="auto" w:fill="auto"/>
            <w:vAlign w:val="bottom"/>
          </w:tcPr>
          <w:p w14:paraId="392CB25D" w14:textId="77777777" w:rsidR="00980E5F" w:rsidRDefault="00980E5F">
            <w:pPr>
              <w:rPr>
                <w:rFonts w:ascii="宋体"/>
                <w:vanish/>
              </w:rPr>
            </w:pPr>
          </w:p>
        </w:tc>
        <w:tc>
          <w:tcPr>
            <w:tcW w:w="0" w:type="auto"/>
            <w:gridSpan w:val="3"/>
            <w:shd w:val="clear" w:color="auto" w:fill="auto"/>
            <w:vAlign w:val="bottom"/>
          </w:tcPr>
          <w:p w14:paraId="392CB25E" w14:textId="77777777" w:rsidR="00980E5F" w:rsidRDefault="00980E5F">
            <w:pPr>
              <w:rPr>
                <w:rFonts w:ascii="宋体"/>
                <w:vanish/>
              </w:rPr>
            </w:pPr>
          </w:p>
        </w:tc>
        <w:tc>
          <w:tcPr>
            <w:tcW w:w="0" w:type="auto"/>
            <w:gridSpan w:val="3"/>
            <w:shd w:val="clear" w:color="auto" w:fill="auto"/>
            <w:vAlign w:val="bottom"/>
          </w:tcPr>
          <w:p w14:paraId="392CB25F" w14:textId="77777777" w:rsidR="00980E5F" w:rsidRDefault="00980E5F">
            <w:pPr>
              <w:rPr>
                <w:rFonts w:ascii="宋体"/>
                <w:vanish/>
              </w:rPr>
            </w:pPr>
          </w:p>
        </w:tc>
        <w:tc>
          <w:tcPr>
            <w:tcW w:w="0" w:type="auto"/>
            <w:gridSpan w:val="3"/>
            <w:shd w:val="clear" w:color="auto" w:fill="auto"/>
            <w:vAlign w:val="bottom"/>
          </w:tcPr>
          <w:p w14:paraId="392CB260" w14:textId="77777777" w:rsidR="00980E5F" w:rsidRDefault="00980E5F">
            <w:pPr>
              <w:rPr>
                <w:rFonts w:ascii="宋体"/>
                <w:vanish/>
              </w:rPr>
            </w:pPr>
          </w:p>
        </w:tc>
        <w:tc>
          <w:tcPr>
            <w:tcW w:w="0" w:type="auto"/>
            <w:gridSpan w:val="3"/>
            <w:shd w:val="clear" w:color="auto" w:fill="auto"/>
            <w:vAlign w:val="bottom"/>
          </w:tcPr>
          <w:p w14:paraId="392CB261" w14:textId="77777777" w:rsidR="00980E5F" w:rsidRDefault="00980E5F">
            <w:pPr>
              <w:rPr>
                <w:rFonts w:ascii="宋体"/>
                <w:vanish/>
              </w:rPr>
            </w:pPr>
          </w:p>
        </w:tc>
        <w:tc>
          <w:tcPr>
            <w:tcW w:w="0" w:type="auto"/>
            <w:gridSpan w:val="3"/>
            <w:shd w:val="clear" w:color="auto" w:fill="auto"/>
            <w:vAlign w:val="bottom"/>
          </w:tcPr>
          <w:p w14:paraId="392CB262" w14:textId="77777777" w:rsidR="00980E5F" w:rsidRDefault="00980E5F">
            <w:pPr>
              <w:rPr>
                <w:rFonts w:ascii="宋体"/>
                <w:vanish/>
              </w:rPr>
            </w:pPr>
          </w:p>
        </w:tc>
        <w:tc>
          <w:tcPr>
            <w:tcW w:w="0" w:type="auto"/>
            <w:gridSpan w:val="3"/>
            <w:shd w:val="clear" w:color="auto" w:fill="auto"/>
            <w:vAlign w:val="bottom"/>
          </w:tcPr>
          <w:p w14:paraId="392CB263" w14:textId="77777777" w:rsidR="00980E5F" w:rsidRDefault="00980E5F">
            <w:pPr>
              <w:rPr>
                <w:rFonts w:ascii="宋体"/>
                <w:vanish/>
              </w:rPr>
            </w:pPr>
          </w:p>
        </w:tc>
        <w:tc>
          <w:tcPr>
            <w:tcW w:w="0" w:type="auto"/>
            <w:gridSpan w:val="3"/>
            <w:shd w:val="clear" w:color="auto" w:fill="auto"/>
            <w:vAlign w:val="bottom"/>
          </w:tcPr>
          <w:p w14:paraId="392CB264" w14:textId="77777777" w:rsidR="00980E5F" w:rsidRDefault="00980E5F">
            <w:pPr>
              <w:rPr>
                <w:rFonts w:ascii="宋体"/>
                <w:vanish/>
              </w:rPr>
            </w:pPr>
          </w:p>
        </w:tc>
        <w:tc>
          <w:tcPr>
            <w:tcW w:w="0" w:type="auto"/>
            <w:gridSpan w:val="3"/>
            <w:shd w:val="clear" w:color="auto" w:fill="auto"/>
            <w:vAlign w:val="bottom"/>
          </w:tcPr>
          <w:p w14:paraId="392CB265" w14:textId="77777777" w:rsidR="00980E5F" w:rsidRDefault="00980E5F">
            <w:pPr>
              <w:rPr>
                <w:rFonts w:ascii="宋体"/>
                <w:vanish/>
              </w:rPr>
            </w:pPr>
          </w:p>
        </w:tc>
        <w:tc>
          <w:tcPr>
            <w:tcW w:w="0" w:type="auto"/>
            <w:gridSpan w:val="3"/>
            <w:shd w:val="clear" w:color="auto" w:fill="auto"/>
            <w:vAlign w:val="bottom"/>
          </w:tcPr>
          <w:p w14:paraId="392CB266" w14:textId="77777777" w:rsidR="00980E5F" w:rsidRDefault="00980E5F">
            <w:pPr>
              <w:rPr>
                <w:rFonts w:ascii="宋体"/>
                <w:vanish/>
              </w:rPr>
            </w:pPr>
          </w:p>
        </w:tc>
        <w:tc>
          <w:tcPr>
            <w:tcW w:w="0" w:type="auto"/>
            <w:gridSpan w:val="3"/>
            <w:shd w:val="clear" w:color="auto" w:fill="auto"/>
            <w:vAlign w:val="bottom"/>
          </w:tcPr>
          <w:p w14:paraId="392CB267" w14:textId="77777777" w:rsidR="00980E5F" w:rsidRDefault="00980E5F">
            <w:pPr>
              <w:rPr>
                <w:rFonts w:ascii="宋体"/>
                <w:vanish/>
              </w:rPr>
            </w:pPr>
          </w:p>
        </w:tc>
        <w:tc>
          <w:tcPr>
            <w:tcW w:w="0" w:type="auto"/>
            <w:gridSpan w:val="3"/>
            <w:shd w:val="clear" w:color="auto" w:fill="auto"/>
            <w:vAlign w:val="bottom"/>
          </w:tcPr>
          <w:p w14:paraId="392CB268" w14:textId="77777777" w:rsidR="00980E5F" w:rsidRDefault="00980E5F">
            <w:pPr>
              <w:rPr>
                <w:rFonts w:ascii="宋体"/>
                <w:vanish/>
              </w:rPr>
            </w:pPr>
          </w:p>
        </w:tc>
        <w:tc>
          <w:tcPr>
            <w:tcW w:w="0" w:type="auto"/>
            <w:gridSpan w:val="3"/>
            <w:shd w:val="clear" w:color="auto" w:fill="auto"/>
            <w:vAlign w:val="bottom"/>
          </w:tcPr>
          <w:p w14:paraId="392CB269" w14:textId="77777777" w:rsidR="00980E5F" w:rsidRDefault="00980E5F">
            <w:pPr>
              <w:rPr>
                <w:rFonts w:ascii="宋体"/>
                <w:vanish/>
              </w:rPr>
            </w:pPr>
          </w:p>
        </w:tc>
      </w:tr>
      <w:tr w:rsidR="00980E5F" w14:paraId="392CB27F" w14:textId="77777777">
        <w:trPr>
          <w:hidden/>
        </w:trPr>
        <w:tc>
          <w:tcPr>
            <w:tcW w:w="0" w:type="auto"/>
            <w:gridSpan w:val="3"/>
            <w:shd w:val="clear" w:color="auto" w:fill="auto"/>
            <w:vAlign w:val="bottom"/>
          </w:tcPr>
          <w:p w14:paraId="392CB26B" w14:textId="77777777" w:rsidR="00980E5F" w:rsidRDefault="00980E5F">
            <w:pPr>
              <w:rPr>
                <w:rFonts w:ascii="宋体"/>
                <w:vanish/>
              </w:rPr>
            </w:pPr>
          </w:p>
        </w:tc>
        <w:tc>
          <w:tcPr>
            <w:tcW w:w="0" w:type="auto"/>
            <w:gridSpan w:val="3"/>
            <w:shd w:val="clear" w:color="auto" w:fill="auto"/>
            <w:vAlign w:val="bottom"/>
          </w:tcPr>
          <w:p w14:paraId="392CB26C" w14:textId="77777777" w:rsidR="00980E5F" w:rsidRDefault="00980E5F">
            <w:pPr>
              <w:rPr>
                <w:rFonts w:ascii="宋体"/>
                <w:vanish/>
              </w:rPr>
            </w:pPr>
          </w:p>
        </w:tc>
        <w:tc>
          <w:tcPr>
            <w:tcW w:w="0" w:type="auto"/>
            <w:gridSpan w:val="3"/>
            <w:shd w:val="clear" w:color="auto" w:fill="auto"/>
            <w:vAlign w:val="bottom"/>
          </w:tcPr>
          <w:p w14:paraId="392CB26D" w14:textId="77777777" w:rsidR="00980E5F" w:rsidRDefault="00980E5F">
            <w:pPr>
              <w:rPr>
                <w:rFonts w:ascii="宋体"/>
                <w:vanish/>
              </w:rPr>
            </w:pPr>
          </w:p>
        </w:tc>
        <w:tc>
          <w:tcPr>
            <w:tcW w:w="0" w:type="auto"/>
            <w:gridSpan w:val="3"/>
            <w:shd w:val="clear" w:color="auto" w:fill="auto"/>
            <w:vAlign w:val="bottom"/>
          </w:tcPr>
          <w:p w14:paraId="392CB26E" w14:textId="77777777" w:rsidR="00980E5F" w:rsidRDefault="00980E5F">
            <w:pPr>
              <w:rPr>
                <w:rFonts w:ascii="宋体"/>
                <w:vanish/>
              </w:rPr>
            </w:pPr>
          </w:p>
        </w:tc>
        <w:tc>
          <w:tcPr>
            <w:tcW w:w="0" w:type="auto"/>
            <w:gridSpan w:val="3"/>
            <w:shd w:val="clear" w:color="auto" w:fill="auto"/>
            <w:vAlign w:val="bottom"/>
          </w:tcPr>
          <w:p w14:paraId="392CB26F" w14:textId="77777777" w:rsidR="00980E5F" w:rsidRDefault="00980E5F">
            <w:pPr>
              <w:rPr>
                <w:rFonts w:ascii="宋体"/>
                <w:vanish/>
              </w:rPr>
            </w:pPr>
          </w:p>
        </w:tc>
        <w:tc>
          <w:tcPr>
            <w:tcW w:w="0" w:type="auto"/>
            <w:gridSpan w:val="3"/>
            <w:shd w:val="clear" w:color="auto" w:fill="auto"/>
            <w:vAlign w:val="bottom"/>
          </w:tcPr>
          <w:p w14:paraId="392CB270" w14:textId="77777777" w:rsidR="00980E5F" w:rsidRDefault="00980E5F">
            <w:pPr>
              <w:rPr>
                <w:rFonts w:ascii="宋体"/>
                <w:vanish/>
              </w:rPr>
            </w:pPr>
          </w:p>
        </w:tc>
        <w:tc>
          <w:tcPr>
            <w:tcW w:w="0" w:type="auto"/>
            <w:gridSpan w:val="3"/>
            <w:shd w:val="clear" w:color="auto" w:fill="auto"/>
            <w:vAlign w:val="bottom"/>
          </w:tcPr>
          <w:p w14:paraId="392CB271" w14:textId="77777777" w:rsidR="00980E5F" w:rsidRDefault="00980E5F">
            <w:pPr>
              <w:rPr>
                <w:rFonts w:ascii="宋体"/>
                <w:vanish/>
              </w:rPr>
            </w:pPr>
          </w:p>
        </w:tc>
        <w:tc>
          <w:tcPr>
            <w:tcW w:w="0" w:type="auto"/>
            <w:gridSpan w:val="3"/>
            <w:shd w:val="clear" w:color="auto" w:fill="auto"/>
            <w:vAlign w:val="bottom"/>
          </w:tcPr>
          <w:p w14:paraId="392CB272" w14:textId="77777777" w:rsidR="00980E5F" w:rsidRDefault="00980E5F">
            <w:pPr>
              <w:rPr>
                <w:rFonts w:ascii="宋体"/>
                <w:vanish/>
              </w:rPr>
            </w:pPr>
          </w:p>
        </w:tc>
        <w:tc>
          <w:tcPr>
            <w:tcW w:w="0" w:type="auto"/>
            <w:gridSpan w:val="3"/>
            <w:shd w:val="clear" w:color="auto" w:fill="auto"/>
            <w:vAlign w:val="bottom"/>
          </w:tcPr>
          <w:p w14:paraId="392CB273" w14:textId="77777777" w:rsidR="00980E5F" w:rsidRDefault="00980E5F">
            <w:pPr>
              <w:rPr>
                <w:rFonts w:ascii="宋体"/>
                <w:vanish/>
              </w:rPr>
            </w:pPr>
          </w:p>
        </w:tc>
        <w:tc>
          <w:tcPr>
            <w:tcW w:w="0" w:type="auto"/>
            <w:gridSpan w:val="3"/>
            <w:shd w:val="clear" w:color="auto" w:fill="auto"/>
            <w:vAlign w:val="bottom"/>
          </w:tcPr>
          <w:p w14:paraId="392CB274" w14:textId="77777777" w:rsidR="00980E5F" w:rsidRDefault="00980E5F">
            <w:pPr>
              <w:rPr>
                <w:rFonts w:ascii="宋体"/>
                <w:vanish/>
              </w:rPr>
            </w:pPr>
          </w:p>
        </w:tc>
        <w:tc>
          <w:tcPr>
            <w:tcW w:w="0" w:type="auto"/>
            <w:gridSpan w:val="3"/>
            <w:shd w:val="clear" w:color="auto" w:fill="auto"/>
            <w:vAlign w:val="bottom"/>
          </w:tcPr>
          <w:p w14:paraId="392CB275" w14:textId="77777777" w:rsidR="00980E5F" w:rsidRDefault="00980E5F">
            <w:pPr>
              <w:rPr>
                <w:rFonts w:ascii="宋体"/>
                <w:vanish/>
              </w:rPr>
            </w:pPr>
          </w:p>
        </w:tc>
        <w:tc>
          <w:tcPr>
            <w:tcW w:w="0" w:type="auto"/>
            <w:gridSpan w:val="3"/>
            <w:shd w:val="clear" w:color="auto" w:fill="auto"/>
            <w:vAlign w:val="bottom"/>
          </w:tcPr>
          <w:p w14:paraId="392CB276" w14:textId="77777777" w:rsidR="00980E5F" w:rsidRDefault="00980E5F">
            <w:pPr>
              <w:rPr>
                <w:rFonts w:ascii="宋体"/>
                <w:vanish/>
              </w:rPr>
            </w:pPr>
          </w:p>
        </w:tc>
        <w:tc>
          <w:tcPr>
            <w:tcW w:w="0" w:type="auto"/>
            <w:gridSpan w:val="3"/>
            <w:shd w:val="clear" w:color="auto" w:fill="auto"/>
            <w:vAlign w:val="bottom"/>
          </w:tcPr>
          <w:p w14:paraId="392CB277" w14:textId="77777777" w:rsidR="00980E5F" w:rsidRDefault="00980E5F">
            <w:pPr>
              <w:rPr>
                <w:rFonts w:ascii="宋体"/>
                <w:vanish/>
              </w:rPr>
            </w:pPr>
          </w:p>
        </w:tc>
        <w:tc>
          <w:tcPr>
            <w:tcW w:w="0" w:type="auto"/>
            <w:gridSpan w:val="3"/>
            <w:shd w:val="clear" w:color="auto" w:fill="auto"/>
            <w:vAlign w:val="bottom"/>
          </w:tcPr>
          <w:p w14:paraId="392CB278" w14:textId="77777777" w:rsidR="00980E5F" w:rsidRDefault="00980E5F">
            <w:pPr>
              <w:rPr>
                <w:rFonts w:ascii="宋体"/>
                <w:vanish/>
              </w:rPr>
            </w:pPr>
          </w:p>
        </w:tc>
        <w:tc>
          <w:tcPr>
            <w:tcW w:w="0" w:type="auto"/>
            <w:gridSpan w:val="3"/>
            <w:shd w:val="clear" w:color="auto" w:fill="auto"/>
            <w:vAlign w:val="bottom"/>
          </w:tcPr>
          <w:p w14:paraId="392CB279" w14:textId="77777777" w:rsidR="00980E5F" w:rsidRDefault="00980E5F">
            <w:pPr>
              <w:rPr>
                <w:rFonts w:ascii="宋体"/>
                <w:vanish/>
              </w:rPr>
            </w:pPr>
          </w:p>
        </w:tc>
        <w:tc>
          <w:tcPr>
            <w:tcW w:w="0" w:type="auto"/>
            <w:gridSpan w:val="3"/>
            <w:shd w:val="clear" w:color="auto" w:fill="auto"/>
            <w:vAlign w:val="bottom"/>
          </w:tcPr>
          <w:p w14:paraId="392CB27A" w14:textId="77777777" w:rsidR="00980E5F" w:rsidRDefault="00980E5F">
            <w:pPr>
              <w:rPr>
                <w:rFonts w:ascii="宋体"/>
                <w:vanish/>
              </w:rPr>
            </w:pPr>
          </w:p>
        </w:tc>
        <w:tc>
          <w:tcPr>
            <w:tcW w:w="0" w:type="auto"/>
            <w:gridSpan w:val="3"/>
            <w:shd w:val="clear" w:color="auto" w:fill="auto"/>
            <w:vAlign w:val="bottom"/>
          </w:tcPr>
          <w:p w14:paraId="392CB27B" w14:textId="77777777" w:rsidR="00980E5F" w:rsidRDefault="00980E5F">
            <w:pPr>
              <w:rPr>
                <w:rFonts w:ascii="宋体"/>
                <w:vanish/>
              </w:rPr>
            </w:pPr>
          </w:p>
        </w:tc>
        <w:tc>
          <w:tcPr>
            <w:tcW w:w="0" w:type="auto"/>
            <w:gridSpan w:val="3"/>
            <w:shd w:val="clear" w:color="auto" w:fill="auto"/>
            <w:vAlign w:val="bottom"/>
          </w:tcPr>
          <w:p w14:paraId="392CB27C" w14:textId="77777777" w:rsidR="00980E5F" w:rsidRDefault="00980E5F">
            <w:pPr>
              <w:rPr>
                <w:rFonts w:ascii="宋体"/>
                <w:vanish/>
              </w:rPr>
            </w:pPr>
          </w:p>
        </w:tc>
        <w:tc>
          <w:tcPr>
            <w:tcW w:w="0" w:type="auto"/>
            <w:gridSpan w:val="3"/>
            <w:shd w:val="clear" w:color="auto" w:fill="auto"/>
            <w:vAlign w:val="bottom"/>
          </w:tcPr>
          <w:p w14:paraId="392CB27D" w14:textId="77777777" w:rsidR="00980E5F" w:rsidRDefault="00980E5F">
            <w:pPr>
              <w:rPr>
                <w:rFonts w:ascii="宋体"/>
                <w:vanish/>
              </w:rPr>
            </w:pPr>
          </w:p>
        </w:tc>
        <w:tc>
          <w:tcPr>
            <w:tcW w:w="0" w:type="auto"/>
            <w:gridSpan w:val="3"/>
            <w:shd w:val="clear" w:color="auto" w:fill="auto"/>
            <w:vAlign w:val="bottom"/>
          </w:tcPr>
          <w:p w14:paraId="392CB27E" w14:textId="77777777" w:rsidR="00980E5F" w:rsidRDefault="00980E5F">
            <w:pPr>
              <w:rPr>
                <w:rFonts w:ascii="宋体"/>
                <w:vanish/>
              </w:rPr>
            </w:pPr>
          </w:p>
        </w:tc>
      </w:tr>
      <w:tr w:rsidR="00980E5F" w14:paraId="392CB294" w14:textId="77777777">
        <w:trPr>
          <w:hidden/>
        </w:trPr>
        <w:tc>
          <w:tcPr>
            <w:tcW w:w="0" w:type="auto"/>
            <w:gridSpan w:val="3"/>
            <w:shd w:val="clear" w:color="auto" w:fill="auto"/>
            <w:vAlign w:val="bottom"/>
          </w:tcPr>
          <w:p w14:paraId="392CB280" w14:textId="77777777" w:rsidR="00980E5F" w:rsidRDefault="00980E5F">
            <w:pPr>
              <w:rPr>
                <w:rFonts w:ascii="宋体"/>
                <w:vanish/>
              </w:rPr>
            </w:pPr>
          </w:p>
        </w:tc>
        <w:tc>
          <w:tcPr>
            <w:tcW w:w="0" w:type="auto"/>
            <w:gridSpan w:val="3"/>
            <w:shd w:val="clear" w:color="auto" w:fill="auto"/>
            <w:vAlign w:val="bottom"/>
          </w:tcPr>
          <w:p w14:paraId="392CB281" w14:textId="77777777" w:rsidR="00980E5F" w:rsidRDefault="00980E5F">
            <w:pPr>
              <w:rPr>
                <w:rFonts w:ascii="宋体"/>
                <w:vanish/>
              </w:rPr>
            </w:pPr>
          </w:p>
        </w:tc>
        <w:tc>
          <w:tcPr>
            <w:tcW w:w="0" w:type="auto"/>
            <w:gridSpan w:val="3"/>
            <w:shd w:val="clear" w:color="auto" w:fill="auto"/>
            <w:vAlign w:val="bottom"/>
          </w:tcPr>
          <w:p w14:paraId="392CB282" w14:textId="77777777" w:rsidR="00980E5F" w:rsidRDefault="00980E5F">
            <w:pPr>
              <w:rPr>
                <w:rFonts w:ascii="宋体"/>
                <w:vanish/>
              </w:rPr>
            </w:pPr>
          </w:p>
        </w:tc>
        <w:tc>
          <w:tcPr>
            <w:tcW w:w="0" w:type="auto"/>
            <w:gridSpan w:val="3"/>
            <w:shd w:val="clear" w:color="auto" w:fill="auto"/>
            <w:vAlign w:val="bottom"/>
          </w:tcPr>
          <w:p w14:paraId="392CB283" w14:textId="77777777" w:rsidR="00980E5F" w:rsidRDefault="00980E5F">
            <w:pPr>
              <w:rPr>
                <w:rFonts w:ascii="宋体"/>
                <w:vanish/>
              </w:rPr>
            </w:pPr>
          </w:p>
        </w:tc>
        <w:tc>
          <w:tcPr>
            <w:tcW w:w="0" w:type="auto"/>
            <w:gridSpan w:val="3"/>
            <w:shd w:val="clear" w:color="auto" w:fill="auto"/>
            <w:vAlign w:val="bottom"/>
          </w:tcPr>
          <w:p w14:paraId="392CB284" w14:textId="77777777" w:rsidR="00980E5F" w:rsidRDefault="00980E5F">
            <w:pPr>
              <w:rPr>
                <w:rFonts w:ascii="宋体"/>
                <w:vanish/>
              </w:rPr>
            </w:pPr>
          </w:p>
        </w:tc>
        <w:tc>
          <w:tcPr>
            <w:tcW w:w="0" w:type="auto"/>
            <w:gridSpan w:val="3"/>
            <w:shd w:val="clear" w:color="auto" w:fill="auto"/>
            <w:vAlign w:val="bottom"/>
          </w:tcPr>
          <w:p w14:paraId="392CB285" w14:textId="77777777" w:rsidR="00980E5F" w:rsidRDefault="00980E5F">
            <w:pPr>
              <w:rPr>
                <w:rFonts w:ascii="宋体"/>
                <w:vanish/>
              </w:rPr>
            </w:pPr>
          </w:p>
        </w:tc>
        <w:tc>
          <w:tcPr>
            <w:tcW w:w="0" w:type="auto"/>
            <w:gridSpan w:val="3"/>
            <w:shd w:val="clear" w:color="auto" w:fill="auto"/>
            <w:vAlign w:val="bottom"/>
          </w:tcPr>
          <w:p w14:paraId="392CB286" w14:textId="77777777" w:rsidR="00980E5F" w:rsidRDefault="00980E5F">
            <w:pPr>
              <w:rPr>
                <w:rFonts w:ascii="宋体"/>
                <w:vanish/>
              </w:rPr>
            </w:pPr>
          </w:p>
        </w:tc>
        <w:tc>
          <w:tcPr>
            <w:tcW w:w="0" w:type="auto"/>
            <w:gridSpan w:val="3"/>
            <w:shd w:val="clear" w:color="auto" w:fill="auto"/>
            <w:vAlign w:val="bottom"/>
          </w:tcPr>
          <w:p w14:paraId="392CB287" w14:textId="77777777" w:rsidR="00980E5F" w:rsidRDefault="00980E5F">
            <w:pPr>
              <w:rPr>
                <w:rFonts w:ascii="宋体"/>
                <w:vanish/>
              </w:rPr>
            </w:pPr>
          </w:p>
        </w:tc>
        <w:tc>
          <w:tcPr>
            <w:tcW w:w="0" w:type="auto"/>
            <w:gridSpan w:val="3"/>
            <w:shd w:val="clear" w:color="auto" w:fill="auto"/>
            <w:vAlign w:val="bottom"/>
          </w:tcPr>
          <w:p w14:paraId="392CB288" w14:textId="77777777" w:rsidR="00980E5F" w:rsidRDefault="00980E5F">
            <w:pPr>
              <w:rPr>
                <w:rFonts w:ascii="宋体"/>
                <w:vanish/>
              </w:rPr>
            </w:pPr>
          </w:p>
        </w:tc>
        <w:tc>
          <w:tcPr>
            <w:tcW w:w="0" w:type="auto"/>
            <w:gridSpan w:val="3"/>
            <w:shd w:val="clear" w:color="auto" w:fill="auto"/>
            <w:vAlign w:val="bottom"/>
          </w:tcPr>
          <w:p w14:paraId="392CB289" w14:textId="77777777" w:rsidR="00980E5F" w:rsidRDefault="00980E5F">
            <w:pPr>
              <w:rPr>
                <w:rFonts w:ascii="宋体"/>
                <w:vanish/>
              </w:rPr>
            </w:pPr>
          </w:p>
        </w:tc>
        <w:tc>
          <w:tcPr>
            <w:tcW w:w="0" w:type="auto"/>
            <w:gridSpan w:val="3"/>
            <w:shd w:val="clear" w:color="auto" w:fill="auto"/>
            <w:vAlign w:val="bottom"/>
          </w:tcPr>
          <w:p w14:paraId="392CB28A" w14:textId="77777777" w:rsidR="00980E5F" w:rsidRDefault="00980E5F">
            <w:pPr>
              <w:rPr>
                <w:rFonts w:ascii="宋体"/>
                <w:vanish/>
              </w:rPr>
            </w:pPr>
          </w:p>
        </w:tc>
        <w:tc>
          <w:tcPr>
            <w:tcW w:w="0" w:type="auto"/>
            <w:gridSpan w:val="3"/>
            <w:shd w:val="clear" w:color="auto" w:fill="auto"/>
            <w:vAlign w:val="bottom"/>
          </w:tcPr>
          <w:p w14:paraId="392CB28B" w14:textId="77777777" w:rsidR="00980E5F" w:rsidRDefault="00980E5F">
            <w:pPr>
              <w:rPr>
                <w:rFonts w:ascii="宋体"/>
                <w:vanish/>
              </w:rPr>
            </w:pPr>
          </w:p>
        </w:tc>
        <w:tc>
          <w:tcPr>
            <w:tcW w:w="0" w:type="auto"/>
            <w:gridSpan w:val="3"/>
            <w:shd w:val="clear" w:color="auto" w:fill="auto"/>
            <w:vAlign w:val="bottom"/>
          </w:tcPr>
          <w:p w14:paraId="392CB28C" w14:textId="77777777" w:rsidR="00980E5F" w:rsidRDefault="00980E5F">
            <w:pPr>
              <w:rPr>
                <w:rFonts w:ascii="宋体"/>
                <w:vanish/>
              </w:rPr>
            </w:pPr>
          </w:p>
        </w:tc>
        <w:tc>
          <w:tcPr>
            <w:tcW w:w="0" w:type="auto"/>
            <w:gridSpan w:val="3"/>
            <w:shd w:val="clear" w:color="auto" w:fill="auto"/>
            <w:vAlign w:val="bottom"/>
          </w:tcPr>
          <w:p w14:paraId="392CB28D" w14:textId="77777777" w:rsidR="00980E5F" w:rsidRDefault="00980E5F">
            <w:pPr>
              <w:rPr>
                <w:rFonts w:ascii="宋体"/>
                <w:vanish/>
              </w:rPr>
            </w:pPr>
          </w:p>
        </w:tc>
        <w:tc>
          <w:tcPr>
            <w:tcW w:w="0" w:type="auto"/>
            <w:gridSpan w:val="3"/>
            <w:shd w:val="clear" w:color="auto" w:fill="auto"/>
            <w:vAlign w:val="bottom"/>
          </w:tcPr>
          <w:p w14:paraId="392CB28E" w14:textId="77777777" w:rsidR="00980E5F" w:rsidRDefault="00980E5F">
            <w:pPr>
              <w:rPr>
                <w:rFonts w:ascii="宋体"/>
                <w:vanish/>
              </w:rPr>
            </w:pPr>
          </w:p>
        </w:tc>
        <w:tc>
          <w:tcPr>
            <w:tcW w:w="0" w:type="auto"/>
            <w:gridSpan w:val="3"/>
            <w:shd w:val="clear" w:color="auto" w:fill="auto"/>
            <w:vAlign w:val="bottom"/>
          </w:tcPr>
          <w:p w14:paraId="392CB28F" w14:textId="77777777" w:rsidR="00980E5F" w:rsidRDefault="00980E5F">
            <w:pPr>
              <w:rPr>
                <w:rFonts w:ascii="宋体"/>
                <w:vanish/>
              </w:rPr>
            </w:pPr>
          </w:p>
        </w:tc>
        <w:tc>
          <w:tcPr>
            <w:tcW w:w="0" w:type="auto"/>
            <w:gridSpan w:val="3"/>
            <w:shd w:val="clear" w:color="auto" w:fill="auto"/>
            <w:vAlign w:val="bottom"/>
          </w:tcPr>
          <w:p w14:paraId="392CB290" w14:textId="77777777" w:rsidR="00980E5F" w:rsidRDefault="00980E5F">
            <w:pPr>
              <w:rPr>
                <w:rFonts w:ascii="宋体"/>
                <w:vanish/>
              </w:rPr>
            </w:pPr>
          </w:p>
        </w:tc>
        <w:tc>
          <w:tcPr>
            <w:tcW w:w="0" w:type="auto"/>
            <w:gridSpan w:val="3"/>
            <w:shd w:val="clear" w:color="auto" w:fill="auto"/>
            <w:vAlign w:val="bottom"/>
          </w:tcPr>
          <w:p w14:paraId="392CB291" w14:textId="77777777" w:rsidR="00980E5F" w:rsidRDefault="00980E5F">
            <w:pPr>
              <w:rPr>
                <w:rFonts w:ascii="宋体"/>
                <w:vanish/>
              </w:rPr>
            </w:pPr>
          </w:p>
        </w:tc>
        <w:tc>
          <w:tcPr>
            <w:tcW w:w="0" w:type="auto"/>
            <w:gridSpan w:val="3"/>
            <w:shd w:val="clear" w:color="auto" w:fill="auto"/>
            <w:vAlign w:val="bottom"/>
          </w:tcPr>
          <w:p w14:paraId="392CB292" w14:textId="77777777" w:rsidR="00980E5F" w:rsidRDefault="00980E5F">
            <w:pPr>
              <w:rPr>
                <w:rFonts w:ascii="宋体"/>
                <w:vanish/>
              </w:rPr>
            </w:pPr>
          </w:p>
        </w:tc>
        <w:tc>
          <w:tcPr>
            <w:tcW w:w="0" w:type="auto"/>
            <w:gridSpan w:val="3"/>
            <w:shd w:val="clear" w:color="auto" w:fill="auto"/>
            <w:vAlign w:val="bottom"/>
          </w:tcPr>
          <w:p w14:paraId="392CB293" w14:textId="77777777" w:rsidR="00980E5F" w:rsidRDefault="00980E5F">
            <w:pPr>
              <w:rPr>
                <w:rFonts w:ascii="宋体"/>
                <w:vanish/>
              </w:rPr>
            </w:pPr>
          </w:p>
        </w:tc>
      </w:tr>
      <w:tr w:rsidR="00980E5F" w14:paraId="392CB2A9" w14:textId="77777777">
        <w:trPr>
          <w:hidden/>
        </w:trPr>
        <w:tc>
          <w:tcPr>
            <w:tcW w:w="0" w:type="auto"/>
            <w:gridSpan w:val="3"/>
            <w:shd w:val="clear" w:color="auto" w:fill="auto"/>
            <w:vAlign w:val="bottom"/>
          </w:tcPr>
          <w:p w14:paraId="392CB295" w14:textId="77777777" w:rsidR="00980E5F" w:rsidRDefault="00980E5F">
            <w:pPr>
              <w:rPr>
                <w:rFonts w:ascii="宋体"/>
                <w:vanish/>
              </w:rPr>
            </w:pPr>
          </w:p>
        </w:tc>
        <w:tc>
          <w:tcPr>
            <w:tcW w:w="0" w:type="auto"/>
            <w:gridSpan w:val="3"/>
            <w:shd w:val="clear" w:color="auto" w:fill="auto"/>
            <w:vAlign w:val="bottom"/>
          </w:tcPr>
          <w:p w14:paraId="392CB296" w14:textId="77777777" w:rsidR="00980E5F" w:rsidRDefault="00980E5F">
            <w:pPr>
              <w:rPr>
                <w:rFonts w:ascii="宋体"/>
                <w:vanish/>
              </w:rPr>
            </w:pPr>
          </w:p>
        </w:tc>
        <w:tc>
          <w:tcPr>
            <w:tcW w:w="0" w:type="auto"/>
            <w:gridSpan w:val="3"/>
            <w:shd w:val="clear" w:color="auto" w:fill="auto"/>
            <w:vAlign w:val="bottom"/>
          </w:tcPr>
          <w:p w14:paraId="392CB297" w14:textId="77777777" w:rsidR="00980E5F" w:rsidRDefault="00980E5F">
            <w:pPr>
              <w:rPr>
                <w:rFonts w:ascii="宋体"/>
                <w:vanish/>
              </w:rPr>
            </w:pPr>
          </w:p>
        </w:tc>
        <w:tc>
          <w:tcPr>
            <w:tcW w:w="0" w:type="auto"/>
            <w:gridSpan w:val="3"/>
            <w:shd w:val="clear" w:color="auto" w:fill="auto"/>
            <w:vAlign w:val="bottom"/>
          </w:tcPr>
          <w:p w14:paraId="392CB298" w14:textId="77777777" w:rsidR="00980E5F" w:rsidRDefault="00980E5F">
            <w:pPr>
              <w:rPr>
                <w:rFonts w:ascii="宋体"/>
                <w:vanish/>
              </w:rPr>
            </w:pPr>
          </w:p>
        </w:tc>
        <w:tc>
          <w:tcPr>
            <w:tcW w:w="0" w:type="auto"/>
            <w:gridSpan w:val="3"/>
            <w:shd w:val="clear" w:color="auto" w:fill="auto"/>
            <w:vAlign w:val="bottom"/>
          </w:tcPr>
          <w:p w14:paraId="392CB299" w14:textId="77777777" w:rsidR="00980E5F" w:rsidRDefault="00980E5F">
            <w:pPr>
              <w:rPr>
                <w:rFonts w:ascii="宋体"/>
                <w:vanish/>
              </w:rPr>
            </w:pPr>
          </w:p>
        </w:tc>
        <w:tc>
          <w:tcPr>
            <w:tcW w:w="0" w:type="auto"/>
            <w:gridSpan w:val="3"/>
            <w:shd w:val="clear" w:color="auto" w:fill="auto"/>
            <w:vAlign w:val="bottom"/>
          </w:tcPr>
          <w:p w14:paraId="392CB29A" w14:textId="77777777" w:rsidR="00980E5F" w:rsidRDefault="00980E5F">
            <w:pPr>
              <w:rPr>
                <w:rFonts w:ascii="宋体"/>
                <w:vanish/>
              </w:rPr>
            </w:pPr>
          </w:p>
        </w:tc>
        <w:tc>
          <w:tcPr>
            <w:tcW w:w="0" w:type="auto"/>
            <w:gridSpan w:val="3"/>
            <w:shd w:val="clear" w:color="auto" w:fill="auto"/>
            <w:vAlign w:val="bottom"/>
          </w:tcPr>
          <w:p w14:paraId="392CB29B" w14:textId="77777777" w:rsidR="00980E5F" w:rsidRDefault="00980E5F">
            <w:pPr>
              <w:rPr>
                <w:rFonts w:ascii="宋体"/>
                <w:vanish/>
              </w:rPr>
            </w:pPr>
          </w:p>
        </w:tc>
        <w:tc>
          <w:tcPr>
            <w:tcW w:w="0" w:type="auto"/>
            <w:gridSpan w:val="3"/>
            <w:shd w:val="clear" w:color="auto" w:fill="auto"/>
            <w:vAlign w:val="bottom"/>
          </w:tcPr>
          <w:p w14:paraId="392CB29C" w14:textId="77777777" w:rsidR="00980E5F" w:rsidRDefault="00980E5F">
            <w:pPr>
              <w:rPr>
                <w:rFonts w:ascii="宋体"/>
                <w:vanish/>
              </w:rPr>
            </w:pPr>
          </w:p>
        </w:tc>
        <w:tc>
          <w:tcPr>
            <w:tcW w:w="0" w:type="auto"/>
            <w:gridSpan w:val="3"/>
            <w:shd w:val="clear" w:color="auto" w:fill="auto"/>
            <w:vAlign w:val="bottom"/>
          </w:tcPr>
          <w:p w14:paraId="392CB29D" w14:textId="77777777" w:rsidR="00980E5F" w:rsidRDefault="00980E5F">
            <w:pPr>
              <w:rPr>
                <w:rFonts w:ascii="宋体"/>
                <w:vanish/>
              </w:rPr>
            </w:pPr>
          </w:p>
        </w:tc>
        <w:tc>
          <w:tcPr>
            <w:tcW w:w="0" w:type="auto"/>
            <w:gridSpan w:val="3"/>
            <w:shd w:val="clear" w:color="auto" w:fill="auto"/>
            <w:vAlign w:val="bottom"/>
          </w:tcPr>
          <w:p w14:paraId="392CB29E" w14:textId="77777777" w:rsidR="00980E5F" w:rsidRDefault="00980E5F">
            <w:pPr>
              <w:rPr>
                <w:rFonts w:ascii="宋体"/>
                <w:vanish/>
              </w:rPr>
            </w:pPr>
          </w:p>
        </w:tc>
        <w:tc>
          <w:tcPr>
            <w:tcW w:w="0" w:type="auto"/>
            <w:gridSpan w:val="3"/>
            <w:shd w:val="clear" w:color="auto" w:fill="auto"/>
            <w:vAlign w:val="bottom"/>
          </w:tcPr>
          <w:p w14:paraId="392CB29F" w14:textId="77777777" w:rsidR="00980E5F" w:rsidRDefault="00980E5F">
            <w:pPr>
              <w:rPr>
                <w:rFonts w:ascii="宋体"/>
                <w:vanish/>
              </w:rPr>
            </w:pPr>
          </w:p>
        </w:tc>
        <w:tc>
          <w:tcPr>
            <w:tcW w:w="0" w:type="auto"/>
            <w:gridSpan w:val="3"/>
            <w:shd w:val="clear" w:color="auto" w:fill="auto"/>
            <w:vAlign w:val="bottom"/>
          </w:tcPr>
          <w:p w14:paraId="392CB2A0" w14:textId="77777777" w:rsidR="00980E5F" w:rsidRDefault="00980E5F">
            <w:pPr>
              <w:rPr>
                <w:rFonts w:ascii="宋体"/>
                <w:vanish/>
              </w:rPr>
            </w:pPr>
          </w:p>
        </w:tc>
        <w:tc>
          <w:tcPr>
            <w:tcW w:w="0" w:type="auto"/>
            <w:gridSpan w:val="3"/>
            <w:shd w:val="clear" w:color="auto" w:fill="auto"/>
            <w:vAlign w:val="bottom"/>
          </w:tcPr>
          <w:p w14:paraId="392CB2A1" w14:textId="77777777" w:rsidR="00980E5F" w:rsidRDefault="00980E5F">
            <w:pPr>
              <w:rPr>
                <w:rFonts w:ascii="宋体"/>
                <w:vanish/>
              </w:rPr>
            </w:pPr>
          </w:p>
        </w:tc>
        <w:tc>
          <w:tcPr>
            <w:tcW w:w="0" w:type="auto"/>
            <w:gridSpan w:val="3"/>
            <w:shd w:val="clear" w:color="auto" w:fill="auto"/>
            <w:vAlign w:val="bottom"/>
          </w:tcPr>
          <w:p w14:paraId="392CB2A2" w14:textId="77777777" w:rsidR="00980E5F" w:rsidRDefault="00980E5F">
            <w:pPr>
              <w:rPr>
                <w:rFonts w:ascii="宋体"/>
                <w:vanish/>
              </w:rPr>
            </w:pPr>
          </w:p>
        </w:tc>
        <w:tc>
          <w:tcPr>
            <w:tcW w:w="0" w:type="auto"/>
            <w:gridSpan w:val="3"/>
            <w:shd w:val="clear" w:color="auto" w:fill="auto"/>
            <w:vAlign w:val="bottom"/>
          </w:tcPr>
          <w:p w14:paraId="392CB2A3" w14:textId="77777777" w:rsidR="00980E5F" w:rsidRDefault="00980E5F">
            <w:pPr>
              <w:rPr>
                <w:rFonts w:ascii="宋体"/>
                <w:vanish/>
              </w:rPr>
            </w:pPr>
          </w:p>
        </w:tc>
        <w:tc>
          <w:tcPr>
            <w:tcW w:w="0" w:type="auto"/>
            <w:gridSpan w:val="3"/>
            <w:shd w:val="clear" w:color="auto" w:fill="auto"/>
            <w:vAlign w:val="bottom"/>
          </w:tcPr>
          <w:p w14:paraId="392CB2A4" w14:textId="77777777" w:rsidR="00980E5F" w:rsidRDefault="00980E5F">
            <w:pPr>
              <w:rPr>
                <w:rFonts w:ascii="宋体"/>
                <w:vanish/>
              </w:rPr>
            </w:pPr>
          </w:p>
        </w:tc>
        <w:tc>
          <w:tcPr>
            <w:tcW w:w="0" w:type="auto"/>
            <w:gridSpan w:val="3"/>
            <w:shd w:val="clear" w:color="auto" w:fill="auto"/>
            <w:vAlign w:val="bottom"/>
          </w:tcPr>
          <w:p w14:paraId="392CB2A5" w14:textId="77777777" w:rsidR="00980E5F" w:rsidRDefault="00980E5F">
            <w:pPr>
              <w:rPr>
                <w:rFonts w:ascii="宋体"/>
                <w:vanish/>
              </w:rPr>
            </w:pPr>
          </w:p>
        </w:tc>
        <w:tc>
          <w:tcPr>
            <w:tcW w:w="0" w:type="auto"/>
            <w:gridSpan w:val="3"/>
            <w:shd w:val="clear" w:color="auto" w:fill="auto"/>
            <w:vAlign w:val="bottom"/>
          </w:tcPr>
          <w:p w14:paraId="392CB2A6" w14:textId="77777777" w:rsidR="00980E5F" w:rsidRDefault="00980E5F">
            <w:pPr>
              <w:rPr>
                <w:rFonts w:ascii="宋体"/>
                <w:vanish/>
              </w:rPr>
            </w:pPr>
          </w:p>
        </w:tc>
        <w:tc>
          <w:tcPr>
            <w:tcW w:w="0" w:type="auto"/>
            <w:gridSpan w:val="3"/>
            <w:shd w:val="clear" w:color="auto" w:fill="auto"/>
            <w:vAlign w:val="bottom"/>
          </w:tcPr>
          <w:p w14:paraId="392CB2A7" w14:textId="77777777" w:rsidR="00980E5F" w:rsidRDefault="00980E5F">
            <w:pPr>
              <w:rPr>
                <w:rFonts w:ascii="宋体"/>
                <w:vanish/>
              </w:rPr>
            </w:pPr>
          </w:p>
        </w:tc>
        <w:tc>
          <w:tcPr>
            <w:tcW w:w="0" w:type="auto"/>
            <w:gridSpan w:val="3"/>
            <w:shd w:val="clear" w:color="auto" w:fill="auto"/>
            <w:vAlign w:val="bottom"/>
          </w:tcPr>
          <w:p w14:paraId="392CB2A8" w14:textId="77777777" w:rsidR="00980E5F" w:rsidRDefault="00980E5F">
            <w:pPr>
              <w:rPr>
                <w:rFonts w:ascii="宋体"/>
                <w:vanish/>
              </w:rPr>
            </w:pPr>
          </w:p>
        </w:tc>
      </w:tr>
      <w:tr w:rsidR="00980E5F" w14:paraId="392CB2E2" w14:textId="77777777">
        <w:trPr>
          <w:hidden/>
        </w:trPr>
        <w:tc>
          <w:tcPr>
            <w:tcW w:w="0" w:type="auto"/>
            <w:gridSpan w:val="3"/>
            <w:shd w:val="clear" w:color="auto" w:fill="auto"/>
            <w:vAlign w:val="bottom"/>
          </w:tcPr>
          <w:p w14:paraId="392CB2AA" w14:textId="77777777" w:rsidR="00980E5F" w:rsidRDefault="00980E5F">
            <w:pPr>
              <w:rPr>
                <w:rFonts w:ascii="宋体"/>
                <w:vanish/>
              </w:rPr>
            </w:pPr>
          </w:p>
        </w:tc>
        <w:tc>
          <w:tcPr>
            <w:tcW w:w="0" w:type="auto"/>
            <w:gridSpan w:val="3"/>
            <w:shd w:val="clear" w:color="auto" w:fill="auto"/>
            <w:vAlign w:val="bottom"/>
          </w:tcPr>
          <w:p w14:paraId="392CB2AB" w14:textId="77777777" w:rsidR="00980E5F" w:rsidRDefault="00980E5F">
            <w:pPr>
              <w:rPr>
                <w:rFonts w:ascii="宋体"/>
                <w:vanish/>
              </w:rPr>
            </w:pPr>
          </w:p>
        </w:tc>
        <w:tc>
          <w:tcPr>
            <w:tcW w:w="0" w:type="auto"/>
            <w:shd w:val="clear" w:color="auto" w:fill="auto"/>
            <w:vAlign w:val="bottom"/>
          </w:tcPr>
          <w:p w14:paraId="392CB2AC" w14:textId="77777777" w:rsidR="00980E5F" w:rsidRDefault="00980E5F">
            <w:pPr>
              <w:rPr>
                <w:rFonts w:ascii="宋体"/>
              </w:rPr>
            </w:pPr>
          </w:p>
        </w:tc>
        <w:tc>
          <w:tcPr>
            <w:tcW w:w="0" w:type="auto"/>
            <w:shd w:val="clear" w:color="auto" w:fill="auto"/>
            <w:vAlign w:val="bottom"/>
          </w:tcPr>
          <w:p w14:paraId="392CB2AD" w14:textId="77777777" w:rsidR="00980E5F" w:rsidRDefault="00980E5F">
            <w:pPr>
              <w:rPr>
                <w:rFonts w:ascii="宋体"/>
              </w:rPr>
            </w:pPr>
          </w:p>
        </w:tc>
        <w:tc>
          <w:tcPr>
            <w:tcW w:w="0" w:type="auto"/>
            <w:shd w:val="clear" w:color="auto" w:fill="auto"/>
            <w:vAlign w:val="bottom"/>
          </w:tcPr>
          <w:p w14:paraId="392CB2AE" w14:textId="77777777" w:rsidR="00980E5F" w:rsidRDefault="00980E5F">
            <w:pPr>
              <w:rPr>
                <w:rFonts w:ascii="宋体"/>
              </w:rPr>
            </w:pPr>
          </w:p>
        </w:tc>
        <w:tc>
          <w:tcPr>
            <w:tcW w:w="0" w:type="auto"/>
            <w:shd w:val="clear" w:color="auto" w:fill="auto"/>
            <w:vAlign w:val="bottom"/>
          </w:tcPr>
          <w:p w14:paraId="392CB2AF" w14:textId="77777777" w:rsidR="00980E5F" w:rsidRDefault="00980E5F">
            <w:pPr>
              <w:rPr>
                <w:rFonts w:ascii="宋体"/>
              </w:rPr>
            </w:pPr>
          </w:p>
        </w:tc>
        <w:tc>
          <w:tcPr>
            <w:tcW w:w="0" w:type="auto"/>
            <w:shd w:val="clear" w:color="auto" w:fill="auto"/>
            <w:vAlign w:val="bottom"/>
          </w:tcPr>
          <w:p w14:paraId="392CB2B0" w14:textId="77777777" w:rsidR="00980E5F" w:rsidRDefault="00980E5F">
            <w:pPr>
              <w:rPr>
                <w:rFonts w:ascii="宋体"/>
              </w:rPr>
            </w:pPr>
          </w:p>
        </w:tc>
        <w:tc>
          <w:tcPr>
            <w:tcW w:w="0" w:type="auto"/>
            <w:shd w:val="clear" w:color="auto" w:fill="auto"/>
            <w:vAlign w:val="bottom"/>
          </w:tcPr>
          <w:p w14:paraId="392CB2B1" w14:textId="77777777" w:rsidR="00980E5F" w:rsidRDefault="00980E5F">
            <w:pPr>
              <w:rPr>
                <w:rFonts w:ascii="宋体"/>
              </w:rPr>
            </w:pPr>
          </w:p>
        </w:tc>
        <w:tc>
          <w:tcPr>
            <w:tcW w:w="0" w:type="auto"/>
            <w:shd w:val="clear" w:color="auto" w:fill="auto"/>
            <w:vAlign w:val="bottom"/>
          </w:tcPr>
          <w:p w14:paraId="392CB2B2" w14:textId="77777777" w:rsidR="00980E5F" w:rsidRDefault="00980E5F">
            <w:pPr>
              <w:rPr>
                <w:rFonts w:ascii="宋体"/>
              </w:rPr>
            </w:pPr>
          </w:p>
        </w:tc>
        <w:tc>
          <w:tcPr>
            <w:tcW w:w="0" w:type="auto"/>
            <w:shd w:val="clear" w:color="auto" w:fill="auto"/>
            <w:vAlign w:val="bottom"/>
          </w:tcPr>
          <w:p w14:paraId="392CB2B3" w14:textId="77777777" w:rsidR="00980E5F" w:rsidRDefault="00980E5F">
            <w:pPr>
              <w:rPr>
                <w:rFonts w:ascii="宋体"/>
              </w:rPr>
            </w:pPr>
          </w:p>
        </w:tc>
        <w:tc>
          <w:tcPr>
            <w:tcW w:w="0" w:type="auto"/>
            <w:shd w:val="clear" w:color="auto" w:fill="auto"/>
            <w:vAlign w:val="bottom"/>
          </w:tcPr>
          <w:p w14:paraId="392CB2B4" w14:textId="77777777" w:rsidR="00980E5F" w:rsidRDefault="00980E5F">
            <w:pPr>
              <w:rPr>
                <w:rFonts w:ascii="宋体"/>
              </w:rPr>
            </w:pPr>
          </w:p>
        </w:tc>
        <w:tc>
          <w:tcPr>
            <w:tcW w:w="0" w:type="auto"/>
            <w:shd w:val="clear" w:color="auto" w:fill="auto"/>
            <w:vAlign w:val="bottom"/>
          </w:tcPr>
          <w:p w14:paraId="392CB2B5" w14:textId="77777777" w:rsidR="00980E5F" w:rsidRDefault="00980E5F">
            <w:pPr>
              <w:rPr>
                <w:rFonts w:ascii="宋体"/>
              </w:rPr>
            </w:pPr>
          </w:p>
        </w:tc>
        <w:tc>
          <w:tcPr>
            <w:tcW w:w="0" w:type="auto"/>
            <w:shd w:val="clear" w:color="auto" w:fill="auto"/>
            <w:vAlign w:val="bottom"/>
          </w:tcPr>
          <w:p w14:paraId="392CB2B6" w14:textId="77777777" w:rsidR="00980E5F" w:rsidRDefault="00980E5F">
            <w:pPr>
              <w:rPr>
                <w:rFonts w:ascii="宋体"/>
              </w:rPr>
            </w:pPr>
          </w:p>
        </w:tc>
        <w:tc>
          <w:tcPr>
            <w:tcW w:w="0" w:type="auto"/>
            <w:shd w:val="clear" w:color="auto" w:fill="auto"/>
            <w:vAlign w:val="bottom"/>
          </w:tcPr>
          <w:p w14:paraId="392CB2B7" w14:textId="77777777" w:rsidR="00980E5F" w:rsidRDefault="00980E5F">
            <w:pPr>
              <w:rPr>
                <w:rFonts w:ascii="宋体"/>
              </w:rPr>
            </w:pPr>
          </w:p>
        </w:tc>
        <w:tc>
          <w:tcPr>
            <w:tcW w:w="0" w:type="auto"/>
            <w:shd w:val="clear" w:color="auto" w:fill="auto"/>
            <w:vAlign w:val="bottom"/>
          </w:tcPr>
          <w:p w14:paraId="392CB2B8" w14:textId="77777777" w:rsidR="00980E5F" w:rsidRDefault="00980E5F">
            <w:pPr>
              <w:rPr>
                <w:rFonts w:ascii="宋体"/>
              </w:rPr>
            </w:pPr>
          </w:p>
        </w:tc>
        <w:tc>
          <w:tcPr>
            <w:tcW w:w="0" w:type="auto"/>
            <w:shd w:val="clear" w:color="auto" w:fill="auto"/>
            <w:vAlign w:val="bottom"/>
          </w:tcPr>
          <w:p w14:paraId="392CB2B9" w14:textId="77777777" w:rsidR="00980E5F" w:rsidRDefault="00980E5F">
            <w:pPr>
              <w:rPr>
                <w:rFonts w:ascii="宋体"/>
              </w:rPr>
            </w:pPr>
          </w:p>
        </w:tc>
        <w:tc>
          <w:tcPr>
            <w:tcW w:w="0" w:type="auto"/>
            <w:shd w:val="clear" w:color="auto" w:fill="auto"/>
            <w:vAlign w:val="bottom"/>
          </w:tcPr>
          <w:p w14:paraId="392CB2BA" w14:textId="77777777" w:rsidR="00980E5F" w:rsidRDefault="00980E5F">
            <w:pPr>
              <w:rPr>
                <w:rFonts w:ascii="宋体"/>
              </w:rPr>
            </w:pPr>
          </w:p>
        </w:tc>
        <w:tc>
          <w:tcPr>
            <w:tcW w:w="0" w:type="auto"/>
            <w:shd w:val="clear" w:color="auto" w:fill="auto"/>
            <w:vAlign w:val="bottom"/>
          </w:tcPr>
          <w:p w14:paraId="392CB2BB" w14:textId="77777777" w:rsidR="00980E5F" w:rsidRDefault="00980E5F">
            <w:pPr>
              <w:rPr>
                <w:rFonts w:ascii="宋体"/>
              </w:rPr>
            </w:pPr>
          </w:p>
        </w:tc>
        <w:tc>
          <w:tcPr>
            <w:tcW w:w="0" w:type="auto"/>
            <w:shd w:val="clear" w:color="auto" w:fill="auto"/>
            <w:vAlign w:val="bottom"/>
          </w:tcPr>
          <w:p w14:paraId="392CB2BC" w14:textId="77777777" w:rsidR="00980E5F" w:rsidRDefault="00980E5F">
            <w:pPr>
              <w:rPr>
                <w:rFonts w:ascii="宋体"/>
              </w:rPr>
            </w:pPr>
          </w:p>
        </w:tc>
        <w:tc>
          <w:tcPr>
            <w:tcW w:w="0" w:type="auto"/>
            <w:shd w:val="clear" w:color="auto" w:fill="auto"/>
            <w:vAlign w:val="bottom"/>
          </w:tcPr>
          <w:p w14:paraId="392CB2BD" w14:textId="77777777" w:rsidR="00980E5F" w:rsidRDefault="00980E5F">
            <w:pPr>
              <w:rPr>
                <w:rFonts w:ascii="宋体"/>
              </w:rPr>
            </w:pPr>
          </w:p>
        </w:tc>
        <w:tc>
          <w:tcPr>
            <w:tcW w:w="0" w:type="auto"/>
            <w:shd w:val="clear" w:color="auto" w:fill="auto"/>
            <w:vAlign w:val="bottom"/>
          </w:tcPr>
          <w:p w14:paraId="392CB2BE" w14:textId="77777777" w:rsidR="00980E5F" w:rsidRDefault="00980E5F">
            <w:pPr>
              <w:rPr>
                <w:rFonts w:ascii="宋体"/>
              </w:rPr>
            </w:pPr>
          </w:p>
        </w:tc>
        <w:tc>
          <w:tcPr>
            <w:tcW w:w="0" w:type="auto"/>
            <w:shd w:val="clear" w:color="auto" w:fill="auto"/>
            <w:vAlign w:val="bottom"/>
          </w:tcPr>
          <w:p w14:paraId="392CB2BF" w14:textId="77777777" w:rsidR="00980E5F" w:rsidRDefault="00980E5F">
            <w:pPr>
              <w:rPr>
                <w:rFonts w:ascii="宋体"/>
              </w:rPr>
            </w:pPr>
          </w:p>
        </w:tc>
        <w:tc>
          <w:tcPr>
            <w:tcW w:w="0" w:type="auto"/>
            <w:shd w:val="clear" w:color="auto" w:fill="auto"/>
            <w:vAlign w:val="bottom"/>
          </w:tcPr>
          <w:p w14:paraId="392CB2C0" w14:textId="77777777" w:rsidR="00980E5F" w:rsidRDefault="00980E5F">
            <w:pPr>
              <w:rPr>
                <w:rFonts w:ascii="宋体"/>
              </w:rPr>
            </w:pPr>
          </w:p>
        </w:tc>
        <w:tc>
          <w:tcPr>
            <w:tcW w:w="0" w:type="auto"/>
            <w:shd w:val="clear" w:color="auto" w:fill="auto"/>
            <w:vAlign w:val="bottom"/>
          </w:tcPr>
          <w:p w14:paraId="392CB2C1" w14:textId="77777777" w:rsidR="00980E5F" w:rsidRDefault="00980E5F">
            <w:pPr>
              <w:rPr>
                <w:rFonts w:ascii="宋体"/>
              </w:rPr>
            </w:pPr>
          </w:p>
        </w:tc>
        <w:tc>
          <w:tcPr>
            <w:tcW w:w="0" w:type="auto"/>
            <w:shd w:val="clear" w:color="auto" w:fill="auto"/>
            <w:vAlign w:val="bottom"/>
          </w:tcPr>
          <w:p w14:paraId="392CB2C2" w14:textId="77777777" w:rsidR="00980E5F" w:rsidRDefault="00980E5F">
            <w:pPr>
              <w:rPr>
                <w:rFonts w:ascii="宋体"/>
              </w:rPr>
            </w:pPr>
          </w:p>
        </w:tc>
        <w:tc>
          <w:tcPr>
            <w:tcW w:w="0" w:type="auto"/>
            <w:shd w:val="clear" w:color="auto" w:fill="auto"/>
            <w:vAlign w:val="bottom"/>
          </w:tcPr>
          <w:p w14:paraId="392CB2C3" w14:textId="77777777" w:rsidR="00980E5F" w:rsidRDefault="00980E5F">
            <w:pPr>
              <w:rPr>
                <w:rFonts w:ascii="宋体"/>
              </w:rPr>
            </w:pPr>
          </w:p>
        </w:tc>
        <w:tc>
          <w:tcPr>
            <w:tcW w:w="0" w:type="auto"/>
            <w:shd w:val="clear" w:color="auto" w:fill="auto"/>
            <w:vAlign w:val="bottom"/>
          </w:tcPr>
          <w:p w14:paraId="392CB2C4" w14:textId="77777777" w:rsidR="00980E5F" w:rsidRDefault="00980E5F">
            <w:pPr>
              <w:rPr>
                <w:rFonts w:ascii="宋体"/>
              </w:rPr>
            </w:pPr>
          </w:p>
        </w:tc>
        <w:tc>
          <w:tcPr>
            <w:tcW w:w="0" w:type="auto"/>
            <w:shd w:val="clear" w:color="auto" w:fill="auto"/>
            <w:vAlign w:val="bottom"/>
          </w:tcPr>
          <w:p w14:paraId="392CB2C5" w14:textId="77777777" w:rsidR="00980E5F" w:rsidRDefault="00980E5F">
            <w:pPr>
              <w:rPr>
                <w:rFonts w:ascii="宋体"/>
              </w:rPr>
            </w:pPr>
          </w:p>
        </w:tc>
        <w:tc>
          <w:tcPr>
            <w:tcW w:w="0" w:type="auto"/>
            <w:shd w:val="clear" w:color="auto" w:fill="auto"/>
            <w:vAlign w:val="bottom"/>
          </w:tcPr>
          <w:p w14:paraId="392CB2C6" w14:textId="77777777" w:rsidR="00980E5F" w:rsidRDefault="00980E5F">
            <w:pPr>
              <w:rPr>
                <w:rFonts w:ascii="宋体"/>
              </w:rPr>
            </w:pPr>
          </w:p>
        </w:tc>
        <w:tc>
          <w:tcPr>
            <w:tcW w:w="0" w:type="auto"/>
            <w:shd w:val="clear" w:color="auto" w:fill="auto"/>
            <w:vAlign w:val="bottom"/>
          </w:tcPr>
          <w:p w14:paraId="392CB2C7" w14:textId="77777777" w:rsidR="00980E5F" w:rsidRDefault="00980E5F">
            <w:pPr>
              <w:rPr>
                <w:rFonts w:ascii="宋体"/>
              </w:rPr>
            </w:pPr>
          </w:p>
        </w:tc>
        <w:tc>
          <w:tcPr>
            <w:tcW w:w="0" w:type="auto"/>
            <w:shd w:val="clear" w:color="auto" w:fill="auto"/>
            <w:vAlign w:val="bottom"/>
          </w:tcPr>
          <w:p w14:paraId="392CB2C8" w14:textId="77777777" w:rsidR="00980E5F" w:rsidRDefault="00980E5F">
            <w:pPr>
              <w:rPr>
                <w:rFonts w:ascii="宋体"/>
              </w:rPr>
            </w:pPr>
          </w:p>
        </w:tc>
        <w:tc>
          <w:tcPr>
            <w:tcW w:w="0" w:type="auto"/>
            <w:shd w:val="clear" w:color="auto" w:fill="auto"/>
            <w:vAlign w:val="bottom"/>
          </w:tcPr>
          <w:p w14:paraId="392CB2C9" w14:textId="77777777" w:rsidR="00980E5F" w:rsidRDefault="00980E5F">
            <w:pPr>
              <w:rPr>
                <w:rFonts w:ascii="宋体"/>
              </w:rPr>
            </w:pPr>
          </w:p>
        </w:tc>
        <w:tc>
          <w:tcPr>
            <w:tcW w:w="0" w:type="auto"/>
            <w:shd w:val="clear" w:color="auto" w:fill="auto"/>
            <w:vAlign w:val="bottom"/>
          </w:tcPr>
          <w:p w14:paraId="392CB2CA" w14:textId="77777777" w:rsidR="00980E5F" w:rsidRDefault="00980E5F">
            <w:pPr>
              <w:rPr>
                <w:rFonts w:ascii="宋体"/>
              </w:rPr>
            </w:pPr>
          </w:p>
        </w:tc>
        <w:tc>
          <w:tcPr>
            <w:tcW w:w="0" w:type="auto"/>
            <w:shd w:val="clear" w:color="auto" w:fill="auto"/>
            <w:vAlign w:val="bottom"/>
          </w:tcPr>
          <w:p w14:paraId="392CB2CB" w14:textId="77777777" w:rsidR="00980E5F" w:rsidRDefault="00980E5F">
            <w:pPr>
              <w:rPr>
                <w:rFonts w:ascii="宋体"/>
              </w:rPr>
            </w:pPr>
          </w:p>
        </w:tc>
        <w:tc>
          <w:tcPr>
            <w:tcW w:w="0" w:type="auto"/>
            <w:shd w:val="clear" w:color="auto" w:fill="auto"/>
            <w:vAlign w:val="bottom"/>
          </w:tcPr>
          <w:p w14:paraId="392CB2CC" w14:textId="77777777" w:rsidR="00980E5F" w:rsidRDefault="00980E5F">
            <w:pPr>
              <w:rPr>
                <w:rFonts w:ascii="宋体"/>
              </w:rPr>
            </w:pPr>
          </w:p>
        </w:tc>
        <w:tc>
          <w:tcPr>
            <w:tcW w:w="0" w:type="auto"/>
            <w:shd w:val="clear" w:color="auto" w:fill="auto"/>
            <w:vAlign w:val="bottom"/>
          </w:tcPr>
          <w:p w14:paraId="392CB2CD" w14:textId="77777777" w:rsidR="00980E5F" w:rsidRDefault="00980E5F">
            <w:pPr>
              <w:rPr>
                <w:rFonts w:ascii="宋体"/>
              </w:rPr>
            </w:pPr>
          </w:p>
        </w:tc>
        <w:tc>
          <w:tcPr>
            <w:tcW w:w="0" w:type="auto"/>
            <w:shd w:val="clear" w:color="auto" w:fill="auto"/>
            <w:vAlign w:val="bottom"/>
          </w:tcPr>
          <w:p w14:paraId="392CB2CE" w14:textId="77777777" w:rsidR="00980E5F" w:rsidRDefault="00980E5F">
            <w:pPr>
              <w:rPr>
                <w:rFonts w:ascii="宋体"/>
              </w:rPr>
            </w:pPr>
          </w:p>
        </w:tc>
        <w:tc>
          <w:tcPr>
            <w:tcW w:w="0" w:type="auto"/>
            <w:shd w:val="clear" w:color="auto" w:fill="auto"/>
            <w:vAlign w:val="bottom"/>
          </w:tcPr>
          <w:p w14:paraId="392CB2CF" w14:textId="77777777" w:rsidR="00980E5F" w:rsidRDefault="00980E5F">
            <w:pPr>
              <w:rPr>
                <w:rFonts w:ascii="宋体"/>
              </w:rPr>
            </w:pPr>
          </w:p>
        </w:tc>
        <w:tc>
          <w:tcPr>
            <w:tcW w:w="0" w:type="auto"/>
            <w:shd w:val="clear" w:color="auto" w:fill="auto"/>
            <w:vAlign w:val="bottom"/>
          </w:tcPr>
          <w:p w14:paraId="392CB2D0" w14:textId="77777777" w:rsidR="00980E5F" w:rsidRDefault="00980E5F">
            <w:pPr>
              <w:rPr>
                <w:rFonts w:ascii="宋体"/>
              </w:rPr>
            </w:pPr>
          </w:p>
        </w:tc>
        <w:tc>
          <w:tcPr>
            <w:tcW w:w="0" w:type="auto"/>
            <w:shd w:val="clear" w:color="auto" w:fill="auto"/>
            <w:vAlign w:val="bottom"/>
          </w:tcPr>
          <w:p w14:paraId="392CB2D1" w14:textId="77777777" w:rsidR="00980E5F" w:rsidRDefault="00980E5F">
            <w:pPr>
              <w:rPr>
                <w:rFonts w:ascii="宋体"/>
              </w:rPr>
            </w:pPr>
          </w:p>
        </w:tc>
        <w:tc>
          <w:tcPr>
            <w:tcW w:w="0" w:type="auto"/>
            <w:shd w:val="clear" w:color="auto" w:fill="auto"/>
            <w:vAlign w:val="bottom"/>
          </w:tcPr>
          <w:p w14:paraId="392CB2D2" w14:textId="77777777" w:rsidR="00980E5F" w:rsidRDefault="00980E5F">
            <w:pPr>
              <w:rPr>
                <w:rFonts w:ascii="宋体"/>
              </w:rPr>
            </w:pPr>
          </w:p>
        </w:tc>
        <w:tc>
          <w:tcPr>
            <w:tcW w:w="0" w:type="auto"/>
            <w:shd w:val="clear" w:color="auto" w:fill="auto"/>
            <w:vAlign w:val="bottom"/>
          </w:tcPr>
          <w:p w14:paraId="392CB2D3" w14:textId="77777777" w:rsidR="00980E5F" w:rsidRDefault="00980E5F">
            <w:pPr>
              <w:rPr>
                <w:rFonts w:ascii="宋体"/>
              </w:rPr>
            </w:pPr>
          </w:p>
        </w:tc>
        <w:tc>
          <w:tcPr>
            <w:tcW w:w="0" w:type="auto"/>
            <w:shd w:val="clear" w:color="auto" w:fill="auto"/>
            <w:vAlign w:val="bottom"/>
          </w:tcPr>
          <w:p w14:paraId="392CB2D4" w14:textId="77777777" w:rsidR="00980E5F" w:rsidRDefault="00980E5F">
            <w:pPr>
              <w:rPr>
                <w:rFonts w:ascii="宋体"/>
              </w:rPr>
            </w:pPr>
          </w:p>
        </w:tc>
        <w:tc>
          <w:tcPr>
            <w:tcW w:w="0" w:type="auto"/>
            <w:shd w:val="clear" w:color="auto" w:fill="auto"/>
            <w:vAlign w:val="bottom"/>
          </w:tcPr>
          <w:p w14:paraId="392CB2D5" w14:textId="77777777" w:rsidR="00980E5F" w:rsidRDefault="00980E5F">
            <w:pPr>
              <w:rPr>
                <w:rFonts w:ascii="宋体"/>
              </w:rPr>
            </w:pPr>
          </w:p>
        </w:tc>
        <w:tc>
          <w:tcPr>
            <w:tcW w:w="0" w:type="auto"/>
            <w:shd w:val="clear" w:color="auto" w:fill="auto"/>
            <w:vAlign w:val="bottom"/>
          </w:tcPr>
          <w:p w14:paraId="392CB2D6" w14:textId="77777777" w:rsidR="00980E5F" w:rsidRDefault="00980E5F">
            <w:pPr>
              <w:rPr>
                <w:rFonts w:ascii="宋体"/>
              </w:rPr>
            </w:pPr>
          </w:p>
        </w:tc>
        <w:tc>
          <w:tcPr>
            <w:tcW w:w="0" w:type="auto"/>
            <w:shd w:val="clear" w:color="auto" w:fill="auto"/>
            <w:vAlign w:val="bottom"/>
          </w:tcPr>
          <w:p w14:paraId="392CB2D7" w14:textId="77777777" w:rsidR="00980E5F" w:rsidRDefault="00980E5F">
            <w:pPr>
              <w:rPr>
                <w:rFonts w:ascii="宋体"/>
              </w:rPr>
            </w:pPr>
          </w:p>
        </w:tc>
        <w:tc>
          <w:tcPr>
            <w:tcW w:w="0" w:type="auto"/>
            <w:shd w:val="clear" w:color="auto" w:fill="auto"/>
            <w:vAlign w:val="bottom"/>
          </w:tcPr>
          <w:p w14:paraId="392CB2D8" w14:textId="77777777" w:rsidR="00980E5F" w:rsidRDefault="00980E5F">
            <w:pPr>
              <w:rPr>
                <w:rFonts w:ascii="宋体"/>
              </w:rPr>
            </w:pPr>
          </w:p>
        </w:tc>
        <w:tc>
          <w:tcPr>
            <w:tcW w:w="0" w:type="auto"/>
            <w:shd w:val="clear" w:color="auto" w:fill="auto"/>
            <w:vAlign w:val="bottom"/>
          </w:tcPr>
          <w:p w14:paraId="392CB2D9" w14:textId="77777777" w:rsidR="00980E5F" w:rsidRDefault="00980E5F">
            <w:pPr>
              <w:rPr>
                <w:rFonts w:ascii="宋体"/>
              </w:rPr>
            </w:pPr>
          </w:p>
        </w:tc>
        <w:tc>
          <w:tcPr>
            <w:tcW w:w="0" w:type="auto"/>
            <w:shd w:val="clear" w:color="auto" w:fill="auto"/>
            <w:vAlign w:val="bottom"/>
          </w:tcPr>
          <w:p w14:paraId="392CB2DA" w14:textId="77777777" w:rsidR="00980E5F" w:rsidRDefault="00980E5F">
            <w:pPr>
              <w:rPr>
                <w:rFonts w:ascii="宋体"/>
              </w:rPr>
            </w:pPr>
          </w:p>
        </w:tc>
        <w:tc>
          <w:tcPr>
            <w:tcW w:w="0" w:type="auto"/>
            <w:shd w:val="clear" w:color="auto" w:fill="auto"/>
            <w:vAlign w:val="bottom"/>
          </w:tcPr>
          <w:p w14:paraId="392CB2DB" w14:textId="77777777" w:rsidR="00980E5F" w:rsidRDefault="00980E5F">
            <w:pPr>
              <w:rPr>
                <w:rFonts w:ascii="宋体"/>
              </w:rPr>
            </w:pPr>
          </w:p>
        </w:tc>
        <w:tc>
          <w:tcPr>
            <w:tcW w:w="0" w:type="auto"/>
            <w:shd w:val="clear" w:color="auto" w:fill="auto"/>
            <w:vAlign w:val="bottom"/>
          </w:tcPr>
          <w:p w14:paraId="392CB2DC" w14:textId="77777777" w:rsidR="00980E5F" w:rsidRDefault="00980E5F">
            <w:pPr>
              <w:rPr>
                <w:rFonts w:ascii="宋体"/>
              </w:rPr>
            </w:pPr>
          </w:p>
        </w:tc>
        <w:tc>
          <w:tcPr>
            <w:tcW w:w="0" w:type="auto"/>
            <w:shd w:val="clear" w:color="auto" w:fill="auto"/>
            <w:vAlign w:val="bottom"/>
          </w:tcPr>
          <w:p w14:paraId="392CB2DD" w14:textId="77777777" w:rsidR="00980E5F" w:rsidRDefault="00980E5F">
            <w:pPr>
              <w:rPr>
                <w:rFonts w:ascii="宋体"/>
              </w:rPr>
            </w:pPr>
          </w:p>
        </w:tc>
        <w:tc>
          <w:tcPr>
            <w:tcW w:w="0" w:type="auto"/>
            <w:shd w:val="clear" w:color="auto" w:fill="auto"/>
            <w:vAlign w:val="bottom"/>
          </w:tcPr>
          <w:p w14:paraId="392CB2DE" w14:textId="77777777" w:rsidR="00980E5F" w:rsidRDefault="00980E5F">
            <w:pPr>
              <w:rPr>
                <w:rFonts w:ascii="宋体"/>
              </w:rPr>
            </w:pPr>
          </w:p>
        </w:tc>
        <w:tc>
          <w:tcPr>
            <w:tcW w:w="0" w:type="auto"/>
            <w:shd w:val="clear" w:color="auto" w:fill="auto"/>
            <w:vAlign w:val="bottom"/>
          </w:tcPr>
          <w:p w14:paraId="392CB2DF" w14:textId="77777777" w:rsidR="00980E5F" w:rsidRDefault="00980E5F">
            <w:pPr>
              <w:rPr>
                <w:rFonts w:ascii="宋体"/>
              </w:rPr>
            </w:pPr>
          </w:p>
        </w:tc>
        <w:tc>
          <w:tcPr>
            <w:tcW w:w="0" w:type="auto"/>
            <w:shd w:val="clear" w:color="auto" w:fill="auto"/>
            <w:vAlign w:val="bottom"/>
          </w:tcPr>
          <w:p w14:paraId="392CB2E0" w14:textId="77777777" w:rsidR="00980E5F" w:rsidRDefault="00980E5F">
            <w:pPr>
              <w:rPr>
                <w:rFonts w:ascii="宋体"/>
              </w:rPr>
            </w:pPr>
          </w:p>
        </w:tc>
        <w:tc>
          <w:tcPr>
            <w:tcW w:w="0" w:type="auto"/>
            <w:shd w:val="clear" w:color="auto" w:fill="auto"/>
            <w:vAlign w:val="bottom"/>
          </w:tcPr>
          <w:p w14:paraId="392CB2E1" w14:textId="77777777" w:rsidR="00980E5F" w:rsidRDefault="00980E5F">
            <w:pPr>
              <w:rPr>
                <w:rFonts w:ascii="宋体"/>
              </w:rPr>
            </w:pPr>
          </w:p>
        </w:tc>
      </w:tr>
      <w:tr w:rsidR="00980E5F" w14:paraId="392CB30F" w14:textId="77777777">
        <w:trPr>
          <w:hidden/>
        </w:trPr>
        <w:tc>
          <w:tcPr>
            <w:tcW w:w="0" w:type="auto"/>
            <w:gridSpan w:val="3"/>
            <w:shd w:val="clear" w:color="auto" w:fill="auto"/>
            <w:vAlign w:val="bottom"/>
          </w:tcPr>
          <w:p w14:paraId="392CB2E3" w14:textId="77777777" w:rsidR="00980E5F" w:rsidRDefault="00980E5F">
            <w:pPr>
              <w:rPr>
                <w:rFonts w:ascii="宋体"/>
                <w:vanish/>
              </w:rPr>
            </w:pPr>
          </w:p>
        </w:tc>
        <w:tc>
          <w:tcPr>
            <w:tcW w:w="0" w:type="auto"/>
            <w:gridSpan w:val="3"/>
            <w:shd w:val="clear" w:color="auto" w:fill="auto"/>
            <w:vAlign w:val="bottom"/>
          </w:tcPr>
          <w:p w14:paraId="392CB2E4" w14:textId="77777777" w:rsidR="00980E5F" w:rsidRDefault="00980E5F">
            <w:pPr>
              <w:rPr>
                <w:rFonts w:ascii="宋体"/>
                <w:vanish/>
              </w:rPr>
            </w:pPr>
          </w:p>
        </w:tc>
        <w:tc>
          <w:tcPr>
            <w:tcW w:w="0" w:type="auto"/>
            <w:gridSpan w:val="3"/>
            <w:shd w:val="clear" w:color="auto" w:fill="auto"/>
            <w:vAlign w:val="bottom"/>
          </w:tcPr>
          <w:p w14:paraId="392CB2E5" w14:textId="77777777" w:rsidR="00980E5F" w:rsidRDefault="00980E5F">
            <w:pPr>
              <w:rPr>
                <w:rFonts w:ascii="宋体"/>
                <w:vanish/>
              </w:rPr>
            </w:pPr>
          </w:p>
        </w:tc>
        <w:tc>
          <w:tcPr>
            <w:tcW w:w="0" w:type="auto"/>
            <w:gridSpan w:val="3"/>
            <w:shd w:val="clear" w:color="auto" w:fill="auto"/>
            <w:vAlign w:val="bottom"/>
          </w:tcPr>
          <w:p w14:paraId="392CB2E6" w14:textId="77777777" w:rsidR="00980E5F" w:rsidRDefault="00980E5F">
            <w:pPr>
              <w:rPr>
                <w:rFonts w:ascii="宋体"/>
                <w:vanish/>
              </w:rPr>
            </w:pPr>
          </w:p>
        </w:tc>
        <w:tc>
          <w:tcPr>
            <w:tcW w:w="0" w:type="auto"/>
            <w:gridSpan w:val="3"/>
            <w:shd w:val="clear" w:color="auto" w:fill="auto"/>
            <w:vAlign w:val="bottom"/>
          </w:tcPr>
          <w:p w14:paraId="392CB2E7" w14:textId="77777777" w:rsidR="00980E5F" w:rsidRDefault="00980E5F">
            <w:pPr>
              <w:rPr>
                <w:rFonts w:ascii="宋体"/>
                <w:vanish/>
              </w:rPr>
            </w:pPr>
          </w:p>
        </w:tc>
        <w:tc>
          <w:tcPr>
            <w:tcW w:w="0" w:type="auto"/>
            <w:gridSpan w:val="3"/>
            <w:shd w:val="clear" w:color="auto" w:fill="auto"/>
            <w:vAlign w:val="bottom"/>
          </w:tcPr>
          <w:p w14:paraId="392CB2E8" w14:textId="77777777" w:rsidR="00980E5F" w:rsidRDefault="00980E5F">
            <w:pPr>
              <w:rPr>
                <w:rFonts w:ascii="宋体"/>
                <w:vanish/>
              </w:rPr>
            </w:pPr>
          </w:p>
        </w:tc>
        <w:tc>
          <w:tcPr>
            <w:tcW w:w="0" w:type="auto"/>
            <w:gridSpan w:val="3"/>
            <w:shd w:val="clear" w:color="auto" w:fill="auto"/>
            <w:vAlign w:val="bottom"/>
          </w:tcPr>
          <w:p w14:paraId="392CB2E9" w14:textId="77777777" w:rsidR="00980E5F" w:rsidRDefault="00980E5F">
            <w:pPr>
              <w:rPr>
                <w:rFonts w:ascii="宋体"/>
                <w:vanish/>
              </w:rPr>
            </w:pPr>
          </w:p>
        </w:tc>
        <w:tc>
          <w:tcPr>
            <w:tcW w:w="0" w:type="auto"/>
            <w:gridSpan w:val="3"/>
            <w:shd w:val="clear" w:color="auto" w:fill="auto"/>
            <w:vAlign w:val="bottom"/>
          </w:tcPr>
          <w:p w14:paraId="392CB2EA" w14:textId="77777777" w:rsidR="00980E5F" w:rsidRDefault="00980E5F">
            <w:pPr>
              <w:rPr>
                <w:rFonts w:ascii="宋体"/>
                <w:vanish/>
              </w:rPr>
            </w:pPr>
          </w:p>
        </w:tc>
        <w:tc>
          <w:tcPr>
            <w:tcW w:w="0" w:type="auto"/>
            <w:shd w:val="clear" w:color="auto" w:fill="auto"/>
            <w:vAlign w:val="bottom"/>
          </w:tcPr>
          <w:p w14:paraId="392CB2EB" w14:textId="77777777" w:rsidR="00980E5F" w:rsidRDefault="00980E5F">
            <w:pPr>
              <w:rPr>
                <w:rFonts w:ascii="宋体"/>
              </w:rPr>
            </w:pPr>
          </w:p>
        </w:tc>
        <w:tc>
          <w:tcPr>
            <w:tcW w:w="0" w:type="auto"/>
            <w:shd w:val="clear" w:color="auto" w:fill="auto"/>
            <w:vAlign w:val="bottom"/>
          </w:tcPr>
          <w:p w14:paraId="392CB2EC" w14:textId="77777777" w:rsidR="00980E5F" w:rsidRDefault="00980E5F">
            <w:pPr>
              <w:rPr>
                <w:rFonts w:ascii="宋体"/>
              </w:rPr>
            </w:pPr>
          </w:p>
        </w:tc>
        <w:tc>
          <w:tcPr>
            <w:tcW w:w="0" w:type="auto"/>
            <w:shd w:val="clear" w:color="auto" w:fill="auto"/>
            <w:vAlign w:val="bottom"/>
          </w:tcPr>
          <w:p w14:paraId="392CB2ED" w14:textId="77777777" w:rsidR="00980E5F" w:rsidRDefault="00980E5F">
            <w:pPr>
              <w:rPr>
                <w:rFonts w:ascii="宋体"/>
              </w:rPr>
            </w:pPr>
          </w:p>
        </w:tc>
        <w:tc>
          <w:tcPr>
            <w:tcW w:w="0" w:type="auto"/>
            <w:shd w:val="clear" w:color="auto" w:fill="auto"/>
            <w:vAlign w:val="bottom"/>
          </w:tcPr>
          <w:p w14:paraId="392CB2EE" w14:textId="77777777" w:rsidR="00980E5F" w:rsidRDefault="00980E5F">
            <w:pPr>
              <w:rPr>
                <w:rFonts w:ascii="宋体"/>
              </w:rPr>
            </w:pPr>
          </w:p>
        </w:tc>
        <w:tc>
          <w:tcPr>
            <w:tcW w:w="0" w:type="auto"/>
            <w:shd w:val="clear" w:color="auto" w:fill="auto"/>
            <w:vAlign w:val="bottom"/>
          </w:tcPr>
          <w:p w14:paraId="392CB2EF" w14:textId="77777777" w:rsidR="00980E5F" w:rsidRDefault="00980E5F">
            <w:pPr>
              <w:rPr>
                <w:rFonts w:ascii="宋体"/>
              </w:rPr>
            </w:pPr>
          </w:p>
        </w:tc>
        <w:tc>
          <w:tcPr>
            <w:tcW w:w="0" w:type="auto"/>
            <w:shd w:val="clear" w:color="auto" w:fill="auto"/>
            <w:vAlign w:val="bottom"/>
          </w:tcPr>
          <w:p w14:paraId="392CB2F0" w14:textId="77777777" w:rsidR="00980E5F" w:rsidRDefault="00980E5F">
            <w:pPr>
              <w:rPr>
                <w:rFonts w:ascii="宋体"/>
              </w:rPr>
            </w:pPr>
          </w:p>
        </w:tc>
        <w:tc>
          <w:tcPr>
            <w:tcW w:w="0" w:type="auto"/>
            <w:shd w:val="clear" w:color="auto" w:fill="auto"/>
            <w:vAlign w:val="bottom"/>
          </w:tcPr>
          <w:p w14:paraId="392CB2F1" w14:textId="77777777" w:rsidR="00980E5F" w:rsidRDefault="00980E5F">
            <w:pPr>
              <w:rPr>
                <w:rFonts w:ascii="宋体"/>
              </w:rPr>
            </w:pPr>
          </w:p>
        </w:tc>
        <w:tc>
          <w:tcPr>
            <w:tcW w:w="0" w:type="auto"/>
            <w:shd w:val="clear" w:color="auto" w:fill="auto"/>
            <w:vAlign w:val="bottom"/>
          </w:tcPr>
          <w:p w14:paraId="392CB2F2" w14:textId="77777777" w:rsidR="00980E5F" w:rsidRDefault="00980E5F">
            <w:pPr>
              <w:rPr>
                <w:rFonts w:ascii="宋体"/>
              </w:rPr>
            </w:pPr>
          </w:p>
        </w:tc>
        <w:tc>
          <w:tcPr>
            <w:tcW w:w="0" w:type="auto"/>
            <w:shd w:val="clear" w:color="auto" w:fill="auto"/>
            <w:vAlign w:val="bottom"/>
          </w:tcPr>
          <w:p w14:paraId="392CB2F3" w14:textId="77777777" w:rsidR="00980E5F" w:rsidRDefault="00980E5F">
            <w:pPr>
              <w:rPr>
                <w:rFonts w:ascii="宋体"/>
              </w:rPr>
            </w:pPr>
          </w:p>
        </w:tc>
        <w:tc>
          <w:tcPr>
            <w:tcW w:w="0" w:type="auto"/>
            <w:shd w:val="clear" w:color="auto" w:fill="auto"/>
            <w:vAlign w:val="bottom"/>
          </w:tcPr>
          <w:p w14:paraId="392CB2F4" w14:textId="77777777" w:rsidR="00980E5F" w:rsidRDefault="00980E5F">
            <w:pPr>
              <w:rPr>
                <w:rFonts w:ascii="宋体"/>
              </w:rPr>
            </w:pPr>
          </w:p>
        </w:tc>
        <w:tc>
          <w:tcPr>
            <w:tcW w:w="0" w:type="auto"/>
            <w:shd w:val="clear" w:color="auto" w:fill="auto"/>
            <w:vAlign w:val="bottom"/>
          </w:tcPr>
          <w:p w14:paraId="392CB2F5" w14:textId="77777777" w:rsidR="00980E5F" w:rsidRDefault="00980E5F">
            <w:pPr>
              <w:rPr>
                <w:rFonts w:ascii="宋体"/>
              </w:rPr>
            </w:pPr>
          </w:p>
        </w:tc>
        <w:tc>
          <w:tcPr>
            <w:tcW w:w="0" w:type="auto"/>
            <w:shd w:val="clear" w:color="auto" w:fill="auto"/>
            <w:vAlign w:val="bottom"/>
          </w:tcPr>
          <w:p w14:paraId="392CB2F6" w14:textId="77777777" w:rsidR="00980E5F" w:rsidRDefault="00980E5F">
            <w:pPr>
              <w:rPr>
                <w:rFonts w:ascii="宋体"/>
              </w:rPr>
            </w:pPr>
          </w:p>
        </w:tc>
        <w:tc>
          <w:tcPr>
            <w:tcW w:w="0" w:type="auto"/>
            <w:shd w:val="clear" w:color="auto" w:fill="auto"/>
            <w:vAlign w:val="bottom"/>
          </w:tcPr>
          <w:p w14:paraId="392CB2F7" w14:textId="77777777" w:rsidR="00980E5F" w:rsidRDefault="00980E5F">
            <w:pPr>
              <w:rPr>
                <w:rFonts w:ascii="宋体"/>
              </w:rPr>
            </w:pPr>
          </w:p>
        </w:tc>
        <w:tc>
          <w:tcPr>
            <w:tcW w:w="0" w:type="auto"/>
            <w:shd w:val="clear" w:color="auto" w:fill="auto"/>
            <w:vAlign w:val="bottom"/>
          </w:tcPr>
          <w:p w14:paraId="392CB2F8" w14:textId="77777777" w:rsidR="00980E5F" w:rsidRDefault="00980E5F">
            <w:pPr>
              <w:rPr>
                <w:rFonts w:ascii="宋体"/>
              </w:rPr>
            </w:pPr>
          </w:p>
        </w:tc>
        <w:tc>
          <w:tcPr>
            <w:tcW w:w="0" w:type="auto"/>
            <w:shd w:val="clear" w:color="auto" w:fill="auto"/>
            <w:vAlign w:val="bottom"/>
          </w:tcPr>
          <w:p w14:paraId="392CB2F9" w14:textId="77777777" w:rsidR="00980E5F" w:rsidRDefault="00980E5F">
            <w:pPr>
              <w:rPr>
                <w:rFonts w:ascii="宋体"/>
              </w:rPr>
            </w:pPr>
          </w:p>
        </w:tc>
        <w:tc>
          <w:tcPr>
            <w:tcW w:w="0" w:type="auto"/>
            <w:shd w:val="clear" w:color="auto" w:fill="auto"/>
            <w:vAlign w:val="bottom"/>
          </w:tcPr>
          <w:p w14:paraId="392CB2FA" w14:textId="77777777" w:rsidR="00980E5F" w:rsidRDefault="00980E5F">
            <w:pPr>
              <w:rPr>
                <w:rFonts w:ascii="宋体"/>
              </w:rPr>
            </w:pPr>
          </w:p>
        </w:tc>
        <w:tc>
          <w:tcPr>
            <w:tcW w:w="0" w:type="auto"/>
            <w:shd w:val="clear" w:color="auto" w:fill="auto"/>
            <w:vAlign w:val="bottom"/>
          </w:tcPr>
          <w:p w14:paraId="392CB2FB" w14:textId="77777777" w:rsidR="00980E5F" w:rsidRDefault="00980E5F">
            <w:pPr>
              <w:rPr>
                <w:rFonts w:ascii="宋体"/>
              </w:rPr>
            </w:pPr>
          </w:p>
        </w:tc>
        <w:tc>
          <w:tcPr>
            <w:tcW w:w="0" w:type="auto"/>
            <w:shd w:val="clear" w:color="auto" w:fill="auto"/>
            <w:vAlign w:val="bottom"/>
          </w:tcPr>
          <w:p w14:paraId="392CB2FC" w14:textId="77777777" w:rsidR="00980E5F" w:rsidRDefault="00980E5F">
            <w:pPr>
              <w:rPr>
                <w:rFonts w:ascii="宋体"/>
              </w:rPr>
            </w:pPr>
          </w:p>
        </w:tc>
        <w:tc>
          <w:tcPr>
            <w:tcW w:w="0" w:type="auto"/>
            <w:shd w:val="clear" w:color="auto" w:fill="auto"/>
            <w:vAlign w:val="bottom"/>
          </w:tcPr>
          <w:p w14:paraId="392CB2FD" w14:textId="77777777" w:rsidR="00980E5F" w:rsidRDefault="00980E5F">
            <w:pPr>
              <w:rPr>
                <w:rFonts w:ascii="宋体"/>
              </w:rPr>
            </w:pPr>
          </w:p>
        </w:tc>
        <w:tc>
          <w:tcPr>
            <w:tcW w:w="0" w:type="auto"/>
            <w:shd w:val="clear" w:color="auto" w:fill="auto"/>
            <w:vAlign w:val="bottom"/>
          </w:tcPr>
          <w:p w14:paraId="392CB2FE" w14:textId="77777777" w:rsidR="00980E5F" w:rsidRDefault="00980E5F">
            <w:pPr>
              <w:rPr>
                <w:rFonts w:ascii="宋体"/>
              </w:rPr>
            </w:pPr>
          </w:p>
        </w:tc>
        <w:tc>
          <w:tcPr>
            <w:tcW w:w="0" w:type="auto"/>
            <w:shd w:val="clear" w:color="auto" w:fill="auto"/>
            <w:vAlign w:val="bottom"/>
          </w:tcPr>
          <w:p w14:paraId="392CB2FF" w14:textId="77777777" w:rsidR="00980E5F" w:rsidRDefault="00980E5F">
            <w:pPr>
              <w:rPr>
                <w:rFonts w:ascii="宋体"/>
              </w:rPr>
            </w:pPr>
          </w:p>
        </w:tc>
        <w:tc>
          <w:tcPr>
            <w:tcW w:w="0" w:type="auto"/>
            <w:shd w:val="clear" w:color="auto" w:fill="auto"/>
            <w:vAlign w:val="bottom"/>
          </w:tcPr>
          <w:p w14:paraId="392CB300" w14:textId="77777777" w:rsidR="00980E5F" w:rsidRDefault="00980E5F">
            <w:pPr>
              <w:rPr>
                <w:rFonts w:ascii="宋体"/>
              </w:rPr>
            </w:pPr>
          </w:p>
        </w:tc>
        <w:tc>
          <w:tcPr>
            <w:tcW w:w="0" w:type="auto"/>
            <w:shd w:val="clear" w:color="auto" w:fill="auto"/>
            <w:vAlign w:val="bottom"/>
          </w:tcPr>
          <w:p w14:paraId="392CB301" w14:textId="77777777" w:rsidR="00980E5F" w:rsidRDefault="00980E5F">
            <w:pPr>
              <w:rPr>
                <w:rFonts w:ascii="宋体"/>
              </w:rPr>
            </w:pPr>
          </w:p>
        </w:tc>
        <w:tc>
          <w:tcPr>
            <w:tcW w:w="0" w:type="auto"/>
            <w:shd w:val="clear" w:color="auto" w:fill="auto"/>
            <w:vAlign w:val="bottom"/>
          </w:tcPr>
          <w:p w14:paraId="392CB302" w14:textId="77777777" w:rsidR="00980E5F" w:rsidRDefault="00980E5F">
            <w:pPr>
              <w:rPr>
                <w:rFonts w:ascii="宋体"/>
              </w:rPr>
            </w:pPr>
          </w:p>
        </w:tc>
        <w:tc>
          <w:tcPr>
            <w:tcW w:w="0" w:type="auto"/>
            <w:shd w:val="clear" w:color="auto" w:fill="auto"/>
            <w:vAlign w:val="bottom"/>
          </w:tcPr>
          <w:p w14:paraId="392CB303" w14:textId="77777777" w:rsidR="00980E5F" w:rsidRDefault="00980E5F">
            <w:pPr>
              <w:rPr>
                <w:rFonts w:ascii="宋体"/>
              </w:rPr>
            </w:pPr>
          </w:p>
        </w:tc>
        <w:tc>
          <w:tcPr>
            <w:tcW w:w="0" w:type="auto"/>
            <w:shd w:val="clear" w:color="auto" w:fill="auto"/>
            <w:vAlign w:val="bottom"/>
          </w:tcPr>
          <w:p w14:paraId="392CB304" w14:textId="77777777" w:rsidR="00980E5F" w:rsidRDefault="00980E5F">
            <w:pPr>
              <w:rPr>
                <w:rFonts w:ascii="宋体"/>
              </w:rPr>
            </w:pPr>
          </w:p>
        </w:tc>
        <w:tc>
          <w:tcPr>
            <w:tcW w:w="0" w:type="auto"/>
            <w:shd w:val="clear" w:color="auto" w:fill="auto"/>
            <w:vAlign w:val="bottom"/>
          </w:tcPr>
          <w:p w14:paraId="392CB305" w14:textId="77777777" w:rsidR="00980E5F" w:rsidRDefault="00980E5F">
            <w:pPr>
              <w:rPr>
                <w:rFonts w:ascii="宋体"/>
              </w:rPr>
            </w:pPr>
          </w:p>
        </w:tc>
        <w:tc>
          <w:tcPr>
            <w:tcW w:w="0" w:type="auto"/>
            <w:shd w:val="clear" w:color="auto" w:fill="auto"/>
            <w:vAlign w:val="bottom"/>
          </w:tcPr>
          <w:p w14:paraId="392CB306" w14:textId="77777777" w:rsidR="00980E5F" w:rsidRDefault="00980E5F">
            <w:pPr>
              <w:rPr>
                <w:rFonts w:ascii="宋体"/>
              </w:rPr>
            </w:pPr>
          </w:p>
        </w:tc>
        <w:tc>
          <w:tcPr>
            <w:tcW w:w="0" w:type="auto"/>
            <w:shd w:val="clear" w:color="auto" w:fill="auto"/>
            <w:vAlign w:val="bottom"/>
          </w:tcPr>
          <w:p w14:paraId="392CB307" w14:textId="77777777" w:rsidR="00980E5F" w:rsidRDefault="00980E5F">
            <w:pPr>
              <w:rPr>
                <w:rFonts w:ascii="宋体"/>
              </w:rPr>
            </w:pPr>
          </w:p>
        </w:tc>
        <w:tc>
          <w:tcPr>
            <w:tcW w:w="0" w:type="auto"/>
            <w:shd w:val="clear" w:color="auto" w:fill="auto"/>
            <w:vAlign w:val="bottom"/>
          </w:tcPr>
          <w:p w14:paraId="392CB308" w14:textId="77777777" w:rsidR="00980E5F" w:rsidRDefault="00980E5F">
            <w:pPr>
              <w:rPr>
                <w:rFonts w:ascii="宋体"/>
              </w:rPr>
            </w:pPr>
          </w:p>
        </w:tc>
        <w:tc>
          <w:tcPr>
            <w:tcW w:w="0" w:type="auto"/>
            <w:shd w:val="clear" w:color="auto" w:fill="auto"/>
            <w:vAlign w:val="bottom"/>
          </w:tcPr>
          <w:p w14:paraId="392CB309" w14:textId="77777777" w:rsidR="00980E5F" w:rsidRDefault="00980E5F">
            <w:pPr>
              <w:rPr>
                <w:rFonts w:ascii="宋体"/>
              </w:rPr>
            </w:pPr>
          </w:p>
        </w:tc>
        <w:tc>
          <w:tcPr>
            <w:tcW w:w="0" w:type="auto"/>
            <w:shd w:val="clear" w:color="auto" w:fill="auto"/>
            <w:vAlign w:val="bottom"/>
          </w:tcPr>
          <w:p w14:paraId="392CB30A" w14:textId="77777777" w:rsidR="00980E5F" w:rsidRDefault="00980E5F">
            <w:pPr>
              <w:rPr>
                <w:rFonts w:ascii="宋体"/>
              </w:rPr>
            </w:pPr>
          </w:p>
        </w:tc>
        <w:tc>
          <w:tcPr>
            <w:tcW w:w="0" w:type="auto"/>
            <w:shd w:val="clear" w:color="auto" w:fill="auto"/>
            <w:vAlign w:val="bottom"/>
          </w:tcPr>
          <w:p w14:paraId="392CB30B" w14:textId="77777777" w:rsidR="00980E5F" w:rsidRDefault="00980E5F">
            <w:pPr>
              <w:rPr>
                <w:rFonts w:ascii="宋体"/>
              </w:rPr>
            </w:pPr>
          </w:p>
        </w:tc>
        <w:tc>
          <w:tcPr>
            <w:tcW w:w="0" w:type="auto"/>
            <w:shd w:val="clear" w:color="auto" w:fill="auto"/>
            <w:vAlign w:val="bottom"/>
          </w:tcPr>
          <w:p w14:paraId="392CB30C" w14:textId="77777777" w:rsidR="00980E5F" w:rsidRDefault="00980E5F">
            <w:pPr>
              <w:rPr>
                <w:rFonts w:ascii="宋体"/>
              </w:rPr>
            </w:pPr>
          </w:p>
        </w:tc>
        <w:tc>
          <w:tcPr>
            <w:tcW w:w="0" w:type="auto"/>
            <w:shd w:val="clear" w:color="auto" w:fill="auto"/>
            <w:vAlign w:val="bottom"/>
          </w:tcPr>
          <w:p w14:paraId="392CB30D" w14:textId="77777777" w:rsidR="00980E5F" w:rsidRDefault="00980E5F">
            <w:pPr>
              <w:rPr>
                <w:rFonts w:ascii="宋体"/>
              </w:rPr>
            </w:pPr>
          </w:p>
        </w:tc>
        <w:tc>
          <w:tcPr>
            <w:tcW w:w="0" w:type="auto"/>
            <w:shd w:val="clear" w:color="auto" w:fill="auto"/>
            <w:vAlign w:val="bottom"/>
          </w:tcPr>
          <w:p w14:paraId="392CB30E" w14:textId="77777777" w:rsidR="00980E5F" w:rsidRDefault="00980E5F">
            <w:pPr>
              <w:rPr>
                <w:rFonts w:ascii="宋体"/>
              </w:rPr>
            </w:pPr>
          </w:p>
        </w:tc>
      </w:tr>
      <w:tr w:rsidR="00980E5F" w14:paraId="392CB324" w14:textId="77777777">
        <w:trPr>
          <w:hidden/>
        </w:trPr>
        <w:tc>
          <w:tcPr>
            <w:tcW w:w="0" w:type="auto"/>
            <w:gridSpan w:val="3"/>
            <w:shd w:val="clear" w:color="auto" w:fill="auto"/>
            <w:vAlign w:val="bottom"/>
          </w:tcPr>
          <w:p w14:paraId="392CB310" w14:textId="77777777" w:rsidR="00980E5F" w:rsidRDefault="00980E5F">
            <w:pPr>
              <w:rPr>
                <w:rFonts w:ascii="宋体"/>
                <w:vanish/>
              </w:rPr>
            </w:pPr>
          </w:p>
        </w:tc>
        <w:tc>
          <w:tcPr>
            <w:tcW w:w="0" w:type="auto"/>
            <w:gridSpan w:val="3"/>
            <w:shd w:val="clear" w:color="auto" w:fill="auto"/>
            <w:vAlign w:val="bottom"/>
          </w:tcPr>
          <w:p w14:paraId="392CB311" w14:textId="77777777" w:rsidR="00980E5F" w:rsidRDefault="00980E5F">
            <w:pPr>
              <w:rPr>
                <w:rFonts w:ascii="宋体"/>
                <w:vanish/>
              </w:rPr>
            </w:pPr>
          </w:p>
        </w:tc>
        <w:tc>
          <w:tcPr>
            <w:tcW w:w="0" w:type="auto"/>
            <w:gridSpan w:val="3"/>
            <w:shd w:val="clear" w:color="auto" w:fill="auto"/>
            <w:vAlign w:val="bottom"/>
          </w:tcPr>
          <w:p w14:paraId="392CB312" w14:textId="77777777" w:rsidR="00980E5F" w:rsidRDefault="00980E5F">
            <w:pPr>
              <w:rPr>
                <w:rFonts w:ascii="宋体"/>
                <w:vanish/>
              </w:rPr>
            </w:pPr>
          </w:p>
        </w:tc>
        <w:tc>
          <w:tcPr>
            <w:tcW w:w="0" w:type="auto"/>
            <w:gridSpan w:val="3"/>
            <w:shd w:val="clear" w:color="auto" w:fill="auto"/>
            <w:vAlign w:val="bottom"/>
          </w:tcPr>
          <w:p w14:paraId="392CB313" w14:textId="77777777" w:rsidR="00980E5F" w:rsidRDefault="00980E5F">
            <w:pPr>
              <w:rPr>
                <w:rFonts w:ascii="宋体"/>
                <w:vanish/>
              </w:rPr>
            </w:pPr>
          </w:p>
        </w:tc>
        <w:tc>
          <w:tcPr>
            <w:tcW w:w="0" w:type="auto"/>
            <w:gridSpan w:val="3"/>
            <w:shd w:val="clear" w:color="auto" w:fill="auto"/>
            <w:vAlign w:val="bottom"/>
          </w:tcPr>
          <w:p w14:paraId="392CB314" w14:textId="77777777" w:rsidR="00980E5F" w:rsidRDefault="00980E5F">
            <w:pPr>
              <w:rPr>
                <w:rFonts w:ascii="宋体"/>
                <w:vanish/>
              </w:rPr>
            </w:pPr>
          </w:p>
        </w:tc>
        <w:tc>
          <w:tcPr>
            <w:tcW w:w="0" w:type="auto"/>
            <w:gridSpan w:val="3"/>
            <w:shd w:val="clear" w:color="auto" w:fill="auto"/>
            <w:vAlign w:val="bottom"/>
          </w:tcPr>
          <w:p w14:paraId="392CB315" w14:textId="77777777" w:rsidR="00980E5F" w:rsidRDefault="00980E5F">
            <w:pPr>
              <w:rPr>
                <w:rFonts w:ascii="宋体"/>
                <w:vanish/>
              </w:rPr>
            </w:pPr>
          </w:p>
        </w:tc>
        <w:tc>
          <w:tcPr>
            <w:tcW w:w="0" w:type="auto"/>
            <w:gridSpan w:val="3"/>
            <w:shd w:val="clear" w:color="auto" w:fill="auto"/>
            <w:vAlign w:val="bottom"/>
          </w:tcPr>
          <w:p w14:paraId="392CB316" w14:textId="77777777" w:rsidR="00980E5F" w:rsidRDefault="00980E5F">
            <w:pPr>
              <w:rPr>
                <w:rFonts w:ascii="宋体"/>
                <w:vanish/>
              </w:rPr>
            </w:pPr>
          </w:p>
        </w:tc>
        <w:tc>
          <w:tcPr>
            <w:tcW w:w="0" w:type="auto"/>
            <w:gridSpan w:val="3"/>
            <w:shd w:val="clear" w:color="auto" w:fill="auto"/>
            <w:vAlign w:val="bottom"/>
          </w:tcPr>
          <w:p w14:paraId="392CB317" w14:textId="77777777" w:rsidR="00980E5F" w:rsidRDefault="00980E5F">
            <w:pPr>
              <w:rPr>
                <w:rFonts w:ascii="宋体"/>
                <w:vanish/>
              </w:rPr>
            </w:pPr>
          </w:p>
        </w:tc>
        <w:tc>
          <w:tcPr>
            <w:tcW w:w="0" w:type="auto"/>
            <w:gridSpan w:val="3"/>
            <w:shd w:val="clear" w:color="auto" w:fill="auto"/>
            <w:vAlign w:val="bottom"/>
          </w:tcPr>
          <w:p w14:paraId="392CB318" w14:textId="77777777" w:rsidR="00980E5F" w:rsidRDefault="00980E5F">
            <w:pPr>
              <w:rPr>
                <w:rFonts w:ascii="宋体"/>
                <w:vanish/>
              </w:rPr>
            </w:pPr>
          </w:p>
        </w:tc>
        <w:tc>
          <w:tcPr>
            <w:tcW w:w="0" w:type="auto"/>
            <w:gridSpan w:val="3"/>
            <w:shd w:val="clear" w:color="auto" w:fill="auto"/>
            <w:vAlign w:val="bottom"/>
          </w:tcPr>
          <w:p w14:paraId="392CB319" w14:textId="77777777" w:rsidR="00980E5F" w:rsidRDefault="00980E5F">
            <w:pPr>
              <w:rPr>
                <w:rFonts w:ascii="宋体"/>
                <w:vanish/>
              </w:rPr>
            </w:pPr>
          </w:p>
        </w:tc>
        <w:tc>
          <w:tcPr>
            <w:tcW w:w="0" w:type="auto"/>
            <w:gridSpan w:val="3"/>
            <w:shd w:val="clear" w:color="auto" w:fill="auto"/>
            <w:vAlign w:val="bottom"/>
          </w:tcPr>
          <w:p w14:paraId="392CB31A" w14:textId="77777777" w:rsidR="00980E5F" w:rsidRDefault="00980E5F">
            <w:pPr>
              <w:rPr>
                <w:rFonts w:ascii="宋体"/>
                <w:vanish/>
              </w:rPr>
            </w:pPr>
          </w:p>
        </w:tc>
        <w:tc>
          <w:tcPr>
            <w:tcW w:w="0" w:type="auto"/>
            <w:gridSpan w:val="3"/>
            <w:shd w:val="clear" w:color="auto" w:fill="auto"/>
            <w:vAlign w:val="bottom"/>
          </w:tcPr>
          <w:p w14:paraId="392CB31B" w14:textId="77777777" w:rsidR="00980E5F" w:rsidRDefault="00980E5F">
            <w:pPr>
              <w:rPr>
                <w:rFonts w:ascii="宋体"/>
                <w:vanish/>
              </w:rPr>
            </w:pPr>
          </w:p>
        </w:tc>
        <w:tc>
          <w:tcPr>
            <w:tcW w:w="0" w:type="auto"/>
            <w:gridSpan w:val="3"/>
            <w:shd w:val="clear" w:color="auto" w:fill="auto"/>
            <w:vAlign w:val="bottom"/>
          </w:tcPr>
          <w:p w14:paraId="392CB31C" w14:textId="77777777" w:rsidR="00980E5F" w:rsidRDefault="00980E5F">
            <w:pPr>
              <w:rPr>
                <w:rFonts w:ascii="宋体"/>
                <w:vanish/>
              </w:rPr>
            </w:pPr>
          </w:p>
        </w:tc>
        <w:tc>
          <w:tcPr>
            <w:tcW w:w="0" w:type="auto"/>
            <w:gridSpan w:val="3"/>
            <w:shd w:val="clear" w:color="auto" w:fill="auto"/>
            <w:vAlign w:val="bottom"/>
          </w:tcPr>
          <w:p w14:paraId="392CB31D" w14:textId="77777777" w:rsidR="00980E5F" w:rsidRDefault="00980E5F">
            <w:pPr>
              <w:rPr>
                <w:rFonts w:ascii="宋体"/>
                <w:vanish/>
              </w:rPr>
            </w:pPr>
          </w:p>
        </w:tc>
        <w:tc>
          <w:tcPr>
            <w:tcW w:w="0" w:type="auto"/>
            <w:gridSpan w:val="3"/>
            <w:shd w:val="clear" w:color="auto" w:fill="auto"/>
            <w:vAlign w:val="bottom"/>
          </w:tcPr>
          <w:p w14:paraId="392CB31E" w14:textId="77777777" w:rsidR="00980E5F" w:rsidRDefault="00980E5F">
            <w:pPr>
              <w:rPr>
                <w:rFonts w:ascii="宋体"/>
                <w:vanish/>
              </w:rPr>
            </w:pPr>
          </w:p>
        </w:tc>
        <w:tc>
          <w:tcPr>
            <w:tcW w:w="0" w:type="auto"/>
            <w:gridSpan w:val="3"/>
            <w:shd w:val="clear" w:color="auto" w:fill="auto"/>
            <w:vAlign w:val="bottom"/>
          </w:tcPr>
          <w:p w14:paraId="392CB31F" w14:textId="77777777" w:rsidR="00980E5F" w:rsidRDefault="00980E5F">
            <w:pPr>
              <w:rPr>
                <w:rFonts w:ascii="宋体"/>
                <w:vanish/>
              </w:rPr>
            </w:pPr>
          </w:p>
        </w:tc>
        <w:tc>
          <w:tcPr>
            <w:tcW w:w="0" w:type="auto"/>
            <w:gridSpan w:val="3"/>
            <w:shd w:val="clear" w:color="auto" w:fill="auto"/>
            <w:vAlign w:val="bottom"/>
          </w:tcPr>
          <w:p w14:paraId="392CB320" w14:textId="77777777" w:rsidR="00980E5F" w:rsidRDefault="00980E5F">
            <w:pPr>
              <w:rPr>
                <w:rFonts w:ascii="宋体"/>
                <w:vanish/>
              </w:rPr>
            </w:pPr>
          </w:p>
        </w:tc>
        <w:tc>
          <w:tcPr>
            <w:tcW w:w="0" w:type="auto"/>
            <w:gridSpan w:val="3"/>
            <w:shd w:val="clear" w:color="auto" w:fill="auto"/>
            <w:vAlign w:val="bottom"/>
          </w:tcPr>
          <w:p w14:paraId="392CB321" w14:textId="77777777" w:rsidR="00980E5F" w:rsidRDefault="00980E5F">
            <w:pPr>
              <w:rPr>
                <w:rFonts w:ascii="宋体"/>
                <w:vanish/>
              </w:rPr>
            </w:pPr>
          </w:p>
        </w:tc>
        <w:tc>
          <w:tcPr>
            <w:tcW w:w="0" w:type="auto"/>
            <w:gridSpan w:val="3"/>
            <w:shd w:val="clear" w:color="auto" w:fill="auto"/>
            <w:vAlign w:val="bottom"/>
          </w:tcPr>
          <w:p w14:paraId="392CB322" w14:textId="77777777" w:rsidR="00980E5F" w:rsidRDefault="00980E5F">
            <w:pPr>
              <w:rPr>
                <w:rFonts w:ascii="宋体"/>
                <w:vanish/>
              </w:rPr>
            </w:pPr>
          </w:p>
        </w:tc>
        <w:tc>
          <w:tcPr>
            <w:tcW w:w="0" w:type="auto"/>
            <w:gridSpan w:val="3"/>
            <w:shd w:val="clear" w:color="auto" w:fill="auto"/>
            <w:vAlign w:val="bottom"/>
          </w:tcPr>
          <w:p w14:paraId="392CB323" w14:textId="77777777" w:rsidR="00980E5F" w:rsidRDefault="00980E5F">
            <w:pPr>
              <w:rPr>
                <w:rFonts w:ascii="宋体"/>
                <w:vanish/>
              </w:rPr>
            </w:pPr>
          </w:p>
        </w:tc>
      </w:tr>
      <w:tr w:rsidR="00980E5F" w14:paraId="392CB339" w14:textId="77777777">
        <w:trPr>
          <w:hidden/>
        </w:trPr>
        <w:tc>
          <w:tcPr>
            <w:tcW w:w="0" w:type="auto"/>
            <w:gridSpan w:val="3"/>
            <w:shd w:val="clear" w:color="auto" w:fill="auto"/>
            <w:vAlign w:val="bottom"/>
          </w:tcPr>
          <w:p w14:paraId="392CB325" w14:textId="77777777" w:rsidR="00980E5F" w:rsidRDefault="00980E5F">
            <w:pPr>
              <w:rPr>
                <w:rFonts w:ascii="宋体"/>
                <w:vanish/>
              </w:rPr>
            </w:pPr>
          </w:p>
        </w:tc>
        <w:tc>
          <w:tcPr>
            <w:tcW w:w="0" w:type="auto"/>
            <w:gridSpan w:val="3"/>
            <w:shd w:val="clear" w:color="auto" w:fill="auto"/>
            <w:vAlign w:val="bottom"/>
          </w:tcPr>
          <w:p w14:paraId="392CB326" w14:textId="77777777" w:rsidR="00980E5F" w:rsidRDefault="00980E5F">
            <w:pPr>
              <w:rPr>
                <w:rFonts w:ascii="宋体"/>
                <w:vanish/>
              </w:rPr>
            </w:pPr>
          </w:p>
        </w:tc>
        <w:tc>
          <w:tcPr>
            <w:tcW w:w="0" w:type="auto"/>
            <w:gridSpan w:val="3"/>
            <w:shd w:val="clear" w:color="auto" w:fill="auto"/>
            <w:vAlign w:val="bottom"/>
          </w:tcPr>
          <w:p w14:paraId="392CB327" w14:textId="77777777" w:rsidR="00980E5F" w:rsidRDefault="00980E5F">
            <w:pPr>
              <w:rPr>
                <w:rFonts w:ascii="宋体"/>
                <w:vanish/>
              </w:rPr>
            </w:pPr>
          </w:p>
        </w:tc>
        <w:tc>
          <w:tcPr>
            <w:tcW w:w="0" w:type="auto"/>
            <w:gridSpan w:val="3"/>
            <w:shd w:val="clear" w:color="auto" w:fill="auto"/>
            <w:vAlign w:val="bottom"/>
          </w:tcPr>
          <w:p w14:paraId="392CB328" w14:textId="77777777" w:rsidR="00980E5F" w:rsidRDefault="00980E5F">
            <w:pPr>
              <w:rPr>
                <w:rFonts w:ascii="宋体"/>
                <w:vanish/>
              </w:rPr>
            </w:pPr>
          </w:p>
        </w:tc>
        <w:tc>
          <w:tcPr>
            <w:tcW w:w="0" w:type="auto"/>
            <w:gridSpan w:val="3"/>
            <w:shd w:val="clear" w:color="auto" w:fill="auto"/>
            <w:vAlign w:val="bottom"/>
          </w:tcPr>
          <w:p w14:paraId="392CB329" w14:textId="77777777" w:rsidR="00980E5F" w:rsidRDefault="00980E5F">
            <w:pPr>
              <w:rPr>
                <w:rFonts w:ascii="宋体"/>
                <w:vanish/>
              </w:rPr>
            </w:pPr>
          </w:p>
        </w:tc>
        <w:tc>
          <w:tcPr>
            <w:tcW w:w="0" w:type="auto"/>
            <w:gridSpan w:val="3"/>
            <w:shd w:val="clear" w:color="auto" w:fill="auto"/>
            <w:vAlign w:val="bottom"/>
          </w:tcPr>
          <w:p w14:paraId="392CB32A" w14:textId="77777777" w:rsidR="00980E5F" w:rsidRDefault="00980E5F">
            <w:pPr>
              <w:rPr>
                <w:rFonts w:ascii="宋体"/>
                <w:vanish/>
              </w:rPr>
            </w:pPr>
          </w:p>
        </w:tc>
        <w:tc>
          <w:tcPr>
            <w:tcW w:w="0" w:type="auto"/>
            <w:gridSpan w:val="3"/>
            <w:shd w:val="clear" w:color="auto" w:fill="auto"/>
            <w:vAlign w:val="bottom"/>
          </w:tcPr>
          <w:p w14:paraId="392CB32B" w14:textId="77777777" w:rsidR="00980E5F" w:rsidRDefault="00980E5F">
            <w:pPr>
              <w:rPr>
                <w:rFonts w:ascii="宋体"/>
                <w:vanish/>
              </w:rPr>
            </w:pPr>
          </w:p>
        </w:tc>
        <w:tc>
          <w:tcPr>
            <w:tcW w:w="0" w:type="auto"/>
            <w:gridSpan w:val="3"/>
            <w:shd w:val="clear" w:color="auto" w:fill="auto"/>
            <w:vAlign w:val="bottom"/>
          </w:tcPr>
          <w:p w14:paraId="392CB32C" w14:textId="77777777" w:rsidR="00980E5F" w:rsidRDefault="00980E5F">
            <w:pPr>
              <w:rPr>
                <w:rFonts w:ascii="宋体"/>
                <w:vanish/>
              </w:rPr>
            </w:pPr>
          </w:p>
        </w:tc>
        <w:tc>
          <w:tcPr>
            <w:tcW w:w="0" w:type="auto"/>
            <w:gridSpan w:val="3"/>
            <w:shd w:val="clear" w:color="auto" w:fill="auto"/>
            <w:vAlign w:val="bottom"/>
          </w:tcPr>
          <w:p w14:paraId="392CB32D" w14:textId="77777777" w:rsidR="00980E5F" w:rsidRDefault="00980E5F">
            <w:pPr>
              <w:rPr>
                <w:rFonts w:ascii="宋体"/>
                <w:vanish/>
              </w:rPr>
            </w:pPr>
          </w:p>
        </w:tc>
        <w:tc>
          <w:tcPr>
            <w:tcW w:w="0" w:type="auto"/>
            <w:gridSpan w:val="3"/>
            <w:shd w:val="clear" w:color="auto" w:fill="auto"/>
            <w:vAlign w:val="bottom"/>
          </w:tcPr>
          <w:p w14:paraId="392CB32E" w14:textId="77777777" w:rsidR="00980E5F" w:rsidRDefault="00980E5F">
            <w:pPr>
              <w:rPr>
                <w:rFonts w:ascii="宋体"/>
                <w:vanish/>
              </w:rPr>
            </w:pPr>
          </w:p>
        </w:tc>
        <w:tc>
          <w:tcPr>
            <w:tcW w:w="0" w:type="auto"/>
            <w:gridSpan w:val="3"/>
            <w:shd w:val="clear" w:color="auto" w:fill="auto"/>
            <w:vAlign w:val="bottom"/>
          </w:tcPr>
          <w:p w14:paraId="392CB32F" w14:textId="77777777" w:rsidR="00980E5F" w:rsidRDefault="00980E5F">
            <w:pPr>
              <w:rPr>
                <w:rFonts w:ascii="宋体"/>
                <w:vanish/>
              </w:rPr>
            </w:pPr>
          </w:p>
        </w:tc>
        <w:tc>
          <w:tcPr>
            <w:tcW w:w="0" w:type="auto"/>
            <w:gridSpan w:val="3"/>
            <w:shd w:val="clear" w:color="auto" w:fill="auto"/>
            <w:vAlign w:val="bottom"/>
          </w:tcPr>
          <w:p w14:paraId="392CB330" w14:textId="77777777" w:rsidR="00980E5F" w:rsidRDefault="00980E5F">
            <w:pPr>
              <w:rPr>
                <w:rFonts w:ascii="宋体"/>
                <w:vanish/>
              </w:rPr>
            </w:pPr>
          </w:p>
        </w:tc>
        <w:tc>
          <w:tcPr>
            <w:tcW w:w="0" w:type="auto"/>
            <w:gridSpan w:val="3"/>
            <w:shd w:val="clear" w:color="auto" w:fill="auto"/>
            <w:vAlign w:val="bottom"/>
          </w:tcPr>
          <w:p w14:paraId="392CB331" w14:textId="77777777" w:rsidR="00980E5F" w:rsidRDefault="00980E5F">
            <w:pPr>
              <w:rPr>
                <w:rFonts w:ascii="宋体"/>
                <w:vanish/>
              </w:rPr>
            </w:pPr>
          </w:p>
        </w:tc>
        <w:tc>
          <w:tcPr>
            <w:tcW w:w="0" w:type="auto"/>
            <w:gridSpan w:val="3"/>
            <w:shd w:val="clear" w:color="auto" w:fill="auto"/>
            <w:vAlign w:val="bottom"/>
          </w:tcPr>
          <w:p w14:paraId="392CB332" w14:textId="77777777" w:rsidR="00980E5F" w:rsidRDefault="00980E5F">
            <w:pPr>
              <w:rPr>
                <w:rFonts w:ascii="宋体"/>
                <w:vanish/>
              </w:rPr>
            </w:pPr>
          </w:p>
        </w:tc>
        <w:tc>
          <w:tcPr>
            <w:tcW w:w="0" w:type="auto"/>
            <w:gridSpan w:val="3"/>
            <w:shd w:val="clear" w:color="auto" w:fill="auto"/>
            <w:vAlign w:val="bottom"/>
          </w:tcPr>
          <w:p w14:paraId="392CB333" w14:textId="77777777" w:rsidR="00980E5F" w:rsidRDefault="00980E5F">
            <w:pPr>
              <w:rPr>
                <w:rFonts w:ascii="宋体"/>
                <w:vanish/>
              </w:rPr>
            </w:pPr>
          </w:p>
        </w:tc>
        <w:tc>
          <w:tcPr>
            <w:tcW w:w="0" w:type="auto"/>
            <w:gridSpan w:val="3"/>
            <w:shd w:val="clear" w:color="auto" w:fill="auto"/>
            <w:vAlign w:val="bottom"/>
          </w:tcPr>
          <w:p w14:paraId="392CB334" w14:textId="77777777" w:rsidR="00980E5F" w:rsidRDefault="00980E5F">
            <w:pPr>
              <w:rPr>
                <w:rFonts w:ascii="宋体"/>
                <w:vanish/>
              </w:rPr>
            </w:pPr>
          </w:p>
        </w:tc>
        <w:tc>
          <w:tcPr>
            <w:tcW w:w="0" w:type="auto"/>
            <w:gridSpan w:val="3"/>
            <w:shd w:val="clear" w:color="auto" w:fill="auto"/>
            <w:vAlign w:val="bottom"/>
          </w:tcPr>
          <w:p w14:paraId="392CB335" w14:textId="77777777" w:rsidR="00980E5F" w:rsidRDefault="00980E5F">
            <w:pPr>
              <w:rPr>
                <w:rFonts w:ascii="宋体"/>
                <w:vanish/>
              </w:rPr>
            </w:pPr>
          </w:p>
        </w:tc>
        <w:tc>
          <w:tcPr>
            <w:tcW w:w="0" w:type="auto"/>
            <w:gridSpan w:val="3"/>
            <w:shd w:val="clear" w:color="auto" w:fill="auto"/>
            <w:vAlign w:val="bottom"/>
          </w:tcPr>
          <w:p w14:paraId="392CB336" w14:textId="77777777" w:rsidR="00980E5F" w:rsidRDefault="00980E5F">
            <w:pPr>
              <w:rPr>
                <w:rFonts w:ascii="宋体"/>
                <w:vanish/>
              </w:rPr>
            </w:pPr>
          </w:p>
        </w:tc>
        <w:tc>
          <w:tcPr>
            <w:tcW w:w="0" w:type="auto"/>
            <w:gridSpan w:val="3"/>
            <w:shd w:val="clear" w:color="auto" w:fill="auto"/>
            <w:vAlign w:val="bottom"/>
          </w:tcPr>
          <w:p w14:paraId="392CB337" w14:textId="77777777" w:rsidR="00980E5F" w:rsidRDefault="00980E5F">
            <w:pPr>
              <w:rPr>
                <w:rFonts w:ascii="宋体"/>
                <w:vanish/>
              </w:rPr>
            </w:pPr>
          </w:p>
        </w:tc>
        <w:tc>
          <w:tcPr>
            <w:tcW w:w="0" w:type="auto"/>
            <w:gridSpan w:val="3"/>
            <w:shd w:val="clear" w:color="auto" w:fill="auto"/>
            <w:vAlign w:val="bottom"/>
          </w:tcPr>
          <w:p w14:paraId="392CB338" w14:textId="77777777" w:rsidR="00980E5F" w:rsidRDefault="00980E5F">
            <w:pPr>
              <w:rPr>
                <w:rFonts w:ascii="宋体"/>
                <w:vanish/>
              </w:rPr>
            </w:pPr>
          </w:p>
        </w:tc>
      </w:tr>
      <w:tr w:rsidR="00980E5F" w14:paraId="392CB34E" w14:textId="77777777">
        <w:trPr>
          <w:hidden/>
        </w:trPr>
        <w:tc>
          <w:tcPr>
            <w:tcW w:w="0" w:type="auto"/>
            <w:gridSpan w:val="3"/>
            <w:shd w:val="clear" w:color="auto" w:fill="auto"/>
            <w:vAlign w:val="bottom"/>
          </w:tcPr>
          <w:p w14:paraId="392CB33A" w14:textId="77777777" w:rsidR="00980E5F" w:rsidRDefault="00980E5F">
            <w:pPr>
              <w:rPr>
                <w:rFonts w:ascii="宋体"/>
                <w:vanish/>
              </w:rPr>
            </w:pPr>
          </w:p>
        </w:tc>
        <w:tc>
          <w:tcPr>
            <w:tcW w:w="0" w:type="auto"/>
            <w:gridSpan w:val="3"/>
            <w:shd w:val="clear" w:color="auto" w:fill="auto"/>
            <w:vAlign w:val="bottom"/>
          </w:tcPr>
          <w:p w14:paraId="392CB33B" w14:textId="77777777" w:rsidR="00980E5F" w:rsidRDefault="00980E5F">
            <w:pPr>
              <w:rPr>
                <w:rFonts w:ascii="宋体"/>
                <w:vanish/>
              </w:rPr>
            </w:pPr>
          </w:p>
        </w:tc>
        <w:tc>
          <w:tcPr>
            <w:tcW w:w="0" w:type="auto"/>
            <w:gridSpan w:val="3"/>
            <w:shd w:val="clear" w:color="auto" w:fill="auto"/>
            <w:vAlign w:val="bottom"/>
          </w:tcPr>
          <w:p w14:paraId="392CB33C" w14:textId="77777777" w:rsidR="00980E5F" w:rsidRDefault="00980E5F">
            <w:pPr>
              <w:rPr>
                <w:rFonts w:ascii="宋体"/>
                <w:vanish/>
              </w:rPr>
            </w:pPr>
          </w:p>
        </w:tc>
        <w:tc>
          <w:tcPr>
            <w:tcW w:w="0" w:type="auto"/>
            <w:gridSpan w:val="3"/>
            <w:shd w:val="clear" w:color="auto" w:fill="auto"/>
            <w:vAlign w:val="bottom"/>
          </w:tcPr>
          <w:p w14:paraId="392CB33D" w14:textId="77777777" w:rsidR="00980E5F" w:rsidRDefault="00980E5F">
            <w:pPr>
              <w:rPr>
                <w:rFonts w:ascii="宋体"/>
                <w:vanish/>
              </w:rPr>
            </w:pPr>
          </w:p>
        </w:tc>
        <w:tc>
          <w:tcPr>
            <w:tcW w:w="0" w:type="auto"/>
            <w:gridSpan w:val="3"/>
            <w:shd w:val="clear" w:color="auto" w:fill="auto"/>
            <w:vAlign w:val="bottom"/>
          </w:tcPr>
          <w:p w14:paraId="392CB33E" w14:textId="77777777" w:rsidR="00980E5F" w:rsidRDefault="00980E5F">
            <w:pPr>
              <w:rPr>
                <w:rFonts w:ascii="宋体"/>
                <w:vanish/>
              </w:rPr>
            </w:pPr>
          </w:p>
        </w:tc>
        <w:tc>
          <w:tcPr>
            <w:tcW w:w="0" w:type="auto"/>
            <w:gridSpan w:val="3"/>
            <w:shd w:val="clear" w:color="auto" w:fill="auto"/>
            <w:vAlign w:val="bottom"/>
          </w:tcPr>
          <w:p w14:paraId="392CB33F" w14:textId="77777777" w:rsidR="00980E5F" w:rsidRDefault="00980E5F">
            <w:pPr>
              <w:rPr>
                <w:rFonts w:ascii="宋体"/>
                <w:vanish/>
              </w:rPr>
            </w:pPr>
          </w:p>
        </w:tc>
        <w:tc>
          <w:tcPr>
            <w:tcW w:w="0" w:type="auto"/>
            <w:gridSpan w:val="3"/>
            <w:shd w:val="clear" w:color="auto" w:fill="auto"/>
            <w:vAlign w:val="bottom"/>
          </w:tcPr>
          <w:p w14:paraId="392CB340" w14:textId="77777777" w:rsidR="00980E5F" w:rsidRDefault="00980E5F">
            <w:pPr>
              <w:rPr>
                <w:rFonts w:ascii="宋体"/>
                <w:vanish/>
              </w:rPr>
            </w:pPr>
          </w:p>
        </w:tc>
        <w:tc>
          <w:tcPr>
            <w:tcW w:w="0" w:type="auto"/>
            <w:gridSpan w:val="3"/>
            <w:shd w:val="clear" w:color="auto" w:fill="auto"/>
            <w:vAlign w:val="bottom"/>
          </w:tcPr>
          <w:p w14:paraId="392CB341" w14:textId="77777777" w:rsidR="00980E5F" w:rsidRDefault="00980E5F">
            <w:pPr>
              <w:rPr>
                <w:rFonts w:ascii="宋体"/>
                <w:vanish/>
              </w:rPr>
            </w:pPr>
          </w:p>
        </w:tc>
        <w:tc>
          <w:tcPr>
            <w:tcW w:w="0" w:type="auto"/>
            <w:gridSpan w:val="3"/>
            <w:shd w:val="clear" w:color="auto" w:fill="auto"/>
            <w:vAlign w:val="bottom"/>
          </w:tcPr>
          <w:p w14:paraId="392CB342" w14:textId="77777777" w:rsidR="00980E5F" w:rsidRDefault="00980E5F">
            <w:pPr>
              <w:rPr>
                <w:rFonts w:ascii="宋体"/>
                <w:vanish/>
              </w:rPr>
            </w:pPr>
          </w:p>
        </w:tc>
        <w:tc>
          <w:tcPr>
            <w:tcW w:w="0" w:type="auto"/>
            <w:gridSpan w:val="3"/>
            <w:shd w:val="clear" w:color="auto" w:fill="auto"/>
            <w:vAlign w:val="bottom"/>
          </w:tcPr>
          <w:p w14:paraId="392CB343" w14:textId="77777777" w:rsidR="00980E5F" w:rsidRDefault="00980E5F">
            <w:pPr>
              <w:rPr>
                <w:rFonts w:ascii="宋体"/>
                <w:vanish/>
              </w:rPr>
            </w:pPr>
          </w:p>
        </w:tc>
        <w:tc>
          <w:tcPr>
            <w:tcW w:w="0" w:type="auto"/>
            <w:gridSpan w:val="3"/>
            <w:shd w:val="clear" w:color="auto" w:fill="auto"/>
            <w:vAlign w:val="bottom"/>
          </w:tcPr>
          <w:p w14:paraId="392CB344" w14:textId="77777777" w:rsidR="00980E5F" w:rsidRDefault="00980E5F">
            <w:pPr>
              <w:rPr>
                <w:rFonts w:ascii="宋体"/>
                <w:vanish/>
              </w:rPr>
            </w:pPr>
          </w:p>
        </w:tc>
        <w:tc>
          <w:tcPr>
            <w:tcW w:w="0" w:type="auto"/>
            <w:gridSpan w:val="3"/>
            <w:shd w:val="clear" w:color="auto" w:fill="auto"/>
            <w:vAlign w:val="bottom"/>
          </w:tcPr>
          <w:p w14:paraId="392CB345" w14:textId="77777777" w:rsidR="00980E5F" w:rsidRDefault="00980E5F">
            <w:pPr>
              <w:rPr>
                <w:rFonts w:ascii="宋体"/>
                <w:vanish/>
              </w:rPr>
            </w:pPr>
          </w:p>
        </w:tc>
        <w:tc>
          <w:tcPr>
            <w:tcW w:w="0" w:type="auto"/>
            <w:gridSpan w:val="3"/>
            <w:shd w:val="clear" w:color="auto" w:fill="auto"/>
            <w:vAlign w:val="bottom"/>
          </w:tcPr>
          <w:p w14:paraId="392CB346" w14:textId="77777777" w:rsidR="00980E5F" w:rsidRDefault="00980E5F">
            <w:pPr>
              <w:rPr>
                <w:rFonts w:ascii="宋体"/>
                <w:vanish/>
              </w:rPr>
            </w:pPr>
          </w:p>
        </w:tc>
        <w:tc>
          <w:tcPr>
            <w:tcW w:w="0" w:type="auto"/>
            <w:gridSpan w:val="3"/>
            <w:shd w:val="clear" w:color="auto" w:fill="auto"/>
            <w:vAlign w:val="bottom"/>
          </w:tcPr>
          <w:p w14:paraId="392CB347" w14:textId="77777777" w:rsidR="00980E5F" w:rsidRDefault="00980E5F">
            <w:pPr>
              <w:rPr>
                <w:rFonts w:ascii="宋体"/>
                <w:vanish/>
              </w:rPr>
            </w:pPr>
          </w:p>
        </w:tc>
        <w:tc>
          <w:tcPr>
            <w:tcW w:w="0" w:type="auto"/>
            <w:gridSpan w:val="3"/>
            <w:shd w:val="clear" w:color="auto" w:fill="auto"/>
            <w:vAlign w:val="bottom"/>
          </w:tcPr>
          <w:p w14:paraId="392CB348" w14:textId="77777777" w:rsidR="00980E5F" w:rsidRDefault="00980E5F">
            <w:pPr>
              <w:rPr>
                <w:rFonts w:ascii="宋体"/>
                <w:vanish/>
              </w:rPr>
            </w:pPr>
          </w:p>
        </w:tc>
        <w:tc>
          <w:tcPr>
            <w:tcW w:w="0" w:type="auto"/>
            <w:gridSpan w:val="3"/>
            <w:shd w:val="clear" w:color="auto" w:fill="auto"/>
            <w:vAlign w:val="bottom"/>
          </w:tcPr>
          <w:p w14:paraId="392CB349" w14:textId="77777777" w:rsidR="00980E5F" w:rsidRDefault="00980E5F">
            <w:pPr>
              <w:rPr>
                <w:rFonts w:ascii="宋体"/>
                <w:vanish/>
              </w:rPr>
            </w:pPr>
          </w:p>
        </w:tc>
        <w:tc>
          <w:tcPr>
            <w:tcW w:w="0" w:type="auto"/>
            <w:gridSpan w:val="3"/>
            <w:shd w:val="clear" w:color="auto" w:fill="auto"/>
            <w:vAlign w:val="bottom"/>
          </w:tcPr>
          <w:p w14:paraId="392CB34A" w14:textId="77777777" w:rsidR="00980E5F" w:rsidRDefault="00980E5F">
            <w:pPr>
              <w:rPr>
                <w:rFonts w:ascii="宋体"/>
                <w:vanish/>
              </w:rPr>
            </w:pPr>
          </w:p>
        </w:tc>
        <w:tc>
          <w:tcPr>
            <w:tcW w:w="0" w:type="auto"/>
            <w:gridSpan w:val="3"/>
            <w:shd w:val="clear" w:color="auto" w:fill="auto"/>
            <w:vAlign w:val="bottom"/>
          </w:tcPr>
          <w:p w14:paraId="392CB34B" w14:textId="77777777" w:rsidR="00980E5F" w:rsidRDefault="00980E5F">
            <w:pPr>
              <w:rPr>
                <w:rFonts w:ascii="宋体"/>
                <w:vanish/>
              </w:rPr>
            </w:pPr>
          </w:p>
        </w:tc>
        <w:tc>
          <w:tcPr>
            <w:tcW w:w="0" w:type="auto"/>
            <w:gridSpan w:val="3"/>
            <w:shd w:val="clear" w:color="auto" w:fill="auto"/>
            <w:vAlign w:val="bottom"/>
          </w:tcPr>
          <w:p w14:paraId="392CB34C" w14:textId="77777777" w:rsidR="00980E5F" w:rsidRDefault="00980E5F">
            <w:pPr>
              <w:rPr>
                <w:rFonts w:ascii="宋体"/>
                <w:vanish/>
              </w:rPr>
            </w:pPr>
          </w:p>
        </w:tc>
        <w:tc>
          <w:tcPr>
            <w:tcW w:w="0" w:type="auto"/>
            <w:gridSpan w:val="3"/>
            <w:shd w:val="clear" w:color="auto" w:fill="auto"/>
            <w:vAlign w:val="bottom"/>
          </w:tcPr>
          <w:p w14:paraId="392CB34D" w14:textId="77777777" w:rsidR="00980E5F" w:rsidRDefault="00980E5F">
            <w:pPr>
              <w:rPr>
                <w:rFonts w:ascii="宋体"/>
                <w:vanish/>
              </w:rPr>
            </w:pPr>
          </w:p>
        </w:tc>
      </w:tr>
      <w:tr w:rsidR="00980E5F" w14:paraId="392CB363" w14:textId="77777777">
        <w:trPr>
          <w:hidden/>
        </w:trPr>
        <w:tc>
          <w:tcPr>
            <w:tcW w:w="0" w:type="auto"/>
            <w:gridSpan w:val="3"/>
            <w:shd w:val="clear" w:color="auto" w:fill="auto"/>
            <w:vAlign w:val="bottom"/>
          </w:tcPr>
          <w:p w14:paraId="392CB34F" w14:textId="77777777" w:rsidR="00980E5F" w:rsidRDefault="00980E5F">
            <w:pPr>
              <w:rPr>
                <w:rFonts w:ascii="宋体"/>
                <w:vanish/>
              </w:rPr>
            </w:pPr>
          </w:p>
        </w:tc>
        <w:tc>
          <w:tcPr>
            <w:tcW w:w="0" w:type="auto"/>
            <w:gridSpan w:val="3"/>
            <w:shd w:val="clear" w:color="auto" w:fill="auto"/>
            <w:vAlign w:val="bottom"/>
          </w:tcPr>
          <w:p w14:paraId="392CB350" w14:textId="77777777" w:rsidR="00980E5F" w:rsidRDefault="00980E5F">
            <w:pPr>
              <w:rPr>
                <w:rFonts w:ascii="宋体"/>
                <w:vanish/>
              </w:rPr>
            </w:pPr>
          </w:p>
        </w:tc>
        <w:tc>
          <w:tcPr>
            <w:tcW w:w="0" w:type="auto"/>
            <w:gridSpan w:val="3"/>
            <w:shd w:val="clear" w:color="auto" w:fill="auto"/>
            <w:vAlign w:val="bottom"/>
          </w:tcPr>
          <w:p w14:paraId="392CB351" w14:textId="77777777" w:rsidR="00980E5F" w:rsidRDefault="00980E5F">
            <w:pPr>
              <w:rPr>
                <w:rFonts w:ascii="宋体"/>
                <w:vanish/>
              </w:rPr>
            </w:pPr>
          </w:p>
        </w:tc>
        <w:tc>
          <w:tcPr>
            <w:tcW w:w="0" w:type="auto"/>
            <w:gridSpan w:val="3"/>
            <w:shd w:val="clear" w:color="auto" w:fill="auto"/>
            <w:vAlign w:val="bottom"/>
          </w:tcPr>
          <w:p w14:paraId="392CB352" w14:textId="77777777" w:rsidR="00980E5F" w:rsidRDefault="00980E5F">
            <w:pPr>
              <w:rPr>
                <w:rFonts w:ascii="宋体"/>
                <w:vanish/>
              </w:rPr>
            </w:pPr>
          </w:p>
        </w:tc>
        <w:tc>
          <w:tcPr>
            <w:tcW w:w="0" w:type="auto"/>
            <w:gridSpan w:val="3"/>
            <w:shd w:val="clear" w:color="auto" w:fill="auto"/>
            <w:vAlign w:val="bottom"/>
          </w:tcPr>
          <w:p w14:paraId="392CB353" w14:textId="77777777" w:rsidR="00980E5F" w:rsidRDefault="00980E5F">
            <w:pPr>
              <w:rPr>
                <w:rFonts w:ascii="宋体"/>
                <w:vanish/>
              </w:rPr>
            </w:pPr>
          </w:p>
        </w:tc>
        <w:tc>
          <w:tcPr>
            <w:tcW w:w="0" w:type="auto"/>
            <w:gridSpan w:val="3"/>
            <w:shd w:val="clear" w:color="auto" w:fill="auto"/>
            <w:vAlign w:val="bottom"/>
          </w:tcPr>
          <w:p w14:paraId="392CB354" w14:textId="77777777" w:rsidR="00980E5F" w:rsidRDefault="00980E5F">
            <w:pPr>
              <w:rPr>
                <w:rFonts w:ascii="宋体"/>
                <w:vanish/>
              </w:rPr>
            </w:pPr>
          </w:p>
        </w:tc>
        <w:tc>
          <w:tcPr>
            <w:tcW w:w="0" w:type="auto"/>
            <w:gridSpan w:val="3"/>
            <w:shd w:val="clear" w:color="auto" w:fill="auto"/>
            <w:vAlign w:val="bottom"/>
          </w:tcPr>
          <w:p w14:paraId="392CB355" w14:textId="77777777" w:rsidR="00980E5F" w:rsidRDefault="00980E5F">
            <w:pPr>
              <w:rPr>
                <w:rFonts w:ascii="宋体"/>
                <w:vanish/>
              </w:rPr>
            </w:pPr>
          </w:p>
        </w:tc>
        <w:tc>
          <w:tcPr>
            <w:tcW w:w="0" w:type="auto"/>
            <w:gridSpan w:val="3"/>
            <w:shd w:val="clear" w:color="auto" w:fill="auto"/>
            <w:vAlign w:val="bottom"/>
          </w:tcPr>
          <w:p w14:paraId="392CB356" w14:textId="77777777" w:rsidR="00980E5F" w:rsidRDefault="00980E5F">
            <w:pPr>
              <w:rPr>
                <w:rFonts w:ascii="宋体"/>
                <w:vanish/>
              </w:rPr>
            </w:pPr>
          </w:p>
        </w:tc>
        <w:tc>
          <w:tcPr>
            <w:tcW w:w="0" w:type="auto"/>
            <w:gridSpan w:val="3"/>
            <w:shd w:val="clear" w:color="auto" w:fill="auto"/>
            <w:vAlign w:val="bottom"/>
          </w:tcPr>
          <w:p w14:paraId="392CB357" w14:textId="77777777" w:rsidR="00980E5F" w:rsidRDefault="00980E5F">
            <w:pPr>
              <w:rPr>
                <w:rFonts w:ascii="宋体"/>
                <w:vanish/>
              </w:rPr>
            </w:pPr>
          </w:p>
        </w:tc>
        <w:tc>
          <w:tcPr>
            <w:tcW w:w="0" w:type="auto"/>
            <w:gridSpan w:val="3"/>
            <w:shd w:val="clear" w:color="auto" w:fill="auto"/>
            <w:vAlign w:val="bottom"/>
          </w:tcPr>
          <w:p w14:paraId="392CB358" w14:textId="77777777" w:rsidR="00980E5F" w:rsidRDefault="00980E5F">
            <w:pPr>
              <w:rPr>
                <w:rFonts w:ascii="宋体"/>
                <w:vanish/>
              </w:rPr>
            </w:pPr>
          </w:p>
        </w:tc>
        <w:tc>
          <w:tcPr>
            <w:tcW w:w="0" w:type="auto"/>
            <w:gridSpan w:val="3"/>
            <w:shd w:val="clear" w:color="auto" w:fill="auto"/>
            <w:vAlign w:val="bottom"/>
          </w:tcPr>
          <w:p w14:paraId="392CB359" w14:textId="77777777" w:rsidR="00980E5F" w:rsidRDefault="00980E5F">
            <w:pPr>
              <w:rPr>
                <w:rFonts w:ascii="宋体"/>
                <w:vanish/>
              </w:rPr>
            </w:pPr>
          </w:p>
        </w:tc>
        <w:tc>
          <w:tcPr>
            <w:tcW w:w="0" w:type="auto"/>
            <w:gridSpan w:val="3"/>
            <w:shd w:val="clear" w:color="auto" w:fill="auto"/>
            <w:vAlign w:val="bottom"/>
          </w:tcPr>
          <w:p w14:paraId="392CB35A" w14:textId="77777777" w:rsidR="00980E5F" w:rsidRDefault="00980E5F">
            <w:pPr>
              <w:rPr>
                <w:rFonts w:ascii="宋体"/>
                <w:vanish/>
              </w:rPr>
            </w:pPr>
          </w:p>
        </w:tc>
        <w:tc>
          <w:tcPr>
            <w:tcW w:w="0" w:type="auto"/>
            <w:gridSpan w:val="3"/>
            <w:shd w:val="clear" w:color="auto" w:fill="auto"/>
            <w:vAlign w:val="bottom"/>
          </w:tcPr>
          <w:p w14:paraId="392CB35B" w14:textId="77777777" w:rsidR="00980E5F" w:rsidRDefault="00980E5F">
            <w:pPr>
              <w:rPr>
                <w:rFonts w:ascii="宋体"/>
                <w:vanish/>
              </w:rPr>
            </w:pPr>
          </w:p>
        </w:tc>
        <w:tc>
          <w:tcPr>
            <w:tcW w:w="0" w:type="auto"/>
            <w:gridSpan w:val="3"/>
            <w:shd w:val="clear" w:color="auto" w:fill="auto"/>
            <w:vAlign w:val="bottom"/>
          </w:tcPr>
          <w:p w14:paraId="392CB35C" w14:textId="77777777" w:rsidR="00980E5F" w:rsidRDefault="00980E5F">
            <w:pPr>
              <w:rPr>
                <w:rFonts w:ascii="宋体"/>
                <w:vanish/>
              </w:rPr>
            </w:pPr>
          </w:p>
        </w:tc>
        <w:tc>
          <w:tcPr>
            <w:tcW w:w="0" w:type="auto"/>
            <w:gridSpan w:val="3"/>
            <w:shd w:val="clear" w:color="auto" w:fill="auto"/>
            <w:vAlign w:val="bottom"/>
          </w:tcPr>
          <w:p w14:paraId="392CB35D" w14:textId="77777777" w:rsidR="00980E5F" w:rsidRDefault="00980E5F">
            <w:pPr>
              <w:rPr>
                <w:rFonts w:ascii="宋体"/>
                <w:vanish/>
              </w:rPr>
            </w:pPr>
          </w:p>
        </w:tc>
        <w:tc>
          <w:tcPr>
            <w:tcW w:w="0" w:type="auto"/>
            <w:gridSpan w:val="3"/>
            <w:shd w:val="clear" w:color="auto" w:fill="auto"/>
            <w:vAlign w:val="bottom"/>
          </w:tcPr>
          <w:p w14:paraId="392CB35E" w14:textId="77777777" w:rsidR="00980E5F" w:rsidRDefault="00980E5F">
            <w:pPr>
              <w:rPr>
                <w:rFonts w:ascii="宋体"/>
                <w:vanish/>
              </w:rPr>
            </w:pPr>
          </w:p>
        </w:tc>
        <w:tc>
          <w:tcPr>
            <w:tcW w:w="0" w:type="auto"/>
            <w:gridSpan w:val="3"/>
            <w:shd w:val="clear" w:color="auto" w:fill="auto"/>
            <w:vAlign w:val="bottom"/>
          </w:tcPr>
          <w:p w14:paraId="392CB35F" w14:textId="77777777" w:rsidR="00980E5F" w:rsidRDefault="00980E5F">
            <w:pPr>
              <w:rPr>
                <w:rFonts w:ascii="宋体"/>
                <w:vanish/>
              </w:rPr>
            </w:pPr>
          </w:p>
        </w:tc>
        <w:tc>
          <w:tcPr>
            <w:tcW w:w="0" w:type="auto"/>
            <w:gridSpan w:val="3"/>
            <w:shd w:val="clear" w:color="auto" w:fill="auto"/>
            <w:vAlign w:val="bottom"/>
          </w:tcPr>
          <w:p w14:paraId="392CB360" w14:textId="77777777" w:rsidR="00980E5F" w:rsidRDefault="00980E5F">
            <w:pPr>
              <w:rPr>
                <w:rFonts w:ascii="宋体"/>
                <w:vanish/>
              </w:rPr>
            </w:pPr>
          </w:p>
        </w:tc>
        <w:tc>
          <w:tcPr>
            <w:tcW w:w="0" w:type="auto"/>
            <w:gridSpan w:val="3"/>
            <w:shd w:val="clear" w:color="auto" w:fill="auto"/>
            <w:vAlign w:val="bottom"/>
          </w:tcPr>
          <w:p w14:paraId="392CB361" w14:textId="77777777" w:rsidR="00980E5F" w:rsidRDefault="00980E5F">
            <w:pPr>
              <w:rPr>
                <w:rFonts w:ascii="宋体"/>
                <w:vanish/>
              </w:rPr>
            </w:pPr>
          </w:p>
        </w:tc>
        <w:tc>
          <w:tcPr>
            <w:tcW w:w="0" w:type="auto"/>
            <w:gridSpan w:val="3"/>
            <w:shd w:val="clear" w:color="auto" w:fill="auto"/>
            <w:vAlign w:val="bottom"/>
          </w:tcPr>
          <w:p w14:paraId="392CB362" w14:textId="77777777" w:rsidR="00980E5F" w:rsidRDefault="00980E5F">
            <w:pPr>
              <w:rPr>
                <w:rFonts w:ascii="宋体"/>
                <w:vanish/>
              </w:rPr>
            </w:pPr>
          </w:p>
        </w:tc>
      </w:tr>
      <w:tr w:rsidR="00980E5F" w14:paraId="392CB378" w14:textId="77777777">
        <w:trPr>
          <w:hidden/>
        </w:trPr>
        <w:tc>
          <w:tcPr>
            <w:tcW w:w="0" w:type="auto"/>
            <w:gridSpan w:val="3"/>
            <w:shd w:val="clear" w:color="auto" w:fill="auto"/>
            <w:vAlign w:val="bottom"/>
          </w:tcPr>
          <w:p w14:paraId="392CB364" w14:textId="77777777" w:rsidR="00980E5F" w:rsidRDefault="00980E5F">
            <w:pPr>
              <w:rPr>
                <w:rFonts w:ascii="宋体"/>
                <w:vanish/>
              </w:rPr>
            </w:pPr>
          </w:p>
        </w:tc>
        <w:tc>
          <w:tcPr>
            <w:tcW w:w="0" w:type="auto"/>
            <w:gridSpan w:val="3"/>
            <w:shd w:val="clear" w:color="auto" w:fill="auto"/>
            <w:vAlign w:val="bottom"/>
          </w:tcPr>
          <w:p w14:paraId="392CB365" w14:textId="77777777" w:rsidR="00980E5F" w:rsidRDefault="00980E5F">
            <w:pPr>
              <w:rPr>
                <w:rFonts w:ascii="宋体"/>
                <w:vanish/>
              </w:rPr>
            </w:pPr>
          </w:p>
        </w:tc>
        <w:tc>
          <w:tcPr>
            <w:tcW w:w="0" w:type="auto"/>
            <w:gridSpan w:val="3"/>
            <w:shd w:val="clear" w:color="auto" w:fill="auto"/>
            <w:vAlign w:val="bottom"/>
          </w:tcPr>
          <w:p w14:paraId="392CB366" w14:textId="77777777" w:rsidR="00980E5F" w:rsidRDefault="00980E5F">
            <w:pPr>
              <w:rPr>
                <w:rFonts w:ascii="宋体"/>
                <w:vanish/>
              </w:rPr>
            </w:pPr>
          </w:p>
        </w:tc>
        <w:tc>
          <w:tcPr>
            <w:tcW w:w="0" w:type="auto"/>
            <w:gridSpan w:val="3"/>
            <w:shd w:val="clear" w:color="auto" w:fill="auto"/>
            <w:vAlign w:val="bottom"/>
          </w:tcPr>
          <w:p w14:paraId="392CB367" w14:textId="77777777" w:rsidR="00980E5F" w:rsidRDefault="00980E5F">
            <w:pPr>
              <w:rPr>
                <w:rFonts w:ascii="宋体"/>
                <w:vanish/>
              </w:rPr>
            </w:pPr>
          </w:p>
        </w:tc>
        <w:tc>
          <w:tcPr>
            <w:tcW w:w="0" w:type="auto"/>
            <w:gridSpan w:val="3"/>
            <w:shd w:val="clear" w:color="auto" w:fill="auto"/>
            <w:vAlign w:val="bottom"/>
          </w:tcPr>
          <w:p w14:paraId="392CB368" w14:textId="77777777" w:rsidR="00980E5F" w:rsidRDefault="00980E5F">
            <w:pPr>
              <w:rPr>
                <w:rFonts w:ascii="宋体"/>
                <w:vanish/>
              </w:rPr>
            </w:pPr>
          </w:p>
        </w:tc>
        <w:tc>
          <w:tcPr>
            <w:tcW w:w="0" w:type="auto"/>
            <w:gridSpan w:val="3"/>
            <w:shd w:val="clear" w:color="auto" w:fill="auto"/>
            <w:vAlign w:val="bottom"/>
          </w:tcPr>
          <w:p w14:paraId="392CB369" w14:textId="77777777" w:rsidR="00980E5F" w:rsidRDefault="00980E5F">
            <w:pPr>
              <w:rPr>
                <w:rFonts w:ascii="宋体"/>
                <w:vanish/>
              </w:rPr>
            </w:pPr>
          </w:p>
        </w:tc>
        <w:tc>
          <w:tcPr>
            <w:tcW w:w="0" w:type="auto"/>
            <w:gridSpan w:val="3"/>
            <w:shd w:val="clear" w:color="auto" w:fill="auto"/>
            <w:vAlign w:val="bottom"/>
          </w:tcPr>
          <w:p w14:paraId="392CB36A" w14:textId="77777777" w:rsidR="00980E5F" w:rsidRDefault="00980E5F">
            <w:pPr>
              <w:rPr>
                <w:rFonts w:ascii="宋体"/>
                <w:vanish/>
              </w:rPr>
            </w:pPr>
          </w:p>
        </w:tc>
        <w:tc>
          <w:tcPr>
            <w:tcW w:w="0" w:type="auto"/>
            <w:gridSpan w:val="3"/>
            <w:shd w:val="clear" w:color="auto" w:fill="auto"/>
            <w:vAlign w:val="bottom"/>
          </w:tcPr>
          <w:p w14:paraId="392CB36B" w14:textId="77777777" w:rsidR="00980E5F" w:rsidRDefault="00980E5F">
            <w:pPr>
              <w:rPr>
                <w:rFonts w:ascii="宋体"/>
                <w:vanish/>
              </w:rPr>
            </w:pPr>
          </w:p>
        </w:tc>
        <w:tc>
          <w:tcPr>
            <w:tcW w:w="0" w:type="auto"/>
            <w:gridSpan w:val="3"/>
            <w:shd w:val="clear" w:color="auto" w:fill="auto"/>
            <w:vAlign w:val="bottom"/>
          </w:tcPr>
          <w:p w14:paraId="392CB36C" w14:textId="77777777" w:rsidR="00980E5F" w:rsidRDefault="00980E5F">
            <w:pPr>
              <w:rPr>
                <w:rFonts w:ascii="宋体"/>
                <w:vanish/>
              </w:rPr>
            </w:pPr>
          </w:p>
        </w:tc>
        <w:tc>
          <w:tcPr>
            <w:tcW w:w="0" w:type="auto"/>
            <w:gridSpan w:val="3"/>
            <w:shd w:val="clear" w:color="auto" w:fill="auto"/>
            <w:vAlign w:val="bottom"/>
          </w:tcPr>
          <w:p w14:paraId="392CB36D" w14:textId="77777777" w:rsidR="00980E5F" w:rsidRDefault="00980E5F">
            <w:pPr>
              <w:rPr>
                <w:rFonts w:ascii="宋体"/>
                <w:vanish/>
              </w:rPr>
            </w:pPr>
          </w:p>
        </w:tc>
        <w:tc>
          <w:tcPr>
            <w:tcW w:w="0" w:type="auto"/>
            <w:gridSpan w:val="3"/>
            <w:shd w:val="clear" w:color="auto" w:fill="auto"/>
            <w:vAlign w:val="bottom"/>
          </w:tcPr>
          <w:p w14:paraId="392CB36E" w14:textId="77777777" w:rsidR="00980E5F" w:rsidRDefault="00980E5F">
            <w:pPr>
              <w:rPr>
                <w:rFonts w:ascii="宋体"/>
                <w:vanish/>
              </w:rPr>
            </w:pPr>
          </w:p>
        </w:tc>
        <w:tc>
          <w:tcPr>
            <w:tcW w:w="0" w:type="auto"/>
            <w:gridSpan w:val="3"/>
            <w:shd w:val="clear" w:color="auto" w:fill="auto"/>
            <w:vAlign w:val="bottom"/>
          </w:tcPr>
          <w:p w14:paraId="392CB36F" w14:textId="77777777" w:rsidR="00980E5F" w:rsidRDefault="00980E5F">
            <w:pPr>
              <w:rPr>
                <w:rFonts w:ascii="宋体"/>
                <w:vanish/>
              </w:rPr>
            </w:pPr>
          </w:p>
        </w:tc>
        <w:tc>
          <w:tcPr>
            <w:tcW w:w="0" w:type="auto"/>
            <w:gridSpan w:val="3"/>
            <w:shd w:val="clear" w:color="auto" w:fill="auto"/>
            <w:vAlign w:val="bottom"/>
          </w:tcPr>
          <w:p w14:paraId="392CB370" w14:textId="77777777" w:rsidR="00980E5F" w:rsidRDefault="00980E5F">
            <w:pPr>
              <w:rPr>
                <w:rFonts w:ascii="宋体"/>
                <w:vanish/>
              </w:rPr>
            </w:pPr>
          </w:p>
        </w:tc>
        <w:tc>
          <w:tcPr>
            <w:tcW w:w="0" w:type="auto"/>
            <w:gridSpan w:val="3"/>
            <w:shd w:val="clear" w:color="auto" w:fill="auto"/>
            <w:vAlign w:val="bottom"/>
          </w:tcPr>
          <w:p w14:paraId="392CB371" w14:textId="77777777" w:rsidR="00980E5F" w:rsidRDefault="00980E5F">
            <w:pPr>
              <w:rPr>
                <w:rFonts w:ascii="宋体"/>
                <w:vanish/>
              </w:rPr>
            </w:pPr>
          </w:p>
        </w:tc>
        <w:tc>
          <w:tcPr>
            <w:tcW w:w="0" w:type="auto"/>
            <w:gridSpan w:val="3"/>
            <w:shd w:val="clear" w:color="auto" w:fill="auto"/>
            <w:vAlign w:val="bottom"/>
          </w:tcPr>
          <w:p w14:paraId="392CB372" w14:textId="77777777" w:rsidR="00980E5F" w:rsidRDefault="00980E5F">
            <w:pPr>
              <w:rPr>
                <w:rFonts w:ascii="宋体"/>
                <w:vanish/>
              </w:rPr>
            </w:pPr>
          </w:p>
        </w:tc>
        <w:tc>
          <w:tcPr>
            <w:tcW w:w="0" w:type="auto"/>
            <w:gridSpan w:val="3"/>
            <w:shd w:val="clear" w:color="auto" w:fill="auto"/>
            <w:vAlign w:val="bottom"/>
          </w:tcPr>
          <w:p w14:paraId="392CB373" w14:textId="77777777" w:rsidR="00980E5F" w:rsidRDefault="00980E5F">
            <w:pPr>
              <w:rPr>
                <w:rFonts w:ascii="宋体"/>
                <w:vanish/>
              </w:rPr>
            </w:pPr>
          </w:p>
        </w:tc>
        <w:tc>
          <w:tcPr>
            <w:tcW w:w="0" w:type="auto"/>
            <w:gridSpan w:val="3"/>
            <w:shd w:val="clear" w:color="auto" w:fill="auto"/>
            <w:vAlign w:val="bottom"/>
          </w:tcPr>
          <w:p w14:paraId="392CB374" w14:textId="77777777" w:rsidR="00980E5F" w:rsidRDefault="00980E5F">
            <w:pPr>
              <w:rPr>
                <w:rFonts w:ascii="宋体"/>
                <w:vanish/>
              </w:rPr>
            </w:pPr>
          </w:p>
        </w:tc>
        <w:tc>
          <w:tcPr>
            <w:tcW w:w="0" w:type="auto"/>
            <w:gridSpan w:val="3"/>
            <w:shd w:val="clear" w:color="auto" w:fill="auto"/>
            <w:vAlign w:val="bottom"/>
          </w:tcPr>
          <w:p w14:paraId="392CB375" w14:textId="77777777" w:rsidR="00980E5F" w:rsidRDefault="00980E5F">
            <w:pPr>
              <w:rPr>
                <w:rFonts w:ascii="宋体"/>
                <w:vanish/>
              </w:rPr>
            </w:pPr>
          </w:p>
        </w:tc>
        <w:tc>
          <w:tcPr>
            <w:tcW w:w="0" w:type="auto"/>
            <w:gridSpan w:val="3"/>
            <w:shd w:val="clear" w:color="auto" w:fill="auto"/>
            <w:vAlign w:val="bottom"/>
          </w:tcPr>
          <w:p w14:paraId="392CB376" w14:textId="77777777" w:rsidR="00980E5F" w:rsidRDefault="00980E5F">
            <w:pPr>
              <w:rPr>
                <w:rFonts w:ascii="宋体"/>
                <w:vanish/>
              </w:rPr>
            </w:pPr>
          </w:p>
        </w:tc>
        <w:tc>
          <w:tcPr>
            <w:tcW w:w="0" w:type="auto"/>
            <w:gridSpan w:val="3"/>
            <w:shd w:val="clear" w:color="auto" w:fill="auto"/>
            <w:vAlign w:val="bottom"/>
          </w:tcPr>
          <w:p w14:paraId="392CB377" w14:textId="77777777" w:rsidR="00980E5F" w:rsidRDefault="00980E5F">
            <w:pPr>
              <w:rPr>
                <w:rFonts w:ascii="宋体"/>
                <w:vanish/>
              </w:rPr>
            </w:pPr>
          </w:p>
        </w:tc>
      </w:tr>
      <w:tr w:rsidR="00980E5F" w14:paraId="392CB38D" w14:textId="77777777">
        <w:trPr>
          <w:hidden/>
        </w:trPr>
        <w:tc>
          <w:tcPr>
            <w:tcW w:w="0" w:type="auto"/>
            <w:gridSpan w:val="3"/>
            <w:shd w:val="clear" w:color="auto" w:fill="auto"/>
            <w:vAlign w:val="bottom"/>
          </w:tcPr>
          <w:p w14:paraId="392CB379" w14:textId="77777777" w:rsidR="00980E5F" w:rsidRDefault="00980E5F">
            <w:pPr>
              <w:rPr>
                <w:rFonts w:ascii="宋体"/>
                <w:vanish/>
              </w:rPr>
            </w:pPr>
          </w:p>
        </w:tc>
        <w:tc>
          <w:tcPr>
            <w:tcW w:w="0" w:type="auto"/>
            <w:gridSpan w:val="3"/>
            <w:shd w:val="clear" w:color="auto" w:fill="auto"/>
            <w:vAlign w:val="bottom"/>
          </w:tcPr>
          <w:p w14:paraId="392CB37A" w14:textId="77777777" w:rsidR="00980E5F" w:rsidRDefault="00980E5F">
            <w:pPr>
              <w:rPr>
                <w:rFonts w:ascii="宋体"/>
                <w:vanish/>
              </w:rPr>
            </w:pPr>
          </w:p>
        </w:tc>
        <w:tc>
          <w:tcPr>
            <w:tcW w:w="0" w:type="auto"/>
            <w:gridSpan w:val="3"/>
            <w:shd w:val="clear" w:color="auto" w:fill="auto"/>
            <w:vAlign w:val="bottom"/>
          </w:tcPr>
          <w:p w14:paraId="392CB37B" w14:textId="77777777" w:rsidR="00980E5F" w:rsidRDefault="00980E5F">
            <w:pPr>
              <w:rPr>
                <w:rFonts w:ascii="宋体"/>
                <w:vanish/>
              </w:rPr>
            </w:pPr>
          </w:p>
        </w:tc>
        <w:tc>
          <w:tcPr>
            <w:tcW w:w="0" w:type="auto"/>
            <w:gridSpan w:val="3"/>
            <w:shd w:val="clear" w:color="auto" w:fill="auto"/>
            <w:vAlign w:val="bottom"/>
          </w:tcPr>
          <w:p w14:paraId="392CB37C" w14:textId="77777777" w:rsidR="00980E5F" w:rsidRDefault="00980E5F">
            <w:pPr>
              <w:rPr>
                <w:rFonts w:ascii="宋体"/>
                <w:vanish/>
              </w:rPr>
            </w:pPr>
          </w:p>
        </w:tc>
        <w:tc>
          <w:tcPr>
            <w:tcW w:w="0" w:type="auto"/>
            <w:gridSpan w:val="3"/>
            <w:shd w:val="clear" w:color="auto" w:fill="auto"/>
            <w:vAlign w:val="bottom"/>
          </w:tcPr>
          <w:p w14:paraId="392CB37D" w14:textId="77777777" w:rsidR="00980E5F" w:rsidRDefault="00980E5F">
            <w:pPr>
              <w:rPr>
                <w:rFonts w:ascii="宋体"/>
                <w:vanish/>
              </w:rPr>
            </w:pPr>
          </w:p>
        </w:tc>
        <w:tc>
          <w:tcPr>
            <w:tcW w:w="0" w:type="auto"/>
            <w:gridSpan w:val="3"/>
            <w:shd w:val="clear" w:color="auto" w:fill="auto"/>
            <w:vAlign w:val="bottom"/>
          </w:tcPr>
          <w:p w14:paraId="392CB37E" w14:textId="77777777" w:rsidR="00980E5F" w:rsidRDefault="00980E5F">
            <w:pPr>
              <w:rPr>
                <w:rFonts w:ascii="宋体"/>
                <w:vanish/>
              </w:rPr>
            </w:pPr>
          </w:p>
        </w:tc>
        <w:tc>
          <w:tcPr>
            <w:tcW w:w="0" w:type="auto"/>
            <w:gridSpan w:val="3"/>
            <w:shd w:val="clear" w:color="auto" w:fill="auto"/>
            <w:vAlign w:val="bottom"/>
          </w:tcPr>
          <w:p w14:paraId="392CB37F" w14:textId="77777777" w:rsidR="00980E5F" w:rsidRDefault="00980E5F">
            <w:pPr>
              <w:rPr>
                <w:rFonts w:ascii="宋体"/>
                <w:vanish/>
              </w:rPr>
            </w:pPr>
          </w:p>
        </w:tc>
        <w:tc>
          <w:tcPr>
            <w:tcW w:w="0" w:type="auto"/>
            <w:gridSpan w:val="3"/>
            <w:shd w:val="clear" w:color="auto" w:fill="auto"/>
            <w:vAlign w:val="bottom"/>
          </w:tcPr>
          <w:p w14:paraId="392CB380" w14:textId="77777777" w:rsidR="00980E5F" w:rsidRDefault="00980E5F">
            <w:pPr>
              <w:rPr>
                <w:rFonts w:ascii="宋体"/>
                <w:vanish/>
              </w:rPr>
            </w:pPr>
          </w:p>
        </w:tc>
        <w:tc>
          <w:tcPr>
            <w:tcW w:w="0" w:type="auto"/>
            <w:gridSpan w:val="3"/>
            <w:shd w:val="clear" w:color="auto" w:fill="auto"/>
            <w:vAlign w:val="bottom"/>
          </w:tcPr>
          <w:p w14:paraId="392CB381" w14:textId="77777777" w:rsidR="00980E5F" w:rsidRDefault="00980E5F">
            <w:pPr>
              <w:rPr>
                <w:rFonts w:ascii="宋体"/>
                <w:vanish/>
              </w:rPr>
            </w:pPr>
          </w:p>
        </w:tc>
        <w:tc>
          <w:tcPr>
            <w:tcW w:w="0" w:type="auto"/>
            <w:gridSpan w:val="3"/>
            <w:shd w:val="clear" w:color="auto" w:fill="auto"/>
            <w:vAlign w:val="bottom"/>
          </w:tcPr>
          <w:p w14:paraId="392CB382" w14:textId="77777777" w:rsidR="00980E5F" w:rsidRDefault="00980E5F">
            <w:pPr>
              <w:rPr>
                <w:rFonts w:ascii="宋体"/>
                <w:vanish/>
              </w:rPr>
            </w:pPr>
          </w:p>
        </w:tc>
        <w:tc>
          <w:tcPr>
            <w:tcW w:w="0" w:type="auto"/>
            <w:gridSpan w:val="3"/>
            <w:shd w:val="clear" w:color="auto" w:fill="auto"/>
            <w:vAlign w:val="bottom"/>
          </w:tcPr>
          <w:p w14:paraId="392CB383" w14:textId="77777777" w:rsidR="00980E5F" w:rsidRDefault="00980E5F">
            <w:pPr>
              <w:rPr>
                <w:rFonts w:ascii="宋体"/>
                <w:vanish/>
              </w:rPr>
            </w:pPr>
          </w:p>
        </w:tc>
        <w:tc>
          <w:tcPr>
            <w:tcW w:w="0" w:type="auto"/>
            <w:gridSpan w:val="3"/>
            <w:shd w:val="clear" w:color="auto" w:fill="auto"/>
            <w:vAlign w:val="bottom"/>
          </w:tcPr>
          <w:p w14:paraId="392CB384" w14:textId="77777777" w:rsidR="00980E5F" w:rsidRDefault="00980E5F">
            <w:pPr>
              <w:rPr>
                <w:rFonts w:ascii="宋体"/>
                <w:vanish/>
              </w:rPr>
            </w:pPr>
          </w:p>
        </w:tc>
        <w:tc>
          <w:tcPr>
            <w:tcW w:w="0" w:type="auto"/>
            <w:gridSpan w:val="3"/>
            <w:shd w:val="clear" w:color="auto" w:fill="auto"/>
            <w:vAlign w:val="bottom"/>
          </w:tcPr>
          <w:p w14:paraId="392CB385" w14:textId="77777777" w:rsidR="00980E5F" w:rsidRDefault="00980E5F">
            <w:pPr>
              <w:rPr>
                <w:rFonts w:ascii="宋体"/>
                <w:vanish/>
              </w:rPr>
            </w:pPr>
          </w:p>
        </w:tc>
        <w:tc>
          <w:tcPr>
            <w:tcW w:w="0" w:type="auto"/>
            <w:gridSpan w:val="3"/>
            <w:shd w:val="clear" w:color="auto" w:fill="auto"/>
            <w:vAlign w:val="bottom"/>
          </w:tcPr>
          <w:p w14:paraId="392CB386" w14:textId="77777777" w:rsidR="00980E5F" w:rsidRDefault="00980E5F">
            <w:pPr>
              <w:rPr>
                <w:rFonts w:ascii="宋体"/>
                <w:vanish/>
              </w:rPr>
            </w:pPr>
          </w:p>
        </w:tc>
        <w:tc>
          <w:tcPr>
            <w:tcW w:w="0" w:type="auto"/>
            <w:gridSpan w:val="3"/>
            <w:shd w:val="clear" w:color="auto" w:fill="auto"/>
            <w:vAlign w:val="bottom"/>
          </w:tcPr>
          <w:p w14:paraId="392CB387" w14:textId="77777777" w:rsidR="00980E5F" w:rsidRDefault="00980E5F">
            <w:pPr>
              <w:rPr>
                <w:rFonts w:ascii="宋体"/>
                <w:vanish/>
              </w:rPr>
            </w:pPr>
          </w:p>
        </w:tc>
        <w:tc>
          <w:tcPr>
            <w:tcW w:w="0" w:type="auto"/>
            <w:gridSpan w:val="3"/>
            <w:shd w:val="clear" w:color="auto" w:fill="auto"/>
            <w:vAlign w:val="bottom"/>
          </w:tcPr>
          <w:p w14:paraId="392CB388" w14:textId="77777777" w:rsidR="00980E5F" w:rsidRDefault="00980E5F">
            <w:pPr>
              <w:rPr>
                <w:rFonts w:ascii="宋体"/>
                <w:vanish/>
              </w:rPr>
            </w:pPr>
          </w:p>
        </w:tc>
        <w:tc>
          <w:tcPr>
            <w:tcW w:w="0" w:type="auto"/>
            <w:gridSpan w:val="3"/>
            <w:shd w:val="clear" w:color="auto" w:fill="auto"/>
            <w:vAlign w:val="bottom"/>
          </w:tcPr>
          <w:p w14:paraId="392CB389" w14:textId="77777777" w:rsidR="00980E5F" w:rsidRDefault="00980E5F">
            <w:pPr>
              <w:rPr>
                <w:rFonts w:ascii="宋体"/>
                <w:vanish/>
              </w:rPr>
            </w:pPr>
          </w:p>
        </w:tc>
        <w:tc>
          <w:tcPr>
            <w:tcW w:w="0" w:type="auto"/>
            <w:gridSpan w:val="3"/>
            <w:shd w:val="clear" w:color="auto" w:fill="auto"/>
            <w:vAlign w:val="bottom"/>
          </w:tcPr>
          <w:p w14:paraId="392CB38A" w14:textId="77777777" w:rsidR="00980E5F" w:rsidRDefault="00980E5F">
            <w:pPr>
              <w:rPr>
                <w:rFonts w:ascii="宋体"/>
                <w:vanish/>
              </w:rPr>
            </w:pPr>
          </w:p>
        </w:tc>
        <w:tc>
          <w:tcPr>
            <w:tcW w:w="0" w:type="auto"/>
            <w:gridSpan w:val="3"/>
            <w:shd w:val="clear" w:color="auto" w:fill="auto"/>
            <w:vAlign w:val="bottom"/>
          </w:tcPr>
          <w:p w14:paraId="392CB38B" w14:textId="77777777" w:rsidR="00980E5F" w:rsidRDefault="00980E5F">
            <w:pPr>
              <w:rPr>
                <w:rFonts w:ascii="宋体"/>
                <w:vanish/>
              </w:rPr>
            </w:pPr>
          </w:p>
        </w:tc>
        <w:tc>
          <w:tcPr>
            <w:tcW w:w="0" w:type="auto"/>
            <w:gridSpan w:val="3"/>
            <w:shd w:val="clear" w:color="auto" w:fill="auto"/>
            <w:vAlign w:val="bottom"/>
          </w:tcPr>
          <w:p w14:paraId="392CB38C" w14:textId="77777777" w:rsidR="00980E5F" w:rsidRDefault="00980E5F">
            <w:pPr>
              <w:rPr>
                <w:rFonts w:ascii="宋体"/>
                <w:vanish/>
              </w:rPr>
            </w:pPr>
          </w:p>
        </w:tc>
      </w:tr>
      <w:tr w:rsidR="00980E5F" w14:paraId="392CB3A2" w14:textId="77777777">
        <w:trPr>
          <w:hidden/>
        </w:trPr>
        <w:tc>
          <w:tcPr>
            <w:tcW w:w="0" w:type="auto"/>
            <w:gridSpan w:val="3"/>
            <w:shd w:val="clear" w:color="auto" w:fill="auto"/>
            <w:vAlign w:val="bottom"/>
          </w:tcPr>
          <w:p w14:paraId="392CB38E" w14:textId="77777777" w:rsidR="00980E5F" w:rsidRDefault="00980E5F">
            <w:pPr>
              <w:rPr>
                <w:rFonts w:ascii="宋体"/>
                <w:vanish/>
              </w:rPr>
            </w:pPr>
          </w:p>
        </w:tc>
        <w:tc>
          <w:tcPr>
            <w:tcW w:w="0" w:type="auto"/>
            <w:gridSpan w:val="3"/>
            <w:shd w:val="clear" w:color="auto" w:fill="auto"/>
            <w:vAlign w:val="bottom"/>
          </w:tcPr>
          <w:p w14:paraId="392CB38F" w14:textId="77777777" w:rsidR="00980E5F" w:rsidRDefault="00980E5F">
            <w:pPr>
              <w:rPr>
                <w:rFonts w:ascii="宋体"/>
                <w:vanish/>
              </w:rPr>
            </w:pPr>
          </w:p>
        </w:tc>
        <w:tc>
          <w:tcPr>
            <w:tcW w:w="0" w:type="auto"/>
            <w:gridSpan w:val="3"/>
            <w:shd w:val="clear" w:color="auto" w:fill="auto"/>
            <w:vAlign w:val="bottom"/>
          </w:tcPr>
          <w:p w14:paraId="392CB390" w14:textId="77777777" w:rsidR="00980E5F" w:rsidRDefault="00980E5F">
            <w:pPr>
              <w:rPr>
                <w:rFonts w:ascii="宋体"/>
                <w:vanish/>
              </w:rPr>
            </w:pPr>
          </w:p>
        </w:tc>
        <w:tc>
          <w:tcPr>
            <w:tcW w:w="0" w:type="auto"/>
            <w:gridSpan w:val="3"/>
            <w:shd w:val="clear" w:color="auto" w:fill="auto"/>
            <w:vAlign w:val="bottom"/>
          </w:tcPr>
          <w:p w14:paraId="392CB391" w14:textId="77777777" w:rsidR="00980E5F" w:rsidRDefault="00980E5F">
            <w:pPr>
              <w:rPr>
                <w:rFonts w:ascii="宋体"/>
                <w:vanish/>
              </w:rPr>
            </w:pPr>
          </w:p>
        </w:tc>
        <w:tc>
          <w:tcPr>
            <w:tcW w:w="0" w:type="auto"/>
            <w:gridSpan w:val="3"/>
            <w:shd w:val="clear" w:color="auto" w:fill="auto"/>
            <w:vAlign w:val="bottom"/>
          </w:tcPr>
          <w:p w14:paraId="392CB392" w14:textId="77777777" w:rsidR="00980E5F" w:rsidRDefault="00980E5F">
            <w:pPr>
              <w:rPr>
                <w:rFonts w:ascii="宋体"/>
                <w:vanish/>
              </w:rPr>
            </w:pPr>
          </w:p>
        </w:tc>
        <w:tc>
          <w:tcPr>
            <w:tcW w:w="0" w:type="auto"/>
            <w:gridSpan w:val="3"/>
            <w:shd w:val="clear" w:color="auto" w:fill="auto"/>
            <w:vAlign w:val="bottom"/>
          </w:tcPr>
          <w:p w14:paraId="392CB393" w14:textId="77777777" w:rsidR="00980E5F" w:rsidRDefault="00980E5F">
            <w:pPr>
              <w:rPr>
                <w:rFonts w:ascii="宋体"/>
                <w:vanish/>
              </w:rPr>
            </w:pPr>
          </w:p>
        </w:tc>
        <w:tc>
          <w:tcPr>
            <w:tcW w:w="0" w:type="auto"/>
            <w:gridSpan w:val="3"/>
            <w:shd w:val="clear" w:color="auto" w:fill="auto"/>
            <w:vAlign w:val="bottom"/>
          </w:tcPr>
          <w:p w14:paraId="392CB394" w14:textId="77777777" w:rsidR="00980E5F" w:rsidRDefault="00980E5F">
            <w:pPr>
              <w:rPr>
                <w:rFonts w:ascii="宋体"/>
                <w:vanish/>
              </w:rPr>
            </w:pPr>
          </w:p>
        </w:tc>
        <w:tc>
          <w:tcPr>
            <w:tcW w:w="0" w:type="auto"/>
            <w:gridSpan w:val="3"/>
            <w:shd w:val="clear" w:color="auto" w:fill="auto"/>
            <w:vAlign w:val="bottom"/>
          </w:tcPr>
          <w:p w14:paraId="392CB395" w14:textId="77777777" w:rsidR="00980E5F" w:rsidRDefault="00980E5F">
            <w:pPr>
              <w:rPr>
                <w:rFonts w:ascii="宋体"/>
                <w:vanish/>
              </w:rPr>
            </w:pPr>
          </w:p>
        </w:tc>
        <w:tc>
          <w:tcPr>
            <w:tcW w:w="0" w:type="auto"/>
            <w:gridSpan w:val="3"/>
            <w:shd w:val="clear" w:color="auto" w:fill="auto"/>
            <w:vAlign w:val="bottom"/>
          </w:tcPr>
          <w:p w14:paraId="392CB396" w14:textId="77777777" w:rsidR="00980E5F" w:rsidRDefault="00980E5F">
            <w:pPr>
              <w:rPr>
                <w:rFonts w:ascii="宋体"/>
                <w:vanish/>
              </w:rPr>
            </w:pPr>
          </w:p>
        </w:tc>
        <w:tc>
          <w:tcPr>
            <w:tcW w:w="0" w:type="auto"/>
            <w:gridSpan w:val="3"/>
            <w:shd w:val="clear" w:color="auto" w:fill="auto"/>
            <w:vAlign w:val="bottom"/>
          </w:tcPr>
          <w:p w14:paraId="392CB397" w14:textId="77777777" w:rsidR="00980E5F" w:rsidRDefault="00980E5F">
            <w:pPr>
              <w:rPr>
                <w:rFonts w:ascii="宋体"/>
                <w:vanish/>
              </w:rPr>
            </w:pPr>
          </w:p>
        </w:tc>
        <w:tc>
          <w:tcPr>
            <w:tcW w:w="0" w:type="auto"/>
            <w:gridSpan w:val="3"/>
            <w:shd w:val="clear" w:color="auto" w:fill="auto"/>
            <w:vAlign w:val="bottom"/>
          </w:tcPr>
          <w:p w14:paraId="392CB398" w14:textId="77777777" w:rsidR="00980E5F" w:rsidRDefault="00980E5F">
            <w:pPr>
              <w:rPr>
                <w:rFonts w:ascii="宋体"/>
                <w:vanish/>
              </w:rPr>
            </w:pPr>
          </w:p>
        </w:tc>
        <w:tc>
          <w:tcPr>
            <w:tcW w:w="0" w:type="auto"/>
            <w:gridSpan w:val="3"/>
            <w:shd w:val="clear" w:color="auto" w:fill="auto"/>
            <w:vAlign w:val="bottom"/>
          </w:tcPr>
          <w:p w14:paraId="392CB399" w14:textId="77777777" w:rsidR="00980E5F" w:rsidRDefault="00980E5F">
            <w:pPr>
              <w:rPr>
                <w:rFonts w:ascii="宋体"/>
                <w:vanish/>
              </w:rPr>
            </w:pPr>
          </w:p>
        </w:tc>
        <w:tc>
          <w:tcPr>
            <w:tcW w:w="0" w:type="auto"/>
            <w:gridSpan w:val="3"/>
            <w:shd w:val="clear" w:color="auto" w:fill="auto"/>
            <w:vAlign w:val="bottom"/>
          </w:tcPr>
          <w:p w14:paraId="392CB39A" w14:textId="77777777" w:rsidR="00980E5F" w:rsidRDefault="00980E5F">
            <w:pPr>
              <w:rPr>
                <w:rFonts w:ascii="宋体"/>
                <w:vanish/>
              </w:rPr>
            </w:pPr>
          </w:p>
        </w:tc>
        <w:tc>
          <w:tcPr>
            <w:tcW w:w="0" w:type="auto"/>
            <w:gridSpan w:val="3"/>
            <w:shd w:val="clear" w:color="auto" w:fill="auto"/>
            <w:vAlign w:val="bottom"/>
          </w:tcPr>
          <w:p w14:paraId="392CB39B" w14:textId="77777777" w:rsidR="00980E5F" w:rsidRDefault="00980E5F">
            <w:pPr>
              <w:rPr>
                <w:rFonts w:ascii="宋体"/>
                <w:vanish/>
              </w:rPr>
            </w:pPr>
          </w:p>
        </w:tc>
        <w:tc>
          <w:tcPr>
            <w:tcW w:w="0" w:type="auto"/>
            <w:gridSpan w:val="3"/>
            <w:shd w:val="clear" w:color="auto" w:fill="auto"/>
            <w:vAlign w:val="bottom"/>
          </w:tcPr>
          <w:p w14:paraId="392CB39C" w14:textId="77777777" w:rsidR="00980E5F" w:rsidRDefault="00980E5F">
            <w:pPr>
              <w:rPr>
                <w:rFonts w:ascii="宋体"/>
                <w:vanish/>
              </w:rPr>
            </w:pPr>
          </w:p>
        </w:tc>
        <w:tc>
          <w:tcPr>
            <w:tcW w:w="0" w:type="auto"/>
            <w:gridSpan w:val="3"/>
            <w:shd w:val="clear" w:color="auto" w:fill="auto"/>
            <w:vAlign w:val="bottom"/>
          </w:tcPr>
          <w:p w14:paraId="392CB39D" w14:textId="77777777" w:rsidR="00980E5F" w:rsidRDefault="00980E5F">
            <w:pPr>
              <w:rPr>
                <w:rFonts w:ascii="宋体"/>
                <w:vanish/>
              </w:rPr>
            </w:pPr>
          </w:p>
        </w:tc>
        <w:tc>
          <w:tcPr>
            <w:tcW w:w="0" w:type="auto"/>
            <w:gridSpan w:val="3"/>
            <w:shd w:val="clear" w:color="auto" w:fill="auto"/>
            <w:vAlign w:val="bottom"/>
          </w:tcPr>
          <w:p w14:paraId="392CB39E" w14:textId="77777777" w:rsidR="00980E5F" w:rsidRDefault="00980E5F">
            <w:pPr>
              <w:rPr>
                <w:rFonts w:ascii="宋体"/>
                <w:vanish/>
              </w:rPr>
            </w:pPr>
          </w:p>
        </w:tc>
        <w:tc>
          <w:tcPr>
            <w:tcW w:w="0" w:type="auto"/>
            <w:gridSpan w:val="3"/>
            <w:shd w:val="clear" w:color="auto" w:fill="auto"/>
            <w:vAlign w:val="bottom"/>
          </w:tcPr>
          <w:p w14:paraId="392CB39F" w14:textId="77777777" w:rsidR="00980E5F" w:rsidRDefault="00980E5F">
            <w:pPr>
              <w:rPr>
                <w:rFonts w:ascii="宋体"/>
                <w:vanish/>
              </w:rPr>
            </w:pPr>
          </w:p>
        </w:tc>
        <w:tc>
          <w:tcPr>
            <w:tcW w:w="0" w:type="auto"/>
            <w:gridSpan w:val="3"/>
            <w:shd w:val="clear" w:color="auto" w:fill="auto"/>
            <w:vAlign w:val="bottom"/>
          </w:tcPr>
          <w:p w14:paraId="392CB3A0" w14:textId="77777777" w:rsidR="00980E5F" w:rsidRDefault="00980E5F">
            <w:pPr>
              <w:rPr>
                <w:rFonts w:ascii="宋体"/>
                <w:vanish/>
              </w:rPr>
            </w:pPr>
          </w:p>
        </w:tc>
        <w:tc>
          <w:tcPr>
            <w:tcW w:w="0" w:type="auto"/>
            <w:gridSpan w:val="3"/>
            <w:shd w:val="clear" w:color="auto" w:fill="auto"/>
            <w:vAlign w:val="bottom"/>
          </w:tcPr>
          <w:p w14:paraId="392CB3A1" w14:textId="77777777" w:rsidR="00980E5F" w:rsidRDefault="00980E5F">
            <w:pPr>
              <w:rPr>
                <w:rFonts w:ascii="宋体"/>
                <w:vanish/>
              </w:rPr>
            </w:pPr>
          </w:p>
        </w:tc>
      </w:tr>
      <w:tr w:rsidR="00980E5F" w14:paraId="392CB3B7" w14:textId="77777777">
        <w:trPr>
          <w:hidden/>
        </w:trPr>
        <w:tc>
          <w:tcPr>
            <w:tcW w:w="0" w:type="auto"/>
            <w:gridSpan w:val="3"/>
            <w:shd w:val="clear" w:color="auto" w:fill="auto"/>
            <w:vAlign w:val="bottom"/>
          </w:tcPr>
          <w:p w14:paraId="392CB3A3" w14:textId="77777777" w:rsidR="00980E5F" w:rsidRDefault="00980E5F">
            <w:pPr>
              <w:rPr>
                <w:rFonts w:ascii="宋体"/>
                <w:vanish/>
              </w:rPr>
            </w:pPr>
          </w:p>
        </w:tc>
        <w:tc>
          <w:tcPr>
            <w:tcW w:w="0" w:type="auto"/>
            <w:gridSpan w:val="3"/>
            <w:shd w:val="clear" w:color="auto" w:fill="auto"/>
            <w:vAlign w:val="bottom"/>
          </w:tcPr>
          <w:p w14:paraId="392CB3A4" w14:textId="77777777" w:rsidR="00980E5F" w:rsidRDefault="00980E5F">
            <w:pPr>
              <w:rPr>
                <w:rFonts w:ascii="宋体"/>
                <w:vanish/>
              </w:rPr>
            </w:pPr>
          </w:p>
        </w:tc>
        <w:tc>
          <w:tcPr>
            <w:tcW w:w="0" w:type="auto"/>
            <w:gridSpan w:val="3"/>
            <w:shd w:val="clear" w:color="auto" w:fill="auto"/>
            <w:vAlign w:val="bottom"/>
          </w:tcPr>
          <w:p w14:paraId="392CB3A5" w14:textId="77777777" w:rsidR="00980E5F" w:rsidRDefault="00980E5F">
            <w:pPr>
              <w:rPr>
                <w:rFonts w:ascii="宋体"/>
                <w:vanish/>
              </w:rPr>
            </w:pPr>
          </w:p>
        </w:tc>
        <w:tc>
          <w:tcPr>
            <w:tcW w:w="0" w:type="auto"/>
            <w:gridSpan w:val="3"/>
            <w:shd w:val="clear" w:color="auto" w:fill="auto"/>
            <w:vAlign w:val="bottom"/>
          </w:tcPr>
          <w:p w14:paraId="392CB3A6" w14:textId="77777777" w:rsidR="00980E5F" w:rsidRDefault="00980E5F">
            <w:pPr>
              <w:rPr>
                <w:rFonts w:ascii="宋体"/>
                <w:vanish/>
              </w:rPr>
            </w:pPr>
          </w:p>
        </w:tc>
        <w:tc>
          <w:tcPr>
            <w:tcW w:w="0" w:type="auto"/>
            <w:gridSpan w:val="3"/>
            <w:shd w:val="clear" w:color="auto" w:fill="auto"/>
            <w:vAlign w:val="bottom"/>
          </w:tcPr>
          <w:p w14:paraId="392CB3A7" w14:textId="77777777" w:rsidR="00980E5F" w:rsidRDefault="00980E5F">
            <w:pPr>
              <w:rPr>
                <w:rFonts w:ascii="宋体"/>
                <w:vanish/>
              </w:rPr>
            </w:pPr>
          </w:p>
        </w:tc>
        <w:tc>
          <w:tcPr>
            <w:tcW w:w="0" w:type="auto"/>
            <w:gridSpan w:val="3"/>
            <w:shd w:val="clear" w:color="auto" w:fill="auto"/>
            <w:vAlign w:val="bottom"/>
          </w:tcPr>
          <w:p w14:paraId="392CB3A8" w14:textId="77777777" w:rsidR="00980E5F" w:rsidRDefault="00980E5F">
            <w:pPr>
              <w:rPr>
                <w:rFonts w:ascii="宋体"/>
                <w:vanish/>
              </w:rPr>
            </w:pPr>
          </w:p>
        </w:tc>
        <w:tc>
          <w:tcPr>
            <w:tcW w:w="0" w:type="auto"/>
            <w:gridSpan w:val="3"/>
            <w:shd w:val="clear" w:color="auto" w:fill="auto"/>
            <w:vAlign w:val="bottom"/>
          </w:tcPr>
          <w:p w14:paraId="392CB3A9" w14:textId="77777777" w:rsidR="00980E5F" w:rsidRDefault="00980E5F">
            <w:pPr>
              <w:rPr>
                <w:rFonts w:ascii="宋体"/>
                <w:vanish/>
              </w:rPr>
            </w:pPr>
          </w:p>
        </w:tc>
        <w:tc>
          <w:tcPr>
            <w:tcW w:w="0" w:type="auto"/>
            <w:gridSpan w:val="3"/>
            <w:shd w:val="clear" w:color="auto" w:fill="auto"/>
            <w:vAlign w:val="bottom"/>
          </w:tcPr>
          <w:p w14:paraId="392CB3AA" w14:textId="77777777" w:rsidR="00980E5F" w:rsidRDefault="00980E5F">
            <w:pPr>
              <w:rPr>
                <w:rFonts w:ascii="宋体"/>
                <w:vanish/>
              </w:rPr>
            </w:pPr>
          </w:p>
        </w:tc>
        <w:tc>
          <w:tcPr>
            <w:tcW w:w="0" w:type="auto"/>
            <w:gridSpan w:val="3"/>
            <w:shd w:val="clear" w:color="auto" w:fill="auto"/>
            <w:vAlign w:val="bottom"/>
          </w:tcPr>
          <w:p w14:paraId="392CB3AB" w14:textId="77777777" w:rsidR="00980E5F" w:rsidRDefault="00980E5F">
            <w:pPr>
              <w:rPr>
                <w:rFonts w:ascii="宋体"/>
                <w:vanish/>
              </w:rPr>
            </w:pPr>
          </w:p>
        </w:tc>
        <w:tc>
          <w:tcPr>
            <w:tcW w:w="0" w:type="auto"/>
            <w:gridSpan w:val="3"/>
            <w:shd w:val="clear" w:color="auto" w:fill="auto"/>
            <w:vAlign w:val="bottom"/>
          </w:tcPr>
          <w:p w14:paraId="392CB3AC" w14:textId="77777777" w:rsidR="00980E5F" w:rsidRDefault="00980E5F">
            <w:pPr>
              <w:rPr>
                <w:rFonts w:ascii="宋体"/>
                <w:vanish/>
              </w:rPr>
            </w:pPr>
          </w:p>
        </w:tc>
        <w:tc>
          <w:tcPr>
            <w:tcW w:w="0" w:type="auto"/>
            <w:gridSpan w:val="3"/>
            <w:shd w:val="clear" w:color="auto" w:fill="auto"/>
            <w:vAlign w:val="bottom"/>
          </w:tcPr>
          <w:p w14:paraId="392CB3AD" w14:textId="77777777" w:rsidR="00980E5F" w:rsidRDefault="00980E5F">
            <w:pPr>
              <w:rPr>
                <w:rFonts w:ascii="宋体"/>
                <w:vanish/>
              </w:rPr>
            </w:pPr>
          </w:p>
        </w:tc>
        <w:tc>
          <w:tcPr>
            <w:tcW w:w="0" w:type="auto"/>
            <w:gridSpan w:val="3"/>
            <w:shd w:val="clear" w:color="auto" w:fill="auto"/>
            <w:vAlign w:val="bottom"/>
          </w:tcPr>
          <w:p w14:paraId="392CB3AE" w14:textId="77777777" w:rsidR="00980E5F" w:rsidRDefault="00980E5F">
            <w:pPr>
              <w:rPr>
                <w:rFonts w:ascii="宋体"/>
                <w:vanish/>
              </w:rPr>
            </w:pPr>
          </w:p>
        </w:tc>
        <w:tc>
          <w:tcPr>
            <w:tcW w:w="0" w:type="auto"/>
            <w:gridSpan w:val="3"/>
            <w:shd w:val="clear" w:color="auto" w:fill="auto"/>
            <w:vAlign w:val="bottom"/>
          </w:tcPr>
          <w:p w14:paraId="392CB3AF" w14:textId="77777777" w:rsidR="00980E5F" w:rsidRDefault="00980E5F">
            <w:pPr>
              <w:rPr>
                <w:rFonts w:ascii="宋体"/>
                <w:vanish/>
              </w:rPr>
            </w:pPr>
          </w:p>
        </w:tc>
        <w:tc>
          <w:tcPr>
            <w:tcW w:w="0" w:type="auto"/>
            <w:gridSpan w:val="3"/>
            <w:shd w:val="clear" w:color="auto" w:fill="auto"/>
            <w:vAlign w:val="bottom"/>
          </w:tcPr>
          <w:p w14:paraId="392CB3B0" w14:textId="77777777" w:rsidR="00980E5F" w:rsidRDefault="00980E5F">
            <w:pPr>
              <w:rPr>
                <w:rFonts w:ascii="宋体"/>
                <w:vanish/>
              </w:rPr>
            </w:pPr>
          </w:p>
        </w:tc>
        <w:tc>
          <w:tcPr>
            <w:tcW w:w="0" w:type="auto"/>
            <w:gridSpan w:val="3"/>
            <w:shd w:val="clear" w:color="auto" w:fill="auto"/>
            <w:vAlign w:val="bottom"/>
          </w:tcPr>
          <w:p w14:paraId="392CB3B1" w14:textId="77777777" w:rsidR="00980E5F" w:rsidRDefault="00980E5F">
            <w:pPr>
              <w:rPr>
                <w:rFonts w:ascii="宋体"/>
                <w:vanish/>
              </w:rPr>
            </w:pPr>
          </w:p>
        </w:tc>
        <w:tc>
          <w:tcPr>
            <w:tcW w:w="0" w:type="auto"/>
            <w:gridSpan w:val="3"/>
            <w:shd w:val="clear" w:color="auto" w:fill="auto"/>
            <w:vAlign w:val="bottom"/>
          </w:tcPr>
          <w:p w14:paraId="392CB3B2" w14:textId="77777777" w:rsidR="00980E5F" w:rsidRDefault="00980E5F">
            <w:pPr>
              <w:rPr>
                <w:rFonts w:ascii="宋体"/>
                <w:vanish/>
              </w:rPr>
            </w:pPr>
          </w:p>
        </w:tc>
        <w:tc>
          <w:tcPr>
            <w:tcW w:w="0" w:type="auto"/>
            <w:gridSpan w:val="3"/>
            <w:shd w:val="clear" w:color="auto" w:fill="auto"/>
            <w:vAlign w:val="bottom"/>
          </w:tcPr>
          <w:p w14:paraId="392CB3B3" w14:textId="77777777" w:rsidR="00980E5F" w:rsidRDefault="00980E5F">
            <w:pPr>
              <w:rPr>
                <w:rFonts w:ascii="宋体"/>
                <w:vanish/>
              </w:rPr>
            </w:pPr>
          </w:p>
        </w:tc>
        <w:tc>
          <w:tcPr>
            <w:tcW w:w="0" w:type="auto"/>
            <w:gridSpan w:val="3"/>
            <w:shd w:val="clear" w:color="auto" w:fill="auto"/>
            <w:vAlign w:val="bottom"/>
          </w:tcPr>
          <w:p w14:paraId="392CB3B4" w14:textId="77777777" w:rsidR="00980E5F" w:rsidRDefault="00980E5F">
            <w:pPr>
              <w:rPr>
                <w:rFonts w:ascii="宋体"/>
                <w:vanish/>
              </w:rPr>
            </w:pPr>
          </w:p>
        </w:tc>
        <w:tc>
          <w:tcPr>
            <w:tcW w:w="0" w:type="auto"/>
            <w:gridSpan w:val="3"/>
            <w:shd w:val="clear" w:color="auto" w:fill="auto"/>
            <w:vAlign w:val="bottom"/>
          </w:tcPr>
          <w:p w14:paraId="392CB3B5" w14:textId="77777777" w:rsidR="00980E5F" w:rsidRDefault="00980E5F">
            <w:pPr>
              <w:rPr>
                <w:rFonts w:ascii="宋体"/>
                <w:vanish/>
              </w:rPr>
            </w:pPr>
          </w:p>
        </w:tc>
        <w:tc>
          <w:tcPr>
            <w:tcW w:w="0" w:type="auto"/>
            <w:gridSpan w:val="3"/>
            <w:shd w:val="clear" w:color="auto" w:fill="auto"/>
            <w:vAlign w:val="bottom"/>
          </w:tcPr>
          <w:p w14:paraId="392CB3B6" w14:textId="77777777" w:rsidR="00980E5F" w:rsidRDefault="00980E5F">
            <w:pPr>
              <w:rPr>
                <w:rFonts w:ascii="宋体"/>
                <w:vanish/>
              </w:rPr>
            </w:pPr>
          </w:p>
        </w:tc>
      </w:tr>
      <w:tr w:rsidR="00980E5F" w14:paraId="392CB3CC" w14:textId="77777777">
        <w:trPr>
          <w:hidden/>
        </w:trPr>
        <w:tc>
          <w:tcPr>
            <w:tcW w:w="0" w:type="auto"/>
            <w:gridSpan w:val="3"/>
            <w:shd w:val="clear" w:color="auto" w:fill="auto"/>
            <w:vAlign w:val="bottom"/>
          </w:tcPr>
          <w:p w14:paraId="392CB3B8" w14:textId="77777777" w:rsidR="00980E5F" w:rsidRDefault="00980E5F">
            <w:pPr>
              <w:rPr>
                <w:rFonts w:ascii="宋体"/>
                <w:vanish/>
              </w:rPr>
            </w:pPr>
          </w:p>
        </w:tc>
        <w:tc>
          <w:tcPr>
            <w:tcW w:w="0" w:type="auto"/>
            <w:gridSpan w:val="3"/>
            <w:shd w:val="clear" w:color="auto" w:fill="auto"/>
            <w:vAlign w:val="bottom"/>
          </w:tcPr>
          <w:p w14:paraId="392CB3B9" w14:textId="77777777" w:rsidR="00980E5F" w:rsidRDefault="00980E5F">
            <w:pPr>
              <w:rPr>
                <w:rFonts w:ascii="宋体"/>
                <w:vanish/>
              </w:rPr>
            </w:pPr>
          </w:p>
        </w:tc>
        <w:tc>
          <w:tcPr>
            <w:tcW w:w="0" w:type="auto"/>
            <w:gridSpan w:val="3"/>
            <w:shd w:val="clear" w:color="auto" w:fill="auto"/>
            <w:vAlign w:val="bottom"/>
          </w:tcPr>
          <w:p w14:paraId="392CB3BA" w14:textId="77777777" w:rsidR="00980E5F" w:rsidRDefault="00980E5F">
            <w:pPr>
              <w:rPr>
                <w:rFonts w:ascii="宋体"/>
                <w:vanish/>
              </w:rPr>
            </w:pPr>
          </w:p>
        </w:tc>
        <w:tc>
          <w:tcPr>
            <w:tcW w:w="0" w:type="auto"/>
            <w:gridSpan w:val="3"/>
            <w:shd w:val="clear" w:color="auto" w:fill="auto"/>
            <w:vAlign w:val="bottom"/>
          </w:tcPr>
          <w:p w14:paraId="392CB3BB" w14:textId="77777777" w:rsidR="00980E5F" w:rsidRDefault="00980E5F">
            <w:pPr>
              <w:rPr>
                <w:rFonts w:ascii="宋体"/>
                <w:vanish/>
              </w:rPr>
            </w:pPr>
          </w:p>
        </w:tc>
        <w:tc>
          <w:tcPr>
            <w:tcW w:w="0" w:type="auto"/>
            <w:gridSpan w:val="3"/>
            <w:shd w:val="clear" w:color="auto" w:fill="auto"/>
            <w:vAlign w:val="bottom"/>
          </w:tcPr>
          <w:p w14:paraId="392CB3BC" w14:textId="77777777" w:rsidR="00980E5F" w:rsidRDefault="00980E5F">
            <w:pPr>
              <w:rPr>
                <w:rFonts w:ascii="宋体"/>
                <w:vanish/>
              </w:rPr>
            </w:pPr>
          </w:p>
        </w:tc>
        <w:tc>
          <w:tcPr>
            <w:tcW w:w="0" w:type="auto"/>
            <w:gridSpan w:val="3"/>
            <w:shd w:val="clear" w:color="auto" w:fill="auto"/>
            <w:vAlign w:val="bottom"/>
          </w:tcPr>
          <w:p w14:paraId="392CB3BD" w14:textId="77777777" w:rsidR="00980E5F" w:rsidRDefault="00980E5F">
            <w:pPr>
              <w:rPr>
                <w:rFonts w:ascii="宋体"/>
                <w:vanish/>
              </w:rPr>
            </w:pPr>
          </w:p>
        </w:tc>
        <w:tc>
          <w:tcPr>
            <w:tcW w:w="0" w:type="auto"/>
            <w:gridSpan w:val="3"/>
            <w:shd w:val="clear" w:color="auto" w:fill="auto"/>
            <w:vAlign w:val="bottom"/>
          </w:tcPr>
          <w:p w14:paraId="392CB3BE" w14:textId="77777777" w:rsidR="00980E5F" w:rsidRDefault="00980E5F">
            <w:pPr>
              <w:rPr>
                <w:rFonts w:ascii="宋体"/>
                <w:vanish/>
              </w:rPr>
            </w:pPr>
          </w:p>
        </w:tc>
        <w:tc>
          <w:tcPr>
            <w:tcW w:w="0" w:type="auto"/>
            <w:gridSpan w:val="3"/>
            <w:shd w:val="clear" w:color="auto" w:fill="auto"/>
            <w:vAlign w:val="bottom"/>
          </w:tcPr>
          <w:p w14:paraId="392CB3BF" w14:textId="77777777" w:rsidR="00980E5F" w:rsidRDefault="00980E5F">
            <w:pPr>
              <w:rPr>
                <w:rFonts w:ascii="宋体"/>
                <w:vanish/>
              </w:rPr>
            </w:pPr>
          </w:p>
        </w:tc>
        <w:tc>
          <w:tcPr>
            <w:tcW w:w="0" w:type="auto"/>
            <w:gridSpan w:val="3"/>
            <w:shd w:val="clear" w:color="auto" w:fill="auto"/>
            <w:vAlign w:val="bottom"/>
          </w:tcPr>
          <w:p w14:paraId="392CB3C0" w14:textId="77777777" w:rsidR="00980E5F" w:rsidRDefault="00980E5F">
            <w:pPr>
              <w:rPr>
                <w:rFonts w:ascii="宋体"/>
                <w:vanish/>
              </w:rPr>
            </w:pPr>
          </w:p>
        </w:tc>
        <w:tc>
          <w:tcPr>
            <w:tcW w:w="0" w:type="auto"/>
            <w:gridSpan w:val="3"/>
            <w:shd w:val="clear" w:color="auto" w:fill="auto"/>
            <w:vAlign w:val="bottom"/>
          </w:tcPr>
          <w:p w14:paraId="392CB3C1" w14:textId="77777777" w:rsidR="00980E5F" w:rsidRDefault="00980E5F">
            <w:pPr>
              <w:rPr>
                <w:rFonts w:ascii="宋体"/>
                <w:vanish/>
              </w:rPr>
            </w:pPr>
          </w:p>
        </w:tc>
        <w:tc>
          <w:tcPr>
            <w:tcW w:w="0" w:type="auto"/>
            <w:gridSpan w:val="3"/>
            <w:shd w:val="clear" w:color="auto" w:fill="auto"/>
            <w:vAlign w:val="bottom"/>
          </w:tcPr>
          <w:p w14:paraId="392CB3C2" w14:textId="77777777" w:rsidR="00980E5F" w:rsidRDefault="00980E5F">
            <w:pPr>
              <w:rPr>
                <w:rFonts w:ascii="宋体"/>
                <w:vanish/>
              </w:rPr>
            </w:pPr>
          </w:p>
        </w:tc>
        <w:tc>
          <w:tcPr>
            <w:tcW w:w="0" w:type="auto"/>
            <w:gridSpan w:val="3"/>
            <w:shd w:val="clear" w:color="auto" w:fill="auto"/>
            <w:vAlign w:val="bottom"/>
          </w:tcPr>
          <w:p w14:paraId="392CB3C3" w14:textId="77777777" w:rsidR="00980E5F" w:rsidRDefault="00980E5F">
            <w:pPr>
              <w:rPr>
                <w:rFonts w:ascii="宋体"/>
                <w:vanish/>
              </w:rPr>
            </w:pPr>
          </w:p>
        </w:tc>
        <w:tc>
          <w:tcPr>
            <w:tcW w:w="0" w:type="auto"/>
            <w:gridSpan w:val="3"/>
            <w:shd w:val="clear" w:color="auto" w:fill="auto"/>
            <w:vAlign w:val="bottom"/>
          </w:tcPr>
          <w:p w14:paraId="392CB3C4" w14:textId="77777777" w:rsidR="00980E5F" w:rsidRDefault="00980E5F">
            <w:pPr>
              <w:rPr>
                <w:rFonts w:ascii="宋体"/>
                <w:vanish/>
              </w:rPr>
            </w:pPr>
          </w:p>
        </w:tc>
        <w:tc>
          <w:tcPr>
            <w:tcW w:w="0" w:type="auto"/>
            <w:gridSpan w:val="3"/>
            <w:shd w:val="clear" w:color="auto" w:fill="auto"/>
            <w:vAlign w:val="bottom"/>
          </w:tcPr>
          <w:p w14:paraId="392CB3C5" w14:textId="77777777" w:rsidR="00980E5F" w:rsidRDefault="00980E5F">
            <w:pPr>
              <w:rPr>
                <w:rFonts w:ascii="宋体"/>
                <w:vanish/>
              </w:rPr>
            </w:pPr>
          </w:p>
        </w:tc>
        <w:tc>
          <w:tcPr>
            <w:tcW w:w="0" w:type="auto"/>
            <w:gridSpan w:val="3"/>
            <w:shd w:val="clear" w:color="auto" w:fill="auto"/>
            <w:vAlign w:val="bottom"/>
          </w:tcPr>
          <w:p w14:paraId="392CB3C6" w14:textId="77777777" w:rsidR="00980E5F" w:rsidRDefault="00980E5F">
            <w:pPr>
              <w:rPr>
                <w:rFonts w:ascii="宋体"/>
                <w:vanish/>
              </w:rPr>
            </w:pPr>
          </w:p>
        </w:tc>
        <w:tc>
          <w:tcPr>
            <w:tcW w:w="0" w:type="auto"/>
            <w:gridSpan w:val="3"/>
            <w:shd w:val="clear" w:color="auto" w:fill="auto"/>
            <w:vAlign w:val="bottom"/>
          </w:tcPr>
          <w:p w14:paraId="392CB3C7" w14:textId="77777777" w:rsidR="00980E5F" w:rsidRDefault="00980E5F">
            <w:pPr>
              <w:rPr>
                <w:rFonts w:ascii="宋体"/>
                <w:vanish/>
              </w:rPr>
            </w:pPr>
          </w:p>
        </w:tc>
        <w:tc>
          <w:tcPr>
            <w:tcW w:w="0" w:type="auto"/>
            <w:gridSpan w:val="3"/>
            <w:shd w:val="clear" w:color="auto" w:fill="auto"/>
            <w:vAlign w:val="bottom"/>
          </w:tcPr>
          <w:p w14:paraId="392CB3C8" w14:textId="77777777" w:rsidR="00980E5F" w:rsidRDefault="00980E5F">
            <w:pPr>
              <w:rPr>
                <w:rFonts w:ascii="宋体"/>
                <w:vanish/>
              </w:rPr>
            </w:pPr>
          </w:p>
        </w:tc>
        <w:tc>
          <w:tcPr>
            <w:tcW w:w="0" w:type="auto"/>
            <w:gridSpan w:val="3"/>
            <w:shd w:val="clear" w:color="auto" w:fill="auto"/>
            <w:vAlign w:val="bottom"/>
          </w:tcPr>
          <w:p w14:paraId="392CB3C9" w14:textId="77777777" w:rsidR="00980E5F" w:rsidRDefault="00980E5F">
            <w:pPr>
              <w:rPr>
                <w:rFonts w:ascii="宋体"/>
                <w:vanish/>
              </w:rPr>
            </w:pPr>
          </w:p>
        </w:tc>
        <w:tc>
          <w:tcPr>
            <w:tcW w:w="0" w:type="auto"/>
            <w:gridSpan w:val="3"/>
            <w:shd w:val="clear" w:color="auto" w:fill="auto"/>
            <w:vAlign w:val="bottom"/>
          </w:tcPr>
          <w:p w14:paraId="392CB3CA" w14:textId="77777777" w:rsidR="00980E5F" w:rsidRDefault="00980E5F">
            <w:pPr>
              <w:rPr>
                <w:rFonts w:ascii="宋体"/>
                <w:vanish/>
              </w:rPr>
            </w:pPr>
          </w:p>
        </w:tc>
        <w:tc>
          <w:tcPr>
            <w:tcW w:w="0" w:type="auto"/>
            <w:gridSpan w:val="3"/>
            <w:shd w:val="clear" w:color="auto" w:fill="auto"/>
            <w:vAlign w:val="bottom"/>
          </w:tcPr>
          <w:p w14:paraId="392CB3CB" w14:textId="77777777" w:rsidR="00980E5F" w:rsidRDefault="00980E5F">
            <w:pPr>
              <w:rPr>
                <w:rFonts w:ascii="宋体"/>
                <w:vanish/>
              </w:rPr>
            </w:pPr>
          </w:p>
        </w:tc>
      </w:tr>
      <w:tr w:rsidR="00980E5F" w14:paraId="392CB3E1" w14:textId="77777777">
        <w:trPr>
          <w:hidden/>
        </w:trPr>
        <w:tc>
          <w:tcPr>
            <w:tcW w:w="0" w:type="auto"/>
            <w:gridSpan w:val="3"/>
            <w:shd w:val="clear" w:color="auto" w:fill="auto"/>
            <w:vAlign w:val="bottom"/>
          </w:tcPr>
          <w:p w14:paraId="392CB3CD" w14:textId="77777777" w:rsidR="00980E5F" w:rsidRDefault="00980E5F">
            <w:pPr>
              <w:rPr>
                <w:rFonts w:ascii="宋体"/>
                <w:vanish/>
              </w:rPr>
            </w:pPr>
          </w:p>
        </w:tc>
        <w:tc>
          <w:tcPr>
            <w:tcW w:w="0" w:type="auto"/>
            <w:gridSpan w:val="3"/>
            <w:shd w:val="clear" w:color="auto" w:fill="auto"/>
            <w:vAlign w:val="bottom"/>
          </w:tcPr>
          <w:p w14:paraId="392CB3CE" w14:textId="77777777" w:rsidR="00980E5F" w:rsidRDefault="00980E5F">
            <w:pPr>
              <w:rPr>
                <w:rFonts w:ascii="宋体"/>
                <w:vanish/>
              </w:rPr>
            </w:pPr>
          </w:p>
        </w:tc>
        <w:tc>
          <w:tcPr>
            <w:tcW w:w="0" w:type="auto"/>
            <w:gridSpan w:val="3"/>
            <w:shd w:val="clear" w:color="auto" w:fill="auto"/>
            <w:vAlign w:val="bottom"/>
          </w:tcPr>
          <w:p w14:paraId="392CB3CF" w14:textId="77777777" w:rsidR="00980E5F" w:rsidRDefault="00980E5F">
            <w:pPr>
              <w:rPr>
                <w:rFonts w:ascii="宋体"/>
                <w:vanish/>
              </w:rPr>
            </w:pPr>
          </w:p>
        </w:tc>
        <w:tc>
          <w:tcPr>
            <w:tcW w:w="0" w:type="auto"/>
            <w:gridSpan w:val="3"/>
            <w:shd w:val="clear" w:color="auto" w:fill="auto"/>
            <w:vAlign w:val="bottom"/>
          </w:tcPr>
          <w:p w14:paraId="392CB3D0" w14:textId="77777777" w:rsidR="00980E5F" w:rsidRDefault="00980E5F">
            <w:pPr>
              <w:rPr>
                <w:rFonts w:ascii="宋体"/>
                <w:vanish/>
              </w:rPr>
            </w:pPr>
          </w:p>
        </w:tc>
        <w:tc>
          <w:tcPr>
            <w:tcW w:w="0" w:type="auto"/>
            <w:gridSpan w:val="3"/>
            <w:shd w:val="clear" w:color="auto" w:fill="auto"/>
            <w:vAlign w:val="bottom"/>
          </w:tcPr>
          <w:p w14:paraId="392CB3D1" w14:textId="77777777" w:rsidR="00980E5F" w:rsidRDefault="00980E5F">
            <w:pPr>
              <w:rPr>
                <w:rFonts w:ascii="宋体"/>
                <w:vanish/>
              </w:rPr>
            </w:pPr>
          </w:p>
        </w:tc>
        <w:tc>
          <w:tcPr>
            <w:tcW w:w="0" w:type="auto"/>
            <w:gridSpan w:val="3"/>
            <w:shd w:val="clear" w:color="auto" w:fill="auto"/>
            <w:vAlign w:val="bottom"/>
          </w:tcPr>
          <w:p w14:paraId="392CB3D2" w14:textId="77777777" w:rsidR="00980E5F" w:rsidRDefault="00980E5F">
            <w:pPr>
              <w:rPr>
                <w:rFonts w:ascii="宋体"/>
                <w:vanish/>
              </w:rPr>
            </w:pPr>
          </w:p>
        </w:tc>
        <w:tc>
          <w:tcPr>
            <w:tcW w:w="0" w:type="auto"/>
            <w:gridSpan w:val="3"/>
            <w:shd w:val="clear" w:color="auto" w:fill="auto"/>
            <w:vAlign w:val="bottom"/>
          </w:tcPr>
          <w:p w14:paraId="392CB3D3" w14:textId="77777777" w:rsidR="00980E5F" w:rsidRDefault="00980E5F">
            <w:pPr>
              <w:rPr>
                <w:rFonts w:ascii="宋体"/>
                <w:vanish/>
              </w:rPr>
            </w:pPr>
          </w:p>
        </w:tc>
        <w:tc>
          <w:tcPr>
            <w:tcW w:w="0" w:type="auto"/>
            <w:gridSpan w:val="3"/>
            <w:shd w:val="clear" w:color="auto" w:fill="auto"/>
            <w:vAlign w:val="bottom"/>
          </w:tcPr>
          <w:p w14:paraId="392CB3D4" w14:textId="77777777" w:rsidR="00980E5F" w:rsidRDefault="00980E5F">
            <w:pPr>
              <w:rPr>
                <w:rFonts w:ascii="宋体"/>
                <w:vanish/>
              </w:rPr>
            </w:pPr>
          </w:p>
        </w:tc>
        <w:tc>
          <w:tcPr>
            <w:tcW w:w="0" w:type="auto"/>
            <w:gridSpan w:val="3"/>
            <w:shd w:val="clear" w:color="auto" w:fill="auto"/>
            <w:vAlign w:val="bottom"/>
          </w:tcPr>
          <w:p w14:paraId="392CB3D5" w14:textId="77777777" w:rsidR="00980E5F" w:rsidRDefault="00980E5F">
            <w:pPr>
              <w:rPr>
                <w:rFonts w:ascii="宋体"/>
                <w:vanish/>
              </w:rPr>
            </w:pPr>
          </w:p>
        </w:tc>
        <w:tc>
          <w:tcPr>
            <w:tcW w:w="0" w:type="auto"/>
            <w:gridSpan w:val="3"/>
            <w:shd w:val="clear" w:color="auto" w:fill="auto"/>
            <w:vAlign w:val="bottom"/>
          </w:tcPr>
          <w:p w14:paraId="392CB3D6" w14:textId="77777777" w:rsidR="00980E5F" w:rsidRDefault="00980E5F">
            <w:pPr>
              <w:rPr>
                <w:rFonts w:ascii="宋体"/>
                <w:vanish/>
              </w:rPr>
            </w:pPr>
          </w:p>
        </w:tc>
        <w:tc>
          <w:tcPr>
            <w:tcW w:w="0" w:type="auto"/>
            <w:gridSpan w:val="3"/>
            <w:shd w:val="clear" w:color="auto" w:fill="auto"/>
            <w:vAlign w:val="bottom"/>
          </w:tcPr>
          <w:p w14:paraId="392CB3D7" w14:textId="77777777" w:rsidR="00980E5F" w:rsidRDefault="00980E5F">
            <w:pPr>
              <w:rPr>
                <w:rFonts w:ascii="宋体"/>
                <w:vanish/>
              </w:rPr>
            </w:pPr>
          </w:p>
        </w:tc>
        <w:tc>
          <w:tcPr>
            <w:tcW w:w="0" w:type="auto"/>
            <w:gridSpan w:val="3"/>
            <w:shd w:val="clear" w:color="auto" w:fill="auto"/>
            <w:vAlign w:val="bottom"/>
          </w:tcPr>
          <w:p w14:paraId="392CB3D8" w14:textId="77777777" w:rsidR="00980E5F" w:rsidRDefault="00980E5F">
            <w:pPr>
              <w:rPr>
                <w:rFonts w:ascii="宋体"/>
                <w:vanish/>
              </w:rPr>
            </w:pPr>
          </w:p>
        </w:tc>
        <w:tc>
          <w:tcPr>
            <w:tcW w:w="0" w:type="auto"/>
            <w:gridSpan w:val="3"/>
            <w:shd w:val="clear" w:color="auto" w:fill="auto"/>
            <w:vAlign w:val="bottom"/>
          </w:tcPr>
          <w:p w14:paraId="392CB3D9" w14:textId="77777777" w:rsidR="00980E5F" w:rsidRDefault="00980E5F">
            <w:pPr>
              <w:rPr>
                <w:rFonts w:ascii="宋体"/>
                <w:vanish/>
              </w:rPr>
            </w:pPr>
          </w:p>
        </w:tc>
        <w:tc>
          <w:tcPr>
            <w:tcW w:w="0" w:type="auto"/>
            <w:gridSpan w:val="3"/>
            <w:shd w:val="clear" w:color="auto" w:fill="auto"/>
            <w:vAlign w:val="bottom"/>
          </w:tcPr>
          <w:p w14:paraId="392CB3DA" w14:textId="77777777" w:rsidR="00980E5F" w:rsidRDefault="00980E5F">
            <w:pPr>
              <w:rPr>
                <w:rFonts w:ascii="宋体"/>
                <w:vanish/>
              </w:rPr>
            </w:pPr>
          </w:p>
        </w:tc>
        <w:tc>
          <w:tcPr>
            <w:tcW w:w="0" w:type="auto"/>
            <w:gridSpan w:val="3"/>
            <w:shd w:val="clear" w:color="auto" w:fill="auto"/>
            <w:vAlign w:val="bottom"/>
          </w:tcPr>
          <w:p w14:paraId="392CB3DB" w14:textId="77777777" w:rsidR="00980E5F" w:rsidRDefault="00980E5F">
            <w:pPr>
              <w:rPr>
                <w:rFonts w:ascii="宋体"/>
                <w:vanish/>
              </w:rPr>
            </w:pPr>
          </w:p>
        </w:tc>
        <w:tc>
          <w:tcPr>
            <w:tcW w:w="0" w:type="auto"/>
            <w:gridSpan w:val="3"/>
            <w:shd w:val="clear" w:color="auto" w:fill="auto"/>
            <w:vAlign w:val="bottom"/>
          </w:tcPr>
          <w:p w14:paraId="392CB3DC" w14:textId="77777777" w:rsidR="00980E5F" w:rsidRDefault="00980E5F">
            <w:pPr>
              <w:rPr>
                <w:rFonts w:ascii="宋体"/>
                <w:vanish/>
              </w:rPr>
            </w:pPr>
          </w:p>
        </w:tc>
        <w:tc>
          <w:tcPr>
            <w:tcW w:w="0" w:type="auto"/>
            <w:gridSpan w:val="3"/>
            <w:shd w:val="clear" w:color="auto" w:fill="auto"/>
            <w:vAlign w:val="bottom"/>
          </w:tcPr>
          <w:p w14:paraId="392CB3DD" w14:textId="77777777" w:rsidR="00980E5F" w:rsidRDefault="00980E5F">
            <w:pPr>
              <w:rPr>
                <w:rFonts w:ascii="宋体"/>
                <w:vanish/>
              </w:rPr>
            </w:pPr>
          </w:p>
        </w:tc>
        <w:tc>
          <w:tcPr>
            <w:tcW w:w="0" w:type="auto"/>
            <w:gridSpan w:val="3"/>
            <w:shd w:val="clear" w:color="auto" w:fill="auto"/>
            <w:vAlign w:val="bottom"/>
          </w:tcPr>
          <w:p w14:paraId="392CB3DE" w14:textId="77777777" w:rsidR="00980E5F" w:rsidRDefault="00980E5F">
            <w:pPr>
              <w:rPr>
                <w:rFonts w:ascii="宋体"/>
                <w:vanish/>
              </w:rPr>
            </w:pPr>
          </w:p>
        </w:tc>
        <w:tc>
          <w:tcPr>
            <w:tcW w:w="0" w:type="auto"/>
            <w:gridSpan w:val="3"/>
            <w:shd w:val="clear" w:color="auto" w:fill="auto"/>
            <w:vAlign w:val="bottom"/>
          </w:tcPr>
          <w:p w14:paraId="392CB3DF" w14:textId="77777777" w:rsidR="00980E5F" w:rsidRDefault="00980E5F">
            <w:pPr>
              <w:rPr>
                <w:rFonts w:ascii="宋体"/>
                <w:vanish/>
              </w:rPr>
            </w:pPr>
          </w:p>
        </w:tc>
        <w:tc>
          <w:tcPr>
            <w:tcW w:w="0" w:type="auto"/>
            <w:gridSpan w:val="3"/>
            <w:shd w:val="clear" w:color="auto" w:fill="auto"/>
            <w:vAlign w:val="bottom"/>
          </w:tcPr>
          <w:p w14:paraId="392CB3E0" w14:textId="77777777" w:rsidR="00980E5F" w:rsidRDefault="00980E5F">
            <w:pPr>
              <w:rPr>
                <w:rFonts w:ascii="宋体"/>
                <w:vanish/>
              </w:rPr>
            </w:pPr>
          </w:p>
        </w:tc>
      </w:tr>
      <w:tr w:rsidR="00980E5F" w14:paraId="392CB3F6" w14:textId="77777777">
        <w:trPr>
          <w:trHeight w:val="60"/>
        </w:trPr>
        <w:tc>
          <w:tcPr>
            <w:tcW w:w="0" w:type="auto"/>
            <w:gridSpan w:val="3"/>
            <w:shd w:val="clear" w:color="auto" w:fill="auto"/>
            <w:tcMar>
              <w:top w:w="0" w:type="dxa"/>
              <w:left w:w="20" w:type="dxa"/>
              <w:bottom w:w="0" w:type="dxa"/>
              <w:right w:w="20" w:type="dxa"/>
            </w:tcMar>
            <w:vAlign w:val="bottom"/>
          </w:tcPr>
          <w:p w14:paraId="392CB3E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3EE" w14:textId="77777777" w:rsidR="00980E5F" w:rsidRDefault="00980E5F">
            <w:pPr>
              <w:rPr>
                <w:rFonts w:ascii="宋体"/>
              </w:rPr>
            </w:pPr>
          </w:p>
        </w:tc>
        <w:tc>
          <w:tcPr>
            <w:tcW w:w="0" w:type="auto"/>
            <w:gridSpan w:val="3"/>
            <w:shd w:val="clear" w:color="auto" w:fill="auto"/>
            <w:vAlign w:val="bottom"/>
          </w:tcPr>
          <w:p w14:paraId="392CB3EF" w14:textId="77777777" w:rsidR="00980E5F" w:rsidRDefault="00980E5F">
            <w:pPr>
              <w:rPr>
                <w:rFonts w:ascii="宋体"/>
                <w:vanish/>
              </w:rPr>
            </w:pPr>
          </w:p>
        </w:tc>
        <w:tc>
          <w:tcPr>
            <w:tcW w:w="0" w:type="auto"/>
            <w:gridSpan w:val="3"/>
            <w:shd w:val="clear" w:color="auto" w:fill="auto"/>
            <w:vAlign w:val="bottom"/>
          </w:tcPr>
          <w:p w14:paraId="392CB3F0" w14:textId="77777777" w:rsidR="00980E5F" w:rsidRDefault="00980E5F">
            <w:pPr>
              <w:rPr>
                <w:rFonts w:ascii="宋体"/>
                <w:vanish/>
              </w:rPr>
            </w:pPr>
          </w:p>
        </w:tc>
        <w:tc>
          <w:tcPr>
            <w:tcW w:w="0" w:type="auto"/>
            <w:gridSpan w:val="3"/>
            <w:shd w:val="clear" w:color="auto" w:fill="auto"/>
            <w:vAlign w:val="bottom"/>
          </w:tcPr>
          <w:p w14:paraId="392CB3F1" w14:textId="77777777" w:rsidR="00980E5F" w:rsidRDefault="00980E5F">
            <w:pPr>
              <w:rPr>
                <w:rFonts w:ascii="宋体"/>
                <w:vanish/>
              </w:rPr>
            </w:pPr>
          </w:p>
        </w:tc>
        <w:tc>
          <w:tcPr>
            <w:tcW w:w="0" w:type="auto"/>
            <w:gridSpan w:val="3"/>
            <w:shd w:val="clear" w:color="auto" w:fill="auto"/>
            <w:vAlign w:val="bottom"/>
          </w:tcPr>
          <w:p w14:paraId="392CB3F2" w14:textId="77777777" w:rsidR="00980E5F" w:rsidRDefault="00980E5F">
            <w:pPr>
              <w:rPr>
                <w:rFonts w:ascii="宋体"/>
                <w:vanish/>
              </w:rPr>
            </w:pPr>
          </w:p>
        </w:tc>
        <w:tc>
          <w:tcPr>
            <w:tcW w:w="0" w:type="auto"/>
            <w:gridSpan w:val="3"/>
            <w:shd w:val="clear" w:color="auto" w:fill="auto"/>
            <w:vAlign w:val="bottom"/>
          </w:tcPr>
          <w:p w14:paraId="392CB3F3" w14:textId="77777777" w:rsidR="00980E5F" w:rsidRDefault="00980E5F">
            <w:pPr>
              <w:rPr>
                <w:rFonts w:ascii="宋体"/>
                <w:vanish/>
              </w:rPr>
            </w:pPr>
          </w:p>
        </w:tc>
        <w:tc>
          <w:tcPr>
            <w:tcW w:w="0" w:type="auto"/>
            <w:gridSpan w:val="3"/>
            <w:shd w:val="clear" w:color="auto" w:fill="auto"/>
            <w:vAlign w:val="bottom"/>
          </w:tcPr>
          <w:p w14:paraId="392CB3F4" w14:textId="77777777" w:rsidR="00980E5F" w:rsidRDefault="00980E5F">
            <w:pPr>
              <w:rPr>
                <w:rFonts w:ascii="宋体"/>
                <w:vanish/>
              </w:rPr>
            </w:pPr>
          </w:p>
        </w:tc>
        <w:tc>
          <w:tcPr>
            <w:tcW w:w="0" w:type="auto"/>
            <w:gridSpan w:val="3"/>
            <w:shd w:val="clear" w:color="auto" w:fill="auto"/>
            <w:tcMar>
              <w:top w:w="0" w:type="dxa"/>
              <w:left w:w="20" w:type="dxa"/>
              <w:bottom w:w="0" w:type="dxa"/>
              <w:right w:w="20" w:type="dxa"/>
            </w:tcMar>
            <w:vAlign w:val="bottom"/>
          </w:tcPr>
          <w:p w14:paraId="392CB3F5" w14:textId="77777777" w:rsidR="00980E5F" w:rsidRDefault="00980E5F">
            <w:pPr>
              <w:rPr>
                <w:rFonts w:ascii="宋体"/>
              </w:rPr>
            </w:pPr>
          </w:p>
        </w:tc>
      </w:tr>
    </w:tbl>
    <w:p w14:paraId="392CB3F7" w14:textId="77777777" w:rsidR="00980E5F" w:rsidRDefault="00483613">
      <w:pPr>
        <w:ind w:firstLine="450"/>
        <w:jc w:val="right"/>
      </w:pPr>
      <w:r>
        <w:rPr>
          <w:rFonts w:ascii="Arial" w:eastAsia="宋体" w:hAnsi="Arial" w:cs="Arial"/>
          <w:color w:val="000000"/>
          <w:sz w:val="18"/>
          <w:szCs w:val="18"/>
        </w:rPr>
        <w:t>State Street Corporation | 97</w:t>
      </w:r>
    </w:p>
    <w:p w14:paraId="392CB3F8" w14:textId="77777777" w:rsidR="00980E5F" w:rsidRDefault="00980E5F">
      <w:pPr>
        <w:ind w:firstLine="450"/>
        <w:jc w:val="center"/>
      </w:pPr>
    </w:p>
    <w:p w14:paraId="392CB3F9" w14:textId="77777777" w:rsidR="00980E5F" w:rsidRDefault="00483613">
      <w:r>
        <w:pict w14:anchorId="392CBB2F">
          <v:rect id="_x0000_i1121" style="width:415.3pt;height:1.5pt" o:hralign="center" o:hrstd="t" o:hr="t" fillcolor="#a0a0a0" stroked="f"/>
        </w:pict>
      </w:r>
    </w:p>
    <w:p w14:paraId="392CB3FA" w14:textId="77777777" w:rsidR="00980E5F" w:rsidRDefault="00483613">
      <w:pPr>
        <w:ind w:firstLine="450"/>
        <w:jc w:val="center"/>
      </w:pPr>
      <w:r>
        <w:rPr>
          <w:rFonts w:ascii="Arial" w:eastAsia="宋体" w:hAnsi="Arial" w:cs="Arial"/>
          <w:b/>
          <w:bCs/>
          <w:color w:val="000000"/>
          <w:sz w:val="20"/>
          <w:szCs w:val="20"/>
        </w:rPr>
        <w:t>STATE STREET CORPORATION</w:t>
      </w:r>
    </w:p>
    <w:p w14:paraId="392CB3FB" w14:textId="77777777" w:rsidR="00980E5F" w:rsidRDefault="00483613">
      <w:pPr>
        <w:ind w:firstLine="450"/>
        <w:jc w:val="center"/>
      </w:pPr>
      <w:r>
        <w:rPr>
          <w:rFonts w:ascii="Arial" w:eastAsia="宋体" w:hAnsi="Arial" w:cs="Arial"/>
          <w:b/>
          <w:bCs/>
          <w:color w:val="000000"/>
          <w:sz w:val="20"/>
          <w:szCs w:val="20"/>
        </w:rPr>
        <w:t>CONDENSED NOTES TO CONSOLIDATED FINANCIAL STATEMENTS</w:t>
      </w:r>
    </w:p>
    <w:p w14:paraId="392CB3FC" w14:textId="77777777" w:rsidR="00980E5F" w:rsidRDefault="00483613">
      <w:pPr>
        <w:ind w:firstLine="450"/>
        <w:jc w:val="center"/>
      </w:pPr>
      <w:r>
        <w:rPr>
          <w:rFonts w:ascii="Arial" w:eastAsia="宋体" w:hAnsi="Arial" w:cs="Arial"/>
          <w:b/>
          <w:bCs/>
          <w:color w:val="000000"/>
          <w:sz w:val="20"/>
          <w:szCs w:val="20"/>
        </w:rPr>
        <w:t>(UNAUDITED)</w:t>
      </w:r>
    </w:p>
    <w:p w14:paraId="392CB3FD" w14:textId="77777777" w:rsidR="00980E5F" w:rsidRDefault="00483613">
      <w:pPr>
        <w:spacing w:before="90"/>
        <w:jc w:val="both"/>
      </w:pPr>
      <w:r>
        <w:rPr>
          <w:rFonts w:ascii="Arial" w:eastAsia="宋体" w:hAnsi="Arial" w:cs="Arial"/>
          <w:b/>
          <w:bCs/>
          <w:color w:val="000000"/>
          <w:sz w:val="20"/>
          <w:szCs w:val="20"/>
        </w:rPr>
        <w:t>Contract balances and contract costs</w:t>
      </w:r>
    </w:p>
    <w:p w14:paraId="392CB3FE" w14:textId="77777777" w:rsidR="00980E5F" w:rsidRDefault="00483613">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June 30, 2022 and December 31, 2021, net receivables of </w:t>
      </w:r>
      <w:r>
        <w:rPr>
          <w:rFonts w:ascii="Arial" w:eastAsia="宋体" w:hAnsi="Arial" w:cs="Arial"/>
          <w:color w:val="000000"/>
          <w:sz w:val="20"/>
          <w:szCs w:val="20"/>
          <w:shd w:val="clear" w:color="auto" w:fill="FFFFFF"/>
        </w:rPr>
        <w:t>$2.89 billion</w:t>
      </w:r>
      <w:r>
        <w:rPr>
          <w:rFonts w:ascii="Arial" w:eastAsia="宋体" w:hAnsi="Arial" w:cs="Arial"/>
          <w:color w:val="000000"/>
          <w:sz w:val="20"/>
          <w:szCs w:val="20"/>
        </w:rPr>
        <w:t xml:space="preserve"> and $2.76 billion, respectively, are included in accrued interest and fees receivable, representing amounts billed or currently billable related to revenue from contracts with custo</w:t>
      </w:r>
      <w:r>
        <w:rPr>
          <w:rFonts w:ascii="Arial" w:eastAsia="宋体" w:hAnsi="Arial" w:cs="Arial"/>
          <w:color w:val="000000"/>
          <w:sz w:val="20"/>
          <w:szCs w:val="20"/>
        </w:rPr>
        <w:t>mers. As performance obligations are satisfied, we have an unconditional right to payment and billing is generally performed monthly or quarterly; therefore, we do not have significant contract assets or liabilities.</w:t>
      </w:r>
    </w:p>
    <w:p w14:paraId="392CB3FF" w14:textId="77777777" w:rsidR="00980E5F" w:rsidRDefault="00483613">
      <w:pPr>
        <w:spacing w:before="60"/>
        <w:ind w:firstLine="450"/>
        <w:jc w:val="both"/>
      </w:pPr>
      <w:r>
        <w:rPr>
          <w:rFonts w:ascii="Arial" w:eastAsia="宋体" w:hAnsi="Arial" w:cs="Arial"/>
          <w:color w:val="000000"/>
          <w:sz w:val="20"/>
          <w:szCs w:val="20"/>
        </w:rPr>
        <w:t>No adjustments are made to the promised</w:t>
      </w:r>
      <w:r>
        <w:rPr>
          <w:rFonts w:ascii="Arial" w:eastAsia="宋体" w:hAnsi="Arial" w:cs="Arial"/>
          <w:color w:val="000000"/>
          <w:sz w:val="20"/>
          <w:szCs w:val="20"/>
        </w:rPr>
        <w:t xml:space="preserve"> amount of consideration for the effects of a significant financing component as the period between when we transfer a promised service to a customer and when the customer pays for that service is expected to be one year or less.</w:t>
      </w:r>
    </w:p>
    <w:p w14:paraId="392CB400" w14:textId="77777777" w:rsidR="00980E5F" w:rsidRDefault="00483613">
      <w:pPr>
        <w:spacing w:before="180"/>
      </w:pPr>
      <w:r>
        <w:rPr>
          <w:rFonts w:ascii="Arial" w:eastAsia="宋体" w:hAnsi="Arial" w:cs="Arial"/>
          <w:b/>
          <w:bCs/>
          <w:color w:val="000000"/>
          <w:sz w:val="20"/>
          <w:szCs w:val="20"/>
        </w:rPr>
        <w:t>Note 19.    Non-U.S. Activ</w:t>
      </w:r>
      <w:r>
        <w:rPr>
          <w:rFonts w:ascii="Arial" w:eastAsia="宋体" w:hAnsi="Arial" w:cs="Arial"/>
          <w:b/>
          <w:bCs/>
          <w:color w:val="000000"/>
          <w:sz w:val="20"/>
          <w:szCs w:val="20"/>
        </w:rPr>
        <w:t>ities</w:t>
      </w:r>
    </w:p>
    <w:p w14:paraId="392CB401" w14:textId="77777777" w:rsidR="00980E5F" w:rsidRDefault="00483613">
      <w:pPr>
        <w:spacing w:before="60"/>
        <w:ind w:firstLine="450"/>
        <w:jc w:val="both"/>
      </w:pPr>
      <w:r>
        <w:rPr>
          <w:rFonts w:ascii="Arial" w:eastAsia="宋体" w:hAnsi="Arial" w:cs="Arial"/>
          <w:color w:val="000000"/>
          <w:sz w:val="20"/>
          <w:szCs w:val="20"/>
        </w:rPr>
        <w:t>We define our non-U.S. activities as those revenue-producing business activities that arise from clients which are generally serviced or managed outside the U.S. Due to the integrated nature of our business, precise segregation of our U.S. and non-U.</w:t>
      </w:r>
      <w:r>
        <w:rPr>
          <w:rFonts w:ascii="Arial" w:eastAsia="宋体" w:hAnsi="Arial" w:cs="Arial"/>
          <w:color w:val="000000"/>
          <w:sz w:val="20"/>
          <w:szCs w:val="20"/>
        </w:rPr>
        <w:t>S. activities is not possible.</w:t>
      </w:r>
    </w:p>
    <w:p w14:paraId="392CB402" w14:textId="77777777" w:rsidR="00980E5F" w:rsidRDefault="00483613">
      <w:pPr>
        <w:spacing w:before="60"/>
        <w:ind w:firstLine="450"/>
        <w:jc w:val="both"/>
      </w:pPr>
      <w:r>
        <w:rPr>
          <w:rFonts w:ascii="Arial" w:eastAsia="宋体" w:hAnsi="Arial" w:cs="Arial"/>
          <w:color w:val="000000"/>
          <w:sz w:val="20"/>
          <w:szCs w:val="20"/>
        </w:rPr>
        <w:t>Subjective estimates, assumptions and other judgments are applied to quantify the financial results and assets related to our non-U.S. activities, including our application of funds transfer pricing, our asset and liability m</w:t>
      </w:r>
      <w:r>
        <w:rPr>
          <w:rFonts w:ascii="Arial" w:eastAsia="宋体" w:hAnsi="Arial" w:cs="Arial"/>
          <w:color w:val="000000"/>
          <w:sz w:val="20"/>
          <w:szCs w:val="20"/>
        </w:rPr>
        <w:t xml:space="preserve">anagement policies and our allocation of certain indirect corporate expenses. Management periodically reviews and updates its processes for quantifying the financial results and assets related to our non-U.S. activities. </w:t>
      </w:r>
    </w:p>
    <w:p w14:paraId="392CB403" w14:textId="77777777" w:rsidR="00980E5F" w:rsidRDefault="00483613">
      <w:pPr>
        <w:spacing w:before="60"/>
        <w:ind w:firstLine="450"/>
        <w:jc w:val="both"/>
      </w:pPr>
      <w:r>
        <w:rPr>
          <w:rFonts w:ascii="Arial" w:eastAsia="宋体" w:hAnsi="Arial" w:cs="Arial"/>
          <w:color w:val="000000"/>
          <w:sz w:val="20"/>
          <w:szCs w:val="20"/>
        </w:rPr>
        <w:t>The following table presents our U</w:t>
      </w:r>
      <w:r>
        <w:rPr>
          <w:rFonts w:ascii="Arial" w:eastAsia="宋体" w:hAnsi="Arial" w:cs="Arial"/>
          <w:color w:val="000000"/>
          <w:sz w:val="20"/>
          <w:szCs w:val="20"/>
        </w:rPr>
        <w:t>.S. and non-U.S. financial results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752"/>
        <w:gridCol w:w="36"/>
        <w:gridCol w:w="110"/>
        <w:gridCol w:w="759"/>
        <w:gridCol w:w="36"/>
        <w:gridCol w:w="36"/>
        <w:gridCol w:w="36"/>
        <w:gridCol w:w="36"/>
        <w:gridCol w:w="109"/>
        <w:gridCol w:w="615"/>
        <w:gridCol w:w="36"/>
        <w:gridCol w:w="36"/>
        <w:gridCol w:w="36"/>
        <w:gridCol w:w="36"/>
        <w:gridCol w:w="109"/>
        <w:gridCol w:w="687"/>
        <w:gridCol w:w="36"/>
        <w:gridCol w:w="36"/>
        <w:gridCol w:w="36"/>
        <w:gridCol w:w="36"/>
        <w:gridCol w:w="110"/>
        <w:gridCol w:w="759"/>
        <w:gridCol w:w="36"/>
        <w:gridCol w:w="36"/>
        <w:gridCol w:w="36"/>
        <w:gridCol w:w="36"/>
        <w:gridCol w:w="109"/>
        <w:gridCol w:w="617"/>
        <w:gridCol w:w="36"/>
        <w:gridCol w:w="36"/>
        <w:gridCol w:w="36"/>
        <w:gridCol w:w="36"/>
        <w:gridCol w:w="109"/>
        <w:gridCol w:w="6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980E5F" w14:paraId="392CB432" w14:textId="77777777">
        <w:tc>
          <w:tcPr>
            <w:tcW w:w="50" w:type="pct"/>
            <w:shd w:val="clear" w:color="auto" w:fill="auto"/>
            <w:vAlign w:val="bottom"/>
          </w:tcPr>
          <w:p w14:paraId="392CB404" w14:textId="77777777" w:rsidR="00980E5F" w:rsidRDefault="00980E5F">
            <w:pPr>
              <w:rPr>
                <w:rFonts w:ascii="宋体"/>
              </w:rPr>
            </w:pPr>
          </w:p>
        </w:tc>
        <w:tc>
          <w:tcPr>
            <w:tcW w:w="1290" w:type="pct"/>
            <w:shd w:val="clear" w:color="auto" w:fill="auto"/>
            <w:vAlign w:val="bottom"/>
          </w:tcPr>
          <w:p w14:paraId="392CB405" w14:textId="77777777" w:rsidR="00980E5F" w:rsidRDefault="00980E5F">
            <w:pPr>
              <w:rPr>
                <w:rFonts w:ascii="宋体"/>
              </w:rPr>
            </w:pPr>
          </w:p>
        </w:tc>
        <w:tc>
          <w:tcPr>
            <w:tcW w:w="5" w:type="pct"/>
            <w:shd w:val="clear" w:color="auto" w:fill="auto"/>
            <w:vAlign w:val="bottom"/>
          </w:tcPr>
          <w:p w14:paraId="392CB406" w14:textId="77777777" w:rsidR="00980E5F" w:rsidRDefault="00980E5F">
            <w:pPr>
              <w:rPr>
                <w:rFonts w:ascii="宋体"/>
              </w:rPr>
            </w:pPr>
          </w:p>
        </w:tc>
        <w:tc>
          <w:tcPr>
            <w:tcW w:w="50" w:type="pct"/>
            <w:shd w:val="clear" w:color="auto" w:fill="auto"/>
            <w:vAlign w:val="bottom"/>
          </w:tcPr>
          <w:p w14:paraId="392CB407" w14:textId="77777777" w:rsidR="00980E5F" w:rsidRDefault="00980E5F">
            <w:pPr>
              <w:rPr>
                <w:rFonts w:ascii="宋体"/>
              </w:rPr>
            </w:pPr>
          </w:p>
        </w:tc>
        <w:tc>
          <w:tcPr>
            <w:tcW w:w="529" w:type="pct"/>
            <w:shd w:val="clear" w:color="auto" w:fill="auto"/>
            <w:vAlign w:val="bottom"/>
          </w:tcPr>
          <w:p w14:paraId="392CB408" w14:textId="77777777" w:rsidR="00980E5F" w:rsidRDefault="00980E5F">
            <w:pPr>
              <w:rPr>
                <w:rFonts w:ascii="宋体"/>
              </w:rPr>
            </w:pPr>
          </w:p>
        </w:tc>
        <w:tc>
          <w:tcPr>
            <w:tcW w:w="5" w:type="pct"/>
            <w:shd w:val="clear" w:color="auto" w:fill="auto"/>
            <w:vAlign w:val="bottom"/>
          </w:tcPr>
          <w:p w14:paraId="392CB409" w14:textId="77777777" w:rsidR="00980E5F" w:rsidRDefault="00980E5F">
            <w:pPr>
              <w:rPr>
                <w:rFonts w:ascii="宋体"/>
              </w:rPr>
            </w:pPr>
          </w:p>
        </w:tc>
        <w:tc>
          <w:tcPr>
            <w:tcW w:w="5" w:type="pct"/>
            <w:shd w:val="clear" w:color="auto" w:fill="auto"/>
            <w:vAlign w:val="bottom"/>
          </w:tcPr>
          <w:p w14:paraId="392CB40A" w14:textId="77777777" w:rsidR="00980E5F" w:rsidRDefault="00980E5F">
            <w:pPr>
              <w:rPr>
                <w:rFonts w:ascii="宋体"/>
              </w:rPr>
            </w:pPr>
          </w:p>
        </w:tc>
        <w:tc>
          <w:tcPr>
            <w:tcW w:w="19" w:type="pct"/>
            <w:shd w:val="clear" w:color="auto" w:fill="auto"/>
            <w:vAlign w:val="bottom"/>
          </w:tcPr>
          <w:p w14:paraId="392CB40B" w14:textId="77777777" w:rsidR="00980E5F" w:rsidRDefault="00980E5F">
            <w:pPr>
              <w:rPr>
                <w:rFonts w:ascii="宋体"/>
              </w:rPr>
            </w:pPr>
          </w:p>
        </w:tc>
        <w:tc>
          <w:tcPr>
            <w:tcW w:w="5" w:type="pct"/>
            <w:shd w:val="clear" w:color="auto" w:fill="auto"/>
            <w:vAlign w:val="bottom"/>
          </w:tcPr>
          <w:p w14:paraId="392CB40C" w14:textId="77777777" w:rsidR="00980E5F" w:rsidRDefault="00980E5F">
            <w:pPr>
              <w:rPr>
                <w:rFonts w:ascii="宋体"/>
              </w:rPr>
            </w:pPr>
          </w:p>
        </w:tc>
        <w:tc>
          <w:tcPr>
            <w:tcW w:w="50" w:type="pct"/>
            <w:shd w:val="clear" w:color="auto" w:fill="auto"/>
            <w:vAlign w:val="bottom"/>
          </w:tcPr>
          <w:p w14:paraId="392CB40D" w14:textId="77777777" w:rsidR="00980E5F" w:rsidRDefault="00980E5F">
            <w:pPr>
              <w:rPr>
                <w:rFonts w:ascii="宋体"/>
              </w:rPr>
            </w:pPr>
          </w:p>
        </w:tc>
        <w:tc>
          <w:tcPr>
            <w:tcW w:w="529" w:type="pct"/>
            <w:shd w:val="clear" w:color="auto" w:fill="auto"/>
            <w:vAlign w:val="bottom"/>
          </w:tcPr>
          <w:p w14:paraId="392CB40E" w14:textId="77777777" w:rsidR="00980E5F" w:rsidRDefault="00980E5F">
            <w:pPr>
              <w:rPr>
                <w:rFonts w:ascii="宋体"/>
              </w:rPr>
            </w:pPr>
          </w:p>
        </w:tc>
        <w:tc>
          <w:tcPr>
            <w:tcW w:w="5" w:type="pct"/>
            <w:shd w:val="clear" w:color="auto" w:fill="auto"/>
            <w:vAlign w:val="bottom"/>
          </w:tcPr>
          <w:p w14:paraId="392CB40F" w14:textId="77777777" w:rsidR="00980E5F" w:rsidRDefault="00980E5F">
            <w:pPr>
              <w:rPr>
                <w:rFonts w:ascii="宋体"/>
              </w:rPr>
            </w:pPr>
          </w:p>
        </w:tc>
        <w:tc>
          <w:tcPr>
            <w:tcW w:w="5" w:type="pct"/>
            <w:shd w:val="clear" w:color="auto" w:fill="auto"/>
            <w:vAlign w:val="bottom"/>
          </w:tcPr>
          <w:p w14:paraId="392CB410" w14:textId="77777777" w:rsidR="00980E5F" w:rsidRDefault="00980E5F">
            <w:pPr>
              <w:rPr>
                <w:rFonts w:ascii="宋体"/>
              </w:rPr>
            </w:pPr>
          </w:p>
        </w:tc>
        <w:tc>
          <w:tcPr>
            <w:tcW w:w="19" w:type="pct"/>
            <w:shd w:val="clear" w:color="auto" w:fill="auto"/>
            <w:vAlign w:val="bottom"/>
          </w:tcPr>
          <w:p w14:paraId="392CB411" w14:textId="77777777" w:rsidR="00980E5F" w:rsidRDefault="00980E5F">
            <w:pPr>
              <w:rPr>
                <w:rFonts w:ascii="宋体"/>
              </w:rPr>
            </w:pPr>
          </w:p>
        </w:tc>
        <w:tc>
          <w:tcPr>
            <w:tcW w:w="5" w:type="pct"/>
            <w:shd w:val="clear" w:color="auto" w:fill="auto"/>
            <w:vAlign w:val="bottom"/>
          </w:tcPr>
          <w:p w14:paraId="392CB412" w14:textId="77777777" w:rsidR="00980E5F" w:rsidRDefault="00980E5F">
            <w:pPr>
              <w:rPr>
                <w:rFonts w:ascii="宋体"/>
              </w:rPr>
            </w:pPr>
          </w:p>
        </w:tc>
        <w:tc>
          <w:tcPr>
            <w:tcW w:w="50" w:type="pct"/>
            <w:shd w:val="clear" w:color="auto" w:fill="auto"/>
            <w:vAlign w:val="bottom"/>
          </w:tcPr>
          <w:p w14:paraId="392CB413" w14:textId="77777777" w:rsidR="00980E5F" w:rsidRDefault="00980E5F">
            <w:pPr>
              <w:rPr>
                <w:rFonts w:ascii="宋体"/>
              </w:rPr>
            </w:pPr>
          </w:p>
        </w:tc>
        <w:tc>
          <w:tcPr>
            <w:tcW w:w="529" w:type="pct"/>
            <w:shd w:val="clear" w:color="auto" w:fill="auto"/>
            <w:vAlign w:val="bottom"/>
          </w:tcPr>
          <w:p w14:paraId="392CB414" w14:textId="77777777" w:rsidR="00980E5F" w:rsidRDefault="00980E5F">
            <w:pPr>
              <w:rPr>
                <w:rFonts w:ascii="宋体"/>
              </w:rPr>
            </w:pPr>
          </w:p>
        </w:tc>
        <w:tc>
          <w:tcPr>
            <w:tcW w:w="5" w:type="pct"/>
            <w:shd w:val="clear" w:color="auto" w:fill="auto"/>
            <w:vAlign w:val="bottom"/>
          </w:tcPr>
          <w:p w14:paraId="392CB415" w14:textId="77777777" w:rsidR="00980E5F" w:rsidRDefault="00980E5F">
            <w:pPr>
              <w:rPr>
                <w:rFonts w:ascii="宋体"/>
              </w:rPr>
            </w:pPr>
          </w:p>
        </w:tc>
        <w:tc>
          <w:tcPr>
            <w:tcW w:w="5" w:type="pct"/>
            <w:shd w:val="clear" w:color="auto" w:fill="auto"/>
            <w:vAlign w:val="bottom"/>
          </w:tcPr>
          <w:p w14:paraId="392CB416" w14:textId="77777777" w:rsidR="00980E5F" w:rsidRDefault="00980E5F">
            <w:pPr>
              <w:rPr>
                <w:rFonts w:ascii="宋体"/>
              </w:rPr>
            </w:pPr>
          </w:p>
        </w:tc>
        <w:tc>
          <w:tcPr>
            <w:tcW w:w="19" w:type="pct"/>
            <w:shd w:val="clear" w:color="auto" w:fill="auto"/>
            <w:vAlign w:val="bottom"/>
          </w:tcPr>
          <w:p w14:paraId="392CB417" w14:textId="77777777" w:rsidR="00980E5F" w:rsidRDefault="00980E5F">
            <w:pPr>
              <w:rPr>
                <w:rFonts w:ascii="宋体"/>
              </w:rPr>
            </w:pPr>
          </w:p>
        </w:tc>
        <w:tc>
          <w:tcPr>
            <w:tcW w:w="5" w:type="pct"/>
            <w:shd w:val="clear" w:color="auto" w:fill="auto"/>
            <w:vAlign w:val="bottom"/>
          </w:tcPr>
          <w:p w14:paraId="392CB418" w14:textId="77777777" w:rsidR="00980E5F" w:rsidRDefault="00980E5F">
            <w:pPr>
              <w:rPr>
                <w:rFonts w:ascii="宋体"/>
              </w:rPr>
            </w:pPr>
          </w:p>
        </w:tc>
        <w:tc>
          <w:tcPr>
            <w:tcW w:w="50" w:type="pct"/>
            <w:shd w:val="clear" w:color="auto" w:fill="auto"/>
            <w:vAlign w:val="bottom"/>
          </w:tcPr>
          <w:p w14:paraId="392CB419" w14:textId="77777777" w:rsidR="00980E5F" w:rsidRDefault="00980E5F">
            <w:pPr>
              <w:rPr>
                <w:rFonts w:ascii="宋体"/>
              </w:rPr>
            </w:pPr>
          </w:p>
        </w:tc>
        <w:tc>
          <w:tcPr>
            <w:tcW w:w="529" w:type="pct"/>
            <w:shd w:val="clear" w:color="auto" w:fill="auto"/>
            <w:vAlign w:val="bottom"/>
          </w:tcPr>
          <w:p w14:paraId="392CB41A" w14:textId="77777777" w:rsidR="00980E5F" w:rsidRDefault="00980E5F">
            <w:pPr>
              <w:rPr>
                <w:rFonts w:ascii="宋体"/>
              </w:rPr>
            </w:pPr>
          </w:p>
        </w:tc>
        <w:tc>
          <w:tcPr>
            <w:tcW w:w="5" w:type="pct"/>
            <w:shd w:val="clear" w:color="auto" w:fill="auto"/>
            <w:vAlign w:val="bottom"/>
          </w:tcPr>
          <w:p w14:paraId="392CB41B" w14:textId="77777777" w:rsidR="00980E5F" w:rsidRDefault="00980E5F">
            <w:pPr>
              <w:rPr>
                <w:rFonts w:ascii="宋体"/>
              </w:rPr>
            </w:pPr>
          </w:p>
        </w:tc>
        <w:tc>
          <w:tcPr>
            <w:tcW w:w="5" w:type="pct"/>
            <w:shd w:val="clear" w:color="auto" w:fill="auto"/>
            <w:vAlign w:val="bottom"/>
          </w:tcPr>
          <w:p w14:paraId="392CB41C" w14:textId="77777777" w:rsidR="00980E5F" w:rsidRDefault="00980E5F">
            <w:pPr>
              <w:rPr>
                <w:rFonts w:ascii="宋体"/>
              </w:rPr>
            </w:pPr>
          </w:p>
        </w:tc>
        <w:tc>
          <w:tcPr>
            <w:tcW w:w="19" w:type="pct"/>
            <w:shd w:val="clear" w:color="auto" w:fill="auto"/>
            <w:vAlign w:val="bottom"/>
          </w:tcPr>
          <w:p w14:paraId="392CB41D" w14:textId="77777777" w:rsidR="00980E5F" w:rsidRDefault="00980E5F">
            <w:pPr>
              <w:rPr>
                <w:rFonts w:ascii="宋体"/>
              </w:rPr>
            </w:pPr>
          </w:p>
        </w:tc>
        <w:tc>
          <w:tcPr>
            <w:tcW w:w="5" w:type="pct"/>
            <w:shd w:val="clear" w:color="auto" w:fill="auto"/>
            <w:vAlign w:val="bottom"/>
          </w:tcPr>
          <w:p w14:paraId="392CB41E" w14:textId="77777777" w:rsidR="00980E5F" w:rsidRDefault="00980E5F">
            <w:pPr>
              <w:rPr>
                <w:rFonts w:ascii="宋体"/>
              </w:rPr>
            </w:pPr>
          </w:p>
        </w:tc>
        <w:tc>
          <w:tcPr>
            <w:tcW w:w="50" w:type="pct"/>
            <w:shd w:val="clear" w:color="auto" w:fill="auto"/>
            <w:vAlign w:val="bottom"/>
          </w:tcPr>
          <w:p w14:paraId="392CB41F" w14:textId="77777777" w:rsidR="00980E5F" w:rsidRDefault="00980E5F">
            <w:pPr>
              <w:rPr>
                <w:rFonts w:ascii="宋体"/>
              </w:rPr>
            </w:pPr>
          </w:p>
        </w:tc>
        <w:tc>
          <w:tcPr>
            <w:tcW w:w="529" w:type="pct"/>
            <w:shd w:val="clear" w:color="auto" w:fill="auto"/>
            <w:vAlign w:val="bottom"/>
          </w:tcPr>
          <w:p w14:paraId="392CB420" w14:textId="77777777" w:rsidR="00980E5F" w:rsidRDefault="00980E5F">
            <w:pPr>
              <w:rPr>
                <w:rFonts w:ascii="宋体"/>
              </w:rPr>
            </w:pPr>
          </w:p>
        </w:tc>
        <w:tc>
          <w:tcPr>
            <w:tcW w:w="5" w:type="pct"/>
            <w:shd w:val="clear" w:color="auto" w:fill="auto"/>
            <w:vAlign w:val="bottom"/>
          </w:tcPr>
          <w:p w14:paraId="392CB421" w14:textId="77777777" w:rsidR="00980E5F" w:rsidRDefault="00980E5F">
            <w:pPr>
              <w:rPr>
                <w:rFonts w:ascii="宋体"/>
              </w:rPr>
            </w:pPr>
          </w:p>
        </w:tc>
        <w:tc>
          <w:tcPr>
            <w:tcW w:w="5" w:type="pct"/>
            <w:shd w:val="clear" w:color="auto" w:fill="auto"/>
            <w:vAlign w:val="bottom"/>
          </w:tcPr>
          <w:p w14:paraId="392CB422" w14:textId="77777777" w:rsidR="00980E5F" w:rsidRDefault="00980E5F">
            <w:pPr>
              <w:rPr>
                <w:rFonts w:ascii="宋体"/>
              </w:rPr>
            </w:pPr>
          </w:p>
        </w:tc>
        <w:tc>
          <w:tcPr>
            <w:tcW w:w="19" w:type="pct"/>
            <w:shd w:val="clear" w:color="auto" w:fill="auto"/>
            <w:vAlign w:val="bottom"/>
          </w:tcPr>
          <w:p w14:paraId="392CB423" w14:textId="77777777" w:rsidR="00980E5F" w:rsidRDefault="00980E5F">
            <w:pPr>
              <w:rPr>
                <w:rFonts w:ascii="宋体"/>
              </w:rPr>
            </w:pPr>
          </w:p>
        </w:tc>
        <w:tc>
          <w:tcPr>
            <w:tcW w:w="5" w:type="pct"/>
            <w:shd w:val="clear" w:color="auto" w:fill="auto"/>
            <w:vAlign w:val="bottom"/>
          </w:tcPr>
          <w:p w14:paraId="392CB424" w14:textId="77777777" w:rsidR="00980E5F" w:rsidRDefault="00980E5F">
            <w:pPr>
              <w:rPr>
                <w:rFonts w:ascii="宋体"/>
              </w:rPr>
            </w:pPr>
          </w:p>
        </w:tc>
        <w:tc>
          <w:tcPr>
            <w:tcW w:w="50" w:type="pct"/>
            <w:shd w:val="clear" w:color="auto" w:fill="auto"/>
            <w:vAlign w:val="bottom"/>
          </w:tcPr>
          <w:p w14:paraId="392CB425" w14:textId="77777777" w:rsidR="00980E5F" w:rsidRDefault="00980E5F">
            <w:pPr>
              <w:rPr>
                <w:rFonts w:ascii="宋体"/>
              </w:rPr>
            </w:pPr>
          </w:p>
        </w:tc>
        <w:tc>
          <w:tcPr>
            <w:tcW w:w="530" w:type="pct"/>
            <w:shd w:val="clear" w:color="auto" w:fill="auto"/>
            <w:vAlign w:val="bottom"/>
          </w:tcPr>
          <w:p w14:paraId="392CB426" w14:textId="77777777" w:rsidR="00980E5F" w:rsidRDefault="00980E5F">
            <w:pPr>
              <w:rPr>
                <w:rFonts w:ascii="宋体"/>
              </w:rPr>
            </w:pPr>
          </w:p>
        </w:tc>
        <w:tc>
          <w:tcPr>
            <w:tcW w:w="5" w:type="pct"/>
            <w:shd w:val="clear" w:color="auto" w:fill="auto"/>
            <w:vAlign w:val="bottom"/>
          </w:tcPr>
          <w:p w14:paraId="392CB427" w14:textId="77777777" w:rsidR="00980E5F" w:rsidRDefault="00980E5F">
            <w:pPr>
              <w:rPr>
                <w:rFonts w:ascii="宋体"/>
              </w:rPr>
            </w:pPr>
          </w:p>
        </w:tc>
        <w:tc>
          <w:tcPr>
            <w:tcW w:w="0" w:type="auto"/>
            <w:gridSpan w:val="3"/>
            <w:shd w:val="clear" w:color="auto" w:fill="auto"/>
            <w:vAlign w:val="bottom"/>
          </w:tcPr>
          <w:p w14:paraId="392CB428" w14:textId="77777777" w:rsidR="00980E5F" w:rsidRDefault="00980E5F">
            <w:pPr>
              <w:rPr>
                <w:rFonts w:ascii="宋体"/>
                <w:vanish/>
              </w:rPr>
            </w:pPr>
          </w:p>
        </w:tc>
        <w:tc>
          <w:tcPr>
            <w:tcW w:w="0" w:type="auto"/>
            <w:gridSpan w:val="3"/>
            <w:shd w:val="clear" w:color="auto" w:fill="auto"/>
            <w:vAlign w:val="bottom"/>
          </w:tcPr>
          <w:p w14:paraId="392CB429" w14:textId="77777777" w:rsidR="00980E5F" w:rsidRDefault="00980E5F">
            <w:pPr>
              <w:rPr>
                <w:rFonts w:ascii="宋体"/>
                <w:vanish/>
              </w:rPr>
            </w:pPr>
          </w:p>
        </w:tc>
        <w:tc>
          <w:tcPr>
            <w:tcW w:w="0" w:type="auto"/>
            <w:gridSpan w:val="3"/>
            <w:shd w:val="clear" w:color="auto" w:fill="auto"/>
            <w:vAlign w:val="bottom"/>
          </w:tcPr>
          <w:p w14:paraId="392CB42A" w14:textId="77777777" w:rsidR="00980E5F" w:rsidRDefault="00980E5F">
            <w:pPr>
              <w:rPr>
                <w:rFonts w:ascii="宋体"/>
                <w:vanish/>
              </w:rPr>
            </w:pPr>
          </w:p>
        </w:tc>
        <w:tc>
          <w:tcPr>
            <w:tcW w:w="0" w:type="auto"/>
            <w:gridSpan w:val="3"/>
            <w:shd w:val="clear" w:color="auto" w:fill="auto"/>
            <w:vAlign w:val="bottom"/>
          </w:tcPr>
          <w:p w14:paraId="392CB42B" w14:textId="77777777" w:rsidR="00980E5F" w:rsidRDefault="00980E5F">
            <w:pPr>
              <w:rPr>
                <w:rFonts w:ascii="宋体"/>
                <w:vanish/>
              </w:rPr>
            </w:pPr>
          </w:p>
        </w:tc>
        <w:tc>
          <w:tcPr>
            <w:tcW w:w="0" w:type="auto"/>
            <w:gridSpan w:val="3"/>
            <w:shd w:val="clear" w:color="auto" w:fill="auto"/>
            <w:vAlign w:val="bottom"/>
          </w:tcPr>
          <w:p w14:paraId="392CB42C" w14:textId="77777777" w:rsidR="00980E5F" w:rsidRDefault="00980E5F">
            <w:pPr>
              <w:rPr>
                <w:rFonts w:ascii="宋体"/>
                <w:vanish/>
              </w:rPr>
            </w:pPr>
          </w:p>
        </w:tc>
        <w:tc>
          <w:tcPr>
            <w:tcW w:w="0" w:type="auto"/>
            <w:gridSpan w:val="3"/>
            <w:shd w:val="clear" w:color="auto" w:fill="auto"/>
            <w:vAlign w:val="bottom"/>
          </w:tcPr>
          <w:p w14:paraId="392CB42D" w14:textId="77777777" w:rsidR="00980E5F" w:rsidRDefault="00980E5F">
            <w:pPr>
              <w:rPr>
                <w:rFonts w:ascii="宋体"/>
                <w:vanish/>
              </w:rPr>
            </w:pPr>
          </w:p>
        </w:tc>
        <w:tc>
          <w:tcPr>
            <w:tcW w:w="0" w:type="auto"/>
            <w:gridSpan w:val="3"/>
            <w:shd w:val="clear" w:color="auto" w:fill="auto"/>
            <w:vAlign w:val="bottom"/>
          </w:tcPr>
          <w:p w14:paraId="392CB42E" w14:textId="77777777" w:rsidR="00980E5F" w:rsidRDefault="00980E5F">
            <w:pPr>
              <w:rPr>
                <w:rFonts w:ascii="宋体"/>
                <w:vanish/>
              </w:rPr>
            </w:pPr>
          </w:p>
        </w:tc>
        <w:tc>
          <w:tcPr>
            <w:tcW w:w="0" w:type="auto"/>
            <w:gridSpan w:val="3"/>
            <w:shd w:val="clear" w:color="auto" w:fill="auto"/>
            <w:vAlign w:val="bottom"/>
          </w:tcPr>
          <w:p w14:paraId="392CB42F" w14:textId="77777777" w:rsidR="00980E5F" w:rsidRDefault="00980E5F">
            <w:pPr>
              <w:rPr>
                <w:rFonts w:ascii="宋体"/>
                <w:vanish/>
              </w:rPr>
            </w:pPr>
          </w:p>
        </w:tc>
        <w:tc>
          <w:tcPr>
            <w:tcW w:w="0" w:type="auto"/>
            <w:gridSpan w:val="2"/>
            <w:shd w:val="clear" w:color="auto" w:fill="auto"/>
            <w:vAlign w:val="bottom"/>
          </w:tcPr>
          <w:p w14:paraId="392CB430" w14:textId="77777777" w:rsidR="00980E5F" w:rsidRDefault="00980E5F">
            <w:pPr>
              <w:rPr>
                <w:rFonts w:ascii="宋体"/>
                <w:vanish/>
              </w:rPr>
            </w:pPr>
          </w:p>
        </w:tc>
        <w:tc>
          <w:tcPr>
            <w:tcW w:w="0" w:type="auto"/>
            <w:shd w:val="clear" w:color="auto" w:fill="auto"/>
            <w:vAlign w:val="bottom"/>
          </w:tcPr>
          <w:p w14:paraId="392CB431" w14:textId="77777777" w:rsidR="00980E5F" w:rsidRDefault="00980E5F">
            <w:pPr>
              <w:rPr>
                <w:rFonts w:ascii="宋体"/>
                <w:vanish/>
              </w:rPr>
            </w:pPr>
          </w:p>
        </w:tc>
      </w:tr>
      <w:tr w:rsidR="00980E5F" w14:paraId="392CB43F" w14:textId="77777777">
        <w:tc>
          <w:tcPr>
            <w:tcW w:w="0" w:type="auto"/>
            <w:gridSpan w:val="3"/>
            <w:shd w:val="clear" w:color="auto" w:fill="auto"/>
            <w:tcMar>
              <w:top w:w="0" w:type="dxa"/>
              <w:left w:w="20" w:type="dxa"/>
              <w:bottom w:w="0" w:type="dxa"/>
              <w:right w:w="20" w:type="dxa"/>
            </w:tcMar>
            <w:vAlign w:val="bottom"/>
          </w:tcPr>
          <w:p w14:paraId="392CB433" w14:textId="77777777" w:rsidR="00980E5F" w:rsidRDefault="00980E5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92CB434" w14:textId="77777777" w:rsidR="00980E5F" w:rsidRDefault="00483613">
            <w:pPr>
              <w:jc w:val="center"/>
              <w:textAlignment w:val="bottom"/>
            </w:pPr>
            <w:r>
              <w:rPr>
                <w:rFonts w:ascii="Arial" w:eastAsia="宋体" w:hAnsi="Arial" w:cs="Arial"/>
                <w:b/>
                <w:bCs/>
                <w:color w:val="000000"/>
                <w:sz w:val="16"/>
                <w:szCs w:val="16"/>
              </w:rPr>
              <w:t>Three Months Ended June 30,</w:t>
            </w:r>
          </w:p>
        </w:tc>
        <w:tc>
          <w:tcPr>
            <w:tcW w:w="0" w:type="auto"/>
            <w:gridSpan w:val="3"/>
            <w:shd w:val="clear" w:color="auto" w:fill="auto"/>
            <w:vAlign w:val="bottom"/>
          </w:tcPr>
          <w:p w14:paraId="392CB435" w14:textId="77777777" w:rsidR="00980E5F" w:rsidRDefault="00980E5F">
            <w:pPr>
              <w:rPr>
                <w:rFonts w:ascii="宋体"/>
                <w:vanish/>
              </w:rPr>
            </w:pPr>
          </w:p>
        </w:tc>
        <w:tc>
          <w:tcPr>
            <w:tcW w:w="0" w:type="auto"/>
            <w:gridSpan w:val="3"/>
            <w:shd w:val="clear" w:color="auto" w:fill="auto"/>
            <w:vAlign w:val="bottom"/>
          </w:tcPr>
          <w:p w14:paraId="392CB436" w14:textId="77777777" w:rsidR="00980E5F" w:rsidRDefault="00980E5F">
            <w:pPr>
              <w:rPr>
                <w:rFonts w:ascii="宋体"/>
                <w:vanish/>
              </w:rPr>
            </w:pPr>
          </w:p>
        </w:tc>
        <w:tc>
          <w:tcPr>
            <w:tcW w:w="0" w:type="auto"/>
            <w:gridSpan w:val="3"/>
            <w:shd w:val="clear" w:color="auto" w:fill="auto"/>
            <w:vAlign w:val="bottom"/>
          </w:tcPr>
          <w:p w14:paraId="392CB437" w14:textId="77777777" w:rsidR="00980E5F" w:rsidRDefault="00980E5F">
            <w:pPr>
              <w:rPr>
                <w:rFonts w:ascii="宋体"/>
                <w:vanish/>
              </w:rPr>
            </w:pPr>
          </w:p>
        </w:tc>
        <w:tc>
          <w:tcPr>
            <w:tcW w:w="0" w:type="auto"/>
            <w:gridSpan w:val="3"/>
            <w:shd w:val="clear" w:color="auto" w:fill="auto"/>
            <w:vAlign w:val="bottom"/>
          </w:tcPr>
          <w:p w14:paraId="392CB438" w14:textId="77777777" w:rsidR="00980E5F" w:rsidRDefault="00980E5F">
            <w:pPr>
              <w:rPr>
                <w:rFonts w:ascii="宋体"/>
                <w:vanish/>
              </w:rPr>
            </w:pPr>
          </w:p>
        </w:tc>
        <w:tc>
          <w:tcPr>
            <w:tcW w:w="0" w:type="auto"/>
            <w:gridSpan w:val="3"/>
            <w:shd w:val="clear" w:color="auto" w:fill="auto"/>
            <w:vAlign w:val="bottom"/>
          </w:tcPr>
          <w:p w14:paraId="392CB439" w14:textId="77777777" w:rsidR="00980E5F" w:rsidRDefault="00980E5F">
            <w:pPr>
              <w:rPr>
                <w:rFonts w:ascii="宋体"/>
                <w:vanish/>
              </w:rPr>
            </w:pPr>
          </w:p>
        </w:tc>
        <w:tc>
          <w:tcPr>
            <w:tcW w:w="0" w:type="auto"/>
            <w:gridSpan w:val="3"/>
            <w:shd w:val="clear" w:color="auto" w:fill="auto"/>
            <w:vAlign w:val="bottom"/>
          </w:tcPr>
          <w:p w14:paraId="392CB43A" w14:textId="77777777" w:rsidR="00980E5F" w:rsidRDefault="00980E5F">
            <w:pPr>
              <w:rPr>
                <w:rFonts w:ascii="宋体"/>
                <w:vanish/>
              </w:rPr>
            </w:pPr>
          </w:p>
        </w:tc>
        <w:tc>
          <w:tcPr>
            <w:tcW w:w="0" w:type="auto"/>
            <w:gridSpan w:val="3"/>
            <w:shd w:val="clear" w:color="auto" w:fill="auto"/>
            <w:vAlign w:val="bottom"/>
          </w:tcPr>
          <w:p w14:paraId="392CB43B" w14:textId="77777777" w:rsidR="00980E5F" w:rsidRDefault="00980E5F">
            <w:pPr>
              <w:rPr>
                <w:rFonts w:ascii="宋体"/>
                <w:vanish/>
              </w:rPr>
            </w:pPr>
          </w:p>
        </w:tc>
        <w:tc>
          <w:tcPr>
            <w:tcW w:w="0" w:type="auto"/>
            <w:gridSpan w:val="3"/>
            <w:shd w:val="clear" w:color="auto" w:fill="auto"/>
            <w:vAlign w:val="bottom"/>
          </w:tcPr>
          <w:p w14:paraId="392CB43C" w14:textId="77777777" w:rsidR="00980E5F" w:rsidRDefault="00980E5F">
            <w:pPr>
              <w:rPr>
                <w:rFonts w:ascii="宋体"/>
                <w:vanish/>
              </w:rPr>
            </w:pPr>
          </w:p>
        </w:tc>
        <w:tc>
          <w:tcPr>
            <w:tcW w:w="0" w:type="auto"/>
            <w:gridSpan w:val="2"/>
            <w:shd w:val="clear" w:color="auto" w:fill="auto"/>
            <w:vAlign w:val="bottom"/>
          </w:tcPr>
          <w:p w14:paraId="392CB43D" w14:textId="77777777" w:rsidR="00980E5F" w:rsidRDefault="00980E5F">
            <w:pPr>
              <w:rPr>
                <w:rFonts w:ascii="宋体"/>
                <w:vanish/>
              </w:rPr>
            </w:pPr>
          </w:p>
        </w:tc>
        <w:tc>
          <w:tcPr>
            <w:tcW w:w="0" w:type="auto"/>
            <w:shd w:val="clear" w:color="auto" w:fill="auto"/>
            <w:vAlign w:val="bottom"/>
          </w:tcPr>
          <w:p w14:paraId="392CB43E" w14:textId="77777777" w:rsidR="00980E5F" w:rsidRDefault="00980E5F">
            <w:pPr>
              <w:rPr>
                <w:rFonts w:ascii="宋体"/>
                <w:vanish/>
              </w:rPr>
            </w:pPr>
          </w:p>
        </w:tc>
      </w:tr>
      <w:tr w:rsidR="00980E5F" w14:paraId="392CB44E" w14:textId="77777777">
        <w:tc>
          <w:tcPr>
            <w:tcW w:w="0" w:type="auto"/>
            <w:gridSpan w:val="3"/>
            <w:shd w:val="clear" w:color="auto" w:fill="auto"/>
            <w:tcMar>
              <w:top w:w="0" w:type="dxa"/>
              <w:left w:w="20" w:type="dxa"/>
              <w:bottom w:w="0" w:type="dxa"/>
              <w:right w:w="20" w:type="dxa"/>
            </w:tcMar>
            <w:vAlign w:val="bottom"/>
          </w:tcPr>
          <w:p w14:paraId="392CB440"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B441" w14:textId="77777777" w:rsidR="00980E5F" w:rsidRDefault="00483613">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442"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B443" w14:textId="77777777" w:rsidR="00980E5F" w:rsidRDefault="00483613">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392CB444" w14:textId="77777777" w:rsidR="00980E5F" w:rsidRDefault="00980E5F">
            <w:pPr>
              <w:rPr>
                <w:rFonts w:ascii="宋体"/>
                <w:vanish/>
              </w:rPr>
            </w:pPr>
          </w:p>
        </w:tc>
        <w:tc>
          <w:tcPr>
            <w:tcW w:w="0" w:type="auto"/>
            <w:gridSpan w:val="3"/>
            <w:shd w:val="clear" w:color="auto" w:fill="auto"/>
            <w:vAlign w:val="bottom"/>
          </w:tcPr>
          <w:p w14:paraId="392CB445" w14:textId="77777777" w:rsidR="00980E5F" w:rsidRDefault="00980E5F">
            <w:pPr>
              <w:rPr>
                <w:rFonts w:ascii="宋体"/>
                <w:vanish/>
              </w:rPr>
            </w:pPr>
          </w:p>
        </w:tc>
        <w:tc>
          <w:tcPr>
            <w:tcW w:w="0" w:type="auto"/>
            <w:gridSpan w:val="3"/>
            <w:shd w:val="clear" w:color="auto" w:fill="auto"/>
            <w:vAlign w:val="bottom"/>
          </w:tcPr>
          <w:p w14:paraId="392CB446" w14:textId="77777777" w:rsidR="00980E5F" w:rsidRDefault="00980E5F">
            <w:pPr>
              <w:rPr>
                <w:rFonts w:ascii="宋体"/>
                <w:vanish/>
              </w:rPr>
            </w:pPr>
          </w:p>
        </w:tc>
        <w:tc>
          <w:tcPr>
            <w:tcW w:w="0" w:type="auto"/>
            <w:gridSpan w:val="3"/>
            <w:shd w:val="clear" w:color="auto" w:fill="auto"/>
            <w:vAlign w:val="bottom"/>
          </w:tcPr>
          <w:p w14:paraId="392CB447" w14:textId="77777777" w:rsidR="00980E5F" w:rsidRDefault="00980E5F">
            <w:pPr>
              <w:rPr>
                <w:rFonts w:ascii="宋体"/>
                <w:vanish/>
              </w:rPr>
            </w:pPr>
          </w:p>
        </w:tc>
        <w:tc>
          <w:tcPr>
            <w:tcW w:w="0" w:type="auto"/>
            <w:gridSpan w:val="3"/>
            <w:shd w:val="clear" w:color="auto" w:fill="auto"/>
            <w:vAlign w:val="bottom"/>
          </w:tcPr>
          <w:p w14:paraId="392CB448" w14:textId="77777777" w:rsidR="00980E5F" w:rsidRDefault="00980E5F">
            <w:pPr>
              <w:rPr>
                <w:rFonts w:ascii="宋体"/>
                <w:vanish/>
              </w:rPr>
            </w:pPr>
          </w:p>
        </w:tc>
        <w:tc>
          <w:tcPr>
            <w:tcW w:w="0" w:type="auto"/>
            <w:gridSpan w:val="3"/>
            <w:shd w:val="clear" w:color="auto" w:fill="auto"/>
            <w:vAlign w:val="bottom"/>
          </w:tcPr>
          <w:p w14:paraId="392CB449" w14:textId="77777777" w:rsidR="00980E5F" w:rsidRDefault="00980E5F">
            <w:pPr>
              <w:rPr>
                <w:rFonts w:ascii="宋体"/>
                <w:vanish/>
              </w:rPr>
            </w:pPr>
          </w:p>
        </w:tc>
        <w:tc>
          <w:tcPr>
            <w:tcW w:w="0" w:type="auto"/>
            <w:gridSpan w:val="3"/>
            <w:shd w:val="clear" w:color="auto" w:fill="auto"/>
            <w:vAlign w:val="bottom"/>
          </w:tcPr>
          <w:p w14:paraId="392CB44A" w14:textId="77777777" w:rsidR="00980E5F" w:rsidRDefault="00980E5F">
            <w:pPr>
              <w:rPr>
                <w:rFonts w:ascii="宋体"/>
                <w:vanish/>
              </w:rPr>
            </w:pPr>
          </w:p>
        </w:tc>
        <w:tc>
          <w:tcPr>
            <w:tcW w:w="0" w:type="auto"/>
            <w:gridSpan w:val="3"/>
            <w:shd w:val="clear" w:color="auto" w:fill="auto"/>
            <w:vAlign w:val="bottom"/>
          </w:tcPr>
          <w:p w14:paraId="392CB44B" w14:textId="77777777" w:rsidR="00980E5F" w:rsidRDefault="00980E5F">
            <w:pPr>
              <w:rPr>
                <w:rFonts w:ascii="宋体"/>
                <w:vanish/>
              </w:rPr>
            </w:pPr>
          </w:p>
        </w:tc>
        <w:tc>
          <w:tcPr>
            <w:tcW w:w="0" w:type="auto"/>
            <w:gridSpan w:val="2"/>
            <w:shd w:val="clear" w:color="auto" w:fill="auto"/>
            <w:vAlign w:val="bottom"/>
          </w:tcPr>
          <w:p w14:paraId="392CB44C" w14:textId="77777777" w:rsidR="00980E5F" w:rsidRDefault="00980E5F">
            <w:pPr>
              <w:rPr>
                <w:rFonts w:ascii="宋体"/>
                <w:vanish/>
              </w:rPr>
            </w:pPr>
          </w:p>
        </w:tc>
        <w:tc>
          <w:tcPr>
            <w:tcW w:w="0" w:type="auto"/>
            <w:shd w:val="clear" w:color="auto" w:fill="auto"/>
            <w:vAlign w:val="bottom"/>
          </w:tcPr>
          <w:p w14:paraId="392CB44D" w14:textId="77777777" w:rsidR="00980E5F" w:rsidRDefault="00980E5F">
            <w:pPr>
              <w:rPr>
                <w:rFonts w:ascii="宋体"/>
                <w:vanish/>
              </w:rPr>
            </w:pPr>
          </w:p>
        </w:tc>
      </w:tr>
      <w:tr w:rsidR="00980E5F" w14:paraId="392CB465" w14:textId="77777777">
        <w:tc>
          <w:tcPr>
            <w:tcW w:w="0" w:type="auto"/>
            <w:gridSpan w:val="3"/>
            <w:shd w:val="clear" w:color="auto" w:fill="auto"/>
            <w:tcMar>
              <w:top w:w="40" w:type="dxa"/>
              <w:left w:w="20" w:type="dxa"/>
              <w:bottom w:w="40" w:type="dxa"/>
              <w:right w:w="20" w:type="dxa"/>
            </w:tcMar>
            <w:vAlign w:val="bottom"/>
          </w:tcPr>
          <w:p w14:paraId="392CB44F" w14:textId="77777777" w:rsidR="00980E5F" w:rsidRDefault="00483613">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0" w14:textId="77777777" w:rsidR="00980E5F" w:rsidRDefault="00483613">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45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2" w14:textId="77777777" w:rsidR="00980E5F" w:rsidRDefault="00483613">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453"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4" w14:textId="77777777" w:rsidR="00980E5F" w:rsidRDefault="00483613">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92CB455"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6" w14:textId="77777777" w:rsidR="00980E5F" w:rsidRDefault="00483613">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45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8" w14:textId="77777777" w:rsidR="00980E5F" w:rsidRDefault="00483613">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45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45A" w14:textId="77777777" w:rsidR="00980E5F" w:rsidRDefault="00483613">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392CB45B" w14:textId="77777777" w:rsidR="00980E5F" w:rsidRDefault="00980E5F">
            <w:pPr>
              <w:rPr>
                <w:rFonts w:ascii="宋体"/>
                <w:vanish/>
              </w:rPr>
            </w:pPr>
          </w:p>
        </w:tc>
        <w:tc>
          <w:tcPr>
            <w:tcW w:w="0" w:type="auto"/>
            <w:gridSpan w:val="3"/>
            <w:shd w:val="clear" w:color="auto" w:fill="auto"/>
            <w:vAlign w:val="bottom"/>
          </w:tcPr>
          <w:p w14:paraId="392CB45C" w14:textId="77777777" w:rsidR="00980E5F" w:rsidRDefault="00980E5F">
            <w:pPr>
              <w:rPr>
                <w:rFonts w:ascii="宋体"/>
                <w:vanish/>
              </w:rPr>
            </w:pPr>
          </w:p>
        </w:tc>
        <w:tc>
          <w:tcPr>
            <w:tcW w:w="0" w:type="auto"/>
            <w:gridSpan w:val="3"/>
            <w:shd w:val="clear" w:color="auto" w:fill="auto"/>
            <w:vAlign w:val="bottom"/>
          </w:tcPr>
          <w:p w14:paraId="392CB45D" w14:textId="77777777" w:rsidR="00980E5F" w:rsidRDefault="00980E5F">
            <w:pPr>
              <w:rPr>
                <w:rFonts w:ascii="宋体"/>
                <w:vanish/>
              </w:rPr>
            </w:pPr>
          </w:p>
        </w:tc>
        <w:tc>
          <w:tcPr>
            <w:tcW w:w="0" w:type="auto"/>
            <w:gridSpan w:val="3"/>
            <w:shd w:val="clear" w:color="auto" w:fill="auto"/>
            <w:vAlign w:val="bottom"/>
          </w:tcPr>
          <w:p w14:paraId="392CB45E" w14:textId="77777777" w:rsidR="00980E5F" w:rsidRDefault="00980E5F">
            <w:pPr>
              <w:rPr>
                <w:rFonts w:ascii="宋体"/>
                <w:vanish/>
              </w:rPr>
            </w:pPr>
          </w:p>
        </w:tc>
        <w:tc>
          <w:tcPr>
            <w:tcW w:w="0" w:type="auto"/>
            <w:gridSpan w:val="3"/>
            <w:shd w:val="clear" w:color="auto" w:fill="auto"/>
            <w:vAlign w:val="bottom"/>
          </w:tcPr>
          <w:p w14:paraId="392CB45F" w14:textId="77777777" w:rsidR="00980E5F" w:rsidRDefault="00980E5F">
            <w:pPr>
              <w:rPr>
                <w:rFonts w:ascii="宋体"/>
                <w:vanish/>
              </w:rPr>
            </w:pPr>
          </w:p>
        </w:tc>
        <w:tc>
          <w:tcPr>
            <w:tcW w:w="0" w:type="auto"/>
            <w:gridSpan w:val="3"/>
            <w:shd w:val="clear" w:color="auto" w:fill="auto"/>
            <w:vAlign w:val="bottom"/>
          </w:tcPr>
          <w:p w14:paraId="392CB460" w14:textId="77777777" w:rsidR="00980E5F" w:rsidRDefault="00980E5F">
            <w:pPr>
              <w:rPr>
                <w:rFonts w:ascii="宋体"/>
                <w:vanish/>
              </w:rPr>
            </w:pPr>
          </w:p>
        </w:tc>
        <w:tc>
          <w:tcPr>
            <w:tcW w:w="0" w:type="auto"/>
            <w:gridSpan w:val="3"/>
            <w:shd w:val="clear" w:color="auto" w:fill="auto"/>
            <w:vAlign w:val="bottom"/>
          </w:tcPr>
          <w:p w14:paraId="392CB461" w14:textId="77777777" w:rsidR="00980E5F" w:rsidRDefault="00980E5F">
            <w:pPr>
              <w:rPr>
                <w:rFonts w:ascii="宋体"/>
                <w:vanish/>
              </w:rPr>
            </w:pPr>
          </w:p>
        </w:tc>
        <w:tc>
          <w:tcPr>
            <w:tcW w:w="0" w:type="auto"/>
            <w:gridSpan w:val="3"/>
            <w:shd w:val="clear" w:color="auto" w:fill="auto"/>
            <w:vAlign w:val="bottom"/>
          </w:tcPr>
          <w:p w14:paraId="392CB462" w14:textId="77777777" w:rsidR="00980E5F" w:rsidRDefault="00980E5F">
            <w:pPr>
              <w:rPr>
                <w:rFonts w:ascii="宋体"/>
                <w:vanish/>
              </w:rPr>
            </w:pPr>
          </w:p>
        </w:tc>
        <w:tc>
          <w:tcPr>
            <w:tcW w:w="0" w:type="auto"/>
            <w:gridSpan w:val="2"/>
            <w:shd w:val="clear" w:color="auto" w:fill="auto"/>
            <w:vAlign w:val="bottom"/>
          </w:tcPr>
          <w:p w14:paraId="392CB463" w14:textId="77777777" w:rsidR="00980E5F" w:rsidRDefault="00980E5F">
            <w:pPr>
              <w:rPr>
                <w:rFonts w:ascii="宋体"/>
                <w:vanish/>
              </w:rPr>
            </w:pPr>
          </w:p>
        </w:tc>
        <w:tc>
          <w:tcPr>
            <w:tcW w:w="0" w:type="auto"/>
            <w:shd w:val="clear" w:color="auto" w:fill="auto"/>
            <w:vAlign w:val="bottom"/>
          </w:tcPr>
          <w:p w14:paraId="392CB464" w14:textId="77777777" w:rsidR="00980E5F" w:rsidRDefault="00980E5F">
            <w:pPr>
              <w:rPr>
                <w:rFonts w:ascii="宋体"/>
                <w:vanish/>
              </w:rPr>
            </w:pPr>
          </w:p>
        </w:tc>
      </w:tr>
      <w:tr w:rsidR="00980E5F" w14:paraId="392CB488" w14:textId="77777777">
        <w:tc>
          <w:tcPr>
            <w:tcW w:w="0" w:type="auto"/>
            <w:gridSpan w:val="3"/>
            <w:shd w:val="clear" w:color="auto" w:fill="CCEEFF"/>
            <w:tcMar>
              <w:top w:w="40" w:type="dxa"/>
              <w:left w:w="20" w:type="dxa"/>
              <w:bottom w:w="40" w:type="dxa"/>
              <w:right w:w="20" w:type="dxa"/>
            </w:tcMar>
            <w:vAlign w:val="bottom"/>
          </w:tcPr>
          <w:p w14:paraId="392CB466" w14:textId="77777777" w:rsidR="00980E5F" w:rsidRDefault="00483613">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B467"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68" w14:textId="77777777" w:rsidR="00980E5F" w:rsidRDefault="00483613">
            <w:pPr>
              <w:jc w:val="right"/>
              <w:textAlignment w:val="bottom"/>
            </w:pPr>
            <w:r>
              <w:rPr>
                <w:rFonts w:ascii="Arial" w:eastAsia="宋体" w:hAnsi="Arial" w:cs="Arial"/>
                <w:b/>
                <w:bCs/>
                <w:color w:val="000000"/>
                <w:sz w:val="16"/>
                <w:szCs w:val="16"/>
              </w:rPr>
              <w:t>1,336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6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46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46B"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6C" w14:textId="77777777" w:rsidR="00980E5F" w:rsidRDefault="00483613">
            <w:pPr>
              <w:jc w:val="right"/>
              <w:textAlignment w:val="bottom"/>
            </w:pPr>
            <w:r>
              <w:rPr>
                <w:rFonts w:ascii="Arial" w:eastAsia="宋体" w:hAnsi="Arial" w:cs="Arial"/>
                <w:b/>
                <w:bCs/>
                <w:color w:val="000000"/>
                <w:sz w:val="16"/>
                <w:szCs w:val="16"/>
              </w:rPr>
              <w:t>1,617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6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46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46F"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70" w14:textId="77777777" w:rsidR="00980E5F" w:rsidRDefault="00483613">
            <w:pPr>
              <w:jc w:val="right"/>
              <w:textAlignment w:val="bottom"/>
            </w:pPr>
            <w:r>
              <w:rPr>
                <w:rFonts w:ascii="Arial" w:eastAsia="宋体" w:hAnsi="Arial" w:cs="Arial"/>
                <w:b/>
                <w:bCs/>
                <w:color w:val="000000"/>
                <w:sz w:val="16"/>
                <w:szCs w:val="16"/>
              </w:rPr>
              <w:t>2,953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7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47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473"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74" w14:textId="77777777" w:rsidR="00980E5F" w:rsidRDefault="00483613">
            <w:pPr>
              <w:jc w:val="right"/>
              <w:textAlignment w:val="bottom"/>
            </w:pPr>
            <w:r>
              <w:rPr>
                <w:rFonts w:ascii="Arial" w:eastAsia="宋体" w:hAnsi="Arial" w:cs="Arial"/>
                <w:color w:val="000000"/>
                <w:sz w:val="16"/>
                <w:szCs w:val="16"/>
              </w:rPr>
              <w:t>1,325 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7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47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477"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78" w14:textId="77777777" w:rsidR="00980E5F" w:rsidRDefault="00483613">
            <w:pPr>
              <w:jc w:val="right"/>
              <w:textAlignment w:val="bottom"/>
            </w:pPr>
            <w:r>
              <w:rPr>
                <w:rFonts w:ascii="Arial" w:eastAsia="宋体" w:hAnsi="Arial" w:cs="Arial"/>
                <w:color w:val="000000"/>
                <w:sz w:val="16"/>
                <w:szCs w:val="16"/>
              </w:rPr>
              <w:t>1,709 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7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47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47B"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47C" w14:textId="77777777" w:rsidR="00980E5F" w:rsidRDefault="00483613">
            <w:pPr>
              <w:jc w:val="right"/>
              <w:textAlignment w:val="bottom"/>
            </w:pPr>
            <w:r>
              <w:rPr>
                <w:rFonts w:ascii="Arial" w:eastAsia="宋体" w:hAnsi="Arial" w:cs="Arial"/>
                <w:color w:val="000000"/>
                <w:sz w:val="16"/>
                <w:szCs w:val="16"/>
              </w:rPr>
              <w:t>3,034 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47D" w14:textId="77777777" w:rsidR="00980E5F" w:rsidRDefault="00980E5F">
            <w:pPr>
              <w:jc w:val="right"/>
              <w:rPr>
                <w:rFonts w:ascii="宋体"/>
              </w:rPr>
            </w:pPr>
          </w:p>
        </w:tc>
        <w:tc>
          <w:tcPr>
            <w:tcW w:w="0" w:type="auto"/>
            <w:gridSpan w:val="3"/>
            <w:shd w:val="clear" w:color="auto" w:fill="auto"/>
            <w:vAlign w:val="bottom"/>
          </w:tcPr>
          <w:p w14:paraId="392CB47E" w14:textId="77777777" w:rsidR="00980E5F" w:rsidRDefault="00980E5F">
            <w:pPr>
              <w:rPr>
                <w:rFonts w:ascii="宋体"/>
                <w:vanish/>
              </w:rPr>
            </w:pPr>
          </w:p>
        </w:tc>
        <w:tc>
          <w:tcPr>
            <w:tcW w:w="0" w:type="auto"/>
            <w:gridSpan w:val="3"/>
            <w:shd w:val="clear" w:color="auto" w:fill="auto"/>
            <w:vAlign w:val="bottom"/>
          </w:tcPr>
          <w:p w14:paraId="392CB47F" w14:textId="77777777" w:rsidR="00980E5F" w:rsidRDefault="00980E5F">
            <w:pPr>
              <w:rPr>
                <w:rFonts w:ascii="宋体"/>
                <w:vanish/>
              </w:rPr>
            </w:pPr>
          </w:p>
        </w:tc>
        <w:tc>
          <w:tcPr>
            <w:tcW w:w="0" w:type="auto"/>
            <w:gridSpan w:val="3"/>
            <w:shd w:val="clear" w:color="auto" w:fill="auto"/>
            <w:vAlign w:val="bottom"/>
          </w:tcPr>
          <w:p w14:paraId="392CB480" w14:textId="77777777" w:rsidR="00980E5F" w:rsidRDefault="00980E5F">
            <w:pPr>
              <w:rPr>
                <w:rFonts w:ascii="宋体"/>
                <w:vanish/>
              </w:rPr>
            </w:pPr>
          </w:p>
        </w:tc>
        <w:tc>
          <w:tcPr>
            <w:tcW w:w="0" w:type="auto"/>
            <w:gridSpan w:val="3"/>
            <w:shd w:val="clear" w:color="auto" w:fill="auto"/>
            <w:vAlign w:val="bottom"/>
          </w:tcPr>
          <w:p w14:paraId="392CB481" w14:textId="77777777" w:rsidR="00980E5F" w:rsidRDefault="00980E5F">
            <w:pPr>
              <w:rPr>
                <w:rFonts w:ascii="宋体"/>
                <w:vanish/>
              </w:rPr>
            </w:pPr>
          </w:p>
        </w:tc>
        <w:tc>
          <w:tcPr>
            <w:tcW w:w="0" w:type="auto"/>
            <w:gridSpan w:val="3"/>
            <w:shd w:val="clear" w:color="auto" w:fill="auto"/>
            <w:vAlign w:val="bottom"/>
          </w:tcPr>
          <w:p w14:paraId="392CB482" w14:textId="77777777" w:rsidR="00980E5F" w:rsidRDefault="00980E5F">
            <w:pPr>
              <w:rPr>
                <w:rFonts w:ascii="宋体"/>
                <w:vanish/>
              </w:rPr>
            </w:pPr>
          </w:p>
        </w:tc>
        <w:tc>
          <w:tcPr>
            <w:tcW w:w="0" w:type="auto"/>
            <w:gridSpan w:val="3"/>
            <w:shd w:val="clear" w:color="auto" w:fill="auto"/>
            <w:vAlign w:val="bottom"/>
          </w:tcPr>
          <w:p w14:paraId="392CB483" w14:textId="77777777" w:rsidR="00980E5F" w:rsidRDefault="00980E5F">
            <w:pPr>
              <w:rPr>
                <w:rFonts w:ascii="宋体"/>
                <w:vanish/>
              </w:rPr>
            </w:pPr>
          </w:p>
        </w:tc>
        <w:tc>
          <w:tcPr>
            <w:tcW w:w="0" w:type="auto"/>
            <w:gridSpan w:val="3"/>
            <w:shd w:val="clear" w:color="auto" w:fill="auto"/>
            <w:vAlign w:val="bottom"/>
          </w:tcPr>
          <w:p w14:paraId="392CB484" w14:textId="77777777" w:rsidR="00980E5F" w:rsidRDefault="00980E5F">
            <w:pPr>
              <w:rPr>
                <w:rFonts w:ascii="宋体"/>
                <w:vanish/>
              </w:rPr>
            </w:pPr>
          </w:p>
        </w:tc>
        <w:tc>
          <w:tcPr>
            <w:tcW w:w="0" w:type="auto"/>
            <w:gridSpan w:val="3"/>
            <w:shd w:val="clear" w:color="auto" w:fill="auto"/>
            <w:vAlign w:val="bottom"/>
          </w:tcPr>
          <w:p w14:paraId="392CB485" w14:textId="77777777" w:rsidR="00980E5F" w:rsidRDefault="00980E5F">
            <w:pPr>
              <w:rPr>
                <w:rFonts w:ascii="宋体"/>
                <w:vanish/>
              </w:rPr>
            </w:pPr>
          </w:p>
        </w:tc>
        <w:tc>
          <w:tcPr>
            <w:tcW w:w="0" w:type="auto"/>
            <w:gridSpan w:val="2"/>
            <w:shd w:val="clear" w:color="auto" w:fill="auto"/>
            <w:vAlign w:val="bottom"/>
          </w:tcPr>
          <w:p w14:paraId="392CB486" w14:textId="77777777" w:rsidR="00980E5F" w:rsidRDefault="00980E5F">
            <w:pPr>
              <w:rPr>
                <w:rFonts w:ascii="宋体"/>
                <w:vanish/>
              </w:rPr>
            </w:pPr>
          </w:p>
        </w:tc>
        <w:tc>
          <w:tcPr>
            <w:tcW w:w="0" w:type="auto"/>
            <w:shd w:val="clear" w:color="auto" w:fill="auto"/>
            <w:vAlign w:val="bottom"/>
          </w:tcPr>
          <w:p w14:paraId="392CB487" w14:textId="77777777" w:rsidR="00980E5F" w:rsidRDefault="00980E5F">
            <w:pPr>
              <w:rPr>
                <w:rFonts w:ascii="宋体"/>
                <w:vanish/>
              </w:rPr>
            </w:pPr>
          </w:p>
        </w:tc>
      </w:tr>
      <w:tr w:rsidR="00980E5F" w14:paraId="392CB4A5" w14:textId="77777777">
        <w:tc>
          <w:tcPr>
            <w:tcW w:w="0" w:type="auto"/>
            <w:gridSpan w:val="3"/>
            <w:shd w:val="clear" w:color="auto" w:fill="FFFFFF"/>
            <w:tcMar>
              <w:top w:w="40" w:type="dxa"/>
              <w:left w:w="20" w:type="dxa"/>
              <w:bottom w:w="40" w:type="dxa"/>
              <w:right w:w="20" w:type="dxa"/>
            </w:tcMar>
            <w:vAlign w:val="bottom"/>
          </w:tcPr>
          <w:p w14:paraId="392CB489" w14:textId="77777777" w:rsidR="00980E5F" w:rsidRDefault="00483613">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392CB48A" w14:textId="77777777" w:rsidR="00980E5F" w:rsidRDefault="00483613">
            <w:pPr>
              <w:jc w:val="right"/>
              <w:textAlignment w:val="bottom"/>
            </w:pPr>
            <w:r>
              <w:rPr>
                <w:rFonts w:ascii="Arial" w:eastAsia="宋体" w:hAnsi="Arial" w:cs="Arial"/>
                <w:b/>
                <w:bCs/>
                <w:color w:val="000000"/>
                <w:sz w:val="16"/>
                <w:szCs w:val="16"/>
              </w:rPr>
              <w:t>407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B48B"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48C"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48D" w14:textId="77777777" w:rsidR="00980E5F" w:rsidRDefault="00483613">
            <w:pPr>
              <w:jc w:val="right"/>
              <w:textAlignment w:val="bottom"/>
            </w:pPr>
            <w:r>
              <w:rPr>
                <w:rFonts w:ascii="Arial" w:eastAsia="宋体" w:hAnsi="Arial" w:cs="Arial"/>
                <w:b/>
                <w:bCs/>
                <w:color w:val="000000"/>
                <w:sz w:val="16"/>
                <w:szCs w:val="16"/>
              </w:rPr>
              <w:t>428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B48E"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48F"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490" w14:textId="77777777" w:rsidR="00980E5F" w:rsidRDefault="00483613">
            <w:pPr>
              <w:jc w:val="right"/>
              <w:textAlignment w:val="bottom"/>
            </w:pPr>
            <w:r>
              <w:rPr>
                <w:rFonts w:ascii="Arial" w:eastAsia="宋体" w:hAnsi="Arial" w:cs="Arial"/>
                <w:b/>
                <w:bCs/>
                <w:color w:val="000000"/>
                <w:sz w:val="16"/>
                <w:szCs w:val="16"/>
              </w:rPr>
              <w:t>835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B491"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492"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493" w14:textId="77777777" w:rsidR="00980E5F" w:rsidRDefault="00483613">
            <w:pPr>
              <w:jc w:val="right"/>
              <w:textAlignment w:val="bottom"/>
            </w:pPr>
            <w:r>
              <w:rPr>
                <w:rFonts w:ascii="Arial" w:eastAsia="宋体" w:hAnsi="Arial" w:cs="Arial"/>
                <w:color w:val="000000"/>
                <w:sz w:val="16"/>
                <w:szCs w:val="16"/>
              </w:rPr>
              <w:t>396 </w:t>
            </w:r>
          </w:p>
        </w:tc>
        <w:tc>
          <w:tcPr>
            <w:tcW w:w="0" w:type="auto"/>
            <w:shd w:val="clear" w:color="auto" w:fill="FFFFFF"/>
            <w:tcMar>
              <w:top w:w="40" w:type="dxa"/>
              <w:left w:w="0" w:type="dxa"/>
              <w:bottom w:w="40" w:type="dxa"/>
              <w:right w:w="20" w:type="dxa"/>
            </w:tcMar>
            <w:vAlign w:val="bottom"/>
          </w:tcPr>
          <w:p w14:paraId="392CB494"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495"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496" w14:textId="77777777" w:rsidR="00980E5F" w:rsidRDefault="00483613">
            <w:pPr>
              <w:jc w:val="right"/>
              <w:textAlignment w:val="bottom"/>
            </w:pPr>
            <w:r>
              <w:rPr>
                <w:rFonts w:ascii="Arial" w:eastAsia="宋体" w:hAnsi="Arial" w:cs="Arial"/>
                <w:color w:val="000000"/>
                <w:sz w:val="16"/>
                <w:szCs w:val="16"/>
              </w:rPr>
              <w:t>542 </w:t>
            </w:r>
          </w:p>
        </w:tc>
        <w:tc>
          <w:tcPr>
            <w:tcW w:w="0" w:type="auto"/>
            <w:shd w:val="clear" w:color="auto" w:fill="FFFFFF"/>
            <w:tcMar>
              <w:top w:w="40" w:type="dxa"/>
              <w:left w:w="0" w:type="dxa"/>
              <w:bottom w:w="40" w:type="dxa"/>
              <w:right w:w="20" w:type="dxa"/>
            </w:tcMar>
            <w:vAlign w:val="bottom"/>
          </w:tcPr>
          <w:p w14:paraId="392CB497"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498"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499" w14:textId="77777777" w:rsidR="00980E5F" w:rsidRDefault="00483613">
            <w:pPr>
              <w:jc w:val="right"/>
              <w:textAlignment w:val="bottom"/>
            </w:pPr>
            <w:r>
              <w:rPr>
                <w:rFonts w:ascii="Arial" w:eastAsia="宋体" w:hAnsi="Arial" w:cs="Arial"/>
                <w:color w:val="000000"/>
                <w:sz w:val="16"/>
                <w:szCs w:val="16"/>
              </w:rPr>
              <w:t>938 </w:t>
            </w:r>
          </w:p>
        </w:tc>
        <w:tc>
          <w:tcPr>
            <w:tcW w:w="0" w:type="auto"/>
            <w:shd w:val="clear" w:color="auto" w:fill="FFFFFF"/>
            <w:tcMar>
              <w:top w:w="40" w:type="dxa"/>
              <w:left w:w="0" w:type="dxa"/>
              <w:bottom w:w="40" w:type="dxa"/>
              <w:right w:w="20" w:type="dxa"/>
            </w:tcMar>
            <w:vAlign w:val="bottom"/>
          </w:tcPr>
          <w:p w14:paraId="392CB49A" w14:textId="77777777" w:rsidR="00980E5F" w:rsidRDefault="00980E5F">
            <w:pPr>
              <w:jc w:val="right"/>
              <w:rPr>
                <w:rFonts w:ascii="宋体"/>
              </w:rPr>
            </w:pPr>
          </w:p>
        </w:tc>
        <w:tc>
          <w:tcPr>
            <w:tcW w:w="0" w:type="auto"/>
            <w:gridSpan w:val="3"/>
            <w:shd w:val="clear" w:color="auto" w:fill="auto"/>
            <w:vAlign w:val="bottom"/>
          </w:tcPr>
          <w:p w14:paraId="392CB49B" w14:textId="77777777" w:rsidR="00980E5F" w:rsidRDefault="00980E5F">
            <w:pPr>
              <w:rPr>
                <w:rFonts w:ascii="宋体"/>
                <w:vanish/>
              </w:rPr>
            </w:pPr>
          </w:p>
        </w:tc>
        <w:tc>
          <w:tcPr>
            <w:tcW w:w="0" w:type="auto"/>
            <w:gridSpan w:val="3"/>
            <w:shd w:val="clear" w:color="auto" w:fill="auto"/>
            <w:vAlign w:val="bottom"/>
          </w:tcPr>
          <w:p w14:paraId="392CB49C" w14:textId="77777777" w:rsidR="00980E5F" w:rsidRDefault="00980E5F">
            <w:pPr>
              <w:rPr>
                <w:rFonts w:ascii="宋体"/>
                <w:vanish/>
              </w:rPr>
            </w:pPr>
          </w:p>
        </w:tc>
        <w:tc>
          <w:tcPr>
            <w:tcW w:w="0" w:type="auto"/>
            <w:gridSpan w:val="3"/>
            <w:shd w:val="clear" w:color="auto" w:fill="auto"/>
            <w:vAlign w:val="bottom"/>
          </w:tcPr>
          <w:p w14:paraId="392CB49D" w14:textId="77777777" w:rsidR="00980E5F" w:rsidRDefault="00980E5F">
            <w:pPr>
              <w:rPr>
                <w:rFonts w:ascii="宋体"/>
                <w:vanish/>
              </w:rPr>
            </w:pPr>
          </w:p>
        </w:tc>
        <w:tc>
          <w:tcPr>
            <w:tcW w:w="0" w:type="auto"/>
            <w:gridSpan w:val="3"/>
            <w:shd w:val="clear" w:color="auto" w:fill="auto"/>
            <w:vAlign w:val="bottom"/>
          </w:tcPr>
          <w:p w14:paraId="392CB49E" w14:textId="77777777" w:rsidR="00980E5F" w:rsidRDefault="00980E5F">
            <w:pPr>
              <w:rPr>
                <w:rFonts w:ascii="宋体"/>
                <w:vanish/>
              </w:rPr>
            </w:pPr>
          </w:p>
        </w:tc>
        <w:tc>
          <w:tcPr>
            <w:tcW w:w="0" w:type="auto"/>
            <w:gridSpan w:val="3"/>
            <w:shd w:val="clear" w:color="auto" w:fill="auto"/>
            <w:vAlign w:val="bottom"/>
          </w:tcPr>
          <w:p w14:paraId="392CB49F" w14:textId="77777777" w:rsidR="00980E5F" w:rsidRDefault="00980E5F">
            <w:pPr>
              <w:rPr>
                <w:rFonts w:ascii="宋体"/>
                <w:vanish/>
              </w:rPr>
            </w:pPr>
          </w:p>
        </w:tc>
        <w:tc>
          <w:tcPr>
            <w:tcW w:w="0" w:type="auto"/>
            <w:gridSpan w:val="3"/>
            <w:shd w:val="clear" w:color="auto" w:fill="auto"/>
            <w:vAlign w:val="bottom"/>
          </w:tcPr>
          <w:p w14:paraId="392CB4A0" w14:textId="77777777" w:rsidR="00980E5F" w:rsidRDefault="00980E5F">
            <w:pPr>
              <w:rPr>
                <w:rFonts w:ascii="宋体"/>
                <w:vanish/>
              </w:rPr>
            </w:pPr>
          </w:p>
        </w:tc>
        <w:tc>
          <w:tcPr>
            <w:tcW w:w="0" w:type="auto"/>
            <w:gridSpan w:val="3"/>
            <w:shd w:val="clear" w:color="auto" w:fill="auto"/>
            <w:vAlign w:val="bottom"/>
          </w:tcPr>
          <w:p w14:paraId="392CB4A1" w14:textId="77777777" w:rsidR="00980E5F" w:rsidRDefault="00980E5F">
            <w:pPr>
              <w:rPr>
                <w:rFonts w:ascii="宋体"/>
                <w:vanish/>
              </w:rPr>
            </w:pPr>
          </w:p>
        </w:tc>
        <w:tc>
          <w:tcPr>
            <w:tcW w:w="0" w:type="auto"/>
            <w:gridSpan w:val="3"/>
            <w:shd w:val="clear" w:color="auto" w:fill="auto"/>
            <w:vAlign w:val="bottom"/>
          </w:tcPr>
          <w:p w14:paraId="392CB4A2" w14:textId="77777777" w:rsidR="00980E5F" w:rsidRDefault="00980E5F">
            <w:pPr>
              <w:rPr>
                <w:rFonts w:ascii="宋体"/>
                <w:vanish/>
              </w:rPr>
            </w:pPr>
          </w:p>
        </w:tc>
        <w:tc>
          <w:tcPr>
            <w:tcW w:w="0" w:type="auto"/>
            <w:gridSpan w:val="2"/>
            <w:shd w:val="clear" w:color="auto" w:fill="auto"/>
            <w:vAlign w:val="bottom"/>
          </w:tcPr>
          <w:p w14:paraId="392CB4A3" w14:textId="77777777" w:rsidR="00980E5F" w:rsidRDefault="00980E5F">
            <w:pPr>
              <w:rPr>
                <w:rFonts w:ascii="宋体"/>
                <w:vanish/>
              </w:rPr>
            </w:pPr>
          </w:p>
        </w:tc>
        <w:tc>
          <w:tcPr>
            <w:tcW w:w="0" w:type="auto"/>
            <w:shd w:val="clear" w:color="auto" w:fill="auto"/>
            <w:vAlign w:val="bottom"/>
          </w:tcPr>
          <w:p w14:paraId="392CB4A4" w14:textId="77777777" w:rsidR="00980E5F" w:rsidRDefault="00980E5F">
            <w:pPr>
              <w:rPr>
                <w:rFonts w:ascii="宋体"/>
                <w:vanish/>
              </w:rPr>
            </w:pPr>
          </w:p>
        </w:tc>
      </w:tr>
      <w:tr w:rsidR="00980E5F" w14:paraId="392CB4BC" w14:textId="77777777">
        <w:trPr>
          <w:trHeight w:val="100"/>
        </w:trPr>
        <w:tc>
          <w:tcPr>
            <w:tcW w:w="0" w:type="auto"/>
            <w:gridSpan w:val="3"/>
            <w:shd w:val="clear" w:color="auto" w:fill="auto"/>
            <w:tcMar>
              <w:top w:w="0" w:type="dxa"/>
              <w:left w:w="20" w:type="dxa"/>
              <w:bottom w:w="0" w:type="dxa"/>
              <w:right w:w="20" w:type="dxa"/>
            </w:tcMar>
            <w:vAlign w:val="bottom"/>
          </w:tcPr>
          <w:p w14:paraId="392CB4A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A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B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4B1" w14:textId="77777777" w:rsidR="00980E5F" w:rsidRDefault="00980E5F">
            <w:pPr>
              <w:rPr>
                <w:rFonts w:ascii="宋体"/>
              </w:rPr>
            </w:pPr>
          </w:p>
        </w:tc>
        <w:tc>
          <w:tcPr>
            <w:tcW w:w="0" w:type="auto"/>
            <w:gridSpan w:val="3"/>
            <w:shd w:val="clear" w:color="auto" w:fill="auto"/>
            <w:vAlign w:val="bottom"/>
          </w:tcPr>
          <w:p w14:paraId="392CB4B2" w14:textId="77777777" w:rsidR="00980E5F" w:rsidRDefault="00980E5F">
            <w:pPr>
              <w:rPr>
                <w:rFonts w:ascii="宋体"/>
                <w:vanish/>
              </w:rPr>
            </w:pPr>
          </w:p>
        </w:tc>
        <w:tc>
          <w:tcPr>
            <w:tcW w:w="0" w:type="auto"/>
            <w:gridSpan w:val="3"/>
            <w:shd w:val="clear" w:color="auto" w:fill="auto"/>
            <w:vAlign w:val="bottom"/>
          </w:tcPr>
          <w:p w14:paraId="392CB4B3" w14:textId="77777777" w:rsidR="00980E5F" w:rsidRDefault="00980E5F">
            <w:pPr>
              <w:rPr>
                <w:rFonts w:ascii="宋体"/>
                <w:vanish/>
              </w:rPr>
            </w:pPr>
          </w:p>
        </w:tc>
        <w:tc>
          <w:tcPr>
            <w:tcW w:w="0" w:type="auto"/>
            <w:gridSpan w:val="3"/>
            <w:shd w:val="clear" w:color="auto" w:fill="auto"/>
            <w:vAlign w:val="bottom"/>
          </w:tcPr>
          <w:p w14:paraId="392CB4B4" w14:textId="77777777" w:rsidR="00980E5F" w:rsidRDefault="00980E5F">
            <w:pPr>
              <w:rPr>
                <w:rFonts w:ascii="宋体"/>
                <w:vanish/>
              </w:rPr>
            </w:pPr>
          </w:p>
        </w:tc>
        <w:tc>
          <w:tcPr>
            <w:tcW w:w="0" w:type="auto"/>
            <w:gridSpan w:val="3"/>
            <w:shd w:val="clear" w:color="auto" w:fill="auto"/>
            <w:vAlign w:val="bottom"/>
          </w:tcPr>
          <w:p w14:paraId="392CB4B5" w14:textId="77777777" w:rsidR="00980E5F" w:rsidRDefault="00980E5F">
            <w:pPr>
              <w:rPr>
                <w:rFonts w:ascii="宋体"/>
                <w:vanish/>
              </w:rPr>
            </w:pPr>
          </w:p>
        </w:tc>
        <w:tc>
          <w:tcPr>
            <w:tcW w:w="0" w:type="auto"/>
            <w:gridSpan w:val="3"/>
            <w:shd w:val="clear" w:color="auto" w:fill="auto"/>
            <w:vAlign w:val="bottom"/>
          </w:tcPr>
          <w:p w14:paraId="392CB4B6" w14:textId="77777777" w:rsidR="00980E5F" w:rsidRDefault="00980E5F">
            <w:pPr>
              <w:rPr>
                <w:rFonts w:ascii="宋体"/>
                <w:vanish/>
              </w:rPr>
            </w:pPr>
          </w:p>
        </w:tc>
        <w:tc>
          <w:tcPr>
            <w:tcW w:w="0" w:type="auto"/>
            <w:gridSpan w:val="3"/>
            <w:shd w:val="clear" w:color="auto" w:fill="auto"/>
            <w:vAlign w:val="bottom"/>
          </w:tcPr>
          <w:p w14:paraId="392CB4B7" w14:textId="77777777" w:rsidR="00980E5F" w:rsidRDefault="00980E5F">
            <w:pPr>
              <w:rPr>
                <w:rFonts w:ascii="宋体"/>
                <w:vanish/>
              </w:rPr>
            </w:pPr>
          </w:p>
        </w:tc>
        <w:tc>
          <w:tcPr>
            <w:tcW w:w="0" w:type="auto"/>
            <w:gridSpan w:val="3"/>
            <w:shd w:val="clear" w:color="auto" w:fill="auto"/>
            <w:vAlign w:val="bottom"/>
          </w:tcPr>
          <w:p w14:paraId="392CB4B8" w14:textId="77777777" w:rsidR="00980E5F" w:rsidRDefault="00980E5F">
            <w:pPr>
              <w:rPr>
                <w:rFonts w:ascii="宋体"/>
                <w:vanish/>
              </w:rPr>
            </w:pPr>
          </w:p>
        </w:tc>
        <w:tc>
          <w:tcPr>
            <w:tcW w:w="0" w:type="auto"/>
            <w:gridSpan w:val="3"/>
            <w:shd w:val="clear" w:color="auto" w:fill="auto"/>
            <w:vAlign w:val="bottom"/>
          </w:tcPr>
          <w:p w14:paraId="392CB4B9" w14:textId="77777777" w:rsidR="00980E5F" w:rsidRDefault="00980E5F">
            <w:pPr>
              <w:rPr>
                <w:rFonts w:ascii="宋体"/>
                <w:vanish/>
              </w:rPr>
            </w:pPr>
          </w:p>
        </w:tc>
        <w:tc>
          <w:tcPr>
            <w:tcW w:w="0" w:type="auto"/>
            <w:gridSpan w:val="2"/>
            <w:shd w:val="clear" w:color="auto" w:fill="auto"/>
            <w:vAlign w:val="bottom"/>
          </w:tcPr>
          <w:p w14:paraId="392CB4BA" w14:textId="77777777" w:rsidR="00980E5F" w:rsidRDefault="00980E5F">
            <w:pPr>
              <w:rPr>
                <w:rFonts w:ascii="宋体"/>
                <w:vanish/>
              </w:rPr>
            </w:pPr>
          </w:p>
        </w:tc>
        <w:tc>
          <w:tcPr>
            <w:tcW w:w="0" w:type="auto"/>
            <w:shd w:val="clear" w:color="auto" w:fill="auto"/>
            <w:vAlign w:val="bottom"/>
          </w:tcPr>
          <w:p w14:paraId="392CB4BB" w14:textId="77777777" w:rsidR="00980E5F" w:rsidRDefault="00980E5F">
            <w:pPr>
              <w:rPr>
                <w:rFonts w:ascii="宋体"/>
                <w:vanish/>
              </w:rPr>
            </w:pPr>
          </w:p>
        </w:tc>
      </w:tr>
      <w:tr w:rsidR="00980E5F" w14:paraId="392CB4E0" w14:textId="77777777">
        <w:trPr>
          <w:hidden/>
        </w:trPr>
        <w:tc>
          <w:tcPr>
            <w:tcW w:w="0" w:type="auto"/>
            <w:gridSpan w:val="3"/>
            <w:shd w:val="clear" w:color="auto" w:fill="auto"/>
            <w:vAlign w:val="bottom"/>
          </w:tcPr>
          <w:p w14:paraId="392CB4BD" w14:textId="77777777" w:rsidR="00980E5F" w:rsidRDefault="00980E5F">
            <w:pPr>
              <w:rPr>
                <w:rFonts w:ascii="宋体"/>
                <w:vanish/>
              </w:rPr>
            </w:pPr>
          </w:p>
        </w:tc>
        <w:tc>
          <w:tcPr>
            <w:tcW w:w="0" w:type="auto"/>
            <w:gridSpan w:val="3"/>
            <w:shd w:val="clear" w:color="auto" w:fill="auto"/>
            <w:vAlign w:val="bottom"/>
          </w:tcPr>
          <w:p w14:paraId="392CB4BE" w14:textId="77777777" w:rsidR="00980E5F" w:rsidRDefault="00980E5F">
            <w:pPr>
              <w:rPr>
                <w:rFonts w:ascii="宋体"/>
                <w:vanish/>
              </w:rPr>
            </w:pPr>
          </w:p>
        </w:tc>
        <w:tc>
          <w:tcPr>
            <w:tcW w:w="0" w:type="auto"/>
            <w:gridSpan w:val="3"/>
            <w:shd w:val="clear" w:color="auto" w:fill="auto"/>
            <w:vAlign w:val="bottom"/>
          </w:tcPr>
          <w:p w14:paraId="392CB4BF" w14:textId="77777777" w:rsidR="00980E5F" w:rsidRDefault="00980E5F">
            <w:pPr>
              <w:rPr>
                <w:rFonts w:ascii="宋体"/>
                <w:vanish/>
              </w:rPr>
            </w:pPr>
          </w:p>
        </w:tc>
        <w:tc>
          <w:tcPr>
            <w:tcW w:w="0" w:type="auto"/>
            <w:gridSpan w:val="3"/>
            <w:shd w:val="clear" w:color="auto" w:fill="auto"/>
            <w:vAlign w:val="bottom"/>
          </w:tcPr>
          <w:p w14:paraId="392CB4C0" w14:textId="77777777" w:rsidR="00980E5F" w:rsidRDefault="00980E5F">
            <w:pPr>
              <w:rPr>
                <w:rFonts w:ascii="宋体"/>
                <w:vanish/>
              </w:rPr>
            </w:pPr>
          </w:p>
        </w:tc>
        <w:tc>
          <w:tcPr>
            <w:tcW w:w="0" w:type="auto"/>
            <w:gridSpan w:val="3"/>
            <w:shd w:val="clear" w:color="auto" w:fill="auto"/>
            <w:vAlign w:val="bottom"/>
          </w:tcPr>
          <w:p w14:paraId="392CB4C1" w14:textId="77777777" w:rsidR="00980E5F" w:rsidRDefault="00980E5F">
            <w:pPr>
              <w:rPr>
                <w:rFonts w:ascii="宋体"/>
                <w:vanish/>
              </w:rPr>
            </w:pPr>
          </w:p>
        </w:tc>
        <w:tc>
          <w:tcPr>
            <w:tcW w:w="0" w:type="auto"/>
            <w:gridSpan w:val="3"/>
            <w:shd w:val="clear" w:color="auto" w:fill="auto"/>
            <w:vAlign w:val="bottom"/>
          </w:tcPr>
          <w:p w14:paraId="392CB4C2" w14:textId="77777777" w:rsidR="00980E5F" w:rsidRDefault="00980E5F">
            <w:pPr>
              <w:rPr>
                <w:rFonts w:ascii="宋体"/>
                <w:vanish/>
              </w:rPr>
            </w:pPr>
          </w:p>
        </w:tc>
        <w:tc>
          <w:tcPr>
            <w:tcW w:w="0" w:type="auto"/>
            <w:gridSpan w:val="3"/>
            <w:shd w:val="clear" w:color="auto" w:fill="auto"/>
            <w:vAlign w:val="bottom"/>
          </w:tcPr>
          <w:p w14:paraId="392CB4C3" w14:textId="77777777" w:rsidR="00980E5F" w:rsidRDefault="00980E5F">
            <w:pPr>
              <w:rPr>
                <w:rFonts w:ascii="宋体"/>
                <w:vanish/>
              </w:rPr>
            </w:pPr>
          </w:p>
        </w:tc>
        <w:tc>
          <w:tcPr>
            <w:tcW w:w="0" w:type="auto"/>
            <w:gridSpan w:val="3"/>
            <w:shd w:val="clear" w:color="auto" w:fill="auto"/>
            <w:vAlign w:val="bottom"/>
          </w:tcPr>
          <w:p w14:paraId="392CB4C4" w14:textId="77777777" w:rsidR="00980E5F" w:rsidRDefault="00980E5F">
            <w:pPr>
              <w:rPr>
                <w:rFonts w:ascii="宋体"/>
                <w:vanish/>
              </w:rPr>
            </w:pPr>
          </w:p>
        </w:tc>
        <w:tc>
          <w:tcPr>
            <w:tcW w:w="0" w:type="auto"/>
            <w:gridSpan w:val="3"/>
            <w:shd w:val="clear" w:color="auto" w:fill="auto"/>
            <w:vAlign w:val="bottom"/>
          </w:tcPr>
          <w:p w14:paraId="392CB4C5" w14:textId="77777777" w:rsidR="00980E5F" w:rsidRDefault="00980E5F">
            <w:pPr>
              <w:rPr>
                <w:rFonts w:ascii="宋体"/>
                <w:vanish/>
              </w:rPr>
            </w:pPr>
          </w:p>
        </w:tc>
        <w:tc>
          <w:tcPr>
            <w:tcW w:w="0" w:type="auto"/>
            <w:gridSpan w:val="3"/>
            <w:shd w:val="clear" w:color="auto" w:fill="auto"/>
            <w:vAlign w:val="bottom"/>
          </w:tcPr>
          <w:p w14:paraId="392CB4C6" w14:textId="77777777" w:rsidR="00980E5F" w:rsidRDefault="00980E5F">
            <w:pPr>
              <w:rPr>
                <w:rFonts w:ascii="宋体"/>
                <w:vanish/>
              </w:rPr>
            </w:pPr>
          </w:p>
        </w:tc>
        <w:tc>
          <w:tcPr>
            <w:tcW w:w="0" w:type="auto"/>
            <w:gridSpan w:val="3"/>
            <w:shd w:val="clear" w:color="auto" w:fill="auto"/>
            <w:vAlign w:val="bottom"/>
          </w:tcPr>
          <w:p w14:paraId="392CB4C7" w14:textId="77777777" w:rsidR="00980E5F" w:rsidRDefault="00980E5F">
            <w:pPr>
              <w:rPr>
                <w:rFonts w:ascii="宋体"/>
                <w:vanish/>
              </w:rPr>
            </w:pPr>
          </w:p>
        </w:tc>
        <w:tc>
          <w:tcPr>
            <w:tcW w:w="0" w:type="auto"/>
            <w:gridSpan w:val="3"/>
            <w:shd w:val="clear" w:color="auto" w:fill="auto"/>
            <w:vAlign w:val="bottom"/>
          </w:tcPr>
          <w:p w14:paraId="392CB4C8" w14:textId="77777777" w:rsidR="00980E5F" w:rsidRDefault="00980E5F">
            <w:pPr>
              <w:rPr>
                <w:rFonts w:ascii="宋体"/>
                <w:vanish/>
              </w:rPr>
            </w:pPr>
          </w:p>
        </w:tc>
        <w:tc>
          <w:tcPr>
            <w:tcW w:w="0" w:type="auto"/>
            <w:gridSpan w:val="3"/>
            <w:shd w:val="clear" w:color="auto" w:fill="auto"/>
            <w:vAlign w:val="bottom"/>
          </w:tcPr>
          <w:p w14:paraId="392CB4C9" w14:textId="77777777" w:rsidR="00980E5F" w:rsidRDefault="00980E5F">
            <w:pPr>
              <w:rPr>
                <w:rFonts w:ascii="宋体"/>
                <w:vanish/>
              </w:rPr>
            </w:pPr>
          </w:p>
        </w:tc>
        <w:tc>
          <w:tcPr>
            <w:tcW w:w="0" w:type="auto"/>
            <w:gridSpan w:val="3"/>
            <w:shd w:val="clear" w:color="auto" w:fill="auto"/>
            <w:vAlign w:val="bottom"/>
          </w:tcPr>
          <w:p w14:paraId="392CB4CA" w14:textId="77777777" w:rsidR="00980E5F" w:rsidRDefault="00980E5F">
            <w:pPr>
              <w:rPr>
                <w:rFonts w:ascii="宋体"/>
                <w:vanish/>
              </w:rPr>
            </w:pPr>
          </w:p>
        </w:tc>
        <w:tc>
          <w:tcPr>
            <w:tcW w:w="0" w:type="auto"/>
            <w:shd w:val="clear" w:color="auto" w:fill="auto"/>
            <w:vAlign w:val="bottom"/>
          </w:tcPr>
          <w:p w14:paraId="392CB4CB" w14:textId="77777777" w:rsidR="00980E5F" w:rsidRDefault="00980E5F">
            <w:pPr>
              <w:rPr>
                <w:rFonts w:ascii="宋体"/>
              </w:rPr>
            </w:pPr>
          </w:p>
        </w:tc>
        <w:tc>
          <w:tcPr>
            <w:tcW w:w="0" w:type="auto"/>
            <w:shd w:val="clear" w:color="auto" w:fill="auto"/>
            <w:vAlign w:val="bottom"/>
          </w:tcPr>
          <w:p w14:paraId="392CB4CC" w14:textId="77777777" w:rsidR="00980E5F" w:rsidRDefault="00980E5F">
            <w:pPr>
              <w:rPr>
                <w:rFonts w:ascii="宋体"/>
              </w:rPr>
            </w:pPr>
          </w:p>
        </w:tc>
        <w:tc>
          <w:tcPr>
            <w:tcW w:w="0" w:type="auto"/>
            <w:shd w:val="clear" w:color="auto" w:fill="auto"/>
            <w:vAlign w:val="bottom"/>
          </w:tcPr>
          <w:p w14:paraId="392CB4CD" w14:textId="77777777" w:rsidR="00980E5F" w:rsidRDefault="00980E5F">
            <w:pPr>
              <w:rPr>
                <w:rFonts w:ascii="宋体"/>
              </w:rPr>
            </w:pPr>
          </w:p>
        </w:tc>
        <w:tc>
          <w:tcPr>
            <w:tcW w:w="0" w:type="auto"/>
            <w:shd w:val="clear" w:color="auto" w:fill="auto"/>
            <w:vAlign w:val="bottom"/>
          </w:tcPr>
          <w:p w14:paraId="392CB4CE" w14:textId="77777777" w:rsidR="00980E5F" w:rsidRDefault="00980E5F">
            <w:pPr>
              <w:rPr>
                <w:rFonts w:ascii="宋体"/>
              </w:rPr>
            </w:pPr>
          </w:p>
        </w:tc>
        <w:tc>
          <w:tcPr>
            <w:tcW w:w="0" w:type="auto"/>
            <w:shd w:val="clear" w:color="auto" w:fill="auto"/>
            <w:vAlign w:val="bottom"/>
          </w:tcPr>
          <w:p w14:paraId="392CB4CF" w14:textId="77777777" w:rsidR="00980E5F" w:rsidRDefault="00980E5F">
            <w:pPr>
              <w:rPr>
                <w:rFonts w:ascii="宋体"/>
              </w:rPr>
            </w:pPr>
          </w:p>
        </w:tc>
        <w:tc>
          <w:tcPr>
            <w:tcW w:w="0" w:type="auto"/>
            <w:shd w:val="clear" w:color="auto" w:fill="auto"/>
            <w:vAlign w:val="bottom"/>
          </w:tcPr>
          <w:p w14:paraId="392CB4D0" w14:textId="77777777" w:rsidR="00980E5F" w:rsidRDefault="00980E5F">
            <w:pPr>
              <w:rPr>
                <w:rFonts w:ascii="宋体"/>
              </w:rPr>
            </w:pPr>
          </w:p>
        </w:tc>
        <w:tc>
          <w:tcPr>
            <w:tcW w:w="0" w:type="auto"/>
            <w:shd w:val="clear" w:color="auto" w:fill="auto"/>
            <w:vAlign w:val="bottom"/>
          </w:tcPr>
          <w:p w14:paraId="392CB4D1" w14:textId="77777777" w:rsidR="00980E5F" w:rsidRDefault="00980E5F">
            <w:pPr>
              <w:rPr>
                <w:rFonts w:ascii="宋体"/>
              </w:rPr>
            </w:pPr>
          </w:p>
        </w:tc>
        <w:tc>
          <w:tcPr>
            <w:tcW w:w="0" w:type="auto"/>
            <w:shd w:val="clear" w:color="auto" w:fill="auto"/>
            <w:vAlign w:val="bottom"/>
          </w:tcPr>
          <w:p w14:paraId="392CB4D2" w14:textId="77777777" w:rsidR="00980E5F" w:rsidRDefault="00980E5F">
            <w:pPr>
              <w:rPr>
                <w:rFonts w:ascii="宋体"/>
              </w:rPr>
            </w:pPr>
          </w:p>
        </w:tc>
        <w:tc>
          <w:tcPr>
            <w:tcW w:w="0" w:type="auto"/>
            <w:shd w:val="clear" w:color="auto" w:fill="auto"/>
            <w:vAlign w:val="bottom"/>
          </w:tcPr>
          <w:p w14:paraId="392CB4D3" w14:textId="77777777" w:rsidR="00980E5F" w:rsidRDefault="00980E5F">
            <w:pPr>
              <w:rPr>
                <w:rFonts w:ascii="宋体"/>
              </w:rPr>
            </w:pPr>
          </w:p>
        </w:tc>
        <w:tc>
          <w:tcPr>
            <w:tcW w:w="0" w:type="auto"/>
            <w:shd w:val="clear" w:color="auto" w:fill="auto"/>
            <w:vAlign w:val="bottom"/>
          </w:tcPr>
          <w:p w14:paraId="392CB4D4" w14:textId="77777777" w:rsidR="00980E5F" w:rsidRDefault="00980E5F">
            <w:pPr>
              <w:rPr>
                <w:rFonts w:ascii="宋体"/>
              </w:rPr>
            </w:pPr>
          </w:p>
        </w:tc>
        <w:tc>
          <w:tcPr>
            <w:tcW w:w="0" w:type="auto"/>
            <w:shd w:val="clear" w:color="auto" w:fill="auto"/>
            <w:vAlign w:val="bottom"/>
          </w:tcPr>
          <w:p w14:paraId="392CB4D5" w14:textId="77777777" w:rsidR="00980E5F" w:rsidRDefault="00980E5F">
            <w:pPr>
              <w:rPr>
                <w:rFonts w:ascii="宋体"/>
              </w:rPr>
            </w:pPr>
          </w:p>
        </w:tc>
        <w:tc>
          <w:tcPr>
            <w:tcW w:w="0" w:type="auto"/>
            <w:shd w:val="clear" w:color="auto" w:fill="auto"/>
            <w:vAlign w:val="bottom"/>
          </w:tcPr>
          <w:p w14:paraId="392CB4D6" w14:textId="77777777" w:rsidR="00980E5F" w:rsidRDefault="00980E5F">
            <w:pPr>
              <w:rPr>
                <w:rFonts w:ascii="宋体"/>
              </w:rPr>
            </w:pPr>
          </w:p>
        </w:tc>
        <w:tc>
          <w:tcPr>
            <w:tcW w:w="0" w:type="auto"/>
            <w:shd w:val="clear" w:color="auto" w:fill="auto"/>
            <w:vAlign w:val="bottom"/>
          </w:tcPr>
          <w:p w14:paraId="392CB4D7" w14:textId="77777777" w:rsidR="00980E5F" w:rsidRDefault="00980E5F">
            <w:pPr>
              <w:rPr>
                <w:rFonts w:ascii="宋体"/>
              </w:rPr>
            </w:pPr>
          </w:p>
        </w:tc>
        <w:tc>
          <w:tcPr>
            <w:tcW w:w="0" w:type="auto"/>
            <w:shd w:val="clear" w:color="auto" w:fill="auto"/>
            <w:vAlign w:val="bottom"/>
          </w:tcPr>
          <w:p w14:paraId="392CB4D8" w14:textId="77777777" w:rsidR="00980E5F" w:rsidRDefault="00980E5F">
            <w:pPr>
              <w:rPr>
                <w:rFonts w:ascii="宋体"/>
              </w:rPr>
            </w:pPr>
          </w:p>
        </w:tc>
        <w:tc>
          <w:tcPr>
            <w:tcW w:w="0" w:type="auto"/>
            <w:shd w:val="clear" w:color="auto" w:fill="auto"/>
            <w:vAlign w:val="bottom"/>
          </w:tcPr>
          <w:p w14:paraId="392CB4D9" w14:textId="77777777" w:rsidR="00980E5F" w:rsidRDefault="00980E5F">
            <w:pPr>
              <w:rPr>
                <w:rFonts w:ascii="宋体"/>
              </w:rPr>
            </w:pPr>
          </w:p>
        </w:tc>
        <w:tc>
          <w:tcPr>
            <w:tcW w:w="0" w:type="auto"/>
            <w:shd w:val="clear" w:color="auto" w:fill="auto"/>
            <w:vAlign w:val="bottom"/>
          </w:tcPr>
          <w:p w14:paraId="392CB4DA" w14:textId="77777777" w:rsidR="00980E5F" w:rsidRDefault="00980E5F">
            <w:pPr>
              <w:rPr>
                <w:rFonts w:ascii="宋体"/>
              </w:rPr>
            </w:pPr>
          </w:p>
        </w:tc>
        <w:tc>
          <w:tcPr>
            <w:tcW w:w="0" w:type="auto"/>
            <w:shd w:val="clear" w:color="auto" w:fill="auto"/>
            <w:vAlign w:val="bottom"/>
          </w:tcPr>
          <w:p w14:paraId="392CB4DB" w14:textId="77777777" w:rsidR="00980E5F" w:rsidRDefault="00980E5F">
            <w:pPr>
              <w:rPr>
                <w:rFonts w:ascii="宋体"/>
              </w:rPr>
            </w:pPr>
          </w:p>
        </w:tc>
        <w:tc>
          <w:tcPr>
            <w:tcW w:w="0" w:type="auto"/>
            <w:shd w:val="clear" w:color="auto" w:fill="auto"/>
            <w:vAlign w:val="bottom"/>
          </w:tcPr>
          <w:p w14:paraId="392CB4DC" w14:textId="77777777" w:rsidR="00980E5F" w:rsidRDefault="00980E5F">
            <w:pPr>
              <w:rPr>
                <w:rFonts w:ascii="宋体"/>
              </w:rPr>
            </w:pPr>
          </w:p>
        </w:tc>
        <w:tc>
          <w:tcPr>
            <w:tcW w:w="0" w:type="auto"/>
            <w:shd w:val="clear" w:color="auto" w:fill="auto"/>
            <w:vAlign w:val="bottom"/>
          </w:tcPr>
          <w:p w14:paraId="392CB4DD" w14:textId="77777777" w:rsidR="00980E5F" w:rsidRDefault="00980E5F">
            <w:pPr>
              <w:rPr>
                <w:rFonts w:ascii="宋体"/>
              </w:rPr>
            </w:pPr>
          </w:p>
        </w:tc>
        <w:tc>
          <w:tcPr>
            <w:tcW w:w="0" w:type="auto"/>
            <w:shd w:val="clear" w:color="auto" w:fill="auto"/>
            <w:vAlign w:val="bottom"/>
          </w:tcPr>
          <w:p w14:paraId="392CB4DE" w14:textId="77777777" w:rsidR="00980E5F" w:rsidRDefault="00980E5F">
            <w:pPr>
              <w:rPr>
                <w:rFonts w:ascii="宋体"/>
              </w:rPr>
            </w:pPr>
          </w:p>
        </w:tc>
        <w:tc>
          <w:tcPr>
            <w:tcW w:w="0" w:type="auto"/>
            <w:shd w:val="clear" w:color="auto" w:fill="auto"/>
            <w:vAlign w:val="bottom"/>
          </w:tcPr>
          <w:p w14:paraId="392CB4DF" w14:textId="77777777" w:rsidR="00980E5F" w:rsidRDefault="00980E5F">
            <w:pPr>
              <w:rPr>
                <w:rFonts w:ascii="宋体"/>
              </w:rPr>
            </w:pPr>
          </w:p>
        </w:tc>
      </w:tr>
      <w:tr w:rsidR="00980E5F" w14:paraId="392CB508" w14:textId="77777777">
        <w:trPr>
          <w:hidden/>
        </w:trPr>
        <w:tc>
          <w:tcPr>
            <w:tcW w:w="0" w:type="auto"/>
            <w:gridSpan w:val="3"/>
            <w:shd w:val="clear" w:color="auto" w:fill="auto"/>
            <w:vAlign w:val="bottom"/>
          </w:tcPr>
          <w:p w14:paraId="392CB4E1" w14:textId="77777777" w:rsidR="00980E5F" w:rsidRDefault="00980E5F">
            <w:pPr>
              <w:rPr>
                <w:rFonts w:ascii="宋体"/>
                <w:vanish/>
              </w:rPr>
            </w:pPr>
          </w:p>
        </w:tc>
        <w:tc>
          <w:tcPr>
            <w:tcW w:w="0" w:type="auto"/>
            <w:gridSpan w:val="3"/>
            <w:shd w:val="clear" w:color="auto" w:fill="auto"/>
            <w:vAlign w:val="bottom"/>
          </w:tcPr>
          <w:p w14:paraId="392CB4E2" w14:textId="77777777" w:rsidR="00980E5F" w:rsidRDefault="00980E5F">
            <w:pPr>
              <w:rPr>
                <w:rFonts w:ascii="宋体"/>
                <w:vanish/>
              </w:rPr>
            </w:pPr>
          </w:p>
        </w:tc>
        <w:tc>
          <w:tcPr>
            <w:tcW w:w="0" w:type="auto"/>
            <w:gridSpan w:val="3"/>
            <w:shd w:val="clear" w:color="auto" w:fill="auto"/>
            <w:vAlign w:val="bottom"/>
          </w:tcPr>
          <w:p w14:paraId="392CB4E3" w14:textId="77777777" w:rsidR="00980E5F" w:rsidRDefault="00980E5F">
            <w:pPr>
              <w:rPr>
                <w:rFonts w:ascii="宋体"/>
                <w:vanish/>
              </w:rPr>
            </w:pPr>
          </w:p>
        </w:tc>
        <w:tc>
          <w:tcPr>
            <w:tcW w:w="0" w:type="auto"/>
            <w:gridSpan w:val="3"/>
            <w:shd w:val="clear" w:color="auto" w:fill="auto"/>
            <w:vAlign w:val="bottom"/>
          </w:tcPr>
          <w:p w14:paraId="392CB4E4" w14:textId="77777777" w:rsidR="00980E5F" w:rsidRDefault="00980E5F">
            <w:pPr>
              <w:rPr>
                <w:rFonts w:ascii="宋体"/>
                <w:vanish/>
              </w:rPr>
            </w:pPr>
          </w:p>
        </w:tc>
        <w:tc>
          <w:tcPr>
            <w:tcW w:w="0" w:type="auto"/>
            <w:gridSpan w:val="3"/>
            <w:shd w:val="clear" w:color="auto" w:fill="auto"/>
            <w:vAlign w:val="bottom"/>
          </w:tcPr>
          <w:p w14:paraId="392CB4E5" w14:textId="77777777" w:rsidR="00980E5F" w:rsidRDefault="00980E5F">
            <w:pPr>
              <w:rPr>
                <w:rFonts w:ascii="宋体"/>
                <w:vanish/>
              </w:rPr>
            </w:pPr>
          </w:p>
        </w:tc>
        <w:tc>
          <w:tcPr>
            <w:tcW w:w="0" w:type="auto"/>
            <w:gridSpan w:val="3"/>
            <w:shd w:val="clear" w:color="auto" w:fill="auto"/>
            <w:vAlign w:val="bottom"/>
          </w:tcPr>
          <w:p w14:paraId="392CB4E6" w14:textId="77777777" w:rsidR="00980E5F" w:rsidRDefault="00980E5F">
            <w:pPr>
              <w:rPr>
                <w:rFonts w:ascii="宋体"/>
                <w:vanish/>
              </w:rPr>
            </w:pPr>
          </w:p>
        </w:tc>
        <w:tc>
          <w:tcPr>
            <w:tcW w:w="0" w:type="auto"/>
            <w:gridSpan w:val="3"/>
            <w:shd w:val="clear" w:color="auto" w:fill="auto"/>
            <w:vAlign w:val="bottom"/>
          </w:tcPr>
          <w:p w14:paraId="392CB4E7" w14:textId="77777777" w:rsidR="00980E5F" w:rsidRDefault="00980E5F">
            <w:pPr>
              <w:rPr>
                <w:rFonts w:ascii="宋体"/>
                <w:vanish/>
              </w:rPr>
            </w:pPr>
          </w:p>
        </w:tc>
        <w:tc>
          <w:tcPr>
            <w:tcW w:w="0" w:type="auto"/>
            <w:gridSpan w:val="3"/>
            <w:shd w:val="clear" w:color="auto" w:fill="auto"/>
            <w:vAlign w:val="bottom"/>
          </w:tcPr>
          <w:p w14:paraId="392CB4E8" w14:textId="77777777" w:rsidR="00980E5F" w:rsidRDefault="00980E5F">
            <w:pPr>
              <w:rPr>
                <w:rFonts w:ascii="宋体"/>
                <w:vanish/>
              </w:rPr>
            </w:pPr>
          </w:p>
        </w:tc>
        <w:tc>
          <w:tcPr>
            <w:tcW w:w="0" w:type="auto"/>
            <w:gridSpan w:val="3"/>
            <w:shd w:val="clear" w:color="auto" w:fill="auto"/>
            <w:vAlign w:val="bottom"/>
          </w:tcPr>
          <w:p w14:paraId="392CB4E9" w14:textId="77777777" w:rsidR="00980E5F" w:rsidRDefault="00980E5F">
            <w:pPr>
              <w:rPr>
                <w:rFonts w:ascii="宋体"/>
                <w:vanish/>
              </w:rPr>
            </w:pPr>
          </w:p>
        </w:tc>
        <w:tc>
          <w:tcPr>
            <w:tcW w:w="0" w:type="auto"/>
            <w:gridSpan w:val="3"/>
            <w:shd w:val="clear" w:color="auto" w:fill="auto"/>
            <w:vAlign w:val="bottom"/>
          </w:tcPr>
          <w:p w14:paraId="392CB4EA" w14:textId="77777777" w:rsidR="00980E5F" w:rsidRDefault="00980E5F">
            <w:pPr>
              <w:rPr>
                <w:rFonts w:ascii="宋体"/>
                <w:vanish/>
              </w:rPr>
            </w:pPr>
          </w:p>
        </w:tc>
        <w:tc>
          <w:tcPr>
            <w:tcW w:w="0" w:type="auto"/>
            <w:gridSpan w:val="3"/>
            <w:shd w:val="clear" w:color="auto" w:fill="auto"/>
            <w:vAlign w:val="bottom"/>
          </w:tcPr>
          <w:p w14:paraId="392CB4EB" w14:textId="77777777" w:rsidR="00980E5F" w:rsidRDefault="00980E5F">
            <w:pPr>
              <w:rPr>
                <w:rFonts w:ascii="宋体"/>
                <w:vanish/>
              </w:rPr>
            </w:pPr>
          </w:p>
        </w:tc>
        <w:tc>
          <w:tcPr>
            <w:tcW w:w="0" w:type="auto"/>
            <w:gridSpan w:val="3"/>
            <w:shd w:val="clear" w:color="auto" w:fill="auto"/>
            <w:vAlign w:val="bottom"/>
          </w:tcPr>
          <w:p w14:paraId="392CB4EC" w14:textId="77777777" w:rsidR="00980E5F" w:rsidRDefault="00980E5F">
            <w:pPr>
              <w:rPr>
                <w:rFonts w:ascii="宋体"/>
                <w:vanish/>
              </w:rPr>
            </w:pPr>
          </w:p>
        </w:tc>
        <w:tc>
          <w:tcPr>
            <w:tcW w:w="0" w:type="auto"/>
            <w:shd w:val="clear" w:color="auto" w:fill="auto"/>
            <w:vAlign w:val="bottom"/>
          </w:tcPr>
          <w:p w14:paraId="392CB4ED" w14:textId="77777777" w:rsidR="00980E5F" w:rsidRDefault="00980E5F">
            <w:pPr>
              <w:rPr>
                <w:rFonts w:ascii="宋体"/>
              </w:rPr>
            </w:pPr>
          </w:p>
        </w:tc>
        <w:tc>
          <w:tcPr>
            <w:tcW w:w="0" w:type="auto"/>
            <w:shd w:val="clear" w:color="auto" w:fill="auto"/>
            <w:vAlign w:val="bottom"/>
          </w:tcPr>
          <w:p w14:paraId="392CB4EE" w14:textId="77777777" w:rsidR="00980E5F" w:rsidRDefault="00980E5F">
            <w:pPr>
              <w:rPr>
                <w:rFonts w:ascii="宋体"/>
              </w:rPr>
            </w:pPr>
          </w:p>
        </w:tc>
        <w:tc>
          <w:tcPr>
            <w:tcW w:w="0" w:type="auto"/>
            <w:shd w:val="clear" w:color="auto" w:fill="auto"/>
            <w:vAlign w:val="bottom"/>
          </w:tcPr>
          <w:p w14:paraId="392CB4EF" w14:textId="77777777" w:rsidR="00980E5F" w:rsidRDefault="00980E5F">
            <w:pPr>
              <w:rPr>
                <w:rFonts w:ascii="宋体"/>
              </w:rPr>
            </w:pPr>
          </w:p>
        </w:tc>
        <w:tc>
          <w:tcPr>
            <w:tcW w:w="0" w:type="auto"/>
            <w:shd w:val="clear" w:color="auto" w:fill="auto"/>
            <w:vAlign w:val="bottom"/>
          </w:tcPr>
          <w:p w14:paraId="392CB4F0" w14:textId="77777777" w:rsidR="00980E5F" w:rsidRDefault="00980E5F">
            <w:pPr>
              <w:rPr>
                <w:rFonts w:ascii="宋体"/>
              </w:rPr>
            </w:pPr>
          </w:p>
        </w:tc>
        <w:tc>
          <w:tcPr>
            <w:tcW w:w="0" w:type="auto"/>
            <w:shd w:val="clear" w:color="auto" w:fill="auto"/>
            <w:vAlign w:val="bottom"/>
          </w:tcPr>
          <w:p w14:paraId="392CB4F1" w14:textId="77777777" w:rsidR="00980E5F" w:rsidRDefault="00980E5F">
            <w:pPr>
              <w:rPr>
                <w:rFonts w:ascii="宋体"/>
              </w:rPr>
            </w:pPr>
          </w:p>
        </w:tc>
        <w:tc>
          <w:tcPr>
            <w:tcW w:w="0" w:type="auto"/>
            <w:shd w:val="clear" w:color="auto" w:fill="auto"/>
            <w:vAlign w:val="bottom"/>
          </w:tcPr>
          <w:p w14:paraId="392CB4F2" w14:textId="77777777" w:rsidR="00980E5F" w:rsidRDefault="00980E5F">
            <w:pPr>
              <w:rPr>
                <w:rFonts w:ascii="宋体"/>
              </w:rPr>
            </w:pPr>
          </w:p>
        </w:tc>
        <w:tc>
          <w:tcPr>
            <w:tcW w:w="0" w:type="auto"/>
            <w:shd w:val="clear" w:color="auto" w:fill="auto"/>
            <w:vAlign w:val="bottom"/>
          </w:tcPr>
          <w:p w14:paraId="392CB4F3" w14:textId="77777777" w:rsidR="00980E5F" w:rsidRDefault="00980E5F">
            <w:pPr>
              <w:rPr>
                <w:rFonts w:ascii="宋体"/>
              </w:rPr>
            </w:pPr>
          </w:p>
        </w:tc>
        <w:tc>
          <w:tcPr>
            <w:tcW w:w="0" w:type="auto"/>
            <w:shd w:val="clear" w:color="auto" w:fill="auto"/>
            <w:vAlign w:val="bottom"/>
          </w:tcPr>
          <w:p w14:paraId="392CB4F4" w14:textId="77777777" w:rsidR="00980E5F" w:rsidRDefault="00980E5F">
            <w:pPr>
              <w:rPr>
                <w:rFonts w:ascii="宋体"/>
              </w:rPr>
            </w:pPr>
          </w:p>
        </w:tc>
        <w:tc>
          <w:tcPr>
            <w:tcW w:w="0" w:type="auto"/>
            <w:shd w:val="clear" w:color="auto" w:fill="auto"/>
            <w:vAlign w:val="bottom"/>
          </w:tcPr>
          <w:p w14:paraId="392CB4F5" w14:textId="77777777" w:rsidR="00980E5F" w:rsidRDefault="00980E5F">
            <w:pPr>
              <w:rPr>
                <w:rFonts w:ascii="宋体"/>
              </w:rPr>
            </w:pPr>
          </w:p>
        </w:tc>
        <w:tc>
          <w:tcPr>
            <w:tcW w:w="0" w:type="auto"/>
            <w:shd w:val="clear" w:color="auto" w:fill="auto"/>
            <w:vAlign w:val="bottom"/>
          </w:tcPr>
          <w:p w14:paraId="392CB4F6" w14:textId="77777777" w:rsidR="00980E5F" w:rsidRDefault="00980E5F">
            <w:pPr>
              <w:rPr>
                <w:rFonts w:ascii="宋体"/>
              </w:rPr>
            </w:pPr>
          </w:p>
        </w:tc>
        <w:tc>
          <w:tcPr>
            <w:tcW w:w="0" w:type="auto"/>
            <w:shd w:val="clear" w:color="auto" w:fill="auto"/>
            <w:vAlign w:val="bottom"/>
          </w:tcPr>
          <w:p w14:paraId="392CB4F7" w14:textId="77777777" w:rsidR="00980E5F" w:rsidRDefault="00980E5F">
            <w:pPr>
              <w:rPr>
                <w:rFonts w:ascii="宋体"/>
              </w:rPr>
            </w:pPr>
          </w:p>
        </w:tc>
        <w:tc>
          <w:tcPr>
            <w:tcW w:w="0" w:type="auto"/>
            <w:shd w:val="clear" w:color="auto" w:fill="auto"/>
            <w:vAlign w:val="bottom"/>
          </w:tcPr>
          <w:p w14:paraId="392CB4F8" w14:textId="77777777" w:rsidR="00980E5F" w:rsidRDefault="00980E5F">
            <w:pPr>
              <w:rPr>
                <w:rFonts w:ascii="宋体"/>
              </w:rPr>
            </w:pPr>
          </w:p>
        </w:tc>
        <w:tc>
          <w:tcPr>
            <w:tcW w:w="0" w:type="auto"/>
            <w:shd w:val="clear" w:color="auto" w:fill="auto"/>
            <w:vAlign w:val="bottom"/>
          </w:tcPr>
          <w:p w14:paraId="392CB4F9" w14:textId="77777777" w:rsidR="00980E5F" w:rsidRDefault="00980E5F">
            <w:pPr>
              <w:rPr>
                <w:rFonts w:ascii="宋体"/>
              </w:rPr>
            </w:pPr>
          </w:p>
        </w:tc>
        <w:tc>
          <w:tcPr>
            <w:tcW w:w="0" w:type="auto"/>
            <w:shd w:val="clear" w:color="auto" w:fill="auto"/>
            <w:vAlign w:val="bottom"/>
          </w:tcPr>
          <w:p w14:paraId="392CB4FA" w14:textId="77777777" w:rsidR="00980E5F" w:rsidRDefault="00980E5F">
            <w:pPr>
              <w:rPr>
                <w:rFonts w:ascii="宋体"/>
              </w:rPr>
            </w:pPr>
          </w:p>
        </w:tc>
        <w:tc>
          <w:tcPr>
            <w:tcW w:w="0" w:type="auto"/>
            <w:shd w:val="clear" w:color="auto" w:fill="auto"/>
            <w:vAlign w:val="bottom"/>
          </w:tcPr>
          <w:p w14:paraId="392CB4FB" w14:textId="77777777" w:rsidR="00980E5F" w:rsidRDefault="00980E5F">
            <w:pPr>
              <w:rPr>
                <w:rFonts w:ascii="宋体"/>
              </w:rPr>
            </w:pPr>
          </w:p>
        </w:tc>
        <w:tc>
          <w:tcPr>
            <w:tcW w:w="0" w:type="auto"/>
            <w:shd w:val="clear" w:color="auto" w:fill="auto"/>
            <w:vAlign w:val="bottom"/>
          </w:tcPr>
          <w:p w14:paraId="392CB4FC" w14:textId="77777777" w:rsidR="00980E5F" w:rsidRDefault="00980E5F">
            <w:pPr>
              <w:rPr>
                <w:rFonts w:ascii="宋体"/>
              </w:rPr>
            </w:pPr>
          </w:p>
        </w:tc>
        <w:tc>
          <w:tcPr>
            <w:tcW w:w="0" w:type="auto"/>
            <w:shd w:val="clear" w:color="auto" w:fill="auto"/>
            <w:vAlign w:val="bottom"/>
          </w:tcPr>
          <w:p w14:paraId="392CB4FD" w14:textId="77777777" w:rsidR="00980E5F" w:rsidRDefault="00980E5F">
            <w:pPr>
              <w:rPr>
                <w:rFonts w:ascii="宋体"/>
              </w:rPr>
            </w:pPr>
          </w:p>
        </w:tc>
        <w:tc>
          <w:tcPr>
            <w:tcW w:w="0" w:type="auto"/>
            <w:shd w:val="clear" w:color="auto" w:fill="auto"/>
            <w:vAlign w:val="bottom"/>
          </w:tcPr>
          <w:p w14:paraId="392CB4FE" w14:textId="77777777" w:rsidR="00980E5F" w:rsidRDefault="00980E5F">
            <w:pPr>
              <w:rPr>
                <w:rFonts w:ascii="宋体"/>
              </w:rPr>
            </w:pPr>
          </w:p>
        </w:tc>
        <w:tc>
          <w:tcPr>
            <w:tcW w:w="0" w:type="auto"/>
            <w:shd w:val="clear" w:color="auto" w:fill="auto"/>
            <w:vAlign w:val="bottom"/>
          </w:tcPr>
          <w:p w14:paraId="392CB4FF" w14:textId="77777777" w:rsidR="00980E5F" w:rsidRDefault="00980E5F">
            <w:pPr>
              <w:rPr>
                <w:rFonts w:ascii="宋体"/>
              </w:rPr>
            </w:pPr>
          </w:p>
        </w:tc>
        <w:tc>
          <w:tcPr>
            <w:tcW w:w="0" w:type="auto"/>
            <w:shd w:val="clear" w:color="auto" w:fill="auto"/>
            <w:vAlign w:val="bottom"/>
          </w:tcPr>
          <w:p w14:paraId="392CB500" w14:textId="77777777" w:rsidR="00980E5F" w:rsidRDefault="00980E5F">
            <w:pPr>
              <w:rPr>
                <w:rFonts w:ascii="宋体"/>
              </w:rPr>
            </w:pPr>
          </w:p>
        </w:tc>
        <w:tc>
          <w:tcPr>
            <w:tcW w:w="0" w:type="auto"/>
            <w:shd w:val="clear" w:color="auto" w:fill="auto"/>
            <w:vAlign w:val="bottom"/>
          </w:tcPr>
          <w:p w14:paraId="392CB501" w14:textId="77777777" w:rsidR="00980E5F" w:rsidRDefault="00980E5F">
            <w:pPr>
              <w:rPr>
                <w:rFonts w:ascii="宋体"/>
              </w:rPr>
            </w:pPr>
          </w:p>
        </w:tc>
        <w:tc>
          <w:tcPr>
            <w:tcW w:w="0" w:type="auto"/>
            <w:shd w:val="clear" w:color="auto" w:fill="auto"/>
            <w:vAlign w:val="bottom"/>
          </w:tcPr>
          <w:p w14:paraId="392CB502" w14:textId="77777777" w:rsidR="00980E5F" w:rsidRDefault="00980E5F">
            <w:pPr>
              <w:rPr>
                <w:rFonts w:ascii="宋体"/>
              </w:rPr>
            </w:pPr>
          </w:p>
        </w:tc>
        <w:tc>
          <w:tcPr>
            <w:tcW w:w="0" w:type="auto"/>
            <w:shd w:val="clear" w:color="auto" w:fill="auto"/>
            <w:vAlign w:val="bottom"/>
          </w:tcPr>
          <w:p w14:paraId="392CB503" w14:textId="77777777" w:rsidR="00980E5F" w:rsidRDefault="00980E5F">
            <w:pPr>
              <w:rPr>
                <w:rFonts w:ascii="宋体"/>
              </w:rPr>
            </w:pPr>
          </w:p>
        </w:tc>
        <w:tc>
          <w:tcPr>
            <w:tcW w:w="0" w:type="auto"/>
            <w:shd w:val="clear" w:color="auto" w:fill="auto"/>
            <w:vAlign w:val="bottom"/>
          </w:tcPr>
          <w:p w14:paraId="392CB504" w14:textId="77777777" w:rsidR="00980E5F" w:rsidRDefault="00980E5F">
            <w:pPr>
              <w:rPr>
                <w:rFonts w:ascii="宋体"/>
              </w:rPr>
            </w:pPr>
          </w:p>
        </w:tc>
        <w:tc>
          <w:tcPr>
            <w:tcW w:w="0" w:type="auto"/>
            <w:shd w:val="clear" w:color="auto" w:fill="auto"/>
            <w:vAlign w:val="bottom"/>
          </w:tcPr>
          <w:p w14:paraId="392CB505" w14:textId="77777777" w:rsidR="00980E5F" w:rsidRDefault="00980E5F">
            <w:pPr>
              <w:rPr>
                <w:rFonts w:ascii="宋体"/>
              </w:rPr>
            </w:pPr>
          </w:p>
        </w:tc>
        <w:tc>
          <w:tcPr>
            <w:tcW w:w="0" w:type="auto"/>
            <w:shd w:val="clear" w:color="auto" w:fill="auto"/>
            <w:vAlign w:val="bottom"/>
          </w:tcPr>
          <w:p w14:paraId="392CB506" w14:textId="77777777" w:rsidR="00980E5F" w:rsidRDefault="00980E5F">
            <w:pPr>
              <w:rPr>
                <w:rFonts w:ascii="宋体"/>
              </w:rPr>
            </w:pPr>
          </w:p>
        </w:tc>
        <w:tc>
          <w:tcPr>
            <w:tcW w:w="0" w:type="auto"/>
            <w:shd w:val="clear" w:color="auto" w:fill="auto"/>
            <w:vAlign w:val="bottom"/>
          </w:tcPr>
          <w:p w14:paraId="392CB507" w14:textId="77777777" w:rsidR="00980E5F" w:rsidRDefault="00980E5F">
            <w:pPr>
              <w:rPr>
                <w:rFonts w:ascii="宋体"/>
              </w:rPr>
            </w:pPr>
          </w:p>
        </w:tc>
      </w:tr>
      <w:tr w:rsidR="00980E5F" w14:paraId="392CB51F" w14:textId="77777777">
        <w:trPr>
          <w:hidden/>
        </w:trPr>
        <w:tc>
          <w:tcPr>
            <w:tcW w:w="0" w:type="auto"/>
            <w:gridSpan w:val="3"/>
            <w:shd w:val="clear" w:color="auto" w:fill="auto"/>
            <w:vAlign w:val="bottom"/>
          </w:tcPr>
          <w:p w14:paraId="392CB509" w14:textId="77777777" w:rsidR="00980E5F" w:rsidRDefault="00980E5F">
            <w:pPr>
              <w:rPr>
                <w:rFonts w:ascii="宋体"/>
                <w:vanish/>
              </w:rPr>
            </w:pPr>
          </w:p>
        </w:tc>
        <w:tc>
          <w:tcPr>
            <w:tcW w:w="0" w:type="auto"/>
            <w:gridSpan w:val="3"/>
            <w:shd w:val="clear" w:color="auto" w:fill="auto"/>
            <w:vAlign w:val="bottom"/>
          </w:tcPr>
          <w:p w14:paraId="392CB50A" w14:textId="77777777" w:rsidR="00980E5F" w:rsidRDefault="00980E5F">
            <w:pPr>
              <w:rPr>
                <w:rFonts w:ascii="宋体"/>
                <w:vanish/>
              </w:rPr>
            </w:pPr>
          </w:p>
        </w:tc>
        <w:tc>
          <w:tcPr>
            <w:tcW w:w="0" w:type="auto"/>
            <w:gridSpan w:val="3"/>
            <w:shd w:val="clear" w:color="auto" w:fill="auto"/>
            <w:vAlign w:val="bottom"/>
          </w:tcPr>
          <w:p w14:paraId="392CB50B" w14:textId="77777777" w:rsidR="00980E5F" w:rsidRDefault="00980E5F">
            <w:pPr>
              <w:rPr>
                <w:rFonts w:ascii="宋体"/>
                <w:vanish/>
              </w:rPr>
            </w:pPr>
          </w:p>
        </w:tc>
        <w:tc>
          <w:tcPr>
            <w:tcW w:w="0" w:type="auto"/>
            <w:gridSpan w:val="3"/>
            <w:shd w:val="clear" w:color="auto" w:fill="auto"/>
            <w:vAlign w:val="bottom"/>
          </w:tcPr>
          <w:p w14:paraId="392CB50C" w14:textId="77777777" w:rsidR="00980E5F" w:rsidRDefault="00980E5F">
            <w:pPr>
              <w:rPr>
                <w:rFonts w:ascii="宋体"/>
                <w:vanish/>
              </w:rPr>
            </w:pPr>
          </w:p>
        </w:tc>
        <w:tc>
          <w:tcPr>
            <w:tcW w:w="0" w:type="auto"/>
            <w:gridSpan w:val="3"/>
            <w:shd w:val="clear" w:color="auto" w:fill="auto"/>
            <w:vAlign w:val="bottom"/>
          </w:tcPr>
          <w:p w14:paraId="392CB50D" w14:textId="77777777" w:rsidR="00980E5F" w:rsidRDefault="00980E5F">
            <w:pPr>
              <w:rPr>
                <w:rFonts w:ascii="宋体"/>
                <w:vanish/>
              </w:rPr>
            </w:pPr>
          </w:p>
        </w:tc>
        <w:tc>
          <w:tcPr>
            <w:tcW w:w="0" w:type="auto"/>
            <w:gridSpan w:val="3"/>
            <w:shd w:val="clear" w:color="auto" w:fill="auto"/>
            <w:vAlign w:val="bottom"/>
          </w:tcPr>
          <w:p w14:paraId="392CB50E" w14:textId="77777777" w:rsidR="00980E5F" w:rsidRDefault="00980E5F">
            <w:pPr>
              <w:rPr>
                <w:rFonts w:ascii="宋体"/>
                <w:vanish/>
              </w:rPr>
            </w:pPr>
          </w:p>
        </w:tc>
        <w:tc>
          <w:tcPr>
            <w:tcW w:w="0" w:type="auto"/>
            <w:gridSpan w:val="3"/>
            <w:shd w:val="clear" w:color="auto" w:fill="auto"/>
            <w:vAlign w:val="bottom"/>
          </w:tcPr>
          <w:p w14:paraId="392CB50F" w14:textId="77777777" w:rsidR="00980E5F" w:rsidRDefault="00980E5F">
            <w:pPr>
              <w:rPr>
                <w:rFonts w:ascii="宋体"/>
                <w:vanish/>
              </w:rPr>
            </w:pPr>
          </w:p>
        </w:tc>
        <w:tc>
          <w:tcPr>
            <w:tcW w:w="0" w:type="auto"/>
            <w:gridSpan w:val="3"/>
            <w:shd w:val="clear" w:color="auto" w:fill="auto"/>
            <w:vAlign w:val="bottom"/>
          </w:tcPr>
          <w:p w14:paraId="392CB510" w14:textId="77777777" w:rsidR="00980E5F" w:rsidRDefault="00980E5F">
            <w:pPr>
              <w:rPr>
                <w:rFonts w:ascii="宋体"/>
                <w:vanish/>
              </w:rPr>
            </w:pPr>
          </w:p>
        </w:tc>
        <w:tc>
          <w:tcPr>
            <w:tcW w:w="0" w:type="auto"/>
            <w:gridSpan w:val="3"/>
            <w:shd w:val="clear" w:color="auto" w:fill="auto"/>
            <w:vAlign w:val="bottom"/>
          </w:tcPr>
          <w:p w14:paraId="392CB511" w14:textId="77777777" w:rsidR="00980E5F" w:rsidRDefault="00980E5F">
            <w:pPr>
              <w:rPr>
                <w:rFonts w:ascii="宋体"/>
                <w:vanish/>
              </w:rPr>
            </w:pPr>
          </w:p>
        </w:tc>
        <w:tc>
          <w:tcPr>
            <w:tcW w:w="0" w:type="auto"/>
            <w:gridSpan w:val="3"/>
            <w:shd w:val="clear" w:color="auto" w:fill="auto"/>
            <w:vAlign w:val="bottom"/>
          </w:tcPr>
          <w:p w14:paraId="392CB512" w14:textId="77777777" w:rsidR="00980E5F" w:rsidRDefault="00980E5F">
            <w:pPr>
              <w:rPr>
                <w:rFonts w:ascii="宋体"/>
                <w:vanish/>
              </w:rPr>
            </w:pPr>
          </w:p>
        </w:tc>
        <w:tc>
          <w:tcPr>
            <w:tcW w:w="0" w:type="auto"/>
            <w:gridSpan w:val="3"/>
            <w:shd w:val="clear" w:color="auto" w:fill="auto"/>
            <w:vAlign w:val="bottom"/>
          </w:tcPr>
          <w:p w14:paraId="392CB513" w14:textId="77777777" w:rsidR="00980E5F" w:rsidRDefault="00980E5F">
            <w:pPr>
              <w:rPr>
                <w:rFonts w:ascii="宋体"/>
                <w:vanish/>
              </w:rPr>
            </w:pPr>
          </w:p>
        </w:tc>
        <w:tc>
          <w:tcPr>
            <w:tcW w:w="0" w:type="auto"/>
            <w:gridSpan w:val="3"/>
            <w:shd w:val="clear" w:color="auto" w:fill="auto"/>
            <w:vAlign w:val="bottom"/>
          </w:tcPr>
          <w:p w14:paraId="392CB514" w14:textId="77777777" w:rsidR="00980E5F" w:rsidRDefault="00980E5F">
            <w:pPr>
              <w:rPr>
                <w:rFonts w:ascii="宋体"/>
                <w:vanish/>
              </w:rPr>
            </w:pPr>
          </w:p>
        </w:tc>
        <w:tc>
          <w:tcPr>
            <w:tcW w:w="0" w:type="auto"/>
            <w:gridSpan w:val="3"/>
            <w:shd w:val="clear" w:color="auto" w:fill="auto"/>
            <w:vAlign w:val="bottom"/>
          </w:tcPr>
          <w:p w14:paraId="392CB515" w14:textId="77777777" w:rsidR="00980E5F" w:rsidRDefault="00980E5F">
            <w:pPr>
              <w:rPr>
                <w:rFonts w:ascii="宋体"/>
                <w:vanish/>
              </w:rPr>
            </w:pPr>
          </w:p>
        </w:tc>
        <w:tc>
          <w:tcPr>
            <w:tcW w:w="0" w:type="auto"/>
            <w:gridSpan w:val="3"/>
            <w:shd w:val="clear" w:color="auto" w:fill="auto"/>
            <w:vAlign w:val="bottom"/>
          </w:tcPr>
          <w:p w14:paraId="392CB516" w14:textId="77777777" w:rsidR="00980E5F" w:rsidRDefault="00980E5F">
            <w:pPr>
              <w:rPr>
                <w:rFonts w:ascii="宋体"/>
                <w:vanish/>
              </w:rPr>
            </w:pPr>
          </w:p>
        </w:tc>
        <w:tc>
          <w:tcPr>
            <w:tcW w:w="0" w:type="auto"/>
            <w:gridSpan w:val="3"/>
            <w:shd w:val="clear" w:color="auto" w:fill="auto"/>
            <w:vAlign w:val="bottom"/>
          </w:tcPr>
          <w:p w14:paraId="392CB517" w14:textId="77777777" w:rsidR="00980E5F" w:rsidRDefault="00980E5F">
            <w:pPr>
              <w:rPr>
                <w:rFonts w:ascii="宋体"/>
                <w:vanish/>
              </w:rPr>
            </w:pPr>
          </w:p>
        </w:tc>
        <w:tc>
          <w:tcPr>
            <w:tcW w:w="0" w:type="auto"/>
            <w:gridSpan w:val="3"/>
            <w:shd w:val="clear" w:color="auto" w:fill="auto"/>
            <w:vAlign w:val="bottom"/>
          </w:tcPr>
          <w:p w14:paraId="392CB518" w14:textId="77777777" w:rsidR="00980E5F" w:rsidRDefault="00980E5F">
            <w:pPr>
              <w:rPr>
                <w:rFonts w:ascii="宋体"/>
                <w:vanish/>
              </w:rPr>
            </w:pPr>
          </w:p>
        </w:tc>
        <w:tc>
          <w:tcPr>
            <w:tcW w:w="0" w:type="auto"/>
            <w:gridSpan w:val="3"/>
            <w:shd w:val="clear" w:color="auto" w:fill="auto"/>
            <w:vAlign w:val="bottom"/>
          </w:tcPr>
          <w:p w14:paraId="392CB519" w14:textId="77777777" w:rsidR="00980E5F" w:rsidRDefault="00980E5F">
            <w:pPr>
              <w:rPr>
                <w:rFonts w:ascii="宋体"/>
                <w:vanish/>
              </w:rPr>
            </w:pPr>
          </w:p>
        </w:tc>
        <w:tc>
          <w:tcPr>
            <w:tcW w:w="0" w:type="auto"/>
            <w:gridSpan w:val="3"/>
            <w:shd w:val="clear" w:color="auto" w:fill="auto"/>
            <w:vAlign w:val="bottom"/>
          </w:tcPr>
          <w:p w14:paraId="392CB51A" w14:textId="77777777" w:rsidR="00980E5F" w:rsidRDefault="00980E5F">
            <w:pPr>
              <w:rPr>
                <w:rFonts w:ascii="宋体"/>
                <w:vanish/>
              </w:rPr>
            </w:pPr>
          </w:p>
        </w:tc>
        <w:tc>
          <w:tcPr>
            <w:tcW w:w="0" w:type="auto"/>
            <w:gridSpan w:val="3"/>
            <w:shd w:val="clear" w:color="auto" w:fill="auto"/>
            <w:vAlign w:val="bottom"/>
          </w:tcPr>
          <w:p w14:paraId="392CB51B" w14:textId="77777777" w:rsidR="00980E5F" w:rsidRDefault="00980E5F">
            <w:pPr>
              <w:rPr>
                <w:rFonts w:ascii="宋体"/>
                <w:vanish/>
              </w:rPr>
            </w:pPr>
          </w:p>
        </w:tc>
        <w:tc>
          <w:tcPr>
            <w:tcW w:w="0" w:type="auto"/>
            <w:gridSpan w:val="3"/>
            <w:shd w:val="clear" w:color="auto" w:fill="auto"/>
            <w:vAlign w:val="bottom"/>
          </w:tcPr>
          <w:p w14:paraId="392CB51C" w14:textId="77777777" w:rsidR="00980E5F" w:rsidRDefault="00980E5F">
            <w:pPr>
              <w:rPr>
                <w:rFonts w:ascii="宋体"/>
                <w:vanish/>
              </w:rPr>
            </w:pPr>
          </w:p>
        </w:tc>
        <w:tc>
          <w:tcPr>
            <w:tcW w:w="0" w:type="auto"/>
            <w:gridSpan w:val="2"/>
            <w:shd w:val="clear" w:color="auto" w:fill="auto"/>
            <w:vAlign w:val="bottom"/>
          </w:tcPr>
          <w:p w14:paraId="392CB51D" w14:textId="77777777" w:rsidR="00980E5F" w:rsidRDefault="00980E5F">
            <w:pPr>
              <w:rPr>
                <w:rFonts w:ascii="宋体"/>
                <w:vanish/>
              </w:rPr>
            </w:pPr>
          </w:p>
        </w:tc>
        <w:tc>
          <w:tcPr>
            <w:tcW w:w="0" w:type="auto"/>
            <w:shd w:val="clear" w:color="auto" w:fill="auto"/>
            <w:vAlign w:val="bottom"/>
          </w:tcPr>
          <w:p w14:paraId="392CB51E" w14:textId="77777777" w:rsidR="00980E5F" w:rsidRDefault="00980E5F">
            <w:pPr>
              <w:rPr>
                <w:rFonts w:ascii="宋体"/>
                <w:vanish/>
              </w:rPr>
            </w:pPr>
          </w:p>
        </w:tc>
      </w:tr>
      <w:tr w:rsidR="00980E5F" w14:paraId="392CB536" w14:textId="77777777">
        <w:trPr>
          <w:hidden/>
        </w:trPr>
        <w:tc>
          <w:tcPr>
            <w:tcW w:w="0" w:type="auto"/>
            <w:gridSpan w:val="3"/>
            <w:shd w:val="clear" w:color="auto" w:fill="auto"/>
            <w:vAlign w:val="bottom"/>
          </w:tcPr>
          <w:p w14:paraId="392CB520" w14:textId="77777777" w:rsidR="00980E5F" w:rsidRDefault="00980E5F">
            <w:pPr>
              <w:rPr>
                <w:rFonts w:ascii="宋体"/>
                <w:vanish/>
              </w:rPr>
            </w:pPr>
          </w:p>
        </w:tc>
        <w:tc>
          <w:tcPr>
            <w:tcW w:w="0" w:type="auto"/>
            <w:gridSpan w:val="3"/>
            <w:shd w:val="clear" w:color="auto" w:fill="auto"/>
            <w:vAlign w:val="bottom"/>
          </w:tcPr>
          <w:p w14:paraId="392CB521" w14:textId="77777777" w:rsidR="00980E5F" w:rsidRDefault="00980E5F">
            <w:pPr>
              <w:rPr>
                <w:rFonts w:ascii="宋体"/>
                <w:vanish/>
              </w:rPr>
            </w:pPr>
          </w:p>
        </w:tc>
        <w:tc>
          <w:tcPr>
            <w:tcW w:w="0" w:type="auto"/>
            <w:gridSpan w:val="3"/>
            <w:shd w:val="clear" w:color="auto" w:fill="auto"/>
            <w:vAlign w:val="bottom"/>
          </w:tcPr>
          <w:p w14:paraId="392CB522" w14:textId="77777777" w:rsidR="00980E5F" w:rsidRDefault="00980E5F">
            <w:pPr>
              <w:rPr>
                <w:rFonts w:ascii="宋体"/>
                <w:vanish/>
              </w:rPr>
            </w:pPr>
          </w:p>
        </w:tc>
        <w:tc>
          <w:tcPr>
            <w:tcW w:w="0" w:type="auto"/>
            <w:gridSpan w:val="3"/>
            <w:shd w:val="clear" w:color="auto" w:fill="auto"/>
            <w:vAlign w:val="bottom"/>
          </w:tcPr>
          <w:p w14:paraId="392CB523" w14:textId="77777777" w:rsidR="00980E5F" w:rsidRDefault="00980E5F">
            <w:pPr>
              <w:rPr>
                <w:rFonts w:ascii="宋体"/>
                <w:vanish/>
              </w:rPr>
            </w:pPr>
          </w:p>
        </w:tc>
        <w:tc>
          <w:tcPr>
            <w:tcW w:w="0" w:type="auto"/>
            <w:gridSpan w:val="3"/>
            <w:shd w:val="clear" w:color="auto" w:fill="auto"/>
            <w:vAlign w:val="bottom"/>
          </w:tcPr>
          <w:p w14:paraId="392CB524" w14:textId="77777777" w:rsidR="00980E5F" w:rsidRDefault="00980E5F">
            <w:pPr>
              <w:rPr>
                <w:rFonts w:ascii="宋体"/>
                <w:vanish/>
              </w:rPr>
            </w:pPr>
          </w:p>
        </w:tc>
        <w:tc>
          <w:tcPr>
            <w:tcW w:w="0" w:type="auto"/>
            <w:gridSpan w:val="3"/>
            <w:shd w:val="clear" w:color="auto" w:fill="auto"/>
            <w:vAlign w:val="bottom"/>
          </w:tcPr>
          <w:p w14:paraId="392CB525" w14:textId="77777777" w:rsidR="00980E5F" w:rsidRDefault="00980E5F">
            <w:pPr>
              <w:rPr>
                <w:rFonts w:ascii="宋体"/>
                <w:vanish/>
              </w:rPr>
            </w:pPr>
          </w:p>
        </w:tc>
        <w:tc>
          <w:tcPr>
            <w:tcW w:w="0" w:type="auto"/>
            <w:gridSpan w:val="3"/>
            <w:shd w:val="clear" w:color="auto" w:fill="auto"/>
            <w:vAlign w:val="bottom"/>
          </w:tcPr>
          <w:p w14:paraId="392CB526" w14:textId="77777777" w:rsidR="00980E5F" w:rsidRDefault="00980E5F">
            <w:pPr>
              <w:rPr>
                <w:rFonts w:ascii="宋体"/>
                <w:vanish/>
              </w:rPr>
            </w:pPr>
          </w:p>
        </w:tc>
        <w:tc>
          <w:tcPr>
            <w:tcW w:w="0" w:type="auto"/>
            <w:gridSpan w:val="3"/>
            <w:shd w:val="clear" w:color="auto" w:fill="auto"/>
            <w:vAlign w:val="bottom"/>
          </w:tcPr>
          <w:p w14:paraId="392CB527" w14:textId="77777777" w:rsidR="00980E5F" w:rsidRDefault="00980E5F">
            <w:pPr>
              <w:rPr>
                <w:rFonts w:ascii="宋体"/>
                <w:vanish/>
              </w:rPr>
            </w:pPr>
          </w:p>
        </w:tc>
        <w:tc>
          <w:tcPr>
            <w:tcW w:w="0" w:type="auto"/>
            <w:gridSpan w:val="3"/>
            <w:shd w:val="clear" w:color="auto" w:fill="auto"/>
            <w:vAlign w:val="bottom"/>
          </w:tcPr>
          <w:p w14:paraId="392CB528" w14:textId="77777777" w:rsidR="00980E5F" w:rsidRDefault="00980E5F">
            <w:pPr>
              <w:rPr>
                <w:rFonts w:ascii="宋体"/>
                <w:vanish/>
              </w:rPr>
            </w:pPr>
          </w:p>
        </w:tc>
        <w:tc>
          <w:tcPr>
            <w:tcW w:w="0" w:type="auto"/>
            <w:gridSpan w:val="3"/>
            <w:shd w:val="clear" w:color="auto" w:fill="auto"/>
            <w:vAlign w:val="bottom"/>
          </w:tcPr>
          <w:p w14:paraId="392CB529" w14:textId="77777777" w:rsidR="00980E5F" w:rsidRDefault="00980E5F">
            <w:pPr>
              <w:rPr>
                <w:rFonts w:ascii="宋体"/>
                <w:vanish/>
              </w:rPr>
            </w:pPr>
          </w:p>
        </w:tc>
        <w:tc>
          <w:tcPr>
            <w:tcW w:w="0" w:type="auto"/>
            <w:gridSpan w:val="3"/>
            <w:shd w:val="clear" w:color="auto" w:fill="auto"/>
            <w:vAlign w:val="bottom"/>
          </w:tcPr>
          <w:p w14:paraId="392CB52A" w14:textId="77777777" w:rsidR="00980E5F" w:rsidRDefault="00980E5F">
            <w:pPr>
              <w:rPr>
                <w:rFonts w:ascii="宋体"/>
                <w:vanish/>
              </w:rPr>
            </w:pPr>
          </w:p>
        </w:tc>
        <w:tc>
          <w:tcPr>
            <w:tcW w:w="0" w:type="auto"/>
            <w:gridSpan w:val="3"/>
            <w:shd w:val="clear" w:color="auto" w:fill="auto"/>
            <w:vAlign w:val="bottom"/>
          </w:tcPr>
          <w:p w14:paraId="392CB52B" w14:textId="77777777" w:rsidR="00980E5F" w:rsidRDefault="00980E5F">
            <w:pPr>
              <w:rPr>
                <w:rFonts w:ascii="宋体"/>
                <w:vanish/>
              </w:rPr>
            </w:pPr>
          </w:p>
        </w:tc>
        <w:tc>
          <w:tcPr>
            <w:tcW w:w="0" w:type="auto"/>
            <w:gridSpan w:val="3"/>
            <w:shd w:val="clear" w:color="auto" w:fill="auto"/>
            <w:vAlign w:val="bottom"/>
          </w:tcPr>
          <w:p w14:paraId="392CB52C" w14:textId="77777777" w:rsidR="00980E5F" w:rsidRDefault="00980E5F">
            <w:pPr>
              <w:rPr>
                <w:rFonts w:ascii="宋体"/>
                <w:vanish/>
              </w:rPr>
            </w:pPr>
          </w:p>
        </w:tc>
        <w:tc>
          <w:tcPr>
            <w:tcW w:w="0" w:type="auto"/>
            <w:gridSpan w:val="3"/>
            <w:shd w:val="clear" w:color="auto" w:fill="auto"/>
            <w:vAlign w:val="bottom"/>
          </w:tcPr>
          <w:p w14:paraId="392CB52D" w14:textId="77777777" w:rsidR="00980E5F" w:rsidRDefault="00980E5F">
            <w:pPr>
              <w:rPr>
                <w:rFonts w:ascii="宋体"/>
                <w:vanish/>
              </w:rPr>
            </w:pPr>
          </w:p>
        </w:tc>
        <w:tc>
          <w:tcPr>
            <w:tcW w:w="0" w:type="auto"/>
            <w:gridSpan w:val="3"/>
            <w:shd w:val="clear" w:color="auto" w:fill="auto"/>
            <w:vAlign w:val="bottom"/>
          </w:tcPr>
          <w:p w14:paraId="392CB52E" w14:textId="77777777" w:rsidR="00980E5F" w:rsidRDefault="00980E5F">
            <w:pPr>
              <w:rPr>
                <w:rFonts w:ascii="宋体"/>
                <w:vanish/>
              </w:rPr>
            </w:pPr>
          </w:p>
        </w:tc>
        <w:tc>
          <w:tcPr>
            <w:tcW w:w="0" w:type="auto"/>
            <w:gridSpan w:val="3"/>
            <w:shd w:val="clear" w:color="auto" w:fill="auto"/>
            <w:vAlign w:val="bottom"/>
          </w:tcPr>
          <w:p w14:paraId="392CB52F" w14:textId="77777777" w:rsidR="00980E5F" w:rsidRDefault="00980E5F">
            <w:pPr>
              <w:rPr>
                <w:rFonts w:ascii="宋体"/>
                <w:vanish/>
              </w:rPr>
            </w:pPr>
          </w:p>
        </w:tc>
        <w:tc>
          <w:tcPr>
            <w:tcW w:w="0" w:type="auto"/>
            <w:gridSpan w:val="3"/>
            <w:shd w:val="clear" w:color="auto" w:fill="auto"/>
            <w:vAlign w:val="bottom"/>
          </w:tcPr>
          <w:p w14:paraId="392CB530" w14:textId="77777777" w:rsidR="00980E5F" w:rsidRDefault="00980E5F">
            <w:pPr>
              <w:rPr>
                <w:rFonts w:ascii="宋体"/>
                <w:vanish/>
              </w:rPr>
            </w:pPr>
          </w:p>
        </w:tc>
        <w:tc>
          <w:tcPr>
            <w:tcW w:w="0" w:type="auto"/>
            <w:gridSpan w:val="3"/>
            <w:shd w:val="clear" w:color="auto" w:fill="auto"/>
            <w:vAlign w:val="bottom"/>
          </w:tcPr>
          <w:p w14:paraId="392CB531" w14:textId="77777777" w:rsidR="00980E5F" w:rsidRDefault="00980E5F">
            <w:pPr>
              <w:rPr>
                <w:rFonts w:ascii="宋体"/>
                <w:vanish/>
              </w:rPr>
            </w:pPr>
          </w:p>
        </w:tc>
        <w:tc>
          <w:tcPr>
            <w:tcW w:w="0" w:type="auto"/>
            <w:gridSpan w:val="3"/>
            <w:shd w:val="clear" w:color="auto" w:fill="auto"/>
            <w:vAlign w:val="bottom"/>
          </w:tcPr>
          <w:p w14:paraId="392CB532" w14:textId="77777777" w:rsidR="00980E5F" w:rsidRDefault="00980E5F">
            <w:pPr>
              <w:rPr>
                <w:rFonts w:ascii="宋体"/>
                <w:vanish/>
              </w:rPr>
            </w:pPr>
          </w:p>
        </w:tc>
        <w:tc>
          <w:tcPr>
            <w:tcW w:w="0" w:type="auto"/>
            <w:gridSpan w:val="3"/>
            <w:shd w:val="clear" w:color="auto" w:fill="auto"/>
            <w:vAlign w:val="bottom"/>
          </w:tcPr>
          <w:p w14:paraId="392CB533" w14:textId="77777777" w:rsidR="00980E5F" w:rsidRDefault="00980E5F">
            <w:pPr>
              <w:rPr>
                <w:rFonts w:ascii="宋体"/>
                <w:vanish/>
              </w:rPr>
            </w:pPr>
          </w:p>
        </w:tc>
        <w:tc>
          <w:tcPr>
            <w:tcW w:w="0" w:type="auto"/>
            <w:gridSpan w:val="2"/>
            <w:shd w:val="clear" w:color="auto" w:fill="auto"/>
            <w:vAlign w:val="bottom"/>
          </w:tcPr>
          <w:p w14:paraId="392CB534" w14:textId="77777777" w:rsidR="00980E5F" w:rsidRDefault="00980E5F">
            <w:pPr>
              <w:rPr>
                <w:rFonts w:ascii="宋体"/>
                <w:vanish/>
              </w:rPr>
            </w:pPr>
          </w:p>
        </w:tc>
        <w:tc>
          <w:tcPr>
            <w:tcW w:w="0" w:type="auto"/>
            <w:shd w:val="clear" w:color="auto" w:fill="auto"/>
            <w:vAlign w:val="bottom"/>
          </w:tcPr>
          <w:p w14:paraId="392CB535" w14:textId="77777777" w:rsidR="00980E5F" w:rsidRDefault="00980E5F">
            <w:pPr>
              <w:rPr>
                <w:rFonts w:ascii="宋体"/>
                <w:vanish/>
              </w:rPr>
            </w:pPr>
          </w:p>
        </w:tc>
      </w:tr>
      <w:tr w:rsidR="00980E5F" w14:paraId="392CB54D" w14:textId="77777777">
        <w:trPr>
          <w:hidden/>
        </w:trPr>
        <w:tc>
          <w:tcPr>
            <w:tcW w:w="0" w:type="auto"/>
            <w:gridSpan w:val="3"/>
            <w:shd w:val="clear" w:color="auto" w:fill="auto"/>
            <w:vAlign w:val="bottom"/>
          </w:tcPr>
          <w:p w14:paraId="392CB537" w14:textId="77777777" w:rsidR="00980E5F" w:rsidRDefault="00980E5F">
            <w:pPr>
              <w:rPr>
                <w:rFonts w:ascii="宋体"/>
                <w:vanish/>
              </w:rPr>
            </w:pPr>
          </w:p>
        </w:tc>
        <w:tc>
          <w:tcPr>
            <w:tcW w:w="0" w:type="auto"/>
            <w:gridSpan w:val="3"/>
            <w:shd w:val="clear" w:color="auto" w:fill="auto"/>
            <w:vAlign w:val="bottom"/>
          </w:tcPr>
          <w:p w14:paraId="392CB538" w14:textId="77777777" w:rsidR="00980E5F" w:rsidRDefault="00980E5F">
            <w:pPr>
              <w:rPr>
                <w:rFonts w:ascii="宋体"/>
                <w:vanish/>
              </w:rPr>
            </w:pPr>
          </w:p>
        </w:tc>
        <w:tc>
          <w:tcPr>
            <w:tcW w:w="0" w:type="auto"/>
            <w:gridSpan w:val="3"/>
            <w:shd w:val="clear" w:color="auto" w:fill="auto"/>
            <w:vAlign w:val="bottom"/>
          </w:tcPr>
          <w:p w14:paraId="392CB539" w14:textId="77777777" w:rsidR="00980E5F" w:rsidRDefault="00980E5F">
            <w:pPr>
              <w:rPr>
                <w:rFonts w:ascii="宋体"/>
                <w:vanish/>
              </w:rPr>
            </w:pPr>
          </w:p>
        </w:tc>
        <w:tc>
          <w:tcPr>
            <w:tcW w:w="0" w:type="auto"/>
            <w:gridSpan w:val="3"/>
            <w:shd w:val="clear" w:color="auto" w:fill="auto"/>
            <w:vAlign w:val="bottom"/>
          </w:tcPr>
          <w:p w14:paraId="392CB53A" w14:textId="77777777" w:rsidR="00980E5F" w:rsidRDefault="00980E5F">
            <w:pPr>
              <w:rPr>
                <w:rFonts w:ascii="宋体"/>
                <w:vanish/>
              </w:rPr>
            </w:pPr>
          </w:p>
        </w:tc>
        <w:tc>
          <w:tcPr>
            <w:tcW w:w="0" w:type="auto"/>
            <w:gridSpan w:val="3"/>
            <w:shd w:val="clear" w:color="auto" w:fill="auto"/>
            <w:vAlign w:val="bottom"/>
          </w:tcPr>
          <w:p w14:paraId="392CB53B" w14:textId="77777777" w:rsidR="00980E5F" w:rsidRDefault="00980E5F">
            <w:pPr>
              <w:rPr>
                <w:rFonts w:ascii="宋体"/>
                <w:vanish/>
              </w:rPr>
            </w:pPr>
          </w:p>
        </w:tc>
        <w:tc>
          <w:tcPr>
            <w:tcW w:w="0" w:type="auto"/>
            <w:gridSpan w:val="3"/>
            <w:shd w:val="clear" w:color="auto" w:fill="auto"/>
            <w:vAlign w:val="bottom"/>
          </w:tcPr>
          <w:p w14:paraId="392CB53C" w14:textId="77777777" w:rsidR="00980E5F" w:rsidRDefault="00980E5F">
            <w:pPr>
              <w:rPr>
                <w:rFonts w:ascii="宋体"/>
                <w:vanish/>
              </w:rPr>
            </w:pPr>
          </w:p>
        </w:tc>
        <w:tc>
          <w:tcPr>
            <w:tcW w:w="0" w:type="auto"/>
            <w:gridSpan w:val="3"/>
            <w:shd w:val="clear" w:color="auto" w:fill="auto"/>
            <w:vAlign w:val="bottom"/>
          </w:tcPr>
          <w:p w14:paraId="392CB53D" w14:textId="77777777" w:rsidR="00980E5F" w:rsidRDefault="00980E5F">
            <w:pPr>
              <w:rPr>
                <w:rFonts w:ascii="宋体"/>
                <w:vanish/>
              </w:rPr>
            </w:pPr>
          </w:p>
        </w:tc>
        <w:tc>
          <w:tcPr>
            <w:tcW w:w="0" w:type="auto"/>
            <w:gridSpan w:val="3"/>
            <w:shd w:val="clear" w:color="auto" w:fill="auto"/>
            <w:vAlign w:val="bottom"/>
          </w:tcPr>
          <w:p w14:paraId="392CB53E" w14:textId="77777777" w:rsidR="00980E5F" w:rsidRDefault="00980E5F">
            <w:pPr>
              <w:rPr>
                <w:rFonts w:ascii="宋体"/>
                <w:vanish/>
              </w:rPr>
            </w:pPr>
          </w:p>
        </w:tc>
        <w:tc>
          <w:tcPr>
            <w:tcW w:w="0" w:type="auto"/>
            <w:gridSpan w:val="3"/>
            <w:shd w:val="clear" w:color="auto" w:fill="auto"/>
            <w:vAlign w:val="bottom"/>
          </w:tcPr>
          <w:p w14:paraId="392CB53F" w14:textId="77777777" w:rsidR="00980E5F" w:rsidRDefault="00980E5F">
            <w:pPr>
              <w:rPr>
                <w:rFonts w:ascii="宋体"/>
                <w:vanish/>
              </w:rPr>
            </w:pPr>
          </w:p>
        </w:tc>
        <w:tc>
          <w:tcPr>
            <w:tcW w:w="0" w:type="auto"/>
            <w:gridSpan w:val="3"/>
            <w:shd w:val="clear" w:color="auto" w:fill="auto"/>
            <w:vAlign w:val="bottom"/>
          </w:tcPr>
          <w:p w14:paraId="392CB540" w14:textId="77777777" w:rsidR="00980E5F" w:rsidRDefault="00980E5F">
            <w:pPr>
              <w:rPr>
                <w:rFonts w:ascii="宋体"/>
                <w:vanish/>
              </w:rPr>
            </w:pPr>
          </w:p>
        </w:tc>
        <w:tc>
          <w:tcPr>
            <w:tcW w:w="0" w:type="auto"/>
            <w:gridSpan w:val="3"/>
            <w:shd w:val="clear" w:color="auto" w:fill="auto"/>
            <w:vAlign w:val="bottom"/>
          </w:tcPr>
          <w:p w14:paraId="392CB541" w14:textId="77777777" w:rsidR="00980E5F" w:rsidRDefault="00980E5F">
            <w:pPr>
              <w:rPr>
                <w:rFonts w:ascii="宋体"/>
                <w:vanish/>
              </w:rPr>
            </w:pPr>
          </w:p>
        </w:tc>
        <w:tc>
          <w:tcPr>
            <w:tcW w:w="0" w:type="auto"/>
            <w:gridSpan w:val="3"/>
            <w:shd w:val="clear" w:color="auto" w:fill="auto"/>
            <w:vAlign w:val="bottom"/>
          </w:tcPr>
          <w:p w14:paraId="392CB542" w14:textId="77777777" w:rsidR="00980E5F" w:rsidRDefault="00980E5F">
            <w:pPr>
              <w:rPr>
                <w:rFonts w:ascii="宋体"/>
                <w:vanish/>
              </w:rPr>
            </w:pPr>
          </w:p>
        </w:tc>
        <w:tc>
          <w:tcPr>
            <w:tcW w:w="0" w:type="auto"/>
            <w:gridSpan w:val="3"/>
            <w:shd w:val="clear" w:color="auto" w:fill="auto"/>
            <w:vAlign w:val="bottom"/>
          </w:tcPr>
          <w:p w14:paraId="392CB543" w14:textId="77777777" w:rsidR="00980E5F" w:rsidRDefault="00980E5F">
            <w:pPr>
              <w:rPr>
                <w:rFonts w:ascii="宋体"/>
                <w:vanish/>
              </w:rPr>
            </w:pPr>
          </w:p>
        </w:tc>
        <w:tc>
          <w:tcPr>
            <w:tcW w:w="0" w:type="auto"/>
            <w:gridSpan w:val="3"/>
            <w:shd w:val="clear" w:color="auto" w:fill="auto"/>
            <w:vAlign w:val="bottom"/>
          </w:tcPr>
          <w:p w14:paraId="392CB544" w14:textId="77777777" w:rsidR="00980E5F" w:rsidRDefault="00980E5F">
            <w:pPr>
              <w:rPr>
                <w:rFonts w:ascii="宋体"/>
                <w:vanish/>
              </w:rPr>
            </w:pPr>
          </w:p>
        </w:tc>
        <w:tc>
          <w:tcPr>
            <w:tcW w:w="0" w:type="auto"/>
            <w:gridSpan w:val="3"/>
            <w:shd w:val="clear" w:color="auto" w:fill="auto"/>
            <w:vAlign w:val="bottom"/>
          </w:tcPr>
          <w:p w14:paraId="392CB545" w14:textId="77777777" w:rsidR="00980E5F" w:rsidRDefault="00980E5F">
            <w:pPr>
              <w:rPr>
                <w:rFonts w:ascii="宋体"/>
                <w:vanish/>
              </w:rPr>
            </w:pPr>
          </w:p>
        </w:tc>
        <w:tc>
          <w:tcPr>
            <w:tcW w:w="0" w:type="auto"/>
            <w:gridSpan w:val="3"/>
            <w:shd w:val="clear" w:color="auto" w:fill="auto"/>
            <w:vAlign w:val="bottom"/>
          </w:tcPr>
          <w:p w14:paraId="392CB546" w14:textId="77777777" w:rsidR="00980E5F" w:rsidRDefault="00980E5F">
            <w:pPr>
              <w:rPr>
                <w:rFonts w:ascii="宋体"/>
                <w:vanish/>
              </w:rPr>
            </w:pPr>
          </w:p>
        </w:tc>
        <w:tc>
          <w:tcPr>
            <w:tcW w:w="0" w:type="auto"/>
            <w:gridSpan w:val="3"/>
            <w:shd w:val="clear" w:color="auto" w:fill="auto"/>
            <w:vAlign w:val="bottom"/>
          </w:tcPr>
          <w:p w14:paraId="392CB547" w14:textId="77777777" w:rsidR="00980E5F" w:rsidRDefault="00980E5F">
            <w:pPr>
              <w:rPr>
                <w:rFonts w:ascii="宋体"/>
                <w:vanish/>
              </w:rPr>
            </w:pPr>
          </w:p>
        </w:tc>
        <w:tc>
          <w:tcPr>
            <w:tcW w:w="0" w:type="auto"/>
            <w:gridSpan w:val="3"/>
            <w:shd w:val="clear" w:color="auto" w:fill="auto"/>
            <w:vAlign w:val="bottom"/>
          </w:tcPr>
          <w:p w14:paraId="392CB548" w14:textId="77777777" w:rsidR="00980E5F" w:rsidRDefault="00980E5F">
            <w:pPr>
              <w:rPr>
                <w:rFonts w:ascii="宋体"/>
                <w:vanish/>
              </w:rPr>
            </w:pPr>
          </w:p>
        </w:tc>
        <w:tc>
          <w:tcPr>
            <w:tcW w:w="0" w:type="auto"/>
            <w:gridSpan w:val="3"/>
            <w:shd w:val="clear" w:color="auto" w:fill="auto"/>
            <w:vAlign w:val="bottom"/>
          </w:tcPr>
          <w:p w14:paraId="392CB549" w14:textId="77777777" w:rsidR="00980E5F" w:rsidRDefault="00980E5F">
            <w:pPr>
              <w:rPr>
                <w:rFonts w:ascii="宋体"/>
                <w:vanish/>
              </w:rPr>
            </w:pPr>
          </w:p>
        </w:tc>
        <w:tc>
          <w:tcPr>
            <w:tcW w:w="0" w:type="auto"/>
            <w:gridSpan w:val="3"/>
            <w:shd w:val="clear" w:color="auto" w:fill="auto"/>
            <w:vAlign w:val="bottom"/>
          </w:tcPr>
          <w:p w14:paraId="392CB54A" w14:textId="77777777" w:rsidR="00980E5F" w:rsidRDefault="00980E5F">
            <w:pPr>
              <w:rPr>
                <w:rFonts w:ascii="宋体"/>
                <w:vanish/>
              </w:rPr>
            </w:pPr>
          </w:p>
        </w:tc>
        <w:tc>
          <w:tcPr>
            <w:tcW w:w="0" w:type="auto"/>
            <w:gridSpan w:val="2"/>
            <w:shd w:val="clear" w:color="auto" w:fill="auto"/>
            <w:vAlign w:val="bottom"/>
          </w:tcPr>
          <w:p w14:paraId="392CB54B" w14:textId="77777777" w:rsidR="00980E5F" w:rsidRDefault="00980E5F">
            <w:pPr>
              <w:rPr>
                <w:rFonts w:ascii="宋体"/>
                <w:vanish/>
              </w:rPr>
            </w:pPr>
          </w:p>
        </w:tc>
        <w:tc>
          <w:tcPr>
            <w:tcW w:w="0" w:type="auto"/>
            <w:shd w:val="clear" w:color="auto" w:fill="auto"/>
            <w:vAlign w:val="bottom"/>
          </w:tcPr>
          <w:p w14:paraId="392CB54C" w14:textId="77777777" w:rsidR="00980E5F" w:rsidRDefault="00980E5F">
            <w:pPr>
              <w:rPr>
                <w:rFonts w:ascii="宋体"/>
                <w:vanish/>
              </w:rPr>
            </w:pPr>
          </w:p>
        </w:tc>
      </w:tr>
      <w:tr w:rsidR="00980E5F" w14:paraId="392CB564" w14:textId="77777777">
        <w:trPr>
          <w:hidden/>
        </w:trPr>
        <w:tc>
          <w:tcPr>
            <w:tcW w:w="0" w:type="auto"/>
            <w:gridSpan w:val="3"/>
            <w:shd w:val="clear" w:color="auto" w:fill="auto"/>
            <w:vAlign w:val="bottom"/>
          </w:tcPr>
          <w:p w14:paraId="392CB54E" w14:textId="77777777" w:rsidR="00980E5F" w:rsidRDefault="00980E5F">
            <w:pPr>
              <w:rPr>
                <w:rFonts w:ascii="宋体"/>
                <w:vanish/>
              </w:rPr>
            </w:pPr>
          </w:p>
        </w:tc>
        <w:tc>
          <w:tcPr>
            <w:tcW w:w="0" w:type="auto"/>
            <w:gridSpan w:val="3"/>
            <w:shd w:val="clear" w:color="auto" w:fill="auto"/>
            <w:vAlign w:val="bottom"/>
          </w:tcPr>
          <w:p w14:paraId="392CB54F" w14:textId="77777777" w:rsidR="00980E5F" w:rsidRDefault="00980E5F">
            <w:pPr>
              <w:rPr>
                <w:rFonts w:ascii="宋体"/>
                <w:vanish/>
              </w:rPr>
            </w:pPr>
          </w:p>
        </w:tc>
        <w:tc>
          <w:tcPr>
            <w:tcW w:w="0" w:type="auto"/>
            <w:gridSpan w:val="3"/>
            <w:shd w:val="clear" w:color="auto" w:fill="auto"/>
            <w:vAlign w:val="bottom"/>
          </w:tcPr>
          <w:p w14:paraId="392CB550" w14:textId="77777777" w:rsidR="00980E5F" w:rsidRDefault="00980E5F">
            <w:pPr>
              <w:rPr>
                <w:rFonts w:ascii="宋体"/>
                <w:vanish/>
              </w:rPr>
            </w:pPr>
          </w:p>
        </w:tc>
        <w:tc>
          <w:tcPr>
            <w:tcW w:w="0" w:type="auto"/>
            <w:gridSpan w:val="3"/>
            <w:shd w:val="clear" w:color="auto" w:fill="auto"/>
            <w:vAlign w:val="bottom"/>
          </w:tcPr>
          <w:p w14:paraId="392CB551" w14:textId="77777777" w:rsidR="00980E5F" w:rsidRDefault="00980E5F">
            <w:pPr>
              <w:rPr>
                <w:rFonts w:ascii="宋体"/>
                <w:vanish/>
              </w:rPr>
            </w:pPr>
          </w:p>
        </w:tc>
        <w:tc>
          <w:tcPr>
            <w:tcW w:w="0" w:type="auto"/>
            <w:gridSpan w:val="3"/>
            <w:shd w:val="clear" w:color="auto" w:fill="auto"/>
            <w:vAlign w:val="bottom"/>
          </w:tcPr>
          <w:p w14:paraId="392CB552" w14:textId="77777777" w:rsidR="00980E5F" w:rsidRDefault="00980E5F">
            <w:pPr>
              <w:rPr>
                <w:rFonts w:ascii="宋体"/>
                <w:vanish/>
              </w:rPr>
            </w:pPr>
          </w:p>
        </w:tc>
        <w:tc>
          <w:tcPr>
            <w:tcW w:w="0" w:type="auto"/>
            <w:gridSpan w:val="3"/>
            <w:shd w:val="clear" w:color="auto" w:fill="auto"/>
            <w:vAlign w:val="bottom"/>
          </w:tcPr>
          <w:p w14:paraId="392CB553" w14:textId="77777777" w:rsidR="00980E5F" w:rsidRDefault="00980E5F">
            <w:pPr>
              <w:rPr>
                <w:rFonts w:ascii="宋体"/>
                <w:vanish/>
              </w:rPr>
            </w:pPr>
          </w:p>
        </w:tc>
        <w:tc>
          <w:tcPr>
            <w:tcW w:w="0" w:type="auto"/>
            <w:gridSpan w:val="3"/>
            <w:shd w:val="clear" w:color="auto" w:fill="auto"/>
            <w:vAlign w:val="bottom"/>
          </w:tcPr>
          <w:p w14:paraId="392CB554" w14:textId="77777777" w:rsidR="00980E5F" w:rsidRDefault="00980E5F">
            <w:pPr>
              <w:rPr>
                <w:rFonts w:ascii="宋体"/>
                <w:vanish/>
              </w:rPr>
            </w:pPr>
          </w:p>
        </w:tc>
        <w:tc>
          <w:tcPr>
            <w:tcW w:w="0" w:type="auto"/>
            <w:gridSpan w:val="3"/>
            <w:shd w:val="clear" w:color="auto" w:fill="auto"/>
            <w:vAlign w:val="bottom"/>
          </w:tcPr>
          <w:p w14:paraId="392CB555" w14:textId="77777777" w:rsidR="00980E5F" w:rsidRDefault="00980E5F">
            <w:pPr>
              <w:rPr>
                <w:rFonts w:ascii="宋体"/>
                <w:vanish/>
              </w:rPr>
            </w:pPr>
          </w:p>
        </w:tc>
        <w:tc>
          <w:tcPr>
            <w:tcW w:w="0" w:type="auto"/>
            <w:gridSpan w:val="3"/>
            <w:shd w:val="clear" w:color="auto" w:fill="auto"/>
            <w:vAlign w:val="bottom"/>
          </w:tcPr>
          <w:p w14:paraId="392CB556" w14:textId="77777777" w:rsidR="00980E5F" w:rsidRDefault="00980E5F">
            <w:pPr>
              <w:rPr>
                <w:rFonts w:ascii="宋体"/>
                <w:vanish/>
              </w:rPr>
            </w:pPr>
          </w:p>
        </w:tc>
        <w:tc>
          <w:tcPr>
            <w:tcW w:w="0" w:type="auto"/>
            <w:gridSpan w:val="3"/>
            <w:shd w:val="clear" w:color="auto" w:fill="auto"/>
            <w:vAlign w:val="bottom"/>
          </w:tcPr>
          <w:p w14:paraId="392CB557" w14:textId="77777777" w:rsidR="00980E5F" w:rsidRDefault="00980E5F">
            <w:pPr>
              <w:rPr>
                <w:rFonts w:ascii="宋体"/>
                <w:vanish/>
              </w:rPr>
            </w:pPr>
          </w:p>
        </w:tc>
        <w:tc>
          <w:tcPr>
            <w:tcW w:w="0" w:type="auto"/>
            <w:gridSpan w:val="3"/>
            <w:shd w:val="clear" w:color="auto" w:fill="auto"/>
            <w:vAlign w:val="bottom"/>
          </w:tcPr>
          <w:p w14:paraId="392CB558" w14:textId="77777777" w:rsidR="00980E5F" w:rsidRDefault="00980E5F">
            <w:pPr>
              <w:rPr>
                <w:rFonts w:ascii="宋体"/>
                <w:vanish/>
              </w:rPr>
            </w:pPr>
          </w:p>
        </w:tc>
        <w:tc>
          <w:tcPr>
            <w:tcW w:w="0" w:type="auto"/>
            <w:gridSpan w:val="3"/>
            <w:shd w:val="clear" w:color="auto" w:fill="auto"/>
            <w:vAlign w:val="bottom"/>
          </w:tcPr>
          <w:p w14:paraId="392CB559" w14:textId="77777777" w:rsidR="00980E5F" w:rsidRDefault="00980E5F">
            <w:pPr>
              <w:rPr>
                <w:rFonts w:ascii="宋体"/>
                <w:vanish/>
              </w:rPr>
            </w:pPr>
          </w:p>
        </w:tc>
        <w:tc>
          <w:tcPr>
            <w:tcW w:w="0" w:type="auto"/>
            <w:gridSpan w:val="3"/>
            <w:shd w:val="clear" w:color="auto" w:fill="auto"/>
            <w:vAlign w:val="bottom"/>
          </w:tcPr>
          <w:p w14:paraId="392CB55A" w14:textId="77777777" w:rsidR="00980E5F" w:rsidRDefault="00980E5F">
            <w:pPr>
              <w:rPr>
                <w:rFonts w:ascii="宋体"/>
                <w:vanish/>
              </w:rPr>
            </w:pPr>
          </w:p>
        </w:tc>
        <w:tc>
          <w:tcPr>
            <w:tcW w:w="0" w:type="auto"/>
            <w:gridSpan w:val="3"/>
            <w:shd w:val="clear" w:color="auto" w:fill="auto"/>
            <w:vAlign w:val="bottom"/>
          </w:tcPr>
          <w:p w14:paraId="392CB55B" w14:textId="77777777" w:rsidR="00980E5F" w:rsidRDefault="00980E5F">
            <w:pPr>
              <w:rPr>
                <w:rFonts w:ascii="宋体"/>
                <w:vanish/>
              </w:rPr>
            </w:pPr>
          </w:p>
        </w:tc>
        <w:tc>
          <w:tcPr>
            <w:tcW w:w="0" w:type="auto"/>
            <w:gridSpan w:val="3"/>
            <w:shd w:val="clear" w:color="auto" w:fill="auto"/>
            <w:vAlign w:val="bottom"/>
          </w:tcPr>
          <w:p w14:paraId="392CB55C" w14:textId="77777777" w:rsidR="00980E5F" w:rsidRDefault="00980E5F">
            <w:pPr>
              <w:rPr>
                <w:rFonts w:ascii="宋体"/>
                <w:vanish/>
              </w:rPr>
            </w:pPr>
          </w:p>
        </w:tc>
        <w:tc>
          <w:tcPr>
            <w:tcW w:w="0" w:type="auto"/>
            <w:gridSpan w:val="3"/>
            <w:shd w:val="clear" w:color="auto" w:fill="auto"/>
            <w:vAlign w:val="bottom"/>
          </w:tcPr>
          <w:p w14:paraId="392CB55D" w14:textId="77777777" w:rsidR="00980E5F" w:rsidRDefault="00980E5F">
            <w:pPr>
              <w:rPr>
                <w:rFonts w:ascii="宋体"/>
                <w:vanish/>
              </w:rPr>
            </w:pPr>
          </w:p>
        </w:tc>
        <w:tc>
          <w:tcPr>
            <w:tcW w:w="0" w:type="auto"/>
            <w:gridSpan w:val="3"/>
            <w:shd w:val="clear" w:color="auto" w:fill="auto"/>
            <w:vAlign w:val="bottom"/>
          </w:tcPr>
          <w:p w14:paraId="392CB55E" w14:textId="77777777" w:rsidR="00980E5F" w:rsidRDefault="00980E5F">
            <w:pPr>
              <w:rPr>
                <w:rFonts w:ascii="宋体"/>
                <w:vanish/>
              </w:rPr>
            </w:pPr>
          </w:p>
        </w:tc>
        <w:tc>
          <w:tcPr>
            <w:tcW w:w="0" w:type="auto"/>
            <w:gridSpan w:val="3"/>
            <w:shd w:val="clear" w:color="auto" w:fill="auto"/>
            <w:vAlign w:val="bottom"/>
          </w:tcPr>
          <w:p w14:paraId="392CB55F" w14:textId="77777777" w:rsidR="00980E5F" w:rsidRDefault="00980E5F">
            <w:pPr>
              <w:rPr>
                <w:rFonts w:ascii="宋体"/>
                <w:vanish/>
              </w:rPr>
            </w:pPr>
          </w:p>
        </w:tc>
        <w:tc>
          <w:tcPr>
            <w:tcW w:w="0" w:type="auto"/>
            <w:gridSpan w:val="3"/>
            <w:shd w:val="clear" w:color="auto" w:fill="auto"/>
            <w:vAlign w:val="bottom"/>
          </w:tcPr>
          <w:p w14:paraId="392CB560" w14:textId="77777777" w:rsidR="00980E5F" w:rsidRDefault="00980E5F">
            <w:pPr>
              <w:rPr>
                <w:rFonts w:ascii="宋体"/>
                <w:vanish/>
              </w:rPr>
            </w:pPr>
          </w:p>
        </w:tc>
        <w:tc>
          <w:tcPr>
            <w:tcW w:w="0" w:type="auto"/>
            <w:gridSpan w:val="3"/>
            <w:shd w:val="clear" w:color="auto" w:fill="auto"/>
            <w:vAlign w:val="bottom"/>
          </w:tcPr>
          <w:p w14:paraId="392CB561" w14:textId="77777777" w:rsidR="00980E5F" w:rsidRDefault="00980E5F">
            <w:pPr>
              <w:rPr>
                <w:rFonts w:ascii="宋体"/>
                <w:vanish/>
              </w:rPr>
            </w:pPr>
          </w:p>
        </w:tc>
        <w:tc>
          <w:tcPr>
            <w:tcW w:w="0" w:type="auto"/>
            <w:gridSpan w:val="2"/>
            <w:shd w:val="clear" w:color="auto" w:fill="auto"/>
            <w:vAlign w:val="bottom"/>
          </w:tcPr>
          <w:p w14:paraId="392CB562" w14:textId="77777777" w:rsidR="00980E5F" w:rsidRDefault="00980E5F">
            <w:pPr>
              <w:rPr>
                <w:rFonts w:ascii="宋体"/>
                <w:vanish/>
              </w:rPr>
            </w:pPr>
          </w:p>
        </w:tc>
        <w:tc>
          <w:tcPr>
            <w:tcW w:w="0" w:type="auto"/>
            <w:shd w:val="clear" w:color="auto" w:fill="auto"/>
            <w:vAlign w:val="bottom"/>
          </w:tcPr>
          <w:p w14:paraId="392CB563" w14:textId="77777777" w:rsidR="00980E5F" w:rsidRDefault="00980E5F">
            <w:pPr>
              <w:rPr>
                <w:rFonts w:ascii="宋体"/>
                <w:vanish/>
              </w:rPr>
            </w:pPr>
          </w:p>
        </w:tc>
      </w:tr>
      <w:tr w:rsidR="00980E5F" w14:paraId="392CB576" w14:textId="77777777">
        <w:tc>
          <w:tcPr>
            <w:tcW w:w="0" w:type="auto"/>
            <w:gridSpan w:val="3"/>
            <w:shd w:val="clear" w:color="auto" w:fill="auto"/>
            <w:tcMar>
              <w:top w:w="0" w:type="dxa"/>
              <w:left w:w="20" w:type="dxa"/>
              <w:bottom w:w="0" w:type="dxa"/>
              <w:right w:w="20" w:type="dxa"/>
            </w:tcMar>
            <w:vAlign w:val="bottom"/>
          </w:tcPr>
          <w:p w14:paraId="392CB565" w14:textId="77777777" w:rsidR="00980E5F" w:rsidRDefault="00980E5F">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392CB566" w14:textId="77777777" w:rsidR="00980E5F" w:rsidRDefault="00483613">
            <w:pPr>
              <w:jc w:val="center"/>
              <w:textAlignment w:val="bottom"/>
            </w:pPr>
            <w:r>
              <w:rPr>
                <w:rFonts w:ascii="Arial" w:eastAsia="宋体" w:hAnsi="Arial" w:cs="Arial"/>
                <w:b/>
                <w:bCs/>
                <w:color w:val="000000"/>
                <w:sz w:val="16"/>
                <w:szCs w:val="16"/>
              </w:rPr>
              <w:t>Six Months Ended June 30,</w:t>
            </w:r>
          </w:p>
        </w:tc>
        <w:tc>
          <w:tcPr>
            <w:tcW w:w="0" w:type="auto"/>
            <w:gridSpan w:val="3"/>
            <w:shd w:val="clear" w:color="auto" w:fill="auto"/>
            <w:vAlign w:val="bottom"/>
          </w:tcPr>
          <w:p w14:paraId="392CB567" w14:textId="77777777" w:rsidR="00980E5F" w:rsidRDefault="00980E5F">
            <w:pPr>
              <w:rPr>
                <w:rFonts w:ascii="宋体"/>
                <w:vanish/>
              </w:rPr>
            </w:pPr>
          </w:p>
        </w:tc>
        <w:tc>
          <w:tcPr>
            <w:tcW w:w="0" w:type="auto"/>
            <w:gridSpan w:val="3"/>
            <w:shd w:val="clear" w:color="auto" w:fill="auto"/>
            <w:vAlign w:val="bottom"/>
          </w:tcPr>
          <w:p w14:paraId="392CB568" w14:textId="77777777" w:rsidR="00980E5F" w:rsidRDefault="00980E5F">
            <w:pPr>
              <w:rPr>
                <w:rFonts w:ascii="宋体"/>
                <w:vanish/>
              </w:rPr>
            </w:pPr>
          </w:p>
        </w:tc>
        <w:tc>
          <w:tcPr>
            <w:tcW w:w="0" w:type="auto"/>
            <w:gridSpan w:val="3"/>
            <w:shd w:val="clear" w:color="auto" w:fill="auto"/>
            <w:vAlign w:val="bottom"/>
          </w:tcPr>
          <w:p w14:paraId="392CB569" w14:textId="77777777" w:rsidR="00980E5F" w:rsidRDefault="00980E5F">
            <w:pPr>
              <w:rPr>
                <w:rFonts w:ascii="宋体"/>
                <w:vanish/>
              </w:rPr>
            </w:pPr>
          </w:p>
        </w:tc>
        <w:tc>
          <w:tcPr>
            <w:tcW w:w="0" w:type="auto"/>
            <w:gridSpan w:val="3"/>
            <w:shd w:val="clear" w:color="auto" w:fill="auto"/>
            <w:vAlign w:val="bottom"/>
          </w:tcPr>
          <w:p w14:paraId="392CB56A" w14:textId="77777777" w:rsidR="00980E5F" w:rsidRDefault="00980E5F">
            <w:pPr>
              <w:rPr>
                <w:rFonts w:ascii="宋体"/>
                <w:vanish/>
              </w:rPr>
            </w:pPr>
          </w:p>
        </w:tc>
        <w:tc>
          <w:tcPr>
            <w:tcW w:w="0" w:type="auto"/>
            <w:gridSpan w:val="3"/>
            <w:shd w:val="clear" w:color="auto" w:fill="auto"/>
            <w:vAlign w:val="bottom"/>
          </w:tcPr>
          <w:p w14:paraId="392CB56B" w14:textId="77777777" w:rsidR="00980E5F" w:rsidRDefault="00980E5F">
            <w:pPr>
              <w:rPr>
                <w:rFonts w:ascii="宋体"/>
                <w:vanish/>
              </w:rPr>
            </w:pPr>
          </w:p>
        </w:tc>
        <w:tc>
          <w:tcPr>
            <w:tcW w:w="0" w:type="auto"/>
            <w:gridSpan w:val="3"/>
            <w:shd w:val="clear" w:color="auto" w:fill="auto"/>
            <w:vAlign w:val="bottom"/>
          </w:tcPr>
          <w:p w14:paraId="392CB56C" w14:textId="77777777" w:rsidR="00980E5F" w:rsidRDefault="00980E5F">
            <w:pPr>
              <w:rPr>
                <w:rFonts w:ascii="宋体"/>
                <w:vanish/>
              </w:rPr>
            </w:pPr>
          </w:p>
        </w:tc>
        <w:tc>
          <w:tcPr>
            <w:tcW w:w="0" w:type="auto"/>
            <w:shd w:val="clear" w:color="auto" w:fill="auto"/>
            <w:vAlign w:val="bottom"/>
          </w:tcPr>
          <w:p w14:paraId="392CB56D" w14:textId="77777777" w:rsidR="00980E5F" w:rsidRDefault="00980E5F">
            <w:pPr>
              <w:rPr>
                <w:rFonts w:ascii="宋体"/>
              </w:rPr>
            </w:pPr>
          </w:p>
        </w:tc>
        <w:tc>
          <w:tcPr>
            <w:tcW w:w="0" w:type="auto"/>
            <w:shd w:val="clear" w:color="auto" w:fill="auto"/>
            <w:vAlign w:val="bottom"/>
          </w:tcPr>
          <w:p w14:paraId="392CB56E" w14:textId="77777777" w:rsidR="00980E5F" w:rsidRDefault="00980E5F">
            <w:pPr>
              <w:rPr>
                <w:rFonts w:ascii="宋体"/>
              </w:rPr>
            </w:pPr>
          </w:p>
        </w:tc>
        <w:tc>
          <w:tcPr>
            <w:tcW w:w="0" w:type="auto"/>
            <w:shd w:val="clear" w:color="auto" w:fill="auto"/>
            <w:vAlign w:val="bottom"/>
          </w:tcPr>
          <w:p w14:paraId="392CB56F" w14:textId="77777777" w:rsidR="00980E5F" w:rsidRDefault="00980E5F">
            <w:pPr>
              <w:rPr>
                <w:rFonts w:ascii="宋体"/>
              </w:rPr>
            </w:pPr>
          </w:p>
        </w:tc>
        <w:tc>
          <w:tcPr>
            <w:tcW w:w="0" w:type="auto"/>
            <w:shd w:val="clear" w:color="auto" w:fill="auto"/>
            <w:vAlign w:val="bottom"/>
          </w:tcPr>
          <w:p w14:paraId="392CB570" w14:textId="77777777" w:rsidR="00980E5F" w:rsidRDefault="00980E5F">
            <w:pPr>
              <w:rPr>
                <w:rFonts w:ascii="宋体"/>
              </w:rPr>
            </w:pPr>
          </w:p>
        </w:tc>
        <w:tc>
          <w:tcPr>
            <w:tcW w:w="0" w:type="auto"/>
            <w:shd w:val="clear" w:color="auto" w:fill="auto"/>
            <w:vAlign w:val="bottom"/>
          </w:tcPr>
          <w:p w14:paraId="392CB571" w14:textId="77777777" w:rsidR="00980E5F" w:rsidRDefault="00980E5F">
            <w:pPr>
              <w:rPr>
                <w:rFonts w:ascii="宋体"/>
              </w:rPr>
            </w:pPr>
          </w:p>
        </w:tc>
        <w:tc>
          <w:tcPr>
            <w:tcW w:w="0" w:type="auto"/>
            <w:shd w:val="clear" w:color="auto" w:fill="auto"/>
            <w:vAlign w:val="bottom"/>
          </w:tcPr>
          <w:p w14:paraId="392CB572" w14:textId="77777777" w:rsidR="00980E5F" w:rsidRDefault="00980E5F">
            <w:pPr>
              <w:rPr>
                <w:rFonts w:ascii="宋体"/>
              </w:rPr>
            </w:pPr>
          </w:p>
        </w:tc>
        <w:tc>
          <w:tcPr>
            <w:tcW w:w="0" w:type="auto"/>
            <w:shd w:val="clear" w:color="auto" w:fill="auto"/>
            <w:vAlign w:val="bottom"/>
          </w:tcPr>
          <w:p w14:paraId="392CB573" w14:textId="77777777" w:rsidR="00980E5F" w:rsidRDefault="00980E5F">
            <w:pPr>
              <w:rPr>
                <w:rFonts w:ascii="宋体"/>
              </w:rPr>
            </w:pPr>
          </w:p>
        </w:tc>
        <w:tc>
          <w:tcPr>
            <w:tcW w:w="0" w:type="auto"/>
            <w:shd w:val="clear" w:color="auto" w:fill="auto"/>
            <w:vAlign w:val="bottom"/>
          </w:tcPr>
          <w:p w14:paraId="392CB574" w14:textId="77777777" w:rsidR="00980E5F" w:rsidRDefault="00980E5F">
            <w:pPr>
              <w:rPr>
                <w:rFonts w:ascii="宋体"/>
              </w:rPr>
            </w:pPr>
          </w:p>
        </w:tc>
        <w:tc>
          <w:tcPr>
            <w:tcW w:w="0" w:type="auto"/>
            <w:shd w:val="clear" w:color="auto" w:fill="auto"/>
            <w:vAlign w:val="bottom"/>
          </w:tcPr>
          <w:p w14:paraId="392CB575" w14:textId="77777777" w:rsidR="00980E5F" w:rsidRDefault="00980E5F">
            <w:pPr>
              <w:rPr>
                <w:rFonts w:ascii="宋体"/>
              </w:rPr>
            </w:pPr>
          </w:p>
        </w:tc>
      </w:tr>
      <w:tr w:rsidR="00980E5F" w14:paraId="392CB586" w14:textId="77777777">
        <w:tc>
          <w:tcPr>
            <w:tcW w:w="0" w:type="auto"/>
            <w:gridSpan w:val="3"/>
            <w:shd w:val="clear" w:color="auto" w:fill="auto"/>
            <w:tcMar>
              <w:top w:w="0" w:type="dxa"/>
              <w:left w:w="20" w:type="dxa"/>
              <w:bottom w:w="0" w:type="dxa"/>
              <w:right w:w="20" w:type="dxa"/>
            </w:tcMar>
            <w:vAlign w:val="bottom"/>
          </w:tcPr>
          <w:p w14:paraId="392CB577"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B578" w14:textId="77777777" w:rsidR="00980E5F" w:rsidRDefault="00483613">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579" w14:textId="77777777" w:rsidR="00980E5F" w:rsidRDefault="00980E5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92CB57A" w14:textId="77777777" w:rsidR="00980E5F" w:rsidRDefault="00483613">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392CB57B" w14:textId="77777777" w:rsidR="00980E5F" w:rsidRDefault="00980E5F">
            <w:pPr>
              <w:rPr>
                <w:rFonts w:ascii="宋体"/>
                <w:vanish/>
              </w:rPr>
            </w:pPr>
          </w:p>
        </w:tc>
        <w:tc>
          <w:tcPr>
            <w:tcW w:w="0" w:type="auto"/>
            <w:gridSpan w:val="3"/>
            <w:shd w:val="clear" w:color="auto" w:fill="auto"/>
            <w:vAlign w:val="bottom"/>
          </w:tcPr>
          <w:p w14:paraId="392CB57C" w14:textId="77777777" w:rsidR="00980E5F" w:rsidRDefault="00980E5F">
            <w:pPr>
              <w:rPr>
                <w:rFonts w:ascii="宋体"/>
                <w:vanish/>
              </w:rPr>
            </w:pPr>
          </w:p>
        </w:tc>
        <w:tc>
          <w:tcPr>
            <w:tcW w:w="0" w:type="auto"/>
            <w:gridSpan w:val="3"/>
            <w:shd w:val="clear" w:color="auto" w:fill="auto"/>
            <w:vAlign w:val="bottom"/>
          </w:tcPr>
          <w:p w14:paraId="392CB57D" w14:textId="77777777" w:rsidR="00980E5F" w:rsidRDefault="00980E5F">
            <w:pPr>
              <w:rPr>
                <w:rFonts w:ascii="宋体"/>
                <w:vanish/>
              </w:rPr>
            </w:pPr>
          </w:p>
        </w:tc>
        <w:tc>
          <w:tcPr>
            <w:tcW w:w="0" w:type="auto"/>
            <w:gridSpan w:val="3"/>
            <w:shd w:val="clear" w:color="auto" w:fill="auto"/>
            <w:vAlign w:val="bottom"/>
          </w:tcPr>
          <w:p w14:paraId="392CB57E" w14:textId="77777777" w:rsidR="00980E5F" w:rsidRDefault="00980E5F">
            <w:pPr>
              <w:rPr>
                <w:rFonts w:ascii="宋体"/>
                <w:vanish/>
              </w:rPr>
            </w:pPr>
          </w:p>
        </w:tc>
        <w:tc>
          <w:tcPr>
            <w:tcW w:w="0" w:type="auto"/>
            <w:gridSpan w:val="3"/>
            <w:shd w:val="clear" w:color="auto" w:fill="auto"/>
            <w:vAlign w:val="bottom"/>
          </w:tcPr>
          <w:p w14:paraId="392CB57F" w14:textId="77777777" w:rsidR="00980E5F" w:rsidRDefault="00980E5F">
            <w:pPr>
              <w:rPr>
                <w:rFonts w:ascii="宋体"/>
                <w:vanish/>
              </w:rPr>
            </w:pPr>
          </w:p>
        </w:tc>
        <w:tc>
          <w:tcPr>
            <w:tcW w:w="0" w:type="auto"/>
            <w:gridSpan w:val="3"/>
            <w:shd w:val="clear" w:color="auto" w:fill="auto"/>
            <w:vAlign w:val="bottom"/>
          </w:tcPr>
          <w:p w14:paraId="392CB580" w14:textId="77777777" w:rsidR="00980E5F" w:rsidRDefault="00980E5F">
            <w:pPr>
              <w:rPr>
                <w:rFonts w:ascii="宋体"/>
                <w:vanish/>
              </w:rPr>
            </w:pPr>
          </w:p>
        </w:tc>
        <w:tc>
          <w:tcPr>
            <w:tcW w:w="0" w:type="auto"/>
            <w:gridSpan w:val="3"/>
            <w:shd w:val="clear" w:color="auto" w:fill="auto"/>
            <w:vAlign w:val="bottom"/>
          </w:tcPr>
          <w:p w14:paraId="392CB581" w14:textId="77777777" w:rsidR="00980E5F" w:rsidRDefault="00980E5F">
            <w:pPr>
              <w:rPr>
                <w:rFonts w:ascii="宋体"/>
                <w:vanish/>
              </w:rPr>
            </w:pPr>
          </w:p>
        </w:tc>
        <w:tc>
          <w:tcPr>
            <w:tcW w:w="0" w:type="auto"/>
            <w:gridSpan w:val="3"/>
            <w:shd w:val="clear" w:color="auto" w:fill="auto"/>
            <w:vAlign w:val="bottom"/>
          </w:tcPr>
          <w:p w14:paraId="392CB582" w14:textId="77777777" w:rsidR="00980E5F" w:rsidRDefault="00980E5F">
            <w:pPr>
              <w:rPr>
                <w:rFonts w:ascii="宋体"/>
                <w:vanish/>
              </w:rPr>
            </w:pPr>
          </w:p>
        </w:tc>
        <w:tc>
          <w:tcPr>
            <w:tcW w:w="0" w:type="auto"/>
            <w:shd w:val="clear" w:color="auto" w:fill="auto"/>
            <w:vAlign w:val="bottom"/>
          </w:tcPr>
          <w:p w14:paraId="392CB583" w14:textId="77777777" w:rsidR="00980E5F" w:rsidRDefault="00980E5F">
            <w:pPr>
              <w:rPr>
                <w:rFonts w:ascii="宋体"/>
              </w:rPr>
            </w:pPr>
          </w:p>
        </w:tc>
        <w:tc>
          <w:tcPr>
            <w:tcW w:w="0" w:type="auto"/>
            <w:shd w:val="clear" w:color="auto" w:fill="auto"/>
            <w:vAlign w:val="bottom"/>
          </w:tcPr>
          <w:p w14:paraId="392CB584" w14:textId="77777777" w:rsidR="00980E5F" w:rsidRDefault="00980E5F">
            <w:pPr>
              <w:rPr>
                <w:rFonts w:ascii="宋体"/>
              </w:rPr>
            </w:pPr>
          </w:p>
        </w:tc>
        <w:tc>
          <w:tcPr>
            <w:tcW w:w="0" w:type="auto"/>
            <w:shd w:val="clear" w:color="auto" w:fill="auto"/>
            <w:vAlign w:val="bottom"/>
          </w:tcPr>
          <w:p w14:paraId="392CB585" w14:textId="77777777" w:rsidR="00980E5F" w:rsidRDefault="00980E5F">
            <w:pPr>
              <w:rPr>
                <w:rFonts w:ascii="宋体"/>
              </w:rPr>
            </w:pPr>
          </w:p>
        </w:tc>
      </w:tr>
      <w:tr w:rsidR="00980E5F" w14:paraId="392CB59D" w14:textId="77777777">
        <w:tc>
          <w:tcPr>
            <w:tcW w:w="0" w:type="auto"/>
            <w:gridSpan w:val="3"/>
            <w:shd w:val="clear" w:color="auto" w:fill="auto"/>
            <w:tcMar>
              <w:top w:w="40" w:type="dxa"/>
              <w:left w:w="20" w:type="dxa"/>
              <w:bottom w:w="40" w:type="dxa"/>
              <w:right w:w="20" w:type="dxa"/>
            </w:tcMar>
            <w:vAlign w:val="bottom"/>
          </w:tcPr>
          <w:p w14:paraId="392CB587" w14:textId="77777777" w:rsidR="00980E5F" w:rsidRDefault="00483613">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88" w14:textId="77777777" w:rsidR="00980E5F" w:rsidRDefault="00483613">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589"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8A" w14:textId="77777777" w:rsidR="00980E5F" w:rsidRDefault="00483613">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58B"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8C" w14:textId="77777777" w:rsidR="00980E5F" w:rsidRDefault="00483613">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92CB58D"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8E" w14:textId="77777777" w:rsidR="00980E5F" w:rsidRDefault="00483613">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58F"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90" w14:textId="77777777" w:rsidR="00980E5F" w:rsidRDefault="00483613">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591"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592" w14:textId="77777777" w:rsidR="00980E5F" w:rsidRDefault="00483613">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392CB593" w14:textId="77777777" w:rsidR="00980E5F" w:rsidRDefault="00980E5F">
            <w:pPr>
              <w:rPr>
                <w:rFonts w:ascii="宋体"/>
                <w:vanish/>
              </w:rPr>
            </w:pPr>
          </w:p>
        </w:tc>
        <w:tc>
          <w:tcPr>
            <w:tcW w:w="0" w:type="auto"/>
            <w:gridSpan w:val="3"/>
            <w:shd w:val="clear" w:color="auto" w:fill="auto"/>
            <w:vAlign w:val="bottom"/>
          </w:tcPr>
          <w:p w14:paraId="392CB594" w14:textId="77777777" w:rsidR="00980E5F" w:rsidRDefault="00980E5F">
            <w:pPr>
              <w:rPr>
                <w:rFonts w:ascii="宋体"/>
                <w:vanish/>
              </w:rPr>
            </w:pPr>
          </w:p>
        </w:tc>
        <w:tc>
          <w:tcPr>
            <w:tcW w:w="0" w:type="auto"/>
            <w:gridSpan w:val="3"/>
            <w:shd w:val="clear" w:color="auto" w:fill="auto"/>
            <w:vAlign w:val="bottom"/>
          </w:tcPr>
          <w:p w14:paraId="392CB595" w14:textId="77777777" w:rsidR="00980E5F" w:rsidRDefault="00980E5F">
            <w:pPr>
              <w:rPr>
                <w:rFonts w:ascii="宋体"/>
                <w:vanish/>
              </w:rPr>
            </w:pPr>
          </w:p>
        </w:tc>
        <w:tc>
          <w:tcPr>
            <w:tcW w:w="0" w:type="auto"/>
            <w:gridSpan w:val="3"/>
            <w:shd w:val="clear" w:color="auto" w:fill="auto"/>
            <w:vAlign w:val="bottom"/>
          </w:tcPr>
          <w:p w14:paraId="392CB596" w14:textId="77777777" w:rsidR="00980E5F" w:rsidRDefault="00980E5F">
            <w:pPr>
              <w:rPr>
                <w:rFonts w:ascii="宋体"/>
                <w:vanish/>
              </w:rPr>
            </w:pPr>
          </w:p>
        </w:tc>
        <w:tc>
          <w:tcPr>
            <w:tcW w:w="0" w:type="auto"/>
            <w:gridSpan w:val="3"/>
            <w:shd w:val="clear" w:color="auto" w:fill="auto"/>
            <w:vAlign w:val="bottom"/>
          </w:tcPr>
          <w:p w14:paraId="392CB597" w14:textId="77777777" w:rsidR="00980E5F" w:rsidRDefault="00980E5F">
            <w:pPr>
              <w:rPr>
                <w:rFonts w:ascii="宋体"/>
                <w:vanish/>
              </w:rPr>
            </w:pPr>
          </w:p>
        </w:tc>
        <w:tc>
          <w:tcPr>
            <w:tcW w:w="0" w:type="auto"/>
            <w:gridSpan w:val="3"/>
            <w:shd w:val="clear" w:color="auto" w:fill="auto"/>
            <w:vAlign w:val="bottom"/>
          </w:tcPr>
          <w:p w14:paraId="392CB598" w14:textId="77777777" w:rsidR="00980E5F" w:rsidRDefault="00980E5F">
            <w:pPr>
              <w:rPr>
                <w:rFonts w:ascii="宋体"/>
                <w:vanish/>
              </w:rPr>
            </w:pPr>
          </w:p>
        </w:tc>
        <w:tc>
          <w:tcPr>
            <w:tcW w:w="0" w:type="auto"/>
            <w:gridSpan w:val="3"/>
            <w:shd w:val="clear" w:color="auto" w:fill="auto"/>
            <w:vAlign w:val="bottom"/>
          </w:tcPr>
          <w:p w14:paraId="392CB599" w14:textId="77777777" w:rsidR="00980E5F" w:rsidRDefault="00980E5F">
            <w:pPr>
              <w:rPr>
                <w:rFonts w:ascii="宋体"/>
                <w:vanish/>
              </w:rPr>
            </w:pPr>
          </w:p>
        </w:tc>
        <w:tc>
          <w:tcPr>
            <w:tcW w:w="0" w:type="auto"/>
            <w:gridSpan w:val="3"/>
            <w:shd w:val="clear" w:color="auto" w:fill="auto"/>
            <w:vAlign w:val="bottom"/>
          </w:tcPr>
          <w:p w14:paraId="392CB59A" w14:textId="77777777" w:rsidR="00980E5F" w:rsidRDefault="00980E5F">
            <w:pPr>
              <w:rPr>
                <w:rFonts w:ascii="宋体"/>
                <w:vanish/>
              </w:rPr>
            </w:pPr>
          </w:p>
        </w:tc>
        <w:tc>
          <w:tcPr>
            <w:tcW w:w="0" w:type="auto"/>
            <w:gridSpan w:val="2"/>
            <w:shd w:val="clear" w:color="auto" w:fill="auto"/>
            <w:vAlign w:val="bottom"/>
          </w:tcPr>
          <w:p w14:paraId="392CB59B" w14:textId="77777777" w:rsidR="00980E5F" w:rsidRDefault="00980E5F">
            <w:pPr>
              <w:rPr>
                <w:rFonts w:ascii="宋体"/>
                <w:vanish/>
              </w:rPr>
            </w:pPr>
          </w:p>
        </w:tc>
        <w:tc>
          <w:tcPr>
            <w:tcW w:w="0" w:type="auto"/>
            <w:shd w:val="clear" w:color="auto" w:fill="auto"/>
            <w:vAlign w:val="bottom"/>
          </w:tcPr>
          <w:p w14:paraId="392CB59C" w14:textId="77777777" w:rsidR="00980E5F" w:rsidRDefault="00980E5F">
            <w:pPr>
              <w:rPr>
                <w:rFonts w:ascii="宋体"/>
                <w:vanish/>
              </w:rPr>
            </w:pPr>
          </w:p>
        </w:tc>
      </w:tr>
      <w:tr w:rsidR="00980E5F" w14:paraId="392CB5C0" w14:textId="77777777">
        <w:tc>
          <w:tcPr>
            <w:tcW w:w="0" w:type="auto"/>
            <w:gridSpan w:val="3"/>
            <w:shd w:val="clear" w:color="auto" w:fill="CCEEFF"/>
            <w:tcMar>
              <w:top w:w="40" w:type="dxa"/>
              <w:left w:w="20" w:type="dxa"/>
              <w:bottom w:w="40" w:type="dxa"/>
              <w:right w:w="20" w:type="dxa"/>
            </w:tcMar>
            <w:vAlign w:val="bottom"/>
          </w:tcPr>
          <w:p w14:paraId="392CB59E" w14:textId="77777777" w:rsidR="00980E5F" w:rsidRDefault="00483613">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92CB59F"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A0" w14:textId="77777777" w:rsidR="00980E5F" w:rsidRDefault="00483613">
            <w:pPr>
              <w:jc w:val="right"/>
              <w:textAlignment w:val="bottom"/>
            </w:pPr>
            <w:r>
              <w:rPr>
                <w:rFonts w:ascii="Arial" w:eastAsia="宋体" w:hAnsi="Arial" w:cs="Arial"/>
                <w:b/>
                <w:bCs/>
                <w:color w:val="000000"/>
                <w:sz w:val="16"/>
                <w:szCs w:val="16"/>
              </w:rPr>
              <w:t>2,715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A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5A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5A3"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A4" w14:textId="77777777" w:rsidR="00980E5F" w:rsidRDefault="00483613">
            <w:pPr>
              <w:jc w:val="right"/>
              <w:textAlignment w:val="bottom"/>
            </w:pPr>
            <w:r>
              <w:rPr>
                <w:rFonts w:ascii="Arial" w:eastAsia="宋体" w:hAnsi="Arial" w:cs="Arial"/>
                <w:b/>
                <w:bCs/>
                <w:color w:val="000000"/>
                <w:sz w:val="16"/>
                <w:szCs w:val="16"/>
              </w:rPr>
              <w:t>3,319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A5"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5A6"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5A7" w14:textId="77777777" w:rsidR="00980E5F" w:rsidRDefault="00483613">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A8" w14:textId="77777777" w:rsidR="00980E5F" w:rsidRDefault="00483613">
            <w:pPr>
              <w:jc w:val="right"/>
              <w:textAlignment w:val="bottom"/>
            </w:pPr>
            <w:r>
              <w:rPr>
                <w:rFonts w:ascii="Arial" w:eastAsia="宋体" w:hAnsi="Arial" w:cs="Arial"/>
                <w:b/>
                <w:bCs/>
                <w:color w:val="000000"/>
                <w:sz w:val="16"/>
                <w:szCs w:val="16"/>
              </w:rPr>
              <w:t>6,034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A9"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5AA"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5AB"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AC" w14:textId="77777777" w:rsidR="00980E5F" w:rsidRDefault="00483613">
            <w:pPr>
              <w:jc w:val="right"/>
              <w:textAlignment w:val="bottom"/>
            </w:pPr>
            <w:r>
              <w:rPr>
                <w:rFonts w:ascii="Arial" w:eastAsia="宋体" w:hAnsi="Arial" w:cs="Arial"/>
                <w:color w:val="000000"/>
                <w:sz w:val="16"/>
                <w:szCs w:val="16"/>
              </w:rPr>
              <w:t>2,670 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AD"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5AE"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5AF"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B0" w14:textId="77777777" w:rsidR="00980E5F" w:rsidRDefault="00483613">
            <w:pPr>
              <w:jc w:val="right"/>
              <w:textAlignment w:val="bottom"/>
            </w:pPr>
            <w:r>
              <w:rPr>
                <w:rFonts w:ascii="Arial" w:eastAsia="宋体" w:hAnsi="Arial" w:cs="Arial"/>
                <w:color w:val="000000"/>
                <w:sz w:val="16"/>
                <w:szCs w:val="16"/>
              </w:rPr>
              <w:t>3,314 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B1" w14:textId="77777777" w:rsidR="00980E5F" w:rsidRDefault="00980E5F">
            <w:pPr>
              <w:jc w:val="right"/>
              <w:rPr>
                <w:rFonts w:ascii="宋体"/>
              </w:rPr>
            </w:pPr>
          </w:p>
        </w:tc>
        <w:tc>
          <w:tcPr>
            <w:tcW w:w="0" w:type="auto"/>
            <w:gridSpan w:val="3"/>
            <w:shd w:val="clear" w:color="auto" w:fill="CCEEFF"/>
            <w:tcMar>
              <w:top w:w="0" w:type="dxa"/>
              <w:left w:w="20" w:type="dxa"/>
              <w:bottom w:w="0" w:type="dxa"/>
              <w:right w:w="20" w:type="dxa"/>
            </w:tcMar>
            <w:vAlign w:val="bottom"/>
          </w:tcPr>
          <w:p w14:paraId="392CB5B2" w14:textId="77777777" w:rsidR="00980E5F" w:rsidRDefault="00980E5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92CB5B3" w14:textId="77777777" w:rsidR="00980E5F" w:rsidRDefault="00483613">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92CB5B4" w14:textId="77777777" w:rsidR="00980E5F" w:rsidRDefault="00483613">
            <w:pPr>
              <w:jc w:val="right"/>
              <w:textAlignment w:val="bottom"/>
            </w:pPr>
            <w:r>
              <w:rPr>
                <w:rFonts w:ascii="Arial" w:eastAsia="宋体" w:hAnsi="Arial" w:cs="Arial"/>
                <w:color w:val="000000"/>
                <w:sz w:val="16"/>
                <w:szCs w:val="16"/>
              </w:rPr>
              <w:t>5,984 </w:t>
            </w:r>
          </w:p>
        </w:tc>
        <w:tc>
          <w:tcPr>
            <w:tcW w:w="0" w:type="auto"/>
            <w:tcBorders>
              <w:top w:val="single" w:sz="8" w:space="0" w:color="000000"/>
            </w:tcBorders>
            <w:shd w:val="clear" w:color="auto" w:fill="CCEEFF"/>
            <w:tcMar>
              <w:top w:w="40" w:type="dxa"/>
              <w:left w:w="0" w:type="dxa"/>
              <w:bottom w:w="40" w:type="dxa"/>
              <w:right w:w="20" w:type="dxa"/>
            </w:tcMar>
            <w:vAlign w:val="bottom"/>
          </w:tcPr>
          <w:p w14:paraId="392CB5B5" w14:textId="77777777" w:rsidR="00980E5F" w:rsidRDefault="00980E5F">
            <w:pPr>
              <w:jc w:val="right"/>
              <w:rPr>
                <w:rFonts w:ascii="宋体"/>
              </w:rPr>
            </w:pPr>
          </w:p>
        </w:tc>
        <w:tc>
          <w:tcPr>
            <w:tcW w:w="0" w:type="auto"/>
            <w:gridSpan w:val="3"/>
            <w:shd w:val="clear" w:color="auto" w:fill="auto"/>
            <w:vAlign w:val="bottom"/>
          </w:tcPr>
          <w:p w14:paraId="392CB5B6" w14:textId="77777777" w:rsidR="00980E5F" w:rsidRDefault="00980E5F">
            <w:pPr>
              <w:rPr>
                <w:rFonts w:ascii="宋体"/>
                <w:vanish/>
              </w:rPr>
            </w:pPr>
          </w:p>
        </w:tc>
        <w:tc>
          <w:tcPr>
            <w:tcW w:w="0" w:type="auto"/>
            <w:gridSpan w:val="3"/>
            <w:shd w:val="clear" w:color="auto" w:fill="auto"/>
            <w:vAlign w:val="bottom"/>
          </w:tcPr>
          <w:p w14:paraId="392CB5B7" w14:textId="77777777" w:rsidR="00980E5F" w:rsidRDefault="00980E5F">
            <w:pPr>
              <w:rPr>
                <w:rFonts w:ascii="宋体"/>
                <w:vanish/>
              </w:rPr>
            </w:pPr>
          </w:p>
        </w:tc>
        <w:tc>
          <w:tcPr>
            <w:tcW w:w="0" w:type="auto"/>
            <w:gridSpan w:val="3"/>
            <w:shd w:val="clear" w:color="auto" w:fill="auto"/>
            <w:vAlign w:val="bottom"/>
          </w:tcPr>
          <w:p w14:paraId="392CB5B8" w14:textId="77777777" w:rsidR="00980E5F" w:rsidRDefault="00980E5F">
            <w:pPr>
              <w:rPr>
                <w:rFonts w:ascii="宋体"/>
                <w:vanish/>
              </w:rPr>
            </w:pPr>
          </w:p>
        </w:tc>
        <w:tc>
          <w:tcPr>
            <w:tcW w:w="0" w:type="auto"/>
            <w:gridSpan w:val="3"/>
            <w:shd w:val="clear" w:color="auto" w:fill="auto"/>
            <w:vAlign w:val="bottom"/>
          </w:tcPr>
          <w:p w14:paraId="392CB5B9" w14:textId="77777777" w:rsidR="00980E5F" w:rsidRDefault="00980E5F">
            <w:pPr>
              <w:rPr>
                <w:rFonts w:ascii="宋体"/>
                <w:vanish/>
              </w:rPr>
            </w:pPr>
          </w:p>
        </w:tc>
        <w:tc>
          <w:tcPr>
            <w:tcW w:w="0" w:type="auto"/>
            <w:gridSpan w:val="3"/>
            <w:shd w:val="clear" w:color="auto" w:fill="auto"/>
            <w:vAlign w:val="bottom"/>
          </w:tcPr>
          <w:p w14:paraId="392CB5BA" w14:textId="77777777" w:rsidR="00980E5F" w:rsidRDefault="00980E5F">
            <w:pPr>
              <w:rPr>
                <w:rFonts w:ascii="宋体"/>
                <w:vanish/>
              </w:rPr>
            </w:pPr>
          </w:p>
        </w:tc>
        <w:tc>
          <w:tcPr>
            <w:tcW w:w="0" w:type="auto"/>
            <w:gridSpan w:val="3"/>
            <w:shd w:val="clear" w:color="auto" w:fill="auto"/>
            <w:vAlign w:val="bottom"/>
          </w:tcPr>
          <w:p w14:paraId="392CB5BB" w14:textId="77777777" w:rsidR="00980E5F" w:rsidRDefault="00980E5F">
            <w:pPr>
              <w:rPr>
                <w:rFonts w:ascii="宋体"/>
                <w:vanish/>
              </w:rPr>
            </w:pPr>
          </w:p>
        </w:tc>
        <w:tc>
          <w:tcPr>
            <w:tcW w:w="0" w:type="auto"/>
            <w:gridSpan w:val="3"/>
            <w:shd w:val="clear" w:color="auto" w:fill="auto"/>
            <w:vAlign w:val="bottom"/>
          </w:tcPr>
          <w:p w14:paraId="392CB5BC" w14:textId="77777777" w:rsidR="00980E5F" w:rsidRDefault="00980E5F">
            <w:pPr>
              <w:rPr>
                <w:rFonts w:ascii="宋体"/>
                <w:vanish/>
              </w:rPr>
            </w:pPr>
          </w:p>
        </w:tc>
        <w:tc>
          <w:tcPr>
            <w:tcW w:w="0" w:type="auto"/>
            <w:gridSpan w:val="3"/>
            <w:shd w:val="clear" w:color="auto" w:fill="auto"/>
            <w:vAlign w:val="bottom"/>
          </w:tcPr>
          <w:p w14:paraId="392CB5BD" w14:textId="77777777" w:rsidR="00980E5F" w:rsidRDefault="00980E5F">
            <w:pPr>
              <w:rPr>
                <w:rFonts w:ascii="宋体"/>
                <w:vanish/>
              </w:rPr>
            </w:pPr>
          </w:p>
        </w:tc>
        <w:tc>
          <w:tcPr>
            <w:tcW w:w="0" w:type="auto"/>
            <w:gridSpan w:val="2"/>
            <w:shd w:val="clear" w:color="auto" w:fill="auto"/>
            <w:vAlign w:val="bottom"/>
          </w:tcPr>
          <w:p w14:paraId="392CB5BE" w14:textId="77777777" w:rsidR="00980E5F" w:rsidRDefault="00980E5F">
            <w:pPr>
              <w:rPr>
                <w:rFonts w:ascii="宋体"/>
                <w:vanish/>
              </w:rPr>
            </w:pPr>
          </w:p>
        </w:tc>
        <w:tc>
          <w:tcPr>
            <w:tcW w:w="0" w:type="auto"/>
            <w:shd w:val="clear" w:color="auto" w:fill="auto"/>
            <w:vAlign w:val="bottom"/>
          </w:tcPr>
          <w:p w14:paraId="392CB5BF" w14:textId="77777777" w:rsidR="00980E5F" w:rsidRDefault="00980E5F">
            <w:pPr>
              <w:rPr>
                <w:rFonts w:ascii="宋体"/>
                <w:vanish/>
              </w:rPr>
            </w:pPr>
          </w:p>
        </w:tc>
      </w:tr>
      <w:tr w:rsidR="00980E5F" w14:paraId="392CB5DD" w14:textId="77777777">
        <w:tc>
          <w:tcPr>
            <w:tcW w:w="0" w:type="auto"/>
            <w:gridSpan w:val="3"/>
            <w:shd w:val="clear" w:color="auto" w:fill="FFFFFF"/>
            <w:tcMar>
              <w:top w:w="40" w:type="dxa"/>
              <w:left w:w="20" w:type="dxa"/>
              <w:bottom w:w="40" w:type="dxa"/>
              <w:right w:w="20" w:type="dxa"/>
            </w:tcMar>
            <w:vAlign w:val="bottom"/>
          </w:tcPr>
          <w:p w14:paraId="392CB5C1" w14:textId="77777777" w:rsidR="00980E5F" w:rsidRDefault="00483613">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392CB5C2" w14:textId="77777777" w:rsidR="00980E5F" w:rsidRDefault="00483613">
            <w:pPr>
              <w:jc w:val="right"/>
              <w:textAlignment w:val="bottom"/>
            </w:pPr>
            <w:r>
              <w:rPr>
                <w:rFonts w:ascii="Arial" w:eastAsia="宋体" w:hAnsi="Arial" w:cs="Arial"/>
                <w:b/>
                <w:bCs/>
                <w:color w:val="000000"/>
                <w:sz w:val="16"/>
                <w:szCs w:val="16"/>
              </w:rPr>
              <w:t>772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392CB5C3"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5C4"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B5C5" w14:textId="77777777" w:rsidR="00980E5F" w:rsidRDefault="00483613">
            <w:pPr>
              <w:jc w:val="right"/>
              <w:textAlignment w:val="bottom"/>
            </w:pPr>
            <w:r>
              <w:rPr>
                <w:rFonts w:ascii="Arial" w:eastAsia="宋体" w:hAnsi="Arial" w:cs="Arial"/>
                <w:b/>
                <w:bCs/>
                <w:color w:val="000000"/>
                <w:sz w:val="16"/>
                <w:szCs w:val="16"/>
              </w:rPr>
              <w:t>817</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92CB5C6"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5C7" w14:textId="77777777" w:rsidR="00980E5F" w:rsidRDefault="00980E5F">
            <w:pPr>
              <w:rPr>
                <w:rFonts w:ascii="宋体"/>
              </w:rPr>
            </w:pPr>
          </w:p>
        </w:tc>
        <w:tc>
          <w:tcPr>
            <w:tcW w:w="0" w:type="auto"/>
            <w:gridSpan w:val="2"/>
            <w:shd w:val="clear" w:color="auto" w:fill="auto"/>
            <w:tcMar>
              <w:top w:w="40" w:type="dxa"/>
              <w:left w:w="20" w:type="dxa"/>
              <w:bottom w:w="40" w:type="dxa"/>
              <w:right w:w="0" w:type="dxa"/>
            </w:tcMar>
            <w:vAlign w:val="bottom"/>
          </w:tcPr>
          <w:p w14:paraId="392CB5C8" w14:textId="77777777" w:rsidR="00980E5F" w:rsidRDefault="00483613">
            <w:pPr>
              <w:jc w:val="right"/>
              <w:textAlignment w:val="bottom"/>
            </w:pPr>
            <w:r>
              <w:rPr>
                <w:rFonts w:ascii="Arial" w:eastAsia="宋体" w:hAnsi="Arial" w:cs="Arial"/>
                <w:b/>
                <w:bCs/>
                <w:color w:val="000000"/>
                <w:sz w:val="16"/>
                <w:szCs w:val="16"/>
              </w:rPr>
              <w:t>1,589</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392CB5C9"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5CA"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5CB" w14:textId="77777777" w:rsidR="00980E5F" w:rsidRDefault="00483613">
            <w:pPr>
              <w:jc w:val="right"/>
              <w:textAlignment w:val="bottom"/>
            </w:pPr>
            <w:r>
              <w:rPr>
                <w:rFonts w:ascii="Arial" w:eastAsia="宋体" w:hAnsi="Arial" w:cs="Arial"/>
                <w:color w:val="000000"/>
                <w:sz w:val="16"/>
                <w:szCs w:val="16"/>
              </w:rPr>
              <w:t>733 </w:t>
            </w:r>
          </w:p>
        </w:tc>
        <w:tc>
          <w:tcPr>
            <w:tcW w:w="0" w:type="auto"/>
            <w:shd w:val="clear" w:color="auto" w:fill="FFFFFF"/>
            <w:tcMar>
              <w:top w:w="40" w:type="dxa"/>
              <w:left w:w="0" w:type="dxa"/>
              <w:bottom w:w="40" w:type="dxa"/>
              <w:right w:w="20" w:type="dxa"/>
            </w:tcMar>
            <w:vAlign w:val="bottom"/>
          </w:tcPr>
          <w:p w14:paraId="392CB5CC"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5CD"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5CE" w14:textId="77777777" w:rsidR="00980E5F" w:rsidRDefault="00483613">
            <w:pPr>
              <w:jc w:val="right"/>
              <w:textAlignment w:val="bottom"/>
            </w:pPr>
            <w:r>
              <w:rPr>
                <w:rFonts w:ascii="Arial" w:eastAsia="宋体" w:hAnsi="Arial" w:cs="Arial"/>
                <w:color w:val="000000"/>
                <w:sz w:val="16"/>
                <w:szCs w:val="16"/>
              </w:rPr>
              <w:t>832 </w:t>
            </w:r>
          </w:p>
        </w:tc>
        <w:tc>
          <w:tcPr>
            <w:tcW w:w="0" w:type="auto"/>
            <w:shd w:val="clear" w:color="auto" w:fill="FFFFFF"/>
            <w:tcMar>
              <w:top w:w="40" w:type="dxa"/>
              <w:left w:w="0" w:type="dxa"/>
              <w:bottom w:w="40" w:type="dxa"/>
              <w:right w:w="20" w:type="dxa"/>
            </w:tcMar>
            <w:vAlign w:val="bottom"/>
          </w:tcPr>
          <w:p w14:paraId="392CB5CF" w14:textId="77777777" w:rsidR="00980E5F" w:rsidRDefault="00980E5F">
            <w:pPr>
              <w:jc w:val="right"/>
              <w:rPr>
                <w:rFonts w:ascii="宋体"/>
              </w:rPr>
            </w:pPr>
          </w:p>
        </w:tc>
        <w:tc>
          <w:tcPr>
            <w:tcW w:w="0" w:type="auto"/>
            <w:gridSpan w:val="3"/>
            <w:shd w:val="clear" w:color="auto" w:fill="FFFFFF"/>
            <w:tcMar>
              <w:top w:w="0" w:type="dxa"/>
              <w:left w:w="20" w:type="dxa"/>
              <w:bottom w:w="0" w:type="dxa"/>
              <w:right w:w="20" w:type="dxa"/>
            </w:tcMar>
            <w:vAlign w:val="bottom"/>
          </w:tcPr>
          <w:p w14:paraId="392CB5D0" w14:textId="77777777" w:rsidR="00980E5F" w:rsidRDefault="00980E5F">
            <w:pPr>
              <w:rPr>
                <w:rFonts w:ascii="宋体"/>
              </w:rPr>
            </w:pPr>
          </w:p>
        </w:tc>
        <w:tc>
          <w:tcPr>
            <w:tcW w:w="0" w:type="auto"/>
            <w:gridSpan w:val="2"/>
            <w:shd w:val="clear" w:color="auto" w:fill="FFFFFF"/>
            <w:tcMar>
              <w:top w:w="40" w:type="dxa"/>
              <w:left w:w="20" w:type="dxa"/>
              <w:bottom w:w="40" w:type="dxa"/>
              <w:right w:w="0" w:type="dxa"/>
            </w:tcMar>
            <w:vAlign w:val="bottom"/>
          </w:tcPr>
          <w:p w14:paraId="392CB5D1" w14:textId="77777777" w:rsidR="00980E5F" w:rsidRDefault="00483613">
            <w:pPr>
              <w:jc w:val="right"/>
              <w:textAlignment w:val="bottom"/>
            </w:pPr>
            <w:r>
              <w:rPr>
                <w:rFonts w:ascii="Arial" w:eastAsia="宋体" w:hAnsi="Arial" w:cs="Arial"/>
                <w:color w:val="000000"/>
                <w:sz w:val="16"/>
                <w:szCs w:val="16"/>
              </w:rPr>
              <w:t>1,565 </w:t>
            </w:r>
          </w:p>
        </w:tc>
        <w:tc>
          <w:tcPr>
            <w:tcW w:w="0" w:type="auto"/>
            <w:shd w:val="clear" w:color="auto" w:fill="FFFFFF"/>
            <w:tcMar>
              <w:top w:w="40" w:type="dxa"/>
              <w:left w:w="0" w:type="dxa"/>
              <w:bottom w:w="40" w:type="dxa"/>
              <w:right w:w="20" w:type="dxa"/>
            </w:tcMar>
            <w:vAlign w:val="bottom"/>
          </w:tcPr>
          <w:p w14:paraId="392CB5D2" w14:textId="77777777" w:rsidR="00980E5F" w:rsidRDefault="00980E5F">
            <w:pPr>
              <w:jc w:val="right"/>
              <w:rPr>
                <w:rFonts w:ascii="宋体"/>
              </w:rPr>
            </w:pPr>
          </w:p>
        </w:tc>
        <w:tc>
          <w:tcPr>
            <w:tcW w:w="0" w:type="auto"/>
            <w:gridSpan w:val="3"/>
            <w:shd w:val="clear" w:color="auto" w:fill="auto"/>
            <w:vAlign w:val="bottom"/>
          </w:tcPr>
          <w:p w14:paraId="392CB5D3" w14:textId="77777777" w:rsidR="00980E5F" w:rsidRDefault="00980E5F">
            <w:pPr>
              <w:rPr>
                <w:rFonts w:ascii="宋体"/>
                <w:vanish/>
              </w:rPr>
            </w:pPr>
          </w:p>
        </w:tc>
        <w:tc>
          <w:tcPr>
            <w:tcW w:w="0" w:type="auto"/>
            <w:gridSpan w:val="3"/>
            <w:shd w:val="clear" w:color="auto" w:fill="auto"/>
            <w:vAlign w:val="bottom"/>
          </w:tcPr>
          <w:p w14:paraId="392CB5D4" w14:textId="77777777" w:rsidR="00980E5F" w:rsidRDefault="00980E5F">
            <w:pPr>
              <w:rPr>
                <w:rFonts w:ascii="宋体"/>
                <w:vanish/>
              </w:rPr>
            </w:pPr>
          </w:p>
        </w:tc>
        <w:tc>
          <w:tcPr>
            <w:tcW w:w="0" w:type="auto"/>
            <w:gridSpan w:val="3"/>
            <w:shd w:val="clear" w:color="auto" w:fill="auto"/>
            <w:vAlign w:val="bottom"/>
          </w:tcPr>
          <w:p w14:paraId="392CB5D5" w14:textId="77777777" w:rsidR="00980E5F" w:rsidRDefault="00980E5F">
            <w:pPr>
              <w:rPr>
                <w:rFonts w:ascii="宋体"/>
                <w:vanish/>
              </w:rPr>
            </w:pPr>
          </w:p>
        </w:tc>
        <w:tc>
          <w:tcPr>
            <w:tcW w:w="0" w:type="auto"/>
            <w:gridSpan w:val="3"/>
            <w:shd w:val="clear" w:color="auto" w:fill="auto"/>
            <w:vAlign w:val="bottom"/>
          </w:tcPr>
          <w:p w14:paraId="392CB5D6" w14:textId="77777777" w:rsidR="00980E5F" w:rsidRDefault="00980E5F">
            <w:pPr>
              <w:rPr>
                <w:rFonts w:ascii="宋体"/>
                <w:vanish/>
              </w:rPr>
            </w:pPr>
          </w:p>
        </w:tc>
        <w:tc>
          <w:tcPr>
            <w:tcW w:w="0" w:type="auto"/>
            <w:gridSpan w:val="3"/>
            <w:shd w:val="clear" w:color="auto" w:fill="auto"/>
            <w:vAlign w:val="bottom"/>
          </w:tcPr>
          <w:p w14:paraId="392CB5D7" w14:textId="77777777" w:rsidR="00980E5F" w:rsidRDefault="00980E5F">
            <w:pPr>
              <w:rPr>
                <w:rFonts w:ascii="宋体"/>
                <w:vanish/>
              </w:rPr>
            </w:pPr>
          </w:p>
        </w:tc>
        <w:tc>
          <w:tcPr>
            <w:tcW w:w="0" w:type="auto"/>
            <w:gridSpan w:val="3"/>
            <w:shd w:val="clear" w:color="auto" w:fill="auto"/>
            <w:vAlign w:val="bottom"/>
          </w:tcPr>
          <w:p w14:paraId="392CB5D8" w14:textId="77777777" w:rsidR="00980E5F" w:rsidRDefault="00980E5F">
            <w:pPr>
              <w:rPr>
                <w:rFonts w:ascii="宋体"/>
                <w:vanish/>
              </w:rPr>
            </w:pPr>
          </w:p>
        </w:tc>
        <w:tc>
          <w:tcPr>
            <w:tcW w:w="0" w:type="auto"/>
            <w:gridSpan w:val="3"/>
            <w:shd w:val="clear" w:color="auto" w:fill="auto"/>
            <w:vAlign w:val="bottom"/>
          </w:tcPr>
          <w:p w14:paraId="392CB5D9" w14:textId="77777777" w:rsidR="00980E5F" w:rsidRDefault="00980E5F">
            <w:pPr>
              <w:rPr>
                <w:rFonts w:ascii="宋体"/>
                <w:vanish/>
              </w:rPr>
            </w:pPr>
          </w:p>
        </w:tc>
        <w:tc>
          <w:tcPr>
            <w:tcW w:w="0" w:type="auto"/>
            <w:gridSpan w:val="3"/>
            <w:shd w:val="clear" w:color="auto" w:fill="auto"/>
            <w:vAlign w:val="bottom"/>
          </w:tcPr>
          <w:p w14:paraId="392CB5DA" w14:textId="77777777" w:rsidR="00980E5F" w:rsidRDefault="00980E5F">
            <w:pPr>
              <w:rPr>
                <w:rFonts w:ascii="宋体"/>
                <w:vanish/>
              </w:rPr>
            </w:pPr>
          </w:p>
        </w:tc>
        <w:tc>
          <w:tcPr>
            <w:tcW w:w="0" w:type="auto"/>
            <w:gridSpan w:val="2"/>
            <w:shd w:val="clear" w:color="auto" w:fill="auto"/>
            <w:vAlign w:val="bottom"/>
          </w:tcPr>
          <w:p w14:paraId="392CB5DB" w14:textId="77777777" w:rsidR="00980E5F" w:rsidRDefault="00980E5F">
            <w:pPr>
              <w:rPr>
                <w:rFonts w:ascii="宋体"/>
                <w:vanish/>
              </w:rPr>
            </w:pPr>
          </w:p>
        </w:tc>
        <w:tc>
          <w:tcPr>
            <w:tcW w:w="0" w:type="auto"/>
            <w:shd w:val="clear" w:color="auto" w:fill="auto"/>
            <w:vAlign w:val="bottom"/>
          </w:tcPr>
          <w:p w14:paraId="392CB5DC" w14:textId="77777777" w:rsidR="00980E5F" w:rsidRDefault="00980E5F">
            <w:pPr>
              <w:rPr>
                <w:rFonts w:ascii="宋体"/>
                <w:vanish/>
              </w:rPr>
            </w:pPr>
          </w:p>
        </w:tc>
      </w:tr>
    </w:tbl>
    <w:p w14:paraId="392CB5DE"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980E5F" w14:paraId="392CB5E8" w14:textId="77777777">
        <w:tc>
          <w:tcPr>
            <w:tcW w:w="50" w:type="pct"/>
            <w:shd w:val="clear" w:color="auto" w:fill="auto"/>
            <w:vAlign w:val="bottom"/>
          </w:tcPr>
          <w:p w14:paraId="392CB5DF" w14:textId="77777777" w:rsidR="00980E5F" w:rsidRDefault="00980E5F">
            <w:pPr>
              <w:rPr>
                <w:rFonts w:ascii="宋体"/>
              </w:rPr>
            </w:pPr>
          </w:p>
        </w:tc>
        <w:tc>
          <w:tcPr>
            <w:tcW w:w="1348" w:type="pct"/>
            <w:shd w:val="clear" w:color="auto" w:fill="auto"/>
            <w:vAlign w:val="bottom"/>
          </w:tcPr>
          <w:p w14:paraId="392CB5E0" w14:textId="77777777" w:rsidR="00980E5F" w:rsidRDefault="00980E5F">
            <w:pPr>
              <w:rPr>
                <w:rFonts w:ascii="宋体"/>
              </w:rPr>
            </w:pPr>
          </w:p>
        </w:tc>
        <w:tc>
          <w:tcPr>
            <w:tcW w:w="5" w:type="pct"/>
            <w:shd w:val="clear" w:color="auto" w:fill="auto"/>
            <w:vAlign w:val="bottom"/>
          </w:tcPr>
          <w:p w14:paraId="392CB5E1" w14:textId="77777777" w:rsidR="00980E5F" w:rsidRDefault="00980E5F">
            <w:pPr>
              <w:rPr>
                <w:rFonts w:ascii="宋体"/>
              </w:rPr>
            </w:pPr>
          </w:p>
        </w:tc>
        <w:tc>
          <w:tcPr>
            <w:tcW w:w="50" w:type="pct"/>
            <w:shd w:val="clear" w:color="auto" w:fill="auto"/>
            <w:vAlign w:val="bottom"/>
          </w:tcPr>
          <w:p w14:paraId="392CB5E2" w14:textId="77777777" w:rsidR="00980E5F" w:rsidRDefault="00980E5F">
            <w:pPr>
              <w:rPr>
                <w:rFonts w:ascii="宋体"/>
              </w:rPr>
            </w:pPr>
          </w:p>
        </w:tc>
        <w:tc>
          <w:tcPr>
            <w:tcW w:w="2569" w:type="pct"/>
            <w:shd w:val="clear" w:color="auto" w:fill="auto"/>
            <w:vAlign w:val="bottom"/>
          </w:tcPr>
          <w:p w14:paraId="392CB5E3" w14:textId="77777777" w:rsidR="00980E5F" w:rsidRDefault="00980E5F">
            <w:pPr>
              <w:rPr>
                <w:rFonts w:ascii="宋体"/>
              </w:rPr>
            </w:pPr>
          </w:p>
        </w:tc>
        <w:tc>
          <w:tcPr>
            <w:tcW w:w="5" w:type="pct"/>
            <w:shd w:val="clear" w:color="auto" w:fill="auto"/>
            <w:vAlign w:val="bottom"/>
          </w:tcPr>
          <w:p w14:paraId="392CB5E4" w14:textId="77777777" w:rsidR="00980E5F" w:rsidRDefault="00980E5F">
            <w:pPr>
              <w:rPr>
                <w:rFonts w:ascii="宋体"/>
              </w:rPr>
            </w:pPr>
          </w:p>
        </w:tc>
        <w:tc>
          <w:tcPr>
            <w:tcW w:w="50" w:type="pct"/>
            <w:shd w:val="clear" w:color="auto" w:fill="auto"/>
            <w:vAlign w:val="bottom"/>
          </w:tcPr>
          <w:p w14:paraId="392CB5E5" w14:textId="77777777" w:rsidR="00980E5F" w:rsidRDefault="00980E5F">
            <w:pPr>
              <w:rPr>
                <w:rFonts w:ascii="宋体"/>
              </w:rPr>
            </w:pPr>
          </w:p>
        </w:tc>
        <w:tc>
          <w:tcPr>
            <w:tcW w:w="917" w:type="pct"/>
            <w:shd w:val="clear" w:color="auto" w:fill="auto"/>
            <w:vAlign w:val="bottom"/>
          </w:tcPr>
          <w:p w14:paraId="392CB5E6" w14:textId="77777777" w:rsidR="00980E5F" w:rsidRDefault="00980E5F">
            <w:pPr>
              <w:rPr>
                <w:rFonts w:ascii="宋体"/>
              </w:rPr>
            </w:pPr>
          </w:p>
        </w:tc>
        <w:tc>
          <w:tcPr>
            <w:tcW w:w="5" w:type="pct"/>
            <w:shd w:val="clear" w:color="auto" w:fill="auto"/>
            <w:vAlign w:val="bottom"/>
          </w:tcPr>
          <w:p w14:paraId="392CB5E7" w14:textId="77777777" w:rsidR="00980E5F" w:rsidRDefault="00980E5F">
            <w:pPr>
              <w:rPr>
                <w:rFonts w:ascii="宋体"/>
              </w:rPr>
            </w:pPr>
          </w:p>
        </w:tc>
      </w:tr>
      <w:tr w:rsidR="00980E5F" w14:paraId="392CB5E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B5E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5E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5EB" w14:textId="77777777" w:rsidR="00980E5F" w:rsidRDefault="00980E5F">
            <w:pPr>
              <w:rPr>
                <w:rFonts w:ascii="宋体"/>
              </w:rPr>
            </w:pPr>
          </w:p>
        </w:tc>
      </w:tr>
    </w:tbl>
    <w:p w14:paraId="392CB5ED" w14:textId="77777777" w:rsidR="00980E5F" w:rsidRDefault="00483613">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w:t>
      </w:r>
      <w:r>
        <w:rPr>
          <w:rFonts w:ascii="Arial" w:eastAsia="宋体" w:hAnsi="Arial" w:cs="Arial"/>
          <w:color w:val="000000"/>
          <w:sz w:val="14"/>
          <w:szCs w:val="14"/>
        </w:rPr>
        <w:t>generally based on the domicile of the entity servicing the funds and is not necessarily representative of the underlying asset mix.</w:t>
      </w:r>
    </w:p>
    <w:p w14:paraId="392CB5EE" w14:textId="77777777" w:rsidR="00980E5F" w:rsidRDefault="00483613">
      <w:pPr>
        <w:spacing w:before="60" w:after="60"/>
        <w:ind w:firstLine="450"/>
        <w:jc w:val="both"/>
      </w:pPr>
      <w:r>
        <w:rPr>
          <w:rFonts w:ascii="Arial" w:eastAsia="宋体" w:hAnsi="Arial" w:cs="Arial"/>
          <w:color w:val="000000"/>
          <w:sz w:val="20"/>
          <w:szCs w:val="20"/>
        </w:rPr>
        <w:t>Non-U.S. assets were $93.35 billion and $109.41 billion as of June 30, 2022 and 2021, respectively.</w:t>
      </w:r>
    </w:p>
    <w:p w14:paraId="392CB5EF" w14:textId="77777777" w:rsidR="00980E5F" w:rsidRDefault="00483613">
      <w:pPr>
        <w:ind w:firstLine="450"/>
        <w:jc w:val="right"/>
      </w:pPr>
      <w:r>
        <w:rPr>
          <w:rFonts w:ascii="Arial" w:eastAsia="宋体" w:hAnsi="Arial" w:cs="Arial"/>
          <w:color w:val="000000"/>
          <w:sz w:val="18"/>
          <w:szCs w:val="18"/>
        </w:rPr>
        <w:t>State Street Corporatio</w:t>
      </w:r>
      <w:r>
        <w:rPr>
          <w:rFonts w:ascii="Arial" w:eastAsia="宋体" w:hAnsi="Arial" w:cs="Arial"/>
          <w:color w:val="000000"/>
          <w:sz w:val="18"/>
          <w:szCs w:val="18"/>
        </w:rPr>
        <w:t>n | 98</w:t>
      </w:r>
    </w:p>
    <w:p w14:paraId="392CB5F0" w14:textId="77777777" w:rsidR="00980E5F" w:rsidRDefault="00980E5F">
      <w:pPr>
        <w:ind w:firstLine="450"/>
        <w:jc w:val="center"/>
      </w:pPr>
    </w:p>
    <w:p w14:paraId="392CB5F1" w14:textId="77777777" w:rsidR="00980E5F" w:rsidRDefault="00483613">
      <w:r>
        <w:pict w14:anchorId="392CBB30">
          <v:rect id="_x0000_i1122" style="width:415.3pt;height:1.5pt" o:hralign="center" o:hrstd="t" o:hr="t" fillcolor="#a0a0a0" stroked="f"/>
        </w:pict>
      </w:r>
    </w:p>
    <w:p w14:paraId="392CB5F2" w14:textId="77777777" w:rsidR="00980E5F" w:rsidRDefault="00980E5F">
      <w:pPr>
        <w:ind w:firstLine="450"/>
      </w:pPr>
    </w:p>
    <w:p w14:paraId="392CB5F3" w14:textId="77777777" w:rsidR="00980E5F" w:rsidRDefault="00483613">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392CB5F4" w14:textId="77777777" w:rsidR="00980E5F" w:rsidRDefault="00980E5F"/>
    <w:p w14:paraId="392CB5F5" w14:textId="77777777" w:rsidR="00980E5F" w:rsidRDefault="00483613">
      <w:r>
        <w:rPr>
          <w:rFonts w:ascii="Arial" w:eastAsia="宋体" w:hAnsi="Arial" w:cs="Arial"/>
          <w:color w:val="000000"/>
          <w:sz w:val="20"/>
          <w:szCs w:val="20"/>
        </w:rPr>
        <w:t xml:space="preserve">The Shareholders and Board of Directors of State Street Corporation </w:t>
      </w:r>
    </w:p>
    <w:p w14:paraId="392CB5F6" w14:textId="77777777" w:rsidR="00980E5F" w:rsidRDefault="00483613">
      <w:pPr>
        <w:spacing w:before="180"/>
      </w:pPr>
      <w:r>
        <w:rPr>
          <w:rFonts w:ascii="Arial" w:eastAsia="宋体" w:hAnsi="Arial" w:cs="Arial"/>
          <w:b/>
          <w:bCs/>
          <w:color w:val="000000"/>
          <w:sz w:val="20"/>
          <w:szCs w:val="20"/>
        </w:rPr>
        <w:t>Results of Review of Interim Financial Statements</w:t>
      </w:r>
    </w:p>
    <w:p w14:paraId="392CB5F7" w14:textId="77777777" w:rsidR="00980E5F" w:rsidRDefault="00483613">
      <w:pPr>
        <w:spacing w:before="120"/>
        <w:jc w:val="both"/>
      </w:pPr>
      <w:r>
        <w:rPr>
          <w:rFonts w:ascii="Arial" w:eastAsia="宋体" w:hAnsi="Arial" w:cs="Arial"/>
          <w:color w:val="000000"/>
          <w:sz w:val="20"/>
          <w:szCs w:val="20"/>
        </w:rPr>
        <w:t>We have reviewed the accompanying consolidated sta</w:t>
      </w:r>
      <w:r>
        <w:rPr>
          <w:rFonts w:ascii="Arial" w:eastAsia="宋体" w:hAnsi="Arial" w:cs="Arial"/>
          <w:color w:val="000000"/>
          <w:sz w:val="20"/>
          <w:szCs w:val="20"/>
        </w:rPr>
        <w:t xml:space="preserve">tement of condition of State Street Corporation (the “Corporation”) as of June 30, 2022, consolidated statements of income, comprehensive income, changes in shareholders' equity for the three- and six-month periods ended June 30, 2022 and 2021, cash flows </w:t>
      </w:r>
      <w:r>
        <w:rPr>
          <w:rFonts w:ascii="Arial" w:eastAsia="宋体" w:hAnsi="Arial" w:cs="Arial"/>
          <w:color w:val="000000"/>
          <w:sz w:val="20"/>
          <w:szCs w:val="20"/>
        </w:rPr>
        <w:t>for the six-month periods ended June 30, 2022 and 2021 and the related condensed notes (collectively referred to as the “condensed consolidated interim financial statements”). Based on our reviews, we are not aware of any material modifications that should</w:t>
      </w:r>
      <w:r>
        <w:rPr>
          <w:rFonts w:ascii="Arial" w:eastAsia="宋体" w:hAnsi="Arial" w:cs="Arial"/>
          <w:color w:val="000000"/>
          <w:sz w:val="20"/>
          <w:szCs w:val="20"/>
        </w:rPr>
        <w:t xml:space="preserve"> be made to the condensed consolidated interim financial statements for them to be in conformity with U.S. generally accepted accounting principles.</w:t>
      </w:r>
    </w:p>
    <w:p w14:paraId="392CB5F8" w14:textId="77777777" w:rsidR="00980E5F" w:rsidRDefault="00483613">
      <w:pPr>
        <w:spacing w:before="120"/>
        <w:jc w:val="both"/>
      </w:pPr>
      <w:r>
        <w:rPr>
          <w:rFonts w:ascii="Arial" w:eastAsia="宋体" w:hAnsi="Arial" w:cs="Arial"/>
          <w:color w:val="000000"/>
          <w:sz w:val="20"/>
          <w:szCs w:val="20"/>
        </w:rPr>
        <w:t xml:space="preserve">We have previously audited, in accordance with the standards of the Public Company Accounting </w:t>
      </w:r>
      <w:r>
        <w:rPr>
          <w:rFonts w:ascii="Arial" w:eastAsia="宋体" w:hAnsi="Arial" w:cs="Arial"/>
          <w:color w:val="000000"/>
          <w:sz w:val="20"/>
          <w:szCs w:val="20"/>
        </w:rPr>
        <w:t xml:space="preserve">Oversight Board (United States) ("PCAOB"), the consolidated statement of condition of the Corporation as of December 31, 2021, the related consolidated statements of income, comprehensive income, changes in shareholders' equity and cash flows for the year </w:t>
      </w:r>
      <w:r>
        <w:rPr>
          <w:rFonts w:ascii="Arial" w:eastAsia="宋体" w:hAnsi="Arial" w:cs="Arial"/>
          <w:color w:val="000000"/>
          <w:sz w:val="20"/>
          <w:szCs w:val="20"/>
        </w:rPr>
        <w:t>then ended, and the related notes (not presented herein); and in our report dated February 17, 2022, we expressed an unqualified audit opinion on those consolidated financial statements. In our opinion, the information set forth in the accompanying consoli</w:t>
      </w:r>
      <w:r>
        <w:rPr>
          <w:rFonts w:ascii="Arial" w:eastAsia="宋体" w:hAnsi="Arial" w:cs="Arial"/>
          <w:color w:val="000000"/>
          <w:sz w:val="20"/>
          <w:szCs w:val="20"/>
        </w:rPr>
        <w:t>dated statement of condition as of December 31, 2021, is fairly stated, in all material respects, in relation to the consolidated statement of condition from which it has been derived.</w:t>
      </w:r>
    </w:p>
    <w:p w14:paraId="392CB5F9" w14:textId="77777777" w:rsidR="00980E5F" w:rsidRDefault="00483613">
      <w:pPr>
        <w:spacing w:before="180"/>
      </w:pPr>
      <w:r>
        <w:rPr>
          <w:rFonts w:ascii="Arial" w:eastAsia="宋体" w:hAnsi="Arial" w:cs="Arial"/>
          <w:b/>
          <w:bCs/>
          <w:color w:val="000000"/>
          <w:sz w:val="20"/>
          <w:szCs w:val="20"/>
        </w:rPr>
        <w:t>Basis for Review Results</w:t>
      </w:r>
    </w:p>
    <w:p w14:paraId="392CB5FA" w14:textId="77777777" w:rsidR="00980E5F" w:rsidRDefault="00980E5F">
      <w:pPr>
        <w:jc w:val="both"/>
      </w:pPr>
    </w:p>
    <w:p w14:paraId="392CB5FB" w14:textId="77777777" w:rsidR="00980E5F" w:rsidRDefault="00483613">
      <w:pPr>
        <w:jc w:val="both"/>
      </w:pPr>
      <w:r>
        <w:rPr>
          <w:rFonts w:ascii="Arial" w:eastAsia="宋体" w:hAnsi="Arial" w:cs="Arial"/>
          <w:color w:val="000000"/>
          <w:sz w:val="20"/>
          <w:szCs w:val="20"/>
        </w:rPr>
        <w:t>These financial statements are the responsibi</w:t>
      </w:r>
      <w:r>
        <w:rPr>
          <w:rFonts w:ascii="Arial" w:eastAsia="宋体" w:hAnsi="Arial" w:cs="Arial"/>
          <w:color w:val="000000"/>
          <w:sz w:val="20"/>
          <w:szCs w:val="20"/>
        </w:rPr>
        <w:t xml:space="preserve">lity of the Corporation’s management. We are a public accounting firm registered with the PCAOB and are required to be independent with respect to the Corporation in accordance with the U.S. federal securities laws and the applicable rules and regulations </w:t>
      </w:r>
      <w:r>
        <w:rPr>
          <w:rFonts w:ascii="Arial" w:eastAsia="宋体" w:hAnsi="Arial" w:cs="Arial"/>
          <w:color w:val="000000"/>
          <w:sz w:val="20"/>
          <w:szCs w:val="20"/>
        </w:rPr>
        <w:t>of the SEC and the PCAOB. We conducted our review in accordance with the standards of the PCAOB. A review of interim financial statements consists principally of applying analytical procedures and making inquiries of persons responsible for financial and a</w:t>
      </w:r>
      <w:r>
        <w:rPr>
          <w:rFonts w:ascii="Arial" w:eastAsia="宋体" w:hAnsi="Arial" w:cs="Arial"/>
          <w:color w:val="000000"/>
          <w:sz w:val="20"/>
          <w:szCs w:val="20"/>
        </w:rPr>
        <w:t>ccounting matters. It is substantially less in scope than an audit conducted in accordance with the standards of the PCAOB, the objective of which is the expression of an opinion regarding the financial statements taken as a whole. Accordingly, we do not e</w:t>
      </w:r>
      <w:r>
        <w:rPr>
          <w:rFonts w:ascii="Arial" w:eastAsia="宋体" w:hAnsi="Arial" w:cs="Arial"/>
          <w:color w:val="000000"/>
          <w:sz w:val="20"/>
          <w:szCs w:val="20"/>
        </w:rPr>
        <w:t>xpress such an opinion.</w:t>
      </w:r>
    </w:p>
    <w:p w14:paraId="392CB5FC" w14:textId="77777777" w:rsidR="00980E5F" w:rsidRDefault="00980E5F">
      <w:pPr>
        <w:spacing w:before="120"/>
        <w:ind w:firstLine="450"/>
        <w:jc w:val="both"/>
      </w:pPr>
    </w:p>
    <w:p w14:paraId="392CB5FD" w14:textId="77777777" w:rsidR="00980E5F" w:rsidRDefault="00980E5F">
      <w:pPr>
        <w:spacing w:before="180"/>
      </w:pPr>
    </w:p>
    <w:p w14:paraId="392CB5FE" w14:textId="77777777" w:rsidR="00980E5F" w:rsidRDefault="00980E5F">
      <w:pPr>
        <w:spacing w:before="90"/>
        <w:ind w:firstLine="450"/>
      </w:pPr>
    </w:p>
    <w:p w14:paraId="392CB5FF" w14:textId="77777777" w:rsidR="00980E5F" w:rsidRDefault="00483613">
      <w:pPr>
        <w:spacing w:before="90"/>
      </w:pPr>
      <w:r>
        <w:rPr>
          <w:rFonts w:ascii="Arial" w:eastAsia="宋体" w:hAnsi="Arial" w:cs="Arial"/>
          <w:color w:val="000000"/>
          <w:sz w:val="20"/>
          <w:szCs w:val="20"/>
        </w:rPr>
        <w:t xml:space="preserve">/s/ Ernst &amp; Young LLP </w:t>
      </w:r>
    </w:p>
    <w:p w14:paraId="392CB600" w14:textId="77777777" w:rsidR="00980E5F" w:rsidRDefault="00980E5F">
      <w:pPr>
        <w:spacing w:before="90"/>
        <w:ind w:firstLine="450"/>
      </w:pPr>
    </w:p>
    <w:p w14:paraId="392CB601" w14:textId="77777777" w:rsidR="00980E5F" w:rsidRDefault="00483613">
      <w:pPr>
        <w:spacing w:before="90"/>
      </w:pPr>
      <w:r>
        <w:rPr>
          <w:rFonts w:ascii="Arial" w:eastAsia="宋体" w:hAnsi="Arial" w:cs="Arial"/>
          <w:color w:val="000000"/>
          <w:sz w:val="20"/>
          <w:szCs w:val="20"/>
        </w:rPr>
        <w:t>Boston, Massachusetts</w:t>
      </w:r>
    </w:p>
    <w:p w14:paraId="392CB602" w14:textId="77777777" w:rsidR="00980E5F" w:rsidRDefault="00483613">
      <w:r>
        <w:rPr>
          <w:rFonts w:ascii="Arial" w:eastAsia="宋体" w:hAnsi="Arial" w:cs="Arial"/>
          <w:color w:val="000000"/>
          <w:sz w:val="20"/>
          <w:szCs w:val="20"/>
        </w:rPr>
        <w:t xml:space="preserve">July 28, 2022 </w:t>
      </w:r>
    </w:p>
    <w:p w14:paraId="392CB603" w14:textId="77777777" w:rsidR="00980E5F" w:rsidRDefault="00980E5F">
      <w:pPr>
        <w:spacing w:before="90"/>
        <w:ind w:firstLine="450"/>
      </w:pPr>
    </w:p>
    <w:p w14:paraId="392CB604" w14:textId="77777777" w:rsidR="00980E5F" w:rsidRDefault="00483613">
      <w:pPr>
        <w:ind w:firstLine="450"/>
        <w:jc w:val="right"/>
      </w:pPr>
      <w:r>
        <w:rPr>
          <w:rFonts w:ascii="Arial" w:eastAsia="宋体" w:hAnsi="Arial" w:cs="Arial"/>
          <w:color w:val="000000"/>
          <w:sz w:val="18"/>
          <w:szCs w:val="18"/>
        </w:rPr>
        <w:t>State Street Corporation | 99</w:t>
      </w:r>
    </w:p>
    <w:p w14:paraId="392CB605" w14:textId="77777777" w:rsidR="00980E5F" w:rsidRDefault="00980E5F">
      <w:pPr>
        <w:ind w:firstLine="450"/>
        <w:jc w:val="center"/>
      </w:pPr>
    </w:p>
    <w:p w14:paraId="392CB606" w14:textId="77777777" w:rsidR="00980E5F" w:rsidRDefault="00483613">
      <w:r>
        <w:pict w14:anchorId="392CBB31">
          <v:rect id="_x0000_i1123" style="width:415.3pt;height:1.5pt" o:hralign="center" o:hrstd="t" o:hr="t" fillcolor="#a0a0a0" stroked="f"/>
        </w:pict>
      </w:r>
    </w:p>
    <w:p w14:paraId="392CB607" w14:textId="77777777" w:rsidR="00980E5F" w:rsidRDefault="00980E5F">
      <w:pPr>
        <w:ind w:firstLine="450"/>
      </w:pPr>
    </w:p>
    <w:p w14:paraId="392CB608" w14:textId="77777777" w:rsidR="00980E5F" w:rsidRDefault="00980E5F">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856"/>
        <w:gridCol w:w="37"/>
        <w:gridCol w:w="69"/>
        <w:gridCol w:w="3125"/>
        <w:gridCol w:w="38"/>
        <w:gridCol w:w="69"/>
        <w:gridCol w:w="868"/>
        <w:gridCol w:w="36"/>
        <w:gridCol w:w="69"/>
        <w:gridCol w:w="3064"/>
        <w:gridCol w:w="36"/>
      </w:tblGrid>
      <w:tr w:rsidR="00980E5F" w14:paraId="392CB615" w14:textId="77777777">
        <w:tc>
          <w:tcPr>
            <w:tcW w:w="50" w:type="pct"/>
            <w:shd w:val="clear" w:color="auto" w:fill="auto"/>
            <w:vAlign w:val="bottom"/>
          </w:tcPr>
          <w:p w14:paraId="392CB609" w14:textId="77777777" w:rsidR="00980E5F" w:rsidRDefault="00980E5F">
            <w:pPr>
              <w:rPr>
                <w:rFonts w:ascii="宋体"/>
              </w:rPr>
            </w:pPr>
          </w:p>
        </w:tc>
        <w:tc>
          <w:tcPr>
            <w:tcW w:w="522" w:type="pct"/>
            <w:shd w:val="clear" w:color="auto" w:fill="auto"/>
            <w:vAlign w:val="bottom"/>
          </w:tcPr>
          <w:p w14:paraId="392CB60A" w14:textId="77777777" w:rsidR="00980E5F" w:rsidRDefault="00980E5F">
            <w:pPr>
              <w:rPr>
                <w:rFonts w:ascii="宋体"/>
              </w:rPr>
            </w:pPr>
          </w:p>
        </w:tc>
        <w:tc>
          <w:tcPr>
            <w:tcW w:w="5" w:type="pct"/>
            <w:shd w:val="clear" w:color="auto" w:fill="auto"/>
            <w:vAlign w:val="bottom"/>
          </w:tcPr>
          <w:p w14:paraId="392CB60B" w14:textId="77777777" w:rsidR="00980E5F" w:rsidRDefault="00980E5F">
            <w:pPr>
              <w:rPr>
                <w:rFonts w:ascii="宋体"/>
              </w:rPr>
            </w:pPr>
          </w:p>
        </w:tc>
        <w:tc>
          <w:tcPr>
            <w:tcW w:w="50" w:type="pct"/>
            <w:shd w:val="clear" w:color="auto" w:fill="auto"/>
            <w:vAlign w:val="bottom"/>
          </w:tcPr>
          <w:p w14:paraId="392CB60C" w14:textId="77777777" w:rsidR="00980E5F" w:rsidRDefault="00980E5F">
            <w:pPr>
              <w:rPr>
                <w:rFonts w:ascii="宋体"/>
              </w:rPr>
            </w:pPr>
          </w:p>
        </w:tc>
        <w:tc>
          <w:tcPr>
            <w:tcW w:w="1882" w:type="pct"/>
            <w:shd w:val="clear" w:color="auto" w:fill="auto"/>
            <w:vAlign w:val="bottom"/>
          </w:tcPr>
          <w:p w14:paraId="392CB60D" w14:textId="77777777" w:rsidR="00980E5F" w:rsidRDefault="00980E5F">
            <w:pPr>
              <w:rPr>
                <w:rFonts w:ascii="宋体"/>
              </w:rPr>
            </w:pPr>
          </w:p>
        </w:tc>
        <w:tc>
          <w:tcPr>
            <w:tcW w:w="5" w:type="pct"/>
            <w:shd w:val="clear" w:color="auto" w:fill="auto"/>
            <w:vAlign w:val="bottom"/>
          </w:tcPr>
          <w:p w14:paraId="392CB60E" w14:textId="77777777" w:rsidR="00980E5F" w:rsidRDefault="00980E5F">
            <w:pPr>
              <w:rPr>
                <w:rFonts w:ascii="宋体"/>
              </w:rPr>
            </w:pPr>
          </w:p>
        </w:tc>
        <w:tc>
          <w:tcPr>
            <w:tcW w:w="50" w:type="pct"/>
            <w:shd w:val="clear" w:color="auto" w:fill="auto"/>
            <w:vAlign w:val="bottom"/>
          </w:tcPr>
          <w:p w14:paraId="392CB60F" w14:textId="77777777" w:rsidR="00980E5F" w:rsidRDefault="00980E5F">
            <w:pPr>
              <w:rPr>
                <w:rFonts w:ascii="宋体"/>
              </w:rPr>
            </w:pPr>
          </w:p>
        </w:tc>
        <w:tc>
          <w:tcPr>
            <w:tcW w:w="529" w:type="pct"/>
            <w:shd w:val="clear" w:color="auto" w:fill="auto"/>
            <w:vAlign w:val="bottom"/>
          </w:tcPr>
          <w:p w14:paraId="392CB610" w14:textId="77777777" w:rsidR="00980E5F" w:rsidRDefault="00980E5F">
            <w:pPr>
              <w:rPr>
                <w:rFonts w:ascii="宋体"/>
              </w:rPr>
            </w:pPr>
          </w:p>
        </w:tc>
        <w:tc>
          <w:tcPr>
            <w:tcW w:w="5" w:type="pct"/>
            <w:shd w:val="clear" w:color="auto" w:fill="auto"/>
            <w:vAlign w:val="bottom"/>
          </w:tcPr>
          <w:p w14:paraId="392CB611" w14:textId="77777777" w:rsidR="00980E5F" w:rsidRDefault="00980E5F">
            <w:pPr>
              <w:rPr>
                <w:rFonts w:ascii="宋体"/>
              </w:rPr>
            </w:pPr>
          </w:p>
        </w:tc>
        <w:tc>
          <w:tcPr>
            <w:tcW w:w="50" w:type="pct"/>
            <w:shd w:val="clear" w:color="auto" w:fill="auto"/>
            <w:vAlign w:val="bottom"/>
          </w:tcPr>
          <w:p w14:paraId="392CB612" w14:textId="77777777" w:rsidR="00980E5F" w:rsidRDefault="00980E5F">
            <w:pPr>
              <w:rPr>
                <w:rFonts w:ascii="宋体"/>
              </w:rPr>
            </w:pPr>
          </w:p>
        </w:tc>
        <w:tc>
          <w:tcPr>
            <w:tcW w:w="1845" w:type="pct"/>
            <w:shd w:val="clear" w:color="auto" w:fill="auto"/>
            <w:vAlign w:val="bottom"/>
          </w:tcPr>
          <w:p w14:paraId="392CB613" w14:textId="77777777" w:rsidR="00980E5F" w:rsidRDefault="00980E5F">
            <w:pPr>
              <w:rPr>
                <w:rFonts w:ascii="宋体"/>
              </w:rPr>
            </w:pPr>
          </w:p>
        </w:tc>
        <w:tc>
          <w:tcPr>
            <w:tcW w:w="5" w:type="pct"/>
            <w:shd w:val="clear" w:color="auto" w:fill="auto"/>
            <w:vAlign w:val="bottom"/>
          </w:tcPr>
          <w:p w14:paraId="392CB614" w14:textId="77777777" w:rsidR="00980E5F" w:rsidRDefault="00980E5F">
            <w:pPr>
              <w:rPr>
                <w:rFonts w:ascii="宋体"/>
              </w:rPr>
            </w:pPr>
          </w:p>
        </w:tc>
      </w:tr>
      <w:tr w:rsidR="00980E5F" w14:paraId="392CB617" w14:textId="77777777">
        <w:tc>
          <w:tcPr>
            <w:tcW w:w="0" w:type="auto"/>
            <w:gridSpan w:val="12"/>
            <w:shd w:val="clear" w:color="auto" w:fill="auto"/>
            <w:tcMar>
              <w:top w:w="40" w:type="dxa"/>
              <w:left w:w="20" w:type="dxa"/>
              <w:bottom w:w="40" w:type="dxa"/>
              <w:right w:w="20" w:type="dxa"/>
            </w:tcMar>
            <w:vAlign w:val="center"/>
          </w:tcPr>
          <w:p w14:paraId="392CB616" w14:textId="77777777" w:rsidR="00980E5F" w:rsidRDefault="00483613">
            <w:pPr>
              <w:jc w:val="center"/>
              <w:textAlignment w:val="center"/>
            </w:pPr>
            <w:r>
              <w:rPr>
                <w:rFonts w:ascii="Arial" w:eastAsia="宋体" w:hAnsi="Arial" w:cs="Arial"/>
                <w:b/>
                <w:bCs/>
                <w:color w:val="000000"/>
                <w:sz w:val="20"/>
                <w:szCs w:val="20"/>
              </w:rPr>
              <w:t>ACRONYMS</w:t>
            </w:r>
          </w:p>
        </w:tc>
      </w:tr>
      <w:tr w:rsidR="00980E5F" w14:paraId="392CB61C" w14:textId="77777777">
        <w:trPr>
          <w:hidden/>
        </w:trPr>
        <w:tc>
          <w:tcPr>
            <w:tcW w:w="0" w:type="auto"/>
            <w:gridSpan w:val="3"/>
            <w:shd w:val="clear" w:color="auto" w:fill="auto"/>
            <w:vAlign w:val="bottom"/>
          </w:tcPr>
          <w:p w14:paraId="392CB618" w14:textId="77777777" w:rsidR="00980E5F" w:rsidRDefault="00980E5F">
            <w:pPr>
              <w:rPr>
                <w:rFonts w:ascii="宋体"/>
                <w:vanish/>
              </w:rPr>
            </w:pPr>
          </w:p>
        </w:tc>
        <w:tc>
          <w:tcPr>
            <w:tcW w:w="0" w:type="auto"/>
            <w:gridSpan w:val="3"/>
            <w:shd w:val="clear" w:color="auto" w:fill="auto"/>
            <w:vAlign w:val="bottom"/>
          </w:tcPr>
          <w:p w14:paraId="392CB619" w14:textId="77777777" w:rsidR="00980E5F" w:rsidRDefault="00980E5F">
            <w:pPr>
              <w:rPr>
                <w:rFonts w:ascii="宋体"/>
                <w:vanish/>
              </w:rPr>
            </w:pPr>
          </w:p>
        </w:tc>
        <w:tc>
          <w:tcPr>
            <w:tcW w:w="0" w:type="auto"/>
            <w:gridSpan w:val="3"/>
            <w:shd w:val="clear" w:color="auto" w:fill="auto"/>
            <w:vAlign w:val="bottom"/>
          </w:tcPr>
          <w:p w14:paraId="392CB61A" w14:textId="77777777" w:rsidR="00980E5F" w:rsidRDefault="00980E5F">
            <w:pPr>
              <w:rPr>
                <w:rFonts w:ascii="宋体"/>
                <w:vanish/>
              </w:rPr>
            </w:pPr>
          </w:p>
        </w:tc>
        <w:tc>
          <w:tcPr>
            <w:tcW w:w="0" w:type="auto"/>
            <w:gridSpan w:val="3"/>
            <w:shd w:val="clear" w:color="auto" w:fill="auto"/>
            <w:vAlign w:val="bottom"/>
          </w:tcPr>
          <w:p w14:paraId="392CB61B" w14:textId="77777777" w:rsidR="00980E5F" w:rsidRDefault="00980E5F">
            <w:pPr>
              <w:rPr>
                <w:rFonts w:ascii="宋体"/>
                <w:vanish/>
              </w:rPr>
            </w:pPr>
          </w:p>
        </w:tc>
      </w:tr>
      <w:tr w:rsidR="00980E5F" w14:paraId="392CB621"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61D"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61E"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61F"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620" w14:textId="77777777" w:rsidR="00980E5F" w:rsidRDefault="00980E5F">
            <w:pPr>
              <w:rPr>
                <w:rFonts w:ascii="宋体"/>
              </w:rPr>
            </w:pPr>
          </w:p>
        </w:tc>
      </w:tr>
      <w:tr w:rsidR="00980E5F" w14:paraId="392CB626" w14:textId="77777777">
        <w:tc>
          <w:tcPr>
            <w:tcW w:w="0" w:type="auto"/>
            <w:gridSpan w:val="3"/>
            <w:shd w:val="clear" w:color="auto" w:fill="auto"/>
            <w:tcMar>
              <w:top w:w="40" w:type="dxa"/>
              <w:left w:w="20" w:type="dxa"/>
              <w:bottom w:w="40" w:type="dxa"/>
              <w:right w:w="20" w:type="dxa"/>
            </w:tcMar>
            <w:vAlign w:val="center"/>
          </w:tcPr>
          <w:p w14:paraId="392CB622" w14:textId="77777777" w:rsidR="00980E5F" w:rsidRDefault="00483613">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392CB623" w14:textId="77777777" w:rsidR="00980E5F" w:rsidRDefault="00483613">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392CB624" w14:textId="77777777" w:rsidR="00980E5F" w:rsidRDefault="00483613">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392CB625" w14:textId="77777777" w:rsidR="00980E5F" w:rsidRDefault="00483613">
            <w:pPr>
              <w:textAlignment w:val="center"/>
            </w:pPr>
            <w:r>
              <w:rPr>
                <w:rFonts w:ascii="Arial" w:eastAsia="宋体" w:hAnsi="Arial" w:cs="Arial"/>
                <w:color w:val="000000"/>
                <w:sz w:val="16"/>
                <w:szCs w:val="16"/>
              </w:rPr>
              <w:t>Long-term debt</w:t>
            </w:r>
          </w:p>
        </w:tc>
      </w:tr>
      <w:tr w:rsidR="00980E5F" w14:paraId="392CB62B" w14:textId="77777777">
        <w:tc>
          <w:tcPr>
            <w:tcW w:w="0" w:type="auto"/>
            <w:gridSpan w:val="3"/>
            <w:shd w:val="clear" w:color="auto" w:fill="auto"/>
            <w:tcMar>
              <w:top w:w="40" w:type="dxa"/>
              <w:left w:w="20" w:type="dxa"/>
              <w:bottom w:w="40" w:type="dxa"/>
              <w:right w:w="20" w:type="dxa"/>
            </w:tcMar>
            <w:vAlign w:val="center"/>
          </w:tcPr>
          <w:p w14:paraId="392CB627" w14:textId="77777777" w:rsidR="00980E5F" w:rsidRDefault="00483613">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392CB628" w14:textId="77777777" w:rsidR="00980E5F" w:rsidRDefault="00483613">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392CB629" w14:textId="77777777" w:rsidR="00980E5F" w:rsidRDefault="00483613">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392CB62A" w14:textId="77777777" w:rsidR="00980E5F" w:rsidRDefault="00483613">
            <w:pPr>
              <w:textAlignment w:val="center"/>
            </w:pPr>
            <w:r>
              <w:rPr>
                <w:rFonts w:ascii="Arial" w:eastAsia="宋体" w:hAnsi="Arial" w:cs="Arial"/>
                <w:color w:val="000000"/>
                <w:sz w:val="16"/>
                <w:szCs w:val="16"/>
              </w:rPr>
              <w:t>Mortgage-backed securities</w:t>
            </w:r>
          </w:p>
        </w:tc>
      </w:tr>
      <w:tr w:rsidR="00980E5F" w14:paraId="392CB630" w14:textId="77777777">
        <w:tc>
          <w:tcPr>
            <w:tcW w:w="0" w:type="auto"/>
            <w:gridSpan w:val="3"/>
            <w:shd w:val="clear" w:color="auto" w:fill="auto"/>
            <w:tcMar>
              <w:top w:w="40" w:type="dxa"/>
              <w:left w:w="20" w:type="dxa"/>
              <w:bottom w:w="40" w:type="dxa"/>
              <w:right w:w="20" w:type="dxa"/>
            </w:tcMar>
            <w:vAlign w:val="center"/>
          </w:tcPr>
          <w:p w14:paraId="392CB62C" w14:textId="77777777" w:rsidR="00980E5F" w:rsidRDefault="00483613">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392CB62D" w14:textId="77777777" w:rsidR="00980E5F" w:rsidRDefault="00483613">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392CB62E" w14:textId="77777777" w:rsidR="00980E5F" w:rsidRDefault="00483613">
            <w:pPr>
              <w:textAlignment w:val="center"/>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392CB62F" w14:textId="77777777" w:rsidR="00980E5F" w:rsidRDefault="00483613">
            <w:pPr>
              <w:textAlignment w:val="center"/>
            </w:pPr>
            <w:r>
              <w:rPr>
                <w:rFonts w:ascii="Arial" w:eastAsia="宋体" w:hAnsi="Arial" w:cs="Arial"/>
                <w:color w:val="000000"/>
                <w:sz w:val="16"/>
                <w:szCs w:val="16"/>
              </w:rPr>
              <w:t>Money Market Mutual Fund Liquidity Facility</w:t>
            </w:r>
          </w:p>
        </w:tc>
      </w:tr>
      <w:tr w:rsidR="00980E5F" w14:paraId="392CB635" w14:textId="77777777">
        <w:tc>
          <w:tcPr>
            <w:tcW w:w="0" w:type="auto"/>
            <w:gridSpan w:val="3"/>
            <w:shd w:val="clear" w:color="auto" w:fill="auto"/>
            <w:tcMar>
              <w:top w:w="40" w:type="dxa"/>
              <w:left w:w="20" w:type="dxa"/>
              <w:bottom w:w="40" w:type="dxa"/>
              <w:right w:w="20" w:type="dxa"/>
            </w:tcMar>
            <w:vAlign w:val="center"/>
          </w:tcPr>
          <w:p w14:paraId="392CB631" w14:textId="77777777" w:rsidR="00980E5F" w:rsidRDefault="00483613">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392CB632" w14:textId="77777777" w:rsidR="00980E5F" w:rsidRDefault="00483613">
            <w:pPr>
              <w:textAlignment w:val="center"/>
            </w:pPr>
            <w:r>
              <w:rPr>
                <w:rFonts w:ascii="Arial" w:eastAsia="宋体" w:hAnsi="Arial" w:cs="Arial"/>
                <w:color w:val="000000"/>
                <w:sz w:val="16"/>
                <w:szCs w:val="16"/>
              </w:rPr>
              <w:t>Assets under custody and/or administration</w:t>
            </w:r>
          </w:p>
        </w:tc>
        <w:tc>
          <w:tcPr>
            <w:tcW w:w="0" w:type="auto"/>
            <w:gridSpan w:val="3"/>
            <w:shd w:val="clear" w:color="auto" w:fill="auto"/>
            <w:tcMar>
              <w:top w:w="40" w:type="dxa"/>
              <w:left w:w="20" w:type="dxa"/>
              <w:bottom w:w="40" w:type="dxa"/>
              <w:right w:w="20" w:type="dxa"/>
            </w:tcMar>
            <w:vAlign w:val="center"/>
          </w:tcPr>
          <w:p w14:paraId="392CB633" w14:textId="77777777" w:rsidR="00980E5F" w:rsidRDefault="00483613">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392CB634" w14:textId="77777777" w:rsidR="00980E5F" w:rsidRDefault="00483613">
            <w:pPr>
              <w:textAlignment w:val="center"/>
            </w:pPr>
            <w:r>
              <w:rPr>
                <w:rFonts w:ascii="Arial" w:eastAsia="宋体" w:hAnsi="Arial" w:cs="Arial"/>
                <w:color w:val="000000"/>
                <w:sz w:val="16"/>
                <w:szCs w:val="16"/>
              </w:rPr>
              <w:t>Net interest income</w:t>
            </w:r>
          </w:p>
        </w:tc>
      </w:tr>
      <w:tr w:rsidR="00980E5F" w14:paraId="392CB63A" w14:textId="77777777">
        <w:tc>
          <w:tcPr>
            <w:tcW w:w="0" w:type="auto"/>
            <w:gridSpan w:val="3"/>
            <w:shd w:val="clear" w:color="auto" w:fill="auto"/>
            <w:tcMar>
              <w:top w:w="40" w:type="dxa"/>
              <w:left w:w="20" w:type="dxa"/>
              <w:bottom w:w="40" w:type="dxa"/>
              <w:right w:w="20" w:type="dxa"/>
            </w:tcMar>
            <w:vAlign w:val="center"/>
          </w:tcPr>
          <w:p w14:paraId="392CB636" w14:textId="77777777" w:rsidR="00980E5F" w:rsidRDefault="00483613">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392CB637" w14:textId="77777777" w:rsidR="00980E5F" w:rsidRDefault="00483613">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392CB638" w14:textId="77777777" w:rsidR="00980E5F" w:rsidRDefault="00483613">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392CB639" w14:textId="77777777" w:rsidR="00980E5F" w:rsidRDefault="00483613">
            <w:pPr>
              <w:textAlignment w:val="center"/>
            </w:pPr>
            <w:r>
              <w:rPr>
                <w:rFonts w:ascii="Arial" w:eastAsia="宋体" w:hAnsi="Arial" w:cs="Arial"/>
                <w:color w:val="000000"/>
                <w:sz w:val="16"/>
                <w:szCs w:val="16"/>
              </w:rPr>
              <w:t xml:space="preserve">Net interest </w:t>
            </w:r>
            <w:r>
              <w:rPr>
                <w:rFonts w:ascii="Arial" w:eastAsia="宋体" w:hAnsi="Arial" w:cs="Arial"/>
                <w:color w:val="000000"/>
                <w:sz w:val="16"/>
                <w:szCs w:val="16"/>
              </w:rPr>
              <w:t>margin</w:t>
            </w:r>
          </w:p>
        </w:tc>
      </w:tr>
      <w:tr w:rsidR="00980E5F" w14:paraId="392CB63F" w14:textId="77777777">
        <w:tc>
          <w:tcPr>
            <w:tcW w:w="0" w:type="auto"/>
            <w:gridSpan w:val="3"/>
            <w:shd w:val="clear" w:color="auto" w:fill="auto"/>
            <w:tcMar>
              <w:top w:w="40" w:type="dxa"/>
              <w:left w:w="20" w:type="dxa"/>
              <w:bottom w:w="40" w:type="dxa"/>
              <w:right w:w="20" w:type="dxa"/>
            </w:tcMar>
            <w:vAlign w:val="center"/>
          </w:tcPr>
          <w:p w14:paraId="392CB63B" w14:textId="77777777" w:rsidR="00980E5F" w:rsidRDefault="00483613">
            <w:pPr>
              <w:textAlignment w:val="center"/>
            </w:pPr>
            <w:r>
              <w:rPr>
                <w:rFonts w:ascii="Arial" w:eastAsia="宋体" w:hAnsi="Arial" w:cs="Arial"/>
                <w:color w:val="000000"/>
                <w:sz w:val="16"/>
                <w:szCs w:val="16"/>
              </w:rPr>
              <w:t>BBH</w:t>
            </w:r>
          </w:p>
        </w:tc>
        <w:tc>
          <w:tcPr>
            <w:tcW w:w="0" w:type="auto"/>
            <w:gridSpan w:val="3"/>
            <w:shd w:val="clear" w:color="auto" w:fill="auto"/>
            <w:tcMar>
              <w:top w:w="40" w:type="dxa"/>
              <w:left w:w="20" w:type="dxa"/>
              <w:bottom w:w="40" w:type="dxa"/>
              <w:right w:w="20" w:type="dxa"/>
            </w:tcMar>
            <w:vAlign w:val="center"/>
          </w:tcPr>
          <w:p w14:paraId="392CB63C" w14:textId="77777777" w:rsidR="00980E5F" w:rsidRDefault="00483613">
            <w:pPr>
              <w:textAlignment w:val="center"/>
            </w:pPr>
            <w:r>
              <w:rPr>
                <w:rFonts w:ascii="Arial" w:eastAsia="宋体" w:hAnsi="Arial" w:cs="Arial"/>
                <w:color w:val="000000"/>
                <w:sz w:val="16"/>
                <w:szCs w:val="16"/>
              </w:rPr>
              <w:t>Brown Brothers Harriman &amp; Co</w:t>
            </w:r>
          </w:p>
        </w:tc>
        <w:tc>
          <w:tcPr>
            <w:tcW w:w="0" w:type="auto"/>
            <w:gridSpan w:val="3"/>
            <w:shd w:val="clear" w:color="auto" w:fill="auto"/>
            <w:tcMar>
              <w:top w:w="40" w:type="dxa"/>
              <w:left w:w="20" w:type="dxa"/>
              <w:bottom w:w="40" w:type="dxa"/>
              <w:right w:w="20" w:type="dxa"/>
            </w:tcMar>
            <w:vAlign w:val="center"/>
          </w:tcPr>
          <w:p w14:paraId="392CB63D" w14:textId="77777777" w:rsidR="00980E5F" w:rsidRDefault="00483613">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392CB63E" w14:textId="77777777" w:rsidR="00980E5F" w:rsidRDefault="00483613">
            <w:pPr>
              <w:textAlignment w:val="center"/>
            </w:pPr>
            <w:r>
              <w:rPr>
                <w:rFonts w:ascii="Arial" w:eastAsia="宋体" w:hAnsi="Arial" w:cs="Arial"/>
                <w:color w:val="000000"/>
                <w:sz w:val="16"/>
                <w:szCs w:val="16"/>
              </w:rPr>
              <w:t>Over-the-counter</w:t>
            </w:r>
          </w:p>
        </w:tc>
      </w:tr>
      <w:tr w:rsidR="00980E5F" w14:paraId="392CB644" w14:textId="77777777">
        <w:tc>
          <w:tcPr>
            <w:tcW w:w="0" w:type="auto"/>
            <w:gridSpan w:val="3"/>
            <w:shd w:val="clear" w:color="auto" w:fill="auto"/>
            <w:tcMar>
              <w:top w:w="40" w:type="dxa"/>
              <w:left w:w="20" w:type="dxa"/>
              <w:bottom w:w="40" w:type="dxa"/>
              <w:right w:w="20" w:type="dxa"/>
            </w:tcMar>
            <w:vAlign w:val="center"/>
          </w:tcPr>
          <w:p w14:paraId="392CB640" w14:textId="77777777" w:rsidR="00980E5F" w:rsidRDefault="00483613">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392CB641" w14:textId="77777777" w:rsidR="00980E5F" w:rsidRDefault="00483613">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392CB642" w14:textId="77777777" w:rsidR="00980E5F" w:rsidRDefault="00483613">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392CB643" w14:textId="77777777" w:rsidR="00980E5F" w:rsidRDefault="00483613">
            <w:pPr>
              <w:textAlignment w:val="center"/>
            </w:pPr>
            <w:r>
              <w:rPr>
                <w:rFonts w:ascii="Arial" w:eastAsia="宋体" w:hAnsi="Arial" w:cs="Arial"/>
                <w:color w:val="000000"/>
                <w:sz w:val="16"/>
                <w:szCs w:val="16"/>
              </w:rPr>
              <w:t>Public Company Accounting Oversight Board</w:t>
            </w:r>
          </w:p>
        </w:tc>
      </w:tr>
      <w:tr w:rsidR="00980E5F" w14:paraId="392CB649" w14:textId="77777777">
        <w:tc>
          <w:tcPr>
            <w:tcW w:w="0" w:type="auto"/>
            <w:gridSpan w:val="3"/>
            <w:shd w:val="clear" w:color="auto" w:fill="auto"/>
            <w:tcMar>
              <w:top w:w="40" w:type="dxa"/>
              <w:left w:w="20" w:type="dxa"/>
              <w:bottom w:w="40" w:type="dxa"/>
              <w:right w:w="20" w:type="dxa"/>
            </w:tcMar>
            <w:vAlign w:val="center"/>
          </w:tcPr>
          <w:p w14:paraId="392CB645" w14:textId="77777777" w:rsidR="00980E5F" w:rsidRDefault="00483613">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392CB646" w14:textId="77777777" w:rsidR="00980E5F" w:rsidRDefault="00483613">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392CB647" w14:textId="77777777" w:rsidR="00980E5F" w:rsidRDefault="00483613">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48" w14:textId="77777777" w:rsidR="00980E5F" w:rsidRDefault="00483613">
            <w:pPr>
              <w:textAlignment w:val="center"/>
            </w:pPr>
            <w:r>
              <w:rPr>
                <w:rFonts w:ascii="Arial" w:eastAsia="宋体" w:hAnsi="Arial" w:cs="Arial"/>
                <w:color w:val="000000"/>
                <w:sz w:val="16"/>
                <w:szCs w:val="16"/>
              </w:rPr>
              <w:t>Risk-weighted asset</w:t>
            </w:r>
          </w:p>
        </w:tc>
      </w:tr>
      <w:tr w:rsidR="00980E5F" w14:paraId="392CB64E" w14:textId="77777777">
        <w:tc>
          <w:tcPr>
            <w:tcW w:w="0" w:type="auto"/>
            <w:gridSpan w:val="3"/>
            <w:shd w:val="clear" w:color="auto" w:fill="auto"/>
            <w:tcMar>
              <w:top w:w="40" w:type="dxa"/>
              <w:left w:w="20" w:type="dxa"/>
              <w:bottom w:w="40" w:type="dxa"/>
              <w:right w:w="20" w:type="dxa"/>
            </w:tcMar>
            <w:vAlign w:val="center"/>
          </w:tcPr>
          <w:p w14:paraId="392CB64A" w14:textId="77777777" w:rsidR="00980E5F" w:rsidRDefault="00483613">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392CB64B" w14:textId="77777777" w:rsidR="00980E5F" w:rsidRDefault="00483613">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392CB64C" w14:textId="77777777" w:rsidR="00980E5F" w:rsidRDefault="00483613">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392CB64D" w14:textId="77777777" w:rsidR="00980E5F" w:rsidRDefault="00483613">
            <w:pPr>
              <w:textAlignment w:val="center"/>
            </w:pPr>
            <w:r>
              <w:rPr>
                <w:rFonts w:ascii="Arial" w:eastAsia="宋体" w:hAnsi="Arial" w:cs="Arial"/>
                <w:color w:val="000000"/>
                <w:sz w:val="16"/>
                <w:szCs w:val="16"/>
              </w:rPr>
              <w:t xml:space="preserve">Stress </w:t>
            </w:r>
            <w:r>
              <w:rPr>
                <w:rFonts w:ascii="Arial" w:eastAsia="宋体" w:hAnsi="Arial" w:cs="Arial"/>
                <w:color w:val="000000"/>
                <w:sz w:val="16"/>
                <w:szCs w:val="16"/>
              </w:rPr>
              <w:t>Capital Buffer</w:t>
            </w:r>
          </w:p>
        </w:tc>
      </w:tr>
      <w:tr w:rsidR="00980E5F" w14:paraId="392CB653" w14:textId="77777777">
        <w:tc>
          <w:tcPr>
            <w:tcW w:w="0" w:type="auto"/>
            <w:gridSpan w:val="3"/>
            <w:shd w:val="clear" w:color="auto" w:fill="auto"/>
            <w:tcMar>
              <w:top w:w="40" w:type="dxa"/>
              <w:left w:w="20" w:type="dxa"/>
              <w:bottom w:w="40" w:type="dxa"/>
              <w:right w:w="20" w:type="dxa"/>
            </w:tcMar>
            <w:vAlign w:val="center"/>
          </w:tcPr>
          <w:p w14:paraId="392CB64F" w14:textId="77777777" w:rsidR="00980E5F" w:rsidRDefault="00483613">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50" w14:textId="77777777" w:rsidR="00980E5F" w:rsidRDefault="00483613">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392CB651" w14:textId="77777777" w:rsidR="00980E5F" w:rsidRDefault="00483613">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392CB652" w14:textId="77777777" w:rsidR="00980E5F" w:rsidRDefault="00483613">
            <w:pPr>
              <w:textAlignment w:val="center"/>
            </w:pPr>
            <w:r>
              <w:rPr>
                <w:rFonts w:ascii="Arial" w:eastAsia="宋体" w:hAnsi="Arial" w:cs="Arial"/>
                <w:color w:val="000000"/>
                <w:sz w:val="16"/>
                <w:szCs w:val="16"/>
              </w:rPr>
              <w:t>Securities and Exchange Commission</w:t>
            </w:r>
          </w:p>
        </w:tc>
      </w:tr>
      <w:tr w:rsidR="00980E5F" w14:paraId="392CB658" w14:textId="77777777">
        <w:tc>
          <w:tcPr>
            <w:tcW w:w="0" w:type="auto"/>
            <w:gridSpan w:val="3"/>
            <w:shd w:val="clear" w:color="auto" w:fill="auto"/>
            <w:tcMar>
              <w:top w:w="40" w:type="dxa"/>
              <w:left w:w="20" w:type="dxa"/>
              <w:bottom w:w="40" w:type="dxa"/>
              <w:right w:w="20" w:type="dxa"/>
            </w:tcMar>
            <w:vAlign w:val="center"/>
          </w:tcPr>
          <w:p w14:paraId="392CB654" w14:textId="77777777" w:rsidR="00980E5F" w:rsidRDefault="00483613">
            <w:pPr>
              <w:textAlignment w:val="center"/>
            </w:pPr>
            <w:r>
              <w:rPr>
                <w:rFonts w:ascii="Arial" w:eastAsia="宋体" w:hAnsi="Arial" w:cs="Arial"/>
                <w:color w:val="000000"/>
                <w:sz w:val="16"/>
                <w:szCs w:val="16"/>
              </w:rPr>
              <w:t>CLO</w:t>
            </w:r>
          </w:p>
        </w:tc>
        <w:tc>
          <w:tcPr>
            <w:tcW w:w="0" w:type="auto"/>
            <w:gridSpan w:val="3"/>
            <w:shd w:val="clear" w:color="auto" w:fill="auto"/>
            <w:tcMar>
              <w:top w:w="40" w:type="dxa"/>
              <w:left w:w="20" w:type="dxa"/>
              <w:bottom w:w="40" w:type="dxa"/>
              <w:right w:w="20" w:type="dxa"/>
            </w:tcMar>
            <w:vAlign w:val="center"/>
          </w:tcPr>
          <w:p w14:paraId="392CB655" w14:textId="77777777" w:rsidR="00980E5F" w:rsidRDefault="00483613">
            <w:pPr>
              <w:textAlignment w:val="center"/>
            </w:pPr>
            <w:r>
              <w:rPr>
                <w:rFonts w:ascii="Arial" w:eastAsia="宋体" w:hAnsi="Arial" w:cs="Arial"/>
                <w:color w:val="000000"/>
                <w:sz w:val="16"/>
                <w:szCs w:val="16"/>
              </w:rPr>
              <w:t>Collateralized Loan Obligation</w:t>
            </w:r>
          </w:p>
        </w:tc>
        <w:tc>
          <w:tcPr>
            <w:tcW w:w="0" w:type="auto"/>
            <w:gridSpan w:val="3"/>
            <w:shd w:val="clear" w:color="auto" w:fill="auto"/>
            <w:tcMar>
              <w:top w:w="40" w:type="dxa"/>
              <w:left w:w="20" w:type="dxa"/>
              <w:bottom w:w="40" w:type="dxa"/>
              <w:right w:w="20" w:type="dxa"/>
            </w:tcMar>
            <w:vAlign w:val="center"/>
          </w:tcPr>
          <w:p w14:paraId="392CB656" w14:textId="77777777" w:rsidR="00980E5F" w:rsidRDefault="00483613">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57" w14:textId="77777777" w:rsidR="00980E5F" w:rsidRDefault="00483613">
            <w:pPr>
              <w:textAlignment w:val="center"/>
            </w:pPr>
            <w:r>
              <w:rPr>
                <w:rFonts w:ascii="Arial" w:eastAsia="宋体" w:hAnsi="Arial" w:cs="Arial"/>
                <w:color w:val="000000"/>
                <w:sz w:val="16"/>
                <w:szCs w:val="16"/>
              </w:rPr>
              <w:t>Supplementary leverage ratio</w:t>
            </w:r>
          </w:p>
        </w:tc>
      </w:tr>
      <w:tr w:rsidR="00980E5F" w14:paraId="392CB65D" w14:textId="77777777">
        <w:tc>
          <w:tcPr>
            <w:tcW w:w="0" w:type="auto"/>
            <w:gridSpan w:val="3"/>
            <w:shd w:val="clear" w:color="auto" w:fill="auto"/>
            <w:tcMar>
              <w:top w:w="40" w:type="dxa"/>
              <w:left w:w="20" w:type="dxa"/>
              <w:bottom w:w="40" w:type="dxa"/>
              <w:right w:w="20" w:type="dxa"/>
            </w:tcMar>
            <w:vAlign w:val="center"/>
          </w:tcPr>
          <w:p w14:paraId="392CB659" w14:textId="77777777" w:rsidR="00980E5F" w:rsidRDefault="00483613">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392CB65A" w14:textId="77777777" w:rsidR="00980E5F" w:rsidRDefault="00483613">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392CB65B" w14:textId="77777777" w:rsidR="00980E5F" w:rsidRDefault="00483613">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392CB65C" w14:textId="77777777" w:rsidR="00980E5F" w:rsidRDefault="00483613">
            <w:pPr>
              <w:textAlignment w:val="center"/>
            </w:pPr>
            <w:r>
              <w:rPr>
                <w:rFonts w:ascii="Arial" w:eastAsia="宋体" w:hAnsi="Arial" w:cs="Arial"/>
                <w:color w:val="000000"/>
                <w:sz w:val="16"/>
                <w:szCs w:val="16"/>
              </w:rPr>
              <w:t>Spider; Standard and Poor's depository receipt</w:t>
            </w:r>
          </w:p>
        </w:tc>
      </w:tr>
      <w:tr w:rsidR="00980E5F" w14:paraId="392CB662" w14:textId="77777777">
        <w:tc>
          <w:tcPr>
            <w:tcW w:w="0" w:type="auto"/>
            <w:gridSpan w:val="3"/>
            <w:shd w:val="clear" w:color="auto" w:fill="auto"/>
            <w:tcMar>
              <w:top w:w="40" w:type="dxa"/>
              <w:left w:w="20" w:type="dxa"/>
              <w:bottom w:w="40" w:type="dxa"/>
              <w:right w:w="20" w:type="dxa"/>
            </w:tcMar>
            <w:vAlign w:val="center"/>
          </w:tcPr>
          <w:p w14:paraId="392CB65E" w14:textId="77777777" w:rsidR="00980E5F" w:rsidRDefault="00483613">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392CB65F" w14:textId="77777777" w:rsidR="00980E5F" w:rsidRDefault="00483613">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392CB660" w14:textId="77777777" w:rsidR="00980E5F" w:rsidRDefault="00483613">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392CB661" w14:textId="77777777" w:rsidR="00980E5F" w:rsidRDefault="00483613">
            <w:pPr>
              <w:textAlignment w:val="center"/>
            </w:pPr>
            <w:r>
              <w:rPr>
                <w:rFonts w:ascii="Arial" w:eastAsia="宋体" w:hAnsi="Arial" w:cs="Arial"/>
                <w:color w:val="000000"/>
                <w:sz w:val="16"/>
                <w:szCs w:val="16"/>
              </w:rPr>
              <w:t>Single Point of Entry Strategy</w:t>
            </w:r>
          </w:p>
        </w:tc>
      </w:tr>
      <w:tr w:rsidR="00980E5F" w14:paraId="392CB667" w14:textId="77777777">
        <w:tc>
          <w:tcPr>
            <w:tcW w:w="0" w:type="auto"/>
            <w:gridSpan w:val="3"/>
            <w:shd w:val="clear" w:color="auto" w:fill="auto"/>
            <w:tcMar>
              <w:top w:w="40" w:type="dxa"/>
              <w:left w:w="20" w:type="dxa"/>
              <w:bottom w:w="40" w:type="dxa"/>
              <w:right w:w="20" w:type="dxa"/>
            </w:tcMar>
            <w:vAlign w:val="bottom"/>
          </w:tcPr>
          <w:p w14:paraId="392CB663" w14:textId="77777777" w:rsidR="00980E5F" w:rsidRDefault="00483613">
            <w:pPr>
              <w:textAlignment w:val="bottom"/>
            </w:pPr>
            <w:r>
              <w:rPr>
                <w:rFonts w:ascii="Arial" w:eastAsia="宋体" w:hAnsi="Arial" w:cs="Arial"/>
                <w:color w:val="000000"/>
                <w:sz w:val="16"/>
                <w:szCs w:val="16"/>
              </w:rPr>
              <w:t>EUR</w:t>
            </w:r>
          </w:p>
        </w:tc>
        <w:tc>
          <w:tcPr>
            <w:tcW w:w="0" w:type="auto"/>
            <w:gridSpan w:val="3"/>
            <w:shd w:val="clear" w:color="auto" w:fill="auto"/>
            <w:tcMar>
              <w:top w:w="40" w:type="dxa"/>
              <w:left w:w="20" w:type="dxa"/>
              <w:bottom w:w="40" w:type="dxa"/>
              <w:right w:w="20" w:type="dxa"/>
            </w:tcMar>
            <w:vAlign w:val="bottom"/>
          </w:tcPr>
          <w:p w14:paraId="392CB664" w14:textId="77777777" w:rsidR="00980E5F" w:rsidRDefault="00483613">
            <w:pPr>
              <w:textAlignment w:val="bottom"/>
            </w:pPr>
            <w:r>
              <w:rPr>
                <w:rFonts w:ascii="Arial" w:eastAsia="宋体" w:hAnsi="Arial" w:cs="Arial"/>
                <w:color w:val="000000"/>
                <w:sz w:val="16"/>
                <w:szCs w:val="16"/>
              </w:rPr>
              <w:t>Euro</w:t>
            </w:r>
          </w:p>
        </w:tc>
        <w:tc>
          <w:tcPr>
            <w:tcW w:w="0" w:type="auto"/>
            <w:gridSpan w:val="3"/>
            <w:shd w:val="clear" w:color="auto" w:fill="auto"/>
            <w:tcMar>
              <w:top w:w="40" w:type="dxa"/>
              <w:left w:w="20" w:type="dxa"/>
              <w:bottom w:w="40" w:type="dxa"/>
              <w:right w:w="20" w:type="dxa"/>
            </w:tcMar>
            <w:vAlign w:val="center"/>
          </w:tcPr>
          <w:p w14:paraId="392CB665" w14:textId="77777777" w:rsidR="00980E5F" w:rsidRDefault="00483613">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392CB666" w14:textId="77777777" w:rsidR="00980E5F" w:rsidRDefault="00483613">
            <w:pPr>
              <w:textAlignment w:val="center"/>
            </w:pPr>
            <w:r>
              <w:rPr>
                <w:rFonts w:ascii="Arial" w:eastAsia="宋体" w:hAnsi="Arial" w:cs="Arial"/>
                <w:color w:val="000000"/>
                <w:sz w:val="16"/>
                <w:szCs w:val="16"/>
              </w:rPr>
              <w:t>State Street Intermediate Funding, LLC</w:t>
            </w:r>
          </w:p>
        </w:tc>
      </w:tr>
      <w:tr w:rsidR="00980E5F" w14:paraId="392CB66C" w14:textId="77777777">
        <w:tc>
          <w:tcPr>
            <w:tcW w:w="0" w:type="auto"/>
            <w:gridSpan w:val="3"/>
            <w:shd w:val="clear" w:color="auto" w:fill="auto"/>
            <w:tcMar>
              <w:top w:w="40" w:type="dxa"/>
              <w:left w:w="20" w:type="dxa"/>
              <w:bottom w:w="40" w:type="dxa"/>
              <w:right w:w="20" w:type="dxa"/>
            </w:tcMar>
            <w:vAlign w:val="center"/>
          </w:tcPr>
          <w:p w14:paraId="392CB668" w14:textId="77777777" w:rsidR="00980E5F" w:rsidRDefault="00483613">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392CB669" w14:textId="77777777" w:rsidR="00980E5F" w:rsidRDefault="00483613">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392CB66A" w14:textId="77777777" w:rsidR="00980E5F" w:rsidRDefault="00483613">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6B" w14:textId="77777777" w:rsidR="00980E5F" w:rsidRDefault="00483613">
            <w:pPr>
              <w:textAlignment w:val="center"/>
            </w:pPr>
            <w:r>
              <w:rPr>
                <w:rFonts w:ascii="Arial" w:eastAsia="宋体" w:hAnsi="Arial" w:cs="Arial"/>
                <w:color w:val="000000"/>
                <w:sz w:val="16"/>
                <w:szCs w:val="16"/>
              </w:rPr>
              <w:t>Total loss-absorbing capacity</w:t>
            </w:r>
          </w:p>
        </w:tc>
      </w:tr>
      <w:tr w:rsidR="00980E5F" w14:paraId="392CB671" w14:textId="77777777">
        <w:tc>
          <w:tcPr>
            <w:tcW w:w="0" w:type="auto"/>
            <w:gridSpan w:val="3"/>
            <w:shd w:val="clear" w:color="auto" w:fill="auto"/>
            <w:tcMar>
              <w:top w:w="40" w:type="dxa"/>
              <w:left w:w="20" w:type="dxa"/>
              <w:bottom w:w="40" w:type="dxa"/>
              <w:right w:w="20" w:type="dxa"/>
            </w:tcMar>
            <w:vAlign w:val="center"/>
          </w:tcPr>
          <w:p w14:paraId="392CB66D" w14:textId="77777777" w:rsidR="00980E5F" w:rsidRDefault="00483613">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392CB66E" w14:textId="77777777" w:rsidR="00980E5F" w:rsidRDefault="00483613">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392CB66F" w14:textId="77777777" w:rsidR="00980E5F" w:rsidRDefault="00483613">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392CB670" w14:textId="77777777" w:rsidR="00980E5F" w:rsidRDefault="00483613">
            <w:pPr>
              <w:textAlignment w:val="center"/>
            </w:pPr>
            <w:r>
              <w:rPr>
                <w:rFonts w:ascii="Arial" w:eastAsia="宋体" w:hAnsi="Arial" w:cs="Arial"/>
                <w:color w:val="000000"/>
                <w:sz w:val="16"/>
                <w:szCs w:val="16"/>
              </w:rPr>
              <w:t xml:space="preserve">Unit of </w:t>
            </w:r>
            <w:r>
              <w:rPr>
                <w:rFonts w:ascii="Arial" w:eastAsia="宋体" w:hAnsi="Arial" w:cs="Arial"/>
                <w:color w:val="000000"/>
                <w:sz w:val="16"/>
                <w:szCs w:val="16"/>
              </w:rPr>
              <w:t>measure</w:t>
            </w:r>
          </w:p>
        </w:tc>
      </w:tr>
      <w:tr w:rsidR="00980E5F" w14:paraId="392CB676" w14:textId="77777777">
        <w:tc>
          <w:tcPr>
            <w:tcW w:w="0" w:type="auto"/>
            <w:gridSpan w:val="3"/>
            <w:shd w:val="clear" w:color="auto" w:fill="auto"/>
            <w:tcMar>
              <w:top w:w="40" w:type="dxa"/>
              <w:left w:w="20" w:type="dxa"/>
              <w:bottom w:w="40" w:type="dxa"/>
              <w:right w:w="20" w:type="dxa"/>
            </w:tcMar>
            <w:vAlign w:val="center"/>
          </w:tcPr>
          <w:p w14:paraId="392CB672" w14:textId="77777777" w:rsidR="00980E5F" w:rsidRDefault="00483613">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392CB673" w14:textId="77777777" w:rsidR="00980E5F" w:rsidRDefault="00483613">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392CB674" w14:textId="77777777" w:rsidR="00980E5F" w:rsidRDefault="00483613">
            <w:pPr>
              <w:textAlignment w:val="center"/>
            </w:pPr>
            <w:r>
              <w:rPr>
                <w:rFonts w:ascii="Arial" w:eastAsia="宋体" w:hAnsi="Arial" w:cs="Arial"/>
                <w:color w:val="000000"/>
                <w:sz w:val="16"/>
                <w:szCs w:val="16"/>
              </w:rPr>
              <w:t>USD</w:t>
            </w:r>
          </w:p>
        </w:tc>
        <w:tc>
          <w:tcPr>
            <w:tcW w:w="0" w:type="auto"/>
            <w:gridSpan w:val="3"/>
            <w:shd w:val="clear" w:color="auto" w:fill="auto"/>
            <w:tcMar>
              <w:top w:w="40" w:type="dxa"/>
              <w:left w:w="20" w:type="dxa"/>
              <w:bottom w:w="40" w:type="dxa"/>
              <w:right w:w="20" w:type="dxa"/>
            </w:tcMar>
            <w:vAlign w:val="center"/>
          </w:tcPr>
          <w:p w14:paraId="392CB675" w14:textId="77777777" w:rsidR="00980E5F" w:rsidRDefault="00483613">
            <w:pPr>
              <w:textAlignment w:val="center"/>
            </w:pPr>
            <w:r>
              <w:rPr>
                <w:rFonts w:ascii="Arial" w:eastAsia="宋体" w:hAnsi="Arial" w:cs="Arial"/>
                <w:color w:val="000000"/>
                <w:sz w:val="16"/>
                <w:szCs w:val="16"/>
              </w:rPr>
              <w:t>U.S. Dollar</w:t>
            </w:r>
          </w:p>
        </w:tc>
      </w:tr>
      <w:tr w:rsidR="00980E5F" w14:paraId="392CB67B" w14:textId="77777777">
        <w:tc>
          <w:tcPr>
            <w:tcW w:w="0" w:type="auto"/>
            <w:gridSpan w:val="3"/>
            <w:shd w:val="clear" w:color="auto" w:fill="auto"/>
            <w:tcMar>
              <w:top w:w="40" w:type="dxa"/>
              <w:left w:w="20" w:type="dxa"/>
              <w:bottom w:w="40" w:type="dxa"/>
              <w:right w:w="20" w:type="dxa"/>
            </w:tcMar>
            <w:vAlign w:val="center"/>
          </w:tcPr>
          <w:p w14:paraId="392CB677" w14:textId="77777777" w:rsidR="00980E5F" w:rsidRDefault="00483613">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392CB678" w14:textId="77777777" w:rsidR="00980E5F" w:rsidRDefault="00483613">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392CB679" w14:textId="77777777" w:rsidR="00980E5F" w:rsidRDefault="00483613">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392CB67A" w14:textId="77777777" w:rsidR="00980E5F" w:rsidRDefault="00483613">
            <w:pPr>
              <w:textAlignment w:val="center"/>
            </w:pPr>
            <w:r>
              <w:rPr>
                <w:rFonts w:ascii="Arial" w:eastAsia="宋体" w:hAnsi="Arial" w:cs="Arial"/>
                <w:color w:val="000000"/>
                <w:sz w:val="16"/>
                <w:szCs w:val="16"/>
              </w:rPr>
              <w:t>Value-at-Risk</w:t>
            </w:r>
          </w:p>
        </w:tc>
      </w:tr>
      <w:tr w:rsidR="00980E5F" w14:paraId="392CB680" w14:textId="77777777">
        <w:tc>
          <w:tcPr>
            <w:tcW w:w="0" w:type="auto"/>
            <w:gridSpan w:val="3"/>
            <w:shd w:val="clear" w:color="auto" w:fill="auto"/>
            <w:tcMar>
              <w:top w:w="40" w:type="dxa"/>
              <w:left w:w="20" w:type="dxa"/>
              <w:bottom w:w="40" w:type="dxa"/>
              <w:right w:w="20" w:type="dxa"/>
            </w:tcMar>
            <w:vAlign w:val="center"/>
          </w:tcPr>
          <w:p w14:paraId="392CB67C" w14:textId="77777777" w:rsidR="00980E5F" w:rsidRDefault="00483613">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392CB67D" w14:textId="77777777" w:rsidR="00980E5F" w:rsidRDefault="00483613">
            <w:pPr>
              <w:textAlignment w:val="center"/>
            </w:pPr>
            <w:r>
              <w:rPr>
                <w:rFonts w:ascii="Arial" w:eastAsia="宋体" w:hAnsi="Arial" w:cs="Arial"/>
                <w:color w:val="000000"/>
                <w:sz w:val="16"/>
                <w:szCs w:val="16"/>
              </w:rPr>
              <w:t>Foreign exchange</w:t>
            </w:r>
          </w:p>
        </w:tc>
        <w:tc>
          <w:tcPr>
            <w:tcW w:w="0" w:type="auto"/>
            <w:gridSpan w:val="3"/>
            <w:shd w:val="clear" w:color="auto" w:fill="auto"/>
            <w:tcMar>
              <w:top w:w="0" w:type="dxa"/>
              <w:left w:w="20" w:type="dxa"/>
              <w:bottom w:w="0" w:type="dxa"/>
              <w:right w:w="20" w:type="dxa"/>
            </w:tcMar>
            <w:vAlign w:val="bottom"/>
          </w:tcPr>
          <w:p w14:paraId="392CB67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7F" w14:textId="77777777" w:rsidR="00980E5F" w:rsidRDefault="00980E5F">
            <w:pPr>
              <w:rPr>
                <w:rFonts w:ascii="宋体"/>
              </w:rPr>
            </w:pPr>
          </w:p>
        </w:tc>
      </w:tr>
      <w:tr w:rsidR="00980E5F" w14:paraId="392CB685" w14:textId="77777777">
        <w:tc>
          <w:tcPr>
            <w:tcW w:w="0" w:type="auto"/>
            <w:gridSpan w:val="3"/>
            <w:shd w:val="clear" w:color="auto" w:fill="auto"/>
            <w:tcMar>
              <w:top w:w="40" w:type="dxa"/>
              <w:left w:w="20" w:type="dxa"/>
              <w:bottom w:w="40" w:type="dxa"/>
              <w:right w:w="20" w:type="dxa"/>
            </w:tcMar>
            <w:vAlign w:val="center"/>
          </w:tcPr>
          <w:p w14:paraId="392CB681" w14:textId="77777777" w:rsidR="00980E5F" w:rsidRDefault="00483613">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392CB682" w14:textId="77777777" w:rsidR="00980E5F" w:rsidRDefault="00483613">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0" w:type="dxa"/>
              <w:left w:w="20" w:type="dxa"/>
              <w:bottom w:w="0" w:type="dxa"/>
              <w:right w:w="20" w:type="dxa"/>
            </w:tcMar>
            <w:vAlign w:val="bottom"/>
          </w:tcPr>
          <w:p w14:paraId="392CB6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84" w14:textId="77777777" w:rsidR="00980E5F" w:rsidRDefault="00980E5F">
            <w:pPr>
              <w:rPr>
                <w:rFonts w:ascii="宋体"/>
              </w:rPr>
            </w:pPr>
          </w:p>
        </w:tc>
      </w:tr>
      <w:tr w:rsidR="00980E5F" w14:paraId="392CB68A" w14:textId="77777777">
        <w:tc>
          <w:tcPr>
            <w:tcW w:w="0" w:type="auto"/>
            <w:gridSpan w:val="3"/>
            <w:shd w:val="clear" w:color="auto" w:fill="auto"/>
            <w:tcMar>
              <w:top w:w="40" w:type="dxa"/>
              <w:left w:w="20" w:type="dxa"/>
              <w:bottom w:w="40" w:type="dxa"/>
              <w:right w:w="20" w:type="dxa"/>
            </w:tcMar>
            <w:vAlign w:val="center"/>
          </w:tcPr>
          <w:p w14:paraId="392CB686" w14:textId="77777777" w:rsidR="00980E5F" w:rsidRDefault="00483613">
            <w:pPr>
              <w:textAlignment w:val="center"/>
            </w:pPr>
            <w:r>
              <w:rPr>
                <w:rFonts w:ascii="Arial" w:eastAsia="宋体" w:hAnsi="Arial" w:cs="Arial"/>
                <w:color w:val="000000"/>
                <w:sz w:val="16"/>
                <w:szCs w:val="16"/>
              </w:rPr>
              <w:t>GBP</w:t>
            </w:r>
          </w:p>
        </w:tc>
        <w:tc>
          <w:tcPr>
            <w:tcW w:w="0" w:type="auto"/>
            <w:gridSpan w:val="3"/>
            <w:shd w:val="clear" w:color="auto" w:fill="auto"/>
            <w:tcMar>
              <w:top w:w="40" w:type="dxa"/>
              <w:left w:w="20" w:type="dxa"/>
              <w:bottom w:w="40" w:type="dxa"/>
              <w:right w:w="20" w:type="dxa"/>
            </w:tcMar>
            <w:vAlign w:val="center"/>
          </w:tcPr>
          <w:p w14:paraId="392CB687" w14:textId="77777777" w:rsidR="00980E5F" w:rsidRDefault="00483613">
            <w:pPr>
              <w:textAlignment w:val="center"/>
            </w:pPr>
            <w:r>
              <w:rPr>
                <w:rFonts w:ascii="Arial" w:eastAsia="宋体" w:hAnsi="Arial" w:cs="Arial"/>
                <w:color w:val="000000"/>
                <w:sz w:val="16"/>
                <w:szCs w:val="16"/>
              </w:rPr>
              <w:t>British pound Sterling</w:t>
            </w:r>
          </w:p>
        </w:tc>
        <w:tc>
          <w:tcPr>
            <w:tcW w:w="0" w:type="auto"/>
            <w:gridSpan w:val="3"/>
            <w:shd w:val="clear" w:color="auto" w:fill="auto"/>
            <w:tcMar>
              <w:top w:w="0" w:type="dxa"/>
              <w:left w:w="20" w:type="dxa"/>
              <w:bottom w:w="0" w:type="dxa"/>
              <w:right w:w="20" w:type="dxa"/>
            </w:tcMar>
            <w:vAlign w:val="bottom"/>
          </w:tcPr>
          <w:p w14:paraId="392CB68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89" w14:textId="77777777" w:rsidR="00980E5F" w:rsidRDefault="00980E5F">
            <w:pPr>
              <w:rPr>
                <w:rFonts w:ascii="宋体"/>
              </w:rPr>
            </w:pPr>
          </w:p>
        </w:tc>
      </w:tr>
      <w:tr w:rsidR="00980E5F" w14:paraId="392CB68F" w14:textId="77777777">
        <w:tc>
          <w:tcPr>
            <w:tcW w:w="0" w:type="auto"/>
            <w:gridSpan w:val="3"/>
            <w:shd w:val="clear" w:color="auto" w:fill="auto"/>
            <w:tcMar>
              <w:top w:w="40" w:type="dxa"/>
              <w:left w:w="20" w:type="dxa"/>
              <w:bottom w:w="40" w:type="dxa"/>
              <w:right w:w="20" w:type="dxa"/>
            </w:tcMar>
            <w:vAlign w:val="center"/>
          </w:tcPr>
          <w:p w14:paraId="392CB68B" w14:textId="77777777" w:rsidR="00980E5F" w:rsidRDefault="00483613">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392CB68C" w14:textId="77777777" w:rsidR="00980E5F" w:rsidRDefault="00483613">
            <w:pPr>
              <w:textAlignment w:val="center"/>
            </w:pPr>
            <w:r>
              <w:rPr>
                <w:rFonts w:ascii="Arial" w:eastAsia="宋体" w:hAnsi="Arial" w:cs="Arial"/>
                <w:color w:val="000000"/>
                <w:sz w:val="16"/>
                <w:szCs w:val="16"/>
              </w:rPr>
              <w:t xml:space="preserve">Global systemically </w:t>
            </w:r>
            <w:r>
              <w:rPr>
                <w:rFonts w:ascii="Arial" w:eastAsia="宋体" w:hAnsi="Arial" w:cs="Arial"/>
                <w:color w:val="000000"/>
                <w:sz w:val="16"/>
                <w:szCs w:val="16"/>
              </w:rPr>
              <w:t>important bank</w:t>
            </w:r>
          </w:p>
        </w:tc>
        <w:tc>
          <w:tcPr>
            <w:tcW w:w="0" w:type="auto"/>
            <w:gridSpan w:val="3"/>
            <w:shd w:val="clear" w:color="auto" w:fill="auto"/>
            <w:tcMar>
              <w:top w:w="0" w:type="dxa"/>
              <w:left w:w="20" w:type="dxa"/>
              <w:bottom w:w="0" w:type="dxa"/>
              <w:right w:w="20" w:type="dxa"/>
            </w:tcMar>
            <w:vAlign w:val="bottom"/>
          </w:tcPr>
          <w:p w14:paraId="392CB68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8E" w14:textId="77777777" w:rsidR="00980E5F" w:rsidRDefault="00980E5F">
            <w:pPr>
              <w:rPr>
                <w:rFonts w:ascii="宋体"/>
              </w:rPr>
            </w:pPr>
          </w:p>
        </w:tc>
      </w:tr>
      <w:tr w:rsidR="00980E5F" w14:paraId="392CB694" w14:textId="77777777">
        <w:tc>
          <w:tcPr>
            <w:tcW w:w="0" w:type="auto"/>
            <w:gridSpan w:val="3"/>
            <w:shd w:val="clear" w:color="auto" w:fill="auto"/>
            <w:tcMar>
              <w:top w:w="40" w:type="dxa"/>
              <w:left w:w="20" w:type="dxa"/>
              <w:bottom w:w="40" w:type="dxa"/>
              <w:right w:w="20" w:type="dxa"/>
            </w:tcMar>
            <w:vAlign w:val="center"/>
          </w:tcPr>
          <w:p w14:paraId="392CB690" w14:textId="77777777" w:rsidR="00980E5F" w:rsidRDefault="00483613">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91" w14:textId="77777777" w:rsidR="00980E5F" w:rsidRDefault="00483613">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0" w:type="dxa"/>
              <w:left w:w="20" w:type="dxa"/>
              <w:bottom w:w="0" w:type="dxa"/>
              <w:right w:w="20" w:type="dxa"/>
            </w:tcMar>
            <w:vAlign w:val="bottom"/>
          </w:tcPr>
          <w:p w14:paraId="392CB69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93" w14:textId="77777777" w:rsidR="00980E5F" w:rsidRDefault="00980E5F">
            <w:pPr>
              <w:rPr>
                <w:rFonts w:ascii="宋体"/>
              </w:rPr>
            </w:pPr>
          </w:p>
        </w:tc>
      </w:tr>
      <w:tr w:rsidR="00980E5F" w14:paraId="392CB699" w14:textId="77777777">
        <w:tc>
          <w:tcPr>
            <w:tcW w:w="0" w:type="auto"/>
            <w:gridSpan w:val="3"/>
            <w:shd w:val="clear" w:color="auto" w:fill="auto"/>
            <w:tcMar>
              <w:top w:w="40" w:type="dxa"/>
              <w:left w:w="20" w:type="dxa"/>
              <w:bottom w:w="40" w:type="dxa"/>
              <w:right w:w="20" w:type="dxa"/>
            </w:tcMar>
            <w:vAlign w:val="center"/>
          </w:tcPr>
          <w:p w14:paraId="392CB695" w14:textId="77777777" w:rsidR="00980E5F" w:rsidRDefault="00483613">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392CB696" w14:textId="77777777" w:rsidR="00980E5F" w:rsidRDefault="00483613">
            <w:pPr>
              <w:textAlignment w:val="center"/>
            </w:pPr>
            <w:r>
              <w:rPr>
                <w:rFonts w:ascii="Arial" w:eastAsia="宋体" w:hAnsi="Arial" w:cs="Arial"/>
                <w:color w:val="000000"/>
                <w:sz w:val="16"/>
                <w:szCs w:val="16"/>
              </w:rPr>
              <w:t>Held-to-maturity</w:t>
            </w:r>
          </w:p>
        </w:tc>
        <w:tc>
          <w:tcPr>
            <w:tcW w:w="0" w:type="auto"/>
            <w:gridSpan w:val="3"/>
            <w:shd w:val="clear" w:color="auto" w:fill="auto"/>
            <w:tcMar>
              <w:top w:w="0" w:type="dxa"/>
              <w:left w:w="20" w:type="dxa"/>
              <w:bottom w:w="0" w:type="dxa"/>
              <w:right w:w="20" w:type="dxa"/>
            </w:tcMar>
            <w:vAlign w:val="bottom"/>
          </w:tcPr>
          <w:p w14:paraId="392CB69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98" w14:textId="77777777" w:rsidR="00980E5F" w:rsidRDefault="00980E5F">
            <w:pPr>
              <w:rPr>
                <w:rFonts w:ascii="宋体"/>
              </w:rPr>
            </w:pPr>
          </w:p>
        </w:tc>
      </w:tr>
      <w:tr w:rsidR="00980E5F" w14:paraId="392CB69E" w14:textId="77777777">
        <w:tc>
          <w:tcPr>
            <w:tcW w:w="0" w:type="auto"/>
            <w:gridSpan w:val="3"/>
            <w:shd w:val="clear" w:color="auto" w:fill="auto"/>
            <w:tcMar>
              <w:top w:w="40" w:type="dxa"/>
              <w:left w:w="20" w:type="dxa"/>
              <w:bottom w:w="40" w:type="dxa"/>
              <w:right w:w="20" w:type="dxa"/>
            </w:tcMar>
            <w:vAlign w:val="bottom"/>
          </w:tcPr>
          <w:p w14:paraId="392CB69A" w14:textId="77777777" w:rsidR="00980E5F" w:rsidRDefault="00483613">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392CB69B" w14:textId="77777777" w:rsidR="00980E5F" w:rsidRDefault="00483613">
            <w:pPr>
              <w:textAlignment w:val="bottom"/>
            </w:pPr>
            <w:r>
              <w:rPr>
                <w:rFonts w:ascii="Arial" w:eastAsia="宋体" w:hAnsi="Arial" w:cs="Arial"/>
                <w:color w:val="000000"/>
                <w:sz w:val="16"/>
                <w:szCs w:val="16"/>
              </w:rPr>
              <w:t xml:space="preserve">Insured Depository Institution </w:t>
            </w:r>
          </w:p>
        </w:tc>
        <w:tc>
          <w:tcPr>
            <w:tcW w:w="0" w:type="auto"/>
            <w:gridSpan w:val="3"/>
            <w:shd w:val="clear" w:color="auto" w:fill="auto"/>
            <w:tcMar>
              <w:top w:w="0" w:type="dxa"/>
              <w:left w:w="20" w:type="dxa"/>
              <w:bottom w:w="0" w:type="dxa"/>
              <w:right w:w="20" w:type="dxa"/>
            </w:tcMar>
            <w:vAlign w:val="bottom"/>
          </w:tcPr>
          <w:p w14:paraId="392CB69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9D" w14:textId="77777777" w:rsidR="00980E5F" w:rsidRDefault="00980E5F">
            <w:pPr>
              <w:rPr>
                <w:rFonts w:ascii="宋体"/>
              </w:rPr>
            </w:pPr>
          </w:p>
        </w:tc>
      </w:tr>
      <w:tr w:rsidR="00980E5F" w14:paraId="392CB6A3" w14:textId="77777777">
        <w:tc>
          <w:tcPr>
            <w:tcW w:w="0" w:type="auto"/>
            <w:gridSpan w:val="3"/>
            <w:shd w:val="clear" w:color="auto" w:fill="auto"/>
            <w:tcMar>
              <w:top w:w="40" w:type="dxa"/>
              <w:left w:w="20" w:type="dxa"/>
              <w:bottom w:w="40" w:type="dxa"/>
              <w:right w:w="20" w:type="dxa"/>
            </w:tcMar>
            <w:vAlign w:val="center"/>
          </w:tcPr>
          <w:p w14:paraId="392CB69F" w14:textId="77777777" w:rsidR="00980E5F" w:rsidRDefault="00483613">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392CB6A0" w14:textId="77777777" w:rsidR="00980E5F" w:rsidRDefault="00483613">
            <w:pPr>
              <w:textAlignment w:val="center"/>
            </w:pPr>
            <w:r>
              <w:rPr>
                <w:rFonts w:ascii="Arial" w:eastAsia="宋体" w:hAnsi="Arial" w:cs="Arial"/>
                <w:color w:val="000000"/>
                <w:sz w:val="16"/>
                <w:szCs w:val="16"/>
              </w:rPr>
              <w:t>Liquidity coverage ratio</w:t>
            </w:r>
          </w:p>
        </w:tc>
        <w:tc>
          <w:tcPr>
            <w:tcW w:w="0" w:type="auto"/>
            <w:gridSpan w:val="3"/>
            <w:shd w:val="clear" w:color="auto" w:fill="auto"/>
            <w:tcMar>
              <w:top w:w="0" w:type="dxa"/>
              <w:left w:w="20" w:type="dxa"/>
              <w:bottom w:w="0" w:type="dxa"/>
              <w:right w:w="20" w:type="dxa"/>
            </w:tcMar>
            <w:vAlign w:val="bottom"/>
          </w:tcPr>
          <w:p w14:paraId="392CB6A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A2" w14:textId="77777777" w:rsidR="00980E5F" w:rsidRDefault="00980E5F">
            <w:pPr>
              <w:rPr>
                <w:rFonts w:ascii="宋体"/>
              </w:rPr>
            </w:pPr>
          </w:p>
        </w:tc>
      </w:tr>
      <w:tr w:rsidR="00980E5F" w14:paraId="392CB6A8" w14:textId="77777777">
        <w:tc>
          <w:tcPr>
            <w:tcW w:w="0" w:type="auto"/>
            <w:gridSpan w:val="3"/>
            <w:shd w:val="clear" w:color="auto" w:fill="auto"/>
            <w:tcMar>
              <w:top w:w="40" w:type="dxa"/>
              <w:left w:w="20" w:type="dxa"/>
              <w:bottom w:w="40" w:type="dxa"/>
              <w:right w:w="20" w:type="dxa"/>
            </w:tcMar>
            <w:vAlign w:val="center"/>
          </w:tcPr>
          <w:p w14:paraId="392CB6A4" w14:textId="77777777" w:rsidR="00980E5F" w:rsidRDefault="00483613">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392CB6A5" w14:textId="77777777" w:rsidR="00980E5F" w:rsidRDefault="00483613">
            <w:pPr>
              <w:textAlignment w:val="center"/>
            </w:pPr>
            <w:r>
              <w:rPr>
                <w:rFonts w:ascii="Arial" w:eastAsia="宋体" w:hAnsi="Arial" w:cs="Arial"/>
                <w:color w:val="000000"/>
                <w:sz w:val="16"/>
                <w:szCs w:val="16"/>
              </w:rPr>
              <w:t>London Interbank Offered Rate</w:t>
            </w:r>
          </w:p>
        </w:tc>
        <w:tc>
          <w:tcPr>
            <w:tcW w:w="0" w:type="auto"/>
            <w:gridSpan w:val="3"/>
            <w:shd w:val="clear" w:color="auto" w:fill="auto"/>
            <w:tcMar>
              <w:top w:w="0" w:type="dxa"/>
              <w:left w:w="20" w:type="dxa"/>
              <w:bottom w:w="0" w:type="dxa"/>
              <w:right w:w="20" w:type="dxa"/>
            </w:tcMar>
            <w:vAlign w:val="bottom"/>
          </w:tcPr>
          <w:p w14:paraId="392CB6A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6A7" w14:textId="77777777" w:rsidR="00980E5F" w:rsidRDefault="00980E5F">
            <w:pPr>
              <w:rPr>
                <w:rFonts w:ascii="宋体"/>
              </w:rPr>
            </w:pPr>
          </w:p>
        </w:tc>
      </w:tr>
      <w:tr w:rsidR="00980E5F" w14:paraId="392CB6AD" w14:textId="77777777">
        <w:trPr>
          <w:hidden/>
        </w:trPr>
        <w:tc>
          <w:tcPr>
            <w:tcW w:w="0" w:type="auto"/>
            <w:gridSpan w:val="3"/>
            <w:shd w:val="clear" w:color="auto" w:fill="auto"/>
            <w:vAlign w:val="bottom"/>
          </w:tcPr>
          <w:p w14:paraId="392CB6A9" w14:textId="77777777" w:rsidR="00980E5F" w:rsidRDefault="00980E5F">
            <w:pPr>
              <w:rPr>
                <w:rFonts w:ascii="宋体"/>
                <w:vanish/>
              </w:rPr>
            </w:pPr>
          </w:p>
        </w:tc>
        <w:tc>
          <w:tcPr>
            <w:tcW w:w="0" w:type="auto"/>
            <w:gridSpan w:val="3"/>
            <w:shd w:val="clear" w:color="auto" w:fill="auto"/>
            <w:vAlign w:val="bottom"/>
          </w:tcPr>
          <w:p w14:paraId="392CB6AA" w14:textId="77777777" w:rsidR="00980E5F" w:rsidRDefault="00980E5F">
            <w:pPr>
              <w:rPr>
                <w:rFonts w:ascii="宋体"/>
                <w:vanish/>
              </w:rPr>
            </w:pPr>
          </w:p>
        </w:tc>
        <w:tc>
          <w:tcPr>
            <w:tcW w:w="0" w:type="auto"/>
            <w:gridSpan w:val="3"/>
            <w:shd w:val="clear" w:color="auto" w:fill="auto"/>
            <w:vAlign w:val="bottom"/>
          </w:tcPr>
          <w:p w14:paraId="392CB6AB" w14:textId="77777777" w:rsidR="00980E5F" w:rsidRDefault="00980E5F">
            <w:pPr>
              <w:rPr>
                <w:rFonts w:ascii="宋体"/>
                <w:vanish/>
              </w:rPr>
            </w:pPr>
          </w:p>
        </w:tc>
        <w:tc>
          <w:tcPr>
            <w:tcW w:w="0" w:type="auto"/>
            <w:gridSpan w:val="3"/>
            <w:shd w:val="clear" w:color="auto" w:fill="auto"/>
            <w:vAlign w:val="bottom"/>
          </w:tcPr>
          <w:p w14:paraId="392CB6AC" w14:textId="77777777" w:rsidR="00980E5F" w:rsidRDefault="00980E5F">
            <w:pPr>
              <w:rPr>
                <w:rFonts w:ascii="宋体"/>
                <w:vanish/>
              </w:rPr>
            </w:pPr>
          </w:p>
        </w:tc>
      </w:tr>
      <w:tr w:rsidR="00980E5F" w14:paraId="392CB6B2" w14:textId="77777777">
        <w:trPr>
          <w:hidden/>
        </w:trPr>
        <w:tc>
          <w:tcPr>
            <w:tcW w:w="0" w:type="auto"/>
            <w:gridSpan w:val="3"/>
            <w:shd w:val="clear" w:color="auto" w:fill="auto"/>
            <w:vAlign w:val="bottom"/>
          </w:tcPr>
          <w:p w14:paraId="392CB6AE" w14:textId="77777777" w:rsidR="00980E5F" w:rsidRDefault="00980E5F">
            <w:pPr>
              <w:rPr>
                <w:rFonts w:ascii="宋体"/>
                <w:vanish/>
              </w:rPr>
            </w:pPr>
          </w:p>
        </w:tc>
        <w:tc>
          <w:tcPr>
            <w:tcW w:w="0" w:type="auto"/>
            <w:gridSpan w:val="3"/>
            <w:shd w:val="clear" w:color="auto" w:fill="auto"/>
            <w:vAlign w:val="bottom"/>
          </w:tcPr>
          <w:p w14:paraId="392CB6AF" w14:textId="77777777" w:rsidR="00980E5F" w:rsidRDefault="00980E5F">
            <w:pPr>
              <w:rPr>
                <w:rFonts w:ascii="宋体"/>
                <w:vanish/>
              </w:rPr>
            </w:pPr>
          </w:p>
        </w:tc>
        <w:tc>
          <w:tcPr>
            <w:tcW w:w="0" w:type="auto"/>
            <w:gridSpan w:val="3"/>
            <w:shd w:val="clear" w:color="auto" w:fill="auto"/>
            <w:vAlign w:val="bottom"/>
          </w:tcPr>
          <w:p w14:paraId="392CB6B0" w14:textId="77777777" w:rsidR="00980E5F" w:rsidRDefault="00980E5F">
            <w:pPr>
              <w:rPr>
                <w:rFonts w:ascii="宋体"/>
                <w:vanish/>
              </w:rPr>
            </w:pPr>
          </w:p>
        </w:tc>
        <w:tc>
          <w:tcPr>
            <w:tcW w:w="0" w:type="auto"/>
            <w:gridSpan w:val="3"/>
            <w:shd w:val="clear" w:color="auto" w:fill="auto"/>
            <w:vAlign w:val="bottom"/>
          </w:tcPr>
          <w:p w14:paraId="392CB6B1" w14:textId="77777777" w:rsidR="00980E5F" w:rsidRDefault="00980E5F">
            <w:pPr>
              <w:rPr>
                <w:rFonts w:ascii="宋体"/>
                <w:vanish/>
              </w:rPr>
            </w:pPr>
          </w:p>
        </w:tc>
      </w:tr>
      <w:tr w:rsidR="00980E5F" w14:paraId="392CB6B7" w14:textId="77777777">
        <w:trPr>
          <w:hidden/>
        </w:trPr>
        <w:tc>
          <w:tcPr>
            <w:tcW w:w="0" w:type="auto"/>
            <w:gridSpan w:val="3"/>
            <w:shd w:val="clear" w:color="auto" w:fill="auto"/>
            <w:vAlign w:val="bottom"/>
          </w:tcPr>
          <w:p w14:paraId="392CB6B3" w14:textId="77777777" w:rsidR="00980E5F" w:rsidRDefault="00980E5F">
            <w:pPr>
              <w:rPr>
                <w:rFonts w:ascii="宋体"/>
                <w:vanish/>
              </w:rPr>
            </w:pPr>
          </w:p>
        </w:tc>
        <w:tc>
          <w:tcPr>
            <w:tcW w:w="0" w:type="auto"/>
            <w:gridSpan w:val="3"/>
            <w:shd w:val="clear" w:color="auto" w:fill="auto"/>
            <w:vAlign w:val="bottom"/>
          </w:tcPr>
          <w:p w14:paraId="392CB6B4" w14:textId="77777777" w:rsidR="00980E5F" w:rsidRDefault="00980E5F">
            <w:pPr>
              <w:rPr>
                <w:rFonts w:ascii="宋体"/>
                <w:vanish/>
              </w:rPr>
            </w:pPr>
          </w:p>
        </w:tc>
        <w:tc>
          <w:tcPr>
            <w:tcW w:w="0" w:type="auto"/>
            <w:gridSpan w:val="3"/>
            <w:shd w:val="clear" w:color="auto" w:fill="auto"/>
            <w:vAlign w:val="bottom"/>
          </w:tcPr>
          <w:p w14:paraId="392CB6B5" w14:textId="77777777" w:rsidR="00980E5F" w:rsidRDefault="00980E5F">
            <w:pPr>
              <w:rPr>
                <w:rFonts w:ascii="宋体"/>
                <w:vanish/>
              </w:rPr>
            </w:pPr>
          </w:p>
        </w:tc>
        <w:tc>
          <w:tcPr>
            <w:tcW w:w="0" w:type="auto"/>
            <w:gridSpan w:val="3"/>
            <w:shd w:val="clear" w:color="auto" w:fill="auto"/>
            <w:vAlign w:val="bottom"/>
          </w:tcPr>
          <w:p w14:paraId="392CB6B6" w14:textId="77777777" w:rsidR="00980E5F" w:rsidRDefault="00980E5F">
            <w:pPr>
              <w:rPr>
                <w:rFonts w:ascii="宋体"/>
                <w:vanish/>
              </w:rPr>
            </w:pPr>
          </w:p>
        </w:tc>
      </w:tr>
      <w:tr w:rsidR="00980E5F" w14:paraId="392CB6BC" w14:textId="77777777">
        <w:trPr>
          <w:hidden/>
        </w:trPr>
        <w:tc>
          <w:tcPr>
            <w:tcW w:w="0" w:type="auto"/>
            <w:gridSpan w:val="3"/>
            <w:shd w:val="clear" w:color="auto" w:fill="auto"/>
            <w:vAlign w:val="bottom"/>
          </w:tcPr>
          <w:p w14:paraId="392CB6B8" w14:textId="77777777" w:rsidR="00980E5F" w:rsidRDefault="00980E5F">
            <w:pPr>
              <w:rPr>
                <w:rFonts w:ascii="宋体"/>
                <w:vanish/>
              </w:rPr>
            </w:pPr>
          </w:p>
        </w:tc>
        <w:tc>
          <w:tcPr>
            <w:tcW w:w="0" w:type="auto"/>
            <w:gridSpan w:val="3"/>
            <w:shd w:val="clear" w:color="auto" w:fill="auto"/>
            <w:vAlign w:val="bottom"/>
          </w:tcPr>
          <w:p w14:paraId="392CB6B9" w14:textId="77777777" w:rsidR="00980E5F" w:rsidRDefault="00980E5F">
            <w:pPr>
              <w:rPr>
                <w:rFonts w:ascii="宋体"/>
                <w:vanish/>
              </w:rPr>
            </w:pPr>
          </w:p>
        </w:tc>
        <w:tc>
          <w:tcPr>
            <w:tcW w:w="0" w:type="auto"/>
            <w:gridSpan w:val="3"/>
            <w:shd w:val="clear" w:color="auto" w:fill="auto"/>
            <w:vAlign w:val="bottom"/>
          </w:tcPr>
          <w:p w14:paraId="392CB6BA" w14:textId="77777777" w:rsidR="00980E5F" w:rsidRDefault="00980E5F">
            <w:pPr>
              <w:rPr>
                <w:rFonts w:ascii="宋体"/>
                <w:vanish/>
              </w:rPr>
            </w:pPr>
          </w:p>
        </w:tc>
        <w:tc>
          <w:tcPr>
            <w:tcW w:w="0" w:type="auto"/>
            <w:gridSpan w:val="3"/>
            <w:shd w:val="clear" w:color="auto" w:fill="auto"/>
            <w:vAlign w:val="bottom"/>
          </w:tcPr>
          <w:p w14:paraId="392CB6BB" w14:textId="77777777" w:rsidR="00980E5F" w:rsidRDefault="00980E5F">
            <w:pPr>
              <w:rPr>
                <w:rFonts w:ascii="宋体"/>
                <w:vanish/>
              </w:rPr>
            </w:pPr>
          </w:p>
        </w:tc>
      </w:tr>
      <w:tr w:rsidR="00980E5F" w14:paraId="392CB6C1" w14:textId="77777777">
        <w:trPr>
          <w:hidden/>
        </w:trPr>
        <w:tc>
          <w:tcPr>
            <w:tcW w:w="0" w:type="auto"/>
            <w:gridSpan w:val="3"/>
            <w:shd w:val="clear" w:color="auto" w:fill="auto"/>
            <w:vAlign w:val="bottom"/>
          </w:tcPr>
          <w:p w14:paraId="392CB6BD" w14:textId="77777777" w:rsidR="00980E5F" w:rsidRDefault="00980E5F">
            <w:pPr>
              <w:rPr>
                <w:rFonts w:ascii="宋体"/>
                <w:vanish/>
              </w:rPr>
            </w:pPr>
          </w:p>
        </w:tc>
        <w:tc>
          <w:tcPr>
            <w:tcW w:w="0" w:type="auto"/>
            <w:gridSpan w:val="3"/>
            <w:shd w:val="clear" w:color="auto" w:fill="auto"/>
            <w:vAlign w:val="bottom"/>
          </w:tcPr>
          <w:p w14:paraId="392CB6BE" w14:textId="77777777" w:rsidR="00980E5F" w:rsidRDefault="00980E5F">
            <w:pPr>
              <w:rPr>
                <w:rFonts w:ascii="宋体"/>
                <w:vanish/>
              </w:rPr>
            </w:pPr>
          </w:p>
        </w:tc>
        <w:tc>
          <w:tcPr>
            <w:tcW w:w="0" w:type="auto"/>
            <w:gridSpan w:val="3"/>
            <w:shd w:val="clear" w:color="auto" w:fill="auto"/>
            <w:vAlign w:val="bottom"/>
          </w:tcPr>
          <w:p w14:paraId="392CB6BF" w14:textId="77777777" w:rsidR="00980E5F" w:rsidRDefault="00980E5F">
            <w:pPr>
              <w:rPr>
                <w:rFonts w:ascii="宋体"/>
                <w:vanish/>
              </w:rPr>
            </w:pPr>
          </w:p>
        </w:tc>
        <w:tc>
          <w:tcPr>
            <w:tcW w:w="0" w:type="auto"/>
            <w:gridSpan w:val="3"/>
            <w:shd w:val="clear" w:color="auto" w:fill="auto"/>
            <w:vAlign w:val="bottom"/>
          </w:tcPr>
          <w:p w14:paraId="392CB6C0" w14:textId="77777777" w:rsidR="00980E5F" w:rsidRDefault="00980E5F">
            <w:pPr>
              <w:rPr>
                <w:rFonts w:ascii="宋体"/>
                <w:vanish/>
              </w:rPr>
            </w:pPr>
          </w:p>
        </w:tc>
      </w:tr>
      <w:tr w:rsidR="00980E5F" w14:paraId="392CB6C6" w14:textId="77777777">
        <w:trPr>
          <w:hidden/>
        </w:trPr>
        <w:tc>
          <w:tcPr>
            <w:tcW w:w="0" w:type="auto"/>
            <w:gridSpan w:val="3"/>
            <w:shd w:val="clear" w:color="auto" w:fill="auto"/>
            <w:vAlign w:val="bottom"/>
          </w:tcPr>
          <w:p w14:paraId="392CB6C2" w14:textId="77777777" w:rsidR="00980E5F" w:rsidRDefault="00980E5F">
            <w:pPr>
              <w:rPr>
                <w:rFonts w:ascii="宋体"/>
                <w:vanish/>
              </w:rPr>
            </w:pPr>
          </w:p>
        </w:tc>
        <w:tc>
          <w:tcPr>
            <w:tcW w:w="0" w:type="auto"/>
            <w:gridSpan w:val="3"/>
            <w:shd w:val="clear" w:color="auto" w:fill="auto"/>
            <w:vAlign w:val="bottom"/>
          </w:tcPr>
          <w:p w14:paraId="392CB6C3" w14:textId="77777777" w:rsidR="00980E5F" w:rsidRDefault="00980E5F">
            <w:pPr>
              <w:rPr>
                <w:rFonts w:ascii="宋体"/>
                <w:vanish/>
              </w:rPr>
            </w:pPr>
          </w:p>
        </w:tc>
        <w:tc>
          <w:tcPr>
            <w:tcW w:w="0" w:type="auto"/>
            <w:gridSpan w:val="3"/>
            <w:shd w:val="clear" w:color="auto" w:fill="auto"/>
            <w:vAlign w:val="bottom"/>
          </w:tcPr>
          <w:p w14:paraId="392CB6C4" w14:textId="77777777" w:rsidR="00980E5F" w:rsidRDefault="00980E5F">
            <w:pPr>
              <w:rPr>
                <w:rFonts w:ascii="宋体"/>
                <w:vanish/>
              </w:rPr>
            </w:pPr>
          </w:p>
        </w:tc>
        <w:tc>
          <w:tcPr>
            <w:tcW w:w="0" w:type="auto"/>
            <w:gridSpan w:val="3"/>
            <w:shd w:val="clear" w:color="auto" w:fill="auto"/>
            <w:vAlign w:val="bottom"/>
          </w:tcPr>
          <w:p w14:paraId="392CB6C5" w14:textId="77777777" w:rsidR="00980E5F" w:rsidRDefault="00980E5F">
            <w:pPr>
              <w:rPr>
                <w:rFonts w:ascii="宋体"/>
                <w:vanish/>
              </w:rPr>
            </w:pPr>
          </w:p>
        </w:tc>
      </w:tr>
      <w:tr w:rsidR="00980E5F" w14:paraId="392CB6CB" w14:textId="77777777">
        <w:trPr>
          <w:hidden/>
        </w:trPr>
        <w:tc>
          <w:tcPr>
            <w:tcW w:w="0" w:type="auto"/>
            <w:gridSpan w:val="3"/>
            <w:shd w:val="clear" w:color="auto" w:fill="auto"/>
            <w:vAlign w:val="bottom"/>
          </w:tcPr>
          <w:p w14:paraId="392CB6C7" w14:textId="77777777" w:rsidR="00980E5F" w:rsidRDefault="00980E5F">
            <w:pPr>
              <w:rPr>
                <w:rFonts w:ascii="宋体"/>
                <w:vanish/>
              </w:rPr>
            </w:pPr>
          </w:p>
        </w:tc>
        <w:tc>
          <w:tcPr>
            <w:tcW w:w="0" w:type="auto"/>
            <w:gridSpan w:val="3"/>
            <w:shd w:val="clear" w:color="auto" w:fill="auto"/>
            <w:vAlign w:val="bottom"/>
          </w:tcPr>
          <w:p w14:paraId="392CB6C8" w14:textId="77777777" w:rsidR="00980E5F" w:rsidRDefault="00980E5F">
            <w:pPr>
              <w:rPr>
                <w:rFonts w:ascii="宋体"/>
                <w:vanish/>
              </w:rPr>
            </w:pPr>
          </w:p>
        </w:tc>
        <w:tc>
          <w:tcPr>
            <w:tcW w:w="0" w:type="auto"/>
            <w:gridSpan w:val="3"/>
            <w:shd w:val="clear" w:color="auto" w:fill="auto"/>
            <w:vAlign w:val="bottom"/>
          </w:tcPr>
          <w:p w14:paraId="392CB6C9" w14:textId="77777777" w:rsidR="00980E5F" w:rsidRDefault="00980E5F">
            <w:pPr>
              <w:rPr>
                <w:rFonts w:ascii="宋体"/>
                <w:vanish/>
              </w:rPr>
            </w:pPr>
          </w:p>
        </w:tc>
        <w:tc>
          <w:tcPr>
            <w:tcW w:w="0" w:type="auto"/>
            <w:gridSpan w:val="3"/>
            <w:shd w:val="clear" w:color="auto" w:fill="auto"/>
            <w:vAlign w:val="bottom"/>
          </w:tcPr>
          <w:p w14:paraId="392CB6CA" w14:textId="77777777" w:rsidR="00980E5F" w:rsidRDefault="00980E5F">
            <w:pPr>
              <w:rPr>
                <w:rFonts w:ascii="宋体"/>
                <w:vanish/>
              </w:rPr>
            </w:pPr>
          </w:p>
        </w:tc>
      </w:tr>
      <w:tr w:rsidR="00980E5F" w14:paraId="392CB6D0" w14:textId="77777777">
        <w:trPr>
          <w:hidden/>
        </w:trPr>
        <w:tc>
          <w:tcPr>
            <w:tcW w:w="0" w:type="auto"/>
            <w:gridSpan w:val="3"/>
            <w:shd w:val="clear" w:color="auto" w:fill="auto"/>
            <w:vAlign w:val="bottom"/>
          </w:tcPr>
          <w:p w14:paraId="392CB6CC" w14:textId="77777777" w:rsidR="00980E5F" w:rsidRDefault="00980E5F">
            <w:pPr>
              <w:rPr>
                <w:rFonts w:ascii="宋体"/>
                <w:vanish/>
              </w:rPr>
            </w:pPr>
          </w:p>
        </w:tc>
        <w:tc>
          <w:tcPr>
            <w:tcW w:w="0" w:type="auto"/>
            <w:gridSpan w:val="3"/>
            <w:shd w:val="clear" w:color="auto" w:fill="auto"/>
            <w:vAlign w:val="bottom"/>
          </w:tcPr>
          <w:p w14:paraId="392CB6CD" w14:textId="77777777" w:rsidR="00980E5F" w:rsidRDefault="00980E5F">
            <w:pPr>
              <w:rPr>
                <w:rFonts w:ascii="宋体"/>
                <w:vanish/>
              </w:rPr>
            </w:pPr>
          </w:p>
        </w:tc>
        <w:tc>
          <w:tcPr>
            <w:tcW w:w="0" w:type="auto"/>
            <w:gridSpan w:val="3"/>
            <w:shd w:val="clear" w:color="auto" w:fill="auto"/>
            <w:vAlign w:val="bottom"/>
          </w:tcPr>
          <w:p w14:paraId="392CB6CE" w14:textId="77777777" w:rsidR="00980E5F" w:rsidRDefault="00980E5F">
            <w:pPr>
              <w:rPr>
                <w:rFonts w:ascii="宋体"/>
                <w:vanish/>
              </w:rPr>
            </w:pPr>
          </w:p>
        </w:tc>
        <w:tc>
          <w:tcPr>
            <w:tcW w:w="0" w:type="auto"/>
            <w:gridSpan w:val="3"/>
            <w:shd w:val="clear" w:color="auto" w:fill="auto"/>
            <w:vAlign w:val="bottom"/>
          </w:tcPr>
          <w:p w14:paraId="392CB6CF" w14:textId="77777777" w:rsidR="00980E5F" w:rsidRDefault="00980E5F">
            <w:pPr>
              <w:rPr>
                <w:rFonts w:ascii="宋体"/>
                <w:vanish/>
              </w:rPr>
            </w:pPr>
          </w:p>
        </w:tc>
      </w:tr>
      <w:tr w:rsidR="00980E5F" w14:paraId="392CB6D5" w14:textId="77777777">
        <w:trPr>
          <w:hidden/>
        </w:trPr>
        <w:tc>
          <w:tcPr>
            <w:tcW w:w="0" w:type="auto"/>
            <w:gridSpan w:val="3"/>
            <w:shd w:val="clear" w:color="auto" w:fill="auto"/>
            <w:vAlign w:val="bottom"/>
          </w:tcPr>
          <w:p w14:paraId="392CB6D1" w14:textId="77777777" w:rsidR="00980E5F" w:rsidRDefault="00980E5F">
            <w:pPr>
              <w:rPr>
                <w:rFonts w:ascii="宋体"/>
                <w:vanish/>
              </w:rPr>
            </w:pPr>
          </w:p>
        </w:tc>
        <w:tc>
          <w:tcPr>
            <w:tcW w:w="0" w:type="auto"/>
            <w:gridSpan w:val="3"/>
            <w:shd w:val="clear" w:color="auto" w:fill="auto"/>
            <w:vAlign w:val="bottom"/>
          </w:tcPr>
          <w:p w14:paraId="392CB6D2" w14:textId="77777777" w:rsidR="00980E5F" w:rsidRDefault="00980E5F">
            <w:pPr>
              <w:rPr>
                <w:rFonts w:ascii="宋体"/>
                <w:vanish/>
              </w:rPr>
            </w:pPr>
          </w:p>
        </w:tc>
        <w:tc>
          <w:tcPr>
            <w:tcW w:w="0" w:type="auto"/>
            <w:gridSpan w:val="3"/>
            <w:shd w:val="clear" w:color="auto" w:fill="auto"/>
            <w:vAlign w:val="bottom"/>
          </w:tcPr>
          <w:p w14:paraId="392CB6D3" w14:textId="77777777" w:rsidR="00980E5F" w:rsidRDefault="00980E5F">
            <w:pPr>
              <w:rPr>
                <w:rFonts w:ascii="宋体"/>
                <w:vanish/>
              </w:rPr>
            </w:pPr>
          </w:p>
        </w:tc>
        <w:tc>
          <w:tcPr>
            <w:tcW w:w="0" w:type="auto"/>
            <w:gridSpan w:val="3"/>
            <w:shd w:val="clear" w:color="auto" w:fill="auto"/>
            <w:vAlign w:val="bottom"/>
          </w:tcPr>
          <w:p w14:paraId="392CB6D4" w14:textId="77777777" w:rsidR="00980E5F" w:rsidRDefault="00980E5F">
            <w:pPr>
              <w:rPr>
                <w:rFonts w:ascii="宋体"/>
                <w:vanish/>
              </w:rPr>
            </w:pPr>
          </w:p>
        </w:tc>
      </w:tr>
      <w:tr w:rsidR="00980E5F" w14:paraId="392CB6DA" w14:textId="77777777">
        <w:trPr>
          <w:hidden/>
        </w:trPr>
        <w:tc>
          <w:tcPr>
            <w:tcW w:w="0" w:type="auto"/>
            <w:gridSpan w:val="3"/>
            <w:shd w:val="clear" w:color="auto" w:fill="auto"/>
            <w:vAlign w:val="bottom"/>
          </w:tcPr>
          <w:p w14:paraId="392CB6D6" w14:textId="77777777" w:rsidR="00980E5F" w:rsidRDefault="00980E5F">
            <w:pPr>
              <w:rPr>
                <w:rFonts w:ascii="宋体"/>
                <w:vanish/>
              </w:rPr>
            </w:pPr>
          </w:p>
        </w:tc>
        <w:tc>
          <w:tcPr>
            <w:tcW w:w="0" w:type="auto"/>
            <w:gridSpan w:val="3"/>
            <w:shd w:val="clear" w:color="auto" w:fill="auto"/>
            <w:vAlign w:val="bottom"/>
          </w:tcPr>
          <w:p w14:paraId="392CB6D7" w14:textId="77777777" w:rsidR="00980E5F" w:rsidRDefault="00980E5F">
            <w:pPr>
              <w:rPr>
                <w:rFonts w:ascii="宋体"/>
                <w:vanish/>
              </w:rPr>
            </w:pPr>
          </w:p>
        </w:tc>
        <w:tc>
          <w:tcPr>
            <w:tcW w:w="0" w:type="auto"/>
            <w:gridSpan w:val="3"/>
            <w:shd w:val="clear" w:color="auto" w:fill="auto"/>
            <w:vAlign w:val="bottom"/>
          </w:tcPr>
          <w:p w14:paraId="392CB6D8" w14:textId="77777777" w:rsidR="00980E5F" w:rsidRDefault="00980E5F">
            <w:pPr>
              <w:rPr>
                <w:rFonts w:ascii="宋体"/>
                <w:vanish/>
              </w:rPr>
            </w:pPr>
          </w:p>
        </w:tc>
        <w:tc>
          <w:tcPr>
            <w:tcW w:w="0" w:type="auto"/>
            <w:gridSpan w:val="3"/>
            <w:shd w:val="clear" w:color="auto" w:fill="auto"/>
            <w:vAlign w:val="bottom"/>
          </w:tcPr>
          <w:p w14:paraId="392CB6D9" w14:textId="77777777" w:rsidR="00980E5F" w:rsidRDefault="00980E5F">
            <w:pPr>
              <w:rPr>
                <w:rFonts w:ascii="宋体"/>
                <w:vanish/>
              </w:rPr>
            </w:pPr>
          </w:p>
        </w:tc>
      </w:tr>
      <w:tr w:rsidR="00980E5F" w14:paraId="392CB6DF" w14:textId="77777777">
        <w:trPr>
          <w:hidden/>
        </w:trPr>
        <w:tc>
          <w:tcPr>
            <w:tcW w:w="0" w:type="auto"/>
            <w:gridSpan w:val="3"/>
            <w:shd w:val="clear" w:color="auto" w:fill="auto"/>
            <w:vAlign w:val="bottom"/>
          </w:tcPr>
          <w:p w14:paraId="392CB6DB" w14:textId="77777777" w:rsidR="00980E5F" w:rsidRDefault="00980E5F">
            <w:pPr>
              <w:rPr>
                <w:rFonts w:ascii="宋体"/>
                <w:vanish/>
              </w:rPr>
            </w:pPr>
          </w:p>
        </w:tc>
        <w:tc>
          <w:tcPr>
            <w:tcW w:w="0" w:type="auto"/>
            <w:gridSpan w:val="3"/>
            <w:shd w:val="clear" w:color="auto" w:fill="auto"/>
            <w:vAlign w:val="bottom"/>
          </w:tcPr>
          <w:p w14:paraId="392CB6DC" w14:textId="77777777" w:rsidR="00980E5F" w:rsidRDefault="00980E5F">
            <w:pPr>
              <w:rPr>
                <w:rFonts w:ascii="宋体"/>
                <w:vanish/>
              </w:rPr>
            </w:pPr>
          </w:p>
        </w:tc>
        <w:tc>
          <w:tcPr>
            <w:tcW w:w="0" w:type="auto"/>
            <w:gridSpan w:val="3"/>
            <w:shd w:val="clear" w:color="auto" w:fill="auto"/>
            <w:vAlign w:val="bottom"/>
          </w:tcPr>
          <w:p w14:paraId="392CB6DD" w14:textId="77777777" w:rsidR="00980E5F" w:rsidRDefault="00980E5F">
            <w:pPr>
              <w:rPr>
                <w:rFonts w:ascii="宋体"/>
                <w:vanish/>
              </w:rPr>
            </w:pPr>
          </w:p>
        </w:tc>
        <w:tc>
          <w:tcPr>
            <w:tcW w:w="0" w:type="auto"/>
            <w:gridSpan w:val="3"/>
            <w:shd w:val="clear" w:color="auto" w:fill="auto"/>
            <w:vAlign w:val="bottom"/>
          </w:tcPr>
          <w:p w14:paraId="392CB6DE" w14:textId="77777777" w:rsidR="00980E5F" w:rsidRDefault="00980E5F">
            <w:pPr>
              <w:rPr>
                <w:rFonts w:ascii="宋体"/>
                <w:vanish/>
              </w:rPr>
            </w:pPr>
          </w:p>
        </w:tc>
      </w:tr>
      <w:tr w:rsidR="00980E5F" w14:paraId="392CB6E4" w14:textId="77777777">
        <w:trPr>
          <w:hidden/>
        </w:trPr>
        <w:tc>
          <w:tcPr>
            <w:tcW w:w="0" w:type="auto"/>
            <w:gridSpan w:val="3"/>
            <w:shd w:val="clear" w:color="auto" w:fill="auto"/>
            <w:vAlign w:val="bottom"/>
          </w:tcPr>
          <w:p w14:paraId="392CB6E0" w14:textId="77777777" w:rsidR="00980E5F" w:rsidRDefault="00980E5F">
            <w:pPr>
              <w:rPr>
                <w:rFonts w:ascii="宋体"/>
                <w:vanish/>
              </w:rPr>
            </w:pPr>
          </w:p>
        </w:tc>
        <w:tc>
          <w:tcPr>
            <w:tcW w:w="0" w:type="auto"/>
            <w:gridSpan w:val="3"/>
            <w:shd w:val="clear" w:color="auto" w:fill="auto"/>
            <w:vAlign w:val="bottom"/>
          </w:tcPr>
          <w:p w14:paraId="392CB6E1" w14:textId="77777777" w:rsidR="00980E5F" w:rsidRDefault="00980E5F">
            <w:pPr>
              <w:rPr>
                <w:rFonts w:ascii="宋体"/>
                <w:vanish/>
              </w:rPr>
            </w:pPr>
          </w:p>
        </w:tc>
        <w:tc>
          <w:tcPr>
            <w:tcW w:w="0" w:type="auto"/>
            <w:gridSpan w:val="3"/>
            <w:shd w:val="clear" w:color="auto" w:fill="auto"/>
            <w:vAlign w:val="bottom"/>
          </w:tcPr>
          <w:p w14:paraId="392CB6E2" w14:textId="77777777" w:rsidR="00980E5F" w:rsidRDefault="00980E5F">
            <w:pPr>
              <w:rPr>
                <w:rFonts w:ascii="宋体"/>
                <w:vanish/>
              </w:rPr>
            </w:pPr>
          </w:p>
        </w:tc>
        <w:tc>
          <w:tcPr>
            <w:tcW w:w="0" w:type="auto"/>
            <w:gridSpan w:val="3"/>
            <w:shd w:val="clear" w:color="auto" w:fill="auto"/>
            <w:vAlign w:val="bottom"/>
          </w:tcPr>
          <w:p w14:paraId="392CB6E3" w14:textId="77777777" w:rsidR="00980E5F" w:rsidRDefault="00980E5F">
            <w:pPr>
              <w:rPr>
                <w:rFonts w:ascii="宋体"/>
                <w:vanish/>
              </w:rPr>
            </w:pPr>
          </w:p>
        </w:tc>
      </w:tr>
      <w:tr w:rsidR="00980E5F" w14:paraId="392CB6E9" w14:textId="77777777">
        <w:trPr>
          <w:hidden/>
        </w:trPr>
        <w:tc>
          <w:tcPr>
            <w:tcW w:w="0" w:type="auto"/>
            <w:gridSpan w:val="3"/>
            <w:shd w:val="clear" w:color="auto" w:fill="auto"/>
            <w:vAlign w:val="bottom"/>
          </w:tcPr>
          <w:p w14:paraId="392CB6E5" w14:textId="77777777" w:rsidR="00980E5F" w:rsidRDefault="00980E5F">
            <w:pPr>
              <w:rPr>
                <w:rFonts w:ascii="宋体"/>
                <w:vanish/>
              </w:rPr>
            </w:pPr>
          </w:p>
        </w:tc>
        <w:tc>
          <w:tcPr>
            <w:tcW w:w="0" w:type="auto"/>
            <w:gridSpan w:val="3"/>
            <w:shd w:val="clear" w:color="auto" w:fill="auto"/>
            <w:vAlign w:val="bottom"/>
          </w:tcPr>
          <w:p w14:paraId="392CB6E6" w14:textId="77777777" w:rsidR="00980E5F" w:rsidRDefault="00980E5F">
            <w:pPr>
              <w:rPr>
                <w:rFonts w:ascii="宋体"/>
                <w:vanish/>
              </w:rPr>
            </w:pPr>
          </w:p>
        </w:tc>
        <w:tc>
          <w:tcPr>
            <w:tcW w:w="0" w:type="auto"/>
            <w:gridSpan w:val="3"/>
            <w:shd w:val="clear" w:color="auto" w:fill="auto"/>
            <w:vAlign w:val="bottom"/>
          </w:tcPr>
          <w:p w14:paraId="392CB6E7" w14:textId="77777777" w:rsidR="00980E5F" w:rsidRDefault="00980E5F">
            <w:pPr>
              <w:rPr>
                <w:rFonts w:ascii="宋体"/>
                <w:vanish/>
              </w:rPr>
            </w:pPr>
          </w:p>
        </w:tc>
        <w:tc>
          <w:tcPr>
            <w:tcW w:w="0" w:type="auto"/>
            <w:gridSpan w:val="3"/>
            <w:shd w:val="clear" w:color="auto" w:fill="auto"/>
            <w:vAlign w:val="bottom"/>
          </w:tcPr>
          <w:p w14:paraId="392CB6E8" w14:textId="77777777" w:rsidR="00980E5F" w:rsidRDefault="00980E5F">
            <w:pPr>
              <w:rPr>
                <w:rFonts w:ascii="宋体"/>
                <w:vanish/>
              </w:rPr>
            </w:pPr>
          </w:p>
        </w:tc>
      </w:tr>
      <w:tr w:rsidR="00980E5F" w14:paraId="392CB6EE" w14:textId="77777777">
        <w:trPr>
          <w:hidden/>
        </w:trPr>
        <w:tc>
          <w:tcPr>
            <w:tcW w:w="0" w:type="auto"/>
            <w:gridSpan w:val="3"/>
            <w:shd w:val="clear" w:color="auto" w:fill="auto"/>
            <w:vAlign w:val="bottom"/>
          </w:tcPr>
          <w:p w14:paraId="392CB6EA" w14:textId="77777777" w:rsidR="00980E5F" w:rsidRDefault="00980E5F">
            <w:pPr>
              <w:rPr>
                <w:rFonts w:ascii="宋体"/>
                <w:vanish/>
              </w:rPr>
            </w:pPr>
          </w:p>
        </w:tc>
        <w:tc>
          <w:tcPr>
            <w:tcW w:w="0" w:type="auto"/>
            <w:gridSpan w:val="3"/>
            <w:shd w:val="clear" w:color="auto" w:fill="auto"/>
            <w:vAlign w:val="bottom"/>
          </w:tcPr>
          <w:p w14:paraId="392CB6EB" w14:textId="77777777" w:rsidR="00980E5F" w:rsidRDefault="00980E5F">
            <w:pPr>
              <w:rPr>
                <w:rFonts w:ascii="宋体"/>
                <w:vanish/>
              </w:rPr>
            </w:pPr>
          </w:p>
        </w:tc>
        <w:tc>
          <w:tcPr>
            <w:tcW w:w="0" w:type="auto"/>
            <w:gridSpan w:val="3"/>
            <w:shd w:val="clear" w:color="auto" w:fill="auto"/>
            <w:vAlign w:val="bottom"/>
          </w:tcPr>
          <w:p w14:paraId="392CB6EC" w14:textId="77777777" w:rsidR="00980E5F" w:rsidRDefault="00980E5F">
            <w:pPr>
              <w:rPr>
                <w:rFonts w:ascii="宋体"/>
                <w:vanish/>
              </w:rPr>
            </w:pPr>
          </w:p>
        </w:tc>
        <w:tc>
          <w:tcPr>
            <w:tcW w:w="0" w:type="auto"/>
            <w:gridSpan w:val="3"/>
            <w:shd w:val="clear" w:color="auto" w:fill="auto"/>
            <w:vAlign w:val="bottom"/>
          </w:tcPr>
          <w:p w14:paraId="392CB6ED" w14:textId="77777777" w:rsidR="00980E5F" w:rsidRDefault="00980E5F">
            <w:pPr>
              <w:rPr>
                <w:rFonts w:ascii="宋体"/>
                <w:vanish/>
              </w:rPr>
            </w:pPr>
          </w:p>
        </w:tc>
      </w:tr>
      <w:tr w:rsidR="00980E5F" w14:paraId="392CB6F3" w14:textId="77777777">
        <w:trPr>
          <w:hidden/>
        </w:trPr>
        <w:tc>
          <w:tcPr>
            <w:tcW w:w="0" w:type="auto"/>
            <w:gridSpan w:val="3"/>
            <w:shd w:val="clear" w:color="auto" w:fill="auto"/>
            <w:vAlign w:val="bottom"/>
          </w:tcPr>
          <w:p w14:paraId="392CB6EF" w14:textId="77777777" w:rsidR="00980E5F" w:rsidRDefault="00980E5F">
            <w:pPr>
              <w:rPr>
                <w:rFonts w:ascii="宋体"/>
                <w:vanish/>
              </w:rPr>
            </w:pPr>
          </w:p>
        </w:tc>
        <w:tc>
          <w:tcPr>
            <w:tcW w:w="0" w:type="auto"/>
            <w:gridSpan w:val="3"/>
            <w:shd w:val="clear" w:color="auto" w:fill="auto"/>
            <w:vAlign w:val="bottom"/>
          </w:tcPr>
          <w:p w14:paraId="392CB6F0" w14:textId="77777777" w:rsidR="00980E5F" w:rsidRDefault="00980E5F">
            <w:pPr>
              <w:rPr>
                <w:rFonts w:ascii="宋体"/>
                <w:vanish/>
              </w:rPr>
            </w:pPr>
          </w:p>
        </w:tc>
        <w:tc>
          <w:tcPr>
            <w:tcW w:w="0" w:type="auto"/>
            <w:gridSpan w:val="3"/>
            <w:shd w:val="clear" w:color="auto" w:fill="auto"/>
            <w:vAlign w:val="bottom"/>
          </w:tcPr>
          <w:p w14:paraId="392CB6F1" w14:textId="77777777" w:rsidR="00980E5F" w:rsidRDefault="00980E5F">
            <w:pPr>
              <w:rPr>
                <w:rFonts w:ascii="宋体"/>
                <w:vanish/>
              </w:rPr>
            </w:pPr>
          </w:p>
        </w:tc>
        <w:tc>
          <w:tcPr>
            <w:tcW w:w="0" w:type="auto"/>
            <w:gridSpan w:val="3"/>
            <w:shd w:val="clear" w:color="auto" w:fill="auto"/>
            <w:vAlign w:val="bottom"/>
          </w:tcPr>
          <w:p w14:paraId="392CB6F2" w14:textId="77777777" w:rsidR="00980E5F" w:rsidRDefault="00980E5F">
            <w:pPr>
              <w:rPr>
                <w:rFonts w:ascii="宋体"/>
                <w:vanish/>
              </w:rPr>
            </w:pPr>
          </w:p>
        </w:tc>
      </w:tr>
      <w:tr w:rsidR="00980E5F" w14:paraId="392CB6F8" w14:textId="77777777">
        <w:trPr>
          <w:hidden/>
        </w:trPr>
        <w:tc>
          <w:tcPr>
            <w:tcW w:w="0" w:type="auto"/>
            <w:gridSpan w:val="3"/>
            <w:shd w:val="clear" w:color="auto" w:fill="auto"/>
            <w:vAlign w:val="bottom"/>
          </w:tcPr>
          <w:p w14:paraId="392CB6F4" w14:textId="77777777" w:rsidR="00980E5F" w:rsidRDefault="00980E5F">
            <w:pPr>
              <w:rPr>
                <w:rFonts w:ascii="宋体"/>
                <w:vanish/>
              </w:rPr>
            </w:pPr>
          </w:p>
        </w:tc>
        <w:tc>
          <w:tcPr>
            <w:tcW w:w="0" w:type="auto"/>
            <w:gridSpan w:val="3"/>
            <w:shd w:val="clear" w:color="auto" w:fill="auto"/>
            <w:vAlign w:val="bottom"/>
          </w:tcPr>
          <w:p w14:paraId="392CB6F5" w14:textId="77777777" w:rsidR="00980E5F" w:rsidRDefault="00980E5F">
            <w:pPr>
              <w:rPr>
                <w:rFonts w:ascii="宋体"/>
                <w:vanish/>
              </w:rPr>
            </w:pPr>
          </w:p>
        </w:tc>
        <w:tc>
          <w:tcPr>
            <w:tcW w:w="0" w:type="auto"/>
            <w:gridSpan w:val="3"/>
            <w:shd w:val="clear" w:color="auto" w:fill="auto"/>
            <w:vAlign w:val="bottom"/>
          </w:tcPr>
          <w:p w14:paraId="392CB6F6" w14:textId="77777777" w:rsidR="00980E5F" w:rsidRDefault="00980E5F">
            <w:pPr>
              <w:rPr>
                <w:rFonts w:ascii="宋体"/>
                <w:vanish/>
              </w:rPr>
            </w:pPr>
          </w:p>
        </w:tc>
        <w:tc>
          <w:tcPr>
            <w:tcW w:w="0" w:type="auto"/>
            <w:gridSpan w:val="3"/>
            <w:shd w:val="clear" w:color="auto" w:fill="auto"/>
            <w:vAlign w:val="bottom"/>
          </w:tcPr>
          <w:p w14:paraId="392CB6F7" w14:textId="77777777" w:rsidR="00980E5F" w:rsidRDefault="00980E5F">
            <w:pPr>
              <w:rPr>
                <w:rFonts w:ascii="宋体"/>
                <w:vanish/>
              </w:rPr>
            </w:pPr>
          </w:p>
        </w:tc>
      </w:tr>
      <w:tr w:rsidR="00980E5F" w14:paraId="392CB6FD" w14:textId="77777777">
        <w:trPr>
          <w:hidden/>
        </w:trPr>
        <w:tc>
          <w:tcPr>
            <w:tcW w:w="0" w:type="auto"/>
            <w:gridSpan w:val="3"/>
            <w:shd w:val="clear" w:color="auto" w:fill="auto"/>
            <w:vAlign w:val="bottom"/>
          </w:tcPr>
          <w:p w14:paraId="392CB6F9" w14:textId="77777777" w:rsidR="00980E5F" w:rsidRDefault="00980E5F">
            <w:pPr>
              <w:rPr>
                <w:rFonts w:ascii="宋体"/>
                <w:vanish/>
              </w:rPr>
            </w:pPr>
          </w:p>
        </w:tc>
        <w:tc>
          <w:tcPr>
            <w:tcW w:w="0" w:type="auto"/>
            <w:gridSpan w:val="3"/>
            <w:shd w:val="clear" w:color="auto" w:fill="auto"/>
            <w:vAlign w:val="bottom"/>
          </w:tcPr>
          <w:p w14:paraId="392CB6FA" w14:textId="77777777" w:rsidR="00980E5F" w:rsidRDefault="00980E5F">
            <w:pPr>
              <w:rPr>
                <w:rFonts w:ascii="宋体"/>
                <w:vanish/>
              </w:rPr>
            </w:pPr>
          </w:p>
        </w:tc>
        <w:tc>
          <w:tcPr>
            <w:tcW w:w="0" w:type="auto"/>
            <w:gridSpan w:val="3"/>
            <w:shd w:val="clear" w:color="auto" w:fill="auto"/>
            <w:vAlign w:val="bottom"/>
          </w:tcPr>
          <w:p w14:paraId="392CB6FB" w14:textId="77777777" w:rsidR="00980E5F" w:rsidRDefault="00980E5F">
            <w:pPr>
              <w:rPr>
                <w:rFonts w:ascii="宋体"/>
                <w:vanish/>
              </w:rPr>
            </w:pPr>
          </w:p>
        </w:tc>
        <w:tc>
          <w:tcPr>
            <w:tcW w:w="0" w:type="auto"/>
            <w:gridSpan w:val="3"/>
            <w:shd w:val="clear" w:color="auto" w:fill="auto"/>
            <w:vAlign w:val="bottom"/>
          </w:tcPr>
          <w:p w14:paraId="392CB6FC" w14:textId="77777777" w:rsidR="00980E5F" w:rsidRDefault="00980E5F">
            <w:pPr>
              <w:rPr>
                <w:rFonts w:ascii="宋体"/>
                <w:vanish/>
              </w:rPr>
            </w:pPr>
          </w:p>
        </w:tc>
      </w:tr>
      <w:tr w:rsidR="00980E5F" w14:paraId="392CB702" w14:textId="77777777">
        <w:trPr>
          <w:hidden/>
        </w:trPr>
        <w:tc>
          <w:tcPr>
            <w:tcW w:w="0" w:type="auto"/>
            <w:gridSpan w:val="3"/>
            <w:shd w:val="clear" w:color="auto" w:fill="auto"/>
            <w:vAlign w:val="bottom"/>
          </w:tcPr>
          <w:p w14:paraId="392CB6FE" w14:textId="77777777" w:rsidR="00980E5F" w:rsidRDefault="00980E5F">
            <w:pPr>
              <w:rPr>
                <w:rFonts w:ascii="宋体"/>
                <w:vanish/>
              </w:rPr>
            </w:pPr>
          </w:p>
        </w:tc>
        <w:tc>
          <w:tcPr>
            <w:tcW w:w="0" w:type="auto"/>
            <w:gridSpan w:val="3"/>
            <w:shd w:val="clear" w:color="auto" w:fill="auto"/>
            <w:vAlign w:val="bottom"/>
          </w:tcPr>
          <w:p w14:paraId="392CB6FF" w14:textId="77777777" w:rsidR="00980E5F" w:rsidRDefault="00980E5F">
            <w:pPr>
              <w:rPr>
                <w:rFonts w:ascii="宋体"/>
                <w:vanish/>
              </w:rPr>
            </w:pPr>
          </w:p>
        </w:tc>
        <w:tc>
          <w:tcPr>
            <w:tcW w:w="0" w:type="auto"/>
            <w:gridSpan w:val="3"/>
            <w:shd w:val="clear" w:color="auto" w:fill="auto"/>
            <w:vAlign w:val="bottom"/>
          </w:tcPr>
          <w:p w14:paraId="392CB700" w14:textId="77777777" w:rsidR="00980E5F" w:rsidRDefault="00980E5F">
            <w:pPr>
              <w:rPr>
                <w:rFonts w:ascii="宋体"/>
                <w:vanish/>
              </w:rPr>
            </w:pPr>
          </w:p>
        </w:tc>
        <w:tc>
          <w:tcPr>
            <w:tcW w:w="0" w:type="auto"/>
            <w:gridSpan w:val="3"/>
            <w:shd w:val="clear" w:color="auto" w:fill="auto"/>
            <w:vAlign w:val="bottom"/>
          </w:tcPr>
          <w:p w14:paraId="392CB701" w14:textId="77777777" w:rsidR="00980E5F" w:rsidRDefault="00980E5F">
            <w:pPr>
              <w:rPr>
                <w:rFonts w:ascii="宋体"/>
                <w:vanish/>
              </w:rPr>
            </w:pPr>
          </w:p>
        </w:tc>
      </w:tr>
      <w:tr w:rsidR="00980E5F" w14:paraId="392CB707" w14:textId="77777777">
        <w:trPr>
          <w:hidden/>
        </w:trPr>
        <w:tc>
          <w:tcPr>
            <w:tcW w:w="0" w:type="auto"/>
            <w:gridSpan w:val="3"/>
            <w:shd w:val="clear" w:color="auto" w:fill="auto"/>
            <w:vAlign w:val="bottom"/>
          </w:tcPr>
          <w:p w14:paraId="392CB703" w14:textId="77777777" w:rsidR="00980E5F" w:rsidRDefault="00980E5F">
            <w:pPr>
              <w:rPr>
                <w:rFonts w:ascii="宋体"/>
                <w:vanish/>
              </w:rPr>
            </w:pPr>
          </w:p>
        </w:tc>
        <w:tc>
          <w:tcPr>
            <w:tcW w:w="0" w:type="auto"/>
            <w:gridSpan w:val="3"/>
            <w:shd w:val="clear" w:color="auto" w:fill="auto"/>
            <w:vAlign w:val="bottom"/>
          </w:tcPr>
          <w:p w14:paraId="392CB704" w14:textId="77777777" w:rsidR="00980E5F" w:rsidRDefault="00980E5F">
            <w:pPr>
              <w:rPr>
                <w:rFonts w:ascii="宋体"/>
                <w:vanish/>
              </w:rPr>
            </w:pPr>
          </w:p>
        </w:tc>
        <w:tc>
          <w:tcPr>
            <w:tcW w:w="0" w:type="auto"/>
            <w:gridSpan w:val="3"/>
            <w:shd w:val="clear" w:color="auto" w:fill="auto"/>
            <w:vAlign w:val="bottom"/>
          </w:tcPr>
          <w:p w14:paraId="392CB705" w14:textId="77777777" w:rsidR="00980E5F" w:rsidRDefault="00980E5F">
            <w:pPr>
              <w:rPr>
                <w:rFonts w:ascii="宋体"/>
                <w:vanish/>
              </w:rPr>
            </w:pPr>
          </w:p>
        </w:tc>
        <w:tc>
          <w:tcPr>
            <w:tcW w:w="0" w:type="auto"/>
            <w:gridSpan w:val="3"/>
            <w:shd w:val="clear" w:color="auto" w:fill="auto"/>
            <w:vAlign w:val="bottom"/>
          </w:tcPr>
          <w:p w14:paraId="392CB706" w14:textId="77777777" w:rsidR="00980E5F" w:rsidRDefault="00980E5F">
            <w:pPr>
              <w:rPr>
                <w:rFonts w:ascii="宋体"/>
                <w:vanish/>
              </w:rPr>
            </w:pPr>
          </w:p>
        </w:tc>
      </w:tr>
      <w:tr w:rsidR="00980E5F" w14:paraId="392CB70C" w14:textId="77777777">
        <w:trPr>
          <w:hidden/>
        </w:trPr>
        <w:tc>
          <w:tcPr>
            <w:tcW w:w="0" w:type="auto"/>
            <w:gridSpan w:val="3"/>
            <w:shd w:val="clear" w:color="auto" w:fill="auto"/>
            <w:vAlign w:val="bottom"/>
          </w:tcPr>
          <w:p w14:paraId="392CB708" w14:textId="77777777" w:rsidR="00980E5F" w:rsidRDefault="00980E5F">
            <w:pPr>
              <w:rPr>
                <w:rFonts w:ascii="宋体"/>
                <w:vanish/>
              </w:rPr>
            </w:pPr>
          </w:p>
        </w:tc>
        <w:tc>
          <w:tcPr>
            <w:tcW w:w="0" w:type="auto"/>
            <w:gridSpan w:val="3"/>
            <w:shd w:val="clear" w:color="auto" w:fill="auto"/>
            <w:vAlign w:val="bottom"/>
          </w:tcPr>
          <w:p w14:paraId="392CB709" w14:textId="77777777" w:rsidR="00980E5F" w:rsidRDefault="00980E5F">
            <w:pPr>
              <w:rPr>
                <w:rFonts w:ascii="宋体"/>
                <w:vanish/>
              </w:rPr>
            </w:pPr>
          </w:p>
        </w:tc>
        <w:tc>
          <w:tcPr>
            <w:tcW w:w="0" w:type="auto"/>
            <w:gridSpan w:val="3"/>
            <w:shd w:val="clear" w:color="auto" w:fill="auto"/>
            <w:vAlign w:val="bottom"/>
          </w:tcPr>
          <w:p w14:paraId="392CB70A" w14:textId="77777777" w:rsidR="00980E5F" w:rsidRDefault="00980E5F">
            <w:pPr>
              <w:rPr>
                <w:rFonts w:ascii="宋体"/>
                <w:vanish/>
              </w:rPr>
            </w:pPr>
          </w:p>
        </w:tc>
        <w:tc>
          <w:tcPr>
            <w:tcW w:w="0" w:type="auto"/>
            <w:gridSpan w:val="3"/>
            <w:shd w:val="clear" w:color="auto" w:fill="auto"/>
            <w:vAlign w:val="bottom"/>
          </w:tcPr>
          <w:p w14:paraId="392CB70B" w14:textId="77777777" w:rsidR="00980E5F" w:rsidRDefault="00980E5F">
            <w:pPr>
              <w:rPr>
                <w:rFonts w:ascii="宋体"/>
                <w:vanish/>
              </w:rPr>
            </w:pPr>
          </w:p>
        </w:tc>
      </w:tr>
      <w:tr w:rsidR="00980E5F" w14:paraId="392CB711" w14:textId="77777777">
        <w:trPr>
          <w:hidden/>
        </w:trPr>
        <w:tc>
          <w:tcPr>
            <w:tcW w:w="0" w:type="auto"/>
            <w:gridSpan w:val="3"/>
            <w:shd w:val="clear" w:color="auto" w:fill="auto"/>
            <w:vAlign w:val="bottom"/>
          </w:tcPr>
          <w:p w14:paraId="392CB70D" w14:textId="77777777" w:rsidR="00980E5F" w:rsidRDefault="00980E5F">
            <w:pPr>
              <w:rPr>
                <w:rFonts w:ascii="宋体"/>
                <w:vanish/>
              </w:rPr>
            </w:pPr>
          </w:p>
        </w:tc>
        <w:tc>
          <w:tcPr>
            <w:tcW w:w="0" w:type="auto"/>
            <w:gridSpan w:val="3"/>
            <w:shd w:val="clear" w:color="auto" w:fill="auto"/>
            <w:vAlign w:val="bottom"/>
          </w:tcPr>
          <w:p w14:paraId="392CB70E" w14:textId="77777777" w:rsidR="00980E5F" w:rsidRDefault="00980E5F">
            <w:pPr>
              <w:rPr>
                <w:rFonts w:ascii="宋体"/>
                <w:vanish/>
              </w:rPr>
            </w:pPr>
          </w:p>
        </w:tc>
        <w:tc>
          <w:tcPr>
            <w:tcW w:w="0" w:type="auto"/>
            <w:gridSpan w:val="3"/>
            <w:shd w:val="clear" w:color="auto" w:fill="auto"/>
            <w:vAlign w:val="bottom"/>
          </w:tcPr>
          <w:p w14:paraId="392CB70F" w14:textId="77777777" w:rsidR="00980E5F" w:rsidRDefault="00980E5F">
            <w:pPr>
              <w:rPr>
                <w:rFonts w:ascii="宋体"/>
                <w:vanish/>
              </w:rPr>
            </w:pPr>
          </w:p>
        </w:tc>
        <w:tc>
          <w:tcPr>
            <w:tcW w:w="0" w:type="auto"/>
            <w:gridSpan w:val="3"/>
            <w:shd w:val="clear" w:color="auto" w:fill="auto"/>
            <w:vAlign w:val="bottom"/>
          </w:tcPr>
          <w:p w14:paraId="392CB710" w14:textId="77777777" w:rsidR="00980E5F" w:rsidRDefault="00980E5F">
            <w:pPr>
              <w:rPr>
                <w:rFonts w:ascii="宋体"/>
                <w:vanish/>
              </w:rPr>
            </w:pPr>
          </w:p>
        </w:tc>
      </w:tr>
      <w:tr w:rsidR="00980E5F" w14:paraId="392CB716" w14:textId="77777777">
        <w:trPr>
          <w:hidden/>
        </w:trPr>
        <w:tc>
          <w:tcPr>
            <w:tcW w:w="0" w:type="auto"/>
            <w:gridSpan w:val="3"/>
            <w:shd w:val="clear" w:color="auto" w:fill="auto"/>
            <w:vAlign w:val="bottom"/>
          </w:tcPr>
          <w:p w14:paraId="392CB712" w14:textId="77777777" w:rsidR="00980E5F" w:rsidRDefault="00980E5F">
            <w:pPr>
              <w:rPr>
                <w:rFonts w:ascii="宋体"/>
                <w:vanish/>
              </w:rPr>
            </w:pPr>
          </w:p>
        </w:tc>
        <w:tc>
          <w:tcPr>
            <w:tcW w:w="0" w:type="auto"/>
            <w:gridSpan w:val="3"/>
            <w:shd w:val="clear" w:color="auto" w:fill="auto"/>
            <w:vAlign w:val="bottom"/>
          </w:tcPr>
          <w:p w14:paraId="392CB713" w14:textId="77777777" w:rsidR="00980E5F" w:rsidRDefault="00980E5F">
            <w:pPr>
              <w:rPr>
                <w:rFonts w:ascii="宋体"/>
                <w:vanish/>
              </w:rPr>
            </w:pPr>
          </w:p>
        </w:tc>
        <w:tc>
          <w:tcPr>
            <w:tcW w:w="0" w:type="auto"/>
            <w:gridSpan w:val="3"/>
            <w:shd w:val="clear" w:color="auto" w:fill="auto"/>
            <w:vAlign w:val="bottom"/>
          </w:tcPr>
          <w:p w14:paraId="392CB714" w14:textId="77777777" w:rsidR="00980E5F" w:rsidRDefault="00980E5F">
            <w:pPr>
              <w:rPr>
                <w:rFonts w:ascii="宋体"/>
                <w:vanish/>
              </w:rPr>
            </w:pPr>
          </w:p>
        </w:tc>
        <w:tc>
          <w:tcPr>
            <w:tcW w:w="0" w:type="auto"/>
            <w:gridSpan w:val="3"/>
            <w:shd w:val="clear" w:color="auto" w:fill="auto"/>
            <w:vAlign w:val="bottom"/>
          </w:tcPr>
          <w:p w14:paraId="392CB715" w14:textId="77777777" w:rsidR="00980E5F" w:rsidRDefault="00980E5F">
            <w:pPr>
              <w:rPr>
                <w:rFonts w:ascii="宋体"/>
                <w:vanish/>
              </w:rPr>
            </w:pPr>
          </w:p>
        </w:tc>
      </w:tr>
      <w:tr w:rsidR="00980E5F" w14:paraId="392CB71B" w14:textId="77777777">
        <w:trPr>
          <w:hidden/>
        </w:trPr>
        <w:tc>
          <w:tcPr>
            <w:tcW w:w="0" w:type="auto"/>
            <w:gridSpan w:val="3"/>
            <w:shd w:val="clear" w:color="auto" w:fill="auto"/>
            <w:vAlign w:val="bottom"/>
          </w:tcPr>
          <w:p w14:paraId="392CB717" w14:textId="77777777" w:rsidR="00980E5F" w:rsidRDefault="00980E5F">
            <w:pPr>
              <w:rPr>
                <w:rFonts w:ascii="宋体"/>
                <w:vanish/>
              </w:rPr>
            </w:pPr>
          </w:p>
        </w:tc>
        <w:tc>
          <w:tcPr>
            <w:tcW w:w="0" w:type="auto"/>
            <w:gridSpan w:val="3"/>
            <w:shd w:val="clear" w:color="auto" w:fill="auto"/>
            <w:vAlign w:val="bottom"/>
          </w:tcPr>
          <w:p w14:paraId="392CB718" w14:textId="77777777" w:rsidR="00980E5F" w:rsidRDefault="00980E5F">
            <w:pPr>
              <w:rPr>
                <w:rFonts w:ascii="宋体"/>
                <w:vanish/>
              </w:rPr>
            </w:pPr>
          </w:p>
        </w:tc>
        <w:tc>
          <w:tcPr>
            <w:tcW w:w="0" w:type="auto"/>
            <w:gridSpan w:val="3"/>
            <w:shd w:val="clear" w:color="auto" w:fill="auto"/>
            <w:vAlign w:val="bottom"/>
          </w:tcPr>
          <w:p w14:paraId="392CB719" w14:textId="77777777" w:rsidR="00980E5F" w:rsidRDefault="00980E5F">
            <w:pPr>
              <w:rPr>
                <w:rFonts w:ascii="宋体"/>
                <w:vanish/>
              </w:rPr>
            </w:pPr>
          </w:p>
        </w:tc>
        <w:tc>
          <w:tcPr>
            <w:tcW w:w="0" w:type="auto"/>
            <w:gridSpan w:val="3"/>
            <w:shd w:val="clear" w:color="auto" w:fill="auto"/>
            <w:vAlign w:val="bottom"/>
          </w:tcPr>
          <w:p w14:paraId="392CB71A" w14:textId="77777777" w:rsidR="00980E5F" w:rsidRDefault="00980E5F">
            <w:pPr>
              <w:rPr>
                <w:rFonts w:ascii="宋体"/>
                <w:vanish/>
              </w:rPr>
            </w:pPr>
          </w:p>
        </w:tc>
      </w:tr>
      <w:tr w:rsidR="00980E5F" w14:paraId="392CB720" w14:textId="77777777">
        <w:trPr>
          <w:hidden/>
        </w:trPr>
        <w:tc>
          <w:tcPr>
            <w:tcW w:w="0" w:type="auto"/>
            <w:gridSpan w:val="3"/>
            <w:shd w:val="clear" w:color="auto" w:fill="auto"/>
            <w:vAlign w:val="bottom"/>
          </w:tcPr>
          <w:p w14:paraId="392CB71C" w14:textId="77777777" w:rsidR="00980E5F" w:rsidRDefault="00980E5F">
            <w:pPr>
              <w:rPr>
                <w:rFonts w:ascii="宋体"/>
                <w:vanish/>
              </w:rPr>
            </w:pPr>
          </w:p>
        </w:tc>
        <w:tc>
          <w:tcPr>
            <w:tcW w:w="0" w:type="auto"/>
            <w:gridSpan w:val="3"/>
            <w:shd w:val="clear" w:color="auto" w:fill="auto"/>
            <w:vAlign w:val="bottom"/>
          </w:tcPr>
          <w:p w14:paraId="392CB71D" w14:textId="77777777" w:rsidR="00980E5F" w:rsidRDefault="00980E5F">
            <w:pPr>
              <w:rPr>
                <w:rFonts w:ascii="宋体"/>
                <w:vanish/>
              </w:rPr>
            </w:pPr>
          </w:p>
        </w:tc>
        <w:tc>
          <w:tcPr>
            <w:tcW w:w="0" w:type="auto"/>
            <w:gridSpan w:val="3"/>
            <w:shd w:val="clear" w:color="auto" w:fill="auto"/>
            <w:vAlign w:val="bottom"/>
          </w:tcPr>
          <w:p w14:paraId="392CB71E" w14:textId="77777777" w:rsidR="00980E5F" w:rsidRDefault="00980E5F">
            <w:pPr>
              <w:rPr>
                <w:rFonts w:ascii="宋体"/>
                <w:vanish/>
              </w:rPr>
            </w:pPr>
          </w:p>
        </w:tc>
        <w:tc>
          <w:tcPr>
            <w:tcW w:w="0" w:type="auto"/>
            <w:gridSpan w:val="3"/>
            <w:shd w:val="clear" w:color="auto" w:fill="auto"/>
            <w:vAlign w:val="bottom"/>
          </w:tcPr>
          <w:p w14:paraId="392CB71F" w14:textId="77777777" w:rsidR="00980E5F" w:rsidRDefault="00980E5F">
            <w:pPr>
              <w:rPr>
                <w:rFonts w:ascii="宋体"/>
                <w:vanish/>
              </w:rPr>
            </w:pPr>
          </w:p>
        </w:tc>
      </w:tr>
      <w:tr w:rsidR="00980E5F" w14:paraId="392CB725" w14:textId="77777777">
        <w:trPr>
          <w:hidden/>
        </w:trPr>
        <w:tc>
          <w:tcPr>
            <w:tcW w:w="0" w:type="auto"/>
            <w:gridSpan w:val="3"/>
            <w:shd w:val="clear" w:color="auto" w:fill="auto"/>
            <w:vAlign w:val="bottom"/>
          </w:tcPr>
          <w:p w14:paraId="392CB721" w14:textId="77777777" w:rsidR="00980E5F" w:rsidRDefault="00980E5F">
            <w:pPr>
              <w:rPr>
                <w:rFonts w:ascii="宋体"/>
                <w:vanish/>
              </w:rPr>
            </w:pPr>
          </w:p>
        </w:tc>
        <w:tc>
          <w:tcPr>
            <w:tcW w:w="0" w:type="auto"/>
            <w:gridSpan w:val="3"/>
            <w:shd w:val="clear" w:color="auto" w:fill="auto"/>
            <w:vAlign w:val="bottom"/>
          </w:tcPr>
          <w:p w14:paraId="392CB722" w14:textId="77777777" w:rsidR="00980E5F" w:rsidRDefault="00980E5F">
            <w:pPr>
              <w:rPr>
                <w:rFonts w:ascii="宋体"/>
                <w:vanish/>
              </w:rPr>
            </w:pPr>
          </w:p>
        </w:tc>
        <w:tc>
          <w:tcPr>
            <w:tcW w:w="0" w:type="auto"/>
            <w:gridSpan w:val="3"/>
            <w:shd w:val="clear" w:color="auto" w:fill="auto"/>
            <w:vAlign w:val="bottom"/>
          </w:tcPr>
          <w:p w14:paraId="392CB723" w14:textId="77777777" w:rsidR="00980E5F" w:rsidRDefault="00980E5F">
            <w:pPr>
              <w:rPr>
                <w:rFonts w:ascii="宋体"/>
                <w:vanish/>
              </w:rPr>
            </w:pPr>
          </w:p>
        </w:tc>
        <w:tc>
          <w:tcPr>
            <w:tcW w:w="0" w:type="auto"/>
            <w:gridSpan w:val="3"/>
            <w:shd w:val="clear" w:color="auto" w:fill="auto"/>
            <w:vAlign w:val="bottom"/>
          </w:tcPr>
          <w:p w14:paraId="392CB724" w14:textId="77777777" w:rsidR="00980E5F" w:rsidRDefault="00980E5F">
            <w:pPr>
              <w:rPr>
                <w:rFonts w:ascii="宋体"/>
                <w:vanish/>
              </w:rPr>
            </w:pPr>
          </w:p>
        </w:tc>
      </w:tr>
      <w:tr w:rsidR="00980E5F" w14:paraId="392CB72E" w14:textId="77777777">
        <w:trPr>
          <w:hidden/>
        </w:trPr>
        <w:tc>
          <w:tcPr>
            <w:tcW w:w="0" w:type="auto"/>
            <w:gridSpan w:val="3"/>
            <w:shd w:val="clear" w:color="auto" w:fill="auto"/>
            <w:vAlign w:val="bottom"/>
          </w:tcPr>
          <w:p w14:paraId="392CB726" w14:textId="77777777" w:rsidR="00980E5F" w:rsidRDefault="00980E5F">
            <w:pPr>
              <w:rPr>
                <w:rFonts w:ascii="宋体"/>
                <w:vanish/>
              </w:rPr>
            </w:pPr>
          </w:p>
        </w:tc>
        <w:tc>
          <w:tcPr>
            <w:tcW w:w="0" w:type="auto"/>
            <w:gridSpan w:val="3"/>
            <w:shd w:val="clear" w:color="auto" w:fill="auto"/>
            <w:vAlign w:val="bottom"/>
          </w:tcPr>
          <w:p w14:paraId="392CB727" w14:textId="77777777" w:rsidR="00980E5F" w:rsidRDefault="00980E5F">
            <w:pPr>
              <w:rPr>
                <w:rFonts w:ascii="宋体"/>
                <w:vanish/>
              </w:rPr>
            </w:pPr>
          </w:p>
        </w:tc>
        <w:tc>
          <w:tcPr>
            <w:tcW w:w="0" w:type="auto"/>
            <w:shd w:val="clear" w:color="auto" w:fill="auto"/>
            <w:vAlign w:val="bottom"/>
          </w:tcPr>
          <w:p w14:paraId="392CB728" w14:textId="77777777" w:rsidR="00980E5F" w:rsidRDefault="00980E5F">
            <w:pPr>
              <w:rPr>
                <w:rFonts w:ascii="宋体"/>
              </w:rPr>
            </w:pPr>
          </w:p>
        </w:tc>
        <w:tc>
          <w:tcPr>
            <w:tcW w:w="0" w:type="auto"/>
            <w:shd w:val="clear" w:color="auto" w:fill="auto"/>
            <w:vAlign w:val="bottom"/>
          </w:tcPr>
          <w:p w14:paraId="392CB729" w14:textId="77777777" w:rsidR="00980E5F" w:rsidRDefault="00980E5F">
            <w:pPr>
              <w:rPr>
                <w:rFonts w:ascii="宋体"/>
              </w:rPr>
            </w:pPr>
          </w:p>
        </w:tc>
        <w:tc>
          <w:tcPr>
            <w:tcW w:w="0" w:type="auto"/>
            <w:shd w:val="clear" w:color="auto" w:fill="auto"/>
            <w:vAlign w:val="bottom"/>
          </w:tcPr>
          <w:p w14:paraId="392CB72A" w14:textId="77777777" w:rsidR="00980E5F" w:rsidRDefault="00980E5F">
            <w:pPr>
              <w:rPr>
                <w:rFonts w:ascii="宋体"/>
              </w:rPr>
            </w:pPr>
          </w:p>
        </w:tc>
        <w:tc>
          <w:tcPr>
            <w:tcW w:w="0" w:type="auto"/>
            <w:shd w:val="clear" w:color="auto" w:fill="auto"/>
            <w:vAlign w:val="bottom"/>
          </w:tcPr>
          <w:p w14:paraId="392CB72B" w14:textId="77777777" w:rsidR="00980E5F" w:rsidRDefault="00980E5F">
            <w:pPr>
              <w:rPr>
                <w:rFonts w:ascii="宋体"/>
              </w:rPr>
            </w:pPr>
          </w:p>
        </w:tc>
        <w:tc>
          <w:tcPr>
            <w:tcW w:w="0" w:type="auto"/>
            <w:shd w:val="clear" w:color="auto" w:fill="auto"/>
            <w:vAlign w:val="bottom"/>
          </w:tcPr>
          <w:p w14:paraId="392CB72C" w14:textId="77777777" w:rsidR="00980E5F" w:rsidRDefault="00980E5F">
            <w:pPr>
              <w:rPr>
                <w:rFonts w:ascii="宋体"/>
              </w:rPr>
            </w:pPr>
          </w:p>
        </w:tc>
        <w:tc>
          <w:tcPr>
            <w:tcW w:w="0" w:type="auto"/>
            <w:shd w:val="clear" w:color="auto" w:fill="auto"/>
            <w:vAlign w:val="bottom"/>
          </w:tcPr>
          <w:p w14:paraId="392CB72D" w14:textId="77777777" w:rsidR="00980E5F" w:rsidRDefault="00980E5F">
            <w:pPr>
              <w:rPr>
                <w:rFonts w:ascii="宋体"/>
              </w:rPr>
            </w:pPr>
          </w:p>
        </w:tc>
      </w:tr>
      <w:tr w:rsidR="00980E5F" w14:paraId="392CB733" w14:textId="77777777">
        <w:trPr>
          <w:hidden/>
        </w:trPr>
        <w:tc>
          <w:tcPr>
            <w:tcW w:w="0" w:type="auto"/>
            <w:gridSpan w:val="3"/>
            <w:shd w:val="clear" w:color="auto" w:fill="auto"/>
            <w:vAlign w:val="bottom"/>
          </w:tcPr>
          <w:p w14:paraId="392CB72F" w14:textId="77777777" w:rsidR="00980E5F" w:rsidRDefault="00980E5F">
            <w:pPr>
              <w:rPr>
                <w:rFonts w:ascii="宋体"/>
                <w:vanish/>
              </w:rPr>
            </w:pPr>
          </w:p>
        </w:tc>
        <w:tc>
          <w:tcPr>
            <w:tcW w:w="0" w:type="auto"/>
            <w:gridSpan w:val="3"/>
            <w:shd w:val="clear" w:color="auto" w:fill="auto"/>
            <w:vAlign w:val="bottom"/>
          </w:tcPr>
          <w:p w14:paraId="392CB730" w14:textId="77777777" w:rsidR="00980E5F" w:rsidRDefault="00980E5F">
            <w:pPr>
              <w:rPr>
                <w:rFonts w:ascii="宋体"/>
                <w:vanish/>
              </w:rPr>
            </w:pPr>
          </w:p>
        </w:tc>
        <w:tc>
          <w:tcPr>
            <w:tcW w:w="0" w:type="auto"/>
            <w:gridSpan w:val="3"/>
            <w:shd w:val="clear" w:color="auto" w:fill="auto"/>
            <w:vAlign w:val="bottom"/>
          </w:tcPr>
          <w:p w14:paraId="392CB731" w14:textId="77777777" w:rsidR="00980E5F" w:rsidRDefault="00980E5F">
            <w:pPr>
              <w:rPr>
                <w:rFonts w:ascii="宋体"/>
                <w:vanish/>
              </w:rPr>
            </w:pPr>
          </w:p>
        </w:tc>
        <w:tc>
          <w:tcPr>
            <w:tcW w:w="0" w:type="auto"/>
            <w:gridSpan w:val="3"/>
            <w:shd w:val="clear" w:color="auto" w:fill="auto"/>
            <w:vAlign w:val="bottom"/>
          </w:tcPr>
          <w:p w14:paraId="392CB732" w14:textId="77777777" w:rsidR="00980E5F" w:rsidRDefault="00980E5F">
            <w:pPr>
              <w:rPr>
                <w:rFonts w:ascii="宋体"/>
                <w:vanish/>
              </w:rPr>
            </w:pPr>
          </w:p>
        </w:tc>
      </w:tr>
      <w:tr w:rsidR="00980E5F" w14:paraId="392CB738" w14:textId="77777777">
        <w:trPr>
          <w:hidden/>
        </w:trPr>
        <w:tc>
          <w:tcPr>
            <w:tcW w:w="0" w:type="auto"/>
            <w:gridSpan w:val="3"/>
            <w:shd w:val="clear" w:color="auto" w:fill="auto"/>
            <w:vAlign w:val="bottom"/>
          </w:tcPr>
          <w:p w14:paraId="392CB734" w14:textId="77777777" w:rsidR="00980E5F" w:rsidRDefault="00980E5F">
            <w:pPr>
              <w:rPr>
                <w:rFonts w:ascii="宋体"/>
                <w:vanish/>
              </w:rPr>
            </w:pPr>
          </w:p>
        </w:tc>
        <w:tc>
          <w:tcPr>
            <w:tcW w:w="0" w:type="auto"/>
            <w:gridSpan w:val="3"/>
            <w:shd w:val="clear" w:color="auto" w:fill="auto"/>
            <w:vAlign w:val="bottom"/>
          </w:tcPr>
          <w:p w14:paraId="392CB735" w14:textId="77777777" w:rsidR="00980E5F" w:rsidRDefault="00980E5F">
            <w:pPr>
              <w:rPr>
                <w:rFonts w:ascii="宋体"/>
                <w:vanish/>
              </w:rPr>
            </w:pPr>
          </w:p>
        </w:tc>
        <w:tc>
          <w:tcPr>
            <w:tcW w:w="0" w:type="auto"/>
            <w:gridSpan w:val="3"/>
            <w:shd w:val="clear" w:color="auto" w:fill="auto"/>
            <w:vAlign w:val="bottom"/>
          </w:tcPr>
          <w:p w14:paraId="392CB736" w14:textId="77777777" w:rsidR="00980E5F" w:rsidRDefault="00980E5F">
            <w:pPr>
              <w:rPr>
                <w:rFonts w:ascii="宋体"/>
                <w:vanish/>
              </w:rPr>
            </w:pPr>
          </w:p>
        </w:tc>
        <w:tc>
          <w:tcPr>
            <w:tcW w:w="0" w:type="auto"/>
            <w:gridSpan w:val="3"/>
            <w:shd w:val="clear" w:color="auto" w:fill="auto"/>
            <w:vAlign w:val="bottom"/>
          </w:tcPr>
          <w:p w14:paraId="392CB737" w14:textId="77777777" w:rsidR="00980E5F" w:rsidRDefault="00980E5F">
            <w:pPr>
              <w:rPr>
                <w:rFonts w:ascii="宋体"/>
                <w:vanish/>
              </w:rPr>
            </w:pPr>
          </w:p>
        </w:tc>
      </w:tr>
      <w:tr w:rsidR="00980E5F" w14:paraId="392CB73D" w14:textId="77777777">
        <w:trPr>
          <w:hidden/>
        </w:trPr>
        <w:tc>
          <w:tcPr>
            <w:tcW w:w="0" w:type="auto"/>
            <w:gridSpan w:val="3"/>
            <w:shd w:val="clear" w:color="auto" w:fill="auto"/>
            <w:vAlign w:val="bottom"/>
          </w:tcPr>
          <w:p w14:paraId="392CB739" w14:textId="77777777" w:rsidR="00980E5F" w:rsidRDefault="00980E5F">
            <w:pPr>
              <w:rPr>
                <w:rFonts w:ascii="宋体"/>
                <w:vanish/>
              </w:rPr>
            </w:pPr>
          </w:p>
        </w:tc>
        <w:tc>
          <w:tcPr>
            <w:tcW w:w="0" w:type="auto"/>
            <w:gridSpan w:val="3"/>
            <w:shd w:val="clear" w:color="auto" w:fill="auto"/>
            <w:vAlign w:val="bottom"/>
          </w:tcPr>
          <w:p w14:paraId="392CB73A" w14:textId="77777777" w:rsidR="00980E5F" w:rsidRDefault="00980E5F">
            <w:pPr>
              <w:rPr>
                <w:rFonts w:ascii="宋体"/>
                <w:vanish/>
              </w:rPr>
            </w:pPr>
          </w:p>
        </w:tc>
        <w:tc>
          <w:tcPr>
            <w:tcW w:w="0" w:type="auto"/>
            <w:gridSpan w:val="3"/>
            <w:shd w:val="clear" w:color="auto" w:fill="auto"/>
            <w:vAlign w:val="bottom"/>
          </w:tcPr>
          <w:p w14:paraId="392CB73B" w14:textId="77777777" w:rsidR="00980E5F" w:rsidRDefault="00980E5F">
            <w:pPr>
              <w:rPr>
                <w:rFonts w:ascii="宋体"/>
                <w:vanish/>
              </w:rPr>
            </w:pPr>
          </w:p>
        </w:tc>
        <w:tc>
          <w:tcPr>
            <w:tcW w:w="0" w:type="auto"/>
            <w:gridSpan w:val="3"/>
            <w:shd w:val="clear" w:color="auto" w:fill="auto"/>
            <w:vAlign w:val="bottom"/>
          </w:tcPr>
          <w:p w14:paraId="392CB73C" w14:textId="77777777" w:rsidR="00980E5F" w:rsidRDefault="00980E5F">
            <w:pPr>
              <w:rPr>
                <w:rFonts w:ascii="宋体"/>
                <w:vanish/>
              </w:rPr>
            </w:pPr>
          </w:p>
        </w:tc>
      </w:tr>
      <w:tr w:rsidR="00980E5F" w14:paraId="392CB742" w14:textId="77777777">
        <w:trPr>
          <w:hidden/>
        </w:trPr>
        <w:tc>
          <w:tcPr>
            <w:tcW w:w="0" w:type="auto"/>
            <w:gridSpan w:val="3"/>
            <w:shd w:val="clear" w:color="auto" w:fill="auto"/>
            <w:vAlign w:val="bottom"/>
          </w:tcPr>
          <w:p w14:paraId="392CB73E" w14:textId="77777777" w:rsidR="00980E5F" w:rsidRDefault="00980E5F">
            <w:pPr>
              <w:rPr>
                <w:rFonts w:ascii="宋体"/>
                <w:vanish/>
              </w:rPr>
            </w:pPr>
          </w:p>
        </w:tc>
        <w:tc>
          <w:tcPr>
            <w:tcW w:w="0" w:type="auto"/>
            <w:gridSpan w:val="3"/>
            <w:shd w:val="clear" w:color="auto" w:fill="auto"/>
            <w:vAlign w:val="bottom"/>
          </w:tcPr>
          <w:p w14:paraId="392CB73F" w14:textId="77777777" w:rsidR="00980E5F" w:rsidRDefault="00980E5F">
            <w:pPr>
              <w:rPr>
                <w:rFonts w:ascii="宋体"/>
                <w:vanish/>
              </w:rPr>
            </w:pPr>
          </w:p>
        </w:tc>
        <w:tc>
          <w:tcPr>
            <w:tcW w:w="0" w:type="auto"/>
            <w:gridSpan w:val="3"/>
            <w:shd w:val="clear" w:color="auto" w:fill="auto"/>
            <w:vAlign w:val="bottom"/>
          </w:tcPr>
          <w:p w14:paraId="392CB740" w14:textId="77777777" w:rsidR="00980E5F" w:rsidRDefault="00980E5F">
            <w:pPr>
              <w:rPr>
                <w:rFonts w:ascii="宋体"/>
                <w:vanish/>
              </w:rPr>
            </w:pPr>
          </w:p>
        </w:tc>
        <w:tc>
          <w:tcPr>
            <w:tcW w:w="0" w:type="auto"/>
            <w:gridSpan w:val="3"/>
            <w:shd w:val="clear" w:color="auto" w:fill="auto"/>
            <w:vAlign w:val="bottom"/>
          </w:tcPr>
          <w:p w14:paraId="392CB741" w14:textId="77777777" w:rsidR="00980E5F" w:rsidRDefault="00980E5F">
            <w:pPr>
              <w:rPr>
                <w:rFonts w:ascii="宋体"/>
                <w:vanish/>
              </w:rPr>
            </w:pPr>
          </w:p>
        </w:tc>
      </w:tr>
      <w:tr w:rsidR="00980E5F" w14:paraId="392CB747" w14:textId="77777777">
        <w:trPr>
          <w:hidden/>
        </w:trPr>
        <w:tc>
          <w:tcPr>
            <w:tcW w:w="0" w:type="auto"/>
            <w:gridSpan w:val="3"/>
            <w:shd w:val="clear" w:color="auto" w:fill="auto"/>
            <w:vAlign w:val="bottom"/>
          </w:tcPr>
          <w:p w14:paraId="392CB743" w14:textId="77777777" w:rsidR="00980E5F" w:rsidRDefault="00980E5F">
            <w:pPr>
              <w:rPr>
                <w:rFonts w:ascii="宋体"/>
                <w:vanish/>
              </w:rPr>
            </w:pPr>
          </w:p>
        </w:tc>
        <w:tc>
          <w:tcPr>
            <w:tcW w:w="0" w:type="auto"/>
            <w:gridSpan w:val="3"/>
            <w:shd w:val="clear" w:color="auto" w:fill="auto"/>
            <w:vAlign w:val="bottom"/>
          </w:tcPr>
          <w:p w14:paraId="392CB744" w14:textId="77777777" w:rsidR="00980E5F" w:rsidRDefault="00980E5F">
            <w:pPr>
              <w:rPr>
                <w:rFonts w:ascii="宋体"/>
                <w:vanish/>
              </w:rPr>
            </w:pPr>
          </w:p>
        </w:tc>
        <w:tc>
          <w:tcPr>
            <w:tcW w:w="0" w:type="auto"/>
            <w:gridSpan w:val="3"/>
            <w:shd w:val="clear" w:color="auto" w:fill="auto"/>
            <w:vAlign w:val="bottom"/>
          </w:tcPr>
          <w:p w14:paraId="392CB745" w14:textId="77777777" w:rsidR="00980E5F" w:rsidRDefault="00980E5F">
            <w:pPr>
              <w:rPr>
                <w:rFonts w:ascii="宋体"/>
                <w:vanish/>
              </w:rPr>
            </w:pPr>
          </w:p>
        </w:tc>
        <w:tc>
          <w:tcPr>
            <w:tcW w:w="0" w:type="auto"/>
            <w:gridSpan w:val="3"/>
            <w:shd w:val="clear" w:color="auto" w:fill="auto"/>
            <w:vAlign w:val="bottom"/>
          </w:tcPr>
          <w:p w14:paraId="392CB746" w14:textId="77777777" w:rsidR="00980E5F" w:rsidRDefault="00980E5F">
            <w:pPr>
              <w:rPr>
                <w:rFonts w:ascii="宋体"/>
                <w:vanish/>
              </w:rPr>
            </w:pPr>
          </w:p>
        </w:tc>
      </w:tr>
      <w:tr w:rsidR="00980E5F" w14:paraId="392CB74C" w14:textId="77777777">
        <w:trPr>
          <w:hidden/>
        </w:trPr>
        <w:tc>
          <w:tcPr>
            <w:tcW w:w="0" w:type="auto"/>
            <w:gridSpan w:val="3"/>
            <w:shd w:val="clear" w:color="auto" w:fill="auto"/>
            <w:vAlign w:val="bottom"/>
          </w:tcPr>
          <w:p w14:paraId="392CB748" w14:textId="77777777" w:rsidR="00980E5F" w:rsidRDefault="00980E5F">
            <w:pPr>
              <w:rPr>
                <w:rFonts w:ascii="宋体"/>
                <w:vanish/>
              </w:rPr>
            </w:pPr>
          </w:p>
        </w:tc>
        <w:tc>
          <w:tcPr>
            <w:tcW w:w="0" w:type="auto"/>
            <w:gridSpan w:val="3"/>
            <w:shd w:val="clear" w:color="auto" w:fill="auto"/>
            <w:vAlign w:val="bottom"/>
          </w:tcPr>
          <w:p w14:paraId="392CB749" w14:textId="77777777" w:rsidR="00980E5F" w:rsidRDefault="00980E5F">
            <w:pPr>
              <w:rPr>
                <w:rFonts w:ascii="宋体"/>
                <w:vanish/>
              </w:rPr>
            </w:pPr>
          </w:p>
        </w:tc>
        <w:tc>
          <w:tcPr>
            <w:tcW w:w="0" w:type="auto"/>
            <w:gridSpan w:val="3"/>
            <w:shd w:val="clear" w:color="auto" w:fill="auto"/>
            <w:vAlign w:val="bottom"/>
          </w:tcPr>
          <w:p w14:paraId="392CB74A" w14:textId="77777777" w:rsidR="00980E5F" w:rsidRDefault="00980E5F">
            <w:pPr>
              <w:rPr>
                <w:rFonts w:ascii="宋体"/>
                <w:vanish/>
              </w:rPr>
            </w:pPr>
          </w:p>
        </w:tc>
        <w:tc>
          <w:tcPr>
            <w:tcW w:w="0" w:type="auto"/>
            <w:gridSpan w:val="3"/>
            <w:shd w:val="clear" w:color="auto" w:fill="auto"/>
            <w:vAlign w:val="bottom"/>
          </w:tcPr>
          <w:p w14:paraId="392CB74B" w14:textId="77777777" w:rsidR="00980E5F" w:rsidRDefault="00980E5F">
            <w:pPr>
              <w:rPr>
                <w:rFonts w:ascii="宋体"/>
                <w:vanish/>
              </w:rPr>
            </w:pPr>
          </w:p>
        </w:tc>
      </w:tr>
      <w:tr w:rsidR="00980E5F" w14:paraId="392CB751" w14:textId="77777777">
        <w:trPr>
          <w:hidden/>
        </w:trPr>
        <w:tc>
          <w:tcPr>
            <w:tcW w:w="0" w:type="auto"/>
            <w:gridSpan w:val="3"/>
            <w:shd w:val="clear" w:color="auto" w:fill="auto"/>
            <w:vAlign w:val="bottom"/>
          </w:tcPr>
          <w:p w14:paraId="392CB74D" w14:textId="77777777" w:rsidR="00980E5F" w:rsidRDefault="00980E5F">
            <w:pPr>
              <w:rPr>
                <w:rFonts w:ascii="宋体"/>
                <w:vanish/>
              </w:rPr>
            </w:pPr>
          </w:p>
        </w:tc>
        <w:tc>
          <w:tcPr>
            <w:tcW w:w="0" w:type="auto"/>
            <w:gridSpan w:val="3"/>
            <w:shd w:val="clear" w:color="auto" w:fill="auto"/>
            <w:vAlign w:val="bottom"/>
          </w:tcPr>
          <w:p w14:paraId="392CB74E" w14:textId="77777777" w:rsidR="00980E5F" w:rsidRDefault="00980E5F">
            <w:pPr>
              <w:rPr>
                <w:rFonts w:ascii="宋体"/>
                <w:vanish/>
              </w:rPr>
            </w:pPr>
          </w:p>
        </w:tc>
        <w:tc>
          <w:tcPr>
            <w:tcW w:w="0" w:type="auto"/>
            <w:gridSpan w:val="3"/>
            <w:shd w:val="clear" w:color="auto" w:fill="auto"/>
            <w:vAlign w:val="bottom"/>
          </w:tcPr>
          <w:p w14:paraId="392CB74F" w14:textId="77777777" w:rsidR="00980E5F" w:rsidRDefault="00980E5F">
            <w:pPr>
              <w:rPr>
                <w:rFonts w:ascii="宋体"/>
                <w:vanish/>
              </w:rPr>
            </w:pPr>
          </w:p>
        </w:tc>
        <w:tc>
          <w:tcPr>
            <w:tcW w:w="0" w:type="auto"/>
            <w:gridSpan w:val="3"/>
            <w:shd w:val="clear" w:color="auto" w:fill="auto"/>
            <w:vAlign w:val="bottom"/>
          </w:tcPr>
          <w:p w14:paraId="392CB750" w14:textId="77777777" w:rsidR="00980E5F" w:rsidRDefault="00980E5F">
            <w:pPr>
              <w:rPr>
                <w:rFonts w:ascii="宋体"/>
                <w:vanish/>
              </w:rPr>
            </w:pPr>
          </w:p>
        </w:tc>
      </w:tr>
      <w:tr w:rsidR="00980E5F" w14:paraId="392CB756" w14:textId="77777777">
        <w:trPr>
          <w:hidden/>
        </w:trPr>
        <w:tc>
          <w:tcPr>
            <w:tcW w:w="0" w:type="auto"/>
            <w:gridSpan w:val="3"/>
            <w:shd w:val="clear" w:color="auto" w:fill="auto"/>
            <w:vAlign w:val="bottom"/>
          </w:tcPr>
          <w:p w14:paraId="392CB752" w14:textId="77777777" w:rsidR="00980E5F" w:rsidRDefault="00980E5F">
            <w:pPr>
              <w:rPr>
                <w:rFonts w:ascii="宋体"/>
                <w:vanish/>
              </w:rPr>
            </w:pPr>
          </w:p>
        </w:tc>
        <w:tc>
          <w:tcPr>
            <w:tcW w:w="0" w:type="auto"/>
            <w:gridSpan w:val="3"/>
            <w:shd w:val="clear" w:color="auto" w:fill="auto"/>
            <w:vAlign w:val="bottom"/>
          </w:tcPr>
          <w:p w14:paraId="392CB753" w14:textId="77777777" w:rsidR="00980E5F" w:rsidRDefault="00980E5F">
            <w:pPr>
              <w:rPr>
                <w:rFonts w:ascii="宋体"/>
                <w:vanish/>
              </w:rPr>
            </w:pPr>
          </w:p>
        </w:tc>
        <w:tc>
          <w:tcPr>
            <w:tcW w:w="0" w:type="auto"/>
            <w:gridSpan w:val="3"/>
            <w:shd w:val="clear" w:color="auto" w:fill="auto"/>
            <w:vAlign w:val="bottom"/>
          </w:tcPr>
          <w:p w14:paraId="392CB754" w14:textId="77777777" w:rsidR="00980E5F" w:rsidRDefault="00980E5F">
            <w:pPr>
              <w:rPr>
                <w:rFonts w:ascii="宋体"/>
                <w:vanish/>
              </w:rPr>
            </w:pPr>
          </w:p>
        </w:tc>
        <w:tc>
          <w:tcPr>
            <w:tcW w:w="0" w:type="auto"/>
            <w:gridSpan w:val="3"/>
            <w:shd w:val="clear" w:color="auto" w:fill="auto"/>
            <w:vAlign w:val="bottom"/>
          </w:tcPr>
          <w:p w14:paraId="392CB755" w14:textId="77777777" w:rsidR="00980E5F" w:rsidRDefault="00980E5F">
            <w:pPr>
              <w:rPr>
                <w:rFonts w:ascii="宋体"/>
                <w:vanish/>
              </w:rPr>
            </w:pPr>
          </w:p>
        </w:tc>
      </w:tr>
      <w:tr w:rsidR="00980E5F" w14:paraId="392CB75B" w14:textId="77777777">
        <w:trPr>
          <w:hidden/>
        </w:trPr>
        <w:tc>
          <w:tcPr>
            <w:tcW w:w="0" w:type="auto"/>
            <w:gridSpan w:val="3"/>
            <w:shd w:val="clear" w:color="auto" w:fill="auto"/>
            <w:vAlign w:val="bottom"/>
          </w:tcPr>
          <w:p w14:paraId="392CB757" w14:textId="77777777" w:rsidR="00980E5F" w:rsidRDefault="00980E5F">
            <w:pPr>
              <w:rPr>
                <w:rFonts w:ascii="宋体"/>
                <w:vanish/>
              </w:rPr>
            </w:pPr>
          </w:p>
        </w:tc>
        <w:tc>
          <w:tcPr>
            <w:tcW w:w="0" w:type="auto"/>
            <w:gridSpan w:val="3"/>
            <w:shd w:val="clear" w:color="auto" w:fill="auto"/>
            <w:vAlign w:val="bottom"/>
          </w:tcPr>
          <w:p w14:paraId="392CB758" w14:textId="77777777" w:rsidR="00980E5F" w:rsidRDefault="00980E5F">
            <w:pPr>
              <w:rPr>
                <w:rFonts w:ascii="宋体"/>
                <w:vanish/>
              </w:rPr>
            </w:pPr>
          </w:p>
        </w:tc>
        <w:tc>
          <w:tcPr>
            <w:tcW w:w="0" w:type="auto"/>
            <w:gridSpan w:val="3"/>
            <w:shd w:val="clear" w:color="auto" w:fill="auto"/>
            <w:vAlign w:val="bottom"/>
          </w:tcPr>
          <w:p w14:paraId="392CB759" w14:textId="77777777" w:rsidR="00980E5F" w:rsidRDefault="00980E5F">
            <w:pPr>
              <w:rPr>
                <w:rFonts w:ascii="宋体"/>
                <w:vanish/>
              </w:rPr>
            </w:pPr>
          </w:p>
        </w:tc>
        <w:tc>
          <w:tcPr>
            <w:tcW w:w="0" w:type="auto"/>
            <w:gridSpan w:val="3"/>
            <w:shd w:val="clear" w:color="auto" w:fill="auto"/>
            <w:vAlign w:val="bottom"/>
          </w:tcPr>
          <w:p w14:paraId="392CB75A" w14:textId="77777777" w:rsidR="00980E5F" w:rsidRDefault="00980E5F">
            <w:pPr>
              <w:rPr>
                <w:rFonts w:ascii="宋体"/>
                <w:vanish/>
              </w:rPr>
            </w:pPr>
          </w:p>
        </w:tc>
      </w:tr>
      <w:tr w:rsidR="00980E5F" w14:paraId="392CB760" w14:textId="77777777">
        <w:trPr>
          <w:hidden/>
        </w:trPr>
        <w:tc>
          <w:tcPr>
            <w:tcW w:w="0" w:type="auto"/>
            <w:gridSpan w:val="3"/>
            <w:shd w:val="clear" w:color="auto" w:fill="auto"/>
            <w:vAlign w:val="bottom"/>
          </w:tcPr>
          <w:p w14:paraId="392CB75C" w14:textId="77777777" w:rsidR="00980E5F" w:rsidRDefault="00980E5F">
            <w:pPr>
              <w:rPr>
                <w:rFonts w:ascii="宋体"/>
                <w:vanish/>
              </w:rPr>
            </w:pPr>
          </w:p>
        </w:tc>
        <w:tc>
          <w:tcPr>
            <w:tcW w:w="0" w:type="auto"/>
            <w:gridSpan w:val="3"/>
            <w:shd w:val="clear" w:color="auto" w:fill="auto"/>
            <w:vAlign w:val="bottom"/>
          </w:tcPr>
          <w:p w14:paraId="392CB75D" w14:textId="77777777" w:rsidR="00980E5F" w:rsidRDefault="00980E5F">
            <w:pPr>
              <w:rPr>
                <w:rFonts w:ascii="宋体"/>
                <w:vanish/>
              </w:rPr>
            </w:pPr>
          </w:p>
        </w:tc>
        <w:tc>
          <w:tcPr>
            <w:tcW w:w="0" w:type="auto"/>
            <w:gridSpan w:val="3"/>
            <w:shd w:val="clear" w:color="auto" w:fill="auto"/>
            <w:vAlign w:val="bottom"/>
          </w:tcPr>
          <w:p w14:paraId="392CB75E" w14:textId="77777777" w:rsidR="00980E5F" w:rsidRDefault="00980E5F">
            <w:pPr>
              <w:rPr>
                <w:rFonts w:ascii="宋体"/>
                <w:vanish/>
              </w:rPr>
            </w:pPr>
          </w:p>
        </w:tc>
        <w:tc>
          <w:tcPr>
            <w:tcW w:w="0" w:type="auto"/>
            <w:gridSpan w:val="3"/>
            <w:shd w:val="clear" w:color="auto" w:fill="auto"/>
            <w:vAlign w:val="bottom"/>
          </w:tcPr>
          <w:p w14:paraId="392CB75F" w14:textId="77777777" w:rsidR="00980E5F" w:rsidRDefault="00980E5F">
            <w:pPr>
              <w:rPr>
                <w:rFonts w:ascii="宋体"/>
                <w:vanish/>
              </w:rPr>
            </w:pPr>
          </w:p>
        </w:tc>
      </w:tr>
      <w:tr w:rsidR="00980E5F" w14:paraId="392CB769" w14:textId="77777777">
        <w:trPr>
          <w:hidden/>
        </w:trPr>
        <w:tc>
          <w:tcPr>
            <w:tcW w:w="0" w:type="auto"/>
            <w:gridSpan w:val="3"/>
            <w:shd w:val="clear" w:color="auto" w:fill="auto"/>
            <w:vAlign w:val="bottom"/>
          </w:tcPr>
          <w:p w14:paraId="392CB761" w14:textId="77777777" w:rsidR="00980E5F" w:rsidRDefault="00980E5F">
            <w:pPr>
              <w:rPr>
                <w:rFonts w:ascii="宋体"/>
                <w:vanish/>
              </w:rPr>
            </w:pPr>
          </w:p>
        </w:tc>
        <w:tc>
          <w:tcPr>
            <w:tcW w:w="0" w:type="auto"/>
            <w:gridSpan w:val="3"/>
            <w:shd w:val="clear" w:color="auto" w:fill="auto"/>
            <w:vAlign w:val="bottom"/>
          </w:tcPr>
          <w:p w14:paraId="392CB762" w14:textId="77777777" w:rsidR="00980E5F" w:rsidRDefault="00980E5F">
            <w:pPr>
              <w:rPr>
                <w:rFonts w:ascii="宋体"/>
                <w:vanish/>
              </w:rPr>
            </w:pPr>
          </w:p>
        </w:tc>
        <w:tc>
          <w:tcPr>
            <w:tcW w:w="0" w:type="auto"/>
            <w:shd w:val="clear" w:color="auto" w:fill="auto"/>
            <w:vAlign w:val="bottom"/>
          </w:tcPr>
          <w:p w14:paraId="392CB763" w14:textId="77777777" w:rsidR="00980E5F" w:rsidRDefault="00980E5F">
            <w:pPr>
              <w:rPr>
                <w:rFonts w:ascii="宋体"/>
              </w:rPr>
            </w:pPr>
          </w:p>
        </w:tc>
        <w:tc>
          <w:tcPr>
            <w:tcW w:w="0" w:type="auto"/>
            <w:shd w:val="clear" w:color="auto" w:fill="auto"/>
            <w:vAlign w:val="bottom"/>
          </w:tcPr>
          <w:p w14:paraId="392CB764" w14:textId="77777777" w:rsidR="00980E5F" w:rsidRDefault="00980E5F">
            <w:pPr>
              <w:rPr>
                <w:rFonts w:ascii="宋体"/>
              </w:rPr>
            </w:pPr>
          </w:p>
        </w:tc>
        <w:tc>
          <w:tcPr>
            <w:tcW w:w="0" w:type="auto"/>
            <w:shd w:val="clear" w:color="auto" w:fill="auto"/>
            <w:vAlign w:val="bottom"/>
          </w:tcPr>
          <w:p w14:paraId="392CB765" w14:textId="77777777" w:rsidR="00980E5F" w:rsidRDefault="00980E5F">
            <w:pPr>
              <w:rPr>
                <w:rFonts w:ascii="宋体"/>
              </w:rPr>
            </w:pPr>
          </w:p>
        </w:tc>
        <w:tc>
          <w:tcPr>
            <w:tcW w:w="0" w:type="auto"/>
            <w:shd w:val="clear" w:color="auto" w:fill="auto"/>
            <w:vAlign w:val="bottom"/>
          </w:tcPr>
          <w:p w14:paraId="392CB766" w14:textId="77777777" w:rsidR="00980E5F" w:rsidRDefault="00980E5F">
            <w:pPr>
              <w:rPr>
                <w:rFonts w:ascii="宋体"/>
              </w:rPr>
            </w:pPr>
          </w:p>
        </w:tc>
        <w:tc>
          <w:tcPr>
            <w:tcW w:w="0" w:type="auto"/>
            <w:shd w:val="clear" w:color="auto" w:fill="auto"/>
            <w:vAlign w:val="bottom"/>
          </w:tcPr>
          <w:p w14:paraId="392CB767" w14:textId="77777777" w:rsidR="00980E5F" w:rsidRDefault="00980E5F">
            <w:pPr>
              <w:rPr>
                <w:rFonts w:ascii="宋体"/>
              </w:rPr>
            </w:pPr>
          </w:p>
        </w:tc>
        <w:tc>
          <w:tcPr>
            <w:tcW w:w="0" w:type="auto"/>
            <w:shd w:val="clear" w:color="auto" w:fill="auto"/>
            <w:vAlign w:val="bottom"/>
          </w:tcPr>
          <w:p w14:paraId="392CB768" w14:textId="77777777" w:rsidR="00980E5F" w:rsidRDefault="00980E5F">
            <w:pPr>
              <w:rPr>
                <w:rFonts w:ascii="宋体"/>
              </w:rPr>
            </w:pPr>
          </w:p>
        </w:tc>
      </w:tr>
      <w:tr w:rsidR="00980E5F" w14:paraId="392CB76E" w14:textId="77777777">
        <w:trPr>
          <w:hidden/>
        </w:trPr>
        <w:tc>
          <w:tcPr>
            <w:tcW w:w="0" w:type="auto"/>
            <w:gridSpan w:val="3"/>
            <w:shd w:val="clear" w:color="auto" w:fill="auto"/>
            <w:vAlign w:val="bottom"/>
          </w:tcPr>
          <w:p w14:paraId="392CB76A" w14:textId="77777777" w:rsidR="00980E5F" w:rsidRDefault="00980E5F">
            <w:pPr>
              <w:rPr>
                <w:rFonts w:ascii="宋体"/>
                <w:vanish/>
              </w:rPr>
            </w:pPr>
          </w:p>
        </w:tc>
        <w:tc>
          <w:tcPr>
            <w:tcW w:w="0" w:type="auto"/>
            <w:gridSpan w:val="3"/>
            <w:shd w:val="clear" w:color="auto" w:fill="auto"/>
            <w:vAlign w:val="bottom"/>
          </w:tcPr>
          <w:p w14:paraId="392CB76B" w14:textId="77777777" w:rsidR="00980E5F" w:rsidRDefault="00980E5F">
            <w:pPr>
              <w:rPr>
                <w:rFonts w:ascii="宋体"/>
                <w:vanish/>
              </w:rPr>
            </w:pPr>
          </w:p>
        </w:tc>
        <w:tc>
          <w:tcPr>
            <w:tcW w:w="0" w:type="auto"/>
            <w:gridSpan w:val="3"/>
            <w:shd w:val="clear" w:color="auto" w:fill="auto"/>
            <w:vAlign w:val="bottom"/>
          </w:tcPr>
          <w:p w14:paraId="392CB76C" w14:textId="77777777" w:rsidR="00980E5F" w:rsidRDefault="00980E5F">
            <w:pPr>
              <w:rPr>
                <w:rFonts w:ascii="宋体"/>
                <w:vanish/>
              </w:rPr>
            </w:pPr>
          </w:p>
        </w:tc>
        <w:tc>
          <w:tcPr>
            <w:tcW w:w="0" w:type="auto"/>
            <w:gridSpan w:val="3"/>
            <w:shd w:val="clear" w:color="auto" w:fill="auto"/>
            <w:vAlign w:val="bottom"/>
          </w:tcPr>
          <w:p w14:paraId="392CB76D" w14:textId="77777777" w:rsidR="00980E5F" w:rsidRDefault="00980E5F">
            <w:pPr>
              <w:rPr>
                <w:rFonts w:ascii="宋体"/>
                <w:vanish/>
              </w:rPr>
            </w:pPr>
          </w:p>
        </w:tc>
      </w:tr>
      <w:tr w:rsidR="00980E5F" w14:paraId="392CB773" w14:textId="77777777">
        <w:trPr>
          <w:hidden/>
        </w:trPr>
        <w:tc>
          <w:tcPr>
            <w:tcW w:w="0" w:type="auto"/>
            <w:gridSpan w:val="3"/>
            <w:shd w:val="clear" w:color="auto" w:fill="auto"/>
            <w:vAlign w:val="bottom"/>
          </w:tcPr>
          <w:p w14:paraId="392CB76F" w14:textId="77777777" w:rsidR="00980E5F" w:rsidRDefault="00980E5F">
            <w:pPr>
              <w:rPr>
                <w:rFonts w:ascii="宋体"/>
                <w:vanish/>
              </w:rPr>
            </w:pPr>
          </w:p>
        </w:tc>
        <w:tc>
          <w:tcPr>
            <w:tcW w:w="0" w:type="auto"/>
            <w:gridSpan w:val="3"/>
            <w:shd w:val="clear" w:color="auto" w:fill="auto"/>
            <w:vAlign w:val="bottom"/>
          </w:tcPr>
          <w:p w14:paraId="392CB770" w14:textId="77777777" w:rsidR="00980E5F" w:rsidRDefault="00980E5F">
            <w:pPr>
              <w:rPr>
                <w:rFonts w:ascii="宋体"/>
                <w:vanish/>
              </w:rPr>
            </w:pPr>
          </w:p>
        </w:tc>
        <w:tc>
          <w:tcPr>
            <w:tcW w:w="0" w:type="auto"/>
            <w:gridSpan w:val="3"/>
            <w:shd w:val="clear" w:color="auto" w:fill="auto"/>
            <w:vAlign w:val="bottom"/>
          </w:tcPr>
          <w:p w14:paraId="392CB771" w14:textId="77777777" w:rsidR="00980E5F" w:rsidRDefault="00980E5F">
            <w:pPr>
              <w:rPr>
                <w:rFonts w:ascii="宋体"/>
                <w:vanish/>
              </w:rPr>
            </w:pPr>
          </w:p>
        </w:tc>
        <w:tc>
          <w:tcPr>
            <w:tcW w:w="0" w:type="auto"/>
            <w:gridSpan w:val="3"/>
            <w:shd w:val="clear" w:color="auto" w:fill="auto"/>
            <w:vAlign w:val="bottom"/>
          </w:tcPr>
          <w:p w14:paraId="392CB772" w14:textId="77777777" w:rsidR="00980E5F" w:rsidRDefault="00980E5F">
            <w:pPr>
              <w:rPr>
                <w:rFonts w:ascii="宋体"/>
                <w:vanish/>
              </w:rPr>
            </w:pPr>
          </w:p>
        </w:tc>
      </w:tr>
      <w:tr w:rsidR="00980E5F" w14:paraId="392CB778" w14:textId="77777777">
        <w:trPr>
          <w:hidden/>
        </w:trPr>
        <w:tc>
          <w:tcPr>
            <w:tcW w:w="0" w:type="auto"/>
            <w:gridSpan w:val="3"/>
            <w:shd w:val="clear" w:color="auto" w:fill="auto"/>
            <w:vAlign w:val="bottom"/>
          </w:tcPr>
          <w:p w14:paraId="392CB774" w14:textId="77777777" w:rsidR="00980E5F" w:rsidRDefault="00980E5F">
            <w:pPr>
              <w:rPr>
                <w:rFonts w:ascii="宋体"/>
                <w:vanish/>
              </w:rPr>
            </w:pPr>
          </w:p>
        </w:tc>
        <w:tc>
          <w:tcPr>
            <w:tcW w:w="0" w:type="auto"/>
            <w:gridSpan w:val="3"/>
            <w:shd w:val="clear" w:color="auto" w:fill="auto"/>
            <w:vAlign w:val="bottom"/>
          </w:tcPr>
          <w:p w14:paraId="392CB775" w14:textId="77777777" w:rsidR="00980E5F" w:rsidRDefault="00980E5F">
            <w:pPr>
              <w:rPr>
                <w:rFonts w:ascii="宋体"/>
                <w:vanish/>
              </w:rPr>
            </w:pPr>
          </w:p>
        </w:tc>
        <w:tc>
          <w:tcPr>
            <w:tcW w:w="0" w:type="auto"/>
            <w:gridSpan w:val="3"/>
            <w:shd w:val="clear" w:color="auto" w:fill="auto"/>
            <w:vAlign w:val="bottom"/>
          </w:tcPr>
          <w:p w14:paraId="392CB776" w14:textId="77777777" w:rsidR="00980E5F" w:rsidRDefault="00980E5F">
            <w:pPr>
              <w:rPr>
                <w:rFonts w:ascii="宋体"/>
                <w:vanish/>
              </w:rPr>
            </w:pPr>
          </w:p>
        </w:tc>
        <w:tc>
          <w:tcPr>
            <w:tcW w:w="0" w:type="auto"/>
            <w:gridSpan w:val="3"/>
            <w:shd w:val="clear" w:color="auto" w:fill="auto"/>
            <w:vAlign w:val="bottom"/>
          </w:tcPr>
          <w:p w14:paraId="392CB777" w14:textId="77777777" w:rsidR="00980E5F" w:rsidRDefault="00980E5F">
            <w:pPr>
              <w:rPr>
                <w:rFonts w:ascii="宋体"/>
                <w:vanish/>
              </w:rPr>
            </w:pPr>
          </w:p>
        </w:tc>
      </w:tr>
      <w:tr w:rsidR="00980E5F" w14:paraId="392CB781" w14:textId="77777777">
        <w:trPr>
          <w:hidden/>
        </w:trPr>
        <w:tc>
          <w:tcPr>
            <w:tcW w:w="0" w:type="auto"/>
            <w:gridSpan w:val="3"/>
            <w:shd w:val="clear" w:color="auto" w:fill="auto"/>
            <w:vAlign w:val="bottom"/>
          </w:tcPr>
          <w:p w14:paraId="392CB779" w14:textId="77777777" w:rsidR="00980E5F" w:rsidRDefault="00980E5F">
            <w:pPr>
              <w:rPr>
                <w:rFonts w:ascii="宋体"/>
                <w:vanish/>
              </w:rPr>
            </w:pPr>
          </w:p>
        </w:tc>
        <w:tc>
          <w:tcPr>
            <w:tcW w:w="0" w:type="auto"/>
            <w:gridSpan w:val="3"/>
            <w:shd w:val="clear" w:color="auto" w:fill="auto"/>
            <w:vAlign w:val="bottom"/>
          </w:tcPr>
          <w:p w14:paraId="392CB77A" w14:textId="77777777" w:rsidR="00980E5F" w:rsidRDefault="00980E5F">
            <w:pPr>
              <w:rPr>
                <w:rFonts w:ascii="宋体"/>
                <w:vanish/>
              </w:rPr>
            </w:pPr>
          </w:p>
        </w:tc>
        <w:tc>
          <w:tcPr>
            <w:tcW w:w="0" w:type="auto"/>
            <w:shd w:val="clear" w:color="auto" w:fill="auto"/>
            <w:vAlign w:val="bottom"/>
          </w:tcPr>
          <w:p w14:paraId="392CB77B" w14:textId="77777777" w:rsidR="00980E5F" w:rsidRDefault="00980E5F">
            <w:pPr>
              <w:rPr>
                <w:rFonts w:ascii="宋体"/>
              </w:rPr>
            </w:pPr>
          </w:p>
        </w:tc>
        <w:tc>
          <w:tcPr>
            <w:tcW w:w="0" w:type="auto"/>
            <w:shd w:val="clear" w:color="auto" w:fill="auto"/>
            <w:vAlign w:val="bottom"/>
          </w:tcPr>
          <w:p w14:paraId="392CB77C" w14:textId="77777777" w:rsidR="00980E5F" w:rsidRDefault="00980E5F">
            <w:pPr>
              <w:rPr>
                <w:rFonts w:ascii="宋体"/>
              </w:rPr>
            </w:pPr>
          </w:p>
        </w:tc>
        <w:tc>
          <w:tcPr>
            <w:tcW w:w="0" w:type="auto"/>
            <w:shd w:val="clear" w:color="auto" w:fill="auto"/>
            <w:vAlign w:val="bottom"/>
          </w:tcPr>
          <w:p w14:paraId="392CB77D" w14:textId="77777777" w:rsidR="00980E5F" w:rsidRDefault="00980E5F">
            <w:pPr>
              <w:rPr>
                <w:rFonts w:ascii="宋体"/>
              </w:rPr>
            </w:pPr>
          </w:p>
        </w:tc>
        <w:tc>
          <w:tcPr>
            <w:tcW w:w="0" w:type="auto"/>
            <w:shd w:val="clear" w:color="auto" w:fill="auto"/>
            <w:vAlign w:val="bottom"/>
          </w:tcPr>
          <w:p w14:paraId="392CB77E" w14:textId="77777777" w:rsidR="00980E5F" w:rsidRDefault="00980E5F">
            <w:pPr>
              <w:rPr>
                <w:rFonts w:ascii="宋体"/>
              </w:rPr>
            </w:pPr>
          </w:p>
        </w:tc>
        <w:tc>
          <w:tcPr>
            <w:tcW w:w="0" w:type="auto"/>
            <w:shd w:val="clear" w:color="auto" w:fill="auto"/>
            <w:vAlign w:val="bottom"/>
          </w:tcPr>
          <w:p w14:paraId="392CB77F" w14:textId="77777777" w:rsidR="00980E5F" w:rsidRDefault="00980E5F">
            <w:pPr>
              <w:rPr>
                <w:rFonts w:ascii="宋体"/>
              </w:rPr>
            </w:pPr>
          </w:p>
        </w:tc>
        <w:tc>
          <w:tcPr>
            <w:tcW w:w="0" w:type="auto"/>
            <w:shd w:val="clear" w:color="auto" w:fill="auto"/>
            <w:vAlign w:val="bottom"/>
          </w:tcPr>
          <w:p w14:paraId="392CB780" w14:textId="77777777" w:rsidR="00980E5F" w:rsidRDefault="00980E5F">
            <w:pPr>
              <w:rPr>
                <w:rFonts w:ascii="宋体"/>
              </w:rPr>
            </w:pPr>
          </w:p>
        </w:tc>
      </w:tr>
      <w:tr w:rsidR="00980E5F" w14:paraId="392CB786" w14:textId="77777777">
        <w:trPr>
          <w:hidden/>
        </w:trPr>
        <w:tc>
          <w:tcPr>
            <w:tcW w:w="0" w:type="auto"/>
            <w:gridSpan w:val="3"/>
            <w:shd w:val="clear" w:color="auto" w:fill="auto"/>
            <w:vAlign w:val="bottom"/>
          </w:tcPr>
          <w:p w14:paraId="392CB782" w14:textId="77777777" w:rsidR="00980E5F" w:rsidRDefault="00980E5F">
            <w:pPr>
              <w:rPr>
                <w:rFonts w:ascii="宋体"/>
                <w:vanish/>
              </w:rPr>
            </w:pPr>
          </w:p>
        </w:tc>
        <w:tc>
          <w:tcPr>
            <w:tcW w:w="0" w:type="auto"/>
            <w:gridSpan w:val="3"/>
            <w:shd w:val="clear" w:color="auto" w:fill="auto"/>
            <w:vAlign w:val="bottom"/>
          </w:tcPr>
          <w:p w14:paraId="392CB783" w14:textId="77777777" w:rsidR="00980E5F" w:rsidRDefault="00980E5F">
            <w:pPr>
              <w:rPr>
                <w:rFonts w:ascii="宋体"/>
                <w:vanish/>
              </w:rPr>
            </w:pPr>
          </w:p>
        </w:tc>
        <w:tc>
          <w:tcPr>
            <w:tcW w:w="0" w:type="auto"/>
            <w:gridSpan w:val="3"/>
            <w:shd w:val="clear" w:color="auto" w:fill="auto"/>
            <w:vAlign w:val="bottom"/>
          </w:tcPr>
          <w:p w14:paraId="392CB784" w14:textId="77777777" w:rsidR="00980E5F" w:rsidRDefault="00980E5F">
            <w:pPr>
              <w:rPr>
                <w:rFonts w:ascii="宋体"/>
                <w:vanish/>
              </w:rPr>
            </w:pPr>
          </w:p>
        </w:tc>
        <w:tc>
          <w:tcPr>
            <w:tcW w:w="0" w:type="auto"/>
            <w:gridSpan w:val="3"/>
            <w:shd w:val="clear" w:color="auto" w:fill="auto"/>
            <w:vAlign w:val="bottom"/>
          </w:tcPr>
          <w:p w14:paraId="392CB785" w14:textId="77777777" w:rsidR="00980E5F" w:rsidRDefault="00980E5F">
            <w:pPr>
              <w:rPr>
                <w:rFonts w:ascii="宋体"/>
                <w:vanish/>
              </w:rPr>
            </w:pPr>
          </w:p>
        </w:tc>
      </w:tr>
      <w:tr w:rsidR="00980E5F" w14:paraId="392CB78B" w14:textId="77777777">
        <w:trPr>
          <w:hidden/>
        </w:trPr>
        <w:tc>
          <w:tcPr>
            <w:tcW w:w="0" w:type="auto"/>
            <w:gridSpan w:val="3"/>
            <w:shd w:val="clear" w:color="auto" w:fill="auto"/>
            <w:vAlign w:val="bottom"/>
          </w:tcPr>
          <w:p w14:paraId="392CB787" w14:textId="77777777" w:rsidR="00980E5F" w:rsidRDefault="00980E5F">
            <w:pPr>
              <w:rPr>
                <w:rFonts w:ascii="宋体"/>
                <w:vanish/>
              </w:rPr>
            </w:pPr>
          </w:p>
        </w:tc>
        <w:tc>
          <w:tcPr>
            <w:tcW w:w="0" w:type="auto"/>
            <w:gridSpan w:val="3"/>
            <w:shd w:val="clear" w:color="auto" w:fill="auto"/>
            <w:vAlign w:val="bottom"/>
          </w:tcPr>
          <w:p w14:paraId="392CB788" w14:textId="77777777" w:rsidR="00980E5F" w:rsidRDefault="00980E5F">
            <w:pPr>
              <w:rPr>
                <w:rFonts w:ascii="宋体"/>
                <w:vanish/>
              </w:rPr>
            </w:pPr>
          </w:p>
        </w:tc>
        <w:tc>
          <w:tcPr>
            <w:tcW w:w="0" w:type="auto"/>
            <w:gridSpan w:val="3"/>
            <w:shd w:val="clear" w:color="auto" w:fill="auto"/>
            <w:vAlign w:val="bottom"/>
          </w:tcPr>
          <w:p w14:paraId="392CB789" w14:textId="77777777" w:rsidR="00980E5F" w:rsidRDefault="00980E5F">
            <w:pPr>
              <w:rPr>
                <w:rFonts w:ascii="宋体"/>
                <w:vanish/>
              </w:rPr>
            </w:pPr>
          </w:p>
        </w:tc>
        <w:tc>
          <w:tcPr>
            <w:tcW w:w="0" w:type="auto"/>
            <w:gridSpan w:val="3"/>
            <w:shd w:val="clear" w:color="auto" w:fill="auto"/>
            <w:vAlign w:val="bottom"/>
          </w:tcPr>
          <w:p w14:paraId="392CB78A" w14:textId="77777777" w:rsidR="00980E5F" w:rsidRDefault="00980E5F">
            <w:pPr>
              <w:rPr>
                <w:rFonts w:ascii="宋体"/>
                <w:vanish/>
              </w:rPr>
            </w:pPr>
          </w:p>
        </w:tc>
      </w:tr>
      <w:tr w:rsidR="00980E5F" w14:paraId="392CB790" w14:textId="77777777">
        <w:trPr>
          <w:hidden/>
        </w:trPr>
        <w:tc>
          <w:tcPr>
            <w:tcW w:w="0" w:type="auto"/>
            <w:gridSpan w:val="3"/>
            <w:shd w:val="clear" w:color="auto" w:fill="auto"/>
            <w:vAlign w:val="bottom"/>
          </w:tcPr>
          <w:p w14:paraId="392CB78C" w14:textId="77777777" w:rsidR="00980E5F" w:rsidRDefault="00980E5F">
            <w:pPr>
              <w:rPr>
                <w:rFonts w:ascii="宋体"/>
                <w:vanish/>
              </w:rPr>
            </w:pPr>
          </w:p>
        </w:tc>
        <w:tc>
          <w:tcPr>
            <w:tcW w:w="0" w:type="auto"/>
            <w:gridSpan w:val="3"/>
            <w:shd w:val="clear" w:color="auto" w:fill="auto"/>
            <w:vAlign w:val="bottom"/>
          </w:tcPr>
          <w:p w14:paraId="392CB78D" w14:textId="77777777" w:rsidR="00980E5F" w:rsidRDefault="00980E5F">
            <w:pPr>
              <w:rPr>
                <w:rFonts w:ascii="宋体"/>
                <w:vanish/>
              </w:rPr>
            </w:pPr>
          </w:p>
        </w:tc>
        <w:tc>
          <w:tcPr>
            <w:tcW w:w="0" w:type="auto"/>
            <w:gridSpan w:val="3"/>
            <w:shd w:val="clear" w:color="auto" w:fill="auto"/>
            <w:vAlign w:val="bottom"/>
          </w:tcPr>
          <w:p w14:paraId="392CB78E" w14:textId="77777777" w:rsidR="00980E5F" w:rsidRDefault="00980E5F">
            <w:pPr>
              <w:rPr>
                <w:rFonts w:ascii="宋体"/>
                <w:vanish/>
              </w:rPr>
            </w:pPr>
          </w:p>
        </w:tc>
        <w:tc>
          <w:tcPr>
            <w:tcW w:w="0" w:type="auto"/>
            <w:gridSpan w:val="3"/>
            <w:shd w:val="clear" w:color="auto" w:fill="auto"/>
            <w:vAlign w:val="bottom"/>
          </w:tcPr>
          <w:p w14:paraId="392CB78F" w14:textId="77777777" w:rsidR="00980E5F" w:rsidRDefault="00980E5F">
            <w:pPr>
              <w:rPr>
                <w:rFonts w:ascii="宋体"/>
                <w:vanish/>
              </w:rPr>
            </w:pPr>
          </w:p>
        </w:tc>
      </w:tr>
      <w:tr w:rsidR="00980E5F" w14:paraId="392CB795" w14:textId="77777777">
        <w:trPr>
          <w:hidden/>
        </w:trPr>
        <w:tc>
          <w:tcPr>
            <w:tcW w:w="0" w:type="auto"/>
            <w:gridSpan w:val="3"/>
            <w:shd w:val="clear" w:color="auto" w:fill="auto"/>
            <w:vAlign w:val="bottom"/>
          </w:tcPr>
          <w:p w14:paraId="392CB791" w14:textId="77777777" w:rsidR="00980E5F" w:rsidRDefault="00980E5F">
            <w:pPr>
              <w:rPr>
                <w:rFonts w:ascii="宋体"/>
                <w:vanish/>
              </w:rPr>
            </w:pPr>
          </w:p>
        </w:tc>
        <w:tc>
          <w:tcPr>
            <w:tcW w:w="0" w:type="auto"/>
            <w:gridSpan w:val="3"/>
            <w:shd w:val="clear" w:color="auto" w:fill="auto"/>
            <w:vAlign w:val="bottom"/>
          </w:tcPr>
          <w:p w14:paraId="392CB792" w14:textId="77777777" w:rsidR="00980E5F" w:rsidRDefault="00980E5F">
            <w:pPr>
              <w:rPr>
                <w:rFonts w:ascii="宋体"/>
                <w:vanish/>
              </w:rPr>
            </w:pPr>
          </w:p>
        </w:tc>
        <w:tc>
          <w:tcPr>
            <w:tcW w:w="0" w:type="auto"/>
            <w:gridSpan w:val="3"/>
            <w:shd w:val="clear" w:color="auto" w:fill="auto"/>
            <w:vAlign w:val="bottom"/>
          </w:tcPr>
          <w:p w14:paraId="392CB793" w14:textId="77777777" w:rsidR="00980E5F" w:rsidRDefault="00980E5F">
            <w:pPr>
              <w:rPr>
                <w:rFonts w:ascii="宋体"/>
                <w:vanish/>
              </w:rPr>
            </w:pPr>
          </w:p>
        </w:tc>
        <w:tc>
          <w:tcPr>
            <w:tcW w:w="0" w:type="auto"/>
            <w:gridSpan w:val="3"/>
            <w:shd w:val="clear" w:color="auto" w:fill="auto"/>
            <w:vAlign w:val="bottom"/>
          </w:tcPr>
          <w:p w14:paraId="392CB794" w14:textId="77777777" w:rsidR="00980E5F" w:rsidRDefault="00980E5F">
            <w:pPr>
              <w:rPr>
                <w:rFonts w:ascii="宋体"/>
                <w:vanish/>
              </w:rPr>
            </w:pPr>
          </w:p>
        </w:tc>
      </w:tr>
      <w:tr w:rsidR="00980E5F" w14:paraId="392CB79A" w14:textId="77777777">
        <w:trPr>
          <w:hidden/>
        </w:trPr>
        <w:tc>
          <w:tcPr>
            <w:tcW w:w="0" w:type="auto"/>
            <w:gridSpan w:val="3"/>
            <w:shd w:val="clear" w:color="auto" w:fill="auto"/>
            <w:vAlign w:val="bottom"/>
          </w:tcPr>
          <w:p w14:paraId="392CB796" w14:textId="77777777" w:rsidR="00980E5F" w:rsidRDefault="00980E5F">
            <w:pPr>
              <w:rPr>
                <w:rFonts w:ascii="宋体"/>
                <w:vanish/>
              </w:rPr>
            </w:pPr>
          </w:p>
        </w:tc>
        <w:tc>
          <w:tcPr>
            <w:tcW w:w="0" w:type="auto"/>
            <w:gridSpan w:val="3"/>
            <w:shd w:val="clear" w:color="auto" w:fill="auto"/>
            <w:vAlign w:val="bottom"/>
          </w:tcPr>
          <w:p w14:paraId="392CB797" w14:textId="77777777" w:rsidR="00980E5F" w:rsidRDefault="00980E5F">
            <w:pPr>
              <w:rPr>
                <w:rFonts w:ascii="宋体"/>
                <w:vanish/>
              </w:rPr>
            </w:pPr>
          </w:p>
        </w:tc>
        <w:tc>
          <w:tcPr>
            <w:tcW w:w="0" w:type="auto"/>
            <w:gridSpan w:val="3"/>
            <w:shd w:val="clear" w:color="auto" w:fill="auto"/>
            <w:vAlign w:val="bottom"/>
          </w:tcPr>
          <w:p w14:paraId="392CB798" w14:textId="77777777" w:rsidR="00980E5F" w:rsidRDefault="00980E5F">
            <w:pPr>
              <w:rPr>
                <w:rFonts w:ascii="宋体"/>
                <w:vanish/>
              </w:rPr>
            </w:pPr>
          </w:p>
        </w:tc>
        <w:tc>
          <w:tcPr>
            <w:tcW w:w="0" w:type="auto"/>
            <w:gridSpan w:val="3"/>
            <w:shd w:val="clear" w:color="auto" w:fill="auto"/>
            <w:vAlign w:val="bottom"/>
          </w:tcPr>
          <w:p w14:paraId="392CB799" w14:textId="77777777" w:rsidR="00980E5F" w:rsidRDefault="00980E5F">
            <w:pPr>
              <w:rPr>
                <w:rFonts w:ascii="宋体"/>
                <w:vanish/>
              </w:rPr>
            </w:pPr>
          </w:p>
        </w:tc>
      </w:tr>
      <w:tr w:rsidR="00980E5F" w14:paraId="392CB79F" w14:textId="77777777">
        <w:trPr>
          <w:hidden/>
        </w:trPr>
        <w:tc>
          <w:tcPr>
            <w:tcW w:w="0" w:type="auto"/>
            <w:gridSpan w:val="3"/>
            <w:shd w:val="clear" w:color="auto" w:fill="auto"/>
            <w:vAlign w:val="bottom"/>
          </w:tcPr>
          <w:p w14:paraId="392CB79B" w14:textId="77777777" w:rsidR="00980E5F" w:rsidRDefault="00980E5F">
            <w:pPr>
              <w:rPr>
                <w:rFonts w:ascii="宋体"/>
                <w:vanish/>
              </w:rPr>
            </w:pPr>
          </w:p>
        </w:tc>
        <w:tc>
          <w:tcPr>
            <w:tcW w:w="0" w:type="auto"/>
            <w:gridSpan w:val="3"/>
            <w:shd w:val="clear" w:color="auto" w:fill="auto"/>
            <w:vAlign w:val="bottom"/>
          </w:tcPr>
          <w:p w14:paraId="392CB79C" w14:textId="77777777" w:rsidR="00980E5F" w:rsidRDefault="00980E5F">
            <w:pPr>
              <w:rPr>
                <w:rFonts w:ascii="宋体"/>
                <w:vanish/>
              </w:rPr>
            </w:pPr>
          </w:p>
        </w:tc>
        <w:tc>
          <w:tcPr>
            <w:tcW w:w="0" w:type="auto"/>
            <w:gridSpan w:val="3"/>
            <w:shd w:val="clear" w:color="auto" w:fill="auto"/>
            <w:vAlign w:val="bottom"/>
          </w:tcPr>
          <w:p w14:paraId="392CB79D" w14:textId="77777777" w:rsidR="00980E5F" w:rsidRDefault="00980E5F">
            <w:pPr>
              <w:rPr>
                <w:rFonts w:ascii="宋体"/>
                <w:vanish/>
              </w:rPr>
            </w:pPr>
          </w:p>
        </w:tc>
        <w:tc>
          <w:tcPr>
            <w:tcW w:w="0" w:type="auto"/>
            <w:gridSpan w:val="3"/>
            <w:shd w:val="clear" w:color="auto" w:fill="auto"/>
            <w:vAlign w:val="bottom"/>
          </w:tcPr>
          <w:p w14:paraId="392CB79E" w14:textId="77777777" w:rsidR="00980E5F" w:rsidRDefault="00980E5F">
            <w:pPr>
              <w:rPr>
                <w:rFonts w:ascii="宋体"/>
                <w:vanish/>
              </w:rPr>
            </w:pPr>
          </w:p>
        </w:tc>
      </w:tr>
      <w:tr w:rsidR="00980E5F" w14:paraId="392CB7A4" w14:textId="77777777">
        <w:trPr>
          <w:hidden/>
        </w:trPr>
        <w:tc>
          <w:tcPr>
            <w:tcW w:w="0" w:type="auto"/>
            <w:gridSpan w:val="3"/>
            <w:shd w:val="clear" w:color="auto" w:fill="auto"/>
            <w:vAlign w:val="bottom"/>
          </w:tcPr>
          <w:p w14:paraId="392CB7A0" w14:textId="77777777" w:rsidR="00980E5F" w:rsidRDefault="00980E5F">
            <w:pPr>
              <w:rPr>
                <w:rFonts w:ascii="宋体"/>
                <w:vanish/>
              </w:rPr>
            </w:pPr>
          </w:p>
        </w:tc>
        <w:tc>
          <w:tcPr>
            <w:tcW w:w="0" w:type="auto"/>
            <w:gridSpan w:val="3"/>
            <w:shd w:val="clear" w:color="auto" w:fill="auto"/>
            <w:vAlign w:val="bottom"/>
          </w:tcPr>
          <w:p w14:paraId="392CB7A1" w14:textId="77777777" w:rsidR="00980E5F" w:rsidRDefault="00980E5F">
            <w:pPr>
              <w:rPr>
                <w:rFonts w:ascii="宋体"/>
                <w:vanish/>
              </w:rPr>
            </w:pPr>
          </w:p>
        </w:tc>
        <w:tc>
          <w:tcPr>
            <w:tcW w:w="0" w:type="auto"/>
            <w:gridSpan w:val="3"/>
            <w:shd w:val="clear" w:color="auto" w:fill="auto"/>
            <w:vAlign w:val="bottom"/>
          </w:tcPr>
          <w:p w14:paraId="392CB7A2" w14:textId="77777777" w:rsidR="00980E5F" w:rsidRDefault="00980E5F">
            <w:pPr>
              <w:rPr>
                <w:rFonts w:ascii="宋体"/>
                <w:vanish/>
              </w:rPr>
            </w:pPr>
          </w:p>
        </w:tc>
        <w:tc>
          <w:tcPr>
            <w:tcW w:w="0" w:type="auto"/>
            <w:gridSpan w:val="3"/>
            <w:shd w:val="clear" w:color="auto" w:fill="auto"/>
            <w:vAlign w:val="bottom"/>
          </w:tcPr>
          <w:p w14:paraId="392CB7A3" w14:textId="77777777" w:rsidR="00980E5F" w:rsidRDefault="00980E5F">
            <w:pPr>
              <w:rPr>
                <w:rFonts w:ascii="宋体"/>
                <w:vanish/>
              </w:rPr>
            </w:pPr>
          </w:p>
        </w:tc>
      </w:tr>
      <w:tr w:rsidR="00980E5F" w14:paraId="392CB7A9" w14:textId="77777777">
        <w:trPr>
          <w:hidden/>
        </w:trPr>
        <w:tc>
          <w:tcPr>
            <w:tcW w:w="0" w:type="auto"/>
            <w:gridSpan w:val="3"/>
            <w:shd w:val="clear" w:color="auto" w:fill="auto"/>
            <w:vAlign w:val="bottom"/>
          </w:tcPr>
          <w:p w14:paraId="392CB7A5" w14:textId="77777777" w:rsidR="00980E5F" w:rsidRDefault="00980E5F">
            <w:pPr>
              <w:rPr>
                <w:rFonts w:ascii="宋体"/>
                <w:vanish/>
              </w:rPr>
            </w:pPr>
          </w:p>
        </w:tc>
        <w:tc>
          <w:tcPr>
            <w:tcW w:w="0" w:type="auto"/>
            <w:gridSpan w:val="3"/>
            <w:shd w:val="clear" w:color="auto" w:fill="auto"/>
            <w:vAlign w:val="bottom"/>
          </w:tcPr>
          <w:p w14:paraId="392CB7A6" w14:textId="77777777" w:rsidR="00980E5F" w:rsidRDefault="00980E5F">
            <w:pPr>
              <w:rPr>
                <w:rFonts w:ascii="宋体"/>
                <w:vanish/>
              </w:rPr>
            </w:pPr>
          </w:p>
        </w:tc>
        <w:tc>
          <w:tcPr>
            <w:tcW w:w="0" w:type="auto"/>
            <w:gridSpan w:val="3"/>
            <w:shd w:val="clear" w:color="auto" w:fill="auto"/>
            <w:vAlign w:val="bottom"/>
          </w:tcPr>
          <w:p w14:paraId="392CB7A7" w14:textId="77777777" w:rsidR="00980E5F" w:rsidRDefault="00980E5F">
            <w:pPr>
              <w:rPr>
                <w:rFonts w:ascii="宋体"/>
                <w:vanish/>
              </w:rPr>
            </w:pPr>
          </w:p>
        </w:tc>
        <w:tc>
          <w:tcPr>
            <w:tcW w:w="0" w:type="auto"/>
            <w:gridSpan w:val="3"/>
            <w:shd w:val="clear" w:color="auto" w:fill="auto"/>
            <w:vAlign w:val="bottom"/>
          </w:tcPr>
          <w:p w14:paraId="392CB7A8" w14:textId="77777777" w:rsidR="00980E5F" w:rsidRDefault="00980E5F">
            <w:pPr>
              <w:rPr>
                <w:rFonts w:ascii="宋体"/>
                <w:vanish/>
              </w:rPr>
            </w:pPr>
          </w:p>
        </w:tc>
      </w:tr>
      <w:tr w:rsidR="00980E5F" w14:paraId="392CB7AE" w14:textId="77777777">
        <w:trPr>
          <w:hidden/>
        </w:trPr>
        <w:tc>
          <w:tcPr>
            <w:tcW w:w="0" w:type="auto"/>
            <w:gridSpan w:val="3"/>
            <w:shd w:val="clear" w:color="auto" w:fill="auto"/>
            <w:vAlign w:val="bottom"/>
          </w:tcPr>
          <w:p w14:paraId="392CB7AA" w14:textId="77777777" w:rsidR="00980E5F" w:rsidRDefault="00980E5F">
            <w:pPr>
              <w:rPr>
                <w:rFonts w:ascii="宋体"/>
                <w:vanish/>
              </w:rPr>
            </w:pPr>
          </w:p>
        </w:tc>
        <w:tc>
          <w:tcPr>
            <w:tcW w:w="0" w:type="auto"/>
            <w:gridSpan w:val="3"/>
            <w:shd w:val="clear" w:color="auto" w:fill="auto"/>
            <w:vAlign w:val="bottom"/>
          </w:tcPr>
          <w:p w14:paraId="392CB7AB" w14:textId="77777777" w:rsidR="00980E5F" w:rsidRDefault="00980E5F">
            <w:pPr>
              <w:rPr>
                <w:rFonts w:ascii="宋体"/>
                <w:vanish/>
              </w:rPr>
            </w:pPr>
          </w:p>
        </w:tc>
        <w:tc>
          <w:tcPr>
            <w:tcW w:w="0" w:type="auto"/>
            <w:gridSpan w:val="3"/>
            <w:shd w:val="clear" w:color="auto" w:fill="auto"/>
            <w:vAlign w:val="bottom"/>
          </w:tcPr>
          <w:p w14:paraId="392CB7AC" w14:textId="77777777" w:rsidR="00980E5F" w:rsidRDefault="00980E5F">
            <w:pPr>
              <w:rPr>
                <w:rFonts w:ascii="宋体"/>
                <w:vanish/>
              </w:rPr>
            </w:pPr>
          </w:p>
        </w:tc>
        <w:tc>
          <w:tcPr>
            <w:tcW w:w="0" w:type="auto"/>
            <w:gridSpan w:val="3"/>
            <w:shd w:val="clear" w:color="auto" w:fill="auto"/>
            <w:vAlign w:val="bottom"/>
          </w:tcPr>
          <w:p w14:paraId="392CB7AD" w14:textId="77777777" w:rsidR="00980E5F" w:rsidRDefault="00980E5F">
            <w:pPr>
              <w:rPr>
                <w:rFonts w:ascii="宋体"/>
                <w:vanish/>
              </w:rPr>
            </w:pPr>
          </w:p>
        </w:tc>
      </w:tr>
      <w:tr w:rsidR="00980E5F" w14:paraId="392CB7B3" w14:textId="77777777">
        <w:trPr>
          <w:hidden/>
        </w:trPr>
        <w:tc>
          <w:tcPr>
            <w:tcW w:w="0" w:type="auto"/>
            <w:gridSpan w:val="3"/>
            <w:shd w:val="clear" w:color="auto" w:fill="auto"/>
            <w:vAlign w:val="bottom"/>
          </w:tcPr>
          <w:p w14:paraId="392CB7AF" w14:textId="77777777" w:rsidR="00980E5F" w:rsidRDefault="00980E5F">
            <w:pPr>
              <w:rPr>
                <w:rFonts w:ascii="宋体"/>
                <w:vanish/>
              </w:rPr>
            </w:pPr>
          </w:p>
        </w:tc>
        <w:tc>
          <w:tcPr>
            <w:tcW w:w="0" w:type="auto"/>
            <w:gridSpan w:val="3"/>
            <w:shd w:val="clear" w:color="auto" w:fill="auto"/>
            <w:vAlign w:val="bottom"/>
          </w:tcPr>
          <w:p w14:paraId="392CB7B0" w14:textId="77777777" w:rsidR="00980E5F" w:rsidRDefault="00980E5F">
            <w:pPr>
              <w:rPr>
                <w:rFonts w:ascii="宋体"/>
                <w:vanish/>
              </w:rPr>
            </w:pPr>
          </w:p>
        </w:tc>
        <w:tc>
          <w:tcPr>
            <w:tcW w:w="0" w:type="auto"/>
            <w:gridSpan w:val="3"/>
            <w:shd w:val="clear" w:color="auto" w:fill="auto"/>
            <w:vAlign w:val="bottom"/>
          </w:tcPr>
          <w:p w14:paraId="392CB7B1" w14:textId="77777777" w:rsidR="00980E5F" w:rsidRDefault="00980E5F">
            <w:pPr>
              <w:rPr>
                <w:rFonts w:ascii="宋体"/>
                <w:vanish/>
              </w:rPr>
            </w:pPr>
          </w:p>
        </w:tc>
        <w:tc>
          <w:tcPr>
            <w:tcW w:w="0" w:type="auto"/>
            <w:gridSpan w:val="3"/>
            <w:shd w:val="clear" w:color="auto" w:fill="auto"/>
            <w:vAlign w:val="bottom"/>
          </w:tcPr>
          <w:p w14:paraId="392CB7B2" w14:textId="77777777" w:rsidR="00980E5F" w:rsidRDefault="00980E5F">
            <w:pPr>
              <w:rPr>
                <w:rFonts w:ascii="宋体"/>
                <w:vanish/>
              </w:rPr>
            </w:pPr>
          </w:p>
        </w:tc>
      </w:tr>
      <w:tr w:rsidR="00980E5F" w14:paraId="392CB7B8" w14:textId="77777777">
        <w:trPr>
          <w:hidden/>
        </w:trPr>
        <w:tc>
          <w:tcPr>
            <w:tcW w:w="0" w:type="auto"/>
            <w:gridSpan w:val="3"/>
            <w:shd w:val="clear" w:color="auto" w:fill="auto"/>
            <w:vAlign w:val="bottom"/>
          </w:tcPr>
          <w:p w14:paraId="392CB7B4" w14:textId="77777777" w:rsidR="00980E5F" w:rsidRDefault="00980E5F">
            <w:pPr>
              <w:rPr>
                <w:rFonts w:ascii="宋体"/>
                <w:vanish/>
              </w:rPr>
            </w:pPr>
          </w:p>
        </w:tc>
        <w:tc>
          <w:tcPr>
            <w:tcW w:w="0" w:type="auto"/>
            <w:gridSpan w:val="3"/>
            <w:shd w:val="clear" w:color="auto" w:fill="auto"/>
            <w:vAlign w:val="bottom"/>
          </w:tcPr>
          <w:p w14:paraId="392CB7B5" w14:textId="77777777" w:rsidR="00980E5F" w:rsidRDefault="00980E5F">
            <w:pPr>
              <w:rPr>
                <w:rFonts w:ascii="宋体"/>
                <w:vanish/>
              </w:rPr>
            </w:pPr>
          </w:p>
        </w:tc>
        <w:tc>
          <w:tcPr>
            <w:tcW w:w="0" w:type="auto"/>
            <w:gridSpan w:val="3"/>
            <w:shd w:val="clear" w:color="auto" w:fill="auto"/>
            <w:vAlign w:val="bottom"/>
          </w:tcPr>
          <w:p w14:paraId="392CB7B6" w14:textId="77777777" w:rsidR="00980E5F" w:rsidRDefault="00980E5F">
            <w:pPr>
              <w:rPr>
                <w:rFonts w:ascii="宋体"/>
                <w:vanish/>
              </w:rPr>
            </w:pPr>
          </w:p>
        </w:tc>
        <w:tc>
          <w:tcPr>
            <w:tcW w:w="0" w:type="auto"/>
            <w:gridSpan w:val="3"/>
            <w:shd w:val="clear" w:color="auto" w:fill="auto"/>
            <w:vAlign w:val="bottom"/>
          </w:tcPr>
          <w:p w14:paraId="392CB7B7" w14:textId="77777777" w:rsidR="00980E5F" w:rsidRDefault="00980E5F">
            <w:pPr>
              <w:rPr>
                <w:rFonts w:ascii="宋体"/>
                <w:vanish/>
              </w:rPr>
            </w:pPr>
          </w:p>
        </w:tc>
      </w:tr>
      <w:tr w:rsidR="00980E5F" w14:paraId="392CB7BD" w14:textId="77777777">
        <w:trPr>
          <w:hidden/>
        </w:trPr>
        <w:tc>
          <w:tcPr>
            <w:tcW w:w="0" w:type="auto"/>
            <w:gridSpan w:val="3"/>
            <w:shd w:val="clear" w:color="auto" w:fill="auto"/>
            <w:vAlign w:val="bottom"/>
          </w:tcPr>
          <w:p w14:paraId="392CB7B9" w14:textId="77777777" w:rsidR="00980E5F" w:rsidRDefault="00980E5F">
            <w:pPr>
              <w:rPr>
                <w:rFonts w:ascii="宋体"/>
                <w:vanish/>
              </w:rPr>
            </w:pPr>
          </w:p>
        </w:tc>
        <w:tc>
          <w:tcPr>
            <w:tcW w:w="0" w:type="auto"/>
            <w:gridSpan w:val="3"/>
            <w:shd w:val="clear" w:color="auto" w:fill="auto"/>
            <w:vAlign w:val="bottom"/>
          </w:tcPr>
          <w:p w14:paraId="392CB7BA" w14:textId="77777777" w:rsidR="00980E5F" w:rsidRDefault="00980E5F">
            <w:pPr>
              <w:rPr>
                <w:rFonts w:ascii="宋体"/>
                <w:vanish/>
              </w:rPr>
            </w:pPr>
          </w:p>
        </w:tc>
        <w:tc>
          <w:tcPr>
            <w:tcW w:w="0" w:type="auto"/>
            <w:gridSpan w:val="3"/>
            <w:shd w:val="clear" w:color="auto" w:fill="auto"/>
            <w:vAlign w:val="bottom"/>
          </w:tcPr>
          <w:p w14:paraId="392CB7BB" w14:textId="77777777" w:rsidR="00980E5F" w:rsidRDefault="00980E5F">
            <w:pPr>
              <w:rPr>
                <w:rFonts w:ascii="宋体"/>
                <w:vanish/>
              </w:rPr>
            </w:pPr>
          </w:p>
        </w:tc>
        <w:tc>
          <w:tcPr>
            <w:tcW w:w="0" w:type="auto"/>
            <w:gridSpan w:val="3"/>
            <w:shd w:val="clear" w:color="auto" w:fill="auto"/>
            <w:vAlign w:val="bottom"/>
          </w:tcPr>
          <w:p w14:paraId="392CB7BC" w14:textId="77777777" w:rsidR="00980E5F" w:rsidRDefault="00980E5F">
            <w:pPr>
              <w:rPr>
                <w:rFonts w:ascii="宋体"/>
                <w:vanish/>
              </w:rPr>
            </w:pPr>
          </w:p>
        </w:tc>
      </w:tr>
      <w:tr w:rsidR="00980E5F" w14:paraId="392CB7C2" w14:textId="77777777">
        <w:trPr>
          <w:hidden/>
        </w:trPr>
        <w:tc>
          <w:tcPr>
            <w:tcW w:w="0" w:type="auto"/>
            <w:gridSpan w:val="3"/>
            <w:shd w:val="clear" w:color="auto" w:fill="auto"/>
            <w:vAlign w:val="bottom"/>
          </w:tcPr>
          <w:p w14:paraId="392CB7BE" w14:textId="77777777" w:rsidR="00980E5F" w:rsidRDefault="00980E5F">
            <w:pPr>
              <w:rPr>
                <w:rFonts w:ascii="宋体"/>
                <w:vanish/>
              </w:rPr>
            </w:pPr>
          </w:p>
        </w:tc>
        <w:tc>
          <w:tcPr>
            <w:tcW w:w="0" w:type="auto"/>
            <w:gridSpan w:val="3"/>
            <w:shd w:val="clear" w:color="auto" w:fill="auto"/>
            <w:vAlign w:val="bottom"/>
          </w:tcPr>
          <w:p w14:paraId="392CB7BF" w14:textId="77777777" w:rsidR="00980E5F" w:rsidRDefault="00980E5F">
            <w:pPr>
              <w:rPr>
                <w:rFonts w:ascii="宋体"/>
                <w:vanish/>
              </w:rPr>
            </w:pPr>
          </w:p>
        </w:tc>
        <w:tc>
          <w:tcPr>
            <w:tcW w:w="0" w:type="auto"/>
            <w:gridSpan w:val="3"/>
            <w:shd w:val="clear" w:color="auto" w:fill="auto"/>
            <w:vAlign w:val="bottom"/>
          </w:tcPr>
          <w:p w14:paraId="392CB7C0" w14:textId="77777777" w:rsidR="00980E5F" w:rsidRDefault="00980E5F">
            <w:pPr>
              <w:rPr>
                <w:rFonts w:ascii="宋体"/>
                <w:vanish/>
              </w:rPr>
            </w:pPr>
          </w:p>
        </w:tc>
        <w:tc>
          <w:tcPr>
            <w:tcW w:w="0" w:type="auto"/>
            <w:gridSpan w:val="3"/>
            <w:shd w:val="clear" w:color="auto" w:fill="auto"/>
            <w:vAlign w:val="bottom"/>
          </w:tcPr>
          <w:p w14:paraId="392CB7C1" w14:textId="77777777" w:rsidR="00980E5F" w:rsidRDefault="00980E5F">
            <w:pPr>
              <w:rPr>
                <w:rFonts w:ascii="宋体"/>
                <w:vanish/>
              </w:rPr>
            </w:pPr>
          </w:p>
        </w:tc>
      </w:tr>
      <w:tr w:rsidR="00980E5F" w14:paraId="392CB7C7" w14:textId="77777777">
        <w:trPr>
          <w:hidden/>
        </w:trPr>
        <w:tc>
          <w:tcPr>
            <w:tcW w:w="0" w:type="auto"/>
            <w:gridSpan w:val="3"/>
            <w:shd w:val="clear" w:color="auto" w:fill="auto"/>
            <w:vAlign w:val="bottom"/>
          </w:tcPr>
          <w:p w14:paraId="392CB7C3" w14:textId="77777777" w:rsidR="00980E5F" w:rsidRDefault="00980E5F">
            <w:pPr>
              <w:rPr>
                <w:rFonts w:ascii="宋体"/>
                <w:vanish/>
              </w:rPr>
            </w:pPr>
          </w:p>
        </w:tc>
        <w:tc>
          <w:tcPr>
            <w:tcW w:w="0" w:type="auto"/>
            <w:gridSpan w:val="3"/>
            <w:shd w:val="clear" w:color="auto" w:fill="auto"/>
            <w:vAlign w:val="bottom"/>
          </w:tcPr>
          <w:p w14:paraId="392CB7C4" w14:textId="77777777" w:rsidR="00980E5F" w:rsidRDefault="00980E5F">
            <w:pPr>
              <w:rPr>
                <w:rFonts w:ascii="宋体"/>
                <w:vanish/>
              </w:rPr>
            </w:pPr>
          </w:p>
        </w:tc>
        <w:tc>
          <w:tcPr>
            <w:tcW w:w="0" w:type="auto"/>
            <w:gridSpan w:val="3"/>
            <w:shd w:val="clear" w:color="auto" w:fill="auto"/>
            <w:vAlign w:val="bottom"/>
          </w:tcPr>
          <w:p w14:paraId="392CB7C5" w14:textId="77777777" w:rsidR="00980E5F" w:rsidRDefault="00980E5F">
            <w:pPr>
              <w:rPr>
                <w:rFonts w:ascii="宋体"/>
                <w:vanish/>
              </w:rPr>
            </w:pPr>
          </w:p>
        </w:tc>
        <w:tc>
          <w:tcPr>
            <w:tcW w:w="0" w:type="auto"/>
            <w:gridSpan w:val="3"/>
            <w:shd w:val="clear" w:color="auto" w:fill="auto"/>
            <w:vAlign w:val="bottom"/>
          </w:tcPr>
          <w:p w14:paraId="392CB7C6" w14:textId="77777777" w:rsidR="00980E5F" w:rsidRDefault="00980E5F">
            <w:pPr>
              <w:rPr>
                <w:rFonts w:ascii="宋体"/>
                <w:vanish/>
              </w:rPr>
            </w:pPr>
          </w:p>
        </w:tc>
      </w:tr>
      <w:tr w:rsidR="00980E5F" w14:paraId="392CB7CC" w14:textId="77777777">
        <w:trPr>
          <w:hidden/>
        </w:trPr>
        <w:tc>
          <w:tcPr>
            <w:tcW w:w="0" w:type="auto"/>
            <w:gridSpan w:val="3"/>
            <w:shd w:val="clear" w:color="auto" w:fill="auto"/>
            <w:vAlign w:val="bottom"/>
          </w:tcPr>
          <w:p w14:paraId="392CB7C8" w14:textId="77777777" w:rsidR="00980E5F" w:rsidRDefault="00980E5F">
            <w:pPr>
              <w:rPr>
                <w:rFonts w:ascii="宋体"/>
                <w:vanish/>
              </w:rPr>
            </w:pPr>
          </w:p>
        </w:tc>
        <w:tc>
          <w:tcPr>
            <w:tcW w:w="0" w:type="auto"/>
            <w:gridSpan w:val="3"/>
            <w:shd w:val="clear" w:color="auto" w:fill="auto"/>
            <w:vAlign w:val="bottom"/>
          </w:tcPr>
          <w:p w14:paraId="392CB7C9" w14:textId="77777777" w:rsidR="00980E5F" w:rsidRDefault="00980E5F">
            <w:pPr>
              <w:rPr>
                <w:rFonts w:ascii="宋体"/>
                <w:vanish/>
              </w:rPr>
            </w:pPr>
          </w:p>
        </w:tc>
        <w:tc>
          <w:tcPr>
            <w:tcW w:w="0" w:type="auto"/>
            <w:gridSpan w:val="3"/>
            <w:shd w:val="clear" w:color="auto" w:fill="auto"/>
            <w:vAlign w:val="bottom"/>
          </w:tcPr>
          <w:p w14:paraId="392CB7CA" w14:textId="77777777" w:rsidR="00980E5F" w:rsidRDefault="00980E5F">
            <w:pPr>
              <w:rPr>
                <w:rFonts w:ascii="宋体"/>
                <w:vanish/>
              </w:rPr>
            </w:pPr>
          </w:p>
        </w:tc>
        <w:tc>
          <w:tcPr>
            <w:tcW w:w="0" w:type="auto"/>
            <w:gridSpan w:val="3"/>
            <w:shd w:val="clear" w:color="auto" w:fill="auto"/>
            <w:vAlign w:val="bottom"/>
          </w:tcPr>
          <w:p w14:paraId="392CB7CB" w14:textId="77777777" w:rsidR="00980E5F" w:rsidRDefault="00980E5F">
            <w:pPr>
              <w:rPr>
                <w:rFonts w:ascii="宋体"/>
                <w:vanish/>
              </w:rPr>
            </w:pPr>
          </w:p>
        </w:tc>
      </w:tr>
      <w:tr w:rsidR="00980E5F" w14:paraId="392CB7D1" w14:textId="77777777">
        <w:trPr>
          <w:hidden/>
        </w:trPr>
        <w:tc>
          <w:tcPr>
            <w:tcW w:w="0" w:type="auto"/>
            <w:gridSpan w:val="3"/>
            <w:shd w:val="clear" w:color="auto" w:fill="auto"/>
            <w:vAlign w:val="bottom"/>
          </w:tcPr>
          <w:p w14:paraId="392CB7CD" w14:textId="77777777" w:rsidR="00980E5F" w:rsidRDefault="00980E5F">
            <w:pPr>
              <w:rPr>
                <w:rFonts w:ascii="宋体"/>
                <w:vanish/>
              </w:rPr>
            </w:pPr>
          </w:p>
        </w:tc>
        <w:tc>
          <w:tcPr>
            <w:tcW w:w="0" w:type="auto"/>
            <w:gridSpan w:val="3"/>
            <w:shd w:val="clear" w:color="auto" w:fill="auto"/>
            <w:vAlign w:val="bottom"/>
          </w:tcPr>
          <w:p w14:paraId="392CB7CE" w14:textId="77777777" w:rsidR="00980E5F" w:rsidRDefault="00980E5F">
            <w:pPr>
              <w:rPr>
                <w:rFonts w:ascii="宋体"/>
                <w:vanish/>
              </w:rPr>
            </w:pPr>
          </w:p>
        </w:tc>
        <w:tc>
          <w:tcPr>
            <w:tcW w:w="0" w:type="auto"/>
            <w:gridSpan w:val="3"/>
            <w:shd w:val="clear" w:color="auto" w:fill="auto"/>
            <w:vAlign w:val="bottom"/>
          </w:tcPr>
          <w:p w14:paraId="392CB7CF" w14:textId="77777777" w:rsidR="00980E5F" w:rsidRDefault="00980E5F">
            <w:pPr>
              <w:rPr>
                <w:rFonts w:ascii="宋体"/>
                <w:vanish/>
              </w:rPr>
            </w:pPr>
          </w:p>
        </w:tc>
        <w:tc>
          <w:tcPr>
            <w:tcW w:w="0" w:type="auto"/>
            <w:gridSpan w:val="3"/>
            <w:shd w:val="clear" w:color="auto" w:fill="auto"/>
            <w:vAlign w:val="bottom"/>
          </w:tcPr>
          <w:p w14:paraId="392CB7D0" w14:textId="77777777" w:rsidR="00980E5F" w:rsidRDefault="00980E5F">
            <w:pPr>
              <w:rPr>
                <w:rFonts w:ascii="宋体"/>
                <w:vanish/>
              </w:rPr>
            </w:pPr>
          </w:p>
        </w:tc>
      </w:tr>
      <w:tr w:rsidR="00980E5F" w14:paraId="392CB7D6" w14:textId="77777777">
        <w:trPr>
          <w:hidden/>
        </w:trPr>
        <w:tc>
          <w:tcPr>
            <w:tcW w:w="0" w:type="auto"/>
            <w:gridSpan w:val="3"/>
            <w:shd w:val="clear" w:color="auto" w:fill="auto"/>
            <w:vAlign w:val="bottom"/>
          </w:tcPr>
          <w:p w14:paraId="392CB7D2" w14:textId="77777777" w:rsidR="00980E5F" w:rsidRDefault="00980E5F">
            <w:pPr>
              <w:rPr>
                <w:rFonts w:ascii="宋体"/>
                <w:vanish/>
              </w:rPr>
            </w:pPr>
          </w:p>
        </w:tc>
        <w:tc>
          <w:tcPr>
            <w:tcW w:w="0" w:type="auto"/>
            <w:gridSpan w:val="3"/>
            <w:shd w:val="clear" w:color="auto" w:fill="auto"/>
            <w:vAlign w:val="bottom"/>
          </w:tcPr>
          <w:p w14:paraId="392CB7D3" w14:textId="77777777" w:rsidR="00980E5F" w:rsidRDefault="00980E5F">
            <w:pPr>
              <w:rPr>
                <w:rFonts w:ascii="宋体"/>
                <w:vanish/>
              </w:rPr>
            </w:pPr>
          </w:p>
        </w:tc>
        <w:tc>
          <w:tcPr>
            <w:tcW w:w="0" w:type="auto"/>
            <w:gridSpan w:val="3"/>
            <w:shd w:val="clear" w:color="auto" w:fill="auto"/>
            <w:vAlign w:val="bottom"/>
          </w:tcPr>
          <w:p w14:paraId="392CB7D4" w14:textId="77777777" w:rsidR="00980E5F" w:rsidRDefault="00980E5F">
            <w:pPr>
              <w:rPr>
                <w:rFonts w:ascii="宋体"/>
                <w:vanish/>
              </w:rPr>
            </w:pPr>
          </w:p>
        </w:tc>
        <w:tc>
          <w:tcPr>
            <w:tcW w:w="0" w:type="auto"/>
            <w:gridSpan w:val="3"/>
            <w:shd w:val="clear" w:color="auto" w:fill="auto"/>
            <w:vAlign w:val="bottom"/>
          </w:tcPr>
          <w:p w14:paraId="392CB7D5" w14:textId="77777777" w:rsidR="00980E5F" w:rsidRDefault="00980E5F">
            <w:pPr>
              <w:rPr>
                <w:rFonts w:ascii="宋体"/>
                <w:vanish/>
              </w:rPr>
            </w:pPr>
          </w:p>
        </w:tc>
      </w:tr>
      <w:tr w:rsidR="00980E5F" w14:paraId="392CB7DB" w14:textId="77777777">
        <w:trPr>
          <w:hidden/>
        </w:trPr>
        <w:tc>
          <w:tcPr>
            <w:tcW w:w="0" w:type="auto"/>
            <w:gridSpan w:val="3"/>
            <w:shd w:val="clear" w:color="auto" w:fill="auto"/>
            <w:vAlign w:val="bottom"/>
          </w:tcPr>
          <w:p w14:paraId="392CB7D7" w14:textId="77777777" w:rsidR="00980E5F" w:rsidRDefault="00980E5F">
            <w:pPr>
              <w:rPr>
                <w:rFonts w:ascii="宋体"/>
                <w:vanish/>
              </w:rPr>
            </w:pPr>
          </w:p>
        </w:tc>
        <w:tc>
          <w:tcPr>
            <w:tcW w:w="0" w:type="auto"/>
            <w:gridSpan w:val="3"/>
            <w:shd w:val="clear" w:color="auto" w:fill="auto"/>
            <w:vAlign w:val="bottom"/>
          </w:tcPr>
          <w:p w14:paraId="392CB7D8" w14:textId="77777777" w:rsidR="00980E5F" w:rsidRDefault="00980E5F">
            <w:pPr>
              <w:rPr>
                <w:rFonts w:ascii="宋体"/>
                <w:vanish/>
              </w:rPr>
            </w:pPr>
          </w:p>
        </w:tc>
        <w:tc>
          <w:tcPr>
            <w:tcW w:w="0" w:type="auto"/>
            <w:gridSpan w:val="3"/>
            <w:shd w:val="clear" w:color="auto" w:fill="auto"/>
            <w:vAlign w:val="bottom"/>
          </w:tcPr>
          <w:p w14:paraId="392CB7D9" w14:textId="77777777" w:rsidR="00980E5F" w:rsidRDefault="00980E5F">
            <w:pPr>
              <w:rPr>
                <w:rFonts w:ascii="宋体"/>
                <w:vanish/>
              </w:rPr>
            </w:pPr>
          </w:p>
        </w:tc>
        <w:tc>
          <w:tcPr>
            <w:tcW w:w="0" w:type="auto"/>
            <w:gridSpan w:val="3"/>
            <w:shd w:val="clear" w:color="auto" w:fill="auto"/>
            <w:vAlign w:val="bottom"/>
          </w:tcPr>
          <w:p w14:paraId="392CB7DA" w14:textId="77777777" w:rsidR="00980E5F" w:rsidRDefault="00980E5F">
            <w:pPr>
              <w:rPr>
                <w:rFonts w:ascii="宋体"/>
                <w:vanish/>
              </w:rPr>
            </w:pPr>
          </w:p>
        </w:tc>
      </w:tr>
      <w:tr w:rsidR="00980E5F" w14:paraId="392CB7E0" w14:textId="77777777">
        <w:trPr>
          <w:hidden/>
        </w:trPr>
        <w:tc>
          <w:tcPr>
            <w:tcW w:w="0" w:type="auto"/>
            <w:gridSpan w:val="3"/>
            <w:shd w:val="clear" w:color="auto" w:fill="auto"/>
            <w:vAlign w:val="bottom"/>
          </w:tcPr>
          <w:p w14:paraId="392CB7DC" w14:textId="77777777" w:rsidR="00980E5F" w:rsidRDefault="00980E5F">
            <w:pPr>
              <w:rPr>
                <w:rFonts w:ascii="宋体"/>
                <w:vanish/>
              </w:rPr>
            </w:pPr>
          </w:p>
        </w:tc>
        <w:tc>
          <w:tcPr>
            <w:tcW w:w="0" w:type="auto"/>
            <w:gridSpan w:val="3"/>
            <w:shd w:val="clear" w:color="auto" w:fill="auto"/>
            <w:vAlign w:val="bottom"/>
          </w:tcPr>
          <w:p w14:paraId="392CB7DD" w14:textId="77777777" w:rsidR="00980E5F" w:rsidRDefault="00980E5F">
            <w:pPr>
              <w:rPr>
                <w:rFonts w:ascii="宋体"/>
                <w:vanish/>
              </w:rPr>
            </w:pPr>
          </w:p>
        </w:tc>
        <w:tc>
          <w:tcPr>
            <w:tcW w:w="0" w:type="auto"/>
            <w:gridSpan w:val="3"/>
            <w:shd w:val="clear" w:color="auto" w:fill="auto"/>
            <w:vAlign w:val="bottom"/>
          </w:tcPr>
          <w:p w14:paraId="392CB7DE" w14:textId="77777777" w:rsidR="00980E5F" w:rsidRDefault="00980E5F">
            <w:pPr>
              <w:rPr>
                <w:rFonts w:ascii="宋体"/>
                <w:vanish/>
              </w:rPr>
            </w:pPr>
          </w:p>
        </w:tc>
        <w:tc>
          <w:tcPr>
            <w:tcW w:w="0" w:type="auto"/>
            <w:gridSpan w:val="3"/>
            <w:shd w:val="clear" w:color="auto" w:fill="auto"/>
            <w:vAlign w:val="bottom"/>
          </w:tcPr>
          <w:p w14:paraId="392CB7DF" w14:textId="77777777" w:rsidR="00980E5F" w:rsidRDefault="00980E5F">
            <w:pPr>
              <w:rPr>
                <w:rFonts w:ascii="宋体"/>
                <w:vanish/>
              </w:rPr>
            </w:pPr>
          </w:p>
        </w:tc>
      </w:tr>
      <w:tr w:rsidR="00980E5F" w14:paraId="392CB7E5" w14:textId="77777777">
        <w:trPr>
          <w:hidden/>
        </w:trPr>
        <w:tc>
          <w:tcPr>
            <w:tcW w:w="0" w:type="auto"/>
            <w:gridSpan w:val="3"/>
            <w:shd w:val="clear" w:color="auto" w:fill="auto"/>
            <w:vAlign w:val="bottom"/>
          </w:tcPr>
          <w:p w14:paraId="392CB7E1" w14:textId="77777777" w:rsidR="00980E5F" w:rsidRDefault="00980E5F">
            <w:pPr>
              <w:rPr>
                <w:rFonts w:ascii="宋体"/>
                <w:vanish/>
              </w:rPr>
            </w:pPr>
          </w:p>
        </w:tc>
        <w:tc>
          <w:tcPr>
            <w:tcW w:w="0" w:type="auto"/>
            <w:gridSpan w:val="3"/>
            <w:shd w:val="clear" w:color="auto" w:fill="auto"/>
            <w:vAlign w:val="bottom"/>
          </w:tcPr>
          <w:p w14:paraId="392CB7E2" w14:textId="77777777" w:rsidR="00980E5F" w:rsidRDefault="00980E5F">
            <w:pPr>
              <w:rPr>
                <w:rFonts w:ascii="宋体"/>
                <w:vanish/>
              </w:rPr>
            </w:pPr>
          </w:p>
        </w:tc>
        <w:tc>
          <w:tcPr>
            <w:tcW w:w="0" w:type="auto"/>
            <w:gridSpan w:val="3"/>
            <w:shd w:val="clear" w:color="auto" w:fill="auto"/>
            <w:vAlign w:val="bottom"/>
          </w:tcPr>
          <w:p w14:paraId="392CB7E3" w14:textId="77777777" w:rsidR="00980E5F" w:rsidRDefault="00980E5F">
            <w:pPr>
              <w:rPr>
                <w:rFonts w:ascii="宋体"/>
                <w:vanish/>
              </w:rPr>
            </w:pPr>
          </w:p>
        </w:tc>
        <w:tc>
          <w:tcPr>
            <w:tcW w:w="0" w:type="auto"/>
            <w:gridSpan w:val="3"/>
            <w:shd w:val="clear" w:color="auto" w:fill="auto"/>
            <w:vAlign w:val="bottom"/>
          </w:tcPr>
          <w:p w14:paraId="392CB7E4" w14:textId="77777777" w:rsidR="00980E5F" w:rsidRDefault="00980E5F">
            <w:pPr>
              <w:rPr>
                <w:rFonts w:ascii="宋体"/>
                <w:vanish/>
              </w:rPr>
            </w:pPr>
          </w:p>
        </w:tc>
      </w:tr>
      <w:tr w:rsidR="00980E5F" w14:paraId="392CB7EA" w14:textId="77777777">
        <w:trPr>
          <w:hidden/>
        </w:trPr>
        <w:tc>
          <w:tcPr>
            <w:tcW w:w="0" w:type="auto"/>
            <w:gridSpan w:val="3"/>
            <w:shd w:val="clear" w:color="auto" w:fill="auto"/>
            <w:vAlign w:val="bottom"/>
          </w:tcPr>
          <w:p w14:paraId="392CB7E6" w14:textId="77777777" w:rsidR="00980E5F" w:rsidRDefault="00980E5F">
            <w:pPr>
              <w:rPr>
                <w:rFonts w:ascii="宋体"/>
                <w:vanish/>
              </w:rPr>
            </w:pPr>
          </w:p>
        </w:tc>
        <w:tc>
          <w:tcPr>
            <w:tcW w:w="0" w:type="auto"/>
            <w:gridSpan w:val="3"/>
            <w:shd w:val="clear" w:color="auto" w:fill="auto"/>
            <w:vAlign w:val="bottom"/>
          </w:tcPr>
          <w:p w14:paraId="392CB7E7" w14:textId="77777777" w:rsidR="00980E5F" w:rsidRDefault="00980E5F">
            <w:pPr>
              <w:rPr>
                <w:rFonts w:ascii="宋体"/>
                <w:vanish/>
              </w:rPr>
            </w:pPr>
          </w:p>
        </w:tc>
        <w:tc>
          <w:tcPr>
            <w:tcW w:w="0" w:type="auto"/>
            <w:gridSpan w:val="3"/>
            <w:shd w:val="clear" w:color="auto" w:fill="auto"/>
            <w:vAlign w:val="bottom"/>
          </w:tcPr>
          <w:p w14:paraId="392CB7E8" w14:textId="77777777" w:rsidR="00980E5F" w:rsidRDefault="00980E5F">
            <w:pPr>
              <w:rPr>
                <w:rFonts w:ascii="宋体"/>
                <w:vanish/>
              </w:rPr>
            </w:pPr>
          </w:p>
        </w:tc>
        <w:tc>
          <w:tcPr>
            <w:tcW w:w="0" w:type="auto"/>
            <w:gridSpan w:val="3"/>
            <w:shd w:val="clear" w:color="auto" w:fill="auto"/>
            <w:vAlign w:val="bottom"/>
          </w:tcPr>
          <w:p w14:paraId="392CB7E9" w14:textId="77777777" w:rsidR="00980E5F" w:rsidRDefault="00980E5F">
            <w:pPr>
              <w:rPr>
                <w:rFonts w:ascii="宋体"/>
                <w:vanish/>
              </w:rPr>
            </w:pPr>
          </w:p>
        </w:tc>
      </w:tr>
      <w:tr w:rsidR="00980E5F" w14:paraId="392CB7EF" w14:textId="77777777">
        <w:trPr>
          <w:hidden/>
        </w:trPr>
        <w:tc>
          <w:tcPr>
            <w:tcW w:w="0" w:type="auto"/>
            <w:gridSpan w:val="3"/>
            <w:shd w:val="clear" w:color="auto" w:fill="auto"/>
            <w:vAlign w:val="bottom"/>
          </w:tcPr>
          <w:p w14:paraId="392CB7EB" w14:textId="77777777" w:rsidR="00980E5F" w:rsidRDefault="00980E5F">
            <w:pPr>
              <w:rPr>
                <w:rFonts w:ascii="宋体"/>
                <w:vanish/>
              </w:rPr>
            </w:pPr>
          </w:p>
        </w:tc>
        <w:tc>
          <w:tcPr>
            <w:tcW w:w="0" w:type="auto"/>
            <w:gridSpan w:val="3"/>
            <w:shd w:val="clear" w:color="auto" w:fill="auto"/>
            <w:vAlign w:val="bottom"/>
          </w:tcPr>
          <w:p w14:paraId="392CB7EC" w14:textId="77777777" w:rsidR="00980E5F" w:rsidRDefault="00980E5F">
            <w:pPr>
              <w:rPr>
                <w:rFonts w:ascii="宋体"/>
                <w:vanish/>
              </w:rPr>
            </w:pPr>
          </w:p>
        </w:tc>
        <w:tc>
          <w:tcPr>
            <w:tcW w:w="0" w:type="auto"/>
            <w:gridSpan w:val="3"/>
            <w:shd w:val="clear" w:color="auto" w:fill="auto"/>
            <w:vAlign w:val="bottom"/>
          </w:tcPr>
          <w:p w14:paraId="392CB7ED" w14:textId="77777777" w:rsidR="00980E5F" w:rsidRDefault="00980E5F">
            <w:pPr>
              <w:rPr>
                <w:rFonts w:ascii="宋体"/>
                <w:vanish/>
              </w:rPr>
            </w:pPr>
          </w:p>
        </w:tc>
        <w:tc>
          <w:tcPr>
            <w:tcW w:w="0" w:type="auto"/>
            <w:gridSpan w:val="3"/>
            <w:shd w:val="clear" w:color="auto" w:fill="auto"/>
            <w:vAlign w:val="bottom"/>
          </w:tcPr>
          <w:p w14:paraId="392CB7EE" w14:textId="77777777" w:rsidR="00980E5F" w:rsidRDefault="00980E5F">
            <w:pPr>
              <w:rPr>
                <w:rFonts w:ascii="宋体"/>
                <w:vanish/>
              </w:rPr>
            </w:pPr>
          </w:p>
        </w:tc>
      </w:tr>
      <w:tr w:rsidR="00980E5F" w14:paraId="392CB7F4" w14:textId="77777777">
        <w:trPr>
          <w:hidden/>
        </w:trPr>
        <w:tc>
          <w:tcPr>
            <w:tcW w:w="0" w:type="auto"/>
            <w:gridSpan w:val="3"/>
            <w:shd w:val="clear" w:color="auto" w:fill="auto"/>
            <w:vAlign w:val="bottom"/>
          </w:tcPr>
          <w:p w14:paraId="392CB7F0" w14:textId="77777777" w:rsidR="00980E5F" w:rsidRDefault="00980E5F">
            <w:pPr>
              <w:rPr>
                <w:rFonts w:ascii="宋体"/>
                <w:vanish/>
              </w:rPr>
            </w:pPr>
          </w:p>
        </w:tc>
        <w:tc>
          <w:tcPr>
            <w:tcW w:w="0" w:type="auto"/>
            <w:gridSpan w:val="3"/>
            <w:shd w:val="clear" w:color="auto" w:fill="auto"/>
            <w:vAlign w:val="bottom"/>
          </w:tcPr>
          <w:p w14:paraId="392CB7F1" w14:textId="77777777" w:rsidR="00980E5F" w:rsidRDefault="00980E5F">
            <w:pPr>
              <w:rPr>
                <w:rFonts w:ascii="宋体"/>
                <w:vanish/>
              </w:rPr>
            </w:pPr>
          </w:p>
        </w:tc>
        <w:tc>
          <w:tcPr>
            <w:tcW w:w="0" w:type="auto"/>
            <w:gridSpan w:val="3"/>
            <w:shd w:val="clear" w:color="auto" w:fill="auto"/>
            <w:vAlign w:val="bottom"/>
          </w:tcPr>
          <w:p w14:paraId="392CB7F2" w14:textId="77777777" w:rsidR="00980E5F" w:rsidRDefault="00980E5F">
            <w:pPr>
              <w:rPr>
                <w:rFonts w:ascii="宋体"/>
                <w:vanish/>
              </w:rPr>
            </w:pPr>
          </w:p>
        </w:tc>
        <w:tc>
          <w:tcPr>
            <w:tcW w:w="0" w:type="auto"/>
            <w:gridSpan w:val="3"/>
            <w:shd w:val="clear" w:color="auto" w:fill="auto"/>
            <w:vAlign w:val="bottom"/>
          </w:tcPr>
          <w:p w14:paraId="392CB7F3" w14:textId="77777777" w:rsidR="00980E5F" w:rsidRDefault="00980E5F">
            <w:pPr>
              <w:rPr>
                <w:rFonts w:ascii="宋体"/>
                <w:vanish/>
              </w:rPr>
            </w:pPr>
          </w:p>
        </w:tc>
      </w:tr>
      <w:tr w:rsidR="00980E5F" w14:paraId="392CB7F9" w14:textId="77777777">
        <w:trPr>
          <w:hidden/>
        </w:trPr>
        <w:tc>
          <w:tcPr>
            <w:tcW w:w="0" w:type="auto"/>
            <w:gridSpan w:val="3"/>
            <w:shd w:val="clear" w:color="auto" w:fill="auto"/>
            <w:vAlign w:val="bottom"/>
          </w:tcPr>
          <w:p w14:paraId="392CB7F5" w14:textId="77777777" w:rsidR="00980E5F" w:rsidRDefault="00980E5F">
            <w:pPr>
              <w:rPr>
                <w:rFonts w:ascii="宋体"/>
                <w:vanish/>
              </w:rPr>
            </w:pPr>
          </w:p>
        </w:tc>
        <w:tc>
          <w:tcPr>
            <w:tcW w:w="0" w:type="auto"/>
            <w:gridSpan w:val="3"/>
            <w:shd w:val="clear" w:color="auto" w:fill="auto"/>
            <w:vAlign w:val="bottom"/>
          </w:tcPr>
          <w:p w14:paraId="392CB7F6" w14:textId="77777777" w:rsidR="00980E5F" w:rsidRDefault="00980E5F">
            <w:pPr>
              <w:rPr>
                <w:rFonts w:ascii="宋体"/>
                <w:vanish/>
              </w:rPr>
            </w:pPr>
          </w:p>
        </w:tc>
        <w:tc>
          <w:tcPr>
            <w:tcW w:w="0" w:type="auto"/>
            <w:gridSpan w:val="3"/>
            <w:shd w:val="clear" w:color="auto" w:fill="auto"/>
            <w:vAlign w:val="bottom"/>
          </w:tcPr>
          <w:p w14:paraId="392CB7F7" w14:textId="77777777" w:rsidR="00980E5F" w:rsidRDefault="00980E5F">
            <w:pPr>
              <w:rPr>
                <w:rFonts w:ascii="宋体"/>
                <w:vanish/>
              </w:rPr>
            </w:pPr>
          </w:p>
        </w:tc>
        <w:tc>
          <w:tcPr>
            <w:tcW w:w="0" w:type="auto"/>
            <w:gridSpan w:val="3"/>
            <w:shd w:val="clear" w:color="auto" w:fill="auto"/>
            <w:vAlign w:val="bottom"/>
          </w:tcPr>
          <w:p w14:paraId="392CB7F8" w14:textId="77777777" w:rsidR="00980E5F" w:rsidRDefault="00980E5F">
            <w:pPr>
              <w:rPr>
                <w:rFonts w:ascii="宋体"/>
                <w:vanish/>
              </w:rPr>
            </w:pPr>
          </w:p>
        </w:tc>
      </w:tr>
      <w:tr w:rsidR="00980E5F" w14:paraId="392CB7FE" w14:textId="77777777">
        <w:trPr>
          <w:hidden/>
        </w:trPr>
        <w:tc>
          <w:tcPr>
            <w:tcW w:w="0" w:type="auto"/>
            <w:gridSpan w:val="3"/>
            <w:shd w:val="clear" w:color="auto" w:fill="auto"/>
            <w:vAlign w:val="bottom"/>
          </w:tcPr>
          <w:p w14:paraId="392CB7FA" w14:textId="77777777" w:rsidR="00980E5F" w:rsidRDefault="00980E5F">
            <w:pPr>
              <w:rPr>
                <w:rFonts w:ascii="宋体"/>
                <w:vanish/>
              </w:rPr>
            </w:pPr>
          </w:p>
        </w:tc>
        <w:tc>
          <w:tcPr>
            <w:tcW w:w="0" w:type="auto"/>
            <w:gridSpan w:val="3"/>
            <w:shd w:val="clear" w:color="auto" w:fill="auto"/>
            <w:vAlign w:val="bottom"/>
          </w:tcPr>
          <w:p w14:paraId="392CB7FB" w14:textId="77777777" w:rsidR="00980E5F" w:rsidRDefault="00980E5F">
            <w:pPr>
              <w:rPr>
                <w:rFonts w:ascii="宋体"/>
                <w:vanish/>
              </w:rPr>
            </w:pPr>
          </w:p>
        </w:tc>
        <w:tc>
          <w:tcPr>
            <w:tcW w:w="0" w:type="auto"/>
            <w:gridSpan w:val="3"/>
            <w:shd w:val="clear" w:color="auto" w:fill="auto"/>
            <w:vAlign w:val="bottom"/>
          </w:tcPr>
          <w:p w14:paraId="392CB7FC" w14:textId="77777777" w:rsidR="00980E5F" w:rsidRDefault="00980E5F">
            <w:pPr>
              <w:rPr>
                <w:rFonts w:ascii="宋体"/>
                <w:vanish/>
              </w:rPr>
            </w:pPr>
          </w:p>
        </w:tc>
        <w:tc>
          <w:tcPr>
            <w:tcW w:w="0" w:type="auto"/>
            <w:gridSpan w:val="3"/>
            <w:shd w:val="clear" w:color="auto" w:fill="auto"/>
            <w:vAlign w:val="bottom"/>
          </w:tcPr>
          <w:p w14:paraId="392CB7FD" w14:textId="77777777" w:rsidR="00980E5F" w:rsidRDefault="00980E5F">
            <w:pPr>
              <w:rPr>
                <w:rFonts w:ascii="宋体"/>
                <w:vanish/>
              </w:rPr>
            </w:pPr>
          </w:p>
        </w:tc>
      </w:tr>
      <w:tr w:rsidR="00980E5F" w14:paraId="392CB803" w14:textId="77777777">
        <w:trPr>
          <w:hidden/>
        </w:trPr>
        <w:tc>
          <w:tcPr>
            <w:tcW w:w="0" w:type="auto"/>
            <w:gridSpan w:val="3"/>
            <w:shd w:val="clear" w:color="auto" w:fill="auto"/>
            <w:vAlign w:val="bottom"/>
          </w:tcPr>
          <w:p w14:paraId="392CB7FF" w14:textId="77777777" w:rsidR="00980E5F" w:rsidRDefault="00980E5F">
            <w:pPr>
              <w:rPr>
                <w:rFonts w:ascii="宋体"/>
                <w:vanish/>
              </w:rPr>
            </w:pPr>
          </w:p>
        </w:tc>
        <w:tc>
          <w:tcPr>
            <w:tcW w:w="0" w:type="auto"/>
            <w:gridSpan w:val="3"/>
            <w:shd w:val="clear" w:color="auto" w:fill="auto"/>
            <w:vAlign w:val="bottom"/>
          </w:tcPr>
          <w:p w14:paraId="392CB800" w14:textId="77777777" w:rsidR="00980E5F" w:rsidRDefault="00980E5F">
            <w:pPr>
              <w:rPr>
                <w:rFonts w:ascii="宋体"/>
                <w:vanish/>
              </w:rPr>
            </w:pPr>
          </w:p>
        </w:tc>
        <w:tc>
          <w:tcPr>
            <w:tcW w:w="0" w:type="auto"/>
            <w:gridSpan w:val="3"/>
            <w:shd w:val="clear" w:color="auto" w:fill="auto"/>
            <w:vAlign w:val="bottom"/>
          </w:tcPr>
          <w:p w14:paraId="392CB801" w14:textId="77777777" w:rsidR="00980E5F" w:rsidRDefault="00980E5F">
            <w:pPr>
              <w:rPr>
                <w:rFonts w:ascii="宋体"/>
                <w:vanish/>
              </w:rPr>
            </w:pPr>
          </w:p>
        </w:tc>
        <w:tc>
          <w:tcPr>
            <w:tcW w:w="0" w:type="auto"/>
            <w:gridSpan w:val="3"/>
            <w:shd w:val="clear" w:color="auto" w:fill="auto"/>
            <w:vAlign w:val="bottom"/>
          </w:tcPr>
          <w:p w14:paraId="392CB802" w14:textId="77777777" w:rsidR="00980E5F" w:rsidRDefault="00980E5F">
            <w:pPr>
              <w:rPr>
                <w:rFonts w:ascii="宋体"/>
                <w:vanish/>
              </w:rPr>
            </w:pPr>
          </w:p>
        </w:tc>
      </w:tr>
      <w:tr w:rsidR="00980E5F" w14:paraId="392CB808" w14:textId="77777777">
        <w:trPr>
          <w:hidden/>
        </w:trPr>
        <w:tc>
          <w:tcPr>
            <w:tcW w:w="0" w:type="auto"/>
            <w:gridSpan w:val="3"/>
            <w:shd w:val="clear" w:color="auto" w:fill="auto"/>
            <w:vAlign w:val="bottom"/>
          </w:tcPr>
          <w:p w14:paraId="392CB804" w14:textId="77777777" w:rsidR="00980E5F" w:rsidRDefault="00980E5F">
            <w:pPr>
              <w:rPr>
                <w:rFonts w:ascii="宋体"/>
                <w:vanish/>
              </w:rPr>
            </w:pPr>
          </w:p>
        </w:tc>
        <w:tc>
          <w:tcPr>
            <w:tcW w:w="0" w:type="auto"/>
            <w:gridSpan w:val="3"/>
            <w:shd w:val="clear" w:color="auto" w:fill="auto"/>
            <w:vAlign w:val="bottom"/>
          </w:tcPr>
          <w:p w14:paraId="392CB805" w14:textId="77777777" w:rsidR="00980E5F" w:rsidRDefault="00980E5F">
            <w:pPr>
              <w:rPr>
                <w:rFonts w:ascii="宋体"/>
                <w:vanish/>
              </w:rPr>
            </w:pPr>
          </w:p>
        </w:tc>
        <w:tc>
          <w:tcPr>
            <w:tcW w:w="0" w:type="auto"/>
            <w:gridSpan w:val="3"/>
            <w:shd w:val="clear" w:color="auto" w:fill="auto"/>
            <w:vAlign w:val="bottom"/>
          </w:tcPr>
          <w:p w14:paraId="392CB806" w14:textId="77777777" w:rsidR="00980E5F" w:rsidRDefault="00980E5F">
            <w:pPr>
              <w:rPr>
                <w:rFonts w:ascii="宋体"/>
                <w:vanish/>
              </w:rPr>
            </w:pPr>
          </w:p>
        </w:tc>
        <w:tc>
          <w:tcPr>
            <w:tcW w:w="0" w:type="auto"/>
            <w:gridSpan w:val="3"/>
            <w:shd w:val="clear" w:color="auto" w:fill="auto"/>
            <w:vAlign w:val="bottom"/>
          </w:tcPr>
          <w:p w14:paraId="392CB807" w14:textId="77777777" w:rsidR="00980E5F" w:rsidRDefault="00980E5F">
            <w:pPr>
              <w:rPr>
                <w:rFonts w:ascii="宋体"/>
                <w:vanish/>
              </w:rPr>
            </w:pPr>
          </w:p>
        </w:tc>
      </w:tr>
      <w:tr w:rsidR="00980E5F" w14:paraId="392CB80D" w14:textId="77777777">
        <w:trPr>
          <w:hidden/>
        </w:trPr>
        <w:tc>
          <w:tcPr>
            <w:tcW w:w="0" w:type="auto"/>
            <w:gridSpan w:val="3"/>
            <w:shd w:val="clear" w:color="auto" w:fill="auto"/>
            <w:vAlign w:val="bottom"/>
          </w:tcPr>
          <w:p w14:paraId="392CB809" w14:textId="77777777" w:rsidR="00980E5F" w:rsidRDefault="00980E5F">
            <w:pPr>
              <w:rPr>
                <w:rFonts w:ascii="宋体"/>
                <w:vanish/>
              </w:rPr>
            </w:pPr>
          </w:p>
        </w:tc>
        <w:tc>
          <w:tcPr>
            <w:tcW w:w="0" w:type="auto"/>
            <w:gridSpan w:val="3"/>
            <w:shd w:val="clear" w:color="auto" w:fill="auto"/>
            <w:vAlign w:val="bottom"/>
          </w:tcPr>
          <w:p w14:paraId="392CB80A" w14:textId="77777777" w:rsidR="00980E5F" w:rsidRDefault="00980E5F">
            <w:pPr>
              <w:rPr>
                <w:rFonts w:ascii="宋体"/>
                <w:vanish/>
              </w:rPr>
            </w:pPr>
          </w:p>
        </w:tc>
        <w:tc>
          <w:tcPr>
            <w:tcW w:w="0" w:type="auto"/>
            <w:gridSpan w:val="3"/>
            <w:shd w:val="clear" w:color="auto" w:fill="auto"/>
            <w:vAlign w:val="bottom"/>
          </w:tcPr>
          <w:p w14:paraId="392CB80B" w14:textId="77777777" w:rsidR="00980E5F" w:rsidRDefault="00980E5F">
            <w:pPr>
              <w:rPr>
                <w:rFonts w:ascii="宋体"/>
                <w:vanish/>
              </w:rPr>
            </w:pPr>
          </w:p>
        </w:tc>
        <w:tc>
          <w:tcPr>
            <w:tcW w:w="0" w:type="auto"/>
            <w:gridSpan w:val="3"/>
            <w:shd w:val="clear" w:color="auto" w:fill="auto"/>
            <w:vAlign w:val="bottom"/>
          </w:tcPr>
          <w:p w14:paraId="392CB80C" w14:textId="77777777" w:rsidR="00980E5F" w:rsidRDefault="00980E5F">
            <w:pPr>
              <w:rPr>
                <w:rFonts w:ascii="宋体"/>
                <w:vanish/>
              </w:rPr>
            </w:pPr>
          </w:p>
        </w:tc>
      </w:tr>
      <w:tr w:rsidR="00980E5F" w14:paraId="392CB812" w14:textId="77777777">
        <w:trPr>
          <w:hidden/>
        </w:trPr>
        <w:tc>
          <w:tcPr>
            <w:tcW w:w="0" w:type="auto"/>
            <w:gridSpan w:val="3"/>
            <w:shd w:val="clear" w:color="auto" w:fill="auto"/>
            <w:vAlign w:val="bottom"/>
          </w:tcPr>
          <w:p w14:paraId="392CB80E" w14:textId="77777777" w:rsidR="00980E5F" w:rsidRDefault="00980E5F">
            <w:pPr>
              <w:rPr>
                <w:rFonts w:ascii="宋体"/>
                <w:vanish/>
              </w:rPr>
            </w:pPr>
          </w:p>
        </w:tc>
        <w:tc>
          <w:tcPr>
            <w:tcW w:w="0" w:type="auto"/>
            <w:gridSpan w:val="3"/>
            <w:shd w:val="clear" w:color="auto" w:fill="auto"/>
            <w:vAlign w:val="bottom"/>
          </w:tcPr>
          <w:p w14:paraId="392CB80F" w14:textId="77777777" w:rsidR="00980E5F" w:rsidRDefault="00980E5F">
            <w:pPr>
              <w:rPr>
                <w:rFonts w:ascii="宋体"/>
                <w:vanish/>
              </w:rPr>
            </w:pPr>
          </w:p>
        </w:tc>
        <w:tc>
          <w:tcPr>
            <w:tcW w:w="0" w:type="auto"/>
            <w:gridSpan w:val="3"/>
            <w:shd w:val="clear" w:color="auto" w:fill="auto"/>
            <w:vAlign w:val="bottom"/>
          </w:tcPr>
          <w:p w14:paraId="392CB810" w14:textId="77777777" w:rsidR="00980E5F" w:rsidRDefault="00980E5F">
            <w:pPr>
              <w:rPr>
                <w:rFonts w:ascii="宋体"/>
                <w:vanish/>
              </w:rPr>
            </w:pPr>
          </w:p>
        </w:tc>
        <w:tc>
          <w:tcPr>
            <w:tcW w:w="0" w:type="auto"/>
            <w:gridSpan w:val="3"/>
            <w:shd w:val="clear" w:color="auto" w:fill="auto"/>
            <w:vAlign w:val="bottom"/>
          </w:tcPr>
          <w:p w14:paraId="392CB811" w14:textId="77777777" w:rsidR="00980E5F" w:rsidRDefault="00980E5F">
            <w:pPr>
              <w:rPr>
                <w:rFonts w:ascii="宋体"/>
                <w:vanish/>
              </w:rPr>
            </w:pPr>
          </w:p>
        </w:tc>
      </w:tr>
      <w:tr w:rsidR="00980E5F" w14:paraId="392CB817" w14:textId="77777777">
        <w:trPr>
          <w:hidden/>
        </w:trPr>
        <w:tc>
          <w:tcPr>
            <w:tcW w:w="0" w:type="auto"/>
            <w:gridSpan w:val="3"/>
            <w:shd w:val="clear" w:color="auto" w:fill="auto"/>
            <w:vAlign w:val="bottom"/>
          </w:tcPr>
          <w:p w14:paraId="392CB813" w14:textId="77777777" w:rsidR="00980E5F" w:rsidRDefault="00980E5F">
            <w:pPr>
              <w:rPr>
                <w:rFonts w:ascii="宋体"/>
                <w:vanish/>
              </w:rPr>
            </w:pPr>
          </w:p>
        </w:tc>
        <w:tc>
          <w:tcPr>
            <w:tcW w:w="0" w:type="auto"/>
            <w:gridSpan w:val="3"/>
            <w:shd w:val="clear" w:color="auto" w:fill="auto"/>
            <w:vAlign w:val="bottom"/>
          </w:tcPr>
          <w:p w14:paraId="392CB814" w14:textId="77777777" w:rsidR="00980E5F" w:rsidRDefault="00980E5F">
            <w:pPr>
              <w:rPr>
                <w:rFonts w:ascii="宋体"/>
                <w:vanish/>
              </w:rPr>
            </w:pPr>
          </w:p>
        </w:tc>
        <w:tc>
          <w:tcPr>
            <w:tcW w:w="0" w:type="auto"/>
            <w:gridSpan w:val="3"/>
            <w:shd w:val="clear" w:color="auto" w:fill="auto"/>
            <w:vAlign w:val="bottom"/>
          </w:tcPr>
          <w:p w14:paraId="392CB815" w14:textId="77777777" w:rsidR="00980E5F" w:rsidRDefault="00980E5F">
            <w:pPr>
              <w:rPr>
                <w:rFonts w:ascii="宋体"/>
                <w:vanish/>
              </w:rPr>
            </w:pPr>
          </w:p>
        </w:tc>
        <w:tc>
          <w:tcPr>
            <w:tcW w:w="0" w:type="auto"/>
            <w:gridSpan w:val="3"/>
            <w:shd w:val="clear" w:color="auto" w:fill="auto"/>
            <w:vAlign w:val="bottom"/>
          </w:tcPr>
          <w:p w14:paraId="392CB816" w14:textId="77777777" w:rsidR="00980E5F" w:rsidRDefault="00980E5F">
            <w:pPr>
              <w:rPr>
                <w:rFonts w:ascii="宋体"/>
                <w:vanish/>
              </w:rPr>
            </w:pPr>
          </w:p>
        </w:tc>
      </w:tr>
      <w:tr w:rsidR="00980E5F" w14:paraId="392CB81C" w14:textId="77777777">
        <w:trPr>
          <w:hidden/>
        </w:trPr>
        <w:tc>
          <w:tcPr>
            <w:tcW w:w="0" w:type="auto"/>
            <w:gridSpan w:val="3"/>
            <w:shd w:val="clear" w:color="auto" w:fill="auto"/>
            <w:vAlign w:val="bottom"/>
          </w:tcPr>
          <w:p w14:paraId="392CB818" w14:textId="77777777" w:rsidR="00980E5F" w:rsidRDefault="00980E5F">
            <w:pPr>
              <w:rPr>
                <w:rFonts w:ascii="宋体"/>
                <w:vanish/>
              </w:rPr>
            </w:pPr>
          </w:p>
        </w:tc>
        <w:tc>
          <w:tcPr>
            <w:tcW w:w="0" w:type="auto"/>
            <w:gridSpan w:val="3"/>
            <w:shd w:val="clear" w:color="auto" w:fill="auto"/>
            <w:vAlign w:val="bottom"/>
          </w:tcPr>
          <w:p w14:paraId="392CB819" w14:textId="77777777" w:rsidR="00980E5F" w:rsidRDefault="00980E5F">
            <w:pPr>
              <w:rPr>
                <w:rFonts w:ascii="宋体"/>
                <w:vanish/>
              </w:rPr>
            </w:pPr>
          </w:p>
        </w:tc>
        <w:tc>
          <w:tcPr>
            <w:tcW w:w="0" w:type="auto"/>
            <w:gridSpan w:val="3"/>
            <w:shd w:val="clear" w:color="auto" w:fill="auto"/>
            <w:vAlign w:val="bottom"/>
          </w:tcPr>
          <w:p w14:paraId="392CB81A" w14:textId="77777777" w:rsidR="00980E5F" w:rsidRDefault="00980E5F">
            <w:pPr>
              <w:rPr>
                <w:rFonts w:ascii="宋体"/>
                <w:vanish/>
              </w:rPr>
            </w:pPr>
          </w:p>
        </w:tc>
        <w:tc>
          <w:tcPr>
            <w:tcW w:w="0" w:type="auto"/>
            <w:gridSpan w:val="3"/>
            <w:shd w:val="clear" w:color="auto" w:fill="auto"/>
            <w:vAlign w:val="bottom"/>
          </w:tcPr>
          <w:p w14:paraId="392CB81B" w14:textId="77777777" w:rsidR="00980E5F" w:rsidRDefault="00980E5F">
            <w:pPr>
              <w:rPr>
                <w:rFonts w:ascii="宋体"/>
                <w:vanish/>
              </w:rPr>
            </w:pPr>
          </w:p>
        </w:tc>
      </w:tr>
      <w:tr w:rsidR="00980E5F" w14:paraId="392CB821" w14:textId="77777777">
        <w:trPr>
          <w:hidden/>
        </w:trPr>
        <w:tc>
          <w:tcPr>
            <w:tcW w:w="0" w:type="auto"/>
            <w:gridSpan w:val="3"/>
            <w:shd w:val="clear" w:color="auto" w:fill="auto"/>
            <w:vAlign w:val="bottom"/>
          </w:tcPr>
          <w:p w14:paraId="392CB81D" w14:textId="77777777" w:rsidR="00980E5F" w:rsidRDefault="00980E5F">
            <w:pPr>
              <w:rPr>
                <w:rFonts w:ascii="宋体"/>
                <w:vanish/>
              </w:rPr>
            </w:pPr>
          </w:p>
        </w:tc>
        <w:tc>
          <w:tcPr>
            <w:tcW w:w="0" w:type="auto"/>
            <w:gridSpan w:val="3"/>
            <w:shd w:val="clear" w:color="auto" w:fill="auto"/>
            <w:vAlign w:val="bottom"/>
          </w:tcPr>
          <w:p w14:paraId="392CB81E" w14:textId="77777777" w:rsidR="00980E5F" w:rsidRDefault="00980E5F">
            <w:pPr>
              <w:rPr>
                <w:rFonts w:ascii="宋体"/>
                <w:vanish/>
              </w:rPr>
            </w:pPr>
          </w:p>
        </w:tc>
        <w:tc>
          <w:tcPr>
            <w:tcW w:w="0" w:type="auto"/>
            <w:gridSpan w:val="3"/>
            <w:shd w:val="clear" w:color="auto" w:fill="auto"/>
            <w:vAlign w:val="bottom"/>
          </w:tcPr>
          <w:p w14:paraId="392CB81F" w14:textId="77777777" w:rsidR="00980E5F" w:rsidRDefault="00980E5F">
            <w:pPr>
              <w:rPr>
                <w:rFonts w:ascii="宋体"/>
                <w:vanish/>
              </w:rPr>
            </w:pPr>
          </w:p>
        </w:tc>
        <w:tc>
          <w:tcPr>
            <w:tcW w:w="0" w:type="auto"/>
            <w:gridSpan w:val="3"/>
            <w:shd w:val="clear" w:color="auto" w:fill="auto"/>
            <w:vAlign w:val="bottom"/>
          </w:tcPr>
          <w:p w14:paraId="392CB820" w14:textId="77777777" w:rsidR="00980E5F" w:rsidRDefault="00980E5F">
            <w:pPr>
              <w:rPr>
                <w:rFonts w:ascii="宋体"/>
                <w:vanish/>
              </w:rPr>
            </w:pPr>
          </w:p>
        </w:tc>
      </w:tr>
      <w:tr w:rsidR="00980E5F" w14:paraId="392CB826" w14:textId="77777777">
        <w:trPr>
          <w:hidden/>
        </w:trPr>
        <w:tc>
          <w:tcPr>
            <w:tcW w:w="0" w:type="auto"/>
            <w:gridSpan w:val="3"/>
            <w:shd w:val="clear" w:color="auto" w:fill="auto"/>
            <w:vAlign w:val="bottom"/>
          </w:tcPr>
          <w:p w14:paraId="392CB822" w14:textId="77777777" w:rsidR="00980E5F" w:rsidRDefault="00980E5F">
            <w:pPr>
              <w:rPr>
                <w:rFonts w:ascii="宋体"/>
                <w:vanish/>
              </w:rPr>
            </w:pPr>
          </w:p>
        </w:tc>
        <w:tc>
          <w:tcPr>
            <w:tcW w:w="0" w:type="auto"/>
            <w:gridSpan w:val="3"/>
            <w:shd w:val="clear" w:color="auto" w:fill="auto"/>
            <w:vAlign w:val="bottom"/>
          </w:tcPr>
          <w:p w14:paraId="392CB823" w14:textId="77777777" w:rsidR="00980E5F" w:rsidRDefault="00980E5F">
            <w:pPr>
              <w:rPr>
                <w:rFonts w:ascii="宋体"/>
                <w:vanish/>
              </w:rPr>
            </w:pPr>
          </w:p>
        </w:tc>
        <w:tc>
          <w:tcPr>
            <w:tcW w:w="0" w:type="auto"/>
            <w:gridSpan w:val="3"/>
            <w:shd w:val="clear" w:color="auto" w:fill="auto"/>
            <w:vAlign w:val="bottom"/>
          </w:tcPr>
          <w:p w14:paraId="392CB824" w14:textId="77777777" w:rsidR="00980E5F" w:rsidRDefault="00980E5F">
            <w:pPr>
              <w:rPr>
                <w:rFonts w:ascii="宋体"/>
                <w:vanish/>
              </w:rPr>
            </w:pPr>
          </w:p>
        </w:tc>
        <w:tc>
          <w:tcPr>
            <w:tcW w:w="0" w:type="auto"/>
            <w:gridSpan w:val="3"/>
            <w:shd w:val="clear" w:color="auto" w:fill="auto"/>
            <w:vAlign w:val="bottom"/>
          </w:tcPr>
          <w:p w14:paraId="392CB825" w14:textId="77777777" w:rsidR="00980E5F" w:rsidRDefault="00980E5F">
            <w:pPr>
              <w:rPr>
                <w:rFonts w:ascii="宋体"/>
                <w:vanish/>
              </w:rPr>
            </w:pPr>
          </w:p>
        </w:tc>
      </w:tr>
      <w:tr w:rsidR="00980E5F" w14:paraId="392CB82B" w14:textId="77777777">
        <w:trPr>
          <w:hidden/>
        </w:trPr>
        <w:tc>
          <w:tcPr>
            <w:tcW w:w="0" w:type="auto"/>
            <w:gridSpan w:val="3"/>
            <w:shd w:val="clear" w:color="auto" w:fill="auto"/>
            <w:vAlign w:val="bottom"/>
          </w:tcPr>
          <w:p w14:paraId="392CB827" w14:textId="77777777" w:rsidR="00980E5F" w:rsidRDefault="00980E5F">
            <w:pPr>
              <w:rPr>
                <w:rFonts w:ascii="宋体"/>
                <w:vanish/>
              </w:rPr>
            </w:pPr>
          </w:p>
        </w:tc>
        <w:tc>
          <w:tcPr>
            <w:tcW w:w="0" w:type="auto"/>
            <w:gridSpan w:val="3"/>
            <w:shd w:val="clear" w:color="auto" w:fill="auto"/>
            <w:vAlign w:val="bottom"/>
          </w:tcPr>
          <w:p w14:paraId="392CB828" w14:textId="77777777" w:rsidR="00980E5F" w:rsidRDefault="00980E5F">
            <w:pPr>
              <w:rPr>
                <w:rFonts w:ascii="宋体"/>
                <w:vanish/>
              </w:rPr>
            </w:pPr>
          </w:p>
        </w:tc>
        <w:tc>
          <w:tcPr>
            <w:tcW w:w="0" w:type="auto"/>
            <w:gridSpan w:val="3"/>
            <w:shd w:val="clear" w:color="auto" w:fill="auto"/>
            <w:vAlign w:val="bottom"/>
          </w:tcPr>
          <w:p w14:paraId="392CB829" w14:textId="77777777" w:rsidR="00980E5F" w:rsidRDefault="00980E5F">
            <w:pPr>
              <w:rPr>
                <w:rFonts w:ascii="宋体"/>
                <w:vanish/>
              </w:rPr>
            </w:pPr>
          </w:p>
        </w:tc>
        <w:tc>
          <w:tcPr>
            <w:tcW w:w="0" w:type="auto"/>
            <w:gridSpan w:val="3"/>
            <w:shd w:val="clear" w:color="auto" w:fill="auto"/>
            <w:vAlign w:val="bottom"/>
          </w:tcPr>
          <w:p w14:paraId="392CB82A" w14:textId="77777777" w:rsidR="00980E5F" w:rsidRDefault="00980E5F">
            <w:pPr>
              <w:rPr>
                <w:rFonts w:ascii="宋体"/>
                <w:vanish/>
              </w:rPr>
            </w:pPr>
          </w:p>
        </w:tc>
      </w:tr>
      <w:tr w:rsidR="00980E5F" w14:paraId="392CB830" w14:textId="77777777">
        <w:trPr>
          <w:hidden/>
        </w:trPr>
        <w:tc>
          <w:tcPr>
            <w:tcW w:w="0" w:type="auto"/>
            <w:gridSpan w:val="3"/>
            <w:shd w:val="clear" w:color="auto" w:fill="auto"/>
            <w:vAlign w:val="bottom"/>
          </w:tcPr>
          <w:p w14:paraId="392CB82C" w14:textId="77777777" w:rsidR="00980E5F" w:rsidRDefault="00980E5F">
            <w:pPr>
              <w:rPr>
                <w:rFonts w:ascii="宋体"/>
                <w:vanish/>
              </w:rPr>
            </w:pPr>
          </w:p>
        </w:tc>
        <w:tc>
          <w:tcPr>
            <w:tcW w:w="0" w:type="auto"/>
            <w:gridSpan w:val="3"/>
            <w:shd w:val="clear" w:color="auto" w:fill="auto"/>
            <w:vAlign w:val="bottom"/>
          </w:tcPr>
          <w:p w14:paraId="392CB82D" w14:textId="77777777" w:rsidR="00980E5F" w:rsidRDefault="00980E5F">
            <w:pPr>
              <w:rPr>
                <w:rFonts w:ascii="宋体"/>
                <w:vanish/>
              </w:rPr>
            </w:pPr>
          </w:p>
        </w:tc>
        <w:tc>
          <w:tcPr>
            <w:tcW w:w="0" w:type="auto"/>
            <w:gridSpan w:val="3"/>
            <w:shd w:val="clear" w:color="auto" w:fill="auto"/>
            <w:vAlign w:val="bottom"/>
          </w:tcPr>
          <w:p w14:paraId="392CB82E" w14:textId="77777777" w:rsidR="00980E5F" w:rsidRDefault="00980E5F">
            <w:pPr>
              <w:rPr>
                <w:rFonts w:ascii="宋体"/>
                <w:vanish/>
              </w:rPr>
            </w:pPr>
          </w:p>
        </w:tc>
        <w:tc>
          <w:tcPr>
            <w:tcW w:w="0" w:type="auto"/>
            <w:gridSpan w:val="3"/>
            <w:shd w:val="clear" w:color="auto" w:fill="auto"/>
            <w:vAlign w:val="bottom"/>
          </w:tcPr>
          <w:p w14:paraId="392CB82F" w14:textId="77777777" w:rsidR="00980E5F" w:rsidRDefault="00980E5F">
            <w:pPr>
              <w:rPr>
                <w:rFonts w:ascii="宋体"/>
                <w:vanish/>
              </w:rPr>
            </w:pPr>
          </w:p>
        </w:tc>
      </w:tr>
      <w:tr w:rsidR="00980E5F" w14:paraId="392CB835" w14:textId="77777777">
        <w:trPr>
          <w:hidden/>
        </w:trPr>
        <w:tc>
          <w:tcPr>
            <w:tcW w:w="0" w:type="auto"/>
            <w:gridSpan w:val="3"/>
            <w:shd w:val="clear" w:color="auto" w:fill="auto"/>
            <w:vAlign w:val="bottom"/>
          </w:tcPr>
          <w:p w14:paraId="392CB831" w14:textId="77777777" w:rsidR="00980E5F" w:rsidRDefault="00980E5F">
            <w:pPr>
              <w:rPr>
                <w:rFonts w:ascii="宋体"/>
                <w:vanish/>
              </w:rPr>
            </w:pPr>
          </w:p>
        </w:tc>
        <w:tc>
          <w:tcPr>
            <w:tcW w:w="0" w:type="auto"/>
            <w:gridSpan w:val="3"/>
            <w:shd w:val="clear" w:color="auto" w:fill="auto"/>
            <w:vAlign w:val="bottom"/>
          </w:tcPr>
          <w:p w14:paraId="392CB832" w14:textId="77777777" w:rsidR="00980E5F" w:rsidRDefault="00980E5F">
            <w:pPr>
              <w:rPr>
                <w:rFonts w:ascii="宋体"/>
                <w:vanish/>
              </w:rPr>
            </w:pPr>
          </w:p>
        </w:tc>
        <w:tc>
          <w:tcPr>
            <w:tcW w:w="0" w:type="auto"/>
            <w:gridSpan w:val="3"/>
            <w:shd w:val="clear" w:color="auto" w:fill="auto"/>
            <w:vAlign w:val="bottom"/>
          </w:tcPr>
          <w:p w14:paraId="392CB833" w14:textId="77777777" w:rsidR="00980E5F" w:rsidRDefault="00980E5F">
            <w:pPr>
              <w:rPr>
                <w:rFonts w:ascii="宋体"/>
                <w:vanish/>
              </w:rPr>
            </w:pPr>
          </w:p>
        </w:tc>
        <w:tc>
          <w:tcPr>
            <w:tcW w:w="0" w:type="auto"/>
            <w:gridSpan w:val="3"/>
            <w:shd w:val="clear" w:color="auto" w:fill="auto"/>
            <w:vAlign w:val="bottom"/>
          </w:tcPr>
          <w:p w14:paraId="392CB834" w14:textId="77777777" w:rsidR="00980E5F" w:rsidRDefault="00980E5F">
            <w:pPr>
              <w:rPr>
                <w:rFonts w:ascii="宋体"/>
                <w:vanish/>
              </w:rPr>
            </w:pPr>
          </w:p>
        </w:tc>
      </w:tr>
      <w:tr w:rsidR="00980E5F" w14:paraId="392CB83A" w14:textId="77777777">
        <w:trPr>
          <w:hidden/>
        </w:trPr>
        <w:tc>
          <w:tcPr>
            <w:tcW w:w="0" w:type="auto"/>
            <w:gridSpan w:val="3"/>
            <w:shd w:val="clear" w:color="auto" w:fill="auto"/>
            <w:vAlign w:val="bottom"/>
          </w:tcPr>
          <w:p w14:paraId="392CB836" w14:textId="77777777" w:rsidR="00980E5F" w:rsidRDefault="00980E5F">
            <w:pPr>
              <w:rPr>
                <w:rFonts w:ascii="宋体"/>
                <w:vanish/>
              </w:rPr>
            </w:pPr>
          </w:p>
        </w:tc>
        <w:tc>
          <w:tcPr>
            <w:tcW w:w="0" w:type="auto"/>
            <w:gridSpan w:val="3"/>
            <w:shd w:val="clear" w:color="auto" w:fill="auto"/>
            <w:vAlign w:val="bottom"/>
          </w:tcPr>
          <w:p w14:paraId="392CB837" w14:textId="77777777" w:rsidR="00980E5F" w:rsidRDefault="00980E5F">
            <w:pPr>
              <w:rPr>
                <w:rFonts w:ascii="宋体"/>
                <w:vanish/>
              </w:rPr>
            </w:pPr>
          </w:p>
        </w:tc>
        <w:tc>
          <w:tcPr>
            <w:tcW w:w="0" w:type="auto"/>
            <w:gridSpan w:val="3"/>
            <w:shd w:val="clear" w:color="auto" w:fill="auto"/>
            <w:vAlign w:val="bottom"/>
          </w:tcPr>
          <w:p w14:paraId="392CB838" w14:textId="77777777" w:rsidR="00980E5F" w:rsidRDefault="00980E5F">
            <w:pPr>
              <w:rPr>
                <w:rFonts w:ascii="宋体"/>
                <w:vanish/>
              </w:rPr>
            </w:pPr>
          </w:p>
        </w:tc>
        <w:tc>
          <w:tcPr>
            <w:tcW w:w="0" w:type="auto"/>
            <w:gridSpan w:val="3"/>
            <w:shd w:val="clear" w:color="auto" w:fill="auto"/>
            <w:vAlign w:val="bottom"/>
          </w:tcPr>
          <w:p w14:paraId="392CB839" w14:textId="77777777" w:rsidR="00980E5F" w:rsidRDefault="00980E5F">
            <w:pPr>
              <w:rPr>
                <w:rFonts w:ascii="宋体"/>
                <w:vanish/>
              </w:rPr>
            </w:pPr>
          </w:p>
        </w:tc>
      </w:tr>
      <w:tr w:rsidR="00980E5F" w14:paraId="392CB83F" w14:textId="77777777">
        <w:trPr>
          <w:hidden/>
        </w:trPr>
        <w:tc>
          <w:tcPr>
            <w:tcW w:w="0" w:type="auto"/>
            <w:gridSpan w:val="3"/>
            <w:shd w:val="clear" w:color="auto" w:fill="auto"/>
            <w:vAlign w:val="bottom"/>
          </w:tcPr>
          <w:p w14:paraId="392CB83B" w14:textId="77777777" w:rsidR="00980E5F" w:rsidRDefault="00980E5F">
            <w:pPr>
              <w:rPr>
                <w:rFonts w:ascii="宋体"/>
                <w:vanish/>
              </w:rPr>
            </w:pPr>
          </w:p>
        </w:tc>
        <w:tc>
          <w:tcPr>
            <w:tcW w:w="0" w:type="auto"/>
            <w:gridSpan w:val="3"/>
            <w:shd w:val="clear" w:color="auto" w:fill="auto"/>
            <w:vAlign w:val="bottom"/>
          </w:tcPr>
          <w:p w14:paraId="392CB83C" w14:textId="77777777" w:rsidR="00980E5F" w:rsidRDefault="00980E5F">
            <w:pPr>
              <w:rPr>
                <w:rFonts w:ascii="宋体"/>
                <w:vanish/>
              </w:rPr>
            </w:pPr>
          </w:p>
        </w:tc>
        <w:tc>
          <w:tcPr>
            <w:tcW w:w="0" w:type="auto"/>
            <w:gridSpan w:val="3"/>
            <w:shd w:val="clear" w:color="auto" w:fill="auto"/>
            <w:vAlign w:val="bottom"/>
          </w:tcPr>
          <w:p w14:paraId="392CB83D" w14:textId="77777777" w:rsidR="00980E5F" w:rsidRDefault="00980E5F">
            <w:pPr>
              <w:rPr>
                <w:rFonts w:ascii="宋体"/>
                <w:vanish/>
              </w:rPr>
            </w:pPr>
          </w:p>
        </w:tc>
        <w:tc>
          <w:tcPr>
            <w:tcW w:w="0" w:type="auto"/>
            <w:gridSpan w:val="3"/>
            <w:shd w:val="clear" w:color="auto" w:fill="auto"/>
            <w:vAlign w:val="bottom"/>
          </w:tcPr>
          <w:p w14:paraId="392CB83E" w14:textId="77777777" w:rsidR="00980E5F" w:rsidRDefault="00980E5F">
            <w:pPr>
              <w:rPr>
                <w:rFonts w:ascii="宋体"/>
                <w:vanish/>
              </w:rPr>
            </w:pPr>
          </w:p>
        </w:tc>
      </w:tr>
      <w:tr w:rsidR="00980E5F" w14:paraId="392CB844" w14:textId="77777777">
        <w:trPr>
          <w:hidden/>
        </w:trPr>
        <w:tc>
          <w:tcPr>
            <w:tcW w:w="0" w:type="auto"/>
            <w:gridSpan w:val="3"/>
            <w:shd w:val="clear" w:color="auto" w:fill="auto"/>
            <w:vAlign w:val="bottom"/>
          </w:tcPr>
          <w:p w14:paraId="392CB840" w14:textId="77777777" w:rsidR="00980E5F" w:rsidRDefault="00980E5F">
            <w:pPr>
              <w:rPr>
                <w:rFonts w:ascii="宋体"/>
                <w:vanish/>
              </w:rPr>
            </w:pPr>
          </w:p>
        </w:tc>
        <w:tc>
          <w:tcPr>
            <w:tcW w:w="0" w:type="auto"/>
            <w:gridSpan w:val="3"/>
            <w:shd w:val="clear" w:color="auto" w:fill="auto"/>
            <w:vAlign w:val="bottom"/>
          </w:tcPr>
          <w:p w14:paraId="392CB841" w14:textId="77777777" w:rsidR="00980E5F" w:rsidRDefault="00980E5F">
            <w:pPr>
              <w:rPr>
                <w:rFonts w:ascii="宋体"/>
                <w:vanish/>
              </w:rPr>
            </w:pPr>
          </w:p>
        </w:tc>
        <w:tc>
          <w:tcPr>
            <w:tcW w:w="0" w:type="auto"/>
            <w:gridSpan w:val="3"/>
            <w:shd w:val="clear" w:color="auto" w:fill="auto"/>
            <w:vAlign w:val="bottom"/>
          </w:tcPr>
          <w:p w14:paraId="392CB842" w14:textId="77777777" w:rsidR="00980E5F" w:rsidRDefault="00980E5F">
            <w:pPr>
              <w:rPr>
                <w:rFonts w:ascii="宋体"/>
                <w:vanish/>
              </w:rPr>
            </w:pPr>
          </w:p>
        </w:tc>
        <w:tc>
          <w:tcPr>
            <w:tcW w:w="0" w:type="auto"/>
            <w:gridSpan w:val="3"/>
            <w:shd w:val="clear" w:color="auto" w:fill="auto"/>
            <w:vAlign w:val="bottom"/>
          </w:tcPr>
          <w:p w14:paraId="392CB843" w14:textId="77777777" w:rsidR="00980E5F" w:rsidRDefault="00980E5F">
            <w:pPr>
              <w:rPr>
                <w:rFonts w:ascii="宋体"/>
                <w:vanish/>
              </w:rPr>
            </w:pPr>
          </w:p>
        </w:tc>
      </w:tr>
      <w:tr w:rsidR="00980E5F" w14:paraId="392CB849" w14:textId="77777777">
        <w:trPr>
          <w:hidden/>
        </w:trPr>
        <w:tc>
          <w:tcPr>
            <w:tcW w:w="0" w:type="auto"/>
            <w:gridSpan w:val="3"/>
            <w:shd w:val="clear" w:color="auto" w:fill="auto"/>
            <w:vAlign w:val="bottom"/>
          </w:tcPr>
          <w:p w14:paraId="392CB845" w14:textId="77777777" w:rsidR="00980E5F" w:rsidRDefault="00980E5F">
            <w:pPr>
              <w:rPr>
                <w:rFonts w:ascii="宋体"/>
                <w:vanish/>
              </w:rPr>
            </w:pPr>
          </w:p>
        </w:tc>
        <w:tc>
          <w:tcPr>
            <w:tcW w:w="0" w:type="auto"/>
            <w:gridSpan w:val="3"/>
            <w:shd w:val="clear" w:color="auto" w:fill="auto"/>
            <w:vAlign w:val="bottom"/>
          </w:tcPr>
          <w:p w14:paraId="392CB846" w14:textId="77777777" w:rsidR="00980E5F" w:rsidRDefault="00980E5F">
            <w:pPr>
              <w:rPr>
                <w:rFonts w:ascii="宋体"/>
                <w:vanish/>
              </w:rPr>
            </w:pPr>
          </w:p>
        </w:tc>
        <w:tc>
          <w:tcPr>
            <w:tcW w:w="0" w:type="auto"/>
            <w:gridSpan w:val="3"/>
            <w:shd w:val="clear" w:color="auto" w:fill="auto"/>
            <w:vAlign w:val="bottom"/>
          </w:tcPr>
          <w:p w14:paraId="392CB847" w14:textId="77777777" w:rsidR="00980E5F" w:rsidRDefault="00980E5F">
            <w:pPr>
              <w:rPr>
                <w:rFonts w:ascii="宋体"/>
                <w:vanish/>
              </w:rPr>
            </w:pPr>
          </w:p>
        </w:tc>
        <w:tc>
          <w:tcPr>
            <w:tcW w:w="0" w:type="auto"/>
            <w:gridSpan w:val="3"/>
            <w:shd w:val="clear" w:color="auto" w:fill="auto"/>
            <w:vAlign w:val="bottom"/>
          </w:tcPr>
          <w:p w14:paraId="392CB848" w14:textId="77777777" w:rsidR="00980E5F" w:rsidRDefault="00980E5F">
            <w:pPr>
              <w:rPr>
                <w:rFonts w:ascii="宋体"/>
                <w:vanish/>
              </w:rPr>
            </w:pPr>
          </w:p>
        </w:tc>
      </w:tr>
      <w:tr w:rsidR="00980E5F" w14:paraId="392CB84E" w14:textId="77777777">
        <w:trPr>
          <w:hidden/>
        </w:trPr>
        <w:tc>
          <w:tcPr>
            <w:tcW w:w="0" w:type="auto"/>
            <w:gridSpan w:val="3"/>
            <w:shd w:val="clear" w:color="auto" w:fill="auto"/>
            <w:vAlign w:val="bottom"/>
          </w:tcPr>
          <w:p w14:paraId="392CB84A" w14:textId="77777777" w:rsidR="00980E5F" w:rsidRDefault="00980E5F">
            <w:pPr>
              <w:rPr>
                <w:rFonts w:ascii="宋体"/>
                <w:vanish/>
              </w:rPr>
            </w:pPr>
          </w:p>
        </w:tc>
        <w:tc>
          <w:tcPr>
            <w:tcW w:w="0" w:type="auto"/>
            <w:gridSpan w:val="3"/>
            <w:shd w:val="clear" w:color="auto" w:fill="auto"/>
            <w:vAlign w:val="bottom"/>
          </w:tcPr>
          <w:p w14:paraId="392CB84B" w14:textId="77777777" w:rsidR="00980E5F" w:rsidRDefault="00980E5F">
            <w:pPr>
              <w:rPr>
                <w:rFonts w:ascii="宋体"/>
                <w:vanish/>
              </w:rPr>
            </w:pPr>
          </w:p>
        </w:tc>
        <w:tc>
          <w:tcPr>
            <w:tcW w:w="0" w:type="auto"/>
            <w:gridSpan w:val="3"/>
            <w:shd w:val="clear" w:color="auto" w:fill="auto"/>
            <w:vAlign w:val="bottom"/>
          </w:tcPr>
          <w:p w14:paraId="392CB84C" w14:textId="77777777" w:rsidR="00980E5F" w:rsidRDefault="00980E5F">
            <w:pPr>
              <w:rPr>
                <w:rFonts w:ascii="宋体"/>
                <w:vanish/>
              </w:rPr>
            </w:pPr>
          </w:p>
        </w:tc>
        <w:tc>
          <w:tcPr>
            <w:tcW w:w="0" w:type="auto"/>
            <w:gridSpan w:val="3"/>
            <w:shd w:val="clear" w:color="auto" w:fill="auto"/>
            <w:vAlign w:val="bottom"/>
          </w:tcPr>
          <w:p w14:paraId="392CB84D" w14:textId="77777777" w:rsidR="00980E5F" w:rsidRDefault="00980E5F">
            <w:pPr>
              <w:rPr>
                <w:rFonts w:ascii="宋体"/>
                <w:vanish/>
              </w:rPr>
            </w:pPr>
          </w:p>
        </w:tc>
      </w:tr>
      <w:tr w:rsidR="00980E5F" w14:paraId="392CB853" w14:textId="77777777">
        <w:trPr>
          <w:hidden/>
        </w:trPr>
        <w:tc>
          <w:tcPr>
            <w:tcW w:w="0" w:type="auto"/>
            <w:gridSpan w:val="3"/>
            <w:shd w:val="clear" w:color="auto" w:fill="auto"/>
            <w:vAlign w:val="bottom"/>
          </w:tcPr>
          <w:p w14:paraId="392CB84F" w14:textId="77777777" w:rsidR="00980E5F" w:rsidRDefault="00980E5F">
            <w:pPr>
              <w:rPr>
                <w:rFonts w:ascii="宋体"/>
                <w:vanish/>
              </w:rPr>
            </w:pPr>
          </w:p>
        </w:tc>
        <w:tc>
          <w:tcPr>
            <w:tcW w:w="0" w:type="auto"/>
            <w:gridSpan w:val="3"/>
            <w:shd w:val="clear" w:color="auto" w:fill="auto"/>
            <w:vAlign w:val="bottom"/>
          </w:tcPr>
          <w:p w14:paraId="392CB850" w14:textId="77777777" w:rsidR="00980E5F" w:rsidRDefault="00980E5F">
            <w:pPr>
              <w:rPr>
                <w:rFonts w:ascii="宋体"/>
                <w:vanish/>
              </w:rPr>
            </w:pPr>
          </w:p>
        </w:tc>
        <w:tc>
          <w:tcPr>
            <w:tcW w:w="0" w:type="auto"/>
            <w:gridSpan w:val="3"/>
            <w:shd w:val="clear" w:color="auto" w:fill="auto"/>
            <w:vAlign w:val="bottom"/>
          </w:tcPr>
          <w:p w14:paraId="392CB851" w14:textId="77777777" w:rsidR="00980E5F" w:rsidRDefault="00980E5F">
            <w:pPr>
              <w:rPr>
                <w:rFonts w:ascii="宋体"/>
                <w:vanish/>
              </w:rPr>
            </w:pPr>
          </w:p>
        </w:tc>
        <w:tc>
          <w:tcPr>
            <w:tcW w:w="0" w:type="auto"/>
            <w:gridSpan w:val="3"/>
            <w:shd w:val="clear" w:color="auto" w:fill="auto"/>
            <w:vAlign w:val="bottom"/>
          </w:tcPr>
          <w:p w14:paraId="392CB852" w14:textId="77777777" w:rsidR="00980E5F" w:rsidRDefault="00980E5F">
            <w:pPr>
              <w:rPr>
                <w:rFonts w:ascii="宋体"/>
                <w:vanish/>
              </w:rPr>
            </w:pPr>
          </w:p>
        </w:tc>
      </w:tr>
      <w:tr w:rsidR="00980E5F" w14:paraId="392CB858" w14:textId="77777777">
        <w:trPr>
          <w:hidden/>
        </w:trPr>
        <w:tc>
          <w:tcPr>
            <w:tcW w:w="0" w:type="auto"/>
            <w:gridSpan w:val="3"/>
            <w:shd w:val="clear" w:color="auto" w:fill="auto"/>
            <w:vAlign w:val="bottom"/>
          </w:tcPr>
          <w:p w14:paraId="392CB854" w14:textId="77777777" w:rsidR="00980E5F" w:rsidRDefault="00980E5F">
            <w:pPr>
              <w:rPr>
                <w:rFonts w:ascii="宋体"/>
                <w:vanish/>
              </w:rPr>
            </w:pPr>
          </w:p>
        </w:tc>
        <w:tc>
          <w:tcPr>
            <w:tcW w:w="0" w:type="auto"/>
            <w:gridSpan w:val="3"/>
            <w:shd w:val="clear" w:color="auto" w:fill="auto"/>
            <w:vAlign w:val="bottom"/>
          </w:tcPr>
          <w:p w14:paraId="392CB855" w14:textId="77777777" w:rsidR="00980E5F" w:rsidRDefault="00980E5F">
            <w:pPr>
              <w:rPr>
                <w:rFonts w:ascii="宋体"/>
                <w:vanish/>
              </w:rPr>
            </w:pPr>
          </w:p>
        </w:tc>
        <w:tc>
          <w:tcPr>
            <w:tcW w:w="0" w:type="auto"/>
            <w:gridSpan w:val="3"/>
            <w:shd w:val="clear" w:color="auto" w:fill="auto"/>
            <w:vAlign w:val="bottom"/>
          </w:tcPr>
          <w:p w14:paraId="392CB856" w14:textId="77777777" w:rsidR="00980E5F" w:rsidRDefault="00980E5F">
            <w:pPr>
              <w:rPr>
                <w:rFonts w:ascii="宋体"/>
                <w:vanish/>
              </w:rPr>
            </w:pPr>
          </w:p>
        </w:tc>
        <w:tc>
          <w:tcPr>
            <w:tcW w:w="0" w:type="auto"/>
            <w:gridSpan w:val="3"/>
            <w:shd w:val="clear" w:color="auto" w:fill="auto"/>
            <w:vAlign w:val="bottom"/>
          </w:tcPr>
          <w:p w14:paraId="392CB857" w14:textId="77777777" w:rsidR="00980E5F" w:rsidRDefault="00980E5F">
            <w:pPr>
              <w:rPr>
                <w:rFonts w:ascii="宋体"/>
                <w:vanish/>
              </w:rPr>
            </w:pPr>
          </w:p>
        </w:tc>
      </w:tr>
      <w:tr w:rsidR="00980E5F" w14:paraId="392CB85D" w14:textId="77777777">
        <w:trPr>
          <w:hidden/>
        </w:trPr>
        <w:tc>
          <w:tcPr>
            <w:tcW w:w="0" w:type="auto"/>
            <w:gridSpan w:val="3"/>
            <w:shd w:val="clear" w:color="auto" w:fill="auto"/>
            <w:vAlign w:val="bottom"/>
          </w:tcPr>
          <w:p w14:paraId="392CB859" w14:textId="77777777" w:rsidR="00980E5F" w:rsidRDefault="00980E5F">
            <w:pPr>
              <w:rPr>
                <w:rFonts w:ascii="宋体"/>
                <w:vanish/>
              </w:rPr>
            </w:pPr>
          </w:p>
        </w:tc>
        <w:tc>
          <w:tcPr>
            <w:tcW w:w="0" w:type="auto"/>
            <w:gridSpan w:val="3"/>
            <w:shd w:val="clear" w:color="auto" w:fill="auto"/>
            <w:vAlign w:val="bottom"/>
          </w:tcPr>
          <w:p w14:paraId="392CB85A" w14:textId="77777777" w:rsidR="00980E5F" w:rsidRDefault="00980E5F">
            <w:pPr>
              <w:rPr>
                <w:rFonts w:ascii="宋体"/>
                <w:vanish/>
              </w:rPr>
            </w:pPr>
          </w:p>
        </w:tc>
        <w:tc>
          <w:tcPr>
            <w:tcW w:w="0" w:type="auto"/>
            <w:gridSpan w:val="3"/>
            <w:shd w:val="clear" w:color="auto" w:fill="auto"/>
            <w:vAlign w:val="bottom"/>
          </w:tcPr>
          <w:p w14:paraId="392CB85B" w14:textId="77777777" w:rsidR="00980E5F" w:rsidRDefault="00980E5F">
            <w:pPr>
              <w:rPr>
                <w:rFonts w:ascii="宋体"/>
                <w:vanish/>
              </w:rPr>
            </w:pPr>
          </w:p>
        </w:tc>
        <w:tc>
          <w:tcPr>
            <w:tcW w:w="0" w:type="auto"/>
            <w:gridSpan w:val="3"/>
            <w:shd w:val="clear" w:color="auto" w:fill="auto"/>
            <w:vAlign w:val="bottom"/>
          </w:tcPr>
          <w:p w14:paraId="392CB85C" w14:textId="77777777" w:rsidR="00980E5F" w:rsidRDefault="00980E5F">
            <w:pPr>
              <w:rPr>
                <w:rFonts w:ascii="宋体"/>
                <w:vanish/>
              </w:rPr>
            </w:pPr>
          </w:p>
        </w:tc>
      </w:tr>
      <w:tr w:rsidR="00980E5F" w14:paraId="392CB862" w14:textId="77777777">
        <w:trPr>
          <w:hidden/>
        </w:trPr>
        <w:tc>
          <w:tcPr>
            <w:tcW w:w="0" w:type="auto"/>
            <w:gridSpan w:val="3"/>
            <w:shd w:val="clear" w:color="auto" w:fill="auto"/>
            <w:vAlign w:val="bottom"/>
          </w:tcPr>
          <w:p w14:paraId="392CB85E" w14:textId="77777777" w:rsidR="00980E5F" w:rsidRDefault="00980E5F">
            <w:pPr>
              <w:rPr>
                <w:rFonts w:ascii="宋体"/>
                <w:vanish/>
              </w:rPr>
            </w:pPr>
          </w:p>
        </w:tc>
        <w:tc>
          <w:tcPr>
            <w:tcW w:w="0" w:type="auto"/>
            <w:gridSpan w:val="3"/>
            <w:shd w:val="clear" w:color="auto" w:fill="auto"/>
            <w:vAlign w:val="bottom"/>
          </w:tcPr>
          <w:p w14:paraId="392CB85F" w14:textId="77777777" w:rsidR="00980E5F" w:rsidRDefault="00980E5F">
            <w:pPr>
              <w:rPr>
                <w:rFonts w:ascii="宋体"/>
                <w:vanish/>
              </w:rPr>
            </w:pPr>
          </w:p>
        </w:tc>
        <w:tc>
          <w:tcPr>
            <w:tcW w:w="0" w:type="auto"/>
            <w:gridSpan w:val="3"/>
            <w:shd w:val="clear" w:color="auto" w:fill="auto"/>
            <w:vAlign w:val="bottom"/>
          </w:tcPr>
          <w:p w14:paraId="392CB860" w14:textId="77777777" w:rsidR="00980E5F" w:rsidRDefault="00980E5F">
            <w:pPr>
              <w:rPr>
                <w:rFonts w:ascii="宋体"/>
                <w:vanish/>
              </w:rPr>
            </w:pPr>
          </w:p>
        </w:tc>
        <w:tc>
          <w:tcPr>
            <w:tcW w:w="0" w:type="auto"/>
            <w:gridSpan w:val="3"/>
            <w:shd w:val="clear" w:color="auto" w:fill="auto"/>
            <w:vAlign w:val="bottom"/>
          </w:tcPr>
          <w:p w14:paraId="392CB861" w14:textId="77777777" w:rsidR="00980E5F" w:rsidRDefault="00980E5F">
            <w:pPr>
              <w:rPr>
                <w:rFonts w:ascii="宋体"/>
                <w:vanish/>
              </w:rPr>
            </w:pPr>
          </w:p>
        </w:tc>
      </w:tr>
      <w:tr w:rsidR="00980E5F" w14:paraId="392CB867" w14:textId="77777777">
        <w:trPr>
          <w:hidden/>
        </w:trPr>
        <w:tc>
          <w:tcPr>
            <w:tcW w:w="0" w:type="auto"/>
            <w:gridSpan w:val="3"/>
            <w:shd w:val="clear" w:color="auto" w:fill="auto"/>
            <w:vAlign w:val="bottom"/>
          </w:tcPr>
          <w:p w14:paraId="392CB863" w14:textId="77777777" w:rsidR="00980E5F" w:rsidRDefault="00980E5F">
            <w:pPr>
              <w:rPr>
                <w:rFonts w:ascii="宋体"/>
                <w:vanish/>
              </w:rPr>
            </w:pPr>
          </w:p>
        </w:tc>
        <w:tc>
          <w:tcPr>
            <w:tcW w:w="0" w:type="auto"/>
            <w:gridSpan w:val="3"/>
            <w:shd w:val="clear" w:color="auto" w:fill="auto"/>
            <w:vAlign w:val="bottom"/>
          </w:tcPr>
          <w:p w14:paraId="392CB864" w14:textId="77777777" w:rsidR="00980E5F" w:rsidRDefault="00980E5F">
            <w:pPr>
              <w:rPr>
                <w:rFonts w:ascii="宋体"/>
                <w:vanish/>
              </w:rPr>
            </w:pPr>
          </w:p>
        </w:tc>
        <w:tc>
          <w:tcPr>
            <w:tcW w:w="0" w:type="auto"/>
            <w:gridSpan w:val="3"/>
            <w:shd w:val="clear" w:color="auto" w:fill="auto"/>
            <w:vAlign w:val="bottom"/>
          </w:tcPr>
          <w:p w14:paraId="392CB865" w14:textId="77777777" w:rsidR="00980E5F" w:rsidRDefault="00980E5F">
            <w:pPr>
              <w:rPr>
                <w:rFonts w:ascii="宋体"/>
                <w:vanish/>
              </w:rPr>
            </w:pPr>
          </w:p>
        </w:tc>
        <w:tc>
          <w:tcPr>
            <w:tcW w:w="0" w:type="auto"/>
            <w:gridSpan w:val="3"/>
            <w:shd w:val="clear" w:color="auto" w:fill="auto"/>
            <w:vAlign w:val="bottom"/>
          </w:tcPr>
          <w:p w14:paraId="392CB866" w14:textId="77777777" w:rsidR="00980E5F" w:rsidRDefault="00980E5F">
            <w:pPr>
              <w:rPr>
                <w:rFonts w:ascii="宋体"/>
                <w:vanish/>
              </w:rPr>
            </w:pPr>
          </w:p>
        </w:tc>
      </w:tr>
      <w:tr w:rsidR="00980E5F" w14:paraId="392CB86C" w14:textId="77777777">
        <w:trPr>
          <w:trHeight w:val="300"/>
        </w:trPr>
        <w:tc>
          <w:tcPr>
            <w:tcW w:w="0" w:type="auto"/>
            <w:gridSpan w:val="3"/>
            <w:shd w:val="clear" w:color="auto" w:fill="auto"/>
            <w:tcMar>
              <w:top w:w="0" w:type="dxa"/>
              <w:left w:w="20" w:type="dxa"/>
              <w:bottom w:w="0" w:type="dxa"/>
              <w:right w:w="20" w:type="dxa"/>
            </w:tcMar>
            <w:vAlign w:val="bottom"/>
          </w:tcPr>
          <w:p w14:paraId="392CB86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6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6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6B" w14:textId="77777777" w:rsidR="00980E5F" w:rsidRDefault="00980E5F">
            <w:pPr>
              <w:rPr>
                <w:rFonts w:ascii="宋体"/>
              </w:rPr>
            </w:pPr>
          </w:p>
        </w:tc>
      </w:tr>
      <w:tr w:rsidR="00980E5F" w14:paraId="392CB871" w14:textId="77777777">
        <w:trPr>
          <w:trHeight w:val="300"/>
        </w:trPr>
        <w:tc>
          <w:tcPr>
            <w:tcW w:w="0" w:type="auto"/>
            <w:gridSpan w:val="3"/>
            <w:shd w:val="clear" w:color="auto" w:fill="auto"/>
            <w:tcMar>
              <w:top w:w="0" w:type="dxa"/>
              <w:left w:w="20" w:type="dxa"/>
              <w:bottom w:w="0" w:type="dxa"/>
              <w:right w:w="20" w:type="dxa"/>
            </w:tcMar>
            <w:vAlign w:val="bottom"/>
          </w:tcPr>
          <w:p w14:paraId="392CB86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6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6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70" w14:textId="77777777" w:rsidR="00980E5F" w:rsidRDefault="00980E5F">
            <w:pPr>
              <w:rPr>
                <w:rFonts w:ascii="宋体"/>
              </w:rPr>
            </w:pPr>
          </w:p>
        </w:tc>
      </w:tr>
      <w:tr w:rsidR="00980E5F" w14:paraId="392CB876" w14:textId="77777777">
        <w:trPr>
          <w:trHeight w:val="300"/>
        </w:trPr>
        <w:tc>
          <w:tcPr>
            <w:tcW w:w="0" w:type="auto"/>
            <w:gridSpan w:val="3"/>
            <w:shd w:val="clear" w:color="auto" w:fill="auto"/>
            <w:tcMar>
              <w:top w:w="0" w:type="dxa"/>
              <w:left w:w="20" w:type="dxa"/>
              <w:bottom w:w="0" w:type="dxa"/>
              <w:right w:w="20" w:type="dxa"/>
            </w:tcMar>
            <w:vAlign w:val="bottom"/>
          </w:tcPr>
          <w:p w14:paraId="392CB87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7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75" w14:textId="77777777" w:rsidR="00980E5F" w:rsidRDefault="00980E5F">
            <w:pPr>
              <w:rPr>
                <w:rFonts w:ascii="宋体"/>
              </w:rPr>
            </w:pPr>
          </w:p>
        </w:tc>
      </w:tr>
    </w:tbl>
    <w:p w14:paraId="392CB87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980E5F" w14:paraId="392CB881" w14:textId="77777777">
        <w:tc>
          <w:tcPr>
            <w:tcW w:w="50" w:type="pct"/>
            <w:shd w:val="clear" w:color="auto" w:fill="auto"/>
            <w:vAlign w:val="bottom"/>
          </w:tcPr>
          <w:p w14:paraId="392CB878" w14:textId="77777777" w:rsidR="00980E5F" w:rsidRDefault="00980E5F">
            <w:pPr>
              <w:rPr>
                <w:rFonts w:ascii="宋体"/>
              </w:rPr>
            </w:pPr>
          </w:p>
        </w:tc>
        <w:tc>
          <w:tcPr>
            <w:tcW w:w="1348" w:type="pct"/>
            <w:shd w:val="clear" w:color="auto" w:fill="auto"/>
            <w:vAlign w:val="bottom"/>
          </w:tcPr>
          <w:p w14:paraId="392CB879" w14:textId="77777777" w:rsidR="00980E5F" w:rsidRDefault="00980E5F">
            <w:pPr>
              <w:rPr>
                <w:rFonts w:ascii="宋体"/>
              </w:rPr>
            </w:pPr>
          </w:p>
        </w:tc>
        <w:tc>
          <w:tcPr>
            <w:tcW w:w="5" w:type="pct"/>
            <w:shd w:val="clear" w:color="auto" w:fill="auto"/>
            <w:vAlign w:val="bottom"/>
          </w:tcPr>
          <w:p w14:paraId="392CB87A" w14:textId="77777777" w:rsidR="00980E5F" w:rsidRDefault="00980E5F">
            <w:pPr>
              <w:rPr>
                <w:rFonts w:ascii="宋体"/>
              </w:rPr>
            </w:pPr>
          </w:p>
        </w:tc>
        <w:tc>
          <w:tcPr>
            <w:tcW w:w="50" w:type="pct"/>
            <w:shd w:val="clear" w:color="auto" w:fill="auto"/>
            <w:vAlign w:val="bottom"/>
          </w:tcPr>
          <w:p w14:paraId="392CB87B" w14:textId="77777777" w:rsidR="00980E5F" w:rsidRDefault="00980E5F">
            <w:pPr>
              <w:rPr>
                <w:rFonts w:ascii="宋体"/>
              </w:rPr>
            </w:pPr>
          </w:p>
        </w:tc>
        <w:tc>
          <w:tcPr>
            <w:tcW w:w="1648" w:type="pct"/>
            <w:shd w:val="clear" w:color="auto" w:fill="auto"/>
            <w:vAlign w:val="bottom"/>
          </w:tcPr>
          <w:p w14:paraId="392CB87C" w14:textId="77777777" w:rsidR="00980E5F" w:rsidRDefault="00980E5F">
            <w:pPr>
              <w:rPr>
                <w:rFonts w:ascii="宋体"/>
              </w:rPr>
            </w:pPr>
          </w:p>
        </w:tc>
        <w:tc>
          <w:tcPr>
            <w:tcW w:w="5" w:type="pct"/>
            <w:shd w:val="clear" w:color="auto" w:fill="auto"/>
            <w:vAlign w:val="bottom"/>
          </w:tcPr>
          <w:p w14:paraId="392CB87D" w14:textId="77777777" w:rsidR="00980E5F" w:rsidRDefault="00980E5F">
            <w:pPr>
              <w:rPr>
                <w:rFonts w:ascii="宋体"/>
              </w:rPr>
            </w:pPr>
          </w:p>
        </w:tc>
        <w:tc>
          <w:tcPr>
            <w:tcW w:w="50" w:type="pct"/>
            <w:shd w:val="clear" w:color="auto" w:fill="auto"/>
            <w:vAlign w:val="bottom"/>
          </w:tcPr>
          <w:p w14:paraId="392CB87E" w14:textId="77777777" w:rsidR="00980E5F" w:rsidRDefault="00980E5F">
            <w:pPr>
              <w:rPr>
                <w:rFonts w:ascii="宋体"/>
              </w:rPr>
            </w:pPr>
          </w:p>
        </w:tc>
        <w:tc>
          <w:tcPr>
            <w:tcW w:w="1838" w:type="pct"/>
            <w:shd w:val="clear" w:color="auto" w:fill="auto"/>
            <w:vAlign w:val="bottom"/>
          </w:tcPr>
          <w:p w14:paraId="392CB87F" w14:textId="77777777" w:rsidR="00980E5F" w:rsidRDefault="00980E5F">
            <w:pPr>
              <w:rPr>
                <w:rFonts w:ascii="宋体"/>
              </w:rPr>
            </w:pPr>
          </w:p>
        </w:tc>
        <w:tc>
          <w:tcPr>
            <w:tcW w:w="5" w:type="pct"/>
            <w:shd w:val="clear" w:color="auto" w:fill="auto"/>
            <w:vAlign w:val="bottom"/>
          </w:tcPr>
          <w:p w14:paraId="392CB880" w14:textId="77777777" w:rsidR="00980E5F" w:rsidRDefault="00980E5F">
            <w:pPr>
              <w:rPr>
                <w:rFonts w:ascii="宋体"/>
              </w:rPr>
            </w:pPr>
          </w:p>
        </w:tc>
      </w:tr>
      <w:tr w:rsidR="00980E5F" w14:paraId="392CB88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B88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884" w14:textId="77777777" w:rsidR="00980E5F" w:rsidRDefault="00980E5F">
            <w:pPr>
              <w:rPr>
                <w:rFonts w:ascii="宋体"/>
              </w:rPr>
            </w:pPr>
          </w:p>
        </w:tc>
      </w:tr>
    </w:tbl>
    <w:p w14:paraId="392CB886" w14:textId="77777777" w:rsidR="00980E5F" w:rsidRDefault="00483613">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392CB887" w14:textId="77777777" w:rsidR="00980E5F" w:rsidRDefault="00483613">
      <w:pPr>
        <w:ind w:firstLine="450"/>
        <w:jc w:val="right"/>
      </w:pPr>
      <w:r>
        <w:rPr>
          <w:rFonts w:ascii="Arial" w:eastAsia="宋体" w:hAnsi="Arial" w:cs="Arial"/>
          <w:color w:val="000000"/>
          <w:sz w:val="18"/>
          <w:szCs w:val="18"/>
        </w:rPr>
        <w:t>State Street Corporation | 100</w:t>
      </w:r>
    </w:p>
    <w:p w14:paraId="392CB888" w14:textId="77777777" w:rsidR="00980E5F" w:rsidRDefault="00980E5F">
      <w:pPr>
        <w:ind w:firstLine="450"/>
        <w:jc w:val="center"/>
      </w:pPr>
    </w:p>
    <w:p w14:paraId="392CB889" w14:textId="77777777" w:rsidR="00980E5F" w:rsidRDefault="00483613">
      <w:r>
        <w:pict w14:anchorId="392CBB32">
          <v:rect id="_x0000_i1124" style="width:415.3pt;height:1.5pt" o:hralign="center" o:hrstd="t" o:hr="t" fillcolor="#a0a0a0" stroked="f"/>
        </w:pict>
      </w:r>
    </w:p>
    <w:p w14:paraId="392CB88A" w14:textId="77777777" w:rsidR="00980E5F" w:rsidRDefault="00980E5F">
      <w:pPr>
        <w:ind w:firstLine="450"/>
      </w:pPr>
    </w:p>
    <w:p w14:paraId="392CB88B" w14:textId="77777777" w:rsidR="00980E5F" w:rsidRDefault="00980E5F">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980E5F" w14:paraId="392CB895" w14:textId="77777777">
        <w:trPr>
          <w:jc w:val="center"/>
        </w:trPr>
        <w:tc>
          <w:tcPr>
            <w:tcW w:w="50" w:type="pct"/>
            <w:shd w:val="clear" w:color="auto" w:fill="auto"/>
            <w:vAlign w:val="bottom"/>
          </w:tcPr>
          <w:p w14:paraId="392CB88C" w14:textId="77777777" w:rsidR="00980E5F" w:rsidRDefault="00980E5F">
            <w:pPr>
              <w:rPr>
                <w:rFonts w:ascii="宋体"/>
              </w:rPr>
            </w:pPr>
          </w:p>
        </w:tc>
        <w:tc>
          <w:tcPr>
            <w:tcW w:w="2437" w:type="pct"/>
            <w:shd w:val="clear" w:color="auto" w:fill="auto"/>
            <w:vAlign w:val="bottom"/>
          </w:tcPr>
          <w:p w14:paraId="392CB88D" w14:textId="77777777" w:rsidR="00980E5F" w:rsidRDefault="00980E5F">
            <w:pPr>
              <w:rPr>
                <w:rFonts w:ascii="宋体"/>
              </w:rPr>
            </w:pPr>
          </w:p>
        </w:tc>
        <w:tc>
          <w:tcPr>
            <w:tcW w:w="5" w:type="pct"/>
            <w:shd w:val="clear" w:color="auto" w:fill="auto"/>
            <w:vAlign w:val="bottom"/>
          </w:tcPr>
          <w:p w14:paraId="392CB88E" w14:textId="77777777" w:rsidR="00980E5F" w:rsidRDefault="00980E5F">
            <w:pPr>
              <w:rPr>
                <w:rFonts w:ascii="宋体"/>
              </w:rPr>
            </w:pPr>
          </w:p>
        </w:tc>
        <w:tc>
          <w:tcPr>
            <w:tcW w:w="50" w:type="pct"/>
            <w:shd w:val="clear" w:color="auto" w:fill="auto"/>
            <w:vAlign w:val="bottom"/>
          </w:tcPr>
          <w:p w14:paraId="392CB88F" w14:textId="77777777" w:rsidR="00980E5F" w:rsidRDefault="00980E5F">
            <w:pPr>
              <w:rPr>
                <w:rFonts w:ascii="宋体"/>
              </w:rPr>
            </w:pPr>
          </w:p>
        </w:tc>
        <w:tc>
          <w:tcPr>
            <w:tcW w:w="2452" w:type="pct"/>
            <w:shd w:val="clear" w:color="auto" w:fill="auto"/>
            <w:vAlign w:val="bottom"/>
          </w:tcPr>
          <w:p w14:paraId="392CB890" w14:textId="77777777" w:rsidR="00980E5F" w:rsidRDefault="00980E5F">
            <w:pPr>
              <w:rPr>
                <w:rFonts w:ascii="宋体"/>
              </w:rPr>
            </w:pPr>
          </w:p>
        </w:tc>
        <w:tc>
          <w:tcPr>
            <w:tcW w:w="5" w:type="pct"/>
            <w:shd w:val="clear" w:color="auto" w:fill="auto"/>
            <w:vAlign w:val="bottom"/>
          </w:tcPr>
          <w:p w14:paraId="392CB891" w14:textId="77777777" w:rsidR="00980E5F" w:rsidRDefault="00980E5F">
            <w:pPr>
              <w:rPr>
                <w:rFonts w:ascii="宋体"/>
              </w:rPr>
            </w:pPr>
          </w:p>
        </w:tc>
        <w:tc>
          <w:tcPr>
            <w:tcW w:w="0" w:type="auto"/>
            <w:shd w:val="clear" w:color="auto" w:fill="auto"/>
            <w:vAlign w:val="bottom"/>
          </w:tcPr>
          <w:p w14:paraId="392CB892" w14:textId="77777777" w:rsidR="00980E5F" w:rsidRDefault="00980E5F">
            <w:pPr>
              <w:rPr>
                <w:rFonts w:ascii="宋体"/>
                <w:vanish/>
              </w:rPr>
            </w:pPr>
          </w:p>
        </w:tc>
        <w:tc>
          <w:tcPr>
            <w:tcW w:w="0" w:type="auto"/>
            <w:shd w:val="clear" w:color="auto" w:fill="auto"/>
            <w:vAlign w:val="bottom"/>
          </w:tcPr>
          <w:p w14:paraId="392CB893" w14:textId="77777777" w:rsidR="00980E5F" w:rsidRDefault="00980E5F">
            <w:pPr>
              <w:rPr>
                <w:rFonts w:ascii="宋体"/>
                <w:vanish/>
              </w:rPr>
            </w:pPr>
          </w:p>
        </w:tc>
        <w:tc>
          <w:tcPr>
            <w:tcW w:w="0" w:type="auto"/>
            <w:shd w:val="clear" w:color="auto" w:fill="auto"/>
            <w:vAlign w:val="bottom"/>
          </w:tcPr>
          <w:p w14:paraId="392CB894" w14:textId="77777777" w:rsidR="00980E5F" w:rsidRDefault="00980E5F">
            <w:pPr>
              <w:rPr>
                <w:rFonts w:ascii="宋体"/>
                <w:vanish/>
              </w:rPr>
            </w:pPr>
          </w:p>
        </w:tc>
      </w:tr>
      <w:tr w:rsidR="00980E5F" w14:paraId="392CB89A" w14:textId="77777777">
        <w:trPr>
          <w:jc w:val="center"/>
        </w:trPr>
        <w:tc>
          <w:tcPr>
            <w:tcW w:w="0" w:type="auto"/>
            <w:gridSpan w:val="6"/>
            <w:shd w:val="clear" w:color="auto" w:fill="auto"/>
            <w:tcMar>
              <w:top w:w="40" w:type="dxa"/>
              <w:left w:w="20" w:type="dxa"/>
              <w:bottom w:w="40" w:type="dxa"/>
              <w:right w:w="20" w:type="dxa"/>
            </w:tcMar>
          </w:tcPr>
          <w:p w14:paraId="392CB896" w14:textId="77777777" w:rsidR="00980E5F" w:rsidRDefault="00483613">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392CB897" w14:textId="77777777" w:rsidR="00980E5F" w:rsidRDefault="00980E5F">
            <w:pPr>
              <w:rPr>
                <w:rFonts w:ascii="宋体"/>
                <w:vanish/>
              </w:rPr>
            </w:pPr>
          </w:p>
        </w:tc>
        <w:tc>
          <w:tcPr>
            <w:tcW w:w="0" w:type="auto"/>
            <w:shd w:val="clear" w:color="auto" w:fill="auto"/>
            <w:vAlign w:val="bottom"/>
          </w:tcPr>
          <w:p w14:paraId="392CB898" w14:textId="77777777" w:rsidR="00980E5F" w:rsidRDefault="00980E5F">
            <w:pPr>
              <w:rPr>
                <w:rFonts w:ascii="宋体"/>
                <w:vanish/>
              </w:rPr>
            </w:pPr>
          </w:p>
        </w:tc>
        <w:tc>
          <w:tcPr>
            <w:tcW w:w="0" w:type="auto"/>
            <w:shd w:val="clear" w:color="auto" w:fill="auto"/>
            <w:vAlign w:val="bottom"/>
          </w:tcPr>
          <w:p w14:paraId="392CB899" w14:textId="77777777" w:rsidR="00980E5F" w:rsidRDefault="00980E5F">
            <w:pPr>
              <w:rPr>
                <w:rFonts w:ascii="宋体"/>
                <w:vanish/>
              </w:rPr>
            </w:pPr>
          </w:p>
        </w:tc>
      </w:tr>
      <w:tr w:rsidR="00980E5F" w14:paraId="392CB8A0"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392CB89B" w14:textId="77777777" w:rsidR="00980E5F" w:rsidRDefault="00980E5F">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392CB89C" w14:textId="77777777" w:rsidR="00980E5F" w:rsidRDefault="00980E5F">
            <w:pPr>
              <w:rPr>
                <w:rFonts w:ascii="宋体"/>
              </w:rPr>
            </w:pPr>
          </w:p>
        </w:tc>
        <w:tc>
          <w:tcPr>
            <w:tcW w:w="0" w:type="auto"/>
            <w:shd w:val="clear" w:color="auto" w:fill="auto"/>
            <w:vAlign w:val="bottom"/>
          </w:tcPr>
          <w:p w14:paraId="392CB89D" w14:textId="77777777" w:rsidR="00980E5F" w:rsidRDefault="00980E5F">
            <w:pPr>
              <w:rPr>
                <w:rFonts w:ascii="宋体"/>
                <w:vanish/>
              </w:rPr>
            </w:pPr>
          </w:p>
        </w:tc>
        <w:tc>
          <w:tcPr>
            <w:tcW w:w="0" w:type="auto"/>
            <w:shd w:val="clear" w:color="auto" w:fill="auto"/>
            <w:vAlign w:val="bottom"/>
          </w:tcPr>
          <w:p w14:paraId="392CB89E" w14:textId="77777777" w:rsidR="00980E5F" w:rsidRDefault="00980E5F">
            <w:pPr>
              <w:rPr>
                <w:rFonts w:ascii="宋体"/>
                <w:vanish/>
              </w:rPr>
            </w:pPr>
          </w:p>
        </w:tc>
        <w:tc>
          <w:tcPr>
            <w:tcW w:w="0" w:type="auto"/>
            <w:shd w:val="clear" w:color="auto" w:fill="auto"/>
            <w:vAlign w:val="bottom"/>
          </w:tcPr>
          <w:p w14:paraId="392CB89F" w14:textId="77777777" w:rsidR="00980E5F" w:rsidRDefault="00980E5F">
            <w:pPr>
              <w:rPr>
                <w:rFonts w:ascii="宋体"/>
                <w:vanish/>
              </w:rPr>
            </w:pPr>
          </w:p>
        </w:tc>
      </w:tr>
      <w:tr w:rsidR="00980E5F" w14:paraId="392CB8A6" w14:textId="77777777">
        <w:trPr>
          <w:jc w:val="center"/>
          <w:hidden/>
        </w:trPr>
        <w:tc>
          <w:tcPr>
            <w:tcW w:w="0" w:type="auto"/>
            <w:gridSpan w:val="3"/>
            <w:shd w:val="clear" w:color="auto" w:fill="auto"/>
            <w:vAlign w:val="bottom"/>
          </w:tcPr>
          <w:p w14:paraId="392CB8A1" w14:textId="77777777" w:rsidR="00980E5F" w:rsidRDefault="00980E5F">
            <w:pPr>
              <w:rPr>
                <w:rFonts w:ascii="宋体"/>
                <w:vanish/>
              </w:rPr>
            </w:pPr>
          </w:p>
        </w:tc>
        <w:tc>
          <w:tcPr>
            <w:tcW w:w="0" w:type="auto"/>
            <w:gridSpan w:val="3"/>
            <w:shd w:val="clear" w:color="auto" w:fill="auto"/>
            <w:vAlign w:val="bottom"/>
          </w:tcPr>
          <w:p w14:paraId="392CB8A2" w14:textId="77777777" w:rsidR="00980E5F" w:rsidRDefault="00980E5F">
            <w:pPr>
              <w:rPr>
                <w:rFonts w:ascii="宋体"/>
                <w:vanish/>
              </w:rPr>
            </w:pPr>
          </w:p>
        </w:tc>
        <w:tc>
          <w:tcPr>
            <w:tcW w:w="0" w:type="auto"/>
            <w:shd w:val="clear" w:color="auto" w:fill="auto"/>
            <w:vAlign w:val="bottom"/>
          </w:tcPr>
          <w:p w14:paraId="392CB8A3" w14:textId="77777777" w:rsidR="00980E5F" w:rsidRDefault="00980E5F">
            <w:pPr>
              <w:rPr>
                <w:rFonts w:ascii="宋体"/>
                <w:vanish/>
              </w:rPr>
            </w:pPr>
          </w:p>
        </w:tc>
        <w:tc>
          <w:tcPr>
            <w:tcW w:w="0" w:type="auto"/>
            <w:shd w:val="clear" w:color="auto" w:fill="auto"/>
            <w:vAlign w:val="bottom"/>
          </w:tcPr>
          <w:p w14:paraId="392CB8A4" w14:textId="77777777" w:rsidR="00980E5F" w:rsidRDefault="00980E5F">
            <w:pPr>
              <w:rPr>
                <w:rFonts w:ascii="宋体"/>
                <w:vanish/>
              </w:rPr>
            </w:pPr>
          </w:p>
        </w:tc>
        <w:tc>
          <w:tcPr>
            <w:tcW w:w="0" w:type="auto"/>
            <w:shd w:val="clear" w:color="auto" w:fill="auto"/>
            <w:vAlign w:val="bottom"/>
          </w:tcPr>
          <w:p w14:paraId="392CB8A5" w14:textId="77777777" w:rsidR="00980E5F" w:rsidRDefault="00980E5F">
            <w:pPr>
              <w:rPr>
                <w:rFonts w:ascii="宋体"/>
                <w:vanish/>
              </w:rPr>
            </w:pPr>
          </w:p>
        </w:tc>
      </w:tr>
      <w:tr w:rsidR="00980E5F" w14:paraId="392CB8AC" w14:textId="77777777">
        <w:trPr>
          <w:jc w:val="center"/>
          <w:hidden/>
        </w:trPr>
        <w:tc>
          <w:tcPr>
            <w:tcW w:w="0" w:type="auto"/>
            <w:gridSpan w:val="3"/>
            <w:shd w:val="clear" w:color="auto" w:fill="auto"/>
            <w:vAlign w:val="bottom"/>
          </w:tcPr>
          <w:p w14:paraId="392CB8A7" w14:textId="77777777" w:rsidR="00980E5F" w:rsidRDefault="00980E5F">
            <w:pPr>
              <w:rPr>
                <w:rFonts w:ascii="宋体"/>
                <w:vanish/>
              </w:rPr>
            </w:pPr>
          </w:p>
        </w:tc>
        <w:tc>
          <w:tcPr>
            <w:tcW w:w="0" w:type="auto"/>
            <w:gridSpan w:val="3"/>
            <w:shd w:val="clear" w:color="auto" w:fill="auto"/>
            <w:vAlign w:val="bottom"/>
          </w:tcPr>
          <w:p w14:paraId="392CB8A8" w14:textId="77777777" w:rsidR="00980E5F" w:rsidRDefault="00980E5F">
            <w:pPr>
              <w:rPr>
                <w:rFonts w:ascii="宋体"/>
                <w:vanish/>
              </w:rPr>
            </w:pPr>
          </w:p>
        </w:tc>
        <w:tc>
          <w:tcPr>
            <w:tcW w:w="0" w:type="auto"/>
            <w:shd w:val="clear" w:color="auto" w:fill="auto"/>
            <w:vAlign w:val="bottom"/>
          </w:tcPr>
          <w:p w14:paraId="392CB8A9" w14:textId="77777777" w:rsidR="00980E5F" w:rsidRDefault="00980E5F">
            <w:pPr>
              <w:rPr>
                <w:rFonts w:ascii="宋体"/>
                <w:vanish/>
              </w:rPr>
            </w:pPr>
          </w:p>
        </w:tc>
        <w:tc>
          <w:tcPr>
            <w:tcW w:w="0" w:type="auto"/>
            <w:shd w:val="clear" w:color="auto" w:fill="auto"/>
            <w:vAlign w:val="bottom"/>
          </w:tcPr>
          <w:p w14:paraId="392CB8AA" w14:textId="77777777" w:rsidR="00980E5F" w:rsidRDefault="00980E5F">
            <w:pPr>
              <w:rPr>
                <w:rFonts w:ascii="宋体"/>
                <w:vanish/>
              </w:rPr>
            </w:pPr>
          </w:p>
        </w:tc>
        <w:tc>
          <w:tcPr>
            <w:tcW w:w="0" w:type="auto"/>
            <w:shd w:val="clear" w:color="auto" w:fill="auto"/>
            <w:vAlign w:val="bottom"/>
          </w:tcPr>
          <w:p w14:paraId="392CB8AB" w14:textId="77777777" w:rsidR="00980E5F" w:rsidRDefault="00980E5F">
            <w:pPr>
              <w:rPr>
                <w:rFonts w:ascii="宋体"/>
                <w:vanish/>
              </w:rPr>
            </w:pPr>
          </w:p>
        </w:tc>
      </w:tr>
      <w:tr w:rsidR="00980E5F" w14:paraId="392CB8B2" w14:textId="77777777">
        <w:trPr>
          <w:jc w:val="center"/>
          <w:hidden/>
        </w:trPr>
        <w:tc>
          <w:tcPr>
            <w:tcW w:w="0" w:type="auto"/>
            <w:gridSpan w:val="3"/>
            <w:shd w:val="clear" w:color="auto" w:fill="auto"/>
            <w:vAlign w:val="bottom"/>
          </w:tcPr>
          <w:p w14:paraId="392CB8AD" w14:textId="77777777" w:rsidR="00980E5F" w:rsidRDefault="00980E5F">
            <w:pPr>
              <w:rPr>
                <w:rFonts w:ascii="宋体"/>
                <w:vanish/>
              </w:rPr>
            </w:pPr>
          </w:p>
        </w:tc>
        <w:tc>
          <w:tcPr>
            <w:tcW w:w="0" w:type="auto"/>
            <w:gridSpan w:val="3"/>
            <w:shd w:val="clear" w:color="auto" w:fill="auto"/>
            <w:vAlign w:val="bottom"/>
          </w:tcPr>
          <w:p w14:paraId="392CB8AE" w14:textId="77777777" w:rsidR="00980E5F" w:rsidRDefault="00980E5F">
            <w:pPr>
              <w:rPr>
                <w:rFonts w:ascii="宋体"/>
                <w:vanish/>
              </w:rPr>
            </w:pPr>
          </w:p>
        </w:tc>
        <w:tc>
          <w:tcPr>
            <w:tcW w:w="0" w:type="auto"/>
            <w:shd w:val="clear" w:color="auto" w:fill="auto"/>
            <w:vAlign w:val="bottom"/>
          </w:tcPr>
          <w:p w14:paraId="392CB8AF" w14:textId="77777777" w:rsidR="00980E5F" w:rsidRDefault="00980E5F">
            <w:pPr>
              <w:rPr>
                <w:rFonts w:ascii="宋体"/>
                <w:vanish/>
              </w:rPr>
            </w:pPr>
          </w:p>
        </w:tc>
        <w:tc>
          <w:tcPr>
            <w:tcW w:w="0" w:type="auto"/>
            <w:shd w:val="clear" w:color="auto" w:fill="auto"/>
            <w:vAlign w:val="bottom"/>
          </w:tcPr>
          <w:p w14:paraId="392CB8B0" w14:textId="77777777" w:rsidR="00980E5F" w:rsidRDefault="00980E5F">
            <w:pPr>
              <w:rPr>
                <w:rFonts w:ascii="宋体"/>
                <w:vanish/>
              </w:rPr>
            </w:pPr>
          </w:p>
        </w:tc>
        <w:tc>
          <w:tcPr>
            <w:tcW w:w="0" w:type="auto"/>
            <w:shd w:val="clear" w:color="auto" w:fill="auto"/>
            <w:vAlign w:val="bottom"/>
          </w:tcPr>
          <w:p w14:paraId="392CB8B1" w14:textId="77777777" w:rsidR="00980E5F" w:rsidRDefault="00980E5F">
            <w:pPr>
              <w:rPr>
                <w:rFonts w:ascii="宋体"/>
                <w:vanish/>
              </w:rPr>
            </w:pPr>
          </w:p>
        </w:tc>
      </w:tr>
      <w:tr w:rsidR="00980E5F" w14:paraId="392CB8B8" w14:textId="77777777">
        <w:trPr>
          <w:jc w:val="center"/>
          <w:hidden/>
        </w:trPr>
        <w:tc>
          <w:tcPr>
            <w:tcW w:w="0" w:type="auto"/>
            <w:gridSpan w:val="3"/>
            <w:shd w:val="clear" w:color="auto" w:fill="auto"/>
            <w:vAlign w:val="bottom"/>
          </w:tcPr>
          <w:p w14:paraId="392CB8B3" w14:textId="77777777" w:rsidR="00980E5F" w:rsidRDefault="00980E5F">
            <w:pPr>
              <w:rPr>
                <w:rFonts w:ascii="宋体"/>
                <w:vanish/>
              </w:rPr>
            </w:pPr>
          </w:p>
        </w:tc>
        <w:tc>
          <w:tcPr>
            <w:tcW w:w="0" w:type="auto"/>
            <w:gridSpan w:val="3"/>
            <w:shd w:val="clear" w:color="auto" w:fill="auto"/>
            <w:vAlign w:val="bottom"/>
          </w:tcPr>
          <w:p w14:paraId="392CB8B4" w14:textId="77777777" w:rsidR="00980E5F" w:rsidRDefault="00980E5F">
            <w:pPr>
              <w:rPr>
                <w:rFonts w:ascii="宋体"/>
                <w:vanish/>
              </w:rPr>
            </w:pPr>
          </w:p>
        </w:tc>
        <w:tc>
          <w:tcPr>
            <w:tcW w:w="0" w:type="auto"/>
            <w:shd w:val="clear" w:color="auto" w:fill="auto"/>
            <w:vAlign w:val="bottom"/>
          </w:tcPr>
          <w:p w14:paraId="392CB8B5" w14:textId="77777777" w:rsidR="00980E5F" w:rsidRDefault="00980E5F">
            <w:pPr>
              <w:rPr>
                <w:rFonts w:ascii="宋体"/>
                <w:vanish/>
              </w:rPr>
            </w:pPr>
          </w:p>
        </w:tc>
        <w:tc>
          <w:tcPr>
            <w:tcW w:w="0" w:type="auto"/>
            <w:shd w:val="clear" w:color="auto" w:fill="auto"/>
            <w:vAlign w:val="bottom"/>
          </w:tcPr>
          <w:p w14:paraId="392CB8B6" w14:textId="77777777" w:rsidR="00980E5F" w:rsidRDefault="00980E5F">
            <w:pPr>
              <w:rPr>
                <w:rFonts w:ascii="宋体"/>
                <w:vanish/>
              </w:rPr>
            </w:pPr>
          </w:p>
        </w:tc>
        <w:tc>
          <w:tcPr>
            <w:tcW w:w="0" w:type="auto"/>
            <w:shd w:val="clear" w:color="auto" w:fill="auto"/>
            <w:vAlign w:val="bottom"/>
          </w:tcPr>
          <w:p w14:paraId="392CB8B7" w14:textId="77777777" w:rsidR="00980E5F" w:rsidRDefault="00980E5F">
            <w:pPr>
              <w:rPr>
                <w:rFonts w:ascii="宋体"/>
                <w:vanish/>
              </w:rPr>
            </w:pPr>
          </w:p>
        </w:tc>
      </w:tr>
      <w:tr w:rsidR="00980E5F" w14:paraId="392CB8BE" w14:textId="77777777">
        <w:trPr>
          <w:jc w:val="center"/>
          <w:hidden/>
        </w:trPr>
        <w:tc>
          <w:tcPr>
            <w:tcW w:w="0" w:type="auto"/>
            <w:gridSpan w:val="3"/>
            <w:shd w:val="clear" w:color="auto" w:fill="auto"/>
            <w:vAlign w:val="bottom"/>
          </w:tcPr>
          <w:p w14:paraId="392CB8B9" w14:textId="77777777" w:rsidR="00980E5F" w:rsidRDefault="00980E5F">
            <w:pPr>
              <w:rPr>
                <w:rFonts w:ascii="宋体"/>
                <w:vanish/>
              </w:rPr>
            </w:pPr>
          </w:p>
        </w:tc>
        <w:tc>
          <w:tcPr>
            <w:tcW w:w="0" w:type="auto"/>
            <w:gridSpan w:val="3"/>
            <w:shd w:val="clear" w:color="auto" w:fill="auto"/>
            <w:vAlign w:val="bottom"/>
          </w:tcPr>
          <w:p w14:paraId="392CB8BA" w14:textId="77777777" w:rsidR="00980E5F" w:rsidRDefault="00980E5F">
            <w:pPr>
              <w:rPr>
                <w:rFonts w:ascii="宋体"/>
                <w:vanish/>
              </w:rPr>
            </w:pPr>
          </w:p>
        </w:tc>
        <w:tc>
          <w:tcPr>
            <w:tcW w:w="0" w:type="auto"/>
            <w:shd w:val="clear" w:color="auto" w:fill="auto"/>
            <w:vAlign w:val="bottom"/>
          </w:tcPr>
          <w:p w14:paraId="392CB8BB" w14:textId="77777777" w:rsidR="00980E5F" w:rsidRDefault="00980E5F">
            <w:pPr>
              <w:rPr>
                <w:rFonts w:ascii="宋体"/>
                <w:vanish/>
              </w:rPr>
            </w:pPr>
          </w:p>
        </w:tc>
        <w:tc>
          <w:tcPr>
            <w:tcW w:w="0" w:type="auto"/>
            <w:shd w:val="clear" w:color="auto" w:fill="auto"/>
            <w:vAlign w:val="bottom"/>
          </w:tcPr>
          <w:p w14:paraId="392CB8BC" w14:textId="77777777" w:rsidR="00980E5F" w:rsidRDefault="00980E5F">
            <w:pPr>
              <w:rPr>
                <w:rFonts w:ascii="宋体"/>
                <w:vanish/>
              </w:rPr>
            </w:pPr>
          </w:p>
        </w:tc>
        <w:tc>
          <w:tcPr>
            <w:tcW w:w="0" w:type="auto"/>
            <w:shd w:val="clear" w:color="auto" w:fill="auto"/>
            <w:vAlign w:val="bottom"/>
          </w:tcPr>
          <w:p w14:paraId="392CB8BD" w14:textId="77777777" w:rsidR="00980E5F" w:rsidRDefault="00980E5F">
            <w:pPr>
              <w:rPr>
                <w:rFonts w:ascii="宋体"/>
                <w:vanish/>
              </w:rPr>
            </w:pPr>
          </w:p>
        </w:tc>
      </w:tr>
      <w:tr w:rsidR="00980E5F" w14:paraId="392CB8C4" w14:textId="77777777">
        <w:trPr>
          <w:jc w:val="center"/>
          <w:hidden/>
        </w:trPr>
        <w:tc>
          <w:tcPr>
            <w:tcW w:w="0" w:type="auto"/>
            <w:gridSpan w:val="3"/>
            <w:shd w:val="clear" w:color="auto" w:fill="auto"/>
            <w:vAlign w:val="bottom"/>
          </w:tcPr>
          <w:p w14:paraId="392CB8BF" w14:textId="77777777" w:rsidR="00980E5F" w:rsidRDefault="00980E5F">
            <w:pPr>
              <w:rPr>
                <w:rFonts w:ascii="宋体"/>
                <w:vanish/>
              </w:rPr>
            </w:pPr>
          </w:p>
        </w:tc>
        <w:tc>
          <w:tcPr>
            <w:tcW w:w="0" w:type="auto"/>
            <w:gridSpan w:val="3"/>
            <w:shd w:val="clear" w:color="auto" w:fill="auto"/>
            <w:vAlign w:val="bottom"/>
          </w:tcPr>
          <w:p w14:paraId="392CB8C0" w14:textId="77777777" w:rsidR="00980E5F" w:rsidRDefault="00980E5F">
            <w:pPr>
              <w:rPr>
                <w:rFonts w:ascii="宋体"/>
                <w:vanish/>
              </w:rPr>
            </w:pPr>
          </w:p>
        </w:tc>
        <w:tc>
          <w:tcPr>
            <w:tcW w:w="0" w:type="auto"/>
            <w:shd w:val="clear" w:color="auto" w:fill="auto"/>
            <w:vAlign w:val="bottom"/>
          </w:tcPr>
          <w:p w14:paraId="392CB8C1" w14:textId="77777777" w:rsidR="00980E5F" w:rsidRDefault="00980E5F">
            <w:pPr>
              <w:rPr>
                <w:rFonts w:ascii="宋体"/>
                <w:vanish/>
              </w:rPr>
            </w:pPr>
          </w:p>
        </w:tc>
        <w:tc>
          <w:tcPr>
            <w:tcW w:w="0" w:type="auto"/>
            <w:shd w:val="clear" w:color="auto" w:fill="auto"/>
            <w:vAlign w:val="bottom"/>
          </w:tcPr>
          <w:p w14:paraId="392CB8C2" w14:textId="77777777" w:rsidR="00980E5F" w:rsidRDefault="00980E5F">
            <w:pPr>
              <w:rPr>
                <w:rFonts w:ascii="宋体"/>
                <w:vanish/>
              </w:rPr>
            </w:pPr>
          </w:p>
        </w:tc>
        <w:tc>
          <w:tcPr>
            <w:tcW w:w="0" w:type="auto"/>
            <w:shd w:val="clear" w:color="auto" w:fill="auto"/>
            <w:vAlign w:val="bottom"/>
          </w:tcPr>
          <w:p w14:paraId="392CB8C3" w14:textId="77777777" w:rsidR="00980E5F" w:rsidRDefault="00980E5F">
            <w:pPr>
              <w:rPr>
                <w:rFonts w:ascii="宋体"/>
                <w:vanish/>
              </w:rPr>
            </w:pPr>
          </w:p>
        </w:tc>
      </w:tr>
      <w:tr w:rsidR="00980E5F" w14:paraId="392CB8CA" w14:textId="77777777">
        <w:trPr>
          <w:jc w:val="center"/>
          <w:hidden/>
        </w:trPr>
        <w:tc>
          <w:tcPr>
            <w:tcW w:w="0" w:type="auto"/>
            <w:gridSpan w:val="3"/>
            <w:shd w:val="clear" w:color="auto" w:fill="auto"/>
            <w:vAlign w:val="bottom"/>
          </w:tcPr>
          <w:p w14:paraId="392CB8C5" w14:textId="77777777" w:rsidR="00980E5F" w:rsidRDefault="00980E5F">
            <w:pPr>
              <w:rPr>
                <w:rFonts w:ascii="宋体"/>
                <w:vanish/>
              </w:rPr>
            </w:pPr>
          </w:p>
        </w:tc>
        <w:tc>
          <w:tcPr>
            <w:tcW w:w="0" w:type="auto"/>
            <w:gridSpan w:val="3"/>
            <w:shd w:val="clear" w:color="auto" w:fill="auto"/>
            <w:vAlign w:val="bottom"/>
          </w:tcPr>
          <w:p w14:paraId="392CB8C6" w14:textId="77777777" w:rsidR="00980E5F" w:rsidRDefault="00980E5F">
            <w:pPr>
              <w:rPr>
                <w:rFonts w:ascii="宋体"/>
                <w:vanish/>
              </w:rPr>
            </w:pPr>
          </w:p>
        </w:tc>
        <w:tc>
          <w:tcPr>
            <w:tcW w:w="0" w:type="auto"/>
            <w:shd w:val="clear" w:color="auto" w:fill="auto"/>
            <w:vAlign w:val="bottom"/>
          </w:tcPr>
          <w:p w14:paraId="392CB8C7" w14:textId="77777777" w:rsidR="00980E5F" w:rsidRDefault="00980E5F">
            <w:pPr>
              <w:rPr>
                <w:rFonts w:ascii="宋体"/>
                <w:vanish/>
              </w:rPr>
            </w:pPr>
          </w:p>
        </w:tc>
        <w:tc>
          <w:tcPr>
            <w:tcW w:w="0" w:type="auto"/>
            <w:shd w:val="clear" w:color="auto" w:fill="auto"/>
            <w:vAlign w:val="bottom"/>
          </w:tcPr>
          <w:p w14:paraId="392CB8C8" w14:textId="77777777" w:rsidR="00980E5F" w:rsidRDefault="00980E5F">
            <w:pPr>
              <w:rPr>
                <w:rFonts w:ascii="宋体"/>
                <w:vanish/>
              </w:rPr>
            </w:pPr>
          </w:p>
        </w:tc>
        <w:tc>
          <w:tcPr>
            <w:tcW w:w="0" w:type="auto"/>
            <w:shd w:val="clear" w:color="auto" w:fill="auto"/>
            <w:vAlign w:val="bottom"/>
          </w:tcPr>
          <w:p w14:paraId="392CB8C9" w14:textId="77777777" w:rsidR="00980E5F" w:rsidRDefault="00980E5F">
            <w:pPr>
              <w:rPr>
                <w:rFonts w:ascii="宋体"/>
                <w:vanish/>
              </w:rPr>
            </w:pPr>
          </w:p>
        </w:tc>
      </w:tr>
      <w:tr w:rsidR="00980E5F" w14:paraId="392CB8D0" w14:textId="77777777">
        <w:trPr>
          <w:jc w:val="center"/>
          <w:hidden/>
        </w:trPr>
        <w:tc>
          <w:tcPr>
            <w:tcW w:w="0" w:type="auto"/>
            <w:gridSpan w:val="3"/>
            <w:shd w:val="clear" w:color="auto" w:fill="auto"/>
            <w:vAlign w:val="bottom"/>
          </w:tcPr>
          <w:p w14:paraId="392CB8CB" w14:textId="77777777" w:rsidR="00980E5F" w:rsidRDefault="00980E5F">
            <w:pPr>
              <w:rPr>
                <w:rFonts w:ascii="宋体"/>
                <w:vanish/>
              </w:rPr>
            </w:pPr>
          </w:p>
        </w:tc>
        <w:tc>
          <w:tcPr>
            <w:tcW w:w="0" w:type="auto"/>
            <w:gridSpan w:val="3"/>
            <w:shd w:val="clear" w:color="auto" w:fill="auto"/>
            <w:vAlign w:val="bottom"/>
          </w:tcPr>
          <w:p w14:paraId="392CB8CC" w14:textId="77777777" w:rsidR="00980E5F" w:rsidRDefault="00980E5F">
            <w:pPr>
              <w:rPr>
                <w:rFonts w:ascii="宋体"/>
                <w:vanish/>
              </w:rPr>
            </w:pPr>
          </w:p>
        </w:tc>
        <w:tc>
          <w:tcPr>
            <w:tcW w:w="0" w:type="auto"/>
            <w:shd w:val="clear" w:color="auto" w:fill="auto"/>
            <w:vAlign w:val="bottom"/>
          </w:tcPr>
          <w:p w14:paraId="392CB8CD" w14:textId="77777777" w:rsidR="00980E5F" w:rsidRDefault="00980E5F">
            <w:pPr>
              <w:rPr>
                <w:rFonts w:ascii="宋体"/>
                <w:vanish/>
              </w:rPr>
            </w:pPr>
          </w:p>
        </w:tc>
        <w:tc>
          <w:tcPr>
            <w:tcW w:w="0" w:type="auto"/>
            <w:shd w:val="clear" w:color="auto" w:fill="auto"/>
            <w:vAlign w:val="bottom"/>
          </w:tcPr>
          <w:p w14:paraId="392CB8CE" w14:textId="77777777" w:rsidR="00980E5F" w:rsidRDefault="00980E5F">
            <w:pPr>
              <w:rPr>
                <w:rFonts w:ascii="宋体"/>
                <w:vanish/>
              </w:rPr>
            </w:pPr>
          </w:p>
        </w:tc>
        <w:tc>
          <w:tcPr>
            <w:tcW w:w="0" w:type="auto"/>
            <w:shd w:val="clear" w:color="auto" w:fill="auto"/>
            <w:vAlign w:val="bottom"/>
          </w:tcPr>
          <w:p w14:paraId="392CB8CF" w14:textId="77777777" w:rsidR="00980E5F" w:rsidRDefault="00980E5F">
            <w:pPr>
              <w:rPr>
                <w:rFonts w:ascii="宋体"/>
                <w:vanish/>
              </w:rPr>
            </w:pPr>
          </w:p>
        </w:tc>
      </w:tr>
      <w:tr w:rsidR="00980E5F" w14:paraId="392CB8D6" w14:textId="77777777">
        <w:trPr>
          <w:jc w:val="center"/>
          <w:hidden/>
        </w:trPr>
        <w:tc>
          <w:tcPr>
            <w:tcW w:w="0" w:type="auto"/>
            <w:gridSpan w:val="3"/>
            <w:shd w:val="clear" w:color="auto" w:fill="auto"/>
            <w:vAlign w:val="bottom"/>
          </w:tcPr>
          <w:p w14:paraId="392CB8D1" w14:textId="77777777" w:rsidR="00980E5F" w:rsidRDefault="00980E5F">
            <w:pPr>
              <w:rPr>
                <w:rFonts w:ascii="宋体"/>
                <w:vanish/>
              </w:rPr>
            </w:pPr>
          </w:p>
        </w:tc>
        <w:tc>
          <w:tcPr>
            <w:tcW w:w="0" w:type="auto"/>
            <w:gridSpan w:val="3"/>
            <w:shd w:val="clear" w:color="auto" w:fill="auto"/>
            <w:vAlign w:val="bottom"/>
          </w:tcPr>
          <w:p w14:paraId="392CB8D2" w14:textId="77777777" w:rsidR="00980E5F" w:rsidRDefault="00980E5F">
            <w:pPr>
              <w:rPr>
                <w:rFonts w:ascii="宋体"/>
                <w:vanish/>
              </w:rPr>
            </w:pPr>
          </w:p>
        </w:tc>
        <w:tc>
          <w:tcPr>
            <w:tcW w:w="0" w:type="auto"/>
            <w:shd w:val="clear" w:color="auto" w:fill="auto"/>
            <w:vAlign w:val="bottom"/>
          </w:tcPr>
          <w:p w14:paraId="392CB8D3" w14:textId="77777777" w:rsidR="00980E5F" w:rsidRDefault="00980E5F">
            <w:pPr>
              <w:rPr>
                <w:rFonts w:ascii="宋体"/>
                <w:vanish/>
              </w:rPr>
            </w:pPr>
          </w:p>
        </w:tc>
        <w:tc>
          <w:tcPr>
            <w:tcW w:w="0" w:type="auto"/>
            <w:shd w:val="clear" w:color="auto" w:fill="auto"/>
            <w:vAlign w:val="bottom"/>
          </w:tcPr>
          <w:p w14:paraId="392CB8D4" w14:textId="77777777" w:rsidR="00980E5F" w:rsidRDefault="00980E5F">
            <w:pPr>
              <w:rPr>
                <w:rFonts w:ascii="宋体"/>
                <w:vanish/>
              </w:rPr>
            </w:pPr>
          </w:p>
        </w:tc>
        <w:tc>
          <w:tcPr>
            <w:tcW w:w="0" w:type="auto"/>
            <w:shd w:val="clear" w:color="auto" w:fill="auto"/>
            <w:vAlign w:val="bottom"/>
          </w:tcPr>
          <w:p w14:paraId="392CB8D5" w14:textId="77777777" w:rsidR="00980E5F" w:rsidRDefault="00980E5F">
            <w:pPr>
              <w:rPr>
                <w:rFonts w:ascii="宋体"/>
                <w:vanish/>
              </w:rPr>
            </w:pPr>
          </w:p>
        </w:tc>
      </w:tr>
      <w:tr w:rsidR="00980E5F" w14:paraId="392CB8DC" w14:textId="77777777">
        <w:trPr>
          <w:jc w:val="center"/>
          <w:hidden/>
        </w:trPr>
        <w:tc>
          <w:tcPr>
            <w:tcW w:w="0" w:type="auto"/>
            <w:gridSpan w:val="3"/>
            <w:shd w:val="clear" w:color="auto" w:fill="auto"/>
            <w:vAlign w:val="bottom"/>
          </w:tcPr>
          <w:p w14:paraId="392CB8D7" w14:textId="77777777" w:rsidR="00980E5F" w:rsidRDefault="00980E5F">
            <w:pPr>
              <w:rPr>
                <w:rFonts w:ascii="宋体"/>
                <w:vanish/>
              </w:rPr>
            </w:pPr>
          </w:p>
        </w:tc>
        <w:tc>
          <w:tcPr>
            <w:tcW w:w="0" w:type="auto"/>
            <w:gridSpan w:val="3"/>
            <w:shd w:val="clear" w:color="auto" w:fill="auto"/>
            <w:vAlign w:val="bottom"/>
          </w:tcPr>
          <w:p w14:paraId="392CB8D8" w14:textId="77777777" w:rsidR="00980E5F" w:rsidRDefault="00980E5F">
            <w:pPr>
              <w:rPr>
                <w:rFonts w:ascii="宋体"/>
                <w:vanish/>
              </w:rPr>
            </w:pPr>
          </w:p>
        </w:tc>
        <w:tc>
          <w:tcPr>
            <w:tcW w:w="0" w:type="auto"/>
            <w:shd w:val="clear" w:color="auto" w:fill="auto"/>
            <w:vAlign w:val="bottom"/>
          </w:tcPr>
          <w:p w14:paraId="392CB8D9" w14:textId="77777777" w:rsidR="00980E5F" w:rsidRDefault="00980E5F">
            <w:pPr>
              <w:rPr>
                <w:rFonts w:ascii="宋体"/>
                <w:vanish/>
              </w:rPr>
            </w:pPr>
          </w:p>
        </w:tc>
        <w:tc>
          <w:tcPr>
            <w:tcW w:w="0" w:type="auto"/>
            <w:shd w:val="clear" w:color="auto" w:fill="auto"/>
            <w:vAlign w:val="bottom"/>
          </w:tcPr>
          <w:p w14:paraId="392CB8DA" w14:textId="77777777" w:rsidR="00980E5F" w:rsidRDefault="00980E5F">
            <w:pPr>
              <w:rPr>
                <w:rFonts w:ascii="宋体"/>
                <w:vanish/>
              </w:rPr>
            </w:pPr>
          </w:p>
        </w:tc>
        <w:tc>
          <w:tcPr>
            <w:tcW w:w="0" w:type="auto"/>
            <w:shd w:val="clear" w:color="auto" w:fill="auto"/>
            <w:vAlign w:val="bottom"/>
          </w:tcPr>
          <w:p w14:paraId="392CB8DB" w14:textId="77777777" w:rsidR="00980E5F" w:rsidRDefault="00980E5F">
            <w:pPr>
              <w:rPr>
                <w:rFonts w:ascii="宋体"/>
                <w:vanish/>
              </w:rPr>
            </w:pPr>
          </w:p>
        </w:tc>
      </w:tr>
      <w:tr w:rsidR="00980E5F" w14:paraId="392CB8E2" w14:textId="77777777">
        <w:trPr>
          <w:jc w:val="center"/>
          <w:hidden/>
        </w:trPr>
        <w:tc>
          <w:tcPr>
            <w:tcW w:w="0" w:type="auto"/>
            <w:gridSpan w:val="3"/>
            <w:shd w:val="clear" w:color="auto" w:fill="auto"/>
            <w:vAlign w:val="bottom"/>
          </w:tcPr>
          <w:p w14:paraId="392CB8DD" w14:textId="77777777" w:rsidR="00980E5F" w:rsidRDefault="00980E5F">
            <w:pPr>
              <w:rPr>
                <w:rFonts w:ascii="宋体"/>
                <w:vanish/>
              </w:rPr>
            </w:pPr>
          </w:p>
        </w:tc>
        <w:tc>
          <w:tcPr>
            <w:tcW w:w="0" w:type="auto"/>
            <w:gridSpan w:val="3"/>
            <w:shd w:val="clear" w:color="auto" w:fill="auto"/>
            <w:vAlign w:val="bottom"/>
          </w:tcPr>
          <w:p w14:paraId="392CB8DE" w14:textId="77777777" w:rsidR="00980E5F" w:rsidRDefault="00980E5F">
            <w:pPr>
              <w:rPr>
                <w:rFonts w:ascii="宋体"/>
                <w:vanish/>
              </w:rPr>
            </w:pPr>
          </w:p>
        </w:tc>
        <w:tc>
          <w:tcPr>
            <w:tcW w:w="0" w:type="auto"/>
            <w:shd w:val="clear" w:color="auto" w:fill="auto"/>
            <w:vAlign w:val="bottom"/>
          </w:tcPr>
          <w:p w14:paraId="392CB8DF" w14:textId="77777777" w:rsidR="00980E5F" w:rsidRDefault="00980E5F">
            <w:pPr>
              <w:rPr>
                <w:rFonts w:ascii="宋体"/>
                <w:vanish/>
              </w:rPr>
            </w:pPr>
          </w:p>
        </w:tc>
        <w:tc>
          <w:tcPr>
            <w:tcW w:w="0" w:type="auto"/>
            <w:shd w:val="clear" w:color="auto" w:fill="auto"/>
            <w:vAlign w:val="bottom"/>
          </w:tcPr>
          <w:p w14:paraId="392CB8E0" w14:textId="77777777" w:rsidR="00980E5F" w:rsidRDefault="00980E5F">
            <w:pPr>
              <w:rPr>
                <w:rFonts w:ascii="宋体"/>
                <w:vanish/>
              </w:rPr>
            </w:pPr>
          </w:p>
        </w:tc>
        <w:tc>
          <w:tcPr>
            <w:tcW w:w="0" w:type="auto"/>
            <w:shd w:val="clear" w:color="auto" w:fill="auto"/>
            <w:vAlign w:val="bottom"/>
          </w:tcPr>
          <w:p w14:paraId="392CB8E1" w14:textId="77777777" w:rsidR="00980E5F" w:rsidRDefault="00980E5F">
            <w:pPr>
              <w:rPr>
                <w:rFonts w:ascii="宋体"/>
                <w:vanish/>
              </w:rPr>
            </w:pPr>
          </w:p>
        </w:tc>
      </w:tr>
      <w:tr w:rsidR="00980E5F" w14:paraId="392CB8E8" w14:textId="77777777">
        <w:trPr>
          <w:jc w:val="center"/>
          <w:hidden/>
        </w:trPr>
        <w:tc>
          <w:tcPr>
            <w:tcW w:w="0" w:type="auto"/>
            <w:gridSpan w:val="3"/>
            <w:shd w:val="clear" w:color="auto" w:fill="auto"/>
            <w:vAlign w:val="bottom"/>
          </w:tcPr>
          <w:p w14:paraId="392CB8E3" w14:textId="77777777" w:rsidR="00980E5F" w:rsidRDefault="00980E5F">
            <w:pPr>
              <w:rPr>
                <w:rFonts w:ascii="宋体"/>
                <w:vanish/>
              </w:rPr>
            </w:pPr>
          </w:p>
        </w:tc>
        <w:tc>
          <w:tcPr>
            <w:tcW w:w="0" w:type="auto"/>
            <w:gridSpan w:val="3"/>
            <w:shd w:val="clear" w:color="auto" w:fill="auto"/>
            <w:vAlign w:val="bottom"/>
          </w:tcPr>
          <w:p w14:paraId="392CB8E4" w14:textId="77777777" w:rsidR="00980E5F" w:rsidRDefault="00980E5F">
            <w:pPr>
              <w:rPr>
                <w:rFonts w:ascii="宋体"/>
                <w:vanish/>
              </w:rPr>
            </w:pPr>
          </w:p>
        </w:tc>
        <w:tc>
          <w:tcPr>
            <w:tcW w:w="0" w:type="auto"/>
            <w:shd w:val="clear" w:color="auto" w:fill="auto"/>
            <w:vAlign w:val="bottom"/>
          </w:tcPr>
          <w:p w14:paraId="392CB8E5" w14:textId="77777777" w:rsidR="00980E5F" w:rsidRDefault="00980E5F">
            <w:pPr>
              <w:rPr>
                <w:rFonts w:ascii="宋体"/>
                <w:vanish/>
              </w:rPr>
            </w:pPr>
          </w:p>
        </w:tc>
        <w:tc>
          <w:tcPr>
            <w:tcW w:w="0" w:type="auto"/>
            <w:shd w:val="clear" w:color="auto" w:fill="auto"/>
            <w:vAlign w:val="bottom"/>
          </w:tcPr>
          <w:p w14:paraId="392CB8E6" w14:textId="77777777" w:rsidR="00980E5F" w:rsidRDefault="00980E5F">
            <w:pPr>
              <w:rPr>
                <w:rFonts w:ascii="宋体"/>
                <w:vanish/>
              </w:rPr>
            </w:pPr>
          </w:p>
        </w:tc>
        <w:tc>
          <w:tcPr>
            <w:tcW w:w="0" w:type="auto"/>
            <w:shd w:val="clear" w:color="auto" w:fill="auto"/>
            <w:vAlign w:val="bottom"/>
          </w:tcPr>
          <w:p w14:paraId="392CB8E7" w14:textId="77777777" w:rsidR="00980E5F" w:rsidRDefault="00980E5F">
            <w:pPr>
              <w:rPr>
                <w:rFonts w:ascii="宋体"/>
                <w:vanish/>
              </w:rPr>
            </w:pPr>
          </w:p>
        </w:tc>
      </w:tr>
      <w:tr w:rsidR="00980E5F" w14:paraId="392CB8EE" w14:textId="77777777">
        <w:trPr>
          <w:jc w:val="center"/>
          <w:hidden/>
        </w:trPr>
        <w:tc>
          <w:tcPr>
            <w:tcW w:w="0" w:type="auto"/>
            <w:gridSpan w:val="3"/>
            <w:shd w:val="clear" w:color="auto" w:fill="auto"/>
            <w:vAlign w:val="bottom"/>
          </w:tcPr>
          <w:p w14:paraId="392CB8E9" w14:textId="77777777" w:rsidR="00980E5F" w:rsidRDefault="00980E5F">
            <w:pPr>
              <w:rPr>
                <w:rFonts w:ascii="宋体"/>
                <w:vanish/>
              </w:rPr>
            </w:pPr>
          </w:p>
        </w:tc>
        <w:tc>
          <w:tcPr>
            <w:tcW w:w="0" w:type="auto"/>
            <w:gridSpan w:val="3"/>
            <w:shd w:val="clear" w:color="auto" w:fill="auto"/>
            <w:vAlign w:val="bottom"/>
          </w:tcPr>
          <w:p w14:paraId="392CB8EA" w14:textId="77777777" w:rsidR="00980E5F" w:rsidRDefault="00980E5F">
            <w:pPr>
              <w:rPr>
                <w:rFonts w:ascii="宋体"/>
                <w:vanish/>
              </w:rPr>
            </w:pPr>
          </w:p>
        </w:tc>
        <w:tc>
          <w:tcPr>
            <w:tcW w:w="0" w:type="auto"/>
            <w:shd w:val="clear" w:color="auto" w:fill="auto"/>
            <w:vAlign w:val="bottom"/>
          </w:tcPr>
          <w:p w14:paraId="392CB8EB" w14:textId="77777777" w:rsidR="00980E5F" w:rsidRDefault="00980E5F">
            <w:pPr>
              <w:rPr>
                <w:rFonts w:ascii="宋体"/>
                <w:vanish/>
              </w:rPr>
            </w:pPr>
          </w:p>
        </w:tc>
        <w:tc>
          <w:tcPr>
            <w:tcW w:w="0" w:type="auto"/>
            <w:shd w:val="clear" w:color="auto" w:fill="auto"/>
            <w:vAlign w:val="bottom"/>
          </w:tcPr>
          <w:p w14:paraId="392CB8EC" w14:textId="77777777" w:rsidR="00980E5F" w:rsidRDefault="00980E5F">
            <w:pPr>
              <w:rPr>
                <w:rFonts w:ascii="宋体"/>
                <w:vanish/>
              </w:rPr>
            </w:pPr>
          </w:p>
        </w:tc>
        <w:tc>
          <w:tcPr>
            <w:tcW w:w="0" w:type="auto"/>
            <w:shd w:val="clear" w:color="auto" w:fill="auto"/>
            <w:vAlign w:val="bottom"/>
          </w:tcPr>
          <w:p w14:paraId="392CB8ED" w14:textId="77777777" w:rsidR="00980E5F" w:rsidRDefault="00980E5F">
            <w:pPr>
              <w:rPr>
                <w:rFonts w:ascii="宋体"/>
                <w:vanish/>
              </w:rPr>
            </w:pPr>
          </w:p>
        </w:tc>
      </w:tr>
      <w:tr w:rsidR="00980E5F" w14:paraId="392CB8F4" w14:textId="77777777">
        <w:trPr>
          <w:jc w:val="center"/>
          <w:hidden/>
        </w:trPr>
        <w:tc>
          <w:tcPr>
            <w:tcW w:w="0" w:type="auto"/>
            <w:gridSpan w:val="3"/>
            <w:shd w:val="clear" w:color="auto" w:fill="auto"/>
            <w:vAlign w:val="bottom"/>
          </w:tcPr>
          <w:p w14:paraId="392CB8EF" w14:textId="77777777" w:rsidR="00980E5F" w:rsidRDefault="00980E5F">
            <w:pPr>
              <w:rPr>
                <w:rFonts w:ascii="宋体"/>
                <w:vanish/>
              </w:rPr>
            </w:pPr>
          </w:p>
        </w:tc>
        <w:tc>
          <w:tcPr>
            <w:tcW w:w="0" w:type="auto"/>
            <w:gridSpan w:val="3"/>
            <w:shd w:val="clear" w:color="auto" w:fill="auto"/>
            <w:vAlign w:val="bottom"/>
          </w:tcPr>
          <w:p w14:paraId="392CB8F0" w14:textId="77777777" w:rsidR="00980E5F" w:rsidRDefault="00980E5F">
            <w:pPr>
              <w:rPr>
                <w:rFonts w:ascii="宋体"/>
                <w:vanish/>
              </w:rPr>
            </w:pPr>
          </w:p>
        </w:tc>
        <w:tc>
          <w:tcPr>
            <w:tcW w:w="0" w:type="auto"/>
            <w:shd w:val="clear" w:color="auto" w:fill="auto"/>
            <w:vAlign w:val="bottom"/>
          </w:tcPr>
          <w:p w14:paraId="392CB8F1" w14:textId="77777777" w:rsidR="00980E5F" w:rsidRDefault="00980E5F">
            <w:pPr>
              <w:rPr>
                <w:rFonts w:ascii="宋体"/>
                <w:vanish/>
              </w:rPr>
            </w:pPr>
          </w:p>
        </w:tc>
        <w:tc>
          <w:tcPr>
            <w:tcW w:w="0" w:type="auto"/>
            <w:shd w:val="clear" w:color="auto" w:fill="auto"/>
            <w:vAlign w:val="bottom"/>
          </w:tcPr>
          <w:p w14:paraId="392CB8F2" w14:textId="77777777" w:rsidR="00980E5F" w:rsidRDefault="00980E5F">
            <w:pPr>
              <w:rPr>
                <w:rFonts w:ascii="宋体"/>
                <w:vanish/>
              </w:rPr>
            </w:pPr>
          </w:p>
        </w:tc>
        <w:tc>
          <w:tcPr>
            <w:tcW w:w="0" w:type="auto"/>
            <w:shd w:val="clear" w:color="auto" w:fill="auto"/>
            <w:vAlign w:val="bottom"/>
          </w:tcPr>
          <w:p w14:paraId="392CB8F3" w14:textId="77777777" w:rsidR="00980E5F" w:rsidRDefault="00980E5F">
            <w:pPr>
              <w:rPr>
                <w:rFonts w:ascii="宋体"/>
                <w:vanish/>
              </w:rPr>
            </w:pPr>
          </w:p>
        </w:tc>
      </w:tr>
      <w:tr w:rsidR="00980E5F" w14:paraId="392CB8FA" w14:textId="77777777">
        <w:trPr>
          <w:jc w:val="center"/>
          <w:hidden/>
        </w:trPr>
        <w:tc>
          <w:tcPr>
            <w:tcW w:w="0" w:type="auto"/>
            <w:gridSpan w:val="3"/>
            <w:shd w:val="clear" w:color="auto" w:fill="auto"/>
            <w:vAlign w:val="bottom"/>
          </w:tcPr>
          <w:p w14:paraId="392CB8F5" w14:textId="77777777" w:rsidR="00980E5F" w:rsidRDefault="00980E5F">
            <w:pPr>
              <w:rPr>
                <w:rFonts w:ascii="宋体"/>
                <w:vanish/>
              </w:rPr>
            </w:pPr>
          </w:p>
        </w:tc>
        <w:tc>
          <w:tcPr>
            <w:tcW w:w="0" w:type="auto"/>
            <w:gridSpan w:val="3"/>
            <w:shd w:val="clear" w:color="auto" w:fill="auto"/>
            <w:vAlign w:val="bottom"/>
          </w:tcPr>
          <w:p w14:paraId="392CB8F6" w14:textId="77777777" w:rsidR="00980E5F" w:rsidRDefault="00980E5F">
            <w:pPr>
              <w:rPr>
                <w:rFonts w:ascii="宋体"/>
                <w:vanish/>
              </w:rPr>
            </w:pPr>
          </w:p>
        </w:tc>
        <w:tc>
          <w:tcPr>
            <w:tcW w:w="0" w:type="auto"/>
            <w:shd w:val="clear" w:color="auto" w:fill="auto"/>
            <w:vAlign w:val="bottom"/>
          </w:tcPr>
          <w:p w14:paraId="392CB8F7" w14:textId="77777777" w:rsidR="00980E5F" w:rsidRDefault="00980E5F">
            <w:pPr>
              <w:rPr>
                <w:rFonts w:ascii="宋体"/>
                <w:vanish/>
              </w:rPr>
            </w:pPr>
          </w:p>
        </w:tc>
        <w:tc>
          <w:tcPr>
            <w:tcW w:w="0" w:type="auto"/>
            <w:shd w:val="clear" w:color="auto" w:fill="auto"/>
            <w:vAlign w:val="bottom"/>
          </w:tcPr>
          <w:p w14:paraId="392CB8F8" w14:textId="77777777" w:rsidR="00980E5F" w:rsidRDefault="00980E5F">
            <w:pPr>
              <w:rPr>
                <w:rFonts w:ascii="宋体"/>
                <w:vanish/>
              </w:rPr>
            </w:pPr>
          </w:p>
        </w:tc>
        <w:tc>
          <w:tcPr>
            <w:tcW w:w="0" w:type="auto"/>
            <w:shd w:val="clear" w:color="auto" w:fill="auto"/>
            <w:vAlign w:val="bottom"/>
          </w:tcPr>
          <w:p w14:paraId="392CB8F9" w14:textId="77777777" w:rsidR="00980E5F" w:rsidRDefault="00980E5F">
            <w:pPr>
              <w:rPr>
                <w:rFonts w:ascii="宋体"/>
                <w:vanish/>
              </w:rPr>
            </w:pPr>
          </w:p>
        </w:tc>
      </w:tr>
      <w:tr w:rsidR="00980E5F" w14:paraId="392CB900" w14:textId="77777777">
        <w:trPr>
          <w:jc w:val="center"/>
          <w:hidden/>
        </w:trPr>
        <w:tc>
          <w:tcPr>
            <w:tcW w:w="0" w:type="auto"/>
            <w:gridSpan w:val="3"/>
            <w:shd w:val="clear" w:color="auto" w:fill="auto"/>
            <w:vAlign w:val="bottom"/>
          </w:tcPr>
          <w:p w14:paraId="392CB8FB" w14:textId="77777777" w:rsidR="00980E5F" w:rsidRDefault="00980E5F">
            <w:pPr>
              <w:rPr>
                <w:rFonts w:ascii="宋体"/>
                <w:vanish/>
              </w:rPr>
            </w:pPr>
          </w:p>
        </w:tc>
        <w:tc>
          <w:tcPr>
            <w:tcW w:w="0" w:type="auto"/>
            <w:gridSpan w:val="3"/>
            <w:shd w:val="clear" w:color="auto" w:fill="auto"/>
            <w:vAlign w:val="bottom"/>
          </w:tcPr>
          <w:p w14:paraId="392CB8FC" w14:textId="77777777" w:rsidR="00980E5F" w:rsidRDefault="00980E5F">
            <w:pPr>
              <w:rPr>
                <w:rFonts w:ascii="宋体"/>
                <w:vanish/>
              </w:rPr>
            </w:pPr>
          </w:p>
        </w:tc>
        <w:tc>
          <w:tcPr>
            <w:tcW w:w="0" w:type="auto"/>
            <w:shd w:val="clear" w:color="auto" w:fill="auto"/>
            <w:vAlign w:val="bottom"/>
          </w:tcPr>
          <w:p w14:paraId="392CB8FD" w14:textId="77777777" w:rsidR="00980E5F" w:rsidRDefault="00980E5F">
            <w:pPr>
              <w:rPr>
                <w:rFonts w:ascii="宋体"/>
                <w:vanish/>
              </w:rPr>
            </w:pPr>
          </w:p>
        </w:tc>
        <w:tc>
          <w:tcPr>
            <w:tcW w:w="0" w:type="auto"/>
            <w:shd w:val="clear" w:color="auto" w:fill="auto"/>
            <w:vAlign w:val="bottom"/>
          </w:tcPr>
          <w:p w14:paraId="392CB8FE" w14:textId="77777777" w:rsidR="00980E5F" w:rsidRDefault="00980E5F">
            <w:pPr>
              <w:rPr>
                <w:rFonts w:ascii="宋体"/>
                <w:vanish/>
              </w:rPr>
            </w:pPr>
          </w:p>
        </w:tc>
        <w:tc>
          <w:tcPr>
            <w:tcW w:w="0" w:type="auto"/>
            <w:shd w:val="clear" w:color="auto" w:fill="auto"/>
            <w:vAlign w:val="bottom"/>
          </w:tcPr>
          <w:p w14:paraId="392CB8FF" w14:textId="77777777" w:rsidR="00980E5F" w:rsidRDefault="00980E5F">
            <w:pPr>
              <w:rPr>
                <w:rFonts w:ascii="宋体"/>
                <w:vanish/>
              </w:rPr>
            </w:pPr>
          </w:p>
        </w:tc>
      </w:tr>
      <w:tr w:rsidR="00980E5F" w14:paraId="392CB907"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392CB901" w14:textId="77777777" w:rsidR="00980E5F" w:rsidRDefault="00483613">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392CB902" w14:textId="77777777" w:rsidR="00980E5F" w:rsidRDefault="00483613">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shd w:val="clear" w:color="auto" w:fill="FFFF00"/>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collateralized mortgage obligations, except for the different type of underlying loan. With a CLO, the inves</w:t>
            </w:r>
            <w:r>
              <w:rPr>
                <w:rFonts w:ascii="Arial" w:eastAsia="宋体" w:hAnsi="Arial" w:cs="Arial"/>
                <w:color w:val="000000"/>
                <w:sz w:val="16"/>
                <w:szCs w:val="16"/>
              </w:rPr>
              <w:t>tor receives scheduled loan or debt payments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w:t>
            </w:r>
            <w:r>
              <w:rPr>
                <w:rFonts w:ascii="Arial" w:eastAsia="宋体" w:hAnsi="Arial" w:cs="Arial"/>
                <w:color w:val="000000"/>
                <w:sz w:val="16"/>
                <w:szCs w:val="16"/>
              </w:rPr>
              <w:t xml:space="preserve"> to generate profit from capital gains or rental income. CRE loans are term loans secured by commercial and multifamily properties. We seek CRE loans with strong competitive positions in major domestic markets, stable cash flows, modest leverage and experi</w:t>
            </w:r>
            <w:r>
              <w:rPr>
                <w:rFonts w:ascii="Arial" w:eastAsia="宋体" w:hAnsi="Arial" w:cs="Arial"/>
                <w:color w:val="000000"/>
                <w:sz w:val="16"/>
                <w:szCs w:val="16"/>
              </w:rPr>
              <w:t>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w:t>
            </w:r>
            <w:r>
              <w:rPr>
                <w:rFonts w:ascii="Arial" w:eastAsia="宋体" w:hAnsi="Arial" w:cs="Arial"/>
                <w:color w:val="000000"/>
                <w:sz w:val="16"/>
                <w:szCs w:val="16"/>
              </w:rPr>
              <w:t xml:space="preserve">, which essentially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w:t>
            </w:r>
            <w:r>
              <w:rPr>
                <w:rFonts w:ascii="Arial" w:eastAsia="宋体" w:hAnsi="Arial" w:cs="Arial"/>
                <w:color w:val="000000"/>
                <w:sz w:val="16"/>
                <w:szCs w:val="16"/>
              </w:rPr>
              <w:t>h the added characteristic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w:t>
            </w:r>
            <w:r>
              <w:rPr>
                <w:rFonts w:ascii="Arial" w:eastAsia="宋体" w:hAnsi="Arial" w:cs="Arial"/>
                <w:color w:val="000000"/>
                <w:sz w:val="16"/>
                <w:szCs w:val="16"/>
              </w:rPr>
              <w:t>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 xml:space="preserve">A type of exchange-traded investment product that offer investors a way to pool their money in a fund that makes investments in stocks, bonds, or other assets and, in return, to receive an interest </w:t>
            </w:r>
            <w:r>
              <w:rPr>
                <w:rFonts w:ascii="Arial" w:eastAsia="宋体" w:hAnsi="Arial" w:cs="Arial"/>
                <w:color w:val="000000"/>
                <w:sz w:val="16"/>
                <w:szCs w:val="16"/>
              </w:rPr>
              <w:t>in that investment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w:t>
            </w:r>
            <w:r>
              <w:rPr>
                <w:rFonts w:ascii="Arial" w:eastAsia="宋体" w:hAnsi="Arial" w:cs="Arial"/>
                <w:color w:val="000000"/>
                <w:sz w:val="16"/>
                <w:szCs w:val="16"/>
              </w:rPr>
              <w:t>e. It can be defined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w:t>
            </w:r>
            <w:r>
              <w:rPr>
                <w:rFonts w:ascii="Arial" w:eastAsia="宋体" w:hAnsi="Arial" w:cs="Arial"/>
                <w:color w:val="000000"/>
                <w:sz w:val="16"/>
                <w:szCs w:val="16"/>
              </w:rPr>
              <w:t>nnectedness, would cause significant disruption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w:t>
            </w:r>
            <w:r>
              <w:rPr>
                <w:rFonts w:ascii="Arial" w:eastAsia="宋体" w:hAnsi="Arial" w:cs="Arial"/>
                <w:color w:val="000000"/>
                <w:sz w:val="16"/>
                <w:szCs w:val="16"/>
              </w:rPr>
              <w:t>turity only if we have the positive intent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392CB903" w14:textId="77777777" w:rsidR="00980E5F" w:rsidRDefault="00483613">
            <w:pPr>
              <w:spacing w:after="240"/>
              <w:textAlignment w:val="top"/>
            </w:pPr>
            <w:r>
              <w:rPr>
                <w:rFonts w:ascii="Arial" w:eastAsia="宋体" w:hAnsi="Arial" w:cs="Arial"/>
                <w:b/>
                <w:bCs/>
                <w:color w:val="000000"/>
                <w:sz w:val="16"/>
                <w:szCs w:val="16"/>
              </w:rPr>
              <w:t>High-quality liqu</w:t>
            </w:r>
            <w:r>
              <w:rPr>
                <w:rFonts w:ascii="Arial" w:eastAsia="宋体" w:hAnsi="Arial" w:cs="Arial"/>
                <w:b/>
                <w:bCs/>
                <w:color w:val="000000"/>
                <w:sz w:val="16"/>
                <w:szCs w:val="16"/>
              </w:rPr>
              <w:t>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 credit</w:t>
            </w:r>
            <w:r>
              <w:rPr>
                <w:rFonts w:ascii="Arial" w:eastAsia="宋体" w:hAnsi="Arial" w:cs="Arial"/>
                <w:color w:val="000000"/>
                <w:sz w:val="16"/>
                <w:szCs w:val="16"/>
              </w:rPr>
              <w:t xml:space="preserve">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total net cash outflows over a 30-day stress period. A Basel III framework requirement for banks and bank holding companies to measure liquidity, it is designed to ensure that certain </w:t>
            </w:r>
            <w:r>
              <w:rPr>
                <w:rFonts w:ascii="Arial" w:eastAsia="宋体" w:hAnsi="Arial" w:cs="Arial"/>
                <w:color w:val="000000"/>
                <w:sz w:val="16"/>
                <w:szCs w:val="16"/>
              </w:rPr>
              <w:t xml:space="preserve">banking institutions, including us, maintain a minimum amount of unencumbered HQLA 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w:t>
            </w:r>
            <w:r>
              <w:rPr>
                <w:rFonts w:ascii="Arial" w:eastAsia="宋体" w:hAnsi="Arial" w:cs="Arial"/>
                <w:color w:val="000000"/>
                <w:sz w:val="16"/>
                <w:szCs w:val="16"/>
              </w:rPr>
              <w:t xml:space="preserve">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equal to at least 100%</w:t>
            </w:r>
            <w:r>
              <w:rPr>
                <w:rFonts w:ascii="Arial" w:eastAsia="宋体" w:hAnsi="Arial" w:cs="Arial"/>
                <w:color w:val="000000"/>
                <w:sz w:val="16"/>
                <w:szCs w:val="16"/>
              </w:rPr>
              <w:t xml:space="preserve">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whose fair value has fallen 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w:t>
            </w:r>
            <w:r>
              <w:rPr>
                <w:rFonts w:ascii="Arial" w:eastAsia="宋体" w:hAnsi="Arial" w:cs="Arial"/>
                <w:b/>
                <w:bCs/>
                <w:color w:val="000000"/>
                <w:sz w:val="16"/>
                <w:szCs w:val="16"/>
              </w:rPr>
              <w:t>bility of default: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 any other contract</w:t>
            </w:r>
            <w:r>
              <w:rPr>
                <w:rFonts w:ascii="Arial" w:eastAsia="宋体" w:hAnsi="Arial" w:cs="Arial"/>
                <w:color w:val="000000"/>
                <w:sz w:val="16"/>
                <w:szCs w:val="16"/>
              </w:rPr>
              <w:t xml:space="preserve">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calculation of our risk-based</w:t>
            </w:r>
            <w:r>
              <w:rPr>
                <w:rFonts w:ascii="Arial" w:eastAsia="宋体" w:hAnsi="Arial" w:cs="Arial"/>
                <w:color w:val="000000"/>
                <w:sz w:val="16"/>
                <w:szCs w:val="16"/>
              </w:rPr>
              <w:t xml:space="preserve">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w:t>
            </w:r>
            <w:r>
              <w:rPr>
                <w:rFonts w:ascii="Arial" w:eastAsia="宋体" w:hAnsi="Arial" w:cs="Arial"/>
                <w:color w:val="000000"/>
                <w:sz w:val="16"/>
                <w:szCs w:val="16"/>
              </w:rPr>
              <w:t>ongoing uncertainties or exposure to business, financial, or economic downturns. However, these counterparties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w:t>
            </w:r>
            <w:r>
              <w:rPr>
                <w:rFonts w:ascii="Arial" w:eastAsia="宋体" w:hAnsi="Arial" w:cs="Arial"/>
                <w:color w:val="000000"/>
                <w:sz w:val="16"/>
                <w:szCs w:val="16"/>
              </w:rPr>
              <w:t xml:space="preserve">es that consist of counterparties with well-defined weakness that jeopardizes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w:t>
            </w:r>
            <w:r>
              <w:rPr>
                <w:rFonts w:ascii="Arial" w:eastAsia="宋体" w:hAnsi="Arial" w:cs="Arial"/>
                <w:color w:val="000000"/>
                <w:sz w:val="16"/>
                <w:szCs w:val="16"/>
              </w:rPr>
              <w: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w:t>
            </w:r>
            <w:r>
              <w:rPr>
                <w:rFonts w:ascii="Arial" w:eastAsia="宋体" w:hAnsi="Arial" w:cs="Arial"/>
                <w:color w:val="000000"/>
                <w:sz w:val="16"/>
                <w:szCs w:val="16"/>
              </w:rPr>
              <w:t xml:space="preserve">n value of a portfolio that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w:t>
            </w:r>
            <w:r>
              <w:rPr>
                <w:rFonts w:ascii="Arial" w:eastAsia="宋体" w:hAnsi="Arial" w:cs="Arial"/>
                <w:color w:val="000000"/>
                <w:sz w:val="16"/>
                <w:szCs w:val="16"/>
              </w:rPr>
              <w:t>s activities without additional financial support from other parties; (2) has equity owners that lack the right to make significant decisions affecting the entity’s operations; and/or (3) has equity owners that do not have an obligation to absorb or the ri</w:t>
            </w:r>
            <w:r>
              <w:rPr>
                <w:rFonts w:ascii="Arial" w:eastAsia="宋体" w:hAnsi="Arial" w:cs="Arial"/>
                <w:color w:val="000000"/>
                <w:sz w:val="16"/>
                <w:szCs w:val="16"/>
              </w:rPr>
              <w:t>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392CB904" w14:textId="77777777" w:rsidR="00980E5F" w:rsidRDefault="00980E5F">
            <w:pPr>
              <w:rPr>
                <w:rFonts w:ascii="宋体"/>
                <w:vanish/>
              </w:rPr>
            </w:pPr>
          </w:p>
        </w:tc>
        <w:tc>
          <w:tcPr>
            <w:tcW w:w="0" w:type="auto"/>
            <w:shd w:val="clear" w:color="auto" w:fill="auto"/>
            <w:vAlign w:val="bottom"/>
          </w:tcPr>
          <w:p w14:paraId="392CB905" w14:textId="77777777" w:rsidR="00980E5F" w:rsidRDefault="00980E5F">
            <w:pPr>
              <w:rPr>
                <w:rFonts w:ascii="宋体"/>
                <w:vanish/>
              </w:rPr>
            </w:pPr>
          </w:p>
        </w:tc>
        <w:tc>
          <w:tcPr>
            <w:tcW w:w="0" w:type="auto"/>
            <w:shd w:val="clear" w:color="auto" w:fill="auto"/>
            <w:vAlign w:val="bottom"/>
          </w:tcPr>
          <w:p w14:paraId="392CB906" w14:textId="77777777" w:rsidR="00980E5F" w:rsidRDefault="00980E5F">
            <w:pPr>
              <w:rPr>
                <w:rFonts w:ascii="宋体"/>
                <w:vanish/>
              </w:rPr>
            </w:pPr>
          </w:p>
        </w:tc>
      </w:tr>
    </w:tbl>
    <w:p w14:paraId="392CB908" w14:textId="77777777" w:rsidR="00980E5F" w:rsidRDefault="00483613">
      <w:pPr>
        <w:ind w:firstLine="450"/>
        <w:jc w:val="right"/>
      </w:pPr>
      <w:r>
        <w:rPr>
          <w:rFonts w:ascii="Arial" w:eastAsia="宋体" w:hAnsi="Arial" w:cs="Arial"/>
          <w:color w:val="000000"/>
          <w:sz w:val="18"/>
          <w:szCs w:val="18"/>
        </w:rPr>
        <w:t>State Street Corporation | 101</w:t>
      </w:r>
    </w:p>
    <w:p w14:paraId="392CB909" w14:textId="77777777" w:rsidR="00980E5F" w:rsidRDefault="00980E5F">
      <w:pPr>
        <w:ind w:firstLine="450"/>
        <w:jc w:val="center"/>
      </w:pPr>
    </w:p>
    <w:p w14:paraId="392CB90A" w14:textId="77777777" w:rsidR="00980E5F" w:rsidRDefault="00483613">
      <w:r>
        <w:pict w14:anchorId="392CBB33">
          <v:rect id="_x0000_i1125" style="width:415.3pt;height:1.5pt" o:hralign="center" o:hrstd="t" o:hr="t" fillcolor="#a0a0a0" stroked="f"/>
        </w:pict>
      </w:r>
    </w:p>
    <w:p w14:paraId="392CB90B" w14:textId="77777777" w:rsidR="00980E5F" w:rsidRDefault="00980E5F">
      <w:pPr>
        <w:ind w:firstLine="450"/>
      </w:pPr>
    </w:p>
    <w:p w14:paraId="392CB90C" w14:textId="77777777" w:rsidR="00980E5F" w:rsidRDefault="00980E5F">
      <w:pPr>
        <w:ind w:firstLine="450"/>
        <w:jc w:val="center"/>
      </w:pPr>
    </w:p>
    <w:p w14:paraId="392CB90D" w14:textId="77777777" w:rsidR="00980E5F" w:rsidRDefault="00980E5F">
      <w:pPr>
        <w:jc w:val="both"/>
      </w:pPr>
    </w:p>
    <w:p w14:paraId="392CB90E" w14:textId="77777777" w:rsidR="00980E5F" w:rsidRDefault="00483613">
      <w:pPr>
        <w:jc w:val="both"/>
      </w:pPr>
      <w:r>
        <w:rPr>
          <w:rFonts w:ascii="Arial" w:eastAsia="宋体" w:hAnsi="Arial" w:cs="Arial"/>
          <w:b/>
          <w:bCs/>
          <w:color w:val="000000"/>
          <w:sz w:val="20"/>
          <w:szCs w:val="20"/>
        </w:rPr>
        <w:t>PART 2. OTHER INFORMATION</w:t>
      </w:r>
    </w:p>
    <w:p w14:paraId="392CB90F" w14:textId="77777777" w:rsidR="00980E5F" w:rsidRDefault="00980E5F">
      <w:pPr>
        <w:ind w:firstLine="450"/>
        <w:jc w:val="both"/>
      </w:pPr>
    </w:p>
    <w:p w14:paraId="392CB910" w14:textId="77777777" w:rsidR="00980E5F" w:rsidRDefault="00483613">
      <w:pPr>
        <w:jc w:val="both"/>
      </w:pPr>
      <w:r>
        <w:rPr>
          <w:rFonts w:ascii="Arial" w:eastAsia="宋体" w:hAnsi="Arial" w:cs="Arial"/>
          <w:b/>
          <w:bCs/>
          <w:color w:val="000000"/>
          <w:sz w:val="20"/>
          <w:szCs w:val="20"/>
        </w:rPr>
        <w:t>ITEM 2.     UNREGISTERED SALES OF EQUITY SECURITIES AND USE OF PROCEEDS</w:t>
      </w:r>
    </w:p>
    <w:p w14:paraId="392CB911" w14:textId="77777777" w:rsidR="00980E5F" w:rsidRDefault="00483613">
      <w:pPr>
        <w:spacing w:before="60"/>
        <w:ind w:firstLine="450"/>
        <w:jc w:val="both"/>
      </w:pPr>
      <w:r>
        <w:rPr>
          <w:rFonts w:ascii="Arial" w:eastAsia="宋体" w:hAnsi="Arial" w:cs="Arial"/>
          <w:color w:val="000000"/>
          <w:sz w:val="20"/>
          <w:szCs w:val="20"/>
          <w:shd w:val="clear" w:color="auto" w:fill="FFFFFF"/>
        </w:rPr>
        <w:t xml:space="preserve">In December 2020, the Federal Reserve issued results of 2020 resubmission stress tests and authorized us to continue to pay common stock dividends at current levels and to resume repurchasing common shares in the first quarter of 2021. </w:t>
      </w:r>
      <w:r>
        <w:rPr>
          <w:rFonts w:ascii="Arial" w:eastAsia="宋体" w:hAnsi="Arial" w:cs="Arial"/>
          <w:color w:val="000000"/>
          <w:sz w:val="20"/>
          <w:szCs w:val="20"/>
        </w:rPr>
        <w:t>In January 2021, our</w:t>
      </w:r>
      <w:r>
        <w:rPr>
          <w:rFonts w:ascii="Arial" w:eastAsia="宋体" w:hAnsi="Arial" w:cs="Arial"/>
          <w:color w:val="000000"/>
          <w:sz w:val="20"/>
          <w:szCs w:val="20"/>
        </w:rPr>
        <w:t xml:space="preserve"> Board authorized a share repurchase program for the purchase of up to $475 million of our common stock through March 31, 2021. In April 2021, our Board authorized a share repurchase program for the repurchase of up to $425 million of our common stock thro</w:t>
      </w:r>
      <w:r>
        <w:rPr>
          <w:rFonts w:ascii="Arial" w:eastAsia="宋体" w:hAnsi="Arial" w:cs="Arial"/>
          <w:color w:val="000000"/>
          <w:sz w:val="20"/>
          <w:szCs w:val="20"/>
        </w:rPr>
        <w:t>ugh June 30, 2021, consistent with the limit set by the Federal Reserve. In July 2021, our Board authorized a share repurchase program for the repurchase of up to $3.0 billion of our common stock through the end of 2022.</w:t>
      </w:r>
    </w:p>
    <w:p w14:paraId="392CB912" w14:textId="77777777" w:rsidR="00980E5F" w:rsidRDefault="00483613">
      <w:pPr>
        <w:spacing w:before="60"/>
        <w:ind w:firstLine="450"/>
        <w:jc w:val="both"/>
      </w:pPr>
      <w:r>
        <w:rPr>
          <w:rFonts w:ascii="Arial" w:eastAsia="宋体" w:hAnsi="Arial" w:cs="Arial"/>
          <w:color w:val="000000"/>
          <w:sz w:val="20"/>
          <w:szCs w:val="20"/>
        </w:rPr>
        <w:t xml:space="preserve">In connection with our proposed acquisition of the BBH Investor Services business, we did not repurchase any common stock during the last half of 2021, as well as during the first half of 2022. In June 2022, we announced our intention to resume our common </w:t>
      </w:r>
      <w:r>
        <w:rPr>
          <w:rFonts w:ascii="Arial" w:eastAsia="宋体" w:hAnsi="Arial" w:cs="Arial"/>
          <w:color w:val="000000"/>
          <w:sz w:val="20"/>
          <w:szCs w:val="20"/>
        </w:rPr>
        <w:t>share repurchases during the fourth quarter of 2022 in an amount reflecting interest rate levels and market conditions at that time. Additionally, in July 2022, we declared third quarter common stock dividends of $0.63 per share, representing a 10% increas</w:t>
      </w:r>
      <w:r>
        <w:rPr>
          <w:rFonts w:ascii="Arial" w:eastAsia="宋体" w:hAnsi="Arial" w:cs="Arial"/>
          <w:color w:val="000000"/>
          <w:sz w:val="20"/>
          <w:szCs w:val="20"/>
        </w:rPr>
        <w:t xml:space="preserve">e on a per share basis from both the third quarter 2021 and second quarter of 2022. </w:t>
      </w:r>
    </w:p>
    <w:p w14:paraId="392CB913" w14:textId="77777777" w:rsidR="00980E5F" w:rsidRDefault="00483613">
      <w:pPr>
        <w:spacing w:before="60"/>
        <w:ind w:firstLine="450"/>
        <w:jc w:val="both"/>
      </w:pPr>
      <w:r>
        <w:rPr>
          <w:rFonts w:ascii="Arial" w:eastAsia="宋体" w:hAnsi="Arial" w:cs="Arial"/>
          <w:color w:val="000000"/>
          <w:sz w:val="20"/>
          <w:szCs w:val="20"/>
        </w:rPr>
        <w:t>Stock purchases may be made using various types of transactions, including open-market purchases, accelerated share repurchases or other transactions off the market, and m</w:t>
      </w:r>
      <w:r>
        <w:rPr>
          <w:rFonts w:ascii="Arial" w:eastAsia="宋体" w:hAnsi="Arial" w:cs="Arial"/>
          <w:color w:val="000000"/>
          <w:sz w:val="20"/>
          <w:szCs w:val="20"/>
        </w:rPr>
        <w:t>ay be made under Rule 10b5-1 trading programs. The timing and amount of any stock purchases and the type of transaction will depend on several factors, including our capital position and financial performance, investment opportunities, market conditions an</w:t>
      </w:r>
      <w:r>
        <w:rPr>
          <w:rFonts w:ascii="Arial" w:eastAsia="宋体" w:hAnsi="Arial" w:cs="Arial"/>
          <w:color w:val="000000"/>
          <w:sz w:val="20"/>
          <w:szCs w:val="20"/>
        </w:rPr>
        <w:t>d the amount of common stock issued as part of employee compensation programs. The common share repurchase program does not have specific price targets and may be suspended at any time.</w:t>
      </w:r>
    </w:p>
    <w:p w14:paraId="392CB914" w14:textId="77777777" w:rsidR="00980E5F" w:rsidRDefault="00483613">
      <w:pPr>
        <w:spacing w:before="180"/>
        <w:jc w:val="both"/>
        <w:textAlignment w:val="top"/>
      </w:pPr>
      <w:r>
        <w:rPr>
          <w:rFonts w:ascii="Arial" w:eastAsia="宋体" w:hAnsi="Arial" w:cs="Arial"/>
          <w:b/>
          <w:bCs/>
          <w:color w:val="000000"/>
          <w:sz w:val="20"/>
          <w:szCs w:val="20"/>
        </w:rPr>
        <w:t>ITEM 5. OTHER INFORMATION</w:t>
      </w:r>
    </w:p>
    <w:p w14:paraId="392CB915" w14:textId="77777777" w:rsidR="00980E5F" w:rsidRDefault="00483613">
      <w:pPr>
        <w:spacing w:before="60"/>
        <w:ind w:firstLine="450"/>
        <w:jc w:val="both"/>
      </w:pPr>
      <w:r>
        <w:rPr>
          <w:rFonts w:ascii="Arial" w:eastAsia="宋体" w:hAnsi="Arial" w:cs="Arial"/>
          <w:color w:val="000000"/>
          <w:sz w:val="20"/>
          <w:szCs w:val="20"/>
        </w:rPr>
        <w:t>As previously disclosed, effective May 9, 20</w:t>
      </w:r>
      <w:r>
        <w:rPr>
          <w:rFonts w:ascii="Arial" w:eastAsia="宋体" w:hAnsi="Arial" w:cs="Arial"/>
          <w:color w:val="000000"/>
          <w:sz w:val="20"/>
          <w:szCs w:val="20"/>
        </w:rPr>
        <w:t>22, the Board of Directors appointed Louis D. Maiuri to serve as President and head of Investment Services, and Eric W. Aboaf to serve as Vice Chairman. Mr. Maiuri retains his Chief Operating Officer responsibilities, and Mr. Aboaf continues to serve as Ch</w:t>
      </w:r>
      <w:r>
        <w:rPr>
          <w:rFonts w:ascii="Arial" w:eastAsia="宋体" w:hAnsi="Arial" w:cs="Arial"/>
          <w:color w:val="000000"/>
          <w:sz w:val="20"/>
          <w:szCs w:val="20"/>
        </w:rPr>
        <w:t>ief Financial Officer and has expanded responsibility for State Street’s Global Markets business.</w:t>
      </w:r>
    </w:p>
    <w:p w14:paraId="392CB916" w14:textId="77777777" w:rsidR="00980E5F" w:rsidRDefault="00483613">
      <w:pPr>
        <w:spacing w:before="60"/>
        <w:ind w:firstLine="450"/>
        <w:jc w:val="both"/>
      </w:pPr>
      <w:r>
        <w:rPr>
          <w:rFonts w:ascii="Arial" w:eastAsia="宋体" w:hAnsi="Arial" w:cs="Arial"/>
          <w:color w:val="000000"/>
          <w:sz w:val="20"/>
          <w:szCs w:val="20"/>
        </w:rPr>
        <w:t>On July 27, 2022, the Board of Directors’ Human Resources Committee increased the 2022 target incentive compensation of Mr. Maiuri and Mr. Aboaf. Mr. Maiuri’s</w:t>
      </w:r>
      <w:r>
        <w:rPr>
          <w:rFonts w:ascii="Arial" w:eastAsia="宋体" w:hAnsi="Arial" w:cs="Arial"/>
          <w:color w:val="000000"/>
          <w:sz w:val="20"/>
          <w:szCs w:val="20"/>
        </w:rPr>
        <w:t xml:space="preserve"> target was increased from $7,300,000 to $8,300,000 and Mr. Aboaf’s target was increased from $6,300,000 to $7,300,000. In addition, the Committee approved an executive security package consisting of a car and driver and other security benefits for Mr. Mai</w:t>
      </w:r>
      <w:r>
        <w:rPr>
          <w:rFonts w:ascii="Arial" w:eastAsia="宋体" w:hAnsi="Arial" w:cs="Arial"/>
          <w:color w:val="000000"/>
          <w:sz w:val="20"/>
          <w:szCs w:val="20"/>
        </w:rPr>
        <w:t>uri. The Committee considers the total target compensation for each executive to be appropriate based on the scope of his recently expanded role and in light of relevant internal and external benchmarks.</w:t>
      </w:r>
    </w:p>
    <w:p w14:paraId="392CB917" w14:textId="77777777" w:rsidR="00980E5F" w:rsidRDefault="00483613">
      <w:pPr>
        <w:ind w:firstLine="450"/>
        <w:jc w:val="right"/>
      </w:pPr>
      <w:r>
        <w:rPr>
          <w:rFonts w:ascii="Arial" w:eastAsia="宋体" w:hAnsi="Arial" w:cs="Arial"/>
          <w:color w:val="000000"/>
          <w:sz w:val="18"/>
          <w:szCs w:val="18"/>
        </w:rPr>
        <w:t>State Street Corporation | 102</w:t>
      </w:r>
    </w:p>
    <w:p w14:paraId="392CB918" w14:textId="77777777" w:rsidR="00980E5F" w:rsidRDefault="00980E5F">
      <w:pPr>
        <w:ind w:firstLine="450"/>
        <w:jc w:val="center"/>
      </w:pPr>
    </w:p>
    <w:p w14:paraId="392CB919" w14:textId="77777777" w:rsidR="00980E5F" w:rsidRDefault="00483613">
      <w:r>
        <w:pict w14:anchorId="392CBB34">
          <v:rect id="_x0000_i1126" style="width:415.3pt;height:1.5pt" o:hralign="center" o:hrstd="t" o:hr="t" fillcolor="#a0a0a0" stroked="f"/>
        </w:pict>
      </w:r>
    </w:p>
    <w:p w14:paraId="392CB91A" w14:textId="77777777" w:rsidR="00980E5F" w:rsidRDefault="00980E5F">
      <w:pPr>
        <w:ind w:firstLine="450"/>
      </w:pPr>
    </w:p>
    <w:p w14:paraId="392CB91B" w14:textId="77777777" w:rsidR="00980E5F" w:rsidRDefault="00980E5F">
      <w:pPr>
        <w:ind w:firstLine="450"/>
        <w:jc w:val="center"/>
      </w:pPr>
    </w:p>
    <w:p w14:paraId="392CB91C" w14:textId="77777777" w:rsidR="00980E5F" w:rsidRDefault="00483613">
      <w:pPr>
        <w:spacing w:before="180"/>
        <w:jc w:val="both"/>
      </w:pPr>
      <w:r>
        <w:rPr>
          <w:rFonts w:ascii="Arial" w:eastAsia="宋体" w:hAnsi="Arial" w:cs="Arial"/>
          <w:b/>
          <w:bCs/>
          <w:color w:val="000000"/>
          <w:sz w:val="20"/>
          <w:szCs w:val="20"/>
        </w:rPr>
        <w:t>ITEM 6.    EXHIB</w:t>
      </w:r>
      <w:r>
        <w:rPr>
          <w:rFonts w:ascii="Arial" w:eastAsia="宋体" w:hAnsi="Arial" w:cs="Arial"/>
          <w:b/>
          <w:bCs/>
          <w:color w:val="000000"/>
          <w:sz w:val="20"/>
          <w:szCs w:val="20"/>
        </w:rPr>
        <w:t>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6"/>
        <w:gridCol w:w="37"/>
        <w:gridCol w:w="85"/>
        <w:gridCol w:w="760"/>
        <w:gridCol w:w="39"/>
        <w:gridCol w:w="36"/>
        <w:gridCol w:w="36"/>
        <w:gridCol w:w="36"/>
        <w:gridCol w:w="40"/>
        <w:gridCol w:w="7025"/>
        <w:gridCol w:w="39"/>
      </w:tblGrid>
      <w:tr w:rsidR="00980E5F" w14:paraId="392CB929" w14:textId="77777777">
        <w:tc>
          <w:tcPr>
            <w:tcW w:w="5" w:type="pct"/>
            <w:shd w:val="clear" w:color="auto" w:fill="auto"/>
            <w:vAlign w:val="bottom"/>
          </w:tcPr>
          <w:p w14:paraId="392CB91D" w14:textId="77777777" w:rsidR="00980E5F" w:rsidRDefault="00980E5F">
            <w:pPr>
              <w:rPr>
                <w:rFonts w:ascii="宋体"/>
              </w:rPr>
            </w:pPr>
          </w:p>
        </w:tc>
        <w:tc>
          <w:tcPr>
            <w:tcW w:w="128" w:type="pct"/>
            <w:shd w:val="clear" w:color="auto" w:fill="auto"/>
            <w:vAlign w:val="bottom"/>
          </w:tcPr>
          <w:p w14:paraId="392CB91E" w14:textId="77777777" w:rsidR="00980E5F" w:rsidRDefault="00980E5F">
            <w:pPr>
              <w:rPr>
                <w:rFonts w:ascii="宋体"/>
              </w:rPr>
            </w:pPr>
          </w:p>
        </w:tc>
        <w:tc>
          <w:tcPr>
            <w:tcW w:w="5" w:type="pct"/>
            <w:shd w:val="clear" w:color="auto" w:fill="auto"/>
            <w:vAlign w:val="bottom"/>
          </w:tcPr>
          <w:p w14:paraId="392CB91F" w14:textId="77777777" w:rsidR="00980E5F" w:rsidRDefault="00980E5F">
            <w:pPr>
              <w:rPr>
                <w:rFonts w:ascii="宋体"/>
              </w:rPr>
            </w:pPr>
          </w:p>
        </w:tc>
        <w:tc>
          <w:tcPr>
            <w:tcW w:w="50" w:type="pct"/>
            <w:shd w:val="clear" w:color="auto" w:fill="auto"/>
            <w:vAlign w:val="bottom"/>
          </w:tcPr>
          <w:p w14:paraId="392CB920" w14:textId="77777777" w:rsidR="00980E5F" w:rsidRDefault="00980E5F">
            <w:pPr>
              <w:rPr>
                <w:rFonts w:ascii="宋体"/>
              </w:rPr>
            </w:pPr>
          </w:p>
        </w:tc>
        <w:tc>
          <w:tcPr>
            <w:tcW w:w="449" w:type="pct"/>
            <w:shd w:val="clear" w:color="auto" w:fill="auto"/>
            <w:vAlign w:val="bottom"/>
          </w:tcPr>
          <w:p w14:paraId="392CB921" w14:textId="77777777" w:rsidR="00980E5F" w:rsidRDefault="00980E5F">
            <w:pPr>
              <w:rPr>
                <w:rFonts w:ascii="宋体"/>
              </w:rPr>
            </w:pPr>
          </w:p>
        </w:tc>
        <w:tc>
          <w:tcPr>
            <w:tcW w:w="5" w:type="pct"/>
            <w:shd w:val="clear" w:color="auto" w:fill="auto"/>
            <w:vAlign w:val="bottom"/>
          </w:tcPr>
          <w:p w14:paraId="392CB922" w14:textId="77777777" w:rsidR="00980E5F" w:rsidRDefault="00980E5F">
            <w:pPr>
              <w:rPr>
                <w:rFonts w:ascii="宋体"/>
              </w:rPr>
            </w:pPr>
          </w:p>
        </w:tc>
        <w:tc>
          <w:tcPr>
            <w:tcW w:w="5" w:type="pct"/>
            <w:shd w:val="clear" w:color="auto" w:fill="auto"/>
            <w:vAlign w:val="bottom"/>
          </w:tcPr>
          <w:p w14:paraId="392CB923" w14:textId="77777777" w:rsidR="00980E5F" w:rsidRDefault="00980E5F">
            <w:pPr>
              <w:rPr>
                <w:rFonts w:ascii="宋体"/>
              </w:rPr>
            </w:pPr>
          </w:p>
        </w:tc>
        <w:tc>
          <w:tcPr>
            <w:tcW w:w="26" w:type="pct"/>
            <w:shd w:val="clear" w:color="auto" w:fill="auto"/>
            <w:vAlign w:val="bottom"/>
          </w:tcPr>
          <w:p w14:paraId="392CB924" w14:textId="77777777" w:rsidR="00980E5F" w:rsidRDefault="00980E5F">
            <w:pPr>
              <w:rPr>
                <w:rFonts w:ascii="宋体"/>
              </w:rPr>
            </w:pPr>
          </w:p>
        </w:tc>
        <w:tc>
          <w:tcPr>
            <w:tcW w:w="5" w:type="pct"/>
            <w:shd w:val="clear" w:color="auto" w:fill="auto"/>
            <w:vAlign w:val="bottom"/>
          </w:tcPr>
          <w:p w14:paraId="392CB925" w14:textId="77777777" w:rsidR="00980E5F" w:rsidRDefault="00980E5F">
            <w:pPr>
              <w:rPr>
                <w:rFonts w:ascii="宋体"/>
              </w:rPr>
            </w:pPr>
          </w:p>
        </w:tc>
        <w:tc>
          <w:tcPr>
            <w:tcW w:w="50" w:type="pct"/>
            <w:shd w:val="clear" w:color="auto" w:fill="auto"/>
            <w:vAlign w:val="bottom"/>
          </w:tcPr>
          <w:p w14:paraId="392CB926" w14:textId="77777777" w:rsidR="00980E5F" w:rsidRDefault="00980E5F">
            <w:pPr>
              <w:rPr>
                <w:rFonts w:ascii="宋体"/>
              </w:rPr>
            </w:pPr>
          </w:p>
        </w:tc>
        <w:tc>
          <w:tcPr>
            <w:tcW w:w="4265" w:type="pct"/>
            <w:shd w:val="clear" w:color="auto" w:fill="auto"/>
            <w:vAlign w:val="bottom"/>
          </w:tcPr>
          <w:p w14:paraId="392CB927" w14:textId="77777777" w:rsidR="00980E5F" w:rsidRDefault="00980E5F">
            <w:pPr>
              <w:rPr>
                <w:rFonts w:ascii="宋体"/>
              </w:rPr>
            </w:pPr>
          </w:p>
        </w:tc>
        <w:tc>
          <w:tcPr>
            <w:tcW w:w="5" w:type="pct"/>
            <w:shd w:val="clear" w:color="auto" w:fill="auto"/>
            <w:vAlign w:val="bottom"/>
          </w:tcPr>
          <w:p w14:paraId="392CB928" w14:textId="77777777" w:rsidR="00980E5F" w:rsidRDefault="00980E5F">
            <w:pPr>
              <w:rPr>
                <w:rFonts w:ascii="宋体"/>
              </w:rPr>
            </w:pPr>
          </w:p>
        </w:tc>
      </w:tr>
      <w:tr w:rsidR="00980E5F" w14:paraId="392CB92D" w14:textId="77777777">
        <w:tc>
          <w:tcPr>
            <w:tcW w:w="0" w:type="auto"/>
            <w:gridSpan w:val="6"/>
            <w:shd w:val="clear" w:color="auto" w:fill="auto"/>
            <w:tcMar>
              <w:top w:w="40" w:type="dxa"/>
              <w:left w:w="20" w:type="dxa"/>
              <w:bottom w:w="40" w:type="dxa"/>
              <w:right w:w="20" w:type="dxa"/>
            </w:tcMar>
            <w:vAlign w:val="bottom"/>
          </w:tcPr>
          <w:p w14:paraId="392CB92A" w14:textId="77777777" w:rsidR="00980E5F" w:rsidRDefault="00483613">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392CB92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2C" w14:textId="77777777" w:rsidR="00980E5F" w:rsidRDefault="00483613">
            <w:pPr>
              <w:textAlignment w:val="bottom"/>
            </w:pPr>
            <w:r>
              <w:rPr>
                <w:rFonts w:ascii="Arial" w:eastAsia="宋体" w:hAnsi="Arial" w:cs="Arial"/>
                <w:color w:val="000000"/>
                <w:sz w:val="20"/>
                <w:szCs w:val="20"/>
              </w:rPr>
              <w:t>Exhibit Description</w:t>
            </w:r>
          </w:p>
        </w:tc>
      </w:tr>
      <w:tr w:rsidR="00980E5F" w14:paraId="392CB932" w14:textId="77777777">
        <w:trPr>
          <w:hidden/>
        </w:trPr>
        <w:tc>
          <w:tcPr>
            <w:tcW w:w="0" w:type="auto"/>
            <w:gridSpan w:val="3"/>
            <w:shd w:val="clear" w:color="auto" w:fill="auto"/>
            <w:vAlign w:val="bottom"/>
          </w:tcPr>
          <w:p w14:paraId="392CB92E" w14:textId="77777777" w:rsidR="00980E5F" w:rsidRDefault="00980E5F">
            <w:pPr>
              <w:rPr>
                <w:rFonts w:ascii="宋体"/>
                <w:vanish/>
              </w:rPr>
            </w:pPr>
          </w:p>
        </w:tc>
        <w:tc>
          <w:tcPr>
            <w:tcW w:w="0" w:type="auto"/>
            <w:gridSpan w:val="3"/>
            <w:shd w:val="clear" w:color="auto" w:fill="auto"/>
            <w:vAlign w:val="bottom"/>
          </w:tcPr>
          <w:p w14:paraId="392CB92F" w14:textId="77777777" w:rsidR="00980E5F" w:rsidRDefault="00980E5F">
            <w:pPr>
              <w:rPr>
                <w:rFonts w:ascii="宋体"/>
                <w:vanish/>
              </w:rPr>
            </w:pPr>
          </w:p>
        </w:tc>
        <w:tc>
          <w:tcPr>
            <w:tcW w:w="0" w:type="auto"/>
            <w:gridSpan w:val="3"/>
            <w:shd w:val="clear" w:color="auto" w:fill="auto"/>
            <w:vAlign w:val="bottom"/>
          </w:tcPr>
          <w:p w14:paraId="392CB930" w14:textId="77777777" w:rsidR="00980E5F" w:rsidRDefault="00980E5F">
            <w:pPr>
              <w:rPr>
                <w:rFonts w:ascii="宋体"/>
                <w:vanish/>
              </w:rPr>
            </w:pPr>
          </w:p>
        </w:tc>
        <w:tc>
          <w:tcPr>
            <w:tcW w:w="0" w:type="auto"/>
            <w:gridSpan w:val="3"/>
            <w:shd w:val="clear" w:color="auto" w:fill="auto"/>
            <w:vAlign w:val="bottom"/>
          </w:tcPr>
          <w:p w14:paraId="392CB931" w14:textId="77777777" w:rsidR="00980E5F" w:rsidRDefault="00980E5F">
            <w:pPr>
              <w:rPr>
                <w:rFonts w:ascii="宋体"/>
                <w:vanish/>
              </w:rPr>
            </w:pPr>
          </w:p>
        </w:tc>
      </w:tr>
      <w:tr w:rsidR="00980E5F" w14:paraId="392CB937" w14:textId="77777777">
        <w:trPr>
          <w:hidden/>
        </w:trPr>
        <w:tc>
          <w:tcPr>
            <w:tcW w:w="0" w:type="auto"/>
            <w:gridSpan w:val="3"/>
            <w:shd w:val="clear" w:color="auto" w:fill="auto"/>
            <w:vAlign w:val="bottom"/>
          </w:tcPr>
          <w:p w14:paraId="392CB933" w14:textId="77777777" w:rsidR="00980E5F" w:rsidRDefault="00980E5F">
            <w:pPr>
              <w:rPr>
                <w:rFonts w:ascii="宋体"/>
                <w:vanish/>
              </w:rPr>
            </w:pPr>
          </w:p>
        </w:tc>
        <w:tc>
          <w:tcPr>
            <w:tcW w:w="0" w:type="auto"/>
            <w:gridSpan w:val="3"/>
            <w:shd w:val="clear" w:color="auto" w:fill="auto"/>
            <w:vAlign w:val="bottom"/>
          </w:tcPr>
          <w:p w14:paraId="392CB934" w14:textId="77777777" w:rsidR="00980E5F" w:rsidRDefault="00980E5F">
            <w:pPr>
              <w:rPr>
                <w:rFonts w:ascii="宋体"/>
                <w:vanish/>
              </w:rPr>
            </w:pPr>
          </w:p>
        </w:tc>
        <w:tc>
          <w:tcPr>
            <w:tcW w:w="0" w:type="auto"/>
            <w:gridSpan w:val="3"/>
            <w:shd w:val="clear" w:color="auto" w:fill="auto"/>
            <w:vAlign w:val="bottom"/>
          </w:tcPr>
          <w:p w14:paraId="392CB935" w14:textId="77777777" w:rsidR="00980E5F" w:rsidRDefault="00980E5F">
            <w:pPr>
              <w:rPr>
                <w:rFonts w:ascii="宋体"/>
                <w:vanish/>
              </w:rPr>
            </w:pPr>
          </w:p>
        </w:tc>
        <w:tc>
          <w:tcPr>
            <w:tcW w:w="0" w:type="auto"/>
            <w:gridSpan w:val="3"/>
            <w:shd w:val="clear" w:color="auto" w:fill="auto"/>
            <w:vAlign w:val="bottom"/>
          </w:tcPr>
          <w:p w14:paraId="392CB936" w14:textId="77777777" w:rsidR="00980E5F" w:rsidRDefault="00980E5F">
            <w:pPr>
              <w:rPr>
                <w:rFonts w:ascii="宋体"/>
                <w:vanish/>
              </w:rPr>
            </w:pPr>
          </w:p>
        </w:tc>
      </w:tr>
      <w:tr w:rsidR="00980E5F" w14:paraId="392CB93C"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938"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93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3A" w14:textId="77777777" w:rsidR="00980E5F" w:rsidRDefault="00980E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92CB93B" w14:textId="77777777" w:rsidR="00980E5F" w:rsidRDefault="00980E5F">
            <w:pPr>
              <w:rPr>
                <w:rFonts w:ascii="宋体"/>
              </w:rPr>
            </w:pPr>
          </w:p>
        </w:tc>
      </w:tr>
      <w:tr w:rsidR="00980E5F" w14:paraId="392CB941" w14:textId="77777777">
        <w:trPr>
          <w:hidden/>
        </w:trPr>
        <w:tc>
          <w:tcPr>
            <w:tcW w:w="0" w:type="auto"/>
            <w:gridSpan w:val="3"/>
            <w:shd w:val="clear" w:color="auto" w:fill="auto"/>
            <w:vAlign w:val="bottom"/>
          </w:tcPr>
          <w:p w14:paraId="392CB93D" w14:textId="77777777" w:rsidR="00980E5F" w:rsidRDefault="00980E5F">
            <w:pPr>
              <w:rPr>
                <w:rFonts w:ascii="宋体"/>
                <w:vanish/>
              </w:rPr>
            </w:pPr>
          </w:p>
        </w:tc>
        <w:tc>
          <w:tcPr>
            <w:tcW w:w="0" w:type="auto"/>
            <w:gridSpan w:val="3"/>
            <w:shd w:val="clear" w:color="auto" w:fill="auto"/>
            <w:vAlign w:val="bottom"/>
          </w:tcPr>
          <w:p w14:paraId="392CB93E" w14:textId="77777777" w:rsidR="00980E5F" w:rsidRDefault="00980E5F">
            <w:pPr>
              <w:rPr>
                <w:rFonts w:ascii="宋体"/>
                <w:vanish/>
              </w:rPr>
            </w:pPr>
          </w:p>
        </w:tc>
        <w:tc>
          <w:tcPr>
            <w:tcW w:w="0" w:type="auto"/>
            <w:gridSpan w:val="3"/>
            <w:shd w:val="clear" w:color="auto" w:fill="auto"/>
            <w:vAlign w:val="bottom"/>
          </w:tcPr>
          <w:p w14:paraId="392CB93F" w14:textId="77777777" w:rsidR="00980E5F" w:rsidRDefault="00980E5F">
            <w:pPr>
              <w:rPr>
                <w:rFonts w:ascii="宋体"/>
                <w:vanish/>
              </w:rPr>
            </w:pPr>
          </w:p>
        </w:tc>
        <w:tc>
          <w:tcPr>
            <w:tcW w:w="0" w:type="auto"/>
            <w:gridSpan w:val="3"/>
            <w:shd w:val="clear" w:color="auto" w:fill="auto"/>
            <w:vAlign w:val="bottom"/>
          </w:tcPr>
          <w:p w14:paraId="392CB940" w14:textId="77777777" w:rsidR="00980E5F" w:rsidRDefault="00980E5F">
            <w:pPr>
              <w:rPr>
                <w:rFonts w:ascii="宋体"/>
                <w:vanish/>
              </w:rPr>
            </w:pPr>
          </w:p>
        </w:tc>
      </w:tr>
      <w:tr w:rsidR="00980E5F" w14:paraId="392CB943" w14:textId="77777777">
        <w:tc>
          <w:tcPr>
            <w:tcW w:w="0" w:type="auto"/>
            <w:gridSpan w:val="12"/>
            <w:shd w:val="clear" w:color="auto" w:fill="auto"/>
            <w:tcMar>
              <w:top w:w="40" w:type="dxa"/>
              <w:left w:w="20" w:type="dxa"/>
              <w:bottom w:w="40" w:type="dxa"/>
              <w:right w:w="20" w:type="dxa"/>
            </w:tcMar>
          </w:tcPr>
          <w:p w14:paraId="392CB942" w14:textId="77777777" w:rsidR="00980E5F" w:rsidRDefault="00483613">
            <w:pPr>
              <w:jc w:val="both"/>
              <w:textAlignment w:val="top"/>
            </w:pPr>
            <w:r>
              <w:rPr>
                <w:rFonts w:ascii="Arial" w:eastAsia="宋体" w:hAnsi="Arial" w:cs="Arial"/>
                <w:color w:val="000000"/>
                <w:sz w:val="20"/>
                <w:szCs w:val="20"/>
              </w:rPr>
              <w:t xml:space="preserve">Note: None of the instruments defining the rights of holders of State Street’s outstanding long-term debt are in respect of indebtedness in excess of 10% of the total assets of </w:t>
            </w:r>
            <w:r>
              <w:rPr>
                <w:rFonts w:ascii="Arial" w:eastAsia="宋体" w:hAnsi="Arial" w:cs="Arial"/>
                <w:color w:val="000000"/>
                <w:sz w:val="20"/>
                <w:szCs w:val="20"/>
              </w:rPr>
              <w:t>State Street and its subsidiaries on a consolidated basis. State Street hereby agrees to furnish to the SEC upon request a copy of any other instrument with respect to long-term debt of State Street and its subsidiaries.</w:t>
            </w:r>
          </w:p>
        </w:tc>
      </w:tr>
      <w:tr w:rsidR="00980E5F" w14:paraId="392CB948" w14:textId="77777777">
        <w:trPr>
          <w:trHeight w:val="100"/>
        </w:trPr>
        <w:tc>
          <w:tcPr>
            <w:tcW w:w="0" w:type="auto"/>
            <w:gridSpan w:val="3"/>
            <w:shd w:val="clear" w:color="auto" w:fill="auto"/>
            <w:tcMar>
              <w:top w:w="0" w:type="dxa"/>
              <w:left w:w="20" w:type="dxa"/>
              <w:bottom w:w="0" w:type="dxa"/>
              <w:right w:w="20" w:type="dxa"/>
            </w:tcMar>
            <w:vAlign w:val="bottom"/>
          </w:tcPr>
          <w:p w14:paraId="392CB9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4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47" w14:textId="77777777" w:rsidR="00980E5F" w:rsidRDefault="00980E5F">
            <w:pPr>
              <w:rPr>
                <w:rFonts w:ascii="宋体"/>
              </w:rPr>
            </w:pPr>
          </w:p>
        </w:tc>
      </w:tr>
      <w:tr w:rsidR="00980E5F" w14:paraId="392CB94D" w14:textId="77777777">
        <w:trPr>
          <w:hidden/>
        </w:trPr>
        <w:tc>
          <w:tcPr>
            <w:tcW w:w="0" w:type="auto"/>
            <w:gridSpan w:val="3"/>
            <w:shd w:val="clear" w:color="auto" w:fill="auto"/>
            <w:vAlign w:val="bottom"/>
          </w:tcPr>
          <w:p w14:paraId="392CB949" w14:textId="77777777" w:rsidR="00980E5F" w:rsidRDefault="00980E5F">
            <w:pPr>
              <w:rPr>
                <w:rFonts w:ascii="宋体"/>
                <w:vanish/>
              </w:rPr>
            </w:pPr>
          </w:p>
        </w:tc>
        <w:tc>
          <w:tcPr>
            <w:tcW w:w="0" w:type="auto"/>
            <w:gridSpan w:val="3"/>
            <w:shd w:val="clear" w:color="auto" w:fill="auto"/>
            <w:vAlign w:val="bottom"/>
          </w:tcPr>
          <w:p w14:paraId="392CB94A" w14:textId="77777777" w:rsidR="00980E5F" w:rsidRDefault="00980E5F">
            <w:pPr>
              <w:rPr>
                <w:rFonts w:ascii="宋体"/>
                <w:vanish/>
              </w:rPr>
            </w:pPr>
          </w:p>
        </w:tc>
        <w:tc>
          <w:tcPr>
            <w:tcW w:w="0" w:type="auto"/>
            <w:gridSpan w:val="3"/>
            <w:shd w:val="clear" w:color="auto" w:fill="auto"/>
            <w:vAlign w:val="bottom"/>
          </w:tcPr>
          <w:p w14:paraId="392CB94B" w14:textId="77777777" w:rsidR="00980E5F" w:rsidRDefault="00980E5F">
            <w:pPr>
              <w:rPr>
                <w:rFonts w:ascii="宋体"/>
                <w:vanish/>
              </w:rPr>
            </w:pPr>
          </w:p>
        </w:tc>
        <w:tc>
          <w:tcPr>
            <w:tcW w:w="0" w:type="auto"/>
            <w:gridSpan w:val="3"/>
            <w:shd w:val="clear" w:color="auto" w:fill="auto"/>
            <w:vAlign w:val="bottom"/>
          </w:tcPr>
          <w:p w14:paraId="392CB94C" w14:textId="77777777" w:rsidR="00980E5F" w:rsidRDefault="00980E5F">
            <w:pPr>
              <w:rPr>
                <w:rFonts w:ascii="宋体"/>
                <w:vanish/>
              </w:rPr>
            </w:pPr>
          </w:p>
        </w:tc>
      </w:tr>
      <w:tr w:rsidR="00980E5F" w14:paraId="392CB952" w14:textId="77777777">
        <w:trPr>
          <w:hidden/>
        </w:trPr>
        <w:tc>
          <w:tcPr>
            <w:tcW w:w="0" w:type="auto"/>
            <w:gridSpan w:val="3"/>
            <w:shd w:val="clear" w:color="auto" w:fill="auto"/>
            <w:vAlign w:val="bottom"/>
          </w:tcPr>
          <w:p w14:paraId="392CB94E" w14:textId="77777777" w:rsidR="00980E5F" w:rsidRDefault="00980E5F">
            <w:pPr>
              <w:rPr>
                <w:rFonts w:ascii="宋体"/>
                <w:vanish/>
              </w:rPr>
            </w:pPr>
          </w:p>
        </w:tc>
        <w:tc>
          <w:tcPr>
            <w:tcW w:w="0" w:type="auto"/>
            <w:gridSpan w:val="3"/>
            <w:shd w:val="clear" w:color="auto" w:fill="auto"/>
            <w:vAlign w:val="bottom"/>
          </w:tcPr>
          <w:p w14:paraId="392CB94F" w14:textId="77777777" w:rsidR="00980E5F" w:rsidRDefault="00980E5F">
            <w:pPr>
              <w:rPr>
                <w:rFonts w:ascii="宋体"/>
                <w:vanish/>
              </w:rPr>
            </w:pPr>
          </w:p>
        </w:tc>
        <w:tc>
          <w:tcPr>
            <w:tcW w:w="0" w:type="auto"/>
            <w:gridSpan w:val="3"/>
            <w:shd w:val="clear" w:color="auto" w:fill="auto"/>
            <w:vAlign w:val="bottom"/>
          </w:tcPr>
          <w:p w14:paraId="392CB950" w14:textId="77777777" w:rsidR="00980E5F" w:rsidRDefault="00980E5F">
            <w:pPr>
              <w:rPr>
                <w:rFonts w:ascii="宋体"/>
                <w:vanish/>
              </w:rPr>
            </w:pPr>
          </w:p>
        </w:tc>
        <w:tc>
          <w:tcPr>
            <w:tcW w:w="0" w:type="auto"/>
            <w:gridSpan w:val="3"/>
            <w:shd w:val="clear" w:color="auto" w:fill="auto"/>
            <w:vAlign w:val="bottom"/>
          </w:tcPr>
          <w:p w14:paraId="392CB951" w14:textId="77777777" w:rsidR="00980E5F" w:rsidRDefault="00980E5F">
            <w:pPr>
              <w:rPr>
                <w:rFonts w:ascii="宋体"/>
                <w:vanish/>
              </w:rPr>
            </w:pPr>
          </w:p>
        </w:tc>
      </w:tr>
      <w:tr w:rsidR="00980E5F" w14:paraId="392CB957" w14:textId="77777777">
        <w:tc>
          <w:tcPr>
            <w:tcW w:w="0" w:type="auto"/>
            <w:gridSpan w:val="3"/>
            <w:shd w:val="clear" w:color="auto" w:fill="auto"/>
            <w:tcMar>
              <w:top w:w="0" w:type="dxa"/>
              <w:left w:w="20" w:type="dxa"/>
              <w:bottom w:w="0" w:type="dxa"/>
              <w:right w:w="20" w:type="dxa"/>
            </w:tcMar>
            <w:vAlign w:val="bottom"/>
          </w:tcPr>
          <w:p w14:paraId="392CB95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54" w14:textId="77777777" w:rsidR="00980E5F" w:rsidRDefault="00483613">
            <w:pPr>
              <w:textAlignment w:val="center"/>
            </w:pPr>
            <w:hyperlink r:id="rId65" w:history="1">
              <w:r>
                <w:rPr>
                  <w:rStyle w:val="a5"/>
                  <w:rFonts w:ascii="Arial" w:eastAsia="宋体" w:hAnsi="Arial" w:cs="Arial"/>
                  <w:sz w:val="20"/>
                  <w:szCs w:val="20"/>
                </w:rPr>
                <w:t>10.1†</w:t>
              </w:r>
            </w:hyperlink>
          </w:p>
        </w:tc>
        <w:tc>
          <w:tcPr>
            <w:tcW w:w="0" w:type="auto"/>
            <w:gridSpan w:val="3"/>
            <w:shd w:val="clear" w:color="auto" w:fill="auto"/>
            <w:tcMar>
              <w:top w:w="0" w:type="dxa"/>
              <w:left w:w="20" w:type="dxa"/>
              <w:bottom w:w="0" w:type="dxa"/>
              <w:right w:w="20" w:type="dxa"/>
            </w:tcMar>
            <w:vAlign w:val="bottom"/>
          </w:tcPr>
          <w:p w14:paraId="392CB95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56" w14:textId="77777777" w:rsidR="00980E5F" w:rsidRDefault="00483613">
            <w:pPr>
              <w:textAlignment w:val="center"/>
            </w:pPr>
            <w:hyperlink r:id="rId66" w:history="1">
              <w:r>
                <w:rPr>
                  <w:rStyle w:val="a5"/>
                  <w:rFonts w:ascii="Arial" w:eastAsia="宋体" w:hAnsi="Arial" w:cs="Arial"/>
                  <w:sz w:val="20"/>
                  <w:szCs w:val="20"/>
                </w:rPr>
                <w:t>Francisco Aristeguieta Transition and Separation Agreement dated May 9, 2022</w:t>
              </w:r>
            </w:hyperlink>
          </w:p>
        </w:tc>
      </w:tr>
      <w:tr w:rsidR="00980E5F" w14:paraId="392CB95C" w14:textId="77777777">
        <w:trPr>
          <w:trHeight w:val="60"/>
        </w:trPr>
        <w:tc>
          <w:tcPr>
            <w:tcW w:w="0" w:type="auto"/>
            <w:gridSpan w:val="3"/>
            <w:shd w:val="clear" w:color="auto" w:fill="auto"/>
            <w:tcMar>
              <w:top w:w="0" w:type="dxa"/>
              <w:left w:w="20" w:type="dxa"/>
              <w:bottom w:w="0" w:type="dxa"/>
              <w:right w:w="20" w:type="dxa"/>
            </w:tcMar>
            <w:vAlign w:val="bottom"/>
          </w:tcPr>
          <w:p w14:paraId="392CB95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5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5B" w14:textId="77777777" w:rsidR="00980E5F" w:rsidRDefault="00980E5F">
            <w:pPr>
              <w:rPr>
                <w:rFonts w:ascii="宋体"/>
              </w:rPr>
            </w:pPr>
          </w:p>
        </w:tc>
      </w:tr>
      <w:tr w:rsidR="00980E5F" w14:paraId="392CB961" w14:textId="77777777">
        <w:tc>
          <w:tcPr>
            <w:tcW w:w="0" w:type="auto"/>
            <w:gridSpan w:val="3"/>
            <w:shd w:val="clear" w:color="auto" w:fill="auto"/>
            <w:tcMar>
              <w:top w:w="0" w:type="dxa"/>
              <w:left w:w="20" w:type="dxa"/>
              <w:bottom w:w="0" w:type="dxa"/>
              <w:right w:w="20" w:type="dxa"/>
            </w:tcMar>
            <w:vAlign w:val="bottom"/>
          </w:tcPr>
          <w:p w14:paraId="392CB95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5E" w14:textId="77777777" w:rsidR="00980E5F" w:rsidRDefault="00483613">
            <w:pPr>
              <w:textAlignment w:val="center"/>
            </w:pPr>
            <w:hyperlink r:id="rId67"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vAlign w:val="bottom"/>
          </w:tcPr>
          <w:p w14:paraId="392CB95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60" w14:textId="77777777" w:rsidR="00980E5F" w:rsidRDefault="00483613">
            <w:pPr>
              <w:textAlignment w:val="center"/>
            </w:pPr>
            <w:hyperlink r:id="rId68" w:history="1">
              <w:r>
                <w:rPr>
                  <w:rStyle w:val="a5"/>
                  <w:rFonts w:ascii="Arial" w:eastAsia="宋体" w:hAnsi="Arial" w:cs="Arial"/>
                  <w:sz w:val="20"/>
                  <w:szCs w:val="20"/>
                </w:rPr>
                <w:t>Description of Compensation Arra</w:t>
              </w:r>
              <w:r>
                <w:rPr>
                  <w:rStyle w:val="a5"/>
                  <w:rFonts w:ascii="Arial" w:eastAsia="宋体" w:hAnsi="Arial" w:cs="Arial"/>
                  <w:sz w:val="20"/>
                  <w:szCs w:val="20"/>
                </w:rPr>
                <w:t>ngements for Non-Employee Directors</w:t>
              </w:r>
            </w:hyperlink>
          </w:p>
        </w:tc>
      </w:tr>
      <w:tr w:rsidR="00980E5F" w14:paraId="392CB966" w14:textId="77777777">
        <w:trPr>
          <w:trHeight w:val="60"/>
        </w:trPr>
        <w:tc>
          <w:tcPr>
            <w:tcW w:w="0" w:type="auto"/>
            <w:gridSpan w:val="3"/>
            <w:shd w:val="clear" w:color="auto" w:fill="auto"/>
            <w:tcMar>
              <w:top w:w="0" w:type="dxa"/>
              <w:left w:w="20" w:type="dxa"/>
              <w:bottom w:w="0" w:type="dxa"/>
              <w:right w:w="20" w:type="dxa"/>
            </w:tcMar>
            <w:vAlign w:val="bottom"/>
          </w:tcPr>
          <w:p w14:paraId="392CB9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6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6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65" w14:textId="77777777" w:rsidR="00980E5F" w:rsidRDefault="00980E5F">
            <w:pPr>
              <w:rPr>
                <w:rFonts w:ascii="宋体"/>
              </w:rPr>
            </w:pPr>
          </w:p>
        </w:tc>
      </w:tr>
      <w:tr w:rsidR="00980E5F" w14:paraId="392CB96B" w14:textId="77777777">
        <w:tc>
          <w:tcPr>
            <w:tcW w:w="0" w:type="auto"/>
            <w:gridSpan w:val="3"/>
            <w:shd w:val="clear" w:color="auto" w:fill="auto"/>
            <w:tcMar>
              <w:top w:w="0" w:type="dxa"/>
              <w:left w:w="20" w:type="dxa"/>
              <w:bottom w:w="0" w:type="dxa"/>
              <w:right w:w="20" w:type="dxa"/>
            </w:tcMar>
            <w:vAlign w:val="bottom"/>
          </w:tcPr>
          <w:p w14:paraId="392CB96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68" w14:textId="77777777" w:rsidR="00980E5F" w:rsidRDefault="00483613">
            <w:pPr>
              <w:textAlignment w:val="center"/>
            </w:pPr>
            <w:hyperlink r:id="rId69"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vAlign w:val="bottom"/>
          </w:tcPr>
          <w:p w14:paraId="392CB96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6A" w14:textId="77777777" w:rsidR="00980E5F" w:rsidRDefault="00483613">
            <w:pPr>
              <w:textAlignment w:val="center"/>
            </w:pPr>
            <w:hyperlink r:id="rId70" w:history="1">
              <w:r>
                <w:rPr>
                  <w:rStyle w:val="a5"/>
                  <w:rFonts w:ascii="Arial" w:eastAsia="宋体" w:hAnsi="Arial" w:cs="Arial"/>
                  <w:sz w:val="20"/>
                  <w:szCs w:val="20"/>
                </w:rPr>
                <w:t xml:space="preserve">Acknowledgment Letter of Ernst </w:t>
              </w:r>
              <w:r>
                <w:rPr>
                  <w:rStyle w:val="a5"/>
                  <w:rFonts w:ascii="Arial" w:eastAsia="宋体" w:hAnsi="Arial" w:cs="Arial"/>
                  <w:sz w:val="20"/>
                  <w:szCs w:val="20"/>
                </w:rPr>
                <w:t>&amp; Young LLP, Independent Registered Public Accounting Firm</w:t>
              </w:r>
            </w:hyperlink>
          </w:p>
        </w:tc>
      </w:tr>
      <w:tr w:rsidR="00980E5F" w14:paraId="392CB970" w14:textId="77777777">
        <w:trPr>
          <w:hidden/>
        </w:trPr>
        <w:tc>
          <w:tcPr>
            <w:tcW w:w="0" w:type="auto"/>
            <w:gridSpan w:val="3"/>
            <w:shd w:val="clear" w:color="auto" w:fill="auto"/>
            <w:vAlign w:val="bottom"/>
          </w:tcPr>
          <w:p w14:paraId="392CB96C" w14:textId="77777777" w:rsidR="00980E5F" w:rsidRDefault="00980E5F">
            <w:pPr>
              <w:rPr>
                <w:rFonts w:ascii="宋体"/>
                <w:vanish/>
              </w:rPr>
            </w:pPr>
          </w:p>
        </w:tc>
        <w:tc>
          <w:tcPr>
            <w:tcW w:w="0" w:type="auto"/>
            <w:gridSpan w:val="3"/>
            <w:shd w:val="clear" w:color="auto" w:fill="auto"/>
            <w:vAlign w:val="bottom"/>
          </w:tcPr>
          <w:p w14:paraId="392CB96D" w14:textId="77777777" w:rsidR="00980E5F" w:rsidRDefault="00980E5F">
            <w:pPr>
              <w:rPr>
                <w:rFonts w:ascii="宋体"/>
                <w:vanish/>
              </w:rPr>
            </w:pPr>
          </w:p>
        </w:tc>
        <w:tc>
          <w:tcPr>
            <w:tcW w:w="0" w:type="auto"/>
            <w:gridSpan w:val="3"/>
            <w:shd w:val="clear" w:color="auto" w:fill="auto"/>
            <w:vAlign w:val="bottom"/>
          </w:tcPr>
          <w:p w14:paraId="392CB96E" w14:textId="77777777" w:rsidR="00980E5F" w:rsidRDefault="00980E5F">
            <w:pPr>
              <w:rPr>
                <w:rFonts w:ascii="宋体"/>
                <w:vanish/>
              </w:rPr>
            </w:pPr>
          </w:p>
        </w:tc>
        <w:tc>
          <w:tcPr>
            <w:tcW w:w="0" w:type="auto"/>
            <w:gridSpan w:val="3"/>
            <w:shd w:val="clear" w:color="auto" w:fill="auto"/>
            <w:vAlign w:val="bottom"/>
          </w:tcPr>
          <w:p w14:paraId="392CB96F" w14:textId="77777777" w:rsidR="00980E5F" w:rsidRDefault="00980E5F">
            <w:pPr>
              <w:rPr>
                <w:rFonts w:ascii="宋体"/>
                <w:vanish/>
              </w:rPr>
            </w:pPr>
          </w:p>
        </w:tc>
      </w:tr>
      <w:tr w:rsidR="00980E5F" w14:paraId="392CB975" w14:textId="77777777">
        <w:trPr>
          <w:hidden/>
        </w:trPr>
        <w:tc>
          <w:tcPr>
            <w:tcW w:w="0" w:type="auto"/>
            <w:gridSpan w:val="3"/>
            <w:shd w:val="clear" w:color="auto" w:fill="auto"/>
            <w:vAlign w:val="bottom"/>
          </w:tcPr>
          <w:p w14:paraId="392CB971" w14:textId="77777777" w:rsidR="00980E5F" w:rsidRDefault="00980E5F">
            <w:pPr>
              <w:rPr>
                <w:rFonts w:ascii="宋体"/>
                <w:vanish/>
              </w:rPr>
            </w:pPr>
          </w:p>
        </w:tc>
        <w:tc>
          <w:tcPr>
            <w:tcW w:w="0" w:type="auto"/>
            <w:gridSpan w:val="3"/>
            <w:shd w:val="clear" w:color="auto" w:fill="auto"/>
            <w:vAlign w:val="bottom"/>
          </w:tcPr>
          <w:p w14:paraId="392CB972" w14:textId="77777777" w:rsidR="00980E5F" w:rsidRDefault="00980E5F">
            <w:pPr>
              <w:rPr>
                <w:rFonts w:ascii="宋体"/>
                <w:vanish/>
              </w:rPr>
            </w:pPr>
          </w:p>
        </w:tc>
        <w:tc>
          <w:tcPr>
            <w:tcW w:w="0" w:type="auto"/>
            <w:gridSpan w:val="3"/>
            <w:shd w:val="clear" w:color="auto" w:fill="auto"/>
            <w:vAlign w:val="bottom"/>
          </w:tcPr>
          <w:p w14:paraId="392CB973" w14:textId="77777777" w:rsidR="00980E5F" w:rsidRDefault="00980E5F">
            <w:pPr>
              <w:rPr>
                <w:rFonts w:ascii="宋体"/>
                <w:vanish/>
              </w:rPr>
            </w:pPr>
          </w:p>
        </w:tc>
        <w:tc>
          <w:tcPr>
            <w:tcW w:w="0" w:type="auto"/>
            <w:gridSpan w:val="3"/>
            <w:shd w:val="clear" w:color="auto" w:fill="auto"/>
            <w:vAlign w:val="bottom"/>
          </w:tcPr>
          <w:p w14:paraId="392CB974" w14:textId="77777777" w:rsidR="00980E5F" w:rsidRDefault="00980E5F">
            <w:pPr>
              <w:rPr>
                <w:rFonts w:ascii="宋体"/>
                <w:vanish/>
              </w:rPr>
            </w:pPr>
          </w:p>
        </w:tc>
      </w:tr>
      <w:tr w:rsidR="00980E5F" w14:paraId="392CB97A" w14:textId="77777777">
        <w:trPr>
          <w:hidden/>
        </w:trPr>
        <w:tc>
          <w:tcPr>
            <w:tcW w:w="0" w:type="auto"/>
            <w:gridSpan w:val="3"/>
            <w:shd w:val="clear" w:color="auto" w:fill="auto"/>
            <w:vAlign w:val="bottom"/>
          </w:tcPr>
          <w:p w14:paraId="392CB976" w14:textId="77777777" w:rsidR="00980E5F" w:rsidRDefault="00980E5F">
            <w:pPr>
              <w:rPr>
                <w:rFonts w:ascii="宋体"/>
                <w:vanish/>
              </w:rPr>
            </w:pPr>
          </w:p>
        </w:tc>
        <w:tc>
          <w:tcPr>
            <w:tcW w:w="0" w:type="auto"/>
            <w:gridSpan w:val="3"/>
            <w:shd w:val="clear" w:color="auto" w:fill="auto"/>
            <w:vAlign w:val="bottom"/>
          </w:tcPr>
          <w:p w14:paraId="392CB977" w14:textId="77777777" w:rsidR="00980E5F" w:rsidRDefault="00980E5F">
            <w:pPr>
              <w:rPr>
                <w:rFonts w:ascii="宋体"/>
                <w:vanish/>
              </w:rPr>
            </w:pPr>
          </w:p>
        </w:tc>
        <w:tc>
          <w:tcPr>
            <w:tcW w:w="0" w:type="auto"/>
            <w:gridSpan w:val="3"/>
            <w:shd w:val="clear" w:color="auto" w:fill="auto"/>
            <w:vAlign w:val="bottom"/>
          </w:tcPr>
          <w:p w14:paraId="392CB978" w14:textId="77777777" w:rsidR="00980E5F" w:rsidRDefault="00980E5F">
            <w:pPr>
              <w:rPr>
                <w:rFonts w:ascii="宋体"/>
                <w:vanish/>
              </w:rPr>
            </w:pPr>
          </w:p>
        </w:tc>
        <w:tc>
          <w:tcPr>
            <w:tcW w:w="0" w:type="auto"/>
            <w:gridSpan w:val="3"/>
            <w:shd w:val="clear" w:color="auto" w:fill="auto"/>
            <w:vAlign w:val="bottom"/>
          </w:tcPr>
          <w:p w14:paraId="392CB979" w14:textId="77777777" w:rsidR="00980E5F" w:rsidRDefault="00980E5F">
            <w:pPr>
              <w:rPr>
                <w:rFonts w:ascii="宋体"/>
                <w:vanish/>
              </w:rPr>
            </w:pPr>
          </w:p>
        </w:tc>
      </w:tr>
      <w:tr w:rsidR="00980E5F" w14:paraId="392CB97F" w14:textId="77777777">
        <w:trPr>
          <w:hidden/>
        </w:trPr>
        <w:tc>
          <w:tcPr>
            <w:tcW w:w="0" w:type="auto"/>
            <w:gridSpan w:val="3"/>
            <w:shd w:val="clear" w:color="auto" w:fill="auto"/>
            <w:vAlign w:val="bottom"/>
          </w:tcPr>
          <w:p w14:paraId="392CB97B" w14:textId="77777777" w:rsidR="00980E5F" w:rsidRDefault="00980E5F">
            <w:pPr>
              <w:rPr>
                <w:rFonts w:ascii="宋体"/>
                <w:vanish/>
              </w:rPr>
            </w:pPr>
          </w:p>
        </w:tc>
        <w:tc>
          <w:tcPr>
            <w:tcW w:w="0" w:type="auto"/>
            <w:gridSpan w:val="3"/>
            <w:shd w:val="clear" w:color="auto" w:fill="auto"/>
            <w:vAlign w:val="bottom"/>
          </w:tcPr>
          <w:p w14:paraId="392CB97C" w14:textId="77777777" w:rsidR="00980E5F" w:rsidRDefault="00980E5F">
            <w:pPr>
              <w:rPr>
                <w:rFonts w:ascii="宋体"/>
                <w:vanish/>
              </w:rPr>
            </w:pPr>
          </w:p>
        </w:tc>
        <w:tc>
          <w:tcPr>
            <w:tcW w:w="0" w:type="auto"/>
            <w:gridSpan w:val="3"/>
            <w:shd w:val="clear" w:color="auto" w:fill="auto"/>
            <w:vAlign w:val="bottom"/>
          </w:tcPr>
          <w:p w14:paraId="392CB97D" w14:textId="77777777" w:rsidR="00980E5F" w:rsidRDefault="00980E5F">
            <w:pPr>
              <w:rPr>
                <w:rFonts w:ascii="宋体"/>
                <w:vanish/>
              </w:rPr>
            </w:pPr>
          </w:p>
        </w:tc>
        <w:tc>
          <w:tcPr>
            <w:tcW w:w="0" w:type="auto"/>
            <w:gridSpan w:val="3"/>
            <w:shd w:val="clear" w:color="auto" w:fill="auto"/>
            <w:vAlign w:val="bottom"/>
          </w:tcPr>
          <w:p w14:paraId="392CB97E" w14:textId="77777777" w:rsidR="00980E5F" w:rsidRDefault="00980E5F">
            <w:pPr>
              <w:rPr>
                <w:rFonts w:ascii="宋体"/>
                <w:vanish/>
              </w:rPr>
            </w:pPr>
          </w:p>
        </w:tc>
      </w:tr>
      <w:tr w:rsidR="00980E5F" w14:paraId="392CB984" w14:textId="77777777">
        <w:trPr>
          <w:trHeight w:val="60"/>
        </w:trPr>
        <w:tc>
          <w:tcPr>
            <w:tcW w:w="0" w:type="auto"/>
            <w:gridSpan w:val="3"/>
            <w:shd w:val="clear" w:color="auto" w:fill="auto"/>
            <w:tcMar>
              <w:top w:w="0" w:type="dxa"/>
              <w:left w:w="20" w:type="dxa"/>
              <w:bottom w:w="0" w:type="dxa"/>
              <w:right w:w="20" w:type="dxa"/>
            </w:tcMar>
            <w:vAlign w:val="bottom"/>
          </w:tcPr>
          <w:p w14:paraId="392CB98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3" w14:textId="77777777" w:rsidR="00980E5F" w:rsidRDefault="00980E5F">
            <w:pPr>
              <w:rPr>
                <w:rFonts w:ascii="宋体"/>
              </w:rPr>
            </w:pPr>
          </w:p>
        </w:tc>
      </w:tr>
      <w:tr w:rsidR="00980E5F" w14:paraId="392CB989" w14:textId="77777777">
        <w:tc>
          <w:tcPr>
            <w:tcW w:w="0" w:type="auto"/>
            <w:gridSpan w:val="3"/>
            <w:shd w:val="clear" w:color="auto" w:fill="auto"/>
            <w:tcMar>
              <w:top w:w="0" w:type="dxa"/>
              <w:left w:w="20" w:type="dxa"/>
              <w:bottom w:w="0" w:type="dxa"/>
              <w:right w:w="20" w:type="dxa"/>
            </w:tcMar>
            <w:vAlign w:val="bottom"/>
          </w:tcPr>
          <w:p w14:paraId="392CB98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86" w14:textId="77777777" w:rsidR="00980E5F" w:rsidRDefault="00483613">
            <w:pPr>
              <w:textAlignment w:val="center"/>
            </w:pPr>
            <w:hyperlink r:id="rId71"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392CB98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88" w14:textId="77777777" w:rsidR="00980E5F" w:rsidRDefault="00483613">
            <w:pPr>
              <w:textAlignment w:val="center"/>
            </w:pPr>
            <w:hyperlink r:id="rId72" w:history="1">
              <w:r>
                <w:rPr>
                  <w:rStyle w:val="a5"/>
                  <w:rFonts w:ascii="Arial" w:eastAsia="宋体" w:hAnsi="Arial" w:cs="Arial"/>
                  <w:sz w:val="20"/>
                  <w:szCs w:val="20"/>
                </w:rPr>
                <w:t xml:space="preserve">Rule 13a-14(a)/15d-14(a) Certification </w:t>
              </w:r>
              <w:r>
                <w:rPr>
                  <w:rStyle w:val="a5"/>
                  <w:rFonts w:ascii="Arial" w:eastAsia="宋体" w:hAnsi="Arial" w:cs="Arial"/>
                  <w:sz w:val="20"/>
                  <w:szCs w:val="20"/>
                </w:rPr>
                <w:t>of Chairman, President and Chief Executive Officer</w:t>
              </w:r>
            </w:hyperlink>
          </w:p>
        </w:tc>
      </w:tr>
      <w:tr w:rsidR="00980E5F" w14:paraId="392CB98E" w14:textId="77777777">
        <w:trPr>
          <w:trHeight w:val="60"/>
        </w:trPr>
        <w:tc>
          <w:tcPr>
            <w:tcW w:w="0" w:type="auto"/>
            <w:gridSpan w:val="3"/>
            <w:shd w:val="clear" w:color="auto" w:fill="auto"/>
            <w:tcMar>
              <w:top w:w="0" w:type="dxa"/>
              <w:left w:w="20" w:type="dxa"/>
              <w:bottom w:w="0" w:type="dxa"/>
              <w:right w:w="20" w:type="dxa"/>
            </w:tcMar>
            <w:vAlign w:val="bottom"/>
          </w:tcPr>
          <w:p w14:paraId="392CB98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8D" w14:textId="77777777" w:rsidR="00980E5F" w:rsidRDefault="00980E5F">
            <w:pPr>
              <w:rPr>
                <w:rFonts w:ascii="宋体"/>
              </w:rPr>
            </w:pPr>
          </w:p>
        </w:tc>
      </w:tr>
      <w:tr w:rsidR="00980E5F" w14:paraId="392CB993" w14:textId="77777777">
        <w:tc>
          <w:tcPr>
            <w:tcW w:w="0" w:type="auto"/>
            <w:gridSpan w:val="3"/>
            <w:shd w:val="clear" w:color="auto" w:fill="auto"/>
            <w:tcMar>
              <w:top w:w="0" w:type="dxa"/>
              <w:left w:w="20" w:type="dxa"/>
              <w:bottom w:w="0" w:type="dxa"/>
              <w:right w:w="20" w:type="dxa"/>
            </w:tcMar>
            <w:vAlign w:val="bottom"/>
          </w:tcPr>
          <w:p w14:paraId="392CB98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90" w14:textId="77777777" w:rsidR="00980E5F" w:rsidRDefault="00483613">
            <w:pPr>
              <w:textAlignment w:val="center"/>
            </w:pPr>
            <w:hyperlink r:id="rId73"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392CB99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92" w14:textId="77777777" w:rsidR="00980E5F" w:rsidRDefault="00483613">
            <w:pPr>
              <w:textAlignment w:val="center"/>
            </w:pPr>
            <w:hyperlink r:id="rId74" w:history="1">
              <w:r>
                <w:rPr>
                  <w:rStyle w:val="a5"/>
                  <w:rFonts w:ascii="Arial" w:eastAsia="宋体" w:hAnsi="Arial" w:cs="Arial"/>
                  <w:sz w:val="20"/>
                  <w:szCs w:val="20"/>
                </w:rPr>
                <w:t xml:space="preserve">Rule 13a-14(a)/15d-14(a) Certification </w:t>
              </w:r>
              <w:r>
                <w:rPr>
                  <w:rStyle w:val="a5"/>
                  <w:rFonts w:ascii="Arial" w:eastAsia="宋体" w:hAnsi="Arial" w:cs="Arial"/>
                  <w:sz w:val="20"/>
                  <w:szCs w:val="20"/>
                </w:rPr>
                <w:t>of Chief Financial Officer</w:t>
              </w:r>
            </w:hyperlink>
          </w:p>
        </w:tc>
      </w:tr>
      <w:tr w:rsidR="00980E5F" w14:paraId="392CB998" w14:textId="77777777">
        <w:trPr>
          <w:trHeight w:val="60"/>
        </w:trPr>
        <w:tc>
          <w:tcPr>
            <w:tcW w:w="0" w:type="auto"/>
            <w:gridSpan w:val="3"/>
            <w:shd w:val="clear" w:color="auto" w:fill="auto"/>
            <w:tcMar>
              <w:top w:w="0" w:type="dxa"/>
              <w:left w:w="20" w:type="dxa"/>
              <w:bottom w:w="0" w:type="dxa"/>
              <w:right w:w="20" w:type="dxa"/>
            </w:tcMar>
            <w:vAlign w:val="bottom"/>
          </w:tcPr>
          <w:p w14:paraId="392CB99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9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9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97" w14:textId="77777777" w:rsidR="00980E5F" w:rsidRDefault="00980E5F">
            <w:pPr>
              <w:rPr>
                <w:rFonts w:ascii="宋体"/>
              </w:rPr>
            </w:pPr>
          </w:p>
        </w:tc>
      </w:tr>
      <w:tr w:rsidR="00980E5F" w14:paraId="392CB99D" w14:textId="77777777">
        <w:tc>
          <w:tcPr>
            <w:tcW w:w="0" w:type="auto"/>
            <w:gridSpan w:val="3"/>
            <w:shd w:val="clear" w:color="auto" w:fill="auto"/>
            <w:tcMar>
              <w:top w:w="0" w:type="dxa"/>
              <w:left w:w="20" w:type="dxa"/>
              <w:bottom w:w="0" w:type="dxa"/>
              <w:right w:w="20" w:type="dxa"/>
            </w:tcMar>
            <w:vAlign w:val="bottom"/>
          </w:tcPr>
          <w:p w14:paraId="392CB99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9A" w14:textId="77777777" w:rsidR="00980E5F" w:rsidRDefault="00483613">
            <w:pPr>
              <w:textAlignment w:val="center"/>
            </w:pPr>
            <w:hyperlink r:id="rId75"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392CB99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9C" w14:textId="77777777" w:rsidR="00980E5F" w:rsidRDefault="00483613">
            <w:pPr>
              <w:textAlignment w:val="center"/>
            </w:pPr>
            <w:hyperlink r:id="rId76" w:history="1">
              <w:r>
                <w:rPr>
                  <w:rStyle w:val="a5"/>
                  <w:rFonts w:ascii="Arial" w:eastAsia="宋体" w:hAnsi="Arial" w:cs="Arial"/>
                  <w:sz w:val="20"/>
                  <w:szCs w:val="20"/>
                </w:rPr>
                <w:t>Section 1350 Certifications</w:t>
              </w:r>
            </w:hyperlink>
          </w:p>
        </w:tc>
      </w:tr>
      <w:tr w:rsidR="00980E5F" w14:paraId="392CB9A2" w14:textId="77777777">
        <w:trPr>
          <w:trHeight w:val="60"/>
        </w:trPr>
        <w:tc>
          <w:tcPr>
            <w:tcW w:w="0" w:type="auto"/>
            <w:gridSpan w:val="3"/>
            <w:shd w:val="clear" w:color="auto" w:fill="auto"/>
            <w:tcMar>
              <w:top w:w="0" w:type="dxa"/>
              <w:left w:w="20" w:type="dxa"/>
              <w:bottom w:w="0" w:type="dxa"/>
              <w:right w:w="20" w:type="dxa"/>
            </w:tcMar>
            <w:vAlign w:val="bottom"/>
          </w:tcPr>
          <w:p w14:paraId="392CB99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9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A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A1" w14:textId="77777777" w:rsidR="00980E5F" w:rsidRDefault="00980E5F">
            <w:pPr>
              <w:rPr>
                <w:rFonts w:ascii="宋体"/>
              </w:rPr>
            </w:pPr>
          </w:p>
        </w:tc>
      </w:tr>
      <w:tr w:rsidR="00980E5F" w14:paraId="392CB9A7" w14:textId="77777777">
        <w:tc>
          <w:tcPr>
            <w:tcW w:w="0" w:type="auto"/>
            <w:gridSpan w:val="3"/>
            <w:shd w:val="clear" w:color="auto" w:fill="auto"/>
            <w:tcMar>
              <w:top w:w="0" w:type="dxa"/>
              <w:left w:w="20" w:type="dxa"/>
              <w:bottom w:w="0" w:type="dxa"/>
              <w:right w:w="20" w:type="dxa"/>
            </w:tcMar>
            <w:vAlign w:val="bottom"/>
          </w:tcPr>
          <w:p w14:paraId="392CB9A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A4" w14:textId="77777777" w:rsidR="00980E5F" w:rsidRDefault="00483613">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392CB9A5"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A6" w14:textId="77777777" w:rsidR="00980E5F" w:rsidRDefault="00483613">
            <w:pPr>
              <w:textAlignment w:val="center"/>
            </w:pPr>
            <w:r>
              <w:rPr>
                <w:rFonts w:ascii="Arial" w:eastAsia="宋体" w:hAnsi="Arial" w:cs="Arial"/>
                <w:color w:val="000000"/>
                <w:sz w:val="20"/>
                <w:szCs w:val="20"/>
              </w:rPr>
              <w:t xml:space="preserve">The instance document does not appear in the interactive data file because its XBRL tags are </w:t>
            </w:r>
            <w:r>
              <w:rPr>
                <w:rFonts w:ascii="Arial" w:eastAsia="宋体" w:hAnsi="Arial" w:cs="Arial"/>
                <w:color w:val="000000"/>
                <w:sz w:val="20"/>
                <w:szCs w:val="20"/>
              </w:rPr>
              <w:t>embedded within the inline XBRL document</w:t>
            </w:r>
          </w:p>
        </w:tc>
      </w:tr>
      <w:tr w:rsidR="00980E5F" w14:paraId="392CB9AC" w14:textId="77777777">
        <w:trPr>
          <w:trHeight w:val="60"/>
        </w:trPr>
        <w:tc>
          <w:tcPr>
            <w:tcW w:w="0" w:type="auto"/>
            <w:gridSpan w:val="3"/>
            <w:shd w:val="clear" w:color="auto" w:fill="auto"/>
            <w:tcMar>
              <w:top w:w="0" w:type="dxa"/>
              <w:left w:w="20" w:type="dxa"/>
              <w:bottom w:w="0" w:type="dxa"/>
              <w:right w:w="20" w:type="dxa"/>
            </w:tcMar>
            <w:vAlign w:val="bottom"/>
          </w:tcPr>
          <w:p w14:paraId="392CB9A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A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A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AB" w14:textId="77777777" w:rsidR="00980E5F" w:rsidRDefault="00980E5F">
            <w:pPr>
              <w:rPr>
                <w:rFonts w:ascii="宋体"/>
              </w:rPr>
            </w:pPr>
          </w:p>
        </w:tc>
      </w:tr>
      <w:tr w:rsidR="00980E5F" w14:paraId="392CB9B1" w14:textId="77777777">
        <w:tc>
          <w:tcPr>
            <w:tcW w:w="0" w:type="auto"/>
            <w:gridSpan w:val="3"/>
            <w:shd w:val="clear" w:color="auto" w:fill="auto"/>
            <w:tcMar>
              <w:top w:w="40" w:type="dxa"/>
              <w:left w:w="20" w:type="dxa"/>
              <w:bottom w:w="40" w:type="dxa"/>
              <w:right w:w="20" w:type="dxa"/>
            </w:tcMar>
            <w:vAlign w:val="bottom"/>
          </w:tcPr>
          <w:p w14:paraId="392CB9AD" w14:textId="77777777" w:rsidR="00980E5F" w:rsidRDefault="00483613">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92CB9AE" w14:textId="77777777" w:rsidR="00980E5F" w:rsidRDefault="00483613">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92CB9A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B0" w14:textId="77777777" w:rsidR="00980E5F" w:rsidRDefault="00483613">
            <w:pPr>
              <w:textAlignment w:val="bottom"/>
            </w:pPr>
            <w:r>
              <w:rPr>
                <w:rFonts w:ascii="Arial" w:eastAsia="宋体" w:hAnsi="Arial" w:cs="Arial"/>
                <w:color w:val="000000"/>
                <w:sz w:val="20"/>
                <w:szCs w:val="20"/>
              </w:rPr>
              <w:t>Inline XBRL Taxonomy Extension Schema Document</w:t>
            </w:r>
          </w:p>
        </w:tc>
      </w:tr>
      <w:tr w:rsidR="00980E5F" w14:paraId="392CB9B6" w14:textId="77777777">
        <w:trPr>
          <w:trHeight w:val="60"/>
        </w:trPr>
        <w:tc>
          <w:tcPr>
            <w:tcW w:w="0" w:type="auto"/>
            <w:gridSpan w:val="3"/>
            <w:shd w:val="clear" w:color="auto" w:fill="auto"/>
            <w:tcMar>
              <w:top w:w="0" w:type="dxa"/>
              <w:left w:w="20" w:type="dxa"/>
              <w:bottom w:w="0" w:type="dxa"/>
              <w:right w:w="20" w:type="dxa"/>
            </w:tcMar>
            <w:vAlign w:val="bottom"/>
          </w:tcPr>
          <w:p w14:paraId="392CB9B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5" w14:textId="77777777" w:rsidR="00980E5F" w:rsidRDefault="00980E5F">
            <w:pPr>
              <w:rPr>
                <w:rFonts w:ascii="宋体"/>
              </w:rPr>
            </w:pPr>
          </w:p>
        </w:tc>
      </w:tr>
      <w:tr w:rsidR="00980E5F" w14:paraId="392CB9BB" w14:textId="77777777">
        <w:tc>
          <w:tcPr>
            <w:tcW w:w="0" w:type="auto"/>
            <w:gridSpan w:val="3"/>
            <w:shd w:val="clear" w:color="auto" w:fill="auto"/>
            <w:tcMar>
              <w:top w:w="40" w:type="dxa"/>
              <w:left w:w="20" w:type="dxa"/>
              <w:bottom w:w="40" w:type="dxa"/>
              <w:right w:w="20" w:type="dxa"/>
            </w:tcMar>
            <w:vAlign w:val="bottom"/>
          </w:tcPr>
          <w:p w14:paraId="392CB9B7" w14:textId="77777777" w:rsidR="00980E5F" w:rsidRDefault="00483613">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92CB9B8" w14:textId="77777777" w:rsidR="00980E5F" w:rsidRDefault="00483613">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392CB9B9"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BA" w14:textId="77777777" w:rsidR="00980E5F" w:rsidRDefault="00483613">
            <w:pPr>
              <w:textAlignment w:val="bottom"/>
            </w:pPr>
            <w:r>
              <w:rPr>
                <w:rFonts w:ascii="Arial" w:eastAsia="宋体" w:hAnsi="Arial" w:cs="Arial"/>
                <w:color w:val="000000"/>
                <w:sz w:val="20"/>
                <w:szCs w:val="20"/>
              </w:rPr>
              <w:t>Inline XBRL Taxonomy Calculation Linkbase Document</w:t>
            </w:r>
          </w:p>
        </w:tc>
      </w:tr>
      <w:tr w:rsidR="00980E5F" w14:paraId="392CB9C0" w14:textId="77777777">
        <w:trPr>
          <w:trHeight w:val="60"/>
        </w:trPr>
        <w:tc>
          <w:tcPr>
            <w:tcW w:w="0" w:type="auto"/>
            <w:gridSpan w:val="3"/>
            <w:shd w:val="clear" w:color="auto" w:fill="auto"/>
            <w:tcMar>
              <w:top w:w="0" w:type="dxa"/>
              <w:left w:w="20" w:type="dxa"/>
              <w:bottom w:w="0" w:type="dxa"/>
              <w:right w:w="20" w:type="dxa"/>
            </w:tcMar>
            <w:vAlign w:val="bottom"/>
          </w:tcPr>
          <w:p w14:paraId="392CB9B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BF" w14:textId="77777777" w:rsidR="00980E5F" w:rsidRDefault="00980E5F">
            <w:pPr>
              <w:rPr>
                <w:rFonts w:ascii="宋体"/>
              </w:rPr>
            </w:pPr>
          </w:p>
        </w:tc>
      </w:tr>
      <w:tr w:rsidR="00980E5F" w14:paraId="392CB9C5" w14:textId="77777777">
        <w:tc>
          <w:tcPr>
            <w:tcW w:w="0" w:type="auto"/>
            <w:gridSpan w:val="3"/>
            <w:shd w:val="clear" w:color="auto" w:fill="auto"/>
            <w:tcMar>
              <w:top w:w="40" w:type="dxa"/>
              <w:left w:w="20" w:type="dxa"/>
              <w:bottom w:w="40" w:type="dxa"/>
              <w:right w:w="20" w:type="dxa"/>
            </w:tcMar>
            <w:vAlign w:val="bottom"/>
          </w:tcPr>
          <w:p w14:paraId="392CB9C1" w14:textId="77777777" w:rsidR="00980E5F" w:rsidRDefault="00483613">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92CB9C2" w14:textId="77777777" w:rsidR="00980E5F" w:rsidRDefault="00483613">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392CB9C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C4" w14:textId="77777777" w:rsidR="00980E5F" w:rsidRDefault="00483613">
            <w:pPr>
              <w:textAlignment w:val="bottom"/>
            </w:pPr>
            <w:r>
              <w:rPr>
                <w:rFonts w:ascii="Arial" w:eastAsia="宋体" w:hAnsi="Arial" w:cs="Arial"/>
                <w:color w:val="000000"/>
                <w:sz w:val="20"/>
                <w:szCs w:val="20"/>
              </w:rPr>
              <w:t xml:space="preserve">Inline XBRL Taxonomy Extension Definition Linkbase </w:t>
            </w:r>
            <w:r>
              <w:rPr>
                <w:rFonts w:ascii="Arial" w:eastAsia="宋体" w:hAnsi="Arial" w:cs="Arial"/>
                <w:color w:val="000000"/>
                <w:sz w:val="20"/>
                <w:szCs w:val="20"/>
              </w:rPr>
              <w:t>Document</w:t>
            </w:r>
          </w:p>
        </w:tc>
      </w:tr>
      <w:tr w:rsidR="00980E5F" w14:paraId="392CB9CA" w14:textId="77777777">
        <w:trPr>
          <w:trHeight w:val="60"/>
        </w:trPr>
        <w:tc>
          <w:tcPr>
            <w:tcW w:w="0" w:type="auto"/>
            <w:gridSpan w:val="3"/>
            <w:shd w:val="clear" w:color="auto" w:fill="auto"/>
            <w:tcMar>
              <w:top w:w="0" w:type="dxa"/>
              <w:left w:w="20" w:type="dxa"/>
              <w:bottom w:w="0" w:type="dxa"/>
              <w:right w:w="20" w:type="dxa"/>
            </w:tcMar>
            <w:vAlign w:val="bottom"/>
          </w:tcPr>
          <w:p w14:paraId="392CB9C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C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C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C9" w14:textId="77777777" w:rsidR="00980E5F" w:rsidRDefault="00980E5F">
            <w:pPr>
              <w:rPr>
                <w:rFonts w:ascii="宋体"/>
              </w:rPr>
            </w:pPr>
          </w:p>
        </w:tc>
      </w:tr>
      <w:tr w:rsidR="00980E5F" w14:paraId="392CB9CF" w14:textId="77777777">
        <w:tc>
          <w:tcPr>
            <w:tcW w:w="0" w:type="auto"/>
            <w:gridSpan w:val="3"/>
            <w:shd w:val="clear" w:color="auto" w:fill="auto"/>
            <w:tcMar>
              <w:top w:w="40" w:type="dxa"/>
              <w:left w:w="20" w:type="dxa"/>
              <w:bottom w:w="40" w:type="dxa"/>
              <w:right w:w="20" w:type="dxa"/>
            </w:tcMar>
            <w:vAlign w:val="bottom"/>
          </w:tcPr>
          <w:p w14:paraId="392CB9CB" w14:textId="77777777" w:rsidR="00980E5F" w:rsidRDefault="00483613">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92CB9CC" w14:textId="77777777" w:rsidR="00980E5F" w:rsidRDefault="00483613">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392CB9C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CE" w14:textId="77777777" w:rsidR="00980E5F" w:rsidRDefault="00483613">
            <w:pPr>
              <w:textAlignment w:val="bottom"/>
            </w:pPr>
            <w:r>
              <w:rPr>
                <w:rFonts w:ascii="Arial" w:eastAsia="宋体" w:hAnsi="Arial" w:cs="Arial"/>
                <w:color w:val="000000"/>
                <w:sz w:val="20"/>
                <w:szCs w:val="20"/>
              </w:rPr>
              <w:t>Inline XBRL Taxonomy Label Linkbase Document</w:t>
            </w:r>
          </w:p>
        </w:tc>
      </w:tr>
      <w:tr w:rsidR="00980E5F" w14:paraId="392CB9D4" w14:textId="77777777">
        <w:trPr>
          <w:trHeight w:val="60"/>
        </w:trPr>
        <w:tc>
          <w:tcPr>
            <w:tcW w:w="0" w:type="auto"/>
            <w:gridSpan w:val="3"/>
            <w:shd w:val="clear" w:color="auto" w:fill="auto"/>
            <w:tcMar>
              <w:top w:w="0" w:type="dxa"/>
              <w:left w:w="20" w:type="dxa"/>
              <w:bottom w:w="0" w:type="dxa"/>
              <w:right w:w="20" w:type="dxa"/>
            </w:tcMar>
            <w:vAlign w:val="bottom"/>
          </w:tcPr>
          <w:p w14:paraId="392CB9D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3" w14:textId="77777777" w:rsidR="00980E5F" w:rsidRDefault="00980E5F">
            <w:pPr>
              <w:rPr>
                <w:rFonts w:ascii="宋体"/>
              </w:rPr>
            </w:pPr>
          </w:p>
        </w:tc>
      </w:tr>
      <w:tr w:rsidR="00980E5F" w14:paraId="392CB9D9" w14:textId="77777777">
        <w:tc>
          <w:tcPr>
            <w:tcW w:w="0" w:type="auto"/>
            <w:gridSpan w:val="3"/>
            <w:shd w:val="clear" w:color="auto" w:fill="auto"/>
            <w:tcMar>
              <w:top w:w="40" w:type="dxa"/>
              <w:left w:w="20" w:type="dxa"/>
              <w:bottom w:w="40" w:type="dxa"/>
              <w:right w:w="20" w:type="dxa"/>
            </w:tcMar>
            <w:vAlign w:val="bottom"/>
          </w:tcPr>
          <w:p w14:paraId="392CB9D5" w14:textId="77777777" w:rsidR="00980E5F" w:rsidRDefault="00483613">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392CB9D6" w14:textId="77777777" w:rsidR="00980E5F" w:rsidRDefault="00483613">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392CB9D7"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9D8" w14:textId="77777777" w:rsidR="00980E5F" w:rsidRDefault="00483613">
            <w:pPr>
              <w:textAlignment w:val="bottom"/>
            </w:pPr>
            <w:r>
              <w:rPr>
                <w:rFonts w:ascii="Arial" w:eastAsia="宋体" w:hAnsi="Arial" w:cs="Arial"/>
                <w:color w:val="000000"/>
                <w:sz w:val="20"/>
                <w:szCs w:val="20"/>
              </w:rPr>
              <w:t>Inline XBRL Taxonomy Presentation Linkbase Document</w:t>
            </w:r>
          </w:p>
        </w:tc>
      </w:tr>
      <w:tr w:rsidR="00980E5F" w14:paraId="392CB9DE" w14:textId="77777777">
        <w:trPr>
          <w:trHeight w:val="60"/>
        </w:trPr>
        <w:tc>
          <w:tcPr>
            <w:tcW w:w="0" w:type="auto"/>
            <w:gridSpan w:val="3"/>
            <w:shd w:val="clear" w:color="auto" w:fill="auto"/>
            <w:tcMar>
              <w:top w:w="0" w:type="dxa"/>
              <w:left w:w="20" w:type="dxa"/>
              <w:bottom w:w="0" w:type="dxa"/>
              <w:right w:w="20" w:type="dxa"/>
            </w:tcMar>
            <w:vAlign w:val="bottom"/>
          </w:tcPr>
          <w:p w14:paraId="392CB9D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DD" w14:textId="77777777" w:rsidR="00980E5F" w:rsidRDefault="00980E5F">
            <w:pPr>
              <w:rPr>
                <w:rFonts w:ascii="宋体"/>
              </w:rPr>
            </w:pPr>
          </w:p>
        </w:tc>
      </w:tr>
      <w:tr w:rsidR="00980E5F" w14:paraId="392CB9E3" w14:textId="77777777">
        <w:tc>
          <w:tcPr>
            <w:tcW w:w="0" w:type="auto"/>
            <w:gridSpan w:val="3"/>
            <w:shd w:val="clear" w:color="auto" w:fill="auto"/>
            <w:tcMar>
              <w:top w:w="40" w:type="dxa"/>
              <w:left w:w="20" w:type="dxa"/>
              <w:bottom w:w="40" w:type="dxa"/>
              <w:right w:w="20" w:type="dxa"/>
            </w:tcMar>
            <w:vAlign w:val="center"/>
          </w:tcPr>
          <w:p w14:paraId="392CB9DF" w14:textId="77777777" w:rsidR="00980E5F" w:rsidRDefault="00483613">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392CB9E0" w14:textId="77777777" w:rsidR="00980E5F" w:rsidRDefault="00483613">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392CB9E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center"/>
          </w:tcPr>
          <w:p w14:paraId="392CB9E2" w14:textId="77777777" w:rsidR="00980E5F" w:rsidRDefault="00483613">
            <w:pPr>
              <w:textAlignment w:val="center"/>
            </w:pPr>
            <w:r>
              <w:rPr>
                <w:rFonts w:ascii="Arial" w:eastAsia="宋体" w:hAnsi="Arial" w:cs="Arial"/>
                <w:color w:val="000000"/>
                <w:sz w:val="20"/>
                <w:szCs w:val="20"/>
              </w:rPr>
              <w:t xml:space="preserve">Cover Page Interactive Data File (formatted as Inline XBRL and included within the Exhibit 101 </w:t>
            </w:r>
            <w:r>
              <w:rPr>
                <w:rFonts w:ascii="Arial" w:eastAsia="宋体" w:hAnsi="Arial" w:cs="Arial"/>
                <w:color w:val="000000"/>
                <w:sz w:val="20"/>
                <w:szCs w:val="20"/>
              </w:rPr>
              <w:t>attachments)</w:t>
            </w:r>
          </w:p>
        </w:tc>
      </w:tr>
    </w:tbl>
    <w:p w14:paraId="392CB9E4"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980E5F" w14:paraId="392CB9F1" w14:textId="77777777">
        <w:tc>
          <w:tcPr>
            <w:tcW w:w="50" w:type="pct"/>
            <w:shd w:val="clear" w:color="auto" w:fill="auto"/>
            <w:vAlign w:val="bottom"/>
          </w:tcPr>
          <w:p w14:paraId="392CB9E5" w14:textId="77777777" w:rsidR="00980E5F" w:rsidRDefault="00980E5F">
            <w:pPr>
              <w:rPr>
                <w:rFonts w:ascii="宋体"/>
              </w:rPr>
            </w:pPr>
          </w:p>
        </w:tc>
        <w:tc>
          <w:tcPr>
            <w:tcW w:w="1348" w:type="pct"/>
            <w:shd w:val="clear" w:color="auto" w:fill="auto"/>
            <w:vAlign w:val="bottom"/>
          </w:tcPr>
          <w:p w14:paraId="392CB9E6" w14:textId="77777777" w:rsidR="00980E5F" w:rsidRDefault="00980E5F">
            <w:pPr>
              <w:rPr>
                <w:rFonts w:ascii="宋体"/>
              </w:rPr>
            </w:pPr>
          </w:p>
        </w:tc>
        <w:tc>
          <w:tcPr>
            <w:tcW w:w="5" w:type="pct"/>
            <w:shd w:val="clear" w:color="auto" w:fill="auto"/>
            <w:vAlign w:val="bottom"/>
          </w:tcPr>
          <w:p w14:paraId="392CB9E7" w14:textId="77777777" w:rsidR="00980E5F" w:rsidRDefault="00980E5F">
            <w:pPr>
              <w:rPr>
                <w:rFonts w:ascii="宋体"/>
              </w:rPr>
            </w:pPr>
          </w:p>
        </w:tc>
        <w:tc>
          <w:tcPr>
            <w:tcW w:w="50" w:type="pct"/>
            <w:shd w:val="clear" w:color="auto" w:fill="auto"/>
            <w:vAlign w:val="bottom"/>
          </w:tcPr>
          <w:p w14:paraId="392CB9E8" w14:textId="77777777" w:rsidR="00980E5F" w:rsidRDefault="00980E5F">
            <w:pPr>
              <w:rPr>
                <w:rFonts w:ascii="宋体"/>
              </w:rPr>
            </w:pPr>
          </w:p>
        </w:tc>
        <w:tc>
          <w:tcPr>
            <w:tcW w:w="931" w:type="pct"/>
            <w:shd w:val="clear" w:color="auto" w:fill="auto"/>
            <w:vAlign w:val="bottom"/>
          </w:tcPr>
          <w:p w14:paraId="392CB9E9" w14:textId="77777777" w:rsidR="00980E5F" w:rsidRDefault="00980E5F">
            <w:pPr>
              <w:rPr>
                <w:rFonts w:ascii="宋体"/>
              </w:rPr>
            </w:pPr>
          </w:p>
        </w:tc>
        <w:tc>
          <w:tcPr>
            <w:tcW w:w="5" w:type="pct"/>
            <w:shd w:val="clear" w:color="auto" w:fill="auto"/>
            <w:vAlign w:val="bottom"/>
          </w:tcPr>
          <w:p w14:paraId="392CB9EA" w14:textId="77777777" w:rsidR="00980E5F" w:rsidRDefault="00980E5F">
            <w:pPr>
              <w:rPr>
                <w:rFonts w:ascii="宋体"/>
              </w:rPr>
            </w:pPr>
          </w:p>
        </w:tc>
        <w:tc>
          <w:tcPr>
            <w:tcW w:w="50" w:type="pct"/>
            <w:shd w:val="clear" w:color="auto" w:fill="auto"/>
            <w:vAlign w:val="bottom"/>
          </w:tcPr>
          <w:p w14:paraId="392CB9EB" w14:textId="77777777" w:rsidR="00980E5F" w:rsidRDefault="00980E5F">
            <w:pPr>
              <w:rPr>
                <w:rFonts w:ascii="宋体"/>
              </w:rPr>
            </w:pPr>
          </w:p>
        </w:tc>
        <w:tc>
          <w:tcPr>
            <w:tcW w:w="917" w:type="pct"/>
            <w:shd w:val="clear" w:color="auto" w:fill="auto"/>
            <w:vAlign w:val="bottom"/>
          </w:tcPr>
          <w:p w14:paraId="392CB9EC" w14:textId="77777777" w:rsidR="00980E5F" w:rsidRDefault="00980E5F">
            <w:pPr>
              <w:rPr>
                <w:rFonts w:ascii="宋体"/>
              </w:rPr>
            </w:pPr>
          </w:p>
        </w:tc>
        <w:tc>
          <w:tcPr>
            <w:tcW w:w="5" w:type="pct"/>
            <w:shd w:val="clear" w:color="auto" w:fill="auto"/>
            <w:vAlign w:val="bottom"/>
          </w:tcPr>
          <w:p w14:paraId="392CB9ED" w14:textId="77777777" w:rsidR="00980E5F" w:rsidRDefault="00980E5F">
            <w:pPr>
              <w:rPr>
                <w:rFonts w:ascii="宋体"/>
              </w:rPr>
            </w:pPr>
          </w:p>
        </w:tc>
        <w:tc>
          <w:tcPr>
            <w:tcW w:w="50" w:type="pct"/>
            <w:shd w:val="clear" w:color="auto" w:fill="auto"/>
            <w:vAlign w:val="bottom"/>
          </w:tcPr>
          <w:p w14:paraId="392CB9EE" w14:textId="77777777" w:rsidR="00980E5F" w:rsidRDefault="00980E5F">
            <w:pPr>
              <w:rPr>
                <w:rFonts w:ascii="宋体"/>
              </w:rPr>
            </w:pPr>
          </w:p>
        </w:tc>
        <w:tc>
          <w:tcPr>
            <w:tcW w:w="1582" w:type="pct"/>
            <w:shd w:val="clear" w:color="auto" w:fill="auto"/>
            <w:vAlign w:val="bottom"/>
          </w:tcPr>
          <w:p w14:paraId="392CB9EF" w14:textId="77777777" w:rsidR="00980E5F" w:rsidRDefault="00980E5F">
            <w:pPr>
              <w:rPr>
                <w:rFonts w:ascii="宋体"/>
              </w:rPr>
            </w:pPr>
          </w:p>
        </w:tc>
        <w:tc>
          <w:tcPr>
            <w:tcW w:w="5" w:type="pct"/>
            <w:shd w:val="clear" w:color="auto" w:fill="auto"/>
            <w:vAlign w:val="bottom"/>
          </w:tcPr>
          <w:p w14:paraId="392CB9F0" w14:textId="77777777" w:rsidR="00980E5F" w:rsidRDefault="00980E5F">
            <w:pPr>
              <w:rPr>
                <w:rFonts w:ascii="宋体"/>
              </w:rPr>
            </w:pPr>
          </w:p>
        </w:tc>
      </w:tr>
      <w:tr w:rsidR="00980E5F" w14:paraId="392CB9F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392CB9F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F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F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9F5" w14:textId="77777777" w:rsidR="00980E5F" w:rsidRDefault="00980E5F">
            <w:pPr>
              <w:rPr>
                <w:rFonts w:ascii="宋体"/>
              </w:rPr>
            </w:pPr>
          </w:p>
        </w:tc>
      </w:tr>
    </w:tbl>
    <w:p w14:paraId="392CB9F7" w14:textId="77777777" w:rsidR="00980E5F" w:rsidRDefault="00980E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980E5F" w14:paraId="392CBA01" w14:textId="77777777">
        <w:tc>
          <w:tcPr>
            <w:tcW w:w="5" w:type="pct"/>
            <w:shd w:val="clear" w:color="auto" w:fill="auto"/>
            <w:vAlign w:val="bottom"/>
          </w:tcPr>
          <w:p w14:paraId="392CB9F8" w14:textId="77777777" w:rsidR="00980E5F" w:rsidRDefault="00980E5F">
            <w:pPr>
              <w:rPr>
                <w:rFonts w:ascii="宋体"/>
              </w:rPr>
            </w:pPr>
          </w:p>
        </w:tc>
        <w:tc>
          <w:tcPr>
            <w:tcW w:w="128" w:type="pct"/>
            <w:shd w:val="clear" w:color="auto" w:fill="auto"/>
            <w:vAlign w:val="bottom"/>
          </w:tcPr>
          <w:p w14:paraId="392CB9F9" w14:textId="77777777" w:rsidR="00980E5F" w:rsidRDefault="00980E5F">
            <w:pPr>
              <w:rPr>
                <w:rFonts w:ascii="宋体"/>
              </w:rPr>
            </w:pPr>
          </w:p>
        </w:tc>
        <w:tc>
          <w:tcPr>
            <w:tcW w:w="5" w:type="pct"/>
            <w:shd w:val="clear" w:color="auto" w:fill="auto"/>
            <w:vAlign w:val="bottom"/>
          </w:tcPr>
          <w:p w14:paraId="392CB9FA" w14:textId="77777777" w:rsidR="00980E5F" w:rsidRDefault="00980E5F">
            <w:pPr>
              <w:rPr>
                <w:rFonts w:ascii="宋体"/>
              </w:rPr>
            </w:pPr>
          </w:p>
        </w:tc>
        <w:tc>
          <w:tcPr>
            <w:tcW w:w="5" w:type="pct"/>
            <w:shd w:val="clear" w:color="auto" w:fill="auto"/>
            <w:vAlign w:val="bottom"/>
          </w:tcPr>
          <w:p w14:paraId="392CB9FB" w14:textId="77777777" w:rsidR="00980E5F" w:rsidRDefault="00980E5F">
            <w:pPr>
              <w:rPr>
                <w:rFonts w:ascii="宋体"/>
              </w:rPr>
            </w:pPr>
          </w:p>
        </w:tc>
        <w:tc>
          <w:tcPr>
            <w:tcW w:w="26" w:type="pct"/>
            <w:shd w:val="clear" w:color="auto" w:fill="auto"/>
            <w:vAlign w:val="bottom"/>
          </w:tcPr>
          <w:p w14:paraId="392CB9FC" w14:textId="77777777" w:rsidR="00980E5F" w:rsidRDefault="00980E5F">
            <w:pPr>
              <w:rPr>
                <w:rFonts w:ascii="宋体"/>
              </w:rPr>
            </w:pPr>
          </w:p>
        </w:tc>
        <w:tc>
          <w:tcPr>
            <w:tcW w:w="5" w:type="pct"/>
            <w:shd w:val="clear" w:color="auto" w:fill="auto"/>
            <w:vAlign w:val="bottom"/>
          </w:tcPr>
          <w:p w14:paraId="392CB9FD" w14:textId="77777777" w:rsidR="00980E5F" w:rsidRDefault="00980E5F">
            <w:pPr>
              <w:rPr>
                <w:rFonts w:ascii="宋体"/>
              </w:rPr>
            </w:pPr>
          </w:p>
        </w:tc>
        <w:tc>
          <w:tcPr>
            <w:tcW w:w="50" w:type="pct"/>
            <w:shd w:val="clear" w:color="auto" w:fill="auto"/>
            <w:vAlign w:val="bottom"/>
          </w:tcPr>
          <w:p w14:paraId="392CB9FE" w14:textId="77777777" w:rsidR="00980E5F" w:rsidRDefault="00980E5F">
            <w:pPr>
              <w:rPr>
                <w:rFonts w:ascii="宋体"/>
              </w:rPr>
            </w:pPr>
          </w:p>
        </w:tc>
        <w:tc>
          <w:tcPr>
            <w:tcW w:w="4769" w:type="pct"/>
            <w:shd w:val="clear" w:color="auto" w:fill="auto"/>
            <w:vAlign w:val="bottom"/>
          </w:tcPr>
          <w:p w14:paraId="392CB9FF" w14:textId="77777777" w:rsidR="00980E5F" w:rsidRDefault="00980E5F">
            <w:pPr>
              <w:rPr>
                <w:rFonts w:ascii="宋体"/>
              </w:rPr>
            </w:pPr>
          </w:p>
        </w:tc>
        <w:tc>
          <w:tcPr>
            <w:tcW w:w="5" w:type="pct"/>
            <w:shd w:val="clear" w:color="auto" w:fill="auto"/>
            <w:vAlign w:val="bottom"/>
          </w:tcPr>
          <w:p w14:paraId="392CBA00" w14:textId="77777777" w:rsidR="00980E5F" w:rsidRDefault="00980E5F">
            <w:pPr>
              <w:rPr>
                <w:rFonts w:ascii="宋体"/>
              </w:rPr>
            </w:pPr>
          </w:p>
        </w:tc>
      </w:tr>
      <w:tr w:rsidR="00980E5F" w14:paraId="392CBA05" w14:textId="77777777">
        <w:tc>
          <w:tcPr>
            <w:tcW w:w="0" w:type="auto"/>
            <w:gridSpan w:val="3"/>
            <w:shd w:val="clear" w:color="auto" w:fill="auto"/>
            <w:tcMar>
              <w:top w:w="40" w:type="dxa"/>
              <w:left w:w="20" w:type="dxa"/>
              <w:bottom w:w="40" w:type="dxa"/>
              <w:right w:w="20" w:type="dxa"/>
            </w:tcMar>
          </w:tcPr>
          <w:p w14:paraId="392CBA02" w14:textId="77777777" w:rsidR="00980E5F" w:rsidRDefault="00483613">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392CBA03"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04" w14:textId="77777777" w:rsidR="00980E5F" w:rsidRDefault="00483613">
            <w:pPr>
              <w:textAlignment w:val="bottom"/>
            </w:pPr>
            <w:r>
              <w:rPr>
                <w:rFonts w:ascii="Arial" w:eastAsia="宋体" w:hAnsi="Arial" w:cs="Arial"/>
                <w:color w:val="000000"/>
                <w:sz w:val="20"/>
                <w:szCs w:val="20"/>
              </w:rPr>
              <w:t>Denotes management contract or compensatory plan or arrangement</w:t>
            </w:r>
          </w:p>
        </w:tc>
      </w:tr>
      <w:tr w:rsidR="00980E5F" w14:paraId="392CBA09" w14:textId="77777777">
        <w:trPr>
          <w:hidden/>
        </w:trPr>
        <w:tc>
          <w:tcPr>
            <w:tcW w:w="0" w:type="auto"/>
            <w:gridSpan w:val="3"/>
            <w:shd w:val="clear" w:color="auto" w:fill="auto"/>
            <w:vAlign w:val="bottom"/>
          </w:tcPr>
          <w:p w14:paraId="392CBA06" w14:textId="77777777" w:rsidR="00980E5F" w:rsidRDefault="00980E5F">
            <w:pPr>
              <w:rPr>
                <w:rFonts w:ascii="宋体"/>
                <w:vanish/>
              </w:rPr>
            </w:pPr>
          </w:p>
        </w:tc>
        <w:tc>
          <w:tcPr>
            <w:tcW w:w="0" w:type="auto"/>
            <w:gridSpan w:val="3"/>
            <w:shd w:val="clear" w:color="auto" w:fill="auto"/>
            <w:vAlign w:val="bottom"/>
          </w:tcPr>
          <w:p w14:paraId="392CBA07" w14:textId="77777777" w:rsidR="00980E5F" w:rsidRDefault="00980E5F">
            <w:pPr>
              <w:rPr>
                <w:rFonts w:ascii="宋体"/>
                <w:vanish/>
              </w:rPr>
            </w:pPr>
          </w:p>
        </w:tc>
        <w:tc>
          <w:tcPr>
            <w:tcW w:w="0" w:type="auto"/>
            <w:gridSpan w:val="3"/>
            <w:shd w:val="clear" w:color="auto" w:fill="auto"/>
            <w:vAlign w:val="bottom"/>
          </w:tcPr>
          <w:p w14:paraId="392CBA08" w14:textId="77777777" w:rsidR="00980E5F" w:rsidRDefault="00980E5F">
            <w:pPr>
              <w:rPr>
                <w:rFonts w:ascii="宋体"/>
                <w:vanish/>
              </w:rPr>
            </w:pPr>
          </w:p>
        </w:tc>
      </w:tr>
      <w:tr w:rsidR="00980E5F" w14:paraId="392CBA0D" w14:textId="77777777">
        <w:trPr>
          <w:trHeight w:val="60"/>
        </w:trPr>
        <w:tc>
          <w:tcPr>
            <w:tcW w:w="0" w:type="auto"/>
            <w:gridSpan w:val="3"/>
            <w:shd w:val="clear" w:color="auto" w:fill="auto"/>
            <w:tcMar>
              <w:top w:w="0" w:type="dxa"/>
              <w:left w:w="20" w:type="dxa"/>
              <w:bottom w:w="0" w:type="dxa"/>
              <w:right w:w="20" w:type="dxa"/>
            </w:tcMar>
            <w:vAlign w:val="bottom"/>
          </w:tcPr>
          <w:p w14:paraId="392CBA0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0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0C" w14:textId="77777777" w:rsidR="00980E5F" w:rsidRDefault="00980E5F">
            <w:pPr>
              <w:rPr>
                <w:rFonts w:ascii="宋体"/>
              </w:rPr>
            </w:pPr>
          </w:p>
        </w:tc>
      </w:tr>
      <w:tr w:rsidR="00980E5F" w14:paraId="392CBA11" w14:textId="77777777">
        <w:tc>
          <w:tcPr>
            <w:tcW w:w="0" w:type="auto"/>
            <w:gridSpan w:val="3"/>
            <w:shd w:val="clear" w:color="auto" w:fill="auto"/>
            <w:tcMar>
              <w:top w:w="40" w:type="dxa"/>
              <w:left w:w="20" w:type="dxa"/>
              <w:bottom w:w="40" w:type="dxa"/>
              <w:right w:w="20" w:type="dxa"/>
            </w:tcMar>
          </w:tcPr>
          <w:p w14:paraId="392CBA0E" w14:textId="77777777" w:rsidR="00980E5F" w:rsidRDefault="00483613">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392CBA0F"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10" w14:textId="77777777" w:rsidR="00980E5F" w:rsidRDefault="00483613">
            <w:pPr>
              <w:textAlignment w:val="bottom"/>
            </w:pPr>
            <w:r>
              <w:rPr>
                <w:rFonts w:ascii="Arial" w:eastAsia="宋体" w:hAnsi="Arial" w:cs="Arial"/>
                <w:color w:val="000000"/>
                <w:sz w:val="20"/>
                <w:szCs w:val="20"/>
              </w:rPr>
              <w:t>Submitted electronically herewith</w:t>
            </w:r>
          </w:p>
        </w:tc>
      </w:tr>
    </w:tbl>
    <w:p w14:paraId="392CBA12" w14:textId="77777777" w:rsidR="00980E5F" w:rsidRDefault="00483613">
      <w:pPr>
        <w:ind w:firstLine="450"/>
        <w:jc w:val="both"/>
      </w:pPr>
      <w:r>
        <w:rPr>
          <w:rFonts w:ascii="Arial" w:eastAsia="宋体" w:hAnsi="Arial" w:cs="Arial"/>
          <w:color w:val="000000"/>
          <w:sz w:val="20"/>
          <w:szCs w:val="20"/>
        </w:rPr>
        <w:t xml:space="preserve">Attached as Exhibit 101 to this report are the following formatted in Inline XBRL </w:t>
      </w:r>
      <w:r>
        <w:rPr>
          <w:rFonts w:ascii="Arial" w:eastAsia="宋体" w:hAnsi="Arial" w:cs="Arial"/>
          <w:color w:val="000000"/>
          <w:sz w:val="20"/>
          <w:szCs w:val="20"/>
        </w:rPr>
        <w:t>(Extensible Business Reporting Language): (i) consolidated statement of income for the three and six months ended June 30, 2022 and 2021, (ii) consolidated statement of comprehensive income for the three and six months ended June 30, 2022 and 2021, (iii) c</w:t>
      </w:r>
      <w:r>
        <w:rPr>
          <w:rFonts w:ascii="Arial" w:eastAsia="宋体" w:hAnsi="Arial" w:cs="Arial"/>
          <w:color w:val="000000"/>
          <w:sz w:val="20"/>
          <w:szCs w:val="20"/>
        </w:rPr>
        <w:t>onsolidated statement of condition as of June 30, 2022 and December 31, 2021, (iv) consolidated statement of changes in shareholders' equity for the three and six months ended June 30, 2022 and 2021, (v) consolidated statement of cash flows for the six mon</w:t>
      </w:r>
      <w:r>
        <w:rPr>
          <w:rFonts w:ascii="Arial" w:eastAsia="宋体" w:hAnsi="Arial" w:cs="Arial"/>
          <w:color w:val="000000"/>
          <w:sz w:val="20"/>
          <w:szCs w:val="20"/>
        </w:rPr>
        <w:t>ths ended June 30, 2022 and 2021, and (vi) notes to consolidated financial statements.</w:t>
      </w:r>
    </w:p>
    <w:p w14:paraId="392CBA13" w14:textId="77777777" w:rsidR="00980E5F" w:rsidRDefault="00483613">
      <w:pPr>
        <w:ind w:firstLine="450"/>
        <w:jc w:val="right"/>
      </w:pPr>
      <w:r>
        <w:rPr>
          <w:rFonts w:ascii="Arial" w:eastAsia="宋体" w:hAnsi="Arial" w:cs="Arial"/>
          <w:color w:val="000000"/>
          <w:sz w:val="18"/>
          <w:szCs w:val="18"/>
        </w:rPr>
        <w:t>State Street Corporation | 103</w:t>
      </w:r>
    </w:p>
    <w:p w14:paraId="392CBA14" w14:textId="77777777" w:rsidR="00980E5F" w:rsidRDefault="00980E5F">
      <w:pPr>
        <w:ind w:firstLine="450"/>
        <w:jc w:val="center"/>
      </w:pPr>
    </w:p>
    <w:p w14:paraId="392CBA15" w14:textId="77777777" w:rsidR="00980E5F" w:rsidRDefault="00483613">
      <w:r>
        <w:pict w14:anchorId="392CBB35">
          <v:rect id="_x0000_i1127" style="width:415.3pt;height:1.5pt" o:hralign="center" o:hrstd="t" o:hr="t" fillcolor="#a0a0a0" stroked="f"/>
        </w:pict>
      </w:r>
    </w:p>
    <w:p w14:paraId="392CBA16" w14:textId="77777777" w:rsidR="00980E5F" w:rsidRDefault="00980E5F">
      <w:pPr>
        <w:ind w:firstLine="450"/>
      </w:pPr>
    </w:p>
    <w:p w14:paraId="392CBA17" w14:textId="77777777" w:rsidR="00980E5F" w:rsidRDefault="00980E5F">
      <w:pPr>
        <w:ind w:firstLine="450"/>
        <w:jc w:val="center"/>
      </w:pPr>
    </w:p>
    <w:p w14:paraId="392CBA18" w14:textId="77777777" w:rsidR="00980E5F" w:rsidRDefault="00483613">
      <w:pPr>
        <w:spacing w:before="180"/>
        <w:ind w:firstLine="450"/>
        <w:jc w:val="center"/>
      </w:pPr>
      <w:r>
        <w:rPr>
          <w:rFonts w:ascii="Arial" w:eastAsia="宋体" w:hAnsi="Arial" w:cs="Arial"/>
          <w:b/>
          <w:bCs/>
          <w:color w:val="000000"/>
          <w:sz w:val="20"/>
          <w:szCs w:val="20"/>
        </w:rPr>
        <w:t>SIGNATURES</w:t>
      </w:r>
    </w:p>
    <w:p w14:paraId="392CBA19" w14:textId="77777777" w:rsidR="00980E5F" w:rsidRDefault="00483613">
      <w:pPr>
        <w:spacing w:before="90"/>
        <w:ind w:firstLine="450"/>
      </w:pPr>
      <w:r>
        <w:rPr>
          <w:rFonts w:ascii="Arial" w:eastAsia="宋体" w:hAnsi="Arial" w:cs="Arial"/>
          <w:color w:val="000000"/>
          <w:sz w:val="20"/>
          <w:szCs w:val="20"/>
        </w:rPr>
        <w:t>Pursuant to the requirement of the Securities Exchange Act of 1934, the registrant has duly caused this report to be signe</w:t>
      </w:r>
      <w:r>
        <w:rPr>
          <w:rFonts w:ascii="Arial" w:eastAsia="宋体" w:hAnsi="Arial" w:cs="Arial"/>
          <w:color w:val="000000"/>
          <w:sz w:val="20"/>
          <w:szCs w:val="20"/>
        </w:rPr>
        <w:t>d on its behalf by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980E5F" w14:paraId="392CBA2C" w14:textId="77777777">
        <w:tc>
          <w:tcPr>
            <w:tcW w:w="50" w:type="pct"/>
            <w:shd w:val="clear" w:color="auto" w:fill="auto"/>
            <w:vAlign w:val="bottom"/>
          </w:tcPr>
          <w:p w14:paraId="392CBA1A" w14:textId="77777777" w:rsidR="00980E5F" w:rsidRDefault="00980E5F">
            <w:pPr>
              <w:rPr>
                <w:rFonts w:ascii="宋体"/>
              </w:rPr>
            </w:pPr>
          </w:p>
        </w:tc>
        <w:tc>
          <w:tcPr>
            <w:tcW w:w="237" w:type="pct"/>
            <w:shd w:val="clear" w:color="auto" w:fill="auto"/>
            <w:vAlign w:val="bottom"/>
          </w:tcPr>
          <w:p w14:paraId="392CBA1B" w14:textId="77777777" w:rsidR="00980E5F" w:rsidRDefault="00980E5F">
            <w:pPr>
              <w:rPr>
                <w:rFonts w:ascii="宋体"/>
              </w:rPr>
            </w:pPr>
          </w:p>
        </w:tc>
        <w:tc>
          <w:tcPr>
            <w:tcW w:w="5" w:type="pct"/>
            <w:shd w:val="clear" w:color="auto" w:fill="auto"/>
            <w:vAlign w:val="bottom"/>
          </w:tcPr>
          <w:p w14:paraId="392CBA1C" w14:textId="77777777" w:rsidR="00980E5F" w:rsidRDefault="00980E5F">
            <w:pPr>
              <w:rPr>
                <w:rFonts w:ascii="宋体"/>
              </w:rPr>
            </w:pPr>
          </w:p>
        </w:tc>
        <w:tc>
          <w:tcPr>
            <w:tcW w:w="50" w:type="pct"/>
            <w:shd w:val="clear" w:color="auto" w:fill="auto"/>
            <w:vAlign w:val="bottom"/>
          </w:tcPr>
          <w:p w14:paraId="392CBA1D" w14:textId="77777777" w:rsidR="00980E5F" w:rsidRDefault="00980E5F">
            <w:pPr>
              <w:rPr>
                <w:rFonts w:ascii="宋体"/>
              </w:rPr>
            </w:pPr>
          </w:p>
        </w:tc>
        <w:tc>
          <w:tcPr>
            <w:tcW w:w="1145" w:type="pct"/>
            <w:shd w:val="clear" w:color="auto" w:fill="auto"/>
            <w:vAlign w:val="bottom"/>
          </w:tcPr>
          <w:p w14:paraId="392CBA1E" w14:textId="77777777" w:rsidR="00980E5F" w:rsidRDefault="00980E5F">
            <w:pPr>
              <w:rPr>
                <w:rFonts w:ascii="宋体"/>
              </w:rPr>
            </w:pPr>
          </w:p>
        </w:tc>
        <w:tc>
          <w:tcPr>
            <w:tcW w:w="5" w:type="pct"/>
            <w:shd w:val="clear" w:color="auto" w:fill="auto"/>
            <w:vAlign w:val="bottom"/>
          </w:tcPr>
          <w:p w14:paraId="392CBA1F" w14:textId="77777777" w:rsidR="00980E5F" w:rsidRDefault="00980E5F">
            <w:pPr>
              <w:rPr>
                <w:rFonts w:ascii="宋体"/>
              </w:rPr>
            </w:pPr>
          </w:p>
        </w:tc>
        <w:tc>
          <w:tcPr>
            <w:tcW w:w="5" w:type="pct"/>
            <w:shd w:val="clear" w:color="auto" w:fill="auto"/>
            <w:vAlign w:val="bottom"/>
          </w:tcPr>
          <w:p w14:paraId="392CBA20" w14:textId="77777777" w:rsidR="00980E5F" w:rsidRDefault="00980E5F">
            <w:pPr>
              <w:rPr>
                <w:rFonts w:ascii="宋体"/>
              </w:rPr>
            </w:pPr>
          </w:p>
        </w:tc>
        <w:tc>
          <w:tcPr>
            <w:tcW w:w="26" w:type="pct"/>
            <w:shd w:val="clear" w:color="auto" w:fill="auto"/>
            <w:vAlign w:val="bottom"/>
          </w:tcPr>
          <w:p w14:paraId="392CBA21" w14:textId="77777777" w:rsidR="00980E5F" w:rsidRDefault="00980E5F">
            <w:pPr>
              <w:rPr>
                <w:rFonts w:ascii="宋体"/>
              </w:rPr>
            </w:pPr>
          </w:p>
        </w:tc>
        <w:tc>
          <w:tcPr>
            <w:tcW w:w="5" w:type="pct"/>
            <w:shd w:val="clear" w:color="auto" w:fill="auto"/>
            <w:vAlign w:val="bottom"/>
          </w:tcPr>
          <w:p w14:paraId="392CBA22" w14:textId="77777777" w:rsidR="00980E5F" w:rsidRDefault="00980E5F">
            <w:pPr>
              <w:rPr>
                <w:rFonts w:ascii="宋体"/>
              </w:rPr>
            </w:pPr>
          </w:p>
        </w:tc>
        <w:tc>
          <w:tcPr>
            <w:tcW w:w="50" w:type="pct"/>
            <w:shd w:val="clear" w:color="auto" w:fill="auto"/>
            <w:vAlign w:val="bottom"/>
          </w:tcPr>
          <w:p w14:paraId="392CBA23" w14:textId="77777777" w:rsidR="00980E5F" w:rsidRDefault="00980E5F">
            <w:pPr>
              <w:rPr>
                <w:rFonts w:ascii="宋体"/>
              </w:rPr>
            </w:pPr>
          </w:p>
        </w:tc>
        <w:tc>
          <w:tcPr>
            <w:tcW w:w="508" w:type="pct"/>
            <w:shd w:val="clear" w:color="auto" w:fill="auto"/>
            <w:vAlign w:val="bottom"/>
          </w:tcPr>
          <w:p w14:paraId="392CBA24" w14:textId="77777777" w:rsidR="00980E5F" w:rsidRDefault="00980E5F">
            <w:pPr>
              <w:rPr>
                <w:rFonts w:ascii="宋体"/>
              </w:rPr>
            </w:pPr>
          </w:p>
        </w:tc>
        <w:tc>
          <w:tcPr>
            <w:tcW w:w="5" w:type="pct"/>
            <w:shd w:val="clear" w:color="auto" w:fill="auto"/>
            <w:vAlign w:val="bottom"/>
          </w:tcPr>
          <w:p w14:paraId="392CBA25" w14:textId="77777777" w:rsidR="00980E5F" w:rsidRDefault="00980E5F">
            <w:pPr>
              <w:rPr>
                <w:rFonts w:ascii="宋体"/>
              </w:rPr>
            </w:pPr>
          </w:p>
        </w:tc>
        <w:tc>
          <w:tcPr>
            <w:tcW w:w="5" w:type="pct"/>
            <w:shd w:val="clear" w:color="auto" w:fill="auto"/>
            <w:vAlign w:val="bottom"/>
          </w:tcPr>
          <w:p w14:paraId="392CBA26" w14:textId="77777777" w:rsidR="00980E5F" w:rsidRDefault="00980E5F">
            <w:pPr>
              <w:rPr>
                <w:rFonts w:ascii="宋体"/>
              </w:rPr>
            </w:pPr>
          </w:p>
        </w:tc>
        <w:tc>
          <w:tcPr>
            <w:tcW w:w="26" w:type="pct"/>
            <w:shd w:val="clear" w:color="auto" w:fill="auto"/>
            <w:vAlign w:val="bottom"/>
          </w:tcPr>
          <w:p w14:paraId="392CBA27" w14:textId="77777777" w:rsidR="00980E5F" w:rsidRDefault="00980E5F">
            <w:pPr>
              <w:rPr>
                <w:rFonts w:ascii="宋体"/>
              </w:rPr>
            </w:pPr>
          </w:p>
        </w:tc>
        <w:tc>
          <w:tcPr>
            <w:tcW w:w="5" w:type="pct"/>
            <w:shd w:val="clear" w:color="auto" w:fill="auto"/>
            <w:vAlign w:val="bottom"/>
          </w:tcPr>
          <w:p w14:paraId="392CBA28" w14:textId="77777777" w:rsidR="00980E5F" w:rsidRDefault="00980E5F">
            <w:pPr>
              <w:rPr>
                <w:rFonts w:ascii="宋体"/>
              </w:rPr>
            </w:pPr>
          </w:p>
        </w:tc>
        <w:tc>
          <w:tcPr>
            <w:tcW w:w="50" w:type="pct"/>
            <w:shd w:val="clear" w:color="auto" w:fill="auto"/>
            <w:vAlign w:val="bottom"/>
          </w:tcPr>
          <w:p w14:paraId="392CBA29" w14:textId="77777777" w:rsidR="00980E5F" w:rsidRDefault="00980E5F">
            <w:pPr>
              <w:rPr>
                <w:rFonts w:ascii="宋体"/>
              </w:rPr>
            </w:pPr>
          </w:p>
        </w:tc>
        <w:tc>
          <w:tcPr>
            <w:tcW w:w="2814" w:type="pct"/>
            <w:shd w:val="clear" w:color="auto" w:fill="auto"/>
            <w:vAlign w:val="bottom"/>
          </w:tcPr>
          <w:p w14:paraId="392CBA2A" w14:textId="77777777" w:rsidR="00980E5F" w:rsidRDefault="00980E5F">
            <w:pPr>
              <w:rPr>
                <w:rFonts w:ascii="宋体"/>
              </w:rPr>
            </w:pPr>
          </w:p>
        </w:tc>
        <w:tc>
          <w:tcPr>
            <w:tcW w:w="5" w:type="pct"/>
            <w:shd w:val="clear" w:color="auto" w:fill="auto"/>
            <w:vAlign w:val="bottom"/>
          </w:tcPr>
          <w:p w14:paraId="392CBA2B" w14:textId="77777777" w:rsidR="00980E5F" w:rsidRDefault="00980E5F">
            <w:pPr>
              <w:rPr>
                <w:rFonts w:ascii="宋体"/>
              </w:rPr>
            </w:pPr>
          </w:p>
        </w:tc>
      </w:tr>
      <w:tr w:rsidR="00980E5F" w14:paraId="392CBA33" w14:textId="77777777">
        <w:tc>
          <w:tcPr>
            <w:tcW w:w="0" w:type="auto"/>
            <w:gridSpan w:val="3"/>
            <w:shd w:val="clear" w:color="auto" w:fill="auto"/>
            <w:tcMar>
              <w:top w:w="0" w:type="dxa"/>
              <w:left w:w="20" w:type="dxa"/>
              <w:bottom w:w="0" w:type="dxa"/>
              <w:right w:w="20" w:type="dxa"/>
            </w:tcMar>
            <w:vAlign w:val="bottom"/>
          </w:tcPr>
          <w:p w14:paraId="392CBA2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2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2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1"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32" w14:textId="77777777" w:rsidR="00980E5F" w:rsidRDefault="00483613">
            <w:pPr>
              <w:jc w:val="center"/>
              <w:textAlignment w:val="bottom"/>
            </w:pPr>
            <w:r>
              <w:rPr>
                <w:rFonts w:ascii="Arial" w:eastAsia="宋体" w:hAnsi="Arial" w:cs="Arial"/>
                <w:color w:val="000000"/>
                <w:sz w:val="20"/>
                <w:szCs w:val="20"/>
              </w:rPr>
              <w:t>STATE STREET CORPORATION</w:t>
            </w:r>
          </w:p>
        </w:tc>
      </w:tr>
      <w:tr w:rsidR="00980E5F" w14:paraId="392CBA3A" w14:textId="77777777">
        <w:tc>
          <w:tcPr>
            <w:tcW w:w="0" w:type="auto"/>
            <w:gridSpan w:val="3"/>
            <w:shd w:val="clear" w:color="auto" w:fill="auto"/>
            <w:tcMar>
              <w:top w:w="0" w:type="dxa"/>
              <w:left w:w="20" w:type="dxa"/>
              <w:bottom w:w="0" w:type="dxa"/>
              <w:right w:w="20" w:type="dxa"/>
            </w:tcMar>
            <w:vAlign w:val="bottom"/>
          </w:tcPr>
          <w:p w14:paraId="392CBA3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8"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39" w14:textId="77777777" w:rsidR="00980E5F" w:rsidRDefault="00483613">
            <w:pPr>
              <w:jc w:val="center"/>
              <w:textAlignment w:val="bottom"/>
            </w:pPr>
            <w:r>
              <w:rPr>
                <w:rFonts w:ascii="Arial" w:eastAsia="宋体" w:hAnsi="Arial" w:cs="Arial"/>
                <w:color w:val="000000"/>
                <w:sz w:val="20"/>
                <w:szCs w:val="20"/>
              </w:rPr>
              <w:t>(Registrant)</w:t>
            </w:r>
          </w:p>
        </w:tc>
      </w:tr>
      <w:tr w:rsidR="00980E5F" w14:paraId="392CBA41" w14:textId="77777777">
        <w:trPr>
          <w:trHeight w:val="280"/>
        </w:trPr>
        <w:tc>
          <w:tcPr>
            <w:tcW w:w="0" w:type="auto"/>
            <w:gridSpan w:val="3"/>
            <w:shd w:val="clear" w:color="auto" w:fill="auto"/>
            <w:tcMar>
              <w:top w:w="0" w:type="dxa"/>
              <w:left w:w="20" w:type="dxa"/>
              <w:bottom w:w="0" w:type="dxa"/>
              <w:right w:w="20" w:type="dxa"/>
            </w:tcMar>
            <w:vAlign w:val="bottom"/>
          </w:tcPr>
          <w:p w14:paraId="392CBA3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3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0" w14:textId="77777777" w:rsidR="00980E5F" w:rsidRDefault="00980E5F">
            <w:pPr>
              <w:rPr>
                <w:rFonts w:ascii="宋体"/>
              </w:rPr>
            </w:pPr>
          </w:p>
        </w:tc>
      </w:tr>
      <w:tr w:rsidR="00980E5F" w14:paraId="392CBA48" w14:textId="77777777">
        <w:trPr>
          <w:trHeight w:val="280"/>
        </w:trPr>
        <w:tc>
          <w:tcPr>
            <w:tcW w:w="0" w:type="auto"/>
            <w:gridSpan w:val="3"/>
            <w:shd w:val="clear" w:color="auto" w:fill="auto"/>
            <w:tcMar>
              <w:top w:w="0" w:type="dxa"/>
              <w:left w:w="20" w:type="dxa"/>
              <w:bottom w:w="0" w:type="dxa"/>
              <w:right w:w="20" w:type="dxa"/>
            </w:tcMar>
            <w:vAlign w:val="bottom"/>
          </w:tcPr>
          <w:p w14:paraId="392CBA4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47" w14:textId="77777777" w:rsidR="00980E5F" w:rsidRDefault="00980E5F">
            <w:pPr>
              <w:rPr>
                <w:rFonts w:ascii="宋体"/>
              </w:rPr>
            </w:pPr>
          </w:p>
        </w:tc>
      </w:tr>
      <w:tr w:rsidR="00980E5F" w14:paraId="392CBA4F" w14:textId="77777777">
        <w:tc>
          <w:tcPr>
            <w:tcW w:w="0" w:type="auto"/>
            <w:gridSpan w:val="3"/>
            <w:shd w:val="clear" w:color="auto" w:fill="auto"/>
            <w:tcMar>
              <w:top w:w="40" w:type="dxa"/>
              <w:left w:w="20" w:type="dxa"/>
              <w:bottom w:w="40" w:type="dxa"/>
              <w:right w:w="20" w:type="dxa"/>
            </w:tcMar>
          </w:tcPr>
          <w:p w14:paraId="392CBA49" w14:textId="77777777" w:rsidR="00980E5F" w:rsidRDefault="00483613">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392CBA4A" w14:textId="77777777" w:rsidR="00980E5F" w:rsidRDefault="00483613">
            <w:pPr>
              <w:textAlignment w:val="top"/>
            </w:pPr>
            <w:r>
              <w:rPr>
                <w:rFonts w:ascii="Arial" w:eastAsia="宋体" w:hAnsi="Arial" w:cs="Arial"/>
                <w:color w:val="000000"/>
                <w:sz w:val="20"/>
                <w:szCs w:val="20"/>
              </w:rPr>
              <w:t>July 28, 2022</w:t>
            </w:r>
          </w:p>
        </w:tc>
        <w:tc>
          <w:tcPr>
            <w:tcW w:w="0" w:type="auto"/>
            <w:gridSpan w:val="3"/>
            <w:shd w:val="clear" w:color="auto" w:fill="auto"/>
            <w:tcMar>
              <w:top w:w="0" w:type="dxa"/>
              <w:left w:w="20" w:type="dxa"/>
              <w:bottom w:w="0" w:type="dxa"/>
              <w:right w:w="20" w:type="dxa"/>
            </w:tcMar>
            <w:vAlign w:val="bottom"/>
          </w:tcPr>
          <w:p w14:paraId="392CBA4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tcPr>
          <w:p w14:paraId="392CBA4C" w14:textId="77777777" w:rsidR="00980E5F" w:rsidRDefault="00483613">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392CBA4D"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4E" w14:textId="77777777" w:rsidR="00980E5F" w:rsidRDefault="00483613">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980E5F" w14:paraId="392CBA56" w14:textId="77777777">
        <w:tc>
          <w:tcPr>
            <w:tcW w:w="0" w:type="auto"/>
            <w:gridSpan w:val="3"/>
            <w:shd w:val="clear" w:color="auto" w:fill="auto"/>
            <w:tcMar>
              <w:top w:w="0" w:type="dxa"/>
              <w:left w:w="20" w:type="dxa"/>
              <w:bottom w:w="0" w:type="dxa"/>
              <w:right w:w="20" w:type="dxa"/>
            </w:tcMar>
            <w:vAlign w:val="bottom"/>
          </w:tcPr>
          <w:p w14:paraId="392CBA5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4"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A55" w14:textId="77777777" w:rsidR="00980E5F" w:rsidRDefault="00483613">
            <w:pPr>
              <w:jc w:val="center"/>
              <w:textAlignment w:val="bottom"/>
            </w:pPr>
            <w:r>
              <w:rPr>
                <w:rFonts w:ascii="Arial" w:eastAsia="宋体" w:hAnsi="Arial" w:cs="Arial"/>
                <w:color w:val="000000"/>
                <w:sz w:val="20"/>
                <w:szCs w:val="20"/>
              </w:rPr>
              <w:t>Eric W. Aboaf,</w:t>
            </w:r>
          </w:p>
        </w:tc>
      </w:tr>
      <w:tr w:rsidR="00980E5F" w14:paraId="392CBA5D" w14:textId="77777777">
        <w:tc>
          <w:tcPr>
            <w:tcW w:w="0" w:type="auto"/>
            <w:gridSpan w:val="3"/>
            <w:shd w:val="clear" w:color="auto" w:fill="auto"/>
            <w:tcMar>
              <w:top w:w="0" w:type="dxa"/>
              <w:left w:w="20" w:type="dxa"/>
              <w:bottom w:w="0" w:type="dxa"/>
              <w:right w:w="20" w:type="dxa"/>
            </w:tcMar>
            <w:vAlign w:val="bottom"/>
          </w:tcPr>
          <w:p w14:paraId="392CBA5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B"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5C" w14:textId="77777777" w:rsidR="00980E5F" w:rsidRDefault="00483613">
            <w:pPr>
              <w:jc w:val="center"/>
              <w:textAlignment w:val="bottom"/>
            </w:pPr>
            <w:r>
              <w:rPr>
                <w:rFonts w:ascii="Arial" w:eastAsia="宋体" w:hAnsi="Arial" w:cs="Arial"/>
                <w:i/>
                <w:iCs/>
                <w:color w:val="000000"/>
                <w:sz w:val="20"/>
                <w:szCs w:val="20"/>
              </w:rPr>
              <w:t xml:space="preserve">Vice Chairman and Chief </w:t>
            </w:r>
            <w:r>
              <w:rPr>
                <w:rFonts w:ascii="Arial" w:eastAsia="宋体" w:hAnsi="Arial" w:cs="Arial"/>
                <w:i/>
                <w:iCs/>
                <w:color w:val="000000"/>
                <w:sz w:val="20"/>
                <w:szCs w:val="20"/>
              </w:rPr>
              <w:t>Financial Officer (Principal Financial Officer)</w:t>
            </w:r>
          </w:p>
        </w:tc>
      </w:tr>
      <w:tr w:rsidR="00980E5F" w14:paraId="392CBA64" w14:textId="77777777">
        <w:trPr>
          <w:trHeight w:val="300"/>
        </w:trPr>
        <w:tc>
          <w:tcPr>
            <w:tcW w:w="0" w:type="auto"/>
            <w:gridSpan w:val="3"/>
            <w:shd w:val="clear" w:color="auto" w:fill="auto"/>
            <w:tcMar>
              <w:top w:w="0" w:type="dxa"/>
              <w:left w:w="20" w:type="dxa"/>
              <w:bottom w:w="0" w:type="dxa"/>
              <w:right w:w="20" w:type="dxa"/>
            </w:tcMar>
            <w:vAlign w:val="bottom"/>
          </w:tcPr>
          <w:p w14:paraId="392CBA5E"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5F"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0"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1"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3" w14:textId="77777777" w:rsidR="00980E5F" w:rsidRDefault="00980E5F">
            <w:pPr>
              <w:rPr>
                <w:rFonts w:ascii="宋体"/>
              </w:rPr>
            </w:pPr>
          </w:p>
        </w:tc>
      </w:tr>
      <w:tr w:rsidR="00980E5F" w14:paraId="392CBA6B" w14:textId="77777777">
        <w:trPr>
          <w:trHeight w:val="300"/>
        </w:trPr>
        <w:tc>
          <w:tcPr>
            <w:tcW w:w="0" w:type="auto"/>
            <w:gridSpan w:val="3"/>
            <w:shd w:val="clear" w:color="auto" w:fill="auto"/>
            <w:tcMar>
              <w:top w:w="0" w:type="dxa"/>
              <w:left w:w="20" w:type="dxa"/>
              <w:bottom w:w="0" w:type="dxa"/>
              <w:right w:w="20" w:type="dxa"/>
            </w:tcMar>
            <w:vAlign w:val="bottom"/>
          </w:tcPr>
          <w:p w14:paraId="392CBA6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7"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8"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9"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6A" w14:textId="77777777" w:rsidR="00980E5F" w:rsidRDefault="00980E5F">
            <w:pPr>
              <w:rPr>
                <w:rFonts w:ascii="宋体"/>
              </w:rPr>
            </w:pPr>
          </w:p>
        </w:tc>
      </w:tr>
      <w:tr w:rsidR="00980E5F" w14:paraId="392CBA72" w14:textId="77777777">
        <w:tc>
          <w:tcPr>
            <w:tcW w:w="0" w:type="auto"/>
            <w:gridSpan w:val="3"/>
            <w:shd w:val="clear" w:color="auto" w:fill="auto"/>
            <w:tcMar>
              <w:top w:w="40" w:type="dxa"/>
              <w:left w:w="20" w:type="dxa"/>
              <w:bottom w:w="40" w:type="dxa"/>
              <w:right w:w="20" w:type="dxa"/>
            </w:tcMar>
          </w:tcPr>
          <w:p w14:paraId="392CBA6C" w14:textId="77777777" w:rsidR="00980E5F" w:rsidRDefault="00483613">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392CBA6D" w14:textId="77777777" w:rsidR="00980E5F" w:rsidRDefault="00483613">
            <w:pPr>
              <w:textAlignment w:val="top"/>
            </w:pPr>
            <w:r>
              <w:rPr>
                <w:rFonts w:ascii="Arial" w:eastAsia="宋体" w:hAnsi="Arial" w:cs="Arial"/>
                <w:color w:val="000000"/>
                <w:sz w:val="20"/>
                <w:szCs w:val="20"/>
              </w:rPr>
              <w:t>July 28, 2022</w:t>
            </w:r>
          </w:p>
        </w:tc>
        <w:tc>
          <w:tcPr>
            <w:tcW w:w="0" w:type="auto"/>
            <w:gridSpan w:val="3"/>
            <w:shd w:val="clear" w:color="auto" w:fill="auto"/>
            <w:tcMar>
              <w:top w:w="0" w:type="dxa"/>
              <w:left w:w="20" w:type="dxa"/>
              <w:bottom w:w="0" w:type="dxa"/>
              <w:right w:w="20" w:type="dxa"/>
            </w:tcMar>
            <w:vAlign w:val="bottom"/>
          </w:tcPr>
          <w:p w14:paraId="392CBA6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tcPr>
          <w:p w14:paraId="392CBA6F" w14:textId="77777777" w:rsidR="00980E5F" w:rsidRDefault="00483613">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392CBA70"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71" w14:textId="77777777" w:rsidR="00980E5F" w:rsidRDefault="00483613">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980E5F" w14:paraId="392CBA79" w14:textId="77777777">
        <w:tc>
          <w:tcPr>
            <w:tcW w:w="0" w:type="auto"/>
            <w:gridSpan w:val="3"/>
            <w:shd w:val="clear" w:color="auto" w:fill="auto"/>
            <w:tcMar>
              <w:top w:w="0" w:type="dxa"/>
              <w:left w:w="20" w:type="dxa"/>
              <w:bottom w:w="0" w:type="dxa"/>
              <w:right w:w="20" w:type="dxa"/>
            </w:tcMar>
            <w:vAlign w:val="bottom"/>
          </w:tcPr>
          <w:p w14:paraId="392CBA7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7" w14:textId="77777777" w:rsidR="00980E5F" w:rsidRDefault="00980E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92CBA78" w14:textId="77777777" w:rsidR="00980E5F" w:rsidRDefault="00483613">
            <w:pPr>
              <w:jc w:val="center"/>
              <w:textAlignment w:val="bottom"/>
            </w:pPr>
            <w:r>
              <w:rPr>
                <w:rFonts w:ascii="Arial" w:eastAsia="宋体" w:hAnsi="Arial" w:cs="Arial"/>
                <w:color w:val="000000"/>
                <w:sz w:val="20"/>
                <w:szCs w:val="20"/>
              </w:rPr>
              <w:t>Ian W. Appleyard,</w:t>
            </w:r>
          </w:p>
        </w:tc>
      </w:tr>
      <w:tr w:rsidR="00980E5F" w14:paraId="392CBA81" w14:textId="77777777">
        <w:tc>
          <w:tcPr>
            <w:tcW w:w="0" w:type="auto"/>
            <w:gridSpan w:val="3"/>
            <w:shd w:val="clear" w:color="auto" w:fill="auto"/>
            <w:tcMar>
              <w:top w:w="0" w:type="dxa"/>
              <w:left w:w="20" w:type="dxa"/>
              <w:bottom w:w="0" w:type="dxa"/>
              <w:right w:w="20" w:type="dxa"/>
            </w:tcMar>
            <w:vAlign w:val="bottom"/>
          </w:tcPr>
          <w:p w14:paraId="392CBA7A"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B"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C"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D"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7E" w14:textId="77777777" w:rsidR="00980E5F" w:rsidRDefault="00980E5F">
            <w:pPr>
              <w:rPr>
                <w:rFonts w:ascii="宋体"/>
              </w:rPr>
            </w:pPr>
          </w:p>
        </w:tc>
        <w:tc>
          <w:tcPr>
            <w:tcW w:w="0" w:type="auto"/>
            <w:gridSpan w:val="3"/>
            <w:shd w:val="clear" w:color="auto" w:fill="auto"/>
            <w:tcMar>
              <w:top w:w="40" w:type="dxa"/>
              <w:left w:w="20" w:type="dxa"/>
              <w:bottom w:w="40" w:type="dxa"/>
              <w:right w:w="20" w:type="dxa"/>
            </w:tcMar>
            <w:vAlign w:val="bottom"/>
          </w:tcPr>
          <w:p w14:paraId="392CBA7F" w14:textId="77777777" w:rsidR="00980E5F" w:rsidRDefault="00483613">
            <w:pPr>
              <w:jc w:val="center"/>
              <w:textAlignment w:val="bottom"/>
            </w:pPr>
            <w:r>
              <w:rPr>
                <w:rFonts w:ascii="Arial" w:eastAsia="宋体" w:hAnsi="Arial" w:cs="Arial"/>
                <w:i/>
                <w:iCs/>
                <w:color w:val="000000"/>
                <w:sz w:val="20"/>
                <w:szCs w:val="20"/>
              </w:rPr>
              <w:t>Executive Vice President, Global Controller and Chief Accounting Officer</w:t>
            </w:r>
          </w:p>
          <w:p w14:paraId="392CBA80" w14:textId="77777777" w:rsidR="00980E5F" w:rsidRDefault="00483613">
            <w:pPr>
              <w:jc w:val="center"/>
              <w:textAlignment w:val="bottom"/>
            </w:pPr>
            <w:r>
              <w:rPr>
                <w:rFonts w:ascii="Arial" w:eastAsia="宋体" w:hAnsi="Arial" w:cs="Arial"/>
                <w:i/>
                <w:iCs/>
                <w:color w:val="000000"/>
                <w:sz w:val="20"/>
                <w:szCs w:val="20"/>
              </w:rPr>
              <w:t>(Principal Accounting Officer)</w:t>
            </w:r>
          </w:p>
        </w:tc>
      </w:tr>
      <w:tr w:rsidR="00980E5F" w14:paraId="392CBA88" w14:textId="77777777">
        <w:trPr>
          <w:trHeight w:val="300"/>
        </w:trPr>
        <w:tc>
          <w:tcPr>
            <w:tcW w:w="0" w:type="auto"/>
            <w:gridSpan w:val="3"/>
            <w:shd w:val="clear" w:color="auto" w:fill="auto"/>
            <w:tcMar>
              <w:top w:w="0" w:type="dxa"/>
              <w:left w:w="20" w:type="dxa"/>
              <w:bottom w:w="0" w:type="dxa"/>
              <w:right w:w="20" w:type="dxa"/>
            </w:tcMar>
            <w:vAlign w:val="bottom"/>
          </w:tcPr>
          <w:p w14:paraId="392CBA82"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83"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84"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85"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86" w14:textId="77777777" w:rsidR="00980E5F" w:rsidRDefault="00980E5F">
            <w:pPr>
              <w:rPr>
                <w:rFonts w:ascii="宋体"/>
              </w:rPr>
            </w:pPr>
          </w:p>
        </w:tc>
        <w:tc>
          <w:tcPr>
            <w:tcW w:w="0" w:type="auto"/>
            <w:gridSpan w:val="3"/>
            <w:shd w:val="clear" w:color="auto" w:fill="auto"/>
            <w:tcMar>
              <w:top w:w="0" w:type="dxa"/>
              <w:left w:w="20" w:type="dxa"/>
              <w:bottom w:w="0" w:type="dxa"/>
              <w:right w:w="20" w:type="dxa"/>
            </w:tcMar>
            <w:vAlign w:val="bottom"/>
          </w:tcPr>
          <w:p w14:paraId="392CBA87" w14:textId="77777777" w:rsidR="00980E5F" w:rsidRDefault="00980E5F">
            <w:pPr>
              <w:rPr>
                <w:rFonts w:ascii="宋体"/>
              </w:rPr>
            </w:pPr>
          </w:p>
        </w:tc>
      </w:tr>
    </w:tbl>
    <w:p w14:paraId="392CBA89" w14:textId="77777777" w:rsidR="00980E5F" w:rsidRDefault="00980E5F">
      <w:pPr>
        <w:ind w:firstLine="450"/>
        <w:textAlignment w:val="top"/>
      </w:pPr>
    </w:p>
    <w:p w14:paraId="392CBA8A" w14:textId="77777777" w:rsidR="00980E5F" w:rsidRDefault="00483613">
      <w:pPr>
        <w:ind w:firstLine="450"/>
        <w:jc w:val="right"/>
      </w:pPr>
      <w:r>
        <w:rPr>
          <w:rFonts w:ascii="Arial" w:eastAsia="宋体" w:hAnsi="Arial" w:cs="Arial"/>
          <w:color w:val="000000"/>
          <w:sz w:val="18"/>
          <w:szCs w:val="18"/>
        </w:rPr>
        <w:t>State Street Corporation | 104</w:t>
      </w:r>
    </w:p>
    <w:p w14:paraId="392CBA8B" w14:textId="77777777" w:rsidR="00980E5F" w:rsidRDefault="00980E5F">
      <w:pPr>
        <w:ind w:firstLine="450"/>
        <w:jc w:val="center"/>
      </w:pPr>
    </w:p>
    <w:p w14:paraId="392CBA8C" w14:textId="77777777" w:rsidR="00980E5F" w:rsidRDefault="004836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2CBB36" wp14:editId="392CBB37">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8E" w14:textId="77777777">
        <w:trPr>
          <w:tblCellSpacing w:w="15" w:type="dxa"/>
        </w:trPr>
        <w:tc>
          <w:tcPr>
            <w:tcW w:w="0" w:type="auto"/>
            <w:shd w:val="clear" w:color="auto" w:fill="auto"/>
            <w:vAlign w:val="center"/>
          </w:tcPr>
          <w:p w14:paraId="392CBA8D" w14:textId="77777777" w:rsidR="00980E5F" w:rsidRDefault="00980E5F">
            <w:pPr>
              <w:rPr>
                <w:rFonts w:ascii="宋体"/>
              </w:rPr>
            </w:pPr>
          </w:p>
        </w:tc>
      </w:tr>
    </w:tbl>
    <w:p w14:paraId="392CBA8F"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91" w14:textId="77777777">
        <w:trPr>
          <w:tblCellSpacing w:w="15" w:type="dxa"/>
        </w:trPr>
        <w:tc>
          <w:tcPr>
            <w:tcW w:w="0" w:type="auto"/>
            <w:shd w:val="clear" w:color="auto" w:fill="auto"/>
            <w:vAlign w:val="center"/>
          </w:tcPr>
          <w:p w14:paraId="392CBA90" w14:textId="77777777" w:rsidR="00980E5F" w:rsidRDefault="00980E5F">
            <w:pPr>
              <w:rPr>
                <w:rFonts w:ascii="宋体"/>
              </w:rPr>
            </w:pPr>
          </w:p>
        </w:tc>
      </w:tr>
    </w:tbl>
    <w:p w14:paraId="392CBA92"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94" w14:textId="77777777">
        <w:trPr>
          <w:tblCellSpacing w:w="15" w:type="dxa"/>
        </w:trPr>
        <w:tc>
          <w:tcPr>
            <w:tcW w:w="0" w:type="auto"/>
            <w:shd w:val="clear" w:color="auto" w:fill="auto"/>
            <w:vAlign w:val="center"/>
          </w:tcPr>
          <w:p w14:paraId="392CBA93" w14:textId="77777777" w:rsidR="00980E5F" w:rsidRDefault="00980E5F">
            <w:pPr>
              <w:rPr>
                <w:rFonts w:ascii="宋体"/>
              </w:rPr>
            </w:pPr>
          </w:p>
        </w:tc>
      </w:tr>
    </w:tbl>
    <w:p w14:paraId="392CBA95"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97" w14:textId="77777777">
        <w:trPr>
          <w:tblCellSpacing w:w="15" w:type="dxa"/>
        </w:trPr>
        <w:tc>
          <w:tcPr>
            <w:tcW w:w="0" w:type="auto"/>
            <w:shd w:val="clear" w:color="auto" w:fill="auto"/>
            <w:vAlign w:val="center"/>
          </w:tcPr>
          <w:p w14:paraId="392CBA96" w14:textId="77777777" w:rsidR="00980E5F" w:rsidRDefault="00980E5F">
            <w:pPr>
              <w:rPr>
                <w:rFonts w:ascii="宋体"/>
              </w:rPr>
            </w:pPr>
          </w:p>
        </w:tc>
      </w:tr>
    </w:tbl>
    <w:p w14:paraId="392CBA98" w14:textId="77777777" w:rsidR="00980E5F" w:rsidRDefault="00483613">
      <w:r>
        <w:rPr>
          <w:rFonts w:ascii="宋体" w:eastAsia="宋体" w:hAnsi="宋体" w:cs="宋体"/>
        </w:rPr>
        <w:t xml:space="preserve">Previous Next </w:t>
      </w:r>
    </w:p>
    <w:p w14:paraId="392CBA99" w14:textId="77777777" w:rsidR="00980E5F" w:rsidRDefault="00483613">
      <w:pPr>
        <w:pStyle w:val="a3"/>
      </w:pPr>
      <w:r>
        <w:t>Settings</w:t>
      </w:r>
    </w:p>
    <w:p w14:paraId="392CBA9A" w14:textId="77777777" w:rsidR="00980E5F" w:rsidRDefault="00483613">
      <w:pPr>
        <w:pStyle w:val="Style4"/>
      </w:pPr>
      <w:r>
        <w:t>窗体顶端</w:t>
      </w:r>
    </w:p>
    <w:p w14:paraId="392CBA9B" w14:textId="77777777" w:rsidR="00980E5F" w:rsidRDefault="0048361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92CBB38" wp14:editId="392CBB39">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92CBA9C" w14:textId="77777777" w:rsidR="00980E5F" w:rsidRDefault="0048361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92CBB3A" wp14:editId="392CBB3B">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92CBA9D" w14:textId="77777777" w:rsidR="00980E5F" w:rsidRDefault="00483613">
      <w:r>
        <w:pict w14:anchorId="392CBB3C">
          <v:rect id="_x0000_i1128" style="width:415.3pt;height:1.5pt" o:hralign="center" o:hrstd="t" o:hr="t" fillcolor="#a0a0a0" stroked="f"/>
        </w:pict>
      </w:r>
    </w:p>
    <w:p w14:paraId="392CBA9E" w14:textId="77777777" w:rsidR="00980E5F" w:rsidRDefault="00483613">
      <w:r>
        <w:rPr>
          <w:rFonts w:ascii="宋体" w:eastAsia="宋体" w:hAnsi="宋体" w:cs="宋体"/>
        </w:rPr>
        <w:t xml:space="preserve">Tagged Data </w:t>
      </w:r>
    </w:p>
    <w:p w14:paraId="392CBA9F" w14:textId="77777777" w:rsidR="00980E5F" w:rsidRDefault="00483613">
      <w:r>
        <w:rPr>
          <w:rFonts w:ascii="monospace" w:eastAsia="monospace" w:hAnsi="monospace" w:cs="monospace"/>
          <w:noProof/>
        </w:rPr>
        <mc:AlternateContent>
          <mc:Choice Requires="wps">
            <w:drawing>
              <wp:inline distT="0" distB="0" distL="114300" distR="114300" wp14:anchorId="392CBB3D" wp14:editId="392CBB3E">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392CBAA0" w14:textId="77777777" w:rsidR="00980E5F" w:rsidRDefault="00483613">
      <w:r>
        <w:rPr>
          <w:rFonts w:ascii="宋体" w:eastAsia="宋体" w:hAnsi="宋体" w:cs="宋体"/>
        </w:rPr>
        <w:t>Save</w:t>
      </w:r>
    </w:p>
    <w:p w14:paraId="392CBAA1" w14:textId="77777777" w:rsidR="00980E5F" w:rsidRDefault="00483613">
      <w:r>
        <w:rPr>
          <w:rFonts w:ascii="宋体" w:eastAsia="宋体" w:hAnsi="宋体" w:cs="宋体"/>
        </w:rPr>
        <w:t>Reset</w:t>
      </w:r>
    </w:p>
    <w:p w14:paraId="392CBAA2" w14:textId="77777777" w:rsidR="00980E5F" w:rsidRDefault="00483613">
      <w:r>
        <w:pict w14:anchorId="392CBB3F">
          <v:rect id="_x0000_i1129" style="width:415.3pt;height:1.5pt" o:hralign="center" o:hrstd="t" o:hr="t" fillcolor="#a0a0a0" stroked="f"/>
        </w:pict>
      </w:r>
    </w:p>
    <w:p w14:paraId="392CBAA3" w14:textId="77777777" w:rsidR="00980E5F" w:rsidRDefault="00483613">
      <w:r>
        <w:rPr>
          <w:rFonts w:ascii="宋体" w:eastAsia="宋体" w:hAnsi="宋体" w:cs="宋体"/>
        </w:rPr>
        <w:t xml:space="preserve">Search Results </w:t>
      </w:r>
    </w:p>
    <w:p w14:paraId="392CBAA4" w14:textId="77777777" w:rsidR="00980E5F" w:rsidRDefault="00483613">
      <w:r>
        <w:rPr>
          <w:rFonts w:ascii="monospace" w:eastAsia="monospace" w:hAnsi="monospace" w:cs="monospace"/>
          <w:noProof/>
        </w:rPr>
        <mc:AlternateContent>
          <mc:Choice Requires="wps">
            <w:drawing>
              <wp:inline distT="0" distB="0" distL="114300" distR="114300" wp14:anchorId="392CBB40" wp14:editId="392CBB4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392CBAA5" w14:textId="77777777" w:rsidR="00980E5F" w:rsidRDefault="00483613">
      <w:r>
        <w:rPr>
          <w:rFonts w:ascii="宋体" w:eastAsia="宋体" w:hAnsi="宋体" w:cs="宋体"/>
        </w:rPr>
        <w:t>Save</w:t>
      </w:r>
    </w:p>
    <w:p w14:paraId="392CBAA6" w14:textId="77777777" w:rsidR="00980E5F" w:rsidRDefault="00483613">
      <w:r>
        <w:rPr>
          <w:rFonts w:ascii="宋体" w:eastAsia="宋体" w:hAnsi="宋体" w:cs="宋体"/>
        </w:rPr>
        <w:t>Reset</w:t>
      </w:r>
    </w:p>
    <w:p w14:paraId="392CBAA7" w14:textId="77777777" w:rsidR="00980E5F" w:rsidRDefault="00483613">
      <w:r>
        <w:pict w14:anchorId="392CBB42">
          <v:rect id="_x0000_i1130" style="width:415.3pt;height:1.5pt" o:hralign="center" o:hrstd="t" o:hr="t" fillcolor="#a0a0a0" stroked="f"/>
        </w:pict>
      </w:r>
    </w:p>
    <w:p w14:paraId="392CBAA8" w14:textId="77777777" w:rsidR="00980E5F" w:rsidRDefault="00483613">
      <w:r>
        <w:rPr>
          <w:rFonts w:ascii="宋体" w:eastAsia="宋体" w:hAnsi="宋体" w:cs="宋体"/>
        </w:rPr>
        <w:t xml:space="preserve">Selected Fact </w:t>
      </w:r>
    </w:p>
    <w:p w14:paraId="392CBAA9" w14:textId="77777777" w:rsidR="00980E5F" w:rsidRDefault="00483613">
      <w:r>
        <w:rPr>
          <w:rFonts w:ascii="monospace" w:eastAsia="monospace" w:hAnsi="monospace" w:cs="monospace"/>
          <w:noProof/>
        </w:rPr>
        <mc:AlternateContent>
          <mc:Choice Requires="wps">
            <w:drawing>
              <wp:inline distT="0" distB="0" distL="114300" distR="114300" wp14:anchorId="392CBB43" wp14:editId="392CBB44">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14:paraId="392CBAAA" w14:textId="77777777" w:rsidR="00980E5F" w:rsidRDefault="00483613">
      <w:r>
        <w:rPr>
          <w:rFonts w:ascii="宋体" w:eastAsia="宋体" w:hAnsi="宋体" w:cs="宋体"/>
        </w:rPr>
        <w:t>Save</w:t>
      </w:r>
    </w:p>
    <w:p w14:paraId="392CBAAB" w14:textId="77777777" w:rsidR="00980E5F" w:rsidRDefault="00483613">
      <w:r>
        <w:rPr>
          <w:rFonts w:ascii="宋体" w:eastAsia="宋体" w:hAnsi="宋体" w:cs="宋体"/>
        </w:rPr>
        <w:t>Reset</w:t>
      </w:r>
    </w:p>
    <w:p w14:paraId="392CBAAC" w14:textId="77777777" w:rsidR="00980E5F" w:rsidRDefault="00483613">
      <w:r>
        <w:pict w14:anchorId="392CBB45">
          <v:rect id="_x0000_i1131" style="width:415.3pt;height:1.5pt" o:hralign="center" o:hrstd="t" o:hr="t" fillcolor="#a0a0a0" stroked="f"/>
        </w:pict>
      </w:r>
    </w:p>
    <w:p w14:paraId="392CBAAD" w14:textId="77777777" w:rsidR="00980E5F" w:rsidRDefault="00483613">
      <w:r>
        <w:rPr>
          <w:rFonts w:ascii="宋体" w:eastAsia="宋体" w:hAnsi="宋体" w:cs="宋体"/>
        </w:rPr>
        <w:t xml:space="preserve">Tag Shading (hover) </w:t>
      </w:r>
    </w:p>
    <w:p w14:paraId="392CBAAE" w14:textId="77777777" w:rsidR="00980E5F" w:rsidRDefault="00483613">
      <w:r>
        <w:rPr>
          <w:rFonts w:ascii="monospace" w:eastAsia="monospace" w:hAnsi="monospace" w:cs="monospace"/>
          <w:noProof/>
        </w:rPr>
        <mc:AlternateContent>
          <mc:Choice Requires="wps">
            <w:drawing>
              <wp:inline distT="0" distB="0" distL="114300" distR="114300" wp14:anchorId="392CBB46" wp14:editId="392CBB47">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p w14:paraId="392CBAAF" w14:textId="77777777" w:rsidR="00980E5F" w:rsidRDefault="00483613">
      <w:r>
        <w:rPr>
          <w:rFonts w:ascii="宋体" w:eastAsia="宋体" w:hAnsi="宋体" w:cs="宋体"/>
        </w:rPr>
        <w:t>Save</w:t>
      </w:r>
    </w:p>
    <w:p w14:paraId="392CBAB0" w14:textId="77777777" w:rsidR="00980E5F" w:rsidRDefault="00483613">
      <w:r>
        <w:rPr>
          <w:rFonts w:ascii="宋体" w:eastAsia="宋体" w:hAnsi="宋体" w:cs="宋体"/>
        </w:rPr>
        <w:t>Reset</w:t>
      </w:r>
    </w:p>
    <w:p w14:paraId="392CBAB1" w14:textId="77777777" w:rsidR="00980E5F" w:rsidRDefault="00483613">
      <w:pPr>
        <w:pStyle w:val="Style5"/>
      </w:pPr>
      <w:r>
        <w:t>窗体底端</w:t>
      </w:r>
    </w:p>
    <w:p w14:paraId="392CBAB2" w14:textId="77777777" w:rsidR="00980E5F" w:rsidRDefault="004836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2CBB48" wp14:editId="392CBB49">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B4" w14:textId="77777777">
        <w:trPr>
          <w:tblCellSpacing w:w="15" w:type="dxa"/>
        </w:trPr>
        <w:tc>
          <w:tcPr>
            <w:tcW w:w="0" w:type="auto"/>
            <w:shd w:val="clear" w:color="auto" w:fill="auto"/>
            <w:vAlign w:val="center"/>
          </w:tcPr>
          <w:p w14:paraId="392CBAB3" w14:textId="77777777" w:rsidR="00980E5F" w:rsidRDefault="00980E5F">
            <w:pPr>
              <w:rPr>
                <w:rFonts w:ascii="宋体"/>
              </w:rPr>
            </w:pPr>
          </w:p>
        </w:tc>
      </w:tr>
    </w:tbl>
    <w:p w14:paraId="392CBAB5"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B7" w14:textId="77777777">
        <w:trPr>
          <w:tblCellSpacing w:w="15" w:type="dxa"/>
        </w:trPr>
        <w:tc>
          <w:tcPr>
            <w:tcW w:w="0" w:type="auto"/>
            <w:shd w:val="clear" w:color="auto" w:fill="auto"/>
            <w:vAlign w:val="center"/>
          </w:tcPr>
          <w:p w14:paraId="392CBAB6" w14:textId="77777777" w:rsidR="00980E5F" w:rsidRDefault="00980E5F">
            <w:pPr>
              <w:rPr>
                <w:rFonts w:ascii="宋体"/>
              </w:rPr>
            </w:pPr>
          </w:p>
        </w:tc>
      </w:tr>
    </w:tbl>
    <w:p w14:paraId="392CBAB8"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BA" w14:textId="77777777">
        <w:trPr>
          <w:tblCellSpacing w:w="15" w:type="dxa"/>
        </w:trPr>
        <w:tc>
          <w:tcPr>
            <w:tcW w:w="0" w:type="auto"/>
            <w:shd w:val="clear" w:color="auto" w:fill="auto"/>
            <w:vAlign w:val="center"/>
          </w:tcPr>
          <w:p w14:paraId="392CBAB9" w14:textId="77777777" w:rsidR="00980E5F" w:rsidRDefault="00980E5F">
            <w:pPr>
              <w:rPr>
                <w:rFonts w:ascii="宋体"/>
              </w:rPr>
            </w:pPr>
          </w:p>
        </w:tc>
      </w:tr>
    </w:tbl>
    <w:p w14:paraId="392CBABB"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BD" w14:textId="77777777">
        <w:trPr>
          <w:tblCellSpacing w:w="15" w:type="dxa"/>
        </w:trPr>
        <w:tc>
          <w:tcPr>
            <w:tcW w:w="0" w:type="auto"/>
            <w:shd w:val="clear" w:color="auto" w:fill="auto"/>
            <w:vAlign w:val="center"/>
          </w:tcPr>
          <w:p w14:paraId="392CBABC" w14:textId="77777777" w:rsidR="00980E5F" w:rsidRDefault="00980E5F">
            <w:pPr>
              <w:rPr>
                <w:rFonts w:ascii="宋体"/>
              </w:rPr>
            </w:pPr>
          </w:p>
        </w:tc>
      </w:tr>
    </w:tbl>
    <w:p w14:paraId="392CBABE" w14:textId="77777777" w:rsidR="00980E5F" w:rsidRDefault="00483613">
      <w:r>
        <w:rPr>
          <w:rFonts w:ascii="宋体" w:eastAsia="宋体" w:hAnsi="宋体" w:cs="宋体"/>
        </w:rPr>
        <w:t xml:space="preserve">Previous Next </w:t>
      </w:r>
    </w:p>
    <w:p w14:paraId="392CBABF" w14:textId="77777777" w:rsidR="00980E5F" w:rsidRDefault="00483613">
      <w:pPr>
        <w:pStyle w:val="a3"/>
      </w:pPr>
      <w:r>
        <w:t xml:space="preserve">Nested Facts / </w:t>
      </w:r>
    </w:p>
    <w:p w14:paraId="392CBAC0" w14:textId="77777777" w:rsidR="00980E5F" w:rsidRDefault="00483613">
      <w:r>
        <w:rPr>
          <w:rFonts w:ascii="宋体" w:eastAsia="宋体" w:hAnsi="宋体" w:cs="宋体"/>
        </w:rPr>
        <w:t xml:space="preserve">Previous Next </w:t>
      </w:r>
    </w:p>
    <w:p w14:paraId="392CBAC1" w14:textId="77777777" w:rsidR="00980E5F" w:rsidRDefault="004836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92CBB4A" wp14:editId="392CBB4B">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C3" w14:textId="77777777">
        <w:trPr>
          <w:tblCellSpacing w:w="15" w:type="dxa"/>
        </w:trPr>
        <w:tc>
          <w:tcPr>
            <w:tcW w:w="0" w:type="auto"/>
            <w:shd w:val="clear" w:color="auto" w:fill="auto"/>
            <w:vAlign w:val="center"/>
          </w:tcPr>
          <w:p w14:paraId="392CBAC2" w14:textId="77777777" w:rsidR="00980E5F" w:rsidRDefault="00980E5F">
            <w:pPr>
              <w:rPr>
                <w:rFonts w:ascii="宋体"/>
              </w:rPr>
            </w:pPr>
          </w:p>
        </w:tc>
      </w:tr>
    </w:tbl>
    <w:p w14:paraId="392CBAC4"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C6" w14:textId="77777777">
        <w:trPr>
          <w:tblCellSpacing w:w="15" w:type="dxa"/>
        </w:trPr>
        <w:tc>
          <w:tcPr>
            <w:tcW w:w="0" w:type="auto"/>
            <w:shd w:val="clear" w:color="auto" w:fill="auto"/>
            <w:vAlign w:val="center"/>
          </w:tcPr>
          <w:p w14:paraId="392CBAC5" w14:textId="77777777" w:rsidR="00980E5F" w:rsidRDefault="00980E5F">
            <w:pPr>
              <w:rPr>
                <w:rFonts w:ascii="宋体"/>
              </w:rPr>
            </w:pPr>
          </w:p>
        </w:tc>
      </w:tr>
    </w:tbl>
    <w:p w14:paraId="392CBAC7"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C9" w14:textId="77777777">
        <w:trPr>
          <w:tblCellSpacing w:w="15" w:type="dxa"/>
        </w:trPr>
        <w:tc>
          <w:tcPr>
            <w:tcW w:w="0" w:type="auto"/>
            <w:shd w:val="clear" w:color="auto" w:fill="auto"/>
            <w:vAlign w:val="center"/>
          </w:tcPr>
          <w:p w14:paraId="392CBAC8" w14:textId="77777777" w:rsidR="00980E5F" w:rsidRDefault="00980E5F">
            <w:pPr>
              <w:rPr>
                <w:rFonts w:ascii="宋体"/>
              </w:rPr>
            </w:pPr>
          </w:p>
        </w:tc>
      </w:tr>
    </w:tbl>
    <w:p w14:paraId="392CBACA" w14:textId="77777777" w:rsidR="00980E5F" w:rsidRDefault="00980E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0E5F" w14:paraId="392CBACC" w14:textId="77777777">
        <w:trPr>
          <w:tblCellSpacing w:w="15" w:type="dxa"/>
        </w:trPr>
        <w:tc>
          <w:tcPr>
            <w:tcW w:w="0" w:type="auto"/>
            <w:shd w:val="clear" w:color="auto" w:fill="auto"/>
            <w:vAlign w:val="center"/>
          </w:tcPr>
          <w:p w14:paraId="392CBACB" w14:textId="77777777" w:rsidR="00980E5F" w:rsidRDefault="00980E5F">
            <w:pPr>
              <w:rPr>
                <w:rFonts w:ascii="宋体"/>
              </w:rPr>
            </w:pPr>
          </w:p>
        </w:tc>
      </w:tr>
    </w:tbl>
    <w:p w14:paraId="392CBACD" w14:textId="77777777" w:rsidR="00980E5F" w:rsidRDefault="00483613">
      <w:r>
        <w:rPr>
          <w:rFonts w:ascii="宋体" w:eastAsia="宋体" w:hAnsi="宋体" w:cs="宋体"/>
        </w:rPr>
        <w:t xml:space="preserve">Previous Next </w:t>
      </w:r>
    </w:p>
    <w:p w14:paraId="392CBACE" w14:textId="77777777" w:rsidR="00980E5F" w:rsidRDefault="00980E5F"/>
    <w:sectPr w:rsidR="00980E5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6051" w14:textId="77777777" w:rsidR="00483613" w:rsidRDefault="00483613" w:rsidP="00483613">
      <w:r>
        <w:separator/>
      </w:r>
    </w:p>
  </w:endnote>
  <w:endnote w:type="continuationSeparator" w:id="0">
    <w:p w14:paraId="534AE6BD" w14:textId="77777777" w:rsidR="00483613" w:rsidRDefault="00483613" w:rsidP="0048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AF52" w14:textId="77777777" w:rsidR="00483613" w:rsidRDefault="00483613" w:rsidP="00483613">
      <w:r>
        <w:separator/>
      </w:r>
    </w:p>
  </w:footnote>
  <w:footnote w:type="continuationSeparator" w:id="0">
    <w:p w14:paraId="334FE689" w14:textId="77777777" w:rsidR="00483613" w:rsidRDefault="00483613" w:rsidP="00483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93BD2B"/>
    <w:rsid w:val="00483613"/>
    <w:rsid w:val="00980E5F"/>
    <w:rsid w:val="6793B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BE267"/>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836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83613"/>
    <w:rPr>
      <w:rFonts w:asciiTheme="minorEastAsia" w:hAnsiTheme="minorEastAsia" w:cs="Times New Roman"/>
      <w:sz w:val="18"/>
      <w:szCs w:val="18"/>
    </w:rPr>
  </w:style>
  <w:style w:type="paragraph" w:styleId="a8">
    <w:name w:val="footer"/>
    <w:basedOn w:val="a"/>
    <w:link w:val="a9"/>
    <w:rsid w:val="00483613"/>
    <w:pPr>
      <w:tabs>
        <w:tab w:val="center" w:pos="4153"/>
        <w:tab w:val="right" w:pos="8306"/>
      </w:tabs>
      <w:snapToGrid w:val="0"/>
    </w:pPr>
    <w:rPr>
      <w:sz w:val="18"/>
      <w:szCs w:val="18"/>
    </w:rPr>
  </w:style>
  <w:style w:type="character" w:customStyle="1" w:styleId="a9">
    <w:name w:val="页脚 字符"/>
    <w:basedOn w:val="a0"/>
    <w:link w:val="a8"/>
    <w:rsid w:val="0048361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2000582/stt-20220630.htm" TargetMode="External"/><Relationship Id="rId21" Type="http://schemas.openxmlformats.org/officeDocument/2006/relationships/hyperlink" Target="https://www.sec.gov/ix?doc=/Archives/edgar/data/93751/000009375122000582/stt-20220630.htm" TargetMode="External"/><Relationship Id="rId42" Type="http://schemas.openxmlformats.org/officeDocument/2006/relationships/hyperlink" Target="https://www.sec.gov/ix?doc=/Archives/edgar/data/93751/000009375122000582/stt-20220630.htm" TargetMode="External"/><Relationship Id="rId47" Type="http://schemas.openxmlformats.org/officeDocument/2006/relationships/hyperlink" Target="https://www.sec.gov/ix?doc=/Archives/edgar/data/93751/000009375122000582/stt-20220630.htm" TargetMode="External"/><Relationship Id="rId63" Type="http://schemas.openxmlformats.org/officeDocument/2006/relationships/hyperlink" Target="https://www.sec.gov/ix?doc=/Archives/edgar/data/93751/000009375122000582/stt-20220630.htm" TargetMode="External"/><Relationship Id="rId68" Type="http://schemas.openxmlformats.org/officeDocument/2006/relationships/hyperlink" Target="https://www.sec.gov/Archives/edgar/data/93751/000009375122000582/ex-10x2descriptionofcomp.htm" TargetMode="External"/><Relationship Id="rId16" Type="http://schemas.openxmlformats.org/officeDocument/2006/relationships/hyperlink" Target="https://www.sec.gov/ix?doc=/Archives/edgar/data/93751/000009375122000582/stt-20220630.htm" TargetMode="External"/><Relationship Id="rId11" Type="http://schemas.openxmlformats.org/officeDocument/2006/relationships/hyperlink" Target="https://www.sec.gov/ix?doc=/Archives/edgar/data/93751/000009375122000582/stt-20220630.htm" TargetMode="External"/><Relationship Id="rId24" Type="http://schemas.openxmlformats.org/officeDocument/2006/relationships/hyperlink" Target="https://www.sec.gov/ix?doc=/Archives/edgar/data/93751/000009375122000582/stt-20220630.htm" TargetMode="External"/><Relationship Id="rId32" Type="http://schemas.openxmlformats.org/officeDocument/2006/relationships/hyperlink" Target="https://www.sec.gov/ix?doc=/Archives/edgar/data/93751/000009375122000582/stt-20220630.htm" TargetMode="External"/><Relationship Id="rId37" Type="http://schemas.openxmlformats.org/officeDocument/2006/relationships/hyperlink" Target="https://www.sec.gov/ix?doc=/Archives/edgar/data/93751/000009375122000582/stt-20220630.htm" TargetMode="External"/><Relationship Id="rId40" Type="http://schemas.openxmlformats.org/officeDocument/2006/relationships/hyperlink" Target="https://www.sec.gov/ix?doc=/Archives/edgar/data/93751/000009375122000582/stt-20220630.htm" TargetMode="External"/><Relationship Id="rId45" Type="http://schemas.openxmlformats.org/officeDocument/2006/relationships/hyperlink" Target="https://www.sec.gov/ix?doc=/Archives/edgar/data/93751/000009375122000582/stt-20220630.htm" TargetMode="External"/><Relationship Id="rId53" Type="http://schemas.openxmlformats.org/officeDocument/2006/relationships/hyperlink" Target="https://www.sec.gov/ix?doc=/Archives/edgar/data/93751/000009375122000582/stt-20220630.htm" TargetMode="External"/><Relationship Id="rId58" Type="http://schemas.openxmlformats.org/officeDocument/2006/relationships/hyperlink" Target="https://www.sec.gov/ix?doc=/Archives/edgar/data/93751/000009375122000582/stt-20220630.htm" TargetMode="External"/><Relationship Id="rId66" Type="http://schemas.openxmlformats.org/officeDocument/2006/relationships/hyperlink" Target="https://www.sec.gov/Archives/edgar/data/93751/000009375122000582/ex-10x1fatransition.htm" TargetMode="External"/><Relationship Id="rId74" Type="http://schemas.openxmlformats.org/officeDocument/2006/relationships/hyperlink" Target="https://www.sec.gov/Archives/edgar/data/93751/000009375122000582/exhibit312-june302022.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2000582/stt-20220630.htm" TargetMode="External"/><Relationship Id="rId19" Type="http://schemas.openxmlformats.org/officeDocument/2006/relationships/hyperlink" Target="https://www.sec.gov/ix?doc=/Archives/edgar/data/93751/000009375122000582/stt-20220630.htm" TargetMode="External"/><Relationship Id="rId14" Type="http://schemas.openxmlformats.org/officeDocument/2006/relationships/hyperlink" Target="https://www.sec.gov/ix?doc=/Archives/edgar/data/93751/000009375122000582/stt-20220630.htm" TargetMode="External"/><Relationship Id="rId22" Type="http://schemas.openxmlformats.org/officeDocument/2006/relationships/hyperlink" Target="https://www.sec.gov/ix?doc=/Archives/edgar/data/93751/000009375122000582/stt-20220630.htm" TargetMode="External"/><Relationship Id="rId27" Type="http://schemas.openxmlformats.org/officeDocument/2006/relationships/hyperlink" Target="https://www.sec.gov/ix?doc=/Archives/edgar/data/93751/000009375122000582/stt-20220630.htm" TargetMode="External"/><Relationship Id="rId30" Type="http://schemas.openxmlformats.org/officeDocument/2006/relationships/hyperlink" Target="https://www.sec.gov/ix?doc=/Archives/edgar/data/93751/000009375122000582/stt-20220630.htm" TargetMode="External"/><Relationship Id="rId35" Type="http://schemas.openxmlformats.org/officeDocument/2006/relationships/hyperlink" Target="https://www.sec.gov/ix?doc=/Archives/edgar/data/93751/000009375122000582/stt-20220630.htm" TargetMode="External"/><Relationship Id="rId43" Type="http://schemas.openxmlformats.org/officeDocument/2006/relationships/hyperlink" Target="https://www.sec.gov/ix?doc=/Archives/edgar/data/93751/000009375122000582/stt-20220630.htm" TargetMode="External"/><Relationship Id="rId48" Type="http://schemas.openxmlformats.org/officeDocument/2006/relationships/hyperlink" Target="https://www.sec.gov/ix?doc=/Archives/edgar/data/93751/000009375122000582/stt-20220630.htm" TargetMode="External"/><Relationship Id="rId56" Type="http://schemas.openxmlformats.org/officeDocument/2006/relationships/hyperlink" Target="https://www.sec.gov/ix?doc=/Archives/edgar/data/93751/000009375122000582/stt-20220630.htm" TargetMode="External"/><Relationship Id="rId64" Type="http://schemas.openxmlformats.org/officeDocument/2006/relationships/hyperlink" Target="https://www.sec.gov/ix?doc=/Archives/edgar/data/93751/000009375122000582/stt-20220630.htm" TargetMode="External"/><Relationship Id="rId69" Type="http://schemas.openxmlformats.org/officeDocument/2006/relationships/hyperlink" Target="https://www.sec.gov/Archives/edgar/data/93751/000009375122000582/exhibit15acknowledgmentlet.htm" TargetMode="External"/><Relationship Id="rId77" Type="http://schemas.openxmlformats.org/officeDocument/2006/relationships/fontTable" Target="fontTable.xml"/><Relationship Id="rId8" Type="http://schemas.openxmlformats.org/officeDocument/2006/relationships/hyperlink" Target="https://www.sec.gov/ix?doc=/Archives/edgar/data/93751/000009375122000582/stt-20220630.htm" TargetMode="External"/><Relationship Id="rId51" Type="http://schemas.openxmlformats.org/officeDocument/2006/relationships/hyperlink" Target="https://www.sec.gov/ix?doc=/Archives/edgar/data/93751/000009375122000582/stt-20220630.htm" TargetMode="External"/><Relationship Id="rId72" Type="http://schemas.openxmlformats.org/officeDocument/2006/relationships/hyperlink" Target="https://www.sec.gov/Archives/edgar/data/93751/000009375122000582/exhibit311-june302022.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2000582/stt-20220630.htm" TargetMode="External"/><Relationship Id="rId17" Type="http://schemas.openxmlformats.org/officeDocument/2006/relationships/hyperlink" Target="https://www.sec.gov/ix?doc=/Archives/edgar/data/93751/000009375122000582/stt-20220630.htm" TargetMode="External"/><Relationship Id="rId25" Type="http://schemas.openxmlformats.org/officeDocument/2006/relationships/hyperlink" Target="https://www.sec.gov/ix?doc=/Archives/edgar/data/93751/000009375122000582/stt-20220630.htm" TargetMode="External"/><Relationship Id="rId33" Type="http://schemas.openxmlformats.org/officeDocument/2006/relationships/hyperlink" Target="https://www.sec.gov/ix?doc=/Archives/edgar/data/93751/000009375122000582/stt-20220630.htm" TargetMode="External"/><Relationship Id="rId38" Type="http://schemas.openxmlformats.org/officeDocument/2006/relationships/hyperlink" Target="https://www.sec.gov/ix?doc=/Archives/edgar/data/93751/000009375122000582/stt-20220630.htm" TargetMode="External"/><Relationship Id="rId46" Type="http://schemas.openxmlformats.org/officeDocument/2006/relationships/hyperlink" Target="https://www.sec.gov/ix?doc=/Archives/edgar/data/93751/000009375122000582/stt-20220630.htm" TargetMode="External"/><Relationship Id="rId59" Type="http://schemas.openxmlformats.org/officeDocument/2006/relationships/hyperlink" Target="https://www.sec.gov/ix?doc=/Archives/edgar/data/93751/000009375122000582/stt-20220630.htm" TargetMode="External"/><Relationship Id="rId67" Type="http://schemas.openxmlformats.org/officeDocument/2006/relationships/hyperlink" Target="https://www.sec.gov/Archives/edgar/data/93751/000009375122000582/ex-10x2descriptionofcomp.htm" TargetMode="External"/><Relationship Id="rId20" Type="http://schemas.openxmlformats.org/officeDocument/2006/relationships/hyperlink" Target="https://www.sec.gov/ix?doc=/Archives/edgar/data/93751/000009375122000582/stt-20220630.htm" TargetMode="External"/><Relationship Id="rId41" Type="http://schemas.openxmlformats.org/officeDocument/2006/relationships/hyperlink" Target="https://www.sec.gov/ix?doc=/Archives/edgar/data/93751/000009375122000582/stt-20220630.htm" TargetMode="External"/><Relationship Id="rId54" Type="http://schemas.openxmlformats.org/officeDocument/2006/relationships/hyperlink" Target="https://www.sec.gov/ix?doc=/Archives/edgar/data/93751/000009375122000582/stt-20220630.htm" TargetMode="External"/><Relationship Id="rId62" Type="http://schemas.openxmlformats.org/officeDocument/2006/relationships/hyperlink" Target="https://www.sec.gov/ix?doc=/Archives/edgar/data/93751/000009375122000582/stt-20220630.htm" TargetMode="External"/><Relationship Id="rId70" Type="http://schemas.openxmlformats.org/officeDocument/2006/relationships/hyperlink" Target="https://www.sec.gov/Archives/edgar/data/93751/000009375122000582/exhibit15acknowledgmentlet.htm" TargetMode="External"/><Relationship Id="rId75" Type="http://schemas.openxmlformats.org/officeDocument/2006/relationships/hyperlink" Target="https://www.sec.gov/Archives/edgar/data/93751/000009375122000582/exhibit32-june302022.htm" TargetMode="External"/><Relationship Id="rId1" Type="http://schemas.openxmlformats.org/officeDocument/2006/relationships/styles" Target="styles.xml"/><Relationship Id="rId6" Type="http://schemas.openxmlformats.org/officeDocument/2006/relationships/hyperlink" Target="https://www.sec.gov/ix?doc=/Archives/edgar/data/93751/000009375122000582/stt-20220630.htm" TargetMode="External"/><Relationship Id="rId15" Type="http://schemas.openxmlformats.org/officeDocument/2006/relationships/hyperlink" Target="https://www.sec.gov/ix?doc=/Archives/edgar/data/93751/000009375122000582/stt-20220630.htm" TargetMode="External"/><Relationship Id="rId23" Type="http://schemas.openxmlformats.org/officeDocument/2006/relationships/hyperlink" Target="https://www.sec.gov/ix?doc=/Archives/edgar/data/93751/000009375122000582/stt-20220630.htm" TargetMode="External"/><Relationship Id="rId28" Type="http://schemas.openxmlformats.org/officeDocument/2006/relationships/hyperlink" Target="https://www.sec.gov/ix?doc=/Archives/edgar/data/93751/000009375122000582/stt-20220630.htm" TargetMode="External"/><Relationship Id="rId36" Type="http://schemas.openxmlformats.org/officeDocument/2006/relationships/hyperlink" Target="https://www.sec.gov/ix?doc=/Archives/edgar/data/93751/000009375122000582/stt-20220630.htm" TargetMode="External"/><Relationship Id="rId49" Type="http://schemas.openxmlformats.org/officeDocument/2006/relationships/hyperlink" Target="https://www.sec.gov/ix?doc=/Archives/edgar/data/93751/000009375122000582/stt-20220630.htm" TargetMode="External"/><Relationship Id="rId57" Type="http://schemas.openxmlformats.org/officeDocument/2006/relationships/hyperlink" Target="https://www.sec.gov/ix?doc=/Archives/edgar/data/93751/000009375122000582/stt-20220630.htm" TargetMode="External"/><Relationship Id="rId10" Type="http://schemas.openxmlformats.org/officeDocument/2006/relationships/hyperlink" Target="https://www.sec.gov/ix?doc=/Archives/edgar/data/93751/000009375122000582/stt-20220630.htm" TargetMode="External"/><Relationship Id="rId31" Type="http://schemas.openxmlformats.org/officeDocument/2006/relationships/hyperlink" Target="https://www.sec.gov/ix?doc=/Archives/edgar/data/93751/000009375122000582/stt-20220630.htm" TargetMode="External"/><Relationship Id="rId44" Type="http://schemas.openxmlformats.org/officeDocument/2006/relationships/hyperlink" Target="https://www.sec.gov/ix?doc=/Archives/edgar/data/93751/000009375122000582/stt-20220630.htm" TargetMode="External"/><Relationship Id="rId52" Type="http://schemas.openxmlformats.org/officeDocument/2006/relationships/hyperlink" Target="https://www.sec.gov/ix?doc=/Archives/edgar/data/93751/000009375122000582/stt-20220630.htm" TargetMode="External"/><Relationship Id="rId60" Type="http://schemas.openxmlformats.org/officeDocument/2006/relationships/hyperlink" Target="https://www.sec.gov/ix?doc=/Archives/edgar/data/93751/000009375122000582/stt-20220630.htm" TargetMode="External"/><Relationship Id="rId65" Type="http://schemas.openxmlformats.org/officeDocument/2006/relationships/hyperlink" Target="https://www.sec.gov/Archives/edgar/data/93751/000009375122000582/ex-10x1fatransition.htm" TargetMode="External"/><Relationship Id="rId73" Type="http://schemas.openxmlformats.org/officeDocument/2006/relationships/hyperlink" Target="https://www.sec.gov/Archives/edgar/data/93751/000009375122000582/exhibit312-june302022.htm"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93751/000009375122000582/stt-20220630.htm" TargetMode="External"/><Relationship Id="rId13" Type="http://schemas.openxmlformats.org/officeDocument/2006/relationships/hyperlink" Target="https://www.sec.gov/ix?doc=/Archives/edgar/data/93751/000009375122000582/stt-20220630.htm" TargetMode="External"/><Relationship Id="rId18" Type="http://schemas.openxmlformats.org/officeDocument/2006/relationships/hyperlink" Target="https://www.sec.gov/ix?doc=/Archives/edgar/data/93751/000009375122000582/stt-20220630.htm" TargetMode="External"/><Relationship Id="rId39" Type="http://schemas.openxmlformats.org/officeDocument/2006/relationships/hyperlink" Target="https://www.sec.gov/ix?doc=/Archives/edgar/data/93751/000009375122000582/stt-20220630.htm" TargetMode="External"/><Relationship Id="rId34" Type="http://schemas.openxmlformats.org/officeDocument/2006/relationships/hyperlink" Target="https://www.sec.gov/ix?doc=/Archives/edgar/data/93751/000009375122000582/stt-20220630.htm" TargetMode="External"/><Relationship Id="rId50" Type="http://schemas.openxmlformats.org/officeDocument/2006/relationships/hyperlink" Target="https://www.sec.gov/ix?doc=/Archives/edgar/data/93751/000009375122000582/stt-20220630.htm" TargetMode="External"/><Relationship Id="rId55" Type="http://schemas.openxmlformats.org/officeDocument/2006/relationships/hyperlink" Target="https://www.sec.gov/ix?doc=/Archives/edgar/data/93751/000009375122000582/stt-20220630.htm" TargetMode="External"/><Relationship Id="rId76" Type="http://schemas.openxmlformats.org/officeDocument/2006/relationships/hyperlink" Target="https://www.sec.gov/Archives/edgar/data/93751/000009375122000582/exhibit32-june302022.htm" TargetMode="External"/><Relationship Id="rId7" Type="http://schemas.openxmlformats.org/officeDocument/2006/relationships/hyperlink" Target="https://www.sec.gov/ix?doc=/Archives/edgar/data/93751/000009375122000582/stt-20220630.htm" TargetMode="External"/><Relationship Id="rId71" Type="http://schemas.openxmlformats.org/officeDocument/2006/relationships/hyperlink" Target="https://www.sec.gov/Archives/edgar/data/93751/000009375122000582/exhibit311-june302022.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2000582/stt-202206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67238</Words>
  <Characters>383257</Characters>
  <Application>Microsoft Office Word</Application>
  <DocSecurity>0</DocSecurity>
  <Lines>3193</Lines>
  <Paragraphs>899</Paragraphs>
  <ScaleCrop>false</ScaleCrop>
  <Company/>
  <LinksUpToDate>false</LinksUpToDate>
  <CharactersWithSpaces>449596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2023-02-11T23:30:00Z</dcterms:created>
  <dcterms:modified xsi:type="dcterms:W3CDTF">2023-02-13T11:33:00Z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B421B61F3C32A1BAACB4E76315A67469</vt:lpwstr>
  </property>
</Properties>
</file>